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E2423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b/>
          <w:bCs/>
          <w:color w:val="000000" w:themeColor="text1"/>
          <w:sz w:val="16"/>
          <w:szCs w:val="16"/>
        </w:rPr>
      </w:pPr>
      <w:r w:rsidRPr="00D03F3E">
        <w:rPr>
          <w:rFonts w:ascii="Times New Roman" w:hAnsi="Times New Roman"/>
          <w:b/>
          <w:bCs/>
          <w:color w:val="000000" w:themeColor="text1"/>
          <w:sz w:val="16"/>
          <w:szCs w:val="16"/>
        </w:rPr>
        <w:t>1943</w:t>
      </w:r>
    </w:p>
    <w:p w14:paraId="3512C817" w14:textId="77777777" w:rsidR="0070547C" w:rsidRPr="00D03F3E" w:rsidRDefault="0070547C"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C92F638"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1CFC90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3A5D2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1943 г. РОФС-132 старались применять на предельно больших ди</w:t>
      </w:r>
      <w:r w:rsidRPr="00D03F3E">
        <w:rPr>
          <w:rFonts w:ascii="Times New Roman" w:hAnsi="Times New Roman"/>
          <w:color w:val="000000" w:themeColor="text1"/>
          <w:sz w:val="16"/>
          <w:szCs w:val="16"/>
        </w:rPr>
        <w:softHyphen/>
        <w:t>станциях стрельбы, рассчитав поправки для стрелковых прицелов. Но перед пуском все равно пристреливались из пулемета. На минималь</w:t>
      </w:r>
      <w:r w:rsidRPr="00D03F3E">
        <w:rPr>
          <w:rFonts w:ascii="Times New Roman" w:hAnsi="Times New Roman"/>
          <w:color w:val="000000" w:themeColor="text1"/>
          <w:sz w:val="16"/>
          <w:szCs w:val="16"/>
        </w:rPr>
        <w:softHyphen/>
        <w:t>ных дистанциях применять этот более серьезный снаряд было опасно. Углы пикирования при этом не превышали 15-20°» (11402).</w:t>
      </w:r>
    </w:p>
    <w:p w14:paraId="7A15860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C5850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1943г. общий объем опытно-проектировочных работ в ОКБ №35 значительно сократился, работы велись главным образом по модификации изделий серийного производства. Коллектив ОКБ готовился к отъезду в Ступино, поскольку военная обстановка на фронте располагала к этому (11415).</w:t>
      </w:r>
    </w:p>
    <w:p w14:paraId="3D8DB4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1B1E20" w14:textId="77777777" w:rsidR="006A21FD" w:rsidRPr="00D03F3E" w:rsidRDefault="006A21F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 наступлению ново</w:t>
      </w:r>
      <w:r w:rsidRPr="00D03F3E">
        <w:rPr>
          <w:rFonts w:ascii="Times New Roman" w:hAnsi="Times New Roman"/>
          <w:color w:val="0070C0"/>
          <w:sz w:val="16"/>
          <w:szCs w:val="16"/>
        </w:rPr>
        <w:softHyphen/>
        <w:t>го 1943 г. практически все агрегаты двух автожиров АК бы</w:t>
      </w:r>
      <w:r w:rsidRPr="00D03F3E">
        <w:rPr>
          <w:rFonts w:ascii="Times New Roman" w:hAnsi="Times New Roman"/>
          <w:color w:val="0070C0"/>
          <w:sz w:val="16"/>
          <w:szCs w:val="16"/>
        </w:rPr>
        <w:softHyphen/>
        <w:t>ли изготовлены, велась их окончательная сборка. Остава</w:t>
      </w:r>
      <w:r w:rsidRPr="00D03F3E">
        <w:rPr>
          <w:rFonts w:ascii="Times New Roman" w:hAnsi="Times New Roman"/>
          <w:color w:val="0070C0"/>
          <w:sz w:val="16"/>
          <w:szCs w:val="16"/>
        </w:rPr>
        <w:softHyphen/>
        <w:t>лось совсем немного, уже в феврале Камов предполагал приступить к летным испытаниям первого опытного экземп</w:t>
      </w:r>
      <w:r w:rsidRPr="00D03F3E">
        <w:rPr>
          <w:rFonts w:ascii="Times New Roman" w:hAnsi="Times New Roman"/>
          <w:color w:val="0070C0"/>
          <w:sz w:val="16"/>
          <w:szCs w:val="16"/>
        </w:rPr>
        <w:softHyphen/>
        <w:t>ляра. В этот период уже закончилась эпопея А-7, и на за</w:t>
      </w:r>
      <w:r w:rsidRPr="00D03F3E">
        <w:rPr>
          <w:rFonts w:ascii="Times New Roman" w:hAnsi="Times New Roman"/>
          <w:color w:val="0070C0"/>
          <w:sz w:val="16"/>
          <w:szCs w:val="16"/>
        </w:rPr>
        <w:softHyphen/>
        <w:t>вод дошли слухи о прекращении работ по автожирам. Слухи не были лишены оснований, 30 января 1943 г. ру</w:t>
      </w:r>
      <w:r w:rsidRPr="00D03F3E">
        <w:rPr>
          <w:rFonts w:ascii="Times New Roman" w:hAnsi="Times New Roman"/>
          <w:color w:val="0070C0"/>
          <w:sz w:val="16"/>
          <w:szCs w:val="16"/>
        </w:rPr>
        <w:softHyphen/>
        <w:t>ководство НКАП подготовило приказ о расформировании завода № 290.</w:t>
      </w:r>
    </w:p>
    <w:p w14:paraId="295F70B7" w14:textId="77777777" w:rsidR="006A21FD" w:rsidRPr="00D03F3E" w:rsidRDefault="006A21F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Директор и Главный конструктор завода Н.И. Камов на</w:t>
      </w:r>
      <w:r w:rsidRPr="00D03F3E">
        <w:rPr>
          <w:rFonts w:ascii="Times New Roman" w:hAnsi="Times New Roman"/>
          <w:color w:val="0070C0"/>
          <w:sz w:val="16"/>
          <w:szCs w:val="16"/>
        </w:rPr>
        <w:softHyphen/>
        <w:t>значался начальником серийного конструкторского отде</w:t>
      </w:r>
      <w:r w:rsidRPr="00D03F3E">
        <w:rPr>
          <w:rFonts w:ascii="Times New Roman" w:hAnsi="Times New Roman"/>
          <w:color w:val="0070C0"/>
          <w:sz w:val="16"/>
          <w:szCs w:val="16"/>
        </w:rPr>
        <w:softHyphen/>
        <w:t>ла (СКО) завода №494, выпускающего самолеты По-2, а его заместитель М.Л. Миль направлялся в ЦАГИ (20361).</w:t>
      </w:r>
    </w:p>
    <w:p w14:paraId="4D73F412" w14:textId="77777777" w:rsidR="006A21FD" w:rsidRPr="00D03F3E" w:rsidRDefault="006A21FD" w:rsidP="00D03F3E">
      <w:pPr>
        <w:shd w:val="clear" w:color="auto" w:fill="FFFFFF"/>
        <w:spacing w:after="0" w:line="240" w:lineRule="auto"/>
        <w:jc w:val="both"/>
        <w:rPr>
          <w:rFonts w:ascii="Times New Roman" w:hAnsi="Times New Roman"/>
          <w:color w:val="0070C0"/>
          <w:sz w:val="16"/>
          <w:szCs w:val="16"/>
        </w:rPr>
      </w:pPr>
    </w:p>
    <w:p w14:paraId="004764D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1943 г. на вооружение советской противотанковой артиллерии по</w:t>
      </w:r>
      <w:r w:rsidRPr="00D03F3E">
        <w:rPr>
          <w:rFonts w:ascii="Times New Roman" w:hAnsi="Times New Roman"/>
          <w:color w:val="000000" w:themeColor="text1"/>
          <w:sz w:val="16"/>
          <w:szCs w:val="16"/>
        </w:rPr>
        <w:softHyphen/>
        <w:t>ступили кумулятивные снаряды калибра 76,2 мм, а вслед за этим и про</w:t>
      </w:r>
      <w:r w:rsidRPr="00D03F3E">
        <w:rPr>
          <w:rFonts w:ascii="Times New Roman" w:hAnsi="Times New Roman"/>
          <w:color w:val="000000" w:themeColor="text1"/>
          <w:sz w:val="16"/>
          <w:szCs w:val="16"/>
        </w:rPr>
        <w:softHyphen/>
        <w:t>тивотанковые авиабомбы малых калибров. В этом же году в НИИ-3 раз</w:t>
      </w:r>
      <w:r w:rsidRPr="00D03F3E">
        <w:rPr>
          <w:rFonts w:ascii="Times New Roman" w:hAnsi="Times New Roman"/>
          <w:color w:val="000000" w:themeColor="text1"/>
          <w:sz w:val="16"/>
          <w:szCs w:val="16"/>
        </w:rPr>
        <w:softHyphen/>
        <w:t>работали РСКД-82 - реактивный снаряд кумулятивного действия. Масса его БЧ была значительно меньше, чем у РБС. Высокие скорости и огра</w:t>
      </w:r>
      <w:r w:rsidRPr="00D03F3E">
        <w:rPr>
          <w:rFonts w:ascii="Times New Roman" w:hAnsi="Times New Roman"/>
          <w:color w:val="000000" w:themeColor="text1"/>
          <w:sz w:val="16"/>
          <w:szCs w:val="16"/>
        </w:rPr>
        <w:softHyphen/>
        <w:t>ничения по углам пикирования для использования кумулятивной БЧ не требовались, а бронебойность возросла на порядок. Однако, в серию та</w:t>
      </w:r>
      <w:r w:rsidRPr="00D03F3E">
        <w:rPr>
          <w:rFonts w:ascii="Times New Roman" w:hAnsi="Times New Roman"/>
          <w:color w:val="000000" w:themeColor="text1"/>
          <w:sz w:val="16"/>
          <w:szCs w:val="16"/>
        </w:rPr>
        <w:softHyphen/>
        <w:t>кой боеприпас не пошел.</w:t>
      </w:r>
    </w:p>
    <w:p w14:paraId="4DF380A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Типовые узлы в конструкции ракетных боеприпасов были в достаточ</w:t>
      </w:r>
      <w:r w:rsidRPr="00D03F3E">
        <w:rPr>
          <w:rFonts w:ascii="Times New Roman" w:hAnsi="Times New Roman"/>
          <w:color w:val="000000" w:themeColor="text1"/>
          <w:sz w:val="16"/>
          <w:szCs w:val="16"/>
        </w:rPr>
        <w:softHyphen/>
        <w:t>ной степени отработаны в предвоенные годы. Их схемы, расчеты и тех</w:t>
      </w:r>
      <w:r w:rsidRPr="00D03F3E">
        <w:rPr>
          <w:rFonts w:ascii="Times New Roman" w:hAnsi="Times New Roman"/>
          <w:color w:val="000000" w:themeColor="text1"/>
          <w:sz w:val="16"/>
          <w:szCs w:val="16"/>
        </w:rPr>
        <w:softHyphen/>
        <w:t>нологии изготовления можно было считать классическими. В октябре 1941 г. из-за отсутствия компонентов резко сократился выпуск тротила, и БЧ реактивных снарядов пришлось снаряжать суррогатированными ВВ, что не лучшим образом отразилось на боевых качествах РС.</w:t>
      </w:r>
    </w:p>
    <w:p w14:paraId="119BD25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Этой проблеме вполне можно было бы найти достойное решение, ес</w:t>
      </w:r>
      <w:r w:rsidRPr="00D03F3E">
        <w:rPr>
          <w:rFonts w:ascii="Times New Roman" w:hAnsi="Times New Roman"/>
          <w:color w:val="000000" w:themeColor="text1"/>
          <w:sz w:val="16"/>
          <w:szCs w:val="16"/>
        </w:rPr>
        <w:softHyphen/>
        <w:t>ли бы накануне войны в стране больше внимания уделяли исследовани</w:t>
      </w:r>
      <w:r w:rsidRPr="00D03F3E">
        <w:rPr>
          <w:rFonts w:ascii="Times New Roman" w:hAnsi="Times New Roman"/>
          <w:color w:val="000000" w:themeColor="text1"/>
          <w:sz w:val="16"/>
          <w:szCs w:val="16"/>
        </w:rPr>
        <w:softHyphen/>
        <w:t>ям бризантности боеприпасов. Тогда и при условии снаряжания суррога</w:t>
      </w:r>
      <w:r w:rsidRPr="00D03F3E">
        <w:rPr>
          <w:rFonts w:ascii="Times New Roman" w:hAnsi="Times New Roman"/>
          <w:color w:val="000000" w:themeColor="text1"/>
          <w:sz w:val="16"/>
          <w:szCs w:val="16"/>
        </w:rPr>
        <w:softHyphen/>
        <w:t>тированными ВВ, без большого труда можно было подобрать марку ста</w:t>
      </w:r>
      <w:r w:rsidRPr="00D03F3E">
        <w:rPr>
          <w:rFonts w:ascii="Times New Roman" w:hAnsi="Times New Roman"/>
          <w:color w:val="000000" w:themeColor="text1"/>
          <w:sz w:val="16"/>
          <w:szCs w:val="16"/>
        </w:rPr>
        <w:softHyphen/>
        <w:t>ли для изготовления корпусов БЧ ракетных боеприпасов, чтобы не ухуд</w:t>
      </w:r>
      <w:r w:rsidRPr="00D03F3E">
        <w:rPr>
          <w:rFonts w:ascii="Times New Roman" w:hAnsi="Times New Roman"/>
          <w:color w:val="000000" w:themeColor="text1"/>
          <w:sz w:val="16"/>
          <w:szCs w:val="16"/>
        </w:rPr>
        <w:softHyphen/>
        <w:t>шать характеристик их осколочности. В отсутствие тротила те же самые корпуса снаряжали аммонитами и аммонпеками, а вместо тетриловых промежуточных детонаторов использовали «усиленные» мелинитовые. В итоге огневая мощь эрзац-вариантов РС М-8 снизилась настолько, что руководство ГМЧ однажды возвратило всю их партию с фронта и затре</w:t>
      </w:r>
      <w:r w:rsidRPr="00D03F3E">
        <w:rPr>
          <w:rFonts w:ascii="Times New Roman" w:hAnsi="Times New Roman"/>
          <w:color w:val="000000" w:themeColor="text1"/>
          <w:sz w:val="16"/>
          <w:szCs w:val="16"/>
        </w:rPr>
        <w:softHyphen/>
        <w:t>бовало хотя бы приблизить этот показатель к уровню тротилового экви</w:t>
      </w:r>
      <w:r w:rsidRPr="00D03F3E">
        <w:rPr>
          <w:rFonts w:ascii="Times New Roman" w:hAnsi="Times New Roman"/>
          <w:color w:val="000000" w:themeColor="text1"/>
          <w:sz w:val="16"/>
          <w:szCs w:val="16"/>
        </w:rPr>
        <w:softHyphen/>
        <w:t>валента (11402).</w:t>
      </w:r>
    </w:p>
    <w:p w14:paraId="21E096D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078408" w14:textId="77777777" w:rsidR="00BD4344" w:rsidRPr="00D03F3E" w:rsidRDefault="00BD43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7B60FD25" w14:textId="77777777" w:rsidR="00BD4344" w:rsidRPr="00D03F3E" w:rsidRDefault="00BD43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DC7744" w14:textId="77777777" w:rsidR="00BD4344" w:rsidRPr="00D03F3E" w:rsidRDefault="00BD4344" w:rsidP="00D03F3E">
      <w:pPr>
        <w:pStyle w:val="250"/>
        <w:shd w:val="clear" w:color="auto" w:fill="auto"/>
        <w:spacing w:after="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К началу 1943 г. главная задача авиа</w:t>
      </w:r>
      <w:r w:rsidRPr="00D03F3E">
        <w:rPr>
          <w:rFonts w:ascii="Times New Roman" w:cs="Times New Roman"/>
          <w:color w:val="000000" w:themeColor="text1"/>
          <w:sz w:val="16"/>
          <w:szCs w:val="16"/>
        </w:rPr>
        <w:softHyphen/>
        <w:t>промышленности - обеспечить восполне</w:t>
      </w:r>
      <w:r w:rsidRPr="00D03F3E">
        <w:rPr>
          <w:rFonts w:ascii="Times New Roman" w:cs="Times New Roman"/>
          <w:color w:val="000000" w:themeColor="text1"/>
          <w:sz w:val="16"/>
          <w:szCs w:val="16"/>
        </w:rPr>
        <w:softHyphen/>
        <w:t>ние потерь боевых самолетов на фронте и накопление резервов Ставки Верхов</w:t>
      </w:r>
      <w:r w:rsidRPr="00D03F3E">
        <w:rPr>
          <w:rFonts w:ascii="Times New Roman" w:cs="Times New Roman"/>
          <w:color w:val="000000" w:themeColor="text1"/>
          <w:sz w:val="16"/>
          <w:szCs w:val="16"/>
        </w:rPr>
        <w:softHyphen/>
        <w:t>ного Главнокомандования, в том числе штурмовиков Ил-2, в целом была решена, чего нельзя сказать о качестве выпускае</w:t>
      </w:r>
      <w:r w:rsidRPr="00D03F3E">
        <w:rPr>
          <w:rFonts w:ascii="Times New Roman" w:cs="Times New Roman"/>
          <w:color w:val="000000" w:themeColor="text1"/>
          <w:sz w:val="16"/>
          <w:szCs w:val="16"/>
        </w:rPr>
        <w:softHyphen/>
        <w:t>мых заводами самолетов, которое остав</w:t>
      </w:r>
      <w:r w:rsidRPr="00D03F3E">
        <w:rPr>
          <w:rFonts w:ascii="Times New Roman" w:cs="Times New Roman"/>
          <w:color w:val="000000" w:themeColor="text1"/>
          <w:sz w:val="16"/>
          <w:szCs w:val="16"/>
        </w:rPr>
        <w:softHyphen/>
        <w:t>ляло желать лучшего. Как следствие, в авиачастях действующей армии и в тылу от месяца к месяцу возрастал процент не</w:t>
      </w:r>
      <w:r w:rsidRPr="00D03F3E">
        <w:rPr>
          <w:rFonts w:ascii="Times New Roman" w:cs="Times New Roman"/>
          <w:color w:val="000000" w:themeColor="text1"/>
          <w:sz w:val="16"/>
          <w:szCs w:val="16"/>
        </w:rPr>
        <w:softHyphen/>
        <w:t>исправных по различным причинам бое</w:t>
      </w:r>
      <w:r w:rsidRPr="00D03F3E">
        <w:rPr>
          <w:rFonts w:ascii="Times New Roman" w:cs="Times New Roman"/>
          <w:color w:val="000000" w:themeColor="text1"/>
          <w:sz w:val="16"/>
          <w:szCs w:val="16"/>
        </w:rPr>
        <w:softHyphen/>
        <w:t>вых машин.</w:t>
      </w:r>
    </w:p>
    <w:p w14:paraId="6ED84B3C" w14:textId="77777777" w:rsidR="00BD4344" w:rsidRPr="00D03F3E" w:rsidRDefault="00BD4344" w:rsidP="00D03F3E">
      <w:pPr>
        <w:pStyle w:val="250"/>
        <w:shd w:val="clear" w:color="auto" w:fill="auto"/>
        <w:spacing w:after="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Техническое состояние поступаю</w:t>
      </w:r>
      <w:r w:rsidRPr="00D03F3E">
        <w:rPr>
          <w:rFonts w:ascii="Times New Roman" w:cs="Times New Roman"/>
          <w:color w:val="000000" w:themeColor="text1"/>
          <w:sz w:val="16"/>
          <w:szCs w:val="16"/>
        </w:rPr>
        <w:softHyphen/>
        <w:t xml:space="preserve">щих в это время с авиазаводов самолетов Ил-2 было таково, что часть из них сразу же направлялась в ремонтные органы для </w:t>
      </w:r>
      <w:r w:rsidRPr="00D03F3E">
        <w:rPr>
          <w:rStyle w:val="9pt80"/>
          <w:rFonts w:ascii="Times New Roman" w:hAnsi="Times New Roman" w:cs="Times New Roman"/>
          <w:i w:val="0"/>
          <w:color w:val="000000" w:themeColor="text1"/>
          <w:w w:val="100"/>
          <w:sz w:val="16"/>
          <w:szCs w:val="16"/>
        </w:rPr>
        <w:t>«приведения в летное состояние».</w:t>
      </w:r>
      <w:r w:rsidRPr="00D03F3E">
        <w:rPr>
          <w:rFonts w:ascii="Times New Roman" w:cs="Times New Roman"/>
          <w:color w:val="000000" w:themeColor="text1"/>
          <w:sz w:val="16"/>
          <w:szCs w:val="16"/>
        </w:rPr>
        <w:t xml:space="preserve"> Непо</w:t>
      </w:r>
      <w:r w:rsidRPr="00D03F3E">
        <w:rPr>
          <w:rFonts w:ascii="Times New Roman" w:cs="Times New Roman"/>
          <w:color w:val="000000" w:themeColor="text1"/>
          <w:sz w:val="16"/>
          <w:szCs w:val="16"/>
        </w:rPr>
        <w:softHyphen/>
        <w:t>средственно в частях технический состав затрачивал в среднем по 2-5 дня на до</w:t>
      </w:r>
      <w:r w:rsidRPr="00D03F3E">
        <w:rPr>
          <w:rFonts w:ascii="Times New Roman" w:cs="Times New Roman"/>
          <w:color w:val="000000" w:themeColor="text1"/>
          <w:sz w:val="16"/>
          <w:szCs w:val="16"/>
        </w:rPr>
        <w:softHyphen/>
        <w:t>работку вновь прибывших штурмовиков.</w:t>
      </w:r>
    </w:p>
    <w:p w14:paraId="7ACB2D56" w14:textId="77777777" w:rsidR="00BD4344" w:rsidRPr="00D03F3E" w:rsidRDefault="00BD4344" w:rsidP="00D03F3E">
      <w:pPr>
        <w:pStyle w:val="80"/>
        <w:shd w:val="clear" w:color="auto" w:fill="auto"/>
        <w:spacing w:line="240" w:lineRule="auto"/>
        <w:jc w:val="both"/>
        <w:rPr>
          <w:rFonts w:ascii="Times New Roman" w:hAnsi="Times New Roman" w:cs="Times New Roman"/>
          <w:color w:val="000000" w:themeColor="text1"/>
        </w:rPr>
      </w:pPr>
      <w:r w:rsidRPr="00D03F3E">
        <w:rPr>
          <w:rStyle w:val="885pt100"/>
          <w:rFonts w:ascii="Times New Roman" w:hAnsi="Times New Roman" w:cs="Times New Roman"/>
          <w:i w:val="0"/>
          <w:color w:val="000000" w:themeColor="text1"/>
          <w:sz w:val="16"/>
          <w:szCs w:val="16"/>
        </w:rPr>
        <w:t>Инженерный и летный состав пол</w:t>
      </w:r>
      <w:r w:rsidRPr="00D03F3E">
        <w:rPr>
          <w:rStyle w:val="885pt100"/>
          <w:rFonts w:ascii="Times New Roman" w:hAnsi="Times New Roman" w:cs="Times New Roman"/>
          <w:i w:val="0"/>
          <w:color w:val="000000" w:themeColor="text1"/>
          <w:sz w:val="16"/>
          <w:szCs w:val="16"/>
        </w:rPr>
        <w:softHyphen/>
        <w:t>ков указывали, что</w:t>
      </w:r>
      <w:r w:rsidRPr="00D03F3E">
        <w:rPr>
          <w:rFonts w:ascii="Times New Roman" w:hAnsi="Times New Roman" w:cs="Times New Roman"/>
          <w:i/>
          <w:color w:val="000000" w:themeColor="text1"/>
        </w:rPr>
        <w:t xml:space="preserve"> </w:t>
      </w:r>
      <w:r w:rsidRPr="00D03F3E">
        <w:rPr>
          <w:rFonts w:ascii="Times New Roman" w:hAnsi="Times New Roman" w:cs="Times New Roman"/>
          <w:color w:val="000000" w:themeColor="text1"/>
        </w:rPr>
        <w:t>«отдельные самолеты имеют резко выраженную заднюю цент</w:t>
      </w:r>
      <w:r w:rsidRPr="00D03F3E">
        <w:rPr>
          <w:rFonts w:ascii="Times New Roman" w:hAnsi="Times New Roman" w:cs="Times New Roman"/>
          <w:color w:val="000000" w:themeColor="text1"/>
        </w:rPr>
        <w:softHyphen/>
        <w:t>ровку, что затрудняет при взлете подъем хвоста и весь полет производится с пол</w:t>
      </w:r>
      <w:r w:rsidRPr="00D03F3E">
        <w:rPr>
          <w:rFonts w:ascii="Times New Roman" w:hAnsi="Times New Roman" w:cs="Times New Roman"/>
          <w:color w:val="000000" w:themeColor="text1"/>
        </w:rPr>
        <w:softHyphen/>
        <w:t>ностью отданным триммером рулей глу</w:t>
      </w:r>
      <w:r w:rsidRPr="00D03F3E">
        <w:rPr>
          <w:rFonts w:ascii="Times New Roman" w:hAnsi="Times New Roman" w:cs="Times New Roman"/>
          <w:color w:val="000000" w:themeColor="text1"/>
        </w:rPr>
        <w:softHyphen/>
        <w:t>бины».</w:t>
      </w:r>
    </w:p>
    <w:p w14:paraId="5F9735D9" w14:textId="77777777" w:rsidR="00BD4344" w:rsidRPr="00D03F3E" w:rsidRDefault="00BD4344" w:rsidP="00D03F3E">
      <w:pPr>
        <w:pStyle w:val="250"/>
        <w:shd w:val="clear" w:color="auto" w:fill="auto"/>
        <w:spacing w:after="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Отмечались случаи, когда при выходе из пикирования или при энергичном ма</w:t>
      </w:r>
      <w:r w:rsidRPr="00D03F3E">
        <w:rPr>
          <w:rFonts w:ascii="Times New Roman" w:cs="Times New Roman"/>
          <w:color w:val="000000" w:themeColor="text1"/>
          <w:sz w:val="16"/>
          <w:szCs w:val="16"/>
        </w:rPr>
        <w:softHyphen/>
        <w:t>неврировании на больших углах атаки Ил-2 срывались в штопор. При этом если падение самолета происходило при вы</w:t>
      </w:r>
      <w:r w:rsidRPr="00D03F3E">
        <w:rPr>
          <w:rFonts w:ascii="Times New Roman" w:cs="Times New Roman"/>
          <w:color w:val="000000" w:themeColor="text1"/>
          <w:sz w:val="16"/>
          <w:szCs w:val="16"/>
        </w:rPr>
        <w:softHyphen/>
        <w:t>полнении атаки цели, то со стороны каза</w:t>
      </w:r>
      <w:r w:rsidRPr="00D03F3E">
        <w:rPr>
          <w:rFonts w:ascii="Times New Roman" w:cs="Times New Roman"/>
          <w:color w:val="000000" w:themeColor="text1"/>
          <w:sz w:val="16"/>
          <w:szCs w:val="16"/>
        </w:rPr>
        <w:softHyphen/>
        <w:t>лось, что самолет сбит огнем с земли. Об этом докладывали возвратившиеся с бо</w:t>
      </w:r>
      <w:r w:rsidRPr="00D03F3E">
        <w:rPr>
          <w:rFonts w:ascii="Times New Roman" w:cs="Times New Roman"/>
          <w:color w:val="000000" w:themeColor="text1"/>
          <w:sz w:val="16"/>
          <w:szCs w:val="16"/>
        </w:rPr>
        <w:softHyphen/>
        <w:t>евого задания экипажи штурмовиков. Од</w:t>
      </w:r>
      <w:r w:rsidRPr="00D03F3E">
        <w:rPr>
          <w:rFonts w:ascii="Times New Roman" w:cs="Times New Roman"/>
          <w:color w:val="000000" w:themeColor="text1"/>
          <w:sz w:val="16"/>
          <w:szCs w:val="16"/>
        </w:rPr>
        <w:softHyphen/>
        <w:t>нако сопровождающие истребители в своих донесениях не во всех случаях под</w:t>
      </w:r>
      <w:r w:rsidRPr="00D03F3E">
        <w:rPr>
          <w:rFonts w:ascii="Times New Roman" w:cs="Times New Roman"/>
          <w:color w:val="000000" w:themeColor="text1"/>
          <w:sz w:val="16"/>
          <w:szCs w:val="16"/>
        </w:rPr>
        <w:softHyphen/>
        <w:t>тверждали наличие в районе цели зенит</w:t>
      </w:r>
      <w:r w:rsidRPr="00D03F3E">
        <w:rPr>
          <w:rFonts w:ascii="Times New Roman" w:cs="Times New Roman"/>
          <w:color w:val="000000" w:themeColor="text1"/>
          <w:sz w:val="16"/>
          <w:szCs w:val="16"/>
        </w:rPr>
        <w:softHyphen/>
        <w:t>ного огня (19557).</w:t>
      </w:r>
    </w:p>
    <w:p w14:paraId="46F9BE8B" w14:textId="77777777" w:rsidR="00BD4344" w:rsidRPr="00D03F3E" w:rsidRDefault="00BD4344" w:rsidP="00D03F3E">
      <w:pPr>
        <w:spacing w:after="0" w:line="240" w:lineRule="auto"/>
        <w:jc w:val="both"/>
        <w:rPr>
          <w:rFonts w:ascii="Times New Roman" w:hAnsi="Times New Roman"/>
          <w:color w:val="000000" w:themeColor="text1"/>
          <w:sz w:val="16"/>
          <w:szCs w:val="16"/>
        </w:rPr>
      </w:pPr>
    </w:p>
    <w:p w14:paraId="6AA1C9C4" w14:textId="77777777" w:rsidR="006A21FD" w:rsidRPr="00D03F3E" w:rsidRDefault="006A21FD"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началу 1943 года завод №82 достиг полной производственной мощности и с 1943 года перешел к серийному производству самолетов ЯК-7Б с внедрением поточного метода производства. Среднесуточный выпуск составил 2 самолета в день, а со второй половины года достиг выпуска 3-х самолетов ежедневно (9460).</w:t>
      </w:r>
    </w:p>
    <w:p w14:paraId="5BC64190" w14:textId="77777777" w:rsidR="006A21FD" w:rsidRPr="00D03F3E" w:rsidRDefault="006A21FD"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0FA5DF"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515B51E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60CD9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началу 1943 г. сторожевик "Ястреб" имел готовность около 55%, вскоре на нем пришлось переделывать основания артиллерийских установок под 85-мм системы 90К (масса снаряда 9,2 кг, дальность стрельбы 85 каб., досягаемость по высоте 10,1 км при угле возвышения 85°). Такая замена бьша допущена и для всех других сторожевых кораб</w:t>
      </w:r>
      <w:r w:rsidRPr="00D03F3E">
        <w:rPr>
          <w:rFonts w:ascii="Times New Roman" w:hAnsi="Times New Roman"/>
          <w:color w:val="000000" w:themeColor="text1"/>
          <w:sz w:val="16"/>
          <w:szCs w:val="16"/>
        </w:rPr>
        <w:softHyphen/>
        <w:t>лей пр. 29К из-за отсутствия штатных 100-мм орудий (3898).</w:t>
      </w:r>
    </w:p>
    <w:p w14:paraId="17BB5A0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792E96" w14:textId="77777777" w:rsidR="00040B55" w:rsidRPr="00D03F3E" w:rsidRDefault="00040B5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08FCEFE3" w14:textId="77777777" w:rsidR="00040B55" w:rsidRPr="00D03F3E" w:rsidRDefault="00040B5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8B7E3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началу 1943 года на передовой "Томагауков" уже не было, а вот в тылу кое-где они еще летали. В системе ПВО 27 машин дожили до победы над Германией (3457,62).</w:t>
      </w:r>
    </w:p>
    <w:p w14:paraId="0475673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8E30DD" w14:textId="77777777" w:rsidR="006A21FD" w:rsidRPr="00D03F3E" w:rsidRDefault="006A21F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Только к началу 1943 г. из-за недостатка техники организовали в основном ПВО Горького, Саратова и Ярославля, а уже летом этого года им предстояло выдержать серьёзные испытания при отражении налётов на города Поволжья, пред</w:t>
      </w:r>
      <w:r w:rsidRPr="00D03F3E">
        <w:rPr>
          <w:rFonts w:ascii="Times New Roman" w:hAnsi="Times New Roman"/>
          <w:color w:val="0070C0"/>
          <w:sz w:val="16"/>
          <w:szCs w:val="16"/>
        </w:rPr>
        <w:softHyphen/>
        <w:t>принятые немецким командованием накануне Курской битвы.</w:t>
      </w:r>
    </w:p>
    <w:p w14:paraId="63F569D8" w14:textId="77777777" w:rsidR="006A21FD" w:rsidRPr="00D03F3E" w:rsidRDefault="006A21F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Горьковском корпусном районе ПВО было развёрнуто 107 постов АЗ. Первоначаль</w:t>
      </w:r>
      <w:r w:rsidRPr="00D03F3E">
        <w:rPr>
          <w:rFonts w:ascii="Times New Roman" w:hAnsi="Times New Roman"/>
          <w:color w:val="0070C0"/>
          <w:sz w:val="16"/>
          <w:szCs w:val="16"/>
        </w:rPr>
        <w:softHyphen/>
        <w:t>но в корпусной район ПВО входил прибывший из Воронежа 25-й ООАЗ (командир — лейте</w:t>
      </w:r>
      <w:r w:rsidRPr="00D03F3E">
        <w:rPr>
          <w:rFonts w:ascii="Times New Roman" w:hAnsi="Times New Roman"/>
          <w:color w:val="0070C0"/>
          <w:sz w:val="16"/>
          <w:szCs w:val="16"/>
        </w:rPr>
        <w:softHyphen/>
        <w:t>нант Е.В. Юдин), на базе которого сформирова</w:t>
      </w:r>
      <w:r w:rsidRPr="00D03F3E">
        <w:rPr>
          <w:rFonts w:ascii="Times New Roman" w:hAnsi="Times New Roman"/>
          <w:color w:val="0070C0"/>
          <w:sz w:val="16"/>
          <w:szCs w:val="16"/>
        </w:rPr>
        <w:softHyphen/>
        <w:t>ли 8-й ОДАЗ. Летом 1943 г. в связи с необходи</w:t>
      </w:r>
      <w:r w:rsidRPr="00D03F3E">
        <w:rPr>
          <w:rFonts w:ascii="Times New Roman" w:hAnsi="Times New Roman"/>
          <w:color w:val="0070C0"/>
          <w:sz w:val="16"/>
          <w:szCs w:val="16"/>
        </w:rPr>
        <w:softHyphen/>
        <w:t>мостью укрепления ПВО Горького сформирова</w:t>
      </w:r>
      <w:r w:rsidRPr="00D03F3E">
        <w:rPr>
          <w:rFonts w:ascii="Times New Roman" w:hAnsi="Times New Roman"/>
          <w:color w:val="0070C0"/>
          <w:sz w:val="16"/>
          <w:szCs w:val="16"/>
        </w:rPr>
        <w:softHyphen/>
        <w:t>ли 28-й ОДАЗ. 8-й и 28-й ОДАЗ были трёхрядного состава. Боевая подготовка проводилась в любую погоду и была максимально приближена к бое</w:t>
      </w:r>
      <w:r w:rsidRPr="00D03F3E">
        <w:rPr>
          <w:rFonts w:ascii="Times New Roman" w:hAnsi="Times New Roman"/>
          <w:color w:val="0070C0"/>
          <w:sz w:val="16"/>
          <w:szCs w:val="16"/>
        </w:rPr>
        <w:softHyphen/>
        <w:t>вой обстановке. Известны случаи гибели солдат при развёртывании аэростатных постов.</w:t>
      </w:r>
    </w:p>
    <w:p w14:paraId="58EA8252" w14:textId="77777777" w:rsidR="006A21FD" w:rsidRPr="00D03F3E" w:rsidRDefault="006A21FD" w:rsidP="00D03F3E">
      <w:pPr>
        <w:spacing w:after="0" w:line="240" w:lineRule="auto"/>
        <w:jc w:val="both"/>
        <w:rPr>
          <w:rFonts w:ascii="Times New Roman" w:hAnsi="Times New Roman"/>
          <w:color w:val="0070C0"/>
          <w:sz w:val="16"/>
          <w:szCs w:val="16"/>
        </w:rPr>
      </w:pPr>
    </w:p>
    <w:p w14:paraId="27053FB0"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F68F7D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F8AFB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январю 1943 24-му авиазаводу удалось изготовить 377 моторов АМ-38ф (6467).</w:t>
      </w:r>
    </w:p>
    <w:p w14:paraId="077A240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C4CF85" w14:textId="77777777" w:rsidR="00E56A12"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605A1D3F" w14:textId="77777777" w:rsidR="00E56A12" w:rsidRPr="00D03F3E" w:rsidRDefault="00E56A12"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20E482" w14:textId="77777777" w:rsidR="00E56A12" w:rsidRPr="00D03F3E" w:rsidRDefault="00E56A12" w:rsidP="00D03F3E">
      <w:pPr>
        <w:pStyle w:val="162"/>
        <w:shd w:val="clear" w:color="auto" w:fill="auto"/>
        <w:spacing w:line="240" w:lineRule="auto"/>
        <w:jc w:val="both"/>
        <w:rPr>
          <w:rFonts w:eastAsia="Calibri"/>
          <w:color w:val="000000" w:themeColor="text1"/>
          <w:sz w:val="16"/>
          <w:szCs w:val="16"/>
        </w:rPr>
      </w:pPr>
      <w:r w:rsidRPr="00D03F3E">
        <w:rPr>
          <w:rFonts w:eastAsia="Calibri"/>
          <w:color w:val="000000" w:themeColor="text1"/>
          <w:sz w:val="16"/>
          <w:szCs w:val="16"/>
        </w:rPr>
        <w:t>К январю 1943 года первые образцы бронесаней БП-60 были готовы в Горьком.</w:t>
      </w:r>
    </w:p>
    <w:p w14:paraId="14EB3B47" w14:textId="77777777" w:rsidR="00E56A12" w:rsidRPr="00D03F3E" w:rsidRDefault="00E56A12" w:rsidP="00D03F3E">
      <w:pPr>
        <w:pStyle w:val="162"/>
        <w:shd w:val="clear" w:color="auto" w:fill="auto"/>
        <w:spacing w:line="240" w:lineRule="auto"/>
        <w:jc w:val="both"/>
        <w:rPr>
          <w:color w:val="000000" w:themeColor="text1"/>
          <w:sz w:val="16"/>
          <w:szCs w:val="16"/>
        </w:rPr>
      </w:pPr>
      <w:r w:rsidRPr="00D03F3E">
        <w:rPr>
          <w:rFonts w:eastAsia="Calibri"/>
          <w:color w:val="000000" w:themeColor="text1"/>
          <w:sz w:val="16"/>
          <w:szCs w:val="16"/>
        </w:rPr>
        <w:t>Согласно первоначальной программе испытаний, бронесани испытывались ездой за танком (25 километров по шоссе и 25 километров по целине), кроме того, планировались тактические учения с исполь</w:t>
      </w:r>
      <w:r w:rsidRPr="00D03F3E">
        <w:rPr>
          <w:rFonts w:eastAsia="Calibri"/>
          <w:color w:val="000000" w:themeColor="text1"/>
          <w:sz w:val="16"/>
          <w:szCs w:val="16"/>
        </w:rPr>
        <w:softHyphen/>
        <w:t>зованием трех экземпляров бронесаней для определения возможности их использования как бронированных огневых точек. По факту же ис</w:t>
      </w:r>
      <w:r w:rsidRPr="00D03F3E">
        <w:rPr>
          <w:rFonts w:eastAsia="Calibri"/>
          <w:color w:val="000000" w:themeColor="text1"/>
          <w:sz w:val="16"/>
          <w:szCs w:val="16"/>
        </w:rPr>
        <w:softHyphen/>
        <w:t>пытания, проведенные 13—14 января 1943 года на полигоне НИИБТ в Кубинке, пришлось проводить по сокращенной программе. В ходе определения наименьшего радиуса разворота, дышла оказались по</w:t>
      </w:r>
      <w:r w:rsidRPr="00D03F3E">
        <w:rPr>
          <w:rFonts w:eastAsia="Calibri"/>
          <w:color w:val="000000" w:themeColor="text1"/>
          <w:sz w:val="16"/>
          <w:szCs w:val="16"/>
        </w:rPr>
        <w:softHyphen/>
        <w:t>гнуты. Удалось произвести два контрольных выезда: в первом, про</w:t>
      </w:r>
      <w:r w:rsidRPr="00D03F3E">
        <w:rPr>
          <w:rFonts w:eastAsia="Calibri"/>
          <w:color w:val="000000" w:themeColor="text1"/>
          <w:sz w:val="16"/>
          <w:szCs w:val="16"/>
        </w:rPr>
        <w:softHyphen/>
        <w:t>тяженностью 5 километров, участвовали двое бронесаней, во втором, протяженностью 3 километра — одни бронесани, в обоих случаях сани буксировались с полным десантом. Бронесани уверенно буксировались за Т-34 как в одиночку, так и парой со средней скоростью 25 км/ч по шоссе и 20 км/ч по снежной целине (толщина снежного покрова достигала 400 мм). В ходе испытаний выяснилось, что с радиусом пово</w:t>
      </w:r>
      <w:r w:rsidRPr="00D03F3E">
        <w:rPr>
          <w:rFonts w:eastAsia="Calibri"/>
          <w:color w:val="000000" w:themeColor="text1"/>
          <w:sz w:val="16"/>
          <w:szCs w:val="16"/>
        </w:rPr>
        <w:softHyphen/>
        <w:t>рота меньше 20 метров начинает гнуться дышло и начинают отрывать</w:t>
      </w:r>
      <w:r w:rsidRPr="00D03F3E">
        <w:rPr>
          <w:rFonts w:eastAsia="Calibri"/>
          <w:color w:val="000000" w:themeColor="text1"/>
          <w:sz w:val="16"/>
          <w:szCs w:val="16"/>
        </w:rPr>
        <w:softHyphen/>
        <w:t>ся буксирные крюки.</w:t>
      </w:r>
    </w:p>
    <w:p w14:paraId="1F4DC393" w14:textId="77777777" w:rsidR="00E56A12" w:rsidRPr="00D03F3E" w:rsidRDefault="00E56A12" w:rsidP="00D03F3E">
      <w:pPr>
        <w:pStyle w:val="162"/>
        <w:shd w:val="clear" w:color="auto" w:fill="auto"/>
        <w:spacing w:line="240" w:lineRule="auto"/>
        <w:jc w:val="both"/>
        <w:rPr>
          <w:rFonts w:eastAsia="Calibri"/>
          <w:color w:val="000000" w:themeColor="text1"/>
          <w:sz w:val="16"/>
          <w:szCs w:val="16"/>
        </w:rPr>
      </w:pPr>
      <w:r w:rsidRPr="00D03F3E">
        <w:rPr>
          <w:rFonts w:eastAsia="Calibri"/>
          <w:color w:val="000000" w:themeColor="text1"/>
          <w:sz w:val="16"/>
          <w:szCs w:val="16"/>
        </w:rPr>
        <w:t>Во время испытаний десант из 10 человек с личным оружием за</w:t>
      </w:r>
      <w:r w:rsidRPr="00D03F3E">
        <w:rPr>
          <w:rFonts w:eastAsia="Calibri"/>
          <w:color w:val="000000" w:themeColor="text1"/>
          <w:sz w:val="16"/>
          <w:szCs w:val="16"/>
        </w:rPr>
        <w:softHyphen/>
        <w:t>нимал бронесани за 20—25 секунд, высадка занимала 30—35 секунд. Конструкцию задних десантных люков с петлями сбоку признали не очень удобной и рекомендовали переделать. Внутри десант раз</w:t>
      </w:r>
      <w:r w:rsidRPr="00D03F3E">
        <w:rPr>
          <w:rFonts w:eastAsia="Calibri"/>
          <w:color w:val="000000" w:themeColor="text1"/>
          <w:sz w:val="16"/>
          <w:szCs w:val="16"/>
        </w:rPr>
        <w:softHyphen/>
        <w:t>мещался прямо на полу (скамьи ввиду небольшой высоты корпуса Т-60 не были предусмотрены), что вызывало немало неудобств, од</w:t>
      </w:r>
      <w:r w:rsidRPr="00D03F3E">
        <w:rPr>
          <w:rFonts w:eastAsia="Calibri"/>
          <w:color w:val="000000" w:themeColor="text1"/>
          <w:sz w:val="16"/>
          <w:szCs w:val="16"/>
        </w:rPr>
        <w:softHyphen/>
        <w:t>нако при движении излишней тряски не ощущалось. По результа</w:t>
      </w:r>
      <w:r w:rsidRPr="00D03F3E">
        <w:rPr>
          <w:rFonts w:eastAsia="Calibri"/>
          <w:color w:val="000000" w:themeColor="text1"/>
          <w:sz w:val="16"/>
          <w:szCs w:val="16"/>
        </w:rPr>
        <w:softHyphen/>
        <w:t>там испытаний стрельбу из бойниц, а также конструкцию крышек амбразур признали вполне удобной. Вместе с тем, во время движе</w:t>
      </w:r>
      <w:r w:rsidRPr="00D03F3E">
        <w:rPr>
          <w:rFonts w:eastAsia="Calibri"/>
          <w:color w:val="000000" w:themeColor="text1"/>
          <w:sz w:val="16"/>
          <w:szCs w:val="16"/>
        </w:rPr>
        <w:softHyphen/>
        <w:t>ния по снежной целине и проселочным дорогам поднималось облако снежной пыли, делавшее невозможным прицельную стрельбу десан</w:t>
      </w:r>
      <w:r w:rsidRPr="00D03F3E">
        <w:rPr>
          <w:rFonts w:eastAsia="Calibri"/>
          <w:color w:val="000000" w:themeColor="text1"/>
          <w:sz w:val="16"/>
          <w:szCs w:val="16"/>
        </w:rPr>
        <w:softHyphen/>
        <w:t>та из бойниц. Кроме того, испытания стрельбой выявили наличие мертвых зон обстрела из саней.</w:t>
      </w:r>
    </w:p>
    <w:p w14:paraId="05549B66" w14:textId="77777777" w:rsidR="00E56A12" w:rsidRPr="00D03F3E" w:rsidRDefault="00E56A12" w:rsidP="00D03F3E">
      <w:pPr>
        <w:pStyle w:val="162"/>
        <w:shd w:val="clear" w:color="auto" w:fill="auto"/>
        <w:spacing w:line="240" w:lineRule="auto"/>
        <w:jc w:val="both"/>
        <w:rPr>
          <w:color w:val="000000" w:themeColor="text1"/>
          <w:sz w:val="16"/>
          <w:szCs w:val="16"/>
        </w:rPr>
      </w:pPr>
      <w:r w:rsidRPr="00D03F3E">
        <w:rPr>
          <w:rFonts w:eastAsia="Calibri"/>
          <w:color w:val="000000" w:themeColor="text1"/>
          <w:sz w:val="16"/>
          <w:szCs w:val="16"/>
        </w:rPr>
        <w:t>Несмотря на выявленные в ходе испытаний недостатки, общее за</w:t>
      </w:r>
      <w:r w:rsidRPr="00D03F3E">
        <w:rPr>
          <w:rFonts w:eastAsia="Calibri"/>
          <w:color w:val="000000" w:themeColor="text1"/>
          <w:sz w:val="16"/>
          <w:szCs w:val="16"/>
        </w:rPr>
        <w:softHyphen/>
        <w:t>ключение по саням оказалось вполне положительным:</w:t>
      </w:r>
    </w:p>
    <w:p w14:paraId="19DA45FD"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 Представленные для испытаний бронесани могут быть использова</w:t>
      </w:r>
      <w:r w:rsidRPr="00D03F3E">
        <w:rPr>
          <w:rFonts w:ascii="Times New Roman" w:hAnsi="Times New Roman"/>
          <w:color w:val="000000" w:themeColor="text1"/>
          <w:sz w:val="16"/>
          <w:szCs w:val="16"/>
        </w:rPr>
        <w:softHyphen/>
        <w:t>ны для переброски пехотного десанта в количестве 10 человек, а также как бронированные огневые точки при стрельбе с места.</w:t>
      </w:r>
    </w:p>
    <w:p w14:paraId="65BBBBA5" w14:textId="77777777" w:rsidR="00E56A12" w:rsidRPr="00D03F3E" w:rsidRDefault="00E56A12" w:rsidP="00D03F3E">
      <w:pPr>
        <w:tabs>
          <w:tab w:val="left" w:pos="55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За танком Т-34 возможна одновременная буксировка двух броне</w:t>
      </w:r>
      <w:r w:rsidRPr="00D03F3E">
        <w:rPr>
          <w:rFonts w:ascii="Times New Roman" w:hAnsi="Times New Roman"/>
          <w:color w:val="000000" w:themeColor="text1"/>
          <w:sz w:val="16"/>
          <w:szCs w:val="16"/>
        </w:rPr>
        <w:softHyphen/>
        <w:t>саней.</w:t>
      </w:r>
    </w:p>
    <w:p w14:paraId="6E1AA6BE" w14:textId="77777777" w:rsidR="00E56A12" w:rsidRPr="00D03F3E" w:rsidRDefault="00E56A12" w:rsidP="00D03F3E">
      <w:pPr>
        <w:tabs>
          <w:tab w:val="left" w:pos="529"/>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Конструкция прицепного устройства позволяет производить отцеп</w:t>
      </w:r>
      <w:r w:rsidRPr="00D03F3E">
        <w:rPr>
          <w:rFonts w:ascii="Times New Roman" w:hAnsi="Times New Roman"/>
          <w:color w:val="000000" w:themeColor="text1"/>
          <w:sz w:val="16"/>
          <w:szCs w:val="16"/>
        </w:rPr>
        <w:softHyphen/>
        <w:t>ку бронесаней на ходу.</w:t>
      </w:r>
    </w:p>
    <w:p w14:paraId="0F7BC641" w14:textId="77777777" w:rsidR="00E56A12" w:rsidRPr="00D03F3E" w:rsidRDefault="00E56A12" w:rsidP="00D03F3E">
      <w:pPr>
        <w:tabs>
          <w:tab w:val="left" w:pos="54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Прочность прицепного дышла не обеспечивает поворота бронесаней с радиусом менее 20 метров.</w:t>
      </w:r>
    </w:p>
    <w:p w14:paraId="1A716F93" w14:textId="77777777" w:rsidR="00E56A12" w:rsidRPr="00D03F3E" w:rsidRDefault="00E56A12" w:rsidP="00D03F3E">
      <w:pPr>
        <w:tabs>
          <w:tab w:val="left" w:pos="54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Бронесани могут быть рекомендованы для принятия на вооружение Красной Армии при условии устранения недостатков, указанных в разделе „Результаты испытаний"».</w:t>
      </w:r>
    </w:p>
    <w:p w14:paraId="0CD22A94" w14:textId="77777777" w:rsidR="00E56A12" w:rsidRPr="00D03F3E" w:rsidRDefault="00E56A12" w:rsidP="00D03F3E">
      <w:pPr>
        <w:pStyle w:val="162"/>
        <w:shd w:val="clear" w:color="auto" w:fill="auto"/>
        <w:spacing w:line="240" w:lineRule="auto"/>
        <w:jc w:val="both"/>
        <w:rPr>
          <w:color w:val="000000" w:themeColor="text1"/>
          <w:sz w:val="16"/>
          <w:szCs w:val="16"/>
        </w:rPr>
      </w:pPr>
      <w:r w:rsidRPr="00D03F3E">
        <w:rPr>
          <w:rFonts w:eastAsia="Calibri"/>
          <w:color w:val="000000" w:themeColor="text1"/>
          <w:sz w:val="16"/>
          <w:szCs w:val="16"/>
        </w:rPr>
        <w:t>Таким образом, наконец серийному производству бронесаней был дан зеленый свет. Производство саней из корпусов Т-60 началось на ГАЗ в конце января 1943 года, в январе же начался выпуск саней и в Са</w:t>
      </w:r>
      <w:r w:rsidRPr="00D03F3E">
        <w:rPr>
          <w:rFonts w:eastAsia="Calibri"/>
          <w:color w:val="000000" w:themeColor="text1"/>
          <w:sz w:val="16"/>
          <w:szCs w:val="16"/>
        </w:rPr>
        <w:softHyphen/>
        <w:t>ратове. Помимо бронесаней на базе Т-60, завод № 180 также выпустил партию из 18 саней с использованием корпусов танка Т-50. К слову, в войсках бронированные сани на базе Т-60 применили еще до по</w:t>
      </w:r>
      <w:r w:rsidRPr="00D03F3E">
        <w:rPr>
          <w:rFonts w:eastAsia="Calibri"/>
          <w:color w:val="000000" w:themeColor="text1"/>
          <w:sz w:val="16"/>
          <w:szCs w:val="16"/>
        </w:rPr>
        <w:softHyphen/>
        <w:t>явления серийных образцов. Согласно переписке по ГАБТУ, в частях 65-й армии осенью-зимой 1942 года успешно использовались корпуса Т-60 (речь идет, скорее всего, о заделе завода № 264), установленные на полозья и цепляемые за танки.</w:t>
      </w:r>
    </w:p>
    <w:p w14:paraId="75B830E0" w14:textId="77777777" w:rsidR="00E56A12" w:rsidRPr="00D03F3E" w:rsidRDefault="00E56A12" w:rsidP="00D03F3E">
      <w:pPr>
        <w:pStyle w:val="162"/>
        <w:shd w:val="clear" w:color="auto" w:fill="auto"/>
        <w:spacing w:line="240" w:lineRule="auto"/>
        <w:jc w:val="both"/>
        <w:rPr>
          <w:color w:val="000000" w:themeColor="text1"/>
          <w:sz w:val="16"/>
          <w:szCs w:val="16"/>
        </w:rPr>
      </w:pPr>
      <w:r w:rsidRPr="00D03F3E">
        <w:rPr>
          <w:rFonts w:eastAsia="Calibri"/>
          <w:color w:val="000000" w:themeColor="text1"/>
          <w:sz w:val="16"/>
          <w:szCs w:val="16"/>
        </w:rPr>
        <w:t>По состоянию на 3 марта 1943 года ГАЗ им. Молотова изготовил 250 бронесаней, из которых 35 отравили в 1-ю Танковую Армию, 75 на Западный фронт и 41 на Северо-Западный фронт. Кроме того, завод № 180 выпустил 24 единицы бронесаней, отправленных на Ка</w:t>
      </w:r>
      <w:r w:rsidRPr="00D03F3E">
        <w:rPr>
          <w:rFonts w:eastAsia="Calibri"/>
          <w:color w:val="000000" w:themeColor="text1"/>
          <w:sz w:val="16"/>
          <w:szCs w:val="16"/>
        </w:rPr>
        <w:softHyphen/>
        <w:t>лининский фронт. По состоянию на 21 декабря 1943 года на складах находилось 120 десантных саней, которые планировалось передать в войска: 60 на 2-й Прибалтийский фронт, 30 на 1-й Прибалтийский фронт и 30 на Белорусский фронт. Точное число выпущенных саней БП-60 неизвестно, но суммарный выпуск на ГАЗ им. Молотова и заво</w:t>
      </w:r>
      <w:r w:rsidRPr="00D03F3E">
        <w:rPr>
          <w:rFonts w:eastAsia="Calibri"/>
          <w:color w:val="000000" w:themeColor="text1"/>
          <w:sz w:val="16"/>
          <w:szCs w:val="16"/>
        </w:rPr>
        <w:softHyphen/>
        <w:t>де № 180 оценивается в районе 300 штук (17485).</w:t>
      </w:r>
    </w:p>
    <w:p w14:paraId="3637FBA9" w14:textId="77777777" w:rsidR="00E56A12" w:rsidRPr="00D03F3E" w:rsidRDefault="00E56A12" w:rsidP="00D03F3E">
      <w:pPr>
        <w:pStyle w:val="a3"/>
        <w:rPr>
          <w:color w:val="000000" w:themeColor="text1"/>
          <w:lang w:val="ru-RU"/>
        </w:rPr>
      </w:pPr>
    </w:p>
    <w:p w14:paraId="1CBE46A8" w14:textId="77777777" w:rsidR="00113EE2"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4AA960B7" w14:textId="77777777" w:rsidR="00113EE2" w:rsidRPr="00D03F3E" w:rsidRDefault="00113EE2"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F02378" w14:textId="77777777" w:rsidR="00113EE2" w:rsidRPr="00D03F3E" w:rsidRDefault="00113E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январю 1943 г. восемь</w:t>
      </w:r>
      <w:r w:rsidRPr="00D03F3E">
        <w:rPr>
          <w:rFonts w:ascii="Times New Roman" w:hAnsi="Times New Roman"/>
          <w:color w:val="000000" w:themeColor="text1"/>
          <w:sz w:val="16"/>
          <w:szCs w:val="16"/>
        </w:rPr>
        <w:softHyphen/>
        <w:t>десят седьмые «юнкерсы» из классических пикировщиков превратились в штурмо</w:t>
      </w:r>
      <w:r w:rsidRPr="00D03F3E">
        <w:rPr>
          <w:rFonts w:ascii="Times New Roman" w:hAnsi="Times New Roman"/>
          <w:color w:val="000000" w:themeColor="text1"/>
          <w:sz w:val="16"/>
          <w:szCs w:val="16"/>
        </w:rPr>
        <w:softHyphen/>
        <w:t>вики, которые не самым лучшим образом соответствовали требованиям к самолету- штурмовику (12728).</w:t>
      </w:r>
    </w:p>
    <w:p w14:paraId="3D8DAE60" w14:textId="77777777" w:rsidR="00113EE2" w:rsidRPr="00D03F3E" w:rsidRDefault="00113EE2" w:rsidP="00D03F3E">
      <w:pPr>
        <w:spacing w:after="0" w:line="240" w:lineRule="auto"/>
        <w:jc w:val="both"/>
        <w:rPr>
          <w:rFonts w:ascii="Times New Roman" w:hAnsi="Times New Roman"/>
          <w:color w:val="000000" w:themeColor="text1"/>
          <w:sz w:val="16"/>
          <w:szCs w:val="16"/>
        </w:rPr>
      </w:pPr>
    </w:p>
    <w:p w14:paraId="7F677568"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3F10237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2E9DC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января 1943 на заводе 19 в Молотове (Перми), где находилось ОКБ П.О.С. были на треть готовы два прототипа бронированного штурмовика Су-8 с двумя М-71 (1062,7).</w:t>
      </w:r>
    </w:p>
    <w:p w14:paraId="3C6778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7BB42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Постановлением ГКО с 1 января по май 1943 НКАП должен был поставить 32 истребителя ПВО, а затем ежемесячно поставлять ПВО каждую 10 машину Як-9 (65,141).</w:t>
      </w:r>
    </w:p>
    <w:p w14:paraId="6CBB957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61A06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 января 1943 года облегченный Ла-5 оснастили мо</w:t>
      </w:r>
      <w:r w:rsidRPr="00D03F3E">
        <w:rPr>
          <w:rFonts w:ascii="Times New Roman" w:hAnsi="Times New Roman"/>
          <w:color w:val="000000" w:themeColor="text1"/>
          <w:sz w:val="16"/>
          <w:szCs w:val="16"/>
        </w:rPr>
        <w:softHyphen/>
        <w:t>тором М-82ФНВ, но из-за нарушения технологии расконсервации мотора при первом запуске случился гидроудар. Новый мотор поступил только 31 января. В первой декаде февраля начались было летные испытания, но дело не залади</w:t>
      </w:r>
      <w:r w:rsidRPr="00D03F3E">
        <w:rPr>
          <w:rFonts w:ascii="Times New Roman" w:hAnsi="Times New Roman"/>
          <w:color w:val="000000" w:themeColor="text1"/>
          <w:sz w:val="16"/>
          <w:szCs w:val="16"/>
        </w:rPr>
        <w:softHyphen/>
        <w:t>лось: то плохо работал НБ-ЗУ, то — за</w:t>
      </w:r>
      <w:r w:rsidRPr="00D03F3E">
        <w:rPr>
          <w:rFonts w:ascii="Times New Roman" w:hAnsi="Times New Roman"/>
          <w:color w:val="000000" w:themeColor="text1"/>
          <w:sz w:val="16"/>
          <w:szCs w:val="16"/>
        </w:rPr>
        <w:softHyphen/>
        <w:t>жигание. А в конце месяца снова произошел гидроудар. Одновременно строился и второй Ла-5 с М-82ФНВ - «Дублер». Конст</w:t>
      </w:r>
      <w:r w:rsidRPr="00D03F3E">
        <w:rPr>
          <w:rFonts w:ascii="Times New Roman" w:hAnsi="Times New Roman"/>
          <w:color w:val="000000" w:themeColor="text1"/>
          <w:sz w:val="16"/>
          <w:szCs w:val="16"/>
        </w:rPr>
        <w:softHyphen/>
        <w:t>руктивно он отличался от первого: на нем стояли металлические лонжеро</w:t>
      </w:r>
      <w:r w:rsidRPr="00D03F3E">
        <w:rPr>
          <w:rFonts w:ascii="Times New Roman" w:hAnsi="Times New Roman"/>
          <w:color w:val="000000" w:themeColor="text1"/>
          <w:sz w:val="16"/>
          <w:szCs w:val="16"/>
        </w:rPr>
        <w:softHyphen/>
        <w:t>ны крыла вместо деревянных, что об</w:t>
      </w:r>
      <w:r w:rsidRPr="00D03F3E">
        <w:rPr>
          <w:rFonts w:ascii="Times New Roman" w:hAnsi="Times New Roman"/>
          <w:color w:val="000000" w:themeColor="text1"/>
          <w:sz w:val="16"/>
          <w:szCs w:val="16"/>
        </w:rPr>
        <w:softHyphen/>
        <w:t>легчило машину, новый улучшенный по рекомендации ЦАГИ всасывающий патрубок, а вместо серийного выхлоп</w:t>
      </w:r>
      <w:r w:rsidRPr="00D03F3E">
        <w:rPr>
          <w:rFonts w:ascii="Times New Roman" w:hAnsi="Times New Roman"/>
          <w:color w:val="000000" w:themeColor="text1"/>
          <w:sz w:val="16"/>
          <w:szCs w:val="16"/>
        </w:rPr>
        <w:softHyphen/>
        <w:t>ного коллектора - сдвоенные и стро</w:t>
      </w:r>
      <w:r w:rsidRPr="00D03F3E">
        <w:rPr>
          <w:rFonts w:ascii="Times New Roman" w:hAnsi="Times New Roman"/>
          <w:color w:val="000000" w:themeColor="text1"/>
          <w:sz w:val="16"/>
          <w:szCs w:val="16"/>
        </w:rPr>
        <w:softHyphen/>
        <w:t>енные индивидуальные выхлопные пат</w:t>
      </w:r>
      <w:r w:rsidRPr="00D03F3E">
        <w:rPr>
          <w:rFonts w:ascii="Times New Roman" w:hAnsi="Times New Roman"/>
          <w:color w:val="000000" w:themeColor="text1"/>
          <w:sz w:val="16"/>
          <w:szCs w:val="16"/>
        </w:rPr>
        <w:softHyphen/>
        <w:t>рубки, которые снизили потери ско</w:t>
      </w:r>
      <w:r w:rsidRPr="00D03F3E">
        <w:rPr>
          <w:rFonts w:ascii="Times New Roman" w:hAnsi="Times New Roman"/>
          <w:color w:val="000000" w:themeColor="text1"/>
          <w:sz w:val="16"/>
          <w:szCs w:val="16"/>
        </w:rPr>
        <w:softHyphen/>
        <w:t>ростного напора на всасывании и противодавление на выхлопе. После</w:t>
      </w:r>
      <w:r w:rsidRPr="00D03F3E">
        <w:rPr>
          <w:rFonts w:ascii="Times New Roman" w:hAnsi="Times New Roman"/>
          <w:color w:val="000000" w:themeColor="text1"/>
          <w:sz w:val="16"/>
          <w:szCs w:val="16"/>
        </w:rPr>
        <w:softHyphen/>
        <w:t>днее мероприятие было откликом на исследования падения мощности ВМГ, проведенные заводом №19 в октяб</w:t>
      </w:r>
      <w:r w:rsidRPr="00D03F3E">
        <w:rPr>
          <w:rFonts w:ascii="Times New Roman" w:hAnsi="Times New Roman"/>
          <w:color w:val="000000" w:themeColor="text1"/>
          <w:sz w:val="16"/>
          <w:szCs w:val="16"/>
        </w:rPr>
        <w:softHyphen/>
        <w:t>ре-декабре 1942 года. В них было констатировано, что серийный выхлоп</w:t>
      </w:r>
      <w:r w:rsidRPr="00D03F3E">
        <w:rPr>
          <w:rFonts w:ascii="Times New Roman" w:hAnsi="Times New Roman"/>
          <w:color w:val="000000" w:themeColor="text1"/>
          <w:sz w:val="16"/>
          <w:szCs w:val="16"/>
        </w:rPr>
        <w:softHyphen/>
        <w:t>ной коллектор Ла-5 «съедает» 1,5-3%, а на режиме взлета — до 5% мощ</w:t>
      </w:r>
      <w:r w:rsidRPr="00D03F3E">
        <w:rPr>
          <w:rFonts w:ascii="Times New Roman" w:hAnsi="Times New Roman"/>
          <w:color w:val="000000" w:themeColor="text1"/>
          <w:sz w:val="16"/>
          <w:szCs w:val="16"/>
        </w:rPr>
        <w:softHyphen/>
        <w:t>ности. «Дублер» быстро догнал по готовности 1-й экземпляр, а потом и обо</w:t>
      </w:r>
      <w:r w:rsidRPr="00D03F3E">
        <w:rPr>
          <w:rFonts w:ascii="Times New Roman" w:hAnsi="Times New Roman"/>
          <w:color w:val="000000" w:themeColor="text1"/>
          <w:sz w:val="16"/>
          <w:szCs w:val="16"/>
        </w:rPr>
        <w:softHyphen/>
        <w:t>гнал его. 22-24 марта 1943 года лет</w:t>
      </w:r>
      <w:r w:rsidRPr="00D03F3E">
        <w:rPr>
          <w:rFonts w:ascii="Times New Roman" w:hAnsi="Times New Roman"/>
          <w:color w:val="000000" w:themeColor="text1"/>
          <w:sz w:val="16"/>
          <w:szCs w:val="16"/>
        </w:rPr>
        <w:softHyphen/>
        <w:t>чик-испытатель майор Г.А. Мищенко провел краткие заводские испытания «Дублера». Результат был тот, кото</w:t>
      </w:r>
      <w:r w:rsidRPr="00D03F3E">
        <w:rPr>
          <w:rFonts w:ascii="Times New Roman" w:hAnsi="Times New Roman"/>
          <w:color w:val="000000" w:themeColor="text1"/>
          <w:sz w:val="16"/>
          <w:szCs w:val="16"/>
        </w:rPr>
        <w:softHyphen/>
        <w:t>рого все ждали: максимальная ско</w:t>
      </w:r>
      <w:r w:rsidRPr="00D03F3E">
        <w:rPr>
          <w:rFonts w:ascii="Times New Roman" w:hAnsi="Times New Roman"/>
          <w:color w:val="000000" w:themeColor="text1"/>
          <w:sz w:val="16"/>
          <w:szCs w:val="16"/>
        </w:rPr>
        <w:softHyphen/>
        <w:t>рость у земли на номинале - 563, на форсаже - 598 км/ч, на 2-й границе высотности 6000 м - 650 км/ч. Сроч</w:t>
      </w:r>
      <w:r w:rsidRPr="00D03F3E">
        <w:rPr>
          <w:rFonts w:ascii="Times New Roman" w:hAnsi="Times New Roman"/>
          <w:color w:val="000000" w:themeColor="text1"/>
          <w:sz w:val="16"/>
          <w:szCs w:val="16"/>
        </w:rPr>
        <w:softHyphen/>
        <w:t>но в Горький был командирован от НИИ ВВС летчик-испытатель-инженер А.И. Никашин, который с 3 по 20 ап</w:t>
      </w:r>
      <w:r w:rsidRPr="00D03F3E">
        <w:rPr>
          <w:rFonts w:ascii="Times New Roman" w:hAnsi="Times New Roman"/>
          <w:color w:val="000000" w:themeColor="text1"/>
          <w:sz w:val="16"/>
          <w:szCs w:val="16"/>
        </w:rPr>
        <w:softHyphen/>
        <w:t>реля провел контрольные испытания и подтвердил полученные ранее циф</w:t>
      </w:r>
      <w:r w:rsidRPr="00D03F3E">
        <w:rPr>
          <w:rFonts w:ascii="Times New Roman" w:hAnsi="Times New Roman"/>
          <w:color w:val="000000" w:themeColor="text1"/>
          <w:sz w:val="16"/>
          <w:szCs w:val="16"/>
        </w:rPr>
        <w:softHyphen/>
        <w:t>ры: максимальная скорость у земли на номинале - 562 и на форсаже -595 км/ч, на 2-й границе высотности 6300 м - 648 км/ч, время набора 5000 м - 4,7 мин. Эти данные позволили А.И. Шахурину отказаться и от производства И-185, и от производства М-71, тем более что 5 апреля 1943 года другой опытный И-185 с М-71 потерпел ка</w:t>
      </w:r>
      <w:r w:rsidRPr="00D03F3E">
        <w:rPr>
          <w:rFonts w:ascii="Times New Roman" w:hAnsi="Times New Roman"/>
          <w:color w:val="000000" w:themeColor="text1"/>
          <w:sz w:val="16"/>
          <w:szCs w:val="16"/>
        </w:rPr>
        <w:softHyphen/>
        <w:t>тастрофу из-за отказа мотора при посадке - засорился жиклер карбю</w:t>
      </w:r>
      <w:r w:rsidRPr="00D03F3E">
        <w:rPr>
          <w:rFonts w:ascii="Times New Roman" w:hAnsi="Times New Roman"/>
          <w:color w:val="000000" w:themeColor="text1"/>
          <w:sz w:val="16"/>
          <w:szCs w:val="16"/>
        </w:rPr>
        <w:softHyphen/>
        <w:t>ратора (погиб летчик-испытатель В.А. Степанченок). И хотя в 1943 году те</w:t>
      </w:r>
      <w:r w:rsidRPr="00D03F3E">
        <w:rPr>
          <w:rFonts w:ascii="Times New Roman" w:hAnsi="Times New Roman"/>
          <w:color w:val="000000" w:themeColor="text1"/>
          <w:sz w:val="16"/>
          <w:szCs w:val="16"/>
        </w:rPr>
        <w:softHyphen/>
        <w:t>перь уже ОКБ Лавочкина построило модификацию Ла-5 с форсированным М-71Ф, работы по этой машине про</w:t>
      </w:r>
      <w:r w:rsidRPr="00D03F3E">
        <w:rPr>
          <w:rFonts w:ascii="Times New Roman" w:hAnsi="Times New Roman"/>
          <w:color w:val="000000" w:themeColor="text1"/>
          <w:sz w:val="16"/>
          <w:szCs w:val="16"/>
        </w:rPr>
        <w:softHyphen/>
        <w:t>ходили неспешно и в 1944 году пре</w:t>
      </w:r>
      <w:r w:rsidRPr="00D03F3E">
        <w:rPr>
          <w:rFonts w:ascii="Times New Roman" w:hAnsi="Times New Roman"/>
          <w:color w:val="000000" w:themeColor="text1"/>
          <w:sz w:val="16"/>
          <w:szCs w:val="16"/>
        </w:rPr>
        <w:softHyphen/>
        <w:t>кратились вовсе (10705).</w:t>
      </w:r>
    </w:p>
    <w:p w14:paraId="0353E68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C0027E" w14:textId="77777777" w:rsidR="007431CC" w:rsidRPr="00D03F3E" w:rsidRDefault="007431CC"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 1 января 1943 г. облегченный Ла-5 оснастили мотором М-82ФНВ, но из-за наруше</w:t>
      </w:r>
      <w:r w:rsidRPr="00D03F3E">
        <w:rPr>
          <w:rFonts w:ascii="Times New Roman" w:cs="Times New Roman"/>
          <w:color w:val="000000" w:themeColor="text1"/>
          <w:spacing w:val="0"/>
        </w:rPr>
        <w:softHyphen/>
        <w:t>ния технологии расконсервации мотора при первом запуске случился гидроудар. Новый мотор поступил только 31 января. В первой декаде февраля начались было лётные ис</w:t>
      </w:r>
      <w:r w:rsidRPr="00D03F3E">
        <w:rPr>
          <w:rFonts w:ascii="Times New Roman" w:cs="Times New Roman"/>
          <w:color w:val="000000" w:themeColor="text1"/>
          <w:spacing w:val="0"/>
        </w:rPr>
        <w:softHyphen/>
        <w:t>пытания, но дело не заладилось: то плохо работал НБ-ЗУ, то — зажигание. А в конце месяца снова произошел гидроудар (15813).</w:t>
      </w:r>
    </w:p>
    <w:p w14:paraId="152C64C2" w14:textId="77777777" w:rsidR="007431CC" w:rsidRPr="00D03F3E" w:rsidRDefault="007431CC" w:rsidP="00D03F3E">
      <w:pPr>
        <w:pStyle w:val="27"/>
        <w:shd w:val="clear" w:color="auto" w:fill="auto"/>
        <w:spacing w:after="0" w:line="240" w:lineRule="auto"/>
        <w:ind w:firstLine="0"/>
        <w:rPr>
          <w:rFonts w:ascii="Times New Roman" w:cs="Times New Roman"/>
          <w:color w:val="000000" w:themeColor="text1"/>
          <w:spacing w:val="0"/>
        </w:rPr>
      </w:pPr>
    </w:p>
    <w:p w14:paraId="63222DC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 января 1943 года было вы</w:t>
      </w:r>
      <w:r w:rsidRPr="00D03F3E">
        <w:rPr>
          <w:rFonts w:ascii="Times New Roman" w:hAnsi="Times New Roman"/>
          <w:color w:val="000000" w:themeColor="text1"/>
          <w:sz w:val="16"/>
          <w:szCs w:val="16"/>
        </w:rPr>
        <w:softHyphen/>
        <w:t>пущено всего 30 штук карбюраторов ВК-82. Но в серию на заводе №19 этот карбю</w:t>
      </w:r>
      <w:r w:rsidRPr="00D03F3E">
        <w:rPr>
          <w:rFonts w:ascii="Times New Roman" w:hAnsi="Times New Roman"/>
          <w:color w:val="000000" w:themeColor="text1"/>
          <w:sz w:val="16"/>
          <w:szCs w:val="16"/>
        </w:rPr>
        <w:softHyphen/>
        <w:t>ратор так и не пошел. Одновременно продолжалась до</w:t>
      </w:r>
      <w:r w:rsidRPr="00D03F3E">
        <w:rPr>
          <w:rFonts w:ascii="Times New Roman" w:hAnsi="Times New Roman"/>
          <w:color w:val="000000" w:themeColor="text1"/>
          <w:sz w:val="16"/>
          <w:szCs w:val="16"/>
        </w:rPr>
        <w:softHyphen/>
        <w:t>водка штатного карбюратора АК-82БП. В июне 1942 года завод №33 выпустил АК-82БП серии А-3. Основ</w:t>
      </w:r>
      <w:r w:rsidRPr="00D03F3E">
        <w:rPr>
          <w:rFonts w:ascii="Times New Roman" w:hAnsi="Times New Roman"/>
          <w:color w:val="000000" w:themeColor="text1"/>
          <w:sz w:val="16"/>
          <w:szCs w:val="16"/>
        </w:rPr>
        <w:softHyphen/>
        <w:t>ное отличие этой серии от 2-й со</w:t>
      </w:r>
      <w:r w:rsidRPr="00D03F3E">
        <w:rPr>
          <w:rFonts w:ascii="Times New Roman" w:hAnsi="Times New Roman"/>
          <w:color w:val="000000" w:themeColor="text1"/>
          <w:sz w:val="16"/>
          <w:szCs w:val="16"/>
        </w:rPr>
        <w:softHyphen/>
        <w:t>стояло в том, что все резиновые плос</w:t>
      </w:r>
      <w:r w:rsidRPr="00D03F3E">
        <w:rPr>
          <w:rFonts w:ascii="Times New Roman" w:hAnsi="Times New Roman"/>
          <w:color w:val="000000" w:themeColor="text1"/>
          <w:sz w:val="16"/>
          <w:szCs w:val="16"/>
        </w:rPr>
        <w:softHyphen/>
        <w:t>кие мембраны главной дозирующей системы и клапана экономайзера были заменены мембранами с гоф</w:t>
      </w:r>
      <w:r w:rsidRPr="00D03F3E">
        <w:rPr>
          <w:rFonts w:ascii="Times New Roman" w:hAnsi="Times New Roman"/>
          <w:color w:val="000000" w:themeColor="text1"/>
          <w:sz w:val="16"/>
          <w:szCs w:val="16"/>
        </w:rPr>
        <w:softHyphen/>
        <w:t>ром, а также введены изменения по диаметрам жиклеров и т.д. В июле вышла серия А-4, отличающаяся по</w:t>
      </w:r>
      <w:r w:rsidRPr="00D03F3E">
        <w:rPr>
          <w:rFonts w:ascii="Times New Roman" w:hAnsi="Times New Roman"/>
          <w:color w:val="000000" w:themeColor="text1"/>
          <w:sz w:val="16"/>
          <w:szCs w:val="16"/>
        </w:rPr>
        <w:softHyphen/>
        <w:t>вышением твердости ролика дозиру</w:t>
      </w:r>
      <w:r w:rsidRPr="00D03F3E">
        <w:rPr>
          <w:rFonts w:ascii="Times New Roman" w:hAnsi="Times New Roman"/>
          <w:color w:val="000000" w:themeColor="text1"/>
          <w:sz w:val="16"/>
          <w:szCs w:val="16"/>
        </w:rPr>
        <w:softHyphen/>
        <w:t>ющей иглы для снижения его выра</w:t>
      </w:r>
      <w:r w:rsidRPr="00D03F3E">
        <w:rPr>
          <w:rFonts w:ascii="Times New Roman" w:hAnsi="Times New Roman"/>
          <w:color w:val="000000" w:themeColor="text1"/>
          <w:sz w:val="16"/>
          <w:szCs w:val="16"/>
        </w:rPr>
        <w:softHyphen/>
        <w:t>ботки. Затем появилась 5-я серия с измененным профилем и полировкой дозирующей иглы, снова плоскими мембранами, но с укорочением их хода, введением жиклера экономайзера для улучшения высотной характерис</w:t>
      </w:r>
      <w:r w:rsidRPr="00D03F3E">
        <w:rPr>
          <w:rFonts w:ascii="Times New Roman" w:hAnsi="Times New Roman"/>
          <w:color w:val="000000" w:themeColor="text1"/>
          <w:sz w:val="16"/>
          <w:szCs w:val="16"/>
        </w:rPr>
        <w:softHyphen/>
        <w:t>тики и др. К весне 1943 года вышла серия А-6, на которой вместо жикле</w:t>
      </w:r>
      <w:r w:rsidRPr="00D03F3E">
        <w:rPr>
          <w:rFonts w:ascii="Times New Roman" w:hAnsi="Times New Roman"/>
          <w:color w:val="000000" w:themeColor="text1"/>
          <w:sz w:val="16"/>
          <w:szCs w:val="16"/>
        </w:rPr>
        <w:softHyphen/>
        <w:t>ра экономайзера была введена ре</w:t>
      </w:r>
      <w:r w:rsidRPr="00D03F3E">
        <w:rPr>
          <w:rFonts w:ascii="Times New Roman" w:hAnsi="Times New Roman"/>
          <w:color w:val="000000" w:themeColor="text1"/>
          <w:sz w:val="16"/>
          <w:szCs w:val="16"/>
        </w:rPr>
        <w:softHyphen/>
        <w:t>гулировочная игла в ниппеле трубки экономайзера и т.д. Даже краткое перечисление этих изменений наводит на мысль, что до</w:t>
      </w:r>
      <w:r w:rsidRPr="00D03F3E">
        <w:rPr>
          <w:rFonts w:ascii="Times New Roman" w:hAnsi="Times New Roman"/>
          <w:color w:val="000000" w:themeColor="text1"/>
          <w:sz w:val="16"/>
          <w:szCs w:val="16"/>
        </w:rPr>
        <w:softHyphen/>
        <w:t>водка карбюратора проходила в ос</w:t>
      </w:r>
      <w:r w:rsidRPr="00D03F3E">
        <w:rPr>
          <w:rFonts w:ascii="Times New Roman" w:hAnsi="Times New Roman"/>
          <w:color w:val="000000" w:themeColor="text1"/>
          <w:sz w:val="16"/>
          <w:szCs w:val="16"/>
        </w:rPr>
        <w:softHyphen/>
        <w:t>новном все тем же методом проб и ошибок. Никаких существенных ре</w:t>
      </w:r>
      <w:r w:rsidRPr="00D03F3E">
        <w:rPr>
          <w:rFonts w:ascii="Times New Roman" w:hAnsi="Times New Roman"/>
          <w:color w:val="000000" w:themeColor="text1"/>
          <w:sz w:val="16"/>
          <w:szCs w:val="16"/>
        </w:rPr>
        <w:softHyphen/>
        <w:t>зультатов по улучшению работы АК-82БП получено не было (10705).</w:t>
      </w:r>
    </w:p>
    <w:p w14:paraId="3144350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B3AE7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 января 1943 года заводом начала выпускаться новая модификация двигателя – АШ-82Ф, а затем – АШ-82ФН. (9364).</w:t>
      </w:r>
    </w:p>
    <w:p w14:paraId="2839631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9B9BA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состоянию на 1 января 1943 г. на заводе № 45 трудились 15 226 человек, в том числе 10 928 рабочих (11159).</w:t>
      </w:r>
    </w:p>
    <w:p w14:paraId="38B06E1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7CBA0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 по 16 января 1943 в НИИ ВВС испытывался Bf 109G-2 N 13903 белая 13 с 20 мм пушками MG-151 под крыльями, который был захвачен 8 декабря 1942 (2466,115).</w:t>
      </w:r>
    </w:p>
    <w:p w14:paraId="42F89B0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60D74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состоянию на 1 января 1943 г. проектные работы были выполнены по первому варианту Ер-2 с АМ-39 на 89%, а по второму с М-30Ф - на 31%. В производство запустили некоторые узлы силовой установки, но до постройки опытного самолета с моторами AM-39 дело так и не дошло. Вероятно, в тот период времени перспективы "дизельного" Ер-2 расценивались как более предпочтительные, а новый микулинский супер-мотор имел весьма отдаленное и неясное будущее... (3322,33).</w:t>
      </w:r>
    </w:p>
    <w:p w14:paraId="5C308AC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49AE8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января 1943 Ер-2 2М-30Б на заводах 134 и 500 не летал из-за отсутствия летной погоды (1458,2).</w:t>
      </w:r>
    </w:p>
    <w:p w14:paraId="1EB9DCB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F670D3" w14:textId="77777777" w:rsidR="006A21FD" w:rsidRPr="00D03F3E" w:rsidRDefault="006A21FD"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 1 января 1943 года первый вариант проекта Ер-2 под моторы АМ-39 взлетной мощностью по 1800 л.с. и границей высотности 7000 м был готов на 89%, а второй, увеличенный — на 31%.</w:t>
      </w:r>
    </w:p>
    <w:p w14:paraId="17534CFC" w14:textId="77777777" w:rsidR="006A21FD" w:rsidRPr="00D03F3E" w:rsidRDefault="006A21FD"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Самолет был полностью перепроектирован: в центроплане значительно увеличенного под четырехметровые винты размаха и в средней части фюзеляжа дюраль заменили древесиной, а в увеличенном отсеке обеспечили подвеску четырех 500-кг бомб, восьми 250-кг или двадцати ФАБ-100, одновременно под фюзеляж можно было подвесить две ФАБ-1000 и одну ФАБ-2000. Оборону обеспечивали пулеметы УБ-12,7 в носовой и хвостовой установках и спарки УБ в верхней и нижней турелях. Но в серию АМ-39 не пошел (22871).</w:t>
      </w:r>
    </w:p>
    <w:p w14:paraId="71BD1C76" w14:textId="77777777" w:rsidR="006A21FD" w:rsidRPr="00D03F3E" w:rsidRDefault="006A21FD" w:rsidP="00D03F3E">
      <w:pPr>
        <w:shd w:val="clear" w:color="auto" w:fill="FFFFFF"/>
        <w:spacing w:after="0" w:line="240" w:lineRule="auto"/>
        <w:jc w:val="both"/>
        <w:rPr>
          <w:rFonts w:ascii="Times New Roman" w:hAnsi="Times New Roman"/>
          <w:color w:val="0070C0"/>
          <w:sz w:val="16"/>
          <w:szCs w:val="16"/>
        </w:rPr>
      </w:pPr>
    </w:p>
    <w:p w14:paraId="5B54561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января 1943 закончились войсковые испытаний, а вернее боевое применение 29 Ту-2 М-82 в 132 ОБАП, который воевал на Калининском фронте и наносил удары в районах Смоленска, Витебска, Великих Лук и т.д. с 29 октября 1942 (1835,22).</w:t>
      </w:r>
    </w:p>
    <w:p w14:paraId="4D78218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ABEC9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 января 1943 года финансирование работ было прекращено и ОКБ О.К.А. было вновь расформировано (9403).</w:t>
      </w:r>
    </w:p>
    <w:p w14:paraId="22A0834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D8D82B" w14:textId="77777777" w:rsidR="008C5F3D" w:rsidRPr="00D03F3E" w:rsidRDefault="008C5F3D" w:rsidP="00D03F3E">
      <w:pPr>
        <w:pStyle w:val="a8"/>
        <w:jc w:val="both"/>
        <w:rPr>
          <w:rFonts w:ascii="Times New Roman" w:hAnsi="Times New Roman" w:cs="Times New Roman"/>
          <w:color w:val="000000" w:themeColor="text1"/>
        </w:rPr>
      </w:pPr>
      <w:r w:rsidRPr="00D03F3E">
        <w:rPr>
          <w:rFonts w:ascii="Times New Roman" w:hAnsi="Times New Roman" w:cs="Times New Roman"/>
          <w:color w:val="000000" w:themeColor="text1"/>
        </w:rPr>
        <w:t>На 1 января 1943 г. в ГВФ насчитывалось в общей сложности 26 Я-6. Все это были самолеты, выпущенные заводом №23 в 1936- 1937 гг. (19099).</w:t>
      </w:r>
    </w:p>
    <w:p w14:paraId="53E9A4E3" w14:textId="77777777" w:rsidR="008C5F3D" w:rsidRPr="00D03F3E" w:rsidRDefault="008C5F3D" w:rsidP="00D03F3E">
      <w:pPr>
        <w:pStyle w:val="a8"/>
        <w:jc w:val="both"/>
        <w:rPr>
          <w:rFonts w:ascii="Times New Roman" w:hAnsi="Times New Roman" w:cs="Times New Roman"/>
          <w:color w:val="000000" w:themeColor="text1"/>
        </w:rPr>
      </w:pPr>
    </w:p>
    <w:p w14:paraId="45678C4E" w14:textId="77777777" w:rsidR="008C5F3D" w:rsidRPr="00D03F3E" w:rsidRDefault="008C5F3D"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На 1 января 1943 г. в строю числилось 14 «Валти», ао к началу декабря – 12. Потери были вызваны как боевыми, так и небоевыми причинами. Так, 12 марта пилот Егупов при полете на низкой высоте вдоль Дона врезался в корабельную мачту, летчик и пассажир погибли. А 29 апреля «Мессершмитт» расстрелял на взлете в Краснодаре машину В. И. Тимофеева. Самолет сгорел, а пилот и бортмеханик попали в госпиталь с ожогами (19199).</w:t>
      </w:r>
    </w:p>
    <w:p w14:paraId="307E7623" w14:textId="77777777" w:rsidR="008C5F3D" w:rsidRPr="00D03F3E" w:rsidRDefault="008C5F3D" w:rsidP="00D03F3E">
      <w:pPr>
        <w:pStyle w:val="rtejustify"/>
        <w:shd w:val="clear" w:color="auto" w:fill="FFFFFF"/>
        <w:spacing w:before="0" w:beforeAutospacing="0" w:after="0" w:afterAutospacing="0"/>
        <w:jc w:val="both"/>
        <w:textAlignment w:val="baseline"/>
        <w:rPr>
          <w:color w:val="000000" w:themeColor="text1"/>
          <w:sz w:val="16"/>
          <w:szCs w:val="16"/>
        </w:rPr>
      </w:pPr>
    </w:p>
    <w:p w14:paraId="7E86E27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 января 1943 г из-за нехватки запчастей мог летать всего один “юнкере” из имевшихся в ГВФ четырёх. Все четыре принадлежали в то время Западно-Сибирскому управлению (Управление магистрали расформировали). Но в начале следующего года положение резко изменилось. Для снабжения Сталинградского “котла” немцы стянули большую часть своей транспортной авиации. Подавляющее большинство её парка составляли Ju 52/3m разных модификаций и лет выпуска. Они стали “целью №1” для советских лётчиков и зенитчиков. Их расстреливали в воздухе и жгли на аэродромах, по ним стреляли из всех видов оружия и даже давили танками. По советским данным, только в воздухе сбили около 250 “юнкерсов”. Когда фельдмаршал Паулюс капитулировал, все аэродромы внутри кольца и в его окрестностях были забиты брошенными немцами самолётами. На аэродроме Большая Россошка наши солдаты насчитали до сорока более или менее целых Ju 52/3m. Там же валялось около 300 разбитых машин разных типов, среди которых тоже были “юнкерсы”. 17 Ju 52/3m захватили в Басаргино. С авиарембаз ГВФ в Сталинград устремились бригады для отбора и первичного ремонта найденных самолетов. При ближайшем рассмотрении “юнкерсы” оказались не столь исправными, как показалось захватившим их пехотинцам и танкистам. Фюзеляжи, крылья и моторы были на месте, но покрышки - пробиты, моторы - неисправны, не хватало приборов, радиостанций и многого другого. Да и длительное стояние под снегом на пользу самолётам не пошло. Кроме этого, на некоторых машинах нашли следы намеренного разрушения - немцы не собирались сдавать противнику боеспособную технику. Были случаи подрыва осматривавших самолёты солдат на минах-сюрпризах. На одном из аэродромов “юнкере” заминировали одной противотанковой миной и шестью авиабомбами (бомбы оказались советскими - ФАБ-50). Наиболее пригодные Ю-52 (так они шли в наших документах) доводили “до кондиции” прямо на месте, благо запчастей вокруг хватало. Чего нет на одном самолёте - найдётся на другом, а не то на третьем-четвёртом (6393).</w:t>
      </w:r>
    </w:p>
    <w:p w14:paraId="17AB19E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0E1DD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состоянию на 1 января 1943 г. во всех соединениях ГВФ числилось 54 самолета ПС-40 и ПС-41. Распределение по соединениям выглядело следующим образом:</w:t>
      </w:r>
    </w:p>
    <w:p w14:paraId="2A9AC5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15 ПС-40, 41 - 3-я Авиадивизия связи;</w:t>
      </w:r>
    </w:p>
    <w:p w14:paraId="0EA2178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8 ПС-40,41 - 8-й отдельный авиаполк;</w:t>
      </w:r>
    </w:p>
    <w:p w14:paraId="7B6D13F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17 ПС-40, 41 - Летные школы ГВФ;</w:t>
      </w:r>
    </w:p>
    <w:p w14:paraId="22A3017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1 ПС-40 - Азербайджанское Управление ГВФ;</w:t>
      </w:r>
    </w:p>
    <w:p w14:paraId="627BB78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10 ПС-40, 41 - Дальневосточное Управление ГВФ;</w:t>
      </w:r>
    </w:p>
    <w:p w14:paraId="3F3D721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2 ПС-40, 41 - Западно-Сибирское Управление ГВФ;</w:t>
      </w:r>
    </w:p>
    <w:p w14:paraId="334EBC5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1 ПС-41 -НИИ ГВФ.</w:t>
      </w:r>
    </w:p>
    <w:p w14:paraId="6E9C233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Начиная с 1936 г. и до конца 1943 г. для выполнения задач хозяйственного значения передали ровно 170 экземпляров ПС-40 и ПС-41.</w:t>
      </w:r>
    </w:p>
    <w:p w14:paraId="77006F2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Активная их эксплуатация вела к неуклонному износу материальной части, поэтому значительное количество ПС-40 и ПС-41 было списано в 1944 г. До окончания войны, в период 1944-45 гг. пять машин потеряли в авариях и катастрофах, одну в боевых условиях. В мае 1945 г. официально лишь 2 ПС-40 числились в 3-й Отдельной Краснознаменной дивизии связи (ОКАДС).</w:t>
      </w:r>
    </w:p>
    <w:p w14:paraId="66B58B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послевоенный период списанные с военной службы бомбардировщики СБ еще некоторое время использовались на мирной службе. В частности они находились на вооружении особого подразделения, базирующегося в Ташкенте и ведущего аэрофотосъемку южных приграничных областей СССР (12027).</w:t>
      </w:r>
    </w:p>
    <w:p w14:paraId="5DAD07B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0E116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состоянию на 1 января 1943 г. в ГВФ насчитывалось 14 Г-1, из которых готовыми к полетам значи</w:t>
      </w:r>
      <w:r w:rsidRPr="00D03F3E">
        <w:rPr>
          <w:rFonts w:ascii="Times New Roman" w:hAnsi="Times New Roman"/>
          <w:color w:val="000000" w:themeColor="text1"/>
          <w:sz w:val="16"/>
          <w:szCs w:val="16"/>
        </w:rPr>
        <w:softHyphen/>
        <w:t>лись только 4. Что касается ВВС, то здесь сведений о ТБ-1 почти нет. Известно лишь, что последний армейский ТБ-1 разбили в аварии в 1944г. О существовании заслуженного «ста</w:t>
      </w:r>
      <w:r w:rsidRPr="00D03F3E">
        <w:rPr>
          <w:rFonts w:ascii="Times New Roman" w:hAnsi="Times New Roman"/>
          <w:color w:val="000000" w:themeColor="text1"/>
          <w:sz w:val="16"/>
          <w:szCs w:val="16"/>
        </w:rPr>
        <w:softHyphen/>
        <w:t>ричка» не забывали и на заключительном этапе войны. С началом операции по осво</w:t>
      </w:r>
      <w:r w:rsidRPr="00D03F3E">
        <w:rPr>
          <w:rFonts w:ascii="Times New Roman" w:hAnsi="Times New Roman"/>
          <w:color w:val="000000" w:themeColor="text1"/>
          <w:sz w:val="16"/>
          <w:szCs w:val="16"/>
        </w:rPr>
        <w:softHyphen/>
        <w:t>бождению Крыма отдельные Г-1 использо</w:t>
      </w:r>
      <w:r w:rsidRPr="00D03F3E">
        <w:rPr>
          <w:rFonts w:ascii="Times New Roman" w:hAnsi="Times New Roman"/>
          <w:color w:val="000000" w:themeColor="text1"/>
          <w:sz w:val="16"/>
          <w:szCs w:val="16"/>
        </w:rPr>
        <w:softHyphen/>
        <w:t>вали для перевозки грузов в Северную Тав</w:t>
      </w:r>
      <w:r w:rsidRPr="00D03F3E">
        <w:rPr>
          <w:rFonts w:ascii="Times New Roman" w:hAnsi="Times New Roman"/>
          <w:color w:val="000000" w:themeColor="text1"/>
          <w:sz w:val="16"/>
          <w:szCs w:val="16"/>
        </w:rPr>
        <w:softHyphen/>
        <w:t>рию. 17 марта 1944 г. военный совет ЧФ запросил у наркома ВМФ о возможности получения еще 4-5 ТБ-1 с Тихоокеанского флота или из резерва Ставки, т.к. черно</w:t>
      </w:r>
      <w:r w:rsidRPr="00D03F3E">
        <w:rPr>
          <w:rFonts w:ascii="Times New Roman" w:hAnsi="Times New Roman"/>
          <w:color w:val="000000" w:themeColor="text1"/>
          <w:sz w:val="16"/>
          <w:szCs w:val="16"/>
        </w:rPr>
        <w:softHyphen/>
        <w:t>морцы своими силами не справлялись с пе</w:t>
      </w:r>
      <w:r w:rsidRPr="00D03F3E">
        <w:rPr>
          <w:rFonts w:ascii="Times New Roman" w:hAnsi="Times New Roman"/>
          <w:color w:val="000000" w:themeColor="text1"/>
          <w:sz w:val="16"/>
          <w:szCs w:val="16"/>
        </w:rPr>
        <w:softHyphen/>
        <w:t>ревозками. Однако потребность в тран</w:t>
      </w:r>
      <w:r w:rsidRPr="00D03F3E">
        <w:rPr>
          <w:rFonts w:ascii="Times New Roman" w:hAnsi="Times New Roman"/>
          <w:color w:val="000000" w:themeColor="text1"/>
          <w:sz w:val="16"/>
          <w:szCs w:val="16"/>
        </w:rPr>
        <w:softHyphen/>
        <w:t>спортниках существовала и на Дальнем Востоке, поэтому самолеты остались там. В 1945 г. в составе авиации ТОФ еще числи</w:t>
      </w:r>
      <w:r w:rsidRPr="00D03F3E">
        <w:rPr>
          <w:rFonts w:ascii="Times New Roman" w:hAnsi="Times New Roman"/>
          <w:color w:val="000000" w:themeColor="text1"/>
          <w:sz w:val="16"/>
          <w:szCs w:val="16"/>
        </w:rPr>
        <w:softHyphen/>
        <w:t>лись три транспортных ТБ-1. После окончания войны несколько эк</w:t>
      </w:r>
      <w:r w:rsidRPr="00D03F3E">
        <w:rPr>
          <w:rFonts w:ascii="Times New Roman" w:hAnsi="Times New Roman"/>
          <w:color w:val="000000" w:themeColor="text1"/>
          <w:sz w:val="16"/>
          <w:szCs w:val="16"/>
        </w:rPr>
        <w:softHyphen/>
        <w:t>земпляров использовали в рыбной про</w:t>
      </w:r>
      <w:r w:rsidRPr="00D03F3E">
        <w:rPr>
          <w:rFonts w:ascii="Times New Roman" w:hAnsi="Times New Roman"/>
          <w:color w:val="000000" w:themeColor="text1"/>
          <w:sz w:val="16"/>
          <w:szCs w:val="16"/>
        </w:rPr>
        <w:softHyphen/>
        <w:t>мышленности и на Севере. Последние машины там списали в 1946-47 гг. Таким образом, достойно отслужив почти два десятка лет, ТБ-1 окончательно сошел со сцены, когда в авиации наступала реактив</w:t>
      </w:r>
      <w:r w:rsidRPr="00D03F3E">
        <w:rPr>
          <w:rFonts w:ascii="Times New Roman" w:hAnsi="Times New Roman"/>
          <w:color w:val="000000" w:themeColor="text1"/>
          <w:sz w:val="16"/>
          <w:szCs w:val="16"/>
        </w:rPr>
        <w:softHyphen/>
        <w:t>ная эра (11286).</w:t>
      </w:r>
    </w:p>
    <w:p w14:paraId="00BDB9E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F98A0D" w14:textId="77777777" w:rsidR="006A21FD" w:rsidRPr="00D03F3E" w:rsidRDefault="006A21F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По состоянию на 1 января 1943 г в ГВФ насчитывалось 5 исправных Сталь-3 приписанных к Московскому Управ</w:t>
      </w:r>
      <w:r w:rsidRPr="00D03F3E">
        <w:rPr>
          <w:rFonts w:ascii="Times New Roman" w:hAnsi="Times New Roman"/>
          <w:color w:val="0070C0"/>
          <w:sz w:val="16"/>
          <w:szCs w:val="16"/>
          <w:lang w:eastAsia="ru-RU" w:bidi="ru-RU"/>
        </w:rPr>
        <w:softHyphen/>
        <w:t>лению ГВФ.</w:t>
      </w:r>
    </w:p>
    <w:p w14:paraId="4A31FF0C" w14:textId="77777777" w:rsidR="006A21FD" w:rsidRPr="00D03F3E" w:rsidRDefault="006A21F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В воспоминаниях маршала авиации Александра Евгень</w:t>
      </w:r>
      <w:r w:rsidRPr="00D03F3E">
        <w:rPr>
          <w:rFonts w:ascii="Times New Roman" w:hAnsi="Times New Roman"/>
          <w:color w:val="0070C0"/>
          <w:sz w:val="16"/>
          <w:szCs w:val="16"/>
          <w:lang w:eastAsia="ru-RU" w:bidi="ru-RU"/>
        </w:rPr>
        <w:softHyphen/>
        <w:t>евича Голованова есть эпизод, касающийся самолета Сталь-3. В 1938-39 гг. он работал в 3-м транспортном от</w:t>
      </w:r>
      <w:r w:rsidRPr="00D03F3E">
        <w:rPr>
          <w:rFonts w:ascii="Times New Roman" w:hAnsi="Times New Roman"/>
          <w:color w:val="0070C0"/>
          <w:sz w:val="16"/>
          <w:szCs w:val="16"/>
          <w:lang w:eastAsia="ru-RU" w:bidi="ru-RU"/>
        </w:rPr>
        <w:softHyphen/>
        <w:t>ряде Московского управления ГВФ, сначала рядовым пи</w:t>
      </w:r>
      <w:r w:rsidRPr="00D03F3E">
        <w:rPr>
          <w:rFonts w:ascii="Times New Roman" w:hAnsi="Times New Roman"/>
          <w:color w:val="0070C0"/>
          <w:sz w:val="16"/>
          <w:szCs w:val="16"/>
          <w:lang w:eastAsia="ru-RU" w:bidi="ru-RU"/>
        </w:rPr>
        <w:softHyphen/>
        <w:t>лотом Сталь-3, а некоторое время спустя его назначили ин</w:t>
      </w:r>
      <w:r w:rsidRPr="00D03F3E">
        <w:rPr>
          <w:rFonts w:ascii="Times New Roman" w:hAnsi="Times New Roman"/>
          <w:color w:val="0070C0"/>
          <w:sz w:val="16"/>
          <w:szCs w:val="16"/>
          <w:lang w:eastAsia="ru-RU" w:bidi="ru-RU"/>
        </w:rPr>
        <w:softHyphen/>
        <w:t>структором. Однажды его вызвал командир отряда и пред</w:t>
      </w:r>
      <w:r w:rsidRPr="00D03F3E">
        <w:rPr>
          <w:rFonts w:ascii="Times New Roman" w:hAnsi="Times New Roman"/>
          <w:color w:val="0070C0"/>
          <w:sz w:val="16"/>
          <w:szCs w:val="16"/>
          <w:lang w:eastAsia="ru-RU" w:bidi="ru-RU"/>
        </w:rPr>
        <w:softHyphen/>
        <w:t>ложил полетать с летчиком Давыдовым, чтобы определить дальнейшую возможность работы его в отряде (позднее в годы войны Александр Дмитриевич Давыдов служил под командованием Голованова в АДД):</w:t>
      </w:r>
    </w:p>
    <w:p w14:paraId="7B123F88" w14:textId="77777777" w:rsidR="006A21FD" w:rsidRPr="00D03F3E" w:rsidRDefault="006A21F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«Указанием командира отряда я был удивлен, так как Да</w:t>
      </w:r>
      <w:r w:rsidRPr="00D03F3E">
        <w:rPr>
          <w:rFonts w:ascii="Times New Roman" w:hAnsi="Times New Roman"/>
          <w:color w:val="0070C0"/>
          <w:sz w:val="16"/>
          <w:szCs w:val="16"/>
          <w:lang w:eastAsia="ru-RU" w:bidi="ru-RU"/>
        </w:rPr>
        <w:softHyphen/>
        <w:t>выдов не входил в мою группу пилотов. Но командир ска</w:t>
      </w:r>
      <w:r w:rsidRPr="00D03F3E">
        <w:rPr>
          <w:rFonts w:ascii="Times New Roman" w:hAnsi="Times New Roman"/>
          <w:color w:val="0070C0"/>
          <w:sz w:val="16"/>
          <w:szCs w:val="16"/>
          <w:lang w:eastAsia="ru-RU" w:bidi="ru-RU"/>
        </w:rPr>
        <w:softHyphen/>
        <w:t>зал, что инструктор, проверявший Давыдова, не соглаша</w:t>
      </w:r>
      <w:r w:rsidRPr="00D03F3E">
        <w:rPr>
          <w:rFonts w:ascii="Times New Roman" w:hAnsi="Times New Roman"/>
          <w:color w:val="0070C0"/>
          <w:sz w:val="16"/>
          <w:szCs w:val="16"/>
          <w:lang w:eastAsia="ru-RU" w:bidi="ru-RU"/>
        </w:rPr>
        <w:softHyphen/>
        <w:t>ется выпускать его лететь самостоятельно в рейс с пас</w:t>
      </w:r>
      <w:r w:rsidRPr="00D03F3E">
        <w:rPr>
          <w:rFonts w:ascii="Times New Roman" w:hAnsi="Times New Roman"/>
          <w:color w:val="0070C0"/>
          <w:sz w:val="16"/>
          <w:szCs w:val="16"/>
          <w:lang w:eastAsia="ru-RU" w:bidi="ru-RU"/>
        </w:rPr>
        <w:softHyphen/>
        <w:t>сажирами. «Дела у него с ориентировкой неважные», — заключил командир. Инструктор Михаил Вагапов, который проверял Давыдова последним, сказал мне, что «возят» его давно, летает он хорошо, но с ориентировкой действитель</w:t>
      </w:r>
      <w:r w:rsidRPr="00D03F3E">
        <w:rPr>
          <w:rFonts w:ascii="Times New Roman" w:hAnsi="Times New Roman"/>
          <w:color w:val="0070C0"/>
          <w:sz w:val="16"/>
          <w:szCs w:val="16"/>
          <w:lang w:eastAsia="ru-RU" w:bidi="ru-RU"/>
        </w:rPr>
        <w:softHyphen/>
        <w:t>но дела обстоят так, что выпускать его на трассу в само</w:t>
      </w:r>
      <w:r w:rsidRPr="00D03F3E">
        <w:rPr>
          <w:rFonts w:ascii="Times New Roman" w:hAnsi="Times New Roman"/>
          <w:color w:val="0070C0"/>
          <w:sz w:val="16"/>
          <w:szCs w:val="16"/>
          <w:lang w:eastAsia="ru-RU" w:bidi="ru-RU"/>
        </w:rPr>
        <w:softHyphen/>
        <w:t>стоятельный полет нельзя. Случай исключительный, и он меня просто заинтересовал. Обычно в таких ситуациях, как правило, идет речь о технике пилотирования, она неред</w:t>
      </w:r>
      <w:r w:rsidRPr="00D03F3E">
        <w:rPr>
          <w:rFonts w:ascii="Times New Roman" w:hAnsi="Times New Roman"/>
          <w:color w:val="0070C0"/>
          <w:sz w:val="16"/>
          <w:szCs w:val="16"/>
          <w:lang w:eastAsia="ru-RU" w:bidi="ru-RU"/>
        </w:rPr>
        <w:softHyphen/>
        <w:t>ко становится камнем преткновения.</w:t>
      </w:r>
    </w:p>
    <w:p w14:paraId="061C2BE3" w14:textId="77777777" w:rsidR="006A21FD" w:rsidRPr="00D03F3E" w:rsidRDefault="006A21F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На другой день мы с Александром Давыдовым отправи</w:t>
      </w:r>
      <w:r w:rsidRPr="00D03F3E">
        <w:rPr>
          <w:rFonts w:ascii="Times New Roman" w:hAnsi="Times New Roman"/>
          <w:color w:val="0070C0"/>
          <w:sz w:val="16"/>
          <w:szCs w:val="16"/>
          <w:lang w:eastAsia="ru-RU" w:bidi="ru-RU"/>
        </w:rPr>
        <w:softHyphen/>
        <w:t>лись в рейс. Пилотировал самолет Давыдов. На самоле</w:t>
      </w:r>
      <w:r w:rsidRPr="00D03F3E">
        <w:rPr>
          <w:rFonts w:ascii="Times New Roman" w:hAnsi="Times New Roman"/>
          <w:color w:val="0070C0"/>
          <w:sz w:val="16"/>
          <w:szCs w:val="16"/>
          <w:lang w:eastAsia="ru-RU" w:bidi="ru-RU"/>
        </w:rPr>
        <w:softHyphen/>
        <w:t>те «Сталь-3» имелся только один штурвал с перекидыва</w:t>
      </w:r>
      <w:r w:rsidRPr="00D03F3E">
        <w:rPr>
          <w:rFonts w:ascii="Times New Roman" w:hAnsi="Times New Roman"/>
          <w:color w:val="0070C0"/>
          <w:sz w:val="16"/>
          <w:szCs w:val="16"/>
          <w:lang w:eastAsia="ru-RU" w:bidi="ru-RU"/>
        </w:rPr>
        <w:softHyphen/>
        <w:t>ющимся управлением . Была редкая кучевая облачность и, дав указание идти сверху нее, я углубился в чтение га</w:t>
      </w:r>
      <w:r w:rsidRPr="00D03F3E">
        <w:rPr>
          <w:rFonts w:ascii="Times New Roman" w:hAnsi="Times New Roman"/>
          <w:color w:val="0070C0"/>
          <w:sz w:val="16"/>
          <w:szCs w:val="16"/>
          <w:lang w:eastAsia="ru-RU" w:bidi="ru-RU"/>
        </w:rPr>
        <w:softHyphen/>
        <w:t>зеты. В начале полета я еще поглядывал на приборы и зем</w:t>
      </w:r>
      <w:r w:rsidRPr="00D03F3E">
        <w:rPr>
          <w:rFonts w:ascii="Times New Roman" w:hAnsi="Times New Roman"/>
          <w:color w:val="0070C0"/>
          <w:sz w:val="16"/>
          <w:szCs w:val="16"/>
          <w:lang w:eastAsia="ru-RU" w:bidi="ru-RU"/>
        </w:rPr>
        <w:softHyphen/>
        <w:t>лю, но, видя, что все идет нормально, увлекся чтением. Ле</w:t>
      </w:r>
      <w:r w:rsidRPr="00D03F3E">
        <w:rPr>
          <w:rFonts w:ascii="Times New Roman" w:hAnsi="Times New Roman"/>
          <w:color w:val="0070C0"/>
          <w:sz w:val="16"/>
          <w:szCs w:val="16"/>
          <w:lang w:eastAsia="ru-RU" w:bidi="ru-RU"/>
        </w:rPr>
        <w:softHyphen/>
        <w:t>тели мы на линии Москва — Воронеж — Сталинград — Ас</w:t>
      </w:r>
      <w:r w:rsidRPr="00D03F3E">
        <w:rPr>
          <w:rFonts w:ascii="Times New Roman" w:hAnsi="Times New Roman"/>
          <w:color w:val="0070C0"/>
          <w:sz w:val="16"/>
          <w:szCs w:val="16"/>
          <w:lang w:eastAsia="ru-RU" w:bidi="ru-RU"/>
        </w:rPr>
        <w:softHyphen/>
        <w:t>трахань.</w:t>
      </w:r>
    </w:p>
    <w:p w14:paraId="01CC511A" w14:textId="77777777" w:rsidR="006A21FD" w:rsidRPr="00D03F3E" w:rsidRDefault="006A21F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Прошло весьма значительное время, и когда я в разры</w:t>
      </w:r>
      <w:r w:rsidRPr="00D03F3E">
        <w:rPr>
          <w:rFonts w:ascii="Times New Roman" w:hAnsi="Times New Roman"/>
          <w:color w:val="0070C0"/>
          <w:sz w:val="16"/>
          <w:szCs w:val="16"/>
          <w:lang w:eastAsia="ru-RU" w:bidi="ru-RU"/>
        </w:rPr>
        <w:softHyphen/>
        <w:t>вы облаков посмотрел на землю, то местность показалась мне незнакомой, а взглянув сразу на компас, увидел, что курс на нем совсем не соответствует маршруту полета. По</w:t>
      </w:r>
      <w:r w:rsidRPr="00D03F3E">
        <w:rPr>
          <w:rFonts w:ascii="Times New Roman" w:hAnsi="Times New Roman"/>
          <w:color w:val="0070C0"/>
          <w:sz w:val="16"/>
          <w:szCs w:val="16"/>
          <w:lang w:eastAsia="ru-RU" w:bidi="ru-RU"/>
        </w:rPr>
        <w:softHyphen/>
        <w:t>ка я разглядывал местность и потом снова посмотрел на компас, тот уже показывал новый курс. Дело плохо! Изме</w:t>
      </w:r>
      <w:r w:rsidRPr="00D03F3E">
        <w:rPr>
          <w:rFonts w:ascii="Times New Roman" w:hAnsi="Times New Roman"/>
          <w:color w:val="0070C0"/>
          <w:sz w:val="16"/>
          <w:szCs w:val="16"/>
          <w:lang w:eastAsia="ru-RU" w:bidi="ru-RU"/>
        </w:rPr>
        <w:softHyphen/>
        <w:t>нение курса на компасе определенно говорило о том, что пилот потерял ориентировку. «Где мы находимся?» — спросил я у него. Он пожал плечами. Не беря на себя уп</w:t>
      </w:r>
      <w:r w:rsidRPr="00D03F3E">
        <w:rPr>
          <w:rFonts w:ascii="Times New Roman" w:hAnsi="Times New Roman"/>
          <w:color w:val="0070C0"/>
          <w:sz w:val="16"/>
          <w:szCs w:val="16"/>
          <w:lang w:eastAsia="ru-RU" w:bidi="ru-RU"/>
        </w:rPr>
        <w:softHyphen/>
        <w:t>равление, я дал указание Давыдову взять курс полета, про</w:t>
      </w:r>
      <w:r w:rsidRPr="00D03F3E">
        <w:rPr>
          <w:rFonts w:ascii="Times New Roman" w:hAnsi="Times New Roman"/>
          <w:color w:val="0070C0"/>
          <w:sz w:val="16"/>
          <w:szCs w:val="16"/>
          <w:lang w:eastAsia="ru-RU" w:bidi="ru-RU"/>
        </w:rPr>
        <w:softHyphen/>
        <w:t>ложенный на карте, и точно его выдерживать, а сам стал пытаться восстановить ориентировку. Истекло время на</w:t>
      </w:r>
      <w:r w:rsidRPr="00D03F3E">
        <w:rPr>
          <w:rFonts w:ascii="Times New Roman" w:hAnsi="Times New Roman"/>
          <w:color w:val="0070C0"/>
          <w:sz w:val="16"/>
          <w:szCs w:val="16"/>
          <w:lang w:eastAsia="ru-RU" w:bidi="ru-RU"/>
        </w:rPr>
        <w:softHyphen/>
        <w:t>шего прибытия в Воронеж, однако местность, похожая на окрестности этого города, не появлялась. Пролетели еще некоторое время. Так как запас топлива был ограничен, ре</w:t>
      </w:r>
      <w:r w:rsidRPr="00D03F3E">
        <w:rPr>
          <w:rFonts w:ascii="Times New Roman" w:hAnsi="Times New Roman"/>
          <w:color w:val="0070C0"/>
          <w:sz w:val="16"/>
          <w:szCs w:val="16"/>
          <w:lang w:eastAsia="ru-RU" w:bidi="ru-RU"/>
        </w:rPr>
        <w:softHyphen/>
        <w:t>шил сесть около появившейся по курсу машинно-трактор</w:t>
      </w:r>
      <w:r w:rsidRPr="00D03F3E">
        <w:rPr>
          <w:rFonts w:ascii="Times New Roman" w:hAnsi="Times New Roman"/>
          <w:color w:val="0070C0"/>
          <w:sz w:val="16"/>
          <w:szCs w:val="16"/>
          <w:lang w:eastAsia="ru-RU" w:bidi="ru-RU"/>
        </w:rPr>
        <w:softHyphen/>
        <w:t>ной станции. Взяв управление на себя, произвел посад</w:t>
      </w:r>
      <w:r w:rsidRPr="00D03F3E">
        <w:rPr>
          <w:rFonts w:ascii="Times New Roman" w:hAnsi="Times New Roman"/>
          <w:color w:val="0070C0"/>
          <w:sz w:val="16"/>
          <w:szCs w:val="16"/>
          <w:lang w:eastAsia="ru-RU" w:bidi="ru-RU"/>
        </w:rPr>
        <w:softHyphen/>
        <w:t>ку. Оказалось, что мы в районе станции Касторной. Оста</w:t>
      </w:r>
      <w:r w:rsidRPr="00D03F3E">
        <w:rPr>
          <w:rFonts w:ascii="Times New Roman" w:hAnsi="Times New Roman"/>
          <w:color w:val="0070C0"/>
          <w:sz w:val="16"/>
          <w:szCs w:val="16"/>
          <w:lang w:eastAsia="ru-RU" w:bidi="ru-RU"/>
        </w:rPr>
        <w:softHyphen/>
        <w:t>ток горючего не гарантировал уверенного перелета в Воронеж. В пустой бак заправили керосин. Взлетели и на</w:t>
      </w:r>
      <w:r w:rsidRPr="00D03F3E">
        <w:rPr>
          <w:rFonts w:ascii="Times New Roman" w:hAnsi="Times New Roman"/>
          <w:color w:val="0070C0"/>
          <w:sz w:val="16"/>
          <w:szCs w:val="16"/>
          <w:lang w:eastAsia="ru-RU" w:bidi="ru-RU"/>
        </w:rPr>
        <w:softHyphen/>
        <w:t>брали высоту на хорошем топливе, а потом переключились на бак с керосином. К удивлению, мотор продолжал ра</w:t>
      </w:r>
      <w:r w:rsidRPr="00D03F3E">
        <w:rPr>
          <w:rFonts w:ascii="Times New Roman" w:hAnsi="Times New Roman"/>
          <w:color w:val="0070C0"/>
          <w:sz w:val="16"/>
          <w:szCs w:val="16"/>
          <w:lang w:eastAsia="ru-RU" w:bidi="ru-RU"/>
        </w:rPr>
        <w:softHyphen/>
        <w:t>ботать без перебоев. Прилетели в аэропорт, где нас жда</w:t>
      </w:r>
      <w:r w:rsidRPr="00D03F3E">
        <w:rPr>
          <w:rFonts w:ascii="Times New Roman" w:hAnsi="Times New Roman"/>
          <w:color w:val="0070C0"/>
          <w:sz w:val="16"/>
          <w:szCs w:val="16"/>
          <w:lang w:eastAsia="ru-RU" w:bidi="ru-RU"/>
        </w:rPr>
        <w:softHyphen/>
        <w:t>ли уже с беспокойством. Налицо была «блудежка», да еще с инструктором. Однако на лице Давыдова я видел лишь полнейшее безразличие ко всему происходящему...</w:t>
      </w:r>
    </w:p>
    <w:p w14:paraId="164FF750" w14:textId="77777777" w:rsidR="006A21FD" w:rsidRPr="00D03F3E" w:rsidRDefault="006A21F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Слив керосин и заправившись, пошли на вылет. Не</w:t>
      </w:r>
      <w:r w:rsidRPr="00D03F3E">
        <w:rPr>
          <w:rFonts w:ascii="Times New Roman" w:hAnsi="Times New Roman"/>
          <w:color w:val="0070C0"/>
          <w:sz w:val="16"/>
          <w:szCs w:val="16"/>
          <w:lang w:eastAsia="ru-RU" w:bidi="ru-RU"/>
        </w:rPr>
        <w:softHyphen/>
        <w:t>много задержавшись и придя на самолет, я увидел Давы</w:t>
      </w:r>
      <w:r w:rsidRPr="00D03F3E">
        <w:rPr>
          <w:rFonts w:ascii="Times New Roman" w:hAnsi="Times New Roman"/>
          <w:color w:val="0070C0"/>
          <w:sz w:val="16"/>
          <w:szCs w:val="16"/>
          <w:lang w:eastAsia="ru-RU" w:bidi="ru-RU"/>
        </w:rPr>
        <w:softHyphen/>
        <w:t>дова на правом сиденье.</w:t>
      </w:r>
    </w:p>
    <w:p w14:paraId="14CF79A1" w14:textId="77777777" w:rsidR="006A21FD" w:rsidRPr="00D03F3E" w:rsidRDefault="006A21F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 Займите свое место и продолжайте полет, — даю ему указание.</w:t>
      </w:r>
    </w:p>
    <w:p w14:paraId="7679DD7E" w14:textId="77777777" w:rsidR="006A21FD" w:rsidRPr="00D03F3E" w:rsidRDefault="006A21F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Давыдов был явно удивлен, но молча пересел на левое сиденье. Наш полет продолжался. Теперь я уже весьма внимательно следил за полетом и за действиями прове</w:t>
      </w:r>
      <w:r w:rsidRPr="00D03F3E">
        <w:rPr>
          <w:rFonts w:ascii="Times New Roman" w:hAnsi="Times New Roman"/>
          <w:color w:val="0070C0"/>
          <w:sz w:val="16"/>
          <w:szCs w:val="16"/>
        </w:rPr>
        <w:softHyphen/>
        <w:t>ряемого, но никак это не проявляя. Следующая посадка должна быть в Урюпино. Давыдов начал постепенно откло</w:t>
      </w:r>
      <w:r w:rsidRPr="00D03F3E">
        <w:rPr>
          <w:rFonts w:ascii="Times New Roman" w:hAnsi="Times New Roman"/>
          <w:color w:val="0070C0"/>
          <w:sz w:val="16"/>
          <w:szCs w:val="16"/>
        </w:rPr>
        <w:softHyphen/>
        <w:t>няться от трассы, но я не вмешивался. Вышли мы на траверз Урюпинской в стороне, примерно километрах в де</w:t>
      </w:r>
      <w:r w:rsidRPr="00D03F3E">
        <w:rPr>
          <w:rFonts w:ascii="Times New Roman" w:hAnsi="Times New Roman"/>
          <w:color w:val="0070C0"/>
          <w:sz w:val="16"/>
          <w:szCs w:val="16"/>
        </w:rPr>
        <w:softHyphen/>
        <w:t>сяти, и только здесь я дал указание изменить курс на аэ</w:t>
      </w:r>
      <w:r w:rsidRPr="00D03F3E">
        <w:rPr>
          <w:rFonts w:ascii="Times New Roman" w:hAnsi="Times New Roman"/>
          <w:color w:val="0070C0"/>
          <w:sz w:val="16"/>
          <w:szCs w:val="16"/>
        </w:rPr>
        <w:softHyphen/>
        <w:t>родром. В Сталинград мы прилетели уже без моего вме</w:t>
      </w:r>
      <w:r w:rsidRPr="00D03F3E">
        <w:rPr>
          <w:rFonts w:ascii="Times New Roman" w:hAnsi="Times New Roman"/>
          <w:color w:val="0070C0"/>
          <w:sz w:val="16"/>
          <w:szCs w:val="16"/>
        </w:rPr>
        <w:softHyphen/>
        <w:t>шательства. И вот здесь-то, наконец, и состоялся у нас от</w:t>
      </w:r>
      <w:r w:rsidRPr="00D03F3E">
        <w:rPr>
          <w:rFonts w:ascii="Times New Roman" w:hAnsi="Times New Roman"/>
          <w:color w:val="0070C0"/>
          <w:sz w:val="16"/>
          <w:szCs w:val="16"/>
        </w:rPr>
        <w:softHyphen/>
        <w:t>кровенный разговор. Мои предположения, сложившиеся в процессе полета, оказались правильными. Давыдова, как говорят пилоты, «завозили». Он летал на левом сиденье, как командир корабля, но ему не давали возможности про</w:t>
      </w:r>
      <w:r w:rsidRPr="00D03F3E">
        <w:rPr>
          <w:rFonts w:ascii="Times New Roman" w:hAnsi="Times New Roman"/>
          <w:color w:val="0070C0"/>
          <w:sz w:val="16"/>
          <w:szCs w:val="16"/>
        </w:rPr>
        <w:softHyphen/>
        <w:t>водить полеты самостоятельно, постоянно вносили поправ</w:t>
      </w:r>
      <w:r w:rsidRPr="00D03F3E">
        <w:rPr>
          <w:rFonts w:ascii="Times New Roman" w:hAnsi="Times New Roman"/>
          <w:color w:val="0070C0"/>
          <w:sz w:val="16"/>
          <w:szCs w:val="16"/>
        </w:rPr>
        <w:softHyphen/>
        <w:t>ки в процессе полета, причем эти поправки каждый про</w:t>
      </w:r>
      <w:r w:rsidRPr="00D03F3E">
        <w:rPr>
          <w:rFonts w:ascii="Times New Roman" w:hAnsi="Times New Roman"/>
          <w:color w:val="0070C0"/>
          <w:sz w:val="16"/>
          <w:szCs w:val="16"/>
        </w:rPr>
        <w:softHyphen/>
        <w:t>веряющий делал по-своему, а затем рассказывал об этом новому проверяющему. Следующие товарищи, уже буду</w:t>
      </w:r>
      <w:r w:rsidRPr="00D03F3E">
        <w:rPr>
          <w:rFonts w:ascii="Times New Roman" w:hAnsi="Times New Roman"/>
          <w:color w:val="0070C0"/>
          <w:sz w:val="16"/>
          <w:szCs w:val="16"/>
        </w:rPr>
        <w:softHyphen/>
        <w:t>чи предупрежденными об имеющихся якобы недостатках в ориентировке проверяемого, всякий раз давали те кур</w:t>
      </w:r>
      <w:r w:rsidRPr="00D03F3E">
        <w:rPr>
          <w:rFonts w:ascii="Times New Roman" w:hAnsi="Times New Roman"/>
          <w:color w:val="0070C0"/>
          <w:sz w:val="16"/>
          <w:szCs w:val="16"/>
        </w:rPr>
        <w:softHyphen/>
        <w:t>сы полета, которые они находили нужными, а пилот оста</w:t>
      </w:r>
      <w:r w:rsidRPr="00D03F3E">
        <w:rPr>
          <w:rFonts w:ascii="Times New Roman" w:hAnsi="Times New Roman"/>
          <w:color w:val="0070C0"/>
          <w:sz w:val="16"/>
          <w:szCs w:val="16"/>
        </w:rPr>
        <w:softHyphen/>
        <w:t>вался лишь исполнителем. Так мало-помалу Давыдов пе</w:t>
      </w:r>
      <w:r w:rsidRPr="00D03F3E">
        <w:rPr>
          <w:rFonts w:ascii="Times New Roman" w:hAnsi="Times New Roman"/>
          <w:color w:val="0070C0"/>
          <w:sz w:val="16"/>
          <w:szCs w:val="16"/>
        </w:rPr>
        <w:softHyphen/>
        <w:t>рестал лично заниматься детальной ориентировкой, то есть сверкой курса полета самолета с местностью, чем и по</w:t>
      </w:r>
      <w:r w:rsidRPr="00D03F3E">
        <w:rPr>
          <w:rFonts w:ascii="Times New Roman" w:hAnsi="Times New Roman"/>
          <w:color w:val="0070C0"/>
          <w:sz w:val="16"/>
          <w:szCs w:val="16"/>
        </w:rPr>
        <w:softHyphen/>
        <w:t>родил у тех, кто его проверял, уверенность в том, что он не может ориентироваться в полете. А это значило — конец работы в качестве линейного летчика. После нашей вынужденной посадки до прилета в Воронеж Давыдов решил, что его служба в отряде завершилась</w:t>
      </w:r>
    </w:p>
    <w:p w14:paraId="3C3319F8" w14:textId="77777777" w:rsidR="006A21FD" w:rsidRPr="00D03F3E" w:rsidRDefault="006A21F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В товарищеском разговоре я сказал Давыдову, что ес</w:t>
      </w:r>
      <w:r w:rsidRPr="00D03F3E">
        <w:rPr>
          <w:rFonts w:ascii="Times New Roman" w:hAnsi="Times New Roman"/>
          <w:color w:val="0070C0"/>
          <w:sz w:val="16"/>
          <w:szCs w:val="16"/>
          <w:lang w:eastAsia="ru-RU" w:bidi="ru-RU"/>
        </w:rPr>
        <w:softHyphen/>
        <w:t>ли он сам, без моего вмешательства, совершит полет до Москвы, то я даю ему слово — на другой же день он уй</w:t>
      </w:r>
      <w:r w:rsidRPr="00D03F3E">
        <w:rPr>
          <w:rFonts w:ascii="Times New Roman" w:hAnsi="Times New Roman"/>
          <w:color w:val="0070C0"/>
          <w:sz w:val="16"/>
          <w:szCs w:val="16"/>
          <w:lang w:eastAsia="ru-RU" w:bidi="ru-RU"/>
        </w:rPr>
        <w:softHyphen/>
        <w:t>дет в самостоятельный рейс без кого-либо на борту, за ис</w:t>
      </w:r>
      <w:r w:rsidRPr="00D03F3E">
        <w:rPr>
          <w:rFonts w:ascii="Times New Roman" w:hAnsi="Times New Roman"/>
          <w:color w:val="0070C0"/>
          <w:sz w:val="16"/>
          <w:szCs w:val="16"/>
          <w:lang w:eastAsia="ru-RU" w:bidi="ru-RU"/>
        </w:rPr>
        <w:softHyphen/>
        <w:t>ключением его бортмеханика. И Давыдов успешно за</w:t>
      </w:r>
      <w:r w:rsidRPr="00D03F3E">
        <w:rPr>
          <w:rFonts w:ascii="Times New Roman" w:hAnsi="Times New Roman"/>
          <w:color w:val="0070C0"/>
          <w:sz w:val="16"/>
          <w:szCs w:val="16"/>
          <w:lang w:eastAsia="ru-RU" w:bidi="ru-RU"/>
        </w:rPr>
        <w:softHyphen/>
        <w:t>кончил полет, показав, что может летать так же, как и дру</w:t>
      </w:r>
      <w:r w:rsidRPr="00D03F3E">
        <w:rPr>
          <w:rFonts w:ascii="Times New Roman" w:hAnsi="Times New Roman"/>
          <w:color w:val="0070C0"/>
          <w:sz w:val="16"/>
          <w:szCs w:val="16"/>
          <w:lang w:eastAsia="ru-RU" w:bidi="ru-RU"/>
        </w:rPr>
        <w:softHyphen/>
        <w:t>гие пилоты, если ему предоставят возможность.</w:t>
      </w:r>
    </w:p>
    <w:p w14:paraId="0F7807DA" w14:textId="77777777" w:rsidR="006A21FD" w:rsidRPr="00D03F3E" w:rsidRDefault="006A21F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На другой же день после прилета в Москву он, к удив</w:t>
      </w:r>
      <w:r w:rsidRPr="00D03F3E">
        <w:rPr>
          <w:rFonts w:ascii="Times New Roman" w:hAnsi="Times New Roman"/>
          <w:color w:val="0070C0"/>
          <w:sz w:val="16"/>
          <w:szCs w:val="16"/>
          <w:lang w:eastAsia="ru-RU" w:bidi="ru-RU"/>
        </w:rPr>
        <w:softHyphen/>
        <w:t>лению ранее его проверявших, был назначен в самосто</w:t>
      </w:r>
      <w:r w:rsidRPr="00D03F3E">
        <w:rPr>
          <w:rFonts w:ascii="Times New Roman" w:hAnsi="Times New Roman"/>
          <w:color w:val="0070C0"/>
          <w:sz w:val="16"/>
          <w:szCs w:val="16"/>
          <w:lang w:eastAsia="ru-RU" w:bidi="ru-RU"/>
        </w:rPr>
        <w:softHyphen/>
        <w:t>ятельный рейс и отлично его выполнил. Затем продолжал летать на линиях Гражданского воздушного флота, стал пи</w:t>
      </w:r>
      <w:r w:rsidRPr="00D03F3E">
        <w:rPr>
          <w:rFonts w:ascii="Times New Roman" w:hAnsi="Times New Roman"/>
          <w:color w:val="0070C0"/>
          <w:sz w:val="16"/>
          <w:szCs w:val="16"/>
          <w:lang w:eastAsia="ru-RU" w:bidi="ru-RU"/>
        </w:rPr>
        <w:softHyphen/>
        <w:t>лотом первого класса. Во время Великой Отечественной войны — командир эскадрильи, совершил 321 боевой вылет, удостоен высокого звания Героя Советского Сою</w:t>
      </w:r>
      <w:r w:rsidRPr="00D03F3E">
        <w:rPr>
          <w:rFonts w:ascii="Times New Roman" w:hAnsi="Times New Roman"/>
          <w:color w:val="0070C0"/>
          <w:sz w:val="16"/>
          <w:szCs w:val="16"/>
          <w:lang w:eastAsia="ru-RU" w:bidi="ru-RU"/>
        </w:rPr>
        <w:softHyphen/>
        <w:t>за. Заслужил двадцать наград, из них пять орденов Крас</w:t>
      </w:r>
      <w:r w:rsidRPr="00D03F3E">
        <w:rPr>
          <w:rFonts w:ascii="Times New Roman" w:hAnsi="Times New Roman"/>
          <w:color w:val="0070C0"/>
          <w:sz w:val="16"/>
          <w:szCs w:val="16"/>
          <w:lang w:eastAsia="ru-RU" w:bidi="ru-RU"/>
        </w:rPr>
        <w:softHyphen/>
        <w:t>ного Знамени.</w:t>
      </w:r>
    </w:p>
    <w:p w14:paraId="0AD1F7FC" w14:textId="77777777" w:rsidR="006A21FD" w:rsidRPr="00D03F3E" w:rsidRDefault="006A21F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lastRenderedPageBreak/>
        <w:t>27 раз А. Д. Давыдов на тяжелом самолете производил посадки в тылу врага у партизан, доставляя им боеприпа</w:t>
      </w:r>
      <w:r w:rsidRPr="00D03F3E">
        <w:rPr>
          <w:rFonts w:ascii="Times New Roman" w:hAnsi="Times New Roman"/>
          <w:color w:val="0070C0"/>
          <w:sz w:val="16"/>
          <w:szCs w:val="16"/>
          <w:lang w:eastAsia="ru-RU" w:bidi="ru-RU"/>
        </w:rPr>
        <w:softHyphen/>
        <w:t>сы и вывозя от них раненых. 37 раз ходил лидером на вы</w:t>
      </w:r>
      <w:r w:rsidRPr="00D03F3E">
        <w:rPr>
          <w:rFonts w:ascii="Times New Roman" w:hAnsi="Times New Roman"/>
          <w:color w:val="0070C0"/>
          <w:sz w:val="16"/>
          <w:szCs w:val="16"/>
          <w:lang w:eastAsia="ru-RU" w:bidi="ru-RU"/>
        </w:rPr>
        <w:softHyphen/>
        <w:t>полнение специальных заданий в глубоком тылу против</w:t>
      </w:r>
      <w:r w:rsidRPr="00D03F3E">
        <w:rPr>
          <w:rFonts w:ascii="Times New Roman" w:hAnsi="Times New Roman"/>
          <w:color w:val="0070C0"/>
          <w:sz w:val="16"/>
          <w:szCs w:val="16"/>
          <w:lang w:eastAsia="ru-RU" w:bidi="ru-RU"/>
        </w:rPr>
        <w:softHyphen/>
        <w:t>ника. Десятки раз ходил осветителем. Многократно его са</w:t>
      </w:r>
      <w:r w:rsidRPr="00D03F3E">
        <w:rPr>
          <w:rFonts w:ascii="Times New Roman" w:hAnsi="Times New Roman"/>
          <w:color w:val="0070C0"/>
          <w:sz w:val="16"/>
          <w:szCs w:val="16"/>
          <w:lang w:eastAsia="ru-RU" w:bidi="ru-RU"/>
        </w:rPr>
        <w:softHyphen/>
        <w:t>молет подвергался зенитному огню и атакам истребителей, и всегда Давыдов приводил поврежденный самолет на свой аэродром. На счету экипажа имелись и сбитые ис</w:t>
      </w:r>
      <w:r w:rsidRPr="00D03F3E">
        <w:rPr>
          <w:rFonts w:ascii="Times New Roman" w:hAnsi="Times New Roman"/>
          <w:color w:val="0070C0"/>
          <w:sz w:val="16"/>
          <w:szCs w:val="16"/>
          <w:lang w:eastAsia="ru-RU" w:bidi="ru-RU"/>
        </w:rPr>
        <w:softHyphen/>
        <w:t>требители противника» (20365).</w:t>
      </w:r>
    </w:p>
    <w:p w14:paraId="34234475" w14:textId="77777777" w:rsidR="006A21FD" w:rsidRPr="00D03F3E" w:rsidRDefault="006A21FD" w:rsidP="00D03F3E">
      <w:pPr>
        <w:shd w:val="clear" w:color="auto" w:fill="FFFFFF"/>
        <w:spacing w:after="0" w:line="240" w:lineRule="auto"/>
        <w:jc w:val="both"/>
        <w:rPr>
          <w:rFonts w:ascii="Times New Roman" w:hAnsi="Times New Roman"/>
          <w:color w:val="0070C0"/>
          <w:sz w:val="16"/>
          <w:szCs w:val="16"/>
        </w:rPr>
      </w:pPr>
    </w:p>
    <w:p w14:paraId="099118C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 января 1943 г. мастерские АРБ № 404 ГВФ, Завод № 404 ГА, Свердловские авиаремонтные мастерские (САРМ) ГВФ, АООТ, ОАО «Уральский завод ГА» (УЗГА, ПРАД) /620089  г. Свердловск, Екатеринбург ул. Белинского, 262-М тел. 220-23-96/) преобразованы в АРБ № 404 ГВФ, с 15.02.1962 г.- завод № 404 ГВФ, с 15.09.1964 г.- завод № 404 ГА. С 1993 г.- АООТ, а с 1996 г.- ОАО «Уральский завод ГА».</w:t>
      </w:r>
    </w:p>
    <w:p w14:paraId="1E703F9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(2002 г.)- около 2000 чел.</w:t>
      </w:r>
    </w:p>
    <w:p w14:paraId="534388A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Гендиректор (1979-2005 г.-)- А.Н. Падеров.</w:t>
      </w:r>
      <w:r w:rsidRPr="00D03F3E">
        <w:rPr>
          <w:rFonts w:ascii="Times New Roman" w:hAnsi="Times New Roman"/>
          <w:color w:val="000000" w:themeColor="text1"/>
          <w:sz w:val="16"/>
          <w:szCs w:val="16"/>
          <w:vertAlign w:val="superscript"/>
        </w:rPr>
        <w:t>49</w:t>
      </w:r>
    </w:p>
    <w:p w14:paraId="60DDA71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(2002 г.)- А.Н. Заплеталов.</w:t>
      </w:r>
      <w:r w:rsidRPr="00D03F3E">
        <w:rPr>
          <w:rFonts w:ascii="Times New Roman" w:hAnsi="Times New Roman"/>
          <w:color w:val="000000" w:themeColor="text1"/>
          <w:sz w:val="16"/>
          <w:szCs w:val="16"/>
          <w:vertAlign w:val="superscript"/>
        </w:rPr>
        <w:t>69</w:t>
      </w:r>
    </w:p>
    <w:p w14:paraId="325F5B9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гендиректора: по производству (-2004-05 г.-)- Ю.А. Анфимов; по коммерческим вопросам (-2004-05 г.-)- В.Н. Яхлаков.</w:t>
      </w:r>
    </w:p>
    <w:p w14:paraId="0F48B77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Ремонт:</w:t>
      </w:r>
      <w:r w:rsidRPr="00D03F3E">
        <w:rPr>
          <w:rFonts w:ascii="Times New Roman" w:hAnsi="Times New Roman"/>
          <w:color w:val="000000" w:themeColor="text1"/>
          <w:sz w:val="16"/>
          <w:szCs w:val="16"/>
        </w:rPr>
        <w:t xml:space="preserve"> самолетов: У-2, «Авиатика-890» (2002);</w:t>
      </w:r>
      <w:r w:rsidRPr="00D03F3E">
        <w:rPr>
          <w:rFonts w:ascii="Times New Roman" w:hAnsi="Times New Roman"/>
          <w:iCs/>
          <w:color w:val="000000" w:themeColor="text1"/>
          <w:sz w:val="16"/>
          <w:szCs w:val="16"/>
        </w:rPr>
        <w:t xml:space="preserve"> двигателей:</w:t>
      </w:r>
      <w:r w:rsidRPr="00D03F3E">
        <w:rPr>
          <w:rFonts w:ascii="Times New Roman" w:hAnsi="Times New Roman"/>
          <w:color w:val="000000" w:themeColor="text1"/>
          <w:sz w:val="16"/>
          <w:szCs w:val="16"/>
        </w:rPr>
        <w:t xml:space="preserve"> М-11, М-17, М-37, МГ-31, МГ-33 (до войны), АШ-62ИР (1942-54), АШ-82ФН (1946-), АШ-82Т (1956-), АШ-82В (I960-), ГТД-350 (-2001-05-), ТВ2-117 (1973- 2005-), НК-8-2У (1983-2005-), ТВЗ-117 (1995-2005-), АИ-9В (2005); гл. редукторы: Р-5 (1961-), ВР-8 (1975-2005-), </w:t>
      </w:r>
      <w:r w:rsidRPr="00D03F3E">
        <w:rPr>
          <w:rFonts w:ascii="Times New Roman" w:hAnsi="Times New Roman"/>
          <w:color w:val="000000" w:themeColor="text1"/>
          <w:sz w:val="16"/>
          <w:szCs w:val="16"/>
          <w:lang w:val="en-US"/>
        </w:rPr>
        <w:t>BP</w:t>
      </w:r>
      <w:r w:rsidRPr="00D03F3E">
        <w:rPr>
          <w:rFonts w:ascii="Times New Roman" w:hAnsi="Times New Roman"/>
          <w:color w:val="000000" w:themeColor="text1"/>
          <w:sz w:val="16"/>
          <w:szCs w:val="16"/>
        </w:rPr>
        <w:t>-14 (1999-2005-), ВР-24 (2005); газогенераторов ЭУ 1000 (2002), НК-16СТ (1999-2005-); сборка.</w:t>
      </w:r>
    </w:p>
    <w:p w14:paraId="73B26E3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w:t>
      </w:r>
      <w:r w:rsidRPr="00D03F3E">
        <w:rPr>
          <w:rFonts w:ascii="Times New Roman" w:hAnsi="Times New Roman"/>
          <w:color w:val="000000" w:themeColor="text1"/>
          <w:sz w:val="16"/>
          <w:szCs w:val="16"/>
        </w:rPr>
        <w:t xml:space="preserve"> самолеты И-15, И-16, «СБ» (ВОВ), «Авиатика-890У» (-1990-е-2005-); детали снарядов для «Катюш» (ВОВ) (11982).</w:t>
      </w:r>
    </w:p>
    <w:p w14:paraId="1F3B6A6F" w14:textId="77777777" w:rsidR="007431CC" w:rsidRPr="00D03F3E" w:rsidRDefault="007431CC" w:rsidP="00D03F3E">
      <w:pPr>
        <w:autoSpaceDE w:val="0"/>
        <w:autoSpaceDN w:val="0"/>
        <w:adjustRightInd w:val="0"/>
        <w:spacing w:after="0" w:line="240" w:lineRule="auto"/>
        <w:jc w:val="both"/>
        <w:rPr>
          <w:rFonts w:ascii="Times New Roman" w:hAnsi="Times New Roman"/>
          <w:color w:val="000000" w:themeColor="text1"/>
          <w:sz w:val="16"/>
          <w:szCs w:val="16"/>
        </w:rPr>
      </w:pPr>
    </w:p>
    <w:p w14:paraId="456EE330" w14:textId="77777777" w:rsidR="00C84258" w:rsidRPr="00D03F3E"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состоянию на 1 января 1943 г. в новой Омской области были 4 авиазавода № 29, 166, 20 и 288. К Тюменской области отходил завод № 499 в Заводоуковске (11896).</w:t>
      </w:r>
    </w:p>
    <w:p w14:paraId="4A0E917D" w14:textId="77777777" w:rsidR="00C84258" w:rsidRPr="00D03F3E"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p>
    <w:p w14:paraId="2BF03537" w14:textId="77777777" w:rsidR="008C5F3D" w:rsidRPr="00D03F3E" w:rsidRDefault="008C5F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 января 1943 г. завод № 600 в Урумчи был окончательно перестроен на самолётно-строительный, пройдя последовательно стадии самолётно-сборочного и агрегатного производства. До конца 1942 г. заводу предписывалось собрать из комплектующих 40 УТ-2МВ, а также создать задел, позволяющий выпустить в январе 1943 г. 10 машин собственной постройки. Невыполнение заводом № 47 установленного ему графика поставки агрегатов самолёта УТ-2МВ заставило НКАП дать заводу № 600 указание заключить договор с УВВС КА на поставку в 1942 году 17 самолётов УТ-2, которые и были сданы заводом (19006).</w:t>
      </w:r>
    </w:p>
    <w:p w14:paraId="3936396D" w14:textId="77777777" w:rsidR="008C5F3D" w:rsidRPr="00D03F3E" w:rsidRDefault="008C5F3D" w:rsidP="00D03F3E">
      <w:pPr>
        <w:spacing w:after="0" w:line="240" w:lineRule="auto"/>
        <w:jc w:val="both"/>
        <w:rPr>
          <w:rFonts w:ascii="Times New Roman" w:hAnsi="Times New Roman"/>
          <w:color w:val="000000" w:themeColor="text1"/>
          <w:sz w:val="16"/>
          <w:szCs w:val="16"/>
        </w:rPr>
      </w:pPr>
    </w:p>
    <w:p w14:paraId="7045D825"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282039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CFC2E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января 1943 года на Кировском заводе имелось 63 штуки АТО-41 и патрон к нему латунных 30 000 штук. Порошка ОП-2 не было (11403).</w:t>
      </w:r>
    </w:p>
    <w:p w14:paraId="0D74904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CFB96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 января 1943 г. для обеспечения надежности работы танка Т-34, его узлов и агрегатов коллек</w:t>
      </w:r>
      <w:r w:rsidRPr="00D03F3E">
        <w:rPr>
          <w:rFonts w:ascii="Times New Roman" w:hAnsi="Times New Roman"/>
          <w:color w:val="000000" w:themeColor="text1"/>
          <w:sz w:val="16"/>
          <w:szCs w:val="16"/>
        </w:rPr>
        <w:softHyphen/>
        <w:t>тив завода № 183 улуч</w:t>
      </w:r>
      <w:r w:rsidRPr="00D03F3E">
        <w:rPr>
          <w:rFonts w:ascii="Times New Roman" w:hAnsi="Times New Roman"/>
          <w:color w:val="000000" w:themeColor="text1"/>
          <w:sz w:val="16"/>
          <w:szCs w:val="16"/>
        </w:rPr>
        <w:softHyphen/>
        <w:t>шил конструкцию главного фрикциона, ввел гусеницу с новыми траками, обеспе</w:t>
      </w:r>
      <w:r w:rsidRPr="00D03F3E">
        <w:rPr>
          <w:rFonts w:ascii="Times New Roman" w:hAnsi="Times New Roman"/>
          <w:color w:val="000000" w:themeColor="text1"/>
          <w:sz w:val="16"/>
          <w:szCs w:val="16"/>
        </w:rPr>
        <w:softHyphen/>
        <w:t>чившими повышенные сцепные свойства с грунтом. Параллельно с этим конструк-. торский отдел завода, во исполнение по</w:t>
      </w:r>
      <w:r w:rsidRPr="00D03F3E">
        <w:rPr>
          <w:rFonts w:ascii="Times New Roman" w:hAnsi="Times New Roman"/>
          <w:color w:val="000000" w:themeColor="text1"/>
          <w:sz w:val="16"/>
          <w:szCs w:val="16"/>
        </w:rPr>
        <w:softHyphen/>
        <w:t>становления ГКО от 5 июня 1942 г. "О по</w:t>
      </w:r>
      <w:r w:rsidRPr="00D03F3E">
        <w:rPr>
          <w:rFonts w:ascii="Times New Roman" w:hAnsi="Times New Roman"/>
          <w:color w:val="000000" w:themeColor="text1"/>
          <w:sz w:val="16"/>
          <w:szCs w:val="16"/>
        </w:rPr>
        <w:softHyphen/>
        <w:t>вышении качества танков Т-34" прорабо</w:t>
      </w:r>
      <w:r w:rsidRPr="00D03F3E">
        <w:rPr>
          <w:rFonts w:ascii="Times New Roman" w:hAnsi="Times New Roman"/>
          <w:color w:val="000000" w:themeColor="text1"/>
          <w:sz w:val="16"/>
          <w:szCs w:val="16"/>
        </w:rPr>
        <w:softHyphen/>
        <w:t>тал и испытал пятиетупенчатую коробку передач с постоянным зацеплением шес</w:t>
      </w:r>
      <w:r w:rsidRPr="00D03F3E">
        <w:rPr>
          <w:rFonts w:ascii="Times New Roman" w:hAnsi="Times New Roman"/>
          <w:color w:val="000000" w:themeColor="text1"/>
          <w:sz w:val="16"/>
          <w:szCs w:val="16"/>
        </w:rPr>
        <w:softHyphen/>
        <w:t>терен (10703).</w:t>
      </w:r>
    </w:p>
    <w:p w14:paraId="7B08747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67EC98"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января 1943 года численность рабочих завода № 183 увеличилась с 19959 человек на 1 января 1942 года до 32576, то есть всего на 11767 человек. Как отмечалось в отчете завода N° 183 основными причинами сокращения рабочей силы являлись «дезертирство с производства, смертность и увольнение по болезни.</w:t>
      </w:r>
    </w:p>
    <w:p w14:paraId="43EC3918"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1943 году на завод приняли 7261 рабочего, ни при этом убыль составила 8631 человек. Основными причинами были дезертирство - 39%, увольнение по болезни - 12%, смертность - 10%, призыв в Красную Армию - 10%. Только в 1944 году, когда удалось улучшить жилищные и бытовые условия рабочих, текучесть кадров снизилась.</w:t>
      </w:r>
    </w:p>
    <w:p w14:paraId="58571832"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то, что производство танков было связано с применением сложного оборудования и тяжелого мужского труда, на заводе № 183 в годы войны работало много женщин: в разные годы их число составляло от 22,1до 29,7% общего количества работавших в танковом производстве (от 5926 до 7424 человек) (12217).</w:t>
      </w:r>
    </w:p>
    <w:p w14:paraId="20482523" w14:textId="77777777" w:rsidR="000B21EB" w:rsidRPr="00D03F3E" w:rsidRDefault="000B21EB" w:rsidP="00D03F3E">
      <w:pPr>
        <w:spacing w:after="0" w:line="240" w:lineRule="auto"/>
        <w:jc w:val="both"/>
        <w:rPr>
          <w:rFonts w:ascii="Times New Roman" w:hAnsi="Times New Roman"/>
          <w:color w:val="000000" w:themeColor="text1"/>
          <w:sz w:val="16"/>
          <w:szCs w:val="16"/>
        </w:rPr>
      </w:pPr>
    </w:p>
    <w:p w14:paraId="0AC5639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 января 1943 г. была изготовлена первая серия самоходных уста</w:t>
      </w:r>
      <w:r w:rsidRPr="00D03F3E">
        <w:rPr>
          <w:rFonts w:ascii="Times New Roman" w:hAnsi="Times New Roman"/>
          <w:color w:val="000000" w:themeColor="text1"/>
          <w:sz w:val="16"/>
          <w:szCs w:val="16"/>
        </w:rPr>
        <w:softHyphen/>
        <w:t>новок СУ-76 в количестве 25 машин, которые были направлены в учебный центр самоходной артиллерии. Эти машины вошли в состав двух первых самоходно-артиллерийских полков, которые решением Ставки ВГК были направлены на Волховский фронт для использования в качестве артиллерии сопровождения пехоты и танков (10703).</w:t>
      </w:r>
    </w:p>
    <w:p w14:paraId="51897FD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F9ACC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 января 1943 года официально началось серийное производство СУ-12 Коломенского завода N 38, которая 9 декабря 1942 была рекомендована для принятия на вооружение под названием "штурмовая самоходная пушка поддержки пехотных и танковых подразделений СУ-76" (3862).</w:t>
      </w:r>
    </w:p>
    <w:p w14:paraId="5F67049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Проектировщики силовой установки применили не последовательное расположение двух двигателей ГАЗ-202, а параллельное, с работой на общий выходной вал. Полностью закрытый корпус был сварен из катаных бронелистов толщиной 10-35 мм; отделение управления располагалось в передней части машины (посередине между двигателями), а рубка с орудием ЗИС-3Ш - в корме (3862).</w:t>
      </w:r>
    </w:p>
    <w:p w14:paraId="0E27358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 из трех человек имел дополнительный пулемет ДТ и личное оружие (3862).</w:t>
      </w:r>
    </w:p>
    <w:p w14:paraId="113E13E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8E48C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 января 1943 года была изготовлена первая партия СУ-76 (25 шт) и направлена в учебный центр самоходной артиллерии (3862).</w:t>
      </w:r>
    </w:p>
    <w:p w14:paraId="0E8BD00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B8FB3B" w14:textId="77777777" w:rsidR="00CF4C6A" w:rsidRPr="00D03F3E" w:rsidRDefault="00CF4C6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 1 января 1944 года, согласно отчёту помощника командующего БТ и МВ Дальневосточного Фронта инженер-полковника Рогачёва,  было перевооружено 97 Т-37 и Т-38. За январь 1944 года удалось перевооружить ещё 2 Т-37 и 11 Т-38, за февраль было отгружено 10 Т-38 с новым вооружением. На этом отчёты БТРЗ №105 снова пропадают из переписки. Опираясь на эти цифры, можно говорить как минимум о 120 танках, хотя итоговое их количество может быть гораздо большим.</w:t>
      </w:r>
    </w:p>
    <w:p w14:paraId="678AD9FA" w14:textId="77777777" w:rsidR="00CF4C6A" w:rsidRPr="00D03F3E" w:rsidRDefault="00CF4C6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Опасения насчёт того, что при перевооружении Т-37 и Т-38 на ТНШ придётся переделывать систему питания пушки боеприпасами, оказались напрасными. Судя по танку, который сохранился в экспозиции ЦМВС, проблем с этим не возникло. Не было и особых проблем и с установкой вооружения, поскольку по ширине лобовой детали башни Т-38 и Т-37 практически совпадали с башней </w:t>
      </w:r>
      <w:hyperlink r:id="rId7" w:history="1">
        <w:r w:rsidRPr="00D03F3E">
          <w:rPr>
            <w:rFonts w:ascii="Times New Roman" w:eastAsia="Times New Roman" w:hAnsi="Times New Roman"/>
            <w:color w:val="000000" w:themeColor="text1"/>
            <w:sz w:val="16"/>
            <w:szCs w:val="16"/>
            <w:lang w:eastAsia="ru-RU"/>
          </w:rPr>
          <w:t>танка Т-60</w:t>
        </w:r>
      </w:hyperlink>
      <w:r w:rsidRPr="00D03F3E">
        <w:rPr>
          <w:rFonts w:ascii="Times New Roman" w:eastAsia="Times New Roman" w:hAnsi="Times New Roman"/>
          <w:color w:val="000000" w:themeColor="text1"/>
          <w:sz w:val="16"/>
          <w:szCs w:val="16"/>
          <w:lang w:eastAsia="ru-RU"/>
        </w:rPr>
        <w:t>. Орудийная маска во многом напоминала ту, что ставилась на Т-60. Это же было справедливо и в отношении расположения самой пушки ТНШ, пулемёта ДТ, а также прицела ТМФП-1. Что же касается бронировки маски, то она напоминала ту, которая использовалась на Т-30.</w:t>
      </w:r>
    </w:p>
    <w:p w14:paraId="54D939F7" w14:textId="77777777" w:rsidR="00CF4C6A" w:rsidRPr="00D03F3E" w:rsidRDefault="00CF4C6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Меньшие, чем у Т-60, размеры башни частично компенсировались тем, что на плавающих танках отсутствовали громоздкие механизмы наведения. Наведение по вертикали осуществлялось при помощи плечевого упора. Удалось обойтись и без механизма горизонтальной наводки: как и на обычном Т-38, башня перевооружённого танка вращалась командиром (он же наводчик и заряжающий) вручную безо всяких маховиков. Боезапас к пулемёту ДТ был сокращён до 1260 патронов (20 дисков). Для ТНШ боезапас оказался равен 4 коробкам (240 снарядов), размещались они в ящике позади башни (17660).</w:t>
      </w:r>
    </w:p>
    <w:p w14:paraId="2C919305" w14:textId="77777777" w:rsidR="00CF4C6A" w:rsidRPr="00D03F3E" w:rsidRDefault="00CF4C6A" w:rsidP="00D03F3E">
      <w:pPr>
        <w:spacing w:after="0" w:line="240" w:lineRule="auto"/>
        <w:jc w:val="both"/>
        <w:rPr>
          <w:rFonts w:ascii="Times New Roman" w:eastAsia="Times New Roman" w:hAnsi="Times New Roman"/>
          <w:color w:val="000000" w:themeColor="text1"/>
          <w:sz w:val="16"/>
          <w:szCs w:val="16"/>
          <w:lang w:eastAsia="ru-RU"/>
        </w:rPr>
      </w:pPr>
    </w:p>
    <w:p w14:paraId="67C1FBE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января 1943 был подготовлен Отчет завода № 398 НКБ за 1942 год</w:t>
      </w:r>
    </w:p>
    <w:p w14:paraId="17EAE6D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 Антонов</w:t>
      </w:r>
    </w:p>
    <w:p w14:paraId="29A709A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Москва 54, п/я 1354 (10143).</w:t>
      </w:r>
    </w:p>
    <w:p w14:paraId="082AC21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656F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января 1943 был подготовлен Отчет завода № 331 НКБ за 1942 год</w:t>
      </w:r>
    </w:p>
    <w:p w14:paraId="2D7779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Москва 118, п/я 300 (10144).</w:t>
      </w:r>
    </w:p>
    <w:p w14:paraId="5B7A4EF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3564E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января 1943 был подготовлен Отчет СКБ-35 НКБ за 1942 год</w:t>
      </w:r>
    </w:p>
    <w:p w14:paraId="616CCAB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Москва, п/я 689</w:t>
      </w:r>
    </w:p>
    <w:p w14:paraId="25A9650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 Сердюк А.К. (10145).</w:t>
      </w:r>
    </w:p>
    <w:p w14:paraId="6E95D79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7CCD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января 1943 Отчет завода № 529 НКВ за 1942 год</w:t>
      </w:r>
    </w:p>
    <w:p w14:paraId="1FE23F3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Новая Ляля Свердловской области, п/я 6</w:t>
      </w:r>
    </w:p>
    <w:p w14:paraId="459F1E2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 Аристов</w:t>
      </w:r>
    </w:p>
    <w:p w14:paraId="0454B8D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Выпуск пиротехнических патронов 7,62 мм.</w:t>
      </w:r>
    </w:p>
    <w:p w14:paraId="41435DC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расположен на территории Ново-Лялинского бумкомбината (10094).</w:t>
      </w:r>
    </w:p>
    <w:p w14:paraId="50708C8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CCFC7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января 1943 Отчет завода № 304 НКВ за 1942 год</w:t>
      </w:r>
    </w:p>
    <w:p w14:paraId="3AFDB1F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Рязань, п/я 16</w:t>
      </w:r>
    </w:p>
    <w:p w14:paraId="31A09FE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Строительство завода № 304 законсервировано с 15 сентября 1941 года (10095).</w:t>
      </w:r>
    </w:p>
    <w:p w14:paraId="7A22441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9B1FE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января 1943 Отчет завода № 304 НКВ за 1942 год</w:t>
      </w:r>
    </w:p>
    <w:p w14:paraId="4D23394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Кунцево Московской области, п/я 15</w:t>
      </w:r>
    </w:p>
    <w:p w14:paraId="5B59559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 Нестеров</w:t>
      </w:r>
    </w:p>
    <w:p w14:paraId="0D36A62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304 был восстановлен в 1942 году на части площадей эвакуированного завода № 46.</w:t>
      </w:r>
    </w:p>
    <w:p w14:paraId="0490130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гильзы и пули патронов ТТ и др. (10096).</w:t>
      </w:r>
    </w:p>
    <w:p w14:paraId="2636177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2EB44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января 1943 Отчет завода № 303 НКВ за 1942 год</w:t>
      </w:r>
    </w:p>
    <w:p w14:paraId="0EC6DA4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Владимир, п/я 32</w:t>
      </w:r>
    </w:p>
    <w:p w14:paraId="7DB1223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И.о. директора – Блинов (10097).</w:t>
      </w:r>
    </w:p>
    <w:p w14:paraId="0F79C5C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A57FF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января 1943 был подготовлен Отчет завода № 637 НКБ за 1942 год</w:t>
      </w:r>
    </w:p>
    <w:p w14:paraId="612B1FA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 Кошелев</w:t>
      </w:r>
    </w:p>
    <w:p w14:paraId="4E6A9D0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ст. Эльбан Комсомольского района Хабаровского края (10222).</w:t>
      </w:r>
    </w:p>
    <w:p w14:paraId="6B17722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82529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января 1943 был подготовлен Отчет завода № 635 (снаряжательный) НКБ за 1942 год</w:t>
      </w:r>
    </w:p>
    <w:p w14:paraId="0BA7A61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 Савосин</w:t>
      </w:r>
    </w:p>
    <w:p w14:paraId="399C0A4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Новосибирск, ст. Заводская</w:t>
      </w:r>
    </w:p>
    <w:p w14:paraId="3243805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Ввод в эксплуатацию – 1942 год</w:t>
      </w:r>
    </w:p>
    <w:p w14:paraId="62A0549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Организован на базе оборудования эвакуированных заводов №№ 12, 55 (10223).</w:t>
      </w:r>
    </w:p>
    <w:p w14:paraId="3BD8FDE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91DF8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января 1943 был подготовлен Отчет завода № 611 (боеприпасы) НКБ за 1942 год</w:t>
      </w:r>
    </w:p>
    <w:p w14:paraId="0D39695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Миасс Челябинской области, п/я 25</w:t>
      </w:r>
    </w:p>
    <w:p w14:paraId="6E8A9E3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Ввод в эксплуатацию – 1942 год (10224).</w:t>
      </w:r>
    </w:p>
    <w:p w14:paraId="56E3C67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41CF6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января 1943 был подготовлен Отчет завода № 610 (боеприпасы) НКБ за 1942 год</w:t>
      </w:r>
    </w:p>
    <w:p w14:paraId="26BF364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 Аигезал-Заде</w:t>
      </w:r>
    </w:p>
    <w:p w14:paraId="109320A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Баку</w:t>
      </w:r>
    </w:p>
    <w:p w14:paraId="7759A4F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Ввод в эксплуатацию – 1941 год (10225).</w:t>
      </w:r>
    </w:p>
    <w:p w14:paraId="4519F42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B7D84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января 1943 был подготовлен Отчет завода № 602 НКБ за 1942 год</w:t>
      </w:r>
    </w:p>
    <w:p w14:paraId="1AF0F56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Саратов, п/я 110</w:t>
      </w:r>
    </w:p>
    <w:p w14:paraId="290379E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 Ненашев</w:t>
      </w:r>
    </w:p>
    <w:p w14:paraId="0568C56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Год ввода в эксплуатацию – 1941</w:t>
      </w:r>
    </w:p>
    <w:p w14:paraId="1F69A72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Указом Президиума ВС от 1 сентября 1941 года на базе асфальто-бетонного завода Саратовского областного дорожного отдела в Саратове было предложено организовать снаряжательный завод № 602.</w:t>
      </w:r>
    </w:p>
    <w:p w14:paraId="333E7FD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Эта площадка оказалась непригодной и была заменена в ноябре 1941 года на оцинковальный цех завода им. Ленина Наркомчермета.</w:t>
      </w:r>
    </w:p>
    <w:p w14:paraId="7FBB8B4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декабря 1941 года завод приступил к выпуску боеприпасов (10226).</w:t>
      </w:r>
    </w:p>
    <w:p w14:paraId="58DA649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524B1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января 1943 был подготовлен Отчет завода № 596 НКБ за 1942 год</w:t>
      </w:r>
    </w:p>
    <w:p w14:paraId="6916FDA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655 НКЭП (Ярославский электромашиностроительный завод) (10227).</w:t>
      </w:r>
    </w:p>
    <w:p w14:paraId="320DE32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F65A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января 1943 был подготовлен Отчет завода № 596 НКБ за 1942 год</w:t>
      </w:r>
    </w:p>
    <w:p w14:paraId="047C348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 Субботин</w:t>
      </w:r>
    </w:p>
    <w:p w14:paraId="2BF8E07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Ярославль, п/я 50</w:t>
      </w:r>
    </w:p>
    <w:p w14:paraId="05C8D80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Год ввода в эксплуатацию – 1941</w:t>
      </w:r>
    </w:p>
    <w:p w14:paraId="05145C5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Первоначальная в августе 1941 года организация завода, как цеха в составе завода № 62 НКБ, с последующей в сентябре 1941 года передачей как цеха в состав Ярославского электромашиностроительного завода (в настоящее время завод № 655 НКЭП) и окончательная организация в феврале 1942 года завода как самостоятельной единицы (10227).</w:t>
      </w:r>
    </w:p>
    <w:p w14:paraId="79280AC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31D6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января 1943 был подготовлен Отчет завода № 595 НКБ за 1942 год</w:t>
      </w:r>
    </w:p>
    <w:p w14:paraId="63092E3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 Логинов</w:t>
      </w:r>
    </w:p>
    <w:p w14:paraId="723DD37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Красноуральск Свердловской области, п/я 4</w:t>
      </w:r>
    </w:p>
    <w:p w14:paraId="48E7130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Год ввода в эксплуатацию – нет ввода</w:t>
      </w:r>
    </w:p>
    <w:p w14:paraId="63D23C2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Строительство завода осуществляется на основании решения СНК от 6 июня 1941 года.</w:t>
      </w:r>
    </w:p>
    <w:p w14:paraId="13597B2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Площадка завода расположена в 2,5 км от Красноуральска (10228).</w:t>
      </w:r>
    </w:p>
    <w:p w14:paraId="6AD583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17DA3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января 1943 был подготовлен Отчет завода № 582 НКБ за 1942 год</w:t>
      </w:r>
    </w:p>
    <w:p w14:paraId="5A1AD53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И.о. директора – Махалов</w:t>
      </w:r>
    </w:p>
    <w:p w14:paraId="5273183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Балашиха Московской области, п/я 8</w:t>
      </w:r>
    </w:p>
    <w:p w14:paraId="2473EEE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Год ввода в эксплуатацию – 1941</w:t>
      </w:r>
    </w:p>
    <w:p w14:paraId="0EA0413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организован на базе Реутовского Райпромкомбината в августе 1941 года.</w:t>
      </w:r>
    </w:p>
    <w:p w14:paraId="34F206F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организации завода имелось в виду – выпуск зажигательных авиабомб, приготовление пиротехнических смесей и прессование шашек детонаторов для завода НКБ.</w:t>
      </w:r>
    </w:p>
    <w:p w14:paraId="4402D9F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ноябре 1941 завод первоначально приступил к освоению снаряжения ручных гранат Ф-1.</w:t>
      </w:r>
    </w:p>
    <w:p w14:paraId="3C71ED6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Территориально завод был расположен в мастерских Райпромкомбината в деревне Пехра-Покровская и по приказу зам. наркома боеприпасов Гамова в декабре 1941 года было предложено завод перевести на территорию эвакуированного завода № 401 НКБ, расположенного в г. Балашиха 1-я, ст. Горенки.</w:t>
      </w:r>
    </w:p>
    <w:p w14:paraId="79ADFD4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Был установлен профиль завода – снаряжательный (10229).</w:t>
      </w:r>
    </w:p>
    <w:p w14:paraId="22DAA41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D53C8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января 1943 был подготовлен Отчет завода № 570 НКБ за 1942 год</w:t>
      </w:r>
    </w:p>
    <w:p w14:paraId="6780CA4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 Бабаев</w:t>
      </w:r>
    </w:p>
    <w:p w14:paraId="52DD1CE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был создан на базе Сумгаитского тукосмесительного завода Главазота НКХП СССР во исполнение постановления Совнаркома от 16 ноября 1941 года.</w:t>
      </w:r>
    </w:p>
    <w:p w14:paraId="07AB71B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Профиль – снаряжение боеприпасов и производство взрывчатых веществ</w:t>
      </w:r>
    </w:p>
    <w:p w14:paraId="573717A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Баку-Сумгаит</w:t>
      </w:r>
    </w:p>
    <w:p w14:paraId="77926FA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Год ввода в эксплуатацию – 1942 (10330).</w:t>
      </w:r>
    </w:p>
    <w:p w14:paraId="47D13BC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EFBF8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января 1943 был подготовлен Отчет завода № 527 НКБ за 1942 год</w:t>
      </w:r>
    </w:p>
    <w:p w14:paraId="48935D4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 Волков Д.В. с 7 декабря 1942 года</w:t>
      </w:r>
    </w:p>
    <w:p w14:paraId="586E78A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Люберцы Московско йобласти, п/я 68</w:t>
      </w:r>
    </w:p>
    <w:p w14:paraId="2118B02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Год ввода в эксплуатацию – 1930</w:t>
      </w:r>
    </w:p>
    <w:p w14:paraId="4B29EB0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по июнь 1942 года завод был законсервирован.</w:t>
      </w:r>
    </w:p>
    <w:p w14:paraId="222A74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1941 году завод выпускал силикатный кирпич и известь. В ноябре 1941 года завод приступил к эвакуации.</w:t>
      </w:r>
    </w:p>
    <w:p w14:paraId="51B921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был переоборудован под производство боеприпасов (10331).</w:t>
      </w:r>
    </w:p>
    <w:p w14:paraId="4644E67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4AF53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 января 1943 был подготовлен Отчет завода № 316 НКБ за 1942 год</w:t>
      </w:r>
    </w:p>
    <w:p w14:paraId="42AF2F5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Тбилиси, п/я 431 (10332).</w:t>
      </w:r>
    </w:p>
    <w:p w14:paraId="55B781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E68F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января 1943 вступил в строй крейсер "Калинин" (главный строитель А. 3. Голланд). На этом крейсере была усилена прочность днища в кормовой части корпуса. Вместо шести 100-мм пушек на нем пришлось ус</w:t>
      </w:r>
      <w:r w:rsidRPr="00D03F3E">
        <w:rPr>
          <w:rFonts w:ascii="Times New Roman" w:hAnsi="Times New Roman"/>
          <w:color w:val="000000" w:themeColor="text1"/>
          <w:sz w:val="16"/>
          <w:szCs w:val="16"/>
        </w:rPr>
        <w:softHyphen/>
        <w:t>тановить восемь одноорудийных 85-мм установок 90-К (масса сна</w:t>
      </w:r>
      <w:r w:rsidRPr="00D03F3E">
        <w:rPr>
          <w:rFonts w:ascii="Times New Roman" w:hAnsi="Times New Roman"/>
          <w:color w:val="000000" w:themeColor="text1"/>
          <w:sz w:val="16"/>
          <w:szCs w:val="16"/>
        </w:rPr>
        <w:softHyphen/>
        <w:t>ряда 9,2 кг, дальность стрельбы 15,5 км, досягаемость по высоте 10,1 км). Авиационное вооружение отсутствовало и было установ</w:t>
      </w:r>
      <w:r w:rsidRPr="00D03F3E">
        <w:rPr>
          <w:rFonts w:ascii="Times New Roman" w:hAnsi="Times New Roman"/>
          <w:color w:val="000000" w:themeColor="text1"/>
          <w:sz w:val="16"/>
          <w:szCs w:val="16"/>
        </w:rPr>
        <w:softHyphen/>
        <w:t>лено уже после войны (с самолетами "КОР-2"). Полное водоизме</w:t>
      </w:r>
      <w:r w:rsidRPr="00D03F3E">
        <w:rPr>
          <w:rFonts w:ascii="Times New Roman" w:hAnsi="Times New Roman"/>
          <w:color w:val="000000" w:themeColor="text1"/>
          <w:sz w:val="16"/>
          <w:szCs w:val="16"/>
        </w:rPr>
        <w:softHyphen/>
        <w:t>щение корабля увеличилось до 10 040 т, скорость полного хода на "испытаниях составила 32,2 уз при мощности турбин 109 500 л. с., Дальность плавания 16,5-узловым ходом 3100 миль (9838).</w:t>
      </w:r>
    </w:p>
    <w:p w14:paraId="5716496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0A1EC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 1 января 1943 г. Морской флот СССР пополнился 85 судами грузоподъемностью 230 тыс. т, из которых только 14 были построены или восстановлены на советских вер</w:t>
      </w:r>
      <w:r w:rsidRPr="00D03F3E">
        <w:rPr>
          <w:rFonts w:ascii="Times New Roman" w:hAnsi="Times New Roman"/>
          <w:color w:val="000000" w:themeColor="text1"/>
          <w:sz w:val="16"/>
          <w:szCs w:val="16"/>
        </w:rPr>
        <w:softHyphen/>
        <w:t>фях, 27 куплены, а остальные получены по ленд-лизу (3898).</w:t>
      </w:r>
    </w:p>
    <w:p w14:paraId="584B7A8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A87CC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января 1943 На Адмиралтейском заводе начаты гарантийные работы на ПЛ К-52; выполнены к 20 апреля (10671).</w:t>
      </w:r>
    </w:p>
    <w:p w14:paraId="74C7180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F0F665"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7B29494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EDC2D2"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января</w:t>
      </w:r>
      <w:r w:rsidRPr="00D03F3E">
        <w:rPr>
          <w:rFonts w:ascii="Times New Roman" w:hAnsi="Times New Roman"/>
          <w:color w:val="000000" w:themeColor="text1"/>
          <w:sz w:val="16"/>
          <w:szCs w:val="16"/>
        </w:rPr>
        <w:t xml:space="preserve"> в 1943 году В последний час.</w:t>
      </w:r>
    </w:p>
    <w:p w14:paraId="3157E6CE"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наши войска в результате решительного штурма овладели городом и железнодорожным узлом Великие Луки. Ввиду отказа сложить оружие немецкий гарнизон города истреблён. Южнее Сталинграда наши войска овладели городом Элиста.</w:t>
      </w:r>
    </w:p>
    <w:p w14:paraId="143E31B3"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Сталинграда наши войска овладели районным центром Тормосин.</w:t>
      </w:r>
    </w:p>
    <w:p w14:paraId="310550BB"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овладели районным центром Чикола.</w:t>
      </w:r>
    </w:p>
    <w:p w14:paraId="33F6F252"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Захвачены пленные и трофеи.» (14996).</w:t>
      </w:r>
    </w:p>
    <w:p w14:paraId="23BB0C35" w14:textId="77777777" w:rsidR="007431CC" w:rsidRPr="00D03F3E" w:rsidRDefault="007431CC" w:rsidP="00D03F3E">
      <w:pPr>
        <w:spacing w:after="0" w:line="240" w:lineRule="auto"/>
        <w:jc w:val="both"/>
        <w:rPr>
          <w:rFonts w:ascii="Times New Roman" w:hAnsi="Times New Roman"/>
          <w:color w:val="000000" w:themeColor="text1"/>
          <w:sz w:val="16"/>
          <w:szCs w:val="16"/>
        </w:rPr>
      </w:pPr>
    </w:p>
    <w:p w14:paraId="59D00D9E"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1DA7415D"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 января наши войска южнее Сталинграда, в районе Среднего Дона и на Центральном фронте продолжали вести наступательные бои на прежних направлениях.</w:t>
      </w:r>
    </w:p>
    <w:p w14:paraId="348353E5"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заводском районе Сталинграда наши части с боями продвинулись вперёд, заняли два квартала и несколько десятков вражеских дзотов и блиндажей. Противник потерял убитыми свыше 200 солдат и офицеров.</w:t>
      </w:r>
    </w:p>
    <w:p w14:paraId="2D363A21"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Сталинграда наши войска вели активные боевые действия и улучшили свои позиции. На одном участке советские подразделения заняли высоту и уничтожили до 100 немецких солдат и офицеров. Захвачено 2 орудия, 7 пулемётов и 3 миномёта. На другом участке Н-ская часть отразила две вражеские контратаки и истребила до роты гитлеровцев, сожгла 10 и подбила 4 немецких танка. Взяты трофеи и пленные.</w:t>
      </w:r>
    </w:p>
    <w:p w14:paraId="1460D7D6"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Сталинграда наши войска продолжали преследовать противника и овладели несколькими населёнными пунктами. Танкисты Н-ской части уничтожили 9 немецких противотанковых орудий, 23 пулемёта, 38 автомашин и истребили свыше 300 вражеских солдат и офицеров. Взято 65 пленных. На другом участке немцы, укрепившись на выгодных позициях, пытались задержать продвижение советских частей. Наши бойцы обошли противника и ударили ему в тыл. В ожесточённом бою истреблено 400 вражеских солдат и офицеров. Захвачены трофеи и пленные.</w:t>
      </w:r>
    </w:p>
    <w:p w14:paraId="6244EA08"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Дона наши войска вели наступление и на отдельных участках отбивали контратаки противника. Н-ская гвардейская часть, успешно продвигаясь вперёд, заняла три населённых пункта. Захвачено 16 орудий, 45 автомашин, 8 радиостанций и взято в плен 450 вражеских солдат и офицеров. На одном из участков немецкая пехота н танки предприняли контратаку. Наши подразделения отбили контратаку гитлеровцев и вынудили их отойти на исходные позиции. Противник потерял только убитыми до 300 солдат и офицеров.</w:t>
      </w:r>
    </w:p>
    <w:p w14:paraId="08D32514"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наши войска вели наступательные бои. В районе Великих Лук советские части овладели целым рядом укреплённых узлов вражеской обороны и уничтожили свыше 400 немецких солдат и офицеров.</w:t>
      </w:r>
    </w:p>
    <w:p w14:paraId="27422085"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западнее Ржева наши бойцы отразили несколько атак противника, истребили до 100 гитлеровцев и подбили 7 немецких танков.</w:t>
      </w:r>
    </w:p>
    <w:p w14:paraId="2EE66742"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Партизанские отряды «Буря», «Орёл» и «Вихрь», действующие на Северном Кавказе, в боях против немецких захватчиков истребили 184 немецких солдата и офицера. Один из отрядов северо-кавказских партизан пустил под откос воинский эшелон. При крушении разбито 14 вагонов с немецкими солдатами и офицерами. Убито около 400 гитлеровцев.</w:t>
      </w:r>
    </w:p>
    <w:p w14:paraId="581419C1"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учинили расправу над жителями деревни Голубово, Ленинградской области. Ночью 17 декабря немцы ворвались в деревню, согнали всех крестьян вместе с семьями в колхозную конюшню и заперли их. Ограбив дочиста все дома колхозников, бандиты подожгли деревню. Гитлеровские палачи расстреляли в конюшне на глазах у женщин и детей 12 стариков. Здесь же гитлеровцы сняли у всех жителей тёплую одежду, валенки, а затем раздетых и разутых жителей под конвоем угнали на принудительные работы.</w:t>
      </w:r>
    </w:p>
    <w:p w14:paraId="162CE598"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Чехословакии сообщают о возросшем сопротивлении немецким оккупантам. В Брно на военном заводе чешские патриоты похитили чертежи и сорвали выпуск оружия для германской армии. В Цильзене на военном заводе выпущено значительное количество орудий и пулемётов с большими дефектами. Специальная немецкая техническая комиссия забраковала все орудия и пулемёты. В связи с этим гестаповцы арестовали свыше 60 рабочих и инженеров. Через несколько дней чешские патриоты вывели из строя два цеха завода.» (14996).</w:t>
      </w:r>
    </w:p>
    <w:p w14:paraId="5370C1F3" w14:textId="77777777" w:rsidR="007431CC" w:rsidRPr="00D03F3E" w:rsidRDefault="007431CC" w:rsidP="00D03F3E">
      <w:pPr>
        <w:spacing w:after="0" w:line="240" w:lineRule="auto"/>
        <w:jc w:val="both"/>
        <w:rPr>
          <w:rFonts w:ascii="Times New Roman" w:hAnsi="Times New Roman"/>
          <w:color w:val="000000" w:themeColor="text1"/>
          <w:sz w:val="16"/>
          <w:szCs w:val="16"/>
        </w:rPr>
      </w:pPr>
    </w:p>
    <w:p w14:paraId="27CD56EE"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0B8C9F2A"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 января наши войска в районе Среднего Дона, юго-западнее и южнее Сталинграда, на Центральном фронте и на Северном Кавказе вели наступательные бои. Нашими войсками заняты город и железнодорожный узел Великие Луки, город Элиста, районные центры Тормосин, Чикола и крупные населённые пункты — Нижне-Курмоярская, Балабановский, Берёзка, Баклановский, Жуковская, Кривской, Мало-Лучная, Степано-Разинский, Комаров, Красный Яр, Верхне-Солоновский, Нижне-Солоновский, Попов, Хазнидон, Толдзгун.</w:t>
      </w:r>
    </w:p>
    <w:p w14:paraId="2CC2B24D"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декабря частями нашей авиации на различных участках фронта уничтожено или повреждено 10 немецких танков, до 50 автомашин с войсками и грузами, подавлен огонь 7 артиллерийских батарей, взорвано 2 склада боеприпасов, рассеяно и частью уничтожено до двух рот пехоты противника.</w:t>
      </w:r>
    </w:p>
    <w:p w14:paraId="443EF59C"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заводском районе Сталинграда наши штурмовые отряды, преодолевая сопротивление противника, продвинулись на 100-300. метров вперёд. Уничтожено много вражеских дзотов и блиндажей. Истреблено до 400 немецких солдат и офицеров. Захвачено 6 пулемётов, несколько миномётов и 20.000 патронов.</w:t>
      </w:r>
    </w:p>
    <w:p w14:paraId="3E614002"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Сталинграда наши части атаковали противника и заняли выгодные позиции. На поле боя осталось более 300 вражеских трупов и 5 подбитых немецких танков. Захвачены 8 пулемётов, 3 миномёта, 11 противотанковых ружей, радиостанция и другие трофеи.</w:t>
      </w:r>
    </w:p>
    <w:p w14:paraId="33E15A81"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Сталинграда наши войска продолжали успешное наступление и заняли несколько десятков населённых пунктов. Южнее Сталинграда наши части после ожесточённого боя овладели городом Элиста. Немцы понесли огромные потери. Танкисты под командованием старшего лейтенанта Дмитриева атаковали отступающего врага, истребили более 300 гитлеровцев и уничтожили 12 орудий. На другом участке бойцы Н-ской части истребили до батальона гитлеровцев, взяли в плен 400 человек и захватили у противника 6 исправных танков.</w:t>
      </w:r>
    </w:p>
    <w:p w14:paraId="6759CF2B"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Дона наши войска продолжали вести наступательные бои и заняли несколько населённых пунктов. В районе Обливской советские части захватили свыше 50 орудии, 50 автомашин, 12 тракторов, 1.500 винтовок, артиллерийский склад, 3 вещевых и 3 продовольственных склада, склад муки, элеватор с зерном, склад горючего, склад с инженерным имуществом и другие трофеи. Освобождено 3.000 мирных советских граждан, согнанных немцами на строительство военных сооружений. Бойцы Н-ской части, продвигаясь вперёд, истребили 600 немецких солдат и офицеров, уничтожили 10 орудий, 15 автомашин и 20 повозок.</w:t>
      </w:r>
    </w:p>
    <w:p w14:paraId="7B6D8952"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наши войска продолжали наступление. В результате решительного штурма наши части овладели городом и железнодорожным узлом Великие Луки. Ввиду отказа сложить оружие немецкий гарнизон города истреблён. На другом участке бойцы Н-ской части заняли несколько узлов обороны противника и захватили в плен 200 немецких солдат и офицеров. На поле боя осталось много вражеских трупов.</w:t>
      </w:r>
    </w:p>
    <w:p w14:paraId="343A13CA"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Юго-восточнее Нальчика наши войска овладели районным центром Чикола и населёнными пунктами Хазнидон и Толдзгун. Захвачены пленные и трофеи. На другом участке наши части, переправившиеся через Терек, продолжали теснить противника и уничтожили до двух рот немецкой пехоты, 4 орудия и 4 миномёта. Батарея под командованием гвардии капитана Кабицкого в течение нескольких часов подавила огонь 5 станковых пулемётов и уничтожила 13 автомашин противника с военными грузами.</w:t>
      </w:r>
    </w:p>
    <w:p w14:paraId="3315EFBF"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снайперы за два дня истребили 380 солдат и офицеров противника. Огнём артиллерии уничтожено 3 противотанковых орудия, 4 миномётные батареи, 10 автомашин и несколько повозок с военным грузом, разрушено 26 немецких дзотов и блиндажей.</w:t>
      </w:r>
    </w:p>
    <w:p w14:paraId="6B9B312D"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оккупированных немцами районов Смоленской области, пустил под откос два эшелона противника. Разбито 12 вагонов с различными грузами, 8 вагонов с войсками, 17 платформ с автомашинами и 3 цистерны с бензином. Другой отряд смоленских партизан вёл бой с немецкой войсковой частью. В этом бою советские патриоты истребили 68 гитлеровцев.» (14996).</w:t>
      </w:r>
    </w:p>
    <w:p w14:paraId="3BBA6D6E" w14:textId="77777777" w:rsidR="007431CC" w:rsidRPr="00D03F3E" w:rsidRDefault="007431CC" w:rsidP="00D03F3E">
      <w:pPr>
        <w:spacing w:after="0" w:line="240" w:lineRule="auto"/>
        <w:jc w:val="both"/>
        <w:rPr>
          <w:rFonts w:ascii="Times New Roman" w:hAnsi="Times New Roman"/>
          <w:color w:val="000000" w:themeColor="text1"/>
          <w:sz w:val="16"/>
          <w:szCs w:val="16"/>
        </w:rPr>
      </w:pPr>
    </w:p>
    <w:p w14:paraId="7A04E5F5"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января</w:t>
      </w:r>
      <w:r w:rsidRPr="00D03F3E">
        <w:rPr>
          <w:rFonts w:ascii="Times New Roman" w:hAnsi="Times New Roman"/>
          <w:color w:val="000000" w:themeColor="text1"/>
          <w:sz w:val="16"/>
          <w:szCs w:val="16"/>
        </w:rPr>
        <w:t xml:space="preserve"> в 1943 году Ставка ВГК переименовала Сталинградский фронт в Южный. Началась Ростовская наступательная операция войск Южного фронта (генерал-полковник А.И.Еременко, с 2 февраля - генерал-лейтенант Р.Я.Малиновский) при содействии Закавказского и (с 24 января) Северо-Кавказского фронтов, продолжавшаяся до 18 февраля (14996).</w:t>
      </w:r>
    </w:p>
    <w:p w14:paraId="28F6CF68" w14:textId="77777777" w:rsidR="007431CC" w:rsidRPr="00D03F3E" w:rsidRDefault="007431CC" w:rsidP="00D03F3E">
      <w:pPr>
        <w:spacing w:after="0" w:line="240" w:lineRule="auto"/>
        <w:jc w:val="both"/>
        <w:rPr>
          <w:rFonts w:ascii="Times New Roman" w:hAnsi="Times New Roman"/>
          <w:color w:val="000000" w:themeColor="text1"/>
          <w:sz w:val="16"/>
          <w:szCs w:val="16"/>
        </w:rPr>
      </w:pPr>
    </w:p>
    <w:p w14:paraId="1F7F95BC" w14:textId="77777777" w:rsidR="007431CC" w:rsidRPr="00D03F3E" w:rsidRDefault="007431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января</w:t>
      </w:r>
      <w:r w:rsidRPr="00D03F3E">
        <w:rPr>
          <w:rFonts w:ascii="Times New Roman" w:hAnsi="Times New Roman"/>
          <w:color w:val="000000" w:themeColor="text1"/>
          <w:sz w:val="16"/>
          <w:szCs w:val="16"/>
        </w:rPr>
        <w:t xml:space="preserve"> в 1943 году директивы Ставки ВГК о подготовке и проведении войсками Южного и Юго-Западного фронтов наступательной операции с целью воспрепятствовать отходу немецких войск с Северного Кавказа на Ростов и разгромить его (операция «Дон») (14996).</w:t>
      </w:r>
    </w:p>
    <w:p w14:paraId="7CA015AD" w14:textId="77777777" w:rsidR="007431CC" w:rsidRPr="00D03F3E" w:rsidRDefault="007431CC" w:rsidP="00D03F3E">
      <w:pPr>
        <w:spacing w:after="0" w:line="240" w:lineRule="auto"/>
        <w:jc w:val="both"/>
        <w:rPr>
          <w:rFonts w:ascii="Times New Roman" w:hAnsi="Times New Roman"/>
          <w:color w:val="000000" w:themeColor="text1"/>
          <w:sz w:val="16"/>
          <w:szCs w:val="16"/>
        </w:rPr>
      </w:pPr>
    </w:p>
    <w:p w14:paraId="246C7986" w14:textId="77777777" w:rsidR="005F11D0" w:rsidRPr="00D03F3E" w:rsidRDefault="005F11D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января</w:t>
      </w:r>
      <w:r w:rsidRPr="00D03F3E">
        <w:rPr>
          <w:rFonts w:ascii="Times New Roman" w:hAnsi="Times New Roman"/>
          <w:color w:val="000000" w:themeColor="text1"/>
          <w:sz w:val="16"/>
          <w:szCs w:val="16"/>
        </w:rPr>
        <w:t xml:space="preserve"> в 1943 году противник начал отводить 1-ю танковую армию из района Моздока, Нальчика, Прохладного (14996).</w:t>
      </w:r>
    </w:p>
    <w:p w14:paraId="707EBDE7" w14:textId="77777777" w:rsidR="005F11D0" w:rsidRPr="00D03F3E" w:rsidRDefault="005F11D0" w:rsidP="00D03F3E">
      <w:pPr>
        <w:spacing w:after="0" w:line="240" w:lineRule="auto"/>
        <w:jc w:val="both"/>
        <w:rPr>
          <w:rFonts w:ascii="Times New Roman" w:hAnsi="Times New Roman"/>
          <w:color w:val="000000" w:themeColor="text1"/>
          <w:sz w:val="16"/>
          <w:szCs w:val="16"/>
        </w:rPr>
      </w:pPr>
    </w:p>
    <w:p w14:paraId="494837E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января 1943 г. в ВВС ЧФ имелось 6 Пе-2 и 5 Пе-3, а авиация КБФ располагала всего 13 Пе-2. К середине года количество "пешек" на Балтике увеличилось до 34 в связи с развертыванием 15-го отдельного разведполка ВВС КБФ (на базе 27-й ораэ), а черноморская авиация располагала 14 Пе-2 и двумя Пе-3. На Северном флоте к этому моменту самолеты Петлякова (37 машин) остались только в составе 28-го орап, 29-го бап и 95-го иап (12042).</w:t>
      </w:r>
    </w:p>
    <w:p w14:paraId="7295BC2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614F6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состоянию на 1 января 1943 г. в 45-й авиадивизии числилось 16 Пе-8. Из них 13 выполняли боевые вылеты, два корабля (№4218 и №4225) использовались для тренировок, корабль №42038 с дизельными двигателями М-30Б находился в опытной эксплуатации. Профилактический ремонт Пе-8 № 4215 закончился также 1 января, поэтому через несколько дней и этот корабль ввели в боевой строй. Пе-8 №42097 ремонтировался в Кратово (мастерские ПАМ-5) до 1 марта 1943 г., Пе-8 №4214 и №4221 находились на заводском ремонте в Казани (12025).</w:t>
      </w:r>
    </w:p>
    <w:p w14:paraId="31303E3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CECFE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 января 1943 г. ВВС РККА располагали 7337 истре</w:t>
      </w:r>
      <w:r w:rsidRPr="00D03F3E">
        <w:rPr>
          <w:rFonts w:ascii="Times New Roman" w:hAnsi="Times New Roman"/>
          <w:color w:val="000000" w:themeColor="text1"/>
          <w:sz w:val="16"/>
          <w:szCs w:val="16"/>
        </w:rPr>
        <w:softHyphen/>
        <w:t>бителями новых типов. Больше всех было Як-1, Як-7 и Як-9 (3564 в сумме). Ла-5 занимали 5-е место — в строю их насчитывалось 717, меньше чем даже «Харрикейнов», которых к тому времени оказалось 862 (11123).</w:t>
      </w:r>
    </w:p>
    <w:p w14:paraId="730B365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30D5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января 1943 в строю было (786,23):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860B4B" w:rsidRPr="00D03F3E" w14:paraId="6AC37F68" w14:textId="77777777">
        <w:tc>
          <w:tcPr>
            <w:tcW w:w="3757" w:type="dxa"/>
          </w:tcPr>
          <w:p w14:paraId="3C70739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Истребители:</w:t>
            </w:r>
          </w:p>
        </w:tc>
        <w:tc>
          <w:tcPr>
            <w:tcW w:w="3757" w:type="dxa"/>
          </w:tcPr>
          <w:p w14:paraId="410EAB0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7337</w:t>
            </w:r>
          </w:p>
        </w:tc>
      </w:tr>
      <w:tr w:rsidR="00860B4B" w:rsidRPr="00D03F3E" w14:paraId="0EFBBBF9" w14:textId="77777777">
        <w:tc>
          <w:tcPr>
            <w:tcW w:w="3757" w:type="dxa"/>
          </w:tcPr>
          <w:p w14:paraId="68FBB98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Як-1</w:t>
            </w:r>
          </w:p>
        </w:tc>
        <w:tc>
          <w:tcPr>
            <w:tcW w:w="3757" w:type="dxa"/>
          </w:tcPr>
          <w:p w14:paraId="1C088C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1748</w:t>
            </w:r>
          </w:p>
        </w:tc>
      </w:tr>
      <w:tr w:rsidR="00860B4B" w:rsidRPr="00D03F3E" w14:paraId="1C531AA6" w14:textId="77777777">
        <w:tc>
          <w:tcPr>
            <w:tcW w:w="3757" w:type="dxa"/>
          </w:tcPr>
          <w:p w14:paraId="6A66E9F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Як-7</w:t>
            </w:r>
          </w:p>
        </w:tc>
        <w:tc>
          <w:tcPr>
            <w:tcW w:w="3757" w:type="dxa"/>
          </w:tcPr>
          <w:p w14:paraId="09299C0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1816</w:t>
            </w:r>
          </w:p>
        </w:tc>
      </w:tr>
      <w:tr w:rsidR="00860B4B" w:rsidRPr="00D03F3E" w14:paraId="5695037E" w14:textId="77777777">
        <w:tc>
          <w:tcPr>
            <w:tcW w:w="3757" w:type="dxa"/>
          </w:tcPr>
          <w:p w14:paraId="3B3219F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Ла-5</w:t>
            </w:r>
          </w:p>
        </w:tc>
        <w:tc>
          <w:tcPr>
            <w:tcW w:w="3757" w:type="dxa"/>
          </w:tcPr>
          <w:p w14:paraId="0C19D88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717</w:t>
            </w:r>
          </w:p>
        </w:tc>
      </w:tr>
      <w:tr w:rsidR="00860B4B" w:rsidRPr="00D03F3E" w14:paraId="304E7CFF" w14:textId="77777777">
        <w:tc>
          <w:tcPr>
            <w:tcW w:w="3757" w:type="dxa"/>
          </w:tcPr>
          <w:p w14:paraId="2DB3DF0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ЛаГГ-3</w:t>
            </w:r>
          </w:p>
        </w:tc>
        <w:tc>
          <w:tcPr>
            <w:tcW w:w="3757" w:type="dxa"/>
          </w:tcPr>
          <w:p w14:paraId="6880CD3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1514</w:t>
            </w:r>
          </w:p>
        </w:tc>
      </w:tr>
      <w:tr w:rsidR="00860B4B" w:rsidRPr="00D03F3E" w14:paraId="31869ED3" w14:textId="77777777">
        <w:tc>
          <w:tcPr>
            <w:tcW w:w="3757" w:type="dxa"/>
          </w:tcPr>
          <w:p w14:paraId="4E1E025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МиГ-3</w:t>
            </w:r>
          </w:p>
        </w:tc>
        <w:tc>
          <w:tcPr>
            <w:tcW w:w="3757" w:type="dxa"/>
          </w:tcPr>
          <w:p w14:paraId="704C132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575</w:t>
            </w:r>
          </w:p>
        </w:tc>
      </w:tr>
      <w:tr w:rsidR="00860B4B" w:rsidRPr="00D03F3E" w14:paraId="6DA8B39A" w14:textId="77777777">
        <w:tc>
          <w:tcPr>
            <w:tcW w:w="3757" w:type="dxa"/>
          </w:tcPr>
          <w:p w14:paraId="1487C3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Харрикейн</w:t>
            </w:r>
          </w:p>
        </w:tc>
        <w:tc>
          <w:tcPr>
            <w:tcW w:w="3757" w:type="dxa"/>
          </w:tcPr>
          <w:p w14:paraId="3759088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862</w:t>
            </w:r>
          </w:p>
        </w:tc>
      </w:tr>
      <w:tr w:rsidR="00860B4B" w:rsidRPr="00D03F3E" w14:paraId="6CC655C8" w14:textId="77777777">
        <w:tc>
          <w:tcPr>
            <w:tcW w:w="3757" w:type="dxa"/>
          </w:tcPr>
          <w:p w14:paraId="7BFEFA4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Аэрокобра</w:t>
            </w:r>
          </w:p>
        </w:tc>
        <w:tc>
          <w:tcPr>
            <w:tcW w:w="3757" w:type="dxa"/>
          </w:tcPr>
          <w:p w14:paraId="7FD36B3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105</w:t>
            </w:r>
          </w:p>
        </w:tc>
      </w:tr>
      <w:tr w:rsidR="00860B4B" w:rsidRPr="00D03F3E" w14:paraId="6484DD38" w14:textId="77777777">
        <w:tc>
          <w:tcPr>
            <w:tcW w:w="3757" w:type="dxa"/>
          </w:tcPr>
          <w:p w14:paraId="0FD5CA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Бомбардировщики: </w:t>
            </w:r>
          </w:p>
        </w:tc>
        <w:tc>
          <w:tcPr>
            <w:tcW w:w="3757" w:type="dxa"/>
          </w:tcPr>
          <w:p w14:paraId="17BDB99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2447</w:t>
            </w:r>
          </w:p>
        </w:tc>
      </w:tr>
      <w:tr w:rsidR="00860B4B" w:rsidRPr="00D03F3E" w14:paraId="3566B082" w14:textId="77777777">
        <w:tc>
          <w:tcPr>
            <w:tcW w:w="3757" w:type="dxa"/>
          </w:tcPr>
          <w:p w14:paraId="58279C9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Пе-2</w:t>
            </w:r>
          </w:p>
        </w:tc>
        <w:tc>
          <w:tcPr>
            <w:tcW w:w="3757" w:type="dxa"/>
          </w:tcPr>
          <w:p w14:paraId="02B002C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1581</w:t>
            </w:r>
          </w:p>
        </w:tc>
      </w:tr>
      <w:tr w:rsidR="00860B4B" w:rsidRPr="00D03F3E" w14:paraId="37DDD70E" w14:textId="77777777">
        <w:tc>
          <w:tcPr>
            <w:tcW w:w="3757" w:type="dxa"/>
          </w:tcPr>
          <w:p w14:paraId="3F8E31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Ил-4</w:t>
            </w:r>
          </w:p>
        </w:tc>
        <w:tc>
          <w:tcPr>
            <w:tcW w:w="3757" w:type="dxa"/>
          </w:tcPr>
          <w:p w14:paraId="4D0E47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526</w:t>
            </w:r>
          </w:p>
        </w:tc>
      </w:tr>
      <w:tr w:rsidR="00860B4B" w:rsidRPr="00D03F3E" w14:paraId="13F87172" w14:textId="77777777">
        <w:tc>
          <w:tcPr>
            <w:tcW w:w="3757" w:type="dxa"/>
          </w:tcPr>
          <w:p w14:paraId="5490147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Бостон</w:t>
            </w:r>
          </w:p>
        </w:tc>
        <w:tc>
          <w:tcPr>
            <w:tcW w:w="3757" w:type="dxa"/>
          </w:tcPr>
          <w:p w14:paraId="366D238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340</w:t>
            </w:r>
          </w:p>
        </w:tc>
      </w:tr>
      <w:tr w:rsidR="00860B4B" w:rsidRPr="00D03F3E" w14:paraId="2FC9A247" w14:textId="77777777">
        <w:tc>
          <w:tcPr>
            <w:tcW w:w="3757" w:type="dxa"/>
          </w:tcPr>
          <w:p w14:paraId="3D24EAD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Штурмовики:</w:t>
            </w:r>
          </w:p>
        </w:tc>
        <w:tc>
          <w:tcPr>
            <w:tcW w:w="3757" w:type="dxa"/>
          </w:tcPr>
          <w:p w14:paraId="4C53394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A5A96E2" w14:textId="77777777">
        <w:tc>
          <w:tcPr>
            <w:tcW w:w="3757" w:type="dxa"/>
          </w:tcPr>
          <w:p w14:paraId="656341D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Ил-2</w:t>
            </w:r>
          </w:p>
        </w:tc>
        <w:tc>
          <w:tcPr>
            <w:tcW w:w="3757" w:type="dxa"/>
          </w:tcPr>
          <w:p w14:paraId="2BE1392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4815</w:t>
            </w:r>
          </w:p>
        </w:tc>
      </w:tr>
    </w:tbl>
    <w:p w14:paraId="005B56C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все без ПВО, ВДВ, ВВС Войска Польского (786,23).</w:t>
      </w:r>
    </w:p>
    <w:p w14:paraId="4B1C37A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Доля бомбардировщиков и ш фронтовой авиации выросла с 41.2% в 1941 до 60.8% включая По-2 на 1 января 1943 (518,302).</w:t>
      </w:r>
    </w:p>
    <w:p w14:paraId="148FE0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Потери за 1943</w:t>
      </w:r>
    </w:p>
    <w:p w14:paraId="6E94426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новых типов 16046 (без И-16..., У-2, Р-5 и т.п.)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13" w:type="dxa"/>
          <w:right w:w="113" w:type="dxa"/>
        </w:tblCellMar>
        <w:tblLook w:val="0000" w:firstRow="0" w:lastRow="0" w:firstColumn="0" w:lastColumn="0" w:noHBand="0" w:noVBand="0"/>
      </w:tblPr>
      <w:tblGrid>
        <w:gridCol w:w="1247"/>
        <w:gridCol w:w="621"/>
        <w:gridCol w:w="621"/>
        <w:gridCol w:w="496"/>
        <w:gridCol w:w="496"/>
        <w:gridCol w:w="496"/>
        <w:gridCol w:w="621"/>
        <w:gridCol w:w="620"/>
      </w:tblGrid>
      <w:tr w:rsidR="00860B4B" w:rsidRPr="00D03F3E" w14:paraId="6E65A3BB" w14:textId="77777777">
        <w:tc>
          <w:tcPr>
            <w:tcW w:w="1247" w:type="dxa"/>
            <w:tcBorders>
              <w:top w:val="single" w:sz="12" w:space="0" w:color="auto"/>
            </w:tcBorders>
          </w:tcPr>
          <w:p w14:paraId="48C402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12" w:space="0" w:color="auto"/>
            </w:tcBorders>
          </w:tcPr>
          <w:p w14:paraId="229E9CA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январь</w:t>
            </w:r>
          </w:p>
        </w:tc>
        <w:tc>
          <w:tcPr>
            <w:tcW w:w="621" w:type="dxa"/>
            <w:tcBorders>
              <w:top w:val="single" w:sz="12" w:space="0" w:color="auto"/>
            </w:tcBorders>
          </w:tcPr>
          <w:p w14:paraId="39ED0A0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февраль</w:t>
            </w:r>
          </w:p>
        </w:tc>
        <w:tc>
          <w:tcPr>
            <w:tcW w:w="496" w:type="dxa"/>
            <w:tcBorders>
              <w:top w:val="single" w:sz="12" w:space="0" w:color="auto"/>
            </w:tcBorders>
          </w:tcPr>
          <w:p w14:paraId="55A5F0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март</w:t>
            </w:r>
          </w:p>
        </w:tc>
        <w:tc>
          <w:tcPr>
            <w:tcW w:w="496" w:type="dxa"/>
            <w:tcBorders>
              <w:top w:val="single" w:sz="12" w:space="0" w:color="auto"/>
            </w:tcBorders>
          </w:tcPr>
          <w:p w14:paraId="59FFAFC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апрель</w:t>
            </w:r>
          </w:p>
        </w:tc>
        <w:tc>
          <w:tcPr>
            <w:tcW w:w="496" w:type="dxa"/>
            <w:tcBorders>
              <w:top w:val="single" w:sz="12" w:space="0" w:color="auto"/>
            </w:tcBorders>
          </w:tcPr>
          <w:p w14:paraId="41084D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май</w:t>
            </w:r>
          </w:p>
        </w:tc>
        <w:tc>
          <w:tcPr>
            <w:tcW w:w="621" w:type="dxa"/>
            <w:tcBorders>
              <w:top w:val="single" w:sz="12" w:space="0" w:color="auto"/>
            </w:tcBorders>
          </w:tcPr>
          <w:p w14:paraId="769C79E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июнь</w:t>
            </w:r>
          </w:p>
        </w:tc>
        <w:tc>
          <w:tcPr>
            <w:tcW w:w="620" w:type="dxa"/>
            <w:tcBorders>
              <w:top w:val="single" w:sz="12" w:space="0" w:color="auto"/>
            </w:tcBorders>
          </w:tcPr>
          <w:p w14:paraId="6BFD45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июль</w:t>
            </w:r>
          </w:p>
        </w:tc>
      </w:tr>
      <w:tr w:rsidR="00860B4B" w:rsidRPr="00D03F3E" w14:paraId="162E8ECE" w14:textId="77777777">
        <w:tc>
          <w:tcPr>
            <w:tcW w:w="1247" w:type="dxa"/>
          </w:tcPr>
          <w:p w14:paraId="4C4720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Pr>
          <w:p w14:paraId="5FABAB6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Pr>
          <w:p w14:paraId="57DA9A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786340E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12BDE10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196F380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Pr>
          <w:p w14:paraId="5AC5B7B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0" w:type="dxa"/>
          </w:tcPr>
          <w:p w14:paraId="6E24D5E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71A022D" w14:textId="77777777">
        <w:tc>
          <w:tcPr>
            <w:tcW w:w="1247" w:type="dxa"/>
          </w:tcPr>
          <w:p w14:paraId="13293BC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Як-1</w:t>
            </w:r>
          </w:p>
        </w:tc>
        <w:tc>
          <w:tcPr>
            <w:tcW w:w="621" w:type="dxa"/>
          </w:tcPr>
          <w:p w14:paraId="2FE7B51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149</w:t>
            </w:r>
          </w:p>
        </w:tc>
        <w:tc>
          <w:tcPr>
            <w:tcW w:w="621" w:type="dxa"/>
          </w:tcPr>
          <w:p w14:paraId="671BCF4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w:t>
            </w:r>
          </w:p>
        </w:tc>
        <w:tc>
          <w:tcPr>
            <w:tcW w:w="496" w:type="dxa"/>
          </w:tcPr>
          <w:p w14:paraId="30EAF9E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126</w:t>
            </w:r>
          </w:p>
        </w:tc>
        <w:tc>
          <w:tcPr>
            <w:tcW w:w="496" w:type="dxa"/>
          </w:tcPr>
          <w:p w14:paraId="418123F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244</w:t>
            </w:r>
          </w:p>
        </w:tc>
        <w:tc>
          <w:tcPr>
            <w:tcW w:w="496" w:type="dxa"/>
          </w:tcPr>
          <w:p w14:paraId="124CFAB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165</w:t>
            </w:r>
          </w:p>
        </w:tc>
        <w:tc>
          <w:tcPr>
            <w:tcW w:w="621" w:type="dxa"/>
          </w:tcPr>
          <w:p w14:paraId="2E3C20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123</w:t>
            </w:r>
          </w:p>
        </w:tc>
        <w:tc>
          <w:tcPr>
            <w:tcW w:w="620" w:type="dxa"/>
          </w:tcPr>
          <w:p w14:paraId="53ACCBF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372</w:t>
            </w:r>
          </w:p>
        </w:tc>
      </w:tr>
      <w:tr w:rsidR="00860B4B" w:rsidRPr="00D03F3E" w14:paraId="03576D02" w14:textId="77777777">
        <w:tc>
          <w:tcPr>
            <w:tcW w:w="1247" w:type="dxa"/>
          </w:tcPr>
          <w:p w14:paraId="2BD22F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Як-7</w:t>
            </w:r>
          </w:p>
        </w:tc>
        <w:tc>
          <w:tcPr>
            <w:tcW w:w="621" w:type="dxa"/>
          </w:tcPr>
          <w:p w14:paraId="396F293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w:t>
            </w:r>
          </w:p>
        </w:tc>
        <w:tc>
          <w:tcPr>
            <w:tcW w:w="621" w:type="dxa"/>
          </w:tcPr>
          <w:p w14:paraId="788E2D6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93</w:t>
            </w:r>
          </w:p>
        </w:tc>
        <w:tc>
          <w:tcPr>
            <w:tcW w:w="496" w:type="dxa"/>
          </w:tcPr>
          <w:p w14:paraId="0170A8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93</w:t>
            </w:r>
          </w:p>
        </w:tc>
        <w:tc>
          <w:tcPr>
            <w:tcW w:w="496" w:type="dxa"/>
          </w:tcPr>
          <w:p w14:paraId="59F3856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165</w:t>
            </w:r>
          </w:p>
        </w:tc>
        <w:tc>
          <w:tcPr>
            <w:tcW w:w="496" w:type="dxa"/>
          </w:tcPr>
          <w:p w14:paraId="6E50A3D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95</w:t>
            </w:r>
          </w:p>
        </w:tc>
        <w:tc>
          <w:tcPr>
            <w:tcW w:w="621" w:type="dxa"/>
          </w:tcPr>
          <w:p w14:paraId="26A97C7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88</w:t>
            </w:r>
          </w:p>
        </w:tc>
        <w:tc>
          <w:tcPr>
            <w:tcW w:w="620" w:type="dxa"/>
          </w:tcPr>
          <w:p w14:paraId="4F18BEA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273</w:t>
            </w:r>
          </w:p>
        </w:tc>
      </w:tr>
      <w:tr w:rsidR="00860B4B" w:rsidRPr="00D03F3E" w14:paraId="4847A597" w14:textId="77777777">
        <w:tc>
          <w:tcPr>
            <w:tcW w:w="1247" w:type="dxa"/>
          </w:tcPr>
          <w:p w14:paraId="4BFD92C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Ла-5</w:t>
            </w:r>
          </w:p>
        </w:tc>
        <w:tc>
          <w:tcPr>
            <w:tcW w:w="621" w:type="dxa"/>
          </w:tcPr>
          <w:p w14:paraId="59F3FCA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w:t>
            </w:r>
          </w:p>
        </w:tc>
        <w:tc>
          <w:tcPr>
            <w:tcW w:w="621" w:type="dxa"/>
          </w:tcPr>
          <w:p w14:paraId="0031A81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83</w:t>
            </w:r>
          </w:p>
        </w:tc>
        <w:tc>
          <w:tcPr>
            <w:tcW w:w="496" w:type="dxa"/>
          </w:tcPr>
          <w:p w14:paraId="0C0AE82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97</w:t>
            </w:r>
          </w:p>
        </w:tc>
        <w:tc>
          <w:tcPr>
            <w:tcW w:w="496" w:type="dxa"/>
          </w:tcPr>
          <w:p w14:paraId="1979F46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134</w:t>
            </w:r>
          </w:p>
        </w:tc>
        <w:tc>
          <w:tcPr>
            <w:tcW w:w="496" w:type="dxa"/>
          </w:tcPr>
          <w:p w14:paraId="76A28E9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143</w:t>
            </w:r>
          </w:p>
        </w:tc>
        <w:tc>
          <w:tcPr>
            <w:tcW w:w="621" w:type="dxa"/>
          </w:tcPr>
          <w:p w14:paraId="55443C3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143</w:t>
            </w:r>
          </w:p>
        </w:tc>
        <w:tc>
          <w:tcPr>
            <w:tcW w:w="620" w:type="dxa"/>
          </w:tcPr>
          <w:p w14:paraId="35C7AD1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553</w:t>
            </w:r>
          </w:p>
        </w:tc>
      </w:tr>
      <w:tr w:rsidR="00860B4B" w:rsidRPr="00D03F3E" w14:paraId="6818D0BB" w14:textId="77777777">
        <w:tc>
          <w:tcPr>
            <w:tcW w:w="1247" w:type="dxa"/>
          </w:tcPr>
          <w:p w14:paraId="7FA87D1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Харрикейн</w:t>
            </w:r>
          </w:p>
        </w:tc>
        <w:tc>
          <w:tcPr>
            <w:tcW w:w="621" w:type="dxa"/>
          </w:tcPr>
          <w:p w14:paraId="7DD33F5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w:t>
            </w:r>
          </w:p>
        </w:tc>
        <w:tc>
          <w:tcPr>
            <w:tcW w:w="621" w:type="dxa"/>
          </w:tcPr>
          <w:p w14:paraId="2C317C6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w:t>
            </w:r>
          </w:p>
        </w:tc>
        <w:tc>
          <w:tcPr>
            <w:tcW w:w="496" w:type="dxa"/>
          </w:tcPr>
          <w:p w14:paraId="017ED4F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tc>
        <w:tc>
          <w:tcPr>
            <w:tcW w:w="496" w:type="dxa"/>
          </w:tcPr>
          <w:p w14:paraId="79BBBA4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w:t>
            </w:r>
          </w:p>
        </w:tc>
        <w:tc>
          <w:tcPr>
            <w:tcW w:w="496" w:type="dxa"/>
          </w:tcPr>
          <w:p w14:paraId="31E60D6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w:t>
            </w:r>
          </w:p>
        </w:tc>
        <w:tc>
          <w:tcPr>
            <w:tcW w:w="621" w:type="dxa"/>
          </w:tcPr>
          <w:p w14:paraId="619C5B0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w:t>
            </w:r>
          </w:p>
        </w:tc>
        <w:tc>
          <w:tcPr>
            <w:tcW w:w="620" w:type="dxa"/>
          </w:tcPr>
          <w:p w14:paraId="465C904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r>
      <w:tr w:rsidR="00860B4B" w:rsidRPr="00D03F3E" w14:paraId="244BF0C0" w14:textId="77777777">
        <w:tc>
          <w:tcPr>
            <w:tcW w:w="1247" w:type="dxa"/>
          </w:tcPr>
          <w:p w14:paraId="1B0C92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ЛаГГ-3</w:t>
            </w:r>
          </w:p>
        </w:tc>
        <w:tc>
          <w:tcPr>
            <w:tcW w:w="621" w:type="dxa"/>
          </w:tcPr>
          <w:p w14:paraId="4C55F4F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92</w:t>
            </w:r>
          </w:p>
        </w:tc>
        <w:tc>
          <w:tcPr>
            <w:tcW w:w="621" w:type="dxa"/>
          </w:tcPr>
          <w:p w14:paraId="18A42CE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w:t>
            </w:r>
          </w:p>
        </w:tc>
        <w:tc>
          <w:tcPr>
            <w:tcW w:w="496" w:type="dxa"/>
          </w:tcPr>
          <w:p w14:paraId="6D5C87F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151</w:t>
            </w:r>
          </w:p>
        </w:tc>
        <w:tc>
          <w:tcPr>
            <w:tcW w:w="496" w:type="dxa"/>
          </w:tcPr>
          <w:p w14:paraId="11D80E7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124</w:t>
            </w:r>
          </w:p>
        </w:tc>
        <w:tc>
          <w:tcPr>
            <w:tcW w:w="496" w:type="dxa"/>
          </w:tcPr>
          <w:p w14:paraId="28AF532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78</w:t>
            </w:r>
          </w:p>
        </w:tc>
        <w:tc>
          <w:tcPr>
            <w:tcW w:w="621" w:type="dxa"/>
          </w:tcPr>
          <w:p w14:paraId="6916D9C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w:t>
            </w:r>
          </w:p>
        </w:tc>
        <w:tc>
          <w:tcPr>
            <w:tcW w:w="620" w:type="dxa"/>
          </w:tcPr>
          <w:p w14:paraId="2CADD83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w:t>
            </w:r>
          </w:p>
        </w:tc>
      </w:tr>
      <w:tr w:rsidR="00860B4B" w:rsidRPr="00D03F3E" w14:paraId="4AA288EB" w14:textId="77777777">
        <w:tc>
          <w:tcPr>
            <w:tcW w:w="1247" w:type="dxa"/>
          </w:tcPr>
          <w:p w14:paraId="105FAF8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Аэрокобра</w:t>
            </w:r>
          </w:p>
        </w:tc>
        <w:tc>
          <w:tcPr>
            <w:tcW w:w="621" w:type="dxa"/>
          </w:tcPr>
          <w:p w14:paraId="41DD5CE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621" w:type="dxa"/>
          </w:tcPr>
          <w:p w14:paraId="6440FC3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496" w:type="dxa"/>
          </w:tcPr>
          <w:p w14:paraId="2C192AC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c>
          <w:tcPr>
            <w:tcW w:w="496" w:type="dxa"/>
          </w:tcPr>
          <w:p w14:paraId="5C8A780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w:t>
            </w:r>
          </w:p>
        </w:tc>
        <w:tc>
          <w:tcPr>
            <w:tcW w:w="496" w:type="dxa"/>
          </w:tcPr>
          <w:p w14:paraId="472C2BD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86</w:t>
            </w:r>
          </w:p>
        </w:tc>
        <w:tc>
          <w:tcPr>
            <w:tcW w:w="621" w:type="dxa"/>
          </w:tcPr>
          <w:p w14:paraId="049ABBE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tc>
        <w:tc>
          <w:tcPr>
            <w:tcW w:w="620" w:type="dxa"/>
          </w:tcPr>
          <w:p w14:paraId="3F26B2B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w:t>
            </w:r>
          </w:p>
        </w:tc>
      </w:tr>
      <w:tr w:rsidR="00860B4B" w:rsidRPr="00D03F3E" w14:paraId="664358E8" w14:textId="77777777">
        <w:tc>
          <w:tcPr>
            <w:tcW w:w="1247" w:type="dxa"/>
          </w:tcPr>
          <w:p w14:paraId="586B7DE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МиГ-3</w:t>
            </w:r>
          </w:p>
        </w:tc>
        <w:tc>
          <w:tcPr>
            <w:tcW w:w="621" w:type="dxa"/>
          </w:tcPr>
          <w:p w14:paraId="2ECAF62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tc>
        <w:tc>
          <w:tcPr>
            <w:tcW w:w="621" w:type="dxa"/>
          </w:tcPr>
          <w:p w14:paraId="3B51A56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w:t>
            </w:r>
          </w:p>
        </w:tc>
        <w:tc>
          <w:tcPr>
            <w:tcW w:w="496" w:type="dxa"/>
          </w:tcPr>
          <w:p w14:paraId="464286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tc>
        <w:tc>
          <w:tcPr>
            <w:tcW w:w="496" w:type="dxa"/>
          </w:tcPr>
          <w:p w14:paraId="012BFE0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w:t>
            </w:r>
          </w:p>
        </w:tc>
        <w:tc>
          <w:tcPr>
            <w:tcW w:w="496" w:type="dxa"/>
          </w:tcPr>
          <w:p w14:paraId="0FBD4B1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c>
          <w:tcPr>
            <w:tcW w:w="621" w:type="dxa"/>
          </w:tcPr>
          <w:p w14:paraId="6BF7084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620" w:type="dxa"/>
          </w:tcPr>
          <w:p w14:paraId="7F04627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r>
      <w:tr w:rsidR="00860B4B" w:rsidRPr="00D03F3E" w14:paraId="35E9DD5A" w14:textId="77777777">
        <w:tc>
          <w:tcPr>
            <w:tcW w:w="1247" w:type="dxa"/>
          </w:tcPr>
          <w:p w14:paraId="40B6B41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истребителей</w:t>
            </w:r>
          </w:p>
        </w:tc>
        <w:tc>
          <w:tcPr>
            <w:tcW w:w="621" w:type="dxa"/>
          </w:tcPr>
          <w:p w14:paraId="3C27C13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449</w:t>
            </w:r>
          </w:p>
        </w:tc>
        <w:tc>
          <w:tcPr>
            <w:tcW w:w="621" w:type="dxa"/>
          </w:tcPr>
          <w:p w14:paraId="5C2BC27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410</w:t>
            </w:r>
          </w:p>
        </w:tc>
        <w:tc>
          <w:tcPr>
            <w:tcW w:w="496" w:type="dxa"/>
          </w:tcPr>
          <w:p w14:paraId="15D0B3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516</w:t>
            </w:r>
          </w:p>
        </w:tc>
        <w:tc>
          <w:tcPr>
            <w:tcW w:w="496" w:type="dxa"/>
          </w:tcPr>
          <w:p w14:paraId="027BDA9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804</w:t>
            </w:r>
          </w:p>
        </w:tc>
        <w:tc>
          <w:tcPr>
            <w:tcW w:w="496" w:type="dxa"/>
          </w:tcPr>
          <w:p w14:paraId="647E3E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608</w:t>
            </w:r>
          </w:p>
        </w:tc>
        <w:tc>
          <w:tcPr>
            <w:tcW w:w="621" w:type="dxa"/>
          </w:tcPr>
          <w:p w14:paraId="5A281F0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465</w:t>
            </w:r>
          </w:p>
        </w:tc>
        <w:tc>
          <w:tcPr>
            <w:tcW w:w="620" w:type="dxa"/>
          </w:tcPr>
          <w:p w14:paraId="503C573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1284</w:t>
            </w:r>
          </w:p>
        </w:tc>
      </w:tr>
      <w:tr w:rsidR="00860B4B" w:rsidRPr="00D03F3E" w14:paraId="594BBEC5" w14:textId="77777777">
        <w:tc>
          <w:tcPr>
            <w:tcW w:w="1247" w:type="dxa"/>
          </w:tcPr>
          <w:p w14:paraId="67DD846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Пе-2</w:t>
            </w:r>
          </w:p>
        </w:tc>
        <w:tc>
          <w:tcPr>
            <w:tcW w:w="621" w:type="dxa"/>
          </w:tcPr>
          <w:p w14:paraId="382D8B4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107</w:t>
            </w:r>
          </w:p>
        </w:tc>
        <w:tc>
          <w:tcPr>
            <w:tcW w:w="621" w:type="dxa"/>
          </w:tcPr>
          <w:p w14:paraId="4644380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191</w:t>
            </w:r>
          </w:p>
        </w:tc>
        <w:tc>
          <w:tcPr>
            <w:tcW w:w="496" w:type="dxa"/>
          </w:tcPr>
          <w:p w14:paraId="4225F7E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w:t>
            </w:r>
          </w:p>
        </w:tc>
        <w:tc>
          <w:tcPr>
            <w:tcW w:w="496" w:type="dxa"/>
          </w:tcPr>
          <w:p w14:paraId="45A320F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119</w:t>
            </w:r>
          </w:p>
        </w:tc>
        <w:tc>
          <w:tcPr>
            <w:tcW w:w="496" w:type="dxa"/>
          </w:tcPr>
          <w:p w14:paraId="1E34A6B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77</w:t>
            </w:r>
          </w:p>
        </w:tc>
        <w:tc>
          <w:tcPr>
            <w:tcW w:w="621" w:type="dxa"/>
          </w:tcPr>
          <w:p w14:paraId="64EC34B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184</w:t>
            </w:r>
          </w:p>
        </w:tc>
        <w:tc>
          <w:tcPr>
            <w:tcW w:w="620" w:type="dxa"/>
          </w:tcPr>
          <w:p w14:paraId="54AF047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172</w:t>
            </w:r>
          </w:p>
        </w:tc>
      </w:tr>
      <w:tr w:rsidR="00860B4B" w:rsidRPr="00D03F3E" w14:paraId="480CE85E" w14:textId="77777777">
        <w:tc>
          <w:tcPr>
            <w:tcW w:w="1247" w:type="dxa"/>
          </w:tcPr>
          <w:p w14:paraId="49E26E7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Ил-4</w:t>
            </w:r>
          </w:p>
        </w:tc>
        <w:tc>
          <w:tcPr>
            <w:tcW w:w="621" w:type="dxa"/>
          </w:tcPr>
          <w:p w14:paraId="0EB4E8C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p>
        </w:tc>
        <w:tc>
          <w:tcPr>
            <w:tcW w:w="621" w:type="dxa"/>
          </w:tcPr>
          <w:p w14:paraId="4D54004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496" w:type="dxa"/>
          </w:tcPr>
          <w:p w14:paraId="2A9C5F2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496" w:type="dxa"/>
          </w:tcPr>
          <w:p w14:paraId="4BFBBC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496" w:type="dxa"/>
          </w:tcPr>
          <w:p w14:paraId="1371D5F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621" w:type="dxa"/>
          </w:tcPr>
          <w:p w14:paraId="112A421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620" w:type="dxa"/>
          </w:tcPr>
          <w:p w14:paraId="1D3652A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r>
      <w:tr w:rsidR="00860B4B" w:rsidRPr="00D03F3E" w14:paraId="3383425D" w14:textId="77777777">
        <w:tc>
          <w:tcPr>
            <w:tcW w:w="1247" w:type="dxa"/>
          </w:tcPr>
          <w:p w14:paraId="323B3DF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Бостон</w:t>
            </w:r>
          </w:p>
        </w:tc>
        <w:tc>
          <w:tcPr>
            <w:tcW w:w="621" w:type="dxa"/>
          </w:tcPr>
          <w:p w14:paraId="25C5AC3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w:t>
            </w:r>
          </w:p>
        </w:tc>
        <w:tc>
          <w:tcPr>
            <w:tcW w:w="621" w:type="dxa"/>
          </w:tcPr>
          <w:p w14:paraId="2B6D62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tc>
        <w:tc>
          <w:tcPr>
            <w:tcW w:w="496" w:type="dxa"/>
          </w:tcPr>
          <w:p w14:paraId="1E730BC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tc>
        <w:tc>
          <w:tcPr>
            <w:tcW w:w="496" w:type="dxa"/>
          </w:tcPr>
          <w:p w14:paraId="3E971CC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tc>
        <w:tc>
          <w:tcPr>
            <w:tcW w:w="496" w:type="dxa"/>
          </w:tcPr>
          <w:p w14:paraId="46377EB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w:t>
            </w:r>
          </w:p>
        </w:tc>
        <w:tc>
          <w:tcPr>
            <w:tcW w:w="621" w:type="dxa"/>
          </w:tcPr>
          <w:p w14:paraId="5A061C4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tc>
        <w:tc>
          <w:tcPr>
            <w:tcW w:w="620" w:type="dxa"/>
          </w:tcPr>
          <w:p w14:paraId="3778E20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74</w:t>
            </w:r>
          </w:p>
        </w:tc>
      </w:tr>
      <w:tr w:rsidR="00860B4B" w:rsidRPr="00D03F3E" w14:paraId="0A6A68A7" w14:textId="77777777">
        <w:tc>
          <w:tcPr>
            <w:tcW w:w="1247" w:type="dxa"/>
          </w:tcPr>
          <w:p w14:paraId="4D95C93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бомбардировщиков</w:t>
            </w:r>
          </w:p>
        </w:tc>
        <w:tc>
          <w:tcPr>
            <w:tcW w:w="621" w:type="dxa"/>
          </w:tcPr>
          <w:p w14:paraId="0656391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147</w:t>
            </w:r>
          </w:p>
        </w:tc>
        <w:tc>
          <w:tcPr>
            <w:tcW w:w="621" w:type="dxa"/>
          </w:tcPr>
          <w:p w14:paraId="34D94B4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216</w:t>
            </w:r>
          </w:p>
        </w:tc>
        <w:tc>
          <w:tcPr>
            <w:tcW w:w="496" w:type="dxa"/>
          </w:tcPr>
          <w:p w14:paraId="0F2A8CF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159</w:t>
            </w:r>
          </w:p>
        </w:tc>
        <w:tc>
          <w:tcPr>
            <w:tcW w:w="496" w:type="dxa"/>
          </w:tcPr>
          <w:p w14:paraId="6E6D7CF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157</w:t>
            </w:r>
          </w:p>
        </w:tc>
        <w:tc>
          <w:tcPr>
            <w:tcW w:w="496" w:type="dxa"/>
          </w:tcPr>
          <w:p w14:paraId="79612A1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104</w:t>
            </w:r>
          </w:p>
        </w:tc>
        <w:tc>
          <w:tcPr>
            <w:tcW w:w="621" w:type="dxa"/>
          </w:tcPr>
          <w:p w14:paraId="1F996E8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207</w:t>
            </w:r>
          </w:p>
        </w:tc>
        <w:tc>
          <w:tcPr>
            <w:tcW w:w="620" w:type="dxa"/>
          </w:tcPr>
          <w:p w14:paraId="5C3222B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261</w:t>
            </w:r>
          </w:p>
        </w:tc>
      </w:tr>
      <w:tr w:rsidR="00860B4B" w:rsidRPr="00D03F3E" w14:paraId="4003AB44" w14:textId="77777777">
        <w:tc>
          <w:tcPr>
            <w:tcW w:w="1247" w:type="dxa"/>
          </w:tcPr>
          <w:p w14:paraId="2F3D7B8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Ил-2</w:t>
            </w:r>
          </w:p>
        </w:tc>
        <w:tc>
          <w:tcPr>
            <w:tcW w:w="621" w:type="dxa"/>
          </w:tcPr>
          <w:p w14:paraId="64B9A27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344</w:t>
            </w:r>
          </w:p>
        </w:tc>
        <w:tc>
          <w:tcPr>
            <w:tcW w:w="621" w:type="dxa"/>
          </w:tcPr>
          <w:p w14:paraId="409BA68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tc>
        <w:tc>
          <w:tcPr>
            <w:tcW w:w="496" w:type="dxa"/>
          </w:tcPr>
          <w:p w14:paraId="2E511C7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401</w:t>
            </w:r>
          </w:p>
        </w:tc>
        <w:tc>
          <w:tcPr>
            <w:tcW w:w="496" w:type="dxa"/>
          </w:tcPr>
          <w:p w14:paraId="78BE69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337</w:t>
            </w:r>
          </w:p>
        </w:tc>
        <w:tc>
          <w:tcPr>
            <w:tcW w:w="496" w:type="dxa"/>
          </w:tcPr>
          <w:p w14:paraId="3BDF9D7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276</w:t>
            </w:r>
          </w:p>
        </w:tc>
        <w:tc>
          <w:tcPr>
            <w:tcW w:w="621" w:type="dxa"/>
          </w:tcPr>
          <w:p w14:paraId="0CA9C06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133</w:t>
            </w:r>
          </w:p>
        </w:tc>
        <w:tc>
          <w:tcPr>
            <w:tcW w:w="620" w:type="dxa"/>
          </w:tcPr>
          <w:p w14:paraId="674793F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958</w:t>
            </w:r>
          </w:p>
        </w:tc>
      </w:tr>
      <w:tr w:rsidR="00860B4B" w:rsidRPr="00D03F3E" w14:paraId="5B71A875" w14:textId="77777777">
        <w:tc>
          <w:tcPr>
            <w:tcW w:w="1247" w:type="dxa"/>
          </w:tcPr>
          <w:p w14:paraId="67CE2F4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tc>
        <w:tc>
          <w:tcPr>
            <w:tcW w:w="621" w:type="dxa"/>
          </w:tcPr>
          <w:p w14:paraId="6BF9E13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940</w:t>
            </w:r>
          </w:p>
        </w:tc>
        <w:tc>
          <w:tcPr>
            <w:tcW w:w="621" w:type="dxa"/>
          </w:tcPr>
          <w:p w14:paraId="6C41A39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926</w:t>
            </w:r>
          </w:p>
        </w:tc>
        <w:tc>
          <w:tcPr>
            <w:tcW w:w="496" w:type="dxa"/>
          </w:tcPr>
          <w:p w14:paraId="2D2DC31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1076</w:t>
            </w:r>
          </w:p>
        </w:tc>
        <w:tc>
          <w:tcPr>
            <w:tcW w:w="496" w:type="dxa"/>
          </w:tcPr>
          <w:p w14:paraId="4FA1AD6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1298</w:t>
            </w:r>
          </w:p>
        </w:tc>
        <w:tc>
          <w:tcPr>
            <w:tcW w:w="496" w:type="dxa"/>
          </w:tcPr>
          <w:p w14:paraId="0886522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988</w:t>
            </w:r>
          </w:p>
        </w:tc>
        <w:tc>
          <w:tcPr>
            <w:tcW w:w="621" w:type="dxa"/>
          </w:tcPr>
          <w:p w14:paraId="2409DD0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805</w:t>
            </w:r>
          </w:p>
        </w:tc>
        <w:tc>
          <w:tcPr>
            <w:tcW w:w="620" w:type="dxa"/>
          </w:tcPr>
          <w:p w14:paraId="29707CD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2454</w:t>
            </w:r>
          </w:p>
        </w:tc>
      </w:tr>
      <w:tr w:rsidR="00860B4B" w:rsidRPr="00D03F3E" w14:paraId="347748AE" w14:textId="77777777">
        <w:tc>
          <w:tcPr>
            <w:tcW w:w="1247" w:type="dxa"/>
          </w:tcPr>
          <w:p w14:paraId="3258695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И-16</w:t>
            </w:r>
          </w:p>
        </w:tc>
        <w:tc>
          <w:tcPr>
            <w:tcW w:w="621" w:type="dxa"/>
          </w:tcPr>
          <w:p w14:paraId="04CF255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Pr>
          <w:p w14:paraId="19D7A36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00A3FCB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2E2198B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59EDA2B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Pr>
          <w:p w14:paraId="0C87345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0" w:type="dxa"/>
          </w:tcPr>
          <w:p w14:paraId="39EF82B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w:t>
            </w:r>
          </w:p>
        </w:tc>
      </w:tr>
      <w:tr w:rsidR="00860B4B" w:rsidRPr="00D03F3E" w14:paraId="3FB0537B" w14:textId="77777777">
        <w:tc>
          <w:tcPr>
            <w:tcW w:w="1247" w:type="dxa"/>
          </w:tcPr>
          <w:p w14:paraId="5F2C01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И-153</w:t>
            </w:r>
          </w:p>
        </w:tc>
        <w:tc>
          <w:tcPr>
            <w:tcW w:w="621" w:type="dxa"/>
          </w:tcPr>
          <w:p w14:paraId="3647E6E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Pr>
          <w:p w14:paraId="7F718B6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41FDA85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3B2FD4D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35042D2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Pr>
          <w:p w14:paraId="7C44A86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0" w:type="dxa"/>
          </w:tcPr>
          <w:p w14:paraId="70FD479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r>
      <w:tr w:rsidR="00860B4B" w:rsidRPr="00D03F3E" w14:paraId="350FE9DD" w14:textId="77777777">
        <w:tc>
          <w:tcPr>
            <w:tcW w:w="1247" w:type="dxa"/>
          </w:tcPr>
          <w:p w14:paraId="6A7F779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И-15 </w:t>
            </w:r>
          </w:p>
        </w:tc>
        <w:tc>
          <w:tcPr>
            <w:tcW w:w="621" w:type="dxa"/>
          </w:tcPr>
          <w:p w14:paraId="371CAB6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Pr>
          <w:p w14:paraId="61E7B74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116EEF1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67D820F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6974D5F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Pr>
          <w:p w14:paraId="4240DD0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0" w:type="dxa"/>
          </w:tcPr>
          <w:p w14:paraId="4D6BA11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r>
      <w:tr w:rsidR="00860B4B" w:rsidRPr="00D03F3E" w14:paraId="3BE858BD" w14:textId="77777777">
        <w:tc>
          <w:tcPr>
            <w:tcW w:w="1247" w:type="dxa"/>
            <w:tcBorders>
              <w:bottom w:val="single" w:sz="12" w:space="0" w:color="auto"/>
            </w:tcBorders>
          </w:tcPr>
          <w:p w14:paraId="3E8B9C7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Киттихок</w:t>
            </w:r>
          </w:p>
        </w:tc>
        <w:tc>
          <w:tcPr>
            <w:tcW w:w="621" w:type="dxa"/>
            <w:tcBorders>
              <w:bottom w:val="single" w:sz="12" w:space="0" w:color="auto"/>
            </w:tcBorders>
          </w:tcPr>
          <w:p w14:paraId="0CFDC77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bottom w:val="single" w:sz="12" w:space="0" w:color="auto"/>
            </w:tcBorders>
          </w:tcPr>
          <w:p w14:paraId="7ED9D1F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Borders>
              <w:bottom w:val="single" w:sz="12" w:space="0" w:color="auto"/>
            </w:tcBorders>
          </w:tcPr>
          <w:p w14:paraId="05597B6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Borders>
              <w:bottom w:val="single" w:sz="12" w:space="0" w:color="auto"/>
            </w:tcBorders>
          </w:tcPr>
          <w:p w14:paraId="54DFE39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Borders>
              <w:bottom w:val="single" w:sz="12" w:space="0" w:color="auto"/>
            </w:tcBorders>
          </w:tcPr>
          <w:p w14:paraId="2C2A715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bottom w:val="single" w:sz="12" w:space="0" w:color="auto"/>
            </w:tcBorders>
          </w:tcPr>
          <w:p w14:paraId="734B08D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0" w:type="dxa"/>
            <w:tcBorders>
              <w:bottom w:val="single" w:sz="12" w:space="0" w:color="auto"/>
            </w:tcBorders>
          </w:tcPr>
          <w:p w14:paraId="20A02CE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w:t>
            </w:r>
          </w:p>
        </w:tc>
      </w:tr>
    </w:tbl>
    <w:p w14:paraId="5BA11FE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13" w:type="dxa"/>
          <w:right w:w="113" w:type="dxa"/>
        </w:tblCellMar>
        <w:tblLook w:val="0000" w:firstRow="0" w:lastRow="0" w:firstColumn="0" w:lastColumn="0" w:noHBand="0" w:noVBand="0"/>
      </w:tblPr>
      <w:tblGrid>
        <w:gridCol w:w="964"/>
        <w:gridCol w:w="567"/>
        <w:gridCol w:w="557"/>
        <w:gridCol w:w="557"/>
        <w:gridCol w:w="445"/>
        <w:gridCol w:w="567"/>
        <w:gridCol w:w="556"/>
        <w:gridCol w:w="585"/>
        <w:gridCol w:w="564"/>
        <w:gridCol w:w="504"/>
        <w:gridCol w:w="570"/>
        <w:gridCol w:w="560"/>
        <w:gridCol w:w="10"/>
        <w:gridCol w:w="474"/>
        <w:gridCol w:w="584"/>
        <w:gridCol w:w="584"/>
        <w:gridCol w:w="584"/>
        <w:gridCol w:w="567"/>
        <w:gridCol w:w="618"/>
        <w:gridCol w:w="613"/>
      </w:tblGrid>
      <w:tr w:rsidR="00860B4B" w:rsidRPr="00D03F3E" w14:paraId="16FACE37" w14:textId="77777777">
        <w:tc>
          <w:tcPr>
            <w:tcW w:w="964" w:type="dxa"/>
            <w:tcBorders>
              <w:top w:val="single" w:sz="12" w:space="0" w:color="auto"/>
            </w:tcBorders>
          </w:tcPr>
          <w:p w14:paraId="4F52BC0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49" w:type="dxa"/>
            <w:gridSpan w:val="6"/>
            <w:tcBorders>
              <w:top w:val="single" w:sz="12" w:space="0" w:color="auto"/>
            </w:tcBorders>
          </w:tcPr>
          <w:p w14:paraId="34057A0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август</w:t>
            </w:r>
          </w:p>
        </w:tc>
        <w:tc>
          <w:tcPr>
            <w:tcW w:w="2783" w:type="dxa"/>
            <w:gridSpan w:val="5"/>
            <w:tcBorders>
              <w:top w:val="single" w:sz="12" w:space="0" w:color="auto"/>
            </w:tcBorders>
          </w:tcPr>
          <w:p w14:paraId="5127D5B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сентябрь</w:t>
            </w:r>
          </w:p>
        </w:tc>
        <w:tc>
          <w:tcPr>
            <w:tcW w:w="4032" w:type="dxa"/>
            <w:gridSpan w:val="8"/>
            <w:tcBorders>
              <w:top w:val="single" w:sz="12" w:space="0" w:color="auto"/>
            </w:tcBorders>
          </w:tcPr>
          <w:p w14:paraId="003F49B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октябрь</w:t>
            </w:r>
          </w:p>
        </w:tc>
      </w:tr>
      <w:tr w:rsidR="00860B4B" w:rsidRPr="00D03F3E" w14:paraId="788A581A" w14:textId="77777777">
        <w:tc>
          <w:tcPr>
            <w:tcW w:w="964" w:type="dxa"/>
          </w:tcPr>
          <w:p w14:paraId="2EC5CF5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5AF85F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tc>
        <w:tc>
          <w:tcPr>
            <w:tcW w:w="557" w:type="dxa"/>
          </w:tcPr>
          <w:p w14:paraId="69B3267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невернулись с б/з</w:t>
            </w:r>
          </w:p>
        </w:tc>
        <w:tc>
          <w:tcPr>
            <w:tcW w:w="557" w:type="dxa"/>
          </w:tcPr>
          <w:p w14:paraId="18D7F6C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сбито в в/б</w:t>
            </w:r>
          </w:p>
        </w:tc>
        <w:tc>
          <w:tcPr>
            <w:tcW w:w="445" w:type="dxa"/>
          </w:tcPr>
          <w:p w14:paraId="30221B3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сбито ЗА</w:t>
            </w:r>
          </w:p>
        </w:tc>
        <w:tc>
          <w:tcPr>
            <w:tcW w:w="567" w:type="dxa"/>
          </w:tcPr>
          <w:p w14:paraId="2779C8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катастрофы и аварии</w:t>
            </w:r>
          </w:p>
        </w:tc>
        <w:tc>
          <w:tcPr>
            <w:tcW w:w="556" w:type="dxa"/>
          </w:tcPr>
          <w:p w14:paraId="060B864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списано по износу</w:t>
            </w:r>
          </w:p>
        </w:tc>
        <w:tc>
          <w:tcPr>
            <w:tcW w:w="585" w:type="dxa"/>
          </w:tcPr>
          <w:p w14:paraId="0329E7A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tc>
        <w:tc>
          <w:tcPr>
            <w:tcW w:w="564" w:type="dxa"/>
          </w:tcPr>
          <w:p w14:paraId="79A866B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невернулись с б/з</w:t>
            </w:r>
          </w:p>
        </w:tc>
        <w:tc>
          <w:tcPr>
            <w:tcW w:w="504" w:type="dxa"/>
          </w:tcPr>
          <w:p w14:paraId="4C79D9D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сбито в в/б</w:t>
            </w:r>
          </w:p>
        </w:tc>
        <w:tc>
          <w:tcPr>
            <w:tcW w:w="570" w:type="dxa"/>
          </w:tcPr>
          <w:p w14:paraId="79A7100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сбито ЗА</w:t>
            </w:r>
          </w:p>
        </w:tc>
        <w:tc>
          <w:tcPr>
            <w:tcW w:w="570" w:type="dxa"/>
            <w:gridSpan w:val="2"/>
          </w:tcPr>
          <w:p w14:paraId="191DDCB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катастрофы и аварии</w:t>
            </w:r>
          </w:p>
        </w:tc>
        <w:tc>
          <w:tcPr>
            <w:tcW w:w="474" w:type="dxa"/>
          </w:tcPr>
          <w:p w14:paraId="29A9371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списано по износу</w:t>
            </w:r>
          </w:p>
        </w:tc>
        <w:tc>
          <w:tcPr>
            <w:tcW w:w="584" w:type="dxa"/>
          </w:tcPr>
          <w:p w14:paraId="5BB43D2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tc>
        <w:tc>
          <w:tcPr>
            <w:tcW w:w="584" w:type="dxa"/>
          </w:tcPr>
          <w:p w14:paraId="2C9C124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невернулись с б/з</w:t>
            </w:r>
          </w:p>
        </w:tc>
        <w:tc>
          <w:tcPr>
            <w:tcW w:w="584" w:type="dxa"/>
          </w:tcPr>
          <w:p w14:paraId="7A75542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сбито в в/б</w:t>
            </w:r>
          </w:p>
        </w:tc>
        <w:tc>
          <w:tcPr>
            <w:tcW w:w="567" w:type="dxa"/>
          </w:tcPr>
          <w:p w14:paraId="022B394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сбито ЗА</w:t>
            </w:r>
          </w:p>
        </w:tc>
        <w:tc>
          <w:tcPr>
            <w:tcW w:w="618" w:type="dxa"/>
          </w:tcPr>
          <w:p w14:paraId="4F407D0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катастрофы и аварии</w:t>
            </w:r>
          </w:p>
        </w:tc>
        <w:tc>
          <w:tcPr>
            <w:tcW w:w="613" w:type="dxa"/>
          </w:tcPr>
          <w:p w14:paraId="78087C0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списано по износу</w:t>
            </w:r>
          </w:p>
        </w:tc>
      </w:tr>
      <w:tr w:rsidR="00860B4B" w:rsidRPr="00D03F3E" w14:paraId="77742ABE" w14:textId="77777777">
        <w:tc>
          <w:tcPr>
            <w:tcW w:w="964" w:type="dxa"/>
          </w:tcPr>
          <w:p w14:paraId="6E62D58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Як-1</w:t>
            </w:r>
          </w:p>
        </w:tc>
        <w:tc>
          <w:tcPr>
            <w:tcW w:w="567" w:type="dxa"/>
          </w:tcPr>
          <w:p w14:paraId="60A7890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293</w:t>
            </w:r>
          </w:p>
        </w:tc>
        <w:tc>
          <w:tcPr>
            <w:tcW w:w="557" w:type="dxa"/>
          </w:tcPr>
          <w:p w14:paraId="164055F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174</w:t>
            </w:r>
          </w:p>
        </w:tc>
        <w:tc>
          <w:tcPr>
            <w:tcW w:w="557" w:type="dxa"/>
          </w:tcPr>
          <w:p w14:paraId="3D2EB3B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w:t>
            </w:r>
          </w:p>
        </w:tc>
        <w:tc>
          <w:tcPr>
            <w:tcW w:w="445" w:type="dxa"/>
          </w:tcPr>
          <w:p w14:paraId="43B0EB7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tc>
        <w:tc>
          <w:tcPr>
            <w:tcW w:w="567" w:type="dxa"/>
          </w:tcPr>
          <w:p w14:paraId="7545FD5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w:t>
            </w:r>
          </w:p>
        </w:tc>
        <w:tc>
          <w:tcPr>
            <w:tcW w:w="556" w:type="dxa"/>
          </w:tcPr>
          <w:p w14:paraId="1915970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tc>
        <w:tc>
          <w:tcPr>
            <w:tcW w:w="585" w:type="dxa"/>
          </w:tcPr>
          <w:p w14:paraId="6C50A57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118</w:t>
            </w:r>
          </w:p>
        </w:tc>
        <w:tc>
          <w:tcPr>
            <w:tcW w:w="564" w:type="dxa"/>
          </w:tcPr>
          <w:p w14:paraId="6CE8949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w:t>
            </w:r>
          </w:p>
        </w:tc>
        <w:tc>
          <w:tcPr>
            <w:tcW w:w="504" w:type="dxa"/>
          </w:tcPr>
          <w:p w14:paraId="3199D82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c>
          <w:tcPr>
            <w:tcW w:w="570" w:type="dxa"/>
          </w:tcPr>
          <w:p w14:paraId="7605FB8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570" w:type="dxa"/>
            <w:gridSpan w:val="2"/>
          </w:tcPr>
          <w:p w14:paraId="5E90309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474" w:type="dxa"/>
          </w:tcPr>
          <w:p w14:paraId="5CA48E6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w:t>
            </w:r>
          </w:p>
        </w:tc>
        <w:tc>
          <w:tcPr>
            <w:tcW w:w="584" w:type="dxa"/>
          </w:tcPr>
          <w:p w14:paraId="2FF71FA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181</w:t>
            </w:r>
          </w:p>
        </w:tc>
        <w:tc>
          <w:tcPr>
            <w:tcW w:w="584" w:type="dxa"/>
          </w:tcPr>
          <w:p w14:paraId="3686A35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93</w:t>
            </w:r>
          </w:p>
        </w:tc>
        <w:tc>
          <w:tcPr>
            <w:tcW w:w="584" w:type="dxa"/>
          </w:tcPr>
          <w:p w14:paraId="6634E74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tc>
        <w:tc>
          <w:tcPr>
            <w:tcW w:w="567" w:type="dxa"/>
          </w:tcPr>
          <w:p w14:paraId="1699116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w:t>
            </w:r>
          </w:p>
        </w:tc>
        <w:tc>
          <w:tcPr>
            <w:tcW w:w="618" w:type="dxa"/>
          </w:tcPr>
          <w:p w14:paraId="093DF71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tc>
        <w:tc>
          <w:tcPr>
            <w:tcW w:w="613" w:type="dxa"/>
          </w:tcPr>
          <w:p w14:paraId="293BD55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w:t>
            </w:r>
          </w:p>
        </w:tc>
      </w:tr>
      <w:tr w:rsidR="00860B4B" w:rsidRPr="00D03F3E" w14:paraId="5CAA43CF" w14:textId="77777777">
        <w:tc>
          <w:tcPr>
            <w:tcW w:w="964" w:type="dxa"/>
          </w:tcPr>
          <w:p w14:paraId="3E98A7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Як-7</w:t>
            </w:r>
          </w:p>
        </w:tc>
        <w:tc>
          <w:tcPr>
            <w:tcW w:w="567" w:type="dxa"/>
          </w:tcPr>
          <w:p w14:paraId="015C93F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214</w:t>
            </w:r>
          </w:p>
        </w:tc>
        <w:tc>
          <w:tcPr>
            <w:tcW w:w="557" w:type="dxa"/>
          </w:tcPr>
          <w:p w14:paraId="57A50C2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146</w:t>
            </w:r>
          </w:p>
        </w:tc>
        <w:tc>
          <w:tcPr>
            <w:tcW w:w="557" w:type="dxa"/>
          </w:tcPr>
          <w:p w14:paraId="71CFE81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tc>
        <w:tc>
          <w:tcPr>
            <w:tcW w:w="445" w:type="dxa"/>
          </w:tcPr>
          <w:p w14:paraId="5007C14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567" w:type="dxa"/>
          </w:tcPr>
          <w:p w14:paraId="548F860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w:t>
            </w:r>
          </w:p>
        </w:tc>
        <w:tc>
          <w:tcPr>
            <w:tcW w:w="556" w:type="dxa"/>
          </w:tcPr>
          <w:p w14:paraId="2116B42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w:t>
            </w:r>
          </w:p>
        </w:tc>
        <w:tc>
          <w:tcPr>
            <w:tcW w:w="585" w:type="dxa"/>
          </w:tcPr>
          <w:p w14:paraId="7F0B348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202</w:t>
            </w:r>
          </w:p>
        </w:tc>
        <w:tc>
          <w:tcPr>
            <w:tcW w:w="564" w:type="dxa"/>
          </w:tcPr>
          <w:p w14:paraId="6BEB2DD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143</w:t>
            </w:r>
          </w:p>
        </w:tc>
        <w:tc>
          <w:tcPr>
            <w:tcW w:w="504" w:type="dxa"/>
          </w:tcPr>
          <w:p w14:paraId="384B0C7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c>
          <w:tcPr>
            <w:tcW w:w="570" w:type="dxa"/>
          </w:tcPr>
          <w:p w14:paraId="322B00D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70" w:type="dxa"/>
            <w:gridSpan w:val="2"/>
          </w:tcPr>
          <w:p w14:paraId="36CBDB0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tc>
        <w:tc>
          <w:tcPr>
            <w:tcW w:w="474" w:type="dxa"/>
          </w:tcPr>
          <w:p w14:paraId="459E416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w:t>
            </w:r>
          </w:p>
        </w:tc>
        <w:tc>
          <w:tcPr>
            <w:tcW w:w="584" w:type="dxa"/>
          </w:tcPr>
          <w:p w14:paraId="633F1C0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178</w:t>
            </w:r>
          </w:p>
        </w:tc>
        <w:tc>
          <w:tcPr>
            <w:tcW w:w="584" w:type="dxa"/>
          </w:tcPr>
          <w:p w14:paraId="072300B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82</w:t>
            </w:r>
          </w:p>
        </w:tc>
        <w:tc>
          <w:tcPr>
            <w:tcW w:w="584" w:type="dxa"/>
          </w:tcPr>
          <w:p w14:paraId="64DEA9C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w:t>
            </w:r>
          </w:p>
        </w:tc>
        <w:tc>
          <w:tcPr>
            <w:tcW w:w="567" w:type="dxa"/>
          </w:tcPr>
          <w:p w14:paraId="4D24B79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618" w:type="dxa"/>
          </w:tcPr>
          <w:p w14:paraId="14A537A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tc>
        <w:tc>
          <w:tcPr>
            <w:tcW w:w="613" w:type="dxa"/>
          </w:tcPr>
          <w:p w14:paraId="215533A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w:t>
            </w:r>
          </w:p>
        </w:tc>
      </w:tr>
      <w:tr w:rsidR="00860B4B" w:rsidRPr="00D03F3E" w14:paraId="63F85CD5" w14:textId="77777777">
        <w:tc>
          <w:tcPr>
            <w:tcW w:w="964" w:type="dxa"/>
          </w:tcPr>
          <w:p w14:paraId="0AF84F5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Ла-5</w:t>
            </w:r>
          </w:p>
        </w:tc>
        <w:tc>
          <w:tcPr>
            <w:tcW w:w="567" w:type="dxa"/>
          </w:tcPr>
          <w:p w14:paraId="7309839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491</w:t>
            </w:r>
          </w:p>
        </w:tc>
        <w:tc>
          <w:tcPr>
            <w:tcW w:w="557" w:type="dxa"/>
          </w:tcPr>
          <w:p w14:paraId="4F0A2BC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254</w:t>
            </w:r>
          </w:p>
        </w:tc>
        <w:tc>
          <w:tcPr>
            <w:tcW w:w="557" w:type="dxa"/>
          </w:tcPr>
          <w:p w14:paraId="543DFE6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97</w:t>
            </w:r>
          </w:p>
        </w:tc>
        <w:tc>
          <w:tcPr>
            <w:tcW w:w="445" w:type="dxa"/>
          </w:tcPr>
          <w:p w14:paraId="6955AD7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tc>
        <w:tc>
          <w:tcPr>
            <w:tcW w:w="567" w:type="dxa"/>
          </w:tcPr>
          <w:p w14:paraId="16EC148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w:t>
            </w:r>
          </w:p>
        </w:tc>
        <w:tc>
          <w:tcPr>
            <w:tcW w:w="556" w:type="dxa"/>
          </w:tcPr>
          <w:p w14:paraId="79DC73A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w:t>
            </w:r>
          </w:p>
        </w:tc>
        <w:tc>
          <w:tcPr>
            <w:tcW w:w="585" w:type="dxa"/>
          </w:tcPr>
          <w:p w14:paraId="194CD9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196</w:t>
            </w:r>
          </w:p>
        </w:tc>
        <w:tc>
          <w:tcPr>
            <w:tcW w:w="564" w:type="dxa"/>
          </w:tcPr>
          <w:p w14:paraId="3444DB5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112</w:t>
            </w:r>
          </w:p>
        </w:tc>
        <w:tc>
          <w:tcPr>
            <w:tcW w:w="504" w:type="dxa"/>
          </w:tcPr>
          <w:p w14:paraId="50A0404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w:t>
            </w:r>
          </w:p>
        </w:tc>
        <w:tc>
          <w:tcPr>
            <w:tcW w:w="570" w:type="dxa"/>
          </w:tcPr>
          <w:p w14:paraId="2ECE8DD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70" w:type="dxa"/>
            <w:gridSpan w:val="2"/>
          </w:tcPr>
          <w:p w14:paraId="4523D40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w:t>
            </w:r>
          </w:p>
        </w:tc>
        <w:tc>
          <w:tcPr>
            <w:tcW w:w="474" w:type="dxa"/>
          </w:tcPr>
          <w:p w14:paraId="0A8A24D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w:t>
            </w:r>
          </w:p>
        </w:tc>
        <w:tc>
          <w:tcPr>
            <w:tcW w:w="584" w:type="dxa"/>
          </w:tcPr>
          <w:p w14:paraId="70B39E6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238</w:t>
            </w:r>
          </w:p>
        </w:tc>
        <w:tc>
          <w:tcPr>
            <w:tcW w:w="584" w:type="dxa"/>
          </w:tcPr>
          <w:p w14:paraId="35D0908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92</w:t>
            </w:r>
          </w:p>
        </w:tc>
        <w:tc>
          <w:tcPr>
            <w:tcW w:w="584" w:type="dxa"/>
          </w:tcPr>
          <w:p w14:paraId="1D45BDC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w:t>
            </w:r>
          </w:p>
        </w:tc>
        <w:tc>
          <w:tcPr>
            <w:tcW w:w="567" w:type="dxa"/>
          </w:tcPr>
          <w:p w14:paraId="178D2A6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618" w:type="dxa"/>
          </w:tcPr>
          <w:p w14:paraId="1DA02EA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tc>
        <w:tc>
          <w:tcPr>
            <w:tcW w:w="613" w:type="dxa"/>
          </w:tcPr>
          <w:p w14:paraId="252A547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w:t>
            </w:r>
          </w:p>
        </w:tc>
      </w:tr>
      <w:tr w:rsidR="00860B4B" w:rsidRPr="00D03F3E" w14:paraId="163EE4A1" w14:textId="77777777">
        <w:tc>
          <w:tcPr>
            <w:tcW w:w="964" w:type="dxa"/>
          </w:tcPr>
          <w:p w14:paraId="4A0E494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Харрикейн</w:t>
            </w:r>
          </w:p>
        </w:tc>
        <w:tc>
          <w:tcPr>
            <w:tcW w:w="567" w:type="dxa"/>
          </w:tcPr>
          <w:p w14:paraId="211DB98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w:t>
            </w:r>
          </w:p>
        </w:tc>
        <w:tc>
          <w:tcPr>
            <w:tcW w:w="557" w:type="dxa"/>
          </w:tcPr>
          <w:p w14:paraId="0C6250C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557" w:type="dxa"/>
          </w:tcPr>
          <w:p w14:paraId="32C082C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445" w:type="dxa"/>
          </w:tcPr>
          <w:p w14:paraId="1E6612D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67" w:type="dxa"/>
          </w:tcPr>
          <w:p w14:paraId="4CEE8AD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556" w:type="dxa"/>
          </w:tcPr>
          <w:p w14:paraId="7650484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tc>
        <w:tc>
          <w:tcPr>
            <w:tcW w:w="585" w:type="dxa"/>
          </w:tcPr>
          <w:p w14:paraId="00F2535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tc>
        <w:tc>
          <w:tcPr>
            <w:tcW w:w="564" w:type="dxa"/>
          </w:tcPr>
          <w:p w14:paraId="6B731DD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504" w:type="dxa"/>
          </w:tcPr>
          <w:p w14:paraId="3A4BE18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70" w:type="dxa"/>
          </w:tcPr>
          <w:p w14:paraId="0C16B33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70" w:type="dxa"/>
            <w:gridSpan w:val="2"/>
          </w:tcPr>
          <w:p w14:paraId="5DE5CB9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474" w:type="dxa"/>
          </w:tcPr>
          <w:p w14:paraId="53BF9F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584" w:type="dxa"/>
          </w:tcPr>
          <w:p w14:paraId="795C3D3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w:t>
            </w:r>
          </w:p>
        </w:tc>
        <w:tc>
          <w:tcPr>
            <w:tcW w:w="584" w:type="dxa"/>
          </w:tcPr>
          <w:p w14:paraId="62A5D46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84" w:type="dxa"/>
          </w:tcPr>
          <w:p w14:paraId="0ED34B4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67" w:type="dxa"/>
          </w:tcPr>
          <w:p w14:paraId="5AFB383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618" w:type="dxa"/>
          </w:tcPr>
          <w:p w14:paraId="72A9290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613" w:type="dxa"/>
          </w:tcPr>
          <w:p w14:paraId="5E985D4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r>
      <w:tr w:rsidR="00860B4B" w:rsidRPr="00D03F3E" w14:paraId="3994825C" w14:textId="77777777">
        <w:tc>
          <w:tcPr>
            <w:tcW w:w="964" w:type="dxa"/>
          </w:tcPr>
          <w:p w14:paraId="05D5AFA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ЛаГГ-3</w:t>
            </w:r>
          </w:p>
        </w:tc>
        <w:tc>
          <w:tcPr>
            <w:tcW w:w="567" w:type="dxa"/>
          </w:tcPr>
          <w:p w14:paraId="71C1931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tc>
        <w:tc>
          <w:tcPr>
            <w:tcW w:w="557" w:type="dxa"/>
          </w:tcPr>
          <w:p w14:paraId="2A34638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57" w:type="dxa"/>
          </w:tcPr>
          <w:p w14:paraId="36DBC04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45" w:type="dxa"/>
          </w:tcPr>
          <w:p w14:paraId="276D775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67" w:type="dxa"/>
          </w:tcPr>
          <w:p w14:paraId="2D88C40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tc>
        <w:tc>
          <w:tcPr>
            <w:tcW w:w="556" w:type="dxa"/>
          </w:tcPr>
          <w:p w14:paraId="72D56F4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tc>
        <w:tc>
          <w:tcPr>
            <w:tcW w:w="585" w:type="dxa"/>
          </w:tcPr>
          <w:p w14:paraId="011AC0C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w:t>
            </w:r>
          </w:p>
        </w:tc>
        <w:tc>
          <w:tcPr>
            <w:tcW w:w="564" w:type="dxa"/>
          </w:tcPr>
          <w:p w14:paraId="7A61440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tc>
        <w:tc>
          <w:tcPr>
            <w:tcW w:w="504" w:type="dxa"/>
          </w:tcPr>
          <w:p w14:paraId="007B252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570" w:type="dxa"/>
          </w:tcPr>
          <w:p w14:paraId="0F4BE93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570" w:type="dxa"/>
            <w:gridSpan w:val="2"/>
          </w:tcPr>
          <w:p w14:paraId="6E3E730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c>
          <w:tcPr>
            <w:tcW w:w="474" w:type="dxa"/>
          </w:tcPr>
          <w:p w14:paraId="6CCF40D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w:t>
            </w:r>
          </w:p>
        </w:tc>
        <w:tc>
          <w:tcPr>
            <w:tcW w:w="584" w:type="dxa"/>
          </w:tcPr>
          <w:p w14:paraId="65F7A5B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w:t>
            </w:r>
          </w:p>
        </w:tc>
        <w:tc>
          <w:tcPr>
            <w:tcW w:w="584" w:type="dxa"/>
          </w:tcPr>
          <w:p w14:paraId="689D321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c>
          <w:tcPr>
            <w:tcW w:w="584" w:type="dxa"/>
          </w:tcPr>
          <w:p w14:paraId="7196DF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67" w:type="dxa"/>
          </w:tcPr>
          <w:p w14:paraId="440991E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c>
          <w:tcPr>
            <w:tcW w:w="618" w:type="dxa"/>
          </w:tcPr>
          <w:p w14:paraId="3E2F72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613" w:type="dxa"/>
          </w:tcPr>
          <w:p w14:paraId="3D3872A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w:t>
            </w:r>
          </w:p>
        </w:tc>
      </w:tr>
      <w:tr w:rsidR="00860B4B" w:rsidRPr="00D03F3E" w14:paraId="3B1CE2F3" w14:textId="77777777">
        <w:tc>
          <w:tcPr>
            <w:tcW w:w="964" w:type="dxa"/>
          </w:tcPr>
          <w:p w14:paraId="1159D4A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Аэрокобра</w:t>
            </w:r>
          </w:p>
        </w:tc>
        <w:tc>
          <w:tcPr>
            <w:tcW w:w="567" w:type="dxa"/>
          </w:tcPr>
          <w:p w14:paraId="3E3F93E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w:t>
            </w:r>
          </w:p>
        </w:tc>
        <w:tc>
          <w:tcPr>
            <w:tcW w:w="557" w:type="dxa"/>
          </w:tcPr>
          <w:p w14:paraId="28192C0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p>
        </w:tc>
        <w:tc>
          <w:tcPr>
            <w:tcW w:w="557" w:type="dxa"/>
          </w:tcPr>
          <w:p w14:paraId="68BBDE9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w:t>
            </w:r>
          </w:p>
        </w:tc>
        <w:tc>
          <w:tcPr>
            <w:tcW w:w="445" w:type="dxa"/>
          </w:tcPr>
          <w:p w14:paraId="0A5727F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567" w:type="dxa"/>
          </w:tcPr>
          <w:p w14:paraId="4CA4F1C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556" w:type="dxa"/>
          </w:tcPr>
          <w:p w14:paraId="6EDCC20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tc>
        <w:tc>
          <w:tcPr>
            <w:tcW w:w="585" w:type="dxa"/>
          </w:tcPr>
          <w:p w14:paraId="260C52B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tc>
        <w:tc>
          <w:tcPr>
            <w:tcW w:w="564" w:type="dxa"/>
          </w:tcPr>
          <w:p w14:paraId="41CF38E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tc>
        <w:tc>
          <w:tcPr>
            <w:tcW w:w="504" w:type="dxa"/>
          </w:tcPr>
          <w:p w14:paraId="45C62B9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570" w:type="dxa"/>
          </w:tcPr>
          <w:p w14:paraId="5E83128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570" w:type="dxa"/>
            <w:gridSpan w:val="2"/>
          </w:tcPr>
          <w:p w14:paraId="65699FC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tc>
        <w:tc>
          <w:tcPr>
            <w:tcW w:w="474" w:type="dxa"/>
          </w:tcPr>
          <w:p w14:paraId="20226E2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584" w:type="dxa"/>
          </w:tcPr>
          <w:p w14:paraId="63E7B89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w:t>
            </w:r>
          </w:p>
        </w:tc>
        <w:tc>
          <w:tcPr>
            <w:tcW w:w="584" w:type="dxa"/>
          </w:tcPr>
          <w:p w14:paraId="4BA2239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71</w:t>
            </w:r>
          </w:p>
        </w:tc>
        <w:tc>
          <w:tcPr>
            <w:tcW w:w="584" w:type="dxa"/>
          </w:tcPr>
          <w:p w14:paraId="263C5FC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567" w:type="dxa"/>
          </w:tcPr>
          <w:p w14:paraId="75331BC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618" w:type="dxa"/>
          </w:tcPr>
          <w:p w14:paraId="44BE5E6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tc>
        <w:tc>
          <w:tcPr>
            <w:tcW w:w="613" w:type="dxa"/>
          </w:tcPr>
          <w:p w14:paraId="5637F0C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tc>
      </w:tr>
      <w:tr w:rsidR="00860B4B" w:rsidRPr="00D03F3E" w14:paraId="5A2C9B4F" w14:textId="77777777">
        <w:tc>
          <w:tcPr>
            <w:tcW w:w="964" w:type="dxa"/>
          </w:tcPr>
          <w:p w14:paraId="5E3B6A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МиГ-3</w:t>
            </w:r>
          </w:p>
        </w:tc>
        <w:tc>
          <w:tcPr>
            <w:tcW w:w="567" w:type="dxa"/>
          </w:tcPr>
          <w:p w14:paraId="2868219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tc>
        <w:tc>
          <w:tcPr>
            <w:tcW w:w="557" w:type="dxa"/>
          </w:tcPr>
          <w:p w14:paraId="3DDE9AB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57" w:type="dxa"/>
          </w:tcPr>
          <w:p w14:paraId="1FE2430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45" w:type="dxa"/>
          </w:tcPr>
          <w:p w14:paraId="463280F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67" w:type="dxa"/>
          </w:tcPr>
          <w:p w14:paraId="1A8A75A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556" w:type="dxa"/>
          </w:tcPr>
          <w:p w14:paraId="4CCF323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c>
          <w:tcPr>
            <w:tcW w:w="585" w:type="dxa"/>
          </w:tcPr>
          <w:p w14:paraId="43C5956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c>
          <w:tcPr>
            <w:tcW w:w="564" w:type="dxa"/>
          </w:tcPr>
          <w:p w14:paraId="0E01B08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04" w:type="dxa"/>
          </w:tcPr>
          <w:p w14:paraId="71DE7E5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70" w:type="dxa"/>
          </w:tcPr>
          <w:p w14:paraId="7FA1B22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70" w:type="dxa"/>
            <w:gridSpan w:val="2"/>
          </w:tcPr>
          <w:p w14:paraId="793BBD2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474" w:type="dxa"/>
          </w:tcPr>
          <w:p w14:paraId="03D49CA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tc>
        <w:tc>
          <w:tcPr>
            <w:tcW w:w="584" w:type="dxa"/>
          </w:tcPr>
          <w:p w14:paraId="0E8A3C3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tc>
        <w:tc>
          <w:tcPr>
            <w:tcW w:w="584" w:type="dxa"/>
          </w:tcPr>
          <w:p w14:paraId="6833B38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84" w:type="dxa"/>
          </w:tcPr>
          <w:p w14:paraId="227B6E2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67" w:type="dxa"/>
          </w:tcPr>
          <w:p w14:paraId="743DB0C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618" w:type="dxa"/>
          </w:tcPr>
          <w:p w14:paraId="7DB3774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613" w:type="dxa"/>
          </w:tcPr>
          <w:p w14:paraId="68F355B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w:t>
            </w:r>
          </w:p>
        </w:tc>
      </w:tr>
      <w:tr w:rsidR="00860B4B" w:rsidRPr="00D03F3E" w14:paraId="37D6D3B6" w14:textId="77777777">
        <w:tc>
          <w:tcPr>
            <w:tcW w:w="964" w:type="dxa"/>
          </w:tcPr>
          <w:p w14:paraId="7C4EFE4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w:t>
            </w:r>
            <w:r w:rsidRPr="00D03F3E">
              <w:rPr>
                <w:rFonts w:ascii="Times New Roman" w:hAnsi="Times New Roman"/>
                <w:color w:val="000000" w:themeColor="text1"/>
                <w:sz w:val="16"/>
                <w:szCs w:val="16"/>
              </w:rPr>
              <w:lastRenderedPageBreak/>
              <w:t>лей</w:t>
            </w:r>
          </w:p>
        </w:tc>
        <w:tc>
          <w:tcPr>
            <w:tcW w:w="567" w:type="dxa"/>
          </w:tcPr>
          <w:p w14:paraId="7D7D450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1146</w:t>
            </w:r>
          </w:p>
        </w:tc>
        <w:tc>
          <w:tcPr>
            <w:tcW w:w="557" w:type="dxa"/>
          </w:tcPr>
          <w:p w14:paraId="49CD0A2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Pr>
          <w:p w14:paraId="5A0B95C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5" w:type="dxa"/>
          </w:tcPr>
          <w:p w14:paraId="097E70D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2BC28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176881A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5" w:type="dxa"/>
          </w:tcPr>
          <w:p w14:paraId="1F43585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625</w:t>
            </w:r>
          </w:p>
        </w:tc>
        <w:tc>
          <w:tcPr>
            <w:tcW w:w="564" w:type="dxa"/>
          </w:tcPr>
          <w:p w14:paraId="759FAAB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04" w:type="dxa"/>
          </w:tcPr>
          <w:p w14:paraId="0964E40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tcPr>
          <w:p w14:paraId="7E8DC22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gridSpan w:val="2"/>
          </w:tcPr>
          <w:p w14:paraId="1F5D4C0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4" w:type="dxa"/>
          </w:tcPr>
          <w:p w14:paraId="593B3D1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50A3F8F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802</w:t>
            </w:r>
          </w:p>
        </w:tc>
        <w:tc>
          <w:tcPr>
            <w:tcW w:w="584" w:type="dxa"/>
          </w:tcPr>
          <w:p w14:paraId="3D940D5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73D110C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67EAA3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8" w:type="dxa"/>
          </w:tcPr>
          <w:p w14:paraId="3455ECA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3" w:type="dxa"/>
          </w:tcPr>
          <w:p w14:paraId="5F64C49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9850189" w14:textId="77777777">
        <w:tc>
          <w:tcPr>
            <w:tcW w:w="964" w:type="dxa"/>
          </w:tcPr>
          <w:p w14:paraId="4784B47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Пе-2</w:t>
            </w:r>
          </w:p>
        </w:tc>
        <w:tc>
          <w:tcPr>
            <w:tcW w:w="567" w:type="dxa"/>
          </w:tcPr>
          <w:p w14:paraId="490B769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190</w:t>
            </w:r>
          </w:p>
        </w:tc>
        <w:tc>
          <w:tcPr>
            <w:tcW w:w="557" w:type="dxa"/>
          </w:tcPr>
          <w:p w14:paraId="57D2793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144</w:t>
            </w:r>
          </w:p>
        </w:tc>
        <w:tc>
          <w:tcPr>
            <w:tcW w:w="557" w:type="dxa"/>
          </w:tcPr>
          <w:p w14:paraId="4082244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45" w:type="dxa"/>
          </w:tcPr>
          <w:p w14:paraId="5BB7839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p>
        </w:tc>
        <w:tc>
          <w:tcPr>
            <w:tcW w:w="567" w:type="dxa"/>
          </w:tcPr>
          <w:p w14:paraId="2A3F83E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w:t>
            </w:r>
          </w:p>
        </w:tc>
        <w:tc>
          <w:tcPr>
            <w:tcW w:w="556" w:type="dxa"/>
          </w:tcPr>
          <w:p w14:paraId="61B5200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c>
          <w:tcPr>
            <w:tcW w:w="585" w:type="dxa"/>
          </w:tcPr>
          <w:p w14:paraId="7C9A427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w:t>
            </w:r>
          </w:p>
        </w:tc>
        <w:tc>
          <w:tcPr>
            <w:tcW w:w="564" w:type="dxa"/>
          </w:tcPr>
          <w:p w14:paraId="44F5E47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w:t>
            </w:r>
          </w:p>
        </w:tc>
        <w:tc>
          <w:tcPr>
            <w:tcW w:w="504" w:type="dxa"/>
          </w:tcPr>
          <w:p w14:paraId="2849A8E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570" w:type="dxa"/>
          </w:tcPr>
          <w:p w14:paraId="2CE093C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570" w:type="dxa"/>
            <w:gridSpan w:val="2"/>
          </w:tcPr>
          <w:p w14:paraId="3E933E6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tc>
        <w:tc>
          <w:tcPr>
            <w:tcW w:w="474" w:type="dxa"/>
          </w:tcPr>
          <w:p w14:paraId="31CD8C7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3593BBE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126</w:t>
            </w:r>
          </w:p>
        </w:tc>
        <w:tc>
          <w:tcPr>
            <w:tcW w:w="584" w:type="dxa"/>
          </w:tcPr>
          <w:p w14:paraId="7F9B751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w:t>
            </w:r>
          </w:p>
        </w:tc>
        <w:tc>
          <w:tcPr>
            <w:tcW w:w="584" w:type="dxa"/>
          </w:tcPr>
          <w:p w14:paraId="09E8B33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567" w:type="dxa"/>
          </w:tcPr>
          <w:p w14:paraId="3F307BE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w:t>
            </w:r>
          </w:p>
        </w:tc>
        <w:tc>
          <w:tcPr>
            <w:tcW w:w="618" w:type="dxa"/>
          </w:tcPr>
          <w:p w14:paraId="420D4F5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tc>
        <w:tc>
          <w:tcPr>
            <w:tcW w:w="613" w:type="dxa"/>
          </w:tcPr>
          <w:p w14:paraId="13A985F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w:t>
            </w:r>
          </w:p>
        </w:tc>
      </w:tr>
      <w:tr w:rsidR="00860B4B" w:rsidRPr="00D03F3E" w14:paraId="57972FDB" w14:textId="77777777">
        <w:tc>
          <w:tcPr>
            <w:tcW w:w="964" w:type="dxa"/>
          </w:tcPr>
          <w:p w14:paraId="2E98D67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Ил-4</w:t>
            </w:r>
          </w:p>
        </w:tc>
        <w:tc>
          <w:tcPr>
            <w:tcW w:w="567" w:type="dxa"/>
          </w:tcPr>
          <w:p w14:paraId="38674F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w:t>
            </w:r>
          </w:p>
        </w:tc>
        <w:tc>
          <w:tcPr>
            <w:tcW w:w="557" w:type="dxa"/>
          </w:tcPr>
          <w:p w14:paraId="6E56EA9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tc>
        <w:tc>
          <w:tcPr>
            <w:tcW w:w="557" w:type="dxa"/>
          </w:tcPr>
          <w:p w14:paraId="1772752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45" w:type="dxa"/>
          </w:tcPr>
          <w:p w14:paraId="1D04378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567" w:type="dxa"/>
          </w:tcPr>
          <w:p w14:paraId="45D3D76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56" w:type="dxa"/>
          </w:tcPr>
          <w:p w14:paraId="6AFBEA6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585" w:type="dxa"/>
          </w:tcPr>
          <w:p w14:paraId="5D5B622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564" w:type="dxa"/>
          </w:tcPr>
          <w:p w14:paraId="15D166F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504" w:type="dxa"/>
          </w:tcPr>
          <w:p w14:paraId="1D688BD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70" w:type="dxa"/>
          </w:tcPr>
          <w:p w14:paraId="4EC99D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70" w:type="dxa"/>
            <w:gridSpan w:val="2"/>
          </w:tcPr>
          <w:p w14:paraId="279C10A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74" w:type="dxa"/>
          </w:tcPr>
          <w:p w14:paraId="2937072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84" w:type="dxa"/>
          </w:tcPr>
          <w:p w14:paraId="3F1AE12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584" w:type="dxa"/>
          </w:tcPr>
          <w:p w14:paraId="053D4C0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584" w:type="dxa"/>
          </w:tcPr>
          <w:p w14:paraId="1B9B33E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67" w:type="dxa"/>
          </w:tcPr>
          <w:p w14:paraId="2C2268E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618" w:type="dxa"/>
          </w:tcPr>
          <w:p w14:paraId="3F1F2CC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613" w:type="dxa"/>
          </w:tcPr>
          <w:p w14:paraId="2A0687D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65694B2C" w14:textId="77777777">
        <w:tc>
          <w:tcPr>
            <w:tcW w:w="964" w:type="dxa"/>
          </w:tcPr>
          <w:p w14:paraId="5E13C71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Бостон</w:t>
            </w:r>
          </w:p>
        </w:tc>
        <w:tc>
          <w:tcPr>
            <w:tcW w:w="567" w:type="dxa"/>
          </w:tcPr>
          <w:p w14:paraId="37C991B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w:t>
            </w:r>
          </w:p>
        </w:tc>
        <w:tc>
          <w:tcPr>
            <w:tcW w:w="557" w:type="dxa"/>
          </w:tcPr>
          <w:p w14:paraId="4AE854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tc>
        <w:tc>
          <w:tcPr>
            <w:tcW w:w="557" w:type="dxa"/>
          </w:tcPr>
          <w:p w14:paraId="4DF5FB1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45" w:type="dxa"/>
          </w:tcPr>
          <w:p w14:paraId="70AF60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67" w:type="dxa"/>
          </w:tcPr>
          <w:p w14:paraId="1320729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556" w:type="dxa"/>
          </w:tcPr>
          <w:p w14:paraId="5ED8924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tc>
        <w:tc>
          <w:tcPr>
            <w:tcW w:w="585" w:type="dxa"/>
          </w:tcPr>
          <w:p w14:paraId="3570609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w:t>
            </w:r>
          </w:p>
        </w:tc>
        <w:tc>
          <w:tcPr>
            <w:tcW w:w="564" w:type="dxa"/>
          </w:tcPr>
          <w:p w14:paraId="333686E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w:t>
            </w:r>
          </w:p>
        </w:tc>
        <w:tc>
          <w:tcPr>
            <w:tcW w:w="504" w:type="dxa"/>
          </w:tcPr>
          <w:p w14:paraId="4DE2240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570" w:type="dxa"/>
          </w:tcPr>
          <w:p w14:paraId="778D381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70" w:type="dxa"/>
            <w:gridSpan w:val="2"/>
          </w:tcPr>
          <w:p w14:paraId="7FAEE8B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474" w:type="dxa"/>
          </w:tcPr>
          <w:p w14:paraId="742253D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584" w:type="dxa"/>
          </w:tcPr>
          <w:p w14:paraId="63F8966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w:t>
            </w:r>
          </w:p>
        </w:tc>
        <w:tc>
          <w:tcPr>
            <w:tcW w:w="584" w:type="dxa"/>
          </w:tcPr>
          <w:p w14:paraId="52AF127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tc>
        <w:tc>
          <w:tcPr>
            <w:tcW w:w="584" w:type="dxa"/>
          </w:tcPr>
          <w:p w14:paraId="2164FEC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567" w:type="dxa"/>
          </w:tcPr>
          <w:p w14:paraId="3A9003E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618" w:type="dxa"/>
          </w:tcPr>
          <w:p w14:paraId="41F33B7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613" w:type="dxa"/>
          </w:tcPr>
          <w:p w14:paraId="2B3D300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r>
      <w:tr w:rsidR="00860B4B" w:rsidRPr="00D03F3E" w14:paraId="52647F28" w14:textId="77777777">
        <w:tc>
          <w:tcPr>
            <w:tcW w:w="964" w:type="dxa"/>
          </w:tcPr>
          <w:p w14:paraId="1375B8C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бомбардировщиков</w:t>
            </w:r>
          </w:p>
        </w:tc>
        <w:tc>
          <w:tcPr>
            <w:tcW w:w="567" w:type="dxa"/>
          </w:tcPr>
          <w:p w14:paraId="263E129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263</w:t>
            </w:r>
          </w:p>
        </w:tc>
        <w:tc>
          <w:tcPr>
            <w:tcW w:w="557" w:type="dxa"/>
          </w:tcPr>
          <w:p w14:paraId="365D01F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Pr>
          <w:p w14:paraId="2920BD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5" w:type="dxa"/>
          </w:tcPr>
          <w:p w14:paraId="6807BD1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BED50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2A334D3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5" w:type="dxa"/>
          </w:tcPr>
          <w:p w14:paraId="0D26659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137</w:t>
            </w:r>
          </w:p>
        </w:tc>
        <w:tc>
          <w:tcPr>
            <w:tcW w:w="564" w:type="dxa"/>
          </w:tcPr>
          <w:p w14:paraId="151327B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04" w:type="dxa"/>
          </w:tcPr>
          <w:p w14:paraId="1AE69E1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tcPr>
          <w:p w14:paraId="1C4BF50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gridSpan w:val="2"/>
          </w:tcPr>
          <w:p w14:paraId="2904067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4" w:type="dxa"/>
          </w:tcPr>
          <w:p w14:paraId="1A7956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3BFC3B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w:t>
            </w:r>
          </w:p>
        </w:tc>
        <w:tc>
          <w:tcPr>
            <w:tcW w:w="584" w:type="dxa"/>
          </w:tcPr>
          <w:p w14:paraId="568154A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3A99C5D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84798E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8" w:type="dxa"/>
          </w:tcPr>
          <w:p w14:paraId="2DC1C0E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3" w:type="dxa"/>
          </w:tcPr>
          <w:p w14:paraId="7D12B98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1D1FEEE" w14:textId="77777777">
        <w:tc>
          <w:tcPr>
            <w:tcW w:w="964" w:type="dxa"/>
          </w:tcPr>
          <w:p w14:paraId="746EF8F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Ил-2</w:t>
            </w:r>
          </w:p>
        </w:tc>
        <w:tc>
          <w:tcPr>
            <w:tcW w:w="567" w:type="dxa"/>
          </w:tcPr>
          <w:p w14:paraId="6052415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856</w:t>
            </w:r>
          </w:p>
        </w:tc>
        <w:tc>
          <w:tcPr>
            <w:tcW w:w="557" w:type="dxa"/>
          </w:tcPr>
          <w:p w14:paraId="4EA0D11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597</w:t>
            </w:r>
          </w:p>
        </w:tc>
        <w:tc>
          <w:tcPr>
            <w:tcW w:w="557" w:type="dxa"/>
          </w:tcPr>
          <w:p w14:paraId="0A8315B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c>
          <w:tcPr>
            <w:tcW w:w="445" w:type="dxa"/>
          </w:tcPr>
          <w:p w14:paraId="61E4A83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w:t>
            </w:r>
          </w:p>
        </w:tc>
        <w:tc>
          <w:tcPr>
            <w:tcW w:w="567" w:type="dxa"/>
          </w:tcPr>
          <w:p w14:paraId="1C16B35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89</w:t>
            </w:r>
          </w:p>
        </w:tc>
        <w:tc>
          <w:tcPr>
            <w:tcW w:w="556" w:type="dxa"/>
          </w:tcPr>
          <w:p w14:paraId="2DEB6E5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104</w:t>
            </w:r>
          </w:p>
        </w:tc>
        <w:tc>
          <w:tcPr>
            <w:tcW w:w="585" w:type="dxa"/>
          </w:tcPr>
          <w:p w14:paraId="3BF4057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649</w:t>
            </w:r>
          </w:p>
        </w:tc>
        <w:tc>
          <w:tcPr>
            <w:tcW w:w="564" w:type="dxa"/>
          </w:tcPr>
          <w:p w14:paraId="1B82C9F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412</w:t>
            </w:r>
          </w:p>
        </w:tc>
        <w:tc>
          <w:tcPr>
            <w:tcW w:w="504" w:type="dxa"/>
          </w:tcPr>
          <w:p w14:paraId="038A44B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c>
          <w:tcPr>
            <w:tcW w:w="570" w:type="dxa"/>
          </w:tcPr>
          <w:p w14:paraId="6A7A3D3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w:t>
            </w:r>
          </w:p>
        </w:tc>
        <w:tc>
          <w:tcPr>
            <w:tcW w:w="570" w:type="dxa"/>
            <w:gridSpan w:val="2"/>
          </w:tcPr>
          <w:p w14:paraId="6E8AB3E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w:t>
            </w:r>
          </w:p>
        </w:tc>
        <w:tc>
          <w:tcPr>
            <w:tcW w:w="474" w:type="dxa"/>
          </w:tcPr>
          <w:p w14:paraId="5A239D3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89</w:t>
            </w:r>
          </w:p>
        </w:tc>
        <w:tc>
          <w:tcPr>
            <w:tcW w:w="584" w:type="dxa"/>
          </w:tcPr>
          <w:p w14:paraId="23536F7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590</w:t>
            </w:r>
          </w:p>
        </w:tc>
        <w:tc>
          <w:tcPr>
            <w:tcW w:w="584" w:type="dxa"/>
          </w:tcPr>
          <w:p w14:paraId="52E9222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301</w:t>
            </w:r>
          </w:p>
        </w:tc>
        <w:tc>
          <w:tcPr>
            <w:tcW w:w="584" w:type="dxa"/>
          </w:tcPr>
          <w:p w14:paraId="54D0ACF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567" w:type="dxa"/>
          </w:tcPr>
          <w:p w14:paraId="6487E4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w:t>
            </w:r>
          </w:p>
        </w:tc>
        <w:tc>
          <w:tcPr>
            <w:tcW w:w="618" w:type="dxa"/>
          </w:tcPr>
          <w:p w14:paraId="4C59F19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99</w:t>
            </w:r>
          </w:p>
        </w:tc>
        <w:tc>
          <w:tcPr>
            <w:tcW w:w="613" w:type="dxa"/>
          </w:tcPr>
          <w:p w14:paraId="3195FB2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156</w:t>
            </w:r>
          </w:p>
        </w:tc>
      </w:tr>
      <w:tr w:rsidR="00860B4B" w:rsidRPr="00D03F3E" w14:paraId="57D22C69" w14:textId="77777777">
        <w:tc>
          <w:tcPr>
            <w:tcW w:w="964" w:type="dxa"/>
          </w:tcPr>
          <w:p w14:paraId="502DEDE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tc>
        <w:tc>
          <w:tcPr>
            <w:tcW w:w="567" w:type="dxa"/>
          </w:tcPr>
          <w:p w14:paraId="0D0C20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2226</w:t>
            </w:r>
          </w:p>
        </w:tc>
        <w:tc>
          <w:tcPr>
            <w:tcW w:w="557" w:type="dxa"/>
          </w:tcPr>
          <w:p w14:paraId="253CB66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Pr>
          <w:p w14:paraId="252E276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5" w:type="dxa"/>
          </w:tcPr>
          <w:p w14:paraId="76AB0ED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B64EED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0A2BE33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5" w:type="dxa"/>
          </w:tcPr>
          <w:p w14:paraId="50B8431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1411</w:t>
            </w:r>
          </w:p>
        </w:tc>
        <w:tc>
          <w:tcPr>
            <w:tcW w:w="564" w:type="dxa"/>
          </w:tcPr>
          <w:p w14:paraId="47F1C2B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04" w:type="dxa"/>
          </w:tcPr>
          <w:p w14:paraId="20C78A4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tcPr>
          <w:p w14:paraId="221158B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gridSpan w:val="2"/>
          </w:tcPr>
          <w:p w14:paraId="0E84DC1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4" w:type="dxa"/>
          </w:tcPr>
          <w:p w14:paraId="19FC2B0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7A0ABE9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1547</w:t>
            </w:r>
          </w:p>
        </w:tc>
        <w:tc>
          <w:tcPr>
            <w:tcW w:w="584" w:type="dxa"/>
          </w:tcPr>
          <w:p w14:paraId="093EC96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48C040F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2891C7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8" w:type="dxa"/>
          </w:tcPr>
          <w:p w14:paraId="31151DA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3" w:type="dxa"/>
          </w:tcPr>
          <w:p w14:paraId="121F5A2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930F9D7" w14:textId="77777777">
        <w:tc>
          <w:tcPr>
            <w:tcW w:w="964" w:type="dxa"/>
          </w:tcPr>
          <w:p w14:paraId="34FE925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И-16</w:t>
            </w:r>
          </w:p>
        </w:tc>
        <w:tc>
          <w:tcPr>
            <w:tcW w:w="567" w:type="dxa"/>
          </w:tcPr>
          <w:p w14:paraId="2541A19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tc>
        <w:tc>
          <w:tcPr>
            <w:tcW w:w="557" w:type="dxa"/>
          </w:tcPr>
          <w:p w14:paraId="61E0492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557" w:type="dxa"/>
          </w:tcPr>
          <w:p w14:paraId="7464868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45" w:type="dxa"/>
          </w:tcPr>
          <w:p w14:paraId="4F8A16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67" w:type="dxa"/>
          </w:tcPr>
          <w:p w14:paraId="7F8579D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556" w:type="dxa"/>
          </w:tcPr>
          <w:p w14:paraId="3E9FCAA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c>
          <w:tcPr>
            <w:tcW w:w="585" w:type="dxa"/>
          </w:tcPr>
          <w:p w14:paraId="132D4BD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4BC370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04" w:type="dxa"/>
          </w:tcPr>
          <w:p w14:paraId="23C50EE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tcPr>
          <w:p w14:paraId="59D8BCA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gridSpan w:val="2"/>
          </w:tcPr>
          <w:p w14:paraId="6AC9661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4" w:type="dxa"/>
          </w:tcPr>
          <w:p w14:paraId="4B5E9F5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08142A9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08B3D0F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75640D8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A67318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8" w:type="dxa"/>
          </w:tcPr>
          <w:p w14:paraId="03E316A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3" w:type="dxa"/>
          </w:tcPr>
          <w:p w14:paraId="39E9CB8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6A8E7FE" w14:textId="77777777">
        <w:tc>
          <w:tcPr>
            <w:tcW w:w="964" w:type="dxa"/>
          </w:tcPr>
          <w:p w14:paraId="46ED8F1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И-153</w:t>
            </w:r>
          </w:p>
        </w:tc>
        <w:tc>
          <w:tcPr>
            <w:tcW w:w="567" w:type="dxa"/>
          </w:tcPr>
          <w:p w14:paraId="2298157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tc>
        <w:tc>
          <w:tcPr>
            <w:tcW w:w="557" w:type="dxa"/>
          </w:tcPr>
          <w:p w14:paraId="3F7D40F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57" w:type="dxa"/>
          </w:tcPr>
          <w:p w14:paraId="433214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45" w:type="dxa"/>
          </w:tcPr>
          <w:p w14:paraId="73468B7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67" w:type="dxa"/>
          </w:tcPr>
          <w:p w14:paraId="746217D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56" w:type="dxa"/>
          </w:tcPr>
          <w:p w14:paraId="7239A6C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tc>
        <w:tc>
          <w:tcPr>
            <w:tcW w:w="585" w:type="dxa"/>
          </w:tcPr>
          <w:p w14:paraId="28C06DD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7941F46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04" w:type="dxa"/>
          </w:tcPr>
          <w:p w14:paraId="724A929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tcPr>
          <w:p w14:paraId="31E7D16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gridSpan w:val="2"/>
          </w:tcPr>
          <w:p w14:paraId="2558343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4" w:type="dxa"/>
          </w:tcPr>
          <w:p w14:paraId="43D7910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3FE4514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350DE09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706CC5C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7EB8E5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8" w:type="dxa"/>
          </w:tcPr>
          <w:p w14:paraId="42BFE0E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3" w:type="dxa"/>
          </w:tcPr>
          <w:p w14:paraId="5623636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0FF1E3C" w14:textId="77777777">
        <w:tc>
          <w:tcPr>
            <w:tcW w:w="964" w:type="dxa"/>
          </w:tcPr>
          <w:p w14:paraId="38D8CDF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И-15 </w:t>
            </w:r>
          </w:p>
        </w:tc>
        <w:tc>
          <w:tcPr>
            <w:tcW w:w="567" w:type="dxa"/>
          </w:tcPr>
          <w:p w14:paraId="7063777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557" w:type="dxa"/>
          </w:tcPr>
          <w:p w14:paraId="32EBFE0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557" w:type="dxa"/>
          </w:tcPr>
          <w:p w14:paraId="227D4A0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45" w:type="dxa"/>
          </w:tcPr>
          <w:p w14:paraId="3B8ECA1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67" w:type="dxa"/>
          </w:tcPr>
          <w:p w14:paraId="6FEA8C8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56" w:type="dxa"/>
          </w:tcPr>
          <w:p w14:paraId="141DB9D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585" w:type="dxa"/>
          </w:tcPr>
          <w:p w14:paraId="536E1ED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42A182A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04" w:type="dxa"/>
          </w:tcPr>
          <w:p w14:paraId="491F3AF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tcPr>
          <w:p w14:paraId="4E268CF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gridSpan w:val="2"/>
          </w:tcPr>
          <w:p w14:paraId="37FBD60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4" w:type="dxa"/>
          </w:tcPr>
          <w:p w14:paraId="534D7CC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5EB9337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01F82D2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28E9119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055120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8" w:type="dxa"/>
          </w:tcPr>
          <w:p w14:paraId="2AA128D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3" w:type="dxa"/>
          </w:tcPr>
          <w:p w14:paraId="03A80CC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D4AD373" w14:textId="77777777">
        <w:tc>
          <w:tcPr>
            <w:tcW w:w="964" w:type="dxa"/>
          </w:tcPr>
          <w:p w14:paraId="3637CBE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Киттихок</w:t>
            </w:r>
          </w:p>
        </w:tc>
        <w:tc>
          <w:tcPr>
            <w:tcW w:w="567" w:type="dxa"/>
          </w:tcPr>
          <w:p w14:paraId="15950F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557" w:type="dxa"/>
          </w:tcPr>
          <w:p w14:paraId="127960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Pr>
          <w:p w14:paraId="5567CE4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5" w:type="dxa"/>
          </w:tcPr>
          <w:p w14:paraId="0A628DE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1E9E12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046E9A8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5" w:type="dxa"/>
          </w:tcPr>
          <w:p w14:paraId="222A602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4EB8348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04" w:type="dxa"/>
          </w:tcPr>
          <w:p w14:paraId="0BC393E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tcPr>
          <w:p w14:paraId="690E660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gridSpan w:val="2"/>
          </w:tcPr>
          <w:p w14:paraId="686C00B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4" w:type="dxa"/>
          </w:tcPr>
          <w:p w14:paraId="126449D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2C71A36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1E95BE1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71AB64B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7443FF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8" w:type="dxa"/>
          </w:tcPr>
          <w:p w14:paraId="70578FA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3" w:type="dxa"/>
          </w:tcPr>
          <w:p w14:paraId="6A2F8D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2C24467" w14:textId="77777777">
        <w:tc>
          <w:tcPr>
            <w:tcW w:w="964" w:type="dxa"/>
          </w:tcPr>
          <w:p w14:paraId="7A9EBEA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с-тов всех типов на фронтах</w:t>
            </w:r>
          </w:p>
        </w:tc>
        <w:tc>
          <w:tcPr>
            <w:tcW w:w="567" w:type="dxa"/>
          </w:tcPr>
          <w:p w14:paraId="3704679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1325</w:t>
            </w:r>
          </w:p>
        </w:tc>
        <w:tc>
          <w:tcPr>
            <w:tcW w:w="557" w:type="dxa"/>
          </w:tcPr>
          <w:p w14:paraId="3F06760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699</w:t>
            </w:r>
          </w:p>
        </w:tc>
        <w:tc>
          <w:tcPr>
            <w:tcW w:w="557" w:type="dxa"/>
          </w:tcPr>
          <w:p w14:paraId="75EBB00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183</w:t>
            </w:r>
          </w:p>
        </w:tc>
        <w:tc>
          <w:tcPr>
            <w:tcW w:w="445" w:type="dxa"/>
          </w:tcPr>
          <w:p w14:paraId="6DCCFE8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w:t>
            </w:r>
          </w:p>
        </w:tc>
        <w:tc>
          <w:tcPr>
            <w:tcW w:w="567" w:type="dxa"/>
          </w:tcPr>
          <w:p w14:paraId="6C4DFA0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207</w:t>
            </w:r>
          </w:p>
        </w:tc>
        <w:tc>
          <w:tcPr>
            <w:tcW w:w="556" w:type="dxa"/>
          </w:tcPr>
          <w:p w14:paraId="067DCF2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204</w:t>
            </w:r>
          </w:p>
        </w:tc>
        <w:tc>
          <w:tcPr>
            <w:tcW w:w="585" w:type="dxa"/>
          </w:tcPr>
          <w:p w14:paraId="2381320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2E694A7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04" w:type="dxa"/>
          </w:tcPr>
          <w:p w14:paraId="185A0D0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tcPr>
          <w:p w14:paraId="51B355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gridSpan w:val="2"/>
          </w:tcPr>
          <w:p w14:paraId="67D3EAA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4" w:type="dxa"/>
          </w:tcPr>
          <w:p w14:paraId="47DE1BA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2ED8A43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4820F98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341142D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53E6F6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8" w:type="dxa"/>
          </w:tcPr>
          <w:p w14:paraId="174388F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3" w:type="dxa"/>
          </w:tcPr>
          <w:p w14:paraId="14EA7CC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FD31994" w14:textId="77777777">
        <w:tc>
          <w:tcPr>
            <w:tcW w:w="964" w:type="dxa"/>
          </w:tcPr>
          <w:p w14:paraId="71C6CFE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бомбардировщиков</w:t>
            </w:r>
          </w:p>
        </w:tc>
        <w:tc>
          <w:tcPr>
            <w:tcW w:w="567" w:type="dxa"/>
          </w:tcPr>
          <w:p w14:paraId="73238CE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255</w:t>
            </w:r>
          </w:p>
        </w:tc>
        <w:tc>
          <w:tcPr>
            <w:tcW w:w="557" w:type="dxa"/>
          </w:tcPr>
          <w:p w14:paraId="35E0F6D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195</w:t>
            </w:r>
          </w:p>
        </w:tc>
        <w:tc>
          <w:tcPr>
            <w:tcW w:w="557" w:type="dxa"/>
          </w:tcPr>
          <w:p w14:paraId="126AAB9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45" w:type="dxa"/>
          </w:tcPr>
          <w:p w14:paraId="214581A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tc>
        <w:tc>
          <w:tcPr>
            <w:tcW w:w="567" w:type="dxa"/>
          </w:tcPr>
          <w:p w14:paraId="028B5CD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w:t>
            </w:r>
          </w:p>
        </w:tc>
        <w:tc>
          <w:tcPr>
            <w:tcW w:w="556" w:type="dxa"/>
          </w:tcPr>
          <w:p w14:paraId="3775DCB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tc>
        <w:tc>
          <w:tcPr>
            <w:tcW w:w="585" w:type="dxa"/>
          </w:tcPr>
          <w:p w14:paraId="3FA1BAF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3A8F709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04" w:type="dxa"/>
          </w:tcPr>
          <w:p w14:paraId="2BDE8A2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tcPr>
          <w:p w14:paraId="1365B57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gridSpan w:val="2"/>
          </w:tcPr>
          <w:p w14:paraId="3FF010F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4" w:type="dxa"/>
          </w:tcPr>
          <w:p w14:paraId="77C6BE8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1E88E84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05431F4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7B1448A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4330DC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8" w:type="dxa"/>
          </w:tcPr>
          <w:p w14:paraId="45A525B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3" w:type="dxa"/>
          </w:tcPr>
          <w:p w14:paraId="6BA40EA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7DDC60F" w14:textId="77777777">
        <w:tc>
          <w:tcPr>
            <w:tcW w:w="964" w:type="dxa"/>
            <w:tcBorders>
              <w:bottom w:val="single" w:sz="12" w:space="0" w:color="auto"/>
            </w:tcBorders>
          </w:tcPr>
          <w:p w14:paraId="3088EE7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потеряно всех</w:t>
            </w:r>
          </w:p>
        </w:tc>
        <w:tc>
          <w:tcPr>
            <w:tcW w:w="567" w:type="dxa"/>
            <w:tcBorders>
              <w:bottom w:val="single" w:sz="12" w:space="0" w:color="auto"/>
            </w:tcBorders>
          </w:tcPr>
          <w:p w14:paraId="103087A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2583</w:t>
            </w:r>
          </w:p>
        </w:tc>
        <w:tc>
          <w:tcPr>
            <w:tcW w:w="557" w:type="dxa"/>
            <w:tcBorders>
              <w:bottom w:val="single" w:sz="12" w:space="0" w:color="auto"/>
            </w:tcBorders>
          </w:tcPr>
          <w:p w14:paraId="30D0A4E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1583</w:t>
            </w:r>
          </w:p>
        </w:tc>
        <w:tc>
          <w:tcPr>
            <w:tcW w:w="557" w:type="dxa"/>
            <w:tcBorders>
              <w:bottom w:val="single" w:sz="12" w:space="0" w:color="auto"/>
            </w:tcBorders>
          </w:tcPr>
          <w:p w14:paraId="4F53E5B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192</w:t>
            </w:r>
          </w:p>
        </w:tc>
        <w:tc>
          <w:tcPr>
            <w:tcW w:w="445" w:type="dxa"/>
            <w:tcBorders>
              <w:bottom w:val="single" w:sz="12" w:space="0" w:color="auto"/>
            </w:tcBorders>
          </w:tcPr>
          <w:p w14:paraId="60A0CAF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w:t>
            </w:r>
          </w:p>
        </w:tc>
        <w:tc>
          <w:tcPr>
            <w:tcW w:w="567" w:type="dxa"/>
            <w:tcBorders>
              <w:bottom w:val="single" w:sz="12" w:space="0" w:color="auto"/>
            </w:tcBorders>
          </w:tcPr>
          <w:p w14:paraId="1396462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365</w:t>
            </w:r>
          </w:p>
        </w:tc>
        <w:tc>
          <w:tcPr>
            <w:tcW w:w="556" w:type="dxa"/>
            <w:tcBorders>
              <w:bottom w:val="single" w:sz="12" w:space="0" w:color="auto"/>
            </w:tcBorders>
          </w:tcPr>
          <w:p w14:paraId="070D643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361</w:t>
            </w:r>
          </w:p>
        </w:tc>
        <w:tc>
          <w:tcPr>
            <w:tcW w:w="585" w:type="dxa"/>
            <w:tcBorders>
              <w:bottom w:val="single" w:sz="12" w:space="0" w:color="auto"/>
            </w:tcBorders>
          </w:tcPr>
          <w:p w14:paraId="27CB427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Borders>
              <w:bottom w:val="single" w:sz="12" w:space="0" w:color="auto"/>
            </w:tcBorders>
          </w:tcPr>
          <w:p w14:paraId="3BC2967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04" w:type="dxa"/>
            <w:tcBorders>
              <w:bottom w:val="single" w:sz="12" w:space="0" w:color="auto"/>
            </w:tcBorders>
          </w:tcPr>
          <w:p w14:paraId="33124F8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tcBorders>
              <w:bottom w:val="single" w:sz="12" w:space="0" w:color="auto"/>
            </w:tcBorders>
          </w:tcPr>
          <w:p w14:paraId="6080FBA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gridSpan w:val="2"/>
            <w:tcBorders>
              <w:bottom w:val="single" w:sz="12" w:space="0" w:color="auto"/>
            </w:tcBorders>
          </w:tcPr>
          <w:p w14:paraId="4F421B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4" w:type="dxa"/>
            <w:tcBorders>
              <w:bottom w:val="single" w:sz="12" w:space="0" w:color="auto"/>
            </w:tcBorders>
          </w:tcPr>
          <w:p w14:paraId="361EC55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Borders>
              <w:bottom w:val="single" w:sz="12" w:space="0" w:color="auto"/>
            </w:tcBorders>
          </w:tcPr>
          <w:p w14:paraId="5586AA4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Borders>
              <w:bottom w:val="single" w:sz="12" w:space="0" w:color="auto"/>
            </w:tcBorders>
          </w:tcPr>
          <w:p w14:paraId="2A3F145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Borders>
              <w:bottom w:val="single" w:sz="12" w:space="0" w:color="auto"/>
            </w:tcBorders>
          </w:tcPr>
          <w:p w14:paraId="50FB864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5C5B084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8" w:type="dxa"/>
            <w:tcBorders>
              <w:bottom w:val="single" w:sz="12" w:space="0" w:color="auto"/>
            </w:tcBorders>
          </w:tcPr>
          <w:p w14:paraId="2B58F49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3" w:type="dxa"/>
            <w:tcBorders>
              <w:bottom w:val="single" w:sz="12" w:space="0" w:color="auto"/>
            </w:tcBorders>
          </w:tcPr>
          <w:p w14:paraId="0EAB2CA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720405C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Потери за год с июля по июль 1943</w:t>
      </w:r>
    </w:p>
    <w:p w14:paraId="1F5EF62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Истребителей новых типов в т.ч. импортные на фронте 5330</w:t>
      </w:r>
    </w:p>
    <w:p w14:paraId="1915A2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тылу - 1180, всего 6510</w:t>
      </w:r>
    </w:p>
    <w:p w14:paraId="6E00ABB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Истребителей старых типов - 1367 (фронт + тыл), в т.ч. фронт 805</w:t>
      </w:r>
    </w:p>
    <w:p w14:paraId="2AC9088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Бомбардировщиков новых типов - 2033</w:t>
      </w:r>
    </w:p>
    <w:p w14:paraId="7D5872D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старых типов - 380</w:t>
      </w:r>
    </w:p>
    <w:p w14:paraId="453B69F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12949</w:t>
      </w:r>
    </w:p>
    <w:p w14:paraId="135E09B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у/т и тренировочных 3801</w:t>
      </w:r>
    </w:p>
    <w:p w14:paraId="19A7A68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16750</w:t>
      </w:r>
    </w:p>
    <w:p w14:paraId="4FAC0B8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(786,23).</w:t>
      </w:r>
    </w:p>
    <w:p w14:paraId="1642A09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16BDC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янва</w:t>
      </w:r>
      <w:r w:rsidRPr="00D03F3E">
        <w:rPr>
          <w:rFonts w:ascii="Times New Roman" w:hAnsi="Times New Roman"/>
          <w:color w:val="000000" w:themeColor="text1"/>
          <w:sz w:val="16"/>
          <w:szCs w:val="16"/>
        </w:rPr>
        <w:softHyphen/>
        <w:t>ря 1943 г. 118 орап насчитывала три "Спит</w:t>
      </w:r>
      <w:r w:rsidRPr="00D03F3E">
        <w:rPr>
          <w:rFonts w:ascii="Times New Roman" w:hAnsi="Times New Roman"/>
          <w:color w:val="000000" w:themeColor="text1"/>
          <w:sz w:val="16"/>
          <w:szCs w:val="16"/>
        </w:rPr>
        <w:softHyphen/>
        <w:t>файра", два СБ и четыре Пе-3. После перехода в руки советских летчиков машины не перекрашивались. Они со</w:t>
      </w:r>
      <w:r w:rsidRPr="00D03F3E">
        <w:rPr>
          <w:rFonts w:ascii="Times New Roman" w:hAnsi="Times New Roman"/>
          <w:color w:val="000000" w:themeColor="text1"/>
          <w:sz w:val="16"/>
          <w:szCs w:val="16"/>
        </w:rPr>
        <w:softHyphen/>
        <w:t>храняли свою специфическую окраску и все обозначения, получив лишь так</w:t>
      </w:r>
      <w:r w:rsidRPr="00D03F3E">
        <w:rPr>
          <w:rFonts w:ascii="Times New Roman" w:hAnsi="Times New Roman"/>
          <w:color w:val="000000" w:themeColor="text1"/>
          <w:sz w:val="16"/>
          <w:szCs w:val="16"/>
        </w:rPr>
        <w:softHyphen/>
        <w:t>тические номера на оперении. Крас</w:t>
      </w:r>
      <w:r w:rsidRPr="00D03F3E">
        <w:rPr>
          <w:rFonts w:ascii="Times New Roman" w:hAnsi="Times New Roman"/>
          <w:color w:val="000000" w:themeColor="text1"/>
          <w:sz w:val="16"/>
          <w:szCs w:val="16"/>
        </w:rPr>
        <w:softHyphen/>
        <w:t>ные звезды же вместо английских ко</w:t>
      </w:r>
      <w:r w:rsidRPr="00D03F3E">
        <w:rPr>
          <w:rFonts w:ascii="Times New Roman" w:hAnsi="Times New Roman"/>
          <w:color w:val="000000" w:themeColor="text1"/>
          <w:sz w:val="16"/>
          <w:szCs w:val="16"/>
        </w:rPr>
        <w:softHyphen/>
        <w:t>кард наносились сразу после прибы</w:t>
      </w:r>
      <w:r w:rsidRPr="00D03F3E">
        <w:rPr>
          <w:rFonts w:ascii="Times New Roman" w:hAnsi="Times New Roman"/>
          <w:color w:val="000000" w:themeColor="text1"/>
          <w:sz w:val="16"/>
          <w:szCs w:val="16"/>
        </w:rPr>
        <w:softHyphen/>
        <w:t>тия в Ваенгу. С ними летали и англий</w:t>
      </w:r>
      <w:r w:rsidRPr="00D03F3E">
        <w:rPr>
          <w:rFonts w:ascii="Times New Roman" w:hAnsi="Times New Roman"/>
          <w:color w:val="000000" w:themeColor="text1"/>
          <w:sz w:val="16"/>
          <w:szCs w:val="16"/>
        </w:rPr>
        <w:softHyphen/>
        <w:t>ские, и советские пилоты. Для англи</w:t>
      </w:r>
      <w:r w:rsidRPr="00D03F3E">
        <w:rPr>
          <w:rFonts w:ascii="Times New Roman" w:hAnsi="Times New Roman"/>
          <w:color w:val="000000" w:themeColor="text1"/>
          <w:sz w:val="16"/>
          <w:szCs w:val="16"/>
        </w:rPr>
        <w:softHyphen/>
        <w:t>чан это казалось своеобразной мест</w:t>
      </w:r>
      <w:r w:rsidRPr="00D03F3E">
        <w:rPr>
          <w:rFonts w:ascii="Times New Roman" w:hAnsi="Times New Roman"/>
          <w:color w:val="000000" w:themeColor="text1"/>
          <w:sz w:val="16"/>
          <w:szCs w:val="16"/>
        </w:rPr>
        <w:softHyphen/>
        <w:t>ной экзотикой. В строю эскадрильи, а затем полка никогда не было более трех-четырех РК IV одновременно. За определенны</w:t>
      </w:r>
      <w:r w:rsidRPr="00D03F3E">
        <w:rPr>
          <w:rFonts w:ascii="Times New Roman" w:hAnsi="Times New Roman"/>
          <w:color w:val="000000" w:themeColor="text1"/>
          <w:sz w:val="16"/>
          <w:szCs w:val="16"/>
        </w:rPr>
        <w:softHyphen/>
        <w:t>ми летчиками они не закреплялись, просто были объекты, до которых мог "дотянуться" только "Спитфайр". Но летный состав подбирали очень стро</w:t>
      </w:r>
      <w:r w:rsidRPr="00D03F3E">
        <w:rPr>
          <w:rFonts w:ascii="Times New Roman" w:hAnsi="Times New Roman"/>
          <w:color w:val="000000" w:themeColor="text1"/>
          <w:sz w:val="16"/>
          <w:szCs w:val="16"/>
        </w:rPr>
        <w:softHyphen/>
        <w:t>го. На "спитфайрах" Северного флота летали опытные пилоты довоенной вы</w:t>
      </w:r>
      <w:r w:rsidRPr="00D03F3E">
        <w:rPr>
          <w:rFonts w:ascii="Times New Roman" w:hAnsi="Times New Roman"/>
          <w:color w:val="000000" w:themeColor="text1"/>
          <w:sz w:val="16"/>
          <w:szCs w:val="16"/>
        </w:rPr>
        <w:softHyphen/>
        <w:t>учки, с большим налетом и отличной техникой пилотирования, зачастую из числа бывших инструкторов летных школ. Наши летчики очень высоко ценили английский самолет: быстроходен, ма-неврен, очень прост и приятен в пило</w:t>
      </w:r>
      <w:r w:rsidRPr="00D03F3E">
        <w:rPr>
          <w:rFonts w:ascii="Times New Roman" w:hAnsi="Times New Roman"/>
          <w:color w:val="000000" w:themeColor="text1"/>
          <w:sz w:val="16"/>
          <w:szCs w:val="16"/>
        </w:rPr>
        <w:softHyphen/>
        <w:t>тировании. На высоте он легко уходил от всех применявшихся на севере не</w:t>
      </w:r>
      <w:r w:rsidRPr="00D03F3E">
        <w:rPr>
          <w:rFonts w:ascii="Times New Roman" w:hAnsi="Times New Roman"/>
          <w:color w:val="000000" w:themeColor="text1"/>
          <w:sz w:val="16"/>
          <w:szCs w:val="16"/>
        </w:rPr>
        <w:softHyphen/>
        <w:t>мецких и советских истребителей. Ско</w:t>
      </w:r>
      <w:r w:rsidRPr="00D03F3E">
        <w:rPr>
          <w:rFonts w:ascii="Times New Roman" w:hAnsi="Times New Roman"/>
          <w:color w:val="000000" w:themeColor="text1"/>
          <w:sz w:val="16"/>
          <w:szCs w:val="16"/>
        </w:rPr>
        <w:softHyphen/>
        <w:t>рость и высота заменяли ему огневые точки - единственным оружием летчи</w:t>
      </w:r>
      <w:r w:rsidRPr="00D03F3E">
        <w:rPr>
          <w:rFonts w:ascii="Times New Roman" w:hAnsi="Times New Roman"/>
          <w:color w:val="000000" w:themeColor="text1"/>
          <w:sz w:val="16"/>
          <w:szCs w:val="16"/>
        </w:rPr>
        <w:softHyphen/>
        <w:t>ка был автомат ППШ, лежавший за спинкой сиденья на случай вынужден</w:t>
      </w:r>
      <w:r w:rsidRPr="00D03F3E">
        <w:rPr>
          <w:rFonts w:ascii="Times New Roman" w:hAnsi="Times New Roman"/>
          <w:color w:val="000000" w:themeColor="text1"/>
          <w:sz w:val="16"/>
          <w:szCs w:val="16"/>
        </w:rPr>
        <w:softHyphen/>
        <w:t>ной посадки. Машина неоднократно демонстри</w:t>
      </w:r>
      <w:r w:rsidRPr="00D03F3E">
        <w:rPr>
          <w:rFonts w:ascii="Times New Roman" w:hAnsi="Times New Roman"/>
          <w:color w:val="000000" w:themeColor="text1"/>
          <w:sz w:val="16"/>
          <w:szCs w:val="16"/>
        </w:rPr>
        <w:softHyphen/>
        <w:t>ровала и свою боевую живучесть. Как-то раз капитан Платонов благополуч</w:t>
      </w:r>
      <w:r w:rsidRPr="00D03F3E">
        <w:rPr>
          <w:rFonts w:ascii="Times New Roman" w:hAnsi="Times New Roman"/>
          <w:color w:val="000000" w:themeColor="text1"/>
          <w:sz w:val="16"/>
          <w:szCs w:val="16"/>
        </w:rPr>
        <w:softHyphen/>
        <w:t>но вернулся с разведки с дырой в кры</w:t>
      </w:r>
      <w:r w:rsidRPr="00D03F3E">
        <w:rPr>
          <w:rFonts w:ascii="Times New Roman" w:hAnsi="Times New Roman"/>
          <w:color w:val="000000" w:themeColor="text1"/>
          <w:sz w:val="16"/>
          <w:szCs w:val="16"/>
        </w:rPr>
        <w:softHyphen/>
        <w:t>ле, "через которую было видно зем</w:t>
      </w:r>
      <w:r w:rsidRPr="00D03F3E">
        <w:rPr>
          <w:rFonts w:ascii="Times New Roman" w:hAnsi="Times New Roman"/>
          <w:color w:val="000000" w:themeColor="text1"/>
          <w:sz w:val="16"/>
          <w:szCs w:val="16"/>
        </w:rPr>
        <w:softHyphen/>
        <w:t>лю". Поначалу досаждала только не</w:t>
      </w:r>
      <w:r w:rsidRPr="00D03F3E">
        <w:rPr>
          <w:rFonts w:ascii="Times New Roman" w:hAnsi="Times New Roman"/>
          <w:color w:val="000000" w:themeColor="text1"/>
          <w:sz w:val="16"/>
          <w:szCs w:val="16"/>
        </w:rPr>
        <w:softHyphen/>
        <w:t>хватка запчастей, которые из Англии не поставлялись. Нашим механикам приходилось проявлять чудеса изворот</w:t>
      </w:r>
      <w:r w:rsidRPr="00D03F3E">
        <w:rPr>
          <w:rFonts w:ascii="Times New Roman" w:hAnsi="Times New Roman"/>
          <w:color w:val="000000" w:themeColor="text1"/>
          <w:sz w:val="16"/>
          <w:szCs w:val="16"/>
        </w:rPr>
        <w:softHyphen/>
        <w:t>ливости. Например, лейтенант Маноч-кин приспособил к "Спитфайру" коле</w:t>
      </w:r>
      <w:r w:rsidRPr="00D03F3E">
        <w:rPr>
          <w:rFonts w:ascii="Times New Roman" w:hAnsi="Times New Roman"/>
          <w:color w:val="000000" w:themeColor="text1"/>
          <w:sz w:val="16"/>
          <w:szCs w:val="16"/>
        </w:rPr>
        <w:softHyphen/>
        <w:t>са от МиГ-3. "Спитфайр" считали лучшим одномоторным разведчиком, сравнивая его с доработанны</w:t>
      </w:r>
      <w:r w:rsidRPr="00D03F3E">
        <w:rPr>
          <w:rFonts w:ascii="Times New Roman" w:hAnsi="Times New Roman"/>
          <w:color w:val="000000" w:themeColor="text1"/>
          <w:sz w:val="16"/>
          <w:szCs w:val="16"/>
        </w:rPr>
        <w:softHyphen/>
        <w:t>ми для фотосъемки Як-1, ЛаГГ-3, "Харрикейнами", "Аэрокобра</w:t>
      </w:r>
      <w:r w:rsidRPr="00D03F3E">
        <w:rPr>
          <w:rFonts w:ascii="Times New Roman" w:hAnsi="Times New Roman"/>
          <w:color w:val="000000" w:themeColor="text1"/>
          <w:sz w:val="16"/>
          <w:szCs w:val="16"/>
        </w:rPr>
        <w:softHyphen/>
        <w:t>ми" и "Киттихауками", в разное время эксплуатировавшимися полком. В конечном итоге из од</w:t>
      </w:r>
      <w:r w:rsidRPr="00D03F3E">
        <w:rPr>
          <w:rFonts w:ascii="Times New Roman" w:hAnsi="Times New Roman"/>
          <w:color w:val="000000" w:themeColor="text1"/>
          <w:sz w:val="16"/>
          <w:szCs w:val="16"/>
        </w:rPr>
        <w:softHyphen/>
        <w:t>номестных машин в полку оста</w:t>
      </w:r>
      <w:r w:rsidRPr="00D03F3E">
        <w:rPr>
          <w:rFonts w:ascii="Times New Roman" w:hAnsi="Times New Roman"/>
          <w:color w:val="000000" w:themeColor="text1"/>
          <w:sz w:val="16"/>
          <w:szCs w:val="16"/>
        </w:rPr>
        <w:softHyphen/>
        <w:t>лись только РR IV и "Киттихауки". Поскольку 118-й полк отно</w:t>
      </w:r>
      <w:r w:rsidRPr="00D03F3E">
        <w:rPr>
          <w:rFonts w:ascii="Times New Roman" w:hAnsi="Times New Roman"/>
          <w:color w:val="000000" w:themeColor="text1"/>
          <w:sz w:val="16"/>
          <w:szCs w:val="16"/>
        </w:rPr>
        <w:softHyphen/>
        <w:t>сился к морской авиации, то основными объектами съемки для него являлись военно-морс</w:t>
      </w:r>
      <w:r w:rsidRPr="00D03F3E">
        <w:rPr>
          <w:rFonts w:ascii="Times New Roman" w:hAnsi="Times New Roman"/>
          <w:color w:val="000000" w:themeColor="text1"/>
          <w:sz w:val="16"/>
          <w:szCs w:val="16"/>
        </w:rPr>
        <w:softHyphen/>
        <w:t>кие базы, порты и аэродромы в Северной Норвегии. Зачастую "Спитфайры" с советскими и ан</w:t>
      </w:r>
      <w:r w:rsidRPr="00D03F3E">
        <w:rPr>
          <w:rFonts w:ascii="Times New Roman" w:hAnsi="Times New Roman"/>
          <w:color w:val="000000" w:themeColor="text1"/>
          <w:sz w:val="16"/>
          <w:szCs w:val="16"/>
        </w:rPr>
        <w:softHyphen/>
        <w:t>глийскими летчиками попеременно фо</w:t>
      </w:r>
      <w:r w:rsidRPr="00D03F3E">
        <w:rPr>
          <w:rFonts w:ascii="Times New Roman" w:hAnsi="Times New Roman"/>
          <w:color w:val="000000" w:themeColor="text1"/>
          <w:sz w:val="16"/>
          <w:szCs w:val="16"/>
        </w:rPr>
        <w:softHyphen/>
        <w:t>тографировали одни и те же цели. Целью №1 для разведчиков, безуслов</w:t>
      </w:r>
      <w:r w:rsidRPr="00D03F3E">
        <w:rPr>
          <w:rFonts w:ascii="Times New Roman" w:hAnsi="Times New Roman"/>
          <w:color w:val="000000" w:themeColor="text1"/>
          <w:sz w:val="16"/>
          <w:szCs w:val="16"/>
        </w:rPr>
        <w:softHyphen/>
        <w:t>но, считался Альтен-фьорд и стоявшие там корабли во главе с грозным "Тирпицем" (10790).</w:t>
      </w:r>
    </w:p>
    <w:p w14:paraId="247C6D9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8506F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января 1943 г. в ВВС СФ насчитывалось 26 торпедоносцев, а к 1 июля - уже 63 машины, что стало возможным за счет поступления новой техники, как отечественной, так и ленд-лизовской. Это позволило сформировать 5-ю минно-торпедную авиадивизию. С увеличением числа самолетов возросла активность авиации, но стали большими и потери: в боях и летных происшествиях флот лишился 30 машин против 3 в 1942 г. Поэтому на 1 января 1944 г. в составе ВВС СФ числилось только 40 торпедоносцев. Однако в июле с Черного моря был переброшен вооруженный "Бостонами", имевший богатый боевой опыт 36-й МТАП, который включили в состав 5-й МТАД. Подкрепление позволило минно-торпедной авиации флота совершить в 1944 г. рекордные на этом ТВД 1110 самолето-вылетов и выполнить 215 атак, при этом потери составили всего 38 самолетов. В общей сложности за годы войны торпедоносцы СФ выполнили 1559 боевых вылетов, в которых израсходовали 400 торпед и потеряли 71 самолет (2867,31).</w:t>
      </w:r>
    </w:p>
    <w:p w14:paraId="0E68BB5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E71C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января 1943 боевой состав 1-го ГМТАП включал Ил-4, 3/3 ДБ-3Б, 7/6 СБ и, естественно, этого было очень мало для того, чтобы отвлекаться на решение каких-либо второстепенных задач, а именно такими воспринимались командованием Ленинградского фронта любые действия на морском театре. В результате удельный вес самолето-вылетов, совершенных ВВС КБФ в интересах сухопутных войск составил в первом квартале года 72,7%. С завершением активной фазы боевых действий на суше обстановка изменилась. ВВС Ленинградского фронта получили подкрепления, а с авиации флота наконец-то была снята задача прикрытия ладожской «Дороги жизни» (9965).</w:t>
      </w:r>
    </w:p>
    <w:p w14:paraId="57326B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56FC4A" w14:textId="77777777" w:rsidR="00C84258" w:rsidRPr="00D03F3E"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января 1943 г. в строю числилось 14 "Валти", а к началу декабря -12. Потери были вызваны как боевыми, так и небоевыми причинами. Так, 12 марта пилот Егупов при полете на низкой высоте вдоль Дона врезался в корабельную мачту, летчик и пассажир погибли. А 29 апреля "Мессершмитт" расстрелял на взлете в Краснодаре машину В.И.Тимофеева. Самолет сгорел, а пилот и бортмеханик попали в госпиталь с ожогами (11470).</w:t>
      </w:r>
    </w:p>
    <w:p w14:paraId="58197AB3" w14:textId="77777777" w:rsidR="00C84258" w:rsidRPr="00D03F3E"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p>
    <w:p w14:paraId="6484FA5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1.01.1941 г. ПО 1.01.1944 г. НАЛИЧИЕ ТАНКОВ В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413"/>
        <w:gridCol w:w="826"/>
        <w:gridCol w:w="1085"/>
        <w:gridCol w:w="1085"/>
        <w:gridCol w:w="902"/>
        <w:gridCol w:w="902"/>
        <w:gridCol w:w="902"/>
        <w:gridCol w:w="797"/>
        <w:gridCol w:w="893"/>
        <w:gridCol w:w="912"/>
        <w:gridCol w:w="922"/>
      </w:tblGrid>
      <w:tr w:rsidR="00860B4B" w:rsidRPr="00D03F3E" w14:paraId="2C18EDAD" w14:textId="77777777">
        <w:trPr>
          <w:trHeight w:val="835"/>
        </w:trPr>
        <w:tc>
          <w:tcPr>
            <w:tcW w:w="413" w:type="dxa"/>
            <w:tcBorders>
              <w:top w:val="single" w:sz="6" w:space="0" w:color="auto"/>
              <w:left w:val="single" w:sz="6" w:space="0" w:color="auto"/>
              <w:bottom w:val="single" w:sz="6" w:space="0" w:color="auto"/>
              <w:right w:val="single" w:sz="6" w:space="0" w:color="auto"/>
            </w:tcBorders>
          </w:tcPr>
          <w:p w14:paraId="5C85E41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п/п</w:t>
            </w:r>
          </w:p>
          <w:p w14:paraId="178BBDB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6FAD9C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танков</w:t>
            </w:r>
          </w:p>
          <w:p w14:paraId="408139C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893422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Наличие по переучетным данным по состоянию на 1.01.1941 г.</w:t>
            </w:r>
          </w:p>
          <w:p w14:paraId="045D42A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8D3103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Выпущено заводами про-мышлен. за 1-е полугодие 1941 г.</w:t>
            </w:r>
          </w:p>
          <w:p w14:paraId="2422822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AE8AA8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танков на 1.07.1941 г.</w:t>
            </w:r>
          </w:p>
          <w:p w14:paraId="2AE3B18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C1E346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Выпущено за 2-е полугодие 1941 г.</w:t>
            </w:r>
          </w:p>
          <w:p w14:paraId="2DCD1B4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09C2DC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танков на 1.01.1942г.</w:t>
            </w:r>
          </w:p>
          <w:p w14:paraId="729469C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2ABE71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Выпущено за 1942 г.</w:t>
            </w:r>
          </w:p>
          <w:p w14:paraId="57CE374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D2C50C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танков на 1.01.1943г.</w:t>
            </w:r>
          </w:p>
          <w:p w14:paraId="48249B6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F6B34A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Выпущено за 1943г.</w:t>
            </w:r>
          </w:p>
          <w:p w14:paraId="0ECEFFC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636148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танков на 1.01.1944 г.</w:t>
            </w:r>
          </w:p>
          <w:p w14:paraId="53BD9C1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4DD4C8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5362D3D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1166090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275C35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w:t>
            </w:r>
          </w:p>
          <w:p w14:paraId="4AD39A0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2C7D11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6ACFFB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5DB480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8671CF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6D01E0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91DDA8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9542B0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D0487A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1D5347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B4B6DE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7C5517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7D2A1A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68FC38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44CFFA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8F8ECA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w:t>
            </w:r>
          </w:p>
          <w:p w14:paraId="509ACE7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DEF1C8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w:t>
            </w:r>
          </w:p>
          <w:p w14:paraId="3926E99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627DDB5"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58CDDA1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6C3498A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8D0C82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ИС-2</w:t>
            </w:r>
          </w:p>
          <w:p w14:paraId="3C9C8F9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D3E3A0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744D6A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6EC137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9B3C90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133AA4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617F0A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F7843D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3CF244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CB0D40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6C3B90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D9E5E9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F9FBC4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E066EB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7D35A6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23FB9B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p w14:paraId="51C3B5C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C229F5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p w14:paraId="3748927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62940D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727159F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01956A9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C27FC0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КВ-1</w:t>
            </w:r>
          </w:p>
          <w:p w14:paraId="04FD519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530157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141</w:t>
            </w:r>
          </w:p>
          <w:p w14:paraId="20B4BA5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05C9CD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282</w:t>
            </w:r>
          </w:p>
          <w:p w14:paraId="0BF93DF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3CB1B7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423</w:t>
            </w:r>
          </w:p>
          <w:p w14:paraId="51E9DCA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3C1E71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933</w:t>
            </w:r>
          </w:p>
          <w:p w14:paraId="10CAB4E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B8A8BB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1356</w:t>
            </w:r>
          </w:p>
          <w:p w14:paraId="1D1F7D4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C158EF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1802</w:t>
            </w:r>
          </w:p>
          <w:p w14:paraId="421A7DD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D5A47F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3158</w:t>
            </w:r>
          </w:p>
          <w:p w14:paraId="5B88BF8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828793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3BFA87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AADF95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3158</w:t>
            </w:r>
          </w:p>
          <w:p w14:paraId="5F43C6A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7E0D47B"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37A99D8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010DE01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C5AE99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КВ-2</w:t>
            </w:r>
          </w:p>
          <w:p w14:paraId="16BF01E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8B97A1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w:t>
            </w:r>
          </w:p>
          <w:p w14:paraId="3E8D7AC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4AC82F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111</w:t>
            </w:r>
          </w:p>
          <w:p w14:paraId="7929AAB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E878FB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213</w:t>
            </w:r>
          </w:p>
          <w:p w14:paraId="41A139E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137CF6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51D676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413EBD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213</w:t>
            </w:r>
          </w:p>
          <w:p w14:paraId="4B4AD39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0A4552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B64427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057968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213</w:t>
            </w:r>
          </w:p>
          <w:p w14:paraId="5B362F6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8C4658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1776B8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D649CB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213</w:t>
            </w:r>
          </w:p>
          <w:p w14:paraId="27DDED2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3850762"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5744333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p w14:paraId="6E6CEE1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3F5C10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КВ-1 с</w:t>
            </w:r>
          </w:p>
          <w:p w14:paraId="65FB85C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D47373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w:t>
            </w:r>
          </w:p>
          <w:p w14:paraId="301F489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B2FFD6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w:t>
            </w:r>
          </w:p>
          <w:p w14:paraId="3B1935A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12B39D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w:t>
            </w:r>
          </w:p>
          <w:p w14:paraId="025659C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5BEE00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w:t>
            </w:r>
          </w:p>
          <w:p w14:paraId="46A4C03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96DCDE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w:t>
            </w:r>
          </w:p>
          <w:p w14:paraId="4480CFF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CB60CC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624</w:t>
            </w:r>
          </w:p>
          <w:p w14:paraId="0F15A31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C1E469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624</w:t>
            </w:r>
          </w:p>
          <w:p w14:paraId="40866F7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06ED79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463</w:t>
            </w:r>
          </w:p>
          <w:p w14:paraId="3751678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8FDEF0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1087</w:t>
            </w:r>
          </w:p>
          <w:p w14:paraId="50C6BE7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99B3D51"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517930F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6</w:t>
            </w:r>
          </w:p>
          <w:p w14:paraId="3159337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6179EF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КВ-8</w:t>
            </w:r>
          </w:p>
          <w:p w14:paraId="1339471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767FD8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B7670F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9D8D22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E02156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0FAF87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71AB8F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737678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38B609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50448E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06DC8E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EC0C02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w:t>
            </w:r>
          </w:p>
          <w:p w14:paraId="13984C2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4AEF53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w:t>
            </w:r>
          </w:p>
          <w:p w14:paraId="5701E3C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E8D4D6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DDFFE2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526EB5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w:t>
            </w:r>
          </w:p>
          <w:p w14:paraId="2120925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702182F"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538C363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p w14:paraId="450914D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870E6F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КВ-8с</w:t>
            </w:r>
          </w:p>
          <w:p w14:paraId="6E59D61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77819D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582FD0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D31E5C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E492D9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867682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212852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B8A970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ED10FC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5566E0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FC6DEB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B5C430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p w14:paraId="6D84C7F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9F97B0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p w14:paraId="12F1528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EF895A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p w14:paraId="31913A5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B7841A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p w14:paraId="3F7B449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2124A9A"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2666B50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p w14:paraId="4D3C251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768934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КВ-85</w:t>
            </w:r>
          </w:p>
          <w:p w14:paraId="21E6675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F17C4C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DE410E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1686FB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E9383F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C3B9B6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5C5F9F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713451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94E13F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361B72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6BD83F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F7C077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437930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30F9CB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8FB6B3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04D4EA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148</w:t>
            </w:r>
          </w:p>
          <w:p w14:paraId="40CE906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F86299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148</w:t>
            </w:r>
          </w:p>
          <w:p w14:paraId="68F74B5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C33D4DA"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42C4FBC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p w14:paraId="19FB77E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F34A44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Т-35</w:t>
            </w:r>
          </w:p>
          <w:p w14:paraId="018E0D5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1A246C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w:t>
            </w:r>
          </w:p>
          <w:p w14:paraId="098306E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2ACCED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A870E4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A3B984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w:t>
            </w:r>
          </w:p>
          <w:p w14:paraId="0B4DCE8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2F82E9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62016C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8165B1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w:t>
            </w:r>
          </w:p>
          <w:p w14:paraId="6CB1147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06AD8E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E10987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DB713E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w:t>
            </w:r>
          </w:p>
          <w:p w14:paraId="5383881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809C2C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98180D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838956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w:t>
            </w:r>
          </w:p>
          <w:p w14:paraId="5DC7FCA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B896180"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B798EA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p w14:paraId="1162863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BC4CFB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Т-28</w:t>
            </w:r>
          </w:p>
          <w:p w14:paraId="18626FF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36EE6B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502</w:t>
            </w:r>
          </w:p>
          <w:p w14:paraId="2096085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6CA05B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F49DB6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F71DDE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502</w:t>
            </w:r>
          </w:p>
          <w:p w14:paraId="5E5B7DE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6F8DDB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45F233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0D74F4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502</w:t>
            </w:r>
          </w:p>
          <w:p w14:paraId="2F08024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14CF25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FFA513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10B9C9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502</w:t>
            </w:r>
          </w:p>
          <w:p w14:paraId="55839B0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4E0637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F55B8D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6A097F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502</w:t>
            </w:r>
          </w:p>
          <w:p w14:paraId="49F3081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72B12BE"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306E1F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p w14:paraId="0BBB4D9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B9C566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Т-29</w:t>
            </w:r>
          </w:p>
          <w:p w14:paraId="27AB57E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358126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14C60EC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D326FD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2F8783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129E22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6ED4CC4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4AD93E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211376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988375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69BF461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9F1B40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89372A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BA2B79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3C6A72A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ABE279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C02D14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322AA4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03EBC68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5B2C5F7"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1A7AA84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6E95F6B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A27C02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Т-34</w:t>
            </w:r>
          </w:p>
          <w:p w14:paraId="320345A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293D4F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115</w:t>
            </w:r>
          </w:p>
          <w:p w14:paraId="3C5DAB2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07C8D9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1110</w:t>
            </w:r>
          </w:p>
          <w:p w14:paraId="755125E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527405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1225</w:t>
            </w:r>
          </w:p>
          <w:p w14:paraId="0DDB4EF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1708CD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1886</w:t>
            </w:r>
          </w:p>
          <w:p w14:paraId="45D8797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CB87DC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3111</w:t>
            </w:r>
          </w:p>
          <w:p w14:paraId="6CBE3A4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8CF4AE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12211</w:t>
            </w:r>
          </w:p>
          <w:p w14:paraId="2378687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D4D599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15322</w:t>
            </w:r>
          </w:p>
          <w:p w14:paraId="7B72584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CB0BF7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15218</w:t>
            </w:r>
          </w:p>
          <w:p w14:paraId="53AEB3E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038F6F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30540</w:t>
            </w:r>
          </w:p>
          <w:p w14:paraId="54665AB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EA6FAAA"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66618A5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w:t>
            </w:r>
          </w:p>
          <w:p w14:paraId="470618E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FF55CA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Т-О34</w:t>
            </w:r>
          </w:p>
          <w:p w14:paraId="12F1837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64D103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5732F3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EE673A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9EE682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A1EDF1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D6121F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25FD0F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0DFCF2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51B9D2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F69D18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9978CB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309</w:t>
            </w:r>
          </w:p>
          <w:p w14:paraId="75FD570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300F45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309</w:t>
            </w:r>
          </w:p>
          <w:p w14:paraId="26A9D7F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CCEE0F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478</w:t>
            </w:r>
          </w:p>
          <w:p w14:paraId="0799537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02335F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787</w:t>
            </w:r>
          </w:p>
          <w:p w14:paraId="01D9769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3AF8E85"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36EAF8A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w:t>
            </w:r>
          </w:p>
          <w:p w14:paraId="6F5194D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7C850E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БТ-7</w:t>
            </w:r>
          </w:p>
          <w:p w14:paraId="4AD4825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599F87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4675</w:t>
            </w:r>
          </w:p>
          <w:p w14:paraId="0EDD961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5D2E3C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6799F8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2E94A5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4675</w:t>
            </w:r>
          </w:p>
          <w:p w14:paraId="2AD5DF1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9DB8BD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69133F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844C2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4675</w:t>
            </w:r>
          </w:p>
          <w:p w14:paraId="0D6B16F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05CD98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512A53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758917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4675</w:t>
            </w:r>
          </w:p>
          <w:p w14:paraId="3BD11FF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0C497E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10564B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6F4D55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4675</w:t>
            </w:r>
          </w:p>
          <w:p w14:paraId="29A9019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C17818A"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10FB5DC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p w14:paraId="164996D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02CF0D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БТ-7М</w:t>
            </w:r>
          </w:p>
          <w:p w14:paraId="771FC15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84A108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708</w:t>
            </w:r>
          </w:p>
          <w:p w14:paraId="6C6831A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445B91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1DBB20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4489ED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708</w:t>
            </w:r>
          </w:p>
          <w:p w14:paraId="0101723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F87B45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41D8FC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D225A9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708</w:t>
            </w:r>
          </w:p>
          <w:p w14:paraId="29F9398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9204E1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7610A6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0D995F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708</w:t>
            </w:r>
          </w:p>
          <w:p w14:paraId="665A2E0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CA540A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AAD11C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C90602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708</w:t>
            </w:r>
          </w:p>
          <w:p w14:paraId="09C595F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E1FC140"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2CD196A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w:t>
            </w:r>
          </w:p>
          <w:p w14:paraId="7F8D408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8F1A6A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БТ-2-5</w:t>
            </w:r>
          </w:p>
          <w:p w14:paraId="199246D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BB412C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2434</w:t>
            </w:r>
          </w:p>
          <w:p w14:paraId="6641150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9D0012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BCA53E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C0160A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2434</w:t>
            </w:r>
          </w:p>
          <w:p w14:paraId="6BE5558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80E459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690013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D8BEC5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2434</w:t>
            </w:r>
          </w:p>
          <w:p w14:paraId="0BF63FB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0F60F5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AB8471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A8D05B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2434</w:t>
            </w:r>
          </w:p>
          <w:p w14:paraId="5F203AB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279F33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B73A82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F066B5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2434</w:t>
            </w:r>
          </w:p>
          <w:p w14:paraId="2450783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E9ADD60"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634578B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p w14:paraId="7B359EE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31D351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Т-50</w:t>
            </w:r>
          </w:p>
          <w:p w14:paraId="228AB04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D98CC5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9E2E7F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0E9AC7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F8A6B3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C3FB48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2FCC5E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6418CA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p w14:paraId="5BBE586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0536BC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p w14:paraId="0B5A4F6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2A5701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p w14:paraId="3FCA39B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C14D1A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w:t>
            </w:r>
          </w:p>
          <w:p w14:paraId="55BC125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B196F0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9C6037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C7FB97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w:t>
            </w:r>
          </w:p>
          <w:p w14:paraId="1AFB87F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9A8B393"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562B87E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p w14:paraId="5F08EB6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43BA36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Т-26</w:t>
            </w:r>
          </w:p>
          <w:p w14:paraId="2EF7E60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7417FD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11090</w:t>
            </w:r>
          </w:p>
          <w:p w14:paraId="26D3979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E6AF57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116</w:t>
            </w:r>
          </w:p>
          <w:p w14:paraId="0858856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702240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11206</w:t>
            </w:r>
          </w:p>
          <w:p w14:paraId="382CB3B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5F7AD3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9BD6EE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355404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11206</w:t>
            </w:r>
          </w:p>
          <w:p w14:paraId="5890D1B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6CB44F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F214A2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B26FAF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11206</w:t>
            </w:r>
          </w:p>
          <w:p w14:paraId="617670C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7D1721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912902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8302F8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11206</w:t>
            </w:r>
          </w:p>
          <w:p w14:paraId="2B9C63A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25437BD"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7FDCC1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p w14:paraId="6E8A94D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57C24A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Т-80</w:t>
            </w:r>
          </w:p>
          <w:p w14:paraId="169768A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996687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A31A37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D592C6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10A38C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030E25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E67F85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5AF58E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2F194D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8E6F10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EB9E1A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C1389E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49E5DE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A8436F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D3E4ED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A64750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w:t>
            </w:r>
          </w:p>
          <w:p w14:paraId="5AE9D05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6E9F0F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w:t>
            </w:r>
          </w:p>
          <w:p w14:paraId="67CF2F3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490CB2B"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43EB1BC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2D96BF5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B37896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Т-70</w:t>
            </w:r>
          </w:p>
          <w:p w14:paraId="6CA0217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630D0A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9C0C12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2BFAB8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E23F4C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472E3A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694DB6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7B1045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D011B7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E872FC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340718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A4F530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4883</w:t>
            </w:r>
          </w:p>
          <w:p w14:paraId="303031D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3F50C3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4883</w:t>
            </w:r>
          </w:p>
          <w:p w14:paraId="2AE1ED7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86018D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3343</w:t>
            </w:r>
          </w:p>
          <w:p w14:paraId="59A5E0C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BADD32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8226</w:t>
            </w:r>
          </w:p>
          <w:p w14:paraId="6689EE8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D65C1D8"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51CF22D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p w14:paraId="1277588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78B4FF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Т-40-60</w:t>
            </w:r>
          </w:p>
          <w:p w14:paraId="068871C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B82BDF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w:t>
            </w:r>
          </w:p>
          <w:p w14:paraId="21BE3CD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A30DFF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181</w:t>
            </w:r>
          </w:p>
          <w:p w14:paraId="600CFB1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D09A4E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222</w:t>
            </w:r>
          </w:p>
          <w:p w14:paraId="260916C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5BC964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1873</w:t>
            </w:r>
          </w:p>
          <w:p w14:paraId="6EDF146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F1E02F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2095</w:t>
            </w:r>
          </w:p>
          <w:p w14:paraId="3D639D7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19C7D7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4474</w:t>
            </w:r>
          </w:p>
          <w:p w14:paraId="5B86815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21CE68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6569</w:t>
            </w:r>
          </w:p>
          <w:p w14:paraId="39C3E56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B43F0D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w:t>
            </w:r>
          </w:p>
          <w:p w14:paraId="687B34D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9A6A93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6624</w:t>
            </w:r>
          </w:p>
          <w:p w14:paraId="69B69B0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7C6E074"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63CA49B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p w14:paraId="6279FD6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CFBBDD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Т-38</w:t>
            </w:r>
          </w:p>
          <w:p w14:paraId="60AF0EB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6D4571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1142</w:t>
            </w:r>
          </w:p>
          <w:p w14:paraId="0B1D508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EA69EE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92B2B0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81DC7F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1142</w:t>
            </w:r>
          </w:p>
          <w:p w14:paraId="598D193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50CF53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D2865E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1DADCE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1142</w:t>
            </w:r>
          </w:p>
          <w:p w14:paraId="4458B54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A2E285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7CED5D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4EE8E7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1142</w:t>
            </w:r>
          </w:p>
          <w:p w14:paraId="5EDB704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36F04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50C588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5ACE51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1142</w:t>
            </w:r>
          </w:p>
          <w:p w14:paraId="04DDB07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1DCE1C4"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339D903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w:t>
            </w:r>
          </w:p>
          <w:p w14:paraId="3EB2722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ED2631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Т-37</w:t>
            </w:r>
          </w:p>
          <w:p w14:paraId="48312FA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1FE8EB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2418</w:t>
            </w:r>
          </w:p>
          <w:p w14:paraId="3DB4A81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6A05B8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0E3611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E0FB70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2418</w:t>
            </w:r>
          </w:p>
          <w:p w14:paraId="0BED1F9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2E1EFD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0BA30D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1EFA07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2418</w:t>
            </w:r>
          </w:p>
          <w:p w14:paraId="30EC97B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F859CD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3E0233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8B3560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2418</w:t>
            </w:r>
          </w:p>
          <w:p w14:paraId="62F8706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FFE320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5D14ED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9CA7F5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2418</w:t>
            </w:r>
          </w:p>
          <w:p w14:paraId="7883583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853DD35"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71CE12A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w:t>
            </w:r>
          </w:p>
          <w:p w14:paraId="09AEE44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577DCB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Т-27</w:t>
            </w:r>
          </w:p>
          <w:p w14:paraId="325C4F4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A59F9A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2581</w:t>
            </w:r>
          </w:p>
          <w:p w14:paraId="08CAA77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186BA5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8A6C9F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19DB01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2581</w:t>
            </w:r>
          </w:p>
          <w:p w14:paraId="197A1DA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CD076B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46666A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77C66E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2581</w:t>
            </w:r>
          </w:p>
          <w:p w14:paraId="0A83ECF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2271CD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18A652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5569AF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2581</w:t>
            </w:r>
          </w:p>
          <w:p w14:paraId="068345B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515D3A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16639A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9BFE47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2581</w:t>
            </w:r>
          </w:p>
          <w:p w14:paraId="41AB6BD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F7B8BD7" w14:textId="77777777">
        <w:trPr>
          <w:trHeight w:val="221"/>
        </w:trPr>
        <w:tc>
          <w:tcPr>
            <w:tcW w:w="1239" w:type="dxa"/>
            <w:gridSpan w:val="2"/>
            <w:tcBorders>
              <w:top w:val="single" w:sz="6" w:space="0" w:color="auto"/>
              <w:left w:val="single" w:sz="6" w:space="0" w:color="auto"/>
              <w:bottom w:val="single" w:sz="6" w:space="0" w:color="auto"/>
              <w:right w:val="single" w:sz="6" w:space="0" w:color="auto"/>
            </w:tcBorders>
          </w:tcPr>
          <w:p w14:paraId="745A218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танков</w:t>
            </w:r>
          </w:p>
          <w:p w14:paraId="40C4373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288163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26013</w:t>
            </w:r>
          </w:p>
          <w:p w14:paraId="79C9543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BB15F3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1800</w:t>
            </w:r>
          </w:p>
          <w:p w14:paraId="1E9F47C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F90917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27813</w:t>
            </w:r>
          </w:p>
          <w:p w14:paraId="4829D16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75365B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4742</w:t>
            </w:r>
          </w:p>
          <w:p w14:paraId="2570E1C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692B57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32555</w:t>
            </w:r>
          </w:p>
          <w:p w14:paraId="75492B3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30CB13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24445</w:t>
            </w:r>
          </w:p>
          <w:p w14:paraId="68F7F7D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BEB603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57000</w:t>
            </w:r>
          </w:p>
          <w:p w14:paraId="5FD74D3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1BAF18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19892</w:t>
            </w:r>
          </w:p>
          <w:p w14:paraId="5BD0B61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0E749D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76892</w:t>
            </w:r>
          </w:p>
          <w:p w14:paraId="74092FC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1B06BC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танкового управления ГБТУ КА генерал-майор инженерно-танковой службы Афонин</w:t>
      </w:r>
    </w:p>
    <w:p w14:paraId="4823A5B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663. Л. 9. Подлинник (11403).</w:t>
      </w:r>
    </w:p>
    <w:p w14:paraId="1A99DB1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77BBC2" w14:textId="77777777" w:rsidR="008C5F3D" w:rsidRPr="00D03F3E" w:rsidRDefault="008C5F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января 1943 года, согласно отчёту организационного отдела штаба БТ и МВ КА за 1944 год, числилось 1977 малых танков, то есть примерно 43% «малышей» выжило. Теперь взглянем на Т-34. За 1942 год выпустили 12 534 танка, добавим сюда 651 выживших в боях 1941 года. Итого — 13 185 штук, к 1 января 1943 года из них числилось 6465 единиц, чуть меньше половины. То есть разница в статистике выживаемости не существенная. Далее рассмотрим КВ: за 1942 год выпустили 1802 КВ-1/КВ-8 и 624 КВ-1с/КВ-8с. Вместе с пережившими 1941 год танками получается 2829 единиц. На 1 января 1943 года числилось 1376 КВ всех типов, то есть примерно 48%. Интересно взглянуть и на </w:t>
      </w:r>
      <w:hyperlink r:id="rId8" w:history="1">
        <w:r w:rsidRPr="00D03F3E">
          <w:rPr>
            <w:rStyle w:val="a5"/>
            <w:rFonts w:ascii="Times New Roman" w:hAnsi="Times New Roman"/>
            <w:color w:val="000000" w:themeColor="text1"/>
            <w:sz w:val="16"/>
            <w:szCs w:val="16"/>
          </w:rPr>
          <w:t>Т-70</w:t>
        </w:r>
      </w:hyperlink>
      <w:r w:rsidRPr="00D03F3E">
        <w:rPr>
          <w:rFonts w:ascii="Times New Roman" w:hAnsi="Times New Roman"/>
          <w:color w:val="000000" w:themeColor="text1"/>
          <w:sz w:val="16"/>
          <w:szCs w:val="16"/>
        </w:rPr>
        <w:t>. За 1942 год их выпустили 4883 штуки, а на 1 января 1943 года числилось 3042, то есть больше 60%. Вот так сюрприз! Согласно статистике, меньше всего шансов погибнуть было у экипажей лёгких танков Т-70.</w:t>
      </w:r>
    </w:p>
    <w:p w14:paraId="5B6ABB3F" w14:textId="77777777" w:rsidR="008C5F3D" w:rsidRPr="00D03F3E" w:rsidRDefault="008C5F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Статистика потерь за 1942 год даёт неожиданный результат. Самым живучим танком является средний M3, который прозвали «братской могилой для шестерых». За 1942 год в СССР было поставлено 812 данных танков, из них на 1 января 1943 года числилось 502, то есть также больше 60% (при том, что 1942 год являлся временем наиболее интенсивного применения этих машин). Стоит упомянуть и другие зарубежные машины. За 1941-1942 годы в Красную армию поступил 771 пехотный танк </w:t>
      </w:r>
      <w:hyperlink r:id="rId9" w:history="1">
        <w:r w:rsidRPr="00D03F3E">
          <w:rPr>
            <w:rStyle w:val="a5"/>
            <w:rFonts w:ascii="Times New Roman" w:hAnsi="Times New Roman"/>
            <w:color w:val="000000" w:themeColor="text1"/>
            <w:sz w:val="16"/>
            <w:szCs w:val="16"/>
          </w:rPr>
          <w:t>«Матильда»</w:t>
        </w:r>
      </w:hyperlink>
      <w:r w:rsidRPr="00D03F3E">
        <w:rPr>
          <w:rFonts w:ascii="Times New Roman" w:hAnsi="Times New Roman"/>
          <w:color w:val="000000" w:themeColor="text1"/>
          <w:sz w:val="16"/>
          <w:szCs w:val="16"/>
        </w:rPr>
        <w:t>, при этом на 1 января 1943 года их имелось 375 штук, то есть чуть меньше половины. У </w:t>
      </w:r>
      <w:hyperlink r:id="rId10" w:history="1">
        <w:r w:rsidRPr="00D03F3E">
          <w:rPr>
            <w:rStyle w:val="a5"/>
            <w:rFonts w:ascii="Times New Roman" w:hAnsi="Times New Roman"/>
            <w:color w:val="000000" w:themeColor="text1"/>
            <w:sz w:val="16"/>
            <w:szCs w:val="16"/>
          </w:rPr>
          <w:t>«Валентайна»</w:t>
        </w:r>
      </w:hyperlink>
      <w:r w:rsidRPr="00D03F3E">
        <w:rPr>
          <w:rFonts w:ascii="Times New Roman" w:hAnsi="Times New Roman"/>
          <w:color w:val="000000" w:themeColor="text1"/>
          <w:sz w:val="16"/>
          <w:szCs w:val="16"/>
        </w:rPr>
        <w:t> выживаемость была выше: из 1175 штук, поставленных в 1941-1942 годах, на 1 января 1943 года числилось 672, то есть около 57%. При этом и «Матильды», и «Валентайны» теряли ещё в 1941 году, поэтому потери за 1942 год на самом деле меньше (19802).</w:t>
      </w:r>
    </w:p>
    <w:p w14:paraId="289E3B73" w14:textId="77777777" w:rsidR="008C5F3D" w:rsidRPr="00D03F3E" w:rsidRDefault="008C5F3D" w:rsidP="00D03F3E">
      <w:pPr>
        <w:spacing w:after="0" w:line="240" w:lineRule="auto"/>
        <w:jc w:val="both"/>
        <w:rPr>
          <w:rFonts w:ascii="Times New Roman" w:hAnsi="Times New Roman"/>
          <w:color w:val="000000" w:themeColor="text1"/>
          <w:sz w:val="16"/>
          <w:szCs w:val="16"/>
        </w:rPr>
      </w:pPr>
    </w:p>
    <w:p w14:paraId="595B8344" w14:textId="77777777" w:rsidR="00DD03C7" w:rsidRPr="00D03F3E" w:rsidRDefault="00DD03C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 января 1943 года 151-я танковая бригада (25 Т-26 и 19 МК-7 Тетрарх) из Ленинакана, а также 563-й (21 танк М3Л и 9 М4А2) и 564-й (10 Т-34 и 20 Т-26) отдельные танковые батальоны (два последних – из Баку) были отправлены в распоряжение Черноморской группировки войск Закавказского фронта. Первоначально танковую бригаду передали 56-й армии, но уже к 16 января 151-я тбр находилась в подчинении 47-й армии, в составе которой и приняла первый бой.</w:t>
      </w:r>
    </w:p>
    <w:p w14:paraId="26C7B566" w14:textId="77777777" w:rsidR="00DD03C7" w:rsidRPr="00D03F3E" w:rsidRDefault="00DD03C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19 января командующим 47-й армии была поставлена задача провести перегруппировку сил в районе станции Шапсугская. Далее планировалось прорвать оборону противника в направлении населённых пунктов Шибик №2 и Шептальский, после чего ставилась задача захватить железнодорожную станцию Крымская. 151-ю тбр придали 176-й стрелковой дивизии. Погода совсем не способствовала намечающемуся на 26 января наступлению: весь предыдущий день шли проливные дожди, что вызвало разлив рек, а дороги стали плохо проходимыми. Это повлияло на дальнейший ход событий.</w:t>
      </w:r>
    </w:p>
    <w:p w14:paraId="5686E0E5" w14:textId="77777777" w:rsidR="00DD03C7" w:rsidRPr="00D03F3E" w:rsidRDefault="00DD03C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час дня 26 января войска 47-й армии перешли в наступление. 151-я танковая бригада немного задержалась из-за разлива реки Абин. Ввязавшись в бой за высоту 177,7, танки 1-го танкового батальона повели за собой пехоту. Особо отличился начальник связи 1-го тб старший лейтенант В. С. Смирнов, который лично повёл танки в бой. Подразделению удалось продвинуться вглубь вражеской обороны, но в ходе боя танк Смирнова подорвался на мине, а сам он погиб. Заместитель командира 2-го тб старший лейтенант Н. В. Баль лично вывел танки на передний край обороны противника, подавив огнём своего танка два ДЗОТа. Всего танкисты 151-й тбр записали на свой счёт 15 ДЗОТов.</w:t>
      </w:r>
    </w:p>
    <w:p w14:paraId="0F6E9F0A" w14:textId="77777777" w:rsidR="00DD03C7" w:rsidRPr="00D03F3E" w:rsidRDefault="00DD03C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Увы, героизм танкистов не смог переломить общего хода сражения. Ввиду несогласованности действий с артиллерией, а также в связи с отходом пехоты танки бригады были также вынуждены отойти. Последующие дни прошли под знаком безуспешных попыток пехоты, поддерживаемой танками, прорвать вражескую оборону.</w:t>
      </w:r>
    </w:p>
    <w:p w14:paraId="21D8010D" w14:textId="77777777" w:rsidR="00DD03C7" w:rsidRPr="00D03F3E" w:rsidRDefault="00DD03C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27 января был подбит ещё один танк 1 танкового батальона бригады. Благодаря энергичным действиям зампотеха 1 тб старшего техника-лейтенанта И. И. Фетисова, который сам сел за рычаги другого танка, машину удалось эвакуировать с поля боя. За свои умелые и инициативные действия в ходе этого боя Фетисов получил медаль «За Боевые Заслуги».</w:t>
      </w:r>
    </w:p>
    <w:p w14:paraId="76AD0EF6" w14:textId="77777777" w:rsidR="00DD03C7" w:rsidRPr="00D03F3E" w:rsidRDefault="00DD03C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Для усиления атакующей группировки 31 января танки 47-й армии были объединены в сводный батальон под командованием подполковника Корнилова. К тому моменту 151-я тбр рапортовала о том, что в её строю осталось всего 14 исправных танков. В тот же день сводный батальон совместно с пехотой пошёл на штурм высоты 224,5. За сутки боёв было потеряно 6 танков, среди них оказалась и машина Баля. За время боя танки под командованием старшего лейтенанта уничтожили 18 ДЗОТов, несколько блиндажей и около 70 вражеских пехотинцев. Когда машину Баля подбили, тот смог вытащить из горящей машины башенного стрелка Таранова, вынести его в тыл, а затем вернулся в бой. Подняв в атаку полсотни пехотинцев, старший лейтенант смог занять уцелевшие немецкие ДЗОТы. За этот бой Баль получил медаль «За Отвагу». К сожалению, даже такие героические действия танкистов общую картину сражения не изменили.</w:t>
      </w:r>
    </w:p>
    <w:p w14:paraId="6823D8E5" w14:textId="77777777" w:rsidR="00DD03C7" w:rsidRPr="00D03F3E" w:rsidRDefault="00DD03C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По состоянию на 1 февраля 1943 года в составе сводного батальона Корнилова числилось 9 исправных МК-7. В этот день танки снова пошли в атаку, но из-за отсутствия поддержки пехоты наступление захлебнулось. Понеся потери, танки Корнилова отошли на исходные позиции. На следующий день сводный батальон был </w:t>
      </w:r>
      <w:r w:rsidRPr="00D03F3E">
        <w:rPr>
          <w:rFonts w:ascii="Times New Roman" w:eastAsia="Times New Roman" w:hAnsi="Times New Roman"/>
          <w:color w:val="000000" w:themeColor="text1"/>
          <w:sz w:val="16"/>
          <w:szCs w:val="16"/>
          <w:lang w:eastAsia="ru-RU"/>
        </w:rPr>
        <w:lastRenderedPageBreak/>
        <w:t>выведен в резерв. 11 февраля батальон был переподчинен 216-й стрелковой дивизии, совместно с которой на следующий день танки пошли на штурм высоты 224,6. Картина повторилась: пехота танки не поддержала. Итог – 4 сгоревших и 5 подбитых машин. Примерно в том же духе протекали боевые действия и в последующие дни. 28 февраля 151-я танковая бригада была выведена в резерв и перешла в состав 56-й армии.</w:t>
      </w:r>
    </w:p>
    <w:p w14:paraId="4244A7D3" w14:textId="77777777" w:rsidR="00DD03C7" w:rsidRPr="00D03F3E" w:rsidRDefault="00DD03C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середине марта 151-я танковая бригада получила новую матчасть, включая трофейные немецкие танки. Собственные машины, включая 14 МК-7 (из них 4 не на ходу), 19 марта бригада передала 563-му отб, который в начале февраля принимал участие в неудачном десанте в районе Новороссийска. 4 неисправных танка в марте-апреле были приданы 3-му стрелковому корпусу, выполняя роль неподвижных огневых точек для обороны Шапсугского моста.</w:t>
      </w:r>
    </w:p>
    <w:p w14:paraId="5EE7334D" w14:textId="77777777" w:rsidR="00DD03C7" w:rsidRPr="00D03F3E" w:rsidRDefault="00DD03C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Постепенно и оставшаяся материальная часть выходила из строя. К концу мая только 7 «Тетрархов» осталось на ходу. Их передали в 132-й отдельный танковый полк, который вряд ли особо обрадовался приобретению. Ввиду отсутствия запасных частей и общей изношенности к сентябрю в исправном состоянии осталось всего 2 машины. Существует информация о передаче их в 5-ю гвардейскую танковую бригаду, но она требует подтверждений. Одно можно сказать уверенно: осенью 1943 года боевой путь советских «Тетрархов» закончился. Не так и плохо для танка, который в общей сложности прослужил почти 2 года (17648).</w:t>
      </w:r>
    </w:p>
    <w:p w14:paraId="66A7EF28" w14:textId="77777777" w:rsidR="00DD03C7" w:rsidRPr="00D03F3E" w:rsidRDefault="00DD03C7" w:rsidP="00D03F3E">
      <w:pPr>
        <w:spacing w:after="0" w:line="240" w:lineRule="auto"/>
        <w:jc w:val="both"/>
        <w:rPr>
          <w:rFonts w:ascii="Times New Roman" w:eastAsia="Times New Roman" w:hAnsi="Times New Roman"/>
          <w:color w:val="000000" w:themeColor="text1"/>
          <w:sz w:val="16"/>
          <w:szCs w:val="16"/>
          <w:lang w:eastAsia="ru-RU"/>
        </w:rPr>
      </w:pPr>
    </w:p>
    <w:p w14:paraId="538EB7BC"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января 1943 года началось формирование 1435-го самоходно-артиллерийского полка, командиром которого назначили майора Г. М. Остапенко, заместителем командира по политчасти подполковника А. С. Елисеева, начальником штаба капитана Г. Е. Могильного с 14 января начались занятия с механиками-водителями по изучению самоходок СУ-76 (СУ-12). К концу месяца полк получил 8 СУ-76 и 7 СУ-122 (на базе танка Т-34). Однако к 28 января все СУ-122 передали в другие части, а полк стал получать СГ-122 (на трофейных шасси) с завода № 40 (бывший № 592). В журнале боевых действий полка от 5 февраля 1943 года сообщалась, что приемка самоходок СГ-122 «тормозилась из-за недоукомплектованности машин», так как завод их совершенно не подготовил, многие из них имели дефекты производственного характера и требовали ремонта. Тем не менее, к 7 февраля в 1435-м полку имелось семь, через два дня — девять и к 15 февраля — шестнадцать СГ-122 (а также девять СУ-76).</w:t>
      </w:r>
    </w:p>
    <w:p w14:paraId="252B77D9"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следующий день начались занятия по устройству, вождению и регулировке самоходок. В тот же день четыре СГ-122 передали в распоряжение Учебного центра самоходной артиллерии, а двенадцать осталось в полку.</w:t>
      </w:r>
    </w:p>
    <w:p w14:paraId="0FA17D6D"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февраля 1943 года полк получил приказ о погрузке на железнодорожные платформы и отправке на фронт. Спустя четыре дня часть разгрузилась на станции Дабужа, а к 3 марта сосредоточилась в населенном пункте Макиаки, где перешла в распоряжение 9-го танкового корпуса 10-й армии Западного фронта.</w:t>
      </w:r>
    </w:p>
    <w:p w14:paraId="41557DEA"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этому времени в составе 1435-го самоходно-артиллерийского полка числилось 9 СУ-76 (СУ-12), из которых три машины находились в ремонте, и 12 СГ-122. Из числа последних боеспособными были только восемь: у одной самоходки оказался разбит фрикцион (предназначалась для сдачи на рембазу 10-й армии из-за отсутствия запчастей), у другой — обрыв шатуна, еще на двух вышли из строя опорные катки и ремень вентилятора.</w:t>
      </w:r>
    </w:p>
    <w:p w14:paraId="07CC4025"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семь СУ-76 и семь СГ-122 из состава 1435-го самоходно-артиллерийского полка сосредоточились в районе населенного пункта Крестьянская гора с задачей поддержать атаку 248-й танковой бригады 9-го танкового корпуса по овладению деревней Нижняя Акимовка.</w:t>
      </w:r>
    </w:p>
    <w:p w14:paraId="41C57F84"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Атака началась в 10.45 6 марта 1943 года после артподготовки. В ходе боя самоходки израсходовали 91 снаряд калибра 76 мм и 185 -122-мм, уничтожив три противотанковых орудия, два пулемётных гнезда, один танк и разрушив пять ДЗОТов. Свои потери составили две сгоревших и три подбитых самоходки.</w:t>
      </w:r>
    </w:p>
    <w:p w14:paraId="50B9CE02"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марта атаки Нижней Акимовки возобновились. При поддержке самоходок полка наша пехота и танки заняли деревню. В ходе боя огнем полка было уничтожено: машиной лейтенанта Савченко — два противотанковых орудия, две автомашины, три пулеметных гнезда; машиной лейтенанта Коваль — три ДЗОТа и два пулеметных гнезда; машиной лейтенанта Ягудина — два ДЗОТа, подавлена артбатарея противника; машиной лейтенанта Кондапушова — ДЗОТ, два противотанковых орудия, две пулеметных точки и два танка. Всего самоходки израсходовали 211 снаряд калибра 76-мм и 530 — 122-мм. В ходе боя сгорело три СУ-76 и оказалось подбито четыре СУ-76 и две СГ-122 (№№ 1025 и 1016).</w:t>
      </w:r>
    </w:p>
    <w:p w14:paraId="03210184"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марта 1943 года 1435-й самоходно-артиллерийский полк совместно 248-й танковой бригадой и 444-м стрелковым полком вели бой за овладение Верхней Акимовкой. В течение дня батарея полка уничтожила противотанковое орудие и две пулеметных точки, а СГ-122 лейтенанта Коваля и наводчика Юрина подавила два орудия, разбила четыре ДЗОТа, автомашину и четыре пулеметных точки. Всего самоходки израсходовали 40 76-мм и 150 — 122-мм снарядов.</w:t>
      </w:r>
    </w:p>
    <w:p w14:paraId="2443CFD0"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марта 1943 года семь машин 1435-го полка — три СУ-76 и четыре СГ-122 — совместно с 11-м гвардейским стрелковым полком и 248-й танковой бригадой участвовали в бою за две высоты у деревни Ясенок. В течение дня огнем противника было разбито и сгорело пять самоходок, две вернулись с незначительными повреждениями.</w:t>
      </w:r>
    </w:p>
    <w:p w14:paraId="58883482"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следующий день из-за отсутствия исправной матчасти полк отвели в Зимницу. В течение следующей недели он занимался эвакуацией на станцию Пробуждение машин, разбитых и сгоревших в предыдущих боях, и предназначенных для отправки на СПАМ и в ремонт. Также были окончательно составлены акты на списание безвозвратно потерянных самоходок — одной СУ-76 и трех СГ-122(№№ 1009, 1003, 1020).</w:t>
      </w:r>
    </w:p>
    <w:p w14:paraId="7C5336D0"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года полк отвели на новое место для пополнения матчасти, и в начале апреля он получил на вооружение СУ-76 и СУ-122 (на базе танка Т-34), а в октябре 1943 года «пересел» на СУ-85.</w:t>
      </w:r>
    </w:p>
    <w:p w14:paraId="1F6AD6BB"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Что касается боевого использования СГ-122 то, несмотря на высокую огневую мощь, эффективность их применения оказалась невысокой. Основной причиной этого было слабое знание экипажами матчасти трофейных самоходок StuG III, на базе которых изготавливались СГ-122.</w:t>
      </w:r>
    </w:p>
    <w:p w14:paraId="60BC7F80"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Например, в общем выводе по использованию этих машин говорилось, что «плохо подготовленные водители для машины Т-3, сложной в эксплуатации, быстро выведут её из строя, что имело место при эксплуатации в 1435 САП СГ-122, укомплектованного малоподготовленными водителями и потерявшего на марше и в бою по техническим причинам до 50 % машин».</w:t>
      </w:r>
    </w:p>
    <w:p w14:paraId="3A743ADA"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Дальнейшая же судьба отправленных в ремонт со станции Пробуждение СГ-122, а также машин, находившихся в учебном центре самоходной артиллерии автору неизвестна (12688).</w:t>
      </w:r>
    </w:p>
    <w:p w14:paraId="18027F82" w14:textId="77777777" w:rsidR="000B21EB" w:rsidRPr="00D03F3E" w:rsidRDefault="000B21EB" w:rsidP="00D03F3E">
      <w:pPr>
        <w:spacing w:after="0" w:line="240" w:lineRule="auto"/>
        <w:jc w:val="both"/>
        <w:rPr>
          <w:rFonts w:ascii="Times New Roman" w:hAnsi="Times New Roman"/>
          <w:color w:val="000000" w:themeColor="text1"/>
          <w:sz w:val="16"/>
          <w:szCs w:val="16"/>
        </w:rPr>
      </w:pPr>
    </w:p>
    <w:p w14:paraId="32E26E8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января 1943 г. в артиллерии числилось 385 "Коминтернов". Приведенные цифры наглядно иллюстрируют динамику снижения численности "Коминтернов" в войсках. Аналогичная ситуация имела место и с остальными быстроходными артиллерийскими тягачами, которые постепенно вытеснялись народнохозяйственными тракторами. Если в январе 1941 г. быстроходные тракторы составляли 26% наличного парка, то к началу 1943 г. их было только 11 % (12006).</w:t>
      </w:r>
    </w:p>
    <w:p w14:paraId="33B7E64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09D71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January 1, 1943: German troops of 1. Panzerarmee (von Kleist) in the Caucasus begin withdrawing from the Terek front to avoid being cut off by Soviet forces attacking from the northeast toward Rostov-on-Don (3819).</w:t>
      </w:r>
    </w:p>
    <w:p w14:paraId="618E122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25C53B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января 1943 1ТА (фон Клейст) начала отступление с фронта на Тереке, стараясь избежать обхода атакующей от Ростова КА (3819).</w:t>
      </w:r>
    </w:p>
    <w:p w14:paraId="4B0467A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083E4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 января по 9 октября 1943 года - северокавказская наступательная операция. Крупные перегруппировки войск. В ходе наступления занят плацдарм "Малая земля" (2691).</w:t>
      </w:r>
    </w:p>
    <w:p w14:paraId="6E4A7C9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999EC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 января по 4 февраля 1943 была Северо-Кавказская операция как часть сражения за Кавказ. вышли на рубеж Кубани (2443,117).</w:t>
      </w:r>
    </w:p>
    <w:p w14:paraId="326DB3A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92DD3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января 1943 началось наше наступление на Северном Кавказе (2070,83) и наступательный период битвы за Кавказ продолжался до 9 октября 1943 (2438,104). Наступали войска ЗакФ (И.В.Тюленев), СКФ (И.И.Масленников) части сил ЮФ (А.И.Еременко), и ЧФ (Ф.С.Октябрьский (3398,9).</w:t>
      </w:r>
    </w:p>
    <w:p w14:paraId="5E3CAFD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329B6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 января по 18 февраля 1943 была Ростовская наступательная операция ЮФ. Продвинулись на 300-450 км, но заблокировать отступление немцев с Кавказа не смогли (2443,82).</w:t>
      </w:r>
    </w:p>
    <w:p w14:paraId="05819A0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FE30C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 января 1943 г. флот имел к 180/57 пушкам 2696 снарядов ОХС - осколочно-химических снарядов с твердым ОВ, которые были разработаны в 1941 и приняты на вооружение приказом наркома ВМФ (3861).</w:t>
      </w:r>
    </w:p>
    <w:p w14:paraId="4DA1BA9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7F7E68"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46212FE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38704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января 1943 г. открылось движение на участке Завод им. И.С. Сталина (Автозаводская) - Площадь Свердлова (Театральная) длиной 6,5 км. Вначале эта линия использовалась для военных и грузовых перевозок. 20 ноября были открыты станции Новокузнецкая и Павелецкая. 18 января 1944 г. был сдан в эксплуатацию 7-микилометровый участок со станциями: Бауманская, Электрозаводская, Сталинская (Семеновская) и Измайловский парк. Последняя отличалась от других своими размерами. Она имела две платформы и три пути, что давало возможность одновременной подачи двух составов под посадку для перевозки большого числа пассажиров - посетителей парка и строившегося стадиона (и это в разгар войны!). В оформлении интерьеров всех станций нашла отражение военная тематика (11614).</w:t>
      </w:r>
    </w:p>
    <w:p w14:paraId="4A379A0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1CB04C" w14:textId="77777777" w:rsidR="008C5F3D" w:rsidRPr="00D03F3E" w:rsidRDefault="008C5F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января 1943. Открыт для пассажиров участок метро "Площадь Свердлова" - "Завод имени Сталина"1 (без промежуточных станций) Замоскворецкого радиуса (18693).</w:t>
      </w:r>
    </w:p>
    <w:p w14:paraId="31A43578" w14:textId="77777777" w:rsidR="008C5F3D" w:rsidRPr="00D03F3E" w:rsidRDefault="008C5F3D" w:rsidP="00D03F3E">
      <w:pPr>
        <w:spacing w:after="0" w:line="240" w:lineRule="auto"/>
        <w:jc w:val="both"/>
        <w:rPr>
          <w:rFonts w:ascii="Times New Roman" w:hAnsi="Times New Roman"/>
          <w:color w:val="000000" w:themeColor="text1"/>
          <w:sz w:val="16"/>
          <w:szCs w:val="16"/>
        </w:rPr>
      </w:pPr>
    </w:p>
    <w:p w14:paraId="03A3F89E" w14:textId="77777777" w:rsidR="005F11D0" w:rsidRPr="00D03F3E" w:rsidRDefault="005F11D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января</w:t>
      </w:r>
      <w:r w:rsidRPr="00D03F3E">
        <w:rPr>
          <w:rFonts w:ascii="Times New Roman" w:hAnsi="Times New Roman"/>
          <w:color w:val="000000" w:themeColor="text1"/>
          <w:sz w:val="16"/>
          <w:szCs w:val="16"/>
        </w:rPr>
        <w:t xml:space="preserve"> в 1943 году численность ВКП (б) составила 3854 тысячи членов и кандидатов (14996).</w:t>
      </w:r>
    </w:p>
    <w:p w14:paraId="44856578" w14:textId="77777777" w:rsidR="005F11D0" w:rsidRPr="00D03F3E" w:rsidRDefault="005F11D0" w:rsidP="00D03F3E">
      <w:pPr>
        <w:spacing w:after="0" w:line="240" w:lineRule="auto"/>
        <w:jc w:val="both"/>
        <w:rPr>
          <w:rFonts w:ascii="Times New Roman" w:hAnsi="Times New Roman"/>
          <w:color w:val="000000" w:themeColor="text1"/>
          <w:sz w:val="16"/>
          <w:szCs w:val="16"/>
        </w:rPr>
      </w:pPr>
    </w:p>
    <w:p w14:paraId="4C927C8B" w14:textId="77777777" w:rsidR="00275149" w:rsidRPr="00D03F3E" w:rsidRDefault="00275149" w:rsidP="00D03F3E">
      <w:pPr>
        <w:spacing w:after="0" w:line="240" w:lineRule="auto"/>
        <w:jc w:val="both"/>
        <w:rPr>
          <w:rFonts w:ascii="Times New Roman" w:hAnsi="Times New Roman"/>
          <w:color w:val="000000" w:themeColor="text1"/>
          <w:sz w:val="16"/>
          <w:szCs w:val="16"/>
          <w:bdr w:val="none" w:sz="0" w:space="0" w:color="auto" w:frame="1"/>
          <w:shd w:val="clear" w:color="auto" w:fill="FBFCFC"/>
        </w:rPr>
      </w:pPr>
      <w:r w:rsidRPr="00D03F3E">
        <w:rPr>
          <w:rFonts w:ascii="Times New Roman" w:hAnsi="Times New Roman"/>
          <w:color w:val="000000" w:themeColor="text1"/>
          <w:sz w:val="16"/>
          <w:szCs w:val="16"/>
        </w:rPr>
        <w:t>С 1 января 1943 по 1 января 1950 г. по данным ЦФО МВД за период военнопленные отработали 1 077 564 200 человеко-дней, заработали 16 723 628 тыс. рублей, выполнив работу в строительстве и промышленности общей стоимостью 50 млрд. рублей. Впрочем последняя цифра составляет лишь 7,3 % от общего ущерба (679 млрд. руб.).</w:t>
      </w:r>
      <w:r w:rsidRPr="00D03F3E">
        <w:rPr>
          <w:rFonts w:ascii="Times New Roman" w:hAnsi="Times New Roman"/>
          <w:color w:val="000000" w:themeColor="text1"/>
          <w:sz w:val="16"/>
          <w:szCs w:val="16"/>
          <w:bdr w:val="none" w:sz="0" w:space="0" w:color="auto" w:frame="1"/>
        </w:rPr>
        <w:t xml:space="preserve"> </w:t>
      </w:r>
      <w:r w:rsidRPr="00D03F3E">
        <w:rPr>
          <w:rFonts w:ascii="Times New Roman" w:hAnsi="Times New Roman"/>
          <w:color w:val="000000" w:themeColor="text1"/>
          <w:sz w:val="16"/>
          <w:szCs w:val="16"/>
        </w:rPr>
        <w:t>По данным ЦФО МВД за период с 1 января 1943 по 1 января 1950 г. военнопленные отработали 1 077 564 200 человеко-дней, заработали 16 723 628 тыс. рублей, выполнив работу в строительстве и промышленности общей стоимостью 50 млрд. рублей. Впрочем последняя цифра составляет лишь 7,3 % от общего ущерба (679 млрд. руб.) (19847).</w:t>
      </w:r>
      <w:r w:rsidRPr="00D03F3E">
        <w:rPr>
          <w:rFonts w:ascii="Times New Roman" w:hAnsi="Times New Roman"/>
          <w:color w:val="000000" w:themeColor="text1"/>
          <w:sz w:val="16"/>
          <w:szCs w:val="16"/>
          <w:bdr w:val="none" w:sz="0" w:space="0" w:color="auto" w:frame="1"/>
          <w:shd w:val="clear" w:color="auto" w:fill="FBFCFC"/>
        </w:rPr>
        <w:t xml:space="preserve"> </w:t>
      </w:r>
    </w:p>
    <w:p w14:paraId="2AC0B312" w14:textId="77777777" w:rsidR="00275149" w:rsidRPr="00D03F3E" w:rsidRDefault="00275149" w:rsidP="00D03F3E">
      <w:pPr>
        <w:spacing w:after="0" w:line="240" w:lineRule="auto"/>
        <w:jc w:val="both"/>
        <w:rPr>
          <w:rFonts w:ascii="Times New Roman" w:hAnsi="Times New Roman"/>
          <w:color w:val="000000" w:themeColor="text1"/>
          <w:sz w:val="16"/>
          <w:szCs w:val="16"/>
          <w:bdr w:val="none" w:sz="0" w:space="0" w:color="auto" w:frame="1"/>
          <w:shd w:val="clear" w:color="auto" w:fill="FBFCFC"/>
        </w:rPr>
      </w:pPr>
    </w:p>
    <w:p w14:paraId="3DA27376"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1C34390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7BAB9D" w14:textId="77777777" w:rsidR="005F11D0" w:rsidRPr="00D03F3E" w:rsidRDefault="005F11D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января</w:t>
      </w:r>
      <w:r w:rsidRPr="00D03F3E">
        <w:rPr>
          <w:rFonts w:ascii="Times New Roman" w:hAnsi="Times New Roman"/>
          <w:color w:val="000000" w:themeColor="text1"/>
          <w:sz w:val="16"/>
          <w:szCs w:val="16"/>
        </w:rPr>
        <w:t xml:space="preserve"> в 1943 году поднялся в воздух первый прототип среднего транспортного самолета «YC-76» «Caravan» (компании «Curtiss», США). Он представлял собой деревянный высокоплан, оснащенный двумя двигателями «Pratt &amp; Whitney» «R-1830-92» «Twin Wasp» мощностью 1200 л.с., способный перевозить до 45 солдат. В течении года на двух заводах компании были произведены 25 экземпляров самолета. Одиннадцать предсерийных «YC-76-CK» были выпущены на заводе в Лусвилле, они получили военные номера 42-86918/42-86928. На этом же заводе изготовили девять тестовых самолетов YC-76A-1-CK (номера 42-86929/42-86937). Лишь пять самолетов были официально поставлены ВВС - это были изготовленные на заводе Сент-Луисе «C-76-CS» (номера 42-86913/42-86917) (14996).</w:t>
      </w:r>
    </w:p>
    <w:p w14:paraId="15736E1E" w14:textId="77777777" w:rsidR="005F11D0" w:rsidRPr="00D03F3E" w:rsidRDefault="005F11D0" w:rsidP="00D03F3E">
      <w:pPr>
        <w:spacing w:after="0" w:line="240" w:lineRule="auto"/>
        <w:jc w:val="both"/>
        <w:rPr>
          <w:rFonts w:ascii="Times New Roman" w:hAnsi="Times New Roman"/>
          <w:color w:val="000000" w:themeColor="text1"/>
          <w:sz w:val="16"/>
          <w:szCs w:val="16"/>
        </w:rPr>
      </w:pPr>
    </w:p>
    <w:p w14:paraId="085444B3" w14:textId="77777777" w:rsidR="005F11D0" w:rsidRPr="00D03F3E" w:rsidRDefault="005F11D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января</w:t>
      </w:r>
      <w:r w:rsidRPr="00D03F3E">
        <w:rPr>
          <w:rFonts w:ascii="Times New Roman" w:hAnsi="Times New Roman"/>
          <w:color w:val="000000" w:themeColor="text1"/>
          <w:sz w:val="16"/>
          <w:szCs w:val="16"/>
        </w:rPr>
        <w:t xml:space="preserve"> в 1943 году численность Национал-социалистической немецкой рабочей партии составила 7,6 млн. членов (14996).</w:t>
      </w:r>
    </w:p>
    <w:p w14:paraId="23DC4BAA" w14:textId="77777777" w:rsidR="005F11D0" w:rsidRPr="00D03F3E" w:rsidRDefault="005F11D0" w:rsidP="00D03F3E">
      <w:pPr>
        <w:spacing w:after="0" w:line="240" w:lineRule="auto"/>
        <w:jc w:val="both"/>
        <w:rPr>
          <w:rFonts w:ascii="Times New Roman" w:hAnsi="Times New Roman"/>
          <w:color w:val="000000" w:themeColor="text1"/>
          <w:sz w:val="16"/>
          <w:szCs w:val="16"/>
        </w:rPr>
      </w:pPr>
    </w:p>
    <w:p w14:paraId="554F7AEB"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января 1943 американский журнал “Тайм” назвал Сталина “человеком года” (4962).</w:t>
      </w:r>
    </w:p>
    <w:p w14:paraId="652B721E"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C5E68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января 1943 Траудль (Гертруда) Юнга стала личной секретаршей А.Г. (3481).</w:t>
      </w:r>
    </w:p>
    <w:p w14:paraId="192AA08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5CB402" w14:textId="77777777" w:rsidR="005F11D0" w:rsidRPr="00D03F3E" w:rsidRDefault="005F11D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января</w:t>
      </w:r>
      <w:r w:rsidRPr="00D03F3E">
        <w:rPr>
          <w:rFonts w:ascii="Times New Roman" w:hAnsi="Times New Roman"/>
          <w:color w:val="000000" w:themeColor="text1"/>
          <w:sz w:val="16"/>
          <w:szCs w:val="16"/>
        </w:rPr>
        <w:t xml:space="preserve"> в 1943 году в Средиземном море действуют 32 английские подводные лодки (14996).</w:t>
      </w:r>
    </w:p>
    <w:p w14:paraId="66727236" w14:textId="77777777" w:rsidR="005F11D0" w:rsidRPr="00D03F3E" w:rsidRDefault="005F11D0" w:rsidP="00D03F3E">
      <w:pPr>
        <w:spacing w:after="0" w:line="240" w:lineRule="auto"/>
        <w:jc w:val="both"/>
        <w:rPr>
          <w:rFonts w:ascii="Times New Roman" w:hAnsi="Times New Roman"/>
          <w:color w:val="000000" w:themeColor="text1"/>
          <w:sz w:val="16"/>
          <w:szCs w:val="16"/>
        </w:rPr>
      </w:pPr>
    </w:p>
    <w:p w14:paraId="4F947861"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DDAF74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4C668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января 1943 года начальник 10 гл. управления Тарасевич писал в секретариат наркома НКАП.</w:t>
      </w:r>
    </w:p>
    <w:p w14:paraId="22065B2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Справка.</w:t>
      </w:r>
    </w:p>
    <w:p w14:paraId="68E3C8A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письму гл. инженера ВВС генерал-лейтенанта ИАС Репина от 4.XII. N 435590с.</w:t>
      </w:r>
    </w:p>
    <w:p w14:paraId="05956E3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N 30 получил устное приказание замнаркома Дементьева по оборудованию на заводе самолета Ил-2 с изменениями по рекомендации ЦАГИ, улучшающими аэродинамические качества самолета Ил-2, в том числе установка обтекателя на балки РО-82.</w:t>
      </w:r>
    </w:p>
    <w:p w14:paraId="50B1C24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Заводом N 30 изготовлены все чертежи и по ним в цехах сделаны детали.</w:t>
      </w:r>
    </w:p>
    <w:p w14:paraId="4E77855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первой декаде января 1943 г. такая машина будет изготовлена и передана на испытание.</w:t>
      </w:r>
    </w:p>
    <w:p w14:paraId="5A427EF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N 43 передал заводу N 30 комплект балок РО-82 с обтекателями для монтажа на данной машине.</w:t>
      </w:r>
    </w:p>
    <w:p w14:paraId="440DC45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письмо ВВС от 4.XII.с.г. N 435590с (1778).</w:t>
      </w:r>
    </w:p>
    <w:p w14:paraId="5F31113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6D86B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января 1943 Кутепов телеграфировал НКАП А.И.Ш. по ВЧ:</w:t>
      </w:r>
    </w:p>
    <w:p w14:paraId="1CD6661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"Докладываю, что самолет бронированный Пегас первый экз. начал летные испытания 2 января 1943.</w:t>
      </w:r>
    </w:p>
    <w:p w14:paraId="68163B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Сделано 2 полета, машина ведет себя нормально. Продолжаем испытания дальше. Замечаний со стороны л пока нет.</w:t>
      </w:r>
    </w:p>
    <w:p w14:paraId="37EAB12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Постройка остальных 4-х машин задерживается из-за отсутствия кислорода, брони, мелких гвоздей и части сухого леса.</w:t>
      </w:r>
    </w:p>
    <w:p w14:paraId="419B0EE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Первый экз. задерживается из-за отсутствия моторов и винтов.</w:t>
      </w:r>
    </w:p>
    <w:p w14:paraId="749725F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Моторы прибыли 3 декабря, винты - 26 декабря.</w:t>
      </w:r>
    </w:p>
    <w:p w14:paraId="6598F04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Вас дать указание Омским заводам выдать нам 5-7 куб. м сухого леса, гвоздей мелких по 10 кг, всего 30-40 кг, кислорода 4-5 баллонов.</w:t>
      </w:r>
    </w:p>
    <w:p w14:paraId="374631B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также прошу добиться через НКТП указаний по заводу 174 об обеспечении нас броней в количестве 2-3 т размером 6, 8, 10 и 13 мм.</w:t>
      </w:r>
    </w:p>
    <w:p w14:paraId="1AED87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все это будет своевременно получено, то 4 машины будут также выпущены своевременно." (1775,4).</w:t>
      </w:r>
    </w:p>
    <w:p w14:paraId="257153E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AD006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 2 по 14 января 1943 г. самолет “Пегас” проходил заводские испытания. Ведущим летчиком был В.И.Жданов.</w:t>
      </w:r>
    </w:p>
    <w:p w14:paraId="12F4C1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полетном весе 1980 кг максимальная скорость у земли была достигнута 190 км/ч. Время набора высоты 1000 м - 6,3 мин. Потолок 2600 м. Длина разбега - 200 м, пробега - 300 м. (9649).</w:t>
      </w:r>
    </w:p>
    <w:p w14:paraId="52B564B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E61D99" w14:textId="77777777" w:rsidR="005F11D0" w:rsidRPr="00D03F3E" w:rsidRDefault="005F11D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 2 по 14 января 1943 г. самолёт «Пегас» № 01 проходил заводские лётные испыта</w:t>
      </w:r>
      <w:r w:rsidRPr="00D03F3E">
        <w:rPr>
          <w:rFonts w:ascii="Times New Roman" w:hAnsi="Times New Roman"/>
          <w:color w:val="000000" w:themeColor="text1"/>
          <w:sz w:val="16"/>
          <w:szCs w:val="16"/>
        </w:rPr>
        <w:softHyphen/>
        <w:t>ния. Отчёт по результатам испытаний директор завода № 288 и, одновременно, начальник ЦКБ-29 Г.Я. Кутепов утвердил 18 января.</w:t>
      </w:r>
    </w:p>
    <w:p w14:paraId="7E0A2AE1" w14:textId="77777777" w:rsidR="005F11D0" w:rsidRPr="00D03F3E" w:rsidRDefault="005F11D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Ведущим инженером по самолёту был назначен Н.П. Попков, ведущим лётчиком - лётчик-испытатель НИИ ВВС майор В.И. Жданов. В состав испытательной бригады входили старший бортмеханик Д.Я. Чернецкий, механик А.А. Чебоненко, моторист И.А. Таков, техник по оборудованию А. Кузнецов, ведущий инженер по вооружению С.А. Печорин, меха</w:t>
      </w:r>
      <w:r w:rsidRPr="00D03F3E">
        <w:rPr>
          <w:rFonts w:ascii="Times New Roman" w:hAnsi="Times New Roman"/>
          <w:color w:val="000000" w:themeColor="text1"/>
          <w:sz w:val="16"/>
          <w:szCs w:val="16"/>
        </w:rPr>
        <w:softHyphen/>
        <w:t>ник НИИ ВВС старшина К.В. Филоненко.</w:t>
      </w:r>
    </w:p>
    <w:p w14:paraId="671BF1B2" w14:textId="77777777" w:rsidR="005F11D0" w:rsidRPr="00D03F3E" w:rsidRDefault="005F11D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Поскольку к началу полётов подвесной вариант пушечного вооружения ещё не был отработан, самолёт испытывался только в конфигурации с бомбовым вооружением (2 ФАБ-100). Всего по программе заводских лётных испытаний было выполнено 10 полётов с суммарным налётом 6 ч 30 мин. (15846).</w:t>
      </w:r>
    </w:p>
    <w:p w14:paraId="36143286" w14:textId="77777777" w:rsidR="005F11D0" w:rsidRPr="00D03F3E" w:rsidRDefault="005F11D0" w:rsidP="00D03F3E">
      <w:pPr>
        <w:spacing w:after="0" w:line="240" w:lineRule="auto"/>
        <w:jc w:val="both"/>
        <w:rPr>
          <w:rFonts w:ascii="Times New Roman" w:hAnsi="Times New Roman"/>
          <w:color w:val="000000" w:themeColor="text1"/>
          <w:sz w:val="16"/>
          <w:szCs w:val="16"/>
        </w:rPr>
      </w:pPr>
    </w:p>
    <w:p w14:paraId="3FE317FF" w14:textId="77777777" w:rsidR="005F11D0" w:rsidRPr="00D03F3E" w:rsidRDefault="005F11D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января 1943 на «Пегасе» выполнили несколько рулёжек и подлётов. Самолёт и все системы вели себя нормально. После этого Жданов впервые поднял самолёт в воздух. Однако в по</w:t>
      </w:r>
      <w:r w:rsidRPr="00D03F3E">
        <w:rPr>
          <w:rFonts w:ascii="Times New Roman" w:hAnsi="Times New Roman"/>
          <w:color w:val="000000" w:themeColor="text1"/>
          <w:sz w:val="16"/>
          <w:szCs w:val="16"/>
        </w:rPr>
        <w:softHyphen/>
        <w:t>лёте забарахлила бензосистема - работала неустойчиво, с перебоями. Лётчику пришлось сажать машину на вынужденную. Благо отказ произошёл над аэродромом, высота полёта была небольшой. После устранения неисправности испытания продолжились (15846).</w:t>
      </w:r>
    </w:p>
    <w:p w14:paraId="061C58E6" w14:textId="77777777" w:rsidR="005F11D0" w:rsidRPr="00D03F3E" w:rsidRDefault="005F11D0" w:rsidP="00D03F3E">
      <w:pPr>
        <w:spacing w:after="0" w:line="240" w:lineRule="auto"/>
        <w:jc w:val="both"/>
        <w:rPr>
          <w:rFonts w:ascii="Times New Roman" w:hAnsi="Times New Roman"/>
          <w:color w:val="000000" w:themeColor="text1"/>
          <w:sz w:val="16"/>
          <w:szCs w:val="16"/>
        </w:rPr>
      </w:pPr>
    </w:p>
    <w:p w14:paraId="6FCD953F" w14:textId="77777777" w:rsidR="00301315" w:rsidRPr="00D03F3E" w:rsidRDefault="0030131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период с 2 по 14 января 1943 г. са</w:t>
      </w:r>
      <w:r w:rsidRPr="00D03F3E">
        <w:rPr>
          <w:rFonts w:ascii="Times New Roman" w:hAnsi="Times New Roman"/>
          <w:color w:val="0070C0"/>
          <w:sz w:val="16"/>
          <w:szCs w:val="16"/>
        </w:rPr>
        <w:softHyphen/>
        <w:t>молет «Пегас» № 01 проходил завод</w:t>
      </w:r>
      <w:r w:rsidRPr="00D03F3E">
        <w:rPr>
          <w:rFonts w:ascii="Times New Roman" w:hAnsi="Times New Roman"/>
          <w:color w:val="0070C0"/>
          <w:sz w:val="16"/>
          <w:szCs w:val="16"/>
        </w:rPr>
        <w:softHyphen/>
        <w:t>ские летные испытания. Отчет по резуль</w:t>
      </w:r>
      <w:r w:rsidRPr="00D03F3E">
        <w:rPr>
          <w:rFonts w:ascii="Times New Roman" w:hAnsi="Times New Roman"/>
          <w:color w:val="0070C0"/>
          <w:sz w:val="16"/>
          <w:szCs w:val="16"/>
        </w:rPr>
        <w:softHyphen/>
        <w:t>татам испытаний директор завода №288 и начальник ЦКБ-29 Г.Я. Кутепов утвердил 18 января.</w:t>
      </w:r>
    </w:p>
    <w:p w14:paraId="3CE38234" w14:textId="77777777" w:rsidR="00301315" w:rsidRPr="00D03F3E" w:rsidRDefault="0030131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Ведущим инженером по самолету был назначен Н.П. Попков, ведущим летчи</w:t>
      </w:r>
      <w:r w:rsidRPr="00D03F3E">
        <w:rPr>
          <w:rFonts w:ascii="Times New Roman" w:hAnsi="Times New Roman"/>
          <w:color w:val="0070C0"/>
          <w:sz w:val="16"/>
          <w:szCs w:val="16"/>
        </w:rPr>
        <w:softHyphen/>
        <w:t>ком - летчик-испытатель НИИ ВВС май</w:t>
      </w:r>
      <w:r w:rsidRPr="00D03F3E">
        <w:rPr>
          <w:rFonts w:ascii="Times New Roman" w:hAnsi="Times New Roman"/>
          <w:color w:val="0070C0"/>
          <w:sz w:val="16"/>
          <w:szCs w:val="16"/>
        </w:rPr>
        <w:softHyphen/>
        <w:t>ор В.И. Жданов. В состав испытательной бригады входили: старший бортмеханик Д.Я. Чернецкий, механик А.А. Чебоненко, моторист И.А. Таков,техник по оборудова</w:t>
      </w:r>
      <w:r w:rsidRPr="00D03F3E">
        <w:rPr>
          <w:rFonts w:ascii="Times New Roman" w:hAnsi="Times New Roman"/>
          <w:color w:val="0070C0"/>
          <w:sz w:val="16"/>
          <w:szCs w:val="16"/>
        </w:rPr>
        <w:softHyphen/>
        <w:t>нию А. Кузнецов, ведущий инженер по во</w:t>
      </w:r>
      <w:r w:rsidRPr="00D03F3E">
        <w:rPr>
          <w:rFonts w:ascii="Times New Roman" w:hAnsi="Times New Roman"/>
          <w:color w:val="0070C0"/>
          <w:sz w:val="16"/>
          <w:szCs w:val="16"/>
        </w:rPr>
        <w:softHyphen/>
        <w:t>оружению СА. Печорин, механик НИИ ВВС старшина К.В. Филоненко.</w:t>
      </w:r>
    </w:p>
    <w:p w14:paraId="7F06E984" w14:textId="77777777" w:rsidR="00301315" w:rsidRPr="00D03F3E" w:rsidRDefault="0030131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Поскольку к началу полетов подвес</w:t>
      </w:r>
      <w:r w:rsidRPr="00D03F3E">
        <w:rPr>
          <w:rFonts w:ascii="Times New Roman" w:hAnsi="Times New Roman"/>
          <w:color w:val="0070C0"/>
          <w:sz w:val="16"/>
          <w:szCs w:val="16"/>
        </w:rPr>
        <w:softHyphen/>
        <w:t>ной вариант пушечного вооружения еще не был отработан,то самолет испытывал</w:t>
      </w:r>
      <w:r w:rsidRPr="00D03F3E">
        <w:rPr>
          <w:rFonts w:ascii="Times New Roman" w:hAnsi="Times New Roman"/>
          <w:color w:val="0070C0"/>
          <w:sz w:val="16"/>
          <w:szCs w:val="16"/>
        </w:rPr>
        <w:softHyphen/>
        <w:t>ся только в конфигурации с бомбовым во</w:t>
      </w:r>
      <w:r w:rsidRPr="00D03F3E">
        <w:rPr>
          <w:rFonts w:ascii="Times New Roman" w:hAnsi="Times New Roman"/>
          <w:color w:val="0070C0"/>
          <w:sz w:val="16"/>
          <w:szCs w:val="16"/>
        </w:rPr>
        <w:softHyphen/>
        <w:t>оружением (две ФАБ-100). В общей слож</w:t>
      </w:r>
      <w:r w:rsidRPr="00D03F3E">
        <w:rPr>
          <w:rFonts w:ascii="Times New Roman" w:hAnsi="Times New Roman"/>
          <w:color w:val="0070C0"/>
          <w:sz w:val="16"/>
          <w:szCs w:val="16"/>
        </w:rPr>
        <w:softHyphen/>
        <w:t>ности по программе заводских летных испытаний было выполнено 10 полетов с суммарным налетом 6 ч 30 мин.</w:t>
      </w:r>
    </w:p>
    <w:p w14:paraId="47396AFB" w14:textId="77777777" w:rsidR="00301315" w:rsidRPr="00D03F3E" w:rsidRDefault="0030131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течение 2 января на «Пегасе» вы</w:t>
      </w:r>
      <w:r w:rsidRPr="00D03F3E">
        <w:rPr>
          <w:rFonts w:ascii="Times New Roman" w:hAnsi="Times New Roman"/>
          <w:color w:val="0070C0"/>
          <w:sz w:val="16"/>
          <w:szCs w:val="16"/>
        </w:rPr>
        <w:softHyphen/>
        <w:t>полнили несколько рулежек и подлетов. Самолет и все системы вели себя нор</w:t>
      </w:r>
      <w:r w:rsidRPr="00D03F3E">
        <w:rPr>
          <w:rFonts w:ascii="Times New Roman" w:hAnsi="Times New Roman"/>
          <w:color w:val="0070C0"/>
          <w:sz w:val="16"/>
          <w:szCs w:val="16"/>
        </w:rPr>
        <w:softHyphen/>
        <w:t>мально. После этого Жданов впервые поднял самолет в воздух. Однако в полете забарахлила бензосистема - работала не</w:t>
      </w:r>
      <w:r w:rsidRPr="00D03F3E">
        <w:rPr>
          <w:rFonts w:ascii="Times New Roman" w:hAnsi="Times New Roman"/>
          <w:color w:val="0070C0"/>
          <w:sz w:val="16"/>
          <w:szCs w:val="16"/>
        </w:rPr>
        <w:softHyphen/>
        <w:t>устойчиво с перебоями. Летчику пришлось сажать машину на вынужденную. Благо отказ произошел над аэродромом, высота полета была небольшой. После устране</w:t>
      </w:r>
      <w:r w:rsidRPr="00D03F3E">
        <w:rPr>
          <w:rFonts w:ascii="Times New Roman" w:hAnsi="Times New Roman"/>
          <w:color w:val="0070C0"/>
          <w:sz w:val="16"/>
          <w:szCs w:val="16"/>
        </w:rPr>
        <w:softHyphen/>
        <w:t>ния неисправности испытания продолжи</w:t>
      </w:r>
      <w:r w:rsidRPr="00D03F3E">
        <w:rPr>
          <w:rFonts w:ascii="Times New Roman" w:hAnsi="Times New Roman"/>
          <w:color w:val="0070C0"/>
          <w:sz w:val="16"/>
          <w:szCs w:val="16"/>
        </w:rPr>
        <w:softHyphen/>
        <w:t>лись. К 14 января доводка самолета в це</w:t>
      </w:r>
      <w:r w:rsidRPr="00D03F3E">
        <w:rPr>
          <w:rFonts w:ascii="Times New Roman" w:hAnsi="Times New Roman"/>
          <w:color w:val="0070C0"/>
          <w:sz w:val="16"/>
          <w:szCs w:val="16"/>
        </w:rPr>
        <w:softHyphen/>
        <w:t>лом завершилась. В этот день был выпол</w:t>
      </w:r>
      <w:r w:rsidRPr="00D03F3E">
        <w:rPr>
          <w:rFonts w:ascii="Times New Roman" w:hAnsi="Times New Roman"/>
          <w:color w:val="0070C0"/>
          <w:sz w:val="16"/>
          <w:szCs w:val="16"/>
        </w:rPr>
        <w:softHyphen/>
        <w:t>нен контрольный полет на проверку всех систем. После этого самолет отправили на технический осмотр и разборку для по</w:t>
      </w:r>
      <w:r w:rsidRPr="00D03F3E">
        <w:rPr>
          <w:rFonts w:ascii="Times New Roman" w:hAnsi="Times New Roman"/>
          <w:color w:val="0070C0"/>
          <w:sz w:val="16"/>
          <w:szCs w:val="16"/>
        </w:rPr>
        <w:softHyphen/>
        <w:t>следующей отправки в НИИ ВВС.</w:t>
      </w:r>
    </w:p>
    <w:p w14:paraId="00CA0D1C" w14:textId="77777777" w:rsidR="00301315" w:rsidRPr="00D03F3E" w:rsidRDefault="0030131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 нормальном полетном весе 1980 кг максимальная скорость у земли составила 190 км/ч. Время набора высо</w:t>
      </w:r>
      <w:r w:rsidRPr="00D03F3E">
        <w:rPr>
          <w:rFonts w:ascii="Times New Roman" w:hAnsi="Times New Roman"/>
          <w:color w:val="0070C0"/>
          <w:sz w:val="16"/>
          <w:szCs w:val="16"/>
        </w:rPr>
        <w:softHyphen/>
        <w:t>ты 1000 м - 6,3 мин. Минимальная ско</w:t>
      </w:r>
      <w:r w:rsidRPr="00D03F3E">
        <w:rPr>
          <w:rFonts w:ascii="Times New Roman" w:hAnsi="Times New Roman"/>
          <w:color w:val="0070C0"/>
          <w:sz w:val="16"/>
          <w:szCs w:val="16"/>
        </w:rPr>
        <w:softHyphen/>
        <w:t>рость полета - 110 км/ч. Посадочная ско</w:t>
      </w:r>
      <w:r w:rsidRPr="00D03F3E">
        <w:rPr>
          <w:rFonts w:ascii="Times New Roman" w:hAnsi="Times New Roman"/>
          <w:color w:val="0070C0"/>
          <w:sz w:val="16"/>
          <w:szCs w:val="16"/>
        </w:rPr>
        <w:softHyphen/>
        <w:t>рость - 97 км/ч. Длина разбега - 200 м, пробег - 300 м.</w:t>
      </w:r>
    </w:p>
    <w:p w14:paraId="62658A31" w14:textId="77777777" w:rsidR="00301315" w:rsidRPr="00D03F3E" w:rsidRDefault="0030131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ходе испытаний была достигнута высота 2400 м, но до практического по</w:t>
      </w:r>
      <w:r w:rsidRPr="00D03F3E">
        <w:rPr>
          <w:rFonts w:ascii="Times New Roman" w:hAnsi="Times New Roman"/>
          <w:color w:val="0070C0"/>
          <w:sz w:val="16"/>
          <w:szCs w:val="16"/>
        </w:rPr>
        <w:softHyphen/>
        <w:t>толка не забирались. При подготовке от</w:t>
      </w:r>
      <w:r w:rsidRPr="00D03F3E">
        <w:rPr>
          <w:rFonts w:ascii="Times New Roman" w:hAnsi="Times New Roman"/>
          <w:color w:val="0070C0"/>
          <w:sz w:val="16"/>
          <w:szCs w:val="16"/>
        </w:rPr>
        <w:softHyphen/>
        <w:t>чета по результатам испытаний потолок оценили теоретически в 2600 м. Полеты на определение максимальной дальности, стрельбу в воздухе из пулемета и сброс бомб не производились. Торопились пе</w:t>
      </w:r>
      <w:r w:rsidRPr="00D03F3E">
        <w:rPr>
          <w:rFonts w:ascii="Times New Roman" w:hAnsi="Times New Roman"/>
          <w:color w:val="0070C0"/>
          <w:sz w:val="16"/>
          <w:szCs w:val="16"/>
        </w:rPr>
        <w:softHyphen/>
        <w:t>редать самолет на государственные ис</w:t>
      </w:r>
      <w:r w:rsidRPr="00D03F3E">
        <w:rPr>
          <w:rFonts w:ascii="Times New Roman" w:hAnsi="Times New Roman"/>
          <w:color w:val="0070C0"/>
          <w:sz w:val="16"/>
          <w:szCs w:val="16"/>
        </w:rPr>
        <w:softHyphen/>
        <w:t>пытания.</w:t>
      </w:r>
    </w:p>
    <w:p w14:paraId="6C735B48" w14:textId="77777777" w:rsidR="00301315" w:rsidRPr="00D03F3E" w:rsidRDefault="0030131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Самолет продемонстрировал непло</w:t>
      </w:r>
      <w:r w:rsidRPr="00D03F3E">
        <w:rPr>
          <w:rFonts w:ascii="Times New Roman" w:hAnsi="Times New Roman"/>
          <w:color w:val="0070C0"/>
          <w:sz w:val="16"/>
          <w:szCs w:val="16"/>
        </w:rPr>
        <w:softHyphen/>
        <w:t>хую управляемость и устойчивость по</w:t>
      </w:r>
      <w:r w:rsidRPr="00D03F3E">
        <w:rPr>
          <w:rFonts w:ascii="Times New Roman" w:hAnsi="Times New Roman"/>
          <w:color w:val="0070C0"/>
          <w:sz w:val="16"/>
          <w:szCs w:val="16"/>
        </w:rPr>
        <w:softHyphen/>
        <w:t>лета по всем трем осям. Взлет простой. При взлете самолет легко поднимал хвост. Хорошо слушался рулей при выполне</w:t>
      </w:r>
      <w:r w:rsidRPr="00D03F3E">
        <w:rPr>
          <w:rFonts w:ascii="Times New Roman" w:hAnsi="Times New Roman"/>
          <w:color w:val="0070C0"/>
          <w:sz w:val="16"/>
          <w:szCs w:val="16"/>
        </w:rPr>
        <w:softHyphen/>
        <w:t>нии маневров. Парашютировал самолет на скорости 130-135 км/ч. Вираж с кре</w:t>
      </w:r>
      <w:r w:rsidRPr="00D03F3E">
        <w:rPr>
          <w:rFonts w:ascii="Times New Roman" w:hAnsi="Times New Roman"/>
          <w:color w:val="0070C0"/>
          <w:sz w:val="16"/>
          <w:szCs w:val="16"/>
        </w:rPr>
        <w:softHyphen/>
        <w:t>ном 30° выполнялся устойчиво на скоро</w:t>
      </w:r>
      <w:r w:rsidRPr="00D03F3E">
        <w:rPr>
          <w:rFonts w:ascii="Times New Roman" w:hAnsi="Times New Roman"/>
          <w:color w:val="0070C0"/>
          <w:sz w:val="16"/>
          <w:szCs w:val="16"/>
        </w:rPr>
        <w:softHyphen/>
        <w:t>сти 150 км/ч.</w:t>
      </w:r>
    </w:p>
    <w:p w14:paraId="2081CA86" w14:textId="77777777" w:rsidR="00301315" w:rsidRPr="00D03F3E" w:rsidRDefault="0030131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Отмечался неплохой обзор летчи</w:t>
      </w:r>
      <w:r w:rsidRPr="00D03F3E">
        <w:rPr>
          <w:rFonts w:ascii="Times New Roman" w:hAnsi="Times New Roman"/>
          <w:color w:val="0070C0"/>
          <w:sz w:val="16"/>
          <w:szCs w:val="16"/>
        </w:rPr>
        <w:softHyphen/>
        <w:t>ку вперед-вниз. Обзор задней полусфе</w:t>
      </w:r>
      <w:r w:rsidRPr="00D03F3E">
        <w:rPr>
          <w:rFonts w:ascii="Times New Roman" w:hAnsi="Times New Roman"/>
          <w:color w:val="0070C0"/>
          <w:sz w:val="16"/>
          <w:szCs w:val="16"/>
        </w:rPr>
        <w:softHyphen/>
        <w:t>ры «при отодвинутых наполовину назад боковых бронещитков» - неудовлетвори</w:t>
      </w:r>
      <w:r w:rsidRPr="00D03F3E">
        <w:rPr>
          <w:rFonts w:ascii="Times New Roman" w:hAnsi="Times New Roman"/>
          <w:color w:val="0070C0"/>
          <w:sz w:val="16"/>
          <w:szCs w:val="16"/>
        </w:rPr>
        <w:softHyphen/>
        <w:t>тельный.</w:t>
      </w:r>
    </w:p>
    <w:p w14:paraId="2E4349C7" w14:textId="77777777" w:rsidR="00301315" w:rsidRPr="00D03F3E" w:rsidRDefault="0030131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горизонтальном полете при отказе одного из моторов самолет допускал по</w:t>
      </w:r>
      <w:r w:rsidRPr="00D03F3E">
        <w:rPr>
          <w:rFonts w:ascii="Times New Roman" w:hAnsi="Times New Roman"/>
          <w:color w:val="0070C0"/>
          <w:sz w:val="16"/>
          <w:szCs w:val="16"/>
        </w:rPr>
        <w:softHyphen/>
        <w:t>лет только со снижением (около 1,5 м/с).</w:t>
      </w:r>
    </w:p>
    <w:p w14:paraId="66721BA0" w14:textId="77777777" w:rsidR="00301315" w:rsidRPr="00D03F3E" w:rsidRDefault="0030131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В качестве эксперимента был выпол</w:t>
      </w:r>
      <w:r w:rsidRPr="00D03F3E">
        <w:rPr>
          <w:rFonts w:ascii="Times New Roman" w:hAnsi="Times New Roman"/>
          <w:color w:val="0070C0"/>
          <w:sz w:val="16"/>
          <w:szCs w:val="16"/>
        </w:rPr>
        <w:softHyphen/>
        <w:t>нен один полет с полетным весом 2120 кг. Полет показал «возможность значитель ного увеличения бомбовой нагрузки - ориентировочно до 400-500 кг». Во всех полетах центровка самолета находилась в пределах 26,5-29% САХ.</w:t>
      </w:r>
    </w:p>
    <w:p w14:paraId="429ABC24" w14:textId="77777777" w:rsidR="00301315" w:rsidRPr="00D03F3E" w:rsidRDefault="0030131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Неподвижная пулеметная установка была отстреляна на земле. Стрельба ве</w:t>
      </w:r>
      <w:r w:rsidRPr="00D03F3E">
        <w:rPr>
          <w:rFonts w:ascii="Times New Roman" w:hAnsi="Times New Roman"/>
          <w:color w:val="0070C0"/>
          <w:sz w:val="16"/>
          <w:szCs w:val="16"/>
        </w:rPr>
        <w:softHyphen/>
        <w:t>лась очередями по 10-20 выстрелов. Ока</w:t>
      </w:r>
      <w:r w:rsidRPr="00D03F3E">
        <w:rPr>
          <w:rFonts w:ascii="Times New Roman" w:hAnsi="Times New Roman"/>
          <w:color w:val="0070C0"/>
          <w:sz w:val="16"/>
          <w:szCs w:val="16"/>
        </w:rPr>
        <w:softHyphen/>
        <w:t>залось, что после 80-86 выстрелов начи</w:t>
      </w:r>
      <w:r w:rsidRPr="00D03F3E">
        <w:rPr>
          <w:rFonts w:ascii="Times New Roman" w:hAnsi="Times New Roman"/>
          <w:color w:val="0070C0"/>
          <w:sz w:val="16"/>
          <w:szCs w:val="16"/>
        </w:rPr>
        <w:softHyphen/>
        <w:t>наются задержки в стрельбе по причине накапливания звеньев в звеньезборнике. Пришлось переделать вывод звеньев на</w:t>
      </w:r>
      <w:r w:rsidRPr="00D03F3E">
        <w:rPr>
          <w:rFonts w:ascii="Times New Roman" w:hAnsi="Times New Roman"/>
          <w:color w:val="0070C0"/>
          <w:sz w:val="16"/>
          <w:szCs w:val="16"/>
        </w:rPr>
        <w:softHyphen/>
        <w:t>ружу. Задержки в стрельбе прекратились. Усилия при перезарядке пулемета сочли чрезмерно большими. Требовалось дора</w:t>
      </w:r>
      <w:r w:rsidRPr="00D03F3E">
        <w:rPr>
          <w:rFonts w:ascii="Times New Roman" w:hAnsi="Times New Roman"/>
          <w:color w:val="0070C0"/>
          <w:sz w:val="16"/>
          <w:szCs w:val="16"/>
        </w:rPr>
        <w:softHyphen/>
        <w:t>ботать систему перезарядки.</w:t>
      </w:r>
    </w:p>
    <w:p w14:paraId="453083F3" w14:textId="77777777" w:rsidR="00301315" w:rsidRPr="00D03F3E" w:rsidRDefault="0030131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целом же самолет по летным дан</w:t>
      </w:r>
      <w:r w:rsidRPr="00D03F3E">
        <w:rPr>
          <w:rFonts w:ascii="Times New Roman" w:hAnsi="Times New Roman"/>
          <w:color w:val="0070C0"/>
          <w:sz w:val="16"/>
          <w:szCs w:val="16"/>
        </w:rPr>
        <w:softHyphen/>
        <w:t>ным и пилотажным качествам оценивал</w:t>
      </w:r>
      <w:r w:rsidRPr="00D03F3E">
        <w:rPr>
          <w:rFonts w:ascii="Times New Roman" w:hAnsi="Times New Roman"/>
          <w:color w:val="0070C0"/>
          <w:sz w:val="16"/>
          <w:szCs w:val="16"/>
        </w:rPr>
        <w:softHyphen/>
        <w:t>ся положительно. Для повышения энерго</w:t>
      </w:r>
      <w:r w:rsidRPr="00D03F3E">
        <w:rPr>
          <w:rFonts w:ascii="Times New Roman" w:hAnsi="Times New Roman"/>
          <w:color w:val="0070C0"/>
          <w:sz w:val="16"/>
          <w:szCs w:val="16"/>
        </w:rPr>
        <w:softHyphen/>
        <w:t>вооруженности предлагалось установить на самолет более мощные моторы М-12.</w:t>
      </w:r>
    </w:p>
    <w:p w14:paraId="7142D711" w14:textId="77777777" w:rsidR="00301315" w:rsidRPr="00D03F3E" w:rsidRDefault="0030131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Временно исполняющий должность старшего военпреда ГУ ИАС ВВС на заво</w:t>
      </w:r>
      <w:r w:rsidRPr="00D03F3E">
        <w:rPr>
          <w:rFonts w:ascii="Times New Roman" w:hAnsi="Times New Roman"/>
          <w:color w:val="0070C0"/>
          <w:sz w:val="16"/>
          <w:szCs w:val="16"/>
        </w:rPr>
        <w:softHyphen/>
        <w:t>де №288 военинженер 3-го ранга Рото- таев в очередной сводке по опытным ра</w:t>
      </w:r>
      <w:r w:rsidRPr="00D03F3E">
        <w:rPr>
          <w:rFonts w:ascii="Times New Roman" w:hAnsi="Times New Roman"/>
          <w:color w:val="0070C0"/>
          <w:sz w:val="16"/>
          <w:szCs w:val="16"/>
        </w:rPr>
        <w:softHyphen/>
        <w:t>ботам начальнику 1-го отдела Управле</w:t>
      </w:r>
      <w:r w:rsidRPr="00D03F3E">
        <w:rPr>
          <w:rFonts w:ascii="Times New Roman" w:hAnsi="Times New Roman"/>
          <w:color w:val="0070C0"/>
          <w:sz w:val="16"/>
          <w:szCs w:val="16"/>
        </w:rPr>
        <w:softHyphen/>
        <w:t>ния опытного строительства ГУ ИАС ВВС бригинженеру Гребневу докладывал, что на 20 января: «3. Самолет «Р» (типа «Пе</w:t>
      </w:r>
      <w:r w:rsidRPr="00D03F3E">
        <w:rPr>
          <w:rFonts w:ascii="Times New Roman" w:hAnsi="Times New Roman"/>
          <w:color w:val="0070C0"/>
          <w:sz w:val="16"/>
          <w:szCs w:val="16"/>
        </w:rPr>
        <w:softHyphen/>
        <w:t>гас») - ЦКБ-29, главный конструктор То- машевич: а) Первый летный экземпляр прошел заводские летные испытания и направлен в НИИ ВВС в Чкаловскую для го</w:t>
      </w:r>
      <w:r w:rsidRPr="00D03F3E">
        <w:rPr>
          <w:rFonts w:ascii="Times New Roman" w:hAnsi="Times New Roman"/>
          <w:color w:val="0070C0"/>
          <w:sz w:val="16"/>
          <w:szCs w:val="16"/>
        </w:rPr>
        <w:softHyphen/>
        <w:t>сударственных испытаний./../6) Идет подготовка к постройке нулевой серии (5 штук)».</w:t>
      </w:r>
    </w:p>
    <w:p w14:paraId="2C41A68E" w14:textId="77777777" w:rsidR="00301315" w:rsidRPr="00D03F3E" w:rsidRDefault="0030131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Как следует из документов, самолет в разобранном виде 26 января посту</w:t>
      </w:r>
      <w:r w:rsidRPr="00D03F3E">
        <w:rPr>
          <w:rFonts w:ascii="Times New Roman" w:hAnsi="Times New Roman"/>
          <w:color w:val="0070C0"/>
          <w:sz w:val="16"/>
          <w:szCs w:val="16"/>
        </w:rPr>
        <w:softHyphen/>
        <w:t>пил на опытный завод НИИ ВВС, где не</w:t>
      </w:r>
      <w:r w:rsidRPr="00D03F3E">
        <w:rPr>
          <w:rFonts w:ascii="Times New Roman" w:hAnsi="Times New Roman"/>
          <w:color w:val="0070C0"/>
          <w:sz w:val="16"/>
          <w:szCs w:val="16"/>
        </w:rPr>
        <w:softHyphen/>
        <w:t>замедлительно приступили к его сбор</w:t>
      </w:r>
      <w:r w:rsidRPr="00D03F3E">
        <w:rPr>
          <w:rFonts w:ascii="Times New Roman" w:hAnsi="Times New Roman"/>
          <w:color w:val="0070C0"/>
          <w:sz w:val="16"/>
          <w:szCs w:val="16"/>
        </w:rPr>
        <w:softHyphen/>
        <w:t>ке, регулировке и приведению в летное состояние.</w:t>
      </w:r>
    </w:p>
    <w:p w14:paraId="6D9F6755" w14:textId="77777777" w:rsidR="00301315" w:rsidRPr="00D03F3E" w:rsidRDefault="0030131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Одновременно на заводе №288 нача</w:t>
      </w:r>
      <w:r w:rsidRPr="00D03F3E">
        <w:rPr>
          <w:rFonts w:ascii="Times New Roman" w:hAnsi="Times New Roman"/>
          <w:color w:val="0070C0"/>
          <w:sz w:val="16"/>
          <w:szCs w:val="16"/>
        </w:rPr>
        <w:softHyphen/>
        <w:t>лись стендовые испытания подвесной пу</w:t>
      </w:r>
      <w:r w:rsidRPr="00D03F3E">
        <w:rPr>
          <w:rFonts w:ascii="Times New Roman" w:hAnsi="Times New Roman"/>
          <w:color w:val="0070C0"/>
          <w:sz w:val="16"/>
          <w:szCs w:val="16"/>
        </w:rPr>
        <w:softHyphen/>
        <w:t xml:space="preserve"> шечной установки под две пушки ВЯ и ог</w:t>
      </w:r>
      <w:r w:rsidRPr="00D03F3E">
        <w:rPr>
          <w:rFonts w:ascii="Times New Roman" w:hAnsi="Times New Roman"/>
          <w:color w:val="0070C0"/>
          <w:sz w:val="16"/>
          <w:szCs w:val="16"/>
        </w:rPr>
        <w:softHyphen/>
        <w:t>невые испытания бронированной каби</w:t>
      </w:r>
      <w:r w:rsidRPr="00D03F3E">
        <w:rPr>
          <w:rFonts w:ascii="Times New Roman" w:hAnsi="Times New Roman"/>
          <w:color w:val="0070C0"/>
          <w:sz w:val="16"/>
          <w:szCs w:val="16"/>
        </w:rPr>
        <w:softHyphen/>
        <w:t>ны летчика (23181).</w:t>
      </w:r>
    </w:p>
    <w:p w14:paraId="174C083D" w14:textId="77777777" w:rsidR="00301315" w:rsidRPr="00D03F3E" w:rsidRDefault="00301315" w:rsidP="00D03F3E">
      <w:pPr>
        <w:shd w:val="clear" w:color="auto" w:fill="FFFFFF"/>
        <w:spacing w:after="0" w:line="240" w:lineRule="auto"/>
        <w:jc w:val="both"/>
        <w:rPr>
          <w:rFonts w:ascii="Times New Roman" w:hAnsi="Times New Roman"/>
          <w:color w:val="0070C0"/>
          <w:sz w:val="16"/>
          <w:szCs w:val="16"/>
        </w:rPr>
      </w:pPr>
    </w:p>
    <w:p w14:paraId="088B1912" w14:textId="77777777" w:rsidR="000E0662" w:rsidRPr="00D03F3E" w:rsidRDefault="000E066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период со 2 по 14 января 1943 г. самолет «Пе</w:t>
      </w:r>
      <w:r w:rsidRPr="00D03F3E">
        <w:rPr>
          <w:color w:val="000000" w:themeColor="text1"/>
          <w:sz w:val="16"/>
          <w:szCs w:val="16"/>
        </w:rPr>
        <w:softHyphen/>
        <w:t>гас» № 01 проходил заводские летные испытания. Отчет по результатам испытаний директор завода № 288 и начальник ЦКБ-29 Г. Я. Кутепов утвердил 18 января.</w:t>
      </w:r>
    </w:p>
    <w:p w14:paraId="5B4D6CC7" w14:textId="77777777" w:rsidR="000E0662" w:rsidRPr="00D03F3E" w:rsidRDefault="000E066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Ведущим инженером по самолету был назначен Н. П. Попков, ведущим летчиком — летчик-испыта</w:t>
      </w:r>
      <w:r w:rsidRPr="00D03F3E">
        <w:rPr>
          <w:color w:val="000000" w:themeColor="text1"/>
          <w:sz w:val="16"/>
          <w:szCs w:val="16"/>
        </w:rPr>
        <w:softHyphen/>
        <w:t>тель НИИ ВВС майор В. И. Жданов.</w:t>
      </w:r>
    </w:p>
    <w:p w14:paraId="4452F2B2" w14:textId="77777777" w:rsidR="000E0662" w:rsidRPr="00D03F3E" w:rsidRDefault="000E066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Поскольку к началу полетов подвесной вари</w:t>
      </w:r>
      <w:r w:rsidRPr="00D03F3E">
        <w:rPr>
          <w:color w:val="000000" w:themeColor="text1"/>
          <w:sz w:val="16"/>
          <w:szCs w:val="16"/>
        </w:rPr>
        <w:softHyphen/>
        <w:t>ант пушечного вооружения еще не был отработан, то самолет испытывался только в конфигурации с бомбовым вооружением (2 ФАБ-100). В общей сложности по программе заводских летных испы</w:t>
      </w:r>
      <w:r w:rsidRPr="00D03F3E">
        <w:rPr>
          <w:color w:val="000000" w:themeColor="text1"/>
          <w:sz w:val="16"/>
          <w:szCs w:val="16"/>
        </w:rPr>
        <w:softHyphen/>
        <w:t>таний было выполнено 10 полетов с суммарным налетом 6 ч 30 мин.</w:t>
      </w:r>
    </w:p>
    <w:p w14:paraId="3D357FCA" w14:textId="77777777" w:rsidR="000E0662" w:rsidRPr="00D03F3E" w:rsidRDefault="000E066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нормальном полетном весе 1980 кг мак</w:t>
      </w:r>
      <w:r w:rsidRPr="00D03F3E">
        <w:rPr>
          <w:color w:val="000000" w:themeColor="text1"/>
          <w:sz w:val="16"/>
          <w:szCs w:val="16"/>
        </w:rPr>
        <w:softHyphen/>
        <w:t>симальная скорость у земли составила 190 км/ч. Время набора высоты 1000 м — 6,3 мин. Мини</w:t>
      </w:r>
      <w:r w:rsidRPr="00D03F3E">
        <w:rPr>
          <w:color w:val="000000" w:themeColor="text1"/>
          <w:sz w:val="16"/>
          <w:szCs w:val="16"/>
        </w:rPr>
        <w:softHyphen/>
        <w:t>мальная скорость полета — 110 км/ч. Посадочная скорость — 97 км/ч. Длина разбега — 200 м, про</w:t>
      </w:r>
      <w:r w:rsidRPr="00D03F3E">
        <w:rPr>
          <w:color w:val="000000" w:themeColor="text1"/>
          <w:sz w:val="16"/>
          <w:szCs w:val="16"/>
        </w:rPr>
        <w:softHyphen/>
        <w:t>бег — 300 м.</w:t>
      </w:r>
    </w:p>
    <w:p w14:paraId="48743C27" w14:textId="77777777" w:rsidR="000E0662" w:rsidRPr="00D03F3E" w:rsidRDefault="000E066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горизонтальном полете при отказе одного из моторов самолет допускал полет только со сниже</w:t>
      </w:r>
      <w:r w:rsidRPr="00D03F3E">
        <w:rPr>
          <w:color w:val="000000" w:themeColor="text1"/>
          <w:sz w:val="16"/>
          <w:szCs w:val="16"/>
        </w:rPr>
        <w:softHyphen/>
        <w:t>нием (около 1,5 м/с).</w:t>
      </w:r>
    </w:p>
    <w:p w14:paraId="2E3480DB" w14:textId="77777777" w:rsidR="000E0662" w:rsidRPr="00D03F3E" w:rsidRDefault="000E066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качестве эксперимента был выполнен 1 полет с полетным весом 2120 кг. Полет показал «возмож</w:t>
      </w:r>
      <w:r w:rsidRPr="00D03F3E">
        <w:rPr>
          <w:color w:val="000000" w:themeColor="text1"/>
          <w:sz w:val="16"/>
          <w:szCs w:val="16"/>
        </w:rPr>
        <w:softHyphen/>
        <w:t>ность значительного увеличения бомбовой нагруз</w:t>
      </w:r>
      <w:r w:rsidRPr="00D03F3E">
        <w:rPr>
          <w:color w:val="000000" w:themeColor="text1"/>
          <w:sz w:val="16"/>
          <w:szCs w:val="16"/>
        </w:rPr>
        <w:softHyphen/>
        <w:t>ки — ориентировочно до 400—500 кг». Во всех по</w:t>
      </w:r>
      <w:r w:rsidRPr="00D03F3E">
        <w:rPr>
          <w:color w:val="000000" w:themeColor="text1"/>
          <w:sz w:val="16"/>
          <w:szCs w:val="16"/>
        </w:rPr>
        <w:softHyphen/>
        <w:t>летах центровка самолета находилась в пределах 26,5—29% САХ.</w:t>
      </w:r>
    </w:p>
    <w:p w14:paraId="2F401F7C" w14:textId="77777777" w:rsidR="000E0662" w:rsidRPr="00D03F3E" w:rsidRDefault="000E066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Неподвижная пулеметная установка была от</w:t>
      </w:r>
      <w:r w:rsidRPr="00D03F3E">
        <w:rPr>
          <w:color w:val="000000" w:themeColor="text1"/>
          <w:sz w:val="16"/>
          <w:szCs w:val="16"/>
        </w:rPr>
        <w:softHyphen/>
        <w:t>стреляна на земле. Стрельба велась очередями по 10—20 выстрелов. Оказалось, что после 80—86 выстрелов начинаются задержки в стрельбе по причине накапливания звеньев в звеньесборни- ке. Пришлось переделать вывод звеньев наружу. Задержки в стрельбе прекратились. Усилия при перезарядке пулемета сочли чрезмерно боль</w:t>
      </w:r>
      <w:r w:rsidRPr="00D03F3E">
        <w:rPr>
          <w:color w:val="000000" w:themeColor="text1"/>
          <w:sz w:val="16"/>
          <w:szCs w:val="16"/>
        </w:rPr>
        <w:softHyphen/>
        <w:t>шими. Требовалось доработать систему переза</w:t>
      </w:r>
      <w:r w:rsidRPr="00D03F3E">
        <w:rPr>
          <w:color w:val="000000" w:themeColor="text1"/>
          <w:sz w:val="16"/>
          <w:szCs w:val="16"/>
        </w:rPr>
        <w:softHyphen/>
        <w:t>рядки.</w:t>
      </w:r>
    </w:p>
    <w:p w14:paraId="4A04AE4A" w14:textId="77777777" w:rsidR="000E0662" w:rsidRPr="00D03F3E" w:rsidRDefault="000E066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испытаний была достигнута высота 2400 м, но до практического потолка не забира</w:t>
      </w:r>
      <w:r w:rsidRPr="00D03F3E">
        <w:rPr>
          <w:color w:val="000000" w:themeColor="text1"/>
          <w:sz w:val="16"/>
          <w:szCs w:val="16"/>
        </w:rPr>
        <w:softHyphen/>
        <w:t>лись. При подготовке отчета по результатам ис</w:t>
      </w:r>
      <w:r w:rsidRPr="00D03F3E">
        <w:rPr>
          <w:color w:val="000000" w:themeColor="text1"/>
          <w:sz w:val="16"/>
          <w:szCs w:val="16"/>
        </w:rPr>
        <w:softHyphen/>
        <w:t>пытаний потолок оценили теоретически в 2600 м. Полеты на определение максимальной дальности, стрельбу в воздухе из пулемета и сброс бомб не производились. Торопились передать самолет на государственные испытания.</w:t>
      </w:r>
    </w:p>
    <w:p w14:paraId="309F2958" w14:textId="77777777" w:rsidR="000E0662" w:rsidRPr="00D03F3E" w:rsidRDefault="000E066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Самолет продемонстрировал неплохую управ</w:t>
      </w:r>
      <w:r w:rsidRPr="00D03F3E">
        <w:rPr>
          <w:color w:val="000000" w:themeColor="text1"/>
          <w:sz w:val="16"/>
          <w:szCs w:val="16"/>
        </w:rPr>
        <w:softHyphen/>
        <w:t>ляемость и устойчивость полета по всем трем осям. Взлет простой. При взлете самолет легко поднимал хвост. Хорошо слушался рулей при выполнении маневров. Парашютировал самолет на скорости 130—135 км/ч. Вираж с креном 30° выполнялся устойчиво на скорости 150 км/ч.</w:t>
      </w:r>
    </w:p>
    <w:p w14:paraId="6501F45A" w14:textId="77777777" w:rsidR="000E0662" w:rsidRPr="00D03F3E" w:rsidRDefault="000E066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Отмечался неплохой обзор летчику вперед-вниз. Обзор задней полусферы «при отодвинутых напо</w:t>
      </w:r>
      <w:r w:rsidRPr="00D03F3E">
        <w:rPr>
          <w:color w:val="000000" w:themeColor="text1"/>
          <w:sz w:val="16"/>
          <w:szCs w:val="16"/>
        </w:rPr>
        <w:softHyphen/>
        <w:t>ловину назад боковых бронещитков» — неудовлет</w:t>
      </w:r>
      <w:r w:rsidRPr="00D03F3E">
        <w:rPr>
          <w:color w:val="000000" w:themeColor="text1"/>
          <w:sz w:val="16"/>
          <w:szCs w:val="16"/>
        </w:rPr>
        <w:softHyphen/>
        <w:t>ворительный.</w:t>
      </w:r>
    </w:p>
    <w:p w14:paraId="1708034E" w14:textId="77777777" w:rsidR="000E0662" w:rsidRPr="00D03F3E" w:rsidRDefault="000E066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целом же самолет по летным данным и пи</w:t>
      </w:r>
      <w:r w:rsidRPr="00D03F3E">
        <w:rPr>
          <w:color w:val="000000" w:themeColor="text1"/>
          <w:sz w:val="16"/>
          <w:szCs w:val="16"/>
        </w:rPr>
        <w:softHyphen/>
        <w:t>лотажным качествам оценивался положительно. Для повышения энерговооруженности предлага</w:t>
      </w:r>
      <w:r w:rsidRPr="00D03F3E">
        <w:rPr>
          <w:color w:val="000000" w:themeColor="text1"/>
          <w:sz w:val="16"/>
          <w:szCs w:val="16"/>
        </w:rPr>
        <w:softHyphen/>
        <w:t>лось установить на самолет более мощные мото</w:t>
      </w:r>
      <w:r w:rsidRPr="00D03F3E">
        <w:rPr>
          <w:color w:val="000000" w:themeColor="text1"/>
          <w:sz w:val="16"/>
          <w:szCs w:val="16"/>
        </w:rPr>
        <w:softHyphen/>
        <w:t>ры М-12 (17500).</w:t>
      </w:r>
    </w:p>
    <w:p w14:paraId="29737C50" w14:textId="77777777" w:rsidR="000E0662" w:rsidRPr="00D03F3E" w:rsidRDefault="000E0662" w:rsidP="00D03F3E">
      <w:pPr>
        <w:spacing w:after="0" w:line="240" w:lineRule="auto"/>
        <w:jc w:val="both"/>
        <w:rPr>
          <w:rFonts w:ascii="Times New Roman" w:eastAsia="Times New Roman" w:hAnsi="Times New Roman"/>
          <w:color w:val="000000" w:themeColor="text1"/>
          <w:sz w:val="16"/>
          <w:szCs w:val="16"/>
          <w:lang w:eastAsia="ru-RU"/>
        </w:rPr>
      </w:pPr>
    </w:p>
    <w:p w14:paraId="4B0F17F2" w14:textId="77777777" w:rsidR="00301315" w:rsidRPr="00D03F3E" w:rsidRDefault="0030131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января 1942 109</w:t>
      </w:r>
      <w:r w:rsidRPr="00D03F3E">
        <w:rPr>
          <w:rFonts w:ascii="Times New Roman" w:hAnsi="Times New Roman"/>
          <w:color w:val="0070C0"/>
          <w:sz w:val="16"/>
          <w:szCs w:val="16"/>
          <w:lang w:val="en-US"/>
        </w:rPr>
        <w:t>G</w:t>
      </w:r>
      <w:r w:rsidRPr="00D03F3E">
        <w:rPr>
          <w:rFonts w:ascii="Times New Roman" w:hAnsi="Times New Roman"/>
          <w:color w:val="0070C0"/>
          <w:sz w:val="16"/>
          <w:szCs w:val="16"/>
        </w:rPr>
        <w:t>-2/</w:t>
      </w:r>
      <w:r w:rsidRPr="00D03F3E">
        <w:rPr>
          <w:rFonts w:ascii="Times New Roman" w:hAnsi="Times New Roman"/>
          <w:color w:val="0070C0"/>
          <w:sz w:val="16"/>
          <w:szCs w:val="16"/>
          <w:lang w:val="en-US"/>
        </w:rPr>
        <w:t>R</w:t>
      </w:r>
      <w:r w:rsidRPr="00D03F3E">
        <w:rPr>
          <w:rFonts w:ascii="Times New Roman" w:hAnsi="Times New Roman"/>
          <w:color w:val="0070C0"/>
          <w:sz w:val="16"/>
          <w:szCs w:val="16"/>
        </w:rPr>
        <w:t xml:space="preserve">6 №13903 унтер-офицера Г. Блаута из группы </w:t>
      </w:r>
      <w:r w:rsidRPr="00D03F3E">
        <w:rPr>
          <w:rFonts w:ascii="Times New Roman" w:hAnsi="Times New Roman"/>
          <w:color w:val="0070C0"/>
          <w:sz w:val="16"/>
          <w:szCs w:val="16"/>
          <w:lang w:val="en-US"/>
        </w:rPr>
        <w:t>I</w:t>
      </w:r>
      <w:r w:rsidRPr="00D03F3E">
        <w:rPr>
          <w:rFonts w:ascii="Times New Roman" w:hAnsi="Times New Roman"/>
          <w:color w:val="0070C0"/>
          <w:sz w:val="16"/>
          <w:szCs w:val="16"/>
        </w:rPr>
        <w:t>/</w:t>
      </w:r>
      <w:r w:rsidRPr="00D03F3E">
        <w:rPr>
          <w:rFonts w:ascii="Times New Roman" w:hAnsi="Times New Roman"/>
          <w:color w:val="0070C0"/>
          <w:sz w:val="16"/>
          <w:szCs w:val="16"/>
          <w:lang w:val="en-US"/>
        </w:rPr>
        <w:t>JG</w:t>
      </w:r>
      <w:r w:rsidRPr="00D03F3E">
        <w:rPr>
          <w:rFonts w:ascii="Times New Roman" w:hAnsi="Times New Roman"/>
          <w:color w:val="0070C0"/>
          <w:sz w:val="16"/>
          <w:szCs w:val="16"/>
        </w:rPr>
        <w:t xml:space="preserve"> 3, захваченный под Сталинградом и после ремонта 25 декабря по воздуху отправленный в НИИ ВВС, прибыл в Чкаловскую. Из-за установки под крылом дополнительной пары пушек </w:t>
      </w:r>
      <w:r w:rsidRPr="00D03F3E">
        <w:rPr>
          <w:rFonts w:ascii="Times New Roman" w:hAnsi="Times New Roman"/>
          <w:color w:val="0070C0"/>
          <w:sz w:val="16"/>
          <w:szCs w:val="16"/>
          <w:lang w:val="en-US"/>
        </w:rPr>
        <w:t>MG</w:t>
      </w:r>
      <w:r w:rsidRPr="00D03F3E">
        <w:rPr>
          <w:rFonts w:ascii="Times New Roman" w:hAnsi="Times New Roman"/>
          <w:color w:val="0070C0"/>
          <w:sz w:val="16"/>
          <w:szCs w:val="16"/>
        </w:rPr>
        <w:t xml:space="preserve"> 151 этот самолет часто называли «пятиточечным». К летным испытаниям привлекли П.М. Стефановского, А.Г. Прошакова и А.Г. Кубышкина. Получили максимальную скорость 650 км/ч - значительно больше, чем у всех советских истребителей. Но достигалась она на высоте 7000 м, на которой для советско-германского фронта боевые действия были не типичны. Испытатели отметили, что у немецкого истребителя проще управление винтомоторной группой, тщательнее выполнена герметизация. По сравнению с предыдущими модификациями бронезащиту усилили. Честно признали, что советским истребителям вести бой с новым «мессершмиттом» трудно. Лишь Ла-5 оказался способен одержать победу на горизонталях на малых и средних высотах, причем только на форсированном режиме мотора. Немецкий истребитель быстрее набирал скорость на пикировании и мог таким способом выйти из боя. Но мотор </w:t>
      </w:r>
      <w:r w:rsidRPr="00D03F3E">
        <w:rPr>
          <w:rFonts w:ascii="Times New Roman" w:hAnsi="Times New Roman"/>
          <w:color w:val="0070C0"/>
          <w:sz w:val="16"/>
          <w:szCs w:val="16"/>
          <w:lang w:val="en-US"/>
        </w:rPr>
        <w:t>DB</w:t>
      </w:r>
      <w:r w:rsidRPr="00D03F3E">
        <w:rPr>
          <w:rFonts w:ascii="Times New Roman" w:hAnsi="Times New Roman"/>
          <w:color w:val="0070C0"/>
          <w:sz w:val="16"/>
          <w:szCs w:val="16"/>
        </w:rPr>
        <w:t xml:space="preserve"> 605</w:t>
      </w:r>
      <w:r w:rsidRPr="00D03F3E">
        <w:rPr>
          <w:rFonts w:ascii="Times New Roman" w:hAnsi="Times New Roman"/>
          <w:color w:val="0070C0"/>
          <w:sz w:val="16"/>
          <w:szCs w:val="16"/>
          <w:lang w:val="en-US"/>
        </w:rPr>
        <w:t>A</w:t>
      </w:r>
      <w:r w:rsidRPr="00D03F3E">
        <w:rPr>
          <w:rFonts w:ascii="Times New Roman" w:hAnsi="Times New Roman"/>
          <w:color w:val="0070C0"/>
          <w:sz w:val="16"/>
          <w:szCs w:val="16"/>
        </w:rPr>
        <w:t xml:space="preserve"> работал ненадежно. В ходе испытаний из-за этого имели место несколько вынужденных посадок. В то же время отметили, что пилотирование типа </w:t>
      </w:r>
      <w:r w:rsidRPr="00D03F3E">
        <w:rPr>
          <w:rFonts w:ascii="Times New Roman" w:hAnsi="Times New Roman"/>
          <w:color w:val="0070C0"/>
          <w:sz w:val="16"/>
          <w:szCs w:val="16"/>
          <w:lang w:val="en-US"/>
        </w:rPr>
        <w:t>G</w:t>
      </w:r>
      <w:r w:rsidRPr="00D03F3E">
        <w:rPr>
          <w:rFonts w:ascii="Times New Roman" w:hAnsi="Times New Roman"/>
          <w:color w:val="0070C0"/>
          <w:sz w:val="16"/>
          <w:szCs w:val="16"/>
        </w:rPr>
        <w:t xml:space="preserve">-2 усложнилось по сравнению с вариантом </w:t>
      </w:r>
      <w:r w:rsidRPr="00D03F3E">
        <w:rPr>
          <w:rFonts w:ascii="Times New Roman" w:hAnsi="Times New Roman"/>
          <w:color w:val="0070C0"/>
          <w:sz w:val="16"/>
          <w:szCs w:val="16"/>
          <w:lang w:val="en-US"/>
        </w:rPr>
        <w:t>F</w:t>
      </w:r>
      <w:r w:rsidRPr="00D03F3E">
        <w:rPr>
          <w:rFonts w:ascii="Times New Roman" w:hAnsi="Times New Roman"/>
          <w:color w:val="0070C0"/>
          <w:sz w:val="16"/>
          <w:szCs w:val="16"/>
        </w:rPr>
        <w:t xml:space="preserve">, особенно по продольному управлению. Время виража увеличилось до почти 23 с. При перетягивании ручки на вираже самолет мог сорваться в штопор. В связи с этим советским летчикам рекомендовали уходить от атаки резким маневрированием. Обзор назад у нового немецкого истребителя остался неудовлетворительным. В ходе наступления советских войск под Сталинградом на разных аэродромах захватили много </w:t>
      </w:r>
      <w:r w:rsidRPr="00D03F3E">
        <w:rPr>
          <w:rFonts w:ascii="Times New Roman" w:hAnsi="Times New Roman"/>
          <w:color w:val="0070C0"/>
          <w:sz w:val="16"/>
          <w:szCs w:val="16"/>
          <w:lang w:val="en-US"/>
        </w:rPr>
        <w:t>Bf</w:t>
      </w:r>
      <w:r w:rsidRPr="00D03F3E">
        <w:rPr>
          <w:rFonts w:ascii="Times New Roman" w:hAnsi="Times New Roman"/>
          <w:color w:val="0070C0"/>
          <w:sz w:val="16"/>
          <w:szCs w:val="16"/>
        </w:rPr>
        <w:t xml:space="preserve"> 109. В одной только Большой Россошке насчитали более 300 самолетов разных типов. Но практически все они имели боевые повреждения, а также были дополнительно выведены из строя немцами при отступлении. Вся техника, восстановление которой признали нецелесообразным, разбиралась на запасные части и металлолом. В Советском Союзе остро не хватало алюминия, и трофейные самолеты стали одним из источников его поступления. Тем не менее, из Большой Россошки вывезли </w:t>
      </w:r>
      <w:r w:rsidRPr="00D03F3E">
        <w:rPr>
          <w:rFonts w:ascii="Times New Roman" w:hAnsi="Times New Roman"/>
          <w:color w:val="0070C0"/>
          <w:sz w:val="16"/>
          <w:szCs w:val="16"/>
          <w:lang w:val="en-US"/>
        </w:rPr>
        <w:t>Bf</w:t>
      </w:r>
      <w:r w:rsidRPr="00D03F3E">
        <w:rPr>
          <w:rFonts w:ascii="Times New Roman" w:hAnsi="Times New Roman"/>
          <w:color w:val="0070C0"/>
          <w:sz w:val="16"/>
          <w:szCs w:val="16"/>
        </w:rPr>
        <w:t xml:space="preserve"> 109</w:t>
      </w:r>
      <w:r w:rsidRPr="00D03F3E">
        <w:rPr>
          <w:rFonts w:ascii="Times New Roman" w:hAnsi="Times New Roman"/>
          <w:color w:val="0070C0"/>
          <w:sz w:val="16"/>
          <w:szCs w:val="16"/>
          <w:lang w:val="en-US"/>
        </w:rPr>
        <w:t>G</w:t>
      </w:r>
      <w:r w:rsidRPr="00D03F3E">
        <w:rPr>
          <w:rFonts w:ascii="Times New Roman" w:hAnsi="Times New Roman"/>
          <w:color w:val="0070C0"/>
          <w:sz w:val="16"/>
          <w:szCs w:val="16"/>
        </w:rPr>
        <w:t>-2/</w:t>
      </w:r>
      <w:r w:rsidRPr="00D03F3E">
        <w:rPr>
          <w:rFonts w:ascii="Times New Roman" w:hAnsi="Times New Roman"/>
          <w:color w:val="0070C0"/>
          <w:sz w:val="16"/>
          <w:szCs w:val="16"/>
          <w:lang w:val="en-US"/>
        </w:rPr>
        <w:t>R</w:t>
      </w:r>
      <w:r w:rsidRPr="00D03F3E">
        <w:rPr>
          <w:rFonts w:ascii="Times New Roman" w:hAnsi="Times New Roman"/>
          <w:color w:val="0070C0"/>
          <w:sz w:val="16"/>
          <w:szCs w:val="16"/>
        </w:rPr>
        <w:t>1 №14513. Он поступил в НИИ ВВС 19 марта 1943 г. (23186).</w:t>
      </w:r>
    </w:p>
    <w:p w14:paraId="1D168678" w14:textId="77777777" w:rsidR="00301315" w:rsidRPr="00D03F3E" w:rsidRDefault="00301315" w:rsidP="00D03F3E">
      <w:pPr>
        <w:spacing w:after="0" w:line="240" w:lineRule="auto"/>
        <w:jc w:val="both"/>
        <w:rPr>
          <w:rFonts w:ascii="Times New Roman" w:hAnsi="Times New Roman"/>
          <w:color w:val="0070C0"/>
          <w:sz w:val="16"/>
          <w:szCs w:val="16"/>
        </w:rPr>
      </w:pPr>
    </w:p>
    <w:p w14:paraId="4E74CCA6"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71DBCFF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C765B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января 1943 года утром на обсуждении, состоявшемся в кабинете исполняющего обязанности директора ЧКЗ А.А.Горегляда, были представлены три варианта самоходных установок: У-18 конструкции УЗТМ; проект установки, предложенный Ж.Я.Котиным, и вариант группы Л.С.Троянова. Проект самоходной установки Ж.Я.Котина представлял собой размещение пушки-гаубицы МЛ-20 с экипажем и боекомплектом в специально спроектированной броневой рубке на базе танка КВ-1. Качающаяся часть орудия использовалась практически без изменения его конструкции, за исключением противооткатных устройств и цапф, и устанавливалась в рамке. Уравновешивание системы осуществлялось за счет бронировки орудия. Проект группы Л.С.Троянова предусматривал использование орудия МЛ-20 без конструктивных изменений, но на удлиненной базе танка КВ-1 С. Главный конструктор пушки-гаубицы МЛ-20 Ф.Ф.Петров, защищавший проект У-18, настаивал на модернизации артсистемы при установке на танковую базу. Участник разработки САУ конструктор В.И.Таротько, вспоминая об этом событии, пишет: «Проект Петрова не приняли, так как он не обеспечивал немедленного начала серийного производства. Доложенный Л.С.Трояновым проект с сохранением пушки, но с удлинением корпуса против танкового не был принят по той же причине. Было одобрено предложение Ж.Я.Котина о постройке САУ на серийной танковой базе» (11638).</w:t>
      </w:r>
    </w:p>
    <w:p w14:paraId="349615E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D2A1B1"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января 1943 была подготовлена [Справка о выдаче мандата Овчинникову А.Я № 2680 - уполномоченному ГКО по строительству 8-й коксовой батареи Кемеровского коксохимического завода.] (7069, 78).</w:t>
      </w:r>
    </w:p>
    <w:p w14:paraId="379209A6"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88F30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января 1943 вышло Постановление ГКО № 2681 О плане добычи угля и сланца на I квартал 1943 года и январь по Наркомуглю.РГАНИР, Фонд ГКО, д. 75, лл. 79-82 (11012).</w:t>
      </w:r>
    </w:p>
    <w:p w14:paraId="38DF551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CF2FA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января 1943 вышло Постановление ГКО № 2682 Об отпуске продовольственных, госпитальных и фуражных пайков для Красной Армии, Военно-Морского Флота и войск НКВД СССР в январе месяце 1943 г.РГАНИР, Фонд ГКО, д. 75, лл. 83-85, 86-87 (11012).</w:t>
      </w:r>
    </w:p>
    <w:p w14:paraId="29635E7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2C3547"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января 1943 вышло Постановление ГКО № 2683 О строительстве новой железнодорожной линии Калач - Богучар (поселок Подколодное на левом берегу Дона - строительство № 213). (7069, 88-89).</w:t>
      </w:r>
    </w:p>
    <w:p w14:paraId="0F04BF29"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263D9E"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января 1943 вышло Постановление ГКО № 2684 О строительстве новых железнодорожных линий Анна - Таловая (строительство № 211) и Эртиль - Анна (Курлак) (строительство № 212). (7069, 90-91).</w:t>
      </w:r>
    </w:p>
    <w:p w14:paraId="0A16B94F"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CFB63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января 1943 вышло Постановление ГКО № 2687 Об обеспечении топливом электростанций Ивэнерго Наркомэлектростанций.РГАНИР, Фонд ГКО, д. 75, лл. 98-101, 102-104 (11012).</w:t>
      </w:r>
    </w:p>
    <w:p w14:paraId="4F8D028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A73D5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 января 1943 вышло Постановление ГКО № 2688 Об обеспечении топливом электростанций Ярэнерго Наркомэлектростанций.РГАНИР, Фонд ГКО, д. 75, лл. 105-107, 108-113 (11012).</w:t>
      </w:r>
    </w:p>
    <w:p w14:paraId="7DE8872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95892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января 1943 вышло Постановление ГКО № 2689 Об обеспечении топливом электростанций Кировского энергокомбината Наркомэлектростанций.РГАНИР, Фонд ГКО, д. 75, лл. 114-118, 119-120 (11012).</w:t>
      </w:r>
    </w:p>
    <w:p w14:paraId="6FBBA0F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1B10FB"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05671A5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6B4FEE"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32E637C0"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 января наши войска в районе Среднего Дона, юго-западнее июжнее Сталинграда, на Центральном фронте и на Северном Кавказе продолжали вести наступательные бои на прежних направлениях.</w:t>
      </w:r>
    </w:p>
    <w:p w14:paraId="44F595DE"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заводском районе Сталинграда ваши подразделения захватили несколько домов, 39 дзотов и блиндажей. Уничтожено более 100 немецких солдат и офицеров. Северо-западнее Сталинграда наши части в результате ожесточённого боя заняли десятки окопов и блиндажей противника. Немцы, стремясь вернуть потерянные позиции, предприняли несколько контратак, но успеха не добились. Истреблено до роты пехоты противника и уничтожено 7 немецких танков. Захвачены 4 танка, 21 пулемёт, 85 винтовок и 14 автоматов.</w:t>
      </w:r>
    </w:p>
    <w:p w14:paraId="1C834CAD"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и южнее Сталинграда наши войска продолжали успешное наступление и заняли ряд населённых пунктов. Отступая, немцы бросают большое количество техники, различного вооружения, военного снаряжения и имущества. В боях за один населённый пункт Н-ская часть уничтожила более 300 немецких солдат и офицеров и взяла 135 пленных. Захвачены 8 орудий, 17 пулемётов, 28 автомашин с различными грузами и продовольственный склад. На другом участке советские танкисты разгромили батальон противника. На поле боя подсчитано свыше 400 трупов немецких солдат и офицеров. Взято 100 пленных.</w:t>
      </w:r>
    </w:p>
    <w:p w14:paraId="74215951"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Дона наши войска продолжали наступление. Бойцы Н-ской части сломили сопротивление противника, оборонявшего выгодные рубежи. В результате боя подбито 7 танков. Отступая, немцы оставили 3 самоходных орудия, 8 миномётов, много снарядов и патронов. На другом участке наша мотопехота заняла населённый пункт и взяла в плен 230 вражеских солдат и офицеров.</w:t>
      </w:r>
    </w:p>
    <w:p w14:paraId="3E6C7BC7"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наши войска вели наступательные бои, а на отдельныхучастках отбивали контратаки противника. Нашими частями, овладевшими городом Великие Луки, захвачены большие трофеи. В районе западнее Ржева крупное соединение противника при поддержке танков несколько раз пыталось атаковать наши позиции. Бойцы Н-ской части, обороняющие эти позиции, отбили все атаки гитлеровцев и отбросили их на исходные рубежи. Сожжено 6 немецких танков и уничтожено несколько сот солдат и офицеров противника.</w:t>
      </w:r>
    </w:p>
    <w:p w14:paraId="62D544CD"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Калининской области, за последние дни истребил 40 немецких солдат, сжёг 8 шоссейных мостов и разгромил 11 фашистских волостных управ. Другой отряд калининских партизан взорвал мост на важной железнодорожной магистрали. Небольшая группа партизан этого отряда из засад истребила 18 гитлеровцев и уничтожила 8 автомашин с боеприпасами.</w:t>
      </w:r>
    </w:p>
    <w:p w14:paraId="2ABD5F90"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чудовищных зверствах немецко-фашистских мерзавцев над советскими военнопленными и мирными гражданами в хуторе Озёры, Ростовской области: «Мы, нижеподписавшиеся, составили настоящий акт в нижеследующем: после освобождения частями Красной Армии хутора Озёры, Ростовской области, мы осмотрели бывший немецкий лагерь для военнопленных. Лагерь расположен на северной окраине хутора в трёх скотных дворах, обнесённых колючей проволокой. Территория лагеря усеяна трупами мирных граждан и красноармейцев, зверски замученных немцами. За четыре месяца гитлеровские палачи уморили голодом и убили 260 военнопленных и заключённых мирных жителей окрестных сёл и деревень. В лагере осталось 240 человек. Более 100 из них не могли самостоятельно подняться на ноги. У всех у них запущенные гниющие раны, обмороженные ноги или руки. Освобождённые из фашистского плена Георгий Макушев, Исмаил Пыреев, Максим Мартынец, Андрей Гордеев, Иван Масырчук и многие другие сообщили, что немцы принуждали их работать по 20 часов в сутки на земляных работах. Заключённым влагере выдавали на целый день лишь по 100 граммов хлеба и кружку болтушки изотрубей. Слабых и больных гитлеровские изверги избивали палками, а совершенно обессилевших прикалывали штыками. На территории лагеря обнаружен полуживой 16-летний подросток Александр Морозкин. Перенесённые им здесь муки и пытки состарили его. Он поседел, на его лице образовались глубокие морщины. Советские врачи приложили все усилия, чтобы спасти подростка, но было уже поздно, и он вскоре умер». Акт подписали: капитан Ляпин, капитан Хованов, капитан Гаркуша, лейтенант Краснощёков, лейтенант Доронин, старший сержант Медведев.» (14997).</w:t>
      </w:r>
    </w:p>
    <w:p w14:paraId="3E07F127" w14:textId="77777777" w:rsidR="008C030A" w:rsidRPr="00D03F3E" w:rsidRDefault="008C030A" w:rsidP="00D03F3E">
      <w:pPr>
        <w:spacing w:after="0" w:line="240" w:lineRule="auto"/>
        <w:jc w:val="both"/>
        <w:rPr>
          <w:rFonts w:ascii="Times New Roman" w:hAnsi="Times New Roman"/>
          <w:color w:val="000000" w:themeColor="text1"/>
          <w:sz w:val="16"/>
          <w:szCs w:val="16"/>
        </w:rPr>
      </w:pPr>
    </w:p>
    <w:p w14:paraId="51BB36D7"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1633AF7F"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 января наши войска в районе Среднего Дона, юго-западнее и южнее Сталинграда, на Центральном фронте и на Северном Кавказе вели наступательные бои. Наши войска овладели районным центром Дубовское, железнодорожной станцией Ремонтная и районным центром Эльхотово.</w:t>
      </w:r>
    </w:p>
    <w:p w14:paraId="57E0695C"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Сталинграда наши войска вели огневой бой и разведку противника. В заводском районе штурмовыми группами занято несколько вражеских опорных пунктов, в боях за которые уничтожено более 200 гитлеровцев. Северо-западнее Сталинграда наши бойцы выбили немцев из 25 блиндажей и окопов, захватили 3 орудия, 3 миномёта, 6 пулемётов, 50 винтовок, 500 мин и много патронов. Убито 80 гитлеровцев. Взяты пленные. На территории, занятой советскими частями, приземлился немецкий транспортный самолёт с продовольствием. Экипаж самолёта взят в плен.</w:t>
      </w:r>
    </w:p>
    <w:p w14:paraId="5736E089"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и южнее Сталинграда наши войска успешно продвигались вперёд, заняли ряд населённых пунктов, в том числе районный центр Дубовское и железнодорожную станцию Ремонтная. В Дубовском и на железнодорожной станции Ремонтная захвачены большие трофеи, среди которых танки, артиллерийские и продовольственные склады и разное военное имущество. Захвачено также много гуртов скота. В бою за город Элиста советские войска разгромили 60 немецкий мотопехотный полк, сапёрный батальон, батальон 156 мотопехотного полка и другие части и подразделения противника. Преследуя отступающего врага, наши подвижные отряды истребили до 800 немецких солдат и офицеров, взяли 200 пленных и захватили 6 орудий, много пулемётов, автомашин и другие трофеи.</w:t>
      </w:r>
    </w:p>
    <w:p w14:paraId="6F50DA1C"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Дона наши войска продолжали наступление. Н-ская часть, продвигаясь вперёд, перерезала дорогу, соединяющую два занятых немцами крупных населённых пункта. Уничтожено свыше 300 вражеских солдат и офицеров. На соседнем участке отражена контратака противника. Подбито и сожжено 16 немецких танков. Наш разведывательный отряд разгромил штаб немецкого пехотного полка, уничтожив при этом группу офицеров и полковника — командира полка. Захвачены штабные документы.</w:t>
      </w:r>
    </w:p>
    <w:p w14:paraId="0BCC450F"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наши войска вели наступательные бои. В районе западнее Великих Лук бойцы Н-ской части выбили немцев из укреплённых позиций, уничтожили 5 танков и 160 вражеских солдат и офицеров. В районе западнее Ржева бойцы под командованием тов. Ильяшенко в последних боях разгромили ряд немецких частей и подразделений. В ходе боевых операций уничтожено 49 вражеских танков, 9 бронемашин и 30 автомашин.</w:t>
      </w:r>
    </w:p>
    <w:p w14:paraId="3681FEAE"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Юго-восточнее Нальчика части Н-ского соединения обошли и ворвались в занятый противником районный центр Эльхотово. В уличных боях уничтожено свыше 400 немецких солдат и офицеров. К исходу дня наши части овладели Эльхотовом. На другом участке наши бойцы атаковали противника и в результате боя заняли рубеж обороны, имеющий важное значение. Гитлеровцы потеряли в этом бою убитыми несколько сот солдат и офицеров. Подбиты и сожжены 14 танков и бронемашина противника.</w:t>
      </w:r>
    </w:p>
    <w:p w14:paraId="341435D3"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четырёхдневных боях с противником партизаны отряда имени Щорса и отряда «Смерть немецким оккупантам», действующие в Орловской области, уничтожили более 200 немецких солдат и офицеров. Отряд курских партизан пустил под откос немецкий воинский эшелон. Разбиты 5 вагонов и паровоз. Много вагонов и платформ повреждено.</w:t>
      </w:r>
    </w:p>
    <w:p w14:paraId="0661A69D"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Получено сообщение о кровавых злодеяниях немецко-фашистских мерзавцев в городе Полтаве. Только за последние два месяца гитлеровцы замучили насмерть и расстреляли свыше тысячи местных жителей. Немцы устроили в городе и его окрестностях несколько тюрем и концлагерей. Все они переполнены заключёнными. Во второй половине декабря немцы бросили в тюрьмы несколько сот человек, в том числе 65 железнодорожников, отказавшихся ехать на гитлеровскую каторгу в Германию. Арестованным грозит смертная казнь. Бежавший из полтавской тюрьмы Иван Дорошенко рассказал, что немецкие палачи зверски пытают заключённых. Во дворе тюрьмы немцы построили виселицы. Каждый день палачи вешают по 5—10 человек. В первых числах декабря в камерах замёрзло несколько человек.» (14997).</w:t>
      </w:r>
    </w:p>
    <w:p w14:paraId="6B418908" w14:textId="77777777" w:rsidR="008C030A" w:rsidRPr="00D03F3E" w:rsidRDefault="008C030A" w:rsidP="00D03F3E">
      <w:pPr>
        <w:spacing w:after="0" w:line="240" w:lineRule="auto"/>
        <w:jc w:val="both"/>
        <w:rPr>
          <w:rFonts w:ascii="Times New Roman" w:hAnsi="Times New Roman"/>
          <w:color w:val="000000" w:themeColor="text1"/>
          <w:sz w:val="16"/>
          <w:szCs w:val="16"/>
        </w:rPr>
      </w:pPr>
    </w:p>
    <w:p w14:paraId="4C32FA5B"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января 1943 немецкие</w:t>
      </w:r>
      <w:r w:rsidR="008C5F3D" w:rsidRPr="00D03F3E">
        <w:rPr>
          <w:rFonts w:ascii="Times New Roman" w:hAnsi="Times New Roman"/>
          <w:color w:val="000000" w:themeColor="text1"/>
          <w:sz w:val="16"/>
          <w:szCs w:val="16"/>
        </w:rPr>
        <w:t xml:space="preserve"> </w:t>
      </w:r>
      <w:r w:rsidRPr="00D03F3E">
        <w:rPr>
          <w:rFonts w:ascii="Times New Roman" w:hAnsi="Times New Roman"/>
          <w:color w:val="000000" w:themeColor="text1"/>
          <w:sz w:val="16"/>
          <w:szCs w:val="16"/>
        </w:rPr>
        <w:t>войска</w:t>
      </w:r>
      <w:r w:rsidR="008C5F3D" w:rsidRPr="00D03F3E">
        <w:rPr>
          <w:rFonts w:ascii="Times New Roman" w:hAnsi="Times New Roman"/>
          <w:color w:val="000000" w:themeColor="text1"/>
          <w:sz w:val="16"/>
          <w:szCs w:val="16"/>
        </w:rPr>
        <w:t xml:space="preserve"> </w:t>
      </w:r>
      <w:r w:rsidRPr="00D03F3E">
        <w:rPr>
          <w:rFonts w:ascii="Times New Roman" w:hAnsi="Times New Roman"/>
          <w:color w:val="000000" w:themeColor="text1"/>
          <w:sz w:val="16"/>
          <w:szCs w:val="16"/>
        </w:rPr>
        <w:t>начали</w:t>
      </w:r>
      <w:r w:rsidR="008C5F3D" w:rsidRPr="00D03F3E">
        <w:rPr>
          <w:rFonts w:ascii="Times New Roman" w:hAnsi="Times New Roman"/>
          <w:color w:val="000000" w:themeColor="text1"/>
          <w:sz w:val="16"/>
          <w:szCs w:val="16"/>
        </w:rPr>
        <w:t xml:space="preserve"> </w:t>
      </w:r>
      <w:r w:rsidRPr="00D03F3E">
        <w:rPr>
          <w:rFonts w:ascii="Times New Roman" w:hAnsi="Times New Roman"/>
          <w:color w:val="000000" w:themeColor="text1"/>
          <w:sz w:val="16"/>
          <w:szCs w:val="16"/>
        </w:rPr>
        <w:t>отступление</w:t>
      </w:r>
      <w:r w:rsidR="008C5F3D" w:rsidRPr="00D03F3E">
        <w:rPr>
          <w:rFonts w:ascii="Times New Roman" w:hAnsi="Times New Roman"/>
          <w:color w:val="000000" w:themeColor="text1"/>
          <w:sz w:val="16"/>
          <w:szCs w:val="16"/>
        </w:rPr>
        <w:t xml:space="preserve"> </w:t>
      </w:r>
      <w:r w:rsidRPr="00D03F3E">
        <w:rPr>
          <w:rFonts w:ascii="Times New Roman" w:hAnsi="Times New Roman"/>
          <w:color w:val="000000" w:themeColor="text1"/>
          <w:sz w:val="16"/>
          <w:szCs w:val="16"/>
        </w:rPr>
        <w:t>из</w:t>
      </w:r>
      <w:r w:rsidR="008C5F3D" w:rsidRPr="00D03F3E">
        <w:rPr>
          <w:rFonts w:ascii="Times New Roman" w:hAnsi="Times New Roman"/>
          <w:color w:val="000000" w:themeColor="text1"/>
          <w:sz w:val="16"/>
          <w:szCs w:val="16"/>
        </w:rPr>
        <w:t xml:space="preserve"> </w:t>
      </w:r>
      <w:r w:rsidRPr="00D03F3E">
        <w:rPr>
          <w:rFonts w:ascii="Times New Roman" w:hAnsi="Times New Roman"/>
          <w:color w:val="000000" w:themeColor="text1"/>
          <w:sz w:val="16"/>
          <w:szCs w:val="16"/>
        </w:rPr>
        <w:t>Кавказа (4962).</w:t>
      </w:r>
    </w:p>
    <w:p w14:paraId="5ABB580A"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2D4F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lang w:val="en-US"/>
        </w:rPr>
        <w:t>January</w:t>
      </w:r>
      <w:r w:rsidRPr="00D03F3E">
        <w:rPr>
          <w:rFonts w:ascii="Times New Roman" w:hAnsi="Times New Roman"/>
          <w:color w:val="000000" w:themeColor="text1"/>
          <w:sz w:val="16"/>
          <w:szCs w:val="16"/>
        </w:rPr>
        <w:t xml:space="preserve"> 2 1943 </w:t>
      </w:r>
      <w:r w:rsidRPr="00D03F3E">
        <w:rPr>
          <w:rFonts w:ascii="Times New Roman" w:hAnsi="Times New Roman"/>
          <w:color w:val="000000" w:themeColor="text1"/>
          <w:sz w:val="16"/>
          <w:szCs w:val="16"/>
          <w:lang w:val="en-US"/>
        </w:rPr>
        <w:t>German</w:t>
      </w:r>
      <w:r w:rsidRPr="00D03F3E">
        <w:rPr>
          <w:rFonts w:ascii="Times New Roman" w:hAnsi="Times New Roman"/>
          <w:color w:val="000000" w:themeColor="text1"/>
          <w:sz w:val="16"/>
          <w:szCs w:val="16"/>
        </w:rPr>
        <w:t xml:space="preserve"> </w:t>
      </w:r>
      <w:r w:rsidRPr="00D03F3E">
        <w:rPr>
          <w:rFonts w:ascii="Times New Roman" w:hAnsi="Times New Roman"/>
          <w:color w:val="000000" w:themeColor="text1"/>
          <w:sz w:val="16"/>
          <w:szCs w:val="16"/>
          <w:lang w:val="en-US"/>
        </w:rPr>
        <w:t>troops</w:t>
      </w:r>
      <w:r w:rsidRPr="00D03F3E">
        <w:rPr>
          <w:rFonts w:ascii="Times New Roman" w:hAnsi="Times New Roman"/>
          <w:color w:val="000000" w:themeColor="text1"/>
          <w:sz w:val="16"/>
          <w:szCs w:val="16"/>
        </w:rPr>
        <w:t xml:space="preserve"> </w:t>
      </w:r>
      <w:r w:rsidRPr="00D03F3E">
        <w:rPr>
          <w:rFonts w:ascii="Times New Roman" w:hAnsi="Times New Roman"/>
          <w:color w:val="000000" w:themeColor="text1"/>
          <w:sz w:val="16"/>
          <w:szCs w:val="16"/>
          <w:lang w:val="en-US"/>
        </w:rPr>
        <w:t>in</w:t>
      </w:r>
      <w:r w:rsidRPr="00D03F3E">
        <w:rPr>
          <w:rFonts w:ascii="Times New Roman" w:hAnsi="Times New Roman"/>
          <w:color w:val="000000" w:themeColor="text1"/>
          <w:sz w:val="16"/>
          <w:szCs w:val="16"/>
        </w:rPr>
        <w:t xml:space="preserve"> </w:t>
      </w:r>
      <w:r w:rsidRPr="00D03F3E">
        <w:rPr>
          <w:rFonts w:ascii="Times New Roman" w:hAnsi="Times New Roman"/>
          <w:color w:val="000000" w:themeColor="text1"/>
          <w:sz w:val="16"/>
          <w:szCs w:val="16"/>
          <w:lang w:val="en-US"/>
        </w:rPr>
        <w:t>Caucasus</w:t>
      </w:r>
      <w:r w:rsidRPr="00D03F3E">
        <w:rPr>
          <w:rFonts w:ascii="Times New Roman" w:hAnsi="Times New Roman"/>
          <w:color w:val="000000" w:themeColor="text1"/>
          <w:sz w:val="16"/>
          <w:szCs w:val="16"/>
        </w:rPr>
        <w:t xml:space="preserve"> </w:t>
      </w:r>
      <w:r w:rsidRPr="00D03F3E">
        <w:rPr>
          <w:rFonts w:ascii="Times New Roman" w:hAnsi="Times New Roman"/>
          <w:color w:val="000000" w:themeColor="text1"/>
          <w:sz w:val="16"/>
          <w:szCs w:val="16"/>
          <w:lang w:val="en-US"/>
        </w:rPr>
        <w:t>area</w:t>
      </w:r>
      <w:r w:rsidRPr="00D03F3E">
        <w:rPr>
          <w:rFonts w:ascii="Times New Roman" w:hAnsi="Times New Roman"/>
          <w:color w:val="000000" w:themeColor="text1"/>
          <w:sz w:val="16"/>
          <w:szCs w:val="16"/>
        </w:rPr>
        <w:t xml:space="preserve"> </w:t>
      </w:r>
      <w:r w:rsidRPr="00D03F3E">
        <w:rPr>
          <w:rFonts w:ascii="Times New Roman" w:hAnsi="Times New Roman"/>
          <w:color w:val="000000" w:themeColor="text1"/>
          <w:sz w:val="16"/>
          <w:szCs w:val="16"/>
          <w:lang w:val="en-US"/>
        </w:rPr>
        <w:t>begin</w:t>
      </w:r>
      <w:r w:rsidRPr="00D03F3E">
        <w:rPr>
          <w:rFonts w:ascii="Times New Roman" w:hAnsi="Times New Roman"/>
          <w:color w:val="000000" w:themeColor="text1"/>
          <w:sz w:val="16"/>
          <w:szCs w:val="16"/>
        </w:rPr>
        <w:t xml:space="preserve"> </w:t>
      </w:r>
      <w:r w:rsidRPr="00D03F3E">
        <w:rPr>
          <w:rFonts w:ascii="Times New Roman" w:hAnsi="Times New Roman"/>
          <w:color w:val="000000" w:themeColor="text1"/>
          <w:sz w:val="16"/>
          <w:szCs w:val="16"/>
          <w:lang w:val="en-US"/>
        </w:rPr>
        <w:t>withdrawing</w:t>
      </w:r>
      <w:r w:rsidRPr="00D03F3E">
        <w:rPr>
          <w:rFonts w:ascii="Times New Roman" w:hAnsi="Times New Roman"/>
          <w:color w:val="000000" w:themeColor="text1"/>
          <w:sz w:val="16"/>
          <w:szCs w:val="16"/>
        </w:rPr>
        <w:t xml:space="preserve"> </w:t>
      </w:r>
      <w:r w:rsidRPr="00D03F3E">
        <w:rPr>
          <w:rFonts w:ascii="Times New Roman" w:hAnsi="Times New Roman"/>
          <w:color w:val="000000" w:themeColor="text1"/>
          <w:sz w:val="16"/>
          <w:szCs w:val="16"/>
          <w:lang w:val="en-US"/>
        </w:rPr>
        <w:t>northward</w:t>
      </w:r>
      <w:r w:rsidRPr="00D03F3E">
        <w:rPr>
          <w:rFonts w:ascii="Times New Roman" w:hAnsi="Times New Roman"/>
          <w:color w:val="000000" w:themeColor="text1"/>
          <w:sz w:val="16"/>
          <w:szCs w:val="16"/>
        </w:rPr>
        <w:t xml:space="preserve"> </w:t>
      </w:r>
      <w:r w:rsidRPr="00D03F3E">
        <w:rPr>
          <w:rFonts w:ascii="Times New Roman" w:hAnsi="Times New Roman"/>
          <w:color w:val="000000" w:themeColor="text1"/>
          <w:sz w:val="16"/>
          <w:szCs w:val="16"/>
          <w:lang w:val="en-US"/>
        </w:rPr>
        <w:t>through</w:t>
      </w:r>
      <w:r w:rsidRPr="00D03F3E">
        <w:rPr>
          <w:rFonts w:ascii="Times New Roman" w:hAnsi="Times New Roman"/>
          <w:color w:val="000000" w:themeColor="text1"/>
          <w:sz w:val="16"/>
          <w:szCs w:val="16"/>
        </w:rPr>
        <w:t xml:space="preserve"> </w:t>
      </w:r>
      <w:r w:rsidRPr="00D03F3E">
        <w:rPr>
          <w:rFonts w:ascii="Times New Roman" w:hAnsi="Times New Roman"/>
          <w:color w:val="000000" w:themeColor="text1"/>
          <w:sz w:val="16"/>
          <w:szCs w:val="16"/>
          <w:lang w:val="en-US"/>
        </w:rPr>
        <w:t>Rostov</w:t>
      </w:r>
      <w:r w:rsidRPr="00D03F3E">
        <w:rPr>
          <w:rFonts w:ascii="Times New Roman" w:hAnsi="Times New Roman"/>
          <w:color w:val="000000" w:themeColor="text1"/>
          <w:sz w:val="16"/>
          <w:szCs w:val="16"/>
        </w:rPr>
        <w:t xml:space="preserve"> (1037).</w:t>
      </w:r>
    </w:p>
    <w:p w14:paraId="454DC41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69AED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января 1943 мы начали наступление Кавказским фронтом (1493,126), а немцы отвод войск с Кавказа (2262).</w:t>
      </w:r>
    </w:p>
    <w:p w14:paraId="1864E57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C4CA8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января 1943 г. вышел ПРИКАЗ № 001 ОБ УПОРЯДОЧЕНИИ РАБОТЫ ПО ЭВАКУАЦИИ ВОЕННОПЛЕННЫХ С ФРОНТА</w:t>
      </w:r>
    </w:p>
    <w:p w14:paraId="259A2F8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Практика организации направления и обеспечения военнопленных на фронте и в пути в тыловые лагеря устанавливает ряд серьезных недочетов:</w:t>
      </w:r>
    </w:p>
    <w:p w14:paraId="271F08F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Военнопленные подолгу задерживаются в частях Красной Армии. С момента пленения до поступления в пункты погрузки военнопленные проходят пешком по 200—300 километров и почти не получают никакой пищи, вследствие чего прибывают резко истощенными и больными.</w:t>
      </w:r>
    </w:p>
    <w:p w14:paraId="6CA7D6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 Значительная часть военнопленных, не имея собственной теплой одежды, несмотря на мои указания, не обеспечивается из трофейного имущества.</w:t>
      </w:r>
    </w:p>
    <w:p w14:paraId="7DD446D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Военнопленные, идущие с места пленения к пунктам погрузки, часто охраняются мелкими группами бойцов или вовсе не охраняются, вследствие чего расходятся по населенным пунктам.</w:t>
      </w:r>
    </w:p>
    <w:p w14:paraId="53AFB43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Пункты сосредоточения военнопленных, а также приемные пункты НКВД, которые в соответствии с указаниями Штаба тыла Красной Армии и Главного управления продовольственного снабжения Красной Армии должны обеспечиваться фронтами продовольствием, вещдовольствием и транспортом, получают их в крайне ограниченных количествах, совершенно не удовлетворяющих минимальные нужды. Это не позволяет обеспечивать военнопленных по установленным нормам довольствия.</w:t>
      </w:r>
    </w:p>
    <w:p w14:paraId="16A0E49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ВОСО фронтов несвоевременно и в недостаточном количестве выделяют подвижной состав для отправки военнопленных в тыловые лагеря; кроме того, предоставляют вагоны, совершенно необорудованные для людских перевозок: без нар, печей, унитазов, дров и хозинвентаря.</w:t>
      </w:r>
    </w:p>
    <w:p w14:paraId="356F3DF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Вопреки положению о военнопленных, утвержденному СНК СССР, и распоряжению Главвоенсанупра, раненые и больные военнопленные не принимаются во фронтовые госпитали и направляются в приемные пункты и лагеря НКВД с общими этапами.</w:t>
      </w:r>
    </w:p>
    <w:p w14:paraId="07A8176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этим причинам значительная часть военнопленных истощается и умирает еще до отправки в тыл, а также в пути следования.</w:t>
      </w:r>
    </w:p>
    <w:p w14:paraId="56967D8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решительного устранения недочетов в обеспечении военнопленных и сохранения их как рабочей силы</w:t>
      </w:r>
    </w:p>
    <w:p w14:paraId="665A2C8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приказываю:</w:t>
      </w:r>
    </w:p>
    <w:p w14:paraId="2C6A653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Командующим фронтов:</w:t>
      </w:r>
    </w:p>
    <w:p w14:paraId="08BA081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Обеспечивать немедленную отправку военнопленных войсковыми частями в пункты сосредоточения. Для ускорения отправки использовать все виды транспорта, идущие порожняком с фронта.</w:t>
      </w:r>
    </w:p>
    <w:p w14:paraId="63D404C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Обязать командиров частей питать военнопленных в пути до передачи их в приемные пункты НКВД по нормам, утвержденным Постановлением СНК СССР № 18747874с. Колоннам военнопленных придавать походные кухни из трофейного имущества и необходимый транспорт для перевозки продуктов.</w:t>
      </w:r>
    </w:p>
    <w:p w14:paraId="57C95F7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 соответствии с положением о военнопленных, утвержденным Постановлением СНК СССР № 17987800с от 1 июля 1941 г., своевременно оказывать все виды медицинской помощи раненым и больным военнопленным.</w:t>
      </w:r>
    </w:p>
    <w:p w14:paraId="6360A2D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Категорически запретить направление в общем порядке раненых, больных, обмороженных и резко истощенных военнопленных и передачу их в приемные пункты НКВД. Эти группы военнопленных госпитализировать с последующей эвакуацией в тыловые спецгоспитали, довольствуя их по нормам, установленным для больных военнопленных.</w:t>
      </w:r>
    </w:p>
    <w:p w14:paraId="0D53CB9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Выделять достаточное количество войсковой охраны для сопровождения военнопленных с места пленения до приемных пунктов НКВД.</w:t>
      </w:r>
    </w:p>
    <w:p w14:paraId="62B5AC7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Во избежание длительных пеших переходов максимально приблизить пункты погрузки военнопленных к местам их концентрации.</w:t>
      </w:r>
    </w:p>
    <w:p w14:paraId="6EA5C71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Командирам частей при отправлении военнопленных сдавать их конвою по акту с указанием количества конвоируемых, запаса продовольствия, выданного для военнопленных и приданного колонне-эшелону имущества и транспорта. Акт о приеме военнопленных предъявить при сдаче их в приемные пункты.</w:t>
      </w:r>
    </w:p>
    <w:p w14:paraId="68D48FB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Начальникам конвоев передавать по акту все документы, изымаемые у военнопленных, для доставки их в приемные пункты НКВД.</w:t>
      </w:r>
    </w:p>
    <w:p w14:paraId="3D9ADDD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Суточный пеший переход военнопленных ограничить 25—30 километров. Через каждые 25—30 километров пешего перехода устраивать привалы-ночевки, организовывать выдачу военнопленным горячей пищи, кипятка и предоставлять возможность обогрева.</w:t>
      </w:r>
    </w:p>
    <w:p w14:paraId="793E347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Оставлять у военнопленных одежду, обувь, белье, постельные принадлежности и посуду. В случае отсутствия у военнопленных теплой одежды, обуви и индивидуальной посуды обязательно выдавать недостающее из трофейного имущества, а также из вещей убитых и умерших солдат и офицеров противника.</w:t>
      </w:r>
    </w:p>
    <w:p w14:paraId="626F702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Командующим фронтов и военных округов:</w:t>
      </w:r>
    </w:p>
    <w:p w14:paraId="682E678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в соответствии с распоряжениями штаба Главного управления тыла Красной Армии за № 24/103892 от 30.11.42 г. и Главного управления продовольственного снабжения Красной Армии за № 3911/ш от 10.12.42 г. немедленно проверить обеспеченность приемных пунктов НКВД и лагерей-распределителей продуктами питания, создать необходимые запасы на пунктах и в лагерях-распределителях для бесперебойного питания военнопленных;</w:t>
      </w:r>
    </w:p>
    <w:p w14:paraId="57476ED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полностью обеспечить приемные пункты и лагеря-распределители НКВД транспортом и хозинвентарем. В случае массового поступления военнопленных, немедленно выделять пунктам и лагерям дополнительно необходимый транспорт и инвентарь.</w:t>
      </w:r>
    </w:p>
    <w:p w14:paraId="6A73965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Начальнику ВОСО Красной Армии:</w:t>
      </w:r>
    </w:p>
    <w:p w14:paraId="6F5BE4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обеспечивать подачу необходимого количества вагонов для немедленной отправки военнопленных в лагеря; оборудовать вагоны нарами, печами, унитазами и бесперебойно снабжать топливом в пути следования; использовать для эвакуации военнопленных в тыл эшелоны, освобождающиеся из-под бое-состава;</w:t>
      </w:r>
    </w:p>
    <w:p w14:paraId="335F61A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обеспечить быстрое продвижение эшелонов в пути наравне с воинскими перевозками;</w:t>
      </w:r>
    </w:p>
    <w:p w14:paraId="6D31800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организовать в Управлении ВОСО Красной Армии диспетчерский контроль за продвижением эшелонов с военнопленными;</w:t>
      </w:r>
    </w:p>
    <w:p w14:paraId="1F08A5B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установить нормы погрузки военнопленных: в двухосные вагоны — 44—50 человек, четырехосные — 80—90 человек. Эшелоны военнопленных форми ровать не более 1500 человек в каждом;</w:t>
      </w:r>
    </w:p>
    <w:p w14:paraId="29CB3B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обеспечить бесперебойное горячее питание военнопленным и пополнение путевого запаса продовольствия на всех военно-продовольственных и питательных пунктах по продаттестатам, выдаваемым воинскими частями, приемными пунктами и лагерями НКВД;</w:t>
      </w:r>
    </w:p>
    <w:p w14:paraId="74C0D4E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 организовать безотказное снабжение военнопленных питьевой водой, обеспечить каждый двухосный вагон тремя и четырехосный — пятью ведрами.</w:t>
      </w:r>
    </w:p>
    <w:p w14:paraId="24B5523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Начальнику Главсанупра Красной Армии:</w:t>
      </w:r>
    </w:p>
    <w:p w14:paraId="5B1F611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обеспечить госпитализацию раненых, больных, обмороженных и резко истощенных военнопленных в лечебных учреждениях Красной Армии на фронте и в прифронтовой полосе;</w:t>
      </w:r>
    </w:p>
    <w:p w14:paraId="5DDCA52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организовать их немедленную эвакуацию в тыловые спецгоспитали;</w:t>
      </w:r>
    </w:p>
    <w:p w14:paraId="74B8449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для медико-санитарного обслуживания военнопленных в пути выделять необходимый медицинский персонал с запасом медикаментов. Для этих целей также использовать медицинский персонал из военнопленных;</w:t>
      </w:r>
    </w:p>
    <w:p w14:paraId="5C2C78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организовать на эвакопунктах просмотр и проверку проходящих эшелонов с военнопленными и оказание медицинской помощи заболевшим. Не могущих следовать по состоянию здоровья немедленно снимать с эшелонов и госпитализировать в ближайшие госпитали с последующей переотправкой в тыловые спецгоспитали;</w:t>
      </w:r>
    </w:p>
    <w:p w14:paraId="3111D55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проводить санитарные обработки военнопленных с дезинфекцией их личных вещей в пути следования эшелонов;</w:t>
      </w:r>
    </w:p>
    <w:p w14:paraId="1432FAE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 организовать комплекс противоэпидемических мероприятий среди военнопленных (до передачи их в лагеря НКВД).</w:t>
      </w:r>
    </w:p>
    <w:p w14:paraId="02D0002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Запретить отправление военнопленных в необорудованных под людские перевозки и неутепленных вагонах, без необходимых запасов топлива, путевого запаса продовольствия и хозинвентаря, а также неодетых или необутых по сезону.</w:t>
      </w:r>
    </w:p>
    <w:p w14:paraId="00A3A82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Заместитель Народного комиссара обороны генерал-полковник интендантской службы А. ХРУЛЕВ </w:t>
      </w:r>
      <w:r w:rsidRPr="00D03F3E">
        <w:rPr>
          <w:rFonts w:ascii="Times New Roman" w:hAnsi="Times New Roman"/>
          <w:color w:val="000000" w:themeColor="text1"/>
          <w:sz w:val="16"/>
          <w:szCs w:val="16"/>
        </w:rPr>
        <w:t>(9844).</w:t>
      </w:r>
    </w:p>
    <w:p w14:paraId="21767F9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08AC45"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января 1943 вышло Постановление ГКО № 2685 О введении персональных воинских званий военно-медицинскому и военно-ветеринарному составу Красной Армии. (7069, 92-94).</w:t>
      </w:r>
    </w:p>
    <w:p w14:paraId="19C5AE85"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C4DF36"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января 1943 вышло Постановление ГКО № 2686 О сборе трофейного имущества на фронтах и обеспечении его хранения. (7069, 95-97).</w:t>
      </w:r>
    </w:p>
    <w:p w14:paraId="4EB3EB9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62CD6F"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54700EA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EE71F5"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января 1943 вышло Постановление ГКО № 2690 [О расширении госпитальной коечной сети за счет передислокации из Ленинграда и СибВО, создания новых мест.] (7069, 121-122,123).</w:t>
      </w:r>
    </w:p>
    <w:p w14:paraId="7B96AFA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DE5A5C"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133D657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69A114"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января в ночь на 3 января 1943 три английских п/л, оснащенных управляемыми торпедами, всплыли в трех милях от порта Палермо. Лодка З-311 подорвалась на мине при подходе и погибла со всем экипажем. В 23 часю спустили торпеды. ; не прошли, а две прикрепили заряды к легкому крейсепу Ульпио Тройано и потопили его и к транспорту Вилинал, лишь слегка повредив его. Всех пятерых англичан взяли в плен (3961, 65).</w:t>
      </w:r>
    </w:p>
    <w:p w14:paraId="30554DD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98E9B5"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2C4A971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938BD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января 1943 Нач. 10 ГУ Тарасевич направил в Секретариат наркома НКАП справку N 17:</w:t>
      </w:r>
    </w:p>
    <w:p w14:paraId="6B67ED2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"Справка</w:t>
      </w:r>
    </w:p>
    <w:p w14:paraId="0D01C04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письму ГИ ВВС Репина от 4 декабря 1942 N 435390c</w:t>
      </w:r>
    </w:p>
    <w:p w14:paraId="173ACFE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Завод 30 получил устное приказание зам. наркома Дементьева по оборудованию на заводе самолета Ил-2 с изменениями по рекомендации ЦАГИ, улучшающими </w:t>
      </w:r>
      <w:r w:rsidRPr="00D03F3E">
        <w:rPr>
          <w:rFonts w:ascii="Times New Roman" w:hAnsi="Times New Roman"/>
          <w:color w:val="000000" w:themeColor="text1"/>
          <w:sz w:val="16"/>
          <w:szCs w:val="16"/>
        </w:rPr>
        <w:lastRenderedPageBreak/>
        <w:t>аэродинамические качества самолета Ил-2, в т.ч. установка обтекателя на балки РО-82.</w:t>
      </w:r>
    </w:p>
    <w:p w14:paraId="4646451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Заводом 30 изготовлены все чертежи и по ним в цехах сделаны детали.</w:t>
      </w:r>
    </w:p>
    <w:p w14:paraId="10D4F5A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 декаде января 1943 такая машина будет изготовлена и передана на испытания.</w:t>
      </w:r>
    </w:p>
    <w:p w14:paraId="54E08B9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43 передал заводу 30 комплект балок РО-82 с обтекателями для монтажа на данной машине" (1778,121).</w:t>
      </w:r>
    </w:p>
    <w:p w14:paraId="4556FE3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64255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января 1943 был подписан акт по результатам испытаний в НИИ ВВС самолета Ил-2 N 1140 и там отмечалась недостаточная дальность радиосвязи (1862).</w:t>
      </w:r>
    </w:p>
    <w:p w14:paraId="5DF9DA9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6B6FBF" w14:textId="77777777" w:rsidR="00365B5B" w:rsidRPr="00D03F3E" w:rsidRDefault="00365B5B"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 3 по 26 января 1943 на НИП АВ ВВС испытывались установки для Ил-2 заводов №32, 43 и 481, а завода №454 - с 6 по 18 февраля 1943 г. В испытаниях задействовали четыре серийных самолета Ил-2 (№301134, 301084, 301247 и 18710040) производства заводов №30 и №18.</w:t>
      </w:r>
    </w:p>
    <w:p w14:paraId="21AAD5D2" w14:textId="77777777" w:rsidR="00365B5B" w:rsidRPr="00D03F3E" w:rsidRDefault="00365B5B"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В ходе январских испытаний наилучшие результаты по удобству применения в бою, технологичности в изготовлении и простоте эксплуатации показала установка завода №481.</w:t>
      </w:r>
    </w:p>
    <w:p w14:paraId="31D98E31" w14:textId="77777777" w:rsidR="00365B5B" w:rsidRPr="00D03F3E" w:rsidRDefault="00365B5B"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Испытатели отмечали, что прицельная стрельба из УБТ на ВУБ-3 (как серийной, так и модернизированной) была затруднена из-за сильной тряска пулемета. На установках заво</w:t>
      </w:r>
      <w:r w:rsidRPr="00D03F3E">
        <w:rPr>
          <w:rFonts w:ascii="Times New Roman" w:hAnsi="Times New Roman" w:cs="Times New Roman"/>
          <w:color w:val="0070C0"/>
          <w:sz w:val="16"/>
          <w:szCs w:val="16"/>
        </w:rPr>
        <w:softHyphen/>
        <w:t>дов №481 и №43 вести прицельную стрельбу стало заметно легче: их конструкция равно</w:t>
      </w:r>
      <w:r w:rsidRPr="00D03F3E">
        <w:rPr>
          <w:rFonts w:ascii="Times New Roman" w:hAnsi="Times New Roman" w:cs="Times New Roman"/>
          <w:color w:val="0070C0"/>
          <w:sz w:val="16"/>
          <w:szCs w:val="16"/>
        </w:rPr>
        <w:softHyphen/>
        <w:t>мерно воспринимала отдачу при стрельбе, поэтому удерживать прицельную линию было легко. При этом</w:t>
      </w:r>
      <w:r w:rsidRPr="00D03F3E">
        <w:rPr>
          <w:rStyle w:val="800"/>
          <w:rFonts w:ascii="Times New Roman" w:hAnsi="Times New Roman" w:cs="Times New Roman"/>
          <w:i w:val="0"/>
          <w:iCs w:val="0"/>
          <w:color w:val="0070C0"/>
          <w:w w:val="100"/>
          <w:sz w:val="16"/>
          <w:szCs w:val="16"/>
        </w:rPr>
        <w:t xml:space="preserve"> «наибольшие прицельные углы и удобное их использование при стрельбе» </w:t>
      </w:r>
      <w:r w:rsidRPr="00D03F3E">
        <w:rPr>
          <w:rFonts w:ascii="Times New Roman" w:hAnsi="Times New Roman" w:cs="Times New Roman"/>
          <w:color w:val="0070C0"/>
          <w:sz w:val="16"/>
          <w:szCs w:val="16"/>
        </w:rPr>
        <w:t>имела установка завода №481 (вверх - 35°, вправо - 35°, влево - 50°, вниз по борту - 8°). Прицельные углы на установке завода №43 (вверх - 47°, вправо - 15°, влево - 40°, вниз по борту - 3°),</w:t>
      </w:r>
      <w:r w:rsidRPr="00D03F3E">
        <w:rPr>
          <w:rStyle w:val="800"/>
          <w:rFonts w:ascii="Times New Roman" w:hAnsi="Times New Roman" w:cs="Times New Roman"/>
          <w:i w:val="0"/>
          <w:iCs w:val="0"/>
          <w:color w:val="0070C0"/>
          <w:w w:val="100"/>
          <w:sz w:val="16"/>
          <w:szCs w:val="16"/>
        </w:rPr>
        <w:t xml:space="preserve"> «полностью использовать нельзя, поскольку прицел не имеет стабилиза</w:t>
      </w:r>
      <w:r w:rsidRPr="00D03F3E">
        <w:rPr>
          <w:rStyle w:val="800"/>
          <w:rFonts w:ascii="Times New Roman" w:hAnsi="Times New Roman" w:cs="Times New Roman"/>
          <w:i w:val="0"/>
          <w:iCs w:val="0"/>
          <w:color w:val="0070C0"/>
          <w:w w:val="100"/>
          <w:sz w:val="16"/>
          <w:szCs w:val="16"/>
        </w:rPr>
        <w:softHyphen/>
        <w:t>ции вектора собственной скорости самолета».</w:t>
      </w:r>
    </w:p>
    <w:p w14:paraId="0230AA6C" w14:textId="77777777" w:rsidR="00365B5B" w:rsidRPr="00D03F3E" w:rsidRDefault="00365B5B"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Главное отличие модернизированной установки ВУБ-3 от серийного варианта за</w:t>
      </w:r>
      <w:r w:rsidRPr="00D03F3E">
        <w:rPr>
          <w:rFonts w:ascii="Times New Roman" w:hAnsi="Times New Roman" w:cs="Times New Roman"/>
          <w:color w:val="0070C0"/>
          <w:sz w:val="16"/>
          <w:szCs w:val="16"/>
        </w:rPr>
        <w:softHyphen/>
        <w:t>ключалось в применении механического подтяга патронной ленты вместо электриче</w:t>
      </w:r>
      <w:r w:rsidRPr="00D03F3E">
        <w:rPr>
          <w:rFonts w:ascii="Times New Roman" w:hAnsi="Times New Roman" w:cs="Times New Roman"/>
          <w:color w:val="0070C0"/>
          <w:sz w:val="16"/>
          <w:szCs w:val="16"/>
        </w:rPr>
        <w:softHyphen/>
        <w:t>ского; он монтировался непосредственно в приемнике пулемета и состоял из подающей пружины, звездочки и рычага. При заправке ленты в приемник пружину требовалось заве</w:t>
      </w:r>
      <w:r w:rsidRPr="00D03F3E">
        <w:rPr>
          <w:rFonts w:ascii="Times New Roman" w:hAnsi="Times New Roman" w:cs="Times New Roman"/>
          <w:color w:val="0070C0"/>
          <w:sz w:val="16"/>
          <w:szCs w:val="16"/>
        </w:rPr>
        <w:softHyphen/>
        <w:t>сти, после чего за счет ее упругости лента про</w:t>
      </w:r>
      <w:r w:rsidRPr="00D03F3E">
        <w:rPr>
          <w:rFonts w:ascii="Times New Roman" w:hAnsi="Times New Roman" w:cs="Times New Roman"/>
          <w:color w:val="0070C0"/>
          <w:sz w:val="16"/>
          <w:szCs w:val="16"/>
        </w:rPr>
        <w:softHyphen/>
        <w:t>талкивалась в приемник. Подзавод пружины осуществлялся во время стрельбы с помощью подвижной планки в приемнике пулемета, ко</w:t>
      </w:r>
      <w:r w:rsidRPr="00D03F3E">
        <w:rPr>
          <w:rFonts w:ascii="Times New Roman" w:hAnsi="Times New Roman" w:cs="Times New Roman"/>
          <w:color w:val="0070C0"/>
          <w:sz w:val="16"/>
          <w:szCs w:val="16"/>
        </w:rPr>
        <w:softHyphen/>
        <w:t>торая при стрельбе действовала на рычаг ме</w:t>
      </w:r>
      <w:r w:rsidRPr="00D03F3E">
        <w:rPr>
          <w:rFonts w:ascii="Times New Roman" w:hAnsi="Times New Roman" w:cs="Times New Roman"/>
          <w:color w:val="0070C0"/>
          <w:sz w:val="16"/>
          <w:szCs w:val="16"/>
        </w:rPr>
        <w:softHyphen/>
        <w:t>ханизма подтяга, заводя пружину до первона</w:t>
      </w:r>
      <w:r w:rsidRPr="00D03F3E">
        <w:rPr>
          <w:rFonts w:ascii="Times New Roman" w:hAnsi="Times New Roman" w:cs="Times New Roman"/>
          <w:color w:val="0070C0"/>
          <w:sz w:val="16"/>
          <w:szCs w:val="16"/>
        </w:rPr>
        <w:softHyphen/>
        <w:t>чального состояния.</w:t>
      </w:r>
    </w:p>
    <w:p w14:paraId="2006A2B0" w14:textId="77777777" w:rsidR="00365B5B" w:rsidRPr="00D03F3E" w:rsidRDefault="00365B5B"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Отмечалось, что механический подтяг, предложенный заводом №32,</w:t>
      </w:r>
      <w:r w:rsidRPr="00D03F3E">
        <w:rPr>
          <w:rStyle w:val="800"/>
          <w:rFonts w:ascii="Times New Roman" w:hAnsi="Times New Roman" w:cs="Times New Roman"/>
          <w:i w:val="0"/>
          <w:iCs w:val="0"/>
          <w:color w:val="0070C0"/>
          <w:w w:val="100"/>
          <w:sz w:val="16"/>
          <w:szCs w:val="16"/>
        </w:rPr>
        <w:t xml:space="preserve"> «обеспечил на испытании достаточно надежную работу автоматики пулемета».</w:t>
      </w:r>
      <w:r w:rsidRPr="00D03F3E">
        <w:rPr>
          <w:rFonts w:ascii="Times New Roman" w:hAnsi="Times New Roman" w:cs="Times New Roman"/>
          <w:color w:val="0070C0"/>
          <w:sz w:val="16"/>
          <w:szCs w:val="16"/>
        </w:rPr>
        <w:t xml:space="preserve"> Как следствие, он рекомендовался к внедрению на установках других заводов, где предусматривался под- тяг патронной ленты. Основные недостатки и дефекты указывались те же самые, что и для серийной ВУБ-3.</w:t>
      </w:r>
    </w:p>
    <w:p w14:paraId="399C0F49" w14:textId="77777777" w:rsidR="00365B5B" w:rsidRPr="00D03F3E" w:rsidRDefault="00365B5B"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Установка завода №481 по сравнению с серийной ВУБ-3 или ее модернизированным вариантом была технологически проще в изго</w:t>
      </w:r>
      <w:r w:rsidRPr="00D03F3E">
        <w:rPr>
          <w:rFonts w:ascii="Times New Roman" w:hAnsi="Times New Roman" w:cs="Times New Roman"/>
          <w:color w:val="0070C0"/>
          <w:sz w:val="16"/>
          <w:szCs w:val="16"/>
        </w:rPr>
        <w:softHyphen/>
        <w:t>товлении, так как в ней отсутствовали каретка и кольцо, но требовались довольно заметные переделки самолета и пулемета. Так, для мон</w:t>
      </w:r>
      <w:r w:rsidRPr="00D03F3E">
        <w:rPr>
          <w:rFonts w:ascii="Times New Roman" w:hAnsi="Times New Roman" w:cs="Times New Roman"/>
          <w:color w:val="0070C0"/>
          <w:sz w:val="16"/>
          <w:szCs w:val="16"/>
        </w:rPr>
        <w:softHyphen/>
        <w:t>тажа установки в кабине стрелка необходимо было поставить кронштейны дуги для верхней и нижней осей, заменить серийный откидной фонарь новым - с измененной конструкцией экрана,</w:t>
      </w:r>
      <w:r w:rsidRPr="00D03F3E">
        <w:rPr>
          <w:rStyle w:val="800"/>
          <w:rFonts w:ascii="Times New Roman" w:hAnsi="Times New Roman" w:cs="Times New Roman"/>
          <w:i w:val="0"/>
          <w:iCs w:val="0"/>
          <w:color w:val="0070C0"/>
          <w:w w:val="100"/>
          <w:sz w:val="16"/>
          <w:szCs w:val="16"/>
        </w:rPr>
        <w:t xml:space="preserve"> «несущего верхнюю ось дуги»,</w:t>
      </w:r>
      <w:r w:rsidRPr="00D03F3E">
        <w:rPr>
          <w:rFonts w:ascii="Times New Roman" w:hAnsi="Times New Roman" w:cs="Times New Roman"/>
          <w:color w:val="0070C0"/>
          <w:sz w:val="16"/>
          <w:szCs w:val="16"/>
        </w:rPr>
        <w:t xml:space="preserve"> и дора</w:t>
      </w:r>
      <w:r w:rsidRPr="00D03F3E">
        <w:rPr>
          <w:rFonts w:ascii="Times New Roman" w:hAnsi="Times New Roman" w:cs="Times New Roman"/>
          <w:color w:val="0070C0"/>
          <w:sz w:val="16"/>
          <w:szCs w:val="16"/>
        </w:rPr>
        <w:softHyphen/>
        <w:t>ботать пулемет валового выпуска -</w:t>
      </w:r>
      <w:r w:rsidRPr="00D03F3E">
        <w:rPr>
          <w:rStyle w:val="800"/>
          <w:rFonts w:ascii="Times New Roman" w:hAnsi="Times New Roman" w:cs="Times New Roman"/>
          <w:i w:val="0"/>
          <w:iCs w:val="0"/>
          <w:color w:val="0070C0"/>
          <w:w w:val="100"/>
          <w:sz w:val="16"/>
          <w:szCs w:val="16"/>
        </w:rPr>
        <w:t xml:space="preserve"> «заменить штанги спускового крючка и произвести свер</w:t>
      </w:r>
      <w:r w:rsidRPr="00D03F3E">
        <w:rPr>
          <w:rStyle w:val="800"/>
          <w:rFonts w:ascii="Times New Roman" w:hAnsi="Times New Roman" w:cs="Times New Roman"/>
          <w:i w:val="0"/>
          <w:iCs w:val="0"/>
          <w:color w:val="0070C0"/>
          <w:w w:val="100"/>
          <w:sz w:val="16"/>
          <w:szCs w:val="16"/>
        </w:rPr>
        <w:softHyphen/>
        <w:t>ление отверстий в движителе подавателя пулемета».</w:t>
      </w:r>
      <w:r w:rsidRPr="00D03F3E">
        <w:rPr>
          <w:rFonts w:ascii="Times New Roman" w:hAnsi="Times New Roman" w:cs="Times New Roman"/>
          <w:color w:val="0070C0"/>
          <w:sz w:val="16"/>
          <w:szCs w:val="16"/>
        </w:rPr>
        <w:t xml:space="preserve"> Но главное - установку верхней и нижней осей дуги требовалось выполнить </w:t>
      </w:r>
      <w:r w:rsidRPr="00D03F3E">
        <w:rPr>
          <w:rStyle w:val="800"/>
          <w:rFonts w:ascii="Times New Roman" w:hAnsi="Times New Roman" w:cs="Times New Roman"/>
          <w:i w:val="0"/>
          <w:iCs w:val="0"/>
          <w:color w:val="0070C0"/>
          <w:w w:val="100"/>
          <w:sz w:val="16"/>
          <w:szCs w:val="16"/>
        </w:rPr>
        <w:t>«строго соосно».</w:t>
      </w:r>
    </w:p>
    <w:p w14:paraId="330329BA" w14:textId="77777777" w:rsidR="00365B5B" w:rsidRPr="00D03F3E" w:rsidRDefault="00365B5B"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Кроме того, новый фонарь затруднял</w:t>
      </w:r>
      <w:r w:rsidRPr="00D03F3E">
        <w:rPr>
          <w:rStyle w:val="800"/>
          <w:rFonts w:ascii="Times New Roman" w:hAnsi="Times New Roman" w:cs="Times New Roman"/>
          <w:i w:val="0"/>
          <w:iCs w:val="0"/>
          <w:color w:val="0070C0"/>
          <w:w w:val="100"/>
          <w:sz w:val="16"/>
          <w:szCs w:val="16"/>
        </w:rPr>
        <w:t xml:space="preserve"> «вы</w:t>
      </w:r>
      <w:r w:rsidRPr="00D03F3E">
        <w:rPr>
          <w:rStyle w:val="800"/>
          <w:rFonts w:ascii="Times New Roman" w:hAnsi="Times New Roman" w:cs="Times New Roman"/>
          <w:i w:val="0"/>
          <w:iCs w:val="0"/>
          <w:color w:val="0070C0"/>
          <w:w w:val="100"/>
          <w:sz w:val="16"/>
          <w:szCs w:val="16"/>
        </w:rPr>
        <w:softHyphen/>
        <w:t>броску стрелка с парашютом»,</w:t>
      </w:r>
      <w:r w:rsidRPr="00D03F3E">
        <w:rPr>
          <w:rFonts w:ascii="Times New Roman" w:hAnsi="Times New Roman" w:cs="Times New Roman"/>
          <w:color w:val="0070C0"/>
          <w:sz w:val="16"/>
          <w:szCs w:val="16"/>
        </w:rPr>
        <w:t xml:space="preserve"> а наличие дуги ухудшало доступ к отсеку с аккумулятором. К тому же наличие гибкой системы питания, ве</w:t>
      </w:r>
      <w:r w:rsidRPr="00D03F3E">
        <w:rPr>
          <w:rFonts w:ascii="Times New Roman" w:hAnsi="Times New Roman" w:cs="Times New Roman"/>
          <w:color w:val="0070C0"/>
          <w:sz w:val="16"/>
          <w:szCs w:val="16"/>
        </w:rPr>
        <w:softHyphen/>
        <w:t xml:space="preserve">совой компенсации и механического подтяга требовало довольно трудоемкой регулировки установки при эксплуатации. В то же время ее конструкция позволяла улучшить защиту стрелка со стороны задней полусферы путем </w:t>
      </w:r>
      <w:r w:rsidRPr="00D03F3E">
        <w:rPr>
          <w:rStyle w:val="800"/>
          <w:rFonts w:ascii="Times New Roman" w:hAnsi="Times New Roman" w:cs="Times New Roman"/>
          <w:i w:val="0"/>
          <w:iCs w:val="0"/>
          <w:color w:val="0070C0"/>
          <w:w w:val="100"/>
          <w:sz w:val="16"/>
          <w:szCs w:val="16"/>
        </w:rPr>
        <w:t>«постановки бронестекла и подвижной брони».</w:t>
      </w:r>
    </w:p>
    <w:p w14:paraId="1B64A5FB" w14:textId="77777777" w:rsidR="00365B5B" w:rsidRPr="00D03F3E" w:rsidRDefault="00365B5B"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 xml:space="preserve">По мнению специалистов полигона, </w:t>
      </w:r>
      <w:r w:rsidRPr="00D03F3E">
        <w:rPr>
          <w:rStyle w:val="800"/>
          <w:rFonts w:ascii="Times New Roman" w:hAnsi="Times New Roman" w:cs="Times New Roman"/>
          <w:i w:val="0"/>
          <w:iCs w:val="0"/>
          <w:color w:val="0070C0"/>
          <w:w w:val="100"/>
          <w:sz w:val="16"/>
          <w:szCs w:val="16"/>
        </w:rPr>
        <w:t>«установка Павлова завода №481 в удобстве эксплуатации, в легкости маневра является лучшей установкой».</w:t>
      </w:r>
      <w:r w:rsidRPr="00D03F3E">
        <w:rPr>
          <w:rFonts w:ascii="Times New Roman" w:hAnsi="Times New Roman" w:cs="Times New Roman"/>
          <w:color w:val="0070C0"/>
          <w:sz w:val="16"/>
          <w:szCs w:val="16"/>
        </w:rPr>
        <w:t xml:space="preserve"> Для повышения оборо</w:t>
      </w:r>
      <w:r w:rsidRPr="00D03F3E">
        <w:rPr>
          <w:rFonts w:ascii="Times New Roman" w:hAnsi="Times New Roman" w:cs="Times New Roman"/>
          <w:color w:val="0070C0"/>
          <w:sz w:val="16"/>
          <w:szCs w:val="16"/>
        </w:rPr>
        <w:softHyphen/>
        <w:t>носпособности требовалось лишь увеличить углы обстрела по горизонту на 10-15°.</w:t>
      </w:r>
    </w:p>
    <w:p w14:paraId="7F4046C0" w14:textId="77777777" w:rsidR="00365B5B" w:rsidRPr="00D03F3E" w:rsidRDefault="00365B5B"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Наиболее простой в производстве и в эксплуатационном отношении являлась уста</w:t>
      </w:r>
      <w:r w:rsidRPr="00D03F3E">
        <w:rPr>
          <w:rFonts w:ascii="Times New Roman" w:hAnsi="Times New Roman" w:cs="Times New Roman"/>
          <w:color w:val="0070C0"/>
          <w:sz w:val="16"/>
          <w:szCs w:val="16"/>
        </w:rPr>
        <w:softHyphen/>
        <w:t>новка завода №43. Она имела</w:t>
      </w:r>
      <w:r w:rsidRPr="00D03F3E">
        <w:rPr>
          <w:rStyle w:val="800"/>
          <w:rFonts w:ascii="Times New Roman" w:hAnsi="Times New Roman" w:cs="Times New Roman"/>
          <w:i w:val="0"/>
          <w:iCs w:val="0"/>
          <w:color w:val="0070C0"/>
          <w:w w:val="100"/>
          <w:sz w:val="16"/>
          <w:szCs w:val="16"/>
        </w:rPr>
        <w:t xml:space="preserve"> «крайне малое количество деталей, составляющей установку (321 деталь), при технологической простоте изготовления».</w:t>
      </w:r>
      <w:r w:rsidRPr="00D03F3E">
        <w:rPr>
          <w:rFonts w:ascii="Times New Roman" w:hAnsi="Times New Roman" w:cs="Times New Roman"/>
          <w:color w:val="0070C0"/>
          <w:sz w:val="16"/>
          <w:szCs w:val="16"/>
        </w:rPr>
        <w:t xml:space="preserve"> При этом 90 деталей и узлов уже были освоены в производстве. Отсутствие необходимости индивидуальной пригонки деталей и узлов, а также дефицитных мате</w:t>
      </w:r>
      <w:r w:rsidRPr="00D03F3E">
        <w:rPr>
          <w:rFonts w:ascii="Times New Roman" w:hAnsi="Times New Roman" w:cs="Times New Roman"/>
          <w:color w:val="0070C0"/>
          <w:sz w:val="16"/>
          <w:szCs w:val="16"/>
        </w:rPr>
        <w:softHyphen/>
        <w:t>риалов и механизмов подтяга ленты позво</w:t>
      </w:r>
      <w:r w:rsidRPr="00D03F3E">
        <w:rPr>
          <w:rFonts w:ascii="Times New Roman" w:hAnsi="Times New Roman" w:cs="Times New Roman"/>
          <w:color w:val="0070C0"/>
          <w:sz w:val="16"/>
          <w:szCs w:val="16"/>
        </w:rPr>
        <w:softHyphen/>
        <w:t>ляло развернуть массовый выпуск установки в кратчайшие сроки, в том числе</w:t>
      </w:r>
      <w:r w:rsidRPr="00D03F3E">
        <w:rPr>
          <w:rStyle w:val="800"/>
          <w:rFonts w:ascii="Times New Roman" w:hAnsi="Times New Roman" w:cs="Times New Roman"/>
          <w:i w:val="0"/>
          <w:iCs w:val="0"/>
          <w:color w:val="0070C0"/>
          <w:w w:val="100"/>
          <w:sz w:val="16"/>
          <w:szCs w:val="16"/>
        </w:rPr>
        <w:t xml:space="preserve"> «на заводах с малым механическим парком и низкой квали</w:t>
      </w:r>
      <w:r w:rsidRPr="00D03F3E">
        <w:rPr>
          <w:rStyle w:val="800"/>
          <w:rFonts w:ascii="Times New Roman" w:hAnsi="Times New Roman" w:cs="Times New Roman"/>
          <w:i w:val="0"/>
          <w:iCs w:val="0"/>
          <w:color w:val="0070C0"/>
          <w:w w:val="100"/>
          <w:sz w:val="16"/>
          <w:szCs w:val="16"/>
        </w:rPr>
        <w:softHyphen/>
        <w:t>фикацией рабсилы».</w:t>
      </w:r>
      <w:r w:rsidRPr="00D03F3E">
        <w:rPr>
          <w:rFonts w:ascii="Times New Roman" w:hAnsi="Times New Roman" w:cs="Times New Roman"/>
          <w:color w:val="0070C0"/>
          <w:sz w:val="16"/>
          <w:szCs w:val="16"/>
        </w:rPr>
        <w:t xml:space="preserve"> Кроме того, при монтаже установки в кабине Ил-2 («в</w:t>
      </w:r>
      <w:r w:rsidRPr="00D03F3E">
        <w:rPr>
          <w:rStyle w:val="800"/>
          <w:rFonts w:ascii="Times New Roman" w:hAnsi="Times New Roman" w:cs="Times New Roman"/>
          <w:i w:val="0"/>
          <w:iCs w:val="0"/>
          <w:color w:val="0070C0"/>
          <w:w w:val="100"/>
          <w:sz w:val="16"/>
          <w:szCs w:val="16"/>
        </w:rPr>
        <w:t xml:space="preserve"> месте крепления ВУБ-3»)</w:t>
      </w:r>
      <w:r w:rsidRPr="00D03F3E">
        <w:rPr>
          <w:rFonts w:ascii="Times New Roman" w:hAnsi="Times New Roman" w:cs="Times New Roman"/>
          <w:color w:val="0070C0"/>
          <w:sz w:val="16"/>
          <w:szCs w:val="16"/>
        </w:rPr>
        <w:t xml:space="preserve"> не требовалось никаких переделок фюзеляжа.</w:t>
      </w:r>
    </w:p>
    <w:p w14:paraId="5FE73945" w14:textId="77777777" w:rsidR="00365B5B" w:rsidRPr="00D03F3E" w:rsidRDefault="00365B5B"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Отличительной чертой установки завода №43 являлось крайне простое и быстрое заря</w:t>
      </w:r>
      <w:r w:rsidRPr="00D03F3E">
        <w:rPr>
          <w:rFonts w:ascii="Times New Roman" w:hAnsi="Times New Roman" w:cs="Times New Roman"/>
          <w:color w:val="0070C0"/>
          <w:sz w:val="16"/>
          <w:szCs w:val="16"/>
        </w:rPr>
        <w:softHyphen/>
        <w:t xml:space="preserve">жание. Патронный ящик мог устанавливаться </w:t>
      </w:r>
      <w:r w:rsidRPr="00D03F3E">
        <w:rPr>
          <w:rStyle w:val="800"/>
          <w:rFonts w:ascii="Times New Roman" w:hAnsi="Times New Roman" w:cs="Times New Roman"/>
          <w:i w:val="0"/>
          <w:iCs w:val="0"/>
          <w:color w:val="0070C0"/>
          <w:w w:val="100"/>
          <w:sz w:val="16"/>
          <w:szCs w:val="16"/>
        </w:rPr>
        <w:t>«со свешенной через левую стенку горловины патронной лентой».</w:t>
      </w:r>
      <w:r w:rsidRPr="00D03F3E">
        <w:rPr>
          <w:rFonts w:ascii="Times New Roman" w:hAnsi="Times New Roman" w:cs="Times New Roman"/>
          <w:color w:val="0070C0"/>
          <w:sz w:val="16"/>
          <w:szCs w:val="16"/>
        </w:rPr>
        <w:t xml:space="preserve"> Фрагмент ленты (18-20 патрон) через верхнюю крышку вводился в приемник, зацеплялся первым патроном (или звеном) за звеньевырез и нижним концом соединялся с лентой, уложенной в патронный ящик. Тем самым</w:t>
      </w:r>
      <w:r w:rsidRPr="00D03F3E">
        <w:rPr>
          <w:rStyle w:val="800"/>
          <w:rFonts w:ascii="Times New Roman" w:hAnsi="Times New Roman" w:cs="Times New Roman"/>
          <w:i w:val="0"/>
          <w:iCs w:val="0"/>
          <w:color w:val="0070C0"/>
          <w:w w:val="100"/>
          <w:sz w:val="16"/>
          <w:szCs w:val="16"/>
        </w:rPr>
        <w:t xml:space="preserve"> «исключалась необходимость в протаскивании переднего конца ее через приемник, что при работе зимой связано с по</w:t>
      </w:r>
      <w:r w:rsidRPr="00D03F3E">
        <w:rPr>
          <w:rStyle w:val="800"/>
          <w:rFonts w:ascii="Times New Roman" w:hAnsi="Times New Roman" w:cs="Times New Roman"/>
          <w:i w:val="0"/>
          <w:iCs w:val="0"/>
          <w:color w:val="0070C0"/>
          <w:w w:val="100"/>
          <w:sz w:val="16"/>
          <w:szCs w:val="16"/>
        </w:rPr>
        <w:softHyphen/>
        <w:t>терей времени ввиду выскакивания ленты из рук».</w:t>
      </w:r>
      <w:r w:rsidRPr="00D03F3E">
        <w:rPr>
          <w:rFonts w:ascii="Times New Roman" w:hAnsi="Times New Roman" w:cs="Times New Roman"/>
          <w:color w:val="0070C0"/>
          <w:sz w:val="16"/>
          <w:szCs w:val="16"/>
        </w:rPr>
        <w:t xml:space="preserve"> Снятие патронного ящика также было простым и удобным.</w:t>
      </w:r>
    </w:p>
    <w:p w14:paraId="448D0048" w14:textId="77777777" w:rsidR="00365B5B" w:rsidRPr="00D03F3E" w:rsidRDefault="00365B5B"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Оригинально и удачно был решен вопрос сбора гильз и звеньев - при помощи фартука, подвешиваемого к фюзеляжу внутри самолета. Констатировалось, что фартук</w:t>
      </w:r>
      <w:r w:rsidRPr="00D03F3E">
        <w:rPr>
          <w:rStyle w:val="800"/>
          <w:rFonts w:ascii="Times New Roman" w:hAnsi="Times New Roman" w:cs="Times New Roman"/>
          <w:i w:val="0"/>
          <w:iCs w:val="0"/>
          <w:color w:val="0070C0"/>
          <w:w w:val="100"/>
          <w:sz w:val="16"/>
          <w:szCs w:val="16"/>
        </w:rPr>
        <w:t xml:space="preserve"> «устраняет необходимость наблюдения за наполнением мешков, предназначенных для этой цели на других установках, и устраняет возможность получения в бою задержек по причине несво</w:t>
      </w:r>
      <w:r w:rsidRPr="00D03F3E">
        <w:rPr>
          <w:rStyle w:val="800"/>
          <w:rFonts w:ascii="Times New Roman" w:hAnsi="Times New Roman" w:cs="Times New Roman"/>
          <w:i w:val="0"/>
          <w:iCs w:val="0"/>
          <w:color w:val="0070C0"/>
          <w:w w:val="100"/>
          <w:sz w:val="16"/>
          <w:szCs w:val="16"/>
        </w:rPr>
        <w:softHyphen/>
        <w:t>евременной смены мешка».</w:t>
      </w:r>
      <w:r w:rsidRPr="00D03F3E">
        <w:rPr>
          <w:rFonts w:ascii="Times New Roman" w:hAnsi="Times New Roman" w:cs="Times New Roman"/>
          <w:color w:val="0070C0"/>
          <w:sz w:val="16"/>
          <w:szCs w:val="16"/>
        </w:rPr>
        <w:t xml:space="preserve"> Поскольку в кон</w:t>
      </w:r>
      <w:r w:rsidRPr="00D03F3E">
        <w:rPr>
          <w:rFonts w:ascii="Times New Roman" w:hAnsi="Times New Roman" w:cs="Times New Roman"/>
          <w:color w:val="0070C0"/>
          <w:sz w:val="16"/>
          <w:szCs w:val="16"/>
        </w:rPr>
        <w:softHyphen/>
        <w:t>струкции установки отсутствовали какие-либо регулировки, то это значительно упрощало ее эксплуатацию.</w:t>
      </w:r>
    </w:p>
    <w:p w14:paraId="7050996E" w14:textId="77777777" w:rsidR="00365B5B" w:rsidRPr="00D03F3E" w:rsidRDefault="00365B5B" w:rsidP="00D03F3E">
      <w:pPr>
        <w:pStyle w:val="28"/>
        <w:shd w:val="clear" w:color="auto" w:fill="auto"/>
        <w:spacing w:before="0" w:line="240" w:lineRule="auto"/>
        <w:jc w:val="both"/>
        <w:rPr>
          <w:rFonts w:ascii="Times New Roman" w:hAnsi="Times New Roman" w:cs="Times New Roman"/>
          <w:color w:val="0070C0"/>
          <w:sz w:val="16"/>
          <w:szCs w:val="16"/>
        </w:rPr>
      </w:pPr>
      <w:r w:rsidRPr="00D03F3E">
        <w:rPr>
          <w:rStyle w:val="2750"/>
          <w:rFonts w:ascii="Times New Roman" w:hAnsi="Times New Roman" w:cs="Times New Roman"/>
          <w:i w:val="0"/>
          <w:iCs w:val="0"/>
          <w:color w:val="0070C0"/>
          <w:w w:val="100"/>
          <w:sz w:val="16"/>
          <w:szCs w:val="16"/>
        </w:rPr>
        <w:t>В отчете НИП АВ по результатам испы</w:t>
      </w:r>
      <w:r w:rsidRPr="00D03F3E">
        <w:rPr>
          <w:rStyle w:val="2750"/>
          <w:rFonts w:ascii="Times New Roman" w:hAnsi="Times New Roman" w:cs="Times New Roman"/>
          <w:i w:val="0"/>
          <w:iCs w:val="0"/>
          <w:color w:val="0070C0"/>
          <w:w w:val="100"/>
          <w:sz w:val="16"/>
          <w:szCs w:val="16"/>
        </w:rPr>
        <w:softHyphen/>
        <w:t>таний отмечалось, что</w:t>
      </w:r>
      <w:r w:rsidRPr="00D03F3E">
        <w:rPr>
          <w:rFonts w:ascii="Times New Roman" w:hAnsi="Times New Roman" w:cs="Times New Roman"/>
          <w:color w:val="0070C0"/>
          <w:sz w:val="16"/>
          <w:szCs w:val="16"/>
        </w:rPr>
        <w:t xml:space="preserve"> «из всех 4-х установок представляет интерес установка завода № 481 (тов. Павлова) по следующим причинам:</w:t>
      </w:r>
    </w:p>
    <w:p w14:paraId="5F1AF18B" w14:textId="77777777" w:rsidR="00365B5B" w:rsidRPr="00D03F3E" w:rsidRDefault="00365B5B"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 большие углы обстрела, чем установки</w:t>
      </w:r>
      <w:r w:rsidRPr="00D03F3E">
        <w:rPr>
          <w:rStyle w:val="8pt3"/>
          <w:rFonts w:ascii="Times New Roman" w:hAnsi="Times New Roman" w:cs="Times New Roman"/>
          <w:i w:val="0"/>
          <w:iCs w:val="0"/>
          <w:color w:val="0070C0"/>
          <w:spacing w:val="0"/>
        </w:rPr>
        <w:t xml:space="preserve"> </w:t>
      </w:r>
      <w:r w:rsidRPr="00D03F3E">
        <w:rPr>
          <w:rFonts w:ascii="Times New Roman" w:hAnsi="Times New Roman"/>
          <w:color w:val="0070C0"/>
          <w:sz w:val="16"/>
          <w:szCs w:val="16"/>
        </w:rPr>
        <w:t>завода №№ 43 и 30;</w:t>
      </w:r>
    </w:p>
    <w:p w14:paraId="27B14095" w14:textId="77777777" w:rsidR="00365B5B" w:rsidRPr="00D03F3E" w:rsidRDefault="00365B5B" w:rsidP="00D03F3E">
      <w:pPr>
        <w:pStyle w:val="28"/>
        <w:shd w:val="clear" w:color="auto" w:fill="auto"/>
        <w:tabs>
          <w:tab w:val="left" w:pos="495"/>
        </w:tabs>
        <w:spacing w:before="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б) имеет механизм стабилизации скоро</w:t>
      </w:r>
      <w:r w:rsidRPr="00D03F3E">
        <w:rPr>
          <w:rFonts w:ascii="Times New Roman" w:hAnsi="Times New Roman" w:cs="Times New Roman"/>
          <w:color w:val="0070C0"/>
          <w:sz w:val="16"/>
          <w:szCs w:val="16"/>
        </w:rPr>
        <w:softHyphen/>
        <w:t>сти и коллиматорный прицел, что дает преи</w:t>
      </w:r>
      <w:r w:rsidRPr="00D03F3E">
        <w:rPr>
          <w:rFonts w:ascii="Times New Roman" w:hAnsi="Times New Roman" w:cs="Times New Roman"/>
          <w:color w:val="0070C0"/>
          <w:sz w:val="16"/>
          <w:szCs w:val="16"/>
        </w:rPr>
        <w:softHyphen/>
        <w:t>мущество перед установкой завода № 43;</w:t>
      </w:r>
    </w:p>
    <w:p w14:paraId="56075ADC" w14:textId="77777777" w:rsidR="00365B5B" w:rsidRPr="00D03F3E" w:rsidRDefault="00365B5B" w:rsidP="00D03F3E">
      <w:pPr>
        <w:pStyle w:val="28"/>
        <w:shd w:val="clear" w:color="auto" w:fill="auto"/>
        <w:tabs>
          <w:tab w:val="left" w:pos="481"/>
        </w:tabs>
        <w:spacing w:before="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в) установка исключительно легка в ма</w:t>
      </w:r>
      <w:r w:rsidRPr="00D03F3E">
        <w:rPr>
          <w:rFonts w:ascii="Times New Roman" w:hAnsi="Times New Roman" w:cs="Times New Roman"/>
          <w:color w:val="0070C0"/>
          <w:sz w:val="16"/>
          <w:szCs w:val="16"/>
        </w:rPr>
        <w:softHyphen/>
        <w:t>неврировании, удобна в ведении прицельной стрельбы, имея преимущество в этом перед установками заводов №№ 43,32 и 30;</w:t>
      </w:r>
    </w:p>
    <w:p w14:paraId="733595BE" w14:textId="77777777" w:rsidR="00365B5B" w:rsidRPr="00D03F3E" w:rsidRDefault="00365B5B" w:rsidP="00D03F3E">
      <w:pPr>
        <w:pStyle w:val="28"/>
        <w:shd w:val="clear" w:color="auto" w:fill="auto"/>
        <w:tabs>
          <w:tab w:val="left" w:pos="462"/>
        </w:tabs>
        <w:spacing w:before="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г) установка проста в производстве, так как имеет трубчатую сварную конструкцию, что дает преимущество перед установками заводов №№ 30 и 32».</w:t>
      </w:r>
    </w:p>
    <w:p w14:paraId="69BE8279" w14:textId="77777777" w:rsidR="00365B5B" w:rsidRPr="00D03F3E" w:rsidRDefault="00365B5B"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Style w:val="5f1"/>
          <w:rFonts w:eastAsia="Arial Narrow"/>
          <w:color w:val="0070C0"/>
          <w:sz w:val="16"/>
          <w:szCs w:val="16"/>
        </w:rPr>
        <w:t xml:space="preserve">Требовалось упростить механизм подтяга </w:t>
      </w:r>
      <w:r w:rsidRPr="00D03F3E">
        <w:rPr>
          <w:rStyle w:val="800"/>
          <w:rFonts w:ascii="Times New Roman" w:hAnsi="Times New Roman" w:cs="Times New Roman"/>
          <w:i w:val="0"/>
          <w:iCs w:val="0"/>
          <w:color w:val="0070C0"/>
          <w:w w:val="100"/>
          <w:sz w:val="16"/>
          <w:szCs w:val="16"/>
        </w:rPr>
        <w:t>«по типу установки №32 (ВУБ-3 модернизи</w:t>
      </w:r>
      <w:r w:rsidRPr="00D03F3E">
        <w:rPr>
          <w:rStyle w:val="800"/>
          <w:rFonts w:ascii="Times New Roman" w:hAnsi="Times New Roman" w:cs="Times New Roman"/>
          <w:i w:val="0"/>
          <w:iCs w:val="0"/>
          <w:color w:val="0070C0"/>
          <w:w w:val="100"/>
          <w:sz w:val="16"/>
          <w:szCs w:val="16"/>
        </w:rPr>
        <w:softHyphen/>
        <w:t>рованная)»,</w:t>
      </w:r>
      <w:r w:rsidRPr="00D03F3E">
        <w:rPr>
          <w:rStyle w:val="5f1"/>
          <w:rFonts w:eastAsia="Arial Narrow"/>
          <w:color w:val="0070C0"/>
          <w:sz w:val="16"/>
          <w:szCs w:val="16"/>
        </w:rPr>
        <w:t xml:space="preserve"> уменьшить габариты патронного ящика, сделав его выше и уже (при сохране</w:t>
      </w:r>
      <w:r w:rsidRPr="00D03F3E">
        <w:rPr>
          <w:rStyle w:val="5f1"/>
          <w:rFonts w:eastAsia="Arial Narrow"/>
          <w:color w:val="0070C0"/>
          <w:sz w:val="16"/>
          <w:szCs w:val="16"/>
        </w:rPr>
        <w:softHyphen/>
        <w:t>нии боекомплекта), а также изменить сборку гильз и звеньев - по типу установки завода №43.</w:t>
      </w:r>
    </w:p>
    <w:p w14:paraId="4CA03DE3" w14:textId="77777777" w:rsidR="00365B5B" w:rsidRPr="00D03F3E" w:rsidRDefault="00365B5B"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Style w:val="5f1"/>
          <w:rFonts w:eastAsia="Arial Narrow"/>
          <w:color w:val="0070C0"/>
          <w:sz w:val="16"/>
          <w:szCs w:val="16"/>
        </w:rPr>
        <w:t>В заключении отчета сообщалось следу</w:t>
      </w:r>
      <w:r w:rsidRPr="00D03F3E">
        <w:rPr>
          <w:rStyle w:val="5f1"/>
          <w:rFonts w:eastAsia="Arial Narrow"/>
          <w:color w:val="0070C0"/>
          <w:sz w:val="16"/>
          <w:szCs w:val="16"/>
        </w:rPr>
        <w:softHyphen/>
        <w:t>ющее:</w:t>
      </w:r>
    </w:p>
    <w:p w14:paraId="3A7316D1" w14:textId="77777777" w:rsidR="00365B5B" w:rsidRPr="00D03F3E" w:rsidRDefault="00365B5B" w:rsidP="00D03F3E">
      <w:pPr>
        <w:pStyle w:val="28"/>
        <w:shd w:val="clear" w:color="auto" w:fill="auto"/>
        <w:spacing w:before="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«1. Серийная установка завода № 30 вто</w:t>
      </w:r>
      <w:r w:rsidRPr="00D03F3E">
        <w:rPr>
          <w:rFonts w:ascii="Times New Roman" w:hAnsi="Times New Roman" w:cs="Times New Roman"/>
          <w:color w:val="0070C0"/>
          <w:sz w:val="16"/>
          <w:szCs w:val="16"/>
        </w:rPr>
        <w:softHyphen/>
        <w:t>ричных полигонных испытаний не выдержала вследствие ненадежной работы.</w:t>
      </w:r>
    </w:p>
    <w:p w14:paraId="6C3F123C" w14:textId="77777777" w:rsidR="00365B5B" w:rsidRPr="00D03F3E" w:rsidRDefault="00365B5B" w:rsidP="00D03F3E">
      <w:pPr>
        <w:pStyle w:val="28"/>
        <w:shd w:val="clear" w:color="auto" w:fill="auto"/>
        <w:tabs>
          <w:tab w:val="left" w:pos="486"/>
        </w:tabs>
        <w:spacing w:before="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2. Установка завода № 43 полигонных испытаний не выдержала из-за малых углов обстрела, стесненного положения стрелка в кабине, отсутствия стабилизации вектора собственной скорости и сваливания пулемета.</w:t>
      </w:r>
    </w:p>
    <w:p w14:paraId="4AAB7E7C" w14:textId="77777777" w:rsidR="00365B5B" w:rsidRPr="00D03F3E" w:rsidRDefault="00365B5B" w:rsidP="00D03F3E">
      <w:pPr>
        <w:pStyle w:val="28"/>
        <w:shd w:val="clear" w:color="auto" w:fill="auto"/>
        <w:tabs>
          <w:tab w:val="left" w:pos="433"/>
        </w:tabs>
        <w:spacing w:before="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3. Установка завода № 32 (тов. Торопова) и № 481 полигонные испытания выдержали.</w:t>
      </w:r>
    </w:p>
    <w:p w14:paraId="30202A19" w14:textId="77777777" w:rsidR="00365B5B" w:rsidRPr="00D03F3E" w:rsidRDefault="00365B5B" w:rsidP="00D03F3E">
      <w:pPr>
        <w:pStyle w:val="28"/>
        <w:shd w:val="clear" w:color="auto" w:fill="auto"/>
        <w:tabs>
          <w:tab w:val="left" w:pos="466"/>
        </w:tabs>
        <w:spacing w:before="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4. НИП АВ считает целесообразным при</w:t>
      </w:r>
      <w:r w:rsidRPr="00D03F3E">
        <w:rPr>
          <w:rFonts w:ascii="Times New Roman" w:hAnsi="Times New Roman" w:cs="Times New Roman"/>
          <w:color w:val="0070C0"/>
          <w:sz w:val="16"/>
          <w:szCs w:val="16"/>
        </w:rPr>
        <w:softHyphen/>
        <w:t>нять к производству установку завода № 481, конструктора Павлова, которая имеет пре</w:t>
      </w:r>
      <w:r w:rsidRPr="00D03F3E">
        <w:rPr>
          <w:rFonts w:ascii="Times New Roman" w:hAnsi="Times New Roman" w:cs="Times New Roman"/>
          <w:color w:val="0070C0"/>
          <w:sz w:val="16"/>
          <w:szCs w:val="16"/>
        </w:rPr>
        <w:softHyphen/>
        <w:t>имущества перед установкой завода № 32 в более свободном маневрировании в простоте и дешевизне изготовления, а также допускает бронирование стрелка прозрачной броней».</w:t>
      </w:r>
    </w:p>
    <w:p w14:paraId="5CFBCCC2" w14:textId="77777777" w:rsidR="00365B5B" w:rsidRPr="00D03F3E" w:rsidRDefault="00365B5B"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Style w:val="5f1"/>
          <w:rFonts w:eastAsia="Arial Narrow"/>
          <w:color w:val="0070C0"/>
          <w:sz w:val="16"/>
          <w:szCs w:val="16"/>
        </w:rPr>
        <w:t>Однако в серию установка завода №481 все-таки не попала. При утверждении 29 ян</w:t>
      </w:r>
      <w:r w:rsidRPr="00D03F3E">
        <w:rPr>
          <w:rStyle w:val="5f1"/>
          <w:rFonts w:eastAsia="Arial Narrow"/>
          <w:color w:val="0070C0"/>
          <w:sz w:val="16"/>
          <w:szCs w:val="16"/>
        </w:rPr>
        <w:softHyphen/>
        <w:t>варя 1943 г. материалов отчета по испытаниям главный инженер ВВС КА генерал-лейтенант Репин наложил резолюцию:</w:t>
      </w:r>
      <w:r w:rsidRPr="00D03F3E">
        <w:rPr>
          <w:rStyle w:val="800"/>
          <w:rFonts w:ascii="Times New Roman" w:hAnsi="Times New Roman" w:cs="Times New Roman"/>
          <w:i w:val="0"/>
          <w:iCs w:val="0"/>
          <w:color w:val="0070C0"/>
          <w:w w:val="100"/>
          <w:sz w:val="16"/>
          <w:szCs w:val="16"/>
        </w:rPr>
        <w:t xml:space="preserve"> «Раз обе уста</w:t>
      </w:r>
      <w:r w:rsidRPr="00D03F3E">
        <w:rPr>
          <w:rStyle w:val="800"/>
          <w:rFonts w:ascii="Times New Roman" w:hAnsi="Times New Roman" w:cs="Times New Roman"/>
          <w:i w:val="0"/>
          <w:iCs w:val="0"/>
          <w:color w:val="0070C0"/>
          <w:w w:val="100"/>
          <w:sz w:val="16"/>
          <w:szCs w:val="16"/>
        </w:rPr>
        <w:softHyphen/>
        <w:t>новки и Торопова, и Павлова выдержали испы</w:t>
      </w:r>
      <w:r w:rsidRPr="00D03F3E">
        <w:rPr>
          <w:rStyle w:val="800"/>
          <w:rFonts w:ascii="Times New Roman" w:hAnsi="Times New Roman" w:cs="Times New Roman"/>
          <w:i w:val="0"/>
          <w:iCs w:val="0"/>
          <w:color w:val="0070C0"/>
          <w:w w:val="100"/>
          <w:sz w:val="16"/>
          <w:szCs w:val="16"/>
        </w:rPr>
        <w:softHyphen/>
        <w:t>тания, то необходимо производить установки Торопова, для производства которых приспосо</w:t>
      </w:r>
      <w:r w:rsidRPr="00D03F3E">
        <w:rPr>
          <w:rStyle w:val="800"/>
          <w:rFonts w:ascii="Times New Roman" w:hAnsi="Times New Roman" w:cs="Times New Roman"/>
          <w:i w:val="0"/>
          <w:iCs w:val="0"/>
          <w:color w:val="0070C0"/>
          <w:w w:val="100"/>
          <w:sz w:val="16"/>
          <w:szCs w:val="16"/>
        </w:rPr>
        <w:softHyphen/>
        <w:t>блено серийное производство».</w:t>
      </w:r>
      <w:r w:rsidRPr="00D03F3E">
        <w:rPr>
          <w:rStyle w:val="5f1"/>
          <w:rFonts w:eastAsia="Arial Narrow"/>
          <w:color w:val="0070C0"/>
          <w:sz w:val="16"/>
          <w:szCs w:val="16"/>
        </w:rPr>
        <w:t xml:space="preserve"> Данное реше</w:t>
      </w:r>
      <w:r w:rsidRPr="00D03F3E">
        <w:rPr>
          <w:rStyle w:val="5f1"/>
          <w:rFonts w:eastAsia="Arial Narrow"/>
          <w:color w:val="0070C0"/>
          <w:sz w:val="16"/>
          <w:szCs w:val="16"/>
        </w:rPr>
        <w:softHyphen/>
        <w:t>ние не понравилось дирекции завода №481 и главному конструктору Павлову. Последовала даже жалоба секретарю ЦК ВКП(б) Маленкову.</w:t>
      </w:r>
    </w:p>
    <w:p w14:paraId="42EB19D9" w14:textId="77777777" w:rsidR="00365B5B" w:rsidRPr="00D03F3E" w:rsidRDefault="00365B5B" w:rsidP="00D03F3E">
      <w:pPr>
        <w:pStyle w:val="11c"/>
        <w:shd w:val="clear" w:color="auto" w:fill="auto"/>
        <w:spacing w:after="0" w:line="240" w:lineRule="auto"/>
        <w:jc w:val="both"/>
        <w:rPr>
          <w:rStyle w:val="5f1"/>
          <w:rFonts w:eastAsia="Arial Narrow"/>
          <w:color w:val="0070C0"/>
          <w:sz w:val="16"/>
          <w:szCs w:val="16"/>
        </w:rPr>
      </w:pPr>
      <w:r w:rsidRPr="00D03F3E">
        <w:rPr>
          <w:rStyle w:val="5f1"/>
          <w:rFonts w:eastAsia="Arial Narrow"/>
          <w:color w:val="0070C0"/>
          <w:sz w:val="16"/>
          <w:szCs w:val="16"/>
        </w:rPr>
        <w:t>Надо отдать должное генералу Репину: в этой довольно непростой обстановке он про</w:t>
      </w:r>
      <w:r w:rsidRPr="00D03F3E">
        <w:rPr>
          <w:rStyle w:val="5f1"/>
          <w:rFonts w:eastAsia="Arial Narrow"/>
          <w:color w:val="0070C0"/>
          <w:sz w:val="16"/>
          <w:szCs w:val="16"/>
        </w:rPr>
        <w:softHyphen/>
        <w:t>демонстрировал весьма приличные «навыки» политической борьбы и хорошие способности обращать любую ситуацию по возможности в свою пользу (19879)..</w:t>
      </w:r>
    </w:p>
    <w:p w14:paraId="504B7ED6" w14:textId="77777777" w:rsidR="00365B5B" w:rsidRPr="00D03F3E" w:rsidRDefault="00365B5B" w:rsidP="00D03F3E">
      <w:pPr>
        <w:pStyle w:val="11c"/>
        <w:shd w:val="clear" w:color="auto" w:fill="auto"/>
        <w:spacing w:after="0" w:line="240" w:lineRule="auto"/>
        <w:jc w:val="both"/>
        <w:rPr>
          <w:rStyle w:val="5f1"/>
          <w:rFonts w:eastAsia="Arial Narrow"/>
          <w:color w:val="0070C0"/>
          <w:sz w:val="16"/>
          <w:szCs w:val="16"/>
        </w:rPr>
      </w:pPr>
    </w:p>
    <w:p w14:paraId="5542C397" w14:textId="7C46BB9F"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января 1943 был утвержден Акт по результатам совместных заводских и гос. испытаний теплового антиобледенителя на самолете Ил-4 N 52306 производства завода 23:</w:t>
      </w:r>
    </w:p>
    <w:p w14:paraId="7D566CA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Цель испытаний:</w:t>
      </w:r>
    </w:p>
    <w:p w14:paraId="7793BCC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Снять тепловые характеристики антиобледенителей крыльев и хвостового оперения с различными источниками тепла.</w:t>
      </w:r>
    </w:p>
    <w:p w14:paraId="79BE046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Определить эффективность работы антиобледенителей по удалению образовавшегося в полете льда на передних кромках крыльев и хвостового оперения.</w:t>
      </w:r>
    </w:p>
    <w:p w14:paraId="09BC6CE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Определить равномерность и эффективность смачивания смотровых стекол козырька летчика новыми опрыскивателями измененной конструкции.</w:t>
      </w:r>
    </w:p>
    <w:p w14:paraId="1CAA2F9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Объект испытаний</w:t>
      </w:r>
    </w:p>
    <w:p w14:paraId="47F04F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постановления ГКО, приказа Наркома от 02 июля 1942 и предписания 10 ГУ от 25.08.48 завод 23 совместно с ЛИИ спроектировал и установил на самолет Ил-4 N 052306:</w:t>
      </w:r>
    </w:p>
    <w:p w14:paraId="691E431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Тепловой антиобледенитель на крыльях с источниками тепла от выхлопного коллектора и подвесного калорифера.</w:t>
      </w:r>
    </w:p>
    <w:p w14:paraId="48FFA8B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Тепловой обледенить на хвостовое оперение с источником тепла от паровой установки и подвесного калорифера.</w:t>
      </w:r>
    </w:p>
    <w:p w14:paraId="12F8172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Новый опрыскиватель антиобледенителя смотровых стекол кабины летчика.</w:t>
      </w:r>
    </w:p>
    <w:p w14:paraId="529DD0A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Работа антиобледенителей крыльев и хвостового оперения основана на принципе обогрева теплым воздухом их передних кромок.</w:t>
      </w:r>
    </w:p>
    <w:p w14:paraId="0B5A25B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Работа нового опрыскивателя смотровых стекол основана на принципе смачивания их антифризами.</w:t>
      </w:r>
    </w:p>
    <w:p w14:paraId="1C663DF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Заключение</w:t>
      </w:r>
    </w:p>
    <w:p w14:paraId="19640E1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Рекомендовать для оборудования серийных самолетов Ил-4 тепловой антиобледенитель на крылья и хвостовое оперение с подвесными калориферами, как более легкий по весу и простой в производстве и эксплуатации.</w:t>
      </w:r>
    </w:p>
    <w:p w14:paraId="2E7C53C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5. Установленные на смотровые стекла козырька л опрыскиватель измененной конструкции испытания выдержала удовлетворительно."</w:t>
      </w:r>
    </w:p>
    <w:p w14:paraId="72A6DC9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 и ЛИС 23 Попов, ви 14 отд. НИИ ВВС Белов, вед. и ЛИИ Тер-Акопян, Усачев, вед. л ЛИС 23 Подолкин (2094).</w:t>
      </w:r>
    </w:p>
    <w:p w14:paraId="0668C0B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B68ACA" w14:textId="77777777" w:rsidR="00E56A12" w:rsidRPr="00D03F3E" w:rsidRDefault="00E56A12"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3/15 января 1943 года вышел приказ № 6/НВ/591с НКБ</w:t>
      </w:r>
    </w:p>
    <w:p w14:paraId="24F764D1" w14:textId="77777777" w:rsidR="00E56A12" w:rsidRPr="00D03F3E" w:rsidRDefault="00E56A12"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Организовать в системе Строительно-монтажного треста № 1 НКБ завод по производству ж/б корпусов авиабомб АБ-100-85-НГ, присвоив этому заводу № 1 Треста № 1 НКБ (5803, 73-74).</w:t>
      </w:r>
    </w:p>
    <w:p w14:paraId="41E35C19" w14:textId="77777777" w:rsidR="00E56A12" w:rsidRPr="00D03F3E" w:rsidRDefault="00E56A12"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51116F"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2316ADD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16B9E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января 1943 на ЧКЗ началась разработка рабочих чертежей Су-152 и всех конструкторов перевели на казарменное положение. Работали 10 дней (4411,13).</w:t>
      </w:r>
    </w:p>
    <w:p w14:paraId="5AE7061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E0C5FD"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3 января 1943 года решением начальника ГАУ КА генерал-полковника артиллерии Яковлева, наркома танковой промышленности Зальцмана и наркома вооружения Устинова назначили рассмотрение проектной документации и маке</w:t>
      </w:r>
      <w:r w:rsidRPr="00D03F3E">
        <w:rPr>
          <w:rFonts w:ascii="Times New Roman" w:hAnsi="Times New Roman"/>
          <w:color w:val="000000" w:themeColor="text1"/>
          <w:sz w:val="16"/>
          <w:szCs w:val="16"/>
        </w:rPr>
        <w:softHyphen/>
        <w:t>та. Происходило оно на территории ЧКЗ, и это было уже не просто заключение по макету, а соревнование с проектами, которые представило КБ Кировского завода. Задержка проектирования ЗИК-20 и отсутствие согласованности между двумя заводами привели к тому, что у свердловской САУ появился челябин</w:t>
      </w:r>
      <w:r w:rsidRPr="00D03F3E">
        <w:rPr>
          <w:rFonts w:ascii="Times New Roman" w:hAnsi="Times New Roman"/>
          <w:color w:val="000000" w:themeColor="text1"/>
          <w:sz w:val="16"/>
          <w:szCs w:val="16"/>
        </w:rPr>
        <w:softHyphen/>
        <w:t>ский конкурент.</w:t>
      </w:r>
    </w:p>
    <w:p w14:paraId="291878DE" w14:textId="77777777" w:rsidR="00E56A12" w:rsidRPr="00D03F3E" w:rsidRDefault="00E56A12" w:rsidP="00D03F3E">
      <w:pPr>
        <w:pStyle w:val="a3"/>
        <w:rPr>
          <w:color w:val="000000" w:themeColor="text1"/>
          <w:lang w:val="ru-RU"/>
        </w:rPr>
      </w:pPr>
      <w:r w:rsidRPr="00D03F3E">
        <w:rPr>
          <w:color w:val="000000" w:themeColor="text1"/>
          <w:lang w:val="ru-RU"/>
        </w:rPr>
        <w:t>Заключения по проектам были уполно</w:t>
      </w:r>
      <w:r w:rsidRPr="00D03F3E">
        <w:rPr>
          <w:color w:val="000000" w:themeColor="text1"/>
          <w:lang w:val="ru-RU"/>
        </w:rPr>
        <w:softHyphen/>
        <w:t>мочены произвести А.А. Горегляд и Ж.Я. Котин (от НКТП), а также П.Ф. Соломонов (от ГАУ). Интересен тот факт, что СКБ-2 Кировского завода представило не один проект, а два, отличавшиеся друг от друга корпусами. По итогам изучения проектов было подготовлено следую</w:t>
      </w:r>
      <w:r w:rsidRPr="00D03F3E">
        <w:rPr>
          <w:color w:val="000000" w:themeColor="text1"/>
          <w:lang w:val="ru-RU"/>
        </w:rPr>
        <w:softHyphen/>
        <w:t>щее заключение:</w:t>
      </w:r>
    </w:p>
    <w:p w14:paraId="2AE19D2A"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Style w:val="Bodytext145"/>
          <w:rFonts w:ascii="Times New Roman" w:hAnsi="Times New Roman"/>
          <w:color w:val="000000" w:themeColor="text1"/>
          <w:sz w:val="16"/>
          <w:szCs w:val="16"/>
        </w:rPr>
        <w:t>«1) Проект завода №9, представленный на рассмотрение, был разра</w:t>
      </w:r>
      <w:r w:rsidRPr="00D03F3E">
        <w:rPr>
          <w:rStyle w:val="Bodytext145"/>
          <w:rFonts w:ascii="Times New Roman" w:hAnsi="Times New Roman"/>
          <w:color w:val="000000" w:themeColor="text1"/>
          <w:sz w:val="16"/>
          <w:szCs w:val="16"/>
        </w:rPr>
        <w:softHyphen/>
        <w:t>ботан полнее (включительно до рабочих чертежей), нежели проект Кировского завода</w:t>
      </w:r>
    </w:p>
    <w:p w14:paraId="2C5716CC" w14:textId="77777777" w:rsidR="00E56A12" w:rsidRPr="00D03F3E" w:rsidRDefault="00E56A12" w:rsidP="00D03F3E">
      <w:pPr>
        <w:pStyle w:val="Bodytext141"/>
        <w:shd w:val="clear" w:color="auto" w:fill="auto"/>
        <w:tabs>
          <w:tab w:val="left" w:pos="570"/>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2. Проект завода №9 требовал значительных переделок 152-мм гауби</w:t>
      </w:r>
      <w:r w:rsidRPr="00D03F3E">
        <w:rPr>
          <w:rStyle w:val="Bodytext145"/>
          <w:i w:val="0"/>
          <w:iCs w:val="0"/>
          <w:color w:val="000000" w:themeColor="text1"/>
          <w:sz w:val="16"/>
          <w:szCs w:val="16"/>
        </w:rPr>
        <w:softHyphen/>
        <w:t>цы-пушки обр. 1937 года (снятие дульного тормоза, новый тормоз отката и так далее), что противоречило ТТТ ГАУ Красной Армии.</w:t>
      </w:r>
    </w:p>
    <w:p w14:paraId="24124EFA" w14:textId="77777777" w:rsidR="00E56A12" w:rsidRPr="00D03F3E" w:rsidRDefault="00E56A12" w:rsidP="00D03F3E">
      <w:pPr>
        <w:pStyle w:val="Bodytext141"/>
        <w:shd w:val="clear" w:color="auto" w:fill="auto"/>
        <w:tabs>
          <w:tab w:val="left" w:pos="589"/>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3. Вес самохода по проекту завода №9 достигал 47,5—48 тонн и имел большие габариты.</w:t>
      </w:r>
    </w:p>
    <w:p w14:paraId="6D6C8F81" w14:textId="77777777" w:rsidR="00E56A12" w:rsidRPr="00D03F3E" w:rsidRDefault="00E56A12" w:rsidP="00D03F3E">
      <w:pPr>
        <w:pStyle w:val="Bodytext141"/>
        <w:shd w:val="clear" w:color="auto" w:fill="auto"/>
        <w:tabs>
          <w:tab w:val="left" w:pos="555"/>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4. Исправление недостатков, указанных выше (пункты 2 и 3) требова</w:t>
      </w:r>
      <w:r w:rsidRPr="00D03F3E">
        <w:rPr>
          <w:rStyle w:val="Bodytext145"/>
          <w:i w:val="0"/>
          <w:iCs w:val="0"/>
          <w:color w:val="000000" w:themeColor="text1"/>
          <w:sz w:val="16"/>
          <w:szCs w:val="16"/>
        </w:rPr>
        <w:softHyphen/>
        <w:t>ло больших переделок и переработки рабочих чертежей, как корпу</w:t>
      </w:r>
      <w:r w:rsidRPr="00D03F3E">
        <w:rPr>
          <w:rStyle w:val="Bodytext145"/>
          <w:i w:val="0"/>
          <w:iCs w:val="0"/>
          <w:color w:val="000000" w:themeColor="text1"/>
          <w:sz w:val="16"/>
          <w:szCs w:val="16"/>
        </w:rPr>
        <w:softHyphen/>
        <w:t>са, так и системы.</w:t>
      </w:r>
    </w:p>
    <w:p w14:paraId="78CA3B06" w14:textId="77777777" w:rsidR="00E56A12" w:rsidRPr="00D03F3E" w:rsidRDefault="00E56A12" w:rsidP="00D03F3E">
      <w:pPr>
        <w:pStyle w:val="Bodytext141"/>
        <w:shd w:val="clear" w:color="auto" w:fill="auto"/>
        <w:tabs>
          <w:tab w:val="left" w:pos="574"/>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5. Проект Кировского завода, представленный в двух вариантах, был только частично доведен до рабочих чертежей, причем некоторые узлы (например, рамка, цапфенная обойма, подъемный механизм) требовали значительной переделки, например, подъемный механизм был принят от ЗИС-5, не удовлетворявший требованиям прочности.</w:t>
      </w:r>
    </w:p>
    <w:p w14:paraId="01475C6E" w14:textId="77777777" w:rsidR="00E56A12" w:rsidRPr="00D03F3E" w:rsidRDefault="00E56A12" w:rsidP="00D03F3E">
      <w:pPr>
        <w:pStyle w:val="Bodytext141"/>
        <w:shd w:val="clear" w:color="auto" w:fill="auto"/>
        <w:tabs>
          <w:tab w:val="left" w:pos="574"/>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6. Первый вариант Кировского завода (корпус удлинен на 450 мм) соз</w:t>
      </w:r>
      <w:r w:rsidRPr="00D03F3E">
        <w:rPr>
          <w:rStyle w:val="Bodytext145"/>
          <w:i w:val="0"/>
          <w:iCs w:val="0"/>
          <w:color w:val="000000" w:themeColor="text1"/>
          <w:sz w:val="16"/>
          <w:szCs w:val="16"/>
        </w:rPr>
        <w:softHyphen/>
        <w:t>давал затруднения при развертывании валового производства, так как обработка его бортовых листов на существующих на заводе №200 агрегатных станках была невозможна и, кроме того, приня</w:t>
      </w:r>
      <w:r w:rsidRPr="00D03F3E">
        <w:rPr>
          <w:rStyle w:val="Bodytext145"/>
          <w:i w:val="0"/>
          <w:iCs w:val="0"/>
          <w:color w:val="000000" w:themeColor="text1"/>
          <w:sz w:val="16"/>
          <w:szCs w:val="16"/>
        </w:rPr>
        <w:softHyphen/>
        <w:t>тое размещение трех передних катков (увеличено расстояние меж</w:t>
      </w:r>
      <w:r w:rsidRPr="00D03F3E">
        <w:rPr>
          <w:rStyle w:val="Bodytext145"/>
          <w:i w:val="0"/>
          <w:iCs w:val="0"/>
          <w:color w:val="000000" w:themeColor="text1"/>
          <w:sz w:val="16"/>
          <w:szCs w:val="16"/>
        </w:rPr>
        <w:softHyphen/>
        <w:t>ду ними) было спорно, ибо это создавало понижение проходимости самохода, особенно на топких участках и в условиях осенней и ве</w:t>
      </w:r>
      <w:r w:rsidRPr="00D03F3E">
        <w:rPr>
          <w:rStyle w:val="Bodytext145"/>
          <w:i w:val="0"/>
          <w:iCs w:val="0"/>
          <w:color w:val="000000" w:themeColor="text1"/>
          <w:sz w:val="16"/>
          <w:szCs w:val="16"/>
        </w:rPr>
        <w:softHyphen/>
        <w:t>сенней распутицы.</w:t>
      </w:r>
    </w:p>
    <w:p w14:paraId="29B19632" w14:textId="77777777" w:rsidR="00E56A12" w:rsidRPr="00D03F3E" w:rsidRDefault="00E56A12" w:rsidP="00D03F3E">
      <w:pPr>
        <w:pStyle w:val="Bodytext141"/>
        <w:shd w:val="clear" w:color="auto" w:fill="auto"/>
        <w:tabs>
          <w:tab w:val="left" w:pos="560"/>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7. Второй вариант Кировского завода вносил меньше всего переделок в валовое артиллерийское и танковое производство, был рационален по своей форме, компоновке боевого отделения, весу и габаритам, но требовал доработки значительного количества чертежей.</w:t>
      </w:r>
    </w:p>
    <w:p w14:paraId="1CDBB26A"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Комиссия пришла к выводу, что изготовление самохода нужно прово</w:t>
      </w:r>
      <w:r w:rsidRPr="00D03F3E">
        <w:rPr>
          <w:rStyle w:val="Bodytext145"/>
          <w:i w:val="0"/>
          <w:iCs w:val="0"/>
          <w:color w:val="000000" w:themeColor="text1"/>
          <w:sz w:val="16"/>
          <w:szCs w:val="16"/>
        </w:rPr>
        <w:softHyphen/>
        <w:t>дить по второму варианту Кировского завода, для чего проект необходимо довести до рабочих чертежей и проверить их изготовлением деревянного макета» (17484).</w:t>
      </w:r>
    </w:p>
    <w:p w14:paraId="33585EF8" w14:textId="77777777" w:rsidR="00E56A12" w:rsidRPr="00D03F3E" w:rsidRDefault="00E56A12" w:rsidP="00D03F3E">
      <w:pPr>
        <w:spacing w:after="0" w:line="240" w:lineRule="auto"/>
        <w:jc w:val="both"/>
        <w:rPr>
          <w:rFonts w:ascii="Times New Roman" w:hAnsi="Times New Roman"/>
          <w:color w:val="000000" w:themeColor="text1"/>
          <w:sz w:val="16"/>
          <w:szCs w:val="16"/>
        </w:rPr>
      </w:pPr>
    </w:p>
    <w:p w14:paraId="604012BE" w14:textId="77777777" w:rsidR="000E0662" w:rsidRPr="00D03F3E" w:rsidRDefault="000E066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3 января 1943 года состоялся показ проектов «истребителя ДОТ-ов». КБ завода №9, в которое к этому времени было переформировано КБ завода №8, предлагало вариант ЗИК-20 с использованием шасси КВ-1с. Это позволило снизить боевую массу САУ, но она все равно оказалась большой – 47–48 тонн. Не понравилась представителям ГАУ КА идея Ф.Ф. Петрова переделать для установки орудие МЛ-20, что усложняло производство. В итоге от ЗИК-20 заказчики отказались, несмотря на то, что к тому моменту КБ завода №9 успело подготовить рабочие чертежи и макет рубки.</w:t>
      </w:r>
    </w:p>
    <w:p w14:paraId="151BDF86" w14:textId="77777777" w:rsidR="000E0662" w:rsidRPr="00D03F3E" w:rsidRDefault="000E066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СКБ-2 Челябинского Кировского завода представило сразу два варианта проекта КВ-14, работы по которым возглавлял Л.С. Троянов. К сожалению, информация о первом варианте сохранилась лишь в виде текстового описания. Согласно ему, машина базировалась на удлиненном на 450 мм шасси КВ-1с. При этом количество опорных катков оставалось прежним, увеличивалось лишь расстояние между ними. Такой вариант комиссию не устроил, поскольку с производством настолько длинных корпусов могли возникнуть проблемы, а увеличенное расстояние между катками ухудшало проходимость машины по мягким грунтам.</w:t>
      </w:r>
    </w:p>
    <w:p w14:paraId="695AE767" w14:textId="77777777" w:rsidR="000E0662" w:rsidRPr="00D03F3E" w:rsidRDefault="000E066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Победителем был признан второй вариант КВ-14. В нем шасси КВ-1с сохранялось в наиболее неизменном виде, как и орудие. Кроме того, эта машина получалась наименее тяжелой: согласно расчетам, её боевая масса составляла 45,5 тонн. Это было больше, чем у КВ-1с, но меньше, чем у проекта завода №9. Кроме того, боевое отделение САУ получилось более удачным с точки зрения компоновки. Неудивительно, что именно этот вариант и был выбран, хотя документация по нему ещё требовала большой доработки (17696).</w:t>
      </w:r>
    </w:p>
    <w:p w14:paraId="5F6C3E72" w14:textId="77777777" w:rsidR="000E0662" w:rsidRPr="00D03F3E" w:rsidRDefault="000E0662" w:rsidP="00D03F3E">
      <w:pPr>
        <w:spacing w:after="0" w:line="240" w:lineRule="auto"/>
        <w:jc w:val="both"/>
        <w:rPr>
          <w:rFonts w:ascii="Times New Roman" w:eastAsia="Times New Roman" w:hAnsi="Times New Roman"/>
          <w:color w:val="000000" w:themeColor="text1"/>
          <w:sz w:val="16"/>
          <w:szCs w:val="16"/>
          <w:lang w:eastAsia="ru-RU"/>
        </w:rPr>
      </w:pPr>
    </w:p>
    <w:p w14:paraId="56A4880F" w14:textId="77777777" w:rsidR="000E0662" w:rsidRPr="00D03F3E" w:rsidRDefault="000E066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3 января 1943 года самоходные установки СУ-35 погрузили на эшелон и отправили в Москву. С заводом было заключено соглашение на выпуск 300 СУ-35 ценой 200 000 рублей за штуку, по 100 самоходных установок в месяц. На деле в январе планы по изготовлению СУ-35 оказались невыполнимыми. Ситуацию усугубили простои производства, связанные с отсутствием топлива и электроэнергии. Это сказалось на выпуске не только на СУ-35, но и на Т-34. По состоянию на 13 января завод не сдал ни одного Т-34, на 22 число было сдано 5 танков, из них 4 радийных. Всего же за январь удалось изготовить 50 Т-34, из них 25 радийных.</w:t>
      </w:r>
    </w:p>
    <w:p w14:paraId="01048FD4" w14:textId="77777777" w:rsidR="000E0662" w:rsidRPr="00D03F3E" w:rsidRDefault="000E066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Еще более сложной ситуация оказалась с СУ-35. После выпуска установочной партии потребовалось вносить ряд изменений в чертежи и техусловия. Работа «на коленке», как это случилось с установочной партией, для машин основного выпуска не годилась, а никакого задела с декабря не осталось. В результате при плане в 100 машин за январь удалось выпустить всего 32 штуки. Больше того, к 30 января ни одной машины заказчиком принято не было. Связано это было с тем, что завод в конце января срочно занялся выпуском Т-34. Фактически эти СУ-35 доделывали в феврале. Что же касается февральской программы, то ее начали выполнять только с 10 числа.</w:t>
      </w:r>
    </w:p>
    <w:p w14:paraId="270E6C78" w14:textId="77777777" w:rsidR="000E0662" w:rsidRPr="00D03F3E" w:rsidRDefault="000E066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Проблемы, которые завод испытывал с производством двух типов машин одновременно, вынудили НКТП поменять приоритеты. Поскольку Т-34 к тому моменту изготовлялись уже на пяти заводах, а объем выпуска этих танков на УЗТМ и так был невысоким, наверху решили отдать преимущество производству СУ-35. По этой причине с 10 по 20 февраля в Свердловске выпускали только СУ-35, а первые 6 Т-34 построили лишь 21 числа. В результате в этом месяце завод смог сдать 100 СУ-35, а Т-34 фактически было сдано 9 штук, поскольку башен для них завод не получил. Доделывали танки уже в марте: к 5 числу было готово 39 машин, из них 20 радийных. В марте ситуация повторилась: большую половину месяца завод вообще не занимался Т-34, сконцентрировавшись на выпуске СУ-35. Благодаря этому план по выпуску 100 САУ удалось выполнить (17685).</w:t>
      </w:r>
    </w:p>
    <w:p w14:paraId="6F63F0C3" w14:textId="77777777" w:rsidR="000E0662" w:rsidRPr="00D03F3E" w:rsidRDefault="000E0662" w:rsidP="00D03F3E">
      <w:pPr>
        <w:spacing w:after="0" w:line="240" w:lineRule="auto"/>
        <w:jc w:val="both"/>
        <w:rPr>
          <w:rFonts w:ascii="Times New Roman" w:eastAsia="Times New Roman" w:hAnsi="Times New Roman"/>
          <w:color w:val="000000" w:themeColor="text1"/>
          <w:sz w:val="16"/>
          <w:szCs w:val="16"/>
          <w:lang w:eastAsia="ru-RU"/>
        </w:rPr>
      </w:pPr>
    </w:p>
    <w:p w14:paraId="681864E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января 1943 года была подготовлена справка:</w:t>
      </w:r>
    </w:p>
    <w:p w14:paraId="0AE313E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Строительство завода № 75 НКВ – ст. Юрга Томской ж/д (9269).</w:t>
      </w:r>
    </w:p>
    <w:p w14:paraId="447EA08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188 – Новосибирск</w:t>
      </w:r>
    </w:p>
    <w:p w14:paraId="48E0B28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88 НКВ – бывш. № 8-ф (9269).</w:t>
      </w:r>
    </w:p>
    <w:p w14:paraId="6F2CF4C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B83291" w14:textId="77777777" w:rsidR="008C030A" w:rsidRPr="00D03F3E" w:rsidRDefault="008C030A"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января 1943 года на территории ЧКЗ происходило рассмотрение деревянного макета 1:1 ЗИК-20, и это было уже не просто заключение по макету, а соревнование с проектами, которые представило КБ Кировского завода. По итогам сравнения челябинская машина, получившая заводское обозначение КВ-14, оказалась лучше и проще свердловской (15806).</w:t>
      </w:r>
    </w:p>
    <w:p w14:paraId="7778B346" w14:textId="77777777" w:rsidR="008C030A" w:rsidRPr="00D03F3E" w:rsidRDefault="008C030A" w:rsidP="00D03F3E">
      <w:pPr>
        <w:pStyle w:val="ae"/>
        <w:shd w:val="clear" w:color="auto" w:fill="FFFFFF"/>
        <w:spacing w:before="0" w:after="0"/>
        <w:jc w:val="both"/>
        <w:rPr>
          <w:color w:val="000000" w:themeColor="text1"/>
          <w:sz w:val="16"/>
          <w:szCs w:val="16"/>
        </w:rPr>
      </w:pPr>
    </w:p>
    <w:p w14:paraId="194D2F7D"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января 1943 в целях усиления работ по стацио</w:t>
      </w:r>
      <w:r w:rsidRPr="00D03F3E">
        <w:rPr>
          <w:rFonts w:ascii="Times New Roman" w:hAnsi="Times New Roman"/>
          <w:color w:val="0070C0"/>
          <w:sz w:val="16"/>
          <w:szCs w:val="16"/>
        </w:rPr>
        <w:softHyphen/>
        <w:t>нарным газогенераторам в НАТИ создается специальная группа. В нее временно переводят инженеров техно</w:t>
      </w:r>
      <w:r w:rsidRPr="00D03F3E">
        <w:rPr>
          <w:rFonts w:ascii="Times New Roman" w:hAnsi="Times New Roman"/>
          <w:color w:val="0070C0"/>
          <w:sz w:val="16"/>
          <w:szCs w:val="16"/>
        </w:rPr>
        <w:softHyphen/>
        <w:t>логического отдела: Козловского, Листгартена и Ка</w:t>
      </w:r>
      <w:r w:rsidRPr="00D03F3E">
        <w:rPr>
          <w:rFonts w:ascii="Times New Roman" w:hAnsi="Times New Roman"/>
          <w:color w:val="0070C0"/>
          <w:sz w:val="16"/>
          <w:szCs w:val="16"/>
        </w:rPr>
        <w:softHyphen/>
        <w:t>домцеву. Тематику работ по стационарным газогене</w:t>
      </w:r>
      <w:r w:rsidRPr="00D03F3E">
        <w:rPr>
          <w:rFonts w:ascii="Times New Roman" w:hAnsi="Times New Roman"/>
          <w:color w:val="0070C0"/>
          <w:sz w:val="16"/>
          <w:szCs w:val="16"/>
        </w:rPr>
        <w:softHyphen/>
        <w:t>раторам включают в план работ газогенераторного отдела (22518).</w:t>
      </w:r>
    </w:p>
    <w:p w14:paraId="4123966B" w14:textId="77777777" w:rsidR="00365B5B" w:rsidRPr="00D03F3E" w:rsidRDefault="00365B5B" w:rsidP="00D03F3E">
      <w:pPr>
        <w:spacing w:after="0" w:line="240" w:lineRule="auto"/>
        <w:jc w:val="both"/>
        <w:rPr>
          <w:rFonts w:ascii="Times New Roman" w:hAnsi="Times New Roman"/>
          <w:color w:val="0070C0"/>
          <w:sz w:val="16"/>
          <w:szCs w:val="16"/>
        </w:rPr>
      </w:pPr>
    </w:p>
    <w:p w14:paraId="6C82730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января 1943 вышло Постановление ГКО № 2691 О мерах обеспечения топливом электростанций Куйбышевэнерго.РГАНИР, Фонд ГКО, д. 75, лл. 124-126, 127 (11012).</w:t>
      </w:r>
    </w:p>
    <w:p w14:paraId="63838AE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7515D7"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4ED3A2F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207B22"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01209C2D"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5B140F23"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января наши наступающие войска внезапным ударом овладели городом и железнодорожной станцией Моздок, а также городом Малгобек.».</w:t>
      </w:r>
    </w:p>
    <w:p w14:paraId="2B9592AD"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течение ночи на 3 января наши войска в районе Среднего Дона, юго-западнее и южнее Сталинграда, на Центральном фронте и на Северном Кавказе продолжали вести наступательные бои на прежних направлениях.</w:t>
      </w:r>
    </w:p>
    <w:p w14:paraId="2428B770"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Сталинграда наши войска вели огневой бой и разведку противника. В городе наши штурмовые отряды выбили немцев из нескольких зданий, 11 дзотов и 18 блиндажей. Уничтожено до роты вражеских солдат. Северо-западнее Сталинграда бойцы Н-ской части истребили более 100 гитлеровцев и подбили 3 немецких танка.</w:t>
      </w:r>
    </w:p>
    <w:p w14:paraId="49120D31"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и южнее Сталинграда наши войска продолжали наступление. Противник, стремясь задержать наступление советских войск, оставляет на выгодных рубежах и в населённых пунктах сильные заслоны. Наши бойцы уничтожают вражеские заслоны и успешно продвигаются вперёд. На одном участке наши части разгромили остатки румынской пехотной дивизии и окружили немецкий гарнизон в населённом пункте. На другом участке танкисты Н-ской части, преследуя отступающего противника, уничтожили более 200 немецких солдат и офицеров, 8 орудий, 23 автомашины и захватили свыше 100 пленных.</w:t>
      </w:r>
    </w:p>
    <w:p w14:paraId="5490F1E8"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Дона наши войска, преодолевая сопротивление противника и уничтожая его живую силу и технику, продвинулись вперёд и заняли ряд населённых пунктов. На одном участке немецкая пехота и 20 танков контратаковали нашу наступающую часть. Огнём советских артиллеристов и бронебойщиков было уничтожено 7 вражеских танков. Остальные танки противника отступили. Немецкая пехота, оставшись без прикрытия танков, также пыталась отойти, но была настигнута нашими танкистами и уничтожена. На поле боя осталось до 400 вражеских трупов и много различного оружия. На другом участке наши подразделения заняли населённый пункт, захватили три самоходных орудия, 23 автомашины и другие трофеи.</w:t>
      </w:r>
    </w:p>
    <w:p w14:paraId="579D3AB4"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наши войска вели активные боевые действия. В районе к северу от Великих Лук бойцы под командованием тов. Дьяконова овладели сильноукреплённым узлом обороны противника. Захвачены пленные и трофеи.</w:t>
      </w:r>
    </w:p>
    <w:p w14:paraId="45E1FB09"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западнее Ржева немецкая пехота контратаковала позиции, обороняемые Н-ской частью. Контратака гитлеровцев была отбита. Оставив на поле боя 7 подбитых танков, противник отошёл на исходные позиции.</w:t>
      </w:r>
    </w:p>
    <w:p w14:paraId="0968547A"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Юго-восточнее Нальчика наши войска продолжали продвигаться вперёд. Бойцы Н-ской части заняли населённый пункт и захватили 3 немецких танка, 2 бронемашины и 4 орудия. На другом участке разгромлены две роты вражеской пехоты. Захвачены трофеи и пленные.</w:t>
      </w:r>
    </w:p>
    <w:p w14:paraId="027D7563"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Несколько партизанских отрядов Минской области за десять дней пустили под откос три воинских эшелона противника. Разбито 2 паровоза и 28 вагонов. В результате крушения поездов уничтожено несколько сот гитлеровцев. Партизанские отряды, действующие в Белостокской области, провели ряд успешных боевых операций, в ходе которых истребили до 1.000 вражеских солдат и офицеров.</w:t>
      </w:r>
    </w:p>
    <w:p w14:paraId="220CF8C2"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над советскими военнопленными в хуторе Малахов, Ростовской области: «После изгнания немцев схутора здесь было обнаружено 7 трупов красноармейцев, зверски замученных фашистами. Пленному красноармейцу Александру Ильичу Зубко гитлеровцы выкололи глаза, выбили зубы и изрезали лицо. Остальным пленным немецкие палачи размозжили головы и изуродовали лица до такой степени, что их невозможно было опознать». Акт подписали: гвардии капитан Любимов, гвардии капитан Маскаев, гвардии капитан Ведерников, гвардии военфельдшер Галкин и житель хутора Иванков.</w:t>
      </w:r>
    </w:p>
    <w:p w14:paraId="66B0013E"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Французские патриоты в районе Руана вывели из строя 30 паровозов и организовали столкновение двух немецких поездов. В Лэссее свободные стрелки пустили под откос немецкий воинский эшелон.</w:t>
      </w:r>
    </w:p>
    <w:p w14:paraId="092CA568"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крушения убито много немецко-фашистских оккупантов.» (14998).</w:t>
      </w:r>
    </w:p>
    <w:p w14:paraId="10D24041" w14:textId="77777777" w:rsidR="008C030A" w:rsidRPr="00D03F3E" w:rsidRDefault="008C030A" w:rsidP="00D03F3E">
      <w:pPr>
        <w:spacing w:after="0" w:line="240" w:lineRule="auto"/>
        <w:jc w:val="both"/>
        <w:rPr>
          <w:rFonts w:ascii="Times New Roman" w:hAnsi="Times New Roman"/>
          <w:color w:val="000000" w:themeColor="text1"/>
          <w:sz w:val="16"/>
          <w:szCs w:val="16"/>
        </w:rPr>
      </w:pPr>
    </w:p>
    <w:p w14:paraId="6CF7BD4D"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77261BF2"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3 января наши войска в районе Среднего Дона, юго-западнее и южнее Сталинграда, на Центральном фронте и на Северном Кавказе вели наступательные бои на прежних направлениях. Наши наступающие войска внезапным ударом овладели городом и железнодорожной станцией Моздок, а также городом Малгобек.</w:t>
      </w:r>
    </w:p>
    <w:p w14:paraId="0C0AFF30"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27 декабря 1942 года по 2 января 1943 года включительно, в воздушных боях и на аэродромах уничтожено 266 немецких самолётов, в том числе в районе Сталинграда — 98 транспортных самолётов. Наши потери за это же время — 122 самолёта.</w:t>
      </w:r>
    </w:p>
    <w:p w14:paraId="1CEC9A0C"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января частями нашей авиации на различных участках фронта уничтожено или повреждено 10 немецких танков, до 30 автомашин с войсками и грузами, подавлен огонь 2 артиллерийских батарей, рассеяно и частью уничтожено до роты пехоты противника.</w:t>
      </w:r>
    </w:p>
    <w:p w14:paraId="3BDE8E62"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Сталинграда наши войска вели артиллерийский обстрел вражеских позиций. В заводском районе советские штурмовые отряды проникли к укреплениям противника и забросали их гранатами. На другом участке наши разведчики взорвали склад боеприпасов и несколько десятков вражеских дзотов и блиндажей. В течение дня уничтожено до 400 немецких солдат и офицеров. Северо-западнее Сталинграда наши подразделения внезапно атаковали и заняли окопы противника.</w:t>
      </w:r>
    </w:p>
    <w:p w14:paraId="64091F24"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и южнее Сталинграда наши войска, преодолевая сопротивление немцев, продвигались вперёд. Противник, понёсший огромные потери, спешно вводит в бой авиачасти, используя их в качестве пехоты. При взятии Дубовского и Тормосина советские войска захватили 15 складов, из них 9 с боеприпасами, отдельно эшелон с боеприпасами, 1 миллион снарядов, 20 миллионов патронов, 15 танков, 150 автомашин, несколько тысяч сапёрных лопат и другие трофеи. Кроме того, захвачено 8.000 голов рогатого скота, отобранного при отступлении немецко-фашистскими захватчиками у мирного населения.</w:t>
      </w:r>
    </w:p>
    <w:p w14:paraId="4CFC843D"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Дона наши войска продолжали продвигаться вперёд и заняли несколько населённых пунктов. На одном участке советские бойцы, выйдя в тыл противнику, захватили немецкую артиллерийскую батарею, 10 станковых пулемётов, подбили танк и истребили более 300 вражеских солдат и офицеров. Н-ская мотострелковая часть, действующая в районе, Обливской, перерезала пути отхода немцам, нанесла им большие потери в живой силе и подбила 16 немецких танков. Другая наша часть овладела тремя населёнными пунктами. На поле боя осталось более 100 вражеских трупов, 6 подбитых танков, 3 орудия и 4 автомашины. Взятые в плен немецкие солдаты показали, что их дивизия недавно была спешно переброшенана советско-германский фронт из Франции.</w:t>
      </w:r>
    </w:p>
    <w:p w14:paraId="0E6A020A"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наши войска юго-западнее города Великие Луки, сломив ожесточённое сопротивление противника, овладели укреплённым населённым пунктом. На подступах и на улицах этого населённого пункта осталось много вражеских трупов и вооружения.</w:t>
      </w:r>
    </w:p>
    <w:p w14:paraId="13DCE000"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западнее Ржева пехота противника под прикрытием 12 танков контратаковала участок, который обороняет подразделение под командованием тов.Михайлова. В результате боя немцы потеряли 6 танков и были отброшены на исходные позиции.</w:t>
      </w:r>
    </w:p>
    <w:p w14:paraId="1B8A137A"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части на Северном Кавказе продолжали вести бои с противником и выбили немцев из нескольких населённых пунктов. В этих боях уничтожено до 500 немецких солдат и офицеров, сожжено 7 и подбито 9 немецких танков, уничтожено 21 противотанковое орудие, 103 огневые точки, 13 автомашин и 3 шестиствольных миномёта. Захвачены 15 орудий, 15 пулемётов, много ручного оружия и боеприпасов, а также пленные.</w:t>
      </w:r>
    </w:p>
    <w:p w14:paraId="1B1A00FF"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Немецкое командование упорно отрицает факт занятия советскими войсками города Великие Луки. В сводке главной ставки Гитлера от 2 января говорится: «Гарнизон опорного пункта Великие Луки, оказывая упорное сопротивление, отбил непрерывно повторяющиеся атаки Советов».</w:t>
      </w:r>
    </w:p>
    <w:p w14:paraId="4FA4E9AA"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Немецкий гарнизон в Великих Луках уже не оказывает ни упорного, ни даже пассивного сопротивления. Вот уже три дня, как в этом советском городе нет ни одного вооружённого немца. Немецкий гарнизон, не пожелавший сложить оружия, полностью истреблён. Нашими войсками, занявшими Великие Луки, по предварительным данным, захвачено 17 танков, 47 орудий, много миномётов, из них 33 шестиствольных миномёта, 136 пулемётов, 400 автомашин, 42 радиостанции, много стрелкового оружия, склады с боеприпасами, продовольствием, инженерным и другим военным имуществом. Учёт трофеев продолжается. Кому-кому, а германскому командованию это доподлинно известно. Однако шарлатаны из гитлеровской ставки скрывают правду о судьбе немецкого великолуцкого гарнизона. Гитлеровцы боятся, что солдаты других окружённых на советско-германском фронте немецких гарнизонов и опорных пунктов учтут уроки Великих Лук и более не пожелают бессмысленно умирать за людоеда Гитлера.</w:t>
      </w:r>
    </w:p>
    <w:p w14:paraId="04A4ECFD"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Сочиняя небылицы о Великих Луках, гитлеровцы ещё раз сами себя разоблачают перед всем миром как беспардонных лжецов. Ни одному слову из сообщений гитлеровской главной ставки верить нельзя, ибо эти сообщения не стоят и ломаного гроша.» (14998).</w:t>
      </w:r>
    </w:p>
    <w:p w14:paraId="46244B4D" w14:textId="77777777" w:rsidR="008C030A" w:rsidRPr="00D03F3E" w:rsidRDefault="008C030A" w:rsidP="00D03F3E">
      <w:pPr>
        <w:spacing w:after="0" w:line="240" w:lineRule="auto"/>
        <w:jc w:val="both"/>
        <w:rPr>
          <w:rFonts w:ascii="Times New Roman" w:hAnsi="Times New Roman"/>
          <w:color w:val="000000" w:themeColor="text1"/>
          <w:sz w:val="16"/>
          <w:szCs w:val="16"/>
        </w:rPr>
      </w:pPr>
    </w:p>
    <w:p w14:paraId="796994F2"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января</w:t>
      </w:r>
      <w:r w:rsidRPr="00D03F3E">
        <w:rPr>
          <w:rFonts w:ascii="Times New Roman" w:hAnsi="Times New Roman"/>
          <w:color w:val="000000" w:themeColor="text1"/>
          <w:sz w:val="16"/>
          <w:szCs w:val="16"/>
        </w:rPr>
        <w:t xml:space="preserve"> в 1943 году войска Юго-Западного (5-я танковая армия) и Южного (5-я Ударная армия) фронтов отбросили противника с рубежа реки Цимля. Северная группа войск Закавказского фронта перешла в наступление на нальчикско-ставропольском направлении (14998).</w:t>
      </w:r>
    </w:p>
    <w:p w14:paraId="62840F28" w14:textId="77777777" w:rsidR="008C030A" w:rsidRPr="00D03F3E" w:rsidRDefault="008C030A" w:rsidP="00D03F3E">
      <w:pPr>
        <w:spacing w:after="0" w:line="240" w:lineRule="auto"/>
        <w:jc w:val="both"/>
        <w:rPr>
          <w:rFonts w:ascii="Times New Roman" w:hAnsi="Times New Roman"/>
          <w:color w:val="000000" w:themeColor="text1"/>
          <w:sz w:val="16"/>
          <w:szCs w:val="16"/>
        </w:rPr>
      </w:pPr>
    </w:p>
    <w:p w14:paraId="7F466C7C" w14:textId="77777777" w:rsidR="008C030A" w:rsidRPr="00D03F3E" w:rsidRDefault="008C030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января</w:t>
      </w:r>
      <w:r w:rsidRPr="00D03F3E">
        <w:rPr>
          <w:rFonts w:ascii="Times New Roman" w:hAnsi="Times New Roman"/>
          <w:color w:val="000000" w:themeColor="text1"/>
          <w:sz w:val="16"/>
          <w:szCs w:val="16"/>
        </w:rPr>
        <w:t xml:space="preserve"> в 1943 году советские войска внезапным ударом овладевают городом и железнодорожной станцией Моздок, а также городом Малгобек. В октябре 2007 городу Малгобеку присвоено звание "Город воинской славы" (14998).</w:t>
      </w:r>
    </w:p>
    <w:p w14:paraId="4BBCD405" w14:textId="77777777" w:rsidR="008C030A" w:rsidRPr="00D03F3E" w:rsidRDefault="008C030A" w:rsidP="00D03F3E">
      <w:pPr>
        <w:spacing w:after="0" w:line="240" w:lineRule="auto"/>
        <w:jc w:val="both"/>
        <w:rPr>
          <w:rFonts w:ascii="Times New Roman" w:hAnsi="Times New Roman"/>
          <w:color w:val="000000" w:themeColor="text1"/>
          <w:sz w:val="16"/>
          <w:szCs w:val="16"/>
        </w:rPr>
      </w:pPr>
    </w:p>
    <w:p w14:paraId="261EB12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января 1943 погибла М.М.Раскова (271,213).</w:t>
      </w:r>
    </w:p>
    <w:p w14:paraId="027E66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1EE95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января 1943 В.П.Иванов сбил под Сталинградом на Як-7б FW-200, перевозивший знаменный фонд 6 армии (3417,27).</w:t>
      </w:r>
    </w:p>
    <w:p w14:paraId="2AEB04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1C6FC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января 1943 советские войска освободили от фашистов Моздок (4962).</w:t>
      </w:r>
    </w:p>
    <w:p w14:paraId="7EF9B581"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B5123E" w14:textId="77777777" w:rsidR="008C5F3D" w:rsidRPr="00D03F3E" w:rsidRDefault="008C5F3D"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 января 1943 г. был издан приказ Народного Комиссариата Обороны (НКО) № 001 от «Об упорядочении работы по эвакуации военнопленных с фронта». Приказ обязал придавать колоннам пленных походные кухни, отправлять раненых и больных отдельно от здоровых в спецгоспитали, «…суточный пеший переход военнопленных ограничить 25—30 километров, … оставлять у военнопленных одежду, обувь, белье, постельные принадлежности и посуду». Приказом </w:t>
      </w:r>
      <w:r w:rsidRPr="00D03F3E">
        <w:rPr>
          <w:rFonts w:ascii="Times New Roman" w:hAnsi="Times New Roman"/>
          <w:color w:val="000000" w:themeColor="text1"/>
          <w:sz w:val="16"/>
          <w:szCs w:val="16"/>
        </w:rPr>
        <w:lastRenderedPageBreak/>
        <w:t>предписывалось также, что каждый формируемый эшелон военнопленных должен содержать не более 1500 человек. Как отмечалось в последующих документах НКО, этот приказ часто не выполнялся (19679).</w:t>
      </w:r>
    </w:p>
    <w:p w14:paraId="5989C271" w14:textId="77777777" w:rsidR="008C5F3D" w:rsidRPr="00D03F3E" w:rsidRDefault="008C5F3D" w:rsidP="00D03F3E">
      <w:pPr>
        <w:autoSpaceDE w:val="0"/>
        <w:autoSpaceDN w:val="0"/>
        <w:adjustRightInd w:val="0"/>
        <w:spacing w:after="0" w:line="240" w:lineRule="auto"/>
        <w:jc w:val="both"/>
        <w:rPr>
          <w:rFonts w:ascii="Times New Roman" w:hAnsi="Times New Roman"/>
          <w:color w:val="000000" w:themeColor="text1"/>
          <w:sz w:val="16"/>
          <w:szCs w:val="16"/>
        </w:rPr>
      </w:pPr>
    </w:p>
    <w:p w14:paraId="14F554CD"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22C2F79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5B8486"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января 1943 первый полет Allied Aviation XLRA-1 (20376).</w:t>
      </w:r>
    </w:p>
    <w:p w14:paraId="7CF7D1BB" w14:textId="77777777" w:rsidR="00365B5B" w:rsidRPr="00D03F3E" w:rsidRDefault="00365B5B" w:rsidP="00D03F3E">
      <w:pPr>
        <w:spacing w:after="0" w:line="240" w:lineRule="auto"/>
        <w:jc w:val="both"/>
        <w:rPr>
          <w:rFonts w:ascii="Times New Roman" w:hAnsi="Times New Roman"/>
          <w:color w:val="0070C0"/>
          <w:sz w:val="16"/>
          <w:szCs w:val="16"/>
        </w:rPr>
      </w:pPr>
    </w:p>
    <w:p w14:paraId="2CA141C2"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января 1943 канадские военные формирования прибыли в Северную Африку (4962).</w:t>
      </w:r>
    </w:p>
    <w:p w14:paraId="41648A84"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22B807"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января</w:t>
      </w:r>
      <w:r w:rsidRPr="00D03F3E">
        <w:rPr>
          <w:rFonts w:ascii="Times New Roman" w:hAnsi="Times New Roman"/>
          <w:color w:val="000000" w:themeColor="text1"/>
          <w:sz w:val="16"/>
          <w:szCs w:val="16"/>
        </w:rPr>
        <w:t xml:space="preserve"> в 1943 году английские подводные лодки у Палермо атаковали человеко-торпедами и потопили итальянский крейсер Ulpio Traiano. и повредили лайнер (14998).</w:t>
      </w:r>
    </w:p>
    <w:p w14:paraId="53FAC8B9" w14:textId="77777777" w:rsidR="004F67B9" w:rsidRPr="00D03F3E" w:rsidRDefault="004F67B9" w:rsidP="00D03F3E">
      <w:pPr>
        <w:spacing w:after="0" w:line="240" w:lineRule="auto"/>
        <w:jc w:val="both"/>
        <w:rPr>
          <w:rFonts w:ascii="Times New Roman" w:hAnsi="Times New Roman"/>
          <w:color w:val="000000" w:themeColor="text1"/>
          <w:sz w:val="16"/>
          <w:szCs w:val="16"/>
        </w:rPr>
      </w:pPr>
    </w:p>
    <w:p w14:paraId="56F3356D"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B5576B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B8BF7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января 1943 директор завода 1 Третьяков писал А.И.Ш. письмо N 40:</w:t>
      </w:r>
    </w:p>
    <w:p w14:paraId="529743A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письмо ГК самолета Ил-2 С.В.И. от 24 декабря 1942 N 834с, посланного на Ваше имя, по вопросу перехода завода 1 на бескассетный вариант бомбового вооружения самолета Ил-2:</w:t>
      </w:r>
    </w:p>
    <w:p w14:paraId="100A3ED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перешел на полный серийный выпуск самолетов в бескассетном варианте с 28 декабря 1942. Трудности перехода были связаны с добавлением большого объема сборочно-клепальных работ по центропланному цеху (1767,15).</w:t>
      </w:r>
    </w:p>
    <w:p w14:paraId="7418D52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B540D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января 1943 г. генерал А. И. Репин утвердил (кроме п. 3) “Отчет по полигонным испытаниям автоматической комбинированной артиллерийско-бомбардировочной батареи “АКАБ” конструкции ОКБ-2 завода №32 и ОКБ завода №262, установленной на Пе-2” (ответственный за испытания - ст. техник лейтенант Губин).</w:t>
      </w:r>
    </w:p>
    <w:p w14:paraId="7F85104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Было выполнено 24 полета, из них 21 со стрельбой и бомбометанием.</w:t>
      </w:r>
    </w:p>
    <w:p w14:paraId="2ECF73F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Максимальный угол отклонения стволов пушек и пулемета АКАБ составлял 40°. Перемещение лафета оружия осуществлялось по закону котангенса. АКАБ состояла из двух батарей, каждая из которых включала одну пушку ШВАК и один пулеметУБК. При прекращении огня оружие автоматически возвращалось в исходное положение. Батареи синхронизированы.</w:t>
      </w:r>
    </w:p>
    <w:p w14:paraId="67A015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отчете отмечалось, что: “Установка АКАБ на самолетах штурмового типа имеет целью изменить тактику штурмовой атаки по наземным целям в область упрощения работы экипажа, т. к. все атаки при стрельбе и при бомбометании производятся с простого горизонтального полета и позволяет вести прицельную стрельбу и бомбометание при управлении от одной и той же боевой кнопки.</w:t>
      </w:r>
    </w:p>
    <w:p w14:paraId="0369BD7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то же время в нулевом положении оружия можно вести воздушный бой и атаку с пикирования. Можно фиксировать любое угловое положение оружия от 3 до 40 градусов.</w:t>
      </w:r>
    </w:p>
    <w:p w14:paraId="0A96562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Расчетные высоты от 100 до 300 м. Ниже 100 м применять нецелесообразно, т. к. будет мала плотность огня. Скорость полета 400 км/час. Сокращается время нахождения самолета над целью.</w:t>
      </w:r>
    </w:p>
    <w:p w14:paraId="4472BF9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Плотность огня 0,81 снаряд на кв. м (при пикировании 0,24-0,56 сн/м2). Боезапас на 2 атаки.</w:t>
      </w:r>
    </w:p>
    <w:p w14:paraId="012C3BD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Недостаток - нельзя стрелять раздельно из пушек и пулеметов. На Пе-2 нецелесообразно из-за отсутствия бронирования. Кроме того, для размещения А КА Б убран алю ко вая установка.</w:t>
      </w:r>
    </w:p>
    <w:p w14:paraId="1900DEA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...Выводы:</w:t>
      </w:r>
    </w:p>
    <w:p w14:paraId="516B93C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Пе-2 № 3/0 полигонные испытания выдержал;</w:t>
      </w:r>
    </w:p>
    <w:p w14:paraId="2711F5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Боевое применение на Пе-2 нецелесообразно;</w:t>
      </w:r>
    </w:p>
    <w:p w14:paraId="7707FA1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Может быть использована на самолете Ил-2” (9649).</w:t>
      </w:r>
    </w:p>
    <w:p w14:paraId="0812732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D8E3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января 1943-го в НКАП А.И.Шахурину за подписью начальника ЦКБ-29 Кутепова ушла телефонограмма:</w:t>
      </w:r>
    </w:p>
    <w:p w14:paraId="09931C0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"Докладываю, что самолет бронированный "Пегас" первый экземпляр начал летные испытания 2 января 1943-го.</w:t>
      </w:r>
    </w:p>
    <w:p w14:paraId="6BA6926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Сделано два полета, машина ведет себя нормально. Продолжаем испытания. Замечаний со стороны летчика нет. Постройка остальных четырех машин задерживается из-за отсутствия кислорода, брони, мелких гвоздей и части сухого леса." (9653).</w:t>
      </w:r>
    </w:p>
    <w:p w14:paraId="704B682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Много лет спустя Валериан Иванович Жданов, впервые опробовавший "Пегас" в воздухе и проводивший дальнейшие испытания машины, в том числе и государственные, рассказывал: "Находясь в Омске в связи с испытаниями дальнего бомбардировщика ДВБ-102, ко мне обратился Д.Л.Томашевич с просьбой облетать "Пегас". Отказать ему я не не мог, да и любопытно было опробовать новую машину."</w:t>
      </w:r>
    </w:p>
    <w:p w14:paraId="17E7D8B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машине, едва поборовшей земное притяжение, "обрезали" сразу оба двигателя. Не мешкая, Жданов заложил глубокий вираж и приземлился на аэродроме. В причине аварийной ситуации быстро разобрались, и следующий вылет, о котором рапортовал Кутепов, прошел благополучно. Летчик же, спасший машину, приказом директора завода был отмечен денежной премией (9653).</w:t>
      </w:r>
    </w:p>
    <w:p w14:paraId="3471CD0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D2881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 января 1943 состоялась конференция НИИ, где были представлены специалисты ЦАГИ, ЛИИ, ВИАМ, ЦИАМ (173,228).</w:t>
      </w:r>
    </w:p>
    <w:p w14:paraId="03BC97D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196AF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января 1943 Ер-2 2М-30Б на заводах 134 и 500 не летал из-за отсутствия летной погоды. испытывали на земле бомбовое вооружение - подвешивали и сбрасывали 100 кг бомбы (1458,2).</w:t>
      </w:r>
    </w:p>
    <w:p w14:paraId="6B2891F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7498A9"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2A113C7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49C6D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января 1943 вышло Постановление ГКО № 2692 Об изготовлении образца 152 мм самоходной пушки на базе танка КВ-1С.РГАНИР, Фонд ГКО, д. 75, лл. 128-129 (11012).</w:t>
      </w:r>
    </w:p>
    <w:p w14:paraId="135D507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E4A78A" w14:textId="77777777" w:rsidR="001A585A" w:rsidRPr="00D03F3E" w:rsidRDefault="001A585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4 января 1943 года, на следующий день после заседания комиссии, И.В. Сталин подписал постановление Государственного комитета обороны (ГКО) №2692 «Об изготовлении образца 152 мм самоходной пушки на базе танка КВ-1С». Характеристики будущей машины фактически были скопированы из проекта второго варианта КВ-14. Постановление ставило перед коллективом ЧКЗ и завода №9 крайне непростую задачу. Орудийную установку требовалось сдать к 23 января, а опытный образец САУ ожидалось получить на полигонные испытания уже к 31 числу (17696).</w:t>
      </w:r>
    </w:p>
    <w:p w14:paraId="47FC4FD2" w14:textId="77777777" w:rsidR="001A585A" w:rsidRPr="00D03F3E" w:rsidRDefault="001A585A" w:rsidP="00D03F3E">
      <w:pPr>
        <w:spacing w:after="0" w:line="240" w:lineRule="auto"/>
        <w:jc w:val="both"/>
        <w:rPr>
          <w:rFonts w:ascii="Times New Roman" w:eastAsia="Times New Roman" w:hAnsi="Times New Roman"/>
          <w:color w:val="000000" w:themeColor="text1"/>
          <w:sz w:val="16"/>
          <w:szCs w:val="16"/>
          <w:lang w:eastAsia="ru-RU"/>
        </w:rPr>
      </w:pPr>
    </w:p>
    <w:p w14:paraId="358EFA5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января 1943 г. ГКО постановлением № 2692 обязал НКТП (ЧКЗ, опытный завод № 100 и завод № 200) и НKB (завод № 172 и завод № 9) в течение 25 дней сконструировать и изготовить опытный образец СУ-152 на базе тяжелого танка КВ-1С (6001,20).</w:t>
      </w:r>
    </w:p>
    <w:p w14:paraId="4926A74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EC608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января 1943 г. постановле</w:t>
      </w:r>
      <w:r w:rsidRPr="00D03F3E">
        <w:rPr>
          <w:rFonts w:ascii="Times New Roman" w:hAnsi="Times New Roman"/>
          <w:color w:val="000000" w:themeColor="text1"/>
          <w:sz w:val="16"/>
          <w:szCs w:val="16"/>
        </w:rPr>
        <w:softHyphen/>
        <w:t>ние ГКО № 2692 обязывало НКТП (ЧКЗ, опытный завод № 100) и НКВ (заводы № 172 и № 9) в течение 25 дней завершить проектные' работы по созда</w:t>
      </w:r>
      <w:r w:rsidRPr="00D03F3E">
        <w:rPr>
          <w:rFonts w:ascii="Times New Roman" w:hAnsi="Times New Roman"/>
          <w:color w:val="000000" w:themeColor="text1"/>
          <w:sz w:val="16"/>
          <w:szCs w:val="16"/>
        </w:rPr>
        <w:softHyphen/>
        <w:t>нию тяжелой САУ на базе тяжелого танка КВ-1С и пере</w:t>
      </w:r>
      <w:r w:rsidRPr="00D03F3E">
        <w:rPr>
          <w:rFonts w:ascii="Times New Roman" w:hAnsi="Times New Roman"/>
          <w:color w:val="000000" w:themeColor="text1"/>
          <w:sz w:val="16"/>
          <w:szCs w:val="16"/>
        </w:rPr>
        <w:softHyphen/>
        <w:t>дать опытный образец для проведения испытаний. Именно это постановление хлестко подстегнуло проектировщиков завершить «поиски лучшего», остановившись на хорошем (11417).</w:t>
      </w:r>
    </w:p>
    <w:p w14:paraId="0940000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4EA0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января 1943 г. по представлению ГАУ РККА Государственный Комитет Обороны постановлением обязал завод № 100 НКТП и завод № 172 НКВ в течение 25 дней разработать и изготовить на базе тяжело</w:t>
      </w:r>
      <w:r w:rsidRPr="00D03F3E">
        <w:rPr>
          <w:rFonts w:ascii="Times New Roman" w:hAnsi="Times New Roman"/>
          <w:color w:val="000000" w:themeColor="text1"/>
          <w:sz w:val="16"/>
          <w:szCs w:val="16"/>
        </w:rPr>
        <w:softHyphen/>
        <w:t>го танка КВ-1С опытный образец установки СУ-152, вооруженный 152,4-мм пушкой-гаубицей обр. 1937 г. В состав группы разработчиков вошли Л.С. Троянов, Г.Н. Рыбин, К.Н. Ильин, Н.Н. Звонарев, В.М. Се</w:t>
      </w:r>
      <w:r w:rsidRPr="00D03F3E">
        <w:rPr>
          <w:rFonts w:ascii="Times New Roman" w:hAnsi="Times New Roman"/>
          <w:color w:val="000000" w:themeColor="text1"/>
          <w:sz w:val="16"/>
          <w:szCs w:val="16"/>
        </w:rPr>
        <w:softHyphen/>
        <w:t>лезнев, П.С. Тарапатин и В.И. Торотько. Общее руководство осуществ</w:t>
      </w:r>
      <w:r w:rsidRPr="00D03F3E">
        <w:rPr>
          <w:rFonts w:ascii="Times New Roman" w:hAnsi="Times New Roman"/>
          <w:color w:val="000000" w:themeColor="text1"/>
          <w:sz w:val="16"/>
          <w:szCs w:val="16"/>
        </w:rPr>
        <w:softHyphen/>
        <w:t>лял Ж.Я. Котин. Трудовой энтузиазм и патриотический подъем конст</w:t>
      </w:r>
      <w:r w:rsidRPr="00D03F3E">
        <w:rPr>
          <w:rFonts w:ascii="Times New Roman" w:hAnsi="Times New Roman"/>
          <w:color w:val="000000" w:themeColor="text1"/>
          <w:sz w:val="16"/>
          <w:szCs w:val="16"/>
        </w:rPr>
        <w:softHyphen/>
        <w:t>рукторов, рабочих и инженерно-технических работников в значитель</w:t>
      </w:r>
      <w:r w:rsidRPr="00D03F3E">
        <w:rPr>
          <w:rFonts w:ascii="Times New Roman" w:hAnsi="Times New Roman"/>
          <w:color w:val="000000" w:themeColor="text1"/>
          <w:sz w:val="16"/>
          <w:szCs w:val="16"/>
        </w:rPr>
        <w:softHyphen/>
        <w:t>ной степени способствовали выполнению правительственного задания в срок, несмотря на тяжелые условия производства. 24 января 1943 г. опытный образец установки, получивший заводское обозначение КВ-14, был собран на ЧКЗ. Испытания опытного образца самоходной установки КВ-14 успешно прошли на Чебаркульском полигоне и были закончены к 7 февраля 1943 г. Постановлением ГКО от 14 февраля 1943 г. образец КВ-14 под индексом СУ-152 был принят на вооружение и поставлен на серийное производство. До начала марта того же года была изготовлена первая партия установок в количестве 35 машин, ко</w:t>
      </w:r>
      <w:r w:rsidRPr="00D03F3E">
        <w:rPr>
          <w:rFonts w:ascii="Times New Roman" w:hAnsi="Times New Roman"/>
          <w:color w:val="000000" w:themeColor="text1"/>
          <w:sz w:val="16"/>
          <w:szCs w:val="16"/>
        </w:rPr>
        <w:softHyphen/>
        <w:t>торые были отправлены на формирование тяжелых самоходно-артил</w:t>
      </w:r>
      <w:r w:rsidRPr="00D03F3E">
        <w:rPr>
          <w:rFonts w:ascii="Times New Roman" w:hAnsi="Times New Roman"/>
          <w:color w:val="000000" w:themeColor="text1"/>
          <w:sz w:val="16"/>
          <w:szCs w:val="16"/>
        </w:rPr>
        <w:softHyphen/>
        <w:t>лерийских полков (ТСАП). Впервые новые боевые машины были ис</w:t>
      </w:r>
      <w:r w:rsidRPr="00D03F3E">
        <w:rPr>
          <w:rFonts w:ascii="Times New Roman" w:hAnsi="Times New Roman"/>
          <w:color w:val="000000" w:themeColor="text1"/>
          <w:sz w:val="16"/>
          <w:szCs w:val="16"/>
        </w:rPr>
        <w:softHyphen/>
        <w:t>пользованы в боях на Курской дуге. Серийное производство самоход</w:t>
      </w:r>
      <w:r w:rsidRPr="00D03F3E">
        <w:rPr>
          <w:rFonts w:ascii="Times New Roman" w:hAnsi="Times New Roman"/>
          <w:color w:val="000000" w:themeColor="text1"/>
          <w:sz w:val="16"/>
          <w:szCs w:val="16"/>
        </w:rPr>
        <w:softHyphen/>
        <w:t>ных установок СУ-152 продолжалось до декабря 1943 г. - до снятия с производства танка КВ-1 С (10703).</w:t>
      </w:r>
    </w:p>
    <w:p w14:paraId="1E704E0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6E426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xml:space="preserve">4 января 1943 года по представлению ГАУ РККА Государственный Комитет обороны постановлением № 2692 обязал завод № 100 НКТП и завод № 172 НКВ в течение 25 дней разработать и изготовить на базе тяжелого танка КВ-1 С опытный образец установки, вооруженной 152-мм пушкой-гаубицей обр. 1937 г. В состав группы разработчиков вошли Л.С.Троянов, ГН.Рыбин, К.Н.Ильин, Н.Н.Звонарев, В.М.Селезнев, П.С.Тарапатин и В.И.Торотько. Общее руководство осуществлял Ж.Я.Котин. Трудовой энтузиазм и патриотический подъем конструкторов, рабочих и инженерно-технических работников в значительной степени способствовали выполнению правительственного задания в срок, несмотря на тяжелые условия производства. Из-за срочности задания весь ведущий состав конструкторов был переведен на казарменное положение. В течение 10 дней никто не уходил домой. Чертежи, изготовленные на ватмане, прямо с чертежных досок отправлялись в цехи. Чертежи корпуса самохода доставлялись специальным курьером на корпусной завод. Четко и оперативно работали производственные и технологические службы завода. </w:t>
      </w:r>
    </w:p>
    <w:p w14:paraId="01F542E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Объем работ по установке пушки столь большого калибра в рубке на шасси тяжелого танка оказался очень большим. Да и задачи, стоявшие перед специалистами различного профиля были сложными. Нередко заходили в тупик: кому, например, изготовить рамку для орудия — танкистам или артиллеристам? На завод вовремя приехал нарком вооружения Д.Ф.Устинов. Он подробно со всем ознакомился, одобрил все решения Ж.Я.Котина, поддержал идею посылки на артиллерийский завод его представителя, конструктора К.Н.Ильина, которому предоставили полномочия самостоятельно принимать решения по артиллерийской части заказа танкистов (11638).</w:t>
      </w:r>
    </w:p>
    <w:p w14:paraId="3915671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2009B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января 1943 вышло Постановление ГКО № 2693 О плане производства танков, артиллерийских самоходных установок и танковых дизелей в I квартале 1943 года.РГАНИР, Фонд ГКО, д. 75, лл. 130-131 (11012).</w:t>
      </w:r>
    </w:p>
    <w:p w14:paraId="39226D3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C5348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января 1943 г. было подготовлено ЗАКЛЮЧЕНИЕ БТУ ГАБТУ КА ПО ИСПЫТАНИЯМ САМОХОДНОЙ 122-мм ГАУБИЦЫ</w:t>
      </w:r>
    </w:p>
    <w:p w14:paraId="407D969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Рассмотрение отчета об испытании 122-мм самоходных гаубиц, изготовленных Уралмашзаводом НКТП и заводом № 592 НКВ, показывает:</w:t>
      </w:r>
    </w:p>
    <w:p w14:paraId="2D07978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Ходовые качества танка от установки 122-мм системы не меняются, так как вес танка практи</w:t>
      </w:r>
      <w:r w:rsidRPr="00D03F3E">
        <w:rPr>
          <w:rFonts w:ascii="Times New Roman" w:hAnsi="Times New Roman"/>
          <w:color w:val="000000" w:themeColor="text1"/>
          <w:sz w:val="16"/>
          <w:szCs w:val="16"/>
        </w:rPr>
        <w:softHyphen/>
        <w:t>чески не изменился, а смещение центра тяжести танка вперед незначительное.</w:t>
      </w:r>
    </w:p>
    <w:p w14:paraId="174D842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Надежность работы трансмиссии и ходовой части остаются такими же, как и у танка Т-34.</w:t>
      </w:r>
    </w:p>
    <w:p w14:paraId="13D422D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Средства наблюдения из танка неудовлетворительные.</w:t>
      </w:r>
    </w:p>
    <w:p w14:paraId="4C4954F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Удобство размещения и работы экипажа недостаточные, так как не обеспечивают скоро</w:t>
      </w:r>
      <w:r w:rsidRPr="00D03F3E">
        <w:rPr>
          <w:rFonts w:ascii="Times New Roman" w:hAnsi="Times New Roman"/>
          <w:color w:val="000000" w:themeColor="text1"/>
          <w:sz w:val="16"/>
          <w:szCs w:val="16"/>
        </w:rPr>
        <w:softHyphen/>
        <w:t>стрельности 10 выстрелов в минуту, указанных в ТТТ.</w:t>
      </w:r>
    </w:p>
    <w:p w14:paraId="344C7C4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Рассмотрение материалов по обеим самоходным установкам и чертежей самоходной установки Уралмашзавода НКТП приводит к следующему выводу.</w:t>
      </w:r>
    </w:p>
    <w:p w14:paraId="7548FB7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установки в качестве самоходного орудия вращающаяся часть 122-мм гаубицы (М-30) без переделок не подходит.</w:t>
      </w:r>
    </w:p>
    <w:p w14:paraId="0BE3391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Вращающаяся часть 122-мм гаубицы не подходит вследствие большого отката (длинный откат 1100 мм) и сильно выступающих вперед частей противооткатного устройства.</w:t>
      </w:r>
    </w:p>
    <w:p w14:paraId="2711871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Длинный откат заставляет выносить всю систему вперед и не дает возможности использовать место сзади орудия для размещения расчета и принадлежностей.</w:t>
      </w:r>
    </w:p>
    <w:p w14:paraId="66773FA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Выступающее вперед противооткатное устройство требует специальной броневой защиты. Броневая защита, расположенная далеко от оси цапф, создает большой момент неуравновешенности.</w:t>
      </w:r>
    </w:p>
    <w:p w14:paraId="07D12D5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устранения неуравновешенности введен специальный уравновешивающий механизм, кото</w:t>
      </w:r>
      <w:r w:rsidRPr="00D03F3E">
        <w:rPr>
          <w:rFonts w:ascii="Times New Roman" w:hAnsi="Times New Roman"/>
          <w:color w:val="000000" w:themeColor="text1"/>
          <w:sz w:val="16"/>
          <w:szCs w:val="16"/>
        </w:rPr>
        <w:softHyphen/>
        <w:t>рый увеличивает вес самохода и занимает часть и без того ограниченного объема самохода.</w:t>
      </w:r>
    </w:p>
    <w:p w14:paraId="7EC5A71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Уралмашзаводом для установки в танк КВ-9 была спроектирована и изготовлена на базе гаубицы М-30 танковая гаубица У-11, наилучшим образом подходящая для установки в танки и самоходные артиллерийские установки.</w:t>
      </w:r>
    </w:p>
    <w:p w14:paraId="7FA71B0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Установка гаубицы У-11 позволяет за счет меньшего отката (580 мм) и более коротких противо</w:t>
      </w:r>
      <w:r w:rsidRPr="00D03F3E">
        <w:rPr>
          <w:rFonts w:ascii="Times New Roman" w:hAnsi="Times New Roman"/>
          <w:color w:val="000000" w:themeColor="text1"/>
          <w:sz w:val="16"/>
          <w:szCs w:val="16"/>
        </w:rPr>
        <w:softHyphen/>
        <w:t>откатных механизмов получить выигрыш в весе самохода и полезном объеме боевого отделения.</w:t>
      </w:r>
    </w:p>
    <w:p w14:paraId="48C5C6D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Считаю, что в самоходы необходимо устанавливать гаубицы У-11 Уралмашзавода, установка которых отработана в опытном образце танка КВ-9 и, кроме того, устанавливаются на самоходных установках ГАУ КА на базе танка Т-3.</w:t>
      </w:r>
    </w:p>
    <w:p w14:paraId="666B2A4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6 отдела БТУ ГАБТУ КА инженер-подполковник Ковалев</w:t>
      </w:r>
    </w:p>
    <w:p w14:paraId="3842F59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4 отдела БТУ ГАБТУ КА инженер-подполковник Ненароков</w:t>
      </w:r>
    </w:p>
    <w:p w14:paraId="7BD544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 помощник начальника 6 отдела БТУ ГАБТУ КА инженер-майор Ворошилов</w:t>
      </w:r>
    </w:p>
    <w:p w14:paraId="3FB1D2B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1403. Л. 2. Копия (11403).</w:t>
      </w:r>
    </w:p>
    <w:p w14:paraId="23EEA0C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62302C" w14:textId="77777777" w:rsidR="00365B5B" w:rsidRPr="00D03F3E" w:rsidRDefault="00365B5B" w:rsidP="00D03F3E">
      <w:pPr>
        <w:pStyle w:val="article-renderblock"/>
        <w:shd w:val="clear" w:color="auto" w:fill="FFFFFF"/>
        <w:spacing w:before="0" w:beforeAutospacing="0" w:after="0" w:afterAutospacing="0"/>
        <w:jc w:val="both"/>
        <w:rPr>
          <w:color w:val="0070C0"/>
          <w:sz w:val="16"/>
          <w:szCs w:val="16"/>
        </w:rPr>
      </w:pPr>
      <w:r w:rsidRPr="00D03F3E">
        <w:rPr>
          <w:color w:val="0070C0"/>
          <w:sz w:val="16"/>
          <w:szCs w:val="16"/>
        </w:rPr>
        <w:t>4 января 1943 года Артком ГАУ КА дал указание о разработке орудия М-42 для танка Т-80 (20344).</w:t>
      </w:r>
    </w:p>
    <w:p w14:paraId="40DEDDDA" w14:textId="77777777" w:rsidR="00365B5B" w:rsidRPr="00D03F3E" w:rsidRDefault="00365B5B" w:rsidP="00D03F3E">
      <w:pPr>
        <w:pStyle w:val="article-renderblock"/>
        <w:shd w:val="clear" w:color="auto" w:fill="FFFFFF"/>
        <w:spacing w:before="0" w:beforeAutospacing="0" w:after="0" w:afterAutospacing="0"/>
        <w:jc w:val="both"/>
        <w:rPr>
          <w:color w:val="0070C0"/>
          <w:sz w:val="16"/>
          <w:szCs w:val="16"/>
        </w:rPr>
      </w:pPr>
    </w:p>
    <w:p w14:paraId="149A153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января 1943 На Балтийском заводе в ремонте находились линкор, три крейсера, эсминцы "Сторожевой", "Стойкий", "Грозящий", "Свирепый", "Славный". Кроме того, бригада балтийцев, работая со льда Ладожского озера, устанавливала более мощное зенитное вооружение на канонерских лодках "Нора", "Бурея", "Вира" и "Селемджа" (10671).</w:t>
      </w:r>
    </w:p>
    <w:p w14:paraId="762D61B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0A3E76"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20B09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7110BD"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4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289BF1DC"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019A5E8A"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января наши наступающие войска овладели городом Чернышковский и железнодорожной станцией Чернышков.</w:t>
      </w:r>
    </w:p>
    <w:p w14:paraId="1A2990E7"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Чернышковский захвачены большие трофеи, среди которых самолётов —17, снарядов — 2.000.000, авиабомб — 500.000, а также склады с продовольствием и военным имуществом.».</w:t>
      </w:r>
    </w:p>
    <w:p w14:paraId="47A8AD4F"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4 января наши войска в районе Среднего Дона, юго-западнее июжнее Сталинграда, на Центральном фронте и на Северном Кавказе продолжали вести наступательные бои на прежних направлениях.</w:t>
      </w:r>
    </w:p>
    <w:p w14:paraId="2D0D884E"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заводском районе Сталинграда мелкие штурмовые отряды и одиночные бойцы просачивались в расположение противника и гранатами выбивали немцев из домов и блиндажей. В течение ночи уничтожено до 100 немецких солдат и офицеров, подбит танк, разрушено 3 дзота и 18 блиндажей. На других участках наши подразделения вели разведку и обстреливали вражеские позиции.</w:t>
      </w:r>
    </w:p>
    <w:p w14:paraId="7B32D6F9"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и южнее Сталинграда наши войска продолжали наступление. Ломая сопротивление противника, советские части врываются в его оборону. Особенно успешно действуют наши мотопехота и танки. На одном участке противник ввёл в бой два полка дивизии СС, однако ему не удалось остановить напора советских войск. Наши бойцы в ночном бою потеснили немцев и нанесли им тяжёлые потери. На других участках наши части, продвигаясь вперёд, освободили от немецко-фашистских захватчиков несколько населённых пунктов.</w:t>
      </w:r>
    </w:p>
    <w:p w14:paraId="686E08F6"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Дона наши войска вели наступательные бои и заняли ряд населённых пунктов. Танковая гвардейская часть внезапным ударом прорвала укреплённую линию вражеской обороны и овладела тремя населёнными пунктами. Остатки разгромленных гарнизонов противника в беспорядке отступили. В руки наших войск достались трофеи. На другом участке Н-ская стрелковая часть истребила 300 гитлеровцев и захватила 8 орудий, из них 2 самоходных, 2 танкетки, 13 противотанковых ружей и 2 радиостанции.</w:t>
      </w:r>
    </w:p>
    <w:p w14:paraId="605AC4F8"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наши войска продолжали вести наступательные бои, а частью сил закреплялись на достигнутых рубежах. Бойцы под командованием тов.Дьяконова продвинулись вперёд и уничтожили несколько опорных пунктов противника.На соседнем участке часть под командованием тов. Ларцева отбила ожесточённые атаки противника и уничтожила до 400 немецких солдат и офицеров.</w:t>
      </w:r>
    </w:p>
    <w:p w14:paraId="154344C0"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западнее Ржева наши войска вели бои местного значения.</w:t>
      </w:r>
    </w:p>
    <w:p w14:paraId="50B12761"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занявшие Моздок, продолжали преследовать противника в северо-западном и западном направлениях и освободили от немецких захватчиков ещё несколько населённых пунктов. Враг несёт большие потери. На одном участке уничтожено 700 немецких солдат и офицеров. В боях за одну станицу, занятую ночью нашими бойцами, подбито 8 немецких танков. Захвачены 4 орудия, 8 автомашин и другие трофеи.</w:t>
      </w:r>
    </w:p>
    <w:p w14:paraId="3740A5D5"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Крыму, внезапно напал на группу румынских солдат численностью до 70 человек. Советские патриоты истребили 14 румын, а остальных обратили в бегство. Несколько партизан этого отряда уничтожили немецкую автомашину, следовавшую с запасными частями и точными приборами для зенитных орудий. Солдаты, сопровождавшие автомашину, истреблены. Группа партизан другого крымского отряда напала на заставу в населённом пункте и перебила немецких солдат и офицеров.</w:t>
      </w:r>
    </w:p>
    <w:p w14:paraId="46269DF1"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Северо-восточнее Туапсе на сторону Красной Армии перешёл солдат полка «Давид» словацкой моторизованной дивизии. Перебежчик рассказал: «Недавно вторая рота полка «Давид» отказалась выступить на передовые позиции. Помощник командира роты подпоручик Репарский выстроил солдат, достал большой лист бумаги и потребовал, чтобы каждый собственноручно написал, желает ли он воевать или нет. Некоторы есолдаты написали, что они не хотят идти на фронт. Подпоручик отнёс бумагу в штаб. Через час к нам пришли командир батальона подполковник Зверин и командир полка полковник Туранец в сопровождении шести немцев. Когда роту выстроили, немцы вывели каждого десятого и перед строем расстреляли. Расстреляны солдаты Гордуш, Депеш и другие».</w:t>
      </w:r>
    </w:p>
    <w:p w14:paraId="5285FDEB"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Югославские партизаны в боях с оккупантами в районе Благай—Мартин Брдо уничтожили 150 гитлеровцев и захватили 100 винтовок, 8 пулемётов и боеприпасы. В районе Костайница—Сунья партизаны заняли железнодорожную станцию Маяр. 60 немецких солдат взяты в плен. На одной станции партизаны остановили поезд, в котором гитлеровцы везли в Германию 800 рабочих, насильно мобилизованных в Югославии. Партизаны отпустили всех рабочих по домам, а сопровождавший их немецкий конвой взяли в плен.» (14999).</w:t>
      </w:r>
    </w:p>
    <w:p w14:paraId="796AF244" w14:textId="77777777" w:rsidR="004F67B9" w:rsidRPr="00D03F3E" w:rsidRDefault="004F67B9" w:rsidP="00D03F3E">
      <w:pPr>
        <w:spacing w:after="0" w:line="240" w:lineRule="auto"/>
        <w:jc w:val="both"/>
        <w:rPr>
          <w:rFonts w:ascii="Times New Roman" w:hAnsi="Times New Roman"/>
          <w:color w:val="000000" w:themeColor="text1"/>
          <w:sz w:val="16"/>
          <w:szCs w:val="16"/>
        </w:rPr>
      </w:pPr>
    </w:p>
    <w:p w14:paraId="16DD0900"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4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38AF06DD"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4 января наши войска в районе Среднего Дона, юго-западнее и южнее Сталинграда, на Центральном фронте и на Северном Кавказе вели наступательные бои на прежних направлениях. Наши войска овладели городом Чернышковский и железнодорожной станцией Чернышков.</w:t>
      </w:r>
    </w:p>
    <w:p w14:paraId="2DA7192A"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Сталинграда наши войска вели артиллерийскую перестрелку с противником. На одном участке артиллерийским огнём разрушено несколько дзотов, уничтожено 2 орудия и рассеяно до роты пехоты противника. В заводском районенаши штурмовые группы уничтожали вражеские укрепления. Советские бойцы пробирались к дзотам и блиндажам немцев и взрывали их вместе с гарнизонами. Уничтожено более 200 немецких солдат и офицеров. Захвачены трофеи и пленные.</w:t>
      </w:r>
    </w:p>
    <w:p w14:paraId="7E7D21AB"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и южнее Сталинграда наши войска продолжали наступление и овладели рядом населённых пунктов. Н-ская моторизованная часть зашла во фланги группы немецких войск и смелой атакой выбила её с выгодных позиций. Отступая, гитлеровцы бросили 2 танка, 14 орудий, 9 автомашин, много вооружения и боеприпасов. На поле боя осталось свыше 300 вражеских трупов.</w:t>
      </w:r>
    </w:p>
    <w:p w14:paraId="21818CEB"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Дона наши войска вели успешные наступательные бои. Наши войска заняли город Чернышковский и станцию Чернышков. Захвачены большие трофеи: 2 миллиона снарядов, 500.000 авиабомб, 17 самолётов, большое количество складов с продовольствием и военным имуществом. Наши части продолжают сжимать кольцово круг блокированных гарнизонов противника. На выручку одному своему окружённому гарнизону немцы бросили крупные силы. Пехота и танки противника неоднократно предпринимали контратаки, но под убийственным огнём нашей артиллерии откатывались обратно. На поле боя осталось более 1.000 вражеских трупов. Подбито и сожжено 24 немецких танка.</w:t>
      </w:r>
    </w:p>
    <w:p w14:paraId="0207C727"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наши войска частью сил вели наступательные бои, а на остальных участках укрепляли занятые позиции. Юго-западнее Великих Лук бойцы Н-ской части ворвались в населённый пункт и ведут уличные бои. Захвачено 2орудия, 8 пулемётов и 3 миномёта. В районе западнее Ржева наши подразделения отразили несколько атак мелких групп пехоты противника.</w:t>
      </w:r>
    </w:p>
    <w:p w14:paraId="7F6FC3FC"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развивали наступление. В боях за один крупный населённый пункт истреблено 300 вражеских солдат и офицеров. Захвачены танк, 5 автомашин и 20 станковых пулемётов. В районе другого населённого пункта советские бойцы захватили 2 склада с боеприпасами, склад с продовольствием, 43 автомашины, 6.000 снарядов, 500 мин, 4 радиостанции и другое военное имущество.</w:t>
      </w:r>
    </w:p>
    <w:p w14:paraId="7DBE89D0"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Витебской области, пустил под откос 8 эшелонов противника. При крушениях разбито 92 вагона, 16 цистерн и 48 платформ. За месяц активных боевых действий партизаны этого отряда, кроме того, подбили 3 танка, сожгли 52 автомашины, взорвали 11 шоссейных мостов и вырезали 17 км телефонно-телеграфной линии связи. Другой отряд витебских партизан из засад на шоссейных дорогах истребил более 200 гитлеровцев.</w:t>
      </w:r>
    </w:p>
    <w:p w14:paraId="11B9FDA8"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января главная ставка Гитлера сообщила: «Германские части начали новый год крупными атаками в районе Терека. Все контратаки большевиков разбились о сопротивление наших частей». Эта хвастливая болтовня гитлеровских заправил находится в вопиющем противоречии с истиной. Новый, 1943 год немецкие войска начали быстрым, но попятным движением на многих фронтах, в том числе и в районе Терека. Уже в первые дни нового, 1943 года советские войска заняли города Моздок, Малгобек и десятки других населённых пунктов. Не смешно ли говорить о каких-то мифических «крупных атаках» немецких войск, когда гитлеровцы под ударами Красной Армии оставляют один населённый пункт за другим и откатываются на запад!</w:t>
      </w:r>
    </w:p>
    <w:p w14:paraId="2744CAB5"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3-го же января германское информационное бюро передало из главной ставки Гитлера германскую военную сводку. В ней говорится: «В ходе успешной наступательной операции к западу от Калуги уничтожен один батальон противника, 95 огневых точек и дзотов и захвачены пленные». И это сообщение также является обычной лживой брехнёй гитлеровцев. Калуга уже давно находится в тылу советских войск. К западу от Калуги, как об этом уже сообщало Совинформбюро, по-прежнему царит затишье. Никаких военных операций ни немцы, ни советские войска за последние дни здесь не проводили.</w:t>
      </w:r>
    </w:p>
    <w:p w14:paraId="15214FD5"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Германская армия начала 1943 год отступлением, а гитлеровская ставка — новыми потоками лжи. Столь же глупые, сколь и лживые выдумки ставки Гитлера оборачиваются против самих же гитлеровских заправил и выставляют их на всеобщее посмешище. Вот уже поистине: «Хвалилась кобыла, что воз с горшками побила» (14999).</w:t>
      </w:r>
    </w:p>
    <w:p w14:paraId="3A005C32" w14:textId="77777777" w:rsidR="004F67B9" w:rsidRPr="00D03F3E" w:rsidRDefault="004F67B9" w:rsidP="00D03F3E">
      <w:pPr>
        <w:spacing w:after="0" w:line="240" w:lineRule="auto"/>
        <w:jc w:val="both"/>
        <w:rPr>
          <w:rFonts w:ascii="Times New Roman" w:hAnsi="Times New Roman"/>
          <w:color w:val="000000" w:themeColor="text1"/>
          <w:sz w:val="16"/>
          <w:szCs w:val="16"/>
        </w:rPr>
      </w:pPr>
    </w:p>
    <w:p w14:paraId="3ADDBE6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января 1943 при перелете из Саратова на фронт разбилась ГСС М.М.Раскова - ком. женского ап ПВО (438,863).</w:t>
      </w:r>
    </w:p>
    <w:p w14:paraId="67DD95B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C628DC"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4 января</w:t>
      </w:r>
      <w:r w:rsidRPr="00D03F3E">
        <w:rPr>
          <w:rFonts w:ascii="Times New Roman" w:hAnsi="Times New Roman"/>
          <w:color w:val="000000" w:themeColor="text1"/>
          <w:sz w:val="16"/>
          <w:szCs w:val="16"/>
        </w:rPr>
        <w:t xml:space="preserve"> в 1943 году погибла летчица, Герой Советского Союза Марина Михайловна Раскова. Майор Марина Михайловна Раскова погибла неподалеку от Саратова. Ее самолет разбился в сложных метеоусловиях, вылетев на фронт к месту дислокации новой эскадрильи (14999).</w:t>
      </w:r>
    </w:p>
    <w:p w14:paraId="5F1A5869" w14:textId="77777777" w:rsidR="004F67B9" w:rsidRPr="00D03F3E" w:rsidRDefault="004F67B9" w:rsidP="00D03F3E">
      <w:pPr>
        <w:spacing w:after="0" w:line="240" w:lineRule="auto"/>
        <w:jc w:val="both"/>
        <w:rPr>
          <w:rFonts w:ascii="Times New Roman" w:hAnsi="Times New Roman"/>
          <w:color w:val="000000" w:themeColor="text1"/>
          <w:sz w:val="16"/>
          <w:szCs w:val="16"/>
        </w:rPr>
      </w:pPr>
    </w:p>
    <w:p w14:paraId="10BEA1D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января 1943 войска ЗакФ (И.В.Тюленев) освободили Нальчик (3398,12).</w:t>
      </w:r>
    </w:p>
    <w:p w14:paraId="7C538BF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2CB0C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января 1943 советские войска освободили от фашистов Нальчик (4962).</w:t>
      </w:r>
    </w:p>
    <w:p w14:paraId="4985E76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5CBC1E"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 ЯНВАРЯ 1943 г.</w:t>
      </w:r>
    </w:p>
    <w:p w14:paraId="07A99648"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ДИРЕКТИВА КОМАНДУЮЩЕГО 1-й ВОЗДУШНОЙ АРМИЕЙ № 0010 ОТ 4 ЯНВАРЯ 1943 г. О ФОРМИРОВАНИИ ОПЫТНОЙ АВИАЦИОННОЙ БАЗЫ ТЕХНИЧЕСКОЙ ЭКСПЛУАТАЦИИ И АЭРОДРОМНОГО ОБСЛУЖИВАНИЯ</w:t>
      </w:r>
    </w:p>
    <w:p w14:paraId="0FF6F14C"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Сов. секретно</w:t>
      </w:r>
    </w:p>
    <w:p w14:paraId="0F939960"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НАЧАЛЬНИКУ 19 РАЙОНА АВИАЦИОННОГО БАЗИРОВАНИЯ</w:t>
      </w:r>
    </w:p>
    <w:p w14:paraId="2C6FA429"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Копия:</w:t>
      </w:r>
    </w:p>
    <w:p w14:paraId="51F979C8"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КОМАНДИРАМ АВИАЦИОННЫХ ДИВИЗИЙ.</w:t>
      </w:r>
    </w:p>
    <w:p w14:paraId="6AC1D308"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НАЧАЛЬНИКУ ТЫЛА 1-й ВОЗДУШНОЙ АРМИИ</w:t>
      </w:r>
    </w:p>
    <w:p w14:paraId="28C9D0E5"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НАЧАЛЬНИКУ ОТДЕЛА КАДРОВ 1-й ВОЗДУШНОЙ АРМИИ</w:t>
      </w:r>
    </w:p>
    <w:p w14:paraId="615FA5C0"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ГЛАВНОМУ ИНЖЕНЕРУ 1-й ВОЗДУШНОЙ АРМИИ</w:t>
      </w:r>
    </w:p>
    <w:p w14:paraId="2D66984F"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НАЧАЛЬНИКУ ПОЛИТОТДЕЛА 1-й ВОЗДУШНОЙ АРМИИ</w:t>
      </w:r>
    </w:p>
    <w:p w14:paraId="53EDD535"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Только НАЧАЛЬНИКУ ТЫЛА 1-й ВОЗДУШНОЙ АРМИИ</w:t>
      </w:r>
    </w:p>
    <w:p w14:paraId="6619292B"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целях практического изучения вопросов увеличения маневренности авиационных частей за счет исключения из состава авиационных полков технического состава и передачи вопросов эксплуатации, полевого ремонта и обслуживания летных частей в службу тыла ПРИКАЗЫВАЮ:</w:t>
      </w:r>
    </w:p>
    <w:p w14:paraId="6E4D4B6F"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К 15 января 1943 г. сформировать 1-ю опытную авиационную базу технической эксплуатации и аэродромного обслуживания по штату № 029/249.</w:t>
      </w:r>
    </w:p>
    <w:p w14:paraId="2653C1FC"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Ответственность за формирование возлагаю на начальника 19 района авиационного базирования, которому к 16 января представить план укомплектования личным составом.</w:t>
      </w:r>
    </w:p>
    <w:p w14:paraId="6823E6A4"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На формируемую авиационную базу возложить полное обеспечение боевой работы авиационного полка 32-самолетного состава.</w:t>
      </w:r>
    </w:p>
    <w:p w14:paraId="445409CE"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обслуживаемом этой базой полку оставлять по одному авиамеханику на самолет. Весь остальной технический, младший и рядовой состав авиационного полка изымать.</w:t>
      </w:r>
    </w:p>
    <w:p w14:paraId="6708F0B6"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В течение января — марта 1943 г. на опыте работы сформированной авиационной базы изучить:</w:t>
      </w:r>
    </w:p>
    <w:p w14:paraId="5D075DE4"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 Возможности обслуживания данной авиационной базой авиационных полков, вооруженных различными типами самолетов (истребители, штурмовики, бомбардировщики).</w:t>
      </w:r>
    </w:p>
    <w:p w14:paraId="7EA9E39E"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Указания о выделении для этой цели полков будут даны особо.</w:t>
      </w:r>
    </w:p>
    <w:p w14:paraId="568E24E6"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б) Насколько необходимо и каким порядком можно усилить авиационную базу при одновременном обслуживании ею двух полков.</w:t>
      </w:r>
    </w:p>
    <w:p w14:paraId="262A792D"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Организационную структуру и штатную численность авиационной базы, рассчитанной на обслуживание одного авиационного полка 32-самолетного состава, обратив особое внимание на организацию техническо-эксплуатационной службы авиационной базы. Проработать вопрос создания эксплуатационных групп по функциональному признаку (групп заправки самолетов всех типов, то же по вооружению, то же по техническому осмотру и т. д.).</w:t>
      </w:r>
    </w:p>
    <w:p w14:paraId="46778339"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 Организационную структуру и штатную численность авиационного полка (без техсостава).</w:t>
      </w:r>
    </w:p>
    <w:p w14:paraId="71F1ED4F"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 Донесения на основе изучения работы авиационной базы представлять начальнику штаба и начальнику тыла 1-й воздушной армии 25 января и 25 февраля 1943 г.</w:t>
      </w:r>
    </w:p>
    <w:p w14:paraId="6929D41A"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Донесения представить за подписью начальника района авиационного базирования и командира авиационной дивизии, который выделял полк для обеспечения его опытной авиационной базой.</w:t>
      </w:r>
    </w:p>
    <w:p w14:paraId="04BAD293"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Окончательный доклад с выводами представить 5 апреля 1943 г.</w:t>
      </w:r>
    </w:p>
    <w:p w14:paraId="0E2CFED0"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 Начальнику тыла и главному инженеру армии работу опытной базы взять под особый контроль, проверяя ее на месте лично и посылкой своих представителей.</w:t>
      </w:r>
    </w:p>
    <w:p w14:paraId="6F3827E2"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Основание. Директива штаба Военно-воздушных сил Красной Армии № 341490сс от 30 декабря 1942 г.</w:t>
      </w:r>
    </w:p>
    <w:p w14:paraId="585EFD64"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Приложение1. Штат № 029/249.</w:t>
      </w:r>
    </w:p>
    <w:p w14:paraId="4F2BBB92"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Командующий 1 воздушной армией генерал-майор авиации ХУДЯКОВ</w:t>
      </w:r>
    </w:p>
    <w:p w14:paraId="5BC7AC80"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Начальник штаба 1 воздушной армии полковник ПРОНИН</w:t>
      </w:r>
    </w:p>
    <w:p w14:paraId="163189E3"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Ф. 290, оп. 56913с, д. 13, л. 1. Машинописная копия (20629).</w:t>
      </w:r>
    </w:p>
    <w:p w14:paraId="058385B6" w14:textId="77777777" w:rsidR="00365B5B" w:rsidRPr="00D03F3E" w:rsidRDefault="00365B5B" w:rsidP="00D03F3E">
      <w:pPr>
        <w:spacing w:after="0" w:line="240" w:lineRule="auto"/>
        <w:jc w:val="both"/>
        <w:rPr>
          <w:rFonts w:ascii="Times New Roman" w:hAnsi="Times New Roman"/>
          <w:color w:val="0070C0"/>
          <w:sz w:val="16"/>
          <w:szCs w:val="16"/>
        </w:rPr>
      </w:pPr>
    </w:p>
    <w:p w14:paraId="310B4DF5"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19BA8D4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CB2F32"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4 января</w:t>
      </w:r>
      <w:r w:rsidRPr="00D03F3E">
        <w:rPr>
          <w:rFonts w:ascii="Times New Roman" w:hAnsi="Times New Roman"/>
          <w:color w:val="000000" w:themeColor="text1"/>
          <w:sz w:val="16"/>
          <w:szCs w:val="16"/>
        </w:rPr>
        <w:t xml:space="preserve"> в 1943 году в Монреале (Канада) состоялся первый полет учебного самолета «Anson» «Mk V», произведенного в Канаде. В 1940 году правительство Канады организовало для производства «Anson» компанию "Federal Aircraft Limited". Первые «Federal Anson» «Mk II» мало отличались от «Anson» «Mk III» с двигателями «Jacobs» — узнать их можно было лишь по укороченной носовой части. «Anson» «Mk V» и «Mk VI» имели крыло «Anson» «Mk II», двигатели «Pratt &amp; Whitney» «R-985-AN14B» «Wasp Junior» и фюзеляж, построенный из материала «Vidal» — фанеры, пропитанной синтетическими смолами — с целью экономии металла. В 1942 г. на конвейерах канадских заводов появились «Anson» «Mk V». Вместо сплошных полос остекления внедрили отдельные круглые окна, а главное то, что фюзеляж теперь весь изготовлялся как фанерная скорлупа (монокок) без несущей стальной фермы. Вооружение на них не ставили. Эту модификацию также в больших количествах (1070 штук) делали три фирмы - "Федерал Эйркрафт", "Кэнедиэн Кар энд Фаундри" и "Макдональд Бразерс Эйркрафт". На ее базе выпустили еще и вариант для обучения воздушных стрелков - «Anson» «Mk VI»с турелью «Бристоль B.1» «MkVI». В обоих случаях устанавливали моторы типа «Pratt &amp; Whitney» «R-985-AN14B» «Wasp Junior» в 450 л.с. с винтами фиксированного шага "Гамильтон" или "Гувер". "Энсоны" V эксплуатировались канадскими ВВС до конца 1950-х гг (14999).</w:t>
      </w:r>
    </w:p>
    <w:p w14:paraId="21DE4671" w14:textId="77777777" w:rsidR="004F67B9" w:rsidRPr="00D03F3E" w:rsidRDefault="004F67B9" w:rsidP="00D03F3E">
      <w:pPr>
        <w:spacing w:after="0" w:line="240" w:lineRule="auto"/>
        <w:jc w:val="both"/>
        <w:rPr>
          <w:rFonts w:ascii="Times New Roman" w:hAnsi="Times New Roman"/>
          <w:color w:val="000000" w:themeColor="text1"/>
          <w:sz w:val="16"/>
          <w:szCs w:val="16"/>
        </w:rPr>
      </w:pPr>
    </w:p>
    <w:p w14:paraId="67411625"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4 января</w:t>
      </w:r>
      <w:r w:rsidRPr="00D03F3E">
        <w:rPr>
          <w:rFonts w:ascii="Times New Roman" w:hAnsi="Times New Roman"/>
          <w:color w:val="000000" w:themeColor="text1"/>
          <w:sz w:val="16"/>
          <w:szCs w:val="16"/>
        </w:rPr>
        <w:t xml:space="preserve"> в 1943 году авторитетнейший (таким он остается и поныне) американский еженедельный журнал «Тайм», издаваемый в Нью-Йорке с марта 1923 года, подвел итоги своего очередного опроса «Человек года» за предыдущий 1942 год. Подавляющее большинство читателей и экспертов издания на сей раз отдали пальму первенства Генеральному секретарю ЦК ВКП(б) и Верховному Главнокомандующему Красной Армии — Иосифу Виссарионовичу Сталину. В сопроводительной редакционной заметке говорилось: «Ни шагу назад!.. 1942 год был годом крови и силы. Человек, чье имя по-русски означает «сталь», тот, чей словарный запас на английском включает американизм «крутой парень», — это «Человек 1942 года». Только Иосиф Сталин знает, насколько близка была Россия к разгрому в 1942-м. И только Иосиф Сталин знает, как ему удалось спасти Россию…» (14999).</w:t>
      </w:r>
    </w:p>
    <w:p w14:paraId="46FB7304" w14:textId="77777777" w:rsidR="004F67B9" w:rsidRPr="00D03F3E" w:rsidRDefault="004F67B9" w:rsidP="00D03F3E">
      <w:pPr>
        <w:spacing w:after="0" w:line="240" w:lineRule="auto"/>
        <w:jc w:val="both"/>
        <w:rPr>
          <w:rFonts w:ascii="Times New Roman" w:hAnsi="Times New Roman"/>
          <w:color w:val="000000" w:themeColor="text1"/>
          <w:sz w:val="16"/>
          <w:szCs w:val="16"/>
        </w:rPr>
      </w:pPr>
    </w:p>
    <w:p w14:paraId="377837A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января 1943 японцы начали эвакуацию из Гвадалканала (2262).</w:t>
      </w:r>
    </w:p>
    <w:p w14:paraId="19FC85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983697"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7572FFF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D2A10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на Ер-2 2М-30Б на заводах 134 и 500 состоялся полет по программе, был произведен километраж. Летали 1:10. Второго полета не было из-за отказов приборов (1458,11).</w:t>
      </w:r>
    </w:p>
    <w:p w14:paraId="4677DAB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0E6429"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января</w:t>
      </w:r>
      <w:r w:rsidRPr="00D03F3E">
        <w:rPr>
          <w:rStyle w:val="ucoz-forum-post"/>
          <w:rFonts w:ascii="Times New Roman" w:hAnsi="Times New Roman"/>
          <w:color w:val="000000" w:themeColor="text1"/>
          <w:sz w:val="16"/>
          <w:szCs w:val="16"/>
        </w:rPr>
        <w:t xml:space="preserve"> 1943. Построены модификации истребителя Як-9 - дальний Як-9Д и пушечный Як-9Т с 37-мм пушкой (15000).</w:t>
      </w:r>
    </w:p>
    <w:p w14:paraId="6625763F" w14:textId="77777777" w:rsidR="004F67B9" w:rsidRPr="00D03F3E" w:rsidRDefault="004F67B9" w:rsidP="00D03F3E">
      <w:pPr>
        <w:spacing w:after="0" w:line="240" w:lineRule="auto"/>
        <w:jc w:val="both"/>
        <w:rPr>
          <w:rFonts w:ascii="Times New Roman" w:hAnsi="Times New Roman"/>
          <w:bCs/>
          <w:color w:val="000000" w:themeColor="text1"/>
          <w:sz w:val="16"/>
          <w:szCs w:val="16"/>
        </w:rPr>
      </w:pPr>
    </w:p>
    <w:p w14:paraId="46364ABE" w14:textId="77777777" w:rsidR="00F22911" w:rsidRPr="00D03F3E" w:rsidRDefault="00F22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января</w:t>
      </w:r>
      <w:r w:rsidRPr="00D03F3E">
        <w:rPr>
          <w:rFonts w:ascii="Times New Roman" w:hAnsi="Times New Roman"/>
          <w:color w:val="000000" w:themeColor="text1"/>
          <w:sz w:val="16"/>
          <w:szCs w:val="16"/>
        </w:rPr>
        <w:t xml:space="preserve"> в 1943 году построены модификации истребителя «Як-9» - дальний «Як-9Д» и пушечный «Як-9Т» с 37-мм пушкой. «Як-9» был создан как истребитель для сопровождения бомбардировщиков дальней авиации. Создатели дальнего «Як-9Д» сумели разместить горючее во внутренних баках, и скорость при этом существенно не снизилась (605 км/ч). Радиус виража составлял 290 м, дальность полета увеличилась с 1000 до 2200 км. Мощность моторов - 1180 л.с. «Як-9» - один из немногих самолетов Яковлева, который приспосабливали для выполнения различных боевых задач. Например, существовал самолет-разведчик «Як-9Р», у которого за кабиной пилота в отсеке помещался фотоаппарат. Существовал также «Як-9ПД» - самолет-перехватчик. На истребителях «Як-9Т» ставилась мощная пушка «НС-37». Вес снаряда составлял 735 г, а скорострельность равнялась 250 выстрелам в минуту (15000).</w:t>
      </w:r>
    </w:p>
    <w:p w14:paraId="2BDE3E88" w14:textId="77777777" w:rsidR="00F22911" w:rsidRPr="00D03F3E" w:rsidRDefault="00F22911" w:rsidP="00D03F3E">
      <w:pPr>
        <w:spacing w:after="0" w:line="240" w:lineRule="auto"/>
        <w:jc w:val="both"/>
        <w:rPr>
          <w:rFonts w:ascii="Times New Roman" w:hAnsi="Times New Roman"/>
          <w:color w:val="000000" w:themeColor="text1"/>
          <w:sz w:val="16"/>
          <w:szCs w:val="16"/>
        </w:rPr>
      </w:pPr>
    </w:p>
    <w:p w14:paraId="0811A34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Н.Н.П. писал Н.А.Жемчужину:</w:t>
      </w:r>
    </w:p>
    <w:p w14:paraId="27B1934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«Многоуважаемый Николай Алексеевич!</w:t>
      </w:r>
    </w:p>
    <w:p w14:paraId="626C561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Новым Годом и м.б. [может быть] с новым счасть</w:t>
      </w:r>
      <w:r w:rsidRPr="00D03F3E">
        <w:rPr>
          <w:rFonts w:ascii="Times New Roman" w:hAnsi="Times New Roman"/>
          <w:color w:val="000000" w:themeColor="text1"/>
          <w:sz w:val="16"/>
          <w:szCs w:val="16"/>
        </w:rPr>
        <w:softHyphen/>
        <w:t>ем! Мы на сегодня все же имеем кое-какие шансы на на</w:t>
      </w:r>
      <w:r w:rsidRPr="00D03F3E">
        <w:rPr>
          <w:rFonts w:ascii="Times New Roman" w:hAnsi="Times New Roman"/>
          <w:color w:val="000000" w:themeColor="text1"/>
          <w:sz w:val="16"/>
          <w:szCs w:val="16"/>
        </w:rPr>
        <w:softHyphen/>
        <w:t>шу машину. Дело в том, что вот уже недели полторы начали ходить к нам посетители по вопросу внедрения нашей машины к Филимончуку (директор завода №81. - В.И.). Сначала был Филимончук со своими прибли</w:t>
      </w:r>
      <w:r w:rsidRPr="00D03F3E">
        <w:rPr>
          <w:rFonts w:ascii="Times New Roman" w:hAnsi="Times New Roman"/>
          <w:color w:val="000000" w:themeColor="text1"/>
          <w:sz w:val="16"/>
          <w:szCs w:val="16"/>
        </w:rPr>
        <w:softHyphen/>
        <w:t>женными и Зам. Нач. 1-го главка, а затем последователь</w:t>
      </w:r>
      <w:r w:rsidRPr="00D03F3E">
        <w:rPr>
          <w:rFonts w:ascii="Times New Roman" w:hAnsi="Times New Roman"/>
          <w:color w:val="000000" w:themeColor="text1"/>
          <w:sz w:val="16"/>
          <w:szCs w:val="16"/>
        </w:rPr>
        <w:softHyphen/>
        <w:t>но приходили Гл. Технолог Главка, Гл. Инженер Главка и ряд работников завода Филимончука. Все материалы, включая 2 компл. чертежей, взял у нас завод для изуче</w:t>
      </w:r>
      <w:r w:rsidRPr="00D03F3E">
        <w:rPr>
          <w:rFonts w:ascii="Times New Roman" w:hAnsi="Times New Roman"/>
          <w:color w:val="000000" w:themeColor="text1"/>
          <w:sz w:val="16"/>
          <w:szCs w:val="16"/>
        </w:rPr>
        <w:softHyphen/>
        <w:t>ния и проработки. Никто толком ничего не говорит, но ходят упорные слухи, что вопрос о запуске прорабаты</w:t>
      </w:r>
      <w:r w:rsidRPr="00D03F3E">
        <w:rPr>
          <w:rFonts w:ascii="Times New Roman" w:hAnsi="Times New Roman"/>
          <w:color w:val="000000" w:themeColor="text1"/>
          <w:sz w:val="16"/>
          <w:szCs w:val="16"/>
        </w:rPr>
        <w:softHyphen/>
        <w:t>вается в ЦК совместно с НКАП. Горячие головы говорят о двух-трех днях. Очевидно, что подходит время и, хотя [государственные] испытания не закончены, а прихо</w:t>
      </w:r>
      <w:r w:rsidRPr="00D03F3E">
        <w:rPr>
          <w:rFonts w:ascii="Times New Roman" w:hAnsi="Times New Roman"/>
          <w:color w:val="000000" w:themeColor="text1"/>
          <w:sz w:val="16"/>
          <w:szCs w:val="16"/>
        </w:rPr>
        <w:softHyphen/>
        <w:t>дится решать [вопрос о запуске в серию], хотя бы на ос</w:t>
      </w:r>
      <w:r w:rsidRPr="00D03F3E">
        <w:rPr>
          <w:rFonts w:ascii="Times New Roman" w:hAnsi="Times New Roman"/>
          <w:color w:val="000000" w:themeColor="text1"/>
          <w:sz w:val="16"/>
          <w:szCs w:val="16"/>
        </w:rPr>
        <w:softHyphen/>
        <w:t>нове заводских данных. Мы проделали большую работу по выявлению облегчений [И-185] - дошли до - 428 кг при трех агрегатах Шпитального. Сейчас приступили к исправлению калек. Спешим, чтобы успеть. Моторы до сих пор еще ни для эталона, ни для 02 не получены. Кто-то придерживает» (10667).</w:t>
      </w:r>
    </w:p>
    <w:p w14:paraId="712EE8B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A2E88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года Камов в письме на</w:t>
      </w:r>
      <w:r w:rsidRPr="00D03F3E">
        <w:rPr>
          <w:rFonts w:ascii="Times New Roman" w:hAnsi="Times New Roman"/>
          <w:color w:val="000000" w:themeColor="text1"/>
          <w:sz w:val="16"/>
          <w:szCs w:val="16"/>
        </w:rPr>
        <w:softHyphen/>
        <w:t>чальнику инспекции ВВС при заместителе наркома обороны полковнику В.И.Сталину сообщает:</w:t>
      </w:r>
    </w:p>
    <w:p w14:paraId="17BF95D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лета 1942 года мы продолжаем постройку опытного автожира АК, взлетающего без разбега. Сейчас уже в основном закончены все агрегаты и идет их окончательный монтаж и мелкие доводки. Считаю, что в течение примерно месяца машина может быть подготовлена к началу испытаний».</w:t>
      </w:r>
    </w:p>
    <w:p w14:paraId="2BE3B97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этом же письме Камов выражает беспокойство по поводу дошедших до него сведений о предполагаемом прекращении работ по винтовым ма</w:t>
      </w:r>
      <w:r w:rsidRPr="00D03F3E">
        <w:rPr>
          <w:rFonts w:ascii="Times New Roman" w:hAnsi="Times New Roman"/>
          <w:color w:val="000000" w:themeColor="text1"/>
          <w:sz w:val="16"/>
          <w:szCs w:val="16"/>
        </w:rPr>
        <w:softHyphen/>
        <w:t>шинам. Он убедительно просит В.И.Сталина «вмешаться и помочь сохра</w:t>
      </w:r>
      <w:r w:rsidRPr="00D03F3E">
        <w:rPr>
          <w:rFonts w:ascii="Times New Roman" w:hAnsi="Times New Roman"/>
          <w:color w:val="000000" w:themeColor="text1"/>
          <w:sz w:val="16"/>
          <w:szCs w:val="16"/>
        </w:rPr>
        <w:softHyphen/>
        <w:t>нить громадные технические ценности нашего коллектива — результаты многолетнего серьезного труда...» (10224,56).</w:t>
      </w:r>
    </w:p>
    <w:p w14:paraId="5A4FB13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4EB61E"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6CAD71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ED8B2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г. вышел приказ НКТП № 6 во исполнение постановления ГКО № 2692 от 4 января 1943 г., в котором подчеркивалось. что ГКО придает работе по СУ-152 исключительное значение (6001,20).</w:t>
      </w:r>
    </w:p>
    <w:p w14:paraId="37FF2FD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DBA73E" w14:textId="77777777" w:rsidR="00E56A12" w:rsidRPr="00D03F3E" w:rsidRDefault="00E56A12" w:rsidP="00D03F3E">
      <w:pPr>
        <w:pStyle w:val="a3"/>
        <w:rPr>
          <w:color w:val="000000" w:themeColor="text1"/>
          <w:lang w:val="ru-RU"/>
        </w:rPr>
      </w:pPr>
      <w:r w:rsidRPr="00D03F3E">
        <w:rPr>
          <w:color w:val="000000" w:themeColor="text1"/>
          <w:lang w:val="ru-RU"/>
        </w:rPr>
        <w:t>5 января 1943 нар</w:t>
      </w:r>
      <w:r w:rsidRPr="00D03F3E">
        <w:rPr>
          <w:color w:val="000000" w:themeColor="text1"/>
          <w:lang w:val="ru-RU"/>
        </w:rPr>
        <w:softHyphen/>
        <w:t xml:space="preserve">ком танковой промышленности И.М. Зальцман издал приказ №6сс «Об изготовлении образца 152-мм самоходной пушки на базе танка </w:t>
      </w:r>
      <w:r w:rsidRPr="00D03F3E">
        <w:rPr>
          <w:color w:val="000000" w:themeColor="text1"/>
        </w:rPr>
        <w:t>KB</w:t>
      </w:r>
      <w:r w:rsidRPr="00D03F3E">
        <w:rPr>
          <w:color w:val="000000" w:themeColor="text1"/>
          <w:lang w:val="ru-RU"/>
        </w:rPr>
        <w:t>-1С». Согласно приказу, чертежи установки главным конструкто</w:t>
      </w:r>
      <w:r w:rsidRPr="00D03F3E">
        <w:rPr>
          <w:color w:val="000000" w:themeColor="text1"/>
          <w:lang w:val="ru-RU"/>
        </w:rPr>
        <w:softHyphen/>
        <w:t>ром Ж.Я. Котиным выдавались к 10 числу. К 18 января завод №200 дол</w:t>
      </w:r>
      <w:r w:rsidRPr="00D03F3E">
        <w:rPr>
          <w:color w:val="000000" w:themeColor="text1"/>
          <w:lang w:val="ru-RU"/>
        </w:rPr>
        <w:softHyphen/>
        <w:t>жен был подать на сборку готовый корпус, а окончательным сроком изготовления КВ-14 определялось 25 января. К 29 числу планиро</w:t>
      </w:r>
      <w:r w:rsidRPr="00D03F3E">
        <w:rPr>
          <w:color w:val="000000" w:themeColor="text1"/>
          <w:lang w:val="ru-RU"/>
        </w:rPr>
        <w:softHyphen/>
        <w:t>валось завершить заводские испытания самоходной установки с пода</w:t>
      </w:r>
      <w:r w:rsidRPr="00D03F3E">
        <w:rPr>
          <w:color w:val="000000" w:themeColor="text1"/>
          <w:lang w:val="ru-RU"/>
        </w:rPr>
        <w:softHyphen/>
        <w:t>чей ее 1 февраля на полигонные испытания. Что касается орудийной системы, то переделанную для установки в КВ-14 пушку-гаубицу МЛ- 20 планировалось получить 23 января (17484).</w:t>
      </w:r>
    </w:p>
    <w:p w14:paraId="2CABE8B1" w14:textId="77777777" w:rsidR="00E56A12" w:rsidRPr="00D03F3E" w:rsidRDefault="00E56A12" w:rsidP="00D03F3E">
      <w:pPr>
        <w:spacing w:after="0" w:line="240" w:lineRule="auto"/>
        <w:jc w:val="both"/>
        <w:rPr>
          <w:rFonts w:ascii="Times New Roman" w:hAnsi="Times New Roman"/>
          <w:color w:val="000000" w:themeColor="text1"/>
          <w:sz w:val="16"/>
          <w:szCs w:val="16"/>
        </w:rPr>
      </w:pPr>
    </w:p>
    <w:p w14:paraId="5A0A88BE" w14:textId="77777777" w:rsidR="001A585A" w:rsidRPr="00D03F3E" w:rsidRDefault="001A585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5 января 1943 Зальцман издал приказ №6сс «об изготовлении образца 152 мм самоходной пушки на базе танка КВ-1С». Согласно приказу, чертежи установки должны были быть выданы главным конструктором Ж.Я. Котиным к 10 числу. К 18 января завод №200 должен был подать на сборку готовый корпус, а окончательным сроком изготовления КВ-14 определялось 25 января. К 29 числу планировалось завершить заводские испытания самоходной установки с подачей ее 1 февраля на полигонные испытания. 6 января были подписаны тактико-технические требования, в целом повторявшие постановление ГКО №2692.</w:t>
      </w:r>
    </w:p>
    <w:p w14:paraId="612CD4F0" w14:textId="77777777" w:rsidR="001A585A" w:rsidRPr="00D03F3E" w:rsidRDefault="001A585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Сразу после получения требований в СКБ-2 закипела работа. Согласно сводкам Главного бронетанкового управления (ГБТУ), первые чертежи установки были сданы в производство 8 января, а последние – 10 числа. На следующий день была произведена расцеховка деталей, параллельно с этим продолжалась работа по макету. Модели бронировок системы были закончены 14 числа, а макет КВ-14 был построен и утверждён 17 января. 19 января на корпусном заводе №200 были готовы листы рубки, которые в тот же день стали монтировать на корпус КВ-1С. На следующее утро с завода №200 прибыл готовый корпус опытного образца. В тот же день начались монтажные работы: была закончена центровка двигателя и КПП, установлены балансиры и торсионные валы (17696).</w:t>
      </w:r>
    </w:p>
    <w:p w14:paraId="0FF1D4F4" w14:textId="77777777" w:rsidR="001A585A" w:rsidRPr="00D03F3E" w:rsidRDefault="001A585A" w:rsidP="00D03F3E">
      <w:pPr>
        <w:spacing w:after="0" w:line="240" w:lineRule="auto"/>
        <w:jc w:val="both"/>
        <w:rPr>
          <w:rFonts w:ascii="Times New Roman" w:eastAsia="Times New Roman" w:hAnsi="Times New Roman"/>
          <w:color w:val="000000" w:themeColor="text1"/>
          <w:sz w:val="16"/>
          <w:szCs w:val="16"/>
          <w:lang w:eastAsia="ru-RU"/>
        </w:rPr>
      </w:pPr>
    </w:p>
    <w:p w14:paraId="4B835F5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года вышел приказ № 4с НКВ</w:t>
      </w:r>
    </w:p>
    <w:p w14:paraId="09ED907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 передачей завода № 592 Наркомтанкопрому приказ № 633 от 18 декабря 1942 года исключить из числа действующих (6436, 8).</w:t>
      </w:r>
    </w:p>
    <w:p w14:paraId="79CC8C8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38330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вышло Постановление ГКО № 2694 О плане производства боеприпасов на январь месяц и I квартал 1943 года.РГАНИР, Фонд ГКО, д. 76, лл. 1-41, 42-348 (11012).</w:t>
      </w:r>
    </w:p>
    <w:p w14:paraId="020B0DB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1A85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5 января 1943 вышло Постановление ГКО № 2695 О плане производства и поставок артиллерийского и стрелкового вооружения и военных приборов на январь и I квартал 1943 года.РГАНИР, Фонд ГКО, д. 77, лл. 1-15, 16-78 (11012).</w:t>
      </w:r>
    </w:p>
    <w:p w14:paraId="7D80F6D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8A777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вышло Постановление ГКО № 2696 О плане производства минометов на январь месяц и I квартал 1943 года.РГАНИР, Фонд ГКО, д. 77, лл. 79-84, 85-106 (11012).</w:t>
      </w:r>
    </w:p>
    <w:p w14:paraId="7614DBB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3E58D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вышло Постановление ГКО № 2697 О плане производства и поставок пулеметов-пистолетов Шпагина в январе и I квартале 1943 года.РГАНИР, Фонд ГКО, д. 77, лл. 107-112, 113-123 (11012).</w:t>
      </w:r>
    </w:p>
    <w:p w14:paraId="07E239A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CA421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вышло Постановление ГКО № 2698 О плане производства патронов и звеньев в первом квартале 1943 года.РГАНИР, Фонд ГКО, д. 77, лл. 124-127, 128-133 (11012).</w:t>
      </w:r>
    </w:p>
    <w:p w14:paraId="46571DD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2089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вышло Постановление ГКО № 2699 О плане производства и поставок лыжных установок, волокуш, лодок-волокуш и снегоступов для артиллерийского минометного и стрелкового вооружения на первый квартал 1943 года.РГАНИР, Фонд ГКО, д. 77, лл. 134-135, 136-142 (11012).</w:t>
      </w:r>
    </w:p>
    <w:p w14:paraId="564D057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D7522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вышло Постановление ГКО № 2700 О плане производства химикатов для боеприпасов в январе и I квартале 1943 года.РГАНИР, Фонд ГКО, д. 77, лл. 143-155, 156-159 (11012).</w:t>
      </w:r>
    </w:p>
    <w:p w14:paraId="5676F37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67D60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вышло Постановление ГКО № 2701 Об общем плане погрузки народнохозяйственных и воинских грузов на январь 1943 года. (7070, 160).</w:t>
      </w:r>
    </w:p>
    <w:p w14:paraId="268ABFA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E7663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вышло Постановление ГКО № 2702 О добыче нефти и выработке нефтепродуктов в январе и I квартале 1943 г.РГАНИР, Фонд ГКО, д. 77, лл. 161-163, 164-166 (11012).</w:t>
      </w:r>
    </w:p>
    <w:p w14:paraId="4F48880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970B5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вышло Постановление ГКО № 2703 Об укупорке зарядов к 120 мм полковым минометам.РГАНИР, Фонд ГКО, д. 77, лл. 167 (11012).</w:t>
      </w:r>
    </w:p>
    <w:p w14:paraId="399A2B0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713DA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вышло Распоряжение ГКО. № 2706 Об освобождении НКСМ от поставок Главторфу НКЭС 100 комплектов газогенераторных тракторных установок ГТ-2.РГАНИР, Фонд ГКО, д. 79, лл. 1 (11012).</w:t>
      </w:r>
    </w:p>
    <w:p w14:paraId="1557EE0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53C774"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вышло Постановление ГКО № 2704 О пуске в эксплуатацию новой радиостанции, построенной в районе г. Куйбышева. (7070, 168).</w:t>
      </w:r>
    </w:p>
    <w:p w14:paraId="4E179477"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A7859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вышло Постановление ГКО № 2705 О плане перевозок народнохозяйственных грузов по железнодорожному и водному транспорту на январь 1943 года. (7071, 1-3,4-150).</w:t>
      </w:r>
    </w:p>
    <w:p w14:paraId="2ABC4B45"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A05B14"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вышло Постановление ГКО № 2707 Об организации производства автомобильных шин на Ереванском заводе резиновых технических изделий Наркомрезинпрома. (7072, 2-5,6-8).</w:t>
      </w:r>
    </w:p>
    <w:p w14:paraId="66D2CCE7"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0BB46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вышло Постановление ГКО № 2708 Об обеспечении шпалами и брусьями НКПС в 1943 г. (7072, 9-12,13-14).</w:t>
      </w:r>
    </w:p>
    <w:p w14:paraId="1C1592C4"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AC228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г. вышло РАСПОРЯЖЕНИЕ ЗАМЕСТИТЕЛЯ НАЧАЛЬНИКА ГШ КА НАЧАЛЬНИКУ ГАВТУ КА ОБ ОБЕСПЕЧЕНИИ МАСКИРОВОЧНЫМИ ПРИСПОСОБЛЕНИЯМИ АВТОТРАНСПОРТА ВОИНСКИХ ЧАСТЕЙ №11080</w:t>
      </w:r>
    </w:p>
    <w:p w14:paraId="20B546C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сообщению начальника Главного управления местной ПВО НКВД Союза ССР автотранспорт воинских частей передвигается в условиях затемнения с незамаскированным светом фар. Большая часть автотранспорта не обеспечена маскировочными приспособлениями, обеспечивающими над</w:t>
      </w:r>
      <w:r w:rsidRPr="00D03F3E">
        <w:rPr>
          <w:rFonts w:ascii="Times New Roman" w:hAnsi="Times New Roman"/>
          <w:color w:val="000000" w:themeColor="text1"/>
          <w:sz w:val="16"/>
          <w:szCs w:val="16"/>
        </w:rPr>
        <w:softHyphen/>
        <w:t>лежащее пользование ими в условиях затемнения.</w:t>
      </w:r>
    </w:p>
    <w:p w14:paraId="6569CAF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дать распоряжение о принятии срочных мер по обеспечению войсковых автомашин маскировочными приспособлениями, удовлетворяющими требованиям нормального вождения их в условиях затемнения.</w:t>
      </w:r>
    </w:p>
    <w:p w14:paraId="269C41D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принятых мерах прошу сообщить.</w:t>
      </w:r>
    </w:p>
    <w:p w14:paraId="5395D1D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Генерального штаба КА генерал-лейтенант Антонов</w:t>
      </w:r>
    </w:p>
    <w:p w14:paraId="359FA93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41. Оп. 11592. Д. 79. Л. 1. Подлинник (11403).</w:t>
      </w:r>
    </w:p>
    <w:p w14:paraId="492BEF8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912FF7"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DE9DE5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046223"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3335B614"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2E96DD2E"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w:t>
      </w:r>
    </w:p>
    <w:p w14:paraId="6CB0053A"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января наши войска после решительной атаки овладели городом и железнодорожной станцией Нальчик.</w:t>
      </w:r>
    </w:p>
    <w:p w14:paraId="37C561E8"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наши войска овладели городом и железнодорожным узлом Прохладный, городом Майское и железнодорожным узлом Котляревская.</w:t>
      </w:r>
    </w:p>
    <w:p w14:paraId="2A49C10C"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упорного боя наши войска овладели городом и железнодорожной станцией Морозовский и районным центром Цымлянская.</w:t>
      </w:r>
    </w:p>
    <w:p w14:paraId="6A7FB2F0"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Взяты трофеи и пленные.».</w:t>
      </w:r>
    </w:p>
    <w:p w14:paraId="40008943"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w:t>
      </w:r>
    </w:p>
    <w:p w14:paraId="6F9EB4A4"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войсками на Северном Кавказе в боях с немецкими оккупантами с 24 декабря 1942 года по 4 января 1943 года взяты следующие трофеи: танков — 150, орудий — 109, пулемётов — 268, винтовок — около 5.000, противотанковых и противопехотных мин— 59.000, патронов — свыше 500.000, автомашин — 253, складов с боеприпасами и продовольствием — 15.</w:t>
      </w:r>
    </w:p>
    <w:p w14:paraId="3684E799"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этот же период уничтожено: самолётов — 18, танков — . 170, орудий — 42, пулемётов — 222, автомашин с грузом и военным снаряжением — 390.</w:t>
      </w:r>
    </w:p>
    <w:p w14:paraId="23B5A157"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время с 24 декабря 1942 года по 4 января 1943 года противник потерял только убитыми свыше 11.000 солдат и офицеров.».</w:t>
      </w:r>
    </w:p>
    <w:p w14:paraId="09FB4865"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5 января наши войска в районе Среднего Дона, юго-западнее и южнее Сталинграда, на Центральном фронте и на Северном Кавказе продолжали вести наступательные бои на прежних направлениях.</w:t>
      </w:r>
    </w:p>
    <w:p w14:paraId="0815109A"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Сталинграда наши войска вели огневой бой и разведку противника. В заводском районе наши подразделения ночью проникли в расположение гитлеровцев и захватили несколько зданий. Северо-западнее Сталинграда советские артиллеристы разрушили 7 немецких дзотов и блиндажей, взорвали склад боеприпасов и рассеяли роту вражеской пехоты.</w:t>
      </w:r>
    </w:p>
    <w:p w14:paraId="2B2AA97B"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и южнее Сталинграда наши войска продолжали наступление и заняли несколько населённых пунктов. На одном участке наши артиллеристы уничтожили на посадочной площадке 11 немецких самолётов, подавили огонь артиллерийской и миномётной батареи противника. На другом участке немцы предприняли контратаку, но, встреченные пулемётным и залповым ружейным огнём, в беспорядке отошли на исходные позиции, оставив на поле боя много трупов.</w:t>
      </w:r>
    </w:p>
    <w:p w14:paraId="1EB49CBE"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Дона наши войска продолжали успешное наступление. На одном участке завязался бой со свежими вражескими силами, только что прибывшими на фронт. Немцам вначале удалось потеснить наши подразделения. Тогда вступили в бой советские танкисты. Ударив противнику во фланг, наши танки смешали боевые порядки гитлеровцев, нанесли им тяжёлый урон и вынудили отступить. Подбито и сожжено 49 вражеских танков, уничтожено несколько сот немецких солдат и офицеров. На другом участке наши бойцы, преследуя отступающего противника, заняли ряд населённых пунктов.</w:t>
      </w:r>
    </w:p>
    <w:p w14:paraId="11EDDC53"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юго-западнее Великих Лук, бойцы Н-ской части, преодолев минные поля и проволочные заграждения, ворвались в сильно укреплённый узел вражеской обороны. После ожесточённой схватки противник был выбит с этого рубежа. Захвачены 9 пулемётов, 4 миномёта, радиостанция и склад с боеприпасами.</w:t>
      </w:r>
    </w:p>
    <w:p w14:paraId="6D2A1193"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западнее Ржева наши части отразили атаки мелких групп противника.</w:t>
      </w:r>
    </w:p>
    <w:p w14:paraId="01F121CD"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Советские разведчики ночью пробрались в тыл немцев, истребили 30 гитлеровцев и взорвали несколько дзотов.</w:t>
      </w:r>
    </w:p>
    <w:p w14:paraId="1AAA7072"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продолжали продвигаться вперёд и заняли несколько населённых пунктов. Особенно ожесточённый бой произошёл в районе большого села. Немцы бросили в контратаку значительное количество пехоты и танков. Артиллеристы, сопровождавшие наших пехотинцев, открыли огонь и подбили 8 вражеских танков. В рукопашной схватке, действуя штыком и прикладом, советские бойцы разгромили гитлеровцев и заняли село. На поле боя подсчитано 330 вражеских трупов. По предварительным данным, только одной нашей частью при взятии города Моздока разгромлено два немецких батальона, захвачены 15 танков, 8 орудий, походная автомастерская, два больших склада с боеприпасами, много мотоциклов и велосипедов.</w:t>
      </w:r>
    </w:p>
    <w:p w14:paraId="17A87706"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На Ленинградском фронте наши снайперы за три дня истребили 479 гитлеровцев. Огнём артиллерии разрушено 45 вражеских дзотов и блиндажей, взорвано 2 склада с боеприпасами.</w:t>
      </w:r>
    </w:p>
    <w:p w14:paraId="34EACEBD"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орловских партизан пустила под откос немецкий воинский эшелон. Разбито 7 платформ с зенитными орудиями, 10 платформ с танками и 2 вагона с солдатами. Партизаны другого отряда, действующего в Орловской области, организовали крушение воинского эшелона. Убито до 200 немецких солдат и офицеров.</w:t>
      </w:r>
    </w:p>
    <w:p w14:paraId="2F09ECEC"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Котельникова на сторону Красной Армии перешёл унтер-офицер 6 немецкой танковой дивизии Эмиль К. Перебежчик рассказал: «До последнего времени наша дивизия находилась во Франции. Когда русские начали наступление в районе Сталинграда, многие немецкие части были дополнительно переброшены из Франции на Восток. Так, в ноябре 1942 года отправлена в Россию 337 пехотная дивизия, которая находилась во Франции с марта 1941 года. Вскоре вслед за ней была в спешном порядке переброшена и наша танковая дивизия. Теперь, если не считать дивизий СС, во Франции остались части, укомплектованные, как правило, неполноценными солдатами. Например, в резервных батальонах очень много солдат, признанных годными лишь к гарнизонной службе на родине или к нестроевой службе в тыловых частях».</w:t>
      </w:r>
    </w:p>
    <w:p w14:paraId="2AD2DF6B"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новогоднюю ночь бельгийские патриоты убили в Брюсселе несколько немецких оккупантов. В кафе, где немецкие офицеры собрались встретить Новый год, было брошено несколько гранат. Среди гитлеровцев имеется много убитых и раненых.» (15000).</w:t>
      </w:r>
    </w:p>
    <w:p w14:paraId="76D1E2DC" w14:textId="77777777" w:rsidR="004F67B9" w:rsidRPr="00D03F3E" w:rsidRDefault="004F67B9" w:rsidP="00D03F3E">
      <w:pPr>
        <w:spacing w:after="0" w:line="240" w:lineRule="auto"/>
        <w:jc w:val="both"/>
        <w:rPr>
          <w:rFonts w:ascii="Times New Roman" w:hAnsi="Times New Roman"/>
          <w:color w:val="000000" w:themeColor="text1"/>
          <w:sz w:val="16"/>
          <w:szCs w:val="16"/>
        </w:rPr>
      </w:pPr>
    </w:p>
    <w:p w14:paraId="6CF90DB3"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298F8EEE"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5 января наши войска в районе Среднего Дона, юго-западнее и южнее Сталинграда, на Центральном фронте и на Северном Кавказе вели наступательные бои на прежних направлениях. Наши войска овладели городом и железнодорожной станцией Нальчик, городом и железнодорожным узлом Прохладный, городом Майское и железнодорожным узлом Котляревская, городом и железнодорожной станцией Морозовский и районным центром Цымлянсная.</w:t>
      </w:r>
    </w:p>
    <w:p w14:paraId="036B0087"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заводском районе Сталинграда нашими снайперами и разведчиками уничтожено более 100 гитлеровцев. Западнее Сталинграда наши части вели упорные бои за две важные высоты. Под прикрытием артиллерийского огня наши бойцы ворвались в расположение противника и заняли 20 окопов и блиндажей. Захвачено 4 орудия, 16 пулемётов, 134 винтовки. Взяты пленные.</w:t>
      </w:r>
    </w:p>
    <w:p w14:paraId="3AFFFA22"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Сталинграда за день сбито 9 немецких самолётов.</w:t>
      </w:r>
    </w:p>
    <w:p w14:paraId="092BC1F2"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и южнее Сталинграда наши войска продолжали наступление. Ожесточённый бой произошёл у одного выгодного рубежа. Гитлеровцы бросили значительные силы, стремясь во что бы то ни стало удержать позиции. Советские артиллеристы с открытых позиций подавили огневое сопротивление противника и расчистили путь нашей пехоте. Решительным броском бойцы ворвались в расположение немцев и вынудили их к отступлению. Захвачены трофеи, в числе которых 11 орудий, 7 миномётов, 28 пулемётов и склад боеприпасов. Южнее Сталинграда наши подразделения, преследуя отходящего противника, разгромили батальон немецкой пехоты.</w:t>
      </w:r>
    </w:p>
    <w:p w14:paraId="6EBC215A"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Дона наши войска продолжали успешное наступление и заняли несколько населённых пунктов. На одном участке бойцы Н-ской части истребили оказавший сопротивление окружённый вражеский гарнизон. Взяты пленные, принадлежащие к частям немецкой авиаполевой дивизии, и в числе их командир полка. На другом участке наши стрелковые части штурмом овладели городом и крупной железнодорожной станцией Морозовский. Захвачены пленные и большие трофеи, которые подсчитываются.</w:t>
      </w:r>
    </w:p>
    <w:p w14:paraId="42585BA0"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наши войска закреплялись на достигнутых рубежах и на отдельных участках вели наступательные бои. Юго-западнее Великих Лук пехота противника при поддержке танков пыталась атаковать наши части. Все атаки гитлеровцев отбиты с большими для противника потерями. На соседнем участке подразделение, где командиром тов. Стариков, захватило 19 немецких автомашин, орудие, склад с боеприпасами и 25 лошадей. Ружейно-пулемётным огнём наши бойцы сбили 2 немецких самолёта.</w:t>
      </w:r>
    </w:p>
    <w:p w14:paraId="52BFF28C"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успешно развивали наступление и заняли ряд населённых пунктов. Упорные бои происходили на подступах к Нальчику. Немцы опоясали город рядами мощных инженерных сооружений и минировали все подступы. Наши бойцы при поддержке артиллерии и танков преодолели все препятствия, ночью ворвались в город и после решительной атаки овладели им. На подступах к Нальчику и на улицах города противник оставил сотни трупов своих солдат и офицеров. На другом участке наши войска с востока и с юга ворвались в город Прохладный и в результате ожесточённого боя очистили город от немцев. Захвачено, по неполным данным, 25 танков и бронемашин, 27 орудий, 37 пулемётов, 1.000 винтовок, 63 автомашины и 6 складов. Подсчёт трофеев продолжается.</w:t>
      </w:r>
    </w:p>
    <w:p w14:paraId="28C8D481"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Минской области, за десять дней боевых действий уничтожил два немецких гарнизона и пустил под откос 4 железнодорожных эшелона противника. Разбито 4 паровоза и 28 вагонов. В боях с оккупантами и при крушении поездов истреблено до 400 немецких солдат и офицеров. Захвачены трофеи: радиостанция, 7 пулемётов, 120 винтовок и несколько тысяч патронов.</w:t>
      </w:r>
    </w:p>
    <w:p w14:paraId="3B8D2511"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Ленинском посёлке, Орджоникидзевского края: «Гитлеровские бандиты разорили наш колхоз и жителей посёлка. У колхозника Новикова немцы отняли корову, тёлку, 5 овец; у колхозницы Раковой зарезали 4 овцы и бычка. Всего грабители зарезали или угнали 3 тысячи овец, 300 голов крупного скота и много домашней птицы. У многих колхозников немцы отобрали ценные вещи и переломали домашнюю утварь. Гитлеровцы уничтожили колхозную ферму, колхозную конюшню и другие общественные постройки. Фашисты зверски обращались с населением, избивали колхозников, всячески издевались над мирными жителями». Акт подписали: колхозники Новикова А., Черных Н., Ракова А., Новикова М.».</w:t>
      </w:r>
    </w:p>
    <w:p w14:paraId="30D3CC9A"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485CF81A"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Трофеи наших войск и потери противника юго-западнее и южнее Сталинграда.</w:t>
      </w:r>
    </w:p>
    <w:p w14:paraId="31A6D437"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 по 5 января 1943 года нашими войсками юго-западнее и южнее Сталинграда в боях с немецко-фашистскими захватчиками взяты следующие трофеи: самолётов — 27,танков — 56, пулемётов — 429, миномётов — 267, противотанковых ружей — 1.016, автоматов — 10.000, винтовок — 15.770, снарядов — свыше 3.000.000, патронов —свыше 20.000.000, авиабомб — 500.000, радиостанций — 83, автомашин с боеприпасами и продовольствием — 239, лошадей — 3.217, повозок с военным грузом— 4.400, паровозов — 18, вагонов — 400, складов разных — 37.</w:t>
      </w:r>
    </w:p>
    <w:p w14:paraId="6828027E"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Взято в плен 6.500 солдат и офицеров, а всего с ранее взятыми в плен начинаяс 19 ноября 1942 г. нашими войсками взято в плен — 144.150 солдат и офицеровпротивника.</w:t>
      </w:r>
    </w:p>
    <w:p w14:paraId="61F484AC"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время с 1 по 5 января 1943 г. уничтожено: самолётов — 88, танков — 118, орудий разных калибров — 122, миномётов — 291, пулемётов — 787, автомашин свойсками и военным грузом — 570, мотоциклов — 340, вагонов — 432, складов разных— 20.</w:t>
      </w:r>
    </w:p>
    <w:p w14:paraId="7C929FB6" w14:textId="77777777" w:rsidR="004F67B9" w:rsidRPr="00D03F3E" w:rsidRDefault="004F67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время с 1 по 5 января 1943 года противник потерял только убитыми свыше 20.000 солдат и офицеров.» (15000).</w:t>
      </w:r>
    </w:p>
    <w:p w14:paraId="2005F22B" w14:textId="77777777" w:rsidR="004F67B9" w:rsidRPr="00D03F3E" w:rsidRDefault="004F67B9" w:rsidP="00D03F3E">
      <w:pPr>
        <w:spacing w:after="0" w:line="240" w:lineRule="auto"/>
        <w:jc w:val="both"/>
        <w:rPr>
          <w:rFonts w:ascii="Times New Roman" w:hAnsi="Times New Roman"/>
          <w:color w:val="000000" w:themeColor="text1"/>
          <w:sz w:val="16"/>
          <w:szCs w:val="16"/>
        </w:rPr>
      </w:pPr>
    </w:p>
    <w:p w14:paraId="1F28289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советские войска освободили от фашистов Цимлянск и захватили самую крупную немецкую авиабазу в Морозовске, снабжавшую окруженные под Сталинградом германские войска (4962).</w:t>
      </w:r>
    </w:p>
    <w:p w14:paraId="62A957C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CF8DCA" w14:textId="77777777" w:rsidR="00747FFA" w:rsidRPr="00D03F3E" w:rsidRDefault="00747FFA"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1942 два советских Хэмпдена Н.Р.52 24 мтап летали атаковать немецкие корабли и суда и экипаж к А.А.Баштыркова был подожжен на боевом курсе, но не свернул с курса. Он и ш стали ГСС (5493, 47).</w:t>
      </w:r>
    </w:p>
    <w:p w14:paraId="317F5826" w14:textId="77777777" w:rsidR="00747FFA" w:rsidRPr="00D03F3E" w:rsidRDefault="00747FFA"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997F55" w14:textId="77777777" w:rsidR="004F67B9" w:rsidRPr="00D03F3E" w:rsidRDefault="004F67B9" w:rsidP="00D03F3E">
      <w:pPr>
        <w:pStyle w:val="book"/>
        <w:ind w:firstLine="0"/>
        <w:jc w:val="both"/>
        <w:rPr>
          <w:color w:val="000000" w:themeColor="text1"/>
          <w:sz w:val="16"/>
          <w:szCs w:val="16"/>
        </w:rPr>
      </w:pPr>
      <w:r w:rsidRPr="00D03F3E">
        <w:rPr>
          <w:color w:val="000000" w:themeColor="text1"/>
          <w:sz w:val="16"/>
          <w:szCs w:val="16"/>
        </w:rPr>
        <w:t>5 января 1943 г., приказом Наркомата обороны СССР был введен институт комендантских постов, в задачу которых входило своевременное выявление, учет, сбор, хранение и вывоз трофейного и оставленного войсками отечественного оружия, имущества, фуража и металлолома с освобожденных территорий. Армейские трофейные батальоны предполагалось использовать для сбора, учета, охраны и вывоза вооружения, имущества, продовольствия, фуража и металлолома из армейского тыла, а также вывоз на армейские склады и станционные сборные пункты вооружения и имущества, собранного трофейными ротами в войсковом тылу (15225).</w:t>
      </w:r>
    </w:p>
    <w:p w14:paraId="3CB69408" w14:textId="77777777" w:rsidR="004F67B9" w:rsidRPr="00D03F3E" w:rsidRDefault="004F67B9" w:rsidP="00D03F3E">
      <w:pPr>
        <w:pStyle w:val="book"/>
        <w:ind w:firstLine="0"/>
        <w:jc w:val="both"/>
        <w:rPr>
          <w:color w:val="000000" w:themeColor="text1"/>
          <w:sz w:val="16"/>
          <w:szCs w:val="16"/>
        </w:rPr>
      </w:pPr>
    </w:p>
    <w:p w14:paraId="4359BA9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г. вышел ПРИКАЗ № 05 О СБОРЕ И ВЫВОЗЕ ТРОФЕЙНОГО ИМУЩЕСТВА НА ФРОНТАХ И ОБЕСПЕЧЕНИИ ЕГО ХРАНЕНИЯ</w:t>
      </w:r>
    </w:p>
    <w:p w14:paraId="6457275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Постановления Государственного Комитета Обороны № 2866-сс от 2 января 1943 года “О сборе трофейного имущества на фронтах и обеспечении его хранения”</w:t>
      </w:r>
    </w:p>
    <w:p w14:paraId="7E8D063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приказываю:</w:t>
      </w:r>
    </w:p>
    <w:p w14:paraId="0333CB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Военным советам фронтов и армий обязать начальников тыла родов войск и служб всех степеней под их личную ответственность принять все меры к точному выполнению указанного Постановления ГОКО, использовав для этого все имеющиеся в их распоряжении силы и средства.</w:t>
      </w:r>
    </w:p>
    <w:p w14:paraId="750B8E6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Армейские трофейные роты, сформированные на основании Постановления ГОКО № 1481-е от 23 марта 1942 г., использовать для сбора, учета и охраны вооружения, имущества, продфуража и металлолома в войсковом тылу. Сбор вооружения и имущества ротам производить, следуя непосредственно за передовыми частями наступающих войск.</w:t>
      </w:r>
    </w:p>
    <w:p w14:paraId="57631D8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Формируемые Главным управлением формирования и укомплектования войск Красной Армии для Юго-Западного, Донского и Сталинградского фронтов армейские трофейные батальоны использовать для сбора, учета, охраны и вывоза вооружения, имущества, продфуража и металлолома из армейского тыла, а также для вывоза на армейские склады и станционные сборные пункты вооружения и имущества, собранного трофейными ротами в войсковом тылу.</w:t>
      </w:r>
    </w:p>
    <w:p w14:paraId="1070844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4. Формируемые Главным управлением формирования и укомплектования войск Красной Армии за счет личного состава и технических средств, выделяемых начальником инженерных войск Красной Армии из числа строительных колонн, трофейные фронтовые бригады для Юго-Западного, Донского и Сталинградского фронтов использовать для сбора, учета и эвакуации в тыл страны сверхтабельного и неиспользуемого фронтами, а также требующего заводского ремонта и негодного </w:t>
      </w:r>
      <w:r w:rsidRPr="00D03F3E">
        <w:rPr>
          <w:rFonts w:ascii="Times New Roman" w:hAnsi="Times New Roman"/>
          <w:color w:val="000000" w:themeColor="text1"/>
          <w:sz w:val="16"/>
          <w:szCs w:val="16"/>
        </w:rPr>
        <w:lastRenderedPageBreak/>
        <w:t>вооружения и металлолома.</w:t>
      </w:r>
    </w:p>
    <w:p w14:paraId="478EA50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Трудармейцев строительных колонн, выделенных в фронтовые трофейные бригады, довольствовать продуктами питания по норме № 2**.</w:t>
      </w:r>
    </w:p>
    <w:p w14:paraId="465CE6B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Привлекаемых Юго-Западным, Донским и Сталинградским фронтами граждан в порядке трудовой обязанности (Постановление ГОКО № 2686-сс 1943 г., пункт 6) довольствовать по норме № 3**. Конский состав довольствовать по нормам, установленным для обозных лошадей.</w:t>
      </w:r>
    </w:p>
    <w:p w14:paraId="750BBBA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Выделенные начальником Главного бронетанкового управления Красной Армии Юго-Западному, Донскому и Сталинградскому фронтам эвакороты использовать для эвакуации средних и тяжелых танков, требующих заводского ремонта, и негодных.</w:t>
      </w:r>
    </w:p>
    <w:p w14:paraId="5E2B6A0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Трофейные бригады и батальоны, с прикомандированными эвакоротами Главного бронетанкового управления Красной Армии подчинить соответственно начальникам трофейных отделов Юго-Западного, Донского и Сталинградского фронтов и входящих в их состав армий и содержать до окончания сбора трофейного и отечественного вооружения и имущества из армейских и фронтовых тыловых районов.</w:t>
      </w:r>
    </w:p>
    <w:p w14:paraId="428EB54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Во всех освобожденных от противника населенных пунктах организовать из резерва среднего и старшего командного и начальствующего состава комендантские посты, которым вменить в обязанность привлечение в порядке трудовой повинности граждан и транспортных средств для сбора, охраны и вывоза трофеев, находящихся на территории населенных пунктов, на близлежащей местности и у частных лиц.</w:t>
      </w:r>
    </w:p>
    <w:p w14:paraId="77CE3E5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Учет и охрану трофейного вооружения и имущества возложить на проверенных граждан, которых вооружить трофейным оружием и обеспечить необходимыми боеприпасами.</w:t>
      </w:r>
    </w:p>
    <w:p w14:paraId="3E3B452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Начальнику Управления трофейного вооружения, имущества и металлолома при Главном управлении тыла Красной Армии к 8 января 1943 года:</w:t>
      </w:r>
    </w:p>
    <w:p w14:paraId="02D810F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разработать и представить на утверждение председателю Центральной комиссии при ГОКО по сбору металлического лома Положение о денежном довольствии строительных колонн оборонительных строительств, выделенных для сбора и эвакуации трофеев и металлома;</w:t>
      </w:r>
    </w:p>
    <w:p w14:paraId="361028A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разработать и представить мне на утверждение Положение о комендантских постах, организуемых в освобожденных от противника населенных пунктах.</w:t>
      </w:r>
    </w:p>
    <w:p w14:paraId="24F5573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Для ремонта в полевых условиях трофейных автомашин, тракторов, танков и другой техники начальникам родов войск и служб, за счет фронтовых и армейских ремонтных средств, сформировать полевые ремонтные бригады.</w:t>
      </w:r>
    </w:p>
    <w:p w14:paraId="73204FD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Категорически запретить частям и соединениям самовольное использование автомашин, собранных на полях сражений. Все собранные автомашины сдавать только по указаниям начальников автомобильных управлений (отделов) фронтов и армий.</w:t>
      </w:r>
    </w:p>
    <w:p w14:paraId="39A4E4E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Каждому фронту определить грунтовые пути эвакуации, места переправ через реки и железнодорожные станции для сбора и вывоза трофеев, а также установить пункты, куда должно быть подвезено собранное вооружение и имущество. Трофейным органам и начальникам родов войск и служб фронтов и армий иметь на пунктах сбора трофеев своих представителей. Использовать автопорожняк для эвакуации трофеев.</w:t>
      </w:r>
    </w:p>
    <w:p w14:paraId="05EDF8B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Собранное имущество направлять в центральные склады, базы и арсеналы НКО, а также на заводы промышленности только по указаниям начальников родов войск и служб.</w:t>
      </w:r>
    </w:p>
    <w:p w14:paraId="156C32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За хищение и разбазаривание трофейного вооружения, имущества и продовольствия расхитителей и их соучастников, а также командиров подразделений и частей, не обеспечивших соответствующей охраны трофеев, предавать суду военного трибунала в соответствии с Постановлением ГОКО от 3 марта 1942 г. (об охране военного имущества в военное время).</w:t>
      </w:r>
    </w:p>
    <w:p w14:paraId="72D7F35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Военным советам фронтов и армий, командирам соединений и частей организовать среди рядового и командного состава разъяснительную работу вокруг охраны трофейного вооружения, имущества и продфуража и борьбы с расхитителями трофеев.</w:t>
      </w:r>
    </w:p>
    <w:p w14:paraId="619F25B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Начальствующий и рядовой состав, а равно привлеченных к трудовой обязанности граждан, сумевших добиться отличных показателей в деле сбора и вывоза трофеев, премировать, а особо отличившихся представлять к правительственным наградам.</w:t>
      </w:r>
    </w:p>
    <w:p w14:paraId="3177113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О ходе сбора и вывоза трофеев доносить мне через штаб тыла Красной Армии каждые пять дней по состоянию на 1, 5, 10, 15, 20 и 25-е число каждого месяца.</w:t>
      </w:r>
    </w:p>
    <w:p w14:paraId="3FDCFB4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Заместитель Народного комиссара обороны генерал-полковник интендантской службы А. ХРУЛЕВ </w:t>
      </w:r>
      <w:r w:rsidRPr="00D03F3E">
        <w:rPr>
          <w:rFonts w:ascii="Times New Roman" w:hAnsi="Times New Roman"/>
          <w:color w:val="000000" w:themeColor="text1"/>
          <w:sz w:val="16"/>
          <w:szCs w:val="16"/>
        </w:rPr>
        <w:t>(9844).</w:t>
      </w:r>
    </w:p>
    <w:p w14:paraId="1BA0630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04D38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1943г. было утверждено:</w:t>
      </w:r>
    </w:p>
    <w:p w14:paraId="1B33817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ПОЛОЖЕНИЕ О РАБОТЕ ТРОФЕЙНЫХ ОРГАНОВ КРАСНОЙ АРМИИ ПО УЧЕТУ, СБОРУ И ВЫВОЗУ С ПОЛЕЙ СРАЖЕНИЙ ТРОФЕЙНОГО И ОСТАВЛЕННОГО ОТЕЧЕСТВЕННОГО ВООРУЖЕНИЯ, ИМУЩЕСТВА, ПРОДФУРАЖА И МЕТАЛЛОЛОМА</w:t>
      </w:r>
    </w:p>
    <w:p w14:paraId="21F983B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Общие задачи</w:t>
      </w:r>
    </w:p>
    <w:p w14:paraId="7C3F287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Трофеями считаются все виды вооружения и военного снаряжения, инженерное, санитарное, ветеринарное, вещевое, обозно-хозяйственное имущество, горючее и продфураж противника, захваченные Красной Армией на полях сражений.</w:t>
      </w:r>
    </w:p>
    <w:p w14:paraId="1E0082C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Ответственность за полноту и своевременность сбора, вывоза и организацию охраны трофейного и отечественного вооружения, имущества, продфуража и металлолома в пределах своего района и тыла несут командир полка, дивизии (бригады), корпуса и начальники тыла армии и фронта.</w:t>
      </w:r>
    </w:p>
    <w:p w14:paraId="14A4BCA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Выявление, сбор и охрана трофейного и отечественного вооружения, имущества, продфуража и металлолома производится:</w:t>
      </w:r>
    </w:p>
    <w:p w14:paraId="0EE6B97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на поле боя и в войсковом тылу полков и дивизий (бригад) — нештатными полковыми трофейными командами, формируемыми распоряжением командиров частей и взводами армейских трофейных рот, придаваемыми дивизиям в отдельных случаях.</w:t>
      </w:r>
    </w:p>
    <w:p w14:paraId="446535A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 Аварийные, боевые машины, самолеты и другие тяжелые трофейные и отечественные агрегаты охраняются и убираются штатными сред-ствми АБТВ и ВВС, а явно негодные, могущие быть использованными только как металлолом, — армейскими трофейными ротами;</w:t>
      </w:r>
    </w:p>
    <w:p w14:paraId="79C785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 армейском тылу — все оставленное военное и народнохозяйственное имущество и металлолом — армейскими трофейными ротами, специально назначаемыми войсковыми подразделениями и местным населением.</w:t>
      </w:r>
    </w:p>
    <w:p w14:paraId="7650F78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Все собранное трофейное и отечественное вооружение и имущество по указанию начальников довольствующих служб используется или направляется:</w:t>
      </w:r>
    </w:p>
    <w:p w14:paraId="1B3567F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годное используется на удовлетворение табельной потребности частей;</w:t>
      </w:r>
    </w:p>
    <w:p w14:paraId="6AE31C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требующее войскового ремонта направляется в войсковые ремонтные организации;</w:t>
      </w:r>
    </w:p>
    <w:p w14:paraId="25C22D3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требующее заводского ремонта направляется на соответствующие ремонтные заводы промышленности;</w:t>
      </w:r>
    </w:p>
    <w:p w14:paraId="254E408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излишнее направляется в центральные склады НКО;</w:t>
      </w:r>
    </w:p>
    <w:p w14:paraId="460E137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негодное и ненужное отправляется как утиль или металлолом в адреса по указанию Управления трофейного вооружения и имущества при Главном управлении тыла Красной Армии.</w:t>
      </w:r>
    </w:p>
    <w:p w14:paraId="250DC4A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Трофейное вооружение и имущество, взятое войсками в процессе боя и немедленно используемое в боях против врага, остается в войсках. В этих случаях начальники соответствующих довольствующих служб обязаны на взятое вооружение и имущество представлять отчетные документы в трофейные отделения дивизий.</w:t>
      </w:r>
    </w:p>
    <w:p w14:paraId="1C3EF1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При обнаружении в трофеях новых образцов трофейного вооружения и имущества, технических приборов и материалов (резины, металлов и т. п.) работники трофейных органов обязаны принимать все меры к сохранению их и немедленной передаче по акту начальникам соответствующих служб с одновременным донесением об этом по команде в Управление трофейного вооружения и имущества при Главном управлении тыла Красной Армии.</w:t>
      </w:r>
    </w:p>
    <w:p w14:paraId="35CDF30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распоряжению Управления трофейного вооружения и имущества все обнаруженные новинки подлежат немедленному изъятию (где бы они не находились) и отправлению в научно-исследовательские институты, центральные управления НКО и Академию Наук для исследования и изучения.</w:t>
      </w:r>
    </w:p>
    <w:p w14:paraId="38F0181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Работники трофейных органов обязаны на всех учтенных трофейных и оставленных отечественных танках, автомашинах, орудиях и других крупных агрегатах немедленно наклеивать объявления: “Собственность Советского государства! За расхищение и порчу виновные привлекаются суду военного трибунала”, с проставлением порядкового номера.</w:t>
      </w:r>
    </w:p>
    <w:p w14:paraId="6DD858E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Строжайше запрещается брать в личное пользование как предметы трофейного и отечественного вооружения и имущества, так и продфураж. Лиц, виновных в этом, а равно участвовавших в расхищении деталей, частей, приборов и агрегатов с автомашин, танков и т. д., надлежит немедленно предавать суду военного трибунала.</w:t>
      </w:r>
    </w:p>
    <w:p w14:paraId="1FD7AB7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Во всех случаях захвата у противника подвижных и стационарных бази складов с боеприпасами, горючим, продфуражом, инженерным, обозно-хозяй-ственным, санитарным, ветеринарным и другим имуществом, а также всякого рода ремонтных баз и мастерских предлагается в целях сохранения имущества от артиллерийского огня и бомбежки противника немедленно вывозить его в тыл.</w:t>
      </w:r>
    </w:p>
    <w:p w14:paraId="2FDA301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том случае, когда вывозка трофейного имущества не может быть немедленно произведена, все имущество должно быть без всякого промедления передислоцировано в другое место, а в крайних случаях (отходе) уничтожено...</w:t>
      </w:r>
    </w:p>
    <w:p w14:paraId="6073310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Начальник управления трофейного вооружения и имущества Главного управления тыла Красной Армии генерал-майор интендантской службы ШИМАНОВСКИЙ (9844).</w:t>
      </w:r>
    </w:p>
    <w:p w14:paraId="3E2DABF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2C1B2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1943г. вышел ПРИКАЗ НКО СССР О СБОРЕ И ВЫВОЗЕ ТРОФЕЙНОГО ИМУЩЕСТВА НА ФРОНТАХ И ОБЕСПЕЧЕНИИ ЕГО ХРАНЕНИЯ №05</w:t>
      </w:r>
    </w:p>
    <w:p w14:paraId="2C1B300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Постановления Государственного комитета обороны № 2866-сс от 2 января 1943 года «О сборе трофейного имущества на фронтах и обеспечении его хранения» ПРИКАЗЫВАЮ:</w:t>
      </w:r>
    </w:p>
    <w:p w14:paraId="2A0ECD5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Военным советам фронтов и армий обязать начальников тыла родов войск и служб всех степеней под их личную ответственность принять все меры к точному выполнению указанного Постановления ГОКО, использовав для этого все имеющиеся в их распоряжении силы и средства.</w:t>
      </w:r>
    </w:p>
    <w:p w14:paraId="14E971E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 Армейские трофейные роты, сформированные на основании Постановления ГОКО № 1481-е от 23 марта 1942 г., использовать для сбора, учета и охраны </w:t>
      </w:r>
      <w:r w:rsidRPr="00D03F3E">
        <w:rPr>
          <w:rFonts w:ascii="Times New Roman" w:hAnsi="Times New Roman"/>
          <w:color w:val="000000" w:themeColor="text1"/>
          <w:sz w:val="16"/>
          <w:szCs w:val="16"/>
        </w:rPr>
        <w:lastRenderedPageBreak/>
        <w:t>вооружения, имущества, продфуража и металлолома в войсковом тылу. Сбор вооружения и имущества ротам производить, следуя непосред</w:t>
      </w:r>
      <w:r w:rsidRPr="00D03F3E">
        <w:rPr>
          <w:rFonts w:ascii="Times New Roman" w:hAnsi="Times New Roman"/>
          <w:color w:val="000000" w:themeColor="text1"/>
          <w:sz w:val="16"/>
          <w:szCs w:val="16"/>
        </w:rPr>
        <w:softHyphen/>
        <w:t>ственно за передовыми частями наступающих войск.</w:t>
      </w:r>
    </w:p>
    <w:p w14:paraId="5AC3943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Формируемые Главным управлением формирования и укомплектования войск Красной Армии для Юго-Западного, Донского и Сталинградского фронтов армейские трофейные батальоны использовать для сбора, учета, охраны и вывоза вооружения, имущества, продфуража и металлолома из армейского тыла, а также для вывоза на армейские склады и станционные сборные пункты воору</w:t>
      </w:r>
      <w:r w:rsidRPr="00D03F3E">
        <w:rPr>
          <w:rFonts w:ascii="Times New Roman" w:hAnsi="Times New Roman"/>
          <w:color w:val="000000" w:themeColor="text1"/>
          <w:sz w:val="16"/>
          <w:szCs w:val="16"/>
        </w:rPr>
        <w:softHyphen/>
        <w:t>жения и имущества, собранного трофейными ротами в войсковом тылу.</w:t>
      </w:r>
    </w:p>
    <w:p w14:paraId="1C18FD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Формируемые Главным управлением формирования и укомплектования войск Красной Армии за счет личного состава и технических средств, выделяемых начальником инженерных войск Красной Армии из числа строительных колонн, трофейные фронтовые бригады для Юго-Западного, Донского и Сталинградского фронтов использовать для сбора, учета и эвакуации в тыл страны сверхтабельного и неис</w:t>
      </w:r>
      <w:r w:rsidRPr="00D03F3E">
        <w:rPr>
          <w:rFonts w:ascii="Times New Roman" w:hAnsi="Times New Roman"/>
          <w:color w:val="000000" w:themeColor="text1"/>
          <w:sz w:val="16"/>
          <w:szCs w:val="16"/>
        </w:rPr>
        <w:softHyphen/>
        <w:t>пользуемого фронтами, а также требующего заводского ремонта и негодного вооружения и металлолома.</w:t>
      </w:r>
    </w:p>
    <w:p w14:paraId="05C238A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Трудармейцев строительных колонн, выделенных в фронтовые трофейные бригады, довольство</w:t>
      </w:r>
      <w:r w:rsidRPr="00D03F3E">
        <w:rPr>
          <w:rFonts w:ascii="Times New Roman" w:hAnsi="Times New Roman"/>
          <w:color w:val="000000" w:themeColor="text1"/>
          <w:sz w:val="16"/>
          <w:szCs w:val="16"/>
        </w:rPr>
        <w:softHyphen/>
        <w:t>вать продуктами питания по норме № 2</w:t>
      </w:r>
      <w:r w:rsidRPr="00D03F3E">
        <w:rPr>
          <w:rFonts w:ascii="Times New Roman" w:hAnsi="Times New Roman"/>
          <w:color w:val="000000" w:themeColor="text1"/>
          <w:sz w:val="16"/>
          <w:szCs w:val="16"/>
          <w:vertAlign w:val="superscript"/>
        </w:rPr>
        <w:t>1</w:t>
      </w:r>
      <w:r w:rsidRPr="00D03F3E">
        <w:rPr>
          <w:rFonts w:ascii="Times New Roman" w:hAnsi="Times New Roman"/>
          <w:color w:val="000000" w:themeColor="text1"/>
          <w:sz w:val="16"/>
          <w:szCs w:val="16"/>
        </w:rPr>
        <w:t>.</w:t>
      </w:r>
    </w:p>
    <w:p w14:paraId="0704ED2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Привлекаемых Юго-Западным, Донским и Сталинградским фронтами граждан в порядке тру</w:t>
      </w:r>
      <w:r w:rsidRPr="00D03F3E">
        <w:rPr>
          <w:rFonts w:ascii="Times New Roman" w:hAnsi="Times New Roman"/>
          <w:color w:val="000000" w:themeColor="text1"/>
          <w:sz w:val="16"/>
          <w:szCs w:val="16"/>
        </w:rPr>
        <w:softHyphen/>
        <w:t>довой обязанности (Постановление ГОКО № 2686-сс 1943 г., пункт 6) довольствовать по норме № 3. Конский состав довольствовать по нормам, установленным для обозных лошадей.</w:t>
      </w:r>
    </w:p>
    <w:p w14:paraId="630B0D1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Выделенные начальником Главного бронетанкового управления Красной Армии Юго-Западному, Донскому и Сталинградскому фронтам эвакороты использовать для эвакуации средних и тяжелых танков, требующих заводского ремонта, и негодных.</w:t>
      </w:r>
    </w:p>
    <w:p w14:paraId="3A022B5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Трофейные бригады и батальоны с прикомандированными эвакоротами Главного бронетанкового управления Красной Армии подчинить соответственно начальникам трофейных отделов Юго-Западного, Донского и Сталинградского фронтов и входящих в их состав армий и содержать до окончания сбора тро</w:t>
      </w:r>
      <w:r w:rsidRPr="00D03F3E">
        <w:rPr>
          <w:rFonts w:ascii="Times New Roman" w:hAnsi="Times New Roman"/>
          <w:color w:val="000000" w:themeColor="text1"/>
          <w:sz w:val="16"/>
          <w:szCs w:val="16"/>
        </w:rPr>
        <w:softHyphen/>
        <w:t>фейного и отечественного вооружения и имущества из армейских и фронтовых тыловых районов.</w:t>
      </w:r>
    </w:p>
    <w:p w14:paraId="00453F0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Во всех освобожденных от противника населенных пунктах организовать из резерва среднего и старшего командного и начальствующего состава комендантские посты, которым вменить в обязанность привлечение в порядке трудовой повинности граждан и транспортных средств для сбора, охраны и вывоза трофеев, находящихся на территории населенных пунктов, на близлежащей местности и у частных лиц.</w:t>
      </w:r>
    </w:p>
    <w:p w14:paraId="7B8F157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Учет и охрану трофейного вооружения и имущества возложить на проверенных граждан, кото</w:t>
      </w:r>
      <w:r w:rsidRPr="00D03F3E">
        <w:rPr>
          <w:rFonts w:ascii="Times New Roman" w:hAnsi="Times New Roman"/>
          <w:color w:val="000000" w:themeColor="text1"/>
          <w:sz w:val="16"/>
          <w:szCs w:val="16"/>
        </w:rPr>
        <w:softHyphen/>
        <w:t>рых вооружить трофейным оружием и обеспечить необходимыми боеприпасами.</w:t>
      </w:r>
    </w:p>
    <w:p w14:paraId="3B37DCC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Начальнику управления трофейного вооружения, имущества и металлолома при Главном управлении тыла Красной Армии к 8 января 1943 года:</w:t>
      </w:r>
    </w:p>
    <w:p w14:paraId="691DEFC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разработать и представить на утверждение председателю Центральной комиссии при ГОКО по сбору металлического лома Положение о денежном довольствии строительных колонн оборони</w:t>
      </w:r>
      <w:r w:rsidRPr="00D03F3E">
        <w:rPr>
          <w:rFonts w:ascii="Times New Roman" w:hAnsi="Times New Roman"/>
          <w:color w:val="000000" w:themeColor="text1"/>
          <w:sz w:val="16"/>
          <w:szCs w:val="16"/>
        </w:rPr>
        <w:softHyphen/>
        <w:t>тельных строительств, выделенных для сбора и эвакуации трофеев и металлома;</w:t>
      </w:r>
    </w:p>
    <w:p w14:paraId="3C854AB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разработать и представить мне на утверждение Положение о комендантских постах, органи</w:t>
      </w:r>
      <w:r w:rsidRPr="00D03F3E">
        <w:rPr>
          <w:rFonts w:ascii="Times New Roman" w:hAnsi="Times New Roman"/>
          <w:color w:val="000000" w:themeColor="text1"/>
          <w:sz w:val="16"/>
          <w:szCs w:val="16"/>
        </w:rPr>
        <w:softHyphen/>
        <w:t>зуемых в освобожденных от противника населенных пунктах.</w:t>
      </w:r>
    </w:p>
    <w:p w14:paraId="60900DA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Для ремонта в полевых условиях трофейных автомашин, тракторов, танков и другой техники начальникам родов войск и служб за счет фронтовых и армейских ремонтных средств сформировать полевые ремонтные бригады.</w:t>
      </w:r>
    </w:p>
    <w:p w14:paraId="1168518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Категорически запретить частям и соединениям самовольное использование автомашин, собранных на полях сражений. Все собранные автомашины сдавать только по указаниям начальни</w:t>
      </w:r>
      <w:r w:rsidRPr="00D03F3E">
        <w:rPr>
          <w:rFonts w:ascii="Times New Roman" w:hAnsi="Times New Roman"/>
          <w:color w:val="000000" w:themeColor="text1"/>
          <w:sz w:val="16"/>
          <w:szCs w:val="16"/>
        </w:rPr>
        <w:softHyphen/>
        <w:t>ков автомобильных управлений (отделов) фронтов и армий.</w:t>
      </w:r>
    </w:p>
    <w:p w14:paraId="6A0B7E2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Каждому фронту определить грунтовые пути эвакуации, места переправ через реки и железнодорож</w:t>
      </w:r>
      <w:r w:rsidRPr="00D03F3E">
        <w:rPr>
          <w:rFonts w:ascii="Times New Roman" w:hAnsi="Times New Roman"/>
          <w:color w:val="000000" w:themeColor="text1"/>
          <w:sz w:val="16"/>
          <w:szCs w:val="16"/>
        </w:rPr>
        <w:softHyphen/>
        <w:t>ные станции для сбора и вывоза трофеев, а также установить пункты, куда должно быть подвезено собранное вооружение и имущество. Трофейным органам и начальникам родов войск и служб фронтов и армий иметь на пунктах сбора трофеев своих представителей. Использовать автопорожняк для эвакуации трофеев.</w:t>
      </w:r>
    </w:p>
    <w:p w14:paraId="55F48D0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Собранное имущество направлять в центральные склады, базы и арсеналы НКО, а также на заводы промышленности только по указаниям начальников родов войск и служб.</w:t>
      </w:r>
    </w:p>
    <w:p w14:paraId="21D2B84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За хищение и разбазаривание трофейного вооружения, имущества и продовольствия рас</w:t>
      </w:r>
      <w:r w:rsidRPr="00D03F3E">
        <w:rPr>
          <w:rFonts w:ascii="Times New Roman" w:hAnsi="Times New Roman"/>
          <w:color w:val="000000" w:themeColor="text1"/>
          <w:sz w:val="16"/>
          <w:szCs w:val="16"/>
        </w:rPr>
        <w:softHyphen/>
        <w:t>хитителей и их соучастников, а также командиров подразделений и частей, не обеспечивших соот</w:t>
      </w:r>
      <w:r w:rsidRPr="00D03F3E">
        <w:rPr>
          <w:rFonts w:ascii="Times New Roman" w:hAnsi="Times New Roman"/>
          <w:color w:val="000000" w:themeColor="text1"/>
          <w:sz w:val="16"/>
          <w:szCs w:val="16"/>
        </w:rPr>
        <w:softHyphen/>
        <w:t>ветствующей охраны трофеев, предавать суду военного трибунала в соответствии с Постановлением ГОКО от 3 марта 1942 г. (об охране военного имущества в военное время).</w:t>
      </w:r>
    </w:p>
    <w:p w14:paraId="2BF4763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Военным советам фронтов и армий, командирам соединений и частей организовать среди рядо</w:t>
      </w:r>
      <w:r w:rsidRPr="00D03F3E">
        <w:rPr>
          <w:rFonts w:ascii="Times New Roman" w:hAnsi="Times New Roman"/>
          <w:color w:val="000000" w:themeColor="text1"/>
          <w:sz w:val="16"/>
          <w:szCs w:val="16"/>
        </w:rPr>
        <w:softHyphen/>
        <w:t>вого и командного состава разъяснительную работу вокруг охраны трофейного вооружения, имуще</w:t>
      </w:r>
      <w:r w:rsidRPr="00D03F3E">
        <w:rPr>
          <w:rFonts w:ascii="Times New Roman" w:hAnsi="Times New Roman"/>
          <w:color w:val="000000" w:themeColor="text1"/>
          <w:sz w:val="16"/>
          <w:szCs w:val="16"/>
        </w:rPr>
        <w:softHyphen/>
        <w:t>ства и продфуража и борьбы с расхитителями трофеев.</w:t>
      </w:r>
    </w:p>
    <w:p w14:paraId="5C68614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Начальствующий и рядовой состав, а равно привлеченных к трудовой обязанности граждан, сумевших добиться отличных показателей в деле сбора и вывоза трофеев, премировать, а особо отли</w:t>
      </w:r>
      <w:r w:rsidRPr="00D03F3E">
        <w:rPr>
          <w:rFonts w:ascii="Times New Roman" w:hAnsi="Times New Roman"/>
          <w:color w:val="000000" w:themeColor="text1"/>
          <w:sz w:val="16"/>
          <w:szCs w:val="16"/>
        </w:rPr>
        <w:softHyphen/>
        <w:t>чившихся представлять к правительственным наградам.</w:t>
      </w:r>
    </w:p>
    <w:p w14:paraId="2B68518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Продовольственные нормы суточного довольствия № 2 (для красноармейцев и начальствующего состава тыла действую</w:t>
      </w:r>
      <w:r w:rsidRPr="00D03F3E">
        <w:rPr>
          <w:rFonts w:ascii="Times New Roman" w:hAnsi="Times New Roman"/>
          <w:color w:val="000000" w:themeColor="text1"/>
          <w:sz w:val="16"/>
          <w:szCs w:val="16"/>
        </w:rPr>
        <w:softHyphen/>
        <w:t>щей армии) и № 3 (для красноармейцев строевых и запасных частей, не входящих в состав действующей армии) были установ</w:t>
      </w:r>
      <w:r w:rsidRPr="00D03F3E">
        <w:rPr>
          <w:rFonts w:ascii="Times New Roman" w:hAnsi="Times New Roman"/>
          <w:color w:val="000000" w:themeColor="text1"/>
          <w:sz w:val="16"/>
          <w:szCs w:val="16"/>
        </w:rPr>
        <w:softHyphen/>
        <w:t>лены приказом НКО № 312 от 22 сентября 1941 г. (см. Русский архив. Великая Отечественная: Приказы Народного комиссара обороны СССР. 22 июня 1941 г. — 1942 г. Т. 13 (2—2). — М.: ТЕРРА, 1996, док. № 76; далее в сносках — Т. 2—2)</w:t>
      </w:r>
    </w:p>
    <w:p w14:paraId="5C0BBFF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ходе сбора и вывоза трофеев доносить мне через штаб тыла Красной Армии каждые пять дней по состоянию на 1, 5, 10, 15, 20 и 25-е число каждого месяца.</w:t>
      </w:r>
    </w:p>
    <w:p w14:paraId="49D05B7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Заместитель народного комиссара обороны СССР генерал-полковник интендантской службы А. Хрулев</w:t>
      </w:r>
    </w:p>
    <w:p w14:paraId="5951E44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РГВА. Ф. 4. Оп. И. Д. 75. Л. 5-8. Подлинник (11403).</w:t>
      </w:r>
    </w:p>
    <w:p w14:paraId="35AF88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B073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г. вышла ДИРЕКТИВА КОМАНДУЮЩЕГО БТ и МВ КА ОБ ОРГАНИЗАЦИИ ПРЕСЛЕДОВАНИЯ ОТХОДЯЩЕГО ПРОТИВНИКА №1101092</w:t>
      </w:r>
    </w:p>
    <w:p w14:paraId="0421C95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основе изучения методов и способов организации отхода противника удалось установить следующие его тактические действия при отходе:</w:t>
      </w:r>
    </w:p>
    <w:p w14:paraId="1F36C79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начало отхода частей маскируется ведением сильного огня всех огневых средств. Отход при</w:t>
      </w:r>
      <w:r w:rsidRPr="00D03F3E">
        <w:rPr>
          <w:rFonts w:ascii="Times New Roman" w:hAnsi="Times New Roman"/>
          <w:color w:val="000000" w:themeColor="text1"/>
          <w:sz w:val="16"/>
          <w:szCs w:val="16"/>
        </w:rPr>
        <w:softHyphen/>
        <w:t>крывают мелкие группы стрелков, вооруженных, как правило, автоматическим оружием, орудиями ПТО и отдельными танками.</w:t>
      </w:r>
    </w:p>
    <w:p w14:paraId="13936DF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стремление вывести живую силу, прикрываясь ведением мощного огня всеми огневыми сред</w:t>
      </w:r>
      <w:r w:rsidRPr="00D03F3E">
        <w:rPr>
          <w:rFonts w:ascii="Times New Roman" w:hAnsi="Times New Roman"/>
          <w:color w:val="000000" w:themeColor="text1"/>
          <w:sz w:val="16"/>
          <w:szCs w:val="16"/>
        </w:rPr>
        <w:softHyphen/>
        <w:t>ствами, не считаясь с потерями вооружения и техники;</w:t>
      </w:r>
    </w:p>
    <w:p w14:paraId="19EE06C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прикрывающие отход мелкие группы состоят исключительно из «железокрестников», «смер</w:t>
      </w:r>
      <w:r w:rsidRPr="00D03F3E">
        <w:rPr>
          <w:rFonts w:ascii="Times New Roman" w:hAnsi="Times New Roman"/>
          <w:color w:val="000000" w:themeColor="text1"/>
          <w:sz w:val="16"/>
          <w:szCs w:val="16"/>
        </w:rPr>
        <w:softHyphen/>
        <w:t>тников», которые оказывают сопротивление до последнего патрона, тем самым создают видимость упорного сопротивления большого количества войск, а на самом деле сидят одиночки;</w:t>
      </w:r>
    </w:p>
    <w:p w14:paraId="5B86D1A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части, выделенные для прикрытия отхода войск, имеют подвижной транспорт и 5-8 танков для придания им маневренности и упорства;</w:t>
      </w:r>
    </w:p>
    <w:p w14:paraId="5E264AA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сопротивление противник организует на дорогах, в населенных пунктах, широко применяет минирование. Учитывая все хитрости и действия врага при организации преследования, необходимо:</w:t>
      </w:r>
    </w:p>
    <w:p w14:paraId="7E0A2DE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Тщательно и широко вести беспрерывную разведку не отрываясь от противника.</w:t>
      </w:r>
    </w:p>
    <w:p w14:paraId="6790A75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Преследовать противника нужно подвижными отрядами, придавая в мотопехоту танки, сапе</w:t>
      </w:r>
      <w:r w:rsidRPr="00D03F3E">
        <w:rPr>
          <w:rFonts w:ascii="Times New Roman" w:hAnsi="Times New Roman"/>
          <w:color w:val="000000" w:themeColor="text1"/>
          <w:sz w:val="16"/>
          <w:szCs w:val="16"/>
        </w:rPr>
        <w:softHyphen/>
        <w:t>ров, усиленных артиллерией и минометами.</w:t>
      </w:r>
    </w:p>
    <w:p w14:paraId="337101D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 состав подвижных отрядов обязательно включать саперов и инженерные подразделения, которые должны будут заниматься разминированием и ликвидацией различных препятствий.</w:t>
      </w:r>
    </w:p>
    <w:p w14:paraId="116035E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Расчеты 45 и 76-мм орудий усиливать людьми за счет пехоты доводя их до 10-15 человек, что придает им большую маневренность при сопровождении мотопехоты в ее б/порядках.</w:t>
      </w:r>
    </w:p>
    <w:p w14:paraId="33018E0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Преследование организовать решительно всеми средствами по параллельным дорогам, обходя узлы сопротивления иметь резерв для парирования контратак.</w:t>
      </w:r>
    </w:p>
    <w:p w14:paraId="5DB18C1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Избегать лобовых ударов по отрядам прикрытия противника, стремиться их обходить и дер</w:t>
      </w:r>
      <w:r w:rsidRPr="00D03F3E">
        <w:rPr>
          <w:rFonts w:ascii="Times New Roman" w:hAnsi="Times New Roman"/>
          <w:color w:val="000000" w:themeColor="text1"/>
          <w:sz w:val="16"/>
          <w:szCs w:val="16"/>
        </w:rPr>
        <w:softHyphen/>
        <w:t>жать под непрерывными ударами основную группировку, обходя ее с фланга и тыла.</w:t>
      </w:r>
    </w:p>
    <w:p w14:paraId="7F580C0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Командующий бронетанковыми и механизированными войсками Красной Армии ПРИКАЗАЛ:</w:t>
      </w:r>
    </w:p>
    <w:p w14:paraId="6FD2087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Предлагаемые меры при организации преследования противника изучить со всеми КНС до командиров рот включительно и проводить в жизнь в боевых действиях танковых и мех. войск в операциях преследования.</w:t>
      </w:r>
    </w:p>
    <w:p w14:paraId="679B7F6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Исполнение донести 20.01.1943 г.</w:t>
      </w:r>
    </w:p>
    <w:p w14:paraId="5373082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штаба БТ и МВ КА полковник Заев</w:t>
      </w:r>
    </w:p>
    <w:p w14:paraId="7F0C9E6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11353. Д. 39. Л. 87. Подлинник (11403).</w:t>
      </w:r>
    </w:p>
    <w:p w14:paraId="2226A8C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255A12" w14:textId="77777777" w:rsidR="00F22911"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73FD2978" w14:textId="77777777" w:rsidR="00F22911" w:rsidRPr="00D03F3E" w:rsidRDefault="00F22911"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2CE4FE" w14:textId="77777777" w:rsidR="00F22911" w:rsidRPr="00D03F3E" w:rsidRDefault="00F22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января</w:t>
      </w:r>
      <w:r w:rsidRPr="00D03F3E">
        <w:rPr>
          <w:rFonts w:ascii="Times New Roman" w:hAnsi="Times New Roman"/>
          <w:color w:val="000000" w:themeColor="text1"/>
          <w:sz w:val="16"/>
          <w:szCs w:val="16"/>
        </w:rPr>
        <w:t xml:space="preserve"> в 1943 году в Госбанке СССР открыт специальный счет Русской Православной церкви для сбора пожертвований на нужды обороны страны. Через год на нем насчитывалось около 150 млн. руб. На деньги церкви построены танки для полка «Дмитрий Донской», самолеты для эскадрилий «За Родину» и «Александр Невский» (15000).</w:t>
      </w:r>
    </w:p>
    <w:p w14:paraId="1F59BC9E" w14:textId="77777777" w:rsidR="00F22911" w:rsidRPr="00D03F3E" w:rsidRDefault="00F22911" w:rsidP="00D03F3E">
      <w:pPr>
        <w:spacing w:after="0" w:line="240" w:lineRule="auto"/>
        <w:jc w:val="both"/>
        <w:rPr>
          <w:rFonts w:ascii="Times New Roman" w:hAnsi="Times New Roman"/>
          <w:color w:val="000000" w:themeColor="text1"/>
          <w:sz w:val="16"/>
          <w:szCs w:val="16"/>
        </w:rPr>
      </w:pPr>
    </w:p>
    <w:p w14:paraId="50A5B2CB"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7FC8F4D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65561C" w14:textId="77777777" w:rsidR="00F22911" w:rsidRPr="00D03F3E" w:rsidRDefault="00F22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января</w:t>
      </w:r>
      <w:r w:rsidRPr="00D03F3E">
        <w:rPr>
          <w:rFonts w:ascii="Times New Roman" w:hAnsi="Times New Roman"/>
          <w:color w:val="000000" w:themeColor="text1"/>
          <w:sz w:val="16"/>
          <w:szCs w:val="16"/>
        </w:rPr>
        <w:t xml:space="preserve"> в 1943 году Декларация правительств США, СССР, Великобритании, Индии, Канады, Китая, Новой Зеландии, Австралии, ЮАС, эмигрантских правительств Бельгии, Нидерландов, Греции, Люксембурга, Норвегии, Польши, Югославии, Чехословакии и Французского национального комитета о недействительности любой </w:t>
      </w:r>
      <w:r w:rsidRPr="00D03F3E">
        <w:rPr>
          <w:rFonts w:ascii="Times New Roman" w:hAnsi="Times New Roman"/>
          <w:color w:val="000000" w:themeColor="text1"/>
          <w:sz w:val="16"/>
          <w:szCs w:val="16"/>
        </w:rPr>
        <w:lastRenderedPageBreak/>
        <w:t>передачи или любой сделки в отношении собственности, прав и интересов любого характера, находящихся или находившихся на территории, оккупированной Германией и ее союзниками (15000).</w:t>
      </w:r>
    </w:p>
    <w:p w14:paraId="59A55BFE" w14:textId="77777777" w:rsidR="00F22911" w:rsidRPr="00D03F3E" w:rsidRDefault="00F22911" w:rsidP="00D03F3E">
      <w:pPr>
        <w:spacing w:after="0" w:line="240" w:lineRule="auto"/>
        <w:jc w:val="both"/>
        <w:rPr>
          <w:rFonts w:ascii="Times New Roman" w:hAnsi="Times New Roman"/>
          <w:color w:val="000000" w:themeColor="text1"/>
          <w:sz w:val="16"/>
          <w:szCs w:val="16"/>
        </w:rPr>
      </w:pPr>
    </w:p>
    <w:p w14:paraId="37C707B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года было отправлено:</w:t>
      </w:r>
    </w:p>
    <w:p w14:paraId="698025F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СЕКРЕТНОЕ ПОСЛАНИЕ ПРЕМЬЕРА СТАЛИНА ПРЕЗИДЕНТУ РУЗВЕЛЬТУ</w:t>
      </w:r>
    </w:p>
    <w:p w14:paraId="743E365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Ваше послание, касающееся Дальнего Востока, получил. Выражаю Вам признательность за готовность послать Советскому Союзу на Дальний Восток 100 бомбардировщиков. Однако должен сказать, что в данное время нам нужна помощь самолетами не на Дальнем Востоке, где СССР не ведет войны, а на фронте жесточайшей войны с немцами, то есть на советско-германском фронте. Прибытие этих самолетов, но без летчиков, так как своих летчиков у нас достаточно, на Юго-Западный или на Центральный фронт сыграло бы крупную роль на самых важных участках нашей борьбы с Гитлером.</w:t>
      </w:r>
    </w:p>
    <w:p w14:paraId="11B6D8B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Что касается хода войны на наших фронтах, то в общем наше наступление развивается пока удовлетворительно (7430).</w:t>
      </w:r>
    </w:p>
    <w:p w14:paraId="2EA4676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1FB77A"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7FCEB4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6AA265"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 января 1943 г. было первое применение радиолокационных взрывателей, когда зенитчики американского легкого крейсера «Хелена» сбили снарядами с этими взрывателями японский пикирующий бомбардировщик вблизи Гвадалканала (Соломоновы острова) со второго залпа. В следующем месяце американский конвой с войсками примерно в этом же месте ночью был атакован двенадцатью японскими торпедоносцами. Охрана конвоя осуществлялась только при помощи зенитных орудий с радиолокационным управлением, которые имели запас снарядов с радиолокационными взрывателями. Пять торпедоносцев было сбито, причем ни одного попадания торпеды не было.</w:t>
      </w:r>
    </w:p>
    <w:p w14:paraId="43E4B7F1"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Для войск США и Англии были созданы два типа радиолокационных взрывателей: взрыватель с батарейным питанием и взрыватель с ветряным генератором. Взрыватели с батарейным питанием устанавливались в зенитных артиллерийских снарядах, а с ветряным генератором применялись в самолетных бомбах и ракетах. Шасси для размещения электронных компонентов во взрывателях для зенитных артиллерийских снарядов отсутствовали. Лампы этих взрывателей размещались внутри резинового колпачка вблизи сосредоточенного пучка электрических проводов. Резисторы и конденсаторы соединялись в схемы, которые обертывались вокруг центрального резинового колпачка с лампами. Затем все электронные детали помещались в пластмассовый носовой корпус снаряда, и все пространство заполнялось воском. Передатчик вместе с управляющей схемой в радиолокационном взрывателе для минометных снарядов размещался в весьма небольшом объеме (диаметр — 76 мм, длина — 152 мм) (рис. 3). При разработке этого взрывателя был создан и использовался новый метод соединения — толстопленочная гибридная технология. В качестве подложек для таких схем разработчики этого радиолокационного взрывателя (Национальное бюро стандартов и отделение Centralab компании Gloob Union, Милуоки) использовали пластинки стеатита, который представлял собой пластическую массу из тальковой муки, магнезита и полевого шпата. Стеатит имеет серьезное преимущество, заключающееся в малой величине его усадки (1 %) при обжиге. Толстопленочные серебряные проводники и угольные резисторы наносились на эту подложку и вжигались в нее под действием высокой температуры. После этого к подложкам прикреплялись небольшие дисковые керамические конденсаторы и субминиатюрные лампы. Отделение Centralab выпустило несколько миллионов таких радиолокационных взрывателей.</w:t>
      </w:r>
    </w:p>
    <w:p w14:paraId="38716DE0"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Одно из первых применений снарядов с радиолокационными взрывателями на европейском театре военных действий произошло в июле 1943 г., когда экипажи американских эсминцев «Свенсон» и «Роу» сбили немецкий пикирующий бомбардировщик J-88. (22760).</w:t>
      </w:r>
    </w:p>
    <w:p w14:paraId="729107CF" w14:textId="77777777" w:rsidR="00365B5B" w:rsidRPr="00D03F3E" w:rsidRDefault="00365B5B" w:rsidP="00D03F3E">
      <w:pPr>
        <w:spacing w:after="0" w:line="240" w:lineRule="auto"/>
        <w:jc w:val="both"/>
        <w:rPr>
          <w:rFonts w:ascii="Times New Roman" w:hAnsi="Times New Roman"/>
          <w:color w:val="0070C0"/>
          <w:sz w:val="16"/>
          <w:szCs w:val="16"/>
        </w:rPr>
      </w:pPr>
    </w:p>
    <w:p w14:paraId="5ADC6BD6"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 января 1943 в поддержку американской оккупации Амчитки на Алеутских островах, запланированной на следующий день, самолеты ВВС США совершают фотографические разведывательные миссии над Амчиткой и наносят удар по японским войскам в Атту и Киске, потопив два полностью загруженных японских транспорта, приближающихся к Атту и Киска (20376).</w:t>
      </w:r>
    </w:p>
    <w:p w14:paraId="5521D7C5" w14:textId="77777777" w:rsidR="00365B5B" w:rsidRPr="00D03F3E" w:rsidRDefault="00365B5B" w:rsidP="00D03F3E">
      <w:pPr>
        <w:spacing w:after="0" w:line="240" w:lineRule="auto"/>
        <w:jc w:val="both"/>
        <w:rPr>
          <w:rFonts w:ascii="Times New Roman" w:hAnsi="Times New Roman"/>
          <w:color w:val="0070C0"/>
          <w:sz w:val="16"/>
          <w:szCs w:val="16"/>
        </w:rPr>
      </w:pPr>
    </w:p>
    <w:p w14:paraId="37DF9812"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января</w:t>
      </w:r>
      <w:r w:rsidRPr="00D03F3E">
        <w:rPr>
          <w:rFonts w:ascii="Times New Roman" w:hAnsi="Times New Roman"/>
          <w:color w:val="000000" w:themeColor="text1"/>
          <w:sz w:val="16"/>
          <w:szCs w:val="16"/>
        </w:rPr>
        <w:t xml:space="preserve"> в 1943 году в послании президенту США Ф.Д.Рузвельту папа Римский Пий XII предложил посредничество в мирных переговорах с Германией (15000).</w:t>
      </w:r>
    </w:p>
    <w:p w14:paraId="17D9A98E" w14:textId="77777777" w:rsidR="00486A01" w:rsidRPr="00D03F3E" w:rsidRDefault="00486A01" w:rsidP="00D03F3E">
      <w:pPr>
        <w:spacing w:after="0" w:line="240" w:lineRule="auto"/>
        <w:jc w:val="both"/>
        <w:rPr>
          <w:rFonts w:ascii="Times New Roman" w:hAnsi="Times New Roman"/>
          <w:color w:val="000000" w:themeColor="text1"/>
          <w:sz w:val="16"/>
          <w:szCs w:val="16"/>
        </w:rPr>
      </w:pPr>
    </w:p>
    <w:p w14:paraId="144A7D3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1943 японцы начали планомерный отход из Гвадалканала (2100).</w:t>
      </w:r>
    </w:p>
    <w:p w14:paraId="08B2452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14B0E8"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6D37AC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1A6E4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6 января 1943 г. в 4-м отделе НИИ ВВС были разработаны ТТТ к кабине воздушного стрелка самолета Ил-2, которые в целом соответствовали кабине Ил-2бис, отличаясь увеличен</w:t>
      </w:r>
      <w:r w:rsidRPr="00D03F3E">
        <w:rPr>
          <w:rFonts w:ascii="Times New Roman" w:hAnsi="Times New Roman"/>
          <w:color w:val="000000" w:themeColor="text1"/>
          <w:sz w:val="16"/>
          <w:szCs w:val="16"/>
        </w:rPr>
        <w:softHyphen/>
        <w:t>ными углами обстрела и усиленным бронированием со стороны задней полусферы, «рассчитанным на защиту от бронебойных пуль калибра 15 мм с дальности 400 м» (11474,296).</w:t>
      </w:r>
    </w:p>
    <w:p w14:paraId="23064E6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4CDA93" w14:textId="77777777" w:rsidR="00365B5B" w:rsidRPr="00D03F3E" w:rsidRDefault="00365B5B"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К 6 января 1943 г. специалистами 4-го отдела НИИ ВВС были разработаны ТТТ к кабине воздушного стрелка двухместного Ил-2. ТТТ в целом соответствовали требова</w:t>
      </w:r>
      <w:r w:rsidRPr="00D03F3E">
        <w:rPr>
          <w:rFonts w:ascii="Times New Roman" w:hAnsi="Times New Roman" w:cs="Times New Roman"/>
          <w:color w:val="0070C0"/>
          <w:sz w:val="16"/>
          <w:szCs w:val="16"/>
        </w:rPr>
        <w:softHyphen/>
        <w:t>ниям к кабине Ил-2бис, отличаясь несколько более широкой зоной обстрела пулемета УБТ (вверх влево и вправо - по 75°, по горизонту влево и вправо - по 50°) и уси</w:t>
      </w:r>
      <w:r w:rsidRPr="00D03F3E">
        <w:rPr>
          <w:rFonts w:ascii="Times New Roman" w:hAnsi="Times New Roman" w:cs="Times New Roman"/>
          <w:color w:val="0070C0"/>
          <w:sz w:val="16"/>
          <w:szCs w:val="16"/>
        </w:rPr>
        <w:softHyphen/>
        <w:t>ленным бронированием,</w:t>
      </w:r>
      <w:r w:rsidRPr="00D03F3E">
        <w:rPr>
          <w:rStyle w:val="800"/>
          <w:rFonts w:ascii="Times New Roman" w:hAnsi="Times New Roman" w:cs="Times New Roman"/>
          <w:i w:val="0"/>
          <w:iCs w:val="0"/>
          <w:color w:val="0070C0"/>
          <w:w w:val="100"/>
          <w:sz w:val="16"/>
          <w:szCs w:val="16"/>
        </w:rPr>
        <w:t xml:space="preserve"> «рас</w:t>
      </w:r>
      <w:r w:rsidRPr="00D03F3E">
        <w:rPr>
          <w:rStyle w:val="800"/>
          <w:rFonts w:ascii="Times New Roman" w:hAnsi="Times New Roman" w:cs="Times New Roman"/>
          <w:i w:val="0"/>
          <w:iCs w:val="0"/>
          <w:color w:val="0070C0"/>
          <w:w w:val="100"/>
          <w:sz w:val="16"/>
          <w:szCs w:val="16"/>
        </w:rPr>
        <w:softHyphen/>
        <w:t>считанным на защиту от бро</w:t>
      </w:r>
      <w:r w:rsidRPr="00D03F3E">
        <w:rPr>
          <w:rStyle w:val="800"/>
          <w:rFonts w:ascii="Times New Roman" w:hAnsi="Times New Roman" w:cs="Times New Roman"/>
          <w:i w:val="0"/>
          <w:iCs w:val="0"/>
          <w:color w:val="0070C0"/>
          <w:w w:val="100"/>
          <w:sz w:val="16"/>
          <w:szCs w:val="16"/>
        </w:rPr>
        <w:softHyphen/>
        <w:t>небойных пуль калибра 15 мм с дальности 400 м» (19878).</w:t>
      </w:r>
    </w:p>
    <w:p w14:paraId="496A109E" w14:textId="77777777" w:rsidR="00365B5B" w:rsidRPr="00D03F3E" w:rsidRDefault="00365B5B" w:rsidP="00D03F3E">
      <w:pPr>
        <w:pStyle w:val="11c"/>
        <w:shd w:val="clear" w:color="auto" w:fill="auto"/>
        <w:spacing w:after="0" w:line="240" w:lineRule="auto"/>
        <w:jc w:val="both"/>
        <w:rPr>
          <w:rFonts w:ascii="Times New Roman" w:hAnsi="Times New Roman" w:cs="Times New Roman"/>
          <w:color w:val="0070C0"/>
          <w:sz w:val="16"/>
          <w:szCs w:val="16"/>
        </w:rPr>
      </w:pPr>
    </w:p>
    <w:p w14:paraId="43FB65E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6 января 1943 г. в 4-м отделе НИИ ВВС были разработаны ТТТ к кабине воздушного стрелка самолета Ил-2, которые в целом соответствовали кабине Ил-2бис, отличаясь увеличенными углами обстрела и усиленным бронированием со стороны задней полусферы, "рассчитанным на защиту от бронебойных пуль калибра 15 мм с дальности 400 м" (12020).</w:t>
      </w:r>
    </w:p>
    <w:p w14:paraId="1E80C1C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1608B1" w14:textId="77777777" w:rsidR="002B37B7" w:rsidRPr="00D03F3E" w:rsidRDefault="002B37B7"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В начале января 1943 г. Сухой предъявил эскизный про</w:t>
      </w:r>
      <w:r w:rsidRPr="00D03F3E">
        <w:rPr>
          <w:rFonts w:ascii="Times New Roman" w:hAnsi="Times New Roman" w:cs="Times New Roman"/>
          <w:color w:val="0070C0"/>
          <w:sz w:val="16"/>
          <w:szCs w:val="16"/>
        </w:rPr>
        <w:softHyphen/>
        <w:t>ект двухместного (по опыту войны) Су-6 М-71ф (заводское обозначение С2А).</w:t>
      </w:r>
    </w:p>
    <w:p w14:paraId="385829CB" w14:textId="77777777" w:rsidR="002B37B7" w:rsidRPr="00D03F3E" w:rsidRDefault="002B37B7"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Передняя часть фюзеляжа, вклю</w:t>
      </w:r>
      <w:r w:rsidRPr="00D03F3E">
        <w:rPr>
          <w:rFonts w:ascii="Times New Roman" w:hAnsi="Times New Roman" w:cs="Times New Roman"/>
          <w:color w:val="0070C0"/>
          <w:sz w:val="16"/>
          <w:szCs w:val="16"/>
        </w:rPr>
        <w:softHyphen/>
        <w:t>чая кабину летчика, представляла со</w:t>
      </w:r>
      <w:r w:rsidRPr="00D03F3E">
        <w:rPr>
          <w:rFonts w:ascii="Times New Roman" w:hAnsi="Times New Roman" w:cs="Times New Roman"/>
          <w:color w:val="0070C0"/>
          <w:sz w:val="16"/>
          <w:szCs w:val="16"/>
        </w:rPr>
        <w:softHyphen/>
        <w:t>бой бронекорпус, который защищал лет</w:t>
      </w:r>
      <w:r w:rsidRPr="00D03F3E">
        <w:rPr>
          <w:rFonts w:ascii="Times New Roman" w:hAnsi="Times New Roman" w:cs="Times New Roman"/>
          <w:color w:val="0070C0"/>
          <w:sz w:val="16"/>
          <w:szCs w:val="16"/>
        </w:rPr>
        <w:softHyphen/>
        <w:t>чика, бензо- и маслобаки. Нижний и верх</w:t>
      </w:r>
      <w:r w:rsidRPr="00D03F3E">
        <w:rPr>
          <w:rFonts w:ascii="Times New Roman" w:hAnsi="Times New Roman" w:cs="Times New Roman"/>
          <w:color w:val="0070C0"/>
          <w:sz w:val="16"/>
          <w:szCs w:val="16"/>
        </w:rPr>
        <w:softHyphen/>
        <w:t>ний броневые пояса имели перемен</w:t>
      </w:r>
      <w:r w:rsidRPr="00D03F3E">
        <w:rPr>
          <w:rFonts w:ascii="Times New Roman" w:hAnsi="Times New Roman" w:cs="Times New Roman"/>
          <w:color w:val="0070C0"/>
          <w:sz w:val="16"/>
          <w:szCs w:val="16"/>
        </w:rPr>
        <w:softHyphen/>
        <w:t>ную толщину по своей длине. Верхний пояс - 4 мм спереди и 6 мм сзади, ниж</w:t>
      </w:r>
      <w:r w:rsidRPr="00D03F3E">
        <w:rPr>
          <w:rFonts w:ascii="Times New Roman" w:hAnsi="Times New Roman" w:cs="Times New Roman"/>
          <w:color w:val="0070C0"/>
          <w:sz w:val="16"/>
          <w:szCs w:val="16"/>
        </w:rPr>
        <w:softHyphen/>
        <w:t>ний - 2 мм по всей длине, вся нижняя часть корпуса - 4 мм. Со стороны зад- "ней полусферы летчик прикрывался 6-мм бронеплитами, установленными с боков и сверху на фонаре, а также 12-мм бронезаголовником и задней вертикальной стенкой. Область от нижнего края верти</w:t>
      </w:r>
      <w:r w:rsidRPr="00D03F3E">
        <w:rPr>
          <w:rFonts w:ascii="Times New Roman" w:hAnsi="Times New Roman" w:cs="Times New Roman"/>
          <w:color w:val="0070C0"/>
          <w:sz w:val="16"/>
          <w:szCs w:val="16"/>
        </w:rPr>
        <w:softHyphen/>
        <w:t>кальной стенки (примерно на одну треть выше середины высоты фюзеляжа) и до пола прикрывалась задней вертикаль</w:t>
      </w:r>
      <w:r w:rsidRPr="00D03F3E">
        <w:rPr>
          <w:rFonts w:ascii="Times New Roman" w:hAnsi="Times New Roman" w:cs="Times New Roman"/>
          <w:color w:val="0070C0"/>
          <w:sz w:val="16"/>
          <w:szCs w:val="16"/>
        </w:rPr>
        <w:softHyphen/>
        <w:t>ной броней кабины воздушного стрелка. В передних стеклах фонаря кабины уста</w:t>
      </w:r>
      <w:r w:rsidRPr="00D03F3E">
        <w:rPr>
          <w:rFonts w:ascii="Times New Roman" w:hAnsi="Times New Roman" w:cs="Times New Roman"/>
          <w:color w:val="0070C0"/>
          <w:sz w:val="16"/>
          <w:szCs w:val="16"/>
        </w:rPr>
        <w:softHyphen/>
        <w:t>навливалась прозрачная броня толщиной 55 мм (лобовое стекло) и 50 мм (боко</w:t>
      </w:r>
      <w:r w:rsidRPr="00D03F3E">
        <w:rPr>
          <w:rFonts w:ascii="Times New Roman" w:hAnsi="Times New Roman" w:cs="Times New Roman"/>
          <w:color w:val="0070C0"/>
          <w:sz w:val="16"/>
          <w:szCs w:val="16"/>
        </w:rPr>
        <w:softHyphen/>
        <w:t>вины). Сверху спереди на фонаре имелся бронированный «чепчик» толщиной 4 мм.</w:t>
      </w:r>
    </w:p>
    <w:p w14:paraId="29483321" w14:textId="77777777" w:rsidR="002B37B7" w:rsidRPr="00D03F3E" w:rsidRDefault="002B37B7"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Кабина стрелка выполнялась в виде броневого отсека, расположенного внутри фюзеляжа между бомбовых отсеков (по два отсека друг над другом с каждой сто</w:t>
      </w:r>
      <w:r w:rsidRPr="00D03F3E">
        <w:rPr>
          <w:rFonts w:ascii="Times New Roman" w:hAnsi="Times New Roman" w:cs="Times New Roman"/>
          <w:color w:val="0070C0"/>
          <w:sz w:val="16"/>
          <w:szCs w:val="16"/>
        </w:rPr>
        <w:softHyphen/>
        <w:t>роны). Боковой пояс и вся нижняя часть кабины имели толщину 4 мм, верхняя бо</w:t>
      </w:r>
      <w:r w:rsidRPr="00D03F3E">
        <w:rPr>
          <w:rFonts w:ascii="Times New Roman" w:hAnsi="Times New Roman" w:cs="Times New Roman"/>
          <w:color w:val="0070C0"/>
          <w:sz w:val="16"/>
          <w:szCs w:val="16"/>
        </w:rPr>
        <w:softHyphen/>
        <w:t>ковая броня и броня сверху фонаря - 6 мм, задние вертикальные стенки (верх</w:t>
      </w:r>
      <w:r w:rsidRPr="00D03F3E">
        <w:rPr>
          <w:rFonts w:ascii="Times New Roman" w:hAnsi="Times New Roman" w:cs="Times New Roman"/>
          <w:color w:val="0070C0"/>
          <w:sz w:val="16"/>
          <w:szCs w:val="16"/>
        </w:rPr>
        <w:softHyphen/>
        <w:t>няя и нижняя) - 12 мм. Дополнительную защиту стрелка со стороны задней по</w:t>
      </w:r>
      <w:r w:rsidRPr="00D03F3E">
        <w:rPr>
          <w:rFonts w:ascii="Times New Roman" w:hAnsi="Times New Roman" w:cs="Times New Roman"/>
          <w:color w:val="0070C0"/>
          <w:sz w:val="16"/>
          <w:szCs w:val="16"/>
        </w:rPr>
        <w:softHyphen/>
        <w:t>лусферы обеспечивало 65-мм бронесте</w:t>
      </w:r>
      <w:r w:rsidRPr="00D03F3E">
        <w:rPr>
          <w:rFonts w:ascii="Times New Roman" w:hAnsi="Times New Roman" w:cs="Times New Roman"/>
          <w:color w:val="0070C0"/>
          <w:sz w:val="16"/>
          <w:szCs w:val="16"/>
        </w:rPr>
        <w:softHyphen/>
        <w:t>кло, установленное в блистере пулемет</w:t>
      </w:r>
      <w:r w:rsidRPr="00D03F3E">
        <w:rPr>
          <w:rFonts w:ascii="Times New Roman" w:hAnsi="Times New Roman" w:cs="Times New Roman"/>
          <w:color w:val="0070C0"/>
          <w:sz w:val="16"/>
          <w:szCs w:val="16"/>
        </w:rPr>
        <w:softHyphen/>
        <w:t>ной установки.</w:t>
      </w:r>
    </w:p>
    <w:p w14:paraId="51DE3F6C" w14:textId="77777777" w:rsidR="002B37B7" w:rsidRPr="00D03F3E" w:rsidRDefault="002B37B7"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Наличие по бокам кабины стрелка бомбовых отсеков положительно сказы</w:t>
      </w:r>
      <w:r w:rsidRPr="00D03F3E">
        <w:rPr>
          <w:rFonts w:ascii="Times New Roman" w:hAnsi="Times New Roman" w:cs="Times New Roman"/>
          <w:color w:val="0070C0"/>
          <w:sz w:val="16"/>
          <w:szCs w:val="16"/>
        </w:rPr>
        <w:softHyphen/>
        <w:t>валось на его защищенности, так как пуля, снаряд или осколок, прежде чем подойти к броне, должны были преодолеть эле</w:t>
      </w:r>
      <w:r w:rsidRPr="00D03F3E">
        <w:rPr>
          <w:rFonts w:ascii="Times New Roman" w:hAnsi="Times New Roman" w:cs="Times New Roman"/>
          <w:color w:val="0070C0"/>
          <w:sz w:val="16"/>
          <w:szCs w:val="16"/>
        </w:rPr>
        <w:softHyphen/>
        <w:t>менты конструкции отсеков и потерять на этом «часть своей живой силы». К тому же «изменяется геометрия встречи с броней» - боеприпас или осколок подходят к броне под большим углом, что «облегчает работу брони».</w:t>
      </w:r>
    </w:p>
    <w:p w14:paraId="5633E22F" w14:textId="77777777" w:rsidR="002B37B7" w:rsidRPr="00D03F3E" w:rsidRDefault="002B37B7"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Задняя часть мотора и весь замоторный отсек с агрегатами мотора до пе</w:t>
      </w:r>
      <w:r w:rsidRPr="00D03F3E">
        <w:rPr>
          <w:rFonts w:ascii="Times New Roman" w:hAnsi="Times New Roman" w:cs="Times New Roman"/>
          <w:color w:val="0070C0"/>
          <w:sz w:val="16"/>
          <w:szCs w:val="16"/>
        </w:rPr>
        <w:softHyphen/>
        <w:t>редней части фюзеляжа защищались 4-мм бронированным капотом в форме цилиндра и специальным бронирован</w:t>
      </w:r>
      <w:r w:rsidRPr="00D03F3E">
        <w:rPr>
          <w:rFonts w:ascii="Times New Roman" w:hAnsi="Times New Roman" w:cs="Times New Roman"/>
          <w:color w:val="0070C0"/>
          <w:sz w:val="16"/>
          <w:szCs w:val="16"/>
        </w:rPr>
        <w:softHyphen/>
        <w:t>ным разъемным кольцом-конусом тол</w:t>
      </w:r>
      <w:r w:rsidRPr="00D03F3E">
        <w:rPr>
          <w:rFonts w:ascii="Times New Roman" w:hAnsi="Times New Roman" w:cs="Times New Roman"/>
          <w:color w:val="0070C0"/>
          <w:sz w:val="16"/>
          <w:szCs w:val="16"/>
        </w:rPr>
        <w:softHyphen/>
        <w:t>щиной 2 мм - в верхней части, и 4 мм - в нижней части. Масляные радиаторы прикрывались снизу и сзади гнутыми 6-мм бронеплитами, а маслопроводы на участке центроплана спереди, сзади и снизу - 6-мм броневыми лотками. Втулка воздушного винта спереди имела бронедиск толщиной 6 мм.</w:t>
      </w:r>
    </w:p>
    <w:p w14:paraId="1F78F7A6" w14:textId="77777777" w:rsidR="002B37B7" w:rsidRPr="00D03F3E" w:rsidRDefault="002B37B7"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Все броневые стенки толщиной 12 мм выполнялись из цементованной брони ХД, остальные - из гомогенной брони АБ-2. Броневые листы крепились к каркасу на заклепках и болтах. Общий вес брони со</w:t>
      </w:r>
      <w:r w:rsidRPr="00D03F3E">
        <w:rPr>
          <w:rFonts w:ascii="Times New Roman" w:hAnsi="Times New Roman" w:cs="Times New Roman"/>
          <w:color w:val="0070C0"/>
          <w:sz w:val="16"/>
          <w:szCs w:val="16"/>
        </w:rPr>
        <w:softHyphen/>
        <w:t>ставил 611,5 кг.</w:t>
      </w:r>
    </w:p>
    <w:p w14:paraId="7EC15539" w14:textId="77777777" w:rsidR="002B37B7" w:rsidRPr="00D03F3E" w:rsidRDefault="002B37B7"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Стрелково-пушечное и ракетное во</w:t>
      </w:r>
      <w:r w:rsidRPr="00D03F3E">
        <w:rPr>
          <w:rFonts w:ascii="Times New Roman" w:hAnsi="Times New Roman" w:cs="Times New Roman"/>
          <w:color w:val="0070C0"/>
          <w:sz w:val="16"/>
          <w:szCs w:val="16"/>
        </w:rPr>
        <w:softHyphen/>
        <w:t>оружение включало две пушки 11П (90 снарядов), два пулемета ШКАС (1400 патронов) и 6 РО-132 (или РО-82).</w:t>
      </w:r>
    </w:p>
    <w:p w14:paraId="59EF5534" w14:textId="77777777" w:rsidR="002B37B7" w:rsidRPr="00D03F3E" w:rsidRDefault="002B37B7"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Оборонительный пулемет УБТ (196 па</w:t>
      </w:r>
      <w:r w:rsidRPr="00D03F3E">
        <w:rPr>
          <w:rFonts w:ascii="Times New Roman" w:hAnsi="Times New Roman" w:cs="Times New Roman"/>
          <w:color w:val="0070C0"/>
          <w:sz w:val="16"/>
          <w:szCs w:val="16"/>
        </w:rPr>
        <w:softHyphen/>
        <w:t>тронов в четырех магазинах) устанав</w:t>
      </w:r>
      <w:r w:rsidRPr="00D03F3E">
        <w:rPr>
          <w:rFonts w:ascii="Times New Roman" w:hAnsi="Times New Roman" w:cs="Times New Roman"/>
          <w:color w:val="0070C0"/>
          <w:sz w:val="16"/>
          <w:szCs w:val="16"/>
        </w:rPr>
        <w:softHyphen/>
        <w:t>ливался в блистерной установке БЛУБ с углами обстрела в задней полусфере: вверх - 45°, вниз с бортов - 1°, вправо от стрелка - 30° и влево - 30°.</w:t>
      </w:r>
    </w:p>
    <w:p w14:paraId="4DA4A280" w14:textId="77777777" w:rsidR="002B37B7" w:rsidRPr="00D03F3E" w:rsidRDefault="002B37B7"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На самолет допускалась подве</w:t>
      </w:r>
      <w:r w:rsidRPr="00D03F3E">
        <w:rPr>
          <w:rFonts w:ascii="Times New Roman" w:hAnsi="Times New Roman" w:cs="Times New Roman"/>
          <w:color w:val="0070C0"/>
          <w:sz w:val="16"/>
          <w:szCs w:val="16"/>
        </w:rPr>
        <w:softHyphen/>
        <w:t>ска бомб в следующих вариантах: две ФАБ-250 (500 кг), шесть ФАБ-100 (600 кг), шесть ФАБ-50 (300 кг), 16 АО-25 (400 кг), 18 А0-20 (360 кг), 24 АО-15 (360 кг), 40 АО-Юсч (400 кг), 50 АО-8ук (400 кг), 160 АО-2,5 сч (400 кг). Основной вариант бомбовой нагрузки составлял 200 кг вну</w:t>
      </w:r>
      <w:r w:rsidRPr="00D03F3E">
        <w:rPr>
          <w:rFonts w:ascii="Times New Roman" w:hAnsi="Times New Roman" w:cs="Times New Roman"/>
          <w:color w:val="0070C0"/>
          <w:sz w:val="16"/>
          <w:szCs w:val="16"/>
        </w:rPr>
        <w:softHyphen/>
        <w:t>три фюзеляжа.</w:t>
      </w:r>
    </w:p>
    <w:p w14:paraId="3FFAF6F2" w14:textId="77777777" w:rsidR="002B37B7" w:rsidRPr="00D03F3E" w:rsidRDefault="002B37B7"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Бомбы калибров до 100 кг укладыва</w:t>
      </w:r>
      <w:r w:rsidRPr="00D03F3E">
        <w:rPr>
          <w:rFonts w:ascii="Times New Roman" w:hAnsi="Times New Roman" w:cs="Times New Roman"/>
          <w:color w:val="0070C0"/>
          <w:sz w:val="16"/>
          <w:szCs w:val="16"/>
        </w:rPr>
        <w:softHyphen/>
        <w:t>лись прямо на створки бомбовых отсеков. При этом бомбы калибра 50 и 100 кг под</w:t>
      </w:r>
      <w:r w:rsidRPr="00D03F3E">
        <w:rPr>
          <w:rFonts w:ascii="Times New Roman" w:hAnsi="Times New Roman" w:cs="Times New Roman"/>
          <w:color w:val="0070C0"/>
          <w:sz w:val="16"/>
          <w:szCs w:val="16"/>
        </w:rPr>
        <w:softHyphen/>
        <w:t>нимались в отсек при помощи лебедки, а 25 кг и менее - загружались вручную через специальные окна в фюзеляже. Бомбы ФАБ-250, выливные и химические авиаприборы типа ВАП-200 и УХАП-250 подвешивались на наружные держатели с замками МДЗ-40.</w:t>
      </w:r>
    </w:p>
    <w:p w14:paraId="19E071B7" w14:textId="77777777" w:rsidR="002B37B7" w:rsidRPr="00D03F3E" w:rsidRDefault="002B37B7"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Сброс бомб и пуск ракетных снарядов осуществлялся раздельно от двух сбрасы</w:t>
      </w:r>
      <w:r w:rsidRPr="00D03F3E">
        <w:rPr>
          <w:rFonts w:ascii="Times New Roman" w:hAnsi="Times New Roman" w:cs="Times New Roman"/>
          <w:color w:val="0070C0"/>
          <w:sz w:val="16"/>
          <w:szCs w:val="16"/>
        </w:rPr>
        <w:softHyphen/>
        <w:t>вателей ЭСБР-Зп. Пушечные и пулемет</w:t>
      </w:r>
      <w:r w:rsidRPr="00D03F3E">
        <w:rPr>
          <w:rFonts w:ascii="Times New Roman" w:hAnsi="Times New Roman" w:cs="Times New Roman"/>
          <w:color w:val="0070C0"/>
          <w:sz w:val="16"/>
          <w:szCs w:val="16"/>
        </w:rPr>
        <w:softHyphen/>
        <w:t>ные установки обеспечивались пневма</w:t>
      </w:r>
      <w:r w:rsidRPr="00D03F3E">
        <w:rPr>
          <w:rFonts w:ascii="Times New Roman" w:hAnsi="Times New Roman" w:cs="Times New Roman"/>
          <w:color w:val="0070C0"/>
          <w:sz w:val="16"/>
          <w:szCs w:val="16"/>
        </w:rPr>
        <w:softHyphen/>
        <w:t>тическим спуском и электропневматиче</w:t>
      </w:r>
      <w:r w:rsidRPr="00D03F3E">
        <w:rPr>
          <w:rFonts w:ascii="Times New Roman" w:hAnsi="Times New Roman" w:cs="Times New Roman"/>
          <w:color w:val="0070C0"/>
          <w:sz w:val="16"/>
          <w:szCs w:val="16"/>
        </w:rPr>
        <w:softHyphen/>
        <w:t>ской перезарядкой. Прицел для стрельбы и бомбометания с пикирования - механи</w:t>
      </w:r>
      <w:r w:rsidRPr="00D03F3E">
        <w:rPr>
          <w:rFonts w:ascii="Times New Roman" w:hAnsi="Times New Roman" w:cs="Times New Roman"/>
          <w:color w:val="0070C0"/>
          <w:sz w:val="16"/>
          <w:szCs w:val="16"/>
        </w:rPr>
        <w:softHyphen/>
        <w:t>ческий ВВ-1 (мушка и разметка на лобо</w:t>
      </w:r>
      <w:r w:rsidRPr="00D03F3E">
        <w:rPr>
          <w:rFonts w:ascii="Times New Roman" w:hAnsi="Times New Roman" w:cs="Times New Roman"/>
          <w:color w:val="0070C0"/>
          <w:sz w:val="16"/>
          <w:szCs w:val="16"/>
        </w:rPr>
        <w:softHyphen/>
        <w:t xml:space="preserve">вом стекле </w:t>
      </w:r>
      <w:r w:rsidRPr="00D03F3E">
        <w:rPr>
          <w:rFonts w:ascii="Times New Roman" w:hAnsi="Times New Roman" w:cs="Times New Roman"/>
          <w:color w:val="0070C0"/>
          <w:sz w:val="16"/>
          <w:szCs w:val="16"/>
        </w:rPr>
        <w:lastRenderedPageBreak/>
        <w:t>фонаря кабины). Специальный прицел для бомбометания с горизонталь</w:t>
      </w:r>
      <w:r w:rsidRPr="00D03F3E">
        <w:rPr>
          <w:rFonts w:ascii="Times New Roman" w:hAnsi="Times New Roman" w:cs="Times New Roman"/>
          <w:color w:val="0070C0"/>
          <w:sz w:val="16"/>
          <w:szCs w:val="16"/>
        </w:rPr>
        <w:softHyphen/>
        <w:t>ного полета отсутствовал. Для этих целей предполагалось использовать штыри и разметку на бронекорпусе.</w:t>
      </w:r>
    </w:p>
    <w:p w14:paraId="52773E1D" w14:textId="77777777" w:rsidR="002B37B7" w:rsidRPr="00D03F3E" w:rsidRDefault="002B37B7"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Проект С2А получил добро и с не</w:t>
      </w:r>
      <w:r w:rsidRPr="00D03F3E">
        <w:rPr>
          <w:rFonts w:ascii="Times New Roman" w:hAnsi="Times New Roman" w:cs="Times New Roman"/>
          <w:color w:val="0070C0"/>
          <w:sz w:val="16"/>
          <w:szCs w:val="16"/>
        </w:rPr>
        <w:softHyphen/>
        <w:t>большими замечаниями в части улучше</w:t>
      </w:r>
      <w:r w:rsidRPr="00D03F3E">
        <w:rPr>
          <w:rFonts w:ascii="Times New Roman" w:hAnsi="Times New Roman" w:cs="Times New Roman"/>
          <w:color w:val="0070C0"/>
          <w:sz w:val="16"/>
          <w:szCs w:val="16"/>
        </w:rPr>
        <w:softHyphen/>
        <w:t>ния бронирования был утвержден глав</w:t>
      </w:r>
      <w:r w:rsidRPr="00D03F3E">
        <w:rPr>
          <w:rFonts w:ascii="Times New Roman" w:hAnsi="Times New Roman" w:cs="Times New Roman"/>
          <w:color w:val="0070C0"/>
          <w:sz w:val="16"/>
          <w:szCs w:val="16"/>
        </w:rPr>
        <w:softHyphen/>
        <w:t>ным инженером ВВС генерал-лейтенан- том Репиным 20 января (19846).</w:t>
      </w:r>
    </w:p>
    <w:p w14:paraId="4396C70F" w14:textId="77777777" w:rsidR="002B37B7" w:rsidRPr="00D03F3E" w:rsidRDefault="002B37B7"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p>
    <w:p w14:paraId="1F60BC33"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6 января 1943 г. под руководством инженеров НИИ ГВФ М.П. Могилевского и В.В. Манцевича, а также инженера НИИ ВВС В.Я. Кравца закончились испытания дозаправки в воздухе ДБ-3ф от грузового планера А-7, которые шли с 27 декабря 1942 г. Пилотировал ДБ-3ф летчик НИИ ВВС К.Г. Богомазов, а планер вел С.Д. Спиваковский. Требовалось получить дальность не менее 3000 км с подвеской 10 бомб ФАБ-100 в отсеке и двух ФАБ-250 под крылом. Сцепка взлетала, набирала высоту, после чего за 12,6 минуты в баки ДБ-3ф перекачивалось 650 л бензина и его вес доходил до 10050 кг, а планер отцеплялся. Пилотажные свойства сцепки были удовлетворительными и мало отличались от таковых при буксировке обычного планера А-7, что широко практиковалось. Но прирост дальности Заказчик счел недостаточным, и система внедрена не была, не реализовали и проект дозаправки четырехмоторного Пе-8 от большого планера КЦ-20. Среди недостатков отмечалась большая длительность перекачки, но главное — военные хотели иметь систему дозаправки не сразу после взлета, а дальше (23013).</w:t>
      </w:r>
    </w:p>
    <w:p w14:paraId="5D20B649" w14:textId="77777777" w:rsidR="00365B5B" w:rsidRPr="00D03F3E" w:rsidRDefault="00365B5B" w:rsidP="00D03F3E">
      <w:pPr>
        <w:spacing w:after="0" w:line="240" w:lineRule="auto"/>
        <w:jc w:val="both"/>
        <w:rPr>
          <w:rFonts w:ascii="Times New Roman" w:hAnsi="Times New Roman"/>
          <w:color w:val="0070C0"/>
          <w:sz w:val="16"/>
          <w:szCs w:val="16"/>
        </w:rPr>
      </w:pPr>
    </w:p>
    <w:p w14:paraId="4C97DDD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 января 1943 на Ер-2 2М-30Б на заводах 134 и 500 полетов не было. Пытались подготовить полет 6, но шарик обратного клапана ушел в масляную магистраль и понадобилось разбирать. Потом до 10 января не было погоды (1458,30).</w:t>
      </w:r>
    </w:p>
    <w:p w14:paraId="7926716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DA20CA"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января 1943 г. состоялась беседа посла СССР в Китае А.С. Панюшкина с Шэн Шицаем о советско-китайских отношениях в Синьцзяне, продол</w:t>
      </w:r>
      <w:r w:rsidRPr="00D03F3E">
        <w:rPr>
          <w:rFonts w:ascii="Times New Roman" w:hAnsi="Times New Roman"/>
          <w:color w:val="000000" w:themeColor="text1"/>
          <w:sz w:val="16"/>
          <w:szCs w:val="16"/>
        </w:rPr>
        <w:softHyphen/>
        <w:t>жавшаяся более четырех часов. В выводах посол отметил:</w:t>
      </w:r>
    </w:p>
    <w:p w14:paraId="1528B63C"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Из поведения дубаня во время беседы видно, что он целиком оправдывает и за</w:t>
      </w:r>
      <w:r w:rsidRPr="00D03F3E">
        <w:rPr>
          <w:rFonts w:ascii="Times New Roman" w:hAnsi="Times New Roman"/>
          <w:color w:val="000000" w:themeColor="text1"/>
          <w:sz w:val="16"/>
          <w:szCs w:val="16"/>
        </w:rPr>
        <w:softHyphen/>
        <w:t>щищает незаконные действия китайской стороны в отношении совграждан и совучреж- дений в Синьцзяне. Дубань это делает потому, что он сам является организатором всех этих антисоветских действий.</w:t>
      </w:r>
    </w:p>
    <w:p w14:paraId="55E3CEE6" w14:textId="77777777" w:rsidR="00486A01" w:rsidRPr="00D03F3E" w:rsidRDefault="00486A01" w:rsidP="00D03F3E">
      <w:pPr>
        <w:tabs>
          <w:tab w:val="left" w:pos="41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У меня не остается сомнений в том, что дубань и в дальнейшем будет проводить взятую им позицию в отношении нас, т.е. будет продолжать пакостить нам.</w:t>
      </w:r>
    </w:p>
    <w:p w14:paraId="1F8522C0" w14:textId="77777777" w:rsidR="00486A01" w:rsidRPr="00D03F3E" w:rsidRDefault="00486A01" w:rsidP="00D03F3E">
      <w:pPr>
        <w:tabs>
          <w:tab w:val="left" w:pos="41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Чувствуется, что дубань понимает всю неубедительность его заявления о том, что Син[ьцзянское] правительство продолжает проводить просоветскую политику.</w:t>
      </w:r>
    </w:p>
    <w:p w14:paraId="5192E761" w14:textId="77777777" w:rsidR="00486A01" w:rsidRPr="00D03F3E" w:rsidRDefault="00486A01" w:rsidP="00D03F3E">
      <w:pPr>
        <w:tabs>
          <w:tab w:val="left" w:pos="42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Присутствовавший на беседе Особо Уполномоченный Центрального Правительства У Цзэсян во время заявлений дубаня покачиванием головы одобрял его заявления. Отсюда ясно, что дубань действует с согласия Центрального правительства» (15811).</w:t>
      </w:r>
    </w:p>
    <w:p w14:paraId="0BC366F5" w14:textId="77777777" w:rsidR="00486A01" w:rsidRPr="00D03F3E" w:rsidRDefault="00486A01" w:rsidP="00D03F3E">
      <w:pPr>
        <w:spacing w:after="0" w:line="240" w:lineRule="auto"/>
        <w:jc w:val="both"/>
        <w:rPr>
          <w:rFonts w:ascii="Times New Roman" w:hAnsi="Times New Roman"/>
          <w:color w:val="000000" w:themeColor="text1"/>
          <w:sz w:val="16"/>
          <w:szCs w:val="16"/>
        </w:rPr>
      </w:pPr>
    </w:p>
    <w:p w14:paraId="62517C00"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6B0EF24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71654F" w14:textId="77777777" w:rsidR="00E56A12" w:rsidRPr="00D03F3E" w:rsidRDefault="00E56A12" w:rsidP="00D03F3E">
      <w:pPr>
        <w:pStyle w:val="a3"/>
        <w:rPr>
          <w:color w:val="000000" w:themeColor="text1"/>
          <w:lang w:val="ru-RU"/>
        </w:rPr>
      </w:pPr>
      <w:r w:rsidRPr="00D03F3E">
        <w:rPr>
          <w:color w:val="000000" w:themeColor="text1"/>
          <w:lang w:val="ru-RU"/>
        </w:rPr>
        <w:t>6 января 1943 года пред</w:t>
      </w:r>
      <w:r w:rsidRPr="00D03F3E">
        <w:rPr>
          <w:color w:val="000000" w:themeColor="text1"/>
          <w:lang w:val="ru-RU"/>
        </w:rPr>
        <w:softHyphen/>
        <w:t xml:space="preserve">седатель Артиллерийского комитета ГАУ КА В.И. Хохлов (к тому моменту получивший звание генерал-лейтенанта артиллерии) выслал копии требовании на «152-мм самоходную пушку на шасси танка </w:t>
      </w:r>
      <w:r w:rsidRPr="00D03F3E">
        <w:rPr>
          <w:rStyle w:val="BodytextTahoma3"/>
          <w:rFonts w:ascii="Times New Roman" w:hAnsi="Times New Roman" w:cs="Times New Roman"/>
          <w:color w:val="000000" w:themeColor="text1"/>
        </w:rPr>
        <w:t>KB</w:t>
      </w:r>
      <w:r w:rsidRPr="00D03F3E">
        <w:rPr>
          <w:rStyle w:val="BodytextTahoma3"/>
          <w:rFonts w:ascii="Times New Roman" w:hAnsi="Times New Roman" w:cs="Times New Roman"/>
          <w:color w:val="000000" w:themeColor="text1"/>
          <w:lang w:val="ru-RU"/>
        </w:rPr>
        <w:t>-1С».</w:t>
      </w:r>
      <w:r w:rsidRPr="00D03F3E">
        <w:rPr>
          <w:color w:val="000000" w:themeColor="text1"/>
          <w:lang w:val="ru-RU"/>
        </w:rPr>
        <w:t xml:space="preserve"> Требования, утвержденные начальником ГАУ КА генерал полковником артиллерии Н.Д. Яковлевым, были высланы на Киров</w:t>
      </w:r>
      <w:r w:rsidRPr="00D03F3E">
        <w:rPr>
          <w:color w:val="000000" w:themeColor="text1"/>
          <w:lang w:val="ru-RU"/>
        </w:rPr>
        <w:softHyphen/>
        <w:t>ский завод и наркому танковой промышленности И.М. Зальцману:</w:t>
      </w:r>
    </w:p>
    <w:p w14:paraId="14486789" w14:textId="77777777" w:rsidR="00E56A12" w:rsidRPr="00D03F3E" w:rsidRDefault="00E56A12" w:rsidP="00D03F3E">
      <w:pPr>
        <w:pStyle w:val="a3"/>
        <w:rPr>
          <w:color w:val="000000" w:themeColor="text1"/>
          <w:lang w:val="ru-RU"/>
        </w:rPr>
      </w:pPr>
      <w:r w:rsidRPr="00D03F3E">
        <w:rPr>
          <w:rStyle w:val="BodytextItalic"/>
          <w:i w:val="0"/>
          <w:color w:val="000000" w:themeColor="text1"/>
          <w:sz w:val="16"/>
          <w:szCs w:val="16"/>
          <w:lang w:val="ru-RU"/>
        </w:rPr>
        <w:t>«</w:t>
      </w:r>
      <w:r w:rsidRPr="00D03F3E">
        <w:rPr>
          <w:rStyle w:val="BodytextItalic"/>
          <w:i w:val="0"/>
          <w:color w:val="000000" w:themeColor="text1"/>
          <w:sz w:val="16"/>
          <w:szCs w:val="16"/>
        </w:rPr>
        <w:t>I</w:t>
      </w:r>
      <w:r w:rsidRPr="00D03F3E">
        <w:rPr>
          <w:rStyle w:val="BodytextItalic"/>
          <w:i w:val="0"/>
          <w:color w:val="000000" w:themeColor="text1"/>
          <w:sz w:val="16"/>
          <w:szCs w:val="16"/>
          <w:lang w:val="ru-RU"/>
        </w:rPr>
        <w:t>. Назначение</w:t>
      </w:r>
    </w:p>
    <w:p w14:paraId="38B8B276"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1. 152мм самоходная пушка предназначается для разрушения и унич</w:t>
      </w:r>
      <w:r w:rsidRPr="00D03F3E">
        <w:rPr>
          <w:rStyle w:val="Bodytext145"/>
          <w:i w:val="0"/>
          <w:iCs w:val="0"/>
          <w:color w:val="000000" w:themeColor="text1"/>
          <w:sz w:val="16"/>
          <w:szCs w:val="16"/>
        </w:rPr>
        <w:softHyphen/>
        <w:t>тожения ДОТов, ДЗОТов и других прочных полевых укреплений прямой наводкой с коротких дистанций при прорыве оборони</w:t>
      </w:r>
      <w:r w:rsidRPr="00D03F3E">
        <w:rPr>
          <w:rStyle w:val="Bodytext145"/>
          <w:i w:val="0"/>
          <w:iCs w:val="0"/>
          <w:color w:val="000000" w:themeColor="text1"/>
          <w:sz w:val="16"/>
          <w:szCs w:val="16"/>
        </w:rPr>
        <w:softHyphen/>
        <w:t>тельной полосы противника, а также для борьбы с артиллерией противника и обстрела тыла.</w:t>
      </w:r>
    </w:p>
    <w:p w14:paraId="20A31B7B"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II. Основные технические требования</w:t>
      </w:r>
    </w:p>
    <w:p w14:paraId="2C620385" w14:textId="77777777" w:rsidR="00E56A12" w:rsidRPr="00D03F3E" w:rsidRDefault="00E56A12" w:rsidP="00D03F3E">
      <w:pPr>
        <w:pStyle w:val="a3"/>
        <w:rPr>
          <w:color w:val="000000" w:themeColor="text1"/>
          <w:lang w:val="ru-RU"/>
        </w:rPr>
      </w:pPr>
      <w:r w:rsidRPr="00D03F3E">
        <w:rPr>
          <w:rStyle w:val="Bodytext145"/>
          <w:iCs/>
          <w:color w:val="000000" w:themeColor="text1"/>
          <w:lang w:val="ru-RU"/>
        </w:rPr>
        <w:t>1. Самоходная пушка осуществляется постановкой качающейся ча</w:t>
      </w:r>
      <w:r w:rsidRPr="00D03F3E">
        <w:rPr>
          <w:rStyle w:val="Bodytext145"/>
          <w:iCs/>
          <w:color w:val="000000" w:themeColor="text1"/>
          <w:lang w:val="ru-RU"/>
        </w:rPr>
        <w:softHyphen/>
        <w:t>сти 152-мм гаубицы-пушки обр. 1937 года в неподвижную баш</w:t>
      </w:r>
      <w:r w:rsidRPr="00D03F3E">
        <w:rPr>
          <w:rStyle w:val="Bodytext145"/>
          <w:iCs/>
          <w:color w:val="000000" w:themeColor="text1"/>
          <w:lang w:val="ru-RU"/>
        </w:rPr>
        <w:softHyphen/>
        <w:t xml:space="preserve">ню, устанавливаемую, в свою очередь, на шасси танка </w:t>
      </w:r>
      <w:r w:rsidRPr="00D03F3E">
        <w:rPr>
          <w:rStyle w:val="Bodytext145"/>
          <w:iCs/>
          <w:color w:val="000000" w:themeColor="text1"/>
        </w:rPr>
        <w:t>KB</w:t>
      </w:r>
      <w:r w:rsidRPr="00D03F3E">
        <w:rPr>
          <w:rStyle w:val="Bodytext145"/>
          <w:iCs/>
          <w:color w:val="000000" w:themeColor="text1"/>
          <w:lang w:val="ru-RU"/>
        </w:rPr>
        <w:t>-1С</w:t>
      </w:r>
    </w:p>
    <w:p w14:paraId="472DC3E2" w14:textId="77777777" w:rsidR="00E56A12" w:rsidRPr="00D03F3E" w:rsidRDefault="00E56A12" w:rsidP="00D03F3E">
      <w:pPr>
        <w:pStyle w:val="Bodytext141"/>
        <w:shd w:val="clear" w:color="auto" w:fill="auto"/>
        <w:tabs>
          <w:tab w:val="left" w:pos="850"/>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2. Вес самоходной пушки с боеукладкой, полной заправкой горючего и экипажем должен быть не более 45,5 тонн.</w:t>
      </w:r>
    </w:p>
    <w:p w14:paraId="41C08247" w14:textId="77777777" w:rsidR="00E56A12" w:rsidRPr="00D03F3E" w:rsidRDefault="00E56A12" w:rsidP="00D03F3E">
      <w:pPr>
        <w:pStyle w:val="Bodytext141"/>
        <w:shd w:val="clear" w:color="auto" w:fill="auto"/>
        <w:tabs>
          <w:tab w:val="left" w:pos="850"/>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3. Толщина броневых листов неподвижной башни должна быть:</w:t>
      </w:r>
    </w:p>
    <w:p w14:paraId="1152BB15" w14:textId="77777777" w:rsidR="00E56A12" w:rsidRPr="00D03F3E" w:rsidRDefault="00E56A12" w:rsidP="00D03F3E">
      <w:pPr>
        <w:pStyle w:val="Bodytext141"/>
        <w:shd w:val="clear" w:color="auto" w:fill="auto"/>
        <w:tabs>
          <w:tab w:val="left" w:pos="1110"/>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а) лобовой 60— 75 мм;</w:t>
      </w:r>
    </w:p>
    <w:p w14:paraId="2DDFCD93" w14:textId="77777777" w:rsidR="00E56A12" w:rsidRPr="00D03F3E" w:rsidRDefault="00E56A12" w:rsidP="00D03F3E">
      <w:pPr>
        <w:pStyle w:val="Bodytext141"/>
        <w:shd w:val="clear" w:color="auto" w:fill="auto"/>
        <w:tabs>
          <w:tab w:val="left" w:pos="1110"/>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б) бортовой и кормовой равнопрочной корпусу танка «КВ- 1С», то есть 60 мм;</w:t>
      </w:r>
    </w:p>
    <w:p w14:paraId="7DDE5C09"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Style w:val="Bodytext145"/>
          <w:rFonts w:ascii="Times New Roman" w:hAnsi="Times New Roman"/>
          <w:iCs/>
          <w:color w:val="000000" w:themeColor="text1"/>
          <w:sz w:val="16"/>
          <w:szCs w:val="16"/>
        </w:rPr>
        <w:t>в) крыши 20 мм.</w:t>
      </w:r>
    </w:p>
    <w:p w14:paraId="567DCB17"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Style w:val="Bodytext145"/>
          <w:rFonts w:ascii="Times New Roman" w:hAnsi="Times New Roman"/>
          <w:iCs/>
          <w:color w:val="000000" w:themeColor="text1"/>
          <w:sz w:val="16"/>
          <w:szCs w:val="16"/>
        </w:rPr>
        <w:t>4. Боекомплект самоходной пушки должен состоять не менее чем из 20 выстрелов</w:t>
      </w:r>
    </w:p>
    <w:p w14:paraId="32E51B15"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5. Высота боевого отделения от выровненного пола должна быть не менее 1700мм.</w:t>
      </w:r>
    </w:p>
    <w:p w14:paraId="1A4CB36C"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III. Требования к артиллерийской части самохода</w:t>
      </w:r>
    </w:p>
    <w:p w14:paraId="0B8BF1F5"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Самоходная пушка должна удовлетворять следующим требованиям:</w:t>
      </w:r>
    </w:p>
    <w:p w14:paraId="12CDEE91" w14:textId="77777777" w:rsidR="00E56A12" w:rsidRPr="00D03F3E" w:rsidRDefault="00E56A12" w:rsidP="00D03F3E">
      <w:pPr>
        <w:pStyle w:val="Bodytext141"/>
        <w:shd w:val="clear" w:color="auto" w:fill="auto"/>
        <w:tabs>
          <w:tab w:val="left" w:pos="4242"/>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1. Углы обстрела:</w:t>
      </w:r>
    </w:p>
    <w:p w14:paraId="0145EAC0" w14:textId="77777777" w:rsidR="00E56A12" w:rsidRPr="00D03F3E" w:rsidRDefault="00E56A12" w:rsidP="00D03F3E">
      <w:pPr>
        <w:pStyle w:val="Bodytext141"/>
        <w:shd w:val="clear" w:color="auto" w:fill="auto"/>
        <w:tabs>
          <w:tab w:val="left" w:pos="4285"/>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а) вертикальный от —3° до +20°</w:t>
      </w:r>
    </w:p>
    <w:p w14:paraId="724B7275" w14:textId="77777777" w:rsidR="00E56A12" w:rsidRPr="00D03F3E" w:rsidRDefault="00E56A12" w:rsidP="00D03F3E">
      <w:pPr>
        <w:pStyle w:val="Bodytext141"/>
        <w:shd w:val="clear" w:color="auto" w:fill="auto"/>
        <w:tabs>
          <w:tab w:val="left" w:pos="4270"/>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б) горизонтальный по 6° на каждую сторону.</w:t>
      </w:r>
    </w:p>
    <w:p w14:paraId="5372E0E0" w14:textId="77777777" w:rsidR="00E56A12" w:rsidRPr="00D03F3E" w:rsidRDefault="00E56A12" w:rsidP="00D03F3E">
      <w:pPr>
        <w:pStyle w:val="Bodytext141"/>
        <w:shd w:val="clear" w:color="auto" w:fill="auto"/>
        <w:tabs>
          <w:tab w:val="left" w:pos="4256"/>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2. Практическая скорострельность с исправлением наводки 3—4 вы</w:t>
      </w:r>
      <w:r w:rsidRPr="00D03F3E">
        <w:rPr>
          <w:rStyle w:val="Bodytext145"/>
          <w:i w:val="0"/>
          <w:iCs w:val="0"/>
          <w:color w:val="000000" w:themeColor="text1"/>
          <w:sz w:val="16"/>
          <w:szCs w:val="16"/>
        </w:rPr>
        <w:softHyphen/>
        <w:t>стрела в минуту.</w:t>
      </w:r>
    </w:p>
    <w:p w14:paraId="7929C5D1" w14:textId="77777777" w:rsidR="00E56A12" w:rsidRPr="00D03F3E" w:rsidRDefault="00E56A12" w:rsidP="00D03F3E">
      <w:pPr>
        <w:pStyle w:val="Bodytext141"/>
        <w:shd w:val="clear" w:color="auto" w:fill="auto"/>
        <w:tabs>
          <w:tab w:val="left" w:pos="4294"/>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3. Откат постоянный — 850 мм (достигается соответствующим закреплением контрштока).</w:t>
      </w:r>
    </w:p>
    <w:p w14:paraId="5296D7F7" w14:textId="77777777" w:rsidR="00E56A12" w:rsidRPr="00D03F3E" w:rsidRDefault="00E56A12" w:rsidP="00D03F3E">
      <w:pPr>
        <w:pStyle w:val="Bodytext141"/>
        <w:shd w:val="clear" w:color="auto" w:fill="auto"/>
        <w:tabs>
          <w:tab w:val="left" w:pos="4256"/>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4. Усилие на маховиках механизмов наведения не выше, чем у штат</w:t>
      </w:r>
      <w:r w:rsidRPr="00D03F3E">
        <w:rPr>
          <w:rStyle w:val="Bodytext145"/>
          <w:i w:val="0"/>
          <w:iCs w:val="0"/>
          <w:color w:val="000000" w:themeColor="text1"/>
          <w:sz w:val="16"/>
          <w:szCs w:val="16"/>
        </w:rPr>
        <w:softHyphen/>
        <w:t>ной гаубицы-пушки, а именно:</w:t>
      </w:r>
    </w:p>
    <w:p w14:paraId="7FE7EE13" w14:textId="77777777" w:rsidR="00E56A12" w:rsidRPr="00D03F3E" w:rsidRDefault="00E56A12" w:rsidP="00D03F3E">
      <w:pPr>
        <w:pStyle w:val="Bodytext141"/>
        <w:shd w:val="clear" w:color="auto" w:fill="auto"/>
        <w:tabs>
          <w:tab w:val="left" w:pos="4285"/>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а) вертикальном до 8 кг;</w:t>
      </w:r>
    </w:p>
    <w:p w14:paraId="7FA55CD0" w14:textId="77777777" w:rsidR="00E56A12" w:rsidRPr="00D03F3E" w:rsidRDefault="00E56A12" w:rsidP="00D03F3E">
      <w:pPr>
        <w:pStyle w:val="Bodytext141"/>
        <w:shd w:val="clear" w:color="auto" w:fill="auto"/>
        <w:tabs>
          <w:tab w:val="left" w:pos="4270"/>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б) горизонтальном до 5 кг.</w:t>
      </w:r>
    </w:p>
    <w:p w14:paraId="05E698F8" w14:textId="77777777" w:rsidR="00E56A12" w:rsidRPr="00D03F3E" w:rsidRDefault="00E56A12" w:rsidP="00D03F3E">
      <w:pPr>
        <w:pStyle w:val="Bodytext141"/>
        <w:shd w:val="clear" w:color="auto" w:fill="auto"/>
        <w:tabs>
          <w:tab w:val="left" w:pos="4299"/>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5. Прицельные приспособления должны обеспечивать стрельбу как прямой наводкой с открытых позиций, так и раздельной наводкой с закрытых позиций. Прицел должен быть установлен так, что</w:t>
      </w:r>
      <w:r w:rsidRPr="00D03F3E">
        <w:rPr>
          <w:rStyle w:val="Bodytext145"/>
          <w:i w:val="0"/>
          <w:iCs w:val="0"/>
          <w:color w:val="000000" w:themeColor="text1"/>
          <w:sz w:val="16"/>
          <w:szCs w:val="16"/>
        </w:rPr>
        <w:softHyphen/>
        <w:t>бы объектив панорамы выступал над крышей башни. Для удоб</w:t>
      </w:r>
      <w:r w:rsidRPr="00D03F3E">
        <w:rPr>
          <w:rStyle w:val="Bodytext145"/>
          <w:i w:val="0"/>
          <w:iCs w:val="0"/>
          <w:color w:val="000000" w:themeColor="text1"/>
          <w:sz w:val="16"/>
          <w:szCs w:val="16"/>
        </w:rPr>
        <w:softHyphen/>
        <w:t>ства работы наводчика предусмотреть установку налобника.</w:t>
      </w:r>
    </w:p>
    <w:p w14:paraId="7A8709E1" w14:textId="77777777" w:rsidR="00E56A12" w:rsidRPr="00D03F3E" w:rsidRDefault="00E56A12" w:rsidP="00D03F3E">
      <w:pPr>
        <w:pStyle w:val="Bodytext141"/>
        <w:shd w:val="clear" w:color="auto" w:fill="auto"/>
        <w:tabs>
          <w:tab w:val="left" w:pos="4304"/>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6. Приспособления для заряжания — специальный лоток по типу применяемого в 122-мм самоходной гаубице завода №592.</w:t>
      </w:r>
    </w:p>
    <w:p w14:paraId="2992E7E3" w14:textId="77777777" w:rsidR="00E56A12" w:rsidRPr="00D03F3E" w:rsidRDefault="00E56A12" w:rsidP="00D03F3E">
      <w:pPr>
        <w:pStyle w:val="Bodytext141"/>
        <w:shd w:val="clear" w:color="auto" w:fill="auto"/>
        <w:tabs>
          <w:tab w:val="left" w:pos="4246"/>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7. Спусковое приспособление — ручной и ножной спуски.</w:t>
      </w:r>
    </w:p>
    <w:p w14:paraId="03D6BFB8" w14:textId="77777777" w:rsidR="00E56A12" w:rsidRPr="00D03F3E" w:rsidRDefault="00E56A12" w:rsidP="00D03F3E">
      <w:pPr>
        <w:pStyle w:val="Bodytext141"/>
        <w:shd w:val="clear" w:color="auto" w:fill="auto"/>
        <w:tabs>
          <w:tab w:val="left" w:pos="4270"/>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8. Ограждение</w:t>
      </w:r>
    </w:p>
    <w:p w14:paraId="6085978F"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Для защиты орудийного расчета от откатывающихся частей должно быть поставлено специальное ограждение, не мешающее заряжанию.</w:t>
      </w:r>
    </w:p>
    <w:p w14:paraId="00143F1E" w14:textId="77777777" w:rsidR="00E56A12" w:rsidRPr="00D03F3E" w:rsidRDefault="00E56A12" w:rsidP="00D03F3E">
      <w:pPr>
        <w:pStyle w:val="Bodytext141"/>
        <w:shd w:val="clear" w:color="auto" w:fill="auto"/>
        <w:tabs>
          <w:tab w:val="left" w:pos="4256"/>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9. Уравновешивание</w:t>
      </w:r>
    </w:p>
    <w:p w14:paraId="23C6002C"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В целях облегчения получения усилий на маховиках механиз</w:t>
      </w:r>
      <w:r w:rsidRPr="00D03F3E">
        <w:rPr>
          <w:rStyle w:val="Bodytext145"/>
          <w:i w:val="0"/>
          <w:iCs w:val="0"/>
          <w:color w:val="000000" w:themeColor="text1"/>
          <w:sz w:val="16"/>
          <w:szCs w:val="16"/>
        </w:rPr>
        <w:softHyphen/>
        <w:t>мов наведения, не превышающих усилий на гаубице-пушке обр. 1937 года, разрешается, при условии подтверждения расчета</w:t>
      </w:r>
      <w:r w:rsidRPr="00D03F3E">
        <w:rPr>
          <w:rStyle w:val="Bodytext145"/>
          <w:i w:val="0"/>
          <w:iCs w:val="0"/>
          <w:color w:val="000000" w:themeColor="text1"/>
          <w:sz w:val="16"/>
          <w:szCs w:val="16"/>
        </w:rPr>
        <w:softHyphen/>
        <w:t>ми прочности противооткатных устройств, снятие со ство</w:t>
      </w:r>
      <w:r w:rsidRPr="00D03F3E">
        <w:rPr>
          <w:rStyle w:val="Bodytext145"/>
          <w:i w:val="0"/>
          <w:iCs w:val="0"/>
          <w:color w:val="000000" w:themeColor="text1"/>
          <w:sz w:val="16"/>
          <w:szCs w:val="16"/>
        </w:rPr>
        <w:softHyphen/>
        <w:t>ла дульного тормоза. В последнем случае установочные части пушки должны быть рассчитаны на повышенное сопротивление откату.</w:t>
      </w:r>
    </w:p>
    <w:p w14:paraId="7E015A25" w14:textId="77777777" w:rsidR="00E56A12" w:rsidRPr="00D03F3E" w:rsidRDefault="00E56A12" w:rsidP="00D03F3E">
      <w:pPr>
        <w:pStyle w:val="Bodytext141"/>
        <w:shd w:val="clear" w:color="auto" w:fill="auto"/>
        <w:tabs>
          <w:tab w:val="left" w:pos="4075"/>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10. Расположение маховика поворотного механизма относительно окуляра панорамы и сидения наводчика должно обеспечивать удобную работу последнего без отрыва глаз от окуляра. Разреша</w:t>
      </w:r>
      <w:r w:rsidRPr="00D03F3E">
        <w:rPr>
          <w:rStyle w:val="Bodytext145"/>
          <w:i w:val="0"/>
          <w:iCs w:val="0"/>
          <w:color w:val="000000" w:themeColor="text1"/>
          <w:sz w:val="16"/>
          <w:szCs w:val="16"/>
        </w:rPr>
        <w:softHyphen/>
        <w:t>ется существующий поворотный механизм заменить механиз</w:t>
      </w:r>
      <w:r w:rsidRPr="00D03F3E">
        <w:rPr>
          <w:rStyle w:val="Bodytext145"/>
          <w:i w:val="0"/>
          <w:iCs w:val="0"/>
          <w:color w:val="000000" w:themeColor="text1"/>
          <w:sz w:val="16"/>
          <w:szCs w:val="16"/>
        </w:rPr>
        <w:softHyphen/>
        <w:t>мом винтового типа.</w:t>
      </w:r>
    </w:p>
    <w:p w14:paraId="14EC33D5" w14:textId="77777777" w:rsidR="00E56A12" w:rsidRPr="00D03F3E" w:rsidRDefault="00E56A12" w:rsidP="00D03F3E">
      <w:pPr>
        <w:pStyle w:val="Bodytext141"/>
        <w:shd w:val="clear" w:color="auto" w:fill="auto"/>
        <w:tabs>
          <w:tab w:val="left" w:pos="4032"/>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11. Маховик поворотного механизма допускается заменить штурва</w:t>
      </w:r>
      <w:r w:rsidRPr="00D03F3E">
        <w:rPr>
          <w:rStyle w:val="Bodytext145"/>
          <w:i w:val="0"/>
          <w:iCs w:val="0"/>
          <w:color w:val="000000" w:themeColor="text1"/>
          <w:sz w:val="16"/>
          <w:szCs w:val="16"/>
        </w:rPr>
        <w:softHyphen/>
        <w:t>лом морского типа.</w:t>
      </w:r>
    </w:p>
    <w:p w14:paraId="448D258E" w14:textId="77777777" w:rsidR="00E56A12" w:rsidRPr="00D03F3E" w:rsidRDefault="00E56A12" w:rsidP="00D03F3E">
      <w:pPr>
        <w:pStyle w:val="Bodytext141"/>
        <w:shd w:val="clear" w:color="auto" w:fill="auto"/>
        <w:tabs>
          <w:tab w:val="left" w:pos="4075"/>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12. Выступающие из башни противооткатные устройства долж</w:t>
      </w:r>
      <w:r w:rsidRPr="00D03F3E">
        <w:rPr>
          <w:rStyle w:val="Bodytext145"/>
          <w:i w:val="0"/>
          <w:iCs w:val="0"/>
          <w:color w:val="000000" w:themeColor="text1"/>
          <w:sz w:val="16"/>
          <w:szCs w:val="16"/>
        </w:rPr>
        <w:softHyphen/>
        <w:t>ны быть забронированы башней толщиной 30—35 мм, а лобовая часть — броней 75 мм. Лобовая часть должна быть с крышкой для доступа к противооткатным устройствам.</w:t>
      </w:r>
    </w:p>
    <w:p w14:paraId="75E694BF" w14:textId="77777777" w:rsidR="00E56A12" w:rsidRPr="00D03F3E" w:rsidRDefault="00E56A12" w:rsidP="00D03F3E">
      <w:pPr>
        <w:pStyle w:val="Bodytext141"/>
        <w:shd w:val="clear" w:color="auto" w:fill="auto"/>
        <w:tabs>
          <w:tab w:val="left" w:pos="1576"/>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13. Установка гаубицы должна обеспечивать удобное заряжание на всех допускаемых углах возвышения, снижения и горизонтального наведения.</w:t>
      </w:r>
    </w:p>
    <w:p w14:paraId="29E54D43" w14:textId="77777777" w:rsidR="00E56A12" w:rsidRPr="00D03F3E" w:rsidRDefault="00E56A12" w:rsidP="00D03F3E">
      <w:pPr>
        <w:pStyle w:val="Bodytext141"/>
        <w:shd w:val="clear" w:color="auto" w:fill="auto"/>
        <w:tabs>
          <w:tab w:val="left" w:pos="1566"/>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14. На походное положение качающаяся часть должна прочно изну</w:t>
      </w:r>
      <w:r w:rsidRPr="00D03F3E">
        <w:rPr>
          <w:rStyle w:val="Bodytext145"/>
          <w:i w:val="0"/>
          <w:iCs w:val="0"/>
          <w:color w:val="000000" w:themeColor="text1"/>
          <w:sz w:val="16"/>
          <w:szCs w:val="16"/>
        </w:rPr>
        <w:softHyphen/>
        <w:t>три самохода закрепляться от горизонтального и вертикального перемещения.</w:t>
      </w:r>
    </w:p>
    <w:p w14:paraId="5CD1D024" w14:textId="77777777" w:rsidR="00E56A12" w:rsidRPr="00D03F3E" w:rsidRDefault="00E56A12" w:rsidP="00D03F3E">
      <w:pPr>
        <w:pStyle w:val="Bodytext141"/>
        <w:shd w:val="clear" w:color="auto" w:fill="auto"/>
        <w:tabs>
          <w:tab w:val="left" w:pos="1552"/>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15. Экипаж самохода — 6 человек:</w:t>
      </w:r>
    </w:p>
    <w:p w14:paraId="782AD5E2"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а) командир орудия; б) наводчик; в) заряжающий; г) замковый; д) радист; е) механик-водитель.</w:t>
      </w:r>
    </w:p>
    <w:p w14:paraId="1E5C3305"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IV. Требования к корпусу и самоходной части</w:t>
      </w:r>
    </w:p>
    <w:p w14:paraId="521DFA4B" w14:textId="77777777" w:rsidR="00E56A12" w:rsidRPr="00D03F3E" w:rsidRDefault="00E56A12" w:rsidP="00D03F3E">
      <w:pPr>
        <w:pStyle w:val="Bodytext141"/>
        <w:shd w:val="clear" w:color="auto" w:fill="auto"/>
        <w:tabs>
          <w:tab w:val="left" w:pos="1815"/>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1. Неподвижная башня, устанавливаемая на место вращающейся башни, должна быть прочной и обеспечивать свободное, безопас</w:t>
      </w:r>
      <w:r w:rsidRPr="00D03F3E">
        <w:rPr>
          <w:rStyle w:val="Bodytext145"/>
          <w:i w:val="0"/>
          <w:iCs w:val="0"/>
          <w:color w:val="000000" w:themeColor="text1"/>
          <w:sz w:val="16"/>
          <w:szCs w:val="16"/>
        </w:rPr>
        <w:softHyphen/>
        <w:t>ное обслуживание орудия и требуемую скорострельность.</w:t>
      </w:r>
    </w:p>
    <w:p w14:paraId="6317E0EB" w14:textId="77777777" w:rsidR="00E56A12" w:rsidRPr="00D03F3E" w:rsidRDefault="00E56A12" w:rsidP="00D03F3E">
      <w:pPr>
        <w:pStyle w:val="Bodytext141"/>
        <w:shd w:val="clear" w:color="auto" w:fill="auto"/>
        <w:tabs>
          <w:tab w:val="left" w:pos="1810"/>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2. Для создания просторного боевого отделения использовать над- гусеничное пространство.</w:t>
      </w:r>
    </w:p>
    <w:p w14:paraId="261C70C3" w14:textId="77777777" w:rsidR="00E56A12" w:rsidRPr="00D03F3E" w:rsidRDefault="00E56A12" w:rsidP="00D03F3E">
      <w:pPr>
        <w:pStyle w:val="Bodytext141"/>
        <w:shd w:val="clear" w:color="auto" w:fill="auto"/>
        <w:tabs>
          <w:tab w:val="left" w:pos="1801"/>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3. Укладка боекомплекта должна быть прочной и обеспечивать сво</w:t>
      </w:r>
      <w:r w:rsidRPr="00D03F3E">
        <w:rPr>
          <w:rStyle w:val="Bodytext145"/>
          <w:i w:val="0"/>
          <w:iCs w:val="0"/>
          <w:color w:val="000000" w:themeColor="text1"/>
          <w:sz w:val="16"/>
          <w:szCs w:val="16"/>
        </w:rPr>
        <w:softHyphen/>
        <w:t>бодное и наиболее удобное извлечение элементов выстрелов для достижения заданной скорострельности.</w:t>
      </w:r>
    </w:p>
    <w:p w14:paraId="2C1EB711" w14:textId="77777777" w:rsidR="00E56A12" w:rsidRPr="00D03F3E" w:rsidRDefault="00E56A12" w:rsidP="00D03F3E">
      <w:pPr>
        <w:pStyle w:val="Bodytext141"/>
        <w:shd w:val="clear" w:color="auto" w:fill="auto"/>
        <w:tabs>
          <w:tab w:val="left" w:pos="1863"/>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4. Размещение выстрелов в боевом отделении должно соответ</w:t>
      </w:r>
      <w:r w:rsidRPr="00D03F3E">
        <w:rPr>
          <w:rStyle w:val="Bodytext145"/>
          <w:i w:val="0"/>
          <w:iCs w:val="0"/>
          <w:color w:val="000000" w:themeColor="text1"/>
          <w:sz w:val="16"/>
          <w:szCs w:val="16"/>
        </w:rPr>
        <w:softHyphen/>
        <w:t>ствовать распределению операций при заряжании между заря</w:t>
      </w:r>
      <w:r w:rsidRPr="00D03F3E">
        <w:rPr>
          <w:rStyle w:val="Bodytext145"/>
          <w:i w:val="0"/>
          <w:iCs w:val="0"/>
          <w:color w:val="000000" w:themeColor="text1"/>
          <w:sz w:val="16"/>
          <w:szCs w:val="16"/>
        </w:rPr>
        <w:softHyphen/>
        <w:t>жающим и замковым: заряжающий подготавливает и вклады</w:t>
      </w:r>
      <w:r w:rsidRPr="00D03F3E">
        <w:rPr>
          <w:rStyle w:val="Bodytext145"/>
          <w:i w:val="0"/>
          <w:iCs w:val="0"/>
          <w:color w:val="000000" w:themeColor="text1"/>
          <w:sz w:val="16"/>
          <w:szCs w:val="16"/>
        </w:rPr>
        <w:softHyphen/>
        <w:t>вает в камору снаряд, замковый открывает и закрывает затвор и вкладывает гильзу.</w:t>
      </w:r>
    </w:p>
    <w:p w14:paraId="3161D2EE" w14:textId="77777777" w:rsidR="00E56A12" w:rsidRPr="00D03F3E" w:rsidRDefault="00E56A12" w:rsidP="00D03F3E">
      <w:pPr>
        <w:pStyle w:val="Bodytext141"/>
        <w:shd w:val="clear" w:color="auto" w:fill="auto"/>
        <w:tabs>
          <w:tab w:val="left" w:pos="1772"/>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5. Для входа и выхода орудийного расчета и для загрузки боеприпасов в задней части крыши и в корме боевого отделения должен быть сделан люк с открывающимися дверцами.</w:t>
      </w:r>
    </w:p>
    <w:p w14:paraId="10E5C071" w14:textId="77777777" w:rsidR="00E56A12" w:rsidRPr="00D03F3E" w:rsidRDefault="00E56A12" w:rsidP="00D03F3E">
      <w:pPr>
        <w:pStyle w:val="Bodytext141"/>
        <w:shd w:val="clear" w:color="auto" w:fill="auto"/>
        <w:tabs>
          <w:tab w:val="left" w:pos="1758"/>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6. Для вентиляции боевого отделения в кормовой части боевого отде</w:t>
      </w:r>
      <w:r w:rsidRPr="00D03F3E">
        <w:rPr>
          <w:rStyle w:val="Bodytext145"/>
          <w:i w:val="0"/>
          <w:iCs w:val="0"/>
          <w:color w:val="000000" w:themeColor="text1"/>
          <w:sz w:val="16"/>
          <w:szCs w:val="16"/>
        </w:rPr>
        <w:softHyphen/>
      </w:r>
    </w:p>
    <w:p w14:paraId="59146992"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ления предусмотреть вентиляционное окно, закрываемое дверцей.</w:t>
      </w:r>
    </w:p>
    <w:p w14:paraId="7F22DA8E" w14:textId="77777777" w:rsidR="00E56A12" w:rsidRPr="00D03F3E" w:rsidRDefault="00E56A12" w:rsidP="00D03F3E">
      <w:pPr>
        <w:pStyle w:val="Bodytext141"/>
        <w:shd w:val="clear" w:color="auto" w:fill="auto"/>
        <w:tabs>
          <w:tab w:val="left" w:pos="1791"/>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7. Бронировки амбразуры должны обеспечивать полное перекрытие щелей во всех углах возвышения и горизонтального наведения.</w:t>
      </w:r>
    </w:p>
    <w:p w14:paraId="77277597" w14:textId="77777777" w:rsidR="00E56A12" w:rsidRPr="00D03F3E" w:rsidRDefault="00E56A12" w:rsidP="00D03F3E">
      <w:pPr>
        <w:pStyle w:val="Bodytext141"/>
        <w:shd w:val="clear" w:color="auto" w:fill="auto"/>
        <w:tabs>
          <w:tab w:val="left" w:pos="1815"/>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lastRenderedPageBreak/>
        <w:t>8. В кормовых стенках башни и в лобовом листе должны быть сде</w:t>
      </w:r>
      <w:r w:rsidRPr="00D03F3E">
        <w:rPr>
          <w:rStyle w:val="Bodytext145"/>
          <w:i w:val="0"/>
          <w:iCs w:val="0"/>
          <w:color w:val="000000" w:themeColor="text1"/>
          <w:sz w:val="16"/>
          <w:szCs w:val="16"/>
        </w:rPr>
        <w:softHyphen/>
        <w:t>ланы отверстия с броневыми пробками для стрельбы из ППШ.</w:t>
      </w:r>
    </w:p>
    <w:p w14:paraId="3FD7135F"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Style w:val="Bodytext145"/>
          <w:rFonts w:ascii="Times New Roman" w:hAnsi="Times New Roman"/>
          <w:iCs/>
          <w:color w:val="000000" w:themeColor="text1"/>
          <w:sz w:val="16"/>
          <w:szCs w:val="16"/>
        </w:rPr>
        <w:t>9. Командиру орудия для наблюдения за полем боя и для корректиров</w:t>
      </w:r>
      <w:r w:rsidRPr="00D03F3E">
        <w:rPr>
          <w:rStyle w:val="Bodytext145"/>
          <w:rFonts w:ascii="Times New Roman" w:hAnsi="Times New Roman"/>
          <w:iCs/>
          <w:color w:val="000000" w:themeColor="text1"/>
          <w:sz w:val="16"/>
          <w:szCs w:val="16"/>
        </w:rPr>
        <w:softHyphen/>
        <w:t>ки огня установить ПТК. Перед ПТК в крыше боевого отделения предусмотреть лючок для ручной протирки призмы головки ПТК. Это же отверстие будет служить для сигнализации флажками и стрельбы из сигнального пистолета.</w:t>
      </w:r>
    </w:p>
    <w:p w14:paraId="390F048B" w14:textId="77777777" w:rsidR="00E56A12" w:rsidRPr="00D03F3E" w:rsidRDefault="00E56A12" w:rsidP="00D03F3E">
      <w:pPr>
        <w:pStyle w:val="Bodytext141"/>
        <w:shd w:val="clear" w:color="auto" w:fill="auto"/>
        <w:tabs>
          <w:tab w:val="left" w:pos="1571"/>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10. В качестве дополнительных средств наблюдения за местностью предусмотреть в лобовой и боковых стенках боевого отделения наблюдательные щели.</w:t>
      </w:r>
    </w:p>
    <w:p w14:paraId="102E2AF5" w14:textId="77777777" w:rsidR="00E56A12" w:rsidRPr="00D03F3E" w:rsidRDefault="00E56A12" w:rsidP="00D03F3E">
      <w:pPr>
        <w:pStyle w:val="Bodytext141"/>
        <w:shd w:val="clear" w:color="auto" w:fill="auto"/>
        <w:tabs>
          <w:tab w:val="left" w:pos="1566"/>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11. На поход для каждого номера орудийного расчета сделать сиде</w:t>
      </w:r>
      <w:r w:rsidRPr="00D03F3E">
        <w:rPr>
          <w:rStyle w:val="Bodytext145"/>
          <w:i w:val="0"/>
          <w:iCs w:val="0"/>
          <w:color w:val="000000" w:themeColor="text1"/>
          <w:sz w:val="16"/>
          <w:szCs w:val="16"/>
        </w:rPr>
        <w:softHyphen/>
        <w:t>ния.</w:t>
      </w:r>
    </w:p>
    <w:p w14:paraId="5632A00A" w14:textId="77777777" w:rsidR="00E56A12" w:rsidRPr="00D03F3E" w:rsidRDefault="00E56A12" w:rsidP="00D03F3E">
      <w:pPr>
        <w:pStyle w:val="Bodytext141"/>
        <w:shd w:val="clear" w:color="auto" w:fill="auto"/>
        <w:tabs>
          <w:tab w:val="left" w:pos="1557"/>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12. В качестве средств связи должны быть установлены:</w:t>
      </w:r>
    </w:p>
    <w:p w14:paraId="6F3291D2" w14:textId="77777777" w:rsidR="00E56A12" w:rsidRPr="00D03F3E" w:rsidRDefault="00E56A12" w:rsidP="00D03F3E">
      <w:pPr>
        <w:pStyle w:val="Bodytext141"/>
        <w:shd w:val="clear" w:color="auto" w:fill="auto"/>
        <w:tabs>
          <w:tab w:val="left" w:pos="1806"/>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а) Для внешней связи — радиостанция «9-Р» ;</w:t>
      </w:r>
    </w:p>
    <w:p w14:paraId="02111E9A"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Style w:val="Bodytext145"/>
          <w:rFonts w:ascii="Times New Roman" w:hAnsi="Times New Roman"/>
          <w:iCs/>
          <w:color w:val="000000" w:themeColor="text1"/>
          <w:sz w:val="16"/>
          <w:szCs w:val="16"/>
        </w:rPr>
        <w:t>б) Для внутренней связи «ТПУ-ЗФ»</w:t>
      </w:r>
    </w:p>
    <w:p w14:paraId="65CFB06B"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Шкалы прицела, не освещаемые общим плафоном, должны иметь индивидуальную подсветку, также как и перекрестие па</w:t>
      </w:r>
      <w:r w:rsidRPr="00D03F3E">
        <w:rPr>
          <w:rStyle w:val="Bodytext145"/>
          <w:i w:val="0"/>
          <w:iCs w:val="0"/>
          <w:color w:val="000000" w:themeColor="text1"/>
          <w:sz w:val="16"/>
          <w:szCs w:val="16"/>
        </w:rPr>
        <w:softHyphen/>
        <w:t>норамы, с питанием от общей сети самохода.</w:t>
      </w:r>
    </w:p>
    <w:p w14:paraId="6BAFD4BC" w14:textId="77777777" w:rsidR="00E56A12" w:rsidRPr="00D03F3E" w:rsidRDefault="00E56A12" w:rsidP="00D03F3E">
      <w:pPr>
        <w:pStyle w:val="Bodytext141"/>
        <w:shd w:val="clear" w:color="auto" w:fill="auto"/>
        <w:tabs>
          <w:tab w:val="left" w:pos="3326"/>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13. Внутри боевого отделения должны быть предусмотрены места для крепления необходимого при стрельбе ЗИП-а, аптечек, шка</w:t>
      </w:r>
      <w:r w:rsidRPr="00D03F3E">
        <w:rPr>
          <w:rStyle w:val="Bodytext145"/>
          <w:i w:val="0"/>
          <w:iCs w:val="0"/>
          <w:color w:val="000000" w:themeColor="text1"/>
          <w:sz w:val="16"/>
          <w:szCs w:val="16"/>
        </w:rPr>
        <w:softHyphen/>
        <w:t>фов для сухих пайков экипажа и бачка для питьевой воды.</w:t>
      </w:r>
    </w:p>
    <w:p w14:paraId="5381154D" w14:textId="77777777" w:rsidR="00E56A12" w:rsidRPr="00D03F3E" w:rsidRDefault="00E56A12" w:rsidP="00D03F3E">
      <w:pPr>
        <w:pStyle w:val="Bodytext141"/>
        <w:shd w:val="clear" w:color="auto" w:fill="auto"/>
        <w:tabs>
          <w:tab w:val="left" w:pos="3354"/>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14. Помимо артиллерийского вооружения, самоход комплектует</w:t>
      </w:r>
      <w:r w:rsidRPr="00D03F3E">
        <w:rPr>
          <w:rStyle w:val="Bodytext145"/>
          <w:i w:val="0"/>
          <w:iCs w:val="0"/>
          <w:color w:val="000000" w:themeColor="text1"/>
          <w:sz w:val="16"/>
          <w:szCs w:val="16"/>
        </w:rPr>
        <w:softHyphen/>
        <w:t>ся двумя пистолетами-пулеметами ППШ с 1500 патронами и 10 ручными гранатами, крепление которых также должно быть предусмотрено в боевом отделении.</w:t>
      </w:r>
    </w:p>
    <w:p w14:paraId="1A1AFF1F" w14:textId="77777777" w:rsidR="00E56A12" w:rsidRPr="00D03F3E" w:rsidRDefault="00E56A12" w:rsidP="00D03F3E">
      <w:pPr>
        <w:pStyle w:val="Bodytext141"/>
        <w:shd w:val="clear" w:color="auto" w:fill="auto"/>
        <w:tabs>
          <w:tab w:val="left" w:pos="3297"/>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15. Вне боевого отделения на самоходе в специальной укладке должен быть уложен:</w:t>
      </w:r>
    </w:p>
    <w:p w14:paraId="18B9FB11" w14:textId="77777777" w:rsidR="00E56A12" w:rsidRPr="00D03F3E" w:rsidRDefault="00E56A12" w:rsidP="00D03F3E">
      <w:pPr>
        <w:pStyle w:val="Bodytext141"/>
        <w:shd w:val="clear" w:color="auto" w:fill="auto"/>
        <w:tabs>
          <w:tab w:val="left" w:pos="3525"/>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а) возимый комплект ЗИП-а артиллерийской самоходной части;</w:t>
      </w:r>
    </w:p>
    <w:p w14:paraId="31E1747F" w14:textId="77777777" w:rsidR="00E56A12" w:rsidRPr="00D03F3E" w:rsidRDefault="00E56A12" w:rsidP="00D03F3E">
      <w:pPr>
        <w:pStyle w:val="Bodytext141"/>
        <w:shd w:val="clear" w:color="auto" w:fill="auto"/>
        <w:tabs>
          <w:tab w:val="left" w:pos="3559"/>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б) шанцевый инструмент: топор, пила, лом, лопаты (2 штуки), кирка-мотыга.</w:t>
      </w:r>
    </w:p>
    <w:p w14:paraId="313F0441" w14:textId="77777777" w:rsidR="00E56A12" w:rsidRPr="00D03F3E" w:rsidRDefault="00E56A12" w:rsidP="00D03F3E">
      <w:pPr>
        <w:pStyle w:val="Bodytext141"/>
        <w:shd w:val="clear" w:color="auto" w:fill="auto"/>
        <w:tabs>
          <w:tab w:val="left" w:pos="2986"/>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lang w:val="en-US"/>
        </w:rPr>
        <w:t>V</w:t>
      </w:r>
      <w:r w:rsidRPr="00D03F3E">
        <w:rPr>
          <w:rStyle w:val="Bodytext145"/>
          <w:i w:val="0"/>
          <w:iCs w:val="0"/>
          <w:color w:val="000000" w:themeColor="text1"/>
          <w:sz w:val="16"/>
          <w:szCs w:val="16"/>
        </w:rPr>
        <w:t>. Боевые требования к самоходной пушке</w:t>
      </w:r>
    </w:p>
    <w:p w14:paraId="5992FC77" w14:textId="77777777" w:rsidR="00E56A12" w:rsidRPr="00D03F3E" w:rsidRDefault="00E56A12" w:rsidP="00D03F3E">
      <w:pPr>
        <w:pStyle w:val="Bodytext141"/>
        <w:shd w:val="clear" w:color="auto" w:fill="auto"/>
        <w:tabs>
          <w:tab w:val="left" w:pos="3210"/>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1. Самоходная пушка ведет огонь с места или с коротких остано</w:t>
      </w:r>
      <w:r w:rsidRPr="00D03F3E">
        <w:rPr>
          <w:rStyle w:val="Bodytext145"/>
          <w:i w:val="0"/>
          <w:iCs w:val="0"/>
          <w:color w:val="000000" w:themeColor="text1"/>
          <w:sz w:val="16"/>
          <w:szCs w:val="16"/>
        </w:rPr>
        <w:softHyphen/>
        <w:t>вок. Огонь с хода допускается, как исключение.</w:t>
      </w:r>
    </w:p>
    <w:p w14:paraId="76EC4CAD" w14:textId="77777777" w:rsidR="00E56A12" w:rsidRPr="00D03F3E" w:rsidRDefault="00E56A12" w:rsidP="00D03F3E">
      <w:pPr>
        <w:pStyle w:val="Bodytext141"/>
        <w:shd w:val="clear" w:color="auto" w:fill="auto"/>
        <w:tabs>
          <w:tab w:val="left" w:pos="3210"/>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2. Кучность боя самоходной пушки должна быть не меньше таблич</w:t>
      </w:r>
      <w:r w:rsidRPr="00D03F3E">
        <w:rPr>
          <w:rStyle w:val="Bodytext145"/>
          <w:i w:val="0"/>
          <w:iCs w:val="0"/>
          <w:color w:val="000000" w:themeColor="text1"/>
          <w:sz w:val="16"/>
          <w:szCs w:val="16"/>
        </w:rPr>
        <w:softHyphen/>
        <w:t>ной кучности боя штатной 152мм гаубицы пушки обр. 1937года.</w:t>
      </w:r>
    </w:p>
    <w:p w14:paraId="624674D1" w14:textId="77777777" w:rsidR="00E56A12" w:rsidRPr="00D03F3E" w:rsidRDefault="00E56A12" w:rsidP="00D03F3E">
      <w:pPr>
        <w:pStyle w:val="Bodytext141"/>
        <w:shd w:val="clear" w:color="auto" w:fill="auto"/>
        <w:tabs>
          <w:tab w:val="left" w:pos="3210"/>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3. Самоходная пушка должна быть устойчивой при стрельбе на всех углах возвышения и горизонтального перемещения, на кренах, спусках и подъемах.</w:t>
      </w:r>
    </w:p>
    <w:p w14:paraId="43FC6C63" w14:textId="77777777" w:rsidR="00E56A12" w:rsidRPr="00D03F3E" w:rsidRDefault="00E56A12" w:rsidP="00D03F3E">
      <w:pPr>
        <w:pStyle w:val="Bodytext141"/>
        <w:shd w:val="clear" w:color="auto" w:fill="auto"/>
        <w:tabs>
          <w:tab w:val="left" w:pos="3201"/>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 xml:space="preserve">4. Ходовые характеристики самоходной пушки, как подвижность, проходимость и прочее, определяется качеством шасси танка </w:t>
      </w:r>
      <w:r w:rsidRPr="00D03F3E">
        <w:rPr>
          <w:rStyle w:val="Bodytext145"/>
          <w:i w:val="0"/>
          <w:iCs w:val="0"/>
          <w:color w:val="000000" w:themeColor="text1"/>
          <w:sz w:val="16"/>
          <w:szCs w:val="16"/>
          <w:lang w:val="en-US"/>
        </w:rPr>
        <w:t>KB</w:t>
      </w:r>
      <w:r w:rsidRPr="00D03F3E">
        <w:rPr>
          <w:rStyle w:val="Bodytext145"/>
          <w:i w:val="0"/>
          <w:iCs w:val="0"/>
          <w:color w:val="000000" w:themeColor="text1"/>
          <w:sz w:val="16"/>
          <w:szCs w:val="16"/>
        </w:rPr>
        <w:t>-1С, увеличенного в весе до 45,5 тонн.</w:t>
      </w:r>
    </w:p>
    <w:p w14:paraId="45D6F279" w14:textId="77777777" w:rsidR="00E56A12" w:rsidRPr="00D03F3E" w:rsidRDefault="00E56A12" w:rsidP="00D03F3E">
      <w:pPr>
        <w:pStyle w:val="Bodytext141"/>
        <w:shd w:val="clear" w:color="auto" w:fill="auto"/>
        <w:tabs>
          <w:tab w:val="left" w:pos="3043"/>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lang w:val="en-US"/>
        </w:rPr>
        <w:t>VI</w:t>
      </w:r>
      <w:r w:rsidRPr="00D03F3E">
        <w:rPr>
          <w:rStyle w:val="Bodytext145"/>
          <w:i w:val="0"/>
          <w:iCs w:val="0"/>
          <w:color w:val="000000" w:themeColor="text1"/>
          <w:sz w:val="16"/>
          <w:szCs w:val="16"/>
        </w:rPr>
        <w:t>. Дополнительные указания</w:t>
      </w:r>
    </w:p>
    <w:p w14:paraId="6220E3FF"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При разработке проекта и изготовлении опытного образца мак</w:t>
      </w:r>
      <w:r w:rsidRPr="00D03F3E">
        <w:rPr>
          <w:rStyle w:val="Bodytext145"/>
          <w:i w:val="0"/>
          <w:iCs w:val="0"/>
          <w:color w:val="000000" w:themeColor="text1"/>
          <w:sz w:val="16"/>
          <w:szCs w:val="16"/>
        </w:rPr>
        <w:softHyphen/>
        <w:t>симально сохранить неизменным производство 152-мм гаубицы- пушки обр. 1937 года и танка «КВ-1С». Упрощения, нарушающие установившееся производство, не допускаются. Разрешаются из</w:t>
      </w:r>
      <w:r w:rsidRPr="00D03F3E">
        <w:rPr>
          <w:rStyle w:val="Bodytext145"/>
          <w:i w:val="0"/>
          <w:iCs w:val="0"/>
          <w:color w:val="000000" w:themeColor="text1"/>
          <w:sz w:val="16"/>
          <w:szCs w:val="16"/>
        </w:rPr>
        <w:softHyphen/>
        <w:t>менения, только обусловленные крайней необходимостью. Противо</w:t>
      </w:r>
      <w:r w:rsidRPr="00D03F3E">
        <w:rPr>
          <w:rStyle w:val="Bodytext145"/>
          <w:i w:val="0"/>
          <w:iCs w:val="0"/>
          <w:color w:val="000000" w:themeColor="text1"/>
          <w:sz w:val="16"/>
          <w:szCs w:val="16"/>
        </w:rPr>
        <w:softHyphen/>
        <w:t>откатные устройства гаубицы подлежат использованию без вся</w:t>
      </w:r>
      <w:r w:rsidRPr="00D03F3E">
        <w:rPr>
          <w:rStyle w:val="Bodytext145"/>
          <w:i w:val="0"/>
          <w:iCs w:val="0"/>
          <w:color w:val="000000" w:themeColor="text1"/>
          <w:sz w:val="16"/>
          <w:szCs w:val="16"/>
        </w:rPr>
        <w:softHyphen/>
        <w:t>ких изменений» (17484).</w:t>
      </w:r>
    </w:p>
    <w:p w14:paraId="22D797E3" w14:textId="77777777" w:rsidR="00E56A12" w:rsidRPr="00D03F3E" w:rsidRDefault="00E56A12" w:rsidP="00D03F3E">
      <w:pPr>
        <w:spacing w:after="0" w:line="240" w:lineRule="auto"/>
        <w:jc w:val="both"/>
        <w:rPr>
          <w:rFonts w:ascii="Times New Roman" w:hAnsi="Times New Roman"/>
          <w:color w:val="000000" w:themeColor="text1"/>
          <w:sz w:val="16"/>
          <w:szCs w:val="16"/>
        </w:rPr>
      </w:pPr>
    </w:p>
    <w:p w14:paraId="43EAA8A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января 1943 г. вышел приказ № 2 НКСМ, в соответствиии с которым ММЗ получал мотоциклы без колясок, в специальном цеху про</w:t>
      </w:r>
      <w:r w:rsidRPr="00D03F3E">
        <w:rPr>
          <w:rFonts w:ascii="Times New Roman" w:hAnsi="Times New Roman"/>
          <w:color w:val="000000" w:themeColor="text1"/>
          <w:sz w:val="16"/>
          <w:szCs w:val="16"/>
        </w:rPr>
        <w:softHyphen/>
        <w:t>изводилось их крепление к мотоциклам, а для урегулирования всех вопросов, связанных с поставками мотоциклов в ГБТУ на ММЗ к 15 февраля 1943 г. организовали рекламационное бюро [5.93]. ММЗ к этому времени был вполне укомплектован основ</w:t>
      </w:r>
      <w:r w:rsidRPr="00D03F3E">
        <w:rPr>
          <w:rFonts w:ascii="Times New Roman" w:hAnsi="Times New Roman"/>
          <w:color w:val="000000" w:themeColor="text1"/>
          <w:sz w:val="16"/>
          <w:szCs w:val="16"/>
        </w:rPr>
        <w:softHyphen/>
        <w:t>ными кадрами (табл. 28) [5.94].</w:t>
      </w:r>
    </w:p>
    <w:p w14:paraId="1C5593B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Благодаря столь высокой укомплектованности кадрами, на ММЗ, несмотря на интенсивную работу, удавалось ремонтиро</w:t>
      </w:r>
      <w:r w:rsidRPr="00D03F3E">
        <w:rPr>
          <w:rFonts w:ascii="Times New Roman" w:hAnsi="Times New Roman"/>
          <w:color w:val="000000" w:themeColor="text1"/>
          <w:sz w:val="16"/>
          <w:szCs w:val="16"/>
        </w:rPr>
        <w:softHyphen/>
        <w:t>вать производственные помещения, что способствовало улучше</w:t>
      </w:r>
      <w:r w:rsidRPr="00D03F3E">
        <w:rPr>
          <w:rFonts w:ascii="Times New Roman" w:hAnsi="Times New Roman"/>
          <w:color w:val="000000" w:themeColor="text1"/>
          <w:sz w:val="16"/>
          <w:szCs w:val="16"/>
        </w:rPr>
        <w:softHyphen/>
        <w:t>нию условий труда.</w:t>
      </w:r>
    </w:p>
    <w:p w14:paraId="1A10CD6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Состав кадров ММЗ, 1943 г.</w:t>
      </w:r>
    </w:p>
    <w:p w14:paraId="11A43D1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Таблица 28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784"/>
        <w:gridCol w:w="1190"/>
        <w:gridCol w:w="1200"/>
        <w:gridCol w:w="1210"/>
      </w:tblGrid>
      <w:tr w:rsidR="00860B4B" w:rsidRPr="00D03F3E" w14:paraId="728AE5F7" w14:textId="77777777">
        <w:trPr>
          <w:trHeight w:val="326"/>
        </w:trPr>
        <w:tc>
          <w:tcPr>
            <w:tcW w:w="2784" w:type="dxa"/>
            <w:tcBorders>
              <w:top w:val="single" w:sz="12" w:space="0" w:color="auto"/>
            </w:tcBorders>
          </w:tcPr>
          <w:p w14:paraId="64C9357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14C4F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12" w:space="0" w:color="auto"/>
            </w:tcBorders>
          </w:tcPr>
          <w:p w14:paraId="35D5DE9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плановая</w:t>
            </w:r>
          </w:p>
          <w:p w14:paraId="68C87DE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12" w:space="0" w:color="auto"/>
            </w:tcBorders>
          </w:tcPr>
          <w:p w14:paraId="6E91D75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реальная</w:t>
            </w:r>
          </w:p>
          <w:p w14:paraId="6BFFCE3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12" w:space="0" w:color="auto"/>
            </w:tcBorders>
          </w:tcPr>
          <w:p w14:paraId="4F97267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4AB814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635F225" w14:textId="77777777">
        <w:trPr>
          <w:trHeight w:val="682"/>
        </w:trPr>
        <w:tc>
          <w:tcPr>
            <w:tcW w:w="2784" w:type="dxa"/>
          </w:tcPr>
          <w:p w14:paraId="55A5340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Рабочие</w:t>
            </w:r>
          </w:p>
          <w:p w14:paraId="3DCA082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Производственные рабочие</w:t>
            </w:r>
          </w:p>
          <w:p w14:paraId="0AA678B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Ученики рабочих</w:t>
            </w:r>
          </w:p>
          <w:p w14:paraId="2F71A3B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35A2E69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w:t>
            </w:r>
          </w:p>
          <w:p w14:paraId="45752EC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984</w:t>
            </w:r>
          </w:p>
          <w:p w14:paraId="3B8FA4A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w:t>
            </w:r>
          </w:p>
          <w:p w14:paraId="10ABEB1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2E669E1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1900</w:t>
            </w:r>
          </w:p>
          <w:p w14:paraId="31CB657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923</w:t>
            </w:r>
          </w:p>
          <w:p w14:paraId="63007E4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111</w:t>
            </w:r>
          </w:p>
          <w:p w14:paraId="24F8D01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7853F6F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95,0</w:t>
            </w:r>
          </w:p>
          <w:p w14:paraId="48356DA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93,8</w:t>
            </w:r>
          </w:p>
          <w:p w14:paraId="44BD052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74,0</w:t>
            </w:r>
          </w:p>
          <w:p w14:paraId="227C50D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259FDA9" w14:textId="77777777">
        <w:trPr>
          <w:trHeight w:val="394"/>
        </w:trPr>
        <w:tc>
          <w:tcPr>
            <w:tcW w:w="2784" w:type="dxa"/>
          </w:tcPr>
          <w:p w14:paraId="2E97251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ИТР</w:t>
            </w:r>
          </w:p>
          <w:p w14:paraId="7776F7A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Служащие</w:t>
            </w:r>
          </w:p>
          <w:p w14:paraId="2A0713F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6C95A5F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p w14:paraId="440E1B7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p w14:paraId="6C40EA4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1680F7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289</w:t>
            </w:r>
          </w:p>
          <w:p w14:paraId="60261D4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91</w:t>
            </w:r>
          </w:p>
          <w:p w14:paraId="313DE67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2EC01E0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96,3</w:t>
            </w:r>
          </w:p>
          <w:p w14:paraId="1B4BE8F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91,0</w:t>
            </w:r>
          </w:p>
          <w:p w14:paraId="4A3585C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7BD3325" w14:textId="77777777">
        <w:trPr>
          <w:trHeight w:val="269"/>
        </w:trPr>
        <w:tc>
          <w:tcPr>
            <w:tcW w:w="2784" w:type="dxa"/>
          </w:tcPr>
          <w:p w14:paraId="5164F21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Пожарные</w:t>
            </w:r>
          </w:p>
          <w:p w14:paraId="28A94BC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01CE05B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p w14:paraId="57BD015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8E9164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w:t>
            </w:r>
          </w:p>
          <w:p w14:paraId="7107E6E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5731E83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52,0</w:t>
            </w:r>
          </w:p>
          <w:p w14:paraId="30A7282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6DCA065" w14:textId="77777777">
        <w:trPr>
          <w:trHeight w:val="442"/>
        </w:trPr>
        <w:tc>
          <w:tcPr>
            <w:tcW w:w="2784" w:type="dxa"/>
            <w:tcBorders>
              <w:bottom w:val="single" w:sz="12" w:space="0" w:color="auto"/>
            </w:tcBorders>
          </w:tcPr>
          <w:p w14:paraId="505FE26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p w14:paraId="097CE8E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bottom w:val="single" w:sz="12" w:space="0" w:color="auto"/>
            </w:tcBorders>
          </w:tcPr>
          <w:p w14:paraId="17FF9FD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3559</w:t>
            </w:r>
          </w:p>
          <w:p w14:paraId="44A3BE3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bottom w:val="single" w:sz="12" w:space="0" w:color="auto"/>
            </w:tcBorders>
          </w:tcPr>
          <w:p w14:paraId="58C620C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3327</w:t>
            </w:r>
          </w:p>
          <w:p w14:paraId="43E4140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bottom w:val="single" w:sz="12" w:space="0" w:color="auto"/>
            </w:tcBorders>
          </w:tcPr>
          <w:p w14:paraId="1FE086E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93,4</w:t>
            </w:r>
          </w:p>
          <w:p w14:paraId="03A39D7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902051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(11429).</w:t>
      </w:r>
    </w:p>
    <w:p w14:paraId="6D89A78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EDE3E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января 1943 вышло Распоряжение ГКО № 2709 [О распределении импортных зарядных агрегатов и маломощных двигателей.] (7072, 15-16).</w:t>
      </w:r>
    </w:p>
    <w:p w14:paraId="454BFACA"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E0FF3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января 1943 вышло Постановление ГКО № 2710 О передаче крейсера "Калинин", постройки завода № 199 НКСП, в состав Военно-Морского Флота. (7072, 17).</w:t>
      </w:r>
    </w:p>
    <w:p w14:paraId="68AC7131"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7F612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января 1943 г. Пост. ГКО № 2710 от крейсер «Калинин» пр. 26бис постройки завода (Завод № 199 НКОП, Завод № 199 им. Ленинского комсомола НКСП, Амурская верфь, Амурский судостроительный завод (АСЗ) НКТП, НКОП, Завод им. Ленинского комсомола, ОАО «АСЗ» /г. Комсомольск-на-Амуре п/я 199 «Доки» (1938г.)/ /681000 г. Комсомольск-на-Амуре Хабаровского кр. Аллея труда, 1 тел. 43-224/) передан в состав ВМФ (11982).</w:t>
      </w:r>
    </w:p>
    <w:p w14:paraId="43C00FA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247F3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января 1943 вышло Постановление ГКО № 2711 О распространении на предприятия Наркомцветмета льгот [освобождение от мобилизации в КА], предоставленных пунктами 1, 2 и 16 постановления ГОКО № 2640сс от 20 декабря 1942 г. (7072, 18).</w:t>
      </w:r>
    </w:p>
    <w:p w14:paraId="2532024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8E43B3"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0EC7DEB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B76D78"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6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2BEF5269"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6 января наши войска в районе Среднего Дона, юго-западнее и южнее Сталинграда, на Центральном фронте и на Северном Кавказе продолжали бои на прежних направлениях.</w:t>
      </w:r>
    </w:p>
    <w:p w14:paraId="17395A5E"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Сталинграда наши войска вели артиллерийский обстрел вражеских позиций. В заводском районе разрушено 12 дзотов и блиндажей противника. Западнее Сталинграда в бою за две высоты наши бойцы заняли ещё несколько десятков вражеских окопов. На поле боя осталось свыше 200 трупов немецких солдат и офицеров. Взяты пленные и трофеи.</w:t>
      </w:r>
    </w:p>
    <w:p w14:paraId="0E4C81EC"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и южнее Сталинграда наши войска продолжали вести наступательные бои. На ряде участков противник подтянул свежие части. Попытки гитлеровцев контратаками задержать наступление советских войск неизменно терпят неудачу. Гвардейское пехотное подразделение, где командиром младший лейтенант Василенко,было контратаковано 14 вражескими танками. Бойцы и командиры встретили танки противника огнём из противотанковых ружей. Вскоре 5 немецких танков загорелись, а остальные повернули назад. Атака была отбита. На другом участке Н-ская часть вбоях за один населённый пункт уничтожила свыше 400 гитлеровцев. Захвачено 9 орудий, 300 винтовок, склад с боеприпасами, три тысячи центнеров зерна и много рогатого скота, отнятого немцами у мирных советских жителей.</w:t>
      </w:r>
    </w:p>
    <w:p w14:paraId="2820EFEF"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Дона наши войска продолжали наступление и заняли несколько населённых пунктов. Н-ское соединение в боях с противником уничтожило до батальона немецкой пехоты, 3 танка, 2 бронемашины, 11 орудий, из них 5 зенитных. Взято свыше 100 пленных. На другом участке отбита атака танков и пехоты противника, пытавшихся пробиться к одному немецкому гарнизону, окружённому советскими войсками. Уничтожено 180 гитлеровцев и 6 танков.</w:t>
      </w:r>
    </w:p>
    <w:p w14:paraId="12A17C51"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продолжали успешное наступление и овладели многими населёнными пунктами. Бойцы Н-ского соединения за два дня боёв захватили трёхмоторный транспортный самолёт, 26 танков, 29 орудий, 33 миномёта, много автомашин, ручного оружия и разного военного имущества. Взято в плен более 300 немецких солдат и офицеров.</w:t>
      </w:r>
    </w:p>
    <w:p w14:paraId="582AF6C2"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украинских партизан разгромил фашистское волостное управление и истребил немецкий гарнизон в населённом пункте. Захвачено 25 винтовок. Партизаны отбили у немцев несколько тысяч пудов зерна, приготовленного для отправки в Германию. Советские патриоты роздали зерно населению.</w:t>
      </w:r>
    </w:p>
    <w:p w14:paraId="03494753"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ряде городов Румынии состоялись антивоенные демонстрации. В городе Крайове демонстранты требовали прекращения войны и разрыва с гитлеровской Германией. В Бухаресте ежедневно у здания военного министерства толпятся сотни людей, пришедших сюда узнать что-либо о судьбе своих близких, находящихся в России. </w:t>
      </w:r>
      <w:r w:rsidRPr="00D03F3E">
        <w:rPr>
          <w:rFonts w:ascii="Times New Roman" w:hAnsi="Times New Roman"/>
          <w:color w:val="000000" w:themeColor="text1"/>
          <w:sz w:val="16"/>
          <w:szCs w:val="16"/>
        </w:rPr>
        <w:lastRenderedPageBreak/>
        <w:t>Румынские газеты хранят гробовое молчание, но население столицы и других городов уже знает о поражении румынских войск на советско-германском фронте. Сигуранца разослала секретный циркуляр, в котором предлагает жандармерии подавить «всякие разговоры и дискуссии относительно положения на фронте». В циркуляре говорится: «Всякого, кто в данной обстановке говорит о наших неудачах на фронте, —необходимо предавать суду военного трибунала как пораженца, ибо такие люди готовят нам гибель и могилу». За последние две недели в Бухаресте арестованы сотни женщин по обвинению в пораженчестве. Арестовано также много рабочих и студентов за незаконное хранение оружия.» (15001).</w:t>
      </w:r>
    </w:p>
    <w:p w14:paraId="2D41DC46" w14:textId="77777777" w:rsidR="00486A01" w:rsidRPr="00D03F3E" w:rsidRDefault="00486A01" w:rsidP="00D03F3E">
      <w:pPr>
        <w:spacing w:after="0" w:line="240" w:lineRule="auto"/>
        <w:jc w:val="both"/>
        <w:rPr>
          <w:rFonts w:ascii="Times New Roman" w:hAnsi="Times New Roman"/>
          <w:color w:val="000000" w:themeColor="text1"/>
          <w:sz w:val="16"/>
          <w:szCs w:val="16"/>
        </w:rPr>
      </w:pPr>
    </w:p>
    <w:p w14:paraId="52AC27D9"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6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31818613"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6 января наши войска в районе Среднего Дона продолжая наступление, заняли населённые пункты — Каргальско-Белянский, Вербовский, Мариинская, Холодный, Камышевская, Ясырев, Бол, Орловка, Чертковская.</w:t>
      </w:r>
    </w:p>
    <w:p w14:paraId="5101635D"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овладели населёнными пунктами —Ново-Осетиновская, Красноградская, Урожайное, Матвеевский, Кызбурун 1-й, Кызбурун 2-й, Кызбурун 3-й, Баксан, Старая Крепость, Карагач, Крем, Константиновское, Курская, Каново и железнодорожными станциями Аполонская, Солдатская.</w:t>
      </w:r>
    </w:p>
    <w:p w14:paraId="3D4DC62B"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наши войска вели бои на прежних направлениях.</w:t>
      </w:r>
    </w:p>
    <w:p w14:paraId="6BB84239"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января частями нашей авиации на различных участках фронта уничтожено или повреждено 10 немецких танков, до 70 автомашин с войсками и грузами, подавлен огонь 10 артиллерийских батарей, взорвано 2 склада боеприпасов, рассеяно и частью уничтожено до батальона пехоты противника.</w:t>
      </w:r>
    </w:p>
    <w:p w14:paraId="16D18669"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заводском районе Сталинграда наши части, действуя мелкими штурмовыми группами, разрушили 23 блиндажа и уничтожили находившихся в них гитлеровцев.</w:t>
      </w:r>
    </w:p>
    <w:p w14:paraId="7F1E2DCD"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Сталинграда продолжаются бои за высоту. Противник оказывает упорное сопротивление, однако наши подразделения продвинулись вперёд и заняли 70 окопов. Уничтожено до 400 немецких солдат и офицеров. Наши бойцы взяли 10 станковых и 18 ручных пулемётов, 11 автоматов, 285 винтовок, 2 противотанковых ружья, радиостанцию и другие трофеи.</w:t>
      </w:r>
    </w:p>
    <w:p w14:paraId="43D01280"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уничтожили на аэродромах 3 немецких транспортных самолёта. В воздушных боях сбито 9 самолётов противника.</w:t>
      </w:r>
    </w:p>
    <w:p w14:paraId="20628A40"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и южнее Сталинграда наши войска, преодолевая сопротивление противника, продолжали наступление и заняли несколько населённых пунктов.Гитлеровцы выбиты из выгодного оборонительного рубежа и понесли большие потери.Бойцы Н-ского соединения в последних боях захватили 6 немецких танков, 85 автомашин, 3 трактора, 32 пулемёта, 2 тысячи авиабомб, 3 тысячи снарядов, много противотанковых ружей, автоматов, винтовок и другие трофеи.</w:t>
      </w:r>
    </w:p>
    <w:p w14:paraId="7F5E733E"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Дона наши войска продолжали наступление и частью сил вели бои по уничтожению окружённых гарнизонов противника. Танкисты Н-ской части с боями продвигались вперёд и выбили немцев из сильно укреплённого населённого пункта. В этих боях истреблено 300 немецких солдат и офицеров, подбито 3 танка и уничтожено 18 автомашин. Взяты у противника 4 орудия, 13 пулемётов, 22 противотанковых ружья и склад с имуществом связи.</w:t>
      </w:r>
    </w:p>
    <w:p w14:paraId="657801FD"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наши войска закреплялись на достигнутых рубежах и на отдельных участках отбивали контратаки противника. В районе юго-западнее Великих Лук гвардейцы под командованием тов. Иванова выбили гитлеровцев из одногонаселённого пункта. Немцы пытались восстановить положение и бросили в контратаку пехоту и группу танков. После двухчасового ожесточённого боя противник был отброшен. Уничтожено 150 вражеских солдат и офицеров и сожжено 3 немецких танка.</w:t>
      </w:r>
    </w:p>
    <w:p w14:paraId="47F1397A"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советские войска, ломая сопротивление противника,продвигались вперёд и заняли несколько населённых пунктов. Н-ская часть в бою за один населённый пункт уничтожила свыше 200 вражеских солдат и офицеров. Захвачено 10 танков, 25 пулемётов, 2 орудия, 60 мотоциклов, много боеприпасов и ручного оружия. Взято 66 пленных. Огнём зенитной артиллерии сбито 4 и подбито 4немецких самолёта.</w:t>
      </w:r>
    </w:p>
    <w:p w14:paraId="0C36CCBF"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ленинградских партизан совершил внезапное нападение на немецкий гарнизон, расположенный в одном населённом пункте. Советские патриоты истребили 35 гитлеровцев и стали отходить. В погоню за партизанами немцы послали крупную карательную экспедицию. Партизаны умелым манёвром навели карателей на соседний пункт, в котором находилось немецкое подразделение. Немецкие солдаты,находившиеся в этом пункте, приняли карателей за партизан и открыли стрельбу. Между гитлеровцами завязался бой, в результате которого с обеих сторон былоубито 60 человек.</w:t>
      </w:r>
    </w:p>
    <w:p w14:paraId="2D59838B"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превратили украинский советский город Кременчуг в город тюрем и застенков. Сюда немцы свозят из окрестных сёл и местечек тысячи мирных советских граждан, заподозренных в саботаже приказов германских военных властей. Здесь, в районе сушильных сараев Кременчугской махорочной фабрики, гитлеровские палачи подвергают арестованных зверским пыткам, а затем убивают. Подалеко не полным данным, фашистские изверги в декабре расстреляли в Кременчугесвыше 2.000 мирных советских граждан.» (15001).</w:t>
      </w:r>
    </w:p>
    <w:p w14:paraId="5E184243" w14:textId="77777777" w:rsidR="00486A01" w:rsidRPr="00D03F3E" w:rsidRDefault="00486A01" w:rsidP="00D03F3E">
      <w:pPr>
        <w:spacing w:after="0" w:line="240" w:lineRule="auto"/>
        <w:jc w:val="both"/>
        <w:rPr>
          <w:rFonts w:ascii="Times New Roman" w:hAnsi="Times New Roman"/>
          <w:color w:val="000000" w:themeColor="text1"/>
          <w:sz w:val="16"/>
          <w:szCs w:val="16"/>
        </w:rPr>
      </w:pPr>
    </w:p>
    <w:p w14:paraId="63B2EB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января 1943 г. вышел ПРИКАЗ № 5 ОБ ИЗМЕНЕНИИ ПОРЯДКА ПРИСВОЕНИЯ ВОИНСКИХ ЗВАНИЙ КУРСАНТАМ, ОКАНЧИВАЮЩИМ ЛЕТНЫЕ ШКОЛЫ, И КАТЕГОРИИ НЕКОТОРЫХ ДОЛЖНОСТЕЙ В ЧАСТЯХ БОЕВОЙ АВИАЦИИ И ВОЕННО-УЧЕБНЫХ ЗАВЕДЕНИЯХ ВВС КРАСНОЙ АРМИИ</w:t>
      </w:r>
    </w:p>
    <w:p w14:paraId="61F685E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изменение приказа НКО № 0362 1940 года приказываю:</w:t>
      </w:r>
    </w:p>
    <w:p w14:paraId="497AEDF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Курсантам школ пилотов (кроме первоначального обучения) и стрелков-бомбардиров со сроком обучения 9 месяцев и выше присваивать при окончании школ военное звание “младший лейтенант”.</w:t>
      </w:r>
    </w:p>
    <w:p w14:paraId="0C0805C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Должности пилота, летчика и стрелка-бомбардира в частях боевой авиации и ВУЗах ВВС Красной Армии и должности командира звена и командира корабля во всех частях ВВС Красной Армии отнести к категории среднего начсостава.</w:t>
      </w:r>
    </w:p>
    <w:p w14:paraId="2AD2967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Во всех частях ВВС Красной Армии должность стрелка-бомбардира звена заменить должностью штурмана звена и должность механика авиационного звена заменить должностью техника авиационного звена.</w:t>
      </w:r>
    </w:p>
    <w:p w14:paraId="6BE2E74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Командующему ВВС Красной Армии и начальникам главных управлений НКО внести соответствующие изменения в штаты частей и ВУЗ[ов] ВВС Красной Армии и дать необходимые указания о порядке обеспечения проводимого мероприятия.</w:t>
      </w:r>
    </w:p>
    <w:p w14:paraId="7AD0B59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Народный комиссар обороны И. СТАЛИН </w:t>
      </w:r>
      <w:r w:rsidRPr="00D03F3E">
        <w:rPr>
          <w:rFonts w:ascii="Times New Roman" w:hAnsi="Times New Roman"/>
          <w:color w:val="000000" w:themeColor="text1"/>
          <w:sz w:val="16"/>
          <w:szCs w:val="16"/>
        </w:rPr>
        <w:t>(9844).</w:t>
      </w:r>
    </w:p>
    <w:p w14:paraId="33D421E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24601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января 1943 г. вышел УКАЗ ПРЕЗИДИУМА ВЕРХОВНОГО СОВЕТА СССР О ВВЕДЕНИИ НОВЫХ ЗНАКОВ РАЗЛИЧИЯ ДЛЯ ЛИЧНОГО СОСТАВА КРАСНОЙ АРМИИ</w:t>
      </w:r>
    </w:p>
    <w:p w14:paraId="4A88659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Удовлетворить ходатайство Народного комиссариата обороны и ввести, взамен существующих, новые знаки различия — погоны для личного состава Красной Армии.</w:t>
      </w:r>
    </w:p>
    <w:p w14:paraId="6DAF4F0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Утвердить образцы и описание новых знаков различия личного состава Красной Армии.</w:t>
      </w:r>
    </w:p>
    <w:p w14:paraId="7977268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Народному комиссару обороны СССР установить сроки перехода на новые знаки различия и внести необходимые изменения в форму одежды личного состава Красной Армии.</w:t>
      </w:r>
    </w:p>
    <w:p w14:paraId="6B0D7CA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Председатель Президиума Верховного Совета СССР М. КАЛИНИН</w:t>
      </w:r>
    </w:p>
    <w:p w14:paraId="7F74FA3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Секретарь Президиума Верховного Совета СССР А. ГОРКИН </w:t>
      </w:r>
      <w:r w:rsidRPr="00D03F3E">
        <w:rPr>
          <w:rFonts w:ascii="Times New Roman" w:hAnsi="Times New Roman"/>
          <w:color w:val="000000" w:themeColor="text1"/>
          <w:sz w:val="16"/>
          <w:szCs w:val="16"/>
        </w:rPr>
        <w:t>(9844).</w:t>
      </w:r>
    </w:p>
    <w:p w14:paraId="45B1376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A72F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января 1943 в КА были введены погоны (2989) Указом Президиума ВС "О введении новых знаков различия для личного состава КА (3398,13).</w:t>
      </w:r>
    </w:p>
    <w:p w14:paraId="3ACD8DD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C80D4E"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января 1943 в советской армии введены погоны (4962).</w:t>
      </w:r>
    </w:p>
    <w:p w14:paraId="67B3681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AE0742"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6 января</w:t>
      </w:r>
      <w:r w:rsidRPr="00D03F3E">
        <w:rPr>
          <w:rFonts w:ascii="Times New Roman" w:hAnsi="Times New Roman"/>
          <w:color w:val="000000" w:themeColor="text1"/>
          <w:sz w:val="16"/>
          <w:szCs w:val="16"/>
        </w:rPr>
        <w:t xml:space="preserve"> в 1943 году указом Президиума ВС СССР ведены новые знаки различия - погоны для личного состава Советской Армии. 15 февраля погоны будут введены и для личного состава Военно-Морского Флота. Погоны в армии и нарукавные нашивки во флоте были отменены декретом Совнаркома РСФСР в декабре 1917 года, а 16 января 1919 года приказом Реввоенсовета Республики были впервые учреждены знаки различия военнослужащих Рабоче-крестьянской Красной Армии по родам войск и знаки различия командного состава. Первым отличительным знаком красноармейца и командира Красной Армии был нагрудный знак в виде венка из лавровой и дубовой веток, поверх которого помещалась большая пятиконечная звезда, покрытая красной эмалью. В центре звезды находилась эмблема - плуг и молот. Знаки носились на левой стороне груди на гимнастерке или френче, а также на левой петлице гражданского платья. Во флоте первые знаки различия были утверждены в сентябре 1921 года в виде нарукавных нашивок красного цвета с красной звездочкой, окантованной трехмиллиметровым золотым кантом-выпушкой. Знаки различия нашивались на левый рукав пальто, тужурки и кителя. Все нашивки имели длину восемь сантиметров, а их ширина связывалась с группами комсостава. 6 февраля 1925 года для командного и политического состава флота были установлены новые знаки различия - золотые и серебряные галунные нашивки на обоих рукавах тужурки от шва до шва, на которых поверху были укреплены звездочки красного цвета с золотой или серебряной окантовкой. Число нашивок определялось принадлежностью к служебной категории. 6 января 1943 года, в период Великой Отечественной войны, Указом Президиума Верховного Совета для личного состава армии были введены новые знаки различия - погоны. Для личного состава военно-морского флота погоны были введены указом от 15 февраля 1943 года (15001).</w:t>
      </w:r>
    </w:p>
    <w:p w14:paraId="7759704D" w14:textId="77777777" w:rsidR="00486A01" w:rsidRPr="00D03F3E" w:rsidRDefault="00486A01" w:rsidP="00D03F3E">
      <w:pPr>
        <w:spacing w:after="0" w:line="240" w:lineRule="auto"/>
        <w:jc w:val="both"/>
        <w:rPr>
          <w:rFonts w:ascii="Times New Roman" w:hAnsi="Times New Roman"/>
          <w:color w:val="000000" w:themeColor="text1"/>
          <w:sz w:val="16"/>
          <w:szCs w:val="16"/>
        </w:rPr>
      </w:pPr>
    </w:p>
    <w:p w14:paraId="3D3627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января 1943 г. вышел ПРИКАЗ № 013 О ЗАПРЕЩЕНИИ КОМАНДИРОВАНИЯ ФРОНТАМИ И АРМИЯМИ ПРЕДСТАВИТЕЛЕЙ В ТЫЛ СТРАНЫ ДЛЯ ПРИОБРЕТЕНИЯ ПРОДОВОЛЬСТВЕННЫХ И ПРОМЫШЛЕННЫХ ТОВАРОВ И МЕРАХ НАКАЗАНИЯ ЗА ЭТО</w:t>
      </w:r>
    </w:p>
    <w:p w14:paraId="6194026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последнее время наблюдаются случаи командирования фронтами и армиями “делегаций” и “уполномоченных” в областные и краевые центры с ходатайствами об оказании помощи в приобретении продовольственных и промышленных товаров.</w:t>
      </w:r>
    </w:p>
    <w:p w14:paraId="062DEA6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 января 1943 года прибыл в Алма-Ату с таким поручением представитель 8-й воздушной армии, имеющий специальное письмо к местным организациям от генерал-майора авиации т. Рябцева.</w:t>
      </w:r>
    </w:p>
    <w:p w14:paraId="2A869DA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Красной Армии наша страна дает все необходимое для жизни и боевой деятельности войск. Трудящимися республик Советского Союза за время войны послано в действующую армию большое количество разнообразных подарков.</w:t>
      </w:r>
    </w:p>
    <w:p w14:paraId="095BE66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таких условиях посылка из фронтов и армий в тыл страны для закупки товаров или сбора подарков всякого рода ходатаев и попрошаек, дезорганизующих к тому же транспорт и местный рынок, является тягчайшим преступлением.</w:t>
      </w:r>
    </w:p>
    <w:p w14:paraId="25A25D6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Приказываю:</w:t>
      </w:r>
    </w:p>
    <w:p w14:paraId="60E6E2E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Начальникам гарнизонов и областным военным комиссарам выявлять военнослужащих, незаконно прибывающих из действующей армии в тыл страны</w:t>
      </w:r>
    </w:p>
    <w:p w14:paraId="149CB77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приобретением продовольствия и промышленных товаров, немедленно арестовывать и направлять в распоряжение военных советов округов для предания суду военного трибунала.</w:t>
      </w:r>
    </w:p>
    <w:p w14:paraId="5B37963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Военным советам фронтов и армий строго наказывать командиров и начальников, выдающих незаконные командировочные предписания, взыскивая с них во всех случаях в административно-бесспорном порядке стоимость незаконно разрешенных командировок и другие связанные с ними расходы.</w:t>
      </w:r>
    </w:p>
    <w:p w14:paraId="7E89AB9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Заместитель Народного комиссара обороны генерал-полковник интендантской службы А. ХРУЛЕВ </w:t>
      </w:r>
      <w:r w:rsidRPr="00D03F3E">
        <w:rPr>
          <w:rFonts w:ascii="Times New Roman" w:hAnsi="Times New Roman"/>
          <w:color w:val="000000" w:themeColor="text1"/>
          <w:sz w:val="16"/>
          <w:szCs w:val="16"/>
        </w:rPr>
        <w:t>(9844).</w:t>
      </w:r>
    </w:p>
    <w:p w14:paraId="0288BF3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900209" w14:textId="776EFC77" w:rsidR="00365B5B" w:rsidRPr="00D03F3E" w:rsidRDefault="00365B5B"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D03F3E">
        <w:rPr>
          <w:rFonts w:ascii="Times New Roman" w:hAnsi="Times New Roman"/>
          <w:i/>
          <w:iCs/>
          <w:color w:val="000000" w:themeColor="text1"/>
          <w:sz w:val="16"/>
          <w:szCs w:val="16"/>
        </w:rPr>
        <w:t>За рубежом:</w:t>
      </w:r>
    </w:p>
    <w:p w14:paraId="65D6C7B9" w14:textId="77777777" w:rsidR="00365B5B" w:rsidRPr="00D03F3E" w:rsidRDefault="00365B5B"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7D85D3C" w14:textId="77777777" w:rsidR="00365B5B" w:rsidRPr="00D03F3E" w:rsidRDefault="00365B5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6 января 1943 стрельба по японскому пикирующему бомбардировщику Aichi D3A (союзное название «Вал») к югу от Гуадалканала с легкого крейсера ВМС США USS Helena. Считается, что что это первое попадание по вражескому самолету зенитных боеприпасов с бесконтактным взрывателем Mark 32 VT (20376).</w:t>
      </w:r>
    </w:p>
    <w:p w14:paraId="427DB850" w14:textId="77777777" w:rsidR="00365B5B" w:rsidRPr="00D03F3E" w:rsidRDefault="00365B5B" w:rsidP="00D03F3E">
      <w:pPr>
        <w:spacing w:after="0" w:line="240" w:lineRule="auto"/>
        <w:jc w:val="both"/>
        <w:rPr>
          <w:rFonts w:ascii="Times New Roman" w:hAnsi="Times New Roman"/>
          <w:color w:val="0070C0"/>
          <w:sz w:val="16"/>
          <w:szCs w:val="16"/>
        </w:rPr>
      </w:pPr>
    </w:p>
    <w:p w14:paraId="531D328B" w14:textId="44AAC1BA"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2228DED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FA58A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января 1943 г. П.О.Сухой предъявил эскизный проект модифицированного штурмовика Су-6 М-71Ф (С2А) уже в двухместном варианте (по опыту войны). Проект С2А получил одобрение у Заказчика и с небольшими замечаниями в части улучшения бронирования был утвержден начальником НИИ ВВС А.И.Репиным 20 января (9649).</w:t>
      </w:r>
    </w:p>
    <w:p w14:paraId="63285B2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3EE35B"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на</w:t>
      </w:r>
      <w:r w:rsidRPr="00D03F3E">
        <w:rPr>
          <w:color w:val="000000" w:themeColor="text1"/>
          <w:sz w:val="16"/>
          <w:szCs w:val="16"/>
        </w:rPr>
        <w:softHyphen/>
        <w:t>чале января 1943 г. П. О. Сухой предъявил эскиз</w:t>
      </w:r>
      <w:r w:rsidRPr="00D03F3E">
        <w:rPr>
          <w:color w:val="000000" w:themeColor="text1"/>
          <w:sz w:val="16"/>
          <w:szCs w:val="16"/>
        </w:rPr>
        <w:softHyphen/>
        <w:t>ный проект модифицированного штурмовика Су-6 М-71ф (заводское обозначение С2А) уже в двух</w:t>
      </w:r>
      <w:r w:rsidRPr="00D03F3E">
        <w:rPr>
          <w:color w:val="000000" w:themeColor="text1"/>
          <w:sz w:val="16"/>
          <w:szCs w:val="16"/>
        </w:rPr>
        <w:softHyphen/>
        <w:t>местном варианте (по опыту войны). Этот самолет был построен и к концу августа 1943 г. успешно прошел государственные испытания, но по ряду субъективных и объективных причин в серийное производство не запускался, хотя военные и на</w:t>
      </w:r>
      <w:r w:rsidRPr="00D03F3E">
        <w:rPr>
          <w:color w:val="000000" w:themeColor="text1"/>
          <w:sz w:val="16"/>
          <w:szCs w:val="16"/>
        </w:rPr>
        <w:softHyphen/>
        <w:t>стаивали, даже в ущерб планам выпуска самоле</w:t>
      </w:r>
      <w:r w:rsidRPr="00D03F3E">
        <w:rPr>
          <w:color w:val="000000" w:themeColor="text1"/>
          <w:sz w:val="16"/>
          <w:szCs w:val="16"/>
        </w:rPr>
        <w:softHyphen/>
        <w:t>тов Ил-2 (17500).</w:t>
      </w:r>
    </w:p>
    <w:p w14:paraId="6DA4E642" w14:textId="77777777" w:rsidR="00362D61" w:rsidRPr="00D03F3E" w:rsidRDefault="00362D61" w:rsidP="00D03F3E">
      <w:pPr>
        <w:pStyle w:val="12a"/>
        <w:shd w:val="clear" w:color="auto" w:fill="auto"/>
        <w:spacing w:after="0" w:line="240" w:lineRule="auto"/>
        <w:jc w:val="both"/>
        <w:rPr>
          <w:color w:val="000000" w:themeColor="text1"/>
          <w:sz w:val="16"/>
          <w:szCs w:val="16"/>
        </w:rPr>
      </w:pPr>
    </w:p>
    <w:p w14:paraId="6A2267C3" w14:textId="77777777" w:rsidR="008C5F3D" w:rsidRPr="00D03F3E" w:rsidRDefault="008C5F3D"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В начале января 1943 г. П. О. Сухой предъявил эскизный проект модифицированного штурмовика Су-6 М-71Ф (С2А) уже в двухместном варианте (по опыту войны).</w:t>
      </w:r>
    </w:p>
    <w:p w14:paraId="44F3925C" w14:textId="77777777" w:rsidR="008C5F3D" w:rsidRPr="00D03F3E" w:rsidRDefault="008C5F3D"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Проект С2А получил одобрение у Заказчика и с небольшими замечаниями в части улучшения бронирования был утвержден начальником НИИ ВВС А. И. Репиным 20 января (19188).</w:t>
      </w:r>
    </w:p>
    <w:p w14:paraId="4F42AA30" w14:textId="77777777" w:rsidR="008C5F3D" w:rsidRPr="00D03F3E" w:rsidRDefault="008C5F3D" w:rsidP="00D03F3E">
      <w:pPr>
        <w:pStyle w:val="ae"/>
        <w:shd w:val="clear" w:color="auto" w:fill="FFFFFF"/>
        <w:spacing w:before="0" w:after="0"/>
        <w:jc w:val="both"/>
        <w:textAlignment w:val="baseline"/>
        <w:rPr>
          <w:color w:val="000000" w:themeColor="text1"/>
          <w:sz w:val="16"/>
          <w:szCs w:val="16"/>
        </w:rPr>
      </w:pPr>
    </w:p>
    <w:p w14:paraId="4B87DA5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января 1943 г. в ГК НИИ ВВС КА был предъявлен эскизный проект модифика</w:t>
      </w:r>
      <w:r w:rsidRPr="00D03F3E">
        <w:rPr>
          <w:rFonts w:ascii="Times New Roman" w:hAnsi="Times New Roman"/>
          <w:color w:val="000000" w:themeColor="text1"/>
          <w:sz w:val="16"/>
          <w:szCs w:val="16"/>
        </w:rPr>
        <w:softHyphen/>
        <w:t>ции одноместного самолета Су-6 с мото</w:t>
      </w:r>
      <w:r w:rsidRPr="00D03F3E">
        <w:rPr>
          <w:rFonts w:ascii="Times New Roman" w:hAnsi="Times New Roman"/>
          <w:color w:val="000000" w:themeColor="text1"/>
          <w:sz w:val="16"/>
          <w:szCs w:val="16"/>
        </w:rPr>
        <w:softHyphen/>
        <w:t>ром М-71 в двухместный с М-71Ф (10718).</w:t>
      </w:r>
    </w:p>
    <w:p w14:paraId="35CF17F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D71D9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w:t>
      </w:r>
      <w:r w:rsidRPr="00D03F3E">
        <w:rPr>
          <w:rFonts w:ascii="Times New Roman" w:hAnsi="Times New Roman"/>
          <w:color w:val="000000" w:themeColor="text1"/>
          <w:sz w:val="16"/>
          <w:szCs w:val="16"/>
        </w:rPr>
        <w:softHyphen/>
        <w:t>чале января 1943 г. Сухой предста</w:t>
      </w:r>
      <w:r w:rsidRPr="00D03F3E">
        <w:rPr>
          <w:rFonts w:ascii="Times New Roman" w:hAnsi="Times New Roman"/>
          <w:color w:val="000000" w:themeColor="text1"/>
          <w:sz w:val="16"/>
          <w:szCs w:val="16"/>
        </w:rPr>
        <w:softHyphen/>
        <w:t>вил эскизный проект двухместного варианта Су-6 с М-71ф. Проект по</w:t>
      </w:r>
      <w:r w:rsidRPr="00D03F3E">
        <w:rPr>
          <w:rFonts w:ascii="Times New Roman" w:hAnsi="Times New Roman"/>
          <w:color w:val="000000" w:themeColor="text1"/>
          <w:sz w:val="16"/>
          <w:szCs w:val="16"/>
        </w:rPr>
        <w:softHyphen/>
        <w:t>лучил одобрение у военных, и 20 января с небольшими замечаниями в части улучшения бронирования был утвержден (11426).</w:t>
      </w:r>
    </w:p>
    <w:p w14:paraId="2B97394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7CD8D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января 1943 года эскизный проект модификации самолета Су-6 М-71 в двухместном варианте был предъявлен на рассмот</w:t>
      </w:r>
      <w:r w:rsidRPr="00D03F3E">
        <w:rPr>
          <w:rFonts w:ascii="Times New Roman" w:hAnsi="Times New Roman"/>
          <w:color w:val="000000" w:themeColor="text1"/>
          <w:sz w:val="16"/>
          <w:szCs w:val="16"/>
        </w:rPr>
        <w:softHyphen/>
        <w:t>рение в НИИ ВВС КА, а заключе</w:t>
      </w:r>
      <w:r w:rsidRPr="00D03F3E">
        <w:rPr>
          <w:rFonts w:ascii="Times New Roman" w:hAnsi="Times New Roman"/>
          <w:color w:val="000000" w:themeColor="text1"/>
          <w:sz w:val="16"/>
          <w:szCs w:val="16"/>
        </w:rPr>
        <w:softHyphen/>
        <w:t>ние по нему утверждено генерал-майором ИАС А.АЛапиным 20 ян</w:t>
      </w:r>
      <w:r w:rsidRPr="00D03F3E">
        <w:rPr>
          <w:rFonts w:ascii="Times New Roman" w:hAnsi="Times New Roman"/>
          <w:color w:val="000000" w:themeColor="text1"/>
          <w:sz w:val="16"/>
          <w:szCs w:val="16"/>
        </w:rPr>
        <w:softHyphen/>
        <w:t>варя 1943 года (11845).</w:t>
      </w:r>
    </w:p>
    <w:p w14:paraId="47989D7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DD5F0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января 1943 года решили ограничиться дву</w:t>
      </w:r>
      <w:r w:rsidRPr="00D03F3E">
        <w:rPr>
          <w:rFonts w:ascii="Times New Roman" w:hAnsi="Times New Roman"/>
          <w:color w:val="000000" w:themeColor="text1"/>
          <w:sz w:val="16"/>
          <w:szCs w:val="16"/>
        </w:rPr>
        <w:softHyphen/>
        <w:t>мя. Первый самолет, фактически обыч</w:t>
      </w:r>
      <w:r w:rsidRPr="00D03F3E">
        <w:rPr>
          <w:rFonts w:ascii="Times New Roman" w:hAnsi="Times New Roman"/>
          <w:color w:val="000000" w:themeColor="text1"/>
          <w:sz w:val="16"/>
          <w:szCs w:val="16"/>
        </w:rPr>
        <w:softHyphen/>
        <w:t>ный Ил-4, но с турбонагнетателями, вы</w:t>
      </w:r>
      <w:r w:rsidRPr="00D03F3E">
        <w:rPr>
          <w:rFonts w:ascii="Times New Roman" w:hAnsi="Times New Roman"/>
          <w:color w:val="000000" w:themeColor="text1"/>
          <w:sz w:val="16"/>
          <w:szCs w:val="16"/>
        </w:rPr>
        <w:softHyphen/>
        <w:t>вели на аэродром еще 17 декабря 1942 г. На нем вели доводку мотоустановки. Он совершил всего 11 полетов, но зато на нем сменили три двигателя. ТК-3 стра</w:t>
      </w:r>
      <w:r w:rsidRPr="00D03F3E">
        <w:rPr>
          <w:rFonts w:ascii="Times New Roman" w:hAnsi="Times New Roman"/>
          <w:color w:val="000000" w:themeColor="text1"/>
          <w:sz w:val="16"/>
          <w:szCs w:val="16"/>
        </w:rPr>
        <w:softHyphen/>
        <w:t>дали прогаром коллекторов и утечкой выхлопных газов. Никак не удавалось подняться выше 7100 м, хотя по расче</w:t>
      </w:r>
      <w:r w:rsidRPr="00D03F3E">
        <w:rPr>
          <w:rFonts w:ascii="Times New Roman" w:hAnsi="Times New Roman"/>
          <w:color w:val="000000" w:themeColor="text1"/>
          <w:sz w:val="16"/>
          <w:szCs w:val="16"/>
        </w:rPr>
        <w:softHyphen/>
        <w:t>там потолок составлял 9500 м. Установ</w:t>
      </w:r>
      <w:r w:rsidRPr="00D03F3E">
        <w:rPr>
          <w:rFonts w:ascii="Times New Roman" w:hAnsi="Times New Roman"/>
          <w:color w:val="000000" w:themeColor="text1"/>
          <w:sz w:val="16"/>
          <w:szCs w:val="16"/>
        </w:rPr>
        <w:softHyphen/>
        <w:t>ка ТК-3 ухудшила аэродинамику, и мак</w:t>
      </w:r>
      <w:r w:rsidRPr="00D03F3E">
        <w:rPr>
          <w:rFonts w:ascii="Times New Roman" w:hAnsi="Times New Roman"/>
          <w:color w:val="000000" w:themeColor="text1"/>
          <w:sz w:val="16"/>
          <w:szCs w:val="16"/>
        </w:rPr>
        <w:softHyphen/>
        <w:t>симальная скорость упала на 22 км/ч. Скороподъемность тоже ухудшилась. Вдобавок выявились вибрации хвосто</w:t>
      </w:r>
      <w:r w:rsidRPr="00D03F3E">
        <w:rPr>
          <w:rFonts w:ascii="Times New Roman" w:hAnsi="Times New Roman"/>
          <w:color w:val="000000" w:themeColor="text1"/>
          <w:sz w:val="16"/>
          <w:szCs w:val="16"/>
        </w:rPr>
        <w:softHyphen/>
        <w:t>вого оперения. 10 июля 1943 г. этот са</w:t>
      </w:r>
      <w:r w:rsidRPr="00D03F3E">
        <w:rPr>
          <w:rFonts w:ascii="Times New Roman" w:hAnsi="Times New Roman"/>
          <w:color w:val="000000" w:themeColor="text1"/>
          <w:sz w:val="16"/>
          <w:szCs w:val="16"/>
        </w:rPr>
        <w:softHyphen/>
        <w:t>молет передали ЦИАМ для доводки мо</w:t>
      </w:r>
      <w:r w:rsidRPr="00D03F3E">
        <w:rPr>
          <w:rFonts w:ascii="Times New Roman" w:hAnsi="Times New Roman"/>
          <w:color w:val="000000" w:themeColor="text1"/>
          <w:sz w:val="16"/>
          <w:szCs w:val="16"/>
        </w:rPr>
        <w:softHyphen/>
        <w:t>тоустановки. Самолет обследовали спе</w:t>
      </w:r>
      <w:r w:rsidRPr="00D03F3E">
        <w:rPr>
          <w:rFonts w:ascii="Times New Roman" w:hAnsi="Times New Roman"/>
          <w:color w:val="000000" w:themeColor="text1"/>
          <w:sz w:val="16"/>
          <w:szCs w:val="16"/>
        </w:rPr>
        <w:softHyphen/>
        <w:t>циалисты ЛИИ. Расположение турбо</w:t>
      </w:r>
      <w:r w:rsidRPr="00D03F3E">
        <w:rPr>
          <w:rFonts w:ascii="Times New Roman" w:hAnsi="Times New Roman"/>
          <w:color w:val="000000" w:themeColor="text1"/>
          <w:sz w:val="16"/>
          <w:szCs w:val="16"/>
        </w:rPr>
        <w:softHyphen/>
        <w:t>нагнетателей признали неудачным, а мо</w:t>
      </w:r>
      <w:r w:rsidRPr="00D03F3E">
        <w:rPr>
          <w:rFonts w:ascii="Times New Roman" w:hAnsi="Times New Roman"/>
          <w:color w:val="000000" w:themeColor="text1"/>
          <w:sz w:val="16"/>
          <w:szCs w:val="16"/>
        </w:rPr>
        <w:softHyphen/>
        <w:t>тоустановку в целом — перетяжелен</w:t>
      </w:r>
      <w:r w:rsidRPr="00D03F3E">
        <w:rPr>
          <w:rFonts w:ascii="Times New Roman" w:hAnsi="Times New Roman"/>
          <w:color w:val="000000" w:themeColor="text1"/>
          <w:sz w:val="16"/>
          <w:szCs w:val="16"/>
        </w:rPr>
        <w:softHyphen/>
        <w:t>ной. В отчете ЛИИ сделано заключение: «Самолет Ил-4... с моторами М-886 и ТК-3 для эксплуатации не пригоден» (10734,87).</w:t>
      </w:r>
    </w:p>
    <w:p w14:paraId="7B9475D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79F6E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января 1943 года решили ограничиться двумя Ил-4ТК. Первый самолет, фактически обычный Ил-4, но с турбонагнетателями, вывели на аэродром еще 17 декабря 1942 г. На нем вели доводку мотоустановки. Он совершил всего 11 полетов, но зато на нем сменили три двигателя. ТК-3 страдали прогаром коллекторов и утечкой выхлопных газов. Никак не удавалось подняться выше 7100 м, хотя по расчетам потолок составлял 9500 м. Установка ТК-3 ухудшила аэродинамику, и максимальная скорость упала на 22 км/ч. Скороподъемность тоже ухудшилась. Вдобавок выявились вибрации хвостового оперения. 10 июля 1943 г. этот самолет передали ЦИАМ для доводки мотоустановки. Самолет обследовали специалисты ЛИИ. Расположение турбонагнетателей признали неудачным, а мотоустановку в целом - перетяжеленной. В отчете Л ИИ сделано заключение: "Самолет Ил-4... с моторами М-886 и ТК-3 для эксплуатации не пригоден".</w:t>
      </w:r>
    </w:p>
    <w:p w14:paraId="2701B32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Вторую машину постановление требовало сдать на испытания к 15 марта. За три дня до срока самолет был готов. Первый полет на Ил-4ТК совершил В. К. Коккинаки 16 марта 1943 г. Взлетный вес составлял 10593 кг, несколько больше расчетного за счет контрольно-измерительной аппаратуры. Первый этап заводских испытаний завершился 29 мая. Затем на самолете установили усовершенствованную гермокабину и 10 августа вновь подняли его в воздух. Результаты принесли разочарование. До предполагавшихся в проекте данных машина здорово недотягивала. Хотя считали, что крейсерский полет будет происходить на высоте 11000 м, выше 9300 м подняться не удавалось. Скорость также оказалась далека от желаемой. Причину нашли в несоответствии параметров ТК-3 расчетным и непригодности винтов ВИШ-61 П. Последние заменили на четырехлопастные АВ-9. Но это не дало существенного сдвига.</w:t>
      </w:r>
    </w:p>
    <w:p w14:paraId="074240E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Далее перешли к более совершенным нагнетателям ТК-М. Первый полет с ними состоялся 16 сентября. Поднялись на 7500 м. Моторы работали неустойчиво. К этому времени в условиях перехода господства в воздухе к советской авиации потребность в высотной технике уже не стала столь насущной. 10 ноября 1943 г. Ильюшин распорядился прекратить работы по Ил-4ТК (12021).</w:t>
      </w:r>
    </w:p>
    <w:p w14:paraId="13C082B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633AB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января 1943 в спецсообщении УНКВД Куйбышевский обком ВКП(б) ставился в известность, что «на 5 января 1943 года завод (№ 24 НКАП) не приступил еще к выполнению январской программы, а занимался доукомплектовкой и выпуском моторов декабрьского плана 1942 года» (11626).</w:t>
      </w:r>
    </w:p>
    <w:p w14:paraId="08D0339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5892D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января 1943 года построили Як-9Д и 14 января передали в НИИ ВВС. Ведущими на этапе государственных испытаний, завершившихся 28 февраля, были летчик В.Е. Го- лофастов и инженер И.Г Рабкин. Помимо уже отмеченных преимуществ и недостатков новой машины, в акте НИИ ВВС отмечался скудный состав пилотажно-навигационного оборудования. В частности, указывалось на отсутствие радиополукомпаса и авиагоризонта, необходимых для длительных полетов на расстояние около 1000 км. Мала была и дальность радиосвязи (не более 60 км).</w:t>
      </w:r>
    </w:p>
    <w:p w14:paraId="7F05C0D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Отвечая требованиям фронта, в ОКБ-115 разработали вариант Як-9Д с увеличенной дальностью полета. Для этого удвоили количество топливных баков, и их общая емкость достигла 650 литров. Два дополнительных бака, вмещавшие по 117 литров горючего, разместили в консолях крыла. При этом отказались от традиционного расходного бачка, топливо вырабатывалось непосредственно из основных баков. Естественно, увеличился с 25 до 48 кг и запас масла. Полетный вес машины с прежним составом вооружения возрос до 3117 кг.</w:t>
      </w:r>
    </w:p>
    <w:p w14:paraId="1AC381D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Одновременно с этим, по рекомендации ЦАГИ улучшили отделку передней кромки крыла и фюзеляжа, заделав в нем многочисленные щели. В итоге, возросла не только дальность (в зависимости от режима полета она изменялась от 875 до 1360 км, а продолжительность полета - от 1 часа 44 минут до 4,5 часов), но и скорость. В то же время, маневренность истребителя, его скороподъемность и потолок ухудшились, но это все следствие его утяжеления (12046).</w:t>
      </w:r>
    </w:p>
    <w:p w14:paraId="59592CF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1FA081" w14:textId="77777777" w:rsidR="000B21EB"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515D505A" w14:textId="77777777" w:rsidR="000B21EB" w:rsidRPr="00D03F3E" w:rsidRDefault="000B21EB"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E05E39" w14:textId="77777777" w:rsidR="00362D61" w:rsidRPr="00D03F3E" w:rsidRDefault="00362D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В начале января 1943 случилось большое разбирательство по поводу приемки машин, спровоцированное запиской помощника военпреда инженер-капитана П.Н. Котова. Случилось это на фоне конфликта Котова со старшим военпредом по ЧКЗ инженер-капитаном И.Н. Скрибцовым. По итогам разбирательства правда оказалась на стороне Скрибцова, у которого, к слову, были весьма натянутые отношения и с наркомом танковой промышленности Зальцманом. Связано это оказалось с отказом </w:t>
      </w:r>
      <w:r w:rsidRPr="00D03F3E">
        <w:rPr>
          <w:rFonts w:ascii="Times New Roman" w:eastAsia="Times New Roman" w:hAnsi="Times New Roman"/>
          <w:color w:val="000000" w:themeColor="text1"/>
          <w:sz w:val="16"/>
          <w:szCs w:val="16"/>
          <w:lang w:eastAsia="ru-RU"/>
        </w:rPr>
        <w:lastRenderedPageBreak/>
        <w:t>Скрибцова осенью 1941 года «продавливать» приемку танков задним числом. Что же касается инженер-капитана Котова, то его желание перейти с ЧКЗ куда-нибудь в другое место закончилось весьма неожиданно. Его направили на должность помощника начальника 6-го отдела Главного управления трофейного вооружения, где он руководил разделкой трофейной техники.</w:t>
      </w:r>
    </w:p>
    <w:p w14:paraId="518B55CC" w14:textId="77777777" w:rsidR="00362D61" w:rsidRPr="00D03F3E" w:rsidRDefault="00362D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Из-за целого ряда проблем реальные объемы выпуска КВ-1с отличались от ожидаемых. За 4-й квартал 1942 года планировалось изготовить 510 танков (145 в октябре, 170 в ноябре и 195 в декабре). Фактически же за октябрь было принято 165, в ноябре – 125 и столько же в декабре. Таким образом, за квартал было принято 415 КВ-1с.</w:t>
      </w:r>
    </w:p>
    <w:p w14:paraId="69674993" w14:textId="77777777" w:rsidR="00362D61" w:rsidRPr="00D03F3E" w:rsidRDefault="00362D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Проблемы с производством КВ-1с продолжали сказываться и в 1943 году. При плане в 124 танка на январь заводу удалось сдать 93 машины (в сводках завода 92). Видя проблемы, с которыми столкнулся завод, план на следующий месяц заметно снизили – до 62 машин. Он был даже перевыполнен – за февраль было сдано 72 КВ-1с. В марте при задании в 60 танков было сдано 52, но при этом заводу были зачтены еще 11 ремонтных машин, что позволило выполнить месячный план (17692).</w:t>
      </w:r>
    </w:p>
    <w:p w14:paraId="3A7E7DC5" w14:textId="77777777" w:rsidR="00362D61" w:rsidRPr="00D03F3E" w:rsidRDefault="00362D61" w:rsidP="00D03F3E">
      <w:pPr>
        <w:pStyle w:val="12a"/>
        <w:shd w:val="clear" w:color="auto" w:fill="auto"/>
        <w:spacing w:after="0" w:line="240" w:lineRule="auto"/>
        <w:jc w:val="both"/>
        <w:rPr>
          <w:color w:val="000000" w:themeColor="text1"/>
          <w:sz w:val="16"/>
          <w:szCs w:val="16"/>
        </w:rPr>
      </w:pPr>
    </w:p>
    <w:p w14:paraId="21ABC197" w14:textId="77777777" w:rsidR="000B21EB" w:rsidRPr="00D03F3E" w:rsidRDefault="000B21EB" w:rsidP="00D03F3E">
      <w:pPr>
        <w:pStyle w:val="a3"/>
        <w:rPr>
          <w:color w:val="000000" w:themeColor="text1"/>
          <w:lang w:val="ru-RU"/>
        </w:rPr>
      </w:pPr>
      <w:r w:rsidRPr="00D03F3E">
        <w:rPr>
          <w:color w:val="000000" w:themeColor="text1"/>
          <w:lang w:val="ru-RU"/>
        </w:rPr>
        <w:t>В начале января 1943 г. ГКО обязал ЧКЗ создать САУ на базе тяже</w:t>
      </w:r>
      <w:r w:rsidRPr="00D03F3E">
        <w:rPr>
          <w:color w:val="000000" w:themeColor="text1"/>
          <w:lang w:val="ru-RU"/>
        </w:rPr>
        <w:softHyphen/>
        <w:t>лого танка, получившую обозначение КВ-14. Ведущим конструктором проекта назначили Л.С. Троянова, переведенного в Челябинск с Омского завода № 174. В конструкторскую группу вошли Г.Н. Москвин, Г.Н, Рыбин, К.Н. Ильин и другие.</w:t>
      </w:r>
    </w:p>
    <w:p w14:paraId="552E7B39" w14:textId="77777777" w:rsidR="000B21EB" w:rsidRPr="00D03F3E" w:rsidRDefault="000B21EB" w:rsidP="00D03F3E">
      <w:pPr>
        <w:pStyle w:val="a3"/>
        <w:rPr>
          <w:color w:val="000000" w:themeColor="text1"/>
          <w:lang w:val="ru-RU"/>
        </w:rPr>
      </w:pPr>
      <w:r w:rsidRPr="00D03F3E">
        <w:rPr>
          <w:color w:val="000000" w:themeColor="text1"/>
          <w:lang w:val="ru-RU"/>
        </w:rPr>
        <w:t>Наиболее приемлемым признали вари</w:t>
      </w:r>
      <w:r w:rsidRPr="00D03F3E">
        <w:rPr>
          <w:color w:val="000000" w:themeColor="text1"/>
          <w:lang w:val="ru-RU"/>
        </w:rPr>
        <w:softHyphen/>
        <w:t>ант с размещением казенной части орудия в закрытой рубке, изготовленной из катаных листов брони, расположенной в перед</w:t>
      </w:r>
      <w:r w:rsidRPr="00D03F3E">
        <w:rPr>
          <w:color w:val="000000" w:themeColor="text1"/>
          <w:lang w:val="ru-RU"/>
        </w:rPr>
        <w:softHyphen/>
        <w:t>ней части машины. Размещение моторно- трансмиссионного отделения в этом случае сохранялось в задней части машины, как и в базовом тднке КВ-1С. Изменение конструкции орудия предусматривало перенос оси цапф вперед с целью уменьшения вылета орудия, ограничивающего маневренность машины. Уравновешивание орудийной системы обе</w:t>
      </w:r>
      <w:r w:rsidRPr="00D03F3E">
        <w:rPr>
          <w:color w:val="000000" w:themeColor="text1"/>
          <w:lang w:val="ru-RU"/>
        </w:rPr>
        <w:softHyphen/>
        <w:t>спечивалось за счет броневой маски.</w:t>
      </w:r>
    </w:p>
    <w:p w14:paraId="733A0A7A" w14:textId="77777777" w:rsidR="000B21EB" w:rsidRPr="00D03F3E" w:rsidRDefault="000B21EB" w:rsidP="00D03F3E">
      <w:pPr>
        <w:pStyle w:val="a3"/>
        <w:rPr>
          <w:color w:val="000000" w:themeColor="text1"/>
          <w:lang w:val="ru-RU"/>
        </w:rPr>
      </w:pPr>
      <w:r w:rsidRPr="00D03F3E">
        <w:rPr>
          <w:color w:val="000000" w:themeColor="text1"/>
          <w:lang w:val="ru-RU"/>
        </w:rPr>
        <w:t>Конструктивно установка орудия была жестко связана с лобовым листом рубки тол</w:t>
      </w:r>
      <w:r w:rsidRPr="00D03F3E">
        <w:rPr>
          <w:color w:val="000000" w:themeColor="text1"/>
          <w:lang w:val="ru-RU"/>
        </w:rPr>
        <w:softHyphen/>
        <w:t>щиной 75 мм. Орудие, снабженное щелевым дульным тормозом, крепилось в мощной рамке посредством цапф, обеспечивавших две сте</w:t>
      </w:r>
      <w:r w:rsidRPr="00D03F3E">
        <w:rPr>
          <w:color w:val="000000" w:themeColor="text1"/>
          <w:lang w:val="ru-RU"/>
        </w:rPr>
        <w:softHyphen/>
        <w:t>пени свободы, по отработанной на КВ-7 схеме карданного подвеса (12617).</w:t>
      </w:r>
    </w:p>
    <w:p w14:paraId="14B0E32F" w14:textId="77777777" w:rsidR="000B21EB" w:rsidRPr="00D03F3E" w:rsidRDefault="000B21EB" w:rsidP="00D03F3E">
      <w:pPr>
        <w:pStyle w:val="a3"/>
        <w:rPr>
          <w:color w:val="000000" w:themeColor="text1"/>
          <w:lang w:val="ru-RU"/>
        </w:rPr>
      </w:pPr>
    </w:p>
    <w:p w14:paraId="61083519"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2E9F4A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5C363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января 1943 на фронт вернулась 8,/Sch.G.l, но уже к 27 января 1943 г. в составе эскадрильи осталось б "хеншелей" и она вновь была выведена из боя (8907).</w:t>
      </w:r>
    </w:p>
    <w:p w14:paraId="50998E2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EEB599"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39B9831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E7521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января 1943 Дир. завода 292 Левин письмом НКАП А.И.Ш. сообщил данные предварительных испытаний Як-1 с М-106. Скорость у земли - 537, на 3750 - 6-6 км/час, скороподъемность на 5000 м - 5 мин. (2519,5).</w:t>
      </w:r>
    </w:p>
    <w:p w14:paraId="714507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3B0751"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739467B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5CE28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7 января 1943 г. вышла ДОКЛАДНАЯ ЗАПИСКА ГЛАВНОГО ИНЖЕНЕРА ЗАВОДА № 100 ЗАМЕСТИТЕЛЮ НАЧАЛЬНИКА ГАБТУ КА ОБ ИСПЫТАНИИ </w:t>
      </w:r>
      <w:r w:rsidR="00486A01" w:rsidRPr="00D03F3E">
        <w:rPr>
          <w:rFonts w:ascii="Times New Roman" w:hAnsi="Times New Roman"/>
          <w:color w:val="000000" w:themeColor="text1"/>
          <w:sz w:val="16"/>
          <w:szCs w:val="16"/>
        </w:rPr>
        <w:t>Н</w:t>
      </w:r>
      <w:r w:rsidRPr="00D03F3E">
        <w:rPr>
          <w:rFonts w:ascii="Times New Roman" w:hAnsi="Times New Roman"/>
          <w:color w:val="000000" w:themeColor="text1"/>
          <w:sz w:val="16"/>
          <w:szCs w:val="16"/>
        </w:rPr>
        <w:t>АТАНКЕ КВ-1с ПЛАНЕТАРНОГО МЕХАНИЗМА ПОВОРОТА №11</w:t>
      </w:r>
    </w:p>
    <w:p w14:paraId="496A481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октябре и ноябре 1942 г. на заводе №100 спроектирован и изготовлен планетарный механизм поворота конструкции инженера подполковника Благонравова А.И.</w:t>
      </w:r>
    </w:p>
    <w:p w14:paraId="0D5CF41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Отчет о первой стадии испытаний, проведенных на танке КВ-1с, при сем прилагаем и просим таковой утвердить.</w:t>
      </w:r>
    </w:p>
    <w:p w14:paraId="420D371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настоящему моменту общий километраж пробеговых испытаний достиг 1085 км, из коих 135 км — буксировки. При этом танк с планетарным механизмом поворота буксировал один раз два танка общим весом 75 тонн без особых затруднений.</w:t>
      </w:r>
    </w:p>
    <w:p w14:paraId="1006C57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Планетарный механизм поворота является лишь новым словом в отечественном танкостроении.</w:t>
      </w:r>
    </w:p>
    <w:p w14:paraId="6ED35AB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показали, что планетарный механизм поворота имеет следующие преимущества перед бортовыми фрикционами:</w:t>
      </w:r>
    </w:p>
    <w:p w14:paraId="3D4B5C6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повысилась маневренность танка на местности;</w:t>
      </w:r>
    </w:p>
    <w:p w14:paraId="0F2460B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увеличилась средняя скорость движения на 25-30%;</w:t>
      </w:r>
    </w:p>
    <w:p w14:paraId="01A0088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увеличилась проходимость;</w:t>
      </w:r>
    </w:p>
    <w:p w14:paraId="7374030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облегчено управление (усилие на рычагах 12-15 кг вместо 40-50 кг);</w:t>
      </w:r>
    </w:p>
    <w:p w14:paraId="44A4F12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улучшаются условия работы двигателя, коробки передач и главного фрикциона;</w:t>
      </w:r>
    </w:p>
    <w:p w14:paraId="06C4EAE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увеличился срок службы тормозов;</w:t>
      </w:r>
    </w:p>
    <w:p w14:paraId="4B7418B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уменьшился расход топлива на километр.</w:t>
      </w:r>
    </w:p>
    <w:p w14:paraId="3FE560A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Мы считаем необходимым рекомендовать этот механизм в серию и полезным немедленно изго</w:t>
      </w:r>
      <w:r w:rsidRPr="00D03F3E">
        <w:rPr>
          <w:rFonts w:ascii="Times New Roman" w:hAnsi="Times New Roman"/>
          <w:color w:val="000000" w:themeColor="text1"/>
          <w:sz w:val="16"/>
          <w:szCs w:val="16"/>
        </w:rPr>
        <w:softHyphen/>
        <w:t>товить установочную партию для испытания механизма в боевых действиях.</w:t>
      </w:r>
    </w:p>
    <w:p w14:paraId="5DB8B7C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Планетарный механизм поворота, кроме переходных деталей, связывающих его с коробкой передач и бортовым редуктором, является унифицированным для танков КБ-1С и Т-34.</w:t>
      </w:r>
    </w:p>
    <w:p w14:paraId="126F75C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Чертежи для запуска в серию планетарного механизма танка КБ-1С с учетом замечаний на осно</w:t>
      </w:r>
      <w:r w:rsidRPr="00D03F3E">
        <w:rPr>
          <w:rFonts w:ascii="Times New Roman" w:hAnsi="Times New Roman"/>
          <w:color w:val="000000" w:themeColor="text1"/>
          <w:sz w:val="16"/>
          <w:szCs w:val="16"/>
        </w:rPr>
        <w:softHyphen/>
        <w:t>вании результатов испытаний готовы.</w:t>
      </w:r>
    </w:p>
    <w:p w14:paraId="59074D3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настоящее время завод заканчивает разработку чертежей планетарного механизма поворота машины Т-34 для серийного производства. Приложение</w:t>
      </w:r>
      <w:r w:rsidRPr="00D03F3E">
        <w:rPr>
          <w:rFonts w:ascii="Times New Roman" w:hAnsi="Times New Roman"/>
          <w:color w:val="000000" w:themeColor="text1"/>
          <w:sz w:val="16"/>
          <w:szCs w:val="16"/>
          <w:vertAlign w:val="superscript"/>
        </w:rPr>
        <w:t>1</w:t>
      </w:r>
      <w:r w:rsidRPr="00D03F3E">
        <w:rPr>
          <w:rFonts w:ascii="Times New Roman" w:hAnsi="Times New Roman"/>
          <w:color w:val="000000" w:themeColor="text1"/>
          <w:sz w:val="16"/>
          <w:szCs w:val="16"/>
        </w:rPr>
        <w:t>: отчет №97, экз. №3.</w:t>
      </w:r>
    </w:p>
    <w:p w14:paraId="082AB1C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Главный инженер завода № 100 Майдельман</w:t>
      </w:r>
    </w:p>
    <w:p w14:paraId="68F2842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1377. Л. 56. Подлинник.</w:t>
      </w:r>
    </w:p>
    <w:p w14:paraId="3AC548E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к документу отсутствует (11403).</w:t>
      </w:r>
    </w:p>
    <w:p w14:paraId="3D8A933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3F9CC0" w14:textId="77777777" w:rsidR="00486A01" w:rsidRPr="00D03F3E" w:rsidRDefault="00486A0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7 января 1943 года главный инженер завода № 100 Майдельман докладывал в ГБТУ КА:</w:t>
      </w:r>
    </w:p>
    <w:p w14:paraId="0B6D2275" w14:textId="77777777" w:rsidR="00486A01" w:rsidRPr="00D03F3E" w:rsidRDefault="00486A0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октябре и ноябре 1942 г. на заводе № 100 спроектирован и изготовлен планетарный механизм поворота конструкции инженера подполковника Благонравова А. И...</w:t>
      </w:r>
    </w:p>
    <w:p w14:paraId="74CF9886" w14:textId="77777777" w:rsidR="00486A01" w:rsidRPr="00D03F3E" w:rsidRDefault="00486A0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 настоящему моменту общий киломе</w:t>
      </w:r>
      <w:r w:rsidRPr="00D03F3E">
        <w:rPr>
          <w:rFonts w:ascii="Times New Roman" w:cs="Times New Roman"/>
          <w:color w:val="000000" w:themeColor="text1"/>
          <w:spacing w:val="0"/>
        </w:rPr>
        <w:softHyphen/>
        <w:t>траж пробеговых испытаний достиг 1085 км, из коих 135 км - буксировки. При этом танк с планетарным механизмом поворота бук</w:t>
      </w:r>
      <w:r w:rsidRPr="00D03F3E">
        <w:rPr>
          <w:rFonts w:ascii="Times New Roman" w:cs="Times New Roman"/>
          <w:color w:val="000000" w:themeColor="text1"/>
          <w:spacing w:val="0"/>
        </w:rPr>
        <w:softHyphen/>
        <w:t>сировал один раз два танка общим весом 75 тонн без особых затруднений.</w:t>
      </w:r>
    </w:p>
    <w:p w14:paraId="5B1B4B75" w14:textId="77777777" w:rsidR="00486A01" w:rsidRPr="00D03F3E" w:rsidRDefault="00486A0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Планетарный механизм поворота являет</w:t>
      </w:r>
      <w:r w:rsidRPr="00D03F3E">
        <w:rPr>
          <w:rFonts w:ascii="Times New Roman" w:cs="Times New Roman"/>
          <w:color w:val="000000" w:themeColor="text1"/>
          <w:spacing w:val="0"/>
        </w:rPr>
        <w:softHyphen/>
        <w:t>ся лишь новым словом в отечественном тан</w:t>
      </w:r>
      <w:r w:rsidRPr="00D03F3E">
        <w:rPr>
          <w:rFonts w:ascii="Times New Roman" w:cs="Times New Roman"/>
          <w:color w:val="000000" w:themeColor="text1"/>
          <w:spacing w:val="0"/>
        </w:rPr>
        <w:softHyphen/>
        <w:t>костроении..</w:t>
      </w:r>
    </w:p>
    <w:p w14:paraId="412AAE3B" w14:textId="77777777" w:rsidR="00486A01" w:rsidRPr="00D03F3E" w:rsidRDefault="00486A0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Испытания показали. Что планетарный механизм поворота имеет следующие пре</w:t>
      </w:r>
      <w:r w:rsidRPr="00D03F3E">
        <w:rPr>
          <w:rFonts w:ascii="Times New Roman" w:cs="Times New Roman"/>
          <w:color w:val="000000" w:themeColor="text1"/>
          <w:spacing w:val="0"/>
        </w:rPr>
        <w:softHyphen/>
        <w:t>имущества перед бортовыми фрикционами:</w:t>
      </w:r>
    </w:p>
    <w:p w14:paraId="1D6AE866" w14:textId="77777777" w:rsidR="00486A01" w:rsidRPr="00D03F3E" w:rsidRDefault="00486A01" w:rsidP="00D03F3E">
      <w:pPr>
        <w:pStyle w:val="27"/>
        <w:shd w:val="clear" w:color="auto" w:fill="auto"/>
        <w:tabs>
          <w:tab w:val="left" w:pos="474"/>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повысилась маневренность танка на местности;</w:t>
      </w:r>
    </w:p>
    <w:p w14:paraId="2962582A" w14:textId="77777777" w:rsidR="00486A01" w:rsidRPr="00D03F3E" w:rsidRDefault="00486A01" w:rsidP="00D03F3E">
      <w:pPr>
        <w:pStyle w:val="27"/>
        <w:shd w:val="clear" w:color="auto" w:fill="auto"/>
        <w:tabs>
          <w:tab w:val="left" w:pos="459"/>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увеличилась средняя скорость движения на 20-30%;</w:t>
      </w:r>
    </w:p>
    <w:p w14:paraId="3CDD0532" w14:textId="77777777" w:rsidR="00486A01" w:rsidRPr="00D03F3E" w:rsidRDefault="00486A01" w:rsidP="00D03F3E">
      <w:pPr>
        <w:pStyle w:val="27"/>
        <w:shd w:val="clear" w:color="auto" w:fill="auto"/>
        <w:tabs>
          <w:tab w:val="left" w:pos="296"/>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увеличилась проходимость;</w:t>
      </w:r>
    </w:p>
    <w:p w14:paraId="061D2303" w14:textId="77777777" w:rsidR="00486A01" w:rsidRPr="00D03F3E" w:rsidRDefault="00486A01" w:rsidP="00D03F3E">
      <w:pPr>
        <w:pStyle w:val="27"/>
        <w:shd w:val="clear" w:color="auto" w:fill="auto"/>
        <w:tabs>
          <w:tab w:val="left" w:pos="469"/>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облегчено управление (усилие на рыча</w:t>
      </w:r>
      <w:r w:rsidRPr="00D03F3E">
        <w:rPr>
          <w:rFonts w:ascii="Times New Roman" w:cs="Times New Roman"/>
          <w:color w:val="000000" w:themeColor="text1"/>
          <w:spacing w:val="0"/>
        </w:rPr>
        <w:softHyphen/>
        <w:t>гах 12-15 кг вместо 40-50 кг);</w:t>
      </w:r>
    </w:p>
    <w:p w14:paraId="26D4E762" w14:textId="77777777" w:rsidR="00486A01" w:rsidRPr="00D03F3E" w:rsidRDefault="00486A01" w:rsidP="00D03F3E">
      <w:pPr>
        <w:pStyle w:val="27"/>
        <w:shd w:val="clear" w:color="auto" w:fill="auto"/>
        <w:tabs>
          <w:tab w:val="left" w:pos="454"/>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улучшаются условия работы двигателя. Коробки передач и главного фрикциона;</w:t>
      </w:r>
    </w:p>
    <w:p w14:paraId="50BD6468" w14:textId="77777777" w:rsidR="00486A01" w:rsidRPr="00D03F3E" w:rsidRDefault="00486A01" w:rsidP="00D03F3E">
      <w:pPr>
        <w:pStyle w:val="27"/>
        <w:shd w:val="clear" w:color="auto" w:fill="auto"/>
        <w:tabs>
          <w:tab w:val="left" w:pos="296"/>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увеличился срок службы тормозов;</w:t>
      </w:r>
    </w:p>
    <w:p w14:paraId="0CC1C067" w14:textId="77777777" w:rsidR="00486A01" w:rsidRPr="00D03F3E" w:rsidRDefault="00486A01" w:rsidP="00D03F3E">
      <w:pPr>
        <w:pStyle w:val="27"/>
        <w:shd w:val="clear" w:color="auto" w:fill="auto"/>
        <w:tabs>
          <w:tab w:val="left" w:pos="291"/>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уменьшился расход топлива на километр.</w:t>
      </w:r>
    </w:p>
    <w:p w14:paraId="7FFEE1FE" w14:textId="77777777" w:rsidR="00486A01" w:rsidRPr="00D03F3E" w:rsidRDefault="00486A0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Мы считаем необходимым рекомендо</w:t>
      </w:r>
      <w:r w:rsidRPr="00D03F3E">
        <w:rPr>
          <w:rFonts w:ascii="Times New Roman" w:cs="Times New Roman"/>
          <w:color w:val="000000" w:themeColor="text1"/>
          <w:spacing w:val="0"/>
        </w:rPr>
        <w:softHyphen/>
        <w:t>вать этот механизм в серию и полезным не</w:t>
      </w:r>
      <w:r w:rsidRPr="00D03F3E">
        <w:rPr>
          <w:rFonts w:ascii="Times New Roman" w:cs="Times New Roman"/>
          <w:color w:val="000000" w:themeColor="text1"/>
          <w:spacing w:val="0"/>
        </w:rPr>
        <w:softHyphen/>
        <w:t>медленно изготовить установочную партию для испытания механизма поворота в боевых действиях.</w:t>
      </w:r>
    </w:p>
    <w:p w14:paraId="7030BE6A" w14:textId="77777777" w:rsidR="00486A01" w:rsidRPr="00D03F3E" w:rsidRDefault="00486A0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Планетарный механизм поворота, кроме переходных деталей, связывающих его с ко</w:t>
      </w:r>
      <w:r w:rsidRPr="00D03F3E">
        <w:rPr>
          <w:rFonts w:ascii="Times New Roman" w:cs="Times New Roman"/>
          <w:color w:val="000000" w:themeColor="text1"/>
          <w:spacing w:val="0"/>
        </w:rPr>
        <w:softHyphen/>
        <w:t>робкой перемены передач и бортовым редук</w:t>
      </w:r>
      <w:r w:rsidRPr="00D03F3E">
        <w:rPr>
          <w:rFonts w:ascii="Times New Roman" w:cs="Times New Roman"/>
          <w:color w:val="000000" w:themeColor="text1"/>
          <w:spacing w:val="0"/>
        </w:rPr>
        <w:softHyphen/>
        <w:t>тором, является унифицированным для тан</w:t>
      </w:r>
      <w:r w:rsidRPr="00D03F3E">
        <w:rPr>
          <w:rFonts w:ascii="Times New Roman" w:cs="Times New Roman"/>
          <w:color w:val="000000" w:themeColor="text1"/>
          <w:spacing w:val="0"/>
        </w:rPr>
        <w:softHyphen/>
        <w:t>ков КВ-1С и Т-34.</w:t>
      </w:r>
    </w:p>
    <w:p w14:paraId="1905CD24"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Чертежи для запуска в серию планетар</w:t>
      </w:r>
      <w:r w:rsidRPr="00D03F3E">
        <w:rPr>
          <w:rFonts w:ascii="Times New Roman" w:hAnsi="Times New Roman"/>
          <w:color w:val="000000" w:themeColor="text1"/>
          <w:sz w:val="16"/>
          <w:szCs w:val="16"/>
        </w:rPr>
        <w:softHyphen/>
        <w:t xml:space="preserve">ного механизма танка </w:t>
      </w:r>
      <w:r w:rsidRPr="00D03F3E">
        <w:rPr>
          <w:rFonts w:ascii="Times New Roman" w:hAnsi="Times New Roman"/>
          <w:color w:val="000000" w:themeColor="text1"/>
          <w:sz w:val="16"/>
          <w:szCs w:val="16"/>
          <w:lang w:val="en-US"/>
        </w:rPr>
        <w:t>KB</w:t>
      </w:r>
      <w:r w:rsidRPr="00D03F3E">
        <w:rPr>
          <w:rFonts w:ascii="Times New Roman" w:hAnsi="Times New Roman"/>
          <w:color w:val="000000" w:themeColor="text1"/>
          <w:sz w:val="16"/>
          <w:szCs w:val="16"/>
        </w:rPr>
        <w:t>-1С с учетом замечаний на основе результатов испытаний готовы» (15226).</w:t>
      </w:r>
    </w:p>
    <w:p w14:paraId="0E9B8F76" w14:textId="77777777" w:rsidR="00486A01" w:rsidRPr="00D03F3E" w:rsidRDefault="00486A01" w:rsidP="00D03F3E">
      <w:pPr>
        <w:spacing w:after="0" w:line="240" w:lineRule="auto"/>
        <w:jc w:val="both"/>
        <w:rPr>
          <w:rFonts w:ascii="Times New Roman" w:hAnsi="Times New Roman"/>
          <w:color w:val="000000" w:themeColor="text1"/>
          <w:sz w:val="16"/>
          <w:szCs w:val="16"/>
        </w:rPr>
      </w:pPr>
    </w:p>
    <w:p w14:paraId="00DB49E2"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января 1943 года начальник техуправления БТУ ГБТУ КА инженер-полковник Афонин писал наркому танковой промышленное- ти Я. Зальцману:</w:t>
      </w:r>
    </w:p>
    <w:p w14:paraId="77AE166D"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постановления ГКО №1879 сс от 5 июня 1942 года и №2192 от 20 августа 1942 года НКТП и дирекция завода № 183 должны были к 15 сентября 1942 года закончить разработку башни танка Т-34 с командирской башенкой.</w:t>
      </w:r>
    </w:p>
    <w:p w14:paraId="6C9F3DB2"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этих постановлений завод №183 изготовил опытный образец командирской башенки с призматическими приборами, который был забракован генералом Федоренко по причине недостаточной обзорности из башенки и неудачного расположения ее.</w:t>
      </w:r>
    </w:p>
    <w:p w14:paraId="340EC2D6"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декабря 1942 года на совместном совещании работников НКТП и БТУ подвергся серьезной критике и был отклонен 2-й проект командирской башенки с щелевыми приборами многократного преломления. В этом проекте:</w:t>
      </w:r>
    </w:p>
    <w:p w14:paraId="3555583F"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При попадании пули в призму осколками ее должен поражаться наблюдающий;</w:t>
      </w:r>
    </w:p>
    <w:p w14:paraId="26272DD3"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За счет многократного преломления значительно увеличивается путь прохождения луча в стекле, и поэтому происходит большая потеря видимости;</w:t>
      </w:r>
    </w:p>
    <w:p w14:paraId="4815AF53"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3. Сама призма тонка, и во время движения танка наблюдать через нее будет затруднительно. Кроме того, отверстия под призмы снижают бронестойкость башенки, а введение самих призм усложняет эксплуатацию и снабжение запчастями.</w:t>
      </w:r>
    </w:p>
    <w:p w14:paraId="02F3DB6C"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Вместо развертывания работ по созданию смотровой башенки, удовлетворяющей требованиям ГБТУ, завод № 183 ответил письмом № СО-5481 от 23 декабря 1942 года. В письме т. Максарева и т. Морозова высказали сожаление о том. что такой важный вопрос по разным причинам не нашел еще разрешения. В этом же письме они сообщают, что других вариантов командирской башенки завод не имеет.</w:t>
      </w:r>
    </w:p>
    <w:p w14:paraId="603570A9"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настаивает на принятии отвергнутого варианта.</w:t>
      </w:r>
    </w:p>
    <w:p w14:paraId="7D2FE699"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Заводу № 183 было рекомендовано разработать смотровую башенку Т-34, использовав конструкцию смотрового прибора и смотрового люка танка МК-4, причем конструкция приборов и смотрового люка танка МК-4 т. Морозову были известны с июля 1942 года.</w:t>
      </w:r>
    </w:p>
    <w:p w14:paraId="31AE7F4F"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Никаких обоснованных возражений на свою предложенную конструкцию смотровой башенки от завода № 183 мы не получили, поэтому вызывает удивление не деловой тон ответа т.т. Максарева и Морозова на решение совещания о конструкции башенки.</w:t>
      </w:r>
    </w:p>
    <w:p w14:paraId="0E56B9C4"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Ваших указаний заводу № 183 о срочном развертывании работ по созданию смотровой башенки танка Т-34, удовлетворяющей требованиям улучшения обзорности из танка и размещения в ней командира» (12217).</w:t>
      </w:r>
    </w:p>
    <w:p w14:paraId="3021534B" w14:textId="77777777" w:rsidR="000B21EB" w:rsidRPr="00D03F3E" w:rsidRDefault="000B21EB" w:rsidP="00D03F3E">
      <w:pPr>
        <w:spacing w:after="0" w:line="240" w:lineRule="auto"/>
        <w:jc w:val="both"/>
        <w:rPr>
          <w:rFonts w:ascii="Times New Roman" w:hAnsi="Times New Roman"/>
          <w:color w:val="000000" w:themeColor="text1"/>
          <w:sz w:val="16"/>
          <w:szCs w:val="16"/>
        </w:rPr>
      </w:pPr>
    </w:p>
    <w:p w14:paraId="6C029D05" w14:textId="77777777" w:rsidR="002B37B7" w:rsidRPr="00D03F3E" w:rsidRDefault="002B37B7" w:rsidP="00D03F3E">
      <w:pPr>
        <w:pStyle w:val="174"/>
        <w:shd w:val="clear" w:color="auto" w:fill="auto"/>
        <w:spacing w:before="0" w:line="240" w:lineRule="auto"/>
        <w:ind w:firstLine="0"/>
        <w:jc w:val="both"/>
        <w:rPr>
          <w:rFonts w:ascii="Times New Roman" w:hAnsi="Times New Roman" w:cs="Times New Roman"/>
          <w:color w:val="0070C0"/>
          <w:shd w:val="clear" w:color="auto" w:fill="FFFFFF"/>
        </w:rPr>
      </w:pPr>
      <w:r w:rsidRPr="00D03F3E">
        <w:rPr>
          <w:rFonts w:ascii="Times New Roman" w:hAnsi="Times New Roman" w:cs="Times New Roman"/>
          <w:color w:val="0070C0"/>
          <w:shd w:val="clear" w:color="auto" w:fill="FFFFFF"/>
        </w:rPr>
        <w:t>7 января 1943 года начались испытания английской 6-фунтовой  пушки. Причина прозаичная - "снарядный голод". Прибыли боеприпасы только 6 января, причем в объеме всего 100 штук. Поэтому испытания оказались недолгими: закончились они 9 января, после того, как снаряды кончились.</w:t>
      </w:r>
    </w:p>
    <w:p w14:paraId="3B4EC2BA" w14:textId="77777777" w:rsidR="002B37B7" w:rsidRPr="00D03F3E" w:rsidRDefault="002B37B7" w:rsidP="00D03F3E">
      <w:pPr>
        <w:pStyle w:val="174"/>
        <w:shd w:val="clear" w:color="auto" w:fill="auto"/>
        <w:spacing w:before="0" w:line="240" w:lineRule="auto"/>
        <w:ind w:firstLine="0"/>
        <w:jc w:val="both"/>
        <w:rPr>
          <w:rFonts w:ascii="Times New Roman" w:hAnsi="Times New Roman" w:cs="Times New Roman"/>
          <w:color w:val="0070C0"/>
          <w:shd w:val="clear" w:color="auto" w:fill="FFFFFF"/>
        </w:rPr>
      </w:pPr>
      <w:r w:rsidRPr="00D03F3E">
        <w:rPr>
          <w:rFonts w:ascii="Times New Roman" w:hAnsi="Times New Roman" w:cs="Times New Roman"/>
          <w:color w:val="0070C0"/>
          <w:shd w:val="clear" w:color="auto" w:fill="FFFFFF"/>
        </w:rPr>
        <w:t>Помимо стрельб, проводилось и изучение орудия. И вот тут выяснились крайне интересные моменты. Если и есть у 6-фунтовой пушки преимущество, то только в низком силуэте. С учетом того, что у ЗИС-2 был чрезмерно высокий, для противотанкового орудия, щит, неудивительно. Но и тут имелся нюанс. Клиренс OQF 6-pdr Mk.II составлял 218 мм, это даже ниже, чем у 45-мм противотанковой пушки. У ЗИС-2 он составлял 350 мм, на пересеченной местности это уже важный показатель. У английской пушки был существенно больше сектор горизонтального обстрела, но заметно меньше вертикальные углы наводки. Наконец, приземистая и, вроде бы, более легкая пушка оказалась тяжелее ЗИС-2. Ненамного (1198 кг против 1125 кг у ЗИС-2), но тем не менее. Таскать такую пушку по раскисшей грязи - сомнительное удовольствие.</w:t>
      </w:r>
    </w:p>
    <w:p w14:paraId="5791216D" w14:textId="77777777" w:rsidR="002B37B7" w:rsidRPr="00D03F3E" w:rsidRDefault="002B37B7" w:rsidP="00D03F3E">
      <w:pPr>
        <w:pStyle w:val="174"/>
        <w:shd w:val="clear" w:color="auto" w:fill="auto"/>
        <w:spacing w:before="0" w:line="240" w:lineRule="auto"/>
        <w:ind w:firstLine="0"/>
        <w:jc w:val="both"/>
        <w:rPr>
          <w:rFonts w:ascii="Times New Roman" w:hAnsi="Times New Roman" w:cs="Times New Roman"/>
          <w:color w:val="0070C0"/>
          <w:shd w:val="clear" w:color="auto" w:fill="FFFFFF"/>
        </w:rPr>
      </w:pPr>
      <w:r w:rsidRPr="00D03F3E">
        <w:rPr>
          <w:rFonts w:ascii="Times New Roman" w:hAnsi="Times New Roman" w:cs="Times New Roman"/>
          <w:color w:val="0070C0"/>
          <w:shd w:val="clear" w:color="auto" w:fill="FFFFFF"/>
        </w:rPr>
        <w:t>Не менее интересными оказались и результаты стрельб. Проводились они в несколько этапов, в том числе делались 2 серии по 44 выстрела. На испытаниях была достигнута скорострельность 20-25 выстрелов в минуту. При этом выявились и не очень приятные моменты. При стрельбе в ходе первой серии первые 15 выстрелов происходили с вялыми накатами, а затвор открывался не полностью. Если же затвор открывался вручную, что откаты получались штатными. К 15-му выстрелу, видимо, орудие сработалось, после чего длина отката выросла до 720 мм. Окончательно в норму полуавтоматика пришла к 20-му выстрелу. С 35-го выстрела накаты стали резкими, появился характерный стук. Во время всего этого экстракция гильз происходила в штатном режиме. Похожая ситуация была и во второй серии выстрелов, но тогда в норму полуавтоматика пришла после 10 выстрелов.</w:t>
      </w:r>
    </w:p>
    <w:p w14:paraId="75BC33DA" w14:textId="77777777" w:rsidR="002B37B7" w:rsidRPr="00D03F3E" w:rsidRDefault="002B37B7" w:rsidP="00D03F3E">
      <w:pPr>
        <w:pStyle w:val="174"/>
        <w:shd w:val="clear" w:color="auto" w:fill="auto"/>
        <w:spacing w:before="0" w:line="240" w:lineRule="auto"/>
        <w:ind w:firstLine="0"/>
        <w:jc w:val="both"/>
        <w:rPr>
          <w:rFonts w:ascii="Times New Roman" w:hAnsi="Times New Roman" w:cs="Times New Roman"/>
          <w:color w:val="0070C0"/>
          <w:shd w:val="clear" w:color="auto" w:fill="FFFFFF"/>
        </w:rPr>
      </w:pPr>
      <w:r w:rsidRPr="00D03F3E">
        <w:rPr>
          <w:rFonts w:ascii="Times New Roman" w:hAnsi="Times New Roman" w:cs="Times New Roman"/>
          <w:color w:val="0070C0"/>
          <w:shd w:val="clear" w:color="auto" w:fill="FFFFFF"/>
        </w:rPr>
        <w:t>Причиной проблем полуавтоматики признали низкую температуру, жидкость замерзала, а по ходу стрельбы температура увеличивалась. Для проверки этой особенности позже провели еще этап стрельб. 26 выстрелов произвели, предварительно подогрев жидкость до температуры +25 градусов. После этого стрельба проходила в штатном режиме. Хватало, впрочем, и дополнительных замечаний по системе отката. Например, обнаружились трещины кронштейна полуавтоматического механизма при стрельбе, пришлось ставить другой. Наконец, часть орудий не имели противовеса на стволе. Это приводило к тому, что ствол оказывался неуравновешен. Введение противовеса отчасти проблему решило.</w:t>
      </w:r>
    </w:p>
    <w:p w14:paraId="501E298E" w14:textId="77777777" w:rsidR="002B37B7" w:rsidRPr="00D03F3E" w:rsidRDefault="002B37B7" w:rsidP="00D03F3E">
      <w:pPr>
        <w:pStyle w:val="174"/>
        <w:shd w:val="clear" w:color="auto" w:fill="auto"/>
        <w:spacing w:before="0" w:line="240" w:lineRule="auto"/>
        <w:ind w:firstLine="0"/>
        <w:jc w:val="both"/>
        <w:rPr>
          <w:rFonts w:ascii="Times New Roman" w:hAnsi="Times New Roman" w:cs="Times New Roman"/>
          <w:color w:val="0070C0"/>
        </w:rPr>
      </w:pPr>
      <w:r w:rsidRPr="00D03F3E">
        <w:rPr>
          <w:rFonts w:ascii="Times New Roman" w:hAnsi="Times New Roman" w:cs="Times New Roman"/>
          <w:color w:val="0070C0"/>
          <w:shd w:val="clear" w:color="auto" w:fill="FFFFFF"/>
        </w:rPr>
        <w:t>Испытания показали, что преимуществ OQF 6-pdr Mk.II перед отечественными орудиями не имеет. Этот вердикт вполне справедлив, правда, с одним нюансом. На бронепробиваемость орудие не испытывали. Решили оставить на потом, а это самое "потом" не случилось (23189).</w:t>
      </w:r>
    </w:p>
    <w:p w14:paraId="302D1410" w14:textId="77777777" w:rsidR="002B37B7" w:rsidRPr="00D03F3E" w:rsidRDefault="002B37B7" w:rsidP="00D03F3E">
      <w:pPr>
        <w:pStyle w:val="174"/>
        <w:shd w:val="clear" w:color="auto" w:fill="auto"/>
        <w:spacing w:before="0" w:line="240" w:lineRule="auto"/>
        <w:ind w:firstLine="0"/>
        <w:jc w:val="both"/>
        <w:rPr>
          <w:rFonts w:ascii="Times New Roman" w:hAnsi="Times New Roman" w:cs="Times New Roman"/>
          <w:color w:val="0070C0"/>
        </w:rPr>
      </w:pPr>
    </w:p>
    <w:p w14:paraId="09853BD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января 1943 вышло Постановление ГКО № 2712 О мерах обеспечения нормальной работы электростанции Златоустовского металлургического завода Наркомчермета.РГАНИР, Фонд ГКО, д. 79, лл. 19-21, 22-23 (11012).</w:t>
      </w:r>
    </w:p>
    <w:p w14:paraId="5755678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7221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января 1943 вышло Постановление ГКО № 2713 О мерах обеспечения нормальной работы электростанции Магнитогорского металлургического комбината Наркомчермета.РГАНИР, Фонд ГКО, д. 79, лл. 24-26, 27-29 (11012).</w:t>
      </w:r>
    </w:p>
    <w:p w14:paraId="6F793BF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FD9B9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января 1943 вышло Постановление ГКО № 2714 О мерах обеспечения нормальной работы электростанции Ново-Тагильского металлургического завода Наркомчермета.РГАНИР, Фонд ГКО, д. 79, лл. 30-33, 34-35 (11012).</w:t>
      </w:r>
    </w:p>
    <w:p w14:paraId="5446D72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B9EC0F"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января 1943 вышло Постановление ГКО № 2715 О подготовке Мстинского эксплуатационного участка Наркомречфлота к завозу грузов для Волховского фронта в навигацию 1943 года. (7072, 36-38,39-40).</w:t>
      </w:r>
    </w:p>
    <w:p w14:paraId="43A1C7F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80A09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января 1943 вышло Постановление ГКО № 2716 О строительстве железнодорожной линии Паншино - Калач Донской Юго-Восточной железной дороги. (7072, 41-43).</w:t>
      </w:r>
    </w:p>
    <w:p w14:paraId="519D057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E671F5"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января 1943 г. страна получила первый сибирский алюминий на Новокузнецком алюминиевом заводе (12249).</w:t>
      </w:r>
    </w:p>
    <w:p w14:paraId="16AE766F" w14:textId="77777777" w:rsidR="000B21EB" w:rsidRPr="00D03F3E" w:rsidRDefault="000B21EB" w:rsidP="00D03F3E">
      <w:pPr>
        <w:spacing w:after="0" w:line="240" w:lineRule="auto"/>
        <w:jc w:val="both"/>
        <w:rPr>
          <w:rFonts w:ascii="Times New Roman" w:hAnsi="Times New Roman"/>
          <w:color w:val="000000" w:themeColor="text1"/>
          <w:sz w:val="16"/>
          <w:szCs w:val="16"/>
        </w:rPr>
      </w:pPr>
    </w:p>
    <w:p w14:paraId="3E023D2B"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января 1943 года началась история Новокузнецкого алюминиевого завода (Кемеровская область), а с ней и история сибирского алюминия. Строительство Сталинского алюминиевого, как тогда назывался завод, было намечено еще до Великой Отечественной войны, форсированно началось в первые годы войны в связи с тем, что Днепровский и Волховский алюминиевый заводы оказались на оккупированной территории. Строительство пришлось на самые тяжелые годы войны. Работы велись в трудных условиях, в «чистом поле», практически без подъездных путей и инженерных коммуникаций. В выплавке алюминия для нужд фронта в годы Великой Отечественной войны участвовали Уральский и Новокузнецкий алюминиевый заводы. Богословский алюминиевый завод первый металл выпустил в День Победы, 9 мая 1945 года (12245).</w:t>
      </w:r>
    </w:p>
    <w:p w14:paraId="76F160FA" w14:textId="77777777" w:rsidR="000B21EB" w:rsidRPr="00D03F3E" w:rsidRDefault="000B21EB" w:rsidP="00D03F3E">
      <w:pPr>
        <w:spacing w:after="0" w:line="240" w:lineRule="auto"/>
        <w:jc w:val="both"/>
        <w:rPr>
          <w:rFonts w:ascii="Times New Roman" w:hAnsi="Times New Roman"/>
          <w:color w:val="000000" w:themeColor="text1"/>
          <w:sz w:val="16"/>
          <w:szCs w:val="16"/>
        </w:rPr>
      </w:pPr>
    </w:p>
    <w:p w14:paraId="2522462A"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2EEA901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A6FCED"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7 января</w:t>
      </w:r>
      <w:r w:rsidRPr="00D03F3E">
        <w:rPr>
          <w:rFonts w:ascii="Times New Roman" w:hAnsi="Times New Roman"/>
          <w:color w:val="000000" w:themeColor="text1"/>
          <w:sz w:val="16"/>
          <w:szCs w:val="16"/>
        </w:rPr>
        <w:t xml:space="preserve"> в 1943 году оперативная сводка Совинформбюро:</w:t>
      </w:r>
    </w:p>
    <w:p w14:paraId="5C41F4E0"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и южнее Сталинграда наши войска продолжали наступление. Бойцы Н-ской части ночью ворвались в расположение противника и внезапной атакой овладели двумя населёнными пунктами. Штыком и гранатами наши бойцы истребили до 200 гитлеровцев и взяли в плен свыше 100 немецких солдат.» (15002).</w:t>
      </w:r>
    </w:p>
    <w:p w14:paraId="695C1B0D" w14:textId="77777777" w:rsidR="00486A01" w:rsidRPr="00D03F3E" w:rsidRDefault="00486A01" w:rsidP="00D03F3E">
      <w:pPr>
        <w:spacing w:after="0" w:line="240" w:lineRule="auto"/>
        <w:jc w:val="both"/>
        <w:rPr>
          <w:rFonts w:ascii="Times New Roman" w:hAnsi="Times New Roman"/>
          <w:color w:val="000000" w:themeColor="text1"/>
          <w:sz w:val="16"/>
          <w:szCs w:val="16"/>
        </w:rPr>
      </w:pPr>
    </w:p>
    <w:p w14:paraId="0D86AE39" w14:textId="77777777" w:rsidR="00486A01" w:rsidRPr="00D03F3E" w:rsidRDefault="00486A0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первую неделю января 1943 немцы для снабжения 6А перебросили из Франции 18 Fw 200 Кондор. Доставили 36 т, но при возвращении 5 потеряли. Через 2 дня стали использовать Юнкерс 290. Один потерпел крушение при взлете с аэродрома Питомник и 85 человек из 86 погибли, а второй сбили Ла-5, но пилот сумел посадить. 10 января мы захватили Питомник. Потом Ю-52 действовали с временного аэродрома и И-2 за 20 минут уничтожили там 50. 21/22 января мы захватили последний аэродром - Гумпак (1493,123).</w:t>
      </w:r>
    </w:p>
    <w:p w14:paraId="02D674C9" w14:textId="77777777" w:rsidR="00486A01" w:rsidRPr="00D03F3E" w:rsidRDefault="00486A0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AFFB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января 1943 г. вышло ПОСТАНОВЛЕНИЕ СОВЕТА НАРОДНЫХ КОМИССАРОВ СССР № 25 О БЕСПЛАТНОЙ ОТПРАВКЕ ПИСЕМ ВОЕННОСЛУЖАЩИМИ И В ИХ АДРЕСА</w:t>
      </w:r>
    </w:p>
    <w:p w14:paraId="7040C7E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 Народных Комиссаров Союза ССР постановляет: Установить на время войны, что личные простые письма и почтовые карточки, отправляемые всеми военнослужащими через военно-полевые (морские) почтовые органы, воинские части, учреждения и заведения Красной Армии и Военно-Морского Флота, пересылаются бесплатно.</w:t>
      </w:r>
    </w:p>
    <w:p w14:paraId="0041D12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Также бесплатно пересылаются личные простые письма и почтовые карточки, адресуемые военнослужащим Красной Армии и Военно-Морского Флота.</w:t>
      </w:r>
    </w:p>
    <w:p w14:paraId="7801456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Зам. Председателя Совета Народных Комиссаров СССР В. МОЛОТОВ</w:t>
      </w:r>
    </w:p>
    <w:p w14:paraId="63CFFC1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Управляющий делами Совета Народных Комиссаров СССР Я. Ч А ДАЕВ </w:t>
      </w:r>
      <w:r w:rsidRPr="00D03F3E">
        <w:rPr>
          <w:rFonts w:ascii="Times New Roman" w:hAnsi="Times New Roman"/>
          <w:color w:val="000000" w:themeColor="text1"/>
          <w:sz w:val="16"/>
          <w:szCs w:val="16"/>
        </w:rPr>
        <w:t>(9844).</w:t>
      </w:r>
    </w:p>
    <w:p w14:paraId="3D06389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B61B4D"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D03F3E">
        <w:rPr>
          <w:rFonts w:ascii="Times New Roman" w:hAnsi="Times New Roman"/>
          <w:i/>
          <w:iCs/>
          <w:color w:val="000000" w:themeColor="text1"/>
          <w:sz w:val="16"/>
          <w:szCs w:val="16"/>
        </w:rPr>
        <w:t>За</w:t>
      </w:r>
      <w:r w:rsidRPr="00D03F3E">
        <w:rPr>
          <w:rFonts w:ascii="Times New Roman" w:hAnsi="Times New Roman"/>
          <w:i/>
          <w:iCs/>
          <w:color w:val="000000" w:themeColor="text1"/>
          <w:sz w:val="16"/>
          <w:szCs w:val="16"/>
          <w:lang w:val="en-US"/>
        </w:rPr>
        <w:t xml:space="preserve"> </w:t>
      </w:r>
      <w:r w:rsidRPr="00D03F3E">
        <w:rPr>
          <w:rFonts w:ascii="Times New Roman" w:hAnsi="Times New Roman"/>
          <w:i/>
          <w:iCs/>
          <w:color w:val="000000" w:themeColor="text1"/>
          <w:sz w:val="16"/>
          <w:szCs w:val="16"/>
        </w:rPr>
        <w:t>рубежом</w:t>
      </w:r>
      <w:r w:rsidRPr="00D03F3E">
        <w:rPr>
          <w:rFonts w:ascii="Times New Roman" w:hAnsi="Times New Roman"/>
          <w:i/>
          <w:iCs/>
          <w:color w:val="000000" w:themeColor="text1"/>
          <w:sz w:val="16"/>
          <w:szCs w:val="16"/>
          <w:lang w:val="en-US"/>
        </w:rPr>
        <w:t>:</w:t>
      </w:r>
    </w:p>
    <w:p w14:paraId="0F422B0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787934A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January 7 1943 Development of the first naval aircraft to be equipped with a turbojet engine was initiated with the issuance of a Letter of Intent to McDonnell Aircraft Corporation for engineering, development, and tooling for two VF airplanes. Two Westinghouse 19-B turbojet engines were later specified and the aircraft was designated XFD-1. It became the prototype for the FH-1 Phantom jet fighter (1090).</w:t>
      </w:r>
    </w:p>
    <w:p w14:paraId="5CE6FD8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49A24A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7 января 1943 началась разработка первого реактивного самолета авиации ВМФ США и было подписано письмо о намерениях с McDonnell Aircraft Corporation. Стал прототипом FH-1 Phantom (1090).</w:t>
      </w:r>
    </w:p>
    <w:p w14:paraId="487CDC0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10FB2F"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7 января</w:t>
      </w:r>
      <w:r w:rsidRPr="00D03F3E">
        <w:rPr>
          <w:rFonts w:ascii="Times New Roman" w:hAnsi="Times New Roman"/>
          <w:color w:val="000000" w:themeColor="text1"/>
          <w:sz w:val="16"/>
          <w:szCs w:val="16"/>
        </w:rPr>
        <w:t xml:space="preserve"> в 1943 году (7-12 января) в штабе ОКВ разработан план «Гизела» на случай англо-американской высадки в Испании. Он предусматривал ввод немецких войск в важнейшие порты страны (15002).</w:t>
      </w:r>
    </w:p>
    <w:p w14:paraId="1B813EB3" w14:textId="77777777" w:rsidR="00486A01" w:rsidRPr="00D03F3E" w:rsidRDefault="00486A01" w:rsidP="00D03F3E">
      <w:pPr>
        <w:spacing w:after="0" w:line="240" w:lineRule="auto"/>
        <w:jc w:val="both"/>
        <w:rPr>
          <w:rFonts w:ascii="Times New Roman" w:hAnsi="Times New Roman"/>
          <w:color w:val="000000" w:themeColor="text1"/>
          <w:sz w:val="16"/>
          <w:szCs w:val="16"/>
        </w:rPr>
      </w:pPr>
    </w:p>
    <w:p w14:paraId="484F1FFC"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1E8AE0E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E326B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января 1943 г. ГКО принял решение о постройке Ил-2 КР, а в марте она уже проходила испытания. Ил-2КР сохранил конструкцию и вооружение обычного Ил-2, и только в состав оборудования, топливную систему и схему бронирования внесли небольшие изменения. Обычно устанавливаемую на Ил-2 радиостанцию РСИ-4 заменили более мощной РСБ-3бис с большей дальностью действия, разместив ее в средней части фонаря кабины экипажа непосредственно за бронеспинкой пилота над уменьшенным по высоте задним бензобаком. Для фиксации результатов разведки в хвостовой части фюзеляжа установили фотоаппарат АФА-И или АФА-ИМ. Внешне Ил-2КР отличались от обычных Ил-2 радиоантенной, установленной на переднем неподвижном козырьке фонаря кабины пилота.</w:t>
      </w:r>
    </w:p>
    <w:p w14:paraId="3551B6D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фронте самолеты Ил-2КР понравились летчикам и проявили себя с наилучшей стороны. Опыт боевого применения показал, что одного фотоаппарата для регистрации результатов разведки недостаточно и во фронтовых условиях для перспективной маловысотной аэрофотосъемки на самолете устанавливали дополнительную фотоаппаратуру в носках отсеков шасси, иногда на турельных установках в кабине стрелка-корректировщика (9528).</w:t>
      </w:r>
    </w:p>
    <w:p w14:paraId="1AE026F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43381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8 по 31 января 1943 в ЛИИ проходили испытания серийного Як-1 с установленным на нем М-106-1ск, но это был другая машина, чем Як с тем же двигателем, сделанный в Новосибирске, который проходил гос. испытания в Новосибирске (65,69).</w:t>
      </w:r>
    </w:p>
    <w:p w14:paraId="41CC390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B3A2F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проходили заводские испытания Як-1 М-106 в Новосибирске. Бригада включала л А.И.Кокина, ви К.Н.Мкртчана, м Ф.З.Сбитнева. Получилось не очень и направили в ЛИИ (65,69).</w:t>
      </w:r>
    </w:p>
    <w:p w14:paraId="5080DCF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AAB34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января 1943 г. начальник НИИ ВВС генерал П.А.Лосюков и ведущий специалист института по испытанию моторов инжанер-полковник Г.А.Печенко прислали Яковлеву ответ, из которого следовало, что “установка моторов М-106 с 2-скоростным нагнетателем возможна только в заводских условиях.". Из-за увеличения длины нового мотора на 73.5 мм требовалось переделать нижнюю заднюю часть подмоторной рамы и отодвинуть назад всасывающий патрубок, а это. в свою очередь, требовало изменить положение или конструкцию маслобака. Словом. новый мотор не вписывался в габариты стандартной подмоторной рамы истребителя. Не обнадеживали и результаты испытаний опытных истребителей. Як-9 М-106-1ск, который был построен несколько раньше и уже в середине ноября 1942 г. смог подняться в небо, не оправдал возлавшихся на него надежд. Уже указанные выше дефекты двигателя сделали невозможным получение расчетных летно-тактических данных. Обслуживание самолета оказалось чрезмерно сложным. Например, из-за массового выхода из строя свечей их приходилось проверять после каждого полета (4537).</w:t>
      </w:r>
    </w:p>
    <w:p w14:paraId="01AC44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6BB8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января 1943 г. на самолет И-220 первый экз. установили двигатель АМ-38Ф. Кроме того, в процессе ремонта, который продлился до 1 февраля. на машине усилили центроплан и провели ряд других доработок (5669).</w:t>
      </w:r>
    </w:p>
    <w:p w14:paraId="0B1643C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215A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января 1943 г. на первый опытный экземпляр И—220 установили двигатель АМ—38Ф. Кроме того, на машине усилили центроплан и провели ряд других доработок (9984).</w:t>
      </w:r>
    </w:p>
    <w:p w14:paraId="4C76BAD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EB4D2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8 января 1943 г. на И-220 зав. № 01, который отправился в первый полет с обычным, нефорсированным мотором АМ-38 ввиду отсутствия АМ-39, поставили мотор АМ-38Ф, усилили центроплан и провели ряд других доработок. Возобновившиеся в феврале 1943 г. полеты в основном имели целью отработку шасси, поначалу не желавшего убираться. Даже с мотором АМ-38Ф самолет обладал неплохой Двигатель АМ-39 скоростью: 576 км/ч у земли и 624 км/ч на высоте 2650 м. Высоту 3000 м самолет набирал за 2,5 мин, а 5000 м - за 4,6 мин. В начале 1943 г. на высотах до 4000...5000 м истребитель И-220 мог уверенно потягаться с любой серийной неприятельской машиной.</w:t>
      </w:r>
    </w:p>
    <w:p w14:paraId="3AFAE89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апреле 1943 г. был получен опытный мотор АМ-39. Первый вылет И-220 с новым "сердцем" выполнил 25 мая 1943 г. В июле, отладив работу мотора и радиаторов, приступили к определению основных летных характеристик. На боевом режиме работы двигателя самолет достиг скорости 614 км/ч на высоте 2700 м и 697 км/ч на 7800 м. Высоту 5000 м самолет набирал за 4,5 мин, а 8000 м - за 8,2 мин. Однако бочки меда не бывает без ложки дегтя. В процессе испытаний пришлось пять раз заменять двигатели АМ-39. Мотор имел множество конструктивных дефектов. В сентябре 1943 г. А.И. Микоян был вынужден снова вернуться к серийному АМ-38Ф. 1 октября 1943 г. полеты возобновились, а уже на следующий день машина потерпела аварию, и ее отправили в ремонт. Тем временем на заводе №155 строился второй экземпляр И-220, также с двигателем АМ-38Ф. </w:t>
      </w:r>
    </w:p>
    <w:p w14:paraId="46B8ED0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летно-технические характеристики опытных самолетов Микояна и Гуревича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860B4B" w:rsidRPr="00D03F3E" w14:paraId="34820ABC" w14:textId="77777777">
        <w:tc>
          <w:tcPr>
            <w:tcW w:w="1868" w:type="dxa"/>
            <w:tcBorders>
              <w:top w:val="single" w:sz="12" w:space="0" w:color="auto"/>
            </w:tcBorders>
          </w:tcPr>
          <w:p w14:paraId="3F69002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Характеристика</w:t>
            </w:r>
          </w:p>
        </w:tc>
        <w:tc>
          <w:tcPr>
            <w:tcW w:w="1868" w:type="dxa"/>
            <w:tcBorders>
              <w:top w:val="single" w:sz="12" w:space="0" w:color="auto"/>
            </w:tcBorders>
          </w:tcPr>
          <w:p w14:paraId="3A389CC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МиГ-3</w:t>
            </w:r>
          </w:p>
        </w:tc>
        <w:tc>
          <w:tcPr>
            <w:tcW w:w="1868" w:type="dxa"/>
            <w:tcBorders>
              <w:top w:val="single" w:sz="12" w:space="0" w:color="auto"/>
            </w:tcBorders>
          </w:tcPr>
          <w:p w14:paraId="28E2933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МиГ-9</w:t>
            </w:r>
          </w:p>
        </w:tc>
        <w:tc>
          <w:tcPr>
            <w:tcW w:w="1868" w:type="dxa"/>
            <w:tcBorders>
              <w:top w:val="single" w:sz="12" w:space="0" w:color="auto"/>
            </w:tcBorders>
          </w:tcPr>
          <w:p w14:paraId="1736B5E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И-220</w:t>
            </w:r>
          </w:p>
        </w:tc>
        <w:tc>
          <w:tcPr>
            <w:tcW w:w="1868" w:type="dxa"/>
            <w:tcBorders>
              <w:top w:val="single" w:sz="12" w:space="0" w:color="auto"/>
            </w:tcBorders>
          </w:tcPr>
          <w:p w14:paraId="28ECD0E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И-224</w:t>
            </w:r>
          </w:p>
        </w:tc>
        <w:tc>
          <w:tcPr>
            <w:tcW w:w="1868" w:type="dxa"/>
            <w:tcBorders>
              <w:top w:val="single" w:sz="12" w:space="0" w:color="auto"/>
            </w:tcBorders>
          </w:tcPr>
          <w:p w14:paraId="20172F6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И-225</w:t>
            </w:r>
          </w:p>
        </w:tc>
      </w:tr>
      <w:tr w:rsidR="00860B4B" w:rsidRPr="00D03F3E" w14:paraId="1A1C07DB" w14:textId="77777777">
        <w:tc>
          <w:tcPr>
            <w:tcW w:w="1868" w:type="dxa"/>
          </w:tcPr>
          <w:p w14:paraId="7BE2AE5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двигателя</w:t>
            </w:r>
          </w:p>
        </w:tc>
        <w:tc>
          <w:tcPr>
            <w:tcW w:w="1868" w:type="dxa"/>
          </w:tcPr>
          <w:p w14:paraId="4247ADA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АМ-38</w:t>
            </w:r>
          </w:p>
        </w:tc>
        <w:tc>
          <w:tcPr>
            <w:tcW w:w="1868" w:type="dxa"/>
          </w:tcPr>
          <w:p w14:paraId="52DDBC5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М-82</w:t>
            </w:r>
          </w:p>
        </w:tc>
        <w:tc>
          <w:tcPr>
            <w:tcW w:w="1868" w:type="dxa"/>
          </w:tcPr>
          <w:p w14:paraId="1F8FBCF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АМ-39</w:t>
            </w:r>
          </w:p>
        </w:tc>
        <w:tc>
          <w:tcPr>
            <w:tcW w:w="1868" w:type="dxa"/>
          </w:tcPr>
          <w:p w14:paraId="6851E5C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АМ-39ФБ</w:t>
            </w:r>
          </w:p>
        </w:tc>
        <w:tc>
          <w:tcPr>
            <w:tcW w:w="1868" w:type="dxa"/>
          </w:tcPr>
          <w:p w14:paraId="28E952D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АМ-42ФБ</w:t>
            </w:r>
          </w:p>
        </w:tc>
      </w:tr>
      <w:tr w:rsidR="00860B4B" w:rsidRPr="00D03F3E" w14:paraId="23FABB33" w14:textId="77777777">
        <w:tc>
          <w:tcPr>
            <w:tcW w:w="1868" w:type="dxa"/>
          </w:tcPr>
          <w:p w14:paraId="406618C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Взлетная мощность, л.с.</w:t>
            </w:r>
          </w:p>
        </w:tc>
        <w:tc>
          <w:tcPr>
            <w:tcW w:w="1868" w:type="dxa"/>
          </w:tcPr>
          <w:p w14:paraId="27D24BD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1665</w:t>
            </w:r>
          </w:p>
        </w:tc>
        <w:tc>
          <w:tcPr>
            <w:tcW w:w="1868" w:type="dxa"/>
          </w:tcPr>
          <w:p w14:paraId="49B32E2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1700</w:t>
            </w:r>
          </w:p>
        </w:tc>
        <w:tc>
          <w:tcPr>
            <w:tcW w:w="1868" w:type="dxa"/>
          </w:tcPr>
          <w:p w14:paraId="79FE3B7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1800</w:t>
            </w:r>
          </w:p>
        </w:tc>
        <w:tc>
          <w:tcPr>
            <w:tcW w:w="1868" w:type="dxa"/>
          </w:tcPr>
          <w:p w14:paraId="293D73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1850</w:t>
            </w:r>
          </w:p>
        </w:tc>
        <w:tc>
          <w:tcPr>
            <w:tcW w:w="1868" w:type="dxa"/>
          </w:tcPr>
          <w:p w14:paraId="3579FD6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w:t>
            </w:r>
          </w:p>
        </w:tc>
      </w:tr>
      <w:tr w:rsidR="00860B4B" w:rsidRPr="00D03F3E" w14:paraId="1CC15403" w14:textId="77777777">
        <w:tc>
          <w:tcPr>
            <w:tcW w:w="1868" w:type="dxa"/>
          </w:tcPr>
          <w:p w14:paraId="64EC4D2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самолета, м</w:t>
            </w:r>
          </w:p>
        </w:tc>
        <w:tc>
          <w:tcPr>
            <w:tcW w:w="1868" w:type="dxa"/>
          </w:tcPr>
          <w:p w14:paraId="585878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8,25</w:t>
            </w:r>
          </w:p>
        </w:tc>
        <w:tc>
          <w:tcPr>
            <w:tcW w:w="1868" w:type="dxa"/>
          </w:tcPr>
          <w:p w14:paraId="5510F4B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8,078</w:t>
            </w:r>
          </w:p>
        </w:tc>
        <w:tc>
          <w:tcPr>
            <w:tcW w:w="1868" w:type="dxa"/>
          </w:tcPr>
          <w:p w14:paraId="0688174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9,5</w:t>
            </w:r>
          </w:p>
        </w:tc>
        <w:tc>
          <w:tcPr>
            <w:tcW w:w="1868" w:type="dxa"/>
          </w:tcPr>
          <w:p w14:paraId="2DF0A9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9,6</w:t>
            </w:r>
          </w:p>
        </w:tc>
        <w:tc>
          <w:tcPr>
            <w:tcW w:w="1868" w:type="dxa"/>
          </w:tcPr>
          <w:p w14:paraId="04ADDB4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9,5</w:t>
            </w:r>
          </w:p>
        </w:tc>
      </w:tr>
      <w:tr w:rsidR="00860B4B" w:rsidRPr="00D03F3E" w14:paraId="63E691E8" w14:textId="77777777">
        <w:tc>
          <w:tcPr>
            <w:tcW w:w="1868" w:type="dxa"/>
          </w:tcPr>
          <w:p w14:paraId="3FC0B32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Размах крыла, м</w:t>
            </w:r>
          </w:p>
        </w:tc>
        <w:tc>
          <w:tcPr>
            <w:tcW w:w="1868" w:type="dxa"/>
          </w:tcPr>
          <w:p w14:paraId="5EA6DF7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w:t>
            </w:r>
          </w:p>
        </w:tc>
        <w:tc>
          <w:tcPr>
            <w:tcW w:w="1868" w:type="dxa"/>
          </w:tcPr>
          <w:p w14:paraId="42D8172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w:t>
            </w:r>
          </w:p>
        </w:tc>
        <w:tc>
          <w:tcPr>
            <w:tcW w:w="1868" w:type="dxa"/>
          </w:tcPr>
          <w:p w14:paraId="76FCDFB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w:t>
            </w:r>
          </w:p>
        </w:tc>
        <w:tc>
          <w:tcPr>
            <w:tcW w:w="1868" w:type="dxa"/>
          </w:tcPr>
          <w:p w14:paraId="5E20A58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w:t>
            </w:r>
          </w:p>
        </w:tc>
        <w:tc>
          <w:tcPr>
            <w:tcW w:w="1868" w:type="dxa"/>
          </w:tcPr>
          <w:p w14:paraId="257A67A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w:t>
            </w:r>
          </w:p>
        </w:tc>
      </w:tr>
      <w:tr w:rsidR="00860B4B" w:rsidRPr="00D03F3E" w14:paraId="388D326A" w14:textId="77777777">
        <w:tc>
          <w:tcPr>
            <w:tcW w:w="1868" w:type="dxa"/>
          </w:tcPr>
          <w:p w14:paraId="1F786C3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крыла, м2</w:t>
            </w:r>
          </w:p>
        </w:tc>
        <w:tc>
          <w:tcPr>
            <w:tcW w:w="1868" w:type="dxa"/>
          </w:tcPr>
          <w:p w14:paraId="69DD3CC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17,44</w:t>
            </w:r>
          </w:p>
        </w:tc>
        <w:tc>
          <w:tcPr>
            <w:tcW w:w="1868" w:type="dxa"/>
          </w:tcPr>
          <w:p w14:paraId="67713EE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17,44</w:t>
            </w:r>
          </w:p>
        </w:tc>
        <w:tc>
          <w:tcPr>
            <w:tcW w:w="1868" w:type="dxa"/>
          </w:tcPr>
          <w:p w14:paraId="7E8664D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20,38</w:t>
            </w:r>
          </w:p>
        </w:tc>
        <w:tc>
          <w:tcPr>
            <w:tcW w:w="1868" w:type="dxa"/>
          </w:tcPr>
          <w:p w14:paraId="04D6F51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22,4</w:t>
            </w:r>
          </w:p>
        </w:tc>
        <w:tc>
          <w:tcPr>
            <w:tcW w:w="1868" w:type="dxa"/>
          </w:tcPr>
          <w:p w14:paraId="4585C96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20,4</w:t>
            </w:r>
          </w:p>
        </w:tc>
      </w:tr>
      <w:tr w:rsidR="00860B4B" w:rsidRPr="00D03F3E" w14:paraId="4E0CCDAB" w14:textId="77777777">
        <w:tc>
          <w:tcPr>
            <w:tcW w:w="1868" w:type="dxa"/>
          </w:tcPr>
          <w:p w14:paraId="1BD3E1D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Высота самолета, м</w:t>
            </w:r>
          </w:p>
        </w:tc>
        <w:tc>
          <w:tcPr>
            <w:tcW w:w="1868" w:type="dxa"/>
          </w:tcPr>
          <w:p w14:paraId="2A8C3DC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3,325</w:t>
            </w:r>
          </w:p>
        </w:tc>
        <w:tc>
          <w:tcPr>
            <w:tcW w:w="1868" w:type="dxa"/>
          </w:tcPr>
          <w:p w14:paraId="612A4C5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2762</w:t>
            </w:r>
          </w:p>
        </w:tc>
        <w:tc>
          <w:tcPr>
            <w:tcW w:w="1868" w:type="dxa"/>
          </w:tcPr>
          <w:p w14:paraId="2EBE772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3,66</w:t>
            </w:r>
          </w:p>
        </w:tc>
        <w:tc>
          <w:tcPr>
            <w:tcW w:w="1868" w:type="dxa"/>
          </w:tcPr>
          <w:p w14:paraId="5BEEB2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3,66</w:t>
            </w:r>
          </w:p>
        </w:tc>
        <w:tc>
          <w:tcPr>
            <w:tcW w:w="1868" w:type="dxa"/>
          </w:tcPr>
          <w:p w14:paraId="6F37E30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w:t>
            </w:r>
          </w:p>
        </w:tc>
      </w:tr>
      <w:tr w:rsidR="00860B4B" w:rsidRPr="00D03F3E" w14:paraId="5F7D4216" w14:textId="77777777">
        <w:tc>
          <w:tcPr>
            <w:tcW w:w="1868" w:type="dxa"/>
          </w:tcPr>
          <w:p w14:paraId="5C3B026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Масса пустого самолета, кг</w:t>
            </w:r>
          </w:p>
        </w:tc>
        <w:tc>
          <w:tcPr>
            <w:tcW w:w="1868" w:type="dxa"/>
          </w:tcPr>
          <w:p w14:paraId="5ED7BE6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3325</w:t>
            </w:r>
          </w:p>
        </w:tc>
        <w:tc>
          <w:tcPr>
            <w:tcW w:w="1868" w:type="dxa"/>
          </w:tcPr>
          <w:p w14:paraId="15B0238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3382</w:t>
            </w:r>
          </w:p>
        </w:tc>
        <w:tc>
          <w:tcPr>
            <w:tcW w:w="1868" w:type="dxa"/>
          </w:tcPr>
          <w:p w14:paraId="214EB42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3103</w:t>
            </w:r>
          </w:p>
        </w:tc>
        <w:tc>
          <w:tcPr>
            <w:tcW w:w="1868" w:type="dxa"/>
          </w:tcPr>
          <w:p w14:paraId="6362F18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3105</w:t>
            </w:r>
          </w:p>
        </w:tc>
        <w:tc>
          <w:tcPr>
            <w:tcW w:w="1868" w:type="dxa"/>
          </w:tcPr>
          <w:p w14:paraId="65D9617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ЗОЮ</w:t>
            </w:r>
          </w:p>
        </w:tc>
      </w:tr>
      <w:tr w:rsidR="00860B4B" w:rsidRPr="00D03F3E" w14:paraId="430C58D1" w14:textId="77777777">
        <w:tc>
          <w:tcPr>
            <w:tcW w:w="1868" w:type="dxa"/>
          </w:tcPr>
          <w:p w14:paraId="635D2BB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Взлетная масса, кг</w:t>
            </w:r>
          </w:p>
        </w:tc>
        <w:tc>
          <w:tcPr>
            <w:tcW w:w="1868" w:type="dxa"/>
          </w:tcPr>
          <w:p w14:paraId="08640B7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3595</w:t>
            </w:r>
          </w:p>
        </w:tc>
        <w:tc>
          <w:tcPr>
            <w:tcW w:w="1868" w:type="dxa"/>
          </w:tcPr>
          <w:p w14:paraId="011990B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CD2130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3835</w:t>
            </w:r>
          </w:p>
        </w:tc>
        <w:tc>
          <w:tcPr>
            <w:tcW w:w="1868" w:type="dxa"/>
          </w:tcPr>
          <w:p w14:paraId="322FC24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3780</w:t>
            </w:r>
          </w:p>
        </w:tc>
        <w:tc>
          <w:tcPr>
            <w:tcW w:w="1868" w:type="dxa"/>
          </w:tcPr>
          <w:p w14:paraId="6D3C72C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3912</w:t>
            </w:r>
          </w:p>
        </w:tc>
      </w:tr>
      <w:tr w:rsidR="00860B4B" w:rsidRPr="00D03F3E" w14:paraId="0AA2BA1E" w14:textId="77777777">
        <w:tc>
          <w:tcPr>
            <w:tcW w:w="1868" w:type="dxa"/>
          </w:tcPr>
          <w:p w14:paraId="4BB834F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Запас топлива, кг</w:t>
            </w:r>
          </w:p>
        </w:tc>
        <w:tc>
          <w:tcPr>
            <w:tcW w:w="1868" w:type="dxa"/>
          </w:tcPr>
          <w:p w14:paraId="74D60A2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24F789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360</w:t>
            </w:r>
          </w:p>
        </w:tc>
        <w:tc>
          <w:tcPr>
            <w:tcW w:w="1868" w:type="dxa"/>
          </w:tcPr>
          <w:p w14:paraId="4DD31D2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335</w:t>
            </w:r>
          </w:p>
        </w:tc>
        <w:tc>
          <w:tcPr>
            <w:tcW w:w="1868" w:type="dxa"/>
          </w:tcPr>
          <w:p w14:paraId="3711BC7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3551</w:t>
            </w:r>
          </w:p>
        </w:tc>
        <w:tc>
          <w:tcPr>
            <w:tcW w:w="1868" w:type="dxa"/>
          </w:tcPr>
          <w:p w14:paraId="3E7787D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3252</w:t>
            </w:r>
          </w:p>
        </w:tc>
      </w:tr>
      <w:tr w:rsidR="00860B4B" w:rsidRPr="00D03F3E" w14:paraId="0C7C45B0" w14:textId="77777777">
        <w:tc>
          <w:tcPr>
            <w:tcW w:w="1868" w:type="dxa"/>
          </w:tcPr>
          <w:p w14:paraId="1FCACC2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полета, км/ч:</w:t>
            </w:r>
          </w:p>
        </w:tc>
        <w:tc>
          <w:tcPr>
            <w:tcW w:w="1868" w:type="dxa"/>
          </w:tcPr>
          <w:p w14:paraId="42075B1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F3EA0E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0AEA69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738BF7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715702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B5240CB" w14:textId="77777777">
        <w:tc>
          <w:tcPr>
            <w:tcW w:w="1868" w:type="dxa"/>
          </w:tcPr>
          <w:p w14:paraId="168A295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 земли</w:t>
            </w:r>
          </w:p>
        </w:tc>
        <w:tc>
          <w:tcPr>
            <w:tcW w:w="1868" w:type="dxa"/>
          </w:tcPr>
          <w:p w14:paraId="4D617FA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519</w:t>
            </w:r>
          </w:p>
        </w:tc>
        <w:tc>
          <w:tcPr>
            <w:tcW w:w="1868" w:type="dxa"/>
          </w:tcPr>
          <w:p w14:paraId="306AB2E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475</w:t>
            </w:r>
          </w:p>
        </w:tc>
        <w:tc>
          <w:tcPr>
            <w:tcW w:w="1868" w:type="dxa"/>
          </w:tcPr>
          <w:p w14:paraId="085D6F0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625</w:t>
            </w:r>
          </w:p>
        </w:tc>
        <w:tc>
          <w:tcPr>
            <w:tcW w:w="1868" w:type="dxa"/>
          </w:tcPr>
          <w:p w14:paraId="037A359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574</w:t>
            </w:r>
          </w:p>
        </w:tc>
        <w:tc>
          <w:tcPr>
            <w:tcW w:w="1868" w:type="dxa"/>
          </w:tcPr>
          <w:p w14:paraId="0266C2F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560</w:t>
            </w:r>
          </w:p>
        </w:tc>
      </w:tr>
      <w:tr w:rsidR="00860B4B" w:rsidRPr="00D03F3E" w14:paraId="6D51E7FF" w14:textId="77777777">
        <w:tc>
          <w:tcPr>
            <w:tcW w:w="1868" w:type="dxa"/>
          </w:tcPr>
          <w:p w14:paraId="5D8C750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на высоте 5000 м</w:t>
            </w:r>
          </w:p>
        </w:tc>
        <w:tc>
          <w:tcPr>
            <w:tcW w:w="1868" w:type="dxa"/>
          </w:tcPr>
          <w:p w14:paraId="707270B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5923</w:t>
            </w:r>
          </w:p>
        </w:tc>
        <w:tc>
          <w:tcPr>
            <w:tcW w:w="1868" w:type="dxa"/>
          </w:tcPr>
          <w:p w14:paraId="715C3C1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7A7AC73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5339D9C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6D6596A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650</w:t>
            </w:r>
          </w:p>
        </w:tc>
      </w:tr>
      <w:tr w:rsidR="00860B4B" w:rsidRPr="00D03F3E" w14:paraId="4F54288C" w14:textId="77777777">
        <w:tc>
          <w:tcPr>
            <w:tcW w:w="1868" w:type="dxa"/>
          </w:tcPr>
          <w:p w14:paraId="7A3E25B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на высоте 10 ООО м</w:t>
            </w:r>
          </w:p>
        </w:tc>
        <w:tc>
          <w:tcPr>
            <w:tcW w:w="1868" w:type="dxa"/>
          </w:tcPr>
          <w:p w14:paraId="3D3A802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08523BF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5654</w:t>
            </w:r>
          </w:p>
        </w:tc>
        <w:tc>
          <w:tcPr>
            <w:tcW w:w="1868" w:type="dxa"/>
          </w:tcPr>
          <w:p w14:paraId="55D2711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6955</w:t>
            </w:r>
          </w:p>
        </w:tc>
        <w:tc>
          <w:tcPr>
            <w:tcW w:w="1868" w:type="dxa"/>
          </w:tcPr>
          <w:p w14:paraId="0549E9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6936</w:t>
            </w:r>
          </w:p>
        </w:tc>
        <w:tc>
          <w:tcPr>
            <w:tcW w:w="1868" w:type="dxa"/>
          </w:tcPr>
          <w:p w14:paraId="7F8FEBC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726</w:t>
            </w:r>
          </w:p>
        </w:tc>
      </w:tr>
      <w:tr w:rsidR="00860B4B" w:rsidRPr="00D03F3E" w14:paraId="6F468DC1" w14:textId="77777777">
        <w:tc>
          <w:tcPr>
            <w:tcW w:w="1868" w:type="dxa"/>
          </w:tcPr>
          <w:p w14:paraId="6AA4702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высоты 5000 м, мин</w:t>
            </w:r>
          </w:p>
        </w:tc>
        <w:tc>
          <w:tcPr>
            <w:tcW w:w="1868" w:type="dxa"/>
          </w:tcPr>
          <w:p w14:paraId="41706F1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7,93</w:t>
            </w:r>
          </w:p>
        </w:tc>
        <w:tc>
          <w:tcPr>
            <w:tcW w:w="1868" w:type="dxa"/>
          </w:tcPr>
          <w:p w14:paraId="116207F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w:t>
            </w:r>
          </w:p>
        </w:tc>
        <w:tc>
          <w:tcPr>
            <w:tcW w:w="1868" w:type="dxa"/>
          </w:tcPr>
          <w:p w14:paraId="78D957D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w:t>
            </w:r>
          </w:p>
        </w:tc>
        <w:tc>
          <w:tcPr>
            <w:tcW w:w="1868" w:type="dxa"/>
          </w:tcPr>
          <w:p w14:paraId="450ABD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481F2E7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r>
      <w:tr w:rsidR="00860B4B" w:rsidRPr="00D03F3E" w14:paraId="16290136" w14:textId="77777777">
        <w:tc>
          <w:tcPr>
            <w:tcW w:w="1868" w:type="dxa"/>
          </w:tcPr>
          <w:p w14:paraId="00B90EF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 м</w:t>
            </w:r>
          </w:p>
        </w:tc>
        <w:tc>
          <w:tcPr>
            <w:tcW w:w="1868" w:type="dxa"/>
          </w:tcPr>
          <w:p w14:paraId="5680CCB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263A42E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8700</w:t>
            </w:r>
          </w:p>
        </w:tc>
        <w:tc>
          <w:tcPr>
            <w:tcW w:w="1868" w:type="dxa"/>
          </w:tcPr>
          <w:p w14:paraId="2426571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11 000</w:t>
            </w:r>
          </w:p>
        </w:tc>
        <w:tc>
          <w:tcPr>
            <w:tcW w:w="1868" w:type="dxa"/>
          </w:tcPr>
          <w:p w14:paraId="6DE8C54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14 100</w:t>
            </w:r>
          </w:p>
        </w:tc>
        <w:tc>
          <w:tcPr>
            <w:tcW w:w="1868" w:type="dxa"/>
          </w:tcPr>
          <w:p w14:paraId="15E53B8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12 600</w:t>
            </w:r>
          </w:p>
        </w:tc>
      </w:tr>
      <w:tr w:rsidR="00860B4B" w:rsidRPr="00D03F3E" w14:paraId="4340B30E" w14:textId="77777777">
        <w:tc>
          <w:tcPr>
            <w:tcW w:w="1868" w:type="dxa"/>
          </w:tcPr>
          <w:p w14:paraId="3E2028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разбега, м</w:t>
            </w:r>
          </w:p>
        </w:tc>
        <w:tc>
          <w:tcPr>
            <w:tcW w:w="1868" w:type="dxa"/>
          </w:tcPr>
          <w:p w14:paraId="72B7920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0768FD6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146</w:t>
            </w:r>
          </w:p>
        </w:tc>
        <w:tc>
          <w:tcPr>
            <w:tcW w:w="1868" w:type="dxa"/>
          </w:tcPr>
          <w:p w14:paraId="61CDB4A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2B99386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230</w:t>
            </w:r>
          </w:p>
        </w:tc>
        <w:tc>
          <w:tcPr>
            <w:tcW w:w="1868" w:type="dxa"/>
          </w:tcPr>
          <w:p w14:paraId="30157BF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257</w:t>
            </w:r>
          </w:p>
        </w:tc>
      </w:tr>
      <w:tr w:rsidR="00860B4B" w:rsidRPr="00D03F3E" w14:paraId="14EFD79E" w14:textId="77777777">
        <w:tc>
          <w:tcPr>
            <w:tcW w:w="1868" w:type="dxa"/>
          </w:tcPr>
          <w:p w14:paraId="2421E62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пробега, м</w:t>
            </w:r>
          </w:p>
        </w:tc>
        <w:tc>
          <w:tcPr>
            <w:tcW w:w="1868" w:type="dxa"/>
          </w:tcPr>
          <w:p w14:paraId="4386ECE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2A3B8DD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410</w:t>
            </w:r>
          </w:p>
        </w:tc>
        <w:tc>
          <w:tcPr>
            <w:tcW w:w="1868" w:type="dxa"/>
          </w:tcPr>
          <w:p w14:paraId="49BC8FB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61E19AC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440</w:t>
            </w:r>
          </w:p>
        </w:tc>
        <w:tc>
          <w:tcPr>
            <w:tcW w:w="1868" w:type="dxa"/>
          </w:tcPr>
          <w:p w14:paraId="26FB621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450</w:t>
            </w:r>
          </w:p>
        </w:tc>
      </w:tr>
      <w:tr w:rsidR="00860B4B" w:rsidRPr="00D03F3E" w14:paraId="0B234DA4" w14:textId="77777777">
        <w:tc>
          <w:tcPr>
            <w:tcW w:w="1868" w:type="dxa"/>
            <w:tcBorders>
              <w:bottom w:val="single" w:sz="12" w:space="0" w:color="auto"/>
            </w:tcBorders>
          </w:tcPr>
          <w:p w14:paraId="502F7D2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Посадочная скорость, км/ч</w:t>
            </w:r>
          </w:p>
        </w:tc>
        <w:tc>
          <w:tcPr>
            <w:tcW w:w="1868" w:type="dxa"/>
            <w:tcBorders>
              <w:bottom w:val="single" w:sz="12" w:space="0" w:color="auto"/>
            </w:tcBorders>
          </w:tcPr>
          <w:p w14:paraId="48E0EFD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Borders>
              <w:bottom w:val="single" w:sz="12" w:space="0" w:color="auto"/>
            </w:tcBorders>
          </w:tcPr>
          <w:p w14:paraId="785E37E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w:t>
            </w:r>
          </w:p>
        </w:tc>
        <w:tc>
          <w:tcPr>
            <w:tcW w:w="1868" w:type="dxa"/>
            <w:tcBorders>
              <w:bottom w:val="single" w:sz="12" w:space="0" w:color="auto"/>
            </w:tcBorders>
          </w:tcPr>
          <w:p w14:paraId="5192FA6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Borders>
              <w:bottom w:val="single" w:sz="12" w:space="0" w:color="auto"/>
            </w:tcBorders>
          </w:tcPr>
          <w:p w14:paraId="0E9DDDE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127</w:t>
            </w:r>
          </w:p>
        </w:tc>
        <w:tc>
          <w:tcPr>
            <w:tcW w:w="1868" w:type="dxa"/>
            <w:tcBorders>
              <w:bottom w:val="single" w:sz="12" w:space="0" w:color="auto"/>
            </w:tcBorders>
          </w:tcPr>
          <w:p w14:paraId="595774A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134</w:t>
            </w:r>
          </w:p>
        </w:tc>
      </w:tr>
    </w:tbl>
    <w:p w14:paraId="646642A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Примечания:</w:t>
      </w:r>
    </w:p>
    <w:p w14:paraId="4218C63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 в крыльевых топливных баках в перегрузку еще 124 кг;</w:t>
      </w:r>
    </w:p>
    <w:p w14:paraId="4B79A80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 в крыльевых топливных баках в перегрузку еще 127 кг;</w:t>
      </w:r>
    </w:p>
    <w:p w14:paraId="153062F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 на высоте 3400 м;</w:t>
      </w:r>
    </w:p>
    <w:p w14:paraId="7C51AE0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 на высоте 6150 м;</w:t>
      </w:r>
    </w:p>
    <w:p w14:paraId="648EAFB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 на высоте 7500 м при боевом режиме работы мотора;</w:t>
      </w:r>
    </w:p>
    <w:p w14:paraId="50F6EF1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6 - расчетная на высоте 13 100 м. </w:t>
      </w:r>
    </w:p>
    <w:p w14:paraId="2C3F44B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октябре 1943 г. после ремонта первая опытная машина с двигателем АМ-38Ф поступила в НИИ ВВС на госиспытания. Летчику-испытателю П.М. Стефановско- му удалось получить следующие максимальные скорости на номинальном режиме: 572 км/ч у земли, 622 км/ч на высоте 2600 м, а на боевом режиме - 608 км/ч и 652 </w:t>
      </w:r>
      <w:r w:rsidRPr="00D03F3E">
        <w:rPr>
          <w:rFonts w:ascii="Times New Roman" w:hAnsi="Times New Roman"/>
          <w:color w:val="000000" w:themeColor="text1"/>
          <w:sz w:val="16"/>
          <w:szCs w:val="16"/>
        </w:rPr>
        <w:lastRenderedPageBreak/>
        <w:t>км/ч, соответственно. По его мнению, самолет И-220, был прост в пилотировании, обладал высокими летными характеристиками и мощным вооружением. В акте по испытаниям отмечалось, что даже с двигателем АМ-38Ф летные данные И-220 до высоты 3500 м лучше, чем у всех опытных самолетов, прошедших к тому времени госиспытания в НИИ ВВС. Установка мотора АМ-39 должна была способствовать еще большему расширению возможностей самолета. Рекомендовалось ускорить доводку мотора и предъявить И-220 с АМ-39 на государственные испытания.</w:t>
      </w:r>
    </w:p>
    <w:p w14:paraId="123CB20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1944 г. ответственными за проведение государственных испытаний И-220 зав. № 01 с мотором АМ-39 в НИИ ВВС назначили ведущего инженера В.И. Алексеенко и л етч и ка-испытателя Д. Г. Пикуленко. На номинальном режиме работы мотора Пикуленко получил скорость 606 км/ч на высоте 2700 м и 668 км/ч на высоте 6800 м. Высоту 5000 м самолет набирал за 6,3 мин. Практический потолок И-220 составил 11 000 м. Такие данные практически не выделяли И-220 на фоне серийных вариантов истребителей Як-3, Як-9У и Ла-7. 26 сентября госиспытания были прекращены по просьбе главного конструктора А.И. Микояна (12045).</w:t>
      </w:r>
    </w:p>
    <w:p w14:paraId="3D87305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56DD2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января 1943 г. дла реализации плана Королева создается группа реактивных установок № 5 во главе с Королевым как главным конструктором. Группа состояла из четырех бригад, включая 16 человек, из которых пятеро — специалисты 4-го Спецотдела НКВД, а одиннадцать — вольнонаемные (10675).</w:t>
      </w:r>
    </w:p>
    <w:p w14:paraId="4D6F606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D17E6C" w14:textId="77777777" w:rsidR="008C5F3D" w:rsidRPr="00D03F3E" w:rsidRDefault="008C5F3D" w:rsidP="00D03F3E">
      <w:pPr>
        <w:pStyle w:val="ae"/>
        <w:shd w:val="clear" w:color="auto" w:fill="FFFFFF"/>
        <w:spacing w:before="0" w:after="0"/>
        <w:jc w:val="both"/>
        <w:rPr>
          <w:color w:val="000000" w:themeColor="text1"/>
          <w:sz w:val="16"/>
          <w:szCs w:val="16"/>
        </w:rPr>
      </w:pPr>
      <w:r w:rsidRPr="00D03F3E">
        <w:rPr>
          <w:color w:val="000000" w:themeColor="text1"/>
          <w:sz w:val="16"/>
          <w:szCs w:val="16"/>
        </w:rPr>
        <w:t>8 января 1943 г. на авиационном заводе № 16, где работалоо Особое конструк торское бюро 4-го Спецотдела НКВД СССР,  была создана группа N° 5 по разра ботке авиационных реактивных установок (АРУ) на основе двигателей Глушко. Ее руководителем и главным конструкто ром АРУ становится С.П. Королев (19586).</w:t>
      </w:r>
    </w:p>
    <w:p w14:paraId="33EBC183" w14:textId="77777777" w:rsidR="008C5F3D" w:rsidRPr="00D03F3E" w:rsidRDefault="008C5F3D" w:rsidP="00D03F3E">
      <w:pPr>
        <w:pStyle w:val="ae"/>
        <w:shd w:val="clear" w:color="auto" w:fill="FFFFFF"/>
        <w:spacing w:before="0" w:after="0"/>
        <w:jc w:val="both"/>
        <w:rPr>
          <w:color w:val="000000" w:themeColor="text1"/>
          <w:sz w:val="16"/>
          <w:szCs w:val="16"/>
        </w:rPr>
      </w:pPr>
    </w:p>
    <w:p w14:paraId="766B94FB"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января 1943 г. Из приказа по особому конструкторскому бюро завода № 16 об организации в особом конструкторском бюро группы реактивных установок</w:t>
      </w:r>
    </w:p>
    <w:p w14:paraId="183F4B96"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w:t>
      </w:r>
    </w:p>
    <w:p w14:paraId="4F436A45"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разработки установки реактивных двигателей РД-0, РД-1 на самолете Пе-2 организовать в ОКБ группу реактивных установок, именуемую в дальнейшем в несекретных приказах – группа № 5.</w:t>
      </w:r>
    </w:p>
    <w:p w14:paraId="6850BC6B"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2.</w:t>
      </w:r>
    </w:p>
    <w:p w14:paraId="7C594F86"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Главным конструктором группы реактивных установок (гр 1937 вышел приказ НКОП № 5) назначить инженера Королева С. П. с непосредственным подчинением его ОКБ.</w:t>
      </w:r>
    </w:p>
    <w:p w14:paraId="094CD526"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3.</w:t>
      </w:r>
    </w:p>
    <w:p w14:paraId="6399C3E2"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Группу № 5 утвердить в следующем составе:</w:t>
      </w:r>
    </w:p>
    <w:p w14:paraId="1CFC8DF8"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 - Малкуш</w:t>
      </w:r>
    </w:p>
    <w:p w14:paraId="1FDF26E8"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 – Лапицкий</w:t>
      </w:r>
    </w:p>
    <w:p w14:paraId="4EE45484"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Конструктор – Новиченков</w:t>
      </w:r>
    </w:p>
    <w:p w14:paraId="288B3BAC"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Чертежник – Сидирова</w:t>
      </w:r>
    </w:p>
    <w:p w14:paraId="007D08A9"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Расчетчик – […]</w:t>
      </w:r>
      <w:hyperlink r:id="rId11" w:anchor="_ftn1" w:history="1">
        <w:r w:rsidRPr="00D03F3E">
          <w:rPr>
            <w:rFonts w:ascii="Times New Roman" w:hAnsi="Times New Roman"/>
            <w:color w:val="000000" w:themeColor="text1"/>
            <w:sz w:val="16"/>
            <w:szCs w:val="16"/>
          </w:rPr>
          <w:t>[1]</w:t>
        </w:r>
      </w:hyperlink>
    </w:p>
    <w:p w14:paraId="57C1E055"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 – Ганулич</w:t>
      </w:r>
    </w:p>
    <w:p w14:paraId="43C80BC6"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4.</w:t>
      </w:r>
    </w:p>
    <w:p w14:paraId="6C7889A3"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Главному конструктору группы № 5 инженеру Королеву обеспечить разработку и сдачу чертежей реактивной установки (РУ-1) на самолете Пе-2 в следующие сроки:</w:t>
      </w:r>
    </w:p>
    <w:p w14:paraId="674522D4"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Установка двигателя и топливные баки – 10 января 1943 г.</w:t>
      </w:r>
    </w:p>
    <w:p w14:paraId="62561F84"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Самолетное оборудование и монтажные схемы – 20 января 1943 г.</w:t>
      </w:r>
    </w:p>
    <w:p w14:paraId="1D03F880"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Наземное оборудование, общие схемы и описания – 1 февраля 1943 г.</w:t>
      </w:r>
    </w:p>
    <w:p w14:paraId="3C610F68"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5.</w:t>
      </w:r>
    </w:p>
    <w:p w14:paraId="7298D881"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Главному конструктору группы РД инженеру Глушко В. П. обеспечить разработку и сдачу в копировку следующих чертежей:</w:t>
      </w:r>
    </w:p>
    <w:p w14:paraId="6CB6B0E4"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Привод насосного агрегата на моторе М-105РА – 10 января.</w:t>
      </w:r>
    </w:p>
    <w:p w14:paraId="37AD078D"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Насосный агрегат РД-0 – 15 января.</w:t>
      </w:r>
    </w:p>
    <w:p w14:paraId="04077548"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Схемы и описания – 1 февраля. […]</w:t>
      </w:r>
      <w:hyperlink r:id="rId12" w:anchor="_ftn2" w:history="1">
        <w:r w:rsidRPr="00D03F3E">
          <w:rPr>
            <w:rFonts w:ascii="Times New Roman" w:hAnsi="Times New Roman"/>
            <w:color w:val="000000" w:themeColor="text1"/>
            <w:sz w:val="16"/>
            <w:szCs w:val="16"/>
          </w:rPr>
          <w:t>[2]</w:t>
        </w:r>
      </w:hyperlink>
    </w:p>
    <w:p w14:paraId="2D2B0274"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особого конструкторского бюро завода № 16 Бекетов</w:t>
      </w:r>
    </w:p>
    <w:p w14:paraId="6609F7ED"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РТ. Ф. Р-5940. Оп. 2. Д. 8. Л. 2, 2 об. Заверенная копия (15494).</w:t>
      </w:r>
    </w:p>
    <w:p w14:paraId="27792C7F" w14:textId="77777777" w:rsidR="00486A01" w:rsidRPr="00D03F3E" w:rsidRDefault="00486A01" w:rsidP="00D03F3E">
      <w:pPr>
        <w:spacing w:after="0" w:line="240" w:lineRule="auto"/>
        <w:jc w:val="both"/>
        <w:rPr>
          <w:rFonts w:ascii="Times New Roman" w:hAnsi="Times New Roman"/>
          <w:color w:val="000000" w:themeColor="text1"/>
          <w:sz w:val="16"/>
          <w:szCs w:val="16"/>
        </w:rPr>
      </w:pPr>
    </w:p>
    <w:p w14:paraId="6EACBF1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января 1943 года вышел ПРИКАЗ №2 по особому конструкторскому Бюро завода № 16:</w:t>
      </w:r>
    </w:p>
    <w:p w14:paraId="742C46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ПРИКАЗА №2</w:t>
      </w:r>
    </w:p>
    <w:p w14:paraId="61A3FD5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особому конструкторскому Бюро завода № 16 от «8» января 1943 года.</w:t>
      </w:r>
    </w:p>
    <w:p w14:paraId="6B3B8DC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w:t>
      </w:r>
    </w:p>
    <w:p w14:paraId="66BA356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разработки установки реактивных двигателей РД-0, РД-1 на самолете ПЕ-2 организовать в ОКБ группу реактивных установок, именуемую в дальнейшем в не секретных приказах - группа № 5.</w:t>
      </w:r>
    </w:p>
    <w:p w14:paraId="10A06A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2</w:t>
      </w:r>
    </w:p>
    <w:p w14:paraId="752054B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Гл.конструктором группы реактивных установок (гр.№ 5) назначить инж. КОРОЛЕВА С. П. с непосредственным подчинением его ОКБ.</w:t>
      </w:r>
    </w:p>
    <w:p w14:paraId="745E6D8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3</w:t>
      </w:r>
    </w:p>
    <w:p w14:paraId="659DDD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Группу № 5 утвердить в следующем составе:</w:t>
      </w:r>
    </w:p>
    <w:p w14:paraId="744CBC8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 - МАЛКУШ</w:t>
      </w:r>
    </w:p>
    <w:p w14:paraId="3EEAADF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 - - ЛАПИЦКИЙ</w:t>
      </w:r>
    </w:p>
    <w:p w14:paraId="4C1FB0E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Конструктор - НОВИЧЕНКОВ</w:t>
      </w:r>
    </w:p>
    <w:p w14:paraId="76D3145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Чертежи. - МАМАЕВА</w:t>
      </w:r>
    </w:p>
    <w:p w14:paraId="1ABF455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Расчетник</w:t>
      </w:r>
    </w:p>
    <w:p w14:paraId="36D2D87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 - ГАНУЛИЧ</w:t>
      </w:r>
    </w:p>
    <w:p w14:paraId="51C7353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4</w:t>
      </w:r>
    </w:p>
    <w:p w14:paraId="6251F6C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Гл.конструктору группы № 5 инж. КОРОЛЕВУ обеспечить разработку и сдачу чертежей реактивной установки (РУ-1) на самолете ПЕ-2 в следующие сроки:</w:t>
      </w:r>
    </w:p>
    <w:p w14:paraId="7D74B15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Установка двигателя и топливные баки 10/1-43 г.</w:t>
      </w:r>
    </w:p>
    <w:p w14:paraId="00C445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Самолетное оборудование и монтажные схемы 20/1-43 г.</w:t>
      </w:r>
    </w:p>
    <w:p w14:paraId="04A2733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Наземное оборудование, общие схемы и описания 1/II-43 г.</w:t>
      </w:r>
    </w:p>
    <w:p w14:paraId="672A9DD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5</w:t>
      </w:r>
    </w:p>
    <w:p w14:paraId="68F6CB9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Гл.конструктору группы РД инж. ГЛУШКО В.П. обеспечить разработку и сдачу в копировку следующих чертежей:</w:t>
      </w:r>
    </w:p>
    <w:p w14:paraId="5EECF8B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Привод насосного агрегата на моторе М-105РА 10/1</w:t>
      </w:r>
    </w:p>
    <w:p w14:paraId="440F037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Насосный агрегат РД-0 15/1</w:t>
      </w:r>
    </w:p>
    <w:p w14:paraId="0F04A4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Схемы и описания 1/II</w:t>
      </w:r>
    </w:p>
    <w:p w14:paraId="4024CC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12</w:t>
      </w:r>
    </w:p>
    <w:p w14:paraId="5EBDA21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Главному конструктору группы № 5 инж. КОРОЛЕВУ СП. обеспечить руководство монтажом РУ-1 на самолете Пе-2 с окончанием его к 14/11. Провести предварительные и огневые наземные испытания самолета Пе-2 с РУ-1 и предъявить машину для производства летных испытаний 19/11-43 г.</w:t>
      </w:r>
    </w:p>
    <w:p w14:paraId="2C007EE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ОСОБОГО КОНСТРУКТОРСКОГО БЮРО</w:t>
      </w:r>
    </w:p>
    <w:p w14:paraId="2A1184B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ЗАВОДА №16: /БЕКЕТОВ/</w:t>
      </w:r>
    </w:p>
    <w:p w14:paraId="7D1D32A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Опущены § 6-11 с указанием окончательной доработки агрегатов и автоматики РД-0 и РД-1.</w:t>
      </w:r>
    </w:p>
    <w:p w14:paraId="642DFAA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ЦГА РТ. Ф.Р-2845. Оп.З. Д. 185. Л.39, 39об (11313).</w:t>
      </w:r>
    </w:p>
    <w:p w14:paraId="52F5B06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7D7A8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8 января 1943 г. в составе спецотдела № 4 была создана группа № 5 авиационных реактивных установок (АРУ) на основе двигателей Глушко, которую возглавил С.П. Королев. 18 октября 1943 г. он докладывал руководству спецотдела об основных результатах: "...Прибыв 19/XI-1942 г. в Казань, я имел задание ознакомиться с работами, ведущимися по реактивным двигателям. ОКБ завода № 16 работало над созданием чегырехкамер- ного реактивного двигателя РД-1 с тягой 1200 кг на жидком топливе с питанием от автономно действующего турбонасосного агрегата для самолетов. Эта работа была построена таким образом, что вначале отрабатывалась секция РД-1 в виде одной камеры с тягой 300 кгс и системой питания от постороннего источника энергии (на стенде - от электромотора). Объем всей работы по РД-1 достаточно велик и технически труден, и потому первый ее этап - однокамерный двигатель с приводом - являлся наиболее реальным и близким к осуществлению. Одновременно простейшие подсчеты показывали, что целесообразна установка однокамерного РД-1 с тягой 300 кгс в качестве вспомогательного двигателя для самолета Пе-2 с приводом от авиамотора М-105...Конструкторские работы по АРУ выполнялись группой, организованной при ОКБ завода № 16 8/1 с.г. </w:t>
      </w:r>
      <w:r w:rsidRPr="00D03F3E">
        <w:rPr>
          <w:rFonts w:ascii="Times New Roman" w:hAnsi="Times New Roman"/>
          <w:color w:val="000000" w:themeColor="text1"/>
          <w:sz w:val="16"/>
          <w:szCs w:val="16"/>
        </w:rPr>
        <w:lastRenderedPageBreak/>
        <w:t>Компоновка проекта была сделана в январе месяце. Рабочие чертежи, около 900 шт., выпущены в период с 1/11 по 14/111 с.г. и к этому сроку спущены в цехи..." (12042).</w:t>
      </w:r>
    </w:p>
    <w:p w14:paraId="06D21A0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3C827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января 1943 г. для создания реактивной установки РУ-1 для Пе-2 в рамках Особое КБ завода № 16 (ОТБ НКВД) создается группа реак тивных установок № 5 во главе с С.П. Королевым. Группа состояла из четырех бригад общей численностью 16 чел., из которых 5 были заключенными, остальные- вольнонаемные. 9.08.1944 г. был освобожден Королев, а 29.08.1944 г.- Глушко.</w:t>
      </w:r>
    </w:p>
    <w:p w14:paraId="3D65CA8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Разработаны проекты баллистической и крылатой ракет Д-1 и Д-2 с РДТТ и проекты Д-3 и Д-4 с ЖРД.</w:t>
      </w:r>
      <w:r w:rsidRPr="00D03F3E">
        <w:rPr>
          <w:rFonts w:ascii="Times New Roman" w:hAnsi="Times New Roman"/>
          <w:color w:val="000000" w:themeColor="text1"/>
          <w:sz w:val="16"/>
          <w:szCs w:val="16"/>
          <w:vertAlign w:val="superscript"/>
        </w:rPr>
        <w:t>59</w:t>
      </w:r>
    </w:p>
    <w:p w14:paraId="05165DF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00446/262сс от 18.04.1944 г. Особое КБ 4-го Спецотдела НКВД было слито с Серийным КБ завода № 16 и образовано единое ОКБ завода № 16 НКАП. Одновременно группа В.П. Глушко выделялась в самостоятельное ОКБ-16сб.</w:t>
      </w:r>
    </w:p>
    <w:p w14:paraId="4620129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(1942-03.1943 г.-)- В.А. Бекетов.</w:t>
      </w:r>
    </w:p>
    <w:p w14:paraId="5777063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3695D9"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251F50D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6D2BF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января 1943г. была подготовлена ДОКЛАДНАЯ ЗАПИСКА РАЙИНЖЕНЕРА ГАБТУ КА НАЧАЛЬНИКУ 1 -го ОТДЕЛА БТУ ГАБТУ КА ПО ВОПРОСУ ВЫПУСКА КВ-8 И КВ-8с №17</w:t>
      </w:r>
    </w:p>
    <w:p w14:paraId="203D414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Начиная с апреля месяца 1942 г. выполнение программы Кировским заводом следующее:</w:t>
      </w:r>
    </w:p>
    <w:tbl>
      <w:tblPr>
        <w:tblW w:w="0" w:type="auto"/>
        <w:tblInd w:w="40" w:type="dxa"/>
        <w:tblLayout w:type="fixed"/>
        <w:tblCellMar>
          <w:left w:w="40" w:type="dxa"/>
          <w:right w:w="40" w:type="dxa"/>
        </w:tblCellMar>
        <w:tblLook w:val="0000" w:firstRow="0" w:lastRow="0" w:firstColumn="0" w:lastColumn="0" w:noHBand="0" w:noVBand="0"/>
      </w:tblPr>
      <w:tblGrid>
        <w:gridCol w:w="1152"/>
        <w:gridCol w:w="1411"/>
        <w:gridCol w:w="1421"/>
        <w:gridCol w:w="1411"/>
        <w:gridCol w:w="1440"/>
      </w:tblGrid>
      <w:tr w:rsidR="00860B4B" w:rsidRPr="00D03F3E" w14:paraId="652D7CB1" w14:textId="77777777">
        <w:trPr>
          <w:trHeight w:val="269"/>
        </w:trPr>
        <w:tc>
          <w:tcPr>
            <w:tcW w:w="1152" w:type="dxa"/>
            <w:tcBorders>
              <w:top w:val="single" w:sz="6" w:space="0" w:color="auto"/>
              <w:left w:val="single" w:sz="6" w:space="0" w:color="auto"/>
              <w:bottom w:val="single" w:sz="6" w:space="0" w:color="auto"/>
              <w:right w:val="single" w:sz="6" w:space="0" w:color="auto"/>
            </w:tcBorders>
          </w:tcPr>
          <w:p w14:paraId="68FD4B3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Квартал</w:t>
            </w:r>
          </w:p>
          <w:p w14:paraId="583BF07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0E861EB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Месяц</w:t>
            </w:r>
          </w:p>
          <w:p w14:paraId="4A551F8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EA68D9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w:t>
            </w:r>
          </w:p>
          <w:p w14:paraId="169227F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0013968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Выполнено</w:t>
            </w:r>
          </w:p>
          <w:p w14:paraId="0A829F8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502F83E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выполнения</w:t>
            </w:r>
          </w:p>
          <w:p w14:paraId="49E4AF7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9B17170" w14:textId="77777777">
        <w:trPr>
          <w:trHeight w:val="278"/>
        </w:trPr>
        <w:tc>
          <w:tcPr>
            <w:tcW w:w="1152" w:type="dxa"/>
            <w:tcBorders>
              <w:top w:val="single" w:sz="6" w:space="0" w:color="auto"/>
              <w:left w:val="single" w:sz="6" w:space="0" w:color="auto"/>
              <w:bottom w:val="nil"/>
              <w:right w:val="single" w:sz="6" w:space="0" w:color="auto"/>
            </w:tcBorders>
          </w:tcPr>
          <w:p w14:paraId="1D157F2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w:t>
            </w:r>
          </w:p>
          <w:p w14:paraId="5CBC91E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936195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апрель</w:t>
            </w:r>
          </w:p>
          <w:p w14:paraId="3B780BC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769C3D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p w14:paraId="7F89E49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8127EF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p w14:paraId="289EBAE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C75079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B0CCE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DBF8971" w14:textId="77777777">
        <w:trPr>
          <w:trHeight w:val="269"/>
        </w:trPr>
        <w:tc>
          <w:tcPr>
            <w:tcW w:w="1152" w:type="dxa"/>
            <w:tcBorders>
              <w:top w:val="nil"/>
              <w:left w:val="single" w:sz="6" w:space="0" w:color="auto"/>
              <w:bottom w:val="nil"/>
              <w:right w:val="single" w:sz="6" w:space="0" w:color="auto"/>
            </w:tcBorders>
          </w:tcPr>
          <w:p w14:paraId="2759C66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1C584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C73318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май</w:t>
            </w:r>
          </w:p>
          <w:p w14:paraId="1A3FAF1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182C848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p w14:paraId="7EE52F5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955356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p>
          <w:p w14:paraId="14EF924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45CC8FE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B97B6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5403EDB" w14:textId="77777777">
        <w:trPr>
          <w:trHeight w:val="278"/>
        </w:trPr>
        <w:tc>
          <w:tcPr>
            <w:tcW w:w="1152" w:type="dxa"/>
            <w:tcBorders>
              <w:top w:val="nil"/>
              <w:left w:val="single" w:sz="6" w:space="0" w:color="auto"/>
              <w:bottom w:val="nil"/>
              <w:right w:val="single" w:sz="6" w:space="0" w:color="auto"/>
            </w:tcBorders>
          </w:tcPr>
          <w:p w14:paraId="08086CE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476E6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D63490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июнь</w:t>
            </w:r>
          </w:p>
          <w:p w14:paraId="24F447D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4A74B77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p w14:paraId="7AAFC23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3BBDF8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w:t>
            </w:r>
          </w:p>
          <w:p w14:paraId="197BF70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43C049A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D5F5B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DFB73A9" w14:textId="77777777">
        <w:trPr>
          <w:trHeight w:val="269"/>
        </w:trPr>
        <w:tc>
          <w:tcPr>
            <w:tcW w:w="1152" w:type="dxa"/>
            <w:tcBorders>
              <w:top w:val="nil"/>
              <w:left w:val="single" w:sz="6" w:space="0" w:color="auto"/>
              <w:bottom w:val="single" w:sz="6" w:space="0" w:color="auto"/>
              <w:right w:val="single" w:sz="6" w:space="0" w:color="auto"/>
            </w:tcBorders>
          </w:tcPr>
          <w:p w14:paraId="2CB8151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0D589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740D494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p w14:paraId="3CC175F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64D6ABA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w:t>
            </w:r>
          </w:p>
          <w:p w14:paraId="1A838D8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3D9D49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w:t>
            </w:r>
          </w:p>
          <w:p w14:paraId="16BE004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21C44B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859D9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A0D2FA3" w14:textId="77777777">
        <w:trPr>
          <w:trHeight w:val="278"/>
        </w:trPr>
        <w:tc>
          <w:tcPr>
            <w:tcW w:w="1152" w:type="dxa"/>
            <w:tcBorders>
              <w:top w:val="single" w:sz="6" w:space="0" w:color="auto"/>
              <w:left w:val="single" w:sz="6" w:space="0" w:color="auto"/>
              <w:bottom w:val="nil"/>
              <w:right w:val="single" w:sz="6" w:space="0" w:color="auto"/>
            </w:tcBorders>
          </w:tcPr>
          <w:p w14:paraId="1290F10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III</w:t>
            </w:r>
          </w:p>
          <w:p w14:paraId="5D7AD90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CE4D2A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июль</w:t>
            </w:r>
          </w:p>
          <w:p w14:paraId="0173680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436BAAD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1484E39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91B66E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p w14:paraId="3B487AD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69DAE1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2DCC8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988F826" w14:textId="77777777">
        <w:trPr>
          <w:trHeight w:val="278"/>
        </w:trPr>
        <w:tc>
          <w:tcPr>
            <w:tcW w:w="1152" w:type="dxa"/>
            <w:tcBorders>
              <w:top w:val="nil"/>
              <w:left w:val="single" w:sz="6" w:space="0" w:color="auto"/>
              <w:bottom w:val="nil"/>
              <w:right w:val="single" w:sz="6" w:space="0" w:color="auto"/>
            </w:tcBorders>
          </w:tcPr>
          <w:p w14:paraId="46E9681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4A249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E69F16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август</w:t>
            </w:r>
          </w:p>
          <w:p w14:paraId="515F83C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584FDF2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0B2FF3C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9A78CE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p w14:paraId="3BD6616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2A6459B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D236B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30C912D" w14:textId="77777777">
        <w:trPr>
          <w:trHeight w:val="269"/>
        </w:trPr>
        <w:tc>
          <w:tcPr>
            <w:tcW w:w="1152" w:type="dxa"/>
            <w:tcBorders>
              <w:top w:val="nil"/>
              <w:left w:val="single" w:sz="6" w:space="0" w:color="auto"/>
              <w:bottom w:val="nil"/>
              <w:right w:val="single" w:sz="6" w:space="0" w:color="auto"/>
            </w:tcBorders>
          </w:tcPr>
          <w:p w14:paraId="06A4871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DF93E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C39421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сентябрь</w:t>
            </w:r>
          </w:p>
          <w:p w14:paraId="4BA8F89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C54C3D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4AE90D6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9B4188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3D1D293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22C3E63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63E31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F7FF49F" w14:textId="77777777">
        <w:trPr>
          <w:trHeight w:val="278"/>
        </w:trPr>
        <w:tc>
          <w:tcPr>
            <w:tcW w:w="1152" w:type="dxa"/>
            <w:tcBorders>
              <w:top w:val="nil"/>
              <w:left w:val="single" w:sz="6" w:space="0" w:color="auto"/>
              <w:bottom w:val="single" w:sz="6" w:space="0" w:color="auto"/>
              <w:right w:val="single" w:sz="6" w:space="0" w:color="auto"/>
            </w:tcBorders>
          </w:tcPr>
          <w:p w14:paraId="342A235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99CE9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A9658F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p w14:paraId="54E079E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42B0D81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p w14:paraId="155F20B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7D77841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w:t>
            </w:r>
          </w:p>
          <w:p w14:paraId="6D14591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40AB0AF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D1964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4260693" w14:textId="77777777">
        <w:trPr>
          <w:trHeight w:val="269"/>
        </w:trPr>
        <w:tc>
          <w:tcPr>
            <w:tcW w:w="1152" w:type="dxa"/>
            <w:tcBorders>
              <w:top w:val="single" w:sz="6" w:space="0" w:color="auto"/>
              <w:left w:val="single" w:sz="6" w:space="0" w:color="auto"/>
              <w:bottom w:val="nil"/>
              <w:right w:val="single" w:sz="6" w:space="0" w:color="auto"/>
            </w:tcBorders>
          </w:tcPr>
          <w:p w14:paraId="3AD839E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IV</w:t>
            </w:r>
          </w:p>
          <w:p w14:paraId="1432FB7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02E69B5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октябрь</w:t>
            </w:r>
          </w:p>
          <w:p w14:paraId="63E2238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757A0AD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p w14:paraId="65FE192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01767D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p w14:paraId="7CF7CDA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4998F64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2DCD3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1EBE958" w14:textId="77777777">
        <w:trPr>
          <w:trHeight w:val="278"/>
        </w:trPr>
        <w:tc>
          <w:tcPr>
            <w:tcW w:w="1152" w:type="dxa"/>
            <w:tcBorders>
              <w:top w:val="nil"/>
              <w:left w:val="single" w:sz="6" w:space="0" w:color="auto"/>
              <w:bottom w:val="nil"/>
              <w:right w:val="single" w:sz="6" w:space="0" w:color="auto"/>
            </w:tcBorders>
          </w:tcPr>
          <w:p w14:paraId="51D7289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3C237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0C2A199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ноябрь</w:t>
            </w:r>
          </w:p>
          <w:p w14:paraId="4624DC5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F260D0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p w14:paraId="41CEEFC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AD1998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15FADF8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545D121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8B8EA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E36A0FD" w14:textId="77777777">
        <w:trPr>
          <w:trHeight w:val="278"/>
        </w:trPr>
        <w:tc>
          <w:tcPr>
            <w:tcW w:w="1152" w:type="dxa"/>
            <w:tcBorders>
              <w:top w:val="nil"/>
              <w:left w:val="single" w:sz="6" w:space="0" w:color="auto"/>
              <w:bottom w:val="nil"/>
              <w:right w:val="single" w:sz="6" w:space="0" w:color="auto"/>
            </w:tcBorders>
          </w:tcPr>
          <w:p w14:paraId="42639E8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C648F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0BE8DE2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декабрь</w:t>
            </w:r>
          </w:p>
          <w:p w14:paraId="7F9E61A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7A14D69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p w14:paraId="0C7A344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735642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p w14:paraId="664F575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CD6D9D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708F4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62EAD4F" w14:textId="77777777">
        <w:trPr>
          <w:trHeight w:val="269"/>
        </w:trPr>
        <w:tc>
          <w:tcPr>
            <w:tcW w:w="1152" w:type="dxa"/>
            <w:tcBorders>
              <w:top w:val="nil"/>
              <w:left w:val="single" w:sz="6" w:space="0" w:color="auto"/>
              <w:bottom w:val="single" w:sz="6" w:space="0" w:color="auto"/>
              <w:right w:val="single" w:sz="6" w:space="0" w:color="auto"/>
            </w:tcBorders>
          </w:tcPr>
          <w:p w14:paraId="70CAFB3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13C5F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F9D967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p w14:paraId="4BA29DB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8883AD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w:t>
            </w:r>
          </w:p>
          <w:p w14:paraId="5D45EBA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E6F0DB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w:t>
            </w:r>
          </w:p>
          <w:p w14:paraId="656DCBF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4037B70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76372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BA7308F" w14:textId="77777777">
        <w:trPr>
          <w:trHeight w:val="298"/>
        </w:trPr>
        <w:tc>
          <w:tcPr>
            <w:tcW w:w="2563" w:type="dxa"/>
            <w:gridSpan w:val="2"/>
            <w:tcBorders>
              <w:top w:val="single" w:sz="6" w:space="0" w:color="auto"/>
              <w:left w:val="single" w:sz="6" w:space="0" w:color="auto"/>
              <w:bottom w:val="single" w:sz="6" w:space="0" w:color="auto"/>
              <w:right w:val="single" w:sz="6" w:space="0" w:color="auto"/>
            </w:tcBorders>
          </w:tcPr>
          <w:p w14:paraId="37BB76E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 за год:</w:t>
            </w:r>
          </w:p>
          <w:p w14:paraId="2DCC850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1A176D7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255</w:t>
            </w:r>
          </w:p>
          <w:p w14:paraId="0FCEB8C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0894A37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127</w:t>
            </w:r>
          </w:p>
          <w:p w14:paraId="49508E0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3266B04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p w14:paraId="2884D9E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7FE8AA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Выпуск танков КВ-8 во II квартале проходил при общем подъеме, подкрепленным пись</w:t>
      </w:r>
      <w:r w:rsidRPr="00D03F3E">
        <w:rPr>
          <w:rFonts w:ascii="Times New Roman" w:hAnsi="Times New Roman"/>
          <w:color w:val="000000" w:themeColor="text1"/>
          <w:sz w:val="16"/>
          <w:szCs w:val="16"/>
        </w:rPr>
        <w:softHyphen/>
        <w:t>мом т. Сталина.</w:t>
      </w:r>
    </w:p>
    <w:p w14:paraId="6B1B1FE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КВ-8 завод испытывал трудности освоения и наличия дефектов по АТО-41.</w:t>
      </w:r>
    </w:p>
    <w:p w14:paraId="0AA3FA4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III квартале КВ-8 и АТО Кировским заводом освоены и программа двух месяцев полнос</w:t>
      </w:r>
      <w:r w:rsidRPr="00D03F3E">
        <w:rPr>
          <w:rFonts w:ascii="Times New Roman" w:hAnsi="Times New Roman"/>
          <w:color w:val="000000" w:themeColor="text1"/>
          <w:sz w:val="16"/>
          <w:szCs w:val="16"/>
        </w:rPr>
        <w:softHyphen/>
        <w:t>тью выполнена, но к сентябрю месяцу завод вынужден был перейти на облегченный танк КВ-1с. Использовав полностью сварные башни и не имея задела на броневых заводах, выпуск КВ-8 значи</w:t>
      </w:r>
      <w:r w:rsidRPr="00D03F3E">
        <w:rPr>
          <w:rFonts w:ascii="Times New Roman" w:hAnsi="Times New Roman"/>
          <w:color w:val="000000" w:themeColor="text1"/>
          <w:sz w:val="16"/>
          <w:szCs w:val="16"/>
        </w:rPr>
        <w:softHyphen/>
        <w:t>тельно снизился. Ни ГОКО, ни ГАБТУ КА не подтвердили заводу о важности огнеметных машин для фронта, поэтому переход на КВ-8с прошел с большой задержкой и только на январь месяц 1943 года завод полностью освоил КВ-8с и подготовлен к нормальному выпуску. Желательно, чтобы ГОКО потребовал от завода неуклонного выполнения задания.</w:t>
      </w:r>
    </w:p>
    <w:p w14:paraId="4FC6088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1.01.1943 года на заводе имеется 63 штуки АТО-41 и патрон к нему латунных 30 000 штук. Порошка ОП-2 нет.</w:t>
      </w:r>
    </w:p>
    <w:p w14:paraId="7B430C5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подтверждения ГАБТУ КА заводу №100 о немедленном изготовлении образца огнеметно</w:t>
      </w:r>
      <w:r w:rsidRPr="00D03F3E">
        <w:rPr>
          <w:rFonts w:ascii="Times New Roman" w:hAnsi="Times New Roman"/>
          <w:color w:val="000000" w:themeColor="text1"/>
          <w:sz w:val="16"/>
          <w:szCs w:val="16"/>
        </w:rPr>
        <w:softHyphen/>
        <w:t>го танка Т-34с с размещением АТО в башне (подобие КВ-8с). Геометрические размеры боевого отде</w:t>
      </w:r>
      <w:r w:rsidRPr="00D03F3E">
        <w:rPr>
          <w:rFonts w:ascii="Times New Roman" w:hAnsi="Times New Roman"/>
          <w:color w:val="000000" w:themeColor="text1"/>
          <w:sz w:val="16"/>
          <w:szCs w:val="16"/>
        </w:rPr>
        <w:softHyphen/>
        <w:t>ления вполне позволяют иметь огнеметный танк Т-34 с той же огневой мощностью, что и КВ-8с.</w:t>
      </w:r>
    </w:p>
    <w:p w14:paraId="563D873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И.о. райинженер ГАБТУ КА инженер-подполковник Петров</w:t>
      </w:r>
    </w:p>
    <w:p w14:paraId="11798E4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1370. Л. 15 с об. Подлинник (11403).</w:t>
      </w:r>
    </w:p>
    <w:p w14:paraId="7F53AA8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C114F8"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8 января 1943, </w:t>
      </w:r>
      <w:r w:rsidRPr="00D03F3E">
        <w:rPr>
          <w:rFonts w:ascii="Times New Roman" w:hAnsi="Times New Roman"/>
          <w:color w:val="000000" w:themeColor="text1"/>
          <w:sz w:val="16"/>
          <w:szCs w:val="16"/>
          <w:lang w:val="en-US"/>
        </w:rPr>
        <w:t>c</w:t>
      </w:r>
      <w:r w:rsidRPr="00D03F3E">
        <w:rPr>
          <w:rFonts w:ascii="Times New Roman" w:hAnsi="Times New Roman"/>
          <w:color w:val="000000" w:themeColor="text1"/>
          <w:sz w:val="16"/>
          <w:szCs w:val="16"/>
        </w:rPr>
        <w:t>огласно сводкам в ГАБТУ, первые чертежи установки сдали в производство, а крайние 10 числа того же месяца. На следующий день была произведена расцеховка деталей, парал</w:t>
      </w:r>
      <w:r w:rsidRPr="00D03F3E">
        <w:rPr>
          <w:rFonts w:ascii="Times New Roman" w:hAnsi="Times New Roman"/>
          <w:color w:val="000000" w:themeColor="text1"/>
          <w:sz w:val="16"/>
          <w:szCs w:val="16"/>
        </w:rPr>
        <w:softHyphen/>
        <w:t xml:space="preserve">лельно с этим шла работа по макету. Модели бронировок системы закончили 14-го числа, а макет </w:t>
      </w:r>
      <w:r w:rsidRPr="00D03F3E">
        <w:rPr>
          <w:rFonts w:ascii="Times New Roman" w:hAnsi="Times New Roman"/>
          <w:color w:val="000000" w:themeColor="text1"/>
          <w:sz w:val="16"/>
          <w:szCs w:val="16"/>
          <w:lang w:val="en-US"/>
        </w:rPr>
        <w:t>KB</w:t>
      </w:r>
      <w:r w:rsidRPr="00D03F3E">
        <w:rPr>
          <w:rFonts w:ascii="Times New Roman" w:hAnsi="Times New Roman"/>
          <w:color w:val="000000" w:themeColor="text1"/>
          <w:sz w:val="16"/>
          <w:szCs w:val="16"/>
        </w:rPr>
        <w:t xml:space="preserve">-14 в целом — 17-го. В тот же день макет утвердили. 19 января на корпусном заводе №200 были готовы листы рубки, которые в тот же день стали монтировать на корпус </w:t>
      </w:r>
      <w:r w:rsidRPr="00D03F3E">
        <w:rPr>
          <w:rFonts w:ascii="Times New Roman" w:hAnsi="Times New Roman"/>
          <w:color w:val="000000" w:themeColor="text1"/>
          <w:sz w:val="16"/>
          <w:szCs w:val="16"/>
          <w:lang w:val="en-US"/>
        </w:rPr>
        <w:t>KB</w:t>
      </w:r>
      <w:r w:rsidRPr="00D03F3E">
        <w:rPr>
          <w:rFonts w:ascii="Times New Roman" w:hAnsi="Times New Roman"/>
          <w:color w:val="000000" w:themeColor="text1"/>
          <w:sz w:val="16"/>
          <w:szCs w:val="16"/>
        </w:rPr>
        <w:t xml:space="preserve">-1С. </w:t>
      </w:r>
      <w:r w:rsidRPr="00D03F3E">
        <w:rPr>
          <w:rFonts w:ascii="Times New Roman" w:hAnsi="Times New Roman"/>
          <w:color w:val="000000" w:themeColor="text1"/>
          <w:sz w:val="16"/>
          <w:szCs w:val="16"/>
          <w:lang w:val="en-US"/>
        </w:rPr>
        <w:t>Ha</w:t>
      </w:r>
      <w:r w:rsidRPr="00D03F3E">
        <w:rPr>
          <w:rFonts w:ascii="Times New Roman" w:hAnsi="Times New Roman"/>
          <w:color w:val="000000" w:themeColor="text1"/>
          <w:sz w:val="16"/>
          <w:szCs w:val="16"/>
        </w:rPr>
        <w:t xml:space="preserve"> следующее утро с завода №200 прибыл законченный корпус опытного образца. В тот же день начались монтажные рабо</w:t>
      </w:r>
      <w:r w:rsidRPr="00D03F3E">
        <w:rPr>
          <w:rFonts w:ascii="Times New Roman" w:hAnsi="Times New Roman"/>
          <w:color w:val="000000" w:themeColor="text1"/>
          <w:sz w:val="16"/>
          <w:szCs w:val="16"/>
        </w:rPr>
        <w:softHyphen/>
        <w:t>ты: закончена центровка двигателя и КПП, установлены балансиры и торсионные валы.</w:t>
      </w:r>
    </w:p>
    <w:p w14:paraId="554E3C8B"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Параллельно с постройкой САУ на заводе №172 шла работа по из</w:t>
      </w:r>
      <w:r w:rsidRPr="00D03F3E">
        <w:rPr>
          <w:rFonts w:ascii="Times New Roman" w:hAnsi="Times New Roman"/>
          <w:color w:val="000000" w:themeColor="text1"/>
          <w:sz w:val="16"/>
          <w:szCs w:val="16"/>
        </w:rPr>
        <w:softHyphen/>
        <w:t xml:space="preserve">готовлению самоходной версии 152-мм пушки-гаубицы </w:t>
      </w:r>
      <w:r w:rsidRPr="00D03F3E">
        <w:rPr>
          <w:rFonts w:ascii="Times New Roman" w:hAnsi="Times New Roman"/>
          <w:color w:val="000000" w:themeColor="text1"/>
          <w:sz w:val="16"/>
          <w:szCs w:val="16"/>
          <w:lang w:val="en-US"/>
        </w:rPr>
        <w:t>MJ</w:t>
      </w:r>
      <w:r w:rsidRPr="00D03F3E">
        <w:rPr>
          <w:rFonts w:ascii="Times New Roman" w:hAnsi="Times New Roman"/>
          <w:color w:val="000000" w:themeColor="text1"/>
          <w:sz w:val="16"/>
          <w:szCs w:val="16"/>
        </w:rPr>
        <w:t>1-20. 11 ян</w:t>
      </w:r>
      <w:r w:rsidRPr="00D03F3E">
        <w:rPr>
          <w:rFonts w:ascii="Times New Roman" w:hAnsi="Times New Roman"/>
          <w:color w:val="000000" w:themeColor="text1"/>
          <w:sz w:val="16"/>
          <w:szCs w:val="16"/>
        </w:rPr>
        <w:softHyphen/>
        <w:t>варя 1943 года для удобства работы с документацией самоходную вер</w:t>
      </w:r>
      <w:r w:rsidRPr="00D03F3E">
        <w:rPr>
          <w:rFonts w:ascii="Times New Roman" w:hAnsi="Times New Roman"/>
          <w:color w:val="000000" w:themeColor="text1"/>
          <w:sz w:val="16"/>
          <w:szCs w:val="16"/>
        </w:rPr>
        <w:softHyphen/>
        <w:t xml:space="preserve">сию орудия переименовали в </w:t>
      </w:r>
      <w:r w:rsidRPr="00D03F3E">
        <w:rPr>
          <w:rFonts w:ascii="Times New Roman" w:hAnsi="Times New Roman"/>
          <w:color w:val="000000" w:themeColor="text1"/>
          <w:sz w:val="16"/>
          <w:szCs w:val="16"/>
          <w:lang w:val="en-US"/>
        </w:rPr>
        <w:t>M</w:t>
      </w:r>
      <w:r w:rsidRPr="00D03F3E">
        <w:rPr>
          <w:rFonts w:ascii="Times New Roman" w:hAnsi="Times New Roman"/>
          <w:color w:val="000000" w:themeColor="text1"/>
          <w:sz w:val="16"/>
          <w:szCs w:val="16"/>
        </w:rPr>
        <w:t>Л-20</w:t>
      </w:r>
      <w:r w:rsidRPr="00D03F3E">
        <w:rPr>
          <w:rFonts w:ascii="Times New Roman" w:hAnsi="Times New Roman"/>
          <w:color w:val="000000" w:themeColor="text1"/>
          <w:sz w:val="16"/>
          <w:szCs w:val="16"/>
          <w:lang w:val="en-US"/>
        </w:rPr>
        <w:t>C</w:t>
      </w:r>
      <w:r w:rsidRPr="00D03F3E">
        <w:rPr>
          <w:rFonts w:ascii="Times New Roman" w:hAnsi="Times New Roman"/>
          <w:color w:val="000000" w:themeColor="text1"/>
          <w:sz w:val="16"/>
          <w:szCs w:val="16"/>
        </w:rPr>
        <w:t xml:space="preserve"> (также использовались индексы МЛ-20-С и МЛ-20с). Система крепилась на рамке, защищенной броне- кожухом и массивной орудийной маской. В маске имелось специальное отверстие для обслуживания противооткатных устройств, закрываемое крышкой. Для заполнения противооткатных устройств жидкостью ис</w:t>
      </w:r>
      <w:r w:rsidRPr="00D03F3E">
        <w:rPr>
          <w:rFonts w:ascii="Times New Roman" w:hAnsi="Times New Roman"/>
          <w:color w:val="000000" w:themeColor="text1"/>
          <w:sz w:val="16"/>
          <w:szCs w:val="16"/>
        </w:rPr>
        <w:softHyphen/>
        <w:t>пользовался гидронасос. На лобовом листе корпуса КВ-14 был пред</w:t>
      </w:r>
      <w:r w:rsidRPr="00D03F3E">
        <w:rPr>
          <w:rFonts w:ascii="Times New Roman" w:hAnsi="Times New Roman"/>
          <w:color w:val="000000" w:themeColor="text1"/>
          <w:sz w:val="16"/>
          <w:szCs w:val="16"/>
        </w:rPr>
        <w:softHyphen/>
        <w:t>усмотрен специальный «карман», куда гидронасос ставился во время обслуживания противооткатных устройств. Ввиду того, что снятие дульного тормоза влекло за собой значительный объем переделок, ствол оставили без изменений.</w:t>
      </w:r>
    </w:p>
    <w:p w14:paraId="35758128" w14:textId="77777777" w:rsidR="00E56A12" w:rsidRPr="00D03F3E" w:rsidRDefault="00E56A12" w:rsidP="00D03F3E">
      <w:pPr>
        <w:pStyle w:val="a3"/>
        <w:rPr>
          <w:color w:val="000000" w:themeColor="text1"/>
          <w:lang w:val="ru-RU"/>
        </w:rPr>
      </w:pPr>
      <w:r w:rsidRPr="00D03F3E">
        <w:rPr>
          <w:color w:val="000000" w:themeColor="text1"/>
          <w:lang w:val="ru-RU"/>
        </w:rPr>
        <w:t xml:space="preserve">Главным изменением </w:t>
      </w:r>
      <w:r w:rsidRPr="00D03F3E">
        <w:rPr>
          <w:color w:val="000000" w:themeColor="text1"/>
        </w:rPr>
        <w:t>MJ</w:t>
      </w:r>
      <w:r w:rsidRPr="00D03F3E">
        <w:rPr>
          <w:color w:val="000000" w:themeColor="text1"/>
          <w:lang w:val="ru-RU"/>
        </w:rPr>
        <w:t>1-20</w:t>
      </w:r>
      <w:r w:rsidRPr="00D03F3E">
        <w:rPr>
          <w:color w:val="000000" w:themeColor="text1"/>
        </w:rPr>
        <w:t>C</w:t>
      </w:r>
      <w:r w:rsidRPr="00D03F3E">
        <w:rPr>
          <w:color w:val="000000" w:themeColor="text1"/>
          <w:lang w:val="ru-RU"/>
        </w:rPr>
        <w:t>, по сравнению с буксируемой вер</w:t>
      </w:r>
      <w:r w:rsidRPr="00D03F3E">
        <w:rPr>
          <w:color w:val="000000" w:themeColor="text1"/>
          <w:lang w:val="ru-RU"/>
        </w:rPr>
        <w:softHyphen/>
        <w:t>сией, стала установка телескопического прицела Т-9 (ТОД-9), перво</w:t>
      </w:r>
      <w:r w:rsidRPr="00D03F3E">
        <w:rPr>
          <w:color w:val="000000" w:themeColor="text1"/>
          <w:lang w:val="ru-RU"/>
        </w:rPr>
        <w:softHyphen/>
        <w:t>начально разработанного для тяжелого танка КВ-2. Т-9 представлял собой модификацию прицела КТ-1 (казематный телеско</w:t>
      </w:r>
      <w:r w:rsidRPr="00D03F3E">
        <w:rPr>
          <w:color w:val="000000" w:themeColor="text1"/>
          <w:lang w:val="ru-RU"/>
        </w:rPr>
        <w:softHyphen/>
        <w:t>пический) для казематной установки ДОТ-4 и имел в сво</w:t>
      </w:r>
      <w:r w:rsidRPr="00D03F3E">
        <w:rPr>
          <w:color w:val="000000" w:themeColor="text1"/>
          <w:lang w:val="ru-RU"/>
        </w:rPr>
        <w:softHyphen/>
        <w:t>ей конструкции призму, благодаря чему получил харак</w:t>
      </w:r>
      <w:r w:rsidRPr="00D03F3E">
        <w:rPr>
          <w:color w:val="000000" w:themeColor="text1"/>
          <w:lang w:val="ru-RU"/>
        </w:rPr>
        <w:softHyphen/>
        <w:t>терное «колено». Для стрельбы с закрытых позиций был оставлен панорамный прицел с панорамой Герца (прицел ПГ-1). Согласно требованиям, механизм перемены отката был убран, а контршток закреплен в положении короткого отката. Были введены подъемный и поворотный механиз</w:t>
      </w:r>
      <w:r w:rsidRPr="00D03F3E">
        <w:rPr>
          <w:color w:val="000000" w:themeColor="text1"/>
          <w:lang w:val="ru-RU"/>
        </w:rPr>
        <w:softHyphen/>
        <w:t>мы секторного типа с червячной передачей. Кроме того, на люльке закрепили лоток, облегчавший заряжание, он же исполнял роль ограждения со стороны заряжающего.</w:t>
      </w:r>
    </w:p>
    <w:p w14:paraId="77E89B24"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Стоит отметить, что установка прицела Т-9 от КВ-2 яв</w:t>
      </w:r>
      <w:r w:rsidRPr="00D03F3E">
        <w:rPr>
          <w:rFonts w:ascii="Times New Roman" w:hAnsi="Times New Roman"/>
          <w:color w:val="000000" w:themeColor="text1"/>
          <w:sz w:val="16"/>
          <w:szCs w:val="16"/>
        </w:rPr>
        <w:softHyphen/>
        <w:t>лялась временным решением. Система, собранная для установки на опытный образец КВ-14, была оснащена прицелом Т-10, отличавшимся шкалами, нарезанными под баллисти</w:t>
      </w:r>
      <w:r w:rsidRPr="00D03F3E">
        <w:rPr>
          <w:rFonts w:ascii="Times New Roman" w:hAnsi="Times New Roman"/>
          <w:color w:val="000000" w:themeColor="text1"/>
          <w:sz w:val="16"/>
          <w:szCs w:val="16"/>
        </w:rPr>
        <w:softHyphen/>
        <w:t>ку МЛ-20. Впрочем, для запуска Т-10 в серию потребовалось время, так что первые КВ-14 оснащались именно Т-9, по которым после снятия КВ-2 с производства имелся задел (17474).</w:t>
      </w:r>
    </w:p>
    <w:p w14:paraId="3194BC73" w14:textId="77777777" w:rsidR="00E56A12" w:rsidRPr="00D03F3E" w:rsidRDefault="00E56A12" w:rsidP="00D03F3E">
      <w:pPr>
        <w:spacing w:after="0" w:line="240" w:lineRule="auto"/>
        <w:jc w:val="both"/>
        <w:rPr>
          <w:rFonts w:ascii="Times New Roman" w:hAnsi="Times New Roman"/>
          <w:color w:val="000000" w:themeColor="text1"/>
          <w:sz w:val="16"/>
          <w:szCs w:val="16"/>
        </w:rPr>
      </w:pPr>
    </w:p>
    <w:p w14:paraId="320E51B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января 1943 вышло Распоряжение ГКО № 2717 О плане лесозаготовок по Куйбышевской обл.РГАНИР, Фонд ГКО, д. 79, лл. 44-45 (11012).</w:t>
      </w:r>
    </w:p>
    <w:p w14:paraId="6A62577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3271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января 1943 вышло Постановление ГКО № 2718 Об обеспечении Наркомвооружения и НКО ложевыми болванками и ствольными накладками в 1943 году.РГАНИР, Фонд ГКО, д. 79, лл. 46-48, 49-50 (11012).</w:t>
      </w:r>
    </w:p>
    <w:p w14:paraId="2EC028B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E63877"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января 1943 вышло Распоряжение ГКО № 2719 [О бесперебойном снабжении торфом Ивановских электростанций.] (7072, 51-52).</w:t>
      </w:r>
    </w:p>
    <w:p w14:paraId="4710F41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71CFE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8 января 1943 вышло Постановление ГКО № 2720 О т.т. Кириченко А.И., Чуянове А.С.РГАНИР, Фонд ГКО, д. 79, лл. 53 (11012).</w:t>
      </w:r>
    </w:p>
    <w:p w14:paraId="5942BDA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732BA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января 1943 вышло Постановление ГКО № 2721 Об организации законченного производства автомобилей на автозаводах им. Сталина Наркомсредмаша.РГАНИР, Фонд ГКО, д. 79, лл. 54-56 (11012).</w:t>
      </w:r>
    </w:p>
    <w:p w14:paraId="0D5E7A0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7C997C"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531931A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933E46"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8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13C8AC0B"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8 января наши войска в районе Нижнего Дона, на Центральном фронте и на Северном Кавказе продолжали бои на прежних направлениях.</w:t>
      </w:r>
    </w:p>
    <w:p w14:paraId="147CE6B5"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заводском районе Сталинграда наши части, действуя штурмовыми группами, разрушали укрепления противника. Захвачено 11 вражеских дзотов, 7 блиндажей и истреблено 120 гитлеровцев.</w:t>
      </w:r>
    </w:p>
    <w:p w14:paraId="16AB76E3"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Сталинграда советские разведчики ворвались в немецкие окопы, уничтожили 60 гитлеровцев и взяли пленных.</w:t>
      </w:r>
    </w:p>
    <w:p w14:paraId="4AFCA0BB"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Нижнего Дона наши войска продолжали наступление. Артиллерийским огнём, контратаками танков и мотопехоты противник пытается остановить советские войска. Ломая сопротивление гитлеровцев, наши части уничтожают живую силу и технику немцев и продвигаются вперёд. На одном участке гитлеровцы оказывалиособенно упорное сопротивление. Советские лётчики мощными ударами с воздуха подавили огонь вражеских орудий и миномётов. Тогда наши танки с десантами пехоты перешли в атаку, разгромили два батальона немецкой пехоты и заняли населённый пункт. На другом участке наши части подбили 9 немецких танков и выбили противника из населённого пункта. Взяты 4 орудия, 7 миномётов, радиостанция и пленные.</w:t>
      </w:r>
    </w:p>
    <w:p w14:paraId="58AEFD99"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наши войска закреплялись на достигнутых рубежах и на отдельных участках отбивали контратаки противника. В районе юго-западнее Великих Лук пехота и танки противника пытались контратаковать позиции наших войск. Бойцы Н-ского соединения уничтожили 14 немецких танков, до 800 вражеских солдат и офицеров и вынудили гитлеровцев отойти на исходные позиции.</w:t>
      </w:r>
    </w:p>
    <w:p w14:paraId="4C43C45A"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с боями продвигались вперёд и заняли ряд населённых пунктов. Бойцы Н-ского соединения захватили 11 орудий, 26 миномётов и 23 пулемёта. Ночью одно наше подразделение незаметно сосредоточилось в непосредственной близости от вражеских окопов, а другое подразделение просочилось в тыл противника. Наши бойцы атаковали немцев одновременно с фронтаи с тыла и смяли их боевые порядки. На поле боя осталось свыше 100 вражеских трупов. Взяты пленные и трофеи.</w:t>
      </w:r>
    </w:p>
    <w:p w14:paraId="5ED08E81"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одном из районов Витебской области, узнали,что немцы готовят на них нападение. Разведка установила численность карательного отряда, а также когда и где немцы намереваются нанести удар. Партизаны решили опередить гитлеровцев. Внезапным налётом советские патриоты разгромили немецкую карательную экспедицию. В этом бою уничтожено 83 и ранено 40 немецких солдат. Другой отряд витебских партизан пустил под откос 3 воинских эшелона противника. Разбито 3 паровоза, 8 вагонов и 18 платформ. Во время крушений поездов погибло более 150 гитлеровцев.</w:t>
      </w:r>
    </w:p>
    <w:p w14:paraId="01F7D497"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заняли город Теслич. В ожесточённом бою разгромлено два батальона немецкой пехоты. Много гитлеровцев взято в плен. Захвачены 9 орудий разных калибров и другие трофеи. Два партизанских отряда совершили налёты на населённые пункты Турке и Шкопияна и истребили несколько десятков итальянских солдат и офицеров. На дороге Теслич — Добой патриоты пустили под откос три воинских эшелона и бронепоезд противника.» (15003).</w:t>
      </w:r>
    </w:p>
    <w:p w14:paraId="1BA363A6" w14:textId="77777777" w:rsidR="00486A01" w:rsidRPr="00D03F3E" w:rsidRDefault="00486A01" w:rsidP="00D03F3E">
      <w:pPr>
        <w:spacing w:after="0" w:line="240" w:lineRule="auto"/>
        <w:jc w:val="both"/>
        <w:rPr>
          <w:rFonts w:ascii="Times New Roman" w:hAnsi="Times New Roman"/>
          <w:color w:val="000000" w:themeColor="text1"/>
          <w:sz w:val="16"/>
          <w:szCs w:val="16"/>
        </w:rPr>
      </w:pPr>
    </w:p>
    <w:p w14:paraId="66329306"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8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3D3F351B"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января наши войска после упорных боёв овладели городом и железнодорожной станцией Зимовники.</w:t>
      </w:r>
    </w:p>
    <w:p w14:paraId="3CE5242D"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Нижнего Дона наши войска, продолжая наступление, овладели населёнными пунктами — Новый Мир, Алексеев,</w:t>
      </w:r>
    </w:p>
    <w:p w14:paraId="3DA9A43F"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Медвежка, Нижний Вязовый, Верхний Вязовый, Фёдоровка, Владимиров, Беляев,Чумаков, Кумшак.</w:t>
      </w:r>
    </w:p>
    <w:p w14:paraId="300ECCD2"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овладели районным центром Ново-Павловская, населёнными пунктами — Никольское, Горькая Балка, Правокумский, Сизов, Ново-Средний, Матигоринский, Орловский, Старо-Марьинский, Псыхурей, Марьинская, Куба и железнодорожной станцией Зольский.</w:t>
      </w:r>
    </w:p>
    <w:p w14:paraId="42D45627"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наши войска вели наступательные бои на прежних направлениях.</w:t>
      </w:r>
    </w:p>
    <w:p w14:paraId="66F9E30B"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января частями нашей авиации на различных участках фронта уничтожено или повреждено 5 немецких танков, до 150 автомашин с войсками и грузами, подавлен огонь 9 артиллерийских батарей, взорвано 6 складов боеприпасов, рассеяно и частью уничтожено до двух рот пехоты противника.</w:t>
      </w:r>
    </w:p>
    <w:p w14:paraId="1B8804C6"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заводском районе Сталинграда наши штурмовые отряды захватили 9 вражеских блиндажей и блокировали узел укреплений противника. Орудийный расчёт под командованием т. Ячкевича прямым попаданием разрушил штаб немецкой части. Северо-западнее Сталинграда наши бойцы заняли 16 окопов, истребили более 300 солдат и офицеров противника, подбили 2 немецких танка, захватили 13 пулемётов и 64 винтовки.</w:t>
      </w:r>
    </w:p>
    <w:p w14:paraId="4C2BE95C"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Нижнего Дона наши войска продолжали наступление. Противник оказывает упорное сопротивление и часто переходит в контратаки. Наши части отбили все контратаки гитлеровцев и с боями заняли ряд населённых пунктов. У одного крупного населённого пункта немецкие танки предприняли одну за другой три контратаки против нашей пехоты. Артиллеристы и бронебойщики встретили немцев уничтожающим огнём, не дав возможности танкам противника приблизиться к боевым порядкам советских войск. Под прикрытием артиллерийского огня наши бойцы ворвались в населённый пункт и разгромили защищавший его гарнизон. Уничтожено свыше 600 немецких солдат и офицеров, сожжено и подбито 9 вражеских танков. Взяты 7 орудий, 24 пулемёта, 16 автомашин, 2 радиостанции и другие трофеи. На другом участке бойцы Н-ского соединения заняли три населённых пункта и захватили большие трофеи.</w:t>
      </w:r>
    </w:p>
    <w:p w14:paraId="4BA4488F"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наши войска закреплялись на достигнутых рубежах, а частью сил отбивали контратаки противника. Бойцы Н-ской части отбили контратаку крупных сил немецкой пехоты и танков, истребили до 200 гитлеровцев и уничтожили 3 самоходных орудия. На другом участке немецкой моторизованной пехоте и танкам удалось вклиниться в расположение наших войск. Контрударом советские части отбросили гитлеровцев и, преследуя их, заняли укреплённые позиции противника.Уничтожено 2 немецких танка и до роты гитлеровцев. Взяты трофеи и пленные.</w:t>
      </w:r>
    </w:p>
    <w:p w14:paraId="7880837E"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советские войска, преодолевая сопротивление противника, с боями продвигались вперёд и заняли несколько населённых пунктов. На одном участке советские танкисты прорвались через боевые порядки немецких частей и с тыла и флангов атаковали гитлеровцев. В результате боя уничтожено 400 вражеских солдат и офицеров. Захвачено 80 автомашин, 50 миномётов, много винтовок, пистолетов и боеприпасов. Взяты пленные. На другом участке Н-ская часть заняла населённый пункт и захватила у противника большие трофеи, в том числе 19 танков, 110 автомашин, 26 пулемётов, продовольственный и 3 вещевых склада.</w:t>
      </w:r>
    </w:p>
    <w:p w14:paraId="7541680A"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украинских партизан за месяц активных боевых действий истребил более 200 немецких солдат и офицеров. Партизаны проникли на одну железнодорожную станцию и взорвали 12 цистерн с горючим. Кроме того, советские патриоты уничтожили на аэродроме 2 немецких самолёта и сожгли 3 склада. Партизаны другого отряда взорвали мост в то время, когда по нему проходил немецкий воинский эшелон. Разбиты паровоз и 12 вагонов.</w:t>
      </w:r>
    </w:p>
    <w:p w14:paraId="69413DCB"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Берлинское радио 8 января огорошило немецких слушателей следующим сообщением: «7 января вечером в Берлине стало известно, что германские войска на Восточном Кавказе планомерно проводят сокращение линии фронта посредством снятия выдвинутых вперёд опорных пунктов. Советские атаки на германские арьергарды остались безуспешными, несмотря на введение в бой крупных танковых сил».</w:t>
      </w:r>
    </w:p>
    <w:p w14:paraId="06EC7FD3"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Всем известно, что за несколько дней наступления на Северном Кавказе Красная Армия с боями продвинулась вперёд на 110—130 километров, заняла города Алагир, Ардон, Малгобек, Моздок, Нальчик, Прохладный, Майское и многие другие важные населённые пункты и железнодорожные станции, а также взяла большое количество трофеев и пленных. А вот, оказывается, в Берлине только вечером 7 января сталоизвестно, что гитлеровские войска на Северном Кавказе отступают. Разумеется, гитлеровскому командованию давненько известно об отступлении немцев на Северном Кавказе, но, не желая сказать правду населению Германии, оно продолжительное время умалчивало об этом. Когда же молчать об отступлении стало больше невозможно, гитлеровские заправилы решили об этом обмолвиться, но так, чтобы опять никто ничего не понял, т. е. опять соврали.</w:t>
      </w:r>
    </w:p>
    <w:p w14:paraId="39F0646B"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Песня гитлеровских шарманщиков о «выпрямлении линии фронта» тоже не новая. Всем памятна зима прошлого года, когда Красная Армия, отбив атаки немцев на,Москву, перешла в наступление, погнала немецкие войска и прошла местами более 400 километров. Тогда-то гитлеровцы впервые заговорили «о выпрямлении линии фронта». Сейчас Красная Армия снова наносит немецко-фашистским войскам мощные удары и отбрасывает их на запад. Как и в прошлом году, гитлеровцы опять забормотали о сокращении линии фронта. Старая погудка загудела на новый лад. На самом же деле изменение линии фронта на Северном Кавказе, так же как и на других участках фронта, происходит по инициативе Красной Армии против желания гитлеровского командования и вопреки его планам.</w:t>
      </w:r>
    </w:p>
    <w:p w14:paraId="56494180"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Отступая под ударами Красной Армии, немцы лепечут о выпрямлении линии фронта, но каждый здравомыслящий человек теперь знает: раз гитлеровские заправилы говорят о выпрямлении линии фронта, значит — немцам действительно приходится туго.» (15003).</w:t>
      </w:r>
    </w:p>
    <w:p w14:paraId="5362A32A" w14:textId="77777777" w:rsidR="00486A01" w:rsidRPr="00D03F3E" w:rsidRDefault="00486A01" w:rsidP="00D03F3E">
      <w:pPr>
        <w:spacing w:after="0" w:line="240" w:lineRule="auto"/>
        <w:jc w:val="both"/>
        <w:rPr>
          <w:rFonts w:ascii="Times New Roman" w:hAnsi="Times New Roman"/>
          <w:color w:val="000000" w:themeColor="text1"/>
          <w:sz w:val="16"/>
          <w:szCs w:val="16"/>
        </w:rPr>
      </w:pPr>
    </w:p>
    <w:p w14:paraId="0A1A7008" w14:textId="77777777" w:rsidR="00486A01" w:rsidRPr="00D03F3E" w:rsidRDefault="00486A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8 января</w:t>
      </w:r>
      <w:r w:rsidRPr="00D03F3E">
        <w:rPr>
          <w:rFonts w:ascii="Times New Roman" w:hAnsi="Times New Roman"/>
          <w:color w:val="000000" w:themeColor="text1"/>
          <w:sz w:val="16"/>
          <w:szCs w:val="16"/>
        </w:rPr>
        <w:t xml:space="preserve"> в 1943 году командующему 6-й армией, окружённой в Сталинграде, генерал-полковнику Паулюсу был вручён ультиматум с условиями капитуляции, подписанный генерал-полковником Вороновым и генерал-лейтенантом Рокоссовскимени (15003).</w:t>
      </w:r>
    </w:p>
    <w:p w14:paraId="33489A5B" w14:textId="77777777" w:rsidR="00486A01" w:rsidRPr="00D03F3E" w:rsidRDefault="00486A01" w:rsidP="00D03F3E">
      <w:pPr>
        <w:spacing w:after="0" w:line="240" w:lineRule="auto"/>
        <w:jc w:val="both"/>
        <w:rPr>
          <w:rFonts w:ascii="Times New Roman" w:hAnsi="Times New Roman"/>
          <w:color w:val="000000" w:themeColor="text1"/>
          <w:sz w:val="16"/>
          <w:szCs w:val="16"/>
        </w:rPr>
      </w:pPr>
    </w:p>
    <w:p w14:paraId="0356586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января 1943 г. вышло "Положение о корректировочной авиации" (6467).</w:t>
      </w:r>
    </w:p>
    <w:p w14:paraId="228AE60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A7564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January 8, 1943: General Rokossovsky, C-in-C of Don Front, issues a surrender ultimatum to the troops of 6.Armee, guaranteeing "their lives and safety, and after the end of the war return to Germany', and promising that "...medical aid will be given to all wounded, sick and frost-bitten..." (3819).</w:t>
      </w:r>
    </w:p>
    <w:p w14:paraId="3FA5194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BC6FF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 xml:space="preserve">8 </w:t>
      </w:r>
      <w:r w:rsidRPr="00D03F3E">
        <w:rPr>
          <w:rFonts w:ascii="Times New Roman" w:hAnsi="Times New Roman"/>
          <w:color w:val="000000" w:themeColor="text1"/>
          <w:sz w:val="16"/>
          <w:szCs w:val="16"/>
        </w:rPr>
        <w:t>января</w:t>
      </w:r>
      <w:r w:rsidRPr="00D03F3E">
        <w:rPr>
          <w:rFonts w:ascii="Times New Roman" w:hAnsi="Times New Roman"/>
          <w:color w:val="000000" w:themeColor="text1"/>
          <w:sz w:val="16"/>
          <w:szCs w:val="16"/>
          <w:lang w:val="en-US"/>
        </w:rPr>
        <w:t xml:space="preserve"> 1942 </w:t>
      </w:r>
      <w:r w:rsidRPr="00D03F3E">
        <w:rPr>
          <w:rFonts w:ascii="Times New Roman" w:hAnsi="Times New Roman"/>
          <w:color w:val="000000" w:themeColor="text1"/>
          <w:sz w:val="16"/>
          <w:szCs w:val="16"/>
        </w:rPr>
        <w:t>Рокосовскийвыдвинулультиматумспредложениемсдаться</w:t>
      </w:r>
      <w:r w:rsidRPr="00D03F3E">
        <w:rPr>
          <w:rFonts w:ascii="Times New Roman" w:hAnsi="Times New Roman"/>
          <w:color w:val="000000" w:themeColor="text1"/>
          <w:sz w:val="16"/>
          <w:szCs w:val="16"/>
          <w:lang w:val="en-US"/>
        </w:rPr>
        <w:t xml:space="preserve"> (3819).</w:t>
      </w:r>
    </w:p>
    <w:p w14:paraId="5C4F200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28B8E5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 xml:space="preserve">January 8 1943 Paulus' 6th Army refuses the Russian demand to surrender (1052), </w:t>
      </w:r>
      <w:r w:rsidRPr="00D03F3E">
        <w:rPr>
          <w:rFonts w:ascii="Times New Roman" w:hAnsi="Times New Roman"/>
          <w:color w:val="000000" w:themeColor="text1"/>
          <w:sz w:val="16"/>
          <w:szCs w:val="16"/>
        </w:rPr>
        <w:t>ультиматумРокосовского</w:t>
      </w:r>
      <w:r w:rsidRPr="00D03F3E">
        <w:rPr>
          <w:rFonts w:ascii="Times New Roman" w:hAnsi="Times New Roman"/>
          <w:color w:val="000000" w:themeColor="text1"/>
          <w:sz w:val="16"/>
          <w:szCs w:val="16"/>
          <w:lang w:val="en-US"/>
        </w:rPr>
        <w:t xml:space="preserve"> (2262).</w:t>
      </w:r>
    </w:p>
    <w:p w14:paraId="1EE19B5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01147B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января 1943 Паулюс отказался капитулировать (1052).</w:t>
      </w:r>
    </w:p>
    <w:p w14:paraId="41F96C5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BECB55"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6A8B416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59488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января 1943 года</w:t>
      </w:r>
    </w:p>
    <w:p w14:paraId="2B4199F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 РУЗВЕЛЬТ И. В. СТАЛИНУ*</w:t>
      </w:r>
    </w:p>
    <w:p w14:paraId="0EBCC16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того как я прочел Ваш ответ на мою радиограмму относительно Дальнего Востока, мне показалось, что я не совсем ясно выразил свою мысль. Как я раньше пояснял в отношении Южного Кавказа, отправка тяжелых бомбардировщиков в Россию в это время неосуществима иначе, как в составе существующих организованных авиачастей. Наше предложение относительно 100 самолетов связано с положением, которое возникло бы, если бы между Японией и Россией действительно начались военные действия.</w:t>
      </w:r>
    </w:p>
    <w:p w14:paraId="7A5414A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таких обстоятельствах мы рассчитали, что путем перегруппировки наших авиачастей на тихоокеанском театре можно было бы сконцентрировать в Восточной Сибири 100 самолетов в составе организованных авиачастей, потому что их действия, так же как и Ваши операции в этом районе, позволили бы нам сократить наши военно-воздушные силы в какой-либо другой части тихоокеанского театра.</w:t>
      </w:r>
    </w:p>
    <w:p w14:paraId="06A9707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своей радиограмме я имел в виду составление предварительных планов обороны только на случай возможного нападения.</w:t>
      </w:r>
    </w:p>
    <w:p w14:paraId="2D4D1DD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Немедленные мероприятия, которые я рекомендовал, относились к инспектированию и переговорам генерала Брэдли с советскими представителями.</w:t>
      </w:r>
    </w:p>
    <w:p w14:paraId="027E7DF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Только путем подобного предварительного инспектирования и составления заранее планов будет возможно оказать достаточно скорую помощь в случае возникновения военных действий в Сибири. Я хотел бы в самом ближайшем будущем командировать генерала Маршалла с визитом в Москву, и если это может быть устроено, то я надеюсь, что Вы сможете обсудить этот вопрос с ним во время его пребывания.</w:t>
      </w:r>
    </w:p>
    <w:p w14:paraId="49B299A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Он сможет сообщить Вам о нынешнем положении в Африке, а также об операциях, запланированных на этот год на всех театрах войны. Я думаю, что это будет весьма полезным, и он будет располагать самыми последними сведениями.</w:t>
      </w:r>
    </w:p>
    <w:p w14:paraId="63BCCB3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временем я был бы признателен за скорый ответ на мое предложение от 30 декабря о том, чтобы генерал Брэдли и его группа незамедлительно проследовали на Дальний Восток для инспектирования и штабных переговоров.</w:t>
      </w:r>
    </w:p>
    <w:p w14:paraId="5CCC2AD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Выражаю мою высокую оценку продолжающегося наступления Ваших армий. Принцип постепенного перемалывания сил противника на всех фронтах начинает давать свои результаты (7430).</w:t>
      </w:r>
    </w:p>
    <w:p w14:paraId="1F9510C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B0F6B0"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03F47C5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536E4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января 1943 Британия передала Мадагаскар Свободной Франции (2100).</w:t>
      </w:r>
    </w:p>
    <w:p w14:paraId="7CBB3F2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72004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и 19 января 1943 состоялись две неудачные атаки англичан на управляемых торпедах (3961, 65).</w:t>
      </w:r>
    </w:p>
    <w:p w14:paraId="4E81604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56B438"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8 января</w:t>
      </w:r>
      <w:r w:rsidRPr="00D03F3E">
        <w:rPr>
          <w:rFonts w:ascii="Times New Roman" w:hAnsi="Times New Roman"/>
          <w:color w:val="000000" w:themeColor="text1"/>
          <w:sz w:val="16"/>
          <w:szCs w:val="16"/>
        </w:rPr>
        <w:t xml:space="preserve"> в 1943 году в США к суду привлечено 33 фашистски настроенных сотрудников СМИ (15003).</w:t>
      </w:r>
    </w:p>
    <w:p w14:paraId="1D4CA5EE" w14:textId="77777777" w:rsidR="003A63E9" w:rsidRPr="00D03F3E" w:rsidRDefault="003A63E9" w:rsidP="00D03F3E">
      <w:pPr>
        <w:spacing w:after="0" w:line="240" w:lineRule="auto"/>
        <w:jc w:val="both"/>
        <w:rPr>
          <w:rFonts w:ascii="Times New Roman" w:hAnsi="Times New Roman"/>
          <w:color w:val="000000" w:themeColor="text1"/>
          <w:sz w:val="16"/>
          <w:szCs w:val="16"/>
        </w:rPr>
      </w:pPr>
    </w:p>
    <w:p w14:paraId="20867048"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08E454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FE8869" w14:textId="77777777" w:rsidR="009C4EA0" w:rsidRPr="00D03F3E" w:rsidRDefault="009C4EA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9 января 1943 г.</w:t>
      </w:r>
    </w:p>
    <w:p w14:paraId="41C42459" w14:textId="77777777" w:rsidR="009C4EA0" w:rsidRPr="00D03F3E" w:rsidRDefault="009C4EA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Из отчета ЭКО УНКВД по Куйбышевской области № 5/26142 об итогах агентурно-оперативной работы за декабрь 1942 г.</w:t>
      </w:r>
    </w:p>
    <w:p w14:paraId="1CB33C15" w14:textId="77777777" w:rsidR="009C4EA0" w:rsidRPr="00D03F3E" w:rsidRDefault="009C4EA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9 января 1943 г.</w:t>
      </w:r>
    </w:p>
    <w:p w14:paraId="2314ABA0" w14:textId="77777777" w:rsidR="009C4EA0" w:rsidRPr="00D03F3E" w:rsidRDefault="009C4EA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w:t>
      </w:r>
    </w:p>
    <w:p w14:paraId="6B08E33A" w14:textId="77777777" w:rsidR="009C4EA0" w:rsidRPr="00D03F3E" w:rsidRDefault="009C4EA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Оперативный состав Экономического отдела УНКВД оказывал помощь и осуществлял контроль за разгрузкой готовых боевых самолетов на аэродроме заводов № 1 и № 18 НКАП, а также за выполнением задания ГКО о посылке на фронт 300 самолетов. Принимал непосредственное участие в разгрузке готовой продукции чапаевских заводов № 15, 309 и 1021. Обеспечивал и контролировал отгрузку эшелонов с мазутом для заводов № 15, 42, 525 и др. по заданию народного комиссара внутренних дел. Также принимал меры к продвижению угля для Куйбышевской ГРЭС и Безымянской ТЭЦ. Кроме того, систематически контролировал поставку корпусов снарядов и мин для завода № 15.</w:t>
      </w:r>
    </w:p>
    <w:p w14:paraId="4F021A8F" w14:textId="77777777" w:rsidR="009C4EA0" w:rsidRPr="00D03F3E" w:rsidRDefault="009C4EA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течение декабря на имя секретаря Куйбышевского обкома ВКП(б) направлено 15 информационных документов по вопросам производственной деятельности оборонных заводов и ходе выполнения хлебопоставок государству.</w:t>
      </w:r>
    </w:p>
    <w:p w14:paraId="1EC1CEC5" w14:textId="77777777" w:rsidR="009C4EA0" w:rsidRPr="00D03F3E" w:rsidRDefault="009C4EA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Начальник УНКВД по Куйбышевской области старший майор госбезопасности</w:t>
      </w:r>
      <w:r w:rsidRPr="00D03F3E">
        <w:rPr>
          <w:rFonts w:ascii="Times New Roman" w:hAnsi="Times New Roman"/>
          <w:color w:val="0070C0"/>
          <w:sz w:val="16"/>
          <w:szCs w:val="16"/>
        </w:rPr>
        <w:tab/>
        <w:t>Огольцов</w:t>
      </w:r>
    </w:p>
    <w:p w14:paraId="0C2627D9" w14:textId="77777777" w:rsidR="009C4EA0" w:rsidRPr="00D03F3E" w:rsidRDefault="009C4EA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Начальник ЭКО УНКВД по Куйбышевской области капитан госбезопасности</w:t>
      </w:r>
      <w:r w:rsidRPr="00D03F3E">
        <w:rPr>
          <w:rFonts w:ascii="Times New Roman" w:hAnsi="Times New Roman"/>
          <w:color w:val="0070C0"/>
          <w:sz w:val="16"/>
          <w:szCs w:val="16"/>
        </w:rPr>
        <w:tab/>
        <w:t>Чередниченко</w:t>
      </w:r>
    </w:p>
    <w:p w14:paraId="2ED35FDD" w14:textId="77777777" w:rsidR="009C4EA0" w:rsidRPr="00D03F3E" w:rsidRDefault="009C4EA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ЦА ФСБ России</w:t>
      </w:r>
    </w:p>
    <w:p w14:paraId="7E116551" w14:textId="77777777" w:rsidR="009C4EA0" w:rsidRPr="00D03F3E" w:rsidRDefault="009C4EA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Великая Отечественная война 1941—1945: энциклопедия. М., 1985, с. 388; История Великой Отечественной войны Советского Союза 1941—1945. М, 1961, т. 3, с. 156) (20556).</w:t>
      </w:r>
    </w:p>
    <w:p w14:paraId="7C68D1ED" w14:textId="77777777" w:rsidR="009C4EA0" w:rsidRPr="00D03F3E" w:rsidRDefault="009C4EA0" w:rsidP="00D03F3E">
      <w:pPr>
        <w:spacing w:after="0" w:line="240" w:lineRule="auto"/>
        <w:jc w:val="both"/>
        <w:rPr>
          <w:rFonts w:ascii="Times New Roman" w:hAnsi="Times New Roman"/>
          <w:color w:val="0070C0"/>
          <w:sz w:val="16"/>
          <w:szCs w:val="16"/>
        </w:rPr>
      </w:pPr>
    </w:p>
    <w:p w14:paraId="4D05C8A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января 1943 мотор АМ-42 N 4208 прошел внутризаводские 50-ти часовые испытания (1458,82).</w:t>
      </w:r>
    </w:p>
    <w:p w14:paraId="71EFB08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53AFD7" w14:textId="77777777" w:rsidR="00362D61" w:rsidRPr="00D03F3E" w:rsidRDefault="00362D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9 января 1943 года первый мотор АМ-42 прошел внутризаводские 50-часовые испытания лишь. Однако все последующие моторы снимались с испытаний из-за многочисленных дефектов: разрушение шестерни редуктора, прогар клапанов, поломка шатунов, задир поршней и т. д.</w:t>
      </w:r>
    </w:p>
    <w:p w14:paraId="0C8D9690" w14:textId="77777777" w:rsidR="00362D61" w:rsidRPr="00D03F3E" w:rsidRDefault="00362D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Только в мае 1943 года АМ-42 удовлетворительно прошел совместные 50-часовые испытания. В ходе испытаний была получена мощность 1940 л. с. – на взлетном и 1766 л. с. – на номинальном режиме (17490).</w:t>
      </w:r>
    </w:p>
    <w:p w14:paraId="2ED5C26B" w14:textId="77777777" w:rsidR="00362D61" w:rsidRPr="00D03F3E" w:rsidRDefault="00362D61" w:rsidP="00D03F3E">
      <w:pPr>
        <w:spacing w:after="0" w:line="240" w:lineRule="auto"/>
        <w:jc w:val="both"/>
        <w:rPr>
          <w:rFonts w:ascii="Times New Roman" w:hAnsi="Times New Roman"/>
          <w:color w:val="000000" w:themeColor="text1"/>
          <w:sz w:val="16"/>
          <w:szCs w:val="16"/>
        </w:rPr>
      </w:pPr>
    </w:p>
    <w:p w14:paraId="59904DE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января 1943 Н.Н.П. писал Н.А.Жемчужину:</w:t>
      </w:r>
    </w:p>
    <w:p w14:paraId="10085D6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«Многоуважаемый Николай Алексеевич!</w:t>
      </w:r>
    </w:p>
    <w:p w14:paraId="2BF3CF6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Пользуюсь случаем сообщить Вам свои соображения по вопросу судьбы нашего завода в связи с намечающимся пуском в серию на з-де 81 нашего с[амолет]а. Не</w:t>
      </w:r>
      <w:r w:rsidRPr="00D03F3E">
        <w:rPr>
          <w:rFonts w:ascii="Times New Roman" w:hAnsi="Times New Roman"/>
          <w:color w:val="000000" w:themeColor="text1"/>
          <w:sz w:val="16"/>
          <w:szCs w:val="16"/>
        </w:rPr>
        <w:softHyphen/>
        <w:t>сомненно, что всемерная с нашей стороны помощь при запуске И-185 является важнейшей задачей нашего за</w:t>
      </w:r>
      <w:r w:rsidRPr="00D03F3E">
        <w:rPr>
          <w:rFonts w:ascii="Times New Roman" w:hAnsi="Times New Roman"/>
          <w:color w:val="000000" w:themeColor="text1"/>
          <w:sz w:val="16"/>
          <w:szCs w:val="16"/>
        </w:rPr>
        <w:softHyphen/>
        <w:t>вода, на что мы предполагаем бросить все наши силы. С этой целью мы предполагали бы помочь з-ду 81 преж</w:t>
      </w:r>
      <w:r w:rsidRPr="00D03F3E">
        <w:rPr>
          <w:rFonts w:ascii="Times New Roman" w:hAnsi="Times New Roman"/>
          <w:color w:val="000000" w:themeColor="text1"/>
          <w:sz w:val="16"/>
          <w:szCs w:val="16"/>
        </w:rPr>
        <w:softHyphen/>
        <w:t>де всего в освоении наших чертежей и в переработке их на серийные в заводском СКВ.</w:t>
      </w:r>
    </w:p>
    <w:p w14:paraId="4369330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несомненно, потребует переброску значитель</w:t>
      </w:r>
      <w:r w:rsidRPr="00D03F3E">
        <w:rPr>
          <w:rFonts w:ascii="Times New Roman" w:hAnsi="Times New Roman"/>
          <w:color w:val="000000" w:themeColor="text1"/>
          <w:sz w:val="16"/>
          <w:szCs w:val="16"/>
        </w:rPr>
        <w:softHyphen/>
        <w:t>ного количества ведущих конструкторов в Москву, при</w:t>
      </w:r>
      <w:r w:rsidRPr="00D03F3E">
        <w:rPr>
          <w:rFonts w:ascii="Times New Roman" w:hAnsi="Times New Roman"/>
          <w:color w:val="000000" w:themeColor="text1"/>
          <w:sz w:val="16"/>
          <w:szCs w:val="16"/>
        </w:rPr>
        <w:softHyphen/>
        <w:t>чем они сильно помогут затем и цехам в сборке агрегатов с-та. Нам с Вами также придется много пора</w:t>
      </w:r>
      <w:r w:rsidRPr="00D03F3E">
        <w:rPr>
          <w:rFonts w:ascii="Times New Roman" w:hAnsi="Times New Roman"/>
          <w:color w:val="000000" w:themeColor="text1"/>
          <w:sz w:val="16"/>
          <w:szCs w:val="16"/>
        </w:rPr>
        <w:softHyphen/>
        <w:t>ботать над этим, вследствие чего, по-видимому, мы вас вызовем, если дело с запуском продвинется в положи</w:t>
      </w:r>
      <w:r w:rsidRPr="00D03F3E">
        <w:rPr>
          <w:rFonts w:ascii="Times New Roman" w:hAnsi="Times New Roman"/>
          <w:color w:val="000000" w:themeColor="text1"/>
          <w:sz w:val="16"/>
          <w:szCs w:val="16"/>
        </w:rPr>
        <w:softHyphen/>
        <w:t>тельную сторону...</w:t>
      </w:r>
    </w:p>
    <w:p w14:paraId="35D6A63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Вам небезызвестная кампания ЦАГИ против высо</w:t>
      </w:r>
      <w:r w:rsidRPr="00D03F3E">
        <w:rPr>
          <w:rFonts w:ascii="Times New Roman" w:hAnsi="Times New Roman"/>
          <w:color w:val="000000" w:themeColor="text1"/>
          <w:sz w:val="16"/>
          <w:szCs w:val="16"/>
        </w:rPr>
        <w:softHyphen/>
        <w:t>ких нагрузок на 1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xml:space="preserve"> крыла истребителей, их предель-щина в этом вопросе (177-190 [кг/м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признание того, что пределом веса истребителя является 3100 кг и т.д. Вам ясна была наша позиция, наши возражения. Сего</w:t>
      </w:r>
      <w:r w:rsidRPr="00D03F3E">
        <w:rPr>
          <w:rFonts w:ascii="Times New Roman" w:hAnsi="Times New Roman"/>
          <w:color w:val="000000" w:themeColor="text1"/>
          <w:sz w:val="16"/>
          <w:szCs w:val="16"/>
        </w:rPr>
        <w:softHyphen/>
        <w:t>дня мы получили два категорических подтверждения нашей позиции в этом вопросе и опровержения «пре-делыцины» ЦАГИ.</w:t>
      </w:r>
    </w:p>
    <w:p w14:paraId="06B3B20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 хочу Вам сказать по Ме109С-2 и ФВ190А2. Первый самолет находится в НИИ ВВС на летных испытаниях, а по второму в Aeroplane и Flight напечатаны доклады из Англии также по летным испытаниям захваченного в плен с-та.</w:t>
      </w:r>
    </w:p>
    <w:p w14:paraId="36C1577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Материалы, безусловно, надежные.</w:t>
      </w:r>
    </w:p>
    <w:p w14:paraId="3244339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Первое: полетный вес Ме - 3235 кг, РШ - 3850 кг при запасе горючего 450 литров. Нагрузка на 1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xml:space="preserve"> - 202-205 кг/м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Вираж - 21 "-22". Н [набор высоты] при боевом развороте 1500 м. Скорость у земли Ме - 502 к/ч, на 6000-7000-8000 м - 640-635 к/ч. Потолок 12-13 км. Ско</w:t>
      </w:r>
      <w:r w:rsidRPr="00D03F3E">
        <w:rPr>
          <w:rFonts w:ascii="Times New Roman" w:hAnsi="Times New Roman"/>
          <w:color w:val="000000" w:themeColor="text1"/>
          <w:sz w:val="16"/>
          <w:szCs w:val="16"/>
        </w:rPr>
        <w:softHyphen/>
        <w:t>роподъемность на 5000&lt;4,5' - на 10 км&lt;17'.</w:t>
      </w:r>
    </w:p>
    <w:p w14:paraId="7D7AE6E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Вам ясна та громадная и роковая разница в этих дан</w:t>
      </w:r>
      <w:r w:rsidRPr="00D03F3E">
        <w:rPr>
          <w:rFonts w:ascii="Times New Roman" w:hAnsi="Times New Roman"/>
          <w:color w:val="000000" w:themeColor="text1"/>
          <w:sz w:val="16"/>
          <w:szCs w:val="16"/>
        </w:rPr>
        <w:softHyphen/>
        <w:t>ных Ме с теми, кои нам все время преподносились из официальных источников (в отечественных официаль</w:t>
      </w:r>
      <w:r w:rsidRPr="00D03F3E">
        <w:rPr>
          <w:rFonts w:ascii="Times New Roman" w:hAnsi="Times New Roman"/>
          <w:color w:val="000000" w:themeColor="text1"/>
          <w:sz w:val="16"/>
          <w:szCs w:val="16"/>
        </w:rPr>
        <w:softHyphen/>
        <w:t>ных источниках публиковались заниженные летные ха</w:t>
      </w:r>
      <w:r w:rsidRPr="00D03F3E">
        <w:rPr>
          <w:rFonts w:ascii="Times New Roman" w:hAnsi="Times New Roman"/>
          <w:color w:val="000000" w:themeColor="text1"/>
          <w:sz w:val="16"/>
          <w:szCs w:val="16"/>
        </w:rPr>
        <w:softHyphen/>
        <w:t>рактеристики самолетов противника, отсюда неверные оценки наших самолетов. - В.И.), и понятно, почему произошли события под Сталинградом (когда высокие характеристики немецких машин стали для нас непри</w:t>
      </w:r>
      <w:r w:rsidRPr="00D03F3E">
        <w:rPr>
          <w:rFonts w:ascii="Times New Roman" w:hAnsi="Times New Roman"/>
          <w:color w:val="000000" w:themeColor="text1"/>
          <w:sz w:val="16"/>
          <w:szCs w:val="16"/>
        </w:rPr>
        <w:softHyphen/>
        <w:t>ятным сюрпризом. - В.И.). Мы здесь имеем две разни</w:t>
      </w:r>
      <w:r w:rsidRPr="00D03F3E">
        <w:rPr>
          <w:rFonts w:ascii="Times New Roman" w:hAnsi="Times New Roman"/>
          <w:color w:val="000000" w:themeColor="text1"/>
          <w:sz w:val="16"/>
          <w:szCs w:val="16"/>
        </w:rPr>
        <w:softHyphen/>
        <w:t>цы. РМ имеет V 6,0 (на высоте 6000 м. - В.И.) = 625 к/ч.</w:t>
      </w:r>
    </w:p>
    <w:p w14:paraId="6EF9836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Мне кажется, что благодаря этому актуальность на</w:t>
      </w:r>
      <w:r w:rsidRPr="00D03F3E">
        <w:rPr>
          <w:rFonts w:ascii="Times New Roman" w:hAnsi="Times New Roman"/>
          <w:color w:val="000000" w:themeColor="text1"/>
          <w:sz w:val="16"/>
          <w:szCs w:val="16"/>
        </w:rPr>
        <w:softHyphen/>
        <w:t>ших машин возрастет еще более, но посмотрим...</w:t>
      </w:r>
    </w:p>
    <w:p w14:paraId="75333C4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Сейчас много работаем по чертежам для серии. Рабо</w:t>
      </w:r>
      <w:r w:rsidRPr="00D03F3E">
        <w:rPr>
          <w:rFonts w:ascii="Times New Roman" w:hAnsi="Times New Roman"/>
          <w:color w:val="000000" w:themeColor="text1"/>
          <w:sz w:val="16"/>
          <w:szCs w:val="16"/>
        </w:rPr>
        <w:softHyphen/>
        <w:t>ты очень много и мы все время боимся, что вот грянет постановление (о запуске И-185 в серию. - В.И), а черте</w:t>
      </w:r>
      <w:r w:rsidRPr="00D03F3E">
        <w:rPr>
          <w:rFonts w:ascii="Times New Roman" w:hAnsi="Times New Roman"/>
          <w:color w:val="000000" w:themeColor="text1"/>
          <w:sz w:val="16"/>
          <w:szCs w:val="16"/>
        </w:rPr>
        <w:softHyphen/>
        <w:t>жи не будут доведены - поэтому всячески спешим. На</w:t>
      </w:r>
      <w:r w:rsidRPr="00D03F3E">
        <w:rPr>
          <w:rFonts w:ascii="Times New Roman" w:hAnsi="Times New Roman"/>
          <w:color w:val="000000" w:themeColor="text1"/>
          <w:sz w:val="16"/>
          <w:szCs w:val="16"/>
        </w:rPr>
        <w:softHyphen/>
        <w:t>деюсь успеть» (10667).</w:t>
      </w:r>
    </w:p>
    <w:p w14:paraId="499BF6E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5C2C5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января 1943 года вышло решение ГОКО № 1903 о реэвакуации з-да № 293 из Билимбая в Химки (9360).</w:t>
      </w:r>
    </w:p>
    <w:p w14:paraId="0E1F2FA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73C5F3"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3D7DE28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683A6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января 1943 г. Начальник ТУ ГБТУ КА Афонин утвердил:</w:t>
      </w:r>
    </w:p>
    <w:p w14:paraId="369611D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ЗАКЛЮЧЕНИЕ ПО РЕЗУЛЬТАТАМ ПОЛИГОННЫХ ИСПЫТАНИЙ 76-мм САМОХОДНОЙ ПУШКИ, ИЗГОТОВЛЕННОЙ ГОРЬКОВСКИМ АВТОЗАВОДОМ им. МОЛОТОВА</w:t>
      </w:r>
    </w:p>
    <w:p w14:paraId="3637E97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Результаты испытаний показывают, что:</w:t>
      </w:r>
    </w:p>
    <w:p w14:paraId="1A04F53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Система охлаждения двигателя самоходной установки не отработана.</w:t>
      </w:r>
    </w:p>
    <w:p w14:paraId="4B41120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Не достигнута синхронность включения передач в коробке перемены передач самохода.</w:t>
      </w:r>
    </w:p>
    <w:p w14:paraId="1A5D93D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Отказ в работе двигателя.</w:t>
      </w:r>
    </w:p>
    <w:p w14:paraId="12FCD41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попытки устранения указанных дефектов на месте и на заводе положительных результатов не дали. Ходовых испытаний АНИОП ГАУ КА по указанным причинам провести не смог.</w:t>
      </w:r>
    </w:p>
    <w:p w14:paraId="0861CA1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недостатков по механической части самохода во время отстрела, выявлена недостаточная высота броневой защиты боевого отделения, из-за чего расчету приходится работать в неестествен</w:t>
      </w:r>
      <w:r w:rsidRPr="00D03F3E">
        <w:rPr>
          <w:rFonts w:ascii="Times New Roman" w:hAnsi="Times New Roman"/>
          <w:color w:val="000000" w:themeColor="text1"/>
          <w:sz w:val="16"/>
          <w:szCs w:val="16"/>
        </w:rPr>
        <w:softHyphen/>
        <w:t>но-согнутом положении.</w:t>
      </w:r>
    </w:p>
    <w:p w14:paraId="2A932D6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Неудачно расположены подъемный и поворотный механизмы и укладки боеприпасов.</w:t>
      </w:r>
    </w:p>
    <w:p w14:paraId="6B426A3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Заключение комиссии о нецелесообразности дальнейшей доработки указанного образца считаю совершенно правильным, имея в виду, что подобный самоход в более отработанном виде пущен на производство на заводе №38.</w:t>
      </w:r>
    </w:p>
    <w:p w14:paraId="6DF2967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6 отдела ТУ ГБТУ КА инженер-подполковник Ковалев</w:t>
      </w:r>
    </w:p>
    <w:p w14:paraId="0E83AAF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4 отдела ТУ ГБТУ КА инженер-подполковник Ненароков</w:t>
      </w:r>
    </w:p>
    <w:p w14:paraId="6C42040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1403. Л. 4. Копия (11403).</w:t>
      </w:r>
    </w:p>
    <w:p w14:paraId="3BA1023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DDEB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января 1943 вышло Постановление ГКО № 2722 О мероприятиях по обеспечению бесперебойной работы черной металлургии в январе и I квартале 1943 г.РГАНИР, Фонд ГКО, д. 79, лл. 57-85, 86-145 (11012).</w:t>
      </w:r>
    </w:p>
    <w:p w14:paraId="1EA5C4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66A4A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января 1943 вышло Постановление ГКО № 2726 Об обеспечении ремонтными комплектами запасных частей, агрегатами и деталями для производства ремонта танков на Южном, Юго-Западном и Донском фронтах. (7073, 1-2).</w:t>
      </w:r>
    </w:p>
    <w:p w14:paraId="74C6F5C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D0AB9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января 1943 вышло Постановление ГКО № 2731 О материально-техническом обеспечении предприятий Наркомата электростанций на первый квартал 1943 г. и о плане капитального ремонта действующего энергооборудования электростанций.РГАНИР, Фонд ГКО, д. 80, лл. 131-136, 137-255 (11012).</w:t>
      </w:r>
    </w:p>
    <w:p w14:paraId="53538BE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2B2B2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января 1943 На Балтийском заводе окончены швартовные испытания эсминца "Сторожевой", находившегося на капитально-восстановительном ремонте (10671).</w:t>
      </w:r>
    </w:p>
    <w:p w14:paraId="5E2287C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BEA6C4"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46109B1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1BE016"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9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76706E13"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9 января наши войска в районе Нижнего Дона, на Центральном фронте и на Северном Кавказе продолжали бои на прежних направлениях.</w:t>
      </w:r>
    </w:p>
    <w:p w14:paraId="523BD70C"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Сталинграда на одном участке наши подразделения атаковали противника и заняли 40 окопов. Гитлеровцы, пытаясь восстановить положение, бросили в контратаку до полка пехоты и 20 танков. Наши бойцы удержали занятые позиции и в ожесточённом бою нанесли немцам большой урон. Уничтожено до 500 немецких солдат и офицеров, сожжено и подбито 5 танков, захвачено 20 пулемётов и более 20.000 патронов. Взяты пленные.</w:t>
      </w:r>
    </w:p>
    <w:p w14:paraId="5CB5C2D8"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Нижнего Дона наши войска, преодолевая сопротивление противника, продолжали наступление. На одном участке два немецких пехотных полка предприняли отчаянную попытку остановить наступающие советские части. После многочасового боя наши части, истребив не менее 400 немцев, заняли два населённых пункта и захватили много трофеев. На другом участке советские войска овладели населённым пунктом и захватили 11 орудий, из них 3 самоходных, 2 шестиствольных миномёта, 24 пулемёта и склад с имуществом связи. Взяты пленные.</w:t>
      </w:r>
    </w:p>
    <w:p w14:paraId="4400D05B"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наши войска укрепляли занятые рубежи. В районеюго-западнее Великих Лук немцы вели сильные контратаки на позиции наших войск. Попытки гитлеровцев прорвать нашу оборону потерпели неудачу. В результате боя истреблено более 200 немецких солдат и офицеров. Ружейно-пулемётным огнём нашими бойцами сбито 5 немецких самолётов.</w:t>
      </w:r>
    </w:p>
    <w:p w14:paraId="6E45FE82"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части вели успешные наступательные бои. Отступая под ударами советских войск, противник несёт тяжёлые потери. Только в окрестностях одного населённого пункта наши бойцы захватили 2 танка, 3 бронемашины, 6 орудийи 14 автомашин. На поле боя подсчитано 380 вражеских трупов. На другом участке разгромлен батальон немецкой пехоты и захвачен большой обоз с продовольствием, награбленным гитлеровцами у мирных жителей.</w:t>
      </w:r>
    </w:p>
    <w:p w14:paraId="0E41BE0F"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снайперы за три дня истребили до 400 солдат иофицеров противника. На подступах к Ленинграду советские зенитчики сбили 2 немецких истребителя.</w:t>
      </w:r>
    </w:p>
    <w:p w14:paraId="0B25109B"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калининских партизан за последнее время истребил 157 немецких солдат и офицеров и захватил у противника 4 продовольственных склада. Небольшая группа советских патриотов взорвала железнодорожный мост и из засады уничтожила 3 грузовые автомашины противника.</w:t>
      </w:r>
    </w:p>
    <w:p w14:paraId="27FAC4E8"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известно, гитлеровцам уже давно мерещатся кавказские нефтяные вышки. Немецкое командование намеревалось захватить Баку не позднее 25 сентября 1942 года. Немецкие офицеры широко рекламировали среди солдат планы завоевания Кавказа. Одураченные немецкие солдаты писали летом родным в Германию письма, вкоторых выбалтывали всё, что им говорили офицеры. В неотправленном письме, найденном у убитого ефрейтора Георга Дука, говорится: «Сейчас я нахожусь в Майское. Наша цель — Баку». Немецкий солдат Георг писал 25 августа родителям: «Мы катимся вперёд... Следующее письмо напишу вам из Баку». После первых же неудач гитлеровцы сбавили спесь и заскулили. Чем дальше, тем всё более безрадостные вести писали немецкие солдаты своим родным. Немецкий ефрейтор Фогт в письме от 19 сентября жаловался: «Русские крепко сидят на отрогах гор. Идут тяжёлые бои. Мы еще не знаем, чего это нам будет стоить». 6 октября немецкий ефрейтор Кендлер писал ефрейтору Иосифу Экбауэру: «У нас тут сейчас тоже очень погано. Мы не можем продвинуться дальше. Слишком велики силы русских... Горная война — самая трудная. У нас у всех нервы совершенно расшатаны». Немецкий унтер-офицер Готлиб Кольб уже не упоминает ни о Грозном, ни о Баку. Перед ним маячат не нефтяные вышки, а кресты немецких могил. Кольб писал 7 ноября: «...НаКавказе очень много могил немецких солдат. Во многих сёлах я видел не только могилы, но и целые кладбища. Мы должны быть готовы к самому худшему».</w:t>
      </w:r>
    </w:p>
    <w:p w14:paraId="5A60AD67"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 писали гитлеровцы до наступления советских войск на Северном Кавказе.Можно не сомневаться, что теперь, отступая под ударами Красной Армии, немцы кое-чему всё-таки научатся.</w:t>
      </w:r>
    </w:p>
    <w:p w14:paraId="49E9404E"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Французские свободные стрелки сожгли на окраине Лиона (Франция) бензохранилище немецко-фашистских оккупантов. В одном из железнодорожных депо Парижа за последние две недели выведено из строя 16 паровозов. В районе Орлеана свободные стрелки пустили под откос немецкий железнодорожный эшелон с солдатами.» (15004).</w:t>
      </w:r>
    </w:p>
    <w:p w14:paraId="1454BBCB" w14:textId="77777777" w:rsidR="003A63E9" w:rsidRPr="00D03F3E" w:rsidRDefault="003A63E9" w:rsidP="00D03F3E">
      <w:pPr>
        <w:spacing w:after="0" w:line="240" w:lineRule="auto"/>
        <w:jc w:val="both"/>
        <w:rPr>
          <w:rFonts w:ascii="Times New Roman" w:hAnsi="Times New Roman"/>
          <w:color w:val="000000" w:themeColor="text1"/>
          <w:sz w:val="16"/>
          <w:szCs w:val="16"/>
        </w:rPr>
      </w:pPr>
    </w:p>
    <w:p w14:paraId="11B50ADA"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9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696E1832"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января наши войска в районе Нижнего Дона, продолжая наступление, овладели населёнными пунктами — Ковылкин, Сенной, Крылов, Ново-Россошанский, Трофимов,Гореловский, Крюковский, Ермилов, Савельев, Богоявленская, Устькагальницкий, Кастырочный.</w:t>
      </w:r>
    </w:p>
    <w:p w14:paraId="3FA32F8C"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Зимовники наши войска овладели населёнными пунктами — Торговый, Ковалевский, Красный Октябрь, Грушевка, Весёлый, Островянский.</w:t>
      </w:r>
    </w:p>
    <w:p w14:paraId="7263F196"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овладели городом Солдатско-Александровское, районным центром Зольское, населёнными пунктами — Колтуновская, Морозовская и железнодорожной станцией Этока.</w:t>
      </w:r>
    </w:p>
    <w:p w14:paraId="7F37FEA0"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наши войска вели бои на прежних направлениях.</w:t>
      </w:r>
    </w:p>
    <w:p w14:paraId="22303923"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января частями нашей авиации на различных участках фронта уничтожено или повреждено пять немецких танков, более 50 автомашин с войсками и грузами, подавлен огонь 6 артиллерийских батарей, взорвано 2 склада боеприпасов, потоплен транспорт водоизмещением в 4.000 тонн, рассеяно и частью уничтожено до роты пехоты противника.</w:t>
      </w:r>
    </w:p>
    <w:p w14:paraId="2F0CB4AE"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Северо-западнее Сталинграда значительная группа пехоты противника, поддержанная танками, атаковала позиции Н-ской части. Наши бойцы отбили атаку гитлеровцев и, преследуя их, захватила 51 окоп. Уничтожено 280 вражеских солдат и офицеров, подбито 3 танка, захвачено самоходное орудие, 35 пулемётов, свыше 100 винтовок и много патронов. Огнём из пехотного оружия сбито два немецких транспортных самолёта.</w:t>
      </w:r>
    </w:p>
    <w:p w14:paraId="157C3D32"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Нижнего Дона наши войска продолжали наступление и овладели рядом населённых пунктов. В одном районе немцы бросили в контратаку более 100 танков и крупные силы пехоты. Завязался ожесточённый бой, который закончился поражением противника. Бросив на поле боя десятки изуродованных танков и оставив большое количество убитых и раненых своих солдат и офицеров, гитлеровцы отступили. Преследуя противника, наши части заняли два крупных населённых пункта. На другом участке наши подразделения, продвигаясь вперёд, захватили у немцев 3 самоходных орудия, 6 танков, 10 пулемётов, радиостанцию и 17 автомашин с боеприпасами.</w:t>
      </w:r>
    </w:p>
    <w:p w14:paraId="5A4473AA"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наши войска частью сил отбивали контратаки противника. Юго-западнее и северо-западнее Великих Лук немцы предприняли несколькоконтратак, пытаясь выбить наши подразделения с занимаемых позиций. Огнём из всех видов оружия контратаки гитлеровцев были отбиты. На поле боя осталось более 200 вражеских трупов и 2 сожжённых танка.</w:t>
      </w:r>
    </w:p>
    <w:p w14:paraId="0F162C0F"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советские войска с боями продвигались вперёд. В результате ожесточённого боя части Н-ского гвардейского соединения овладели крупным населённым пунктом. В бою за этот населенный пункт наши бойцы истребили сотни вражеских солдат и офицеров, уничтожили 160 автомашин и более 100 мотоциклов. Захвачено 32 танка, 13 орудий, 11 пулемётов, 6 миномётов, 4 автомастерских и 3 склада с боеприпасами.</w:t>
      </w:r>
    </w:p>
    <w:p w14:paraId="60A4F31F"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Смоленской области, за два дня пустил под откос 4 немецких эшелона с войсками, следовавшими к линии фронта. В результате крушения разбито 2 паровоза, 30 вагонов и 11 платформ. Под обломками вагонов погибло свыше 400 гитлеровцев. Другой отряд смоленских партизан внезапно напал на немецкий гарнизон. Советские патриоты ворвались в населённый пункт иистребили 95 гитлеровцев. Партизаны захватили склады с продовольствием и обмундированием, 34 автомашины и 30 лошадей.</w:t>
      </w:r>
    </w:p>
    <w:p w14:paraId="330FC487" w14:textId="77777777" w:rsidR="003A63E9" w:rsidRPr="00D03F3E" w:rsidRDefault="003A63E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Получено сообщение о зверствах немецко-фашистских мерзавцев в деревне Заозерье, Пинской области. Недалеко от деревни был найден труп немецкого офицера. На другой день в Заозерье приехал карательный отряд. Гитлеровцы согналив сех жителей на площадь и выпороли их плетьми. Здесь же фашистские палачи расстреляли 7 мужчин и 5 женщин. Остальных жителей—взрослых и детей — немцы загнали в сарай и заперли их. Ограбив все дома, бандиты подожгли деревню. Когда пламя охватило сарай, заключённые выломали дверь и пытались спастись бегством. Немцы открыли по ним огонь из автоматов. Из всех жителей деревни лишь двум девушкам удалось спастись, пробраться к партизанам и рассказать об этом злодеянии немецко-фашистских оккупантов.» (15004).</w:t>
      </w:r>
    </w:p>
    <w:p w14:paraId="7EF347D4" w14:textId="77777777" w:rsidR="003A63E9" w:rsidRPr="00D03F3E" w:rsidRDefault="003A63E9" w:rsidP="00D03F3E">
      <w:pPr>
        <w:spacing w:after="0" w:line="240" w:lineRule="auto"/>
        <w:jc w:val="both"/>
        <w:rPr>
          <w:rFonts w:ascii="Times New Roman" w:hAnsi="Times New Roman"/>
          <w:color w:val="000000" w:themeColor="text1"/>
          <w:sz w:val="16"/>
          <w:szCs w:val="16"/>
        </w:rPr>
      </w:pPr>
    </w:p>
    <w:p w14:paraId="56179995" w14:textId="77777777" w:rsidR="008C5F3D" w:rsidRPr="00D03F3E" w:rsidRDefault="008C5F3D" w:rsidP="00D03F3E">
      <w:pPr>
        <w:pStyle w:val="ae"/>
        <w:spacing w:before="0" w:after="0"/>
        <w:jc w:val="both"/>
        <w:textAlignment w:val="baseline"/>
        <w:rPr>
          <w:color w:val="000000" w:themeColor="text1"/>
          <w:sz w:val="16"/>
          <w:szCs w:val="16"/>
        </w:rPr>
      </w:pPr>
      <w:r w:rsidRPr="00D03F3E">
        <w:rPr>
          <w:color w:val="000000" w:themeColor="text1"/>
          <w:sz w:val="16"/>
          <w:szCs w:val="16"/>
        </w:rPr>
        <w:t>9 января 1943 г. семерка Ил-2 все из того же 622-го шап в сопровождении семи Як-1 из 236-го иап совершила налет на аэродром Сальск, где базировалось большое число самолетов Не-111 и Ju-52. На сей раз низкая облачность помогла русским летчикам незаметно подойти к цели, что бывало весьма редко. В 11.08 «горбатые» внезапно вывалились из облаков и начали пикировать на стоянки самолетов. С высоты около четырехсот метров они сбросили 26 фугасных бомб, после чего уже под огнем зенитной артиллерии сделали еще несколько заходов, паля из пушек и пуская «эрэсы».</w:t>
      </w:r>
    </w:p>
    <w:p w14:paraId="626BD5D9" w14:textId="77777777" w:rsidR="008C5F3D" w:rsidRPr="00D03F3E" w:rsidRDefault="008C5F3D" w:rsidP="00D03F3E">
      <w:pPr>
        <w:pStyle w:val="ae"/>
        <w:spacing w:before="0" w:after="0"/>
        <w:jc w:val="both"/>
        <w:textAlignment w:val="baseline"/>
        <w:rPr>
          <w:color w:val="000000" w:themeColor="text1"/>
          <w:sz w:val="16"/>
          <w:szCs w:val="16"/>
        </w:rPr>
      </w:pPr>
      <w:r w:rsidRPr="00D03F3E">
        <w:rPr>
          <w:color w:val="000000" w:themeColor="text1"/>
          <w:sz w:val="16"/>
          <w:szCs w:val="16"/>
        </w:rPr>
        <w:t>Фейерверк получился эффектным. Ракеты и снаряды взрывались в разных местах, вздымая столбы огня, снега и земли. Однако при этом сами самолеты почти не пострадали. В то же время собственные потери составили два Ил-2 и два Як-1, то есть почти треть атакующей группы.</w:t>
      </w:r>
    </w:p>
    <w:p w14:paraId="5DF7D52D" w14:textId="77777777" w:rsidR="008C5F3D" w:rsidRPr="00D03F3E" w:rsidRDefault="008C5F3D" w:rsidP="00D03F3E">
      <w:pPr>
        <w:pStyle w:val="ae"/>
        <w:spacing w:before="0" w:after="0"/>
        <w:jc w:val="both"/>
        <w:textAlignment w:val="baseline"/>
        <w:rPr>
          <w:color w:val="000000" w:themeColor="text1"/>
          <w:sz w:val="16"/>
          <w:szCs w:val="16"/>
        </w:rPr>
      </w:pPr>
      <w:r w:rsidRPr="00D03F3E">
        <w:rPr>
          <w:color w:val="000000" w:themeColor="text1"/>
          <w:sz w:val="16"/>
          <w:szCs w:val="16"/>
        </w:rPr>
        <w:t>Впоследствии этот «суперэффективный» удар вошел во многие труды по истории советской штурмовой авиации. При этом основным доказательством успеха стали показания неких лиц, «работавших во время удара на аэродроме», полученные уже в плену (19522).</w:t>
      </w:r>
    </w:p>
    <w:p w14:paraId="07B9F60B" w14:textId="77777777" w:rsidR="008C5F3D" w:rsidRPr="00D03F3E" w:rsidRDefault="008C5F3D" w:rsidP="00D03F3E">
      <w:pPr>
        <w:pStyle w:val="ae"/>
        <w:spacing w:before="0" w:after="0"/>
        <w:jc w:val="both"/>
        <w:textAlignment w:val="baseline"/>
        <w:rPr>
          <w:color w:val="000000" w:themeColor="text1"/>
          <w:sz w:val="16"/>
          <w:szCs w:val="16"/>
        </w:rPr>
      </w:pPr>
    </w:p>
    <w:p w14:paraId="0420BD8C" w14:textId="77777777" w:rsidR="003A63E9" w:rsidRPr="00D03F3E" w:rsidRDefault="003A63E9" w:rsidP="00D03F3E">
      <w:pPr>
        <w:pStyle w:val="a3"/>
        <w:tabs>
          <w:tab w:val="left" w:pos="553"/>
        </w:tabs>
        <w:rPr>
          <w:color w:val="000000" w:themeColor="text1"/>
          <w:lang w:val="ru-RU"/>
        </w:rPr>
      </w:pPr>
      <w:r w:rsidRPr="00D03F3E">
        <w:rPr>
          <w:color w:val="000000" w:themeColor="text1"/>
          <w:lang w:val="ru-RU"/>
        </w:rPr>
        <w:t>9 января 1943 г. был удар группы штурмовиков в составе 7 Ил-2 от 622-го шап 214-й шад по немецкому аэродрому в 1,5 км от г. Сальск. Согласно официальным данным потери противника составили 70 самолетов, уничтожен</w:t>
      </w:r>
      <w:r w:rsidRPr="00D03F3E">
        <w:rPr>
          <w:color w:val="000000" w:themeColor="text1"/>
          <w:lang w:val="ru-RU"/>
        </w:rPr>
        <w:softHyphen/>
        <w:t>ных и поврежденных на земле, и два самолета, сбитых в воздухе. От прямого попадания бомбы в здание полевого эвакогоспиталя в районе аэродрома погибло много немецких солдат и офицеров. Потери противника подтверждаются гражданами г. Сальск, работав</w:t>
      </w:r>
      <w:r w:rsidRPr="00D03F3E">
        <w:rPr>
          <w:color w:val="000000" w:themeColor="text1"/>
          <w:lang w:val="ru-RU"/>
        </w:rPr>
        <w:softHyphen/>
        <w:t>шими на аэродроме и наблюдавшими налет штурмовиков. Свои потери составили два самолета Ил-2 и два Як-1. Этот удар вошел в послевоенные сборники боевых примеров, учебники по тактике авиации и исторические исследования наших ВВС как образцовый с точки зрения подготовки и организации, а также достигнутых результатов [см. Советские Военно-воздушные силы в Великой Отечественной войне 1941-1945 гг. М.: Воениздат, 1968, с. 147.; Тимохович И.В. Оперативное искусство советских ВВС в Великой Отечественной войне. М.: Воениздат, 1976, с. 176.; Скоморохов Н.М., Чернецкий В.Н. Тактика в боевых примерах. Авиационный полк. М.: Воениздат, 1985, с. 109.]. Между тем некоторые авторы современных публикаций утверждают, что удар по аэродрому Сальск успеха не имел, был нанесен по шаблону и немецкие самолеты почти не постра</w:t>
      </w:r>
      <w:r w:rsidRPr="00D03F3E">
        <w:rPr>
          <w:color w:val="000000" w:themeColor="text1"/>
          <w:lang w:val="ru-RU"/>
        </w:rPr>
        <w:softHyphen/>
        <w:t>дали [Дегтев Д.М., Зубов Д.В. «Черная смерть». Правда и мифы о боевом применении штурмовика Ил-2 (1941-45 гг). М.: Издательство Центрополиграф, 2013, с.114.]. Все это послужило толчком для более детального исследования обстоятельств и результатов удара штурмовиков 622-го шап по аэродрому Сальск.</w:t>
      </w:r>
    </w:p>
    <w:p w14:paraId="77144427" w14:textId="77777777" w:rsidR="003A63E9" w:rsidRPr="00D03F3E" w:rsidRDefault="003A63E9" w:rsidP="00D03F3E">
      <w:pPr>
        <w:pStyle w:val="a3"/>
        <w:rPr>
          <w:color w:val="000000" w:themeColor="text1"/>
          <w:lang w:val="ru-RU"/>
        </w:rPr>
      </w:pPr>
      <w:r w:rsidRPr="00D03F3E">
        <w:rPr>
          <w:color w:val="000000" w:themeColor="text1"/>
          <w:lang w:val="ru-RU"/>
        </w:rPr>
        <w:t>При подготовке настоящей статьи использовались следую</w:t>
      </w:r>
      <w:r w:rsidRPr="00D03F3E">
        <w:rPr>
          <w:color w:val="000000" w:themeColor="text1"/>
          <w:lang w:val="ru-RU"/>
        </w:rPr>
        <w:softHyphen/>
        <w:t>щие архивные документы и ма</w:t>
      </w:r>
      <w:r w:rsidRPr="00D03F3E">
        <w:rPr>
          <w:color w:val="000000" w:themeColor="text1"/>
          <w:lang w:val="ru-RU"/>
        </w:rPr>
        <w:softHyphen/>
        <w:t>териалы: фотосхема аэродрома Сальск за 5-6 января, рапорт от 9 января командира эскадрильи 622-го шап капитана Бахтина, рапорт от 9 января командира эскадрильи 236-го иап старшего лейтенанта Белоусова, совмест</w:t>
      </w:r>
      <w:r w:rsidRPr="00D03F3E">
        <w:rPr>
          <w:color w:val="000000" w:themeColor="text1"/>
          <w:lang w:val="ru-RU"/>
        </w:rPr>
        <w:softHyphen/>
        <w:t>ное донесение за 9 января на</w:t>
      </w:r>
      <w:r w:rsidRPr="00D03F3E">
        <w:rPr>
          <w:color w:val="000000" w:themeColor="text1"/>
          <w:lang w:val="ru-RU"/>
        </w:rPr>
        <w:softHyphen/>
        <w:t>чальников штабов 622-го шап и 236-го иап майора Лебедева и майора Пронина, рапорт коман</w:t>
      </w:r>
      <w:r w:rsidRPr="00D03F3E">
        <w:rPr>
          <w:color w:val="000000" w:themeColor="text1"/>
          <w:lang w:val="ru-RU"/>
        </w:rPr>
        <w:softHyphen/>
        <w:t>дира 622-го шап майора Емелья</w:t>
      </w:r>
      <w:r w:rsidRPr="00D03F3E">
        <w:rPr>
          <w:color w:val="000000" w:themeColor="text1"/>
          <w:lang w:val="ru-RU"/>
        </w:rPr>
        <w:softHyphen/>
        <w:t>нова от 9 января командиру 214-й шад полковнику Рубанову, схема нанесения удара по аэродрому Сальск с указанием местоположения самолетов и очагов пожара, оперативные сводки за 9 января 214-й шад и 2-го сак, итоговая опера</w:t>
      </w:r>
      <w:r w:rsidRPr="00D03F3E">
        <w:rPr>
          <w:color w:val="000000" w:themeColor="text1"/>
          <w:lang w:val="ru-RU"/>
        </w:rPr>
        <w:softHyphen/>
        <w:t>тивная сводка 2-го сак за 11 января, подтверждение жителей г. Сальск от 28 января, рапорт от 29 января старшего сержанта Терешкина о результатах поиска командира звена лейтенанта Карлова и старшего пилота сержанта Долаберидзе, рапорт от 29 января командира 622-го шап майора Емельянова командиру 214-й шад полковнику Ру</w:t>
      </w:r>
      <w:r w:rsidRPr="00D03F3E">
        <w:rPr>
          <w:color w:val="000000" w:themeColor="text1"/>
          <w:lang w:val="ru-RU"/>
        </w:rPr>
        <w:softHyphen/>
        <w:t>банову о командировке сержанта Терешкина в район г. Сальск, донесение начальника штаба 214-й шад подполковника Юдина командиру 2-го сак генералу Еременко, дополне</w:t>
      </w:r>
      <w:r w:rsidRPr="00D03F3E">
        <w:rPr>
          <w:color w:val="000000" w:themeColor="text1"/>
          <w:lang w:val="ru-RU"/>
        </w:rPr>
        <w:softHyphen/>
        <w:t>ние от 3 февраля к оперативной сводке 2-го сак № 9 от 9 января 1943 г., отчет 214-й шад о боевой работе за январь 1943 г., итоги боевых действий 622-го шап за войну на 13 февраля 1943 г., материалы тактической конференции 214-й шад от 24 февраля, дирек</w:t>
      </w:r>
      <w:r w:rsidRPr="00D03F3E">
        <w:rPr>
          <w:color w:val="000000" w:themeColor="text1"/>
          <w:lang w:val="ru-RU"/>
        </w:rPr>
        <w:softHyphen/>
        <w:t>тивное письмо заместителя начальника штаба ВВС КА генерал-майора Кроленко от 26 февраля 1943 г.</w:t>
      </w:r>
    </w:p>
    <w:p w14:paraId="5F877105" w14:textId="77777777" w:rsidR="003A63E9" w:rsidRPr="00D03F3E" w:rsidRDefault="003A63E9" w:rsidP="00D03F3E">
      <w:pPr>
        <w:pStyle w:val="a3"/>
        <w:rPr>
          <w:color w:val="000000" w:themeColor="text1"/>
          <w:lang w:val="ru-RU"/>
        </w:rPr>
      </w:pPr>
      <w:r w:rsidRPr="00D03F3E">
        <w:rPr>
          <w:color w:val="000000" w:themeColor="text1"/>
          <w:lang w:val="ru-RU"/>
        </w:rPr>
        <w:t>Примерная реконструкция событий выглядит так. К утру 5 января 1943 г. командир 2-го сак Герой Советского Союза генерал-майор И.Т. Еременко получил из штаба 8-й ВА сведения о наличии большого количества транспортных самолетов противника на аэро</w:t>
      </w:r>
      <w:r w:rsidRPr="00D03F3E">
        <w:rPr>
          <w:color w:val="000000" w:themeColor="text1"/>
          <w:lang w:val="ru-RU"/>
        </w:rPr>
        <w:softHyphen/>
        <w:t>дроме в 1,5 км западнее от г. Сальск. Решением командира корпуса в течение 5 и 6 января силами 3-го гиап 235-й иад была организована тщательная авиаразведка аэро</w:t>
      </w:r>
      <w:r w:rsidRPr="00D03F3E">
        <w:rPr>
          <w:color w:val="000000" w:themeColor="text1"/>
          <w:lang w:val="ru-RU"/>
        </w:rPr>
        <w:softHyphen/>
        <w:t>дрома. Цель разведки: подтвердить наличие большого скопления немецкой авиации на аэродроме Сальск, уточнить количество, типы и расположение самолетов на аэродроме, вскрыть систему ПВО аэродрома, выявить наиболее выгодные подходы к аэродрому и направления отхода от него после атаки. Разведка велась на малых высотах с использо</w:t>
      </w:r>
      <w:r w:rsidRPr="00D03F3E">
        <w:rPr>
          <w:color w:val="000000" w:themeColor="text1"/>
          <w:lang w:val="ru-RU"/>
        </w:rPr>
        <w:softHyphen/>
        <w:t>ванием облачности и заходов со стороны солнца. Один из «следопытов» - сержант Бурлаков, с боевого задания не вернулся. Дешифровка полученных фотоснимков позво</w:t>
      </w:r>
      <w:r w:rsidRPr="00D03F3E">
        <w:rPr>
          <w:color w:val="000000" w:themeColor="text1"/>
          <w:lang w:val="ru-RU"/>
        </w:rPr>
        <w:softHyphen/>
        <w:t xml:space="preserve">лила установить базирование на аэродроме Сальск 163 самолетов, в том числе: 125 - </w:t>
      </w:r>
      <w:r w:rsidRPr="00D03F3E">
        <w:rPr>
          <w:color w:val="000000" w:themeColor="text1"/>
        </w:rPr>
        <w:t>Ju</w:t>
      </w:r>
      <w:r w:rsidRPr="00D03F3E">
        <w:rPr>
          <w:color w:val="000000" w:themeColor="text1"/>
          <w:lang w:val="ru-RU"/>
        </w:rPr>
        <w:t xml:space="preserve"> 52, 14 — Не 111, 7 — </w:t>
      </w:r>
      <w:r w:rsidRPr="00D03F3E">
        <w:rPr>
          <w:color w:val="000000" w:themeColor="text1"/>
        </w:rPr>
        <w:t>Ju</w:t>
      </w:r>
      <w:r w:rsidRPr="00D03F3E">
        <w:rPr>
          <w:color w:val="000000" w:themeColor="text1"/>
          <w:lang w:val="ru-RU"/>
        </w:rPr>
        <w:t xml:space="preserve"> 88, 13 - </w:t>
      </w:r>
      <w:r w:rsidRPr="00D03F3E">
        <w:rPr>
          <w:color w:val="000000" w:themeColor="text1"/>
        </w:rPr>
        <w:t>Bf</w:t>
      </w:r>
      <w:r w:rsidRPr="00D03F3E">
        <w:rPr>
          <w:color w:val="000000" w:themeColor="text1"/>
          <w:lang w:val="ru-RU"/>
        </w:rPr>
        <w:t xml:space="preserve"> 109, 4 - </w:t>
      </w:r>
      <w:r w:rsidRPr="00D03F3E">
        <w:rPr>
          <w:color w:val="000000" w:themeColor="text1"/>
        </w:rPr>
        <w:t>Fi</w:t>
      </w:r>
      <w:r w:rsidRPr="00D03F3E">
        <w:rPr>
          <w:color w:val="000000" w:themeColor="text1"/>
          <w:lang w:val="ru-RU"/>
        </w:rPr>
        <w:t xml:space="preserve"> 156. Самолеты были сосредоточены в четырех больших группах по 30-50 самолетов, каждая. В единой системе ПВО аэродрома и ж.д. станции Сальск насчитывалось не менее трех батарей среднекалиберной зенитной артиллерии и 4-5 батарей зенитных автоматов. Аэродром прикрывался патрулями истре</w:t>
      </w:r>
      <w:r w:rsidRPr="00D03F3E">
        <w:rPr>
          <w:color w:val="000000" w:themeColor="text1"/>
          <w:lang w:val="ru-RU"/>
        </w:rPr>
        <w:softHyphen/>
        <w:t>бителей. Данные разведки дали возможность генералу Еременко к исходу 6 января при</w:t>
      </w:r>
      <w:r w:rsidRPr="00D03F3E">
        <w:rPr>
          <w:color w:val="000000" w:themeColor="text1"/>
          <w:lang w:val="ru-RU"/>
        </w:rPr>
        <w:softHyphen/>
        <w:t>нять решение на штурмовой налет 7 января по аэродрому Сальск. При этом с целью обеспечения скрытности доразведка аэродрома в день удара не предполагалась.</w:t>
      </w:r>
    </w:p>
    <w:p w14:paraId="6A07B989" w14:textId="77777777" w:rsidR="003A63E9" w:rsidRPr="00D03F3E" w:rsidRDefault="003A63E9" w:rsidP="00D03F3E">
      <w:pPr>
        <w:pStyle w:val="a3"/>
        <w:rPr>
          <w:color w:val="000000" w:themeColor="text1"/>
          <w:lang w:val="ru-RU"/>
        </w:rPr>
      </w:pPr>
      <w:r w:rsidRPr="00D03F3E">
        <w:rPr>
          <w:color w:val="000000" w:themeColor="text1"/>
          <w:lang w:val="ru-RU"/>
        </w:rPr>
        <w:t>Чтобы понять, с каким крепким орешком пришлось столкнуться советским летчикам, следует подробнее остановиться на системе ПВО аэродрома Сальск.</w:t>
      </w:r>
    </w:p>
    <w:p w14:paraId="4565AC1D" w14:textId="77777777" w:rsidR="003A63E9" w:rsidRPr="00D03F3E" w:rsidRDefault="003A63E9" w:rsidP="00D03F3E">
      <w:pPr>
        <w:pStyle w:val="a3"/>
        <w:rPr>
          <w:color w:val="000000" w:themeColor="text1"/>
          <w:lang w:val="ru-RU"/>
        </w:rPr>
      </w:pPr>
      <w:r w:rsidRPr="00D03F3E">
        <w:rPr>
          <w:color w:val="000000" w:themeColor="text1"/>
          <w:lang w:val="ru-RU"/>
        </w:rPr>
        <w:t>Исходя из типового состава и реальной укомплектованности немецких зенитных бата</w:t>
      </w:r>
      <w:r w:rsidRPr="00D03F3E">
        <w:rPr>
          <w:color w:val="000000" w:themeColor="text1"/>
          <w:lang w:val="ru-RU"/>
        </w:rPr>
        <w:softHyphen/>
        <w:t>рей в то время, можно утверждать, что аэродром и ж.д. станцию Сальск около него прикрывали не менее 9 орудий калибра 75-88 мм и 30-40 автоматических зенитных установок калибра 20-37 мм. Кроме того, на немецких аэродромах такой емкости, как правило, имелось еще около 10 и более крупнокалиберных (13-15 мм) зенитно-пулеметных установок.</w:t>
      </w:r>
    </w:p>
    <w:p w14:paraId="6888AB3A" w14:textId="77777777" w:rsidR="003A63E9" w:rsidRPr="00D03F3E" w:rsidRDefault="003A63E9" w:rsidP="00D03F3E">
      <w:pPr>
        <w:pStyle w:val="a3"/>
        <w:rPr>
          <w:color w:val="000000" w:themeColor="text1"/>
          <w:lang w:val="ru-RU"/>
        </w:rPr>
      </w:pPr>
      <w:r w:rsidRPr="00D03F3E">
        <w:rPr>
          <w:color w:val="000000" w:themeColor="text1"/>
          <w:lang w:val="ru-RU"/>
        </w:rPr>
        <w:t>Этих сил было более чем достаточно, чтобы встретить штурмовиков трехслойным зенитным огнем высокой плотности. Крупнокалиберные зенитные пулеметы «работали» на высотах от предельно малых до 500-600 м. Трассы малокалиберной зенитной артил</w:t>
      </w:r>
      <w:r w:rsidRPr="00D03F3E">
        <w:rPr>
          <w:color w:val="000000" w:themeColor="text1"/>
          <w:lang w:val="ru-RU"/>
        </w:rPr>
        <w:softHyphen/>
        <w:t>лерии «сходились» на высотах 150-200 м, 300-400 м, 500-600 м, 800-900 м и далее. Зенит</w:t>
      </w:r>
      <w:r w:rsidRPr="00D03F3E">
        <w:rPr>
          <w:color w:val="000000" w:themeColor="text1"/>
          <w:lang w:val="ru-RU"/>
        </w:rPr>
        <w:softHyphen/>
        <w:t>ные орудия среднего калибра «закрывали» высоты от 800-1000-1500 м и выше. При этом на направлениях вероятного захода штурмовиков в атаку и выхода из атаки пристрели</w:t>
      </w:r>
      <w:r w:rsidRPr="00D03F3E">
        <w:rPr>
          <w:color w:val="000000" w:themeColor="text1"/>
          <w:lang w:val="ru-RU"/>
        </w:rPr>
        <w:softHyphen/>
        <w:t>вались целые квадраты. Все зенитные огневые средства были тщательно замаскированы и располагались таким образом, чтобы прикрыть места стоянок самолетов и в то же время иметь возможность вести огонь в любом направлении. Малокалиберная зенитная артиллерия и крупнокалиберные зенитные пулеметы ставились «в линеечку», 5-6 устано</w:t>
      </w:r>
      <w:r w:rsidRPr="00D03F3E">
        <w:rPr>
          <w:color w:val="000000" w:themeColor="text1"/>
          <w:lang w:val="ru-RU"/>
        </w:rPr>
        <w:softHyphen/>
        <w:t>вок с расстоянием по 20-25 м между ними. Оценки показывают, что по советским само</w:t>
      </w:r>
      <w:r w:rsidRPr="00D03F3E">
        <w:rPr>
          <w:color w:val="000000" w:themeColor="text1"/>
          <w:lang w:val="ru-RU"/>
        </w:rPr>
        <w:softHyphen/>
        <w:t>летам над аэродромом Сальск в каждую минуту могло быть выпущено свыше 3000 мало</w:t>
      </w:r>
      <w:r w:rsidRPr="00D03F3E">
        <w:rPr>
          <w:color w:val="000000" w:themeColor="text1"/>
          <w:lang w:val="ru-RU"/>
        </w:rPr>
        <w:softHyphen/>
        <w:t>калиберных снарядов (20-37 мм) и около 50 снарядов калибра 75-88 мм (каждый из которых при разрыве давал порядка 1500 осколков). Это море огня и осколков.</w:t>
      </w:r>
    </w:p>
    <w:p w14:paraId="5E1DAFFA" w14:textId="77777777" w:rsidR="003A63E9" w:rsidRPr="00D03F3E" w:rsidRDefault="003A63E9" w:rsidP="00D03F3E">
      <w:pPr>
        <w:pStyle w:val="a3"/>
        <w:rPr>
          <w:color w:val="000000" w:themeColor="text1"/>
          <w:lang w:val="ru-RU"/>
        </w:rPr>
      </w:pPr>
      <w:r w:rsidRPr="00D03F3E">
        <w:rPr>
          <w:color w:val="000000" w:themeColor="text1"/>
          <w:lang w:val="ru-RU"/>
        </w:rPr>
        <w:t xml:space="preserve">Укажем, что аэродром Сальск был организован 30 декабря 1942 г. и вскоре стал одной из главных авиабаз, с которой в основном и выполнялись полеты транспортных самолетов </w:t>
      </w:r>
      <w:r w:rsidRPr="00D03F3E">
        <w:rPr>
          <w:color w:val="000000" w:themeColor="text1"/>
        </w:rPr>
        <w:t>Ju</w:t>
      </w:r>
      <w:r w:rsidRPr="00D03F3E">
        <w:rPr>
          <w:color w:val="000000" w:themeColor="text1"/>
          <w:lang w:val="ru-RU"/>
        </w:rPr>
        <w:t xml:space="preserve"> 52 в район окруженной группировки Паулюса. В течение первых дней его работы немецкому командованию удалось создать на нем значительные запасы материально-технических средств, что в принципе с 5-6 января при наличии летной погоды позволяло задействовать аэродром на полную мощность. В тоже время советское командование на 10 января запланировало начало операции войск Донс</w:t>
      </w:r>
      <w:r w:rsidRPr="00D03F3E">
        <w:rPr>
          <w:color w:val="000000" w:themeColor="text1"/>
          <w:lang w:val="ru-RU"/>
        </w:rPr>
        <w:softHyphen/>
        <w:t>кого и Сталинградского фронтов «Кольцо» с целью ликвида</w:t>
      </w:r>
      <w:r w:rsidRPr="00D03F3E">
        <w:rPr>
          <w:color w:val="000000" w:themeColor="text1"/>
          <w:lang w:val="ru-RU"/>
        </w:rPr>
        <w:softHyphen/>
        <w:t>ции войск Паулюса. По этой причине было крайне важно нарушить ритмичность работы и снизить пропускную спо</w:t>
      </w:r>
      <w:r w:rsidRPr="00D03F3E">
        <w:rPr>
          <w:color w:val="000000" w:themeColor="text1"/>
          <w:lang w:val="ru-RU"/>
        </w:rPr>
        <w:softHyphen/>
        <w:t>собность этой авиабазы.</w:t>
      </w:r>
    </w:p>
    <w:p w14:paraId="33F4F6D8" w14:textId="77777777" w:rsidR="003A63E9" w:rsidRPr="00D03F3E" w:rsidRDefault="003A63E9" w:rsidP="00D03F3E">
      <w:pPr>
        <w:pStyle w:val="a3"/>
        <w:rPr>
          <w:color w:val="000000" w:themeColor="text1"/>
          <w:lang w:val="ru-RU"/>
        </w:rPr>
      </w:pPr>
      <w:r w:rsidRPr="00D03F3E">
        <w:rPr>
          <w:color w:val="000000" w:themeColor="text1"/>
          <w:lang w:val="ru-RU"/>
        </w:rPr>
        <w:t>Для удара по аэродрому Сальск были выделены 10 Ил-2 от 622-го шап 214-й шад и 12 Як-1 от 236-го иап 201-й иад корпуса. Генерал Еременко лично поставил задачу команди</w:t>
      </w:r>
      <w:r w:rsidRPr="00D03F3E">
        <w:rPr>
          <w:color w:val="000000" w:themeColor="text1"/>
          <w:lang w:val="ru-RU"/>
        </w:rPr>
        <w:softHyphen/>
        <w:t>ру 214-й шад, командирам авиаполков и ведущим групп штур</w:t>
      </w:r>
      <w:r w:rsidRPr="00D03F3E">
        <w:rPr>
          <w:color w:val="000000" w:themeColor="text1"/>
          <w:lang w:val="ru-RU"/>
        </w:rPr>
        <w:softHyphen/>
        <w:t>мовиков и истребителей.</w:t>
      </w:r>
    </w:p>
    <w:p w14:paraId="57AE7AF5" w14:textId="77777777" w:rsidR="003A63E9" w:rsidRPr="00D03F3E" w:rsidRDefault="003A63E9" w:rsidP="00D03F3E">
      <w:pPr>
        <w:pStyle w:val="a3"/>
        <w:rPr>
          <w:color w:val="000000" w:themeColor="text1"/>
          <w:lang w:val="ru-RU"/>
        </w:rPr>
      </w:pPr>
      <w:r w:rsidRPr="00D03F3E">
        <w:rPr>
          <w:color w:val="000000" w:themeColor="text1"/>
          <w:lang w:val="ru-RU"/>
        </w:rPr>
        <w:t>Затем командиры полков - майор Емельянов (622-й шап) и капитан Петухов (236-й иап), при участии командира 214-й шад полковника Рубанова совместно поставили задачу эки</w:t>
      </w:r>
      <w:r w:rsidRPr="00D03F3E">
        <w:rPr>
          <w:color w:val="000000" w:themeColor="text1"/>
          <w:lang w:val="ru-RU"/>
        </w:rPr>
        <w:softHyphen/>
        <w:t>пажам штурмовиков и истребителей.</w:t>
      </w:r>
    </w:p>
    <w:p w14:paraId="5BAFF593" w14:textId="77777777" w:rsidR="003A63E9" w:rsidRPr="00D03F3E" w:rsidRDefault="003A63E9" w:rsidP="00D03F3E">
      <w:pPr>
        <w:pStyle w:val="a3"/>
        <w:rPr>
          <w:color w:val="000000" w:themeColor="text1"/>
          <w:lang w:val="ru-RU"/>
        </w:rPr>
      </w:pPr>
      <w:r w:rsidRPr="00D03F3E">
        <w:rPr>
          <w:color w:val="000000" w:themeColor="text1"/>
          <w:lang w:val="ru-RU"/>
        </w:rPr>
        <w:lastRenderedPageBreak/>
        <w:t>Установили направления и порядок выполнения заходов на цель и выхода из атаки, способы атаки и применения вооружения, уход от цели и противозенитный маневр над целью. Договорились о взаимо</w:t>
      </w:r>
      <w:r w:rsidRPr="00D03F3E">
        <w:rPr>
          <w:color w:val="000000" w:themeColor="text1"/>
          <w:lang w:val="ru-RU"/>
        </w:rPr>
        <w:softHyphen/>
        <w:t>действии штурмовиков и истребителей в воздухе на маршруте к цели, при атаке цели, на отходе от цели и при отражении атак истребителей противника. Экипажи детально изу</w:t>
      </w:r>
      <w:r w:rsidRPr="00D03F3E">
        <w:rPr>
          <w:color w:val="000000" w:themeColor="text1"/>
          <w:lang w:val="ru-RU"/>
        </w:rPr>
        <w:softHyphen/>
        <w:t>чили по фотосхеме аэродрома и докладу разведчиков от 3-го гиап расположение стоянок самолетов и зенитной артиллерии. Кроме того, экипажами совместно был проведен проигрыш полета от взлета, полета по маршруту к цели, нанесения удара по цели и возвращения на свой аэродром. При этом каждый экипаж детально изучил свой маневр над аэродромом и цели на нем. Рекомендации по выбору наиболее выгодных направле</w:t>
      </w:r>
      <w:r w:rsidRPr="00D03F3E">
        <w:rPr>
          <w:color w:val="000000" w:themeColor="text1"/>
          <w:lang w:val="ru-RU"/>
        </w:rPr>
        <w:softHyphen/>
        <w:t>ний заходов и высот дали зенитчики, оборонявшие аэродром базирования штурмовиков у станицы Барабанщиков.</w:t>
      </w:r>
    </w:p>
    <w:p w14:paraId="086CE9D0" w14:textId="77777777" w:rsidR="003A63E9" w:rsidRPr="00D03F3E" w:rsidRDefault="003A63E9" w:rsidP="00D03F3E">
      <w:pPr>
        <w:pStyle w:val="a3"/>
        <w:rPr>
          <w:color w:val="000000" w:themeColor="text1"/>
          <w:lang w:val="ru-RU"/>
        </w:rPr>
      </w:pPr>
      <w:r w:rsidRPr="00D03F3E">
        <w:rPr>
          <w:color w:val="000000" w:themeColor="text1"/>
          <w:lang w:val="ru-RU"/>
        </w:rPr>
        <w:t>Для обеспечения внезапности маршрут полета до аэродрома Сальск был проложен вдали от крупных населенных пунктов. В воздухе во время сбора и при полете к цели летчикам категорически запрещалось пользоваться радиосвязью.</w:t>
      </w:r>
    </w:p>
    <w:p w14:paraId="55528922" w14:textId="77777777" w:rsidR="003A63E9" w:rsidRPr="00D03F3E" w:rsidRDefault="003A63E9" w:rsidP="00D03F3E">
      <w:pPr>
        <w:pStyle w:val="a3"/>
        <w:rPr>
          <w:color w:val="000000" w:themeColor="text1"/>
          <w:lang w:val="ru-RU"/>
        </w:rPr>
      </w:pPr>
      <w:r w:rsidRPr="00D03F3E">
        <w:rPr>
          <w:color w:val="000000" w:themeColor="text1"/>
          <w:lang w:val="ru-RU"/>
        </w:rPr>
        <w:t>Удар планировалось нанести двумя группами по пять самолетов Ил-2 с разных направ</w:t>
      </w:r>
      <w:r w:rsidRPr="00D03F3E">
        <w:rPr>
          <w:color w:val="000000" w:themeColor="text1"/>
          <w:lang w:val="ru-RU"/>
        </w:rPr>
        <w:softHyphen/>
        <w:t>лений и высот при минимальном временном интервале между группами. Таким образом, распылялись силы зенитных батарей противника и снижалась эффективность зенитного огня. Взлет предполагалась выполнить в утренних сумерках с таким расчетом, чтобы у цели быть не позже 9.00 с восходом солнца (восход солнца ожидался в 8.54 по местному времени). Первый заход выпол</w:t>
      </w:r>
      <w:r w:rsidRPr="00D03F3E">
        <w:rPr>
          <w:color w:val="000000" w:themeColor="text1"/>
          <w:lang w:val="ru-RU"/>
        </w:rPr>
        <w:softHyphen/>
        <w:t>нялся со стороны солнца. Каж</w:t>
      </w:r>
      <w:r w:rsidRPr="00D03F3E">
        <w:rPr>
          <w:color w:val="000000" w:themeColor="text1"/>
          <w:lang w:val="ru-RU"/>
        </w:rPr>
        <w:softHyphen/>
        <w:t>дая группа атаковала по два скопления немецких самолетов. Затем группы расходились и ра</w:t>
      </w:r>
      <w:r w:rsidRPr="00D03F3E">
        <w:rPr>
          <w:color w:val="000000" w:themeColor="text1"/>
          <w:lang w:val="ru-RU"/>
        </w:rPr>
        <w:softHyphen/>
        <w:t>ботали каждая по своим скопле</w:t>
      </w:r>
      <w:r w:rsidRPr="00D03F3E">
        <w:rPr>
          <w:color w:val="000000" w:themeColor="text1"/>
          <w:lang w:val="ru-RU"/>
        </w:rPr>
        <w:softHyphen/>
        <w:t>ниям самолетов, выполняя захо</w:t>
      </w:r>
      <w:r w:rsidRPr="00D03F3E">
        <w:rPr>
          <w:color w:val="000000" w:themeColor="text1"/>
          <w:lang w:val="ru-RU"/>
        </w:rPr>
        <w:softHyphen/>
        <w:t>ды в противоположных направ</w:t>
      </w:r>
      <w:r w:rsidRPr="00D03F3E">
        <w:rPr>
          <w:color w:val="000000" w:themeColor="text1"/>
          <w:lang w:val="ru-RU"/>
        </w:rPr>
        <w:softHyphen/>
        <w:t>лениях.</w:t>
      </w:r>
    </w:p>
    <w:p w14:paraId="5A63BC82" w14:textId="77777777" w:rsidR="003A63E9" w:rsidRPr="00D03F3E" w:rsidRDefault="003A63E9" w:rsidP="00D03F3E">
      <w:pPr>
        <w:pStyle w:val="a3"/>
        <w:rPr>
          <w:color w:val="000000" w:themeColor="text1"/>
          <w:lang w:val="ru-RU"/>
        </w:rPr>
      </w:pPr>
      <w:r w:rsidRPr="00D03F3E">
        <w:rPr>
          <w:color w:val="000000" w:themeColor="text1"/>
          <w:lang w:val="ru-RU"/>
        </w:rPr>
        <w:t>Отметим, что большое удале</w:t>
      </w:r>
      <w:r w:rsidRPr="00D03F3E">
        <w:rPr>
          <w:color w:val="000000" w:themeColor="text1"/>
          <w:lang w:val="ru-RU"/>
        </w:rPr>
        <w:softHyphen/>
        <w:t>ние аэродрома Сальск - 150 км, близкое к предельному радиусу действия штурмовиков Ил-2 при нормальной боевой нагрузке (полная заправка горючим 525 кг, 400 кг бомб, 4-8 РС-82, боекомп</w:t>
      </w:r>
      <w:r w:rsidRPr="00D03F3E">
        <w:rPr>
          <w:color w:val="000000" w:themeColor="text1"/>
          <w:lang w:val="ru-RU"/>
        </w:rPr>
        <w:softHyphen/>
        <w:t>лект к пушкам и пулеметам), предъявляло жесткие требования к организации боевого вылета и соблюдению экипажами маршру</w:t>
      </w:r>
      <w:r w:rsidRPr="00D03F3E">
        <w:rPr>
          <w:color w:val="000000" w:themeColor="text1"/>
          <w:lang w:val="ru-RU"/>
        </w:rPr>
        <w:softHyphen/>
        <w:t>та и профиля полета.</w:t>
      </w:r>
    </w:p>
    <w:p w14:paraId="3F43BB4A" w14:textId="77777777" w:rsidR="003A63E9" w:rsidRPr="00D03F3E" w:rsidRDefault="003A63E9" w:rsidP="00D03F3E">
      <w:pPr>
        <w:pStyle w:val="a3"/>
        <w:rPr>
          <w:color w:val="000000" w:themeColor="text1"/>
          <w:lang w:val="ru-RU"/>
        </w:rPr>
      </w:pPr>
      <w:r w:rsidRPr="00D03F3E">
        <w:rPr>
          <w:color w:val="000000" w:themeColor="text1"/>
          <w:lang w:val="ru-RU"/>
        </w:rPr>
        <w:t>На взлет и сбор группы штур</w:t>
      </w:r>
      <w:r w:rsidRPr="00D03F3E">
        <w:rPr>
          <w:color w:val="000000" w:themeColor="text1"/>
          <w:lang w:val="ru-RU"/>
        </w:rPr>
        <w:softHyphen/>
        <w:t>мовиков и истребителей плани</w:t>
      </w:r>
      <w:r w:rsidRPr="00D03F3E">
        <w:rPr>
          <w:color w:val="000000" w:themeColor="text1"/>
          <w:lang w:val="ru-RU"/>
        </w:rPr>
        <w:softHyphen/>
        <w:t>ровалось не более 10-12 минут, полет к цели - 30 минут, выпол</w:t>
      </w:r>
      <w:r w:rsidRPr="00D03F3E">
        <w:rPr>
          <w:color w:val="000000" w:themeColor="text1"/>
          <w:lang w:val="ru-RU"/>
        </w:rPr>
        <w:softHyphen/>
        <w:t>нение удара по целям на аэро</w:t>
      </w:r>
      <w:r w:rsidRPr="00D03F3E">
        <w:rPr>
          <w:color w:val="000000" w:themeColor="text1"/>
          <w:lang w:val="ru-RU"/>
        </w:rPr>
        <w:softHyphen/>
        <w:t>дроме - 12-16 минут, полет на обратном маршруте - 30 минут, роспуск группы и посадка - 10- 12 минут. Итого на выполнение боевого задания по расчету отводилось до 1 ч 40 мин. При этом остатка горючего хватало еще на 20-25 минут полета, что в свою очередь, накладывало ограничения на выбор штурмо</w:t>
      </w:r>
      <w:r w:rsidRPr="00D03F3E">
        <w:rPr>
          <w:color w:val="000000" w:themeColor="text1"/>
          <w:lang w:val="ru-RU"/>
        </w:rPr>
        <w:softHyphen/>
        <w:t>виками тактики ведения воздушного боя при встрече с истребителями противника и «на неточное выдерживание маршрута полета» экипажами.</w:t>
      </w:r>
    </w:p>
    <w:p w14:paraId="2474ED96" w14:textId="77777777" w:rsidR="003A63E9" w:rsidRPr="00D03F3E" w:rsidRDefault="003A63E9" w:rsidP="00D03F3E">
      <w:pPr>
        <w:pStyle w:val="a3"/>
        <w:rPr>
          <w:color w:val="000000" w:themeColor="text1"/>
          <w:lang w:val="ru-RU"/>
        </w:rPr>
      </w:pPr>
      <w:r w:rsidRPr="00D03F3E">
        <w:rPr>
          <w:color w:val="000000" w:themeColor="text1"/>
          <w:lang w:val="ru-RU"/>
        </w:rPr>
        <w:t>Несмотря на неблагоприятные метеоусловия 7 января, было решено удар по аэродро</w:t>
      </w:r>
      <w:r w:rsidRPr="00D03F3E">
        <w:rPr>
          <w:color w:val="000000" w:themeColor="text1"/>
          <w:lang w:val="ru-RU"/>
        </w:rPr>
        <w:softHyphen/>
        <w:t>му Сальск все же нанести. Взлет штурмовиков и истребителей - 10 Ил-2 от 622-го шап и 12 Як-1 от 236-го иап - был выполнен по плану. В 8.10 группы собрались на кругу, заняли боевой порядок и легли на маршрут. Однако на маршруте полета погода ухудшилась до такой степени, что ведущий группы командир эскадрильи 622-го шап капитан И.П. Бахтин принял решение возвратиться, не выполнив боевого задания.</w:t>
      </w:r>
    </w:p>
    <w:p w14:paraId="34CB55F4" w14:textId="77777777" w:rsidR="003A63E9" w:rsidRPr="00D03F3E" w:rsidRDefault="003A63E9" w:rsidP="00D03F3E">
      <w:pPr>
        <w:pStyle w:val="a3"/>
        <w:rPr>
          <w:color w:val="000000" w:themeColor="text1"/>
          <w:lang w:val="ru-RU"/>
        </w:rPr>
      </w:pPr>
      <w:r w:rsidRPr="00D03F3E">
        <w:rPr>
          <w:color w:val="000000" w:themeColor="text1"/>
          <w:lang w:val="ru-RU"/>
        </w:rPr>
        <w:t>Из-за крайне неблагоприятных метеоусловий попытку удара по аэродрому Сальск удалось повторить только 9 января. В этот день немного распогодилось. С утра была облачность 10 баллов высотой 100-200 м, дымка, видимость 2-4 км, сплошной ветер до 3-5 м/с, температура воздуха 3-4° мороза. К полудню ожидалось повышение нижней кромки облачности до 600-1000 м и увеличение видимости до 6-10 км.</w:t>
      </w:r>
    </w:p>
    <w:p w14:paraId="77AD4FE6" w14:textId="77777777" w:rsidR="003A63E9" w:rsidRPr="00D03F3E" w:rsidRDefault="003A63E9" w:rsidP="00D03F3E">
      <w:pPr>
        <w:pStyle w:val="a3"/>
        <w:rPr>
          <w:color w:val="000000" w:themeColor="text1"/>
          <w:lang w:val="ru-RU"/>
        </w:rPr>
      </w:pPr>
      <w:r w:rsidRPr="00D03F3E">
        <w:rPr>
          <w:color w:val="000000" w:themeColor="text1"/>
          <w:lang w:val="ru-RU"/>
        </w:rPr>
        <w:t>Учитывая сложившуюся обстановку и возможное сокращение группировки авиации противника на аэродроме Сальск, решили налет не откладывать, сформировав группы исключительно из числа наиболее подготовленных и опытных экипажей штурмовиков и истребителей. Получалось, что для выполнения боевого задания можно было выделить 7 экипажей от 622-го шап и такое же количество истребителей от 236-го иап.</w:t>
      </w:r>
    </w:p>
    <w:p w14:paraId="4EDF17BA" w14:textId="77777777" w:rsidR="003A63E9" w:rsidRPr="00D03F3E" w:rsidRDefault="003A63E9" w:rsidP="00D03F3E">
      <w:pPr>
        <w:pStyle w:val="a3"/>
        <w:rPr>
          <w:color w:val="000000" w:themeColor="text1"/>
          <w:lang w:val="ru-RU"/>
        </w:rPr>
      </w:pPr>
      <w:r w:rsidRPr="00D03F3E">
        <w:rPr>
          <w:color w:val="000000" w:themeColor="text1"/>
          <w:lang w:val="ru-RU"/>
        </w:rPr>
        <w:t>От 622-го шап в ударе участвовали: командир 2-й эскадрильи капитан И.П. Бахтин (ведущий группы штурмовиков), командир 3-й эскадрильи лейтенант Г.С. Карлов (замести</w:t>
      </w:r>
      <w:r w:rsidRPr="00D03F3E">
        <w:rPr>
          <w:color w:val="000000" w:themeColor="text1"/>
          <w:lang w:val="ru-RU"/>
        </w:rPr>
        <w:softHyphen/>
        <w:t>тель ведущего группы), штурман полка старший лейтенант Г.М. Мордовцев, заместитель командира эскадрильи младший лейтенант П.А. Горячев, лейтенант Г.А. Жевтоненко, пи</w:t>
      </w:r>
      <w:r w:rsidRPr="00D03F3E">
        <w:rPr>
          <w:color w:val="000000" w:themeColor="text1"/>
          <w:lang w:val="ru-RU"/>
        </w:rPr>
        <w:softHyphen/>
        <w:t>лот сержант А.В. Дубенко и старший пилот сержант Г.Н. Долаберидзе.</w:t>
      </w:r>
    </w:p>
    <w:p w14:paraId="5F9E0712" w14:textId="77777777" w:rsidR="003A63E9" w:rsidRPr="00D03F3E" w:rsidRDefault="003A63E9" w:rsidP="00D03F3E">
      <w:pPr>
        <w:pStyle w:val="a3"/>
        <w:rPr>
          <w:color w:val="000000" w:themeColor="text1"/>
          <w:lang w:val="ru-RU"/>
        </w:rPr>
      </w:pPr>
      <w:r w:rsidRPr="00D03F3E">
        <w:rPr>
          <w:color w:val="000000" w:themeColor="text1"/>
          <w:lang w:val="ru-RU"/>
        </w:rPr>
        <w:t>Как и ранее, удар планировалось нанести двумя группами с разных направлений. Только теперь поменялось направление первого и последующих заходов. Группу в соста</w:t>
      </w:r>
      <w:r w:rsidRPr="00D03F3E">
        <w:rPr>
          <w:color w:val="000000" w:themeColor="text1"/>
          <w:lang w:val="ru-RU"/>
        </w:rPr>
        <w:softHyphen/>
        <w:t>ве 4 Ил-2, вел капитан Бахтин, вторую группу - 3 Ил-2 - вел старший лейтенант Мордов</w:t>
      </w:r>
      <w:r w:rsidRPr="00D03F3E">
        <w:rPr>
          <w:color w:val="000000" w:themeColor="text1"/>
          <w:lang w:val="ru-RU"/>
        </w:rPr>
        <w:softHyphen/>
        <w:t>цев. Ведущим группы истребителей сопровождения от 236-го иап был назначен командир эскадрильи старший лейтенант С.А. Белоусов.</w:t>
      </w:r>
    </w:p>
    <w:p w14:paraId="4C8228D6" w14:textId="77777777" w:rsidR="003A63E9" w:rsidRPr="00D03F3E" w:rsidRDefault="003A63E9" w:rsidP="00D03F3E">
      <w:pPr>
        <w:pStyle w:val="a3"/>
        <w:rPr>
          <w:color w:val="000000" w:themeColor="text1"/>
          <w:lang w:val="ru-RU"/>
        </w:rPr>
      </w:pPr>
      <w:r w:rsidRPr="00D03F3E">
        <w:rPr>
          <w:color w:val="000000" w:themeColor="text1"/>
          <w:lang w:val="ru-RU"/>
        </w:rPr>
        <w:t>Для уточнения обстановки в районе аэродрома Сальск и погодных условий по мар</w:t>
      </w:r>
      <w:r w:rsidRPr="00D03F3E">
        <w:rPr>
          <w:color w:val="000000" w:themeColor="text1"/>
          <w:lang w:val="ru-RU"/>
        </w:rPr>
        <w:softHyphen/>
        <w:t>шруту полета была направлена пара разведчиков от 236-го иап в составе капитана А.Е. Шварева и лейтенанта Н.В. Давыдова.</w:t>
      </w:r>
    </w:p>
    <w:p w14:paraId="386577C7" w14:textId="77777777" w:rsidR="003A63E9" w:rsidRPr="00D03F3E" w:rsidRDefault="003A63E9" w:rsidP="00D03F3E">
      <w:pPr>
        <w:pStyle w:val="a3"/>
        <w:rPr>
          <w:color w:val="000000" w:themeColor="text1"/>
          <w:lang w:val="ru-RU"/>
        </w:rPr>
      </w:pPr>
      <w:r w:rsidRPr="00D03F3E">
        <w:rPr>
          <w:color w:val="000000" w:themeColor="text1"/>
          <w:lang w:val="ru-RU"/>
        </w:rPr>
        <w:t xml:space="preserve">Пока ожидали улучшения погоды и возвращения разведчиков, выделенные экипажи штурмовиков и истребителей под руководством командиров полков вторично прошли </w:t>
      </w:r>
      <w:r w:rsidRPr="00D03F3E">
        <w:rPr>
          <w:rStyle w:val="3f9"/>
          <w:rFonts w:ascii="Times New Roman" w:hAnsi="Times New Roman" w:cs="Times New Roman"/>
          <w:b w:val="0"/>
          <w:color w:val="000000" w:themeColor="text1"/>
          <w:sz w:val="16"/>
          <w:szCs w:val="16"/>
          <w:lang w:val="ru-RU"/>
        </w:rPr>
        <w:t>инструктаж</w:t>
      </w:r>
      <w:r w:rsidRPr="00D03F3E">
        <w:rPr>
          <w:color w:val="000000" w:themeColor="text1"/>
          <w:lang w:val="ru-RU"/>
        </w:rPr>
        <w:t xml:space="preserve"> перед боевым вылетом. Дополнительные указания дал командир 214-й шад </w:t>
      </w:r>
      <w:r w:rsidRPr="00D03F3E">
        <w:rPr>
          <w:rStyle w:val="3f9"/>
          <w:rFonts w:ascii="Times New Roman" w:hAnsi="Times New Roman" w:cs="Times New Roman"/>
          <w:b w:val="0"/>
          <w:color w:val="000000" w:themeColor="text1"/>
          <w:sz w:val="16"/>
          <w:szCs w:val="16"/>
          <w:lang w:val="ru-RU"/>
        </w:rPr>
        <w:t>полковник</w:t>
      </w:r>
      <w:r w:rsidRPr="00D03F3E">
        <w:rPr>
          <w:color w:val="000000" w:themeColor="text1"/>
          <w:lang w:val="ru-RU"/>
        </w:rPr>
        <w:t xml:space="preserve"> Рубанов. Экипажи штурмовиков и истребителей проложили маршрут полета и </w:t>
      </w:r>
      <w:r w:rsidRPr="00D03F3E">
        <w:rPr>
          <w:rStyle w:val="3f9"/>
          <w:rFonts w:ascii="Times New Roman" w:hAnsi="Times New Roman" w:cs="Times New Roman"/>
          <w:b w:val="0"/>
          <w:color w:val="000000" w:themeColor="text1"/>
          <w:sz w:val="16"/>
          <w:szCs w:val="16"/>
          <w:lang w:val="ru-RU"/>
        </w:rPr>
        <w:t>провели</w:t>
      </w:r>
      <w:r w:rsidRPr="00D03F3E">
        <w:rPr>
          <w:color w:val="000000" w:themeColor="text1"/>
          <w:lang w:val="ru-RU"/>
        </w:rPr>
        <w:t xml:space="preserve"> совместный проигрыш полета. Уточнили порядок заходов на цель и выходов из </w:t>
      </w:r>
      <w:r w:rsidRPr="00D03F3E">
        <w:rPr>
          <w:rStyle w:val="3f9"/>
          <w:rFonts w:ascii="Times New Roman" w:hAnsi="Times New Roman" w:cs="Times New Roman"/>
          <w:b w:val="0"/>
          <w:color w:val="000000" w:themeColor="text1"/>
          <w:sz w:val="16"/>
          <w:szCs w:val="16"/>
          <w:lang w:val="ru-RU"/>
        </w:rPr>
        <w:t>атаки,</w:t>
      </w:r>
      <w:r w:rsidRPr="00D03F3E">
        <w:rPr>
          <w:color w:val="000000" w:themeColor="text1"/>
          <w:lang w:val="ru-RU"/>
        </w:rPr>
        <w:t xml:space="preserve"> способы атаки и уход от цели, цели на аэродроме, порядок взаимодействия</w:t>
      </w:r>
      <w:r w:rsidRPr="00D03F3E">
        <w:rPr>
          <w:rStyle w:val="3f9"/>
          <w:rFonts w:ascii="Times New Roman" w:hAnsi="Times New Roman" w:cs="Times New Roman"/>
          <w:b w:val="0"/>
          <w:color w:val="000000" w:themeColor="text1"/>
          <w:sz w:val="16"/>
          <w:szCs w:val="16"/>
          <w:lang w:val="ru-RU"/>
        </w:rPr>
        <w:t xml:space="preserve"> штур</w:t>
      </w:r>
      <w:r w:rsidRPr="00D03F3E">
        <w:rPr>
          <w:rStyle w:val="3f9"/>
          <w:rFonts w:ascii="Times New Roman" w:hAnsi="Times New Roman" w:cs="Times New Roman"/>
          <w:b w:val="0"/>
          <w:color w:val="000000" w:themeColor="text1"/>
          <w:sz w:val="16"/>
          <w:szCs w:val="16"/>
          <w:lang w:val="ru-RU"/>
        </w:rPr>
        <w:softHyphen/>
        <w:t>мовиков и</w:t>
      </w:r>
      <w:r w:rsidRPr="00D03F3E">
        <w:rPr>
          <w:color w:val="000000" w:themeColor="text1"/>
          <w:lang w:val="ru-RU"/>
        </w:rPr>
        <w:t xml:space="preserve"> истребителей в воздухе. Особое внимание</w:t>
      </w:r>
      <w:r w:rsidRPr="00D03F3E">
        <w:rPr>
          <w:rStyle w:val="3f9"/>
          <w:rFonts w:ascii="Times New Roman" w:hAnsi="Times New Roman" w:cs="Times New Roman"/>
          <w:b w:val="0"/>
          <w:color w:val="000000" w:themeColor="text1"/>
          <w:sz w:val="16"/>
          <w:szCs w:val="16"/>
          <w:lang w:val="ru-RU"/>
        </w:rPr>
        <w:t xml:space="preserve"> уделили</w:t>
      </w:r>
      <w:r w:rsidRPr="00D03F3E">
        <w:rPr>
          <w:color w:val="000000" w:themeColor="text1"/>
          <w:lang w:val="ru-RU"/>
        </w:rPr>
        <w:t xml:space="preserve"> проработке наземной </w:t>
      </w:r>
      <w:r w:rsidRPr="00D03F3E">
        <w:rPr>
          <w:rStyle w:val="3f9"/>
          <w:rFonts w:ascii="Times New Roman" w:hAnsi="Times New Roman" w:cs="Times New Roman"/>
          <w:b w:val="0"/>
          <w:color w:val="000000" w:themeColor="text1"/>
          <w:sz w:val="16"/>
          <w:szCs w:val="16"/>
          <w:lang w:val="ru-RU"/>
        </w:rPr>
        <w:t>обстановки</w:t>
      </w:r>
      <w:r w:rsidRPr="00D03F3E">
        <w:rPr>
          <w:color w:val="000000" w:themeColor="text1"/>
          <w:lang w:val="ru-RU"/>
        </w:rPr>
        <w:t xml:space="preserve"> (расположение</w:t>
      </w:r>
      <w:r w:rsidRPr="00D03F3E">
        <w:rPr>
          <w:rStyle w:val="3f9"/>
          <w:rFonts w:ascii="Times New Roman" w:hAnsi="Times New Roman" w:cs="Times New Roman"/>
          <w:b w:val="0"/>
          <w:color w:val="000000" w:themeColor="text1"/>
          <w:sz w:val="16"/>
          <w:szCs w:val="16"/>
          <w:lang w:val="ru-RU"/>
        </w:rPr>
        <w:t xml:space="preserve"> линии фронта, своих</w:t>
      </w:r>
      <w:r w:rsidRPr="00D03F3E">
        <w:rPr>
          <w:color w:val="000000" w:themeColor="text1"/>
          <w:lang w:val="ru-RU"/>
        </w:rPr>
        <w:t xml:space="preserve"> наземных</w:t>
      </w:r>
      <w:r w:rsidRPr="00D03F3E">
        <w:rPr>
          <w:rStyle w:val="3f9"/>
          <w:rFonts w:ascii="Times New Roman" w:hAnsi="Times New Roman" w:cs="Times New Roman"/>
          <w:b w:val="0"/>
          <w:color w:val="000000" w:themeColor="text1"/>
          <w:sz w:val="16"/>
          <w:szCs w:val="16"/>
          <w:lang w:val="ru-RU"/>
        </w:rPr>
        <w:t xml:space="preserve"> частей и войск противника, рййшюш. сосредоточения зенитной артиллерии своей и противника), а также сигналам обозначения своих войск и «я свой». После подготовки и проверки знаний выполнения </w:t>
      </w:r>
      <w:r w:rsidRPr="00D03F3E">
        <w:rPr>
          <w:color w:val="000000" w:themeColor="text1"/>
          <w:lang w:val="ru-RU"/>
        </w:rPr>
        <w:t>боевого задания экипажи разошлись по самолетам.</w:t>
      </w:r>
    </w:p>
    <w:p w14:paraId="27B0E58F" w14:textId="77777777" w:rsidR="003A63E9" w:rsidRPr="00D03F3E" w:rsidRDefault="003A63E9" w:rsidP="00D03F3E">
      <w:pPr>
        <w:pStyle w:val="a3"/>
        <w:rPr>
          <w:color w:val="000000" w:themeColor="text1"/>
          <w:lang w:val="ru-RU"/>
        </w:rPr>
      </w:pPr>
      <w:r w:rsidRPr="00D03F3E">
        <w:rPr>
          <w:color w:val="000000" w:themeColor="text1"/>
          <w:lang w:val="ru-RU"/>
        </w:rPr>
        <w:t>К этому времени самолеты были полностью дозаправлены горючим и произведен их тщательный осмотр. Проверили средства связи на земле. Боевая зарядка каждого само</w:t>
      </w:r>
      <w:r w:rsidRPr="00D03F3E">
        <w:rPr>
          <w:color w:val="000000" w:themeColor="text1"/>
          <w:lang w:val="ru-RU"/>
        </w:rPr>
        <w:softHyphen/>
        <w:t>лета Ил-2 включала 4 ФАБ-100, 4-8 РС-82, полный боекомплект к пушкам ВЯ и ШВАК.</w:t>
      </w:r>
    </w:p>
    <w:p w14:paraId="486377BD" w14:textId="77777777" w:rsidR="003A63E9" w:rsidRPr="00D03F3E" w:rsidRDefault="003A63E9" w:rsidP="00D03F3E">
      <w:pPr>
        <w:pStyle w:val="a3"/>
        <w:rPr>
          <w:color w:val="000000" w:themeColor="text1"/>
          <w:lang w:val="ru-RU"/>
        </w:rPr>
      </w:pPr>
      <w:r w:rsidRPr="00D03F3E">
        <w:rPr>
          <w:color w:val="000000" w:themeColor="text1"/>
          <w:lang w:val="ru-RU"/>
        </w:rPr>
        <w:t>После посадки пары Шварев-Давыдов и их доклада о результатах разведки в 10.30 был дан сигнал на вылет групп штурмовиков и истребителей. Взлет был выполнен быстро и без происшествий. На кругу, во время сбора и построения в боевой порядок, была установлена радиосвязь с землей и между самолетами. После этого группы легли на маршрут.</w:t>
      </w:r>
    </w:p>
    <w:p w14:paraId="2AF570DE" w14:textId="77777777" w:rsidR="003A63E9" w:rsidRPr="00D03F3E" w:rsidRDefault="003A63E9" w:rsidP="00D03F3E">
      <w:pPr>
        <w:pStyle w:val="a3"/>
        <w:rPr>
          <w:color w:val="000000" w:themeColor="text1"/>
          <w:lang w:val="ru-RU"/>
        </w:rPr>
      </w:pPr>
      <w:r w:rsidRPr="00D03F3E">
        <w:rPr>
          <w:color w:val="000000" w:themeColor="text1"/>
          <w:lang w:val="ru-RU"/>
        </w:rPr>
        <w:t>С целью скрытности экипажи соблюдали режим радиомолчания и использовали ниж</w:t>
      </w:r>
      <w:r w:rsidRPr="00D03F3E">
        <w:rPr>
          <w:color w:val="000000" w:themeColor="text1"/>
          <w:lang w:val="ru-RU"/>
        </w:rPr>
        <w:softHyphen/>
        <w:t>нюю кромку облачности. Высота полета по маршруту не превышала 300 м. При подходе к цели обе группы Ил-2 набрали 500 м подошли к аэродрому с западной стороны, что дало возможность всем экипажам через разрывы облачности просмотреть аэродром. Ведущий группы капитан Бахтин подавал команды по радио - «слева аэродром, заходим для атаки».</w:t>
      </w:r>
    </w:p>
    <w:p w14:paraId="24F7BB02" w14:textId="77777777" w:rsidR="003A63E9" w:rsidRPr="00D03F3E" w:rsidRDefault="003A63E9" w:rsidP="00D03F3E">
      <w:pPr>
        <w:pStyle w:val="a3"/>
        <w:rPr>
          <w:color w:val="000000" w:themeColor="text1"/>
          <w:lang w:val="ru-RU"/>
        </w:rPr>
      </w:pPr>
      <w:r w:rsidRPr="00D03F3E">
        <w:rPr>
          <w:color w:val="000000" w:themeColor="text1"/>
          <w:lang w:val="ru-RU"/>
        </w:rPr>
        <w:t>К этому времени по наблюдениям летчиков и воздушных стрелков на аэродроме нахо</w:t>
      </w:r>
      <w:r w:rsidRPr="00D03F3E">
        <w:rPr>
          <w:color w:val="000000" w:themeColor="text1"/>
          <w:lang w:val="ru-RU"/>
        </w:rPr>
        <w:softHyphen/>
        <w:t xml:space="preserve">дилось свыше 150 самолетов </w:t>
      </w:r>
      <w:r w:rsidRPr="00D03F3E">
        <w:rPr>
          <w:color w:val="000000" w:themeColor="text1"/>
        </w:rPr>
        <w:t>Ju</w:t>
      </w:r>
      <w:r w:rsidRPr="00D03F3E">
        <w:rPr>
          <w:color w:val="000000" w:themeColor="text1"/>
          <w:lang w:val="ru-RU"/>
        </w:rPr>
        <w:t xml:space="preserve"> 52, которые располагались скученно в четырех больших группах. Еще два «юнкерса» находились в воздухе и выполняли маневр для посадки. На старте стояли четыре истребителя </w:t>
      </w:r>
      <w:r w:rsidRPr="00D03F3E">
        <w:rPr>
          <w:color w:val="000000" w:themeColor="text1"/>
        </w:rPr>
        <w:t>Bf</w:t>
      </w:r>
      <w:r w:rsidRPr="00D03F3E">
        <w:rPr>
          <w:color w:val="000000" w:themeColor="text1"/>
          <w:lang w:val="ru-RU"/>
        </w:rPr>
        <w:t xml:space="preserve"> 109, очевидно, дежурное звено.</w:t>
      </w:r>
    </w:p>
    <w:p w14:paraId="4ECE04B5" w14:textId="77777777" w:rsidR="003A63E9" w:rsidRPr="00D03F3E" w:rsidRDefault="003A63E9" w:rsidP="00D03F3E">
      <w:pPr>
        <w:pStyle w:val="a3"/>
        <w:rPr>
          <w:color w:val="000000" w:themeColor="text1"/>
          <w:lang w:val="ru-RU"/>
        </w:rPr>
      </w:pPr>
      <w:r w:rsidRPr="00D03F3E">
        <w:rPr>
          <w:color w:val="000000" w:themeColor="text1"/>
          <w:lang w:val="ru-RU"/>
        </w:rPr>
        <w:t>Возле самолетов на стоянках суетились немцы, разъезжали бензозаправщики, а также груженные ящиками, мешками и бочками с бензином автомашины. Штабеля таких же мешков, ящиков и бочек с бензином находились по краям летного поля.</w:t>
      </w:r>
    </w:p>
    <w:p w14:paraId="50976A72" w14:textId="77777777" w:rsidR="003A63E9" w:rsidRPr="00D03F3E" w:rsidRDefault="003A63E9" w:rsidP="00D03F3E">
      <w:pPr>
        <w:pStyle w:val="a3"/>
        <w:rPr>
          <w:color w:val="000000" w:themeColor="text1"/>
          <w:lang w:val="ru-RU"/>
        </w:rPr>
      </w:pPr>
      <w:r w:rsidRPr="00D03F3E">
        <w:rPr>
          <w:color w:val="000000" w:themeColor="text1"/>
          <w:lang w:val="ru-RU"/>
        </w:rPr>
        <w:t>После получения команды ведущего группы разошлись для атаки аэродрома. Первый заход на цель был выполнен штурмовиками с юго-западного направления из облачности, что обеспечило внезапность нанесе</w:t>
      </w:r>
      <w:r w:rsidRPr="00D03F3E">
        <w:rPr>
          <w:color w:val="000000" w:themeColor="text1"/>
          <w:lang w:val="ru-RU"/>
        </w:rPr>
        <w:softHyphen/>
        <w:t>ния удара. Зенитная артиллерия противника открыла организо</w:t>
      </w:r>
      <w:r w:rsidRPr="00D03F3E">
        <w:rPr>
          <w:color w:val="000000" w:themeColor="text1"/>
          <w:lang w:val="ru-RU"/>
        </w:rPr>
        <w:softHyphen/>
        <w:t>ванный шквальный огонь только при втором заходе Ил-2. Штур</w:t>
      </w:r>
      <w:r w:rsidRPr="00D03F3E">
        <w:rPr>
          <w:color w:val="000000" w:themeColor="text1"/>
          <w:lang w:val="ru-RU"/>
        </w:rPr>
        <w:softHyphen/>
        <w:t>мовка аэродрома велась в тече</w:t>
      </w:r>
      <w:r w:rsidRPr="00D03F3E">
        <w:rPr>
          <w:color w:val="000000" w:themeColor="text1"/>
          <w:lang w:val="ru-RU"/>
        </w:rPr>
        <w:softHyphen/>
        <w:t>ние 15 минут в период 11.08- 11.23. Всего каждая группа Ил-2 выполнила 6 (!) заходов по сто</w:t>
      </w:r>
      <w:r w:rsidRPr="00D03F3E">
        <w:rPr>
          <w:color w:val="000000" w:themeColor="text1"/>
          <w:lang w:val="ru-RU"/>
        </w:rPr>
        <w:softHyphen/>
        <w:t>янкам немецких самолетов. Ата</w:t>
      </w:r>
      <w:r w:rsidRPr="00D03F3E">
        <w:rPr>
          <w:color w:val="000000" w:themeColor="text1"/>
          <w:lang w:val="ru-RU"/>
        </w:rPr>
        <w:softHyphen/>
        <w:t>ки производились с разных на</w:t>
      </w:r>
      <w:r w:rsidRPr="00D03F3E">
        <w:rPr>
          <w:color w:val="000000" w:themeColor="text1"/>
          <w:lang w:val="ru-RU"/>
        </w:rPr>
        <w:softHyphen/>
        <w:t xml:space="preserve">правлений и высот. Одна группа штурмовиков крутила круги в одну сторону, вторая - в другую сторону. При этом экипажи ши- </w:t>
      </w:r>
      <w:r w:rsidRPr="00D03F3E">
        <w:rPr>
          <w:rStyle w:val="2fc"/>
          <w:rFonts w:ascii="Times New Roman" w:hAnsi="Times New Roman" w:cs="Times New Roman"/>
          <w:b w:val="0"/>
          <w:color w:val="000000" w:themeColor="text1"/>
          <w:sz w:val="16"/>
          <w:szCs w:val="16"/>
          <w:lang w:val="ru-RU"/>
        </w:rPr>
        <w:t>Рие. 8. Ил-2 в полете в районе Сталинграда</w:t>
      </w:r>
      <w:r w:rsidRPr="00D03F3E">
        <w:rPr>
          <w:color w:val="000000" w:themeColor="text1"/>
          <w:lang w:val="ru-RU"/>
        </w:rPr>
        <w:t xml:space="preserve"> роко использовали облачность, «ныряя» в нее на выходе из ата</w:t>
      </w:r>
      <w:r w:rsidRPr="00D03F3E">
        <w:rPr>
          <w:color w:val="000000" w:themeColor="text1"/>
          <w:lang w:val="ru-RU"/>
        </w:rPr>
        <w:softHyphen/>
        <w:t>ки.</w:t>
      </w:r>
    </w:p>
    <w:p w14:paraId="5BDB7752" w14:textId="77777777" w:rsidR="003A63E9" w:rsidRPr="00D03F3E" w:rsidRDefault="003A63E9" w:rsidP="00D03F3E">
      <w:pPr>
        <w:pStyle w:val="a3"/>
        <w:rPr>
          <w:color w:val="000000" w:themeColor="text1"/>
          <w:lang w:val="ru-RU"/>
        </w:rPr>
      </w:pPr>
      <w:r w:rsidRPr="00D03F3E">
        <w:rPr>
          <w:color w:val="000000" w:themeColor="text1"/>
          <w:lang w:val="ru-RU"/>
        </w:rPr>
        <w:t>В первых двух заходах летчики самостоятельно выбирали цели и прицельно сбрасыва</w:t>
      </w:r>
      <w:r w:rsidRPr="00D03F3E">
        <w:rPr>
          <w:color w:val="000000" w:themeColor="text1"/>
          <w:lang w:val="ru-RU"/>
        </w:rPr>
        <w:softHyphen/>
        <w:t>ли бомбы с высоты 300-400 м. В последующих заходах немецкие самолеты обстрелива</w:t>
      </w:r>
      <w:r w:rsidRPr="00D03F3E">
        <w:rPr>
          <w:color w:val="000000" w:themeColor="text1"/>
          <w:lang w:val="ru-RU"/>
        </w:rPr>
        <w:softHyphen/>
        <w:t>лись ракетными снарядами и пулеметно-пушечным огнем со снижением до высоты 50 м.</w:t>
      </w:r>
    </w:p>
    <w:p w14:paraId="0D7D71D0" w14:textId="77777777" w:rsidR="003A63E9" w:rsidRPr="00D03F3E" w:rsidRDefault="003A63E9" w:rsidP="00D03F3E">
      <w:pPr>
        <w:pStyle w:val="a3"/>
        <w:rPr>
          <w:color w:val="000000" w:themeColor="text1"/>
          <w:lang w:val="ru-RU"/>
        </w:rPr>
      </w:pPr>
      <w:r w:rsidRPr="00D03F3E">
        <w:rPr>
          <w:color w:val="000000" w:themeColor="text1"/>
          <w:lang w:val="ru-RU"/>
        </w:rPr>
        <w:t xml:space="preserve">Расход боеприпасов составил 28 ФАБ-100, 50 РС-82, 1386 снарядов к пушкам ВЯ, 300 снарядов к пушкам </w:t>
      </w:r>
      <w:r w:rsidRPr="00D03F3E">
        <w:rPr>
          <w:color w:val="000000" w:themeColor="text1"/>
        </w:rPr>
        <w:t>LUBAK</w:t>
      </w:r>
      <w:r w:rsidRPr="00D03F3E">
        <w:rPr>
          <w:color w:val="000000" w:themeColor="text1"/>
          <w:lang w:val="ru-RU"/>
        </w:rPr>
        <w:t>, 120 патронов к пулеметам БС, 3830 патронов к пулеметам Ш</w:t>
      </w:r>
      <w:r w:rsidRPr="00D03F3E">
        <w:rPr>
          <w:color w:val="000000" w:themeColor="text1"/>
        </w:rPr>
        <w:t>KAC</w:t>
      </w:r>
      <w:r w:rsidRPr="00D03F3E">
        <w:rPr>
          <w:color w:val="000000" w:themeColor="text1"/>
          <w:lang w:val="ru-RU"/>
        </w:rPr>
        <w:t>.</w:t>
      </w:r>
    </w:p>
    <w:p w14:paraId="2083F70E" w14:textId="77777777" w:rsidR="003A63E9" w:rsidRPr="00D03F3E" w:rsidRDefault="003A63E9" w:rsidP="00D03F3E">
      <w:pPr>
        <w:pStyle w:val="a3"/>
        <w:rPr>
          <w:color w:val="000000" w:themeColor="text1"/>
          <w:lang w:val="ru-RU"/>
        </w:rPr>
      </w:pPr>
      <w:r w:rsidRPr="00D03F3E">
        <w:rPr>
          <w:color w:val="000000" w:themeColor="text1"/>
          <w:lang w:val="ru-RU"/>
        </w:rPr>
        <w:t>Несмотря на сильное противодействие зенитной артиллерии, штурмовики действова</w:t>
      </w:r>
      <w:r w:rsidRPr="00D03F3E">
        <w:rPr>
          <w:color w:val="000000" w:themeColor="text1"/>
          <w:lang w:val="ru-RU"/>
        </w:rPr>
        <w:softHyphen/>
        <w:t>ли смело и решительно, почти в упор, расстреливая самолеты противника. На выходе из пятого захода, капитан Бахтин по радио предупредил экипажи - «делаю последнюю ата</w:t>
      </w:r>
      <w:r w:rsidRPr="00D03F3E">
        <w:rPr>
          <w:color w:val="000000" w:themeColor="text1"/>
          <w:lang w:val="ru-RU"/>
        </w:rPr>
        <w:softHyphen/>
        <w:t>ку». После этого все летчики выполнили шестой заход и после команды Бахтина - «выхожу из атаки», организованно собрались и легли на обратный маршрут. От цели группа отошла в полном составе - 7 самолетов Ил-2.</w:t>
      </w:r>
    </w:p>
    <w:p w14:paraId="01A99A4C" w14:textId="77777777" w:rsidR="003A63E9" w:rsidRPr="00D03F3E" w:rsidRDefault="003A63E9" w:rsidP="00D03F3E">
      <w:pPr>
        <w:pStyle w:val="a3"/>
        <w:rPr>
          <w:color w:val="000000" w:themeColor="text1"/>
          <w:lang w:val="ru-RU"/>
        </w:rPr>
      </w:pPr>
      <w:r w:rsidRPr="00D03F3E">
        <w:rPr>
          <w:color w:val="000000" w:themeColor="text1"/>
          <w:lang w:val="ru-RU"/>
        </w:rPr>
        <w:t xml:space="preserve">По наблюдениям капитана Бахтина и экипажей штурмовиков в результате удара на аэродроме было уничтожено до 20 самолетов типа </w:t>
      </w:r>
      <w:r w:rsidRPr="00D03F3E">
        <w:rPr>
          <w:color w:val="000000" w:themeColor="text1"/>
        </w:rPr>
        <w:t>Ju</w:t>
      </w:r>
      <w:r w:rsidRPr="00D03F3E">
        <w:rPr>
          <w:color w:val="000000" w:themeColor="text1"/>
          <w:lang w:val="ru-RU"/>
        </w:rPr>
        <w:t xml:space="preserve"> 52 - «сгорели или развалились». Еще 10-12 самолетов было повреждено. Прикрывающие истребители после штурмовки наблюдали 15 очагов пожара в районах стоянок самолетов противника. Особенно большое количество пожаров отмечалось в западной группе немецких самолетов.</w:t>
      </w:r>
    </w:p>
    <w:p w14:paraId="629110A7" w14:textId="77777777" w:rsidR="003A63E9" w:rsidRPr="00D03F3E" w:rsidRDefault="003A63E9" w:rsidP="00D03F3E">
      <w:pPr>
        <w:pStyle w:val="a3"/>
        <w:rPr>
          <w:color w:val="000000" w:themeColor="text1"/>
          <w:lang w:val="ru-RU"/>
        </w:rPr>
      </w:pPr>
      <w:r w:rsidRPr="00D03F3E">
        <w:rPr>
          <w:color w:val="000000" w:themeColor="text1"/>
          <w:lang w:val="ru-RU"/>
        </w:rPr>
        <w:t xml:space="preserve">Кроме того, штурман 622-го шап старший лейтенант Мордовцев при выполнении первого захода сбил в воздухе заходящий на посадку </w:t>
      </w:r>
      <w:r w:rsidRPr="00D03F3E">
        <w:rPr>
          <w:color w:val="000000" w:themeColor="text1"/>
        </w:rPr>
        <w:t>Ju</w:t>
      </w:r>
      <w:r w:rsidRPr="00D03F3E">
        <w:rPr>
          <w:color w:val="000000" w:themeColor="text1"/>
          <w:lang w:val="ru-RU"/>
        </w:rPr>
        <w:t xml:space="preserve"> 52. Атака производилась на двухместном Ил-2 с полной бомбовой нагрузкой, что требовало изрядного мастерства летчика. Победу Мордовцева подтвердили истребители сопровождения.</w:t>
      </w:r>
    </w:p>
    <w:p w14:paraId="7238B59A" w14:textId="77777777" w:rsidR="003A63E9" w:rsidRPr="00D03F3E" w:rsidRDefault="003A63E9" w:rsidP="00D03F3E">
      <w:pPr>
        <w:pStyle w:val="a3"/>
        <w:rPr>
          <w:color w:val="000000" w:themeColor="text1"/>
          <w:lang w:val="ru-RU"/>
        </w:rPr>
      </w:pPr>
      <w:r w:rsidRPr="00D03F3E">
        <w:rPr>
          <w:color w:val="000000" w:themeColor="text1"/>
          <w:lang w:val="ru-RU"/>
        </w:rPr>
        <w:t xml:space="preserve">Истребители ударной группы прикрытия над аэродромом и на отходе от него вели воздушный бой с четверкой </w:t>
      </w:r>
      <w:r w:rsidRPr="00D03F3E">
        <w:rPr>
          <w:color w:val="000000" w:themeColor="text1"/>
        </w:rPr>
        <w:t>Bf</w:t>
      </w:r>
      <w:r w:rsidRPr="00D03F3E">
        <w:rPr>
          <w:color w:val="000000" w:themeColor="text1"/>
          <w:lang w:val="ru-RU"/>
        </w:rPr>
        <w:t xml:space="preserve"> 109. В ходе боя командир звена старший лейтенант М.С. Липин сбил один «мессер», который упал горящим между г. Сальск и ж.д. станцией Маныч. Это подтвердили воздушные стрелки и летчики-истребители.</w:t>
      </w:r>
    </w:p>
    <w:p w14:paraId="049BBF92" w14:textId="77777777" w:rsidR="003A63E9" w:rsidRPr="00D03F3E" w:rsidRDefault="003A63E9" w:rsidP="00D03F3E">
      <w:pPr>
        <w:pStyle w:val="a3"/>
        <w:rPr>
          <w:color w:val="000000" w:themeColor="text1"/>
          <w:lang w:val="ru-RU"/>
        </w:rPr>
      </w:pPr>
      <w:r w:rsidRPr="00D03F3E">
        <w:rPr>
          <w:color w:val="000000" w:themeColor="text1"/>
          <w:lang w:val="ru-RU"/>
        </w:rPr>
        <w:t xml:space="preserve">При отходе от аэродрома Ил-2 были атакованы тремя </w:t>
      </w:r>
      <w:r w:rsidRPr="00D03F3E">
        <w:rPr>
          <w:color w:val="000000" w:themeColor="text1"/>
        </w:rPr>
        <w:t>Bf</w:t>
      </w:r>
      <w:r w:rsidRPr="00D03F3E">
        <w:rPr>
          <w:color w:val="000000" w:themeColor="text1"/>
          <w:lang w:val="ru-RU"/>
        </w:rPr>
        <w:t xml:space="preserve"> 109, которые взлетели с аэродрома сразу же после прекращения атаки штурмовиков. Их атаки отражали воздуш</w:t>
      </w:r>
      <w:r w:rsidRPr="00D03F3E">
        <w:rPr>
          <w:color w:val="000000" w:themeColor="text1"/>
          <w:lang w:val="ru-RU"/>
        </w:rPr>
        <w:softHyphen/>
        <w:t>ные стрелки сержант Разумов из экипажа старшего лейтенанта Мордовцева и сержант Светлишнев из экипажа лейтенанта Жевтоненко. Огнем своих пулеметов они отсекали истребители противника от самолетов группы. Особенно отличился сержант Светлиш</w:t>
      </w:r>
      <w:r w:rsidRPr="00D03F3E">
        <w:rPr>
          <w:color w:val="000000" w:themeColor="text1"/>
          <w:lang w:val="ru-RU"/>
        </w:rPr>
        <w:softHyphen/>
        <w:t>нев. Так, когда Светлишнев увидел, что один «мессершмитт» близко пристроился в хвост Ил-2 сержанта Дубенко, то «метким огнем он вынудил самолет противника отойти». «В другой атаке т. Светлишнев отогнал 2 Ме-109, которые пикировали на самолет мл. лей</w:t>
      </w:r>
      <w:r w:rsidRPr="00D03F3E">
        <w:rPr>
          <w:color w:val="000000" w:themeColor="text1"/>
          <w:lang w:val="ru-RU"/>
        </w:rPr>
        <w:softHyphen/>
        <w:t>тенанта Горячева». При очередной атаке «мессершмиттов» сержант Светлишнев, «подпу</w:t>
      </w:r>
      <w:r w:rsidRPr="00D03F3E">
        <w:rPr>
          <w:color w:val="000000" w:themeColor="text1"/>
          <w:lang w:val="ru-RU"/>
        </w:rPr>
        <w:softHyphen/>
        <w:t>стив Ме-109 на близкую дистанцию, дал несколько очередей, один истребитель загорелся и упал». Оставшуюся пару «мессеров» атаковали истребители сопровождения, но немец</w:t>
      </w:r>
      <w:r w:rsidRPr="00D03F3E">
        <w:rPr>
          <w:color w:val="000000" w:themeColor="text1"/>
          <w:lang w:val="ru-RU"/>
        </w:rPr>
        <w:softHyphen/>
        <w:t>кие летчики бой не приняли и больше атак по Ил-2 не производили.</w:t>
      </w:r>
    </w:p>
    <w:p w14:paraId="661109CC" w14:textId="77777777" w:rsidR="003A63E9" w:rsidRPr="00D03F3E" w:rsidRDefault="003A63E9" w:rsidP="00D03F3E">
      <w:pPr>
        <w:pStyle w:val="a3"/>
        <w:rPr>
          <w:color w:val="000000" w:themeColor="text1"/>
          <w:lang w:val="ru-RU"/>
        </w:rPr>
      </w:pPr>
      <w:r w:rsidRPr="00D03F3E">
        <w:rPr>
          <w:color w:val="000000" w:themeColor="text1"/>
          <w:lang w:val="ru-RU"/>
        </w:rPr>
        <w:t>Надо отдать должное истребителям сопровождения, особенно ударной группы, кото</w:t>
      </w:r>
      <w:r w:rsidRPr="00D03F3E">
        <w:rPr>
          <w:color w:val="000000" w:themeColor="text1"/>
          <w:lang w:val="ru-RU"/>
        </w:rPr>
        <w:softHyphen/>
        <w:t>рые сковали боем воздушный патруль противника и не допустили немецкие истребители к Ил-2, дали штурмовикам спокойно отработать над целью, собраться после атаки и организованно отойти от цели.</w:t>
      </w:r>
    </w:p>
    <w:p w14:paraId="36B1B512" w14:textId="77777777" w:rsidR="003A63E9" w:rsidRPr="00D03F3E" w:rsidRDefault="003A63E9" w:rsidP="00D03F3E">
      <w:pPr>
        <w:pStyle w:val="a3"/>
        <w:rPr>
          <w:color w:val="000000" w:themeColor="text1"/>
          <w:lang w:val="ru-RU"/>
        </w:rPr>
      </w:pPr>
      <w:r w:rsidRPr="00D03F3E">
        <w:rPr>
          <w:color w:val="000000" w:themeColor="text1"/>
          <w:lang w:val="ru-RU"/>
        </w:rPr>
        <w:t xml:space="preserve">На территории противника в 15 км к западу от совхоза Пролетарская (район «отметка 34») пошел на снижение и совершил вынужденную посадку сержант Долаберидзе </w:t>
      </w:r>
      <w:r w:rsidRPr="00D03F3E">
        <w:rPr>
          <w:color w:val="000000" w:themeColor="text1"/>
          <w:lang w:val="ru-RU"/>
        </w:rPr>
        <w:lastRenderedPageBreak/>
        <w:t>(Ил-2 зав. № 4027), а в 5-6 км к западу от ж.д. станции Ельмут вынужденно сел лейтенант Карлов (Ил-2 зав. № 9528). По наблюдениям экипажей оба штурмовика были подбиты истреби</w:t>
      </w:r>
      <w:r w:rsidRPr="00D03F3E">
        <w:rPr>
          <w:color w:val="000000" w:themeColor="text1"/>
          <w:lang w:val="ru-RU"/>
        </w:rPr>
        <w:softHyphen/>
        <w:t>телями противника.</w:t>
      </w:r>
    </w:p>
    <w:p w14:paraId="5A7C44D6" w14:textId="77777777" w:rsidR="003A63E9" w:rsidRPr="00D03F3E" w:rsidRDefault="003A63E9" w:rsidP="00D03F3E">
      <w:pPr>
        <w:pStyle w:val="a3"/>
        <w:rPr>
          <w:color w:val="000000" w:themeColor="text1"/>
          <w:lang w:val="ru-RU"/>
        </w:rPr>
      </w:pPr>
      <w:r w:rsidRPr="00D03F3E">
        <w:rPr>
          <w:color w:val="000000" w:themeColor="text1"/>
          <w:lang w:val="ru-RU"/>
        </w:rPr>
        <w:t>Из группы сопровождающих истребителей в воздушном бою с «мессершмиттами» были сбиты сержанты И.В. Губанов и Г.Д. Кочетов. Оба летчика 12 января возвратились в полк.</w:t>
      </w:r>
    </w:p>
    <w:p w14:paraId="6C69A2A7" w14:textId="77777777" w:rsidR="003A63E9" w:rsidRPr="00D03F3E" w:rsidRDefault="003A63E9" w:rsidP="00D03F3E">
      <w:pPr>
        <w:pStyle w:val="a3"/>
        <w:rPr>
          <w:color w:val="000000" w:themeColor="text1"/>
          <w:lang w:val="ru-RU"/>
        </w:rPr>
      </w:pPr>
      <w:r w:rsidRPr="00D03F3E">
        <w:rPr>
          <w:color w:val="000000" w:themeColor="text1"/>
          <w:lang w:val="ru-RU"/>
        </w:rPr>
        <w:t>После посадки штурмовиков было решено послать пару истребителей для поиска и оказания помощи экипажам, совершившим вынужденные посадки на территории против</w:t>
      </w:r>
      <w:r w:rsidRPr="00D03F3E">
        <w:rPr>
          <w:color w:val="000000" w:themeColor="text1"/>
          <w:lang w:val="ru-RU"/>
        </w:rPr>
        <w:softHyphen/>
        <w:t>ника, а также для просмотра результатов удара Ил-2. Для этого выделили один Як-1, оборудованный лыжным шасси, и один Ла-5. Предполагалось, что в случае обнаружения штурмовика на Як-1 можно будет сесть и забрать летчика, а Ла-5 в это время будет прикрывать с воздуха. По наблюдениям экипажей штурмовиков и воздушных стрелков Карлов и Долаберидзе сели на ровной местности в поле. На задание вылетели младший лейтенант Козырев и сержант Бойко от 3-го гиап. На свой аэродром летчики не возвра</w:t>
      </w:r>
      <w:r w:rsidRPr="00D03F3E">
        <w:rPr>
          <w:color w:val="000000" w:themeColor="text1"/>
          <w:lang w:val="ru-RU"/>
        </w:rPr>
        <w:softHyphen/>
        <w:t>тились. Судьба их неизвестна.</w:t>
      </w:r>
    </w:p>
    <w:p w14:paraId="2B91C380" w14:textId="77777777" w:rsidR="003A63E9" w:rsidRPr="00D03F3E" w:rsidRDefault="003A63E9" w:rsidP="00D03F3E">
      <w:pPr>
        <w:pStyle w:val="a3"/>
        <w:rPr>
          <w:color w:val="000000" w:themeColor="text1"/>
          <w:lang w:val="ru-RU"/>
        </w:rPr>
      </w:pPr>
      <w:r w:rsidRPr="00D03F3E">
        <w:rPr>
          <w:color w:val="000000" w:themeColor="text1"/>
          <w:lang w:val="ru-RU"/>
        </w:rPr>
        <w:t>В совместном донесении 622-го шап и 236-го иап в штаб 214-й шад о налете на аэродром Сальск 9 января за подписью начальников штабов полков - майора Лебедева и майора Пронина, указывается, что в результате удара противник лишился 19 самоле</w:t>
      </w:r>
      <w:r w:rsidRPr="00D03F3E">
        <w:rPr>
          <w:color w:val="000000" w:themeColor="text1"/>
          <w:lang w:val="ru-RU"/>
        </w:rPr>
        <w:softHyphen/>
        <w:t xml:space="preserve">тов </w:t>
      </w:r>
      <w:r w:rsidRPr="00D03F3E">
        <w:rPr>
          <w:color w:val="000000" w:themeColor="text1"/>
        </w:rPr>
        <w:t>Ju</w:t>
      </w:r>
      <w:r w:rsidRPr="00D03F3E">
        <w:rPr>
          <w:color w:val="000000" w:themeColor="text1"/>
          <w:lang w:val="ru-RU"/>
        </w:rPr>
        <w:t xml:space="preserve"> 52 на земле, одного </w:t>
      </w:r>
      <w:r w:rsidRPr="00D03F3E">
        <w:rPr>
          <w:color w:val="000000" w:themeColor="text1"/>
        </w:rPr>
        <w:t>Ju</w:t>
      </w:r>
      <w:r w:rsidRPr="00D03F3E">
        <w:rPr>
          <w:color w:val="000000" w:themeColor="text1"/>
          <w:lang w:val="ru-RU"/>
        </w:rPr>
        <w:t xml:space="preserve"> 52 и двух </w:t>
      </w:r>
      <w:r w:rsidRPr="00D03F3E">
        <w:rPr>
          <w:color w:val="000000" w:themeColor="text1"/>
        </w:rPr>
        <w:t>Bf</w:t>
      </w:r>
      <w:r w:rsidRPr="00D03F3E">
        <w:rPr>
          <w:color w:val="000000" w:themeColor="text1"/>
          <w:lang w:val="ru-RU"/>
        </w:rPr>
        <w:t xml:space="preserve"> 109, сбитых в воздухе. Отличились - Мордовцев, Светлишнев и Липин, сбившие по одному самолету противника. Кроме того, 10 «юнкер- сов» были повреждены. Свои потери составили два самолета Ил-2 и два летчика от 622-го шап (Карлов, Долаберидзе), которые были подбиты истребителями противника и вынуж</w:t>
      </w:r>
      <w:r w:rsidRPr="00D03F3E">
        <w:rPr>
          <w:color w:val="000000" w:themeColor="text1"/>
          <w:lang w:val="ru-RU"/>
        </w:rPr>
        <w:softHyphen/>
        <w:t>денно сели на территории про</w:t>
      </w:r>
      <w:r w:rsidRPr="00D03F3E">
        <w:rPr>
          <w:color w:val="000000" w:themeColor="text1"/>
          <w:lang w:val="ru-RU"/>
        </w:rPr>
        <w:softHyphen/>
        <w:t>тивника, два Як-1 и два летчика от 236-го иап (Губанов, Кочетов), не вернувшихся с боевого зада</w:t>
      </w:r>
      <w:r w:rsidRPr="00D03F3E">
        <w:rPr>
          <w:color w:val="000000" w:themeColor="text1"/>
          <w:lang w:val="ru-RU"/>
        </w:rPr>
        <w:softHyphen/>
        <w:t>ния.</w:t>
      </w:r>
    </w:p>
    <w:p w14:paraId="1205CF75" w14:textId="77777777" w:rsidR="003A63E9" w:rsidRPr="00D03F3E" w:rsidRDefault="003A63E9" w:rsidP="00D03F3E">
      <w:pPr>
        <w:pStyle w:val="a3"/>
        <w:rPr>
          <w:color w:val="000000" w:themeColor="text1"/>
          <w:lang w:val="ru-RU"/>
        </w:rPr>
      </w:pPr>
      <w:r w:rsidRPr="00D03F3E">
        <w:rPr>
          <w:color w:val="000000" w:themeColor="text1"/>
          <w:lang w:val="ru-RU"/>
        </w:rPr>
        <w:t>Сведения оперативной свод</w:t>
      </w:r>
      <w:r w:rsidRPr="00D03F3E">
        <w:rPr>
          <w:color w:val="000000" w:themeColor="text1"/>
          <w:lang w:val="ru-RU"/>
        </w:rPr>
        <w:softHyphen/>
        <w:t>ки 214-й шад за 9 января прак</w:t>
      </w:r>
      <w:r w:rsidRPr="00D03F3E">
        <w:rPr>
          <w:color w:val="000000" w:themeColor="text1"/>
          <w:lang w:val="ru-RU"/>
        </w:rPr>
        <w:softHyphen/>
        <w:t>тически полностью повторяют данные штабов полков, за исклю</w:t>
      </w:r>
      <w:r w:rsidRPr="00D03F3E">
        <w:rPr>
          <w:color w:val="000000" w:themeColor="text1"/>
          <w:lang w:val="ru-RU"/>
        </w:rPr>
        <w:softHyphen/>
        <w:t xml:space="preserve">чением потерь противника на земле. В штабе дивизии вместо 19 указали 20 самолетов типа </w:t>
      </w:r>
      <w:r w:rsidRPr="00D03F3E">
        <w:rPr>
          <w:color w:val="000000" w:themeColor="text1"/>
        </w:rPr>
        <w:t>Ju</w:t>
      </w:r>
      <w:r w:rsidRPr="00D03F3E">
        <w:rPr>
          <w:color w:val="000000" w:themeColor="text1"/>
          <w:lang w:val="ru-RU"/>
        </w:rPr>
        <w:t xml:space="preserve"> 52, уничтоженных на аэродро</w:t>
      </w:r>
      <w:r w:rsidRPr="00D03F3E">
        <w:rPr>
          <w:color w:val="000000" w:themeColor="text1"/>
          <w:lang w:val="ru-RU"/>
        </w:rPr>
        <w:softHyphen/>
        <w:t>ме, в точном соответствии с ра</w:t>
      </w:r>
      <w:r w:rsidRPr="00D03F3E">
        <w:rPr>
          <w:color w:val="000000" w:themeColor="text1"/>
          <w:lang w:val="ru-RU"/>
        </w:rPr>
        <w:softHyphen/>
        <w:t>портом капитана Бахтина.</w:t>
      </w:r>
    </w:p>
    <w:p w14:paraId="03F479B3" w14:textId="77777777" w:rsidR="003A63E9" w:rsidRPr="00D03F3E" w:rsidRDefault="003A63E9" w:rsidP="00D03F3E">
      <w:pPr>
        <w:pStyle w:val="a3"/>
        <w:rPr>
          <w:color w:val="000000" w:themeColor="text1"/>
          <w:lang w:val="ru-RU"/>
        </w:rPr>
      </w:pPr>
      <w:r w:rsidRPr="00D03F3E">
        <w:rPr>
          <w:color w:val="000000" w:themeColor="text1"/>
          <w:lang w:val="ru-RU"/>
        </w:rPr>
        <w:t>При подготовке оперативной сводки за 9 января в штабе 2-го сак потери противника на аэро</w:t>
      </w:r>
      <w:r w:rsidRPr="00D03F3E">
        <w:rPr>
          <w:color w:val="000000" w:themeColor="text1"/>
          <w:lang w:val="ru-RU"/>
        </w:rPr>
        <w:softHyphen/>
        <w:t>дроме Сальск оценили по ниж</w:t>
      </w:r>
      <w:r w:rsidRPr="00D03F3E">
        <w:rPr>
          <w:color w:val="000000" w:themeColor="text1"/>
          <w:lang w:val="ru-RU"/>
        </w:rPr>
        <w:softHyphen/>
        <w:t>ней планке, а именно: 19 уничто</w:t>
      </w:r>
      <w:r w:rsidRPr="00D03F3E">
        <w:rPr>
          <w:color w:val="000000" w:themeColor="text1"/>
          <w:lang w:val="ru-RU"/>
        </w:rPr>
        <w:softHyphen/>
        <w:t xml:space="preserve">женных и 10 поврежденных на земле самолетов типа </w:t>
      </w:r>
      <w:r w:rsidRPr="00D03F3E">
        <w:rPr>
          <w:color w:val="000000" w:themeColor="text1"/>
        </w:rPr>
        <w:t>Ju</w:t>
      </w:r>
      <w:r w:rsidRPr="00D03F3E">
        <w:rPr>
          <w:color w:val="000000" w:themeColor="text1"/>
          <w:lang w:val="ru-RU"/>
        </w:rPr>
        <w:t xml:space="preserve"> 52 и три </w:t>
      </w:r>
      <w:r w:rsidRPr="00D03F3E">
        <w:rPr>
          <w:color w:val="000000" w:themeColor="text1"/>
        </w:rPr>
        <w:t>Bf</w:t>
      </w:r>
      <w:r w:rsidRPr="00D03F3E">
        <w:rPr>
          <w:color w:val="000000" w:themeColor="text1"/>
          <w:lang w:val="ru-RU"/>
        </w:rPr>
        <w:t xml:space="preserve"> 109, сбитых в воздухе. Один «мессер» (штабисты ошиблись, следует читать </w:t>
      </w:r>
      <w:r w:rsidRPr="00D03F3E">
        <w:rPr>
          <w:color w:val="000000" w:themeColor="text1"/>
        </w:rPr>
        <w:t>Ju</w:t>
      </w:r>
      <w:r w:rsidRPr="00D03F3E">
        <w:rPr>
          <w:color w:val="000000" w:themeColor="text1"/>
          <w:lang w:val="ru-RU"/>
        </w:rPr>
        <w:t xml:space="preserve"> 52 - авт.) запи</w:t>
      </w:r>
      <w:r w:rsidRPr="00D03F3E">
        <w:rPr>
          <w:color w:val="000000" w:themeColor="text1"/>
          <w:lang w:val="ru-RU"/>
        </w:rPr>
        <w:softHyphen/>
        <w:t>сали на счет штурмана 622-го шап старшего лейтенанта Мор</w:t>
      </w:r>
      <w:r w:rsidRPr="00D03F3E">
        <w:rPr>
          <w:color w:val="000000" w:themeColor="text1"/>
          <w:lang w:val="ru-RU"/>
        </w:rPr>
        <w:softHyphen/>
        <w:t>довцева, второй - сержанта Светлишнева, и третий - коман</w:t>
      </w:r>
      <w:r w:rsidRPr="00D03F3E">
        <w:rPr>
          <w:color w:val="000000" w:themeColor="text1"/>
          <w:lang w:val="ru-RU"/>
        </w:rPr>
        <w:softHyphen/>
        <w:t>дира звена 236-го иап старшего лейтенанта Липина. Свои поте</w:t>
      </w:r>
      <w:r w:rsidRPr="00D03F3E">
        <w:rPr>
          <w:color w:val="000000" w:themeColor="text1"/>
          <w:lang w:val="ru-RU"/>
        </w:rPr>
        <w:softHyphen/>
        <w:t>ри оценивались в два самолета Ил-2, подбитые истребительной авиацией противника, два Як-1, сбитые в воздушном бою, один Як-1 и один Ла-5, пропавшие без вести.</w:t>
      </w:r>
    </w:p>
    <w:p w14:paraId="54ED725C" w14:textId="77777777" w:rsidR="003A63E9" w:rsidRPr="00D03F3E" w:rsidRDefault="003A63E9" w:rsidP="00D03F3E">
      <w:pPr>
        <w:pStyle w:val="a3"/>
        <w:rPr>
          <w:color w:val="000000" w:themeColor="text1"/>
          <w:lang w:val="ru-RU"/>
        </w:rPr>
      </w:pPr>
      <w:r w:rsidRPr="00D03F3E">
        <w:rPr>
          <w:color w:val="000000" w:themeColor="text1"/>
          <w:lang w:val="ru-RU"/>
        </w:rPr>
        <w:t>Через два дня цифры своих потерь и формулировки их при</w:t>
      </w:r>
      <w:r w:rsidRPr="00D03F3E">
        <w:rPr>
          <w:color w:val="000000" w:themeColor="text1"/>
          <w:lang w:val="ru-RU"/>
        </w:rPr>
        <w:softHyphen/>
        <w:t>чин слегка изменили. В итоговой сводке боевых эпизодов 2-го сак на 11 января штурмо</w:t>
      </w:r>
      <w:r w:rsidRPr="00D03F3E">
        <w:rPr>
          <w:color w:val="000000" w:themeColor="text1"/>
          <w:lang w:val="ru-RU"/>
        </w:rPr>
        <w:softHyphen/>
        <w:t>вики уже считались подбитыми зенитной артиллерией противника, что, как позже выясни</w:t>
      </w:r>
      <w:r w:rsidRPr="00D03F3E">
        <w:rPr>
          <w:color w:val="000000" w:themeColor="text1"/>
          <w:lang w:val="ru-RU"/>
        </w:rPr>
        <w:softHyphen/>
        <w:t>лось, соответствовало действительности, а про два экипажа истребителей, вылетавших на поиски вынужденно севших Ил-2 и не вернувшихся с боевого задания, предпочли не упоминать. При такой статистике эффективность удара получалась повыше. Возможно, одной из причин желания штабных офицеров «подвигать» цифрами является следующее обстоятельство. Дело в том, что 9 января 236-й иап и 622-й шап, помимо удара по аэродрому Сальск, совместно выполняли боевую задачу по уничтожению железнодорож</w:t>
      </w:r>
      <w:r w:rsidRPr="00D03F3E">
        <w:rPr>
          <w:color w:val="000000" w:themeColor="text1"/>
          <w:lang w:val="ru-RU"/>
        </w:rPr>
        <w:softHyphen/>
        <w:t>ных составов и скопления войск и техники на ж.д. станции Таврический. В этом боевом вылете 236-й иап потерял четыре самолета и трех летчиков. Общие же потери 2-го сак за день составили 10 самолетов (2 Ил-2, 7 Як-1 и 1 Ла-5) и 9 экипажей.</w:t>
      </w:r>
    </w:p>
    <w:p w14:paraId="34492550" w14:textId="77777777" w:rsidR="003A63E9" w:rsidRPr="00D03F3E" w:rsidRDefault="003A63E9" w:rsidP="00D03F3E">
      <w:pPr>
        <w:pStyle w:val="a3"/>
        <w:rPr>
          <w:color w:val="000000" w:themeColor="text1"/>
          <w:lang w:val="ru-RU"/>
        </w:rPr>
      </w:pPr>
      <w:r w:rsidRPr="00D03F3E">
        <w:rPr>
          <w:color w:val="000000" w:themeColor="text1"/>
          <w:lang w:val="ru-RU"/>
        </w:rPr>
        <w:t>Дальнейшие события развивались следующим образом. Командир 214-й шад полков</w:t>
      </w:r>
      <w:r w:rsidRPr="00D03F3E">
        <w:rPr>
          <w:color w:val="000000" w:themeColor="text1"/>
          <w:lang w:val="ru-RU"/>
        </w:rPr>
        <w:softHyphen/>
        <w:t>ник Рубанов приказал командиру 622-го шап майору Емельянову после освобождения нашими войсками г. Сальск и района вынужденных посадок лейтенанта Карлова и сер</w:t>
      </w:r>
      <w:r w:rsidRPr="00D03F3E">
        <w:rPr>
          <w:color w:val="000000" w:themeColor="text1"/>
          <w:lang w:val="ru-RU"/>
        </w:rPr>
        <w:softHyphen/>
        <w:t>жанта Долаберидзе направить туда своего делегата для того, чтобы «проверить место</w:t>
      </w:r>
      <w:r w:rsidRPr="00D03F3E">
        <w:rPr>
          <w:color w:val="000000" w:themeColor="text1"/>
          <w:lang w:val="ru-RU"/>
        </w:rPr>
        <w:softHyphen/>
        <w:t>нахождение самолетов и состояние экипажей». Поисками экипажей занимался старший сержант Терешкин. По возвращению 29 января Терешкин доложил, что командира эскадрильи Карлова он «не нашел и местонахождение не установил», но в 20 км северо- западнее ж.д. станции Пролетарская обнаружил разбитый самолет сержанта Долабе</w:t>
      </w:r>
      <w:r w:rsidRPr="00D03F3E">
        <w:rPr>
          <w:color w:val="000000" w:themeColor="text1"/>
          <w:lang w:val="ru-RU"/>
        </w:rPr>
        <w:softHyphen/>
        <w:t>ридзе. Летчик совершил вынужденную посадку с неработающим мотором, не выпуская шасси. При посадке самолет разбит и восстановлению не подлежит. Характер повреж</w:t>
      </w:r>
      <w:r w:rsidRPr="00D03F3E">
        <w:rPr>
          <w:color w:val="000000" w:themeColor="text1"/>
          <w:lang w:val="ru-RU"/>
        </w:rPr>
        <w:softHyphen/>
        <w:t>дений позволял сделать вывод, что штурмовик был подбит огнем малокалиберной зенит</w:t>
      </w:r>
      <w:r w:rsidRPr="00D03F3E">
        <w:rPr>
          <w:color w:val="000000" w:themeColor="text1"/>
          <w:lang w:val="ru-RU"/>
        </w:rPr>
        <w:softHyphen/>
        <w:t>ной артиллерии. По рассказам местных жителей, которые оказались невольными свиде</w:t>
      </w:r>
      <w:r w:rsidRPr="00D03F3E">
        <w:rPr>
          <w:color w:val="000000" w:themeColor="text1"/>
          <w:lang w:val="ru-RU"/>
        </w:rPr>
        <w:softHyphen/>
        <w:t>телями случившегося, после посадки Долаберидзе побежал к находящейся поблизости реке и спрятался в камышах. Через несколько минут к месту посадки подъехали немцы на автомашине и конные калмыки. Обыскав находящуюся неподалеку хату и ничего не най</w:t>
      </w:r>
      <w:r w:rsidRPr="00D03F3E">
        <w:rPr>
          <w:color w:val="000000" w:themeColor="text1"/>
          <w:lang w:val="ru-RU"/>
        </w:rPr>
        <w:softHyphen/>
        <w:t>дя, немцы собрались уезжать. Однако калмыки заметили на снегу свежий след. Он привел их к реке. В камышах завязалась перестрелка и вскоре стихла. Через некоторое время немцы привели в хату связанного Долаберидзе и начали допрос. Несмотря на избиения и издевательства немецких солдат, на все вопросы Долаберидзе отвечал молчанием. После допроса сержанта увезли на машине. Дальнейшую судьбу летчика Терешкину установить не удалось.</w:t>
      </w:r>
    </w:p>
    <w:p w14:paraId="75294B7F" w14:textId="77777777" w:rsidR="003A63E9" w:rsidRPr="00D03F3E" w:rsidRDefault="003A63E9" w:rsidP="00D03F3E">
      <w:pPr>
        <w:pStyle w:val="a3"/>
        <w:rPr>
          <w:color w:val="000000" w:themeColor="text1"/>
          <w:lang w:val="ru-RU"/>
        </w:rPr>
      </w:pPr>
      <w:r w:rsidRPr="00D03F3E">
        <w:rPr>
          <w:color w:val="000000" w:themeColor="text1"/>
          <w:lang w:val="ru-RU"/>
        </w:rPr>
        <w:t>После доклада командира полка майора Емельянова, комдив Рубанов отдал распоря</w:t>
      </w:r>
      <w:r w:rsidRPr="00D03F3E">
        <w:rPr>
          <w:color w:val="000000" w:themeColor="text1"/>
          <w:lang w:val="ru-RU"/>
        </w:rPr>
        <w:softHyphen/>
        <w:t>жение произвести более детальное расследование, в том числе и по линии особого отдела. Интересна резолюция Рубанова на рапорте Емельянова: «Начальнику особого отдела. 1) Выяснить, кто предал летчика Долаберидзе и привлечь к ответственности. 2) Донести результаты расследования. Рубанов».</w:t>
      </w:r>
    </w:p>
    <w:p w14:paraId="4C423462" w14:textId="77777777" w:rsidR="003A63E9" w:rsidRPr="00D03F3E" w:rsidRDefault="003A63E9" w:rsidP="00D03F3E">
      <w:pPr>
        <w:pStyle w:val="a3"/>
        <w:rPr>
          <w:color w:val="000000" w:themeColor="text1"/>
          <w:lang w:val="ru-RU"/>
        </w:rPr>
      </w:pPr>
      <w:r w:rsidRPr="00D03F3E">
        <w:rPr>
          <w:color w:val="000000" w:themeColor="text1"/>
          <w:lang w:val="ru-RU"/>
        </w:rPr>
        <w:t>Помимо сведений об обстоятельствах пленения сержанта Долаберидзе, Терешкин привез подтверждение жителей г. Сальск, которые работали на аэродроме 9 января и стали очевидцами удара штурмовиков. Под документом подписались: Клепова, Панкова, Черномазова, Емельчева. Фамилию еще одного жителя Сальска установить не удалось, так как его подпись на документе неразборчива. Здесь следует отметить, что по некото</w:t>
      </w:r>
      <w:r w:rsidRPr="00D03F3E">
        <w:rPr>
          <w:color w:val="000000" w:themeColor="text1"/>
          <w:lang w:val="ru-RU"/>
        </w:rPr>
        <w:softHyphen/>
        <w:t>рым данным эти граждане работали на аэродроме по заданию подпольной организации г. Сальска, одним из руководителей которой являлся депутат Верховного Совета РСФСР, председатель Сальского районного исполнительного комитета Совета депутатов трудя</w:t>
      </w:r>
      <w:r w:rsidRPr="00D03F3E">
        <w:rPr>
          <w:color w:val="000000" w:themeColor="text1"/>
          <w:lang w:val="ru-RU"/>
        </w:rPr>
        <w:softHyphen/>
        <w:t>щихся Шестерко. Он же и заверил их подписи.</w:t>
      </w:r>
    </w:p>
    <w:p w14:paraId="22E06726" w14:textId="77777777" w:rsidR="003A63E9" w:rsidRPr="00D03F3E" w:rsidRDefault="003A63E9" w:rsidP="00D03F3E">
      <w:pPr>
        <w:pStyle w:val="a3"/>
        <w:rPr>
          <w:color w:val="000000" w:themeColor="text1"/>
          <w:lang w:val="ru-RU"/>
        </w:rPr>
      </w:pPr>
      <w:r w:rsidRPr="00D03F3E">
        <w:rPr>
          <w:color w:val="000000" w:themeColor="text1"/>
          <w:lang w:val="ru-RU"/>
        </w:rPr>
        <w:t>По заявлению жителей 9 января в момент удара Ил-2 на аэродроме около г. Сальск находилось 372 немецких самолета, преимущественно транспортных. Там же располагал</w:t>
      </w:r>
      <w:r w:rsidRPr="00D03F3E">
        <w:rPr>
          <w:color w:val="000000" w:themeColor="text1"/>
          <w:lang w:val="ru-RU"/>
        </w:rPr>
        <w:softHyphen/>
        <w:t>ся госпиталь с ранеными немецкими солдатами и офицерами. В результате удара штур</w:t>
      </w:r>
      <w:r w:rsidRPr="00D03F3E">
        <w:rPr>
          <w:color w:val="000000" w:themeColor="text1"/>
          <w:lang w:val="ru-RU"/>
        </w:rPr>
        <w:softHyphen/>
        <w:t>мовиков было повреждено и уничтожено 72 немецких самолета, из них два самолета были сбиты в воздухе. Прямым попаданием бомбы разрушен госпиталь, наблюдалось много жертв.</w:t>
      </w:r>
    </w:p>
    <w:p w14:paraId="15E1E497" w14:textId="77777777" w:rsidR="003A63E9" w:rsidRPr="00D03F3E" w:rsidRDefault="003A63E9" w:rsidP="00D03F3E">
      <w:pPr>
        <w:pStyle w:val="a3"/>
        <w:rPr>
          <w:color w:val="000000" w:themeColor="text1"/>
          <w:lang w:val="ru-RU"/>
        </w:rPr>
      </w:pPr>
      <w:r w:rsidRPr="00D03F3E">
        <w:rPr>
          <w:color w:val="000000" w:themeColor="text1"/>
          <w:lang w:val="ru-RU"/>
        </w:rPr>
        <w:t>Граждане указывали, что: «Летчики этой группы смело и отважно атаковали вражес</w:t>
      </w:r>
      <w:r w:rsidRPr="00D03F3E">
        <w:rPr>
          <w:color w:val="000000" w:themeColor="text1"/>
          <w:lang w:val="ru-RU"/>
        </w:rPr>
        <w:softHyphen/>
        <w:t>кий аэродром, снижаясь до бреющего полета. Видно было, что на цель делали два захода, несмотря на сильный шквальный зенитный огонь». В заключение они просили «командование полка отметить их героический, бесстрашный налет наградой за их муже</w:t>
      </w:r>
      <w:r w:rsidRPr="00D03F3E">
        <w:rPr>
          <w:color w:val="000000" w:themeColor="text1"/>
          <w:lang w:val="ru-RU"/>
        </w:rPr>
        <w:softHyphen/>
        <w:t>ство».</w:t>
      </w:r>
    </w:p>
    <w:p w14:paraId="160B28C9" w14:textId="77777777" w:rsidR="003A63E9" w:rsidRPr="00D03F3E" w:rsidRDefault="003A63E9" w:rsidP="00D03F3E">
      <w:pPr>
        <w:pStyle w:val="a3"/>
        <w:rPr>
          <w:color w:val="000000" w:themeColor="text1"/>
          <w:lang w:val="ru-RU"/>
        </w:rPr>
      </w:pPr>
      <w:r w:rsidRPr="00D03F3E">
        <w:rPr>
          <w:color w:val="000000" w:themeColor="text1"/>
          <w:lang w:val="ru-RU"/>
        </w:rPr>
        <w:t>Очевидно, группировка самолетов противника на аэродроме Сальск к моменту нале</w:t>
      </w:r>
      <w:r w:rsidRPr="00D03F3E">
        <w:rPr>
          <w:color w:val="000000" w:themeColor="text1"/>
          <w:lang w:val="ru-RU"/>
        </w:rPr>
        <w:softHyphen/>
        <w:t>та штурмовиков от 622-го шап, сильно завышена. У немцев к этому времени просто не было в районе Сталинграда почти четырех сотен транспортных самолетов. Сильно завы</w:t>
      </w:r>
      <w:r w:rsidRPr="00D03F3E">
        <w:rPr>
          <w:color w:val="000000" w:themeColor="text1"/>
          <w:lang w:val="ru-RU"/>
        </w:rPr>
        <w:softHyphen/>
        <w:t>шены и потери противника в самолетах.</w:t>
      </w:r>
    </w:p>
    <w:p w14:paraId="452855C6" w14:textId="77777777" w:rsidR="003A63E9" w:rsidRPr="00D03F3E" w:rsidRDefault="003A63E9" w:rsidP="00D03F3E">
      <w:pPr>
        <w:pStyle w:val="a3"/>
        <w:rPr>
          <w:color w:val="000000" w:themeColor="text1"/>
          <w:lang w:val="ru-RU"/>
        </w:rPr>
      </w:pPr>
      <w:r w:rsidRPr="00D03F3E">
        <w:rPr>
          <w:color w:val="000000" w:themeColor="text1"/>
          <w:lang w:val="ru-RU"/>
        </w:rPr>
        <w:t>Тем не менее, после получения такого документа, комполка майор Емельянов сразу же - 29 января, обратился с рапортом к командиру дивизии полковнику Рубанову, в котором ходатайствовал о внесении изменений в боевое донесение штаба полка от 9 января. Далее рапорт Емельянова с соответствующей резолюцией Рубанова и заключением на</w:t>
      </w:r>
      <w:r w:rsidRPr="00D03F3E">
        <w:rPr>
          <w:color w:val="000000" w:themeColor="text1"/>
          <w:lang w:val="ru-RU"/>
        </w:rPr>
        <w:softHyphen/>
        <w:t>чальника штаба дивизии подполковника Юдина пошел по команде в штаб 2-го корпуса. В результате 3 февраля появилось дополнение к оперативной сводке 2-го сак № 9 от 9 января 1943 г., в котором указывалось, что: «По уточненным данным и подтверждению, полученному от местных граждан - очевидцев, группой 7 Ил-2 от 622-го шап /.../, штур</w:t>
      </w:r>
      <w:r w:rsidRPr="00D03F3E">
        <w:rPr>
          <w:color w:val="000000" w:themeColor="text1"/>
          <w:lang w:val="ru-RU"/>
        </w:rPr>
        <w:softHyphen/>
        <w:t>мовавшей 9.1.43 г. транспортные самолеты на аэродроме Сальск, уничтожено и повреж</w:t>
      </w:r>
      <w:r w:rsidRPr="00D03F3E">
        <w:rPr>
          <w:color w:val="000000" w:themeColor="text1"/>
          <w:lang w:val="ru-RU"/>
        </w:rPr>
        <w:softHyphen/>
        <w:t>дено не 32 самолета, а 72 Ю-52, из них 2 самолета на взлете. Прямым попаданием бомбы разрушен госпиталь с ранеными немецкими солдатами, наблюдалось много жертв. Ре</w:t>
      </w:r>
      <w:r w:rsidRPr="00D03F3E">
        <w:rPr>
          <w:color w:val="000000" w:themeColor="text1"/>
          <w:lang w:val="ru-RU"/>
        </w:rPr>
        <w:softHyphen/>
        <w:t xml:space="preserve">зультаты штурмовых действий подтверждаются гражданами </w:t>
      </w:r>
      <w:r w:rsidRPr="00D03F3E">
        <w:rPr>
          <w:color w:val="000000" w:themeColor="text1"/>
        </w:rPr>
        <w:t>ri</w:t>
      </w:r>
      <w:r w:rsidRPr="00D03F3E">
        <w:rPr>
          <w:color w:val="000000" w:themeColor="text1"/>
          <w:lang w:val="ru-RU"/>
        </w:rPr>
        <w:t xml:space="preserve"> Сальск, работавшими на аэродроме во время штурмовых действий». Эта цифра - 72 самолета </w:t>
      </w:r>
      <w:r w:rsidRPr="00D03F3E">
        <w:rPr>
          <w:color w:val="000000" w:themeColor="text1"/>
        </w:rPr>
        <w:t>Ju</w:t>
      </w:r>
      <w:r w:rsidRPr="00D03F3E">
        <w:rPr>
          <w:color w:val="000000" w:themeColor="text1"/>
          <w:lang w:val="ru-RU"/>
        </w:rPr>
        <w:t xml:space="preserve"> 52, и вошла затем во все отчетные материалы 622-го шап, 214-й шад и 2-го сак по опыту войны, а в 1946 г. - в Информационный сборник Управления главнокомандующего ВВС СССР № 26 [6]. А уже из этих источников, она перекочевала в более поздние учебники по тактике авиа</w:t>
      </w:r>
      <w:r w:rsidRPr="00D03F3E">
        <w:rPr>
          <w:color w:val="000000" w:themeColor="text1"/>
          <w:lang w:val="ru-RU"/>
        </w:rPr>
        <w:softHyphen/>
        <w:t>ции, сборники боевых примеров и исторические исследования советских ВВС.</w:t>
      </w:r>
    </w:p>
    <w:p w14:paraId="376F73F5" w14:textId="77777777" w:rsidR="003A63E9" w:rsidRPr="00D03F3E" w:rsidRDefault="003A63E9" w:rsidP="00D03F3E">
      <w:pPr>
        <w:pStyle w:val="a3"/>
        <w:rPr>
          <w:color w:val="000000" w:themeColor="text1"/>
          <w:lang w:val="ru-RU"/>
        </w:rPr>
      </w:pPr>
      <w:r w:rsidRPr="00D03F3E">
        <w:rPr>
          <w:color w:val="000000" w:themeColor="text1"/>
          <w:lang w:val="ru-RU"/>
        </w:rPr>
        <w:t>Для «закрепления» результата уточненная оперсводка 2-го сак с сопроводительными документами штаба корпуса была направлена, согласно табелю срочных донесений, в штаб 8-й воздушной армии, а оттуда - в штаб ВВС КА.</w:t>
      </w:r>
    </w:p>
    <w:p w14:paraId="49C04E7A" w14:textId="77777777" w:rsidR="003A63E9" w:rsidRPr="00D03F3E" w:rsidRDefault="003A63E9" w:rsidP="00D03F3E">
      <w:pPr>
        <w:pStyle w:val="a3"/>
        <w:rPr>
          <w:color w:val="000000" w:themeColor="text1"/>
          <w:lang w:val="ru-RU"/>
        </w:rPr>
      </w:pPr>
      <w:r w:rsidRPr="00D03F3E">
        <w:rPr>
          <w:color w:val="000000" w:themeColor="text1"/>
          <w:lang w:val="ru-RU"/>
        </w:rPr>
        <w:t>26 февраля появилось директивное письмо заместителя начальника штаба ВВС КА генерал-майора Кроленко следующего содержания: «Командиру 2 сак, всем командирам ад, командующим ВА и округов. Группа Ил-2 9 января 1943 г. 622 шап 214 шад, ведущий к-н Бахтин, нанесла бомбоштурмовой удар по аэродрому Сальск, где находилось 372 самолета, госпиталь, прикрытый сильной зенитной артиллерией (до 18 точек). В результа</w:t>
      </w:r>
      <w:r w:rsidRPr="00D03F3E">
        <w:rPr>
          <w:color w:val="000000" w:themeColor="text1"/>
          <w:lang w:val="ru-RU"/>
        </w:rPr>
        <w:softHyphen/>
        <w:t>те удара уничтожено и повреждено 50 немецких самолетов, из них сбито 2 самолета пулеметным огнем на взлете. Прямым попаданием разрушен госпиталь, много погибших. Группа наших самолетов потерь не имела. Все это подтверждают очевидцы - граждане гор. Сальск, работавшие в этот день на аэродроме. Этот пример отличной штурмовки довести до всего летного состава».</w:t>
      </w:r>
    </w:p>
    <w:p w14:paraId="718F7B4E" w14:textId="77777777" w:rsidR="003A63E9" w:rsidRPr="00D03F3E" w:rsidRDefault="003A63E9" w:rsidP="00D03F3E">
      <w:pPr>
        <w:pStyle w:val="a3"/>
        <w:rPr>
          <w:color w:val="000000" w:themeColor="text1"/>
          <w:lang w:val="ru-RU"/>
        </w:rPr>
      </w:pPr>
      <w:r w:rsidRPr="00D03F3E">
        <w:rPr>
          <w:color w:val="000000" w:themeColor="text1"/>
          <w:lang w:val="ru-RU"/>
        </w:rPr>
        <w:t>Как в штабе ВВС осуществлялся подсчет потерь противника на аэродроме Сальск и свои потери, не известно. Надо полагать, отсутствие своих потерь в документе связано с тем, что пример для подражания должен быть во всех отношениях исключительно положи</w:t>
      </w:r>
      <w:r w:rsidRPr="00D03F3E">
        <w:rPr>
          <w:color w:val="000000" w:themeColor="text1"/>
          <w:lang w:val="ru-RU"/>
        </w:rPr>
        <w:softHyphen/>
        <w:t>тельным.</w:t>
      </w:r>
    </w:p>
    <w:p w14:paraId="287A4923" w14:textId="77777777" w:rsidR="003A63E9" w:rsidRPr="00D03F3E" w:rsidRDefault="003A63E9" w:rsidP="00D03F3E">
      <w:pPr>
        <w:pStyle w:val="a3"/>
        <w:rPr>
          <w:color w:val="000000" w:themeColor="text1"/>
          <w:lang w:val="ru-RU"/>
        </w:rPr>
      </w:pPr>
      <w:r w:rsidRPr="00D03F3E">
        <w:rPr>
          <w:color w:val="000000" w:themeColor="text1"/>
          <w:lang w:val="ru-RU"/>
        </w:rPr>
        <w:t>Судя по всему, командование 622-го шап и 214-й шад не согласилось с мнением штаба ВВС КА. Возможно, по этому поводу была переписка. Во всяком случае, в делах 214-й шад имеется справка штаба ВВС КА: «При бомбоштурмовом ударе 9.1.43 по аэродрому Сальск подтверждаю - 50 самолетов, уничтоженных и поврежденных. Заместитель на</w:t>
      </w:r>
      <w:r w:rsidRPr="00D03F3E">
        <w:rPr>
          <w:color w:val="000000" w:themeColor="text1"/>
          <w:lang w:val="ru-RU"/>
        </w:rPr>
        <w:softHyphen/>
        <w:t>чальника штаба ВВС КА генерал-майор Кроленко». На документе цифра 50 зачеркнута карандашом, исправлена на 72, и рядом написано - «есть подтверждение».</w:t>
      </w:r>
    </w:p>
    <w:p w14:paraId="76548978" w14:textId="77777777" w:rsidR="003A63E9" w:rsidRPr="00D03F3E" w:rsidRDefault="003A63E9" w:rsidP="00D03F3E">
      <w:pPr>
        <w:pStyle w:val="a3"/>
        <w:rPr>
          <w:color w:val="000000" w:themeColor="text1"/>
          <w:lang w:val="ru-RU"/>
        </w:rPr>
      </w:pPr>
      <w:r w:rsidRPr="00D03F3E">
        <w:rPr>
          <w:color w:val="000000" w:themeColor="text1"/>
          <w:lang w:val="ru-RU"/>
        </w:rPr>
        <w:t>При оценке реальной эффективности удара советских штурмовиков 622-го шап следу</w:t>
      </w:r>
      <w:r w:rsidRPr="00D03F3E">
        <w:rPr>
          <w:color w:val="000000" w:themeColor="text1"/>
          <w:lang w:val="ru-RU"/>
        </w:rPr>
        <w:softHyphen/>
        <w:t xml:space="preserve">ет учитывать, что немецкие самолеты на аэродроме Сальск располагались скученно, экипажи из состава группы капитана Бахтина имели довольно высокую летно-боевую подготовку и к тому же выполнили большое число заходов по целям на аэродроме. Принимая во внимание эти факторы, а также статистику результативности штурмовиков по опыту войны при ударах по аэродромам, потери немцев 9 января на аэродроме Сальск вполне могли составить около 15-20 самолетов типа </w:t>
      </w:r>
      <w:r w:rsidRPr="00D03F3E">
        <w:rPr>
          <w:color w:val="000000" w:themeColor="text1"/>
        </w:rPr>
        <w:t>Ju</w:t>
      </w:r>
      <w:r w:rsidRPr="00D03F3E">
        <w:rPr>
          <w:color w:val="000000" w:themeColor="text1"/>
          <w:lang w:val="ru-RU"/>
        </w:rPr>
        <w:t xml:space="preserve"> 52. То есть, на каждый экипаж Ил-2, участвовавший в налете, пришлось 2,2-2,9 поврежденных и уничтоженных самолетов. Конечно же, этот случай исключительный. Средняя эффективность ударов штурмовиков по аэродромам была значительно хуже - 0,5 и менее самолетов на один самолетовылет Ил-2.</w:t>
      </w:r>
    </w:p>
    <w:p w14:paraId="242AC4EB" w14:textId="77777777" w:rsidR="003A63E9" w:rsidRPr="00D03F3E" w:rsidRDefault="003A63E9" w:rsidP="00D03F3E">
      <w:pPr>
        <w:pStyle w:val="a3"/>
        <w:rPr>
          <w:color w:val="000000" w:themeColor="text1"/>
          <w:lang w:val="ru-RU"/>
        </w:rPr>
      </w:pPr>
      <w:r w:rsidRPr="00D03F3E">
        <w:rPr>
          <w:color w:val="000000" w:themeColor="text1"/>
          <w:lang w:val="ru-RU"/>
        </w:rPr>
        <w:t xml:space="preserve">Совершенно очевидно, наряд сил для действий по такому крупному аэродрому, как Сальск, был недостаточным. Как следует из документов, для надежного поражения </w:t>
      </w:r>
      <w:r w:rsidRPr="00D03F3E">
        <w:rPr>
          <w:color w:val="000000" w:themeColor="text1"/>
          <w:lang w:val="ru-RU"/>
        </w:rPr>
        <w:lastRenderedPageBreak/>
        <w:t>в двух заходах группы в 40-60 самолетов на земле требовалось не менее 20-24 штурмовиков Ил-2 с таким же или полуторным прикрытием истребителей при условии выделения около 30% наличных сил для подавления огневых средств ПВО аэродрома. В данном случае, когда на аэродроме Сальск находилось свыше 150 самолетов противника, только скучен</w:t>
      </w:r>
      <w:r w:rsidRPr="00D03F3E">
        <w:rPr>
          <w:color w:val="000000" w:themeColor="text1"/>
          <w:lang w:val="ru-RU"/>
        </w:rPr>
        <w:softHyphen/>
        <w:t>ное расположение немецких машин, тщательная подготовка экипажей и внезапно осуще</w:t>
      </w:r>
      <w:r w:rsidRPr="00D03F3E">
        <w:rPr>
          <w:color w:val="000000" w:themeColor="text1"/>
          <w:lang w:val="ru-RU"/>
        </w:rPr>
        <w:softHyphen/>
        <w:t>ствленный удар смогли обеспечить высокий результат.</w:t>
      </w:r>
    </w:p>
    <w:p w14:paraId="17D13CD2" w14:textId="77777777" w:rsidR="003A63E9" w:rsidRPr="00D03F3E" w:rsidRDefault="003A63E9" w:rsidP="00D03F3E">
      <w:pPr>
        <w:pStyle w:val="a3"/>
        <w:framePr w:h="506" w:vSpace="240" w:wrap="notBeside" w:hAnchor="margin" w:x="7473" w:y="-334"/>
        <w:rPr>
          <w:color w:val="000000" w:themeColor="text1"/>
          <w:lang w:val="ru-RU"/>
        </w:rPr>
      </w:pPr>
      <w:r w:rsidRPr="00D03F3E">
        <w:rPr>
          <w:rStyle w:val="911"/>
          <w:rFonts w:ascii="Times New Roman" w:hAnsi="Times New Roman" w:cs="Times New Roman"/>
          <w:b w:val="0"/>
          <w:bCs w:val="0"/>
          <w:color w:val="000000" w:themeColor="text1"/>
          <w:spacing w:val="0"/>
          <w:sz w:val="16"/>
          <w:szCs w:val="16"/>
          <w:lang w:val="ru-RU"/>
        </w:rPr>
        <w:t>Ш</w:t>
      </w:r>
      <w:r w:rsidRPr="00D03F3E">
        <w:rPr>
          <w:color w:val="000000" w:themeColor="text1"/>
          <w:lang w:val="ru-RU"/>
        </w:rPr>
        <w:t xml:space="preserve">» </w:t>
      </w:r>
      <w:r w:rsidRPr="00D03F3E">
        <w:rPr>
          <w:color w:val="000000" w:themeColor="text1"/>
        </w:rPr>
        <w:t>nl</w:t>
      </w:r>
      <w:r w:rsidRPr="00D03F3E">
        <w:rPr>
          <w:color w:val="000000" w:themeColor="text1"/>
          <w:lang w:val="ru-RU"/>
        </w:rPr>
        <w:t xml:space="preserve"> ^</w:t>
      </w:r>
    </w:p>
    <w:p w14:paraId="511708C6" w14:textId="77777777" w:rsidR="003A63E9" w:rsidRPr="00D03F3E" w:rsidRDefault="003A63E9" w:rsidP="00D03F3E">
      <w:pPr>
        <w:pStyle w:val="a3"/>
        <w:rPr>
          <w:color w:val="000000" w:themeColor="text1"/>
          <w:lang w:val="ru-RU"/>
        </w:rPr>
      </w:pPr>
      <w:r w:rsidRPr="00D03F3E">
        <w:rPr>
          <w:color w:val="000000" w:themeColor="text1"/>
          <w:lang w:val="ru-RU"/>
        </w:rPr>
        <w:t>Отметим, что 6 заходов по аэродрому Сальск не только обеспечили повышенную эффективность налета штурмовиков, но и позволили экипажам подробно рассмотреть как стоянки немецких самолетов и общую обстановку на авиабазе, так и результаты своего удара. Поэтому завышение потерь противника, свойственное летчикам при докладах после выполнения боевого задания, в данном случае существенно ниже, в силу чего оценка экипажами нанесенного ущерба на аэродроме Сальск ближе к истине, чем обычно.</w:t>
      </w:r>
    </w:p>
    <w:p w14:paraId="7BB86E84" w14:textId="77777777" w:rsidR="003A63E9" w:rsidRPr="00D03F3E" w:rsidRDefault="003A63E9" w:rsidP="00D03F3E">
      <w:pPr>
        <w:pStyle w:val="a3"/>
        <w:rPr>
          <w:color w:val="000000" w:themeColor="text1"/>
          <w:lang w:val="ru-RU"/>
        </w:rPr>
      </w:pPr>
      <w:r w:rsidRPr="00D03F3E">
        <w:rPr>
          <w:color w:val="000000" w:themeColor="text1"/>
          <w:lang w:val="ru-RU"/>
        </w:rPr>
        <w:t>Эффективность удара советских штурмовиков от 622-го шап по авиабазе Сальск от</w:t>
      </w:r>
      <w:r w:rsidRPr="00D03F3E">
        <w:rPr>
          <w:color w:val="000000" w:themeColor="text1"/>
          <w:lang w:val="ru-RU"/>
        </w:rPr>
        <w:softHyphen/>
        <w:t xml:space="preserve">части подтверждается и немецкими источниками. Например, в истории транспортной авиации Люфтваффе указывается, что к 18 января на аэродроме Сальск в результате обстрелов и штурмовок 10 </w:t>
      </w:r>
      <w:r w:rsidRPr="00D03F3E">
        <w:rPr>
          <w:color w:val="000000" w:themeColor="text1"/>
        </w:rPr>
        <w:t>Ju</w:t>
      </w:r>
      <w:r w:rsidRPr="00D03F3E">
        <w:rPr>
          <w:color w:val="000000" w:themeColor="text1"/>
          <w:lang w:val="ru-RU"/>
        </w:rPr>
        <w:t xml:space="preserve"> 52 было уничтожено, а 20 машин - отравлено в ремонт [7]. То есть, всего 30 самолетов, что сопоставимо с цифрами немецких потерь, заявленными летчиками 622-го шап. Здесь следует учитывать, что аэродром Сальск работал до 15 января, когда началась его эвакуация в тыл в связи с подходом войск Красной Армии. К тому же, после 9 января советская авиация по нему не работала, за исключением налета на ж.д. станцию Сальск 14 января. Так что потери немцев на аэродроме Сальск к 18 января - это, похоже, списание ранее поврежденных и уничтоженных самолетов на момент эвакуации аэродрома.</w:t>
      </w:r>
    </w:p>
    <w:p w14:paraId="6D74AEF1" w14:textId="77777777" w:rsidR="003A63E9" w:rsidRPr="00D03F3E" w:rsidRDefault="003A63E9" w:rsidP="00D03F3E">
      <w:pPr>
        <w:pStyle w:val="a3"/>
        <w:rPr>
          <w:color w:val="000000" w:themeColor="text1"/>
          <w:lang w:val="ru-RU"/>
        </w:rPr>
      </w:pPr>
      <w:r w:rsidRPr="00D03F3E">
        <w:rPr>
          <w:color w:val="000000" w:themeColor="text1"/>
          <w:lang w:val="ru-RU"/>
        </w:rPr>
        <w:t>Важным результатом удара штурмовиков 622-го шап является уничтожение эвакогос</w:t>
      </w:r>
      <w:r w:rsidRPr="00D03F3E">
        <w:rPr>
          <w:color w:val="000000" w:themeColor="text1"/>
          <w:lang w:val="ru-RU"/>
        </w:rPr>
        <w:softHyphen/>
        <w:t>питаля на южной границе аэродрома, который немцы использовали как сборный пункт для вывезенных из кольца окружения раненых немецких солдат и офицеров для их дальней</w:t>
      </w:r>
      <w:r w:rsidRPr="00D03F3E">
        <w:rPr>
          <w:color w:val="000000" w:themeColor="text1"/>
          <w:lang w:val="ru-RU"/>
        </w:rPr>
        <w:softHyphen/>
        <w:t>шей отправки железнодорожным транспортом. Пострадала инфраструктура аэродрома. Была уничтожена некоторая часть накопленных запасов материальных средств и боепри</w:t>
      </w:r>
      <w:r w:rsidRPr="00D03F3E">
        <w:rPr>
          <w:color w:val="000000" w:themeColor="text1"/>
          <w:lang w:val="ru-RU"/>
        </w:rPr>
        <w:softHyphen/>
        <w:t>пасов, предназначенных для окруженной группировки 6-й армии Паулюса в районе за</w:t>
      </w:r>
      <w:r w:rsidRPr="00D03F3E">
        <w:rPr>
          <w:color w:val="000000" w:themeColor="text1"/>
          <w:lang w:val="ru-RU"/>
        </w:rPr>
        <w:softHyphen/>
        <w:t>паднее Сталинграда.</w:t>
      </w:r>
    </w:p>
    <w:p w14:paraId="30685075" w14:textId="77777777" w:rsidR="003A63E9" w:rsidRPr="00D03F3E" w:rsidRDefault="003A63E9" w:rsidP="00D03F3E">
      <w:pPr>
        <w:pStyle w:val="a3"/>
        <w:rPr>
          <w:color w:val="000000" w:themeColor="text1"/>
          <w:lang w:val="ru-RU"/>
        </w:rPr>
      </w:pPr>
      <w:r w:rsidRPr="00D03F3E">
        <w:rPr>
          <w:color w:val="000000" w:themeColor="text1"/>
          <w:lang w:val="ru-RU"/>
        </w:rPr>
        <w:t>Подытоживая все сказанное выше, можно смело утверждать, что удар 7 Ил-2 группы капитана Бахтина по аэродрому Сальск 9 января 1943 г. с точки зрения его организации, выполнения и достигнутых результатов является образцовым, а действия экипажей штур</w:t>
      </w:r>
      <w:r w:rsidRPr="00D03F3E">
        <w:rPr>
          <w:color w:val="000000" w:themeColor="text1"/>
          <w:lang w:val="ru-RU"/>
        </w:rPr>
        <w:softHyphen/>
        <w:t>мовиков от 622-го шап и истребителей от 236-го иап могут служить примером для подра</w:t>
      </w:r>
      <w:r w:rsidRPr="00D03F3E">
        <w:rPr>
          <w:color w:val="000000" w:themeColor="text1"/>
          <w:lang w:val="ru-RU"/>
        </w:rPr>
        <w:softHyphen/>
        <w:t>жания. Удар заслуживает того, чтобы войти в анналы истории Великой Отечественной войны, ВВС Красной Армии и считаться классикой боевого применения штурмовой авиа</w:t>
      </w:r>
      <w:r w:rsidRPr="00D03F3E">
        <w:rPr>
          <w:color w:val="000000" w:themeColor="text1"/>
          <w:lang w:val="ru-RU"/>
        </w:rPr>
        <w:softHyphen/>
        <w:t>ции (15839).</w:t>
      </w:r>
    </w:p>
    <w:p w14:paraId="2CE36A8D" w14:textId="77777777" w:rsidR="003A63E9" w:rsidRPr="00D03F3E" w:rsidRDefault="003A63E9" w:rsidP="00D03F3E">
      <w:pPr>
        <w:pStyle w:val="a3"/>
        <w:rPr>
          <w:color w:val="000000" w:themeColor="text1"/>
          <w:lang w:val="ru-RU"/>
        </w:rPr>
      </w:pPr>
    </w:p>
    <w:p w14:paraId="7B238CAB"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9 января 1943 под Сталинград начали прибывать самолеты для снабжения окруженных немецких войск, и, надеясь на них, генерал Паулюс отклонил советский ультиматум. Среди прочих на аэродромы Морозовск и Тацинская прилетели 20 четырехмоторных транспортных самолетов FW 200 «Курьер» и 30 «грайфов». Они были оборудованы для сброса тюков с грузами, т.к. в «котле» не было больших аэродромов для их посадки. Группировка транспортной авиации, превысившая 600 самолетов, не смогла доставлять более 300 т грузов ежесуточно, а требовалось минимум 500 (22839).</w:t>
      </w:r>
    </w:p>
    <w:p w14:paraId="1DD88278" w14:textId="77777777" w:rsidR="00AD6D08" w:rsidRPr="00D03F3E" w:rsidRDefault="00AD6D08" w:rsidP="00D03F3E">
      <w:pPr>
        <w:spacing w:after="0" w:line="240" w:lineRule="auto"/>
        <w:jc w:val="both"/>
        <w:rPr>
          <w:rFonts w:ascii="Times New Roman" w:hAnsi="Times New Roman"/>
          <w:color w:val="0070C0"/>
          <w:sz w:val="16"/>
          <w:szCs w:val="16"/>
        </w:rPr>
      </w:pPr>
    </w:p>
    <w:p w14:paraId="2B7B791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9 января 1943 г. 7 Ил-2 622-го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под командованием капитана Бахтина в сопровождении 7 истребителей Як-1 из 236-го </w:t>
      </w:r>
      <w:r w:rsidRPr="00D03F3E">
        <w:rPr>
          <w:rFonts w:ascii="Times New Roman" w:hAnsi="Times New Roman"/>
          <w:iCs/>
          <w:color w:val="000000" w:themeColor="text1"/>
          <w:sz w:val="16"/>
          <w:szCs w:val="16"/>
        </w:rPr>
        <w:t>иап</w:t>
      </w:r>
      <w:r w:rsidRPr="00D03F3E">
        <w:rPr>
          <w:rFonts w:ascii="Times New Roman" w:hAnsi="Times New Roman"/>
          <w:color w:val="000000" w:themeColor="text1"/>
          <w:sz w:val="16"/>
          <w:szCs w:val="16"/>
        </w:rPr>
        <w:t xml:space="preserve"> (ведущий - комэск ст. л-т Белоусов) нанесли настолько эффектив</w:t>
      </w:r>
      <w:r w:rsidRPr="00D03F3E">
        <w:rPr>
          <w:rFonts w:ascii="Times New Roman" w:hAnsi="Times New Roman"/>
          <w:color w:val="000000" w:themeColor="text1"/>
          <w:sz w:val="16"/>
          <w:szCs w:val="16"/>
        </w:rPr>
        <w:softHyphen/>
        <w:t>ный бомбоштурмовой удар по аэродро</w:t>
      </w:r>
      <w:r w:rsidRPr="00D03F3E">
        <w:rPr>
          <w:rFonts w:ascii="Times New Roman" w:hAnsi="Times New Roman"/>
          <w:color w:val="000000" w:themeColor="text1"/>
          <w:sz w:val="16"/>
          <w:szCs w:val="16"/>
        </w:rPr>
        <w:softHyphen/>
        <w:t>му Сальск, что он вошел во все учебни</w:t>
      </w:r>
      <w:r w:rsidRPr="00D03F3E">
        <w:rPr>
          <w:rFonts w:ascii="Times New Roman" w:hAnsi="Times New Roman"/>
          <w:color w:val="000000" w:themeColor="text1"/>
          <w:sz w:val="16"/>
          <w:szCs w:val="16"/>
        </w:rPr>
        <w:softHyphen/>
        <w:t>ки по тактике, став классикой боевого применения штурмовой авиации.</w:t>
      </w:r>
    </w:p>
    <w:p w14:paraId="3AE1475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Аэродром Сальск, после выхода войск Красной Армии в район Тацинская и Морозовск стал основной базой немец</w:t>
      </w:r>
      <w:r w:rsidRPr="00D03F3E">
        <w:rPr>
          <w:rFonts w:ascii="Times New Roman" w:hAnsi="Times New Roman"/>
          <w:color w:val="000000" w:themeColor="text1"/>
          <w:sz w:val="16"/>
          <w:szCs w:val="16"/>
        </w:rPr>
        <w:softHyphen/>
        <w:t>кой транспортной авиации. К этому вре</w:t>
      </w:r>
      <w:r w:rsidRPr="00D03F3E">
        <w:rPr>
          <w:rFonts w:ascii="Times New Roman" w:hAnsi="Times New Roman"/>
          <w:color w:val="000000" w:themeColor="text1"/>
          <w:sz w:val="16"/>
          <w:szCs w:val="16"/>
        </w:rPr>
        <w:softHyphen/>
        <w:t>мени на аэродроме Сальск, по данным воздушной разведки, скопилось до 150 транспортных самолетов противника, стоящих крыло к крылу.</w:t>
      </w:r>
    </w:p>
    <w:p w14:paraId="6F7AA23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Первый заход в 11.08 группы Ил-2 был совершен с юга из-за облаков и поэтому оказался для противника вне</w:t>
      </w:r>
      <w:r w:rsidRPr="00D03F3E">
        <w:rPr>
          <w:rFonts w:ascii="Times New Roman" w:hAnsi="Times New Roman"/>
          <w:color w:val="000000" w:themeColor="text1"/>
          <w:sz w:val="16"/>
          <w:szCs w:val="16"/>
        </w:rPr>
        <w:softHyphen/>
        <w:t>запным. В первых двух заходах экипажи самостоятельно выбирали цели и про</w:t>
      </w:r>
      <w:r w:rsidRPr="00D03F3E">
        <w:rPr>
          <w:rFonts w:ascii="Times New Roman" w:hAnsi="Times New Roman"/>
          <w:color w:val="000000" w:themeColor="text1"/>
          <w:sz w:val="16"/>
          <w:szCs w:val="16"/>
        </w:rPr>
        <w:softHyphen/>
        <w:t>изводили бомбометание с высоты 400 м. В последующих четырех заходах штур</w:t>
      </w:r>
      <w:r w:rsidRPr="00D03F3E">
        <w:rPr>
          <w:rFonts w:ascii="Times New Roman" w:hAnsi="Times New Roman"/>
          <w:color w:val="000000" w:themeColor="text1"/>
          <w:sz w:val="16"/>
          <w:szCs w:val="16"/>
        </w:rPr>
        <w:softHyphen/>
        <w:t>мовики расстреливали немецкие само</w:t>
      </w:r>
      <w:r w:rsidRPr="00D03F3E">
        <w:rPr>
          <w:rFonts w:ascii="Times New Roman" w:hAnsi="Times New Roman"/>
          <w:color w:val="000000" w:themeColor="text1"/>
          <w:sz w:val="16"/>
          <w:szCs w:val="16"/>
        </w:rPr>
        <w:softHyphen/>
        <w:t>леты реактивными снарядами и пулеметно-пушечным огнем.</w:t>
      </w:r>
    </w:p>
    <w:p w14:paraId="4EAE922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было израсходовано 26 ФАБ-100, 56 PC-82, 1386 снарядов к пушкам ВЯ, 300 снарядов к пушкам ШВАК, 120 патронов к пулеметам УБТ и 3820 пат</w:t>
      </w:r>
      <w:r w:rsidRPr="00D03F3E">
        <w:rPr>
          <w:rFonts w:ascii="Times New Roman" w:hAnsi="Times New Roman"/>
          <w:color w:val="000000" w:themeColor="text1"/>
          <w:sz w:val="16"/>
          <w:szCs w:val="16"/>
        </w:rPr>
        <w:softHyphen/>
        <w:t>ронов к пулеметам ШКАС.</w:t>
      </w:r>
    </w:p>
    <w:p w14:paraId="1A2A424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время удара Ил-2 по аэродрому истребители прикрытия вели воздуш</w:t>
      </w:r>
      <w:r w:rsidRPr="00D03F3E">
        <w:rPr>
          <w:rFonts w:ascii="Times New Roman" w:hAnsi="Times New Roman"/>
          <w:color w:val="000000" w:themeColor="text1"/>
          <w:sz w:val="16"/>
          <w:szCs w:val="16"/>
        </w:rPr>
        <w:softHyphen/>
        <w:t>ный бой с 4 Bf109. ПВО аэродрома (до 7 батарей зенитной артиллерии) при</w:t>
      </w:r>
      <w:r w:rsidRPr="00D03F3E">
        <w:rPr>
          <w:rFonts w:ascii="Times New Roman" w:hAnsi="Times New Roman"/>
          <w:color w:val="000000" w:themeColor="text1"/>
          <w:sz w:val="16"/>
          <w:szCs w:val="16"/>
        </w:rPr>
        <w:softHyphen/>
        <w:t>шла в себя лишь после первого захода штурмовиков и открыла сильный огонь по штурмовикам и "Якам".</w:t>
      </w:r>
    </w:p>
    <w:p w14:paraId="623D82A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атаки группы Ил-2 по официальному подтверждению лиц, ра</w:t>
      </w:r>
      <w:r w:rsidRPr="00D03F3E">
        <w:rPr>
          <w:rFonts w:ascii="Times New Roman" w:hAnsi="Times New Roman"/>
          <w:color w:val="000000" w:themeColor="text1"/>
          <w:sz w:val="16"/>
          <w:szCs w:val="16"/>
        </w:rPr>
        <w:softHyphen/>
        <w:t>ботавших во время удара на аэродроме, было повреждено и уничтожено 72 са</w:t>
      </w:r>
      <w:r w:rsidRPr="00D03F3E">
        <w:rPr>
          <w:rFonts w:ascii="Times New Roman" w:hAnsi="Times New Roman"/>
          <w:color w:val="000000" w:themeColor="text1"/>
          <w:sz w:val="16"/>
          <w:szCs w:val="16"/>
        </w:rPr>
        <w:softHyphen/>
        <w:t>молета Ju52, два Bf109 были сбиты воз</w:t>
      </w:r>
      <w:r w:rsidRPr="00D03F3E">
        <w:rPr>
          <w:rFonts w:ascii="Times New Roman" w:hAnsi="Times New Roman"/>
          <w:color w:val="000000" w:themeColor="text1"/>
          <w:sz w:val="16"/>
          <w:szCs w:val="16"/>
        </w:rPr>
        <w:softHyphen/>
        <w:t>душными стрелками над аэродромом в воздушном бою и одного "мессера" за</w:t>
      </w:r>
      <w:r w:rsidRPr="00D03F3E">
        <w:rPr>
          <w:rFonts w:ascii="Times New Roman" w:hAnsi="Times New Roman"/>
          <w:color w:val="000000" w:themeColor="text1"/>
          <w:sz w:val="16"/>
          <w:szCs w:val="16"/>
        </w:rPr>
        <w:softHyphen/>
        <w:t>валили "Яки" из группы прикрытия. Два "ильюшиных" были подбиты зенитной артиллерией и совершили вынужденную посадку на территории, занятой против</w:t>
      </w:r>
      <w:r w:rsidRPr="00D03F3E">
        <w:rPr>
          <w:rFonts w:ascii="Times New Roman" w:hAnsi="Times New Roman"/>
          <w:color w:val="000000" w:themeColor="text1"/>
          <w:sz w:val="16"/>
          <w:szCs w:val="16"/>
        </w:rPr>
        <w:softHyphen/>
        <w:t>ником. Из состава группы истребителей прикрытия с боевого задания не верну</w:t>
      </w:r>
      <w:r w:rsidRPr="00D03F3E">
        <w:rPr>
          <w:rFonts w:ascii="Times New Roman" w:hAnsi="Times New Roman"/>
          <w:color w:val="000000" w:themeColor="text1"/>
          <w:sz w:val="16"/>
          <w:szCs w:val="16"/>
        </w:rPr>
        <w:softHyphen/>
        <w:t>лось два "Яка".</w:t>
      </w:r>
    </w:p>
    <w:p w14:paraId="6CC9E0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потери самолетов противника, приходящиеся на один са</w:t>
      </w:r>
      <w:r w:rsidRPr="00D03F3E">
        <w:rPr>
          <w:rFonts w:ascii="Times New Roman" w:hAnsi="Times New Roman"/>
          <w:color w:val="000000" w:themeColor="text1"/>
          <w:sz w:val="16"/>
          <w:szCs w:val="16"/>
        </w:rPr>
        <w:softHyphen/>
        <w:t>молето-вылет штурмовиков Ил-2 в этом бою, составили свыше 10 самолетов. Конечно же, этот случай исключительный - средняя результативность ударов Ил-2 по аэродромам противника была на порядок ниже (6467).</w:t>
      </w:r>
    </w:p>
    <w:p w14:paraId="17B6E30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1656DB" w14:textId="77777777" w:rsidR="008954B3" w:rsidRPr="00D03F3E" w:rsidRDefault="008954B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9 января 1943 г. семерка Ил</w:t>
      </w:r>
      <w:r w:rsidRPr="00D03F3E">
        <w:rPr>
          <w:rFonts w:ascii="Times New Roman" w:hAnsi="Times New Roman"/>
          <w:color w:val="0070C0"/>
          <w:sz w:val="16"/>
          <w:szCs w:val="16"/>
        </w:rPr>
        <w:noBreakHyphen/>
        <w:t>2 все из 622</w:t>
      </w:r>
      <w:r w:rsidRPr="00D03F3E">
        <w:rPr>
          <w:rFonts w:ascii="Times New Roman" w:hAnsi="Times New Roman"/>
          <w:color w:val="0070C0"/>
          <w:sz w:val="16"/>
          <w:szCs w:val="16"/>
        </w:rPr>
        <w:noBreakHyphen/>
        <w:t>го шап в сопровождении семи Як</w:t>
      </w:r>
      <w:r w:rsidRPr="00D03F3E">
        <w:rPr>
          <w:rFonts w:ascii="Times New Roman" w:hAnsi="Times New Roman"/>
          <w:color w:val="0070C0"/>
          <w:sz w:val="16"/>
          <w:szCs w:val="16"/>
        </w:rPr>
        <w:noBreakHyphen/>
        <w:t>1 из 236</w:t>
      </w:r>
      <w:r w:rsidRPr="00D03F3E">
        <w:rPr>
          <w:rFonts w:ascii="Times New Roman" w:hAnsi="Times New Roman"/>
          <w:color w:val="0070C0"/>
          <w:sz w:val="16"/>
          <w:szCs w:val="16"/>
        </w:rPr>
        <w:noBreakHyphen/>
        <w:t>го иап совершила налет на аэродром Сальск, где базировалось большое число самолетов Не</w:t>
      </w:r>
      <w:r w:rsidRPr="00D03F3E">
        <w:rPr>
          <w:rFonts w:ascii="Times New Roman" w:hAnsi="Times New Roman"/>
          <w:color w:val="0070C0"/>
          <w:sz w:val="16"/>
          <w:szCs w:val="16"/>
        </w:rPr>
        <w:noBreakHyphen/>
        <w:t>111 и Ju</w:t>
      </w:r>
      <w:r w:rsidRPr="00D03F3E">
        <w:rPr>
          <w:rFonts w:ascii="Times New Roman" w:hAnsi="Times New Roman"/>
          <w:color w:val="0070C0"/>
          <w:sz w:val="16"/>
          <w:szCs w:val="16"/>
        </w:rPr>
        <w:noBreakHyphen/>
        <w:t>52. На сей раз низкая облачность помогла русским летчикам незаметно подойти к цели, что бывало весьма редко. В 11.08 «горбатые» внезапно вывалились из облаков и начали пикировать на стоянки самолетов. С высоты около четырехсот метров они сбросили 26 фугасных бомб, после чего уже под огнем зенитной артиллерии сделали еще несколько заходов, паля из пушек и пуская «эрэсы».</w:t>
      </w:r>
    </w:p>
    <w:p w14:paraId="600EF503" w14:textId="77777777" w:rsidR="008954B3" w:rsidRPr="00D03F3E" w:rsidRDefault="008954B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Фейерверк получился эффектным. Ракеты и снаряды взрывались в разных местах, вздымая столбы огня, снега и земли. Однако при этом сами самолеты почти не пострадали. В то же время собственные потери составили два Ил</w:t>
      </w:r>
      <w:r w:rsidRPr="00D03F3E">
        <w:rPr>
          <w:rFonts w:ascii="Times New Roman" w:hAnsi="Times New Roman"/>
          <w:color w:val="0070C0"/>
          <w:sz w:val="16"/>
          <w:szCs w:val="16"/>
        </w:rPr>
        <w:noBreakHyphen/>
        <w:t>2 и два Як</w:t>
      </w:r>
      <w:r w:rsidRPr="00D03F3E">
        <w:rPr>
          <w:rFonts w:ascii="Times New Roman" w:hAnsi="Times New Roman"/>
          <w:color w:val="0070C0"/>
          <w:sz w:val="16"/>
          <w:szCs w:val="16"/>
        </w:rPr>
        <w:noBreakHyphen/>
        <w:t>1, то есть почти треть атакующей группы.</w:t>
      </w:r>
    </w:p>
    <w:p w14:paraId="38DA4BAF" w14:textId="77777777" w:rsidR="008954B3" w:rsidRPr="00D03F3E" w:rsidRDefault="008954B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Впоследствии этот «суперэффективный» удар вошел во многие труды по истории советской штурмовой авиации. При этом основным доказательством успеха стали показания неких лиц, «работавших во время удара на аэродроме», полученные уже в плену. Впрочем, советское командование всегда с удивительным доверием относилось к россказням пленных немцев, стремившихся чем только возможно задобрить тех, от кого теперь зависела их жизнь (23199).</w:t>
      </w:r>
    </w:p>
    <w:p w14:paraId="29963904" w14:textId="77777777" w:rsidR="008954B3" w:rsidRPr="00D03F3E" w:rsidRDefault="008954B3" w:rsidP="00D03F3E">
      <w:pPr>
        <w:spacing w:after="0" w:line="240" w:lineRule="auto"/>
        <w:jc w:val="both"/>
        <w:rPr>
          <w:rFonts w:ascii="Times New Roman" w:hAnsi="Times New Roman"/>
          <w:color w:val="0070C0"/>
          <w:sz w:val="16"/>
          <w:szCs w:val="16"/>
        </w:rPr>
      </w:pPr>
    </w:p>
    <w:p w14:paraId="5E2F2F9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января 1943 7 Ил-2 во главе с к И.П.Бахтиным в сопровождении одной эскадрильи Як-1 нанесли удар по аэродрому в Сальске и из 300 самолетов за шесть заходов уничтожили 72 потеряв 4 своих (340,107).</w:t>
      </w:r>
    </w:p>
    <w:p w14:paraId="5340D33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F3193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января 1943 г. 7 Ил-2 во главе с капитаном Бахтиным в сопровождении 7 Як-1 от 236-го иап нанесли настолько эффективный бомбоштурмовой удар по аэродрому Сальск, что он вошел во все учебники по тактике штурмовой авиации.</w:t>
      </w:r>
    </w:p>
    <w:p w14:paraId="211BAD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выхода войск Красной Армии в район Тацинская и Морозовск аэродром Сальск стал основной базой немецкой транспортной авиации. К этому времени на аэродроме поданным воздушной разведки скопилось до 150 самолетов различного типа.</w:t>
      </w:r>
    </w:p>
    <w:p w14:paraId="3DE6476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Первый заход Ил-2 выполнили из-за облаков. В течение 15 минут (с 11.08 до 11.23) экипажи бомбили и расстреливали немецкие самолеты реактивными снарядами и пу- леметно-пушечным огнем. Всего было израсходовано 26 ФАБ-100, 56 РС-82, 1386 снарядов к пушкам ВЯ. 300 снарядов к пушкам ШВАК, 120 патронов к пулеметам УБТ и 3820 патронов к пулеметам I1IKAC.</w:t>
      </w:r>
    </w:p>
    <w:p w14:paraId="464DA59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Зенитные расчеты противника открыли огонь лишь после первого захода штурмовиков. Пока Ил-2 били по самолетам на аэродроме, истребители прикрытия вели воздушный бой с 4 Bf 109. На отходе от аэродрома штурмовиков атаковала вторая группа "мессершмитттов". В ходе воздушного боя воздушным стрелкам удалось сбить 2 Bf 109 и одного "мессера" завалили "Яки". Свои потери составили 2 Ил-2, подбитых зенитным огнем и севших на территории противника, и 2 Як-1, сбитых в воздушном бою.</w:t>
      </w:r>
    </w:p>
    <w:p w14:paraId="2BD658A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Потери противника оказались значительно выше. По данным агентурной разведки на аэродроме Сальск было повреждено и уничтожено до 72 самолетов Ju 52/3m.</w:t>
      </w:r>
    </w:p>
    <w:p w14:paraId="59143E2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Конечно же, этот случай исключительный - средняя результативность ударов Ил-2 по аэродромам противника была на порядок ниже. К тому же необходимо учитывать определенный "стандарт" завышения потерь противника. Но и с учетом этого, результат группы капитана Бахтина впечатляет - не менее двух-трех поврежденных или уничтоженных самолетов противника, приходящийся на каждый экипаж, участвовавший в налете (12020).</w:t>
      </w:r>
    </w:p>
    <w:p w14:paraId="78A2756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7ED29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с 9 по 14 января 1943-го под Сталинград дополнительно прибыло 222 Ju52, 62 Не111, 20 Fw200 и 30 Не177.</w:t>
      </w:r>
    </w:p>
    <w:p w14:paraId="1B6129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обеспечения окруженных войск 6-й полевой армии и соединений 4-й танковой армии боеприпасами, горючим, продовольствием, медикаментами и дру</w:t>
      </w:r>
      <w:r w:rsidRPr="00D03F3E">
        <w:rPr>
          <w:rFonts w:ascii="Times New Roman" w:hAnsi="Times New Roman"/>
          <w:color w:val="000000" w:themeColor="text1"/>
          <w:sz w:val="16"/>
          <w:szCs w:val="16"/>
        </w:rPr>
        <w:softHyphen/>
        <w:t>гими необходимыми припасами герман</w:t>
      </w:r>
      <w:r w:rsidRPr="00D03F3E">
        <w:rPr>
          <w:rFonts w:ascii="Times New Roman" w:hAnsi="Times New Roman"/>
          <w:color w:val="000000" w:themeColor="text1"/>
          <w:sz w:val="16"/>
          <w:szCs w:val="16"/>
        </w:rPr>
        <w:softHyphen/>
        <w:t>ское командование стало налаживать переброску необходимых грузов по воз</w:t>
      </w:r>
      <w:r w:rsidRPr="00D03F3E">
        <w:rPr>
          <w:rFonts w:ascii="Times New Roman" w:hAnsi="Times New Roman"/>
          <w:color w:val="000000" w:themeColor="text1"/>
          <w:sz w:val="16"/>
          <w:szCs w:val="16"/>
        </w:rPr>
        <w:softHyphen/>
        <w:t>духу самолетами транспортной и бом</w:t>
      </w:r>
      <w:r w:rsidRPr="00D03F3E">
        <w:rPr>
          <w:rFonts w:ascii="Times New Roman" w:hAnsi="Times New Roman"/>
          <w:color w:val="000000" w:themeColor="text1"/>
          <w:sz w:val="16"/>
          <w:szCs w:val="16"/>
        </w:rPr>
        <w:softHyphen/>
        <w:t>бардировочной авиации.</w:t>
      </w:r>
    </w:p>
    <w:p w14:paraId="797FBE4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этой целью немцы спешно подго</w:t>
      </w:r>
      <w:r w:rsidRPr="00D03F3E">
        <w:rPr>
          <w:rFonts w:ascii="Times New Roman" w:hAnsi="Times New Roman"/>
          <w:color w:val="000000" w:themeColor="text1"/>
          <w:sz w:val="16"/>
          <w:szCs w:val="16"/>
        </w:rPr>
        <w:softHyphen/>
        <w:t>товили аэродромы Тацинская (емкость до 600 самолетов типа Ju52 и Ju86 - 11 групп) и Морозовск (емкость до 400 са</w:t>
      </w:r>
      <w:r w:rsidRPr="00D03F3E">
        <w:rPr>
          <w:rFonts w:ascii="Times New Roman" w:hAnsi="Times New Roman"/>
          <w:color w:val="000000" w:themeColor="text1"/>
          <w:sz w:val="16"/>
          <w:szCs w:val="16"/>
        </w:rPr>
        <w:softHyphen/>
        <w:t>молетов) в качестве основных баз снаб</w:t>
      </w:r>
      <w:r w:rsidRPr="00D03F3E">
        <w:rPr>
          <w:rFonts w:ascii="Times New Roman" w:hAnsi="Times New Roman"/>
          <w:color w:val="000000" w:themeColor="text1"/>
          <w:sz w:val="16"/>
          <w:szCs w:val="16"/>
        </w:rPr>
        <w:softHyphen/>
        <w:t>жения окруженных войск, а аэродромы Чернышковский, Котельниково, Зимовни</w:t>
      </w:r>
      <w:r w:rsidRPr="00D03F3E">
        <w:rPr>
          <w:rFonts w:ascii="Times New Roman" w:hAnsi="Times New Roman"/>
          <w:color w:val="000000" w:themeColor="text1"/>
          <w:sz w:val="16"/>
          <w:szCs w:val="16"/>
        </w:rPr>
        <w:softHyphen/>
        <w:t>ки и Сальск - в качестве вспомогательных.</w:t>
      </w:r>
    </w:p>
    <w:p w14:paraId="34B4592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Внутри кольца окружения для приема транспортных самолетов немецкое ко</w:t>
      </w:r>
      <w:r w:rsidRPr="00D03F3E">
        <w:rPr>
          <w:rFonts w:ascii="Times New Roman" w:hAnsi="Times New Roman"/>
          <w:color w:val="000000" w:themeColor="text1"/>
          <w:sz w:val="16"/>
          <w:szCs w:val="16"/>
        </w:rPr>
        <w:softHyphen/>
        <w:t xml:space="preserve">мандование использовало 5 аэродромов (Б. Россошка, Басаргино, Питомник, Гумрак, </w:t>
      </w:r>
      <w:r w:rsidRPr="00D03F3E">
        <w:rPr>
          <w:rFonts w:ascii="Times New Roman" w:hAnsi="Times New Roman"/>
          <w:color w:val="000000" w:themeColor="text1"/>
          <w:sz w:val="16"/>
          <w:szCs w:val="16"/>
        </w:rPr>
        <w:lastRenderedPageBreak/>
        <w:t>Воропоново), на которых имелось до 20 истребителей ВТ109, поднимаемых для встречи транспортников.</w:t>
      </w:r>
    </w:p>
    <w:p w14:paraId="05CDFF0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помощь "котлу" были брошены лучшие кадры Люфтваффе - 406-я и 700-я группы транспортной авиации и 3-я авиагруппа особого назначения. Кро</w:t>
      </w:r>
      <w:r w:rsidRPr="00D03F3E">
        <w:rPr>
          <w:rFonts w:ascii="Times New Roman" w:hAnsi="Times New Roman"/>
          <w:color w:val="000000" w:themeColor="text1"/>
          <w:sz w:val="16"/>
          <w:szCs w:val="16"/>
        </w:rPr>
        <w:softHyphen/>
        <w:t>ме этого, для транспортировки грузов были привлечены 55-я и 57-я бомбар</w:t>
      </w:r>
      <w:r w:rsidRPr="00D03F3E">
        <w:rPr>
          <w:rFonts w:ascii="Times New Roman" w:hAnsi="Times New Roman"/>
          <w:color w:val="000000" w:themeColor="text1"/>
          <w:sz w:val="16"/>
          <w:szCs w:val="16"/>
        </w:rPr>
        <w:softHyphen/>
        <w:t>дировочные эскадры. Позже к переброс</w:t>
      </w:r>
      <w:r w:rsidRPr="00D03F3E">
        <w:rPr>
          <w:rFonts w:ascii="Times New Roman" w:hAnsi="Times New Roman"/>
          <w:color w:val="000000" w:themeColor="text1"/>
          <w:sz w:val="16"/>
          <w:szCs w:val="16"/>
        </w:rPr>
        <w:softHyphen/>
        <w:t>ке грузов было решено привлечь и часть сил 4-й, 6-й и 27-й бомбардировочных эскадр (6467).</w:t>
      </w:r>
    </w:p>
    <w:p w14:paraId="4ABD3D5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E6A98A" w14:textId="77777777" w:rsidR="00362D61" w:rsidRPr="00D03F3E" w:rsidRDefault="00362D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 9 января 47-й гв. тп на Черчилях использовался в составе 65-й армии. Он действовал совместно с 91-й танковой бригадой, 33-й стрелковой и 67-й гвардейской стрелковой дивизиями. К концу января полк сражался в районе завода Баррикады, при этом полностью работоспособными оставались лишь 3 его машины. Как и в случае с 48-м гв. тп, большинство его машин не было потеряно безвозвратно, а требовало ремонта (17691).</w:t>
      </w:r>
    </w:p>
    <w:p w14:paraId="2402EDCC" w14:textId="77777777" w:rsidR="00362D61" w:rsidRPr="00D03F3E" w:rsidRDefault="00362D61" w:rsidP="00D03F3E">
      <w:pPr>
        <w:spacing w:after="0" w:line="240" w:lineRule="auto"/>
        <w:jc w:val="both"/>
        <w:rPr>
          <w:rFonts w:ascii="Times New Roman" w:hAnsi="Times New Roman"/>
          <w:color w:val="000000" w:themeColor="text1"/>
          <w:sz w:val="16"/>
          <w:szCs w:val="16"/>
        </w:rPr>
      </w:pPr>
    </w:p>
    <w:p w14:paraId="1F697CB5"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января 1943 советское командование прислало парламентера к окруженному под Сталинградом немецкому фельдмаршалу Паулюсу с предложением сдаться (4962).</w:t>
      </w:r>
    </w:p>
    <w:p w14:paraId="2CE1FE2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E0D6B1" w14:textId="77777777" w:rsidR="00F00A33" w:rsidRPr="00D03F3E" w:rsidRDefault="00F00A33"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January 9, 1943: The Soviet ultimatum to 6.Armee at Stalingrad is ignored by order of Colonel-General von Paulus, and the battle continues with unabated ferocity (3819).</w:t>
      </w:r>
    </w:p>
    <w:p w14:paraId="7099360A" w14:textId="77777777" w:rsidR="00F00A33" w:rsidRPr="00D03F3E" w:rsidRDefault="00F00A33"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0BB13A5" w14:textId="77777777" w:rsidR="00F00A33" w:rsidRPr="00D03F3E" w:rsidRDefault="00F00A33"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января 1943 фон Паулюс отклонил советский ультиматум (3918).</w:t>
      </w:r>
    </w:p>
    <w:p w14:paraId="63ED7E13" w14:textId="77777777" w:rsidR="00F00A33" w:rsidRPr="00D03F3E" w:rsidRDefault="00F00A33"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0A96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9 по 14 января 1943 года в район Сталинграда прибыло еще 20 четырехмоторных самолетов ФВ-200 и 30 Хе-177. Общее число машин достигло 600. Теоретически такого количества самолетов было достаточно, чтобы обеспечить подачу в "котел" ежедневно обещанные Гитлером 500 тонн грузов, однако на деле даже в удачные дни удавалось переправить не более 300 тонн (3573).</w:t>
      </w:r>
    </w:p>
    <w:p w14:paraId="1641CF1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B2AA6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9 по 14 января 1943 к немецким самолетам, снабжавшим Сталинград (в январе - до 300-350 Ю-52, 200 Хе-111 и 60 Ю-86 прибыли 20 ФВ-200 и 30 Хе-177. Все равно за день доставляли не 500, как поручил А.Г., а не более 300 (2783,30).</w:t>
      </w:r>
    </w:p>
    <w:p w14:paraId="624108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E5001E"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33426C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471A7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января 1943 года</w:t>
      </w:r>
    </w:p>
    <w:p w14:paraId="40CF4B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 РУЗВЕЛЬТ И. В. СТАЛИНУ*</w:t>
      </w:r>
    </w:p>
    <w:p w14:paraId="6B86D86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 принял меры для того, чтобы выделить Вам в 1943 году 200 транспортных самолетов Си-47, начиная с января.</w:t>
      </w:r>
    </w:p>
    <w:p w14:paraId="2F28AE7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Ваша миссия здесь будет извещена о датах поставок по месяцам.</w:t>
      </w:r>
    </w:p>
    <w:p w14:paraId="46B9531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 намерен сделать все возможное, чтобы предоставить Вам еще одну сотню, но Вы можете определенно рассчитывать на 200 самолетов, упомянутых выше (7430).</w:t>
      </w:r>
    </w:p>
    <w:p w14:paraId="4EB6312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87EEFF"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7FE879F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9BBD98" w14:textId="77777777" w:rsidR="00F00A33" w:rsidRPr="00D03F3E" w:rsidRDefault="00F00A33"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bCs/>
          <w:color w:val="000000" w:themeColor="text1"/>
          <w:sz w:val="16"/>
          <w:szCs w:val="16"/>
        </w:rPr>
        <w:t>9 января</w:t>
      </w:r>
      <w:r w:rsidRPr="00D03F3E">
        <w:rPr>
          <w:rFonts w:ascii="Times New Roman" w:hAnsi="Times New Roman"/>
          <w:color w:val="000000" w:themeColor="text1"/>
          <w:sz w:val="16"/>
          <w:szCs w:val="16"/>
        </w:rPr>
        <w:t xml:space="preserve"> в 1943 году первый полёт четырехмоторного классического лайнера </w:t>
      </w:r>
      <w:hyperlink r:id="rId13" w:tgtFrame="_blank" w:history="1">
        <w:r w:rsidRPr="00D03F3E">
          <w:rPr>
            <w:rFonts w:ascii="Times New Roman" w:hAnsi="Times New Roman"/>
            <w:color w:val="000000" w:themeColor="text1"/>
            <w:sz w:val="16"/>
            <w:szCs w:val="16"/>
          </w:rPr>
          <w:t xml:space="preserve">«Lockheed Constellation» </w:t>
        </w:r>
      </w:hyperlink>
      <w:r w:rsidRPr="00D03F3E">
        <w:rPr>
          <w:rFonts w:ascii="Times New Roman" w:hAnsi="Times New Roman"/>
          <w:color w:val="000000" w:themeColor="text1"/>
          <w:sz w:val="16"/>
          <w:szCs w:val="16"/>
        </w:rPr>
        <w:t>самого популярного четырехмоторного классического лайнера. Первый полёт модели 049 состоялся 9 января 1943 года, за штурвалом в кресле командира корабля сидел приглашённый лётчик-испытатель «Боинга» Эдди Ален, а в кресле второго пилота Мило Бархэм, бортинженер-испытатель «Lockheedа», Р.Л. "Рудди" Торен летел в качестве бортинженера. Самолёт взлетел с аэродрома Бэрбанк, Калифорния, сделал два круга над аэропортом (что позволило фотографам снимать его в течение 50 минут), взял курс на север и перелетел на базу на озере Мюррок для дальнейших испытаний.</w:t>
      </w:r>
    </w:p>
    <w:p w14:paraId="35C520FF" w14:textId="77777777" w:rsidR="00F00A33" w:rsidRPr="00D03F3E" w:rsidRDefault="00F00A3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Он стал первым массовым самолётом с герметичным пассажирским салоном. На нём, по окончании Второй Мировой войны, впервые был проложен ряд дальних беспосадочных линий (в том числе много трансатлантических). Вместе с «Douglas» «DC-4» он совершил вторую революцию на магистральных линиях (15004).</w:t>
      </w:r>
    </w:p>
    <w:p w14:paraId="668FB9FD" w14:textId="77777777" w:rsidR="00F00A33" w:rsidRPr="00D03F3E" w:rsidRDefault="00F00A33" w:rsidP="00D03F3E">
      <w:pPr>
        <w:spacing w:after="0" w:line="240" w:lineRule="auto"/>
        <w:jc w:val="both"/>
        <w:rPr>
          <w:rFonts w:ascii="Times New Roman" w:hAnsi="Times New Roman"/>
          <w:color w:val="000000" w:themeColor="text1"/>
          <w:sz w:val="16"/>
          <w:szCs w:val="16"/>
        </w:rPr>
      </w:pPr>
    </w:p>
    <w:p w14:paraId="5F4DCABF"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9 января 1943 первый полет прототипа Lockheed Constellation NX67900 (20376).</w:t>
      </w:r>
    </w:p>
    <w:p w14:paraId="4667F9A6" w14:textId="77777777" w:rsidR="00AD6D08" w:rsidRPr="00D03F3E" w:rsidRDefault="00AD6D08" w:rsidP="00D03F3E">
      <w:pPr>
        <w:spacing w:after="0" w:line="240" w:lineRule="auto"/>
        <w:jc w:val="both"/>
        <w:rPr>
          <w:rFonts w:ascii="Times New Roman" w:hAnsi="Times New Roman"/>
          <w:color w:val="0070C0"/>
          <w:sz w:val="16"/>
          <w:szCs w:val="16"/>
        </w:rPr>
      </w:pPr>
    </w:p>
    <w:p w14:paraId="1DE11D3D"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9 января 1943 года — первый полёт военно-транспортного самолёта Lockheed C-69, родоначальника семейства одного из лучших поршневых авиалайнеров Lockheed Constellation.</w:t>
      </w:r>
    </w:p>
    <w:p w14:paraId="602B6F05"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Разработку пассажирского самолёта Lockheed начала ещё в 1939 году. На чертежных досках появились очертания элегантной машины с герметизированным фюзеляжем сложной формы, трёхкилевым оперением и 4 двигателями.</w:t>
      </w:r>
    </w:p>
    <w:p w14:paraId="7D4F060D"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Начавшаяся Вторая мировая война внесла свои коррективы — самолёт перепрофилировали для военных нужд и даже успели построить 22 машины для ВВС США. С окончанием военных действий «Конни» вернулись к мирной жизни уже под обозначением Lockheed L-049.</w:t>
      </w:r>
    </w:p>
    <w:p w14:paraId="5BA82EDC"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Первыми заказчиками стали авиакомпании Trans World Airlines (США), KLM (Голландия), BOAC (Великобритания), Air France (Франция) и др. Всего же с 1943 по 1958 год будет выпущено 856 самолётов Lockheed Constellation различных модификаций (22300).</w:t>
      </w:r>
    </w:p>
    <w:p w14:paraId="5E1A9DCA" w14:textId="77777777" w:rsidR="00AD6D08" w:rsidRPr="00D03F3E" w:rsidRDefault="00AD6D08" w:rsidP="00D03F3E">
      <w:pPr>
        <w:spacing w:after="0" w:line="240" w:lineRule="auto"/>
        <w:jc w:val="both"/>
        <w:rPr>
          <w:rFonts w:ascii="Times New Roman" w:hAnsi="Times New Roman"/>
          <w:color w:val="0070C0"/>
          <w:sz w:val="16"/>
          <w:szCs w:val="16"/>
        </w:rPr>
      </w:pPr>
    </w:p>
    <w:p w14:paraId="32DF1992"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января 1943 прояпонский режим Китая объявил войну Англии и США (4962).</w:t>
      </w:r>
    </w:p>
    <w:p w14:paraId="33E4B6C7"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44C7B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January 9, 1943. The Lockheed C-69 transport (a military version of the Model 49 Constellation) makes its first flight at Burbank, Calif (1089).</w:t>
      </w:r>
    </w:p>
    <w:p w14:paraId="31AF502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DA31F1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января 1943 первый полет выполнила военно-транспортная версия Локхид Констелейшн (1089).</w:t>
      </w:r>
    </w:p>
    <w:p w14:paraId="65EBB7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F616A6"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1CFB17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D8609F"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До 10 января 1943 г. - генерального наступления под Сталингра</w:t>
      </w:r>
      <w:r w:rsidRPr="00D03F3E">
        <w:rPr>
          <w:color w:val="000000" w:themeColor="text1"/>
          <w:sz w:val="16"/>
          <w:szCs w:val="16"/>
        </w:rPr>
        <w:softHyphen/>
        <w:t>дом - 688-го шап боевой работы не вел, находясь в резерве командира дивизии. В его задачу входило ремонтировать матчасть и быть го</w:t>
      </w:r>
      <w:r w:rsidRPr="00D03F3E">
        <w:rPr>
          <w:color w:val="000000" w:themeColor="text1"/>
          <w:sz w:val="16"/>
          <w:szCs w:val="16"/>
        </w:rPr>
        <w:softHyphen/>
        <w:t>товым по данным разведки 228-й шад к вылету на боевое задание 2—4 экипажами.</w:t>
      </w:r>
    </w:p>
    <w:p w14:paraId="42FFA2A8"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Начиная с 10 января 688-й шап действовал главным образом по скоплениям войск в балках, по автомашинам и танкам, по переднему краю обо</w:t>
      </w:r>
      <w:r w:rsidRPr="00D03F3E">
        <w:rPr>
          <w:color w:val="000000" w:themeColor="text1"/>
          <w:sz w:val="16"/>
          <w:szCs w:val="16"/>
        </w:rPr>
        <w:softHyphen/>
        <w:t>ронительной полосы, а также по аэродромам и по</w:t>
      </w:r>
      <w:r w:rsidRPr="00D03F3E">
        <w:rPr>
          <w:color w:val="000000" w:themeColor="text1"/>
          <w:sz w:val="16"/>
          <w:szCs w:val="16"/>
        </w:rPr>
        <w:softHyphen/>
        <w:t>садочным площадкам.</w:t>
      </w:r>
    </w:p>
    <w:p w14:paraId="640FDA46"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Самолеты Ил-2 с 37-мм пушками принимали участие в боевой работе полка до полной ликви</w:t>
      </w:r>
      <w:r w:rsidRPr="00D03F3E">
        <w:rPr>
          <w:color w:val="000000" w:themeColor="text1"/>
          <w:sz w:val="16"/>
          <w:szCs w:val="16"/>
        </w:rPr>
        <w:softHyphen/>
        <w:t>дации группировки немецких войск под Сталингра</w:t>
      </w:r>
      <w:r w:rsidRPr="00D03F3E">
        <w:rPr>
          <w:color w:val="000000" w:themeColor="text1"/>
          <w:sz w:val="16"/>
          <w:szCs w:val="16"/>
        </w:rPr>
        <w:softHyphen/>
        <w:t>дом. Как и прежде, противотанковые Ил-2 ходили на задания в группах вместе с серийными самоле</w:t>
      </w:r>
      <w:r w:rsidRPr="00D03F3E">
        <w:rPr>
          <w:color w:val="000000" w:themeColor="text1"/>
          <w:sz w:val="16"/>
          <w:szCs w:val="16"/>
        </w:rPr>
        <w:softHyphen/>
        <w:t>тами. Группы состояли из 2—6 самолетов, в кото</w:t>
      </w:r>
      <w:r w:rsidRPr="00D03F3E">
        <w:rPr>
          <w:color w:val="000000" w:themeColor="text1"/>
          <w:sz w:val="16"/>
          <w:szCs w:val="16"/>
        </w:rPr>
        <w:softHyphen/>
        <w:t>рых самолетов с пушками Ш-37 было от 1 до 4. При облачности выше 1 км самолеты ходили на задания под прикрытием истребителей 1:1.</w:t>
      </w:r>
    </w:p>
    <w:p w14:paraId="4F35A810"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низкой облачности ходили на задание без прикрытия истребителей. Строй — правый пеленг. На цель заходили с левого разворота, пикировали под углом 20—40°.</w:t>
      </w:r>
    </w:p>
    <w:p w14:paraId="587D5896"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Противодействие авиации противника было слабое, истребители противника атаковали наши самолеты всего раза 3—4. Противодействие зенит</w:t>
      </w:r>
      <w:r w:rsidRPr="00D03F3E">
        <w:rPr>
          <w:color w:val="000000" w:themeColor="text1"/>
          <w:sz w:val="16"/>
          <w:szCs w:val="16"/>
        </w:rPr>
        <w:softHyphen/>
        <w:t>ной артиллерии противника тоже было слабое. Это позволяло штурмовикам делать до 5—7 заходов на цель, производя до 14 атак.</w:t>
      </w:r>
    </w:p>
    <w:p w14:paraId="5BBC461C"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10 января в ходе боевого вылета 6 Ил-2 (веду</w:t>
      </w:r>
      <w:r w:rsidRPr="00D03F3E">
        <w:rPr>
          <w:color w:val="000000" w:themeColor="text1"/>
          <w:sz w:val="16"/>
          <w:szCs w:val="16"/>
        </w:rPr>
        <w:softHyphen/>
        <w:t>щий капитан Гребеньков) под прикрытием 4 Як-1 от 283-й иад в период 11.21—11.29 в район насе</w:t>
      </w:r>
      <w:r w:rsidRPr="00D03F3E">
        <w:rPr>
          <w:color w:val="000000" w:themeColor="text1"/>
          <w:sz w:val="16"/>
          <w:szCs w:val="16"/>
        </w:rPr>
        <w:softHyphen/>
        <w:t>ленного пункта Западновка и балка Западновская Ил-2 зав. № 3822 с пушками Ш-37 «был сильно побит зенитной артиллерией». Самолет получил повреждения центроплана, хвостового оперения и фюзеляжа. Старший сержант Дунов смог дотянуть до передовой и выполнил вынужденную посадку с убранным шасси на нейтральную полосу в 1,5 км от Иловлинская. При попытке «транспортировки этого самолета в полк для ремонта он был уничто</w:t>
      </w:r>
      <w:r w:rsidRPr="00D03F3E">
        <w:rPr>
          <w:color w:val="000000" w:themeColor="text1"/>
          <w:sz w:val="16"/>
          <w:szCs w:val="16"/>
        </w:rPr>
        <w:softHyphen/>
        <w:t>жен прямым попаданием бомбы, сброшенной с са</w:t>
      </w:r>
      <w:r w:rsidRPr="00D03F3E">
        <w:rPr>
          <w:color w:val="000000" w:themeColor="text1"/>
          <w:sz w:val="16"/>
          <w:szCs w:val="16"/>
        </w:rPr>
        <w:softHyphen/>
        <w:t xml:space="preserve">молета </w:t>
      </w:r>
      <w:r w:rsidRPr="00D03F3E">
        <w:rPr>
          <w:color w:val="000000" w:themeColor="text1"/>
          <w:sz w:val="16"/>
          <w:szCs w:val="16"/>
          <w:lang w:val="en-US"/>
        </w:rPr>
        <w:t>Ju</w:t>
      </w:r>
      <w:r w:rsidRPr="00D03F3E">
        <w:rPr>
          <w:color w:val="000000" w:themeColor="text1"/>
          <w:sz w:val="16"/>
          <w:szCs w:val="16"/>
        </w:rPr>
        <w:t>88».</w:t>
      </w:r>
    </w:p>
    <w:p w14:paraId="60DA9548"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На отходе от цели группа была атакована парой </w:t>
      </w:r>
      <w:r w:rsidRPr="00D03F3E">
        <w:rPr>
          <w:color w:val="000000" w:themeColor="text1"/>
          <w:sz w:val="16"/>
          <w:szCs w:val="16"/>
          <w:lang w:val="en-US"/>
        </w:rPr>
        <w:t>Bf</w:t>
      </w:r>
      <w:r w:rsidRPr="00D03F3E">
        <w:rPr>
          <w:color w:val="000000" w:themeColor="text1"/>
          <w:sz w:val="16"/>
          <w:szCs w:val="16"/>
        </w:rPr>
        <w:t xml:space="preserve"> 109</w:t>
      </w:r>
      <w:r w:rsidRPr="00D03F3E">
        <w:rPr>
          <w:color w:val="000000" w:themeColor="text1"/>
          <w:sz w:val="16"/>
          <w:szCs w:val="16"/>
          <w:lang w:val="en-US"/>
        </w:rPr>
        <w:t>F</w:t>
      </w:r>
      <w:r w:rsidRPr="00D03F3E">
        <w:rPr>
          <w:color w:val="000000" w:themeColor="text1"/>
          <w:sz w:val="16"/>
          <w:szCs w:val="16"/>
        </w:rPr>
        <w:t>. В результате Ил-2 зав. № 8029 с пушками Ш-37 сержанта Сахариленко «имеет повреждения в центроплане, стабилизаторе и в руле высоты». Повреждения получил и самолет Ил-2 зав. № 1917 ведущего группы капитана Гребенькова.</w:t>
      </w:r>
    </w:p>
    <w:p w14:paraId="3C9DE7B0"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следует из документов, штурмовики Ил-2 с пушками Ш-37 принимали участие в боевых действиях при ликвидации немецкой окружен</w:t>
      </w:r>
      <w:r w:rsidRPr="00D03F3E">
        <w:rPr>
          <w:color w:val="000000" w:themeColor="text1"/>
          <w:sz w:val="16"/>
          <w:szCs w:val="16"/>
        </w:rPr>
        <w:softHyphen/>
        <w:t>ной группировки в районе Сталинграда вплоть до 2 февраля. Однако войсковые испытания офи</w:t>
      </w:r>
      <w:r w:rsidRPr="00D03F3E">
        <w:rPr>
          <w:color w:val="000000" w:themeColor="text1"/>
          <w:sz w:val="16"/>
          <w:szCs w:val="16"/>
        </w:rPr>
        <w:softHyphen/>
        <w:t>циально были завершены 22 января. К этому вре</w:t>
      </w:r>
      <w:r w:rsidRPr="00D03F3E">
        <w:rPr>
          <w:color w:val="000000" w:themeColor="text1"/>
          <w:sz w:val="16"/>
          <w:szCs w:val="16"/>
        </w:rPr>
        <w:softHyphen/>
        <w:t>мени Ил-2 с Ш-37 совершили 75 боевых само</w:t>
      </w:r>
      <w:r w:rsidRPr="00D03F3E">
        <w:rPr>
          <w:color w:val="000000" w:themeColor="text1"/>
          <w:sz w:val="16"/>
          <w:szCs w:val="16"/>
        </w:rPr>
        <w:softHyphen/>
        <w:t>лето-вылетов с общим налетом 68 ч 42 мин, а на 25 января — 89 самолето-вылетов. 2 самолета Ил-2 с пушками Ш-37 (зав. № 3822, 9029) были потеря</w:t>
      </w:r>
      <w:r w:rsidRPr="00D03F3E">
        <w:rPr>
          <w:color w:val="000000" w:themeColor="text1"/>
          <w:sz w:val="16"/>
          <w:szCs w:val="16"/>
        </w:rPr>
        <w:softHyphen/>
        <w:t>ны безвозвратно. Остальные машины получили повреждения разной сложности. На 3 самолетах 37-мм пушки были сняты после поломки ряда дета</w:t>
      </w:r>
      <w:r w:rsidRPr="00D03F3E">
        <w:rPr>
          <w:color w:val="000000" w:themeColor="text1"/>
          <w:sz w:val="16"/>
          <w:szCs w:val="16"/>
        </w:rPr>
        <w:softHyphen/>
        <w:t>лей в связи с отсутствием запчастей. Самолеты эти летают с бомбовой нагрузкой 600 кг с пулеметами и ракетными снарядами. Обтекатели и кронштей</w:t>
      </w:r>
      <w:r w:rsidRPr="00D03F3E">
        <w:rPr>
          <w:color w:val="000000" w:themeColor="text1"/>
          <w:sz w:val="16"/>
          <w:szCs w:val="16"/>
        </w:rPr>
        <w:softHyphen/>
        <w:t>ны крепления пушек с самолетов не снимались. Из оставшихся самолетов один с 10 января не летал по причине неисправности мотора, но пушки были ис</w:t>
      </w:r>
      <w:r w:rsidRPr="00D03F3E">
        <w:rPr>
          <w:color w:val="000000" w:themeColor="text1"/>
          <w:sz w:val="16"/>
          <w:szCs w:val="16"/>
        </w:rPr>
        <w:softHyphen/>
        <w:t>правными. С этого дня в боевом строю оставалось только 2 самолета Ил-2 с пушками Ш-37, которые до окончания войсковых испытаний выполнили 44 боевых вылета. Прилетевший в полк из Разбойщи- ны Ил-2 с Ш-37 зав. № 1129 до 25 января выпол</w:t>
      </w:r>
      <w:r w:rsidRPr="00D03F3E">
        <w:rPr>
          <w:color w:val="000000" w:themeColor="text1"/>
          <w:sz w:val="16"/>
          <w:szCs w:val="16"/>
        </w:rPr>
        <w:softHyphen/>
        <w:t>нил только один боевой вылет, и его результаты при составлении отчета по испытаниям не учиты</w:t>
      </w:r>
      <w:r w:rsidRPr="00D03F3E">
        <w:rPr>
          <w:color w:val="000000" w:themeColor="text1"/>
          <w:sz w:val="16"/>
          <w:szCs w:val="16"/>
        </w:rPr>
        <w:softHyphen/>
        <w:t>вались.</w:t>
      </w:r>
    </w:p>
    <w:p w14:paraId="10CE206F"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Самолеты Ил-2 с пушками Ш-37 «ходили на бое</w:t>
      </w:r>
      <w:r w:rsidRPr="00D03F3E">
        <w:rPr>
          <w:color w:val="000000" w:themeColor="text1"/>
          <w:sz w:val="16"/>
          <w:szCs w:val="16"/>
        </w:rPr>
        <w:softHyphen/>
        <w:t>вые задания, имея запас боеприпасов 80 для 37-мм пушек, 1500 для пулеметов ШКАС, 8 РС-82 и 2 бом</w:t>
      </w:r>
      <w:r w:rsidRPr="00D03F3E">
        <w:rPr>
          <w:color w:val="000000" w:themeColor="text1"/>
          <w:sz w:val="16"/>
          <w:szCs w:val="16"/>
        </w:rPr>
        <w:softHyphen/>
        <w:t>бы ФАБ-100 или 6 бомб АО-25».</w:t>
      </w:r>
    </w:p>
    <w:p w14:paraId="4EBEFF77"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Экипажи действовали главным образом по са</w:t>
      </w:r>
      <w:r w:rsidRPr="00D03F3E">
        <w:rPr>
          <w:color w:val="000000" w:themeColor="text1"/>
          <w:sz w:val="16"/>
          <w:szCs w:val="16"/>
        </w:rPr>
        <w:softHyphen/>
        <w:t>молетам на аэродромах и автотранспорту против</w:t>
      </w:r>
      <w:r w:rsidRPr="00D03F3E">
        <w:rPr>
          <w:color w:val="000000" w:themeColor="text1"/>
          <w:sz w:val="16"/>
          <w:szCs w:val="16"/>
        </w:rPr>
        <w:softHyphen/>
        <w:t>ника. В отдельных случаях — по огневым точкам на поле боя, дерево-земляным оборонительным со</w:t>
      </w:r>
      <w:r w:rsidRPr="00D03F3E">
        <w:rPr>
          <w:color w:val="000000" w:themeColor="text1"/>
          <w:sz w:val="16"/>
          <w:szCs w:val="16"/>
        </w:rPr>
        <w:softHyphen/>
        <w:t>оружениям и бронетехнике. Общий расход боепри</w:t>
      </w:r>
      <w:r w:rsidRPr="00D03F3E">
        <w:rPr>
          <w:color w:val="000000" w:themeColor="text1"/>
          <w:sz w:val="16"/>
          <w:szCs w:val="16"/>
        </w:rPr>
        <w:softHyphen/>
        <w:t>пасов составил: к пушкам Ш-37 — 2945 снарядов, к пулеметам ШКАС — 26 840 патронов, ракетных снарядов РС-82 — 523 единицы, фугасных авиа</w:t>
      </w:r>
      <w:r w:rsidRPr="00D03F3E">
        <w:rPr>
          <w:color w:val="000000" w:themeColor="text1"/>
          <w:sz w:val="16"/>
          <w:szCs w:val="16"/>
        </w:rPr>
        <w:softHyphen/>
        <w:t>бомб типа ФАБ-100 — 107, осколочных авиабомб типа АО-25 — 87.</w:t>
      </w:r>
    </w:p>
    <w:p w14:paraId="105B5A77"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Атаки наземных целей производились с плани</w:t>
      </w:r>
      <w:r w:rsidRPr="00D03F3E">
        <w:rPr>
          <w:color w:val="000000" w:themeColor="text1"/>
          <w:sz w:val="16"/>
          <w:szCs w:val="16"/>
        </w:rPr>
        <w:softHyphen/>
        <w:t>рования под углом 30—45° с высоты 1300—1000 м. По донесениям летчиков, огнем пушек Ш-37 было уничтожено 2 танка, 4 самолета на аэродромах, около 50 автомашин, 1 склад с боеприпасами, две зенитные батареи, созданы 3 очага пожара. Кроме того, летчиками наблюдались попадания в 3 танка, 4 самолета, 14 автомашин и 1 бронепоезд (по дру</w:t>
      </w:r>
      <w:r w:rsidRPr="00D03F3E">
        <w:rPr>
          <w:color w:val="000000" w:themeColor="text1"/>
          <w:sz w:val="16"/>
          <w:szCs w:val="16"/>
        </w:rPr>
        <w:softHyphen/>
        <w:t>гим данным — бронемашину), но достоверность поражения целей подтвердить не могли.</w:t>
      </w:r>
    </w:p>
    <w:p w14:paraId="1BAA3FBB"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эти данные не входят потери противника от бомб, РС и пулеметов на этих же самолетах. Необ</w:t>
      </w:r>
      <w:r w:rsidRPr="00D03F3E">
        <w:rPr>
          <w:color w:val="000000" w:themeColor="text1"/>
          <w:sz w:val="16"/>
          <w:szCs w:val="16"/>
        </w:rPr>
        <w:softHyphen/>
        <w:t>ходимо отметить, что «танков, как основных целей для этих пушек, встречалось мало».</w:t>
      </w:r>
    </w:p>
    <w:p w14:paraId="6D5B9AC2"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За время войсковых испытаний отмечалось не</w:t>
      </w:r>
      <w:r w:rsidRPr="00D03F3E">
        <w:rPr>
          <w:color w:val="000000" w:themeColor="text1"/>
          <w:sz w:val="16"/>
          <w:szCs w:val="16"/>
        </w:rPr>
        <w:softHyphen/>
        <w:t>сколько случаев применения Ш-37 по воздушным целям, но все они, вследствие недостаточной ско</w:t>
      </w:r>
      <w:r w:rsidRPr="00D03F3E">
        <w:rPr>
          <w:color w:val="000000" w:themeColor="text1"/>
          <w:sz w:val="16"/>
          <w:szCs w:val="16"/>
        </w:rPr>
        <w:softHyphen/>
        <w:t>рострельности пушки, были неудачными.</w:t>
      </w:r>
    </w:p>
    <w:p w14:paraId="6E4CFCA9"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одном случае Ил-2 на высоте 800 м был атако</w:t>
      </w:r>
      <w:r w:rsidRPr="00D03F3E">
        <w:rPr>
          <w:color w:val="000000" w:themeColor="text1"/>
          <w:sz w:val="16"/>
          <w:szCs w:val="16"/>
        </w:rPr>
        <w:softHyphen/>
        <w:t xml:space="preserve">ван в лоб истребителем Люфтваффе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F</w:t>
      </w:r>
      <w:r w:rsidRPr="00D03F3E">
        <w:rPr>
          <w:color w:val="000000" w:themeColor="text1"/>
          <w:sz w:val="16"/>
          <w:szCs w:val="16"/>
        </w:rPr>
        <w:t>. С дис</w:t>
      </w:r>
      <w:r w:rsidRPr="00D03F3E">
        <w:rPr>
          <w:color w:val="000000" w:themeColor="text1"/>
          <w:sz w:val="16"/>
          <w:szCs w:val="16"/>
        </w:rPr>
        <w:softHyphen/>
        <w:t xml:space="preserve">танции 600 м летчик открыл огонь из пушек Ш-37. Противник от атаки уклонился и вышел из боя. В другом случае Ил-2 атаковал на высоте 600 м </w:t>
      </w:r>
      <w:r w:rsidRPr="00D03F3E">
        <w:rPr>
          <w:color w:val="000000" w:themeColor="text1"/>
          <w:sz w:val="16"/>
          <w:szCs w:val="16"/>
          <w:lang w:val="en-US"/>
        </w:rPr>
        <w:t>Ju</w:t>
      </w:r>
      <w:r w:rsidRPr="00D03F3E">
        <w:rPr>
          <w:color w:val="000000" w:themeColor="text1"/>
          <w:sz w:val="16"/>
          <w:szCs w:val="16"/>
        </w:rPr>
        <w:t>52/3</w:t>
      </w:r>
      <w:r w:rsidRPr="00D03F3E">
        <w:rPr>
          <w:color w:val="000000" w:themeColor="text1"/>
          <w:sz w:val="16"/>
          <w:szCs w:val="16"/>
          <w:lang w:val="en-US"/>
        </w:rPr>
        <w:t>m</w:t>
      </w:r>
      <w:r w:rsidRPr="00D03F3E">
        <w:rPr>
          <w:color w:val="000000" w:themeColor="text1"/>
          <w:sz w:val="16"/>
          <w:szCs w:val="16"/>
        </w:rPr>
        <w:t>. Огонь из Ш-37 велся короткими очере</w:t>
      </w:r>
      <w:r w:rsidRPr="00D03F3E">
        <w:rPr>
          <w:color w:val="000000" w:themeColor="text1"/>
          <w:sz w:val="16"/>
          <w:szCs w:val="16"/>
        </w:rPr>
        <w:softHyphen/>
        <w:t>дями по 3—4 снаряда с дистанции 600—300 м. Всего было выпущено до 20—30 снарядов. Попа</w:t>
      </w:r>
      <w:r w:rsidRPr="00D03F3E">
        <w:rPr>
          <w:color w:val="000000" w:themeColor="text1"/>
          <w:sz w:val="16"/>
          <w:szCs w:val="16"/>
        </w:rPr>
        <w:softHyphen/>
        <w:t>даний в немецкий самолет не было. Летчики на</w:t>
      </w:r>
      <w:r w:rsidRPr="00D03F3E">
        <w:rPr>
          <w:color w:val="000000" w:themeColor="text1"/>
          <w:sz w:val="16"/>
          <w:szCs w:val="16"/>
        </w:rPr>
        <w:softHyphen/>
        <w:t>блюдали, что «снаряды ложатся правее и левее плоскостей самолета». В итоге «Юнкерс» ушел в облака.</w:t>
      </w:r>
    </w:p>
    <w:p w14:paraId="1A85C6B9"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Средний расход боекомплекта к пушкам Ш-37 за один самолето-вылет составил 37,6%, что соот</w:t>
      </w:r>
      <w:r w:rsidRPr="00D03F3E">
        <w:rPr>
          <w:color w:val="000000" w:themeColor="text1"/>
          <w:sz w:val="16"/>
          <w:szCs w:val="16"/>
        </w:rPr>
        <w:softHyphen/>
        <w:t>ветствует средней продолжительности непрерыв</w:t>
      </w:r>
      <w:r w:rsidRPr="00D03F3E">
        <w:rPr>
          <w:color w:val="000000" w:themeColor="text1"/>
          <w:sz w:val="16"/>
          <w:szCs w:val="16"/>
        </w:rPr>
        <w:softHyphen/>
        <w:t>ной стрельбы всего 5 секунд. Это, с одной сторо</w:t>
      </w:r>
      <w:r w:rsidRPr="00D03F3E">
        <w:rPr>
          <w:color w:val="000000" w:themeColor="text1"/>
          <w:sz w:val="16"/>
          <w:szCs w:val="16"/>
        </w:rPr>
        <w:softHyphen/>
        <w:t>ны, говорит о том, что целей, достойных для пушек Ш-37, в боевых вылетах было мало, а с другой сто</w:t>
      </w:r>
      <w:r w:rsidRPr="00D03F3E">
        <w:rPr>
          <w:color w:val="000000" w:themeColor="text1"/>
          <w:sz w:val="16"/>
          <w:szCs w:val="16"/>
        </w:rPr>
        <w:softHyphen/>
        <w:t>роны, указывает на недостаточную эффективность стрельбы с самолета Ил-2 из такой пушки по точеч</w:t>
      </w:r>
      <w:r w:rsidRPr="00D03F3E">
        <w:rPr>
          <w:color w:val="000000" w:themeColor="text1"/>
          <w:sz w:val="16"/>
          <w:szCs w:val="16"/>
        </w:rPr>
        <w:softHyphen/>
        <w:t>ным малоразмерным целям.</w:t>
      </w:r>
    </w:p>
    <w:p w14:paraId="19256D45"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течение всего времени испытаний пушки Ш-37 работали ненадежно — средний процент настрела боекомплекта, приходящийся на один отказ, со</w:t>
      </w:r>
      <w:r w:rsidRPr="00D03F3E">
        <w:rPr>
          <w:color w:val="000000" w:themeColor="text1"/>
          <w:sz w:val="16"/>
          <w:szCs w:val="16"/>
        </w:rPr>
        <w:softHyphen/>
        <w:t>ставил 54%. Из общего числа боевых вылетов, вы</w:t>
      </w:r>
      <w:r w:rsidRPr="00D03F3E">
        <w:rPr>
          <w:color w:val="000000" w:themeColor="text1"/>
          <w:sz w:val="16"/>
          <w:szCs w:val="16"/>
        </w:rPr>
        <w:softHyphen/>
        <w:t>полненных противотанковыми самолетами Ил-2, в 15 был отказ одной пушки и в 5 — отказ сразу 2 пушек. То есть почти каждый второй вылет на бо</w:t>
      </w:r>
      <w:r w:rsidRPr="00D03F3E">
        <w:rPr>
          <w:color w:val="000000" w:themeColor="text1"/>
          <w:sz w:val="16"/>
          <w:szCs w:val="16"/>
        </w:rPr>
        <w:softHyphen/>
        <w:t>евое задание Ил-2 с пушками Ш-37 сопровождался отказом хотя бы одной из пушек.</w:t>
      </w:r>
    </w:p>
    <w:p w14:paraId="4BDD9D2C"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состоянию на 25 января произошло 123 от</w:t>
      </w:r>
      <w:r w:rsidRPr="00D03F3E">
        <w:rPr>
          <w:color w:val="000000" w:themeColor="text1"/>
          <w:sz w:val="16"/>
          <w:szCs w:val="16"/>
        </w:rPr>
        <w:softHyphen/>
        <w:t>каза в работе пушек и 6 поломок, не приведших к задержкам в стрельбе. Отказы в работе пушек составляют 4,17% к общему настрелу за этот пери</w:t>
      </w:r>
      <w:r w:rsidRPr="00D03F3E">
        <w:rPr>
          <w:color w:val="000000" w:themeColor="text1"/>
          <w:sz w:val="16"/>
          <w:szCs w:val="16"/>
        </w:rPr>
        <w:softHyphen/>
        <w:t>од, в то время как «по техническим условиям для оружия допускается 0,2% задержек на полную жи</w:t>
      </w:r>
      <w:r w:rsidRPr="00D03F3E">
        <w:rPr>
          <w:color w:val="000000" w:themeColor="text1"/>
          <w:sz w:val="16"/>
          <w:szCs w:val="16"/>
        </w:rPr>
        <w:softHyphen/>
        <w:t>вучесть пушек».</w:t>
      </w:r>
    </w:p>
    <w:p w14:paraId="0FE3882A"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Если из всех задержек исключить задержки по вине установок и по вине обслуживающего пер</w:t>
      </w:r>
      <w:r w:rsidRPr="00D03F3E">
        <w:rPr>
          <w:color w:val="000000" w:themeColor="text1"/>
          <w:sz w:val="16"/>
          <w:szCs w:val="16"/>
        </w:rPr>
        <w:softHyphen/>
        <w:t>сонала, то остается 104 задержки, что составляет 3,52% к настрелу. За время испытаний произошло 43 поломки деталей пушек, или 1,46% к настрелу (то есть 1 поломка примерно на 70 выстрелов). Ос</w:t>
      </w:r>
      <w:r w:rsidRPr="00D03F3E">
        <w:rPr>
          <w:color w:val="000000" w:themeColor="text1"/>
          <w:sz w:val="16"/>
          <w:szCs w:val="16"/>
        </w:rPr>
        <w:softHyphen/>
        <w:t>новные поломки следующие: ударника — 6, план</w:t>
      </w:r>
      <w:r w:rsidRPr="00D03F3E">
        <w:rPr>
          <w:color w:val="000000" w:themeColor="text1"/>
          <w:sz w:val="16"/>
          <w:szCs w:val="16"/>
        </w:rPr>
        <w:softHyphen/>
        <w:t>ки затвора — 4, бойка — 8, направляющей втулки ударника — 5, трещина в затыльнике — 5, непо</w:t>
      </w:r>
      <w:r w:rsidRPr="00D03F3E">
        <w:rPr>
          <w:color w:val="000000" w:themeColor="text1"/>
          <w:sz w:val="16"/>
          <w:szCs w:val="16"/>
        </w:rPr>
        <w:softHyphen/>
        <w:t>садка на шептало — 20, неотдача — 21. При этом, например, пушка зав. № Г-109 при 171 выстреле имела 2 поломки ударника, «то есть 5000 выстре</w:t>
      </w:r>
      <w:r w:rsidRPr="00D03F3E">
        <w:rPr>
          <w:color w:val="000000" w:themeColor="text1"/>
          <w:sz w:val="16"/>
          <w:szCs w:val="16"/>
        </w:rPr>
        <w:softHyphen/>
        <w:t>лов потребовало бы 59 ударников».</w:t>
      </w:r>
    </w:p>
    <w:p w14:paraId="26EB6B4E"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 на аэро</w:t>
      </w:r>
      <w:r w:rsidRPr="00D03F3E">
        <w:rPr>
          <w:color w:val="000000" w:themeColor="text1"/>
          <w:sz w:val="16"/>
          <w:szCs w:val="16"/>
        </w:rPr>
        <w:softHyphen/>
        <w:t>дром в Вихлянцево. Соответственно, бригада спе</w:t>
      </w:r>
      <w:r w:rsidRPr="00D03F3E">
        <w:rPr>
          <w:color w:val="000000" w:themeColor="text1"/>
          <w:sz w:val="16"/>
          <w:szCs w:val="16"/>
        </w:rPr>
        <w:softHyphen/>
        <w:t>циалистов от ОКБ-15 не могла оперативно устра</w:t>
      </w:r>
      <w:r w:rsidRPr="00D03F3E">
        <w:rPr>
          <w:color w:val="000000" w:themeColor="text1"/>
          <w:sz w:val="16"/>
          <w:szCs w:val="16"/>
        </w:rPr>
        <w:softHyphen/>
        <w:t>нять отказы в работе и поломки пушек.</w:t>
      </w:r>
    </w:p>
    <w:p w14:paraId="30806415"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Очевидно, все «это нарушало нормальную бое</w:t>
      </w:r>
      <w:r w:rsidRPr="00D03F3E">
        <w:rPr>
          <w:color w:val="000000" w:themeColor="text1"/>
          <w:sz w:val="16"/>
          <w:szCs w:val="16"/>
        </w:rPr>
        <w:softHyphen/>
        <w:t>вую работу полка, самолеты приходилось из-за не</w:t>
      </w:r>
      <w:r w:rsidRPr="00D03F3E">
        <w:rPr>
          <w:color w:val="000000" w:themeColor="text1"/>
          <w:sz w:val="16"/>
          <w:szCs w:val="16"/>
        </w:rPr>
        <w:softHyphen/>
        <w:t>исправности пушек отставлять от боевых вылетов или посылать на задания с одной неисправной пушкой или, при обеих неисправных пушках, толь</w:t>
      </w:r>
      <w:r w:rsidRPr="00D03F3E">
        <w:rPr>
          <w:color w:val="000000" w:themeColor="text1"/>
          <w:sz w:val="16"/>
          <w:szCs w:val="16"/>
        </w:rPr>
        <w:softHyphen/>
        <w:t>ко с остальным вооружением».</w:t>
      </w:r>
    </w:p>
    <w:p w14:paraId="488C3DD0"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«Большое количество поломок, задержек и от</w:t>
      </w:r>
      <w:r w:rsidRPr="00D03F3E">
        <w:rPr>
          <w:color w:val="000000" w:themeColor="text1"/>
          <w:sz w:val="16"/>
          <w:szCs w:val="16"/>
        </w:rPr>
        <w:softHyphen/>
        <w:t>казов в работе пушек вызвало у летчиков неприят</w:t>
      </w:r>
      <w:r w:rsidRPr="00D03F3E">
        <w:rPr>
          <w:color w:val="000000" w:themeColor="text1"/>
          <w:sz w:val="16"/>
          <w:szCs w:val="16"/>
        </w:rPr>
        <w:softHyphen/>
        <w:t>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А. Г. Тишевский.</w:t>
      </w:r>
    </w:p>
    <w:p w14:paraId="472C39A4"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то же время «отзывы летчиков о работе пушек в основном сводятся к тому, что при безотказной работе пушки являются мощным и грозным ору</w:t>
      </w:r>
      <w:r w:rsidRPr="00D03F3E">
        <w:rPr>
          <w:color w:val="000000" w:themeColor="text1"/>
          <w:sz w:val="16"/>
          <w:szCs w:val="16"/>
        </w:rPr>
        <w:softHyphen/>
        <w:t>жием».</w:t>
      </w:r>
    </w:p>
    <w:p w14:paraId="06AC23B2"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своих донесениях летчики отмечали, что «са</w:t>
      </w:r>
      <w:r w:rsidRPr="00D03F3E">
        <w:rPr>
          <w:color w:val="000000" w:themeColor="text1"/>
          <w:sz w:val="16"/>
          <w:szCs w:val="16"/>
        </w:rPr>
        <w:softHyphen/>
        <w:t>молет Ил-2 с пушками 37 мм изменил свои качества по сравнению с серийным самолетом». Разбег при взлете увеличился на 150—170 м, пробег при по</w:t>
      </w:r>
      <w:r w:rsidRPr="00D03F3E">
        <w:rPr>
          <w:color w:val="000000" w:themeColor="text1"/>
          <w:sz w:val="16"/>
          <w:szCs w:val="16"/>
        </w:rPr>
        <w:softHyphen/>
        <w:t>садке — на 200 м. Максимальные скорости полета при выполнении боевых заданий не превышали 320—330 км/ч. Самолет стал более инертен, труд</w:t>
      </w:r>
      <w:r w:rsidRPr="00D03F3E">
        <w:rPr>
          <w:color w:val="000000" w:themeColor="text1"/>
          <w:sz w:val="16"/>
          <w:szCs w:val="16"/>
        </w:rPr>
        <w:softHyphen/>
        <w:t>нее управляем. Плохо держится в строю при ско</w:t>
      </w:r>
      <w:r w:rsidRPr="00D03F3E">
        <w:rPr>
          <w:color w:val="000000" w:themeColor="text1"/>
          <w:sz w:val="16"/>
          <w:szCs w:val="16"/>
        </w:rPr>
        <w:softHyphen/>
        <w:t>ростях около 250—260 км/ч и ниже. Хорошо дер</w:t>
      </w:r>
      <w:r w:rsidRPr="00D03F3E">
        <w:rPr>
          <w:color w:val="000000" w:themeColor="text1"/>
          <w:sz w:val="16"/>
          <w:szCs w:val="16"/>
        </w:rPr>
        <w:softHyphen/>
        <w:t>жится в строю только при скоростях 280—300 км/ч и выше. Взлет затруднен тем, что самолет делает просадку при наборе высоты.</w:t>
      </w:r>
    </w:p>
    <w:p w14:paraId="14E21259"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скоростях полета 250 км/ч «прицельную стрельбу из пушек вести трудно из-за сильной ви</w:t>
      </w:r>
      <w:r w:rsidRPr="00D03F3E">
        <w:rPr>
          <w:color w:val="000000" w:themeColor="text1"/>
          <w:sz w:val="16"/>
          <w:szCs w:val="16"/>
        </w:rPr>
        <w:softHyphen/>
        <w:t>брации стволов при просадке самолета от отдачи пушек (проваливание самолета)». На скоростях 280—300 км/ч «отдача пушек на самолет чувству</w:t>
      </w:r>
      <w:r w:rsidRPr="00D03F3E">
        <w:rPr>
          <w:color w:val="000000" w:themeColor="text1"/>
          <w:sz w:val="16"/>
          <w:szCs w:val="16"/>
        </w:rPr>
        <w:softHyphen/>
        <w:t>ется незначительно». При стрельбе с набором вы</w:t>
      </w:r>
      <w:r w:rsidRPr="00D03F3E">
        <w:rPr>
          <w:color w:val="000000" w:themeColor="text1"/>
          <w:sz w:val="16"/>
          <w:szCs w:val="16"/>
        </w:rPr>
        <w:softHyphen/>
        <w:t>соты самолет резко теряет скорость. На пикирова</w:t>
      </w:r>
      <w:r w:rsidRPr="00D03F3E">
        <w:rPr>
          <w:color w:val="000000" w:themeColor="text1"/>
          <w:sz w:val="16"/>
          <w:szCs w:val="16"/>
        </w:rPr>
        <w:softHyphen/>
        <w:t>нии под углом до 45° со стрельбой самолет имеет тенденцию увеличивать угол пикирования. При стрельбе из одной пушки самолет сильно разво</w:t>
      </w:r>
      <w:r w:rsidRPr="00D03F3E">
        <w:rPr>
          <w:color w:val="000000" w:themeColor="text1"/>
          <w:sz w:val="16"/>
          <w:szCs w:val="16"/>
        </w:rPr>
        <w:softHyphen/>
        <w:t>рачивается в сторону стреляющей пушки, прицель</w:t>
      </w:r>
      <w:r w:rsidRPr="00D03F3E">
        <w:rPr>
          <w:color w:val="000000" w:themeColor="text1"/>
          <w:sz w:val="16"/>
          <w:szCs w:val="16"/>
        </w:rPr>
        <w:softHyphen/>
        <w:t>ный огонь вести невозможно. Боковой перенос ог</w:t>
      </w:r>
      <w:r w:rsidRPr="00D03F3E">
        <w:rPr>
          <w:color w:val="000000" w:themeColor="text1"/>
          <w:sz w:val="16"/>
          <w:szCs w:val="16"/>
        </w:rPr>
        <w:softHyphen/>
        <w:t>ня при пикировании затруднен, а «с высоты 400 м и ниже невозможен, ввиду инертности самолета».</w:t>
      </w:r>
    </w:p>
    <w:p w14:paraId="3FE69A07"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заявлениям летчиков, «стволы пушек в по</w:t>
      </w:r>
      <w:r w:rsidRPr="00D03F3E">
        <w:rPr>
          <w:color w:val="000000" w:themeColor="text1"/>
          <w:sz w:val="16"/>
          <w:szCs w:val="16"/>
        </w:rPr>
        <w:softHyphen/>
        <w:t>лете вибрируют, что увеличивает рассеивание, /.../ несинхронность и разный темп стрельбы 2 пушек на одном самолете разворачивает самолет и за</w:t>
      </w:r>
      <w:r w:rsidRPr="00D03F3E">
        <w:rPr>
          <w:color w:val="000000" w:themeColor="text1"/>
          <w:sz w:val="16"/>
          <w:szCs w:val="16"/>
        </w:rPr>
        <w:softHyphen/>
        <w:t>трудняет возможность вести прицельный огонь». Утверждалось, что «при боевом развороте на ско</w:t>
      </w:r>
      <w:r w:rsidRPr="00D03F3E">
        <w:rPr>
          <w:color w:val="000000" w:themeColor="text1"/>
          <w:sz w:val="16"/>
          <w:szCs w:val="16"/>
        </w:rPr>
        <w:softHyphen/>
        <w:t>рости 270 км/ч самолет сильно трясет».</w:t>
      </w:r>
    </w:p>
    <w:p w14:paraId="0CAFD324"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Боекомплект к пушкам (40 патронов на каждую) считался вполне достаточным, «потому что даже в условиях слабого противодействия зенитной артиллерии и истребителей противника самоле</w:t>
      </w:r>
      <w:r w:rsidRPr="00D03F3E">
        <w:rPr>
          <w:color w:val="000000" w:themeColor="text1"/>
          <w:sz w:val="16"/>
          <w:szCs w:val="16"/>
        </w:rPr>
        <w:softHyphen/>
        <w:t>ты делали по 5—7 заходов и не всегда полностью расстреливали боекомплект». Так, из 54 случаев стрельбы из пушек без задержек было зарегистри</w:t>
      </w:r>
      <w:r w:rsidRPr="00D03F3E">
        <w:rPr>
          <w:color w:val="000000" w:themeColor="text1"/>
          <w:sz w:val="16"/>
          <w:szCs w:val="16"/>
        </w:rPr>
        <w:softHyphen/>
        <w:t>ровано только 22 случая полного расстрела бое</w:t>
      </w:r>
      <w:r w:rsidRPr="00D03F3E">
        <w:rPr>
          <w:color w:val="000000" w:themeColor="text1"/>
          <w:sz w:val="16"/>
          <w:szCs w:val="16"/>
        </w:rPr>
        <w:softHyphen/>
        <w:t>комплекта.</w:t>
      </w:r>
    </w:p>
    <w:p w14:paraId="5043C253"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 эксплуатационной точки зрения пушка Ш-37 и пушечная установка оказались простыми и удоб</w:t>
      </w:r>
      <w:r w:rsidRPr="00D03F3E">
        <w:rPr>
          <w:color w:val="000000" w:themeColor="text1"/>
          <w:sz w:val="16"/>
          <w:szCs w:val="16"/>
        </w:rPr>
        <w:softHyphen/>
        <w:t>ными в обслуживании даже в условиях зимы, ког</w:t>
      </w:r>
      <w:r w:rsidRPr="00D03F3E">
        <w:rPr>
          <w:color w:val="000000" w:themeColor="text1"/>
          <w:sz w:val="16"/>
          <w:szCs w:val="16"/>
        </w:rPr>
        <w:softHyphen/>
        <w:t>да технический состав вынужден работать в ру</w:t>
      </w:r>
      <w:r w:rsidRPr="00D03F3E">
        <w:rPr>
          <w:color w:val="000000" w:themeColor="text1"/>
          <w:sz w:val="16"/>
          <w:szCs w:val="16"/>
        </w:rPr>
        <w:softHyphen/>
        <w:t>кавицах и тяжелой одежде. При работе 2 человек чистка пушки требует не более 30 мин, заряд</w:t>
      </w:r>
      <w:r w:rsidRPr="00D03F3E">
        <w:rPr>
          <w:color w:val="000000" w:themeColor="text1"/>
          <w:sz w:val="16"/>
          <w:szCs w:val="16"/>
        </w:rPr>
        <w:softHyphen/>
        <w:t>ка — 20 мин, а закрывание обтекателей — около 10 мин при работе не менее 3 человек. Для замены поломанного бойка пушки требовалось 1,5—2 ч, втулки ударника — 3 ч, ударника — 4—5 ч, затво</w:t>
      </w:r>
      <w:r w:rsidRPr="00D03F3E">
        <w:rPr>
          <w:color w:val="000000" w:themeColor="text1"/>
          <w:sz w:val="16"/>
          <w:szCs w:val="16"/>
        </w:rPr>
        <w:softHyphen/>
        <w:t>ра — 4—5 ч, шептала — 4 ч, собачки шептала — 3 ч. Технический состав полка особо отметил «не</w:t>
      </w:r>
      <w:r w:rsidRPr="00D03F3E">
        <w:rPr>
          <w:color w:val="000000" w:themeColor="text1"/>
          <w:sz w:val="16"/>
          <w:szCs w:val="16"/>
        </w:rPr>
        <w:softHyphen/>
        <w:t>удобную конструкцию и плохое изготовление об</w:t>
      </w:r>
      <w:r w:rsidRPr="00D03F3E">
        <w:rPr>
          <w:color w:val="000000" w:themeColor="text1"/>
          <w:sz w:val="16"/>
          <w:szCs w:val="16"/>
        </w:rPr>
        <w:softHyphen/>
        <w:t>текателей пушек — на шомпола их невозможно закрыть».</w:t>
      </w:r>
    </w:p>
    <w:p w14:paraId="5282D779"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Общий вывод сводился к следующему: «Частые отказы пушек и пушечных установок в стрельбе, доходившее на отдельных самолетах до 80% к ко</w:t>
      </w:r>
      <w:r w:rsidRPr="00D03F3E">
        <w:rPr>
          <w:color w:val="000000" w:themeColor="text1"/>
          <w:sz w:val="16"/>
          <w:szCs w:val="16"/>
        </w:rPr>
        <w:softHyphen/>
        <w:t>личеству вылетов, не дали возможности в полной мере использовать такое мощное орудие, каким является пушка ШФК-37».</w:t>
      </w:r>
    </w:p>
    <w:p w14:paraId="00911753"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следует из документов, установка на Ил-2 «больших» пушек единодушной поддержки боевых летчиков не получила. Мнения летчиков раздели</w:t>
      </w:r>
      <w:r w:rsidRPr="00D03F3E">
        <w:rPr>
          <w:color w:val="000000" w:themeColor="text1"/>
          <w:sz w:val="16"/>
          <w:szCs w:val="16"/>
        </w:rPr>
        <w:softHyphen/>
        <w:t>лись.</w:t>
      </w:r>
    </w:p>
    <w:p w14:paraId="593880E0"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Так, лейтенант Воловиков в своем донесе</w:t>
      </w:r>
      <w:r w:rsidRPr="00D03F3E">
        <w:rPr>
          <w:color w:val="000000" w:themeColor="text1"/>
          <w:sz w:val="16"/>
          <w:szCs w:val="16"/>
        </w:rPr>
        <w:softHyphen/>
        <w:t>нии указал, что «в серийном производстве Ил-2 с ШФК-37 выпускать нельзя». К его мнению присо</w:t>
      </w:r>
      <w:r w:rsidRPr="00D03F3E">
        <w:rPr>
          <w:color w:val="000000" w:themeColor="text1"/>
          <w:sz w:val="16"/>
          <w:szCs w:val="16"/>
        </w:rPr>
        <w:softHyphen/>
        <w:t>единились старший сержант А. В. Дунов, сержант М. А. Сахариленко и старшина В. Ф. Игнатьев.</w:t>
      </w:r>
    </w:p>
    <w:p w14:paraId="67B4F448"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Наоборот, старший сержант Юсов считал, что 37-мм пушку «устанавливать можно, но нужно: 1) убрать их в крыло; 2) устранить вибрацию ствола; 3) еще лучше, установить пушку 37 мм через вал редуктора, а все остальное оставить как у серийно</w:t>
      </w:r>
      <w:r w:rsidRPr="00D03F3E">
        <w:rPr>
          <w:color w:val="000000" w:themeColor="text1"/>
          <w:sz w:val="16"/>
          <w:szCs w:val="16"/>
        </w:rPr>
        <w:softHyphen/>
        <w:t>го; 4) нужен более мощный мотор для противозе</w:t>
      </w:r>
      <w:r w:rsidRPr="00D03F3E">
        <w:rPr>
          <w:color w:val="000000" w:themeColor="text1"/>
          <w:sz w:val="16"/>
          <w:szCs w:val="16"/>
        </w:rPr>
        <w:softHyphen/>
        <w:t>нитного маневра; 5) формировать отдельные диви</w:t>
      </w:r>
      <w:r w:rsidRPr="00D03F3E">
        <w:rPr>
          <w:color w:val="000000" w:themeColor="text1"/>
          <w:sz w:val="16"/>
          <w:szCs w:val="16"/>
        </w:rPr>
        <w:softHyphen/>
        <w:t>зионные группы Ил-2 с пушками 37 мм или на полк давать 6 таких самолетов».</w:t>
      </w:r>
    </w:p>
    <w:p w14:paraId="240C4A78"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Его поддержал старший сержант Зыков: «Как противотанковый самолет, применять следует, но устранить недостатки, отмеченные в отзыве ст. сер</w:t>
      </w:r>
      <w:r w:rsidRPr="00D03F3E">
        <w:rPr>
          <w:color w:val="000000" w:themeColor="text1"/>
          <w:sz w:val="16"/>
          <w:szCs w:val="16"/>
        </w:rPr>
        <w:softHyphen/>
        <w:t>жанта Юсова».</w:t>
      </w:r>
    </w:p>
    <w:p w14:paraId="0691AF0B"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Надо полагать, с учетом этого в заключении «Доклада о войсковых испытаниях на боевое при</w:t>
      </w:r>
      <w:r w:rsidRPr="00D03F3E">
        <w:rPr>
          <w:color w:val="000000" w:themeColor="text1"/>
          <w:sz w:val="16"/>
          <w:szCs w:val="16"/>
        </w:rPr>
        <w:softHyphen/>
        <w:t>менение самолетов Ил-2 АМ-38, вооруженных 37-мм пушками конструкции ОКБ-15» было записа</w:t>
      </w:r>
      <w:r w:rsidRPr="00D03F3E">
        <w:rPr>
          <w:color w:val="000000" w:themeColor="text1"/>
          <w:sz w:val="16"/>
          <w:szCs w:val="16"/>
        </w:rPr>
        <w:softHyphen/>
        <w:t>но: «1. Самолеты с пушками ШФК-37, испытанные на боевое применение, не дали должной эффективно</w:t>
      </w:r>
      <w:r w:rsidRPr="00D03F3E">
        <w:rPr>
          <w:color w:val="000000" w:themeColor="text1"/>
          <w:sz w:val="16"/>
          <w:szCs w:val="16"/>
        </w:rPr>
        <w:softHyphen/>
        <w:t>сти в связи с недоработкой пушек, невозможности ведения прицельного огня по точечным целям, большим рассеиванием снарядов и ухудшением маневренности самолета. 2. Считать необходимым иметь на вооружении ВВС КА самолеты Ил-2 с пуш</w:t>
      </w:r>
      <w:r w:rsidRPr="00D03F3E">
        <w:rPr>
          <w:color w:val="000000" w:themeColor="text1"/>
          <w:sz w:val="16"/>
          <w:szCs w:val="16"/>
        </w:rPr>
        <w:softHyphen/>
        <w:t>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1DF4FD7C"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Помимо боевых летчиков от 688-го шап и чле</w:t>
      </w:r>
      <w:r w:rsidRPr="00D03F3E">
        <w:rPr>
          <w:color w:val="000000" w:themeColor="text1"/>
          <w:sz w:val="16"/>
          <w:szCs w:val="16"/>
        </w:rPr>
        <w:softHyphen/>
        <w:t>нов комиссии по войсковым испытаниям, доклад подписали командующий 16 ВА генерал-майор С. И. Руденко и начальник НИИ ВВС генерал-майор П. А. Лосюков. Доклад утвердил главный инженер ВВС КА генерал-лейтенант А. К. Репин 3 марта 1943 г.</w:t>
      </w:r>
    </w:p>
    <w:p w14:paraId="5AAD3245"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Уже 8 марта 1943 г. начальник 1-го отдела УЗ- СиМ ГУЗ ВВС инженер-полковник Ковалев в до</w:t>
      </w:r>
      <w:r w:rsidRPr="00D03F3E">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D03F3E">
        <w:rPr>
          <w:color w:val="000000" w:themeColor="text1"/>
          <w:sz w:val="16"/>
          <w:szCs w:val="16"/>
        </w:rPr>
        <w:softHyphen/>
        <w:t>вых испытаний самолетов Ил-2 с ШФК-37 37-мм пушки подлежат конструктивной доводке».</w:t>
      </w:r>
    </w:p>
    <w:p w14:paraId="416E720F"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 ского, участвовавшего в войсковых испытаниях пу</w:t>
      </w:r>
      <w:r w:rsidRPr="00D03F3E">
        <w:rPr>
          <w:color w:val="000000" w:themeColor="text1"/>
          <w:sz w:val="16"/>
          <w:szCs w:val="16"/>
        </w:rPr>
        <w:softHyphen/>
        <w:t>шек ШФК-37 на самолетах Ил-2».</w:t>
      </w:r>
    </w:p>
    <w:p w14:paraId="451A7FFE" w14:textId="77777777" w:rsidR="00362D61" w:rsidRPr="00D03F3E" w:rsidRDefault="00362D6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Ознакомившись с материалами отчета Тишев- 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D03F3E">
        <w:rPr>
          <w:color w:val="000000" w:themeColor="text1"/>
          <w:sz w:val="16"/>
          <w:szCs w:val="16"/>
        </w:rPr>
        <w:softHyphen/>
        <w:t>готовить справку о ходе испытаний пушек калибра 37 мм ОКБ-16 на самолетах Ил-2 (17500).</w:t>
      </w:r>
    </w:p>
    <w:p w14:paraId="24AD053F" w14:textId="77777777" w:rsidR="00362D61" w:rsidRPr="00D03F3E" w:rsidRDefault="00362D61" w:rsidP="00D03F3E">
      <w:pPr>
        <w:pStyle w:val="12a"/>
        <w:shd w:val="clear" w:color="auto" w:fill="auto"/>
        <w:spacing w:after="0" w:line="240" w:lineRule="auto"/>
        <w:jc w:val="both"/>
        <w:rPr>
          <w:color w:val="000000" w:themeColor="text1"/>
          <w:sz w:val="16"/>
          <w:szCs w:val="16"/>
        </w:rPr>
      </w:pPr>
    </w:p>
    <w:p w14:paraId="1CAF10CA"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и 21 апреля 1943 г. с целью улучшения качества прозрач</w:t>
      </w:r>
      <w:r w:rsidRPr="00D03F3E">
        <w:rPr>
          <w:rFonts w:ascii="Times New Roman" w:hAnsi="Times New Roman"/>
          <w:color w:val="000000" w:themeColor="text1"/>
          <w:sz w:val="16"/>
          <w:szCs w:val="16"/>
        </w:rPr>
        <w:softHyphen/>
        <w:t>ной брони для самолетов ВВС КА вышли постановления ГОКО, согласно которым наркоматы химической про</w:t>
      </w:r>
      <w:r w:rsidRPr="00D03F3E">
        <w:rPr>
          <w:rFonts w:ascii="Times New Roman" w:hAnsi="Times New Roman"/>
          <w:color w:val="000000" w:themeColor="text1"/>
          <w:sz w:val="16"/>
          <w:szCs w:val="16"/>
        </w:rPr>
        <w:softHyphen/>
        <w:t>мышленности и промышленности строитель</w:t>
      </w:r>
      <w:r w:rsidRPr="00D03F3E">
        <w:rPr>
          <w:rFonts w:ascii="Times New Roman" w:hAnsi="Times New Roman"/>
          <w:color w:val="000000" w:themeColor="text1"/>
          <w:sz w:val="16"/>
          <w:szCs w:val="16"/>
        </w:rPr>
        <w:softHyphen/>
        <w:t>ных материалов обязывались предъявить в НИИ ВВС КА на испытания ряд опытных образ</w:t>
      </w:r>
      <w:r w:rsidRPr="00D03F3E">
        <w:rPr>
          <w:rFonts w:ascii="Times New Roman" w:hAnsi="Times New Roman"/>
          <w:color w:val="000000" w:themeColor="text1"/>
          <w:sz w:val="16"/>
          <w:szCs w:val="16"/>
        </w:rPr>
        <w:softHyphen/>
        <w:t>цов прозрачной брони.</w:t>
      </w:r>
    </w:p>
    <w:p w14:paraId="0323D321"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По постановлению от 10 января НКПСМ должен был к 1 февраля 1943 г. предъявить 50 комплектов козырьков с уменьшенной тол</w:t>
      </w:r>
      <w:r w:rsidRPr="00D03F3E">
        <w:rPr>
          <w:rFonts w:ascii="Times New Roman" w:hAnsi="Times New Roman"/>
          <w:color w:val="000000" w:themeColor="text1"/>
          <w:sz w:val="16"/>
          <w:szCs w:val="16"/>
        </w:rPr>
        <w:softHyphen/>
        <w:t>щиной органической подушки, а НКХП - 30 комплектов серийных образцов с покровным стеклом из тонкого силикатного стекла и 30 комплектов с покровным стеклом из тонкого органического стекла. К 5 февраля Нарком- химпром обязывался представить 50 комплек</w:t>
      </w:r>
      <w:r w:rsidRPr="00D03F3E">
        <w:rPr>
          <w:rFonts w:ascii="Times New Roman" w:hAnsi="Times New Roman"/>
          <w:color w:val="000000" w:themeColor="text1"/>
          <w:sz w:val="16"/>
          <w:szCs w:val="16"/>
        </w:rPr>
        <w:softHyphen/>
        <w:t>тов брони с применением таблеток из стекла БС вместо сталинита и с покровным стеклом.</w:t>
      </w:r>
    </w:p>
    <w:p w14:paraId="10673FE1"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второму постановлению НКХП ста</w:t>
      </w:r>
      <w:r w:rsidRPr="00D03F3E">
        <w:rPr>
          <w:rFonts w:ascii="Times New Roman" w:hAnsi="Times New Roman"/>
          <w:color w:val="000000" w:themeColor="text1"/>
          <w:sz w:val="16"/>
          <w:szCs w:val="16"/>
        </w:rPr>
        <w:softHyphen/>
        <w:t>вилась задача изготовить опытные образцы прозрачной брони с применением вместо та</w:t>
      </w:r>
      <w:r w:rsidRPr="00D03F3E">
        <w:rPr>
          <w:rFonts w:ascii="Times New Roman" w:hAnsi="Times New Roman"/>
          <w:color w:val="000000" w:themeColor="text1"/>
          <w:sz w:val="16"/>
          <w:szCs w:val="16"/>
        </w:rPr>
        <w:softHyphen/>
        <w:t>блеток сталинита сплошного сырого силикат</w:t>
      </w:r>
      <w:r w:rsidRPr="00D03F3E">
        <w:rPr>
          <w:rFonts w:ascii="Times New Roman" w:hAnsi="Times New Roman"/>
          <w:color w:val="000000" w:themeColor="text1"/>
          <w:sz w:val="16"/>
          <w:szCs w:val="16"/>
        </w:rPr>
        <w:softHyphen/>
        <w:t>ного стекла на стандартной 30-мм подушке органического стекла. Одновременно необхо</w:t>
      </w:r>
      <w:r w:rsidRPr="00D03F3E">
        <w:rPr>
          <w:rFonts w:ascii="Times New Roman" w:hAnsi="Times New Roman"/>
          <w:color w:val="000000" w:themeColor="text1"/>
          <w:sz w:val="16"/>
          <w:szCs w:val="16"/>
        </w:rPr>
        <w:softHyphen/>
        <w:t>димо было предъявить на ис</w:t>
      </w:r>
      <w:r w:rsidRPr="00D03F3E">
        <w:rPr>
          <w:rFonts w:ascii="Times New Roman" w:hAnsi="Times New Roman"/>
          <w:color w:val="000000" w:themeColor="text1"/>
          <w:sz w:val="16"/>
          <w:szCs w:val="16"/>
        </w:rPr>
        <w:softHyphen/>
        <w:t>пытания образцы прозрачной брони с покровным стеклом из тонкого силикатного стекла и с покровным стеклом из тонкого органического стекла (то же, что и по первому постановле</w:t>
      </w:r>
      <w:r w:rsidRPr="00D03F3E">
        <w:rPr>
          <w:rFonts w:ascii="Times New Roman" w:hAnsi="Times New Roman"/>
          <w:color w:val="000000" w:themeColor="text1"/>
          <w:sz w:val="16"/>
          <w:szCs w:val="16"/>
        </w:rPr>
        <w:softHyphen/>
        <w:t>нию), а также серийные образ</w:t>
      </w:r>
      <w:r w:rsidRPr="00D03F3E">
        <w:rPr>
          <w:rFonts w:ascii="Times New Roman" w:hAnsi="Times New Roman"/>
          <w:color w:val="000000" w:themeColor="text1"/>
          <w:sz w:val="16"/>
          <w:szCs w:val="16"/>
        </w:rPr>
        <w:softHyphen/>
        <w:t>цы, склеенные на метилакри- латной пленке типа МА. Срок подачи на испытания устанав</w:t>
      </w:r>
      <w:r w:rsidRPr="00D03F3E">
        <w:rPr>
          <w:rFonts w:ascii="Times New Roman" w:hAnsi="Times New Roman"/>
          <w:color w:val="000000" w:themeColor="text1"/>
          <w:sz w:val="16"/>
          <w:szCs w:val="16"/>
        </w:rPr>
        <w:softHyphen/>
        <w:t>ливался 15 мая 1943 г.</w:t>
      </w:r>
    </w:p>
    <w:p w14:paraId="640A58A1"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Отметим, что к этому времени специалисты ВИАМ установили положительное влияние металлической обоймы на стойкость прозрачной брони. Поэтому все образцы про</w:t>
      </w:r>
      <w:r w:rsidRPr="00D03F3E">
        <w:rPr>
          <w:rFonts w:ascii="Times New Roman" w:hAnsi="Times New Roman"/>
          <w:color w:val="000000" w:themeColor="text1"/>
          <w:sz w:val="16"/>
          <w:szCs w:val="16"/>
        </w:rPr>
        <w:softHyphen/>
        <w:t>зрачной брони следовало изготовить в метал</w:t>
      </w:r>
      <w:r w:rsidRPr="00D03F3E">
        <w:rPr>
          <w:rFonts w:ascii="Times New Roman" w:hAnsi="Times New Roman"/>
          <w:color w:val="000000" w:themeColor="text1"/>
          <w:sz w:val="16"/>
          <w:szCs w:val="16"/>
        </w:rPr>
        <w:softHyphen/>
        <w:t>лической рамке (17481).</w:t>
      </w:r>
    </w:p>
    <w:p w14:paraId="7BF70AAD" w14:textId="77777777" w:rsidR="00E56A12" w:rsidRPr="00D03F3E" w:rsidRDefault="00E56A12" w:rsidP="00D03F3E">
      <w:pPr>
        <w:spacing w:after="0" w:line="240" w:lineRule="auto"/>
        <w:jc w:val="both"/>
        <w:rPr>
          <w:rFonts w:ascii="Times New Roman" w:hAnsi="Times New Roman"/>
          <w:color w:val="000000" w:themeColor="text1"/>
          <w:sz w:val="16"/>
          <w:szCs w:val="16"/>
        </w:rPr>
      </w:pPr>
    </w:p>
    <w:p w14:paraId="4F61882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ГКО поручило 292 заводу перейти на них полностью к апрелю 1943. Не пошло (198,53).</w:t>
      </w:r>
    </w:p>
    <w:p w14:paraId="6BB1435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72490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вышло решение ГКО N ГОКО-2727сс, которое обязало завод 153 выпустить 40 Як-7 с двойным управлением для школ ВВС КА (2519).</w:t>
      </w:r>
    </w:p>
    <w:p w14:paraId="5D67C63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2CFD4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10 января по 12 февраля 1943 в НИПАВ (научно-испытательный полигон авиационного вооружения) проходили испытания вооружения на Як-9Т с НС-37. Пушка выступала на 160 мм (65,116).</w:t>
      </w:r>
    </w:p>
    <w:p w14:paraId="65FE8FC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в ОКБ А.С.Я. был построен Як-9Т с НС-37 (65,116).</w:t>
      </w:r>
    </w:p>
    <w:p w14:paraId="71DF65B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4D1650" w14:textId="77777777" w:rsidR="00D971BC" w:rsidRPr="00D03F3E" w:rsidRDefault="00D971B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период с 10 января по 12 февраля в НИП АВ ВВС и с 15 февраля по 4 марта 1943 г. в НИИ ВВС в целом успешно прошли полигонные и летные ис</w:t>
      </w:r>
      <w:r w:rsidRPr="00D03F3E">
        <w:rPr>
          <w:color w:val="000000" w:themeColor="text1"/>
          <w:sz w:val="16"/>
          <w:szCs w:val="16"/>
        </w:rPr>
        <w:softHyphen/>
        <w:t>пытания Як-9т с пушкой МП-37 (моторный вариант пушки 11П). Акты по результатам испытаний глав</w:t>
      </w:r>
      <w:r w:rsidRPr="00D03F3E">
        <w:rPr>
          <w:color w:val="000000" w:themeColor="text1"/>
          <w:sz w:val="16"/>
          <w:szCs w:val="16"/>
        </w:rPr>
        <w:softHyphen/>
        <w:t>ный инженер ВВС генерал-лейтенант А. К. Репин утвердил соответственно 19 февраля и 21 марта 1943 г.</w:t>
      </w:r>
    </w:p>
    <w:p w14:paraId="025DBAD5" w14:textId="77777777" w:rsidR="00D971BC" w:rsidRPr="00D03F3E" w:rsidRDefault="00D971B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 НИИ АВ самолет испытывали инженер-ка</w:t>
      </w:r>
      <w:r w:rsidRPr="00D03F3E">
        <w:rPr>
          <w:color w:val="000000" w:themeColor="text1"/>
          <w:sz w:val="16"/>
          <w:szCs w:val="16"/>
        </w:rPr>
        <w:softHyphen/>
        <w:t>питан В. М. Монич и летчик-испытатель капитан А. В. Кусакин, от НИИ ВВС — инженер-капитан А. Т. Степанец, инженер-майор Л. И. Лось и лет</w:t>
      </w:r>
      <w:r w:rsidRPr="00D03F3E">
        <w:rPr>
          <w:color w:val="000000" w:themeColor="text1"/>
          <w:sz w:val="16"/>
          <w:szCs w:val="16"/>
        </w:rPr>
        <w:softHyphen/>
        <w:t>чик-испытатель майор В. И. Хомяков.</w:t>
      </w:r>
    </w:p>
    <w:p w14:paraId="60D52098" w14:textId="77777777" w:rsidR="00D971BC" w:rsidRPr="00D03F3E" w:rsidRDefault="00D971B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общей сложности по программе испытаний на Як-9т было выполнено 34 полета с суммарным на</w:t>
      </w:r>
      <w:r w:rsidRPr="00D03F3E">
        <w:rPr>
          <w:color w:val="000000" w:themeColor="text1"/>
          <w:sz w:val="16"/>
          <w:szCs w:val="16"/>
        </w:rPr>
        <w:softHyphen/>
        <w:t>летом 16 ч 21 мин, в том числе 19 полетов (6 ч) — в НИИ АВ и 15 полетов (10 ч 21 мин) — в НИИ ВВС.</w:t>
      </w:r>
    </w:p>
    <w:p w14:paraId="6B504F4B" w14:textId="77777777" w:rsidR="00D971BC" w:rsidRPr="00D03F3E" w:rsidRDefault="00D971B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и на ЛаГГ-3, пушка МП-37 располагалась в развале блока цилиндров мотора для стрельбы через полый вал редуктора и втулку винта. Ствол выступал из кока винта на 160 мм. Установка пу</w:t>
      </w:r>
      <w:r w:rsidRPr="00D03F3E">
        <w:rPr>
          <w:color w:val="000000" w:themeColor="text1"/>
          <w:sz w:val="16"/>
          <w:szCs w:val="16"/>
        </w:rPr>
        <w:softHyphen/>
        <w:t>лемета УБС оставалась без изменений. Емкость па</w:t>
      </w:r>
      <w:r w:rsidRPr="00D03F3E">
        <w:rPr>
          <w:color w:val="000000" w:themeColor="text1"/>
          <w:sz w:val="16"/>
          <w:szCs w:val="16"/>
        </w:rPr>
        <w:softHyphen/>
        <w:t>тронных ящиков составляла: 30—32 снаряда для пушки и 200—220 патронов для пулемета. Питание пушки от рассыпной ленты из металлических зве</w:t>
      </w:r>
      <w:r w:rsidRPr="00D03F3E">
        <w:rPr>
          <w:color w:val="000000" w:themeColor="text1"/>
          <w:sz w:val="16"/>
          <w:szCs w:val="16"/>
        </w:rPr>
        <w:softHyphen/>
        <w:t>ньев. Гильзы и звенья собирались в отсеке под пуш</w:t>
      </w:r>
      <w:r w:rsidRPr="00D03F3E">
        <w:rPr>
          <w:color w:val="000000" w:themeColor="text1"/>
          <w:sz w:val="16"/>
          <w:szCs w:val="16"/>
        </w:rPr>
        <w:softHyphen/>
        <w:t>кой. Перезарядка пушки пневматическая. Управле</w:t>
      </w:r>
      <w:r w:rsidRPr="00D03F3E">
        <w:rPr>
          <w:color w:val="000000" w:themeColor="text1"/>
          <w:sz w:val="16"/>
          <w:szCs w:val="16"/>
        </w:rPr>
        <w:softHyphen/>
        <w:t>ние огнем — электропневматическое при помощи кнопки, расположенной на ручке управления. При</w:t>
      </w:r>
      <w:r w:rsidRPr="00D03F3E">
        <w:rPr>
          <w:color w:val="000000" w:themeColor="text1"/>
          <w:sz w:val="16"/>
          <w:szCs w:val="16"/>
        </w:rPr>
        <w:softHyphen/>
        <w:t>целивание при стрельбе выполнялось при помощи механического кольцевого прицела внутри каби</w:t>
      </w:r>
      <w:r w:rsidRPr="00D03F3E">
        <w:rPr>
          <w:color w:val="000000" w:themeColor="text1"/>
          <w:sz w:val="16"/>
          <w:szCs w:val="16"/>
        </w:rPr>
        <w:softHyphen/>
        <w:t>ны летчика и мушки на фюзеляже перед броне- козырьком. Для стрельбы по наземным целям на передней кромке крыла имелись метки, которые обеспечивали постоянство ввода самолета в пики</w:t>
      </w:r>
      <w:r w:rsidRPr="00D03F3E">
        <w:rPr>
          <w:color w:val="000000" w:themeColor="text1"/>
          <w:sz w:val="16"/>
          <w:szCs w:val="16"/>
        </w:rPr>
        <w:softHyphen/>
        <w:t>рование и необходимую дистанцию для открытия огня.</w:t>
      </w:r>
    </w:p>
    <w:p w14:paraId="02FEEC8E" w14:textId="77777777" w:rsidR="00D971BC" w:rsidRPr="00D03F3E" w:rsidRDefault="00D971B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Установка достаточно габаритной и тяжелой пушки МП-37 (вес пушки с установкой — 182,2 кг, вес боекомплекта — 52,8 кг) с большой силой от</w:t>
      </w:r>
      <w:r w:rsidRPr="00D03F3E">
        <w:rPr>
          <w:color w:val="000000" w:themeColor="text1"/>
          <w:sz w:val="16"/>
          <w:szCs w:val="16"/>
        </w:rPr>
        <w:softHyphen/>
        <w:t>дачи (по данным НИИ АВ, около 5500 кг) потребо</w:t>
      </w:r>
      <w:r w:rsidRPr="00D03F3E">
        <w:rPr>
          <w:color w:val="000000" w:themeColor="text1"/>
          <w:sz w:val="16"/>
          <w:szCs w:val="16"/>
        </w:rPr>
        <w:softHyphen/>
        <w:t>вала внесения в конструкцию Як-9т ряда серьезных изменений. Был усилен силовой каркас фюзеляжа в его передней части. Для сохранения центров</w:t>
      </w:r>
      <w:r w:rsidRPr="00D03F3E">
        <w:rPr>
          <w:color w:val="000000" w:themeColor="text1"/>
          <w:sz w:val="16"/>
          <w:szCs w:val="16"/>
        </w:rPr>
        <w:softHyphen/>
        <w:t>ки в допустимых пределах кабина летчика была сдвинута назад на 400 мм (как это было сделано на Як-7-37). Вес пустого самолета возрос до 2298 кг. Полетный вес при запасе топлива 330 кг составил 3025 кг.</w:t>
      </w:r>
    </w:p>
    <w:p w14:paraId="08C5C441" w14:textId="77777777" w:rsidR="00D971BC" w:rsidRPr="00D03F3E" w:rsidRDefault="00D971B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После всех доработок обзор летчику вперед- вниз, что было важно при взлете и посадке, ухуд</w:t>
      </w:r>
      <w:r w:rsidRPr="00D03F3E">
        <w:rPr>
          <w:color w:val="000000" w:themeColor="text1"/>
          <w:sz w:val="16"/>
          <w:szCs w:val="16"/>
        </w:rPr>
        <w:softHyphen/>
        <w:t>шился, но полученное при этом некоторое смеще</w:t>
      </w:r>
      <w:r w:rsidRPr="00D03F3E">
        <w:rPr>
          <w:color w:val="000000" w:themeColor="text1"/>
          <w:sz w:val="16"/>
          <w:szCs w:val="16"/>
        </w:rPr>
        <w:softHyphen/>
        <w:t>ние назад центровки уменьшило моменты инерции самолета. По сравнению с обычными «девятками» Як-9т стал менее инертным, что позволяло летчи</w:t>
      </w:r>
      <w:r w:rsidRPr="00D03F3E">
        <w:rPr>
          <w:color w:val="000000" w:themeColor="text1"/>
          <w:sz w:val="16"/>
          <w:szCs w:val="16"/>
        </w:rPr>
        <w:softHyphen/>
        <w:t>ку эффективно маневрировать в воздушном бою с противником.</w:t>
      </w:r>
    </w:p>
    <w:p w14:paraId="26069BBA" w14:textId="77777777" w:rsidR="00D971BC" w:rsidRPr="00D03F3E" w:rsidRDefault="00D971B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Максимальная скорость у земли составила 533 км/ч, на высоте 3930 м — 597 км/ч, на 5000 м — 585 км/ч. Время подъема на высоту 5000 м — 5,5 мин. Время виража на высоте 1000 м — 19 сек (ра</w:t>
      </w:r>
      <w:r w:rsidRPr="00D03F3E">
        <w:rPr>
          <w:color w:val="000000" w:themeColor="text1"/>
          <w:sz w:val="16"/>
          <w:szCs w:val="16"/>
        </w:rPr>
        <w:softHyphen/>
        <w:t>диус виража 305 м). Набор высоты за боевой разво</w:t>
      </w:r>
      <w:r w:rsidRPr="00D03F3E">
        <w:rPr>
          <w:color w:val="000000" w:themeColor="text1"/>
          <w:sz w:val="16"/>
          <w:szCs w:val="16"/>
        </w:rPr>
        <w:softHyphen/>
        <w:t>рот с высоты 1000 м не превышал 1100 м.</w:t>
      </w:r>
    </w:p>
    <w:p w14:paraId="6690FC2F" w14:textId="77777777" w:rsidR="00D971BC" w:rsidRPr="00D03F3E" w:rsidRDefault="00D971B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По мнению летчиков-испытателей, Як-9т по своим летно-пилотажным данным стоял на уровне двухбачного самолета Як-9, несколько уступая ему в вертикальном маневре и намного превосходя по мощности огня При сравнении с пятиточечным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 «тан</w:t>
      </w:r>
      <w:r w:rsidRPr="00D03F3E">
        <w:rPr>
          <w:color w:val="000000" w:themeColor="text1"/>
          <w:sz w:val="16"/>
          <w:szCs w:val="16"/>
        </w:rPr>
        <w:softHyphen/>
        <w:t>ковый» Як-9т имел преимущество в горизонтальной скорости до высоты 4600 м. На высоте 4600 м ско</w:t>
      </w:r>
      <w:r w:rsidRPr="00D03F3E">
        <w:rPr>
          <w:color w:val="000000" w:themeColor="text1"/>
          <w:sz w:val="16"/>
          <w:szCs w:val="16"/>
        </w:rPr>
        <w:softHyphen/>
        <w:t xml:space="preserve">рости были одинаковыми, а выше преимущество переходило к «Мессершмитту». По горизонтальной маневренности Як-9т имел явное преимущество перед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 до высоты 5000 м за счет меньших радиуса и времени виража. На вертикальном ма</w:t>
      </w:r>
      <w:r w:rsidRPr="00D03F3E">
        <w:rPr>
          <w:color w:val="000000" w:themeColor="text1"/>
          <w:sz w:val="16"/>
          <w:szCs w:val="16"/>
        </w:rPr>
        <w:softHyphen/>
        <w:t>невре превосходство Як-9т сохранялось до высо</w:t>
      </w:r>
      <w:r w:rsidRPr="00D03F3E">
        <w:rPr>
          <w:color w:val="000000" w:themeColor="text1"/>
          <w:sz w:val="16"/>
          <w:szCs w:val="16"/>
        </w:rPr>
        <w:softHyphen/>
        <w:t xml:space="preserve">ты 3000 м, на высотах 3000—4500 м возможности самолетов были одинаковы, а выше преимущество переходило к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w:t>
      </w:r>
    </w:p>
    <w:p w14:paraId="63278EEC" w14:textId="77777777" w:rsidR="00D971BC" w:rsidRPr="00D03F3E" w:rsidRDefault="00D971B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известно, немецкий истребитель имел тя</w:t>
      </w:r>
      <w:r w:rsidRPr="00D03F3E">
        <w:rPr>
          <w:color w:val="000000" w:themeColor="text1"/>
          <w:sz w:val="16"/>
          <w:szCs w:val="16"/>
        </w:rPr>
        <w:softHyphen/>
        <w:t>желое управление и при перетягивании ручки сва</w:t>
      </w:r>
      <w:r w:rsidRPr="00D03F3E">
        <w:rPr>
          <w:color w:val="000000" w:themeColor="text1"/>
          <w:sz w:val="16"/>
          <w:szCs w:val="16"/>
        </w:rPr>
        <w:softHyphen/>
        <w:t>ливался в штопор. На пикировании он несколько уходил от Як-9т, однако на выходе из пикирова</w:t>
      </w:r>
      <w:r w:rsidRPr="00D03F3E">
        <w:rPr>
          <w:color w:val="000000" w:themeColor="text1"/>
          <w:sz w:val="16"/>
          <w:szCs w:val="16"/>
        </w:rPr>
        <w:softHyphen/>
        <w:t>ния требовал от летчика очень больших усилий, и поэтому вывод получался не энергичным, с рас</w:t>
      </w:r>
      <w:r w:rsidRPr="00D03F3E">
        <w:rPr>
          <w:color w:val="000000" w:themeColor="text1"/>
          <w:sz w:val="16"/>
          <w:szCs w:val="16"/>
        </w:rPr>
        <w:softHyphen/>
        <w:t>тянутой по времени и пространству траектори</w:t>
      </w:r>
      <w:r w:rsidRPr="00D03F3E">
        <w:rPr>
          <w:color w:val="000000" w:themeColor="text1"/>
          <w:sz w:val="16"/>
          <w:szCs w:val="16"/>
        </w:rPr>
        <w:softHyphen/>
        <w:t xml:space="preserve">ей. Эти обстоятельства позволяли летчику Як-9т уверенно атаковать «мессер» за счет упреждения на выходе из пикирования и на горке. К тому же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 имел плохой обзор задней полусферы, что повышало шансы Як-9т на победу в воздуш</w:t>
      </w:r>
      <w:r w:rsidRPr="00D03F3E">
        <w:rPr>
          <w:color w:val="000000" w:themeColor="text1"/>
          <w:sz w:val="16"/>
          <w:szCs w:val="16"/>
        </w:rPr>
        <w:softHyphen/>
        <w:t>ном бою.</w:t>
      </w:r>
    </w:p>
    <w:p w14:paraId="7FA2CED8" w14:textId="77777777" w:rsidR="00D971BC" w:rsidRPr="00D03F3E" w:rsidRDefault="00D971B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Наиболее выгодными дистанциями стрель</w:t>
      </w:r>
      <w:r w:rsidRPr="00D03F3E">
        <w:rPr>
          <w:color w:val="000000" w:themeColor="text1"/>
          <w:sz w:val="16"/>
          <w:szCs w:val="16"/>
        </w:rPr>
        <w:softHyphen/>
        <w:t>бы из пушки МП-37 считались 400—100 м — при действии по истребителям и 600—500 м — по бомбардировщикам. По плотному строю бомбар</w:t>
      </w:r>
      <w:r w:rsidRPr="00D03F3E">
        <w:rPr>
          <w:color w:val="000000" w:themeColor="text1"/>
          <w:sz w:val="16"/>
          <w:szCs w:val="16"/>
        </w:rPr>
        <w:softHyphen/>
        <w:t>дировщиков допускалась стрельба с дистанции 1000—1200 м с использованием осколочно-зажига- тельных снарядов с самоликвидацией.</w:t>
      </w:r>
    </w:p>
    <w:p w14:paraId="23E62FE1" w14:textId="77777777" w:rsidR="00D971BC" w:rsidRPr="00D03F3E" w:rsidRDefault="00D971B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Отмечалось, что схема вооружения Як-9т — пушка МП-37 калибра 37 мм и пулемет УБС — весьма выгодна в тактическом плане, так как одно попадание осколочно-зажигательного снаряда в самолет приводило к его полному разрушению, а наличие эффективного бронебойного снаряда позволяло наносить результативные удары по лег</w:t>
      </w:r>
      <w:r w:rsidRPr="00D03F3E">
        <w:rPr>
          <w:color w:val="000000" w:themeColor="text1"/>
          <w:sz w:val="16"/>
          <w:szCs w:val="16"/>
        </w:rPr>
        <w:softHyphen/>
        <w:t>ким и средним танкам противника. Возможность атаки танков под углом пикирования 40—50° обе</w:t>
      </w:r>
      <w:r w:rsidRPr="00D03F3E">
        <w:rPr>
          <w:color w:val="000000" w:themeColor="text1"/>
          <w:sz w:val="16"/>
          <w:szCs w:val="16"/>
        </w:rPr>
        <w:softHyphen/>
        <w:t>спечивала наилучшие условия для поражения тан</w:t>
      </w:r>
      <w:r w:rsidRPr="00D03F3E">
        <w:rPr>
          <w:color w:val="000000" w:themeColor="text1"/>
          <w:sz w:val="16"/>
          <w:szCs w:val="16"/>
        </w:rPr>
        <w:softHyphen/>
        <w:t>ков в горизонтальную броню (надмоторная броня и крыша башни) толщиной до 30 мм. При этом дис</w:t>
      </w:r>
      <w:r w:rsidRPr="00D03F3E">
        <w:rPr>
          <w:color w:val="000000" w:themeColor="text1"/>
          <w:sz w:val="16"/>
          <w:szCs w:val="16"/>
        </w:rPr>
        <w:softHyphen/>
        <w:t>танция прекращения стрельбы вполне обеспечива</w:t>
      </w:r>
      <w:r w:rsidRPr="00D03F3E">
        <w:rPr>
          <w:color w:val="000000" w:themeColor="text1"/>
          <w:sz w:val="16"/>
          <w:szCs w:val="16"/>
        </w:rPr>
        <w:softHyphen/>
        <w:t>ла безопасный вывод из пикирования.</w:t>
      </w:r>
    </w:p>
    <w:p w14:paraId="50C78482" w14:textId="77777777" w:rsidR="00D971BC" w:rsidRPr="00D03F3E" w:rsidRDefault="00D971B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Однако при стрельбе из МП-37 на скоростях менее 300—350 км/ч по прибору из-за сильной отдачи пушки самолет раскачивался. Прицельным получался только первый выстрел, а все последу</w:t>
      </w:r>
      <w:r w:rsidRPr="00D03F3E">
        <w:rPr>
          <w:color w:val="000000" w:themeColor="text1"/>
          <w:sz w:val="16"/>
          <w:szCs w:val="16"/>
        </w:rPr>
        <w:softHyphen/>
        <w:t>ющие снаряды разбрасывались. Самолет сбивался с линии прицеливания, опуская нос, что вызывало недолеты при стрельбе по наземным целям и сни</w:t>
      </w:r>
      <w:r w:rsidRPr="00D03F3E">
        <w:rPr>
          <w:color w:val="000000" w:themeColor="text1"/>
          <w:sz w:val="16"/>
          <w:szCs w:val="16"/>
        </w:rPr>
        <w:softHyphen/>
        <w:t>жение трассы — при стрельбе по воздушным це</w:t>
      </w:r>
      <w:r w:rsidRPr="00D03F3E">
        <w:rPr>
          <w:color w:val="000000" w:themeColor="text1"/>
          <w:sz w:val="16"/>
          <w:szCs w:val="16"/>
        </w:rPr>
        <w:softHyphen/>
        <w:t>лям. Для продолжения стрельбы необходимо было восстанавливать прицеливание.</w:t>
      </w:r>
    </w:p>
    <w:p w14:paraId="11334ACB" w14:textId="77777777" w:rsidR="00D971BC" w:rsidRPr="00D03F3E" w:rsidRDefault="00D971B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этом с увеличением скорости полета и уменьшением длины очереди сила отдачи пушки в меньшей степени оказывала влияние на устойчи</w:t>
      </w:r>
      <w:r w:rsidRPr="00D03F3E">
        <w:rPr>
          <w:color w:val="000000" w:themeColor="text1"/>
          <w:sz w:val="16"/>
          <w:szCs w:val="16"/>
        </w:rPr>
        <w:softHyphen/>
        <w:t>вость полета самолета.</w:t>
      </w:r>
    </w:p>
    <w:p w14:paraId="77C8FFDF" w14:textId="77777777" w:rsidR="00D971BC" w:rsidRPr="00D03F3E" w:rsidRDefault="00D971B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Учитывая ограниченность бое</w:t>
      </w:r>
      <w:r w:rsidRPr="00D03F3E">
        <w:rPr>
          <w:color w:val="000000" w:themeColor="text1"/>
          <w:sz w:val="16"/>
          <w:szCs w:val="16"/>
        </w:rPr>
        <w:softHyphen/>
        <w:t>комплекта, стрельбу из пушки МП-37 рекомендовалось вести только ко</w:t>
      </w:r>
      <w:r w:rsidRPr="00D03F3E">
        <w:rPr>
          <w:color w:val="000000" w:themeColor="text1"/>
          <w:sz w:val="16"/>
          <w:szCs w:val="16"/>
        </w:rPr>
        <w:softHyphen/>
        <w:t>роткими очередями по 1—2, макси</w:t>
      </w:r>
      <w:r w:rsidRPr="00D03F3E">
        <w:rPr>
          <w:color w:val="000000" w:themeColor="text1"/>
          <w:sz w:val="16"/>
          <w:szCs w:val="16"/>
        </w:rPr>
        <w:softHyphen/>
        <w:t>мум 3 снаряда, при скоростях, близ</w:t>
      </w:r>
      <w:r w:rsidRPr="00D03F3E">
        <w:rPr>
          <w:color w:val="000000" w:themeColor="text1"/>
          <w:sz w:val="16"/>
          <w:szCs w:val="16"/>
        </w:rPr>
        <w:softHyphen/>
        <w:t>ких к максимальной скорости полета. В свою очередь, это условие предъ</w:t>
      </w:r>
      <w:r w:rsidRPr="00D03F3E">
        <w:rPr>
          <w:color w:val="000000" w:themeColor="text1"/>
          <w:sz w:val="16"/>
          <w:szCs w:val="16"/>
        </w:rPr>
        <w:softHyphen/>
        <w:t>являло весьма жесткие требования к уровню летной и стрелковой подго</w:t>
      </w:r>
      <w:r w:rsidRPr="00D03F3E">
        <w:rPr>
          <w:color w:val="000000" w:themeColor="text1"/>
          <w:sz w:val="16"/>
          <w:szCs w:val="16"/>
        </w:rPr>
        <w:softHyphen/>
        <w:t>товки летного состава, летающего на Як-9т. Летчик должен быть своего ро</w:t>
      </w:r>
      <w:r w:rsidRPr="00D03F3E">
        <w:rPr>
          <w:color w:val="000000" w:themeColor="text1"/>
          <w:sz w:val="16"/>
          <w:szCs w:val="16"/>
        </w:rPr>
        <w:softHyphen/>
        <w:t>да воздушным снайпером и мастер</w:t>
      </w:r>
      <w:r w:rsidRPr="00D03F3E">
        <w:rPr>
          <w:color w:val="000000" w:themeColor="text1"/>
          <w:sz w:val="16"/>
          <w:szCs w:val="16"/>
        </w:rPr>
        <w:softHyphen/>
        <w:t>ски владеть техникой пилотирования самолетом.</w:t>
      </w:r>
    </w:p>
    <w:p w14:paraId="750CFBB4" w14:textId="77777777" w:rsidR="00D971BC" w:rsidRPr="00D03F3E" w:rsidRDefault="00D971B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Обращалось внимание на необ</w:t>
      </w:r>
      <w:r w:rsidRPr="00D03F3E">
        <w:rPr>
          <w:color w:val="000000" w:themeColor="text1"/>
          <w:sz w:val="16"/>
          <w:szCs w:val="16"/>
        </w:rPr>
        <w:softHyphen/>
        <w:t>ходимость обеспечения повышенно</w:t>
      </w:r>
      <w:r w:rsidRPr="00D03F3E">
        <w:rPr>
          <w:color w:val="000000" w:themeColor="text1"/>
          <w:sz w:val="16"/>
          <w:szCs w:val="16"/>
        </w:rPr>
        <w:softHyphen/>
        <w:t>го качества производственного ис</w:t>
      </w:r>
      <w:r w:rsidRPr="00D03F3E">
        <w:rPr>
          <w:color w:val="000000" w:themeColor="text1"/>
          <w:sz w:val="16"/>
          <w:szCs w:val="16"/>
        </w:rPr>
        <w:softHyphen/>
        <w:t>полнения самолетов Як-9т с пушкой МП-37, в первую очередь — качества монтажных работ, так как большая отдача при стрельбе приводила к на</w:t>
      </w:r>
      <w:r w:rsidRPr="00D03F3E">
        <w:rPr>
          <w:color w:val="000000" w:themeColor="text1"/>
          <w:sz w:val="16"/>
          <w:szCs w:val="16"/>
        </w:rPr>
        <w:softHyphen/>
        <w:t>рушению соединений трубопроводов, появлению трещин и разрушению от</w:t>
      </w:r>
      <w:r w:rsidRPr="00D03F3E">
        <w:rPr>
          <w:color w:val="000000" w:themeColor="text1"/>
          <w:sz w:val="16"/>
          <w:szCs w:val="16"/>
        </w:rPr>
        <w:softHyphen/>
        <w:t>дельных деталей.</w:t>
      </w:r>
    </w:p>
    <w:p w14:paraId="0E212599" w14:textId="77777777" w:rsidR="00D971BC" w:rsidRPr="00D03F3E" w:rsidRDefault="00D971B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Несмотря на выявленные в хо</w:t>
      </w:r>
      <w:r w:rsidRPr="00D03F3E">
        <w:rPr>
          <w:color w:val="000000" w:themeColor="text1"/>
          <w:sz w:val="16"/>
          <w:szCs w:val="16"/>
        </w:rPr>
        <w:softHyphen/>
        <w:t>де испытаний недостатки установки пушки МП-37 на самолет Як-9т, был сделан вывод, что самолет «испыта</w:t>
      </w:r>
      <w:r w:rsidRPr="00D03F3E">
        <w:rPr>
          <w:color w:val="000000" w:themeColor="text1"/>
          <w:sz w:val="16"/>
          <w:szCs w:val="16"/>
        </w:rPr>
        <w:softHyphen/>
        <w:t>ния выдержал удовлетворительно». Рекомендовалась его массовая серия.</w:t>
      </w:r>
    </w:p>
    <w:p w14:paraId="28AC2624" w14:textId="77777777" w:rsidR="00D971BC" w:rsidRPr="00D03F3E" w:rsidRDefault="00D971B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Отметим, что в НИИ АВ в то время изучалась эффективность стрельбы из пушки МП-37 с самолета Як-9т на дальности 1000—1200 м по наземным щитам-мишеням с изображенными на них различными самолетами в на</w:t>
      </w:r>
      <w:r w:rsidRPr="00D03F3E">
        <w:rPr>
          <w:color w:val="000000" w:themeColor="text1"/>
          <w:sz w:val="16"/>
          <w:szCs w:val="16"/>
        </w:rPr>
        <w:softHyphen/>
        <w:t>туральную величину под ракурсами 0/4—1/4.</w:t>
      </w:r>
    </w:p>
    <w:p w14:paraId="6F3FF876" w14:textId="77777777" w:rsidR="00D971BC" w:rsidRPr="00D03F3E" w:rsidRDefault="00D971B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этих условиях стрельбы лет</w:t>
      </w:r>
      <w:r w:rsidRPr="00D03F3E">
        <w:rPr>
          <w:color w:val="000000" w:themeColor="text1"/>
          <w:sz w:val="16"/>
          <w:szCs w:val="16"/>
        </w:rPr>
        <w:softHyphen/>
        <w:t>чик с отличной техникой пилотирова</w:t>
      </w:r>
      <w:r w:rsidRPr="00D03F3E">
        <w:rPr>
          <w:color w:val="000000" w:themeColor="text1"/>
          <w:sz w:val="16"/>
          <w:szCs w:val="16"/>
        </w:rPr>
        <w:softHyphen/>
        <w:t>ния и стрелковой подготовкой (майор Звонарев) имел 8% попаданий в фи</w:t>
      </w:r>
      <w:r w:rsidRPr="00D03F3E">
        <w:rPr>
          <w:color w:val="000000" w:themeColor="text1"/>
          <w:sz w:val="16"/>
          <w:szCs w:val="16"/>
        </w:rPr>
        <w:softHyphen/>
        <w:t>гуру самолета, а летчики со средней подготовкой — всего 1,7%.</w:t>
      </w:r>
    </w:p>
    <w:p w14:paraId="042BA85A" w14:textId="77777777" w:rsidR="00D971BC" w:rsidRPr="00D03F3E" w:rsidRDefault="00D971B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На основании математической обработки данных опытов в НИИ АВ были сделаны следующие выводы Для одного попадания в бомбардировщик средних размеров (5—10 м </w:t>
      </w:r>
      <w:r w:rsidRPr="00D03F3E">
        <w:rPr>
          <w:color w:val="000000" w:themeColor="text1"/>
          <w:sz w:val="16"/>
          <w:szCs w:val="16"/>
          <w:vertAlign w:val="superscript"/>
        </w:rPr>
        <w:t>2</w:t>
      </w:r>
      <w:r w:rsidRPr="00D03F3E">
        <w:rPr>
          <w:color w:val="000000" w:themeColor="text1"/>
          <w:sz w:val="16"/>
          <w:szCs w:val="16"/>
        </w:rPr>
        <w:t xml:space="preserve"> — Ме 210, </w:t>
      </w:r>
      <w:r w:rsidRPr="00D03F3E">
        <w:rPr>
          <w:color w:val="000000" w:themeColor="text1"/>
          <w:sz w:val="16"/>
          <w:szCs w:val="16"/>
          <w:lang w:val="en-US"/>
        </w:rPr>
        <w:t>Ju</w:t>
      </w:r>
      <w:r w:rsidRPr="00D03F3E">
        <w:rPr>
          <w:color w:val="000000" w:themeColor="text1"/>
          <w:sz w:val="16"/>
          <w:szCs w:val="16"/>
        </w:rPr>
        <w:t>88</w:t>
      </w:r>
      <w:r w:rsidRPr="00D03F3E">
        <w:rPr>
          <w:color w:val="000000" w:themeColor="text1"/>
          <w:sz w:val="16"/>
          <w:szCs w:val="16"/>
          <w:lang w:val="en-US"/>
        </w:rPr>
        <w:t>A</w:t>
      </w:r>
      <w:r w:rsidRPr="00D03F3E">
        <w:rPr>
          <w:color w:val="000000" w:themeColor="text1"/>
          <w:sz w:val="16"/>
          <w:szCs w:val="16"/>
        </w:rPr>
        <w:t xml:space="preserve">, </w:t>
      </w:r>
      <w:r w:rsidRPr="00D03F3E">
        <w:rPr>
          <w:color w:val="000000" w:themeColor="text1"/>
          <w:sz w:val="16"/>
          <w:szCs w:val="16"/>
          <w:lang w:val="en-US"/>
        </w:rPr>
        <w:t>Ju</w:t>
      </w:r>
      <w:r w:rsidRPr="00D03F3E">
        <w:rPr>
          <w:color w:val="000000" w:themeColor="text1"/>
          <w:sz w:val="16"/>
          <w:szCs w:val="16"/>
        </w:rPr>
        <w:t>87</w:t>
      </w:r>
      <w:r w:rsidRPr="00D03F3E">
        <w:rPr>
          <w:color w:val="000000" w:themeColor="text1"/>
          <w:sz w:val="16"/>
          <w:szCs w:val="16"/>
          <w:lang w:val="en-US"/>
        </w:rPr>
        <w:t>B</w:t>
      </w:r>
      <w:r w:rsidRPr="00D03F3E">
        <w:rPr>
          <w:color w:val="000000" w:themeColor="text1"/>
          <w:sz w:val="16"/>
          <w:szCs w:val="16"/>
        </w:rPr>
        <w:t>), на</w:t>
      </w:r>
      <w:r w:rsidRPr="00D03F3E">
        <w:rPr>
          <w:color w:val="000000" w:themeColor="text1"/>
          <w:sz w:val="16"/>
          <w:szCs w:val="16"/>
        </w:rPr>
        <w:softHyphen/>
        <w:t>ходящийся на земле при стрельбе на дальностях 1000—1200 м и при ракурсе 0/4—1/4 квалифици</w:t>
      </w:r>
      <w:r w:rsidRPr="00D03F3E">
        <w:rPr>
          <w:color w:val="000000" w:themeColor="text1"/>
          <w:sz w:val="16"/>
          <w:szCs w:val="16"/>
        </w:rPr>
        <w:softHyphen/>
        <w:t>рованному летчику необходимо произвести около 25 выстрелов, а со средней квалификацией — око</w:t>
      </w:r>
      <w:r w:rsidRPr="00D03F3E">
        <w:rPr>
          <w:color w:val="000000" w:themeColor="text1"/>
          <w:sz w:val="16"/>
          <w:szCs w:val="16"/>
        </w:rPr>
        <w:softHyphen/>
        <w:t>ло 60 выстрелов.</w:t>
      </w:r>
    </w:p>
    <w:p w14:paraId="19E64450" w14:textId="77777777" w:rsidR="00D971BC" w:rsidRPr="00D03F3E" w:rsidRDefault="00D971B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стрельбе по летящему самолету для по</w:t>
      </w:r>
      <w:r w:rsidRPr="00D03F3E">
        <w:rPr>
          <w:color w:val="000000" w:themeColor="text1"/>
          <w:sz w:val="16"/>
          <w:szCs w:val="16"/>
        </w:rPr>
        <w:softHyphen/>
        <w:t>падания в него на дальностях 1000—1200 м при ракурсе 0/4—1/4 квалифицированному летчику требуется израсходовать около 60 снарядов, а лет</w:t>
      </w:r>
      <w:r w:rsidRPr="00D03F3E">
        <w:rPr>
          <w:color w:val="000000" w:themeColor="text1"/>
          <w:sz w:val="16"/>
          <w:szCs w:val="16"/>
        </w:rPr>
        <w:softHyphen/>
        <w:t>чику со средней подготовкой — около 130 сна</w:t>
      </w:r>
      <w:r w:rsidRPr="00D03F3E">
        <w:rPr>
          <w:color w:val="000000" w:themeColor="text1"/>
          <w:sz w:val="16"/>
          <w:szCs w:val="16"/>
        </w:rPr>
        <w:softHyphen/>
        <w:t>рядов.</w:t>
      </w:r>
    </w:p>
    <w:p w14:paraId="31D76CB5" w14:textId="77777777" w:rsidR="00D971BC" w:rsidRPr="00D03F3E" w:rsidRDefault="00D971B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этим причинам для летчиков со средней стрелковой подготовкой, то есть строевых летчи</w:t>
      </w:r>
      <w:r w:rsidRPr="00D03F3E">
        <w:rPr>
          <w:color w:val="000000" w:themeColor="text1"/>
          <w:sz w:val="16"/>
          <w:szCs w:val="16"/>
        </w:rPr>
        <w:softHyphen/>
        <w:t>ков, дальностями действительного огня являются 600—400 м при стрельбе по бомбардировщику и 400—100 м — по истребителю. На этих дально</w:t>
      </w:r>
      <w:r w:rsidRPr="00D03F3E">
        <w:rPr>
          <w:color w:val="000000" w:themeColor="text1"/>
          <w:sz w:val="16"/>
          <w:szCs w:val="16"/>
        </w:rPr>
        <w:softHyphen/>
        <w:t>стях стрельбы обеспечивались вполне приемлемые вероятности попадания хотя бы одним снарядом при израсходовании одного боекомплекта в пуш</w:t>
      </w:r>
      <w:r w:rsidRPr="00D03F3E">
        <w:rPr>
          <w:color w:val="000000" w:themeColor="text1"/>
          <w:sz w:val="16"/>
          <w:szCs w:val="16"/>
        </w:rPr>
        <w:softHyphen/>
        <w:t>ке МП-37.</w:t>
      </w:r>
    </w:p>
    <w:p w14:paraId="307225B6" w14:textId="77777777" w:rsidR="00D971BC" w:rsidRPr="00D03F3E" w:rsidRDefault="00D971B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Ко времени окончания испытаний противо</w:t>
      </w:r>
      <w:r w:rsidRPr="00D03F3E">
        <w:rPr>
          <w:color w:val="000000" w:themeColor="text1"/>
          <w:sz w:val="16"/>
          <w:szCs w:val="16"/>
        </w:rPr>
        <w:softHyphen/>
        <w:t xml:space="preserve">танковых вариантов Як-9т и Ил-2 с пушками Ш-37 и 11П стало известно о применении противником на фронте тяжелых танков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VI</w:t>
      </w:r>
      <w:r w:rsidRPr="00D03F3E">
        <w:rPr>
          <w:color w:val="000000" w:themeColor="text1"/>
          <w:sz w:val="16"/>
          <w:szCs w:val="16"/>
        </w:rPr>
        <w:t xml:space="preserve"> «Тигр». От Главно</w:t>
      </w:r>
      <w:r w:rsidRPr="00D03F3E">
        <w:rPr>
          <w:color w:val="000000" w:themeColor="text1"/>
          <w:sz w:val="16"/>
          <w:szCs w:val="16"/>
        </w:rPr>
        <w:softHyphen/>
        <w:t>го разведывательного управления Генерального штаба Красной Армии получены сведения о по</w:t>
      </w:r>
      <w:r w:rsidRPr="00D03F3E">
        <w:rPr>
          <w:color w:val="000000" w:themeColor="text1"/>
          <w:sz w:val="16"/>
          <w:szCs w:val="16"/>
        </w:rPr>
        <w:softHyphen/>
        <w:t xml:space="preserve">ступлении на вооружение немецкой армии новых образцов бронетехники — танков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V</w:t>
      </w:r>
      <w:r w:rsidRPr="00D03F3E">
        <w:rPr>
          <w:color w:val="000000" w:themeColor="text1"/>
          <w:sz w:val="16"/>
          <w:szCs w:val="16"/>
        </w:rPr>
        <w:t xml:space="preserve"> «Пантера» и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IV</w:t>
      </w:r>
      <w:r w:rsidRPr="00D03F3E">
        <w:rPr>
          <w:color w:val="000000" w:themeColor="text1"/>
          <w:sz w:val="16"/>
          <w:szCs w:val="16"/>
        </w:rPr>
        <w:t>/</w:t>
      </w:r>
      <w:r w:rsidRPr="00D03F3E">
        <w:rPr>
          <w:color w:val="000000" w:themeColor="text1"/>
          <w:sz w:val="16"/>
          <w:szCs w:val="16"/>
          <w:lang w:val="en-US"/>
        </w:rPr>
        <w:t>H</w:t>
      </w:r>
      <w:r w:rsidRPr="00D03F3E">
        <w:rPr>
          <w:color w:val="000000" w:themeColor="text1"/>
          <w:sz w:val="16"/>
          <w:szCs w:val="16"/>
        </w:rPr>
        <w:t xml:space="preserve">, а также штурмового орудия </w:t>
      </w:r>
      <w:r w:rsidRPr="00D03F3E">
        <w:rPr>
          <w:color w:val="000000" w:themeColor="text1"/>
          <w:sz w:val="16"/>
          <w:szCs w:val="16"/>
          <w:lang w:val="en-US"/>
        </w:rPr>
        <w:t>Jgd</w:t>
      </w:r>
      <w:r w:rsidRPr="00D03F3E">
        <w:rPr>
          <w:color w:val="000000" w:themeColor="text1"/>
          <w:sz w:val="16"/>
          <w:szCs w:val="16"/>
        </w:rPr>
        <w:t xml:space="preserve"> </w:t>
      </w:r>
      <w:r w:rsidRPr="00D03F3E">
        <w:rPr>
          <w:color w:val="000000" w:themeColor="text1"/>
          <w:sz w:val="16"/>
          <w:szCs w:val="16"/>
          <w:lang w:val="en-US"/>
        </w:rPr>
        <w:t>Pz</w:t>
      </w:r>
      <w:r w:rsidRPr="00D03F3E">
        <w:rPr>
          <w:color w:val="000000" w:themeColor="text1"/>
          <w:sz w:val="16"/>
          <w:szCs w:val="16"/>
        </w:rPr>
        <w:t xml:space="preserve"> </w:t>
      </w:r>
      <w:r w:rsidRPr="00D03F3E">
        <w:rPr>
          <w:color w:val="000000" w:themeColor="text1"/>
          <w:sz w:val="16"/>
          <w:szCs w:val="16"/>
          <w:lang w:val="en-US"/>
        </w:rPr>
        <w:t>Tiger</w:t>
      </w:r>
      <w:r w:rsidRPr="00D03F3E">
        <w:rPr>
          <w:color w:val="000000" w:themeColor="text1"/>
          <w:sz w:val="16"/>
          <w:szCs w:val="16"/>
        </w:rPr>
        <w:t xml:space="preserve"> (</w:t>
      </w:r>
      <w:r w:rsidRPr="00D03F3E">
        <w:rPr>
          <w:color w:val="000000" w:themeColor="text1"/>
          <w:sz w:val="16"/>
          <w:szCs w:val="16"/>
          <w:lang w:val="en-US"/>
        </w:rPr>
        <w:t>P</w:t>
      </w:r>
      <w:r w:rsidRPr="00D03F3E">
        <w:rPr>
          <w:color w:val="000000" w:themeColor="text1"/>
          <w:sz w:val="16"/>
          <w:szCs w:val="16"/>
        </w:rPr>
        <w:t>) «Фердинанд». Все они имели усиленную бро</w:t>
      </w:r>
      <w:r w:rsidRPr="00D03F3E">
        <w:rPr>
          <w:color w:val="000000" w:themeColor="text1"/>
          <w:sz w:val="16"/>
          <w:szCs w:val="16"/>
        </w:rPr>
        <w:softHyphen/>
        <w:t>невую защиту и мощное вооружение. Массовое появление этих танков на фронте ожидалось ле</w:t>
      </w:r>
      <w:r w:rsidRPr="00D03F3E">
        <w:rPr>
          <w:color w:val="000000" w:themeColor="text1"/>
          <w:sz w:val="16"/>
          <w:szCs w:val="16"/>
        </w:rPr>
        <w:softHyphen/>
        <w:t>том 1943 г. Вопрос о резком повышении противо</w:t>
      </w:r>
      <w:r w:rsidRPr="00D03F3E">
        <w:rPr>
          <w:color w:val="000000" w:themeColor="text1"/>
          <w:sz w:val="16"/>
          <w:szCs w:val="16"/>
        </w:rPr>
        <w:softHyphen/>
        <w:t>танковых возможностей ВВС КА встал со всей остротой.</w:t>
      </w:r>
    </w:p>
    <w:p w14:paraId="261D754F" w14:textId="77777777" w:rsidR="00D971BC" w:rsidRPr="00D03F3E" w:rsidRDefault="00D971B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С учетом этого ГКО принимает решение в поль</w:t>
      </w:r>
      <w:r w:rsidRPr="00D03F3E">
        <w:rPr>
          <w:color w:val="000000" w:themeColor="text1"/>
          <w:sz w:val="16"/>
          <w:szCs w:val="16"/>
        </w:rPr>
        <w:softHyphen/>
        <w:t>зу массового производства пушки 11 П. С этими пушками серийно решили выпускать двухместный Ил-2 (завод № 30 в Москве) и «танковый» вариант истребителя Як-9т (завод № 153 в Новосибирске) (17500).</w:t>
      </w:r>
    </w:p>
    <w:p w14:paraId="532A2865" w14:textId="77777777" w:rsidR="00D971BC" w:rsidRPr="00D03F3E" w:rsidRDefault="00D971B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35C9C96" w14:textId="77777777" w:rsidR="008C5F3D" w:rsidRPr="00D03F3E" w:rsidRDefault="008C5F3D"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С 10 января по 12 февраля 1943 г. первый истребитель Як-9Т (танковый), который с 15 февраля по 4 марта 1943 проходил испытания вооружения в НИПАВ (научно-испытательный полигон авиационного вооружения), проходил испытания вооружения в НИПАВ (научно-испытательный полигон авиационного вооружения) проходил летные испытания в НИИ ВВС (летчик В.И.Хомяков, ведущий инженер по самолету А.Т.Степанец, по вооружению — Л.И.Лось).</w:t>
      </w:r>
    </w:p>
    <w:p w14:paraId="62EFDD90" w14:textId="77777777" w:rsidR="008C5F3D" w:rsidRPr="00D03F3E" w:rsidRDefault="008C5F3D"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Установка большой и тяжелой 37-мм пушки (длина — 3400 мм, масса — 150 кг) потребовала внесения в конструкцию Як-9 ряда существенных изменений. Был усилен силовой каркас фюзеляжа в передней части. Для размещения на самолете казенной части пушки и сохранения центровки в допустимых пределах кабина летчика была сдвинута назад на 400 мм, что несколько ухудшило обзор передней полусферы, но улучшило обзор задней. Благодаря заднему расположению кабины, приведшему к смещению центровки назад, Як-9Т обладал меньшей инертностью, чем другие самолеты, что позволяло летчику выполнять боевой маневр, упреждая противника.</w:t>
      </w:r>
    </w:p>
    <w:p w14:paraId="2713CA8F" w14:textId="77777777" w:rsidR="008C5F3D" w:rsidRPr="00D03F3E" w:rsidRDefault="008C5F3D"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Установка 37-мм пушки требовала повышения качества сборки самолета, в первую очередь — качества монтажных работ, так как большая отдача при стрельбе приводила к нарушению соединений трубопроводов, а также появлению трещин и разрушению отдельных деталей.</w:t>
      </w:r>
    </w:p>
    <w:p w14:paraId="3D4EA358" w14:textId="77777777" w:rsidR="008C5F3D" w:rsidRPr="00D03F3E" w:rsidRDefault="008C5F3D"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В целом, надо отметить, что Як-9Т оказался наиболее удачным носителем тяжелых пушек. Удачная компоновка столь тяжелого и габаритного орудия почти не сказалась на маневренных характеристиках истребителя. Учитывая большой для такого калибра боекомплект пушки в 30 выстрелов, Як обладал хорошей автономностью. К недостаткам относилось невозможность вести огонь длинными очередями, более 2-3 выстрелов, поскольку из-за большой отдачи сбивался прицел, а самолет изрядно терял в скорости. С другой стороны, прекрасная баллистика орудия предопределяла настильную траекторию, позволяла вести эффективный огонь на ранее недоступных дистанциях до 600 и даже до 1000 метров. Ну а могущество боеприпаса позволяло гарантированно уничтожать любого воздушного противника с 1-2 попаданий. Строго говоря, дистанция стрельбы и вероятность попадания ограничивалась лишь несовершенством достаточно допотопных прицелов (19170).</w:t>
      </w:r>
    </w:p>
    <w:p w14:paraId="0CDD472E" w14:textId="77777777" w:rsidR="008C5F3D" w:rsidRPr="00D03F3E" w:rsidRDefault="008C5F3D" w:rsidP="00D03F3E">
      <w:pPr>
        <w:pStyle w:val="rtejustify"/>
        <w:shd w:val="clear" w:color="auto" w:fill="FFFFFF"/>
        <w:spacing w:before="0" w:beforeAutospacing="0" w:after="0" w:afterAutospacing="0"/>
        <w:jc w:val="both"/>
        <w:textAlignment w:val="baseline"/>
        <w:rPr>
          <w:color w:val="000000" w:themeColor="text1"/>
          <w:sz w:val="16"/>
          <w:szCs w:val="16"/>
        </w:rPr>
      </w:pPr>
    </w:p>
    <w:p w14:paraId="20006BE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г. закончились заводские испытания серийного Як-1 № 01111 с серийным мотором М-106-ICK (первые серийные моторы М-106П, получившие новое обозначение, были выпущены 8 ноября 1942 г.). На испытаниях были достигнуты максимальные скорости горизонтального полета у земли - 535 и на высоте 3400 м - 606 км/ч. Высоту 5000 м самолет набрал за 5,1 мин. Испытания подтвердили необходимость увеличения на 12-15 % (для обеспечения нормального температурного режима мотора) эффективности существующих охлаждающих устройств. Отмечалась также тряска мотора на переходных режимах (1800-2200 об/мин), детонация и повышенный расход топлива, дымление на всех режимах работы (12048).</w:t>
      </w:r>
    </w:p>
    <w:p w14:paraId="4B376B1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14D8E1" w14:textId="77777777" w:rsidR="008C5F3D" w:rsidRPr="00D03F3E" w:rsidRDefault="008C5F3D"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закончились заводские серийного Як-1 с серийным М-106-1ск, которые начались в августе 1942 и потом проводились также в октябре 1942 (198,52).</w:t>
      </w:r>
    </w:p>
    <w:p w14:paraId="42D1030F" w14:textId="77777777" w:rsidR="008C5F3D" w:rsidRPr="00D03F3E" w:rsidRDefault="008C5F3D"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6F2FB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г., полагая, что авиационная промышленность и ОКБ сумеют преодолеть трудности доводки самолета и мотора, ГКО своим постановлением обязал завод № 292 к апрелю полностью перейти на выпуск самолетов Як-1 с мотором М-106-ICK. В январе и феврале 1943 г. завод выпустил 47 машин с новым мотором. Из-за предсказуемых трудностей с доводками все машины было решено отправить в части 3-й зиаб близко расположенные к Саратову. Все отправленные 25 машин (пять в январе, 16 в феврале, четыре в марте) эксплуатировались на аэродроме Разбойщина. В процессе изготовления и доводки машин на завод пришло указание о замене моторов М-106П с серийными номерами ниже № 42 в связи с их некондиционностью. Из 33 таких самолетов 13 уже было отправлено в часть. Новых моторов завод так и не получил. Все отправленные самолеты с моторами М-106 были возвращены на завод, где на них заменили моторы обычными форсированными. На предъявленных на государственные испытания самолетах № 17122 и 33123 дефекты мотора, имевшие место при заводских испытаниях Як-1 № 01111, проявились в полной мере, и испытания решением начальника НИИ ВВС КА прекратили (12048).</w:t>
      </w:r>
    </w:p>
    <w:p w14:paraId="2F85599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CAC9D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w:t>
      </w:r>
      <w:r w:rsidRPr="00D03F3E">
        <w:rPr>
          <w:rFonts w:ascii="Times New Roman" w:hAnsi="Times New Roman"/>
          <w:color w:val="000000" w:themeColor="text1"/>
          <w:sz w:val="16"/>
          <w:szCs w:val="16"/>
        </w:rPr>
        <w:softHyphen/>
        <w:t>варя 1943 года вышло По</w:t>
      </w:r>
      <w:r w:rsidRPr="00D03F3E">
        <w:rPr>
          <w:rFonts w:ascii="Times New Roman" w:hAnsi="Times New Roman"/>
          <w:color w:val="000000" w:themeColor="text1"/>
          <w:sz w:val="16"/>
          <w:szCs w:val="16"/>
        </w:rPr>
        <w:softHyphen/>
        <w:t>становление ГКО №2727 «О плане производ</w:t>
      </w:r>
      <w:r w:rsidRPr="00D03F3E">
        <w:rPr>
          <w:rFonts w:ascii="Times New Roman" w:hAnsi="Times New Roman"/>
          <w:color w:val="000000" w:themeColor="text1"/>
          <w:sz w:val="16"/>
          <w:szCs w:val="16"/>
        </w:rPr>
        <w:softHyphen/>
        <w:t>ства самолетов и моторов в январе месяце и 1-м квартале 1943 года», которое назвало важнейшей задачей завода №21 в I квартале - осуществить пе</w:t>
      </w:r>
      <w:r w:rsidRPr="00D03F3E">
        <w:rPr>
          <w:rFonts w:ascii="Times New Roman" w:hAnsi="Times New Roman"/>
          <w:color w:val="000000" w:themeColor="text1"/>
          <w:sz w:val="16"/>
          <w:szCs w:val="16"/>
        </w:rPr>
        <w:softHyphen/>
        <w:t>ревод всех самолетов Ла-5 с М-82 на постоянный форсаж и начать вы</w:t>
      </w:r>
      <w:r w:rsidRPr="00D03F3E">
        <w:rPr>
          <w:rFonts w:ascii="Times New Roman" w:hAnsi="Times New Roman"/>
          <w:color w:val="000000" w:themeColor="text1"/>
          <w:sz w:val="16"/>
          <w:szCs w:val="16"/>
        </w:rPr>
        <w:softHyphen/>
        <w:t>пуск первых серий самолетов Ла-5 облегченной конструкции с М-82Ф-НВ (форсированными с насосами непосредственного впрыска). Но на этом пути встретились два препятствия. Первое - повторить кон</w:t>
      </w:r>
      <w:r w:rsidRPr="00D03F3E">
        <w:rPr>
          <w:rFonts w:ascii="Times New Roman" w:hAnsi="Times New Roman"/>
          <w:color w:val="000000" w:themeColor="text1"/>
          <w:sz w:val="16"/>
          <w:szCs w:val="16"/>
        </w:rPr>
        <w:softHyphen/>
        <w:t>струкцию крыла «Дублера» с метал</w:t>
      </w:r>
      <w:r w:rsidRPr="00D03F3E">
        <w:rPr>
          <w:rFonts w:ascii="Times New Roman" w:hAnsi="Times New Roman"/>
          <w:color w:val="000000" w:themeColor="text1"/>
          <w:sz w:val="16"/>
          <w:szCs w:val="16"/>
        </w:rPr>
        <w:softHyphen/>
        <w:t>лическими лонжеронами в серии за</w:t>
      </w:r>
      <w:r w:rsidRPr="00D03F3E">
        <w:rPr>
          <w:rFonts w:ascii="Times New Roman" w:hAnsi="Times New Roman"/>
          <w:color w:val="000000" w:themeColor="text1"/>
          <w:sz w:val="16"/>
          <w:szCs w:val="16"/>
        </w:rPr>
        <w:softHyphen/>
        <w:t>вод №21 в то время не мог, посколь</w:t>
      </w:r>
      <w:r w:rsidRPr="00D03F3E">
        <w:rPr>
          <w:rFonts w:ascii="Times New Roman" w:hAnsi="Times New Roman"/>
          <w:color w:val="000000" w:themeColor="text1"/>
          <w:sz w:val="16"/>
          <w:szCs w:val="16"/>
        </w:rPr>
        <w:softHyphen/>
        <w:t>ку не имел требуемого металлорежу</w:t>
      </w:r>
      <w:r w:rsidRPr="00D03F3E">
        <w:rPr>
          <w:rFonts w:ascii="Times New Roman" w:hAnsi="Times New Roman"/>
          <w:color w:val="000000" w:themeColor="text1"/>
          <w:sz w:val="16"/>
          <w:szCs w:val="16"/>
        </w:rPr>
        <w:softHyphen/>
        <w:t>щего оборудования и рабочих-метал</w:t>
      </w:r>
      <w:r w:rsidRPr="00D03F3E">
        <w:rPr>
          <w:rFonts w:ascii="Times New Roman" w:hAnsi="Times New Roman"/>
          <w:color w:val="000000" w:themeColor="text1"/>
          <w:sz w:val="16"/>
          <w:szCs w:val="16"/>
        </w:rPr>
        <w:softHyphen/>
        <w:t>листов. Пришлось пока оставить се</w:t>
      </w:r>
      <w:r w:rsidRPr="00D03F3E">
        <w:rPr>
          <w:rFonts w:ascii="Times New Roman" w:hAnsi="Times New Roman"/>
          <w:color w:val="000000" w:themeColor="text1"/>
          <w:sz w:val="16"/>
          <w:szCs w:val="16"/>
        </w:rPr>
        <w:softHyphen/>
        <w:t>рийное крыло с деревянными лонже</w:t>
      </w:r>
      <w:r w:rsidRPr="00D03F3E">
        <w:rPr>
          <w:rFonts w:ascii="Times New Roman" w:hAnsi="Times New Roman"/>
          <w:color w:val="000000" w:themeColor="text1"/>
          <w:sz w:val="16"/>
          <w:szCs w:val="16"/>
        </w:rPr>
        <w:softHyphen/>
        <w:t>ронами. Второе препятствие было связано с организацией серийного выпуска моторов М-82ФН (третья буква «В» в обозначении мотора вскоре исчез</w:t>
      </w:r>
      <w:r w:rsidRPr="00D03F3E">
        <w:rPr>
          <w:rFonts w:ascii="Times New Roman" w:hAnsi="Times New Roman"/>
          <w:color w:val="000000" w:themeColor="text1"/>
          <w:sz w:val="16"/>
          <w:szCs w:val="16"/>
        </w:rPr>
        <w:softHyphen/>
        <w:t>ла). Собственно, завод №19 мог про</w:t>
      </w:r>
      <w:r w:rsidRPr="00D03F3E">
        <w:rPr>
          <w:rFonts w:ascii="Times New Roman" w:hAnsi="Times New Roman"/>
          <w:color w:val="000000" w:themeColor="text1"/>
          <w:sz w:val="16"/>
          <w:szCs w:val="16"/>
        </w:rPr>
        <w:softHyphen/>
        <w:t>изводить эти моторы без особых про</w:t>
      </w:r>
      <w:r w:rsidRPr="00D03F3E">
        <w:rPr>
          <w:rFonts w:ascii="Times New Roman" w:hAnsi="Times New Roman"/>
          <w:color w:val="000000" w:themeColor="text1"/>
          <w:sz w:val="16"/>
          <w:szCs w:val="16"/>
        </w:rPr>
        <w:softHyphen/>
        <w:t>блем, но наладить крупносерийный выпуск насосов НБ-ЗУ на заводе №296 не было никакой возможнос</w:t>
      </w:r>
      <w:r w:rsidRPr="00D03F3E">
        <w:rPr>
          <w:rFonts w:ascii="Times New Roman" w:hAnsi="Times New Roman"/>
          <w:color w:val="000000" w:themeColor="text1"/>
          <w:sz w:val="16"/>
          <w:szCs w:val="16"/>
        </w:rPr>
        <w:softHyphen/>
        <w:t>ти. До сих пор эти насосы производи</w:t>
      </w:r>
      <w:r w:rsidRPr="00D03F3E">
        <w:rPr>
          <w:rFonts w:ascii="Times New Roman" w:hAnsi="Times New Roman"/>
          <w:color w:val="000000" w:themeColor="text1"/>
          <w:sz w:val="16"/>
          <w:szCs w:val="16"/>
        </w:rPr>
        <w:softHyphen/>
        <w:t>лись единицами вручную рабочими высокой квалификации. Для опытных работ больше и не требовалось. Но теперь их нужно было производить сотнями штук в месяц, а для этого тре</w:t>
      </w:r>
      <w:r w:rsidRPr="00D03F3E">
        <w:rPr>
          <w:rFonts w:ascii="Times New Roman" w:hAnsi="Times New Roman"/>
          <w:color w:val="000000" w:themeColor="text1"/>
          <w:sz w:val="16"/>
          <w:szCs w:val="16"/>
        </w:rPr>
        <w:softHyphen/>
        <w:t>бовалось высокоточное станочное оборудование, которого в стране про</w:t>
      </w:r>
      <w:r w:rsidRPr="00D03F3E">
        <w:rPr>
          <w:rFonts w:ascii="Times New Roman" w:hAnsi="Times New Roman"/>
          <w:color w:val="000000" w:themeColor="text1"/>
          <w:sz w:val="16"/>
          <w:szCs w:val="16"/>
        </w:rPr>
        <w:softHyphen/>
        <w:t>сто не было. Тем не менее, было ре</w:t>
      </w:r>
      <w:r w:rsidRPr="00D03F3E">
        <w:rPr>
          <w:rFonts w:ascii="Times New Roman" w:hAnsi="Times New Roman"/>
          <w:color w:val="000000" w:themeColor="text1"/>
          <w:sz w:val="16"/>
          <w:szCs w:val="16"/>
        </w:rPr>
        <w:softHyphen/>
        <w:t>шено начать серийное производство М-82ФН в том количестве, которое сможет обеспечить насосами завод №296, а остальные моторы М-82 вы</w:t>
      </w:r>
      <w:r w:rsidRPr="00D03F3E">
        <w:rPr>
          <w:rFonts w:ascii="Times New Roman" w:hAnsi="Times New Roman"/>
          <w:color w:val="000000" w:themeColor="text1"/>
          <w:sz w:val="16"/>
          <w:szCs w:val="16"/>
        </w:rPr>
        <w:softHyphen/>
        <w:t>пускать в варианте «Ф» с карбюра</w:t>
      </w:r>
      <w:r w:rsidRPr="00D03F3E">
        <w:rPr>
          <w:rFonts w:ascii="Times New Roman" w:hAnsi="Times New Roman"/>
          <w:color w:val="000000" w:themeColor="text1"/>
          <w:sz w:val="16"/>
          <w:szCs w:val="16"/>
        </w:rPr>
        <w:softHyphen/>
        <w:t>тором. Предполагалось, что постепен</w:t>
      </w:r>
      <w:r w:rsidRPr="00D03F3E">
        <w:rPr>
          <w:rFonts w:ascii="Times New Roman" w:hAnsi="Times New Roman"/>
          <w:color w:val="000000" w:themeColor="text1"/>
          <w:sz w:val="16"/>
          <w:szCs w:val="16"/>
        </w:rPr>
        <w:softHyphen/>
        <w:t>но выпуск насосов НВ и, соответствен</w:t>
      </w:r>
      <w:r w:rsidRPr="00D03F3E">
        <w:rPr>
          <w:rFonts w:ascii="Times New Roman" w:hAnsi="Times New Roman"/>
          <w:color w:val="000000" w:themeColor="text1"/>
          <w:sz w:val="16"/>
          <w:szCs w:val="16"/>
        </w:rPr>
        <w:softHyphen/>
        <w:t>но, моторов М-82ФН будет нарастать, а карбюраторных М-82Ф - снижать</w:t>
      </w:r>
      <w:r w:rsidRPr="00D03F3E">
        <w:rPr>
          <w:rFonts w:ascii="Times New Roman" w:hAnsi="Times New Roman"/>
          <w:color w:val="000000" w:themeColor="text1"/>
          <w:sz w:val="16"/>
          <w:szCs w:val="16"/>
        </w:rPr>
        <w:softHyphen/>
        <w:t>ся, до полного вытеснения последних. Таким образом, завод №21 был поставлен перед необходимостью производить самолет Ла-5 в двух мо</w:t>
      </w:r>
      <w:r w:rsidRPr="00D03F3E">
        <w:rPr>
          <w:rFonts w:ascii="Times New Roman" w:hAnsi="Times New Roman"/>
          <w:color w:val="000000" w:themeColor="text1"/>
          <w:sz w:val="16"/>
          <w:szCs w:val="16"/>
        </w:rPr>
        <w:softHyphen/>
        <w:t>дификациях. Все улучшения ВМГ, оп</w:t>
      </w:r>
      <w:r w:rsidRPr="00D03F3E">
        <w:rPr>
          <w:rFonts w:ascii="Times New Roman" w:hAnsi="Times New Roman"/>
          <w:color w:val="000000" w:themeColor="text1"/>
          <w:sz w:val="16"/>
          <w:szCs w:val="16"/>
        </w:rPr>
        <w:softHyphen/>
        <w:t>робованные на «Дублере», были вне</w:t>
      </w:r>
      <w:r w:rsidRPr="00D03F3E">
        <w:rPr>
          <w:rFonts w:ascii="Times New Roman" w:hAnsi="Times New Roman"/>
          <w:color w:val="000000" w:themeColor="text1"/>
          <w:sz w:val="16"/>
          <w:szCs w:val="16"/>
        </w:rPr>
        <w:softHyphen/>
        <w:t>дрены в серию только на Ла-5ФН, а на Ла-5Ф системы питания, всасыва</w:t>
      </w:r>
      <w:r w:rsidRPr="00D03F3E">
        <w:rPr>
          <w:rFonts w:ascii="Times New Roman" w:hAnsi="Times New Roman"/>
          <w:color w:val="000000" w:themeColor="text1"/>
          <w:sz w:val="16"/>
          <w:szCs w:val="16"/>
        </w:rPr>
        <w:softHyphen/>
        <w:t>ния и выхлопа остались прежние. Это решение объяснялось стремлением избежать неразберихи в эксплуата</w:t>
      </w:r>
      <w:r w:rsidRPr="00D03F3E">
        <w:rPr>
          <w:rFonts w:ascii="Times New Roman" w:hAnsi="Times New Roman"/>
          <w:color w:val="000000" w:themeColor="text1"/>
          <w:sz w:val="16"/>
          <w:szCs w:val="16"/>
        </w:rPr>
        <w:softHyphen/>
        <w:t>ции и снабжении строевых частей запчастями, поскольку детали этих си</w:t>
      </w:r>
      <w:r w:rsidRPr="00D03F3E">
        <w:rPr>
          <w:rFonts w:ascii="Times New Roman" w:hAnsi="Times New Roman"/>
          <w:color w:val="000000" w:themeColor="text1"/>
          <w:sz w:val="16"/>
          <w:szCs w:val="16"/>
        </w:rPr>
        <w:softHyphen/>
        <w:t>стем, а также моторамы на Ла-5Ф и Ла-5ФН были различными. Но в результате летные данные Ла-5Ф оста</w:t>
      </w:r>
      <w:r w:rsidRPr="00D03F3E">
        <w:rPr>
          <w:rFonts w:ascii="Times New Roman" w:hAnsi="Times New Roman"/>
          <w:color w:val="000000" w:themeColor="text1"/>
          <w:sz w:val="16"/>
          <w:szCs w:val="16"/>
        </w:rPr>
        <w:softHyphen/>
        <w:t>лись почти на прежнем уровне, хотя при изменении всасывающего и вых</w:t>
      </w:r>
      <w:r w:rsidRPr="00D03F3E">
        <w:rPr>
          <w:rFonts w:ascii="Times New Roman" w:hAnsi="Times New Roman"/>
          <w:color w:val="000000" w:themeColor="text1"/>
          <w:sz w:val="16"/>
          <w:szCs w:val="16"/>
        </w:rPr>
        <w:softHyphen/>
        <w:t>лопных патрубков аналогично Ла-5ФН можно было бы получить прирост лет</w:t>
      </w:r>
      <w:r w:rsidRPr="00D03F3E">
        <w:rPr>
          <w:rFonts w:ascii="Times New Roman" w:hAnsi="Times New Roman"/>
          <w:color w:val="000000" w:themeColor="text1"/>
          <w:sz w:val="16"/>
          <w:szCs w:val="16"/>
        </w:rPr>
        <w:softHyphen/>
        <w:t>ных данных и при моторе М-82Ф. Видимо считалось, что параллельный выпуск обоих модификаций продлит</w:t>
      </w:r>
      <w:r w:rsidRPr="00D03F3E">
        <w:rPr>
          <w:rFonts w:ascii="Times New Roman" w:hAnsi="Times New Roman"/>
          <w:color w:val="000000" w:themeColor="text1"/>
          <w:sz w:val="16"/>
          <w:szCs w:val="16"/>
        </w:rPr>
        <w:softHyphen/>
        <w:t>ся недолго. Продолжение выпуска мотора М-82 с карбюратором заставляло присталь</w:t>
      </w:r>
      <w:r w:rsidRPr="00D03F3E">
        <w:rPr>
          <w:rFonts w:ascii="Times New Roman" w:hAnsi="Times New Roman"/>
          <w:color w:val="000000" w:themeColor="text1"/>
          <w:sz w:val="16"/>
          <w:szCs w:val="16"/>
        </w:rPr>
        <w:softHyphen/>
        <w:t>нее взглянуть на доводку последне</w:t>
      </w:r>
      <w:r w:rsidRPr="00D03F3E">
        <w:rPr>
          <w:rFonts w:ascii="Times New Roman" w:hAnsi="Times New Roman"/>
          <w:color w:val="000000" w:themeColor="text1"/>
          <w:sz w:val="16"/>
          <w:szCs w:val="16"/>
        </w:rPr>
        <w:softHyphen/>
        <w:t>го. Надо сказать, что этот процесс шел почти непрерывно. В 1942 году по</w:t>
      </w:r>
      <w:r w:rsidRPr="00D03F3E">
        <w:rPr>
          <w:rFonts w:ascii="Times New Roman" w:hAnsi="Times New Roman"/>
          <w:color w:val="000000" w:themeColor="text1"/>
          <w:sz w:val="16"/>
          <w:szCs w:val="16"/>
        </w:rPr>
        <w:softHyphen/>
        <w:t>пытались найти ему замену. В апре</w:t>
      </w:r>
      <w:r w:rsidRPr="00D03F3E">
        <w:rPr>
          <w:rFonts w:ascii="Times New Roman" w:hAnsi="Times New Roman"/>
          <w:color w:val="000000" w:themeColor="text1"/>
          <w:sz w:val="16"/>
          <w:szCs w:val="16"/>
        </w:rPr>
        <w:softHyphen/>
        <w:t>ле начались испытания с впрыскива</w:t>
      </w:r>
      <w:r w:rsidRPr="00D03F3E">
        <w:rPr>
          <w:rFonts w:ascii="Times New Roman" w:hAnsi="Times New Roman"/>
          <w:color w:val="000000" w:themeColor="text1"/>
          <w:sz w:val="16"/>
          <w:szCs w:val="16"/>
        </w:rPr>
        <w:softHyphen/>
        <w:t>ющими карбюраторами ВК-82 (типа Стромберг) завода №33 и ЦВ-82. Вто</w:t>
      </w:r>
      <w:r w:rsidRPr="00D03F3E">
        <w:rPr>
          <w:rFonts w:ascii="Times New Roman" w:hAnsi="Times New Roman"/>
          <w:color w:val="000000" w:themeColor="text1"/>
          <w:sz w:val="16"/>
          <w:szCs w:val="16"/>
        </w:rPr>
        <w:softHyphen/>
        <w:t>рой из них отпал быстро, а первый поначалу подавал большие надежды. Но, несмотря на продолжение работ с ВК-82 в течение всего 1942 года, устойчивых положительных результа</w:t>
      </w:r>
      <w:r w:rsidRPr="00D03F3E">
        <w:rPr>
          <w:rFonts w:ascii="Times New Roman" w:hAnsi="Times New Roman"/>
          <w:color w:val="000000" w:themeColor="text1"/>
          <w:sz w:val="16"/>
          <w:szCs w:val="16"/>
        </w:rPr>
        <w:softHyphen/>
        <w:t>тов добиться не удавалось. В сен</w:t>
      </w:r>
      <w:r w:rsidRPr="00D03F3E">
        <w:rPr>
          <w:rFonts w:ascii="Times New Roman" w:hAnsi="Times New Roman"/>
          <w:color w:val="000000" w:themeColor="text1"/>
          <w:sz w:val="16"/>
          <w:szCs w:val="16"/>
        </w:rPr>
        <w:softHyphen/>
        <w:t>тябре все же вышел приказ НКАП о серийном их выпуске с октября 1942 года. К 1 января 1943 года было вы</w:t>
      </w:r>
      <w:r w:rsidRPr="00D03F3E">
        <w:rPr>
          <w:rFonts w:ascii="Times New Roman" w:hAnsi="Times New Roman"/>
          <w:color w:val="000000" w:themeColor="text1"/>
          <w:sz w:val="16"/>
          <w:szCs w:val="16"/>
        </w:rPr>
        <w:softHyphen/>
        <w:t>пущено всего 30 штук ВК-82. Но в серию на заводе №19 этот карбю</w:t>
      </w:r>
      <w:r w:rsidRPr="00D03F3E">
        <w:rPr>
          <w:rFonts w:ascii="Times New Roman" w:hAnsi="Times New Roman"/>
          <w:color w:val="000000" w:themeColor="text1"/>
          <w:sz w:val="16"/>
          <w:szCs w:val="16"/>
        </w:rPr>
        <w:softHyphen/>
        <w:t>ратор так и не пошел. Одновременно продолжалась до</w:t>
      </w:r>
      <w:r w:rsidRPr="00D03F3E">
        <w:rPr>
          <w:rFonts w:ascii="Times New Roman" w:hAnsi="Times New Roman"/>
          <w:color w:val="000000" w:themeColor="text1"/>
          <w:sz w:val="16"/>
          <w:szCs w:val="16"/>
        </w:rPr>
        <w:softHyphen/>
        <w:t>водка штатного карбюратора АК-82БП. В июне 1942 года завод №33 выпустил АК-82БП серии А-3. Основ</w:t>
      </w:r>
      <w:r w:rsidRPr="00D03F3E">
        <w:rPr>
          <w:rFonts w:ascii="Times New Roman" w:hAnsi="Times New Roman"/>
          <w:color w:val="000000" w:themeColor="text1"/>
          <w:sz w:val="16"/>
          <w:szCs w:val="16"/>
        </w:rPr>
        <w:softHyphen/>
        <w:t>ное отличие этой серии от 2-й со</w:t>
      </w:r>
      <w:r w:rsidRPr="00D03F3E">
        <w:rPr>
          <w:rFonts w:ascii="Times New Roman" w:hAnsi="Times New Roman"/>
          <w:color w:val="000000" w:themeColor="text1"/>
          <w:sz w:val="16"/>
          <w:szCs w:val="16"/>
        </w:rPr>
        <w:softHyphen/>
        <w:t>стояло в том, что все резиновые плос</w:t>
      </w:r>
      <w:r w:rsidRPr="00D03F3E">
        <w:rPr>
          <w:rFonts w:ascii="Times New Roman" w:hAnsi="Times New Roman"/>
          <w:color w:val="000000" w:themeColor="text1"/>
          <w:sz w:val="16"/>
          <w:szCs w:val="16"/>
        </w:rPr>
        <w:softHyphen/>
        <w:t>кие мембраны главной дозирующей системы и клапана экономайзера были заменены мембранами с гоф</w:t>
      </w:r>
      <w:r w:rsidRPr="00D03F3E">
        <w:rPr>
          <w:rFonts w:ascii="Times New Roman" w:hAnsi="Times New Roman"/>
          <w:color w:val="000000" w:themeColor="text1"/>
          <w:sz w:val="16"/>
          <w:szCs w:val="16"/>
        </w:rPr>
        <w:softHyphen/>
        <w:t>ром, а также введены изменения по диаметрам жиклеров и т.д. В июле вышла серия А-4, отличающаяся по</w:t>
      </w:r>
      <w:r w:rsidRPr="00D03F3E">
        <w:rPr>
          <w:rFonts w:ascii="Times New Roman" w:hAnsi="Times New Roman"/>
          <w:color w:val="000000" w:themeColor="text1"/>
          <w:sz w:val="16"/>
          <w:szCs w:val="16"/>
        </w:rPr>
        <w:softHyphen/>
        <w:t>вышением твердости ролика дозиру</w:t>
      </w:r>
      <w:r w:rsidRPr="00D03F3E">
        <w:rPr>
          <w:rFonts w:ascii="Times New Roman" w:hAnsi="Times New Roman"/>
          <w:color w:val="000000" w:themeColor="text1"/>
          <w:sz w:val="16"/>
          <w:szCs w:val="16"/>
        </w:rPr>
        <w:softHyphen/>
        <w:t>ющей иглы для снижения его выра</w:t>
      </w:r>
      <w:r w:rsidRPr="00D03F3E">
        <w:rPr>
          <w:rFonts w:ascii="Times New Roman" w:hAnsi="Times New Roman"/>
          <w:color w:val="000000" w:themeColor="text1"/>
          <w:sz w:val="16"/>
          <w:szCs w:val="16"/>
        </w:rPr>
        <w:softHyphen/>
        <w:t>ботки. Затем появилась 5-я серия с измененным профилем и полировкой дозирующей иглы, снова плоскими мембранами, но с укорочением их хода, введением жиклера экономайзера для улучшения высотной характерис</w:t>
      </w:r>
      <w:r w:rsidRPr="00D03F3E">
        <w:rPr>
          <w:rFonts w:ascii="Times New Roman" w:hAnsi="Times New Roman"/>
          <w:color w:val="000000" w:themeColor="text1"/>
          <w:sz w:val="16"/>
          <w:szCs w:val="16"/>
        </w:rPr>
        <w:softHyphen/>
        <w:t>тики и др. К весне 1943 года вышла серия А-6, на которой вместо жикле</w:t>
      </w:r>
      <w:r w:rsidRPr="00D03F3E">
        <w:rPr>
          <w:rFonts w:ascii="Times New Roman" w:hAnsi="Times New Roman"/>
          <w:color w:val="000000" w:themeColor="text1"/>
          <w:sz w:val="16"/>
          <w:szCs w:val="16"/>
        </w:rPr>
        <w:softHyphen/>
        <w:t>ра экономайзера была введена ре</w:t>
      </w:r>
      <w:r w:rsidRPr="00D03F3E">
        <w:rPr>
          <w:rFonts w:ascii="Times New Roman" w:hAnsi="Times New Roman"/>
          <w:color w:val="000000" w:themeColor="text1"/>
          <w:sz w:val="16"/>
          <w:szCs w:val="16"/>
        </w:rPr>
        <w:softHyphen/>
        <w:t>гулировочная игла в ниппеле трубки экономайзера и т.д.</w:t>
      </w:r>
    </w:p>
    <w:p w14:paraId="63AE7B6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Даже краткое перечисление этих изменений наводит на мысль, что до</w:t>
      </w:r>
      <w:r w:rsidRPr="00D03F3E">
        <w:rPr>
          <w:rFonts w:ascii="Times New Roman" w:hAnsi="Times New Roman"/>
          <w:color w:val="000000" w:themeColor="text1"/>
          <w:sz w:val="16"/>
          <w:szCs w:val="16"/>
        </w:rPr>
        <w:softHyphen/>
        <w:t>водка карбюратора проходила в ос</w:t>
      </w:r>
      <w:r w:rsidRPr="00D03F3E">
        <w:rPr>
          <w:rFonts w:ascii="Times New Roman" w:hAnsi="Times New Roman"/>
          <w:color w:val="000000" w:themeColor="text1"/>
          <w:sz w:val="16"/>
          <w:szCs w:val="16"/>
        </w:rPr>
        <w:softHyphen/>
        <w:t>новном все тем же методом проб и ошибок. Никаких существенных ре</w:t>
      </w:r>
      <w:r w:rsidRPr="00D03F3E">
        <w:rPr>
          <w:rFonts w:ascii="Times New Roman" w:hAnsi="Times New Roman"/>
          <w:color w:val="000000" w:themeColor="text1"/>
          <w:sz w:val="16"/>
          <w:szCs w:val="16"/>
        </w:rPr>
        <w:softHyphen/>
        <w:t>зультатов по улучшению работы АК-82БП получено не было (10705).</w:t>
      </w:r>
    </w:p>
    <w:p w14:paraId="37C1C62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DBEA43" w14:textId="77777777" w:rsidR="00BC615F" w:rsidRPr="00D03F3E" w:rsidRDefault="00BC615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10 января 1943 г. Постановление ГКО № 2727 «О плане производ</w:t>
      </w:r>
      <w:r w:rsidRPr="00D03F3E">
        <w:rPr>
          <w:rFonts w:ascii="Times New Roman" w:cs="Times New Roman"/>
          <w:color w:val="000000" w:themeColor="text1"/>
          <w:spacing w:val="0"/>
        </w:rPr>
        <w:softHyphen/>
        <w:t xml:space="preserve">ства самолётов и моторов в январе месяце и </w:t>
      </w:r>
      <w:r w:rsidRPr="00D03F3E">
        <w:rPr>
          <w:rFonts w:ascii="Times New Roman" w:cs="Times New Roman"/>
          <w:color w:val="000000" w:themeColor="text1"/>
          <w:spacing w:val="0"/>
          <w:lang w:val="en-US"/>
        </w:rPr>
        <w:t>l</w:t>
      </w:r>
      <w:r w:rsidRPr="00D03F3E">
        <w:rPr>
          <w:rFonts w:ascii="Times New Roman" w:cs="Times New Roman"/>
          <w:color w:val="000000" w:themeColor="text1"/>
          <w:spacing w:val="0"/>
        </w:rPr>
        <w:t>-м квартале 1943 года» считало важней</w:t>
      </w:r>
      <w:r w:rsidRPr="00D03F3E">
        <w:rPr>
          <w:rFonts w:ascii="Times New Roman" w:cs="Times New Roman"/>
          <w:color w:val="000000" w:themeColor="text1"/>
          <w:spacing w:val="0"/>
        </w:rPr>
        <w:softHyphen/>
        <w:t>шей задачей завода № 21 в I квартале — осуществить перевод всех самолётов Ла-5 с М-82 на постоянный форсаж и начать выпуск первых серий Ла-5 облегченной конструк</w:t>
      </w:r>
      <w:r w:rsidRPr="00D03F3E">
        <w:rPr>
          <w:rFonts w:ascii="Times New Roman" w:cs="Times New Roman"/>
          <w:color w:val="000000" w:themeColor="text1"/>
          <w:spacing w:val="0"/>
        </w:rPr>
        <w:softHyphen/>
        <w:t>ции с М-82Ф-НВ (форсированными с насосами непосредственного впрыска).</w:t>
      </w:r>
    </w:p>
    <w:p w14:paraId="52B6DE3C" w14:textId="77777777" w:rsidR="00BC615F" w:rsidRPr="00D03F3E" w:rsidRDefault="00BC615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Но на этом пути встретились два препятствия. Первое — повторить конструкцию кры</w:t>
      </w:r>
      <w:r w:rsidRPr="00D03F3E">
        <w:rPr>
          <w:rFonts w:ascii="Times New Roman" w:cs="Times New Roman"/>
          <w:color w:val="000000" w:themeColor="text1"/>
          <w:spacing w:val="0"/>
        </w:rPr>
        <w:softHyphen/>
        <w:t>ла «Дублёра» с металлическими лонжеронами в серии завод № 21 в то время не мог, поскольку не имел требуемого металлорежущего оборудования и рабочих-металли</w:t>
      </w:r>
      <w:r w:rsidRPr="00D03F3E">
        <w:rPr>
          <w:rFonts w:ascii="Times New Roman" w:cs="Times New Roman"/>
          <w:color w:val="000000" w:themeColor="text1"/>
          <w:spacing w:val="0"/>
        </w:rPr>
        <w:softHyphen/>
        <w:t>стов. Пришлось пока оставить серийное крыло с деревянными лонжеронами.</w:t>
      </w:r>
    </w:p>
    <w:p w14:paraId="4C789217" w14:textId="77777777" w:rsidR="00BC615F" w:rsidRPr="00D03F3E" w:rsidRDefault="00BC615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Второе препятствие было связано с организацией серийного выпуска моторов М-82ФН (третья буква «В» в обозначении мотора вскоре исчезла). Собственно, завод № 19 мог производить эти моторы без особых проблем, но наладить крупносерийный выпуск на</w:t>
      </w:r>
      <w:r w:rsidRPr="00D03F3E">
        <w:rPr>
          <w:rFonts w:ascii="Times New Roman" w:cs="Times New Roman"/>
          <w:color w:val="000000" w:themeColor="text1"/>
          <w:spacing w:val="0"/>
        </w:rPr>
        <w:softHyphen/>
        <w:t>сосов НБ-ЗУ на заводе N9 296 не было никакой возможности. До сих пор эти насосы производились единицами вручную рабочими высокой квалификации. Для опытных ра</w:t>
      </w:r>
      <w:r w:rsidRPr="00D03F3E">
        <w:rPr>
          <w:rFonts w:ascii="Times New Roman" w:cs="Times New Roman"/>
          <w:color w:val="000000" w:themeColor="text1"/>
          <w:spacing w:val="0"/>
        </w:rPr>
        <w:softHyphen/>
        <w:t>бот больше и не требовалось. Но теперь их нужно было производить сотнями штук в ме</w:t>
      </w:r>
      <w:r w:rsidRPr="00D03F3E">
        <w:rPr>
          <w:rFonts w:ascii="Times New Roman" w:cs="Times New Roman"/>
          <w:color w:val="000000" w:themeColor="text1"/>
          <w:spacing w:val="0"/>
        </w:rPr>
        <w:softHyphen/>
        <w:t>сяц, а для этого требовалось высокоточное ста</w:t>
      </w:r>
      <w:r w:rsidRPr="00D03F3E">
        <w:rPr>
          <w:rFonts w:ascii="Times New Roman" w:cs="Times New Roman"/>
          <w:color w:val="000000" w:themeColor="text1"/>
          <w:spacing w:val="0"/>
        </w:rPr>
        <w:softHyphen/>
        <w:t>ночное оборудование, которого в стране просто не было. Тем не менее, решили начать серийное производство М-82ФН в том количестве, кото</w:t>
      </w:r>
      <w:r w:rsidRPr="00D03F3E">
        <w:rPr>
          <w:rFonts w:ascii="Times New Roman" w:cs="Times New Roman"/>
          <w:color w:val="000000" w:themeColor="text1"/>
          <w:spacing w:val="0"/>
        </w:rPr>
        <w:softHyphen/>
        <w:t>рое сможет обеспечить насосами завод N 296, а остальные моторы М-82 выпускать в варианте «Ф» с карбюратором. Предполагалось, что посте</w:t>
      </w:r>
      <w:r w:rsidRPr="00D03F3E">
        <w:rPr>
          <w:rFonts w:ascii="Times New Roman" w:cs="Times New Roman"/>
          <w:color w:val="000000" w:themeColor="text1"/>
          <w:spacing w:val="0"/>
        </w:rPr>
        <w:softHyphen/>
        <w:t>пенно выпуск насосов НВ и, соответственно, мо</w:t>
      </w:r>
      <w:r w:rsidRPr="00D03F3E">
        <w:rPr>
          <w:rFonts w:ascii="Times New Roman" w:cs="Times New Roman"/>
          <w:color w:val="000000" w:themeColor="text1"/>
          <w:spacing w:val="0"/>
        </w:rPr>
        <w:softHyphen/>
        <w:t>торов М-82ФН будет нарастать, а карбюраторных М-82Ф — снижаться, до их полного вытеснения.</w:t>
      </w:r>
    </w:p>
    <w:p w14:paraId="48896495" w14:textId="77777777" w:rsidR="00BC615F" w:rsidRPr="00D03F3E" w:rsidRDefault="00BC615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Таким образом, завод № 21 поставили перед необходимостью производить Ла-5 в двух моди</w:t>
      </w:r>
      <w:r w:rsidRPr="00D03F3E">
        <w:rPr>
          <w:rFonts w:ascii="Times New Roman" w:cs="Times New Roman"/>
          <w:color w:val="000000" w:themeColor="text1"/>
          <w:spacing w:val="0"/>
        </w:rPr>
        <w:softHyphen/>
        <w:t>фикациях. Все улучшения ВМГ, опробованные на «Дублёре», внедряли в серию только на Ла-5ФН, а на Ла-5Ф системы питания, всасывания и выхлопа оставались прежние. Это решение объяснялось стремлением избежать неразберихи в эксплуатации и снабжении строевых частей запчастями, поскольку детали этих систем, а также моторамы на Ла-5Ф и Ла-5ФН были различными. Но в результате лётные данные Ла-5Ф остались почти на прежнем уровне, хотя при изменении всасывающего и выхлопных патрубков аналогично Ла-5ФН можно было бы получить прирост лётных данных и при моторе М-82Ф. Видимо счита</w:t>
      </w:r>
      <w:r w:rsidRPr="00D03F3E">
        <w:rPr>
          <w:rFonts w:ascii="Times New Roman" w:cs="Times New Roman"/>
          <w:color w:val="000000" w:themeColor="text1"/>
          <w:spacing w:val="0"/>
        </w:rPr>
        <w:softHyphen/>
        <w:t>лось, что параллельный выпуск обоих модификаций продлится недолго.</w:t>
      </w:r>
    </w:p>
    <w:p w14:paraId="59E47501" w14:textId="77777777" w:rsidR="00BC615F" w:rsidRPr="00D03F3E" w:rsidRDefault="00BC615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Продолжение выпуска мотора М-82 с карбюратором заставляло пристальнее взгля</w:t>
      </w:r>
      <w:r w:rsidRPr="00D03F3E">
        <w:rPr>
          <w:rFonts w:ascii="Times New Roman" w:cs="Times New Roman"/>
          <w:color w:val="000000" w:themeColor="text1"/>
          <w:spacing w:val="0"/>
        </w:rPr>
        <w:softHyphen/>
        <w:t>нуть на доводку последнего. Надо сказать, что этот процесс шёл почти непрерывно. В 1942 г. попытались найти ему замену. В апреле начались испытания с впрыскивающи</w:t>
      </w:r>
      <w:r w:rsidRPr="00D03F3E">
        <w:rPr>
          <w:rFonts w:ascii="Times New Roman" w:cs="Times New Roman"/>
          <w:color w:val="000000" w:themeColor="text1"/>
          <w:spacing w:val="0"/>
        </w:rPr>
        <w:softHyphen/>
        <w:t xml:space="preserve">ми карбюраторами ВК-82 (типа Стромберг) завода № 33 и ЦВ-82. Второй из </w:t>
      </w:r>
      <w:r w:rsidRPr="00D03F3E">
        <w:rPr>
          <w:rFonts w:ascii="Times New Roman" w:cs="Times New Roman"/>
          <w:color w:val="000000" w:themeColor="text1"/>
          <w:spacing w:val="0"/>
        </w:rPr>
        <w:lastRenderedPageBreak/>
        <w:t>них отпал быстро, а первый поначалу подавал большие надежды. Но, несмотря на продолжение работ с ВК-82 в течение всего 1942 г., устойчивых положительных результатов добить</w:t>
      </w:r>
      <w:r w:rsidRPr="00D03F3E">
        <w:rPr>
          <w:rFonts w:ascii="Times New Roman" w:cs="Times New Roman"/>
          <w:color w:val="000000" w:themeColor="text1"/>
          <w:spacing w:val="0"/>
        </w:rPr>
        <w:softHyphen/>
        <w:t>ся не удавалось. В сентябре всё же вышел приказ НКАП о серийном их выпуске с ок</w:t>
      </w:r>
      <w:r w:rsidRPr="00D03F3E">
        <w:rPr>
          <w:rFonts w:ascii="Times New Roman" w:cs="Times New Roman"/>
          <w:color w:val="000000" w:themeColor="text1"/>
          <w:spacing w:val="0"/>
        </w:rPr>
        <w:softHyphen/>
        <w:t>тября 1942 г. К 1 января 1943 г. выпустили всего 30 штук ВК-82. Но в серию на заводе № 19 этот карбюратор так и не пошёл (15813).</w:t>
      </w:r>
    </w:p>
    <w:p w14:paraId="2C698F24" w14:textId="77777777" w:rsidR="00BC615F" w:rsidRPr="00D03F3E" w:rsidRDefault="00BC615F" w:rsidP="00D03F3E">
      <w:pPr>
        <w:pStyle w:val="27"/>
        <w:shd w:val="clear" w:color="auto" w:fill="auto"/>
        <w:spacing w:after="0" w:line="240" w:lineRule="auto"/>
        <w:ind w:firstLine="0"/>
        <w:rPr>
          <w:rFonts w:ascii="Times New Roman" w:cs="Times New Roman"/>
          <w:color w:val="000000" w:themeColor="text1"/>
          <w:spacing w:val="0"/>
        </w:rPr>
      </w:pPr>
    </w:p>
    <w:p w14:paraId="68A5218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на Ер-2 2М-30Б на заводах 134 и 500 был выполнен полет по программе взлета-посадки. Обнаружили тряску переднего мотора и полет прекратили, решив заменить мотор. 12-15 января 1943 меняли мотор (1458,30).</w:t>
      </w:r>
    </w:p>
    <w:p w14:paraId="2203525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7BA75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состоялся второй полет Би-1, но это был уже другой самолет и летали на лыжах. Летал Г.Я.Бахчиванджи (172,187).</w:t>
      </w:r>
    </w:p>
    <w:p w14:paraId="46CF30C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другим данным это был первый полет продолжительностью 4 мин, включая время разбега и пробега. Двигатель работал 63 сек. (1458,44).</w:t>
      </w:r>
    </w:p>
    <w:p w14:paraId="158F5ED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был составлен акт окончания наземных испытаний БИ-2 (2928,17).</w:t>
      </w:r>
    </w:p>
    <w:p w14:paraId="383562E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20E042" w14:textId="77777777" w:rsidR="008C5F3D" w:rsidRPr="00D03F3E" w:rsidRDefault="008C5F3D" w:rsidP="00D03F3E">
      <w:pPr>
        <w:pStyle w:val="ae"/>
        <w:shd w:val="clear" w:color="auto" w:fill="FFFFFF"/>
        <w:spacing w:before="0" w:after="0"/>
        <w:jc w:val="both"/>
        <w:rPr>
          <w:color w:val="000000" w:themeColor="text1"/>
          <w:sz w:val="16"/>
          <w:szCs w:val="16"/>
        </w:rPr>
      </w:pPr>
      <w:r w:rsidRPr="00D03F3E">
        <w:rPr>
          <w:color w:val="000000" w:themeColor="text1"/>
          <w:sz w:val="16"/>
          <w:szCs w:val="16"/>
        </w:rPr>
        <w:t>10 января 1943 г. состоялся второй полет БИ-1. К этому времени успели построить еще один эк земпляр самолета — БИ № 2. Бахчиванджи отлично выполнил полетное задание. Самописцы зафиксировали высоту 1100 м, скорость — 400 км/ч, время работы ЖРД — 63 секунды.</w:t>
      </w:r>
    </w:p>
    <w:p w14:paraId="4F482CBA" w14:textId="77777777" w:rsidR="008C5F3D" w:rsidRPr="00D03F3E" w:rsidRDefault="008C5F3D" w:rsidP="00D03F3E">
      <w:pPr>
        <w:pStyle w:val="ae"/>
        <w:shd w:val="clear" w:color="auto" w:fill="FFFFFF"/>
        <w:spacing w:before="0" w:after="0"/>
        <w:jc w:val="both"/>
        <w:rPr>
          <w:color w:val="000000" w:themeColor="text1"/>
          <w:sz w:val="16"/>
          <w:szCs w:val="16"/>
        </w:rPr>
      </w:pPr>
      <w:r w:rsidRPr="00D03F3E">
        <w:rPr>
          <w:color w:val="000000" w:themeColor="text1"/>
          <w:sz w:val="16"/>
          <w:szCs w:val="16"/>
        </w:rPr>
        <w:t>Спустя несколько дней Бахчиванджи был вызван в Моск ву в НКАП для участия в макетной комиссии, где утверждал ся эскизный проект и макет ракетного истребителя 302 (по имени Главного конструктора А.Г. Костикова самолет полу чил обозначение Ко-1) (19586).</w:t>
      </w:r>
    </w:p>
    <w:p w14:paraId="1EE8B304" w14:textId="77777777" w:rsidR="008C5F3D" w:rsidRPr="00D03F3E" w:rsidRDefault="008C5F3D" w:rsidP="00D03F3E">
      <w:pPr>
        <w:pStyle w:val="ae"/>
        <w:shd w:val="clear" w:color="auto" w:fill="FFFFFF"/>
        <w:spacing w:before="0" w:after="0"/>
        <w:jc w:val="both"/>
        <w:rPr>
          <w:color w:val="000000" w:themeColor="text1"/>
          <w:sz w:val="16"/>
          <w:szCs w:val="16"/>
        </w:rPr>
      </w:pPr>
    </w:p>
    <w:p w14:paraId="602852F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и 12 января и 11 и 14 марта 1943 состоялись полеты БИ-2 (второго) и в баки заливали от 315 до 498 кг горючего. 10 января летал к Бахчиванджи и в баки залили 310 кг. Летал на тяге 800 кг с ограничением скорости до 400 км/час и уборкой шасси (на 150 м и скорости 300 км/час) Летал 4 мин., двигатель работал 63 сек. и набрали высоту 1100 м (2928,16).</w:t>
      </w:r>
    </w:p>
    <w:p w14:paraId="060344D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73C82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макет реактивного перехватчика Костикова, изготовленный на заводе 23, был принят макетной комиссией (1458,40).</w:t>
      </w:r>
    </w:p>
    <w:p w14:paraId="62D2BC9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9AA63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вышло Постановление ГКО № 2727 О плане производства самолетов и моторов в январе месяце и первом квартале 1943 года.РГАНИР, Фонд ГКО, д. 80, лл. 3-7 (11012).</w:t>
      </w:r>
    </w:p>
    <w:p w14:paraId="4CE70A8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8CD87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вышло Постановление ГКО № 2729 О плане капитального строительства и материально-техническом обеспечении строительств Наркомавиапрома в I квартале 1943 года.РГАНИР, Фонд ГКО, д. 80, лл. 40-48, 49-64 (11012).</w:t>
      </w:r>
    </w:p>
    <w:p w14:paraId="7459B9E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3EB1B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вышло Постановление ГКО № 2732 О материально-техническом обеспечении авиационной промышленности в первом квартале 1943 года.РГАНИР, Фонд ГКО, д. 81, лл. 1-22, 23-113 (11012).</w:t>
      </w:r>
    </w:p>
    <w:p w14:paraId="4D353DD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92DC1E"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г. постановлением ГОКО № 2732с устанавливало, что отправку грузов в адрес предприятий НКАП предписывалось «производить только с оборотными поездами, а в направлениях, где обращение их не установлено, с первыми отходящими прямыми поездами, в том числе пассажирскими и военными; в особых случаях отгрузку материалов и изделий в адреса заводов НКАП производить отдельными эшелонами.</w:t>
      </w:r>
    </w:p>
    <w:p w14:paraId="33133168"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Обеспечить специальное наблюдение за передвижением грузов НКАП в пути». Запрещалось «кому бы то ни было, кроме НКАП, производить переадресовку вагонов с грузами, идущими в адреса предприятий и организаций НКАП» (12291).</w:t>
      </w:r>
    </w:p>
    <w:p w14:paraId="025B39B4" w14:textId="77777777" w:rsidR="000B21EB" w:rsidRPr="00D03F3E" w:rsidRDefault="000B21EB" w:rsidP="00D03F3E">
      <w:pPr>
        <w:spacing w:after="0" w:line="240" w:lineRule="auto"/>
        <w:jc w:val="both"/>
        <w:rPr>
          <w:rFonts w:ascii="Times New Roman" w:hAnsi="Times New Roman"/>
          <w:color w:val="000000" w:themeColor="text1"/>
          <w:sz w:val="16"/>
          <w:szCs w:val="16"/>
        </w:rPr>
      </w:pPr>
    </w:p>
    <w:p w14:paraId="00C1567B"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41F66F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BE81C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г. вышел ПРИКАЗ № 004 ОБ ИСПЫТАНИИ 152-мм САМОХОДНОЙ ПУШКИ</w:t>
      </w:r>
    </w:p>
    <w:p w14:paraId="0E8634E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постановления ГОКО от 4 января 1943 г. за № 2692сс в целях определения тактико-технических характеристик 152-мм самоходной пушки, изготовленной Кировским заводом Наркомтанкпрома и заводом № 172 Наркомвооружения, и для решения вопроса о принятии ее на вооружение артиллерии Красной Армии, приказываю:</w:t>
      </w:r>
    </w:p>
    <w:p w14:paraId="4DA92E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Комиссии, под председательством генерал-лейтенанта артиллерии т. Тихонова, в составе:</w:t>
      </w:r>
    </w:p>
    <w:p w14:paraId="6E6A2F6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председателя комиссии — инженер-полковник Комаров Н. Г., члены: от ГАУ КА — подполковник арт. техн. службы Алексеев И. П., от ГУ КАРТ КА — полковник Стеганцев А. И., полковник Панихин Д. И., подполковник Беликов, от ГАБТУ КА — инженер-майор Шамин А. И. с представителями НКТП и НКВ, при участии авторов-конструкторов — провести полигонные испытания указанного образца артиллерийского вооружения по программе Главного артиллерийского управления Красной Армии.</w:t>
      </w:r>
    </w:p>
    <w:p w14:paraId="7AA8C62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Испытание организовать на артиллерийском полигоне в районе г. Челябинска. Срок испытания 7 дней с момента прибытия образца на полигон.</w:t>
      </w:r>
    </w:p>
    <w:p w14:paraId="37C784B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Начальнику Главного артиллерийского управления Красной Армии генерал-полковнику артиллерии т. Яковлеву обеспечить испытания выстрелами в объеме утвержденной программы.</w:t>
      </w:r>
    </w:p>
    <w:p w14:paraId="7C3A33C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Начальнику Управления снабжения горючим Красной Армии бригинже-неру т. Кормилицыну обеспечить испытания горючим и смазочным материалом по заявке ГАУ.</w:t>
      </w:r>
    </w:p>
    <w:p w14:paraId="5FE0F29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Начальнику Управления военных сообщений Красной Армии генерал-майору технических войск т. Ковалеву обеспечить внеочередную доставку боеприпасов из Нижнего Тагила в г. Чебаркуль к 25 января с. г. по заявке ГАУ.</w:t>
      </w:r>
    </w:p>
    <w:p w14:paraId="53C8808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Начальнику Финансового управления при НКО генерал-майору интендантской службы т. Хотенко обеспечить финансирование организационно-административных расходов, связанных с проведением испытания, по счетам, заверенным председателем комиссии генрал-лейтенантом артиллерии т. Тихоновым, в сумме до 5 тысяч рублей.</w:t>
      </w:r>
    </w:p>
    <w:p w14:paraId="4DF7687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Начальнику Сталинградского учебного центра ГУ КАРТ Красной Армии генерал-майору артиллерии т. Бушуеву выделить на время испытаний в распоряжение председателя комиссии по его требованию четыре машины “Виллис” и одну полуторатонную грузовую машину с водителями, а также орудийный расчет и обеспечить размещение и довольствие личного состава комиссии и рабочей бригады.</w:t>
      </w:r>
    </w:p>
    <w:p w14:paraId="276EE07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Начальнику Главного управления продовольственного снабжения Красной Армии бригинженеру т. Павлову выделить начальнику Сталинградского учебного центра ГУКАРТ 7 месячных красноармейских пайков для питания участников испытаний.</w:t>
      </w:r>
    </w:p>
    <w:p w14:paraId="63A6032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По результатам испытаний председателю комиссии составить отчет, представив его мне, начальнику ГАУ, начальнику ГАБТУ, Наркомтанкпром, Нар-комвооружения, директору Кировского завода НКТП и директору завода № 172 НКВ.</w:t>
      </w:r>
    </w:p>
    <w:p w14:paraId="72D3EBC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Заместитель Народного комиссара обороны генерал-полковник ШАДЕНКО </w:t>
      </w:r>
      <w:r w:rsidRPr="00D03F3E">
        <w:rPr>
          <w:rFonts w:ascii="Times New Roman" w:hAnsi="Times New Roman"/>
          <w:color w:val="000000" w:themeColor="text1"/>
          <w:sz w:val="16"/>
          <w:szCs w:val="16"/>
        </w:rPr>
        <w:t>(9844).</w:t>
      </w:r>
    </w:p>
    <w:p w14:paraId="4708E76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A1C6D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1943г. вышел ПРИКАЗ НКО СССР ОБ ИСПЫТАНИИ 152-мм САМОХОДНОЙ ПУШКИ №004</w:t>
      </w:r>
    </w:p>
    <w:p w14:paraId="4856D67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Постановления ГОКО от 4 января 1943 г. за № 2692сс в целях определения так</w:t>
      </w:r>
      <w:r w:rsidRPr="00D03F3E">
        <w:rPr>
          <w:rFonts w:ascii="Times New Roman" w:hAnsi="Times New Roman"/>
          <w:color w:val="000000" w:themeColor="text1"/>
          <w:sz w:val="16"/>
          <w:szCs w:val="16"/>
        </w:rPr>
        <w:softHyphen/>
        <w:t>тико-технических характеристик 152-мм самоходной пушки, изготовленной Кировским заводом Наркомтанкпрома и заводом № 172 Наркомвооружения, и для решения вопроса о принятии ее на вооружение артиллерии Красной Армии ПРИКАЗЫВАЮ:</w:t>
      </w:r>
    </w:p>
    <w:p w14:paraId="466E665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Комиссии под председательством генерал-лейтенанта артиллерии т. Тихонова в составе:</w:t>
      </w:r>
    </w:p>
    <w:p w14:paraId="145868D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председателя комиссии — инженер-полковник Комаров Н.Г.,</w:t>
      </w:r>
    </w:p>
    <w:p w14:paraId="1EBB3FD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члены:</w:t>
      </w:r>
    </w:p>
    <w:p w14:paraId="108D3AB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 ГАУ КА — подполковник арт. техн. службы Алексеев И.П.,</w:t>
      </w:r>
    </w:p>
    <w:p w14:paraId="1511E13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 ГУКАРТ КА — полковник Стеганцев А.И., полковник Панихин Д.И., подполковник Беликов,</w:t>
      </w:r>
    </w:p>
    <w:p w14:paraId="69F8A11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 ГАБТУ КА — инженер-майор Шамин А.И.</w:t>
      </w:r>
    </w:p>
    <w:p w14:paraId="0248C11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представителями НКТП и НКВ при участии авторов-конструкторов провести полигонные испытания указанного образца артиллерийского вооружения по программе Главного артиллерий</w:t>
      </w:r>
      <w:r w:rsidRPr="00D03F3E">
        <w:rPr>
          <w:rFonts w:ascii="Times New Roman" w:hAnsi="Times New Roman"/>
          <w:color w:val="000000" w:themeColor="text1"/>
          <w:sz w:val="16"/>
          <w:szCs w:val="16"/>
        </w:rPr>
        <w:softHyphen/>
        <w:t>ского управления Красной Армии.</w:t>
      </w:r>
    </w:p>
    <w:p w14:paraId="3C24E2C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Испытание организовать на артиллерийском полигоне в районе г. Челябинска. Срок испыта</w:t>
      </w:r>
      <w:r w:rsidRPr="00D03F3E">
        <w:rPr>
          <w:rFonts w:ascii="Times New Roman" w:hAnsi="Times New Roman"/>
          <w:color w:val="000000" w:themeColor="text1"/>
          <w:sz w:val="16"/>
          <w:szCs w:val="16"/>
        </w:rPr>
        <w:softHyphen/>
        <w:t>ния 7 дней с момента прибытия образца на полигон.</w:t>
      </w:r>
    </w:p>
    <w:p w14:paraId="6E1DC2F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Начальнику Главного артиллерийского управления Красной Армии генерал-полковнику артиллерии т. Яковлеву обеспечить испытания выстрелами в объеме утвержденной программы.</w:t>
      </w:r>
    </w:p>
    <w:p w14:paraId="06CC7AA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Начальнику управления снабжения горючим Красной Армии бригинженеру т. Кормилицыну обеспечить испытания горючим и смазочным материалом по заявке ГАУ.</w:t>
      </w:r>
    </w:p>
    <w:p w14:paraId="6D8B4B0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5. Начальнику управления военных сообщений Красной Армии генерал-майору технических войск т. Ковалеву обеспечить внеочередную доставку боеприпасов из </w:t>
      </w:r>
      <w:r w:rsidRPr="00D03F3E">
        <w:rPr>
          <w:rFonts w:ascii="Times New Roman" w:hAnsi="Times New Roman"/>
          <w:color w:val="000000" w:themeColor="text1"/>
          <w:sz w:val="16"/>
          <w:szCs w:val="16"/>
        </w:rPr>
        <w:lastRenderedPageBreak/>
        <w:t>Нижнего Тагила в г. Чебаркуль к 25 января с.г. по заявке ГАУ.</w:t>
      </w:r>
    </w:p>
    <w:p w14:paraId="13CA92B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Начальнику финансового управления при НКО генерал-майору интендантской службы т. Хотенко обеспечить финансирование организационно-административных расходов, связан</w:t>
      </w:r>
      <w:r w:rsidRPr="00D03F3E">
        <w:rPr>
          <w:rFonts w:ascii="Times New Roman" w:hAnsi="Times New Roman"/>
          <w:color w:val="000000" w:themeColor="text1"/>
          <w:sz w:val="16"/>
          <w:szCs w:val="16"/>
        </w:rPr>
        <w:softHyphen/>
        <w:t>ных с проведением испытания, по счетам, заверенным председателем комиссии генерал-лейте</w:t>
      </w:r>
      <w:r w:rsidRPr="00D03F3E">
        <w:rPr>
          <w:rFonts w:ascii="Times New Roman" w:hAnsi="Times New Roman"/>
          <w:color w:val="000000" w:themeColor="text1"/>
          <w:sz w:val="16"/>
          <w:szCs w:val="16"/>
        </w:rPr>
        <w:softHyphen/>
        <w:t>нантом артиллерии т. Тихоновым, в сумме до 5 тысяч рублей.</w:t>
      </w:r>
    </w:p>
    <w:p w14:paraId="5D6AD5B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Начальнику Сталинградского учебного центра ГУКАРТ Красной Армии генерал-майору артилле</w:t>
      </w:r>
      <w:r w:rsidRPr="00D03F3E">
        <w:rPr>
          <w:rFonts w:ascii="Times New Roman" w:hAnsi="Times New Roman"/>
          <w:color w:val="000000" w:themeColor="text1"/>
          <w:sz w:val="16"/>
          <w:szCs w:val="16"/>
        </w:rPr>
        <w:softHyphen/>
        <w:t>рии т. Бушуеву выделить на время испытаний в распоряжение председателя комиссии по его требова</w:t>
      </w:r>
      <w:r w:rsidRPr="00D03F3E">
        <w:rPr>
          <w:rFonts w:ascii="Times New Roman" w:hAnsi="Times New Roman"/>
          <w:color w:val="000000" w:themeColor="text1"/>
          <w:sz w:val="16"/>
          <w:szCs w:val="16"/>
        </w:rPr>
        <w:softHyphen/>
        <w:t>нию четыре машины Виллис и одну полуторатонную грузовую машину с водителями, а также орудий</w:t>
      </w:r>
      <w:r w:rsidRPr="00D03F3E">
        <w:rPr>
          <w:rFonts w:ascii="Times New Roman" w:hAnsi="Times New Roman"/>
          <w:color w:val="000000" w:themeColor="text1"/>
          <w:sz w:val="16"/>
          <w:szCs w:val="16"/>
        </w:rPr>
        <w:softHyphen/>
        <w:t>ный расчет и обеспечить размещение и довольствие личного состава комиссии и рабочей бригады.</w:t>
      </w:r>
    </w:p>
    <w:p w14:paraId="66967F0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Начальнику Главного управления продовольственного снабжения Красной Армии бригинже-неру т. Павлову выделить начальнику Сталинградского учебного центра ГУКАРТ 7 месячных красно</w:t>
      </w:r>
      <w:r w:rsidRPr="00D03F3E">
        <w:rPr>
          <w:rFonts w:ascii="Times New Roman" w:hAnsi="Times New Roman"/>
          <w:color w:val="000000" w:themeColor="text1"/>
          <w:sz w:val="16"/>
          <w:szCs w:val="16"/>
        </w:rPr>
        <w:softHyphen/>
        <w:t>армейских пайков для питания участников испытаний.</w:t>
      </w:r>
    </w:p>
    <w:p w14:paraId="3694722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По результатам испытаний председателю комиссии составить отчет, представив его мне, начальнику ГАУ, начальнику ГАБТУ, Наркомтанкпром, Наркомвооружения, директору Кировского завода НКТП и директору завода № 172 НКВ.</w:t>
      </w:r>
    </w:p>
    <w:p w14:paraId="77EB517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Заместитель народного комиссара обороны СССР генерал-полковник Щаденко</w:t>
      </w:r>
    </w:p>
    <w:p w14:paraId="19A187F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РГВА. Ф. 4. Оп. 11. Д. 74. Л.33-34. Подлинник (11403).</w:t>
      </w:r>
    </w:p>
    <w:p w14:paraId="64E9F60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91636E" w14:textId="77777777" w:rsidR="00EE2673" w:rsidRPr="00D03F3E" w:rsidRDefault="00EE267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10–16 января 1943 года в тире завода №700 в Лысьве соостоялся первый этап сравнительных испытаний стальных шлемов отечественного и немецкого производства, второй прошёл 7–12 февраля на Научно-исследовательском полигоне стрелковых вооружений Главного артиллерийского управления (НИПСВО ГАУ КА) в подмосковном Щурово. Испытанию подвергались СШ-40, сделанные из сталей марок И-1 и И-2, а также трофейные немецкие шлемы.</w:t>
      </w:r>
    </w:p>
    <w:p w14:paraId="2AA065D4" w14:textId="77777777" w:rsidR="00EE2673" w:rsidRPr="00D03F3E" w:rsidRDefault="00EE267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 сожалению, трофейные немецкие шлемы не были разобраны по типам и одинаково испытывались все, хотя между шестью разными моделями (M16, M17, M18, M35, M40 и M42) была существенная разница. Сделать такое предположение позволяет таблица-реестр корпусов немецких шлемов, из которой видно, что испытывались шлемы разных размеров, а в таблице с определёнными на заводе №700 и НИПСВО химическим составом стали и твёрдостью видно, что это каски разных типов. Местами в таблице вместе с размерами шлемов указана заводская маркировка, из чего следует, что это были каски разных заводов.</w:t>
      </w:r>
    </w:p>
    <w:p w14:paraId="666F3B06" w14:textId="77777777" w:rsidR="00EE2673" w:rsidRPr="00D03F3E" w:rsidRDefault="00EE267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Испытания не подразумевали только определение химического состава и твёрдости материала касок, наиболее интересная их часть – обстрел и близкие подрывы боеприпасов – давало наглядное представление о том, чья каска лучше.</w:t>
      </w:r>
    </w:p>
    <w:p w14:paraId="54383A2F" w14:textId="77777777" w:rsidR="00EE2673" w:rsidRPr="00D03F3E" w:rsidRDefault="00EE267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Стрелять на первом этапе испытаний предполагали из 7,62-мм винтовки Мосина обр. 1891/1930 г. патроном с приведённым зарядом (рассчитанным на дальность 800, 900 и 1000 м) пулей обр. 1908 г. из-за небольшой длины тира завода №700, и из 7,62-мм револьвера Нагана обр. 1895 г. «Наган» с дистанции 10 м (17495).</w:t>
      </w:r>
    </w:p>
    <w:p w14:paraId="0C1CF139" w14:textId="77777777" w:rsidR="00EE2673" w:rsidRPr="00D03F3E" w:rsidRDefault="00EE2673" w:rsidP="00D03F3E">
      <w:pPr>
        <w:spacing w:after="0" w:line="240" w:lineRule="auto"/>
        <w:jc w:val="both"/>
        <w:rPr>
          <w:rFonts w:ascii="Times New Roman" w:eastAsia="Times New Roman" w:hAnsi="Times New Roman"/>
          <w:color w:val="000000" w:themeColor="text1"/>
          <w:sz w:val="16"/>
          <w:szCs w:val="16"/>
          <w:lang w:eastAsia="ru-RU"/>
        </w:rPr>
      </w:pPr>
    </w:p>
    <w:p w14:paraId="4D5ECA8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вышло Распоряжение ГКО № 2723 О 1-м участке Усовского совхоза.РГАНИР, Фонд ГКО, д. 79, лл. 146 (11012).</w:t>
      </w:r>
    </w:p>
    <w:p w14:paraId="488BBCE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DB0EC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вышло Постановление ГКО № 2724 О поставке Наркомвоенморфлоту аккумуляторных батарей для подводных лодок.РГАНИР, Фонд ГКО, д. 79, лл. 147-151, 152-157 (11012).</w:t>
      </w:r>
    </w:p>
    <w:p w14:paraId="75D219B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3086C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вышло Постановление ГКО № 2725 О плане заказов Наркомвоенморфлоту на 1943 год и I квартал 1943 года по тральному вооружению, судовому оборудованию и запасным частям к механизмам.РГАНИР, Фонд ГКО, д. 79, лл. 158-162, 163-205 (11012).</w:t>
      </w:r>
    </w:p>
    <w:p w14:paraId="18AE39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E10E2F"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вышло Постановление ГКО № 2728 О поставке средств и имущества связи для HКО, HКВМФ, войск HКВД СССР, ГУГВФ, HКПС, Наркомсвязи, Наркомугля, Hаркомречфлота и института-301 в I квартале 1943 года. (7073, 8-11,12-39).</w:t>
      </w:r>
    </w:p>
    <w:p w14:paraId="4AEA18B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C3C149"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вышло Распоряжение ГКО № 2733 [Об оставлении на строительстве Туркестано-Сибирской ж.д. до 20 февраля 1943 г. 500 корейцев, подлежащих отправке в Подмосковный угольный бассейн.] (7074, 114).</w:t>
      </w:r>
    </w:p>
    <w:p w14:paraId="1DDAD0F5"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8F0CC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Решение Военного совета КБФ об установке на амортизаторы механизмов и приборов на ПЛ (на Балтийском заводе -на трех, на Адмиралтейском - на девяти, на Морском заводе в Кронштадте - на шести). Установка броневых плит толщиной от 37 до 100 мм на палубах кораблей для защиты от бомб и снарядов, броневых щитков на БТЩ в районе боевых постов и главных командных пунктов (10671).</w:t>
      </w:r>
    </w:p>
    <w:p w14:paraId="00E972C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E5F3EC"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0ECB693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906F6F"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10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3C0FCE9A"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10 января наши войска в районе Нижнего Дона, на Центральном фронте и на Северном Кавказе продолжали бои на прежних направлениях.</w:t>
      </w:r>
    </w:p>
    <w:p w14:paraId="4575C0E6"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заводском районе Сталинграда наши подразделения штурмом взяли несколько вражеских укреплений. Артиллеристы активно поддерживали действия пехоты и подавили огневые точки противника. Захвачено 20 немецких дзотов и блиндажей, истреблено до 200 гитлеровцев. Северо-западнее Сталинграда наши артиллеристы вели обстрел вражеских позиций.</w:t>
      </w:r>
    </w:p>
    <w:p w14:paraId="51761CB5"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Нижнего Дона советские войска, преодолевая сопротивление противникаи отбивая его контратаки, продолжали успешное наступление. На одном участке советские бойцы прорвали вражескую оборону и, преследуя разгромленного противника, овладели рядом населённых пунктов. На поле боя осталось до 800 трупов немецких солдат и офицеров, 6 сожжённых танков и свыше 40 разбитых автомашин. Захвачено 16 орудий, 47 пулемётов, 20 миномётов, 3 танкетки, 24 автомашины, радиостанция и несколько складов с боеприпасами, продовольствием и другими военными материалами. На другом участке огнём нашей артиллерии отбита контратака гитлеровцев и уничтожено 3 немецких танка, самоходное орудие, 7 автомашин и до роты немецкой пехоты.</w:t>
      </w:r>
    </w:p>
    <w:p w14:paraId="3B382DD6"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наши войска закреплялись на достигнутых рубежах и отбивали контратаки противника. Юго-западнее Великих Лук немцы бросили в контратаку крупные силы пехоты и большое количество танков. Ожесточённые бои на этом участке продолжались два дня. Гитлеровцы понесли огромные потери в технике и живой силе. На другом участке бойцы Н-ского подразделения взяли в плен 130 солдат противника.</w:t>
      </w:r>
    </w:p>
    <w:p w14:paraId="75433BA9"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с боями продвигались вперёд и заняли 30 населённых пунктов. Захвачены большие трофеи: 15 самолётов, 22 танка, 30 орудий, 55 миномётов, 260 противотанковых ружей, 241 автомашина, 20 авиамоторов, 2 крупных склада авиабомб, склады с боеприпасами, а также много другого военного имущества. Преследуя отступающего противника, бойцы части, которой командует тов. Резниченко, уничтожили более 300 гитлеровцев. Бойцы подразделения лейтенанта Кузьменко ворвались в населённый пункт, заняли несколько домов и держали немцев под непрерывным огнём до тех пор, пока другие наши подразделения не очистили подступы и окраины пункта. В результате умелых действий наших подразделений населённый пункт был занят без потерь с нашей стороны. Гитлеровцы оставили на улицах 80 трупов.</w:t>
      </w:r>
    </w:p>
    <w:p w14:paraId="2F54C931"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на Северном Кавказе, уничтожили транспортный самолёт противника и убили двух немецких лётчиков. Захвачены почта и документы. Группа партизан этого отряда сожгла мост на шоссейной дороге и уничтожила немецкую штабную машину. Другой отряд северо-кавказских партизан организовал крушение вражеского железнодорожного эшелона, направлявшегося к линии фронта. В результате крушения разбиты паровоз и 27 вагонов. Убито и ранено более 100 гитлеровцев.</w:t>
      </w:r>
    </w:p>
    <w:p w14:paraId="62B72DF2"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бойцов и командиров составила акт о зверствах немецко-фашистских мерзавцев в районе железнодорожной станции Котляревская на Северном Кавказе. В акте говорится: «В Котляревской нами обнаружены в помещении склада 6 трупов красноармейцев и одной женщины в гражданской одежде. На трупах имеются многочисленные следы зверских пыток. Гитлеровцы выкололи своим жертвам глаза, обрубили пальцы, вывернули ноги, лица обезображены настолько, что опознать трупы невозможно. Установлено лишь, что в числе убитых был красноармеец П.Н.Лещенко, который, находясь в разведке, был ранен и захвачен немцами». Акт подписали: военфельдшер Петренко, старший лейтенант Белоглазов, старшина Молоховец и другие.</w:t>
      </w:r>
    </w:p>
    <w:p w14:paraId="286A9241"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осведомлённых источников сообщают, что с июня по декабрь 1942 года из различных городов Германии сбежали на родину десятки тысяч бельгийских рабочих, насильно увезённых на германские предприятия.» (15005).</w:t>
      </w:r>
    </w:p>
    <w:p w14:paraId="1B798C53"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21091549"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10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74824FC8"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наши войска на Северном Кавказе, продолжая наступление, овладели городом Воронцово-Александровское, районным центром Каменномостское, крупными населёнными пунктами — Сармаково, Камлюков, Малка, Петровский, Отказное,Новозаведенское, Обильное, Георгиевская, Незлобная, Лысогорская и железнодорожной станцией Кума.</w:t>
      </w:r>
    </w:p>
    <w:p w14:paraId="463BA9B0"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Нижнего Дона и на Центральном фронте наши войска продолжали наступательные бои на прежних направлениях.</w:t>
      </w:r>
    </w:p>
    <w:p w14:paraId="79E98C7E"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3 по 9 января включительно, в воздушных боях и на аэродромах противника уничтожено 313 немецких самолётов. Наши потери за это же время — 93 самолёта.</w:t>
      </w:r>
    </w:p>
    <w:p w14:paraId="0FBFA986"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кораблями в Баренцевом море потоплен транспорт противника водоизмещением в 12.000 тонн.</w:t>
      </w:r>
    </w:p>
    <w:p w14:paraId="46D734F3"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районе Сталинграда огнём нашей артиллерии, а также действиями штурмовых отрядов уничтожено до 300 немецких солдат и офицеров, 2 орудия, разрушено 27 дзотов и блиндажей. Советские разведчики захватили 17 пленных. Огнём из пехотного оружия сбито 2 немецких самолёта.</w:t>
      </w:r>
    </w:p>
    <w:p w14:paraId="49171BC1"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Нижнего Дона наши войска вели наступательные бои. На ряде участков немцы оказывают отчаянное сопротивление. Н-ская часть, продвигаясь вперёд, в течение дня отбила шесть контратак противника. Гитлеровцы понесли большие потери, но им не удалось приостановить наступление советских войск. К исходу дня наши подразделения стремительным броском вышли противнику во фланг и внезапно обрушились на него. В получасовой схватке немцы были разгромлены. Уничтожено свыше 600 гитлеровцев и 8 немецких танков. Захвачено 10 орудий, 27 пулемётов, 12 миномётов, 43 автомашины. Взяты пленные. В районе Зимовников советские войска освободили от немецко-фашистских захватчиков ещё несколько населённых пунктов и нанесли противнику большой урон в живой силе и технике.</w:t>
      </w:r>
    </w:p>
    <w:p w14:paraId="16908DE9"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продолжались бои на прежних направлениях. Юго-западнее Великих Лук немцы под прикрытием танков и бронемашин вели неоднократные контратаки. Наши подразделения сильным ружейно-пулемётным и миномётным огнём отсекли пехоту противника от танков и бронемашин и вели бой на её истребление. На другом участке артиллеристы части, где командиром тов. Маслов, огневым налётом уничтожили до роты немецкой пехоты, 3 танка и подавили огонь артиллерии противника.</w:t>
      </w:r>
    </w:p>
    <w:p w14:paraId="42A0F278"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с боями продвигались вперёд и заняли несколько населённых пунктов. Бойцы Н-ской части уничтожили свыше 200 гитлеровцев и захватили много пленных. На других участках наши войска, преследуя разбитые части противника, захватили большие трофеи. По дополнительным данным, взяты следующие трофеи: 20 танков, 170 автомашин, 180 тысяч снарядов, 25 тысяч ручных гранат, 19.000 мин, 141 тысяча патронов для противотанковых ружей, до 2 миллионов винтовочных патронов, 5 миллионов динамитных и ракетных патронов, 400 ящиков тола, 3 миллиона гильз к артиллерийским снарядам, 12.000 мотков колючей проволоки и много другого военного имущества.</w:t>
      </w:r>
    </w:p>
    <w:p w14:paraId="3382C2BB"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снайперы за два дня истребили 247 гитлеровцев.Снайперы — младший лейтенант тов. Бродяной и красноармеец тов. Авраменко, заняв недалеко от вражеских траншей выгодную огневую позицию, в течение одного дня истребили — первый 12, а второй— 11 гитлеровцев.</w:t>
      </w:r>
    </w:p>
    <w:p w14:paraId="3A75514E"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подступах к Ленинграду сбито 2 немецких самолёта.</w:t>
      </w:r>
    </w:p>
    <w:p w14:paraId="41BD0137"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партизан отряда, действующего в одном из районов Латвийской ССР, пустила под откос 3 немецких воинских эшелона. Один из эшелонов шёл двойной тягой. Вагоны были битком набиты немецкими солдатами и офицерами. При крушении большая часть вагонов разбита. Через несколько часов немцы выслали к месту крушения специальный санитарный поезд. Почти целый день санитарная команда подбирала тяжело раненных и убитых гитлеровцев. Другой отряд латвийских партизан из засад на дорогах истребил 44 и ранил 28 вражеских солдат и офицеров.</w:t>
      </w:r>
    </w:p>
    <w:p w14:paraId="0AE479B2"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Бежавший из минского концентрационного лагеря житель города Бобруйска Андрей Сущевский рассказал: «В минском концентрационном лагере, расположенном в 6километрах от города, томятся около 8 тысяч мирных советских граждан и советских военнопленных. Гитлеровцы истребляют заключённых, но лагерь всё время пополняется. Сюда привозят советских граждан, заподозренных в саботаже приказов немецких военных властей, мужчин и женщин, отказавшихся ехать в Германию, крестьян, не уплативших многочисленные и непосильные налоги. В ноябре в лагерь пригнали свыше 200 железнодорожных рабочих и служащих, категорически отказавшихся работать на немецких захватчиков. В первый же день их жестоко избили. Машиниста Аксютича и диспетчера Володько гитлеровцы подвергли порке. Учителя Мациевича гитлеровские палачи в декабрьский морозный день раздели донага и обливали водой. Ежедневно штурмовики, охраняющие лагерь, убивают десятки заключённых. В лагере находится также несколько сот детей, арестованных вместе с родителями. Многие дети умирают от холода и голода».</w:t>
      </w:r>
    </w:p>
    <w:p w14:paraId="7A1D458D"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заводском аэродроме одного берлинского авиационного завода 17 декабря при испытаниях разбились 5 военных самолётов. В связи с этим обнаружилось, что большая партия выпущенных самолётов имеет серьёзные дефекты. На этом заводе работает большое количество иностранных рабочих.» (15005).</w:t>
      </w:r>
    </w:p>
    <w:p w14:paraId="500232A6"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7F5DF107"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10 января</w:t>
      </w:r>
      <w:r w:rsidRPr="00D03F3E">
        <w:rPr>
          <w:rFonts w:ascii="Times New Roman" w:hAnsi="Times New Roman"/>
          <w:color w:val="000000" w:themeColor="text1"/>
          <w:sz w:val="16"/>
          <w:szCs w:val="16"/>
        </w:rPr>
        <w:t xml:space="preserve"> в 1943 году началось наступление войск Донского фронта с целью ликвидации окруженных под Сталинградом немецко-фашистских войск (операция "Кольцо") (15005).</w:t>
      </w:r>
    </w:p>
    <w:p w14:paraId="51F49ADE"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2FE62445"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10 января</w:t>
      </w:r>
      <w:r w:rsidRPr="00D03F3E">
        <w:rPr>
          <w:rFonts w:ascii="Times New Roman" w:hAnsi="Times New Roman"/>
          <w:color w:val="000000" w:themeColor="text1"/>
          <w:sz w:val="16"/>
          <w:szCs w:val="16"/>
        </w:rPr>
        <w:t xml:space="preserve"> в 1943 году войска Северо-Кавказского фронта освободили город Кисловодск (15005).</w:t>
      </w:r>
    </w:p>
    <w:p w14:paraId="2B0A3AF1"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4283FB2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rPr>
        <w:t>10 января 1943 г. войска Донского фронта после 55 минутной артиллерий</w:t>
      </w:r>
      <w:r w:rsidRPr="00D03F3E">
        <w:rPr>
          <w:rFonts w:ascii="Times New Roman" w:hAnsi="Times New Roman"/>
          <w:color w:val="000000" w:themeColor="text1"/>
          <w:sz w:val="16"/>
          <w:szCs w:val="16"/>
        </w:rPr>
        <w:softHyphen/>
        <w:t>ской и авиационной подготовки пере</w:t>
      </w:r>
      <w:r w:rsidRPr="00D03F3E">
        <w:rPr>
          <w:rFonts w:ascii="Times New Roman" w:hAnsi="Times New Roman"/>
          <w:color w:val="000000" w:themeColor="text1"/>
          <w:sz w:val="16"/>
          <w:szCs w:val="16"/>
        </w:rPr>
        <w:softHyphen/>
        <w:t>шли в наступление, прорвали оборону противника и 2 февраля ликвидирова</w:t>
      </w:r>
      <w:r w:rsidRPr="00D03F3E">
        <w:rPr>
          <w:rFonts w:ascii="Times New Roman" w:hAnsi="Times New Roman"/>
          <w:color w:val="000000" w:themeColor="text1"/>
          <w:sz w:val="16"/>
          <w:szCs w:val="16"/>
        </w:rPr>
        <w:softHyphen/>
        <w:t>ли в северной части Сталинграда пос</w:t>
      </w:r>
      <w:r w:rsidRPr="00D03F3E">
        <w:rPr>
          <w:rFonts w:ascii="Times New Roman" w:hAnsi="Times New Roman"/>
          <w:color w:val="000000" w:themeColor="text1"/>
          <w:sz w:val="16"/>
          <w:szCs w:val="16"/>
        </w:rPr>
        <w:softHyphen/>
        <w:t>леднюю немецкуюгруппировку</w:t>
      </w:r>
      <w:r w:rsidRPr="00D03F3E">
        <w:rPr>
          <w:rFonts w:ascii="Times New Roman" w:hAnsi="Times New Roman"/>
          <w:color w:val="000000" w:themeColor="text1"/>
          <w:sz w:val="16"/>
          <w:szCs w:val="16"/>
          <w:lang w:val="en-US"/>
        </w:rPr>
        <w:t xml:space="preserve">. </w:t>
      </w:r>
      <w:r w:rsidRPr="00D03F3E">
        <w:rPr>
          <w:rFonts w:ascii="Times New Roman" w:hAnsi="Times New Roman"/>
          <w:color w:val="000000" w:themeColor="text1"/>
          <w:sz w:val="16"/>
          <w:szCs w:val="16"/>
        </w:rPr>
        <w:t>ВбитвезаСталинградбылапоставленаточка</w:t>
      </w:r>
      <w:r w:rsidRPr="00D03F3E">
        <w:rPr>
          <w:rFonts w:ascii="Times New Roman" w:hAnsi="Times New Roman"/>
          <w:color w:val="000000" w:themeColor="text1"/>
          <w:sz w:val="16"/>
          <w:szCs w:val="16"/>
          <w:lang w:val="en-US"/>
        </w:rPr>
        <w:t xml:space="preserve"> (6467).</w:t>
      </w:r>
    </w:p>
    <w:p w14:paraId="5C46EB9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7C8292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January 10, 1943: After a 55-minute bombardment by thousands of guns and rocket-launchers, and employing seven armies, the Red Army begins Operation Ring, the final annihilation of the tattered remnants of 6.Armee defending themselves desperately against all odds in the ruins of Stalingrad (3819).</w:t>
      </w:r>
    </w:p>
    <w:p w14:paraId="44E0040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1075D3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January 10 1943 Russians begin attack against Stalingrad pocket (1037).</w:t>
      </w:r>
    </w:p>
    <w:p w14:paraId="72906E5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9E695A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началось уничтожение группировка 6А Паулюса в Сталинграде (1037).</w:t>
      </w:r>
    </w:p>
    <w:p w14:paraId="0E08774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D55E9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советские войска потребовали от Паулюса сдачи (2246,1).</w:t>
      </w:r>
    </w:p>
    <w:p w14:paraId="159AF21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4551F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был впервые применен метод огневого вала поддержки атаки (2989) на участке прорыва 65А (П.И.Батов) на глубину 1 км (3398,20).</w:t>
      </w:r>
    </w:p>
    <w:p w14:paraId="226637C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76152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1943г. вышел ПРИКАЗ НАРОДНОГО КОМИССАРА ОБОРОНЫ СССР ОБ УСИЛЕНИИ ОГНЕВОЙ МОЩИ ТАНКОВЫХ И МЕХАНИЗИРОВАННЫХ ЧАСТЕЙ И СОЕДИНЕНИЙ КА №020</w:t>
      </w:r>
    </w:p>
    <w:p w14:paraId="3B1710F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усиления огневой мощи танковых и механизированных частей и соединений Красной Армии ПРИКАЗЫВАЮ:</w:t>
      </w:r>
    </w:p>
    <w:p w14:paraId="7EF21D8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 15 января 1943 года в штаты частей дополнительно ввести:</w:t>
      </w:r>
    </w:p>
    <w:p w14:paraId="2964C44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В гвардейский танковый полк прорыва — взвод автоматчиков, численностью 33 человека и 32 ППШ.</w:t>
      </w:r>
    </w:p>
    <w:p w14:paraId="19CA9CA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В танковую бригаду — роту противотанковых ружей по штату №010/375, численностью 61 человек и 18 ПТР.</w:t>
      </w:r>
    </w:p>
    <w:p w14:paraId="0CE889B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 танковый и механизированный корпуса — минометный полк РГК по штату №08/106 и само</w:t>
      </w:r>
      <w:r w:rsidRPr="00D03F3E">
        <w:rPr>
          <w:rFonts w:ascii="Times New Roman" w:hAnsi="Times New Roman"/>
          <w:color w:val="000000" w:themeColor="text1"/>
          <w:sz w:val="16"/>
          <w:szCs w:val="16"/>
        </w:rPr>
        <w:softHyphen/>
        <w:t>ходный артиллерийский полк РГК, по штату №08/158.</w:t>
      </w:r>
    </w:p>
    <w:p w14:paraId="4FF8CDA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Повысить с 1 января 1943 года оклады содержания личному составу частей, подразделений и отдельным группам бойцов, вооруженных противотанковыми ружьями: рядовому и младшему нач</w:t>
      </w:r>
      <w:r w:rsidRPr="00D03F3E">
        <w:rPr>
          <w:rFonts w:ascii="Times New Roman" w:hAnsi="Times New Roman"/>
          <w:color w:val="000000" w:themeColor="text1"/>
          <w:sz w:val="16"/>
          <w:szCs w:val="16"/>
        </w:rPr>
        <w:softHyphen/>
        <w:t>составу на 100%, среднему и выше начальствующему составу в среднем на 25%.</w:t>
      </w:r>
    </w:p>
    <w:p w14:paraId="16F78AF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Размеры оклада по каждой должности установить распоряжением начальника финансового управления при НКО по согласованию с командующим бронетанковыми и механизированными войсками Красной Армии.</w:t>
      </w:r>
    </w:p>
    <w:p w14:paraId="319BF2A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Народный комиссар обороны СССР И. Сталин</w:t>
      </w:r>
    </w:p>
    <w:p w14:paraId="46B8322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2. Оп. 795437 Д. 11. Л. 54. Копия (11403).</w:t>
      </w:r>
    </w:p>
    <w:p w14:paraId="2369D5D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3C9B3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г. вышел ПРИКАЗ НКО СССР С ОБЪЯВЛЕНИЕМ УКАЗА ПРЕЗИДИУМА ВЕРХОВНОГО СОВЕТА СССР «О ВВЕДЕНИИ НОВЫХ ЗНАКОВ РАЗЛИЧИЯ ДЛЯ ЛИЧНОГО СОСТАВА КРАСНОЙ АРМИИ» №24</w:t>
      </w:r>
    </w:p>
    <w:p w14:paraId="661BD3E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Объявляю Указ Президиума Верховного Совета СССР от 6 января 1943 г. «О введении новых знаков различия для личного состава Красной Армии».</w:t>
      </w:r>
    </w:p>
    <w:p w14:paraId="549D9BA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Заместитель народного комиссара обороны СССР</w:t>
      </w:r>
    </w:p>
    <w:p w14:paraId="3D69929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генерал-майор Румянцев</w:t>
      </w:r>
    </w:p>
    <w:p w14:paraId="162874E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УКАЗ ПРЕЗИДИУМА ВЕРХОВНОГО СОВЕТА СССР</w:t>
      </w:r>
    </w:p>
    <w:p w14:paraId="291AA76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введении новых знаков различия для личного состава Красной Армии</w:t>
      </w:r>
    </w:p>
    <w:p w14:paraId="7E94E53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Удовлетворить ходатайство Народного комиссариата обороны и ввести взамен существующих новые знаки различия — погоны для личного состава Красной Армии.</w:t>
      </w:r>
    </w:p>
    <w:p w14:paraId="312993A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Утвердить образцы и описание новых знаков различия личного состава Красной Армии</w:t>
      </w:r>
      <w:r w:rsidRPr="00D03F3E">
        <w:rPr>
          <w:rFonts w:ascii="Times New Roman" w:hAnsi="Times New Roman"/>
          <w:color w:val="000000" w:themeColor="text1"/>
          <w:sz w:val="16"/>
          <w:szCs w:val="16"/>
          <w:vertAlign w:val="superscript"/>
        </w:rPr>
        <w:t>1</w:t>
      </w:r>
      <w:r w:rsidRPr="00D03F3E">
        <w:rPr>
          <w:rFonts w:ascii="Times New Roman" w:hAnsi="Times New Roman"/>
          <w:color w:val="000000" w:themeColor="text1"/>
          <w:sz w:val="16"/>
          <w:szCs w:val="16"/>
        </w:rPr>
        <w:t>.</w:t>
      </w:r>
    </w:p>
    <w:p w14:paraId="2311EAB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Народному комиссару обороны СССР установить сроки перехода на новые знаки различия и внести необходимые изменения в форму одежды личного состава Красной Армии.</w:t>
      </w:r>
    </w:p>
    <w:p w14:paraId="0167780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Президиума Верховного Совета СССР</w:t>
      </w:r>
    </w:p>
    <w:p w14:paraId="7973974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 Калинин</w:t>
      </w:r>
    </w:p>
    <w:p w14:paraId="6280561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Секретарь Президиума Верховного Совета СССР А. Горкин</w:t>
      </w:r>
    </w:p>
    <w:p w14:paraId="7074868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 Кремль. 6 января 1943 г. РГВА. Ф. 4. Оп. 12. Д. 107. Л. 107. Подлинник (11403).</w:t>
      </w:r>
    </w:p>
    <w:p w14:paraId="415ABE4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421809"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6FA0E93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2086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10 января 1943 г. судно "Сити оф Дерби" доставило в Басру 35 "Спит</w:t>
      </w:r>
      <w:r w:rsidRPr="00D03F3E">
        <w:rPr>
          <w:rFonts w:ascii="Times New Roman" w:hAnsi="Times New Roman"/>
          <w:color w:val="000000" w:themeColor="text1"/>
          <w:sz w:val="16"/>
          <w:szCs w:val="16"/>
        </w:rPr>
        <w:softHyphen/>
        <w:t>файров" УВ. Остальные поступили к концу марта. Часть машин разбили при транспортировке (только на "Сити оф Лилль" - пять) или передали английс</w:t>
      </w:r>
      <w:r w:rsidRPr="00D03F3E">
        <w:rPr>
          <w:rFonts w:ascii="Times New Roman" w:hAnsi="Times New Roman"/>
          <w:color w:val="000000" w:themeColor="text1"/>
          <w:sz w:val="16"/>
          <w:szCs w:val="16"/>
        </w:rPr>
        <w:softHyphen/>
        <w:t>ким и американским частям на Ближ</w:t>
      </w:r>
      <w:r w:rsidRPr="00D03F3E">
        <w:rPr>
          <w:rFonts w:ascii="Times New Roman" w:hAnsi="Times New Roman"/>
          <w:color w:val="000000" w:themeColor="text1"/>
          <w:sz w:val="16"/>
          <w:szCs w:val="16"/>
        </w:rPr>
        <w:softHyphen/>
        <w:t>нем Востоке. Все эти самолеты уже были в эксп</w:t>
      </w:r>
      <w:r w:rsidRPr="00D03F3E">
        <w:rPr>
          <w:rFonts w:ascii="Times New Roman" w:hAnsi="Times New Roman"/>
          <w:color w:val="000000" w:themeColor="text1"/>
          <w:sz w:val="16"/>
          <w:szCs w:val="16"/>
        </w:rPr>
        <w:softHyphen/>
        <w:t>луатации, но перед отправкой прошли ремонт в Англии. Там машины разных серий и лет выпуска привели к едино</w:t>
      </w:r>
      <w:r w:rsidRPr="00D03F3E">
        <w:rPr>
          <w:rFonts w:ascii="Times New Roman" w:hAnsi="Times New Roman"/>
          <w:color w:val="000000" w:themeColor="text1"/>
          <w:sz w:val="16"/>
          <w:szCs w:val="16"/>
        </w:rPr>
        <w:softHyphen/>
        <w:t>му стандарту. Такая доработка иног</w:t>
      </w:r>
      <w:r w:rsidRPr="00D03F3E">
        <w:rPr>
          <w:rFonts w:ascii="Times New Roman" w:hAnsi="Times New Roman"/>
          <w:color w:val="000000" w:themeColor="text1"/>
          <w:sz w:val="16"/>
          <w:szCs w:val="16"/>
        </w:rPr>
        <w:softHyphen/>
        <w:t>да сужала боевые возможности истре</w:t>
      </w:r>
      <w:r w:rsidRPr="00D03F3E">
        <w:rPr>
          <w:rFonts w:ascii="Times New Roman" w:hAnsi="Times New Roman"/>
          <w:color w:val="000000" w:themeColor="text1"/>
          <w:sz w:val="16"/>
          <w:szCs w:val="16"/>
        </w:rPr>
        <w:softHyphen/>
        <w:t>бителя. Так, с самолетов поздних вы</w:t>
      </w:r>
      <w:r w:rsidRPr="00D03F3E">
        <w:rPr>
          <w:rFonts w:ascii="Times New Roman" w:hAnsi="Times New Roman"/>
          <w:color w:val="000000" w:themeColor="text1"/>
          <w:sz w:val="16"/>
          <w:szCs w:val="16"/>
        </w:rPr>
        <w:softHyphen/>
        <w:t>пусков снимались подвесные баки. Современные УКВ-радиостанции ТК1133 менялись на более ранниеТК90 (хотя по советским меркам и последняя была очень неплохой). Всего советская сторона приняла 143 "Спитфайра" УВ. Приемка осуще</w:t>
      </w:r>
      <w:r w:rsidRPr="00D03F3E">
        <w:rPr>
          <w:rFonts w:ascii="Times New Roman" w:hAnsi="Times New Roman"/>
          <w:color w:val="000000" w:themeColor="text1"/>
          <w:sz w:val="16"/>
          <w:szCs w:val="16"/>
        </w:rPr>
        <w:softHyphen/>
        <w:t>ствлялась на аэродроме Шуайба, от</w:t>
      </w:r>
      <w:r w:rsidRPr="00D03F3E">
        <w:rPr>
          <w:rFonts w:ascii="Times New Roman" w:hAnsi="Times New Roman"/>
          <w:color w:val="000000" w:themeColor="text1"/>
          <w:sz w:val="16"/>
          <w:szCs w:val="16"/>
        </w:rPr>
        <w:softHyphen/>
        <w:t>куда истребители уже с красными звез</w:t>
      </w:r>
      <w:r w:rsidRPr="00D03F3E">
        <w:rPr>
          <w:rFonts w:ascii="Times New Roman" w:hAnsi="Times New Roman"/>
          <w:color w:val="000000" w:themeColor="text1"/>
          <w:sz w:val="16"/>
          <w:szCs w:val="16"/>
        </w:rPr>
        <w:softHyphen/>
        <w:t>дами летели через Иран в Азербайд</w:t>
      </w:r>
      <w:r w:rsidRPr="00D03F3E">
        <w:rPr>
          <w:rFonts w:ascii="Times New Roman" w:hAnsi="Times New Roman"/>
          <w:color w:val="000000" w:themeColor="text1"/>
          <w:sz w:val="16"/>
          <w:szCs w:val="16"/>
        </w:rPr>
        <w:softHyphen/>
        <w:t>жан. Там, на аэродроме Аджикабуль, в 25-м зап проводилась переподготов</w:t>
      </w:r>
      <w:r w:rsidRPr="00D03F3E">
        <w:rPr>
          <w:rFonts w:ascii="Times New Roman" w:hAnsi="Times New Roman"/>
          <w:color w:val="000000" w:themeColor="text1"/>
          <w:sz w:val="16"/>
          <w:szCs w:val="16"/>
        </w:rPr>
        <w:softHyphen/>
        <w:t>ка летчиков строевых полков. Первым новую технику освоил 57-й гв. иап под</w:t>
      </w:r>
      <w:r w:rsidRPr="00D03F3E">
        <w:rPr>
          <w:rFonts w:ascii="Times New Roman" w:hAnsi="Times New Roman"/>
          <w:color w:val="000000" w:themeColor="text1"/>
          <w:sz w:val="16"/>
          <w:szCs w:val="16"/>
        </w:rPr>
        <w:softHyphen/>
        <w:t>полковника А. Осипова. В начале февраля 1943 г. он сдал последние четыре И-16 и отбыл на переучива</w:t>
      </w:r>
      <w:r w:rsidRPr="00D03F3E">
        <w:rPr>
          <w:rFonts w:ascii="Times New Roman" w:hAnsi="Times New Roman"/>
          <w:color w:val="000000" w:themeColor="text1"/>
          <w:sz w:val="16"/>
          <w:szCs w:val="16"/>
        </w:rPr>
        <w:softHyphen/>
        <w:t>ние. Сперва полку выдали всего один "Спитфайр", который старательно изу</w:t>
      </w:r>
      <w:r w:rsidRPr="00D03F3E">
        <w:rPr>
          <w:rFonts w:ascii="Times New Roman" w:hAnsi="Times New Roman"/>
          <w:color w:val="000000" w:themeColor="text1"/>
          <w:sz w:val="16"/>
          <w:szCs w:val="16"/>
        </w:rPr>
        <w:softHyphen/>
        <w:t>чали, но летать на нем опасались, не имея инструкций по пилотированию. Первым рискнул подняться в воздух командир. Задача оказалась на удив</w:t>
      </w:r>
      <w:r w:rsidRPr="00D03F3E">
        <w:rPr>
          <w:rFonts w:ascii="Times New Roman" w:hAnsi="Times New Roman"/>
          <w:color w:val="000000" w:themeColor="text1"/>
          <w:sz w:val="16"/>
          <w:szCs w:val="16"/>
        </w:rPr>
        <w:softHyphen/>
        <w:t>ление проста. "Спитфайр" было кудапроще пилотировать, чем предельно строгий И-16. Вслед за Осиповым новую технику освоили и другие лет</w:t>
      </w:r>
      <w:r w:rsidRPr="00D03F3E">
        <w:rPr>
          <w:rFonts w:ascii="Times New Roman" w:hAnsi="Times New Roman"/>
          <w:color w:val="000000" w:themeColor="text1"/>
          <w:sz w:val="16"/>
          <w:szCs w:val="16"/>
        </w:rPr>
        <w:softHyphen/>
        <w:t>чики. Группа пилотов совершила шесть рейсов, перегоняя из Тегерана само</w:t>
      </w:r>
      <w:r w:rsidRPr="00D03F3E">
        <w:rPr>
          <w:rFonts w:ascii="Times New Roman" w:hAnsi="Times New Roman"/>
          <w:color w:val="000000" w:themeColor="text1"/>
          <w:sz w:val="16"/>
          <w:szCs w:val="16"/>
        </w:rPr>
        <w:softHyphen/>
        <w:t>леты для полка. 23 апреля истребите</w:t>
      </w:r>
      <w:r w:rsidRPr="00D03F3E">
        <w:rPr>
          <w:rFonts w:ascii="Times New Roman" w:hAnsi="Times New Roman"/>
          <w:color w:val="000000" w:themeColor="text1"/>
          <w:sz w:val="16"/>
          <w:szCs w:val="16"/>
        </w:rPr>
        <w:softHyphen/>
        <w:t>ли приземлились в Краснодаре. Полк вошел в 9-ю гв. над 4-й воздушной армии. Советские войска готовились к новому наступлению. В первую оче</w:t>
      </w:r>
      <w:r w:rsidRPr="00D03F3E">
        <w:rPr>
          <w:rFonts w:ascii="Times New Roman" w:hAnsi="Times New Roman"/>
          <w:color w:val="000000" w:themeColor="text1"/>
          <w:sz w:val="16"/>
          <w:szCs w:val="16"/>
        </w:rPr>
        <w:softHyphen/>
        <w:t>редь предстояло взять станицу Крымс</w:t>
      </w:r>
      <w:r w:rsidRPr="00D03F3E">
        <w:rPr>
          <w:rFonts w:ascii="Times New Roman" w:hAnsi="Times New Roman"/>
          <w:color w:val="000000" w:themeColor="text1"/>
          <w:sz w:val="16"/>
          <w:szCs w:val="16"/>
        </w:rPr>
        <w:softHyphen/>
        <w:t>кую — главный узел обороны немцев. С 28 апреля начались боевые вылеты. Поначалу "Спитфайры" нередко об</w:t>
      </w:r>
      <w:r w:rsidRPr="00D03F3E">
        <w:rPr>
          <w:rFonts w:ascii="Times New Roman" w:hAnsi="Times New Roman"/>
          <w:color w:val="000000" w:themeColor="text1"/>
          <w:sz w:val="16"/>
          <w:szCs w:val="16"/>
        </w:rPr>
        <w:softHyphen/>
        <w:t>стреливались своей же зенитной ар</w:t>
      </w:r>
      <w:r w:rsidRPr="00D03F3E">
        <w:rPr>
          <w:rFonts w:ascii="Times New Roman" w:hAnsi="Times New Roman"/>
          <w:color w:val="000000" w:themeColor="text1"/>
          <w:sz w:val="16"/>
          <w:szCs w:val="16"/>
        </w:rPr>
        <w:softHyphen/>
        <w:t>тиллерией и истребителями. Пришлось организовать "турне" по соседним пол</w:t>
      </w:r>
      <w:r w:rsidRPr="00D03F3E">
        <w:rPr>
          <w:rFonts w:ascii="Times New Roman" w:hAnsi="Times New Roman"/>
          <w:color w:val="000000" w:themeColor="text1"/>
          <w:sz w:val="16"/>
          <w:szCs w:val="16"/>
        </w:rPr>
        <w:softHyphen/>
        <w:t>кам с демонстрацией машины на зем</w:t>
      </w:r>
      <w:r w:rsidRPr="00D03F3E">
        <w:rPr>
          <w:rFonts w:ascii="Times New Roman" w:hAnsi="Times New Roman"/>
          <w:color w:val="000000" w:themeColor="text1"/>
          <w:sz w:val="16"/>
          <w:szCs w:val="16"/>
        </w:rPr>
        <w:softHyphen/>
        <w:t>ле и в воздухе (10790).</w:t>
      </w:r>
    </w:p>
    <w:p w14:paraId="79C47AA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A2BDF4"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5B5DE63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55F57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румынский военный диктатор Антонеску прибыл с трехдневным визитом в Ставу А.Г. Отверг обвинение в неспособности румынских войск сдерживать наступление КА, в результате чего был окружен Сталинград 2 (3186).</w:t>
      </w:r>
    </w:p>
    <w:p w14:paraId="48B6DCF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4746B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1943 античайканшистское правительство во главе с Ван Цзинвэем, образованное японцами в 1940, объявило войну США и Великобритании (3186).</w:t>
      </w:r>
    </w:p>
    <w:p w14:paraId="0B71D98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B26569"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3BE9396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4CBAA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января 1943 г. вышел ПРИКАЗ НКТП СССР ОБ УСТАНОВЛЕНИИ ПРИЧИН МАССОВОГО ВЫХОДА ИЗ СТРОЯ ТАНКОВ ПРОИЗВОДСТВА ЗАВОДОВ №183 И КИРОВСКОГО №29</w:t>
      </w:r>
    </w:p>
    <w:p w14:paraId="03A0768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сообщению Главного бронетанкового управления Красной Армии, во время совершения длительного марша во 2 и 23 ТК имел место массовый выход из строя танков производства заводов №183 и Кировского.</w:t>
      </w:r>
    </w:p>
    <w:p w14:paraId="3DEFC9D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установления причин и виновности заводов поставщиков ПРИКАЗЫВАЮ:</w:t>
      </w:r>
    </w:p>
    <w:p w14:paraId="331E60A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Главному инспектору НКТП т. Гутману немедленно направить во 2 и 23 ТК инспекторов для расследования на месте указанных фактов и по получении отчета представить мне предложения и мероприятия, обеспечивающие длительные марши танковых соединений.</w:t>
      </w:r>
    </w:p>
    <w:p w14:paraId="2F6E6E3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Народный комиссар танковой промышленности СССР И. Зальцман</w:t>
      </w:r>
    </w:p>
    <w:p w14:paraId="3A87DAE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1406. Л. 4. Копия (11403).</w:t>
      </w:r>
    </w:p>
    <w:p w14:paraId="08E5810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928F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января 1943г. было подготовлено СООБЩЕНИЕ НАЧАЛЬНИКА ТАНКОВОГО УПРАВЛЕНИЯ ГБТУ КА ЗАМЕСТИТЕЛЮ НАЧАЛЬНИКА ИНЖЕНЕРНОГО УПРАВЛЕНИЯ НКВТ СССР О НЕДОСТАТКАХ АМЕРИКАНСКИХ МОДЕРНИЗИРОВАННЫХ ТАНКОВ №1148137</w:t>
      </w:r>
    </w:p>
    <w:p w14:paraId="7C980BA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отдел военной приемки иномашин ТУ ГБТУ КА г. Баку за последнее время поступили изменен</w:t>
      </w:r>
      <w:r w:rsidRPr="00D03F3E">
        <w:rPr>
          <w:rFonts w:ascii="Times New Roman" w:hAnsi="Times New Roman"/>
          <w:color w:val="000000" w:themeColor="text1"/>
          <w:sz w:val="16"/>
          <w:szCs w:val="16"/>
        </w:rPr>
        <w:softHyphen/>
        <w:t>ные американские танки МЗ средн. — без боковых входных люков для экипажа танка.</w:t>
      </w:r>
    </w:p>
    <w:p w14:paraId="7004AE1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Отсутствие боковых люков у танков сильно снижает их боевые качества, так как это затрудняет возможность выхода экипажа из танка в случае крайней необходимости в боевой обстановке.</w:t>
      </w:r>
    </w:p>
    <w:p w14:paraId="7E974B5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Просим сообщить вашим представителям в Америке об этом недостатке измененных танков МЗ средних.</w:t>
      </w:r>
    </w:p>
    <w:p w14:paraId="0D32689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Одновременно запросить их, чем объясняют такое изменение американцы.</w:t>
      </w:r>
    </w:p>
    <w:p w14:paraId="61E2C81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танкового управления ГБТУ КА инженер-полковник Афонин</w:t>
      </w:r>
    </w:p>
    <w:p w14:paraId="5423CBE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5-го отдела танкового управления ГБТУ КА инженер-майор Морозов</w:t>
      </w:r>
    </w:p>
    <w:p w14:paraId="7C529F8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1720. Л. 1. Копия (11403).</w:t>
      </w:r>
    </w:p>
    <w:p w14:paraId="08BE0D5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130856" w14:textId="77777777" w:rsidR="00EE2673" w:rsidRPr="00D03F3E" w:rsidRDefault="00EE267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11 января 1943 года самоходную версию 152-мм пушки-гаубицы МЛ-20 на заводе №172 переименовали в МЛ-20С (также использовались индексы МЛ-20-С и МЛ-20с). Система крепилась на рамке, защищенной бронекожухом и массивной орудийной маской. В маске имелось специальное отверстие для обслуживания противооткатных устройств, закрываемое крышкой. Для заполнения противооткатных устройств жидкостью использовался гидронасос. На лобовом листе корпуса КВ-14 был предусмотрен специальный «карман», куда гидронасос ставился на время обслуживания противооткатных устройств. Из-за того, что снятие дульного тормоза повлекло бы за собой значительный объем переделок, ствол оставили без изменений. В соответствии с требованиями заказчика механизм перемены отката был убран, а контршток был закреплен в положении короткого отката. Были введены подъемный и поворотный механизмы секторного типа с червячной передачей. Кроме того, на люльке закрепили лоток, облегчавший заряжание, который одновременно исполнял роль ограждения со стороны заряжающего.</w:t>
      </w:r>
    </w:p>
    <w:p w14:paraId="3B33D8DB" w14:textId="77777777" w:rsidR="00EE2673" w:rsidRPr="00D03F3E" w:rsidRDefault="00EE267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Главным изменением в конструкции МЛ-20С по сравнению с буксируемой версией орудия стала установка телескопического прицела Т-9 (ТОД-9), первоначально разработанного для тяжелого танка КВ-2. Т-9 представлял собой модификацию прицела КТ-1 («Казематный Телескопический») для казематной установки ДОТ-4. Имея в своей конструкции призму, он получил характерное «колено». Для стрельбы с закрытых позиций был оставлен и панорамный прицел ПГ-1 с панорамой Герца. Установка прицела Т-9 считалась временной мерой, впоследствии вместо него планировалось ставить прицел Т-10, отличавшийся шкалами, нарезанными под баллистику МЛ-20. Но на практике первые серийные КВ-14 выпускались с прицелами Т-9 (17696).</w:t>
      </w:r>
    </w:p>
    <w:p w14:paraId="4F132F16" w14:textId="77777777" w:rsidR="00EE2673" w:rsidRPr="00D03F3E" w:rsidRDefault="00EE2673" w:rsidP="00D03F3E">
      <w:pPr>
        <w:spacing w:after="0" w:line="240" w:lineRule="auto"/>
        <w:jc w:val="both"/>
        <w:rPr>
          <w:rFonts w:ascii="Times New Roman" w:eastAsia="Times New Roman" w:hAnsi="Times New Roman"/>
          <w:color w:val="000000" w:themeColor="text1"/>
          <w:sz w:val="16"/>
          <w:szCs w:val="16"/>
          <w:lang w:eastAsia="ru-RU"/>
        </w:rPr>
      </w:pPr>
    </w:p>
    <w:p w14:paraId="2E023D8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января 1943 вышло Постановление ГКО № 2734 О тов. Мельникове С.И.РГАНИР, Фонд ГКО, д. 81, лл. 115 (11012).</w:t>
      </w:r>
    </w:p>
    <w:p w14:paraId="27002CE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C77C3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января 1943 вышло Распоряжение ГКО № 2735. О мобилизации пеших рабочих и возчиков с лошадьми на работы по подготовке к сплаву древесины.РГАНИР, Фонд ГКО, д. 81, лл. 116 (11012).</w:t>
      </w:r>
    </w:p>
    <w:p w14:paraId="1BF57C8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B767D7"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E17754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FBEEC8"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11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50042009"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11 января наши войска в районе Нижнего Дона, на Центральном фронте и на Северном Кавказе продолжали бои на прежних направлениях.</w:t>
      </w:r>
    </w:p>
    <w:p w14:paraId="494DC7A5"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заводском посёлке Сталинграда наши штурмовые группы овладели опорным пунктом вражеской обороны. Уничтожено до 300 немецких солдат и офицеров.Северо-западнее Сталинграда советские подразделения захватили 13 пулемётов, 4миномёта, 7 противотанковых ружей, 260 винтовок и другие трофеи.</w:t>
      </w:r>
    </w:p>
    <w:p w14:paraId="47F0DEA1"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Нижнего Дона наши войска, отбивая контратаки противника, продолжали наступление. Н-ская часть заняла населённый пункт, захватила трофеи, в том числе большой склад боеприпасов, радиостанцию и 18 автомашин. Немцы предприняли контратаку, но, встреченные пулемётным огнём, отошли, оставив на поле боя более 100 трупов. На другом участке наши танки и моторизованная пехота, продвигаясь вперёд, разгромили два батальона противника. Уничтожено 6 немецких танков и 4 орудия. Захвачены — танк, 2 бронемашины и 11 грузовых автомашин.</w:t>
      </w:r>
    </w:p>
    <w:p w14:paraId="7E99B095"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наши войска частью сил отражали контратаки противника. Бойцы Н-ской части в ожесточённом бою сожгли и подбили 9 танков, уничтожили 3 самоходных орудия и истребили свыше роты немецкой пехоты. На другом участке противнику ценою больших потерь удалось вклиниться в наши позиции.Последовательными контрударами наши бойцы отбросили немцев на исходные рубежи. На поле боя осталось до 200 вражеских трупов, 3 сожжённых танка и много брошенного гитлеровцами вооружения.</w:t>
      </w:r>
    </w:p>
    <w:p w14:paraId="69184C1F"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части Н-ского соединения успешно продвигались вперёд и выбили противника из 13 населённых пунктов. Бойцы Н-ской части уничтожили до 250 немецких солдат и офицеров и захватили 6 орудий, 32 пулемёта и радиостанцию.Особенно ожесточённый бой произошёл у одного водного рубежа. Гитлеровцы сосредоточили здесь большое количество артиллерии, шестиствольных миномётов и свыше 20 танков. Под огнём противника наши бойцы переправились через водный рубеж и ворвались в расположение немцев. В результате рукопашной схватки гитлеровцы были опрокинуты. Нашим войскам достались многочисленные трофеи. Взяты пленные.</w:t>
      </w:r>
    </w:p>
    <w:p w14:paraId="642D352D"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Немецкие подразделения пытались окружить партизанский отряд, действующий в Краснодарском крае. В течение суток советские патриоты изматывали противника и из засад истребили свыше 100 вражеских солдат и офицеров. Умелым манёвром партизаны вышли из окружения. Другой отряд краснодарских партизан взорвал железнодорожный мост и пустил под откос немецкий воинский эшелон.</w:t>
      </w:r>
    </w:p>
    <w:p w14:paraId="355DD91D"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Пленный лейтенант 3 батальона 580 полка 306 немецкой пехотной дивизии Герберт Юрс рассказал: «306 дивизия несла гарнизонную службу в Бельгии. 28 ноября 1942 года нас срочно отправили на Восточный фронт по маршруту: Брюссель —Дюссельдорф—Лейпциг—Львов — Шахты. В городе Шахты 580 и 581 полки прибыли 10—12 декабря и отсюда на автомашинах направились на фронт. В одном населённом пунктемы сменили разбитые и потрёпанные части и заняли их позиции. В тот же день русские атаковали нас и вынудили к отступлению. Сначала мы отходили организованно, но затем, опасаясь окружения, побежали, оставив раненых на произвол судьбы. Но и это не спасло нас. Русские танки отрезали пути отхода. Положение было безнадёжно, и мы сдались в плен».</w:t>
      </w:r>
    </w:p>
    <w:p w14:paraId="6C5EF83C"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деревне Балаболкино, Калининской области: «Перед отступлением из деревни Балаболкино немецкие захватчики согнали жителей на улицу и на глазах у всех расстреляли: Ефима Саратова — 65 лет, Агафью Долгашёву — 45 лет, Дмитрия Новикова — 6 лет, Ивана Климова — 70 лет, Кузьму Солодкова — 15 лет, Терентия Росадя — 75 лет, Ивана Платонова — 70 лет, Дмитрия Солодкова — 72 лет и других крестьян. Несколько немецких солдат оттащили в сторону молодую колхозницу Евдокию Новикову, публично над ней надругались, а затем пристрелили её из автомата. Оставшихся в живых жителей немцы под конвоем погнали из деревни. По дороге нам удалось бежать и спастись от фашистского плена». Акт подписали: жители деревни Балаболкино М.Курьяков, Е.Курьянова и М.Сидоров.» (15006).</w:t>
      </w:r>
    </w:p>
    <w:p w14:paraId="126619AC"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71F3A955"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11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2BB41785"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января наши войска на Северном Кавказе, продолжая наступление, овладели городом и железнодорожным узлом Георгиевск, городом и железнодорожным узлом Минеральные Воды, городом и железнодорожной станцией Пятигорск, городом и железнодорожной станцией Кисловодск, городом и железнодорожной станцией Железноводск, городом и железнодорожной станцией Будённовск, железнодорожными станциями Карамык и Виноградная, районными центрами — Ачикулак, Архангельское, Александрийская, крупными населёнными пунктами — Горячеводская, Свобода, Ново-Григорьевское, Прасковея, Константиновская.</w:t>
      </w:r>
    </w:p>
    <w:p w14:paraId="36F703B0"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Зимовники наши войска овладели районным центром Кутейниково, населёнными пунктами — Иловайский, Жирный, Русский, Ново-Лодин и железнодорожной станцией Куберле.</w:t>
      </w:r>
    </w:p>
    <w:p w14:paraId="3D553D85"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Нижнего Дона и на Центральном фронте наши войска продолжали наступательные бои на прежних направлениях.</w:t>
      </w:r>
    </w:p>
    <w:p w14:paraId="0A25F535"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кораблями в Чёрном море потоплен транспорт противника водоизмещением в 4.000 тонн.</w:t>
      </w:r>
    </w:p>
    <w:p w14:paraId="6D3C9638"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частями нашей авиации на различных участках фронта уничтожено или повреждено более 40 немецких автомашин, подавлен огонь 6 артиллерийских батарей, взорвано 2 склада боеприпасов, рассеяно и частью уничтожено до батальона пехоты противника.</w:t>
      </w:r>
    </w:p>
    <w:p w14:paraId="485BC360"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заводском районе Сталинграда наши подразделения выбили противника из ряда опорных пунктов и очистили от гитлеровцев шесть улиц. В этих боях уничтожено до 400 немецких солдат и офицеров. Взяты трофеи и пленные.</w:t>
      </w:r>
    </w:p>
    <w:p w14:paraId="03631C69"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Нижнего Дона наши войска продолжали наступление и заняли несколько населённых пунктов. Противник оказывает упорное сопротивление и бросает в контратаки пехоту и танки. На одном участке наша танковая часть, продвигаясь вперёд, овладела укреплёнными пунктами вражеской обороны. Захвачены 5 танков, артиллерийская батарея, много пулемётов и автоматов. Подвижной разведывательный отряд под командованием тов. Репенко проник в тыл противника, ворвался в населённый пункт, где находился штаб немецкой пехотной дивизии. Разведчики уничтожили 100 вражеских солдат и офицеров, разгромили штаб, захватили документы и благополучно вернулись в свою часть.</w:t>
      </w:r>
    </w:p>
    <w:p w14:paraId="0C459627"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советские войска закреплялись на достигнутых рубежах и отбивали контратаки противника. Северо-западнее Великих Лук немецкий пехотныйполк при поддержке 23 танков перешёл в атаку. Ценой больших потерь немцам удалось несколько потеснить наши подразделения. В этом бою уничтожено несколько сот гитлеровцев и 7 немецких танков. На соседнем участке немцы предприняли контратаку против позиций части, где командиром тов. Терехин. Подпустив гитлеровцев на близкое расстояние, наши бойцы мощным огнём уничтожили 5 немецких танков и до двух рот пехоты. Враг отброшен на исходные рубежи.</w:t>
      </w:r>
    </w:p>
    <w:p w14:paraId="649E1DDF"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успешно продвигались вперёд. Советские моторизованные и танковые части прорвали оборону противника, прикрывающуюГеоргиевск и Минеральные Воды, на плечах отступающих немцев ворвались в эти города и после ожесточённых боёв овладели ими. Наши войска овладели городами Кисловодск, Пятигорск, Железноводск. Захвачены танки, орудия, много различного пехотного оружия, склады с боеприпасами, продовольствием, запасными частями и другим военным имуществом. Бойцы Н-ской части уничтожили более 500 немецких солдат и офицеров и заняли несколько населённых пунктов. Захвачено 4 танка, 2 самоходных орудия, 5 шестиствольных миномётов, 17 пулемётов и 2 склада боеприпасов. Гитлеровцы предприняли контратаку, но были рассеяны миномётным и ружейно-пулемётным огнём.</w:t>
      </w:r>
    </w:p>
    <w:p w14:paraId="20ECEDB3"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партизан, действующий в Минской области, за десять дней пустил под откос 4 немецких поезда с живой силой и зимним обмундированием. Разбито 7 паровозов и 85 вагонов. В боях и в результате крушений поездов истреблено 660 солдат и офицеров противника. Другой отряд минских партизан совершил внезапный налёт на немецкий гарнизон, расположенный в районном центре. Советские патриоты истребили 80 немецких солдат и захватили многочисленные трофеи.</w:t>
      </w:r>
    </w:p>
    <w:p w14:paraId="3C679EE7"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Первомайском сельсовете, Ростовской области: «Мы, нижеподписавшиеся, составили настоящий акт о нижеследующем: гитлеровские палачи расстреляли в селе Первомайском 40 мирных жителей из хутора Маньково-Березовский, Усть-Мечетки и Россошь. В числе расстрелянных было 6 подростков в возрасте 16—17 лет. В селе Сычёвка немцы замучили и растерзали депутата Первомайского сельсовета Трашенко, пленного командира Комиссарова и бросили их трупы в овраг. Кроме того, фашистские изверги расстреляли 6 пленных красноармейцев. В зимнюю стужу немцы выбросили всех колхозников с детьми из домов на улицу. Нам не разрешили взять с собой нипродуктов, ни одежды». Акт подписали: колхозники И.Шелепов, И.Савченко, К.Поляков, П.Сушенко, П.Жуков.».</w:t>
      </w:r>
    </w:p>
    <w:p w14:paraId="6E47EA91"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57FEB708"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января на Северном Кавказе группа наших войск под командованием генерал-лейтенанта Масленникова И.И. после упорных боёв овладела городом и железнодорожным узлом Георгиевск, городом и железнодорожным узлом Минеральные Воды, городом и железнодорожной станцией Пятигорск, городом и железнодорожнойстанцией Кисловодск, городом и железнодорожной станцией Железноводск, городом ижелезнодорожной станцией Буденновск, а также районными центрами Ачикулак, Архангельское, Александрийская. Взяты большие трофеи, которые подсчитываются.</w:t>
      </w:r>
    </w:p>
    <w:p w14:paraId="61C09F92"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боях отличились войска — генерал-майора Хоменко В.А., генерал-майора Коротеева К.А., генерал-майора Козлова П.М., генерал-майора Мельник К.И., гвардейские кавалерийские соединения генерал-лейтенанта Кириченко Н.Я. игенерал-майора Селиванова А.Г., а также танковые группы генерал-майора Лобанова Г.П. и подполковника Филипова В.И.» (15006).</w:t>
      </w:r>
    </w:p>
    <w:p w14:paraId="35B692EF"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382FAE12"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11 января</w:t>
      </w:r>
      <w:r w:rsidRPr="00D03F3E">
        <w:rPr>
          <w:rFonts w:ascii="Times New Roman" w:hAnsi="Times New Roman"/>
          <w:color w:val="000000" w:themeColor="text1"/>
          <w:sz w:val="16"/>
          <w:szCs w:val="16"/>
        </w:rPr>
        <w:t xml:space="preserve"> в 1943 году войска левого крыла Юго-Западного фронта обошли фланг противника севернее Тацинской, развили удар вдоль реки Калитва и глубоко охватили с севера оперативную группу «Холлидт». Войска Закавказского фронта перешли в наступление в районе южнее Нефтегорска, Шаумяна (15006).</w:t>
      </w:r>
    </w:p>
    <w:p w14:paraId="1835BAD0"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604C81F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января 1943 Сталинград был окружен КА (2100).</w:t>
      </w:r>
    </w:p>
    <w:p w14:paraId="7223011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ED2B04"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января 1943 советские войска освободили Пятигорск и Минеральные Воды (4962).</w:t>
      </w:r>
    </w:p>
    <w:p w14:paraId="7C980EB1"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789F1F"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5E7D6E2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F7E52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января 1943 года</w:t>
      </w:r>
    </w:p>
    <w:p w14:paraId="1D1EBCD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СТРОГО СЕКРЕТНОЕ И ЛИЧНОЕ ПОСЛАНИЕ ОТ ПРЕМЬЕР-МИНИСТРА г-на УИНСТОНА ЧЕРЧИЛЛЯ ПРЕМЬЕРУ СТАЛИНУ</w:t>
      </w:r>
    </w:p>
    <w:p w14:paraId="3F40773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Декабрьский конвой уже успешно проведен с боями, и Вы, вероятно, получили подробные сведения об успешном сражении, которое было проведено нашими легкими силами против превосходящих сил противника.</w:t>
      </w:r>
    </w:p>
    <w:p w14:paraId="272AB91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Адмиралтейство намеревалось отправить январский конвой двумя частями по 15 судов в каждой с отплытием первой части конвоя приблизительно 17 января, а второй части—позднее в этом же месяце. Поскольку из опыта с последним конвоем видно, что противник стремится помешать следованию дальнейших конвоев путем применения надводных сил, будет необходимо немедленно усилить наши эскорты сверх пределов, которые были первоначально предусмотрены на январь. Еще более значительное усиление будет необходимо для следующих конвоев в связи с возрастающей долготой дня.</w:t>
      </w:r>
    </w:p>
    <w:p w14:paraId="2D0BC36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Поэтому мы должны были пересмотреть наши мероприятия. Вместо отправки январского конвоя двумя частями мы отправляем 17 января 19 судов (включая два танкера) вместо 15, как первоначально предусматривалось. После этого, приблизительно 11 февраля, будет отправлен полный конвой в составе 28—30 судов. Вслед за тем мы сделаем все возможное, чтобы отправить приблизительно 10 марта конвой из 30 судов. Но это будет зависеть от помощи американцев нам эскортными судами. Если они не смогут предоставить эту помощь, то этот конвой сможет отплыть не ранее 19 марта (7430).</w:t>
      </w:r>
    </w:p>
    <w:p w14:paraId="37553A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B28E7A"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6C10C4D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5B98B6"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11 января</w:t>
      </w:r>
      <w:r w:rsidRPr="00D03F3E">
        <w:rPr>
          <w:rFonts w:ascii="Times New Roman" w:hAnsi="Times New Roman"/>
          <w:color w:val="000000" w:themeColor="text1"/>
          <w:sz w:val="16"/>
          <w:szCs w:val="16"/>
        </w:rPr>
        <w:t xml:space="preserve"> в 1943 году переговоры Гитлера с Антонеску в Растенбурге (15006).</w:t>
      </w:r>
    </w:p>
    <w:p w14:paraId="06FE51AB"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658FAE8A"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января 1943 в центре Нью-Йорка убит американский антифашистский журналист Карло Треска (4962).</w:t>
      </w:r>
    </w:p>
    <w:p w14:paraId="5427BE6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C10A5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января 1943 Ф.Д.Р. предложил Конгрессу бюджет в 100 млрд. долл. (2262).</w:t>
      </w:r>
    </w:p>
    <w:p w14:paraId="6FB705B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635AAE"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11 января</w:t>
      </w:r>
      <w:r w:rsidRPr="00D03F3E">
        <w:rPr>
          <w:rFonts w:ascii="Times New Roman" w:hAnsi="Times New Roman"/>
          <w:color w:val="000000" w:themeColor="text1"/>
          <w:sz w:val="16"/>
          <w:szCs w:val="16"/>
        </w:rPr>
        <w:t xml:space="preserve"> в 1943 году Великобритания заключает с Китаем договор, в котором отказывается от права экстерриториальности своих владений в этой стране (15006).</w:t>
      </w:r>
    </w:p>
    <w:p w14:paraId="0D9AA25A"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005301B5"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B753A4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4947C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ян</w:t>
      </w:r>
      <w:r w:rsidRPr="00D03F3E">
        <w:rPr>
          <w:rFonts w:ascii="Times New Roman" w:hAnsi="Times New Roman"/>
          <w:color w:val="000000" w:themeColor="text1"/>
          <w:sz w:val="16"/>
          <w:szCs w:val="16"/>
        </w:rPr>
        <w:softHyphen/>
        <w:t>варя 1943 года вышел приказ НКАП, в котором для проведения заводских испытаний ДВБ-102 назначили ведущим летчиком В.И. Жданова. При этом предписывалось завершить испытания к 1 февраля. Но этот срок оказался слишком оптимистичным. Дви</w:t>
      </w:r>
      <w:r w:rsidRPr="00D03F3E">
        <w:rPr>
          <w:rFonts w:ascii="Times New Roman" w:hAnsi="Times New Roman"/>
          <w:color w:val="000000" w:themeColor="text1"/>
          <w:sz w:val="16"/>
          <w:szCs w:val="16"/>
        </w:rPr>
        <w:softHyphen/>
        <w:t>гатель М-71, хотя и устанавливался на опытных истре</w:t>
      </w:r>
      <w:r w:rsidRPr="00D03F3E">
        <w:rPr>
          <w:rFonts w:ascii="Times New Roman" w:hAnsi="Times New Roman"/>
          <w:color w:val="000000" w:themeColor="text1"/>
          <w:sz w:val="16"/>
          <w:szCs w:val="16"/>
        </w:rPr>
        <w:softHyphen/>
        <w:t>бителях ОКБ Н.Н. Поликарпова и С.А. Лавочкина, но был явно «сырым» и требовал доводки. После третьего полета из-за поломки левого двигателя испытания прервали до получения нового М-71. Доводка самоле</w:t>
      </w:r>
      <w:r w:rsidRPr="00D03F3E">
        <w:rPr>
          <w:rFonts w:ascii="Times New Roman" w:hAnsi="Times New Roman"/>
          <w:color w:val="000000" w:themeColor="text1"/>
          <w:sz w:val="16"/>
          <w:szCs w:val="16"/>
        </w:rPr>
        <w:softHyphen/>
        <w:t>та затянулась...(11446).</w:t>
      </w:r>
    </w:p>
    <w:p w14:paraId="355375E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DFCB1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января 1943 г. состоялся первый боевой вылет И-185 в ходе войсковых испытаний, а первый 9 декабря 1942 г. Летали в двух парах, причем ведущим обычно являлся офицер (Игнатьев, Купим), а ведомым - сержант (Боровых, Томильченко). Истребите</w:t>
      </w:r>
      <w:r w:rsidRPr="00D03F3E">
        <w:rPr>
          <w:rFonts w:ascii="Times New Roman" w:hAnsi="Times New Roman"/>
          <w:color w:val="000000" w:themeColor="text1"/>
          <w:sz w:val="16"/>
          <w:szCs w:val="16"/>
        </w:rPr>
        <w:softHyphen/>
        <w:t>ли часто выпускали в полет, когда над нашей территорией шел воздушный бой. На полной скорости проносились И-185 сквозь строй фа</w:t>
      </w:r>
      <w:r w:rsidRPr="00D03F3E">
        <w:rPr>
          <w:rFonts w:ascii="Times New Roman" w:hAnsi="Times New Roman"/>
          <w:color w:val="000000" w:themeColor="text1"/>
          <w:sz w:val="16"/>
          <w:szCs w:val="16"/>
        </w:rPr>
        <w:softHyphen/>
        <w:t>шистских самолетов, стреляя из пушек, а потом с разворотом уходили на свой аэродром. Два полета выполнено на прикрытие действовавше</w:t>
      </w:r>
      <w:r w:rsidRPr="00D03F3E">
        <w:rPr>
          <w:rFonts w:ascii="Times New Roman" w:hAnsi="Times New Roman"/>
          <w:color w:val="000000" w:themeColor="text1"/>
          <w:sz w:val="16"/>
          <w:szCs w:val="16"/>
        </w:rPr>
        <w:softHyphen/>
        <w:t>го в районе Ржева разведчика Кертисс Р-40 «Киттихаук». Один полет был осуществлен на «свободную охоту» над нашей территорией. По воспоминаниям Н.П.Игнатьева А.Е.Боровых при этом сбил или повредил один немецкий самолет. Купин летал преимущественно на опытном И-185 с М-71 №6204, Игнатьев - на «образцо</w:t>
      </w:r>
      <w:r w:rsidRPr="00D03F3E">
        <w:rPr>
          <w:rFonts w:ascii="Times New Roman" w:hAnsi="Times New Roman"/>
          <w:color w:val="000000" w:themeColor="text1"/>
          <w:sz w:val="16"/>
          <w:szCs w:val="16"/>
        </w:rPr>
        <w:softHyphen/>
        <w:t>вом», Боровых и Томильченко - на И-185 с М-82А. В воздушных боях с FW-190 им встретиться не довелось. Группа И-185 часто меняла дислокацию, то перебазируясь в Старую Торопу, то опять возвра</w:t>
      </w:r>
      <w:r w:rsidRPr="00D03F3E">
        <w:rPr>
          <w:rFonts w:ascii="Times New Roman" w:hAnsi="Times New Roman"/>
          <w:color w:val="000000" w:themeColor="text1"/>
          <w:sz w:val="16"/>
          <w:szCs w:val="16"/>
        </w:rPr>
        <w:softHyphen/>
        <w:t>щаясь в Старицу. Преследовалась цель создать у германского авиационного командования ил</w:t>
      </w:r>
      <w:r w:rsidRPr="00D03F3E">
        <w:rPr>
          <w:rFonts w:ascii="Times New Roman" w:hAnsi="Times New Roman"/>
          <w:color w:val="000000" w:themeColor="text1"/>
          <w:sz w:val="16"/>
          <w:szCs w:val="16"/>
        </w:rPr>
        <w:softHyphen/>
        <w:t>люзию наличия на Калининском фронте по край</w:t>
      </w:r>
      <w:r w:rsidRPr="00D03F3E">
        <w:rPr>
          <w:rFonts w:ascii="Times New Roman" w:hAnsi="Times New Roman"/>
          <w:color w:val="000000" w:themeColor="text1"/>
          <w:sz w:val="16"/>
          <w:szCs w:val="16"/>
        </w:rPr>
        <w:softHyphen/>
        <w:t>ней мере полка, вооруженного И-185, снизить вероятность поражения истребителей при воз</w:t>
      </w:r>
      <w:r w:rsidRPr="00D03F3E">
        <w:rPr>
          <w:rFonts w:ascii="Times New Roman" w:hAnsi="Times New Roman"/>
          <w:color w:val="000000" w:themeColor="text1"/>
          <w:sz w:val="16"/>
          <w:szCs w:val="16"/>
        </w:rPr>
        <w:softHyphen/>
        <w:t>можных налетах противника на аэродром. Всего каждым летчиком было выполнено по 10-11 боевых вылетов. В летную книжку по со</w:t>
      </w:r>
      <w:r w:rsidRPr="00D03F3E">
        <w:rPr>
          <w:rFonts w:ascii="Times New Roman" w:hAnsi="Times New Roman"/>
          <w:color w:val="000000" w:themeColor="text1"/>
          <w:sz w:val="16"/>
          <w:szCs w:val="16"/>
        </w:rPr>
        <w:softHyphen/>
        <w:t>ображениям секретности они записывались преимущественно как тренировочные в зоне аэродрома. Кроме Купина, Игнатьева, Боровых, То</w:t>
      </w:r>
      <w:r w:rsidRPr="00D03F3E">
        <w:rPr>
          <w:rFonts w:ascii="Times New Roman" w:hAnsi="Times New Roman"/>
          <w:color w:val="000000" w:themeColor="text1"/>
          <w:sz w:val="16"/>
          <w:szCs w:val="16"/>
        </w:rPr>
        <w:softHyphen/>
        <w:t xml:space="preserve">мильченко И-185 облетали в действительнс тренировочных полетах командир полка Васи-ляка и Кустов. По указанию командования отчеты о фронто вых испытаниях должны были писать только летчики-офицеры, причем в них старательно подчеркивалось выполнение на И-185 только учебно тренировочных полетов. Командир 728-го полке капитан В.С.Василяка в своем отчете указал следущее: </w:t>
      </w:r>
      <w:r w:rsidRPr="00D03F3E">
        <w:rPr>
          <w:rFonts w:ascii="Times New Roman" w:hAnsi="Times New Roman"/>
          <w:iCs/>
          <w:color w:val="000000" w:themeColor="text1"/>
          <w:sz w:val="16"/>
          <w:szCs w:val="16"/>
        </w:rPr>
        <w:t>«В полку на самолетах И-185 летает 5 человек, все 5 чел. вылетели и летают без затруд нения как после Яка, так и после И-16. Лично я летал на самолетах: И-16, Як-1, Як 7Б, ЛаГГ-3, Ла-5, Харрикейн и на самолете И-185 с мотором М-71 и М-82 и пришел к следующе му выводу:</w:t>
      </w:r>
    </w:p>
    <w:p w14:paraId="6D80211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1. Переход с других самолетов истребительно го типа на самолет И-185 прост и не вызывав никаких трудностей для летчиков.</w:t>
      </w:r>
    </w:p>
    <w:p w14:paraId="67815F3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2. Самолет в полете управляется легко, очеы устойчив и без особых капризов.</w:t>
      </w:r>
    </w:p>
    <w:p w14:paraId="692DC8B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3. Выполнение взлета и посадки исключитель но простое.</w:t>
      </w:r>
    </w:p>
    <w:p w14:paraId="1C7A269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4. Достоинством самолета является исключи тельно высокая маневренность на вертикаля благодаря его хорошей скороподъемности, чт дает возможность вести воздушный бой с ис требителями противника, что не всегда возмож но на самолетах Як-1, </w:t>
      </w:r>
      <w:r w:rsidRPr="00D03F3E">
        <w:rPr>
          <w:rFonts w:ascii="Times New Roman" w:hAnsi="Times New Roman"/>
          <w:color w:val="000000" w:themeColor="text1"/>
          <w:sz w:val="16"/>
          <w:szCs w:val="16"/>
        </w:rPr>
        <w:t xml:space="preserve">Я/с-75 </w:t>
      </w:r>
      <w:r w:rsidRPr="00D03F3E">
        <w:rPr>
          <w:rFonts w:ascii="Times New Roman" w:hAnsi="Times New Roman"/>
          <w:iCs/>
          <w:color w:val="000000" w:themeColor="text1"/>
          <w:sz w:val="16"/>
          <w:szCs w:val="16"/>
        </w:rPr>
        <w:t>и на Ла-5.</w:t>
      </w:r>
    </w:p>
    <w:p w14:paraId="1527505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5. В горизонтальной скорости самолет И-18 имеет большое преимущество по сравнению самолетами отечественного производства, также с самолетами противника. Диапазон ско</w:t>
      </w:r>
      <w:r w:rsidRPr="00D03F3E">
        <w:rPr>
          <w:rFonts w:ascii="Times New Roman" w:hAnsi="Times New Roman"/>
          <w:iCs/>
          <w:color w:val="000000" w:themeColor="text1"/>
          <w:sz w:val="16"/>
          <w:szCs w:val="16"/>
        </w:rPr>
        <w:softHyphen/>
        <w:t>ростей по горизонтали у земли исключительно велик: 220-540 км/ч, что является немаловаж</w:t>
      </w:r>
      <w:r w:rsidRPr="00D03F3E">
        <w:rPr>
          <w:rFonts w:ascii="Times New Roman" w:hAnsi="Times New Roman"/>
          <w:iCs/>
          <w:color w:val="000000" w:themeColor="text1"/>
          <w:sz w:val="16"/>
          <w:szCs w:val="16"/>
        </w:rPr>
        <w:softHyphen/>
        <w:t>ным фактором для современного истребителя.</w:t>
      </w:r>
    </w:p>
    <w:p w14:paraId="2041D92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Скорость по горизонту от эволютивной до максимальной самолет развивает очень быст</w:t>
      </w:r>
      <w:r w:rsidRPr="00D03F3E">
        <w:rPr>
          <w:rFonts w:ascii="Times New Roman" w:hAnsi="Times New Roman"/>
          <w:iCs/>
          <w:color w:val="000000" w:themeColor="text1"/>
          <w:sz w:val="16"/>
          <w:szCs w:val="16"/>
        </w:rPr>
        <w:softHyphen/>
        <w:t>ро по сравнению с ЛаГГ-3, Ла-5 и Як'ами, т.е. имеет хорошую приемистость.</w:t>
      </w:r>
    </w:p>
    <w:p w14:paraId="19343B7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Фигуры высшего пилотажа выполняет лег</w:t>
      </w:r>
      <w:r w:rsidRPr="00D03F3E">
        <w:rPr>
          <w:rFonts w:ascii="Times New Roman" w:hAnsi="Times New Roman"/>
          <w:iCs/>
          <w:color w:val="000000" w:themeColor="text1"/>
          <w:sz w:val="16"/>
          <w:szCs w:val="16"/>
        </w:rPr>
        <w:softHyphen/>
        <w:t>ко, быстро и энергично, аналогично И-16.</w:t>
      </w:r>
    </w:p>
    <w:p w14:paraId="03DAABC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Недостатки, обнаруженные в процессе эк</w:t>
      </w:r>
      <w:r w:rsidRPr="00D03F3E">
        <w:rPr>
          <w:rFonts w:ascii="Times New Roman" w:hAnsi="Times New Roman"/>
          <w:iCs/>
          <w:color w:val="000000" w:themeColor="text1"/>
          <w:sz w:val="16"/>
          <w:szCs w:val="16"/>
        </w:rPr>
        <w:softHyphen/>
        <w:t>сплуатации, которые рекомендую заводу устра</w:t>
      </w:r>
      <w:r w:rsidRPr="00D03F3E">
        <w:rPr>
          <w:rFonts w:ascii="Times New Roman" w:hAnsi="Times New Roman"/>
          <w:iCs/>
          <w:color w:val="000000" w:themeColor="text1"/>
          <w:sz w:val="16"/>
          <w:szCs w:val="16"/>
        </w:rPr>
        <w:softHyphen/>
        <w:t>нить при выпуске новых машин:</w:t>
      </w:r>
    </w:p>
    <w:p w14:paraId="76FC15A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1. Переднюю часть фонаря сделать граненую.</w:t>
      </w:r>
    </w:p>
    <w:p w14:paraId="3FD7A24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2. Упростить или облегчить управление жалю</w:t>
      </w:r>
      <w:r w:rsidRPr="00D03F3E">
        <w:rPr>
          <w:rFonts w:ascii="Times New Roman" w:hAnsi="Times New Roman"/>
          <w:iCs/>
          <w:color w:val="000000" w:themeColor="text1"/>
          <w:sz w:val="16"/>
          <w:szCs w:val="16"/>
        </w:rPr>
        <w:softHyphen/>
        <w:t>зи мотора.</w:t>
      </w:r>
    </w:p>
    <w:p w14:paraId="4E78516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3. Изоляция тросов руля поворота (коуши) не</w:t>
      </w:r>
      <w:r w:rsidRPr="00D03F3E">
        <w:rPr>
          <w:rFonts w:ascii="Times New Roman" w:hAnsi="Times New Roman"/>
          <w:iCs/>
          <w:color w:val="000000" w:themeColor="text1"/>
          <w:sz w:val="16"/>
          <w:szCs w:val="16"/>
        </w:rPr>
        <w:softHyphen/>
        <w:t>удовлетворительна при выполнении фигур выс</w:t>
      </w:r>
      <w:r w:rsidRPr="00D03F3E">
        <w:rPr>
          <w:rFonts w:ascii="Times New Roman" w:hAnsi="Times New Roman"/>
          <w:iCs/>
          <w:color w:val="000000" w:themeColor="text1"/>
          <w:sz w:val="16"/>
          <w:szCs w:val="16"/>
        </w:rPr>
        <w:softHyphen/>
        <w:t>шего пилотажа, как-то: бочки, перевороты че</w:t>
      </w:r>
      <w:r w:rsidRPr="00D03F3E">
        <w:rPr>
          <w:rFonts w:ascii="Times New Roman" w:hAnsi="Times New Roman"/>
          <w:iCs/>
          <w:color w:val="000000" w:themeColor="text1"/>
          <w:sz w:val="16"/>
          <w:szCs w:val="16"/>
        </w:rPr>
        <w:softHyphen/>
        <w:t>рез крыло; каблук обуви цепляет за коуши.</w:t>
      </w:r>
    </w:p>
    <w:p w14:paraId="78D6F82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Улучшить управление самолета прирулежке в смысле облегчения разворотов.</w:t>
      </w:r>
    </w:p>
    <w:p w14:paraId="69FB3BB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Вынести сектор газа вперед минимум на 100 мм; при старом положении сектора газ убрать полностью, без особых комбинаций, не возможно.</w:t>
      </w:r>
    </w:p>
    <w:p w14:paraId="662FFC2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6. Необходимо для пополнения расхода возду</w:t>
      </w:r>
      <w:r w:rsidRPr="00D03F3E">
        <w:rPr>
          <w:rFonts w:ascii="Times New Roman" w:hAnsi="Times New Roman"/>
          <w:iCs/>
          <w:color w:val="000000" w:themeColor="text1"/>
          <w:sz w:val="16"/>
          <w:szCs w:val="16"/>
        </w:rPr>
        <w:softHyphen/>
        <w:t>ха на подъем шасси и щитков поставить комп</w:t>
      </w:r>
      <w:r w:rsidRPr="00D03F3E">
        <w:rPr>
          <w:rFonts w:ascii="Times New Roman" w:hAnsi="Times New Roman"/>
          <w:iCs/>
          <w:color w:val="000000" w:themeColor="text1"/>
          <w:sz w:val="16"/>
          <w:szCs w:val="16"/>
        </w:rPr>
        <w:softHyphen/>
        <w:t>рессор.</w:t>
      </w:r>
    </w:p>
    <w:p w14:paraId="59E9685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7. Обязать оборудовать запуск мотора сжатым воздухом.</w:t>
      </w:r>
    </w:p>
    <w:p w14:paraId="6A54BB5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8. Разработать на вновь выпускаемых машинах аварийное открытие фонаря.</w:t>
      </w:r>
    </w:p>
    <w:p w14:paraId="4FA36AA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9. Улучшить вентиляцию кабины (очень жарко).</w:t>
      </w:r>
    </w:p>
    <w:p w14:paraId="4B40043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Считаю, что самолет И-185 с мотором М-71 или М-82 и вооруженный 3 пушками «ШВАК» отвечает всем требованиям для ведения бое</w:t>
      </w:r>
      <w:r w:rsidRPr="00D03F3E">
        <w:rPr>
          <w:rFonts w:ascii="Times New Roman" w:hAnsi="Times New Roman"/>
          <w:iCs/>
          <w:color w:val="000000" w:themeColor="text1"/>
          <w:sz w:val="16"/>
          <w:szCs w:val="16"/>
        </w:rPr>
        <w:softHyphen/>
        <w:t>вой работы.</w:t>
      </w:r>
    </w:p>
    <w:p w14:paraId="71EE0FC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Надо считать, в настоящее время самолет И-185 является лучшим самолетом истреби</w:t>
      </w:r>
      <w:r w:rsidRPr="00D03F3E">
        <w:rPr>
          <w:rFonts w:ascii="Times New Roman" w:hAnsi="Times New Roman"/>
          <w:iCs/>
          <w:color w:val="000000" w:themeColor="text1"/>
          <w:sz w:val="16"/>
          <w:szCs w:val="16"/>
        </w:rPr>
        <w:softHyphen/>
        <w:t>тельного типа по своей простоте в управлении, по скорости, маневру (особо на вертикали), по вооружению и живучести.</w:t>
      </w:r>
    </w:p>
    <w:p w14:paraId="54E17EF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Летчики-фронтовики этого самолета ждут с нетерпением на фронте».</w:t>
      </w:r>
    </w:p>
    <w:p w14:paraId="69D1CDC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своем отзыве командир эскадрильи стар</w:t>
      </w:r>
      <w:r w:rsidRPr="00D03F3E">
        <w:rPr>
          <w:rFonts w:ascii="Times New Roman" w:hAnsi="Times New Roman"/>
          <w:color w:val="000000" w:themeColor="text1"/>
          <w:sz w:val="16"/>
          <w:szCs w:val="16"/>
        </w:rPr>
        <w:softHyphen/>
        <w:t>ший лейтенант Н. П.Игнатьев писал:</w:t>
      </w:r>
    </w:p>
    <w:p w14:paraId="30D066F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«Начинал боевую работу на фронте отече-ственной войны на самолете И-16 и Як- 7. Имея более 320 боевых вылетов, уничтожил до 25 немецких самолетов как в одиночном, так и в групповом бою.</w:t>
      </w:r>
    </w:p>
    <w:p w14:paraId="460C095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Перейти на самолет И-185 никакой трудно</w:t>
      </w:r>
      <w:r w:rsidRPr="00D03F3E">
        <w:rPr>
          <w:rFonts w:ascii="Times New Roman" w:hAnsi="Times New Roman"/>
          <w:iCs/>
          <w:color w:val="000000" w:themeColor="text1"/>
          <w:sz w:val="16"/>
          <w:szCs w:val="16"/>
        </w:rPr>
        <w:softHyphen/>
        <w:t>сти не представляет для средне подготовлен</w:t>
      </w:r>
      <w:r w:rsidRPr="00D03F3E">
        <w:rPr>
          <w:rFonts w:ascii="Times New Roman" w:hAnsi="Times New Roman"/>
          <w:iCs/>
          <w:color w:val="000000" w:themeColor="text1"/>
          <w:sz w:val="16"/>
          <w:szCs w:val="16"/>
        </w:rPr>
        <w:softHyphen/>
        <w:t>ного летчика. Самолет И-185 во всех случаях прост, устойчив. Взлет гораздо проще, чем на Як-1, быстро отрывается, ввиду большой мощ</w:t>
      </w:r>
      <w:r w:rsidRPr="00D03F3E">
        <w:rPr>
          <w:rFonts w:ascii="Times New Roman" w:hAnsi="Times New Roman"/>
          <w:iCs/>
          <w:color w:val="000000" w:themeColor="text1"/>
          <w:sz w:val="16"/>
          <w:szCs w:val="16"/>
        </w:rPr>
        <w:softHyphen/>
        <w:t>ности мотора; планирование, посадка, пробег простые. Пилотаж в зоне прост, бочки, штопор, перевороты энергичные, не требуют никакого усилия. И-185 обладает хорошей горизонталь</w:t>
      </w:r>
      <w:r w:rsidRPr="00D03F3E">
        <w:rPr>
          <w:rFonts w:ascii="Times New Roman" w:hAnsi="Times New Roman"/>
          <w:iCs/>
          <w:color w:val="000000" w:themeColor="text1"/>
          <w:sz w:val="16"/>
          <w:szCs w:val="16"/>
        </w:rPr>
        <w:softHyphen/>
        <w:t>ной и вертикальной скоростью, превышающейвсе иностранные и отечественные самолеты в скорости, поэтому лучше вести воздушный бой на вертикалях, горизонтальный маневр равен самолету Як-1, на самолете И-185 боевая ра</w:t>
      </w:r>
      <w:r w:rsidRPr="00D03F3E">
        <w:rPr>
          <w:rFonts w:ascii="Times New Roman" w:hAnsi="Times New Roman"/>
          <w:iCs/>
          <w:color w:val="000000" w:themeColor="text1"/>
          <w:sz w:val="16"/>
          <w:szCs w:val="16"/>
        </w:rPr>
        <w:softHyphen/>
        <w:t>бота не производилась из-за отсутствия зада</w:t>
      </w:r>
      <w:r w:rsidRPr="00D03F3E">
        <w:rPr>
          <w:rFonts w:ascii="Times New Roman" w:hAnsi="Times New Roman"/>
          <w:iCs/>
          <w:color w:val="000000" w:themeColor="text1"/>
          <w:sz w:val="16"/>
          <w:szCs w:val="16"/>
        </w:rPr>
        <w:softHyphen/>
        <w:t>чи. Учебно-тренировочные полеты показали, что самолет И-185 обладает хорошими свой</w:t>
      </w:r>
      <w:r w:rsidRPr="00D03F3E">
        <w:rPr>
          <w:rFonts w:ascii="Times New Roman" w:hAnsi="Times New Roman"/>
          <w:iCs/>
          <w:color w:val="000000" w:themeColor="text1"/>
          <w:sz w:val="16"/>
          <w:szCs w:val="16"/>
        </w:rPr>
        <w:softHyphen/>
        <w:t>ствами для ведения воздушного боя с истреби</w:t>
      </w:r>
      <w:r w:rsidRPr="00D03F3E">
        <w:rPr>
          <w:rFonts w:ascii="Times New Roman" w:hAnsi="Times New Roman"/>
          <w:iCs/>
          <w:color w:val="000000" w:themeColor="text1"/>
          <w:sz w:val="16"/>
          <w:szCs w:val="16"/>
        </w:rPr>
        <w:softHyphen/>
        <w:t>телями противника на вертикалях.</w:t>
      </w:r>
    </w:p>
    <w:p w14:paraId="56CF647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Вооружение самолета 3 ШВАК достаточно вполне, лично рекомендую заводу такое воору</w:t>
      </w:r>
      <w:r w:rsidRPr="00D03F3E">
        <w:rPr>
          <w:rFonts w:ascii="Times New Roman" w:hAnsi="Times New Roman"/>
          <w:iCs/>
          <w:color w:val="000000" w:themeColor="text1"/>
          <w:sz w:val="16"/>
          <w:szCs w:val="16"/>
        </w:rPr>
        <w:softHyphen/>
        <w:t>жение для дальнейшего применения на само</w:t>
      </w:r>
      <w:r w:rsidRPr="00D03F3E">
        <w:rPr>
          <w:rFonts w:ascii="Times New Roman" w:hAnsi="Times New Roman"/>
          <w:iCs/>
          <w:color w:val="000000" w:themeColor="text1"/>
          <w:sz w:val="16"/>
          <w:szCs w:val="16"/>
        </w:rPr>
        <w:softHyphen/>
        <w:t>леты И-185.</w:t>
      </w:r>
    </w:p>
    <w:p w14:paraId="6D4DE77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Моторы М-71, М-82 вполне подходящие, мощные, выносливые, но требуют некоторых вопросов для лучшего усовершенствования в эксплуатации.</w:t>
      </w:r>
    </w:p>
    <w:p w14:paraId="60B6CAC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Запуск мотора в зимних условиях труден. Общий недостаток моторов воздушного охлаж</w:t>
      </w:r>
      <w:r w:rsidRPr="00D03F3E">
        <w:rPr>
          <w:rFonts w:ascii="Times New Roman" w:hAnsi="Times New Roman"/>
          <w:iCs/>
          <w:color w:val="000000" w:themeColor="text1"/>
          <w:sz w:val="16"/>
          <w:szCs w:val="16"/>
        </w:rPr>
        <w:softHyphen/>
        <w:t>дения, поэтому требуется продумать вопросы подогрева мотора более быстрого, чем сейчас. Заливка мотора (шприц) расположен неудоб</w:t>
      </w:r>
      <w:r w:rsidRPr="00D03F3E">
        <w:rPr>
          <w:rFonts w:ascii="Times New Roman" w:hAnsi="Times New Roman"/>
          <w:iCs/>
          <w:color w:val="000000" w:themeColor="text1"/>
          <w:sz w:val="16"/>
          <w:szCs w:val="16"/>
        </w:rPr>
        <w:softHyphen/>
        <w:t>но, рекомендую заливную систему располо</w:t>
      </w:r>
      <w:r w:rsidRPr="00D03F3E">
        <w:rPr>
          <w:rFonts w:ascii="Times New Roman" w:hAnsi="Times New Roman"/>
          <w:iCs/>
          <w:color w:val="000000" w:themeColor="text1"/>
          <w:sz w:val="16"/>
          <w:szCs w:val="16"/>
        </w:rPr>
        <w:softHyphen/>
        <w:t>жить у приборной доски или за ней.</w:t>
      </w:r>
    </w:p>
    <w:p w14:paraId="5F8F086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Управление жалюзи неудобное, тугое (так</w:t>
      </w:r>
      <w:r w:rsidRPr="00D03F3E">
        <w:rPr>
          <w:rFonts w:ascii="Times New Roman" w:hAnsi="Times New Roman"/>
          <w:iCs/>
          <w:color w:val="000000" w:themeColor="text1"/>
          <w:sz w:val="16"/>
          <w:szCs w:val="16"/>
        </w:rPr>
        <w:softHyphen/>
        <w:t>же требуется изменить, поставить так, как на И-16), такое расположение требует значительно</w:t>
      </w:r>
      <w:r w:rsidRPr="00D03F3E">
        <w:rPr>
          <w:rFonts w:ascii="Times New Roman" w:hAnsi="Times New Roman"/>
          <w:iCs/>
          <w:color w:val="000000" w:themeColor="text1"/>
          <w:sz w:val="16"/>
          <w:szCs w:val="16"/>
        </w:rPr>
        <w:softHyphen/>
        <w:t>го усилия и внимания как на самолете с 71, так и 82 мотором.</w:t>
      </w:r>
    </w:p>
    <w:p w14:paraId="0D41D01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Заливной бак на самолете с мотором М-71 неудобен в смысле заправки, рекомендую залив</w:t>
      </w:r>
      <w:r w:rsidRPr="00D03F3E">
        <w:rPr>
          <w:rFonts w:ascii="Times New Roman" w:hAnsi="Times New Roman"/>
          <w:iCs/>
          <w:color w:val="000000" w:themeColor="text1"/>
          <w:sz w:val="16"/>
          <w:szCs w:val="16"/>
        </w:rPr>
        <w:softHyphen/>
        <w:t>ную систему сделать, как на Як-1 от общего бака, этим самым упростится запуск мотора. Запуск мотора рекомендую не от стартера, а воздухом».</w:t>
      </w:r>
    </w:p>
    <w:p w14:paraId="30D84A6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Отзыв о самолете И-185 летчика 728 ИАП младшего лейтенанта Кустова И.Е.:</w:t>
      </w:r>
    </w:p>
    <w:p w14:paraId="74AA77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«Боевую работу на фронте отечественной войны все время вел на самолете И-16, на кото</w:t>
      </w:r>
      <w:r w:rsidRPr="00D03F3E">
        <w:rPr>
          <w:rFonts w:ascii="Times New Roman" w:hAnsi="Times New Roman"/>
          <w:iCs/>
          <w:color w:val="000000" w:themeColor="text1"/>
          <w:sz w:val="16"/>
          <w:szCs w:val="16"/>
        </w:rPr>
        <w:softHyphen/>
        <w:t>ром сделал более 100 боевых вылетов, лично сбил 7, в групповом - 7 самолетов противника.</w:t>
      </w:r>
    </w:p>
    <w:p w14:paraId="4AB76AE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Переход с самолета И-16 на самолет И-185 был для меня не труден, поэтому считаю, что летчики, владеющие техникой пилотирования на самолете 1/1-16 с оценкой на хорошо, свобод</w:t>
      </w:r>
      <w:r w:rsidRPr="00D03F3E">
        <w:rPr>
          <w:rFonts w:ascii="Times New Roman" w:hAnsi="Times New Roman"/>
          <w:iCs/>
          <w:color w:val="000000" w:themeColor="text1"/>
          <w:sz w:val="16"/>
          <w:szCs w:val="16"/>
        </w:rPr>
        <w:softHyphen/>
        <w:t>но могут переходить на И-185.</w:t>
      </w:r>
    </w:p>
    <w:p w14:paraId="798CEE1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На взлете и посадке самолет прост. Из сде</w:t>
      </w:r>
      <w:r w:rsidRPr="00D03F3E">
        <w:rPr>
          <w:rFonts w:ascii="Times New Roman" w:hAnsi="Times New Roman"/>
          <w:iCs/>
          <w:color w:val="000000" w:themeColor="text1"/>
          <w:sz w:val="16"/>
          <w:szCs w:val="16"/>
        </w:rPr>
        <w:softHyphen/>
        <w:t>ланных мной полетов, я могу заключить, что са</w:t>
      </w:r>
      <w:r w:rsidRPr="00D03F3E">
        <w:rPr>
          <w:rFonts w:ascii="Times New Roman" w:hAnsi="Times New Roman"/>
          <w:iCs/>
          <w:color w:val="000000" w:themeColor="text1"/>
          <w:sz w:val="16"/>
          <w:szCs w:val="16"/>
        </w:rPr>
        <w:softHyphen/>
        <w:t>молет обладает скоростью, превосходящей все типы самолетов, стоящих на вооружении ВВС КА. Обладает хорошим вертикальным и гори</w:t>
      </w:r>
      <w:r w:rsidRPr="00D03F3E">
        <w:rPr>
          <w:rFonts w:ascii="Times New Roman" w:hAnsi="Times New Roman"/>
          <w:iCs/>
          <w:color w:val="000000" w:themeColor="text1"/>
          <w:sz w:val="16"/>
          <w:szCs w:val="16"/>
        </w:rPr>
        <w:softHyphen/>
        <w:t>зонтальным маневром.</w:t>
      </w:r>
    </w:p>
    <w:p w14:paraId="2E95ED5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С этими летными качествами и мощным во</w:t>
      </w:r>
      <w:r w:rsidRPr="00D03F3E">
        <w:rPr>
          <w:rFonts w:ascii="Times New Roman" w:hAnsi="Times New Roman"/>
          <w:iCs/>
          <w:color w:val="000000" w:themeColor="text1"/>
          <w:sz w:val="16"/>
          <w:szCs w:val="16"/>
        </w:rPr>
        <w:softHyphen/>
        <w:t>оружением, которым обладает самолет, он мо</w:t>
      </w:r>
      <w:r w:rsidRPr="00D03F3E">
        <w:rPr>
          <w:rFonts w:ascii="Times New Roman" w:hAnsi="Times New Roman"/>
          <w:iCs/>
          <w:color w:val="000000" w:themeColor="text1"/>
          <w:sz w:val="16"/>
          <w:szCs w:val="16"/>
        </w:rPr>
        <w:softHyphen/>
        <w:t>жет считаться одним из лучших советских ис</w:t>
      </w:r>
      <w:r w:rsidRPr="00D03F3E">
        <w:rPr>
          <w:rFonts w:ascii="Times New Roman" w:hAnsi="Times New Roman"/>
          <w:iCs/>
          <w:color w:val="000000" w:themeColor="text1"/>
          <w:sz w:val="16"/>
          <w:szCs w:val="16"/>
        </w:rPr>
        <w:softHyphen/>
        <w:t>требителей. Недостатками самолета являются:</w:t>
      </w:r>
    </w:p>
    <w:p w14:paraId="48BE596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1) Сильно искажающий сферический передний козырек следует заменить на козырек с плос</w:t>
      </w:r>
      <w:r w:rsidRPr="00D03F3E">
        <w:rPr>
          <w:rFonts w:ascii="Times New Roman" w:hAnsi="Times New Roman"/>
          <w:iCs/>
          <w:color w:val="000000" w:themeColor="text1"/>
          <w:sz w:val="16"/>
          <w:szCs w:val="16"/>
        </w:rPr>
        <w:softHyphen/>
        <w:t>кими гранями.</w:t>
      </w:r>
    </w:p>
    <w:p w14:paraId="49788C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2) Сектор газа расположен неудобно, необхо- \ димо вынести его несколько вперед.</w:t>
      </w:r>
    </w:p>
    <w:p w14:paraId="30B2DA4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3) Неудобно расположены и туго управляются жалюзи мотора.</w:t>
      </w:r>
    </w:p>
    <w:p w14:paraId="586D809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4) Отсутствие компрессора мотора.</w:t>
      </w:r>
    </w:p>
    <w:p w14:paraId="7BEBA2D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Мое пожелание заводу, как можно быстрее и больше выпускать таких самолетов фронту»</w:t>
      </w:r>
      <w:r w:rsidRPr="00D03F3E">
        <w:rPr>
          <w:rFonts w:ascii="Times New Roman" w:hAnsi="Times New Roman"/>
          <w:color w:val="000000" w:themeColor="text1"/>
          <w:sz w:val="16"/>
          <w:szCs w:val="16"/>
        </w:rPr>
        <w:t xml:space="preserve"> (9979).</w:t>
      </w:r>
    </w:p>
    <w:p w14:paraId="19D2AE2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6EFF6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января 1943 г. состоялся последний вылет И-185 на Калининском фронте. Летали в двух па</w:t>
      </w:r>
      <w:r w:rsidRPr="00D03F3E">
        <w:rPr>
          <w:rFonts w:ascii="Times New Roman" w:hAnsi="Times New Roman"/>
          <w:color w:val="000000" w:themeColor="text1"/>
          <w:sz w:val="16"/>
          <w:szCs w:val="16"/>
        </w:rPr>
        <w:softHyphen/>
        <w:t>рах, причем ведущим обычно являлся офицер (Игнать</w:t>
      </w:r>
      <w:r w:rsidRPr="00D03F3E">
        <w:rPr>
          <w:rFonts w:ascii="Times New Roman" w:hAnsi="Times New Roman"/>
          <w:color w:val="000000" w:themeColor="text1"/>
          <w:sz w:val="16"/>
          <w:szCs w:val="16"/>
        </w:rPr>
        <w:softHyphen/>
        <w:t>ев, Купин), а ведомым - сержант (Боровых, Томиль-ченко). Истребители часто выпускали в полет, когда над нашей территорией шел воздушный бой. На полной скорости проносились И-185 сквозь строй фашистских самолетов, стреляя из пушек, а потом с разворотом ухо</w:t>
      </w:r>
      <w:r w:rsidRPr="00D03F3E">
        <w:rPr>
          <w:rFonts w:ascii="Times New Roman" w:hAnsi="Times New Roman"/>
          <w:color w:val="000000" w:themeColor="text1"/>
          <w:sz w:val="16"/>
          <w:szCs w:val="16"/>
        </w:rPr>
        <w:softHyphen/>
        <w:t xml:space="preserve">дили на свой аэродром. Один полет был осуществлен на </w:t>
      </w:r>
      <w:r w:rsidRPr="00D03F3E">
        <w:rPr>
          <w:rFonts w:ascii="Times New Roman" w:hAnsi="Times New Roman"/>
          <w:color w:val="000000" w:themeColor="text1"/>
          <w:sz w:val="16"/>
          <w:szCs w:val="16"/>
        </w:rPr>
        <w:lastRenderedPageBreak/>
        <w:t>«свободную охоту» над нашей территорией. По воспо</w:t>
      </w:r>
      <w:r w:rsidRPr="00D03F3E">
        <w:rPr>
          <w:rFonts w:ascii="Times New Roman" w:hAnsi="Times New Roman"/>
          <w:color w:val="000000" w:themeColor="text1"/>
          <w:sz w:val="16"/>
          <w:szCs w:val="16"/>
        </w:rPr>
        <w:softHyphen/>
        <w:t>минаниям Игнатьева, Боровых при этом сбил или по</w:t>
      </w:r>
      <w:r w:rsidRPr="00D03F3E">
        <w:rPr>
          <w:rFonts w:ascii="Times New Roman" w:hAnsi="Times New Roman"/>
          <w:color w:val="000000" w:themeColor="text1"/>
          <w:sz w:val="16"/>
          <w:szCs w:val="16"/>
        </w:rPr>
        <w:softHyphen/>
        <w:t>вредил один немецкий самолет. Два полета выполнили для прикрытия действовавшего в районе Ржева развед</w:t>
      </w:r>
      <w:r w:rsidRPr="00D03F3E">
        <w:rPr>
          <w:rFonts w:ascii="Times New Roman" w:hAnsi="Times New Roman"/>
          <w:color w:val="000000" w:themeColor="text1"/>
          <w:sz w:val="16"/>
          <w:szCs w:val="16"/>
        </w:rPr>
        <w:softHyphen/>
        <w:t>чика Кертисс Р-40 «Китти-Хаук». Купин летал преиму</w:t>
      </w:r>
      <w:r w:rsidRPr="00D03F3E">
        <w:rPr>
          <w:rFonts w:ascii="Times New Roman" w:hAnsi="Times New Roman"/>
          <w:color w:val="000000" w:themeColor="text1"/>
          <w:sz w:val="16"/>
          <w:szCs w:val="16"/>
        </w:rPr>
        <w:softHyphen/>
        <w:t>щественно на опытном И-185 с М-71 («04»), Игнатьев -на «эталоне для серии», Боровых и Томильченко - на И-185 с М-82А. В воздушных боях с FW-190 им встре</w:t>
      </w:r>
      <w:r w:rsidRPr="00D03F3E">
        <w:rPr>
          <w:rFonts w:ascii="Times New Roman" w:hAnsi="Times New Roman"/>
          <w:color w:val="000000" w:themeColor="text1"/>
          <w:sz w:val="16"/>
          <w:szCs w:val="16"/>
        </w:rPr>
        <w:softHyphen/>
        <w:t>титься не довелось. Группа И-185 часто меняла дислокацию, то переба</w:t>
      </w:r>
      <w:r w:rsidRPr="00D03F3E">
        <w:rPr>
          <w:rFonts w:ascii="Times New Roman" w:hAnsi="Times New Roman"/>
          <w:color w:val="000000" w:themeColor="text1"/>
          <w:sz w:val="16"/>
          <w:szCs w:val="16"/>
        </w:rPr>
        <w:softHyphen/>
        <w:t>зируясь в Старую Торопу, то опять возвращаясь в Ста</w:t>
      </w:r>
      <w:r w:rsidRPr="00D03F3E">
        <w:rPr>
          <w:rFonts w:ascii="Times New Roman" w:hAnsi="Times New Roman"/>
          <w:color w:val="000000" w:themeColor="text1"/>
          <w:sz w:val="16"/>
          <w:szCs w:val="16"/>
        </w:rPr>
        <w:softHyphen/>
        <w:t>рицу. Преследовали цель создать у немцев иллюзию наличия на Калининском фронте по крайней мере пол</w:t>
      </w:r>
      <w:r w:rsidRPr="00D03F3E">
        <w:rPr>
          <w:rFonts w:ascii="Times New Roman" w:hAnsi="Times New Roman"/>
          <w:color w:val="000000" w:themeColor="text1"/>
          <w:sz w:val="16"/>
          <w:szCs w:val="16"/>
        </w:rPr>
        <w:softHyphen/>
        <w:t>ка, вооруженного И-185, а также снизить вероятность поражения истребителей при возможных налетах про</w:t>
      </w:r>
      <w:r w:rsidRPr="00D03F3E">
        <w:rPr>
          <w:rFonts w:ascii="Times New Roman" w:hAnsi="Times New Roman"/>
          <w:color w:val="000000" w:themeColor="text1"/>
          <w:sz w:val="16"/>
          <w:szCs w:val="16"/>
        </w:rPr>
        <w:softHyphen/>
        <w:t>тивника на аэродром. Всего каждый летчик выполнил по 10-11 боевых вы</w:t>
      </w:r>
      <w:r w:rsidRPr="00D03F3E">
        <w:rPr>
          <w:rFonts w:ascii="Times New Roman" w:hAnsi="Times New Roman"/>
          <w:color w:val="000000" w:themeColor="text1"/>
          <w:sz w:val="16"/>
          <w:szCs w:val="16"/>
        </w:rPr>
        <w:softHyphen/>
        <w:t>летов. В летную книжку по соображениям секретности они записывались преимущественно как «тренировоч</w:t>
      </w:r>
      <w:r w:rsidRPr="00D03F3E">
        <w:rPr>
          <w:rFonts w:ascii="Times New Roman" w:hAnsi="Times New Roman"/>
          <w:color w:val="000000" w:themeColor="text1"/>
          <w:sz w:val="16"/>
          <w:szCs w:val="16"/>
        </w:rPr>
        <w:softHyphen/>
        <w:t>ные полеты» в зоне аэродрома. К новому самолету проявила интерес немецкая раз</w:t>
      </w:r>
      <w:r w:rsidRPr="00D03F3E">
        <w:rPr>
          <w:rFonts w:ascii="Times New Roman" w:hAnsi="Times New Roman"/>
          <w:color w:val="000000" w:themeColor="text1"/>
          <w:sz w:val="16"/>
          <w:szCs w:val="16"/>
        </w:rPr>
        <w:softHyphen/>
        <w:t>ведка. Н.П.Игнатьев рассказывал, что на подходах к аэ</w:t>
      </w:r>
      <w:r w:rsidRPr="00D03F3E">
        <w:rPr>
          <w:rFonts w:ascii="Times New Roman" w:hAnsi="Times New Roman"/>
          <w:color w:val="000000" w:themeColor="text1"/>
          <w:sz w:val="16"/>
          <w:szCs w:val="16"/>
        </w:rPr>
        <w:softHyphen/>
        <w:t>родрому однажды поймали диверсанта. Кроме Купина, Игнатьева, Боровых, Томильченко И-185 облетали в действительно тренировочных поле</w:t>
      </w:r>
      <w:r w:rsidRPr="00D03F3E">
        <w:rPr>
          <w:rFonts w:ascii="Times New Roman" w:hAnsi="Times New Roman"/>
          <w:color w:val="000000" w:themeColor="text1"/>
          <w:sz w:val="16"/>
          <w:szCs w:val="16"/>
        </w:rPr>
        <w:softHyphen/>
        <w:t>тах командир полка Василяка и Кустов. По указанию командования отчеты о фронтовых ис</w:t>
      </w:r>
      <w:r w:rsidRPr="00D03F3E">
        <w:rPr>
          <w:rFonts w:ascii="Times New Roman" w:hAnsi="Times New Roman"/>
          <w:color w:val="000000" w:themeColor="text1"/>
          <w:sz w:val="16"/>
          <w:szCs w:val="16"/>
        </w:rPr>
        <w:softHyphen/>
        <w:t>пытаниях должны были писать только летчики-офице</w:t>
      </w:r>
      <w:r w:rsidRPr="00D03F3E">
        <w:rPr>
          <w:rFonts w:ascii="Times New Roman" w:hAnsi="Times New Roman"/>
          <w:color w:val="000000" w:themeColor="text1"/>
          <w:sz w:val="16"/>
          <w:szCs w:val="16"/>
        </w:rPr>
        <w:softHyphen/>
        <w:t>ры. По неизвестной причине от этой работы отстранили Д.И.Купина - по-видимому, в это время он болел. Поэтому в штаб ВВС направили отчеты Василя-ки, Игнатьева, Кустова. Интересно отметить, что в них старательно подчеркивалось выполнение на И-185 на фронте только учебно-тренировочных полетов.</w:t>
      </w:r>
    </w:p>
    <w:p w14:paraId="3749F7D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Фронтовые летчики высоко оценили боевые качест</w:t>
      </w:r>
      <w:r w:rsidRPr="00D03F3E">
        <w:rPr>
          <w:rFonts w:ascii="Times New Roman" w:hAnsi="Times New Roman"/>
          <w:color w:val="000000" w:themeColor="text1"/>
          <w:sz w:val="16"/>
          <w:szCs w:val="16"/>
        </w:rPr>
        <w:softHyphen/>
        <w:t>ва И-185. Из отзыва командира 728-го ИАП капитана В.С.Василяки:</w:t>
      </w:r>
    </w:p>
    <w:p w14:paraId="2BB543D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полку на самолетах И-185 летает 5 человек, все 5 чел. вылетели и летают без затруднения как после Яка, так и после И-16.</w:t>
      </w:r>
    </w:p>
    <w:p w14:paraId="63F7DE4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 я летал на самолетах: И-16, Як-1, Як-7Б, ЛаГГ-3, Ла-5, Харрикейн и на самолете И-185 с мотором М-71 и М-82 и пришел к следующему выводу:</w:t>
      </w:r>
    </w:p>
    <w:p w14:paraId="37162CF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Переход с других самолетов истребительного типа на самолет И-185 прост и не вызывает никаких трудно</w:t>
      </w:r>
      <w:r w:rsidRPr="00D03F3E">
        <w:rPr>
          <w:rFonts w:ascii="Times New Roman" w:hAnsi="Times New Roman"/>
          <w:color w:val="000000" w:themeColor="text1"/>
          <w:sz w:val="16"/>
          <w:szCs w:val="16"/>
        </w:rPr>
        <w:softHyphen/>
        <w:t>стей для летчиков.</w:t>
      </w:r>
    </w:p>
    <w:p w14:paraId="68C7F94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Самолет в полете управляется легко, очень устой</w:t>
      </w:r>
      <w:r w:rsidRPr="00D03F3E">
        <w:rPr>
          <w:rFonts w:ascii="Times New Roman" w:hAnsi="Times New Roman"/>
          <w:color w:val="000000" w:themeColor="text1"/>
          <w:sz w:val="16"/>
          <w:szCs w:val="16"/>
        </w:rPr>
        <w:softHyphen/>
        <w:t>чив и без особых капризов.</w:t>
      </w:r>
    </w:p>
    <w:p w14:paraId="5AB2710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Выполнение взлета и посадки исключительно про</w:t>
      </w:r>
      <w:r w:rsidRPr="00D03F3E">
        <w:rPr>
          <w:rFonts w:ascii="Times New Roman" w:hAnsi="Times New Roman"/>
          <w:color w:val="000000" w:themeColor="text1"/>
          <w:sz w:val="16"/>
          <w:szCs w:val="16"/>
        </w:rPr>
        <w:softHyphen/>
        <w:t>стое.</w:t>
      </w:r>
    </w:p>
    <w:p w14:paraId="0AA6224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Достоинством самолета является исключительно высокая маневренность на вертикалях благодаря его хо</w:t>
      </w:r>
      <w:r w:rsidRPr="00D03F3E">
        <w:rPr>
          <w:rFonts w:ascii="Times New Roman" w:hAnsi="Times New Roman"/>
          <w:color w:val="000000" w:themeColor="text1"/>
          <w:sz w:val="16"/>
          <w:szCs w:val="16"/>
        </w:rPr>
        <w:softHyphen/>
        <w:t>рошей скороподъемности, что дает возможность вести воздушный бой с истребителями противника, что не всегда возможно на самолетах Як-1, Як-7Б и на Ла-5.</w:t>
      </w:r>
    </w:p>
    <w:p w14:paraId="227D113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В горизонтальной скорости самолет И-185 имеет большое преимущество по сравнению с самолетами оте</w:t>
      </w:r>
      <w:r w:rsidRPr="00D03F3E">
        <w:rPr>
          <w:rFonts w:ascii="Times New Roman" w:hAnsi="Times New Roman"/>
          <w:color w:val="000000" w:themeColor="text1"/>
          <w:sz w:val="16"/>
          <w:szCs w:val="16"/>
        </w:rPr>
        <w:softHyphen/>
        <w:t>чественного производства, а также с самолетами против</w:t>
      </w:r>
      <w:r w:rsidRPr="00D03F3E">
        <w:rPr>
          <w:rFonts w:ascii="Times New Roman" w:hAnsi="Times New Roman"/>
          <w:color w:val="000000" w:themeColor="text1"/>
          <w:sz w:val="16"/>
          <w:szCs w:val="16"/>
        </w:rPr>
        <w:softHyphen/>
        <w:t>ника. Диапазон скоростей по горизонтали у земли исключительно велик: 220-540 км/ч, что является нема</w:t>
      </w:r>
      <w:r w:rsidRPr="00D03F3E">
        <w:rPr>
          <w:rFonts w:ascii="Times New Roman" w:hAnsi="Times New Roman"/>
          <w:color w:val="000000" w:themeColor="text1"/>
          <w:sz w:val="16"/>
          <w:szCs w:val="16"/>
        </w:rPr>
        <w:softHyphen/>
        <w:t>ловажным фактором для современного истребителя. Скорость по горизонту от эволютивной до максималь</w:t>
      </w:r>
      <w:r w:rsidRPr="00D03F3E">
        <w:rPr>
          <w:rFonts w:ascii="Times New Roman" w:hAnsi="Times New Roman"/>
          <w:color w:val="000000" w:themeColor="text1"/>
          <w:sz w:val="16"/>
          <w:szCs w:val="16"/>
        </w:rPr>
        <w:softHyphen/>
        <w:t>ной самолет развивает очень быстро по сравнению с ЛаГГ-3, Ла-5 и Як'ами, т.е. имеет хорошую приемистость.</w:t>
      </w:r>
    </w:p>
    <w:p w14:paraId="330A89F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Фигуры высшего пилотажа выполняет легко, быстро и энергично, аналогично И-16.</w:t>
      </w:r>
    </w:p>
    <w:p w14:paraId="365C269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Недостатки, обнаруженные в процессе эксплуата</w:t>
      </w:r>
      <w:r w:rsidRPr="00D03F3E">
        <w:rPr>
          <w:rFonts w:ascii="Times New Roman" w:hAnsi="Times New Roman"/>
          <w:color w:val="000000" w:themeColor="text1"/>
          <w:sz w:val="16"/>
          <w:szCs w:val="16"/>
        </w:rPr>
        <w:softHyphen/>
        <w:t>ции, которые рекомендую заводу устранить при выпус</w:t>
      </w:r>
      <w:r w:rsidRPr="00D03F3E">
        <w:rPr>
          <w:rFonts w:ascii="Times New Roman" w:hAnsi="Times New Roman"/>
          <w:color w:val="000000" w:themeColor="text1"/>
          <w:sz w:val="16"/>
          <w:szCs w:val="16"/>
        </w:rPr>
        <w:softHyphen/>
        <w:t>ке новых машин:</w:t>
      </w:r>
    </w:p>
    <w:p w14:paraId="084168D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Переднюю часть фонаря сделать граненую.</w:t>
      </w:r>
    </w:p>
    <w:p w14:paraId="505FCED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Упростить или облегчить управление жалюзи мо</w:t>
      </w:r>
      <w:r w:rsidRPr="00D03F3E">
        <w:rPr>
          <w:rFonts w:ascii="Times New Roman" w:hAnsi="Times New Roman"/>
          <w:color w:val="000000" w:themeColor="text1"/>
          <w:sz w:val="16"/>
          <w:szCs w:val="16"/>
        </w:rPr>
        <w:softHyphen/>
        <w:t>тора.</w:t>
      </w:r>
    </w:p>
    <w:p w14:paraId="068F7DB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Изоляция тросов руля поворота (коуши) неудов</w:t>
      </w:r>
      <w:r w:rsidRPr="00D03F3E">
        <w:rPr>
          <w:rFonts w:ascii="Times New Roman" w:hAnsi="Times New Roman"/>
          <w:color w:val="000000" w:themeColor="text1"/>
          <w:sz w:val="16"/>
          <w:szCs w:val="16"/>
        </w:rPr>
        <w:softHyphen/>
        <w:t>летворительна при выполнении фигур высшего пилотажа, как-то: бочки, перевороты через крыло; каблук обуви цепляет за коуши.</w:t>
      </w:r>
    </w:p>
    <w:p w14:paraId="49D71E1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Улучшить управление самолета при рулежке в смысле облегчения разворотов.</w:t>
      </w:r>
    </w:p>
    <w:p w14:paraId="5CA92F5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Вынести сектор газа вперед минимум на 100 мм; при старом положении сектора газ убрать полностью, без особых комбинаций, невозможно.</w:t>
      </w:r>
    </w:p>
    <w:p w14:paraId="618918A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Необходимо для пополнения расхода воздуха на подъем шасси и щитков поставить компрессор.</w:t>
      </w:r>
    </w:p>
    <w:p w14:paraId="6383C3E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Обязать оборудовать запуск мотора сжатым возду</w:t>
      </w:r>
      <w:r w:rsidRPr="00D03F3E">
        <w:rPr>
          <w:rFonts w:ascii="Times New Roman" w:hAnsi="Times New Roman"/>
          <w:color w:val="000000" w:themeColor="text1"/>
          <w:sz w:val="16"/>
          <w:szCs w:val="16"/>
        </w:rPr>
        <w:softHyphen/>
        <w:t>хом.</w:t>
      </w:r>
    </w:p>
    <w:p w14:paraId="50FEDA0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Разработать на вновь выпускаемых машинах ава</w:t>
      </w:r>
      <w:r w:rsidRPr="00D03F3E">
        <w:rPr>
          <w:rFonts w:ascii="Times New Roman" w:hAnsi="Times New Roman"/>
          <w:color w:val="000000" w:themeColor="text1"/>
          <w:sz w:val="16"/>
          <w:szCs w:val="16"/>
        </w:rPr>
        <w:softHyphen/>
        <w:t>рийное открытие фонаря.</w:t>
      </w:r>
    </w:p>
    <w:p w14:paraId="5BFEC3A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Улучшить вентиляцию кабины (очень жарко).</w:t>
      </w:r>
    </w:p>
    <w:p w14:paraId="57A42B8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Считаю, что самолет И-185 с мотором М-71 или М-82 и вооруженный 3 пушками «ШВАК» отвечает всем тре</w:t>
      </w:r>
      <w:r w:rsidRPr="00D03F3E">
        <w:rPr>
          <w:rFonts w:ascii="Times New Roman" w:hAnsi="Times New Roman"/>
          <w:color w:val="000000" w:themeColor="text1"/>
          <w:sz w:val="16"/>
          <w:szCs w:val="16"/>
        </w:rPr>
        <w:softHyphen/>
        <w:t>бованиям для ведения боевой работы.</w:t>
      </w:r>
    </w:p>
    <w:p w14:paraId="5027397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Надо считать, в настоящее время самолет И-185 яв</w:t>
      </w:r>
      <w:r w:rsidRPr="00D03F3E">
        <w:rPr>
          <w:rFonts w:ascii="Times New Roman" w:hAnsi="Times New Roman"/>
          <w:color w:val="000000" w:themeColor="text1"/>
          <w:sz w:val="16"/>
          <w:szCs w:val="16"/>
        </w:rPr>
        <w:softHyphen/>
        <w:t>ляется лучшим самолетом истребительного типа по своей простоте в управлении, по скорости, маневру (особо на вертикали), по вооружению и живучести.</w:t>
      </w:r>
    </w:p>
    <w:p w14:paraId="0BD4F03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Летчики-фронтовики этого самолета ждут с нетер</w:t>
      </w:r>
      <w:r w:rsidRPr="00D03F3E">
        <w:rPr>
          <w:rFonts w:ascii="Times New Roman" w:hAnsi="Times New Roman"/>
          <w:color w:val="000000" w:themeColor="text1"/>
          <w:sz w:val="16"/>
          <w:szCs w:val="16"/>
        </w:rPr>
        <w:softHyphen/>
        <w:t>пением на фронте».</w:t>
      </w:r>
    </w:p>
    <w:p w14:paraId="030F266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Командир эскадрильи Н.П.Игнатьев в отзыве писал:</w:t>
      </w:r>
    </w:p>
    <w:p w14:paraId="773FE88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«Начинал боевую работу на фронте отечественной войны на самолете И-16 и Як-7. Имея более 320 боевых вылетов, уничтожил до 25 немецких самолетов как в одиночном, так и в групповом бою.</w:t>
      </w:r>
    </w:p>
    <w:p w14:paraId="69C91B2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Перейти на самолет И-185 никакой трудности не представляет для среднеподготовленного летчика. Са-</w:t>
      </w:r>
    </w:p>
    <w:p w14:paraId="63228A7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молет И-185 во всех случаях прост, устойчив. Взлет го</w:t>
      </w:r>
      <w:r w:rsidRPr="00D03F3E">
        <w:rPr>
          <w:rFonts w:ascii="Times New Roman" w:hAnsi="Times New Roman"/>
          <w:color w:val="000000" w:themeColor="text1"/>
          <w:sz w:val="16"/>
          <w:szCs w:val="16"/>
        </w:rPr>
        <w:softHyphen/>
        <w:t>раздо проще, чем на Як-1, быстро отрывается ввиду большой мощности мотора; планирование, посадка, пробег простые. Пилотаж в зоне прост, бочки, штопор, перевороты энергичные, не требуют никакого усилия. И-185 обладает хорошей горизонтальной и вертикаль</w:t>
      </w:r>
      <w:r w:rsidRPr="00D03F3E">
        <w:rPr>
          <w:rFonts w:ascii="Times New Roman" w:hAnsi="Times New Roman"/>
          <w:color w:val="000000" w:themeColor="text1"/>
          <w:sz w:val="16"/>
          <w:szCs w:val="16"/>
        </w:rPr>
        <w:softHyphen/>
        <w:t>ной скоростью, превышающей все иностранные и оте</w:t>
      </w:r>
      <w:r w:rsidRPr="00D03F3E">
        <w:rPr>
          <w:rFonts w:ascii="Times New Roman" w:hAnsi="Times New Roman"/>
          <w:color w:val="000000" w:themeColor="text1"/>
          <w:sz w:val="16"/>
          <w:szCs w:val="16"/>
        </w:rPr>
        <w:softHyphen/>
        <w:t>чественные самолеты в скорости, поэтому лучше вести воздушный бой на вертикалях, горизонтальный маневр равен самолету Як-1, на самолете И-185 боевая работа не производилась из-за отсутствия задачи (что противоре</w:t>
      </w:r>
      <w:r w:rsidRPr="00D03F3E">
        <w:rPr>
          <w:rFonts w:ascii="Times New Roman" w:hAnsi="Times New Roman"/>
          <w:color w:val="000000" w:themeColor="text1"/>
          <w:sz w:val="16"/>
          <w:szCs w:val="16"/>
        </w:rPr>
        <w:softHyphen/>
        <w:t>чит записям в летной книжке Н.П.Игнатьева. - В.И.). Учебно-тренировочные полеты показали, что самолет И-185 обладает хорошими свойствами для ведения воздушного боя с истребителями противника на верти</w:t>
      </w:r>
      <w:r w:rsidRPr="00D03F3E">
        <w:rPr>
          <w:rFonts w:ascii="Times New Roman" w:hAnsi="Times New Roman"/>
          <w:color w:val="000000" w:themeColor="text1"/>
          <w:sz w:val="16"/>
          <w:szCs w:val="16"/>
        </w:rPr>
        <w:softHyphen/>
        <w:t>калях.</w:t>
      </w:r>
    </w:p>
    <w:p w14:paraId="3F27E4E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самолета 3 ШВАК достаточно вполне, лично рекомендую заводу такое вооружение для даль</w:t>
      </w:r>
      <w:r w:rsidRPr="00D03F3E">
        <w:rPr>
          <w:rFonts w:ascii="Times New Roman" w:hAnsi="Times New Roman"/>
          <w:color w:val="000000" w:themeColor="text1"/>
          <w:sz w:val="16"/>
          <w:szCs w:val="16"/>
        </w:rPr>
        <w:softHyphen/>
        <w:t>нейшего применения на самолеты И-185.</w:t>
      </w:r>
    </w:p>
    <w:p w14:paraId="7884752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Моторы М-71, М-82 вполне подходящие, мощные, выносливые, но требуют некоторых вопросов для луч</w:t>
      </w:r>
      <w:r w:rsidRPr="00D03F3E">
        <w:rPr>
          <w:rFonts w:ascii="Times New Roman" w:hAnsi="Times New Roman"/>
          <w:color w:val="000000" w:themeColor="text1"/>
          <w:sz w:val="16"/>
          <w:szCs w:val="16"/>
        </w:rPr>
        <w:softHyphen/>
        <w:t>шего усовершенствования в эксплуатации.</w:t>
      </w:r>
    </w:p>
    <w:p w14:paraId="0C8F958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Запуск мотора в зимних условиях труден. Общий не</w:t>
      </w:r>
      <w:r w:rsidRPr="00D03F3E">
        <w:rPr>
          <w:rFonts w:ascii="Times New Roman" w:hAnsi="Times New Roman"/>
          <w:color w:val="000000" w:themeColor="text1"/>
          <w:sz w:val="16"/>
          <w:szCs w:val="16"/>
        </w:rPr>
        <w:softHyphen/>
        <w:t>достаток моторов воздушного охлаждения, поэтому требуется продумать вопросы подогрева мотора более быстрого, чем сейчас. Заливка мотора (шприц) располо</w:t>
      </w:r>
      <w:r w:rsidRPr="00D03F3E">
        <w:rPr>
          <w:rFonts w:ascii="Times New Roman" w:hAnsi="Times New Roman"/>
          <w:color w:val="000000" w:themeColor="text1"/>
          <w:sz w:val="16"/>
          <w:szCs w:val="16"/>
        </w:rPr>
        <w:softHyphen/>
        <w:t>жен неудобно, рекомендую заливную систему располо</w:t>
      </w:r>
      <w:r w:rsidRPr="00D03F3E">
        <w:rPr>
          <w:rFonts w:ascii="Times New Roman" w:hAnsi="Times New Roman"/>
          <w:color w:val="000000" w:themeColor="text1"/>
          <w:sz w:val="16"/>
          <w:szCs w:val="16"/>
        </w:rPr>
        <w:softHyphen/>
        <w:t>жить у приборной доски или за ней.</w:t>
      </w:r>
    </w:p>
    <w:p w14:paraId="7B689B7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Управление жалюзи неудобное, тугое (также требу</w:t>
      </w:r>
      <w:r w:rsidRPr="00D03F3E">
        <w:rPr>
          <w:rFonts w:ascii="Times New Roman" w:hAnsi="Times New Roman"/>
          <w:color w:val="000000" w:themeColor="text1"/>
          <w:sz w:val="16"/>
          <w:szCs w:val="16"/>
        </w:rPr>
        <w:softHyphen/>
        <w:t>ется изменить, поставить так, как на И-16), такое расположение требует значительного усилия и внимания как на самолете с 71, так и 82 мотором.</w:t>
      </w:r>
    </w:p>
    <w:p w14:paraId="7721C16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Заливной бак на самолете с мотором М-71 неудобен в смысле заправки, рекомендую заливную систему сде</w:t>
      </w:r>
      <w:r w:rsidRPr="00D03F3E">
        <w:rPr>
          <w:rFonts w:ascii="Times New Roman" w:hAnsi="Times New Roman"/>
          <w:color w:val="000000" w:themeColor="text1"/>
          <w:sz w:val="16"/>
          <w:szCs w:val="16"/>
        </w:rPr>
        <w:softHyphen/>
        <w:t>лать, как на Як-1 от общего бака, этим самым упростит</w:t>
      </w:r>
      <w:r w:rsidRPr="00D03F3E">
        <w:rPr>
          <w:rFonts w:ascii="Times New Roman" w:hAnsi="Times New Roman"/>
          <w:color w:val="000000" w:themeColor="text1"/>
          <w:sz w:val="16"/>
          <w:szCs w:val="16"/>
        </w:rPr>
        <w:softHyphen/>
        <w:t>ся запуск мотора.</w:t>
      </w:r>
    </w:p>
    <w:p w14:paraId="6505993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Запуск мотора рекомендую не от стартера, а возду</w:t>
      </w:r>
      <w:r w:rsidRPr="00D03F3E">
        <w:rPr>
          <w:rFonts w:ascii="Times New Roman" w:hAnsi="Times New Roman"/>
          <w:color w:val="000000" w:themeColor="text1"/>
          <w:sz w:val="16"/>
          <w:szCs w:val="16"/>
        </w:rPr>
        <w:softHyphen/>
        <w:t>хом».</w:t>
      </w:r>
    </w:p>
    <w:p w14:paraId="22D36BC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Отзыв о самолете И-185 летчика 728-го ИАП млад</w:t>
      </w:r>
      <w:r w:rsidRPr="00D03F3E">
        <w:rPr>
          <w:rFonts w:ascii="Times New Roman" w:hAnsi="Times New Roman"/>
          <w:color w:val="000000" w:themeColor="text1"/>
          <w:sz w:val="16"/>
          <w:szCs w:val="16"/>
        </w:rPr>
        <w:softHyphen/>
        <w:t>шего лейтенанта И.Е.Кустова:</w:t>
      </w:r>
    </w:p>
    <w:p w14:paraId="23DAB63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«Боевую работу на фронте отечественной войны все время вел на самолете И-16, на котором сделал более 100 боевых вылетов, лично сбил 7, в групповом - 7 самоле</w:t>
      </w:r>
      <w:r w:rsidRPr="00D03F3E">
        <w:rPr>
          <w:rFonts w:ascii="Times New Roman" w:hAnsi="Times New Roman"/>
          <w:color w:val="000000" w:themeColor="text1"/>
          <w:sz w:val="16"/>
          <w:szCs w:val="16"/>
        </w:rPr>
        <w:softHyphen/>
        <w:t>тов противника.</w:t>
      </w:r>
    </w:p>
    <w:p w14:paraId="188D3EA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Переход с самолета И-16 на самолет И-185 был для меня не труден, поэтому считаю, что летчики, владею</w:t>
      </w:r>
      <w:r w:rsidRPr="00D03F3E">
        <w:rPr>
          <w:rFonts w:ascii="Times New Roman" w:hAnsi="Times New Roman"/>
          <w:color w:val="000000" w:themeColor="text1"/>
          <w:sz w:val="16"/>
          <w:szCs w:val="16"/>
        </w:rPr>
        <w:softHyphen/>
        <w:t>щие техникой пилотирования на самолете И-16 с оцен</w:t>
      </w:r>
      <w:r w:rsidRPr="00D03F3E">
        <w:rPr>
          <w:rFonts w:ascii="Times New Roman" w:hAnsi="Times New Roman"/>
          <w:color w:val="000000" w:themeColor="text1"/>
          <w:sz w:val="16"/>
          <w:szCs w:val="16"/>
        </w:rPr>
        <w:softHyphen/>
        <w:t>кой на хорошо, свободно могут переходить на И-185.</w:t>
      </w:r>
    </w:p>
    <w:p w14:paraId="7DA9BBB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взлете и посадке самолет прост. Из сделанных мной полетов, я могу заключить, что самолет обладает скоростью, превосходящей все типы самолетов, стоя</w:t>
      </w:r>
      <w:r w:rsidRPr="00D03F3E">
        <w:rPr>
          <w:rFonts w:ascii="Times New Roman" w:hAnsi="Times New Roman"/>
          <w:color w:val="000000" w:themeColor="text1"/>
          <w:sz w:val="16"/>
          <w:szCs w:val="16"/>
        </w:rPr>
        <w:softHyphen/>
        <w:t>щих на вооружении ВВС КА.</w:t>
      </w:r>
    </w:p>
    <w:p w14:paraId="7392A7D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Обладает хорошим вертикальным и горизонталь</w:t>
      </w:r>
      <w:r w:rsidRPr="00D03F3E">
        <w:rPr>
          <w:rFonts w:ascii="Times New Roman" w:hAnsi="Times New Roman"/>
          <w:color w:val="000000" w:themeColor="text1"/>
          <w:sz w:val="16"/>
          <w:szCs w:val="16"/>
        </w:rPr>
        <w:softHyphen/>
        <w:t>ным маневром.</w:t>
      </w:r>
    </w:p>
    <w:p w14:paraId="5C3E50B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этими летными качествами и мощным вооруже</w:t>
      </w:r>
      <w:r w:rsidRPr="00D03F3E">
        <w:rPr>
          <w:rFonts w:ascii="Times New Roman" w:hAnsi="Times New Roman"/>
          <w:color w:val="000000" w:themeColor="text1"/>
          <w:sz w:val="16"/>
          <w:szCs w:val="16"/>
        </w:rPr>
        <w:softHyphen/>
        <w:t>нием, которым обладает самолет, он может считаться одним из лучших советских истребителей.</w:t>
      </w:r>
    </w:p>
    <w:p w14:paraId="5DAAE2A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Недостатками самолета являются:</w:t>
      </w:r>
    </w:p>
    <w:p w14:paraId="7FC5212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Сильно искажающий сферический передний ко</w:t>
      </w:r>
      <w:r w:rsidRPr="00D03F3E">
        <w:rPr>
          <w:rFonts w:ascii="Times New Roman" w:hAnsi="Times New Roman"/>
          <w:color w:val="000000" w:themeColor="text1"/>
          <w:sz w:val="16"/>
          <w:szCs w:val="16"/>
        </w:rPr>
        <w:softHyphen/>
        <w:t>зырек следует заменить на козырек с плоскими гранями.</w:t>
      </w:r>
    </w:p>
    <w:p w14:paraId="4895361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Сектор газа расположен неудобно, необходимо вынести его несколько вперед.</w:t>
      </w:r>
    </w:p>
    <w:p w14:paraId="1F48423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Неудобно расположены и туго управляются жа</w:t>
      </w:r>
      <w:r w:rsidRPr="00D03F3E">
        <w:rPr>
          <w:rFonts w:ascii="Times New Roman" w:hAnsi="Times New Roman"/>
          <w:color w:val="000000" w:themeColor="text1"/>
          <w:sz w:val="16"/>
          <w:szCs w:val="16"/>
        </w:rPr>
        <w:softHyphen/>
        <w:t>люзи мотора.</w:t>
      </w:r>
    </w:p>
    <w:p w14:paraId="3220B3C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Отсутствие компрессора мотора.</w:t>
      </w:r>
    </w:p>
    <w:p w14:paraId="2B9DF94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Мое пожелание заводу, как можно быстрее и больше выпускать таких самолетов фронту» (10667).</w:t>
      </w:r>
    </w:p>
    <w:p w14:paraId="667077F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B7763C" w14:textId="77777777" w:rsidR="005D125D" w:rsidRPr="00D03F3E" w:rsidRDefault="005D125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12 января 1943 г. завершились войсковые испытания И-185. 9 декабря 1942 г. состоялся первый боевой вылет на И-185. Летали обычно парой с основного аэродрома полка Старица или с запасного Старая Торопа. Было несколько столкновений с самолетами противника - сближались с ними на большой скорости, открывали огонь и уходили в сторону аэродрома, не вступая в маневренный бой. По воспоминаниям Игнатьева летчик Боровых в одной из таких атак сбил или повредил вражеский самолет, но победа ему засчитана не была. Кроме того, два полета было выполнено на сопровождение разведчика Р-40 и один - на свободную охоту над своей территорией.</w:t>
      </w:r>
    </w:p>
    <w:p w14:paraId="303F890E" w14:textId="77777777" w:rsidR="005D125D" w:rsidRPr="00D03F3E" w:rsidRDefault="005D125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На И-185 Купин, Игнатьев, Боровых и Томильченко сделали по 10-11 вылетов (из соображений секретности в летные книжки они вносились как тренировочные), облет И-185 в районе аэродрома выполнили командир полка майор В.С. Василяка и один из самых результативных пилотов полка И.Е. Кустов. Они оценили самолет положительно, отметив хорошие взлетно-посадочные качества, высокую скорость и особенно - вертикальную маневренность (горизонтальная тоже понравилась), а также простоту управления и отсутствие "сюрпризов" в процессе пилотирования. Пушечное вооружение самолета было оценено как достаточное, пулеметное - нет, бомбовое и ракетное очевидно не испытывалось.</w:t>
      </w:r>
    </w:p>
    <w:p w14:paraId="1079ACD7" w14:textId="77777777" w:rsidR="005D125D" w:rsidRPr="00D03F3E" w:rsidRDefault="005D125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Вместе с тем в отчетах были указаны и существенные недостатки самолета - их выявление с целью последующего устранения и является основной задачей войсковых испытаний. По мнению строевиков, систему заправки топливом желательно было сделать по типу самолетов Яковлева - процесс занимал слишком много времени, хотя максимальный объем баков не использовался. В зимних условиях и М-82, и М-71 трудно запускались - этот общий недостаток мощных звездообразных моторов </w:t>
      </w:r>
      <w:r w:rsidRPr="00D03F3E">
        <w:rPr>
          <w:rFonts w:ascii="Times New Roman" w:eastAsia="Times New Roman" w:hAnsi="Times New Roman"/>
          <w:color w:val="000000" w:themeColor="text1"/>
          <w:sz w:val="16"/>
          <w:szCs w:val="16"/>
          <w:lang w:eastAsia="ru-RU"/>
        </w:rPr>
        <w:lastRenderedPageBreak/>
        <w:t>требовал разработки более эффективных средств их прогрева на земле. Запуск М-71 от стартера через храповик был неудобен, лучше себя показала воздушная система И-185 М-82. Шприц для предпусковой заливки мотора бензином предлагалось поставить на приборной доске или сразу под ней, что и было сделано. Повороты на рулении оказались затруднены, а управление жалюзи охлаждения мотора было сложным и тугим. При выполнении фигур высшего пилотажа, требующих работы рулем направления, каблуки сапог цепляли за наконечники тросов управления от педалей. Переводить мотор на малый газ было неудобно, надо было рычаг управления перенести на 100 мм вперед и ближе к креслу - это следствие слишком широкой кабины. Чтобы сделать выпуск шасси и закрылков надежным, а посадку безопасной надо было исключить стравливание воздуха из пневмосистемы и установить в ней компрессор с приводом от мотора для пополнения бортового баллона. В полете в кабине даже зимой очень жарко - необходимо улучшить в ней вентиляцию. Скругленный козырек кабины дает сильные искажения, что мешает определять истинное положение других самолетов - своих и противника - и его следует заменить "граненым". Наконец, надо было ввести аварийное сбрасывание фонаря кабины.</w:t>
      </w:r>
    </w:p>
    <w:p w14:paraId="26E863E9" w14:textId="77777777" w:rsidR="005D125D" w:rsidRPr="00D03F3E" w:rsidRDefault="005D125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Формально все И-185 были исправны, но по каким-то причинам они не были возвращены заводу как минимум до марта 1943 г., хотя в полку больше не летали. Возможно, был исчерпан ресурс моторов (17737).</w:t>
      </w:r>
    </w:p>
    <w:p w14:paraId="3C4DB723" w14:textId="77777777" w:rsidR="005D125D" w:rsidRPr="00D03F3E" w:rsidRDefault="005D125D" w:rsidP="00D03F3E">
      <w:pPr>
        <w:spacing w:after="0" w:line="240" w:lineRule="auto"/>
        <w:jc w:val="both"/>
        <w:rPr>
          <w:rFonts w:ascii="Times New Roman" w:eastAsia="Times New Roman" w:hAnsi="Times New Roman"/>
          <w:color w:val="000000" w:themeColor="text1"/>
          <w:sz w:val="16"/>
          <w:szCs w:val="16"/>
          <w:lang w:eastAsia="ru-RU"/>
        </w:rPr>
      </w:pPr>
    </w:p>
    <w:p w14:paraId="0C779D3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января 1943 был третий полет на Би-1 и летал К.А.Груздев. При выпуске перед посадкой оторвалась лыжа, но сел (172,188).</w:t>
      </w:r>
    </w:p>
    <w:p w14:paraId="63D74F9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другим данным это был 2-й полет. Летал Груздев и с запасом горючего 320 кг за 1 мин. достиг 1850 м. Истинная скорость была 670 км/час (1458,44).</w:t>
      </w:r>
    </w:p>
    <w:p w14:paraId="5614994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48778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и 12 января и 11 и 14 марта 1943 состоялись полеты БИ-2 (второго) и в баки заливали от 315 до 498 кг горючего. Задание: ознакомительный полет на тяге 1100 кг до скорости 600 км/час. Залили 352 кг и 34 осталось На разбеге довел тягу до 1100 кг и на высоте 1300 м достиг скорости 630 км/час по прибору. Двигатель выключился автоматически на 1500 м, на набрал высоту до 1850 м. Летал 4 мин. 41 сек. и двигатель работал 58 сек. (2928,16).</w:t>
      </w:r>
    </w:p>
    <w:p w14:paraId="4A1E6E3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778E66" w14:textId="77777777" w:rsidR="008C5F3D" w:rsidRPr="00D03F3E" w:rsidRDefault="008C5F3D" w:rsidP="00D03F3E">
      <w:pPr>
        <w:pStyle w:val="ae"/>
        <w:shd w:val="clear" w:color="auto" w:fill="FFFFFF"/>
        <w:spacing w:before="0" w:after="0"/>
        <w:jc w:val="both"/>
        <w:rPr>
          <w:color w:val="000000" w:themeColor="text1"/>
          <w:sz w:val="16"/>
          <w:szCs w:val="16"/>
        </w:rPr>
      </w:pPr>
      <w:r w:rsidRPr="00D03F3E">
        <w:rPr>
          <w:color w:val="000000" w:themeColor="text1"/>
          <w:sz w:val="16"/>
          <w:szCs w:val="16"/>
        </w:rPr>
        <w:t>12 января 1943 в третий полет на БИ-1 вместо Бахчиванджи пошел лет чик-испытатель К.А. Груздев, который разогнал самолет в со ответствии с заданием до 675 км/ч на высоте 2000 м. Тяга дви гателя была отрегулирована на максимальное значение 1100 кгс. Летчик-испытатель успешно осуществил полет и по са дку. Но при взлете у БИ № 2 (рис. 2.24) оторвалась правая лыжа, поэтому при посадке поврежденная стойка обломилась.</w:t>
      </w:r>
    </w:p>
    <w:p w14:paraId="619EA509" w14:textId="77777777" w:rsidR="008C5F3D" w:rsidRPr="00D03F3E" w:rsidRDefault="008C5F3D" w:rsidP="00D03F3E">
      <w:pPr>
        <w:pStyle w:val="ae"/>
        <w:shd w:val="clear" w:color="auto" w:fill="FFFFFF"/>
        <w:spacing w:before="0" w:after="0"/>
        <w:jc w:val="both"/>
        <w:rPr>
          <w:color w:val="000000" w:themeColor="text1"/>
          <w:sz w:val="16"/>
          <w:szCs w:val="16"/>
        </w:rPr>
      </w:pPr>
      <w:r w:rsidRPr="00D03F3E">
        <w:rPr>
          <w:color w:val="000000" w:themeColor="text1"/>
          <w:sz w:val="16"/>
          <w:szCs w:val="16"/>
        </w:rPr>
        <w:t>Далее полеты возобновились только в марте. К началу марта самолет после ремонта был подготовлен к продолжению испытаний (19586).</w:t>
      </w:r>
    </w:p>
    <w:p w14:paraId="1E2E3D23" w14:textId="77777777" w:rsidR="008C5F3D" w:rsidRPr="00D03F3E" w:rsidRDefault="008C5F3D" w:rsidP="00D03F3E">
      <w:pPr>
        <w:pStyle w:val="ae"/>
        <w:shd w:val="clear" w:color="auto" w:fill="FFFFFF"/>
        <w:spacing w:before="0" w:after="0"/>
        <w:jc w:val="both"/>
        <w:rPr>
          <w:color w:val="000000" w:themeColor="text1"/>
          <w:sz w:val="16"/>
          <w:szCs w:val="16"/>
        </w:rPr>
      </w:pPr>
    </w:p>
    <w:p w14:paraId="6EEC2CA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января 1943 года приказом НКАП за № 13 и 15 декабря 1942 года приказом НКАП за № 888с НИИ-12 был реорганизован в НИИ самолетного оборудования (НИСО) для решения комплексных вопросов и проведения теоретических и экспериментальных исследований по самолетному оборудованию (9423).</w:t>
      </w:r>
    </w:p>
    <w:p w14:paraId="7579BA5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EE73F2"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2BE2EAC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54877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января 1943 года начались испытания нового варианта ж/д версии БА-64 ГАЗ - БА-64Г, но полностью устранить недостатки так и не удалось. По-прежнему были частые сходы с рельс и сильный перегрев двигателя (и это в зимние морозы!) (3862).</w:t>
      </w:r>
    </w:p>
    <w:p w14:paraId="34DCBCA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3E8B9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января 1943 вышло Постановление ГКО № 2736 О плане производства и распределения запасных частей к танкам, самоходным установкам, бронемашинам, танковым моторам и о плане капитального ремонта танков, танковых моторов и мотоциклов для Красной Армии в I квартале 1943 года.РГАНИР, Фонд ГКО, д. 81, лл. 117-194 (11012).</w:t>
      </w:r>
    </w:p>
    <w:p w14:paraId="617E04C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8A6032"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69993B7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8A8A16"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12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7BE049A0"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12 января наши войска в районе Нижнего Дона, на Центральном фронте и на Северном Кавказе продолжали бои на прежних направлениях. Наши лётчики при налёте на один из портов противника потопили немецкий транспорт водоизмещением в 5.000 тонн.</w:t>
      </w:r>
    </w:p>
    <w:p w14:paraId="667584F2"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заводском районе Сталинграда наши части штурмовыми группами уничтожали опорные пункты противника. На одном участке бойцы подразделения, где командиром тов. Осечкин, ворвались в расположение гитлеровцев и захватили 6 орудий, 3 миномёта, несколько десятков винтовок и склад боеприпасов. На другом участке огнём нашей артиллерии уничтожено много дзотов и блиндажей противника.</w:t>
      </w:r>
    </w:p>
    <w:p w14:paraId="457A21A3"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Нижнего Дона наши войска вели наступательные бои. Противник пытается задержать продвижение советских частей и вводит в бой крупные силы пехоты итанков. На одном участке гитлеровцы сосредоточили до 100 танков и предприняли ожесточённые контратаки. Наши части отбили все контратаки противника, подбили 17 танков и истребили более 300 немецких солдат и офицеров. На другом участке гвардейцы Н-ской части за последние два дня захватили 6 немецких танков, 19 полевых и 2 автоматические пушки, 34 пулемёта, 19 автомашин, склад с боеприпасами и склад с продовольствием.</w:t>
      </w:r>
    </w:p>
    <w:p w14:paraId="79694F5D"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наши войска вели бои на прежних направлениях. В районе юго-западнее Великих Лук, несмотря на огромные потери в людях и технике, немецкое командование снова бросает в контратаки крупные силы пехоты и танков. Отражая контратаки гитлеровцев, наши части наносят врагу тяжёлые потери. Только на одном участке немцы потеряли убитыми до 500 солдат и офицеров, 75 немцев захвачены в плен. На другом участке наши бойцы уничтожили 11 немецких танков. Кроме того, советские подразделения окружили и полностью истребили роту вражеских автоматчиков.</w:t>
      </w:r>
    </w:p>
    <w:p w14:paraId="5816AB3A"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продолжали успешное наступление. В то время,когда советские моторизованные и танковые подразделения ворвались в городМинеральные Воды, на железнодорожной станции стояли два готовых к отправке немецких эшелона с войсками и военным имуществом. Советские бойцы уничтожили находившихся в вагонах вражеских солдат и захватили эшелоны. На другом участке Н-ская кавалерийская часть, сломив оборону противника, с боями продвинулась вперёд на 20 километров. По неполным данным, уничтожено до 400 гитлеровцев. Захвачено 9 орудий, 26 автомашин, l5 миномётов, 19 пулемётов, 34 противотанковых ружья, 300 винтовок и автоматов. На этом участке взято в плен более 200 гитлеровцев.</w:t>
      </w:r>
    </w:p>
    <w:p w14:paraId="78B3C76E"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лётчики-истребители тт. Смирнов, Углянский, Родин и Грачёв вступили в воздушный бой с 8 немецкими «Мессершмиттами». Советские летчики сбили 4 самолёта противника и благополучно возвратились на свой аэродром.</w:t>
      </w:r>
    </w:p>
    <w:p w14:paraId="23F6AE5D"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Рота венгров окружила группу партизан отряда, действующего в Сумской области.Советские патриоты организовали круговую оборону, близко подпустили противника и открыли по нему огонь. В результате боя венгры отступили, потеряв убитыми 44 человека. Отряд украинских партизан «За Родину» за семь дней боевых действий уничтожил 177 немецких солдат и офицеров, бронемашину, несколько автомашин и 2 склада с продовольствием.</w:t>
      </w:r>
    </w:p>
    <w:p w14:paraId="498BF2BC"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грабежах, которые учинили немецко-фашистские мерзавцы в колхозе «Свободный труд», Большинского сельсовета, Ростовской области: «Немецкие захватчики забрали в колхозе 166 свиней, 95 голов крупного и мелкого рогатого скота, 897 голов домашней птицы, 452 центнера подсолнуха, 200 центнерововса, 30 центнеров пшеницы и ячменя. Гитлеровские бандиты причинили колхозу убыток в 1.151.910 рублей. Кроме того, немцы ограбили колхозников, забрали у них обувь, одежду и другие ценные вещи». Акт подписали: председатель колхоза Недайводин и бухгалтер Хрусталёв.</w:t>
      </w:r>
    </w:p>
    <w:p w14:paraId="18EC050B"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боях за город Теслич югославскае партизаны разгромили гарнизон противника численностью до 2.000 человек. Партизаны захватили большое количество пленных, в том числе немецкого полковника и других вражеских офицеров. Партизанам достались крупные трофеи. Они захватили много орудий, в том числе 4 гаубицы, 3 противотанковые пушки. 2 тысячи винтовок, 8 паровозов, 30 вагонов, много снарядов и другого военного имущества.» (15007).</w:t>
      </w:r>
    </w:p>
    <w:p w14:paraId="318A3C4E"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1F3856DA"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12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4F68ACDB"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января наши войска на Северном Кавказе, продолжая наступление, овладели городом и железнодорожной станцией Ессентуки и крупными населёнными пунктами —Ессентукская, Левокумский, Каррас, Николаевская, Бештаунит. В районе Зимовники наши войска овладели населёнными пунктами — Ново-Николаевская, Харьковский, Майорский, Курмоярский.</w:t>
      </w:r>
    </w:p>
    <w:p w14:paraId="7DBC2838"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Нижнего Дона и на Центральном фронте наши войска продолжали наступательные бои на прежних направлениях.</w:t>
      </w:r>
    </w:p>
    <w:p w14:paraId="365FE44E"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января частями нашей авиации на различных участках фронта уничтожено или повреждено 5 немецких танков, более 30 автомашин, подавлен огонь 5 артиллерийских батарей, разбито два железнодорожных состава, рассеяно и частью уничтожено до роты пехоты противника.</w:t>
      </w:r>
    </w:p>
    <w:p w14:paraId="17C656D6"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заводском районе Сталинграда наши штурмовые отряды выбили немцев ещё из нескольких улиц и заняли 20 дзотов и 37 блиндажей. Захвачено 2 орудия, 19 пулемётов, 4 противотанковых ружья, автоматы и винтовки.</w:t>
      </w:r>
    </w:p>
    <w:p w14:paraId="2EFE02B2"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Нижнего Дона наши войска продолжали вести наступление и заняли несколько населённых пунктов. На одном участке противник бросил в контратаку значительное количество танков и пехоты. Ожесточённый бой длился в течение суток. Немцы ввели в действие резервы, стремясь любой ценой выбить советские части с выгодных рубежей. Наши бойцы стойкой обороной измотали противника, а затем нанесли ему сильный удар. Уничтожено до 2.000 вражеских солдат и офицеров, до 40 немецких танков и 12 орудий. Захвачены трофея и пленные.</w:t>
      </w:r>
    </w:p>
    <w:p w14:paraId="61BA2DEB"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 Центральном фронте наши войска совершенствовали занятые позиции и отбивали контратаки противника. Северо-западнее Великих Лук немцы перешли в контратаку на позиции, которые обороняет Н-ская часть. Вражеская пехота была встречена пулемётно-ружейным огнём и залегла. В это же время немецкие танки наскочили на минное поле. Два танка подорвались на минах, а остальные пять — подбиты нашей противотанковой артиллерией. К исходу дня гитлеровцы отступили, </w:t>
      </w:r>
      <w:r w:rsidRPr="00D03F3E">
        <w:rPr>
          <w:rFonts w:ascii="Times New Roman" w:hAnsi="Times New Roman"/>
          <w:color w:val="000000" w:themeColor="text1"/>
          <w:sz w:val="16"/>
          <w:szCs w:val="16"/>
        </w:rPr>
        <w:lastRenderedPageBreak/>
        <w:t>потеряв в этом бою свыше 200 человек убитыми. На другом участке наши бойцы атаковали противника, истребили до рты немецкой пехоты и захватили 14 пулемётов, самоходную пушку, 40 автоматов, много винтовок и склад боеприпасов.</w:t>
      </w:r>
    </w:p>
    <w:p w14:paraId="3E80869C"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преодолевая сопротивление противника, успешно продвигались вперёд. Немцы пытались задержаться на одном выгодном рубеже, чтобы привести в порядок свои потрёпанные части, но были опрокинуты ударом наших танковых и кавалерийских частей. Бойцы Н-ской кавалерийской части, преследуя отступающего противника, истребили более 200 гитлеровцев, захватили 7орудий, 30 автомашин и 4 склада с продовольствием. Другая наша часть разгромила батальон вражеской пехоты и захватила 4 автоматические пушки, 4 миномёта, 47автомашин и другие трофеи.</w:t>
      </w:r>
    </w:p>
    <w:p w14:paraId="63B8DA46"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Орловской области, пустили под откос 6 немецких железнодорожных эшелонов с войсками, боеприпасами и боевой техникой. В результате крушений разбито 5 паровозов, 52 вагона и 39 платформ. Под обломками вагонов погибло много гитлеровцев. Партизаны другого отряда в ожесточённом бою с крупными силами противника истребили до 200 немецких солдат и офицеров.</w:t>
      </w:r>
    </w:p>
    <w:p w14:paraId="459A93D5"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кровавых злодеяниях немецко-фашистских мерзавцев вгороде Нальчике, столице Кабардино-Балкарской АССР: «Ворвавшись в город осеньюпрошлого года, гитлеровцы начали грабить население и убивать мирных жителей. В первые же дни фашистские изверги убили жену красноармейца Шayлова и его пятерых детей в возрасте от 5 месяцев до 11 лет, расстреляли Михо Шамилова и его10-летнего сына и многих других жителей города. Фашистские насильники надругались над 14-летней школьницей В., изнасиловали 16-летнюю девушку Н. Через некоторое время немецкие военные власти приступили к массовому расстрелу и истреблению мирных граждан — русских, кабардинцев, балкарцев, осетин, грузин, евреев и других. 5 января 1943 года, после вступления в город частей КраснойАрмии, в 6 километрах от города в противотанковых рвах и на дальнем кладбище нами было обнаружено свыше 600 истерзанных и изуродованных немцами трупов. Умногих жертв гитлеровские бандиты отрезали руки, ноги, уши, выкололи глаза. Среди жертв фашистских палачей большое количество детей. По предварительным данным, от рук немецко-фашистских разбойников погибло не менее 2 тысяч мирных жителей Нальчика. Немецкие оккупанты взорвали и сожгли театр Кабардино-Балкарской драмы, педагогическое училище и медицинскую школу, 9 школ, Дом пионеров и октябрят, республиканскую библиотеку, новую больницу, поликлинику и другие культурные и лечебные учреждения. Варвары разрушили и сожгли курортный городок Нальчика — санатории, дома отдыха, лечебные кабинеты, уничтожили все памятники, вырубили городской парк, вывели из строя водопровод и вывезли в Германию многие культурные ценности республики». Акт подписали: жители города Нальчика С.Ифраимов, Л.Ашуров, П.Шабаев, М.Моисеева, Е.Давыдова, А.Либман, П.Ифраимов, М.Шалумов, М.Ифраимов, Ш.Давыдов и Д.Левиев.».</w:t>
      </w:r>
    </w:p>
    <w:p w14:paraId="56263B81"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1943 году для прорыва блокады Ленинграда началась стратегическая наступательная операция «Искра». Проводилась силами Ленинградского (67-я армия, генерал-майор М.П.Духанов) и Волховского (2-я ударная армия, генерал-лейтенант В.З.Романовский, 8-я армия, генерал-лейтенант Ф.Н.Стариков) фронтов При поддержке авиации и артиллерии КБФ были нанесены удары в узком выступе между Шлиссельбургом и Синявином. 18 января войска фронтов соединились в районе Рабочих поселков № 1 и № 5. Блокада Ленинграда была прорвана. Операция завершилась 30 января 1943 г (15007).</w:t>
      </w:r>
    </w:p>
    <w:p w14:paraId="13C597A3"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1E56FE8A"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12 января</w:t>
      </w:r>
      <w:r w:rsidRPr="00D03F3E">
        <w:rPr>
          <w:rFonts w:ascii="Times New Roman" w:hAnsi="Times New Roman"/>
          <w:color w:val="000000" w:themeColor="text1"/>
          <w:sz w:val="16"/>
          <w:szCs w:val="16"/>
        </w:rPr>
        <w:t xml:space="preserve"> в 1943 году под Сталинградом войска Донского фронта вышли на реку Россошка (15007).</w:t>
      </w:r>
    </w:p>
    <w:p w14:paraId="0A6FC210"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7C748FB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января 1943 началась операция советских войск по прорыву блокады Ленинграда (4962).</w:t>
      </w:r>
    </w:p>
    <w:p w14:paraId="1EB955C4"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1BF96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January 12, 1943: The Red Army begins an offensive to restore the land communications with the encircled city of Leningrad. In the East, Heeeresgruppe A continues its withdrawal from the Caucasus to the Taman peninsula, i.e. the Kuban bridgehead (3819).</w:t>
      </w:r>
    </w:p>
    <w:p w14:paraId="173AA20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F67C62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января 1943 первый день операции по прорыву блокады Ленинграда - состоялось боевое крещение 61-й танковой бригады. Причем бригада, как и 86-й и 118-й танковые батальоны, также имевшие на вооружении легкие танки, действовала в первом эшелоне 67-й армии и форсировала реку Неву по льду. Части, оснащенные средними и тяжелыми танками, ввели в бой только на второй день наступления, после того как был захвачен плацдарм глубиной 2-3 км, а саперы усилили лед настилами. Особое мужество, героизм и находчивость в ходе наступления проявил экипаж Т-60, в котором находился командир роты 61-й танковой бригады лейтенант Д.И.Осатюк, а механиком-водителем был старшина И.М.Макаренков (3862).</w:t>
      </w:r>
    </w:p>
    <w:p w14:paraId="0B2ABD6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B131C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January 12 1943 Russians attempt to raise siege of Leningrad (1037).</w:t>
      </w:r>
    </w:p>
    <w:p w14:paraId="05D031F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F1A3FF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января 1943 была предпринята попытка прорвать ленинградскую блокаду (1037) и операция шла до 30 января. Наступали на Шлиссельбургско-Синявинский выступ. Получили только коридор в 8-10 км (2443,55).</w:t>
      </w:r>
    </w:p>
    <w:p w14:paraId="4D1549D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BE29D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января 1943 года началась операция "Искра", целью которой было снять блокаду с Ленинграда. Удар наносили Ленинградский и Волховский фронты. Блокаду прорвали 18 января, но бои длились до 30 числа (2691).</w:t>
      </w:r>
    </w:p>
    <w:p w14:paraId="4E56DFF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DC67B3"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12-30 января 1943 прорыв блокады Ленинграда не устранил угрозу артиллерийского об</w:t>
      </w:r>
      <w:r w:rsidRPr="00D03F3E">
        <w:rPr>
          <w:rFonts w:ascii="Times New Roman" w:hAnsi="Times New Roman"/>
          <w:color w:val="0070C0"/>
          <w:sz w:val="16"/>
          <w:szCs w:val="16"/>
        </w:rPr>
        <w:softHyphen/>
        <w:t>стрела города, и аэростатчики продолжали нести потери от вражеского огня. 14 мая 1943 г. под ар</w:t>
      </w:r>
      <w:r w:rsidRPr="00D03F3E">
        <w:rPr>
          <w:rFonts w:ascii="Times New Roman" w:hAnsi="Times New Roman"/>
          <w:color w:val="0070C0"/>
          <w:sz w:val="16"/>
          <w:szCs w:val="16"/>
        </w:rPr>
        <w:softHyphen/>
        <w:t>тобстрел попал один из постов 11-го полка аэро</w:t>
      </w:r>
      <w:r w:rsidRPr="00D03F3E">
        <w:rPr>
          <w:rFonts w:ascii="Times New Roman" w:hAnsi="Times New Roman"/>
          <w:color w:val="0070C0"/>
          <w:sz w:val="16"/>
          <w:szCs w:val="16"/>
        </w:rPr>
        <w:softHyphen/>
        <w:t>статов заграждения. Санитарный инструктор еф</w:t>
      </w:r>
      <w:r w:rsidRPr="00D03F3E">
        <w:rPr>
          <w:rFonts w:ascii="Times New Roman" w:hAnsi="Times New Roman"/>
          <w:color w:val="0070C0"/>
          <w:sz w:val="16"/>
          <w:szCs w:val="16"/>
        </w:rPr>
        <w:softHyphen/>
        <w:t>рейтор Марина Хренова досрочно сменила на по</w:t>
      </w:r>
      <w:r w:rsidRPr="00D03F3E">
        <w:rPr>
          <w:rFonts w:ascii="Times New Roman" w:hAnsi="Times New Roman"/>
          <w:color w:val="0070C0"/>
          <w:sz w:val="16"/>
          <w:szCs w:val="16"/>
        </w:rPr>
        <w:softHyphen/>
        <w:t>сту АЗ молодого необстрелянного солдата и че</w:t>
      </w:r>
      <w:r w:rsidRPr="00D03F3E">
        <w:rPr>
          <w:rFonts w:ascii="Times New Roman" w:hAnsi="Times New Roman"/>
          <w:color w:val="0070C0"/>
          <w:sz w:val="16"/>
          <w:szCs w:val="16"/>
        </w:rPr>
        <w:softHyphen/>
        <w:t>рез несколько минут погибла от разрыва снаряда. Летом 1943 г. в 11-м полку АЗ при снаряжении аэростата к подъёму от прямого попадания сна</w:t>
      </w:r>
      <w:r w:rsidRPr="00D03F3E">
        <w:rPr>
          <w:rFonts w:ascii="Times New Roman" w:hAnsi="Times New Roman"/>
          <w:color w:val="0070C0"/>
          <w:sz w:val="16"/>
          <w:szCs w:val="16"/>
        </w:rPr>
        <w:softHyphen/>
        <w:t>ряда погибло восемь девушек из боевого расчёта.</w:t>
      </w:r>
    </w:p>
    <w:p w14:paraId="128314CC"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1943 г. враг совершил на Ленинград 104 на</w:t>
      </w:r>
      <w:r w:rsidRPr="00D03F3E">
        <w:rPr>
          <w:rFonts w:ascii="Times New Roman" w:hAnsi="Times New Roman"/>
          <w:color w:val="0070C0"/>
          <w:sz w:val="16"/>
          <w:szCs w:val="16"/>
        </w:rPr>
        <w:softHyphen/>
        <w:t>лёта, к городу прорвалось всего 202 самолётов. За это время Ленинградской армией ПВО было сбито 350 самолётов противника. 17 октября 1943 г. на Ленинград упала последняя бомба (20120).</w:t>
      </w:r>
    </w:p>
    <w:p w14:paraId="49C1969F" w14:textId="77777777" w:rsidR="00AD6D08" w:rsidRPr="00D03F3E" w:rsidRDefault="00AD6D08" w:rsidP="00D03F3E">
      <w:pPr>
        <w:spacing w:after="0" w:line="240" w:lineRule="auto"/>
        <w:jc w:val="both"/>
        <w:rPr>
          <w:rFonts w:ascii="Times New Roman" w:hAnsi="Times New Roman"/>
          <w:color w:val="0070C0"/>
          <w:sz w:val="16"/>
          <w:szCs w:val="16"/>
        </w:rPr>
      </w:pPr>
    </w:p>
    <w:p w14:paraId="75DBB51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Операция шла с 12 по 30 января 1943. Силы флота были временно оперативно подчинены командующему фронтом и он являлся организатором взаимодействия, ставя задачи не только флоту, но и авиации, авиации флота и АДД, а также определял районы их боевых действий (518,183).</w:t>
      </w:r>
    </w:p>
    <w:p w14:paraId="08BE23F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75BB9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12-18 января 1943 были бои за Шлиссельбург и частично сняли блокаду (1348,224).</w:t>
      </w:r>
    </w:p>
    <w:p w14:paraId="1CA9ED3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FF1A2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января 1943 Началось встречное наступление частей Красной Армии на прорыв блокады. 18 января передовые подразделения войск Ленинградского и Волховского фронтов соединились в Рабочих поселках № 1 и 5. Блокада была прорвана (10671).</w:t>
      </w:r>
    </w:p>
    <w:p w14:paraId="7E9AF2B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5F376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января 1943 г. в районе Дюнабурга (Латвия) зенитным огнем партизан был тяжело поврежден транспортный Ju 52/Зт №2929 из состава San.Flugber.4. При этом погиб пилот - унтер-офицер Альберт Эр-харт (отчет от 14.01.43 Genst. Gen.Qu.6.Abt. N330/43) (9974).</w:t>
      </w:r>
    </w:p>
    <w:p w14:paraId="74DCE58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5F0D1D"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2E87090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6CA533"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13 января 1943</w:t>
      </w:r>
    </w:p>
    <w:p w14:paraId="290A8552"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НАЧАЛЬНИКУ 7 ГЛАВНОГО УПРАВЛЕНИЯ НКАП</w:t>
      </w:r>
    </w:p>
    <w:p w14:paraId="13A974EE"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Краткие данные по модификации самолета Ла-5, строящегося в ОКБ завода № 21</w:t>
      </w:r>
    </w:p>
    <w:p w14:paraId="66F795A4"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Прилагаемые краткие данные получены путем пересчета данных испытания серийных машин и машины с мотором НВ.</w:t>
      </w:r>
    </w:p>
    <w:p w14:paraId="4334A3D9"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всех машинах сохраняется:</w:t>
      </w:r>
    </w:p>
    <w:p w14:paraId="557E8B8E"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.Серийное расположение оружия - 2 пушки ШВАК с боекомплектом 340 патронов.</w:t>
      </w:r>
    </w:p>
    <w:p w14:paraId="72BCAA9D"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Серийные бензобаки с весом горючего в 345 кг.</w:t>
      </w:r>
    </w:p>
    <w:p w14:paraId="4AEA35AE"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Крыло и центроплан с металлическими лонжеронами вместо лонжеронов из дельты построены в нескольких экземплярах и прошли статические испытания. Ведется подготовка для запуска их в серию.</w:t>
      </w:r>
    </w:p>
    <w:p w14:paraId="161A3CBD"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Кроме вышеперечисленных модификаций в ОКБ проводятся работы по установке на самолетах Ла-5 мотора М-71.</w:t>
      </w:r>
    </w:p>
    <w:p w14:paraId="0798E10D"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Серийный самолет с мотором М-82 НВ</w:t>
      </w:r>
    </w:p>
    <w:p w14:paraId="0EFE60A7"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Полетный вес</w:t>
      </w:r>
      <w:r w:rsidRPr="00D03F3E">
        <w:rPr>
          <w:rFonts w:ascii="Times New Roman" w:hAnsi="Times New Roman"/>
          <w:color w:val="0070C0"/>
          <w:sz w:val="16"/>
          <w:szCs w:val="16"/>
        </w:rPr>
        <w:tab/>
        <w:t>3235 кг</w:t>
      </w:r>
    </w:p>
    <w:p w14:paraId="4FCEB198"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совместных с ЛИИ испытаниях получено:</w:t>
      </w:r>
    </w:p>
    <w:p w14:paraId="478006A2"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Максимальная скорость:</w:t>
      </w:r>
    </w:p>
    <w:p w14:paraId="158B5CB5"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у земли</w:t>
      </w:r>
      <w:r w:rsidRPr="00D03F3E">
        <w:rPr>
          <w:rFonts w:ascii="Times New Roman" w:hAnsi="Times New Roman"/>
          <w:color w:val="0070C0"/>
          <w:sz w:val="16"/>
          <w:szCs w:val="16"/>
        </w:rPr>
        <w:tab/>
        <w:t>563 км/час</w:t>
      </w:r>
    </w:p>
    <w:p w14:paraId="1E7035CB"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высоте 3250 м</w:t>
      </w:r>
      <w:r w:rsidRPr="00D03F3E">
        <w:rPr>
          <w:rFonts w:ascii="Times New Roman" w:hAnsi="Times New Roman"/>
          <w:color w:val="0070C0"/>
          <w:sz w:val="16"/>
          <w:szCs w:val="16"/>
        </w:rPr>
        <w:tab/>
        <w:t>600</w:t>
      </w:r>
      <w:r w:rsidRPr="00D03F3E">
        <w:rPr>
          <w:rFonts w:ascii="Times New Roman" w:hAnsi="Times New Roman"/>
          <w:color w:val="0070C0"/>
          <w:sz w:val="16"/>
          <w:szCs w:val="16"/>
        </w:rPr>
        <w:tab/>
        <w:t>км/час</w:t>
      </w:r>
    </w:p>
    <w:p w14:paraId="51CC5C66"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высоте 6250 м</w:t>
      </w:r>
      <w:r w:rsidRPr="00D03F3E">
        <w:rPr>
          <w:rFonts w:ascii="Times New Roman" w:hAnsi="Times New Roman"/>
          <w:color w:val="0070C0"/>
          <w:sz w:val="16"/>
          <w:szCs w:val="16"/>
        </w:rPr>
        <w:tab/>
        <w:t>610</w:t>
      </w:r>
      <w:r w:rsidRPr="00D03F3E">
        <w:rPr>
          <w:rFonts w:ascii="Times New Roman" w:hAnsi="Times New Roman"/>
          <w:color w:val="0070C0"/>
          <w:sz w:val="16"/>
          <w:szCs w:val="16"/>
        </w:rPr>
        <w:tab/>
        <w:t>км/час</w:t>
      </w:r>
    </w:p>
    <w:p w14:paraId="2801A2FA"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на высоте 5550 м при Рк - 1050</w:t>
      </w:r>
      <w:r w:rsidRPr="00D03F3E">
        <w:rPr>
          <w:rFonts w:ascii="Times New Roman" w:hAnsi="Times New Roman"/>
          <w:color w:val="0070C0"/>
          <w:sz w:val="16"/>
          <w:szCs w:val="16"/>
        </w:rPr>
        <w:tab/>
        <w:t>618 км/час</w:t>
      </w:r>
    </w:p>
    <w:p w14:paraId="61D61634"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Потолок</w:t>
      </w:r>
      <w:r w:rsidRPr="00D03F3E">
        <w:rPr>
          <w:rFonts w:ascii="Times New Roman" w:hAnsi="Times New Roman"/>
          <w:color w:val="0070C0"/>
          <w:sz w:val="16"/>
          <w:szCs w:val="16"/>
        </w:rPr>
        <w:tab/>
        <w:t>11 000 м</w:t>
      </w:r>
    </w:p>
    <w:p w14:paraId="6D1EAA5F"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Полетный вес самолета с металлическими лонжеронами 3085 кг </w:t>
      </w:r>
    </w:p>
    <w:p w14:paraId="4C7AE46A"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Ожидаемое при этом время набора высоты 5000 м - 5,4 минуты</w:t>
      </w:r>
    </w:p>
    <w:p w14:paraId="2199918C"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Серийный самолет с мотором М-82НВ</w:t>
      </w:r>
    </w:p>
    <w:p w14:paraId="1B7175F0"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Полетный вес с серийными лонжеронами</w:t>
      </w:r>
      <w:r w:rsidRPr="00D03F3E">
        <w:rPr>
          <w:rFonts w:ascii="Times New Roman" w:hAnsi="Times New Roman"/>
          <w:color w:val="0070C0"/>
          <w:sz w:val="16"/>
          <w:szCs w:val="16"/>
        </w:rPr>
        <w:tab/>
        <w:t>3270 кг</w:t>
      </w:r>
    </w:p>
    <w:p w14:paraId="6AC63600"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Полетный вес с металлическими лонжеронами</w:t>
      </w:r>
      <w:r w:rsidRPr="00D03F3E">
        <w:rPr>
          <w:rFonts w:ascii="Times New Roman" w:hAnsi="Times New Roman"/>
          <w:color w:val="0070C0"/>
          <w:sz w:val="16"/>
          <w:szCs w:val="16"/>
        </w:rPr>
        <w:tab/>
        <w:t>3120 кг</w:t>
      </w:r>
    </w:p>
    <w:p w14:paraId="51129895"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основе испытаний серийных машин ожидаемые данные:</w:t>
      </w:r>
    </w:p>
    <w:p w14:paraId="51746C43"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Максимальная скорость у земли при Рк=1000</w:t>
      </w:r>
      <w:r w:rsidRPr="00D03F3E">
        <w:rPr>
          <w:rFonts w:ascii="Times New Roman" w:hAnsi="Times New Roman"/>
          <w:color w:val="0070C0"/>
          <w:sz w:val="16"/>
          <w:szCs w:val="16"/>
        </w:rPr>
        <w:tab/>
        <w:t>540 км/час</w:t>
      </w:r>
    </w:p>
    <w:p w14:paraId="7A6A21E6"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 Рк=1200</w:t>
      </w:r>
      <w:r w:rsidRPr="00D03F3E">
        <w:rPr>
          <w:rFonts w:ascii="Times New Roman" w:hAnsi="Times New Roman"/>
          <w:color w:val="0070C0"/>
          <w:sz w:val="16"/>
          <w:szCs w:val="16"/>
        </w:rPr>
        <w:tab/>
        <w:t>575 км/час</w:t>
      </w:r>
    </w:p>
    <w:p w14:paraId="54A37368"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высоте 3000 м</w:t>
      </w:r>
      <w:r w:rsidRPr="00D03F3E">
        <w:rPr>
          <w:rFonts w:ascii="Times New Roman" w:hAnsi="Times New Roman"/>
          <w:color w:val="0070C0"/>
          <w:sz w:val="16"/>
          <w:szCs w:val="16"/>
        </w:rPr>
        <w:tab/>
        <w:t>610 км/час</w:t>
      </w:r>
    </w:p>
    <w:p w14:paraId="1D8F4A8E"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высоте 6000 м при Рк=1000</w:t>
      </w:r>
      <w:r w:rsidRPr="00D03F3E">
        <w:rPr>
          <w:rFonts w:ascii="Times New Roman" w:hAnsi="Times New Roman"/>
          <w:color w:val="0070C0"/>
          <w:sz w:val="16"/>
          <w:szCs w:val="16"/>
        </w:rPr>
        <w:tab/>
        <w:t>620 км/час</w:t>
      </w:r>
    </w:p>
    <w:p w14:paraId="1D2BE109"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Время подъема на высоту 5000 м</w:t>
      </w:r>
      <w:r w:rsidRPr="00D03F3E">
        <w:rPr>
          <w:rFonts w:ascii="Times New Roman" w:hAnsi="Times New Roman"/>
          <w:color w:val="0070C0"/>
          <w:sz w:val="16"/>
          <w:szCs w:val="16"/>
        </w:rPr>
        <w:tab/>
        <w:t>5 минут</w:t>
      </w:r>
    </w:p>
    <w:p w14:paraId="3764D9A2"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Полетный вес с металлическими лонжеронами 3170 кг.</w:t>
      </w:r>
    </w:p>
    <w:p w14:paraId="32FDDAA5"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Максимальные скорости: у земли</w:t>
      </w:r>
      <w:r w:rsidRPr="00D03F3E">
        <w:rPr>
          <w:rFonts w:ascii="Times New Roman" w:hAnsi="Times New Roman"/>
          <w:color w:val="0070C0"/>
          <w:sz w:val="16"/>
          <w:szCs w:val="16"/>
        </w:rPr>
        <w:tab/>
        <w:t>560 км/час</w:t>
      </w:r>
    </w:p>
    <w:p w14:paraId="4FB9A7A9"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высоте 9500 м при Рк=950 650 км/час</w:t>
      </w:r>
    </w:p>
    <w:p w14:paraId="2061CF52"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высоте 8500м при Рк=1140 670 км/час</w:t>
      </w:r>
    </w:p>
    <w:p w14:paraId="635B36DB"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Время набора высоты 5000 м 5 минут.</w:t>
      </w:r>
    </w:p>
    <w:p w14:paraId="3D5466FF"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Главный конструктор завода № 21 НКАП</w:t>
      </w:r>
      <w:r w:rsidRPr="00D03F3E">
        <w:rPr>
          <w:rFonts w:ascii="Times New Roman" w:hAnsi="Times New Roman"/>
          <w:color w:val="0070C0"/>
          <w:sz w:val="16"/>
          <w:szCs w:val="16"/>
        </w:rPr>
        <w:tab/>
        <w:t>ЛАВОЧКИН</w:t>
      </w:r>
    </w:p>
    <w:p w14:paraId="6A000CA4"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13.1.43.</w:t>
      </w:r>
    </w:p>
    <w:p w14:paraId="1EF1DEC6"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ЦАНО. Ф. 2066 Оп. 7. Д. 42. Л. 3.</w:t>
      </w:r>
    </w:p>
    <w:p w14:paraId="3FFC1AAF"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Подлинник. Машинопись (20949).</w:t>
      </w:r>
    </w:p>
    <w:p w14:paraId="459893B9" w14:textId="77777777" w:rsidR="00AD6D08" w:rsidRPr="00D03F3E" w:rsidRDefault="00AD6D08" w:rsidP="00D03F3E">
      <w:pPr>
        <w:spacing w:after="0" w:line="240" w:lineRule="auto"/>
        <w:jc w:val="both"/>
        <w:rPr>
          <w:rFonts w:ascii="Times New Roman" w:hAnsi="Times New Roman"/>
          <w:color w:val="0070C0"/>
          <w:sz w:val="16"/>
          <w:szCs w:val="16"/>
        </w:rPr>
      </w:pPr>
    </w:p>
    <w:p w14:paraId="0D72E05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был захвачен первый Фокке-Вульф 190 ФВ 190А-4 в полетном состоянии (N 142310 черная 2), который вынудили сесть истребители 158 иап на лед Ладоги. Починили на 1 ремонтной базе в Ленинграде. Поврежденный винт заменили винтом с Ю-87. Потом в начале лета (с 14 июня по 6 июля) испытывался в НИИ ВВС Ю.А.Антиповым, а потом был передан в БНТ. Второй был посажен 1 февраля тем же полком (2466,76).</w:t>
      </w:r>
    </w:p>
    <w:p w14:paraId="0B1507F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DEE4C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г. руки советских авиационных специалистов попал первый FW 190. В этот день четверке истребителей капитана С.С. Литаврина удалось сбить сразу два зазевавшихся "фоккера"; один из них, пилотировавшийся унтер-офицером Хельмутом Брандтом, совершил вынужденную посадку на лед озера Ладога неподалеку от Шлиссельбурга. Неприятельский пилот вытащил из закабинного отсека лыжи и ушел на них в сторону берега, занятого финнами. Предпринятая немцами попытка уничтожить практически целый истребитель не удалась, а ночью он был вывезен на ленинградский Комендантский аэродром. Капитану Литаврину, "добывшему" неприятельскую новинку, 28 января 1943 г. было присвоено звание Героя Советского Союза (9020).</w:t>
      </w:r>
    </w:p>
    <w:p w14:paraId="41FB3E3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8DDBD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г. руки советских авиационных специалистов попал первый FW 190. В этот день четверке истребителей капитана С.С. Литаврина удалось сбить сразу два зазевавшихся "фоккера"; один из них, пилотировавшийся унтер-офицером Хельмутом Брандтом, совершил вынужденную посадку на лед озера Ладога неподалеку от Шлиссельбурга. Неприятельский пилот вытащил из закабинного отсека лыжи и ушел на них в сторону берега, занятого финнами. Предпринятая немцами попытка уничтожить практически целый истребитель не удалась, а ночью он был вывезен на ленинградский Комендантский аэродром. Капитану Литаврину, "добывшему" неприятельскую новинку, 28 января 1943 г. было присвоено звание Героя Советского Союза (9020).</w:t>
      </w:r>
    </w:p>
    <w:p w14:paraId="033741C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E399D4" w14:textId="77777777" w:rsidR="008C5F3D" w:rsidRPr="00D03F3E" w:rsidRDefault="008C5F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г. на лед Ладожского озера совершил аварийную посадку истребитель FW 190A-4 № 2310. Изучали самолет долго и подробно, многие особенности конструкции привлекли внимание советских специалистов: единый рычаг управления мотором, отличный круговой обзор из кабины, автоматическое переключение скоростей нагнетателя в бою и т. п. (19727).</w:t>
      </w:r>
    </w:p>
    <w:p w14:paraId="2B9143BE" w14:textId="77777777" w:rsidR="008C5F3D" w:rsidRPr="00D03F3E" w:rsidRDefault="008C5F3D" w:rsidP="00D03F3E">
      <w:pPr>
        <w:spacing w:after="0" w:line="240" w:lineRule="auto"/>
        <w:jc w:val="both"/>
        <w:rPr>
          <w:rFonts w:ascii="Times New Roman" w:hAnsi="Times New Roman"/>
          <w:color w:val="000000" w:themeColor="text1"/>
          <w:sz w:val="16"/>
          <w:szCs w:val="16"/>
        </w:rPr>
      </w:pPr>
    </w:p>
    <w:p w14:paraId="7EE0A5D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г у Казанской ТЭЦ-2 из-за раскрутки левого двигателя сел на вынужденную Пе-2 (№5/157). Из-за несогласованности аэродромной службы и ВОХР завода, самолёт всю ночь оставался без охраны. Утром было обнаружено, что с самолёта похищены пулемет ШКАС с боекомплектом и радиостанция. Впоследствии украденное было найдено сотрудниками НКВД. Похитителями оказались ученики спецшколы ВВС и 94 средней школы г. Казани (6394).</w:t>
      </w:r>
    </w:p>
    <w:p w14:paraId="0B461BF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AABE4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согласно Заводскому приказу № 13, по причине раскрутки винта левого мотора произведена вынужденная посадка Пе-2 № 5/157, пилотируемого летчиком-испытателем завода № 22 Ивановым. До 28 января самолет оставался без охраны в районе аэродрома завода № 387, в результате чего похищены пулемет ШКАС, радиоприемник и передатчик, патроны и другое оборудование». Расследование проводила комиссия, которая должна была выяснить, почему оружие не было снято в день аварии, и почему самовольно была снята охрана самолета. Дополнительных документов по этому вопросу в архиве нет, но известно, что сняли с должности начальника ЛИС и назначили на его место Аристова, который оставался при этом начальником цеха № 8 (12049).</w:t>
      </w:r>
    </w:p>
    <w:p w14:paraId="005349F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49793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С.П.К. написал докладную записку на имя Л.П. Берии о работах по РУ (Там же) (10676).</w:t>
      </w:r>
    </w:p>
    <w:p w14:paraId="1BBB65A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37B4D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г. по приказу НКАП № 14с в состав завода № 82 влит завод № 290 НКАП со всем оборудованием и личным составом (10776).</w:t>
      </w:r>
    </w:p>
    <w:p w14:paraId="172204E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231FE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г. по приказу № 14с в состав завода № 82 (ГС Завод № 82 НКАП, МАП, МосСНХ, МОП, Тушинский Машиностроительный Завод (ТМЗ) ГКАТ, ОАО «ТМЗ» / г. Тушино Московской обл. ул. Молотова (1947 г.)/ /123362  г. Москва ул. Свободы, 35 тел. 493-30-47) влит завод № 290 НКАП со всем оборудованием и личным составом. 9.05.1944 г. вышло постановление ГКО № 5850 о строительстве заводской ВПП.</w:t>
      </w:r>
    </w:p>
    <w:p w14:paraId="518BE92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войны на заводе восстанавливались для летных испытаний два трофейных «Арадо-234».</w:t>
      </w:r>
    </w:p>
    <w:p w14:paraId="7F7BC61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1945 г. на заводе изготовлен опытный троллейбус МТБ-10 на шасси ярославского ЯТБ, с 1946 г. развернуто их серийное производство как МТБ-82.</w:t>
      </w:r>
    </w:p>
    <w:p w14:paraId="4A6B738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1946 г. заводу поставлено 5 трофейных прессов фирмы «Шуллер» для глубокой вытяжки.</w:t>
      </w:r>
    </w:p>
    <w:p w14:paraId="173B5EE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1.04.1950 г. завод передан из 1ГУ в 10ГУ, а с 1.10.1951 г.- в 6ГУ.</w:t>
      </w:r>
    </w:p>
    <w:p w14:paraId="5BB4967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МАП № 991 от 17.06.1951 г. ОКБ-2 завода № 3 МАП переведено на завод № 82 МАП в Тушино и продолжило работу как ОКБ-4 МАП гл. конструктора Н.И. Камова (далее - МКБ «Молния», гл. конструктор- М.Р. Бисноват).</w:t>
      </w:r>
    </w:p>
    <w:p w14:paraId="39FE19B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1.04.1955 г. завод № 82 передан из 6ГУ в ведение МОП (приказ № 268сс/оп от 19.04.1955 г.). С 1963 г. получил название- Тушинский машиностроительный завод (ТМЗ). В 1997 г. преобразован в ОАО ТМЗ.</w:t>
      </w:r>
    </w:p>
    <w:p w14:paraId="642C84C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Являлся производственной базой ОКБ-82 Потопалова. В 1962-65 г. при заводе действовало СКВ гл. конструктора Г . Г. Бубнова.</w:t>
      </w:r>
    </w:p>
    <w:p w14:paraId="1AEF7CB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(1939-41 г.; 1943-44 г.)- Н.В. Климовицкий, (И.1941-04.1942 г.)- В.М. Дубов, (04.1942 г.-)- Бугров, (11.1944- 02.1947 г.)- А.В. Атурьев, (1982-99 г.)- С. Г. Арутюнов. Гендиректор (1990-е)- С. Аргунов, (-2000-02 г.)- Н.В. Волков, (2002 г.)- С. Г. Арутюнов,</w:t>
      </w:r>
      <w:r w:rsidRPr="00D03F3E">
        <w:rPr>
          <w:rFonts w:ascii="Times New Roman" w:hAnsi="Times New Roman"/>
          <w:color w:val="000000" w:themeColor="text1"/>
          <w:sz w:val="16"/>
          <w:szCs w:val="16"/>
          <w:vertAlign w:val="superscript"/>
        </w:rPr>
        <w:t>69</w:t>
      </w:r>
      <w:r w:rsidRPr="00D03F3E">
        <w:rPr>
          <w:rFonts w:ascii="Times New Roman" w:hAnsi="Times New Roman"/>
          <w:color w:val="000000" w:themeColor="text1"/>
          <w:sz w:val="16"/>
          <w:szCs w:val="16"/>
        </w:rPr>
        <w:t xml:space="preserve"> (7.02.2003-05 г.-)- А.С. Башилов.</w:t>
      </w:r>
    </w:p>
    <w:p w14:paraId="70908D4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(1955-58 г.)- А.В. Потопалов.</w:t>
      </w:r>
    </w:p>
    <w:p w14:paraId="74891FA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производства (1952-55 г.)- А.В. Потопалов. Начальнок КО (08.1943 г.)- Н.С. Черняков.</w:t>
      </w:r>
    </w:p>
    <w:p w14:paraId="4B91414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бригады: (1963-64 г.)- С.Х. Нарбиков.</w:t>
      </w:r>
    </w:p>
    <w:p w14:paraId="1E8256B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 самолеты:</w:t>
      </w:r>
      <w:r w:rsidRPr="00D03F3E">
        <w:rPr>
          <w:rFonts w:ascii="Times New Roman" w:hAnsi="Times New Roman"/>
          <w:color w:val="000000" w:themeColor="text1"/>
          <w:sz w:val="16"/>
          <w:szCs w:val="16"/>
        </w:rPr>
        <w:t xml:space="preserve"> Як-7 (1942-44)-1320, Як-9 (1944-45)- 817, Ту-2 (1951-52), Ли-2, опытные образцы самолета Т-4 («100») (конец 1960-х), «105.12» (1976), планеры ОКС «Буран» (-1988), модели «Бор-4» (1980-е); спортивно-пилотажный самолет И-3 (СП-91) (2002); крыло и топливные баки МиГ-23, узлы для истребителей МиГ;</w:t>
      </w:r>
      <w:r w:rsidRPr="00D03F3E">
        <w:rPr>
          <w:rFonts w:ascii="Times New Roman" w:hAnsi="Times New Roman"/>
          <w:iCs/>
          <w:color w:val="000000" w:themeColor="text1"/>
          <w:sz w:val="16"/>
          <w:szCs w:val="16"/>
        </w:rPr>
        <w:t xml:space="preserve"> ЗУР:</w:t>
      </w:r>
      <w:r w:rsidRPr="00D03F3E">
        <w:rPr>
          <w:rFonts w:ascii="Times New Roman" w:hAnsi="Times New Roman"/>
          <w:color w:val="000000" w:themeColor="text1"/>
          <w:sz w:val="16"/>
          <w:szCs w:val="16"/>
        </w:rPr>
        <w:t xml:space="preserve"> изд. «32Б» (1952)- 40, «205» (В-300, 1952-54), «207» (1954-60), «217М» (1960-61), «400» (1961)- опытная партия, ракеты-мишени (2005);</w:t>
      </w:r>
      <w:r w:rsidRPr="00D03F3E">
        <w:rPr>
          <w:rFonts w:ascii="Times New Roman" w:hAnsi="Times New Roman"/>
          <w:iCs/>
          <w:color w:val="000000" w:themeColor="text1"/>
          <w:sz w:val="16"/>
          <w:szCs w:val="16"/>
        </w:rPr>
        <w:t xml:space="preserve"> ЖРД: </w:t>
      </w:r>
      <w:r w:rsidRPr="00D03F3E">
        <w:rPr>
          <w:rFonts w:ascii="Times New Roman" w:hAnsi="Times New Roman"/>
          <w:iCs/>
          <w:color w:val="000000" w:themeColor="text1"/>
          <w:sz w:val="16"/>
          <w:szCs w:val="16"/>
          <w:lang w:val="en-US"/>
        </w:rPr>
        <w:t>Cl</w:t>
      </w:r>
      <w:r w:rsidRPr="00D03F3E">
        <w:rPr>
          <w:rFonts w:ascii="Times New Roman" w:hAnsi="Times New Roman"/>
          <w:iCs/>
          <w:color w:val="000000" w:themeColor="text1"/>
          <w:sz w:val="16"/>
          <w:szCs w:val="16"/>
        </w:rPr>
        <w:t>.</w:t>
      </w:r>
      <w:r w:rsidRPr="00D03F3E">
        <w:rPr>
          <w:rFonts w:ascii="Times New Roman" w:hAnsi="Times New Roman"/>
          <w:iCs/>
          <w:color w:val="000000" w:themeColor="text1"/>
          <w:sz w:val="16"/>
          <w:szCs w:val="16"/>
          <w:lang w:val="en-US"/>
        </w:rPr>
        <w:t>ll</w:t>
      </w:r>
      <w:r w:rsidRPr="00D03F3E">
        <w:rPr>
          <w:rFonts w:ascii="Times New Roman" w:hAnsi="Times New Roman"/>
          <w:color w:val="000000" w:themeColor="text1"/>
          <w:sz w:val="16"/>
          <w:szCs w:val="16"/>
        </w:rPr>
        <w:t xml:space="preserve"> 1 (1955-); антенный передвижной комплекс «Нева»;</w:t>
      </w:r>
    </w:p>
    <w:p w14:paraId="0945E2C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троллейбус МТБ-82 (1945-49); ветроэнергетические установки мощностью-1 МВт (1990-е), оборудование для малых ГЭС (2005); промышленный комплекс по переработке автошин (1998-2005-), городские автобусы (2005) (11982).</w:t>
      </w:r>
    </w:p>
    <w:p w14:paraId="591ACC6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1F936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г. приказом № 14с. завод (Завод № 290 НКАП, Ухтомский авиазавод /ст. Ухтомская Московской обл.;  г. Билимбай Свердловской обл./) и ОКБ Камова расформированы. Завод со всем оборудованием и личным составом влит в состав завода № 82 НКАП. По приказу № 27С от 18.01.1943 г. часть оборудования передана на завод № 289 НКАП, а автожир АК передан на хранение в ОКБ-3 И.П. Братухина при МАИ.</w:t>
      </w:r>
    </w:p>
    <w:p w14:paraId="7A65F0E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30 марта 1942 г. по приказу № 239с на площадке эвакуированного завода № 290 (Завод № 290 НКАП, Ухтомский авиазавод /ст. Ухтомская Московской обл.;  г. </w:t>
      </w:r>
      <w:r w:rsidRPr="00D03F3E">
        <w:rPr>
          <w:rFonts w:ascii="Times New Roman" w:hAnsi="Times New Roman"/>
          <w:color w:val="000000" w:themeColor="text1"/>
          <w:sz w:val="16"/>
          <w:szCs w:val="16"/>
        </w:rPr>
        <w:lastRenderedPageBreak/>
        <w:t>Билимбай Свердловской обл./), где недолго существовали авторемонтные мастерские, был образован Ремонтный завод при Главремуправлении НКАП для ремонта Р-5. Далее здесь действовал завод наземного оборудования, а после ВОВ на этом месте образовался завод № 938 МАП.</w:t>
      </w:r>
    </w:p>
    <w:p w14:paraId="33D7300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И.О. директора (05.1940 г.)- Н.И. Камов. Директор (1.06.1940-01.1943 г.)- Н.И. Камов.</w:t>
      </w:r>
    </w:p>
    <w:p w14:paraId="615A1DE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(1.06.1940-01.1943 г.)- Н.И. Камов.</w:t>
      </w:r>
    </w:p>
    <w:p w14:paraId="593960C9" w14:textId="77777777" w:rsidR="00BC615F"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конструктора (12.1940-01.1943 г.)- М.Л.'Миль.</w:t>
      </w:r>
    </w:p>
    <w:p w14:paraId="0942D84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ОКБ-290 НКАП</w:t>
      </w:r>
    </w:p>
    <w:p w14:paraId="646F42A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ОКБ-290 НКАП гл. конструктора Н.И. Камова действовало при опытном заводе № 290 НКАП в 1940-43 г.</w:t>
      </w:r>
    </w:p>
    <w:p w14:paraId="1B5BEE7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по доводке автожира А-7. Проектировались А-7-ЗА, АК, истребитель с</w:t>
      </w:r>
      <w:r w:rsidRPr="00D03F3E">
        <w:rPr>
          <w:rFonts w:ascii="Times New Roman" w:hAnsi="Times New Roman"/>
          <w:iCs/>
          <w:color w:val="000000" w:themeColor="text1"/>
          <w:sz w:val="16"/>
          <w:szCs w:val="16"/>
        </w:rPr>
        <w:t xml:space="preserve"> убирающимся</w:t>
      </w:r>
      <w:r w:rsidRPr="00D03F3E">
        <w:rPr>
          <w:rFonts w:ascii="Times New Roman" w:hAnsi="Times New Roman"/>
          <w:color w:val="000000" w:themeColor="text1"/>
          <w:sz w:val="16"/>
          <w:szCs w:val="16"/>
        </w:rPr>
        <w:t xml:space="preserve"> ротором (1941 г.).</w:t>
      </w:r>
    </w:p>
    <w:p w14:paraId="30D8D6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1072сс от 15.10.1941 г. ОКБ-290 7ГУ НКАП вместе с заводом № 290 было эвакуировано в  г. Билимбай Свердловской обл. Здесь с 12.1941 г. продолжены работы по автожиру АК.</w:t>
      </w:r>
    </w:p>
    <w:p w14:paraId="09A1235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14с от 13.01.1943 г. ОКБ и завод расформированы. Н.И. Камов в 1943-45 г. занимался перевооружением бомбардировщика А-20 «Бостон», в 1945-47 г. работал в ЦАГИ (11982).</w:t>
      </w:r>
    </w:p>
    <w:p w14:paraId="05D6316E" w14:textId="77777777" w:rsidR="00BC615F" w:rsidRPr="00D03F3E" w:rsidRDefault="00BC615F"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32F480"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0EDA741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A3986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г. вышло РАСПОРЯЖЕНИЕ НАЧАЛЬНИКА 1 -го ОТДЕЛА ТУ ГБТУ КА РАЙОННОМУ ИНЖЕНЕРУ ГБТУ КА НА КИРОВСКОМ ЗАВОДЕ О МЕРОПРИЯТИЯХ ПО УСТРАНЕНИЮ НЕДОСТАТКОВ ТАНКОВ КВ-1с №448167</w:t>
      </w:r>
    </w:p>
    <w:p w14:paraId="381A744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 боевого применения танков КВ-1с в гвардейских танковых полках на Донском фронте показывает, что наряду с удовлетворительной маневренностью и надежностью агрегатов в танках КВ-1с имеется ряд серьезных недостатков, требующих срочного исправления.</w:t>
      </w:r>
    </w:p>
    <w:p w14:paraId="69EC492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 например:</w:t>
      </w:r>
    </w:p>
    <w:p w14:paraId="28BFF45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Обзорность из танка продолжает оставаться неудовлетворительной, смотровая башенка вследствие крупных недостатков смотровых приборов, тесноты размещения командира в башенке практически не улучшает обзорность, так как:</w:t>
      </w:r>
    </w:p>
    <w:p w14:paraId="670DF29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При стрельбе в башенке образуется сильная концентрация пороховых газов, вследствие чего командир танка быстро выходит из строя.</w:t>
      </w:r>
    </w:p>
    <w:p w14:paraId="1D20792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Расположение смотровых приборов неправильное. Командир смотрит все время снизу вверх и поэтому создается впечатление, что танк идет в гору. Этим самым нарушается ориентировка на поле боя.</w:t>
      </w:r>
    </w:p>
    <w:p w14:paraId="01D48F0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При первом попадании даже небольших осколков снаряда в башню все зеркальные смотровые приборы башенки разрушаются.</w:t>
      </w:r>
    </w:p>
    <w:p w14:paraId="527FF2C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Вследствие этого экипаж командирской башенкой не пользуется. Практически из танка выса</w:t>
      </w:r>
      <w:r w:rsidRPr="00D03F3E">
        <w:rPr>
          <w:rFonts w:ascii="Times New Roman" w:hAnsi="Times New Roman"/>
          <w:color w:val="000000" w:themeColor="text1"/>
          <w:sz w:val="16"/>
          <w:szCs w:val="16"/>
        </w:rPr>
        <w:softHyphen/>
        <w:t>живается один член экипажа и в бой идет экипаж в составе 4 человек.</w:t>
      </w:r>
    </w:p>
    <w:p w14:paraId="1191CA7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Люк радиста при некоторых положениях башни открыть нельзя, вследствие чего при заклини</w:t>
      </w:r>
      <w:r w:rsidRPr="00D03F3E">
        <w:rPr>
          <w:rFonts w:ascii="Times New Roman" w:hAnsi="Times New Roman"/>
          <w:color w:val="000000" w:themeColor="text1"/>
          <w:sz w:val="16"/>
          <w:szCs w:val="16"/>
        </w:rPr>
        <w:softHyphen/>
        <w:t>вании башни или пожаре в танке мех[аник-]водитель и радист часто погибают из-за невозможности открыть люк радиста и выйти через него из танка.</w:t>
      </w:r>
    </w:p>
    <w:p w14:paraId="210FE4C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Ходовая часть (катки, траки) менее прочная, чем в танке КВ-1, и чаще разрушается от мин и противотанковой артиллерии малого калибра.</w:t>
      </w:r>
    </w:p>
    <w:p w14:paraId="79C7B78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Отсутствие защиты погона башни приводит к частой заклинке последней.</w:t>
      </w:r>
    </w:p>
    <w:p w14:paraId="7DD9643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Смотровые приборы радиста и механика-водителя не обеспечивают должной обзорности, и около танка образуется большое не просматриваемое пространство, дающее возможность пехоте противника близко подходить к танку, и сильно затрудняет вождение танка.</w:t>
      </w:r>
    </w:p>
    <w:p w14:paraId="17E6F45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Наличие слабой броневой защиты бортов и высокое расположение топливных баков вдоль бортов приводит к частому пробиванию последних, к пожару в танке.</w:t>
      </w:r>
    </w:p>
    <w:p w14:paraId="12387D6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БТУ КА инженер-полковник Афонин в письме на имя т. Зальцмана потребовал для устранения вышеуказанных недостатков проведения следующих мероприятий:</w:t>
      </w:r>
    </w:p>
    <w:p w14:paraId="1C2FC36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Устанавливать в танках КВ-1с смотровые приборы типа МК-1У.</w:t>
      </w:r>
    </w:p>
    <w:p w14:paraId="6F68A20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Обеспечить открывание люка радиста независимо от положения башни.</w:t>
      </w:r>
    </w:p>
    <w:p w14:paraId="1C1CF5A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Установить защиту погона башни.</w:t>
      </w:r>
    </w:p>
    <w:p w14:paraId="1E09057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Обеспечить хорошую обзорность из танка с мест стрелка-радиста и механика-водителя путем установки смотровых приборов типа МК-1У.</w:t>
      </w:r>
    </w:p>
    <w:p w14:paraId="5B23CBD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Усилить ходовую часть (катки, траки).</w:t>
      </w:r>
    </w:p>
    <w:p w14:paraId="074F217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Проработать вопрос о размещении топливных баков на днище танка и разбивке их на большее число отсеков.</w:t>
      </w:r>
    </w:p>
    <w:p w14:paraId="01C3947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Повысить снарядостойкость бортовой брони и кормовой путем перехода на броню высокой твердости.</w:t>
      </w:r>
    </w:p>
    <w:p w14:paraId="472388F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Проследите за разработкой мероприятий по устранению указанных недостатков и докладывай</w:t>
      </w:r>
      <w:r w:rsidRPr="00D03F3E">
        <w:rPr>
          <w:rFonts w:ascii="Times New Roman" w:hAnsi="Times New Roman"/>
          <w:color w:val="000000" w:themeColor="text1"/>
          <w:sz w:val="16"/>
          <w:szCs w:val="16"/>
        </w:rPr>
        <w:softHyphen/>
        <w:t>те ход работы через каждые 10 дней.</w:t>
      </w:r>
    </w:p>
    <w:p w14:paraId="3949A57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1 отдела ТУ ГБТУ КА инженер-полковник Павлов</w:t>
      </w:r>
    </w:p>
    <w:p w14:paraId="595D0F1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1414. Л. 6-6об. Копия (11403).</w:t>
      </w:r>
    </w:p>
    <w:p w14:paraId="62187E74"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B82292"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года старший военпред на Ки</w:t>
      </w:r>
      <w:r w:rsidRPr="00D03F3E">
        <w:rPr>
          <w:rFonts w:ascii="Times New Roman" w:hAnsi="Times New Roman"/>
          <w:color w:val="000000" w:themeColor="text1"/>
          <w:sz w:val="16"/>
          <w:szCs w:val="16"/>
        </w:rPr>
        <w:softHyphen/>
        <w:t>ровском заводе получил из ГБТУ КА следую</w:t>
      </w:r>
      <w:r w:rsidRPr="00D03F3E">
        <w:rPr>
          <w:rFonts w:ascii="Times New Roman" w:hAnsi="Times New Roman"/>
          <w:color w:val="000000" w:themeColor="text1"/>
          <w:sz w:val="16"/>
          <w:szCs w:val="16"/>
        </w:rPr>
        <w:softHyphen/>
        <w:t>щие указания:</w:t>
      </w:r>
    </w:p>
    <w:p w14:paraId="1313339A" w14:textId="77777777" w:rsidR="00BC615F" w:rsidRPr="00D03F3E" w:rsidRDefault="00BC615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«Опыт боевого применения танков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в гвардейских танковых полках на Донском фронте показывает, что наряду с удовлетво</w:t>
      </w:r>
      <w:r w:rsidRPr="00D03F3E">
        <w:rPr>
          <w:rFonts w:ascii="Times New Roman" w:cs="Times New Roman"/>
          <w:color w:val="000000" w:themeColor="text1"/>
          <w:spacing w:val="0"/>
        </w:rPr>
        <w:softHyphen/>
        <w:t xml:space="preserve">рительной маневренностью и надежностью агрегатов в танках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имеется ряд се</w:t>
      </w:r>
      <w:r w:rsidRPr="00D03F3E">
        <w:rPr>
          <w:rFonts w:ascii="Times New Roman" w:cs="Times New Roman"/>
          <w:color w:val="000000" w:themeColor="text1"/>
          <w:spacing w:val="0"/>
        </w:rPr>
        <w:softHyphen/>
        <w:t>рьезных недостатков, требующих срочного исправления.</w:t>
      </w:r>
    </w:p>
    <w:p w14:paraId="62AF5862" w14:textId="77777777" w:rsidR="00BC615F" w:rsidRPr="00D03F3E" w:rsidRDefault="00BC615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Так, например:</w:t>
      </w:r>
    </w:p>
    <w:p w14:paraId="7BDEA5B4" w14:textId="77777777" w:rsidR="00BC615F" w:rsidRPr="00D03F3E" w:rsidRDefault="00BC615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1. Обзорность из танка продолжает оста</w:t>
      </w:r>
      <w:r w:rsidRPr="00D03F3E">
        <w:rPr>
          <w:rFonts w:ascii="Times New Roman" w:cs="Times New Roman"/>
          <w:color w:val="000000" w:themeColor="text1"/>
          <w:spacing w:val="0"/>
        </w:rPr>
        <w:softHyphen/>
        <w:t>ваться неудовлетворительной, смотровая ба</w:t>
      </w:r>
      <w:r w:rsidRPr="00D03F3E">
        <w:rPr>
          <w:rFonts w:ascii="Times New Roman" w:cs="Times New Roman"/>
          <w:color w:val="000000" w:themeColor="text1"/>
          <w:spacing w:val="0"/>
        </w:rPr>
        <w:softHyphen/>
        <w:t>шенка вследствие крупных недостатков смо</w:t>
      </w:r>
      <w:r w:rsidRPr="00D03F3E">
        <w:rPr>
          <w:rFonts w:ascii="Times New Roman" w:cs="Times New Roman"/>
          <w:color w:val="000000" w:themeColor="text1"/>
          <w:spacing w:val="0"/>
        </w:rPr>
        <w:softHyphen/>
        <w:t>тровых приборов, тесноты размещения ко</w:t>
      </w:r>
      <w:r w:rsidRPr="00D03F3E">
        <w:rPr>
          <w:rFonts w:ascii="Times New Roman" w:cs="Times New Roman"/>
          <w:color w:val="000000" w:themeColor="text1"/>
          <w:spacing w:val="0"/>
        </w:rPr>
        <w:softHyphen/>
        <w:t>мандира в башенке практически не улучшает обзорность, так как:</w:t>
      </w:r>
    </w:p>
    <w:p w14:paraId="2787DF21" w14:textId="77777777" w:rsidR="00BC615F" w:rsidRPr="00D03F3E" w:rsidRDefault="00BC615F" w:rsidP="00D03F3E">
      <w:pPr>
        <w:pStyle w:val="27"/>
        <w:shd w:val="clear" w:color="auto" w:fill="auto"/>
        <w:tabs>
          <w:tab w:val="left" w:pos="332"/>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а) При стрельбе в башенке образуется силь</w:t>
      </w:r>
      <w:r w:rsidRPr="00D03F3E">
        <w:rPr>
          <w:rFonts w:ascii="Times New Roman" w:cs="Times New Roman"/>
          <w:color w:val="000000" w:themeColor="text1"/>
          <w:spacing w:val="0"/>
        </w:rPr>
        <w:softHyphen/>
        <w:t>ная концентрация пороховых газов, вслед</w:t>
      </w:r>
      <w:r w:rsidRPr="00D03F3E">
        <w:rPr>
          <w:rFonts w:ascii="Times New Roman" w:cs="Times New Roman"/>
          <w:color w:val="000000" w:themeColor="text1"/>
          <w:spacing w:val="0"/>
        </w:rPr>
        <w:softHyphen/>
        <w:t>ствие чего командир танка быстро выходит из строя.</w:t>
      </w:r>
    </w:p>
    <w:p w14:paraId="2287CED4" w14:textId="77777777" w:rsidR="00BC615F" w:rsidRPr="00D03F3E" w:rsidRDefault="00BC615F" w:rsidP="00D03F3E">
      <w:pPr>
        <w:pStyle w:val="27"/>
        <w:shd w:val="clear" w:color="auto" w:fill="auto"/>
        <w:tabs>
          <w:tab w:val="left" w:pos="366"/>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б) Расположение смотровых приборов не</w:t>
      </w:r>
      <w:r w:rsidRPr="00D03F3E">
        <w:rPr>
          <w:rFonts w:ascii="Times New Roman" w:cs="Times New Roman"/>
          <w:color w:val="000000" w:themeColor="text1"/>
          <w:spacing w:val="0"/>
        </w:rPr>
        <w:softHyphen/>
        <w:t>правильное. Командир смотрит все время снизу вверх и поэтому создается впечатле</w:t>
      </w:r>
      <w:r w:rsidRPr="00D03F3E">
        <w:rPr>
          <w:rFonts w:ascii="Times New Roman" w:cs="Times New Roman"/>
          <w:color w:val="000000" w:themeColor="text1"/>
          <w:spacing w:val="0"/>
        </w:rPr>
        <w:softHyphen/>
        <w:t>ние, что танк идет в гору. Этим самым нару</w:t>
      </w:r>
      <w:r w:rsidRPr="00D03F3E">
        <w:rPr>
          <w:rFonts w:ascii="Times New Roman" w:cs="Times New Roman"/>
          <w:color w:val="000000" w:themeColor="text1"/>
          <w:spacing w:val="0"/>
        </w:rPr>
        <w:softHyphen/>
        <w:t>шается ориентировка на поле боя.</w:t>
      </w:r>
    </w:p>
    <w:p w14:paraId="4F166CB0" w14:textId="77777777" w:rsidR="00BC615F" w:rsidRPr="00D03F3E" w:rsidRDefault="00BC615F" w:rsidP="00D03F3E">
      <w:pPr>
        <w:pStyle w:val="27"/>
        <w:shd w:val="clear" w:color="auto" w:fill="auto"/>
        <w:tabs>
          <w:tab w:val="left" w:pos="346"/>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При первом попадании даже небольших осколков снаряда в башню все зеркальные смотровые приборы башенки разрушаются.</w:t>
      </w:r>
    </w:p>
    <w:p w14:paraId="2A547554" w14:textId="77777777" w:rsidR="00BC615F" w:rsidRPr="00D03F3E" w:rsidRDefault="00BC615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Вследствие этого экипаж командир</w:t>
      </w:r>
      <w:r w:rsidRPr="00D03F3E">
        <w:rPr>
          <w:rFonts w:ascii="Times New Roman" w:cs="Times New Roman"/>
          <w:color w:val="000000" w:themeColor="text1"/>
          <w:spacing w:val="0"/>
        </w:rPr>
        <w:softHyphen/>
        <w:t>ской башенкой не пользуется. Практически из танка высаживается один член экипажа и в бой идет экипаж в составе 4 человек.</w:t>
      </w:r>
    </w:p>
    <w:p w14:paraId="0525E5BF"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Люк радиста при некоторых положени</w:t>
      </w:r>
      <w:r w:rsidRPr="00D03F3E">
        <w:rPr>
          <w:rFonts w:ascii="Times New Roman" w:hAnsi="Times New Roman"/>
          <w:color w:val="000000" w:themeColor="text1"/>
          <w:sz w:val="16"/>
          <w:szCs w:val="16"/>
        </w:rPr>
        <w:softHyphen/>
        <w:t>ях башни открыть нельзя, вследствие чего при заклинивании башни или пожаре в тан</w:t>
      </w:r>
      <w:r w:rsidRPr="00D03F3E">
        <w:rPr>
          <w:rFonts w:ascii="Times New Roman" w:hAnsi="Times New Roman"/>
          <w:color w:val="000000" w:themeColor="text1"/>
          <w:sz w:val="16"/>
          <w:szCs w:val="16"/>
        </w:rPr>
        <w:softHyphen/>
        <w:t>ке механик-водитель и радист часто погиба</w:t>
      </w:r>
      <w:r w:rsidRPr="00D03F3E">
        <w:rPr>
          <w:rFonts w:ascii="Times New Roman" w:hAnsi="Times New Roman"/>
          <w:color w:val="000000" w:themeColor="text1"/>
          <w:sz w:val="16"/>
          <w:szCs w:val="16"/>
        </w:rPr>
        <w:softHyphen/>
        <w:t>ют из-за невозможности открыть люк ради</w:t>
      </w:r>
      <w:r w:rsidRPr="00D03F3E">
        <w:rPr>
          <w:rFonts w:ascii="Times New Roman" w:hAnsi="Times New Roman"/>
          <w:color w:val="000000" w:themeColor="text1"/>
          <w:sz w:val="16"/>
          <w:szCs w:val="16"/>
        </w:rPr>
        <w:softHyphen/>
        <w:t>ста и выйти через него из танка.</w:t>
      </w:r>
    </w:p>
    <w:p w14:paraId="19EB75C7" w14:textId="77777777" w:rsidR="00BC615F" w:rsidRPr="00D03F3E" w:rsidRDefault="00BC615F" w:rsidP="00D03F3E">
      <w:pPr>
        <w:pStyle w:val="27"/>
        <w:shd w:val="clear" w:color="auto" w:fill="auto"/>
        <w:tabs>
          <w:tab w:val="left" w:pos="457"/>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2. Ходовая часть (катки, траки) менее прочная, чем в танке КВ-1, и чаще разруша</w:t>
      </w:r>
      <w:r w:rsidRPr="00D03F3E">
        <w:rPr>
          <w:rFonts w:ascii="Times New Roman" w:cs="Times New Roman"/>
          <w:color w:val="000000" w:themeColor="text1"/>
          <w:spacing w:val="0"/>
        </w:rPr>
        <w:softHyphen/>
        <w:t>ется от мин и противотанковой артиллерии малого калибра.</w:t>
      </w:r>
    </w:p>
    <w:p w14:paraId="79121F44" w14:textId="77777777" w:rsidR="00BC615F" w:rsidRPr="00D03F3E" w:rsidRDefault="00BC615F" w:rsidP="00D03F3E">
      <w:pPr>
        <w:pStyle w:val="27"/>
        <w:shd w:val="clear" w:color="auto" w:fill="auto"/>
        <w:tabs>
          <w:tab w:val="left" w:pos="404"/>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3. Отсутствие защиты погона башни при</w:t>
      </w:r>
      <w:r w:rsidRPr="00D03F3E">
        <w:rPr>
          <w:rFonts w:ascii="Times New Roman" w:cs="Times New Roman"/>
          <w:color w:val="000000" w:themeColor="text1"/>
          <w:spacing w:val="0"/>
        </w:rPr>
        <w:softHyphen/>
        <w:t>водит к частой заклинке последней.</w:t>
      </w:r>
    </w:p>
    <w:p w14:paraId="47467AF3" w14:textId="77777777" w:rsidR="00BC615F" w:rsidRPr="00D03F3E" w:rsidRDefault="00BC615F" w:rsidP="00D03F3E">
      <w:pPr>
        <w:pStyle w:val="27"/>
        <w:shd w:val="clear" w:color="auto" w:fill="auto"/>
        <w:tabs>
          <w:tab w:val="left" w:pos="409"/>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4. Смотровые приборы радиста и механи- ка-водителя не обеспечивают должной об</w:t>
      </w:r>
      <w:r w:rsidRPr="00D03F3E">
        <w:rPr>
          <w:rFonts w:ascii="Times New Roman" w:cs="Times New Roman"/>
          <w:color w:val="000000" w:themeColor="text1"/>
          <w:spacing w:val="0"/>
        </w:rPr>
        <w:softHyphen/>
        <w:t>зорности, и около танка образуется большое не просматриваемое пространство, дающее возможность пехоте противника близко под</w:t>
      </w:r>
      <w:r w:rsidRPr="00D03F3E">
        <w:rPr>
          <w:rFonts w:ascii="Times New Roman" w:cs="Times New Roman"/>
          <w:color w:val="000000" w:themeColor="text1"/>
          <w:spacing w:val="0"/>
        </w:rPr>
        <w:softHyphen/>
        <w:t>ходить к танку, и сильно затрудняет вожде</w:t>
      </w:r>
      <w:r w:rsidRPr="00D03F3E">
        <w:rPr>
          <w:rFonts w:ascii="Times New Roman" w:cs="Times New Roman"/>
          <w:color w:val="000000" w:themeColor="text1"/>
          <w:spacing w:val="0"/>
        </w:rPr>
        <w:softHyphen/>
        <w:t>ние танка.</w:t>
      </w:r>
    </w:p>
    <w:p w14:paraId="75E790DE" w14:textId="77777777" w:rsidR="00BC615F" w:rsidRPr="00D03F3E" w:rsidRDefault="00BC615F" w:rsidP="00D03F3E">
      <w:pPr>
        <w:pStyle w:val="27"/>
        <w:shd w:val="clear" w:color="auto" w:fill="auto"/>
        <w:tabs>
          <w:tab w:val="left" w:pos="414"/>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5. Наличие слабой броневой защиты бор</w:t>
      </w:r>
      <w:r w:rsidRPr="00D03F3E">
        <w:rPr>
          <w:rFonts w:ascii="Times New Roman" w:cs="Times New Roman"/>
          <w:color w:val="000000" w:themeColor="text1"/>
          <w:spacing w:val="0"/>
        </w:rPr>
        <w:softHyphen/>
        <w:t>тов и высокое расположение топливных ба</w:t>
      </w:r>
      <w:r w:rsidRPr="00D03F3E">
        <w:rPr>
          <w:rFonts w:ascii="Times New Roman" w:cs="Times New Roman"/>
          <w:color w:val="000000" w:themeColor="text1"/>
          <w:spacing w:val="0"/>
        </w:rPr>
        <w:softHyphen/>
        <w:t>ков вдоль бортов приводит к частому проби</w:t>
      </w:r>
      <w:r w:rsidRPr="00D03F3E">
        <w:rPr>
          <w:rFonts w:ascii="Times New Roman" w:cs="Times New Roman"/>
          <w:color w:val="000000" w:themeColor="text1"/>
          <w:spacing w:val="0"/>
        </w:rPr>
        <w:softHyphen/>
        <w:t>ванию последних, к пожару в танке.</w:t>
      </w:r>
    </w:p>
    <w:p w14:paraId="4FAD979F" w14:textId="77777777" w:rsidR="00BC615F" w:rsidRPr="00D03F3E" w:rsidRDefault="00BC615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Начальник БТУ КА инженер-полковник Афонин в письме на имя т. Зальцмана по</w:t>
      </w:r>
      <w:r w:rsidRPr="00D03F3E">
        <w:rPr>
          <w:rFonts w:ascii="Times New Roman" w:cs="Times New Roman"/>
          <w:color w:val="000000" w:themeColor="text1"/>
          <w:spacing w:val="0"/>
        </w:rPr>
        <w:softHyphen/>
        <w:t>требовал для устранения вышеуказанных недостатков, проведения следующих меро</w:t>
      </w:r>
      <w:r w:rsidRPr="00D03F3E">
        <w:rPr>
          <w:rFonts w:ascii="Times New Roman" w:cs="Times New Roman"/>
          <w:color w:val="000000" w:themeColor="text1"/>
          <w:spacing w:val="0"/>
        </w:rPr>
        <w:softHyphen/>
        <w:t>приятий:</w:t>
      </w:r>
    </w:p>
    <w:p w14:paraId="519E9C15"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 Устанавливать в танках </w:t>
      </w:r>
      <w:r w:rsidRPr="00D03F3E">
        <w:rPr>
          <w:rFonts w:ascii="Times New Roman" w:hAnsi="Times New Roman"/>
          <w:color w:val="000000" w:themeColor="text1"/>
          <w:sz w:val="16"/>
          <w:szCs w:val="16"/>
          <w:lang w:val="en-US"/>
        </w:rPr>
        <w:t>KB</w:t>
      </w:r>
      <w:r w:rsidRPr="00D03F3E">
        <w:rPr>
          <w:rFonts w:ascii="Times New Roman" w:hAnsi="Times New Roman"/>
          <w:color w:val="000000" w:themeColor="text1"/>
          <w:sz w:val="16"/>
          <w:szCs w:val="16"/>
        </w:rPr>
        <w:t>-1С смотро</w:t>
      </w:r>
      <w:r w:rsidRPr="00D03F3E">
        <w:rPr>
          <w:rFonts w:ascii="Times New Roman" w:hAnsi="Times New Roman"/>
          <w:color w:val="000000" w:themeColor="text1"/>
          <w:sz w:val="16"/>
          <w:szCs w:val="16"/>
        </w:rPr>
        <w:softHyphen/>
        <w:t xml:space="preserve">вые приборы типа </w:t>
      </w:r>
      <w:r w:rsidRPr="00D03F3E">
        <w:rPr>
          <w:rFonts w:ascii="Times New Roman" w:hAnsi="Times New Roman"/>
          <w:color w:val="000000" w:themeColor="text1"/>
          <w:sz w:val="16"/>
          <w:szCs w:val="16"/>
          <w:lang w:val="en-US"/>
        </w:rPr>
        <w:t>MK</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IV</w:t>
      </w:r>
    </w:p>
    <w:p w14:paraId="4CD6ABFE" w14:textId="77777777" w:rsidR="00BC615F" w:rsidRPr="00D03F3E" w:rsidRDefault="00BC615F" w:rsidP="00D03F3E">
      <w:pPr>
        <w:pStyle w:val="27"/>
        <w:shd w:val="clear" w:color="auto" w:fill="auto"/>
        <w:tabs>
          <w:tab w:val="left" w:pos="390"/>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2. Обеспечить открывание люка радиста независимо от положения башни,</w:t>
      </w:r>
    </w:p>
    <w:p w14:paraId="62910B5C" w14:textId="77777777" w:rsidR="00BC615F" w:rsidRPr="00D03F3E" w:rsidRDefault="00BC615F" w:rsidP="00D03F3E">
      <w:pPr>
        <w:pStyle w:val="27"/>
        <w:shd w:val="clear" w:color="auto" w:fill="auto"/>
        <w:tabs>
          <w:tab w:val="left" w:pos="328"/>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3. Установить защиту погона башни.</w:t>
      </w:r>
    </w:p>
    <w:p w14:paraId="716DAB53" w14:textId="77777777" w:rsidR="00BC615F" w:rsidRPr="00D03F3E" w:rsidRDefault="00BC615F" w:rsidP="00D03F3E">
      <w:pPr>
        <w:pStyle w:val="27"/>
        <w:shd w:val="clear" w:color="auto" w:fill="auto"/>
        <w:tabs>
          <w:tab w:val="left" w:pos="337"/>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4. Обеспечить хорошую обзорность из тан</w:t>
      </w:r>
      <w:r w:rsidRPr="00D03F3E">
        <w:rPr>
          <w:rFonts w:ascii="Times New Roman" w:cs="Times New Roman"/>
          <w:color w:val="000000" w:themeColor="text1"/>
          <w:spacing w:val="0"/>
        </w:rPr>
        <w:softHyphen/>
        <w:t xml:space="preserve">ка с мест стрелка-радиста и механика-води- теля путем установки смотровых приборов типа </w:t>
      </w:r>
      <w:r w:rsidRPr="00D03F3E">
        <w:rPr>
          <w:rFonts w:ascii="Times New Roman" w:cs="Times New Roman"/>
          <w:color w:val="000000" w:themeColor="text1"/>
          <w:spacing w:val="0"/>
          <w:lang w:val="en-US"/>
        </w:rPr>
        <w:t>MK</w:t>
      </w:r>
      <w:r w:rsidRPr="00D03F3E">
        <w:rPr>
          <w:rFonts w:ascii="Times New Roman" w:cs="Times New Roman"/>
          <w:color w:val="000000" w:themeColor="text1"/>
          <w:spacing w:val="0"/>
        </w:rPr>
        <w:t>-</w:t>
      </w:r>
      <w:r w:rsidRPr="00D03F3E">
        <w:rPr>
          <w:rFonts w:ascii="Times New Roman" w:cs="Times New Roman"/>
          <w:color w:val="000000" w:themeColor="text1"/>
          <w:spacing w:val="0"/>
          <w:lang w:val="en-US"/>
        </w:rPr>
        <w:t>IV</w:t>
      </w:r>
      <w:r w:rsidRPr="00D03F3E">
        <w:rPr>
          <w:rFonts w:ascii="Times New Roman" w:cs="Times New Roman"/>
          <w:color w:val="000000" w:themeColor="text1"/>
          <w:spacing w:val="0"/>
        </w:rPr>
        <w:t>.</w:t>
      </w:r>
    </w:p>
    <w:p w14:paraId="1752865E" w14:textId="77777777" w:rsidR="00BC615F" w:rsidRPr="00D03F3E" w:rsidRDefault="00BC615F" w:rsidP="00D03F3E">
      <w:pPr>
        <w:pStyle w:val="27"/>
        <w:shd w:val="clear" w:color="auto" w:fill="auto"/>
        <w:tabs>
          <w:tab w:val="left" w:pos="32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5. Усилить ходовую часть (катки, траки).</w:t>
      </w:r>
    </w:p>
    <w:p w14:paraId="53F97753" w14:textId="77777777" w:rsidR="00BC615F" w:rsidRPr="00D03F3E" w:rsidRDefault="00BC615F" w:rsidP="00D03F3E">
      <w:pPr>
        <w:pStyle w:val="27"/>
        <w:shd w:val="clear" w:color="auto" w:fill="auto"/>
        <w:tabs>
          <w:tab w:val="left" w:pos="370"/>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6. Проработать вопрос о размещении то</w:t>
      </w:r>
      <w:r w:rsidRPr="00D03F3E">
        <w:rPr>
          <w:rFonts w:ascii="Times New Roman" w:cs="Times New Roman"/>
          <w:color w:val="000000" w:themeColor="text1"/>
          <w:spacing w:val="0"/>
        </w:rPr>
        <w:softHyphen/>
        <w:t>пливных баков на днише танка и разбивке их на большее число отсеков.</w:t>
      </w:r>
    </w:p>
    <w:p w14:paraId="24638751" w14:textId="77777777" w:rsidR="00BC615F" w:rsidRPr="00D03F3E" w:rsidRDefault="00BC615F" w:rsidP="00D03F3E">
      <w:pPr>
        <w:pStyle w:val="27"/>
        <w:shd w:val="clear" w:color="auto" w:fill="auto"/>
        <w:tabs>
          <w:tab w:val="left" w:pos="390"/>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7. Повысить снарядостойкость бортовой брони и кормовой путем перехода на броню высокой твердости».</w:t>
      </w:r>
    </w:p>
    <w:p w14:paraId="194AF1F0" w14:textId="77777777" w:rsidR="00BC615F" w:rsidRPr="00D03F3E" w:rsidRDefault="00BC615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Часть недостатков устранили, о чем уже го</w:t>
      </w:r>
      <w:r w:rsidRPr="00D03F3E">
        <w:rPr>
          <w:rFonts w:ascii="Times New Roman" w:cs="Times New Roman"/>
          <w:color w:val="000000" w:themeColor="text1"/>
          <w:spacing w:val="0"/>
        </w:rPr>
        <w:softHyphen/>
        <w:t>ворилось выше (усиление подвески, защи</w:t>
      </w:r>
      <w:r w:rsidRPr="00D03F3E">
        <w:rPr>
          <w:rFonts w:ascii="Times New Roman" w:cs="Times New Roman"/>
          <w:color w:val="000000" w:themeColor="text1"/>
          <w:spacing w:val="0"/>
        </w:rPr>
        <w:softHyphen/>
        <w:t xml:space="preserve">та погона башни), часть так и не выполнили вплоть до окончания выпуска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(пере</w:t>
      </w:r>
      <w:r w:rsidRPr="00D03F3E">
        <w:rPr>
          <w:rFonts w:ascii="Times New Roman" w:cs="Times New Roman"/>
          <w:color w:val="000000" w:themeColor="text1"/>
          <w:spacing w:val="0"/>
        </w:rPr>
        <w:softHyphen/>
        <w:t>ход на броню высокой твердости), некоторые устранили на КВ-85 (новая командирская ба</w:t>
      </w:r>
      <w:r w:rsidRPr="00D03F3E">
        <w:rPr>
          <w:rFonts w:ascii="Times New Roman" w:cs="Times New Roman"/>
          <w:color w:val="000000" w:themeColor="text1"/>
          <w:spacing w:val="0"/>
        </w:rPr>
        <w:softHyphen/>
        <w:t xml:space="preserve">шенка, приборы </w:t>
      </w:r>
      <w:r w:rsidRPr="00D03F3E">
        <w:rPr>
          <w:rFonts w:ascii="Times New Roman" w:cs="Times New Roman"/>
          <w:color w:val="000000" w:themeColor="text1"/>
          <w:spacing w:val="0"/>
          <w:lang w:val="en-US"/>
        </w:rPr>
        <w:t>MK</w:t>
      </w:r>
      <w:r w:rsidRPr="00D03F3E">
        <w:rPr>
          <w:rFonts w:ascii="Times New Roman" w:cs="Times New Roman"/>
          <w:color w:val="000000" w:themeColor="text1"/>
          <w:spacing w:val="0"/>
        </w:rPr>
        <w:t>-</w:t>
      </w:r>
      <w:r w:rsidRPr="00D03F3E">
        <w:rPr>
          <w:rFonts w:ascii="Times New Roman" w:cs="Times New Roman"/>
          <w:color w:val="000000" w:themeColor="text1"/>
          <w:spacing w:val="0"/>
          <w:lang w:val="en-US"/>
        </w:rPr>
        <w:t>IV</w:t>
      </w:r>
      <w:r w:rsidRPr="00D03F3E">
        <w:rPr>
          <w:rFonts w:ascii="Times New Roman" w:cs="Times New Roman"/>
          <w:color w:val="000000" w:themeColor="text1"/>
          <w:spacing w:val="0"/>
        </w:rPr>
        <w:t xml:space="preserve"> у водителя) (15226).</w:t>
      </w:r>
    </w:p>
    <w:p w14:paraId="6B3050E9" w14:textId="77777777" w:rsidR="00BC615F" w:rsidRPr="00D03F3E" w:rsidRDefault="00BC615F" w:rsidP="00D03F3E">
      <w:pPr>
        <w:pStyle w:val="27"/>
        <w:shd w:val="clear" w:color="auto" w:fill="auto"/>
        <w:spacing w:after="0" w:line="240" w:lineRule="auto"/>
        <w:ind w:firstLine="0"/>
        <w:rPr>
          <w:rFonts w:ascii="Times New Roman" w:cs="Times New Roman"/>
          <w:color w:val="000000" w:themeColor="text1"/>
          <w:spacing w:val="0"/>
        </w:rPr>
      </w:pPr>
    </w:p>
    <w:p w14:paraId="379CFAD9" w14:textId="77777777" w:rsidR="00E56A12" w:rsidRPr="00D03F3E" w:rsidRDefault="00E56A12" w:rsidP="00D03F3E">
      <w:pPr>
        <w:pStyle w:val="162"/>
        <w:shd w:val="clear" w:color="auto" w:fill="auto"/>
        <w:spacing w:line="240" w:lineRule="auto"/>
        <w:jc w:val="both"/>
        <w:rPr>
          <w:color w:val="000000" w:themeColor="text1"/>
          <w:sz w:val="16"/>
          <w:szCs w:val="16"/>
        </w:rPr>
      </w:pPr>
      <w:r w:rsidRPr="00D03F3E">
        <w:rPr>
          <w:rFonts w:eastAsia="Calibri"/>
          <w:color w:val="000000" w:themeColor="text1"/>
          <w:sz w:val="16"/>
          <w:szCs w:val="16"/>
        </w:rPr>
        <w:t>13—14 января 1943 года на полигоне НИИБТ в Кубинке были проведены испытания бронесаней БП-60 по сокращенной программе. В ходе определения наименьшего радиуса разворота, дышла оказались по</w:t>
      </w:r>
      <w:r w:rsidRPr="00D03F3E">
        <w:rPr>
          <w:rFonts w:eastAsia="Calibri"/>
          <w:color w:val="000000" w:themeColor="text1"/>
          <w:sz w:val="16"/>
          <w:szCs w:val="16"/>
        </w:rPr>
        <w:softHyphen/>
        <w:t>гнуты. Удалось произвести два контрольных выезда: в первом, про</w:t>
      </w:r>
      <w:r w:rsidRPr="00D03F3E">
        <w:rPr>
          <w:rFonts w:eastAsia="Calibri"/>
          <w:color w:val="000000" w:themeColor="text1"/>
          <w:sz w:val="16"/>
          <w:szCs w:val="16"/>
        </w:rPr>
        <w:softHyphen/>
        <w:t>тяженностью 5 километров, участвовали двое бронесаней, во втором, протяженностью 3 километра — одни бронесани, в обоих случаях сани буксировались с полным десантом. Бронесани уверенно буксировались за Т-34 как в одиночку, так и парой со средней скоростью 25 км/ч по шоссе и 20 км/ч по снежной целине (толщина снежного покрова достигала 400 мм). В ходе испытаний выяснилось, что с радиусом пово</w:t>
      </w:r>
      <w:r w:rsidRPr="00D03F3E">
        <w:rPr>
          <w:rFonts w:eastAsia="Calibri"/>
          <w:color w:val="000000" w:themeColor="text1"/>
          <w:sz w:val="16"/>
          <w:szCs w:val="16"/>
        </w:rPr>
        <w:softHyphen/>
        <w:t>рота меньше 20 метров начинает гнуться дышло и начинают отрывать</w:t>
      </w:r>
      <w:r w:rsidRPr="00D03F3E">
        <w:rPr>
          <w:rFonts w:eastAsia="Calibri"/>
          <w:color w:val="000000" w:themeColor="text1"/>
          <w:sz w:val="16"/>
          <w:szCs w:val="16"/>
        </w:rPr>
        <w:softHyphen/>
        <w:t>ся буксирные крюки.</w:t>
      </w:r>
    </w:p>
    <w:p w14:paraId="1C502895" w14:textId="77777777" w:rsidR="00E56A12" w:rsidRPr="00D03F3E" w:rsidRDefault="00E56A12" w:rsidP="00D03F3E">
      <w:pPr>
        <w:pStyle w:val="162"/>
        <w:shd w:val="clear" w:color="auto" w:fill="auto"/>
        <w:spacing w:line="240" w:lineRule="auto"/>
        <w:jc w:val="both"/>
        <w:rPr>
          <w:rFonts w:eastAsia="Calibri"/>
          <w:color w:val="000000" w:themeColor="text1"/>
          <w:sz w:val="16"/>
          <w:szCs w:val="16"/>
        </w:rPr>
      </w:pPr>
      <w:r w:rsidRPr="00D03F3E">
        <w:rPr>
          <w:rFonts w:eastAsia="Calibri"/>
          <w:color w:val="000000" w:themeColor="text1"/>
          <w:sz w:val="16"/>
          <w:szCs w:val="16"/>
        </w:rPr>
        <w:t>Во время испытаний десант из 10 человек с личным оружием за</w:t>
      </w:r>
      <w:r w:rsidRPr="00D03F3E">
        <w:rPr>
          <w:rFonts w:eastAsia="Calibri"/>
          <w:color w:val="000000" w:themeColor="text1"/>
          <w:sz w:val="16"/>
          <w:szCs w:val="16"/>
        </w:rPr>
        <w:softHyphen/>
        <w:t>нимал бронесани за 20—25 секунд, высадка занимала 30—35 секунд. Конструкцию задних десантных люков с петлями сбоку признали не очень удобной и рекомендовали переделать. Внутри десант раз</w:t>
      </w:r>
      <w:r w:rsidRPr="00D03F3E">
        <w:rPr>
          <w:rFonts w:eastAsia="Calibri"/>
          <w:color w:val="000000" w:themeColor="text1"/>
          <w:sz w:val="16"/>
          <w:szCs w:val="16"/>
        </w:rPr>
        <w:softHyphen/>
        <w:t>мещался прямо на полу (скамьи ввиду небольшой высоты корпуса Т-60 не были предусмотрены), что вызывало немало неудобств, од</w:t>
      </w:r>
      <w:r w:rsidRPr="00D03F3E">
        <w:rPr>
          <w:rFonts w:eastAsia="Calibri"/>
          <w:color w:val="000000" w:themeColor="text1"/>
          <w:sz w:val="16"/>
          <w:szCs w:val="16"/>
        </w:rPr>
        <w:softHyphen/>
        <w:t>нако при движении излишней тряски не ощущалось. По результа</w:t>
      </w:r>
      <w:r w:rsidRPr="00D03F3E">
        <w:rPr>
          <w:rFonts w:eastAsia="Calibri"/>
          <w:color w:val="000000" w:themeColor="text1"/>
          <w:sz w:val="16"/>
          <w:szCs w:val="16"/>
        </w:rPr>
        <w:softHyphen/>
        <w:t xml:space="preserve">там испытаний стрельбу из бойниц, </w:t>
      </w:r>
      <w:r w:rsidRPr="00D03F3E">
        <w:rPr>
          <w:rFonts w:eastAsia="Calibri"/>
          <w:color w:val="000000" w:themeColor="text1"/>
          <w:sz w:val="16"/>
          <w:szCs w:val="16"/>
        </w:rPr>
        <w:lastRenderedPageBreak/>
        <w:t>а также конструкцию крышек амбразур признали вполне удобной. Вместе с тем, во время движе</w:t>
      </w:r>
      <w:r w:rsidRPr="00D03F3E">
        <w:rPr>
          <w:rFonts w:eastAsia="Calibri"/>
          <w:color w:val="000000" w:themeColor="text1"/>
          <w:sz w:val="16"/>
          <w:szCs w:val="16"/>
        </w:rPr>
        <w:softHyphen/>
        <w:t>ния по снежной целине и проселочным дорогам поднималось облако снежной пыли, делавшее невозможным прицельную стрельбу десан</w:t>
      </w:r>
      <w:r w:rsidRPr="00D03F3E">
        <w:rPr>
          <w:rFonts w:eastAsia="Calibri"/>
          <w:color w:val="000000" w:themeColor="text1"/>
          <w:sz w:val="16"/>
          <w:szCs w:val="16"/>
        </w:rPr>
        <w:softHyphen/>
        <w:t>та из бойниц. Кроме того, испытания стрельбой выявили наличие мертвых зон обстрела из саней.</w:t>
      </w:r>
    </w:p>
    <w:p w14:paraId="4A319620" w14:textId="77777777" w:rsidR="00E56A12" w:rsidRPr="00D03F3E" w:rsidRDefault="00E56A12" w:rsidP="00D03F3E">
      <w:pPr>
        <w:pStyle w:val="162"/>
        <w:shd w:val="clear" w:color="auto" w:fill="auto"/>
        <w:spacing w:line="240" w:lineRule="auto"/>
        <w:jc w:val="both"/>
        <w:rPr>
          <w:color w:val="000000" w:themeColor="text1"/>
          <w:sz w:val="16"/>
          <w:szCs w:val="16"/>
        </w:rPr>
      </w:pPr>
      <w:r w:rsidRPr="00D03F3E">
        <w:rPr>
          <w:rFonts w:eastAsia="Calibri"/>
          <w:color w:val="000000" w:themeColor="text1"/>
          <w:sz w:val="16"/>
          <w:szCs w:val="16"/>
        </w:rPr>
        <w:t>Несмотря на выявленные в ходе испытаний недостатки, общее за</w:t>
      </w:r>
      <w:r w:rsidRPr="00D03F3E">
        <w:rPr>
          <w:rFonts w:eastAsia="Calibri"/>
          <w:color w:val="000000" w:themeColor="text1"/>
          <w:sz w:val="16"/>
          <w:szCs w:val="16"/>
        </w:rPr>
        <w:softHyphen/>
        <w:t>ключение по саням оказалось вполне положительным:</w:t>
      </w:r>
    </w:p>
    <w:p w14:paraId="6B5913BA"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Представленные для испытаний бронесани могут быть использова</w:t>
      </w:r>
      <w:r w:rsidRPr="00D03F3E">
        <w:rPr>
          <w:rFonts w:ascii="Times New Roman" w:hAnsi="Times New Roman"/>
          <w:color w:val="000000" w:themeColor="text1"/>
          <w:sz w:val="16"/>
          <w:szCs w:val="16"/>
        </w:rPr>
        <w:softHyphen/>
        <w:t>ны для переброски пехотного десанта в количестве 10 человек, а также как бронированные огневые точки при стрельбе с места.</w:t>
      </w:r>
    </w:p>
    <w:p w14:paraId="5356B90F" w14:textId="77777777" w:rsidR="00E56A12" w:rsidRPr="00D03F3E" w:rsidRDefault="00E56A12" w:rsidP="00D03F3E">
      <w:pPr>
        <w:tabs>
          <w:tab w:val="left" w:pos="55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За танком Т-34 возможна одновременная буксировка двух броне</w:t>
      </w:r>
      <w:r w:rsidRPr="00D03F3E">
        <w:rPr>
          <w:rFonts w:ascii="Times New Roman" w:hAnsi="Times New Roman"/>
          <w:color w:val="000000" w:themeColor="text1"/>
          <w:sz w:val="16"/>
          <w:szCs w:val="16"/>
        </w:rPr>
        <w:softHyphen/>
        <w:t>саней.</w:t>
      </w:r>
    </w:p>
    <w:p w14:paraId="41066345" w14:textId="77777777" w:rsidR="00E56A12" w:rsidRPr="00D03F3E" w:rsidRDefault="00E56A12" w:rsidP="00D03F3E">
      <w:pPr>
        <w:tabs>
          <w:tab w:val="left" w:pos="529"/>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Конструкция прицепного устройства позволяет производить отцеп</w:t>
      </w:r>
      <w:r w:rsidRPr="00D03F3E">
        <w:rPr>
          <w:rFonts w:ascii="Times New Roman" w:hAnsi="Times New Roman"/>
          <w:color w:val="000000" w:themeColor="text1"/>
          <w:sz w:val="16"/>
          <w:szCs w:val="16"/>
        </w:rPr>
        <w:softHyphen/>
        <w:t>ку бронесаней на ходу.</w:t>
      </w:r>
    </w:p>
    <w:p w14:paraId="2D1B1A58" w14:textId="77777777" w:rsidR="00E56A12" w:rsidRPr="00D03F3E" w:rsidRDefault="00E56A12" w:rsidP="00D03F3E">
      <w:pPr>
        <w:tabs>
          <w:tab w:val="left" w:pos="54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Прочность прицепного дышла не обеспечивает поворота бронесаней с радиусом менее 20 метров.</w:t>
      </w:r>
    </w:p>
    <w:p w14:paraId="03CE785D" w14:textId="77777777" w:rsidR="00E56A12" w:rsidRPr="00D03F3E" w:rsidRDefault="00E56A12" w:rsidP="00D03F3E">
      <w:pPr>
        <w:tabs>
          <w:tab w:val="left" w:pos="54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Бронесани могут быть рекомендованы для принятия на вооружение Красной Армии при условии устранения недостатков, указанных в разделе „Результаты испытаний"».</w:t>
      </w:r>
    </w:p>
    <w:p w14:paraId="22EC4BD2" w14:textId="77777777" w:rsidR="00E56A12" w:rsidRPr="00D03F3E" w:rsidRDefault="00E56A12" w:rsidP="00D03F3E">
      <w:pPr>
        <w:pStyle w:val="162"/>
        <w:shd w:val="clear" w:color="auto" w:fill="auto"/>
        <w:spacing w:line="240" w:lineRule="auto"/>
        <w:jc w:val="both"/>
        <w:rPr>
          <w:color w:val="000000" w:themeColor="text1"/>
          <w:sz w:val="16"/>
          <w:szCs w:val="16"/>
        </w:rPr>
      </w:pPr>
      <w:r w:rsidRPr="00D03F3E">
        <w:rPr>
          <w:rFonts w:eastAsia="Calibri"/>
          <w:color w:val="000000" w:themeColor="text1"/>
          <w:sz w:val="16"/>
          <w:szCs w:val="16"/>
        </w:rPr>
        <w:t>Таким образом, наконец серийному производству бронесаней был дан зеленый свет. Производство саней из корпусов Т-60 началось на ГАЗ в конце января 1943 года, в январе же начался выпуск саней и в Са</w:t>
      </w:r>
      <w:r w:rsidRPr="00D03F3E">
        <w:rPr>
          <w:rFonts w:eastAsia="Calibri"/>
          <w:color w:val="000000" w:themeColor="text1"/>
          <w:sz w:val="16"/>
          <w:szCs w:val="16"/>
        </w:rPr>
        <w:softHyphen/>
        <w:t>ратове. Помимо бронесаней на базе Т-60, завод № 180 также выпустил партию из 18 саней с использованием корпусов танка Т-50. К слову, в войсках бронированные сани на базе Т-60 применили еще до по</w:t>
      </w:r>
      <w:r w:rsidRPr="00D03F3E">
        <w:rPr>
          <w:rFonts w:eastAsia="Calibri"/>
          <w:color w:val="000000" w:themeColor="text1"/>
          <w:sz w:val="16"/>
          <w:szCs w:val="16"/>
        </w:rPr>
        <w:softHyphen/>
        <w:t>явления серийных образцов. Согласно переписке по ГАБТУ, в частях 65-й армии осенью-зимой 1942 года успешно использовались корпуса Т-60 (речь идет, скорее всего, о заделе завода № 264), установленные на полозья и цепляемые за танки.</w:t>
      </w:r>
    </w:p>
    <w:p w14:paraId="5E258E6E" w14:textId="77777777" w:rsidR="00E56A12" w:rsidRPr="00D03F3E" w:rsidRDefault="00E56A12" w:rsidP="00D03F3E">
      <w:pPr>
        <w:pStyle w:val="162"/>
        <w:shd w:val="clear" w:color="auto" w:fill="auto"/>
        <w:spacing w:line="240" w:lineRule="auto"/>
        <w:jc w:val="both"/>
        <w:rPr>
          <w:color w:val="000000" w:themeColor="text1"/>
          <w:sz w:val="16"/>
          <w:szCs w:val="16"/>
        </w:rPr>
      </w:pPr>
      <w:r w:rsidRPr="00D03F3E">
        <w:rPr>
          <w:rFonts w:eastAsia="Calibri"/>
          <w:color w:val="000000" w:themeColor="text1"/>
          <w:sz w:val="16"/>
          <w:szCs w:val="16"/>
        </w:rPr>
        <w:t>По состоянию на 3 марта 1943 года ГАЗ им. Молотова изготовил 250 бронесаней, из которых 35 отравили в 1-ю Танковую Армию, 75 на Западный фронт и 41 на Северо-Западный фронт. Кроме того, завод № 180 выпустил 24 единицы бронесаней, отправленных на Ка</w:t>
      </w:r>
      <w:r w:rsidRPr="00D03F3E">
        <w:rPr>
          <w:rFonts w:eastAsia="Calibri"/>
          <w:color w:val="000000" w:themeColor="text1"/>
          <w:sz w:val="16"/>
          <w:szCs w:val="16"/>
        </w:rPr>
        <w:softHyphen/>
        <w:t>лининский фронт. По состоянию на 21 декабря 1943 года на складах находилось 120 десантных саней, которые планировалось передать в войска: 60 на 2-й Прибалтийский фронт, 30 на 1-й Прибалтийский фронт и 30 на Белорусский фронт. Точное число выпущенных саней БП-60 неизвестно, но суммарный выпуск на ГАЗ им. Молотова и заво</w:t>
      </w:r>
      <w:r w:rsidRPr="00D03F3E">
        <w:rPr>
          <w:rFonts w:eastAsia="Calibri"/>
          <w:color w:val="000000" w:themeColor="text1"/>
          <w:sz w:val="16"/>
          <w:szCs w:val="16"/>
        </w:rPr>
        <w:softHyphen/>
        <w:t>де № 180 оценивается в районе 300 штук (17485).</w:t>
      </w:r>
    </w:p>
    <w:p w14:paraId="61D5F550" w14:textId="77777777" w:rsidR="00E56A12" w:rsidRPr="00D03F3E" w:rsidRDefault="00E56A12" w:rsidP="00D03F3E">
      <w:pPr>
        <w:pStyle w:val="a3"/>
        <w:rPr>
          <w:color w:val="000000" w:themeColor="text1"/>
          <w:lang w:val="ru-RU"/>
        </w:rPr>
      </w:pPr>
    </w:p>
    <w:p w14:paraId="6830F8B8" w14:textId="77777777" w:rsidR="00800379" w:rsidRPr="00D03F3E" w:rsidRDefault="00800379" w:rsidP="00D03F3E">
      <w:pPr>
        <w:pStyle w:val="ae"/>
        <w:shd w:val="clear" w:color="auto" w:fill="FFFFFF"/>
        <w:spacing w:before="0" w:after="0"/>
        <w:jc w:val="both"/>
        <w:rPr>
          <w:color w:val="000000" w:themeColor="text1"/>
          <w:sz w:val="16"/>
          <w:szCs w:val="16"/>
        </w:rPr>
      </w:pPr>
      <w:r w:rsidRPr="00D03F3E">
        <w:rPr>
          <w:color w:val="000000" w:themeColor="text1"/>
          <w:sz w:val="16"/>
          <w:szCs w:val="16"/>
        </w:rPr>
        <w:t>13-14 января 1943 года испытания на НИИБТ Полигоне в Кубинке, пришлось проводить по сокращённой программе.</w:t>
      </w:r>
    </w:p>
    <w:p w14:paraId="39C291F2" w14:textId="77777777" w:rsidR="00800379" w:rsidRPr="00D03F3E" w:rsidRDefault="00800379" w:rsidP="00D03F3E">
      <w:pPr>
        <w:pStyle w:val="ae"/>
        <w:shd w:val="clear" w:color="auto" w:fill="FFFFFF"/>
        <w:spacing w:before="0" w:after="0"/>
        <w:jc w:val="both"/>
        <w:rPr>
          <w:color w:val="000000" w:themeColor="text1"/>
          <w:sz w:val="16"/>
          <w:szCs w:val="16"/>
        </w:rPr>
      </w:pPr>
      <w:r w:rsidRPr="00D03F3E">
        <w:rPr>
          <w:color w:val="000000" w:themeColor="text1"/>
          <w:sz w:val="16"/>
          <w:szCs w:val="16"/>
        </w:rPr>
        <w:t>Согласно первоначальной программе испытаний, бронесани предусматривалось испытывать в движении за танком (25 километров по шоссе и 25 километров по целине). Кроме того, были запланированы тактические учения с использованием трёх экземпляров бронесаней для определения возможности их использования в качестве бронированных огневых точек.</w:t>
      </w:r>
    </w:p>
    <w:p w14:paraId="7865C85A" w14:textId="77777777" w:rsidR="00800379" w:rsidRPr="00D03F3E" w:rsidRDefault="00800379" w:rsidP="00D03F3E">
      <w:pPr>
        <w:pStyle w:val="ae"/>
        <w:shd w:val="clear" w:color="auto" w:fill="FFFFFF"/>
        <w:spacing w:before="0" w:after="0"/>
        <w:jc w:val="both"/>
        <w:rPr>
          <w:color w:val="000000" w:themeColor="text1"/>
          <w:sz w:val="16"/>
          <w:szCs w:val="16"/>
        </w:rPr>
      </w:pPr>
      <w:r w:rsidRPr="00D03F3E">
        <w:rPr>
          <w:color w:val="000000" w:themeColor="text1"/>
          <w:sz w:val="16"/>
          <w:szCs w:val="16"/>
        </w:rPr>
        <w:t>При определении наименьшего радиуса разворота дышла оказались погнуты.</w:t>
      </w:r>
    </w:p>
    <w:p w14:paraId="73C423EC" w14:textId="77777777" w:rsidR="00800379" w:rsidRPr="00D03F3E" w:rsidRDefault="00800379" w:rsidP="00D03F3E">
      <w:pPr>
        <w:pStyle w:val="ae"/>
        <w:shd w:val="clear" w:color="auto" w:fill="FFFFFF"/>
        <w:spacing w:before="0" w:after="0"/>
        <w:jc w:val="both"/>
        <w:rPr>
          <w:color w:val="000000" w:themeColor="text1"/>
          <w:sz w:val="16"/>
          <w:szCs w:val="16"/>
        </w:rPr>
      </w:pPr>
      <w:r w:rsidRPr="00D03F3E">
        <w:rPr>
          <w:color w:val="000000" w:themeColor="text1"/>
          <w:sz w:val="16"/>
          <w:szCs w:val="16"/>
        </w:rPr>
        <w:t>Удалось произвести два контрольных выезда: в первом, протяжённостью 5 километров, участвовали двое бронесаней, во втором, протяжённостью 3 километра — одни бронесани. В обоих случаях сани буксировались с полным десантом. Т-34 уверенно буксировал как одни бронесани, так и пару. Средняя скорость движения составляла 25 км/ч по шоссе и 20 км/ч по снежной целине (толщина снежного покрова достигала 400 мм). В ходе испытаний выяснилось, что при радиусе поворота меньше 20 метров начинает гнуться дышло и отрываются буксирные крюки.</w:t>
      </w:r>
    </w:p>
    <w:p w14:paraId="46A2FF0F" w14:textId="77777777" w:rsidR="00800379" w:rsidRPr="00D03F3E" w:rsidRDefault="00800379"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Во время испытаний десант из 10 человек с личным оружием занимал бронесани за 20-25 секунд, высадка занимала 30-35 секунд. Конструкция задних десантных люков с петлями сбоку была признана не очень удобной, её было рекомендовано переделать. Внутри десант размещался прямо на полу (скамьи из-за небольшой высоты корпуса Т-60 не были предусмотрены), что вызывало немало неудобств. При этом излишней тряски во время движения не ощущалось. По результатам испытаний бойницы и конструкция крышек амбразур были признаны вполне удобными.</w:t>
      </w:r>
    </w:p>
    <w:p w14:paraId="761FB2B2" w14:textId="77777777" w:rsidR="00800379" w:rsidRPr="00D03F3E" w:rsidRDefault="00800379"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Вместе с тем во время движения по снежной целине и просёлочным дорогам поднималось облако снежной пыли, делавшее невозможной прицельную стрельбу десанта из бойниц. Кроме того, испытания стрельбой выявили наличие мёртвых зон обстрела из саней.</w:t>
      </w:r>
    </w:p>
    <w:p w14:paraId="3917451C" w14:textId="77777777" w:rsidR="00800379" w:rsidRPr="00D03F3E" w:rsidRDefault="00800379" w:rsidP="00D03F3E">
      <w:pPr>
        <w:pStyle w:val="ae"/>
        <w:shd w:val="clear" w:color="auto" w:fill="FFFFFF"/>
        <w:spacing w:before="0" w:after="0"/>
        <w:jc w:val="both"/>
        <w:rPr>
          <w:color w:val="000000" w:themeColor="text1"/>
          <w:sz w:val="16"/>
          <w:szCs w:val="16"/>
        </w:rPr>
      </w:pPr>
      <w:r w:rsidRPr="00D03F3E">
        <w:rPr>
          <w:color w:val="000000" w:themeColor="text1"/>
          <w:sz w:val="16"/>
          <w:szCs w:val="16"/>
        </w:rPr>
        <w:t>Несмотря на выявленные в ходе испытаний недостатки, общее заключение по саням оказалось положительным:</w:t>
      </w:r>
    </w:p>
    <w:p w14:paraId="4CC3131F" w14:textId="77777777" w:rsidR="00800379" w:rsidRPr="00D03F3E" w:rsidRDefault="00800379" w:rsidP="00D03F3E">
      <w:pPr>
        <w:pStyle w:val="ae"/>
        <w:shd w:val="clear" w:color="auto" w:fill="FFFFFF"/>
        <w:spacing w:before="0" w:after="0"/>
        <w:jc w:val="both"/>
        <w:rPr>
          <w:color w:val="000000" w:themeColor="text1"/>
          <w:sz w:val="16"/>
          <w:szCs w:val="16"/>
        </w:rPr>
      </w:pPr>
      <w:r w:rsidRPr="00D03F3E">
        <w:rPr>
          <w:iCs/>
          <w:color w:val="000000" w:themeColor="text1"/>
          <w:sz w:val="16"/>
          <w:szCs w:val="16"/>
        </w:rPr>
        <w:t>“1. Представленные для испытаний бронесани могут быть использованы для переброски пехотного десанта в количестве 10-ти человек, а также как бронированные огневые точки при стрельбе с места.</w:t>
      </w:r>
    </w:p>
    <w:p w14:paraId="72C15ED4" w14:textId="77777777" w:rsidR="00800379" w:rsidRPr="00D03F3E" w:rsidRDefault="00800379" w:rsidP="00D03F3E">
      <w:pPr>
        <w:pStyle w:val="ae"/>
        <w:shd w:val="clear" w:color="auto" w:fill="FFFFFF"/>
        <w:spacing w:before="0" w:after="0"/>
        <w:jc w:val="both"/>
        <w:rPr>
          <w:color w:val="000000" w:themeColor="text1"/>
          <w:sz w:val="16"/>
          <w:szCs w:val="16"/>
        </w:rPr>
      </w:pPr>
      <w:r w:rsidRPr="00D03F3E">
        <w:rPr>
          <w:iCs/>
          <w:color w:val="000000" w:themeColor="text1"/>
          <w:sz w:val="16"/>
          <w:szCs w:val="16"/>
        </w:rPr>
        <w:t>2. За танком Т-34 возможна одновременная буксировка двух бронесаней.</w:t>
      </w:r>
    </w:p>
    <w:p w14:paraId="7F5FF1A9" w14:textId="77777777" w:rsidR="00800379" w:rsidRPr="00D03F3E" w:rsidRDefault="00800379" w:rsidP="00D03F3E">
      <w:pPr>
        <w:pStyle w:val="ae"/>
        <w:shd w:val="clear" w:color="auto" w:fill="FFFFFF"/>
        <w:spacing w:before="0" w:after="0"/>
        <w:jc w:val="both"/>
        <w:rPr>
          <w:color w:val="000000" w:themeColor="text1"/>
          <w:sz w:val="16"/>
          <w:szCs w:val="16"/>
        </w:rPr>
      </w:pPr>
      <w:r w:rsidRPr="00D03F3E">
        <w:rPr>
          <w:iCs/>
          <w:color w:val="000000" w:themeColor="text1"/>
          <w:sz w:val="16"/>
          <w:szCs w:val="16"/>
        </w:rPr>
        <w:t>3. Конструкция прицепного устройства позволяет производить отцепку бронесаней на ходу.</w:t>
      </w:r>
    </w:p>
    <w:p w14:paraId="1EC6C9F9" w14:textId="77777777" w:rsidR="00800379" w:rsidRPr="00D03F3E" w:rsidRDefault="00800379" w:rsidP="00D03F3E">
      <w:pPr>
        <w:pStyle w:val="ae"/>
        <w:shd w:val="clear" w:color="auto" w:fill="FFFFFF"/>
        <w:spacing w:before="0" w:after="0"/>
        <w:jc w:val="both"/>
        <w:rPr>
          <w:color w:val="000000" w:themeColor="text1"/>
          <w:sz w:val="16"/>
          <w:szCs w:val="16"/>
        </w:rPr>
      </w:pPr>
      <w:r w:rsidRPr="00D03F3E">
        <w:rPr>
          <w:iCs/>
          <w:color w:val="000000" w:themeColor="text1"/>
          <w:sz w:val="16"/>
          <w:szCs w:val="16"/>
        </w:rPr>
        <w:t>4. Прочность прицепного дышла не обеспечивает поворота бронесаней с радиусом менее 20 метров.</w:t>
      </w:r>
    </w:p>
    <w:p w14:paraId="4B3F0663" w14:textId="77777777" w:rsidR="00800379" w:rsidRPr="00D03F3E" w:rsidRDefault="00800379" w:rsidP="00D03F3E">
      <w:pPr>
        <w:pStyle w:val="ae"/>
        <w:shd w:val="clear" w:color="auto" w:fill="FFFFFF"/>
        <w:spacing w:before="0" w:after="0"/>
        <w:jc w:val="both"/>
        <w:rPr>
          <w:color w:val="000000" w:themeColor="text1"/>
          <w:sz w:val="16"/>
          <w:szCs w:val="16"/>
        </w:rPr>
      </w:pPr>
      <w:r w:rsidRPr="00D03F3E">
        <w:rPr>
          <w:iCs/>
          <w:color w:val="000000" w:themeColor="text1"/>
          <w:sz w:val="16"/>
          <w:szCs w:val="16"/>
        </w:rPr>
        <w:t>5. Бронесани могут быть рекомендованы для принятия на вооружение Красной Армии при условии устранения недостатков, указанных в разделе “Результаты испытаний”.</w:t>
      </w:r>
    </w:p>
    <w:p w14:paraId="4BE4CEE5" w14:textId="77777777" w:rsidR="00800379" w:rsidRPr="00D03F3E" w:rsidRDefault="00800379" w:rsidP="00D03F3E">
      <w:pPr>
        <w:pStyle w:val="ae"/>
        <w:shd w:val="clear" w:color="auto" w:fill="FFFFFF"/>
        <w:spacing w:before="0" w:after="0"/>
        <w:jc w:val="both"/>
        <w:rPr>
          <w:color w:val="000000" w:themeColor="text1"/>
          <w:sz w:val="16"/>
          <w:szCs w:val="16"/>
        </w:rPr>
      </w:pPr>
      <w:r w:rsidRPr="00D03F3E">
        <w:rPr>
          <w:color w:val="000000" w:themeColor="text1"/>
          <w:sz w:val="16"/>
          <w:szCs w:val="16"/>
        </w:rPr>
        <w:t>Наконец серийному производству бронесаней был дан зелёный свет (17711).</w:t>
      </w:r>
    </w:p>
    <w:p w14:paraId="23E1F33F" w14:textId="77777777" w:rsidR="00800379" w:rsidRPr="00D03F3E" w:rsidRDefault="00800379" w:rsidP="00D03F3E">
      <w:pPr>
        <w:spacing w:after="0" w:line="240" w:lineRule="auto"/>
        <w:jc w:val="both"/>
        <w:rPr>
          <w:rFonts w:ascii="Times New Roman" w:eastAsia="Times New Roman" w:hAnsi="Times New Roman"/>
          <w:color w:val="000000" w:themeColor="text1"/>
          <w:sz w:val="16"/>
          <w:szCs w:val="16"/>
          <w:lang w:eastAsia="ru-RU"/>
        </w:rPr>
      </w:pPr>
    </w:p>
    <w:p w14:paraId="2E3D796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вышло Постановление ГКО № 2737 О мобилизации лошадей и обоза с упряжью для укомплектования частей Красной Армии. (7074, 195,196-197).</w:t>
      </w:r>
    </w:p>
    <w:p w14:paraId="07662847"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23DB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вышло Распоряжение ГКО № 2738. О возвращении из эвакуации части треста ОргРЭС НКЭС в Москву.РГАНИР, Фонд ГКО, д. 81, лл. 198 (11012).</w:t>
      </w:r>
    </w:p>
    <w:p w14:paraId="7BA6925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48B2B3"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3FFC658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D0BAF9"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13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72A1B9BF"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13 января наши войска в районе Нижнего Дона, на Центральном фронте и на Северном Кавказе продолжали бои на прежних направлениях.</w:t>
      </w:r>
    </w:p>
    <w:p w14:paraId="415FC5AE"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заводском районе Сталинграда наши штурмовые отряды вышли на одном участке к западной окраине города. Упорные схватки происходили на улицах, во дворах, в каждом доме. Противник предпринял одну за другой шесть контратак. Наши бойцы отбили все контратаки гитлеровцев и истребили до батальона немецкой пехоты. Захвачены трофеи и пленные.</w:t>
      </w:r>
    </w:p>
    <w:p w14:paraId="122F7044"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Нижнего Дона наши войска продолжали наступление. На одном участке немцы сосредоточили большое количество пехоты и танков и контратаковали наши части. Танкам противника вначале удалось незначительно продвинуться вперёд. Перегруппировав свои силы, наши войска отбросили гитлеровцев назад и нанесли им большой урон. На другом участке наши части заняли несколько населённых пунктов. Уничтожено до 800 немецких солдат и офицеров, 7 орудий, подбито и сожжено 5 танков. Взяты следующие трофеи: 8 орудий, 30 автомашин, много винтовок, склады с боеприпасами и продовольствием.</w:t>
      </w:r>
    </w:p>
    <w:p w14:paraId="40F2A231"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наши войска вели бои на прежних направлениях. В районе западнее Ржева противник двумя отрядами предпринял разведку переднего краяо бороны Н-ской части. Артиллерийским и ружейно-пулемётным огнём наши подразделения рассеяли и частью уничтожили отряды противника.</w:t>
      </w:r>
    </w:p>
    <w:p w14:paraId="37450233"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советские войска, преодолевая сопротивление немцев, продвигались вперёд и заняли несколько населённых пунктов. Бойцы Н-ской стрелковой части во взаимодействии с танкистами выбили противника из укреплённых позиций. 3ахвачены трофеи и пленные. На другом участке наши разведчики ночью проникли на занятую немцами железнодорожную станцию и взорвали поезд с боеприпасами.</w:t>
      </w:r>
    </w:p>
    <w:p w14:paraId="6D72348B"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наших самолётов под командованием старшего лейтенанта Киселёва совершила налёт на аэродром противника в городе Краснодаре. Лётчики внезапно появились над аэродромом и разбомбили находившиеся там самолёты противника. В тот же день было проведено ещё несколько налётов на этот аэродром. Всего уничтожено на земле 10 и повреждено до 30 немецких самолётов. Кроме того, в воздушном бою сбито 2 самолёта противника.</w:t>
      </w:r>
    </w:p>
    <w:p w14:paraId="5156A66A"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Партизанские отряды, действующие в ряде районов Вилейской области, за месяц боевых действий пустили под откос 28 железнодорожных эшелонов противника. Немецко-фашистские оккупанты в результате крушений понесли большие потери в технике и живой силе.</w:t>
      </w:r>
    </w:p>
    <w:p w14:paraId="043B1C55"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немецко-итальянских мерзавцев в селе Смаглеевка, Воронежской области: «Захватив село, гитлеровцы согнали на площадь всё население, раздели всех донага и обыскали. Пока на площади шёл обыск, фашистские мародёры хозяйничали в домах, шарили в кладовых и забирали все ценные вещи. Немцы и итальянцы хватали женщин, девушек и насиловали их. Ватага пьяных солдат застрелила Наталью Лозовую, заступившуюся за своих дочерей. Немецкие бандиты и их итальянские сообщники ограбили почти всех колхозников, забрали у них коров, овец, свиней, кур, продукты, а также одежду, бельё и обувь. Гитлеровцы уничтожили сельскохозяйственный инвентарь колхоза, забрали лошадей, весь рогатый скот и 250 центнеров зерна. Немцы разгромили наши культурные учреждения, сожгли мебель и парты в школах, уничтожили оборудование учебных кабинетов, сожгли школьную библиотеку. При отступлении бандиты взорвали два здания неполной средней школы, сожгли два магазина и много домов колхозников.</w:t>
      </w:r>
    </w:p>
    <w:p w14:paraId="6ABAAAF7"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великой радостью мы, колхозники села Смагдеевки, встретили нашу родную Красную Армию. Благодарим советских бойцов, которые дали нам возможность встретить новый, 1943 год не под игом немецко-фашистских негодяев, а свободнымисоветскими гражданами». По поручению граждан села Смаглеевки: Ф.Зябкин, 3.Фисенко, А.Бондаренко, П.Иванов, С.Белоганцев, М.Шептухина, А.Половикова,Ф.Пономарёва, И.Козинченко, А.Цымбалёва, П.Похинский и другие.</w:t>
      </w:r>
    </w:p>
    <w:p w14:paraId="163DA784"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1943 году вечернее сообщение Совинформбюро</w:t>
      </w:r>
    </w:p>
    <w:p w14:paraId="56502800"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наши войска на Северном Кавказе, продолжая наступление, овладели районным центром Новоселицкое, крупными населёнными пунктами — Журавское,Китаевское, Саблинское, Свободный, Греческое, Канглы, Побегайловское, Орбельяновка, Калаборка, Ново-Благодарное и железнодорожной станцией Кумагорский.</w:t>
      </w:r>
    </w:p>
    <w:p w14:paraId="5C1B78EA"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Нижнего Дона и на Центральном фронте наши войска вели наступательные бои на прежних направлениях.</w:t>
      </w:r>
    </w:p>
    <w:p w14:paraId="24FA9EF2"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12 января частями нашей авиации на различных участках фронта уничтожено илиповреждено до 20 немецких танков, более 200 автомашин с войсками и грузами,подавлен огонь 6 артиллерийских батарей, разбито два железнодорожных состава, рассеяно и частью уничтожено до четырёх рот пехоты противника.</w:t>
      </w:r>
    </w:p>
    <w:p w14:paraId="3DB08002"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заводском посёлке Сталинграда наши подразделения, вышедшие на одном участкена западную окраину города, закреплялись на достигнутом рубеже и отбивали многочисленные контратаки противника. Уничтожено до 400 немецких солдат и офицеров. Захвачены 10 орудий, 43 пулемёта, 4 миномёта и другие трофеи.</w:t>
      </w:r>
    </w:p>
    <w:p w14:paraId="372B9B41"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Нижнего Дона наши войска продолжали наступление. Сосредоточив на узком участке танковые и пехотные части, противник пытался прорваться в тылы советских частей. Наши войска опрокинули расчёты гитлеровцев и отбили все их контратаки. Немцы понесли огромные потери, не добившись никакого успеха. На другом участке наши бойцы уничтожили до батальона пехоты противника, 4 орудия, 20 пулемётов и 24 автомашины. Взяты трофеи, в числе которых 5 орудий, 42 пулемёта, броневик, несколько легковых автомашин и мотоциклов.</w:t>
      </w:r>
    </w:p>
    <w:p w14:paraId="1EEFCDE1"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юго-западнее Великих Лук, бойцы Н-ской части нанесли тяжёлый урон немецкому пехотному батальону, пытавшемуся атаковать наши позиции. Гитлеровцы были накрыты огневыми залпами миномётов и отошли, потеряв свыше 200 солдат и офицеров. На другом участке наши подразделения в ожесточённом бою спротивником сожгли 6 немецких танков, захватили 8 станковых пулемётов, 3 миномёта, много винтовок и боеприпасов.</w:t>
      </w:r>
    </w:p>
    <w:p w14:paraId="70B9EC3B"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с боями продвигались вперёд и заняли несколько населённых пунктов. Н-ская часть уничтожила более 500 гитлеровцев. Захвачены 10 немецких орудий, 4 автоматические пушки, 28 пулемётов, 67 автомашин, 50 тысяч патронов, 4 склада с боеприпасами и гурт скота. Взято более100 пленных. На другом участке пехота противника при поддержке 14 танков перешлав контратаку. Наши танкисты под командованием старшего лейтенанта Дорожкина уничтожили все 14 немецких танков. В это же время подразделение под командованием капитана Квирикашвили нанесло внезапный удар пехоте противника сфланга. После короткой схватки немцы бежали, оставив на поле боя более 100 трупов.</w:t>
      </w:r>
    </w:p>
    <w:p w14:paraId="27A875D1"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украинских партизан, выполнив боевую задачу, возвращалась на свою базу. Проходя около села, занятого гитлеровцами, советские патриоты услышали крики и стоны. Партизанская разведка донесла, что немцы чинят расправу над мирными жителями. Советские патриоты внезапно атаковали карателей и истребили 37 вражеских солдат и офицеров.</w:t>
      </w:r>
    </w:p>
    <w:p w14:paraId="04BC9970"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Н-ская часть Красной Армии освободила из фашистского плена группу красноармейцев. Все они истощены до последней степени и похожи скорее на скелеты, чем на живых людей. Спасённый от гитлеровской неволи С.Оденинцев рассказал: «Мы находились в лагере у деревни Голубая. Немцы морили пленныхголодом. Лучшими днями считались те, когда нам давали немного варёной ржи. Каждый день от голода и побоев умирало несколько человек. Когда советские войска перешли в наступление, гитлеровцы запрягли нас в повозки, нагружены епродовольствием и боеприпасами, и заставили их везти. Пленных, которые двигались слишком медленно, немецкие изверги немедленно пристреливали. Красная Армия спасла нас от верной смерти».</w:t>
      </w:r>
    </w:p>
    <w:p w14:paraId="52570E3E"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Немецкое командование распространяет сообщение о том, что якобы «советские военнопленные, захваченные немецкими войсками, главным образом состоят из 15-летних мальчиков и стариков 60-ти лет и старше». Изолгавшиеся вконец гитлеровцы уже не способны придумать ничего нового. Еще весной 1942 г. всю немецко-фашистскую печать обошла басня о том, что «большевики посылают в бой 14-летних красноармейцев». Почти год спустя немцы опять завели эту незатейливую шарманку. У всякого, кто слушает эти бредни гитлеровцев, невольно возникает вопрос: если в рядах Красной Армии сражаются 15-летние мальчики и дряхлые старики, то, спрашивается, как же такая армия смогла нанести серьёзные поражения многомиллионной немецкой армии, отбросить немецко-фашистские войска на сотни километров на запад, освободить в районе Сталинграда до двух тысяч населённых пунктов, в упорных сражениях отвоевать Нальчик, Моздок, Прохладный, Георгиевск, Пятигорск, Минеральные Воды, Кисловодск, Ессентуки и многие другие города? Посообщению гитлеровцев выходит, что немецкая армия дошла до такой жизни, когда она при виде мальчиков и стариков, одетых в красноармейские шинели, отступает, бросая танки, орудия, автомашины и склады. Разве не ясно, что гитлеровцы окончательно запутались и стали жертвами своей собственной лжи. Если немецкое командование будет с таким же усердием врать и дальше, то скоро ему придётся сообщить об «успехах» немецких войск в боях... с грудными младенцами.» (15008).</w:t>
      </w:r>
    </w:p>
    <w:p w14:paraId="70CA2EF9"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1778E71E"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13 января</w:t>
      </w:r>
      <w:r w:rsidRPr="00D03F3E">
        <w:rPr>
          <w:rFonts w:ascii="Times New Roman" w:hAnsi="Times New Roman"/>
          <w:color w:val="000000" w:themeColor="text1"/>
          <w:sz w:val="16"/>
          <w:szCs w:val="16"/>
        </w:rPr>
        <w:t xml:space="preserve"> в 1943 году (13-27 января) была проведена Острогожско-Россошанская наступательная операция войск Воронежского фронта (Ф.И.Голиков) совместно с 6-й армией Юго-Западного фронта (Н.Ф.Ватутин). Советские войска продвинулись на 140 км; 15 дивизий противника были полностью разгромлены, 6 дивизиям нанесено поражение, взяты в плен свыше 86 тысяч солдат и офицеров противника (15008).</w:t>
      </w:r>
    </w:p>
    <w:p w14:paraId="144729AA"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09162857"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13 января</w:t>
      </w:r>
      <w:r w:rsidRPr="00D03F3E">
        <w:rPr>
          <w:rFonts w:ascii="Times New Roman" w:hAnsi="Times New Roman"/>
          <w:color w:val="000000" w:themeColor="text1"/>
          <w:sz w:val="16"/>
          <w:szCs w:val="16"/>
        </w:rPr>
        <w:t xml:space="preserve"> в 1943 году войска Донского фронта, прорвав оборону противника на реке Червленая, продвинулись на 6-8 км. Правительство фашистской Германии издало указ о «тотальной мобилизации» (чрезвычайных мерах для восполнения людских и материальных потерь, понесённых на советско-германском фронте) (15008).</w:t>
      </w:r>
    </w:p>
    <w:p w14:paraId="32165352"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1D872FB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13 по 27 января 1943 прошла Острогожско-Россошанская операция. Продвинулись на 140 км, создав 250 км брешь в обороне, окружив 15 дивизий (2438,480).</w:t>
      </w:r>
    </w:p>
    <w:p w14:paraId="663EE29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ней авианаступление проводилось на глубину прорыва сухопутными войсками тактической обороны (518,109).</w:t>
      </w:r>
    </w:p>
    <w:p w14:paraId="1587838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CDFFF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началась Воронежско-Харьковская стратегическая наступательная операция (2989). Наступали ВФ (Ф.И.Голиков), левое крыло БФ (13А Н.П.Пухов) и правого крыла ЮЗФ (6А Ф.М.Харитонов) против группа армий В. Включала 3 последовательные операции: Острогожского-Россошанскую, Воронежско-Касторненскую и Харьковскую. Завершилась 3 марта, разгромили 28 дивизий и освободили Курск, Белгород, Харьков (3398,25).</w:t>
      </w:r>
    </w:p>
    <w:p w14:paraId="1BE0FDA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7074A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г. вышел ПРИКАЗ № 031 С ОБЪЯВЛЕНИЕМ НОРМ И ПОРЯДКА ВЫДАЧИ ВОДКИ ТЕХНИЧЕСКОМУ СОСТАВУ ЧАСТЕЙ ВВС ДЕЙСТВУЮЩЕЙ АРМИИ</w:t>
      </w:r>
    </w:p>
    <w:p w14:paraId="7237AA8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дополнение к приказу НКО 1942 г. № 0883 с объявлением норм и порядка выдачи водки личному составу частей действующей армии приказываю:</w:t>
      </w:r>
    </w:p>
    <w:p w14:paraId="5C957C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 частях ВВС действующей армии и в частях ВВС, базирующихся на территории военных округов, но приравненных приказами НКО к частям действующей армии, водку выдавать по 50 граммов в сутки на человека и техническому составу только в дни вылетов на боевые задания самолетов, непосредственно обслуживаемых ими на аэродромах.</w:t>
      </w:r>
    </w:p>
    <w:p w14:paraId="6DCB4A5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Порядок выдачи водки установить по персональному списку, составленному командованием авиачасти, утвержденному командиром авиадивизии.</w:t>
      </w:r>
    </w:p>
    <w:p w14:paraId="2AEF7E7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Приказ объявить по телеграфу.</w:t>
      </w:r>
    </w:p>
    <w:p w14:paraId="40D4528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Заместитель Народного комиссара обороны генерал-полковник интендантской службы А. ХРУЛЕВ</w:t>
      </w:r>
      <w:r w:rsidRPr="00D03F3E">
        <w:rPr>
          <w:rFonts w:ascii="Times New Roman" w:hAnsi="Times New Roman"/>
          <w:color w:val="000000" w:themeColor="text1"/>
          <w:sz w:val="16"/>
          <w:szCs w:val="16"/>
        </w:rPr>
        <w:t xml:space="preserve"> (9844).</w:t>
      </w:r>
    </w:p>
    <w:p w14:paraId="2C7006E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C676C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вышло Постановление ГКО № 2739 О создании автомобильного резерва Ставки Верховного Главного Командования и об организации ремонта автомашин Красной Армии.РГАНИР, Фонд ГКО, д. 81, лл. 199-205, 206-237 (11012).</w:t>
      </w:r>
    </w:p>
    <w:p w14:paraId="38C8AC5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87F72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Ju-290 «BD+TX», выполнив один успешный рейс потерпел аварию при взлете и разбился. Причиной катастрофы стали раненые, отброшенные в результате стартового ускорения в хвост и тем самым изменившие центровку машины. Второй «Юнкере» был атакован на пути из Сталинграда советскими истребителями ЛаГГ-3. Пилоту майору Визкрандту удалось уйти от преследователей, однако самолет получил сильные повреждения и был отправлен на ремонт в Германию. И лишь «Кондоры» успешно продолжали полеты с аэродрома Сталино в «котел» (11774).</w:t>
      </w:r>
    </w:p>
    <w:p w14:paraId="4C211E1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8CDF94"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106A0E9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BE072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года было отправлено:</w:t>
      </w:r>
    </w:p>
    <w:p w14:paraId="48243BC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СЕКРЕТНОЕ ПОСЛАНИЕ ПРЕМЬЕРА СТАЛИНА ПРЕЗИДЕНТУ РУЗВЕЛЬТУ</w:t>
      </w:r>
    </w:p>
    <w:p w14:paraId="3116236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Выражаю Вам благодарность за решение послать Советскому Союзу 200 транспортных самолетов.</w:t>
      </w:r>
    </w:p>
    <w:p w14:paraId="3957EAC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Что касается посылки бомбардировочных авиачастей на Дальний Восток, то я уже разъяснял в предыдущих посланиях, что нам нужны не авиачасти, а самолеты без летчиков, так как своих собственных летчиков у нас более чем достаточно. Это во-первых. А во-вторых, нам нужна Ваша помощь самолетами не на Дальнем Востоке, где СССР не находится в состоянии войны, а на советско-германском фронте, где нужда в авиационной помощи особенно остра.</w:t>
      </w:r>
    </w:p>
    <w:p w14:paraId="7CD7748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Ваше предложение о том, чтобы генерал Брэдли инспектировал русские военные объекты на Дальнем Востоке и в других частях СССР, вызывает недоумение. Вполне понятно, что русские военные объекты могут быть инспектируемы только русской инспекцией, так же как американские военные объекты могут быть инспектируемы только американской инспекцией. В этой области не могут быть допущены никакие неясности.</w:t>
      </w:r>
    </w:p>
    <w:p w14:paraId="709EC99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Относительно поездки в СССР генерала Маршалла должен сказать, что мне не совсем ясна миссия генерала Маршалла. Прошу Вас разъяснить цель и задачи этой поездки, чтобы я мог сознательно отнестись к этому вопросу и дать Вам свой ответ.</w:t>
      </w:r>
    </w:p>
    <w:p w14:paraId="16A7AE3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Мои коллеги смущены тем обстоятельством, что операции в Северной Африке затормозились, причем затормозились они, как говорят, не на короткий срок, а на долгое время. Нельзя ли получить от Вас какое-либо разъяснение по этому вопросу (7430).</w:t>
      </w:r>
    </w:p>
    <w:p w14:paraId="39D28B0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2B9335"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6BBB3D0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21418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13 января 1943 в Германии объявлена тотальная мобилизация (4962).</w:t>
      </w:r>
    </w:p>
    <w:p w14:paraId="5BDAFDC1"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45B3A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в Германии была объявлена тотальная мобилизация (2443,424).</w:t>
      </w:r>
    </w:p>
    <w:p w14:paraId="3C0AB02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151DA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А.Г. издал указ о "привлечении всех мужчин и ж к обороне рейха" (3186) - указ о тотальной мобилизации (3481).</w:t>
      </w:r>
    </w:p>
    <w:p w14:paraId="221EE30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F7BA0B"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13 января</w:t>
      </w:r>
      <w:r w:rsidRPr="00D03F3E">
        <w:rPr>
          <w:rFonts w:ascii="Times New Roman" w:hAnsi="Times New Roman"/>
          <w:color w:val="000000" w:themeColor="text1"/>
          <w:sz w:val="16"/>
          <w:szCs w:val="16"/>
        </w:rPr>
        <w:t xml:space="preserve"> в 1943 году приказ Адольфа Гитлера о тотальной мобилизации — чрезвычайных мерах для восполнения людских и материальных потерь, понесенных на советско-германском фронте (15008).</w:t>
      </w:r>
    </w:p>
    <w:p w14:paraId="5BA8EFB4"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7B00BB52"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г. по приказу фюрера была объявлена тоталь</w:t>
      </w:r>
      <w:r w:rsidRPr="00D03F3E">
        <w:rPr>
          <w:rFonts w:ascii="Times New Roman" w:hAnsi="Times New Roman"/>
          <w:color w:val="000000" w:themeColor="text1"/>
          <w:sz w:val="16"/>
          <w:szCs w:val="16"/>
        </w:rPr>
        <w:softHyphen/>
        <w:t>ная мобилизация. Все немцы (мужчины в возрасте от 16 до 65 и женщины от 17 до 45 лет) должны были зарегистрироваться для работ военного назначения. Мероп</w:t>
      </w:r>
      <w:r w:rsidRPr="00D03F3E">
        <w:rPr>
          <w:rFonts w:ascii="Times New Roman" w:hAnsi="Times New Roman"/>
          <w:color w:val="000000" w:themeColor="text1"/>
          <w:sz w:val="16"/>
          <w:szCs w:val="16"/>
        </w:rPr>
        <w:softHyphen/>
        <w:t>риятия по тотальной мобилизации преследовали цель заменить людей, которых можно было использовать в вооруженных силах и военном производстве (15483).</w:t>
      </w:r>
    </w:p>
    <w:p w14:paraId="661F22BC"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53848081"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в Софии нацистами казнены 36 болгарских антифашистов (4962).</w:t>
      </w:r>
    </w:p>
    <w:p w14:paraId="1D42B885"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AD901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января 1943 г Леклерк сил Свободной Франции объединил войска с британскими под командованием Монтгомери в Ливии (2100).</w:t>
      </w:r>
    </w:p>
    <w:p w14:paraId="547ECBE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DA244B"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13 января 1943 Военно-воздушные силы армии США активируют Тринадцатый военно-воздушный флот в Новой Каледонии Майор Корпуса морской пехоты США Джо Фосс, действующий с Гуадалканала, сбил три японских истребителя Mitsubishi A6M Zero, в результате чего общее количество побед достигло 26, все они были достигнуты с 13 октября 1942 года; он стал первым американцем , который соответствует Эдди Rickenbacker's World War I с баллом 26. Это делает его вторым по результативности в морской пехоте (20376).</w:t>
      </w:r>
    </w:p>
    <w:p w14:paraId="1CAEFEF4" w14:textId="77777777" w:rsidR="00AD6D08" w:rsidRPr="00D03F3E" w:rsidRDefault="00AD6D08" w:rsidP="00D03F3E">
      <w:pPr>
        <w:spacing w:after="0" w:line="240" w:lineRule="auto"/>
        <w:jc w:val="both"/>
        <w:rPr>
          <w:rFonts w:ascii="Times New Roman" w:hAnsi="Times New Roman"/>
          <w:color w:val="0070C0"/>
          <w:sz w:val="16"/>
          <w:szCs w:val="16"/>
        </w:rPr>
      </w:pPr>
    </w:p>
    <w:p w14:paraId="1F604FAE"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CDD90F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101E6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 xml:space="preserve">14 января 1943 г. </w:t>
      </w:r>
      <w:r w:rsidRPr="00D03F3E">
        <w:rPr>
          <w:rFonts w:ascii="Times New Roman" w:hAnsi="Times New Roman"/>
          <w:color w:val="000000" w:themeColor="text1"/>
          <w:sz w:val="16"/>
          <w:szCs w:val="16"/>
        </w:rPr>
        <w:t>вышел Приказ Наркома авиационной промышленности СССР о переходе на выпуск двухместных самолетов Ил-2 с форсированными моторами</w:t>
      </w:r>
    </w:p>
    <w:p w14:paraId="646AAC0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 xml:space="preserve">Сов. Секретно </w:t>
      </w:r>
    </w:p>
    <w:p w14:paraId="6B578B1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 xml:space="preserve">Во исполнение постановления Государственного Комитета Обороны № ГОКО-2727сс от 10 января 1943 года - ПРИКАЗЫВАЮ: </w:t>
      </w:r>
    </w:p>
    <w:p w14:paraId="18801B2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 xml:space="preserve">Начальнику 10-го Главного Управления т. Тарасевичу и директорам заводов №№ 1, 18 считать важнейшей задачей осуществление в 1-м квартале 1943 года следующих мероприятий: </w:t>
      </w:r>
    </w:p>
    <w:p w14:paraId="059E250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 xml:space="preserve">а) на заводах №№ 1 и 18 - полный переход на выпуск двухместных самолетов Ил-2 с форсированными моторами АМ-38ф. </w:t>
      </w:r>
    </w:p>
    <w:p w14:paraId="1EFE1A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 xml:space="preserve">Начальнику 10-го Главного Управления т. Тарасевичу и директорам заводов № № 1 и 18 обеспечить выпуск в 1-м квартале 1943 г., в счет установленной программы, самолетов Ил-2 с двойным управлением: на заводе № 1 - 40 самолетов, из них в феврале - 15, в марте - 25 и на заводе № 18 - 80 самолетов, из них в январе - 15, феврале - 25, марте - 40 самолетов. </w:t>
      </w:r>
    </w:p>
    <w:p w14:paraId="15405FB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Народный Комиссар авиационной промышленности А. Шахурин (11878).</w:t>
      </w:r>
    </w:p>
    <w:p w14:paraId="61A497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EED19E" w14:textId="77777777" w:rsidR="00AD6D08" w:rsidRPr="00D03F3E" w:rsidRDefault="00AD6D08"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14 января 1943 г.</w:t>
      </w:r>
    </w:p>
    <w:p w14:paraId="6CEC5EA8" w14:textId="77777777" w:rsidR="00AD6D08" w:rsidRPr="00D03F3E" w:rsidRDefault="00AD6D08"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Сов. секретно</w:t>
      </w:r>
    </w:p>
    <w:p w14:paraId="42F83F14" w14:textId="77777777" w:rsidR="00AD6D08" w:rsidRPr="00D03F3E" w:rsidRDefault="00AD6D08"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Во исполнение постановления Государственного Комитета Обо</w:t>
      </w:r>
      <w:r w:rsidRPr="00D03F3E">
        <w:rPr>
          <w:rFonts w:ascii="Times New Roman" w:eastAsia="Times New Roman" w:hAnsi="Times New Roman"/>
          <w:color w:val="0070C0"/>
          <w:sz w:val="16"/>
          <w:szCs w:val="16"/>
          <w:lang w:eastAsia="ru-RU"/>
        </w:rPr>
        <w:softHyphen/>
        <w:t>роны № ГОКО-2727сс от 10 января 1943 года - ПРИКАЗЫВАЮ:</w:t>
      </w:r>
    </w:p>
    <w:p w14:paraId="4898B968" w14:textId="77777777" w:rsidR="00AD6D08" w:rsidRPr="00D03F3E" w:rsidRDefault="00AD6D08"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Начальнику 10-го Главного Управления т. Тарасевичу и директо</w:t>
      </w:r>
      <w:r w:rsidRPr="00D03F3E">
        <w:rPr>
          <w:rFonts w:ascii="Times New Roman" w:eastAsia="Times New Roman" w:hAnsi="Times New Roman"/>
          <w:color w:val="0070C0"/>
          <w:sz w:val="16"/>
          <w:szCs w:val="16"/>
          <w:lang w:eastAsia="ru-RU"/>
        </w:rPr>
        <w:softHyphen/>
        <w:t>рам заводов №№ 1, 18 считать важнейшей задачей осуществле</w:t>
      </w:r>
      <w:r w:rsidRPr="00D03F3E">
        <w:rPr>
          <w:rFonts w:ascii="Times New Roman" w:eastAsia="Times New Roman" w:hAnsi="Times New Roman"/>
          <w:color w:val="0070C0"/>
          <w:sz w:val="16"/>
          <w:szCs w:val="16"/>
          <w:lang w:eastAsia="ru-RU"/>
        </w:rPr>
        <w:softHyphen/>
        <w:t>ние в 1-м квартале 1943 года следующих мероприятий:</w:t>
      </w:r>
    </w:p>
    <w:p w14:paraId="260DAE23" w14:textId="77777777" w:rsidR="00AD6D08" w:rsidRPr="00D03F3E" w:rsidRDefault="00AD6D08"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а) на заводах №№ 1 и 18 - полный переход на выпуск двухмест</w:t>
      </w:r>
      <w:r w:rsidRPr="00D03F3E">
        <w:rPr>
          <w:rFonts w:ascii="Times New Roman" w:eastAsia="Times New Roman" w:hAnsi="Times New Roman"/>
          <w:color w:val="0070C0"/>
          <w:sz w:val="16"/>
          <w:szCs w:val="16"/>
          <w:lang w:eastAsia="ru-RU"/>
        </w:rPr>
        <w:softHyphen/>
        <w:t>ных самолетов Ил-2 с форсированными моторами АМ-38ф.</w:t>
      </w:r>
    </w:p>
    <w:p w14:paraId="75DE4902" w14:textId="77777777" w:rsidR="00AD6D08" w:rsidRPr="00D03F3E" w:rsidRDefault="00AD6D08"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Начальнику 10-го Главного Управления т. Тарасевичу и дирек</w:t>
      </w:r>
      <w:r w:rsidRPr="00D03F3E">
        <w:rPr>
          <w:rFonts w:ascii="Times New Roman" w:eastAsia="Times New Roman" w:hAnsi="Times New Roman"/>
          <w:color w:val="0070C0"/>
          <w:sz w:val="16"/>
          <w:szCs w:val="16"/>
          <w:lang w:eastAsia="ru-RU"/>
        </w:rPr>
        <w:softHyphen/>
        <w:t>торам заводов № № 1 и 18 обеспечить выпуск в 1-м квартале 1943 г., в счет установленной программы, самолетов Ил-2 с двойным управ</w:t>
      </w:r>
      <w:r w:rsidRPr="00D03F3E">
        <w:rPr>
          <w:rFonts w:ascii="Times New Roman" w:eastAsia="Times New Roman" w:hAnsi="Times New Roman"/>
          <w:color w:val="0070C0"/>
          <w:sz w:val="16"/>
          <w:szCs w:val="16"/>
          <w:lang w:eastAsia="ru-RU"/>
        </w:rPr>
        <w:softHyphen/>
        <w:t>лением: на заводе № 1 - 40 самолетов, из них в феврале - 15, в мар</w:t>
      </w:r>
      <w:r w:rsidRPr="00D03F3E">
        <w:rPr>
          <w:rFonts w:ascii="Times New Roman" w:eastAsia="Times New Roman" w:hAnsi="Times New Roman"/>
          <w:color w:val="0070C0"/>
          <w:sz w:val="16"/>
          <w:szCs w:val="16"/>
          <w:lang w:eastAsia="ru-RU"/>
        </w:rPr>
        <w:softHyphen/>
        <w:t>те - 25 и на заводе № 18 - 80 самолетов, из них в январе - 15, февра</w:t>
      </w:r>
      <w:r w:rsidRPr="00D03F3E">
        <w:rPr>
          <w:rFonts w:ascii="Times New Roman" w:eastAsia="Times New Roman" w:hAnsi="Times New Roman"/>
          <w:color w:val="0070C0"/>
          <w:sz w:val="16"/>
          <w:szCs w:val="16"/>
          <w:lang w:eastAsia="ru-RU"/>
        </w:rPr>
        <w:softHyphen/>
        <w:t>ле - 25, марте - 40 самолетов.</w:t>
      </w:r>
    </w:p>
    <w:p w14:paraId="6BA3B8D3" w14:textId="77777777" w:rsidR="00AD6D08" w:rsidRPr="00D03F3E" w:rsidRDefault="00AD6D08"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Народный Комиссар авиационной промышленности А. Шахурин</w:t>
      </w:r>
    </w:p>
    <w:p w14:paraId="02F67476" w14:textId="77777777" w:rsidR="00AD6D08" w:rsidRPr="00D03F3E" w:rsidRDefault="00AD6D08" w:rsidP="00D03F3E">
      <w:pPr>
        <w:shd w:val="clear" w:color="auto" w:fill="FFFFFF"/>
        <w:spacing w:after="0" w:line="240" w:lineRule="auto"/>
        <w:jc w:val="both"/>
        <w:rPr>
          <w:rFonts w:ascii="Times New Roman" w:eastAsia="Times New Roman" w:hAnsi="Times New Roman"/>
          <w:color w:val="0070C0"/>
          <w:sz w:val="16"/>
          <w:szCs w:val="16"/>
          <w:lang w:eastAsia="ru-RU"/>
        </w:rPr>
      </w:pPr>
    </w:p>
    <w:p w14:paraId="310B4752"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14 января 1943 г.</w:t>
      </w:r>
    </w:p>
    <w:p w14:paraId="18BBDCDF"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Из приказа Наркома авиационной промышленности СССР о переходе на выпуск двухместных самолетов Ил-2 с форсированными моторами </w:t>
      </w:r>
    </w:p>
    <w:p w14:paraId="7A1526CF"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14 января 1943 г.</w:t>
      </w:r>
    </w:p>
    <w:p w14:paraId="187EBE33"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Сов. секретно</w:t>
      </w:r>
    </w:p>
    <w:p w14:paraId="51536CB0"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  </w:t>
      </w:r>
    </w:p>
    <w:p w14:paraId="087D84B1"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Во исполнение постановления Государственного Комитета Обороны № ГОКО-2727сс от 10 января 1943 года - ПРИКАЗЫВАЮ:</w:t>
      </w:r>
    </w:p>
    <w:p w14:paraId="52582B3A"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Начальнику 10-го Главного Управления НКАП тов. Тарасевичу Б.Н. и директорам заводов № № 1, 18... принять к исполнению в первом квартале 1943 года план производства самолетов в количестве 4243 самолета, в том числе:</w:t>
      </w:r>
    </w:p>
    <w:p w14:paraId="1B7F415D"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заводов</w:t>
      </w:r>
      <w:r w:rsidRPr="00D03F3E">
        <w:rPr>
          <w:rFonts w:ascii="Times New Roman" w:hAnsi="Times New Roman"/>
          <w:color w:val="0070C0"/>
          <w:sz w:val="16"/>
          <w:szCs w:val="16"/>
        </w:rPr>
        <w:tab/>
        <w:t>Наименование  самолетов</w:t>
      </w:r>
      <w:r w:rsidRPr="00D03F3E">
        <w:rPr>
          <w:rFonts w:ascii="Times New Roman" w:hAnsi="Times New Roman"/>
          <w:color w:val="0070C0"/>
          <w:sz w:val="16"/>
          <w:szCs w:val="16"/>
        </w:rPr>
        <w:tab/>
        <w:t>Всего на квартал</w:t>
      </w:r>
      <w:r w:rsidRPr="00D03F3E">
        <w:rPr>
          <w:rFonts w:ascii="Times New Roman" w:hAnsi="Times New Roman"/>
          <w:color w:val="0070C0"/>
          <w:sz w:val="16"/>
          <w:szCs w:val="16"/>
        </w:rPr>
        <w:tab/>
        <w:t>В т.ч. по месяцам</w:t>
      </w:r>
      <w:r w:rsidRPr="00D03F3E">
        <w:rPr>
          <w:rFonts w:ascii="Times New Roman" w:hAnsi="Times New Roman"/>
          <w:color w:val="0070C0"/>
          <w:sz w:val="16"/>
          <w:szCs w:val="16"/>
        </w:rPr>
        <w:tab/>
      </w:r>
      <w:r w:rsidRPr="00D03F3E">
        <w:rPr>
          <w:rFonts w:ascii="Times New Roman" w:hAnsi="Times New Roman"/>
          <w:color w:val="0070C0"/>
          <w:sz w:val="16"/>
          <w:szCs w:val="16"/>
        </w:rPr>
        <w:tab/>
      </w:r>
    </w:p>
    <w:p w14:paraId="7BFB58D6"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t>январь</w:t>
      </w:r>
      <w:r w:rsidRPr="00D03F3E">
        <w:rPr>
          <w:rFonts w:ascii="Times New Roman" w:hAnsi="Times New Roman"/>
          <w:color w:val="0070C0"/>
          <w:sz w:val="16"/>
          <w:szCs w:val="16"/>
        </w:rPr>
        <w:tab/>
        <w:t>февраль</w:t>
      </w:r>
      <w:r w:rsidRPr="00D03F3E">
        <w:rPr>
          <w:rFonts w:ascii="Times New Roman" w:hAnsi="Times New Roman"/>
          <w:color w:val="0070C0"/>
          <w:sz w:val="16"/>
          <w:szCs w:val="16"/>
        </w:rPr>
        <w:tab/>
        <w:t>март</w:t>
      </w:r>
    </w:p>
    <w:p w14:paraId="748BF197"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18</w:t>
      </w:r>
      <w:r w:rsidRPr="00D03F3E">
        <w:rPr>
          <w:rFonts w:ascii="Times New Roman" w:hAnsi="Times New Roman"/>
          <w:color w:val="0070C0"/>
          <w:sz w:val="16"/>
          <w:szCs w:val="16"/>
        </w:rPr>
        <w:tab/>
        <w:t>Штурмовики</w:t>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p>
    <w:p w14:paraId="37C024C4"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ab/>
        <w:t>Ил-2 АМ-38ф</w:t>
      </w:r>
      <w:r w:rsidRPr="00D03F3E">
        <w:rPr>
          <w:rFonts w:ascii="Times New Roman" w:hAnsi="Times New Roman"/>
          <w:color w:val="0070C0"/>
          <w:sz w:val="16"/>
          <w:szCs w:val="16"/>
        </w:rPr>
        <w:tab/>
        <w:t>1008</w:t>
      </w:r>
      <w:r w:rsidRPr="00D03F3E">
        <w:rPr>
          <w:rFonts w:ascii="Times New Roman" w:hAnsi="Times New Roman"/>
          <w:color w:val="0070C0"/>
          <w:sz w:val="16"/>
          <w:szCs w:val="16"/>
        </w:rPr>
        <w:tab/>
        <w:t>250</w:t>
      </w:r>
      <w:r w:rsidRPr="00D03F3E">
        <w:rPr>
          <w:rFonts w:ascii="Times New Roman" w:hAnsi="Times New Roman"/>
          <w:color w:val="0070C0"/>
          <w:sz w:val="16"/>
          <w:szCs w:val="16"/>
        </w:rPr>
        <w:tab/>
        <w:t>352</w:t>
      </w:r>
      <w:r w:rsidRPr="00D03F3E">
        <w:rPr>
          <w:rFonts w:ascii="Times New Roman" w:hAnsi="Times New Roman"/>
          <w:color w:val="0070C0"/>
          <w:sz w:val="16"/>
          <w:szCs w:val="16"/>
        </w:rPr>
        <w:tab/>
        <w:t>406</w:t>
      </w:r>
    </w:p>
    <w:p w14:paraId="614F573B"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ab/>
        <w:t>Ил-2 АМ-38</w:t>
      </w:r>
      <w:r w:rsidRPr="00D03F3E">
        <w:rPr>
          <w:rFonts w:ascii="Times New Roman" w:hAnsi="Times New Roman"/>
          <w:color w:val="0070C0"/>
          <w:sz w:val="16"/>
          <w:szCs w:val="16"/>
        </w:rPr>
        <w:tab/>
        <w:t>149</w:t>
      </w:r>
      <w:r w:rsidRPr="00D03F3E">
        <w:rPr>
          <w:rFonts w:ascii="Times New Roman" w:hAnsi="Times New Roman"/>
          <w:color w:val="0070C0"/>
          <w:sz w:val="16"/>
          <w:szCs w:val="16"/>
        </w:rPr>
        <w:tab/>
        <w:t>149</w:t>
      </w:r>
      <w:r w:rsidRPr="00D03F3E">
        <w:rPr>
          <w:rFonts w:ascii="Times New Roman" w:hAnsi="Times New Roman"/>
          <w:color w:val="0070C0"/>
          <w:sz w:val="16"/>
          <w:szCs w:val="16"/>
        </w:rPr>
        <w:tab/>
        <w:t>—</w:t>
      </w:r>
      <w:r w:rsidRPr="00D03F3E">
        <w:rPr>
          <w:rFonts w:ascii="Times New Roman" w:hAnsi="Times New Roman"/>
          <w:color w:val="0070C0"/>
          <w:sz w:val="16"/>
          <w:szCs w:val="16"/>
        </w:rPr>
        <w:tab/>
        <w:t>-</w:t>
      </w:r>
    </w:p>
    <w:p w14:paraId="3BD25F15"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Начальнику 10-го Главного Управления т. Тарасевичу и директорам заводов № № 1, 18... считать важнейшей задачей осуществление в 1-м квартале 1943 года следующих мероприятий:</w:t>
      </w:r>
    </w:p>
    <w:p w14:paraId="10966AA5"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 на заводах № № 1 и 18 - полный переход на выпуск двухместных самолетов Ил-2 с форсированными моторами АМ-38ф.</w:t>
      </w:r>
    </w:p>
    <w:p w14:paraId="7585F063"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9. Начальнику 10-го Главного Управления т. Тарасевичу и директорам заводов № № 1 и 18 обеспечить выпуск в 1-м квартале 1943 г., в счет установленной программы, самолетов Ил-2 с двойным управлением: </w:t>
      </w:r>
    </w:p>
    <w:p w14:paraId="2E640BDD"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заводе № 1 - 40 самолетов, из них в феврале - 15, в марте - 25 и на заводе № 18-80 самолетов, из них в январе - 15, феврале - 25, марте - 40 самолетов.</w:t>
      </w:r>
    </w:p>
    <w:p w14:paraId="4F27E78A"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Народный Комиссар авиационной промышленности</w:t>
      </w:r>
      <w:r w:rsidRPr="00D03F3E">
        <w:rPr>
          <w:rFonts w:ascii="Times New Roman" w:hAnsi="Times New Roman"/>
          <w:color w:val="0070C0"/>
          <w:sz w:val="16"/>
          <w:szCs w:val="16"/>
        </w:rPr>
        <w:tab/>
        <w:t>А. Шахурин</w:t>
      </w:r>
    </w:p>
    <w:p w14:paraId="48EA7332"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ГАСО</w:t>
      </w:r>
      <w:r w:rsidRPr="00D03F3E">
        <w:rPr>
          <w:rFonts w:ascii="Times New Roman" w:hAnsi="Times New Roman"/>
          <w:color w:val="0070C0"/>
          <w:sz w:val="16"/>
          <w:szCs w:val="16"/>
          <w:lang w:val="en-US"/>
        </w:rPr>
        <w:t xml:space="preserve">. </w:t>
      </w:r>
      <w:r w:rsidRPr="00D03F3E">
        <w:rPr>
          <w:rFonts w:ascii="Times New Roman" w:hAnsi="Times New Roman"/>
          <w:color w:val="0070C0"/>
          <w:sz w:val="16"/>
          <w:szCs w:val="16"/>
        </w:rPr>
        <w:t>Ф</w:t>
      </w:r>
      <w:r w:rsidRPr="00D03F3E">
        <w:rPr>
          <w:rFonts w:ascii="Times New Roman" w:hAnsi="Times New Roman"/>
          <w:color w:val="0070C0"/>
          <w:sz w:val="16"/>
          <w:szCs w:val="16"/>
          <w:lang w:val="en-US"/>
        </w:rPr>
        <w:t xml:space="preserve">. P-3454. On. 1. </w:t>
      </w:r>
      <w:r w:rsidRPr="00D03F3E">
        <w:rPr>
          <w:rFonts w:ascii="Times New Roman" w:hAnsi="Times New Roman"/>
          <w:color w:val="0070C0"/>
          <w:sz w:val="16"/>
          <w:szCs w:val="16"/>
        </w:rPr>
        <w:t>Д</w:t>
      </w:r>
      <w:r w:rsidRPr="00D03F3E">
        <w:rPr>
          <w:rFonts w:ascii="Times New Roman" w:hAnsi="Times New Roman"/>
          <w:color w:val="0070C0"/>
          <w:sz w:val="16"/>
          <w:szCs w:val="16"/>
          <w:lang w:val="en-US"/>
        </w:rPr>
        <w:t xml:space="preserve">. 24. </w:t>
      </w:r>
      <w:r w:rsidRPr="00D03F3E">
        <w:rPr>
          <w:rFonts w:ascii="Times New Roman" w:hAnsi="Times New Roman"/>
          <w:color w:val="0070C0"/>
          <w:sz w:val="16"/>
          <w:szCs w:val="16"/>
        </w:rPr>
        <w:t>Л</w:t>
      </w:r>
      <w:r w:rsidRPr="00D03F3E">
        <w:rPr>
          <w:rFonts w:ascii="Times New Roman" w:hAnsi="Times New Roman"/>
          <w:color w:val="0070C0"/>
          <w:sz w:val="16"/>
          <w:szCs w:val="16"/>
          <w:lang w:val="en-US"/>
        </w:rPr>
        <w:t xml:space="preserve">. 4. </w:t>
      </w:r>
      <w:r w:rsidRPr="00D03F3E">
        <w:rPr>
          <w:rFonts w:ascii="Times New Roman" w:hAnsi="Times New Roman"/>
          <w:color w:val="0070C0"/>
          <w:sz w:val="16"/>
          <w:szCs w:val="16"/>
        </w:rPr>
        <w:t>Завер. Копия (20572).</w:t>
      </w:r>
    </w:p>
    <w:p w14:paraId="65522BBD" w14:textId="77777777" w:rsidR="00AD6D08" w:rsidRPr="00D03F3E" w:rsidRDefault="00AD6D08" w:rsidP="00D03F3E">
      <w:pPr>
        <w:spacing w:after="0" w:line="240" w:lineRule="auto"/>
        <w:jc w:val="both"/>
        <w:rPr>
          <w:rFonts w:ascii="Times New Roman" w:hAnsi="Times New Roman"/>
          <w:color w:val="0070C0"/>
          <w:sz w:val="16"/>
          <w:szCs w:val="16"/>
        </w:rPr>
      </w:pPr>
    </w:p>
    <w:p w14:paraId="025A563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января 1943 г. закончились заводские испытания самолета “Пегас”, которые проходили со 2 января 1943. Ведущим летчиком был В.И.Жданов.</w:t>
      </w:r>
    </w:p>
    <w:p w14:paraId="5EA9EAB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полетном весе 1980 кг максимальная скорость у земли была достигнута 190 км/ч. Время набора высоты 1000 м - 6,3 мин. Потолок 2600 м. Длина разбега - 200 м, пробега - 300 м. (9649).</w:t>
      </w:r>
    </w:p>
    <w:p w14:paraId="379F83C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8EFA00"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14 января 1943 доводка самолёта «Пегас» № 01 в целом завершилась. В этот день был выполнен контрольный полёт на проверку всех систем. После этого самолёт отправили на технический осмотр и разборку для последующей отправки в НИИ ВВС.</w:t>
      </w:r>
    </w:p>
    <w:p w14:paraId="7119BF3E"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нормальном полётном весе 1980 кг максимальная скорость у земли составила 190 км/ч. Время набора высоты 1000 м - 6,3 мин. Минимальная скорость полета - 110 км/ч. Посадочная скорость - 97 км/ч. Длина разбега - 200 м, пробег - 300 м.</w:t>
      </w:r>
    </w:p>
    <w:p w14:paraId="03CAA770"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испытаний была достигнута высота 2400 м, но до практического потолка не за</w:t>
      </w:r>
      <w:r w:rsidRPr="00D03F3E">
        <w:rPr>
          <w:rFonts w:ascii="Times New Roman" w:hAnsi="Times New Roman"/>
          <w:color w:val="000000" w:themeColor="text1"/>
          <w:sz w:val="16"/>
          <w:szCs w:val="16"/>
        </w:rPr>
        <w:softHyphen/>
        <w:t>бирались. При подготовке отчёта по результатам испытаний потолок оценили теоретически в 2600 м. Полёты на определение максимальной дальности, стрельба в воздухе из пуле</w:t>
      </w:r>
      <w:r w:rsidRPr="00D03F3E">
        <w:rPr>
          <w:rFonts w:ascii="Times New Roman" w:hAnsi="Times New Roman"/>
          <w:color w:val="000000" w:themeColor="text1"/>
          <w:sz w:val="16"/>
          <w:szCs w:val="16"/>
        </w:rPr>
        <w:softHyphen/>
        <w:t>мёта и сброс бомб не производились: торопились передать самолёт на государственные испытания.</w:t>
      </w:r>
    </w:p>
    <w:p w14:paraId="1086152F"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«Пегас» продемонстрировал неплохую управляемость и устойчивость по всем трём осям. Взлёт простой. При взлёте самолёт легко поднимал хвост. Хорошо слушался рулей при выполнении маневров. Парашютировал на скорости 130-135 км/ч. Вираж с креном 30° выполнялся устойчиво на скорости 150 км/ч. Отмечался неплохой обзор лётчику вперёд-вниз. Обзор задней полусферы «при отодвинутых наполовину назад боковых бронещйт- ках» - неудовлетворительный. При отказе одного из моторов можно было лететь только со снижением около 1,5 м/с. В качестве эксперимента был выполнен один полёт с полетным весом 2120 кг. Полёт показал «возможность значительного увеличения бомбовой нагруз</w:t>
      </w:r>
      <w:r w:rsidRPr="00D03F3E">
        <w:rPr>
          <w:rFonts w:ascii="Times New Roman" w:hAnsi="Times New Roman"/>
          <w:color w:val="000000" w:themeColor="text1"/>
          <w:sz w:val="16"/>
          <w:szCs w:val="16"/>
        </w:rPr>
        <w:softHyphen/>
        <w:t>ки - ориентировочно до 400-500 кг». Во всех полётах центровка самолёта находилась в пределах 26,5-29% САХ.</w:t>
      </w:r>
    </w:p>
    <w:p w14:paraId="02E766F9"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Неподвижная пулемётная установка была отстреляна на земле. Стрельба велась очере</w:t>
      </w:r>
      <w:r w:rsidRPr="00D03F3E">
        <w:rPr>
          <w:rFonts w:ascii="Times New Roman" w:hAnsi="Times New Roman"/>
          <w:color w:val="000000" w:themeColor="text1"/>
          <w:sz w:val="16"/>
          <w:szCs w:val="16"/>
        </w:rPr>
        <w:softHyphen/>
        <w:t>дями по 10-20 выстрелов. Оказалось, что после 80-86 выстрелов начинаются задержки в стрельбе из-за накопления звеньев в звеньезборнике. Пришлось переделать вывод звеньев наружу. Задержки в стрельбе прекратились. Усилия при перезарядке пулемёта сочли чрез</w:t>
      </w:r>
      <w:r w:rsidRPr="00D03F3E">
        <w:rPr>
          <w:rFonts w:ascii="Times New Roman" w:hAnsi="Times New Roman"/>
          <w:color w:val="000000" w:themeColor="text1"/>
          <w:sz w:val="16"/>
          <w:szCs w:val="16"/>
        </w:rPr>
        <w:softHyphen/>
        <w:t>мерно большими. Требовалось доработать систему перезарядки.</w:t>
      </w:r>
    </w:p>
    <w:p w14:paraId="02660918"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целом же самолёт по лётным данным и пилотажным качествам оценивался положи</w:t>
      </w:r>
      <w:r w:rsidRPr="00D03F3E">
        <w:rPr>
          <w:rFonts w:ascii="Times New Roman" w:hAnsi="Times New Roman"/>
          <w:color w:val="000000" w:themeColor="text1"/>
          <w:sz w:val="16"/>
          <w:szCs w:val="16"/>
        </w:rPr>
        <w:softHyphen/>
        <w:t>тельно. Для повышения энерговооруженности предлагалось установить на самолёт более мощные моторы М-12 (15846).</w:t>
      </w:r>
    </w:p>
    <w:p w14:paraId="1F779EC3"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59384253"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14 января 1943 завершились заводские летные испытания и доводка самолета «Пегас» № 01 в це</w:t>
      </w:r>
      <w:r w:rsidRPr="00D03F3E">
        <w:rPr>
          <w:rFonts w:ascii="Times New Roman" w:hAnsi="Times New Roman"/>
          <w:color w:val="0070C0"/>
          <w:sz w:val="16"/>
          <w:szCs w:val="16"/>
        </w:rPr>
        <w:softHyphen/>
        <w:t>лом, которые шли со 2 января.. В этот день был выпол</w:t>
      </w:r>
      <w:r w:rsidRPr="00D03F3E">
        <w:rPr>
          <w:rFonts w:ascii="Times New Roman" w:hAnsi="Times New Roman"/>
          <w:color w:val="0070C0"/>
          <w:sz w:val="16"/>
          <w:szCs w:val="16"/>
        </w:rPr>
        <w:softHyphen/>
        <w:t>нен контрольный полет на проверку всех систем. После этого самолет отправили на технический осмотр и разборку для по</w:t>
      </w:r>
      <w:r w:rsidRPr="00D03F3E">
        <w:rPr>
          <w:rFonts w:ascii="Times New Roman" w:hAnsi="Times New Roman"/>
          <w:color w:val="0070C0"/>
          <w:sz w:val="16"/>
          <w:szCs w:val="16"/>
        </w:rPr>
        <w:softHyphen/>
        <w:t>следующей отправки в НИИ ВВС.</w:t>
      </w:r>
    </w:p>
    <w:p w14:paraId="5E5557D9"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 нормальном полетном весе 1980 кг максимальная скорость у земли составила 190 км/ч. Время набора высо</w:t>
      </w:r>
      <w:r w:rsidRPr="00D03F3E">
        <w:rPr>
          <w:rFonts w:ascii="Times New Roman" w:hAnsi="Times New Roman"/>
          <w:color w:val="0070C0"/>
          <w:sz w:val="16"/>
          <w:szCs w:val="16"/>
        </w:rPr>
        <w:softHyphen/>
        <w:t>ты 1000 м - 6,3 мин. Минимальная ско</w:t>
      </w:r>
      <w:r w:rsidRPr="00D03F3E">
        <w:rPr>
          <w:rFonts w:ascii="Times New Roman" w:hAnsi="Times New Roman"/>
          <w:color w:val="0070C0"/>
          <w:sz w:val="16"/>
          <w:szCs w:val="16"/>
        </w:rPr>
        <w:softHyphen/>
        <w:t>рость полета - 110 км/ч. Посадочная ско</w:t>
      </w:r>
      <w:r w:rsidRPr="00D03F3E">
        <w:rPr>
          <w:rFonts w:ascii="Times New Roman" w:hAnsi="Times New Roman"/>
          <w:color w:val="0070C0"/>
          <w:sz w:val="16"/>
          <w:szCs w:val="16"/>
        </w:rPr>
        <w:softHyphen/>
        <w:t>рость - 97 км/ч. Длина разбега - 200 м, пробег - 300 м.</w:t>
      </w:r>
    </w:p>
    <w:p w14:paraId="0B17F6AD"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ходе испытаний была достигнута высота 2400 м, но до практического по</w:t>
      </w:r>
      <w:r w:rsidRPr="00D03F3E">
        <w:rPr>
          <w:rFonts w:ascii="Times New Roman" w:hAnsi="Times New Roman"/>
          <w:color w:val="0070C0"/>
          <w:sz w:val="16"/>
          <w:szCs w:val="16"/>
        </w:rPr>
        <w:softHyphen/>
        <w:t>толка не забирались. При подготовке от</w:t>
      </w:r>
      <w:r w:rsidRPr="00D03F3E">
        <w:rPr>
          <w:rFonts w:ascii="Times New Roman" w:hAnsi="Times New Roman"/>
          <w:color w:val="0070C0"/>
          <w:sz w:val="16"/>
          <w:szCs w:val="16"/>
        </w:rPr>
        <w:softHyphen/>
        <w:t>чета по результатам испытаний потолок оценили теоретически в 2600 м. Полеты на определение максимальной дальности, стрельбу в воздухе из пулемета и сброс бомб не производились. Торопились пе</w:t>
      </w:r>
      <w:r w:rsidRPr="00D03F3E">
        <w:rPr>
          <w:rFonts w:ascii="Times New Roman" w:hAnsi="Times New Roman"/>
          <w:color w:val="0070C0"/>
          <w:sz w:val="16"/>
          <w:szCs w:val="16"/>
        </w:rPr>
        <w:softHyphen/>
        <w:t>редать самолет на государственные ис</w:t>
      </w:r>
      <w:r w:rsidRPr="00D03F3E">
        <w:rPr>
          <w:rFonts w:ascii="Times New Roman" w:hAnsi="Times New Roman"/>
          <w:color w:val="0070C0"/>
          <w:sz w:val="16"/>
          <w:szCs w:val="16"/>
        </w:rPr>
        <w:softHyphen/>
        <w:t>пытания.</w:t>
      </w:r>
    </w:p>
    <w:p w14:paraId="315F1255"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Самолет продемонстрировал непло</w:t>
      </w:r>
      <w:r w:rsidRPr="00D03F3E">
        <w:rPr>
          <w:rFonts w:ascii="Times New Roman" w:hAnsi="Times New Roman"/>
          <w:color w:val="0070C0"/>
          <w:sz w:val="16"/>
          <w:szCs w:val="16"/>
        </w:rPr>
        <w:softHyphen/>
        <w:t>хую управляемость и устойчивость по</w:t>
      </w:r>
      <w:r w:rsidRPr="00D03F3E">
        <w:rPr>
          <w:rFonts w:ascii="Times New Roman" w:hAnsi="Times New Roman"/>
          <w:color w:val="0070C0"/>
          <w:sz w:val="16"/>
          <w:szCs w:val="16"/>
        </w:rPr>
        <w:softHyphen/>
        <w:t>лета по всем трем осям. Взлет простой. При взлете самолет легко поднимал хвост. Хорошо слушался рулей при выполне</w:t>
      </w:r>
      <w:r w:rsidRPr="00D03F3E">
        <w:rPr>
          <w:rFonts w:ascii="Times New Roman" w:hAnsi="Times New Roman"/>
          <w:color w:val="0070C0"/>
          <w:sz w:val="16"/>
          <w:szCs w:val="16"/>
        </w:rPr>
        <w:softHyphen/>
        <w:t>нии маневров. Парашютировал самолет на скорости 130-135 км/ч. Вираж с кре</w:t>
      </w:r>
      <w:r w:rsidRPr="00D03F3E">
        <w:rPr>
          <w:rFonts w:ascii="Times New Roman" w:hAnsi="Times New Roman"/>
          <w:color w:val="0070C0"/>
          <w:sz w:val="16"/>
          <w:szCs w:val="16"/>
        </w:rPr>
        <w:softHyphen/>
        <w:t>ном 30° выполнялся устойчиво на скоро</w:t>
      </w:r>
      <w:r w:rsidRPr="00D03F3E">
        <w:rPr>
          <w:rFonts w:ascii="Times New Roman" w:hAnsi="Times New Roman"/>
          <w:color w:val="0070C0"/>
          <w:sz w:val="16"/>
          <w:szCs w:val="16"/>
        </w:rPr>
        <w:softHyphen/>
        <w:t>сти 150 км/ч.</w:t>
      </w:r>
    </w:p>
    <w:p w14:paraId="274F054C"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Отмечался неплохой обзор летчи</w:t>
      </w:r>
      <w:r w:rsidRPr="00D03F3E">
        <w:rPr>
          <w:rFonts w:ascii="Times New Roman" w:hAnsi="Times New Roman"/>
          <w:color w:val="0070C0"/>
          <w:sz w:val="16"/>
          <w:szCs w:val="16"/>
        </w:rPr>
        <w:softHyphen/>
        <w:t>ку вперед-вниз. Обзор задней полусфе</w:t>
      </w:r>
      <w:r w:rsidRPr="00D03F3E">
        <w:rPr>
          <w:rFonts w:ascii="Times New Roman" w:hAnsi="Times New Roman"/>
          <w:color w:val="0070C0"/>
          <w:sz w:val="16"/>
          <w:szCs w:val="16"/>
        </w:rPr>
        <w:softHyphen/>
        <w:t>ры «при отодвинутых наполовину назад боковых бронещитков» - неудовлетвори</w:t>
      </w:r>
      <w:r w:rsidRPr="00D03F3E">
        <w:rPr>
          <w:rFonts w:ascii="Times New Roman" w:hAnsi="Times New Roman"/>
          <w:color w:val="0070C0"/>
          <w:sz w:val="16"/>
          <w:szCs w:val="16"/>
        </w:rPr>
        <w:softHyphen/>
        <w:t>тельный.</w:t>
      </w:r>
    </w:p>
    <w:p w14:paraId="1D8AF3DA"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горизонтальном полете при отказе одного из моторов самолет допускал по</w:t>
      </w:r>
      <w:r w:rsidRPr="00D03F3E">
        <w:rPr>
          <w:rFonts w:ascii="Times New Roman" w:hAnsi="Times New Roman"/>
          <w:color w:val="0070C0"/>
          <w:sz w:val="16"/>
          <w:szCs w:val="16"/>
        </w:rPr>
        <w:softHyphen/>
        <w:t>лет только со снижением (около 1,5 м/с).</w:t>
      </w:r>
    </w:p>
    <w:p w14:paraId="76B9B15B"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качестве эксперимента был выпол</w:t>
      </w:r>
      <w:r w:rsidRPr="00D03F3E">
        <w:rPr>
          <w:rFonts w:ascii="Times New Roman" w:hAnsi="Times New Roman"/>
          <w:color w:val="0070C0"/>
          <w:sz w:val="16"/>
          <w:szCs w:val="16"/>
        </w:rPr>
        <w:softHyphen/>
        <w:t>нен один полет с полетным весом 2120 кг. Полет показал «возможность значитель ного увеличения бомбовой нагрузки - ориентировочно до 400-500 кг». Во всех полетах центровка самолета находилась в пределах 26,5-29% САХ.</w:t>
      </w:r>
    </w:p>
    <w:p w14:paraId="4CD5F4FB"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Неподвижная пулеметная установка была отстреляна на земле. Стрельба ве</w:t>
      </w:r>
      <w:r w:rsidRPr="00D03F3E">
        <w:rPr>
          <w:rFonts w:ascii="Times New Roman" w:hAnsi="Times New Roman"/>
          <w:color w:val="0070C0"/>
          <w:sz w:val="16"/>
          <w:szCs w:val="16"/>
        </w:rPr>
        <w:softHyphen/>
        <w:t>лась очередями по 10-20 выстрелов. Ока</w:t>
      </w:r>
      <w:r w:rsidRPr="00D03F3E">
        <w:rPr>
          <w:rFonts w:ascii="Times New Roman" w:hAnsi="Times New Roman"/>
          <w:color w:val="0070C0"/>
          <w:sz w:val="16"/>
          <w:szCs w:val="16"/>
        </w:rPr>
        <w:softHyphen/>
        <w:t>залось, что после 80-86 выстрелов начи</w:t>
      </w:r>
      <w:r w:rsidRPr="00D03F3E">
        <w:rPr>
          <w:rFonts w:ascii="Times New Roman" w:hAnsi="Times New Roman"/>
          <w:color w:val="0070C0"/>
          <w:sz w:val="16"/>
          <w:szCs w:val="16"/>
        </w:rPr>
        <w:softHyphen/>
        <w:t>наются задержки в стрельбе по причине накапливания звеньев в звеньезборнике. Пришлось переделать вывод звеньев на</w:t>
      </w:r>
      <w:r w:rsidRPr="00D03F3E">
        <w:rPr>
          <w:rFonts w:ascii="Times New Roman" w:hAnsi="Times New Roman"/>
          <w:color w:val="0070C0"/>
          <w:sz w:val="16"/>
          <w:szCs w:val="16"/>
        </w:rPr>
        <w:softHyphen/>
        <w:t>ружу. Задержки в стрельбе прекратились. Усилия при перезарядке пулемета сочли чрезмерно большими. Требовалось дора</w:t>
      </w:r>
      <w:r w:rsidRPr="00D03F3E">
        <w:rPr>
          <w:rFonts w:ascii="Times New Roman" w:hAnsi="Times New Roman"/>
          <w:color w:val="0070C0"/>
          <w:sz w:val="16"/>
          <w:szCs w:val="16"/>
        </w:rPr>
        <w:softHyphen/>
        <w:t>ботать систему перезарядки.</w:t>
      </w:r>
    </w:p>
    <w:p w14:paraId="47242404"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целом же самолет по летным дан</w:t>
      </w:r>
      <w:r w:rsidRPr="00D03F3E">
        <w:rPr>
          <w:rFonts w:ascii="Times New Roman" w:hAnsi="Times New Roman"/>
          <w:color w:val="0070C0"/>
          <w:sz w:val="16"/>
          <w:szCs w:val="16"/>
        </w:rPr>
        <w:softHyphen/>
        <w:t>ным и пилотажным качествам оценивал</w:t>
      </w:r>
      <w:r w:rsidRPr="00D03F3E">
        <w:rPr>
          <w:rFonts w:ascii="Times New Roman" w:hAnsi="Times New Roman"/>
          <w:color w:val="0070C0"/>
          <w:sz w:val="16"/>
          <w:szCs w:val="16"/>
        </w:rPr>
        <w:softHyphen/>
        <w:t>ся положительно. Для повышения энерго</w:t>
      </w:r>
      <w:r w:rsidRPr="00D03F3E">
        <w:rPr>
          <w:rFonts w:ascii="Times New Roman" w:hAnsi="Times New Roman"/>
          <w:color w:val="0070C0"/>
          <w:sz w:val="16"/>
          <w:szCs w:val="16"/>
        </w:rPr>
        <w:softHyphen/>
        <w:t>вооруженности предлагалось установить на самолет более мощные моторы М-12.</w:t>
      </w:r>
    </w:p>
    <w:p w14:paraId="50867755"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Временно исполняющий должность старшего военпреда ГУ ИАС ВВС на заво</w:t>
      </w:r>
      <w:r w:rsidRPr="00D03F3E">
        <w:rPr>
          <w:rFonts w:ascii="Times New Roman" w:hAnsi="Times New Roman"/>
          <w:color w:val="0070C0"/>
          <w:sz w:val="16"/>
          <w:szCs w:val="16"/>
        </w:rPr>
        <w:softHyphen/>
        <w:t>де №288 военинженер 3-го ранга Рототаев в очередной сводке по опытным ра</w:t>
      </w:r>
      <w:r w:rsidRPr="00D03F3E">
        <w:rPr>
          <w:rFonts w:ascii="Times New Roman" w:hAnsi="Times New Roman"/>
          <w:color w:val="0070C0"/>
          <w:sz w:val="16"/>
          <w:szCs w:val="16"/>
        </w:rPr>
        <w:softHyphen/>
        <w:t>ботам начальнику 1-го отдела Управле</w:t>
      </w:r>
      <w:r w:rsidRPr="00D03F3E">
        <w:rPr>
          <w:rFonts w:ascii="Times New Roman" w:hAnsi="Times New Roman"/>
          <w:color w:val="0070C0"/>
          <w:sz w:val="16"/>
          <w:szCs w:val="16"/>
        </w:rPr>
        <w:softHyphen/>
        <w:t>ния опытного строительства ГУ ИАС ВВС бригинженеру Гребневу докладывал, что на 20 января: «3. Самолет «Р» (типа «Пе</w:t>
      </w:r>
      <w:r w:rsidRPr="00D03F3E">
        <w:rPr>
          <w:rFonts w:ascii="Times New Roman" w:hAnsi="Times New Roman"/>
          <w:color w:val="0070C0"/>
          <w:sz w:val="16"/>
          <w:szCs w:val="16"/>
        </w:rPr>
        <w:softHyphen/>
        <w:t>гас») - ЦКБ-29, главный конструктор Томашевич: а) Первый летный экземпляр прошел заводские летные испытания и направлен в НИИ ВВС в Чкаловскую для го</w:t>
      </w:r>
      <w:r w:rsidRPr="00D03F3E">
        <w:rPr>
          <w:rFonts w:ascii="Times New Roman" w:hAnsi="Times New Roman"/>
          <w:color w:val="0070C0"/>
          <w:sz w:val="16"/>
          <w:szCs w:val="16"/>
        </w:rPr>
        <w:softHyphen/>
        <w:t>сударственных испытаний./../6) Идет подготовка к постройке нулевой серии (5 штук)».</w:t>
      </w:r>
    </w:p>
    <w:p w14:paraId="519CD577"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Как следует из документов, самолет в разобранном виде 26 января посту</w:t>
      </w:r>
      <w:r w:rsidRPr="00D03F3E">
        <w:rPr>
          <w:rFonts w:ascii="Times New Roman" w:hAnsi="Times New Roman"/>
          <w:color w:val="0070C0"/>
          <w:sz w:val="16"/>
          <w:szCs w:val="16"/>
        </w:rPr>
        <w:softHyphen/>
        <w:t>пил на опытный завод НИИ ВВС, где не</w:t>
      </w:r>
      <w:r w:rsidRPr="00D03F3E">
        <w:rPr>
          <w:rFonts w:ascii="Times New Roman" w:hAnsi="Times New Roman"/>
          <w:color w:val="0070C0"/>
          <w:sz w:val="16"/>
          <w:szCs w:val="16"/>
        </w:rPr>
        <w:softHyphen/>
        <w:t>замедлительно приступили к его сбор</w:t>
      </w:r>
      <w:r w:rsidRPr="00D03F3E">
        <w:rPr>
          <w:rFonts w:ascii="Times New Roman" w:hAnsi="Times New Roman"/>
          <w:color w:val="0070C0"/>
          <w:sz w:val="16"/>
          <w:szCs w:val="16"/>
        </w:rPr>
        <w:softHyphen/>
        <w:t>ке, регулировке и приведению в летное состояние.</w:t>
      </w:r>
    </w:p>
    <w:p w14:paraId="08B60B0E"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Одновременно на заводе №288 нача</w:t>
      </w:r>
      <w:r w:rsidRPr="00D03F3E">
        <w:rPr>
          <w:rFonts w:ascii="Times New Roman" w:hAnsi="Times New Roman"/>
          <w:color w:val="0070C0"/>
          <w:sz w:val="16"/>
          <w:szCs w:val="16"/>
        </w:rPr>
        <w:softHyphen/>
        <w:t>лись стендовые испытания подвесной пу</w:t>
      </w:r>
      <w:r w:rsidRPr="00D03F3E">
        <w:rPr>
          <w:rFonts w:ascii="Times New Roman" w:hAnsi="Times New Roman"/>
          <w:color w:val="0070C0"/>
          <w:sz w:val="16"/>
          <w:szCs w:val="16"/>
        </w:rPr>
        <w:softHyphen/>
        <w:t xml:space="preserve"> шечной установки под две пушки ВЯ и ог</w:t>
      </w:r>
      <w:r w:rsidRPr="00D03F3E">
        <w:rPr>
          <w:rFonts w:ascii="Times New Roman" w:hAnsi="Times New Roman"/>
          <w:color w:val="0070C0"/>
          <w:sz w:val="16"/>
          <w:szCs w:val="16"/>
        </w:rPr>
        <w:softHyphen/>
        <w:t>невые испытания бронированной каби</w:t>
      </w:r>
      <w:r w:rsidRPr="00D03F3E">
        <w:rPr>
          <w:rFonts w:ascii="Times New Roman" w:hAnsi="Times New Roman"/>
          <w:color w:val="0070C0"/>
          <w:sz w:val="16"/>
          <w:szCs w:val="16"/>
        </w:rPr>
        <w:softHyphen/>
        <w:t>ны летчика (23181).</w:t>
      </w:r>
    </w:p>
    <w:p w14:paraId="4AD2BCE0" w14:textId="77777777" w:rsidR="00AD6D08" w:rsidRPr="00D03F3E" w:rsidRDefault="00AD6D08" w:rsidP="00D03F3E">
      <w:pPr>
        <w:shd w:val="clear" w:color="auto" w:fill="FFFFFF"/>
        <w:spacing w:after="0" w:line="240" w:lineRule="auto"/>
        <w:jc w:val="both"/>
        <w:rPr>
          <w:rFonts w:ascii="Times New Roman" w:hAnsi="Times New Roman"/>
          <w:color w:val="0070C0"/>
          <w:sz w:val="16"/>
          <w:szCs w:val="16"/>
        </w:rPr>
      </w:pPr>
    </w:p>
    <w:p w14:paraId="4B125C6D" w14:textId="77777777" w:rsidR="00800379" w:rsidRPr="00D03F3E" w:rsidRDefault="0080037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14 января 1943 г. самолет «Пе</w:t>
      </w:r>
      <w:r w:rsidRPr="00D03F3E">
        <w:rPr>
          <w:color w:val="000000" w:themeColor="text1"/>
          <w:sz w:val="16"/>
          <w:szCs w:val="16"/>
        </w:rPr>
        <w:softHyphen/>
        <w:t>гас» № 01 закончил заводские летные испытания, которые проходили со 2 января. Отчет по результатам испытаний директор завода № 288 и начальник ЦКБ-29 Г. Я. Кутепов утвердил 18 января.</w:t>
      </w:r>
    </w:p>
    <w:p w14:paraId="1A709FA3" w14:textId="77777777" w:rsidR="00800379" w:rsidRPr="00D03F3E" w:rsidRDefault="0080037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Ведущим инженером по самолету был назначен Н. П. Попков, ведущим летчиком — летчик-испыта</w:t>
      </w:r>
      <w:r w:rsidRPr="00D03F3E">
        <w:rPr>
          <w:color w:val="000000" w:themeColor="text1"/>
          <w:sz w:val="16"/>
          <w:szCs w:val="16"/>
        </w:rPr>
        <w:softHyphen/>
        <w:t>тель НИИ ВВС майор В. И. Жданов.</w:t>
      </w:r>
    </w:p>
    <w:p w14:paraId="6DA8E21D" w14:textId="77777777" w:rsidR="00800379" w:rsidRPr="00D03F3E" w:rsidRDefault="0080037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Поскольку к началу полетов подвесной вари</w:t>
      </w:r>
      <w:r w:rsidRPr="00D03F3E">
        <w:rPr>
          <w:color w:val="000000" w:themeColor="text1"/>
          <w:sz w:val="16"/>
          <w:szCs w:val="16"/>
        </w:rPr>
        <w:softHyphen/>
        <w:t>ант пушечного вооружения еще не был отработан, то самолет испытывался только в конфигурации с бомбовым вооружением (2 ФАБ-100). В общей сложности по программе заводских летных испы</w:t>
      </w:r>
      <w:r w:rsidRPr="00D03F3E">
        <w:rPr>
          <w:color w:val="000000" w:themeColor="text1"/>
          <w:sz w:val="16"/>
          <w:szCs w:val="16"/>
        </w:rPr>
        <w:softHyphen/>
        <w:t>таний было выполнено 10 полетов с суммарным налетом 6 ч 30 мин.</w:t>
      </w:r>
    </w:p>
    <w:p w14:paraId="02F771B1" w14:textId="77777777" w:rsidR="00800379" w:rsidRPr="00D03F3E" w:rsidRDefault="0080037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нормальном полетном весе 1980 кг мак</w:t>
      </w:r>
      <w:r w:rsidRPr="00D03F3E">
        <w:rPr>
          <w:color w:val="000000" w:themeColor="text1"/>
          <w:sz w:val="16"/>
          <w:szCs w:val="16"/>
        </w:rPr>
        <w:softHyphen/>
        <w:t>симальная скорость у земли составила 190 км/ч. Время набора высоты 1000 м — 6,3 мин. Мини</w:t>
      </w:r>
      <w:r w:rsidRPr="00D03F3E">
        <w:rPr>
          <w:color w:val="000000" w:themeColor="text1"/>
          <w:sz w:val="16"/>
          <w:szCs w:val="16"/>
        </w:rPr>
        <w:softHyphen/>
        <w:t>мальная скорость полета — 110 км/ч. Посадочная скорость — 97 км/ч. Длина разбега — 200 м, про</w:t>
      </w:r>
      <w:r w:rsidRPr="00D03F3E">
        <w:rPr>
          <w:color w:val="000000" w:themeColor="text1"/>
          <w:sz w:val="16"/>
          <w:szCs w:val="16"/>
        </w:rPr>
        <w:softHyphen/>
        <w:t>бег — 300 м.</w:t>
      </w:r>
    </w:p>
    <w:p w14:paraId="69D15037" w14:textId="77777777" w:rsidR="00800379" w:rsidRPr="00D03F3E" w:rsidRDefault="0080037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горизонтальном полете при отказе одного из моторов самолет допускал полет только со сниже</w:t>
      </w:r>
      <w:r w:rsidRPr="00D03F3E">
        <w:rPr>
          <w:color w:val="000000" w:themeColor="text1"/>
          <w:sz w:val="16"/>
          <w:szCs w:val="16"/>
        </w:rPr>
        <w:softHyphen/>
        <w:t>нием (около 1,5 м/с).</w:t>
      </w:r>
    </w:p>
    <w:p w14:paraId="1DFF41AD" w14:textId="77777777" w:rsidR="00800379" w:rsidRPr="00D03F3E" w:rsidRDefault="0080037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качестве эксперимента был выполнен 1 полет с полетным весом 2120 кг. Полет показал «возмож</w:t>
      </w:r>
      <w:r w:rsidRPr="00D03F3E">
        <w:rPr>
          <w:color w:val="000000" w:themeColor="text1"/>
          <w:sz w:val="16"/>
          <w:szCs w:val="16"/>
        </w:rPr>
        <w:softHyphen/>
        <w:t>ность значительного увеличения бомбовой нагруз</w:t>
      </w:r>
      <w:r w:rsidRPr="00D03F3E">
        <w:rPr>
          <w:color w:val="000000" w:themeColor="text1"/>
          <w:sz w:val="16"/>
          <w:szCs w:val="16"/>
        </w:rPr>
        <w:softHyphen/>
        <w:t>ки — ориентировочно до 400—500 кг». Во всех по</w:t>
      </w:r>
      <w:r w:rsidRPr="00D03F3E">
        <w:rPr>
          <w:color w:val="000000" w:themeColor="text1"/>
          <w:sz w:val="16"/>
          <w:szCs w:val="16"/>
        </w:rPr>
        <w:softHyphen/>
        <w:t>летах центровка самолета находилась в пределах 26,5—29% САХ.</w:t>
      </w:r>
    </w:p>
    <w:p w14:paraId="64873F58" w14:textId="77777777" w:rsidR="00800379" w:rsidRPr="00D03F3E" w:rsidRDefault="0080037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Неподвижная пулеметная установка была от</w:t>
      </w:r>
      <w:r w:rsidRPr="00D03F3E">
        <w:rPr>
          <w:color w:val="000000" w:themeColor="text1"/>
          <w:sz w:val="16"/>
          <w:szCs w:val="16"/>
        </w:rPr>
        <w:softHyphen/>
        <w:t>стреляна на земле. Стрельба велась очередями по 10—20 выстрелов. Оказалось, что после 80—86 выстрелов начинаются задержки в стрельбе по причине накапливания звеньев в звеньесборни- ке. Пришлось переделать вывод звеньев наружу. Задержки в стрельбе прекратились. Усилия при перезарядке пулемета сочли чрезмерно боль</w:t>
      </w:r>
      <w:r w:rsidRPr="00D03F3E">
        <w:rPr>
          <w:color w:val="000000" w:themeColor="text1"/>
          <w:sz w:val="16"/>
          <w:szCs w:val="16"/>
        </w:rPr>
        <w:softHyphen/>
        <w:t>шими. Требовалось доработать систему переза</w:t>
      </w:r>
      <w:r w:rsidRPr="00D03F3E">
        <w:rPr>
          <w:color w:val="000000" w:themeColor="text1"/>
          <w:sz w:val="16"/>
          <w:szCs w:val="16"/>
        </w:rPr>
        <w:softHyphen/>
        <w:t>рядки.</w:t>
      </w:r>
    </w:p>
    <w:p w14:paraId="33960755" w14:textId="77777777" w:rsidR="00800379" w:rsidRPr="00D03F3E" w:rsidRDefault="0080037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испытаний была достигнута высота 2400 м, но до практического потолка не забира</w:t>
      </w:r>
      <w:r w:rsidRPr="00D03F3E">
        <w:rPr>
          <w:color w:val="000000" w:themeColor="text1"/>
          <w:sz w:val="16"/>
          <w:szCs w:val="16"/>
        </w:rPr>
        <w:softHyphen/>
        <w:t>лись. При подготовке отчета по результатам ис</w:t>
      </w:r>
      <w:r w:rsidRPr="00D03F3E">
        <w:rPr>
          <w:color w:val="000000" w:themeColor="text1"/>
          <w:sz w:val="16"/>
          <w:szCs w:val="16"/>
        </w:rPr>
        <w:softHyphen/>
        <w:t>пытаний потолок оценили теоретически в 2600 м. Полеты на определение максимальной дальности, стрельбу в воздухе из пулемета и сброс бомб не производились. Торопились передать самолет на государственные испытания.</w:t>
      </w:r>
    </w:p>
    <w:p w14:paraId="1DA42518" w14:textId="77777777" w:rsidR="00800379" w:rsidRPr="00D03F3E" w:rsidRDefault="0080037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Самолет продемонстрировал неплохую управ</w:t>
      </w:r>
      <w:r w:rsidRPr="00D03F3E">
        <w:rPr>
          <w:color w:val="000000" w:themeColor="text1"/>
          <w:sz w:val="16"/>
          <w:szCs w:val="16"/>
        </w:rPr>
        <w:softHyphen/>
        <w:t>ляемость и устойчивость полета по всем трем осям. Взлет простой. При взлете самолет легко поднимал хвост. Хорошо слушался рулей при выполнении маневров. Парашютировал самолет на скорости 130—135 км/ч. Вираж с креном 30° выполнялся устойчиво на скорости 150 км/ч.</w:t>
      </w:r>
    </w:p>
    <w:p w14:paraId="3D2FBBB2" w14:textId="77777777" w:rsidR="00800379" w:rsidRPr="00D03F3E" w:rsidRDefault="0080037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Отмечался неплохой обзор летчику вперед-вниз. Обзор задней полусферы «при отодвинутых напо</w:t>
      </w:r>
      <w:r w:rsidRPr="00D03F3E">
        <w:rPr>
          <w:color w:val="000000" w:themeColor="text1"/>
          <w:sz w:val="16"/>
          <w:szCs w:val="16"/>
        </w:rPr>
        <w:softHyphen/>
        <w:t>ловину назад боковых бронещитков» — неудовлет</w:t>
      </w:r>
      <w:r w:rsidRPr="00D03F3E">
        <w:rPr>
          <w:color w:val="000000" w:themeColor="text1"/>
          <w:sz w:val="16"/>
          <w:szCs w:val="16"/>
        </w:rPr>
        <w:softHyphen/>
        <w:t>ворительный.</w:t>
      </w:r>
    </w:p>
    <w:p w14:paraId="6B407B6C" w14:textId="77777777" w:rsidR="00800379" w:rsidRPr="00D03F3E" w:rsidRDefault="0080037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целом же самолет по летным данным и пи</w:t>
      </w:r>
      <w:r w:rsidRPr="00D03F3E">
        <w:rPr>
          <w:color w:val="000000" w:themeColor="text1"/>
          <w:sz w:val="16"/>
          <w:szCs w:val="16"/>
        </w:rPr>
        <w:softHyphen/>
        <w:t>лотажным качествам оценивался положительно. Для повышения энерговооруженности предлага</w:t>
      </w:r>
      <w:r w:rsidRPr="00D03F3E">
        <w:rPr>
          <w:color w:val="000000" w:themeColor="text1"/>
          <w:sz w:val="16"/>
          <w:szCs w:val="16"/>
        </w:rPr>
        <w:softHyphen/>
        <w:t>лось установить на самолет более мощные мото</w:t>
      </w:r>
      <w:r w:rsidRPr="00D03F3E">
        <w:rPr>
          <w:color w:val="000000" w:themeColor="text1"/>
          <w:sz w:val="16"/>
          <w:szCs w:val="16"/>
        </w:rPr>
        <w:softHyphen/>
        <w:t>ры М-12 (17500).</w:t>
      </w:r>
    </w:p>
    <w:p w14:paraId="23CBBD52" w14:textId="77777777" w:rsidR="00800379" w:rsidRPr="00D03F3E" w:rsidRDefault="00800379" w:rsidP="00D03F3E">
      <w:pPr>
        <w:spacing w:after="0" w:line="240" w:lineRule="auto"/>
        <w:jc w:val="both"/>
        <w:rPr>
          <w:rFonts w:ascii="Times New Roman" w:eastAsia="Times New Roman" w:hAnsi="Times New Roman"/>
          <w:color w:val="000000" w:themeColor="text1"/>
          <w:sz w:val="16"/>
          <w:szCs w:val="16"/>
          <w:lang w:eastAsia="ru-RU"/>
        </w:rPr>
      </w:pPr>
    </w:p>
    <w:p w14:paraId="27EB48F6"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14 января 1943 года Ильюшин докладывал Шахурину:</w:t>
      </w:r>
    </w:p>
    <w:p w14:paraId="085AC98E"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«Согласно Вашему приказу от 12 ноября 1942 года должны были изготовить три &lt;..&gt; Ил-4 с турбоком</w:t>
      </w:r>
      <w:r w:rsidRPr="00D03F3E">
        <w:rPr>
          <w:rFonts w:ascii="Times New Roman" w:hAnsi="Times New Roman"/>
          <w:color w:val="0070C0"/>
          <w:sz w:val="16"/>
          <w:szCs w:val="16"/>
        </w:rPr>
        <w:softHyphen/>
        <w:t>прессорами. Одна машина Ил-4 с ТК, но без гермока</w:t>
      </w:r>
      <w:r w:rsidRPr="00D03F3E">
        <w:rPr>
          <w:rFonts w:ascii="Times New Roman" w:hAnsi="Times New Roman"/>
          <w:color w:val="0070C0"/>
          <w:sz w:val="16"/>
          <w:szCs w:val="16"/>
        </w:rPr>
        <w:softHyphen/>
        <w:t>бины, уже выпущена и находится на заводских летных испытаниях &lt;...&gt; сделаны три полета.</w:t>
      </w:r>
    </w:p>
    <w:p w14:paraId="1DF30B4E"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Второй самолет будет выпущен с гермокабиной и с учетом работы винтомоторной группы с турбоком</w:t>
      </w:r>
      <w:r w:rsidRPr="00D03F3E">
        <w:rPr>
          <w:rFonts w:ascii="Times New Roman" w:hAnsi="Times New Roman"/>
          <w:color w:val="0070C0"/>
          <w:sz w:val="16"/>
          <w:szCs w:val="16"/>
        </w:rPr>
        <w:softHyphen/>
        <w:t>прессором первого самолета.</w:t>
      </w:r>
    </w:p>
    <w:p w14:paraId="10056417"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Для второго самолета будут сделаны две взаимо</w:t>
      </w:r>
      <w:r w:rsidRPr="00D03F3E">
        <w:rPr>
          <w:rFonts w:ascii="Times New Roman" w:hAnsi="Times New Roman"/>
          <w:color w:val="0070C0"/>
          <w:sz w:val="16"/>
          <w:szCs w:val="16"/>
        </w:rPr>
        <w:softHyphen/>
        <w:t>заменяемые гермокабины. Для снятия одной каби</w:t>
      </w:r>
      <w:r w:rsidRPr="00D03F3E">
        <w:rPr>
          <w:rFonts w:ascii="Times New Roman" w:hAnsi="Times New Roman"/>
          <w:color w:val="0070C0"/>
          <w:sz w:val="16"/>
          <w:szCs w:val="16"/>
        </w:rPr>
        <w:softHyphen/>
        <w:t>ны с самолета и установки другой &lt;...&gt; потребуется не более двух часов.</w:t>
      </w:r>
    </w:p>
    <w:p w14:paraId="39DD7509"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Таким образом, будет иметься &lt;...&gt; полная воз</w:t>
      </w:r>
      <w:r w:rsidRPr="00D03F3E">
        <w:rPr>
          <w:rFonts w:ascii="Times New Roman" w:hAnsi="Times New Roman"/>
          <w:color w:val="0070C0"/>
          <w:sz w:val="16"/>
          <w:szCs w:val="16"/>
        </w:rPr>
        <w:softHyphen/>
        <w:t>можность вести испытания и отработку на двух само</w:t>
      </w:r>
      <w:r w:rsidRPr="00D03F3E">
        <w:rPr>
          <w:rFonts w:ascii="Times New Roman" w:hAnsi="Times New Roman"/>
          <w:color w:val="0070C0"/>
          <w:sz w:val="16"/>
          <w:szCs w:val="16"/>
        </w:rPr>
        <w:softHyphen/>
        <w:t>летах винтомоторной группы с турбокомпрессорами и на одном самолете &lt;...&gt; двух вариантов гермока</w:t>
      </w:r>
      <w:r w:rsidRPr="00D03F3E">
        <w:rPr>
          <w:rFonts w:ascii="Times New Roman" w:hAnsi="Times New Roman"/>
          <w:color w:val="0070C0"/>
          <w:sz w:val="16"/>
          <w:szCs w:val="16"/>
        </w:rPr>
        <w:softHyphen/>
        <w:t>бины.</w:t>
      </w:r>
    </w:p>
    <w:p w14:paraId="7FDFBA53"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Кроме того, на этом же самолете мною предус</w:t>
      </w:r>
      <w:r w:rsidRPr="00D03F3E">
        <w:rPr>
          <w:rFonts w:ascii="Times New Roman" w:hAnsi="Times New Roman"/>
          <w:color w:val="0070C0"/>
          <w:sz w:val="16"/>
          <w:szCs w:val="16"/>
        </w:rPr>
        <w:softHyphen/>
        <w:t>матривается возможность установки &lt;...&gt; ТКМ (модифицированного турбокомпрессора. — Прим, авт.) более мощного, чем ТК-3... Срок выпуска второго са</w:t>
      </w:r>
      <w:r w:rsidRPr="00D03F3E">
        <w:rPr>
          <w:rFonts w:ascii="Times New Roman" w:hAnsi="Times New Roman"/>
          <w:color w:val="0070C0"/>
          <w:sz w:val="16"/>
          <w:szCs w:val="16"/>
        </w:rPr>
        <w:softHyphen/>
        <w:t>молета установить 15 марта 1943 г.</w:t>
      </w:r>
    </w:p>
    <w:p w14:paraId="44FBFD1C"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Считаю необходимым доложить, что было бы же</w:t>
      </w:r>
      <w:r w:rsidRPr="00D03F3E">
        <w:rPr>
          <w:rFonts w:ascii="Times New Roman" w:hAnsi="Times New Roman"/>
          <w:color w:val="0070C0"/>
          <w:sz w:val="16"/>
          <w:szCs w:val="16"/>
        </w:rPr>
        <w:softHyphen/>
        <w:t>лательно выпустить не три самолета, а только два, что в значительной степени облегчило бы работу и дало бы возможность более конструктивно и с боль</w:t>
      </w:r>
      <w:r w:rsidRPr="00D03F3E">
        <w:rPr>
          <w:rFonts w:ascii="Times New Roman" w:hAnsi="Times New Roman"/>
          <w:color w:val="0070C0"/>
          <w:sz w:val="16"/>
          <w:szCs w:val="16"/>
        </w:rPr>
        <w:softHyphen/>
        <w:t>шим вниманием заниматься двумя самолетами...» (23188).</w:t>
      </w:r>
    </w:p>
    <w:p w14:paraId="1229F7DC" w14:textId="77777777" w:rsidR="00AD6D08" w:rsidRPr="00D03F3E" w:rsidRDefault="00AD6D08" w:rsidP="00D03F3E">
      <w:pPr>
        <w:spacing w:after="0" w:line="240" w:lineRule="auto"/>
        <w:jc w:val="both"/>
        <w:rPr>
          <w:rFonts w:ascii="Times New Roman" w:hAnsi="Times New Roman"/>
          <w:color w:val="0070C0"/>
          <w:sz w:val="16"/>
          <w:szCs w:val="16"/>
        </w:rPr>
      </w:pPr>
    </w:p>
    <w:p w14:paraId="5A2AB99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января 1943 вышел приказ НКАП N 18сс во исполнение решения ГКО N ГОКО-2727сс, которое обязало завод 153 выпустить 40 Як-7 с двойным управлением для школ ВВС КА (2519).</w:t>
      </w:r>
    </w:p>
    <w:p w14:paraId="341EEF0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C4040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14 января по 26 февраля 1943 проходили гос. испытания в НИИ ВВС Як-9Д и летал В.Е.Голофастов, а ви был И.Г.Рабкин (65,119).</w:t>
      </w:r>
    </w:p>
    <w:p w14:paraId="77DC6F3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A4756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января 1943 Як-9Д и передали в НИИ ВВС. Ведущими на этапе государственных испытаний, завершившихся 28 февраля, были летчик В.Е. Го- лофастов и инженер И.Г Рабкин. Помимо уже отмеченных преимуществ и недостатков новой машины, в акте НИИ ВВС отмечался скудный состав пилотажно-навигационного оборудования. В частности, указывалось на отсутствие радиополукомпаса и авиагоризонта, необходимых для длительных полетов на расстояние около 1000 км. Мала была и дальность радиосвязи (не более 60 км).</w:t>
      </w:r>
    </w:p>
    <w:p w14:paraId="66393FE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Отвечая требованиям фронта, в ОКБ-115 разработали вариант Як-9Д с увеличенной дальностью полета. Для этого удвоили количество топливных баков, и их общая емкость достигла 650 литров. Два дополнительных бака, вмещавшие по 117 литров горючего, разместили в консолях крыла. При этом отказались от традиционного расходного бачка, топливо вырабатывалось непосредственно из основных баков. Естественно, увеличился с 25 до 48 кг и запас масла. Полетный вес машины с прежним составом вооружения возрос до 3117 кг.</w:t>
      </w:r>
    </w:p>
    <w:p w14:paraId="3D550C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Одновременно с этим, по рекомендации ЦАГИ улучшили отделку передней кромки крыла и фюзеляжа, заделав в нем многочисленные щели. В итоге, возросла не только дальность (в зависимости от режима полета она изменялась от 875 до 1360 км, а продолжительность полета - от 1 часа 44 минут до 4,5 часов), но и скорость. В то же время, маневренность истребителя, его скороподъемность и потолок ухудшились, но это все следствие его утяжеления (12046).</w:t>
      </w:r>
    </w:p>
    <w:p w14:paraId="02D17D0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3322ED" w14:textId="77777777" w:rsidR="00AD6D08" w:rsidRPr="00D03F3E" w:rsidRDefault="00AD6D0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14 января 1943 года в соответствии с приказом НКАП № 8сс от на заводе №21 начинается перевод всех самолетое Ла-5 с моторами М-82 на постоянный форсаж и выпуск первых серий самолетов Ла-5 облегченной конструкции с моторами М-82Ф-НВ (форсированный с насосами непосредственного впрыска) в количестве 166 машин, в том числе: в январе - 20. феврале - 55 и марте 85 самолетов (21100).</w:t>
      </w:r>
    </w:p>
    <w:p w14:paraId="10CFA44F" w14:textId="77777777" w:rsidR="00AD6D08" w:rsidRPr="00D03F3E" w:rsidRDefault="00AD6D08" w:rsidP="00D03F3E">
      <w:pPr>
        <w:spacing w:after="0" w:line="240" w:lineRule="auto"/>
        <w:jc w:val="both"/>
        <w:rPr>
          <w:rFonts w:ascii="Times New Roman" w:hAnsi="Times New Roman"/>
          <w:color w:val="0070C0"/>
          <w:sz w:val="16"/>
          <w:szCs w:val="16"/>
        </w:rPr>
      </w:pPr>
    </w:p>
    <w:p w14:paraId="39B69D3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января 1943 года зам. начальника 7-го Гл. управления Алексеев писал письмо N 149 А.И.Шахурину.</w:t>
      </w:r>
    </w:p>
    <w:p w14:paraId="2DBACDE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Докладываю, что по сообщениям Болховитинова, реактивный истребитель-перехватчик 10 января с.г. совершил полет, продолжавшийся 4 минуты, включая время разбега и пробега.</w:t>
      </w:r>
    </w:p>
    <w:p w14:paraId="727A16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Двигатель работал 63 сек. Тяга была 700-800 кг, высота полета 1100 м.</w:t>
      </w:r>
    </w:p>
    <w:p w14:paraId="50B3537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целью проверки вибраций, имевших место при первом полете с выпущенным шасси, скорость в полете была ограничена 400 км/час.</w:t>
      </w:r>
    </w:p>
    <w:p w14:paraId="0A96A0A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полете шасси были убраны и вибраций никаких не наблюдалось.</w:t>
      </w:r>
    </w:p>
    <w:p w14:paraId="4F9EE4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Планирование и посадка, как и весь полет, капитан Бахчиванджи провел образцово. После полета материальная часть найдена в исправности.</w:t>
      </w:r>
    </w:p>
    <w:p w14:paraId="1DB1635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января произведен второй полет. Летчик-испытатель Груздев, на тяге 1100 кг и с запасом горючего 320 кг достиг за одну минуту от начала старта около 1850 метров высоты по прибору.</w:t>
      </w:r>
    </w:p>
    <w:p w14:paraId="393D9E3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Скорость при наборе высоты была около 620 км/час по прибору, или истинная скорость около 670 км/час.</w:t>
      </w:r>
    </w:p>
    <w:p w14:paraId="0BEC272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первой половине полета одна из лыж оторвалась. Летчик блестяще произвел посадку с одной лыжей. После ремонта испытание будет продолжено на получение максимальной скорости 850-900 км/час и вертикальной скорости 80-90 метров/сек.</w:t>
      </w:r>
    </w:p>
    <w:p w14:paraId="7DA70EA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 заснят на кинопленку, которая будет выслана после обработки (1458,44).</w:t>
      </w:r>
    </w:p>
    <w:p w14:paraId="0CEB31A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DCCB0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января 1943 вышло Постановление ГКО № 2741 О материально-техническом обеспечении эксплуатации самолетов ВВС КА и ВВС ВМФ в I квартале 1943 года.РГАНИР, Фонд ГКО, д. 82, лл. 2-8, 9-74 (11012).</w:t>
      </w:r>
    </w:p>
    <w:p w14:paraId="7265B2F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8EBADE"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78A39F1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1B9B1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января 1943г. вышел ПРИКАЗ КОМАНДУЮЩЕГО БТ и МВ КА О МЕРОПРИЯТИЯХ ПО ПЕРЕВОДУ НАУЧНО-ИСПЫТАТЕЛЬНОГО ПОЛИГОНА ГАБТУ КА НА НОВЫЙ ШТАТ №04</w:t>
      </w:r>
    </w:p>
    <w:p w14:paraId="1619718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исполнении директивы народного комиссара обороны от 8 января 1943 г. № 1124077 о перево</w:t>
      </w:r>
      <w:r w:rsidRPr="00D03F3E">
        <w:rPr>
          <w:rFonts w:ascii="Times New Roman" w:hAnsi="Times New Roman"/>
          <w:color w:val="000000" w:themeColor="text1"/>
          <w:sz w:val="16"/>
          <w:szCs w:val="16"/>
        </w:rPr>
        <w:softHyphen/>
        <w:t>де научно-испытательного полигона ГАБТУ КА на новый штат ПРИКАЗЫВАЮ:</w:t>
      </w:r>
    </w:p>
    <w:p w14:paraId="692566B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Научно-испытательный полигон ГАБТУ КА впередь именовать научно-испытательный броне</w:t>
      </w:r>
      <w:r w:rsidRPr="00D03F3E">
        <w:rPr>
          <w:rFonts w:ascii="Times New Roman" w:hAnsi="Times New Roman"/>
          <w:color w:val="000000" w:themeColor="text1"/>
          <w:sz w:val="16"/>
          <w:szCs w:val="16"/>
        </w:rPr>
        <w:softHyphen/>
        <w:t>танковый полигон Главного бронетанкового управления Красной Армии.</w:t>
      </w:r>
    </w:p>
    <w:p w14:paraId="5AE355E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 10 января 1943 г. научно-испытательный бронетанковый полигон ГБТУ КА перевести на штат №010/215 численностью 320 человек военнослужащих и 120 человек вольнонаемных.</w:t>
      </w:r>
    </w:p>
    <w:p w14:paraId="5E6422D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Главному управлению по кадрам укомплектовать НИБТП ГБТУ КА командным и начальствую</w:t>
      </w:r>
      <w:r w:rsidRPr="00D03F3E">
        <w:rPr>
          <w:rFonts w:ascii="Times New Roman" w:hAnsi="Times New Roman"/>
          <w:color w:val="000000" w:themeColor="text1"/>
          <w:sz w:val="16"/>
          <w:szCs w:val="16"/>
        </w:rPr>
        <w:softHyphen/>
        <w:t>щим составом согласно штатам к 15.02.1943 г.</w:t>
      </w:r>
    </w:p>
    <w:p w14:paraId="42995F5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С 10 января для командного и начальствующего состава НИБТП ГБТУ КА установить оклады согласно утвержденному народным комиссаром обороны штату №010/215.</w:t>
      </w:r>
    </w:p>
    <w:p w14:paraId="10EC0A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Начальнику танкового управления ГБТУ КА и начальнику Главного управления формиро</w:t>
      </w:r>
      <w:r w:rsidRPr="00D03F3E">
        <w:rPr>
          <w:rFonts w:ascii="Times New Roman" w:hAnsi="Times New Roman"/>
          <w:color w:val="000000" w:themeColor="text1"/>
          <w:sz w:val="16"/>
          <w:szCs w:val="16"/>
        </w:rPr>
        <w:softHyphen/>
        <w:t>ваний и боевой подготовки укомплектовать опытно-учебный танковый батальон НИБТП ГБТУ КА материальной частью и экипажами к 10.02.1943 г. согласно штату.</w:t>
      </w:r>
    </w:p>
    <w:p w14:paraId="4A547A4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Начальнику ГБТУ КА к 20.01.1943 г. утвердить сметы на расходы, связанные с организацией учебного отдела по переподготовке командно-технического состава.</w:t>
      </w:r>
    </w:p>
    <w:p w14:paraId="25E2C54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Начальнику ГБТУ КА к 1.02.1943 г. представить на утверждение финансовому управлению НКО оклады вольнонаемного состава НИБТП ГБТУ КА.</w:t>
      </w:r>
    </w:p>
    <w:p w14:paraId="07B6774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командующего БТ и МВ КА генерал-лейтенант танковых войск Коробков</w:t>
      </w:r>
    </w:p>
    <w:p w14:paraId="7E0AB3C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Член военного совета генерал-лейтенант таковых войск Бирюков</w:t>
      </w:r>
    </w:p>
    <w:p w14:paraId="7B9F18E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штаба БТ и МВ КА полковник Заев</w:t>
      </w:r>
    </w:p>
    <w:p w14:paraId="218C3B4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1434. Л. 39. Копия (11403).</w:t>
      </w:r>
    </w:p>
    <w:p w14:paraId="1BC9E98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10D3B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января 1943г. были подготовлены РЕЗУЛЬТАТЫ СРАВНИТЕЛЬНЫХ ИСПЫТАНИЙ ТАНКОВ М4-А2 С ДИЗЕЛЯМИ СМ6046 И УСТАНОВЛЕННЫМИ НА НИХ ИНЖЕКТОРАМИ МАРОК «8» И «М»</w:t>
      </w:r>
    </w:p>
    <w:p w14:paraId="1C97982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 связи с выходом из строя инжекторов серии «М» по предложению инженер-подполковника т. Муравич и подполковника Э. Грэй в период с 2 по 12 января 1943 года в г. Горьком были проведены сравнительные испытания танков М4-А2 с инжекторами серии «М» и «5».</w:t>
      </w:r>
    </w:p>
    <w:p w14:paraId="7EB50D9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Испытания проводились согласно прилагаемой программе, указанной в приложении 1'.</w:t>
      </w:r>
    </w:p>
    <w:p w14:paraId="02D782F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Организация испытаний проведена согласно расписанию в приложении 2.</w:t>
      </w:r>
    </w:p>
    <w:p w14:paraId="20C83C9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Сводка работ с танками М4-А2 №2556 и 2566 указана в приложении 3.</w:t>
      </w:r>
    </w:p>
    <w:p w14:paraId="3CC90DD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Результат испытаний пробегом танков М4-А2 №2556 и 2566 сведен в приложении 4.</w:t>
      </w:r>
    </w:p>
    <w:p w14:paraId="082445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Результат специальных испытаний танков М4-А2 №2556 и 2566 указан в приложении 5.</w:t>
      </w:r>
    </w:p>
    <w:p w14:paraId="728AFDE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Данные о работе инжекторов серии «М» и «5» за время испытаний танков указаны в прило</w:t>
      </w:r>
      <w:r w:rsidRPr="00D03F3E">
        <w:rPr>
          <w:rFonts w:ascii="Times New Roman" w:hAnsi="Times New Roman"/>
          <w:color w:val="000000" w:themeColor="text1"/>
          <w:sz w:val="16"/>
          <w:szCs w:val="16"/>
        </w:rPr>
        <w:softHyphen/>
        <w:t>жении 6.</w:t>
      </w:r>
    </w:p>
    <w:p w14:paraId="593BDF9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Выводы по испытаниям:</w:t>
      </w:r>
    </w:p>
    <w:p w14:paraId="68FE493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Инжекторы серии «5» с регулировкой по шаблону 1,434" могут быть использованы для замены инжекторов серии «М» в случае отсутствия последних.</w:t>
      </w:r>
    </w:p>
    <w:p w14:paraId="7E4B081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постановке инжекторов серии «5» с регулировкой по шаблону 1,484" танки М4-А2 будут иметь следующие снижения своих качеств по сравнению с танками М4-А2, имеющими инжекторы серии «М»:</w:t>
      </w:r>
    </w:p>
    <w:p w14:paraId="1F8216A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Снижение скорости движения на 10-15 км/ч.</w:t>
      </w:r>
    </w:p>
    <w:p w14:paraId="5CACA6D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Повышенный расход топлива от 12% по шоссе, до 20% на местности.</w:t>
      </w:r>
    </w:p>
    <w:p w14:paraId="668A591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Чтобы не иметь значительного снижения скоростей, потребуется увеличение оборотов двига</w:t>
      </w:r>
      <w:r w:rsidRPr="00D03F3E">
        <w:rPr>
          <w:rFonts w:ascii="Times New Roman" w:hAnsi="Times New Roman"/>
          <w:color w:val="000000" w:themeColor="text1"/>
          <w:sz w:val="16"/>
          <w:szCs w:val="16"/>
        </w:rPr>
        <w:softHyphen/>
        <w:t>телей от 7 до 9%.</w:t>
      </w:r>
    </w:p>
    <w:p w14:paraId="64884A9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Большая степень использования 4 и особенно 3 передач в КПП.</w:t>
      </w:r>
    </w:p>
    <w:p w14:paraId="5BA1E25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Невозможность использования 5 передачи при движении танка на гусеницах со шпорами. Необходимо отметить, что степень использование 5 передачи на М4-А2 с инжекторами серии «М» и уста</w:t>
      </w:r>
      <w:r w:rsidRPr="00D03F3E">
        <w:rPr>
          <w:rFonts w:ascii="Times New Roman" w:hAnsi="Times New Roman"/>
          <w:color w:val="000000" w:themeColor="text1"/>
          <w:sz w:val="16"/>
          <w:szCs w:val="16"/>
        </w:rPr>
        <w:softHyphen/>
        <w:t>новленными шпорами также ограничена и возможна лишь на горизонтальных участках накатанных дорог.</w:t>
      </w:r>
    </w:p>
    <w:p w14:paraId="6C74DD8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Надежность работы инжекторов серии «5» и «М» одинакова. Оба типа требуют тщательного наблюдения при эксплуатации во избежание обгара и прогара сопел. За время испытаний имели место следующие неисправности инжекторов серии «5» и «М» (за 25-30 часов работы):</w:t>
      </w:r>
    </w:p>
    <w:tbl>
      <w:tblPr>
        <w:tblW w:w="0" w:type="auto"/>
        <w:tblInd w:w="40" w:type="dxa"/>
        <w:tblLayout w:type="fixed"/>
        <w:tblCellMar>
          <w:left w:w="40" w:type="dxa"/>
          <w:right w:w="40" w:type="dxa"/>
        </w:tblCellMar>
        <w:tblLook w:val="0000" w:firstRow="0" w:lastRow="0" w:firstColumn="0" w:lastColumn="0" w:noHBand="0" w:noVBand="0"/>
      </w:tblPr>
      <w:tblGrid>
        <w:gridCol w:w="470"/>
        <w:gridCol w:w="4704"/>
        <w:gridCol w:w="1075"/>
        <w:gridCol w:w="2899"/>
      </w:tblGrid>
      <w:tr w:rsidR="00860B4B" w:rsidRPr="00D03F3E" w14:paraId="37A3ECDB" w14:textId="77777777">
        <w:trPr>
          <w:trHeight w:val="442"/>
        </w:trPr>
        <w:tc>
          <w:tcPr>
            <w:tcW w:w="470" w:type="dxa"/>
            <w:tcBorders>
              <w:top w:val="single" w:sz="6" w:space="0" w:color="auto"/>
              <w:left w:val="single" w:sz="6" w:space="0" w:color="auto"/>
              <w:bottom w:val="single" w:sz="6" w:space="0" w:color="auto"/>
              <w:right w:val="single" w:sz="6" w:space="0" w:color="auto"/>
            </w:tcBorders>
          </w:tcPr>
          <w:p w14:paraId="5A63472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п/п</w:t>
            </w:r>
          </w:p>
          <w:p w14:paraId="2DAE7FF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4" w:type="dxa"/>
            <w:tcBorders>
              <w:top w:val="single" w:sz="6" w:space="0" w:color="auto"/>
              <w:left w:val="single" w:sz="6" w:space="0" w:color="auto"/>
              <w:bottom w:val="single" w:sz="6" w:space="0" w:color="auto"/>
              <w:right w:val="single" w:sz="6" w:space="0" w:color="auto"/>
            </w:tcBorders>
          </w:tcPr>
          <w:p w14:paraId="1A6FC87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 дефекта</w:t>
            </w:r>
          </w:p>
          <w:p w14:paraId="4D69B39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B1AF96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 случаев</w:t>
            </w:r>
          </w:p>
          <w:p w14:paraId="04DEA69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Borders>
              <w:top w:val="single" w:sz="6" w:space="0" w:color="auto"/>
              <w:left w:val="single" w:sz="6" w:space="0" w:color="auto"/>
              <w:bottom w:val="single" w:sz="6" w:space="0" w:color="auto"/>
              <w:right w:val="single" w:sz="6" w:space="0" w:color="auto"/>
            </w:tcBorders>
          </w:tcPr>
          <w:p w14:paraId="6CA9649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w:t>
            </w:r>
          </w:p>
          <w:p w14:paraId="3984D31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32CFB87" w14:textId="77777777">
        <w:trPr>
          <w:trHeight w:val="893"/>
        </w:trPr>
        <w:tc>
          <w:tcPr>
            <w:tcW w:w="470" w:type="dxa"/>
            <w:tcBorders>
              <w:top w:val="single" w:sz="6" w:space="0" w:color="auto"/>
              <w:left w:val="single" w:sz="6" w:space="0" w:color="auto"/>
              <w:bottom w:val="single" w:sz="6" w:space="0" w:color="auto"/>
              <w:right w:val="single" w:sz="6" w:space="0" w:color="auto"/>
            </w:tcBorders>
          </w:tcPr>
          <w:p w14:paraId="26C267E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1 2 3</w:t>
            </w:r>
          </w:p>
          <w:p w14:paraId="0B19A4D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4" w:type="dxa"/>
            <w:tcBorders>
              <w:top w:val="single" w:sz="6" w:space="0" w:color="auto"/>
              <w:left w:val="single" w:sz="6" w:space="0" w:color="auto"/>
              <w:bottom w:val="single" w:sz="6" w:space="0" w:color="auto"/>
              <w:right w:val="single" w:sz="6" w:space="0" w:color="auto"/>
            </w:tcBorders>
          </w:tcPr>
          <w:p w14:paraId="71D4EF3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Недостаточный распыл из сопел инжекторов серии «М» Недостаточный распыл из сопел инжекторов серии «3» Обрыв сопла инжектора серии «3»</w:t>
            </w:r>
          </w:p>
          <w:p w14:paraId="10E9220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ACAA6A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5 4 1</w:t>
            </w:r>
          </w:p>
          <w:p w14:paraId="2B674AA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Borders>
              <w:top w:val="single" w:sz="6" w:space="0" w:color="auto"/>
              <w:left w:val="single" w:sz="6" w:space="0" w:color="auto"/>
              <w:bottom w:val="single" w:sz="6" w:space="0" w:color="auto"/>
              <w:right w:val="single" w:sz="6" w:space="0" w:color="auto"/>
            </w:tcBorders>
          </w:tcPr>
          <w:p w14:paraId="34A7AC2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 Все инжекторы потребовали замены 2. Обрыв сопла произошел из-за наличия трещины у бурка</w:t>
            </w:r>
          </w:p>
          <w:p w14:paraId="1F852D7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FBA3BB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Необходимо отметить частые случаи отрыва шпор от траков гусениц танков М4-А2, особенно при движении по твердым обледенелым покровам дорог при скорости движения свыше 20 км/ч. Имели место следующие случаи отрыва шпор:</w:t>
      </w:r>
    </w:p>
    <w:tbl>
      <w:tblPr>
        <w:tblW w:w="0" w:type="auto"/>
        <w:tblInd w:w="40" w:type="dxa"/>
        <w:tblLayout w:type="fixed"/>
        <w:tblCellMar>
          <w:left w:w="40" w:type="dxa"/>
          <w:right w:w="40" w:type="dxa"/>
        </w:tblCellMar>
        <w:tblLook w:val="0000" w:firstRow="0" w:lastRow="0" w:firstColumn="0" w:lastColumn="0" w:noHBand="0" w:noVBand="0"/>
      </w:tblPr>
      <w:tblGrid>
        <w:gridCol w:w="480"/>
        <w:gridCol w:w="1286"/>
        <w:gridCol w:w="1296"/>
        <w:gridCol w:w="1286"/>
        <w:gridCol w:w="1325"/>
        <w:gridCol w:w="1325"/>
        <w:gridCol w:w="1344"/>
      </w:tblGrid>
      <w:tr w:rsidR="00860B4B" w:rsidRPr="00D03F3E" w14:paraId="55D2EBE5" w14:textId="77777777">
        <w:trPr>
          <w:trHeight w:val="288"/>
        </w:trPr>
        <w:tc>
          <w:tcPr>
            <w:tcW w:w="480" w:type="dxa"/>
            <w:tcBorders>
              <w:top w:val="single" w:sz="6" w:space="0" w:color="auto"/>
              <w:left w:val="single" w:sz="6" w:space="0" w:color="auto"/>
              <w:bottom w:val="nil"/>
              <w:right w:val="single" w:sz="6" w:space="0" w:color="auto"/>
            </w:tcBorders>
          </w:tcPr>
          <w:p w14:paraId="2691B4D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ED49D5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п/п</w:t>
            </w:r>
          </w:p>
          <w:p w14:paraId="7DA3D8C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nil"/>
              <w:right w:val="single" w:sz="6" w:space="0" w:color="auto"/>
            </w:tcBorders>
          </w:tcPr>
          <w:p w14:paraId="11C05EE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Дата пробега</w:t>
            </w:r>
          </w:p>
          <w:p w14:paraId="1C0498B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nil"/>
              <w:right w:val="single" w:sz="6" w:space="0" w:color="auto"/>
            </w:tcBorders>
          </w:tcPr>
          <w:p w14:paraId="77632FB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Пройдено</w:t>
            </w:r>
          </w:p>
          <w:p w14:paraId="332A892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nil"/>
              <w:right w:val="single" w:sz="6" w:space="0" w:color="auto"/>
            </w:tcBorders>
          </w:tcPr>
          <w:p w14:paraId="01DB5E0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Средняя ско</w:t>
            </w:r>
            <w:r w:rsidRPr="00D03F3E">
              <w:rPr>
                <w:rFonts w:ascii="Times New Roman" w:hAnsi="Times New Roman"/>
                <w:color w:val="000000" w:themeColor="text1"/>
                <w:sz w:val="16"/>
                <w:szCs w:val="16"/>
              </w:rPr>
              <w:softHyphen/>
              <w:t>рость, км/ч</w:t>
            </w:r>
          </w:p>
          <w:p w14:paraId="57B2FE5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94" w:type="dxa"/>
            <w:gridSpan w:val="3"/>
            <w:tcBorders>
              <w:top w:val="single" w:sz="6" w:space="0" w:color="auto"/>
              <w:left w:val="single" w:sz="6" w:space="0" w:color="auto"/>
              <w:bottom w:val="single" w:sz="6" w:space="0" w:color="auto"/>
              <w:right w:val="single" w:sz="6" w:space="0" w:color="auto"/>
            </w:tcBorders>
          </w:tcPr>
          <w:p w14:paraId="08D5557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 шпор</w:t>
            </w:r>
          </w:p>
          <w:p w14:paraId="7B3C5D4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E16C8C4" w14:textId="77777777">
        <w:trPr>
          <w:trHeight w:val="278"/>
        </w:trPr>
        <w:tc>
          <w:tcPr>
            <w:tcW w:w="480" w:type="dxa"/>
            <w:tcBorders>
              <w:top w:val="nil"/>
              <w:left w:val="single" w:sz="6" w:space="0" w:color="auto"/>
              <w:bottom w:val="single" w:sz="6" w:space="0" w:color="auto"/>
              <w:right w:val="single" w:sz="6" w:space="0" w:color="auto"/>
            </w:tcBorders>
          </w:tcPr>
          <w:p w14:paraId="17B0832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A3B27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single" w:sz="6" w:space="0" w:color="auto"/>
              <w:right w:val="single" w:sz="6" w:space="0" w:color="auto"/>
            </w:tcBorders>
          </w:tcPr>
          <w:p w14:paraId="4802C7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A15B1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nil"/>
              <w:left w:val="single" w:sz="6" w:space="0" w:color="auto"/>
              <w:bottom w:val="single" w:sz="6" w:space="0" w:color="auto"/>
              <w:right w:val="single" w:sz="6" w:space="0" w:color="auto"/>
            </w:tcBorders>
          </w:tcPr>
          <w:p w14:paraId="2230D14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D9930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single" w:sz="6" w:space="0" w:color="auto"/>
              <w:right w:val="single" w:sz="6" w:space="0" w:color="auto"/>
            </w:tcBorders>
          </w:tcPr>
          <w:p w14:paraId="46E9F4D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61D32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BEDBE0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 пробега</w:t>
            </w:r>
          </w:p>
          <w:p w14:paraId="6AA0FED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D5D83B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Обрыв</w:t>
            </w:r>
          </w:p>
          <w:p w14:paraId="4792650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563BD40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пробега</w:t>
            </w:r>
          </w:p>
          <w:p w14:paraId="5041F9B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149D6CE" w14:textId="77777777">
        <w:trPr>
          <w:trHeight w:val="278"/>
        </w:trPr>
        <w:tc>
          <w:tcPr>
            <w:tcW w:w="480" w:type="dxa"/>
            <w:tcBorders>
              <w:top w:val="single" w:sz="6" w:space="0" w:color="auto"/>
              <w:left w:val="single" w:sz="6" w:space="0" w:color="auto"/>
              <w:bottom w:val="nil"/>
              <w:right w:val="single" w:sz="6" w:space="0" w:color="auto"/>
            </w:tcBorders>
          </w:tcPr>
          <w:p w14:paraId="1B20B96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5175991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nil"/>
              <w:right w:val="single" w:sz="6" w:space="0" w:color="auto"/>
            </w:tcBorders>
          </w:tcPr>
          <w:p w14:paraId="277E8D5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5.01.1943 г.</w:t>
            </w:r>
          </w:p>
          <w:p w14:paraId="3D017D8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nil"/>
              <w:right w:val="single" w:sz="6" w:space="0" w:color="auto"/>
            </w:tcBorders>
          </w:tcPr>
          <w:p w14:paraId="7D3A6B7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10,9</w:t>
            </w:r>
          </w:p>
          <w:p w14:paraId="453A1EA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nil"/>
              <w:right w:val="single" w:sz="6" w:space="0" w:color="auto"/>
            </w:tcBorders>
          </w:tcPr>
          <w:p w14:paraId="61B7E0A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16,35</w:t>
            </w:r>
          </w:p>
          <w:p w14:paraId="663393D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nil"/>
              <w:right w:val="single" w:sz="6" w:space="0" w:color="auto"/>
            </w:tcBorders>
          </w:tcPr>
          <w:p w14:paraId="63BC232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p>
          <w:p w14:paraId="439E87C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nil"/>
              <w:right w:val="single" w:sz="6" w:space="0" w:color="auto"/>
            </w:tcBorders>
          </w:tcPr>
          <w:p w14:paraId="33CAF47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0C11750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nil"/>
              <w:right w:val="single" w:sz="6" w:space="0" w:color="auto"/>
            </w:tcBorders>
          </w:tcPr>
          <w:p w14:paraId="14C2D0A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w:t>
            </w:r>
          </w:p>
          <w:p w14:paraId="10CA707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11BF6D2" w14:textId="77777777">
        <w:trPr>
          <w:trHeight w:val="269"/>
        </w:trPr>
        <w:tc>
          <w:tcPr>
            <w:tcW w:w="480" w:type="dxa"/>
            <w:tcBorders>
              <w:top w:val="nil"/>
              <w:left w:val="single" w:sz="6" w:space="0" w:color="auto"/>
              <w:bottom w:val="nil"/>
              <w:right w:val="single" w:sz="6" w:space="0" w:color="auto"/>
            </w:tcBorders>
          </w:tcPr>
          <w:p w14:paraId="48C2788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6797794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3914CAF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12.01.1943г.</w:t>
            </w:r>
          </w:p>
          <w:p w14:paraId="6DBB8A0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nil"/>
              <w:left w:val="single" w:sz="6" w:space="0" w:color="auto"/>
              <w:bottom w:val="nil"/>
              <w:right w:val="single" w:sz="6" w:space="0" w:color="auto"/>
            </w:tcBorders>
          </w:tcPr>
          <w:p w14:paraId="4EABD52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20,48</w:t>
            </w:r>
          </w:p>
          <w:p w14:paraId="311D67D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5024F30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19,7</w:t>
            </w:r>
          </w:p>
          <w:p w14:paraId="348B2FA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5AB0D02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p>
          <w:p w14:paraId="4C2EF70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40C7DFF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4EE7324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nil"/>
              <w:right w:val="single" w:sz="6" w:space="0" w:color="auto"/>
            </w:tcBorders>
          </w:tcPr>
          <w:p w14:paraId="1680FF8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p w14:paraId="6DD78BD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9B97E4B" w14:textId="77777777">
        <w:trPr>
          <w:trHeight w:val="278"/>
        </w:trPr>
        <w:tc>
          <w:tcPr>
            <w:tcW w:w="480" w:type="dxa"/>
            <w:tcBorders>
              <w:top w:val="nil"/>
              <w:left w:val="single" w:sz="6" w:space="0" w:color="auto"/>
              <w:bottom w:val="nil"/>
              <w:right w:val="single" w:sz="6" w:space="0" w:color="auto"/>
            </w:tcBorders>
          </w:tcPr>
          <w:p w14:paraId="28D88FC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3</w:t>
            </w:r>
          </w:p>
          <w:p w14:paraId="170FEB8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58CB8E8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10.01.1943 г.</w:t>
            </w:r>
          </w:p>
          <w:p w14:paraId="142758C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nil"/>
              <w:left w:val="single" w:sz="6" w:space="0" w:color="auto"/>
              <w:bottom w:val="nil"/>
              <w:right w:val="single" w:sz="6" w:space="0" w:color="auto"/>
            </w:tcBorders>
          </w:tcPr>
          <w:p w14:paraId="44866F6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37,03</w:t>
            </w:r>
          </w:p>
          <w:p w14:paraId="746CFF2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1485B6F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22,2</w:t>
            </w:r>
          </w:p>
          <w:p w14:paraId="68C7F68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5A49244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p>
          <w:p w14:paraId="4301C17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3566B30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p w14:paraId="3FEE655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nil"/>
              <w:right w:val="single" w:sz="6" w:space="0" w:color="auto"/>
            </w:tcBorders>
          </w:tcPr>
          <w:p w14:paraId="37B1852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w:t>
            </w:r>
          </w:p>
          <w:p w14:paraId="304D1F6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FEE2D60" w14:textId="77777777">
        <w:trPr>
          <w:trHeight w:val="269"/>
        </w:trPr>
        <w:tc>
          <w:tcPr>
            <w:tcW w:w="480" w:type="dxa"/>
            <w:tcBorders>
              <w:top w:val="nil"/>
              <w:left w:val="single" w:sz="6" w:space="0" w:color="auto"/>
              <w:bottom w:val="nil"/>
              <w:right w:val="single" w:sz="6" w:space="0" w:color="auto"/>
            </w:tcBorders>
          </w:tcPr>
          <w:p w14:paraId="7C2EC39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291312A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5BBEBE7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5.01.1943 г.</w:t>
            </w:r>
          </w:p>
          <w:p w14:paraId="3F9DF7D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nil"/>
              <w:left w:val="single" w:sz="6" w:space="0" w:color="auto"/>
              <w:bottom w:val="nil"/>
              <w:right w:val="single" w:sz="6" w:space="0" w:color="auto"/>
            </w:tcBorders>
          </w:tcPr>
          <w:p w14:paraId="2A3971F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24,15</w:t>
            </w:r>
          </w:p>
          <w:p w14:paraId="78D68E9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5A28F99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25,4</w:t>
            </w:r>
          </w:p>
          <w:p w14:paraId="70FCF63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337F8C2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p>
          <w:p w14:paraId="3F318AA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6AA1804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w:t>
            </w:r>
          </w:p>
          <w:p w14:paraId="50C44DC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nil"/>
              <w:right w:val="single" w:sz="6" w:space="0" w:color="auto"/>
            </w:tcBorders>
          </w:tcPr>
          <w:p w14:paraId="15E7FD5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w:t>
            </w:r>
          </w:p>
          <w:p w14:paraId="7FEFDC9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B66E805" w14:textId="77777777">
        <w:trPr>
          <w:trHeight w:val="298"/>
        </w:trPr>
        <w:tc>
          <w:tcPr>
            <w:tcW w:w="480" w:type="dxa"/>
            <w:tcBorders>
              <w:top w:val="nil"/>
              <w:left w:val="single" w:sz="6" w:space="0" w:color="auto"/>
              <w:bottom w:val="single" w:sz="6" w:space="0" w:color="auto"/>
              <w:right w:val="single" w:sz="6" w:space="0" w:color="auto"/>
            </w:tcBorders>
          </w:tcPr>
          <w:p w14:paraId="5F4F8F6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p w14:paraId="0A3DEA0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single" w:sz="6" w:space="0" w:color="auto"/>
              <w:right w:val="single" w:sz="6" w:space="0" w:color="auto"/>
            </w:tcBorders>
          </w:tcPr>
          <w:p w14:paraId="044775B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10.01.1943г.</w:t>
            </w:r>
          </w:p>
          <w:p w14:paraId="447CCF2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nil"/>
              <w:left w:val="single" w:sz="6" w:space="0" w:color="auto"/>
              <w:bottom w:val="single" w:sz="6" w:space="0" w:color="auto"/>
              <w:right w:val="single" w:sz="6" w:space="0" w:color="auto"/>
            </w:tcBorders>
          </w:tcPr>
          <w:p w14:paraId="03237F1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p w14:paraId="03CFFF4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single" w:sz="6" w:space="0" w:color="auto"/>
              <w:right w:val="single" w:sz="6" w:space="0" w:color="auto"/>
            </w:tcBorders>
          </w:tcPr>
          <w:p w14:paraId="5D814A2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27,6</w:t>
            </w:r>
          </w:p>
          <w:p w14:paraId="440647D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single" w:sz="6" w:space="0" w:color="auto"/>
              <w:right w:val="single" w:sz="6" w:space="0" w:color="auto"/>
            </w:tcBorders>
          </w:tcPr>
          <w:p w14:paraId="400009C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p>
          <w:p w14:paraId="5C841A5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single" w:sz="6" w:space="0" w:color="auto"/>
              <w:right w:val="single" w:sz="6" w:space="0" w:color="auto"/>
            </w:tcBorders>
          </w:tcPr>
          <w:p w14:paraId="52F36FE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w:t>
            </w:r>
          </w:p>
          <w:p w14:paraId="60187A6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single" w:sz="6" w:space="0" w:color="auto"/>
              <w:right w:val="single" w:sz="6" w:space="0" w:color="auto"/>
            </w:tcBorders>
          </w:tcPr>
          <w:p w14:paraId="261DD0C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60DF8E6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5E0098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Как видно из приложения 6, частый выход из строя инжекторов серии «5» и «М» по причине плохого распыла вызывает сомнение в качестве изготовления и сборки инжекторов. Указанное под</w:t>
      </w:r>
      <w:r w:rsidRPr="00D03F3E">
        <w:rPr>
          <w:rFonts w:ascii="Times New Roman" w:hAnsi="Times New Roman"/>
          <w:color w:val="000000" w:themeColor="text1"/>
          <w:sz w:val="16"/>
          <w:szCs w:val="16"/>
        </w:rPr>
        <w:softHyphen/>
        <w:t>тверждается еще и тем, что из полученных со склада инжекторов серии «5» в количестве 24 штук оказались годными по распылу только 12 штук. Комиссия считает необходимым произвести тщатель</w:t>
      </w:r>
      <w:r w:rsidRPr="00D03F3E">
        <w:rPr>
          <w:rFonts w:ascii="Times New Roman" w:hAnsi="Times New Roman"/>
          <w:color w:val="000000" w:themeColor="text1"/>
          <w:sz w:val="16"/>
          <w:szCs w:val="16"/>
        </w:rPr>
        <w:softHyphen/>
        <w:t>ную проверку и анализ причин плохого распыла инжекторов серии «5» и «М».</w:t>
      </w:r>
    </w:p>
    <w:p w14:paraId="6ED9F6F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инженер-подполковник Муравич майор Олсон</w:t>
      </w:r>
    </w:p>
    <w:p w14:paraId="3AE4AF7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инженер-майор Масалкин Форд</w:t>
      </w:r>
    </w:p>
    <w:p w14:paraId="722CF9C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1388. Л. Ю.Юоб. Копия (11403).</w:t>
      </w:r>
    </w:p>
    <w:p w14:paraId="4277C11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37F31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января 1943 первые Су-76 были переданы заказчику и вскоре прошли на формирование двух полков САУ смешанной организации. Вместе с машинами на фронт выехала также комиссия НКТП под председательством С.А.Гинзбурга (6205, 14).</w:t>
      </w:r>
    </w:p>
    <w:p w14:paraId="087486E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6725F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января 1943 первые машины СУ-76 были переданы заказ</w:t>
      </w:r>
      <w:r w:rsidRPr="00D03F3E">
        <w:rPr>
          <w:rFonts w:ascii="Times New Roman" w:hAnsi="Times New Roman"/>
          <w:color w:val="000000" w:themeColor="text1"/>
          <w:sz w:val="16"/>
          <w:szCs w:val="16"/>
        </w:rPr>
        <w:softHyphen/>
        <w:t>чику и вскоре прошли на формирование двух полков САУ смешанной организации трансмиссии (11417).</w:t>
      </w:r>
    </w:p>
    <w:p w14:paraId="0527CEA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30457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января 1943 года вышел приказ № 04/44с НКБ</w:t>
      </w:r>
    </w:p>
    <w:p w14:paraId="4DE5F425"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уменьшения перевозок.... филиал завода № 73 передать заводу № 56 со всем его хозяйством (5804, 50).</w:t>
      </w:r>
    </w:p>
    <w:p w14:paraId="09D40A55"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9D1F0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января 1943 вышло Распоряжение ГКО № 2740. О производстве танковых противоминных тралов.РГАНИР, Фонд ГКО, д. 82, лл. 1 (11012).</w:t>
      </w:r>
    </w:p>
    <w:p w14:paraId="74BBC8D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160CD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января 1943 вышло Постановление ГКО № 2742 О строительстве железнодорожной линии Прудбой - Тундутово Юго-Восточной жел. дор. (7075, 75-77).</w:t>
      </w:r>
    </w:p>
    <w:p w14:paraId="5FF7A1CB"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06D51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января 1943 вышло Постановление ГКО № 2743 О мерах обеспечения нормальной работы электростанций Казэнерго. (7075, 78-79).</w:t>
      </w:r>
    </w:p>
    <w:p w14:paraId="3329C639"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A63DA4" w14:textId="77777777" w:rsidR="000B21EB" w:rsidRPr="00D03F3E" w:rsidRDefault="000B21EB" w:rsidP="00D03F3E">
      <w:pPr>
        <w:pStyle w:val="a3"/>
        <w:rPr>
          <w:color w:val="000000" w:themeColor="text1"/>
          <w:lang w:val="ru-RU"/>
        </w:rPr>
      </w:pPr>
      <w:r w:rsidRPr="00D03F3E">
        <w:rPr>
          <w:color w:val="000000" w:themeColor="text1"/>
          <w:lang w:val="ru-RU"/>
        </w:rPr>
        <w:t>14 января 1943 года во время прорыва блокады Ленинграда захватили Тигр. Существует много вариантов описания обстоятельств захвата первого «Тигра». В одном случае эта честь приписывается пехотинцам- бронебойщикам. В другом - артиллеристам 267-го корпусного артиллерийского полка, подбившим танк из 122-мм пушки. В третьем варианте танк просто застрял в болотистой местности и был брошен экипажем. Четвёртая версия событий приписывает честь захвата трофея танкистам 86-го отдельного танкового батальона. Современный историк М. Барятинский выдвинул ещё одну версию событий, согласно которой было захвачено два танка. В любом случае, в феврале 1942 года уже имелись первые сведения об уровне защищённости нового немецкого танка (12290).</w:t>
      </w:r>
    </w:p>
    <w:p w14:paraId="58979A9D" w14:textId="77777777" w:rsidR="000B21EB" w:rsidRPr="00D03F3E" w:rsidRDefault="000B21EB" w:rsidP="00D03F3E">
      <w:pPr>
        <w:spacing w:after="0" w:line="240" w:lineRule="auto"/>
        <w:jc w:val="both"/>
        <w:rPr>
          <w:rFonts w:ascii="Times New Roman" w:hAnsi="Times New Roman"/>
          <w:color w:val="000000" w:themeColor="text1"/>
          <w:sz w:val="16"/>
          <w:szCs w:val="16"/>
        </w:rPr>
      </w:pPr>
    </w:p>
    <w:p w14:paraId="4B13514D"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3F22CFC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894F0C"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14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6FAA45B7"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14 января наши войска в районе Нижнего Дона, на Центральном фронте и на Северном Кавказе продолжали бои на прежних направлениях.</w:t>
      </w:r>
    </w:p>
    <w:p w14:paraId="72416CD2"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заводском посёлке Сталинграда наши штурмовые отряды выбили противника из 27 дзотов и блиндажей. Немцы предприняли несколько контратак, но были отброшены.</w:t>
      </w:r>
    </w:p>
    <w:p w14:paraId="52F8B17E"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Сталинграда советские лётчики совершили налёт на немецкий аэродром, уничтожили 5 самолётов и взорвали два склада с боеприпасами. Кроме того, в воздушных боях сбито 7 немецких самолётов.</w:t>
      </w:r>
    </w:p>
    <w:p w14:paraId="29BE1CB2"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Нижнего Дона наши войска, преодолевая упорное сопротивлениепротивника, продолжали наступление. Н-ская часть разгромила батальон немецкой пехоты, усиленный танками. Уничтожено до 400 гитлеровцев, 6 танков и 3 орудия. На другом участке наши части стремительным ударом прорвали оборону противника и, развивая успех, заняли несколько населённых пунктов. Гитлеровцы понесли большие потери. Захвачены трофеи и пленные.</w:t>
      </w:r>
    </w:p>
    <w:p w14:paraId="7D5F9E0B"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наши войска вели бои на прежних направлениях. В районе северо-западнее Великих Лук отбита контратака пехоты и танков противника. На поле боя осталось свыше 200 вражеских трупов и 8 сожжённых танков. На другом участке огнём нашей артиллерии рассеяно и частью уничтожено скопление немецкой пехоты, разрушены десятки дзотов и блиндажей противника.</w:t>
      </w:r>
    </w:p>
    <w:p w14:paraId="583F13D7"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продолжали успешное наступление и заняли ряд населённых пунктов. Танкисты Н-ской части в ожесточённом бою разгромили пехотную часть противника. Захвачены трофеи: 19 орудий, 53 автомашины, 3 трактора, склады запасных частей и боеприпасов. Освобождена из фашистского плена большая группа советских граждан и пленных красноармейцев, находившихся в концентрационном лагере. На другом участке огнём нашей артиллерии подбито и сожжено 6 танков и рассеяно большое скопление автомашин и пехоты противника.</w:t>
      </w:r>
    </w:p>
    <w:p w14:paraId="06E90516"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партизан отряда, действующего в Барановичской области, за месяц пустила под откос 5 немецких воинских эшелонов. В результате крушений разбито 5 паровозов, 8 платформ, 25 вагонов с немецкими солдатами и 39 вагонов с боеприпасами и техникой.</w:t>
      </w:r>
    </w:p>
    <w:p w14:paraId="3474D8A3"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городе Элисте, столице Калмыцкой AССP: «Через несколько дней после занятия Элисты в город нагрянули банды гестаповцев и начали чинить расправу над мирными советскими гражданами. Бандиты арестовали заслуженного врача Калмыцкой АССР Колесникова, рабочих и служащих Клымова, Касеева, Рыбалова, Лиджиева, Айвашева, Маслова, Ходжурова, Чибинова, Убушаева, Фёдорова и других. Арестованных немцы подвергли чудовищным пыткам. Врачу Колесникову гитлеровские бандиты нанесли 50 ударов плетью, а потом раздели донага и бросили в холодный подвал. На другой день его на машине увезли за город и там расстреляли. Фашистские изверги также расстреляли врача-педиатра Анну Дранову, бухгалтера Потребсоюза Виноградова, сапожника Ивана Василенко и многих других. Немецкие душегубы и кровопийцы закапывали людей живьём. По неполным данным, гитлеровцы убили в городе свыше 800 мирных жителей. Немецкие захватчики забрали у жителей города и окрестных сёл продовольствие, скот и личные вещи. Они загадили культурные учреждения и превратили Педагогический институт и Дом просвещения в конюшни. Советское правительство построило в Элисте предприятия, прекрасные общественные здания, клубы, учебные заведения, школы, больницы. За два дня до отступления немцы приступили к уничтожению столицы Калмыцкой республики. Разрушены и сожжены Дом правительства, здания Наркомзема и Наркомфина, электростанция, хлебопекарня, водопровод, Дом печати, почта и телеграф, больницы, родильный дом, 3 столовых и другие общественные и жилые дома. Калмыцкий народ уверен, что недалёк тот час, когда фашистские изверги и насильники получат сполна за все совершённые ими преступления». Акт подписали: заместитель председателя исполкома городского Совета депутатов трудящихся А.Багдыков, учительницы неполной средней школы № 5 П.Несенова, Н.Корниленко, рабочие кирпичного завода Сакалов, Герасимов, колхозница сельскохозяйственной артели имени Володарского А.Коробейнико, бухгалтер Потребсоюза К.Цветков, рабочий горкомхоза Г.Торбенко, рабочийтипографии С.Голубев.» (15009).</w:t>
      </w:r>
    </w:p>
    <w:p w14:paraId="01A7AF2C"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18F7E92D"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14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79B9340B"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января наши войска на Северном Кавказе, продолжая наступление, овладели районным центром Суворовская, крупными населёнными пунктами — Гражданский 1-й, Ново-Сунженская, Сотниковское и железнодорожной станцией Суворовская.</w:t>
      </w:r>
    </w:p>
    <w:p w14:paraId="510E8763"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Нижнего Дона и на Центральном фронте наши войска вели наступательные бои на прежних направлениях.</w:t>
      </w:r>
    </w:p>
    <w:p w14:paraId="356CCD16"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13 января в районе Сталинграда уничтожено 26 транспортных самолётов противника.</w:t>
      </w:r>
    </w:p>
    <w:p w14:paraId="2A04A2F4"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заводском районе Сталинграда наши штурмовые отряды овладели сильно укреплённым узлом сопротивления противника. Разрушено и захвачено 32 дзота и блиндажа. Уничтожено до 600 немецких солдат и офицеров. Захвачены 7 орудий, 24 пулемёта и другие трофеи.</w:t>
      </w:r>
    </w:p>
    <w:p w14:paraId="0EEC3BF1"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Нижнего Дона наши войска продолжали наступление. На одном участке наши части, продвигаясь вперёд, овладели 6 населёнными пунктами. Уничтожено до 1.000 немецких солдат и офицеров, сожжено и разбито 22 танка и 2 бронемашины противника. На другом участке крупная группировка танков и пехоты противника, понёсшая накануне большие потери, не прекращала контратак. Наша пехота, артиллеристы и танкисты отбивают контратаки немцев и перемалывают их технику и живую силу. Только в районе одного населённого пункта сожжено 9 немецких танков.</w:t>
      </w:r>
    </w:p>
    <w:p w14:paraId="17C4431A"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юго-западнее Великих Лук, наши войска вели упорные бои с пехотой и танками противника. Наши части отбили все контратаки гитлеровцев и уничтожили свыше 300 солдат и офицеров противника. Захвачены 3 орудия, пулемёты, автоматы, винтовки и различное военное имущество. Взято 50 пленных.</w:t>
      </w:r>
    </w:p>
    <w:p w14:paraId="5F4EF8E9"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части, преодолевая сопротивление противника, успешно продвигались вперёд и заняли несколько населённых пунктов. Н-ская часть отбила контратаку немцев и ворвалась на железнодорожную станцию. После короткого ожесточённого боя советские бойцы очистили станцию от гитлеровцев. Противник потерял только убитыми 400 солдат и офицеров. Захвачены трофеи и пленные. На другом участке советские танкисты прорвались сквозь боевые порядки противника и разгромили немецкий пехотный батальон.</w:t>
      </w:r>
    </w:p>
    <w:p w14:paraId="73AFF2E2"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Отряд украинских партизан в ожесточённом бою с немецким подразделением истребил 50 гитлеровцев. Советские патриоты захватили орудие и 79 снарядов к нему, 2 крупнокалиберных пулемёта, 2 станковых пулемёта, 19 тысяч патронов, 2 радиостанции и иного различного военного снаряжения. Несколько дней спустя партизаны этого отряда взорвали железнодорожный мост и разрушили в нескольких местах линию связи.</w:t>
      </w:r>
    </w:p>
    <w:p w14:paraId="4005CC0D"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Жители города Зимовники, а также бойцы и командиры Красной Армии составили акт о зверствах немецко-фашистских бандитов. В акте говорится: «Во время боёв за Зимовники небольшая группа красноармейцев-разведчиков ворвалась на окраину города. Несколько красноармейцев были ранены и захвачены гитлеровцами в плен. Немцы загнали раненых красноармейцев в дом Рожковой, долго их пытали, а затем вытащили к железнодорожному полотну и расстреляли. Среди расстрелянных была одна санитарка. Злодеяния гитлеровцев в городе Зимовники ещё раз подтверждают, что немецко-фашистские мерзавцы продолжают истреблять советских военнопленных и даже безоружных медицинских работников». Акт подписали: жители города Зимовники И.Бондаренко, И.Рожкова, военврач 2 ранга В.Алексеев, майор Н.Полтораков,капитан И.Лебедев, красноармейцы И.Моисеенко, Т.Болон и П.Иващенко.</w:t>
      </w:r>
    </w:p>
    <w:p w14:paraId="3971E39E"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Германское информационное бюро 13 января сообщило: «На Кавказе русские предприняли при помощи сильно выдвинувшегося вперёд танкового соединения попытку атаковать город Минеральные Воды. Благодаря решительным действиям одного сапёрного соединения, которое с небольшим количеством противотанковых орудий упорно оборонялось, попытка противника совершить нападение на город была отбита... Остатки советских войск отброшены далеко на восток». Сначала берлинские пустомели пытались вообще замолчать наступление Красной Армия на Северном Кавказе. Они уверяли даже, что немецкие войска одерживают на Кавказе один успех за другим. Потом гитлеровцы заявили, что на Кавказе всё спокойно, что немецкая армия здесь лишь «выпрямляет фронт». И вдруг, как снег на голову населения Германии, новость — советские войска атаковали город Минеральные Воды! Вся эта несусветная чушь, которую распространяет немецкое командование, лишний раз — показывает растерянность, царящую в кругах гитлеровских заправил.</w:t>
      </w:r>
    </w:p>
    <w:p w14:paraId="6135F685"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Всем известно, что советские войска, прежде чем достичь Минеральных Вод, с боями прошли 180—200 километров и заняли ряд городов и населённых пунктов. Известно далее, что советские войска еще 11 января овладели городом и железнодорожным узлом Минеральные Воды. Всем известно, что части Красной Армии, преодолевая сопротивление немецких войск, продвинулись на запад от Минеральных Вод ещё на несколько десятков километров.</w:t>
      </w:r>
    </w:p>
    <w:p w14:paraId="6E3F2926"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Бездарно и глуповато врёт германское информационное бюро!» (15009).</w:t>
      </w:r>
    </w:p>
    <w:p w14:paraId="081A9909"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7F6D960E"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14 января</w:t>
      </w:r>
      <w:r w:rsidRPr="00D03F3E">
        <w:rPr>
          <w:rFonts w:ascii="Times New Roman" w:hAnsi="Times New Roman"/>
          <w:color w:val="000000" w:themeColor="text1"/>
          <w:sz w:val="16"/>
          <w:szCs w:val="16"/>
        </w:rPr>
        <w:t xml:space="preserve"> в 1943 году в ходе боевых действий войск Ленинградского и Волховского фронтов в районе Синявин-ских болот из 122-мм орудия впервые подбит тяжелый немецкий танк T-VI («тигр»). По указанию Г.К.Жукова специальная группа из 18 человек с 4 танками под командованием старшего лейтенанта Косарева в ночь на 17 января отбуксировала танк в расположение наших частей (15009).</w:t>
      </w:r>
    </w:p>
    <w:p w14:paraId="2A22823C"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08EB080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9 по 14 января 1943 к немецким самолетам, снабжавшим Сталинград (в январе - до 300-350 Ю-52, 200 Хе-111 и 60 Ю-86 прибыли 20 ФВ-200 и 30 Хе-177. Все равно за день доставляли не 500, как поручил А.Г., а не более 300 (2783,30).</w:t>
      </w:r>
    </w:p>
    <w:p w14:paraId="3BA07C7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D2CAD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января 1943 немецкое командование поручило дело снабжения Сталинграда г-ф Э.Мильху и тот, прочесам летные школы, дополнительно изыскал 222 Ю-52 и 50 Хе-111, а АП дополнительно поставила 12 Хе-111 и 30 ФБ-200 + Ме-323 и 60 буксировщиков с 170 грузовыми планерами DFS-230 и Go-242. Хотели с 20 января поставлять 450 т в день, а с 1 февраля - 570 т. За 9 недель наши сбили 495, в т.ч. 269 Ю-52, 169 Хе-111, 42 Ю-86, 9 ФВ-200, 6 Ю-290. На земле уничтожили 530 (2783,31).</w:t>
      </w:r>
    </w:p>
    <w:p w14:paraId="2FBCD1D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CA9A8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января 1943 года немецкое командование поручило дело снабжения своих войск в районе Сталинграда заместителю Геринга - генерал фельдмаршалу Э.Мильху. Тот еще раз "прочесал" все учреждения и летные школы. Дополнительно было изыскано 222 Ю-52 и 50 Хе-111. Авиапромышленность смогла поставить 12 Хе-111 и 30 ФВ-200. Для решения задач транспортирования грузов было решено дополнительно привлечь 4, 6 и 27 бомбардировочные эскадры. Кроме того, на южный участок советско-германского фронта были переданы новейшие, только что сошедшие с заводского конвейера самолеты Ме-323. Сюда же направлялась 1-я учебная эскадра тяжелых транспортных планеров с 64 самолетами-буксировщиками. 170 грузовых планеров типа DFS-230 и Go-242 должны были прибыть на Украину к 18 января 1943 года (3573).</w:t>
      </w:r>
    </w:p>
    <w:p w14:paraId="6C9788E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6B1D8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января 1943 в ходе боевых действий войск ЛенФ и ВолхФ в районе Синявинских болот из 122 мм орудия впервые был подбит Т-IV тигр. По указанию Г.К.Ж. группа из 18 чел. с 4 танками под командованием ст.-л Косарева в ночь на 17 января отбуксировала танк в расположение наших частей (3398,26).</w:t>
      </w:r>
    </w:p>
    <w:p w14:paraId="0459367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A317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января 1943 года в районе Вар до был обнаружен конвой, состоявший из пяти транспортов и кораблей охраны. Против них вылетели два торпедоносца, которыми командовали капитаны В.И. Киселев и А.А. Баштырков (для последнего это был 106 боевой вылет). Торпеды, пущенные Хэмпденми потопили два транспорта, однако машина Баштыркова была сбита и весь экипаж погиб (2691).</w:t>
      </w:r>
    </w:p>
    <w:p w14:paraId="699886B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74BDE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января 1943 г. авиаразведкой в районе Варде был обнаружен вражеский конвой. Из-за плохой погоды смогли вылететь только два торпедоносца типа “Хэмпден” английского производства из состава 24-го минно-торпедного авиаполка, пилотируемые наиболее опытными летчиками полка капитанами В.Н.Киселевым и А.А.Баштырковым. В ходе атаки самолет Баштыркова был подбит зенитным огнем и загорелся. Горящая машина врезалась на небольшой высоте во вражеское судно. За этот подвиг Баштырков и стрелок-радист сержант В. Н.Гаврилов были посмертно удостоены звания Героя Советского Союза. В наградном листе на летчиков, подписанном командованием флота, этот эпизод выглядит несколько иначе: “...преодолев плотный вражеский зенитный огонь, торпедоносец потопил особо тщательно охраняемый транспорт противника. При отходе от цели самолет был сбит, его экипаж погиб". Кем и когда было принято решение считать этот боевой эпизод “огненным тараном” - неизвестно. Очевидно, постарались флотские политотдельцы. Также загадкой остается, почему в приказе не упомянут штурман? Или же экипаж отправился на задание в неполном составе и стрелок-радист летел вместо штурмана? (8942).</w:t>
      </w:r>
    </w:p>
    <w:p w14:paraId="68A6DD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869EA2"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1B809DF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FD7C7D" w14:textId="77777777" w:rsidR="00747FFA" w:rsidRPr="00D03F3E" w:rsidRDefault="00747FF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14–15 января (ночь) 1943 бомбардировочное командование Королевских ВВС начинает кампанию по бомбардировке портов во Франции с целью атаковать немецкие подводные лодки и их базы (20376).</w:t>
      </w:r>
    </w:p>
    <w:p w14:paraId="699DC882" w14:textId="77777777" w:rsidR="00747FFA" w:rsidRPr="00D03F3E" w:rsidRDefault="00747FFA" w:rsidP="00D03F3E">
      <w:pPr>
        <w:spacing w:after="0" w:line="240" w:lineRule="auto"/>
        <w:jc w:val="both"/>
        <w:rPr>
          <w:rFonts w:ascii="Times New Roman" w:hAnsi="Times New Roman"/>
          <w:color w:val="0070C0"/>
          <w:sz w:val="16"/>
          <w:szCs w:val="16"/>
        </w:rPr>
      </w:pPr>
    </w:p>
    <w:p w14:paraId="3039FDC1"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января 1943 Ф. Рузвельт и У. Черчилль начали конференцию в Касабланке (4962).</w:t>
      </w:r>
    </w:p>
    <w:p w14:paraId="3BC89ED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82941F"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14 января</w:t>
      </w:r>
      <w:r w:rsidRPr="00D03F3E">
        <w:rPr>
          <w:rFonts w:ascii="Times New Roman" w:hAnsi="Times New Roman"/>
          <w:color w:val="000000" w:themeColor="text1"/>
          <w:sz w:val="16"/>
          <w:szCs w:val="16"/>
        </w:rPr>
        <w:t xml:space="preserve"> в 1943 году президент США Рузвельт и британский премьер-министр Черчилль встречаются в Касабланке (15009).</w:t>
      </w:r>
    </w:p>
    <w:p w14:paraId="1E791FF6"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27CBEA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14 January 1943 (14-24-January) Allied Conference at Casablanca demands unconditional surrender of Axis Powers (270).</w:t>
      </w:r>
    </w:p>
    <w:p w14:paraId="54FA6F9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696EC0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14-24 января 1943 состоялась конференция союзников в Касабланке, которая потребовала безоговорочной капитуляции. На встрече присутствовали У.Черчиль, Ф.Д.Р. и Де Голь (2100).</w:t>
      </w:r>
    </w:p>
    <w:p w14:paraId="06E8FCD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Main results: Plans for invasion of Sicily and Italy; decision to invade (1052).</w:t>
      </w:r>
    </w:p>
    <w:p w14:paraId="333998F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Решили высадиться в Сицилии (1052).</w:t>
      </w:r>
    </w:p>
    <w:p w14:paraId="43ADAD5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Касабланке приняли директиву "Последовательное разрушение и дезорганизация военной промышленности и экономической системы Германии и подрыв морального духа немецкого народа, пока не будет решительно ослаблена его способность к сопротивлению" От американцев летали 8 ВА (Англия) и 15 ВА (Италия) (1261,31).</w:t>
      </w:r>
    </w:p>
    <w:p w14:paraId="78DFE79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C4E898"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14 января</w:t>
      </w:r>
      <w:r w:rsidRPr="00D03F3E">
        <w:rPr>
          <w:rFonts w:ascii="Times New Roman" w:hAnsi="Times New Roman"/>
          <w:color w:val="000000" w:themeColor="text1"/>
          <w:sz w:val="16"/>
          <w:szCs w:val="16"/>
        </w:rPr>
        <w:t xml:space="preserve"> в 1943 году (14–25 января) конференция президента США и премьер-министра Великобритании в Касабланке (Марокко). В конференции также приняли участие представители Франции генералы Анри Жиро и Шарль де Голль.Рузвельт выступает посредником между французскими генералами Жиро и де Голлем. Также Рузвельт провозгласил формулу «безоговорочной капитуляции Германии, Японии и Италии» (15009).</w:t>
      </w:r>
    </w:p>
    <w:p w14:paraId="5D1BED8D"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13752E5D"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14 января</w:t>
      </w:r>
      <w:r w:rsidRPr="00D03F3E">
        <w:rPr>
          <w:rFonts w:ascii="Times New Roman" w:hAnsi="Times New Roman"/>
          <w:color w:val="000000" w:themeColor="text1"/>
          <w:sz w:val="16"/>
          <w:szCs w:val="16"/>
        </w:rPr>
        <w:t xml:space="preserve"> в 1943 году японские войска начали активные военные действия на Гуадалканале с целью прикрытия своего отступления (15009).</w:t>
      </w:r>
    </w:p>
    <w:p w14:paraId="11806E18"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070C4D10"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7DF517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836A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января 1943 Зам. Нач. 7 ГУ Алексеев писал справку N 35/150 о передаче заводу 23 Ил-4 N 1606, находящегося в ЛИИ:</w:t>
      </w:r>
    </w:p>
    <w:p w14:paraId="5291042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"Указанный в письме директору завода 23 от 9 января 1943 N 156 Ил-4 N 1606 действительно находится в ЛИИ и на нем установлены и испытываются винты ВИШ-</w:t>
      </w:r>
      <w:r w:rsidRPr="00D03F3E">
        <w:rPr>
          <w:rFonts w:ascii="Times New Roman" w:hAnsi="Times New Roman"/>
          <w:color w:val="000000" w:themeColor="text1"/>
          <w:sz w:val="16"/>
          <w:szCs w:val="16"/>
        </w:rPr>
        <w:lastRenderedPageBreak/>
        <w:t>61Б и ВИШ-61Ф с деревянными лопастями и пламягасители.</w:t>
      </w:r>
    </w:p>
    <w:p w14:paraId="205833C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Задержка с передачей вызвана неисправностью ВМГ и плохой погодой, что задержало испытания.</w:t>
      </w:r>
    </w:p>
    <w:p w14:paraId="72C6AE8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задержке ЛИИ ставило в известность Дементьева и получило указание: до окончания испытаний винтов самолет не передавать.</w:t>
      </w:r>
    </w:p>
    <w:p w14:paraId="4B2195E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в дальнейшем никакие неисправности обнаружены не будут, испытания винтов будут закончены до 20 января 1943, после чего самолет будет немедленно передан на завод 23...(1767,23).</w:t>
      </w:r>
    </w:p>
    <w:p w14:paraId="6281AA1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67445F" w14:textId="77777777" w:rsidR="00FD45F9" w:rsidRPr="00D03F3E" w:rsidRDefault="00FD45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15 января 1943 года в адрес директора ОКБ-15 Б. Г. Шпитального пришло письмо из ГБТУ КА (Главного бронетанкового управления Красной армии, созданного в 1942 году в результате реорганизации ГАБТУ). Согласно ему, ремзавод №105 получал заказ на перевооружение четырёхсот танков Т-37 и Т-38. Поскольку существовал риск того, что в башню Т-38 не поместится штатная коробка с лентой для ТНШ, предусматривалась возможность использования магазинного питания. Представители ГБТУ просили Шпитального выделить специалистов из ОКБ-15 и направить их в Хабаровск.</w:t>
      </w:r>
    </w:p>
    <w:p w14:paraId="4BB6A855" w14:textId="77777777" w:rsidR="00FD45F9" w:rsidRPr="00D03F3E" w:rsidRDefault="00FD45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О том, насколько серьёзно рассматривался вопрос перевооружения, свидетельствует письмо, направленное из ГБТУ в Главное артиллерийское управление (ГАУ) чуть позже. В нём Алымов просил выделить для танков, которые планировалось перевооружать, полтора миллиона 20-мм выстрелов.</w:t>
      </w:r>
    </w:p>
    <w:p w14:paraId="3964AB15" w14:textId="77777777" w:rsidR="00FD45F9" w:rsidRPr="00D03F3E" w:rsidRDefault="00FD45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Позже работы по перевооружению Т-37 и Т-38 на некоторое время исчезли из поля зрения ГБТУ КА. Тем неожиданнее выглядит запрос, сделанный 27 ноября 1943 года начальником ТУ (Технического управления) ГБТУ КА генерал-майором Афониным:</w:t>
      </w:r>
    </w:p>
    <w:p w14:paraId="6604152D" w14:textId="77777777" w:rsidR="00FD45F9" w:rsidRPr="00D03F3E" w:rsidRDefault="00FD45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«По имеющимся сведениям в ТУ ГБТУ КА, в БТ и МВ Дальневосточного фронта производится перевооружение и экранирование танков.</w:t>
      </w:r>
    </w:p>
    <w:p w14:paraId="45AD434D" w14:textId="77777777" w:rsidR="00FD45F9" w:rsidRPr="00D03F3E" w:rsidRDefault="00FD45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Нам необходимы сведения о количестве выполненных работ.</w:t>
      </w:r>
    </w:p>
    <w:p w14:paraId="22FBC6A7" w14:textId="77777777" w:rsidR="00FD45F9" w:rsidRPr="00D03F3E" w:rsidRDefault="00FD45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Поэтому прошу Вас выслать в ТУ ГБТУ КА следующие данные:</w:t>
      </w:r>
    </w:p>
    <w:p w14:paraId="3000BACD" w14:textId="77777777" w:rsidR="00FD45F9" w:rsidRPr="00D03F3E" w:rsidRDefault="00FD45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1. Сколько танков Т-37 перевооружены пушками «ШВАК»…</w:t>
      </w:r>
    </w:p>
    <w:p w14:paraId="270B24EA" w14:textId="77777777" w:rsidR="00FD45F9" w:rsidRPr="00D03F3E" w:rsidRDefault="00FD45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Если судить по этому запросу, с января по ноябрь 1943 года в ГБТУ КА вопрос перевооружения Т-37 и Т-38 попросту упустили. Вполне возможно, что где-то в другом месте ситуация бы попросту застопорилась, но дело происходило на Дальнем Востоке, не избалованном военными заказами, и столь ответственное задание не было спущено на тормозах. В Хабаровске не только довели до ума установку из пушки ТНШ и спаренного с ним пулемёта ДТ в башне танка-разведчика, но и запустили процесс перевооружения на поток.</w:t>
      </w:r>
    </w:p>
    <w:p w14:paraId="7193E1B2" w14:textId="77777777" w:rsidR="00FD45F9" w:rsidRPr="00D03F3E" w:rsidRDefault="00FD45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О том, когда именно были закончены работы по проектированию установки ТНШ в Т-37 и Т-38, информации нет никакой. Зато можно с уверенностью говорить о том, что с этим непростым заданием ремзавод №105 успешно справился. Установка более мощной пушки увеличила боевую массу танка всего на 100 килограмм, что позволило сохранить его плавучесть. Ремзавод провел и испытания, которые показали вполне удовлетворительные результаты (17660).</w:t>
      </w:r>
    </w:p>
    <w:p w14:paraId="51466ED0" w14:textId="77777777" w:rsidR="00FD45F9" w:rsidRPr="00D03F3E" w:rsidRDefault="00FD45F9" w:rsidP="00D03F3E">
      <w:pPr>
        <w:spacing w:after="0" w:line="240" w:lineRule="auto"/>
        <w:jc w:val="both"/>
        <w:rPr>
          <w:rFonts w:ascii="Times New Roman" w:eastAsia="Times New Roman" w:hAnsi="Times New Roman"/>
          <w:color w:val="000000" w:themeColor="text1"/>
          <w:sz w:val="16"/>
          <w:szCs w:val="16"/>
          <w:lang w:eastAsia="ru-RU"/>
        </w:rPr>
      </w:pPr>
    </w:p>
    <w:p w14:paraId="1615F2DD"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15 января 1943 г. ЦКБ-22, перепроектировашее ПТАБ-1,5, под тем же индексом и с взрывателем АВ-108-3 предъявили на НИП АВ для производства полигонных испыта</w:t>
      </w:r>
      <w:r w:rsidRPr="00D03F3E">
        <w:rPr>
          <w:rFonts w:ascii="Times New Roman" w:cs="Times New Roman"/>
          <w:color w:val="000000" w:themeColor="text1"/>
          <w:spacing w:val="0"/>
        </w:rPr>
        <w:softHyphen/>
        <w:t>ний. Отчет по испытаниям главный инже</w:t>
      </w:r>
      <w:r w:rsidRPr="00D03F3E">
        <w:rPr>
          <w:rFonts w:ascii="Times New Roman" w:cs="Times New Roman"/>
          <w:color w:val="000000" w:themeColor="text1"/>
          <w:spacing w:val="0"/>
        </w:rPr>
        <w:softHyphen/>
        <w:t>нер ВВС КА генерал-лейтенант А.К. Репин утвердил 9 февраля.</w:t>
      </w:r>
    </w:p>
    <w:p w14:paraId="6312BED5"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Ответственным по испытаниям, как и прежде, был назначен инженер-майор Дьячков. Промышленность представлял конструктор бомбы и взрывателя к ней И.А. Ларионов. Летную часть программы испытаний выполнил летчик-испытатель полигона капитан А.В. Кусакин. Испытания были проведены в течение всего одного дня 24 января.</w:t>
      </w:r>
    </w:p>
    <w:p w14:paraId="612FD435"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Цель испытаний - проверить эффек</w:t>
      </w:r>
      <w:r w:rsidRPr="00D03F3E">
        <w:rPr>
          <w:rFonts w:ascii="Times New Roman" w:cs="Times New Roman"/>
          <w:color w:val="000000" w:themeColor="text1"/>
          <w:spacing w:val="0"/>
        </w:rPr>
        <w:softHyphen/>
        <w:t>тивность действия бомб этого типа по тан</w:t>
      </w:r>
      <w:r w:rsidRPr="00D03F3E">
        <w:rPr>
          <w:rFonts w:ascii="Times New Roman" w:cs="Times New Roman"/>
          <w:color w:val="000000" w:themeColor="text1"/>
          <w:spacing w:val="0"/>
        </w:rPr>
        <w:softHyphen/>
        <w:t>кам, их безотказность в действии, а также определить рациональную укладку бомб в штатные кассеты мелких бомб штурмовиков и бомбардировщиков.</w:t>
      </w:r>
    </w:p>
    <w:p w14:paraId="02ECE580"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Основные изменения в конструкции бомбы сводились к следующему. Длину и диаметр ПТАБ-1,5 привели в соответствие с габаритами штатной бомбы калибра 2,5 кг. Длина бомбы находилась в пре</w:t>
      </w:r>
      <w:r w:rsidRPr="00D03F3E">
        <w:rPr>
          <w:rFonts w:ascii="Times New Roman" w:cs="Times New Roman"/>
          <w:color w:val="000000" w:themeColor="text1"/>
          <w:spacing w:val="0"/>
        </w:rPr>
        <w:softHyphen/>
        <w:t>делах 355-360 мм, диаметр корпуса - 61-65 мм, размах оперения - 65 мм. Диа</w:t>
      </w:r>
      <w:r w:rsidRPr="00D03F3E">
        <w:rPr>
          <w:rFonts w:ascii="Times New Roman" w:cs="Times New Roman"/>
          <w:color w:val="000000" w:themeColor="text1"/>
          <w:spacing w:val="0"/>
        </w:rPr>
        <w:softHyphen/>
        <w:t>метр ветрянки уменьшили с 70 до 58 мм, и изменили форму детонаторной шашки.</w:t>
      </w:r>
    </w:p>
    <w:p w14:paraId="552D16B9"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Корпус ПТАБ-1,5 изготав</w:t>
      </w:r>
      <w:r w:rsidRPr="00D03F3E">
        <w:rPr>
          <w:rFonts w:ascii="Times New Roman" w:cs="Times New Roman"/>
          <w:color w:val="000000" w:themeColor="text1"/>
          <w:spacing w:val="0"/>
        </w:rPr>
        <w:softHyphen/>
        <w:t>ливался из жести и состо</w:t>
      </w:r>
      <w:r w:rsidRPr="00D03F3E">
        <w:rPr>
          <w:rFonts w:ascii="Times New Roman" w:cs="Times New Roman"/>
          <w:color w:val="000000" w:themeColor="text1"/>
          <w:spacing w:val="0"/>
        </w:rPr>
        <w:softHyphen/>
        <w:t>ял из жесткого цилиндра и штампованной сфериче</w:t>
      </w:r>
      <w:r w:rsidRPr="00D03F3E">
        <w:rPr>
          <w:rFonts w:ascii="Times New Roman" w:cs="Times New Roman"/>
          <w:color w:val="000000" w:themeColor="text1"/>
          <w:spacing w:val="0"/>
        </w:rPr>
        <w:softHyphen/>
        <w:t>ской головки. Кумулятивная выемка бомбы была кониче</w:t>
      </w:r>
      <w:r w:rsidRPr="00D03F3E">
        <w:rPr>
          <w:rFonts w:ascii="Times New Roman" w:cs="Times New Roman"/>
          <w:color w:val="000000" w:themeColor="text1"/>
          <w:spacing w:val="0"/>
        </w:rPr>
        <w:softHyphen/>
        <w:t>ской формы с диаметром у основания 56 мм при вы</w:t>
      </w:r>
      <w:r w:rsidRPr="00D03F3E">
        <w:rPr>
          <w:rFonts w:ascii="Times New Roman" w:cs="Times New Roman"/>
          <w:color w:val="000000" w:themeColor="text1"/>
          <w:spacing w:val="0"/>
        </w:rPr>
        <w:softHyphen/>
        <w:t>соте 32 мм, то есть фактор кумуляции (отношение вы</w:t>
      </w:r>
      <w:r w:rsidRPr="00D03F3E">
        <w:rPr>
          <w:rFonts w:ascii="Times New Roman" w:cs="Times New Roman"/>
          <w:color w:val="000000" w:themeColor="text1"/>
          <w:spacing w:val="0"/>
        </w:rPr>
        <w:softHyphen/>
        <w:t>соты конуса к его диаметру у основания) равнялся 0,57. Толщина металлической об</w:t>
      </w:r>
      <w:r w:rsidRPr="00D03F3E">
        <w:rPr>
          <w:rFonts w:ascii="Times New Roman" w:cs="Times New Roman"/>
          <w:color w:val="000000" w:themeColor="text1"/>
          <w:spacing w:val="0"/>
        </w:rPr>
        <w:softHyphen/>
        <w:t>лицовки кумулятивной вы</w:t>
      </w:r>
      <w:r w:rsidRPr="00D03F3E">
        <w:rPr>
          <w:rFonts w:ascii="Times New Roman" w:cs="Times New Roman"/>
          <w:color w:val="000000" w:themeColor="text1"/>
          <w:spacing w:val="0"/>
        </w:rPr>
        <w:softHyphen/>
        <w:t>емки была всего 1 мм. Для увеличения осколочного действия на цилиндриче</w:t>
      </w:r>
      <w:r w:rsidRPr="00D03F3E">
        <w:rPr>
          <w:rFonts w:ascii="Times New Roman" w:cs="Times New Roman"/>
          <w:color w:val="000000" w:themeColor="text1"/>
          <w:spacing w:val="0"/>
        </w:rPr>
        <w:softHyphen/>
        <w:t>скую часть бомбы дополни</w:t>
      </w:r>
      <w:r w:rsidRPr="00D03F3E">
        <w:rPr>
          <w:rFonts w:ascii="Times New Roman" w:cs="Times New Roman"/>
          <w:color w:val="000000" w:themeColor="text1"/>
          <w:spacing w:val="0"/>
        </w:rPr>
        <w:softHyphen/>
        <w:t>тельно надевалась стальная 1,5-мм «рубашка». Вес не окончательно снаряженной бомбы (без взрывателя) со</w:t>
      </w:r>
      <w:r w:rsidRPr="00D03F3E">
        <w:rPr>
          <w:rFonts w:ascii="Times New Roman" w:cs="Times New Roman"/>
          <w:color w:val="000000" w:themeColor="text1"/>
          <w:spacing w:val="0"/>
        </w:rPr>
        <w:softHyphen/>
        <w:t>ставлял 1,170 кг.</w:t>
      </w:r>
    </w:p>
    <w:p w14:paraId="3DCD8C07"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Бомба снаряжалась мощным взрывчатым ве</w:t>
      </w:r>
      <w:r w:rsidRPr="00D03F3E">
        <w:rPr>
          <w:rFonts w:ascii="Times New Roman" w:cs="Times New Roman"/>
          <w:color w:val="000000" w:themeColor="text1"/>
          <w:spacing w:val="0"/>
        </w:rPr>
        <w:softHyphen/>
        <w:t>ществом типа ТГА (вес - 640 г). Это была смесь тротила (50%) и гексогена (40%) с добавлением 10% алюминиевой пудры. Алю</w:t>
      </w:r>
      <w:r w:rsidRPr="00D03F3E">
        <w:rPr>
          <w:rFonts w:ascii="Times New Roman" w:cs="Times New Roman"/>
          <w:color w:val="000000" w:themeColor="text1"/>
          <w:spacing w:val="0"/>
        </w:rPr>
        <w:softHyphen/>
        <w:t>миний добавлялся с целью усиления зажигательных свойств кумулятивной струи. Во всяком случае, так в то время считали.</w:t>
      </w:r>
    </w:p>
    <w:p w14:paraId="1181CAB4"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Загрузка бомб в штатные кассеты мел</w:t>
      </w:r>
      <w:r w:rsidRPr="00D03F3E">
        <w:rPr>
          <w:rFonts w:ascii="Times New Roman" w:cs="Times New Roman"/>
          <w:color w:val="000000" w:themeColor="text1"/>
          <w:spacing w:val="0"/>
        </w:rPr>
        <w:softHyphen/>
        <w:t>ких бомб самолета Ил-2 (КМБ и КМБ-2) по</w:t>
      </w:r>
      <w:r w:rsidRPr="00D03F3E">
        <w:rPr>
          <w:rFonts w:ascii="Times New Roman" w:cs="Times New Roman"/>
          <w:color w:val="000000" w:themeColor="text1"/>
          <w:spacing w:val="0"/>
        </w:rPr>
        <w:softHyphen/>
        <w:t>казала, что в них можно было уложить 68 и 70 бомб, соответственно. То есть полная за</w:t>
      </w:r>
      <w:r w:rsidRPr="00D03F3E">
        <w:rPr>
          <w:rFonts w:ascii="Times New Roman" w:cs="Times New Roman"/>
          <w:color w:val="000000" w:themeColor="text1"/>
          <w:spacing w:val="0"/>
        </w:rPr>
        <w:softHyphen/>
        <w:t>грузка самолета Ил-2 бомбами этого типа составляла 272-280 штук, что равнялось 325-340 кг. Это количество сочли вполне достаточным для эффективного боевого применения самолета.</w:t>
      </w:r>
    </w:p>
    <w:p w14:paraId="3B4A0CEB"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кассету бомбардировщика Пе-2 (КМБ-Пе-2), умещалось только 51 ПТАБ-1,5 или 102 бомбы на самолет (всего 125 кг). Явно мало для такой большой машины.</w:t>
      </w:r>
    </w:p>
    <w:p w14:paraId="22DE6FAF"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Специалисты полигона отметили, что габаритные размеры бомб - диаметры бомбы и цилиндра стабилизатора, а также размах стабилизатора, выходят за пределы технических требований на 1 -4 мм. Кроме того, конструктором бомбы не был отрабо</w:t>
      </w:r>
      <w:r w:rsidRPr="00D03F3E">
        <w:rPr>
          <w:rFonts w:ascii="Times New Roman" w:cs="Times New Roman"/>
          <w:color w:val="000000" w:themeColor="text1"/>
          <w:spacing w:val="0"/>
        </w:rPr>
        <w:softHyphen/>
        <w:t>тан способ надежной контровки ветрянки взрывателя. Все это не давало гарантии безопасной эксплуатации боеприпаса в войсках.</w:t>
      </w:r>
    </w:p>
    <w:p w14:paraId="4A6F5E05"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Для определения эффективности ПТАБ-1,5 было подорвано 14 бомб непо</w:t>
      </w:r>
      <w:r w:rsidRPr="00D03F3E">
        <w:rPr>
          <w:rFonts w:ascii="Times New Roman" w:cs="Times New Roman"/>
          <w:color w:val="000000" w:themeColor="text1"/>
          <w:spacing w:val="0"/>
        </w:rPr>
        <w:softHyphen/>
        <w:t>средственно на броне немецкого штурмо</w:t>
      </w:r>
      <w:r w:rsidRPr="00D03F3E">
        <w:rPr>
          <w:rFonts w:ascii="Times New Roman" w:cs="Times New Roman"/>
          <w:color w:val="000000" w:themeColor="text1"/>
          <w:spacing w:val="0"/>
        </w:rPr>
        <w:softHyphen/>
        <w:t>вого орудия 81иС III. Подрывы выполнялись под углами 90,45,30,15 и 0 градусов к по</w:t>
      </w:r>
      <w:r w:rsidRPr="00D03F3E">
        <w:rPr>
          <w:rFonts w:ascii="Times New Roman" w:cs="Times New Roman"/>
          <w:color w:val="000000" w:themeColor="text1"/>
          <w:spacing w:val="0"/>
        </w:rPr>
        <w:softHyphen/>
        <w:t>верхности брони. Перед подрывом с целью имитации удара о броню танка головная часть бомбы деформировалась.</w:t>
      </w:r>
    </w:p>
    <w:p w14:paraId="2D76D0AA"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Эффект от подрывов ПТАБ-1,5 пре</w:t>
      </w:r>
      <w:r w:rsidRPr="00D03F3E">
        <w:rPr>
          <w:rFonts w:ascii="Times New Roman" w:cs="Times New Roman"/>
          <w:color w:val="000000" w:themeColor="text1"/>
          <w:spacing w:val="0"/>
        </w:rPr>
        <w:softHyphen/>
        <w:t>взошел все ожидания. В диапазоне углов встречи (угол между нормалью к броне и осью бомбы) от 0 до 60° кумулятивная струя бомбы легко пробивала броню толщиной 50 мм, а при больших углах - 30 мм. При</w:t>
      </w:r>
      <w:r w:rsidRPr="00D03F3E">
        <w:rPr>
          <w:rFonts w:ascii="Times New Roman" w:cs="Times New Roman"/>
          <w:color w:val="000000" w:themeColor="text1"/>
          <w:spacing w:val="0"/>
        </w:rPr>
        <w:softHyphen/>
        <w:t>чем, если поражение 50-мм брони име</w:t>
      </w:r>
      <w:r w:rsidRPr="00D03F3E">
        <w:rPr>
          <w:rFonts w:ascii="Times New Roman" w:cs="Times New Roman"/>
          <w:color w:val="000000" w:themeColor="text1"/>
          <w:spacing w:val="0"/>
        </w:rPr>
        <w:softHyphen/>
        <w:t>ло вид отверстия с входным диаметром 30-35 мм, то пробитие 30-мм брони со</w:t>
      </w:r>
      <w:r w:rsidRPr="00D03F3E">
        <w:rPr>
          <w:rFonts w:ascii="Times New Roman" w:cs="Times New Roman"/>
          <w:color w:val="000000" w:themeColor="text1"/>
          <w:spacing w:val="0"/>
        </w:rPr>
        <w:softHyphen/>
        <w:t>провождалось широкими проломами. При подрыве ПТАБ-1,5 под углом встречи 60° была пробита броня толщиной 52 мм и вы</w:t>
      </w:r>
      <w:r w:rsidRPr="00D03F3E">
        <w:rPr>
          <w:rFonts w:ascii="Times New Roman" w:cs="Times New Roman"/>
          <w:color w:val="000000" w:themeColor="text1"/>
          <w:spacing w:val="0"/>
        </w:rPr>
        <w:softHyphen/>
        <w:t>бит кусок бортовой 30-мм брони размерами 200x300 мм. Практически во всех случаях пробитие брони сопровождалось отколом брони вокруг выходного отверстия.</w:t>
      </w:r>
    </w:p>
    <w:p w14:paraId="422FE459" w14:textId="77777777" w:rsidR="00113EE2" w:rsidRPr="00D03F3E" w:rsidRDefault="00113E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Бомбометание в воздухе выполнялось с самолета Ил-2 с горизонтального по</w:t>
      </w:r>
      <w:r w:rsidRPr="00D03F3E">
        <w:rPr>
          <w:rFonts w:ascii="Times New Roman" w:hAnsi="Times New Roman"/>
          <w:color w:val="000000" w:themeColor="text1"/>
          <w:sz w:val="16"/>
          <w:szCs w:val="16"/>
        </w:rPr>
        <w:softHyphen/>
        <w:t>лета на скорости 280 км/ч с высот 50 м и 75-100 м. Из четырех кассет две были при</w:t>
      </w:r>
      <w:r w:rsidRPr="00D03F3E">
        <w:rPr>
          <w:rFonts w:ascii="Times New Roman" w:hAnsi="Times New Roman"/>
          <w:color w:val="000000" w:themeColor="text1"/>
          <w:sz w:val="16"/>
          <w:szCs w:val="16"/>
        </w:rPr>
        <w:softHyphen/>
        <w:t>менены одиночно и две серией с интер</w:t>
      </w:r>
      <w:r w:rsidRPr="00D03F3E">
        <w:rPr>
          <w:rFonts w:ascii="Times New Roman" w:hAnsi="Times New Roman"/>
          <w:color w:val="000000" w:themeColor="text1"/>
          <w:sz w:val="16"/>
          <w:szCs w:val="16"/>
        </w:rPr>
        <w:softHyphen/>
        <w:t>валом 0,25 с. Бомбы укладывались вниз головной частью, ветрянки не контрились.</w:t>
      </w:r>
    </w:p>
    <w:p w14:paraId="4257F4F6"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Бомбили все ту же трофейную самоходку 51иС III. С высоты 50 м было сброшено 43, а с высоты 75-100 м -185 бомб. Все бомбы падали устойчиво и сработали нормально, отказов не было. Минимальная высота, эбеспечивающая выравнивание бомбы до встречи с поверхностью брони танка и без- зтказность ее действия была установлена завной 70 м.</w:t>
      </w:r>
    </w:p>
    <w:p w14:paraId="435D57E9"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Несмотря на то, что не было получено ми одного попадания в танк, специалисты НИП АВ сделали положительные выводы .13 результатов испытаний ПТАБ-1,5 и ре</w:t>
      </w:r>
      <w:r w:rsidRPr="00D03F3E">
        <w:rPr>
          <w:rFonts w:ascii="Times New Roman" w:cs="Times New Roman"/>
          <w:color w:val="000000" w:themeColor="text1"/>
          <w:spacing w:val="0"/>
        </w:rPr>
        <w:softHyphen/>
        <w:t>комендовали бомбу «для принятия на во</w:t>
      </w:r>
      <w:r w:rsidRPr="00D03F3E">
        <w:rPr>
          <w:rFonts w:ascii="Times New Roman" w:cs="Times New Roman"/>
          <w:color w:val="000000" w:themeColor="text1"/>
          <w:spacing w:val="0"/>
        </w:rPr>
        <w:softHyphen/>
        <w:t>оружение ВВС КА как бомбы специального -назначения». При этом до запуска валовой партии от ЦКБ-22 требовалось обеспе</w:t>
      </w:r>
      <w:r w:rsidRPr="00D03F3E">
        <w:rPr>
          <w:rFonts w:ascii="Times New Roman" w:cs="Times New Roman"/>
          <w:color w:val="000000" w:themeColor="text1"/>
          <w:spacing w:val="0"/>
        </w:rPr>
        <w:softHyphen/>
        <w:t>чить полное соответствие бомб этого типа ТУ-5-40 и отработку контровки взрывате</w:t>
      </w:r>
      <w:r w:rsidRPr="00D03F3E">
        <w:rPr>
          <w:rFonts w:ascii="Times New Roman" w:cs="Times New Roman"/>
          <w:color w:val="000000" w:themeColor="text1"/>
          <w:spacing w:val="0"/>
        </w:rPr>
        <w:softHyphen/>
        <w:t>ля. Кроме того, предлагалось «от 1-й се- р.-и партию бомб... подать на НИП АВ на  онтрольные испытания в количестве не менее 800 шт.».</w:t>
      </w:r>
    </w:p>
    <w:p w14:paraId="6F02579D"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Кроме инженер-майора Дьячкова заключение по результатам испытаний ТГАБ-1,5 подписали: начальник 3-го отде- -ения опытного отдела НИП АВ майор Гал</w:t>
      </w:r>
      <w:r w:rsidRPr="00D03F3E">
        <w:rPr>
          <w:rFonts w:ascii="Times New Roman" w:cs="Times New Roman"/>
          <w:color w:val="000000" w:themeColor="text1"/>
          <w:spacing w:val="0"/>
        </w:rPr>
        <w:softHyphen/>
        <w:t>кин, начальник опытного отдела подполков</w:t>
      </w:r>
      <w:r w:rsidRPr="00D03F3E">
        <w:rPr>
          <w:rFonts w:ascii="Times New Roman" w:cs="Times New Roman"/>
          <w:color w:val="000000" w:themeColor="text1"/>
          <w:spacing w:val="0"/>
        </w:rPr>
        <w:softHyphen/>
        <w:t>ник Фомин и начальник полигона полковник Лобачев.</w:t>
      </w:r>
    </w:p>
    <w:p w14:paraId="47E8174C"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ходе доработки бомбы под требования массового производства и эксплуатации в войсках она получила другое обозна</w:t>
      </w:r>
      <w:r w:rsidRPr="00D03F3E">
        <w:rPr>
          <w:rFonts w:ascii="Times New Roman" w:cs="Times New Roman"/>
          <w:color w:val="000000" w:themeColor="text1"/>
          <w:spacing w:val="0"/>
        </w:rPr>
        <w:softHyphen/>
        <w:t>чение-ПТАБ-2,5-1,5.</w:t>
      </w:r>
    </w:p>
    <w:p w14:paraId="2DD2A2CA"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 этому времени в ЦКБ-22 был отра</w:t>
      </w:r>
      <w:r w:rsidRPr="00D03F3E">
        <w:rPr>
          <w:rFonts w:ascii="Times New Roman" w:cs="Times New Roman"/>
          <w:color w:val="000000" w:themeColor="text1"/>
          <w:spacing w:val="0"/>
        </w:rPr>
        <w:softHyphen/>
        <w:t>ботан более надежный донный взрыватель АД-А мгновенного действия. Предохрани</w:t>
      </w:r>
      <w:r w:rsidRPr="00D03F3E">
        <w:rPr>
          <w:rFonts w:ascii="Times New Roman" w:cs="Times New Roman"/>
          <w:color w:val="000000" w:themeColor="text1"/>
          <w:spacing w:val="0"/>
        </w:rPr>
        <w:softHyphen/>
        <w:t>тельный механизм включал крыльчатку, П-образную чеку и предохранительную пру</w:t>
      </w:r>
      <w:r w:rsidRPr="00D03F3E">
        <w:rPr>
          <w:rFonts w:ascii="Times New Roman" w:cs="Times New Roman"/>
          <w:color w:val="000000" w:themeColor="text1"/>
          <w:spacing w:val="0"/>
        </w:rPr>
        <w:softHyphen/>
        <w:t>жину. Чека фиксировала крыльчатку и обе</w:t>
      </w:r>
      <w:r w:rsidRPr="00D03F3E">
        <w:rPr>
          <w:rFonts w:ascii="Times New Roman" w:cs="Times New Roman"/>
          <w:color w:val="000000" w:themeColor="text1"/>
          <w:spacing w:val="0"/>
        </w:rPr>
        <w:softHyphen/>
        <w:t xml:space="preserve">спечивала безопасность взрывателя. При укладке бомбы в кассеты цилиндрический стабилизатор бомбы закрывался крышкой с </w:t>
      </w:r>
      <w:r w:rsidRPr="00D03F3E">
        <w:rPr>
          <w:rStyle w:val="ArialNarrow-1pt"/>
          <w:rFonts w:ascii="Times New Roman" w:hAnsi="Times New Roman" w:cs="Times New Roman"/>
          <w:b w:val="0"/>
          <w:color w:val="000000" w:themeColor="text1"/>
          <w:spacing w:val="0"/>
          <w:sz w:val="16"/>
          <w:szCs w:val="16"/>
        </w:rPr>
        <w:t>П</w:t>
      </w:r>
      <w:r w:rsidRPr="00D03F3E">
        <w:rPr>
          <w:rFonts w:ascii="Times New Roman" w:cs="Times New Roman"/>
          <w:color w:val="000000" w:themeColor="text1"/>
          <w:spacing w:val="0"/>
        </w:rPr>
        <w:t>-образной предохранительной чекой. По</w:t>
      </w:r>
      <w:r w:rsidRPr="00D03F3E">
        <w:rPr>
          <w:rFonts w:ascii="Times New Roman" w:cs="Times New Roman"/>
          <w:color w:val="000000" w:themeColor="text1"/>
          <w:spacing w:val="0"/>
        </w:rPr>
        <w:softHyphen/>
        <w:t>сле сброса бомбы крышку срывало потоком воздуха, крыльчатка начинала вращаться и после определенного числа оборотов от</w:t>
      </w:r>
      <w:r w:rsidRPr="00D03F3E">
        <w:rPr>
          <w:rFonts w:ascii="Times New Roman" w:cs="Times New Roman"/>
          <w:color w:val="000000" w:themeColor="text1"/>
          <w:spacing w:val="0"/>
        </w:rPr>
        <w:softHyphen/>
        <w:t>делялась от бомбы, освобождая ударник. Взрыватель вставал на боевой взвод. При соударении бомбы с преградой ударник перемещался, сжимал предохранительную пружину и накалывал жалом капсюль-дето</w:t>
      </w:r>
      <w:r w:rsidRPr="00D03F3E">
        <w:rPr>
          <w:rFonts w:ascii="Times New Roman" w:cs="Times New Roman"/>
          <w:color w:val="000000" w:themeColor="text1"/>
          <w:spacing w:val="0"/>
        </w:rPr>
        <w:softHyphen/>
        <w:t>натор. Взрывной импульс инициировал дей</w:t>
      </w:r>
      <w:r w:rsidRPr="00D03F3E">
        <w:rPr>
          <w:rFonts w:ascii="Times New Roman" w:cs="Times New Roman"/>
          <w:color w:val="000000" w:themeColor="text1"/>
          <w:spacing w:val="0"/>
        </w:rPr>
        <w:softHyphen/>
        <w:t>ствие промежуточного детонатора, который затем вызывал детонацию взрывчатого ве</w:t>
      </w:r>
      <w:r w:rsidRPr="00D03F3E">
        <w:rPr>
          <w:rFonts w:ascii="Times New Roman" w:cs="Times New Roman"/>
          <w:color w:val="000000" w:themeColor="text1"/>
          <w:spacing w:val="0"/>
        </w:rPr>
        <w:softHyphen/>
        <w:t>щества бомбы.</w:t>
      </w:r>
    </w:p>
    <w:p w14:paraId="04BBF39B"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Помимо своего прямого назначения, взрыватель АД-А использовался еще и для крепления стабилизатора бомбы к корпусу самой бомбы (12739).</w:t>
      </w:r>
    </w:p>
    <w:p w14:paraId="397D3B14"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p>
    <w:p w14:paraId="145049D5" w14:textId="77777777" w:rsidR="00FD45F9" w:rsidRPr="00D03F3E" w:rsidRDefault="00FD45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15 января 1943 г. перепроектированную в ЦКБ-22 в авральном порядке ПТАБ-1,5 под тем же индексом и с взрывателем АВ-108-3 предъявили на НИП АВ для производства поли</w:t>
      </w:r>
      <w:r w:rsidRPr="00D03F3E">
        <w:rPr>
          <w:color w:val="000000" w:themeColor="text1"/>
          <w:sz w:val="16"/>
          <w:szCs w:val="16"/>
        </w:rPr>
        <w:softHyphen/>
        <w:t>гонных испытаний. Отчет по испытаниям главный инженер ВВС КА генерал-лейтенант А. К. Репин ут</w:t>
      </w:r>
      <w:r w:rsidRPr="00D03F3E">
        <w:rPr>
          <w:color w:val="000000" w:themeColor="text1"/>
          <w:sz w:val="16"/>
          <w:szCs w:val="16"/>
        </w:rPr>
        <w:softHyphen/>
        <w:t>вердил 9 февраля.</w:t>
      </w:r>
    </w:p>
    <w:p w14:paraId="672D2281" w14:textId="77777777" w:rsidR="00FD45F9" w:rsidRPr="00D03F3E" w:rsidRDefault="00FD45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Ответственным по испытаниям, как и прежде, был назначен ведущий инженер 3-го отделения опытного отдела НИП АВ инженер-майор Дьячков. Промышленность представлял конструктор бом</w:t>
      </w:r>
      <w:r w:rsidRPr="00D03F3E">
        <w:rPr>
          <w:color w:val="000000" w:themeColor="text1"/>
          <w:sz w:val="16"/>
          <w:szCs w:val="16"/>
        </w:rPr>
        <w:softHyphen/>
        <w:t>бы и взрывателя к ней старший инженер ЦКБ-22 И. А. Ларионов. Летную часть программы испыта</w:t>
      </w:r>
      <w:r w:rsidRPr="00D03F3E">
        <w:rPr>
          <w:color w:val="000000" w:themeColor="text1"/>
          <w:sz w:val="16"/>
          <w:szCs w:val="16"/>
        </w:rPr>
        <w:softHyphen/>
        <w:t>ний выполнил летчик-испытатель полигона капитан А. В. Кусакин. Испытания были проведены в течение всего одного дня: 24 января.</w:t>
      </w:r>
    </w:p>
    <w:p w14:paraId="49919C8F" w14:textId="77777777" w:rsidR="00FD45F9" w:rsidRPr="00D03F3E" w:rsidRDefault="00FD45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Цель испытаний — проверить эффективность действия бомб этого типа по танкам, их безотказ ность в действии, а также определить рациональ</w:t>
      </w:r>
      <w:r w:rsidRPr="00D03F3E">
        <w:rPr>
          <w:color w:val="000000" w:themeColor="text1"/>
          <w:sz w:val="16"/>
          <w:szCs w:val="16"/>
        </w:rPr>
        <w:softHyphen/>
        <w:t>ную укладку бомб в штатные кассеты мелких бомб штурмовиков и бомбардировщиков.</w:t>
      </w:r>
    </w:p>
    <w:p w14:paraId="722FF0CA" w14:textId="77777777" w:rsidR="00FD45F9" w:rsidRPr="00D03F3E" w:rsidRDefault="00FD45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Основные изменения в конструкции бомбы сво</w:t>
      </w:r>
      <w:r w:rsidRPr="00D03F3E">
        <w:rPr>
          <w:color w:val="000000" w:themeColor="text1"/>
          <w:sz w:val="16"/>
          <w:szCs w:val="16"/>
        </w:rPr>
        <w:softHyphen/>
        <w:t>дились к следующему. Длину и диаметр ПТАБ-1,5 привели в соответствие с габаритами штатной бом</w:t>
      </w:r>
      <w:r w:rsidRPr="00D03F3E">
        <w:rPr>
          <w:color w:val="000000" w:themeColor="text1"/>
          <w:sz w:val="16"/>
          <w:szCs w:val="16"/>
        </w:rPr>
        <w:softHyphen/>
        <w:t>бы калибра 2,5 кг. Длина бомбы находилась в пре</w:t>
      </w:r>
      <w:r w:rsidRPr="00D03F3E">
        <w:rPr>
          <w:color w:val="000000" w:themeColor="text1"/>
          <w:sz w:val="16"/>
          <w:szCs w:val="16"/>
        </w:rPr>
        <w:softHyphen/>
        <w:t>делах 355—360 мм, диаметр корпуса — 61—65 мм, размах оперения — 65 мм. Диаметр ветрянки уменьшили с 70 до 58 мм. Изменили форму дето- наторной шашки. Корпус ПТАБ-1,5 изготавливался из жести и состоял из жесткого цилиндра и штам</w:t>
      </w:r>
      <w:r w:rsidRPr="00D03F3E">
        <w:rPr>
          <w:color w:val="000000" w:themeColor="text1"/>
          <w:sz w:val="16"/>
          <w:szCs w:val="16"/>
        </w:rPr>
        <w:softHyphen/>
        <w:t xml:space="preserve">пованной сферической головки. </w:t>
      </w:r>
      <w:r w:rsidRPr="00D03F3E">
        <w:rPr>
          <w:color w:val="000000" w:themeColor="text1"/>
          <w:sz w:val="16"/>
          <w:szCs w:val="16"/>
        </w:rPr>
        <w:lastRenderedPageBreak/>
        <w:t>Кумулятивная вы</w:t>
      </w:r>
      <w:r w:rsidRPr="00D03F3E">
        <w:rPr>
          <w:color w:val="000000" w:themeColor="text1"/>
          <w:sz w:val="16"/>
          <w:szCs w:val="16"/>
        </w:rPr>
        <w:softHyphen/>
        <w:t>емка бомбы была конической формы с диаметром у основания 56 мм при высоте 32 мм, то есть фак</w:t>
      </w:r>
      <w:r w:rsidRPr="00D03F3E">
        <w:rPr>
          <w:color w:val="000000" w:themeColor="text1"/>
          <w:sz w:val="16"/>
          <w:szCs w:val="16"/>
        </w:rPr>
        <w:softHyphen/>
        <w:t>тор кумуляции (отношение высоты конуса к его диаметру у основания) равнялся 0,57. Толщина металлической облицовки кумулятивной выемки была всего 1 мм. Для увеличения осколочного дей</w:t>
      </w:r>
      <w:r w:rsidRPr="00D03F3E">
        <w:rPr>
          <w:color w:val="000000" w:themeColor="text1"/>
          <w:sz w:val="16"/>
          <w:szCs w:val="16"/>
        </w:rPr>
        <w:softHyphen/>
        <w:t>ствия на цилиндрическую часть бомбы дополни</w:t>
      </w:r>
      <w:r w:rsidRPr="00D03F3E">
        <w:rPr>
          <w:color w:val="000000" w:themeColor="text1"/>
          <w:sz w:val="16"/>
          <w:szCs w:val="16"/>
        </w:rPr>
        <w:softHyphen/>
        <w:t>тельно надевалась стальная 1,5-мм «рубашка». Вес не окончательно снаряженной (без взрывателя) бомбы составлял 1,170 кг.</w:t>
      </w:r>
    </w:p>
    <w:p w14:paraId="3435633B" w14:textId="77777777" w:rsidR="00FD45F9" w:rsidRPr="00D03F3E" w:rsidRDefault="00FD45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Бомба снаряжалась мощным взрывчатым веще</w:t>
      </w:r>
      <w:r w:rsidRPr="00D03F3E">
        <w:rPr>
          <w:color w:val="000000" w:themeColor="text1"/>
          <w:sz w:val="16"/>
          <w:szCs w:val="16"/>
        </w:rPr>
        <w:softHyphen/>
        <w:t>ством типа ТГА (вес — 0,640 кг) — смесь тротила (50%) и гексогена (40%) с добавлением 10% алюми</w:t>
      </w:r>
      <w:r w:rsidRPr="00D03F3E">
        <w:rPr>
          <w:color w:val="000000" w:themeColor="text1"/>
          <w:sz w:val="16"/>
          <w:szCs w:val="16"/>
        </w:rPr>
        <w:softHyphen/>
        <w:t>ниевой пудры. Алюминий добавлялся с целью уси</w:t>
      </w:r>
      <w:r w:rsidRPr="00D03F3E">
        <w:rPr>
          <w:color w:val="000000" w:themeColor="text1"/>
          <w:sz w:val="16"/>
          <w:szCs w:val="16"/>
        </w:rPr>
        <w:softHyphen/>
        <w:t>ления зажигательных свойств кумулятивной струи. Во всяком случае, так в то время считали.</w:t>
      </w:r>
    </w:p>
    <w:p w14:paraId="7F2C8CFF" w14:textId="77777777" w:rsidR="00FD45F9" w:rsidRPr="00D03F3E" w:rsidRDefault="00FD45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Загрузка бомб в штатные кассеты мелких бомб самолета Ил-2 — КМБ и КМБ-2 — показала, что в них можно было уложить 68 и 70 бомб соответ</w:t>
      </w:r>
      <w:r w:rsidRPr="00D03F3E">
        <w:rPr>
          <w:color w:val="000000" w:themeColor="text1"/>
          <w:sz w:val="16"/>
          <w:szCs w:val="16"/>
        </w:rPr>
        <w:softHyphen/>
        <w:t>ственно. То есть полная загрузка самолета Ил-2 бомбами этого типа составляла 272—280 штук — 325—340 кг. Это количество сочли вполне доста</w:t>
      </w:r>
      <w:r w:rsidRPr="00D03F3E">
        <w:rPr>
          <w:color w:val="000000" w:themeColor="text1"/>
          <w:sz w:val="16"/>
          <w:szCs w:val="16"/>
        </w:rPr>
        <w:softHyphen/>
        <w:t>точным для эффективного боевого применения бомб.</w:t>
      </w:r>
    </w:p>
    <w:p w14:paraId="6B2A062D" w14:textId="77777777" w:rsidR="00FD45F9" w:rsidRPr="00D03F3E" w:rsidRDefault="00FD45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кассету бомбардировщика Пе-2 — КМБ-Пе-2 — умещалась только 51 ПТАБ-1,5 или 102 бомбы на самолет (всего 125 кг). Этого было явно мало для такой большой машины, как «пешка».</w:t>
      </w:r>
    </w:p>
    <w:p w14:paraId="463BC9C8" w14:textId="77777777" w:rsidR="00FD45F9" w:rsidRPr="00D03F3E" w:rsidRDefault="00FD45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Специалисты полигона отметили, что габарит</w:t>
      </w:r>
      <w:r w:rsidRPr="00D03F3E">
        <w:rPr>
          <w:color w:val="000000" w:themeColor="text1"/>
          <w:sz w:val="16"/>
          <w:szCs w:val="16"/>
        </w:rPr>
        <w:softHyphen/>
        <w:t>ные размеры бомб — диаметры бомбы и цилиндра стабилизатора, а также размах стабилизатора — выходят за пределы ТУ-5-40 на 1—4 мм. Кроме того, конструктором бомбы не был отработан способ на</w:t>
      </w:r>
      <w:r w:rsidRPr="00D03F3E">
        <w:rPr>
          <w:color w:val="000000" w:themeColor="text1"/>
          <w:sz w:val="16"/>
          <w:szCs w:val="16"/>
        </w:rPr>
        <w:softHyphen/>
        <w:t>дежной контровки ветрянки взрывателя АВ-108-3.</w:t>
      </w:r>
    </w:p>
    <w:p w14:paraId="7EB8EAF9" w14:textId="77777777" w:rsidR="00FD45F9" w:rsidRPr="00D03F3E" w:rsidRDefault="00FD45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Все это не давало гарантии безопасной эксплуата</w:t>
      </w:r>
      <w:r w:rsidRPr="00D03F3E">
        <w:rPr>
          <w:color w:val="000000" w:themeColor="text1"/>
          <w:sz w:val="16"/>
          <w:szCs w:val="16"/>
        </w:rPr>
        <w:softHyphen/>
        <w:t>ции боеприпаса в войсках.</w:t>
      </w:r>
    </w:p>
    <w:p w14:paraId="171B5330" w14:textId="77777777" w:rsidR="00FD45F9" w:rsidRPr="00D03F3E" w:rsidRDefault="00FD45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определения эффективности ПТАБ-1,5 бы</w:t>
      </w:r>
      <w:r w:rsidRPr="00D03F3E">
        <w:rPr>
          <w:rFonts w:ascii="Times New Roman" w:hAnsi="Times New Roman"/>
          <w:color w:val="000000" w:themeColor="text1"/>
          <w:sz w:val="16"/>
          <w:szCs w:val="16"/>
        </w:rPr>
        <w:softHyphen/>
        <w:t xml:space="preserve">ло подорвано 14 бомб непосредственно на броне немецкого штурмового орудия </w:t>
      </w:r>
      <w:r w:rsidRPr="00D03F3E">
        <w:rPr>
          <w:rFonts w:ascii="Times New Roman" w:hAnsi="Times New Roman"/>
          <w:color w:val="000000" w:themeColor="text1"/>
          <w:sz w:val="16"/>
          <w:szCs w:val="16"/>
          <w:lang w:val="en-US"/>
        </w:rPr>
        <w:t>StuG</w:t>
      </w:r>
      <w:r w:rsidRPr="00D03F3E">
        <w:rPr>
          <w:rFonts w:ascii="Times New Roman" w:hAnsi="Times New Roman"/>
          <w:color w:val="000000" w:themeColor="text1"/>
          <w:sz w:val="16"/>
          <w:szCs w:val="16"/>
        </w:rPr>
        <w:t xml:space="preserve"> III толщиной 16, 30 и 52 мм. Подрывы выполнялись под углом 90, 45, 30, 15 и 0 градусов к поверхности брони. Перед подрывом с целью имитации удара о бро</w:t>
      </w:r>
      <w:r w:rsidRPr="00D03F3E">
        <w:rPr>
          <w:rFonts w:ascii="Times New Roman" w:hAnsi="Times New Roman"/>
          <w:color w:val="000000" w:themeColor="text1"/>
          <w:sz w:val="16"/>
          <w:szCs w:val="16"/>
        </w:rPr>
        <w:softHyphen/>
        <w:t>ню танка головная часть бомбы деформирова</w:t>
      </w:r>
      <w:r w:rsidRPr="00D03F3E">
        <w:rPr>
          <w:rFonts w:ascii="Times New Roman" w:hAnsi="Times New Roman"/>
          <w:color w:val="000000" w:themeColor="text1"/>
          <w:sz w:val="16"/>
          <w:szCs w:val="16"/>
        </w:rPr>
        <w:softHyphen/>
        <w:t>лась.</w:t>
      </w:r>
    </w:p>
    <w:p w14:paraId="0E530E50" w14:textId="77777777" w:rsidR="00FD45F9" w:rsidRPr="00D03F3E" w:rsidRDefault="00FD45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Эффект от подрывов ПТАБ-1,5 превзошел все ожидания. В диапазоне углов встречи (угол между нормалью к броне и осью бомбы) от 0 до 60° ку</w:t>
      </w:r>
      <w:r w:rsidRPr="00D03F3E">
        <w:rPr>
          <w:color w:val="000000" w:themeColor="text1"/>
          <w:sz w:val="16"/>
          <w:szCs w:val="16"/>
        </w:rPr>
        <w:softHyphen/>
        <w:t>мулятивная струя бомбы легко пробивала броню толщиной 50 мм, а при больших углах — 30 мм. Причем если поражение 50-мм брони имело вид отверстия с входным диаметром 30—35 мм, то пробитие 30-мм брони сопровождалось широки</w:t>
      </w:r>
      <w:r w:rsidRPr="00D03F3E">
        <w:rPr>
          <w:color w:val="000000" w:themeColor="text1"/>
          <w:sz w:val="16"/>
          <w:szCs w:val="16"/>
        </w:rPr>
        <w:softHyphen/>
        <w:t>ми проломами. При подрыве ПТАБ-1,5 под углом встречи 60° была пробита броня толщиной 52 мм и выломан кусок бортовой 30-мм брони размером 200x300 мм. Практически во всех случаях пробитие брони сопровождалось отколом брони вокруг вы</w:t>
      </w:r>
      <w:r w:rsidRPr="00D03F3E">
        <w:rPr>
          <w:color w:val="000000" w:themeColor="text1"/>
          <w:sz w:val="16"/>
          <w:szCs w:val="16"/>
        </w:rPr>
        <w:softHyphen/>
        <w:t>ходного отверстия.</w:t>
      </w:r>
    </w:p>
    <w:p w14:paraId="2358DD8B" w14:textId="77777777" w:rsidR="00FD45F9" w:rsidRPr="00D03F3E" w:rsidRDefault="00FD45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Бомбометание в воздухе выполнялось с само</w:t>
      </w:r>
      <w:r w:rsidRPr="00D03F3E">
        <w:rPr>
          <w:color w:val="000000" w:themeColor="text1"/>
          <w:sz w:val="16"/>
          <w:szCs w:val="16"/>
        </w:rPr>
        <w:softHyphen/>
        <w:t>лета Ил-2 с горизонтального полета на скорости 280 км/ч с высоты 50 и 75—100 м. Из 4 кассет 2 бы</w:t>
      </w:r>
      <w:r w:rsidRPr="00D03F3E">
        <w:rPr>
          <w:color w:val="000000" w:themeColor="text1"/>
          <w:sz w:val="16"/>
          <w:szCs w:val="16"/>
        </w:rPr>
        <w:softHyphen/>
        <w:t>ли применены одиночно и 2 серией с интервалом 0,25 сек. Бомбы укладывались вниз головной ча</w:t>
      </w:r>
      <w:r w:rsidRPr="00D03F3E">
        <w:rPr>
          <w:color w:val="000000" w:themeColor="text1"/>
          <w:sz w:val="16"/>
          <w:szCs w:val="16"/>
        </w:rPr>
        <w:softHyphen/>
        <w:t>стью, ветрянки не контрились.</w:t>
      </w:r>
    </w:p>
    <w:p w14:paraId="2337E61B" w14:textId="77777777" w:rsidR="00FD45F9" w:rsidRPr="00D03F3E" w:rsidRDefault="00FD45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Бомбили все ту же трофейную самоходку — </w:t>
      </w:r>
      <w:r w:rsidRPr="00D03F3E">
        <w:rPr>
          <w:color w:val="000000" w:themeColor="text1"/>
          <w:sz w:val="16"/>
          <w:szCs w:val="16"/>
          <w:lang w:val="en-US"/>
        </w:rPr>
        <w:t>StuG</w:t>
      </w:r>
      <w:r w:rsidRPr="00D03F3E">
        <w:rPr>
          <w:color w:val="000000" w:themeColor="text1"/>
          <w:sz w:val="16"/>
          <w:szCs w:val="16"/>
        </w:rPr>
        <w:t xml:space="preserve"> III. С высоты 50 м было сброшено 43, а с высо</w:t>
      </w:r>
      <w:r w:rsidRPr="00D03F3E">
        <w:rPr>
          <w:color w:val="000000" w:themeColor="text1"/>
          <w:sz w:val="16"/>
          <w:szCs w:val="16"/>
        </w:rPr>
        <w:softHyphen/>
        <w:t>ты 75—100 м — 185 бомб. Все бомбы падали устой</w:t>
      </w:r>
      <w:r w:rsidRPr="00D03F3E">
        <w:rPr>
          <w:color w:val="000000" w:themeColor="text1"/>
          <w:sz w:val="16"/>
          <w:szCs w:val="16"/>
        </w:rPr>
        <w:softHyphen/>
        <w:t>чиво и подействовали нормально, отказов не было. Минимальная высота, обеспечивающая выравнива</w:t>
      </w:r>
      <w:r w:rsidRPr="00D03F3E">
        <w:rPr>
          <w:color w:val="000000" w:themeColor="text1"/>
          <w:sz w:val="16"/>
          <w:szCs w:val="16"/>
        </w:rPr>
        <w:softHyphen/>
        <w:t>ние бомбы до встречи с поверхностью брони тан</w:t>
      </w:r>
      <w:r w:rsidRPr="00D03F3E">
        <w:rPr>
          <w:color w:val="000000" w:themeColor="text1"/>
          <w:sz w:val="16"/>
          <w:szCs w:val="16"/>
        </w:rPr>
        <w:softHyphen/>
        <w:t>ка и безотказность ее действия, была установлена равной 70 м.</w:t>
      </w:r>
    </w:p>
    <w:p w14:paraId="32834DA9" w14:textId="77777777" w:rsidR="00FD45F9" w:rsidRPr="00D03F3E" w:rsidRDefault="00FD45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Несмотря на то что не было получено ни одно</w:t>
      </w:r>
      <w:r w:rsidRPr="00D03F3E">
        <w:rPr>
          <w:color w:val="000000" w:themeColor="text1"/>
          <w:sz w:val="16"/>
          <w:szCs w:val="16"/>
        </w:rPr>
        <w:softHyphen/>
        <w:t>го попадания в танк, специалисты НИП АВ сделали положительные выводы из результатов испытаний ПТАБ-1,5 и рекомендовали бомбу «для принятия на вооружение ВВС КА как бомбы специального назначения». При этом до запуска валовой партии от ЦКБ-22 требовалось обеспечить полное соот</w:t>
      </w:r>
      <w:r w:rsidRPr="00D03F3E">
        <w:rPr>
          <w:color w:val="000000" w:themeColor="text1"/>
          <w:sz w:val="16"/>
          <w:szCs w:val="16"/>
        </w:rPr>
        <w:softHyphen/>
        <w:t>ветствие бомб этого типа ТУ-5-40 и отработку кон- тровки взрывателя. Кроме того, предлагалось «от 1-й серии партию бомб /.../ подать на НИП АВ на контрольные испытания в количестве не менее 800 шт.».</w:t>
      </w:r>
    </w:p>
    <w:p w14:paraId="72471A8B" w14:textId="77777777" w:rsidR="00FD45F9" w:rsidRPr="00D03F3E" w:rsidRDefault="00FD45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Помимо инженера-майора Дьячкова заключе</w:t>
      </w:r>
      <w:r w:rsidRPr="00D03F3E">
        <w:rPr>
          <w:color w:val="000000" w:themeColor="text1"/>
          <w:sz w:val="16"/>
          <w:szCs w:val="16"/>
        </w:rPr>
        <w:softHyphen/>
        <w:t>ние по результатам испытаний ПТАБ-1,5 подписали начальник 3-го отделения опытного отдела НИП АВ майор Галкин, начальник опытного отдела подпол</w:t>
      </w:r>
      <w:r w:rsidRPr="00D03F3E">
        <w:rPr>
          <w:color w:val="000000" w:themeColor="text1"/>
          <w:sz w:val="16"/>
          <w:szCs w:val="16"/>
        </w:rPr>
        <w:softHyphen/>
        <w:t>ковник Фомин и начальник полигона полковник Лобачев.</w:t>
      </w:r>
    </w:p>
    <w:p w14:paraId="2CD231A5" w14:textId="77777777" w:rsidR="00FD45F9" w:rsidRPr="00D03F3E" w:rsidRDefault="00FD45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доработки бомбы под требования мас</w:t>
      </w:r>
      <w:r w:rsidRPr="00D03F3E">
        <w:rPr>
          <w:color w:val="000000" w:themeColor="text1"/>
          <w:sz w:val="16"/>
          <w:szCs w:val="16"/>
        </w:rPr>
        <w:softHyphen/>
        <w:t>сового производства и эксплуатации в войсках она получила другое обозначение — ПТАБ-2,5-1,5 (17500).</w:t>
      </w:r>
    </w:p>
    <w:p w14:paraId="16C75731" w14:textId="77777777" w:rsidR="00FD45F9" w:rsidRPr="00D03F3E" w:rsidRDefault="00FD45F9" w:rsidP="00D03F3E">
      <w:pPr>
        <w:spacing w:after="0" w:line="240" w:lineRule="auto"/>
        <w:jc w:val="both"/>
        <w:rPr>
          <w:rFonts w:ascii="Times New Roman" w:eastAsia="Times New Roman" w:hAnsi="Times New Roman"/>
          <w:color w:val="000000" w:themeColor="text1"/>
          <w:sz w:val="16"/>
          <w:szCs w:val="16"/>
          <w:lang w:eastAsia="ru-RU"/>
        </w:rPr>
      </w:pPr>
    </w:p>
    <w:p w14:paraId="7868BAE1"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64D63FE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5E45A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января 1943 вышло Постановление ГКО № 2744 Об оказании помощи топливом Горьковским электростанциям.РГАНИР, Фонд ГКО, д. 82, лл. 80-81 (11012).</w:t>
      </w:r>
    </w:p>
    <w:p w14:paraId="5DA1FA9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18640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января 1943 вышло Постановление ГКО № 2745 О плане снабжения торфом на I квартал 1943 года.РГАНИР, Фонд ГКО, д. 82, лл. 82-83, 84-97 (11012).</w:t>
      </w:r>
    </w:p>
    <w:p w14:paraId="04C238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F3370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января 1943 вышло Распоряжение ГКО № 2746. О форсировании изготовления аппаратуры для правительственной ВЧ связи.РГАНИР, Фонд ГКО, д. 82, лл. 98 (11012).</w:t>
      </w:r>
    </w:p>
    <w:p w14:paraId="7292BEF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B5D9A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января 1943 вышло Постановление ГКО № 2747 Об увеличении выпуска 152 мм пушек-гаубиц образца 1937 года МЛ-20 на заводе № 172 имени Молотова Наркомата Вооружения.РГАНИР, Фонд ГКО, д. 82, лл. 99-100 (11012).</w:t>
      </w:r>
    </w:p>
    <w:p w14:paraId="156B01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1545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января 1943 вышло Распоряжение ГКО № 2749. О заготовке экстрактовых дубовых дров на I квартал 1943 г. с распределением по дубильно-экстрактовым заводам.РГАНИР, Фонд ГКО, д. 82, лл. 130-131, 132-133 (11012).</w:t>
      </w:r>
    </w:p>
    <w:p w14:paraId="5C11183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DB672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января 1943 вышло Распоряжение ГКО № 2749 [О заготовке экстрактовых дубовых дров на I квартал 1943 г. с распределением по дубильно-экстрактовым заводам.] (7075, 130-131,132-133).</w:t>
      </w:r>
    </w:p>
    <w:p w14:paraId="7A11F7B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594DE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января 1943 вышло Постановление ГКО № 2750 О материально-техническом обеспечении танковой промышленности в I квартале 1943 года.РГАНИР, Фонд ГКО, д. 82, лл. 134-157, 158-200 (11012).</w:t>
      </w:r>
    </w:p>
    <w:p w14:paraId="630E345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FBBC6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января 1943 года - Предложения В.Г. Хлопина об организации работ по атомной проблеме (10549).</w:t>
      </w:r>
    </w:p>
    <w:p w14:paraId="7E76EB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2E7BF6"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95657D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73E9C2"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15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19DB827C"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15 января наши войска в районе Нижнего Дона, на Центральном фронте и на Северном Кавказе продолжали бои на прежних направлениях.</w:t>
      </w:r>
    </w:p>
    <w:p w14:paraId="15297BB5"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заводском районе Сталинграда наши штурмовые отряды выбивали немцев из укреплений и домов. Бойцы Н-ской части разрушили 56 дзотов и очистили от противника улицу. Захвачены 5 орудий, 4 миномёта, 20 пулемётов, 150 винтовок и боеприпасы. Взяты пленные.</w:t>
      </w:r>
    </w:p>
    <w:p w14:paraId="737B8C1E"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Нижнего Дона наши войска, преодолевая сопротивление противника и отбивая его контратаки, продолжали наступление и заняли несколько населённых пунктов. На одном участке крупные силы танков и пехоты противника предприняли контратаку. Советские войска выдержали натиск гитлеровцев, а затем контрударом отбросили их на исходные позиции. Уничтожено свыше 800 немецких солдат и офицеров, подбито и сожжено 19 вражеских танков. На другом участке наши подразделения выбили противника из сильно укреплённого населённого пункта и захватили бронемашину, 4 орудия, 6 миномётов, склад боеприпасов и радиостанцию.</w:t>
      </w:r>
    </w:p>
    <w:p w14:paraId="65BB5208"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юго-западнее Великих Лук два батальона немецкой пехотыи отряд автоматчиков, поддержанные танками и бронемашинами, атаковали позиции Н-ской части. В результате ожесточённого боя гитлеровцы были отброшены на исходные позиции. На поле боя осталось более 200 вражеских трупов и 8 подбитых немецких танков. На другом участке наши бойцы овладели несколькими опорными пунктами противника. Взяты трофеи и 250 пленных.</w:t>
      </w:r>
    </w:p>
    <w:p w14:paraId="5E46F5EA"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с боями продвигались вперёд и заняли несколько населённых пунктов. Пытаясь задержать продвижение советских частей, немцы предприняли ряд контратак. Все контратаки отбиты с большими для противника потерями. В течение ночи на участке Н-ской части уничтожено свыше роты немецкой пехоты, подбито и сожжено 4 танка и 7 автомашин. Огнём нашей артиллерии взорвано2 склада боеприпасов противника.</w:t>
      </w:r>
    </w:p>
    <w:p w14:paraId="6354F942"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Курской области, в начале января совершили налёт на занятую противником железнодорожную станцию и истребили 95 гитлеровцев.Советские патриоты взорвали оборудование станций, телефонно-телеграфный узел, 18 вагонов с углём и склад с боеприпасами. Партизаны разрушили 600 метров полотна двухколейной железной дороги. Движение поездов на этом участке было приостановлено на несколько суток.</w:t>
      </w:r>
    </w:p>
    <w:p w14:paraId="4DEB3E5B"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оккупированных немцами районов Ростовской области, в боях с противником истребил более 40 гитлеровцев. Партизанами захвачено 5 пулемётов, более 100 винтовок и много боеприпасов.</w:t>
      </w:r>
    </w:p>
    <w:p w14:paraId="54C3F9AE"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Жители ныне освобождённого села Заветное, Ростовской области, рассказали о чудовищных злодеяниях немецко-фашистских мерзавцев. В конце сентября в село нагрянул отряд эсэсовских головорезов. Днём и ночью гитлеровцы охотились за советскими гражданами, эвакуированными из других областей, а также за колхозными активистами и членами их семей. Бандиты увозили целые семьи на автомашинах за село в балку и там после долгих издевательств и пыток убивали их. Немцы запрещали убирать и хоронить трупы замученных. По предварительным данным, гитлеровцы убили до 300 мирных советских граждан.» (15010).</w:t>
      </w:r>
    </w:p>
    <w:p w14:paraId="7D4E7321"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45A3C0E8"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15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362C714E"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«15 января наши войска на Северном Кавказе, продолжая наступление, овладели городом и железнодорожной станцией Благодарное, городом Александровское, районным центром Солуно-Дмитриевское, крупными населёнными пунктами — Садовое, Нагутское, Бекешевская и железнодорожной станцией Кагутская.</w:t>
      </w:r>
    </w:p>
    <w:p w14:paraId="62037BD3"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Северного Донца наши войска овладели районным центром Литвиновка, крупными населёнными пунктами — Груцинов, Самбуров, Дядин, Поцелуев, Бородинов, Ерофеевка и железнодорожной станцией Глубокая.</w:t>
      </w:r>
    </w:p>
    <w:p w14:paraId="3AB23A39"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Зимовники наши войска овладели районным центром Орловская, крупными населёнными пунктами — Батлаевская, Московский, Татников, Ряска, Денисовский, Новая Надежда, Атамановский, Греков, Красное Знамя, Луганский, Быстрянский, Потёмкинский, Кундрюченский и железнодорожными станциями Двойная, Куренный.</w:t>
      </w:r>
    </w:p>
    <w:p w14:paraId="62707E1D"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января частями нашей авиации на различных участках фронта уничтожено или повреждено 60 автомашин с войсками и грузами, подавлен огонь 7 артиллерийских батарей, разбит железнодорожный состав, взорваны 3 склада боеприпасов и склад горючего, рассеяно и частью уничтожено до двух рот пехоты противника.</w:t>
      </w:r>
    </w:p>
    <w:p w14:paraId="10A2FD79"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заводском районе Сталинграда наши штурмовые отряды, отражая контратаки противника, продвинулись вперёд на 600 метров. Очищено от гитлеровцев ещё несколько улиц. Уничтожено до 600 немецких солдат и офицеров, свыше 100 огневых точек и блиндажей, подбито несколько немецких танков.</w:t>
      </w:r>
    </w:p>
    <w:p w14:paraId="57E2C3C0"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уничтожили на аэродромах 7 и сбили в воздушных боях 3 самолёта противника.</w:t>
      </w:r>
    </w:p>
    <w:p w14:paraId="317C90D1"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Нижнего Дона наши войска, преодолевая сопротивление противника, продолжали наступление. За истекший день бойцы Н-ской части освободили от немецко-фашистских захватчиков несколько населённых пунктов. В ожесточённых боях с противником уничтожено свыше 400 гитлеровцев, взяты пленные и трофеи. На другом участке немцы пытались вернуть потерянный накануне выгодный рубеж. Все контратаки противника были отбиты с большими для него потерями.</w:t>
      </w:r>
    </w:p>
    <w:p w14:paraId="12CC6344"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юго-западнее и северо-западнее Великих Лук, наши войска отражали контратаки противника и нанесли ему большой урон. Взято в плен свыше 500 немецких солдат и офицеров. Часть, где командиром тов. Простяков, в последних боях истребила батальон немецкой пехоты и уничтожила 9 танков. На другом участке бойцы подразделения под командованием младшего лейтенанта Гордиенко охраняли шоссейную дорогу между двумя крупными населёнными пунктами.Отряд немецких автоматчиков под прикрытием 10 танков пытался овладеть этой дорогой. Наши бойцы уничтожили 2 танка и несколько десятков вражеских солдат. На следующий день гитлеровцы возобновили атаку, но, потеряв 4 танка и значительное количество солдат, были вынуждены отойти. Все 6 вражеских танков поджёг стрелявший из противотанкового ружья сержант тов. Никитин.</w:t>
      </w:r>
    </w:p>
    <w:p w14:paraId="4608EA2A"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ломая сопротивление противника, продолжали успешное наступление. Советские подвижные отряды проникают глубоко в тылы вражеских войск и разрушают их коммуникации. Части Н-ского соединения, продвигаясь с боями вперёд, заняли несколько населённых пунктов и железнодорожную станцию. Все попытки гитлеровцев задержать на одном из участков продвижение советских войск закончились разгромом противника. Уничтожено до1.500 немецких солдат и офицеров, 7 танков, 10 орудий и 12 бронетранспортёров. Взорвано 5 складов боеприпасов. Наши части захватили 36 танков, 1.200 автомашини, кроме того, 3 железнодорожных эшелона с автомашинами, 5 эшелонов с обмундированием и продовольствием, эшелон со скотом, 10 паровозов, 200 вагонов и другие трофеи. На другом участке наши передовые отряды вышли к крупному населённому пункту и завязали бой с вражеским гарнизоном. Захвачено 13 немецких танков и взято в плен свыше 400 человек.</w:t>
      </w:r>
    </w:p>
    <w:p w14:paraId="5F0C2B84"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белорусских партизан, действующий в Могилёвской области, истребил в бою 96 немецких солдат и офицеров. Много гитлеровцев ранено. На поле боя остались подбитая бронемашина и выведенная из строя танкетка. Отряд гомельских партизан внезапно напал на немецкий гарнизон и истребил 40 немцев. Захвачены 3 пулемёта, 30 винтовок, 8 револьверов и боеприпасы.</w:t>
      </w:r>
    </w:p>
    <w:p w14:paraId="70EE541F"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сторону Красной Армии перешла группа солдат 114 мотострелкового гренадерского полка 6 немецкой танковой дивизии. Пленные Альфред М., Генрих Б., Вильгельм К. и другие рассказали: «Наша дивизия последнее время находилась во Франции. Здесь полки были укомплектованы и проходили усиленное обучение. Предполагалось, что дивизия займёт ранее не оккупированные районы Южной Франции. Однако неожиданно всё переменилось. В конце ноября нас спешно отправили в Россию. На какой участок фронта нас посылают, мы не знали, но настроение у всех было подавленное. На фронте перед дивизией была поставлена задача — совместно с другими соединениями прорваться и выручить окружённые под Сталинградом войска. По приказу командования мы должны были в первый день рождества быть в Сталинграде. За несколько дней боёв наша дивизия потеряла 60 танков и понесла огромные потери в людях. У нас оставалось два выхода: погибнуть или выйти из войны. Мы сговорились и сдались в плен».</w:t>
      </w:r>
    </w:p>
    <w:p w14:paraId="021E1C0E"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5827030D"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Успешное наступление наших войск южнее Воронежа.</w:t>
      </w:r>
    </w:p>
    <w:p w14:paraId="6BACEBE1"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днях наши войска, расположенные южнее Воронежа, перешли в наступление против немецко-фашистских войск. Наступление началось на трёх направлениях: из районов Селявное и Щучье на юго-запад, из района Кантемировка — на северо-запад и запад. Прорвав сильно укреплённую оборону противника в районе Селявное протяжением 45 километров, в районе Щучье протяжением 50 километров и в районе Кантемировка протяжением 60 километров, наши войска за три дня напряжённых боёв, преодолевая сопротивление противника, продвинулись вперёд на 50—90 километров. Нашими войсками занято более 600 населённых пунктов, в том числе город и железнодорожный узел Россошь, районные центры и железнодорожные станции Ольховатка, Митрофановка, Пухово, районные центры — Репьевка, Красное, Ровеньки, Марковка, Каменка, железнодорожные станции Мелогорье, Рыбальчино, Сотницкое.</w:t>
      </w:r>
    </w:p>
    <w:p w14:paraId="63E205A1"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наступления наших войск разгромлены 9 пехотных дивизий противника, из них три дивизии немецких и шесть дивизий венгерских.</w:t>
      </w:r>
    </w:p>
    <w:p w14:paraId="70FEEB18"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три дня боёв взято в плен 17.000 солдат и офицеров противника.</w:t>
      </w:r>
    </w:p>
    <w:p w14:paraId="7E8DF05A"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это же время, по неполным данным, нашими войсками взяты следующие трофеи:танков — 75, орудий разных калибров — 800, миномётов — 493, пулемётов — 1.200, винтовок — 14.000, автомашин — 520, тракторов — 130, повозок — 672, лошадей —700, радиостанций — 21, снарядов — 350.000, патронов — свыше 5 миллионов, складов с боеприпасами, снаряжением и продовольствием — 70. Подсчёт трофеев продолжается.</w:t>
      </w:r>
    </w:p>
    <w:p w14:paraId="264A979F"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Уничтожено: танков — 135, орудий — 210, самолётов — 17.</w:t>
      </w:r>
    </w:p>
    <w:p w14:paraId="16A76A08"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три дня боёв противник потерял только убитыми до 15.000 солдат и офицеров.</w:t>
      </w:r>
    </w:p>
    <w:p w14:paraId="2F9B8262"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Прорыв обороны противника осуществлён силами Воронежского фронта подкомандованием генерал-лейтенанта тов. Голикова Ф.И. и Юго-Западного фронта подкомандованием генерал-полковника тов. Ватутина Н.Ф. Координацию действий обоихфронтов осуществлял представитель Ставки Верховного Главнокомандованиягенерал-полковник тов. Василевский А М.</w:t>
      </w:r>
    </w:p>
    <w:p w14:paraId="7BE5BC65"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боях отличились войска генерал-майора тов. Москаленко К.С.,генерал-лейтенанта тов. Харитонова Ф.М., генерал-майора тов. Зыкова П.М., танковые соединения генерал-майора тов. Рыбалко П.С. и кавалерийские соединения генерал-лейтенанта тов. Соколова С.В.».</w:t>
      </w:r>
    </w:p>
    <w:p w14:paraId="377963E1"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 Ликвидация окруженных немецко-фашистских войск в районе Cталинграда близится к концу.</w:t>
      </w:r>
    </w:p>
    <w:p w14:paraId="46F98BE0"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сообщало Советское Информбюро в «Итогах 6-недельного наступления наших войск на подступах Сталинграда», за время наступления с 19 ноября 1942 года, Красная Армия в краткий срок успешно провела труднейшую операцию, окружив плотным кольцом 22 дивизии противника в районе Сталинграда. В числе окружённых вражеских войск — три танковых, три моторизованных, пятнадцать пехотных и одна кавалерийская дивизии. Кроме того, были окружены три артиллерийских полка резерва Главного командования немецкой армии, четыре зенитных полка, один миномётный полк и четыре отдельных сапёрных батальона.</w:t>
      </w:r>
    </w:p>
    <w:p w14:paraId="6E77E1BF"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моменту наступления наших войск северо-западнее и юго-западнее Сталинграда немецкие войска, действовавшие под Сталинградом, насчитывали с армейскими и корпусными тылами до 200—220 тысяч личного состава. С 23 ноября 1942 года эти войска находятся в полном окружении.</w:t>
      </w:r>
    </w:p>
    <w:p w14:paraId="081C4045"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Еще до полного окружения немецко-фашистских войск под Сталинградом КраснойАрмией были полностью разгромлены 44, 376 и 384 немецкие дивизии, остатки которых находятся ныне среди окружённых вражеских войск. В последние недели наши войска систематическими бомбардировками с воздуха, мощным артиллерийским огнём и атаками наземных войск истребили большое количество солдат и офицеров из окружённой группировки противника.</w:t>
      </w:r>
    </w:p>
    <w:p w14:paraId="3EDA4F7D"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будучи лишены путей подвоза продовольствия, окружённые немецко-фашистские войска оказались в катастрофическом состоянии. Окружённые немецкие солдаты получают всего по 100—150 граммов хлеба на день. В ряде окружённых гитлеровских частей уже съедены трупы дохлых лошадей. Попытка германского командования подбросить своим войскам продовольствие при помощи транспортной авиации провалилась. С 19 ноября по 10 января под Сталинградом сбито свыше 600 транспортных самолётов. От голода и истощения среди солдат распространяются эпидемические заболевания. Полевые госпитали давно уже не могу твместить всех раненых и больных. К тому же немецкие солдаты под Сталинградом не имеют зимней одежды. Число смертных случаев от обмораживания растёт с каждым днём. По показаниям пленных, ежедневно умирает только от истощения и замерзает в поле 400—500 солдат, а всего немецкие войска, окружённые под Сталинградом, теряют не менее 1.500 солдат ежедневно.</w:t>
      </w:r>
    </w:p>
    <w:p w14:paraId="58283FA2"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всего этого немецко-фашистские войска за время их окружения под Сталинградом понесли большие потери в людях. В настоящее время личный состав окружённых немецко-фашистских войск не превышает 70—80 тысяч человек.».</w:t>
      </w:r>
    </w:p>
    <w:p w14:paraId="1B1DFFCC"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«Советское командование в лице представителя Ставки Верховного Главнокомандования Красной Армии генерал-полковника артиллерии Воронова Н.Н. икомандующего войсками Донского фронта генерал-лейтенанта Рокоссовского К.К., во избежание напрасного кровопролития, пред'явило 8 января 1943 года следующий ультиматум командованию и всему офицерскому и рядовому составу окружённых подСталинградом германских войск:</w:t>
      </w:r>
    </w:p>
    <w:p w14:paraId="68EAF5B2"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Командующему шестой германской армией генерал-полковнику Паулюсу или его заместителю и всему офицерскому и рядовому составу окружённых германских войск под Сталинградом.</w:t>
      </w:r>
    </w:p>
    <w:p w14:paraId="18E09D89"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германская армия, соединения 4 танковой армии и приданные им части усиления находятся в полном окружении с 23 ноября 1942 года.</w:t>
      </w:r>
    </w:p>
    <w:p w14:paraId="7C084B83"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Части Красной Армии окружили эту группу германских войск плотным кольцом. Все надежды на спасение ваших войск путём наступления германских войск с юга и юго-запада не оправдались: спешившие вам на помощь германские войска разбиты частями Красной Армии и остатки этих войск отступают на Ростов.</w:t>
      </w:r>
    </w:p>
    <w:p w14:paraId="6545CA03"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Германская транспортная авиация, перевозящая вам голодную норму продовольствия, боеприпасов и горючего, в связи с успешным стремительным продвижением Красной Армии вынуждена часто менять аэродромы и летать в расположение окружённых войск издалека. К тому же германская транспортна яавиация несёт огромные потери в самолётах и экипажах от русской авиации. Её помощь окружённым войскам становится нереальной.</w:t>
      </w:r>
    </w:p>
    <w:p w14:paraId="4163C4CF"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Положение ваших окружённых войск тяжёлое, они испытывают голод, болезни и холод. Суровая русская зима только начинается. Сильные морозы, холодные ветры и метели ещё впереди, а ваши солдаты не обеспечены зимним обмундированием и находятся в тяжёлых антисанитарных условиях.</w:t>
      </w:r>
    </w:p>
    <w:p w14:paraId="2B820C5F"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 как командующий, и все офицеры окружённых войск отлично понимаете, что увас нет никаких реальных возможностей прорвать кольцо окружения. Ваше положение безнадёжное, и дальнейшее сопротивление не имеет никакого смысла.</w:t>
      </w:r>
    </w:p>
    <w:p w14:paraId="372163D1"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условиях сложившейся для вас безвыходной обстановки, во избежание напрасного кровопролития, предлагаем вам принять следующие условия капитуляции:1) всем германским окружённым войскам во главе с Вами и Вашим штабом прекратитьсопротивление; 2) Вам организованно передать в наше распоряжение весь личныйсостав, вооружение, всю боевую технику и военное имущество в исправном состоянии.</w:t>
      </w:r>
    </w:p>
    <w:p w14:paraId="16FF1176"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Мы гарантируем всем прекратившим сопротивление офицерам и солдатам жизнь и безопасность, а после окончания войны возвращение в Германию или в любую страну, куда из'явят желание военнопленные.</w:t>
      </w:r>
    </w:p>
    <w:p w14:paraId="524D88C0"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Всему личному составу сдавшихся войск сохраняем военную форму, знаки различияи ордена, личные вещи, ценности, а высшему офицерскому составу и холодное оружие.</w:t>
      </w:r>
    </w:p>
    <w:p w14:paraId="03840006"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Всем сдавшимся офицерам, унтер-офицерам и солдатам немедленно будет установлено нормальное питание.</w:t>
      </w:r>
    </w:p>
    <w:p w14:paraId="7A01AA96"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Всем раненым, больным и обмороженным будет оказана медицинская помощь.</w:t>
      </w:r>
    </w:p>
    <w:p w14:paraId="2CFA367A"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Ваш ответ ожидается к 10 часам 00 минут по московскому времени 9 января 1943 г. в письменном виде через лично Вами назначенного представителя, которому надлежит следовать в легковой машине с белым флагом по дороге на разъезде Конный —станция Котлубань. Ваш представитель будет встречен русскими доверенными командирами в районе «Б» 0,5 клм. юго-восточнее разъезда 564 в 10 часов 00 минут 9 января 1943 года.</w:t>
      </w:r>
    </w:p>
    <w:p w14:paraId="1608B513"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отклонении Вами нашего предложения о капитуляции предупреждаем, что войска Красной Армии и Красного Воздушного флота будут вынуждены вести дело на уничтожение окружённых германских войск, а за их уничтожение Вы будете нести ответственность.</w:t>
      </w:r>
    </w:p>
    <w:p w14:paraId="671749B4"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Представитель Ставки Верховного Главного Командования Красной Армии генерал-полковник артиллерии — Воронов.</w:t>
      </w:r>
    </w:p>
    <w:p w14:paraId="03737A40"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Командующий войсками Донского фронта генерал-лейтенант — Рокоссовский».</w:t>
      </w:r>
    </w:p>
    <w:p w14:paraId="0025A665"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«Командование немецко-фашистских войск, окружённых под Сталинградом, отклонило ультиматум Советского командования.</w:t>
      </w:r>
    </w:p>
    <w:p w14:paraId="3F6D2C8F"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Ввиду этого 10 января наши войска начали генеральную атаку окружённых врайоне Сталинграда немецко-фашистских войск. За 7 дней напряжённых боёв наши войска, сжимая кольцо окружения немецко-фашистских войск, продвинулись на отдельных направлениях на 20—35 километров и заняли важные укреплённые узлы обороны — Мариновка, Атаманский, Лагерь имени Ворошилова, Карповка, Жирноклеевка, Госпитомник, Синеоковский, Новый Рогачик, Старый Рогачик, Песчаный карьер, Береславский, Скляров, Ракотино, Кравцов, Цыбенко, Елхи, Алексеевка, Питомник, Дубинин, Малая Россошка, Западновка, Бородин, Совхоз № 1, Бабуркин, Новоалексеевский, Дмитриевка, Полтавский, Оторвановка, Соловьев и железнодорожные станции Басаргино, Карповская, Прудбой.</w:t>
      </w:r>
    </w:p>
    <w:p w14:paraId="5A5348CF"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Разрушено нашей артиллерией и миномётами за 7 дней наступления укреплённых узлов и блиндажей —1.526, прочно оборудованных наблюдательных пунктов 75 и уничтожено и подавлено в бою 317 артиллерийских и миномётных батарейпротивника.</w:t>
      </w:r>
    </w:p>
    <w:p w14:paraId="481D13C7"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Очищена от противника территория площадью 565 квадратных километров.</w:t>
      </w:r>
    </w:p>
    <w:p w14:paraId="1E8C8652"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время наступления с 10 по 16 января наши войска захватили в плен 6.896 немецких солдат и офицеров.</w:t>
      </w:r>
    </w:p>
    <w:p w14:paraId="1009C724"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это же время взяты следующие трофеи: самолётов — 371, танков — 514, орудий разного калибра — 941, миномётов — 470, из них — шестиствольных 50, пулемётов —1.950, винтовок — 16.308, автомашин — 15.551, мотоциклов — 1.387, тягачей итранспортёров — 67, повозок с военным имуществом — 1.408, радиостанций — 54, бронепоездов — 3, паровозов — 10, вагонов — 100, складов с боеприпасами ивооружением — 63, а также большое количество снарядов, авиабомб, мин, гранат,винтовочных патронов и много другого военного имущества.</w:t>
      </w:r>
    </w:p>
    <w:p w14:paraId="62297144"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Уничтожено: самолётов — 75, танков — 174, орудий разного калибра — 416, миномётов—140, пулемётов — 769, автомашин — 414, складов разных — 9.</w:t>
      </w:r>
    </w:p>
    <w:p w14:paraId="6AEB1897"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семь дней боёв противник потерял только убитыми свыше 25.000 солдат и офицеров.</w:t>
      </w:r>
    </w:p>
    <w:p w14:paraId="581B3F5B"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Прорыв обороны противника осуществлён силами Донского фронта под командованием генерал-полковника тов. Рокоссовского К.К. Организацией артиллерийского наступления руководил представитель Ставки Верховного Главнокомандования генерал-полковник артиллерии тов. Воронов Н.Н.</w:t>
      </w:r>
    </w:p>
    <w:p w14:paraId="285A727B"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боях отличились войска — генерал-майора тов. Чистякова И.М., генерал-майора тов. Толбухина Ф.И., генерал-лейтенанта тов. Батова П.И., генерал-лейтенанта тов. Шумилова М.С, генерал-майора тов. Галанина И.В., генерал-лейтенанта тов. Чуйкова В.И., генерал-майора тов. Жадова А.С.» (15010).</w:t>
      </w:r>
    </w:p>
    <w:p w14:paraId="30E6AC28"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1C673B59" w14:textId="77777777" w:rsidR="008C5F3D" w:rsidRPr="00D03F3E" w:rsidRDefault="008C5F3D" w:rsidP="00D03F3E">
      <w:pPr>
        <w:pStyle w:val="book"/>
        <w:ind w:firstLine="0"/>
        <w:jc w:val="both"/>
        <w:rPr>
          <w:color w:val="000000" w:themeColor="text1"/>
          <w:sz w:val="16"/>
          <w:szCs w:val="16"/>
        </w:rPr>
      </w:pPr>
      <w:r w:rsidRPr="00D03F3E">
        <w:rPr>
          <w:color w:val="000000" w:themeColor="text1"/>
          <w:sz w:val="16"/>
          <w:szCs w:val="16"/>
        </w:rPr>
        <w:t>15 января 1943 г. в ходе атаки самолетами 1 бомбардировочного авиакорпуса крепости Великие Луки непосредственно перед началом штурма этой крепости нашими войсками 12 самолетов Пе-2 под прикрытием истребителей нанесли одновременный удар по важнейшим опорным пунктам противника с применением бомб ФАБ-250. Несмотря на небольшое количество самолетов, участвовавших в атаке, удар с воздуха сыграл большую роль в успешном штурме крепости. Захваченный в плен командир немецкого артиллерийского дивизиона, входившего в состав гарнизона Великие Луки, майор Генрих Ульрих показал, что бомбардировка крепости хотя и не нанесла значительного материального ущерба, но зато оказала сильное моральное воздействие на гарнизон, в результате чего резко понизилась его способность к сопротивлению (18737).</w:t>
      </w:r>
    </w:p>
    <w:p w14:paraId="3F5C7D61" w14:textId="77777777" w:rsidR="008C5F3D" w:rsidRPr="00D03F3E" w:rsidRDefault="008C5F3D" w:rsidP="00D03F3E">
      <w:pPr>
        <w:pStyle w:val="book"/>
        <w:ind w:firstLine="0"/>
        <w:jc w:val="both"/>
        <w:rPr>
          <w:color w:val="000000" w:themeColor="text1"/>
          <w:sz w:val="16"/>
          <w:szCs w:val="16"/>
        </w:rPr>
      </w:pPr>
    </w:p>
    <w:p w14:paraId="5A42C6FB"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15 января</w:t>
      </w:r>
      <w:r w:rsidRPr="00D03F3E">
        <w:rPr>
          <w:rFonts w:ascii="Times New Roman" w:hAnsi="Times New Roman"/>
          <w:color w:val="000000" w:themeColor="text1"/>
          <w:sz w:val="16"/>
          <w:szCs w:val="16"/>
        </w:rPr>
        <w:t xml:space="preserve"> в 1943 году войска Воронежского и Юго-Западного фронтов прорвали оборону противника на направлениях Алексеевка, Острогожск, Карпенково. Войска Донского фронта прорвали оборону окружённой под Сталинградом группировки противника на участке Елхи, Западновка. Войска Южного фронта вышли в большую излучину Дона и Манычского канала, на подступы к Ростову-на-Дону; соединения Северной группы войск Закавказского фронта достигли рубежа Сергиевка, Курсавка, Черкесск. Решением ЦК КП(б) Латвии создан Латвийский ШПД (начальник А.Спрогис) (15010).</w:t>
      </w:r>
    </w:p>
    <w:p w14:paraId="4ED875BB"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61296C03"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15 января</w:t>
      </w:r>
      <w:r w:rsidRPr="00D03F3E">
        <w:rPr>
          <w:rFonts w:ascii="Times New Roman" w:hAnsi="Times New Roman"/>
          <w:color w:val="000000" w:themeColor="text1"/>
          <w:sz w:val="16"/>
          <w:szCs w:val="16"/>
        </w:rPr>
        <w:t xml:space="preserve"> в 1943 году советскими войсками разбита под Воронежем вторая венгерская армия (15010).</w:t>
      </w:r>
    </w:p>
    <w:p w14:paraId="0D218A35"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5ABFC1E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15 января 1943 года масса грузов, ежедневно доставляемых окруженной группировке, упала до самого низкого уровня. Советские войска заняли аэродром Гумрак - последний в "котле". Доставка теперь осуществлялась только путем сброса грузов, которые чаще доставались Красной Армии. Немцы начали отвод всех самолетов, предназначенных для транспортных операций, в тыл: остатки Ю-52 были переброшены в Таганрог, Хе-111 перебазировались в Ворошиловград (Луганск), Сталино (Донецк) и Макеевку (3573).</w:t>
      </w:r>
    </w:p>
    <w:p w14:paraId="097FCDE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0A2BB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15 января по 14 марта 1943 г. лет</w:t>
      </w:r>
      <w:r w:rsidRPr="00D03F3E">
        <w:rPr>
          <w:rFonts w:ascii="Times New Roman" w:hAnsi="Times New Roman"/>
          <w:color w:val="000000" w:themeColor="text1"/>
          <w:sz w:val="16"/>
          <w:szCs w:val="16"/>
        </w:rPr>
        <w:softHyphen/>
        <w:t>чики отдельной авиаэскадрильи Нормандия отрабатывали боевое примене</w:t>
      </w:r>
      <w:r w:rsidRPr="00D03F3E">
        <w:rPr>
          <w:rFonts w:ascii="Times New Roman" w:hAnsi="Times New Roman"/>
          <w:color w:val="000000" w:themeColor="text1"/>
          <w:sz w:val="16"/>
          <w:szCs w:val="16"/>
        </w:rPr>
        <w:softHyphen/>
        <w:t>ние Як-1. За время обучения эскадри</w:t>
      </w:r>
      <w:r w:rsidRPr="00D03F3E">
        <w:rPr>
          <w:rFonts w:ascii="Times New Roman" w:hAnsi="Times New Roman"/>
          <w:color w:val="000000" w:themeColor="text1"/>
          <w:sz w:val="16"/>
          <w:szCs w:val="16"/>
        </w:rPr>
        <w:softHyphen/>
        <w:t>лья выполнила 536 полетов, налетав в общей сложности 218 часов (3956).</w:t>
      </w:r>
    </w:p>
    <w:p w14:paraId="2C3B28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FC56C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января 1943 мл-л Ф.И.Литвинов сковав действия пары истребителей и таранив один из них штурмовиком помог товарищам уничтожить опорный пункт противника (501,393).</w:t>
      </w:r>
    </w:p>
    <w:p w14:paraId="0699B46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AAE8C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января 1943 62 ад дд получила задачу уничтожить самолеты противника на аэродроме. Ли-2 подняли днем. Немцы сбили 5 машин. Хотели предотвратить вылет штаба 6А (4143,36).</w:t>
      </w:r>
    </w:p>
    <w:p w14:paraId="24AFE7F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62BCE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January 15, 1943: On the Northern front in Russia, the Red Army captures Velikije Luki in the Valdai Hills (3819).</w:t>
      </w:r>
    </w:p>
    <w:p w14:paraId="65F4EEE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07D4A9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января 1943 КА освободила Великие Луки и Валдай (3819).</w:t>
      </w:r>
    </w:p>
    <w:p w14:paraId="61A256D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E98E55"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января 1943 советскими войсками разбита под Воронежем вторая венгерская армия (4962).</w:t>
      </w:r>
    </w:p>
    <w:p w14:paraId="3A06223B"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5BF2A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января 1943г. вышел ПРИКАЗ НКО СССР О СФОРМИРОВАНИИ ГЛАВНОГО АВТОМОБИЛЬНОГО УПРАВЛЕНИЯ КА И АВТОМОБИЛЬНЫХ УПРАВЛЕНИЙ (ОТДЕЛОВ) ФРОНТОВ, ВОЕННЫХ ОКРУГОВ И АРМИЙ № 0380</w:t>
      </w:r>
    </w:p>
    <w:p w14:paraId="1A7798A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Автомобиль, являющийся мощным средством маневра, используется в войсках недостаточно полно. Автомашин в Красной Армии не так мало, но вследствие неправильного распределения, пло</w:t>
      </w:r>
      <w:r w:rsidRPr="00D03F3E">
        <w:rPr>
          <w:rFonts w:ascii="Times New Roman" w:hAnsi="Times New Roman"/>
          <w:color w:val="000000" w:themeColor="text1"/>
          <w:sz w:val="16"/>
          <w:szCs w:val="16"/>
        </w:rPr>
        <w:softHyphen/>
        <w:t>хой эксплуатации и ремонта они должного эффекта не дают.</w:t>
      </w:r>
    </w:p>
    <w:p w14:paraId="7927FEC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Парк автомашин распылен. В целом ряде частей благодаря допущенным штатным излишествам авто</w:t>
      </w:r>
      <w:r w:rsidRPr="00D03F3E">
        <w:rPr>
          <w:rFonts w:ascii="Times New Roman" w:hAnsi="Times New Roman"/>
          <w:color w:val="000000" w:themeColor="text1"/>
          <w:sz w:val="16"/>
          <w:szCs w:val="16"/>
        </w:rPr>
        <w:softHyphen/>
        <w:t>транспорт нагружен недостаточно. Ремонт машин надлежаще не организован, количество не ходовых машин недопустимо велико, автомобильная служба по эксплуатации автопарка также не организованна...(11403).</w:t>
      </w:r>
    </w:p>
    <w:p w14:paraId="0E67114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0DE48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15 января 1943 г. вышел ПРИКАЗ № 25 О ВВЕДЕНИИ НОВЫХ ЗНАКОВ РАЗЛИЧИЯ И ОБ ИЗМЕНЕНИЯХ В ФОРМЕ ОДЕЖДЫ КРАСНОЙ АРМИИ</w:t>
      </w:r>
    </w:p>
    <w:p w14:paraId="6704B07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Указом Президиума Верховного Совета Союза ССР от 6 января 1943 г. “О введении новых знаков различия для личного состава Красной Армии”*</w:t>
      </w:r>
    </w:p>
    <w:p w14:paraId="39F2792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приказываю:</w:t>
      </w:r>
    </w:p>
    <w:p w14:paraId="261EC8A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Установить ношение погонов:</w:t>
      </w:r>
    </w:p>
    <w:p w14:paraId="06046F5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полевых — военнослужащими в действующей армии и личным составом частей, подготовляемых для отправки на фронт;</w:t>
      </w:r>
    </w:p>
    <w:p w14:paraId="732FE0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повседневных — военнослужащими остальных частей и учреждений Красной Армии, а также при ношении парадной формы одежды.</w:t>
      </w:r>
    </w:p>
    <w:p w14:paraId="0EBEB9A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Всему составу Красной Армии перейти на новые знаки различия — погоны в период с 1 по 15 февраля 1943 года.</w:t>
      </w:r>
    </w:p>
    <w:p w14:paraId="45E6321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Внести изменения в форму одежды личного состава Красной Армии, согласно описания в приложениях №№ 1, 2 и 3.*</w:t>
      </w:r>
    </w:p>
    <w:p w14:paraId="2B1C42B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Ввести в действие “Правила ношения формы одежды личным составом Красной Армии” (приложение № 4).**</w:t>
      </w:r>
    </w:p>
    <w:p w14:paraId="763866A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Разрешить донашивание существующей формы одежды с новыми знаками различия впредь до очередной выдачи обмундирования, согласно действующих срков и норм снабжения.</w:t>
      </w:r>
    </w:p>
    <w:p w14:paraId="6CC8193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Командирам частей и начальникам гарнизонов строго следить за соблюдением формы одежды и правильным ношением новых знаков различия.</w:t>
      </w:r>
    </w:p>
    <w:p w14:paraId="537D5F6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Народный комиссар обороны И. СТАЛИН</w:t>
      </w:r>
      <w:r w:rsidRPr="00D03F3E">
        <w:rPr>
          <w:rFonts w:ascii="Times New Roman" w:hAnsi="Times New Roman"/>
          <w:color w:val="000000" w:themeColor="text1"/>
          <w:sz w:val="16"/>
          <w:szCs w:val="16"/>
        </w:rPr>
        <w:t xml:space="preserve"> (9844).</w:t>
      </w:r>
    </w:p>
    <w:p w14:paraId="0BC2B4D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A04039"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69CC934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3C3E46"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января 1943 фашистами казнен молодогвардеец Иван Земнухов (4962).</w:t>
      </w:r>
    </w:p>
    <w:p w14:paraId="6A2DF7F1"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8DC3B4"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59997A2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EEFE22"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января 1943 по приказу Сталина все наклейки “Made in America” на товарах, поставляемых по ленд-лизу, должны были заменяться на советские наклейки (4962).</w:t>
      </w:r>
    </w:p>
    <w:p w14:paraId="3E9841DB"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2350C9"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4FDF343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E406DD"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15 января</w:t>
      </w:r>
      <w:r w:rsidRPr="00D03F3E">
        <w:rPr>
          <w:rFonts w:ascii="Times New Roman" w:hAnsi="Times New Roman"/>
          <w:color w:val="000000" w:themeColor="text1"/>
          <w:sz w:val="16"/>
          <w:szCs w:val="16"/>
        </w:rPr>
        <w:t xml:space="preserve"> в 1943 году первый полёт первого прототипа двухбалочного истребителя </w:t>
      </w:r>
      <w:hyperlink r:id="rId14" w:tgtFrame="_blank" w:history="1">
        <w:r w:rsidRPr="00D03F3E">
          <w:rPr>
            <w:rFonts w:ascii="Times New Roman" w:hAnsi="Times New Roman"/>
            <w:color w:val="000000" w:themeColor="text1"/>
            <w:sz w:val="16"/>
            <w:szCs w:val="16"/>
          </w:rPr>
          <w:t xml:space="preserve">«Vultee» «XP-54» «Swoose Goose». </w:t>
        </w:r>
      </w:hyperlink>
    </w:p>
    <w:p w14:paraId="06E82C0C"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мая 1944-го поднялся в воздух второй прототип, заказ на постройку которого был выдан 17 марта 1942-го. От своего собрата он отличался отсутствием окраски, а вместо двух турбокомпрессоров установили один фирмы «Дженерал Электрик». Истребитель успел совершить лишь два полета, после чего его передали на авиабазу Нортон в Калифорнии для разборки на детали. Позднее носовую часть от него перевезли в испытательный центр на авиабазе Эглин во Флориде для испытаний вооружения. Непрекращающиеся неполадки с мотором и, главное, отсутствие запасных частей привели к тому, что летом 1944-го программа «ХР-54» была закрыта. Она обошлась американским налогоплательщикам в 1,5 млн. долларов (15010).</w:t>
      </w:r>
    </w:p>
    <w:p w14:paraId="13EE8115"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332F8B95" w14:textId="77777777" w:rsidR="00747FFA" w:rsidRPr="00D03F3E" w:rsidRDefault="00747FF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15 января1943 первый полет Vultee XP-54 Swoose Goose (20376).</w:t>
      </w:r>
    </w:p>
    <w:p w14:paraId="420A95D1" w14:textId="77777777" w:rsidR="00747FFA" w:rsidRPr="00D03F3E" w:rsidRDefault="00747FFA" w:rsidP="00D03F3E">
      <w:pPr>
        <w:spacing w:after="0" w:line="240" w:lineRule="auto"/>
        <w:jc w:val="both"/>
        <w:rPr>
          <w:rFonts w:ascii="Times New Roman" w:hAnsi="Times New Roman"/>
          <w:color w:val="0070C0"/>
          <w:sz w:val="16"/>
          <w:szCs w:val="16"/>
        </w:rPr>
      </w:pPr>
    </w:p>
    <w:p w14:paraId="27CBDBAB" w14:textId="77777777" w:rsidR="00747FFA" w:rsidRPr="00D03F3E" w:rsidRDefault="00747FF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15 января 1943 Douglas C-54-DO Skymaster, летевший из Соединенных Штатов на конференцию в Касабланке во французском Марокко и эксплуатируемый Transcontinental &amp; Western Air от имени Воздушно -транспортного командования ВВС США, разрушается в воздухе по неизвестным причинам и терпит крушение в джунглях возле Рейнсдорпа , Суринам , в 40 километрах (25 миль) к востоку-северо-востоку от Парамарибо , в результате чего погибли все 35 человек на борту. Среди погибших английский писатель и сценарист Эрик Найт , создатель вымышленной колли Лесси (20376).</w:t>
      </w:r>
    </w:p>
    <w:p w14:paraId="52B6F866" w14:textId="77777777" w:rsidR="00747FFA" w:rsidRPr="00D03F3E" w:rsidRDefault="00747FFA" w:rsidP="00D03F3E">
      <w:pPr>
        <w:spacing w:after="0" w:line="240" w:lineRule="auto"/>
        <w:jc w:val="both"/>
        <w:rPr>
          <w:rFonts w:ascii="Times New Roman" w:hAnsi="Times New Roman"/>
          <w:color w:val="0070C0"/>
          <w:sz w:val="16"/>
          <w:szCs w:val="16"/>
        </w:rPr>
      </w:pPr>
    </w:p>
    <w:p w14:paraId="3FDAC95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января 1943 Обращение ЦК Польской рабочей партии к "делегатуре" польского эмигрантского правительства с призывом создать национальный фронт борьбы с немецко-фашистскими оккупантами (7451).</w:t>
      </w:r>
    </w:p>
    <w:p w14:paraId="476BBA3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D4C4FA"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января 1943 немецко-итальянские войска начали самую крупную военную операцию против югославских партизан (4962).</w:t>
      </w:r>
    </w:p>
    <w:p w14:paraId="1F95663E"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800D93"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15 января</w:t>
      </w:r>
      <w:r w:rsidRPr="00D03F3E">
        <w:rPr>
          <w:rFonts w:ascii="Times New Roman" w:hAnsi="Times New Roman"/>
          <w:color w:val="000000" w:themeColor="text1"/>
          <w:sz w:val="16"/>
          <w:szCs w:val="16"/>
        </w:rPr>
        <w:t xml:space="preserve"> в 1943 году (15 января – 3 апреля) секретные переговоры в Швецарии между представителями управления стратегических служб США и агентами Главного управления имперской безопасности Германии и германского МИДа. В одной из бесед с немецким представителем М.Гогенлоэ американский представитель А.Даллес выразил согласие с тем, что «федеративная великая Германия будет лучшей гарантией порядка и восстановления Центральной и Восточной Европы». Затрагивались также вопросы о включении Австрии и Чехословакии в состав Великой Германии и создании «санитарного кордона против большевизма» из Польши, Румынии и Венгрии (15010).</w:t>
      </w:r>
    </w:p>
    <w:p w14:paraId="68958AF4" w14:textId="77777777" w:rsidR="00A3709C" w:rsidRPr="00D03F3E" w:rsidRDefault="00A3709C" w:rsidP="00D03F3E">
      <w:pPr>
        <w:spacing w:after="0" w:line="240" w:lineRule="auto"/>
        <w:jc w:val="both"/>
        <w:rPr>
          <w:rFonts w:ascii="Times New Roman" w:hAnsi="Times New Roman"/>
          <w:color w:val="000000" w:themeColor="text1"/>
          <w:sz w:val="16"/>
          <w:szCs w:val="16"/>
        </w:rPr>
      </w:pPr>
    </w:p>
    <w:p w14:paraId="4C00A894"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января 1943 завершено строительство Пентагона, самого крупного в мире административного здания (4962).</w:t>
      </w:r>
    </w:p>
    <w:p w14:paraId="50500BD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E3C57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января 1943 в Вашингтоне было завершено строительство здания Пентагона (3263,34).</w:t>
      </w:r>
    </w:p>
    <w:p w14:paraId="221A8E0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C7F77D"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15 января</w:t>
      </w:r>
      <w:r w:rsidRPr="00D03F3E">
        <w:rPr>
          <w:rFonts w:ascii="Times New Roman" w:hAnsi="Times New Roman"/>
          <w:color w:val="000000" w:themeColor="text1"/>
          <w:sz w:val="16"/>
          <w:szCs w:val="16"/>
        </w:rPr>
        <w:t xml:space="preserve"> в 1943 году в Вашингтоне закончилось строительство здания Пентагона, предназначенного для размещения Министерства обороны США. В то время это было крупнейшее в мире офисное сооружение. Оно было полностью возведено на 29 акрах земли за 16 месяцев со дня закладки. Общая стоимость проектирования и строительства здания составила огромную сумму — 132,6 миллиона долларов (15010).</w:t>
      </w:r>
    </w:p>
    <w:p w14:paraId="656E58CA" w14:textId="77777777" w:rsidR="00A3709C" w:rsidRPr="00D03F3E" w:rsidRDefault="00A3709C" w:rsidP="00D03F3E">
      <w:pPr>
        <w:spacing w:after="0" w:line="240" w:lineRule="auto"/>
        <w:jc w:val="both"/>
        <w:rPr>
          <w:rFonts w:ascii="Times New Roman" w:hAnsi="Times New Roman"/>
          <w:color w:val="000000" w:themeColor="text1"/>
          <w:sz w:val="16"/>
          <w:szCs w:val="16"/>
        </w:rPr>
      </w:pPr>
    </w:p>
    <w:p w14:paraId="55512A41" w14:textId="77777777" w:rsidR="00BC615F" w:rsidRPr="00D03F3E" w:rsidRDefault="00BC61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15 января</w:t>
      </w:r>
      <w:r w:rsidRPr="00D03F3E">
        <w:rPr>
          <w:rFonts w:ascii="Times New Roman" w:hAnsi="Times New Roman"/>
          <w:color w:val="000000" w:themeColor="text1"/>
          <w:sz w:val="16"/>
          <w:szCs w:val="16"/>
        </w:rPr>
        <w:t xml:space="preserve"> в 1943 году американский оператор Тони Хамшир изобрел новую линзу для кинокамеры, которую назвал Ветглас, то есть влажное стекло. Хамшир заметил как-то, что съемки с запотевшим объективом придают загадочный вид актерам и попросил знакомого из оптики изготовить аналогичное стеклышко (15010).</w:t>
      </w:r>
    </w:p>
    <w:p w14:paraId="25CED688" w14:textId="77777777" w:rsidR="00BC615F" w:rsidRPr="00D03F3E" w:rsidRDefault="00BC615F" w:rsidP="00D03F3E">
      <w:pPr>
        <w:spacing w:after="0" w:line="240" w:lineRule="auto"/>
        <w:jc w:val="both"/>
        <w:rPr>
          <w:rFonts w:ascii="Times New Roman" w:hAnsi="Times New Roman"/>
          <w:color w:val="000000" w:themeColor="text1"/>
          <w:sz w:val="16"/>
          <w:szCs w:val="16"/>
        </w:rPr>
      </w:pPr>
    </w:p>
    <w:p w14:paraId="0B08EDDC"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7099CB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15E2F5" w14:textId="77777777" w:rsidR="00955897" w:rsidRPr="00D03F3E" w:rsidRDefault="0095589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середине января 1943 г. московский завод № 30, который не смог в установленные заданием сроки построить опыт</w:t>
      </w:r>
      <w:r w:rsidRPr="00D03F3E">
        <w:rPr>
          <w:color w:val="000000" w:themeColor="text1"/>
          <w:sz w:val="16"/>
          <w:szCs w:val="16"/>
        </w:rPr>
        <w:softHyphen/>
        <w:t>ную партию противотанковых штурмовиков Ил-2 с пушками 11 П, выпустид первые 4 самолета этого типа — зав. № 301379, 301396, 301407 и 301415. Машины были переданы на НИП АВ ВВС для производства полигонных испытаний. Планировалось, что после отладки вооружения и приведения самолетов в полную боевую готов</w:t>
      </w:r>
      <w:r w:rsidRPr="00D03F3E">
        <w:rPr>
          <w:color w:val="000000" w:themeColor="text1"/>
          <w:sz w:val="16"/>
          <w:szCs w:val="16"/>
        </w:rPr>
        <w:softHyphen/>
        <w:t>ность примерно 5—8 февраля они будут отправ</w:t>
      </w:r>
      <w:r w:rsidRPr="00D03F3E">
        <w:rPr>
          <w:color w:val="000000" w:themeColor="text1"/>
          <w:sz w:val="16"/>
          <w:szCs w:val="16"/>
        </w:rPr>
        <w:softHyphen/>
        <w:t>лены на Сталинградский фронт в состав 688-го шап 228-й шад 16 ВА в дополнение к уже имеющимся самолетам Ил-2 с пушками Ш-37 для прохождения войсковых испытаний. В ходе боевого примене</w:t>
      </w:r>
      <w:r w:rsidRPr="00D03F3E">
        <w:rPr>
          <w:color w:val="000000" w:themeColor="text1"/>
          <w:sz w:val="16"/>
          <w:szCs w:val="16"/>
        </w:rPr>
        <w:softHyphen/>
        <w:t>ния самолетов предполагалось «выявить положи</w:t>
      </w:r>
      <w:r w:rsidRPr="00D03F3E">
        <w:rPr>
          <w:color w:val="000000" w:themeColor="text1"/>
          <w:sz w:val="16"/>
          <w:szCs w:val="16"/>
        </w:rPr>
        <w:softHyphen/>
        <w:t>тельные и отрицательные стороны пушек одной и другой конструкции, а также сде</w:t>
      </w:r>
      <w:r w:rsidRPr="00D03F3E">
        <w:rPr>
          <w:color w:val="000000" w:themeColor="text1"/>
          <w:sz w:val="16"/>
          <w:szCs w:val="16"/>
        </w:rPr>
        <w:softHyphen/>
        <w:t>лать сравнительное заключение по ним».</w:t>
      </w:r>
    </w:p>
    <w:p w14:paraId="7DB0B315" w14:textId="77777777" w:rsidR="00955897" w:rsidRPr="00D03F3E" w:rsidRDefault="0095589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Однако не случилось. Как до</w:t>
      </w:r>
      <w:r w:rsidRPr="00D03F3E">
        <w:rPr>
          <w:color w:val="000000" w:themeColor="text1"/>
          <w:sz w:val="16"/>
          <w:szCs w:val="16"/>
        </w:rPr>
        <w:softHyphen/>
        <w:t>кладывал старший военпред на за</w:t>
      </w:r>
      <w:r w:rsidRPr="00D03F3E">
        <w:rPr>
          <w:color w:val="000000" w:themeColor="text1"/>
          <w:sz w:val="16"/>
          <w:szCs w:val="16"/>
        </w:rPr>
        <w:softHyphen/>
        <w:t>воде № 30 инженер-подполковник Фалалеев «начальнику 1-го отдела УЗСиМ ГУЗ ВВС КА бригинженеру тов. Ковалеву», «отработка опыт</w:t>
      </w:r>
      <w:r w:rsidRPr="00D03F3E">
        <w:rPr>
          <w:color w:val="000000" w:themeColor="text1"/>
          <w:sz w:val="16"/>
          <w:szCs w:val="16"/>
        </w:rPr>
        <w:softHyphen/>
        <w:t>ных самолетов Ил-2 /.../ с 37-мм пушками конструкции Нудельмана и Суранова заводом № 30 не дове</w:t>
      </w:r>
      <w:r w:rsidRPr="00D03F3E">
        <w:rPr>
          <w:color w:val="000000" w:themeColor="text1"/>
          <w:sz w:val="16"/>
          <w:szCs w:val="16"/>
        </w:rPr>
        <w:softHyphen/>
        <w:t>дена до удовлетворительного результата, так как не устранен ряд дефектов в монтаже установок и ра</w:t>
      </w:r>
      <w:r w:rsidRPr="00D03F3E">
        <w:rPr>
          <w:color w:val="000000" w:themeColor="text1"/>
          <w:sz w:val="16"/>
          <w:szCs w:val="16"/>
        </w:rPr>
        <w:softHyphen/>
        <w:t>боте пушек».</w:t>
      </w:r>
    </w:p>
    <w:p w14:paraId="7ED323E9" w14:textId="77777777" w:rsidR="00955897" w:rsidRPr="00D03F3E" w:rsidRDefault="0095589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Так, при перезарядке пушки от воздушной си</w:t>
      </w:r>
      <w:r w:rsidRPr="00D03F3E">
        <w:rPr>
          <w:color w:val="000000" w:themeColor="text1"/>
          <w:sz w:val="16"/>
          <w:szCs w:val="16"/>
        </w:rPr>
        <w:softHyphen/>
        <w:t>стемы после нажатия на гашетку перезарядки дав</w:t>
      </w:r>
      <w:r w:rsidRPr="00D03F3E">
        <w:rPr>
          <w:color w:val="000000" w:themeColor="text1"/>
          <w:sz w:val="16"/>
          <w:szCs w:val="16"/>
        </w:rPr>
        <w:softHyphen/>
        <w:t>ление воздуха в системе «падает сразу с 35 до 15— 17 атм. и пушка не перезаряжается». Чтобы пушка перезарядилась, «нужно гашетку перезарядки дер</w:t>
      </w:r>
      <w:r w:rsidRPr="00D03F3E">
        <w:rPr>
          <w:color w:val="000000" w:themeColor="text1"/>
          <w:sz w:val="16"/>
          <w:szCs w:val="16"/>
        </w:rPr>
        <w:softHyphen/>
        <w:t>жать нажатой не менее 5—7 сек, пока не повысит</w:t>
      </w:r>
      <w:r w:rsidRPr="00D03F3E">
        <w:rPr>
          <w:color w:val="000000" w:themeColor="text1"/>
          <w:sz w:val="16"/>
          <w:szCs w:val="16"/>
        </w:rPr>
        <w:softHyphen/>
        <w:t>ся давление воздуха в пневмосистеме до 30—35 атм.». Кроме того, одновременно с перезарядкой «происходит выпадание нестреляных патронов из затвора».</w:t>
      </w:r>
    </w:p>
    <w:p w14:paraId="0515A872" w14:textId="77777777" w:rsidR="00955897" w:rsidRPr="00D03F3E" w:rsidRDefault="0095589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Звенья патронной ленты своими концами попа</w:t>
      </w:r>
      <w:r w:rsidRPr="00D03F3E">
        <w:rPr>
          <w:color w:val="000000" w:themeColor="text1"/>
          <w:sz w:val="16"/>
          <w:szCs w:val="16"/>
        </w:rPr>
        <w:softHyphen/>
        <w:t>дают под съемник приемника пушки, подача при</w:t>
      </w:r>
      <w:r w:rsidRPr="00D03F3E">
        <w:rPr>
          <w:color w:val="000000" w:themeColor="text1"/>
          <w:sz w:val="16"/>
          <w:szCs w:val="16"/>
        </w:rPr>
        <w:softHyphen/>
        <w:t>останавливается, и стрельба прекращается. При этом простой перезарядкой эта «задержка /. / неустранима и требует громоздкой работы для ее устранения».</w:t>
      </w:r>
    </w:p>
    <w:p w14:paraId="2AEBC833" w14:textId="77777777" w:rsidR="00955897" w:rsidRPr="00D03F3E" w:rsidRDefault="0095589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снаряжении патронных ящиков полным боекомплектом патронов «происходит опрокиды</w:t>
      </w:r>
      <w:r w:rsidRPr="00D03F3E">
        <w:rPr>
          <w:color w:val="000000" w:themeColor="text1"/>
          <w:sz w:val="16"/>
          <w:szCs w:val="16"/>
        </w:rPr>
        <w:softHyphen/>
        <w:t>вание патронной ленты в ящиках снарядами вниз».</w:t>
      </w:r>
    </w:p>
    <w:p w14:paraId="326C1B81" w14:textId="77777777" w:rsidR="00955897" w:rsidRPr="00D03F3E" w:rsidRDefault="0095589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Поскольку при монтаже и отладке боепитания рукава питания обрезаются по месту, то они имеют и разную длину, «вследствие чего рукава являются невзаимозаменяемыми».</w:t>
      </w:r>
    </w:p>
    <w:p w14:paraId="7867E892" w14:textId="77777777" w:rsidR="00955897" w:rsidRPr="00D03F3E" w:rsidRDefault="0095589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подводке воздушных трубок к пушкам «вы</w:t>
      </w:r>
      <w:r w:rsidRPr="00D03F3E">
        <w:rPr>
          <w:color w:val="000000" w:themeColor="text1"/>
          <w:sz w:val="16"/>
          <w:szCs w:val="16"/>
        </w:rPr>
        <w:softHyphen/>
        <w:t>явились конструктивные неувязки в сочленении пушек с креплениями». По этой причине на штуце</w:t>
      </w:r>
      <w:r w:rsidRPr="00D03F3E">
        <w:rPr>
          <w:color w:val="000000" w:themeColor="text1"/>
          <w:sz w:val="16"/>
          <w:szCs w:val="16"/>
        </w:rPr>
        <w:softHyphen/>
        <w:t>ра цилиндров пневмоперезарядки пушек на заводе были наварены переходники и подпилены ребра жесткости передних креплений, что привело к их ослаблению.</w:t>
      </w:r>
    </w:p>
    <w:p w14:paraId="45521888" w14:textId="77777777" w:rsidR="00955897" w:rsidRPr="00D03F3E" w:rsidRDefault="0095589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Болты, которые крепят хомуты передних кре</w:t>
      </w:r>
      <w:r w:rsidRPr="00D03F3E">
        <w:rPr>
          <w:color w:val="000000" w:themeColor="text1"/>
          <w:sz w:val="16"/>
          <w:szCs w:val="16"/>
        </w:rPr>
        <w:softHyphen/>
        <w:t>плений пушек, оказались короткими и «не обеспе</w:t>
      </w:r>
      <w:r w:rsidRPr="00D03F3E">
        <w:rPr>
          <w:color w:val="000000" w:themeColor="text1"/>
          <w:sz w:val="16"/>
          <w:szCs w:val="16"/>
        </w:rPr>
        <w:softHyphen/>
        <w:t>чивают надежности крепления пушек в передних точках».</w:t>
      </w:r>
    </w:p>
    <w:p w14:paraId="7983FE08" w14:textId="77777777" w:rsidR="00955897" w:rsidRPr="00D03F3E" w:rsidRDefault="0095589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Воздушные трубки пневмоперезарядки проло</w:t>
      </w:r>
      <w:r w:rsidRPr="00D03F3E">
        <w:rPr>
          <w:color w:val="000000" w:themeColor="text1"/>
          <w:sz w:val="16"/>
          <w:szCs w:val="16"/>
        </w:rPr>
        <w:softHyphen/>
        <w:t>жены к пушкам по центроплану и не имеют под</w:t>
      </w:r>
      <w:r w:rsidRPr="00D03F3E">
        <w:rPr>
          <w:color w:val="000000" w:themeColor="text1"/>
          <w:sz w:val="16"/>
          <w:szCs w:val="16"/>
        </w:rPr>
        <w:softHyphen/>
        <w:t>держивающих кронштейнов. Трубки прогибаются, деформируются и ломаются.</w:t>
      </w:r>
    </w:p>
    <w:p w14:paraId="57B576EF" w14:textId="77777777" w:rsidR="00955897" w:rsidRPr="00D03F3E" w:rsidRDefault="0095589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Верхние лючки для подхода к рукавам питания по размерам малы, «ввиду этого усложняется экс</w:t>
      </w:r>
      <w:r w:rsidRPr="00D03F3E">
        <w:rPr>
          <w:color w:val="000000" w:themeColor="text1"/>
          <w:sz w:val="16"/>
          <w:szCs w:val="16"/>
        </w:rPr>
        <w:softHyphen/>
        <w:t>плуатация пушек».</w:t>
      </w:r>
    </w:p>
    <w:p w14:paraId="67A09CBE" w14:textId="77777777" w:rsidR="00955897" w:rsidRPr="00D03F3E" w:rsidRDefault="0095589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Подгонка створок обтекателей пушек, подгонка замков запирания и пружин створок выполнены плохо, и чертежи не отработаны.</w:t>
      </w:r>
    </w:p>
    <w:p w14:paraId="17AA10C6" w14:textId="77777777" w:rsidR="00955897" w:rsidRPr="00D03F3E" w:rsidRDefault="0095589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Фалалеев особо обращал внимание на то, что «для устранения дефектов заводом № 30 достаточ</w:t>
      </w:r>
      <w:r w:rsidRPr="00D03F3E">
        <w:rPr>
          <w:color w:val="000000" w:themeColor="text1"/>
          <w:sz w:val="16"/>
          <w:szCs w:val="16"/>
        </w:rPr>
        <w:softHyphen/>
        <w:t>ных мер не принято и самолеты по настоянию 3-го отдела ГУ ИАС ВВС КА отправляются на испытания в НИП АВ с вышеуказанными дефектами». Кроме то</w:t>
      </w:r>
      <w:r w:rsidRPr="00D03F3E">
        <w:rPr>
          <w:color w:val="000000" w:themeColor="text1"/>
          <w:sz w:val="16"/>
          <w:szCs w:val="16"/>
        </w:rPr>
        <w:softHyphen/>
        <w:t>го, «чертежи для запуска в серию данных установок также не отработаны» (17500).</w:t>
      </w:r>
    </w:p>
    <w:p w14:paraId="7252370C" w14:textId="77777777" w:rsidR="00955897" w:rsidRPr="00D03F3E" w:rsidRDefault="00955897" w:rsidP="00D03F3E">
      <w:pPr>
        <w:pStyle w:val="12a"/>
        <w:shd w:val="clear" w:color="auto" w:fill="auto"/>
        <w:spacing w:after="0" w:line="240" w:lineRule="auto"/>
        <w:jc w:val="both"/>
        <w:rPr>
          <w:color w:val="000000" w:themeColor="text1"/>
          <w:sz w:val="16"/>
          <w:szCs w:val="16"/>
        </w:rPr>
      </w:pPr>
    </w:p>
    <w:p w14:paraId="5716AD4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января 1943 руководителям АП был предъявлен макет перехватчика 302 М.Р.Бисновата и А.Г.Костикова с комбинированной установкой (1хЖРД и 2хПВРД). Начали строить 2, но без ПВРД из-за задержек (2393,22).</w:t>
      </w:r>
    </w:p>
    <w:p w14:paraId="1C01BE6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F15D51"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0B95AA3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B0E0B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января 1943 на ЧКЗ прибыла качающаяся часть 152-мм пушки Мл-20С Мотовилихинского завода для Су-152 (4411,13).</w:t>
      </w:r>
    </w:p>
    <w:p w14:paraId="27AAB92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8E0F18"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73E5E43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70B2F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середине января 1943 на 6 аэродромах, расположенных в 150-300 км юго-западнее Сталинграда за вне</w:t>
      </w:r>
      <w:r w:rsidRPr="00D03F3E">
        <w:rPr>
          <w:rFonts w:ascii="Times New Roman" w:hAnsi="Times New Roman"/>
          <w:color w:val="000000" w:themeColor="text1"/>
          <w:sz w:val="16"/>
          <w:szCs w:val="16"/>
        </w:rPr>
        <w:softHyphen/>
        <w:t>шним кольцом окружения, немецкое ко</w:t>
      </w:r>
      <w:r w:rsidRPr="00D03F3E">
        <w:rPr>
          <w:rFonts w:ascii="Times New Roman" w:hAnsi="Times New Roman"/>
          <w:color w:val="000000" w:themeColor="text1"/>
          <w:sz w:val="16"/>
          <w:szCs w:val="16"/>
        </w:rPr>
        <w:softHyphen/>
        <w:t>мандование сосредоточило до 600 транс</w:t>
      </w:r>
      <w:r w:rsidRPr="00D03F3E">
        <w:rPr>
          <w:rFonts w:ascii="Times New Roman" w:hAnsi="Times New Roman"/>
          <w:color w:val="000000" w:themeColor="text1"/>
          <w:sz w:val="16"/>
          <w:szCs w:val="16"/>
        </w:rPr>
        <w:softHyphen/>
        <w:t>портных и бомбардировочных самоле</w:t>
      </w:r>
      <w:r w:rsidRPr="00D03F3E">
        <w:rPr>
          <w:rFonts w:ascii="Times New Roman" w:hAnsi="Times New Roman"/>
          <w:color w:val="000000" w:themeColor="text1"/>
          <w:sz w:val="16"/>
          <w:szCs w:val="16"/>
        </w:rPr>
        <w:softHyphen/>
        <w:t>тов, предназначенных для снабжения окруженной группировки необходимыми грузами и войсками (6467).</w:t>
      </w:r>
    </w:p>
    <w:p w14:paraId="5F8DEB1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81CBBE"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28721CC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C7CA1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января 1943 вышел приказ НКАП N 22с (или 23 - 1458,45):</w:t>
      </w:r>
    </w:p>
    <w:p w14:paraId="57A020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 увеличивающимся выпуском самолетов Ил-4 является целесообразным проработать возможность использования их для боевых действий не только ночью, но и днем, для чего ГК С.В.И.:</w:t>
      </w:r>
    </w:p>
    <w:p w14:paraId="3508FA8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Усилить активную оборону самолета, установив один п Березина в нижнюю люковую установку и два в боках фюзеляжа и один в носу фюзеляжа.</w:t>
      </w:r>
    </w:p>
    <w:p w14:paraId="347FA2F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управления боковыми пулеметами посадить стрелка.</w:t>
      </w:r>
    </w:p>
    <w:p w14:paraId="1F9CF2F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Усилить бронирование экипажа, а также частично забронировать центральные топливные баки.</w:t>
      </w:r>
    </w:p>
    <w:p w14:paraId="6320ED6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Срок выпуска на заводские испытания установить 25 марта 1943 (1702,107).</w:t>
      </w:r>
    </w:p>
    <w:p w14:paraId="013F765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AA86E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января 1943 вышел приказ НКАП N 23с (или 24 - 1458,45):</w:t>
      </w:r>
    </w:p>
    <w:p w14:paraId="7B05E2F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дельнейшей экономии цв. металла обязать ГК С.В.И. спроектировать фанерную обшивку вместо листового дюраля на крылья и фюзеляж самолета Ил-4.</w:t>
      </w:r>
    </w:p>
    <w:p w14:paraId="2BE233E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Чертежи передать директору завода 23 Иосилович не позднее 15 февраля 1943.</w:t>
      </w:r>
    </w:p>
    <w:p w14:paraId="1FEE8B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Директору завода 23 произвести обшивку бакелитовой фанерой вместо листового дюраля 2-х фюзеляжей и 2-х крыльев самолета Ил-4 (1702).</w:t>
      </w:r>
    </w:p>
    <w:p w14:paraId="1D74F6C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2B436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января 1943 года гл. конструктор с-та Ил-4 С.В.И. писал письмо № 466c А.И.Шахурину (как докладную к проекту приказа) в приложении к письму 1/63с:</w:t>
      </w:r>
    </w:p>
    <w:p w14:paraId="35C662F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Немецко-фашистская армия для штурмовки наземных войск всех родов использует двухмоторный бомбардировщик Ю-88.</w:t>
      </w:r>
    </w:p>
    <w:p w14:paraId="16D0A58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Этот самолет является двухмоторным бомбардировщиком и не имеет броневой защиты от наземного огня, кроме бронированных спинок, защищающих экипаж лишь под некоторым углом от воздушного противника.</w:t>
      </w:r>
    </w:p>
    <w:p w14:paraId="5D6B248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Ю-88 по максимальным скоростям равняется Ил-4, а по потолку и дальности самолет Ил-4 значительно ему уступает. Тем не менее самолет Ил-4 не используется нами в дневных операциях против наземных немецко-фашистских войск.</w:t>
      </w:r>
    </w:p>
    <w:p w14:paraId="72652BE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Использование самолета Ил-4 по ближайшим тылам врага, а иногда и непосредственно на поле боя в дневных условиях представляется возможным. Для того, чтобы использовать Ил-4 в дневных условиях с наименьшими потерями, необходимо и возможно произвести на самолете Ил-4 следующие изменения, а именно:</w:t>
      </w:r>
    </w:p>
    <w:p w14:paraId="2E51329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Усилить активную защиту самолета в части задней полусферы, установив в люковую установку пулемет Березина калибром 12,7 мм. Кроме того установить дополнительно два пулемета Березина калибром 12,7 мм по бортам фюзеляжа, посадив для управления ими специального стрелка.</w:t>
      </w:r>
    </w:p>
    <w:p w14:paraId="7C0F0C1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Усилить бронирование экипажа, а также подвергнуть бронированию бензиновые центропланные баки для защиты от атак воздушного противника. Обеспечить заполнение инертным газом как бензобаки, так и пространство вокруг баков.</w:t>
      </w:r>
    </w:p>
    <w:p w14:paraId="684FDFD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подобная модификация не вызывающая крупного изменения самолета представляет интерес, то прошу Вашего разрешения выполнить чертежи изменений и выпустить один самолет Ил-4 на заводские испытания 25 марта 1943 года (1458,45).</w:t>
      </w:r>
    </w:p>
    <w:p w14:paraId="5B4C17E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3D9A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января 1943 года гл. конструктор с-та Ил-4 С.В.И. писал письмо А.И.Шахурину (как докладную к проекту приказа) в приложении к письму 1/63с:</w:t>
      </w:r>
    </w:p>
    <w:p w14:paraId="03622F0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дальнейшей экономии цветного металла и в особенности тонкого листа мною на самолете Ил-4 спроектирована обшивка крыла и фюзеляжа из бакелитовой фанеры, вместо дюралюминия.</w:t>
      </w:r>
    </w:p>
    <w:p w14:paraId="68B2711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реализации этого вопроса прошу Вас дать указание директору завода 23 Иосилович не позднее 1 марта 1943 произвести обшивку крыла и фюзеляжа бакелитовой фанерой одной летной машины и произвести обшивку крыла и фюзеляжа для статических испытания (1458,46).</w:t>
      </w:r>
    </w:p>
    <w:p w14:paraId="20A9418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434DB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января 1943 года гл. конструктор самолета Ил-4 С.В.И. писал письмо Шахурину и гл. конструктору з-да N 120 Флерову.</w:t>
      </w:r>
    </w:p>
    <w:p w14:paraId="6908C9A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Вашего приказа от 24 октября 1942 г. N 803сс гл. конструктор Флеров должен был произвести усиление электронных колес размером 1000х350, устраняющее дефекты в этих колесах, выявленные в массовой эксплуатации.</w:t>
      </w:r>
    </w:p>
    <w:p w14:paraId="112E098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Чертежи разработанные Флеровым по усилению этого колеса были, как указывалось в приказе, завизированы мною и утверждены начальником 7-го гл. управления Шишкиным 10 ноября 1942 г.</w:t>
      </w:r>
    </w:p>
    <w:p w14:paraId="2E2F65E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Усиление колеса 1000х350 делалось именно потому, что это усиление предназначалось на электронные колеса, т.к. изготовление этих колес из силумина влечет за собой общее понижение прочности указанных колес и в этом случае колеса совершенно не годны для эксплуатации на самолете Ил-4.</w:t>
      </w:r>
    </w:p>
    <w:p w14:paraId="6B65A9D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не менее гл. конструктор Флеров запустил в производство эти колеса не из электрона, а из силумина и таким образом, самолеты Ил-4 по-прежнему летают на колесах с дефектами, с массовым выходом из строя в эксплуатации.</w:t>
      </w:r>
    </w:p>
    <w:p w14:paraId="36322D5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вас дать указание гл. конструктору Флерову о немедленном запуске усиленных электронных колес в серийное производство на всех заводах, на которых строятся колеса 1000х350 (1775,5).</w:t>
      </w:r>
    </w:p>
    <w:p w14:paraId="3E0178E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8744A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января 1943 на Ер-2 2М-30Б на заводах 134 и 500 опробовали новый правый мотор в 2-х полетах. Летал л НИИ ВВС Лисицин (1458,30).</w:t>
      </w:r>
    </w:p>
    <w:p w14:paraId="356095C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3A61D8"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16 ян</w:t>
      </w:r>
      <w:r w:rsidRPr="00D03F3E">
        <w:rPr>
          <w:rFonts w:ascii="Times New Roman" w:hAnsi="Times New Roman"/>
          <w:color w:val="0070C0"/>
          <w:sz w:val="16"/>
          <w:szCs w:val="16"/>
        </w:rPr>
        <w:softHyphen/>
        <w:t>варя 1943 г. вышел приказ начальника Главного управления ГВФ№ 10 от «О катастрофе Л-760»:</w:t>
      </w:r>
    </w:p>
    <w:p w14:paraId="4FC8A410"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13 часов 50 минут, через два часа 10 мин. по</w:t>
      </w:r>
      <w:r w:rsidRPr="00D03F3E">
        <w:rPr>
          <w:rFonts w:ascii="Times New Roman" w:hAnsi="Times New Roman"/>
          <w:color w:val="0070C0"/>
          <w:sz w:val="16"/>
          <w:szCs w:val="16"/>
        </w:rPr>
        <w:softHyphen/>
        <w:t>сле вылета, на высоте Н=5000 м в районе совхоза Пахта—Арал (Ильича) в 90 км от Ташкентского аэродрома, самолет начал снижаться с работающими на средних обо</w:t>
      </w:r>
      <w:r w:rsidRPr="00D03F3E">
        <w:rPr>
          <w:rFonts w:ascii="Times New Roman" w:hAnsi="Times New Roman"/>
          <w:color w:val="0070C0"/>
          <w:sz w:val="16"/>
          <w:szCs w:val="16"/>
        </w:rPr>
        <w:softHyphen/>
        <w:t>ротах моторами. Снижение было вначале медленным, затем угол снижения стал уве</w:t>
      </w:r>
      <w:r w:rsidRPr="00D03F3E">
        <w:rPr>
          <w:rFonts w:ascii="Times New Roman" w:hAnsi="Times New Roman"/>
          <w:color w:val="0070C0"/>
          <w:sz w:val="16"/>
          <w:szCs w:val="16"/>
        </w:rPr>
        <w:softHyphen/>
        <w:t>личиваться, самолет перешел в крутое пи</w:t>
      </w:r>
      <w:r w:rsidRPr="00D03F3E">
        <w:rPr>
          <w:rFonts w:ascii="Times New Roman" w:hAnsi="Times New Roman"/>
          <w:color w:val="0070C0"/>
          <w:sz w:val="16"/>
          <w:szCs w:val="16"/>
        </w:rPr>
        <w:softHyphen/>
        <w:t>кирование с работающими моторами и врезался в землю под углом около 80 граду</w:t>
      </w:r>
      <w:r w:rsidRPr="00D03F3E">
        <w:rPr>
          <w:rFonts w:ascii="Times New Roman" w:hAnsi="Times New Roman"/>
          <w:color w:val="0070C0"/>
          <w:sz w:val="16"/>
          <w:szCs w:val="16"/>
        </w:rPr>
        <w:softHyphen/>
        <w:t>сов. При ударе самолет разбился на 100%. Экипаж и пассажиры погибли.</w:t>
      </w:r>
    </w:p>
    <w:p w14:paraId="5F4AD8BF"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Комиссией по расследованию причин ка</w:t>
      </w:r>
      <w:r w:rsidRPr="00D03F3E">
        <w:rPr>
          <w:rFonts w:ascii="Times New Roman" w:hAnsi="Times New Roman"/>
          <w:color w:val="0070C0"/>
          <w:sz w:val="16"/>
          <w:szCs w:val="16"/>
        </w:rPr>
        <w:softHyphen/>
        <w:t>тастрофы установлено, что пилота Говяза во время катастрофы не было в пилотской кабине. В пей находился пилот Козлов, ле</w:t>
      </w:r>
      <w:r w:rsidRPr="00D03F3E">
        <w:rPr>
          <w:rFonts w:ascii="Times New Roman" w:hAnsi="Times New Roman"/>
          <w:color w:val="0070C0"/>
          <w:sz w:val="16"/>
          <w:szCs w:val="16"/>
        </w:rPr>
        <w:softHyphen/>
        <w:t>тевший в качестве пассажира, которого, по всей вероятности, Говяз допустил к уп</w:t>
      </w:r>
      <w:r w:rsidRPr="00D03F3E">
        <w:rPr>
          <w:rFonts w:ascii="Times New Roman" w:hAnsi="Times New Roman"/>
          <w:color w:val="0070C0"/>
          <w:sz w:val="16"/>
          <w:szCs w:val="16"/>
        </w:rPr>
        <w:softHyphen/>
        <w:t>равлению самолетом. Сам Говяз отлучился, положившись на второго пилота Тропкова, что он делал при предыдущих полетах неод</w:t>
      </w:r>
      <w:r w:rsidRPr="00D03F3E">
        <w:rPr>
          <w:rFonts w:ascii="Times New Roman" w:hAnsi="Times New Roman"/>
          <w:color w:val="0070C0"/>
          <w:sz w:val="16"/>
          <w:szCs w:val="16"/>
        </w:rPr>
        <w:softHyphen/>
        <w:t>нократно. Козлов включил находившийся на подлокотнике пилотского кресла механизм злектроподьемника стабилизатора, кото</w:t>
      </w:r>
      <w:r w:rsidRPr="00D03F3E">
        <w:rPr>
          <w:rFonts w:ascii="Times New Roman" w:hAnsi="Times New Roman"/>
          <w:color w:val="0070C0"/>
          <w:sz w:val="16"/>
          <w:szCs w:val="16"/>
        </w:rPr>
        <w:softHyphen/>
        <w:t>рый сработал на максимально положитель</w:t>
      </w:r>
      <w:r w:rsidRPr="00D03F3E">
        <w:rPr>
          <w:rFonts w:ascii="Times New Roman" w:hAnsi="Times New Roman"/>
          <w:color w:val="0070C0"/>
          <w:sz w:val="16"/>
          <w:szCs w:val="16"/>
        </w:rPr>
        <w:softHyphen/>
        <w:t>ный угол. Выключить своевременно меха</w:t>
      </w:r>
      <w:r w:rsidRPr="00D03F3E">
        <w:rPr>
          <w:rFonts w:ascii="Times New Roman" w:hAnsi="Times New Roman"/>
          <w:color w:val="0070C0"/>
          <w:sz w:val="16"/>
          <w:szCs w:val="16"/>
        </w:rPr>
        <w:softHyphen/>
        <w:t>низм злектроподьемника стабилизатора пилот не сумел, в результате самолет пере</w:t>
      </w:r>
      <w:r w:rsidRPr="00D03F3E">
        <w:rPr>
          <w:rFonts w:ascii="Times New Roman" w:hAnsi="Times New Roman"/>
          <w:color w:val="0070C0"/>
          <w:sz w:val="16"/>
          <w:szCs w:val="16"/>
        </w:rPr>
        <w:softHyphen/>
        <w:t>шел в такой угол пикирования, из которого вывести его было невозможно.</w:t>
      </w:r>
    </w:p>
    <w:p w14:paraId="5569F68B"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Со дня выпуска с завода до катастро</w:t>
      </w:r>
      <w:r w:rsidRPr="00D03F3E">
        <w:rPr>
          <w:rFonts w:ascii="Times New Roman" w:hAnsi="Times New Roman"/>
          <w:color w:val="0070C0"/>
          <w:sz w:val="16"/>
          <w:szCs w:val="16"/>
        </w:rPr>
        <w:softHyphen/>
        <w:t>фы самолет налетал 698 часов. Согласно акту о катастрофе, за все время эксплуа</w:t>
      </w:r>
      <w:r w:rsidRPr="00D03F3E">
        <w:rPr>
          <w:rFonts w:ascii="Times New Roman" w:hAnsi="Times New Roman"/>
          <w:color w:val="0070C0"/>
          <w:sz w:val="16"/>
          <w:szCs w:val="16"/>
        </w:rPr>
        <w:softHyphen/>
        <w:t>тации самолет не подвергался заводскому ремонту и его материальная часть находи</w:t>
      </w:r>
      <w:r w:rsidRPr="00D03F3E">
        <w:rPr>
          <w:rFonts w:ascii="Times New Roman" w:hAnsi="Times New Roman"/>
          <w:color w:val="0070C0"/>
          <w:sz w:val="16"/>
          <w:szCs w:val="16"/>
        </w:rPr>
        <w:softHyphen/>
        <w:t>лась в отличном состоянии» (21140).</w:t>
      </w:r>
    </w:p>
    <w:p w14:paraId="5D24268F" w14:textId="77777777" w:rsidR="00FD630D" w:rsidRPr="00D03F3E" w:rsidRDefault="00FD630D" w:rsidP="00D03F3E">
      <w:pPr>
        <w:spacing w:after="0" w:line="240" w:lineRule="auto"/>
        <w:jc w:val="both"/>
        <w:rPr>
          <w:rFonts w:ascii="Times New Roman" w:hAnsi="Times New Roman"/>
          <w:color w:val="0070C0"/>
          <w:sz w:val="16"/>
          <w:szCs w:val="16"/>
        </w:rPr>
      </w:pPr>
    </w:p>
    <w:p w14:paraId="555DC89B"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09E5C4B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B780B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января 1943 распоряжением ГОКО НКТП и НКВ предписывалось изготовить и предоставить к 15 февраля опытные образцы двух боевых машин НИИ-13, которым присвоили условный индекс СУ-ИТ-45 и СУ-ИТ-76 (“Самоходная установка - истребитель танков соответственно с 45-мм и 76-мм пушкой”) (5742, 14).</w:t>
      </w:r>
    </w:p>
    <w:p w14:paraId="70D27C3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F54F7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16 января 1943 распоряжени</w:t>
      </w:r>
      <w:r w:rsidRPr="00D03F3E">
        <w:rPr>
          <w:rFonts w:ascii="Times New Roman" w:hAnsi="Times New Roman"/>
          <w:color w:val="000000" w:themeColor="text1"/>
          <w:sz w:val="16"/>
          <w:szCs w:val="16"/>
        </w:rPr>
        <w:softHyphen/>
        <w:t>ем ГОКО от НКТП и НКВ предписывалось изго</w:t>
      </w:r>
      <w:r w:rsidRPr="00D03F3E">
        <w:rPr>
          <w:rFonts w:ascii="Times New Roman" w:hAnsi="Times New Roman"/>
          <w:color w:val="000000" w:themeColor="text1"/>
          <w:sz w:val="16"/>
          <w:szCs w:val="16"/>
        </w:rPr>
        <w:softHyphen/>
        <w:t>товить и предоставить к 15 февраля опытные образцы двух боевых машин НИИ-13, которым присвоили условный ин</w:t>
      </w:r>
      <w:r w:rsidRPr="00D03F3E">
        <w:rPr>
          <w:rFonts w:ascii="Times New Roman" w:hAnsi="Times New Roman"/>
          <w:color w:val="000000" w:themeColor="text1"/>
          <w:sz w:val="16"/>
          <w:szCs w:val="16"/>
        </w:rPr>
        <w:softHyphen/>
        <w:t>декс СУ-ИТ-45 и СУ-ИТ-76 («Самоходная установка — ис</w:t>
      </w:r>
      <w:r w:rsidRPr="00D03F3E">
        <w:rPr>
          <w:rFonts w:ascii="Times New Roman" w:hAnsi="Times New Roman"/>
          <w:color w:val="000000" w:themeColor="text1"/>
          <w:sz w:val="16"/>
          <w:szCs w:val="16"/>
        </w:rPr>
        <w:softHyphen/>
        <w:t>требитель танков соответственно с 45-мм и 76-мм пушкой»). Но в начале 1943 г. выяснилось, что с производством форсированных двигателей типа ЗИС-80, равно как и ЗИС-5, имеются трудности, а двухдвигательный агрегат ГАЗ-203, стоявший в танке Т-70, никак не встает в отведен</w:t>
      </w:r>
      <w:r w:rsidRPr="00D03F3E">
        <w:rPr>
          <w:rFonts w:ascii="Times New Roman" w:hAnsi="Times New Roman"/>
          <w:color w:val="000000" w:themeColor="text1"/>
          <w:sz w:val="16"/>
          <w:szCs w:val="16"/>
        </w:rPr>
        <w:softHyphen/>
        <w:t>ное ему место. Требовалось перепроектировать моторное отделение и КПП. Кроме того, мощность 45-мм и 76-мм пушек недостаточна для нужд противотанковой обороны в условиях применения немцами новых тяжелых танков «Тигр». Поэтому изготовление опытной САУ отменили (11417).</w:t>
      </w:r>
    </w:p>
    <w:p w14:paraId="3EF61BF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9A974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января 1943 г. после рассмотрения проектов распоряжением ГКО НКТП и НКВ предписывалось изготовить и представить к 1 февраля 1943 г. опытные образцы двух самоходных установок НИИ-4 которым были присвоены наимено</w:t>
      </w:r>
      <w:r w:rsidRPr="00D03F3E">
        <w:rPr>
          <w:rFonts w:ascii="Times New Roman" w:hAnsi="Times New Roman"/>
          <w:color w:val="000000" w:themeColor="text1"/>
          <w:sz w:val="16"/>
          <w:szCs w:val="16"/>
        </w:rPr>
        <w:softHyphen/>
        <w:t>вания СУ-ИТ-45 и СУ-ИТ-76. Одна</w:t>
      </w:r>
      <w:r w:rsidRPr="00D03F3E">
        <w:rPr>
          <w:rFonts w:ascii="Times New Roman" w:hAnsi="Times New Roman"/>
          <w:color w:val="000000" w:themeColor="text1"/>
          <w:sz w:val="16"/>
          <w:szCs w:val="16"/>
        </w:rPr>
        <w:softHyphen/>
        <w:t>ко в начале 1943 г., в связи с отсутст</w:t>
      </w:r>
      <w:r w:rsidRPr="00D03F3E">
        <w:rPr>
          <w:rFonts w:ascii="Times New Roman" w:hAnsi="Times New Roman"/>
          <w:color w:val="000000" w:themeColor="text1"/>
          <w:sz w:val="16"/>
          <w:szCs w:val="16"/>
        </w:rPr>
        <w:softHyphen/>
        <w:t>вием форсированных двигателей ГАЗ-80 и невозможностью установки в моторно-трансмиссионное отделе</w:t>
      </w:r>
      <w:r w:rsidRPr="00D03F3E">
        <w:rPr>
          <w:rFonts w:ascii="Times New Roman" w:hAnsi="Times New Roman"/>
          <w:color w:val="000000" w:themeColor="text1"/>
          <w:sz w:val="16"/>
          <w:szCs w:val="16"/>
        </w:rPr>
        <w:softHyphen/>
        <w:t>ние машин силовой установки танка Т-70 (по размерам), потребовалась переработка компоновки их мотор</w:t>
      </w:r>
      <w:r w:rsidRPr="00D03F3E">
        <w:rPr>
          <w:rFonts w:ascii="Times New Roman" w:hAnsi="Times New Roman"/>
          <w:color w:val="000000" w:themeColor="text1"/>
          <w:sz w:val="16"/>
          <w:szCs w:val="16"/>
        </w:rPr>
        <w:softHyphen/>
        <w:t>ных отделений и коробки передач. Кроме того, ожидалось, что вскоре завод "Двигатель Революции" или Ярославский автозавод вот-вот освоят выпуск дизелей В-4 или "744", которые были так необходимы для установки в легкие танки, самоход</w:t>
      </w:r>
      <w:r w:rsidRPr="00D03F3E">
        <w:rPr>
          <w:rFonts w:ascii="Times New Roman" w:hAnsi="Times New Roman"/>
          <w:color w:val="000000" w:themeColor="text1"/>
          <w:sz w:val="16"/>
          <w:szCs w:val="16"/>
        </w:rPr>
        <w:softHyphen/>
        <w:t>ные установки и артиллерийские тягачи. Использование этих дизелей мощностью 150 - 250 л.с. (ПО - 184 кВт) позволило бы увеличить бро</w:t>
      </w:r>
      <w:r w:rsidRPr="00D03F3E">
        <w:rPr>
          <w:rFonts w:ascii="Times New Roman" w:hAnsi="Times New Roman"/>
          <w:color w:val="000000" w:themeColor="text1"/>
          <w:sz w:val="16"/>
          <w:szCs w:val="16"/>
        </w:rPr>
        <w:softHyphen/>
        <w:t>невую защиту самоходных установок и довести толщину броневых ли</w:t>
      </w:r>
      <w:r w:rsidRPr="00D03F3E">
        <w:rPr>
          <w:rFonts w:ascii="Times New Roman" w:hAnsi="Times New Roman"/>
          <w:color w:val="000000" w:themeColor="text1"/>
          <w:sz w:val="16"/>
          <w:szCs w:val="16"/>
        </w:rPr>
        <w:softHyphen/>
        <w:t>стов до 25 - 45 мм. Однако производство указанных дизелей не было ос</w:t>
      </w:r>
      <w:r w:rsidRPr="00D03F3E">
        <w:rPr>
          <w:rFonts w:ascii="Times New Roman" w:hAnsi="Times New Roman"/>
          <w:color w:val="000000" w:themeColor="text1"/>
          <w:sz w:val="16"/>
          <w:szCs w:val="16"/>
        </w:rPr>
        <w:softHyphen/>
        <w:t>воено промышленностью, поэтому проекты установок, перерабатывав</w:t>
      </w:r>
      <w:r w:rsidRPr="00D03F3E">
        <w:rPr>
          <w:rFonts w:ascii="Times New Roman" w:hAnsi="Times New Roman"/>
          <w:color w:val="000000" w:themeColor="text1"/>
          <w:sz w:val="16"/>
          <w:szCs w:val="16"/>
        </w:rPr>
        <w:softHyphen/>
        <w:t>шиеся под различные силовые установки, так и не были выполнены в срок (10703).</w:t>
      </w:r>
    </w:p>
    <w:p w14:paraId="7FA9AD5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6BF82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января 1943 г. пост. ГКО № 2753 в Америке было закуплено оборудование шинного завода «Форд» и начато строительство нового шинного завода № 507 в Москве (Завод № 507 НКРП, Московский шинный завод (МШЗ), ОАО «МШЗ» /109088  г. Москва ул. Шарикоподшипниковская, 11/). Первый цех был размещен на северо</w:t>
      </w:r>
      <w:r w:rsidRPr="00D03F3E">
        <w:rPr>
          <w:rFonts w:ascii="Times New Roman" w:hAnsi="Times New Roman"/>
          <w:color w:val="000000" w:themeColor="text1"/>
          <w:sz w:val="16"/>
          <w:szCs w:val="16"/>
        </w:rPr>
        <w:softHyphen/>
        <w:t>западной части ГПЗ-1. 10.05.1943 г. вышло постановление ГКО № 3340 о материально-техническом обеспечении строительства завода № 507 НКРП. 27.05.1943 г. вышло постановление ГКО № 3439 о проектировании Московского шинного завода. 17.09.1943 г. вышло распоряжение ГКО № 4147 о направлении на строительство завода № 507 одной бригады разграждения, распоряжением ГКО № 4359 от 17.10.1943 г. на строительство завода направлена еще одна бригада разграждения. Распоряжением ГКО № 4441 от 28.10.1943 г. МШЗ передан из Главлесснаба склад тары. В соответствии с пост. ГКО от 18.05.1944 г. 1-я очередь завода № 507 НКРП введена в действие.</w:t>
      </w:r>
    </w:p>
    <w:p w14:paraId="681C431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2.08.1945 г. завод выпустил первую автомобильную камеру, 25.09.1945 г.- первую покрышку, а 5.11.1945 г. полностью вступил в строй, начав серийный выпуск покрышек для ЗиС-5. С 1948 г. начат выпуск шин для правительственных автомобилей ЗиС-110.</w:t>
      </w:r>
    </w:p>
    <w:p w14:paraId="1F46AF6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1992 г. предприятие акционировано и преобразовано в ОАО. В 2003 г. создано дочернее СП МШЗ-М. В 07.2006 г. ОАО МШЗ вошло в состав холдинга «Амтел-Фредештайн». В 2006 г. планировалось перевести производственные мощности с МШЗ на МШЗ-М.</w:t>
      </w:r>
    </w:p>
    <w:p w14:paraId="75C411C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Гендиректор (-2003-07 г.-)- В.П. Ежов.</w:t>
      </w:r>
    </w:p>
    <w:p w14:paraId="7DEA054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ЗАО «Московский шинный завод-М» (МШЗ-М) /г. Москва 1-я Дубровская ул., 13А стр. 1/</w:t>
      </w:r>
    </w:p>
    <w:p w14:paraId="15DA8CA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Создано в 2003 г. как СП с немецкой фирмой "</w:t>
      </w:r>
      <w:r w:rsidRPr="00D03F3E">
        <w:rPr>
          <w:rFonts w:ascii="Times New Roman" w:hAnsi="Times New Roman"/>
          <w:color w:val="000000" w:themeColor="text1"/>
          <w:sz w:val="16"/>
          <w:szCs w:val="16"/>
          <w:lang w:val="en-US"/>
        </w:rPr>
        <w:t>Continental</w:t>
      </w:r>
      <w:r w:rsidRPr="00D03F3E">
        <w:rPr>
          <w:rFonts w:ascii="Times New Roman" w:hAnsi="Times New Roman"/>
          <w:color w:val="000000" w:themeColor="text1"/>
          <w:sz w:val="16"/>
          <w:szCs w:val="16"/>
        </w:rPr>
        <w:t xml:space="preserve">". Затем немцы вышли из проекта. В 07.2007 г. МШЗ- М было куплено компанией </w:t>
      </w:r>
      <w:r w:rsidRPr="00D03F3E">
        <w:rPr>
          <w:rFonts w:ascii="Times New Roman" w:hAnsi="Times New Roman"/>
          <w:color w:val="000000" w:themeColor="text1"/>
          <w:sz w:val="16"/>
          <w:szCs w:val="16"/>
          <w:lang w:val="en-US"/>
        </w:rPr>
        <w:t>Amtel</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Vredestein</w:t>
      </w:r>
      <w:r w:rsidRPr="00D03F3E">
        <w:rPr>
          <w:rFonts w:ascii="Times New Roman" w:hAnsi="Times New Roman"/>
          <w:color w:val="000000" w:themeColor="text1"/>
          <w:sz w:val="16"/>
          <w:szCs w:val="16"/>
        </w:rPr>
        <w:t>. В 12.2007 г. площадка продана под коммерческое строительство, производство переведено в Воронеж.</w:t>
      </w:r>
    </w:p>
    <w:p w14:paraId="7C51C9B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шин «Таганка» (2006 г.).</w:t>
      </w:r>
    </w:p>
    <w:p w14:paraId="68B53BE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территории (2007 г.)- 23 тыс.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xml:space="preserve"> (11982).</w:t>
      </w:r>
    </w:p>
    <w:p w14:paraId="0BC85B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6528E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января 1943 вышло Постановление ГКО № 2751 О тов. Чумакове Л.М.РГАНИР, Фонд ГКО, д. 83, лл. 1 (11012).</w:t>
      </w:r>
    </w:p>
    <w:p w14:paraId="63DF931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19C8E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января 1943 вышло Постановление ГКО № 2752 О т.т. Николаеве Т.Л. и Карпенкове. РГАНИР, Фонд ГКО, д. А.РГАНИР, Фонд ГКО, д. 83, лл. 2 (11012).</w:t>
      </w:r>
    </w:p>
    <w:p w14:paraId="5F3CCB3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4DB907"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52C0218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D305AC"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16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4D8D51DA"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16 января наши войска на Северном Кавказе, в районе Нижнего Дона и Северного Донца продолжали бои на прежних направлениях.</w:t>
      </w:r>
    </w:p>
    <w:p w14:paraId="418A0524"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заводском районе Сталинграда наши штурмовые отряды продвинулись вперёд изахватили ряд укреплённых зданий. Уничтожено свыше 200 немецких солдат иофицеров, 6 орудий, 3 миномётные батареи и 26 огневых точек. Захвачены трофеи и пленные. На одном участке рота немецкой пехоты перешла в контратаку, Но была почти целиком истреблена пулемётным и миномётным огнём наших подразделений.</w:t>
      </w:r>
    </w:p>
    <w:p w14:paraId="66F413F6"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Нижнего Дона наши войска, преодолевая упорное сопротивление противника, продолжали успешное наступление. На одном участке немцы создали мощную оборонительную полосу. Части Н-ского соединения, обойдя с флангов укрепления противника, дезорганизовали его оборону и нанесли гитлеровцам большой урон. Преследуя противника, наши части заняли несколько населённых пунктов. Взяты пленные и трофеи.</w:t>
      </w:r>
    </w:p>
    <w:p w14:paraId="3CAEB50F"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Центральном фронте, юго-западнее Великих Лук, после артиллерийской подготовки пехота и танки противника атаковали позиции Н-ской части. Наши артиллеристы, быстро выдвинув орудия на открытые позиции, подбили 4 тяжёлых немецких танка. Штыковым ударом наши бойцы отбросили немецкую пехоту, оставшуюся без прикрытия. Противник оставил на поле боя 180 трупов.</w:t>
      </w:r>
    </w:p>
    <w:p w14:paraId="1564E17C"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с боями продвигались вперёд. Бойцы под командованием тов. Хоменко рассеяли и частью уничтожили до батальона вражеской пехоты, подбили 8 немецких танков, захватили 29 автомашин и другие трофеи. На другом участке наши подразделения уничтожили до 200 немецких солдат и офицеров, захватили железнодорожный эшелон с продовольствием, 4 орудия и 10 миномётов. Овладев одним населённым пунктом, бойцы Н-ской части отбили у немцев 10 тысяч голов рогатого скота, отнятого гитлеровцами у крестьян.</w:t>
      </w:r>
    </w:p>
    <w:p w14:paraId="5A2B0E23"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на Северном Кавказе, в боях с немецкими захватчиками истребил свыше 200 вражеских солдат и офицеров, уничтожил 3 бронемашины, 7 автомашин, 2 радиостанции и сжёг большой склад горючего. Партизаны захватили знамя немецкой части, много оружия и боеприпасов.</w:t>
      </w:r>
    </w:p>
    <w:p w14:paraId="40CA487B"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Получено сообщение о зверствах немецко-фашистских мерзавцев в городе Курске. Немецкие захватчики истребляют мирное население города. Только в декабре гитлеровские палачи замучили и расстреляли свыше 500 человек. В начале января гестаповцы произвели многочисленные аресты среди советской интеллигенции. Арестованных подвергли пыткам. Научного сотрудника Тимофеева фашистские изверги изуродовали до неузнаваемости, а труп его бросили в мусорную яму. Учителя Михаила Соколова бандиты повесили. О судьбе остальных арестованных ничего не известно. Город пустеет с каждым днём. За полгода немцы насильно вывезли в Германию на каторгу много тысяч жителей. Оставшееся в городе население гитлеровцы гоняют на тяжёлые работы. Работающие не получают даже хлеба. Ежедневно десятки людей умирают от голода.</w:t>
      </w:r>
    </w:p>
    <w:p w14:paraId="2B4B6283"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Французские свободные стрелки в районе Нанта взорвали немецкий склад с горючим. В Лилле группа вооружённых французов разгромила мастерские по ремонту танков. Выведено из строя шесть отремонтированных средних танков. Близ Амьена французские патриоты пустили под откос немецкий воинский эшелон.» (15011).</w:t>
      </w:r>
    </w:p>
    <w:p w14:paraId="060F0E8A" w14:textId="77777777" w:rsidR="00A3709C" w:rsidRPr="00D03F3E" w:rsidRDefault="00A3709C" w:rsidP="00D03F3E">
      <w:pPr>
        <w:spacing w:after="0" w:line="240" w:lineRule="auto"/>
        <w:jc w:val="both"/>
        <w:rPr>
          <w:rFonts w:ascii="Times New Roman" w:hAnsi="Times New Roman"/>
          <w:color w:val="000000" w:themeColor="text1"/>
          <w:sz w:val="16"/>
          <w:szCs w:val="16"/>
        </w:rPr>
      </w:pPr>
    </w:p>
    <w:p w14:paraId="0AAD7A89"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16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3C42884D"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днях наши войска, расположенные южнее Воронежа, перешли в наступление против немецко-фашистских войск и, прорвав сильно укреплённую оборону противника, продвинулись вперёд на 50—90 километров. Нашими войсками занято более 600 населённых пунктов, в том числе город и железнодорожный узел Россошь, районные центры и железнодорожные станции Ольховатка, Митрофановка, Пухово, районные центры — Репьевка, Красное, Ровеньки, Марковка, Каменка,железнодорожные станции — Мелогорье, Рыбальчино, Сотницкое.</w:t>
      </w:r>
    </w:p>
    <w:p w14:paraId="5F73C418"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января войска Донского фронта начали генеральную атаку окружённых в районе Сталинграда немецко-фашистских войск. За 7 дней напряжённых боёв наши войска, сжимая кольцо окружения немецко-фашистских войск, продвинулись на отдельных направлениях на 20—35 километров и заняли важные укреплённые узлы обороны —Мариновка, Атаманский, Лагерь имени Ворошилова, Карповка, Жирноклеевка, Госпитомник, Синеоковский, Новый Рогачик, Старый Рогачик, Песчаный Карьер, Береславский, Скляров, Ра-котино, Кравцов, Цыбенко, Елхи, Алексеевка, Питомник, Дубинин, Малая Россошка, Западновка, Бородин, Совхоз № 1, Бабуркин, Ново-Алексеевский, Дмитриевка, Полтавский, Оторвановка, Соловьёв и железнодорожные станции — Басаргино, Карповская, Прудбой.</w:t>
      </w:r>
    </w:p>
    <w:p w14:paraId="7736A98D"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и в районе Северного Донца наши войска продолжали вести наступательные бои на прежних направлениях.</w:t>
      </w:r>
    </w:p>
    <w:p w14:paraId="07138874"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января частями нашей авиации на различных участках фронта уничтожено или повреждено более 10 немецких танков, до 120 автомашин с войсками и грузами, подавлен огонь 10 артиллерийских батарей, разбито 2 железнодорожных состава, рассеяно и частью уничтожено до батальона пехоты противника.</w:t>
      </w:r>
    </w:p>
    <w:p w14:paraId="136671EE"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Зимовников наши войска, преодолевая упорное сопротивление и отбивая контратаки танков и пехоты противника, продолжали успешное наступление. В боях за железнодорожную станцию Двойная и районный центр Орловская немцы понесли тяжёлые потери. Ночью наши части ворвались в Орловскую и начали истреблять гитлеровцев. По неполным данным, уничтожено более 700 солдат противника дивизии СС «Викинг». Оставшиеся в живых немцы в панике бежали, не успев взорвать заминированные продовольственные склады. В посёлке и на станции захвачено много различного военного имущества. В числе трофеев: 20 паровозов, 120 вагонов и платформ, бронепоезд, 9 орудий, 3 танка, 40 автомашин, 4.000 тонн зерна и 5 продовольственных складов. В бою за станцию Двойная, кроме того, уничтожено 9 танков, 6 орудий, 9 миномётов, 14 станковых пулемётов и 17 автомашин. Развивая успех, наши войска заняли ещё несколько населённых пунктов.</w:t>
      </w:r>
    </w:p>
    <w:p w14:paraId="5C2D7C3E"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районе Северного Донца наши войска успешно продвигались вперёд. Н-ская кавалерийская часть сломила сопротивление противника и овладела пятью крупными населёнными пунктами. На поле боя осталось до 400 вражеских трупов. Другие наши части выбили гитлеровцев ещё из ряда населённых пунктов. Противник яростно сопротивлялся и бросал в контратаки большое количество пехоты и танков. Все контратаки гитлеровцев отбиты с большими для них потерями. Уничтожено до 1.200 немецких солдат и офицеров. Сожжено и подбито 29 вражеских танков, 5 бронемашин, 6 орудий и 70 автомашин. Взято 6 исправных танков, 9 орудий, много автомашин и подвод с грузами. При занятии нашими войсками станции Глубокая взято 57 паровозов, более 100 вагонов, 5 складов, элеватор с хлебом и много разного военного имущества.</w:t>
      </w:r>
    </w:p>
    <w:p w14:paraId="58044CFC"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юго-западнее Великих Лук немцы силами пехоты при поддержке 40 танков контратаковали позиции Н-ской части. В течение дня шли ожесточённые бои. Наши бойцы истребили несколько сот гитлеровцев, подбили 8 танков и отбросили врага на исходные позиции. На другом участке бойцы Н-ской части разгромили группу вражеских войск и овладели несколькими опорными пунктами. Уничтожено до батальона немецкой пехоты. Взято в плен 470 немецких солдат и офицеров. Захвачены 4 танка и другие трофеи.</w:t>
      </w:r>
    </w:p>
    <w:p w14:paraId="380A400E"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с боями заняли несколько населённых пунктов. Гвардейские кавалерийские части под командованием тов. Кириченко неотступно преследуют потрёпанные части противника. В боях за крупный населённый пункт кавалеристы уничтожили до 400 гитлеровцев, подбили несколько танков и бронемашини захватили пленных.</w:t>
      </w:r>
    </w:p>
    <w:p w14:paraId="7C483120"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Несколько партизанских отрядов, действующих в Орловской области, за две недели пустили под откос 16 немецких воинских эшелонов. Разбито 15 паровозов, 256 вагонов, платформ и цистерн. В результате крушений убито около 500 гитлеровцев и уничтожено много военной техники и боеприпасов.».</w:t>
      </w:r>
    </w:p>
    <w:p w14:paraId="789182DF"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015694BC"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Нашими войсками заняты Миллерово, Алексеевка, Коротояк, Подгорное, Курсавка.</w:t>
      </w:r>
    </w:p>
    <w:p w14:paraId="71949D2D"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января наши войска после упорного боя овладели городом и крупным железнодорожным узлом Миллерово. Немецкий гарнизон города, пытавшийся вырваться из окружения, почти полностью истреблён нашими войсками. Захвачены большие трофеи, среди которых 15 самолётов, склады и железнодорожные составы с различным военным имуществом.</w:t>
      </w:r>
    </w:p>
    <w:p w14:paraId="6D5EBFFB"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наступающие южнее Воронежа, овладели городом и крупной железнодорожной станцией Алексеевка, городом Коротояк, районным центром и железнодорожной станцией Подгорное.</w:t>
      </w:r>
    </w:p>
    <w:p w14:paraId="66F7F67E"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в результате решительной атаки овладели районным центром и крупной железнодорожной станцией Курсавка.».</w:t>
      </w:r>
    </w:p>
    <w:p w14:paraId="51B838C8"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 Трофеи наших войск на Северном Кавказе.</w:t>
      </w:r>
    </w:p>
    <w:p w14:paraId="236737E9"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«Частями Северной группы войск Закавказского фронта (Закавказским фронтом командует генерал армии тов. Тюленев И.В.) в боях с немецкими оккупантами на Северном Кавказе с 25 декабря 1942 года по 16 января 1943 года взяты следующиетрофеи: самолётов — 35, танков — 314, орудий разного калибра — 372, миномётов —422, противотанковых ружей — 396, пулемётов — 602, винтовок — более 10 тысяч, снарядов — 385.000, авиабомб — 300.000, винтовочных патронов — около 3-х миллионов, автомашин — 2.338, мотоциклов — 460, радиостанций — 28, паровозов —8, товарных вагонов — 1.020, в том числе 26 вагонов со снарядами и 48 вагонов с запасными частями к танкам и автомашинам, платформ железнодорожных — 550, цистерн железнодорожных — 70, пассажирских вагонов — 80, снегоочистителей — 27, складов с боеприпасами, вооружением и продовольствием — 70.» (15011).</w:t>
      </w:r>
    </w:p>
    <w:p w14:paraId="49D8A4A9" w14:textId="77777777" w:rsidR="00A3709C" w:rsidRPr="00D03F3E" w:rsidRDefault="00A3709C" w:rsidP="00D03F3E">
      <w:pPr>
        <w:spacing w:after="0" w:line="240" w:lineRule="auto"/>
        <w:jc w:val="both"/>
        <w:rPr>
          <w:rFonts w:ascii="Times New Roman" w:hAnsi="Times New Roman"/>
          <w:color w:val="000000" w:themeColor="text1"/>
          <w:sz w:val="16"/>
          <w:szCs w:val="16"/>
        </w:rPr>
      </w:pPr>
    </w:p>
    <w:p w14:paraId="1731B805" w14:textId="77777777" w:rsidR="00955897" w:rsidRPr="00D03F3E" w:rsidRDefault="0095589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16 января 1943 г. при выполнении боевого задания Пе-2 (зав. №30/07) командира 804-го бап майора Гаврилова на высоте 1500 м был подожжен огнем зенитной артиллерии противника. Пожар возник в крыльевых бензобаках, но благодаря наличию 2-й зоны НГ интенсивного распространения огня по самолету не последовало, поэтому удалось совершить вынужденную посадку с убранным шасси (17733).</w:t>
      </w:r>
    </w:p>
    <w:p w14:paraId="696D5C60" w14:textId="77777777" w:rsidR="00955897" w:rsidRPr="00D03F3E" w:rsidRDefault="0095589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37DB06F"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16 января</w:t>
      </w:r>
      <w:r w:rsidRPr="00D03F3E">
        <w:rPr>
          <w:rFonts w:ascii="Times New Roman" w:hAnsi="Times New Roman"/>
          <w:color w:val="000000" w:themeColor="text1"/>
          <w:sz w:val="16"/>
          <w:szCs w:val="16"/>
        </w:rPr>
        <w:t xml:space="preserve"> в 1943 году Указом Президиума Верховного Совета СССР установлены воинские звания для высшего командного состава авиации, артиллерии и бронетанковых войск — маршал авиации, маршал артиллерии и маршал бронетанковых войск (15011).</w:t>
      </w:r>
    </w:p>
    <w:p w14:paraId="27E658D5" w14:textId="77777777" w:rsidR="00A3709C" w:rsidRPr="00D03F3E" w:rsidRDefault="00A3709C" w:rsidP="00D03F3E">
      <w:pPr>
        <w:spacing w:after="0" w:line="240" w:lineRule="auto"/>
        <w:jc w:val="both"/>
        <w:rPr>
          <w:rFonts w:ascii="Times New Roman" w:hAnsi="Times New Roman"/>
          <w:color w:val="000000" w:themeColor="text1"/>
          <w:sz w:val="16"/>
          <w:szCs w:val="16"/>
        </w:rPr>
      </w:pPr>
    </w:p>
    <w:p w14:paraId="4AEABA4C" w14:textId="77777777" w:rsidR="00113EE2" w:rsidRPr="00D03F3E" w:rsidRDefault="00113E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января 1943 г. Командующий 4-м ВФ генерал-оберст фон Рихтгофен вышел с предложением продолжить оснащение штурмовых авиагрупп бипланом Нз 123 и с этой целью возобновить его серийный вы</w:t>
      </w:r>
      <w:r w:rsidRPr="00D03F3E">
        <w:rPr>
          <w:rFonts w:ascii="Times New Roman" w:hAnsi="Times New Roman"/>
          <w:color w:val="000000" w:themeColor="text1"/>
          <w:sz w:val="16"/>
          <w:szCs w:val="16"/>
        </w:rPr>
        <w:softHyphen/>
        <w:t>пуск. Способность «работать» с коротких неподготовленных площадок и «умение» этого «хеншеля» выполнять атаки, как с пикирования, так и с предельно малых высот, по мнению генерала, являлись именно теми качествами, которые необ</w:t>
      </w:r>
      <w:r w:rsidRPr="00D03F3E">
        <w:rPr>
          <w:rFonts w:ascii="Times New Roman" w:hAnsi="Times New Roman"/>
          <w:color w:val="000000" w:themeColor="text1"/>
          <w:sz w:val="16"/>
          <w:szCs w:val="16"/>
        </w:rPr>
        <w:softHyphen/>
        <w:t>ходимы самолету поля боя в сложившихся условиях боев на восточном фронте. Обладая приличной маневренностью на малых высотах, имея мотор воздушного охлаждения и прочную цельнометалличе</w:t>
      </w:r>
      <w:r w:rsidRPr="00D03F3E">
        <w:rPr>
          <w:rFonts w:ascii="Times New Roman" w:hAnsi="Times New Roman"/>
          <w:color w:val="000000" w:themeColor="text1"/>
          <w:sz w:val="16"/>
          <w:szCs w:val="16"/>
        </w:rPr>
        <w:softHyphen/>
        <w:t>скую конструкцию, сто двадцать третий «хеншель», несмотря на отсутствие силь</w:t>
      </w:r>
      <w:r w:rsidRPr="00D03F3E">
        <w:rPr>
          <w:rFonts w:ascii="Times New Roman" w:hAnsi="Times New Roman"/>
          <w:color w:val="000000" w:themeColor="text1"/>
          <w:sz w:val="16"/>
          <w:szCs w:val="16"/>
        </w:rPr>
        <w:softHyphen/>
        <w:t>ного бронирования, показывал высокую боевую живучесть на фронте. Например, средний налет на одну боевую потерю Нз 123 из ЗсИ.С. 1 в мае-июне 1942 г. со</w:t>
      </w:r>
      <w:r w:rsidRPr="00D03F3E">
        <w:rPr>
          <w:rFonts w:ascii="Times New Roman" w:hAnsi="Times New Roman"/>
          <w:color w:val="000000" w:themeColor="text1"/>
          <w:sz w:val="16"/>
          <w:szCs w:val="16"/>
        </w:rPr>
        <w:softHyphen/>
        <w:t>ставил около 78 самолето-вылетов, что почти в 2 раза превышало таковой показа</w:t>
      </w:r>
      <w:r w:rsidRPr="00D03F3E">
        <w:rPr>
          <w:rFonts w:ascii="Times New Roman" w:hAnsi="Times New Roman"/>
          <w:color w:val="000000" w:themeColor="text1"/>
          <w:sz w:val="16"/>
          <w:szCs w:val="16"/>
        </w:rPr>
        <w:softHyphen/>
        <w:t>тель для истребителя-бомбардировщика ВТ 109Е-4/В и примерно в 4 раза - для бронированного Нз 129В.</w:t>
      </w:r>
    </w:p>
    <w:p w14:paraId="29F9C410" w14:textId="77777777" w:rsidR="00113EE2" w:rsidRPr="00D03F3E" w:rsidRDefault="00113E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оказалось, что вся оснастка и оборудование, необходимые для серий</w:t>
      </w:r>
      <w:r w:rsidRPr="00D03F3E">
        <w:rPr>
          <w:rFonts w:ascii="Times New Roman" w:hAnsi="Times New Roman"/>
          <w:color w:val="000000" w:themeColor="text1"/>
          <w:sz w:val="16"/>
          <w:szCs w:val="16"/>
        </w:rPr>
        <w:softHyphen/>
        <w:t>ного производства Нз123, уже были разо</w:t>
      </w:r>
      <w:r w:rsidRPr="00D03F3E">
        <w:rPr>
          <w:rFonts w:ascii="Times New Roman" w:hAnsi="Times New Roman"/>
          <w:color w:val="000000" w:themeColor="text1"/>
          <w:sz w:val="16"/>
          <w:szCs w:val="16"/>
        </w:rPr>
        <w:softHyphen/>
        <w:t>браны и уничтожены (12728).</w:t>
      </w:r>
    </w:p>
    <w:p w14:paraId="6DE3541B" w14:textId="77777777" w:rsidR="00113EE2" w:rsidRPr="00D03F3E" w:rsidRDefault="00113EE2" w:rsidP="00D03F3E">
      <w:pPr>
        <w:spacing w:after="0" w:line="240" w:lineRule="auto"/>
        <w:jc w:val="both"/>
        <w:rPr>
          <w:rFonts w:ascii="Times New Roman" w:hAnsi="Times New Roman"/>
          <w:color w:val="000000" w:themeColor="text1"/>
          <w:sz w:val="16"/>
          <w:szCs w:val="16"/>
        </w:rPr>
      </w:pPr>
    </w:p>
    <w:p w14:paraId="451E75C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января 1943 прибывший в Таганрог, в штаб 4-го воздушного флота, Мильх установил, что реальная мощь приданных соединений, предназначенных для транспортировки грузов, стала меньше на 25 процентов. Он доложил в Берлин, что самолеты Ю-52 ввиду сильного сопротивления советских ВВС смогут летать только ночью. В его докладе за 17 января отмечается, что только 63 транспортника готовы к выполнению заданий, остальные повреждены или ремонтируются. 18 января он просил срочно прислать Ме-110, а также Ю-88Г6 - так называемые "многоцелевые разрушители", способные противодействовать советским истребителям, в том числе и днем. Однако штаб Люфтваффе мог прислать только 12 таких самолетов, на другие требовалось установить дополнительные бензобаки. Мильх издал строгие приказы, касающиеся как летного, так и наземного персонала, однако и это уже не помогало. Сначала Мильх считал, что ему удастся этими силами с 20 января 1943 года ежедневно подавать в "котел" свыше 450 тонн грузов, а с 1 февраля - уже по 570 тонн. Но и этим планам не суждено было сбыться (3573).</w:t>
      </w:r>
    </w:p>
    <w:p w14:paraId="3C99821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20F05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января 1943 г. Командующий 4-м ВФ генерал-оберст фон Рихтгофен вышел с предложением продолжить оснащение штурмовых авиагрупп полуторапланом Hsl23 и с этой целью возобновить его серийный выпуск. Способность "работать" с коротких неподготовленных площадок и "умение" этого "хеншеля" выполнять атаки как с пикирования, используя бомбы крупного калибра, так и с предельно малых высот пулеметно-пушечным огнем или мелкими осколочными бомбами, по мнению генерала, являлись именно теми качествами, которые необходимы самолету поля боя в сложившихся условиях боев на восточном фронте. Обладая приличной маневренностью на малых высотах, имея мотор воздушного охлаждения и прочную цельнометаллическую конструкцию, сто двадцать третий "хеншель", несмотря на отсутствие сильного бронирования, показывал высокую боевую живучесть на фронте. Например, средний налет на одну боевую потерю Hsl23 из Sch.G.1 в мае-июне 1942 г. составил около 78 самолето-вылетов, что почти в 2 раза превышало таковой показатель для истребителя-бомбардировщика ВП09Е-4/В и примерно в 4 раза - для бронированного Hsl29B.</w:t>
      </w:r>
    </w:p>
    <w:p w14:paraId="52B2269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оказалось, что вся оснастка и оборудование, необходимые для серийного производства Hsl23, уже были разобраны и уничтожены (9084).</w:t>
      </w:r>
    </w:p>
    <w:p w14:paraId="177EF33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44D9E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января 1943 г. вышел УКАЗ ПРЕЗИДИУМА ВЕРХОВНОГО СОВЕТА СССР ОБ УСТАНОВЛЕНИИ ДОПОЛНИТЕЛЬНЫХ ВОИНСКИХ ЗВАНИЙ ДЛЯ ВЫСШЕГО КОМАНДНОГО СОСТАВА АВИАЦИИ, АРТИЛЛЕРИИ И БРОНЕТАНКОВЫХ ВОЙСК</w:t>
      </w:r>
    </w:p>
    <w:p w14:paraId="7868156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дополнении к Указу Президиума Верховного Совета СССР от 7 мая 1940 года установить следующие воинские звания для высшего командного состава авиации, артиллерии и бронетанковых войск:</w:t>
      </w:r>
    </w:p>
    <w:p w14:paraId="4C093FB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Маршал авиации.</w:t>
      </w:r>
    </w:p>
    <w:p w14:paraId="19DE5E1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Маршал артиллерии.</w:t>
      </w:r>
    </w:p>
    <w:p w14:paraId="02CBA56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Маршал бронетанковых войск.</w:t>
      </w:r>
    </w:p>
    <w:p w14:paraId="5995BB4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Председатель Президиума Верховного Совета СССР М. КАЛИНИН</w:t>
      </w:r>
    </w:p>
    <w:p w14:paraId="603EA8F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Секретарь Президиума Верховного Совета СССР А. ГОРКИН </w:t>
      </w:r>
      <w:r w:rsidRPr="00D03F3E">
        <w:rPr>
          <w:rFonts w:ascii="Times New Roman" w:hAnsi="Times New Roman"/>
          <w:color w:val="000000" w:themeColor="text1"/>
          <w:sz w:val="16"/>
          <w:szCs w:val="16"/>
        </w:rPr>
        <w:t>(9844).</w:t>
      </w:r>
    </w:p>
    <w:p w14:paraId="5EE4636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C6E459"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3B331A6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89973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января 1943 вышло Постановление ГКО № 2753 О приобретении в САСШ оборудования шинного завода "Форд" и о строительстве на его базе нового шинного завода в Москве.РГАНИР, Фонд ГКО, д. 83, лл. 3-4 (11012).</w:t>
      </w:r>
    </w:p>
    <w:p w14:paraId="637C28F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3BBCAF"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67C2473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32C0F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января 1943 г. на встрече Рузвельта и Черчилля в Касабланке было решено пригласить двух генералов для переговоров. Де Голль заявил, что встречаться с Жиро под присмотром союзников не будет. Черчиллю пришлось припугнуть его реакцией Рузвельта (3871).</w:t>
      </w:r>
    </w:p>
    <w:p w14:paraId="6D211E6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98B72E"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lastRenderedPageBreak/>
        <w:t>16 января</w:t>
      </w:r>
      <w:r w:rsidRPr="00D03F3E">
        <w:rPr>
          <w:rFonts w:ascii="Times New Roman" w:hAnsi="Times New Roman"/>
          <w:color w:val="000000" w:themeColor="text1"/>
          <w:sz w:val="16"/>
          <w:szCs w:val="16"/>
        </w:rPr>
        <w:t xml:space="preserve"> в 1943 году возобновлены авианалеты британских ВВС на Берлин (15011).</w:t>
      </w:r>
    </w:p>
    <w:p w14:paraId="3FB81E20" w14:textId="77777777" w:rsidR="00A3709C" w:rsidRPr="00D03F3E" w:rsidRDefault="00A3709C" w:rsidP="00D03F3E">
      <w:pPr>
        <w:spacing w:after="0" w:line="240" w:lineRule="auto"/>
        <w:jc w:val="both"/>
        <w:rPr>
          <w:rFonts w:ascii="Times New Roman" w:hAnsi="Times New Roman"/>
          <w:color w:val="000000" w:themeColor="text1"/>
          <w:sz w:val="16"/>
          <w:szCs w:val="16"/>
        </w:rPr>
      </w:pPr>
    </w:p>
    <w:p w14:paraId="1568973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January 16 1943 Berlin is raided by Royal Air Force for the first time since November 7, 1941 (1037).</w:t>
      </w:r>
    </w:p>
    <w:p w14:paraId="687E719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5D8D92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января 1943 состоялся первый с 7 ноября 1941 налет RAF на Берлин (1037).</w:t>
      </w:r>
    </w:p>
    <w:p w14:paraId="7B0F1CC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0E01E0"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16–17 января (ночь) 1943 британская точность бомбардировок низкая во время налета на Берлин, который находится за пределами досягаемости навигационных средств Джи и Гобой. Потери британских бомбардировщиков невелики. Бомбы-указатели цели используются впервые (20376).</w:t>
      </w:r>
    </w:p>
    <w:p w14:paraId="456AD2B5" w14:textId="77777777" w:rsidR="00FD630D" w:rsidRPr="00D03F3E" w:rsidRDefault="00FD630D" w:rsidP="00D03F3E">
      <w:pPr>
        <w:spacing w:after="0" w:line="240" w:lineRule="auto"/>
        <w:jc w:val="both"/>
        <w:rPr>
          <w:rFonts w:ascii="Times New Roman" w:hAnsi="Times New Roman"/>
          <w:color w:val="0070C0"/>
          <w:sz w:val="16"/>
          <w:szCs w:val="16"/>
        </w:rPr>
      </w:pPr>
    </w:p>
    <w:p w14:paraId="0DCF20C9" w14:textId="77777777" w:rsidR="00381A38" w:rsidRPr="00D03F3E" w:rsidRDefault="00381A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w:t>
      </w:r>
      <w:r w:rsidRPr="00D03F3E">
        <w:rPr>
          <w:rFonts w:ascii="Times New Roman" w:hAnsi="Times New Roman"/>
          <w:bCs/>
          <w:color w:val="000000" w:themeColor="text1"/>
          <w:sz w:val="16"/>
          <w:szCs w:val="16"/>
        </w:rPr>
        <w:t xml:space="preserve"> 16-17 января 1943 года</w:t>
      </w:r>
      <w:r w:rsidRPr="00D03F3E">
        <w:rPr>
          <w:rFonts w:ascii="Times New Roman" w:hAnsi="Times New Roman"/>
          <w:color w:val="000000" w:themeColor="text1"/>
          <w:sz w:val="16"/>
          <w:szCs w:val="16"/>
        </w:rPr>
        <w:t xml:space="preserve"> на Берлин был совершен по-настоящему крупный налет, первый в новом году — 190 «Ланкастеров» и 11 английских «Галифаксов» нанесли удар по заводам «Борзиг» и «Ло</w:t>
      </w:r>
      <w:r w:rsidRPr="00D03F3E">
        <w:rPr>
          <w:rFonts w:ascii="Times New Roman" w:hAnsi="Times New Roman"/>
          <w:color w:val="000000" w:themeColor="text1"/>
          <w:sz w:val="16"/>
          <w:szCs w:val="16"/>
        </w:rPr>
        <w:softHyphen/>
        <w:t>ренц», а также Берлинскому цирку, где в этот день давалось большое представление. Только благодаря хорошо отлаженной процедуре эвакуации, число жертв среди населения составило в ту ночь «всего» 198 человек. Потери англичан – 1 «ланкастер». В следующую ночь налет был повторен, на этот раз он обошелся в 19 «Ланкасте</w:t>
      </w:r>
      <w:r w:rsidRPr="00D03F3E">
        <w:rPr>
          <w:rFonts w:ascii="Times New Roman" w:hAnsi="Times New Roman"/>
          <w:color w:val="000000" w:themeColor="text1"/>
          <w:sz w:val="16"/>
          <w:szCs w:val="16"/>
        </w:rPr>
        <w:softHyphen/>
        <w:t>ров» и 3 «Галифакса».</w:t>
      </w:r>
    </w:p>
    <w:p w14:paraId="5E297E7B" w14:textId="77777777" w:rsidR="00381A38" w:rsidRPr="00D03F3E" w:rsidRDefault="00381A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марта 1943 года</w:t>
      </w:r>
      <w:r w:rsidRPr="00D03F3E">
        <w:rPr>
          <w:rFonts w:ascii="Times New Roman" w:hAnsi="Times New Roman"/>
          <w:color w:val="000000" w:themeColor="text1"/>
          <w:sz w:val="16"/>
          <w:szCs w:val="16"/>
        </w:rPr>
        <w:t xml:space="preserve"> 257 самолетов уничтожили заводы «Телефункен» и железнодорожные мастерс</w:t>
      </w:r>
      <w:r w:rsidRPr="00D03F3E">
        <w:rPr>
          <w:rFonts w:ascii="Times New Roman" w:hAnsi="Times New Roman"/>
          <w:color w:val="000000" w:themeColor="text1"/>
          <w:sz w:val="16"/>
          <w:szCs w:val="16"/>
        </w:rPr>
        <w:softHyphen/>
        <w:t>кие в Темпельхофе. Погибли 191 гражданских, сбито 17 самолетов.</w:t>
      </w:r>
      <w:r w:rsidRPr="00D03F3E">
        <w:rPr>
          <w:rFonts w:ascii="Times New Roman" w:hAnsi="Times New Roman"/>
          <w:bCs/>
          <w:color w:val="000000" w:themeColor="text1"/>
          <w:sz w:val="16"/>
          <w:szCs w:val="16"/>
        </w:rPr>
        <w:t xml:space="preserve"> 18-19 марта</w:t>
      </w:r>
      <w:r w:rsidRPr="00D03F3E">
        <w:rPr>
          <w:rFonts w:ascii="Times New Roman" w:hAnsi="Times New Roman"/>
          <w:color w:val="000000" w:themeColor="text1"/>
          <w:sz w:val="16"/>
          <w:szCs w:val="16"/>
        </w:rPr>
        <w:t xml:space="preserve"> в ходе ещё одного налета погибло уже 300 человек, за что летчики расплатились 30-ю самолетами. Дальше масштабы бомбрдировок только возрастали.</w:t>
      </w:r>
    </w:p>
    <w:p w14:paraId="78E62F1D" w14:textId="77777777" w:rsidR="00381A38" w:rsidRPr="00D03F3E" w:rsidRDefault="00381A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 концу марта 1943 погибшими от бомбардировок непосредственно в Берлине числилось 1700 гражданских лиц. А в ходе всего 3-х налетов в промежутке с </w:t>
      </w:r>
      <w:r w:rsidRPr="00D03F3E">
        <w:rPr>
          <w:rFonts w:ascii="Times New Roman" w:hAnsi="Times New Roman"/>
          <w:bCs/>
          <w:color w:val="000000" w:themeColor="text1"/>
          <w:sz w:val="16"/>
          <w:szCs w:val="16"/>
        </w:rPr>
        <w:t>23.08.43</w:t>
      </w:r>
      <w:r w:rsidRPr="00D03F3E">
        <w:rPr>
          <w:rFonts w:ascii="Times New Roman" w:hAnsi="Times New Roman"/>
          <w:color w:val="000000" w:themeColor="text1"/>
          <w:sz w:val="16"/>
          <w:szCs w:val="16"/>
        </w:rPr>
        <w:t xml:space="preserve"> по </w:t>
      </w:r>
      <w:r w:rsidRPr="00D03F3E">
        <w:rPr>
          <w:rFonts w:ascii="Times New Roman" w:hAnsi="Times New Roman"/>
          <w:bCs/>
          <w:color w:val="000000" w:themeColor="text1"/>
          <w:sz w:val="16"/>
          <w:szCs w:val="16"/>
        </w:rPr>
        <w:t>04.09.43</w:t>
      </w:r>
      <w:r w:rsidRPr="00D03F3E">
        <w:rPr>
          <w:rFonts w:ascii="Times New Roman" w:hAnsi="Times New Roman"/>
          <w:color w:val="000000" w:themeColor="text1"/>
          <w:sz w:val="16"/>
          <w:szCs w:val="16"/>
        </w:rPr>
        <w:t xml:space="preserve"> г.г. погибло уже 1344 человека, в то время как потери бомбардировщиков составили 125 машин из 1669. Конечно это было много, однако ни шло ни в какое сравнение с потерями 1940 года, когда едва ли треть самолетов возвращалась на базу.</w:t>
      </w:r>
    </w:p>
    <w:p w14:paraId="31AA6419" w14:textId="77777777" w:rsidR="00381A38" w:rsidRPr="00D03F3E" w:rsidRDefault="00381A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серии последовательных налетов с </w:t>
      </w:r>
      <w:r w:rsidRPr="00D03F3E">
        <w:rPr>
          <w:rFonts w:ascii="Times New Roman" w:hAnsi="Times New Roman"/>
          <w:bCs/>
          <w:color w:val="000000" w:themeColor="text1"/>
          <w:sz w:val="16"/>
          <w:szCs w:val="16"/>
        </w:rPr>
        <w:t>18-27</w:t>
      </w:r>
      <w:r w:rsidRPr="00D03F3E">
        <w:rPr>
          <w:rFonts w:ascii="Times New Roman" w:hAnsi="Times New Roman"/>
          <w:color w:val="000000" w:themeColor="text1"/>
          <w:sz w:val="16"/>
          <w:szCs w:val="16"/>
        </w:rPr>
        <w:t xml:space="preserve"> (с перерывами) </w:t>
      </w:r>
      <w:r w:rsidRPr="00D03F3E">
        <w:rPr>
          <w:rFonts w:ascii="Times New Roman" w:hAnsi="Times New Roman"/>
          <w:bCs/>
          <w:color w:val="000000" w:themeColor="text1"/>
          <w:sz w:val="16"/>
          <w:szCs w:val="16"/>
        </w:rPr>
        <w:t>ноября 1943года</w:t>
      </w:r>
      <w:r w:rsidRPr="00D03F3E">
        <w:rPr>
          <w:rFonts w:ascii="Times New Roman" w:hAnsi="Times New Roman"/>
          <w:color w:val="000000" w:themeColor="text1"/>
          <w:sz w:val="16"/>
          <w:szCs w:val="16"/>
        </w:rPr>
        <w:t xml:space="preserve"> участвовало 2044 самолета из которых сбиты были всего 83 машины. Потери мирного населения составили 4330 человек.</w:t>
      </w:r>
    </w:p>
    <w:p w14:paraId="70CED098" w14:textId="77777777" w:rsidR="00381A38" w:rsidRPr="00D03F3E" w:rsidRDefault="00381A38" w:rsidP="00D03F3E">
      <w:pPr>
        <w:pStyle w:val="ae"/>
        <w:spacing w:before="0" w:after="0"/>
        <w:jc w:val="both"/>
        <w:rPr>
          <w:color w:val="000000" w:themeColor="text1"/>
          <w:sz w:val="16"/>
          <w:szCs w:val="16"/>
        </w:rPr>
      </w:pPr>
      <w:r w:rsidRPr="00D03F3E">
        <w:rPr>
          <w:color w:val="000000" w:themeColor="text1"/>
          <w:sz w:val="16"/>
          <w:szCs w:val="16"/>
        </w:rPr>
        <w:t xml:space="preserve">Следующая серия налетов была </w:t>
      </w:r>
      <w:r w:rsidRPr="00D03F3E">
        <w:rPr>
          <w:rStyle w:val="a7"/>
          <w:b w:val="0"/>
          <w:color w:val="000000" w:themeColor="text1"/>
          <w:sz w:val="16"/>
          <w:szCs w:val="16"/>
        </w:rPr>
        <w:t>2-3, 16-17, 23-24, 29-30 декабря 1943 года</w:t>
      </w:r>
      <w:r w:rsidRPr="00D03F3E">
        <w:rPr>
          <w:color w:val="000000" w:themeColor="text1"/>
          <w:sz w:val="16"/>
          <w:szCs w:val="16"/>
        </w:rPr>
        <w:t>, подтвердив тенденцию. Из 2042 самолётов не вернулось 66 машин, на земле погибло 1220 человек (налеты были на заводы, а дело было ночью, поэтому и жертв меньше, чем могло бы быть).</w:t>
      </w:r>
    </w:p>
    <w:p w14:paraId="49255C4B" w14:textId="77777777" w:rsidR="00381A38" w:rsidRPr="00D03F3E" w:rsidRDefault="00381A38" w:rsidP="00D03F3E">
      <w:pPr>
        <w:pStyle w:val="ae"/>
        <w:spacing w:before="0" w:after="0"/>
        <w:jc w:val="both"/>
        <w:rPr>
          <w:color w:val="000000" w:themeColor="text1"/>
          <w:sz w:val="16"/>
          <w:szCs w:val="16"/>
        </w:rPr>
      </w:pPr>
      <w:r w:rsidRPr="00D03F3E">
        <w:rPr>
          <w:color w:val="000000" w:themeColor="text1"/>
          <w:sz w:val="16"/>
          <w:szCs w:val="16"/>
        </w:rPr>
        <w:t>За год Берлин претерпел ужасные изменения: район Тиргартен был совершенно разрушен, в руинах лежали замок Шарлоттен- бурга, проспект Унтер-ден-Линден, мемориальная церковь на Курфюрстендамм, танковые заводы Сименса и Алькетта, кварталы Коперник и Трептов. Сильно была повреждена транспортная сеть города.</w:t>
      </w:r>
    </w:p>
    <w:p w14:paraId="39527380" w14:textId="77777777" w:rsidR="00381A38" w:rsidRPr="00D03F3E" w:rsidRDefault="00381A38" w:rsidP="00D03F3E">
      <w:pPr>
        <w:pStyle w:val="ae"/>
        <w:spacing w:before="0" w:after="0"/>
        <w:jc w:val="both"/>
        <w:rPr>
          <w:color w:val="000000" w:themeColor="text1"/>
          <w:sz w:val="16"/>
          <w:szCs w:val="16"/>
        </w:rPr>
      </w:pPr>
      <w:r w:rsidRPr="00D03F3E">
        <w:rPr>
          <w:color w:val="000000" w:themeColor="text1"/>
          <w:sz w:val="16"/>
          <w:szCs w:val="16"/>
        </w:rPr>
        <w:t>Всего за 1943 год на Берлин было произведено 42 больших и малых авианалета, в которых были задействовано в общей сложности 3900 самолетов (17416).</w:t>
      </w:r>
    </w:p>
    <w:p w14:paraId="2B25CF91" w14:textId="77777777" w:rsidR="00381A38" w:rsidRPr="00D03F3E" w:rsidRDefault="00381A38" w:rsidP="00D03F3E">
      <w:pPr>
        <w:spacing w:after="0" w:line="240" w:lineRule="auto"/>
        <w:jc w:val="both"/>
        <w:rPr>
          <w:rFonts w:ascii="Times New Roman" w:hAnsi="Times New Roman"/>
          <w:color w:val="000000" w:themeColor="text1"/>
          <w:sz w:val="16"/>
          <w:szCs w:val="16"/>
        </w:rPr>
      </w:pPr>
    </w:p>
    <w:p w14:paraId="6498ADE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января 1943 Ирак объявил войну Германии, Италии и Японии (4962).</w:t>
      </w:r>
    </w:p>
    <w:p w14:paraId="5053D0DB"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8030E9"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2E11BD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F5954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января 1943 в НИИ АВ были испытаны универсальные ухваты Ил-2 для подвески химприборов и после этого были приняты на снабжение ВВС (НТЖ ВВС от 8 февраля 1943 N 023). Испытания оказались недостаточно тщательными и ухваты потом сняли (1779,228).</w:t>
      </w:r>
    </w:p>
    <w:p w14:paraId="186C383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B50F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17-18 января 1943 на Ер-2 2М-30Б на заводах 134 и 500 совершили полет на взлет/посадку и налетали 3 час. (в т.ч. 13 взлетов/посадок, 3 старта с тормозов, 4 старта б/тормозов, 3 посадки со щитками, 3 посадки без щитков и 3-х часовой полет), а потом, 18 - на высотные и километраж (12 заходов). Л НИИ ВВС Лисицин налетал 4:20 (1458,30).</w:t>
      </w:r>
    </w:p>
    <w:p w14:paraId="5F19438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409F95"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3536F58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7683E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января 1943 г.</w:t>
      </w:r>
    </w:p>
    <w:p w14:paraId="15AE12E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записки Л. Берии, В. Рябикова, Б. Ванникова и П. Паршина И. Сталину об итогах работы промышленности вооружения и боеприпасов за 1942 г.</w:t>
      </w:r>
    </w:p>
    <w:p w14:paraId="5218CCD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u w:val="single"/>
        </w:rPr>
        <w:t>II. Боеприпасы</w:t>
      </w:r>
      <w:r w:rsidRPr="00D03F3E">
        <w:rPr>
          <w:rFonts w:ascii="Times New Roman" w:hAnsi="Times New Roman"/>
          <w:color w:val="000000" w:themeColor="text1"/>
          <w:sz w:val="16"/>
          <w:szCs w:val="16"/>
        </w:rPr>
        <w:t xml:space="preserve"> (в тыс. шт.)</w:t>
      </w:r>
    </w:p>
    <w:p w14:paraId="1C7622AE"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Наименование боеприпасов    Произведено и сдано НКО и НКВМФ</w:t>
      </w:r>
    </w:p>
    <w:p w14:paraId="7B1D1BE3"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За 1941 г.   За 1942 г.   1942 г. в %%</w:t>
      </w:r>
    </w:p>
    <w:p w14:paraId="26C3D9E3"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к 1941 г.</w:t>
      </w:r>
    </w:p>
    <w:p w14:paraId="428AAE35"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u w:val="single"/>
        </w:rPr>
        <w:t>Авиационные снаряды</w:t>
      </w:r>
    </w:p>
    <w:p w14:paraId="5D4A11CD"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мм снаряды               8 900       35 800        402,2</w:t>
      </w:r>
    </w:p>
    <w:p w14:paraId="7D99CA8C"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мм снаряды               2 080       12 900        620,1</w:t>
      </w:r>
    </w:p>
    <w:p w14:paraId="0FFC5E57"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                     10 980       48 700        443,5</w:t>
      </w:r>
    </w:p>
    <w:p w14:paraId="5FBBDE49"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u w:val="single"/>
        </w:rPr>
        <w:t>Артснаряды</w:t>
      </w:r>
    </w:p>
    <w:p w14:paraId="454B7694"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мм снаряды                 251        1 230        490,0</w:t>
      </w:r>
    </w:p>
    <w:p w14:paraId="7B10E05B"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 мм -"-                   5 863       11 600        197,8</w:t>
      </w:r>
    </w:p>
    <w:p w14:paraId="517C0608"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 мм -"-                  12 432       17 260        138,8</w:t>
      </w:r>
    </w:p>
    <w:p w14:paraId="1E004E3B"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 мм -"-                   8 800       27 280        310,0</w:t>
      </w:r>
    </w:p>
    <w:p w14:paraId="0CC5E170"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 мм -"-                   3 592        4 227        117,6</w:t>
      </w:r>
    </w:p>
    <w:p w14:paraId="1E663B6A"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122 мм -"-                  4 310        3 956*        91,7</w:t>
      </w:r>
    </w:p>
    <w:p w14:paraId="53020E0D"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152 мм -"-                  2 337        2 427        103,8</w:t>
      </w:r>
    </w:p>
    <w:p w14:paraId="10E1D993"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Снаряды прочих калибров     1 325          143,4*      10,8</w:t>
      </w:r>
    </w:p>
    <w:p w14:paraId="43648F81"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(203 мм)</w:t>
      </w:r>
    </w:p>
    <w:p w14:paraId="03E21D10"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                     38 910       68 123,4      175,1</w:t>
      </w:r>
    </w:p>
    <w:p w14:paraId="14819015"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Морские снаряды всех калиб. 1 563,9      1 082,7**     69,2</w:t>
      </w:r>
    </w:p>
    <w:p w14:paraId="498141FB"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u w:val="single"/>
        </w:rPr>
        <w:t>Реактивные снаряды</w:t>
      </w:r>
    </w:p>
    <w:p w14:paraId="7ECD178A"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Реактивные снаряды М-8        570        1 900        333,3</w:t>
      </w:r>
    </w:p>
    <w:p w14:paraId="1D0D15C7"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     М-13       417        1 685        404,1</w:t>
      </w:r>
    </w:p>
    <w:p w14:paraId="1A092486"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     М-20,                   496</w:t>
      </w:r>
    </w:p>
    <w:p w14:paraId="6BCAE91E"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М-30 и М-31</w:t>
      </w:r>
    </w:p>
    <w:p w14:paraId="625E05D4"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                        987        4 081        413,4</w:t>
      </w:r>
    </w:p>
    <w:p w14:paraId="4C127F70"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u w:val="single"/>
        </w:rPr>
        <w:t>Мины</w:t>
      </w:r>
    </w:p>
    <w:p w14:paraId="7CAFDB54"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Мины  50 мм                15 910       17 600        110,6</w:t>
      </w:r>
    </w:p>
    <w:p w14:paraId="017E1816"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82 мм                 7 033       28 636        407,1</w:t>
      </w:r>
    </w:p>
    <w:p w14:paraId="5D6EAD20"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120 мм                 1 140        7 335        643,4</w:t>
      </w:r>
    </w:p>
    <w:p w14:paraId="79F49A1C"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                     24 500(!)    53 637        218,5</w:t>
      </w:r>
    </w:p>
    <w:p w14:paraId="37C928A5"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u w:val="single"/>
        </w:rPr>
        <w:t>Авиабомбы</w:t>
      </w:r>
    </w:p>
    <w:p w14:paraId="3B29212D"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фугасные                 1 226,5        953,7*      77,7</w:t>
      </w:r>
    </w:p>
    <w:p w14:paraId="33EA9005"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зажигательные            1 859,4      1 343,2*      72,2</w:t>
      </w:r>
    </w:p>
    <w:p w14:paraId="48A3CD08"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светящиеся                   4,9         44,5      908,1</w:t>
      </w:r>
    </w:p>
    <w:p w14:paraId="4EFD951B"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химические                  21,7         97        447,4</w:t>
      </w:r>
    </w:p>
    <w:p w14:paraId="714E078B"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Ручные гранаты             26 310       49 897        189,6</w:t>
      </w:r>
    </w:p>
    <w:p w14:paraId="59845E6C"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Противопехотные мины        5 032        7 663         52,1(!!)</w:t>
      </w:r>
    </w:p>
    <w:p w14:paraId="46274A0C" w14:textId="77777777" w:rsidR="00C84258" w:rsidRPr="00D03F3E"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Противотанковые мины        1 511        5 788        383,0</w:t>
      </w:r>
    </w:p>
    <w:p w14:paraId="6C508F0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 По решению Государственного Комитета Обороны, часть мощностей заводов, производивших эти боеприпасы была переключена на изготовление реактивных снарядов (М-8, М-13, М-20, М-30, М-31), 76 мм снарядов, а также 82 и 120 мм мин.</w:t>
      </w:r>
    </w:p>
    <w:p w14:paraId="698B72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 По морским снарядам - эвакуированные заводы не полностью восстановлены, часть мощностей потеряна, в особенности по крупным калибрам (Ленинградский завод "Большевик" и Брянский завод "Красный Профинтерн"); на снижении выпуска сказалось переключение производства с полубронебойных снарядов на осколочные. (Потребность Военно-Морского флота полностью удовлетворялась.)</w:t>
      </w:r>
    </w:p>
    <w:p w14:paraId="25B1C80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Источник - Война. 1941–1945 / Вестник Архива Президента Российской Федерации. М., 2010. С. 211-212. (12078).</w:t>
      </w:r>
    </w:p>
    <w:p w14:paraId="30541EE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32FDC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января 1943 г. был изготовлен макет САУ-152 (6001,20).</w:t>
      </w:r>
    </w:p>
    <w:p w14:paraId="0D3F98E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D9EAA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января 1943 был изготовлен и одобрен макет САУ, имено</w:t>
      </w:r>
      <w:r w:rsidRPr="00D03F3E">
        <w:rPr>
          <w:rFonts w:ascii="Times New Roman" w:hAnsi="Times New Roman"/>
          <w:color w:val="000000" w:themeColor="text1"/>
          <w:sz w:val="16"/>
          <w:szCs w:val="16"/>
        </w:rPr>
        <w:softHyphen/>
        <w:t>вавшейся в недрах наркомата КВ-14 (СУ-14), а спустя два дня на заводе № 200 был готов раскрой бронерубки, кото</w:t>
      </w:r>
      <w:r w:rsidRPr="00D03F3E">
        <w:rPr>
          <w:rFonts w:ascii="Times New Roman" w:hAnsi="Times New Roman"/>
          <w:color w:val="000000" w:themeColor="text1"/>
          <w:sz w:val="16"/>
          <w:szCs w:val="16"/>
        </w:rPr>
        <w:softHyphen/>
        <w:t>рый начали монтировать на ходовой части КВ-1С вечером того же дня. К утру 23 января опытный образец САУ был в целом готов, ожидали лишь прибытия орудия, которое бы</w:t>
      </w:r>
      <w:r w:rsidRPr="00D03F3E">
        <w:rPr>
          <w:rFonts w:ascii="Times New Roman" w:hAnsi="Times New Roman"/>
          <w:color w:val="000000" w:themeColor="text1"/>
          <w:sz w:val="16"/>
          <w:szCs w:val="16"/>
        </w:rPr>
        <w:softHyphen/>
        <w:t>ло доставлено поздно вечером.</w:t>
      </w:r>
    </w:p>
    <w:p w14:paraId="520BD17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Монтаж орудия шел всю ночь, и на следующий день опытный образец новой боевой машины отправился на Че</w:t>
      </w:r>
      <w:r w:rsidRPr="00D03F3E">
        <w:rPr>
          <w:rFonts w:ascii="Times New Roman" w:hAnsi="Times New Roman"/>
          <w:color w:val="000000" w:themeColor="text1"/>
          <w:sz w:val="16"/>
          <w:szCs w:val="16"/>
        </w:rPr>
        <w:softHyphen/>
        <w:t>лябинский (Чебаркульский) артиллерийский полигон, где успешно выдержал испытания. Постановлением ГКО №2859 от 9 февраля 1943 г. танк КВ-14 («Объект 236»), или самоход СУ-14 (не путать с довоенной САУ конструкции П.Н. Сячинтова — С.А. Гинзбурга), был принят на воору</w:t>
      </w:r>
      <w:r w:rsidRPr="00D03F3E">
        <w:rPr>
          <w:rFonts w:ascii="Times New Roman" w:hAnsi="Times New Roman"/>
          <w:color w:val="000000" w:themeColor="text1"/>
          <w:sz w:val="16"/>
          <w:szCs w:val="16"/>
        </w:rPr>
        <w:softHyphen/>
        <w:t>жение Красной Армии под индексом СУ-152.</w:t>
      </w:r>
    </w:p>
    <w:p w14:paraId="2A70E44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Тактико-технические характеристики первых САУ по программе 1941-1942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69"/>
        <w:gridCol w:w="749"/>
        <w:gridCol w:w="1344"/>
        <w:gridCol w:w="1027"/>
        <w:gridCol w:w="1085"/>
      </w:tblGrid>
      <w:tr w:rsidR="00860B4B" w:rsidRPr="00D03F3E" w14:paraId="0677B8F6" w14:textId="77777777">
        <w:trPr>
          <w:trHeight w:val="202"/>
        </w:trPr>
        <w:tc>
          <w:tcPr>
            <w:tcW w:w="1469" w:type="dxa"/>
            <w:tcBorders>
              <w:top w:val="single" w:sz="12" w:space="0" w:color="auto"/>
            </w:tcBorders>
          </w:tcPr>
          <w:p w14:paraId="47F179C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D91A1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12" w:space="0" w:color="auto"/>
            </w:tcBorders>
          </w:tcPr>
          <w:p w14:paraId="44CB901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76-мм</w:t>
            </w:r>
          </w:p>
          <w:p w14:paraId="5062CB9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12" w:space="0" w:color="auto"/>
            </w:tcBorders>
          </w:tcPr>
          <w:p w14:paraId="792963E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76-мм</w:t>
            </w:r>
          </w:p>
          <w:p w14:paraId="43E98A8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12" w:space="0" w:color="auto"/>
            </w:tcBorders>
          </w:tcPr>
          <w:p w14:paraId="7174242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122-мм</w:t>
            </w:r>
          </w:p>
          <w:p w14:paraId="0F9BAE1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12" w:space="0" w:color="auto"/>
            </w:tcBorders>
          </w:tcPr>
          <w:p w14:paraId="627315A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76-мм</w:t>
            </w:r>
          </w:p>
          <w:p w14:paraId="74128B5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D7F47FF" w14:textId="77777777">
        <w:trPr>
          <w:trHeight w:val="202"/>
        </w:trPr>
        <w:tc>
          <w:tcPr>
            <w:tcW w:w="1469" w:type="dxa"/>
          </w:tcPr>
          <w:p w14:paraId="39FF65B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ТТХ / Матса САУ</w:t>
            </w:r>
          </w:p>
          <w:p w14:paraId="15ED3D9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95FF70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 з-да 37</w:t>
            </w:r>
          </w:p>
          <w:p w14:paraId="0195DF4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6DA4798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У-33</w:t>
            </w:r>
          </w:p>
          <w:p w14:paraId="59D7AAE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41C44A6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СУ-122(У-35)</w:t>
            </w:r>
          </w:p>
          <w:p w14:paraId="2266BC7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5A57F3E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КВ-7</w:t>
            </w:r>
          </w:p>
          <w:p w14:paraId="7B35796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634BD25" w14:textId="77777777">
        <w:trPr>
          <w:trHeight w:val="182"/>
        </w:trPr>
        <w:tc>
          <w:tcPr>
            <w:tcW w:w="1469" w:type="dxa"/>
          </w:tcPr>
          <w:p w14:paraId="26F9EAE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Боевая масса, кг</w:t>
            </w:r>
          </w:p>
          <w:p w14:paraId="5CB5CE5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5BA272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8200</w:t>
            </w:r>
          </w:p>
          <w:p w14:paraId="117C5EC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6B4BE14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26000</w:t>
            </w:r>
          </w:p>
          <w:p w14:paraId="590F93A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45A136F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30800</w:t>
            </w:r>
          </w:p>
          <w:p w14:paraId="54C6FA9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087A6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46800</w:t>
            </w:r>
          </w:p>
          <w:p w14:paraId="1F0B792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147DBA4" w14:textId="77777777">
        <w:trPr>
          <w:trHeight w:val="182"/>
        </w:trPr>
        <w:tc>
          <w:tcPr>
            <w:tcW w:w="1469" w:type="dxa"/>
          </w:tcPr>
          <w:p w14:paraId="0048E95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 чел.</w:t>
            </w:r>
          </w:p>
          <w:p w14:paraId="082C919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0D9FF5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36245D6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2C20B9C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7E832E9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099EBB3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p w14:paraId="2980B93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A4D7DF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p w14:paraId="19E56B0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A17B2BC" w14:textId="77777777">
        <w:trPr>
          <w:trHeight w:val="173"/>
        </w:trPr>
        <w:tc>
          <w:tcPr>
            <w:tcW w:w="5674" w:type="dxa"/>
            <w:gridSpan w:val="5"/>
          </w:tcPr>
          <w:p w14:paraId="0CC1CBD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Размерения, мм</w:t>
            </w:r>
          </w:p>
          <w:p w14:paraId="01B6BA5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D168E2D" w14:textId="77777777">
        <w:trPr>
          <w:trHeight w:val="202"/>
        </w:trPr>
        <w:tc>
          <w:tcPr>
            <w:tcW w:w="1469" w:type="dxa"/>
          </w:tcPr>
          <w:p w14:paraId="5A30BE4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общая</w:t>
            </w:r>
          </w:p>
          <w:p w14:paraId="1B015EF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EA454F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9450</w:t>
            </w:r>
          </w:p>
          <w:p w14:paraId="215D370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0155F4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6680</w:t>
            </w:r>
          </w:p>
          <w:p w14:paraId="1EF4650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0D3C52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6950</w:t>
            </w:r>
          </w:p>
          <w:p w14:paraId="773E872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34D4199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6750</w:t>
            </w:r>
          </w:p>
          <w:p w14:paraId="47E7A7A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CA84D74" w14:textId="77777777">
        <w:trPr>
          <w:trHeight w:val="182"/>
        </w:trPr>
        <w:tc>
          <w:tcPr>
            <w:tcW w:w="1469" w:type="dxa"/>
          </w:tcPr>
          <w:p w14:paraId="0559212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Ширина</w:t>
            </w:r>
          </w:p>
          <w:p w14:paraId="47598F9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1E7479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3240</w:t>
            </w:r>
          </w:p>
          <w:p w14:paraId="30B21F4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3C65F1A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3000</w:t>
            </w:r>
          </w:p>
          <w:p w14:paraId="2DF57DB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3DE4F00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3000</w:t>
            </w:r>
          </w:p>
          <w:p w14:paraId="12DA3EB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59A51FC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3250</w:t>
            </w:r>
          </w:p>
          <w:p w14:paraId="2EC1676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2056C23" w14:textId="77777777">
        <w:trPr>
          <w:trHeight w:val="182"/>
        </w:trPr>
        <w:tc>
          <w:tcPr>
            <w:tcW w:w="1469" w:type="dxa"/>
          </w:tcPr>
          <w:p w14:paraId="6FB04B1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Высота</w:t>
            </w:r>
          </w:p>
          <w:p w14:paraId="593D4CB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FB47AC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3050</w:t>
            </w:r>
          </w:p>
          <w:p w14:paraId="69D6A83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6AFF245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2450</w:t>
            </w:r>
          </w:p>
          <w:p w14:paraId="5922BEF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50569D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2335</w:t>
            </w:r>
          </w:p>
          <w:p w14:paraId="5BBA41F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1381409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2410</w:t>
            </w:r>
          </w:p>
          <w:p w14:paraId="609728C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15B2FAD" w14:textId="77777777">
        <w:trPr>
          <w:trHeight w:val="202"/>
        </w:trPr>
        <w:tc>
          <w:tcPr>
            <w:tcW w:w="1469" w:type="dxa"/>
          </w:tcPr>
          <w:p w14:paraId="4512338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Клиренс</w:t>
            </w:r>
          </w:p>
          <w:p w14:paraId="664EF64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E4B5C9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360</w:t>
            </w:r>
          </w:p>
          <w:p w14:paraId="2C2BA8F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21FD76F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p w14:paraId="13CA229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4C9E0FE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p w14:paraId="66D45C2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BE0BC4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450</w:t>
            </w:r>
          </w:p>
          <w:p w14:paraId="77A2F34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9C4398E" w14:textId="77777777">
        <w:trPr>
          <w:trHeight w:val="173"/>
        </w:trPr>
        <w:tc>
          <w:tcPr>
            <w:tcW w:w="5674" w:type="dxa"/>
            <w:gridSpan w:val="5"/>
          </w:tcPr>
          <w:p w14:paraId="6240CDB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w:t>
            </w:r>
          </w:p>
          <w:p w14:paraId="6B201B4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A735B3F" w14:textId="77777777">
        <w:trPr>
          <w:trHeight w:val="202"/>
        </w:trPr>
        <w:tc>
          <w:tcPr>
            <w:tcW w:w="1469" w:type="dxa"/>
          </w:tcPr>
          <w:p w14:paraId="07E0DBA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Орудие, кал</w:t>
            </w:r>
          </w:p>
          <w:p w14:paraId="58581C3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73F55C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76,2-мм,</w:t>
            </w:r>
          </w:p>
          <w:p w14:paraId="63CB81E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1441C8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76,2-мм,</w:t>
            </w:r>
          </w:p>
          <w:p w14:paraId="7D06CF5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094E13B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122-мм</w:t>
            </w:r>
          </w:p>
          <w:p w14:paraId="1356B00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FAC4CB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2х76,2-мм</w:t>
            </w:r>
          </w:p>
          <w:p w14:paraId="1007131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BBBA3F3" w14:textId="77777777">
        <w:trPr>
          <w:trHeight w:val="192"/>
        </w:trPr>
        <w:tc>
          <w:tcPr>
            <w:tcW w:w="1469" w:type="dxa"/>
          </w:tcPr>
          <w:p w14:paraId="36808B8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w:t>
            </w:r>
          </w:p>
          <w:p w14:paraId="7C76903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B88633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У-32</w:t>
            </w:r>
          </w:p>
          <w:p w14:paraId="6A52A33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7F4C99B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Ф-22УСВобр.1939</w:t>
            </w:r>
          </w:p>
          <w:p w14:paraId="38B31EA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4AAB1C9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М-30 обр. 1938</w:t>
            </w:r>
          </w:p>
          <w:p w14:paraId="2173E03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56D42E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ЗИС-5обр. 1941</w:t>
            </w:r>
          </w:p>
          <w:p w14:paraId="7BAD204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6497F88" w14:textId="77777777">
        <w:trPr>
          <w:trHeight w:val="173"/>
        </w:trPr>
        <w:tc>
          <w:tcPr>
            <w:tcW w:w="1469" w:type="dxa"/>
          </w:tcPr>
          <w:p w14:paraId="288D73A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ствола, клб</w:t>
            </w:r>
          </w:p>
          <w:p w14:paraId="55998C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EB0005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41,6</w:t>
            </w:r>
          </w:p>
          <w:p w14:paraId="410ABEE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544AC34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41,6</w:t>
            </w:r>
          </w:p>
          <w:p w14:paraId="5332D52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60275EB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22,7</w:t>
            </w:r>
          </w:p>
          <w:p w14:paraId="6169FC8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3A0ABE8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41,6</w:t>
            </w:r>
          </w:p>
          <w:p w14:paraId="493B62C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D95ED72" w14:textId="77777777">
        <w:trPr>
          <w:trHeight w:val="182"/>
        </w:trPr>
        <w:tc>
          <w:tcPr>
            <w:tcW w:w="1469" w:type="dxa"/>
          </w:tcPr>
          <w:p w14:paraId="4CAE34F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 скорость сн м/с</w:t>
            </w:r>
          </w:p>
          <w:p w14:paraId="52328FD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8C4259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620</w:t>
            </w:r>
          </w:p>
          <w:p w14:paraId="17E2AB1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6DCB0CE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620</w:t>
            </w:r>
          </w:p>
          <w:p w14:paraId="21BA57C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04C5413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515</w:t>
            </w:r>
          </w:p>
          <w:p w14:paraId="1E62792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2CE6ED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620</w:t>
            </w:r>
          </w:p>
          <w:p w14:paraId="047DEA6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B35BB77" w14:textId="77777777">
        <w:trPr>
          <w:trHeight w:val="192"/>
        </w:trPr>
        <w:tc>
          <w:tcPr>
            <w:tcW w:w="1469" w:type="dxa"/>
          </w:tcPr>
          <w:p w14:paraId="2BC3169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Угол гор., наведения</w:t>
            </w:r>
          </w:p>
          <w:p w14:paraId="76457EB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31BC5C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p w14:paraId="3B7ED78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0C1F426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p w14:paraId="2642C2D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6A392A5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2E191D1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147E205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p w14:paraId="45ABCF1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DE7F366" w14:textId="77777777">
        <w:trPr>
          <w:trHeight w:val="182"/>
        </w:trPr>
        <w:tc>
          <w:tcPr>
            <w:tcW w:w="1469" w:type="dxa"/>
          </w:tcPr>
          <w:p w14:paraId="0765B0F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Угол верт. Наведения</w:t>
            </w:r>
          </w:p>
          <w:p w14:paraId="634249B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1120F5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-2+25'</w:t>
            </w:r>
          </w:p>
          <w:p w14:paraId="2CE2BEF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1C3EA9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-1+43'</w:t>
            </w:r>
          </w:p>
          <w:p w14:paraId="240B42F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5F14BDF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-3+25-</w:t>
            </w:r>
          </w:p>
          <w:p w14:paraId="39C929E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55856E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-2+15°</w:t>
            </w:r>
          </w:p>
          <w:p w14:paraId="5909F42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33B4529" w14:textId="77777777">
        <w:trPr>
          <w:trHeight w:val="192"/>
        </w:trPr>
        <w:tc>
          <w:tcPr>
            <w:tcW w:w="1469" w:type="dxa"/>
          </w:tcPr>
          <w:p w14:paraId="7671869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Снарядов, шт.</w:t>
            </w:r>
          </w:p>
          <w:p w14:paraId="7C45367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647EE9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p w14:paraId="1099E67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7B2B062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w:t>
            </w:r>
          </w:p>
          <w:p w14:paraId="3C97AC0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1AE983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32-34</w:t>
            </w:r>
          </w:p>
          <w:p w14:paraId="4212B83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633128C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w:t>
            </w:r>
          </w:p>
          <w:p w14:paraId="6FF7747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160E2AE" w14:textId="77777777">
        <w:trPr>
          <w:trHeight w:val="182"/>
        </w:trPr>
        <w:tc>
          <w:tcPr>
            <w:tcW w:w="1469" w:type="dxa"/>
          </w:tcPr>
          <w:p w14:paraId="13D8E03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Пулеметов, шт. х кал</w:t>
            </w:r>
          </w:p>
          <w:p w14:paraId="021F02F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AC18BC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1x7,62 мм</w:t>
            </w:r>
          </w:p>
          <w:p w14:paraId="6E1D420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737A7EA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D5A89F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556C925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136EED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3769DA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2х7,62-мм</w:t>
            </w:r>
          </w:p>
          <w:p w14:paraId="288A014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27C414D" w14:textId="77777777">
        <w:trPr>
          <w:trHeight w:val="192"/>
        </w:trPr>
        <w:tc>
          <w:tcPr>
            <w:tcW w:w="1469" w:type="dxa"/>
          </w:tcPr>
          <w:p w14:paraId="0CE502C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Патронов, шт.</w:t>
            </w:r>
          </w:p>
          <w:p w14:paraId="48A876C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1E11B5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730</w:t>
            </w:r>
          </w:p>
          <w:p w14:paraId="33E1AB4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7375574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7A2395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57FF80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95A405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56640F3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2646</w:t>
            </w:r>
          </w:p>
          <w:p w14:paraId="57A9A71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FBFF81D" w14:textId="77777777">
        <w:trPr>
          <w:trHeight w:val="182"/>
        </w:trPr>
        <w:tc>
          <w:tcPr>
            <w:tcW w:w="5674" w:type="dxa"/>
            <w:gridSpan w:val="5"/>
          </w:tcPr>
          <w:p w14:paraId="13E1EAF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Толшина брони. мм</w:t>
            </w:r>
          </w:p>
          <w:p w14:paraId="5CFEA2F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8AD5A86" w14:textId="77777777">
        <w:trPr>
          <w:trHeight w:val="182"/>
        </w:trPr>
        <w:tc>
          <w:tcPr>
            <w:tcW w:w="1469" w:type="dxa"/>
          </w:tcPr>
          <w:p w14:paraId="729E447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Вертик. Корпуса</w:t>
            </w:r>
          </w:p>
          <w:p w14:paraId="3CB500C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6EB24F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p w14:paraId="05F5CF5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421F9AD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45-40</w:t>
            </w:r>
          </w:p>
          <w:p w14:paraId="5182FA7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8CFD6C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w:t>
            </w:r>
          </w:p>
          <w:p w14:paraId="486FCD4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042260E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w:t>
            </w:r>
          </w:p>
          <w:p w14:paraId="35ED38E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AAF67F9" w14:textId="77777777">
        <w:trPr>
          <w:trHeight w:val="192"/>
        </w:trPr>
        <w:tc>
          <w:tcPr>
            <w:tcW w:w="1469" w:type="dxa"/>
          </w:tcPr>
          <w:p w14:paraId="5D76A7A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Гориз. Корпуса</w:t>
            </w:r>
          </w:p>
          <w:p w14:paraId="2C09F3B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4D711E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p w14:paraId="19D7097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6992CA5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10-15</w:t>
            </w:r>
          </w:p>
          <w:p w14:paraId="3F69103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3CA113E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0A858F0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0CC36D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75618EC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4A9795C" w14:textId="77777777">
        <w:trPr>
          <w:trHeight w:val="192"/>
        </w:trPr>
        <w:tc>
          <w:tcPr>
            <w:tcW w:w="1469" w:type="dxa"/>
          </w:tcPr>
          <w:p w14:paraId="763482B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Рубка</w:t>
            </w:r>
          </w:p>
          <w:p w14:paraId="5787765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2D44CD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p w14:paraId="2593938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298FF60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45-35</w:t>
            </w:r>
          </w:p>
          <w:p w14:paraId="12DDE2F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65595D6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w:t>
            </w:r>
          </w:p>
          <w:p w14:paraId="3060DDF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0F2FD9E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w:t>
            </w:r>
          </w:p>
          <w:p w14:paraId="39C7E50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1D984E1" w14:textId="77777777">
        <w:trPr>
          <w:trHeight w:val="163"/>
        </w:trPr>
        <w:tc>
          <w:tcPr>
            <w:tcW w:w="5674" w:type="dxa"/>
            <w:gridSpan w:val="5"/>
          </w:tcPr>
          <w:p w14:paraId="34A18D0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Силовая установка</w:t>
            </w:r>
          </w:p>
          <w:p w14:paraId="34ABE76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3B9DFFA" w14:textId="77777777">
        <w:trPr>
          <w:trHeight w:val="202"/>
        </w:trPr>
        <w:tc>
          <w:tcPr>
            <w:tcW w:w="1469" w:type="dxa"/>
          </w:tcPr>
          <w:p w14:paraId="50CB8E7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База</w:t>
            </w:r>
          </w:p>
          <w:p w14:paraId="2C26610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765EB1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 Т-60</w:t>
            </w:r>
          </w:p>
          <w:p w14:paraId="7BF7BF9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6A7F056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 Т- 34</w:t>
            </w:r>
          </w:p>
          <w:p w14:paraId="2600690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78CA65D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 Т-34</w:t>
            </w:r>
          </w:p>
          <w:p w14:paraId="07B1042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2CFA18E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 КВ</w:t>
            </w:r>
          </w:p>
          <w:p w14:paraId="119B092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EABA321" w14:textId="77777777">
        <w:trPr>
          <w:trHeight w:val="182"/>
        </w:trPr>
        <w:tc>
          <w:tcPr>
            <w:tcW w:w="1469" w:type="dxa"/>
          </w:tcPr>
          <w:p w14:paraId="0CD23B0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Мощность макс., л. с</w:t>
            </w:r>
          </w:p>
          <w:p w14:paraId="782E969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E54EB8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2x50</w:t>
            </w:r>
          </w:p>
          <w:p w14:paraId="0ADCD33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549ED24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w:t>
            </w:r>
          </w:p>
          <w:p w14:paraId="6BF5883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457890E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w:t>
            </w:r>
          </w:p>
          <w:p w14:paraId="3D5CF59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3245A63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w:t>
            </w:r>
          </w:p>
          <w:p w14:paraId="3506BDC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2E38E6A" w14:textId="77777777">
        <w:trPr>
          <w:trHeight w:val="182"/>
        </w:trPr>
        <w:tc>
          <w:tcPr>
            <w:tcW w:w="1469" w:type="dxa"/>
          </w:tcPr>
          <w:p w14:paraId="799E246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част. вращ. об/мин</w:t>
            </w:r>
          </w:p>
          <w:p w14:paraId="42E716C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660987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2200</w:t>
            </w:r>
          </w:p>
          <w:p w14:paraId="32C7045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7FDA2D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1800</w:t>
            </w:r>
          </w:p>
          <w:p w14:paraId="785DF9C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484382E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1800</w:t>
            </w:r>
          </w:p>
          <w:p w14:paraId="6100F83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D3FF15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1850</w:t>
            </w:r>
          </w:p>
          <w:p w14:paraId="191B2EE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53BF9AA" w14:textId="77777777">
        <w:trPr>
          <w:trHeight w:val="202"/>
        </w:trPr>
        <w:tc>
          <w:tcPr>
            <w:tcW w:w="1469" w:type="dxa"/>
          </w:tcPr>
          <w:p w14:paraId="2EDB565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Передач КПП</w:t>
            </w:r>
          </w:p>
          <w:p w14:paraId="2F8B4B2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DCED5F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w:t>
            </w:r>
          </w:p>
          <w:p w14:paraId="52F2FA1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4E70EEE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w:t>
            </w:r>
          </w:p>
          <w:p w14:paraId="5D8A677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1AF2B2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w:t>
            </w:r>
          </w:p>
          <w:p w14:paraId="581632A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66A139A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w:t>
            </w:r>
          </w:p>
          <w:p w14:paraId="522EB75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DE19702" w14:textId="77777777">
        <w:trPr>
          <w:trHeight w:val="182"/>
        </w:trPr>
        <w:tc>
          <w:tcPr>
            <w:tcW w:w="1469" w:type="dxa"/>
          </w:tcPr>
          <w:p w14:paraId="48E5DB0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Скорость макс, км/ч</w:t>
            </w:r>
          </w:p>
          <w:p w14:paraId="3510877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628C31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p w14:paraId="74D1C07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2DD1976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w:t>
            </w:r>
          </w:p>
          <w:p w14:paraId="5CA951B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66B0750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w:t>
            </w:r>
          </w:p>
          <w:p w14:paraId="1A876DE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5891271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35,0</w:t>
            </w:r>
          </w:p>
          <w:p w14:paraId="539673B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BB6461C" w14:textId="77777777">
        <w:trPr>
          <w:trHeight w:val="182"/>
        </w:trPr>
        <w:tc>
          <w:tcPr>
            <w:tcW w:w="1469" w:type="dxa"/>
          </w:tcPr>
          <w:p w14:paraId="626B00A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Среднетехнич км/ч</w:t>
            </w:r>
          </w:p>
          <w:p w14:paraId="3E056AE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0E2DE0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4A6CC90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4A67D4A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p w14:paraId="0C55C15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50E7FD8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p w14:paraId="6EF6F23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12B7530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p w14:paraId="1DF99AD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931A94A" w14:textId="77777777">
        <w:trPr>
          <w:trHeight w:val="192"/>
        </w:trPr>
        <w:tc>
          <w:tcPr>
            <w:tcW w:w="1469" w:type="dxa"/>
          </w:tcPr>
          <w:p w14:paraId="6AAC5A6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топлива</w:t>
            </w:r>
          </w:p>
          <w:p w14:paraId="71148D5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C7F025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Бензин -2 с</w:t>
            </w:r>
          </w:p>
          <w:p w14:paraId="6F8AC02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38FAFA4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Диз. топливо</w:t>
            </w:r>
          </w:p>
          <w:p w14:paraId="0F613D4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079B14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Диз. топливо</w:t>
            </w:r>
          </w:p>
          <w:p w14:paraId="7793BA4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95D1CF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Диз. топливо</w:t>
            </w:r>
          </w:p>
          <w:p w14:paraId="042C0E6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E17FC76" w14:textId="77777777">
        <w:trPr>
          <w:trHeight w:val="182"/>
        </w:trPr>
        <w:tc>
          <w:tcPr>
            <w:tcW w:w="1469" w:type="dxa"/>
          </w:tcPr>
          <w:p w14:paraId="713838D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Емк. бака, л.</w:t>
            </w:r>
          </w:p>
          <w:p w14:paraId="14EABDA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C7B304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нд.</w:t>
            </w:r>
          </w:p>
          <w:p w14:paraId="6CF8B20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BD23E9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Н.Д.</w:t>
            </w:r>
          </w:p>
          <w:p w14:paraId="6BB6DE9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6185731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500</w:t>
            </w:r>
          </w:p>
          <w:p w14:paraId="579CEA2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39CEFDB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610</w:t>
            </w:r>
          </w:p>
          <w:p w14:paraId="54E7DD0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1CBBACA" w14:textId="77777777">
        <w:trPr>
          <w:trHeight w:val="202"/>
        </w:trPr>
        <w:tc>
          <w:tcPr>
            <w:tcW w:w="1469" w:type="dxa"/>
          </w:tcPr>
          <w:p w14:paraId="593D124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Запас хода, км</w:t>
            </w:r>
          </w:p>
          <w:p w14:paraId="16F4399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251337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w:t>
            </w:r>
          </w:p>
          <w:p w14:paraId="703104A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238C1DA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220</w:t>
            </w:r>
          </w:p>
          <w:p w14:paraId="515AAFA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1F10F8D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280</w:t>
            </w:r>
          </w:p>
          <w:p w14:paraId="6927879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2C8A18E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225</w:t>
            </w:r>
          </w:p>
          <w:p w14:paraId="48EB313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0C71907" w14:textId="77777777">
        <w:trPr>
          <w:trHeight w:val="154"/>
        </w:trPr>
        <w:tc>
          <w:tcPr>
            <w:tcW w:w="5674" w:type="dxa"/>
            <w:gridSpan w:val="5"/>
          </w:tcPr>
          <w:p w14:paraId="7FC9868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Преололеваемые препятствия</w:t>
            </w:r>
          </w:p>
          <w:p w14:paraId="713A331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D6E4345" w14:textId="77777777">
        <w:trPr>
          <w:trHeight w:val="202"/>
        </w:trPr>
        <w:tc>
          <w:tcPr>
            <w:tcW w:w="1469" w:type="dxa"/>
          </w:tcPr>
          <w:p w14:paraId="5117FE6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Подъем, град.</w:t>
            </w:r>
          </w:p>
          <w:p w14:paraId="2086AB1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95ED27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н.д.</w:t>
            </w:r>
          </w:p>
          <w:p w14:paraId="75BC3C9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516E9E7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p w14:paraId="1BC21B1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00951AD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p w14:paraId="7334794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3F1CC52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w:t>
            </w:r>
          </w:p>
          <w:p w14:paraId="4DC5197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1E8DA79" w14:textId="77777777">
        <w:trPr>
          <w:trHeight w:val="182"/>
        </w:trPr>
        <w:tc>
          <w:tcPr>
            <w:tcW w:w="1469" w:type="dxa"/>
          </w:tcPr>
          <w:p w14:paraId="2A17768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Спуск, град.</w:t>
            </w:r>
          </w:p>
          <w:p w14:paraId="612ABEF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FEC936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Н.Д.</w:t>
            </w:r>
          </w:p>
          <w:p w14:paraId="71DF741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24756D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p w14:paraId="47F6849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574889F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p w14:paraId="14E09F2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08470C7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p w14:paraId="28B4FA0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E37FDE1" w14:textId="77777777">
        <w:trPr>
          <w:trHeight w:val="182"/>
        </w:trPr>
        <w:tc>
          <w:tcPr>
            <w:tcW w:w="1469" w:type="dxa"/>
          </w:tcPr>
          <w:p w14:paraId="1D123E6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Крен, град.</w:t>
            </w:r>
          </w:p>
          <w:p w14:paraId="5FF1E01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D2DF1C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н.д.</w:t>
            </w:r>
          </w:p>
          <w:p w14:paraId="46A10D9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2B938A2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p w14:paraId="5628301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5EC9E37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p w14:paraId="0227D81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D98F8D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p w14:paraId="008F22D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6E74A4A" w14:textId="77777777">
        <w:trPr>
          <w:trHeight w:val="192"/>
        </w:trPr>
        <w:tc>
          <w:tcPr>
            <w:tcW w:w="1469" w:type="dxa"/>
          </w:tcPr>
          <w:p w14:paraId="1513529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Окоп, мм</w:t>
            </w:r>
          </w:p>
          <w:p w14:paraId="2153620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6E3699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н.д.</w:t>
            </w:r>
          </w:p>
          <w:p w14:paraId="2D57726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0ECDC59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2200</w:t>
            </w:r>
          </w:p>
          <w:p w14:paraId="0722B32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593E8C5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2200</w:t>
            </w:r>
          </w:p>
          <w:p w14:paraId="4F9B6A5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184A932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2500</w:t>
            </w:r>
          </w:p>
          <w:p w14:paraId="7FFAE31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6942804" w14:textId="77777777">
        <w:trPr>
          <w:trHeight w:val="182"/>
        </w:trPr>
        <w:tc>
          <w:tcPr>
            <w:tcW w:w="1469" w:type="dxa"/>
          </w:tcPr>
          <w:p w14:paraId="0219DDD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Стенка, мм</w:t>
            </w:r>
          </w:p>
          <w:p w14:paraId="355F41B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269CCF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н.д.</w:t>
            </w:r>
          </w:p>
          <w:p w14:paraId="4FE8563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F40C1A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800</w:t>
            </w:r>
          </w:p>
          <w:p w14:paraId="125190D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5E2F316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750</w:t>
            </w:r>
          </w:p>
          <w:p w14:paraId="5387CC7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1BBC792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p w14:paraId="287FB6C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E51B2CE" w14:textId="77777777">
        <w:trPr>
          <w:trHeight w:val="326"/>
        </w:trPr>
        <w:tc>
          <w:tcPr>
            <w:tcW w:w="1469" w:type="dxa"/>
            <w:tcBorders>
              <w:bottom w:val="single" w:sz="12" w:space="0" w:color="auto"/>
            </w:tcBorders>
          </w:tcPr>
          <w:p w14:paraId="3CD009F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Брод, мм</w:t>
            </w:r>
          </w:p>
          <w:p w14:paraId="141BA49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bottom w:val="single" w:sz="12" w:space="0" w:color="auto"/>
            </w:tcBorders>
          </w:tcPr>
          <w:p w14:paraId="03854C5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Н.Д.</w:t>
            </w:r>
          </w:p>
          <w:p w14:paraId="2BCE23C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bottom w:val="single" w:sz="12" w:space="0" w:color="auto"/>
            </w:tcBorders>
          </w:tcPr>
          <w:p w14:paraId="1E40884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1300</w:t>
            </w:r>
          </w:p>
          <w:p w14:paraId="2CB7E71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bottom w:val="single" w:sz="12" w:space="0" w:color="auto"/>
            </w:tcBorders>
          </w:tcPr>
          <w:p w14:paraId="2629A0D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1250</w:t>
            </w:r>
          </w:p>
          <w:p w14:paraId="260C547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bottom w:val="single" w:sz="12" w:space="0" w:color="auto"/>
            </w:tcBorders>
          </w:tcPr>
          <w:p w14:paraId="421206F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w:t>
            </w:r>
          </w:p>
          <w:p w14:paraId="48A21D7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F45485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(11417).</w:t>
      </w:r>
    </w:p>
    <w:p w14:paraId="4FF665E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B09029"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17 января 1943 закончили макет </w:t>
      </w:r>
      <w:r w:rsidRPr="00D03F3E">
        <w:rPr>
          <w:rFonts w:ascii="Times New Roman" w:hAnsi="Times New Roman"/>
          <w:color w:val="000000" w:themeColor="text1"/>
          <w:sz w:val="16"/>
          <w:szCs w:val="16"/>
          <w:lang w:val="en-US"/>
        </w:rPr>
        <w:t>KB</w:t>
      </w:r>
      <w:r w:rsidRPr="00D03F3E">
        <w:rPr>
          <w:rFonts w:ascii="Times New Roman" w:hAnsi="Times New Roman"/>
          <w:color w:val="000000" w:themeColor="text1"/>
          <w:sz w:val="16"/>
          <w:szCs w:val="16"/>
        </w:rPr>
        <w:t xml:space="preserve">-14. В тот же день макет утвердили. 19 января на корпусном заводе №200 были готовы листы рубки, которые в тот же день стали монтировать на корпус </w:t>
      </w:r>
      <w:r w:rsidRPr="00D03F3E">
        <w:rPr>
          <w:rFonts w:ascii="Times New Roman" w:hAnsi="Times New Roman"/>
          <w:color w:val="000000" w:themeColor="text1"/>
          <w:sz w:val="16"/>
          <w:szCs w:val="16"/>
          <w:lang w:val="en-US"/>
        </w:rPr>
        <w:t>KB</w:t>
      </w:r>
      <w:r w:rsidRPr="00D03F3E">
        <w:rPr>
          <w:rFonts w:ascii="Times New Roman" w:hAnsi="Times New Roman"/>
          <w:color w:val="000000" w:themeColor="text1"/>
          <w:sz w:val="16"/>
          <w:szCs w:val="16"/>
        </w:rPr>
        <w:t xml:space="preserve">-1С. </w:t>
      </w:r>
      <w:r w:rsidRPr="00D03F3E">
        <w:rPr>
          <w:rFonts w:ascii="Times New Roman" w:hAnsi="Times New Roman"/>
          <w:color w:val="000000" w:themeColor="text1"/>
          <w:sz w:val="16"/>
          <w:szCs w:val="16"/>
          <w:lang w:val="en-US"/>
        </w:rPr>
        <w:t>Ha</w:t>
      </w:r>
      <w:r w:rsidRPr="00D03F3E">
        <w:rPr>
          <w:rFonts w:ascii="Times New Roman" w:hAnsi="Times New Roman"/>
          <w:color w:val="000000" w:themeColor="text1"/>
          <w:sz w:val="16"/>
          <w:szCs w:val="16"/>
        </w:rPr>
        <w:t xml:space="preserve"> следующее утро с завода №200 прибыл законченный корпус опытного образца. В тот же день начались монтажные рабо</w:t>
      </w:r>
      <w:r w:rsidRPr="00D03F3E">
        <w:rPr>
          <w:rFonts w:ascii="Times New Roman" w:hAnsi="Times New Roman"/>
          <w:color w:val="000000" w:themeColor="text1"/>
          <w:sz w:val="16"/>
          <w:szCs w:val="16"/>
        </w:rPr>
        <w:softHyphen/>
        <w:t>ты: закончена центровка двигателя и КПП, установлены балансиры и торсионные валы.</w:t>
      </w:r>
    </w:p>
    <w:p w14:paraId="229739AE"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Параллельно с постройкой САУ на заводе №172 шла работа по из</w:t>
      </w:r>
      <w:r w:rsidRPr="00D03F3E">
        <w:rPr>
          <w:rFonts w:ascii="Times New Roman" w:hAnsi="Times New Roman"/>
          <w:color w:val="000000" w:themeColor="text1"/>
          <w:sz w:val="16"/>
          <w:szCs w:val="16"/>
        </w:rPr>
        <w:softHyphen/>
        <w:t xml:space="preserve">готовлению самоходной версии 152-мм пушки-гаубицы </w:t>
      </w:r>
      <w:r w:rsidRPr="00D03F3E">
        <w:rPr>
          <w:rFonts w:ascii="Times New Roman" w:hAnsi="Times New Roman"/>
          <w:color w:val="000000" w:themeColor="text1"/>
          <w:sz w:val="16"/>
          <w:szCs w:val="16"/>
          <w:lang w:val="en-US"/>
        </w:rPr>
        <w:t>MJ</w:t>
      </w:r>
      <w:r w:rsidRPr="00D03F3E">
        <w:rPr>
          <w:rFonts w:ascii="Times New Roman" w:hAnsi="Times New Roman"/>
          <w:color w:val="000000" w:themeColor="text1"/>
          <w:sz w:val="16"/>
          <w:szCs w:val="16"/>
        </w:rPr>
        <w:t>1-20. 11 ян</w:t>
      </w:r>
      <w:r w:rsidRPr="00D03F3E">
        <w:rPr>
          <w:rFonts w:ascii="Times New Roman" w:hAnsi="Times New Roman"/>
          <w:color w:val="000000" w:themeColor="text1"/>
          <w:sz w:val="16"/>
          <w:szCs w:val="16"/>
        </w:rPr>
        <w:softHyphen/>
        <w:t>варя 1943 года для удобства работы с документацией самоходную вер</w:t>
      </w:r>
      <w:r w:rsidRPr="00D03F3E">
        <w:rPr>
          <w:rFonts w:ascii="Times New Roman" w:hAnsi="Times New Roman"/>
          <w:color w:val="000000" w:themeColor="text1"/>
          <w:sz w:val="16"/>
          <w:szCs w:val="16"/>
        </w:rPr>
        <w:softHyphen/>
        <w:t xml:space="preserve">сию орудия переименовали в </w:t>
      </w:r>
      <w:r w:rsidRPr="00D03F3E">
        <w:rPr>
          <w:rFonts w:ascii="Times New Roman" w:hAnsi="Times New Roman"/>
          <w:color w:val="000000" w:themeColor="text1"/>
          <w:sz w:val="16"/>
          <w:szCs w:val="16"/>
          <w:lang w:val="en-US"/>
        </w:rPr>
        <w:t>M</w:t>
      </w:r>
      <w:r w:rsidRPr="00D03F3E">
        <w:rPr>
          <w:rFonts w:ascii="Times New Roman" w:hAnsi="Times New Roman"/>
          <w:color w:val="000000" w:themeColor="text1"/>
          <w:sz w:val="16"/>
          <w:szCs w:val="16"/>
        </w:rPr>
        <w:t>Л-20</w:t>
      </w:r>
      <w:r w:rsidRPr="00D03F3E">
        <w:rPr>
          <w:rFonts w:ascii="Times New Roman" w:hAnsi="Times New Roman"/>
          <w:color w:val="000000" w:themeColor="text1"/>
          <w:sz w:val="16"/>
          <w:szCs w:val="16"/>
          <w:lang w:val="en-US"/>
        </w:rPr>
        <w:t>C</w:t>
      </w:r>
      <w:r w:rsidRPr="00D03F3E">
        <w:rPr>
          <w:rFonts w:ascii="Times New Roman" w:hAnsi="Times New Roman"/>
          <w:color w:val="000000" w:themeColor="text1"/>
          <w:sz w:val="16"/>
          <w:szCs w:val="16"/>
        </w:rPr>
        <w:t xml:space="preserve"> (также использовались индексы МЛ-20-С и МЛ-20с). Система крепилась на рамке, защищенной броне- кожухом и массивной орудийной маской. В маске имелось специальное отверстие для обслуживания противооткатных устройств, закрываемое крышкой. Для заполнения противооткатных устройств жидкостью ис</w:t>
      </w:r>
      <w:r w:rsidRPr="00D03F3E">
        <w:rPr>
          <w:rFonts w:ascii="Times New Roman" w:hAnsi="Times New Roman"/>
          <w:color w:val="000000" w:themeColor="text1"/>
          <w:sz w:val="16"/>
          <w:szCs w:val="16"/>
        </w:rPr>
        <w:softHyphen/>
        <w:t>пользовался гидронасос. На лобовом листе корпуса КВ-14 был пред</w:t>
      </w:r>
      <w:r w:rsidRPr="00D03F3E">
        <w:rPr>
          <w:rFonts w:ascii="Times New Roman" w:hAnsi="Times New Roman"/>
          <w:color w:val="000000" w:themeColor="text1"/>
          <w:sz w:val="16"/>
          <w:szCs w:val="16"/>
        </w:rPr>
        <w:softHyphen/>
        <w:t>усмотрен специальный «карман», куда гидронасос ставился во время обслуживания противооткатных устройств. Ввиду того, что снятие дульного тормоза влекло за собой значительный объем переделок, ствол оставили без изменений.</w:t>
      </w:r>
    </w:p>
    <w:p w14:paraId="1E8C9850" w14:textId="77777777" w:rsidR="00E56A12" w:rsidRPr="00D03F3E" w:rsidRDefault="00E56A12" w:rsidP="00D03F3E">
      <w:pPr>
        <w:pStyle w:val="a3"/>
        <w:rPr>
          <w:color w:val="000000" w:themeColor="text1"/>
          <w:lang w:val="ru-RU"/>
        </w:rPr>
      </w:pPr>
      <w:r w:rsidRPr="00D03F3E">
        <w:rPr>
          <w:color w:val="000000" w:themeColor="text1"/>
          <w:lang w:val="ru-RU"/>
        </w:rPr>
        <w:t xml:space="preserve">Главным изменением </w:t>
      </w:r>
      <w:r w:rsidRPr="00D03F3E">
        <w:rPr>
          <w:color w:val="000000" w:themeColor="text1"/>
        </w:rPr>
        <w:t>M</w:t>
      </w:r>
      <w:r w:rsidRPr="00D03F3E">
        <w:rPr>
          <w:color w:val="000000" w:themeColor="text1"/>
          <w:lang w:val="ru-RU"/>
        </w:rPr>
        <w:t>Л-20</w:t>
      </w:r>
      <w:r w:rsidRPr="00D03F3E">
        <w:rPr>
          <w:color w:val="000000" w:themeColor="text1"/>
        </w:rPr>
        <w:t>C</w:t>
      </w:r>
      <w:r w:rsidRPr="00D03F3E">
        <w:rPr>
          <w:color w:val="000000" w:themeColor="text1"/>
          <w:lang w:val="ru-RU"/>
        </w:rPr>
        <w:t>, по сравнению с буксируемой вер</w:t>
      </w:r>
      <w:r w:rsidRPr="00D03F3E">
        <w:rPr>
          <w:color w:val="000000" w:themeColor="text1"/>
          <w:lang w:val="ru-RU"/>
        </w:rPr>
        <w:softHyphen/>
        <w:t>сией, стала установка телескопического прицела Т-9 (ТОД-9), перво</w:t>
      </w:r>
      <w:r w:rsidRPr="00D03F3E">
        <w:rPr>
          <w:color w:val="000000" w:themeColor="text1"/>
          <w:lang w:val="ru-RU"/>
        </w:rPr>
        <w:softHyphen/>
        <w:t>начально разработанного для тяжелого танка КВ-2. Т-9 представлял собой модификацию прицела КТ-1 (казематный телеско</w:t>
      </w:r>
      <w:r w:rsidRPr="00D03F3E">
        <w:rPr>
          <w:color w:val="000000" w:themeColor="text1"/>
          <w:lang w:val="ru-RU"/>
        </w:rPr>
        <w:softHyphen/>
        <w:t>пический) для казематной установки ДОТ-4 и имел в сво</w:t>
      </w:r>
      <w:r w:rsidRPr="00D03F3E">
        <w:rPr>
          <w:color w:val="000000" w:themeColor="text1"/>
          <w:lang w:val="ru-RU"/>
        </w:rPr>
        <w:softHyphen/>
        <w:t>ей конструкции призму, благодаря чему получил харак</w:t>
      </w:r>
      <w:r w:rsidRPr="00D03F3E">
        <w:rPr>
          <w:color w:val="000000" w:themeColor="text1"/>
          <w:lang w:val="ru-RU"/>
        </w:rPr>
        <w:softHyphen/>
        <w:t>терное «колено». Для стрельбы с закрытых позиций был оставлен панорамный прицел с панорамой Герца (прицел ПГ-1). Согласно требованиям, механизм перемены отката был убран, а контршток закреплен в положении короткого отката. Были введены подъемный и поворотный механиз</w:t>
      </w:r>
      <w:r w:rsidRPr="00D03F3E">
        <w:rPr>
          <w:color w:val="000000" w:themeColor="text1"/>
          <w:lang w:val="ru-RU"/>
        </w:rPr>
        <w:softHyphen/>
        <w:t>мы секторного типа с червячной передачей. Кроме того, на люльке закрепили лоток, облегчавший заряжание, он же исполнял роль ограждения со стороны заряжающего.</w:t>
      </w:r>
    </w:p>
    <w:p w14:paraId="12BBEF36"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Стоит отметить, что установка прицела Т-9 от КВ-2 яв</w:t>
      </w:r>
      <w:r w:rsidRPr="00D03F3E">
        <w:rPr>
          <w:rFonts w:ascii="Times New Roman" w:hAnsi="Times New Roman"/>
          <w:color w:val="000000" w:themeColor="text1"/>
          <w:sz w:val="16"/>
          <w:szCs w:val="16"/>
        </w:rPr>
        <w:softHyphen/>
        <w:t>лялась временным решением. Система, собранная для установки на опытный образец КВ-14, была оснащена прицелом Т-10, отличавшимся шкалами, нарезанными под баллисти</w:t>
      </w:r>
      <w:r w:rsidRPr="00D03F3E">
        <w:rPr>
          <w:rFonts w:ascii="Times New Roman" w:hAnsi="Times New Roman"/>
          <w:color w:val="000000" w:themeColor="text1"/>
          <w:sz w:val="16"/>
          <w:szCs w:val="16"/>
        </w:rPr>
        <w:softHyphen/>
        <w:t>ку МЛ-20. Впрочем, для запуска Т-10 в серию потребовалось время, так что первые КВ-14 оснащались именно Т-9, по которым после снятия КВ-2 с производства имелся задел (17474).</w:t>
      </w:r>
    </w:p>
    <w:p w14:paraId="4ED49C4B" w14:textId="77777777" w:rsidR="00E56A12" w:rsidRPr="00D03F3E" w:rsidRDefault="00E56A12" w:rsidP="00D03F3E">
      <w:pPr>
        <w:spacing w:after="0" w:line="240" w:lineRule="auto"/>
        <w:jc w:val="both"/>
        <w:rPr>
          <w:rFonts w:ascii="Times New Roman" w:hAnsi="Times New Roman"/>
          <w:color w:val="000000" w:themeColor="text1"/>
          <w:sz w:val="16"/>
          <w:szCs w:val="16"/>
        </w:rPr>
      </w:pPr>
    </w:p>
    <w:p w14:paraId="4D7CD37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 17 января 1943 года макет САУ был выполнен в натуральную величину. К 19 января на заводе № 200 изготовили корпус машины. К утру 23 января на заводе № 100 завершились все работы по сборке САУ, за исключением монтажа арт-системы, которая прибыла на завод только вечером. Тут-то и выяснилось, что орудие не проходит в амбразуру, предназначенную для нее в лобовом листе рубки. Пришлось расширять амбразуру газовой резкой по месту. На следующий день САУ КВ-14 (объект 236) своим ходом ушла на Чебаркульский артиллерийский полигон, расположенный в 107 км от Челябинска. Испытания прошли вполне успешно и были закончены к 7 февраля 1943 года. Постановлением ГКО от 14 февраля 1943 года образец КВ-14 приняли на вооружение и поставили на серийное производство. В апреле 1943 года ГКО постановил КВ-14 впредь именовать СУ-152. </w:t>
      </w:r>
    </w:p>
    <w:p w14:paraId="48CA785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Самоходная установка СУ-152 относилась к типу полностью бронированных самоходных установок с передним расположением боевой рубки. Боевое отделение и отделение управления были совмещены. Механик-водитель занимал место слева впереди в отделении управления, за ним — наводчик, за наводчиком — заряжающий. Справа от орудия впереди размещался командир машины, за ним — замковый. Для наблюдения за полем боя использовались перископ ПТК-4, обеспечивавший круговой обзор, и пять приз-менных зеркальных смотровых приборов, установленных на крыше рубки и крышках левого и кормового люков. В крышке правого люка имелся лючок для сигнализации. Механик-водитель вел наблюдение за полем боя через лючок со стеклоблоком, закрываемый броневой крышкой со смотровой щелью. Посадка экипажа производилась через два люка: круглый, расположенный в передней части крыши справа, и прямоугольный двухстворчатый люк, расположенный в кормовой части крыши и кормовом листе рубки. В днище корпуса в боевом отделении был предусмотрен аварийный люк. </w:t>
      </w:r>
    </w:p>
    <w:p w14:paraId="1A778D3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Корпус и рубка установки были сварены из броневых катаных листов толщиной 20, 30, 60 и 70 мм. Маска пушки имела толщину 60 мм. Зазор между подвижной бронировкой орудия и верхним лобовым листом корпуса машины защищался броневым прикрытием. Лобовой, скуловые, бортовые и кормовой броневые листы рубки, а также лобовые листы корпуса отличались рациональными углами наклона. Борта корпуса — вертикальные. В правом нижнем бортовом листе корпуса в боевом отделении располагался люк для загрузки боеприпасов с откидной броневой крышкой. Для стрельбы из личного оружия в лобовом и кормовом листах рубки имелись бойницы, закрывавшиеся броневыми пробками. Крыша броневой рубки — съемная, состояла из двух частей. С передним, скуловыми, боковыми и кормовым листами рубки листы крыши соединялись с помощью болтов. В передней части крыши рубки, помимо двух люков и отверстия под смотровой прибор, имелись два отверстия (справа) для установки командирской панорамы и антенного ввода, прикрытого броневым стаканом, и сзади справа — лючок, закрывавшийся откидной броневой крышкой, для доступа к заправочным горловинам топливных баков, расположенных в боевом отделении. Отверстия под смотровые приборы в крыше рубки и крышках люков имели броневое прикрытие. Вентиляция боевого отделения осуществлялась за счет тяги воздуха, создававшейся работающим двигателем при открытых шиберах в моторной перегородке. </w:t>
      </w:r>
    </w:p>
    <w:p w14:paraId="7770D76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Кормовая часть корпуса состояла из двух броневых листов (верхнего и нижнего) закругленной формы. В средней части верхний лист перекрывал нижний, образуя тем самым карман для выхода охлаждающего воздуха из МТО самоходной установки. Для защиты от попадания посторонних предметов карман закрывался проволочной сеткой. Крыша МТО состояла из двух съемных броневых листов, крепившихся к корпусу САУ болтами. Первый лист крыши в центральной части имел люк для доступа к двигателю, закрывавшийся броневой крышкой. В центре крышки в выпуклой ее части находилось отверстие, предназначавшееся для заливки воды в систему охлаждения двигателя. Вдоль бортов корпуса имелись два прямоугольных отверстия для доступа охлаждающего воздуха к двигателю, закрывавшиеся сверху защитными сетками. В задней части листа были выполнены два отверстия для прохода выхлопных труб, над которыми устанавливались броневые кожуха. Задний лист крыши оборудовался двумя круглыми люками с откидными броневыми крышками для доступа к узлам и агрегатам трансмиссии. Днище корпуса было сварено из двух броневых листов и имело люки и отверстия, закрываемые броневыми крышками. В амбразуре лобового листа рубки в рамке устанавливалась 152-мм гаубица-пушка МЛ-20 обр. 1937 г. Орудие снабжалось поршневым затвором с инерционным предохранителем и щелевым дульным тормозом. Длина ствола составляла 28,8 калибра, высота линии огня — 1800 мм. В конструкции противооткатных устройств использовались гидравлический тормоз отката и гидропневматический накатник. Подъемный и поворотный механизмы секторного типа обеспечивали углы вертикальной наводки от -5° до +18°, горизонтальной — в секторе 12°. Телескопические прицелы СТ-10 или КТ-5 использовались при стрельбе прямой наводкой, а панорама Герца — при стрельбе с закрытых огневых позиций. Для стрельбы ночью шкалы прицела и панорамы, а также прицельная и орудийная стрелки оснащались специальной подсветкой. Дальность стрельбы прямой наводкой составляла 3800 м, наибольшая — 6200 м. Скорострельность пушки-гаубицы достигала 2 выстр./мин. Для облегчения заряжания орудия имелся откидной лоток, который обеспечивал устранение задевания ведущего пояска снаряда за срез трубы ствола. </w:t>
      </w:r>
    </w:p>
    <w:p w14:paraId="3F05AB7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боекомплект входили 20 выстрелов раздельного гильзового заряжания. Для стрельбы использовались осколочно-фугасная дальнобойная стальная пушечная граната ОФ-540, бетонобойный гаубичный снаряд Г-530, осколочно-фугасная дальнобойная стальная гаубичная граната ОФ-530, осколочная дальнобойная гаубичная граната из сталистого чугуна О-530А, бронебойно-трассирующий снаряд БР-540 и фугасный морской полубронебойный снаряд. Кроме того, могли использоваться пушечные бетонобойные снаряды Г-545 массой 56 кг и фугасные стальные пушечные гранаты старого образца Ф-542 и Ф-542Ш. Дополнительно в боевом отделении укладывались два 7,62-мм пистолета-пулемета ППШ с боекомплектом 1278 патронов (18 дисков) и 25 гранат Ф-1, позднее боекомплект к ППШ был увеличен до 1562 патронов (22 диска). В моторно-трансмиссионном отделении вдоль продольной оси корпуса устанавливался двенадцатицилиндровый V-образный четырехтактный дизель В-2К мощностью 600 л.с. Пуск двигателя осуществлялся с помощью электростартера СТ-700 мощностью 15 л.с. или сжатого воздуха из двух воздушных баллонов емкостью 5 л каждый. Емкость основных топливных баков составляла 600 — 615 л. При установке запасных наружных баков запас возимого топлива </w:t>
      </w:r>
      <w:r w:rsidRPr="00D03F3E">
        <w:rPr>
          <w:rFonts w:ascii="Times New Roman" w:hAnsi="Times New Roman"/>
          <w:color w:val="000000" w:themeColor="text1"/>
          <w:sz w:val="16"/>
          <w:szCs w:val="16"/>
        </w:rPr>
        <w:lastRenderedPageBreak/>
        <w:t xml:space="preserve">увеличивался на 360 л. Запас хода установки по шоссе на основных баках достигал 330 км. </w:t>
      </w:r>
    </w:p>
    <w:p w14:paraId="578FF50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состав трансмиссии входили многодисковый главный фрикцион сухого трения, четырехступенчатая коробка передач с демультипликатором, обеспечивавшая восемь передач переднего и две передачи заднего хода, два многодисковых бортовых фрикциона с плавающими ленточными тормозами и два бортовых планетарных редуктора. Состав гусеничного движителя — 12 сдвоенных опорных катков (диаметром 600 мм), шесть поддерживающих катков, два направляющих колеса с механизмами натяжения гусениц и два ведущих колеса кормового расположения со съемными зубчатыми венцами. Зацепление — цевочное. Подвеска — индивидуальная торсионная, с ограничителями хода опорных катков. Опорные и поддерживающие катки, а также направляющие колеса были выполнены цельнометаллическими, без резиновой амортизации. Ширина штампованного трака гусеницы равнялась 608 мм. </w:t>
      </w:r>
    </w:p>
    <w:p w14:paraId="48B816F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машине устанавливалась радиостанция 9Р или ЮР (ЮРК-26) с умформерами РУ-75В и РУ-11Б, для внутренней связи служило танковое переговорное устройство ТПУ-4БИС (11638).</w:t>
      </w:r>
    </w:p>
    <w:p w14:paraId="5955BA2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D33B64" w14:textId="77777777" w:rsidR="00955897" w:rsidRPr="00D03F3E" w:rsidRDefault="0095589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17 января 1943 макет КВ-14 был построен и утверждён. 19 января на корпусном заводе №200 были готовы листы рубки, которые в тот же день стали монтировать на корпус КВ-1С. На следующее утро с завода №200 прибыл готовый корпус опытного образца. В тот же день начались монтажные работы: была закончена центровка двигателя и КПП, установлены балансиры и торсионные валы (17696).</w:t>
      </w:r>
    </w:p>
    <w:p w14:paraId="6A9A4145" w14:textId="77777777" w:rsidR="00955897" w:rsidRPr="00D03F3E" w:rsidRDefault="00955897" w:rsidP="00D03F3E">
      <w:pPr>
        <w:pStyle w:val="12a"/>
        <w:shd w:val="clear" w:color="auto" w:fill="auto"/>
        <w:spacing w:after="0" w:line="240" w:lineRule="auto"/>
        <w:jc w:val="both"/>
        <w:rPr>
          <w:color w:val="000000" w:themeColor="text1"/>
          <w:sz w:val="16"/>
          <w:szCs w:val="16"/>
        </w:rPr>
      </w:pPr>
    </w:p>
    <w:p w14:paraId="3AC6DB05"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79CD18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2AE2E5"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17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244F549E"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17 января наши войска в районе Сталинграда, южнее Воронежа, на Северном Кавказе, в районе Нижнего Дона и Северного Донца продолжали бои на прежних направлениях.</w:t>
      </w:r>
    </w:p>
    <w:p w14:paraId="126DFAAE"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Сталинграда наши войска продолжали уничтожать окружённые немецко-фашистские войска. В заводском районе наши части нанесли немцам мощный удар и очистили ряд улиц. На южной окраине Сталинграда бойцы Н-ского соединения, продвигаясь вперёд, заняли несколько сильно укреплённых узлов обороныпротивника, расположенных на важных высотах. Уничтожено до 600 гитлеровцев, 6 танков и 17 орудий. Захвачены 298 пленных, 94 пулемёта, до 200 автомашин, 3 радиостанции и другие трофеи. Западнее Сталинграда наши части, ломая сопротивление противника, истребили 1.200 немецких солдат и офицеров. Взяты трофеи, в том числе 28 танков, 60 орудий, 57 миномётов, из них 2 шестиствольных,120 пулемётов, 115 грузовых и 35 легковых автомашин.</w:t>
      </w:r>
    </w:p>
    <w:p w14:paraId="2036B16A"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Воронежа продолжалось успешное наступление наших войск. На правом берегу Дона противник шесть месяцев сооружал и совершенствовал оборонительные линии. Перешедшие в наступление советские части за несколько часов взломали мощную оборонительную систему немцев, преодолели минные поля и проволочные заграждения. Преследуя и уничтожая противника, бойцы Н-ской части разгромили полк вражеской пехоты и захватили 16 орудий, 53 пулемёта, 24 миномёта, радиостанцию и другие трофеи. Взято 380 пленных. На другом участке советские танковые и мотопехотные подразделения ворвались в крупный населённый пункт. В завязавшемся бою истреблена значительная часть солдат вражеского гарнизона. Остальные немецкие солдаты и офицеры в количестве 530 человек сложили оружие и сдались в плен. Захвачено много вооружения, 2 склада боеприпасов, склад с имуществом связи и 3 склада с продовольствием.</w:t>
      </w:r>
    </w:p>
    <w:p w14:paraId="6D40FEEE"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Зимовников наши танковые и пехотные части нанесли большие потери противнику. Истреблено свыше 1.000 вражеских солдат и офицеров. Уничтожено 26 немецких танков. Отступая, гитлеровцы оказывают упорное сопротивление. Особенно ожесточённые бои происходили в районе одного населённого пункта, который пять раз переходил из рук в руки и сейчас прочно удерживается нашими войсками.</w:t>
      </w:r>
    </w:p>
    <w:p w14:paraId="7180DEFA"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Северного Донца наши войска вели успешные наступательные бои и нанесли противнику большой урон в живой силе и технике. Немцы потеряли убитыми более 800 солдат и офицеров. Уничтожено 12 немецких танков и 30 орудий. Захвачены большие трофеи и пленные. Наши танковые и моторизованные части, сломив оборону противника, заняли ряд населённых пунктов.</w:t>
      </w:r>
    </w:p>
    <w:p w14:paraId="77F71A06"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Великих Лук бойцы Н-ской части в многочасовом бою с противником истребили более 200 вражеских солдат и офицеров, сожгли и подбили 7 немецких танков. На другом участке танкисты подразделения, где командиром тов. Железнов, ворвались в опорный пункт врага и уничтожили до роты немецкой пехоты.</w:t>
      </w:r>
    </w:p>
    <w:p w14:paraId="5DAE4619"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воздушных боях и огнём зенитной артиллерии сбито 24 немецких самолёта.</w:t>
      </w:r>
    </w:p>
    <w:p w14:paraId="01C418E8"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вели наступательные бои. Попытки немцев задержать советские части успеха не имели. Отражая контратаки противника и ломая его сопротивление, наши бойцы заняли несколько населённых пунктов. Н-ская моторизованная часть захватила 3 танка, 5 орудий и 60 автомашин. Советские кавалеристы проникли в тыл немцев и разгромили вражеский обоз. Уничтожено 12 автомашин и 30 подвод с боеприпасами.</w:t>
      </w:r>
    </w:p>
    <w:p w14:paraId="5AFC3E5E"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имени Боженко, действующий в Барановичской области, за месяц активных действий пустил под откос 4 немецких эшелона с войсками, военной техникой и боеприпасами. При крушениях разбито 4 паровоза, 12 вагонов ссолдатами, 8 платформ с танками и 32 вагона с боеприпасами и вооружением.</w:t>
      </w:r>
    </w:p>
    <w:p w14:paraId="19F17DEF"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«Буря», действующего в Вилейской области, за два месяца организовали крушение 3 воинских эшелонов противника. Разбито 2 паровоза и 18 вагонов с живой силой и техникой.» (15012).</w:t>
      </w:r>
    </w:p>
    <w:p w14:paraId="607905E0" w14:textId="77777777" w:rsidR="00A3709C" w:rsidRPr="00D03F3E" w:rsidRDefault="00A3709C" w:rsidP="00D03F3E">
      <w:pPr>
        <w:spacing w:after="0" w:line="240" w:lineRule="auto"/>
        <w:jc w:val="both"/>
        <w:rPr>
          <w:rFonts w:ascii="Times New Roman" w:hAnsi="Times New Roman"/>
          <w:color w:val="000000" w:themeColor="text1"/>
          <w:sz w:val="16"/>
          <w:szCs w:val="16"/>
        </w:rPr>
      </w:pPr>
    </w:p>
    <w:p w14:paraId="1DE34A3A"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17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33A36378"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января наши войска после упорного боя овладели городом и крупным железнодорожным узлом Миллерово.</w:t>
      </w:r>
    </w:p>
    <w:p w14:paraId="1E2BC89D"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наступающие южнее Воронежа, овладели городом и крупной железнодорожной станцией Алексеевка, городом Коротояк, районным центром и железнодорожной станцией Подгорное.</w:t>
      </w:r>
    </w:p>
    <w:p w14:paraId="10BBF698"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Северного Донца наши войска захватили несколько десятков населённых пунктов, в том числе крупные населённые пункты—Красновка, Исаевка, Верхне-Митянинский, Астахов, Калитвенская, железнодорожные станции — Погорелово, Красновка.</w:t>
      </w:r>
    </w:p>
    <w:p w14:paraId="15EFEA9B"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Орловская наши войска овладели крупными населёнными пунктами —Будённовская, Бекетный, Донской, Ногаевско-Ребричанский, Гундоров, Романов, железнодорожными станциями Эльмут и Восточный.</w:t>
      </w:r>
    </w:p>
    <w:p w14:paraId="3007F76E"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в результате решительной атаки овладели районным центром и крупной железнодорожной станцией Курсавка, районным центром Гофицкое, крупными населёнными пунктами — Сергиевка, Султанское, Крым-Гиреевское, Воровсколесская, железнодорожной станцией Крым-Гиреево.</w:t>
      </w:r>
    </w:p>
    <w:p w14:paraId="3CABF680"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10 по 16 января включительно, в воздушных боях и на аэродромах противника уничтожено 265 немецких самолётов. Наши потери за это же время 133 самолёта.</w:t>
      </w:r>
    </w:p>
    <w:p w14:paraId="2C1C678A"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января частями нашей авиации на различных участках фронта уничтожено или повреждено до 15 немецких танков, более 50 автомашин с войсками и грузами, подавлен огонь 6 артиллерийских батарей, взорван склад боеприпасов, рассеяно и частью уничтожено до батальона, пехоты противника.</w:t>
      </w:r>
    </w:p>
    <w:p w14:paraId="58BCE735"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Сталинграда наши войска истребляли окружённые немецко-фашистские войска. Сжимая кольцо окружения, советские части продвинулись вперёд. Западнее Сталинграда наши бойцы продолжали продвигаться вперёд, преодолевая сопротивление разрозненных групп немецкой пехоты. Упорный бой развернулся за аэродром, что севернее Питомника. Немцы пытались задержать наши войска, но стремительной атакой наши бойцы ворвались на аэродром, истребили забравшихся в блиндажи гитлеровцев и захватили большие трофеи.</w:t>
      </w:r>
    </w:p>
    <w:p w14:paraId="61FEC06E"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Орловской наши войска, преодолевая упорное сопротивление противника, продолжали наступление. Советские части, продвигаясь вперёд, заходят во фланги противнику, разъединяют его подразделения и бьют их по частям. В течение дня части Н-ского соединения заняли несколько населённых пунктов. На одном участке наши танкисты разгромили вражеский батальон и уничтожили более 400 немецких солдат и офицеров. Захвачены танк, 9 противотанковых орудий, 23 пулемёта и другие трофеи. Взяты пленные.</w:t>
      </w:r>
    </w:p>
    <w:p w14:paraId="0529368C"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Воронежа наши войска продолжали успешное наступление и заняли десятки населённых пунктов. На одном участке разгромлен немецкий моторизованный полк, уничтожено 17 танков и 8 бронемашин. Взяты трофеи, в том числе 18 орудий и 2 склада с военным имуществом. На другом участке советские бойцы сломили сопротивление вражеского гарнизона в крупном населённом пункте. Захвачены 6 танков, бронемашина, 13 орудий, 40 пулемётов, 46 автомашин и склад горючего. Взято в плен более 300 солдат и офицеров противника.</w:t>
      </w:r>
    </w:p>
    <w:p w14:paraId="191E52A2"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юго-западнее Великих Лук наши части отбили несколько контратак противника. Бойцы Н-ской части, сломив сопротивление врага, овладели тремя сильно укреплёнными опорными пунктами. На поле боя остались сотни вражеских трупов. Взято в плен свыше 400 немецких солдат и офицеров. Захвачены трофеи, среди которых 9 танков, 3 бронемашины, 3 шестиствольных миномёта, пулемёты, автоматы, винтовки и другое военное имущество.</w:t>
      </w:r>
    </w:p>
    <w:p w14:paraId="3B54C60D"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продвигались вперёд и заняли несколько населённых пунктов. На одном участке, стремясь задержать продвижение Н-скойчасти, гитлеровцы бросили в контратаку два батальона пехоты и 20 танков. Огнём артиллерии и бронебойщиков подбито и сожжено 7 немецких танков и 11 автомашин. В ожесточённом бою наши подразделения истребили до 400 гитлеровцев. В районе другого населённого пункта захвачено 3 склада с боеприпасами, 27 автомашин, 2 радиостанции, много обмундирования и продовольствия.</w:t>
      </w:r>
    </w:p>
    <w:p w14:paraId="3E3EB937"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украинских партизан, действующий в Сумской области, провёл несколько успешных боевых операций. Совершив налёт на гарнизон противника в крупном населённом пункте, партизаны уничтожили 60 немецких солдат, убили начальника полиции, старосту и 21 полицейского. Группа партизан этого отряда взорвала железнодорожный мост на важной коммуникации противника.».</w:t>
      </w:r>
    </w:p>
    <w:p w14:paraId="07543A51"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454DE5E8"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Успешное наступление наших войск в районе южнее Ладожского озера и прорыв блокады Ленинграда.</w:t>
      </w:r>
    </w:p>
    <w:p w14:paraId="5879BCC3"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«На днях наши войска, расположенные южнее Ладожского озера, перешли в наступление против немецко-фашистских войск, блокировавших город Ленинград.</w:t>
      </w:r>
    </w:p>
    <w:p w14:paraId="514B699E"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имели задачей разрушить оборону противника и этим прорвать блокаду города Ленинграда.</w:t>
      </w:r>
    </w:p>
    <w:p w14:paraId="551FB800"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Следует при этом иметь в виду то обстоятельство, что за многие месяцы блокады Ленинграда немцы превратили свои позиции на подступах к городу в мощный укреплённый район, с разветвлённой системой долговременных бетонированных и других сооружений, с большим количеством противотанковых и противопехотных препятствий.</w:t>
      </w:r>
    </w:p>
    <w:p w14:paraId="3CE2BD87"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Наступление наших войск проходило с двух сторон: с западного берега реки Нева, юго-западнее Шлиссельбурга, и с востока из района южнее Ладожского озера.</w:t>
      </w:r>
    </w:p>
    <w:p w14:paraId="618DC29A"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Прорвав долговременную укреплённую полосу противника глубиной до 14 километров и форсировав реку Нева, наши войска в течение семи дней напряжённых боёв, преодолевая исключительно упорное сопротивление противника, заняли: город Шлиссельбург, крупные укреплённые пункты Марьино, Московская, Дубровка, Липка, рабочие посёлки №№| 1,2, 3, 4, 5, 6, 7, 8, станцию Синявино и станцию Подгорная.</w:t>
      </w:r>
    </w:p>
    <w:p w14:paraId="166F70A1"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после семидневных боёв войска Волховского и Ленинградского фронтов 18 января соединились и тем самым прорвали блокаду Ленинграда.</w:t>
      </w:r>
    </w:p>
    <w:p w14:paraId="4C408C6E"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наступления наших войск разгромлены 227, 96, 170, 61 пехотные дивизии немцев, 374 пехотный полк 207 пехотной дивизии, 85 пехотный полк 5 горнострелковой дивизии, 223 мотоотряд и частично 1 пехотная дивизия.</w:t>
      </w:r>
    </w:p>
    <w:p w14:paraId="63583DC9"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неполным данным, нашими войсками взяты в плен 1.261 солдат и офицер.</w:t>
      </w:r>
    </w:p>
    <w:p w14:paraId="4B474274"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время боёв разрушено нашей артиллерией и миномётами укреплённых узлов и блиндажей — 470, прочно оборудованных наблюдательных пунктов — 25 и уничтожено и подавлено 172 артиллерийские и миномётные батареи противника.</w:t>
      </w:r>
    </w:p>
    <w:p w14:paraId="07CD2E57"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Взяты следующие трофеи: орудий — 222, миномётов — 178, пулемётов — 512, винтовок — 5.020, шестиствольных миномётов — 4, танков — 26, бронемашин — 9, ручных гранат — 17.300, раций — 72, патронов — 2.200.000, снарядов - 22.000, мин— 36.000, автомашин — 150, лошадей — 1.050, повозок — 880, разных складов — 40.,</w:t>
      </w:r>
    </w:p>
    <w:p w14:paraId="65777D0B"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поле боя оставлено более 13.000 трупов немецких солдат и офицеров.</w:t>
      </w:r>
    </w:p>
    <w:p w14:paraId="34050D1A"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Прорыв оборонительной линии противника осуществлён частью сил Ленинградского фронта под командованием генерал-полковника Говорова Л.А. и частью сил Волховского фронта под командованием генерала армии Мерецкова К.А.</w:t>
      </w:r>
    </w:p>
    <w:p w14:paraId="40D46CD2"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Координацию действий обоих фронтов осуществляли представители Ставки Верховного Главнокомандования маршалы Советского Союза тов. Жуков Г.К. и тов.Ворошилов К.Е.</w:t>
      </w:r>
    </w:p>
    <w:p w14:paraId="305F8DFB"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боях отличились войска генерал-лейтенанта тов. Романовского В.3. игенерал-майора, тов. Духанова М.П.».</w:t>
      </w:r>
    </w:p>
    <w:p w14:paraId="5CD699EB"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 Наши войска на юге заняли железнодорожную станцию Каменск, Городадивное, Черкесск, железнодорожную станцию Каменка (15012).</w:t>
      </w:r>
    </w:p>
    <w:p w14:paraId="2FDBAE01"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форсировали реку Северный Донец, заняли железнодорожную станцию Каменск и ведут бой в городе Каменск.</w:t>
      </w:r>
    </w:p>
    <w:p w14:paraId="19AF29D8"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Южного фронта форсировали Маныч и овладели городом и железнодорожной станцией Дивное.</w:t>
      </w:r>
    </w:p>
    <w:p w14:paraId="6FE4EFE6"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Воронежского фронта разбили 4-й итальянский корпус и заняли железнодорожную станцию Каменка. Город Острогожск блокирован нашими войсками.</w:t>
      </w:r>
    </w:p>
    <w:p w14:paraId="3CD43FBE"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 пленных в районе Воронежского фронта к исходу 18 января увеличилось до 31.000 солдат и офицеров, из коих 22.000 венгров, 7.000 итальянцев и более 2.000 немцев.</w:t>
      </w:r>
    </w:p>
    <w:p w14:paraId="359E3929" w14:textId="77777777" w:rsidR="008C5F3D"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овладели городом Черкесск.» (15012).</w:t>
      </w:r>
    </w:p>
    <w:p w14:paraId="1203AB45" w14:textId="77777777" w:rsidR="008C5F3D" w:rsidRPr="00D03F3E" w:rsidRDefault="008C5F3D" w:rsidP="00D03F3E">
      <w:pPr>
        <w:spacing w:after="0" w:line="240" w:lineRule="auto"/>
        <w:jc w:val="both"/>
        <w:rPr>
          <w:rFonts w:ascii="Times New Roman" w:hAnsi="Times New Roman"/>
          <w:color w:val="000000" w:themeColor="text1"/>
          <w:sz w:val="16"/>
          <w:szCs w:val="16"/>
        </w:rPr>
      </w:pPr>
    </w:p>
    <w:p w14:paraId="31CE3395" w14:textId="77777777" w:rsidR="008C5F3D" w:rsidRPr="00D03F3E" w:rsidRDefault="008C5F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января 1943 г. три самолёта Пе-2 3 сак нанесли удар по скоплению войск противника на улицах Беловодска. После занятия этого города нашими войсками проверкой на месте было установлено, что в результате атаки самолётов было убито 7 офицеров, 108 солдат и 23 лошади; кроме того, уничтожено 19 автомашин и 12 повозок, а также причинены разрушения военному городку, занятому итальянскими и немецкими войсками (18737).</w:t>
      </w:r>
    </w:p>
    <w:p w14:paraId="4E9DB9D6" w14:textId="77777777" w:rsidR="008C5F3D" w:rsidRPr="00D03F3E" w:rsidRDefault="008C5F3D" w:rsidP="00D03F3E">
      <w:pPr>
        <w:pStyle w:val="book"/>
        <w:ind w:firstLine="0"/>
        <w:jc w:val="both"/>
        <w:rPr>
          <w:color w:val="000000" w:themeColor="text1"/>
          <w:sz w:val="16"/>
          <w:szCs w:val="16"/>
        </w:rPr>
      </w:pPr>
    </w:p>
    <w:p w14:paraId="13EF375D"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17 января</w:t>
      </w:r>
      <w:r w:rsidRPr="00D03F3E">
        <w:rPr>
          <w:rFonts w:ascii="Times New Roman" w:hAnsi="Times New Roman"/>
          <w:color w:val="000000" w:themeColor="text1"/>
          <w:sz w:val="16"/>
          <w:szCs w:val="16"/>
        </w:rPr>
        <w:t xml:space="preserve"> в 1943 году город Черкесск – столица Карачаево-Черкесской Республики освобожден от фашистских захватчиков (15012).</w:t>
      </w:r>
    </w:p>
    <w:p w14:paraId="5B2B9E7C" w14:textId="77777777" w:rsidR="00A3709C" w:rsidRPr="00D03F3E" w:rsidRDefault="00A3709C" w:rsidP="00D03F3E">
      <w:pPr>
        <w:spacing w:after="0" w:line="240" w:lineRule="auto"/>
        <w:jc w:val="both"/>
        <w:rPr>
          <w:rFonts w:ascii="Times New Roman" w:hAnsi="Times New Roman"/>
          <w:color w:val="000000" w:themeColor="text1"/>
          <w:sz w:val="16"/>
          <w:szCs w:val="16"/>
        </w:rPr>
      </w:pPr>
    </w:p>
    <w:p w14:paraId="336BE1A0"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17 января</w:t>
      </w:r>
      <w:r w:rsidRPr="00D03F3E">
        <w:rPr>
          <w:rFonts w:ascii="Times New Roman" w:hAnsi="Times New Roman"/>
          <w:color w:val="000000" w:themeColor="text1"/>
          <w:sz w:val="16"/>
          <w:szCs w:val="16"/>
        </w:rPr>
        <w:t xml:space="preserve"> в 1943 году войска Калининского фронта освободили город Великие Луки Калининской области (ныне – Псковской области) от фашистских захватчиков (15012).</w:t>
      </w:r>
    </w:p>
    <w:p w14:paraId="4CBB8427" w14:textId="77777777" w:rsidR="00A3709C" w:rsidRPr="00D03F3E" w:rsidRDefault="00A3709C" w:rsidP="00D03F3E">
      <w:pPr>
        <w:spacing w:after="0" w:line="240" w:lineRule="auto"/>
        <w:jc w:val="both"/>
        <w:rPr>
          <w:rFonts w:ascii="Times New Roman" w:hAnsi="Times New Roman"/>
          <w:color w:val="000000" w:themeColor="text1"/>
          <w:sz w:val="16"/>
          <w:szCs w:val="16"/>
        </w:rPr>
      </w:pPr>
    </w:p>
    <w:p w14:paraId="50C99B8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января 1943 на ЛФ захватили первый Тигр - вытащили с ничейной полосы между рабочими поселками 5 и 6. Потом испытали (3570).</w:t>
      </w:r>
    </w:p>
    <w:p w14:paraId="615FFE8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B375C0"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17 января</w:t>
      </w:r>
      <w:r w:rsidRPr="00D03F3E">
        <w:rPr>
          <w:rFonts w:ascii="Times New Roman" w:hAnsi="Times New Roman"/>
          <w:color w:val="000000" w:themeColor="text1"/>
          <w:sz w:val="16"/>
          <w:szCs w:val="16"/>
        </w:rPr>
        <w:t xml:space="preserve"> в 1943 году создана танковая колонна “Приморский комсомолец”. Комсомольцы Дальневосточного морского пароходства выступили с обращением к молодежи Приморского края собрать средства на строительство танковой колонны. Этот патриотический почин вызвал горячий отклик. Только от комсомольских воскресников сбор составил свыше 4 миллионов рублей. Государственный Комитет Обороны удовлетворил просьбу крайкома комсомола о постройке танковой колонны “Приморский комсомолец” и формировании для нее 20 танковых экипажей из комсомольцев края. В горкомы и крайкомы края поступило 350 заявлений от добровольцев, были отобраны самые достойные – 63 человека. 1 мая 1943 г. добровольцы выехали из Владивостока и прибыли в 19-й учебный танковый полк Уральского военного округа. После окончания учебы были сформированы две роты – в каждой по 10 танков Т–34. Танковая колонна “Приморский комсомолец” вошла в состав 56-й гвардейской танковой бригады 3-й гвардейской танковой армии под командованием П.С.Рыбалко. В боях на правобережье Днепра на Украине произошло боевое крещение. Полтора года добровольцы, посланцы Приморья, сражались с немецко-фашистскими захватчиками. В летописи боевых действий отмечены города Шепетовка, Львов, Сандомир, Бунцлау, Берлин, Друден и множество других. Колонна прошла боевыми дорогами Украины, Польши, Чехословакии, Германии. Из 60-ти комсомольцев-добровольцев до Победы дожили только 16 человек (15012).</w:t>
      </w:r>
    </w:p>
    <w:p w14:paraId="11B92D41" w14:textId="77777777" w:rsidR="00A3709C" w:rsidRPr="00D03F3E" w:rsidRDefault="00A3709C" w:rsidP="00D03F3E">
      <w:pPr>
        <w:spacing w:after="0" w:line="240" w:lineRule="auto"/>
        <w:jc w:val="both"/>
        <w:rPr>
          <w:rFonts w:ascii="Times New Roman" w:hAnsi="Times New Roman"/>
          <w:color w:val="000000" w:themeColor="text1"/>
          <w:sz w:val="16"/>
          <w:szCs w:val="16"/>
        </w:rPr>
      </w:pPr>
    </w:p>
    <w:p w14:paraId="0809DCAD"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7D6385F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16C8D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года гл. конструктор завода N 240 С.В.И. писал письмо N 1/63с нач-ку секретариата НКАП Фирсаеву.</w:t>
      </w:r>
    </w:p>
    <w:p w14:paraId="7B22D86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сем препровождаю Вам доложенные наркому и им подписанные нижеследующие документы:</w:t>
      </w:r>
    </w:p>
    <w:p w14:paraId="02D50FF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Приказ о постройке агрегатов самолетов Ил-2 с М-42 на заводе N 30.</w:t>
      </w:r>
    </w:p>
    <w:p w14:paraId="42D10AE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Приказ о создании дневного бомбардировщика Ил-4 и докладная записка по этому вопросу.</w:t>
      </w:r>
    </w:p>
    <w:p w14:paraId="689D34C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Докладная записка и приказ о проектировании фанерной обшивки вместо дюралюминия на самолете Ил-4.</w:t>
      </w:r>
    </w:p>
    <w:p w14:paraId="71FE07A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 качественном изготовлении установок ВУБ-3 на самолеты Ил-2.</w:t>
      </w:r>
    </w:p>
    <w:p w14:paraId="3979C58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О рассмотрении ряда стрелковых установок на Ил-2, предлагаемых конструкторами.</w:t>
      </w:r>
    </w:p>
    <w:p w14:paraId="0F9B96C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О постройке 2-х самолетов вместо 3-х, как указано в приказе N 835сс.</w:t>
      </w:r>
    </w:p>
    <w:p w14:paraId="5EF2FAE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О невыполнении гл. конструктором Флеровым приказа Наркома 803сс (1458,47).</w:t>
      </w:r>
    </w:p>
    <w:p w14:paraId="2A90176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DEC00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г. С.В.И. был заготов</w:t>
      </w:r>
      <w:r w:rsidRPr="00D03F3E">
        <w:rPr>
          <w:rFonts w:ascii="Times New Roman" w:hAnsi="Times New Roman"/>
          <w:color w:val="000000" w:themeColor="text1"/>
          <w:sz w:val="16"/>
          <w:szCs w:val="16"/>
        </w:rPr>
        <w:softHyphen/>
        <w:t>лен проект приказа и подал наркому для рассмотрения о па</w:t>
      </w:r>
      <w:r w:rsidRPr="00D03F3E">
        <w:rPr>
          <w:rFonts w:ascii="Times New Roman" w:hAnsi="Times New Roman"/>
          <w:color w:val="000000" w:themeColor="text1"/>
          <w:sz w:val="16"/>
          <w:szCs w:val="16"/>
        </w:rPr>
        <w:softHyphen/>
        <w:t>раллельном с постройкой опытного са</w:t>
      </w:r>
      <w:r w:rsidRPr="00D03F3E">
        <w:rPr>
          <w:rFonts w:ascii="Times New Roman" w:hAnsi="Times New Roman"/>
          <w:color w:val="000000" w:themeColor="text1"/>
          <w:sz w:val="16"/>
          <w:szCs w:val="16"/>
        </w:rPr>
        <w:softHyphen/>
        <w:t>молета Ил-2М АМ-42 развертывании ра</w:t>
      </w:r>
      <w:r w:rsidRPr="00D03F3E">
        <w:rPr>
          <w:rFonts w:ascii="Times New Roman" w:hAnsi="Times New Roman"/>
          <w:color w:val="000000" w:themeColor="text1"/>
          <w:sz w:val="16"/>
          <w:szCs w:val="16"/>
        </w:rPr>
        <w:softHyphen/>
        <w:t>бот по налаживанию его серийно</w:t>
      </w:r>
      <w:r w:rsidRPr="00D03F3E">
        <w:rPr>
          <w:rFonts w:ascii="Times New Roman" w:hAnsi="Times New Roman"/>
          <w:color w:val="000000" w:themeColor="text1"/>
          <w:sz w:val="16"/>
          <w:szCs w:val="16"/>
        </w:rPr>
        <w:softHyphen/>
        <w:t>го выпуска на московском авиаза</w:t>
      </w:r>
      <w:r w:rsidRPr="00D03F3E">
        <w:rPr>
          <w:rFonts w:ascii="Times New Roman" w:hAnsi="Times New Roman"/>
          <w:color w:val="000000" w:themeColor="text1"/>
          <w:sz w:val="16"/>
          <w:szCs w:val="16"/>
        </w:rPr>
        <w:softHyphen/>
        <w:t>воде № 30. Однако А. И. Шахурин решил не рис</w:t>
      </w:r>
      <w:r w:rsidRPr="00D03F3E">
        <w:rPr>
          <w:rFonts w:ascii="Times New Roman" w:hAnsi="Times New Roman"/>
          <w:color w:val="000000" w:themeColor="text1"/>
          <w:sz w:val="16"/>
          <w:szCs w:val="16"/>
        </w:rPr>
        <w:softHyphen/>
        <w:t>ковать (11426).</w:t>
      </w:r>
    </w:p>
    <w:p w14:paraId="207AB9A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31B435" w14:textId="77777777" w:rsidR="00955897" w:rsidRPr="00D03F3E" w:rsidRDefault="0095589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18 января 1943 Бобровский в своем донесении Гребеневу доложил: «С начальником спец. КБ завода № 156 т. Шатерниковым имеется устная договоренность об оборудовании самолета Ил-2 системой нейтральных газов от выхлопа мотора». Для этих целей предлагалось использовать один из серийных Ил-2, проходящий контрольные испытания в НИИ ВВС КА. Однако в ходе переговоров с НИИ ВВС начальник института генерал Лосюков заявил, что «оборудовать самолет Ил-2 системой нейтральных газов от выхлопа мотора в НИИ нецелесообразно, после все равно нужно будет просить разрешение НКАП и Гл. конструктора внедрить эту систему в серию». Поэтому Лосюков считал целесообразным сразу поставить задачу перед промышленностью (17744).</w:t>
      </w:r>
    </w:p>
    <w:p w14:paraId="50DB1BFC" w14:textId="77777777" w:rsidR="00955897" w:rsidRPr="00D03F3E" w:rsidRDefault="00955897" w:rsidP="00D03F3E">
      <w:pPr>
        <w:pStyle w:val="12a"/>
        <w:shd w:val="clear" w:color="auto" w:fill="auto"/>
        <w:spacing w:after="0" w:line="240" w:lineRule="auto"/>
        <w:jc w:val="both"/>
        <w:rPr>
          <w:color w:val="000000" w:themeColor="text1"/>
          <w:sz w:val="16"/>
          <w:szCs w:val="16"/>
        </w:rPr>
      </w:pPr>
    </w:p>
    <w:p w14:paraId="00CD7E5F"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директор завода № 288 и, одновременно, начальник ЦКБ-29, Г.Я. Кутепов утвердил Отчёт по результатам заводских испытаний «Пегас» № 01 (15846).</w:t>
      </w:r>
    </w:p>
    <w:p w14:paraId="6675C499" w14:textId="77777777" w:rsidR="00A3709C" w:rsidRPr="00D03F3E" w:rsidRDefault="00A3709C" w:rsidP="00D03F3E">
      <w:pPr>
        <w:spacing w:after="0" w:line="240" w:lineRule="auto"/>
        <w:jc w:val="both"/>
        <w:rPr>
          <w:rFonts w:ascii="Times New Roman" w:hAnsi="Times New Roman"/>
          <w:color w:val="000000" w:themeColor="text1"/>
          <w:sz w:val="16"/>
          <w:szCs w:val="16"/>
        </w:rPr>
      </w:pPr>
    </w:p>
    <w:p w14:paraId="4F04035D" w14:textId="77777777" w:rsidR="00955897" w:rsidRPr="00D03F3E" w:rsidRDefault="0095589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18 января 1943 директор завода № 288 и начальник ЦКБ-29 Г. Я. Кутепов утвердил Отчет по результатам заводских летных испытаний самолета «Пе</w:t>
      </w:r>
      <w:r w:rsidRPr="00D03F3E">
        <w:rPr>
          <w:color w:val="000000" w:themeColor="text1"/>
          <w:sz w:val="16"/>
          <w:szCs w:val="16"/>
        </w:rPr>
        <w:softHyphen/>
        <w:t>гас» № 01, которые проходили со 2 по 14 января.</w:t>
      </w:r>
    </w:p>
    <w:p w14:paraId="6801EDA9" w14:textId="77777777" w:rsidR="00955897" w:rsidRPr="00D03F3E" w:rsidRDefault="0095589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Ведущим инженером по самолету был назначен Н. П. Попков, ведущим летчиком — летчик-испыта</w:t>
      </w:r>
      <w:r w:rsidRPr="00D03F3E">
        <w:rPr>
          <w:color w:val="000000" w:themeColor="text1"/>
          <w:sz w:val="16"/>
          <w:szCs w:val="16"/>
        </w:rPr>
        <w:softHyphen/>
        <w:t>тель НИИ ВВС майор В. И. Жданов.</w:t>
      </w:r>
    </w:p>
    <w:p w14:paraId="2D07554C" w14:textId="77777777" w:rsidR="00955897" w:rsidRPr="00D03F3E" w:rsidRDefault="0095589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Поскольку к началу полетов подвесной вари</w:t>
      </w:r>
      <w:r w:rsidRPr="00D03F3E">
        <w:rPr>
          <w:color w:val="000000" w:themeColor="text1"/>
          <w:sz w:val="16"/>
          <w:szCs w:val="16"/>
        </w:rPr>
        <w:softHyphen/>
        <w:t>ант пушечного вооружения еще не был отработан, то самолет испытывался только в конфигурации с бомбовым вооружением (2 ФАБ-100). В общей сложности по программе заводских летных испы</w:t>
      </w:r>
      <w:r w:rsidRPr="00D03F3E">
        <w:rPr>
          <w:color w:val="000000" w:themeColor="text1"/>
          <w:sz w:val="16"/>
          <w:szCs w:val="16"/>
        </w:rPr>
        <w:softHyphen/>
        <w:t>таний было выполнено 10 полетов с суммарным налетом 6 ч 30 мин.</w:t>
      </w:r>
    </w:p>
    <w:p w14:paraId="0D60037A" w14:textId="77777777" w:rsidR="00955897" w:rsidRPr="00D03F3E" w:rsidRDefault="0095589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нормальном полетном весе 1980 кг мак</w:t>
      </w:r>
      <w:r w:rsidRPr="00D03F3E">
        <w:rPr>
          <w:color w:val="000000" w:themeColor="text1"/>
          <w:sz w:val="16"/>
          <w:szCs w:val="16"/>
        </w:rPr>
        <w:softHyphen/>
        <w:t>симальная скорость у земли составила 190 км/ч. Время набора высоты 1000 м — 6,3 мин. Мини</w:t>
      </w:r>
      <w:r w:rsidRPr="00D03F3E">
        <w:rPr>
          <w:color w:val="000000" w:themeColor="text1"/>
          <w:sz w:val="16"/>
          <w:szCs w:val="16"/>
        </w:rPr>
        <w:softHyphen/>
        <w:t>мальная скорость полета — 110 км/ч. Посадочная скорость — 97 км/ч. Длина разбега — 200 м, про</w:t>
      </w:r>
      <w:r w:rsidRPr="00D03F3E">
        <w:rPr>
          <w:color w:val="000000" w:themeColor="text1"/>
          <w:sz w:val="16"/>
          <w:szCs w:val="16"/>
        </w:rPr>
        <w:softHyphen/>
        <w:t>бег — 300 м.</w:t>
      </w:r>
    </w:p>
    <w:p w14:paraId="37722202" w14:textId="77777777" w:rsidR="00955897" w:rsidRPr="00D03F3E" w:rsidRDefault="0095589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горизонтальном полете при отказе одного из моторов самолет допускал полет только со сниже</w:t>
      </w:r>
      <w:r w:rsidRPr="00D03F3E">
        <w:rPr>
          <w:color w:val="000000" w:themeColor="text1"/>
          <w:sz w:val="16"/>
          <w:szCs w:val="16"/>
        </w:rPr>
        <w:softHyphen/>
        <w:t>нием (около 1,5 м/с).</w:t>
      </w:r>
    </w:p>
    <w:p w14:paraId="308F7388" w14:textId="77777777" w:rsidR="00955897" w:rsidRPr="00D03F3E" w:rsidRDefault="0095589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В качестве эксперимента был выполнен 1 полет с полетным весом 2120 кг. Полет показал «возмож</w:t>
      </w:r>
      <w:r w:rsidRPr="00D03F3E">
        <w:rPr>
          <w:color w:val="000000" w:themeColor="text1"/>
          <w:sz w:val="16"/>
          <w:szCs w:val="16"/>
        </w:rPr>
        <w:softHyphen/>
        <w:t>ность значительного увеличения бомбовой нагруз</w:t>
      </w:r>
      <w:r w:rsidRPr="00D03F3E">
        <w:rPr>
          <w:color w:val="000000" w:themeColor="text1"/>
          <w:sz w:val="16"/>
          <w:szCs w:val="16"/>
        </w:rPr>
        <w:softHyphen/>
        <w:t>ки — ориентировочно до 400—500 кг». Во всех по</w:t>
      </w:r>
      <w:r w:rsidRPr="00D03F3E">
        <w:rPr>
          <w:color w:val="000000" w:themeColor="text1"/>
          <w:sz w:val="16"/>
          <w:szCs w:val="16"/>
        </w:rPr>
        <w:softHyphen/>
        <w:t>летах центровка самолета находилась в пределах 26,5—29% САХ.</w:t>
      </w:r>
    </w:p>
    <w:p w14:paraId="0A4FE2DB" w14:textId="77777777" w:rsidR="00955897" w:rsidRPr="00D03F3E" w:rsidRDefault="0095589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Неподвижная пулеметная установка была от</w:t>
      </w:r>
      <w:r w:rsidRPr="00D03F3E">
        <w:rPr>
          <w:color w:val="000000" w:themeColor="text1"/>
          <w:sz w:val="16"/>
          <w:szCs w:val="16"/>
        </w:rPr>
        <w:softHyphen/>
        <w:t>стреляна на земле. Стрельба велась очередями по 10—20 выстрелов. Оказалось, что после 80—86 выстрелов начинаются задержки в стрельбе по причине накапливания звеньев в звеньесборни- ке. Пришлось переделать вывод звеньев наружу. Задержки в стрельбе прекратились. Усилия при перезарядке пулемета сочли чрезмерно боль</w:t>
      </w:r>
      <w:r w:rsidRPr="00D03F3E">
        <w:rPr>
          <w:color w:val="000000" w:themeColor="text1"/>
          <w:sz w:val="16"/>
          <w:szCs w:val="16"/>
        </w:rPr>
        <w:softHyphen/>
        <w:t>шими. Требовалось доработать систему переза</w:t>
      </w:r>
      <w:r w:rsidRPr="00D03F3E">
        <w:rPr>
          <w:color w:val="000000" w:themeColor="text1"/>
          <w:sz w:val="16"/>
          <w:szCs w:val="16"/>
        </w:rPr>
        <w:softHyphen/>
        <w:t>рядки.</w:t>
      </w:r>
    </w:p>
    <w:p w14:paraId="35BE92BF" w14:textId="77777777" w:rsidR="00955897" w:rsidRPr="00D03F3E" w:rsidRDefault="0095589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испытаний была достигнута высота 2400 м, но до практического потолка не забира</w:t>
      </w:r>
      <w:r w:rsidRPr="00D03F3E">
        <w:rPr>
          <w:color w:val="000000" w:themeColor="text1"/>
          <w:sz w:val="16"/>
          <w:szCs w:val="16"/>
        </w:rPr>
        <w:softHyphen/>
        <w:t>лись. При подготовке отчета по результатам ис</w:t>
      </w:r>
      <w:r w:rsidRPr="00D03F3E">
        <w:rPr>
          <w:color w:val="000000" w:themeColor="text1"/>
          <w:sz w:val="16"/>
          <w:szCs w:val="16"/>
        </w:rPr>
        <w:softHyphen/>
        <w:t>пытаний потолок оценили теоретически в 2600 м. Полеты на определение максимальной дальности, стрельбу в воздухе из пулемета и сброс бомб не производились. Торопились передать самолет на государственные испытания.</w:t>
      </w:r>
    </w:p>
    <w:p w14:paraId="6B108326" w14:textId="77777777" w:rsidR="00955897" w:rsidRPr="00D03F3E" w:rsidRDefault="0095589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Самолет продемонстрировал неплохую управ</w:t>
      </w:r>
      <w:r w:rsidRPr="00D03F3E">
        <w:rPr>
          <w:color w:val="000000" w:themeColor="text1"/>
          <w:sz w:val="16"/>
          <w:szCs w:val="16"/>
        </w:rPr>
        <w:softHyphen/>
        <w:t>ляемость и устойчивость полета по всем трем осям. Взлет простой. При взлете самолет легко поднимал хвост. Хорошо слушался рулей при выполнении маневров. Парашютировал самолет на скорости 130—135 км/ч. Вираж с креном 30° выполнялся устойчиво на скорости 150 км/ч.</w:t>
      </w:r>
    </w:p>
    <w:p w14:paraId="738439DE" w14:textId="77777777" w:rsidR="00955897" w:rsidRPr="00D03F3E" w:rsidRDefault="0095589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Отмечался неплохой обзор летчику вперед-вниз. Обзор задней полусферы «при отодвинутых напо</w:t>
      </w:r>
      <w:r w:rsidRPr="00D03F3E">
        <w:rPr>
          <w:color w:val="000000" w:themeColor="text1"/>
          <w:sz w:val="16"/>
          <w:szCs w:val="16"/>
        </w:rPr>
        <w:softHyphen/>
        <w:t>ловину назад боковых бронещитков» — неудовлет</w:t>
      </w:r>
      <w:r w:rsidRPr="00D03F3E">
        <w:rPr>
          <w:color w:val="000000" w:themeColor="text1"/>
          <w:sz w:val="16"/>
          <w:szCs w:val="16"/>
        </w:rPr>
        <w:softHyphen/>
        <w:t>ворительный.</w:t>
      </w:r>
    </w:p>
    <w:p w14:paraId="32ACFD99" w14:textId="77777777" w:rsidR="00955897" w:rsidRPr="00D03F3E" w:rsidRDefault="0095589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целом же самолет по летным данным и пи</w:t>
      </w:r>
      <w:r w:rsidRPr="00D03F3E">
        <w:rPr>
          <w:color w:val="000000" w:themeColor="text1"/>
          <w:sz w:val="16"/>
          <w:szCs w:val="16"/>
        </w:rPr>
        <w:softHyphen/>
        <w:t>лотажным качествам оценивался положительно. Для повышения энерговооруженности предлага</w:t>
      </w:r>
      <w:r w:rsidRPr="00D03F3E">
        <w:rPr>
          <w:color w:val="000000" w:themeColor="text1"/>
          <w:sz w:val="16"/>
          <w:szCs w:val="16"/>
        </w:rPr>
        <w:softHyphen/>
        <w:t>лось установить на самолет более мощные мото</w:t>
      </w:r>
      <w:r w:rsidRPr="00D03F3E">
        <w:rPr>
          <w:color w:val="000000" w:themeColor="text1"/>
          <w:sz w:val="16"/>
          <w:szCs w:val="16"/>
        </w:rPr>
        <w:softHyphen/>
        <w:t>ры М-12 (17500).</w:t>
      </w:r>
    </w:p>
    <w:p w14:paraId="3189AB7A" w14:textId="77777777" w:rsidR="00955897" w:rsidRPr="00D03F3E" w:rsidRDefault="00955897" w:rsidP="00D03F3E">
      <w:pPr>
        <w:spacing w:after="0" w:line="240" w:lineRule="auto"/>
        <w:jc w:val="both"/>
        <w:rPr>
          <w:rFonts w:ascii="Times New Roman" w:eastAsia="Times New Roman" w:hAnsi="Times New Roman"/>
          <w:color w:val="000000" w:themeColor="text1"/>
          <w:sz w:val="16"/>
          <w:szCs w:val="16"/>
          <w:lang w:eastAsia="ru-RU"/>
        </w:rPr>
      </w:pPr>
    </w:p>
    <w:p w14:paraId="460514BA"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18 января 1943 директор завода №288 и начальник ЦКБ-29 Г.Я. Кутепов утвердил Отчет по резуль</w:t>
      </w:r>
      <w:r w:rsidRPr="00D03F3E">
        <w:rPr>
          <w:rFonts w:ascii="Times New Roman" w:hAnsi="Times New Roman"/>
          <w:color w:val="0070C0"/>
          <w:sz w:val="16"/>
          <w:szCs w:val="16"/>
        </w:rPr>
        <w:softHyphen/>
        <w:t>татам испытаний са</w:t>
      </w:r>
      <w:r w:rsidRPr="00D03F3E">
        <w:rPr>
          <w:rFonts w:ascii="Times New Roman" w:hAnsi="Times New Roman"/>
          <w:color w:val="0070C0"/>
          <w:sz w:val="16"/>
          <w:szCs w:val="16"/>
        </w:rPr>
        <w:softHyphen/>
        <w:t>молет «Пегас» № 01, который в период с 2 по 14 января 1943 г. проходил завод</w:t>
      </w:r>
      <w:r w:rsidRPr="00D03F3E">
        <w:rPr>
          <w:rFonts w:ascii="Times New Roman" w:hAnsi="Times New Roman"/>
          <w:color w:val="0070C0"/>
          <w:sz w:val="16"/>
          <w:szCs w:val="16"/>
        </w:rPr>
        <w:softHyphen/>
        <w:t>ские летные испытания</w:t>
      </w:r>
    </w:p>
    <w:p w14:paraId="4BF90953"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Ведущим инженером по самолету был назначен Н.П. Попков, ведущим летчи</w:t>
      </w:r>
      <w:r w:rsidRPr="00D03F3E">
        <w:rPr>
          <w:rFonts w:ascii="Times New Roman" w:hAnsi="Times New Roman"/>
          <w:color w:val="0070C0"/>
          <w:sz w:val="16"/>
          <w:szCs w:val="16"/>
        </w:rPr>
        <w:softHyphen/>
        <w:t>ком - летчик-испытатель НИИ ВВС май</w:t>
      </w:r>
      <w:r w:rsidRPr="00D03F3E">
        <w:rPr>
          <w:rFonts w:ascii="Times New Roman" w:hAnsi="Times New Roman"/>
          <w:color w:val="0070C0"/>
          <w:sz w:val="16"/>
          <w:szCs w:val="16"/>
        </w:rPr>
        <w:softHyphen/>
        <w:t>ор В.И. Жданов. В состав испытательной бригады входили: старший бортмеханик Д.Я. Чернецкий, механик А.А. Чебоненко, моторист И.А. Таков,техник по оборудова</w:t>
      </w:r>
      <w:r w:rsidRPr="00D03F3E">
        <w:rPr>
          <w:rFonts w:ascii="Times New Roman" w:hAnsi="Times New Roman"/>
          <w:color w:val="0070C0"/>
          <w:sz w:val="16"/>
          <w:szCs w:val="16"/>
        </w:rPr>
        <w:softHyphen/>
        <w:t>нию А. Кузнецов, ведущий инженер по во</w:t>
      </w:r>
      <w:r w:rsidRPr="00D03F3E">
        <w:rPr>
          <w:rFonts w:ascii="Times New Roman" w:hAnsi="Times New Roman"/>
          <w:color w:val="0070C0"/>
          <w:sz w:val="16"/>
          <w:szCs w:val="16"/>
        </w:rPr>
        <w:softHyphen/>
        <w:t>оружению СА. Печорин, механик НИИ ВВС старшина К.В. Филоненко.</w:t>
      </w:r>
    </w:p>
    <w:p w14:paraId="2BE78241"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Поскольку к началу полетов подвес</w:t>
      </w:r>
      <w:r w:rsidRPr="00D03F3E">
        <w:rPr>
          <w:rFonts w:ascii="Times New Roman" w:hAnsi="Times New Roman"/>
          <w:color w:val="0070C0"/>
          <w:sz w:val="16"/>
          <w:szCs w:val="16"/>
        </w:rPr>
        <w:softHyphen/>
        <w:t>ной вариант пушечного вооружения еще не был отработан,то самолет испытывал</w:t>
      </w:r>
      <w:r w:rsidRPr="00D03F3E">
        <w:rPr>
          <w:rFonts w:ascii="Times New Roman" w:hAnsi="Times New Roman"/>
          <w:color w:val="0070C0"/>
          <w:sz w:val="16"/>
          <w:szCs w:val="16"/>
        </w:rPr>
        <w:softHyphen/>
        <w:t>ся только в конфигурации с бомбовым во</w:t>
      </w:r>
      <w:r w:rsidRPr="00D03F3E">
        <w:rPr>
          <w:rFonts w:ascii="Times New Roman" w:hAnsi="Times New Roman"/>
          <w:color w:val="0070C0"/>
          <w:sz w:val="16"/>
          <w:szCs w:val="16"/>
        </w:rPr>
        <w:softHyphen/>
        <w:t>оружением (две ФАБ-100). В общей слож</w:t>
      </w:r>
      <w:r w:rsidRPr="00D03F3E">
        <w:rPr>
          <w:rFonts w:ascii="Times New Roman" w:hAnsi="Times New Roman"/>
          <w:color w:val="0070C0"/>
          <w:sz w:val="16"/>
          <w:szCs w:val="16"/>
        </w:rPr>
        <w:softHyphen/>
        <w:t>ности по программе заводских летных испытаний было выполнено 10 полетов с суммарным налетом 6 ч 30 мин.</w:t>
      </w:r>
    </w:p>
    <w:p w14:paraId="6B7CCDEE"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течение 2 января на «Пегасе» вы</w:t>
      </w:r>
      <w:r w:rsidRPr="00D03F3E">
        <w:rPr>
          <w:rFonts w:ascii="Times New Roman" w:hAnsi="Times New Roman"/>
          <w:color w:val="0070C0"/>
          <w:sz w:val="16"/>
          <w:szCs w:val="16"/>
        </w:rPr>
        <w:softHyphen/>
        <w:t>полнили несколько рулежек и подлетов. Самолет и все системы вели себя нор</w:t>
      </w:r>
      <w:r w:rsidRPr="00D03F3E">
        <w:rPr>
          <w:rFonts w:ascii="Times New Roman" w:hAnsi="Times New Roman"/>
          <w:color w:val="0070C0"/>
          <w:sz w:val="16"/>
          <w:szCs w:val="16"/>
        </w:rPr>
        <w:softHyphen/>
        <w:t>мально. После этого Жданов впервые поднял самолет в воздух. Однако в полете забарахлила бензосистема - работала не</w:t>
      </w:r>
      <w:r w:rsidRPr="00D03F3E">
        <w:rPr>
          <w:rFonts w:ascii="Times New Roman" w:hAnsi="Times New Roman"/>
          <w:color w:val="0070C0"/>
          <w:sz w:val="16"/>
          <w:szCs w:val="16"/>
        </w:rPr>
        <w:softHyphen/>
        <w:t>устойчиво с перебоями. Летчику пришлось сажать машину на вынужденную. Благо отказ произошел над аэродромом, высота полета была небольшой. После устране</w:t>
      </w:r>
      <w:r w:rsidRPr="00D03F3E">
        <w:rPr>
          <w:rFonts w:ascii="Times New Roman" w:hAnsi="Times New Roman"/>
          <w:color w:val="0070C0"/>
          <w:sz w:val="16"/>
          <w:szCs w:val="16"/>
        </w:rPr>
        <w:softHyphen/>
        <w:t>ния неисправности испытания продолжи</w:t>
      </w:r>
      <w:r w:rsidRPr="00D03F3E">
        <w:rPr>
          <w:rFonts w:ascii="Times New Roman" w:hAnsi="Times New Roman"/>
          <w:color w:val="0070C0"/>
          <w:sz w:val="16"/>
          <w:szCs w:val="16"/>
        </w:rPr>
        <w:softHyphen/>
        <w:t>лись. К 14 января доводка самолета в це</w:t>
      </w:r>
      <w:r w:rsidRPr="00D03F3E">
        <w:rPr>
          <w:rFonts w:ascii="Times New Roman" w:hAnsi="Times New Roman"/>
          <w:color w:val="0070C0"/>
          <w:sz w:val="16"/>
          <w:szCs w:val="16"/>
        </w:rPr>
        <w:softHyphen/>
        <w:t>лом завершилась. В этот день был выпол</w:t>
      </w:r>
      <w:r w:rsidRPr="00D03F3E">
        <w:rPr>
          <w:rFonts w:ascii="Times New Roman" w:hAnsi="Times New Roman"/>
          <w:color w:val="0070C0"/>
          <w:sz w:val="16"/>
          <w:szCs w:val="16"/>
        </w:rPr>
        <w:softHyphen/>
        <w:t>нен контрольный полет на проверку всех систем. После этого самолет отправили на технический осмотр и разборку для по</w:t>
      </w:r>
      <w:r w:rsidRPr="00D03F3E">
        <w:rPr>
          <w:rFonts w:ascii="Times New Roman" w:hAnsi="Times New Roman"/>
          <w:color w:val="0070C0"/>
          <w:sz w:val="16"/>
          <w:szCs w:val="16"/>
        </w:rPr>
        <w:softHyphen/>
        <w:t>следующей отправки в НИИ ВВС.</w:t>
      </w:r>
    </w:p>
    <w:p w14:paraId="2DF506E4"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 нормальном полетном весе 1980 кг максимальная скорость у земли составила 190 км/ч. Время набора высо</w:t>
      </w:r>
      <w:r w:rsidRPr="00D03F3E">
        <w:rPr>
          <w:rFonts w:ascii="Times New Roman" w:hAnsi="Times New Roman"/>
          <w:color w:val="0070C0"/>
          <w:sz w:val="16"/>
          <w:szCs w:val="16"/>
        </w:rPr>
        <w:softHyphen/>
        <w:t>ты 1000 м - 6,3 мин. Минимальная ско</w:t>
      </w:r>
      <w:r w:rsidRPr="00D03F3E">
        <w:rPr>
          <w:rFonts w:ascii="Times New Roman" w:hAnsi="Times New Roman"/>
          <w:color w:val="0070C0"/>
          <w:sz w:val="16"/>
          <w:szCs w:val="16"/>
        </w:rPr>
        <w:softHyphen/>
        <w:t>рость полета - 110 км/ч. Посадочная ско</w:t>
      </w:r>
      <w:r w:rsidRPr="00D03F3E">
        <w:rPr>
          <w:rFonts w:ascii="Times New Roman" w:hAnsi="Times New Roman"/>
          <w:color w:val="0070C0"/>
          <w:sz w:val="16"/>
          <w:szCs w:val="16"/>
        </w:rPr>
        <w:softHyphen/>
        <w:t>рость - 97 км/ч. Длина разбега - 200 м, пробег - 300 м.</w:t>
      </w:r>
    </w:p>
    <w:p w14:paraId="2C16342B"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ходе испытаний была достигнута высота 2400 м, но до практического по</w:t>
      </w:r>
      <w:r w:rsidRPr="00D03F3E">
        <w:rPr>
          <w:rFonts w:ascii="Times New Roman" w:hAnsi="Times New Roman"/>
          <w:color w:val="0070C0"/>
          <w:sz w:val="16"/>
          <w:szCs w:val="16"/>
        </w:rPr>
        <w:softHyphen/>
        <w:t>толка не забирались. При подготовке от</w:t>
      </w:r>
      <w:r w:rsidRPr="00D03F3E">
        <w:rPr>
          <w:rFonts w:ascii="Times New Roman" w:hAnsi="Times New Roman"/>
          <w:color w:val="0070C0"/>
          <w:sz w:val="16"/>
          <w:szCs w:val="16"/>
        </w:rPr>
        <w:softHyphen/>
        <w:t>чета по результатам испытаний потолок оценили теоретически в 2600 м. Полеты на определение максимальной дальности, стрельбу в воздухе из пулемета и сброс бомб не производились. Торопились пе</w:t>
      </w:r>
      <w:r w:rsidRPr="00D03F3E">
        <w:rPr>
          <w:rFonts w:ascii="Times New Roman" w:hAnsi="Times New Roman"/>
          <w:color w:val="0070C0"/>
          <w:sz w:val="16"/>
          <w:szCs w:val="16"/>
        </w:rPr>
        <w:softHyphen/>
        <w:t>редать самолет на государственные ис</w:t>
      </w:r>
      <w:r w:rsidRPr="00D03F3E">
        <w:rPr>
          <w:rFonts w:ascii="Times New Roman" w:hAnsi="Times New Roman"/>
          <w:color w:val="0070C0"/>
          <w:sz w:val="16"/>
          <w:szCs w:val="16"/>
        </w:rPr>
        <w:softHyphen/>
        <w:t>пытания.</w:t>
      </w:r>
    </w:p>
    <w:p w14:paraId="6ADC1934"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Самолет продемонстрировал непло</w:t>
      </w:r>
      <w:r w:rsidRPr="00D03F3E">
        <w:rPr>
          <w:rFonts w:ascii="Times New Roman" w:hAnsi="Times New Roman"/>
          <w:color w:val="0070C0"/>
          <w:sz w:val="16"/>
          <w:szCs w:val="16"/>
        </w:rPr>
        <w:softHyphen/>
        <w:t>хую управляемость и устойчивость по</w:t>
      </w:r>
      <w:r w:rsidRPr="00D03F3E">
        <w:rPr>
          <w:rFonts w:ascii="Times New Roman" w:hAnsi="Times New Roman"/>
          <w:color w:val="0070C0"/>
          <w:sz w:val="16"/>
          <w:szCs w:val="16"/>
        </w:rPr>
        <w:softHyphen/>
        <w:t>лета по всем трем осям. Взлет простой. При взлете самолет легко поднимал хвост. Хорошо слушался рулей при выполне</w:t>
      </w:r>
      <w:r w:rsidRPr="00D03F3E">
        <w:rPr>
          <w:rFonts w:ascii="Times New Roman" w:hAnsi="Times New Roman"/>
          <w:color w:val="0070C0"/>
          <w:sz w:val="16"/>
          <w:szCs w:val="16"/>
        </w:rPr>
        <w:softHyphen/>
        <w:t>нии маневров. Парашютировал самолет на скорости 130-135 км/ч. Вираж с кре</w:t>
      </w:r>
      <w:r w:rsidRPr="00D03F3E">
        <w:rPr>
          <w:rFonts w:ascii="Times New Roman" w:hAnsi="Times New Roman"/>
          <w:color w:val="0070C0"/>
          <w:sz w:val="16"/>
          <w:szCs w:val="16"/>
        </w:rPr>
        <w:softHyphen/>
        <w:t>ном 30° выполнялся устойчиво на скоро</w:t>
      </w:r>
      <w:r w:rsidRPr="00D03F3E">
        <w:rPr>
          <w:rFonts w:ascii="Times New Roman" w:hAnsi="Times New Roman"/>
          <w:color w:val="0070C0"/>
          <w:sz w:val="16"/>
          <w:szCs w:val="16"/>
        </w:rPr>
        <w:softHyphen/>
        <w:t>сти 150 км/ч.</w:t>
      </w:r>
    </w:p>
    <w:p w14:paraId="18BFD9F4"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Отмечался неплохой обзор летчи</w:t>
      </w:r>
      <w:r w:rsidRPr="00D03F3E">
        <w:rPr>
          <w:rFonts w:ascii="Times New Roman" w:hAnsi="Times New Roman"/>
          <w:color w:val="0070C0"/>
          <w:sz w:val="16"/>
          <w:szCs w:val="16"/>
        </w:rPr>
        <w:softHyphen/>
        <w:t>ку вперед-вниз. Обзор задней полусфе</w:t>
      </w:r>
      <w:r w:rsidRPr="00D03F3E">
        <w:rPr>
          <w:rFonts w:ascii="Times New Roman" w:hAnsi="Times New Roman"/>
          <w:color w:val="0070C0"/>
          <w:sz w:val="16"/>
          <w:szCs w:val="16"/>
        </w:rPr>
        <w:softHyphen/>
        <w:t>ры «при отодвинутых наполовину назад боковых бронещитков» - неудовлетвори</w:t>
      </w:r>
      <w:r w:rsidRPr="00D03F3E">
        <w:rPr>
          <w:rFonts w:ascii="Times New Roman" w:hAnsi="Times New Roman"/>
          <w:color w:val="0070C0"/>
          <w:sz w:val="16"/>
          <w:szCs w:val="16"/>
        </w:rPr>
        <w:softHyphen/>
        <w:t>тельный.</w:t>
      </w:r>
    </w:p>
    <w:p w14:paraId="13191513"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горизонтальном полете при отказе одного из моторов самолет допускал по</w:t>
      </w:r>
      <w:r w:rsidRPr="00D03F3E">
        <w:rPr>
          <w:rFonts w:ascii="Times New Roman" w:hAnsi="Times New Roman"/>
          <w:color w:val="0070C0"/>
          <w:sz w:val="16"/>
          <w:szCs w:val="16"/>
        </w:rPr>
        <w:softHyphen/>
        <w:t>лет только со снижением (около 1,5 м/с).</w:t>
      </w:r>
    </w:p>
    <w:p w14:paraId="444A2C8E"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качестве эксперимента был выпол</w:t>
      </w:r>
      <w:r w:rsidRPr="00D03F3E">
        <w:rPr>
          <w:rFonts w:ascii="Times New Roman" w:hAnsi="Times New Roman"/>
          <w:color w:val="0070C0"/>
          <w:sz w:val="16"/>
          <w:szCs w:val="16"/>
        </w:rPr>
        <w:softHyphen/>
        <w:t>нен один полет с полетным весом 2120 кг. Полет показал «возможность значитель ного увеличения бомбовой нагрузки - ориентировочно до 400-500 кг». Во всех полетах центровка самолета находилась в пределах 26,5-29% САХ.</w:t>
      </w:r>
    </w:p>
    <w:p w14:paraId="6C9C1555"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Неподвижная пулеметная установка была отстреляна на земле. Стрельба ве</w:t>
      </w:r>
      <w:r w:rsidRPr="00D03F3E">
        <w:rPr>
          <w:rFonts w:ascii="Times New Roman" w:hAnsi="Times New Roman"/>
          <w:color w:val="0070C0"/>
          <w:sz w:val="16"/>
          <w:szCs w:val="16"/>
        </w:rPr>
        <w:softHyphen/>
        <w:t>лась очередями по 10-20 выстрелов. Ока</w:t>
      </w:r>
      <w:r w:rsidRPr="00D03F3E">
        <w:rPr>
          <w:rFonts w:ascii="Times New Roman" w:hAnsi="Times New Roman"/>
          <w:color w:val="0070C0"/>
          <w:sz w:val="16"/>
          <w:szCs w:val="16"/>
        </w:rPr>
        <w:softHyphen/>
        <w:t>залось, что после 80-86 выстрелов начи</w:t>
      </w:r>
      <w:r w:rsidRPr="00D03F3E">
        <w:rPr>
          <w:rFonts w:ascii="Times New Roman" w:hAnsi="Times New Roman"/>
          <w:color w:val="0070C0"/>
          <w:sz w:val="16"/>
          <w:szCs w:val="16"/>
        </w:rPr>
        <w:softHyphen/>
        <w:t>наются задержки в стрельбе по причине накапливания звеньев в звеньезборнике. Пришлось переделать вывод звеньев на</w:t>
      </w:r>
      <w:r w:rsidRPr="00D03F3E">
        <w:rPr>
          <w:rFonts w:ascii="Times New Roman" w:hAnsi="Times New Roman"/>
          <w:color w:val="0070C0"/>
          <w:sz w:val="16"/>
          <w:szCs w:val="16"/>
        </w:rPr>
        <w:softHyphen/>
        <w:t>ружу. Задержки в стрельбе прекратились. Усилия при перезарядке пулемета сочли чрезмерно большими. Требовалось дора</w:t>
      </w:r>
      <w:r w:rsidRPr="00D03F3E">
        <w:rPr>
          <w:rFonts w:ascii="Times New Roman" w:hAnsi="Times New Roman"/>
          <w:color w:val="0070C0"/>
          <w:sz w:val="16"/>
          <w:szCs w:val="16"/>
        </w:rPr>
        <w:softHyphen/>
        <w:t>ботать систему перезарядки.</w:t>
      </w:r>
    </w:p>
    <w:p w14:paraId="3AEB3E3D"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целом же самолет по летным дан</w:t>
      </w:r>
      <w:r w:rsidRPr="00D03F3E">
        <w:rPr>
          <w:rFonts w:ascii="Times New Roman" w:hAnsi="Times New Roman"/>
          <w:color w:val="0070C0"/>
          <w:sz w:val="16"/>
          <w:szCs w:val="16"/>
        </w:rPr>
        <w:softHyphen/>
        <w:t>ным и пилотажным качествам оценивал</w:t>
      </w:r>
      <w:r w:rsidRPr="00D03F3E">
        <w:rPr>
          <w:rFonts w:ascii="Times New Roman" w:hAnsi="Times New Roman"/>
          <w:color w:val="0070C0"/>
          <w:sz w:val="16"/>
          <w:szCs w:val="16"/>
        </w:rPr>
        <w:softHyphen/>
        <w:t>ся положительно. Для повышения энерго</w:t>
      </w:r>
      <w:r w:rsidRPr="00D03F3E">
        <w:rPr>
          <w:rFonts w:ascii="Times New Roman" w:hAnsi="Times New Roman"/>
          <w:color w:val="0070C0"/>
          <w:sz w:val="16"/>
          <w:szCs w:val="16"/>
        </w:rPr>
        <w:softHyphen/>
        <w:t>вооруженности предлагалось установить на самолет более мощные моторы М-12.</w:t>
      </w:r>
    </w:p>
    <w:p w14:paraId="6DBF7469" w14:textId="145E57E2"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Временно исполняющий должность старшего военпреда ГУ ИАС ВВС на заво</w:t>
      </w:r>
      <w:r w:rsidRPr="00D03F3E">
        <w:rPr>
          <w:rFonts w:ascii="Times New Roman" w:hAnsi="Times New Roman"/>
          <w:color w:val="0070C0"/>
          <w:sz w:val="16"/>
          <w:szCs w:val="16"/>
        </w:rPr>
        <w:softHyphen/>
        <w:t>де №288 военинженер 3-го ранга Рото- таев в очередной сводке по опытным ра</w:t>
      </w:r>
      <w:r w:rsidRPr="00D03F3E">
        <w:rPr>
          <w:rFonts w:ascii="Times New Roman" w:hAnsi="Times New Roman"/>
          <w:color w:val="0070C0"/>
          <w:sz w:val="16"/>
          <w:szCs w:val="16"/>
        </w:rPr>
        <w:softHyphen/>
        <w:t>ботам начальнику 1-го отдела Управле</w:t>
      </w:r>
      <w:r w:rsidRPr="00D03F3E">
        <w:rPr>
          <w:rFonts w:ascii="Times New Roman" w:hAnsi="Times New Roman"/>
          <w:color w:val="0070C0"/>
          <w:sz w:val="16"/>
          <w:szCs w:val="16"/>
        </w:rPr>
        <w:softHyphen/>
        <w:t>ния опытного строительства ГУ ИАС ВВС бригинженеру Гребневу докладывал, что на 20 января: «3. Самолет «Р» (типа «Пе</w:t>
      </w:r>
      <w:r w:rsidRPr="00D03F3E">
        <w:rPr>
          <w:rFonts w:ascii="Times New Roman" w:hAnsi="Times New Roman"/>
          <w:color w:val="0070C0"/>
          <w:sz w:val="16"/>
          <w:szCs w:val="16"/>
        </w:rPr>
        <w:softHyphen/>
        <w:t>гас») - ЦКБ-29, главный конструктор Томашевич: а) Первый летный экземпляр прошел заводские летные испытания и направлен в НИИ ВВС в Чкаловскую для го</w:t>
      </w:r>
      <w:r w:rsidRPr="00D03F3E">
        <w:rPr>
          <w:rFonts w:ascii="Times New Roman" w:hAnsi="Times New Roman"/>
          <w:color w:val="0070C0"/>
          <w:sz w:val="16"/>
          <w:szCs w:val="16"/>
        </w:rPr>
        <w:softHyphen/>
        <w:t>сударственных испытаний./../6) Идет подготовка к постройке нулевой серии (5 штук)».</w:t>
      </w:r>
    </w:p>
    <w:p w14:paraId="64E1E092"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Как следует из документов, самолет в разобранном виде 26 января посту</w:t>
      </w:r>
      <w:r w:rsidRPr="00D03F3E">
        <w:rPr>
          <w:rFonts w:ascii="Times New Roman" w:hAnsi="Times New Roman"/>
          <w:color w:val="0070C0"/>
          <w:sz w:val="16"/>
          <w:szCs w:val="16"/>
        </w:rPr>
        <w:softHyphen/>
        <w:t>пил на опытный завод НИИ ВВС, где не</w:t>
      </w:r>
      <w:r w:rsidRPr="00D03F3E">
        <w:rPr>
          <w:rFonts w:ascii="Times New Roman" w:hAnsi="Times New Roman"/>
          <w:color w:val="0070C0"/>
          <w:sz w:val="16"/>
          <w:szCs w:val="16"/>
        </w:rPr>
        <w:softHyphen/>
        <w:t>замедлительно приступили к его сбор</w:t>
      </w:r>
      <w:r w:rsidRPr="00D03F3E">
        <w:rPr>
          <w:rFonts w:ascii="Times New Roman" w:hAnsi="Times New Roman"/>
          <w:color w:val="0070C0"/>
          <w:sz w:val="16"/>
          <w:szCs w:val="16"/>
        </w:rPr>
        <w:softHyphen/>
        <w:t>ке, регулировке и приведению в летное состояние.</w:t>
      </w:r>
    </w:p>
    <w:p w14:paraId="487127C4"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Одновременно на заводе №288 нача</w:t>
      </w:r>
      <w:r w:rsidRPr="00D03F3E">
        <w:rPr>
          <w:rFonts w:ascii="Times New Roman" w:hAnsi="Times New Roman"/>
          <w:color w:val="0070C0"/>
          <w:sz w:val="16"/>
          <w:szCs w:val="16"/>
        </w:rPr>
        <w:softHyphen/>
        <w:t>лись стендовые испытания подвесной пу</w:t>
      </w:r>
      <w:r w:rsidRPr="00D03F3E">
        <w:rPr>
          <w:rFonts w:ascii="Times New Roman" w:hAnsi="Times New Roman"/>
          <w:color w:val="0070C0"/>
          <w:sz w:val="16"/>
          <w:szCs w:val="16"/>
        </w:rPr>
        <w:softHyphen/>
        <w:t xml:space="preserve"> шечной установки под две пушки ВЯ и ог</w:t>
      </w:r>
      <w:r w:rsidRPr="00D03F3E">
        <w:rPr>
          <w:rFonts w:ascii="Times New Roman" w:hAnsi="Times New Roman"/>
          <w:color w:val="0070C0"/>
          <w:sz w:val="16"/>
          <w:szCs w:val="16"/>
        </w:rPr>
        <w:softHyphen/>
        <w:t>невые испытания бронированной каби</w:t>
      </w:r>
      <w:r w:rsidRPr="00D03F3E">
        <w:rPr>
          <w:rFonts w:ascii="Times New Roman" w:hAnsi="Times New Roman"/>
          <w:color w:val="0070C0"/>
          <w:sz w:val="16"/>
          <w:szCs w:val="16"/>
        </w:rPr>
        <w:softHyphen/>
        <w:t>ны летчика (23181).</w:t>
      </w:r>
    </w:p>
    <w:p w14:paraId="380F652B" w14:textId="77777777" w:rsidR="00FD630D" w:rsidRPr="00D03F3E" w:rsidRDefault="00FD630D" w:rsidP="00D03F3E">
      <w:pPr>
        <w:shd w:val="clear" w:color="auto" w:fill="FFFFFF"/>
        <w:spacing w:after="0" w:line="240" w:lineRule="auto"/>
        <w:jc w:val="both"/>
        <w:rPr>
          <w:rFonts w:ascii="Times New Roman" w:hAnsi="Times New Roman"/>
          <w:color w:val="0070C0"/>
          <w:sz w:val="16"/>
          <w:szCs w:val="16"/>
        </w:rPr>
      </w:pPr>
    </w:p>
    <w:p w14:paraId="098439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года гл. конструктор самолета Ил-4 С.В.И. писал письмо, как приложение к письму N 1/63с Шахурину.</w:t>
      </w:r>
    </w:p>
    <w:p w14:paraId="309C80E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Вашего приказа за N 835сс от 12/XI-1942 года должны быть изготовлены три самолета Ил-4 с турбокомпрессорами.</w:t>
      </w:r>
    </w:p>
    <w:p w14:paraId="7F09605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Считаю необходимым доложить, что было бы желательно выпустить не три самолета, а только два, что в значительной степени облегчило бы работу и дало бы возможность более концентрировано и с большим вниманием заниматься двумя самолетами.</w:t>
      </w:r>
    </w:p>
    <w:p w14:paraId="25C1448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Один самолет Ил-4 с турбокомпрессором, но без герметической кабины уже выпущен и находится на заводских летных испытаниях. Проделана большая работа по отработке винтомоторной группы и особенно турбокомпрессора на земле и уже сделаны три полета.</w:t>
      </w:r>
    </w:p>
    <w:p w14:paraId="026E593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Второй самолет будет выпущен с герметической кабиной и с учетом опыта работы винтомоторной группы с турбокомпрессором первого самолета.</w:t>
      </w:r>
    </w:p>
    <w:p w14:paraId="5E62587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второго самолета будут сделаны две взаимозаменяемые герметические кабины.</w:t>
      </w:r>
    </w:p>
    <w:p w14:paraId="7DE8CF3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снятия одной кабины с самолета и установки другой кабины потребуется не более 2-х часов времени.</w:t>
      </w:r>
    </w:p>
    <w:p w14:paraId="676300E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будет иметься полная возможность вести испытания и отработку на двух самолетах винтомоторных групп с турбокомпрессорами и на одном самолете отработку двух вариантов герметической кабины.</w:t>
      </w:r>
    </w:p>
    <w:p w14:paraId="5C2631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на этом же самолете мною предусматривается возможность установки турбокомпрессора ТКМ более мощного чем ТК-3.</w:t>
      </w:r>
    </w:p>
    <w:p w14:paraId="405057F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основании вышеизложенного прошу Вас:</w:t>
      </w:r>
    </w:p>
    <w:p w14:paraId="654A785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разрешить выпустить два самолета, вместо трех.</w:t>
      </w:r>
    </w:p>
    <w:p w14:paraId="74F6850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срок выпуска второго самолета установить 15 марта 1943 года А.И.Ш. наложил резолюцию: "Согласен на выпуск двух самолетов вместо трех. Сроки остаются прежними" (1458,48).</w:t>
      </w:r>
    </w:p>
    <w:p w14:paraId="30595F7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AF311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вышел приказ НКАП N 28с о скорейшем создании высотного истребителя для нужд авиации ПВО говорилось и о Ла-5 М-82 и М-82Ф с ТК-3, которые надо было представить на гос. испытания 15 марта и 15 апреля 1943 (928,157).</w:t>
      </w:r>
    </w:p>
    <w:p w14:paraId="2EFA29C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скорейшего создания высотного истребителя для нужд авиации ПВО приказываю:</w:t>
      </w:r>
    </w:p>
    <w:p w14:paraId="4E22620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 1</w:t>
      </w:r>
    </w:p>
    <w:p w14:paraId="1817AE7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Директору завода № 21 т. Агаджанову и ГК т. С.А.Л. оборудовать с-ты Ла-5 моторами М-82 и М-82Ф с ТК-3:</w:t>
      </w:r>
    </w:p>
    <w:p w14:paraId="5F8CD1B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Ла-5 с М-82 ТК-3 </w:t>
      </w:r>
      <w:r w:rsidRPr="00D03F3E">
        <w:rPr>
          <w:rFonts w:ascii="Times New Roman" w:hAnsi="Times New Roman"/>
          <w:color w:val="000000" w:themeColor="text1"/>
          <w:sz w:val="16"/>
          <w:szCs w:val="16"/>
        </w:rPr>
        <w:tab/>
        <w:t>25 февраля 1943</w:t>
      </w:r>
    </w:p>
    <w:p w14:paraId="3857169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Ла-5 с М-82Ф ТК-3 </w:t>
      </w:r>
      <w:r w:rsidRPr="00D03F3E">
        <w:rPr>
          <w:rFonts w:ascii="Times New Roman" w:hAnsi="Times New Roman"/>
          <w:color w:val="000000" w:themeColor="text1"/>
          <w:sz w:val="16"/>
          <w:szCs w:val="16"/>
        </w:rPr>
        <w:tab/>
        <w:t>15 марта 1943</w:t>
      </w:r>
    </w:p>
    <w:p w14:paraId="0009FA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Провести летные испытания и предъявить на госиспытания:</w:t>
      </w:r>
    </w:p>
    <w:p w14:paraId="19D0F0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Ла-5 с М-82 ТК-3 </w:t>
      </w:r>
      <w:r w:rsidRPr="00D03F3E">
        <w:rPr>
          <w:rFonts w:ascii="Times New Roman" w:hAnsi="Times New Roman"/>
          <w:color w:val="000000" w:themeColor="text1"/>
          <w:sz w:val="16"/>
          <w:szCs w:val="16"/>
        </w:rPr>
        <w:tab/>
        <w:t>15 марта 1943</w:t>
      </w:r>
    </w:p>
    <w:p w14:paraId="7FAC833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Ла-5 с М-82Ф ТК-3 </w:t>
      </w:r>
      <w:r w:rsidRPr="00D03F3E">
        <w:rPr>
          <w:rFonts w:ascii="Times New Roman" w:hAnsi="Times New Roman"/>
          <w:color w:val="000000" w:themeColor="text1"/>
          <w:sz w:val="16"/>
          <w:szCs w:val="16"/>
        </w:rPr>
        <w:tab/>
        <w:t>15 апреля 1943</w:t>
      </w:r>
    </w:p>
    <w:p w14:paraId="1831DE7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 4</w:t>
      </w:r>
    </w:p>
    <w:p w14:paraId="4C303F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Директору завода № 27 т. И ГК тт. Заславскому и Бас-Дубову изготовить и подать з-ду № 21 для с-тов Ла-5 с ТК-3 высотные винты</w:t>
      </w:r>
    </w:p>
    <w:p w14:paraId="72064A3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один</w:t>
      </w:r>
      <w:r w:rsidRPr="00D03F3E">
        <w:rPr>
          <w:rFonts w:ascii="Times New Roman" w:hAnsi="Times New Roman"/>
          <w:color w:val="000000" w:themeColor="text1"/>
          <w:sz w:val="16"/>
          <w:szCs w:val="16"/>
        </w:rPr>
        <w:tab/>
        <w:t>к 1 февраля 1943</w:t>
      </w:r>
    </w:p>
    <w:p w14:paraId="7659554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один</w:t>
      </w:r>
      <w:r w:rsidRPr="00D03F3E">
        <w:rPr>
          <w:rFonts w:ascii="Times New Roman" w:hAnsi="Times New Roman"/>
          <w:color w:val="000000" w:themeColor="text1"/>
          <w:sz w:val="16"/>
          <w:szCs w:val="16"/>
        </w:rPr>
        <w:tab/>
        <w:t>к 15 февраля 1943</w:t>
      </w:r>
    </w:p>
    <w:p w14:paraId="5C295B0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Подписал А.И.Ш. (928,157).</w:t>
      </w:r>
    </w:p>
    <w:p w14:paraId="399644C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DA793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18 января 1943 года Приказом НКАП Лавочкина обязали предъявить на испытания первый высотный истребитель к 15 марта, а второй - через месяц. Но и этот приказ </w:t>
      </w:r>
      <w:r w:rsidRPr="00D03F3E">
        <w:rPr>
          <w:rFonts w:ascii="Times New Roman" w:hAnsi="Times New Roman"/>
          <w:color w:val="000000" w:themeColor="text1"/>
          <w:sz w:val="16"/>
          <w:szCs w:val="16"/>
        </w:rPr>
        <w:lastRenderedPageBreak/>
        <w:t>выполнить в срок не удалось.</w:t>
      </w:r>
    </w:p>
    <w:p w14:paraId="5C6804E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Вскоре требования к высотным истребителям немного изменились. Согласно заданию первый Ла-5 должен был подниматься на высоту 13 000 м, а второй, в соответствии с приказом НКАП от 31 августе 1943 года с крылом увеличенной площади - на 13 500 м. Причем последний необходимо было предъявить на летные испытания к середине октября.</w:t>
      </w:r>
    </w:p>
    <w:p w14:paraId="1D91AD7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Турбокомпрессоры установили лишь на одной машине. В мае 1943 года самолет с мотором М-82ФН, но без автомата переключения скоростей турбокомпрессора, выкатили на аэродром. Во время наземной отработки винтомоторной группы истребителя выявилось недостаточное охлаждение двигателя и плохое уплотнение выхлопных труб. Воздуховоды, подававшие сжатый воздух от компрессора в карбюратор разрушались, а их соединения оказались негерметичными. Доводка силовой установки затянулась, и 9 июля 1943 года самолет поднялся в воздух с заводского аэродрома в Горьком (12032).</w:t>
      </w:r>
    </w:p>
    <w:p w14:paraId="78B7D4D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6D218F"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г. своим приказом от Нар</w:t>
      </w:r>
      <w:r w:rsidRPr="00D03F3E">
        <w:rPr>
          <w:rFonts w:ascii="Times New Roman" w:hAnsi="Times New Roman"/>
          <w:color w:val="000000" w:themeColor="text1"/>
          <w:sz w:val="16"/>
          <w:szCs w:val="16"/>
        </w:rPr>
        <w:softHyphen/>
        <w:t>ком авиационной промышленности обязал Главного конструктора завода № 21 устано</w:t>
      </w:r>
      <w:r w:rsidRPr="00D03F3E">
        <w:rPr>
          <w:rFonts w:ascii="Times New Roman" w:hAnsi="Times New Roman"/>
          <w:color w:val="000000" w:themeColor="text1"/>
          <w:sz w:val="16"/>
          <w:szCs w:val="16"/>
        </w:rPr>
        <w:softHyphen/>
        <w:t>вить турбокомпрессоры ТК-3 на два Ла-5 и предъявить на испытания первый Ла-5 с М-82 к 15 марта 1943 г., а второй Ла-5 с М-82ФН — к 15 апреля 1943 г. В результате установки турбокомпрессоров ТК-3 высотность мотора М-82ФН увеличивалась с 4900 м до 10000 м. Включение турбокомпрес</w:t>
      </w:r>
      <w:r w:rsidRPr="00D03F3E">
        <w:rPr>
          <w:rFonts w:ascii="Times New Roman" w:hAnsi="Times New Roman"/>
          <w:color w:val="000000" w:themeColor="text1"/>
          <w:sz w:val="16"/>
          <w:szCs w:val="16"/>
        </w:rPr>
        <w:softHyphen/>
        <w:t>соров производилось на первой скорости ПЦН мотора на высотах, начиная с 1800 м, высотность мотора увеличивалась до 7000 м, затем включалась вторая скорость ПЦН, после чего высотность мотора должна была превысить 10000 м.</w:t>
      </w:r>
    </w:p>
    <w:p w14:paraId="58AD42B0"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Предварительные расчёты показали, что при наличии вооружения, состоящего из двух пушек калибра 20 мм с общим боезапасом 340 снарядов, высотные Ла-5 будут иметь следующие данные:</w:t>
      </w:r>
    </w:p>
    <w:p w14:paraId="09E44EAE" w14:textId="77777777" w:rsidR="00A3709C" w:rsidRPr="00D03F3E" w:rsidRDefault="00A3709C" w:rsidP="00D03F3E">
      <w:pPr>
        <w:tabs>
          <w:tab w:val="left" w:pos="4263"/>
          <w:tab w:val="left" w:pos="641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ab/>
        <w:t xml:space="preserve">Ла-5 с М-82 и ТК-3 </w:t>
      </w:r>
      <w:r w:rsidRPr="00D03F3E">
        <w:rPr>
          <w:rFonts w:ascii="Times New Roman" w:hAnsi="Times New Roman"/>
          <w:color w:val="000000" w:themeColor="text1"/>
          <w:sz w:val="16"/>
          <w:szCs w:val="16"/>
        </w:rPr>
        <w:tab/>
        <w:t xml:space="preserve">Ла-5 с М-82ФН и ТК-3 </w:t>
      </w:r>
    </w:p>
    <w:p w14:paraId="16AB1C8A" w14:textId="77777777" w:rsidR="00A3709C" w:rsidRPr="00D03F3E" w:rsidRDefault="00A3709C" w:rsidP="00D03F3E">
      <w:pPr>
        <w:tabs>
          <w:tab w:val="left" w:pos="4263"/>
          <w:tab w:val="left" w:pos="641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у земли</w:t>
      </w:r>
      <w:r w:rsidRPr="00D03F3E">
        <w:rPr>
          <w:rFonts w:ascii="Times New Roman" w:hAnsi="Times New Roman"/>
          <w:color w:val="000000" w:themeColor="text1"/>
          <w:sz w:val="16"/>
          <w:szCs w:val="16"/>
        </w:rPr>
        <w:tab/>
        <w:t>540 км/ч</w:t>
      </w:r>
      <w:r w:rsidRPr="00D03F3E">
        <w:rPr>
          <w:rFonts w:ascii="Times New Roman" w:hAnsi="Times New Roman"/>
          <w:color w:val="000000" w:themeColor="text1"/>
          <w:sz w:val="16"/>
          <w:szCs w:val="16"/>
        </w:rPr>
        <w:tab/>
        <w:t>550 км/ч</w:t>
      </w:r>
    </w:p>
    <w:p w14:paraId="3D729DDE" w14:textId="77777777" w:rsidR="00A3709C" w:rsidRPr="00D03F3E" w:rsidRDefault="00A3709C" w:rsidP="00D03F3E">
      <w:pPr>
        <w:tabs>
          <w:tab w:val="left" w:pos="6414"/>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на высоте 8000 м</w:t>
      </w:r>
      <w:r w:rsidRPr="00D03F3E">
        <w:rPr>
          <w:rFonts w:ascii="Times New Roman" w:hAnsi="Times New Roman"/>
          <w:color w:val="000000" w:themeColor="text1"/>
          <w:sz w:val="16"/>
          <w:szCs w:val="16"/>
        </w:rPr>
        <w:tab/>
        <w:t>660 км/ч</w:t>
      </w:r>
      <w:r w:rsidRPr="00D03F3E">
        <w:rPr>
          <w:rFonts w:ascii="Times New Roman" w:hAnsi="Times New Roman"/>
          <w:color w:val="000000" w:themeColor="text1"/>
          <w:sz w:val="16"/>
          <w:szCs w:val="16"/>
        </w:rPr>
        <w:tab/>
        <w:t>670 км/ч</w:t>
      </w:r>
    </w:p>
    <w:p w14:paraId="711F2F47" w14:textId="77777777" w:rsidR="00A3709C" w:rsidRPr="00D03F3E" w:rsidRDefault="00A3709C" w:rsidP="00D03F3E">
      <w:pPr>
        <w:tabs>
          <w:tab w:val="left" w:pos="4258"/>
          <w:tab w:val="left" w:pos="6414"/>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подъёма на 5000 м</w:t>
      </w:r>
      <w:r w:rsidRPr="00D03F3E">
        <w:rPr>
          <w:rFonts w:ascii="Times New Roman" w:hAnsi="Times New Roman"/>
          <w:color w:val="000000" w:themeColor="text1"/>
          <w:sz w:val="16"/>
          <w:szCs w:val="16"/>
        </w:rPr>
        <w:tab/>
        <w:t>5,1 мин</w:t>
      </w:r>
      <w:r w:rsidRPr="00D03F3E">
        <w:rPr>
          <w:rFonts w:ascii="Times New Roman" w:hAnsi="Times New Roman"/>
          <w:color w:val="000000" w:themeColor="text1"/>
          <w:sz w:val="16"/>
          <w:szCs w:val="16"/>
        </w:rPr>
        <w:tab/>
        <w:t>5,0 мин</w:t>
      </w:r>
    </w:p>
    <w:p w14:paraId="5465AAA2" w14:textId="77777777" w:rsidR="00A3709C" w:rsidRPr="00D03F3E" w:rsidRDefault="00A3709C" w:rsidP="00D03F3E">
      <w:pPr>
        <w:tabs>
          <w:tab w:val="left" w:pos="4273"/>
          <w:tab w:val="left" w:pos="642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w:t>
      </w:r>
      <w:r w:rsidRPr="00D03F3E">
        <w:rPr>
          <w:rFonts w:ascii="Times New Roman" w:hAnsi="Times New Roman"/>
          <w:color w:val="000000" w:themeColor="text1"/>
          <w:sz w:val="16"/>
          <w:szCs w:val="16"/>
        </w:rPr>
        <w:tab/>
        <w:t>12200 м</w:t>
      </w:r>
      <w:r w:rsidRPr="00D03F3E">
        <w:rPr>
          <w:rFonts w:ascii="Times New Roman" w:hAnsi="Times New Roman"/>
          <w:color w:val="000000" w:themeColor="text1"/>
          <w:sz w:val="16"/>
          <w:szCs w:val="16"/>
        </w:rPr>
        <w:tab/>
        <w:t>12200 м</w:t>
      </w:r>
    </w:p>
    <w:p w14:paraId="5B4FDBCC"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самолёт Ла-5 выпуска 21-го завода № 37210243 установили два турбокомпрес</w:t>
      </w:r>
      <w:r w:rsidRPr="00D03F3E">
        <w:rPr>
          <w:rFonts w:ascii="Times New Roman" w:hAnsi="Times New Roman"/>
          <w:color w:val="000000" w:themeColor="text1"/>
          <w:sz w:val="16"/>
          <w:szCs w:val="16"/>
        </w:rPr>
        <w:softHyphen/>
        <w:t>сора ТК-3. Они располагались за мотором симметрично относительно вертикальной оси машины, роторами наружу. При этом стержень лафета был пропущен между улит</w:t>
      </w:r>
      <w:r w:rsidRPr="00D03F3E">
        <w:rPr>
          <w:rFonts w:ascii="Times New Roman" w:hAnsi="Times New Roman"/>
          <w:color w:val="000000" w:themeColor="text1"/>
          <w:sz w:val="16"/>
          <w:szCs w:val="16"/>
        </w:rPr>
        <w:softHyphen/>
        <w:t>кой ТК и ресивером. Для улучшения охлаждения верхних цилиндров мотора в задней верхней крышке капота прорезали постоянную щель, и ещё одну дополнительную по</w:t>
      </w:r>
      <w:r w:rsidRPr="00D03F3E">
        <w:rPr>
          <w:rFonts w:ascii="Times New Roman" w:hAnsi="Times New Roman"/>
          <w:color w:val="000000" w:themeColor="text1"/>
          <w:sz w:val="16"/>
          <w:szCs w:val="16"/>
        </w:rPr>
        <w:softHyphen/>
        <w:t>стоянную щель сделали внизу за маслорадиатором, для охлаждения нижних цилиндров. Установка турбокомпрессоров повлекла за собой изменение конструкции моторамы и переделку лафета, патронные коробки пришлось обрезать, а верхнюю часть центро</w:t>
      </w:r>
      <w:r w:rsidRPr="00D03F3E">
        <w:rPr>
          <w:rFonts w:ascii="Times New Roman" w:hAnsi="Times New Roman"/>
          <w:color w:val="000000" w:themeColor="text1"/>
          <w:sz w:val="16"/>
          <w:szCs w:val="16"/>
        </w:rPr>
        <w:softHyphen/>
        <w:t>плана, во избежания обгорания, обшили стальными листами. Регулировка охлаждения мотора осуществлялась боковыми подвижными створками (15830).</w:t>
      </w:r>
    </w:p>
    <w:p w14:paraId="21AFFDDF" w14:textId="77777777" w:rsidR="00A3709C" w:rsidRPr="00D03F3E" w:rsidRDefault="00A3709C" w:rsidP="00D03F3E">
      <w:pPr>
        <w:spacing w:after="0" w:line="240" w:lineRule="auto"/>
        <w:jc w:val="both"/>
        <w:rPr>
          <w:rFonts w:ascii="Times New Roman" w:hAnsi="Times New Roman"/>
          <w:color w:val="000000" w:themeColor="text1"/>
          <w:sz w:val="16"/>
          <w:szCs w:val="16"/>
        </w:rPr>
      </w:pPr>
    </w:p>
    <w:p w14:paraId="77AB28E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вышел приказ НКАП N 34с:</w:t>
      </w:r>
    </w:p>
    <w:p w14:paraId="7C4D1E6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"Надирадзе в августе 1941 получил задание НКАП на установку спец. взлетно-посадочного приспособления на самолет Пе-2 с предъявлением на летные испытание 10 октября 1941.</w:t>
      </w:r>
    </w:p>
    <w:p w14:paraId="359432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Выполнение задания недопустимо затянулось.</w:t>
      </w:r>
    </w:p>
    <w:p w14:paraId="1158C38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Срок предъявления самолета на испытания сорван больше, чем на год.</w:t>
      </w:r>
    </w:p>
    <w:p w14:paraId="1552CD3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Состояние работ не обеспечивает их окончание и получение положительных результатов.</w:t>
      </w:r>
    </w:p>
    <w:p w14:paraId="2496A9E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Назначенная НКАП комиссия для определения целесообразности продолжения работ установила значительное ухудшение летных и взлетно-посадочных свойств самолета Пе, оборудованного приспособлением Надирадзе.</w:t>
      </w:r>
    </w:p>
    <w:p w14:paraId="4300688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Все работы по самолету Пе-2 2М105 с взлетно-посадочными приспособлениями Надирадзе - прекратить.</w:t>
      </w:r>
    </w:p>
    <w:p w14:paraId="01B778B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Самолет передать заводу 22 для использования на обычном шасси (1702,273).</w:t>
      </w:r>
    </w:p>
    <w:p w14:paraId="769F8E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3530E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г. вышел приказ НКАП: «т. Надирадзе в августе 1941 г. получил задание на установку специального взлетно-посадочного приспособления на самолете Пе-2 с предъявлением самолета на летные испытания 10.10.1941. Выполнение задания недопустимо затянулось. Назначенная НКАП комиссия установила значительные ухудшения летных и взлетно-посадочных свойств Пе-2 с приспособлениями т. Надирадзе. Работы дальше считаю бесполезными и приказываю: все работы прекратить. Самолет передать на завод № 22 для использования с колесным шасси» (12049).</w:t>
      </w:r>
    </w:p>
    <w:p w14:paraId="2DA1D8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05E904" w14:textId="77777777" w:rsidR="00955897" w:rsidRPr="00D03F3E" w:rsidRDefault="00955897"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18 января 1943 г. вышел приказ НКАП о прекращении работ по шасси на воздушной подушке. Под руководством А.Д. Надирадзе и Н.И. Ефимова в ЦАГИ проектировали Пе-2 с убирающимся шасси на воздушной подушке. Пневматические взлётно-посадочные устройства решили установить под мотогондолами вместо обычного шасси. Для вращения вентиляторов от каждого из двигателей с помощью муфт отбиралось по 250 л. с. Самолёт предполагалось предъявить на испытания 10 сентября 1941 г. Эвакуация в Казань на авиазавод № 124 нарушила все планы, и Пе-2 на воздушной подушке был построен только в конце 1942 г. Самолёт рулил по аэродрому, но взлететь не мог — не хватило тяги моторов, потерявших на наддув взлётно-посадочного устройства значительную часть мощности. </w:t>
      </w:r>
      <w:hyperlink r:id="rId15" w:history="1">
        <w:r w:rsidRPr="00D03F3E">
          <w:rPr>
            <w:rFonts w:ascii="Times New Roman" w:eastAsia="Times New Roman" w:hAnsi="Times New Roman"/>
            <w:color w:val="000000" w:themeColor="text1"/>
            <w:sz w:val="16"/>
            <w:szCs w:val="16"/>
            <w:lang w:eastAsia="ru-RU"/>
          </w:rPr>
          <w:t>[217]</w:t>
        </w:r>
      </w:hyperlink>
      <w:r w:rsidRPr="00D03F3E">
        <w:rPr>
          <w:rFonts w:ascii="Times New Roman" w:eastAsia="Times New Roman" w:hAnsi="Times New Roman"/>
          <w:color w:val="000000" w:themeColor="text1"/>
          <w:sz w:val="16"/>
          <w:szCs w:val="16"/>
          <w:lang w:eastAsia="ru-RU"/>
        </w:rPr>
        <w:t xml:space="preserve"> (17489).</w:t>
      </w:r>
    </w:p>
    <w:p w14:paraId="3EC90410" w14:textId="77777777" w:rsidR="00955897" w:rsidRPr="00D03F3E" w:rsidRDefault="00955897" w:rsidP="00D03F3E">
      <w:pPr>
        <w:spacing w:after="0" w:line="240" w:lineRule="auto"/>
        <w:jc w:val="both"/>
        <w:rPr>
          <w:rFonts w:ascii="Times New Roman" w:eastAsia="Times New Roman" w:hAnsi="Times New Roman"/>
          <w:color w:val="000000" w:themeColor="text1"/>
          <w:sz w:val="16"/>
          <w:szCs w:val="16"/>
          <w:lang w:eastAsia="ru-RU"/>
        </w:rPr>
      </w:pPr>
    </w:p>
    <w:p w14:paraId="40ADA9D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г. по приказу № 27с заводу № 289 передана часть оборудования расформированного завода № 290.</w:t>
      </w:r>
    </w:p>
    <w:p w14:paraId="6159504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416с от 14.07.1943 г. завод № 289 переведен под прежним номером из Молотова в Тушино на переданную ему со всеми зданиями и сооружениями площадку завода № 464 НКАП (площадка эвакуированного завода № 445 НКАП). Одновременно тем же приказом завод № 464 пребазирован на площадку завода № 462 НКАП на ст. Долгопрудная. Тем же приказом с 1.07.1943  г. в состав завода № 289 влит завод № 380 НКАП, личный состав и оборудование которого переведены в Тушино.</w:t>
      </w:r>
    </w:p>
    <w:p w14:paraId="3A69B65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1943 г. часть работников завода переведена на вновь образованный завод № 135 в Харьков.</w:t>
      </w:r>
    </w:p>
    <w:p w14:paraId="04842B4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08.1944 г. планировалось образовать на базе завода НИИ-2 НКАП для работ по самолетам-снарядам, зам. руководителя должен быть назначен П.О. Сухой, по ДУ- Стечкин, но это не было реализовано. По приказу № 656сс от 2.11.1944 г. завод передан из 7ГУ в 18ГУ НКАП.</w:t>
      </w:r>
    </w:p>
    <w:p w14:paraId="5D7DF5B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ГКО № 7309 от 13.01.1945 г. и приказом № 39с от 3.02.1945 г. П.О. Сухой назначен гл. конструктором самолета Ер-2; завод № 289 влит с 1.01.1945 г. со всеми зданиями и сооружениями в состав завода № 134 7ГУ НКАП и прекратил действовать как самостоятельный. Территория осталась за ОКБ П.О. Сухого как филиал, хотя в 1945 г. планировалось передать ее в Осоавиахим.</w:t>
      </w:r>
    </w:p>
    <w:p w14:paraId="4447ADD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(04-11.1940 г.)- П.Н. Голубков, (11.1940 г.)- Ф.П. Коробейников, (11.1940-02.1945 г.)- П.О. Сухой.</w:t>
      </w:r>
    </w:p>
    <w:p w14:paraId="0CE5EF5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(-11.1940-02.1945 г.)- П.О. Сухой.</w:t>
      </w:r>
    </w:p>
    <w:p w14:paraId="6C1AF62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конструктора (12.1940-45 г.)- Д.А. Ромейко-Гурко.</w:t>
      </w:r>
    </w:p>
    <w:p w14:paraId="616310E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(07.1942 г.)- Н.Н. Каштанов (11982).</w:t>
      </w:r>
    </w:p>
    <w:p w14:paraId="308D92F1" w14:textId="77777777" w:rsidR="00A3709C" w:rsidRPr="00D03F3E" w:rsidRDefault="00A3709C"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4AF387"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506D62E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78F29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вышло Распоряжение ГКО № 2754. Об упорядочении энергоснабжения по системе Мосэнерго.РГАНИР, Фонд ГКО, д. 83, лл. 5 (11012).</w:t>
      </w:r>
    </w:p>
    <w:p w14:paraId="2E006D0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640A1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вышло Постановление ГКО № 2755 О мерах помощи электростанциям Мосэнерго. (7076, 6-8).</w:t>
      </w:r>
    </w:p>
    <w:p w14:paraId="55E354E4"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3C8E71"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18 января 1943 года в районе Рабочего поселка №5 под Ленинградом было захвачено два немецких тяжелых танка </w:t>
      </w:r>
      <w:r w:rsidRPr="00D03F3E">
        <w:rPr>
          <w:rFonts w:ascii="Times New Roman" w:hAnsi="Times New Roman"/>
          <w:color w:val="000000" w:themeColor="text1"/>
          <w:sz w:val="16"/>
          <w:szCs w:val="16"/>
          <w:lang w:val="en-US"/>
        </w:rPr>
        <w:t>Pz</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Kpfw</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TigerAusf</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E</w:t>
      </w:r>
      <w:r w:rsidRPr="00D03F3E">
        <w:rPr>
          <w:rFonts w:ascii="Times New Roman" w:hAnsi="Times New Roman"/>
          <w:color w:val="000000" w:themeColor="text1"/>
          <w:sz w:val="16"/>
          <w:szCs w:val="16"/>
        </w:rPr>
        <w:t>. Один из них в конце апреля подвергся испытаниям обстрелом из противотанковой, танковой, дивизион</w:t>
      </w:r>
      <w:r w:rsidRPr="00D03F3E">
        <w:rPr>
          <w:rFonts w:ascii="Times New Roman" w:hAnsi="Times New Roman"/>
          <w:color w:val="000000" w:themeColor="text1"/>
          <w:sz w:val="16"/>
          <w:szCs w:val="16"/>
        </w:rPr>
        <w:softHyphen/>
        <w:t>ной и корпусной артиллерии. По результатам стрельб стало ясно, что немцы обладают танком, который не пробивается большинством об</w:t>
      </w:r>
      <w:r w:rsidRPr="00D03F3E">
        <w:rPr>
          <w:rFonts w:ascii="Times New Roman" w:hAnsi="Times New Roman"/>
          <w:color w:val="000000" w:themeColor="text1"/>
          <w:sz w:val="16"/>
          <w:szCs w:val="16"/>
        </w:rPr>
        <w:softHyphen/>
        <w:t>разцов противотанковой и дивизионной артиллерии. Тяжелые тан</w:t>
      </w:r>
      <w:r w:rsidRPr="00D03F3E">
        <w:rPr>
          <w:rFonts w:ascii="Times New Roman" w:hAnsi="Times New Roman"/>
          <w:color w:val="000000" w:themeColor="text1"/>
          <w:sz w:val="16"/>
          <w:szCs w:val="16"/>
        </w:rPr>
        <w:softHyphen/>
        <w:t>ки, которые ждали в 1941 году, наконец доехали до фронта, встал во</w:t>
      </w:r>
      <w:r w:rsidRPr="00D03F3E">
        <w:rPr>
          <w:rFonts w:ascii="Times New Roman" w:hAnsi="Times New Roman"/>
          <w:color w:val="000000" w:themeColor="text1"/>
          <w:sz w:val="16"/>
          <w:szCs w:val="16"/>
        </w:rPr>
        <w:softHyphen/>
        <w:t>прос борьбы с ними.</w:t>
      </w:r>
    </w:p>
    <w:p w14:paraId="67312FD5" w14:textId="77777777" w:rsidR="00E56A12" w:rsidRPr="00D03F3E" w:rsidRDefault="00E56A12" w:rsidP="00D03F3E">
      <w:pPr>
        <w:pStyle w:val="a3"/>
        <w:rPr>
          <w:color w:val="000000" w:themeColor="text1"/>
          <w:lang w:val="ru-RU"/>
        </w:rPr>
      </w:pPr>
      <w:r w:rsidRPr="00D03F3E">
        <w:rPr>
          <w:color w:val="000000" w:themeColor="text1"/>
          <w:lang w:val="ru-RU"/>
        </w:rPr>
        <w:t>Еще до обстрела «Тигра» ЧКЗ получил задание об установке качаю</w:t>
      </w:r>
      <w:r w:rsidRPr="00D03F3E">
        <w:rPr>
          <w:color w:val="000000" w:themeColor="text1"/>
          <w:lang w:val="ru-RU"/>
        </w:rPr>
        <w:softHyphen/>
        <w:t>щейся части 122-мм корпусной пушки-гаубицы А-19 в рубку СУ-152. Задание упрощалось тем, что системы А-19 и МЛ-20 имели идентич</w:t>
      </w:r>
      <w:r w:rsidRPr="00D03F3E">
        <w:rPr>
          <w:color w:val="000000" w:themeColor="text1"/>
          <w:lang w:val="ru-RU"/>
        </w:rPr>
        <w:softHyphen/>
        <w:t>ные лафеты, различаясь в основном лишь стволами. Согласно планам, к 10 мая 1943 года образец 122-мм тяжелой самоходной установки дол</w:t>
      </w:r>
      <w:r w:rsidRPr="00D03F3E">
        <w:rPr>
          <w:color w:val="000000" w:themeColor="text1"/>
          <w:lang w:val="ru-RU"/>
        </w:rPr>
        <w:softHyphen/>
        <w:t>жен был быть завершен, но по ряду причин его так и не изготовили.</w:t>
      </w:r>
    </w:p>
    <w:p w14:paraId="6504F3B7"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Одновременно с проектированием установки 122-мм пушки А-19 в СУ-152 по линии ГАУ и НКВ начались работы по разработке бронебойного снаряда для 152-мм пушки-гаубицы МЛ-20. Боеприпас, разработанный клету 1943 года, получил индекс БР-540 (17484).</w:t>
      </w:r>
    </w:p>
    <w:p w14:paraId="0A069E8E" w14:textId="77777777" w:rsidR="00E56A12" w:rsidRPr="00D03F3E" w:rsidRDefault="00E56A12" w:rsidP="00D03F3E">
      <w:pPr>
        <w:spacing w:after="0" w:line="240" w:lineRule="auto"/>
        <w:jc w:val="both"/>
        <w:rPr>
          <w:rFonts w:ascii="Times New Roman" w:hAnsi="Times New Roman"/>
          <w:color w:val="000000" w:themeColor="text1"/>
          <w:sz w:val="16"/>
          <w:szCs w:val="16"/>
        </w:rPr>
      </w:pPr>
    </w:p>
    <w:p w14:paraId="3AFD76B7" w14:textId="77777777" w:rsidR="0014435F" w:rsidRPr="00D03F3E"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18 января 1943 года в районе </w:t>
      </w:r>
      <w:hyperlink r:id="rId16" w:history="1">
        <w:r w:rsidRPr="00D03F3E">
          <w:rPr>
            <w:rFonts w:ascii="Times New Roman" w:eastAsia="Times New Roman" w:hAnsi="Times New Roman"/>
            <w:color w:val="000000" w:themeColor="text1"/>
            <w:sz w:val="16"/>
            <w:szCs w:val="16"/>
            <w:lang w:eastAsia="ru-RU"/>
          </w:rPr>
          <w:t>Рабочего посёлка № 5</w:t>
        </w:r>
      </w:hyperlink>
      <w:r w:rsidRPr="00D03F3E">
        <w:rPr>
          <w:rFonts w:ascii="Times New Roman" w:eastAsia="Times New Roman" w:hAnsi="Times New Roman"/>
          <w:color w:val="000000" w:themeColor="text1"/>
          <w:sz w:val="16"/>
          <w:szCs w:val="16"/>
          <w:lang w:eastAsia="ru-RU"/>
        </w:rPr>
        <w:t xml:space="preserve"> было захвачено два немецких тяжёлых танка Pz.Kpfw. Tiger Ausf.E из состава 502-го тяжёлого танкового батальона. Машины с башенными номерами 100 и 121 доставили в Кубинку, где началось их всестороннее изучение. В апреле танк с башенным номером 121 подвергли испытанию обстрелом. Результаты оказались неутешительными: выяснилось, что 76-мм танковые орудия Ф-34 и ЗИС-5 не пробивают немецкий танк ни в лоб, ни в </w:t>
      </w:r>
      <w:r w:rsidRPr="00D03F3E">
        <w:rPr>
          <w:rFonts w:ascii="Times New Roman" w:eastAsia="Times New Roman" w:hAnsi="Times New Roman"/>
          <w:color w:val="000000" w:themeColor="text1"/>
          <w:sz w:val="16"/>
          <w:szCs w:val="16"/>
          <w:lang w:eastAsia="ru-RU"/>
        </w:rPr>
        <w:lastRenderedPageBreak/>
        <w:t>борт, причём с любых дистанций. Наиболее эффективными орудиями оказались 57-мм противотанковая пушка ЗИС-2 и 85-мм зенитное орудие 52-К. При этом ЗИС-2 уверенно пробивала немецкий танк в борт на дистанции 800 м, а в лоб не брала «Тигр» даже с 500 м. 52-К же уверенно пробивала лоб «Тигра» с дистанции в километр (17688).</w:t>
      </w:r>
    </w:p>
    <w:p w14:paraId="28C02F1C" w14:textId="77777777" w:rsidR="0014435F" w:rsidRPr="00D03F3E" w:rsidRDefault="0014435F" w:rsidP="00D03F3E">
      <w:pPr>
        <w:spacing w:after="0" w:line="240" w:lineRule="auto"/>
        <w:jc w:val="both"/>
        <w:rPr>
          <w:rFonts w:ascii="Times New Roman" w:eastAsia="Times New Roman" w:hAnsi="Times New Roman"/>
          <w:color w:val="000000" w:themeColor="text1"/>
          <w:sz w:val="16"/>
          <w:szCs w:val="16"/>
          <w:lang w:eastAsia="ru-RU"/>
        </w:rPr>
      </w:pPr>
    </w:p>
    <w:p w14:paraId="6FDC1CD6"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вышло Постановление ГКО № 2758 Об организации производства самоходных артиллерийских установок СУ-76 на базе трофейных танков "Артштурм" и Т-3 с 76 мм пушкой Ф-34. (7076, 11-13,14).</w:t>
      </w:r>
    </w:p>
    <w:p w14:paraId="6A4B2B8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D11E79"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года было подписано постановление ГКО № 2758сс «Об организации на заводе № 37 производства самоходных артиллерийских установок СУ-76 на базе трофейных танков „Артштурм“ и Т-3 с 76-мм пушкой Ф-34». Спустя два дня в развитие этого документа появился приказ наркома танковой промышленности И. Зальцмана № 44, в котором говорилось:</w:t>
      </w:r>
    </w:p>
    <w:p w14:paraId="518AF8A6"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«Директору завода № 37 т. Зеликсон:</w:t>
      </w:r>
    </w:p>
    <w:p w14:paraId="5B71D956"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Организовать производство самоходных артиллерийских установок СУ-76 с выпуском их: март — 15 шт., апрель — 35 шт., май — 40 шт., июнь — 45 шт.</w:t>
      </w:r>
    </w:p>
    <w:p w14:paraId="39AB9AB3"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С 1 марта 1943 г. прекратить ремонт танков Т-60 и Т-70, передав их ремонт РЭУ ГБТУ КА.</w:t>
      </w:r>
    </w:p>
    <w:p w14:paraId="075A926F"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Директору завода № 37 и начальнику отдела главного конструктора НКТП т. Гинзбургу:</w:t>
      </w:r>
    </w:p>
    <w:p w14:paraId="38B051CA"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Закончить конструктивную разработку СУ-76 к 25 января 1943 г.</w:t>
      </w:r>
    </w:p>
    <w:p w14:paraId="5F3E8554"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Изготовить опытный образец СУ-76 к 15 февраля 1943 г.</w:t>
      </w:r>
    </w:p>
    <w:p w14:paraId="7C8DC446"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Испытать опытный образец к 25 февраля 1943 г.</w:t>
      </w:r>
    </w:p>
    <w:p w14:paraId="65AFACAF"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Главному технологу НКТП т. Гуревич выделить необходимое станочное оборудование.</w:t>
      </w:r>
    </w:p>
    <w:p w14:paraId="1F80AE23"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Директору завода № 40 т. Мартиросову:</w:t>
      </w:r>
    </w:p>
    <w:p w14:paraId="26A53228"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Прекратить с 1 февраля 1943 года производство самоходных установок СГ-122.</w:t>
      </w:r>
    </w:p>
    <w:p w14:paraId="2A820046"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Передать заводу № 37 имеющиеся в наличии трофейные танки, в том числе 35 отремонтированных с рембазы № 82 и все пригодные для использования на СУ-76 заделы, отгрузив заводу № 37 все указанное имущество не позднее 10 февраля 1943 г.</w:t>
      </w:r>
    </w:p>
    <w:p w14:paraId="58514BCE"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Укомплектовать КБ завода № 37 необходимыми кадрами ИТР и вспомогательного персонала в количестве не менее 25 человек.</w:t>
      </w:r>
    </w:p>
    <w:p w14:paraId="41D5F786"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НКВ т. Устинову командировать на завод № 37 группу конструкторов ЦАКБ НКВ для проектирования установки пушки Ф-34.</w:t>
      </w:r>
    </w:p>
    <w:p w14:paraId="4885B9C7"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НКО т. Федоренко обеспечить завод № 37 ремонтным фондом трофейных танков „Артштурм“ и Т-3 в следующих количествах: март — 20 шт., апрель — 40 шт., май — 60 шт., июнь — 60 шт.</w:t>
      </w:r>
    </w:p>
    <w:p w14:paraId="4D34E8ED"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 апреля 1943 года направить дополнительно на завод № 37 850 рабочих».</w:t>
      </w:r>
    </w:p>
    <w:p w14:paraId="01D89994" w14:textId="77777777" w:rsidR="000B21EB" w:rsidRPr="00D03F3E" w:rsidRDefault="000B21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видно из документа ни о какой замене СУ-12 самоходками на трофейных шасси речи не идёт. Более того, к проектированию новой машины привлекается конструктор С. Гинзбург, которого позже (в апреле 1943 года) сняли с должности и отстранили от работы именно за массовые поломки СУ-12 (СУ-76) с параллельной установкой двигателей (12388).</w:t>
      </w:r>
    </w:p>
    <w:p w14:paraId="6D886F32" w14:textId="77777777" w:rsidR="000B21EB" w:rsidRPr="00D03F3E" w:rsidRDefault="000B21EB" w:rsidP="00D03F3E">
      <w:pPr>
        <w:spacing w:after="0" w:line="240" w:lineRule="auto"/>
        <w:jc w:val="both"/>
        <w:rPr>
          <w:rFonts w:ascii="Times New Roman" w:hAnsi="Times New Roman"/>
          <w:color w:val="000000" w:themeColor="text1"/>
          <w:sz w:val="16"/>
          <w:szCs w:val="16"/>
        </w:rPr>
      </w:pPr>
    </w:p>
    <w:p w14:paraId="261EC65B" w14:textId="77777777" w:rsidR="008C5F3D" w:rsidRPr="00D03F3E" w:rsidRDefault="008C5F3D"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18 января 1943 года, когда проблемы с трансмиссией СУ-12 (СУ-76) ещё не проявились, вышло решение о выпуске СУ-76И. Подобно СГ-122, технический проект СУ-76И был разработан Синильщиковым, причём когда он уже работал в Центральном артиллерийском КБ. Данный проект получил обозначение С-1 и стал дебютным для ЦАКБ. Со стороны же завода №37, который к концу 1942 года снова находился в Москве, работы шли под руководством главного конструктора Л.Т. Домбровского (19602).</w:t>
      </w:r>
    </w:p>
    <w:p w14:paraId="05AC5EEA" w14:textId="77777777" w:rsidR="008C5F3D" w:rsidRPr="00D03F3E" w:rsidRDefault="008C5F3D" w:rsidP="00D03F3E">
      <w:pPr>
        <w:shd w:val="clear" w:color="auto" w:fill="FFFFFF"/>
        <w:spacing w:after="0" w:line="240" w:lineRule="auto"/>
        <w:jc w:val="both"/>
        <w:textAlignment w:val="baseline"/>
        <w:rPr>
          <w:rFonts w:ascii="Times New Roman" w:hAnsi="Times New Roman"/>
          <w:color w:val="000000" w:themeColor="text1"/>
          <w:sz w:val="16"/>
          <w:szCs w:val="16"/>
        </w:rPr>
      </w:pPr>
    </w:p>
    <w:p w14:paraId="40C1DFE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г. Постановлением ГКО машина на базе трофейных немецких САУ "Артштурм" и танка Т-Ш была принята на вооружение и находилась в серийном произ</w:t>
      </w:r>
      <w:r w:rsidRPr="00D03F3E">
        <w:rPr>
          <w:rFonts w:ascii="Times New Roman" w:hAnsi="Times New Roman"/>
          <w:color w:val="000000" w:themeColor="text1"/>
          <w:sz w:val="16"/>
          <w:szCs w:val="16"/>
        </w:rPr>
        <w:softHyphen/>
        <w:t>водстве с мая до конца ноября 1943 г. Всего заводом № 37 было выпу</w:t>
      </w:r>
      <w:r w:rsidRPr="00D03F3E">
        <w:rPr>
          <w:rFonts w:ascii="Times New Roman" w:hAnsi="Times New Roman"/>
          <w:color w:val="000000" w:themeColor="text1"/>
          <w:sz w:val="16"/>
          <w:szCs w:val="16"/>
        </w:rPr>
        <w:softHyphen/>
        <w:t>щено 200 самоходных установок за счет трофеев, захваченных после бо</w:t>
      </w:r>
      <w:r w:rsidRPr="00D03F3E">
        <w:rPr>
          <w:rFonts w:ascii="Times New Roman" w:hAnsi="Times New Roman"/>
          <w:color w:val="000000" w:themeColor="text1"/>
          <w:sz w:val="16"/>
          <w:szCs w:val="16"/>
        </w:rPr>
        <w:softHyphen/>
        <w:t>ев в Сталинграде. Самоходная установка СУ-76И была снята с произ</w:t>
      </w:r>
      <w:r w:rsidRPr="00D03F3E">
        <w:rPr>
          <w:rFonts w:ascii="Times New Roman" w:hAnsi="Times New Roman"/>
          <w:color w:val="000000" w:themeColor="text1"/>
          <w:sz w:val="16"/>
          <w:szCs w:val="16"/>
        </w:rPr>
        <w:softHyphen/>
        <w:t>водства из-за отсутствия трофейных танков Т-Ш и самоходных устано</w:t>
      </w:r>
      <w:r w:rsidRPr="00D03F3E">
        <w:rPr>
          <w:rFonts w:ascii="Times New Roman" w:hAnsi="Times New Roman"/>
          <w:color w:val="000000" w:themeColor="text1"/>
          <w:sz w:val="16"/>
          <w:szCs w:val="16"/>
        </w:rPr>
        <w:softHyphen/>
        <w:t>вок "Артштурм". Войсковая эксплуатация затруднялась сложностью ремонта и отсутствием запасных частей (10703).</w:t>
      </w:r>
    </w:p>
    <w:p w14:paraId="68B81AF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EEE1A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вышло Постановление ГКО № 2756 Об усилении борьбы с нарушениями установленных лимитов расхода электроэнергии.РГАНИР, Фонд ГКО, д. 83, лл. 9 (11012).</w:t>
      </w:r>
    </w:p>
    <w:p w14:paraId="5C5383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E602F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вышло Распоряжение ГКО № 2757. О мерах по экономии топлива и электроэнергии.РГАНИР, Фонд ГКО, д. 83, лл. 10 (11012).</w:t>
      </w:r>
    </w:p>
    <w:p w14:paraId="350D1FD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8C4277"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вышло Постановление ГКО № 2759 О строительстве новой железнодорожной линии ст. Жихарево - ст. Жихарево - ст. Шлиссельбург Октябрьской ж.д. (7076, 15).</w:t>
      </w:r>
    </w:p>
    <w:p w14:paraId="46DEBF9F"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6A224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вышло Постановление ГКО № 2760 Об организации производства танковых дизелей на заводе № 26 НКАП в г. Рыбинске.РГАНИР, Фонд ГКО, д. 83, лл. 16 (11012).</w:t>
      </w:r>
    </w:p>
    <w:p w14:paraId="04B2171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2CE5FC" w14:textId="77777777" w:rsidR="00481C91" w:rsidRPr="00D03F3E" w:rsidRDefault="00481C9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вышло Постановление ГКО № 2760 Об организации производства танковых дизелей на заводе № 26 НКАП в г. Рыбинске</w:t>
      </w:r>
    </w:p>
    <w:p w14:paraId="387FCE76" w14:textId="77777777" w:rsidR="00481C91" w:rsidRPr="00D03F3E" w:rsidRDefault="00481C9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целях обеспечения возрастающего выпуска танков танко</w:t>
      </w:r>
      <w:r w:rsidRPr="00D03F3E">
        <w:rPr>
          <w:rFonts w:ascii="Times New Roman" w:cs="Times New Roman"/>
          <w:color w:val="000000" w:themeColor="text1"/>
          <w:spacing w:val="0"/>
        </w:rPr>
        <w:softHyphen/>
        <w:t>выми дизелями, Государственный Комитет Сбороны постановляет:</w:t>
      </w:r>
    </w:p>
    <w:p w14:paraId="1A205D83" w14:textId="77777777" w:rsidR="00481C91" w:rsidRPr="00D03F3E" w:rsidRDefault="00481C91" w:rsidP="00D03F3E">
      <w:pPr>
        <w:pStyle w:val="27"/>
        <w:shd w:val="clear" w:color="auto" w:fill="auto"/>
        <w:tabs>
          <w:tab w:val="left" w:pos="1358"/>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1. Передать Наркомтанкопрому завод № 26 НКАП в г.Рыбин</w:t>
      </w:r>
      <w:r w:rsidRPr="00D03F3E">
        <w:rPr>
          <w:rFonts w:ascii="Times New Roman" w:cs="Times New Roman"/>
          <w:color w:val="000000" w:themeColor="text1"/>
          <w:spacing w:val="0"/>
        </w:rPr>
        <w:softHyphen/>
        <w:t>ске со всеми зданиями, сооружениями, оборудованием и жилой площадью по состоянию на 1 января 1943г., освободив его от ремонта авиационных моторов.</w:t>
      </w:r>
    </w:p>
    <w:p w14:paraId="66B0197E" w14:textId="77777777" w:rsidR="00481C91" w:rsidRPr="00D03F3E" w:rsidRDefault="00481C91" w:rsidP="00D03F3E">
      <w:pPr>
        <w:pStyle w:val="27"/>
        <w:shd w:val="clear" w:color="auto" w:fill="auto"/>
        <w:tabs>
          <w:tab w:val="left" w:pos="134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2. Обязать НКАП (т.Шахурина) организовать ремонт авиа</w:t>
      </w:r>
      <w:r w:rsidRPr="00D03F3E">
        <w:rPr>
          <w:rFonts w:ascii="Times New Roman" w:cs="Times New Roman"/>
          <w:color w:val="000000" w:themeColor="text1"/>
          <w:spacing w:val="0"/>
        </w:rPr>
        <w:softHyphen/>
        <w:t>ционных моторов на других заводах, НКАП"а.</w:t>
      </w:r>
    </w:p>
    <w:p w14:paraId="0CCEEBBD" w14:textId="77777777" w:rsidR="00481C91" w:rsidRPr="00D03F3E" w:rsidRDefault="00481C91" w:rsidP="00D03F3E">
      <w:pPr>
        <w:pStyle w:val="27"/>
        <w:shd w:val="clear" w:color="auto" w:fill="auto"/>
        <w:tabs>
          <w:tab w:val="left" w:pos="134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3. Обязать Наркомтанкопром (т.Зальцмана) организовать на бывшем заводе № 26 НКАП"а в г.Рыбинске производство тан</w:t>
      </w:r>
      <w:r w:rsidRPr="00D03F3E">
        <w:rPr>
          <w:rFonts w:ascii="Times New Roman" w:cs="Times New Roman"/>
          <w:color w:val="000000" w:themeColor="text1"/>
          <w:spacing w:val="0"/>
        </w:rPr>
        <w:softHyphen/>
        <w:t>ковых дизелей В-2.</w:t>
      </w:r>
    </w:p>
    <w:p w14:paraId="793679E3" w14:textId="77777777" w:rsidR="00481C91" w:rsidRPr="00D03F3E" w:rsidRDefault="00481C91" w:rsidP="00D03F3E">
      <w:pPr>
        <w:pStyle w:val="27"/>
        <w:shd w:val="clear" w:color="auto" w:fill="auto"/>
        <w:tabs>
          <w:tab w:val="left" w:pos="134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4. Разрешить Наркомтанкопрому (т.Зальцману) для оснаще</w:t>
      </w:r>
      <w:r w:rsidRPr="00D03F3E">
        <w:rPr>
          <w:rFonts w:ascii="Times New Roman" w:cs="Times New Roman"/>
          <w:color w:val="000000" w:themeColor="text1"/>
          <w:spacing w:val="0"/>
        </w:rPr>
        <w:softHyphen/>
        <w:t>ния дизельного вавода в г.Рыбинске эвакуировать со Сталин</w:t>
      </w:r>
      <w:r w:rsidRPr="00D03F3E">
        <w:rPr>
          <w:rFonts w:ascii="Times New Roman" w:cs="Times New Roman"/>
          <w:color w:val="000000" w:themeColor="text1"/>
          <w:spacing w:val="0"/>
        </w:rPr>
        <w:softHyphen/>
        <w:t>градского тракторного завода все необходимое оборудование.</w:t>
      </w:r>
    </w:p>
    <w:p w14:paraId="39EEFD90" w14:textId="77777777" w:rsidR="00481C91" w:rsidRPr="00D03F3E" w:rsidRDefault="00481C91" w:rsidP="00D03F3E">
      <w:pPr>
        <w:pStyle w:val="27"/>
        <w:shd w:val="clear" w:color="auto" w:fill="auto"/>
        <w:tabs>
          <w:tab w:val="left" w:pos="1350"/>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5. Обязать НКСС (т.Ефремова), ПКЗТ («г.Микояна) доукомп</w:t>
      </w:r>
      <w:r w:rsidRPr="00D03F3E">
        <w:rPr>
          <w:rFonts w:ascii="Times New Roman" w:cs="Times New Roman"/>
          <w:color w:val="000000" w:themeColor="text1"/>
          <w:spacing w:val="0"/>
        </w:rPr>
        <w:softHyphen/>
        <w:t>лектовать в кратчайший срок дизельный завог необходимым обо</w:t>
      </w:r>
      <w:r w:rsidRPr="00D03F3E">
        <w:rPr>
          <w:rFonts w:ascii="Times New Roman" w:cs="Times New Roman"/>
          <w:color w:val="000000" w:themeColor="text1"/>
          <w:spacing w:val="0"/>
        </w:rPr>
        <w:softHyphen/>
        <w:t>рудованием путем изготовления на заводах НКСС, завоза и переадресовки с импорта.</w:t>
      </w:r>
    </w:p>
    <w:p w14:paraId="20826025" w14:textId="77777777" w:rsidR="00481C91" w:rsidRPr="00D03F3E" w:rsidRDefault="00481C91" w:rsidP="00D03F3E">
      <w:pPr>
        <w:pStyle w:val="27"/>
        <w:shd w:val="clear" w:color="auto" w:fill="auto"/>
        <w:tabs>
          <w:tab w:val="left" w:pos="134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6. Обязать Наркомтанкопрсм (т.Зальцмана), Наркомстанкостроения (т.Ефремова), Наркомстрой (т.Гинзбурга) представить в Государственный Комитет Обороны перечень всех мероприятий, обеспечивающих организацию производства танковых дизелей на дизельном заводе в г.Рыбинске. Срок - 15 февраля</w:t>
      </w:r>
      <w:r w:rsidRPr="00D03F3E">
        <w:rPr>
          <w:rStyle w:val="95pt"/>
          <w:rFonts w:ascii="Times New Roman" w:hAnsi="Times New Roman" w:cs="Times New Roman"/>
          <w:color w:val="000000" w:themeColor="text1"/>
          <w:spacing w:val="0"/>
          <w:sz w:val="16"/>
          <w:szCs w:val="16"/>
        </w:rPr>
        <w:t xml:space="preserve"> 1943г. </w:t>
      </w:r>
      <w:r w:rsidRPr="00D03F3E">
        <w:rPr>
          <w:rFonts w:ascii="Times New Roman" w:cs="Times New Roman"/>
          <w:color w:val="000000" w:themeColor="text1"/>
          <w:spacing w:val="0"/>
        </w:rPr>
        <w:t>(19379).</w:t>
      </w:r>
    </w:p>
    <w:p w14:paraId="44AF3552" w14:textId="77777777" w:rsidR="00481C91" w:rsidRPr="00D03F3E" w:rsidRDefault="00481C91" w:rsidP="00D03F3E">
      <w:pPr>
        <w:spacing w:after="0" w:line="240" w:lineRule="auto"/>
        <w:jc w:val="both"/>
        <w:rPr>
          <w:rFonts w:ascii="Times New Roman" w:hAnsi="Times New Roman"/>
          <w:color w:val="000000" w:themeColor="text1"/>
          <w:sz w:val="16"/>
          <w:szCs w:val="16"/>
        </w:rPr>
      </w:pPr>
    </w:p>
    <w:p w14:paraId="109D686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г. была подготовлена ОЦЕНКА ГЕРМАНСКИМ КОМАНДОВАНИЕМ ТАНКОВ И БРОНЕМАШИН КРАСНОЙ АРМИИ (перевод с немецкого)</w:t>
      </w:r>
    </w:p>
    <w:p w14:paraId="01B9FFB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(Выдержки из учебной таблицы №2 от 1.07.1942 г.) I. Старые типы танков.</w:t>
      </w:r>
    </w:p>
    <w:p w14:paraId="57931AD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Бронемашины.</w:t>
      </w:r>
    </w:p>
    <w:p w14:paraId="4178A4E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 - Бронефорд - устарелая, тонкая бронезащита, слабое вооружение. БА - Форд - улучшенная, мощная, имеет все же целый ряд технических недостатков.</w:t>
      </w:r>
    </w:p>
    <w:p w14:paraId="4C5A649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Легкие советские танки.</w:t>
      </w:r>
    </w:p>
    <w:p w14:paraId="42D1E3A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Т-27 - как танк бесценен, непригоден как тягач (слабый мотор).</w:t>
      </w:r>
    </w:p>
    <w:p w14:paraId="0918302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Т-26 - тонкая бронезащита, хорошее вооружение, слабый мотор, малая скорость, устарелый, легко поражаем. Выпуск их, вероятно, прекращен.</w:t>
      </w:r>
    </w:p>
    <w:p w14:paraId="7FFB120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Танки-Амфибии - Т-37, Т-38, Т-40 - тонкая бронезащита, слабое вооружение, легко поражаем. Эти танки выгодно применять для ведения оперативной разведки в восточных районах, где отсут</w:t>
      </w:r>
      <w:r w:rsidRPr="00D03F3E">
        <w:rPr>
          <w:rFonts w:ascii="Times New Roman" w:hAnsi="Times New Roman"/>
          <w:color w:val="000000" w:themeColor="text1"/>
          <w:sz w:val="16"/>
          <w:szCs w:val="16"/>
        </w:rPr>
        <w:softHyphen/>
        <w:t>ствуют мосты. Т-37 и Т-38 устарелые танки.</w:t>
      </w:r>
    </w:p>
    <w:p w14:paraId="5DEF0DD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Огнеметный танк Т-26 - свойства, как у Т-26, тактическое значение ограничено.</w:t>
      </w:r>
    </w:p>
    <w:p w14:paraId="36F33B5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БТ - быстроходный, хорошая конструкция, тонкая бронезащита. Дальнейший выпуск, вероятно,</w:t>
      </w:r>
    </w:p>
    <w:p w14:paraId="2C38359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прекращен.</w:t>
      </w:r>
    </w:p>
    <w:p w14:paraId="036D02E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Средние советские танки.</w:t>
      </w:r>
    </w:p>
    <w:p w14:paraId="0814327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Т-28 - устарелый, имеет целый ряд технических недостатков, малая скорость, неповоротлив, толщи</w:t>
      </w:r>
      <w:r w:rsidRPr="00D03F3E">
        <w:rPr>
          <w:rFonts w:ascii="Times New Roman" w:hAnsi="Times New Roman"/>
          <w:color w:val="000000" w:themeColor="text1"/>
          <w:sz w:val="16"/>
          <w:szCs w:val="16"/>
        </w:rPr>
        <w:softHyphen/>
        <w:t>на брони не соответствует размеру танка, легко поражаем. Дальнейший выпуск прекращен. В настоящее время используется как тягач.</w:t>
      </w:r>
    </w:p>
    <w:p w14:paraId="09E149C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Тяжелые советские танки.</w:t>
      </w:r>
    </w:p>
    <w:p w14:paraId="22D796B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Т-35-А, В, С - устарелый, габаритами велик, мало подвижен. Выпуск их прекращен. Они могут быть использованы в одиночных случаях.</w:t>
      </w:r>
    </w:p>
    <w:p w14:paraId="43BD619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 Основные типы танков, принятых на вооружение.</w:t>
      </w:r>
    </w:p>
    <w:p w14:paraId="5354B9E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Легкие танки.</w:t>
      </w:r>
    </w:p>
    <w:p w14:paraId="746D0F5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Советские танки. Т-60 - очень маленькие, нового выпуска (ноябрь 1941 г.), тонкая бронезащита, боевая мощь невелика.</w:t>
      </w:r>
    </w:p>
    <w:p w14:paraId="16F335F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б) Американские танки.</w:t>
      </w:r>
    </w:p>
    <w:p w14:paraId="0B69C37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М-3 «Генерал Штаурт» - быстроходный, легкий, маневренный, хорошая бронезащита. Большое изна</w:t>
      </w:r>
      <w:r w:rsidRPr="00D03F3E">
        <w:rPr>
          <w:rFonts w:ascii="Times New Roman" w:hAnsi="Times New Roman"/>
          <w:color w:val="000000" w:themeColor="text1"/>
          <w:sz w:val="16"/>
          <w:szCs w:val="16"/>
        </w:rPr>
        <w:softHyphen/>
        <w:t>шивание гусеничной ленты. 2. Средние танки.</w:t>
      </w:r>
    </w:p>
    <w:p w14:paraId="737C35F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Советские танки.</w:t>
      </w:r>
    </w:p>
    <w:p w14:paraId="7F2F5C7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Т-34 - наилучший советский танк, быстроходный, маневренный, хорошее вооружение, толстая броне</w:t>
      </w:r>
      <w:r w:rsidRPr="00D03F3E">
        <w:rPr>
          <w:rFonts w:ascii="Times New Roman" w:hAnsi="Times New Roman"/>
          <w:color w:val="000000" w:themeColor="text1"/>
          <w:sz w:val="16"/>
          <w:szCs w:val="16"/>
        </w:rPr>
        <w:softHyphen/>
        <w:t>защита. Вследствие своей хорошей конструкции (угол встречи: лобовая броня 30°, кормовая - 45°, бортовая — 50°), танк Т-34 трудно поражаем.</w:t>
      </w:r>
    </w:p>
    <w:p w14:paraId="56FAEDF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Английские танки. Мк-2 (Матильда-2) - толстая бронезащита, трудно поражаемый (особенно со стороны бортов), малая</w:t>
      </w:r>
    </w:p>
    <w:p w14:paraId="7387E12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скорость, неповоротлив, для ведения операций не приспособлен. Мк-3 (Валентин) - легче чем МК-2, отсюда — быстроходнее и маневреннее.</w:t>
      </w:r>
    </w:p>
    <w:p w14:paraId="3ED4F5B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Американские танки.</w:t>
      </w:r>
    </w:p>
    <w:p w14:paraId="0AE2A2C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М-3 «Генерал Лее» - относительно быстроходный, мощное вооружение.</w:t>
      </w:r>
    </w:p>
    <w:p w14:paraId="338B827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III. Тяжелые советские танки.</w:t>
      </w:r>
    </w:p>
    <w:p w14:paraId="0A18BE5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КВ-1: А, Б, С - толстая бронезащита, мощное вооружение. Для ведения операций мало пригодный, особенно успешно применяется в позиционной войне. Танки Б. и С трудно поражаемые.</w:t>
      </w:r>
    </w:p>
    <w:p w14:paraId="724BB2E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КВ-2: толстая бронезащита, мощное вооружение, неповоротлив. Используется в позиционной войне. Слишком сильная нагрузка на шасси, даже по отзыву русского командования, является недо</w:t>
      </w:r>
      <w:r w:rsidRPr="00D03F3E">
        <w:rPr>
          <w:rFonts w:ascii="Times New Roman" w:hAnsi="Times New Roman"/>
          <w:color w:val="000000" w:themeColor="text1"/>
          <w:sz w:val="16"/>
          <w:szCs w:val="16"/>
        </w:rPr>
        <w:softHyphen/>
        <w:t>статком танка.</w:t>
      </w:r>
    </w:p>
    <w:p w14:paraId="5D1C105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Переводила интендант 3 ранга Копытина.</w:t>
      </w:r>
    </w:p>
    <w:p w14:paraId="18AB457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разведотдела БТУ СГ ЗКФ майор Юрин</w:t>
      </w:r>
    </w:p>
    <w:p w14:paraId="7D942BE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11353. Д. 425. Л. 7-8 с об. Подлинник (11403).</w:t>
      </w:r>
    </w:p>
    <w:p w14:paraId="386663E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12E33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1943г. была подготовлена СПРАВКА ГРУ НАЧАЛЬНИКУ ШТАБА БТ и МВ КА О ПРОИЗВОДСТВЕННОЙ МОЩНОСТИ ГЕРМАНИИ, ФРАНЦИИ И ИТАЛИИ ПО ВЫПУСКУ АВТОБРОНЕТЕХНИКИ №235192</w:t>
      </w:r>
    </w:p>
    <w:p w14:paraId="2EA48AF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Сообщаю сведения о производственной мощности Германии, Франции и Италии по выпуску танков, бронемашин, автомобилей, тракторов и мотоциклов, полученные во второй половине дека</w:t>
      </w:r>
      <w:r w:rsidRPr="00D03F3E">
        <w:rPr>
          <w:rFonts w:ascii="Times New Roman" w:hAnsi="Times New Roman"/>
          <w:color w:val="000000" w:themeColor="text1"/>
          <w:sz w:val="16"/>
          <w:szCs w:val="16"/>
        </w:rPr>
        <w:softHyphen/>
        <w:t>бря 1942 года.</w:t>
      </w:r>
    </w:p>
    <w:p w14:paraId="79738CC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Годовой выпуск продукции на сентябрь 1942 г. составил:</w:t>
      </w:r>
    </w:p>
    <w:p w14:paraId="60EC9BD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Германия: а) танков 24 00 тяжелых, 10 800 средних, 4800 легких;</w:t>
      </w:r>
    </w:p>
    <w:p w14:paraId="7023502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бронемашин 8400, бронетранспортеров 13 200;</w:t>
      </w:r>
    </w:p>
    <w:p w14:paraId="15C7128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автомашин: грузовых 210 000, легковых 20000;</w:t>
      </w:r>
    </w:p>
    <w:p w14:paraId="111FAD8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мотоциклов 21 000;</w:t>
      </w:r>
    </w:p>
    <w:p w14:paraId="0750C2A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тракторов: армейских 28 000, сельскохозяйственных 42000.</w:t>
      </w:r>
    </w:p>
    <w:p w14:paraId="4048336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Франция: а) танков 1200 тяжелых, 600 средних;</w:t>
      </w:r>
    </w:p>
    <w:p w14:paraId="2CE8826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бронемашин 960, бронетранспортеров 600;</w:t>
      </w:r>
    </w:p>
    <w:p w14:paraId="6EDFAC0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автомашин: грузовых 36 000, легковых 10 000;</w:t>
      </w:r>
    </w:p>
    <w:p w14:paraId="15D7064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мотоциклов 6000;</w:t>
      </w:r>
    </w:p>
    <w:p w14:paraId="75195A5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тракторов: армейских 1200, сельскохозяйственных 1200.</w:t>
      </w:r>
    </w:p>
    <w:p w14:paraId="68AC89E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Италия: а) танков 600 средних;</w:t>
      </w:r>
    </w:p>
    <w:p w14:paraId="3E34823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бронемашин 360;</w:t>
      </w:r>
    </w:p>
    <w:p w14:paraId="7F757E5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автомашин: грузовых 25000, легковых 5000;</w:t>
      </w:r>
    </w:p>
    <w:p w14:paraId="597D503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мотоциклов 600;</w:t>
      </w:r>
    </w:p>
    <w:p w14:paraId="377BEC4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тракторов: армейских 1000, сельскохозяйственных 1000. Данные нами уточняются и проверяются.</w:t>
      </w:r>
    </w:p>
    <w:p w14:paraId="282461D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3 управления Главразведуправления Красной Армии</w:t>
      </w:r>
    </w:p>
    <w:p w14:paraId="16CB681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полковник Хлопов</w:t>
      </w:r>
    </w:p>
    <w:p w14:paraId="1464865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1 отдела 3 управления ГРУ Красной Армии полковник Алешин</w:t>
      </w:r>
    </w:p>
    <w:p w14:paraId="6F8328A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11353. Д. 425. Л. 20. Подлинник (11403).</w:t>
      </w:r>
    </w:p>
    <w:p w14:paraId="15BB4F1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33B597" w14:textId="77777777" w:rsidR="00FD630D" w:rsidRPr="00D03F3E" w:rsidRDefault="00FD630D" w:rsidP="00D03F3E">
      <w:pPr>
        <w:pStyle w:val="1162"/>
        <w:shd w:val="clear" w:color="auto" w:fill="auto"/>
        <w:spacing w:after="0" w:line="240" w:lineRule="auto"/>
        <w:ind w:firstLine="0"/>
        <w:jc w:val="both"/>
        <w:rPr>
          <w:rStyle w:val="930"/>
          <w:rFonts w:ascii="Times New Roman" w:hAnsi="Times New Roman" w:cs="Times New Roman"/>
          <w:color w:val="0070C0"/>
          <w:sz w:val="16"/>
          <w:szCs w:val="16"/>
        </w:rPr>
      </w:pPr>
      <w:r w:rsidRPr="00D03F3E">
        <w:rPr>
          <w:rStyle w:val="930"/>
          <w:rFonts w:ascii="Times New Roman" w:hAnsi="Times New Roman" w:cs="Times New Roman"/>
          <w:color w:val="0070C0"/>
          <w:sz w:val="16"/>
          <w:szCs w:val="16"/>
        </w:rPr>
        <w:t xml:space="preserve">18 января 1943 года под Ленинградом </w:t>
      </w:r>
      <w:r w:rsidRPr="00D03F3E">
        <w:rPr>
          <w:rStyle w:val="930"/>
          <w:rFonts w:ascii="Times New Roman" w:hAnsi="Times New Roman" w:cs="Times New Roman"/>
          <w:color w:val="0070C0"/>
          <w:sz w:val="16"/>
          <w:szCs w:val="16"/>
          <w:lang w:val="ru-RU"/>
        </w:rPr>
        <w:t xml:space="preserve">были захвачены </w:t>
      </w:r>
      <w:r w:rsidRPr="00D03F3E">
        <w:rPr>
          <w:rStyle w:val="930"/>
          <w:rFonts w:ascii="Times New Roman" w:hAnsi="Times New Roman" w:cs="Times New Roman"/>
          <w:color w:val="0070C0"/>
          <w:sz w:val="16"/>
          <w:szCs w:val="16"/>
        </w:rPr>
        <w:t>дв</w:t>
      </w:r>
      <w:r w:rsidRPr="00D03F3E">
        <w:rPr>
          <w:rStyle w:val="930"/>
          <w:rFonts w:ascii="Times New Roman" w:hAnsi="Times New Roman" w:cs="Times New Roman"/>
          <w:color w:val="0070C0"/>
          <w:sz w:val="16"/>
          <w:szCs w:val="16"/>
          <w:lang w:val="ru-RU"/>
        </w:rPr>
        <w:t>а</w:t>
      </w:r>
      <w:r w:rsidRPr="00D03F3E">
        <w:rPr>
          <w:rStyle w:val="930"/>
          <w:rFonts w:ascii="Times New Roman" w:hAnsi="Times New Roman" w:cs="Times New Roman"/>
          <w:color w:val="0070C0"/>
          <w:sz w:val="16"/>
          <w:szCs w:val="16"/>
        </w:rPr>
        <w:t xml:space="preserve"> немецких тяжелых танков </w:t>
      </w:r>
      <w:r w:rsidRPr="00D03F3E">
        <w:rPr>
          <w:rStyle w:val="930"/>
          <w:rFonts w:ascii="Times New Roman" w:hAnsi="Times New Roman" w:cs="Times New Roman"/>
          <w:color w:val="0070C0"/>
          <w:sz w:val="16"/>
          <w:szCs w:val="16"/>
          <w:lang w:val="en-US"/>
        </w:rPr>
        <w:t>Pz</w:t>
      </w:r>
      <w:r w:rsidRPr="00D03F3E">
        <w:rPr>
          <w:rStyle w:val="930"/>
          <w:rFonts w:ascii="Times New Roman" w:hAnsi="Times New Roman" w:cs="Times New Roman"/>
          <w:color w:val="0070C0"/>
          <w:sz w:val="16"/>
          <w:szCs w:val="16"/>
          <w:lang w:val="ru-RU"/>
        </w:rPr>
        <w:t>.</w:t>
      </w:r>
      <w:r w:rsidRPr="00D03F3E">
        <w:rPr>
          <w:rStyle w:val="930"/>
          <w:rFonts w:ascii="Times New Roman" w:hAnsi="Times New Roman" w:cs="Times New Roman"/>
          <w:color w:val="0070C0"/>
          <w:sz w:val="16"/>
          <w:szCs w:val="16"/>
          <w:lang w:val="en-US"/>
        </w:rPr>
        <w:t>Kpfw</w:t>
      </w:r>
      <w:r w:rsidRPr="00D03F3E">
        <w:rPr>
          <w:rStyle w:val="930"/>
          <w:rFonts w:ascii="Times New Roman" w:hAnsi="Times New Roman" w:cs="Times New Roman"/>
          <w:color w:val="0070C0"/>
          <w:sz w:val="16"/>
          <w:szCs w:val="16"/>
          <w:lang w:val="ru-RU"/>
        </w:rPr>
        <w:t>.</w:t>
      </w:r>
      <w:r w:rsidRPr="00D03F3E">
        <w:rPr>
          <w:rStyle w:val="930"/>
          <w:rFonts w:ascii="Times New Roman" w:hAnsi="Times New Roman" w:cs="Times New Roman"/>
          <w:color w:val="0070C0"/>
          <w:sz w:val="16"/>
          <w:szCs w:val="16"/>
          <w:lang w:val="en-US"/>
        </w:rPr>
        <w:t>Tiger</w:t>
      </w:r>
      <w:r w:rsidRPr="00D03F3E">
        <w:rPr>
          <w:rStyle w:val="930"/>
          <w:rFonts w:ascii="Times New Roman" w:hAnsi="Times New Roman" w:cs="Times New Roman"/>
          <w:color w:val="0070C0"/>
          <w:sz w:val="16"/>
          <w:szCs w:val="16"/>
          <w:lang w:val="ru-RU"/>
        </w:rPr>
        <w:t xml:space="preserve"> </w:t>
      </w:r>
      <w:r w:rsidRPr="00D03F3E">
        <w:rPr>
          <w:rStyle w:val="930"/>
          <w:rFonts w:ascii="Times New Roman" w:hAnsi="Times New Roman" w:cs="Times New Roman"/>
          <w:color w:val="0070C0"/>
          <w:sz w:val="16"/>
          <w:szCs w:val="16"/>
          <w:lang w:val="en-US"/>
        </w:rPr>
        <w:t>Ausf</w:t>
      </w:r>
      <w:r w:rsidRPr="00D03F3E">
        <w:rPr>
          <w:rStyle w:val="930"/>
          <w:rFonts w:ascii="Times New Roman" w:hAnsi="Times New Roman" w:cs="Times New Roman"/>
          <w:color w:val="0070C0"/>
          <w:sz w:val="16"/>
          <w:szCs w:val="16"/>
          <w:lang w:val="ru-RU"/>
        </w:rPr>
        <w:t xml:space="preserve">. </w:t>
      </w:r>
      <w:r w:rsidRPr="00D03F3E">
        <w:rPr>
          <w:rStyle w:val="930"/>
          <w:rFonts w:ascii="Times New Roman" w:hAnsi="Times New Roman" w:cs="Times New Roman"/>
          <w:color w:val="0070C0"/>
          <w:sz w:val="16"/>
          <w:szCs w:val="16"/>
          <w:lang w:val="en-US"/>
        </w:rPr>
        <w:t>E</w:t>
      </w:r>
      <w:r w:rsidRPr="00D03F3E">
        <w:rPr>
          <w:rStyle w:val="930"/>
          <w:rFonts w:ascii="Times New Roman" w:hAnsi="Times New Roman" w:cs="Times New Roman"/>
          <w:color w:val="0070C0"/>
          <w:sz w:val="16"/>
          <w:szCs w:val="16"/>
          <w:lang w:val="ru-RU"/>
        </w:rPr>
        <w:t xml:space="preserve">. </w:t>
      </w:r>
      <w:r w:rsidRPr="00D03F3E">
        <w:rPr>
          <w:rStyle w:val="930"/>
          <w:rFonts w:ascii="Times New Roman" w:hAnsi="Times New Roman" w:cs="Times New Roman"/>
          <w:color w:val="0070C0"/>
          <w:sz w:val="16"/>
          <w:szCs w:val="16"/>
        </w:rPr>
        <w:t>В апреле 1943 года их доставили в Ку</w:t>
      </w:r>
      <w:r w:rsidRPr="00D03F3E">
        <w:rPr>
          <w:rStyle w:val="930"/>
          <w:rFonts w:ascii="Times New Roman" w:hAnsi="Times New Roman" w:cs="Times New Roman"/>
          <w:color w:val="0070C0"/>
          <w:sz w:val="16"/>
          <w:szCs w:val="16"/>
        </w:rPr>
        <w:softHyphen/>
        <w:t>бинку, а в конце месяца один танк подвергли обстрелу из орудий разного калибра. Вы</w:t>
      </w:r>
      <w:r w:rsidRPr="00D03F3E">
        <w:rPr>
          <w:rStyle w:val="930"/>
          <w:rFonts w:ascii="Times New Roman" w:hAnsi="Times New Roman" w:cs="Times New Roman"/>
          <w:color w:val="0070C0"/>
          <w:sz w:val="16"/>
          <w:szCs w:val="16"/>
        </w:rPr>
        <w:softHyphen/>
        <w:t>яснилось, что Ф-34/ЗИС-5 не может пробить бортовую броню немецкого танка даже в борт. В середине апреля, то есть еще до испы</w:t>
      </w:r>
      <w:r w:rsidRPr="00D03F3E">
        <w:rPr>
          <w:rStyle w:val="930"/>
          <w:rFonts w:ascii="Times New Roman" w:hAnsi="Times New Roman" w:cs="Times New Roman"/>
          <w:color w:val="0070C0"/>
          <w:sz w:val="16"/>
          <w:szCs w:val="16"/>
        </w:rPr>
        <w:softHyphen/>
        <w:t>таний обстрелом, ГАУ КА инициировало воз</w:t>
      </w:r>
      <w:r w:rsidRPr="00D03F3E">
        <w:rPr>
          <w:rStyle w:val="930"/>
          <w:rFonts w:ascii="Times New Roman" w:hAnsi="Times New Roman" w:cs="Times New Roman"/>
          <w:color w:val="0070C0"/>
          <w:sz w:val="16"/>
          <w:szCs w:val="16"/>
        </w:rPr>
        <w:softHyphen/>
        <w:t>обновление работ по 85-мм танковым пуш</w:t>
      </w:r>
      <w:r w:rsidRPr="00D03F3E">
        <w:rPr>
          <w:rStyle w:val="930"/>
          <w:rFonts w:ascii="Times New Roman" w:hAnsi="Times New Roman" w:cs="Times New Roman"/>
          <w:color w:val="0070C0"/>
          <w:sz w:val="16"/>
          <w:szCs w:val="16"/>
        </w:rPr>
        <w:softHyphen/>
        <w:t>кам</w:t>
      </w:r>
      <w:r w:rsidRPr="00D03F3E">
        <w:rPr>
          <w:rStyle w:val="930"/>
          <w:rFonts w:ascii="Times New Roman" w:hAnsi="Times New Roman" w:cs="Times New Roman"/>
          <w:color w:val="0070C0"/>
          <w:sz w:val="16"/>
          <w:szCs w:val="16"/>
          <w:lang w:val="ru-RU"/>
        </w:rPr>
        <w:t xml:space="preserve"> (19872)</w:t>
      </w:r>
      <w:r w:rsidRPr="00D03F3E">
        <w:rPr>
          <w:rStyle w:val="930"/>
          <w:rFonts w:ascii="Times New Roman" w:hAnsi="Times New Roman" w:cs="Times New Roman"/>
          <w:color w:val="0070C0"/>
          <w:sz w:val="16"/>
          <w:szCs w:val="16"/>
        </w:rPr>
        <w:t>.</w:t>
      </w:r>
    </w:p>
    <w:p w14:paraId="30CA46A3" w14:textId="77777777" w:rsidR="00FD630D" w:rsidRPr="00D03F3E" w:rsidRDefault="00FD630D" w:rsidP="00D03F3E">
      <w:pPr>
        <w:pStyle w:val="1162"/>
        <w:shd w:val="clear" w:color="auto" w:fill="auto"/>
        <w:spacing w:after="0" w:line="240" w:lineRule="auto"/>
        <w:ind w:firstLine="0"/>
        <w:jc w:val="both"/>
        <w:rPr>
          <w:rStyle w:val="930"/>
          <w:rFonts w:ascii="Times New Roman" w:hAnsi="Times New Roman" w:cs="Times New Roman"/>
          <w:color w:val="0070C0"/>
          <w:sz w:val="16"/>
          <w:szCs w:val="16"/>
        </w:rPr>
      </w:pPr>
    </w:p>
    <w:p w14:paraId="5B049A74" w14:textId="77777777" w:rsidR="00FD630D" w:rsidRPr="00D03F3E" w:rsidRDefault="00FD630D"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18 января 1943 года в рабочем поселке №5 двух образцов немецкого тяжелого танка Pz.Kpfw.Tiger Ausf.E. В конце апреля 1943 года были проведены испытания одного из танков обстрелом из различных артиллерийских систем. Выяснилось, что 76-мм буксируемые и танковые орудия калибра 76 мм не пробивают немецкий танк даже борт в упор (21143).</w:t>
      </w:r>
    </w:p>
    <w:p w14:paraId="5AA639AB" w14:textId="77777777" w:rsidR="00FD630D" w:rsidRPr="00D03F3E" w:rsidRDefault="00FD630D" w:rsidP="00D03F3E">
      <w:pPr>
        <w:shd w:val="clear" w:color="auto" w:fill="FFFFFF"/>
        <w:spacing w:after="0" w:line="240" w:lineRule="auto"/>
        <w:jc w:val="both"/>
        <w:rPr>
          <w:rFonts w:ascii="Times New Roman" w:eastAsia="Times New Roman" w:hAnsi="Times New Roman"/>
          <w:color w:val="0070C0"/>
          <w:sz w:val="16"/>
          <w:szCs w:val="16"/>
          <w:lang w:eastAsia="ru-RU"/>
        </w:rPr>
      </w:pPr>
    </w:p>
    <w:p w14:paraId="4DD6A0BD"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3DE15C0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93A168"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18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7FA3BCBD"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18 января наши войска в районе Сталинграда, южнее Воронежа, на Северном Кавказе, в районе Нижнего Дона и Северного Донца продолжали бои на прежних направлениях.</w:t>
      </w:r>
    </w:p>
    <w:p w14:paraId="478C9413"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Сталинграда наши войска истребляли окружённые немецко-фашистские войска. Части Н-ского соединения продвигались вперёд, преодолевая сопротивление противника. В результате боя уничтожено свыше 1.000 гитлеровцев и взято в плен 850 немецких солдат и офицеров. Захвачены трофеи, в том числе 20 самолётов, 38 танков, 91 орудие, 14 шестиствольных миномётов, более 1.000 винтовок и автоматов, 93 пулемёта 20.000 снарядов, 21 радиостанция и другое военное имущество.</w:t>
      </w:r>
    </w:p>
    <w:p w14:paraId="771968A7"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Воронежа наши войска развивали наступление и заняли несколько населённых пунктов. В боях за сильно укреплённый опорный пункт противника бойцыпод командованием тов.Хорошко истребили почти весь немецкий гарнизон. Овладев другим крупным населённым пунктом, наши части взяли в плен 1.255 немецких солдат и офицеров, в том числе одного полковника.</w:t>
      </w:r>
    </w:p>
    <w:p w14:paraId="24D0C103"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Северного Донца наши войска вели успешные наступательные бои. На одном участке советские бойцы стремительным ударом выбили немцев из трёх населённых пунктов. Истреблено до батальона немецкой пехоты, подбито и сожжено 7 танков, уничтожено 20 орудий. Захвачено 300 пленных. Взяты трофеи: 2 танка, 20 орудий, 50 автомашин и 2 склада с разным военным снаряжением.</w:t>
      </w:r>
    </w:p>
    <w:p w14:paraId="77894AC1"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советские части заняли несколько населённых пунктов и две железнодорожные станции. Ожесточённые бои происходят на западной окраине крупного населённого пункта. После мощной артиллерийской обработки вражеских позиций наши бойцы преодолели инженерные укрепления и минные поля и, сломив сопротивление немцев, ворвались на окраины этого населённого пункта. В уличныхбоях истреблено 450 гитлеровцев, подбито и сожжено 5 танков, 13 автомашин. Захвачены трофеи и пленные. На другом участке гвардейцы-кавалеристы, преследуя отступающего противника, рассеяли и частью уничтожили роту вражеской пехоты.</w:t>
      </w:r>
    </w:p>
    <w:p w14:paraId="6905D6EE"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Смоленской области, пустил под откос воинский эшелон противника. В результате крушения сгорело 8 цистерн, разбито 13 платформ и 4 вагона с разными грузами. Группа партизан другого отряда взорвала мост и железнодорожный путь, а также вырезала 1.000 метров телефонно-телеграфной линии связи.</w:t>
      </w:r>
    </w:p>
    <w:p w14:paraId="20135C61"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Занятие советскими войсками города Великие Луки вызвало среди гитлеровцев переполох и смятение. Пытаясь скрыть это крупное поражение немецкой армии, германское командование начиная с 3 января ежедневно публикует заведомо лживые сообщения о том, что город Великие Луки находится по-прежнему в немецких руках. На днях германское информационное бюро сообщило, что немецким «крупным танковым соединениям удалось пробиться к Великим Лукам и что гарнизон Великих Лук получил значительное подкрепление людьми и вооружением». Пока в Берлине сочиняли эти вздорные и лживые басни, гитлеровское командование сосредоточило юго-западнее и северо-западнее Великих Лук ударную группировку и предприняло отчаянную попытку вновь захватить город. Расчёт немцев был прост: изо дня в день упорно отрицать занятие советскими войсками Великих Лук, а тем временем, не считаясь ни с какими жертвами, пробиться к городу и овладеть им. Таким образом, гитлеровцы хотелиодним выстрелом убить двух зайцев: во-первых, вновь захватить город, имеющий крупнейшее значение, во-вторых, подправить свою сильно подмоченную репутацию.</w:t>
      </w:r>
    </w:p>
    <w:p w14:paraId="21CBA8A4"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Сосредоточив силы, немцы предприняли юго-западнее и северо-западнее Великих Лук ожесточённые контратаки. Однако советское командование разгадало план немцеви своевременно предприняло необходимые меры. Наши войска непрерывными ударами измотали противника и нанесли ему огромный урон. Наступление немцев захлебнулось в их собственной крови. Немецкая группировка так и не достигла поставленной перед ней цели, а город Великие Луки с 1 января 1943 года </w:t>
      </w:r>
      <w:r w:rsidRPr="00D03F3E">
        <w:rPr>
          <w:rFonts w:ascii="Times New Roman" w:hAnsi="Times New Roman"/>
          <w:color w:val="000000" w:themeColor="text1"/>
          <w:sz w:val="16"/>
          <w:szCs w:val="16"/>
        </w:rPr>
        <w:lastRenderedPageBreak/>
        <w:t>неизменно находился и находится в советских руках. Так плачевно для немцев закончилась очередная гитлеровская авантюра под Великими Луками. Гитлеровское же командование ещё и ещё раз предстало перед всем миром как шайка незадачливых лгунов.» (15013).</w:t>
      </w:r>
    </w:p>
    <w:p w14:paraId="1D116649" w14:textId="77777777" w:rsidR="00A3709C" w:rsidRPr="00D03F3E" w:rsidRDefault="00A3709C" w:rsidP="00D03F3E">
      <w:pPr>
        <w:spacing w:after="0" w:line="240" w:lineRule="auto"/>
        <w:jc w:val="both"/>
        <w:rPr>
          <w:rFonts w:ascii="Times New Roman" w:hAnsi="Times New Roman"/>
          <w:color w:val="000000" w:themeColor="text1"/>
          <w:sz w:val="16"/>
          <w:szCs w:val="16"/>
        </w:rPr>
      </w:pPr>
    </w:p>
    <w:p w14:paraId="3F8DB5AB"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18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3A7F2EF9"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днях наши войска, расположенные южнее Ладожского озера, перешли в наступление против немецко-фашистских войск, блокировавших город Ленинград. Прорвав долговременную укреплённую полосу противника глубиной до 14 километров и форсировав реку Нева, наши войска в течение семи дней напряжённых боёв, преодолевая исключительно упорное сопротивление противника, заняли город Шлиссельбург, крупные укреплённые пункты — Марьино, Московская Дубровка, Липка, рабочие посёлки №№ 1, 2, 3, 4, 5, 6, 7, 8, станцию Синявино и станцию Подгорная.</w:t>
      </w:r>
    </w:p>
    <w:p w14:paraId="3C39D5BB"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после семидневных боёв войска Волховского и Ленинградскогофронтов 18 января соединились и тем самым прорвали блокаду Ленинграда.</w:t>
      </w:r>
    </w:p>
    <w:p w14:paraId="11C94785"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форсировали реку Северный Донец, заняли железнодорожную станцию Каменск и ведут бои в городе Каменск. Наши войска овладели районным центром Ново-Псков, рядом крупных населённых пунктов, в том числе Ново-Беленькая, Донцовка, Ленин, Рудаков, Краснодонецкая.</w:t>
      </w:r>
    </w:p>
    <w:p w14:paraId="71C971F6"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Южного фронта форсировали Маныч и овладели городом и железнодорожной станцией Дивное, населёнными пунктами Привольный, Ремонтный, Мокрая Ельмута, Нижний Серебряков.</w:t>
      </w:r>
    </w:p>
    <w:p w14:paraId="5825D07E"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Воронежского фронта заняли железнодорожную станцию Каменка, много крупных населённых пунктов, в числе которых Истобное, Россоши, Хмелевое, Афанасьевка, Карпенково.</w:t>
      </w:r>
    </w:p>
    <w:p w14:paraId="3DBC61CB"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овладели городом Черкесск, железнодорожнойстанцией Баталпашинск, крупными населёнными пунктами Суркуль, Красноярский и другими.</w:t>
      </w:r>
    </w:p>
    <w:p w14:paraId="7F00716C"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частями нашей авиации на различных участках фронта уничтожено или повреждено до 30 немецких танков, более 300 автомашин с войсками и грузами, подавлен огонь 10 артиллерийских батарей, взорвано 3 склада боеприпасов и 2 склада с горючим, рассеяно и частью уничтожено до батальона пехоты противника.</w:t>
      </w:r>
    </w:p>
    <w:p w14:paraId="4F0C43C7"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Сталинграда наши войска продолжают сжимать кольцо окружения немецко-фашистских войск. Советские части, действующие с запада, с боями продвигались вперёд. В городе наши бойцы захватили несколько улиц и опорных пунктов противника. Особенно ожесточённые бои происходили у железнодорожного обвода, где враг, опираясь на укрепления, оказывает отчаянное сопротивление. По неполным данным, наши войска уничтожили 2 тысячи гитлеровцев и взяли в плен 400 немецких солдат и офицеров. Захвачены трофеи.</w:t>
      </w:r>
    </w:p>
    <w:p w14:paraId="249119C3"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Воронежа советские войска продолжали успешное наступление. Противник отходит, бросая технику и большое количество военного имущества. На участке дороги Ольховатка—Шалякино наши части захватили свыше 1.000 исправных автомашин. В городе Россошь захвачено 10 немецких танков, 79 орудий, 560 автомашин, 33 мотоцикла, 13 складов с продовольствием, 10 артиллерийских складов, 7 складов сгорючим, 5 складов с медицинским имуществом, 200 тысяч артиллерийских снарядов, около миллиона патронов. Взято в плен 1.855 солдат и офицеров противника. Продвигаясь вперёд, наши части освободили от немецко-фашистских оккупантов десятки населённых пунктов.</w:t>
      </w:r>
    </w:p>
    <w:p w14:paraId="6D9619F7"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Южном фронте наши войска вели наступательные бои. Противник упорно сопротивляется и цепляется за каждый удобный для обороны рубеж. На одном участке немцы бросили в контратаку значительные силы пехоты и 30 танков. Под ударами советских частей гитлеровцы понесли большие потери и поспешно отступили. На другом участке бойцы Н-ской части заняли несколько населённых пунктов и уничтожили 4 вражеских танка, 9 орудий, 25 автомашин и роту немецкой пехоты.</w:t>
      </w:r>
    </w:p>
    <w:p w14:paraId="326F078D"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Северного Донца части Н-ского соединения продолжали теснить немцев.В ожесточённом бою уничтожено 8 вражеских танков, 9 орудий и истреблено много солдат и офицеров противника. Взяты трофеи: склад с боеприпасами, 3 склада соружием и 2 склада с продовольствием. Экипаж танка лейтенанта Губина на большой скорости ворвался в один населённый пункт, занятый противником, навёл среди немцев панику, рассеял и частью раздавил гусеницами роту немецкой пехоты и уничтожил 20 орудий.</w:t>
      </w:r>
    </w:p>
    <w:p w14:paraId="68817893"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с боями продвигались вперёд, овладели городом Черкесск и несколькими крупными населёнными пунктами. В боях за один населённый пункт Н-ская часть разгромила батальон немецкой пехоты, подбила и сожгла 6 вражеских танков и 15 автомашин. Захвачены трофеи и пленные.</w:t>
      </w:r>
    </w:p>
    <w:p w14:paraId="49FB7CC3"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Партизанские отряды, действующие на временно оккупированной территории Карело-Финской ССР, провели ряд успешных боевых операций. Отряд «Полярники» пустил под откос следовавший к линии фронта эшелон противника. Разбиты паровоз и 10 вагонов с боеприпасами и продовольствием. В начале января отряды «Большевик Заполярья» и «Советский Мурман» вели бой с крупным карательным отрядом немцев и белофиннов. Все попытки карателей окружить и уничтожить партизан провалились. Советские патриоты истребили 38 и ранили несколько десятков гитлеровцев. Партизанский отряд «Вперёд» разгромил обоз противника с продовольствием и почтой. Охрана обоза уничтожена. Захвачено много продовольствия и военная почта.</w:t>
      </w:r>
    </w:p>
    <w:p w14:paraId="4FEE2B1E"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Французские свободные стрелки совершили налёт на немецкий склад в районе Пуатье. Патриоты перебили немецкую охрану, захватили 12 пулемётов, 28 автоматов, несколько сот ручных гранат и скрылись. Близ Сен-Поля свободные стрелки организовали столкновение немецких поездов. При крушении погибло свыше 50 гитлеровцев.» (15013).</w:t>
      </w:r>
    </w:p>
    <w:p w14:paraId="7EF8F569" w14:textId="77777777" w:rsidR="00A3709C" w:rsidRPr="00D03F3E" w:rsidRDefault="00A3709C" w:rsidP="00D03F3E">
      <w:pPr>
        <w:spacing w:after="0" w:line="240" w:lineRule="auto"/>
        <w:jc w:val="both"/>
        <w:rPr>
          <w:rFonts w:ascii="Times New Roman" w:hAnsi="Times New Roman"/>
          <w:color w:val="000000" w:themeColor="text1"/>
          <w:sz w:val="16"/>
          <w:szCs w:val="16"/>
        </w:rPr>
      </w:pPr>
    </w:p>
    <w:p w14:paraId="2FEBC358"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18 января</w:t>
      </w:r>
      <w:r w:rsidRPr="00D03F3E">
        <w:rPr>
          <w:rFonts w:ascii="Times New Roman" w:hAnsi="Times New Roman"/>
          <w:color w:val="000000" w:themeColor="text1"/>
          <w:sz w:val="16"/>
          <w:szCs w:val="16"/>
        </w:rPr>
        <w:t xml:space="preserve"> в 1943 году Георгию Константиновичу Жукову присвоено звание Маршала Советского Союза</w:t>
      </w:r>
    </w:p>
    <w:p w14:paraId="02B1C6BD" w14:textId="77777777" w:rsidR="00A3709C" w:rsidRPr="00D03F3E" w:rsidRDefault="00A3709C" w:rsidP="00D03F3E">
      <w:pPr>
        <w:spacing w:after="0" w:line="240" w:lineRule="auto"/>
        <w:jc w:val="both"/>
        <w:rPr>
          <w:rFonts w:ascii="Times New Roman" w:hAnsi="Times New Roman"/>
          <w:color w:val="000000" w:themeColor="text1"/>
          <w:sz w:val="16"/>
          <w:szCs w:val="16"/>
        </w:rPr>
      </w:pPr>
    </w:p>
    <w:p w14:paraId="7921E3E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г. отмечен полет разведчика на высоте 11600 м. Истребительная авиация ПВО рас</w:t>
      </w:r>
      <w:r w:rsidRPr="00D03F3E">
        <w:rPr>
          <w:rFonts w:ascii="Times New Roman" w:hAnsi="Times New Roman"/>
          <w:color w:val="000000" w:themeColor="text1"/>
          <w:sz w:val="16"/>
          <w:szCs w:val="16"/>
        </w:rPr>
        <w:softHyphen/>
        <w:t>полагает 218 МиГами, в большинстве своем годными к полетам. Но из них 19 машин стоят без моторов, а на остальных установлены моторы, имеющие по не</w:t>
      </w:r>
      <w:r w:rsidRPr="00D03F3E">
        <w:rPr>
          <w:rFonts w:ascii="Times New Roman" w:hAnsi="Times New Roman"/>
          <w:color w:val="000000" w:themeColor="text1"/>
          <w:sz w:val="16"/>
          <w:szCs w:val="16"/>
        </w:rPr>
        <w:softHyphen/>
        <w:t>сколько переборок и из-за износа потерявшие мощ</w:t>
      </w:r>
      <w:r w:rsidRPr="00D03F3E">
        <w:rPr>
          <w:rFonts w:ascii="Times New Roman" w:hAnsi="Times New Roman"/>
          <w:color w:val="000000" w:themeColor="text1"/>
          <w:sz w:val="16"/>
          <w:szCs w:val="16"/>
        </w:rPr>
        <w:softHyphen/>
        <w:t>ность, отчего МиГ—3 не могут дать расчетных дан</w:t>
      </w:r>
      <w:r w:rsidRPr="00D03F3E">
        <w:rPr>
          <w:rFonts w:ascii="Times New Roman" w:hAnsi="Times New Roman"/>
          <w:color w:val="000000" w:themeColor="text1"/>
          <w:sz w:val="16"/>
          <w:szCs w:val="16"/>
        </w:rPr>
        <w:softHyphen/>
        <w:t>ных и имеют пониженный потолок. Причина теперешнего положения состоит в том, что нет про</w:t>
      </w:r>
      <w:r w:rsidRPr="00D03F3E">
        <w:rPr>
          <w:rFonts w:ascii="Times New Roman" w:hAnsi="Times New Roman"/>
          <w:color w:val="000000" w:themeColor="text1"/>
          <w:sz w:val="16"/>
          <w:szCs w:val="16"/>
        </w:rPr>
        <w:softHyphen/>
        <w:t>изводства моторов АМ—35А, а небольшой имевший</w:t>
      </w:r>
      <w:r w:rsidRPr="00D03F3E">
        <w:rPr>
          <w:rFonts w:ascii="Times New Roman" w:hAnsi="Times New Roman"/>
          <w:color w:val="000000" w:themeColor="text1"/>
          <w:sz w:val="16"/>
          <w:szCs w:val="16"/>
        </w:rPr>
        <w:softHyphen/>
        <w:t>ся запас их полностью израсходован (9984).</w:t>
      </w:r>
    </w:p>
    <w:p w14:paraId="242FF07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2868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мы наконец прорвали Ленинградскую блокаду (340,110).</w:t>
      </w:r>
    </w:p>
    <w:p w14:paraId="4F2DD49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121A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КА взяла Шлиссельбург (3186).</w:t>
      </w:r>
    </w:p>
    <w:p w14:paraId="59B424F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FAB46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в атаку на Шлиссельбург двинулся батальон бронеавтомобилей - 19 трехосных БА-10, выкрашенных в белый цвет и с гусеницами оверол на задних колесах и сумели прорваться и захватить город, разорвав блокаду (3018,62).</w:t>
      </w:r>
    </w:p>
    <w:p w14:paraId="22E8A93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B17BE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советские войска прорвали блокаду Ленинграда, взяв Шлиссельбург (4962).</w:t>
      </w:r>
    </w:p>
    <w:p w14:paraId="7DEA1DBB"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839B9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у Рабочего поселка №5, на рассвете, вырвавшись вперед, экипаж Т-60, в котором находился командир роты 61-й танковой бригады лейтенант Д.И.Осатюк, а механиком-водителем был старшина И.М.Макаренков, заметил три танка. Танкисты хотели выскочить из машины, бежать навстречу, но увидели, что это гитлеровские танки идут в контратаку. Что делать? Начинать поединок с врагом на своей малютке, имеющей 20-мм пушку, - бессмысленно. Решение созрело мгновенно. Командир танка подал команду механику-водителю: "Отходи к той роще, на опушке которой заняли огневые позиции наши орудия!"</w:t>
      </w:r>
    </w:p>
    <w:p w14:paraId="68F42DF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маневрируя, делая неожиданные и резкие повороты, ускользал от огня гитлеровских танков, а Осатюк вел по ним огонь, пытался ослепить, оглушить врага. Дуэль продолжалась несколько минут. Были моменты, когда казалось, что вот-вот бронированные чудовища настигнут, навалятся и раздавят. Когда до рощи оставалось около 200 метров, машина Осатюка резко повернула налево. Головной гитлеровский танк также развернулся, но попал под огонь наших орудий и запылал. Затем был подбит и второй танк, а третий покинул поле боя (3862).</w:t>
      </w:r>
    </w:p>
    <w:p w14:paraId="7A95501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"Теперь, Ванюша, вперед!" - приказал командир водителю. Догнав свою роту, они увидели интересную картину - танкисты загнали пехоту противника в огромный котлован. Гитлеровцы упорно сопротивлялись, забрасывали наши танки гранатами. Было ясно, что медлить нельзя, фашисты успеют окопаться. Осатюк приказывает Макаренкову накатать след к обрыву, проложить колею. Затем танк, набирая скорость, устремился к котловану, пролетел в воздухе и врезался в фашистов (3862).</w:t>
      </w:r>
    </w:p>
    <w:p w14:paraId="4D2DCAD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"Молодец!- крикнул лейтенант - Теперь действуй!". Машина на большой скорости понеслась по дну котлована, уничтожая гитлеровцев огнем и гусеницами. Сделав несколько кругов, танк сбавил ход, вышел на середину котлована и остановился. Все было кончено. Подошли свои" (3862).</w:t>
      </w:r>
    </w:p>
    <w:p w14:paraId="70CB36C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Лейтенанту Д.И.Осатюку и механику-водителю старшине И.М.Макаренкову присвоили звания Героя Советского Союза (3862).</w:t>
      </w:r>
    </w:p>
    <w:p w14:paraId="3F02461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48B94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командир 235 ООТБр на имя Ком. БТ и МВ г-п Коробкова писал:</w:t>
      </w:r>
    </w:p>
    <w:p w14:paraId="61F7A99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специальному делу огнеметания, что было возможно в конкретной обстановке, экипажи работали хорошо и принесли ущерб противнику, а особенно моральное воздействие было настолько велико для противника, что экипажи немецких танков в момент применения огнеметания по ним бросали свои танки и убегали...” (5219, 33).</w:t>
      </w:r>
    </w:p>
    <w:p w14:paraId="7532ABF2"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FB60C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г. было РАСПОРЯЖЕНИЕ НАЧАЛЬНИКА ГБТУ КА КОМАНДУЮЩИМ БТ и МВ ФРОНТОВ И ОТДЕЛЬНЫМИ АРМИЯМИ, НАЧАЛЬНИКАМ БРОНЕТАНКОВЫХ ОТДЕЛОВ ВОЕННЫХ ОКРУГОВ ОБ ИЗМЕНЕНИЯХ ПОРЯДКА ФИНАНСИРОВАНИЯ № 1101210</w:t>
      </w:r>
    </w:p>
    <w:p w14:paraId="4DBD2B9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Директивой ФУ при НКО №1128539/с от 31.12.1942 г., прилагаемой</w:t>
      </w:r>
      <w:r w:rsidRPr="00D03F3E">
        <w:rPr>
          <w:rFonts w:ascii="Times New Roman" w:hAnsi="Times New Roman"/>
          <w:color w:val="000000" w:themeColor="text1"/>
          <w:sz w:val="16"/>
          <w:szCs w:val="16"/>
          <w:vertAlign w:val="superscript"/>
        </w:rPr>
        <w:t>1</w:t>
      </w:r>
      <w:r w:rsidRPr="00D03F3E">
        <w:rPr>
          <w:rFonts w:ascii="Times New Roman" w:hAnsi="Times New Roman"/>
          <w:color w:val="000000" w:themeColor="text1"/>
          <w:sz w:val="16"/>
          <w:szCs w:val="16"/>
        </w:rPr>
        <w:t xml:space="preserve"> при этом в копии, даны указания финансовым отделам фронтов, армий и военных округов о </w:t>
      </w:r>
      <w:r w:rsidRPr="00D03F3E">
        <w:rPr>
          <w:rFonts w:ascii="Times New Roman" w:hAnsi="Times New Roman"/>
          <w:color w:val="000000" w:themeColor="text1"/>
          <w:sz w:val="16"/>
          <w:szCs w:val="16"/>
        </w:rPr>
        <w:lastRenderedPageBreak/>
        <w:t>новом порядке финансирова</w:t>
      </w:r>
      <w:r w:rsidRPr="00D03F3E">
        <w:rPr>
          <w:rFonts w:ascii="Times New Roman" w:hAnsi="Times New Roman"/>
          <w:color w:val="000000" w:themeColor="text1"/>
          <w:sz w:val="16"/>
          <w:szCs w:val="16"/>
        </w:rPr>
        <w:softHyphen/>
        <w:t>ния автобронетанковых частей в 1943 году в связи с реорганизацией Главного автобронетанкового управления Красной Армии.</w:t>
      </w:r>
    </w:p>
    <w:p w14:paraId="6D3DB2D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дополнение к этой директиве примите к руководству и исполнению с 1 января 1943 года сле</w:t>
      </w:r>
      <w:r w:rsidRPr="00D03F3E">
        <w:rPr>
          <w:rFonts w:ascii="Times New Roman" w:hAnsi="Times New Roman"/>
          <w:color w:val="000000" w:themeColor="text1"/>
          <w:sz w:val="16"/>
          <w:szCs w:val="16"/>
        </w:rPr>
        <w:softHyphen/>
        <w:t>дующее:</w:t>
      </w:r>
    </w:p>
    <w:p w14:paraId="7301E4E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Кредитами на боевую и физическую подготовку по § 14 ст. 33 сметы НКО, Вами финансиру</w:t>
      </w:r>
      <w:r w:rsidRPr="00D03F3E">
        <w:rPr>
          <w:rFonts w:ascii="Times New Roman" w:hAnsi="Times New Roman"/>
          <w:color w:val="000000" w:themeColor="text1"/>
          <w:sz w:val="16"/>
          <w:szCs w:val="16"/>
        </w:rPr>
        <w:softHyphen/>
        <w:t>ются только подчиненные Вам бронетанковые, механизированные, бронепоездные, аэросанные и мотоциклетные части и соединения.</w:t>
      </w:r>
    </w:p>
    <w:p w14:paraId="2AB737D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Боевая и физическая подготовка автомобильных и тракторных частей, не входящих в состав указанных выше частей и соединений, а также бронетанковых, механизированных, бронепоездных, аэросанных и мотоциклетных частей, входящих в состав пехоты, конницы и спецвойск, финансиру</w:t>
      </w:r>
      <w:r w:rsidRPr="00D03F3E">
        <w:rPr>
          <w:rFonts w:ascii="Times New Roman" w:hAnsi="Times New Roman"/>
          <w:color w:val="000000" w:themeColor="text1"/>
          <w:sz w:val="16"/>
          <w:szCs w:val="16"/>
        </w:rPr>
        <w:softHyphen/>
        <w:t>ются по линии инспекции физподготовки Красной Армии из кредитов по §14 ст. 32 сметы НКО.</w:t>
      </w:r>
    </w:p>
    <w:p w14:paraId="51E585A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Из кредитов по § 18 ст. 48 сметы НКО, Вами производятся расчеты с гражданскими организа</w:t>
      </w:r>
      <w:r w:rsidRPr="00D03F3E">
        <w:rPr>
          <w:rFonts w:ascii="Times New Roman" w:hAnsi="Times New Roman"/>
          <w:color w:val="000000" w:themeColor="text1"/>
          <w:sz w:val="16"/>
          <w:szCs w:val="16"/>
        </w:rPr>
        <w:softHyphen/>
        <w:t>циями по Вашим заказам:</w:t>
      </w:r>
    </w:p>
    <w:p w14:paraId="6D441B2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за все виды ремонта танков, бронемашин, бронепоездов, аэросаней и мотоциклов;</w:t>
      </w:r>
    </w:p>
    <w:p w14:paraId="68D25A5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за приобретение, ремонт и изготовление запчастей и агрегатов для указанного выше имущества;</w:t>
      </w:r>
    </w:p>
    <w:p w14:paraId="68E0BE3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 приобретение и изготовление дорогостоящего инструмента (стоимостью выше 100 рублей за предмет) и приобретение станочного оборудования для подчиненных Вам частей и учреждений.</w:t>
      </w:r>
    </w:p>
    <w:p w14:paraId="10EDC1B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Расчеты с гражданскими организациями за автомобильное и тракторное имущество, ремонт автомобилей и тракторов по поставкам 1942 года, оформленным сдачей по 31.12.1942 г. включитель</w:t>
      </w:r>
      <w:r w:rsidRPr="00D03F3E">
        <w:rPr>
          <w:rFonts w:ascii="Times New Roman" w:hAnsi="Times New Roman"/>
          <w:color w:val="000000" w:themeColor="text1"/>
          <w:sz w:val="16"/>
          <w:szCs w:val="16"/>
        </w:rPr>
        <w:softHyphen/>
        <w:t>но, производятся Вами, а оформленные сдачей после 31.12.1942 г. — автомобильными (по автоимуще</w:t>
      </w:r>
      <w:r w:rsidRPr="00D03F3E">
        <w:rPr>
          <w:rFonts w:ascii="Times New Roman" w:hAnsi="Times New Roman"/>
          <w:color w:val="000000" w:themeColor="text1"/>
          <w:sz w:val="16"/>
          <w:szCs w:val="16"/>
        </w:rPr>
        <w:softHyphen/>
        <w:t>ству) и артиллерийскими (по тракторному имуществу) довольствующими органами.</w:t>
      </w:r>
    </w:p>
    <w:p w14:paraId="0C2E11E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Кредитами на операционные расходы по §21 ст. 77 сметы НКО, Вами финансируются только подчиненные Вам фронтовые (окружные) и армейские склады, бронетанковые ремонтные заводы НКО, гарнизонные мастерские, бюджетные ремонтные базы, подвижные ремонтные базы (ПРБ), автобронетанковые мастерские (АБТМ) и подвижные железнодорожные мастерские «В».</w:t>
      </w:r>
    </w:p>
    <w:p w14:paraId="5E71A52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тех случаях, когда на подчиненных Вам складах производится прием, отправка и хранение автомобильного или тракторного имущества, финансирование этих мероприятий производится Вами из средств по § 21 ст. 77.</w:t>
      </w:r>
    </w:p>
    <w:p w14:paraId="48D8D7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этих случаях никаких взаимных расчетов (или заключения договоров) между Вами и автомо</w:t>
      </w:r>
      <w:r w:rsidRPr="00D03F3E">
        <w:rPr>
          <w:rFonts w:ascii="Times New Roman" w:hAnsi="Times New Roman"/>
          <w:color w:val="000000" w:themeColor="text1"/>
          <w:sz w:val="16"/>
          <w:szCs w:val="16"/>
        </w:rPr>
        <w:softHyphen/>
        <w:t>бильными (артиллерийскими) довольствующими органами, а также предъявление счетов войсковым частям - владельцам этого имущества, не производить.</w:t>
      </w:r>
    </w:p>
    <w:p w14:paraId="41D034A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Оплата счетов хозрасчетных ремзаводов НКО, переданных автомобильным или артиллерий</w:t>
      </w:r>
      <w:r w:rsidRPr="00D03F3E">
        <w:rPr>
          <w:rFonts w:ascii="Times New Roman" w:hAnsi="Times New Roman"/>
          <w:color w:val="000000" w:themeColor="text1"/>
          <w:sz w:val="16"/>
          <w:szCs w:val="16"/>
        </w:rPr>
        <w:softHyphen/>
        <w:t>ским довольствующим органам, за продукцию этого года, оформленную сдачей по 31.12.1942 г. про</w:t>
      </w:r>
      <w:r w:rsidRPr="00D03F3E">
        <w:rPr>
          <w:rFonts w:ascii="Times New Roman" w:hAnsi="Times New Roman"/>
          <w:color w:val="000000" w:themeColor="text1"/>
          <w:sz w:val="16"/>
          <w:szCs w:val="16"/>
        </w:rPr>
        <w:softHyphen/>
        <w:t>изводится Вами, а оформленную сдачей после 31.12.1942 г. — автомобильными (по автомобильным ремзаводам) и артиллерийскими (по тракторным ремзаводам) соответствующими органами.</w:t>
      </w:r>
    </w:p>
    <w:p w14:paraId="6B80946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Кредитами на содержание и ремонт техники в войсках по §22 ст. 88 сметы НКО Вами финан</w:t>
      </w:r>
      <w:r w:rsidRPr="00D03F3E">
        <w:rPr>
          <w:rFonts w:ascii="Times New Roman" w:hAnsi="Times New Roman"/>
          <w:color w:val="000000" w:themeColor="text1"/>
          <w:sz w:val="16"/>
          <w:szCs w:val="16"/>
        </w:rPr>
        <w:softHyphen/>
        <w:t>сируются бронепоездные части и все части учреждения, имеющие в наличии положенные по штатам танки автомашины, аэросани и мотоциклы...(11403).</w:t>
      </w:r>
    </w:p>
    <w:p w14:paraId="3ECA13E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6B432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генерал Г. Жуков произведен в маршалы (4962).</w:t>
      </w:r>
    </w:p>
    <w:p w14:paraId="52FB7FF6"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68EFF0"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75C98F6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8FF5C7"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в Тунисе немецкие войска впервые пустили в бой танки “Тигр” (4962).</w:t>
      </w:r>
    </w:p>
    <w:p w14:paraId="3DD4C18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109FD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немцы в Ливии применили танки Тигр (2262).</w:t>
      </w:r>
    </w:p>
    <w:p w14:paraId="66D118D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B2646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1943 немцы возобновили бомбардировки Лондона (3907,241).</w:t>
      </w:r>
    </w:p>
    <w:p w14:paraId="1CC329D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284C1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января - 16 июня 1943 Япония сосредоточила п/л у восточного побережья Австралии (3907,241).</w:t>
      </w:r>
    </w:p>
    <w:p w14:paraId="52FC9A7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BE042C"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77B2D00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E326F6" w14:textId="77777777" w:rsidR="0014435F" w:rsidRPr="00D03F3E"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19 января 1943 «заместителю народного комиссара авиационной промышленности Союза ССР генерал-майору ИАС тов. Яковлеву» ушло письмо за подписью генерал-майора А.А. Лапина (копия - «Гл. конструктору самолета Ил-2 генерал-майору ИАС т. Ильюшину»), В нем указывалось: «Ввиду трудностей обеспечения частей ВВС КА углекислотой, мною быт поставлен перед генерал-майором ИАС тов Ильюшиным вопрос о срочной отработке на самолете Ил-2 системы заполнения бензобаков и отсеков газами от выхлопа мотора. Письмом № 860с от 30.12.42 г. генерал-майор ИАС тов. Ильюшин сообщает, что устанавливать на самолете Ил-2 систему нейтральных газов от выхлопа мотора нецелесообразно и предлагает оставить старую систему заполнения бензобаков от баллона с углекислотой».</w:t>
      </w:r>
    </w:p>
    <w:p w14:paraId="225A6870" w14:textId="77777777" w:rsidR="0014435F" w:rsidRPr="00D03F3E"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Лапин подтверждал необходимость отработки «системы заполнения бензобаков и отсеков на самолете Ил-2 газами от выхлопа мотора» и просил А.С. Яковлева «дать указания спец. КБ завода №156 и заводу №30 установить на одном из самолетов Ил-2 указанную систему, с последующей передачей этого самолета на испытания в НИИ ВВС КА».</w:t>
      </w:r>
    </w:p>
    <w:p w14:paraId="01654597" w14:textId="77777777" w:rsidR="0014435F" w:rsidRPr="00D03F3E"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Однако никаких попыток создать систему НГ-2 для Ил-2 не предпринималось, а система нейтрального газа 1 -й зоны от выхлопа мотора была разработана и испытана. Первый вариант системы НГ-1 смонтировали на серийном самолете Ил-2 (зав. №1873370) только в августе 1943 г. К 1 сентября его передали в ЛИС завода №18 для проведения заводских испытаний.</w:t>
      </w:r>
    </w:p>
    <w:p w14:paraId="252B6E79" w14:textId="77777777" w:rsidR="0014435F" w:rsidRPr="00D03F3E"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Забор газов для заполнения бензобаков производился от 5-го выхлопного патрубка левого блока мотора при помощи специального газозаборника, вваренного в патрубок навстречу потоку газов. Газозаборник выполнялся из жароупорной стальной трубы, участок от газозаборника до входа в крыло - из стальной трубки, а остальная часть - из дюралевых труб. Включение и отключение подачи выхлопных газов в бензобаки осуществлялось летчиком при помощи крана пробкового типа.</w:t>
      </w:r>
    </w:p>
    <w:p w14:paraId="0E39EFC7" w14:textId="77777777" w:rsidR="0014435F" w:rsidRPr="00D03F3E"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На первом этапе программы испытаний планировалось выполнить три полета, во время которых предполагалось взять пробы газа из баков, замерить давление газа в баках и его температуру перед входом в фильтр-отстойник и на входе в баки. Отбор газа производился с помощью кислородных подушек.</w:t>
      </w:r>
    </w:p>
    <w:p w14:paraId="5FB05FC6" w14:textId="77777777" w:rsidR="0014435F" w:rsidRPr="00D03F3E"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Первый же полет показал несовершенство конструкции, предложенной заводом №18. Выполнить отбор газа для пробы в полете не удалось. Стрелка манометра едва отклонялась, не давая возможности произвести отсчет давления. Температура газа у входа в фильтр была зарегистрирована 50°С, у входа в бензобаки 15‘С. По словам летчика, трубки системы и кран заполнения, находящиеся в кабине были во время полета горячими. При попытке набрать газ в кислородную подушку из прямого участка магистрали, идущей от забора к фильтру, удалось за 3 мин набрать всего 1,5-2 л.</w:t>
      </w:r>
    </w:p>
    <w:p w14:paraId="0C571326" w14:textId="77777777" w:rsidR="0014435F" w:rsidRPr="00D03F3E"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Полученные данные оказались далекими от ожидаемого результата и главное, весьма противоречивыми. В качестве основной причины отмечалось неудачное расположение трубки газозаборника, которая «своим обрезком близко расположена к клапанам» и «находится в затененном пространстве между клапанами и в нее мало поступает газа». Кроме этого, требовалось выполнить тарировку приборов - манометров и датчиков температур.</w:t>
      </w:r>
    </w:p>
    <w:p w14:paraId="03865D4B" w14:textId="77777777" w:rsidR="0014435F" w:rsidRPr="00D03F3E"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ходе второго испытательного полета установили, что температуры газов нормальные, «но газа удалось набрать в количестве, недостаточном для производства анализа». В этой связи решили изменить форму газозаборника и его местоположение в выхлопном патрубке: «..Заборная трубка изготавливается с раструбом и будет поставлена эксцентрично в выхлопном патрубке».</w:t>
      </w:r>
    </w:p>
    <w:p w14:paraId="54B5BA78" w14:textId="77777777" w:rsidR="0014435F" w:rsidRPr="00D03F3E"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 этому времени было получено устное распоряжение по телефону от начальника 1-го отдела УЗСиМ ГУ НАС ВВС инженер-полковника Ковалева о срочной отправке самолета на испытания в НИИ ВВС.</w:t>
      </w:r>
    </w:p>
    <w:p w14:paraId="5ABF7E96" w14:textId="77777777" w:rsidR="0014435F" w:rsidRPr="00D03F3E"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Уже к 10 октября систему доработали и выполнили очередной испытательный полет. Были взяты две пробы газа на земле при работе мотора на режиме 2050 об/мин и Ра=1200 и Ра=800-880 мм.рт.ст. и одна проба в воздухе.</w:t>
      </w:r>
    </w:p>
    <w:p w14:paraId="7F681708" w14:textId="77777777" w:rsidR="0014435F" w:rsidRPr="00D03F3E"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Проба в полете отбиралась в течение 25 мин, спустя 15 мин после взлета при включенном заполнении баков от выхлопа. Все три пробы показали одно и то же содержание С0</w:t>
      </w:r>
      <w:r w:rsidRPr="00D03F3E">
        <w:rPr>
          <w:rFonts w:ascii="Times New Roman" w:eastAsia="Times New Roman" w:hAnsi="Times New Roman"/>
          <w:color w:val="000000" w:themeColor="text1"/>
          <w:sz w:val="16"/>
          <w:szCs w:val="16"/>
          <w:shd w:val="clear" w:color="auto" w:fill="FFFFFF"/>
          <w:vertAlign w:val="subscript"/>
          <w:lang w:eastAsia="ru-RU"/>
        </w:rPr>
        <w:t>2</w:t>
      </w:r>
      <w:r w:rsidRPr="00D03F3E">
        <w:rPr>
          <w:rFonts w:ascii="Times New Roman" w:eastAsia="Times New Roman" w:hAnsi="Times New Roman"/>
          <w:color w:val="000000" w:themeColor="text1"/>
          <w:sz w:val="16"/>
          <w:szCs w:val="16"/>
          <w:lang w:eastAsia="ru-RU"/>
        </w:rPr>
        <w:t xml:space="preserve"> - 2-2,5%. После этого взяли еще одну пробу непосредственно из трубки, идущей от заборника. Ее анализ показал содержание С0</w:t>
      </w:r>
      <w:r w:rsidRPr="00D03F3E">
        <w:rPr>
          <w:rFonts w:ascii="Times New Roman" w:eastAsia="Times New Roman" w:hAnsi="Times New Roman"/>
          <w:color w:val="000000" w:themeColor="text1"/>
          <w:sz w:val="16"/>
          <w:szCs w:val="16"/>
          <w:shd w:val="clear" w:color="auto" w:fill="FFFFFF"/>
          <w:vertAlign w:val="subscript"/>
          <w:lang w:eastAsia="ru-RU"/>
        </w:rPr>
        <w:t>2</w:t>
      </w:r>
      <w:r w:rsidRPr="00D03F3E">
        <w:rPr>
          <w:rFonts w:ascii="Times New Roman" w:eastAsia="Times New Roman" w:hAnsi="Times New Roman"/>
          <w:color w:val="000000" w:themeColor="text1"/>
          <w:sz w:val="16"/>
          <w:szCs w:val="16"/>
          <w:lang w:eastAsia="ru-RU"/>
        </w:rPr>
        <w:t xml:space="preserve"> равное 4-4,5%. Давление газа в баке во всех случаях не превышало 0,03 атм. Температура газа до фильтра составляла 18-20‘С, на входе в бак - 10-12°С, при окружающей температуре 10°С.</w:t>
      </w:r>
    </w:p>
    <w:p w14:paraId="5748863D" w14:textId="77777777" w:rsidR="0014435F" w:rsidRPr="00D03F3E"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Комиссия специалистов военного представительства, СКО и ЛИС завода №18 сочла, что: «система обеспечивает поступление в баки выхлопных газов, с содержанием 4-4,5% С0</w:t>
      </w:r>
      <w:r w:rsidRPr="00D03F3E">
        <w:rPr>
          <w:rFonts w:ascii="Times New Roman" w:eastAsia="Times New Roman" w:hAnsi="Times New Roman"/>
          <w:color w:val="000000" w:themeColor="text1"/>
          <w:sz w:val="16"/>
          <w:szCs w:val="16"/>
          <w:shd w:val="clear" w:color="auto" w:fill="FFFFFF"/>
          <w:vertAlign w:val="subscript"/>
          <w:lang w:eastAsia="ru-RU"/>
        </w:rPr>
        <w:t>2</w:t>
      </w:r>
      <w:r w:rsidRPr="00D03F3E">
        <w:rPr>
          <w:rFonts w:ascii="Times New Roman" w:eastAsia="Times New Roman" w:hAnsi="Times New Roman"/>
          <w:color w:val="000000" w:themeColor="text1"/>
          <w:sz w:val="16"/>
          <w:szCs w:val="16"/>
          <w:lang w:eastAsia="ru-RU"/>
        </w:rPr>
        <w:t xml:space="preserve"> и до 70% азота, что должно обеспечить полную локализацию возможного воспламенения паров бензина при поражении баков. Ввиду низкой температуры газа у фильтра, комиссия находит нужным смонтировать газовый фильтр и проводку в капоте мотора, во избежание замерзания конденсата и нарушения работы системы».</w:t>
      </w:r>
    </w:p>
    <w:p w14:paraId="1452C793" w14:textId="77777777" w:rsidR="0014435F" w:rsidRPr="00D03F3E"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Систему в очередной раз доработали, после чего самолет сначала поступил в ЛИИ НКАП для прохождения предварительных испытаний с целью «получения полного заключения о пригодности данной системы для внедрения в серию» перед передачей самолета в НИИ ВВС.</w:t>
      </w:r>
    </w:p>
    <w:p w14:paraId="46BF1E14" w14:textId="77777777" w:rsidR="0014435F" w:rsidRPr="00D03F3E"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Специалисты ЛИИ НКАП раскритиковали систему СКО завода №18 и разработали свою собственную конструкцию. В результате самолет Ил-2 (зав. №1873370) с мотором АМ-38ф, оборудованный системой заполнения бензобаков выхлопными газами мотора - система НГ 1-й зоны, поступил в НИИ ВВС для прохождения совместных государственных испытаний лишь в апреле 1944 г. На нем испытывались две системы «нейтрального газа»: СКО завода №18 и ЛИИ НКАП.</w:t>
      </w:r>
    </w:p>
    <w:p w14:paraId="2CF1D0A4" w14:textId="77777777" w:rsidR="0014435F" w:rsidRPr="00D03F3E"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lastRenderedPageBreak/>
        <w:t>Испытания показали, что в системе завода №18, наряду с достаточной концентрацией С0</w:t>
      </w:r>
      <w:r w:rsidRPr="00D03F3E">
        <w:rPr>
          <w:rFonts w:ascii="Times New Roman" w:eastAsia="Times New Roman" w:hAnsi="Times New Roman"/>
          <w:color w:val="000000" w:themeColor="text1"/>
          <w:sz w:val="16"/>
          <w:szCs w:val="16"/>
          <w:shd w:val="clear" w:color="auto" w:fill="FFFFFF"/>
          <w:vertAlign w:val="subscript"/>
          <w:lang w:eastAsia="ru-RU"/>
        </w:rPr>
        <w:t>2</w:t>
      </w:r>
      <w:r w:rsidRPr="00D03F3E">
        <w:rPr>
          <w:rFonts w:ascii="Times New Roman" w:eastAsia="Times New Roman" w:hAnsi="Times New Roman"/>
          <w:color w:val="000000" w:themeColor="text1"/>
          <w:sz w:val="16"/>
          <w:szCs w:val="16"/>
          <w:lang w:eastAsia="ru-RU"/>
        </w:rPr>
        <w:t xml:space="preserve"> и 0</w:t>
      </w:r>
      <w:r w:rsidRPr="00D03F3E">
        <w:rPr>
          <w:rFonts w:ascii="Times New Roman" w:eastAsia="Times New Roman" w:hAnsi="Times New Roman"/>
          <w:color w:val="000000" w:themeColor="text1"/>
          <w:sz w:val="16"/>
          <w:szCs w:val="16"/>
          <w:shd w:val="clear" w:color="auto" w:fill="FFFFFF"/>
          <w:vertAlign w:val="subscript"/>
          <w:lang w:eastAsia="ru-RU"/>
        </w:rPr>
        <w:t>2</w:t>
      </w:r>
      <w:r w:rsidRPr="00D03F3E">
        <w:rPr>
          <w:rFonts w:ascii="Times New Roman" w:eastAsia="Times New Roman" w:hAnsi="Times New Roman"/>
          <w:color w:val="000000" w:themeColor="text1"/>
          <w:sz w:val="16"/>
          <w:szCs w:val="16"/>
          <w:lang w:eastAsia="ru-RU"/>
        </w:rPr>
        <w:t xml:space="preserve"> в газовой среде бензобаков, выхлопные газы, заполняющие бензобаки, содержат значительное количество воды, скапливающейся в газопроводе, в бензобаках и в фильтре бензосистемы. Неудовлетворительное обезвоживание выхлопных газов обуславливалось высокой температурой выхлопных газов, достигающей в районе фильтра-отстойника 40-74°С вместо максимально допустимой температуры 30°С.</w:t>
      </w:r>
    </w:p>
    <w:p w14:paraId="53DDE238" w14:textId="77777777" w:rsidR="0014435F" w:rsidRPr="00D03F3E"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Для снижения температуры газа и улучшения конденсации водяных паров, содержащихся в выхлопных газах, система нейтрального газа ЛИИ НКАП включала специальные конденсаторы, выполненные из трубы с внутренними перегородками. Эта схема показала хорошие результаты. Обеспечивалось вполне достаточное обезвоживание выхлопных газов даже при наличии негерметичности системы (искусственное отверстие диаметром 4 мм). Конденсат в фильтре-отстойнике за 1 ч полета в среднем не превышал 60 см</w:t>
      </w:r>
      <w:r w:rsidRPr="00D03F3E">
        <w:rPr>
          <w:rFonts w:ascii="Times New Roman" w:eastAsia="Times New Roman" w:hAnsi="Times New Roman"/>
          <w:color w:val="000000" w:themeColor="text1"/>
          <w:sz w:val="16"/>
          <w:szCs w:val="16"/>
          <w:shd w:val="clear" w:color="auto" w:fill="FFFFFF"/>
          <w:vertAlign w:val="superscript"/>
          <w:lang w:eastAsia="ru-RU"/>
        </w:rPr>
        <w:t>3</w:t>
      </w:r>
      <w:r w:rsidRPr="00D03F3E">
        <w:rPr>
          <w:rFonts w:ascii="Times New Roman" w:eastAsia="Times New Roman" w:hAnsi="Times New Roman"/>
          <w:color w:val="000000" w:themeColor="text1"/>
          <w:sz w:val="16"/>
          <w:szCs w:val="16"/>
          <w:lang w:eastAsia="ru-RU"/>
        </w:rPr>
        <w:t>. При этом концентрация е бензобаках С0</w:t>
      </w:r>
      <w:r w:rsidRPr="00D03F3E">
        <w:rPr>
          <w:rFonts w:ascii="Times New Roman" w:eastAsia="Times New Roman" w:hAnsi="Times New Roman"/>
          <w:color w:val="000000" w:themeColor="text1"/>
          <w:sz w:val="16"/>
          <w:szCs w:val="16"/>
          <w:shd w:val="clear" w:color="auto" w:fill="FFFFFF"/>
          <w:vertAlign w:val="subscript"/>
          <w:lang w:eastAsia="ru-RU"/>
        </w:rPr>
        <w:t>2</w:t>
      </w:r>
      <w:r w:rsidRPr="00D03F3E">
        <w:rPr>
          <w:rFonts w:ascii="Times New Roman" w:eastAsia="Times New Roman" w:hAnsi="Times New Roman"/>
          <w:color w:val="000000" w:themeColor="text1"/>
          <w:sz w:val="16"/>
          <w:szCs w:val="16"/>
          <w:lang w:eastAsia="ru-RU"/>
        </w:rPr>
        <w:t xml:space="preserve"> и 0</w:t>
      </w:r>
      <w:r w:rsidRPr="00D03F3E">
        <w:rPr>
          <w:rFonts w:ascii="Times New Roman" w:eastAsia="Times New Roman" w:hAnsi="Times New Roman"/>
          <w:color w:val="000000" w:themeColor="text1"/>
          <w:sz w:val="16"/>
          <w:szCs w:val="16"/>
          <w:shd w:val="clear" w:color="auto" w:fill="FFFFFF"/>
          <w:vertAlign w:val="subscript"/>
          <w:lang w:eastAsia="ru-RU"/>
        </w:rPr>
        <w:t>2</w:t>
      </w:r>
      <w:r w:rsidRPr="00D03F3E">
        <w:rPr>
          <w:rFonts w:ascii="Times New Roman" w:eastAsia="Times New Roman" w:hAnsi="Times New Roman"/>
          <w:color w:val="000000" w:themeColor="text1"/>
          <w:sz w:val="16"/>
          <w:szCs w:val="16"/>
          <w:lang w:eastAsia="ru-RU"/>
        </w:rPr>
        <w:t xml:space="preserve"> достигала 2-4% и 8-12% соответственно.</w:t>
      </w:r>
    </w:p>
    <w:p w14:paraId="023C527E" w14:textId="77777777" w:rsidR="0014435F" w:rsidRPr="00D03F3E"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итоге система НГ 1-й зоны конструкции ЛИИ НКАП была рекомендована в качестве эталона для внедрения в серию на всех самолетах Ил-2 с АМ-38ф вместо стандартной углекислотной установки. Кроме этого, в отчете пс испытаниям от 4 мая эта система рекомендовалась для установки «на модификации самолетов Ил-2 с новым типом мотора (самолеты Ил-2 с мотором АМ-42. - Прим, авт.) с последующей проверкой ее характеристики летными испытаниями».</w:t>
      </w:r>
    </w:p>
    <w:p w14:paraId="5F355E93" w14:textId="77777777" w:rsidR="0014435F" w:rsidRPr="00D03F3E"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Как известно, до самого окончания войны штурмовики Ил-2 летали с системой НГ-1-й зоны от баллона углекислоты под давлением. Надо сказать, ОКБ С.В. Ильюшина так и не смогло отладить систему НГ-1 от выхлопа мотора и на других штурмовиках. На опытном Ил-8 такая система имелась, но на государственные испытания она не предъявлялась, так как не была «доведена до ума». На серийном штурмовике Ил-10 поначалу система нейтральных газов вообще не предусматривалась. Самолет был принят на вооружение без НГ-1 хотя без нее боевой самолет в то время уже не мыслился. Такую систему внедрили уже в ходе серийного производства (17733).</w:t>
      </w:r>
    </w:p>
    <w:p w14:paraId="1D7A0D17" w14:textId="77777777" w:rsidR="0014435F" w:rsidRPr="00D03F3E"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E54F41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января 1943 на Ер-2 2М-30Б на заводах 134 и 500 полетов не было и в тире отстреливали пулеметное вооружение. Заменили топливный бак (1458,30).</w:t>
      </w:r>
    </w:p>
    <w:p w14:paraId="4C25BE5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033C3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января 1943 г. вышел приказ по заводу № 16: «…Коллектив завода и Особое ОКБ напряженно работают над объектом 5050. Сейчас необходимо данный объект в короткие сроки поставить на боевую машину». Мартовский приказ директора гласил: «В соответствии с приказом НКАП от 12.03.43 за № 144сс о постройке двигателя РД-1 (объект 5050) приказываю:</w:t>
      </w:r>
    </w:p>
    <w:p w14:paraId="1A29B71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Начальнику производства Чевела и начальнику Особого ОКБ Бекетову изготовить один комплект четырехкамерного двигателя к 1.04.43, три комплекта к 1.07.43 и два комплекта однокамерного двигателя к 1.04.43» (12049).</w:t>
      </w:r>
    </w:p>
    <w:p w14:paraId="4D61AE2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638608"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0019B5A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5A8BD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19 января 1943 на заводе № 200 был изготовлен корпус САУ-152 (6001,20).</w:t>
      </w:r>
    </w:p>
    <w:p w14:paraId="2DB40F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BAD94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 19 января на заводе № 200 изготовили корпус машины. К утру 23 января на заводе № 100 завершились все работы по сборке САУ, за исключением монтажа арт-системы, которая прибыла на завод только вечером. Тут-то и выяснилось, что орудие не проходит в амбразуру, предназначенную для нее в лобовом листе рубки. Пришлось расширять амбразуру газовой резкой по месту. На следующий день САУ КВ-14 (объект 236) своим ходом ушла на Чебаркульский артиллерийский полигон, расположенный в 107 км от Челябинска. Испытания прошли вполне успешно и были закончены к 7 февраля 1943 года. Постановлением ГКО от 14 февраля 1943 года образец КВ-14 приняли на вооружение и поставили на серийное производство. В апреле 1943 года ГКО постановил КВ-14 впредь именовать СУ-152. </w:t>
      </w:r>
    </w:p>
    <w:p w14:paraId="6E2D70D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Самоходная установка СУ-152 относилась к типу полностью бронированных самоходных установок с передним расположением боевой рубки. Боевое отделение и отделение управления были совмещены. Механик-водитель занимал место слева впереди в отделении управления, за ним — наводчик, за наводчиком — заряжающий. Справа от орудия впереди размещался командир машины, за ним — замковый. Для наблюдения за полем боя использовались перископ ПТК-4, обеспечивавший круговой обзор, и пять приз-менных зеркальных смотровых приборов, установленных на крыше рубки и крышках левого и кормового люков. В крышке правого люка имелся лючок для сигнализации. Механик-водитель вел наблюдение за полем боя через лючок со стеклоблоком, закрываемый броневой крышкой со смотровой щелью. Посадка экипажа производилась через два люка: круглый, расположенный в передней части крыши справа, и прямоугольный двухстворчатый люк, расположенный в кормовой части крыши и кормовом листе рубки. В днище корпуса в боевом отделении был предусмотрен аварийный люк. </w:t>
      </w:r>
    </w:p>
    <w:p w14:paraId="6050085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Корпус и рубка установки были сварены из броневых катаных листов толщиной 20, 30, 60 и 70 мм. Маска пушки имела толщину 60 мм. Зазор между подвижной бронировкой орудия и верхним лобовым листом корпуса машины защищался броневым прикрытием. Лобовой, скуловые, бортовые и кормовой броневые листы рубки, а также лобовые листы корпуса отличались рациональными углами наклона. Борта корпуса — вертикальные. В правом нижнем бортовом листе корпуса в боевом отделении располагался люк для загрузки боеприпасов с откидной броневой крышкой. Для стрельбы из личного оружия в лобовом и кормовом листах рубки имелись бойницы, закрывавшиеся броневыми пробками. Крыша броневой рубки — съемная, состояла из двух частей. С передним, скуловыми, боковыми и кормовым листами рубки листы крыши соединялись с помощью болтов. В передней части крыши рубки, помимо двух люков и отверстия под смотровой прибор, имелись два отверстия (справа) для установки командирской панорамы и антенного ввода, прикрытого броневым стаканом, и сзади справа — лючок, закрывавшийся откидной броневой крышкой, для доступа к заправочным горловинам топливных баков, расположенных в боевом отделении. Отверстия под смотровые приборы в крыше рубки и крышках люков имели броневое прикрытие. Вентиляция боевого отделения осуществлялась за счет тяги воздуха, создававшейся работающим двигателем при открытых шиберах в моторной перегородке. </w:t>
      </w:r>
    </w:p>
    <w:p w14:paraId="795C7F5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Кормовая часть корпуса состояла из двух броневых листов (верхнего и нижнего) закругленной формы. В средней части верхний лист перекрывал нижний, образуя тем самым карман для выхода охлаждающего воздуха из МТО самоходной установки. Для защиты от попадания посторонних предметов карман закрывался проволочной сеткой. Крыша МТО состояла из двух съемных броневых листов, крепившихся к корпусу САУ болтами. Первый лист крыши в центральной части имел люк для доступа к двигателю, закрывавшийся броневой крышкой. В центре крышки в выпуклой ее части находилось отверстие, предназначавшееся для заливки воды в систему охлаждения двигателя. Вдоль бортов корпуса имелись два прямоугольных отверстия для доступа охлаждающего воздуха к двигателю, закрывавшиеся сверху защитными сетками. В задней части листа были выполнены два отверстия для прохода выхлопных труб, над которыми устанавливались броневые кожуха. Задний лист крыши оборудовался двумя круглыми люками с откидными броневыми крышками для доступа к узлам и агрегатам трансмиссии. Днище корпуса было сварено из двух броневых листов и имело люки и отверстия, закрываемые броневыми крышками. В амбразуре лобового листа рубки в рамке устанавливалась 152-мм гаубица-пушка МЛ-20 обр. 1937 г. Орудие снабжалось поршневым затвором с инерционным предохранителем и щелевым дульным тормозом. Длина ствола составляла 28,8 калибра, высота линии огня — 1800 мм. В конструкции противооткатных устройств использовались гидравлический тормоз отката и гидропневматический накатник. Подъемный и поворотный механизмы секторного типа обеспечивали углы вертикальной наводки от -5° до +18°, горизонтальной — в секторе 12°. Телескопические прицелы СТ-10 или КТ-5 использовались при стрельбе прямой наводкой, а панорама Герца — при стрельбе с закрытых огневых позиций. Для стрельбы ночью шкалы прицела и панорамы, а также прицельная и орудийная стрелки оснащались специальной подсветкой. Дальность стрельбы прямой наводкой составляла 3800 м, наибольшая — 6200 м. Скорострельность пушки-гаубицы достигала 2 выстр./мин. Для облегчения заряжания орудия имелся откидной лоток, который обеспечивал устранение задевания ведущего пояска снаряда за срез трубы ствола. </w:t>
      </w:r>
    </w:p>
    <w:p w14:paraId="6C8D297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боекомплект входили 20 выстрелов раздельного гильзового заряжания. Для стрельбы использовались осколочно-фугасная дальнобойная стальная пушечная граната ОФ-540, бетонобойный гаубичный снаряд Г-530, осколочно-фугасная дальнобойная стальная гаубичная граната ОФ-530, осколочная дальнобойная гаубичная граната из сталистого чугуна О-530А, бронебойно-трассирующий снаряд БР-540 и фугасный морской полубронебойный снаряд. Кроме того, могли использоваться пушечные бетонобойные снаряды Г-545 массой 56 кг и фугасные стальные пушечные гранаты старого образца Ф-542 и Ф-542Ш. Дополнительно в боевом отделении укладывались два 7,62-мм пистолета-пулемета ППШ с боекомплектом 1278 патронов (18 дисков) и 25 гранат Ф-1, позднее боекомплект к ППШ был увеличен до 1562 патронов (22 диска). В моторно-трансмиссионном отделении вдоль продольной оси корпуса устанавливался двенадцатицилиндровый V-образный четырехтактный дизель В-2К мощностью 600 л.с. Пуск двигателя осуществлялся с помощью электростартера СТ-700 мощностью 15 л.с. или сжатого воздуха из двух воздушных баллонов емкостью 5 л каждый. Емкость основных топливных баков составляла 600 — 615 л. При установке запасных наружных баков запас возимого топлива увеличивался на 360 л. Запас хода установки по шоссе на основных баках достигал 330 км. </w:t>
      </w:r>
    </w:p>
    <w:p w14:paraId="7E7D329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состав трансмиссии входили многодисковый главный фрикцион сухого трения, четырехступенчатая коробка передач с демультипликатором, обеспечивавшая восемь передач переднего и две передачи заднего хода, два многодисковых бортовых фрикциона с плавающими ленточными тормозами и два бортовых планетарных редуктора. Состав гусеничного движителя — 12 сдвоенных опорных катков (диаметром 600 мм), шесть поддерживающих катков, два направляющих колеса с механизмами натяжения гусениц и два ведущих колеса кормового расположения со съемными зубчатыми венцами. Зацепление — цевочное. Подвеска — индивидуальная торсионная, с ограничителями хода опорных катков. Опорные и поддерживающие катки, а также направляющие колеса были выполнены цельнометаллическими, без резиновой амортизации. Ширина штампованного трака гусеницы равнялась 608 мм. </w:t>
      </w:r>
    </w:p>
    <w:p w14:paraId="240BB6A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машине устанавливалась радиостанция 9Р или ЮР (ЮРК-26) с умформерами РУ-75В и РУ-11Б, для внутренней связи служило танковое переговорное устройство ТПУ-4БИС (11638).</w:t>
      </w:r>
    </w:p>
    <w:p w14:paraId="706A399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3066C5"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19 января 1943 года — председатель арткома ГАУ КА генерал-лейтенант Хохлов сообщил заместителю начальника ГБТУ КА Коробкову, что начальник ГАУ КА Н. Яковлев утвердил тактико-технические требования на разработку 76-мм штурмовой самоходной пушки СУ-76 на шасси трофейных самоходных установок «Артштурм» и танков Т-3.</w:t>
      </w:r>
    </w:p>
    <w:p w14:paraId="79E3526E"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них говорилось, что «76-мм штурмовая самоходная пушка предназначена в качестве орудия сопровождения мотомехчастей и пехоты для борьбы с огневыми точками, танками и живой силой противника, как прямой наводке, так и с закрытых позиций». Для изготовления такой машины с экипажем из четырех человек предполагалось использовать штатную качающуюся часть 76-мм танковой пушки Ф-34 и шасси немецкого трофейного танка Т-3 (Pz. I II) или самоходки «Артштурм» (StuG III).</w:t>
      </w:r>
    </w:p>
    <w:p w14:paraId="20DE2F03" w14:textId="77777777" w:rsidR="008E3DEE" w:rsidRPr="00D03F3E" w:rsidRDefault="008E3DEE" w:rsidP="00D03F3E">
      <w:pPr>
        <w:pStyle w:val="ae"/>
        <w:spacing w:before="0" w:after="0"/>
        <w:jc w:val="both"/>
        <w:rPr>
          <w:color w:val="000000" w:themeColor="text1"/>
          <w:sz w:val="16"/>
          <w:szCs w:val="16"/>
        </w:rPr>
      </w:pPr>
      <w:r w:rsidRPr="00D03F3E">
        <w:rPr>
          <w:color w:val="000000" w:themeColor="text1"/>
          <w:sz w:val="16"/>
          <w:szCs w:val="16"/>
        </w:rPr>
        <w:t>Согласно требованиям, установка вооружения должна была обеспечивать скорострельность не менее 12 выстрелов в минуту (при стрельбе прямой наводкой или на малых углах возвышения), горизонтальный обстрел в пределах не менее 20 градусов, а вертикальный — от -5 до +12 градусов. Прицелы предполагалось использовать от «76-мм полковой пушки, находящейся в валовом производстве, или 76-мм дивизионной пушки обр. 1942 года ЗИС-3». В качестве дополнительного вооружение требовалось предусмотреть два пистолета-пулемета ППШ (стрельба из них должна была вестись через амбразуры в бортах), боекомплект определялся в 75 выстрелов к пушке и не менее 1000 патронов к ППШ.</w:t>
      </w:r>
    </w:p>
    <w:p w14:paraId="06BE530C" w14:textId="77777777" w:rsidR="008E3DEE" w:rsidRPr="00D03F3E" w:rsidRDefault="008E3DEE" w:rsidP="00D03F3E">
      <w:pPr>
        <w:pStyle w:val="ae"/>
        <w:spacing w:before="0" w:after="0"/>
        <w:jc w:val="both"/>
        <w:rPr>
          <w:color w:val="000000" w:themeColor="text1"/>
          <w:sz w:val="16"/>
          <w:szCs w:val="16"/>
        </w:rPr>
      </w:pPr>
      <w:r w:rsidRPr="00D03F3E">
        <w:rPr>
          <w:color w:val="000000" w:themeColor="text1"/>
          <w:sz w:val="16"/>
          <w:szCs w:val="16"/>
        </w:rPr>
        <w:t>При изготовлении машины не допускались «изменения в компоновке моторного, трансмиссионного отделений и отделения управления», а боевое отделение «подвергается изменениям в объеме, обеспечивающем возможность установки танковой пушки Ф-34 и создания нормальных условий орудийному расчету». Толщина бронерубки, монтируемой на шасси, должна была «соответствовать толщинам бронелистов „Артштурма“ или Т-3». Для посадки экипажа в кормовом листе рубки должен был размещаться люк, через который осуществлялась и загрузка боекомплекта. В крыше рубки должен был размещаться лючок для установки панорамы орудия, прибор ПТК для командира машины и вентилятор. Все самоходки должны были оснащаться радиостанцией 9-Р и танковым переговорным устройством ТПУ-3ф (12688).</w:t>
      </w:r>
    </w:p>
    <w:p w14:paraId="4E849560" w14:textId="77777777" w:rsidR="008E3DEE" w:rsidRPr="00D03F3E" w:rsidRDefault="008E3DEE" w:rsidP="00D03F3E">
      <w:pPr>
        <w:pStyle w:val="ae"/>
        <w:spacing w:before="0" w:after="0"/>
        <w:jc w:val="both"/>
        <w:rPr>
          <w:color w:val="000000" w:themeColor="text1"/>
          <w:sz w:val="16"/>
          <w:szCs w:val="16"/>
        </w:rPr>
      </w:pPr>
    </w:p>
    <w:p w14:paraId="4F636F8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января 1943 вышло Постановление ГКО № 2761 Об освобождении т. Радчука И.И. от обязанностей уполномоченного ГОКО по лесозаготовкам по Вологодской области и о назначении уполномоченных ГОКО по лесозаготовкам по Вологодской, Калининской и Иркутской областям, Хабаровскому и Приморскому краям и Бурят-Монгольской АССР. (7076, 17).</w:t>
      </w:r>
    </w:p>
    <w:p w14:paraId="34BB286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08AE8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января 1943 вышло Постановление ГКО № 2762 Об изготовлении аэросаней для Красной Армии в январе и феврале 1943 года.РГАНИР, Фонд ГКО, д. 83, лл. 18-21, 22-30 (11012).</w:t>
      </w:r>
    </w:p>
    <w:p w14:paraId="671C98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10ABE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января 1943 вышло Распоряжение ГКО № 2763. О поставке стали для обеспечения выпуска автомобилей.РГАНИР, Фонд ГКО, д. 83, лл. 31 (11012).</w:t>
      </w:r>
    </w:p>
    <w:p w14:paraId="4DA04F2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0983E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января 1943 вышло Постановление ГКО № 2764 О материально-техническом обеспечении подшипниковых заводов Наркомсредмаша.РГАНИР, Фонд ГКО, д. 83, лл. 32-37, 38-50 (11012).</w:t>
      </w:r>
    </w:p>
    <w:p w14:paraId="7A151A1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97C06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января 1943 вышло Постановление ГКО № 2765 О развитии мощностей металлургических цехов на заводах Наркомтанкопрома.РГАНИР, Фонд ГКО, д. 83, лл. 51-63, 64-68 (11012).</w:t>
      </w:r>
    </w:p>
    <w:p w14:paraId="56BCD8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C10F3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января 1943 вышло Распоряжение ГКО № 2766. О поставках в январе для танковых заводов угля, мазута, металла, подшипников.РГАНИР, Фонд ГКО, д. 83, лл. 69-70 (11012).</w:t>
      </w:r>
    </w:p>
    <w:p w14:paraId="7A72073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8B1549"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января 1943 вышло Постановление ГКО № 2767 О плане ремонта автомобилей и автомобильных моторов для Красной Армии и Военно-Морского Флота на I квартал 1943 года. (7076, 71-76,77-108).</w:t>
      </w:r>
    </w:p>
    <w:p w14:paraId="09BC3869"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CCD20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января 1943 вышло Постановление ГКО № 2768 О топливоснабжении Каширской ГРЭС N4 Мосэнерго.РГАНИР, Фонд ГКО, д. 83, лл. 109-110 (11012).</w:t>
      </w:r>
    </w:p>
    <w:p w14:paraId="10A27E7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DA2A84"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009DE5E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8930CC"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19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5E21DB33"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19 января наши войска в районе Сталинграда, южнее Воронежа,на Северном Кавказе, в районе Нижнего Дона, Северного Донца и южнее Ладожского озера продолжали бои на прежних направлениях.</w:t>
      </w:r>
    </w:p>
    <w:p w14:paraId="53E317B5"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Сталинграда наши войска продолжали истреблять окружённые немецко-фашистские войска. Н-ская часть, действующая с северо-запада, с боями продвигалась вперёд и уничтожила до 600 гитлеровцев. Взято в плен 316 немецких солдат и офицеров. На одном участке немцы, отступая, оставили сильный заслон с шестиствольными миномётами. Группа наших бойцов во главе с лейтенантом Кнышыным проникла в тыл противника, перебила гитлеровцев и захватила 6 шестиствольных миномётов.</w:t>
      </w:r>
    </w:p>
    <w:p w14:paraId="4A114EF9"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Воронежа советские войска вели успешные наступательные бои и заняли целый ряд населённых пунктов. В одном селе подразделения Н-ской части захватили узел связи и несколько отделений штаба армии противника. На подступах к селу и на его улицах уничтожено до 500 вражеских солдат и офицеров. На другом участке в полном составе сдался в плен батальон венгерской пехоты во главе с командиром батальона.</w:t>
      </w:r>
    </w:p>
    <w:p w14:paraId="150F8698"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Южном фронте наши войска, преодолевая сопротивление противника, продолжали наступление и заняли несколько населённых пунктов. Немцы сосредоточили в районе одной крупной железнодорожной станция значительные силы пехоты и танков. Упорной обороной противник намеревался задержать дальнейшее продвижение наших войск. Бойцы Н-ской части ведут упорные бои за станцию. Другие наши части, обойдя этот опорный пункт противника, ведут наступательные бои. На другом участке наши части окружили полк мотопехоты противника с 30 танками и 40 орудиями. Идут боя по уничтожению этой группы противника, в ходе которых гитлеровцы несут тяжёлые потери.</w:t>
      </w:r>
    </w:p>
    <w:p w14:paraId="0FAB2A6C"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форсировав реку Северный Донец, продвигались вперёд и заняли несколько населённых пунктов. На одном участке разгромлен батальон немецкой пехоты. На поле боя осталось свыше 400 вражеских трупов. Захвачены 6 орудия, 22 пулемёта, 28 автомашин и другие трофеи.</w:t>
      </w:r>
    </w:p>
    <w:p w14:paraId="3487235D"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Великих Лук наши части, преодолевая ожесточённое сопротивление противника, заняли шесть населённых пунктов. Немцы потеряли убитыми 300 солдат иофицеров. В одном населённом пункте наше подразделение захватило в плен 20 немецких солдат. Когда пленных вели по селу, из домов и сараев стали выбегать прятавшиеся немецкие солдаты с поднятыми вверх руками. К 20 пленным присоединились ещё 40 немецких солдат.</w:t>
      </w:r>
    </w:p>
    <w:p w14:paraId="3F646E1E"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успешно продвигались вперёд. Н-ская стрелковая часть в упорном бою овладела сильно укреплёнными позициями противника. Подбито и сожжено 3 немецких танка, уничтожено 12 автомашин и 23 подводы с боеприпасами.</w:t>
      </w:r>
    </w:p>
    <w:p w14:paraId="0AE14BBE"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Гомельской области, за две недели пустил под откос 4 железнодорожных эшелона противника, в том числе 2 состава с солдатами и офицерами. Несколько партизанских отрядов Минской области за последние дни взорвали 5 железнодорожных мостов и 27 мостов на шоссейных дорогах. Советские патриоты разгромили также 4 полицейских участка и фашистское волостное управление.</w:t>
      </w:r>
    </w:p>
    <w:p w14:paraId="00237F82"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станицеНижне-Чирской, Сталинградской области: «Немецкие варвары разграбили и разрушилив станице все наши культурные учреждения. Бандиты разгромили начальные инеполные средние школы, сельскохозяйственный техникум, школу комбайнеров, сельскохозяйственную школу и музей. Гитлеровцы расстреляли учителей Полину Перетертову, Елену Пономарёву, Тамару Артёмову, директора школы комбайнеров Лебедева и других, а оставшихся в живых учителей заставили работать на солдатских кухнях, на строительстве укреплений, рыть ямы, стирать бельё вшивых фрицев, таскать дрова и воду для кухонь и т. д. Фашистские людоеды ночью ворвались в детский дом и расстреляли 47 воспитанников детского дома в возрастеот 4 до 15 лет». Акт подписали: А.Сазыкина, А.Звездина, А.Тугарина, А.Сухорукова, К.Дианова, Л.Тяжёлова, Т.Николаева, А.Серёгина, А.Белянская, Г.Рябова и другие.» (15014).</w:t>
      </w:r>
    </w:p>
    <w:p w14:paraId="6CDF5CA4" w14:textId="77777777" w:rsidR="00A3709C" w:rsidRPr="00D03F3E" w:rsidRDefault="00A3709C" w:rsidP="00D03F3E">
      <w:pPr>
        <w:spacing w:after="0" w:line="240" w:lineRule="auto"/>
        <w:jc w:val="both"/>
        <w:rPr>
          <w:rFonts w:ascii="Times New Roman" w:hAnsi="Times New Roman"/>
          <w:color w:val="000000" w:themeColor="text1"/>
          <w:sz w:val="16"/>
          <w:szCs w:val="16"/>
        </w:rPr>
      </w:pPr>
    </w:p>
    <w:p w14:paraId="4FF1E52F"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19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0DF209A1"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января войска Воронежского фронта, продолжая развивать наступление, овладели городом и крупным железнодорожным узлом Валуйки, городом и железнодорожным узлом Уразово, районными центрами Шаталовка и Вейделевка.</w:t>
      </w:r>
    </w:p>
    <w:p w14:paraId="196818E4"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в результате решительной атаки овладели городом Каменск, районным центром и крупной железнодорожной станцией Белая Калитва и рядом крупных населённых пунктов.</w:t>
      </w:r>
    </w:p>
    <w:p w14:paraId="498FAD88"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овладели городом и железнодорожным узлом Петровское, районным центром Спицевское, железнодорожными станциями — Спицевка, Кугуты, Киан, Дворцовый, крупными населёнными пунктами—Донская Балка, Сухая Буйвола, Георгиевская, Рошинский, Адыче-Хабль.</w:t>
      </w:r>
    </w:p>
    <w:p w14:paraId="280117EB"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18 января частями нашей авиации на различных участках фронта уничтожено или повреждено 15 немецких танков, до 200 автомашин с войсками и грузами, подавлен огонь 8 артиллерийских батарей, взорван склад боеприпасов, рассеяно и частью уничтожено до двух батальонов пехоты противника.</w:t>
      </w:r>
    </w:p>
    <w:p w14:paraId="4CFF6039"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Сталинграда наши войска продолжали истреблять окружённые немецко-фашистские войска. Западнее города наши части продвинулись вперёд и уничтожили 800 гитлеровцев. Взято 329 пленных. Захвачены 9 самолётов, 12 танкови бронемашин, несколько сот автомашин, 244 пулемёта и другие трофеи. В городе наши штурмовые отряды овладели укреплёнными позициями противника.</w:t>
      </w:r>
    </w:p>
    <w:p w14:paraId="7C1B39FA"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Южном фронте наши войска продолжали наступление. В районе юго-западнее Орловской идут ожесточённые бои за крупный населённый пункт. На другом участке наши части ведут бои по уничтожению окружённой группы войск противника.</w:t>
      </w:r>
    </w:p>
    <w:p w14:paraId="3B8C32C4"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Юго-Западном фронте наши войска заняли ряд населённых пунктов. В одном районе немцы бросили на выручку своего окружённого гарнизона большое количество пехоты и танков. Наши части отбили несколько контратак противника. В упорных боях истреблён полк немецкой пехоты. В городе Миллерово гитлеровцы бросили на произвол судьбы 500 своих раненых солдат. В черте города осталось более 3.000 вражеских трупов. Взято в плен 950 немецких солдат и офицеров. Захвачены трофеи: 11 танков, 17 самолётов, 58 орудий, 840 автомашин, 10 складов с продовольствием, 2 винных склада, один вещевой склад, железнодорожные составы с различными грузами, 1.000 бочек с горючим и другое военное имущество.</w:t>
      </w:r>
    </w:p>
    <w:p w14:paraId="0C84684A"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Воронежского фронта продолжали успешное наступление. Окружённый в Острогожске немецкий гарнизон предпринял несколько отчаянных попыток вырваться из города. Все контратаки гитлеровцев отражены с большими для них потерями. В районе населённого пункта Постоялый наши подвижные части после двухчасового боявзяли в плен 5.000 итальянских солдат и офицеров. В районе населённого пункта Алексеевка наши подразделения атаковали крупную итальянскую автоколонну. Итальянцы оказали слабое сопротивление и вскоре сдались. Захвачено 700 автомашин. Советские бойцы разместились на трофейных машинах и продолжали преследовать противника.</w:t>
      </w:r>
    </w:p>
    <w:p w14:paraId="4EA1A59D"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Ладожского озера наши войска вели ожесточённые наступательные бои. Бойцы Н-ской части с упорными боями продвигались вперёд и захватили 4 склада противника с боеприпасами и продовольствием, 20 автомашин и другие трофей. Часть под командованием тов. Трубачёва, разгромившая шлиссельбургскую группировку немцев, захватила много пленных, в том числе командира немецкого батальона.</w:t>
      </w:r>
    </w:p>
    <w:p w14:paraId="2A5B63DC"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Великих Лук наши части очистили от немцев несколько населённых пунктов. Бойцы под командованием тов. Максимова отразили контратаку противника, истребили 300 гитлеровцев и сожгли 7 немецких танков.</w:t>
      </w:r>
    </w:p>
    <w:p w14:paraId="0F12B103"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заняв город Черкесск, переправились через реку Кубань. Противник оказывает упорное сопротивление. Уничтожая живую силу и технику врага, советские части продвигаются вперёд и овладели рядом населённых пунктов. В городе Черкесск взяты следующие трофеи: орудий — 54, пулемётов — 195, миномётов — 48, в том числе 22 шестиствольных миномёта, более 700 винтовок, 5 радиостанций, 2 склада боеприпасов, штабная машина с документами, полковое знамя и другое военное имущество.</w:t>
      </w:r>
    </w:p>
    <w:p w14:paraId="5B1D7B82"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смоленских партизан совершил нападение на немецкий аэродром. Советские патриоты уничтожили шесть пикирующих бомбардировщиков, два истребителя, два разведчика и четыре транспортных самолёта противника. Убито и ранено 62 немецких солдата и офицера из лётного состава и аэродромной команды.».</w:t>
      </w:r>
    </w:p>
    <w:p w14:paraId="151805A4"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559D2F21"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на юге заняли города Валуйки, Уразово, Каменск, Петровское, железнодорожную станцию Белая Калитва.</w:t>
      </w:r>
    </w:p>
    <w:p w14:paraId="0A25FAEE"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19 января войска Воронежского фронта, продолжая развивать наступление,овладели городом и крупным железнодорожным узлом Валуйки, городом и железнодорожным узлом Уразово.</w:t>
      </w:r>
    </w:p>
    <w:p w14:paraId="6E182C30"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противника, находящиеся к востоку от железнодорожной линии Каменка—Россошь, полностью окружены и уничтожаются нашими войсками.</w:t>
      </w:r>
    </w:p>
    <w:p w14:paraId="30642254"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 пленных к исходу 19 января увеличилось на 21.000 солдат ио фицеров. Таким образом, количество пленных в районе Воронежского фронта дошлодо 52.000, из коих 27.500 венгров, 22.000 итальянцев и 2.500 немцев.</w:t>
      </w:r>
    </w:p>
    <w:p w14:paraId="0C85B1C8"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время боёв с 13 по 18 января войсками Воронежского фронта взяты следующие трофеи: танков — 170, орудий — 1.700, пулемётов — 2.800, миномётов — 4.000, автомашин — 6.000, лошадей—1.500, винтовок — 55.000, патронов — до 10 миллионов, снарядов — 600.000, складов разных — свыше 150.</w:t>
      </w:r>
    </w:p>
    <w:p w14:paraId="00020127"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Войска Юго-Западного фронта в результате решительной атаки 19 января овладели городом Каменск, а также районным центром и крупной железнодорожной станцией Белая Калитва. Захвачены большие трофеи, которые подсчитываются.</w:t>
      </w:r>
    </w:p>
    <w:p w14:paraId="67F2F12F"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 Северном Кавказе наши войска овладели городом и железнодорожным узлом Петровское.» (15014).</w:t>
      </w:r>
    </w:p>
    <w:p w14:paraId="6E1B84DE" w14:textId="77777777" w:rsidR="00A3709C" w:rsidRPr="00D03F3E" w:rsidRDefault="00A3709C" w:rsidP="00D03F3E">
      <w:pPr>
        <w:spacing w:after="0" w:line="240" w:lineRule="auto"/>
        <w:jc w:val="both"/>
        <w:rPr>
          <w:rFonts w:ascii="Times New Roman" w:hAnsi="Times New Roman"/>
          <w:color w:val="000000" w:themeColor="text1"/>
          <w:sz w:val="16"/>
          <w:szCs w:val="16"/>
        </w:rPr>
      </w:pPr>
    </w:p>
    <w:p w14:paraId="30C53CD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января 1943 г. старший лейтенант Каберов из 3-го ГИАП Балтфлота на ЛаГГ-3 положил конец боевой карьере обер-лейтенанта Вальтера Мейера (58 побед) (4707).</w:t>
      </w:r>
    </w:p>
    <w:p w14:paraId="19BB2E0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E10E3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января 1943 после получения первых 10 Як-1 начались тренировки французов в учебных воздушных боях, продолжавшиеся до 14 марта. За время обучения летчики эскадрильи выполнили 536 полетов, налетав в общей сложности 218 часов (по 15,5 часов в среднем на пилота). Перед отправкой на фронт эскадрилья пополнилась 14 марта еще 4 машинами. Закончив обучение, эскадрилья получила приказ на перебазирование. Этим же приказом командиром подразделения был назначен Жан Тюлян (Jean Tulasne), фактически выполнявший обязанности командира группы "Нормандия" с 23 февраля 1943 г. В район боевых действий на аэродром Полотняный Завод, расположенный в 20 км от Калуги, эскадрилья перелетела 22 марта.</w:t>
      </w:r>
    </w:p>
    <w:p w14:paraId="20EC42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Первый вылет по тревоге на перехват выполнили 26 марта 1943 г. лейтенант Раймонд Дервиль (Raymond Derville) и аспирант Аль- бер Дюран (Albert Durand). А 3 апреля четыре истребителя Як-1 впервые приняли участие в сопровождении пяти бомбардировщиков Пе-2. Всего через два дня - 5 апреля, - французские летчики приняли свой первый воздушный бой с 10 FW. 190.</w:t>
      </w:r>
    </w:p>
    <w:p w14:paraId="22C4053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апреля 1943 г. эскадрилья получила еще четыре самолета Як-1 для восполнения потерь. Но на самолетах этого типа ей пришлось летать недолго. В начале июля 1943 г. летчиков известили о перевооружении на истребители Як-9. К 19 июля 1943 г. летчиками Нормандии было сбито 30 немецких самолетов. Потери эскадрильи составили 11 летчиков. К августу эскадрилью развернули в полнокровный авиаполк на новом типе самолета. Оставшиеся 14 машин Як-1 использовались в полку "Нормандия" до ноября для переучивания и тренировки вновь прибывших пилотов.</w:t>
      </w:r>
    </w:p>
    <w:p w14:paraId="550988D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"Нормандия" из всех иностранных авиационных частей отличалась наибольшей активностью в боевых действиях. На Як-1 в ней выделялся Альбер Дюран, сбивший лично два и в группе один самолет противника. За ним следовал Марсель Лефевр (Marsel Lefevre), лично сбивший два самолета, и Ноэль Кастелен (Noel Castelain), сбивший лично один самолет и один в группе (12048).</w:t>
      </w:r>
    </w:p>
    <w:p w14:paraId="69D47DB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E7EA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января 1943 продолжалось советское наступление на Кавказ и на центральном фронте (2262).</w:t>
      </w:r>
    </w:p>
    <w:p w14:paraId="371108D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8BDC52"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478FF79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19AEA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января 1943 в Ленинград начались поставки (2245,1).</w:t>
      </w:r>
    </w:p>
    <w:p w14:paraId="694EE86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35C0A9"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19 января</w:t>
      </w:r>
      <w:r w:rsidRPr="00D03F3E">
        <w:rPr>
          <w:rFonts w:ascii="Times New Roman" w:hAnsi="Times New Roman"/>
          <w:color w:val="000000" w:themeColor="text1"/>
          <w:sz w:val="16"/>
          <w:szCs w:val="16"/>
        </w:rPr>
        <w:t xml:space="preserve"> в 1943 году началось строительство железной дороги, которую назвали "Дорогой победы". В ночь с 6 на 7 февраля по ней в Ленинград пришел первый поезд. Он подошел к перрону полуразрушенного Финляндского вокзала в 10 часов 9 минут утра. В вагонах - подарок из Челябинска: 800 тонн продовольствия. Враг обстреливал дорогу, но поезда шли каждую ночь. Сколько жизней ленинградцев удалось тогда спасти - не знает никто. В 1943 году в Ленинград было доставлено 4,4 миллиона тон грузов (в два с половиной раза больше, чем по "Дороге жизни") (15014).</w:t>
      </w:r>
    </w:p>
    <w:p w14:paraId="102CCAB2" w14:textId="77777777" w:rsidR="00A3709C" w:rsidRPr="00D03F3E" w:rsidRDefault="00A3709C" w:rsidP="00D03F3E">
      <w:pPr>
        <w:spacing w:after="0" w:line="240" w:lineRule="auto"/>
        <w:jc w:val="both"/>
        <w:rPr>
          <w:rFonts w:ascii="Times New Roman" w:hAnsi="Times New Roman"/>
          <w:color w:val="000000" w:themeColor="text1"/>
          <w:sz w:val="16"/>
          <w:szCs w:val="16"/>
        </w:rPr>
      </w:pPr>
    </w:p>
    <w:p w14:paraId="2168C417"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4B376D6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6C504C" w14:textId="77777777" w:rsidR="00A3709C" w:rsidRPr="00D03F3E" w:rsidRDefault="00A3709C"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bCs/>
          <w:color w:val="000000" w:themeColor="text1"/>
          <w:sz w:val="16"/>
          <w:szCs w:val="16"/>
        </w:rPr>
        <w:t>19 января</w:t>
      </w:r>
      <w:r w:rsidRPr="00D03F3E">
        <w:rPr>
          <w:rFonts w:ascii="Times New Roman" w:hAnsi="Times New Roman"/>
          <w:color w:val="000000" w:themeColor="text1"/>
          <w:sz w:val="16"/>
          <w:szCs w:val="16"/>
        </w:rPr>
        <w:t xml:space="preserve"> в 1943 году 4 самолета «Fw.200» были переведены из Сталино в Запорожье, откуда продолжали сброс грузов группировке Паулюса в течение месяца, после чего оставшиеся самолеты были выведены в Берлин, где из них сформировали 8./КG.40</w:t>
      </w:r>
    </w:p>
    <w:p w14:paraId="5E514B93" w14:textId="77777777" w:rsidR="00A3709C" w:rsidRPr="00D03F3E" w:rsidRDefault="00A3709C" w:rsidP="00D03F3E">
      <w:pPr>
        <w:spacing w:after="0" w:line="240" w:lineRule="auto"/>
        <w:jc w:val="both"/>
        <w:rPr>
          <w:rFonts w:ascii="Times New Roman" w:hAnsi="Times New Roman"/>
          <w:bCs/>
          <w:color w:val="000000" w:themeColor="text1"/>
          <w:sz w:val="16"/>
          <w:szCs w:val="16"/>
        </w:rPr>
      </w:pPr>
    </w:p>
    <w:p w14:paraId="6FCD29AE" w14:textId="77777777" w:rsidR="00A3709C" w:rsidRPr="00D03F3E" w:rsidRDefault="00A370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19 января</w:t>
      </w:r>
      <w:r w:rsidRPr="00D03F3E">
        <w:rPr>
          <w:rFonts w:ascii="Times New Roman" w:hAnsi="Times New Roman"/>
          <w:color w:val="000000" w:themeColor="text1"/>
          <w:sz w:val="16"/>
          <w:szCs w:val="16"/>
        </w:rPr>
        <w:t xml:space="preserve"> в 1943 году началось серийное производство учебного самолёт Ki-79 </w:t>
      </w:r>
      <w:hyperlink r:id="rId17" w:tgtFrame="_blank" w:history="1">
        <w:r w:rsidRPr="00D03F3E">
          <w:rPr>
            <w:rFonts w:ascii="Times New Roman" w:hAnsi="Times New Roman"/>
            <w:color w:val="000000" w:themeColor="text1"/>
            <w:sz w:val="16"/>
            <w:szCs w:val="16"/>
          </w:rPr>
          <w:t>www.airwar.ru/enc/other2/ki79.html</w:t>
        </w:r>
      </w:hyperlink>
      <w:r w:rsidRPr="00D03F3E">
        <w:rPr>
          <w:rFonts w:ascii="Times New Roman" w:hAnsi="Times New Roman"/>
          <w:color w:val="000000" w:themeColor="text1"/>
          <w:sz w:val="16"/>
          <w:szCs w:val="16"/>
        </w:rPr>
        <w:t xml:space="preserve"> на заводе Mansyu в Маньчжоу-Го. На снимке: пара Ки-79 113-го Шимбу-таи (специального штурмового подразделения - камикадзе) взлетает с аэродрома Чирап в южной оконечности острова Кюсю, чтобы нанести удар по силам американцев у Окинавы, июнь 1945 года. На первом плане Ki-79b с подвешенной бомбой, который пилотирует Йошиюки Цубаки (15014).</w:t>
      </w:r>
    </w:p>
    <w:p w14:paraId="2CC4EBE7" w14:textId="77777777" w:rsidR="00A3709C" w:rsidRPr="00D03F3E" w:rsidRDefault="00A3709C" w:rsidP="00D03F3E">
      <w:pPr>
        <w:spacing w:after="0" w:line="240" w:lineRule="auto"/>
        <w:jc w:val="both"/>
        <w:rPr>
          <w:rFonts w:ascii="Times New Roman" w:hAnsi="Times New Roman"/>
          <w:color w:val="000000" w:themeColor="text1"/>
          <w:sz w:val="16"/>
          <w:szCs w:val="16"/>
        </w:rPr>
      </w:pPr>
    </w:p>
    <w:p w14:paraId="199AC1C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и 19 января 1943 состоялись две неудачные атаки англичан на управляемых торпедах (3961, 65).</w:t>
      </w:r>
    </w:p>
    <w:p w14:paraId="6108C65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AE93C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января 1943 японцы оставили Sanamanda (2262).</w:t>
      </w:r>
    </w:p>
    <w:p w14:paraId="4C69449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7A21C2" w14:textId="77777777" w:rsidR="00B84455" w:rsidRPr="00D03F3E" w:rsidRDefault="00B8445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516E10CD" w14:textId="77777777" w:rsidR="00B84455" w:rsidRPr="00D03F3E" w:rsidRDefault="00B8445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877619" w14:textId="77777777" w:rsidR="00B84455" w:rsidRPr="00D03F3E" w:rsidRDefault="00B8445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lastRenderedPageBreak/>
        <w:t>К 20-м числам января 1943 года ГАУ КА стало поднимать вопрос о модернизации СУ-35. Ведь плохие условия работы – это, прежде всего, снижение боевой эффективности машины, в том числе – скорострельности (17689).</w:t>
      </w:r>
    </w:p>
    <w:p w14:paraId="15CA4698" w14:textId="77777777" w:rsidR="00B84455" w:rsidRPr="00D03F3E" w:rsidRDefault="00B84455" w:rsidP="00D03F3E">
      <w:pPr>
        <w:spacing w:after="0" w:line="240" w:lineRule="auto"/>
        <w:jc w:val="both"/>
        <w:rPr>
          <w:rFonts w:ascii="Times New Roman" w:eastAsia="Times New Roman" w:hAnsi="Times New Roman"/>
          <w:color w:val="000000" w:themeColor="text1"/>
          <w:sz w:val="16"/>
          <w:szCs w:val="16"/>
          <w:lang w:eastAsia="ru-RU"/>
        </w:rPr>
      </w:pPr>
    </w:p>
    <w:p w14:paraId="0C0300D3"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A435CB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47DB6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проект Ил-2 с АМ-42 с небольшими замечаниями в части улучшения брони</w:t>
      </w:r>
      <w:r w:rsidRPr="00D03F3E">
        <w:rPr>
          <w:rFonts w:ascii="Times New Roman" w:hAnsi="Times New Roman"/>
          <w:color w:val="000000" w:themeColor="text1"/>
          <w:sz w:val="16"/>
          <w:szCs w:val="16"/>
        </w:rPr>
        <w:softHyphen/>
        <w:t>рования был утвержден начальником НИИ ВВС А.И. Репиным (10680).</w:t>
      </w:r>
    </w:p>
    <w:p w14:paraId="20B9B85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E2CAD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про</w:t>
      </w:r>
      <w:r w:rsidRPr="00D03F3E">
        <w:rPr>
          <w:rFonts w:ascii="Times New Roman" w:hAnsi="Times New Roman"/>
          <w:color w:val="000000" w:themeColor="text1"/>
          <w:sz w:val="16"/>
          <w:szCs w:val="16"/>
        </w:rPr>
        <w:softHyphen/>
        <w:t>ект самолета Су-6 с мото</w:t>
      </w:r>
      <w:r w:rsidRPr="00D03F3E">
        <w:rPr>
          <w:rFonts w:ascii="Times New Roman" w:hAnsi="Times New Roman"/>
          <w:color w:val="000000" w:themeColor="text1"/>
          <w:sz w:val="16"/>
          <w:szCs w:val="16"/>
        </w:rPr>
        <w:softHyphen/>
        <w:t>ром М-71Ф в двухместном варианте утвердили. Конструкция самолета при переходе на двухместный вариант менялась незна</w:t>
      </w:r>
      <w:r w:rsidRPr="00D03F3E">
        <w:rPr>
          <w:rFonts w:ascii="Times New Roman" w:hAnsi="Times New Roman"/>
          <w:color w:val="000000" w:themeColor="text1"/>
          <w:sz w:val="16"/>
          <w:szCs w:val="16"/>
        </w:rPr>
        <w:softHyphen/>
        <w:t>чительно. По фюзеляжу изменилась кон</w:t>
      </w:r>
      <w:r w:rsidRPr="00D03F3E">
        <w:rPr>
          <w:rFonts w:ascii="Times New Roman" w:hAnsi="Times New Roman"/>
          <w:color w:val="000000" w:themeColor="text1"/>
          <w:sz w:val="16"/>
          <w:szCs w:val="16"/>
        </w:rPr>
        <w:softHyphen/>
        <w:t>струкция плато, расположенного за каби</w:t>
      </w:r>
      <w:r w:rsidRPr="00D03F3E">
        <w:rPr>
          <w:rFonts w:ascii="Times New Roman" w:hAnsi="Times New Roman"/>
          <w:color w:val="000000" w:themeColor="text1"/>
          <w:sz w:val="16"/>
          <w:szCs w:val="16"/>
        </w:rPr>
        <w:softHyphen/>
        <w:t>ной пилота, добавились дверца для вле-зания в хвостовую часть фюзеляжа и ряд лючков, необходимых при эксплуатации самолета. Так как стрелок разместился непосредственно за кабиной пилота, то грузовой отсек фюзеляжа разделился на два отделения по бортам, а между ними расположился пол стрелка. Отсеки снизу имели люки, а сверху закрывались крыш</w:t>
      </w:r>
      <w:r w:rsidRPr="00D03F3E">
        <w:rPr>
          <w:rFonts w:ascii="Times New Roman" w:hAnsi="Times New Roman"/>
          <w:color w:val="000000" w:themeColor="text1"/>
          <w:sz w:val="16"/>
          <w:szCs w:val="16"/>
        </w:rPr>
        <w:softHyphen/>
        <w:t>ками. Фонарь пилота увеличили по высоте, в связи с чем пилот разместился выше и угол его обзора вперед расширился. Сзади к фонарю пилота примкнул фонарь стрелка, закончившийся блистерной установкой БЛУБ под крупнокалиберный пулемет Березина. Фонари пилота и стрелка откидывались на сторону и име</w:t>
      </w:r>
      <w:r w:rsidRPr="00D03F3E">
        <w:rPr>
          <w:rFonts w:ascii="Times New Roman" w:hAnsi="Times New Roman"/>
          <w:color w:val="000000" w:themeColor="text1"/>
          <w:sz w:val="16"/>
          <w:szCs w:val="16"/>
        </w:rPr>
        <w:softHyphen/>
        <w:t>ли аварийные замки для быстрого сбра</w:t>
      </w:r>
      <w:r w:rsidRPr="00D03F3E">
        <w:rPr>
          <w:rFonts w:ascii="Times New Roman" w:hAnsi="Times New Roman"/>
          <w:color w:val="000000" w:themeColor="text1"/>
          <w:sz w:val="16"/>
          <w:szCs w:val="16"/>
        </w:rPr>
        <w:softHyphen/>
        <w:t>сывания в полете. Бронирование самолета являлось са</w:t>
      </w:r>
      <w:r w:rsidRPr="00D03F3E">
        <w:rPr>
          <w:rFonts w:ascii="Times New Roman" w:hAnsi="Times New Roman"/>
          <w:color w:val="000000" w:themeColor="text1"/>
          <w:sz w:val="16"/>
          <w:szCs w:val="16"/>
        </w:rPr>
        <w:softHyphen/>
        <w:t>мым мощным в сравнении с любыми ана</w:t>
      </w:r>
      <w:r w:rsidRPr="00D03F3E">
        <w:rPr>
          <w:rFonts w:ascii="Times New Roman" w:hAnsi="Times New Roman"/>
          <w:color w:val="000000" w:themeColor="text1"/>
          <w:sz w:val="16"/>
          <w:szCs w:val="16"/>
        </w:rPr>
        <w:softHyphen/>
        <w:t>логичными машинами. Оно предохраняло пилота, стрелка, бензобак, замоторный отсек, маслора</w:t>
      </w:r>
      <w:r w:rsidRPr="00D03F3E">
        <w:rPr>
          <w:rFonts w:ascii="Times New Roman" w:hAnsi="Times New Roman"/>
          <w:color w:val="000000" w:themeColor="text1"/>
          <w:sz w:val="16"/>
          <w:szCs w:val="16"/>
        </w:rPr>
        <w:softHyphen/>
        <w:t>диаторы, маслопровод и цилиндр винта. Броня состояла из стальных плит толщи</w:t>
      </w:r>
      <w:r w:rsidRPr="00D03F3E">
        <w:rPr>
          <w:rFonts w:ascii="Times New Roman" w:hAnsi="Times New Roman"/>
          <w:color w:val="000000" w:themeColor="text1"/>
          <w:sz w:val="16"/>
          <w:szCs w:val="16"/>
        </w:rPr>
        <w:softHyphen/>
        <w:t>ной от 4 до 12 мм и прозрачных плит тол</w:t>
      </w:r>
      <w:r w:rsidRPr="00D03F3E">
        <w:rPr>
          <w:rFonts w:ascii="Times New Roman" w:hAnsi="Times New Roman"/>
          <w:color w:val="000000" w:themeColor="text1"/>
          <w:sz w:val="16"/>
          <w:szCs w:val="16"/>
        </w:rPr>
        <w:softHyphen/>
        <w:t>щиной от 50 до 65 мм. Задние стенки брони выполнялись из цементированной стали, все остальные - из гомогенной. Передняя часть фюзеляжа представляла собой целиком бронированный от</w:t>
      </w:r>
      <w:r w:rsidRPr="00D03F3E">
        <w:rPr>
          <w:rFonts w:ascii="Times New Roman" w:hAnsi="Times New Roman"/>
          <w:color w:val="000000" w:themeColor="text1"/>
          <w:sz w:val="16"/>
          <w:szCs w:val="16"/>
        </w:rPr>
        <w:softHyphen/>
        <w:t>сек, в котором размещались: пилот, бен</w:t>
      </w:r>
      <w:r w:rsidRPr="00D03F3E">
        <w:rPr>
          <w:rFonts w:ascii="Times New Roman" w:hAnsi="Times New Roman"/>
          <w:color w:val="000000" w:themeColor="text1"/>
          <w:sz w:val="16"/>
          <w:szCs w:val="16"/>
        </w:rPr>
        <w:softHyphen/>
        <w:t>зобак и органы управления. В бронеза-щите пилота увеличили толщину отдель</w:t>
      </w:r>
      <w:r w:rsidRPr="00D03F3E">
        <w:rPr>
          <w:rFonts w:ascii="Times New Roman" w:hAnsi="Times New Roman"/>
          <w:color w:val="000000" w:themeColor="text1"/>
          <w:sz w:val="16"/>
          <w:szCs w:val="16"/>
        </w:rPr>
        <w:softHyphen/>
        <w:t>ных броневых листов. Ввиду наличия в этом варианте брони стрелка, заднюю стенку бронекабины пи</w:t>
      </w:r>
      <w:r w:rsidRPr="00D03F3E">
        <w:rPr>
          <w:rFonts w:ascii="Times New Roman" w:hAnsi="Times New Roman"/>
          <w:color w:val="000000" w:themeColor="text1"/>
          <w:sz w:val="16"/>
          <w:szCs w:val="16"/>
        </w:rPr>
        <w:softHyphen/>
        <w:t>лота и частично нижнюю среднюю часть изъяли. Защиту этой зоны обеспечивала броня стрелка. Для визуальной связи пи</w:t>
      </w:r>
      <w:r w:rsidRPr="00D03F3E">
        <w:rPr>
          <w:rFonts w:ascii="Times New Roman" w:hAnsi="Times New Roman"/>
          <w:color w:val="000000" w:themeColor="text1"/>
          <w:sz w:val="16"/>
          <w:szCs w:val="16"/>
        </w:rPr>
        <w:softHyphen/>
        <w:t>лота и стрелка в задней стенке брони пи</w:t>
      </w:r>
      <w:r w:rsidRPr="00D03F3E">
        <w:rPr>
          <w:rFonts w:ascii="Times New Roman" w:hAnsi="Times New Roman"/>
          <w:color w:val="000000" w:themeColor="text1"/>
          <w:sz w:val="16"/>
          <w:szCs w:val="16"/>
        </w:rPr>
        <w:softHyphen/>
        <w:t>лота сбоку сделали небольшой вырез. Бортовая броня пилота за счет нижней кромки фонаря была продолжена кверху и, таким образом, защита пилота от бо</w:t>
      </w:r>
      <w:r w:rsidRPr="00D03F3E">
        <w:rPr>
          <w:rFonts w:ascii="Times New Roman" w:hAnsi="Times New Roman"/>
          <w:color w:val="000000" w:themeColor="text1"/>
          <w:sz w:val="16"/>
          <w:szCs w:val="16"/>
        </w:rPr>
        <w:softHyphen/>
        <w:t>ковых поражений улучшилась. Стрелка забронировали с боков, сзади и снизу. Боковые бронещиты являлись одновременно внутренними стенками грузоотсеков. Заднюю броню составили из нескольких бронеплит, расположение которых диктовалось условиями разме</w:t>
      </w:r>
      <w:r w:rsidRPr="00D03F3E">
        <w:rPr>
          <w:rFonts w:ascii="Times New Roman" w:hAnsi="Times New Roman"/>
          <w:color w:val="000000" w:themeColor="text1"/>
          <w:sz w:val="16"/>
          <w:szCs w:val="16"/>
        </w:rPr>
        <w:softHyphen/>
        <w:t>щения стрелковой установки. Фонарь стрелка частично забронировали. Брони</w:t>
      </w:r>
      <w:r w:rsidRPr="00D03F3E">
        <w:rPr>
          <w:rFonts w:ascii="Times New Roman" w:hAnsi="Times New Roman"/>
          <w:color w:val="000000" w:themeColor="text1"/>
          <w:sz w:val="16"/>
          <w:szCs w:val="16"/>
        </w:rPr>
        <w:softHyphen/>
        <w:t>рование обеих кабин состояло из 50 де</w:t>
      </w:r>
      <w:r w:rsidRPr="00D03F3E">
        <w:rPr>
          <w:rFonts w:ascii="Times New Roman" w:hAnsi="Times New Roman"/>
          <w:color w:val="000000" w:themeColor="text1"/>
          <w:sz w:val="16"/>
          <w:szCs w:val="16"/>
        </w:rPr>
        <w:softHyphen/>
        <w:t>талей и вместе с броней маслопровода, маслорадиаторов и втулки винта весило 642,6 кг. Задняя часть мотора и весь замотор</w:t>
      </w:r>
      <w:r w:rsidRPr="00D03F3E">
        <w:rPr>
          <w:rFonts w:ascii="Times New Roman" w:hAnsi="Times New Roman"/>
          <w:color w:val="000000" w:themeColor="text1"/>
          <w:sz w:val="16"/>
          <w:szCs w:val="16"/>
        </w:rPr>
        <w:softHyphen/>
        <w:t>ный отсек до передней части фюзеляжа бронировались листами в форме цилин</w:t>
      </w:r>
      <w:r w:rsidRPr="00D03F3E">
        <w:rPr>
          <w:rFonts w:ascii="Times New Roman" w:hAnsi="Times New Roman"/>
          <w:color w:val="000000" w:themeColor="text1"/>
          <w:sz w:val="16"/>
          <w:szCs w:val="16"/>
        </w:rPr>
        <w:softHyphen/>
        <w:t>дра и конуса. Масляные радиаторы защищались снизу и сзади гнутым листом толщиной 6 мм. Маслопровод на участке центропла</w:t>
      </w:r>
      <w:r w:rsidRPr="00D03F3E">
        <w:rPr>
          <w:rFonts w:ascii="Times New Roman" w:hAnsi="Times New Roman"/>
          <w:color w:val="000000" w:themeColor="text1"/>
          <w:sz w:val="16"/>
          <w:szCs w:val="16"/>
        </w:rPr>
        <w:softHyphen/>
        <w:t>на закрывался спереди, сзади и снизу лотком 6-мм толщины. Примененная на самолете броня была проста в изготовлении и сборке, в случае повреждения легко заменялась. Особое внимание было удалено воору</w:t>
      </w:r>
      <w:r w:rsidRPr="00D03F3E">
        <w:rPr>
          <w:rFonts w:ascii="Times New Roman" w:hAnsi="Times New Roman"/>
          <w:color w:val="000000" w:themeColor="text1"/>
          <w:sz w:val="16"/>
          <w:szCs w:val="16"/>
        </w:rPr>
        <w:softHyphen/>
        <w:t>жению самолета, в состав которого вхо</w:t>
      </w:r>
      <w:r w:rsidRPr="00D03F3E">
        <w:rPr>
          <w:rFonts w:ascii="Times New Roman" w:hAnsi="Times New Roman"/>
          <w:color w:val="000000" w:themeColor="text1"/>
          <w:sz w:val="16"/>
          <w:szCs w:val="16"/>
        </w:rPr>
        <w:softHyphen/>
        <w:t>дило артиллерийское, стрелковое, ра</w:t>
      </w:r>
      <w:r w:rsidRPr="00D03F3E">
        <w:rPr>
          <w:rFonts w:ascii="Times New Roman" w:hAnsi="Times New Roman"/>
          <w:color w:val="000000" w:themeColor="text1"/>
          <w:sz w:val="16"/>
          <w:szCs w:val="16"/>
        </w:rPr>
        <w:softHyphen/>
        <w:t>кетное, бомбардировочное и химиче</w:t>
      </w:r>
      <w:r w:rsidRPr="00D03F3E">
        <w:rPr>
          <w:rFonts w:ascii="Times New Roman" w:hAnsi="Times New Roman"/>
          <w:color w:val="000000" w:themeColor="text1"/>
          <w:sz w:val="16"/>
          <w:szCs w:val="16"/>
        </w:rPr>
        <w:softHyphen/>
        <w:t>ское. Артиллерийское вооружение состояло из двух крыльевых пушечных неподвиж</w:t>
      </w:r>
      <w:r w:rsidRPr="00D03F3E">
        <w:rPr>
          <w:rFonts w:ascii="Times New Roman" w:hAnsi="Times New Roman"/>
          <w:color w:val="000000" w:themeColor="text1"/>
          <w:sz w:val="16"/>
          <w:szCs w:val="16"/>
        </w:rPr>
        <w:softHyphen/>
        <w:t>ных установок, размещенных в отъемных частях крыла. Каждая установка под пуш</w:t>
      </w:r>
      <w:r w:rsidRPr="00D03F3E">
        <w:rPr>
          <w:rFonts w:ascii="Times New Roman" w:hAnsi="Times New Roman"/>
          <w:color w:val="000000" w:themeColor="text1"/>
          <w:sz w:val="16"/>
          <w:szCs w:val="16"/>
        </w:rPr>
        <w:softHyphen/>
        <w:t>ку 11-П (система ОКБ-16 НКВ) калибра 37 мм обеспечивалась боезапасом в 40 снарядов. Пушечные установки обеспе</w:t>
      </w:r>
      <w:r w:rsidRPr="00D03F3E">
        <w:rPr>
          <w:rFonts w:ascii="Times New Roman" w:hAnsi="Times New Roman"/>
          <w:color w:val="000000" w:themeColor="text1"/>
          <w:sz w:val="16"/>
          <w:szCs w:val="16"/>
        </w:rPr>
        <w:softHyphen/>
        <w:t>чивались пневматическим спуском и электропневматической перезарядкой. Крепление пушки осуществлялось в двух точках так, что вся сила отдачи по</w:t>
      </w:r>
      <w:r w:rsidRPr="00D03F3E">
        <w:rPr>
          <w:rFonts w:ascii="Times New Roman" w:hAnsi="Times New Roman"/>
          <w:color w:val="000000" w:themeColor="text1"/>
          <w:sz w:val="16"/>
          <w:szCs w:val="16"/>
        </w:rPr>
        <w:softHyphen/>
        <w:t>глощалась в передней точке крепления. Патронный ящик пушечной установки емкостью 35 патронов размещался меж</w:t>
      </w:r>
      <w:r w:rsidRPr="00D03F3E">
        <w:rPr>
          <w:rFonts w:ascii="Times New Roman" w:hAnsi="Times New Roman"/>
          <w:color w:val="000000" w:themeColor="text1"/>
          <w:sz w:val="16"/>
          <w:szCs w:val="16"/>
        </w:rPr>
        <w:softHyphen/>
        <w:t>ду 3-й и 6-й нервюрами крыла. Он вкле</w:t>
      </w:r>
      <w:r w:rsidRPr="00D03F3E">
        <w:rPr>
          <w:rFonts w:ascii="Times New Roman" w:hAnsi="Times New Roman"/>
          <w:color w:val="000000" w:themeColor="text1"/>
          <w:sz w:val="16"/>
          <w:szCs w:val="16"/>
        </w:rPr>
        <w:softHyphen/>
        <w:t>пывался в конструкцию крыла и для за</w:t>
      </w:r>
      <w:r w:rsidRPr="00D03F3E">
        <w:rPr>
          <w:rFonts w:ascii="Times New Roman" w:hAnsi="Times New Roman"/>
          <w:color w:val="000000" w:themeColor="text1"/>
          <w:sz w:val="16"/>
          <w:szCs w:val="16"/>
        </w:rPr>
        <w:softHyphen/>
        <w:t>кладки патронной ленты имел в верхней обшивке люк. Сам ящик состоял из фа</w:t>
      </w:r>
      <w:r w:rsidRPr="00D03F3E">
        <w:rPr>
          <w:rFonts w:ascii="Times New Roman" w:hAnsi="Times New Roman"/>
          <w:color w:val="000000" w:themeColor="text1"/>
          <w:sz w:val="16"/>
          <w:szCs w:val="16"/>
        </w:rPr>
        <w:softHyphen/>
        <w:t>нерных боковых стенок и дюралевых вер</w:t>
      </w:r>
      <w:r w:rsidRPr="00D03F3E">
        <w:rPr>
          <w:rFonts w:ascii="Times New Roman" w:hAnsi="Times New Roman"/>
          <w:color w:val="000000" w:themeColor="text1"/>
          <w:sz w:val="16"/>
          <w:szCs w:val="16"/>
        </w:rPr>
        <w:softHyphen/>
        <w:t>ха и днища. Рукава питания стальные, жесткой кон</w:t>
      </w:r>
      <w:r w:rsidRPr="00D03F3E">
        <w:rPr>
          <w:rFonts w:ascii="Times New Roman" w:hAnsi="Times New Roman"/>
          <w:color w:val="000000" w:themeColor="text1"/>
          <w:sz w:val="16"/>
          <w:szCs w:val="16"/>
        </w:rPr>
        <w:softHyphen/>
        <w:t>струкции, сварные. На правом крыле ру</w:t>
      </w:r>
      <w:r w:rsidRPr="00D03F3E">
        <w:rPr>
          <w:rFonts w:ascii="Times New Roman" w:hAnsi="Times New Roman"/>
          <w:color w:val="000000" w:themeColor="text1"/>
          <w:sz w:val="16"/>
          <w:szCs w:val="16"/>
        </w:rPr>
        <w:softHyphen/>
        <w:t>кав состоял из одной части, на левом - из двух, сочленявшихся между собой теле</w:t>
      </w:r>
      <w:r w:rsidRPr="00D03F3E">
        <w:rPr>
          <w:rFonts w:ascii="Times New Roman" w:hAnsi="Times New Roman"/>
          <w:color w:val="000000" w:themeColor="text1"/>
          <w:sz w:val="16"/>
          <w:szCs w:val="16"/>
        </w:rPr>
        <w:softHyphen/>
        <w:t>скопически. Рукава питания подводили пушечную ленту из патронного ящика к приемнику пушки. Гильзоотвод представлял собой сталь</w:t>
      </w:r>
      <w:r w:rsidRPr="00D03F3E">
        <w:rPr>
          <w:rFonts w:ascii="Times New Roman" w:hAnsi="Times New Roman"/>
          <w:color w:val="000000" w:themeColor="text1"/>
          <w:sz w:val="16"/>
          <w:szCs w:val="16"/>
        </w:rPr>
        <w:softHyphen/>
        <w:t>ной вертикальный рукав с раструбом в верхней части. Гильзоотвод выводил гильзы наружу под крыло. Звеньеотводы стальные. На правом крыле звеньеотвод отводил звенья сразу вниз под крыло, на левом - отводил зве</w:t>
      </w:r>
      <w:r w:rsidRPr="00D03F3E">
        <w:rPr>
          <w:rFonts w:ascii="Times New Roman" w:hAnsi="Times New Roman"/>
          <w:color w:val="000000" w:themeColor="text1"/>
          <w:sz w:val="16"/>
          <w:szCs w:val="16"/>
        </w:rPr>
        <w:softHyphen/>
        <w:t>нья сверху в стальной рукав, идущий че</w:t>
      </w:r>
      <w:r w:rsidRPr="00D03F3E">
        <w:rPr>
          <w:rFonts w:ascii="Times New Roman" w:hAnsi="Times New Roman"/>
          <w:color w:val="000000" w:themeColor="text1"/>
          <w:sz w:val="16"/>
          <w:szCs w:val="16"/>
        </w:rPr>
        <w:softHyphen/>
        <w:t>рез первые нервюры отъемной части и центроплана. Для доступа к агрегатам пушки в верх</w:t>
      </w:r>
      <w:r w:rsidRPr="00D03F3E">
        <w:rPr>
          <w:rFonts w:ascii="Times New Roman" w:hAnsi="Times New Roman"/>
          <w:color w:val="000000" w:themeColor="text1"/>
          <w:sz w:val="16"/>
          <w:szCs w:val="16"/>
        </w:rPr>
        <w:softHyphen/>
        <w:t>ней обшивке крыла имелся большой люк, в носке крыла малый люк и на левом кры</w:t>
      </w:r>
      <w:r w:rsidRPr="00D03F3E">
        <w:rPr>
          <w:rFonts w:ascii="Times New Roman" w:hAnsi="Times New Roman"/>
          <w:color w:val="000000" w:themeColor="text1"/>
          <w:sz w:val="16"/>
          <w:szCs w:val="16"/>
        </w:rPr>
        <w:softHyphen/>
        <w:t>ле снизу лючок для подхода к крышке приемника. В отъемных частях крыла располага</w:t>
      </w:r>
      <w:r w:rsidRPr="00D03F3E">
        <w:rPr>
          <w:rFonts w:ascii="Times New Roman" w:hAnsi="Times New Roman"/>
          <w:color w:val="000000" w:themeColor="text1"/>
          <w:sz w:val="16"/>
          <w:szCs w:val="16"/>
        </w:rPr>
        <w:softHyphen/>
        <w:t>лись неподвижные установки под пуле</w:t>
      </w:r>
      <w:r w:rsidRPr="00D03F3E">
        <w:rPr>
          <w:rFonts w:ascii="Times New Roman" w:hAnsi="Times New Roman"/>
          <w:color w:val="000000" w:themeColor="text1"/>
          <w:sz w:val="16"/>
          <w:szCs w:val="16"/>
        </w:rPr>
        <w:softHyphen/>
        <w:t>меты ШКАС калибра 7,62 мм, с запасом патронов 675 штук. Доступ к агрегатам и установка пулеметов осуществлялись че</w:t>
      </w:r>
      <w:r w:rsidRPr="00D03F3E">
        <w:rPr>
          <w:rFonts w:ascii="Times New Roman" w:hAnsi="Times New Roman"/>
          <w:color w:val="000000" w:themeColor="text1"/>
          <w:sz w:val="16"/>
          <w:szCs w:val="16"/>
        </w:rPr>
        <w:softHyphen/>
        <w:t>рез большие люки в верхней обшивке крыла. Управление обеспечивалось пневматическим спуском и электропнев</w:t>
      </w:r>
      <w:r w:rsidRPr="00D03F3E">
        <w:rPr>
          <w:rFonts w:ascii="Times New Roman" w:hAnsi="Times New Roman"/>
          <w:color w:val="000000" w:themeColor="text1"/>
          <w:sz w:val="16"/>
          <w:szCs w:val="16"/>
        </w:rPr>
        <w:softHyphen/>
        <w:t>матической перезарядкой. Пулеметы крепились в лафетах, кото</w:t>
      </w:r>
      <w:r w:rsidRPr="00D03F3E">
        <w:rPr>
          <w:rFonts w:ascii="Times New Roman" w:hAnsi="Times New Roman"/>
          <w:color w:val="000000" w:themeColor="text1"/>
          <w:sz w:val="16"/>
          <w:szCs w:val="16"/>
        </w:rPr>
        <w:softHyphen/>
        <w:t>рые обеспечивали его крепление и регу</w:t>
      </w:r>
      <w:r w:rsidRPr="00D03F3E">
        <w:rPr>
          <w:rFonts w:ascii="Times New Roman" w:hAnsi="Times New Roman"/>
          <w:color w:val="000000" w:themeColor="text1"/>
          <w:sz w:val="16"/>
          <w:szCs w:val="16"/>
        </w:rPr>
        <w:softHyphen/>
        <w:t>лировку, питание и отвод звеньев и гильз. Легкосъемный патронный ящик разме</w:t>
      </w:r>
      <w:r w:rsidRPr="00D03F3E">
        <w:rPr>
          <w:rFonts w:ascii="Times New Roman" w:hAnsi="Times New Roman"/>
          <w:color w:val="000000" w:themeColor="text1"/>
          <w:sz w:val="16"/>
          <w:szCs w:val="16"/>
        </w:rPr>
        <w:softHyphen/>
        <w:t>щался между 3-й и 6-й нервюрами крыла и вставлялся снизу. Для заправки ленты из ящика в рукав питания, в верхней об</w:t>
      </w:r>
      <w:r w:rsidRPr="00D03F3E">
        <w:rPr>
          <w:rFonts w:ascii="Times New Roman" w:hAnsi="Times New Roman"/>
          <w:color w:val="000000" w:themeColor="text1"/>
          <w:sz w:val="16"/>
          <w:szCs w:val="16"/>
        </w:rPr>
        <w:softHyphen/>
        <w:t>шивке крыла имелся лючок. Рукава пита</w:t>
      </w:r>
      <w:r w:rsidRPr="00D03F3E">
        <w:rPr>
          <w:rFonts w:ascii="Times New Roman" w:hAnsi="Times New Roman"/>
          <w:color w:val="000000" w:themeColor="text1"/>
          <w:sz w:val="16"/>
          <w:szCs w:val="16"/>
        </w:rPr>
        <w:softHyphen/>
        <w:t>ния стальные, жесткие с шарнирным соч</w:t>
      </w:r>
      <w:r w:rsidRPr="00D03F3E">
        <w:rPr>
          <w:rFonts w:ascii="Times New Roman" w:hAnsi="Times New Roman"/>
          <w:color w:val="000000" w:themeColor="text1"/>
          <w:sz w:val="16"/>
          <w:szCs w:val="16"/>
        </w:rPr>
        <w:softHyphen/>
        <w:t>ленением вертикальных рукавов с горизонтальными. Звенья собирались через звеньеотвод лафета - вываливались на дно стрелко</w:t>
      </w:r>
      <w:r w:rsidRPr="00D03F3E">
        <w:rPr>
          <w:rFonts w:ascii="Times New Roman" w:hAnsi="Times New Roman"/>
          <w:color w:val="000000" w:themeColor="text1"/>
          <w:sz w:val="16"/>
          <w:szCs w:val="16"/>
        </w:rPr>
        <w:softHyphen/>
        <w:t>вого отсека. Выгребались звенья через лючок в нижней обшивке крыла. Гильзы выводились наружу под крыло через гильзоотводные патрубки. Управление стрельбой артиллерийско</w:t>
      </w:r>
      <w:r w:rsidRPr="00D03F3E">
        <w:rPr>
          <w:rFonts w:ascii="Times New Roman" w:hAnsi="Times New Roman"/>
          <w:color w:val="000000" w:themeColor="text1"/>
          <w:sz w:val="16"/>
          <w:szCs w:val="16"/>
        </w:rPr>
        <w:softHyphen/>
        <w:t>го и стрелкового оружия производилось при помощи двух гашеток, размещав</w:t>
      </w:r>
      <w:r w:rsidRPr="00D03F3E">
        <w:rPr>
          <w:rFonts w:ascii="Times New Roman" w:hAnsi="Times New Roman"/>
          <w:color w:val="000000" w:themeColor="text1"/>
          <w:sz w:val="16"/>
          <w:szCs w:val="16"/>
        </w:rPr>
        <w:softHyphen/>
        <w:t>шихся внутри баранки ручки управления самолетом. Для стрельбы из неподвиж</w:t>
      </w:r>
      <w:r w:rsidRPr="00D03F3E">
        <w:rPr>
          <w:rFonts w:ascii="Times New Roman" w:hAnsi="Times New Roman"/>
          <w:color w:val="000000" w:themeColor="text1"/>
          <w:sz w:val="16"/>
          <w:szCs w:val="16"/>
        </w:rPr>
        <w:softHyphen/>
        <w:t>ного оружия был установлен прицел ВВ-1 (кольцо на бронекозырьке и мушка на ка</w:t>
      </w:r>
      <w:r w:rsidRPr="00D03F3E">
        <w:rPr>
          <w:rFonts w:ascii="Times New Roman" w:hAnsi="Times New Roman"/>
          <w:color w:val="000000" w:themeColor="text1"/>
          <w:sz w:val="16"/>
          <w:szCs w:val="16"/>
        </w:rPr>
        <w:softHyphen/>
        <w:t>поте). На самолете предполагалась установ</w:t>
      </w:r>
      <w:r w:rsidRPr="00D03F3E">
        <w:rPr>
          <w:rFonts w:ascii="Times New Roman" w:hAnsi="Times New Roman"/>
          <w:color w:val="000000" w:themeColor="text1"/>
          <w:sz w:val="16"/>
          <w:szCs w:val="16"/>
        </w:rPr>
        <w:softHyphen/>
        <w:t>ка шести ракетных орудий РО-132 или РО-82. Управление стрельбой - из каби</w:t>
      </w:r>
      <w:r w:rsidRPr="00D03F3E">
        <w:rPr>
          <w:rFonts w:ascii="Times New Roman" w:hAnsi="Times New Roman"/>
          <w:color w:val="000000" w:themeColor="text1"/>
          <w:sz w:val="16"/>
          <w:szCs w:val="16"/>
        </w:rPr>
        <w:softHyphen/>
        <w:t>ны пилота. Прицел ПБП-1а располагался над приборной доской. Подвижная блистерная установка под 12,7-мм пулемет системы Березина мон</w:t>
      </w:r>
      <w:r w:rsidRPr="00D03F3E">
        <w:rPr>
          <w:rFonts w:ascii="Times New Roman" w:hAnsi="Times New Roman"/>
          <w:color w:val="000000" w:themeColor="text1"/>
          <w:sz w:val="16"/>
          <w:szCs w:val="16"/>
        </w:rPr>
        <w:softHyphen/>
        <w:t>тировалась над плато второй кабины са</w:t>
      </w:r>
      <w:r w:rsidRPr="00D03F3E">
        <w:rPr>
          <w:rFonts w:ascii="Times New Roman" w:hAnsi="Times New Roman"/>
          <w:color w:val="000000" w:themeColor="text1"/>
          <w:sz w:val="16"/>
          <w:szCs w:val="16"/>
        </w:rPr>
        <w:softHyphen/>
        <w:t>молета так, что ее кольцо вписывалось в фонарь кабины под углом 45° к стро</w:t>
      </w:r>
      <w:r w:rsidRPr="00D03F3E">
        <w:rPr>
          <w:rFonts w:ascii="Times New Roman" w:hAnsi="Times New Roman"/>
          <w:color w:val="000000" w:themeColor="text1"/>
          <w:sz w:val="16"/>
          <w:szCs w:val="16"/>
        </w:rPr>
        <w:softHyphen/>
        <w:t>ительной горизонтали самолета. Установка обеспечивалась боезапа</w:t>
      </w:r>
      <w:r w:rsidRPr="00D03F3E">
        <w:rPr>
          <w:rFonts w:ascii="Times New Roman" w:hAnsi="Times New Roman"/>
          <w:color w:val="000000" w:themeColor="text1"/>
          <w:sz w:val="16"/>
          <w:szCs w:val="16"/>
        </w:rPr>
        <w:softHyphen/>
        <w:t>сом в 190 патронов в четырех магазинах. Два подвешивались по бортам кабины на крышках бомбовых отсеков, один - на за</w:t>
      </w:r>
      <w:r w:rsidRPr="00D03F3E">
        <w:rPr>
          <w:rFonts w:ascii="Times New Roman" w:hAnsi="Times New Roman"/>
          <w:color w:val="000000" w:themeColor="text1"/>
          <w:sz w:val="16"/>
          <w:szCs w:val="16"/>
        </w:rPr>
        <w:softHyphen/>
        <w:t>дней броне и один устанавливался на пу</w:t>
      </w:r>
      <w:r w:rsidRPr="00D03F3E">
        <w:rPr>
          <w:rFonts w:ascii="Times New Roman" w:hAnsi="Times New Roman"/>
          <w:color w:val="000000" w:themeColor="text1"/>
          <w:sz w:val="16"/>
          <w:szCs w:val="16"/>
        </w:rPr>
        <w:softHyphen/>
        <w:t>лемет. Прицеливание осуществлялось через кольцевой прицел, находившийся за фо</w:t>
      </w:r>
      <w:r w:rsidRPr="00D03F3E">
        <w:rPr>
          <w:rFonts w:ascii="Times New Roman" w:hAnsi="Times New Roman"/>
          <w:color w:val="000000" w:themeColor="text1"/>
          <w:sz w:val="16"/>
          <w:szCs w:val="16"/>
        </w:rPr>
        <w:softHyphen/>
        <w:t>нарем снаружи над стволом пулемета. Установка обеспечивала углы обстрела: вверх 36°, вниз 8-9° и в стороны по 15°. Бомбардировочное вооружение само</w:t>
      </w:r>
      <w:r w:rsidRPr="00D03F3E">
        <w:rPr>
          <w:rFonts w:ascii="Times New Roman" w:hAnsi="Times New Roman"/>
          <w:color w:val="000000" w:themeColor="text1"/>
          <w:sz w:val="16"/>
          <w:szCs w:val="16"/>
        </w:rPr>
        <w:softHyphen/>
        <w:t>лета находилось в бомбовых отсеках фю</w:t>
      </w:r>
      <w:r w:rsidRPr="00D03F3E">
        <w:rPr>
          <w:rFonts w:ascii="Times New Roman" w:hAnsi="Times New Roman"/>
          <w:color w:val="000000" w:themeColor="text1"/>
          <w:sz w:val="16"/>
          <w:szCs w:val="16"/>
        </w:rPr>
        <w:softHyphen/>
        <w:t>зеляжа и на подкрыльных установках. Бомбовые отсеки представляли собой два кассетных ящика, вмонтированные в конструкцию самолета. Ящик состоял из двух отсеков - верх</w:t>
      </w:r>
      <w:r w:rsidRPr="00D03F3E">
        <w:rPr>
          <w:rFonts w:ascii="Times New Roman" w:hAnsi="Times New Roman"/>
          <w:color w:val="000000" w:themeColor="text1"/>
          <w:sz w:val="16"/>
          <w:szCs w:val="16"/>
        </w:rPr>
        <w:softHyphen/>
        <w:t>него и нижнего. Каждый отсек вмещал одну бомбу ФАБ-100 или ФАБ-50, и бом</w:t>
      </w:r>
      <w:r w:rsidRPr="00D03F3E">
        <w:rPr>
          <w:rFonts w:ascii="Times New Roman" w:hAnsi="Times New Roman"/>
          <w:color w:val="000000" w:themeColor="text1"/>
          <w:sz w:val="16"/>
          <w:szCs w:val="16"/>
        </w:rPr>
        <w:softHyphen/>
        <w:t>бы от 25 кг до 1 кг - общим весом в сред</w:t>
      </w:r>
      <w:r w:rsidRPr="00D03F3E">
        <w:rPr>
          <w:rFonts w:ascii="Times New Roman" w:hAnsi="Times New Roman"/>
          <w:color w:val="000000" w:themeColor="text1"/>
          <w:sz w:val="16"/>
          <w:szCs w:val="16"/>
        </w:rPr>
        <w:softHyphen/>
        <w:t>нем до 100 кг. Конструкция беззамковых бомбарди</w:t>
      </w:r>
      <w:r w:rsidRPr="00D03F3E">
        <w:rPr>
          <w:rFonts w:ascii="Times New Roman" w:hAnsi="Times New Roman"/>
          <w:color w:val="000000" w:themeColor="text1"/>
          <w:sz w:val="16"/>
          <w:szCs w:val="16"/>
        </w:rPr>
        <w:softHyphen/>
        <w:t>ровочных установок допускала укладку бомб различного калибра непосред</w:t>
      </w:r>
      <w:r w:rsidRPr="00D03F3E">
        <w:rPr>
          <w:rFonts w:ascii="Times New Roman" w:hAnsi="Times New Roman"/>
          <w:color w:val="000000" w:themeColor="text1"/>
          <w:sz w:val="16"/>
          <w:szCs w:val="16"/>
        </w:rPr>
        <w:softHyphen/>
        <w:t>ственно на створки бомбоотсеков на их полную расчетную грузоподъемность. Этим упрощался процесс загрузки бомб, облегчалось перебазирование самолета. Управление сбрасыванием раздель</w:t>
      </w:r>
      <w:r w:rsidRPr="00D03F3E">
        <w:rPr>
          <w:rFonts w:ascii="Times New Roman" w:hAnsi="Times New Roman"/>
          <w:color w:val="000000" w:themeColor="text1"/>
          <w:sz w:val="16"/>
          <w:szCs w:val="16"/>
        </w:rPr>
        <w:softHyphen/>
        <w:t>ное, поэтому каждый отсек имел свои замки и пиропистолет. Подкрыльевая установка состояла из механизма сбрасывания, замка, деталей крепления замка и сигнализации. Замок установки ДЗ-40 обеспечивал подвеску бомб в 50, 100 и 250 кг, а также ВАП-200 и УХАП-250. В бомбовые отсеки бомбы от 100 до 50 кг поднимались лебедкой, а от 25 кг и ни</w:t>
      </w:r>
      <w:r w:rsidRPr="00D03F3E">
        <w:rPr>
          <w:rFonts w:ascii="Times New Roman" w:hAnsi="Times New Roman"/>
          <w:color w:val="000000" w:themeColor="text1"/>
          <w:sz w:val="16"/>
          <w:szCs w:val="16"/>
        </w:rPr>
        <w:softHyphen/>
        <w:t>же - укладывались вручную. Лебедка БЛ-4 устанавливалась снаружи на борт фю</w:t>
      </w:r>
      <w:r w:rsidRPr="00D03F3E">
        <w:rPr>
          <w:rFonts w:ascii="Times New Roman" w:hAnsi="Times New Roman"/>
          <w:color w:val="000000" w:themeColor="text1"/>
          <w:sz w:val="16"/>
          <w:szCs w:val="16"/>
        </w:rPr>
        <w:softHyphen/>
        <w:t>зеляжа на специальном кронштейне. На подкрыльные держатели бомбы подни</w:t>
      </w:r>
      <w:r w:rsidRPr="00D03F3E">
        <w:rPr>
          <w:rFonts w:ascii="Times New Roman" w:hAnsi="Times New Roman"/>
          <w:color w:val="000000" w:themeColor="text1"/>
          <w:sz w:val="16"/>
          <w:szCs w:val="16"/>
        </w:rPr>
        <w:softHyphen/>
        <w:t>мались лебедкой с тем же кронштейном, что и в бомбовые отсеки. Сбрасывание бомб осуществлялось из кабины летчика с помощью электросбра</w:t>
      </w:r>
      <w:r w:rsidRPr="00D03F3E">
        <w:rPr>
          <w:rFonts w:ascii="Times New Roman" w:hAnsi="Times New Roman"/>
          <w:color w:val="000000" w:themeColor="text1"/>
          <w:sz w:val="16"/>
          <w:szCs w:val="16"/>
        </w:rPr>
        <w:softHyphen/>
        <w:t>сывателя ЭСБР-ЗП или от механического сбрасывателя АСШЛ-340, которые были связаны с замками створок бомбовых от</w:t>
      </w:r>
      <w:r w:rsidRPr="00D03F3E">
        <w:rPr>
          <w:rFonts w:ascii="Times New Roman" w:hAnsi="Times New Roman"/>
          <w:color w:val="000000" w:themeColor="text1"/>
          <w:sz w:val="16"/>
          <w:szCs w:val="16"/>
        </w:rPr>
        <w:softHyphen/>
        <w:t>секов (10718).</w:t>
      </w:r>
    </w:p>
    <w:p w14:paraId="0A8C41A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7879B3" w14:textId="77777777" w:rsidR="00FD630D" w:rsidRPr="00D03F3E" w:rsidRDefault="00FD630D"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20 января 1943 эскизный про</w:t>
      </w:r>
      <w:r w:rsidRPr="00D03F3E">
        <w:rPr>
          <w:rFonts w:ascii="Times New Roman" w:hAnsi="Times New Roman" w:cs="Times New Roman"/>
          <w:color w:val="0070C0"/>
          <w:sz w:val="16"/>
          <w:szCs w:val="16"/>
        </w:rPr>
        <w:softHyphen/>
        <w:t>ект двухместного (по опыту войны) Су-6 М-71ф (заводское обозначение С2А) П.О.С. был утвержден глав</w:t>
      </w:r>
      <w:r w:rsidRPr="00D03F3E">
        <w:rPr>
          <w:rFonts w:ascii="Times New Roman" w:hAnsi="Times New Roman" w:cs="Times New Roman"/>
          <w:color w:val="0070C0"/>
          <w:sz w:val="16"/>
          <w:szCs w:val="16"/>
        </w:rPr>
        <w:softHyphen/>
        <w:t>ным инженером ВВС генерал-лейтенантом Репиным с не</w:t>
      </w:r>
      <w:r w:rsidRPr="00D03F3E">
        <w:rPr>
          <w:rFonts w:ascii="Times New Roman" w:hAnsi="Times New Roman" w:cs="Times New Roman"/>
          <w:color w:val="0070C0"/>
          <w:sz w:val="16"/>
          <w:szCs w:val="16"/>
        </w:rPr>
        <w:softHyphen/>
        <w:t>большими замечаниями в части улучше</w:t>
      </w:r>
      <w:r w:rsidRPr="00D03F3E">
        <w:rPr>
          <w:rFonts w:ascii="Times New Roman" w:hAnsi="Times New Roman" w:cs="Times New Roman"/>
          <w:color w:val="0070C0"/>
          <w:sz w:val="16"/>
          <w:szCs w:val="16"/>
        </w:rPr>
        <w:softHyphen/>
        <w:t>ния бронирования.</w:t>
      </w:r>
    </w:p>
    <w:p w14:paraId="26E173F0" w14:textId="77777777" w:rsidR="00FD630D" w:rsidRPr="00D03F3E" w:rsidRDefault="00FD630D"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Передняя часть фюзеляжа, вклю</w:t>
      </w:r>
      <w:r w:rsidRPr="00D03F3E">
        <w:rPr>
          <w:rFonts w:ascii="Times New Roman" w:hAnsi="Times New Roman" w:cs="Times New Roman"/>
          <w:color w:val="0070C0"/>
          <w:sz w:val="16"/>
          <w:szCs w:val="16"/>
        </w:rPr>
        <w:softHyphen/>
        <w:t>чая кабину летчика, представляла со</w:t>
      </w:r>
      <w:r w:rsidRPr="00D03F3E">
        <w:rPr>
          <w:rFonts w:ascii="Times New Roman" w:hAnsi="Times New Roman" w:cs="Times New Roman"/>
          <w:color w:val="0070C0"/>
          <w:sz w:val="16"/>
          <w:szCs w:val="16"/>
        </w:rPr>
        <w:softHyphen/>
        <w:t>бой бронекорпус, который защищал лет</w:t>
      </w:r>
      <w:r w:rsidRPr="00D03F3E">
        <w:rPr>
          <w:rFonts w:ascii="Times New Roman" w:hAnsi="Times New Roman" w:cs="Times New Roman"/>
          <w:color w:val="0070C0"/>
          <w:sz w:val="16"/>
          <w:szCs w:val="16"/>
        </w:rPr>
        <w:softHyphen/>
        <w:t>чика, бензо- и маслобаки. Нижний и верх</w:t>
      </w:r>
      <w:r w:rsidRPr="00D03F3E">
        <w:rPr>
          <w:rFonts w:ascii="Times New Roman" w:hAnsi="Times New Roman" w:cs="Times New Roman"/>
          <w:color w:val="0070C0"/>
          <w:sz w:val="16"/>
          <w:szCs w:val="16"/>
        </w:rPr>
        <w:softHyphen/>
        <w:t>ний броневые пояса имели перемен</w:t>
      </w:r>
      <w:r w:rsidRPr="00D03F3E">
        <w:rPr>
          <w:rFonts w:ascii="Times New Roman" w:hAnsi="Times New Roman" w:cs="Times New Roman"/>
          <w:color w:val="0070C0"/>
          <w:sz w:val="16"/>
          <w:szCs w:val="16"/>
        </w:rPr>
        <w:softHyphen/>
        <w:t>ную толщину по своей длине. Верхний пояс - 4 мм спереди и 6 мм сзади, ниж</w:t>
      </w:r>
      <w:r w:rsidRPr="00D03F3E">
        <w:rPr>
          <w:rFonts w:ascii="Times New Roman" w:hAnsi="Times New Roman" w:cs="Times New Roman"/>
          <w:color w:val="0070C0"/>
          <w:sz w:val="16"/>
          <w:szCs w:val="16"/>
        </w:rPr>
        <w:softHyphen/>
        <w:t>ний - 2 мм по всей длине, вся нижняя часть корпуса - 4 мм. Со стороны зад- "ней полусферы летчик прикрывался 6-мм бронеплитами, установленными с боков и сверху на фонаре, а также 12-мм бронезаголовником и задней вертикальной стенкой. Область от нижнего края верти</w:t>
      </w:r>
      <w:r w:rsidRPr="00D03F3E">
        <w:rPr>
          <w:rFonts w:ascii="Times New Roman" w:hAnsi="Times New Roman" w:cs="Times New Roman"/>
          <w:color w:val="0070C0"/>
          <w:sz w:val="16"/>
          <w:szCs w:val="16"/>
        </w:rPr>
        <w:softHyphen/>
        <w:t>кальной стенки (примерно на одну треть выше середины высоты фюзеляжа) и до пола прикрывалась задней вертикаль</w:t>
      </w:r>
      <w:r w:rsidRPr="00D03F3E">
        <w:rPr>
          <w:rFonts w:ascii="Times New Roman" w:hAnsi="Times New Roman" w:cs="Times New Roman"/>
          <w:color w:val="0070C0"/>
          <w:sz w:val="16"/>
          <w:szCs w:val="16"/>
        </w:rPr>
        <w:softHyphen/>
        <w:t>ной броней кабины воздушного стрелка. В передних стеклах фонаря кабины уста</w:t>
      </w:r>
      <w:r w:rsidRPr="00D03F3E">
        <w:rPr>
          <w:rFonts w:ascii="Times New Roman" w:hAnsi="Times New Roman" w:cs="Times New Roman"/>
          <w:color w:val="0070C0"/>
          <w:sz w:val="16"/>
          <w:szCs w:val="16"/>
        </w:rPr>
        <w:softHyphen/>
        <w:t>навливалась прозрачная броня толщиной 55 мм (лобовое стекло) и 50 мм (боко</w:t>
      </w:r>
      <w:r w:rsidRPr="00D03F3E">
        <w:rPr>
          <w:rFonts w:ascii="Times New Roman" w:hAnsi="Times New Roman" w:cs="Times New Roman"/>
          <w:color w:val="0070C0"/>
          <w:sz w:val="16"/>
          <w:szCs w:val="16"/>
        </w:rPr>
        <w:softHyphen/>
        <w:t>вины). Сверху спереди на фонаре имелся бронированный «чепчик» толщиной 4 мм.</w:t>
      </w:r>
    </w:p>
    <w:p w14:paraId="32298299" w14:textId="77777777" w:rsidR="00FD630D" w:rsidRPr="00D03F3E" w:rsidRDefault="00FD630D"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Кабина стрелка выполнялась в виде броневого отсека, расположенного внутри фюзеляжа между бомбовых отсеков (по два отсека друг над другом с каждой сто</w:t>
      </w:r>
      <w:r w:rsidRPr="00D03F3E">
        <w:rPr>
          <w:rFonts w:ascii="Times New Roman" w:hAnsi="Times New Roman" w:cs="Times New Roman"/>
          <w:color w:val="0070C0"/>
          <w:sz w:val="16"/>
          <w:szCs w:val="16"/>
        </w:rPr>
        <w:softHyphen/>
        <w:t>роны). Боковой пояс и вся нижняя часть кабины имели толщину 4 мм, верхняя бо</w:t>
      </w:r>
      <w:r w:rsidRPr="00D03F3E">
        <w:rPr>
          <w:rFonts w:ascii="Times New Roman" w:hAnsi="Times New Roman" w:cs="Times New Roman"/>
          <w:color w:val="0070C0"/>
          <w:sz w:val="16"/>
          <w:szCs w:val="16"/>
        </w:rPr>
        <w:softHyphen/>
        <w:t>ковая броня и броня сверху фонаря - 6 мм, задние вертикальные стенки (верх</w:t>
      </w:r>
      <w:r w:rsidRPr="00D03F3E">
        <w:rPr>
          <w:rFonts w:ascii="Times New Roman" w:hAnsi="Times New Roman" w:cs="Times New Roman"/>
          <w:color w:val="0070C0"/>
          <w:sz w:val="16"/>
          <w:szCs w:val="16"/>
        </w:rPr>
        <w:softHyphen/>
        <w:t>няя и нижняя) - 12 мм. Дополнительную защиту стрелка со стороны задней по</w:t>
      </w:r>
      <w:r w:rsidRPr="00D03F3E">
        <w:rPr>
          <w:rFonts w:ascii="Times New Roman" w:hAnsi="Times New Roman" w:cs="Times New Roman"/>
          <w:color w:val="0070C0"/>
          <w:sz w:val="16"/>
          <w:szCs w:val="16"/>
        </w:rPr>
        <w:softHyphen/>
        <w:t>лусферы обеспечивало 65-мм бронесте</w:t>
      </w:r>
      <w:r w:rsidRPr="00D03F3E">
        <w:rPr>
          <w:rFonts w:ascii="Times New Roman" w:hAnsi="Times New Roman" w:cs="Times New Roman"/>
          <w:color w:val="0070C0"/>
          <w:sz w:val="16"/>
          <w:szCs w:val="16"/>
        </w:rPr>
        <w:softHyphen/>
        <w:t>кло, установленное в блистере пулемет</w:t>
      </w:r>
      <w:r w:rsidRPr="00D03F3E">
        <w:rPr>
          <w:rFonts w:ascii="Times New Roman" w:hAnsi="Times New Roman" w:cs="Times New Roman"/>
          <w:color w:val="0070C0"/>
          <w:sz w:val="16"/>
          <w:szCs w:val="16"/>
        </w:rPr>
        <w:softHyphen/>
        <w:t>ной установки.</w:t>
      </w:r>
    </w:p>
    <w:p w14:paraId="7D83FB33" w14:textId="77777777" w:rsidR="00FD630D" w:rsidRPr="00D03F3E" w:rsidRDefault="00FD630D"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Наличие по бокам кабины стрелка бомбовых отсеков положительно сказы</w:t>
      </w:r>
      <w:r w:rsidRPr="00D03F3E">
        <w:rPr>
          <w:rFonts w:ascii="Times New Roman" w:hAnsi="Times New Roman" w:cs="Times New Roman"/>
          <w:color w:val="0070C0"/>
          <w:sz w:val="16"/>
          <w:szCs w:val="16"/>
        </w:rPr>
        <w:softHyphen/>
        <w:t>валось на его защищенности, так как пуля, снаряд или осколок, прежде чем подойти к броне, должны были преодолеть эле</w:t>
      </w:r>
      <w:r w:rsidRPr="00D03F3E">
        <w:rPr>
          <w:rFonts w:ascii="Times New Roman" w:hAnsi="Times New Roman" w:cs="Times New Roman"/>
          <w:color w:val="0070C0"/>
          <w:sz w:val="16"/>
          <w:szCs w:val="16"/>
        </w:rPr>
        <w:softHyphen/>
        <w:t>менты конструкции отсеков и потерять на этом «часть своей живой силы». К тому же «изменяется геометрия встречи с броней» - боеприпас или осколок подходят к броне под большим углом, что «облегчает работу брони».</w:t>
      </w:r>
    </w:p>
    <w:p w14:paraId="4B48C8A4" w14:textId="77777777" w:rsidR="00FD630D" w:rsidRPr="00D03F3E" w:rsidRDefault="00FD630D"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Задняя часть мотора и весь замоторный отсек с агрегатами мотора до пе</w:t>
      </w:r>
      <w:r w:rsidRPr="00D03F3E">
        <w:rPr>
          <w:rFonts w:ascii="Times New Roman" w:hAnsi="Times New Roman" w:cs="Times New Roman"/>
          <w:color w:val="0070C0"/>
          <w:sz w:val="16"/>
          <w:szCs w:val="16"/>
        </w:rPr>
        <w:softHyphen/>
        <w:t>редней части фюзеляжа защищались 4-мм бронированным капотом в форме цилиндра и специальным бронирован</w:t>
      </w:r>
      <w:r w:rsidRPr="00D03F3E">
        <w:rPr>
          <w:rFonts w:ascii="Times New Roman" w:hAnsi="Times New Roman" w:cs="Times New Roman"/>
          <w:color w:val="0070C0"/>
          <w:sz w:val="16"/>
          <w:szCs w:val="16"/>
        </w:rPr>
        <w:softHyphen/>
        <w:t>ным разъемным кольцом-конусом тол</w:t>
      </w:r>
      <w:r w:rsidRPr="00D03F3E">
        <w:rPr>
          <w:rFonts w:ascii="Times New Roman" w:hAnsi="Times New Roman" w:cs="Times New Roman"/>
          <w:color w:val="0070C0"/>
          <w:sz w:val="16"/>
          <w:szCs w:val="16"/>
        </w:rPr>
        <w:softHyphen/>
        <w:t>щиной 2 мм - в верхней части, и 4 мм - в нижней части. Масляные радиаторы прикрывались снизу и сзади гнутыми 6-мм бронеплитами, а маслопроводы на участке центроплана спереди, сзади и снизу - 6-мм броневыми лотками. Втулка воздушного винта спереди имела бронедиск толщиной 6 мм.</w:t>
      </w:r>
    </w:p>
    <w:p w14:paraId="424611D2" w14:textId="77777777" w:rsidR="00FD630D" w:rsidRPr="00D03F3E" w:rsidRDefault="00FD630D"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Все броневые стенки толщиной 12 мм выполнялись из цементованной брони ХД, остальные - из гомогенной брони АБ-2. Броневые листы крепились к каркасу на заклепках и болтах. Общий вес брони со</w:t>
      </w:r>
      <w:r w:rsidRPr="00D03F3E">
        <w:rPr>
          <w:rFonts w:ascii="Times New Roman" w:hAnsi="Times New Roman" w:cs="Times New Roman"/>
          <w:color w:val="0070C0"/>
          <w:sz w:val="16"/>
          <w:szCs w:val="16"/>
        </w:rPr>
        <w:softHyphen/>
        <w:t>ставил 611,5 кг.</w:t>
      </w:r>
    </w:p>
    <w:p w14:paraId="152681C1" w14:textId="77777777" w:rsidR="00FD630D" w:rsidRPr="00D03F3E" w:rsidRDefault="00FD630D"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Стрелково-пушечное и ракетное во</w:t>
      </w:r>
      <w:r w:rsidRPr="00D03F3E">
        <w:rPr>
          <w:rFonts w:ascii="Times New Roman" w:hAnsi="Times New Roman" w:cs="Times New Roman"/>
          <w:color w:val="0070C0"/>
          <w:sz w:val="16"/>
          <w:szCs w:val="16"/>
        </w:rPr>
        <w:softHyphen/>
        <w:t>оружение включало две пушки 11П (90 снарядов), два пулемета ШКАС (1400 патронов) и 6 РО-132 (или РО-82).</w:t>
      </w:r>
    </w:p>
    <w:p w14:paraId="014C8223" w14:textId="77777777" w:rsidR="00FD630D" w:rsidRPr="00D03F3E" w:rsidRDefault="00FD630D"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Оборонительный пулемет УБТ (196 па</w:t>
      </w:r>
      <w:r w:rsidRPr="00D03F3E">
        <w:rPr>
          <w:rFonts w:ascii="Times New Roman" w:hAnsi="Times New Roman" w:cs="Times New Roman"/>
          <w:color w:val="0070C0"/>
          <w:sz w:val="16"/>
          <w:szCs w:val="16"/>
        </w:rPr>
        <w:softHyphen/>
        <w:t>тронов в четырех магазинах) устанав</w:t>
      </w:r>
      <w:r w:rsidRPr="00D03F3E">
        <w:rPr>
          <w:rFonts w:ascii="Times New Roman" w:hAnsi="Times New Roman" w:cs="Times New Roman"/>
          <w:color w:val="0070C0"/>
          <w:sz w:val="16"/>
          <w:szCs w:val="16"/>
        </w:rPr>
        <w:softHyphen/>
        <w:t>ливался в блистерной установке БЛУБ с углами обстрела в задней полусфере: вверх - 45°, вниз с бортов - 1°, вправо от стрелка - 30° и влево - 30°.</w:t>
      </w:r>
    </w:p>
    <w:p w14:paraId="6F2934F4" w14:textId="77777777" w:rsidR="00FD630D" w:rsidRPr="00D03F3E" w:rsidRDefault="00FD630D"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На самолет допускалась подве</w:t>
      </w:r>
      <w:r w:rsidRPr="00D03F3E">
        <w:rPr>
          <w:rFonts w:ascii="Times New Roman" w:hAnsi="Times New Roman" w:cs="Times New Roman"/>
          <w:color w:val="0070C0"/>
          <w:sz w:val="16"/>
          <w:szCs w:val="16"/>
        </w:rPr>
        <w:softHyphen/>
        <w:t>ска бомб в следующих вариантах: две ФАБ-250 (500 кг), шесть ФАБ-100 (600 кг), шесть ФАБ-50 (300 кг), 16 АО-25 (400 кг), 18 А0-20 (360 кг), 24 АО-15 (360 кг), 40 АО-Юсч (400 кг), 50 АО-8ук (400 кг), 160 АО-2,5 сч (400 кг). Основной вариант бомбовой нагрузки составлял 200 кг вну</w:t>
      </w:r>
      <w:r w:rsidRPr="00D03F3E">
        <w:rPr>
          <w:rFonts w:ascii="Times New Roman" w:hAnsi="Times New Roman" w:cs="Times New Roman"/>
          <w:color w:val="0070C0"/>
          <w:sz w:val="16"/>
          <w:szCs w:val="16"/>
        </w:rPr>
        <w:softHyphen/>
        <w:t>три фюзеляжа.</w:t>
      </w:r>
    </w:p>
    <w:p w14:paraId="1AE17658" w14:textId="77777777" w:rsidR="00FD630D" w:rsidRPr="00D03F3E" w:rsidRDefault="00FD630D"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lastRenderedPageBreak/>
        <w:t>Бомбы калибров до 100 кг укладыва</w:t>
      </w:r>
      <w:r w:rsidRPr="00D03F3E">
        <w:rPr>
          <w:rFonts w:ascii="Times New Roman" w:hAnsi="Times New Roman" w:cs="Times New Roman"/>
          <w:color w:val="0070C0"/>
          <w:sz w:val="16"/>
          <w:szCs w:val="16"/>
        </w:rPr>
        <w:softHyphen/>
        <w:t>лись прямо на створки бомбовых отсеков. При этом бомбы калибра 50 и 100 кг под</w:t>
      </w:r>
      <w:r w:rsidRPr="00D03F3E">
        <w:rPr>
          <w:rFonts w:ascii="Times New Roman" w:hAnsi="Times New Roman" w:cs="Times New Roman"/>
          <w:color w:val="0070C0"/>
          <w:sz w:val="16"/>
          <w:szCs w:val="16"/>
        </w:rPr>
        <w:softHyphen/>
        <w:t>нимались в отсек при помощи лебедки, а 25 кг и менее - загружались вручную через специальные окна в фюзеляже. Бомбы ФАБ-250, выливные и химические авиаприборы типа ВАП-200 и УХАП-250 подвешивались на наружные держатели с замками МДЗ-40.</w:t>
      </w:r>
    </w:p>
    <w:p w14:paraId="5685DD2B" w14:textId="77777777" w:rsidR="00FD630D" w:rsidRPr="00D03F3E" w:rsidRDefault="00FD630D"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Сброс бомб и пуск ракетных снарядов осуществлялся раздельно от двух сбрасы</w:t>
      </w:r>
      <w:r w:rsidRPr="00D03F3E">
        <w:rPr>
          <w:rFonts w:ascii="Times New Roman" w:hAnsi="Times New Roman" w:cs="Times New Roman"/>
          <w:color w:val="0070C0"/>
          <w:sz w:val="16"/>
          <w:szCs w:val="16"/>
        </w:rPr>
        <w:softHyphen/>
        <w:t>вателей ЭСБР-Зп. Пушечные и пулемет</w:t>
      </w:r>
      <w:r w:rsidRPr="00D03F3E">
        <w:rPr>
          <w:rFonts w:ascii="Times New Roman" w:hAnsi="Times New Roman" w:cs="Times New Roman"/>
          <w:color w:val="0070C0"/>
          <w:sz w:val="16"/>
          <w:szCs w:val="16"/>
        </w:rPr>
        <w:softHyphen/>
        <w:t>ные установки обеспечивались пневма</w:t>
      </w:r>
      <w:r w:rsidRPr="00D03F3E">
        <w:rPr>
          <w:rFonts w:ascii="Times New Roman" w:hAnsi="Times New Roman" w:cs="Times New Roman"/>
          <w:color w:val="0070C0"/>
          <w:sz w:val="16"/>
          <w:szCs w:val="16"/>
        </w:rPr>
        <w:softHyphen/>
        <w:t>тическим спуском и электропневматиче</w:t>
      </w:r>
      <w:r w:rsidRPr="00D03F3E">
        <w:rPr>
          <w:rFonts w:ascii="Times New Roman" w:hAnsi="Times New Roman" w:cs="Times New Roman"/>
          <w:color w:val="0070C0"/>
          <w:sz w:val="16"/>
          <w:szCs w:val="16"/>
        </w:rPr>
        <w:softHyphen/>
        <w:t>ской перезарядкой. Прицел для стрельбы и бомбометания с пикирования - механи</w:t>
      </w:r>
      <w:r w:rsidRPr="00D03F3E">
        <w:rPr>
          <w:rFonts w:ascii="Times New Roman" w:hAnsi="Times New Roman" w:cs="Times New Roman"/>
          <w:color w:val="0070C0"/>
          <w:sz w:val="16"/>
          <w:szCs w:val="16"/>
        </w:rPr>
        <w:softHyphen/>
        <w:t>ческий ВВ-1 (мушка и разметка на лобо</w:t>
      </w:r>
      <w:r w:rsidRPr="00D03F3E">
        <w:rPr>
          <w:rFonts w:ascii="Times New Roman" w:hAnsi="Times New Roman" w:cs="Times New Roman"/>
          <w:color w:val="0070C0"/>
          <w:sz w:val="16"/>
          <w:szCs w:val="16"/>
        </w:rPr>
        <w:softHyphen/>
        <w:t>вом стекле фонаря кабины). Специальный прицел для бомбометания с горизонталь</w:t>
      </w:r>
      <w:r w:rsidRPr="00D03F3E">
        <w:rPr>
          <w:rFonts w:ascii="Times New Roman" w:hAnsi="Times New Roman" w:cs="Times New Roman"/>
          <w:color w:val="0070C0"/>
          <w:sz w:val="16"/>
          <w:szCs w:val="16"/>
        </w:rPr>
        <w:softHyphen/>
        <w:t>ного полета отсутствовал. Для этих целей предполагалось использовать штыри и разметку на бронекорпусе (19846).</w:t>
      </w:r>
    </w:p>
    <w:p w14:paraId="6882943C" w14:textId="77777777" w:rsidR="00FD630D" w:rsidRPr="00D03F3E" w:rsidRDefault="00FD630D"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p>
    <w:p w14:paraId="41C0135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с небольшими замечаниями в части улучшения бронирования был утвержден проект двухместного варианта Су-6 с М-71ф (11426).</w:t>
      </w:r>
    </w:p>
    <w:p w14:paraId="00B3B34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F0574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главный инженер ВВС генерал А.К. Репин утвердил проект С2А (Су-6 М-71ф) с небольшими замечаниями в части улучшения бронирования (11474,411).</w:t>
      </w:r>
    </w:p>
    <w:p w14:paraId="0750D4A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FBB153" w14:textId="77777777" w:rsidR="003B66C2" w:rsidRPr="00D03F3E" w:rsidRDefault="003B66C2"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20 января 1943 проект С2А, который получил одобрение у Заказчика и с небольшими замечаниями в части улучшения бронирования был утвержден начальником НИИ ВВС А. И. Репиным (19188).</w:t>
      </w:r>
    </w:p>
    <w:p w14:paraId="4CCE8F63" w14:textId="77777777" w:rsidR="003B66C2" w:rsidRPr="00D03F3E" w:rsidRDefault="003B66C2" w:rsidP="00D03F3E">
      <w:pPr>
        <w:pStyle w:val="ae"/>
        <w:shd w:val="clear" w:color="auto" w:fill="FFFFFF"/>
        <w:spacing w:before="0" w:after="0"/>
        <w:jc w:val="both"/>
        <w:textAlignment w:val="baseline"/>
        <w:rPr>
          <w:color w:val="000000" w:themeColor="text1"/>
          <w:sz w:val="16"/>
          <w:szCs w:val="16"/>
        </w:rPr>
      </w:pPr>
    </w:p>
    <w:p w14:paraId="2B5F9D09" w14:textId="77777777" w:rsidR="003B66C2" w:rsidRPr="00D03F3E" w:rsidRDefault="003B66C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проект С2А получил одобрение у Заказчика и с небольшими замечаниями в части улучшения бронирования и был утвержден начальником НИИ ВВС А.И.Репиным (9649).</w:t>
      </w:r>
    </w:p>
    <w:p w14:paraId="0E183478" w14:textId="77777777" w:rsidR="003B66C2" w:rsidRPr="00D03F3E" w:rsidRDefault="003B66C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A19D0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w:t>
      </w:r>
      <w:r w:rsidRPr="00D03F3E">
        <w:rPr>
          <w:rFonts w:ascii="Times New Roman" w:hAnsi="Times New Roman"/>
          <w:color w:val="000000" w:themeColor="text1"/>
          <w:sz w:val="16"/>
          <w:szCs w:val="16"/>
        </w:rPr>
        <w:softHyphen/>
        <w:t>варя 1943 года генерал-майор ИАС А.АЛапин утвердил заключение на эскизный проект модификации самолета Су-6 М-71 в двухместном варианте, который был предъявлен на рассмот</w:t>
      </w:r>
      <w:r w:rsidRPr="00D03F3E">
        <w:rPr>
          <w:rFonts w:ascii="Times New Roman" w:hAnsi="Times New Roman"/>
          <w:color w:val="000000" w:themeColor="text1"/>
          <w:sz w:val="16"/>
          <w:szCs w:val="16"/>
        </w:rPr>
        <w:softHyphen/>
        <w:t>рение в НИИ ВВС КА в начале января 1943 (11845).</w:t>
      </w:r>
    </w:p>
    <w:p w14:paraId="40123A0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485378" w14:textId="77777777" w:rsidR="00E73785" w:rsidRPr="00D03F3E" w:rsidRDefault="00E73785" w:rsidP="00D03F3E">
      <w:pPr>
        <w:spacing w:after="0" w:line="240" w:lineRule="auto"/>
        <w:jc w:val="both"/>
        <w:rPr>
          <w:rStyle w:val="aff6"/>
          <w:rFonts w:ascii="Times New Roman" w:eastAsia="Arial Unicode MS" w:hAnsi="Times New Roman" w:cs="Times New Roman"/>
          <w:i w:val="0"/>
          <w:color w:val="000000" w:themeColor="text1"/>
        </w:rPr>
      </w:pPr>
      <w:r w:rsidRPr="00D03F3E">
        <w:rPr>
          <w:rFonts w:ascii="Times New Roman" w:hAnsi="Times New Roman"/>
          <w:color w:val="000000" w:themeColor="text1"/>
          <w:sz w:val="16"/>
          <w:szCs w:val="16"/>
        </w:rPr>
        <w:t>20 января 1943 временно исполняющий должность старшего военпреда ГУ ИАС ВВС на заводе №288 военинженер 3-го ранга Рототаев в очередной сводке по опытным работам началь</w:t>
      </w:r>
      <w:r w:rsidRPr="00D03F3E">
        <w:rPr>
          <w:rFonts w:ascii="Times New Roman" w:hAnsi="Times New Roman"/>
          <w:color w:val="000000" w:themeColor="text1"/>
          <w:sz w:val="16"/>
          <w:szCs w:val="16"/>
        </w:rPr>
        <w:softHyphen/>
        <w:t>нику 1-го отдела Управления опытного строительства ГУ ИАС ВВС бригинженеру Гребневу докладывал, что:</w:t>
      </w:r>
      <w:r w:rsidRPr="00D03F3E">
        <w:rPr>
          <w:rStyle w:val="aff6"/>
          <w:rFonts w:ascii="Times New Roman" w:eastAsia="Arial Unicode MS" w:hAnsi="Times New Roman" w:cs="Times New Roman"/>
          <w:i w:val="0"/>
          <w:color w:val="000000" w:themeColor="text1"/>
        </w:rPr>
        <w:t xml:space="preserve"> «3. Самолёт «Р» (типа «Пегас») - ЦКБ-29, главный конструк</w:t>
      </w:r>
      <w:r w:rsidRPr="00D03F3E">
        <w:rPr>
          <w:rStyle w:val="aff6"/>
          <w:rFonts w:ascii="Times New Roman" w:eastAsia="Arial Unicode MS" w:hAnsi="Times New Roman" w:cs="Times New Roman"/>
          <w:i w:val="0"/>
          <w:color w:val="000000" w:themeColor="text1"/>
        </w:rPr>
        <w:softHyphen/>
        <w:t>тор Томашевич: а) Первый лётный экземпляр прошёл заводские лётные испытания и направ</w:t>
      </w:r>
      <w:r w:rsidRPr="00D03F3E">
        <w:rPr>
          <w:rStyle w:val="aff6"/>
          <w:rFonts w:ascii="Times New Roman" w:eastAsia="Arial Unicode MS" w:hAnsi="Times New Roman" w:cs="Times New Roman"/>
          <w:i w:val="0"/>
          <w:color w:val="000000" w:themeColor="text1"/>
        </w:rPr>
        <w:softHyphen/>
        <w:t>лен в НИИ ВВС в Чкаловскую для государственных испытаний. /.../ б) Идёт подготовка к постройке нулевой серии (5 штук)» (15846).</w:t>
      </w:r>
    </w:p>
    <w:p w14:paraId="6FB6D5EB" w14:textId="77777777" w:rsidR="00E73785" w:rsidRPr="00D03F3E" w:rsidRDefault="00E73785" w:rsidP="00D03F3E">
      <w:pPr>
        <w:spacing w:after="0" w:line="240" w:lineRule="auto"/>
        <w:jc w:val="both"/>
        <w:rPr>
          <w:rFonts w:ascii="Times New Roman" w:hAnsi="Times New Roman"/>
          <w:color w:val="000000" w:themeColor="text1"/>
          <w:sz w:val="16"/>
          <w:szCs w:val="16"/>
        </w:rPr>
      </w:pPr>
    </w:p>
    <w:p w14:paraId="54398278" w14:textId="77777777" w:rsidR="00B84455" w:rsidRPr="00D03F3E" w:rsidRDefault="00B8445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 20 января 1943, согласно очередной сводке по опытным работам Временно исполняющего должность старшего военпреда ГУ ИАС ВВС на заводе № 288 военин</w:t>
      </w:r>
      <w:r w:rsidRPr="00D03F3E">
        <w:rPr>
          <w:color w:val="000000" w:themeColor="text1"/>
          <w:sz w:val="16"/>
          <w:szCs w:val="16"/>
        </w:rPr>
        <w:softHyphen/>
        <w:t>женера 3-го ранга Рототаев начальнику 1-го отдела Управ</w:t>
      </w:r>
      <w:r w:rsidRPr="00D03F3E">
        <w:rPr>
          <w:color w:val="000000" w:themeColor="text1"/>
          <w:sz w:val="16"/>
          <w:szCs w:val="16"/>
        </w:rPr>
        <w:softHyphen/>
        <w:t>ления опытного строительства ГУ ИАС ВВС бригин</w:t>
      </w:r>
      <w:r w:rsidRPr="00D03F3E">
        <w:rPr>
          <w:color w:val="000000" w:themeColor="text1"/>
          <w:sz w:val="16"/>
          <w:szCs w:val="16"/>
        </w:rPr>
        <w:softHyphen/>
        <w:t>женеру Гребневу: «3. Самолет «Р» (типа «Пегас») — ЦКБ-29, главный кон</w:t>
      </w:r>
      <w:r w:rsidRPr="00D03F3E">
        <w:rPr>
          <w:color w:val="000000" w:themeColor="text1"/>
          <w:sz w:val="16"/>
          <w:szCs w:val="16"/>
        </w:rPr>
        <w:softHyphen/>
        <w:t>структор Томашевич: а) Первый летный экземпляр прошел заводские летные испытания и направлен в НИИ ВВС в Чкаловскую для государственных ис</w:t>
      </w:r>
      <w:r w:rsidRPr="00D03F3E">
        <w:rPr>
          <w:color w:val="000000" w:themeColor="text1"/>
          <w:sz w:val="16"/>
          <w:szCs w:val="16"/>
        </w:rPr>
        <w:softHyphen/>
        <w:t>пытаний. /.../ б) Идет подготовка к постройке нуле</w:t>
      </w:r>
      <w:r w:rsidRPr="00D03F3E">
        <w:rPr>
          <w:color w:val="000000" w:themeColor="text1"/>
          <w:sz w:val="16"/>
          <w:szCs w:val="16"/>
        </w:rPr>
        <w:softHyphen/>
        <w:t>вой серии (5 штук)» (17500).</w:t>
      </w:r>
    </w:p>
    <w:p w14:paraId="3D4F173A" w14:textId="77777777" w:rsidR="00B84455" w:rsidRPr="00D03F3E" w:rsidRDefault="00B84455" w:rsidP="00D03F3E">
      <w:pPr>
        <w:spacing w:after="0" w:line="240" w:lineRule="auto"/>
        <w:jc w:val="both"/>
        <w:rPr>
          <w:rFonts w:ascii="Times New Roman" w:eastAsia="Times New Roman" w:hAnsi="Times New Roman"/>
          <w:color w:val="000000" w:themeColor="text1"/>
          <w:sz w:val="16"/>
          <w:szCs w:val="16"/>
          <w:lang w:eastAsia="ru-RU"/>
        </w:rPr>
      </w:pPr>
    </w:p>
    <w:p w14:paraId="1E3AD98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чертежи Ил-4ТК были переданы в производство (3846,18).</w:t>
      </w:r>
    </w:p>
    <w:p w14:paraId="52B8A2A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44D5D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л П.Я.Федрови и ви В.Г.Григорьев закончили заводские испытания Як-9 М-106-1ск, которые шли с 17 ноября 1942 (65,113).</w:t>
      </w:r>
    </w:p>
    <w:p w14:paraId="3BCD0FB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DFF10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года заводом №19 были закончены проверка мощности и высот</w:t>
      </w:r>
      <w:r w:rsidRPr="00D03F3E">
        <w:rPr>
          <w:rFonts w:ascii="Times New Roman" w:hAnsi="Times New Roman"/>
          <w:color w:val="000000" w:themeColor="text1"/>
          <w:sz w:val="16"/>
          <w:szCs w:val="16"/>
        </w:rPr>
        <w:softHyphen/>
        <w:t>ности 10 моторов М-82 на высотной установке «Хинан-Фруд», которая проходила с 20 декабря 1942. Из этих мо</w:t>
      </w:r>
      <w:r w:rsidRPr="00D03F3E">
        <w:rPr>
          <w:rFonts w:ascii="Times New Roman" w:hAnsi="Times New Roman"/>
          <w:color w:val="000000" w:themeColor="text1"/>
          <w:sz w:val="16"/>
          <w:szCs w:val="16"/>
        </w:rPr>
        <w:softHyphen/>
        <w:t>торов было 3 мотора 1-й серии выпус</w:t>
      </w:r>
      <w:r w:rsidRPr="00D03F3E">
        <w:rPr>
          <w:rFonts w:ascii="Times New Roman" w:hAnsi="Times New Roman"/>
          <w:color w:val="000000" w:themeColor="text1"/>
          <w:sz w:val="16"/>
          <w:szCs w:val="16"/>
        </w:rPr>
        <w:softHyphen/>
        <w:t>ка конца 1941 и начала 1942 года, 5 моторов 2-й серии и 2 мотора 3-й серии выпуска 1942 года. Данные этой проверки показали, что все моторы недодают мощности: на взлете — от 30 до 90 л.с., на земном номинале 1-й скорости — от 30 до 93 л.с., на зем</w:t>
      </w:r>
      <w:r w:rsidRPr="00D03F3E">
        <w:rPr>
          <w:rFonts w:ascii="Times New Roman" w:hAnsi="Times New Roman"/>
          <w:color w:val="000000" w:themeColor="text1"/>
          <w:sz w:val="16"/>
          <w:szCs w:val="16"/>
        </w:rPr>
        <w:softHyphen/>
        <w:t>ном номинале 2-й скорости - от 2 до 63 л.с. Также недополучены на этих моторах высота и высотная мощность: на номинале 1-й скорости - от 57 до 140 л.с., на номинале 2-й скорости -от 4 до 67 л.с., высота на 2-й скорости - от 50 до 300 м. Такая же проверка была проведена в период с 15 февра</w:t>
      </w:r>
      <w:r w:rsidRPr="00D03F3E">
        <w:rPr>
          <w:rFonts w:ascii="Times New Roman" w:hAnsi="Times New Roman"/>
          <w:color w:val="000000" w:themeColor="text1"/>
          <w:sz w:val="16"/>
          <w:szCs w:val="16"/>
        </w:rPr>
        <w:softHyphen/>
        <w:t>ля по 15 марта 1943 года на «Хинан-Фруде» еще 6-ти моторов последней серии. Результаты были аналогичные. В связи с началом выпуска мотора М-82Ф с НВ, интерес к доводке АК-82БП постепенно угас. Возможно, история карбюраторного М-82 так бы и за</w:t>
      </w:r>
      <w:r w:rsidRPr="00D03F3E">
        <w:rPr>
          <w:rFonts w:ascii="Times New Roman" w:hAnsi="Times New Roman"/>
          <w:color w:val="000000" w:themeColor="text1"/>
          <w:sz w:val="16"/>
          <w:szCs w:val="16"/>
        </w:rPr>
        <w:softHyphen/>
        <w:t>кончилась, если бы о нем снова не вспомнили осенью 1943 года (10705).</w:t>
      </w:r>
    </w:p>
    <w:p w14:paraId="5E2ECA2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0DF28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двадцатых числах января 1943 г. наконец был по</w:t>
      </w:r>
      <w:r w:rsidRPr="00D03F3E">
        <w:rPr>
          <w:rFonts w:ascii="Times New Roman" w:hAnsi="Times New Roman"/>
          <w:color w:val="000000" w:themeColor="text1"/>
          <w:sz w:val="16"/>
          <w:szCs w:val="16"/>
        </w:rPr>
        <w:softHyphen/>
        <w:t>лучен двигатель М-71. Вскоре И-185 вновь появился на аэродроме, возобновились государственные испытания (10667).</w:t>
      </w:r>
    </w:p>
    <w:p w14:paraId="661D7C3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32D75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20 января 1943 на Пе-8 М-30 налетали 28 полетов и 50:50. 2 мотора сменили (1458,60).</w:t>
      </w:r>
    </w:p>
    <w:p w14:paraId="7D7B250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7646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20 января 1943 г. все чертежи двигателя, переименованного в М-1, сдали в опытный цех. Первые опытные образцы изготовили в феврале—марте. С 27 марта начались заводские испытания. В июле — августе состоялись 70-часовые заводские стендовые испытания. В ноябре того же года два опытных мотора установили на бомбардировщик Пе-2. Первый его полет с двигателями М-1 состоялся 16 декабря 1943 г. Летные испытания М-1 велись до февраля 1944 г.</w:t>
      </w:r>
    </w:p>
    <w:p w14:paraId="65E31FA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Разработка проекта двигателя М-116П осуществлялась в конструктор</w:t>
      </w:r>
      <w:r w:rsidRPr="00D03F3E">
        <w:rPr>
          <w:rFonts w:ascii="Times New Roman" w:hAnsi="Times New Roman"/>
          <w:color w:val="000000" w:themeColor="text1"/>
          <w:sz w:val="16"/>
          <w:szCs w:val="16"/>
        </w:rPr>
        <w:softHyphen/>
        <w:t>ском бюро завода № 16 в Казани с 1942 г. Он представлял собой мо</w:t>
      </w:r>
      <w:r w:rsidRPr="00D03F3E">
        <w:rPr>
          <w:rFonts w:ascii="Times New Roman" w:hAnsi="Times New Roman"/>
          <w:color w:val="000000" w:themeColor="text1"/>
          <w:sz w:val="16"/>
          <w:szCs w:val="16"/>
        </w:rPr>
        <w:softHyphen/>
        <w:t>дернизацию серийного двигателя М-105П (впоследствии М-105ПФ). На нем вернулись к диаметру цилиндра 150 мм (как на М-103), ввели новые гильзы, четырехклапанный механизм газораспределения с улучшенной гидравликой, усиленные коленвал и редуктор, усовершенствовали охлажде</w:t>
      </w:r>
      <w:r w:rsidRPr="00D03F3E">
        <w:rPr>
          <w:rFonts w:ascii="Times New Roman" w:hAnsi="Times New Roman"/>
          <w:color w:val="000000" w:themeColor="text1"/>
          <w:sz w:val="16"/>
          <w:szCs w:val="16"/>
        </w:rPr>
        <w:softHyphen/>
        <w:t>ние верхней части блока, изменили схему смазки коренных подшипников, внесли еще ряд мелких изменений. По сравнению с М-105ПФ мотор фор</w:t>
      </w:r>
      <w:r w:rsidRPr="00D03F3E">
        <w:rPr>
          <w:rFonts w:ascii="Times New Roman" w:hAnsi="Times New Roman"/>
          <w:color w:val="000000" w:themeColor="text1"/>
          <w:sz w:val="16"/>
          <w:szCs w:val="16"/>
        </w:rPr>
        <w:softHyphen/>
        <w:t>сировали по оборотам. В серийное производство М-1 не запускался, поскольку сочли, что он менее унифицирован с М-105ПФ, чем М-107А (ВК-107А).</w:t>
      </w:r>
    </w:p>
    <w:p w14:paraId="5543177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Характеристики:</w:t>
      </w:r>
    </w:p>
    <w:p w14:paraId="09E85ED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12-цилиндровый, У-образный рядный, четырехтактный, жидкостно</w:t>
      </w:r>
      <w:r w:rsidRPr="00D03F3E">
        <w:rPr>
          <w:rFonts w:ascii="Times New Roman" w:hAnsi="Times New Roman"/>
          <w:color w:val="000000" w:themeColor="text1"/>
          <w:sz w:val="16"/>
          <w:szCs w:val="16"/>
        </w:rPr>
        <w:softHyphen/>
        <w:t>го охлаждения, редукторный, с одноступенчатым двухскоростным ПЦН;</w:t>
      </w:r>
    </w:p>
    <w:p w14:paraId="328A33F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диаметр цилиндра/ход поршня 150/170 мм;</w:t>
      </w:r>
    </w:p>
    <w:p w14:paraId="7AF7915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объем 36,0 л;</w:t>
      </w:r>
    </w:p>
    <w:p w14:paraId="068FD34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степень сжатия 6,6;</w:t>
      </w:r>
    </w:p>
    <w:p w14:paraId="56A943C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мощность 1300/1500 л.с.:</w:t>
      </w:r>
    </w:p>
    <w:p w14:paraId="369AF6B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вес 660 кг.</w:t>
      </w:r>
    </w:p>
    <w:p w14:paraId="71F7FC9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М-1 устанавливался на переделанном серийном самолете Пе-2. Его пред</w:t>
      </w:r>
      <w:r w:rsidRPr="00D03F3E">
        <w:rPr>
          <w:rFonts w:ascii="Times New Roman" w:hAnsi="Times New Roman"/>
          <w:color w:val="000000" w:themeColor="text1"/>
          <w:sz w:val="16"/>
          <w:szCs w:val="16"/>
        </w:rPr>
        <w:softHyphen/>
        <w:t>полагали также установить на одном из истребителей А.С. Яковлева (11852).</w:t>
      </w:r>
    </w:p>
    <w:p w14:paraId="51A1D71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C65E7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г. летчик П.Я. Федрови закончил заводские испытания Як-9 с мотором М-106-1СК и ВИШ-61П (зав. № 2391, завода N°115), которые проходили с 17 ноября 1942 г.</w:t>
      </w:r>
    </w:p>
    <w:p w14:paraId="7D22900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октябре 1942 года в ходе госиспытаний Як-9 с мотором М-106-1СК и ВИШ-61П (зав. № 2391, завода N°115) обнаружился выброс масла в полете при 2700 оборотах двигателя в минуту (заправка масла - 40 литров).</w:t>
      </w:r>
    </w:p>
    <w:p w14:paraId="31FD7C5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Осенью 1942 года серийный истребитель Як-7 (заводской № 23-01) переделали на заводе № 115 в Москве в вариант Як-9 с двигателем М-106-ICK, как дублер опытного истребителя Як-7ДИ с М-105ПФ. Як-7 до этого находился в эксплуатации и прошел серию испытаний, в процессе которых на нем выполнили свыше 1000 фигур высшего пилотажа и 500 посадок.</w:t>
      </w:r>
    </w:p>
    <w:p w14:paraId="64972CC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Замена силовой установки на более мощную потребовала новых водо- и маслорадиаторов. Тогда же облагородили внешние формы самолета, улучшив его аэродинамические характеристики - в частности, костыльное колесо стало полностью убирающимся, понизили гаргрот и придали фонарю кабины пилота более обтекаемую форму. Одновременно на нем установили переднее и заднее бронестекла, а на выхлопные коллекторы мотора надели обтекатели. Улучшили герметизацию фюзеляжа и устранили щель между стабилизатором и рулем высоты. Вместо штурвального управления шагом воздушного винта применили более удобное - рычажное. На самолете установили радиополукомпас РГЖ-10. Были и другие мелкие доработки, но способствовавшие повышению боевых возможностей истребителя. </w:t>
      </w:r>
    </w:p>
    <w:p w14:paraId="169DCA1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Спустя неделю, в НИИ ВВС начались государственные испытания Як-9М-106-1ск. Ведущими на этом этапе были инженер А.Т. Степанец и летчик В.И. Хомяков.</w:t>
      </w:r>
    </w:p>
    <w:p w14:paraId="3E5E177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показали, что при возросшем до 3050 кг взлетном весе максимальная скорость истребителя увеличилась незначительно, а взлетно-посадочные данные и скороподъемность заметно ухудшились. За время испытаний мотор М-106-1ск наработал 19 часов 25 минут, в том числе в воздухе 15 часов 52 минуты. Всего за время эксплуатации двигатель наработал 23 часа 35 минут, причем на топливах с октановыми числами 94,8 и 97,8. Основным недостатком двигателя М-106-ICK была невозможность использования номинальных оборотов - 2700 об/мин, вследствие выбивания масла через суфлер. Выявленные дефекты двигателя делали невозможной эксплуатацию машины в строевых частях.</w:t>
      </w:r>
    </w:p>
    <w:p w14:paraId="3AB60A0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"Акте по результатам государственных испытаний..." ведущий летчик Хомяков отметил:</w:t>
      </w:r>
    </w:p>
    <w:p w14:paraId="74AC001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технике пилотирования &lt;...&gt; Як-9 М-106-ICK ничем не отличается от серийных самолетов Як-9 М-105ПФ, за исключением увеличенной горизонтальной скорости, улучшения скороподъемности и сокращения времени разбега.</w:t>
      </w:r>
    </w:p>
    <w:p w14:paraId="058D5A9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Работа мотора на 2600 об/мин удовлетворительная, на 2700 об/мин мотор работает грубо и трясет с выхлопами черного дыма. Температурный режим охлаждающей жидкости на 2600 об/мин с полностью открытой заслонкой радиатора не обеспечивает возможности набора высоты на режиме наивыгоднейшей скороподъемности; температура воды достигает 105° при температуре наружного воздуха 15-20°. В горизонтальном полете с заслонками радиаторов, установленных по потоку, температура воды может находиться на верхнем пределе. Замена штурвала Р-7 на сектор сокращает время для переключения винта на любые обороты и, поэтому, должна быть произведена на всех самолетах Як.</w:t>
      </w:r>
    </w:p>
    <w:p w14:paraId="1AD9F91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Воздушный "бой", проведенный на Як-9 с М-106-ICK с пятиточечным Me-l09G-2 на высотах от 2000 до 4500 м, показал, что Як-9 имел значительное преимущество при маневрировании в горизонтальной плоскости. На высотах до 3000 м он имел преимущество перед Me-109G-2 на вертикалях. На горке и боевом развороте Як-9 всегда оказывался выше "мессершмитта". Скорости пикирования были почти равны.</w:t>
      </w:r>
    </w:p>
    <w:p w14:paraId="3736198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высотах от 3000 до 4500 м самолеты Як-9 и Me-109G-2 имеют практически одинаковую маневренность в вертикальной плоскости.</w:t>
      </w:r>
    </w:p>
    <w:p w14:paraId="317E745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ходе боя установлено, что пилотировать Me-109G-2 значительно тяжелее, чем Як-9, поэтому Як-9 имел больше возможностей навязать выгодный ему маневр в бою. </w:t>
      </w:r>
    </w:p>
    <w:p w14:paraId="5B42D43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Обзор задней полусферы на Me-109G-2 был значительно хуже, чем на Як-9. Этот недостаток Me-109G-2 приводил к излишним эволюциям в воздушном бою и утомлял летчика, ухудшая его положение по отношению к противнику.</w:t>
      </w:r>
    </w:p>
    <w:p w14:paraId="2DD470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итоге НИИ ВВС рекомендовал НКАП к 1 апреля 1943 года довести винто-мотор- ную группу Як-9 до состояния нормальной эксплуатации. Но это пожелание так и не реализовали, и Як-9М-106-1ск остался в единственном экземпляре (12046).</w:t>
      </w:r>
    </w:p>
    <w:p w14:paraId="49F2069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F2AAF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был утвержден акт по контрольным испытаниям в НИИ ВВС У-2 ВС постройки 387 завода, проходившим с 9 по 18 декабря 1942 (1076,715).</w:t>
      </w:r>
    </w:p>
    <w:p w14:paraId="4C967C3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28D8D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года Камов обращается с большим письмом к началь</w:t>
      </w:r>
      <w:r w:rsidRPr="00D03F3E">
        <w:rPr>
          <w:rFonts w:ascii="Times New Roman" w:hAnsi="Times New Roman"/>
          <w:color w:val="000000" w:themeColor="text1"/>
          <w:sz w:val="16"/>
          <w:szCs w:val="16"/>
        </w:rPr>
        <w:softHyphen/>
        <w:t>нику 7-го Главного Управления НКАП С.Н.Шишкину:</w:t>
      </w:r>
    </w:p>
    <w:p w14:paraId="6E13C88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последние полгода я не получаю от Вас никаких указаний о темати</w:t>
      </w:r>
      <w:r w:rsidRPr="00D03F3E">
        <w:rPr>
          <w:rFonts w:ascii="Times New Roman" w:hAnsi="Times New Roman"/>
          <w:color w:val="000000" w:themeColor="text1"/>
          <w:sz w:val="16"/>
          <w:szCs w:val="16"/>
        </w:rPr>
        <w:softHyphen/>
        <w:t>ке 1943 года и о дальнейших перспективах завода. Мои докладные записки остались без ответа... Меня, как руководителя учреждения, это ставит в совершенно неприемлемое положение. Примерные намерения Наркомата становятся мне известными из частных писем, получаемых мной и моими со</w:t>
      </w:r>
      <w:r w:rsidRPr="00D03F3E">
        <w:rPr>
          <w:rFonts w:ascii="Times New Roman" w:hAnsi="Times New Roman"/>
          <w:color w:val="000000" w:themeColor="text1"/>
          <w:sz w:val="16"/>
          <w:szCs w:val="16"/>
        </w:rPr>
        <w:softHyphen/>
        <w:t>трудниками, это создает абсолютно ненормальную атмосферу. Учитывая это, я считаю необходимым высказать Вам свои соображения по организа</w:t>
      </w:r>
      <w:r w:rsidRPr="00D03F3E">
        <w:rPr>
          <w:rFonts w:ascii="Times New Roman" w:hAnsi="Times New Roman"/>
          <w:color w:val="000000" w:themeColor="text1"/>
          <w:sz w:val="16"/>
          <w:szCs w:val="16"/>
        </w:rPr>
        <w:softHyphen/>
        <w:t>ционным вопросам.</w:t>
      </w:r>
    </w:p>
    <w:p w14:paraId="08000E9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Автожир АК, взлетающий без разбега, в производстве заканчивается. Сейчас идут небольшие доделки агрегатов и устранение замеченных недо</w:t>
      </w:r>
      <w:r w:rsidRPr="00D03F3E">
        <w:rPr>
          <w:rFonts w:ascii="Times New Roman" w:hAnsi="Times New Roman"/>
          <w:color w:val="000000" w:themeColor="text1"/>
          <w:sz w:val="16"/>
          <w:szCs w:val="16"/>
        </w:rPr>
        <w:softHyphen/>
        <w:t>статков. По полученным мною сведениям, моторы будут в Казани: 1-й — в конце января и 2-й — в начале февраля. В конце февраля машина будет го</w:t>
      </w:r>
      <w:r w:rsidRPr="00D03F3E">
        <w:rPr>
          <w:rFonts w:ascii="Times New Roman" w:hAnsi="Times New Roman"/>
          <w:color w:val="000000" w:themeColor="text1"/>
          <w:sz w:val="16"/>
          <w:szCs w:val="16"/>
        </w:rPr>
        <w:softHyphen/>
        <w:t>това к проведению испытаний. Я считаю совершенно необходимым, при лю</w:t>
      </w:r>
      <w:r w:rsidRPr="00D03F3E">
        <w:rPr>
          <w:rFonts w:ascii="Times New Roman" w:hAnsi="Times New Roman"/>
          <w:color w:val="000000" w:themeColor="text1"/>
          <w:sz w:val="16"/>
          <w:szCs w:val="16"/>
        </w:rPr>
        <w:softHyphen/>
        <w:t>бых условиях, провести ее испытания, т.к. эта машина завершает собой большую работу коллектива работников винтовой авиации, создавших ряд аппаратов этого типа. Этот вопрос я считаю настолько серьезным, что с другим вариантом решения его согласиться не смогу...</w:t>
      </w:r>
    </w:p>
    <w:p w14:paraId="053CE8A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 могу смело сказать, что опыт, который хранит и создал наш завод, за</w:t>
      </w:r>
      <w:r w:rsidRPr="00D03F3E">
        <w:rPr>
          <w:rFonts w:ascii="Times New Roman" w:hAnsi="Times New Roman"/>
          <w:color w:val="000000" w:themeColor="text1"/>
          <w:sz w:val="16"/>
          <w:szCs w:val="16"/>
        </w:rPr>
        <w:softHyphen/>
        <w:t>ключает такие ценности, которые можно встретить в мировой технике не более, чем в 4-6 местах. Это громадные ценности для Советского Союза уникального характера, и нельзя допустить, чтобы они погибли из-за недо</w:t>
      </w:r>
      <w:r w:rsidRPr="00D03F3E">
        <w:rPr>
          <w:rFonts w:ascii="Times New Roman" w:hAnsi="Times New Roman"/>
          <w:color w:val="000000" w:themeColor="text1"/>
          <w:sz w:val="16"/>
          <w:szCs w:val="16"/>
        </w:rPr>
        <w:softHyphen/>
        <w:t>статочной продуманности вопросов реорганизации. Я надеюсь, что Вы, старый авиационный работник, профессор, поймете мои тревоги, т.к. я отдал на создание и развитие техники винтовых аппаратов в Советском Союзе 14 лучших лет своей жизни и подтверждение правильности выбранного пути получил от тов. Сталина: лично 21 мая 1931 года; в 1938 году, когда тов. Сталин на заседании Правительства, после доклада НИИ ВВС (инж. Ива</w:t>
      </w:r>
      <w:r w:rsidRPr="00D03F3E">
        <w:rPr>
          <w:rFonts w:ascii="Times New Roman" w:hAnsi="Times New Roman"/>
          <w:color w:val="000000" w:themeColor="text1"/>
          <w:sz w:val="16"/>
          <w:szCs w:val="16"/>
        </w:rPr>
        <w:softHyphen/>
        <w:t>новский), сказал, что он «считает необходимым заниматься этим вопро</w:t>
      </w:r>
      <w:r w:rsidRPr="00D03F3E">
        <w:rPr>
          <w:rFonts w:ascii="Times New Roman" w:hAnsi="Times New Roman"/>
          <w:color w:val="000000" w:themeColor="text1"/>
          <w:sz w:val="16"/>
          <w:szCs w:val="16"/>
        </w:rPr>
        <w:softHyphen/>
        <w:t>сом». Убедительно прошу Вас обдумать предстоящие решения, учесть мои настоятельные предложения по данному вопросу» (10334,56).</w:t>
      </w:r>
    </w:p>
    <w:p w14:paraId="0CB6768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ED2E45"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7C14ED1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D9B938"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г. Из доклада директор завода № 556 А.В. Домрачева о работе предприятия за 1942 г</w:t>
      </w:r>
    </w:p>
    <w:p w14:paraId="40A37608"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ДОКЛАДА ДИРЕКТОРА ЗАВОДА № 556 А.В. ДОМРАЧЕВА О РАБОТЕ ПРЕДПРИЯТИЯ ЗА 1942 ГОД</w:t>
      </w:r>
    </w:p>
    <w:p w14:paraId="59F3DED5"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556 создан из части производства орудийных гильз, произ­водства патронирования и снаряжения авиавыстрелов завода № 187 и металлургического производства завода № 176 по их эвакуации из го­рода Тулы и в настоящее время имеет в своем составе три вышеуказан­ных самостоятельных производства с законченными и замкнутыми технологическими циклами.</w:t>
      </w:r>
    </w:p>
    <w:p w14:paraId="7BB8679E"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орудийных гильз по прессовому парку составляет около 65 % бывшего состава завода № 187. Работа прессового цеха на­чалась с марта месяца [1942 г.] и была ориентирована в течение всего года на выпуск латунных и стальных 76 мм и 162 мм гильз.</w:t>
      </w:r>
    </w:p>
    <w:p w14:paraId="6C6C1B39"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авиавыстрела — на старом месте производство пат­ронирования и снаряжения авиавыстрелов располагало мощностями на выпуск в сутки 20 мм патронов — 75 тысяч штук, 23 мм патронов - 30 тысяч штук. При размещении завода оборудование для изготовле­ния 23 мм патронов было передано заводу № 606 в соответствии с реше­нием о снятии этого производства с завода № 556. Требования большо­го масштаба производства авиавыстрела вызвали необходимость разви­тия его мощностей. Заводом своевременно были развиты мощности станочного парка до выпуска в сутки 20 мм патронов — 170 тысяч штук, 23 мм патронов — 75 тысяч штук. Все оборудование было изго­товлено вновь, в том числе и для 23 мм патронов, на новом месте завода своими силами.</w:t>
      </w:r>
    </w:p>
    <w:p w14:paraId="0A5D393F"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Металлургическое производство. Своего металлургического произ­водства на старом месте завод не имел. Данное производство было эваку­ировано с завода № 176 из города Тулы в город Орск и передано заводу № 556 в целях обеспечения производства орудийных гильз собственной металлургической базой. В связи с поздним поступлением оборудования данного производства и большим объемом строительно-монтажных и восстановительных работ начало выпуска металла своего производства удалось организовать лишь с конца сентября 1942 года.</w:t>
      </w:r>
    </w:p>
    <w:p w14:paraId="3569C9C7"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Значительное время было потрачено заводом на освоение проката, так как прокатный цех не укомплектован оборудованием на существу­ющий на всех заводах способ изготовления пушечной латуни. Необес­печенность материалами программы производства орудийных гильз побудила к освоению совершенно нового технологического процесса - проката без применения операций шабровки или фрезеровки, холодно­го проката и отжига кружков после их вырубки.</w:t>
      </w:r>
    </w:p>
    <w:p w14:paraId="366EB15C"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исключительные трудности, пережитые заводом с пус­ком металлургического производства, задания наркомата по производ­ству пушечной латуни выполнены на 121 %. (12208).</w:t>
      </w:r>
    </w:p>
    <w:p w14:paraId="4F96D6A3"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авиавыстрела — на старом месте производство патронирования и снаряжения авиавыстрелов располагало мощностями на выпуск в сутки 20 мм патронов - 75 тысяч штук, 23 мм патронов -30 тысяч штук. При размещении завода оборудование для изготовления 23 мм патронов было передано заводу № 606 в соответствии с решением о снятии этого производства с завода № 556. Требования большого масштаба производства авиавыстрела вызвали необходимость развития его мощностей. Заводом своевременно были развиты мощности станочного парка до выпуска в сутки 20 мм патронов - 170 тысяч штук, 23 мм патронов - 75 тысяч штук. Все оборудование было изготовлено вновь, в том числе и для 23 мм патронов, на новом месте завода своими силами. Металлургическое производство. Своего металлургического производства на старом месте завод не имел. Данное производство было эвакуировано с завода № 176 из города Тулы в город Орск и передано заводу J&amp; 556 в целях обеспечения производства орудийных гильз собственной металлургической базой. В связи с поздним поступлением оборудования данного производства и большим объемом строительно-монтажных и восстановительных работ начало выпуска металла своего производства удалось организовать лишь с конца сентября 1942 года. Значительное время было потрачено заводом на освоение проката, так как прокатный цех не укомплектован оборудованием на существующий на всех заводах способ изготовления пушечной латуни. Необеспеченность материалами программы производства орудийных гильз побудила к освоению совершенно нового технологического процесса -проката без применения операций шабровки или фрезеровки, холодного проката и отжига кружков после их вырубки. Несмотря на исключительные трудности, пережитые заводом с пуском металлургического производства, задания наркомата по производству пушечной латуни выполнены на 121 %. Программа 1942 года по объему подлежащего выпуска боеприпасов требовала роста производства по орудийным гильзам на 287 % по сравнению с выпуском в 1941 году при 65 % сравнительной мощности производства и на 361 % по выпуску авиавыстрела. Трудности эвакуации завода и восстановления его на новом месте с весьма ограниченным количеством квалифицированных рабочих потребовали от коллектива завода исключительно напряженной творческой и физической работы. (Кроме восстановления гильзового, снаряжательного и металлургического производства до апреля месяца занимался организацией производства корпусов бронебойно-зажигательных снарядов авиавыстрела на базе эвакуированных производств заводов № 187 и 513 до его выделения в самостоятельный завод № 325.) Весь монтаж производства и восстановление работоспособности прибывшего оборудования заводом проведены собственными силами. Мероприятия, проведенные заводом, по обеспечению выпуска установленного объема производства Проведенные заводом мероприятия были направлены, главным образом, на увеличение выпуска боеприпасов по всей установленной для завода номенклатуре. По производству 76 мм латунных гильз. Перед эвакуацией в Туле заводом была начата отработка нового технологического процесса. Новый процесс (3-вытяжной) в отличие от старого (6-вытяжного), кроме повышения производительности прессового цеха, благоприятно влиял на сокращение брака.</w:t>
      </w:r>
    </w:p>
    <w:p w14:paraId="68B4F83D"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Труд и заработная плата</w:t>
      </w:r>
    </w:p>
    <w:p w14:paraId="01A431E0"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План по обеспечению завода рабочей силой не выполнен. Особенно большой недобор имеется по рабочим и ИТР. По плану завод должен иметь среднесписочное число рабочих -3 211 человек. Фактически их имелось 2 714 человек, или 84,52 %. Основной причиной, тормозившей комплектование рабочей силы, являлась текучесть. В течение 1942 года было принято на завод 4 337 человек, убыло за этот же период 2 316 человек. Поступление рабочей силы на завод шло за счет </w:t>
      </w:r>
      <w:r w:rsidRPr="00D03F3E">
        <w:rPr>
          <w:rFonts w:ascii="Times New Roman" w:hAnsi="Times New Roman"/>
          <w:color w:val="000000" w:themeColor="text1"/>
          <w:sz w:val="16"/>
          <w:szCs w:val="16"/>
        </w:rPr>
        <w:lastRenderedPageBreak/>
        <w:t>следующих источников: за счет мобилизации из местного населения — 86 человек; мобилизованных, присланных из других местностей,- 2 779 человек; окончивших ФЗО и ремесленные училища — 433 человека; рабочих батальонов (колонн) - 531 человек; приема инвалидов Отечественной войны — 109 человек; переведенных из других предприятий - 141 человек; эвакуированных предприятий наркомата - 71 человек; освобожденных из Сиблага - 187 человек. Убытие рабочей силы в основном шло по следующим причинам: за счет призыва в РККА - 434 человека, добровольного ухода в РККА -127 человек, перевода в другие предприятия наркомата - 61 человек, перевода в предприятия не нашего наркомата - 56 человек, вследствие болезни и смерти - 74 человека, по обстоятельствам семейного порядка — 43 человека, уход на учебу — 14 человек, самовольно покинувшие предприятие (дезертиры) - 1 106 человек, за счет осужденных к тюремному заключению и другие - 370 человек ... Как видно из этой сводки, 2 316 человек ушло в порядке текучести, 1 550 человек - в порядке ухода в РККА и организованного перевода в другие места работы - 765 человек. Такая текучесть рабочих вредно отразилась на производстве и не давала возможности правильно организовать подготовку кадров на заводе. Общий коэффициент текучести за 1942 год составил 0,85%. Основными причинами большой текучести являются следующие: неудовлетворительные материально-бытовые и жилищные условия, сложившиеся на заводе; слабая трудовая дисциплина среди мобилизованных из сельских местностей, не привыкших к заводской дисциплине. Кроме того, среди мобилизованных было большое количество подростков из прифронтовой полосы, которые при первой возможности стремились снова уехать на родину. О слабой трудовой дисциплине говорят следующие данные: число лиц, самовольно покинувших производство, составило 1 476 человек; количество дел, переданных прокурору за дезертирство,-1 476 человек; число лиц, приговоренных к тюремному заключению за дезертирство, - 370 человек; количество дел, не законченных рассмотрением на 1 января 1943 года судом,- 1 106 человек; количество прогульщиков, привлеченных к ответственности,— 1 701 человек; количество прогульщиков, приговоренных судом к отбыванию наказания непосредственно на заводе, - 834 человека; количество прогульщиков, у которых произведена вырезка хлебных талонов,- 214 человек. Выполнение плана по производительности труда и использованию среднегодовой зарплаты Большинство домов и мансард с центральным отоплением. При поселке имеются баня и прачечная, принадлежащие заводу и нами эксплуатируемые. Отопление производится от местной котельной комбината № 179, которая отапливает дома, а также баню и прачечную, давая им горячую воду. При бане имеется дезинфекционная камера. В этом квартале завод получает заканчиваемые строительством новые дома. В поселке этом завод расселяет и концентрирует молодых рабочих, занимая под них дома № 14, 33 и 34, причем дом № 34 только что принят заводом и подготавливается к заселению. 2-е домоуправление — западный поселок, оторванный от соцгорода, от завода находится на расстоянии 3,5—4 километров, состоит из каркасно-засыпных бараков. При поселке нами организованы столовая, клуб, имеются баня и прачечная. В 1941 году в этом поселке находился 2-й лагпункт Сиблага НКВД. Комбинатом № 179 этот лагпункт был выселен, и бараки заселены рабочими комбината № 179, а наш завод этот поселок получил при выделении из комбината завода. В настоящее время в этом поселке проживают только рабочие нашего завода. Отопление исключительно печное. Печи отделаны и пригодны только для отопления углем. На поселке подведен водопровод, имеется одна колонка на весь поселок. Баня и прачечная от Сиблага еще не изъяты, продолжая ее незаконно занимать. Дело о незаконном пользовании баней передано в суд. При поселке завод открывает через свою заводскую амбулаторию врачебный пункт. Организована сапожная мастерская. 3-е домоуправление — каменные 5-этажные дома №№ 11 и 12, с центральным отоплением отТЭЦ-3 Сибэнерго. Помимо проживания в этих домах семейных рабочих, в них сосредоточена вся торговая сеть и база ОРСа завода. Находится сапожно-швейная мастерская завода. Помещается фотография завода. Управление жилищно-коммунальным хозяйством завода и столярно-слесарная мастерская ЖКО. Данное жилье находится в 2,5 километра от завода. Количество жилых площадей и их использование на 1 января 1943 года указаны в вышеприведенной таблице. Завод имеет свою заводскую амбулаторию, расположенную в квартале № 8, рядом с домоуправлением. Разбросанность жилья, масса строительных недоделок создают большие трудности по обслуживанию. Так, например, западный поселок от 1-го домоуправления отстоит на 9 километров, а от управления ЖКО — на 7 километров. Задержки выплаты заработной платы на протяжении года имели место задержки выплаты заработной платы почти ежемесячно от трех до шести дней. Задержки происходили исключительно в силу отсутствия средств на расчетном счете завода, ввиду недостатка оборотных средств ...</w:t>
      </w:r>
    </w:p>
    <w:p w14:paraId="131A1F91"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завода № 556 Домрачев</w:t>
      </w:r>
    </w:p>
    <w:p w14:paraId="6C39B233"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ГАНС Ф. П-4.0п. 6. Д. 480. Л. 1-4. 11.8-83.90.122-125, 144, 156. Подлинник. Подпись-автограф. Документ составлен в 3 экз. 20/1 1943 г (12194).</w:t>
      </w:r>
    </w:p>
    <w:p w14:paraId="7C764087" w14:textId="77777777" w:rsidR="008E3DEE" w:rsidRPr="00D03F3E" w:rsidRDefault="008E3DEE" w:rsidP="00D03F3E">
      <w:pPr>
        <w:spacing w:after="0" w:line="240" w:lineRule="auto"/>
        <w:jc w:val="both"/>
        <w:rPr>
          <w:rFonts w:ascii="Times New Roman" w:hAnsi="Times New Roman"/>
          <w:color w:val="000000" w:themeColor="text1"/>
          <w:sz w:val="16"/>
          <w:szCs w:val="16"/>
        </w:rPr>
      </w:pPr>
    </w:p>
    <w:p w14:paraId="5F96762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1943г. Начальник танкового управления ГБТУ КА инженер-полковник Афонин и Начальник ОТК НКТП инженер-полковник Гинзбург утвердили ПРОТОКОЛ СОВЕЩАНИЯ ПРИ 6-м ОТДЕЛЕ ТАНКОВОГО УПРАВЛЕНИЯ ГБТУКА</w:t>
      </w:r>
    </w:p>
    <w:p w14:paraId="2A3F7A6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вопросу обсуждения отчета по предварительным испытаниям планетарного механизма поворота танка КВ-1с конструкции инженер-подполковника т. Благонравова, представленного заводом № 100.</w:t>
      </w:r>
    </w:p>
    <w:p w14:paraId="604893A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Совещание отмечает, что проведенные предварительные испытания планетарного механизма поворота показали преимущества этого механизма перед существующим механизмом поворота — бортовым фрикционом: увеличилась средняя скорость движения по шоссе и проселку, улучшилась маневренность и динамика танка, облегчилось управление танком.</w:t>
      </w:r>
    </w:p>
    <w:p w14:paraId="5B54F7E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Совещание отмечает, что данный механизм не взаимозаменяем с бортовыми фрикционами танков КВ-1с и для своей установки требует переделки силовых валов коробок перемены передач и приводов управления.</w:t>
      </w:r>
    </w:p>
    <w:p w14:paraId="65B8613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Совещание отмечает, что на основании представленного отчета судить о большей надежности в эксплуатации планетарного механизма поворота невозможно.</w:t>
      </w:r>
    </w:p>
    <w:p w14:paraId="6D77640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Отчет составлен по пробегу всего 450 км, что явно недостаточно для определения надежности работы агрегата.</w:t>
      </w:r>
    </w:p>
    <w:p w14:paraId="184679C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Планетарный механизм поворота ввиду своей большей конструктивной сложности по сравне</w:t>
      </w:r>
      <w:r w:rsidRPr="00D03F3E">
        <w:rPr>
          <w:rFonts w:ascii="Times New Roman" w:hAnsi="Times New Roman"/>
          <w:color w:val="000000" w:themeColor="text1"/>
          <w:sz w:val="16"/>
          <w:szCs w:val="16"/>
        </w:rPr>
        <w:softHyphen/>
        <w:t>нию с бортовым фрикционом потребует для своего изготовления большего количества станкочасов и наличия дополнительного зуборезного оборудования.</w:t>
      </w:r>
    </w:p>
    <w:p w14:paraId="62BB8C1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Необходимо для более полной проверки и выявления всех преимуществ и недостатков механизма пово</w:t>
      </w:r>
      <w:r w:rsidRPr="00D03F3E">
        <w:rPr>
          <w:rFonts w:ascii="Times New Roman" w:hAnsi="Times New Roman"/>
          <w:color w:val="000000" w:themeColor="text1"/>
          <w:sz w:val="16"/>
          <w:szCs w:val="16"/>
        </w:rPr>
        <w:softHyphen/>
        <w:t>рота по сравнению с бортовыми фрикционами в отношении прочности, надежности в эксплуатации и повы</w:t>
      </w:r>
      <w:r w:rsidRPr="00D03F3E">
        <w:rPr>
          <w:rFonts w:ascii="Times New Roman" w:hAnsi="Times New Roman"/>
          <w:color w:val="000000" w:themeColor="text1"/>
          <w:sz w:val="16"/>
          <w:szCs w:val="16"/>
        </w:rPr>
        <w:softHyphen/>
        <w:t>шения динамики танка срочно изготовить опытную партию этих механизмов в количестве 5 комплектов для танка Т-34 и 5 комплектов для танка КВ-1с и испытать их длительными пробегами до полного износа.</w:t>
      </w:r>
    </w:p>
    <w:p w14:paraId="4FFAD17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процессе изготовления опытной партии, проработать вопрос технологии изготовления дета</w:t>
      </w:r>
      <w:r w:rsidRPr="00D03F3E">
        <w:rPr>
          <w:rFonts w:ascii="Times New Roman" w:hAnsi="Times New Roman"/>
          <w:color w:val="000000" w:themeColor="text1"/>
          <w:sz w:val="16"/>
          <w:szCs w:val="16"/>
        </w:rPr>
        <w:softHyphen/>
        <w:t>лей механизма поворота с целью определения необходимых для серийного изготовления, производ</w:t>
      </w:r>
      <w:r w:rsidRPr="00D03F3E">
        <w:rPr>
          <w:rFonts w:ascii="Times New Roman" w:hAnsi="Times New Roman"/>
          <w:color w:val="000000" w:themeColor="text1"/>
          <w:sz w:val="16"/>
          <w:szCs w:val="16"/>
        </w:rPr>
        <w:softHyphen/>
        <w:t>ственных затрат и добавочного станочного оборудования.</w:t>
      </w:r>
    </w:p>
    <w:p w14:paraId="644253B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 танкового управления ГБТУ КА:</w:t>
      </w:r>
    </w:p>
    <w:p w14:paraId="5F916D2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 Наркомтанкопрома:</w:t>
      </w:r>
    </w:p>
    <w:p w14:paraId="6914CEA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инженер-подполковник Ковалев</w:t>
      </w:r>
    </w:p>
    <w:p w14:paraId="5E47B41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инженер-полковник Павлов</w:t>
      </w:r>
    </w:p>
    <w:p w14:paraId="7FD448F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инженер-подполковник Чиков</w:t>
      </w:r>
    </w:p>
    <w:p w14:paraId="0DFF320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инженер-подполковник Солонин</w:t>
      </w:r>
    </w:p>
    <w:p w14:paraId="122FD0C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инженер-подполковник Егоров</w:t>
      </w:r>
    </w:p>
    <w:p w14:paraId="4F6A052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инженер-майор Морозов</w:t>
      </w:r>
    </w:p>
    <w:p w14:paraId="3154FB0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 техник-лейтенант Букатин</w:t>
      </w:r>
    </w:p>
    <w:p w14:paraId="242FA63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Бер</w:t>
      </w:r>
    </w:p>
    <w:p w14:paraId="5308884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Краснов</w:t>
      </w:r>
    </w:p>
    <w:p w14:paraId="09613F7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Усачев</w:t>
      </w:r>
    </w:p>
    <w:p w14:paraId="72CCCE7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Кучеренко</w:t>
      </w:r>
    </w:p>
    <w:p w14:paraId="361965F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1377. Л. 8. Подлинник (11403).</w:t>
      </w:r>
    </w:p>
    <w:p w14:paraId="0769EAE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64A963" w14:textId="77777777" w:rsidR="00E73785" w:rsidRPr="00D03F3E" w:rsidRDefault="00E73785"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20 ян</w:t>
      </w:r>
      <w:r w:rsidRPr="00D03F3E">
        <w:rPr>
          <w:rFonts w:ascii="Times New Roman" w:cs="Times New Roman"/>
          <w:color w:val="000000" w:themeColor="text1"/>
          <w:spacing w:val="0"/>
        </w:rPr>
        <w:softHyphen/>
        <w:t>варя 1943 года представитель ГБТУ КА ин</w:t>
      </w:r>
      <w:r w:rsidRPr="00D03F3E">
        <w:rPr>
          <w:rFonts w:ascii="Times New Roman" w:cs="Times New Roman"/>
          <w:color w:val="000000" w:themeColor="text1"/>
          <w:spacing w:val="0"/>
        </w:rPr>
        <w:softHyphen/>
        <w:t>женер-майор Пестов докладывал о ходе ра</w:t>
      </w:r>
      <w:r w:rsidRPr="00D03F3E">
        <w:rPr>
          <w:rFonts w:ascii="Times New Roman" w:cs="Times New Roman"/>
          <w:color w:val="000000" w:themeColor="text1"/>
          <w:spacing w:val="0"/>
        </w:rPr>
        <w:softHyphen/>
        <w:t>бот следующее:</w:t>
      </w:r>
    </w:p>
    <w:p w14:paraId="01C2E0CF" w14:textId="77777777" w:rsidR="00E73785" w:rsidRPr="00D03F3E" w:rsidRDefault="00E73785"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«КБ Кировского завода выпущены в дека</w:t>
      </w:r>
      <w:r w:rsidRPr="00D03F3E">
        <w:rPr>
          <w:rFonts w:ascii="Times New Roman" w:cs="Times New Roman"/>
          <w:color w:val="000000" w:themeColor="text1"/>
          <w:spacing w:val="0"/>
        </w:rPr>
        <w:softHyphen/>
        <w:t>бре чертежи на изготовление опытного образ</w:t>
      </w:r>
      <w:r w:rsidRPr="00D03F3E">
        <w:rPr>
          <w:rFonts w:ascii="Times New Roman" w:cs="Times New Roman"/>
          <w:color w:val="000000" w:themeColor="text1"/>
          <w:spacing w:val="0"/>
        </w:rPr>
        <w:softHyphen/>
        <w:t>ца башенки с пятью «триплексами» в стен</w:t>
      </w:r>
      <w:r w:rsidRPr="00D03F3E">
        <w:rPr>
          <w:rFonts w:ascii="Times New Roman" w:cs="Times New Roman"/>
          <w:color w:val="000000" w:themeColor="text1"/>
          <w:spacing w:val="0"/>
        </w:rPr>
        <w:softHyphen/>
        <w:t>ках и ПТК-5 впереди, а также люком-лазом сверху башенки. Учтены были и замечания по расширению и увеличению высоты. Об</w:t>
      </w:r>
      <w:r w:rsidRPr="00D03F3E">
        <w:rPr>
          <w:rFonts w:ascii="Times New Roman" w:cs="Times New Roman"/>
          <w:color w:val="000000" w:themeColor="text1"/>
          <w:spacing w:val="0"/>
        </w:rPr>
        <w:softHyphen/>
        <w:t>разец заказан на заводе № 100, и предназна</w:t>
      </w:r>
      <w:r w:rsidRPr="00D03F3E">
        <w:rPr>
          <w:rFonts w:ascii="Times New Roman" w:cs="Times New Roman"/>
          <w:color w:val="000000" w:themeColor="text1"/>
          <w:spacing w:val="0"/>
        </w:rPr>
        <w:softHyphen/>
        <w:t xml:space="preserve">чен для установки на новую башню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-13, которая может быть установлена и на КВ-1С.</w:t>
      </w:r>
    </w:p>
    <w:p w14:paraId="2C370E43" w14:textId="77777777" w:rsidR="00E73785" w:rsidRPr="00D03F3E" w:rsidRDefault="00E73785"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Второй вариант башенки ,изготовленный в чертежах, с пятью смотровыми прибора</w:t>
      </w:r>
      <w:r w:rsidRPr="00D03F3E">
        <w:rPr>
          <w:rFonts w:ascii="Times New Roman" w:cs="Times New Roman"/>
          <w:color w:val="000000" w:themeColor="text1"/>
          <w:spacing w:val="0"/>
        </w:rPr>
        <w:softHyphen/>
        <w:t>ми типа Т-34 по боковым стенкам, без люка сверху. Был также эскизный набросок башни с пятью «триплексами» по боковым стенкам, с вращающимся люком-лазом и установлен</w:t>
      </w:r>
      <w:r w:rsidRPr="00D03F3E">
        <w:rPr>
          <w:rFonts w:ascii="Times New Roman" w:cs="Times New Roman"/>
          <w:color w:val="000000" w:themeColor="text1"/>
          <w:spacing w:val="0"/>
        </w:rPr>
        <w:softHyphen/>
        <w:t>ным в нем английским смотровым прибо</w:t>
      </w:r>
      <w:r w:rsidRPr="00D03F3E">
        <w:rPr>
          <w:rFonts w:ascii="Times New Roman" w:cs="Times New Roman"/>
          <w:color w:val="000000" w:themeColor="text1"/>
          <w:spacing w:val="0"/>
        </w:rPr>
        <w:softHyphen/>
        <w:t>ром. По моему настоянию разрабатывают</w:t>
      </w:r>
      <w:r w:rsidRPr="00D03F3E">
        <w:rPr>
          <w:rFonts w:ascii="Times New Roman" w:cs="Times New Roman"/>
          <w:color w:val="000000" w:themeColor="text1"/>
          <w:spacing w:val="0"/>
        </w:rPr>
        <w:softHyphen/>
        <w:t>ся рабочие чертежи этого третьего вариан</w:t>
      </w:r>
      <w:r w:rsidRPr="00D03F3E">
        <w:rPr>
          <w:rFonts w:ascii="Times New Roman" w:cs="Times New Roman"/>
          <w:color w:val="000000" w:themeColor="text1"/>
          <w:spacing w:val="0"/>
        </w:rPr>
        <w:softHyphen/>
        <w:t>та, в котором учтены замечания, сделанные при первом просмотре 24—25 января. Черте</w:t>
      </w:r>
      <w:r w:rsidRPr="00D03F3E">
        <w:rPr>
          <w:rFonts w:ascii="Times New Roman" w:cs="Times New Roman"/>
          <w:color w:val="000000" w:themeColor="text1"/>
          <w:spacing w:val="0"/>
        </w:rPr>
        <w:softHyphen/>
        <w:t>жи будут рассмотрены, утверждены и пере</w:t>
      </w:r>
      <w:r w:rsidRPr="00D03F3E">
        <w:rPr>
          <w:rFonts w:ascii="Times New Roman" w:cs="Times New Roman"/>
          <w:color w:val="000000" w:themeColor="text1"/>
          <w:spacing w:val="0"/>
        </w:rPr>
        <w:softHyphen/>
        <w:t>даны для изготовления опытного образца» (15226).</w:t>
      </w:r>
    </w:p>
    <w:p w14:paraId="572AE87F" w14:textId="77777777" w:rsidR="00E73785" w:rsidRPr="00D03F3E" w:rsidRDefault="00E73785" w:rsidP="00D03F3E">
      <w:pPr>
        <w:pStyle w:val="27"/>
        <w:shd w:val="clear" w:color="auto" w:fill="auto"/>
        <w:spacing w:after="0" w:line="240" w:lineRule="auto"/>
        <w:ind w:firstLine="0"/>
        <w:rPr>
          <w:rFonts w:ascii="Times New Roman" w:cs="Times New Roman"/>
          <w:color w:val="000000" w:themeColor="text1"/>
          <w:spacing w:val="0"/>
        </w:rPr>
      </w:pPr>
    </w:p>
    <w:p w14:paraId="24263DE9"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в развитие постановления ГКО № 2758сс «Об организации на заводе № 37 производства самоходных артиллерийских установок СУ-76 на базе трофейных танков „Артштурм“ и Т-3 с 76-мм пушкой Ф-34» от 18 января появился приказ наркома танковой промышленности И. Зальцмана № 44, в котором говорилось:</w:t>
      </w:r>
    </w:p>
    <w:p w14:paraId="6A21CB17"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«Директору завода № 37 т. Зеликсон:</w:t>
      </w:r>
    </w:p>
    <w:p w14:paraId="2D791B15"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Организовать производство самоходных артиллерийских установок СУ-76 с выпуском их: март — 15 шт., апрель — 35 шт., май — 40 шт., июнь — 45 шт.</w:t>
      </w:r>
    </w:p>
    <w:p w14:paraId="1A10B36C"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С 1 марта 1943 г. прекратить ремонт танков Т-60 и Т-70, передав их ремонт РЭУ ГБТУ КА.</w:t>
      </w:r>
    </w:p>
    <w:p w14:paraId="0DBFF1F5"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Директору завода № 37 и начальнику отдела главного конструктора НКТП т. Гинзбургу:</w:t>
      </w:r>
    </w:p>
    <w:p w14:paraId="17B1EE91"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а). Закончить конструктивную разработку СУ-76 к 25 января 1943 г.</w:t>
      </w:r>
    </w:p>
    <w:p w14:paraId="2019EABF"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Изготовить опытный образец СУ-76 к 15 февраля 1943 г.</w:t>
      </w:r>
    </w:p>
    <w:p w14:paraId="1D4F7276"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Испытать опытный образец к 25 февраля 1943 г.</w:t>
      </w:r>
    </w:p>
    <w:p w14:paraId="0BE6E0E0"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Главному технологу НКТП т. Гуревич выделить необходимое станочное оборудование.</w:t>
      </w:r>
    </w:p>
    <w:p w14:paraId="334DBA35"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Директору завода № 40 т. Мартиросову:</w:t>
      </w:r>
    </w:p>
    <w:p w14:paraId="47ED4C02"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Прекратить с 1 февраля 1943 года производство самоходных установок СГ-122.</w:t>
      </w:r>
    </w:p>
    <w:p w14:paraId="7589D0E0"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Передать заводу № 37 имеющиеся в наличии трофейные танки, в том числе 35 отремонтированных с рембазы № 82 и все пригодные для использования на СУ-76 заделы, отгрузив заводу № 37 все указанное имущество не позднее 10 февраля 1943 г.</w:t>
      </w:r>
    </w:p>
    <w:p w14:paraId="431F0DA6"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Укомплектовать КБ завода № 37 необходимыми кадрами ИТР и вспомогательного персонала в количестве не менее 25 человек.</w:t>
      </w:r>
    </w:p>
    <w:p w14:paraId="195B5EEA"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НКВ т. Устинову командировать на завод № 37 группу конструкторов ЦАКБ НКВ для проектирования установки пушки Ф-34.</w:t>
      </w:r>
    </w:p>
    <w:p w14:paraId="61550708"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НКО т. Федоренко обеспечить завод № 37 ремонтным фондом трофейных танков „Артштурм“ и Т-3 в следующих количествах: март — 20 шт., апрель — 40 шт., май — 60 шт., июнь — 60 шт.</w:t>
      </w:r>
    </w:p>
    <w:p w14:paraId="15FB9773"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 апреля 1943 года направить дополнительно на завод № 37 850 рабочих».</w:t>
      </w:r>
    </w:p>
    <w:p w14:paraId="6FEDCC93"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видно из документа ни о какой замене СУ-12 самоходками на трофейных шасси речи не идёт. Более того, к проектированию новой машины привлекается конструктор С. Гинзбург, которого позже (в апреле 1943 года) сняли с должности и отстранили от работы именно за массовые поломки СУ-12 (СУ-76) с параллельной установкой двигателей (12388).</w:t>
      </w:r>
    </w:p>
    <w:p w14:paraId="10CE0D47" w14:textId="77777777" w:rsidR="008E3DEE" w:rsidRPr="00D03F3E" w:rsidRDefault="008E3DEE" w:rsidP="00D03F3E">
      <w:pPr>
        <w:spacing w:after="0" w:line="240" w:lineRule="auto"/>
        <w:jc w:val="both"/>
        <w:rPr>
          <w:rFonts w:ascii="Times New Roman" w:hAnsi="Times New Roman"/>
          <w:color w:val="000000" w:themeColor="text1"/>
          <w:sz w:val="16"/>
          <w:szCs w:val="16"/>
        </w:rPr>
      </w:pPr>
    </w:p>
    <w:p w14:paraId="4BE0299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вышло Постановление ГКО № 2769 О мерах по обеспечению роста добычи нефти на нефтепромыслах треста "Калининнефть" [Узбекская, Таджикская и Киргизская ССР]. (7076, 111-114,115-116).</w:t>
      </w:r>
    </w:p>
    <w:p w14:paraId="71A88D06"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37131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вышло Распоряжение ГКО № 2770. О поставках НКТП сверх плана запасных частей к дизель-моторам для НКВМФ.РГАНИР, Фонд ГКО, д. 83, лл. 117, 118-119 (11012).</w:t>
      </w:r>
    </w:p>
    <w:p w14:paraId="5DE4598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4C94A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вышло Постановление ГКО № 2771 Об увеличении добычи и вывоза кальцинированной соды Михайловского месторождения.РГАНИР, Фонд ГКО, д. 83, лл. 120-127, 128-129 (11012).</w:t>
      </w:r>
    </w:p>
    <w:p w14:paraId="40EE712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77B365"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вышло Распоряжение ГКО № 2772 [Об освобождении УГМР от мобилизации в Красную Армию 393 автомашин.] (7076, 130).</w:t>
      </w:r>
    </w:p>
    <w:p w14:paraId="0929F57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B9E265"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вышло Постановление ГКО № 2773 О мерах по обеспечению роста добычи нефти на нефтепромыслах Куйбышевнефтекомбината. (7076, 131-138,139-142).</w:t>
      </w:r>
    </w:p>
    <w:p w14:paraId="5B2EF736"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CEA72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вышло Постановление ГКО № 2774 О мероприятиях по улучшению работы городских электростанций и электросетей Наркомхоза РСФСР. (7076, 143-144,145-173).</w:t>
      </w:r>
    </w:p>
    <w:p w14:paraId="19EEBF5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2FF77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вышло Постановление ГКО № 2775 О мерах по обеспечению производства синтетического каучука и регенерата.РГАНИР, Фонд ГКО, д. 83, лл. 174-179, 180-183 (11012).</w:t>
      </w:r>
    </w:p>
    <w:p w14:paraId="0636C37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F6721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вышло Постановление ГКО № 2776 О мероприятиях по обеспечению строительства металлургического завода в Узбекской ССР.РГАНИР, Фонд ГКО, д. 83, лл. 184-188, 189-190 (11012).</w:t>
      </w:r>
    </w:p>
    <w:p w14:paraId="7283DAD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6F0E9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вышло Постановление ГКО № 2777 Об организации ремонта танков на заводе № 264 Наркомтанкопрома в г. Сталинграде.РГАНИР, Фонд ГКО, д. 83, лл. 191-192, 193-194 (11012).</w:t>
      </w:r>
    </w:p>
    <w:p w14:paraId="0A8FC8B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14ED9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вышло Постановление ГКО № 2778 О поставке керосинового контакта заводам № 21 и 31 Наркомавиапрома.РГАНИР, Фонд ГКО, д. 83, лл. 195 (11012).</w:t>
      </w:r>
    </w:p>
    <w:p w14:paraId="42EBF8D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B676BE" w14:textId="77777777" w:rsidR="003B66C2" w:rsidRPr="00D03F3E" w:rsidRDefault="003B66C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года директор Коломенского машиностроительного завода Гоциридзе направил начальнику ГБТУ генерал-полковнику Федоренко письмо следующего содержания: </w:t>
      </w:r>
    </w:p>
    <w:p w14:paraId="7FF65606" w14:textId="77777777" w:rsidR="003B66C2" w:rsidRPr="00D03F3E" w:rsidRDefault="003B66C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«Коломенским заводом имени В.В.Куйбы-шева в 1942 году спроектирована и построена автобронемотриса, на которой проведены обкаточные испытания и доводка машины. В настоящее время эта работа закончена. Бронеавтомотриса сделала общий пробег 450 км. </w:t>
      </w:r>
    </w:p>
    <w:p w14:paraId="284F1FE3" w14:textId="77777777" w:rsidR="003B66C2" w:rsidRPr="00D03F3E" w:rsidRDefault="003B66C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основе постройки и работы первого образца, заводом проектируется новая бронеавтомотриса с учетом всех недостатков, имевших место на первой машине» (18626).</w:t>
      </w:r>
    </w:p>
    <w:p w14:paraId="7E871D1B" w14:textId="77777777" w:rsidR="003B66C2" w:rsidRPr="00D03F3E" w:rsidRDefault="003B66C2" w:rsidP="00D03F3E">
      <w:pPr>
        <w:spacing w:after="0" w:line="240" w:lineRule="auto"/>
        <w:jc w:val="both"/>
        <w:rPr>
          <w:rFonts w:ascii="Times New Roman" w:hAnsi="Times New Roman"/>
          <w:color w:val="000000" w:themeColor="text1"/>
          <w:sz w:val="16"/>
          <w:szCs w:val="16"/>
        </w:rPr>
      </w:pPr>
    </w:p>
    <w:p w14:paraId="207486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20-22 января 1943 Адмиралтейцы заложили третий МБК, производили зимний ремонт кораблей, одновременно вели обработку металла для строившейся серии МБК. В работе принимали активное участие краснофлотцы. Ждановцы занимались ремонтом сторожевых кораблей. Невзирая на обстрелы, началось восстановление Усть-Ижорской верфи; продолжалась достройка дизельного ТЩ по пр. 53-У. На Петрозаводе велось строительство ТЩ и сухогрузных барж (10671).</w:t>
      </w:r>
    </w:p>
    <w:p w14:paraId="314F1F6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740683"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552A987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290FDC"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20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68524EF3"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ночн на 20 января наши войска в районе Сталинграда, южнее Воронежа, на Северном Кавказе, в районе Нижнего Дона, Северного Донца и южнее Ладожского озера продолжали бои на прежних, направлениях.</w:t>
      </w:r>
    </w:p>
    <w:p w14:paraId="38ABACED"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Сталинграда Н-ская часть, действующая западнее города, после упорных боёв овладела рядом укреплённых позиций противника. Истреблено 300 гитлеровцев, 50 немецких солдат и офицеров взяты в плен. Захвачено несколько врытых в землю танков, 6 разных складов и другие трофеи.</w:t>
      </w:r>
    </w:p>
    <w:p w14:paraId="2D15C21C"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Южном фронте наши войска, преодолевая упорное сопротивление и отбивая контратаки противника, продолжали наступление. Наши части, переправившиеся через Маныч, овладели несколькими населёнными пунктами. В бою за один из этих населённых пунктов разгромлены две роты гитлеровцев. Захвачены танк, 4 орудия, 13 пулемётов, 2 склада боеприпасов и 14 автомашин.</w:t>
      </w:r>
    </w:p>
    <w:p w14:paraId="36C486FC"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Юго-Западном фронте наши войска продвигались вперёд. На одном участке танковые и моторизованные подразделения прорвались в тыл противника и в течение ночи уничтожили 5 немецких танков, 12 противотанковых орудий и 30 автомашин. На другом участке, в районе Северного Донца, наши части заняли несколько населённых пунктов. Уничтожено до 600 немецких солдат и офицеров, сожжено и подбито 8 вражески танков. Взяты трофеи и пленные.</w:t>
      </w:r>
    </w:p>
    <w:p w14:paraId="2C7B5115"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Воронежского фронта вели успешные наступательные бои и сжимали кольцо вокруг окружённых вражеских дивизий. Гвардейцы под командованием тов. Бежко заняли ряд населённых пунктов. В боях за эти населённые пункты уничтожено свыше 800 гитлеровцев. Взято 308 пленных. Захвачено 47 орудий разных калибров, 62 ручных и 28 станковых пулемётов. На другом участке нашими войсками взято в плен большое число итальянских солдат и офицеров.</w:t>
      </w:r>
    </w:p>
    <w:p w14:paraId="11E25CD0"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Великих Лук наши части овладели пятью населёнными пунктами. Наполе боя противник оставил сотни трупов своих солдат и офицеров. Кроме того, немцы потеряли 20 танков и 10 орудий. Западнее Ржева артиллерийская часть, где командиром тов. Гришин, огневым налётом по скоплению противника уничтожила 2 танка, 2 артиллерийские батареи и рассеяла до батальона вражеской пехоты.</w:t>
      </w:r>
    </w:p>
    <w:p w14:paraId="340F444C"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Советские лётчики в воздушном бою сбили 5 немецких самолётов.</w:t>
      </w:r>
    </w:p>
    <w:p w14:paraId="48BBDBF2"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с боями продвигались вперёд и заняли несколько населённых пунктов. Н-ская часть отрезала путь отхода и в ночном бою разгромила роту немецкой пехоты. Захвачено 5 танков и 12 автомашин. Взяты пленные. На другом участке отряд наших кавалеристов прорвался в тыл противника и внезапными налётами навёл панику среди гитлеровцев. Истребив до 100 немцев, отряд соединился со своей частью.</w:t>
      </w:r>
    </w:p>
    <w:p w14:paraId="69F19F90"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Ладожского озера наши войска продолжали вести наступательные бои.</w:t>
      </w:r>
    </w:p>
    <w:p w14:paraId="7583508B"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Н-ская часть овладела сильно укреплённым узлом обороны противника. Разрушены 12 дзотов и 19 блиндажей, уничтожено 5 орудий и 11 пулемётов. Захвачены танк, 14 орудий, 33 пулемёта, 35 автоматов, 318 винтовок, склад боеприпасов, продовольственный склад и другие трофеи.</w:t>
      </w:r>
    </w:p>
    <w:p w14:paraId="49B5E0A7"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Краснодарском крае, совершил ночной налёт на занятый немцами населённый пункт. Партизаны истребили несколько десятков гитлеровцев и захватили легковую машину, станковый пулемёт, 40 винтовок и 3.000 патронов.</w:t>
      </w:r>
    </w:p>
    <w:p w14:paraId="61783FC2"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Югославские партизаны после ожесточённых боёв заняли местечки Ясеница и Лика. 200 гитлеровцев взяты в плен. Захвачено 2 миномёта, 5 пулемётов, 200 винтовок и различное военное имущество. Партизаны, действующие в зоне Загреб—Беловар, истребили 140 вражеских солдат и 17 офицеров, взорвали три поезда противника. Партизаны-моряки захватили в южной части Адриатического моря пять небольших итальянских кораблей с продовольствием.» (15015).</w:t>
      </w:r>
    </w:p>
    <w:p w14:paraId="5D32CE31" w14:textId="77777777" w:rsidR="00E73785" w:rsidRPr="00D03F3E" w:rsidRDefault="00E73785" w:rsidP="00D03F3E">
      <w:pPr>
        <w:spacing w:after="0" w:line="240" w:lineRule="auto"/>
        <w:jc w:val="both"/>
        <w:rPr>
          <w:rFonts w:ascii="Times New Roman" w:hAnsi="Times New Roman"/>
          <w:color w:val="000000" w:themeColor="text1"/>
          <w:sz w:val="16"/>
          <w:szCs w:val="16"/>
        </w:rPr>
      </w:pPr>
    </w:p>
    <w:p w14:paraId="011D0A0B"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20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5216EC1C"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войска Воронежского фронта сломили сопротивление блокированного гарнизона противника и овладели городом Острогожск.</w:t>
      </w:r>
    </w:p>
    <w:p w14:paraId="546CDD24"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Юго-Западном фронте наши войска, продолжая развивать наступление, заняли районный центр и крупную железнодорожную станцию Белокуракино, районный центр Беловодск, крупные населённые пункты — Даниловка, Городище, Большая Черниговка, Митякинская и железнодорожную станцию Чеботовка.</w:t>
      </w:r>
    </w:p>
    <w:p w14:paraId="6F6C93C1"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Южного фронта в результате решительной атаки овладели городом и крупной железнодорожной станцией Пролетарская.</w:t>
      </w:r>
    </w:p>
    <w:p w14:paraId="336D3F9C"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Закавказского фронта в результате упорного боя овладели городом и крупной железнодорожной станцией Невинномысск, районным центром Икон-Халк, железнодорожной станцией Эркен-Шахар, населёнными пунктами — Эркен-Халк, Клычевский и другими.</w:t>
      </w:r>
    </w:p>
    <w:p w14:paraId="012E1E1D"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января частями нашей авиации на различных участках фронта уничтожено или повреждено более 120 автомашин с войсками и грузами, подавлен огонь 10 артиллерийских батарей, взорван склад боеприпасов, рассеяно и частью уничтожено до батальона пехоты противника.</w:t>
      </w:r>
    </w:p>
    <w:p w14:paraId="6145FB3A"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Сталинграда наши войска продолжали истреблять окружённые немецко-фашистские войска. Западнее города Н-ская часть заняла высоту, имеющую важное тактическое значение, и закрепилась на ней. В городе наши части отбили несколько контратак противника, продвинулись вперёд на 200—300 метров и овладели несколькими десятками дзотов и блиндажей.</w:t>
      </w:r>
    </w:p>
    <w:p w14:paraId="54C3BEDB"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уничтожили на аэродромах 4 немецких транспортных самолёта. В воздушных боях сбито 10 самолётов противника. Кроме того, 3 вражеских самолёта сбито нашими бойцами огнём из пехотного оружия.</w:t>
      </w:r>
    </w:p>
    <w:p w14:paraId="747DB43E"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Южном фронте наши войска, преодолевая сопротивление противника, продолжали продвигаться вперёд. После упорных боёв части Н-ского соединения овладели городом Пролетарская и рядом населённых пунктов. Немцы оставили на поле боя сотни трупов своих солдат и офицеров и много разной военной техника. Наши части, переправившиеся через Маныч, выбили немцев ещё из нескольких населённых пунктов.</w:t>
      </w:r>
    </w:p>
    <w:p w14:paraId="1578A2D1"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Юго-Западном фронте наши войска продолжали успешное наступление и заняли ряд населённых пунктов. В районе Горняцкого рудника бойцы Н-ской части уничтожили более 500 гитлеровцев и захватили два крупных склада с зерном. На другом участке наши танкисты заняли крупную железнодорожную станцию Белокуракинои перерезали железную дорогу Валуйки—Старобельск. Захвачены большие трофеи, которые подсчитываются. Другая наша часть в сражении на подступах к крупному населённому пункту истребила более 1.000 немецких солдат и офицеров.</w:t>
      </w:r>
    </w:p>
    <w:p w14:paraId="500ADBCE"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Воронежа наши войска развивали наступление на всех направлениях. Части Н-ского соединения отрезали противнику пути отхода на запад и уничтожали окружённые вражеские войска. Заняты десятки населённых пунктов. Взято в плен 980 вражеских солдат и офицеров. Захвачены трофеи: 93 орудия, в том числе 3 тяжёлые артиллерийские батареи, 11 танков, 14 складов с боеприпасами и продовольствием, 11 радиостанций, 108 автомашин и 7.046 ящиков со снарядами. На другом направлении части Н-ского соединения взяли свыше 3 тысяч пленных и захватили 32 орудия, огромное количество снарядов и мин, а также несколько железнодорожных эшелонов с грузами. В районе Валуйки—Уразово захвачен бронепоезд противника. Наши кавалеристы в одном населённом пункте захватила в плен в полном составе артиллерийский полк противника со всей его материальной частью.</w:t>
      </w:r>
    </w:p>
    <w:p w14:paraId="4B9F4A4C"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советские войска, ломая сопротивление противника, продолжали продвигаться вперёд и заняли десятки населённых пунктов. По неполным данным, уничтожено до 1.000 гитлеровцев, взято в плен 460 немецких солдат и офицеров. Захвачены трофеи: свыше 100 орудий, в том числе все орудия одного артиллерийского немецкого полка, более 200 пулемётов, 65 миномётов, 50 тысяч снарядов, 280 автомашин и 8 складов продовольствия. Бойцы части, где командиром тов. Фролов, форсировали водный рубеж и овладели крупным населённым пунктом. Уничтожено до батальона пехоты противника, 5 танков и бронемашин. Взяты 5 дальнобойных орудий, 4 склада с боеприпасами и другие трофеи.</w:t>
      </w:r>
    </w:p>
    <w:p w14:paraId="38F224FE"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партизан отряда, действующего в Ленинградской области, пустила под откос немецкий воинский эшелон. Разбиты паровоз и 16 вагонов. Партизаны другого отряда за 10 дней организовали крушение 5 воинских эшелонов противника. Разбито 4 паровоза, 7 вагонов с солдатами, 16 платформ с военной техникой и боеприпасами.».</w:t>
      </w:r>
    </w:p>
    <w:p w14:paraId="3C8206E1"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634EC113"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на юге заняли города Острогожск, Невинномысск, Пролетарская, районные центры Белокуракино и Беловодск.</w:t>
      </w:r>
    </w:p>
    <w:p w14:paraId="5F51DFD9"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20 января войска Воронежского фронта сломили сопротивление блокированного гарнизона противника и овладели городом Острогожск. Захвачены большие трофеи, в том числе два железнодорожных эшелона с автомашинами.</w:t>
      </w:r>
    </w:p>
    <w:p w14:paraId="630581E3"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Войска Юго-Западного фронта, продолжая развивать наступление, заняли районный центр и крупную железнодорожную станцию Белокуракино и районный центр Беловодск.</w:t>
      </w:r>
    </w:p>
    <w:p w14:paraId="6554DD8B"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Войска Южного фронта в результате решительной атаки овладели городом и крупной железнодорожной станцией Пролетарская. Северный берег Манычского Канала на всём протяжении очищен от немецко-фашистских войск.</w:t>
      </w:r>
    </w:p>
    <w:p w14:paraId="03C415E9"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Войска Закавказского фронта в результате упорного боя овладели городом и крупной железнодорожной станцией Невинномысск.» (15015).</w:t>
      </w:r>
    </w:p>
    <w:p w14:paraId="14893B27" w14:textId="77777777" w:rsidR="00E73785" w:rsidRPr="00D03F3E" w:rsidRDefault="00E73785" w:rsidP="00D03F3E">
      <w:pPr>
        <w:spacing w:after="0" w:line="240" w:lineRule="auto"/>
        <w:jc w:val="both"/>
        <w:rPr>
          <w:rFonts w:ascii="Times New Roman" w:hAnsi="Times New Roman"/>
          <w:color w:val="000000" w:themeColor="text1"/>
          <w:sz w:val="16"/>
          <w:szCs w:val="16"/>
        </w:rPr>
      </w:pPr>
    </w:p>
    <w:p w14:paraId="6FAF00C9" w14:textId="77777777" w:rsidR="00E73785" w:rsidRPr="00D03F3E" w:rsidRDefault="00E73785"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20  января</w:t>
      </w:r>
      <w:r w:rsidRPr="00D03F3E">
        <w:rPr>
          <w:rFonts w:ascii="Times New Roman" w:hAnsi="Times New Roman"/>
          <w:color w:val="000000" w:themeColor="text1"/>
          <w:sz w:val="16"/>
          <w:szCs w:val="16"/>
        </w:rPr>
        <w:t xml:space="preserve"> в 1943 году завершилась Великолукская операция: войска Калининского фронта нанесли поражение оперативной группе “Шевалери”, продвинулись на запад на 25-30 км (15015).</w:t>
      </w:r>
    </w:p>
    <w:p w14:paraId="27BE1303" w14:textId="77777777" w:rsidR="00E73785" w:rsidRPr="00D03F3E" w:rsidRDefault="00E73785" w:rsidP="00D03F3E">
      <w:pPr>
        <w:spacing w:after="0" w:line="240" w:lineRule="auto"/>
        <w:jc w:val="both"/>
        <w:rPr>
          <w:rFonts w:ascii="Times New Roman" w:hAnsi="Times New Roman"/>
          <w:color w:val="000000" w:themeColor="text1"/>
          <w:sz w:val="16"/>
          <w:szCs w:val="16"/>
        </w:rPr>
      </w:pPr>
    </w:p>
    <w:p w14:paraId="41EC147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rPr>
        <w:t>К 20 января 1942 в район Сталинграда прибыла 1 -я учебная эскадра тяжелых транспорт</w:t>
      </w:r>
      <w:r w:rsidRPr="00D03F3E">
        <w:rPr>
          <w:rFonts w:ascii="Times New Roman" w:hAnsi="Times New Roman"/>
          <w:color w:val="000000" w:themeColor="text1"/>
          <w:sz w:val="16"/>
          <w:szCs w:val="16"/>
        </w:rPr>
        <w:softHyphen/>
        <w:t>ных планеров с 64 самолетами-букси</w:t>
      </w:r>
      <w:r w:rsidRPr="00D03F3E">
        <w:rPr>
          <w:rFonts w:ascii="Times New Roman" w:hAnsi="Times New Roman"/>
          <w:color w:val="000000" w:themeColor="text1"/>
          <w:sz w:val="16"/>
          <w:szCs w:val="16"/>
        </w:rPr>
        <w:softHyphen/>
        <w:t>ровщиками и 170 грузовыми планерами типа DFS230 и Go242. Всоставетранс</w:t>
      </w:r>
      <w:r w:rsidRPr="00D03F3E">
        <w:rPr>
          <w:rFonts w:ascii="Times New Roman" w:hAnsi="Times New Roman"/>
          <w:color w:val="000000" w:themeColor="text1"/>
          <w:sz w:val="16"/>
          <w:szCs w:val="16"/>
          <w:lang w:val="en-US"/>
        </w:rPr>
        <w:softHyphen/>
      </w:r>
      <w:r w:rsidRPr="00D03F3E">
        <w:rPr>
          <w:rFonts w:ascii="Times New Roman" w:hAnsi="Times New Roman"/>
          <w:color w:val="000000" w:themeColor="text1"/>
          <w:sz w:val="16"/>
          <w:szCs w:val="16"/>
        </w:rPr>
        <w:t>портнойгруппировкиЛюфтваффеиме</w:t>
      </w:r>
      <w:r w:rsidRPr="00D03F3E">
        <w:rPr>
          <w:rFonts w:ascii="Times New Roman" w:hAnsi="Times New Roman"/>
          <w:color w:val="000000" w:themeColor="text1"/>
          <w:sz w:val="16"/>
          <w:szCs w:val="16"/>
          <w:lang w:val="en-US"/>
        </w:rPr>
        <w:softHyphen/>
      </w:r>
      <w:r w:rsidRPr="00D03F3E">
        <w:rPr>
          <w:rFonts w:ascii="Times New Roman" w:hAnsi="Times New Roman"/>
          <w:color w:val="000000" w:themeColor="text1"/>
          <w:sz w:val="16"/>
          <w:szCs w:val="16"/>
        </w:rPr>
        <w:t>лосьтакже</w:t>
      </w:r>
      <w:r w:rsidRPr="00D03F3E">
        <w:rPr>
          <w:rFonts w:ascii="Times New Roman" w:hAnsi="Times New Roman"/>
          <w:color w:val="000000" w:themeColor="text1"/>
          <w:sz w:val="16"/>
          <w:szCs w:val="16"/>
          <w:lang w:val="en-US"/>
        </w:rPr>
        <w:t xml:space="preserve"> 60 Ju86 (6467).</w:t>
      </w:r>
    </w:p>
    <w:p w14:paraId="18D9B97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3AC4EA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January 20, 1943: The Red Army begins an offensive against Heeresgruppe Mitte in the Voronesh area (3819).</w:t>
      </w:r>
    </w:p>
    <w:p w14:paraId="34529A1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FEE1F0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КА начала наступление против Группы Центр в районе Воронежа (3819).</w:t>
      </w:r>
    </w:p>
    <w:p w14:paraId="4D290BA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B0399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завершилась Великолуцкая наступательная операция (2989).</w:t>
      </w:r>
    </w:p>
    <w:p w14:paraId="159F2E3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операции немцы привлекали транспортные самолеты для снабжения войск и они понесли тяжелые потери (518,179).</w:t>
      </w:r>
    </w:p>
    <w:p w14:paraId="16BD3A0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67883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г.вышел ПРИКАЗ № 044 ОБ АВАРИЙНОСТИ В ПОЛКАХ АЭРОСТАТОВ ЗАГРАЖДЕНИЯ ЛЕНИНГРАДСКОЙ И БАКИНСКОЙ АРМИЙ ПВО</w:t>
      </w:r>
    </w:p>
    <w:p w14:paraId="42E17AE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пять месяцев второго полугодия 1942 года в ленинградских полках аэростатов заграждения было 196 аварий с аэростатами и 21 с газгольдерами, в результате которых потеряно и приведено в негодность 191 аэростат, 12 газгольдеров и 257000 метров троса.</w:t>
      </w:r>
    </w:p>
    <w:p w14:paraId="5F33B59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Только в одну ночь с 19 на 20 ноября потеряно и приведено в негодность 40 аэростатов благодаря тому, что начальник службы АЗ Лен [инградской ] армии ПВО полковник Волхонский, будучи сам ответственным дежурным по КП армии, располагая устаревшими и неверными метеоданными, игнорировал донесения оперативных дежурных полков АЗ об увеличении натяжения тросов, в результате чего из-за несвоевременного принятия решения о выбирании аэростаты оборвались.</w:t>
      </w:r>
    </w:p>
    <w:p w14:paraId="5DC985D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общего числа аварий 16% произошло по явной халатности личного состава и 15% из-за перепутывания тросов в воздухе, что в большинстве случаев происходит по причинам неумелого руководства как самими подъемами, так и расстановкой постов.</w:t>
      </w:r>
    </w:p>
    <w:p w14:paraId="1720873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5-м полку аэростатов заграждения Бакинской армии ПВО за второе полугодие 1942 года произошло 22 аварии, в результате которых потеряно и приведено в негодность 22 аэростата, один газгольдер и 29000 метров троса, причем из них более 30% выведено из строя по причине халатности и неграмотности личного состава.</w:t>
      </w:r>
    </w:p>
    <w:p w14:paraId="55EFF0F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Возросшая аварийность в 5-м полку есть результат того, что до августа месяца 1942 года личный состав полка по подъемам тандемов не тренировался (аэростаты поднимались только на 50—100 метров) и опыта в эксплуатации аэростатов на полный потолок не получал.</w:t>
      </w:r>
    </w:p>
    <w:p w14:paraId="70FD19F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 сих пор в ленинградских и бакинских полках аэростатов заграждения продолжают иметь место аварии по вине личного состава, вследствие того, что аэростаты сдаются с неисправными газовыми клапанами, с гнилым и требующим замены привязным такелажем, загоняются горбатые костыльки в распределительный механизм лебедки и т. д.</w:t>
      </w:r>
    </w:p>
    <w:p w14:paraId="38D9DC7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это свидетельствует о том, что основное требование эксплуатации аэростатов заграждения — полная ликвидация аварийности, а в особенности аварий по вине личного состава — не выполнено.</w:t>
      </w:r>
    </w:p>
    <w:p w14:paraId="18EBA2D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Приказываю:</w:t>
      </w:r>
    </w:p>
    <w:p w14:paraId="22D3C5C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За плохое и неумелое руководство боевой работой ленинградских полков аэростатов заграждения начальника службы АЗ Ленармии ПВО полковника Волхонского предупредить о неполном служебном соответствии.</w:t>
      </w:r>
    </w:p>
    <w:p w14:paraId="31569CA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Командиру 5-го полка АЗ Бакинской армии ПВО майору Кирееву объявить выговор.</w:t>
      </w:r>
    </w:p>
    <w:p w14:paraId="62C3E80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3. Командующим Ленинградской и Бакинской армиями ПВО генерал-майору береговой службы Зашихину и генерал-майору Бескровнову улучшить руководство службой аэростатов заграждения и потребовать решительного укрепления дисциплины, устранения недостатков в эксплуатации боевой техники и изжития </w:t>
      </w:r>
      <w:r w:rsidRPr="00D03F3E">
        <w:rPr>
          <w:rFonts w:ascii="Times New Roman" w:hAnsi="Times New Roman"/>
          <w:color w:val="000000" w:themeColor="text1"/>
          <w:sz w:val="16"/>
          <w:szCs w:val="16"/>
        </w:rPr>
        <w:lastRenderedPageBreak/>
        <w:t>аварийности в частях АЗ.</w:t>
      </w:r>
    </w:p>
    <w:p w14:paraId="10A9A4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марта 1943 года донести о проведенных мероприятиях по ликвидации аварийности в частях АЗ.</w:t>
      </w:r>
    </w:p>
    <w:p w14:paraId="5722EAF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Заместитель Народного комиссара обороны СССР генерал-лейтенант ГРОМАДИН</w:t>
      </w:r>
      <w:r w:rsidRPr="00D03F3E">
        <w:rPr>
          <w:rFonts w:ascii="Times New Roman" w:hAnsi="Times New Roman"/>
          <w:color w:val="000000" w:themeColor="text1"/>
          <w:sz w:val="16"/>
          <w:szCs w:val="16"/>
        </w:rPr>
        <w:t xml:space="preserve"> (9844).</w:t>
      </w:r>
    </w:p>
    <w:p w14:paraId="719BDD1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7CB3E4"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620DD5B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CCCDE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года заместитель наркома С. Н. Круглов подписал приказ НКВД (далее это уточнение опускается) № 57 “О введении в действие Устава службы военизированной охраны ИТЛ и ИТК НКВД СССР (УСВО-43)”. Основные разделы этого документа были следующими: назначение и задачи военизированной охраны; политическое обеспечение службы; караульная служба (организация караульной службы, охрана лагерных и производственных зон, охрана готовых сооружений и особо важных складов, права и обязанности личного состава караулов, проверка караульной службы); конвойная служба (организация конвойной службы, служба производственного конвоя, служба внутреннего конвоя, служба эшелонного конвоя); оперативно-розыскная служба (общие положения, первичный розыск, ближний розыск, дальний розыск, устройство оперативных заслонов, “секрет” (то есть устройство засад), оформление задержанного); служба собак (общие положения, содержание собак, применение собак); действия в особых условиях (обеспечение боевой готовности частей ВОХР, план охраны и обороны объекта, действия при побеге заключенных, действия при нападении на караул или конвой, действия при групповом неповиновении заключенных, действия при стихийном бедствии (наводнении, землетрясении, пожаре, взрыве, аварии и т. п.), действия при воздушном нападении); порядок применения оружия; устройство и оборудование лагерных и производственных зон; этапирование заключенных пешим порядком (7560).</w:t>
      </w:r>
    </w:p>
    <w:p w14:paraId="170423D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E07BF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года Приказом НКВД СССР №57 введен в действие "Устав службы военизированной охраны ИТЛ и ИТК НКВД СССР (УСВО-43)", основные разделы которого: назначение и задачи военизированной охраны; политическое обеспечение службы; караульная служба (организация караульной службы, охрана лагерных и производственных зон, охрана готовых сооружений и особо важных складов, права и обязанности личного состава караулов, проверка караульной службы); конвойная служба (организация конвойной службы, служба производственного конвоя, служба внутреннего конвоя, служба эшелонного конвоя); оперативно-розыскная служба (общие положения, первичный розыск, ближний розыск, дальний розыск, устройство оперативных заслонов, “секрет” (то есть устройство засад), оформление задержанного); служба собак (общие положения, содержание собак, применение собак); действия в особых условиях (обеспечение боевой готовности частей ВОХР, план охраны и обороны объекта, действия при побеге заключенных, действия при нападении на караул или конвой, действия при групповом неповиновении заключенных, действия при стихийном бедствии (наводнении, землетрясении, пожаре, взрыве, аварии и т. п.), действия при воздушном нападении); порядок применения оружия; устройство и оборудование лагерных и производственных зон; этапирование заключенных пешим порядком (8983).</w:t>
      </w:r>
    </w:p>
    <w:p w14:paraId="02FFE8A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8C29AD"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5227ACB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1AA5CD"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20  января</w:t>
      </w:r>
      <w:r w:rsidRPr="00D03F3E">
        <w:rPr>
          <w:rFonts w:ascii="Times New Roman" w:hAnsi="Times New Roman"/>
          <w:color w:val="000000" w:themeColor="text1"/>
          <w:sz w:val="16"/>
          <w:szCs w:val="16"/>
        </w:rPr>
        <w:t xml:space="preserve"> в 1943 году массированная бомбардировка британскими ВВС Берлина. ВВС Великобритании сбрасывают 2,300 тонн бомб на Берлин. В Германии от бомбежек погибло, по разным оценкам, от 300 тыс. до 1,5 млн. мирных жителей. Во Франции — 59 тыс. убитых и раненых, в основном от налетов союзников, в Англии — 60,5 тыс., включая жертвы от действий реактивных снарядов «Фау».</w:t>
      </w:r>
    </w:p>
    <w:p w14:paraId="34578CD4"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Перечень городов, в которых площадь разрушений составила 50% и более общей площади построек (как ни странно, на долю Дрездена пришлось только 40%):</w:t>
      </w:r>
    </w:p>
    <w:p w14:paraId="1DC27550"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 — Людвигсхафен, Вормс</w:t>
      </w:r>
    </w:p>
    <w:p w14:paraId="481B3ECD"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 — Бремен, Ганновер, Нюрнберг, Ремшайд, Бохум</w:t>
      </w:r>
    </w:p>
    <w:p w14:paraId="584515EA"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 — Эссен, Дармштадт</w:t>
      </w:r>
    </w:p>
    <w:p w14:paraId="6D668ADF"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 — Кохем</w:t>
      </w:r>
    </w:p>
    <w:p w14:paraId="11EA7730"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 — Гамбург, Майнц</w:t>
      </w:r>
    </w:p>
    <w:p w14:paraId="6AEB2EBF"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 — Неккарзульм, Зоэст</w:t>
      </w:r>
    </w:p>
    <w:p w14:paraId="5B6D4C12"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 — Ахен, Мюнстер, Хайльбронн</w:t>
      </w:r>
    </w:p>
    <w:p w14:paraId="0B0C43F5"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 — Эркеленц</w:t>
      </w:r>
    </w:p>
    <w:p w14:paraId="7097B351"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 — Вильгельмсхафен, Кобленц</w:t>
      </w:r>
    </w:p>
    <w:p w14:paraId="06C715CD"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64% — Бингербрюк, Кёльн, Пфорцхайм</w:t>
      </w:r>
    </w:p>
    <w:p w14:paraId="1E9C1831"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 — Дортмунд</w:t>
      </w:r>
    </w:p>
    <w:p w14:paraId="6558C48C"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 — Крайльсхайм</w:t>
      </w:r>
    </w:p>
    <w:p w14:paraId="19792A45"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 — Гисен</w:t>
      </w:r>
    </w:p>
    <w:p w14:paraId="585752C3"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 — Ханау, Кассель</w:t>
      </w:r>
    </w:p>
    <w:p w14:paraId="290ED770"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 — Дюрен</w:t>
      </w:r>
    </w:p>
    <w:p w14:paraId="396B99F0"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 — Альтенкирхен, Брухзаль</w:t>
      </w:r>
    </w:p>
    <w:p w14:paraId="6FFD5324"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72% — Гейленкирхен</w:t>
      </w:r>
    </w:p>
    <w:p w14:paraId="646B8CCE"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74% — Донаувёрт</w:t>
      </w:r>
    </w:p>
    <w:p w14:paraId="0D059713"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 — Ремаген, Вюрцбург</w:t>
      </w:r>
    </w:p>
    <w:p w14:paraId="2A817E62"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78% — Эмден</w:t>
      </w:r>
    </w:p>
    <w:p w14:paraId="44DA3E35"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 — Прюм, Везель</w:t>
      </w:r>
    </w:p>
    <w:p w14:paraId="03915179"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 — Ксантен, Цюльпих</w:t>
      </w:r>
    </w:p>
    <w:p w14:paraId="78EF36BE"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91% — Эммерих</w:t>
      </w:r>
    </w:p>
    <w:p w14:paraId="0C14022D"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97% — Юлих</w:t>
      </w:r>
    </w:p>
    <w:p w14:paraId="76A4223B" w14:textId="77777777" w:rsidR="00371210" w:rsidRPr="00D03F3E" w:rsidRDefault="00371210" w:rsidP="00D03F3E">
      <w:pPr>
        <w:spacing w:after="0" w:line="240" w:lineRule="auto"/>
        <w:jc w:val="both"/>
        <w:rPr>
          <w:rFonts w:ascii="Times New Roman" w:hAnsi="Times New Roman"/>
          <w:color w:val="000000" w:themeColor="text1"/>
          <w:sz w:val="16"/>
          <w:szCs w:val="16"/>
        </w:rPr>
      </w:pPr>
    </w:p>
    <w:p w14:paraId="11C21FE2" w14:textId="77777777" w:rsidR="00371210" w:rsidRPr="00D03F3E" w:rsidRDefault="003712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20  января</w:t>
      </w:r>
      <w:r w:rsidRPr="00D03F3E">
        <w:rPr>
          <w:rFonts w:ascii="Times New Roman" w:hAnsi="Times New Roman"/>
          <w:color w:val="000000" w:themeColor="text1"/>
          <w:sz w:val="16"/>
          <w:szCs w:val="16"/>
        </w:rPr>
        <w:t xml:space="preserve"> в 1943 году между Германией, Италией и Японией в рамках Тройственного Пакта подписаны двусторонние соглашения об экономическом и финансовом сотрудничестве (15015).</w:t>
      </w:r>
    </w:p>
    <w:p w14:paraId="5F4DCAAF" w14:textId="77777777" w:rsidR="00371210" w:rsidRPr="00D03F3E" w:rsidRDefault="00371210" w:rsidP="00D03F3E">
      <w:pPr>
        <w:spacing w:after="0" w:line="240" w:lineRule="auto"/>
        <w:jc w:val="both"/>
        <w:rPr>
          <w:rFonts w:ascii="Times New Roman" w:hAnsi="Times New Roman"/>
          <w:color w:val="000000" w:themeColor="text1"/>
          <w:sz w:val="16"/>
          <w:szCs w:val="16"/>
        </w:rPr>
      </w:pPr>
    </w:p>
    <w:p w14:paraId="4665948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Германия и Япония подписали соглашение о взаимнывх поставках (2100).</w:t>
      </w:r>
    </w:p>
    <w:p w14:paraId="41FF1F8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68A7B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министр иностранных дел Германии Иоахим фон Риббентроп и посол Японии подписали в ставке А.Г. в Восточной Пруссии договор об экономическом сотрудничестве (3186).</w:t>
      </w:r>
    </w:p>
    <w:p w14:paraId="10F75AD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63F27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 У.Черчиль обратил внимание военного кабинета на незначительные масштабы британских военных операций с гигантскими усилиями России (3526).</w:t>
      </w:r>
    </w:p>
    <w:p w14:paraId="2158D62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1D89B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1943г. была подготовлена СПРАВКА 1 -го ОТДЕЛА УБП БТ и МВ КА О СРОКАХ ОБУЧЕНИЯ ТАНКОВЫХ ЭКИПАЖЕЙ В АНГЛИЙСКОЙ И НЕМЕЦКОЙ АРМИЯХ</w:t>
      </w:r>
    </w:p>
    <w:p w14:paraId="5039E82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английской армии.</w:t>
      </w:r>
    </w:p>
    <w:p w14:paraId="588B3D5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Срок подготовки танковых экипажей в английской танковой школе 22 недели.</w:t>
      </w:r>
    </w:p>
    <w:p w14:paraId="70BCF60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заявлению начальника танковой школы этого срока недостаточно, экипажи выходят не впол</w:t>
      </w:r>
      <w:r w:rsidRPr="00D03F3E">
        <w:rPr>
          <w:rFonts w:ascii="Times New Roman" w:hAnsi="Times New Roman"/>
          <w:color w:val="000000" w:themeColor="text1"/>
          <w:sz w:val="16"/>
          <w:szCs w:val="16"/>
        </w:rPr>
        <w:softHyphen/>
        <w:t>не подготовленными.</w:t>
      </w:r>
    </w:p>
    <w:p w14:paraId="1C37C9C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немецкой армии.</w:t>
      </w:r>
    </w:p>
    <w:p w14:paraId="2343CF2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Подготовка пополнения для действующих танковых дивизий проводится в запасных танковых батальонах.</w:t>
      </w:r>
    </w:p>
    <w:p w14:paraId="7B6EBD1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20.09.1942 г. в составе немецкой армии установлено 11 запасных танковых батальонов. Запасные батальоны готовят водителей, стрелков, радистов. Командиры танков выдвигаются из числа наиболее способных стрелков и даже водителей.</w:t>
      </w:r>
    </w:p>
    <w:p w14:paraId="6258345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Срок обучения в запасном танковом батальоне 3-4 месяца.</w:t>
      </w:r>
    </w:p>
    <w:p w14:paraId="6CDC5DC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Танкисты вербуются преимущественно из числа молодежи, окончившей автокурсы и имеющей право на вождение автомашин. Среди танкистов много членов союза «гитлеровской молодежи».</w:t>
      </w:r>
    </w:p>
    <w:p w14:paraId="5D07286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программу входят:</w:t>
      </w:r>
    </w:p>
    <w:p w14:paraId="76A7158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вождение;</w:t>
      </w:r>
    </w:p>
    <w:p w14:paraId="02F272E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материальная часть;</w:t>
      </w:r>
    </w:p>
    <w:p w14:paraId="2A2FCAA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тактика;</w:t>
      </w:r>
    </w:p>
    <w:p w14:paraId="067D8F3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строевая подготовка;</w:t>
      </w:r>
    </w:p>
    <w:p w14:paraId="19EBB36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стрелковая подготовка; Продолжительность учебного дня 9 часов.</w:t>
      </w:r>
    </w:p>
    <w:p w14:paraId="024D62E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запасном батальоне имеется 5-6 рот с общим количеством обучающихся 600-800 человек. Для практического вождения батальон имеет 5-6 танков, преимущественно марки Т-2.</w:t>
      </w:r>
    </w:p>
    <w:p w14:paraId="6DD75F5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общей сложности срок формирования и обучения танковых частей в пределах 5-6 месяцев.</w:t>
      </w:r>
    </w:p>
    <w:p w14:paraId="7A71E51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Старший помощник начальника 1 отдела УБП БТ и МВ КА</w:t>
      </w:r>
    </w:p>
    <w:p w14:paraId="7E6DF18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майор Колпаков</w:t>
      </w:r>
    </w:p>
    <w:p w14:paraId="5AD7A9F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11351. Д. 193. Л. 19. Подлинник (11403).</w:t>
      </w:r>
    </w:p>
    <w:p w14:paraId="1EA09EE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FC0D62"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A9A34C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E8924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января 1943 г. началось серийное производство двигателей АМ-38Ф А.А.Микулина для Ил-2 на авиазаводе №45 (ныне ММПП "Салют") (6395).</w:t>
      </w:r>
    </w:p>
    <w:p w14:paraId="4D3FDC7F"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FACAE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января 1943 на авиазаводе 45 (ММПП Салют сейчас) началось серийное производство АМ-38Ф А.А.М. (2668,21).</w:t>
      </w:r>
    </w:p>
    <w:p w14:paraId="2146E6C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10E2A6"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января</w:t>
      </w:r>
      <w:r w:rsidRPr="00D03F3E">
        <w:rPr>
          <w:rFonts w:ascii="Times New Roman" w:hAnsi="Times New Roman"/>
          <w:color w:val="000000" w:themeColor="text1"/>
          <w:sz w:val="16"/>
          <w:szCs w:val="16"/>
        </w:rPr>
        <w:t xml:space="preserve"> в 1943 году началось серийное производство двигателей </w:t>
      </w:r>
      <w:hyperlink r:id="rId18" w:tgtFrame="_blank" w:history="1">
        <w:r w:rsidRPr="00D03F3E">
          <w:rPr>
            <w:rFonts w:ascii="Times New Roman" w:hAnsi="Times New Roman"/>
            <w:color w:val="000000" w:themeColor="text1"/>
            <w:sz w:val="16"/>
            <w:szCs w:val="16"/>
          </w:rPr>
          <w:t xml:space="preserve">«АМ-38Ф» </w:t>
        </w:r>
      </w:hyperlink>
      <w:r w:rsidRPr="00D03F3E">
        <w:rPr>
          <w:rFonts w:ascii="Times New Roman" w:hAnsi="Times New Roman"/>
          <w:color w:val="000000" w:themeColor="text1"/>
          <w:sz w:val="16"/>
          <w:szCs w:val="16"/>
        </w:rPr>
        <w:t>А.А.Микулина для «Ил-2» на авиазаводе №45 (ныне ММПП «Салют»). Начиная с января 1943 г. моторы «АМ-38Ф» стали устанавливаться на все серийные штурмовики «Ил-2», как одноместные, так и двухместные, на всех авиазаводах, выпускавших эти самолеты. К январю 43-го 24-му авиазаводу удалось изготовить 377 моторов «АМ-38Ф». С января 1943 г. двухместный «Ил-2» с мотором «АМ-38Ф» пошел в крупносерийное производство, а уже с 1 февраля все основные производители "Илов" - 1-й, 18-й и 30-й авиазаводы - полностью перешли на его выпуск (15016).</w:t>
      </w:r>
    </w:p>
    <w:p w14:paraId="7AD3B92B" w14:textId="77777777" w:rsidR="0071306F" w:rsidRPr="00D03F3E" w:rsidRDefault="0071306F" w:rsidP="00D03F3E">
      <w:pPr>
        <w:spacing w:after="0" w:line="240" w:lineRule="auto"/>
        <w:jc w:val="both"/>
        <w:rPr>
          <w:rFonts w:ascii="Times New Roman" w:hAnsi="Times New Roman"/>
          <w:color w:val="000000" w:themeColor="text1"/>
          <w:sz w:val="16"/>
          <w:szCs w:val="16"/>
        </w:rPr>
      </w:pPr>
    </w:p>
    <w:p w14:paraId="27738FAC" w14:textId="77777777" w:rsidR="00E56A12" w:rsidRPr="00D03F3E" w:rsidRDefault="00E56A1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21 января 1943 г. начальник 1 -го отдела Управления заказов самолетов и моторов ГУЗ ВВС КА бригинженер Ковалев направил письмо С.В. Ильюшину, в котором информировал ОКБ о недостатках кабины воздушного стрелка и оборонительной установки ВУБ-3 с пулеметом УБТ, выявленных в частях 1 -й воздушной армии. Отмечалось, что</w:t>
      </w:r>
      <w:r w:rsidRPr="00D03F3E">
        <w:rPr>
          <w:rStyle w:val="aff6"/>
          <w:rFonts w:ascii="Times New Roman" w:hAnsi="Times New Roman" w:cs="Times New Roman"/>
          <w:i w:val="0"/>
          <w:color w:val="000000" w:themeColor="text1"/>
          <w:spacing w:val="0"/>
        </w:rPr>
        <w:t xml:space="preserve"> «отсутствие брони снизу и с боков фюзеляжа создает возможность пораже</w:t>
      </w:r>
      <w:r w:rsidRPr="00D03F3E">
        <w:rPr>
          <w:rStyle w:val="aff6"/>
          <w:rFonts w:ascii="Times New Roman" w:hAnsi="Times New Roman" w:cs="Times New Roman"/>
          <w:i w:val="0"/>
          <w:color w:val="000000" w:themeColor="text1"/>
          <w:spacing w:val="0"/>
        </w:rPr>
        <w:softHyphen/>
        <w:t>ния стрелка обыкновенными пулями».</w:t>
      </w:r>
      <w:r w:rsidRPr="00D03F3E">
        <w:rPr>
          <w:rFonts w:ascii="Times New Roman" w:cs="Times New Roman"/>
          <w:color w:val="000000" w:themeColor="text1"/>
          <w:spacing w:val="0"/>
        </w:rPr>
        <w:t xml:space="preserve"> Требова</w:t>
      </w:r>
      <w:r w:rsidRPr="00D03F3E">
        <w:rPr>
          <w:rFonts w:ascii="Times New Roman" w:cs="Times New Roman"/>
          <w:color w:val="000000" w:themeColor="text1"/>
          <w:spacing w:val="0"/>
        </w:rPr>
        <w:softHyphen/>
        <w:t>лось срочно</w:t>
      </w:r>
      <w:r w:rsidRPr="00D03F3E">
        <w:rPr>
          <w:rStyle w:val="aff6"/>
          <w:rFonts w:ascii="Times New Roman" w:hAnsi="Times New Roman" w:cs="Times New Roman"/>
          <w:i w:val="0"/>
          <w:color w:val="000000" w:themeColor="text1"/>
          <w:spacing w:val="0"/>
        </w:rPr>
        <w:t xml:space="preserve"> «предусмотреть установку 3-х мм. брони снизу и по бортам кабины».</w:t>
      </w:r>
    </w:p>
    <w:p w14:paraId="175B8670" w14:textId="77777777" w:rsidR="00E56A12" w:rsidRPr="00D03F3E" w:rsidRDefault="00E56A12" w:rsidP="00D03F3E">
      <w:pPr>
        <w:pStyle w:val="45"/>
        <w:shd w:val="clear" w:color="auto" w:fill="auto"/>
        <w:spacing w:before="0" w:line="240" w:lineRule="auto"/>
        <w:jc w:val="both"/>
        <w:rPr>
          <w:rFonts w:ascii="Times New Roman" w:cs="Times New Roman"/>
          <w:color w:val="000000" w:themeColor="text1"/>
          <w:sz w:val="16"/>
          <w:szCs w:val="16"/>
        </w:rPr>
      </w:pPr>
      <w:r w:rsidRPr="00D03F3E">
        <w:rPr>
          <w:rStyle w:val="4f0"/>
          <w:rFonts w:ascii="Times New Roman" w:hAnsi="Times New Roman" w:cs="Times New Roman"/>
          <w:i w:val="0"/>
          <w:color w:val="000000" w:themeColor="text1"/>
          <w:sz w:val="16"/>
          <w:szCs w:val="16"/>
        </w:rPr>
        <w:t xml:space="preserve">Неделей спустя 27 января заместитель главного инженера ВВС КА генерал-майор А.А. Лапин в письме Ильюшину указывал, что </w:t>
      </w:r>
      <w:r w:rsidRPr="00D03F3E">
        <w:rPr>
          <w:rFonts w:ascii="Times New Roman" w:cs="Times New Roman"/>
          <w:color w:val="000000" w:themeColor="text1"/>
          <w:sz w:val="16"/>
          <w:szCs w:val="16"/>
        </w:rPr>
        <w:t>«75% боеприпасов немецкой пушки МГ-151 калибра 15 и 20 мм составляют осколочно-фугасные снаряды. При действии этих снарядов по броне самолета образуется большое чи</w:t>
      </w:r>
      <w:r w:rsidRPr="00D03F3E">
        <w:rPr>
          <w:rFonts w:ascii="Times New Roman" w:cs="Times New Roman"/>
          <w:color w:val="000000" w:themeColor="text1"/>
          <w:sz w:val="16"/>
          <w:szCs w:val="16"/>
        </w:rPr>
        <w:softHyphen/>
        <w:t>сло осколков, которые вызывают разрушение частей самолета и наносят ранения экипажу. НИИ-48 НКТП в Экспресс-информации №7 за ноябрь 1942 г. рекомендует для улавливания этих осколков устанавливать экраны из противоосколочной брони толщиною 1,8 мм».</w:t>
      </w:r>
      <w:r w:rsidRPr="00D03F3E">
        <w:rPr>
          <w:rStyle w:val="4f0"/>
          <w:rFonts w:ascii="Times New Roman" w:hAnsi="Times New Roman" w:cs="Times New Roman"/>
          <w:i w:val="0"/>
          <w:color w:val="000000" w:themeColor="text1"/>
          <w:sz w:val="16"/>
          <w:szCs w:val="16"/>
        </w:rPr>
        <w:t xml:space="preserve"> В этой связи Лапин просил сообщить,</w:t>
      </w:r>
      <w:r w:rsidRPr="00D03F3E">
        <w:rPr>
          <w:rFonts w:ascii="Times New Roman" w:cs="Times New Roman"/>
          <w:color w:val="000000" w:themeColor="text1"/>
          <w:sz w:val="16"/>
          <w:szCs w:val="16"/>
        </w:rPr>
        <w:t xml:space="preserve"> «какие меро</w:t>
      </w:r>
      <w:r w:rsidRPr="00D03F3E">
        <w:rPr>
          <w:rFonts w:ascii="Times New Roman" w:cs="Times New Roman"/>
          <w:color w:val="000000" w:themeColor="text1"/>
          <w:sz w:val="16"/>
          <w:szCs w:val="16"/>
        </w:rPr>
        <w:softHyphen/>
        <w:t>приятия в этом направлении намечаются Вами на двухместном самолете Ил-2» (17478).</w:t>
      </w:r>
    </w:p>
    <w:p w14:paraId="2D413F12" w14:textId="77777777" w:rsidR="00E56A12" w:rsidRPr="00D03F3E" w:rsidRDefault="00E56A12" w:rsidP="00D03F3E">
      <w:pPr>
        <w:spacing w:after="0" w:line="240" w:lineRule="auto"/>
        <w:jc w:val="both"/>
        <w:rPr>
          <w:rFonts w:ascii="Times New Roman" w:hAnsi="Times New Roman"/>
          <w:color w:val="000000" w:themeColor="text1"/>
          <w:sz w:val="16"/>
          <w:szCs w:val="16"/>
        </w:rPr>
      </w:pPr>
    </w:p>
    <w:p w14:paraId="3B1D5AD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января 1943 закончились войсковые испытания трех Ту-2Р во 2 ДРАП на Калининском фронте, которые шли с 30 декабря 1942. В отчете отмечалось: "...Размеры бомбоотсеков позволяют устанавливать фотоаппараты больших размеров, чем АФА-33... Качающаяся спаренная установка позволяет фотографировать площадь, равную площади, сфотографированной при одинаковых исходных данных четырьмя самолетами с неподвижной установкой..." (1835,53).</w:t>
      </w:r>
    </w:p>
    <w:p w14:paraId="7033115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2D46FD" w14:textId="77777777" w:rsidR="00522209" w:rsidRPr="00D03F3E" w:rsidRDefault="0052220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21 января 1943 на</w:t>
      </w:r>
      <w:r w:rsidRPr="00D03F3E">
        <w:rPr>
          <w:color w:val="000000" w:themeColor="text1"/>
          <w:sz w:val="16"/>
          <w:szCs w:val="16"/>
        </w:rPr>
        <w:softHyphen/>
        <w:t>чальником института генерал-майором П. А. Лосюковым был утвержден Отчет по изучению в январе 1943 г. в НИИ ВВС КА опыта 42-го иап по боевому применению «истре</w:t>
      </w:r>
      <w:r w:rsidRPr="00D03F3E">
        <w:rPr>
          <w:color w:val="000000" w:themeColor="text1"/>
          <w:sz w:val="16"/>
          <w:szCs w:val="16"/>
        </w:rPr>
        <w:softHyphen/>
        <w:t>бителей Як-7б М-105Пф с пушкой 37 мм ОКБ-15 и пулеметом УБС». Ответственными исполнителями были ка</w:t>
      </w:r>
      <w:r w:rsidRPr="00D03F3E">
        <w:rPr>
          <w:color w:val="000000" w:themeColor="text1"/>
          <w:sz w:val="16"/>
          <w:szCs w:val="16"/>
        </w:rPr>
        <w:softHyphen/>
        <w:t>питан А. С. Никитин и командир полка подполков</w:t>
      </w:r>
      <w:r w:rsidRPr="00D03F3E">
        <w:rPr>
          <w:color w:val="000000" w:themeColor="text1"/>
          <w:sz w:val="16"/>
          <w:szCs w:val="16"/>
        </w:rPr>
        <w:softHyphen/>
        <w:t>ник Ф. И. Шинкаренко.</w:t>
      </w:r>
    </w:p>
    <w:p w14:paraId="4E095903" w14:textId="77777777" w:rsidR="00522209" w:rsidRPr="00D03F3E" w:rsidRDefault="0052220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следует из документов, все полеты на Як-7-37 выполнялись только над своей террито</w:t>
      </w:r>
      <w:r w:rsidRPr="00D03F3E">
        <w:rPr>
          <w:color w:val="000000" w:themeColor="text1"/>
          <w:sz w:val="16"/>
          <w:szCs w:val="16"/>
        </w:rPr>
        <w:softHyphen/>
        <w:t>рией. Перелет линии фронта категорически запре</w:t>
      </w:r>
      <w:r w:rsidRPr="00D03F3E">
        <w:rPr>
          <w:color w:val="000000" w:themeColor="text1"/>
          <w:sz w:val="16"/>
          <w:szCs w:val="16"/>
        </w:rPr>
        <w:softHyphen/>
        <w:t>щался. Летчики вылетали на сопровождение Ил-2, прикрытие наземных войск, уничтожение авиации противника.</w:t>
      </w:r>
    </w:p>
    <w:p w14:paraId="57A8A0BB" w14:textId="77777777" w:rsidR="00522209" w:rsidRPr="00D03F3E" w:rsidRDefault="0052220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 Як-7-37 было проведено 12 групповых воз</w:t>
      </w:r>
      <w:r w:rsidRPr="00D03F3E">
        <w:rPr>
          <w:color w:val="000000" w:themeColor="text1"/>
          <w:sz w:val="16"/>
          <w:szCs w:val="16"/>
        </w:rPr>
        <w:softHyphen/>
        <w:t>душных боев при примерно равном соотношении сил, в которых было сбито десять самолетов про</w:t>
      </w:r>
      <w:r w:rsidRPr="00D03F3E">
        <w:rPr>
          <w:color w:val="000000" w:themeColor="text1"/>
          <w:sz w:val="16"/>
          <w:szCs w:val="16"/>
        </w:rPr>
        <w:softHyphen/>
        <w:t xml:space="preserve">тивника (восемь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F</w:t>
      </w:r>
      <w:r w:rsidRPr="00D03F3E">
        <w:rPr>
          <w:color w:val="000000" w:themeColor="text1"/>
          <w:sz w:val="16"/>
          <w:szCs w:val="16"/>
        </w:rPr>
        <w:t xml:space="preserve">, </w:t>
      </w:r>
      <w:r w:rsidRPr="00D03F3E">
        <w:rPr>
          <w:color w:val="000000" w:themeColor="text1"/>
          <w:sz w:val="16"/>
          <w:szCs w:val="16"/>
          <w:lang w:val="en-US"/>
        </w:rPr>
        <w:t>Fw</w:t>
      </w:r>
      <w:r w:rsidRPr="00D03F3E">
        <w:rPr>
          <w:color w:val="000000" w:themeColor="text1"/>
          <w:sz w:val="16"/>
          <w:szCs w:val="16"/>
        </w:rPr>
        <w:t xml:space="preserve">189, </w:t>
      </w:r>
      <w:r w:rsidRPr="00D03F3E">
        <w:rPr>
          <w:color w:val="000000" w:themeColor="text1"/>
          <w:sz w:val="16"/>
          <w:szCs w:val="16"/>
          <w:lang w:val="en-US"/>
        </w:rPr>
        <w:t>Hs</w:t>
      </w:r>
      <w:r w:rsidRPr="00D03F3E">
        <w:rPr>
          <w:color w:val="000000" w:themeColor="text1"/>
          <w:sz w:val="16"/>
          <w:szCs w:val="16"/>
        </w:rPr>
        <w:t>126). Свои потери составили пять летчиков.</w:t>
      </w:r>
    </w:p>
    <w:p w14:paraId="7B2AFB33" w14:textId="77777777" w:rsidR="00522209" w:rsidRPr="00D03F3E" w:rsidRDefault="0052220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общему мнению летчиков полка, Як-7-37 «по сравнению с другими типами истребителей, кроме Як-1, является лучшим самолетом, который позво</w:t>
      </w:r>
      <w:r w:rsidRPr="00D03F3E">
        <w:rPr>
          <w:color w:val="000000" w:themeColor="text1"/>
          <w:sz w:val="16"/>
          <w:szCs w:val="16"/>
        </w:rPr>
        <w:softHyphen/>
        <w:t>ляет вести воздушный бой как на вертикальном, так и на горизонтальном маневре». Однако для успешного боя с новыми немецкими истребителя</w:t>
      </w:r>
      <w:r w:rsidRPr="00D03F3E">
        <w:rPr>
          <w:color w:val="000000" w:themeColor="text1"/>
          <w:sz w:val="16"/>
          <w:szCs w:val="16"/>
        </w:rPr>
        <w:softHyphen/>
        <w:t>ми «желательно повысить скорость полета самоле</w:t>
      </w:r>
      <w:r w:rsidRPr="00D03F3E">
        <w:rPr>
          <w:color w:val="000000" w:themeColor="text1"/>
          <w:sz w:val="16"/>
          <w:szCs w:val="16"/>
        </w:rPr>
        <w:softHyphen/>
        <w:t>та на 40—50 км/ч».</w:t>
      </w:r>
    </w:p>
    <w:p w14:paraId="3AF3C87E" w14:textId="77777777" w:rsidR="00522209" w:rsidRPr="00D03F3E" w:rsidRDefault="0052220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то же время пушка Ш-37 показала себя с наи</w:t>
      </w:r>
      <w:r w:rsidRPr="00D03F3E">
        <w:rPr>
          <w:color w:val="000000" w:themeColor="text1"/>
          <w:sz w:val="16"/>
          <w:szCs w:val="16"/>
        </w:rPr>
        <w:softHyphen/>
        <w:t>лучшей стороны, работала почти без отказов и ока</w:t>
      </w:r>
      <w:r w:rsidRPr="00D03F3E">
        <w:rPr>
          <w:color w:val="000000" w:themeColor="text1"/>
          <w:sz w:val="16"/>
          <w:szCs w:val="16"/>
        </w:rPr>
        <w:softHyphen/>
        <w:t>залась простой в эксплуатации. Вследствие силь</w:t>
      </w:r>
      <w:r w:rsidRPr="00D03F3E">
        <w:rPr>
          <w:color w:val="000000" w:themeColor="text1"/>
          <w:sz w:val="16"/>
          <w:szCs w:val="16"/>
        </w:rPr>
        <w:softHyphen/>
        <w:t>ной отдачи пушки при стрельбе отмечались случаи течи масла из заднего уплотнения редукторного вала после 200—300 выстрелов.</w:t>
      </w:r>
    </w:p>
    <w:p w14:paraId="355F5215" w14:textId="77777777" w:rsidR="00522209" w:rsidRPr="00D03F3E" w:rsidRDefault="0052220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Несмотря на положительные в целом результаты войсковых испытаний, развития самолет Як-7-37 не получил, поскольку к моменту их окончания в мас</w:t>
      </w:r>
      <w:r w:rsidRPr="00D03F3E">
        <w:rPr>
          <w:color w:val="000000" w:themeColor="text1"/>
          <w:sz w:val="16"/>
          <w:szCs w:val="16"/>
        </w:rPr>
        <w:softHyphen/>
        <w:t>совую серию уже пошел истребитель Як-9 М-105ПФ с лучшими летно-боевыми данными. По этим причи</w:t>
      </w:r>
      <w:r w:rsidRPr="00D03F3E">
        <w:rPr>
          <w:color w:val="000000" w:themeColor="text1"/>
          <w:sz w:val="16"/>
          <w:szCs w:val="16"/>
        </w:rPr>
        <w:softHyphen/>
        <w:t>нам все дальнейшие работы по увеличению мощно</w:t>
      </w:r>
      <w:r w:rsidRPr="00D03F3E">
        <w:rPr>
          <w:color w:val="000000" w:themeColor="text1"/>
          <w:sz w:val="16"/>
          <w:szCs w:val="16"/>
        </w:rPr>
        <w:softHyphen/>
        <w:t>сти огня проводились именно на «девятке» (17500).</w:t>
      </w:r>
    </w:p>
    <w:p w14:paraId="24DCADF9" w14:textId="77777777" w:rsidR="00522209" w:rsidRPr="00D03F3E" w:rsidRDefault="00522209" w:rsidP="00D03F3E">
      <w:pPr>
        <w:pStyle w:val="12a"/>
        <w:shd w:val="clear" w:color="auto" w:fill="auto"/>
        <w:spacing w:after="0" w:line="240" w:lineRule="auto"/>
        <w:jc w:val="both"/>
        <w:rPr>
          <w:color w:val="000000" w:themeColor="text1"/>
          <w:sz w:val="16"/>
          <w:szCs w:val="16"/>
        </w:rPr>
      </w:pPr>
    </w:p>
    <w:p w14:paraId="410AE1BA"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598286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63F08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января 1943 года были начаты испытания 203-мм мортиры М-4. В ходе полигонных испытаний было сделано 456 выстрелов и пройдено 558 км по асфальтированному и булыжному шоссе, покрытому снегом, со средними скоростями 1423 км/час (3861).</w:t>
      </w:r>
    </w:p>
    <w:p w14:paraId="380F513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ACAE6F" w14:textId="77777777" w:rsidR="00E56A12" w:rsidRPr="00D03F3E" w:rsidRDefault="00E56A12" w:rsidP="00D03F3E">
      <w:pPr>
        <w:pStyle w:val="a3"/>
        <w:rPr>
          <w:color w:val="000000" w:themeColor="text1"/>
          <w:lang w:val="ru-RU"/>
        </w:rPr>
      </w:pPr>
      <w:r w:rsidRPr="00D03F3E">
        <w:rPr>
          <w:color w:val="000000" w:themeColor="text1"/>
          <w:lang w:val="ru-RU"/>
        </w:rPr>
        <w:t>С 21 января по 13 марта 1943 года проходили госиспытания мортиры М-4. За это время мортира произвела 456 выстрелов и прошла 458 километров по различным типам дорог, покрытых снегом. Испытания пробегом прошли не без происшествий: 27 февраля во время ухода от встречной машины тягач «Ворошиловец» произвел маневр, в результате которого система М-4 упала в кювет и получила ряд повреждений.</w:t>
      </w:r>
    </w:p>
    <w:p w14:paraId="01ACBC48" w14:textId="77777777" w:rsidR="00E56A12" w:rsidRPr="00D03F3E" w:rsidRDefault="00E56A12" w:rsidP="00D03F3E">
      <w:pPr>
        <w:pStyle w:val="a3"/>
        <w:rPr>
          <w:color w:val="000000" w:themeColor="text1"/>
          <w:lang w:val="ru-RU"/>
        </w:rPr>
      </w:pPr>
      <w:r w:rsidRPr="00D03F3E">
        <w:rPr>
          <w:color w:val="000000" w:themeColor="text1"/>
          <w:lang w:val="ru-RU"/>
        </w:rPr>
        <w:t>Несмотря на неудовлетворительную кучность и ряд дефектов, свя</w:t>
      </w:r>
      <w:r w:rsidRPr="00D03F3E">
        <w:rPr>
          <w:color w:val="000000" w:themeColor="text1"/>
          <w:lang w:val="ru-RU"/>
        </w:rPr>
        <w:softHyphen/>
        <w:t>занных с лафетом, комиссия по испытаниям 25 марта 1943 года вынес</w:t>
      </w:r>
      <w:r w:rsidRPr="00D03F3E">
        <w:rPr>
          <w:color w:val="000000" w:themeColor="text1"/>
          <w:lang w:val="ru-RU"/>
        </w:rPr>
        <w:softHyphen/>
        <w:t>ла положительное заключение по орудию:</w:t>
      </w:r>
    </w:p>
    <w:p w14:paraId="5ABFD578"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i w:val="0"/>
          <w:color w:val="000000" w:themeColor="text1"/>
          <w:sz w:val="16"/>
          <w:szCs w:val="16"/>
        </w:rPr>
        <w:t>«По устранении недостатков, отмеченных выше и указанных в тек</w:t>
      </w:r>
      <w:r w:rsidRPr="00D03F3E">
        <w:rPr>
          <w:i w:val="0"/>
          <w:color w:val="000000" w:themeColor="text1"/>
          <w:sz w:val="16"/>
          <w:szCs w:val="16"/>
        </w:rPr>
        <w:softHyphen/>
        <w:t>сте настоящего отчета, 203-мм мортира М-4 может быть рекомендо</w:t>
      </w:r>
      <w:r w:rsidRPr="00D03F3E">
        <w:rPr>
          <w:i w:val="0"/>
          <w:color w:val="000000" w:themeColor="text1"/>
          <w:sz w:val="16"/>
          <w:szCs w:val="16"/>
        </w:rPr>
        <w:softHyphen/>
        <w:t>вана на вооружение Красной Армии.</w:t>
      </w:r>
    </w:p>
    <w:p w14:paraId="0C6D4919"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i w:val="0"/>
          <w:color w:val="000000" w:themeColor="text1"/>
          <w:sz w:val="16"/>
          <w:szCs w:val="16"/>
        </w:rPr>
        <w:t>203-мм мортира М-4 заслуживает надлежащего внимания, так как обладает мощным снарядом, способным эффективно действовать по укреплениям противника; обладает небольшим весом, обеспечивающим высокую маневренность; может быть быстро освоена промышленностью и быстро выпущена в надлежащем количестве в войска» (17484).</w:t>
      </w:r>
    </w:p>
    <w:p w14:paraId="5799E8CC" w14:textId="77777777" w:rsidR="00E56A12" w:rsidRPr="00D03F3E" w:rsidRDefault="00E56A12" w:rsidP="00D03F3E">
      <w:pPr>
        <w:spacing w:after="0" w:line="240" w:lineRule="auto"/>
        <w:jc w:val="both"/>
        <w:rPr>
          <w:rFonts w:ascii="Times New Roman" w:hAnsi="Times New Roman"/>
          <w:color w:val="000000" w:themeColor="text1"/>
          <w:sz w:val="16"/>
          <w:szCs w:val="16"/>
        </w:rPr>
      </w:pPr>
    </w:p>
    <w:p w14:paraId="4684B419" w14:textId="77777777" w:rsidR="00E56A12" w:rsidRPr="00D03F3E" w:rsidRDefault="00E56A12" w:rsidP="00D03F3E">
      <w:pPr>
        <w:pStyle w:val="a3"/>
        <w:rPr>
          <w:color w:val="000000" w:themeColor="text1"/>
          <w:lang w:val="ru-RU"/>
        </w:rPr>
      </w:pPr>
      <w:r w:rsidRPr="00D03F3E">
        <w:rPr>
          <w:color w:val="000000" w:themeColor="text1"/>
          <w:lang w:val="ru-RU"/>
        </w:rPr>
        <w:t>21 января 1943 артсистема для КВ-14 прошла заводские испытания на полигоне заво</w:t>
      </w:r>
      <w:r w:rsidRPr="00D03F3E">
        <w:rPr>
          <w:color w:val="000000" w:themeColor="text1"/>
          <w:lang w:val="ru-RU"/>
        </w:rPr>
        <w:softHyphen/>
        <w:t>да №172. Всего было произведено 58 выстрелов, из них 5 при умень</w:t>
      </w:r>
      <w:r w:rsidRPr="00D03F3E">
        <w:rPr>
          <w:color w:val="000000" w:themeColor="text1"/>
          <w:lang w:val="ru-RU"/>
        </w:rPr>
        <w:softHyphen/>
        <w:t>шенном заряде, 3 при полном и 50 с усиленным. По итогам испытаний выявилось, что система работает безотказно, сбивание подъемных при выстреле достигало около двух тысячных градуса. Деформаций после контрольных испытаний не выявилось, усилия на маховиках оказались в пределах нормы.</w:t>
      </w:r>
    </w:p>
    <w:p w14:paraId="6BFE02B0" w14:textId="77777777" w:rsidR="00E56A12" w:rsidRPr="00D03F3E" w:rsidRDefault="00E56A12" w:rsidP="00D03F3E">
      <w:pPr>
        <w:spacing w:after="0" w:line="240" w:lineRule="auto"/>
        <w:jc w:val="both"/>
        <w:rPr>
          <w:rFonts w:ascii="Times New Roman" w:hAnsi="Times New Roman"/>
          <w:color w:val="000000" w:themeColor="text1"/>
          <w:sz w:val="16"/>
          <w:szCs w:val="16"/>
        </w:rPr>
      </w:pPr>
    </w:p>
    <w:p w14:paraId="0ABA117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21 января 1943 г. был ЗАПРОС ГЛАВНОГО КОНСТРУКТОРА ТАНКОВОГО ПРОИЗВОДСТВА КИРОВСКОГО ЗАВОДА НАЧАЛЬНИКУ БТУ КА ПО ВОПРОСУ ЗАМЕНЫ ПОДШИПНИКОВ В ТАНКАХ КВ № 53 </w:t>
      </w:r>
    </w:p>
    <w:p w14:paraId="1F3C37D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месяце 1942 г. на Кировском заводе НКТП, монтажно-технической конторой «Главподшипника» НКСМ проводилась совместно с конструкторским бюро завода работа по замене в танках КВ остродефицитных, весьма трудоемких в изготовлении роликовых сферических подшип</w:t>
      </w:r>
      <w:r w:rsidRPr="00D03F3E">
        <w:rPr>
          <w:rFonts w:ascii="Times New Roman" w:hAnsi="Times New Roman"/>
          <w:color w:val="000000" w:themeColor="text1"/>
          <w:sz w:val="16"/>
          <w:szCs w:val="16"/>
        </w:rPr>
        <w:softHyphen/>
        <w:t>ников на подшипники шариковые однорядные в следующих узлах:</w:t>
      </w:r>
    </w:p>
    <w:tbl>
      <w:tblPr>
        <w:tblW w:w="0" w:type="auto"/>
        <w:tblInd w:w="40" w:type="dxa"/>
        <w:tblLayout w:type="fixed"/>
        <w:tblCellMar>
          <w:left w:w="40" w:type="dxa"/>
          <w:right w:w="40" w:type="dxa"/>
        </w:tblCellMar>
        <w:tblLook w:val="0000" w:firstRow="0" w:lastRow="0" w:firstColumn="0" w:lastColumn="0" w:noHBand="0" w:noVBand="0"/>
      </w:tblPr>
      <w:tblGrid>
        <w:gridCol w:w="4022"/>
        <w:gridCol w:w="1987"/>
        <w:gridCol w:w="1997"/>
      </w:tblGrid>
      <w:tr w:rsidR="00860B4B" w:rsidRPr="00D03F3E" w14:paraId="54E58B54" w14:textId="77777777">
        <w:trPr>
          <w:trHeight w:val="278"/>
        </w:trPr>
        <w:tc>
          <w:tcPr>
            <w:tcW w:w="4022" w:type="dxa"/>
            <w:tcBorders>
              <w:top w:val="single" w:sz="6" w:space="0" w:color="auto"/>
              <w:left w:val="single" w:sz="6" w:space="0" w:color="auto"/>
              <w:bottom w:val="single" w:sz="6" w:space="0" w:color="auto"/>
              <w:right w:val="single" w:sz="6" w:space="0" w:color="auto"/>
            </w:tcBorders>
          </w:tcPr>
          <w:p w14:paraId="64368BB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99F0A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7BB2DB7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Установлено</w:t>
            </w:r>
          </w:p>
          <w:p w14:paraId="179B1E8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34F006D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Заменено</w:t>
            </w:r>
          </w:p>
          <w:p w14:paraId="7742B34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0600941" w14:textId="77777777">
        <w:trPr>
          <w:trHeight w:val="278"/>
        </w:trPr>
        <w:tc>
          <w:tcPr>
            <w:tcW w:w="4022" w:type="dxa"/>
            <w:tcBorders>
              <w:top w:val="single" w:sz="6" w:space="0" w:color="auto"/>
              <w:left w:val="single" w:sz="6" w:space="0" w:color="auto"/>
              <w:bottom w:val="single" w:sz="6" w:space="0" w:color="auto"/>
              <w:right w:val="single" w:sz="6" w:space="0" w:color="auto"/>
            </w:tcBorders>
          </w:tcPr>
          <w:p w14:paraId="051F073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 Сателлиты редуктора бортовой передачи</w:t>
            </w:r>
          </w:p>
          <w:p w14:paraId="12635E9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0931338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№3610-16 шт.</w:t>
            </w:r>
          </w:p>
          <w:p w14:paraId="3F93A0D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D8EDC5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№310- 16шт.</w:t>
            </w:r>
          </w:p>
          <w:p w14:paraId="0CA77C8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D88B8ED" w14:textId="77777777">
        <w:trPr>
          <w:trHeight w:val="269"/>
        </w:trPr>
        <w:tc>
          <w:tcPr>
            <w:tcW w:w="4022" w:type="dxa"/>
            <w:tcBorders>
              <w:top w:val="single" w:sz="6" w:space="0" w:color="auto"/>
              <w:left w:val="single" w:sz="6" w:space="0" w:color="auto"/>
              <w:bottom w:val="single" w:sz="6" w:space="0" w:color="auto"/>
              <w:right w:val="single" w:sz="6" w:space="0" w:color="auto"/>
            </w:tcBorders>
          </w:tcPr>
          <w:p w14:paraId="4F4FB26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Ведущий вал бортовой передачи</w:t>
            </w:r>
          </w:p>
          <w:p w14:paraId="3F7C885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27883B4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№3518 -4 шт.</w:t>
            </w:r>
          </w:p>
          <w:p w14:paraId="3057681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441FF6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№218-4 шт.</w:t>
            </w:r>
          </w:p>
          <w:p w14:paraId="12EF9DE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EF1699B" w14:textId="77777777">
        <w:trPr>
          <w:trHeight w:val="278"/>
        </w:trPr>
        <w:tc>
          <w:tcPr>
            <w:tcW w:w="4022" w:type="dxa"/>
            <w:tcBorders>
              <w:top w:val="single" w:sz="6" w:space="0" w:color="auto"/>
              <w:left w:val="single" w:sz="6" w:space="0" w:color="auto"/>
              <w:bottom w:val="single" w:sz="6" w:space="0" w:color="auto"/>
              <w:right w:val="single" w:sz="6" w:space="0" w:color="auto"/>
            </w:tcBorders>
          </w:tcPr>
          <w:p w14:paraId="512B1D0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Подвижная солнечная шестерня</w:t>
            </w:r>
          </w:p>
          <w:p w14:paraId="7E06B4C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6252C29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№3518-2 шт.</w:t>
            </w:r>
          </w:p>
          <w:p w14:paraId="1C00C60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64BA78F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№218 -2 шт.</w:t>
            </w:r>
          </w:p>
          <w:p w14:paraId="60C0C92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F495935" w14:textId="77777777">
        <w:trPr>
          <w:trHeight w:val="269"/>
        </w:trPr>
        <w:tc>
          <w:tcPr>
            <w:tcW w:w="4022" w:type="dxa"/>
            <w:tcBorders>
              <w:top w:val="single" w:sz="6" w:space="0" w:color="auto"/>
              <w:left w:val="single" w:sz="6" w:space="0" w:color="auto"/>
              <w:bottom w:val="single" w:sz="6" w:space="0" w:color="auto"/>
              <w:right w:val="single" w:sz="6" w:space="0" w:color="auto"/>
            </w:tcBorders>
          </w:tcPr>
          <w:p w14:paraId="6E6D3EF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Ведущий вал</w:t>
            </w:r>
          </w:p>
          <w:p w14:paraId="70166E6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2795BD2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№7308 - 1 шт.</w:t>
            </w:r>
          </w:p>
          <w:p w14:paraId="3687793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642BF6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№208 - 1 шт.</w:t>
            </w:r>
          </w:p>
          <w:p w14:paraId="49B491C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290D978" w14:textId="77777777">
        <w:trPr>
          <w:trHeight w:val="298"/>
        </w:trPr>
        <w:tc>
          <w:tcPr>
            <w:tcW w:w="8006" w:type="dxa"/>
            <w:gridSpan w:val="3"/>
            <w:tcBorders>
              <w:top w:val="single" w:sz="6" w:space="0" w:color="auto"/>
              <w:left w:val="single" w:sz="6" w:space="0" w:color="auto"/>
              <w:bottom w:val="single" w:sz="6" w:space="0" w:color="auto"/>
              <w:right w:val="single" w:sz="6" w:space="0" w:color="auto"/>
            </w:tcBorders>
          </w:tcPr>
          <w:p w14:paraId="2BF01EE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Итого заменено 22 роликоподшипника</w:t>
            </w:r>
          </w:p>
          <w:p w14:paraId="35DE0C7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9F398D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Замена подшипников произведена без изменений существующих деталей узлов танка.</w:t>
      </w:r>
    </w:p>
    <w:p w14:paraId="013AB46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Предварительные испытания работы в танках КВ рекомендованных шариковых подшипников вместо применяемых роликовых сферических дали весьма положительные результаты.</w:t>
      </w:r>
    </w:p>
    <w:p w14:paraId="44271CB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прилагаемого при этом отчета за №95 опытного завода №100 видно, что подопытный танк КВ прошел ряд серьезных испытаний в наитяжелых условиях работы механизмов танка, пройдя в общей сложности 1500 км без единой аварии с подшипниками.</w:t>
      </w:r>
    </w:p>
    <w:p w14:paraId="2B85A81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Учитывая, что применение в танках КВ шариковых подшипников вместо роликовых при крупно</w:t>
      </w:r>
      <w:r w:rsidRPr="00D03F3E">
        <w:rPr>
          <w:rFonts w:ascii="Times New Roman" w:hAnsi="Times New Roman"/>
          <w:color w:val="000000" w:themeColor="text1"/>
          <w:sz w:val="16"/>
          <w:szCs w:val="16"/>
        </w:rPr>
        <w:softHyphen/>
        <w:t>серийном производстве дает весьма большой экономический эффект и что предварительное испы</w:t>
      </w:r>
      <w:r w:rsidRPr="00D03F3E">
        <w:rPr>
          <w:rFonts w:ascii="Times New Roman" w:hAnsi="Times New Roman"/>
          <w:color w:val="000000" w:themeColor="text1"/>
          <w:sz w:val="16"/>
          <w:szCs w:val="16"/>
        </w:rPr>
        <w:softHyphen/>
        <w:t>тание их работы вполне себя оправдало. Кировский завод считает необходимым, для окончательного разрешения данного вопроса выпустить партию танков КВ (5-6 танков) на шариковых подшипниках с тем, чтобы можно было проверить их работу в боевых условиях, взяв подопытную партию танков под особый контроль.</w:t>
      </w:r>
    </w:p>
    <w:p w14:paraId="418F741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Ваше согласие просим подтвердить.</w:t>
      </w:r>
    </w:p>
    <w:p w14:paraId="3764A2F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Главный конструктор танкового производства Котин</w:t>
      </w:r>
    </w:p>
    <w:p w14:paraId="2ACCC21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11355а. Д. 3606. Л. 23. Подлинник (11403).</w:t>
      </w:r>
    </w:p>
    <w:p w14:paraId="0C3D9B9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876133" w14:textId="77777777" w:rsidR="00522209" w:rsidRPr="00D03F3E" w:rsidRDefault="0052220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21 января 1943 года на УЗТМ состоялось совещание, председательствовал на котором главный инженер завода М.Г. Умнягин. Темой стало улучшение конструкции СУ-35. От ГАУ КА на мероприятии присутствовал П.Ф. Соломонов, от КБ УЗТМ – главный конструктор Н.Д. Вернер и ведущий конструктор Н.В. Курин. В качестве первоочередной меры было принято решение увеличить объем боевого отделения. Это предполагалось сделать за счет увеличения его до полной габаритной ширины машины. Кроме того, менялись сиденья командира и замкового, вводилась горизонтальная укладка снарядов. Серьезной переделке подвергалась орудийная установка: менялась ее бронировка, само орудие ставилось на рамку, появлялся телескопический прицел.</w:t>
      </w:r>
    </w:p>
    <w:p w14:paraId="0EA8BDD8" w14:textId="77777777" w:rsidR="00522209" w:rsidRPr="00D03F3E" w:rsidRDefault="0052220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На тот момент про использование У-11 еще не упоминалось. Но стало ясно, что отвергнутая система снова возвращается. Правда, теперь уже в модернизированном виде. Дело в том, что за прошедшее время проектирование танковых систем перешло к КБ завода №9, главным конструктором которого был Ф.Ф. Петров. Непосредственное руководство работами по системе, получившей обозначение Д-11, вел А.Н. Булашев, имевший большой опыт проектирования систем для САУ.</w:t>
      </w:r>
    </w:p>
    <w:p w14:paraId="7A87B28D" w14:textId="77777777" w:rsidR="00522209" w:rsidRPr="00D03F3E" w:rsidRDefault="0052220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Переработанная У-11 несколько напоминала установку, которая до того проектировалась для САУ ЗИК-10. По сравнению с самоходной версией У-11 новая система лишилась лотка, появились ограждение для орудия и телескопический прицел. Также в конструкцию системы были внесены некоторые упрощения. Переделки внедрялись при наличии плотной кооперации с КБ УЗТМ, которое, свою очередь, работало над проектом модернизации СУ-35. Ведущим инженером машины, как и в случае с У-35, оставался Курин (17689).</w:t>
      </w:r>
    </w:p>
    <w:p w14:paraId="42D9B612" w14:textId="77777777" w:rsidR="00522209" w:rsidRPr="00D03F3E" w:rsidRDefault="00522209" w:rsidP="00D03F3E">
      <w:pPr>
        <w:pStyle w:val="12a"/>
        <w:shd w:val="clear" w:color="auto" w:fill="auto"/>
        <w:spacing w:after="0" w:line="240" w:lineRule="auto"/>
        <w:jc w:val="both"/>
        <w:rPr>
          <w:color w:val="000000" w:themeColor="text1"/>
          <w:sz w:val="16"/>
          <w:szCs w:val="16"/>
        </w:rPr>
      </w:pPr>
    </w:p>
    <w:p w14:paraId="0F58A9AE" w14:textId="77777777" w:rsidR="00FD630D" w:rsidRPr="00D03F3E" w:rsidRDefault="00FD630D" w:rsidP="00D03F3E">
      <w:pPr>
        <w:pStyle w:val="1151"/>
        <w:shd w:val="clear" w:color="auto" w:fill="auto"/>
        <w:spacing w:before="0" w:line="240" w:lineRule="auto"/>
        <w:rPr>
          <w:rStyle w:val="771"/>
          <w:rFonts w:ascii="Times New Roman" w:hAnsi="Times New Roman" w:cs="Times New Roman"/>
          <w:color w:val="0070C0"/>
          <w:sz w:val="16"/>
          <w:szCs w:val="16"/>
        </w:rPr>
      </w:pPr>
      <w:r w:rsidRPr="00D03F3E">
        <w:rPr>
          <w:rStyle w:val="761"/>
          <w:rFonts w:ascii="Times New Roman" w:hAnsi="Times New Roman" w:cs="Times New Roman"/>
          <w:color w:val="0070C0"/>
          <w:sz w:val="16"/>
          <w:szCs w:val="16"/>
        </w:rPr>
        <w:t>21 января 1943 года в Свердловске состоялось техническое совещание, темой которого стало устранение недостатков и проведение «большой модернизации» СУ-35. Так начались работы по СУ-35М, позже пере</w:t>
      </w:r>
      <w:r w:rsidRPr="00D03F3E">
        <w:rPr>
          <w:rStyle w:val="771"/>
          <w:rFonts w:ascii="Times New Roman" w:hAnsi="Times New Roman" w:cs="Times New Roman"/>
          <w:color w:val="0070C0"/>
          <w:sz w:val="16"/>
          <w:szCs w:val="16"/>
        </w:rPr>
        <w:t>именованной в СУ-122М. Впрочем, расширен</w:t>
      </w:r>
      <w:r w:rsidRPr="00D03F3E">
        <w:rPr>
          <w:rStyle w:val="771"/>
          <w:rFonts w:ascii="Times New Roman" w:hAnsi="Times New Roman" w:cs="Times New Roman"/>
          <w:color w:val="0070C0"/>
          <w:sz w:val="16"/>
          <w:szCs w:val="16"/>
        </w:rPr>
        <w:softHyphen/>
        <w:t>ное боевое отделение так и не получила ни СУ-122, ни СУ-85, ни СУ-100</w:t>
      </w:r>
      <w:r w:rsidRPr="00D03F3E">
        <w:rPr>
          <w:rStyle w:val="771"/>
          <w:rFonts w:ascii="Times New Roman" w:hAnsi="Times New Roman" w:cs="Times New Roman"/>
          <w:color w:val="0070C0"/>
          <w:sz w:val="16"/>
          <w:szCs w:val="16"/>
          <w:lang w:val="ru-RU"/>
        </w:rPr>
        <w:t xml:space="preserve"> (19892)</w:t>
      </w:r>
      <w:r w:rsidRPr="00D03F3E">
        <w:rPr>
          <w:rStyle w:val="771"/>
          <w:rFonts w:ascii="Times New Roman" w:hAnsi="Times New Roman" w:cs="Times New Roman"/>
          <w:color w:val="0070C0"/>
          <w:sz w:val="16"/>
          <w:szCs w:val="16"/>
        </w:rPr>
        <w:t>.</w:t>
      </w:r>
    </w:p>
    <w:p w14:paraId="577235BA" w14:textId="77777777" w:rsidR="00FD630D" w:rsidRPr="00D03F3E" w:rsidRDefault="00FD630D" w:rsidP="00D03F3E">
      <w:pPr>
        <w:pStyle w:val="1151"/>
        <w:shd w:val="clear" w:color="auto" w:fill="auto"/>
        <w:spacing w:before="0" w:line="240" w:lineRule="auto"/>
        <w:rPr>
          <w:rFonts w:ascii="Times New Roman" w:hAnsi="Times New Roman" w:cs="Times New Roman"/>
          <w:color w:val="0070C0"/>
          <w:sz w:val="16"/>
          <w:szCs w:val="16"/>
        </w:rPr>
      </w:pPr>
    </w:p>
    <w:p w14:paraId="352AAB47" w14:textId="77777777" w:rsidR="00522209" w:rsidRPr="00D03F3E" w:rsidRDefault="00522209" w:rsidP="00D03F3E">
      <w:pPr>
        <w:pStyle w:val="ae"/>
        <w:shd w:val="clear" w:color="auto" w:fill="FFFFFF"/>
        <w:spacing w:before="0" w:after="0"/>
        <w:jc w:val="both"/>
        <w:rPr>
          <w:color w:val="000000" w:themeColor="text1"/>
          <w:sz w:val="16"/>
          <w:szCs w:val="16"/>
        </w:rPr>
      </w:pPr>
      <w:r w:rsidRPr="00D03F3E">
        <w:rPr>
          <w:color w:val="000000" w:themeColor="text1"/>
          <w:sz w:val="16"/>
          <w:szCs w:val="16"/>
        </w:rPr>
        <w:t>С 21 января по 15 марта 1943 года проходили зимние испытания танка М3, в ходе которых машина прошла 1672 километра, из них 248 — по шоссе, 1059 — по просёлку и 365 — по заснеженной целине. Как ни странно, зимой максимальная скорость достигла 36 км/ч. Машина тестировалась как со шпорами, так и без них. При установке шпор скорость заметно падала, но улучшалась проходимость. Одновременно резко рос расход топлива, который при установке 78 шпор даже но шоссе возрастал до 582 литров на 100 километров, а по бездорожью достигал уже совсем неприличных 965 литров на 100 километров.</w:t>
      </w:r>
    </w:p>
    <w:p w14:paraId="40F99B5C" w14:textId="77777777" w:rsidR="00522209" w:rsidRPr="00D03F3E" w:rsidRDefault="00522209"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зимних условиях резинометаллические траки вели себя ещё хуже, чем летом и весной. Даже с шестью шпорами на ленту максимальный угол преодолеваемого подъёма составил всего 16 градусов. При установке 78 шпор на ленту угол преодолеваемого подъёма увеличился незначительно – до 21 градуса. При этом увеличение расхода топлива оказывалось очень высоким. Предельный угол движения по заснеженным косогорам составил 16 градусов с 6 шпорами и 22 градуса с 78 шпорами на каждой ленте.</w:t>
      </w:r>
    </w:p>
    <w:p w14:paraId="42C9E6B9" w14:textId="77777777" w:rsidR="00522209" w:rsidRPr="00D03F3E" w:rsidRDefault="00522209"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Впрочем, не всё было настолько плохо. При езде по заснеженной целине максимальная преодолеваемая глубина снега составила 80 см, то есть на уровне КВ-1. Снег глубиной 30-50 см танк преодолевал на 2-й передаче. Для предотвращения налипания снега на гусеницу специалисты полигона разработали снегоочиститель, который крепился перед ленивцем.</w:t>
      </w:r>
    </w:p>
    <w:p w14:paraId="56A519ED" w14:textId="77777777" w:rsidR="00522209" w:rsidRPr="00D03F3E" w:rsidRDefault="00522209" w:rsidP="00D03F3E">
      <w:pPr>
        <w:pStyle w:val="ae"/>
        <w:shd w:val="clear" w:color="auto" w:fill="FFFFFF"/>
        <w:spacing w:before="0" w:after="0"/>
        <w:jc w:val="both"/>
        <w:rPr>
          <w:color w:val="000000" w:themeColor="text1"/>
          <w:sz w:val="16"/>
          <w:szCs w:val="16"/>
        </w:rPr>
      </w:pPr>
      <w:r w:rsidRPr="00D03F3E">
        <w:rPr>
          <w:color w:val="000000" w:themeColor="text1"/>
          <w:sz w:val="16"/>
          <w:szCs w:val="16"/>
        </w:rPr>
        <w:t>Для испытания по преодолению снежной преграды был сооружён снежный вал высотой 2 метра и длиной 10 метров. Пробить его удалось с 6 попыток – нормальный результат для подобного танка.</w:t>
      </w:r>
    </w:p>
    <w:p w14:paraId="16E08752" w14:textId="77777777" w:rsidR="00522209" w:rsidRPr="00D03F3E" w:rsidRDefault="00522209" w:rsidP="00D03F3E">
      <w:pPr>
        <w:pStyle w:val="ae"/>
        <w:shd w:val="clear" w:color="auto" w:fill="FFFFFF"/>
        <w:spacing w:before="0" w:after="0"/>
        <w:jc w:val="both"/>
        <w:rPr>
          <w:color w:val="000000" w:themeColor="text1"/>
          <w:sz w:val="16"/>
          <w:szCs w:val="16"/>
        </w:rPr>
      </w:pPr>
      <w:r w:rsidRPr="00D03F3E">
        <w:rPr>
          <w:color w:val="000000" w:themeColor="text1"/>
          <w:sz w:val="16"/>
          <w:szCs w:val="16"/>
        </w:rPr>
        <w:t>Испытатели рекомендовали на марше ставить по 6-8 шпор на каждую ленту, а полный комплект использовать только на сильно пересечённой местности. Машину признали вполне пригодной к эксплуатации в зимних условиях. Вела она себя как минимум не хуже других иностранных танков (17705).</w:t>
      </w:r>
    </w:p>
    <w:p w14:paraId="3EB40FAF" w14:textId="77777777" w:rsidR="00522209" w:rsidRPr="00D03F3E" w:rsidRDefault="00522209" w:rsidP="00D03F3E">
      <w:pPr>
        <w:pStyle w:val="12a"/>
        <w:shd w:val="clear" w:color="auto" w:fill="auto"/>
        <w:spacing w:after="0" w:line="240" w:lineRule="auto"/>
        <w:jc w:val="both"/>
        <w:rPr>
          <w:color w:val="000000" w:themeColor="text1"/>
          <w:sz w:val="16"/>
          <w:szCs w:val="16"/>
        </w:rPr>
      </w:pPr>
    </w:p>
    <w:p w14:paraId="1CCA7D93"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F40317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B58900"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5B55B3BE"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21 января наши войска в районе Сталинграда, южнее Воронежа, на Северном Кавказе, в районе Нижнего Дона, Северного Донца и южнее Ладожскогоозера продолжали бои на прежних направлениях.</w:t>
      </w:r>
    </w:p>
    <w:p w14:paraId="01DD6BD9"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Сталинграда бойцы Н-ской части, действующей западнее города, захватили сильно укреплённый узел обороны противника. На поле боя осталось до 300 вражеских трупов. Взято в плен 96 немецких солдат и офицеров. Захвачены трофеи, в том числе 7 танков, 13 орудий, 39 пулемётов и 2 радиостанции.</w:t>
      </w:r>
    </w:p>
    <w:p w14:paraId="267F25EC"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Южном фронте наши войска, преодолевая сопротивление противника, продолжали наступление. Немцы особенно упорно обороняли железнодорожную станцию и город Пролетарская. Здесь были сосредоточены полк СС «Германия», остатки различных разбитых немецких частей, много артиллерии, танков и до двух батарей шестиствольных миномётов. Почти трое суток днём и ночью шли бои за Пролетарскую. Вчера наши части ворвались в город и на станцию, в уличном бою разгромили врага и отбросили его остатки за Маныч. На другом участке Н-ская гвардейская часть, продвигаясь вперёд, заняла два населённых пункта. Захвачены артиллерийская батарея и 9 пулемётов. Взяты пленные.</w:t>
      </w:r>
    </w:p>
    <w:p w14:paraId="76DE8A27"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с боями продвигались вперёд и заняли ряд населённых пунктов. На одном участке советские подразделения уничтожили 400 гитлеровцев и взяли 190 пленных. Н-ская гвардейская часть овладела тремя населёнными пунктами и захватила 3 орудия, 17 пулемётов, 392 винтовки, 137 тысяч патронов, 4 тысячи снарядов и мин. При занятии города Каменска захвачены три эшелона с автомашинами, склады с военным имуществом и продовольствием, много вагонов, паровозов и другие трофеи.</w:t>
      </w:r>
    </w:p>
    <w:p w14:paraId="5266EC95"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Воронежского фронта продолжали вести наступательные операции, и частью сил сжимали кольцо вокруг окружённых вражеских дивизий. Н-ская часть, преследуя противника, уничтожила более 200 гитлеровцев и взяла в плен 360 вражеских солдат и офицеров. Захвачены танк, 4 противотанковых орудия, 60 подвод с воинским грузом и 10 мотоциклов. На другом участке после непродолжительного боя солдаты и офицеры венгерского батальона сложили оружие и сдались в плен.</w:t>
      </w:r>
    </w:p>
    <w:p w14:paraId="518EF80E"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сломив сопротивление противника, заняли несколько населённых пунктов. Бойцы Н-ской гвардейской части переправились через реку, зашли немцам в тыл и внезапно атаковали их. В завязавшемся бою противник потерял только убитыми свыше 300 солдат и офицеров. Сто немцев взяты в плен. Захвачены 40 орудий, 14 шестиствольных миномётов, 180 пулемётов и другие трофеи.</w:t>
      </w:r>
    </w:p>
    <w:p w14:paraId="74CF0873"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Три отряда ставропольских партизан, взаимодействуя с наступающими частями Красной Армии, истребили немецкие гарнизоны в Левокумском и Арзгирском районах. Партизаны уничтожили 117 и взяли в плен 87 немецких солдат и офицеров. Захвачено3 пулемёта, 3 миномёта, 214 винтовок и автоматов, 74 тысячи патронов. Кроме того, отбиты у немцев награбленные ими в колхозах и у населения 3.720 головрогатого скота, 47 отар овец, 317 лошадей и 80 тракторов.</w:t>
      </w:r>
    </w:p>
    <w:p w14:paraId="45841C0A"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Французские патриоты с каждым днём усиливают сопротивление врагу. В районеСаннуа свободные стрелки обстреляли поезд, в котором ехали немецкие солдаты. В Лориане группа свободных стрелков сожгла вещевой склад немецкой организации «Тодт». На железнодорожной линии Бетюн—Лан пущен под откос эшелон с военными грузами. В результате крушения разбито 40 вагонов.» (15016).</w:t>
      </w:r>
    </w:p>
    <w:p w14:paraId="783473A3" w14:textId="77777777" w:rsidR="0071306F" w:rsidRPr="00D03F3E" w:rsidRDefault="0071306F" w:rsidP="00D03F3E">
      <w:pPr>
        <w:spacing w:after="0" w:line="240" w:lineRule="auto"/>
        <w:jc w:val="both"/>
        <w:rPr>
          <w:rFonts w:ascii="Times New Roman" w:hAnsi="Times New Roman"/>
          <w:color w:val="000000" w:themeColor="text1"/>
          <w:sz w:val="16"/>
          <w:szCs w:val="16"/>
        </w:rPr>
      </w:pPr>
    </w:p>
    <w:p w14:paraId="0F452369"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6A6C3BE6"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января войска Закавказского фронта в результате упорного боя овладели городом Ставрополь, районными центрами — Тахта, Труновское, Кугульта, Старо-Марьевка.</w:t>
      </w:r>
    </w:p>
    <w:p w14:paraId="5542CEB4"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Воронежского фронта, продолжая развивать наступление, заняли районныйцентр Синие Липяги, железнодорожную станцию Голофеевка и ряд населённыхпунктов.</w:t>
      </w:r>
    </w:p>
    <w:p w14:paraId="7F00BBA9"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Южного, Волховского и Ленинградского фронтов вели бояна прежних направлениях.</w:t>
      </w:r>
    </w:p>
    <w:p w14:paraId="5A2C2E4A"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районе Сталинграда наши войска продолжали истреблять окружённые немецко-фашистские дивизии. Северо-западнее, города советские части уничтожили 1.400 немецких солдат и офицеров. Взято 70 пленных. Захвачены 29 орудий, 35 пулемётов, 15 миномётов, 251 автомашина и другие трофеи. В городе наши штурмовые отряды выбили гитлеровцев из ряда укреплений.</w:t>
      </w:r>
    </w:p>
    <w:p w14:paraId="6BF8BC4C"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Южном фронте наши войска, преодолевая упорное сопротивление противника, продвигались вперёд. Бойцы Н-ской части отразили контратаку противника и на плечах отступавших немцев ворвались в населённый пункт. После короткого боя гитлеровцы были выбиты из населенного пункта, оставив 6 подбитых танков и 3 самоходных орудия. Взято 45 пленных. На другом участке разгромлены две роты пехоты противника.</w:t>
      </w:r>
    </w:p>
    <w:p w14:paraId="405CB3A2"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Юго-Западном фронте наши войска продолжали наступление и заняли несколько населённых пунктов. Уничтожено 5 немецких танков, 2 орудия и свыше 200 автомашин. На поле боя остались сотни вражеских трупов. На другом участке немцы бросили в контратаку 24 танка и батальон пехоты. Наши бойцы мощным огнём отсекли немецкую пехоту от танков и истребили её. В это же время артиллеристы и бронебойщики подбили и сожгли 12 вражеских танков.</w:t>
      </w:r>
    </w:p>
    <w:p w14:paraId="3F6429CA"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Воронежского фронта продолжали наступление на прежних направлениях, а частью сил уничтожали остатки окружённых частей противника. За истекшие сутки советские части освободили от немецких захватчиков ряд населённых пунктов. Наши танковые и моторизованные подразделения в бою за один населённый пункт уничтожили до батальона немецких солдат и офицеров и взяли 480 пленных. Захвачено 16 орудий, 49 пулемётов, 14 миномётов, 50 автомашин и 100 подвод с военным грузом. На другом участке бойцы Н-ской части истребили более 250 венгров и заняли населённый пункт. Захвачено 6 продовольственных складов, 6 орудий и много боеприпасов.</w:t>
      </w:r>
    </w:p>
    <w:p w14:paraId="00A3FF5B"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с боями продвигались вперёд. Танкисты под командованием тов. Егорова смяли боевые порядки немцев, ворвались в населённыйпункт и разгромили штаб немецкого пехотного полка. На другом участке артиллеристы части, где командиром тов.Кривошеев, обнаружили большую колонну вражеских автомашин. Несколькими выстрелами были разбиты передние машины, и на шоссе образовалась пробка. Артиллеристы открыли ураганный огонь и уничтожили всю колонну автомашин противника.</w:t>
      </w:r>
    </w:p>
    <w:p w14:paraId="2E87F8C9"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Орловской области, провёл несколько успешных операций. Советские патриоты истребили около 400 немецких солдат и офицеров. Кроме того, партизаны уничтожили немецкий самолёт, паровоз, несколько вагонов и радиостанцию. Группа орловских партизан из отряда «Смерть немецким оккупантам» пустила под откос два немецких воинских эшелона. Разбито 2 паровоза и 34 вагона. Во время крушения убито и ранено много гитлеровцев.</w:t>
      </w:r>
    </w:p>
    <w:p w14:paraId="31600FBD"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станице Скосырской, Ростовской области: «Перед отступлением из станицы немцы учинили кровавую расправу над мирным населением. Гитлеровские бандиты расстреляли ученика 6-го класса средней школы Григория Пашутина, сотрудника больницы Леонида Перепёлкина, тракториста Христофора Шилова, председателя колхоза ЕгораХаритонова, инвалида Никанора Лютина, Александра Широкораденко, Андрея Шилова, Александра Семёнова и других. В местной больнице находились больные советские граждане. Фашистские изверги погнали их к реке и расстреляли. Часть больных не могла двигаться и осталась в больнице. Гитлеровцы сожгли больницу вместе с находившимися в ней больными гражданами». Акт подписали: капитан Митрофанов, капитан Ковтунов, военфельдшер Ткаленко, младший лейтенант Колесников, жители станицы Скосырской М.Харитонова, М.Воронина, А.Шевченко, С.Воронина и Л.Шилова.».</w:t>
      </w:r>
    </w:p>
    <w:p w14:paraId="4D488709"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72713D65"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на юге заняли город Ставрополь.</w:t>
      </w:r>
    </w:p>
    <w:p w14:paraId="7D4D3B08"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января войска Закавказского фронта в результате упорного боя овладелигородом Ставрополь. Захвачены пленные и трофеи.» (15016).</w:t>
      </w:r>
    </w:p>
    <w:p w14:paraId="16DE9F1D" w14:textId="77777777" w:rsidR="0071306F" w:rsidRPr="00D03F3E" w:rsidRDefault="0071306F" w:rsidP="00D03F3E">
      <w:pPr>
        <w:spacing w:after="0" w:line="240" w:lineRule="auto"/>
        <w:jc w:val="both"/>
        <w:rPr>
          <w:rFonts w:ascii="Times New Roman" w:hAnsi="Times New Roman"/>
          <w:color w:val="000000" w:themeColor="text1"/>
          <w:sz w:val="16"/>
          <w:szCs w:val="16"/>
        </w:rPr>
      </w:pPr>
    </w:p>
    <w:p w14:paraId="758AE317" w14:textId="77777777" w:rsidR="00522209" w:rsidRPr="00D03F3E" w:rsidRDefault="0052220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21 января 1943 48-й гвардейский танковый полк на Черчилях поддерживал наступление 216-го и 218-го стрелковых полков на станцию Гумрак. Итогом первого дня боев стал захват хутора Гончара, трофеями стали 5 вражеских танков, 70 орудий, 15 минометов, 20 мотоциклов и около 800 автомашин. Собственные потери составили 4 поврежденных танка, 1 человек был убит, трое получили 3 ранения.</w:t>
      </w:r>
    </w:p>
    <w:p w14:paraId="6C36D51A" w14:textId="77777777" w:rsidR="00522209" w:rsidRPr="00D03F3E" w:rsidRDefault="0052220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На следующий день полк атаковал немецкие позиции на окраинах Гумрака. Потеряв 2 танка сгоревшими и 5 подбитыми, 48-й гв. тп отошел на исходные позиции. 23 января ушло на ремонт ранее подбитых танков, а на следующий день атака повторилась. На сей раз полк совместно с 216-м гвардейским стрелковым полком смог выполнить задачу и захватил Гумрак. Развивая успех, «Черчилли» гнали немцев еще 9 километров.</w:t>
      </w:r>
    </w:p>
    <w:p w14:paraId="0E9A2815" w14:textId="77777777" w:rsidR="00522209" w:rsidRPr="00D03F3E" w:rsidRDefault="0052220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29 января полк придали 93-му гвардейскому стрелковому полку, новой задачей стала очистка Сталинграда от немецких войск. Завязались уличные бои, в которых «Черчилли» нередко давили немецкие орудия гусеницами. За 30 января полк уничтожил 4 немецких танка, 20 орудий, 45 пулеметов и около 100 автомашин. Похожим образом полк действовал вплоть до 1 февраля. Было захвачено 9 танков, 50 самолетов, 1900 автомашин и 90 орудий. Всего во время боев за Сталинград полк потерял 12 человек убитыми и 29 ранеными. Потери в матчасти оказались невысокими: безвозвратно было потеряно всего 2 танка, сгоревших в ходе первой атаки на Гумрак. Еще 6 танков требовали капитального ремонта, 13 – текущего ремонта. С учетом того, насколько тяжело проходило освоение этих танков в войсках, такое большое количество машин, требующих текущего ремонта, не выглядит удивительным (17691).</w:t>
      </w:r>
    </w:p>
    <w:p w14:paraId="4B0054D1" w14:textId="77777777" w:rsidR="00522209" w:rsidRPr="00D03F3E" w:rsidRDefault="00522209" w:rsidP="00D03F3E">
      <w:pPr>
        <w:spacing w:after="0" w:line="240" w:lineRule="auto"/>
        <w:jc w:val="both"/>
        <w:rPr>
          <w:rFonts w:ascii="Times New Roman" w:hAnsi="Times New Roman"/>
          <w:color w:val="000000" w:themeColor="text1"/>
          <w:sz w:val="16"/>
          <w:szCs w:val="16"/>
        </w:rPr>
      </w:pPr>
    </w:p>
    <w:p w14:paraId="66C2AFB0"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января</w:t>
      </w:r>
      <w:r w:rsidRPr="00D03F3E">
        <w:rPr>
          <w:rFonts w:ascii="Times New Roman" w:hAnsi="Times New Roman"/>
          <w:color w:val="000000" w:themeColor="text1"/>
          <w:sz w:val="16"/>
          <w:szCs w:val="16"/>
        </w:rPr>
        <w:t xml:space="preserve"> в 1943 году Завершилась Великолукская наступательная операция, проводимая частями и соединениями Калининского фронта (генерал-полковник М.А.Пуркаев) В ходе операции, начавшейся 25 ноября 1941 г., освобожден город Великие Луки и нанесен значительный урон оперативной группировке немецких армий «Центр» (15016).</w:t>
      </w:r>
    </w:p>
    <w:p w14:paraId="55DAE401" w14:textId="77777777" w:rsidR="0071306F" w:rsidRPr="00D03F3E" w:rsidRDefault="0071306F" w:rsidP="00D03F3E">
      <w:pPr>
        <w:spacing w:after="0" w:line="240" w:lineRule="auto"/>
        <w:jc w:val="both"/>
        <w:rPr>
          <w:rFonts w:ascii="Times New Roman" w:hAnsi="Times New Roman"/>
          <w:color w:val="000000" w:themeColor="text1"/>
          <w:sz w:val="16"/>
          <w:szCs w:val="16"/>
        </w:rPr>
      </w:pPr>
    </w:p>
    <w:p w14:paraId="4969D7E0"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января</w:t>
      </w:r>
      <w:r w:rsidRPr="00D03F3E">
        <w:rPr>
          <w:rFonts w:ascii="Times New Roman" w:hAnsi="Times New Roman"/>
          <w:color w:val="000000" w:themeColor="text1"/>
          <w:sz w:val="16"/>
          <w:szCs w:val="16"/>
        </w:rPr>
        <w:t xml:space="preserve"> в 1943 году советские войска захватывают немецкую базу в Гумроке, последнюю, которая снабжала окруженные под Сталинградом войска (15016).</w:t>
      </w:r>
    </w:p>
    <w:p w14:paraId="7C8B7A39" w14:textId="77777777" w:rsidR="0071306F" w:rsidRPr="00D03F3E" w:rsidRDefault="0071306F" w:rsidP="00D03F3E">
      <w:pPr>
        <w:spacing w:after="0" w:line="240" w:lineRule="auto"/>
        <w:jc w:val="both"/>
        <w:rPr>
          <w:rFonts w:ascii="Times New Roman" w:hAnsi="Times New Roman"/>
          <w:color w:val="000000" w:themeColor="text1"/>
          <w:sz w:val="16"/>
          <w:szCs w:val="16"/>
        </w:rPr>
      </w:pPr>
    </w:p>
    <w:p w14:paraId="0DDCD2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января 1943 ЗакФ освободил Ставрополь (3398,39).</w:t>
      </w:r>
    </w:p>
    <w:p w14:paraId="6B7E5AB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6A71F9"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января 1943 советские войска захватили немецкую базу в Гумроке, последнюю, которая снабжала окруженных под Сталинградом войска (4962).</w:t>
      </w:r>
    </w:p>
    <w:p w14:paraId="33A33B7E"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2E290B"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января 1943 вышло Постановление ГКО № 2779 [О разрешении использовать для пополнения ДА бывших военнопленных и окруженцев после их фильтрации в армейских и фронтовых сборно-пересыльных пунктах.] (7077, 1).</w:t>
      </w:r>
    </w:p>
    <w:p w14:paraId="3DE93D6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E63B71"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1683246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189920" w14:textId="77777777" w:rsidR="003B66C2" w:rsidRPr="00D03F3E" w:rsidRDefault="003B66C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января 1943 г. Акт Правительственной комиссии по приемке спецобъектов № 1 и № 2 Строительства № 1 Метростроя в г. Куйбышеве (в приложениях: технические проекты, рабочие и исполнительные чертежи, материалы по оценке состояния сооружений и технико-экономическим показателям сооружений).</w:t>
      </w:r>
    </w:p>
    <w:p w14:paraId="0AB73752" w14:textId="77777777" w:rsidR="003B66C2" w:rsidRPr="00D03F3E" w:rsidRDefault="003B66C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Подлинник (рассекречено).</w:t>
      </w:r>
    </w:p>
    <w:p w14:paraId="31D1FE56" w14:textId="77777777" w:rsidR="003B66C2" w:rsidRPr="00D03F3E" w:rsidRDefault="003B66C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Приложения к Акту Правительственной комиссии по приемке спецобъектов № 1 и № 2 Строительства № 1 Метростроя в г. Куйбышеве (в приложениях: протоколы заседаний Правительственной комиссии и ее секций, доклады главного инженера и начальника лабораторно-исследовательских работ Строительства № 1, проектные задания по объектам № 1 и № 2, технико-экономические показатели по объектам № 1 и № 2, сметно-финансовый расчет на недоделки и гарантийный ремонт, штатные соображения по эксплуатации объектов № 1 и № 2, перечень материалов, представленных на рассмотрение Правительственной комиссии).</w:t>
      </w:r>
    </w:p>
    <w:p w14:paraId="6016EFE6" w14:textId="77777777" w:rsidR="003B66C2" w:rsidRPr="00D03F3E" w:rsidRDefault="003B66C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Подлинник (рассекречено).</w:t>
      </w:r>
    </w:p>
    <w:p w14:paraId="6AFE2F68" w14:textId="77777777" w:rsidR="003B66C2" w:rsidRPr="00D03F3E" w:rsidRDefault="003B66C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РГАЭ ф. 1884, оп. 49, д. 1834, лл. 1 – 24. (18959).</w:t>
      </w:r>
    </w:p>
    <w:p w14:paraId="346D955A" w14:textId="77777777" w:rsidR="003B66C2" w:rsidRPr="00D03F3E" w:rsidRDefault="003B66C2" w:rsidP="00D03F3E">
      <w:pPr>
        <w:spacing w:after="0" w:line="240" w:lineRule="auto"/>
        <w:jc w:val="both"/>
        <w:rPr>
          <w:rFonts w:ascii="Times New Roman" w:hAnsi="Times New Roman"/>
          <w:color w:val="000000" w:themeColor="text1"/>
          <w:sz w:val="16"/>
          <w:szCs w:val="16"/>
        </w:rPr>
      </w:pPr>
    </w:p>
    <w:p w14:paraId="6B077F2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января 1943 приказом № 023 за подписью Круглова вводились в действие новые “дифференцированные нормы и порядок питания заключенных”, - теперь начальникам лагерей, УИТЛК и ОИТК УНКВД и республиканских НКВД разрешалось “улучшить питание сверх установленных норм для заключенных и бригад, работающих стахановскими методами труда и дающих особовысокие показатели в работе, а также на восстановление ослабленных контингентов”, за счет “особого фонда продовольствия”, выделяемого ГУЛАГом, а также децентрализованных заготовок. Заключенным, перевыполняющим производственные нормы, теперь полагалось дополнительное “премблюдо”, им разрешалось покупать махорку и табак.</w:t>
      </w:r>
    </w:p>
    <w:p w14:paraId="19A6C7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заключенных, вырабатывающих до 80 процентов производственных норм на основных тяжелых работах, для вырабатывающих до 99 процентов норм на всех остальных работах, для лагобслуги и санобслуги, для находящихся под следствием, для инвалидов не работающих и работающих, но не выполняющих установленных для них производственных норм, вводилась норма № 1 (на человека в день): мука подболточная - 5 грамм, крупа-макароны - 50, мясо-мясопродукты - 8, рыба-рыбопродукты - 45, жиры - 6, картофель-овощи - 320, сахар - 5, чай суррогатный - 2, томат-пюре - 10, перец стручковый - 0,1, лавровый лист - 0,1, соль - 8 грамм.</w:t>
      </w:r>
    </w:p>
    <w:p w14:paraId="2E36BD4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вырабатывающих свыше 80 процентов производственных норм на основных тяжелых работах, для вырабатывающих выше 99 процентов на остальных работах, для инженерно-технических работников, врачей, агрономов, культвоспитработников, административного и счетно-бухгалтерского персонала, санитаров заразных палат, кладовщиков, для курсантов “с отрывом от производства на время нахождения на курсах”, для заключенных, исполняющих обязанности стрелковой и пожарной охраны, для бригадиров и десятников, для беременных женщин и кормящих грудью матерей, для ассенизаторов и дезинфекторов вводилась норма № 2: мука подболточная - 10 грамм, крупа-макароны - 77, мясо-мясопродукты - 19, рыба-рыбопродукты - 62, жиры - 12, картофель-овощи - 400, сахар - 10, чай суррогатный - 2, томат-пюре - 10, перец стручковый - 0,1, лавровый лист - 0,1, соль - 10 грамм.</w:t>
      </w:r>
    </w:p>
    <w:p w14:paraId="05088DF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Дополнительные премиальные блюда, выдававшиеся занятым на основных работах заключенным, перевыполняющим нормы выработки (на тяжелых работах - на 100 и более процентов, на остальных работах - на 150 и более), включали: муку подболточную - 20 грамм, крупа-макароны - 20, мясо-мясопродукты - 8, рыбу-рыбопродукты - 5, жиры - 5, картофель-овощи - 80, сахар - 1, томат-пюре - 5, соль - 4 грамма.</w:t>
      </w:r>
    </w:p>
    <w:p w14:paraId="343AD42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Хлеб подлежал выдаче по следующим нормам: вырабатывающим на основных тяжелых работах до 50 процентов - 400 грамм, от 50 до 80 процентов - 500, от 80 до 100 процентов - 600, от 100 до 125 процентов - 700, от 125 процентов и выше - 800 грамм.</w:t>
      </w:r>
    </w:p>
    <w:p w14:paraId="4FEAE34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Нормы штрафного пайка для отказчиков, симулянтов, для находящихся в штрафных изоляторах без вывода на работу была следующей: хлеб ржаной - 300 грамм, мука подболточная - 5, крупа-макароны - 20, рыба-рыбопродукты - 25, жиры - 3, картофель-овощи - 250, соль - 7. Содержавшимся в карцерах полагалось 300 грамм хлеба и кипяток каждый день и раз в три дня - жидкая горячая пища по норме для отказчиков.</w:t>
      </w:r>
    </w:p>
    <w:p w14:paraId="011E946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 пайка, выдаваемого “на путь следования освобожденным из лагерей и колоний”, была следующей: хлеб ржаной - 450 грамм, сельдь - 100 грамм, сахар - 15, чай суррогатный - 3.</w:t>
      </w:r>
    </w:p>
    <w:p w14:paraId="0D2F28C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сравнения приведем нормы питания для красноармейцев и начсостава боевых частей Действующей армии, утвержденные приказом Наркомата обороны № 312 от 22 сентября 1941-го: хлеб из ржаной и обойной муки - 900 грамм для зимнего времени, 800 грамм для летнего времени;, мука пшеничная второго сорта - 20, крупа разная - 140, макароны-вермишель - 30, мясо - 150, рыба - 100, соевая дезодорированная мука - 15, комбижир и сало - 30, масло растительное - 20, сахар - 35, чай - 1, соль - 30, картофель - 500, капуста свежая или квашеная - 170, морковь - 45, свекла - 40, лук репчатый - 30, коренья, зелень, огурцы - 35, томат-паста - 6, лавровый лист - 0,2, перец - 0,3, уксус - 2, горчичный порошок - 0,3, махорка - 20, спички - 3 коробка в месяц, курительная бумага - 7 книжек в месяц, мыло “для туалетных надобностей - 200 грамм (7560).</w:t>
      </w:r>
    </w:p>
    <w:p w14:paraId="653D18F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38E9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января 1943 НАЧАЛЬНИК ХАБАРОВСКОГО КРАЕВОГО УПРАВЛЕНИЯ НКСВЯЗИ МИХАЙЛОВ отправил телеграмму:</w:t>
      </w:r>
    </w:p>
    <w:p w14:paraId="61B10FC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 ЦК ВКП(б) ТОВАРИЩУ СТАЛИНУ</w:t>
      </w:r>
    </w:p>
    <w:p w14:paraId="60B6A9F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ВООДУШЕВЛЕННЫЕ УСПЕХАМИ КРАСНОЙ АРМИИ ГРОМЯЩЕЙ ФАШИСТСКИЕ ОРДЫ ГОРЯЧО ПОДДЕРЖИВАЯ ВОЗНИКШИЕ ИЗ НАРОДА ПАТРИОТИЧЕСКОЕ ДВИЖЕНИЕ СТРОИТЕЛЬСТВА НА СРЕДСТВА ТРУДЯЩИХСЯ ТАНКОВЫХ КОЛОНН зпт ЭСКАДРИЛИЙ САМОЛЕТОВ зпт ЖЕЛАЯ ПРИНЯТЬ АКТИВНОЕ УЧАСТИЕ РАЗГРОМЕ НЕНАВИСТНОГО ВРАГА СВЯЗИСТЫ ХАБАРОВСКОГО КРАЯ СОБРАЛИ НА ЭСКАДРИЛЬЮ БОЕВЫХ САМОЛЕТОВ ОДИН МИЛЛИОН ЧЕТЫРНАДЦАТЬ ТЫСЯЧ РУБЛЕЙ ДЕНЬГАМИ И ОБЛИГАЦИЙ ГОСУДАРСТВЕННЫХ ЗАЙМОВ НА СУММУ ТРИСТА ДВАДЦАТЬ ВОСЕМЬ ТЫСЯЧ ДВЕСТИ ШЕСТЬДЕСЯТ РУБЛЕЙ тчк СБОР СРЕДСТВ ПРОДОЛЖАЕТСЯ тчк ПРОСИМ НА СОБРАННЫЕ НАМИ СРЕДСТВА ЗАКАЗАТЬ ЭСКАДРИЛЬЮ САМОЛЕТОВ квч СВЯЗИСТ ХАБАРОВСКОГО КРАЯ квч КРАСНОКРЫЛЫЕ ПТИЦЫ КОТОРОЙ ПОНЕСУТ СМЕРТЬ ФАШИСТСКИМ ОКУПАНТАМ</w:t>
      </w:r>
    </w:p>
    <w:p w14:paraId="5AA2774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Телеграмма, ф.35,оп.1,д.1537,л.10. (10701).</w:t>
      </w:r>
    </w:p>
    <w:p w14:paraId="25C72B9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DF6A23"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69F7A25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1BFDCE"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января</w:t>
      </w:r>
      <w:r w:rsidRPr="00D03F3E">
        <w:rPr>
          <w:rFonts w:ascii="Times New Roman" w:hAnsi="Times New Roman"/>
          <w:color w:val="000000" w:themeColor="text1"/>
          <w:sz w:val="16"/>
          <w:szCs w:val="16"/>
        </w:rPr>
        <w:t xml:space="preserve"> в 1943 году испытан «Bf.109F-4» (есть мнение, что это был </w:t>
      </w:r>
      <w:hyperlink r:id="rId19" w:tgtFrame="_blank" w:history="1">
        <w:r w:rsidRPr="00D03F3E">
          <w:rPr>
            <w:rFonts w:ascii="Times New Roman" w:hAnsi="Times New Roman"/>
            <w:color w:val="000000" w:themeColor="text1"/>
            <w:sz w:val="16"/>
            <w:szCs w:val="16"/>
          </w:rPr>
          <w:t xml:space="preserve">«Bf-109 G-0» </w:t>
        </w:r>
      </w:hyperlink>
      <w:r w:rsidRPr="00D03F3E">
        <w:rPr>
          <w:rFonts w:ascii="Times New Roman" w:hAnsi="Times New Roman"/>
          <w:color w:val="000000" w:themeColor="text1"/>
          <w:sz w:val="16"/>
          <w:szCs w:val="16"/>
        </w:rPr>
        <w:t>серийный номер 14003) с V-образным оперением. Потенциальные возможности V-образного оперения исследовались на «Bf 109F-4» (№ 14003 VJ+WC). Первый полет на нем 21 января 1943 г провел Карл Баур, а позже испытания продолжил Фриц Вендель. Самолёт, оснащенный двигателем «Daimler-Benz» «DB-605A» (серийный номер 76172) совершил 4 полета. V-образное оперение не показало каких-либо преимуществ перед обычным, а продольная устойчивость даже снизилась. К тому же самолет разворачивало при посадке (15016).</w:t>
      </w:r>
    </w:p>
    <w:p w14:paraId="38E4C0FF" w14:textId="77777777" w:rsidR="0071306F" w:rsidRPr="00D03F3E" w:rsidRDefault="0071306F" w:rsidP="00D03F3E">
      <w:pPr>
        <w:spacing w:after="0" w:line="240" w:lineRule="auto"/>
        <w:jc w:val="both"/>
        <w:rPr>
          <w:rFonts w:ascii="Times New Roman" w:hAnsi="Times New Roman"/>
          <w:color w:val="000000" w:themeColor="text1"/>
          <w:sz w:val="16"/>
          <w:szCs w:val="16"/>
        </w:rPr>
      </w:pPr>
    </w:p>
    <w:p w14:paraId="204C4B2F"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21 января 1943 Командующий силами США Тихоокеанского флота, контр - адмирал Роберт Х., и все 18 человек на борту погибают при крушении Pan American World Airways рейса 1104, на Martin M-130, в горыахвозле Юкайи, Калифорния (20376).</w:t>
      </w:r>
    </w:p>
    <w:p w14:paraId="29ED1E25" w14:textId="77777777" w:rsidR="00FD630D" w:rsidRPr="00D03F3E" w:rsidRDefault="00FD630D" w:rsidP="00D03F3E">
      <w:pPr>
        <w:spacing w:after="0" w:line="240" w:lineRule="auto"/>
        <w:jc w:val="both"/>
        <w:rPr>
          <w:rFonts w:ascii="Times New Roman" w:hAnsi="Times New Roman"/>
          <w:color w:val="0070C0"/>
          <w:sz w:val="16"/>
          <w:szCs w:val="16"/>
        </w:rPr>
      </w:pPr>
    </w:p>
    <w:p w14:paraId="0DC1B343"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21 января 1943 1943 - Была издана директива англо-американского объединенного комитета начальников штабов об организации "воздушного наступления" против промышленных центров Германии (22651).</w:t>
      </w:r>
    </w:p>
    <w:p w14:paraId="5B06CEDB" w14:textId="77777777" w:rsidR="00FD630D" w:rsidRPr="00D03F3E" w:rsidRDefault="00FD630D" w:rsidP="00D03F3E">
      <w:pPr>
        <w:pStyle w:val="1151"/>
        <w:shd w:val="clear" w:color="auto" w:fill="auto"/>
        <w:spacing w:before="0" w:line="240" w:lineRule="auto"/>
        <w:rPr>
          <w:rFonts w:ascii="Times New Roman" w:hAnsi="Times New Roman" w:cs="Times New Roman"/>
          <w:color w:val="0070C0"/>
          <w:sz w:val="16"/>
          <w:szCs w:val="16"/>
        </w:rPr>
      </w:pPr>
    </w:p>
    <w:p w14:paraId="3ACCC576"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января 1943 союзники приняли решение о начале бомбардировок немецких промышленных объектов (4962).</w:t>
      </w:r>
    </w:p>
    <w:p w14:paraId="5CC01D0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2580BC"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января</w:t>
      </w:r>
      <w:r w:rsidRPr="00D03F3E">
        <w:rPr>
          <w:rFonts w:ascii="Times New Roman" w:hAnsi="Times New Roman"/>
          <w:color w:val="000000" w:themeColor="text1"/>
          <w:sz w:val="16"/>
          <w:szCs w:val="16"/>
        </w:rPr>
        <w:t xml:space="preserve"> в 1943 году в беседе с послом Японии в Германии Х.Осимой Гитлер настаивал на объявлении Японией войны СССР (15016).</w:t>
      </w:r>
    </w:p>
    <w:p w14:paraId="26C8902E" w14:textId="77777777" w:rsidR="0071306F" w:rsidRPr="00D03F3E" w:rsidRDefault="0071306F" w:rsidP="00D03F3E">
      <w:pPr>
        <w:spacing w:after="0" w:line="240" w:lineRule="auto"/>
        <w:jc w:val="both"/>
        <w:rPr>
          <w:rFonts w:ascii="Times New Roman" w:hAnsi="Times New Roman"/>
          <w:color w:val="000000" w:themeColor="text1"/>
          <w:sz w:val="16"/>
          <w:szCs w:val="16"/>
        </w:rPr>
      </w:pPr>
    </w:p>
    <w:p w14:paraId="774FED0E"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января</w:t>
      </w:r>
      <w:r w:rsidRPr="00D03F3E">
        <w:rPr>
          <w:rFonts w:ascii="Times New Roman" w:hAnsi="Times New Roman"/>
          <w:color w:val="000000" w:themeColor="text1"/>
          <w:sz w:val="16"/>
          <w:szCs w:val="16"/>
        </w:rPr>
        <w:t xml:space="preserve"> в 1943 году была издана директива англо-американского объединенного комитета начальников штабов об организации "воздушного наступления" против промышленных центров Германии (15016).</w:t>
      </w:r>
    </w:p>
    <w:p w14:paraId="504622B4" w14:textId="77777777" w:rsidR="0071306F" w:rsidRPr="00D03F3E" w:rsidRDefault="0071306F" w:rsidP="00D03F3E">
      <w:pPr>
        <w:spacing w:after="0" w:line="240" w:lineRule="auto"/>
        <w:jc w:val="both"/>
        <w:rPr>
          <w:rFonts w:ascii="Times New Roman" w:hAnsi="Times New Roman"/>
          <w:color w:val="000000" w:themeColor="text1"/>
          <w:sz w:val="16"/>
          <w:szCs w:val="16"/>
        </w:rPr>
      </w:pPr>
    </w:p>
    <w:p w14:paraId="2DAE2D8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января 1943 в ходе дневного налета на Лондон было убито 34 английских школьника (2100).</w:t>
      </w:r>
    </w:p>
    <w:p w14:paraId="0E15819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1946C2"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6BC769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1D565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22 января 1943 г. в 688-го шап с пушками ШФК-37 летало только два штурмовика. Необходимо отметить, что ненадежная работа пушек в 688-м шап объясняется не столько недостатками самой пуш</w:t>
      </w:r>
      <w:r w:rsidRPr="00D03F3E">
        <w:rPr>
          <w:rFonts w:ascii="Times New Roman" w:hAnsi="Times New Roman"/>
          <w:color w:val="000000" w:themeColor="text1"/>
          <w:sz w:val="16"/>
          <w:szCs w:val="16"/>
        </w:rPr>
        <w:softHyphen/>
        <w:t>ки, сколько отсутствием ухода за пушками до их прибытия в полк. Дело в том, что после сборки на авиазаводе № 18 самоле</w:t>
      </w:r>
      <w:r w:rsidRPr="00D03F3E">
        <w:rPr>
          <w:rFonts w:ascii="Times New Roman" w:hAnsi="Times New Roman"/>
          <w:color w:val="000000" w:themeColor="text1"/>
          <w:sz w:val="16"/>
          <w:szCs w:val="16"/>
        </w:rPr>
        <w:softHyphen/>
        <w:t>ты сначала попали на аэродром 1-й запасной авиабригады Кряж, а затем были перегнаны на аэродром Толкай, где бази</w:t>
      </w:r>
      <w:r w:rsidRPr="00D03F3E">
        <w:rPr>
          <w:rFonts w:ascii="Times New Roman" w:hAnsi="Times New Roman"/>
          <w:color w:val="000000" w:themeColor="text1"/>
          <w:sz w:val="16"/>
          <w:szCs w:val="16"/>
        </w:rPr>
        <w:softHyphen/>
        <w:t>ровался 5-й запасной авиаполк бригады. Этими самолетами планировали вооружить 617-й штурмовой авиаполк, который проходил там переформирование и пополнение матчастью. Насколько удалось установить, находясь на аэродроме Кряж, за самолеты никто не отвечал, и они стояли бесхозными. Буду</w:t>
      </w:r>
      <w:r w:rsidRPr="00D03F3E">
        <w:rPr>
          <w:rFonts w:ascii="Times New Roman" w:hAnsi="Times New Roman"/>
          <w:color w:val="000000" w:themeColor="text1"/>
          <w:sz w:val="16"/>
          <w:szCs w:val="16"/>
        </w:rPr>
        <w:softHyphen/>
        <w:t>чи уже на балансе 617-го шап, самолетами в течение месяца также никто не занимался и за оружием не следил. В результа</w:t>
      </w:r>
      <w:r w:rsidRPr="00D03F3E">
        <w:rPr>
          <w:rFonts w:ascii="Times New Roman" w:hAnsi="Times New Roman"/>
          <w:color w:val="000000" w:themeColor="text1"/>
          <w:sz w:val="16"/>
          <w:szCs w:val="16"/>
        </w:rPr>
        <w:softHyphen/>
        <w:t>те к началу подготовки летного состава полка пушки оказались в крайне запущенном состоянии, «...подвижные части и кана</w:t>
      </w:r>
      <w:r w:rsidRPr="00D03F3E">
        <w:rPr>
          <w:rFonts w:ascii="Times New Roman" w:hAnsi="Times New Roman"/>
          <w:color w:val="000000" w:themeColor="text1"/>
          <w:sz w:val="16"/>
          <w:szCs w:val="16"/>
        </w:rPr>
        <w:softHyphen/>
        <w:t>лы стволов и снаружи пушки были ржавые». После «разбора полетов» за пушки наконец основательно взялись и в течение 10 дней привели в надлежащий вид. Однако «от сильного ржа-вения на многих деталях пушек остались неустранимые следы ржавчины и раковины». Когда же выяснилось, что 617-й шап укомплектован исключительно молодыми летчиками прямо из школ, то решили отправить самолеты в действующий полк под Сталинград. При этом один Ил-2 с ШФК-37 (зав. № 1871129) из-за течи маслобака не смог вылететь вместе с основной группой с аэродрома Разбойщина и попал на фронт только 18 ян</w:t>
      </w:r>
      <w:r w:rsidRPr="00D03F3E">
        <w:rPr>
          <w:rFonts w:ascii="Times New Roman" w:hAnsi="Times New Roman"/>
          <w:color w:val="000000" w:themeColor="text1"/>
          <w:sz w:val="16"/>
          <w:szCs w:val="16"/>
        </w:rPr>
        <w:softHyphen/>
        <w:t>варя 1943 г. Десятый противотанковый Ил-2 (зав. № 1876123) из-за полного израсходования горючего вынужденно сел в глу</w:t>
      </w:r>
      <w:r w:rsidRPr="00D03F3E">
        <w:rPr>
          <w:rFonts w:ascii="Times New Roman" w:hAnsi="Times New Roman"/>
          <w:color w:val="000000" w:themeColor="text1"/>
          <w:sz w:val="16"/>
          <w:szCs w:val="16"/>
        </w:rPr>
        <w:softHyphen/>
        <w:t>бокий снег вдали от посадочной полосы аэродрома Маркштад. На аэродроме Маркштад этот самолет находился по крайней мере до 15 февраля 1943 г. Что стало с ним в дальнейшем — ус</w:t>
      </w:r>
      <w:r w:rsidRPr="00D03F3E">
        <w:rPr>
          <w:rFonts w:ascii="Times New Roman" w:hAnsi="Times New Roman"/>
          <w:color w:val="000000" w:themeColor="text1"/>
          <w:sz w:val="16"/>
          <w:szCs w:val="16"/>
        </w:rPr>
        <w:softHyphen/>
        <w:t>тановить не удалось (11474,335).</w:t>
      </w:r>
    </w:p>
    <w:p w14:paraId="6B86344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8F63A1" w14:textId="77777777" w:rsidR="00683FE3" w:rsidRPr="00D03F3E" w:rsidRDefault="00683FE3"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22 января 1943 г. шифроте- леграммой начальника 3-го отдела УОС ГУ ИАС ВВС инженер-полковника Матаева инженер-подполков</w:t>
      </w:r>
      <w:r w:rsidRPr="00D03F3E">
        <w:rPr>
          <w:color w:val="000000" w:themeColor="text1"/>
          <w:sz w:val="16"/>
          <w:szCs w:val="16"/>
        </w:rPr>
        <w:softHyphen/>
        <w:t>ник Фалалеев получил указание отправить в строевые части самолеты Ил-2 с пушками 11П. При этом предпо</w:t>
      </w:r>
      <w:r w:rsidRPr="00D03F3E">
        <w:rPr>
          <w:color w:val="000000" w:themeColor="text1"/>
          <w:sz w:val="16"/>
          <w:szCs w:val="16"/>
        </w:rPr>
        <w:softHyphen/>
        <w:t>лагалось, что все выявленные дефекты пушек и пу</w:t>
      </w:r>
      <w:r w:rsidRPr="00D03F3E">
        <w:rPr>
          <w:color w:val="000000" w:themeColor="text1"/>
          <w:sz w:val="16"/>
          <w:szCs w:val="16"/>
        </w:rPr>
        <w:softHyphen/>
        <w:t>шечных установок будут устранены уже на НИП АВ ВВС бригадой ОКБ-16, работавшей на полигоне. Планирова</w:t>
      </w:r>
      <w:r w:rsidRPr="00D03F3E">
        <w:rPr>
          <w:color w:val="000000" w:themeColor="text1"/>
          <w:sz w:val="16"/>
          <w:szCs w:val="16"/>
        </w:rPr>
        <w:softHyphen/>
        <w:t>лось отправить в строевые части самолеты непосредственно с полигона по</w:t>
      </w:r>
      <w:r w:rsidRPr="00D03F3E">
        <w:rPr>
          <w:color w:val="000000" w:themeColor="text1"/>
          <w:sz w:val="16"/>
          <w:szCs w:val="16"/>
        </w:rPr>
        <w:softHyphen/>
        <w:t>сле устранения дефектов и доводки вооружения (17500).</w:t>
      </w:r>
    </w:p>
    <w:p w14:paraId="15EDCC04" w14:textId="77777777" w:rsidR="00683FE3" w:rsidRPr="00D03F3E" w:rsidRDefault="00683FE3" w:rsidP="00D03F3E">
      <w:pPr>
        <w:pStyle w:val="12a"/>
        <w:shd w:val="clear" w:color="auto" w:fill="auto"/>
        <w:spacing w:after="0" w:line="240" w:lineRule="auto"/>
        <w:jc w:val="both"/>
        <w:rPr>
          <w:color w:val="000000" w:themeColor="text1"/>
          <w:sz w:val="16"/>
          <w:szCs w:val="16"/>
        </w:rPr>
      </w:pPr>
    </w:p>
    <w:p w14:paraId="5EB87597"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22 января</w:t>
      </w:r>
      <w:r w:rsidRPr="00D03F3E">
        <w:rPr>
          <w:rFonts w:ascii="Times New Roman" w:hAnsi="Times New Roman"/>
          <w:color w:val="000000" w:themeColor="text1"/>
          <w:sz w:val="16"/>
          <w:szCs w:val="16"/>
        </w:rPr>
        <w:t xml:space="preserve"> в 1943 году началось серийное производство двигателей «АМ-38Ф» А.А.Микулина для «Ил-2» на авиазаводе №45 (ныне ММПП «Салют») (15017).</w:t>
      </w:r>
    </w:p>
    <w:p w14:paraId="65840E46" w14:textId="77777777" w:rsidR="0071306F" w:rsidRPr="00D03F3E" w:rsidRDefault="0071306F" w:rsidP="00D03F3E">
      <w:pPr>
        <w:spacing w:after="0" w:line="240" w:lineRule="auto"/>
        <w:jc w:val="both"/>
        <w:rPr>
          <w:rFonts w:ascii="Times New Roman" w:hAnsi="Times New Roman"/>
          <w:color w:val="000000" w:themeColor="text1"/>
          <w:sz w:val="16"/>
          <w:szCs w:val="16"/>
        </w:rPr>
      </w:pPr>
    </w:p>
    <w:p w14:paraId="16248D44"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34C2A8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07E85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января 1943 г. была подготовлена ДОКЛАДНАЯ ЗАПИСКА ПОМОЩНИКА НАЧАЛЬНИКА 6-го ОТДЕЛА НАЧАЛЬНИКУ ОТДЕЛА ТУ ГБТУ КА ПО КОМАНДИРОВКЕ В г. ЧЕЛЯБИНСК</w:t>
      </w:r>
    </w:p>
    <w:p w14:paraId="066A0C8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Догладываю кратко о своей работе во время командировки в г. Челябинск 20.01.1943 г.</w:t>
      </w:r>
    </w:p>
    <w:p w14:paraId="2D6F81A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Планетарный механизм поворота.</w:t>
      </w:r>
    </w:p>
    <w:p w14:paraId="29CE42C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Механизм на танке на 15.01.1943 г. прошел 1140 км. Результаты хорошие. Танк стоит на смене двигателя. Будет испытываться дальше с 24-25 января.</w:t>
      </w:r>
    </w:p>
    <w:p w14:paraId="68E5AFD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Составлен отчет на 450 км пробега и отправлен в 6-й отдел. Составлено дополнение к отчету за следующие 550 км и будет сегодня отправлено Вам.</w:t>
      </w:r>
    </w:p>
    <w:p w14:paraId="4E972D6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Закончены рабочие чертежи на серийный механизм поворота для танка КВ-1с. Отличие от испытываемого механизма в некоторых технологических изменениях, не ухудшающих конструк</w:t>
      </w:r>
      <w:r w:rsidRPr="00D03F3E">
        <w:rPr>
          <w:rFonts w:ascii="Times New Roman" w:hAnsi="Times New Roman"/>
          <w:color w:val="000000" w:themeColor="text1"/>
          <w:sz w:val="16"/>
          <w:szCs w:val="16"/>
        </w:rPr>
        <w:softHyphen/>
        <w:t>ции. Предусмотрена возможность установки этого механизма на танк Т-34 с изменением некоторых, сопрягающихся с коробкой и бортовым редуктором, деталей.</w:t>
      </w:r>
    </w:p>
    <w:p w14:paraId="18B6D7D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Имеется предварительное согласие тт. Котина и Горегляда на изготовление установочной партии в 10 танков по указанным выше рабочим чертежам, а также согласие на начало подготовки производства серий</w:t>
      </w:r>
      <w:r w:rsidRPr="00D03F3E">
        <w:rPr>
          <w:rFonts w:ascii="Times New Roman" w:hAnsi="Times New Roman"/>
          <w:color w:val="000000" w:themeColor="text1"/>
          <w:sz w:val="16"/>
          <w:szCs w:val="16"/>
        </w:rPr>
        <w:softHyphen/>
        <w:t>ных механизмов. Это должно быть подтверждено приказом по заводу, подписание которого затянулось.</w:t>
      </w:r>
    </w:p>
    <w:p w14:paraId="3983F94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После моего разговора с начальником управления т. Афониным 20.01.1943 г. готовится протокол совещания при главном конструкторе Кировского завода с решением о конструктивной и техноло</w:t>
      </w:r>
      <w:r w:rsidRPr="00D03F3E">
        <w:rPr>
          <w:rFonts w:ascii="Times New Roman" w:hAnsi="Times New Roman"/>
          <w:color w:val="000000" w:themeColor="text1"/>
          <w:sz w:val="16"/>
          <w:szCs w:val="16"/>
        </w:rPr>
        <w:softHyphen/>
        <w:t>гической готовности механизма (протокол нужен для постановки вопроса перед Правительством).</w:t>
      </w:r>
    </w:p>
    <w:p w14:paraId="16FED0E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ускорения подписания приказа по заводу об изготовлении установочной серии нужно было бы позвонить или написать директору завода от начальника ТУ по этому вопросу.</w:t>
      </w:r>
    </w:p>
    <w:p w14:paraId="48A17CB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Зимний запуск двигателя в танках Т-34 и КВ-1с.</w:t>
      </w:r>
    </w:p>
    <w:p w14:paraId="763A854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Зимний запуск охлажденного, до температуры окружающего воздуха двигателя требует наличия трех условий:</w:t>
      </w:r>
    </w:p>
    <w:p w14:paraId="3E178D8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Разжиженной смазки для легкого проворачивания двигателя;</w:t>
      </w:r>
    </w:p>
    <w:p w14:paraId="289CFF0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Подогрева всасываемого воздуха;</w:t>
      </w:r>
    </w:p>
    <w:p w14:paraId="29F1B0D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Надежного пускового агрегата.</w:t>
      </w:r>
    </w:p>
    <w:p w14:paraId="3819685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Заводом № 100 проработана и конструктивно оформлена только первая часть этого, а именно разжижение смазки в танках КБ-1с и Т-34. На оба танка уже запущено в серию устройства для раз</w:t>
      </w:r>
      <w:r w:rsidRPr="00D03F3E">
        <w:rPr>
          <w:rFonts w:ascii="Times New Roman" w:hAnsi="Times New Roman"/>
          <w:color w:val="000000" w:themeColor="text1"/>
          <w:sz w:val="16"/>
          <w:szCs w:val="16"/>
        </w:rPr>
        <w:softHyphen/>
        <w:t>жижения. Чертежи этих устройств были рассмотрены в НКТП нашими представителями и утверж</w:t>
      </w:r>
      <w:r w:rsidRPr="00D03F3E">
        <w:rPr>
          <w:rFonts w:ascii="Times New Roman" w:hAnsi="Times New Roman"/>
          <w:color w:val="000000" w:themeColor="text1"/>
          <w:sz w:val="16"/>
          <w:szCs w:val="16"/>
        </w:rPr>
        <w:softHyphen/>
        <w:t>дены на 1943 год.</w:t>
      </w:r>
    </w:p>
    <w:p w14:paraId="41C4BBB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Устройство для разжижения смазки на КВ-1с обеспечивает проворачивание двигателя при тем</w:t>
      </w:r>
      <w:r w:rsidRPr="00D03F3E">
        <w:rPr>
          <w:rFonts w:ascii="Times New Roman" w:hAnsi="Times New Roman"/>
          <w:color w:val="000000" w:themeColor="text1"/>
          <w:sz w:val="16"/>
          <w:szCs w:val="16"/>
        </w:rPr>
        <w:softHyphen/>
        <w:t>пературах до минус 40"С и безопасно при нормальной работе двигателя. Устройство для разжижения на Т-34 имеет недостатки — плохой прогрев смазки в основных баках и возможность переполнения картера двигателя маслом при работе на замкнутом контуре и требует при эксплуатации большого внимания экипажа.</w:t>
      </w:r>
    </w:p>
    <w:p w14:paraId="3361CA0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инструкция по пользованию этим устройством на Т-34 имеет ряд неправильных положений (разжижение только газойлем, езда на танке при температуре масла плюс 5"С и т.д.), могущих привести к аварии двигателя.</w:t>
      </w:r>
    </w:p>
    <w:p w14:paraId="499015A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Вторая часть вопроса — подогрев всасываемого воздуха заводом №100 еще не проработа</w:t>
      </w:r>
      <w:r w:rsidRPr="00D03F3E">
        <w:rPr>
          <w:rFonts w:ascii="Times New Roman" w:hAnsi="Times New Roman"/>
          <w:color w:val="000000" w:themeColor="text1"/>
          <w:sz w:val="16"/>
          <w:szCs w:val="16"/>
        </w:rPr>
        <w:softHyphen/>
        <w:t>на, и испытывается (очень медленно) ряд устройств для непосредственного подогрева воздуха. Испытываются приспособления типа употребляемых на двигателе Джемси (танк «Валентин») и такие же, но со свечей низкого напряжения в 24 вольта.</w:t>
      </w:r>
    </w:p>
    <w:p w14:paraId="379BA0D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Конструктивное (окончательное) оформление этих приспособлений и их испытание не закончены.</w:t>
      </w:r>
    </w:p>
    <w:p w14:paraId="6875B3D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Намечено использовать для подогрева воздуха факел, и мне кажется, что испытания подтвердят его наибольшую приемлемость для серийных танков.</w:t>
      </w:r>
    </w:p>
    <w:p w14:paraId="06811C3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Третья часть вопроса о зимнем запуске — отепление аккумуляторов введено на танк, но оно не обеспечивает сохранения нужной для проворачивания двигателя мощности аккумуляторов при тем</w:t>
      </w:r>
      <w:r w:rsidRPr="00D03F3E">
        <w:rPr>
          <w:rFonts w:ascii="Times New Roman" w:hAnsi="Times New Roman"/>
          <w:color w:val="000000" w:themeColor="text1"/>
          <w:sz w:val="16"/>
          <w:szCs w:val="16"/>
        </w:rPr>
        <w:softHyphen/>
        <w:t>пературах ниже - 15°С.</w:t>
      </w:r>
    </w:p>
    <w:p w14:paraId="222547E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улучшению отепления ничего не делается. Проворачивание двигателя сжатым воздухом при</w:t>
      </w:r>
      <w:r w:rsidRPr="00D03F3E">
        <w:rPr>
          <w:rFonts w:ascii="Times New Roman" w:hAnsi="Times New Roman"/>
          <w:color w:val="000000" w:themeColor="text1"/>
          <w:sz w:val="16"/>
          <w:szCs w:val="16"/>
        </w:rPr>
        <w:softHyphen/>
        <w:t>водит к полному его замораживанию и совершенно непригодно при низких температурах.</w:t>
      </w:r>
    </w:p>
    <w:p w14:paraId="0B44001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Смотровая башенка КВ-1с.</w:t>
      </w:r>
    </w:p>
    <w:p w14:paraId="4AC3914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КБ Кировского завода выпущены в декабре чертежи на изготовление опытного образца башен</w:t>
      </w:r>
      <w:r w:rsidRPr="00D03F3E">
        <w:rPr>
          <w:rFonts w:ascii="Times New Roman" w:hAnsi="Times New Roman"/>
          <w:color w:val="000000" w:themeColor="text1"/>
          <w:sz w:val="16"/>
          <w:szCs w:val="16"/>
        </w:rPr>
        <w:softHyphen/>
        <w:t>ки с пятью триплексами в стенках и ПТК-5 впереди, а также с люком-лазом сверху башенки. Учтены были замечания по расширению и увеличению высоты. Образец заказан на заводе №100 и предна</w:t>
      </w:r>
      <w:r w:rsidRPr="00D03F3E">
        <w:rPr>
          <w:rFonts w:ascii="Times New Roman" w:hAnsi="Times New Roman"/>
          <w:color w:val="000000" w:themeColor="text1"/>
          <w:sz w:val="16"/>
          <w:szCs w:val="16"/>
        </w:rPr>
        <w:softHyphen/>
        <w:t>значен для установки на новую башню КБ-13, которая может быть установлена и на КВ-1с.</w:t>
      </w:r>
    </w:p>
    <w:p w14:paraId="4BA80E8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Второй вариант башенки изготовлен в чертежах с пятью смотровыми приборами типа Т-34 по боковым стенкам без люка сверху.</w:t>
      </w:r>
    </w:p>
    <w:p w14:paraId="094144E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Был также эскизный набросок башенки с пятью триплексами по боковым стенкам с вращаю</w:t>
      </w:r>
      <w:r w:rsidRPr="00D03F3E">
        <w:rPr>
          <w:rFonts w:ascii="Times New Roman" w:hAnsi="Times New Roman"/>
          <w:color w:val="000000" w:themeColor="text1"/>
          <w:sz w:val="16"/>
          <w:szCs w:val="16"/>
        </w:rPr>
        <w:softHyphen/>
        <w:t>щимся люком-лазом и установленным в нем английским смотровым прибором.</w:t>
      </w:r>
    </w:p>
    <w:p w14:paraId="27FE1EA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моему настоянию разработаны рабочие чертежи этого (третьего) варианта башенки, в кото</w:t>
      </w:r>
      <w:r w:rsidRPr="00D03F3E">
        <w:rPr>
          <w:rFonts w:ascii="Times New Roman" w:hAnsi="Times New Roman"/>
          <w:color w:val="000000" w:themeColor="text1"/>
          <w:sz w:val="16"/>
          <w:szCs w:val="16"/>
        </w:rPr>
        <w:softHyphen/>
        <w:t>ром учтены замечания, сделанные при первом просмотре. 24-25-го чертежи будут рассмотрены и утверждены и переданы для изготовления опытного образца.</w:t>
      </w:r>
    </w:p>
    <w:p w14:paraId="5AEB9FD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4.КВ-13.</w:t>
      </w:r>
    </w:p>
    <w:p w14:paraId="1C6123B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первом (испытывавшемся) варианте имелись следующие основные дефекты: 1) Перегрев двигателя. Вода кипит на 6-й передаче при 1600-1800 оборотах двигателя. Масло при этом 85-90°С.</w:t>
      </w:r>
    </w:p>
    <w:p w14:paraId="55A457C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Недоработана маслосистема. Вследствие наличия двух небольших маслобаков происходит переполнение одного из них и раздутие.</w:t>
      </w:r>
    </w:p>
    <w:p w14:paraId="1CC7885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Отверстия для засоса воздуха забиваются грязью, снегом. Зимой снег тает и вода стекая на днище танка примораживает тяги.</w:t>
      </w:r>
    </w:p>
    <w:p w14:paraId="2DC73E4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Плохое уплотнение днища танка.</w:t>
      </w:r>
    </w:p>
    <w:p w14:paraId="4FAD62F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Коробление дисков главного фрикциона.</w:t>
      </w:r>
    </w:p>
    <w:p w14:paraId="49B98B0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Неудачное крепление нижних катков на подшипниках осей. Частые случаи слетания.</w:t>
      </w:r>
    </w:p>
    <w:p w14:paraId="6E1725F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Ряд дефектов в новой 9 скоростной коробке.</w:t>
      </w:r>
    </w:p>
    <w:p w14:paraId="09195FB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КВ-13 прошел 1250 км и сейчас стоит на ремонте.</w:t>
      </w:r>
    </w:p>
    <w:p w14:paraId="2D78915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Этот вариант имеет коробку ПП с танка КВ-1с с новым картером, улучшенное охлаждение дви</w:t>
      </w:r>
      <w:r w:rsidRPr="00D03F3E">
        <w:rPr>
          <w:rFonts w:ascii="Times New Roman" w:hAnsi="Times New Roman"/>
          <w:color w:val="000000" w:themeColor="text1"/>
          <w:sz w:val="16"/>
          <w:szCs w:val="16"/>
        </w:rPr>
        <w:softHyphen/>
        <w:t>гателя, улучшенный главный фрикцион, планетарный механизм поворота (такой же, как и испы</w:t>
      </w:r>
      <w:r w:rsidRPr="00D03F3E">
        <w:rPr>
          <w:rFonts w:ascii="Times New Roman" w:hAnsi="Times New Roman"/>
          <w:color w:val="000000" w:themeColor="text1"/>
          <w:sz w:val="16"/>
          <w:szCs w:val="16"/>
        </w:rPr>
        <w:softHyphen/>
        <w:t>тывающийся на КВ-1с) и новую башню с пушкой Ф-34 и с размещением в ней 3 человек (довольно свободно) на погоне КВ-1с.</w:t>
      </w:r>
    </w:p>
    <w:p w14:paraId="056BBAF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Сейчас завод изготавливает 2 таких танка.</w:t>
      </w:r>
    </w:p>
    <w:p w14:paraId="10F0C78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Планетарная трансмиссия т. Зайчика.</w:t>
      </w:r>
    </w:p>
    <w:p w14:paraId="0023ADE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января получены 2 коробки из Саратова. В средине января приехали конструкторы института им. Баумана и т. Зайчик. Сейчас идут работы по установке одной коробки на танк КВ-7, и в первой декаде февраля начнется испытание трансмиссии.</w:t>
      </w:r>
    </w:p>
    <w:p w14:paraId="73D28C2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Ознакомился со всеми работами, проводимыми заводом №100, и подобрал отчеты для отправ</w:t>
      </w:r>
      <w:r w:rsidRPr="00D03F3E">
        <w:rPr>
          <w:rFonts w:ascii="Times New Roman" w:hAnsi="Times New Roman"/>
          <w:color w:val="000000" w:themeColor="text1"/>
          <w:sz w:val="16"/>
          <w:szCs w:val="16"/>
        </w:rPr>
        <w:softHyphen/>
        <w:t>ки их в 6-й отдел ТУ. Сейчас оформляются и будут отправлены в течение последней декады января.</w:t>
      </w:r>
    </w:p>
    <w:p w14:paraId="6F5747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Договорился с т. Котиным и высылке в ТУ чертежей (общих видов), фото и характеристики на КВ-13. Одновременно будут высланы чертежи серийного планетарного механизма и 1 и 3 варианты командирской башенки КВ-1с.</w:t>
      </w:r>
    </w:p>
    <w:p w14:paraId="025EDC7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Ознакомился с КВ-14 и дал свои заключения. Машина уже монтируется и будет закончена сборкой 25-26 января (зависит от подачи на завод артсистемы). Имеет ряд недостатков — стесненное рабочее место водителя, недостаточную бронезащиту пушки и др.</w:t>
      </w:r>
    </w:p>
    <w:p w14:paraId="0C3D329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Более подробно доложу по приезде. Сейчас задерживаюсь по указанию начальника ТУ для уча</w:t>
      </w:r>
      <w:r w:rsidRPr="00D03F3E">
        <w:rPr>
          <w:rFonts w:ascii="Times New Roman" w:hAnsi="Times New Roman"/>
          <w:color w:val="000000" w:themeColor="text1"/>
          <w:sz w:val="16"/>
          <w:szCs w:val="16"/>
        </w:rPr>
        <w:softHyphen/>
        <w:t>стия в какой-то комиссии.</w:t>
      </w:r>
    </w:p>
    <w:p w14:paraId="22CA0DB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Помощник начальника 6-го отдела ТУ ГБТУ КА</w:t>
      </w:r>
    </w:p>
    <w:p w14:paraId="3C7D0DE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инженер-майор Пестов</w:t>
      </w:r>
    </w:p>
    <w:p w14:paraId="248BE94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1377. Л. 137. Подлинник (11403).</w:t>
      </w:r>
    </w:p>
    <w:p w14:paraId="2680C5A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2B3305"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555105C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56AD22"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22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383CBA08"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22 января наши войска в районе Сталинграда, южнее Воронежа, на Северном Кавказе, в районе Нижнего Дона, Северного Донца и южнее Ладожскогоозера продолжали бои на прежних направлениях.</w:t>
      </w:r>
    </w:p>
    <w:p w14:paraId="0CB9A617"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Сталинграда Н-ская часть, действующая западнее города, выбила противника из сильно укреплённых позиций. Немцы предприняли несколько контратак, но каждый раз отбрасывались назад с большими для них потерями. В этом бою уничтожено более 400 гитлеровцев и подбито 7 немецких танков.</w:t>
      </w:r>
    </w:p>
    <w:p w14:paraId="49258A62"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Южном фронте наши войска вели наступательные бои. В районе одного населённого пункта противник сосредоточил значительные силы пехоты и пытался задержать продвижение советских частей. Наши танки с десантами автоматчиков обошли занятые немцами населённые пункты и с тыла атаковали противника. В трёхчасовом бою уничтожено до 700 вражеских солдат и офицеров. Взято до 100 пленных. Захвачены большие трофеи.</w:t>
      </w:r>
    </w:p>
    <w:p w14:paraId="403ABD20"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Юго-Западном фронте наши войска, преодолевая сопротивление противника, продвигались вперёд. На одном участке немцы подтянули свежие силы и бросили их в бой. Наши подразделения отбили все контратаки противника и истребили до батальона немецкой пехоты. На другом участке в занятом нашими частями крупном населённом пункте захвачены 10 орудий, 4 танка, 2 самоходные пушки, склад запасных частей для автомашин и 2 склада с продовольствием. Пленные солдаты 579 пехотного полка 306 немецкой пехотной дивизии, только в декабре переброшенной из Бельгии на советско-германский фронт, рассказали, что их полк совершенно обескровлен в последних боях. Роты насчитывают по 10—30 человек.</w:t>
      </w:r>
    </w:p>
    <w:p w14:paraId="28764134"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Воронежского фронта вели наступательные бои, а частью сил ещё теснее сжимали кольцо вокруг окружённых частей противника. Немцы пытались прорваться из окружения, но были отброшены назад с большими для них потерями. Наши части заняли ряд населённых пунктов. Н-ское соединение захватило в плен свыше 1.500 вражеских солдат и офицеров. По уточнённым данным, в городе Острогожск уничтожено более 1.000 вражеских солдат и офицеров и захвачено свыше 600 пленных.</w:t>
      </w:r>
    </w:p>
    <w:p w14:paraId="5BB033CB"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заняли ряд населённых пунктов. На одном участке противник бросил в контратаку две роты пехоты при поддержке 10 танков и 5 бронемашин. Подразделения Н-ской части отбили контратаку гитлеровцев. Врезультате боя 6 вражеских танков и все бронемашины были выведены из строя, а немецкая пехота отступила, потеряв больше половины своего состава.</w:t>
      </w:r>
    </w:p>
    <w:p w14:paraId="11BFCCAA"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Партизанский отряд, действующий в Полесской области, совершил налёт на немецкий аэродром и уничтожил 18 самолётов и 16 автомашин противника. За два месяца партизаны этого отряда организовали крушение 20 немецких воинских эшелонов. Разбито 12 паровозов, более 200 вагонов и 9 цистерн с горючим. Кроме того, советские патриоты взорвали железнодорожный мост через реку и 8 мостов на шоссейных дорогах.</w:t>
      </w:r>
    </w:p>
    <w:p w14:paraId="061B480A"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хуторе Михайловка, Ростовской области: «Отступая под ударами Красной Армии, немцы разграбили хутор Михайловку и убили многих мирных граждан. Гитлеровцы собралив сех мужчин и на берегу реки расстреляли Никиту Балабина — 70 лет, Алексея Чернухина — 68 лет, Михаила Щербину — 41 года и его 16-летнего сына Александра,Фёдора Бойченко — 41 года, Павла Бойченко — 30 лет, Ивана Симонова — 30 лет, Петра Чернышёва — 28 лет, Ивана Дегтярёва — 18 лет и других жителей. После расправы над мирным населением немецкие солдаты облили керосином и сожгли большую часть домов хутора». Акт подписали: капитан Митрофанов, капитан Ковтунов, старший лейтенант Суворов, жители хутора Михайловка М.Угловатов, А.Щербина, П.Бондаренко, В.Швец.» (15017).</w:t>
      </w:r>
    </w:p>
    <w:p w14:paraId="5FA75689" w14:textId="77777777" w:rsidR="0071306F" w:rsidRPr="00D03F3E" w:rsidRDefault="0071306F" w:rsidP="00D03F3E">
      <w:pPr>
        <w:spacing w:after="0" w:line="240" w:lineRule="auto"/>
        <w:jc w:val="both"/>
        <w:rPr>
          <w:rFonts w:ascii="Times New Roman" w:hAnsi="Times New Roman"/>
          <w:color w:val="000000" w:themeColor="text1"/>
          <w:sz w:val="16"/>
          <w:szCs w:val="16"/>
        </w:rPr>
      </w:pPr>
    </w:p>
    <w:p w14:paraId="31AFBABC"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22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3D9B8687"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января войска Южного фронта в результате решительной атаки овладели городом и крупным железнодорожным узлом Сальск, районными центрами Константиновская, Весёлый, крупным населённым пунктом Новый Егорлык.</w:t>
      </w:r>
    </w:p>
    <w:p w14:paraId="1284C6C8"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войска Закавказского фронта овладели городом Микоян-Шахар, районным центром Удобная, крупными населёнными пунктами Донское, Зеленчук-Мостовой.</w:t>
      </w:r>
    </w:p>
    <w:p w14:paraId="0ACAA30D"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овладели городом и районным центром Станично-Луганское, железнодорожным узлом Кондрашевская, районным центром и железнодорожной станцией Ново-Айдар, районным центром Евсуг.</w:t>
      </w:r>
    </w:p>
    <w:p w14:paraId="1ADDECA3"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января частями нашей авиации на различных участках фронта уничтожено или повреждено более 100 автомашин с войсками и грузами, подавлен огонь 6 артиллерийских батарей, рассеяно и частью уничтожено до двух рот пехоты противника.</w:t>
      </w:r>
    </w:p>
    <w:p w14:paraId="4ECBE48F"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Южном фронте наши войска, отражая контратаки немцев, продолжали наступление. Противник оказывает упорное сопротивление. Ожесточённые бои происходят у каждого населённого пункта и выгодного рубежа. Одно село в течение дня трижды переходило из рук в руки. Исход боя решили советские танкисты. Атаковав врага с флангов, они подавили огневые средства немцев и вынудили их отступить. На подступах к селу и на его улицах осталось более 300 вражеских трупов, 5 подбитых танков и много брошенного гитлеровцами оружия и военного имущества. Взяты пленные.</w:t>
      </w:r>
    </w:p>
    <w:p w14:paraId="7F0C1664"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Юго-Западном фронте наши войска продолжали наступление. Продвигаясь вперёд, советские части овладели рядом населённых пунктов. На одном участке противник силою до полка пехоты с танками и при поддержке авиации предпринял до десяти контратак. Все контратаки гитлеровцев отбиты. В боях подбито и сожжено 16 танков и нанесены большие потери противнику в живой силе. Бойцы Н-ской части заняли несколько населённых пунктов, уничтожили до трёх рот немецкой пехоты. Ружейно-пулемётным огнём сбито два трёхмоторных самолёта противника.</w:t>
      </w:r>
    </w:p>
    <w:p w14:paraId="0DC3EF5F"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Воронежского фронта продолжали наступление на прежних направлениях, а частью сил уничтожали остатки окружённых дивизий противника. В районе северо-западнее Ольховатки наши войска разгромили части противника, истребили свыше 700 и захватили в плен 1.800 вражеских солдат и офицеров. Гвардейцы-кавалеристы внезапным ударом овладели аэродромом противника и захватили 15 самолётов, 150 автомашин и другие трофеи.</w:t>
      </w:r>
    </w:p>
    <w:p w14:paraId="30C2B880"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Великих Лук наши части вели успешные бои и заняли 9 населённых пунктов. Противник несёт большие потери в живой силе и технике. Только в одном населённом пункте осталось до 200 вражеских трупов, 6 танков, 4 миномёта и другое оружие.</w:t>
      </w:r>
    </w:p>
    <w:p w14:paraId="392CC7B0"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на Северном Кавказе заняли город Микоян-Шахар и десятки населённых пунктов. Особенно ожесточённые бои происходили в районе одного населённого пункта. Пехота противника при поддержке 30 танков контратаковала позиции Н-ской части. Наши бойцы отбили контратаку немцев и нанесли им большой урон. Истреблено несколько сот гитлеровцев, подбито 11 танков. Преследуя отступающего врага, наши подразделения продвинулись вперёд на 12 километров. На другом участке бойцы Н-ского соединения овладели двумя сильно укреплёнными опорными пунктами и подбили 6 танков противника. Захвачены большие трофеи и пленные.</w:t>
      </w:r>
    </w:p>
    <w:p w14:paraId="05F585D4"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Минской области, несколько дней вёл бои с карательной экспедицией немцев. Все попытки карателей ударами с флангов опрокинуть и разбить партизан провалились. Советские патриоты истребили до 200 гитлеровцев и прогнали карателей из одного района. Другой отряд минских партизан в январе месяце пустил под откос 6 немецких воинских эшелонов. Разбито 6 паровозов и 52 вагона. Кроме того, партизаны сожгли нефтебазу немецко-фашистских захватчиков.».</w:t>
      </w:r>
    </w:p>
    <w:p w14:paraId="371BD628"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41F38297"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города Сальск, Микоян-Шахар.</w:t>
      </w:r>
    </w:p>
    <w:p w14:paraId="35E5AE54"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января войска Южного фронта в результате решительной атаки овладелигородом и крупным железнодорожным узлом Сальск.</w:t>
      </w:r>
    </w:p>
    <w:p w14:paraId="475D8D54"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Закавказского фронта овладели городом Микоян-Шахар.» (15017).</w:t>
      </w:r>
    </w:p>
    <w:p w14:paraId="6B03ADEC" w14:textId="77777777" w:rsidR="0071306F" w:rsidRPr="00D03F3E" w:rsidRDefault="0071306F" w:rsidP="00D03F3E">
      <w:pPr>
        <w:spacing w:after="0" w:line="240" w:lineRule="auto"/>
        <w:jc w:val="both"/>
        <w:rPr>
          <w:rFonts w:ascii="Times New Roman" w:hAnsi="Times New Roman"/>
          <w:color w:val="000000" w:themeColor="text1"/>
          <w:sz w:val="16"/>
          <w:szCs w:val="16"/>
        </w:rPr>
      </w:pPr>
    </w:p>
    <w:p w14:paraId="073431D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января 1943 советские войска захватили крупную немецкую авиабазу в Сальске (4962).</w:t>
      </w:r>
    </w:p>
    <w:p w14:paraId="7868EFB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C19E9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января 1943 г. к-н И.Василенко поднял в воздух свой Ил-4 из состава 5-го Гв.МТАП для дальнего крейсерского полета. В течение 9 часов предстояло пройти по маршруту 2500 км, осмотреть коммуникации северо-западного района Черного моря, побывать у Севастополя, Очакова, Одессы, Сулины. Экипаж стартовал рано утром - с расчетом выполнить задание засветло. Погода для атаки была благоприятной, но для пилотирования и навигации машины - весьма сложной. Частые дождевые заряды, низкая облачность, сильный ветер, болтанка изматывали авиаторов. Обследовав район от Севастополя до мыса Тарханкут, направились через Каркинитский залив к Тендровской косе, затем к Одессе. Вокруг - только чистое море, хотя полет длился уже шесть часов. Солнце медленно клонилось к закату. Заканчивался выделенный для крейсерства запас горючего, и штурман к-н Н.Андриенко напомнил командиру, что до своего аэродрома около трех часов полета. Но летчики все же решили дойти до Сулины. И не зря. На подходах к Сулинскому гирлу Дуная они обнаружили конвой, который уже начал втягиваться в устье реки, направляясь в порт. Мгновенно снизившись до высоты 20 м, торпедоносец устремился к одному из транспортов. Фашистские корабли заметили его и встретили ожесточенным огнем. Вслед ударила и береговая артиллерия. Самолет шел среди шапок разрывов и водяных столбов. Все это выглядело как в страшном сне. Но Ил-4 уже лег на боевой курс, и ничто не могло ему помешать. Цель - в центре визира. Когда до нее осталось 500 м, Андриенко сбросил торпеду. Маневрировать было поздно: вокруг корабли охранения и при развороте вся плоскость машины оказалась бы под прицельным огнем. Самолет пронесся над противником, поливая его свинцом из трех бортовых пулеметов. Торпеда попала в цель и взорвалась. Транспорт загорелся и стал тонуть. Подошедшая к борту для оказания помощи баржа также запылала - очевидно, огонь перекинулся и на нее. Экипаж лег на курс к своему аэродрому, зафиксировав все происходящее на пленку. Однако победа далась нелегко - торпедоносец получил повреждения: пробита в нескольких местах штурманская кабина, с перебоями работал правый мотор. Ухудшилась и погода - прямо по курсу стояла низкая облачность, пришлось идти в полосе дождя при сильной болтанке. После двух часов полета стал хандрить и левый мотор. Летчик старался дотянуть до дома наикратчайшим путем. Когда до аэродрома оставалось 20 минут полета, правый мотор отказал. Торпедоносец начал терять высоту. Наступила ночь, видимость резко ухудшилась. Вести подбитую машину вслепую оказалось невозможным, и штурман проложил путь к ближайшей посадочной площадке - на мыс Пицунда. До берега дотянуть удалось, и летчик, используя только посадочную фару, сумел благополучно посадить самолет. За умелое выполнение боевого задания, мужество и героизм, проявленные в этом полете, к-н И.Василенко награжден орденом Красного Знамени, а штурман звена к-н Н.Андриенко - орденом Отечественной войны 1-й степени. А вот как описывает эту атаку автор монографии "Венгерский торговый флот во второй мировой войне", отставной капитан Золтан Петехази, пользовавшийся мадьярскими архивными документами. "22 января теплоход "Колошвар" 1030 брт./1200 т в охранении двух немецких тральщиков типа "В" подошел к Сулинскому рейду, где намечалось формирование большого конвоя. Тральщики оставили судно на рейде и направились к Сулине. В это время на судне услышали пролет на небольшой высоте одиночного самолета, с которого что-то упало в воду. Это была авиаторпеда. С командирского мостика заметили след из воздушных пузырей, но сама торпеда была сброшена на расстоянии всего около 120 метров. Командир Дениш Добузи немедленно начал маневрировать, но катастрофы избежать уже не удалось. Торпеда попала в корму судна и взорвалась в машинном отделении. Погибла вся машинная команда и 7 немецких зенитчиков, которые находились у кормового орудия (20-мм зенитного автомата ). Загорелась разлившаяся по воде нефть, и корма в одно мгновение была охвачена огнем. Капитан и старший помощник сразу занялись размещением уцелевших членов экипажа в спасательных шлюпках, чтобы покинуть полностью охваченное огнем судно. Корпус теплохода весь выгорел. То, что осталось, позже было отбуксировано на верфь "Ганц Данубиус" в Будапеште. Было найдено только тело главного механика, которое было похоронено на Сулинском кладбище. Из 34 человек экипажа погибли 14-7 венгров и 7 немцев." (2570,40).</w:t>
      </w:r>
    </w:p>
    <w:p w14:paraId="5AEEEA8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A89391"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5031D69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01A862"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января 1943 вышло Постановление ГКО № 2780 Об усилении борьбы с расхищением и разбазариванием продовольственных и промышленных товаров [и образовании в составе НКТ ГУ государственной торговой инспекции]. (7077, 2-8).</w:t>
      </w:r>
    </w:p>
    <w:p w14:paraId="11A58F6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7BD138" w14:textId="77777777" w:rsidR="003B66C2" w:rsidRPr="00D03F3E" w:rsidRDefault="003B66C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января 1943. Постановление ГКО "Об усилении борьбы с расхищением и разбазариванием продовольственных и промышленных товаров" (18963).</w:t>
      </w:r>
    </w:p>
    <w:p w14:paraId="0416008D" w14:textId="77777777" w:rsidR="003B66C2" w:rsidRPr="00D03F3E" w:rsidRDefault="003B66C2" w:rsidP="00D03F3E">
      <w:pPr>
        <w:spacing w:after="0" w:line="240" w:lineRule="auto"/>
        <w:jc w:val="both"/>
        <w:rPr>
          <w:rFonts w:ascii="Times New Roman" w:hAnsi="Times New Roman"/>
          <w:color w:val="000000" w:themeColor="text1"/>
          <w:sz w:val="16"/>
          <w:szCs w:val="16"/>
        </w:rPr>
      </w:pPr>
    </w:p>
    <w:p w14:paraId="5B1FE555"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lastRenderedPageBreak/>
        <w:t>За рубежом:</w:t>
      </w:r>
    </w:p>
    <w:p w14:paraId="71ADCBF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77882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января 1943 де Голль прибыл в Касабланку. Однако ничего, кроме коммюнике, провозглашавшего общую цель, - освобождение Франции, - из встречи не последовало. Рузвельт попытался в одностороннем порядке провозгласить Жиро главным представителем французских интересов. Это вызвало яростное противодействие Лондона.</w:t>
      </w:r>
    </w:p>
    <w:p w14:paraId="0BAEC83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Дипломатическая борьба Великобритании и США шла параллельно с переговорами между де Голлем и Жиро. Рузвельт не хотел видеть сильной Франции. В частном порядке он предлагал передать французский Индокитай и острова в Тихом океане под контроль Объединенных Наций, Дакар и Бизерту - США и Великобритании в качестве военных баз и создать буферное государство между Францией и Германией за счет Эльзас-Лотарингии. Великобритания, начинавшая ужасаться новому влиянию Соединенных Штатов, хотела видеть хотя бы еще одну сильную державу в Западной Европе помимо себя. Де Голль, как ни был он настроен независимо по отношению к Великобритании, был именно тем лидером, который был способен восстановить французское влияние, - насколько это было можно сделать вообще (3871).</w:t>
      </w:r>
    </w:p>
    <w:p w14:paraId="4B429D9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A5C1D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(23 - 3481) января 1943 был освобожден Триполи и силы немцев отступали в Тунис (2100).</w:t>
      </w:r>
    </w:p>
    <w:p w14:paraId="530A30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E8A963"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22 января</w:t>
      </w:r>
      <w:r w:rsidRPr="00D03F3E">
        <w:rPr>
          <w:rFonts w:ascii="Times New Roman" w:hAnsi="Times New Roman"/>
          <w:color w:val="000000" w:themeColor="text1"/>
          <w:sz w:val="16"/>
          <w:szCs w:val="16"/>
        </w:rPr>
        <w:t xml:space="preserve"> в 1943 году начало отхода японских войск с Гуадалканала (15017).</w:t>
      </w:r>
    </w:p>
    <w:p w14:paraId="20B71B06" w14:textId="77777777" w:rsidR="0071306F" w:rsidRPr="00D03F3E" w:rsidRDefault="0071306F" w:rsidP="00D03F3E">
      <w:pPr>
        <w:spacing w:after="0" w:line="240" w:lineRule="auto"/>
        <w:jc w:val="both"/>
        <w:rPr>
          <w:rFonts w:ascii="Times New Roman" w:hAnsi="Times New Roman"/>
          <w:color w:val="000000" w:themeColor="text1"/>
          <w:sz w:val="16"/>
          <w:szCs w:val="16"/>
        </w:rPr>
      </w:pPr>
    </w:p>
    <w:p w14:paraId="2B9489C6"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7C764D8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89947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23 января 1943 г. в 688-й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228-й </w:t>
      </w:r>
      <w:r w:rsidRPr="00D03F3E">
        <w:rPr>
          <w:rFonts w:ascii="Times New Roman" w:hAnsi="Times New Roman"/>
          <w:iCs/>
          <w:color w:val="000000" w:themeColor="text1"/>
          <w:sz w:val="16"/>
          <w:szCs w:val="16"/>
        </w:rPr>
        <w:t>шад</w:t>
      </w:r>
      <w:r w:rsidRPr="00D03F3E">
        <w:rPr>
          <w:rFonts w:ascii="Times New Roman" w:hAnsi="Times New Roman"/>
          <w:color w:val="000000" w:themeColor="text1"/>
          <w:sz w:val="16"/>
          <w:szCs w:val="16"/>
        </w:rPr>
        <w:t xml:space="preserve"> 16-й ВА под Сталинградом закончились войсковые испытания штурмовиков Ил-2 с пушками ШФК-37, которые проходили с 27 декабря 1942. Они принимали участие в боевых действи</w:t>
      </w:r>
      <w:r w:rsidRPr="00D03F3E">
        <w:rPr>
          <w:rFonts w:ascii="Times New Roman" w:hAnsi="Times New Roman"/>
          <w:color w:val="000000" w:themeColor="text1"/>
          <w:sz w:val="16"/>
          <w:szCs w:val="16"/>
        </w:rPr>
        <w:softHyphen/>
        <w:t>ях авиаполка при ликвидации немецкой окруженной группировки в полосе 65-й армии генерал-лейтенанта П.И.Батова. Боевые действия велись с полевых аэродромов сх. "Пролетарий", затем станицы Качалинская (6467).</w:t>
      </w:r>
    </w:p>
    <w:p w14:paraId="7611009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все время войсковых испытаний на фронте под Сталинградом Ил-2 с ШФК-37 совершили 75 боевых самоле</w:t>
      </w:r>
      <w:r w:rsidRPr="00D03F3E">
        <w:rPr>
          <w:rFonts w:ascii="Times New Roman" w:hAnsi="Times New Roman"/>
          <w:color w:val="000000" w:themeColor="text1"/>
          <w:sz w:val="16"/>
          <w:szCs w:val="16"/>
        </w:rPr>
        <w:softHyphen/>
        <w:t>то-вылетов с общим налетом 68 часов 42 минуты, выполняя задания совмест</w:t>
      </w:r>
      <w:r w:rsidRPr="00D03F3E">
        <w:rPr>
          <w:rFonts w:ascii="Times New Roman" w:hAnsi="Times New Roman"/>
          <w:color w:val="000000" w:themeColor="text1"/>
          <w:sz w:val="16"/>
          <w:szCs w:val="16"/>
        </w:rPr>
        <w:softHyphen/>
        <w:t>но с "Илами", вооруженными пушками ВЯ и ШВАК. Боевые вылеты выполня</w:t>
      </w:r>
      <w:r w:rsidRPr="00D03F3E">
        <w:rPr>
          <w:rFonts w:ascii="Times New Roman" w:hAnsi="Times New Roman"/>
          <w:color w:val="000000" w:themeColor="text1"/>
          <w:sz w:val="16"/>
          <w:szCs w:val="16"/>
        </w:rPr>
        <w:softHyphen/>
        <w:t>лись как без сопровождения, так и в со</w:t>
      </w:r>
      <w:r w:rsidRPr="00D03F3E">
        <w:rPr>
          <w:rFonts w:ascii="Times New Roman" w:hAnsi="Times New Roman"/>
          <w:color w:val="000000" w:themeColor="text1"/>
          <w:sz w:val="16"/>
          <w:szCs w:val="16"/>
        </w:rPr>
        <w:softHyphen/>
        <w:t>провождении истребителей. Один Ил-2 с ШФК-37 был сбит над целью, второй</w:t>
      </w:r>
    </w:p>
    <w:p w14:paraId="055010D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подбит (сел на вынужденную на ли</w:t>
      </w:r>
      <w:r w:rsidRPr="00D03F3E">
        <w:rPr>
          <w:rFonts w:ascii="Times New Roman" w:hAnsi="Times New Roman"/>
          <w:color w:val="000000" w:themeColor="text1"/>
          <w:sz w:val="16"/>
          <w:szCs w:val="16"/>
        </w:rPr>
        <w:softHyphen/>
        <w:t>нии фронта на нейтральной полосе и ввиду невозможности эвакуации был уничтожен бомбами). Остальные маши</w:t>
      </w:r>
      <w:r w:rsidRPr="00D03F3E">
        <w:rPr>
          <w:rFonts w:ascii="Times New Roman" w:hAnsi="Times New Roman"/>
          <w:color w:val="000000" w:themeColor="text1"/>
          <w:sz w:val="16"/>
          <w:szCs w:val="16"/>
        </w:rPr>
        <w:softHyphen/>
        <w:t>ны получили повреждения. От начала и до конца войсковых испытаний прошли только два "Ила", которые выполнили 44 боевых вылета.</w:t>
      </w:r>
    </w:p>
    <w:p w14:paraId="6BA2273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Штурмовики действовали главным образом по самолетам на аэродромах и автотранспорту противника. В отдель</w:t>
      </w:r>
      <w:r w:rsidRPr="00D03F3E">
        <w:rPr>
          <w:rFonts w:ascii="Times New Roman" w:hAnsi="Times New Roman"/>
          <w:color w:val="000000" w:themeColor="text1"/>
          <w:sz w:val="16"/>
          <w:szCs w:val="16"/>
        </w:rPr>
        <w:softHyphen/>
        <w:t>ных случаях - по огневым точкам на поле боя, ДЗОТам, бронемашинам и танкам. Общий расход боеприпасов составил: к пушкам ШФК-37 - 2255 снарядов, к пу</w:t>
      </w:r>
      <w:r w:rsidRPr="00D03F3E">
        <w:rPr>
          <w:rFonts w:ascii="Times New Roman" w:hAnsi="Times New Roman"/>
          <w:color w:val="000000" w:themeColor="text1"/>
          <w:sz w:val="16"/>
          <w:szCs w:val="16"/>
        </w:rPr>
        <w:softHyphen/>
        <w:t>леметам ШКАС - 26840 патронов, PC-82</w:t>
      </w:r>
    </w:p>
    <w:p w14:paraId="46C794D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- 523, фугасных авиабомб типа ФАБ-100</w:t>
      </w:r>
    </w:p>
    <w:p w14:paraId="71A6D67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-107, осколочных авиабомб типа АО-25 - 87.</w:t>
      </w:r>
    </w:p>
    <w:p w14:paraId="287FBBC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Атаки наземных целей производились с планирования под углами 25-30° с высот 1300-1000м. По донесениям лет</w:t>
      </w:r>
      <w:r w:rsidRPr="00D03F3E">
        <w:rPr>
          <w:rFonts w:ascii="Times New Roman" w:hAnsi="Times New Roman"/>
          <w:color w:val="000000" w:themeColor="text1"/>
          <w:sz w:val="16"/>
          <w:szCs w:val="16"/>
        </w:rPr>
        <w:softHyphen/>
        <w:t>чиков огнем пушек ШФК-37 было унич</w:t>
      </w:r>
      <w:r w:rsidRPr="00D03F3E">
        <w:rPr>
          <w:rFonts w:ascii="Times New Roman" w:hAnsi="Times New Roman"/>
          <w:color w:val="000000" w:themeColor="text1"/>
          <w:sz w:val="16"/>
          <w:szCs w:val="16"/>
        </w:rPr>
        <w:softHyphen/>
        <w:t>тожено 2 танка, 4 самолета на аэродро</w:t>
      </w:r>
      <w:r w:rsidRPr="00D03F3E">
        <w:rPr>
          <w:rFonts w:ascii="Times New Roman" w:hAnsi="Times New Roman"/>
          <w:color w:val="000000" w:themeColor="text1"/>
          <w:sz w:val="16"/>
          <w:szCs w:val="16"/>
        </w:rPr>
        <w:softHyphen/>
        <w:t>мах, около 50 автомашин, один склад с боеприпасами и 2 зенитные батареи. Кроме того, летчиками наблюдались по</w:t>
      </w:r>
      <w:r w:rsidRPr="00D03F3E">
        <w:rPr>
          <w:rFonts w:ascii="Times New Roman" w:hAnsi="Times New Roman"/>
          <w:color w:val="000000" w:themeColor="text1"/>
          <w:sz w:val="16"/>
          <w:szCs w:val="16"/>
        </w:rPr>
        <w:softHyphen/>
        <w:t>падания в 3 танка, 4 самолета, 14 авто</w:t>
      </w:r>
      <w:r w:rsidRPr="00D03F3E">
        <w:rPr>
          <w:rFonts w:ascii="Times New Roman" w:hAnsi="Times New Roman"/>
          <w:color w:val="000000" w:themeColor="text1"/>
          <w:sz w:val="16"/>
          <w:szCs w:val="16"/>
        </w:rPr>
        <w:softHyphen/>
        <w:t>машин и 1 бронемашину, но достовер</w:t>
      </w:r>
      <w:r w:rsidRPr="00D03F3E">
        <w:rPr>
          <w:rFonts w:ascii="Times New Roman" w:hAnsi="Times New Roman"/>
          <w:color w:val="000000" w:themeColor="text1"/>
          <w:sz w:val="16"/>
          <w:szCs w:val="16"/>
        </w:rPr>
        <w:softHyphen/>
        <w:t>ность поражения целей подтвердить не могли.</w:t>
      </w:r>
    </w:p>
    <w:p w14:paraId="47537BA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Средний расход боекомплекта к пуш</w:t>
      </w:r>
      <w:r w:rsidRPr="00D03F3E">
        <w:rPr>
          <w:rFonts w:ascii="Times New Roman" w:hAnsi="Times New Roman"/>
          <w:color w:val="000000" w:themeColor="text1"/>
          <w:sz w:val="16"/>
          <w:szCs w:val="16"/>
        </w:rPr>
        <w:softHyphen/>
        <w:t>кам ШФК-37 за один самолето-вылет составил 37,6%. Это, с одной стороны, говорит о том, что целей, достойных для пушек ШФК-37, в боевых вылетах было мало, а с другой стороны, указывает на недостаточную эффективность стрель</w:t>
      </w:r>
      <w:r w:rsidRPr="00D03F3E">
        <w:rPr>
          <w:rFonts w:ascii="Times New Roman" w:hAnsi="Times New Roman"/>
          <w:color w:val="000000" w:themeColor="text1"/>
          <w:sz w:val="16"/>
          <w:szCs w:val="16"/>
        </w:rPr>
        <w:softHyphen/>
        <w:t>бы с самолета Ил-2 из такой пушки по малоразмерным целям.</w:t>
      </w:r>
    </w:p>
    <w:p w14:paraId="68BBEF5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время войсковых испытаний отме</w:t>
      </w:r>
      <w:r w:rsidRPr="00D03F3E">
        <w:rPr>
          <w:rFonts w:ascii="Times New Roman" w:hAnsi="Times New Roman"/>
          <w:color w:val="000000" w:themeColor="text1"/>
          <w:sz w:val="16"/>
          <w:szCs w:val="16"/>
        </w:rPr>
        <w:softHyphen/>
        <w:t>чалось несколько случаев применения ШФК-37 по воздушным целям, но все они были неудачными.</w:t>
      </w:r>
    </w:p>
    <w:p w14:paraId="0CD9BA7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всего времени испытаний пушки ШФК-37 работали ненадежно -средний процент настрела боекомплекта, приходящийся на один отказ, составил всего 54%. То есть почти каждый вто</w:t>
      </w:r>
      <w:r w:rsidRPr="00D03F3E">
        <w:rPr>
          <w:rFonts w:ascii="Times New Roman" w:hAnsi="Times New Roman"/>
          <w:color w:val="000000" w:themeColor="text1"/>
          <w:sz w:val="16"/>
          <w:szCs w:val="16"/>
        </w:rPr>
        <w:softHyphen/>
        <w:t>рой вылет на боевое задание Ил-2 с пушками ШФК-37 сопровождался отказом хотя бы одной из пушек. Ведение же прицельной стрельбы из одной пуш</w:t>
      </w:r>
      <w:r w:rsidRPr="00D03F3E">
        <w:rPr>
          <w:rFonts w:ascii="Times New Roman" w:hAnsi="Times New Roman"/>
          <w:color w:val="000000" w:themeColor="text1"/>
          <w:sz w:val="16"/>
          <w:szCs w:val="16"/>
        </w:rPr>
        <w:softHyphen/>
        <w:t>ки было практически невозможным. Кро</w:t>
      </w:r>
      <w:r w:rsidRPr="00D03F3E">
        <w:rPr>
          <w:rFonts w:ascii="Times New Roman" w:hAnsi="Times New Roman"/>
          <w:color w:val="000000" w:themeColor="text1"/>
          <w:sz w:val="16"/>
          <w:szCs w:val="16"/>
        </w:rPr>
        <w:softHyphen/>
        <w:t>ме того, малый запас продольной устой</w:t>
      </w:r>
      <w:r w:rsidRPr="00D03F3E">
        <w:rPr>
          <w:rFonts w:ascii="Times New Roman" w:hAnsi="Times New Roman"/>
          <w:color w:val="000000" w:themeColor="text1"/>
          <w:sz w:val="16"/>
          <w:szCs w:val="16"/>
        </w:rPr>
        <w:softHyphen/>
        <w:t>чивости и усложнение техники пилоти</w:t>
      </w:r>
      <w:r w:rsidRPr="00D03F3E">
        <w:rPr>
          <w:rFonts w:ascii="Times New Roman" w:hAnsi="Times New Roman"/>
          <w:color w:val="000000" w:themeColor="text1"/>
          <w:sz w:val="16"/>
          <w:szCs w:val="16"/>
        </w:rPr>
        <w:softHyphen/>
        <w:t>рования самолета Ил-2 с пушками ШФК-37 в сочетании с недостаточной жесткостью крыльевых пушечных уста</w:t>
      </w:r>
      <w:r w:rsidRPr="00D03F3E">
        <w:rPr>
          <w:rFonts w:ascii="Times New Roman" w:hAnsi="Times New Roman"/>
          <w:color w:val="000000" w:themeColor="text1"/>
          <w:sz w:val="16"/>
          <w:szCs w:val="16"/>
        </w:rPr>
        <w:softHyphen/>
        <w:t>новок и сильной отдачей самих пушек при стрельбе приводили к тому, что стро</w:t>
      </w:r>
      <w:r w:rsidRPr="00D03F3E">
        <w:rPr>
          <w:rFonts w:ascii="Times New Roman" w:hAnsi="Times New Roman"/>
          <w:color w:val="000000" w:themeColor="text1"/>
          <w:sz w:val="16"/>
          <w:szCs w:val="16"/>
        </w:rPr>
        <w:softHyphen/>
        <w:t>евые летчики в одной прицельной оче</w:t>
      </w:r>
      <w:r w:rsidRPr="00D03F3E">
        <w:rPr>
          <w:rFonts w:ascii="Times New Roman" w:hAnsi="Times New Roman"/>
          <w:color w:val="000000" w:themeColor="text1"/>
          <w:sz w:val="16"/>
          <w:szCs w:val="16"/>
        </w:rPr>
        <w:softHyphen/>
        <w:t>реди могли использовать не более 2-3-х снарядов. Максимальная же бомбовая нагрузка штурмовика составляла всего 200 кг. Все это существенно снижало боевую ценность нового штурмовика.</w:t>
      </w:r>
    </w:p>
    <w:p w14:paraId="17D43E1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Оценки показывают, что в реальных условиях боев летчик с хорошей лет</w:t>
      </w:r>
      <w:r w:rsidRPr="00D03F3E">
        <w:rPr>
          <w:rFonts w:ascii="Times New Roman" w:hAnsi="Times New Roman"/>
          <w:color w:val="000000" w:themeColor="text1"/>
          <w:sz w:val="16"/>
          <w:szCs w:val="16"/>
        </w:rPr>
        <w:softHyphen/>
        <w:t>ной и стрелковой подготовкой на Ил-2 с ШФК-37 мог обеспечить вероятность поражения немецкого среднего танка типа Pz.111 G в одном заходе (атака сбо</w:t>
      </w:r>
      <w:r w:rsidRPr="00D03F3E">
        <w:rPr>
          <w:rFonts w:ascii="Times New Roman" w:hAnsi="Times New Roman"/>
          <w:color w:val="000000" w:themeColor="text1"/>
          <w:sz w:val="16"/>
          <w:szCs w:val="16"/>
        </w:rPr>
        <w:softHyphen/>
        <w:t>ку, угол планирования 25-30°, дистанция открытия огня 300-400 м) порядка 0,04-0,02, а бронетранспортера типа Sd Kfz 250 - около 0,09-0,06. То есть для га</w:t>
      </w:r>
      <w:r w:rsidRPr="00D03F3E">
        <w:rPr>
          <w:rFonts w:ascii="Times New Roman" w:hAnsi="Times New Roman"/>
          <w:color w:val="000000" w:themeColor="text1"/>
          <w:sz w:val="16"/>
          <w:szCs w:val="16"/>
        </w:rPr>
        <w:softHyphen/>
        <w:t>рантированного уничтожения на поле боя одной единицы бронетехники вер</w:t>
      </w:r>
      <w:r w:rsidRPr="00D03F3E">
        <w:rPr>
          <w:rFonts w:ascii="Times New Roman" w:hAnsi="Times New Roman"/>
          <w:color w:val="000000" w:themeColor="text1"/>
          <w:sz w:val="16"/>
          <w:szCs w:val="16"/>
        </w:rPr>
        <w:softHyphen/>
        <w:t>махта необходимо было выделять, как минимум, два десятка бронированных "Илов".</w:t>
      </w:r>
    </w:p>
    <w:p w14:paraId="445F4C7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установка пушек ШФК-37 на самолет Ил-2 у большинства стро</w:t>
      </w:r>
      <w:r w:rsidRPr="00D03F3E">
        <w:rPr>
          <w:rFonts w:ascii="Times New Roman" w:hAnsi="Times New Roman"/>
          <w:color w:val="000000" w:themeColor="text1"/>
          <w:sz w:val="16"/>
          <w:szCs w:val="16"/>
        </w:rPr>
        <w:softHyphen/>
        <w:t>евых летчиков поддержки не нашла.</w:t>
      </w:r>
    </w:p>
    <w:p w14:paraId="1705C6C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заключение "Доклада о войсковых испытаниях на боевое применение самоле</w:t>
      </w:r>
      <w:r w:rsidRPr="00D03F3E">
        <w:rPr>
          <w:rFonts w:ascii="Times New Roman" w:hAnsi="Times New Roman"/>
          <w:color w:val="000000" w:themeColor="text1"/>
          <w:sz w:val="16"/>
          <w:szCs w:val="16"/>
        </w:rPr>
        <w:softHyphen/>
        <w:t>тов Ил-2 АМ-38, вооруженных 37-мм пуш</w:t>
      </w:r>
      <w:r w:rsidRPr="00D03F3E">
        <w:rPr>
          <w:rFonts w:ascii="Times New Roman" w:hAnsi="Times New Roman"/>
          <w:color w:val="000000" w:themeColor="text1"/>
          <w:sz w:val="16"/>
          <w:szCs w:val="16"/>
        </w:rPr>
        <w:softHyphen/>
        <w:t>ками конструкции ОКБ-15" (отв. испол</w:t>
      </w:r>
      <w:r w:rsidRPr="00D03F3E">
        <w:rPr>
          <w:rFonts w:ascii="Times New Roman" w:hAnsi="Times New Roman"/>
          <w:color w:val="000000" w:themeColor="text1"/>
          <w:sz w:val="16"/>
          <w:szCs w:val="16"/>
        </w:rPr>
        <w:softHyphen/>
        <w:t xml:space="preserve">нители - Белякин, Никитин, Лорченко), указывалось, что: </w:t>
      </w:r>
      <w:r w:rsidRPr="00D03F3E">
        <w:rPr>
          <w:rFonts w:ascii="Times New Roman" w:hAnsi="Times New Roman"/>
          <w:iCs/>
          <w:color w:val="000000" w:themeColor="text1"/>
          <w:sz w:val="16"/>
          <w:szCs w:val="16"/>
        </w:rPr>
        <w:t>"1. Самолеты Ил-2 с пушкой ШФК-37, испытание на боевое применение не дали должной эффек</w:t>
      </w:r>
      <w:r w:rsidRPr="00D03F3E">
        <w:rPr>
          <w:rFonts w:ascii="Times New Roman" w:hAnsi="Times New Roman"/>
          <w:iCs/>
          <w:color w:val="000000" w:themeColor="text1"/>
          <w:sz w:val="16"/>
          <w:szCs w:val="16"/>
        </w:rPr>
        <w:softHyphen/>
        <w:t>тивности в связи с недоработкой пушек, невозможностью ведения прицельного огня по точечным целям, большим рас</w:t>
      </w:r>
      <w:r w:rsidRPr="00D03F3E">
        <w:rPr>
          <w:rFonts w:ascii="Times New Roman" w:hAnsi="Times New Roman"/>
          <w:iCs/>
          <w:color w:val="000000" w:themeColor="text1"/>
          <w:sz w:val="16"/>
          <w:szCs w:val="16"/>
        </w:rPr>
        <w:softHyphen/>
        <w:t>сеиванием снарядов и ухудшением ма</w:t>
      </w:r>
      <w:r w:rsidRPr="00D03F3E">
        <w:rPr>
          <w:rFonts w:ascii="Times New Roman" w:hAnsi="Times New Roman"/>
          <w:iCs/>
          <w:color w:val="000000" w:themeColor="text1"/>
          <w:sz w:val="16"/>
          <w:szCs w:val="16"/>
        </w:rPr>
        <w:softHyphen/>
        <w:t>невренности самолета. 2. Считать не</w:t>
      </w:r>
      <w:r w:rsidRPr="00D03F3E">
        <w:rPr>
          <w:rFonts w:ascii="Times New Roman" w:hAnsi="Times New Roman"/>
          <w:iCs/>
          <w:color w:val="000000" w:themeColor="text1"/>
          <w:sz w:val="16"/>
          <w:szCs w:val="16"/>
        </w:rPr>
        <w:softHyphen/>
        <w:t>обходимым иметь на вооружении ВВС КА самолеты Ил-2 с пушками 37 мм, обеспечивающими безотказную работу пушечных установок и ведение прицель</w:t>
      </w:r>
      <w:r w:rsidRPr="00D03F3E">
        <w:rPr>
          <w:rFonts w:ascii="Times New Roman" w:hAnsi="Times New Roman"/>
          <w:iCs/>
          <w:color w:val="000000" w:themeColor="text1"/>
          <w:sz w:val="16"/>
          <w:szCs w:val="16"/>
        </w:rPr>
        <w:softHyphen/>
        <w:t>ного огня, не допуская ухудшения лет</w:t>
      </w:r>
      <w:r w:rsidRPr="00D03F3E">
        <w:rPr>
          <w:rFonts w:ascii="Times New Roman" w:hAnsi="Times New Roman"/>
          <w:iCs/>
          <w:color w:val="000000" w:themeColor="text1"/>
          <w:sz w:val="16"/>
          <w:szCs w:val="16"/>
        </w:rPr>
        <w:softHyphen/>
        <w:t>ных качеств серийного самолета Ил-2... "</w:t>
      </w:r>
    </w:p>
    <w:p w14:paraId="53A78DB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От 688-го </w:t>
      </w:r>
      <w:r w:rsidRPr="00D03F3E">
        <w:rPr>
          <w:rFonts w:ascii="Times New Roman" w:hAnsi="Times New Roman"/>
          <w:iCs/>
          <w:color w:val="000000" w:themeColor="text1"/>
          <w:sz w:val="16"/>
          <w:szCs w:val="16"/>
        </w:rPr>
        <w:t>шап</w:t>
      </w:r>
      <w:r w:rsidRPr="00D03F3E">
        <w:rPr>
          <w:rFonts w:ascii="Times New Roman" w:hAnsi="Times New Roman"/>
          <w:color w:val="000000" w:themeColor="text1"/>
          <w:sz w:val="16"/>
          <w:szCs w:val="16"/>
        </w:rPr>
        <w:t xml:space="preserve"> доклад подписали: л-т Воловиков, ст.сержант Юсов, ст.сержант Дунов, сержант Сахариленко, ст.сержант Зыков, старшина Игнатьев. Утвердил доклад Главный инженер ВВС КА гене</w:t>
      </w:r>
      <w:r w:rsidRPr="00D03F3E">
        <w:rPr>
          <w:rFonts w:ascii="Times New Roman" w:hAnsi="Times New Roman"/>
          <w:color w:val="000000" w:themeColor="text1"/>
          <w:sz w:val="16"/>
          <w:szCs w:val="16"/>
        </w:rPr>
        <w:softHyphen/>
        <w:t>рал А.И.Репин 3 марта 1943 г.</w:t>
      </w:r>
    </w:p>
    <w:p w14:paraId="5DF3B17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итоге Ил-2 с ШФК-37 в крупномас</w:t>
      </w:r>
      <w:r w:rsidRPr="00D03F3E">
        <w:rPr>
          <w:rFonts w:ascii="Times New Roman" w:hAnsi="Times New Roman"/>
          <w:color w:val="000000" w:themeColor="text1"/>
          <w:sz w:val="16"/>
          <w:szCs w:val="16"/>
        </w:rPr>
        <w:softHyphen/>
        <w:t>штабное серийное производство запу</w:t>
      </w:r>
      <w:r w:rsidRPr="00D03F3E">
        <w:rPr>
          <w:rFonts w:ascii="Times New Roman" w:hAnsi="Times New Roman"/>
          <w:color w:val="000000" w:themeColor="text1"/>
          <w:sz w:val="16"/>
          <w:szCs w:val="16"/>
        </w:rPr>
        <w:softHyphen/>
        <w:t>щен не был (6467).</w:t>
      </w:r>
    </w:p>
    <w:p w14:paraId="68ED01B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67CC9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января 1943 под Сталинградом в составе 688-го шап 228-й шад 16-й ВА неудачей закончились войсковые испытания восьми одноместных Ил-2 с 37-мм пушками ШФК-37, которые проходили с 27 декабря 1942.</w:t>
      </w:r>
    </w:p>
    <w:p w14:paraId="14212B3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Малый запас продольной устойчивости и усложнение техники пилотирования самолета Ил-2 с пушками ШФК-37 в сочетании с недостаточной жесткостью крыльевых пушечных установок и сильной отдачей самих пушек при стрельбе приводили к тому, что строевые летчики в одной прицельной очереди могли использовать не более 2-3-х снарядов. Стрельба же из одной пушки была совершенно невозможной. Штурмовик сразу же разворачивался в сторону стреляющей пушки так, что ввести поправку в прицеливание не представлялось возможным. Попадание в цель, в этом случае, могло быть только первым снарядом.</w:t>
      </w:r>
    </w:p>
    <w:p w14:paraId="57833C0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установка пушек ШФК-37 на самолет Ил-2 у большинства строевых летчиков поддержки не нашла (8687).</w:t>
      </w:r>
    </w:p>
    <w:p w14:paraId="60A21BE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162EF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января 1943 Директора заводов № 16 и 22 направляют в НКАП докладную записку о начале работ в связи с предложением СПК по РУ (Там же) (10676).</w:t>
      </w:r>
    </w:p>
    <w:p w14:paraId="5C14615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E8305D" w14:textId="77777777" w:rsidR="003B66C2" w:rsidRPr="00D03F3E" w:rsidRDefault="003B66C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23 января 1943 г. директора 2-х заводов (22 и 16) сообщили о начале работ над РУ для Пе-2. Королев приступил к проектированию РУ-1 в 02.43. Это тяга </w:t>
      </w:r>
      <w:smartTag w:uri="urn:schemas-microsoft-com:office:smarttags" w:element="metricconverter">
        <w:smartTagPr>
          <w:attr w:name="ProductID" w:val="300 кг"/>
        </w:smartTagPr>
        <w:r w:rsidRPr="00D03F3E">
          <w:rPr>
            <w:rFonts w:ascii="Times New Roman" w:hAnsi="Times New Roman"/>
            <w:color w:val="000000" w:themeColor="text1"/>
            <w:sz w:val="16"/>
            <w:szCs w:val="16"/>
          </w:rPr>
          <w:t>300 кг</w:t>
        </w:r>
      </w:smartTag>
      <w:r w:rsidRPr="00D03F3E">
        <w:rPr>
          <w:rFonts w:ascii="Times New Roman" w:hAnsi="Times New Roman"/>
          <w:color w:val="000000" w:themeColor="text1"/>
          <w:sz w:val="16"/>
          <w:szCs w:val="16"/>
        </w:rPr>
        <w:t xml:space="preserve">., время работы 10 мин., запас топлива </w:t>
      </w:r>
      <w:smartTag w:uri="urn:schemas-microsoft-com:office:smarttags" w:element="metricconverter">
        <w:smartTagPr>
          <w:attr w:name="ProductID" w:val="900 кг"/>
        </w:smartTagPr>
        <w:r w:rsidRPr="00D03F3E">
          <w:rPr>
            <w:rFonts w:ascii="Times New Roman" w:hAnsi="Times New Roman"/>
            <w:color w:val="000000" w:themeColor="text1"/>
            <w:sz w:val="16"/>
            <w:szCs w:val="16"/>
          </w:rPr>
          <w:t>900 кг</w:t>
        </w:r>
      </w:smartTag>
      <w:r w:rsidRPr="00D03F3E">
        <w:rPr>
          <w:rFonts w:ascii="Times New Roman" w:hAnsi="Times New Roman"/>
          <w:color w:val="000000" w:themeColor="text1"/>
          <w:sz w:val="16"/>
          <w:szCs w:val="16"/>
        </w:rPr>
        <w:t xml:space="preserve">. РУ приводилась в работу при включенном поршневом двигателе М-105 РД. За автономную отработку двигателя РД-1 отвечал Севрук. Для отработки РУ-1 была создана группа № 5 Королева, которая состояла из специалистов 2-х заводов. Королев был назначен ГК РУ-1, но он был назначен и зам. ГК ОКБ Глушко, хотя Глушко никакого отношения к заводу № 22 не имел. Испытания РУ-1 начались с наземных испытаний на самолете. Затем облет самолета с запуском РУ или с земли или в полете. Первый полет РУ с включением на высоте произведен 01.09.43. Система зажигания хорошо работала на земле и до высоты </w:t>
      </w:r>
      <w:smartTag w:uri="urn:schemas-microsoft-com:office:smarttags" w:element="metricconverter">
        <w:smartTagPr>
          <w:attr w:name="ProductID" w:val="3,5 км"/>
        </w:smartTagPr>
        <w:r w:rsidRPr="00D03F3E">
          <w:rPr>
            <w:rFonts w:ascii="Times New Roman" w:hAnsi="Times New Roman"/>
            <w:color w:val="000000" w:themeColor="text1"/>
            <w:sz w:val="16"/>
            <w:szCs w:val="16"/>
          </w:rPr>
          <w:t>3,5 км</w:t>
        </w:r>
      </w:smartTag>
      <w:r w:rsidRPr="00D03F3E">
        <w:rPr>
          <w:rFonts w:ascii="Times New Roman" w:hAnsi="Times New Roman"/>
          <w:color w:val="000000" w:themeColor="text1"/>
          <w:sz w:val="16"/>
          <w:szCs w:val="16"/>
        </w:rPr>
        <w:t>. В 02.44. принято решение перейти на новую химическую систему зажигания. Ее автор А.Л. Мееров, химик НИИ-3, который был арестован после ареста Королева. Отработка нового зажигания велась до 06.03.45 г. Двигатель получил индекс РД-1ХЗ (19590).</w:t>
      </w:r>
    </w:p>
    <w:p w14:paraId="2A9411C4" w14:textId="77777777" w:rsidR="003B66C2" w:rsidRPr="00D03F3E" w:rsidRDefault="003B66C2" w:rsidP="00D03F3E">
      <w:pPr>
        <w:spacing w:after="0" w:line="240" w:lineRule="auto"/>
        <w:jc w:val="both"/>
        <w:rPr>
          <w:rFonts w:ascii="Times New Roman" w:hAnsi="Times New Roman"/>
          <w:color w:val="000000" w:themeColor="text1"/>
          <w:sz w:val="16"/>
          <w:szCs w:val="16"/>
        </w:rPr>
      </w:pPr>
    </w:p>
    <w:p w14:paraId="0D7A459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января 1943 С.П.К. совместно с В.П. Глушко написал докладную записку Л.П. Берии относительно РД, РУ и ракетопланов (Там же) (10676).</w:t>
      </w:r>
    </w:p>
    <w:p w14:paraId="26CCDDA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60AFD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января 1943 г. Королев и Глушко представили на имя Берии записку о ходе работ. В тот же день аналогичнычные записки подписали директора заводов № 16 и № 22 (10675).</w:t>
      </w:r>
    </w:p>
    <w:p w14:paraId="44472A0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23C3E6"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6C1F56B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4DEC8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января 1943 г. были подготовлены СООБРАЖЕНИЯ НАЧАЛЬНИКА ТЫЛА КА НАРКОМУ ОБОРОНЫ СССР И.В. СТАЛИНУ О ПЕРЕПОДЧИНЕНИИ АВТОРЕМОНТНОГО ЗАВОДА №2 ГАБТУ при выделении Главного автомобильного управления передало последнему ряд ремонтных автомобильных заводов с незначительной мощностью. Самый мощный автозавод № 2 в г. Москве ГБТУ оставило за собой.</w:t>
      </w:r>
    </w:p>
    <w:p w14:paraId="0D77558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Завод № 2 около 20 лет специализировался на ремонте автомашин. Удельный вес ремонта танкеток Т-27, Т-37 и бронемашин был незначителен. Так, за 2-е полугодие п.г. заводом было отремонтировано всего 30 тан</w:t>
      </w:r>
      <w:r w:rsidRPr="00D03F3E">
        <w:rPr>
          <w:rFonts w:ascii="Times New Roman" w:hAnsi="Times New Roman"/>
          <w:color w:val="000000" w:themeColor="text1"/>
          <w:sz w:val="16"/>
          <w:szCs w:val="16"/>
        </w:rPr>
        <w:softHyphen/>
        <w:t>кеток и 120 бронемашин, а по автомашинам - до 1200 ГАЗ-ААи 3200 моторов к автомобилям.</w:t>
      </w:r>
    </w:p>
    <w:p w14:paraId="3619D4A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Ремонтная база у Главного автомобильного управления слаба, а требуется восстановить до 80 000 автомашин.</w:t>
      </w:r>
    </w:p>
    <w:p w14:paraId="17FF904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Вашего указания ГБТУ о передаче авторемонтного завода № 2 в ведение Главного авто</w:t>
      </w:r>
      <w:r w:rsidRPr="00D03F3E">
        <w:rPr>
          <w:rFonts w:ascii="Times New Roman" w:hAnsi="Times New Roman"/>
          <w:color w:val="000000" w:themeColor="text1"/>
          <w:sz w:val="16"/>
          <w:szCs w:val="16"/>
        </w:rPr>
        <w:softHyphen/>
        <w:t>мобильного управления.</w:t>
      </w:r>
    </w:p>
    <w:p w14:paraId="424F324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тыла КА генерал-полковник интендантской службы Хрулев</w:t>
      </w:r>
    </w:p>
    <w:p w14:paraId="734803D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ГАВТУ КА генерал-майор Белокосков</w:t>
      </w:r>
    </w:p>
    <w:p w14:paraId="2CC81E3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11584. Д. 12. Л. 12. Копия (11403).</w:t>
      </w:r>
    </w:p>
    <w:p w14:paraId="143C901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70368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января 1943 г. была подготовлена ДОКЛАДНАЯ ЗАПИСКА ВОЕНПРЕДА НА ЗАВОДЕ №100 НАЧАЛЬНИКУ 6-го ОТДЕЛА БТУ ГАБТУ КА О ПРОВОДИМЫХ ОПЫТНЫХ РАБОТАХ №57</w:t>
      </w:r>
    </w:p>
    <w:p w14:paraId="55E84B5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Доношу, что за период с 10 по 20.01.1943 г. на заводе №100 проводились следующие опытные работы:</w:t>
      </w:r>
    </w:p>
    <w:p w14:paraId="4B9ECC9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Зимний запуск.</w:t>
      </w:r>
    </w:p>
    <w:p w14:paraId="261B154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Проверка разжижителей при низкой температуре.</w:t>
      </w:r>
    </w:p>
    <w:p w14:paraId="780CBBA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Испытанием выявлено, что дизельтопливо является удовлетворительным разжижителем до температуры минус 20°С.</w:t>
      </w:r>
    </w:p>
    <w:p w14:paraId="1B88EF7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температуре ниже минус 20°С применять дизельтопливо в качестве разжижителя нельзя, так как при этих температурах дизельтопливо плохо разжижает масло.</w:t>
      </w:r>
    </w:p>
    <w:p w14:paraId="6F572F0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Керосин является разжижителем практически при всяких температурах, но в то же время его применять нежелательно, так как он очень трудно испаряется, а потому, попадая в общий маслобак, он разжижает всю массу масла в баке.</w:t>
      </w:r>
    </w:p>
    <w:p w14:paraId="7EB4CD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Бензин является хорошим разжижителем при всяких низких температурах и сравнительно быстро испаряется, а потому его применение (особенно Б-70 и КБ-70) в качестве разжижителя весьма желательно, а при температуре ниже минус 20°С применение его в качестве разжижителя обязательно.</w:t>
      </w:r>
    </w:p>
    <w:p w14:paraId="793CA84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Проверка приспособлений для облегчения проворачивания двигателя.</w:t>
      </w:r>
    </w:p>
    <w:p w14:paraId="2711751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Маслоперепускное устройство, установленное на танке Т-34, проверялось при температурах от минус 20°С до минус 35°С.</w:t>
      </w:r>
    </w:p>
    <w:p w14:paraId="63C64C4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Разработана, проверена и уточнена инструкция пользования этим приспособлением.</w:t>
      </w:r>
    </w:p>
    <w:p w14:paraId="4968ED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Ложный циркуляционный маслобачек танка КВ-1С подвергался проверке работоспособности при низких температурах при работе на месте и в пробегах. Разработана инструкция пользования ложным бачком.</w:t>
      </w:r>
    </w:p>
    <w:p w14:paraId="596C19B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Испытаниями установлено, что приспособления танка Т-34 и КВ-1С работоспособны при соблю</w:t>
      </w:r>
      <w:r w:rsidRPr="00D03F3E">
        <w:rPr>
          <w:rFonts w:ascii="Times New Roman" w:hAnsi="Times New Roman"/>
          <w:color w:val="000000" w:themeColor="text1"/>
          <w:sz w:val="16"/>
          <w:szCs w:val="16"/>
        </w:rPr>
        <w:softHyphen/>
        <w:t>дении инструкций.</w:t>
      </w:r>
    </w:p>
    <w:p w14:paraId="2322A57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Одновременно выявлено следующее:</w:t>
      </w:r>
    </w:p>
    <w:p w14:paraId="0332C45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Топливо из смеси газойль — 50% плюс Ишимбаевский керосин 50% при температурах ниже - 30-35°С применять нельзя, так как смесь становится настолько вязкой, что с трудом проходит через отверстия в форсунках и плохо распыляется.</w:t>
      </w:r>
    </w:p>
    <w:p w14:paraId="4DA2E59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этих температурах необходимо добавлять керосин до 75%.</w:t>
      </w:r>
    </w:p>
    <w:p w14:paraId="7D4FB81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Испытание и проверка приспособлений для подогрева воздуха во всасывающих коллекторах при низких температурах.</w:t>
      </w:r>
    </w:p>
    <w:p w14:paraId="7656251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Подогрев воздуха во всасывающих коллекторах на танке Т-34 по схеме, состоящей из форсун</w:t>
      </w:r>
      <w:r w:rsidRPr="00D03F3E">
        <w:rPr>
          <w:rFonts w:ascii="Times New Roman" w:hAnsi="Times New Roman"/>
          <w:color w:val="000000" w:themeColor="text1"/>
          <w:sz w:val="16"/>
          <w:szCs w:val="16"/>
        </w:rPr>
        <w:softHyphen/>
        <w:t>ки типа пульверизатора, автосвечи, бабины и ручного насоса Т-34. При испытании установлено, что при температурах минус 35°С густое топливо из баков тяжело проходит через отверстия форсунки и плохо распыляется. Автосвеча работает хорошо.</w:t>
      </w:r>
    </w:p>
    <w:p w14:paraId="61D9E25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Подогрев воздуха во всасывающих коллекторах на танке КВ— 1С. Приспособление состоит из дополнительного патрубка к всасывающему коллектору, выведенного в боевое отделение. В этот патрубок в момент прокручивания мотора вставляют горящий факел, который подогревает воздух. Подогрев примитивен, прост, но абсолютно надежен в работе и полностью решает вопрос подогрева воздуха во время запуска.</w:t>
      </w:r>
    </w:p>
    <w:p w14:paraId="7ECDB8C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основании этих испытаний установлено, что такой способ подогрева допустим в танке и дает большой эффект, а потому можно его рекомендовать для установки на серию.</w:t>
      </w:r>
    </w:p>
    <w:p w14:paraId="35360CC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всех испытаниях приспособлений, облегчающих проворачивание двигателя и облегчающих вспышки в цилиндрах, установлено, что все достижения в этой области сводятся на нет из-за отказа работы аккумуляторов на морозе. Аккумуляторы необходимо подогревать.</w:t>
      </w:r>
    </w:p>
    <w:p w14:paraId="7594CC3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температурах минус 30-35°С сжатым воздухом дизельмотор В-2 завести очень трудно, а в большинстве случаев — невозможно.</w:t>
      </w:r>
    </w:p>
    <w:p w14:paraId="686A397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 Испытание половинчатых траков гусеницы, обрезиненных по прокату ободов, опорных колес и КПП с чугунным картером, установленным на танке Т-34 №21214.</w:t>
      </w:r>
    </w:p>
    <w:p w14:paraId="4E2C213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прошел 260 км. Мотор отработал 23 часа 11 мин и требует замены. Замечаний по объектам испытаний пока нет.</w:t>
      </w:r>
    </w:p>
    <w:p w14:paraId="0E0211C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III. Дизель Д-2.</w:t>
      </w:r>
    </w:p>
    <w:p w14:paraId="00716D0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Сборка 12-цилиндрового У-образного мотора в основном закончена. В ближайшее время мотор будет проходить заводские испытания на стенде, а также начаты испытания Д-20 (двух</w:t>
      </w:r>
      <w:r w:rsidRPr="00D03F3E">
        <w:rPr>
          <w:rFonts w:ascii="Times New Roman" w:hAnsi="Times New Roman"/>
          <w:color w:val="000000" w:themeColor="text1"/>
          <w:sz w:val="16"/>
          <w:szCs w:val="16"/>
        </w:rPr>
        <w:softHyphen/>
        <w:t>тактного 6-цилиндрового однорядного дизеля).</w:t>
      </w:r>
    </w:p>
    <w:p w14:paraId="1A70FFB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IV. Начат монтаж планетарной трансмиссии КВ-1 конструкции института им. Баумана.</w:t>
      </w:r>
    </w:p>
    <w:p w14:paraId="7C0FA6B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Военпред ГАБТУ КА инженер-майор Скрибцов</w:t>
      </w:r>
    </w:p>
    <w:p w14:paraId="7F7C850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1377. Л. 50-51. Подлинник (11203).</w:t>
      </w:r>
    </w:p>
    <w:p w14:paraId="6708300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27C90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января 1943 на полигоне близ челябинска сделали первые выстрелу из СУ-152 (5008, 121).</w:t>
      </w:r>
    </w:p>
    <w:p w14:paraId="5157B96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70968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утру 23 января 1943 все монтажные работы по сборке САУ-152 были завершены. Артиллерийская система прибыла на завод вечером этого дня (6001,20).</w:t>
      </w:r>
    </w:p>
    <w:p w14:paraId="534BD1B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BA6D45" w14:textId="77777777" w:rsidR="00E56A12" w:rsidRPr="00D03F3E" w:rsidRDefault="00E56A12" w:rsidP="00D03F3E">
      <w:pPr>
        <w:pStyle w:val="a3"/>
        <w:rPr>
          <w:color w:val="000000" w:themeColor="text1"/>
          <w:lang w:val="ru-RU"/>
        </w:rPr>
      </w:pPr>
      <w:r w:rsidRPr="00D03F3E">
        <w:rPr>
          <w:color w:val="000000" w:themeColor="text1"/>
          <w:lang w:val="ru-RU"/>
        </w:rPr>
        <w:t xml:space="preserve">К утру 23 января 1943 сборку опытного образца </w:t>
      </w:r>
      <w:r w:rsidRPr="00D03F3E">
        <w:rPr>
          <w:color w:val="000000" w:themeColor="text1"/>
        </w:rPr>
        <w:t>KB</w:t>
      </w:r>
      <w:r w:rsidRPr="00D03F3E">
        <w:rPr>
          <w:color w:val="000000" w:themeColor="text1"/>
          <w:lang w:val="ru-RU"/>
        </w:rPr>
        <w:t>-14 в общем и целом завершили, задерживала окончание работ лишь орудийная система, ко</w:t>
      </w:r>
      <w:r w:rsidRPr="00D03F3E">
        <w:rPr>
          <w:color w:val="000000" w:themeColor="text1"/>
          <w:lang w:val="ru-RU"/>
        </w:rPr>
        <w:softHyphen/>
        <w:t>торая прибыла вечером. Монтаж орудия шел всю ночь, и на следующий день, раньше предполагаемого срока, сборку закончили. По заверше</w:t>
      </w:r>
      <w:r w:rsidRPr="00D03F3E">
        <w:rPr>
          <w:color w:val="000000" w:themeColor="text1"/>
          <w:lang w:val="ru-RU"/>
        </w:rPr>
        <w:softHyphen/>
        <w:t xml:space="preserve">нии сборки, как и предполагалось, </w:t>
      </w:r>
      <w:r w:rsidRPr="00D03F3E">
        <w:rPr>
          <w:color w:val="000000" w:themeColor="text1"/>
        </w:rPr>
        <w:t>KB</w:t>
      </w:r>
      <w:r w:rsidRPr="00D03F3E">
        <w:rPr>
          <w:color w:val="000000" w:themeColor="text1"/>
          <w:lang w:val="ru-RU"/>
        </w:rPr>
        <w:t>-14 с серийным номером 3011 от</w:t>
      </w:r>
      <w:r w:rsidRPr="00D03F3E">
        <w:rPr>
          <w:color w:val="000000" w:themeColor="text1"/>
          <w:lang w:val="ru-RU"/>
        </w:rPr>
        <w:softHyphen/>
        <w:t>правился на заводские испытания, которые закончились 29 января. С момента подписания Гинзбургом ТТТ на установку в КВ-7 152-мм гаубицы к тому моменту прошел ровно год...(17484).</w:t>
      </w:r>
    </w:p>
    <w:p w14:paraId="70FEC495" w14:textId="77777777" w:rsidR="00E56A12" w:rsidRPr="00D03F3E" w:rsidRDefault="00E56A12" w:rsidP="00D03F3E">
      <w:pPr>
        <w:spacing w:after="0" w:line="240" w:lineRule="auto"/>
        <w:jc w:val="both"/>
        <w:rPr>
          <w:rFonts w:ascii="Times New Roman" w:hAnsi="Times New Roman"/>
          <w:color w:val="000000" w:themeColor="text1"/>
          <w:sz w:val="16"/>
          <w:szCs w:val="16"/>
        </w:rPr>
      </w:pPr>
    </w:p>
    <w:p w14:paraId="78C88422" w14:textId="77777777" w:rsidR="00683FE3" w:rsidRPr="00D03F3E"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23 января 1943 к утру сборка опытного образца КВ-14 в основном завершилась. Задерживало окончание работ лишь отсутствие орудийной системы, которая прибыла вечером. Монтаж орудия шёл всю ночь, и на следующий день, раньше предполагаемого срока, сборку закончили. Затем, как и планировалось, КВ-14 с серийным номером 3011 отправился на заводские испытания, которые закончились 29 января. Далее последовали полигонные испытания. По программе КВ-14 должен был пройти в общей сложности 200 километров. Из МЛ-20 планировалось произвести 296 выстрелов.</w:t>
      </w:r>
    </w:p>
    <w:p w14:paraId="3F81FDDE" w14:textId="77777777" w:rsidR="00683FE3" w:rsidRPr="00D03F3E"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200 километров, впрочем, пройти не удалось, по пути на полигон САУ проехала 85 километров, а обратно – 88 километров. Выдвижение на полигон происходило в очень суровых условиях. Мало того, что шоссе замело снегом, так еще и температура воздуха составляла –42 градуса. В топливе оказалась вода, что приводило к частым остановкам двигателя. В результате 85 километров КВ-14 прошел за 13 часов. Стрельбы проходили по сокращенной программе: вместо 296 выстрелов было произведено 234, из них 100 – усиленными зарядами. По итогам испытаний на прочность деформаций на орудии и установочных деталях обнаружено не было. В ходе испытаний на скорострельность при использовании укладок первой очереди удалось добиться среднего результата 2,8 выстрела в минуту. Это было меньше аналогичного показателя в требованиях, но вполне неплохо для орудия столь большого калибра.</w:t>
      </w:r>
    </w:p>
    <w:p w14:paraId="78F50EAD" w14:textId="77777777" w:rsidR="00683FE3" w:rsidRPr="00D03F3E"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По итогам испытаний комиссия сделала следующее заключение:</w:t>
      </w:r>
    </w:p>
    <w:p w14:paraId="6C410BAA" w14:textId="77777777" w:rsidR="00683FE3" w:rsidRPr="00D03F3E"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w:t>
      </w:r>
      <w:r w:rsidRPr="00D03F3E">
        <w:rPr>
          <w:rFonts w:ascii="Times New Roman" w:eastAsia="Times New Roman" w:hAnsi="Times New Roman"/>
          <w:iCs/>
          <w:color w:val="000000" w:themeColor="text1"/>
          <w:sz w:val="16"/>
          <w:szCs w:val="16"/>
          <w:lang w:eastAsia="ru-RU"/>
        </w:rPr>
        <w:t xml:space="preserve">1. Опытный образец самоходной артиллерийской установки со 152 мм гаубицей-пушкой обр. 1937 года на базе танка КВ-1С, разработанный конструкторами Кировского завода Наркомтанкопрома и заводов №172 и №9 Наркомата Вооружения, и изготовленный по артиллерийской части заводом №172 им Молотова НКВ, а по самоходной части Кировским заводом НКТП, требованиям по выполнению задач, возлагаемых на этот тип самоходной артиллерии, удовлетворяет и полигонные испытания выдержал. </w:t>
      </w:r>
    </w:p>
    <w:p w14:paraId="16696CAD" w14:textId="77777777" w:rsidR="00683FE3" w:rsidRPr="00D03F3E"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2. Рекомендовать эту самоходную артиллерийскую установку к принятию на вооружение артиллерии Красной Армии и немедленному запуску в серийное производство с введением изменений по пункту А раздела VI настоящего отчета.</w:t>
      </w:r>
    </w:p>
    <w:p w14:paraId="657ADC52" w14:textId="77777777" w:rsidR="00683FE3" w:rsidRPr="00D03F3E"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3. Считать целесообразным поручить Кировскому заводу Наркомтанкопрома и заводам №172 и №9 Наркомата Вооружения разработать проект самоходной установки с изменениями по пункту Б раздела VIнастоящего отчета, представив его на рассмотрения Артиллерийского Комитета к 15 марта сего года».</w:t>
      </w:r>
    </w:p>
    <w:p w14:paraId="35632DD3" w14:textId="77777777" w:rsidR="00683FE3" w:rsidRPr="00D03F3E"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требований. По заданию расчет КВ-14 должен был состоять из 6 человек, но габариты боевого отделения не оставляли для радиста свободного пространства. Эта проблема была решена посредством передачи обязанностей радиста командиру орудия. Кроме того, объемы боевого отделения не позволили использовать штатные баки танка КВ-1С. Вместо них вдоль правых бортов рубки были размещены топливные баки общим объемом 480 литров. Подобное размещение баков значительно увеличивало шанс попадания в них вражеских снарядов, но при столь плотной компоновке девать топливные баки было больше некуда.</w:t>
      </w:r>
    </w:p>
    <w:p w14:paraId="38E1D10B" w14:textId="77777777" w:rsidR="00683FE3" w:rsidRPr="00D03F3E"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Некоторым изменениям подвергся и исходный проект КБ Кировского завода. В соответствии с требованиями ГБТУ танки и самоходные установки оборудовались поручнями, за которые держался перевозимый десант. Хотя изначально поручней на КВ-14 не было предусмотрено, на опытной машине они уже появились.</w:t>
      </w:r>
    </w:p>
    <w:p w14:paraId="4A1D6139" w14:textId="77777777" w:rsidR="00683FE3" w:rsidRPr="00D03F3E"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lastRenderedPageBreak/>
        <w:t>СУ-152 оказалась единственной из трёх машин (СУ-35 (СУ-122) и СУ-12 (СУ-76)), запущенной в серию в практически неизменном по сравнению с опытным образцом виде. Разумеется, определенные недостатки у неё имелись. Еще в ходе испытаний комиссия составила список необходимых улучшений более чем из десятка пунктов. Предлагалось расширить боевое отделение в кормовой части, сделать орудие МЛ-20 с клиновым затвором, вынести баки из боевого отделения. Эти изменения, впрочем, в конструкцию машины так и не были внесены (17696).</w:t>
      </w:r>
    </w:p>
    <w:p w14:paraId="64279375" w14:textId="77777777" w:rsidR="00683FE3" w:rsidRPr="00D03F3E" w:rsidRDefault="00683FE3" w:rsidP="00D03F3E">
      <w:pPr>
        <w:pStyle w:val="12a"/>
        <w:shd w:val="clear" w:color="auto" w:fill="auto"/>
        <w:spacing w:after="0" w:line="240" w:lineRule="auto"/>
        <w:jc w:val="both"/>
        <w:rPr>
          <w:color w:val="000000" w:themeColor="text1"/>
          <w:sz w:val="16"/>
          <w:szCs w:val="16"/>
        </w:rPr>
      </w:pPr>
    </w:p>
    <w:p w14:paraId="5D50E1D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утру 23 января опытный образец САУ был в целом готов, ожидали лишь прибытия орудия, которое бы</w:t>
      </w:r>
      <w:r w:rsidRPr="00D03F3E">
        <w:rPr>
          <w:rFonts w:ascii="Times New Roman" w:hAnsi="Times New Roman"/>
          <w:color w:val="000000" w:themeColor="text1"/>
          <w:sz w:val="16"/>
          <w:szCs w:val="16"/>
        </w:rPr>
        <w:softHyphen/>
        <w:t>ло доставлено поздно вечером. Монтаж орудия шел всю ночь, и на следующий день опытный образец новой боевой машины отправился на Че</w:t>
      </w:r>
      <w:r w:rsidRPr="00D03F3E">
        <w:rPr>
          <w:rFonts w:ascii="Times New Roman" w:hAnsi="Times New Roman"/>
          <w:color w:val="000000" w:themeColor="text1"/>
          <w:sz w:val="16"/>
          <w:szCs w:val="16"/>
        </w:rPr>
        <w:softHyphen/>
        <w:t>лябинский (Чебаркульский) артиллерийский полигон, где успешно выдержал испытания. Постановлением ГКО №2859 от 9 февраля 1943 г. танк КВ-14 («Объект 236»), или самоход СУ-14 (не путать с довоенной САУ конструкции П.Н. Сячинтова — С.А. Гинзбурга), был принят на воору</w:t>
      </w:r>
      <w:r w:rsidRPr="00D03F3E">
        <w:rPr>
          <w:rFonts w:ascii="Times New Roman" w:hAnsi="Times New Roman"/>
          <w:color w:val="000000" w:themeColor="text1"/>
          <w:sz w:val="16"/>
          <w:szCs w:val="16"/>
        </w:rPr>
        <w:softHyphen/>
        <w:t>жение Красной Армии под индексом СУ-152.</w:t>
      </w:r>
    </w:p>
    <w:p w14:paraId="02F4FC5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Тактико-технические характеристики первых САУ по программе 1941-1942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69"/>
        <w:gridCol w:w="749"/>
        <w:gridCol w:w="1344"/>
        <w:gridCol w:w="1027"/>
        <w:gridCol w:w="1085"/>
      </w:tblGrid>
      <w:tr w:rsidR="00860B4B" w:rsidRPr="00D03F3E" w14:paraId="3B53DD7E" w14:textId="77777777">
        <w:trPr>
          <w:trHeight w:val="202"/>
        </w:trPr>
        <w:tc>
          <w:tcPr>
            <w:tcW w:w="1469" w:type="dxa"/>
            <w:tcBorders>
              <w:top w:val="single" w:sz="12" w:space="0" w:color="auto"/>
            </w:tcBorders>
          </w:tcPr>
          <w:p w14:paraId="0B81DD3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105CA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12" w:space="0" w:color="auto"/>
            </w:tcBorders>
          </w:tcPr>
          <w:p w14:paraId="5EBE483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76-мм</w:t>
            </w:r>
          </w:p>
          <w:p w14:paraId="44E48E3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12" w:space="0" w:color="auto"/>
            </w:tcBorders>
          </w:tcPr>
          <w:p w14:paraId="0F302F9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76-мм</w:t>
            </w:r>
          </w:p>
          <w:p w14:paraId="469D9CE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12" w:space="0" w:color="auto"/>
            </w:tcBorders>
          </w:tcPr>
          <w:p w14:paraId="279816F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122-мм</w:t>
            </w:r>
          </w:p>
          <w:p w14:paraId="10B6CB0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12" w:space="0" w:color="auto"/>
            </w:tcBorders>
          </w:tcPr>
          <w:p w14:paraId="4F98246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76-мм</w:t>
            </w:r>
          </w:p>
          <w:p w14:paraId="1AB8B71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E57B705" w14:textId="77777777">
        <w:trPr>
          <w:trHeight w:val="202"/>
        </w:trPr>
        <w:tc>
          <w:tcPr>
            <w:tcW w:w="1469" w:type="dxa"/>
          </w:tcPr>
          <w:p w14:paraId="1B650E3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ТТХ / Матса САУ</w:t>
            </w:r>
          </w:p>
          <w:p w14:paraId="0EDEBC2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1E5072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 з-да 37</w:t>
            </w:r>
          </w:p>
          <w:p w14:paraId="1A5014A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0D33ED1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У-33</w:t>
            </w:r>
          </w:p>
          <w:p w14:paraId="1C1BFA6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78611F5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СУ-122(У-35)</w:t>
            </w:r>
          </w:p>
          <w:p w14:paraId="40FC777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307F094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КВ-7</w:t>
            </w:r>
          </w:p>
          <w:p w14:paraId="14940A3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0AADBC3" w14:textId="77777777">
        <w:trPr>
          <w:trHeight w:val="182"/>
        </w:trPr>
        <w:tc>
          <w:tcPr>
            <w:tcW w:w="1469" w:type="dxa"/>
          </w:tcPr>
          <w:p w14:paraId="5614FDA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Боевая масса, кг</w:t>
            </w:r>
          </w:p>
          <w:p w14:paraId="7E53CA6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F88D05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8200</w:t>
            </w:r>
          </w:p>
          <w:p w14:paraId="6EADB4C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8FD3D6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26000</w:t>
            </w:r>
          </w:p>
          <w:p w14:paraId="4628EBF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AF2076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30800</w:t>
            </w:r>
          </w:p>
          <w:p w14:paraId="2212C0A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4749B8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46800</w:t>
            </w:r>
          </w:p>
          <w:p w14:paraId="487F8F5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1695539" w14:textId="77777777">
        <w:trPr>
          <w:trHeight w:val="182"/>
        </w:trPr>
        <w:tc>
          <w:tcPr>
            <w:tcW w:w="1469" w:type="dxa"/>
          </w:tcPr>
          <w:p w14:paraId="15BDBBE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 чел.</w:t>
            </w:r>
          </w:p>
          <w:p w14:paraId="2ADE749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32CBA3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55F0FAF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8D8C2E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4EB9E45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4C79E84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p w14:paraId="7BD18DC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3138701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p w14:paraId="5D31251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D15A8FD" w14:textId="77777777">
        <w:trPr>
          <w:trHeight w:val="173"/>
        </w:trPr>
        <w:tc>
          <w:tcPr>
            <w:tcW w:w="5674" w:type="dxa"/>
            <w:gridSpan w:val="5"/>
          </w:tcPr>
          <w:p w14:paraId="00F7527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Размерения, мм</w:t>
            </w:r>
          </w:p>
          <w:p w14:paraId="2B22474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CF04F38" w14:textId="77777777">
        <w:trPr>
          <w:trHeight w:val="202"/>
        </w:trPr>
        <w:tc>
          <w:tcPr>
            <w:tcW w:w="1469" w:type="dxa"/>
          </w:tcPr>
          <w:p w14:paraId="2300E5B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общая</w:t>
            </w:r>
          </w:p>
          <w:p w14:paraId="7479599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E6E29C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9450</w:t>
            </w:r>
          </w:p>
          <w:p w14:paraId="13468FB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5051FA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6680</w:t>
            </w:r>
          </w:p>
          <w:p w14:paraId="009C02E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7C289C2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6950</w:t>
            </w:r>
          </w:p>
          <w:p w14:paraId="3CFB798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1671407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6750</w:t>
            </w:r>
          </w:p>
          <w:p w14:paraId="11C3506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78A552D" w14:textId="77777777">
        <w:trPr>
          <w:trHeight w:val="182"/>
        </w:trPr>
        <w:tc>
          <w:tcPr>
            <w:tcW w:w="1469" w:type="dxa"/>
          </w:tcPr>
          <w:p w14:paraId="7A1BDBF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Ширина</w:t>
            </w:r>
          </w:p>
          <w:p w14:paraId="19D2EE5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C0E8EC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3240</w:t>
            </w:r>
          </w:p>
          <w:p w14:paraId="6588E00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4F06738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3000</w:t>
            </w:r>
          </w:p>
          <w:p w14:paraId="458B1B3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049F317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3000</w:t>
            </w:r>
          </w:p>
          <w:p w14:paraId="6A3A90E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63D6D25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3250</w:t>
            </w:r>
          </w:p>
          <w:p w14:paraId="4350A30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97578C5" w14:textId="77777777">
        <w:trPr>
          <w:trHeight w:val="182"/>
        </w:trPr>
        <w:tc>
          <w:tcPr>
            <w:tcW w:w="1469" w:type="dxa"/>
          </w:tcPr>
          <w:p w14:paraId="60F263D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Высота</w:t>
            </w:r>
          </w:p>
          <w:p w14:paraId="4DECBCF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E1A40B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3050</w:t>
            </w:r>
          </w:p>
          <w:p w14:paraId="2031CFC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31FBCAB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2450</w:t>
            </w:r>
          </w:p>
          <w:p w14:paraId="239CEA1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55CDF1E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2335</w:t>
            </w:r>
          </w:p>
          <w:p w14:paraId="58C66B4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F0DA73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2410</w:t>
            </w:r>
          </w:p>
          <w:p w14:paraId="59D55D9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8A87816" w14:textId="77777777">
        <w:trPr>
          <w:trHeight w:val="202"/>
        </w:trPr>
        <w:tc>
          <w:tcPr>
            <w:tcW w:w="1469" w:type="dxa"/>
          </w:tcPr>
          <w:p w14:paraId="5AA71FD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Клиренс</w:t>
            </w:r>
          </w:p>
          <w:p w14:paraId="587E5C9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2B3F27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360</w:t>
            </w:r>
          </w:p>
          <w:p w14:paraId="4C6A7E2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2C756DD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p w14:paraId="300498C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3B657D1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p w14:paraId="3F7D4FD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56D05E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450</w:t>
            </w:r>
          </w:p>
          <w:p w14:paraId="0288797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7F3113B" w14:textId="77777777">
        <w:trPr>
          <w:trHeight w:val="173"/>
        </w:trPr>
        <w:tc>
          <w:tcPr>
            <w:tcW w:w="5674" w:type="dxa"/>
            <w:gridSpan w:val="5"/>
          </w:tcPr>
          <w:p w14:paraId="0213C42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w:t>
            </w:r>
          </w:p>
          <w:p w14:paraId="4B57F23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451838B" w14:textId="77777777">
        <w:trPr>
          <w:trHeight w:val="202"/>
        </w:trPr>
        <w:tc>
          <w:tcPr>
            <w:tcW w:w="1469" w:type="dxa"/>
          </w:tcPr>
          <w:p w14:paraId="12E8BD3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Орудие, кал</w:t>
            </w:r>
          </w:p>
          <w:p w14:paraId="05B04E2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7B2560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76,2-мм,</w:t>
            </w:r>
          </w:p>
          <w:p w14:paraId="6F9C198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528CEE1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76,2-мм,</w:t>
            </w:r>
          </w:p>
          <w:p w14:paraId="0397E23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74CE58B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122-мм</w:t>
            </w:r>
          </w:p>
          <w:p w14:paraId="2B2DF3D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1CF0621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2х76,2-мм</w:t>
            </w:r>
          </w:p>
          <w:p w14:paraId="4CEFBDC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3AE1193" w14:textId="77777777">
        <w:trPr>
          <w:trHeight w:val="192"/>
        </w:trPr>
        <w:tc>
          <w:tcPr>
            <w:tcW w:w="1469" w:type="dxa"/>
          </w:tcPr>
          <w:p w14:paraId="6630411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w:t>
            </w:r>
          </w:p>
          <w:p w14:paraId="643CED4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067E7A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У-32</w:t>
            </w:r>
          </w:p>
          <w:p w14:paraId="7D2DEAB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65928FE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Ф-22УСВобр.1939</w:t>
            </w:r>
          </w:p>
          <w:p w14:paraId="42A6681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04F4A49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М-30 обр. 1938</w:t>
            </w:r>
          </w:p>
          <w:p w14:paraId="385ABAA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0BB6657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ЗИС-5обр. 1941</w:t>
            </w:r>
          </w:p>
          <w:p w14:paraId="6F5E674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234826C" w14:textId="77777777">
        <w:trPr>
          <w:trHeight w:val="173"/>
        </w:trPr>
        <w:tc>
          <w:tcPr>
            <w:tcW w:w="1469" w:type="dxa"/>
          </w:tcPr>
          <w:p w14:paraId="17E5002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ствола, клб</w:t>
            </w:r>
          </w:p>
          <w:p w14:paraId="4743CA8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EBCBE1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41,6</w:t>
            </w:r>
          </w:p>
          <w:p w14:paraId="79D60CB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23B1B7F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41,6</w:t>
            </w:r>
          </w:p>
          <w:p w14:paraId="73EA8A1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07BF8F2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22,7</w:t>
            </w:r>
          </w:p>
          <w:p w14:paraId="5AE2E6F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DC4575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41,6</w:t>
            </w:r>
          </w:p>
          <w:p w14:paraId="00589AB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E69F58B" w14:textId="77777777">
        <w:trPr>
          <w:trHeight w:val="182"/>
        </w:trPr>
        <w:tc>
          <w:tcPr>
            <w:tcW w:w="1469" w:type="dxa"/>
          </w:tcPr>
          <w:p w14:paraId="137C539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 скорость сн м/с</w:t>
            </w:r>
          </w:p>
          <w:p w14:paraId="239E738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0C224E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620</w:t>
            </w:r>
          </w:p>
          <w:p w14:paraId="030EBA9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6718F25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620</w:t>
            </w:r>
          </w:p>
          <w:p w14:paraId="431507D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18DB6C2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515</w:t>
            </w:r>
          </w:p>
          <w:p w14:paraId="34CFBC0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206C249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620</w:t>
            </w:r>
          </w:p>
          <w:p w14:paraId="6FC39CF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3D7C507" w14:textId="77777777">
        <w:trPr>
          <w:trHeight w:val="192"/>
        </w:trPr>
        <w:tc>
          <w:tcPr>
            <w:tcW w:w="1469" w:type="dxa"/>
          </w:tcPr>
          <w:p w14:paraId="01FD9D5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Угол гор., наведения</w:t>
            </w:r>
          </w:p>
          <w:p w14:paraId="798A66F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D9C6FA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p w14:paraId="0573BE9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44649DA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p w14:paraId="6300B28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CCD10D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520B423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14F7665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p w14:paraId="721CBEF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201791E" w14:textId="77777777">
        <w:trPr>
          <w:trHeight w:val="182"/>
        </w:trPr>
        <w:tc>
          <w:tcPr>
            <w:tcW w:w="1469" w:type="dxa"/>
          </w:tcPr>
          <w:p w14:paraId="17AE849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Угол верт. Наведения</w:t>
            </w:r>
          </w:p>
          <w:p w14:paraId="1D20A58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87A6F9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-2+25'</w:t>
            </w:r>
          </w:p>
          <w:p w14:paraId="5C17443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03A044A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-1+43'</w:t>
            </w:r>
          </w:p>
          <w:p w14:paraId="3676724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790A6BF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-3+25-</w:t>
            </w:r>
          </w:p>
          <w:p w14:paraId="1FDE18E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266E857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-2+15°</w:t>
            </w:r>
          </w:p>
          <w:p w14:paraId="7903633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2F64BBB" w14:textId="77777777">
        <w:trPr>
          <w:trHeight w:val="192"/>
        </w:trPr>
        <w:tc>
          <w:tcPr>
            <w:tcW w:w="1469" w:type="dxa"/>
          </w:tcPr>
          <w:p w14:paraId="5D90226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Снарядов, шт.</w:t>
            </w:r>
          </w:p>
          <w:p w14:paraId="7D85A81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B8E0A7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p w14:paraId="6334532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69676D9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w:t>
            </w:r>
          </w:p>
          <w:p w14:paraId="3FE412F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BB7A6A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32-34</w:t>
            </w:r>
          </w:p>
          <w:p w14:paraId="3F804AB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37BF8C0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w:t>
            </w:r>
          </w:p>
          <w:p w14:paraId="4A6C975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847E8EE" w14:textId="77777777">
        <w:trPr>
          <w:trHeight w:val="182"/>
        </w:trPr>
        <w:tc>
          <w:tcPr>
            <w:tcW w:w="1469" w:type="dxa"/>
          </w:tcPr>
          <w:p w14:paraId="7DC4131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Пулеметов, шт. х кал</w:t>
            </w:r>
          </w:p>
          <w:p w14:paraId="661CF7C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05A5D8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1x7,62 мм</w:t>
            </w:r>
          </w:p>
          <w:p w14:paraId="25C3659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541CAE9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B61C3B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09D676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1945E8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3FBAD9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2х7,62-мм</w:t>
            </w:r>
          </w:p>
          <w:p w14:paraId="293F9BC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C218018" w14:textId="77777777">
        <w:trPr>
          <w:trHeight w:val="192"/>
        </w:trPr>
        <w:tc>
          <w:tcPr>
            <w:tcW w:w="1469" w:type="dxa"/>
          </w:tcPr>
          <w:p w14:paraId="49BF987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Патронов, шт.</w:t>
            </w:r>
          </w:p>
          <w:p w14:paraId="5648512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F5D91F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730</w:t>
            </w:r>
          </w:p>
          <w:p w14:paraId="33B694C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7E76E93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2DDC90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0176210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BDE03A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F3FE08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2646</w:t>
            </w:r>
          </w:p>
          <w:p w14:paraId="5095C13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A2EAAA0" w14:textId="77777777">
        <w:trPr>
          <w:trHeight w:val="182"/>
        </w:trPr>
        <w:tc>
          <w:tcPr>
            <w:tcW w:w="5674" w:type="dxa"/>
            <w:gridSpan w:val="5"/>
          </w:tcPr>
          <w:p w14:paraId="4C3BE5E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Толшина брони. мм</w:t>
            </w:r>
          </w:p>
          <w:p w14:paraId="30EF5F7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F4B15BD" w14:textId="77777777">
        <w:trPr>
          <w:trHeight w:val="182"/>
        </w:trPr>
        <w:tc>
          <w:tcPr>
            <w:tcW w:w="1469" w:type="dxa"/>
          </w:tcPr>
          <w:p w14:paraId="1B54BE2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Вертик. Корпуса</w:t>
            </w:r>
          </w:p>
          <w:p w14:paraId="1D0EB11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7AC5C3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p w14:paraId="0A5A0E1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3BDC0C2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45-40</w:t>
            </w:r>
          </w:p>
          <w:p w14:paraId="03CA448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01B3B02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w:t>
            </w:r>
          </w:p>
          <w:p w14:paraId="6579C27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0B25A06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w:t>
            </w:r>
          </w:p>
          <w:p w14:paraId="3D876C1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28A60E5" w14:textId="77777777">
        <w:trPr>
          <w:trHeight w:val="192"/>
        </w:trPr>
        <w:tc>
          <w:tcPr>
            <w:tcW w:w="1469" w:type="dxa"/>
          </w:tcPr>
          <w:p w14:paraId="4E8DA38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Гориз. Корпуса</w:t>
            </w:r>
          </w:p>
          <w:p w14:paraId="2AC7C19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C5AC39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p w14:paraId="510ECD8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3FF0759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10-15</w:t>
            </w:r>
          </w:p>
          <w:p w14:paraId="06DAD8E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14BFC34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1BB243F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20E6532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3F1061F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BB4C042" w14:textId="77777777">
        <w:trPr>
          <w:trHeight w:val="192"/>
        </w:trPr>
        <w:tc>
          <w:tcPr>
            <w:tcW w:w="1469" w:type="dxa"/>
          </w:tcPr>
          <w:p w14:paraId="41B4252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Рубка</w:t>
            </w:r>
          </w:p>
          <w:p w14:paraId="3703367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14C7A0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p w14:paraId="3DF1098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6307240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45-35</w:t>
            </w:r>
          </w:p>
          <w:p w14:paraId="23FD41C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45D091E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w:t>
            </w:r>
          </w:p>
          <w:p w14:paraId="6D7B4B3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2E01BBE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w:t>
            </w:r>
          </w:p>
          <w:p w14:paraId="1392398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7F8FE14" w14:textId="77777777">
        <w:trPr>
          <w:trHeight w:val="163"/>
        </w:trPr>
        <w:tc>
          <w:tcPr>
            <w:tcW w:w="5674" w:type="dxa"/>
            <w:gridSpan w:val="5"/>
          </w:tcPr>
          <w:p w14:paraId="10409F3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Силовая установка</w:t>
            </w:r>
          </w:p>
          <w:p w14:paraId="1A2992F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D3B2E04" w14:textId="77777777">
        <w:trPr>
          <w:trHeight w:val="202"/>
        </w:trPr>
        <w:tc>
          <w:tcPr>
            <w:tcW w:w="1469" w:type="dxa"/>
          </w:tcPr>
          <w:p w14:paraId="36381D0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База</w:t>
            </w:r>
          </w:p>
          <w:p w14:paraId="21BDA41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34D532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 Т-60</w:t>
            </w:r>
          </w:p>
          <w:p w14:paraId="487B297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37F2026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 Т- 34</w:t>
            </w:r>
          </w:p>
          <w:p w14:paraId="5A535A9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4AC875D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 Т-34</w:t>
            </w:r>
          </w:p>
          <w:p w14:paraId="075E223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153285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 КВ</w:t>
            </w:r>
          </w:p>
          <w:p w14:paraId="2E3E75D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3E8954D" w14:textId="77777777">
        <w:trPr>
          <w:trHeight w:val="182"/>
        </w:trPr>
        <w:tc>
          <w:tcPr>
            <w:tcW w:w="1469" w:type="dxa"/>
          </w:tcPr>
          <w:p w14:paraId="52612DC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Мощность макс., л. с</w:t>
            </w:r>
          </w:p>
          <w:p w14:paraId="75266C2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E10293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2x50</w:t>
            </w:r>
          </w:p>
          <w:p w14:paraId="2D096E4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5DD98BF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w:t>
            </w:r>
          </w:p>
          <w:p w14:paraId="7DDA5BB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3CFD5A0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w:t>
            </w:r>
          </w:p>
          <w:p w14:paraId="5E74147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2641E31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w:t>
            </w:r>
          </w:p>
          <w:p w14:paraId="48B286C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E2BC32B" w14:textId="77777777">
        <w:trPr>
          <w:trHeight w:val="182"/>
        </w:trPr>
        <w:tc>
          <w:tcPr>
            <w:tcW w:w="1469" w:type="dxa"/>
          </w:tcPr>
          <w:p w14:paraId="0CB44FC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част. вращ. об/мин</w:t>
            </w:r>
          </w:p>
          <w:p w14:paraId="7C64CCC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211899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2200</w:t>
            </w:r>
          </w:p>
          <w:p w14:paraId="35D8842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4E53AB2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1800</w:t>
            </w:r>
          </w:p>
          <w:p w14:paraId="7AD909B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7355E36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1800</w:t>
            </w:r>
          </w:p>
          <w:p w14:paraId="4101DC6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F72451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1850</w:t>
            </w:r>
          </w:p>
          <w:p w14:paraId="5DD1A17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04A3C89" w14:textId="77777777">
        <w:trPr>
          <w:trHeight w:val="202"/>
        </w:trPr>
        <w:tc>
          <w:tcPr>
            <w:tcW w:w="1469" w:type="dxa"/>
          </w:tcPr>
          <w:p w14:paraId="7FEB354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Передач КПП</w:t>
            </w:r>
          </w:p>
          <w:p w14:paraId="7D675A1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0F78C2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w:t>
            </w:r>
          </w:p>
          <w:p w14:paraId="33C89AB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31E55E6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w:t>
            </w:r>
          </w:p>
          <w:p w14:paraId="4763E35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5E16104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w:t>
            </w:r>
          </w:p>
          <w:p w14:paraId="0F7A8F3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6BD5FA2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w:t>
            </w:r>
          </w:p>
          <w:p w14:paraId="0AEA0EE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33EF9B6" w14:textId="77777777">
        <w:trPr>
          <w:trHeight w:val="182"/>
        </w:trPr>
        <w:tc>
          <w:tcPr>
            <w:tcW w:w="1469" w:type="dxa"/>
          </w:tcPr>
          <w:p w14:paraId="4B01295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Скорость макс, км/ч</w:t>
            </w:r>
          </w:p>
          <w:p w14:paraId="069BB2B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E23F49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p w14:paraId="646B241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7D545B0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w:t>
            </w:r>
          </w:p>
          <w:p w14:paraId="2834D8C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0E6C73C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w:t>
            </w:r>
          </w:p>
          <w:p w14:paraId="71A16E7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591752F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35,0</w:t>
            </w:r>
          </w:p>
          <w:p w14:paraId="6ED6030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6AF79FC" w14:textId="77777777">
        <w:trPr>
          <w:trHeight w:val="182"/>
        </w:trPr>
        <w:tc>
          <w:tcPr>
            <w:tcW w:w="1469" w:type="dxa"/>
          </w:tcPr>
          <w:p w14:paraId="41FE90C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Среднетехнич км/ч</w:t>
            </w:r>
          </w:p>
          <w:p w14:paraId="5E0453E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714385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0DC3010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0D0B610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p w14:paraId="0897251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9759B8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p w14:paraId="1FDC2CD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5CAFE5D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p w14:paraId="6310CDA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15E78C7" w14:textId="77777777">
        <w:trPr>
          <w:trHeight w:val="192"/>
        </w:trPr>
        <w:tc>
          <w:tcPr>
            <w:tcW w:w="1469" w:type="dxa"/>
          </w:tcPr>
          <w:p w14:paraId="64E76FF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топлива</w:t>
            </w:r>
          </w:p>
          <w:p w14:paraId="1DC04D0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556B7C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Бензин -2 с</w:t>
            </w:r>
          </w:p>
          <w:p w14:paraId="1AD5A27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0C6803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Диз. топливо</w:t>
            </w:r>
          </w:p>
          <w:p w14:paraId="2A32187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5EE1A6E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Диз. топливо</w:t>
            </w:r>
          </w:p>
          <w:p w14:paraId="11CD010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00AD2ED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Диз. топливо</w:t>
            </w:r>
          </w:p>
          <w:p w14:paraId="0EEB3BB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5341A87" w14:textId="77777777">
        <w:trPr>
          <w:trHeight w:val="182"/>
        </w:trPr>
        <w:tc>
          <w:tcPr>
            <w:tcW w:w="1469" w:type="dxa"/>
          </w:tcPr>
          <w:p w14:paraId="504C507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Емк. бака, л.</w:t>
            </w:r>
          </w:p>
          <w:p w14:paraId="1AB778C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BA1A08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нд.</w:t>
            </w:r>
          </w:p>
          <w:p w14:paraId="5297DE9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274228C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Н.Д.</w:t>
            </w:r>
          </w:p>
          <w:p w14:paraId="30226A4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3353EA6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w:t>
            </w:r>
          </w:p>
          <w:p w14:paraId="3555402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2289CE0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610</w:t>
            </w:r>
          </w:p>
          <w:p w14:paraId="1BB1206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25C3005" w14:textId="77777777">
        <w:trPr>
          <w:trHeight w:val="202"/>
        </w:trPr>
        <w:tc>
          <w:tcPr>
            <w:tcW w:w="1469" w:type="dxa"/>
          </w:tcPr>
          <w:p w14:paraId="6AEA9F7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Запас хода, км</w:t>
            </w:r>
          </w:p>
          <w:p w14:paraId="45F4336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465DA6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w:t>
            </w:r>
          </w:p>
          <w:p w14:paraId="12787A4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32F8065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220</w:t>
            </w:r>
          </w:p>
          <w:p w14:paraId="7017AD1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5759214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280</w:t>
            </w:r>
          </w:p>
          <w:p w14:paraId="115D8DD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D18033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225</w:t>
            </w:r>
          </w:p>
          <w:p w14:paraId="2D3F599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7B999DB" w14:textId="77777777">
        <w:trPr>
          <w:trHeight w:val="154"/>
        </w:trPr>
        <w:tc>
          <w:tcPr>
            <w:tcW w:w="5674" w:type="dxa"/>
            <w:gridSpan w:val="5"/>
          </w:tcPr>
          <w:p w14:paraId="55AB24E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Преололеваемые препятствия</w:t>
            </w:r>
          </w:p>
          <w:p w14:paraId="21B494B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B8DBE4B" w14:textId="77777777">
        <w:trPr>
          <w:trHeight w:val="202"/>
        </w:trPr>
        <w:tc>
          <w:tcPr>
            <w:tcW w:w="1469" w:type="dxa"/>
          </w:tcPr>
          <w:p w14:paraId="16501F9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Подъем, град.</w:t>
            </w:r>
          </w:p>
          <w:p w14:paraId="1AD8536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8033ED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н.д.</w:t>
            </w:r>
          </w:p>
          <w:p w14:paraId="2F8EF4C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A51708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p w14:paraId="4155C22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1206425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p w14:paraId="152BB3D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89FD7D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w:t>
            </w:r>
          </w:p>
          <w:p w14:paraId="3729041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62A1AB2" w14:textId="77777777">
        <w:trPr>
          <w:trHeight w:val="182"/>
        </w:trPr>
        <w:tc>
          <w:tcPr>
            <w:tcW w:w="1469" w:type="dxa"/>
          </w:tcPr>
          <w:p w14:paraId="47CA0CF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Спуск, град.</w:t>
            </w:r>
          </w:p>
          <w:p w14:paraId="2D60A27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F45B2A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Н.Д.</w:t>
            </w:r>
          </w:p>
          <w:p w14:paraId="5FE3A16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3AB5076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p w14:paraId="4DE9B95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1A78C81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p w14:paraId="26A06FF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3F3781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p w14:paraId="5E53211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51222D7" w14:textId="77777777">
        <w:trPr>
          <w:trHeight w:val="182"/>
        </w:trPr>
        <w:tc>
          <w:tcPr>
            <w:tcW w:w="1469" w:type="dxa"/>
          </w:tcPr>
          <w:p w14:paraId="084EEB3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Крен, град.</w:t>
            </w:r>
          </w:p>
          <w:p w14:paraId="56A3756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7DCB08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н.д.</w:t>
            </w:r>
          </w:p>
          <w:p w14:paraId="486C6A3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02342EB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p w14:paraId="26F07DF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731E418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p w14:paraId="6AC3E69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8727BC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p w14:paraId="5B039FB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427FDFD" w14:textId="77777777">
        <w:trPr>
          <w:trHeight w:val="192"/>
        </w:trPr>
        <w:tc>
          <w:tcPr>
            <w:tcW w:w="1469" w:type="dxa"/>
          </w:tcPr>
          <w:p w14:paraId="13CF6E4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Окоп, мм</w:t>
            </w:r>
          </w:p>
          <w:p w14:paraId="17C6109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476CA7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н.д.</w:t>
            </w:r>
          </w:p>
          <w:p w14:paraId="7C431D9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35D3E1B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2200</w:t>
            </w:r>
          </w:p>
          <w:p w14:paraId="1C86B64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770C376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2200</w:t>
            </w:r>
          </w:p>
          <w:p w14:paraId="2AB67AA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358C4BD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2500</w:t>
            </w:r>
          </w:p>
          <w:p w14:paraId="62460B2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B2CF262" w14:textId="77777777">
        <w:trPr>
          <w:trHeight w:val="182"/>
        </w:trPr>
        <w:tc>
          <w:tcPr>
            <w:tcW w:w="1469" w:type="dxa"/>
          </w:tcPr>
          <w:p w14:paraId="7D47ACA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Стенка, мм</w:t>
            </w:r>
          </w:p>
          <w:p w14:paraId="41B8338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29E85C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н.д.</w:t>
            </w:r>
          </w:p>
          <w:p w14:paraId="26802B0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DFF29F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800</w:t>
            </w:r>
          </w:p>
          <w:p w14:paraId="60F9F00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6F7AFE3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750</w:t>
            </w:r>
          </w:p>
          <w:p w14:paraId="5C772F2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6358438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p w14:paraId="4C238EE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2DF407C" w14:textId="77777777">
        <w:trPr>
          <w:trHeight w:val="326"/>
        </w:trPr>
        <w:tc>
          <w:tcPr>
            <w:tcW w:w="1469" w:type="dxa"/>
            <w:tcBorders>
              <w:bottom w:val="single" w:sz="12" w:space="0" w:color="auto"/>
            </w:tcBorders>
          </w:tcPr>
          <w:p w14:paraId="565B464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Брод, мм</w:t>
            </w:r>
          </w:p>
          <w:p w14:paraId="06A335B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bottom w:val="single" w:sz="12" w:space="0" w:color="auto"/>
            </w:tcBorders>
          </w:tcPr>
          <w:p w14:paraId="3E50318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Н.Д.</w:t>
            </w:r>
          </w:p>
          <w:p w14:paraId="2588DA8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bottom w:val="single" w:sz="12" w:space="0" w:color="auto"/>
            </w:tcBorders>
          </w:tcPr>
          <w:p w14:paraId="0E34B97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1300</w:t>
            </w:r>
          </w:p>
          <w:p w14:paraId="17BB380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bottom w:val="single" w:sz="12" w:space="0" w:color="auto"/>
            </w:tcBorders>
          </w:tcPr>
          <w:p w14:paraId="0461812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1250</w:t>
            </w:r>
          </w:p>
          <w:p w14:paraId="2BA4340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bottom w:val="single" w:sz="12" w:space="0" w:color="auto"/>
            </w:tcBorders>
          </w:tcPr>
          <w:p w14:paraId="556D6E6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w:t>
            </w:r>
          </w:p>
          <w:p w14:paraId="6231282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9B98B5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(11417).</w:t>
      </w:r>
    </w:p>
    <w:p w14:paraId="7E24896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AB963E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 утру 23 января 1943 на заводе № 100 завершились все работы по сборке САУ, за исключением монтажа арт-системы, которая прибыла на завод только вечером. Тут-то и выяснилось, что орудие не проходит в амбразуру, предназначенную для нее в лобовом листе рубки. Пришлось расширять амбразуру газовой резкой по месту. На следующий день САУ КВ-14 (объект 236) своим ходом ушла на Чебаркульский артиллерийский полигон, расположенный в 107 км от Челябинска. Испытания прошли вполне успешно и были закончены к 7 февраля 1943 года. Постановлением ГКО от 14 февраля 1943 года образец КВ-14 приняли на вооружение и поставили на серийное производство. В апреле 1943 года ГКО постановил КВ-14 впредь именовать СУ-152. </w:t>
      </w:r>
    </w:p>
    <w:p w14:paraId="153B7E0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Самоходная установка СУ-152 относилась к типу полностью бронированных самоходных установок с передним расположением боевой рубки. Боевое отделение и отделение управления были совмещены. Механик-водитель занимал место слева впереди в отделении управления, за ним — наводчик, за наводчиком — заряжающий. Справа от орудия впереди размещался командир машины, за ним — замковый. Для наблюдения за полем боя использовались перископ ПТК-4, обеспечивавший круговой обзор, и пять приз-менных зеркальных смотровых приборов, установленных на крыше рубки и крышках левого и кормового люков. В крышке правого люка имелся лючок для сигнализации. Механик-водитель вел наблюдение за полем боя через лючок со стеклоблоком, закрываемый броневой крышкой со смотровой щелью. Посадка экипажа производилась через два люка: круглый, расположенный в передней части крыши справа, и прямоугольный двухстворчатый люк, расположенный в кормовой части крыши и кормовом листе рубки. В днище корпуса в боевом отделении был предусмотрен аварийный люк. </w:t>
      </w:r>
    </w:p>
    <w:p w14:paraId="265D85F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Корпус и рубка установки были сварены из броневых катаных листов толщиной 20, 30, 60 и 70 мм. Маска пушки имела толщину 60 мм. Зазор между подвижной бронировкой орудия и верхним лобовым листом корпуса машины защищался броневым прикрытием. Лобовой, скуловые, бортовые и кормовой броневые листы рубки, а также лобовые листы корпуса отличались рациональными углами наклона. Борта корпуса — вертикальные. В правом нижнем бортовом листе корпуса в боевом отделении располагался люк для загрузки боеприпасов с откидной броневой крышкой. Для стрельбы из личного оружия в лобовом и кормовом листах рубки имелись бойницы, закрывавшиеся броневыми пробками. Крыша броневой рубки — съемная, состояла из двух частей. С передним, скуловыми, боковыми и кормовым листами рубки листы крыши соединялись с помощью болтов. В передней части крыши рубки, помимо двух люков и отверстия под смотровой прибор, имелись два отверстия (справа) для установки командирской панорамы и антенного ввода, прикрытого броневым стаканом, и сзади справа — лючок, закрывавшийся откидной броневой крышкой, для доступа к заправочным горловинам топливных баков, расположенных в боевом отделении. Отверстия под смотровые приборы в крыше рубки и крышках люков имели броневое прикрытие. Вентиляция боевого отделения осуществлялась за счет тяги воздуха, создававшейся работающим двигателем при открытых шиберах в моторной перегородке. </w:t>
      </w:r>
    </w:p>
    <w:p w14:paraId="6CEA196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Кормовая часть корпуса состояла из двух броневых листов (верхнего и нижнего) закругленной формы. В средней части верхний лист перекрывал нижний, образуя тем самым карман для выхода охлаждающего воздуха из МТО самоходной установки. Для защиты от попадания посторонних предметов карман закрывался проволочной сеткой. Крыша МТО состояла из двух съемных броневых листов, крепившихся к корпусу САУ болтами. Первый лист крыши в центральной части имел люк для доступа к двигателю, закрывавшийся броневой крышкой. В центре крышки в выпуклой ее части находилось отверстие, предназначавшееся для заливки воды в систему охлаждения двигателя. Вдоль бортов корпуса имелись два прямоугольных отверстия для доступа охлаждающего воздуха к двигателю, закрывавшиеся сверху защитными сетками. В задней части листа были выполнены два отверстия для прохода выхлопных труб, над которыми устанавливались броневые кожуха. Задний лист крыши оборудовался двумя круглыми люками с откидными броневыми крышками для доступа к узлам и агрегатам трансмиссии. Днище корпуса было сварено из двух броневых листов и имело люки и отверстия, закрываемые броневыми крышками. В амбразуре лобового листа рубки в рамке устанавливалась 152-мм гаубица-пушка МЛ-20 обр. 1937 г. Орудие снабжалось поршневым затвором с инерционным предохранителем и щелевым дульным тормозом. Длина ствола составляла 28,8 калибра, высота линии огня — 1800 мм. В конструкции противооткатных устройств использовались гидравлический тормоз отката и гидропневматический накатник. Подъемный и поворотный механизмы секторного типа обеспечивали углы вертикальной наводки от -5° до +18°, горизонтальной — в секторе 12°. Телескопические прицелы СТ-10 или КТ-5 использовались при стрельбе прямой наводкой, а панорама Герца — при стрельбе с закрытых огневых позиций. Для стрельбы ночью шкалы прицела и панорамы, а также прицельная и орудийная стрелки оснащались специальной подсветкой. Дальность стрельбы прямой наводкой составляла 3800 м, наибольшая — 6200 м. Скорострельность пушки-гаубицы достигала 2 выстр./мин. Для облегчения заряжания орудия имелся откидной лоток, который обеспечивал устранение задевания ведущего пояска снаряда за срез трубы ствола. </w:t>
      </w:r>
    </w:p>
    <w:p w14:paraId="6BDD136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боекомплект входили 20 выстрелов раздельного гильзового заряжания. Для стрельбы использовались осколочно-фугасная дальнобойная стальная пушечная граната ОФ-540, бетонобойный гаубичный снаряд Г-530, осколочно-фугасная дальнобойная стальная гаубичная граната ОФ-530, осколочная дальнобойная гаубичная граната из сталистого чугуна О-530А, бронебойно-трассирующий снаряд БР-540 и фугасный морской полубронебойный снаряд. Кроме того, могли использоваться пушечные бетонобойные снаряды Г-545 массой 56 кг и фугасные стальные пушечные гранаты старого образца Ф-542 и Ф-542Ш. Дополнительно в боевом отделении укладывались два 7,62-мм пистолета-пулемета ППШ с боекомплектом 1278 патронов (18 дисков) и 25 гранат Ф-1, позднее боекомплект к ППШ был увеличен до 1562 патронов (22 диска). В моторно-трансмиссионном отделении вдоль продольной оси корпуса устанавливался двенадцатицилиндровый V-образный четырехтактный дизель В-2К мощностью 600 л.с. Пуск двигателя осуществлялся с помощью электростартера СТ-700 мощностью 15 л.с. или сжатого воздуха из двух воздушных баллонов емкостью 5 л каждый. Емкость основных топливных баков составляла 600 — 615 л. При установке запасных наружных баков запас возимого топлива увеличивался на 360 л. Запас хода установки по шоссе на основных баках достигал 330 км. </w:t>
      </w:r>
    </w:p>
    <w:p w14:paraId="1B3E3CD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состав трансмиссии входили многодисковый главный фрикцион сухого трения, четырехступенчатая коробка передач с демультипликатором, обеспечивавшая восемь передач переднего и две передачи заднего хода, два многодисковых бортовых фрикциона с плавающими ленточными тормозами и два бортовых планетарных редуктора. Состав гусеничного движителя — 12 сдвоенных опорных катков (диаметром 600 мм), шесть поддерживающих катков, два направляющих колеса с механизмами натяжения гусениц и два ведущих колеса кормового расположения со съемными зубчатыми венцами. Зацепление — цевочное. Подвеска — индивидуальная торсионная, с ограничителями хода опорных катков. Опорные и поддерживающие катки, а также направляющие колеса были выполнены цельнометаллическими, без резиновой амортизации. Ширина штампованного трака гусеницы равнялась 608 мм. </w:t>
      </w:r>
    </w:p>
    <w:p w14:paraId="3DB10FF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машине устанавливалась радиостанция 9Р или ЮР (ЮРК-26) с умформерами РУ-75В и РУ-11Б, для внутренней связи служило танковое переговорное устройство ТПУ-4БИС (11638).</w:t>
      </w:r>
    </w:p>
    <w:p w14:paraId="4CBF883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D8C8D8"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99DE8C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F7D9C2"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23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1469BB8D"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23 января наши войска в районе Сталинграда, южнее Воронежа, на Северном Кавказе, в районе Нижнего Дона, Северного Донца и южнее Ладожского озера продолжали бои на прежних направлениях.</w:t>
      </w:r>
    </w:p>
    <w:p w14:paraId="374CBC0E"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Южного фронта, переправившиеся через Маныч, овладели рядом населённых пунктов. В районе Нового Егорлыка разгромлен батальон немецких автоматчиков. Захвачены пленные и трофеи. Бойцы Н-ской части в ожесточённой схватке с противником истребили свыше роты немецкой пехоты и взяли 70 пленных. Захвачены 3 танка, 2 бронемашины, 6 орудий, из них 2 самоходных, 15 автомашин и склад боеприпасов.</w:t>
      </w:r>
    </w:p>
    <w:p w14:paraId="15D748E5"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Юго-Западном фронте наши войска вели наступательные бои. Н-ская часть овладела пятью населёнными пунктами, уничтожила более 200 гитлеровцев и 3 танка противника. На другом участке два батальона пехоты противника при поддержке танков контратаковали наши позиции. После непродолжительного боя немцы, потеряв 8 танков, отошли на исходные позиции.</w:t>
      </w:r>
    </w:p>
    <w:p w14:paraId="7F142A91"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Войска Воронежского фронта продолжали успешное наступление и выбили противника из ряда населённых пунктов. Подвижной отряд Н-ской части внезапно ворвался в занятое немцами село, истребил свыше 200 гитлеровцев и взял в плен 150 вражеских солдат и офицеров. Захвачены 5 орудий, 18 пулемётов, склады с военным имуществом и зерном. На другом участке наши подразделения окружили и взяли в плен 220 венгров.</w:t>
      </w:r>
    </w:p>
    <w:p w14:paraId="43B1F16A"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Закавказского фронта, преодолевая сопротивление противника, продвигались вперёд и заняли десятки населённых пунктов. На подступах к крупному населённому пункту советские бойцы уничтожили два эскадрона кавалерии и подбили3 немецких танка. Н-ская часть захватила 100 автомашин, склад авиабомб, склад гранат, 73 вагона с грузами, склад с зерном, 4 тысячи голов крупного рогатого скота, отобранного гитлеровцами у населения.</w:t>
      </w:r>
    </w:p>
    <w:p w14:paraId="1C874959"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Смоленской области, взорвали три железнодорожных моста и пустили под откос два воинских эшелона противника.Уничтожены паровоз и 15 вагонов с солдатами и офицерами. Партизаны другогоотряда совершили внезапный налёт на вражеский гарнизон. В завязавшемся бою уничтожено 57 немцев. Захвачено много гранат и патронов, а также склад спродовольствием.</w:t>
      </w:r>
    </w:p>
    <w:p w14:paraId="0D15AD02"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чудовищных зверствах немецко-фашистских мерзавцев в хуторе Каргальско-Белянском, Ростовской области: «Отступая под натиском Красной Армии из хутора Каргальско-Белянского, гитлеровцы хватали первых попавшихся жителей и расстреливали их из автоматов. Немецко-фашистские бандиты убили Василия Капустина, Пантелея Хромова, Марину Хромову, Марфу Харченко, Михаила Гладкова, Евдокию Алексееву, Григория Борисенко, Ивана Гладкова, Петра Гладкова, Виктора Филатова, Александра Родионова и других колхозников и колхозниц. Кроме того, гитлеровские палачи растерзали группу советских военнопленных.</w:t>
      </w:r>
    </w:p>
    <w:p w14:paraId="139AD8C1"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Кровь невинных советских людей зовёт к мести. Недалёк тот день, когда Красная Армия изгонит подлых фашистских убийц с советской земли. Пусть же знают палачи, что за каждую каплю пролитой крови: они понесут заслуженную кару». Акт подписали: гвардии старший лейтенант Муратов, лейтенанты Гусев и Чернышёв, председатель сельсовета Иванеев.</w:t>
      </w:r>
    </w:p>
    <w:p w14:paraId="367A3257"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Афинах греческие патриоты бросили бомбу в казарму оккупантов. Убито свыше 20 итальянских солдат. В районе Аграфы отряд греческих партизан разгромил итальянский гарнизон. Убито и ранено 150 итальянских солдат и офицеров.» (15018).</w:t>
      </w:r>
    </w:p>
    <w:p w14:paraId="08E9FF5D" w14:textId="77777777" w:rsidR="0071306F" w:rsidRPr="00D03F3E" w:rsidRDefault="0071306F" w:rsidP="00D03F3E">
      <w:pPr>
        <w:spacing w:after="0" w:line="240" w:lineRule="auto"/>
        <w:jc w:val="both"/>
        <w:rPr>
          <w:rFonts w:ascii="Times New Roman" w:hAnsi="Times New Roman"/>
          <w:color w:val="000000" w:themeColor="text1"/>
          <w:sz w:val="16"/>
          <w:szCs w:val="16"/>
        </w:rPr>
      </w:pPr>
    </w:p>
    <w:p w14:paraId="13F63867"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23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67DE81EF"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января войска Закавказского фронта в результате стремительного наступления овладели городом Армавир, районным центром и железнодорожной станцией Развильное, районным центром и железнодорожной станцией Изобильное, районными центрами — Советская, Отрадная.</w:t>
      </w:r>
    </w:p>
    <w:p w14:paraId="5E2BA8B5"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Воронежского фронта, продолжая развивать наступление, овладели районным центром и крупной железнодорожной станцией Волоконовка, районным центром Будённое.</w:t>
      </w:r>
    </w:p>
    <w:p w14:paraId="4BF3FD66"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Южного фронта овладели районным центром и железнодорожной станцией Целина, совхозом Гигант, железнодорожной станцией Трубецкая.</w:t>
      </w:r>
    </w:p>
    <w:p w14:paraId="6A4CFD21"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января нашей авиацией потоплен транспорт противника водоизмещением в 3.000 тонн, подавлен огонь 6 артиллерийских батарей, взорван склад боеприпасов, рассеяно и частью уничтожено до трёх рот пехоты противника.</w:t>
      </w:r>
    </w:p>
    <w:p w14:paraId="2697DB58"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Южном фронте наши войска продолжали наступление на прежних направлениях. Бойцы Н-ской части, заняв населённый пункт, захватили 7 самолётов, железнодорожный эшелон с мукой, 2 паровоза, 15 автомашин, 4 тягача, 2 зенитныхорудия и 10 миномётов. На другом участке уничтожена рота немецкой пехоты и 10 танков. Захвачены 5 орудий, 150 автомашин и другие трофеи.</w:t>
      </w:r>
    </w:p>
    <w:p w14:paraId="2AC67837"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Юго-Западном фронте наши войска развивали наступление и заняли ряд населённых пунктов. Танковые части, преследуя противника, истребили свыше 400 гитлеровцев и захватили большие трофеи. На одном участке наши войска вели упорные бои с мотопехотой и танками противника. Советские бойцы сломили сопротивление немцев, овладели тремя населёнными пунктами и захватили в плен 300 солдат немецкого сводного отряда. Н-ская часть отбила три контратаки противника и истребила до 200 немецких солдат и офицеров.</w:t>
      </w:r>
    </w:p>
    <w:p w14:paraId="1AFEA721"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Воронежского фронта продолжали успешное наступление. Наши танкисты с десантом пехоты выбили немцев из двух населённых пунктов. Захвачены 11 орудий, 26 пулемётов, 8 миномётов, радиостанция и склады с военным имуществом. На другом участке советские части захватили около 1.500 автомашин и много другого военного имущества и вооружения.</w:t>
      </w:r>
    </w:p>
    <w:p w14:paraId="365E6BF7"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Закавказского фронта продвигались вперёд и заняли десятки населённых пунктов. Только на одном участке истреблено до 200 гитлеровцев, захвачены 106 автомашин, 42 пулемёта и другие трофеи. В боях на подступах к крупному населённому пункту противник контратаковал часть, где командиром тов. Анисимов. Наши бойцы окружили врага, уничтожили до двух рот немецкой пехоты, 3 танка и овладели населённым пунктом.</w:t>
      </w:r>
    </w:p>
    <w:p w14:paraId="5F60A770"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Краснодарском крае, напали в одной станице на немецкий гарнизон. Советские патриоты истребили 32 и ранили 40 немецких солдат и офицеров. Группа партизан отрядов «Дзержинец» и «Овод» из засад уничтожила несколько десятков немецких и румынских солдат и офицеров, 3 грузовые и 3 легковые автомашины. Захвачено 96 голов крупного рогатого скота, отобранного гитлеровцами у населения.</w:t>
      </w:r>
    </w:p>
    <w:p w14:paraId="1A04632F"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Недавно западнее Сталинграда был сбит немецкий самолёт, в котором переправлялась почта. Письма, написанные немецкими солдатами в конце декабря месяца, проникнуты отчаянием. Солдат Вильгельм Веттрегель писал: «Сталинград, как конвейер смерти, пожирает наши полки и дивизии». Ефрейтор Август Эндерс сообщает жене: «Я был на могиле Гиллербронда. Он похоронен на большом кладбище. Там лежит свыше 300 немецких солдат. Такие большие кладбища, где погребены исключительно немецкие солдаты, встречаются на каждом километре вокруг Сталинграда». Ефрейтор Иозеф Циммах писал родителям: «Сталинград — это сплошное кладбище немецких солдат. За чертой города могильщики не успевают рыть ямы и хоронить убитых». Ефрейтор Вилли Шмидт писал своему брату: «Сталинград поглотил уже больше жертв, чем «Верденская мельница» (под Верденом немецкая армияпотеряла 337 тысяч солдат). Солдат Пауль Больце пишет: «Здесь нам остаётся только одно — смерть».</w:t>
      </w:r>
    </w:p>
    <w:p w14:paraId="355DC057"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68A8A145"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город Армавир и районный центр Волоконовка (15018).</w:t>
      </w:r>
    </w:p>
    <w:p w14:paraId="283FC1D7" w14:textId="77777777" w:rsidR="0071306F" w:rsidRPr="00D03F3E" w:rsidRDefault="0071306F" w:rsidP="00D03F3E">
      <w:pPr>
        <w:spacing w:after="0" w:line="240" w:lineRule="auto"/>
        <w:jc w:val="both"/>
        <w:rPr>
          <w:rFonts w:ascii="Times New Roman" w:hAnsi="Times New Roman"/>
          <w:color w:val="000000" w:themeColor="text1"/>
          <w:sz w:val="16"/>
          <w:szCs w:val="16"/>
        </w:rPr>
      </w:pPr>
    </w:p>
    <w:p w14:paraId="30FC0C8E"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23 января войска Закавказского фронта в результате стремительного наступления овладели городом и крупным железнодорожным узлом Армавир.</w:t>
      </w:r>
    </w:p>
    <w:p w14:paraId="507A66F2"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Войска Воронежского фронта, продолжая развивать наступление, овладели районным центром и крупной железнодорожной станцией Волоконовка.</w:t>
      </w:r>
    </w:p>
    <w:p w14:paraId="02CC3712"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9 суток операции войсками Воронежского фронта разгромлено 17 пехотных дивизий противника, из них: девять венгерских пехотных дивизий (6, 20, 7, 13,10, 12, 19, 23 и 9 пд) и отдельная танковая бригада; четыре немецких пехотных дивизии (26, 168, 385 и 387 пд); пять отдельных немецких пехотных полков и один отдельный танковый отряд в 60 танков; альпийский итальянский корпус в составе 2,3, 4 горнострелковых, 156 пехотной дивизий.</w:t>
      </w:r>
    </w:p>
    <w:p w14:paraId="6F696941"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 пленных, взятых под Воронежем, к исходу 22 января увеличилось на 12.000 солдат и офицеров. Таким образом, общее количество пленных, взятых врайоне Воронежского фронта, дошло до 64.000 солдат и офицеров.» (15018).</w:t>
      </w:r>
    </w:p>
    <w:p w14:paraId="39F7D9E7" w14:textId="77777777" w:rsidR="0071306F" w:rsidRPr="00D03F3E" w:rsidRDefault="0071306F" w:rsidP="00D03F3E">
      <w:pPr>
        <w:spacing w:after="0" w:line="240" w:lineRule="auto"/>
        <w:jc w:val="both"/>
        <w:rPr>
          <w:rFonts w:ascii="Times New Roman" w:hAnsi="Times New Roman"/>
          <w:color w:val="000000" w:themeColor="text1"/>
          <w:sz w:val="16"/>
          <w:szCs w:val="16"/>
        </w:rPr>
      </w:pPr>
    </w:p>
    <w:p w14:paraId="746F441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января 1943 советские войска освободили Армавир (4962).</w:t>
      </w:r>
    </w:p>
    <w:p w14:paraId="6B930F26"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B91008" w14:textId="77777777" w:rsidR="0071306F"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6DA8B3AF" w14:textId="77777777" w:rsidR="0071306F" w:rsidRPr="00D03F3E" w:rsidRDefault="0071306F"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0223ED"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23 января</w:t>
      </w:r>
      <w:r w:rsidRPr="00D03F3E">
        <w:rPr>
          <w:rFonts w:ascii="Times New Roman" w:hAnsi="Times New Roman"/>
          <w:color w:val="000000" w:themeColor="text1"/>
          <w:sz w:val="16"/>
          <w:szCs w:val="16"/>
        </w:rPr>
        <w:t xml:space="preserve"> в 1943 году политический комитет оперативного управления штаба американской армии высказался за то, чтобы дальнейшее оказание помощи СССР по ленд-лизу обусловить усилением политического влияния США на СССР (15018).</w:t>
      </w:r>
    </w:p>
    <w:p w14:paraId="792935E7" w14:textId="77777777" w:rsidR="0071306F" w:rsidRPr="00D03F3E" w:rsidRDefault="0071306F" w:rsidP="00D03F3E">
      <w:pPr>
        <w:spacing w:after="0" w:line="240" w:lineRule="auto"/>
        <w:jc w:val="both"/>
        <w:rPr>
          <w:rFonts w:ascii="Times New Roman" w:hAnsi="Times New Roman"/>
          <w:color w:val="000000" w:themeColor="text1"/>
          <w:sz w:val="16"/>
          <w:szCs w:val="16"/>
        </w:rPr>
      </w:pPr>
    </w:p>
    <w:p w14:paraId="3D05D408"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23A40D2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994744" w14:textId="77777777" w:rsidR="0071306F" w:rsidRPr="00D03F3E" w:rsidRDefault="0071306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23 января</w:t>
      </w:r>
      <w:r w:rsidRPr="00D03F3E">
        <w:rPr>
          <w:rFonts w:ascii="Times New Roman" w:hAnsi="Times New Roman"/>
          <w:color w:val="000000" w:themeColor="text1"/>
          <w:sz w:val="16"/>
          <w:szCs w:val="16"/>
        </w:rPr>
        <w:t xml:space="preserve"> в 1943 году первый полёт прототипа дальнего бомбардировщика «Vickers Windsor» (компания «Vickers», Великобритания). На самолет установили двигатели «Rolls-Royce» «Merlin 65». Самолет получил обозначение «Vickers» «Type 447». На испытаниях самолет показал максимальную скорость 486 км/ч на высоте 7620 метров. Испытания самолета, включавшие 33 часа полетов, продолжались до 23 марта 1944 года (15018).</w:t>
      </w:r>
    </w:p>
    <w:p w14:paraId="7E4FDB15" w14:textId="77777777" w:rsidR="0071306F" w:rsidRPr="00D03F3E" w:rsidRDefault="0071306F" w:rsidP="00D03F3E">
      <w:pPr>
        <w:spacing w:after="0" w:line="240" w:lineRule="auto"/>
        <w:jc w:val="both"/>
        <w:rPr>
          <w:rFonts w:ascii="Times New Roman" w:hAnsi="Times New Roman"/>
          <w:color w:val="000000" w:themeColor="text1"/>
          <w:sz w:val="16"/>
          <w:szCs w:val="16"/>
        </w:rPr>
      </w:pPr>
    </w:p>
    <w:p w14:paraId="5894BD9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lang w:val="en-US"/>
        </w:rPr>
        <w:t>January</w:t>
      </w:r>
      <w:r w:rsidRPr="00D03F3E">
        <w:rPr>
          <w:rFonts w:ascii="Times New Roman" w:hAnsi="Times New Roman"/>
          <w:color w:val="000000" w:themeColor="text1"/>
          <w:sz w:val="16"/>
          <w:szCs w:val="16"/>
        </w:rPr>
        <w:t xml:space="preserve"> 23, 1943: </w:t>
      </w:r>
      <w:r w:rsidRPr="00D03F3E">
        <w:rPr>
          <w:rFonts w:ascii="Times New Roman" w:hAnsi="Times New Roman"/>
          <w:color w:val="000000" w:themeColor="text1"/>
          <w:sz w:val="16"/>
          <w:szCs w:val="16"/>
          <w:lang w:val="en-US"/>
        </w:rPr>
        <w:t>PanzerarmeeAfrikaevacuatesTripoliinLibya</w:t>
      </w:r>
      <w:r w:rsidRPr="00D03F3E">
        <w:rPr>
          <w:rFonts w:ascii="Times New Roman" w:hAnsi="Times New Roman"/>
          <w:color w:val="000000" w:themeColor="text1"/>
          <w:sz w:val="16"/>
          <w:szCs w:val="16"/>
        </w:rPr>
        <w:t xml:space="preserve"> (3819).</w:t>
      </w:r>
    </w:p>
    <w:p w14:paraId="5D3A71E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312E52"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января 1943 войска союзников взяли Триполи (Ливия) (4962).</w:t>
      </w:r>
    </w:p>
    <w:p w14:paraId="47CAD37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2011C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января 1943, когда 8-я армия англичан и американцев вошла в Триполи, находящиеся там самолеты Hs-129 были уничтожены, а личный состав части перевели в Бари (Южная Италия) для перевооружения и затем на Восточный фронт (3188).</w:t>
      </w:r>
    </w:p>
    <w:p w14:paraId="28565E4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93B084"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23 января 1943 пилот японского поплавкового истребителя Накадзима A6M2-N (союзное название «Руф») обнаруживает, что американские войска оккупировали Амчитку. В этот день японские самолеты из Киски начинают частые налеты на Амчитку, которые продолжаются почти четыре недели (20376).</w:t>
      </w:r>
    </w:p>
    <w:p w14:paraId="06E7A92C" w14:textId="77777777" w:rsidR="00FD630D" w:rsidRPr="00D03F3E" w:rsidRDefault="00FD630D" w:rsidP="00D03F3E">
      <w:pPr>
        <w:spacing w:after="0" w:line="240" w:lineRule="auto"/>
        <w:jc w:val="both"/>
        <w:rPr>
          <w:rFonts w:ascii="Times New Roman" w:hAnsi="Times New Roman"/>
          <w:color w:val="0070C0"/>
          <w:sz w:val="16"/>
          <w:szCs w:val="16"/>
        </w:rPr>
      </w:pPr>
    </w:p>
    <w:p w14:paraId="0051C213"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23 января 1943</w:t>
      </w:r>
    </w:p>
    <w:p w14:paraId="5B8EF225"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Заявление Стеттиниуса</w:t>
      </w:r>
    </w:p>
    <w:p w14:paraId="15EC6BD5"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Уполномоченный по проведению в жизнь закона о передаче взаймы или в аренду вооружения Стеттиниус сделал следующее заявление:</w:t>
      </w:r>
    </w:p>
    <w:p w14:paraId="29F18BF1"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1942 году Соединенные Штаты достигли значительных успехов в отношении поставок вооружения и других материалов Советскому Союзу на основе закона о передаче взаймы или в аренду вооружения. Мы все еще не имеем возможности посылать столько, сколько нам хотелось бы, или столько, сколько нужно советской армии. Кроме того, часть того, что мы послали, погибла в пути. Однако поставки на основе этого закона, вначале проводившиеся медленными темпами, сейчас сильно возросли. Они продолжают увеличиваться, несмотря на нехватку грузовых судов и несмотря на нападения противника на трудных путях, ведущих в Россию. Поставки в Советский Союз в ноябре 1942 года достигли нового высокого уровня, В ноябре 1942 года экспорт в Россию в 13 раз превышал все количество материалов, отправленных туда в январе 1942 года. Две трети стоимости материалов, поставленных £) ноябре, составляли военные грузы. Остальную часть составляли промышленные материалы для советских военных заводов и продовольствие. На 1 января 1943 года Соединенные Штаты отправили в Советский Союз на основе закона о передаче взаймы или в аренду вооружения более 3.200 танков, 2.600 самолетов, 81.000 грузовиков и другой военный автотранспорт. Англия отправила в Россию более 2.600 танков и более 2.000 самолетов.</w:t>
      </w:r>
    </w:p>
    <w:p w14:paraId="329273EB"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Англия поставляет это вооружение на основе принципа передачи взаймы или в аренду вооружения. Американские поставки продовольствия в Советский Союз быстро возрастают по своему значению.</w:t>
      </w:r>
    </w:p>
    <w:p w14:paraId="3775D045"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Народ Советского Союза до сих пор вел свою замечательную борьбу против нацистов в основном е помощью своего собственного вооружения. Однако помощь, оказываемая России, возрастает до значительных размеров. В 1943 году она увеличится еще больше.</w:t>
      </w:r>
    </w:p>
    <w:p w14:paraId="3DC3AEFF" w14:textId="77777777" w:rsidR="00FD630D" w:rsidRPr="00D03F3E" w:rsidRDefault="00FD630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«Правда», 23 января 1943 г. (20976).</w:t>
      </w:r>
    </w:p>
    <w:p w14:paraId="171D54DD" w14:textId="77777777" w:rsidR="00FD630D" w:rsidRPr="00D03F3E" w:rsidRDefault="00FD630D" w:rsidP="00D03F3E">
      <w:pPr>
        <w:spacing w:after="0" w:line="240" w:lineRule="auto"/>
        <w:jc w:val="both"/>
        <w:rPr>
          <w:rFonts w:ascii="Times New Roman" w:hAnsi="Times New Roman"/>
          <w:color w:val="0070C0"/>
          <w:sz w:val="16"/>
          <w:szCs w:val="16"/>
        </w:rPr>
      </w:pPr>
    </w:p>
    <w:p w14:paraId="146A931F"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579AC5E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A63CB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января 1943 С.В.И. писал письмо в НКАП А.И.Ш.:</w:t>
      </w:r>
    </w:p>
    <w:p w14:paraId="6F748C4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со все возрастающим полетным весом Ил-4 необходим переход на колеса 1100х400 вместо 1000х350, стоящих на самолете.</w:t>
      </w:r>
    </w:p>
    <w:p w14:paraId="653752E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Такого размера электронное колесо имеется в стандарте колес и эксплуатируется на Ту-2, но эти колеса имеют сложные пневмогидравлические тормоза и кроме того, плохо осваиваются в производстве и имеют много дефектов в эксплуатации.</w:t>
      </w:r>
    </w:p>
    <w:p w14:paraId="1674DF6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ГК Флеров взамен вышеуказанного электронного колеса спроектировал колесо из алюминиевого сплава с воздушными колодочными тормозами по типу 1000х350.</w:t>
      </w:r>
    </w:p>
    <w:p w14:paraId="1CAB710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ваших указаний Дир. заводу Жихореву и ГК Флерову выпустить до 15 марта 10 комплектов этих колес для войсковых испытаний на Ил-4 в АДД и приготовить оснастку для производства этих колес в серии." Прилагался проект приказа (1775,8).</w:t>
      </w:r>
    </w:p>
    <w:p w14:paraId="781CB22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EB3F0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C 24 по 26 января 1943 в НИИ ВВС испытывали He 111H-6, захваченный в январе 1943 в районе Сталинграда (2466,149).</w:t>
      </w:r>
    </w:p>
    <w:p w14:paraId="7EDD1C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9930D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января 1943 на Ер-2 2М-30Б на заводах 134 и 500 состоялось два полета - продолжительностью 1:40 на скороподъемность (л Лисицин) и 1:20 на потолок (л Алексеев). После второго обнаружили выброс масла (1458,30).</w:t>
      </w:r>
    </w:p>
    <w:p w14:paraId="26F3391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E2F04A"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января 1943 вышло Постановление ГКО № 2781 О плане поставки авиафанерного сырья фанерным заводам Главфанерпрома Наркомлеса СССР для выработки авиационной фанеры. (7077, 9-12,13-14).</w:t>
      </w:r>
    </w:p>
    <w:p w14:paraId="2C293029"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29503D"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24 января 1943 всего за один день летчик-испытатель полигона капитан А.В. Кусакин выполнил летную часть программы испытаний ПТАБ-1,5, которые начались 15 января на НИПАВ.</w:t>
      </w:r>
    </w:p>
    <w:p w14:paraId="22F8089B"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Ответственным по испытаниям, как и прежде, был назначен инженер-майор Дьячков. Промышленность представлял конструктор бомбы и взрывателя к ней И.А. Ларионов. </w:t>
      </w:r>
    </w:p>
    <w:p w14:paraId="206EF0FC"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Цель испытаний - проверить эффек</w:t>
      </w:r>
      <w:r w:rsidRPr="00D03F3E">
        <w:rPr>
          <w:rFonts w:ascii="Times New Roman" w:cs="Times New Roman"/>
          <w:color w:val="000000" w:themeColor="text1"/>
          <w:spacing w:val="0"/>
        </w:rPr>
        <w:softHyphen/>
        <w:t>тивность действия бомб этого типа по тан</w:t>
      </w:r>
      <w:r w:rsidRPr="00D03F3E">
        <w:rPr>
          <w:rFonts w:ascii="Times New Roman" w:cs="Times New Roman"/>
          <w:color w:val="000000" w:themeColor="text1"/>
          <w:spacing w:val="0"/>
        </w:rPr>
        <w:softHyphen/>
        <w:t>кам, их безотказность в действии, а также определить рациональную укладку бомб в штатные кассеты мелких бомб штурмовиков и бомбардировщиков.</w:t>
      </w:r>
    </w:p>
    <w:p w14:paraId="5B1FC2BF"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Основные изменения в конструкции бомбы сводились к следующему. Длину и диаметр ПТАБ-1,5 привели в соответствие с габаритами штатной бомбы калибра 2,5 кг. Длина бомбы находилась в пре</w:t>
      </w:r>
      <w:r w:rsidRPr="00D03F3E">
        <w:rPr>
          <w:rFonts w:ascii="Times New Roman" w:cs="Times New Roman"/>
          <w:color w:val="000000" w:themeColor="text1"/>
          <w:spacing w:val="0"/>
        </w:rPr>
        <w:softHyphen/>
        <w:t>делах 355-360 мм, диаметр корпуса - 61-65 мм, размах оперения - 65 мм. Диа</w:t>
      </w:r>
      <w:r w:rsidRPr="00D03F3E">
        <w:rPr>
          <w:rFonts w:ascii="Times New Roman" w:cs="Times New Roman"/>
          <w:color w:val="000000" w:themeColor="text1"/>
          <w:spacing w:val="0"/>
        </w:rPr>
        <w:softHyphen/>
        <w:t>метр ветрянки уменьшили с 70 до 58 мм, и изменили форму детонаторной шашки.</w:t>
      </w:r>
    </w:p>
    <w:p w14:paraId="6C7EF300"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Корпус ПТАБ-1,5 изготав</w:t>
      </w:r>
      <w:r w:rsidRPr="00D03F3E">
        <w:rPr>
          <w:rFonts w:ascii="Times New Roman" w:cs="Times New Roman"/>
          <w:color w:val="000000" w:themeColor="text1"/>
          <w:spacing w:val="0"/>
        </w:rPr>
        <w:softHyphen/>
        <w:t>ливался из жести и состо</w:t>
      </w:r>
      <w:r w:rsidRPr="00D03F3E">
        <w:rPr>
          <w:rFonts w:ascii="Times New Roman" w:cs="Times New Roman"/>
          <w:color w:val="000000" w:themeColor="text1"/>
          <w:spacing w:val="0"/>
        </w:rPr>
        <w:softHyphen/>
        <w:t>ял из жесткого цилиндра и штампованной сфериче</w:t>
      </w:r>
      <w:r w:rsidRPr="00D03F3E">
        <w:rPr>
          <w:rFonts w:ascii="Times New Roman" w:cs="Times New Roman"/>
          <w:color w:val="000000" w:themeColor="text1"/>
          <w:spacing w:val="0"/>
        </w:rPr>
        <w:softHyphen/>
        <w:t>ской головки. Кумулятивная выемка бомбы была кониче</w:t>
      </w:r>
      <w:r w:rsidRPr="00D03F3E">
        <w:rPr>
          <w:rFonts w:ascii="Times New Roman" w:cs="Times New Roman"/>
          <w:color w:val="000000" w:themeColor="text1"/>
          <w:spacing w:val="0"/>
        </w:rPr>
        <w:softHyphen/>
        <w:t>ской формы с диаметром у основания 56 мм при вы</w:t>
      </w:r>
      <w:r w:rsidRPr="00D03F3E">
        <w:rPr>
          <w:rFonts w:ascii="Times New Roman" w:cs="Times New Roman"/>
          <w:color w:val="000000" w:themeColor="text1"/>
          <w:spacing w:val="0"/>
        </w:rPr>
        <w:softHyphen/>
        <w:t>соте 32 мм, то есть фактор кумуляции (отношение вы</w:t>
      </w:r>
      <w:r w:rsidRPr="00D03F3E">
        <w:rPr>
          <w:rFonts w:ascii="Times New Roman" w:cs="Times New Roman"/>
          <w:color w:val="000000" w:themeColor="text1"/>
          <w:spacing w:val="0"/>
        </w:rPr>
        <w:softHyphen/>
        <w:t>соты конуса к его диаметру у основания) равнялся 0,57. Толщина металлической об</w:t>
      </w:r>
      <w:r w:rsidRPr="00D03F3E">
        <w:rPr>
          <w:rFonts w:ascii="Times New Roman" w:cs="Times New Roman"/>
          <w:color w:val="000000" w:themeColor="text1"/>
          <w:spacing w:val="0"/>
        </w:rPr>
        <w:softHyphen/>
        <w:t>лицовки кумулятивной вы</w:t>
      </w:r>
      <w:r w:rsidRPr="00D03F3E">
        <w:rPr>
          <w:rFonts w:ascii="Times New Roman" w:cs="Times New Roman"/>
          <w:color w:val="000000" w:themeColor="text1"/>
          <w:spacing w:val="0"/>
        </w:rPr>
        <w:softHyphen/>
        <w:t>емки была всего 1 мм. Для увеличения осколочного действия на цилиндриче</w:t>
      </w:r>
      <w:r w:rsidRPr="00D03F3E">
        <w:rPr>
          <w:rFonts w:ascii="Times New Roman" w:cs="Times New Roman"/>
          <w:color w:val="000000" w:themeColor="text1"/>
          <w:spacing w:val="0"/>
        </w:rPr>
        <w:softHyphen/>
        <w:t>скую часть бомбы дополни</w:t>
      </w:r>
      <w:r w:rsidRPr="00D03F3E">
        <w:rPr>
          <w:rFonts w:ascii="Times New Roman" w:cs="Times New Roman"/>
          <w:color w:val="000000" w:themeColor="text1"/>
          <w:spacing w:val="0"/>
        </w:rPr>
        <w:softHyphen/>
        <w:t>тельно надевалась стальная 1,5-мм «рубашка». Вес не окончательно снаряженной бомбы (без взрывателя) со</w:t>
      </w:r>
      <w:r w:rsidRPr="00D03F3E">
        <w:rPr>
          <w:rFonts w:ascii="Times New Roman" w:cs="Times New Roman"/>
          <w:color w:val="000000" w:themeColor="text1"/>
          <w:spacing w:val="0"/>
        </w:rPr>
        <w:softHyphen/>
        <w:t>ставлял 1,170 кг.</w:t>
      </w:r>
    </w:p>
    <w:p w14:paraId="5D3D2A21"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Бомба снаряжалась мощным взрывчатым ве</w:t>
      </w:r>
      <w:r w:rsidRPr="00D03F3E">
        <w:rPr>
          <w:rFonts w:ascii="Times New Roman" w:cs="Times New Roman"/>
          <w:color w:val="000000" w:themeColor="text1"/>
          <w:spacing w:val="0"/>
        </w:rPr>
        <w:softHyphen/>
        <w:t>ществом типа ТГА (вес - 640 г). Это была смесь тротила (50%) и гексогена (40%) с добавлением 10% алюминиевой пудры. Алю</w:t>
      </w:r>
      <w:r w:rsidRPr="00D03F3E">
        <w:rPr>
          <w:rFonts w:ascii="Times New Roman" w:cs="Times New Roman"/>
          <w:color w:val="000000" w:themeColor="text1"/>
          <w:spacing w:val="0"/>
        </w:rPr>
        <w:softHyphen/>
        <w:t>миний добавлялся с целью усиления зажигательных свойств кумулятивной струи. Во всяком случае, так в то время считали.</w:t>
      </w:r>
    </w:p>
    <w:p w14:paraId="0E8619D2"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Загрузка бомб в штатные кассеты мел</w:t>
      </w:r>
      <w:r w:rsidRPr="00D03F3E">
        <w:rPr>
          <w:rFonts w:ascii="Times New Roman" w:cs="Times New Roman"/>
          <w:color w:val="000000" w:themeColor="text1"/>
          <w:spacing w:val="0"/>
        </w:rPr>
        <w:softHyphen/>
        <w:t>ких бомб самолета Ил-2 (КМБ и КМБ-2) по</w:t>
      </w:r>
      <w:r w:rsidRPr="00D03F3E">
        <w:rPr>
          <w:rFonts w:ascii="Times New Roman" w:cs="Times New Roman"/>
          <w:color w:val="000000" w:themeColor="text1"/>
          <w:spacing w:val="0"/>
        </w:rPr>
        <w:softHyphen/>
        <w:t>казала, что в них можно было уложить 68 и 70 бомб, соответственно. То есть полная за</w:t>
      </w:r>
      <w:r w:rsidRPr="00D03F3E">
        <w:rPr>
          <w:rFonts w:ascii="Times New Roman" w:cs="Times New Roman"/>
          <w:color w:val="000000" w:themeColor="text1"/>
          <w:spacing w:val="0"/>
        </w:rPr>
        <w:softHyphen/>
        <w:t>грузка самолета Ил-2 бомбами этого типа составляла 272-280 штук, что равнялось 325-340 кг. Это количество сочли вполне достаточным для эффективного боевого применения самолета.</w:t>
      </w:r>
    </w:p>
    <w:p w14:paraId="49993AFF"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кассету бомбардировщика Пе-2 (КМБ-Пе-2), умещалось только 51 ПТАБ-1,5 или 102 бомбы на самолет (всего 125 кг). Явно мало для такой большой машины.</w:t>
      </w:r>
    </w:p>
    <w:p w14:paraId="16791AD6"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Специалисты полигона отметили, что габаритные размеры бомб - диаметры бомбы и цилиндра стабилизатора, а также размах стабилизатора, выходят за пределы технических требований на 1 -4 мм. Кроме того, конструктором бомбы не был отрабо</w:t>
      </w:r>
      <w:r w:rsidRPr="00D03F3E">
        <w:rPr>
          <w:rFonts w:ascii="Times New Roman" w:cs="Times New Roman"/>
          <w:color w:val="000000" w:themeColor="text1"/>
          <w:spacing w:val="0"/>
        </w:rPr>
        <w:softHyphen/>
        <w:t>тан способ надежной контровки ветрянки взрывателя. Все это не давало гарантии безопасной эксплуатации боеприпаса в войсках.</w:t>
      </w:r>
    </w:p>
    <w:p w14:paraId="3F07412F"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Для определения эффективности ПТАБ-1,5 было подорвано 14 бомб непо</w:t>
      </w:r>
      <w:r w:rsidRPr="00D03F3E">
        <w:rPr>
          <w:rFonts w:ascii="Times New Roman" w:cs="Times New Roman"/>
          <w:color w:val="000000" w:themeColor="text1"/>
          <w:spacing w:val="0"/>
        </w:rPr>
        <w:softHyphen/>
        <w:t>средственно на броне немецкого штурмо</w:t>
      </w:r>
      <w:r w:rsidRPr="00D03F3E">
        <w:rPr>
          <w:rFonts w:ascii="Times New Roman" w:cs="Times New Roman"/>
          <w:color w:val="000000" w:themeColor="text1"/>
          <w:spacing w:val="0"/>
        </w:rPr>
        <w:softHyphen/>
        <w:t>вого орудия 81иС III. Подрывы выполнялись под углами 90,45,30,15 и 0 градусов к по</w:t>
      </w:r>
      <w:r w:rsidRPr="00D03F3E">
        <w:rPr>
          <w:rFonts w:ascii="Times New Roman" w:cs="Times New Roman"/>
          <w:color w:val="000000" w:themeColor="text1"/>
          <w:spacing w:val="0"/>
        </w:rPr>
        <w:softHyphen/>
        <w:t>верхности брони. Перед подрывом с целью имитации удара о броню танка головная часть бомбы деформировалась.</w:t>
      </w:r>
    </w:p>
    <w:p w14:paraId="145C7FD1"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Эффект от подрывов ПТАБ-1,5 пре</w:t>
      </w:r>
      <w:r w:rsidRPr="00D03F3E">
        <w:rPr>
          <w:rFonts w:ascii="Times New Roman" w:cs="Times New Roman"/>
          <w:color w:val="000000" w:themeColor="text1"/>
          <w:spacing w:val="0"/>
        </w:rPr>
        <w:softHyphen/>
        <w:t>взошел все ожидания. В диапазоне углов встречи (угол между нормалью к броне и осью бомбы) от 0 до 60° кумулятивная струя бомбы легко пробивала броню толщиной 50 мм, а при больших углах - 30 мм. При</w:t>
      </w:r>
      <w:r w:rsidRPr="00D03F3E">
        <w:rPr>
          <w:rFonts w:ascii="Times New Roman" w:cs="Times New Roman"/>
          <w:color w:val="000000" w:themeColor="text1"/>
          <w:spacing w:val="0"/>
        </w:rPr>
        <w:softHyphen/>
        <w:t>чем, если поражение 50-мм брони име</w:t>
      </w:r>
      <w:r w:rsidRPr="00D03F3E">
        <w:rPr>
          <w:rFonts w:ascii="Times New Roman" w:cs="Times New Roman"/>
          <w:color w:val="000000" w:themeColor="text1"/>
          <w:spacing w:val="0"/>
        </w:rPr>
        <w:softHyphen/>
        <w:t>ло вид отверстия с входным диаметром 30-35 мм, то пробитие 30-мм брони со</w:t>
      </w:r>
      <w:r w:rsidRPr="00D03F3E">
        <w:rPr>
          <w:rFonts w:ascii="Times New Roman" w:cs="Times New Roman"/>
          <w:color w:val="000000" w:themeColor="text1"/>
          <w:spacing w:val="0"/>
        </w:rPr>
        <w:softHyphen/>
        <w:t>провождалось широкими проломами. При подрыве ПТАБ-1,5 под углом встречи 60° была пробита броня толщиной 52 мм и вы</w:t>
      </w:r>
      <w:r w:rsidRPr="00D03F3E">
        <w:rPr>
          <w:rFonts w:ascii="Times New Roman" w:cs="Times New Roman"/>
          <w:color w:val="000000" w:themeColor="text1"/>
          <w:spacing w:val="0"/>
        </w:rPr>
        <w:softHyphen/>
        <w:t>бит кусок бортовой 30-мм брони размерами 200x300 мм. Практически во всех случаях пробитие брони сопровождалось отколом брони вокруг выходного отверстия.</w:t>
      </w:r>
    </w:p>
    <w:p w14:paraId="3BA0434D" w14:textId="77777777" w:rsidR="00113EE2" w:rsidRPr="00D03F3E" w:rsidRDefault="00113E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Бомбометание в воздухе выполнялось с самолета Ил-2 с горизонтального по</w:t>
      </w:r>
      <w:r w:rsidRPr="00D03F3E">
        <w:rPr>
          <w:rFonts w:ascii="Times New Roman" w:hAnsi="Times New Roman"/>
          <w:color w:val="000000" w:themeColor="text1"/>
          <w:sz w:val="16"/>
          <w:szCs w:val="16"/>
        </w:rPr>
        <w:softHyphen/>
        <w:t>лета на скорости 280 км/ч с высот 50 м и 75-100 м. Из четырех кассет две были при</w:t>
      </w:r>
      <w:r w:rsidRPr="00D03F3E">
        <w:rPr>
          <w:rFonts w:ascii="Times New Roman" w:hAnsi="Times New Roman"/>
          <w:color w:val="000000" w:themeColor="text1"/>
          <w:sz w:val="16"/>
          <w:szCs w:val="16"/>
        </w:rPr>
        <w:softHyphen/>
        <w:t>менены одиночно и две серией с интер</w:t>
      </w:r>
      <w:r w:rsidRPr="00D03F3E">
        <w:rPr>
          <w:rFonts w:ascii="Times New Roman" w:hAnsi="Times New Roman"/>
          <w:color w:val="000000" w:themeColor="text1"/>
          <w:sz w:val="16"/>
          <w:szCs w:val="16"/>
        </w:rPr>
        <w:softHyphen/>
        <w:t>валом 0,25 с. Бомбы укладывались вниз головной частью, ветрянки не контрились.</w:t>
      </w:r>
    </w:p>
    <w:p w14:paraId="0E42BAAA"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Бомбили все ту же трофейную самоходку 51иС III. С высоты 50 м было сброшено 43, а с высоты 75-100 м -185 бомб. Все бомбы падали устойчиво и сработали нормально, отказов не было. Минимальная высота, эбеспечивающая выравнивание бомбы до встречи с поверхностью брони танка и без- зтказность ее действия была установлена завной 70 м.</w:t>
      </w:r>
    </w:p>
    <w:p w14:paraId="30FFCF7F"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Несмотря на то, что не было получено ми одного попадания в танк, специалисты НИП АВ сделали положительные выводы .13 результатов испытаний ПТАБ-1,5 и ре</w:t>
      </w:r>
      <w:r w:rsidRPr="00D03F3E">
        <w:rPr>
          <w:rFonts w:ascii="Times New Roman" w:cs="Times New Roman"/>
          <w:color w:val="000000" w:themeColor="text1"/>
          <w:spacing w:val="0"/>
        </w:rPr>
        <w:softHyphen/>
        <w:t>комендовали бомбу «для принятия на во</w:t>
      </w:r>
      <w:r w:rsidRPr="00D03F3E">
        <w:rPr>
          <w:rFonts w:ascii="Times New Roman" w:cs="Times New Roman"/>
          <w:color w:val="000000" w:themeColor="text1"/>
          <w:spacing w:val="0"/>
        </w:rPr>
        <w:softHyphen/>
        <w:t>оружение ВВС КА как бомбы специального -назначения». При этом до запуска валовой партии от ЦКБ-22 требовалось обеспе</w:t>
      </w:r>
      <w:r w:rsidRPr="00D03F3E">
        <w:rPr>
          <w:rFonts w:ascii="Times New Roman" w:cs="Times New Roman"/>
          <w:color w:val="000000" w:themeColor="text1"/>
          <w:spacing w:val="0"/>
        </w:rPr>
        <w:softHyphen/>
        <w:t>чить полное соответствие бомб этого типа ТУ-5-40 и отработку контровки взрывате</w:t>
      </w:r>
      <w:r w:rsidRPr="00D03F3E">
        <w:rPr>
          <w:rFonts w:ascii="Times New Roman" w:cs="Times New Roman"/>
          <w:color w:val="000000" w:themeColor="text1"/>
          <w:spacing w:val="0"/>
        </w:rPr>
        <w:softHyphen/>
        <w:t>ля. Кроме того, предлагалось «от 1-й се- р.-и партию бомб... подать на НИП АВ на • онтрольные испытания в количестве не менее 800 шт.».</w:t>
      </w:r>
    </w:p>
    <w:p w14:paraId="60C7F667"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Кроме инженер-майора Дьячкова заключение по результатам испытаний ТГАБ-1,5 подписали: начальник 3-го отде- -ения опытного отдела НИП АВ майор Гал</w:t>
      </w:r>
      <w:r w:rsidRPr="00D03F3E">
        <w:rPr>
          <w:rFonts w:ascii="Times New Roman" w:cs="Times New Roman"/>
          <w:color w:val="000000" w:themeColor="text1"/>
          <w:spacing w:val="0"/>
        </w:rPr>
        <w:softHyphen/>
        <w:t>кин, начальник опытного отдела подполков</w:t>
      </w:r>
      <w:r w:rsidRPr="00D03F3E">
        <w:rPr>
          <w:rFonts w:ascii="Times New Roman" w:cs="Times New Roman"/>
          <w:color w:val="000000" w:themeColor="text1"/>
          <w:spacing w:val="0"/>
        </w:rPr>
        <w:softHyphen/>
        <w:t>ник Фомин и начальник полигона полковник Лобачев.</w:t>
      </w:r>
    </w:p>
    <w:p w14:paraId="7244C141"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ходе доработки бомбы под требования массового производства и эксплуатации в войсках она получила другое обозна</w:t>
      </w:r>
      <w:r w:rsidRPr="00D03F3E">
        <w:rPr>
          <w:rFonts w:ascii="Times New Roman" w:cs="Times New Roman"/>
          <w:color w:val="000000" w:themeColor="text1"/>
          <w:spacing w:val="0"/>
        </w:rPr>
        <w:softHyphen/>
        <w:t>чение-ПТАБ-2,5-1,5.</w:t>
      </w:r>
    </w:p>
    <w:p w14:paraId="52B6D3C6"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 этому времени в ЦКБ-22 был отра</w:t>
      </w:r>
      <w:r w:rsidRPr="00D03F3E">
        <w:rPr>
          <w:rFonts w:ascii="Times New Roman" w:cs="Times New Roman"/>
          <w:color w:val="000000" w:themeColor="text1"/>
          <w:spacing w:val="0"/>
        </w:rPr>
        <w:softHyphen/>
        <w:t>ботан более надежный донный взрыватель АД-А мгновенного действия. Предохрани</w:t>
      </w:r>
      <w:r w:rsidRPr="00D03F3E">
        <w:rPr>
          <w:rFonts w:ascii="Times New Roman" w:cs="Times New Roman"/>
          <w:color w:val="000000" w:themeColor="text1"/>
          <w:spacing w:val="0"/>
        </w:rPr>
        <w:softHyphen/>
        <w:t>тельный механизм включал крыльчатку, П-образную чеку и предохранительную пру</w:t>
      </w:r>
      <w:r w:rsidRPr="00D03F3E">
        <w:rPr>
          <w:rFonts w:ascii="Times New Roman" w:cs="Times New Roman"/>
          <w:color w:val="000000" w:themeColor="text1"/>
          <w:spacing w:val="0"/>
        </w:rPr>
        <w:softHyphen/>
        <w:t>жину. Чека фиксировала крыльчатку и обе</w:t>
      </w:r>
      <w:r w:rsidRPr="00D03F3E">
        <w:rPr>
          <w:rFonts w:ascii="Times New Roman" w:cs="Times New Roman"/>
          <w:color w:val="000000" w:themeColor="text1"/>
          <w:spacing w:val="0"/>
        </w:rPr>
        <w:softHyphen/>
        <w:t xml:space="preserve">спечивала безопасность взрывателя. При укладке бомбы в кассеты цилиндрический стабилизатор бомбы закрывался крышкой с </w:t>
      </w:r>
      <w:r w:rsidRPr="00D03F3E">
        <w:rPr>
          <w:rStyle w:val="ArialNarrow-1pt"/>
          <w:rFonts w:ascii="Times New Roman" w:hAnsi="Times New Roman" w:cs="Times New Roman"/>
          <w:b w:val="0"/>
          <w:color w:val="000000" w:themeColor="text1"/>
          <w:spacing w:val="0"/>
          <w:sz w:val="16"/>
          <w:szCs w:val="16"/>
        </w:rPr>
        <w:t>П</w:t>
      </w:r>
      <w:r w:rsidRPr="00D03F3E">
        <w:rPr>
          <w:rFonts w:ascii="Times New Roman" w:cs="Times New Roman"/>
          <w:color w:val="000000" w:themeColor="text1"/>
          <w:spacing w:val="0"/>
        </w:rPr>
        <w:t>-образной предохранительной чекой. По</w:t>
      </w:r>
      <w:r w:rsidRPr="00D03F3E">
        <w:rPr>
          <w:rFonts w:ascii="Times New Roman" w:cs="Times New Roman"/>
          <w:color w:val="000000" w:themeColor="text1"/>
          <w:spacing w:val="0"/>
        </w:rPr>
        <w:softHyphen/>
        <w:t>сле сброса бомбы крышку срывало потоком воздуха, крыльчатка начинала вращаться и после определенного числа оборотов от</w:t>
      </w:r>
      <w:r w:rsidRPr="00D03F3E">
        <w:rPr>
          <w:rFonts w:ascii="Times New Roman" w:cs="Times New Roman"/>
          <w:color w:val="000000" w:themeColor="text1"/>
          <w:spacing w:val="0"/>
        </w:rPr>
        <w:softHyphen/>
        <w:t>делялась от бомбы, освобождая ударник. Взрыватель вставал на боевой взвод. При соударении бомбы с преградой ударник перемещался, сжимал предохранительную пружину и накалывал жалом капсюль-дето</w:t>
      </w:r>
      <w:r w:rsidRPr="00D03F3E">
        <w:rPr>
          <w:rFonts w:ascii="Times New Roman" w:cs="Times New Roman"/>
          <w:color w:val="000000" w:themeColor="text1"/>
          <w:spacing w:val="0"/>
        </w:rPr>
        <w:softHyphen/>
        <w:t>натор. Взрывной импульс инициировал дей</w:t>
      </w:r>
      <w:r w:rsidRPr="00D03F3E">
        <w:rPr>
          <w:rFonts w:ascii="Times New Roman" w:cs="Times New Roman"/>
          <w:color w:val="000000" w:themeColor="text1"/>
          <w:spacing w:val="0"/>
        </w:rPr>
        <w:softHyphen/>
        <w:t>ствие промежуточного детонатора, который затем вызывал детонацию взрывчатого ве</w:t>
      </w:r>
      <w:r w:rsidRPr="00D03F3E">
        <w:rPr>
          <w:rFonts w:ascii="Times New Roman" w:cs="Times New Roman"/>
          <w:color w:val="000000" w:themeColor="text1"/>
          <w:spacing w:val="0"/>
        </w:rPr>
        <w:softHyphen/>
        <w:t>щества бомбы.</w:t>
      </w:r>
    </w:p>
    <w:p w14:paraId="4AE721D4"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Помимо своего прямого назначения, взрыватель АД-А использовался еще и для крепления стабилизатора бомбы к корпусу самой бомбы (12739).</w:t>
      </w:r>
    </w:p>
    <w:p w14:paraId="2009A61F"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p>
    <w:p w14:paraId="2D36C084" w14:textId="77777777" w:rsidR="00683FE3" w:rsidRPr="00D03F3E" w:rsidRDefault="00683FE3"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24 января 1943 в течение всего одного дня были проведены ПТАБ-1,5 перепроектированной в ЦКБ-22 в авральном порядке под тем же индексом и с взрывателем АВ-108-3, которую предъявили на НИП АВ 15 января 1943 г.</w:t>
      </w:r>
    </w:p>
    <w:p w14:paraId="288445D8" w14:textId="77777777" w:rsidR="00683FE3" w:rsidRPr="00D03F3E" w:rsidRDefault="00683FE3"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9 февраля 1943 главный инженер ВВС КА генерал-лейтенант А. К. Репин ут</w:t>
      </w:r>
      <w:r w:rsidRPr="00D03F3E">
        <w:rPr>
          <w:color w:val="000000" w:themeColor="text1"/>
          <w:sz w:val="16"/>
          <w:szCs w:val="16"/>
        </w:rPr>
        <w:softHyphen/>
        <w:t>вердил Отчет по полигонным испытаниям Ответственным по испытаниям, как и прежде, был назначен ведущий инженер 3-го отделения опытного отдела НИП АВ инженер-майор Дьячков. Промышленность представлял конструктор бом</w:t>
      </w:r>
      <w:r w:rsidRPr="00D03F3E">
        <w:rPr>
          <w:color w:val="000000" w:themeColor="text1"/>
          <w:sz w:val="16"/>
          <w:szCs w:val="16"/>
        </w:rPr>
        <w:softHyphen/>
        <w:t>бы и взрывателя к ней старший инженер ЦКБ-22 И. А. Ларионов. Летную часть программы испыта</w:t>
      </w:r>
      <w:r w:rsidRPr="00D03F3E">
        <w:rPr>
          <w:color w:val="000000" w:themeColor="text1"/>
          <w:sz w:val="16"/>
          <w:szCs w:val="16"/>
        </w:rPr>
        <w:softHyphen/>
        <w:t>ний выполнил летчик-испытатель полигона капитан А. В. Кусакин.</w:t>
      </w:r>
    </w:p>
    <w:p w14:paraId="75784AA7" w14:textId="77777777" w:rsidR="00683FE3" w:rsidRPr="00D03F3E" w:rsidRDefault="00683FE3"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Цель испытаний — проверить эффективность действия бомб этого типа по танкам, их безотказ ность в действии, а также определить рациональ</w:t>
      </w:r>
      <w:r w:rsidRPr="00D03F3E">
        <w:rPr>
          <w:color w:val="000000" w:themeColor="text1"/>
          <w:sz w:val="16"/>
          <w:szCs w:val="16"/>
        </w:rPr>
        <w:softHyphen/>
        <w:t>ную укладку бомб в штатные кассеты мелких бомб штурмовиков и бомбардировщиков.</w:t>
      </w:r>
    </w:p>
    <w:p w14:paraId="22D4EB0C" w14:textId="77777777" w:rsidR="00683FE3" w:rsidRPr="00D03F3E" w:rsidRDefault="00683FE3"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Основные изменения в конструкции бомбы сво</w:t>
      </w:r>
      <w:r w:rsidRPr="00D03F3E">
        <w:rPr>
          <w:color w:val="000000" w:themeColor="text1"/>
          <w:sz w:val="16"/>
          <w:szCs w:val="16"/>
        </w:rPr>
        <w:softHyphen/>
        <w:t>дились к следующему. Длину и диаметр ПТАБ-1,5 привели в соответствие с габаритами штатной бом</w:t>
      </w:r>
      <w:r w:rsidRPr="00D03F3E">
        <w:rPr>
          <w:color w:val="000000" w:themeColor="text1"/>
          <w:sz w:val="16"/>
          <w:szCs w:val="16"/>
        </w:rPr>
        <w:softHyphen/>
        <w:t>бы калибра 2,5 кг. Длина бомбы находилась в пре</w:t>
      </w:r>
      <w:r w:rsidRPr="00D03F3E">
        <w:rPr>
          <w:color w:val="000000" w:themeColor="text1"/>
          <w:sz w:val="16"/>
          <w:szCs w:val="16"/>
        </w:rPr>
        <w:softHyphen/>
        <w:t>делах 355—360 мм, диаметр корпуса — 61—65 мм, размах оперения — 65 мм. Диаметр ветрянки уменьшили с 70 до 58 мм. Изменили форму дето- наторной шашки. Корпус ПТАБ-1,5 изготавливался из жести и состоял из жесткого цилиндра и штам</w:t>
      </w:r>
      <w:r w:rsidRPr="00D03F3E">
        <w:rPr>
          <w:color w:val="000000" w:themeColor="text1"/>
          <w:sz w:val="16"/>
          <w:szCs w:val="16"/>
        </w:rPr>
        <w:softHyphen/>
        <w:t>пованной сферической головки. Кумулятивная вы</w:t>
      </w:r>
      <w:r w:rsidRPr="00D03F3E">
        <w:rPr>
          <w:color w:val="000000" w:themeColor="text1"/>
          <w:sz w:val="16"/>
          <w:szCs w:val="16"/>
        </w:rPr>
        <w:softHyphen/>
        <w:t>емка бомбы была конической формы с диаметром у основания 56 мм при высоте 32 мм, то есть фак</w:t>
      </w:r>
      <w:r w:rsidRPr="00D03F3E">
        <w:rPr>
          <w:color w:val="000000" w:themeColor="text1"/>
          <w:sz w:val="16"/>
          <w:szCs w:val="16"/>
        </w:rPr>
        <w:softHyphen/>
        <w:t>тор кумуляции (отношение высоты конуса к его диаметру у основания) равнялся 0,57. Толщина металлической облицовки кумулятивной выемки была всего 1 мм. Для увеличения осколочного дей</w:t>
      </w:r>
      <w:r w:rsidRPr="00D03F3E">
        <w:rPr>
          <w:color w:val="000000" w:themeColor="text1"/>
          <w:sz w:val="16"/>
          <w:szCs w:val="16"/>
        </w:rPr>
        <w:softHyphen/>
        <w:t>ствия на цилиндрическую часть бомбы дополни</w:t>
      </w:r>
      <w:r w:rsidRPr="00D03F3E">
        <w:rPr>
          <w:color w:val="000000" w:themeColor="text1"/>
          <w:sz w:val="16"/>
          <w:szCs w:val="16"/>
        </w:rPr>
        <w:softHyphen/>
        <w:t>тельно надевалась стальная 1,5-мм «рубашка». Вес не окончательно снаряженной (без взрывателя) бомбы составлял 1,170 кг.</w:t>
      </w:r>
    </w:p>
    <w:p w14:paraId="5D49E0EF" w14:textId="77777777" w:rsidR="00683FE3" w:rsidRPr="00D03F3E" w:rsidRDefault="00683FE3"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Бомба снаряжалась мощным взрывчатым веще</w:t>
      </w:r>
      <w:r w:rsidRPr="00D03F3E">
        <w:rPr>
          <w:color w:val="000000" w:themeColor="text1"/>
          <w:sz w:val="16"/>
          <w:szCs w:val="16"/>
        </w:rPr>
        <w:softHyphen/>
        <w:t>ством типа ТГА (вес — 0,640 кг) — смесь тротила (50%) и гексогена (40%) с добавлением 10% алюми</w:t>
      </w:r>
      <w:r w:rsidRPr="00D03F3E">
        <w:rPr>
          <w:color w:val="000000" w:themeColor="text1"/>
          <w:sz w:val="16"/>
          <w:szCs w:val="16"/>
        </w:rPr>
        <w:softHyphen/>
        <w:t>ниевой пудры. Алюминий добавлялся с целью уси</w:t>
      </w:r>
      <w:r w:rsidRPr="00D03F3E">
        <w:rPr>
          <w:color w:val="000000" w:themeColor="text1"/>
          <w:sz w:val="16"/>
          <w:szCs w:val="16"/>
        </w:rPr>
        <w:softHyphen/>
        <w:t>ления зажигательных свойств кумулятивной струи. Во всяком случае, так в то время считали.</w:t>
      </w:r>
    </w:p>
    <w:p w14:paraId="764705CA" w14:textId="77777777" w:rsidR="00683FE3" w:rsidRPr="00D03F3E" w:rsidRDefault="00683FE3"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Загрузка бомб в штатные кассеты мелких бомб самолета Ил-2 — КМБ и КМБ-2 — показала, что в них можно было уложить 68 и 70 бомб соответ</w:t>
      </w:r>
      <w:r w:rsidRPr="00D03F3E">
        <w:rPr>
          <w:color w:val="000000" w:themeColor="text1"/>
          <w:sz w:val="16"/>
          <w:szCs w:val="16"/>
        </w:rPr>
        <w:softHyphen/>
        <w:t>ственно. То есть полная загрузка самолета Ил-2 бомбами этого типа составляла 272—280 штук — 325—340 кг. Это количество сочли вполне доста</w:t>
      </w:r>
      <w:r w:rsidRPr="00D03F3E">
        <w:rPr>
          <w:color w:val="000000" w:themeColor="text1"/>
          <w:sz w:val="16"/>
          <w:szCs w:val="16"/>
        </w:rPr>
        <w:softHyphen/>
        <w:t>точным для эффективного боевого применения бомб.</w:t>
      </w:r>
    </w:p>
    <w:p w14:paraId="1DB615D7" w14:textId="77777777" w:rsidR="00683FE3" w:rsidRPr="00D03F3E" w:rsidRDefault="00683FE3"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кассету бомбардировщика Пе-2 — КМБ-Пе-2 — умещалась только 51 ПТАБ-1,5 или 102 бомбы на самолет (всего 125 кг). Этого было явно мало для такой большой машины, как «пешка».</w:t>
      </w:r>
    </w:p>
    <w:p w14:paraId="6D708B88" w14:textId="77777777" w:rsidR="00683FE3" w:rsidRPr="00D03F3E" w:rsidRDefault="00683FE3"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Специалисты полигона отметили, что габарит</w:t>
      </w:r>
      <w:r w:rsidRPr="00D03F3E">
        <w:rPr>
          <w:color w:val="000000" w:themeColor="text1"/>
          <w:sz w:val="16"/>
          <w:szCs w:val="16"/>
        </w:rPr>
        <w:softHyphen/>
        <w:t>ные размеры бомб — диаметры бомбы и цилиндра стабилизатора, а также размах стабилизатора — выходят за пределы ТУ-5-40 на 1—4 мм. Кроме того, конструктором бомбы не был отработан способ на</w:t>
      </w:r>
      <w:r w:rsidRPr="00D03F3E">
        <w:rPr>
          <w:color w:val="000000" w:themeColor="text1"/>
          <w:sz w:val="16"/>
          <w:szCs w:val="16"/>
        </w:rPr>
        <w:softHyphen/>
        <w:t>дежной контровки ветрянки взрывателя АВ-108-3.</w:t>
      </w:r>
    </w:p>
    <w:p w14:paraId="11A5C39D" w14:textId="77777777" w:rsidR="00683FE3" w:rsidRPr="00D03F3E" w:rsidRDefault="00683FE3"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Все это не давало гарантии безопасной эксплуата</w:t>
      </w:r>
      <w:r w:rsidRPr="00D03F3E">
        <w:rPr>
          <w:color w:val="000000" w:themeColor="text1"/>
          <w:sz w:val="16"/>
          <w:szCs w:val="16"/>
        </w:rPr>
        <w:softHyphen/>
        <w:t>ции боеприпаса в войсках.</w:t>
      </w:r>
    </w:p>
    <w:p w14:paraId="1F4E2465" w14:textId="77777777" w:rsidR="00683FE3" w:rsidRPr="00D03F3E" w:rsidRDefault="00683FE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определения эффективности ПТАБ-1,5 бы</w:t>
      </w:r>
      <w:r w:rsidRPr="00D03F3E">
        <w:rPr>
          <w:rFonts w:ascii="Times New Roman" w:hAnsi="Times New Roman"/>
          <w:color w:val="000000" w:themeColor="text1"/>
          <w:sz w:val="16"/>
          <w:szCs w:val="16"/>
        </w:rPr>
        <w:softHyphen/>
        <w:t xml:space="preserve">ло подорвано 14 бомб непосредственно на броне немецкого штурмового орудия </w:t>
      </w:r>
      <w:r w:rsidRPr="00D03F3E">
        <w:rPr>
          <w:rFonts w:ascii="Times New Roman" w:hAnsi="Times New Roman"/>
          <w:color w:val="000000" w:themeColor="text1"/>
          <w:sz w:val="16"/>
          <w:szCs w:val="16"/>
          <w:lang w:val="en-US"/>
        </w:rPr>
        <w:t>StuG</w:t>
      </w:r>
      <w:r w:rsidRPr="00D03F3E">
        <w:rPr>
          <w:rFonts w:ascii="Times New Roman" w:hAnsi="Times New Roman"/>
          <w:color w:val="000000" w:themeColor="text1"/>
          <w:sz w:val="16"/>
          <w:szCs w:val="16"/>
        </w:rPr>
        <w:t xml:space="preserve"> III толщиной 16, 30 и 52 мм. Подрывы выполнялись под углом 90, 45, 30, 15 и 0 градусов к поверхности брони. Перед подрывом с целью имитации удара о бро</w:t>
      </w:r>
      <w:r w:rsidRPr="00D03F3E">
        <w:rPr>
          <w:rFonts w:ascii="Times New Roman" w:hAnsi="Times New Roman"/>
          <w:color w:val="000000" w:themeColor="text1"/>
          <w:sz w:val="16"/>
          <w:szCs w:val="16"/>
        </w:rPr>
        <w:softHyphen/>
        <w:t>ню танка головная часть бомбы деформирова</w:t>
      </w:r>
      <w:r w:rsidRPr="00D03F3E">
        <w:rPr>
          <w:rFonts w:ascii="Times New Roman" w:hAnsi="Times New Roman"/>
          <w:color w:val="000000" w:themeColor="text1"/>
          <w:sz w:val="16"/>
          <w:szCs w:val="16"/>
        </w:rPr>
        <w:softHyphen/>
        <w:t>лась.</w:t>
      </w:r>
    </w:p>
    <w:p w14:paraId="13D6FFAD" w14:textId="77777777" w:rsidR="00683FE3" w:rsidRPr="00D03F3E" w:rsidRDefault="00683FE3"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Эффект от подрывов ПТАБ-1,5 превзошел все ожидания. В диапазоне углов встречи (угол между нормалью к броне и осью бомбы) от 0 до 60° ку</w:t>
      </w:r>
      <w:r w:rsidRPr="00D03F3E">
        <w:rPr>
          <w:color w:val="000000" w:themeColor="text1"/>
          <w:sz w:val="16"/>
          <w:szCs w:val="16"/>
        </w:rPr>
        <w:softHyphen/>
        <w:t>мулятивная струя бомбы легко пробивала броню толщиной 50 мм, а при больших углах — 30 мм. Причем если поражение 50-мм брони имело вид отверстия с входным диаметром 30—35 мм, то пробитие 30-мм брони сопровождалось широки</w:t>
      </w:r>
      <w:r w:rsidRPr="00D03F3E">
        <w:rPr>
          <w:color w:val="000000" w:themeColor="text1"/>
          <w:sz w:val="16"/>
          <w:szCs w:val="16"/>
        </w:rPr>
        <w:softHyphen/>
        <w:t>ми проломами. При подрыве ПТАБ-1,5 под углом встречи 60° была пробита броня толщиной 52 мм и выломан кусок бортовой 30-мм брони размером 200x300 мм. Практически во всех случаях пробитие брони сопровождалось отколом брони вокруг вы</w:t>
      </w:r>
      <w:r w:rsidRPr="00D03F3E">
        <w:rPr>
          <w:color w:val="000000" w:themeColor="text1"/>
          <w:sz w:val="16"/>
          <w:szCs w:val="16"/>
        </w:rPr>
        <w:softHyphen/>
        <w:t>ходного отверстия.</w:t>
      </w:r>
    </w:p>
    <w:p w14:paraId="3A1B402D" w14:textId="77777777" w:rsidR="00683FE3" w:rsidRPr="00D03F3E" w:rsidRDefault="00683FE3"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Бомбометание в воздухе выполнялось с само</w:t>
      </w:r>
      <w:r w:rsidRPr="00D03F3E">
        <w:rPr>
          <w:color w:val="000000" w:themeColor="text1"/>
          <w:sz w:val="16"/>
          <w:szCs w:val="16"/>
        </w:rPr>
        <w:softHyphen/>
        <w:t>лета Ил-2 с горизонтального полета на скорости 280 км/ч с высоты 50 и 75—100 м. Из 4 кассет 2 бы</w:t>
      </w:r>
      <w:r w:rsidRPr="00D03F3E">
        <w:rPr>
          <w:color w:val="000000" w:themeColor="text1"/>
          <w:sz w:val="16"/>
          <w:szCs w:val="16"/>
        </w:rPr>
        <w:softHyphen/>
        <w:t>ли применены одиночно и 2 серией с интервалом 0,25 сек. Бомбы укладывались вниз головной ча</w:t>
      </w:r>
      <w:r w:rsidRPr="00D03F3E">
        <w:rPr>
          <w:color w:val="000000" w:themeColor="text1"/>
          <w:sz w:val="16"/>
          <w:szCs w:val="16"/>
        </w:rPr>
        <w:softHyphen/>
        <w:t>стью, ветрянки не контрились.</w:t>
      </w:r>
    </w:p>
    <w:p w14:paraId="4279DE42" w14:textId="77777777" w:rsidR="00683FE3" w:rsidRPr="00D03F3E" w:rsidRDefault="00683FE3"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Бомбили все ту же трофейную самоходку — </w:t>
      </w:r>
      <w:r w:rsidRPr="00D03F3E">
        <w:rPr>
          <w:color w:val="000000" w:themeColor="text1"/>
          <w:sz w:val="16"/>
          <w:szCs w:val="16"/>
          <w:lang w:val="en-US"/>
        </w:rPr>
        <w:t>StuG</w:t>
      </w:r>
      <w:r w:rsidRPr="00D03F3E">
        <w:rPr>
          <w:color w:val="000000" w:themeColor="text1"/>
          <w:sz w:val="16"/>
          <w:szCs w:val="16"/>
        </w:rPr>
        <w:t xml:space="preserve"> III. С высоты 50 м было сброшено 43, а с высо</w:t>
      </w:r>
      <w:r w:rsidRPr="00D03F3E">
        <w:rPr>
          <w:color w:val="000000" w:themeColor="text1"/>
          <w:sz w:val="16"/>
          <w:szCs w:val="16"/>
        </w:rPr>
        <w:softHyphen/>
        <w:t>ты 75—100 м — 185 бомб. Все бомбы падали устой</w:t>
      </w:r>
      <w:r w:rsidRPr="00D03F3E">
        <w:rPr>
          <w:color w:val="000000" w:themeColor="text1"/>
          <w:sz w:val="16"/>
          <w:szCs w:val="16"/>
        </w:rPr>
        <w:softHyphen/>
        <w:t>чиво и подействовали нормально, отказов не было. Минимальная высота, обеспечивающая выравнива</w:t>
      </w:r>
      <w:r w:rsidRPr="00D03F3E">
        <w:rPr>
          <w:color w:val="000000" w:themeColor="text1"/>
          <w:sz w:val="16"/>
          <w:szCs w:val="16"/>
        </w:rPr>
        <w:softHyphen/>
        <w:t>ние бомбы до встречи с поверхностью брони тан</w:t>
      </w:r>
      <w:r w:rsidRPr="00D03F3E">
        <w:rPr>
          <w:color w:val="000000" w:themeColor="text1"/>
          <w:sz w:val="16"/>
          <w:szCs w:val="16"/>
        </w:rPr>
        <w:softHyphen/>
        <w:t>ка и безотказность ее действия, была установлена равной 70 м.</w:t>
      </w:r>
    </w:p>
    <w:p w14:paraId="585050A2" w14:textId="77777777" w:rsidR="00683FE3" w:rsidRPr="00D03F3E" w:rsidRDefault="00683FE3"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Несмотря на то что не было получено ни одно</w:t>
      </w:r>
      <w:r w:rsidRPr="00D03F3E">
        <w:rPr>
          <w:color w:val="000000" w:themeColor="text1"/>
          <w:sz w:val="16"/>
          <w:szCs w:val="16"/>
        </w:rPr>
        <w:softHyphen/>
        <w:t>го попадания в танк, специалисты НИП АВ сделали положительные выводы из результатов испытаний ПТАБ-1,5 и рекомендовали бомбу «для принятия на вооружение ВВС КА как бомбы специального назначения». При этом до запуска валовой партии от ЦКБ-22 требовалось обеспечить полное соот</w:t>
      </w:r>
      <w:r w:rsidRPr="00D03F3E">
        <w:rPr>
          <w:color w:val="000000" w:themeColor="text1"/>
          <w:sz w:val="16"/>
          <w:szCs w:val="16"/>
        </w:rPr>
        <w:softHyphen/>
        <w:t>ветствие бомб этого типа ТУ-5-40 и отработку кон- тровки взрывателя. Кроме того, предлагалось «от 1-й серии партию бомб /.../ подать на НИП АВ на контрольные испытания в количестве не менее 800 шт.».</w:t>
      </w:r>
    </w:p>
    <w:p w14:paraId="1C323BB5" w14:textId="77777777" w:rsidR="00683FE3" w:rsidRPr="00D03F3E" w:rsidRDefault="00683FE3"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Помимо инженера-майора Дьячкова заключе</w:t>
      </w:r>
      <w:r w:rsidRPr="00D03F3E">
        <w:rPr>
          <w:color w:val="000000" w:themeColor="text1"/>
          <w:sz w:val="16"/>
          <w:szCs w:val="16"/>
        </w:rPr>
        <w:softHyphen/>
        <w:t>ние по результатам испытаний ПТАБ-1,5 подписали начальник 3-го отделения опытного отдела НИП АВ майор Галкин, начальник опытного отдела подпол</w:t>
      </w:r>
      <w:r w:rsidRPr="00D03F3E">
        <w:rPr>
          <w:color w:val="000000" w:themeColor="text1"/>
          <w:sz w:val="16"/>
          <w:szCs w:val="16"/>
        </w:rPr>
        <w:softHyphen/>
        <w:t>ковник Фомин и начальник полигона полковник Лобачев.</w:t>
      </w:r>
    </w:p>
    <w:p w14:paraId="4E2954F6" w14:textId="77777777" w:rsidR="00683FE3" w:rsidRPr="00D03F3E" w:rsidRDefault="00683FE3"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доработки бомбы под требования мас</w:t>
      </w:r>
      <w:r w:rsidRPr="00D03F3E">
        <w:rPr>
          <w:color w:val="000000" w:themeColor="text1"/>
          <w:sz w:val="16"/>
          <w:szCs w:val="16"/>
        </w:rPr>
        <w:softHyphen/>
        <w:t>сового производства и эксплуатации в войсках она получила другое обозначение — ПТАБ-2,5-1,5.</w:t>
      </w:r>
    </w:p>
    <w:p w14:paraId="22AD42C7" w14:textId="77777777" w:rsidR="00683FE3" w:rsidRPr="00D03F3E" w:rsidRDefault="00683FE3"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 этому времени в ЦКБ-22 был отработан более надежный донный взрыватель: АД-А мгновенного действия. Предохранительный механизм включал крыльчатку, П-образную чеку, предохранительную пружину. Чека фиксировала крыльчатку и обе</w:t>
      </w:r>
      <w:r w:rsidRPr="00D03F3E">
        <w:rPr>
          <w:color w:val="000000" w:themeColor="text1"/>
          <w:sz w:val="16"/>
          <w:szCs w:val="16"/>
        </w:rPr>
        <w:softHyphen/>
        <w:t>спечивала безопасность взрывателя. При укладке бомбы в кассеты цилиндрический стабилизатор бомбы закрывался крышкой с П-образной предо</w:t>
      </w:r>
      <w:r w:rsidRPr="00D03F3E">
        <w:rPr>
          <w:color w:val="000000" w:themeColor="text1"/>
          <w:sz w:val="16"/>
          <w:szCs w:val="16"/>
        </w:rPr>
        <w:softHyphen/>
        <w:t>хранительной чекой. После сброса бомбы крышку срывало потоком воздуха, крыльчатка начинала вращаться и после определенного числа оборотов отделялась от бомбы, освобождая ударник. Взры</w:t>
      </w:r>
      <w:r w:rsidRPr="00D03F3E">
        <w:rPr>
          <w:color w:val="000000" w:themeColor="text1"/>
          <w:sz w:val="16"/>
          <w:szCs w:val="16"/>
        </w:rPr>
        <w:softHyphen/>
        <w:t>ватель вставал на боевой взвод. При соударении бомбы с преградой ударник перемещался, сжимал предохранительную пружину и накалывал жалом капсюль-детонатор. Взрывной импульс иницииро</w:t>
      </w:r>
      <w:r w:rsidRPr="00D03F3E">
        <w:rPr>
          <w:color w:val="000000" w:themeColor="text1"/>
          <w:sz w:val="16"/>
          <w:szCs w:val="16"/>
        </w:rPr>
        <w:softHyphen/>
        <w:t>вал действие промежуточного детонатора, который затем вызывал детонацию взрывчатого вещества бомбы.</w:t>
      </w:r>
    </w:p>
    <w:p w14:paraId="6BE784DD" w14:textId="77777777" w:rsidR="00683FE3" w:rsidRPr="00D03F3E" w:rsidRDefault="00683FE3"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Помимо своего прямого назначения, взрыва</w:t>
      </w:r>
      <w:r w:rsidRPr="00D03F3E">
        <w:rPr>
          <w:color w:val="000000" w:themeColor="text1"/>
          <w:sz w:val="16"/>
          <w:szCs w:val="16"/>
        </w:rPr>
        <w:softHyphen/>
        <w:t>тель АД-А использовался еще и для крепления ста</w:t>
      </w:r>
      <w:r w:rsidRPr="00D03F3E">
        <w:rPr>
          <w:color w:val="000000" w:themeColor="text1"/>
          <w:sz w:val="16"/>
          <w:szCs w:val="16"/>
        </w:rPr>
        <w:softHyphen/>
        <w:t>билизатора бомбы к корпусу самой бомбы (17500).</w:t>
      </w:r>
    </w:p>
    <w:p w14:paraId="2BE0F172" w14:textId="77777777" w:rsidR="00683FE3" w:rsidRPr="00D03F3E" w:rsidRDefault="00683FE3" w:rsidP="00D03F3E">
      <w:pPr>
        <w:pStyle w:val="12a"/>
        <w:shd w:val="clear" w:color="auto" w:fill="auto"/>
        <w:spacing w:after="0" w:line="240" w:lineRule="auto"/>
        <w:jc w:val="both"/>
        <w:rPr>
          <w:color w:val="000000" w:themeColor="text1"/>
          <w:sz w:val="16"/>
          <w:szCs w:val="16"/>
        </w:rPr>
      </w:pPr>
    </w:p>
    <w:p w14:paraId="70D5FA0F" w14:textId="77777777" w:rsidR="00FD630D" w:rsidRPr="00D03F3E" w:rsidRDefault="00FD630D" w:rsidP="00D03F3E">
      <w:pPr>
        <w:pStyle w:val="ae"/>
        <w:shd w:val="clear" w:color="auto" w:fill="FFFFFF"/>
        <w:spacing w:before="0" w:after="0"/>
        <w:jc w:val="both"/>
        <w:textAlignment w:val="baseline"/>
        <w:rPr>
          <w:color w:val="0070C0"/>
          <w:sz w:val="16"/>
          <w:szCs w:val="16"/>
        </w:rPr>
      </w:pPr>
      <w:r w:rsidRPr="00D03F3E">
        <w:rPr>
          <w:color w:val="0070C0"/>
          <w:sz w:val="16"/>
          <w:szCs w:val="16"/>
        </w:rPr>
        <w:t>24 января 1943 года приказом наркома ВМФ было запрещено самостоятельное конструирование и изготовление пусковых установок. На конец 1942 года на флоте накопилось сорок восемь штук ракетных самоделок. По отзывам специалистам, они </w:t>
      </w:r>
      <w:r w:rsidRPr="00D03F3E">
        <w:rPr>
          <w:color w:val="0070C0"/>
          <w:sz w:val="16"/>
          <w:szCs w:val="16"/>
          <w:bdr w:val="none" w:sz="0" w:space="0" w:color="auto" w:frame="1"/>
        </w:rPr>
        <w:t>«имели плохую кучность стрельбы»</w:t>
      </w:r>
      <w:r w:rsidRPr="00D03F3E">
        <w:rPr>
          <w:color w:val="0070C0"/>
          <w:sz w:val="16"/>
          <w:szCs w:val="16"/>
        </w:rPr>
        <w:t> и </w:t>
      </w:r>
      <w:r w:rsidRPr="00D03F3E">
        <w:rPr>
          <w:color w:val="0070C0"/>
          <w:sz w:val="16"/>
          <w:szCs w:val="16"/>
          <w:bdr w:val="none" w:sz="0" w:space="0" w:color="auto" w:frame="1"/>
        </w:rPr>
        <w:t>«не обеспечивали безопасность и непрерывность наведения»</w:t>
      </w:r>
      <w:r w:rsidRPr="00D03F3E">
        <w:rPr>
          <w:color w:val="0070C0"/>
          <w:sz w:val="16"/>
          <w:szCs w:val="16"/>
        </w:rPr>
        <w:t xml:space="preserve"> (19941).</w:t>
      </w:r>
    </w:p>
    <w:p w14:paraId="5BE707AF" w14:textId="77777777" w:rsidR="00FD630D" w:rsidRPr="00D03F3E" w:rsidRDefault="00FD630D" w:rsidP="00D03F3E">
      <w:pPr>
        <w:pStyle w:val="ae"/>
        <w:shd w:val="clear" w:color="auto" w:fill="FFFFFF"/>
        <w:spacing w:before="0" w:after="0"/>
        <w:jc w:val="both"/>
        <w:textAlignment w:val="baseline"/>
        <w:rPr>
          <w:color w:val="0070C0"/>
          <w:sz w:val="16"/>
          <w:szCs w:val="16"/>
        </w:rPr>
      </w:pPr>
    </w:p>
    <w:p w14:paraId="6F9B7043"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392EAFF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21EA8D"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января 1943 г. Из объяснительной записки к годовому отчету завода № 708 за 1942 г. – о выполнении производственной программы по оборонной продукции и эвакуации завода в г. Казань</w:t>
      </w:r>
    </w:p>
    <w:p w14:paraId="6330102B"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Часть Ленинградского завода № 379 в объеме примерно 25 % от общего количества, была переведена 11 августа 1941 г. в г. Казань и разместилась на территории бывшего ликеро-водочного завода.</w:t>
      </w:r>
    </w:p>
    <w:p w14:paraId="45E91F82"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первых двух недель на заводе силами прибывших рабочих был организован демонтаж старого ликеро-водочного оборудования, произведена реконструкция производственных помещений и с 25 августа 1941 г. был пущен завод под названием филиала завода № 379 НКАП.</w:t>
      </w:r>
    </w:p>
    <w:p w14:paraId="1B6A888F"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Вновь организованному филиалу завода № 379 НКАП ставились следующие задачи:</w:t>
      </w:r>
    </w:p>
    <w:p w14:paraId="6105909E"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Освоение в Казани производства принимающих приборов ПУАЗО-3 (дублирование Ленинградского завода).</w:t>
      </w:r>
    </w:p>
    <w:p w14:paraId="2D89DFDB"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Производство летных испытаний опытных работ, проводимых в свое время опытно-конструкторским бюро завода № 379 НКАП.</w:t>
      </w:r>
    </w:p>
    <w:p w14:paraId="1D5DA1F6"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данной тематикой завода была произведена планировка завода.</w:t>
      </w:r>
    </w:p>
    <w:p w14:paraId="2C1B2632"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Прибывшее из Ленинграда оборудование в количестве 91 единиц и кадры в составе 157 человек рабочих, ИТР и служащих явились базой для дальнейшего расширения завода.</w:t>
      </w:r>
    </w:p>
    <w:p w14:paraId="28951F1D"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Приказом от 12 марта 1942 г. по НКАП и НКСП филиал завода № 379 был передан в систему Народного комиссариата судостроительной промышленности с непосредственным подчинением 4-му Главному управлению.</w:t>
      </w:r>
    </w:p>
    <w:p w14:paraId="7BD751EE"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Основной тематикой завода № 708 НКСП с момента перевода его в систему Наркомсудпрома составляло производство принимающих приборов СП для системы ПУАЗО-3, на технологической базе которого основана организация всего завода.</w:t>
      </w:r>
    </w:p>
    <w:p w14:paraId="0E6F12B9"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первых дней организации завода в г. Казани все внимание производственно-технической и хозяйственной деятельности было сосредоточено на следующих основных вопросах:</w:t>
      </w:r>
    </w:p>
    <w:p w14:paraId="562DEF0A"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Подготовка производственных помещений и монтаж наличного оборудования.</w:t>
      </w:r>
    </w:p>
    <w:p w14:paraId="3B383670"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Пополнение станочного парка для основных и вспомогательных цехов.</w:t>
      </w:r>
    </w:p>
    <w:p w14:paraId="768D3E6D"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Подготовка кадров.</w:t>
      </w:r>
    </w:p>
    <w:p w14:paraId="23A0D057"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Подготовка технологической документации в соответствии с новыми условиями работы (разнохарактерность наличного оборудования и низкая квалификация кадров).</w:t>
      </w:r>
    </w:p>
    <w:p w14:paraId="6B654D14"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Максимальная оснастка технологического процесса штампами, кондукторами и смежным инструментом.</w:t>
      </w:r>
    </w:p>
    <w:p w14:paraId="284AF04D"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технологическим процессом на заводе организованы следующие цеха:</w:t>
      </w:r>
    </w:p>
    <w:p w14:paraId="5DF19383"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Цех № 1 – механический (токарно-ревельверный).</w:t>
      </w:r>
    </w:p>
    <w:p w14:paraId="17B4E4C1"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Цех № 2 – механический (фрезерно-слесарный).</w:t>
      </w:r>
    </w:p>
    <w:p w14:paraId="11B883A0"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Цех № 3 – сборочный (сборка принимающих).</w:t>
      </w:r>
    </w:p>
    <w:p w14:paraId="6E9E5DD9"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Цех № 4 – инструментальный.</w:t>
      </w:r>
    </w:p>
    <w:p w14:paraId="4C834E09"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Цех № 5 – электромеханический.</w:t>
      </w:r>
    </w:p>
    <w:p w14:paraId="64558104"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Цех № 6 – ремонтно-механический.</w:t>
      </w:r>
    </w:p>
    <w:p w14:paraId="3F4356D0"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Цех № 7 – литейный.</w:t>
      </w:r>
    </w:p>
    <w:p w14:paraId="156633AB"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Цех № 8 – отделочный (малярный и гальванический).</w:t>
      </w:r>
    </w:p>
    <w:p w14:paraId="0CD8F340"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Организация данных цехов была произведена после коренной реконструкции существующих помещений.</w:t>
      </w:r>
    </w:p>
    <w:p w14:paraId="79F8A6B4"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например, механические цеха были организованы в помещении склада пустых бутылок; сборочный цех – в помещении цеха разливки и т. п.</w:t>
      </w:r>
    </w:p>
    <w:p w14:paraId="53203A08"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 выпускаемой продукции в 1942 г.</w:t>
      </w:r>
    </w:p>
    <w:p w14:paraId="165F1B74"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Основным видом продукции завода являются принимающие приборы СП для ПУАЗО № 3.</w:t>
      </w:r>
    </w:p>
    <w:p w14:paraId="59ACDCBF"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плану на 1942 г. завод должен был выпустить приборов в количестве 620 комплектов.[…]</w:t>
      </w:r>
    </w:p>
    <w:p w14:paraId="579D80A6"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указанной основной продукции, заводом выполнялся ряд работ по указанию Главного управления и вышестоящих местных партийных организаций.</w:t>
      </w:r>
    </w:p>
    <w:p w14:paraId="505D4469"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Заводом изготовлено:</w:t>
      </w:r>
    </w:p>
    <w:p w14:paraId="25163D66"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Два комплекта зенитных установок реактивного орудия, которые прошли испытание и дальнейшее изготовление передано на завод № 16 НКАП.</w:t>
      </w:r>
    </w:p>
    <w:p w14:paraId="613E2FF2"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Два комплекта «Альтиметр малых высот» по заданию Академии Наук СССР.</w:t>
      </w:r>
    </w:p>
    <w:p w14:paraId="29C2321A"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Один комплект новых принимающих приборов, которые находятся на испытании в НИЗАПе.</w:t>
      </w:r>
    </w:p>
    <w:p w14:paraId="1A08EB76"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32 комплекта соленоидов по заказу МТУ НК ВМФ.</w:t>
      </w:r>
    </w:p>
    <w:p w14:paraId="633DC370"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Подготовлено производство для изготовления синхронных моторов СТ.</w:t>
      </w:r>
    </w:p>
    <w:p w14:paraId="537F9B05"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Ведется подготовка для изготовления ряда приборов ПУТСов. […]</w:t>
      </w:r>
    </w:p>
    <w:p w14:paraId="616AE7E8"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IV квартале 1942 г. решением НКСП и приказом по 4-му Главному управлению передано нашему заводу изготовление моторов СТ. Подготовка производства для серийного запуска моторов была завершена в декабре 1942 г. в части разработки технологического процесса на картах и обеспечения этой технологии необходимой оснасткой.</w:t>
      </w:r>
    </w:p>
    <w:p w14:paraId="5D4F87FF"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заводе вновь организован моторный цех и электротехническая лаборатория, что дает полное основание для успешного выполнения программы в 1943 г. […]</w:t>
      </w:r>
    </w:p>
    <w:p w14:paraId="4F211DDF"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по договору с МТУ ВМФ нашему заводу был передан заказ на отдельные агрегаты ПУТСа.</w:t>
      </w:r>
    </w:p>
    <w:p w14:paraId="4483E4DB"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IV квартале были проведены подготовительные работы для запуска первых образцов в I квартале 1943 г. […]</w:t>
      </w:r>
    </w:p>
    <w:p w14:paraId="12EF6E2B"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завода № 708 Быстров</w:t>
      </w:r>
    </w:p>
    <w:p w14:paraId="06621B7A"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Главный инженер Лейбов (15494).</w:t>
      </w:r>
    </w:p>
    <w:p w14:paraId="7CC4BF1B" w14:textId="77777777" w:rsidR="0024060D" w:rsidRPr="00D03F3E" w:rsidRDefault="0024060D" w:rsidP="00D03F3E">
      <w:pPr>
        <w:spacing w:after="0" w:line="240" w:lineRule="auto"/>
        <w:jc w:val="both"/>
        <w:rPr>
          <w:rFonts w:ascii="Times New Roman" w:hAnsi="Times New Roman"/>
          <w:color w:val="000000" w:themeColor="text1"/>
          <w:sz w:val="16"/>
          <w:szCs w:val="16"/>
        </w:rPr>
      </w:pPr>
    </w:p>
    <w:p w14:paraId="22E459F5" w14:textId="77777777" w:rsidR="0024060D" w:rsidRPr="00D03F3E" w:rsidRDefault="0024060D"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24 января 1943 года в 19.15 эшелон с новы</w:t>
      </w:r>
      <w:r w:rsidRPr="00D03F3E">
        <w:rPr>
          <w:rFonts w:ascii="Times New Roman" w:cs="Times New Roman"/>
          <w:color w:val="000000" w:themeColor="text1"/>
          <w:spacing w:val="0"/>
        </w:rPr>
        <w:softHyphen/>
        <w:t xml:space="preserve">ми танками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следовавший из Челябин</w:t>
      </w:r>
      <w:r w:rsidRPr="00D03F3E">
        <w:rPr>
          <w:rFonts w:ascii="Times New Roman" w:cs="Times New Roman"/>
          <w:color w:val="000000" w:themeColor="text1"/>
          <w:spacing w:val="0"/>
        </w:rPr>
        <w:softHyphen/>
        <w:t>ска, между разъездами Бочунова и Сада, со</w:t>
      </w:r>
      <w:r w:rsidRPr="00D03F3E">
        <w:rPr>
          <w:rFonts w:ascii="Times New Roman" w:cs="Times New Roman"/>
          <w:color w:val="000000" w:themeColor="text1"/>
          <w:spacing w:val="0"/>
        </w:rPr>
        <w:softHyphen/>
        <w:t>шел с рельс из-за поломки последних. В акте об осмотре места крушения говорилось: «На прямой линии с нулевым профилем про</w:t>
      </w:r>
      <w:r w:rsidRPr="00D03F3E">
        <w:rPr>
          <w:rFonts w:ascii="Times New Roman" w:cs="Times New Roman"/>
          <w:color w:val="000000" w:themeColor="text1"/>
          <w:spacing w:val="0"/>
        </w:rPr>
        <w:softHyphen/>
        <w:t>изошел сход с рельс средней платформы эше</w:t>
      </w:r>
      <w:r w:rsidRPr="00D03F3E">
        <w:rPr>
          <w:rFonts w:ascii="Times New Roman" w:cs="Times New Roman"/>
          <w:color w:val="000000" w:themeColor="text1"/>
          <w:spacing w:val="0"/>
        </w:rPr>
        <w:softHyphen/>
        <w:t>лона, и отцепившаяся хвостовая часть эшело</w:t>
      </w:r>
      <w:r w:rsidRPr="00D03F3E">
        <w:rPr>
          <w:rFonts w:ascii="Times New Roman" w:cs="Times New Roman"/>
          <w:color w:val="000000" w:themeColor="text1"/>
          <w:spacing w:val="0"/>
        </w:rPr>
        <w:softHyphen/>
        <w:t>на пошла в левую сторону под откос в количе</w:t>
      </w:r>
      <w:r w:rsidRPr="00D03F3E">
        <w:rPr>
          <w:rFonts w:ascii="Times New Roman" w:cs="Times New Roman"/>
          <w:color w:val="000000" w:themeColor="text1"/>
          <w:spacing w:val="0"/>
        </w:rPr>
        <w:softHyphen/>
        <w:t>стве 10 платформ. Авария имеет вид сдвинутого с платформ нагромождения танков друг на дру</w:t>
      </w:r>
      <w:r w:rsidRPr="00D03F3E">
        <w:rPr>
          <w:rFonts w:ascii="Times New Roman" w:cs="Times New Roman"/>
          <w:color w:val="000000" w:themeColor="text1"/>
          <w:spacing w:val="0"/>
        </w:rPr>
        <w:softHyphen/>
        <w:t>га на ровной площадке 100 х 12 метров вдоль железной дороги. Пострадавших нет. Всем танкам требуется проверка с завод</w:t>
      </w:r>
      <w:r w:rsidRPr="00D03F3E">
        <w:rPr>
          <w:rFonts w:ascii="Times New Roman" w:cs="Times New Roman"/>
          <w:color w:val="000000" w:themeColor="text1"/>
          <w:spacing w:val="0"/>
        </w:rPr>
        <w:softHyphen/>
        <w:t>кой мотора и их центровка с коробкой пере</w:t>
      </w:r>
      <w:r w:rsidRPr="00D03F3E">
        <w:rPr>
          <w:rFonts w:ascii="Times New Roman" w:cs="Times New Roman"/>
          <w:color w:val="000000" w:themeColor="text1"/>
          <w:spacing w:val="0"/>
        </w:rPr>
        <w:softHyphen/>
        <w:t>мены передач в заводских условиях».</w:t>
      </w:r>
    </w:p>
    <w:p w14:paraId="2D5BDC41"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Наиболее пострадал один КВ-1С № 3012 — у него оказалась сорванной башня, лопну</w:t>
      </w:r>
      <w:r w:rsidRPr="00D03F3E">
        <w:rPr>
          <w:rFonts w:ascii="Times New Roman" w:hAnsi="Times New Roman"/>
          <w:color w:val="000000" w:themeColor="text1"/>
          <w:sz w:val="16"/>
          <w:szCs w:val="16"/>
        </w:rPr>
        <w:softHyphen/>
        <w:t>ла по сварке кормовая и бортовая броня, по</w:t>
      </w:r>
      <w:r w:rsidRPr="00D03F3E">
        <w:rPr>
          <w:rFonts w:ascii="Times New Roman" w:hAnsi="Times New Roman"/>
          <w:color w:val="000000" w:themeColor="text1"/>
          <w:sz w:val="16"/>
          <w:szCs w:val="16"/>
        </w:rPr>
        <w:softHyphen/>
        <w:t>гнута пушка. Все 10 пострадавших машин доставили на ЧКЗ, где девять из них отре</w:t>
      </w:r>
      <w:r w:rsidRPr="00D03F3E">
        <w:rPr>
          <w:rFonts w:ascii="Times New Roman" w:hAnsi="Times New Roman"/>
          <w:color w:val="000000" w:themeColor="text1"/>
          <w:sz w:val="16"/>
          <w:szCs w:val="16"/>
        </w:rPr>
        <w:softHyphen/>
        <w:t>монтировали и отправили в войска, а один (№ 3012) — списали из-за серьезных повреж</w:t>
      </w:r>
      <w:r w:rsidRPr="00D03F3E">
        <w:rPr>
          <w:rFonts w:ascii="Times New Roman" w:hAnsi="Times New Roman"/>
          <w:color w:val="000000" w:themeColor="text1"/>
          <w:sz w:val="16"/>
          <w:szCs w:val="16"/>
        </w:rPr>
        <w:softHyphen/>
        <w:t>дений корпуса (15226).</w:t>
      </w:r>
    </w:p>
    <w:p w14:paraId="381D71B2" w14:textId="77777777" w:rsidR="0024060D" w:rsidRPr="00D03F3E" w:rsidRDefault="0024060D" w:rsidP="00D03F3E">
      <w:pPr>
        <w:spacing w:after="0" w:line="240" w:lineRule="auto"/>
        <w:jc w:val="both"/>
        <w:rPr>
          <w:rFonts w:ascii="Times New Roman" w:hAnsi="Times New Roman"/>
          <w:color w:val="000000" w:themeColor="text1"/>
          <w:sz w:val="16"/>
          <w:szCs w:val="16"/>
        </w:rPr>
      </w:pPr>
    </w:p>
    <w:p w14:paraId="5C9F8976" w14:textId="77777777" w:rsidR="00683FE3" w:rsidRPr="00D03F3E"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24–25 января 1943 года был утвержден протоколу изменений КВ-1с на 1943 год. КВ-1с ожидал целый ряд метаморфоз. Еще в декабре 1942 года был разработан проект переделанного корпуса, лобовая деталь которого состояла из двух частей. Это упрощало изготовление детали, которую делали гнутой, да еще и с разной толщиной половинок. Согласно планам, к 15 февраля предполагалось испытать новую деталь обстрелом. На практике выполнение этой задачи затянулось до лета, а далее она и вовсе исчезла из планов.</w:t>
      </w:r>
    </w:p>
    <w:p w14:paraId="6F695EDD" w14:textId="77777777" w:rsidR="00683FE3" w:rsidRPr="00D03F3E"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Еще одним изменением должна была стать новая крышка люка радиста, которая могла бы открываться вне зависимости от положения башни. Допускалось изготовление двустворчатой конструкции. Эту модернизацию также не довели до реализации. Примерно то же самое случилось и с решением изготавливать броневые листы толщиной 60 мм из брони высокой твердости. В результате в январе конструкция танка изменилась минимально: были переделаны тяги приводов, а также цилиндрическая бронировка антенного ввода была заменена на треугольную.</w:t>
      </w:r>
    </w:p>
    <w:p w14:paraId="38692CD0" w14:textId="77777777" w:rsidR="00683FE3" w:rsidRPr="00D03F3E"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Не изменилась ситуация с планировавшейся модернизацией и в дальнейшем. Весьма острой, например, была проблема обзорности из командирской башенки. Предполагалось заменить ее новой башенкой, спроектированной по типу башенки КВ-13 второго варианта, которая также имела люк для выхода. Позже было спроектировано еще два варианта башенки, в итоге опытный танк получил конструкцию, разработанную по настоянию помощника начальника 6-го отдела инженера-майора Пестова. Эту башенку предполагалось также ставить и на КВ-1с, но дальше планов дело не продвинулось.</w:t>
      </w:r>
    </w:p>
    <w:p w14:paraId="35E8EA06" w14:textId="77777777" w:rsidR="00683FE3" w:rsidRPr="00D03F3E"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За рамки опытных работ не продвинулся и переход на изготовление башни из брони высокой твердости, хотя испытания, проведенные в середине марта 1943 года, показали правильность идеи. Все изменения башни за март свелись к тому, что на ее бортах и корме появились рымы. Ничем закончились и опытные работы по установке вентилятора в крыше башни, перископических приборов MK-IV или Т-80.</w:t>
      </w:r>
    </w:p>
    <w:p w14:paraId="4366C671" w14:textId="77777777" w:rsidR="00683FE3" w:rsidRPr="00D03F3E"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Вместе с тем, некоторые переделки конструкции танка имели место. С 1 февраля в КВ-1с стал устанавливаться телескопический прицел 10Т-7. В марте имели место некоторые изменения, связанные с радиооборудованием, в апреле а конструкцию были введены планки защиты погона на крыше корпуса.</w:t>
      </w:r>
    </w:p>
    <w:p w14:paraId="58D7A3DB" w14:textId="77777777" w:rsidR="00683FE3" w:rsidRPr="00D03F3E"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Спуск на тормозах многих предложение по модернизации напрямую связан с тем, что КВ-1с перестал считаться танком, имеющим какие-то отдалённые перспективы. Заводское руководство, как и Народный комиссариат танковой промышленности (НКТП), считало приоритетным другой танк – </w:t>
      </w:r>
      <w:hyperlink r:id="rId20" w:history="1">
        <w:r w:rsidRPr="00D03F3E">
          <w:rPr>
            <w:rFonts w:ascii="Times New Roman" w:eastAsia="Times New Roman" w:hAnsi="Times New Roman"/>
            <w:color w:val="000000" w:themeColor="text1"/>
            <w:sz w:val="16"/>
            <w:szCs w:val="16"/>
            <w:lang w:eastAsia="ru-RU"/>
          </w:rPr>
          <w:t>КВ-13 второго варианта, он же ИС-1</w:t>
        </w:r>
      </w:hyperlink>
      <w:r w:rsidRPr="00D03F3E">
        <w:rPr>
          <w:rFonts w:ascii="Times New Roman" w:eastAsia="Times New Roman" w:hAnsi="Times New Roman"/>
          <w:color w:val="000000" w:themeColor="text1"/>
          <w:sz w:val="16"/>
          <w:szCs w:val="16"/>
          <w:lang w:eastAsia="ru-RU"/>
        </w:rPr>
        <w:t>. Он был лучше защищен, его башня оказалась более просторной, установка вооружения была более удобной, а сама его конструкция обладала более значительным потенциалом для будущей модернизации. В постановлении ГКО №2943 от 24 февраля 1943 года речь шла не только об опытных образцах этих машин, но и о танках установочной партии. Фактически наверху КВ-1с уже «похоронили», весной 1943 года его должен был сменить в серии ИС-1. Вопрос в том, что итоги испытаний «преемника» оказались, мягко говоря, неоднозначными.</w:t>
      </w:r>
    </w:p>
    <w:p w14:paraId="63B5FB59" w14:textId="77777777" w:rsidR="00683FE3" w:rsidRPr="00D03F3E"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Кроме того, дальнейшему нахождению на конвейере КВ-1с был обязан немецкому «Тигру». Проведенные в апреле 1943 года испытания обстрелом немецкого танка выявили тот факт, что 76-мм пушка Ф-34 почти ничего не может с ним сделать даже при стрельбе в борт практически в упор. ИС-1 пришлось переделывать под новую пушку калибра 85 мм. Аналогичные работы начались и в отношении КВ-1с, чему будет посвящен отдельный материал. Понятно, что подобные работы не выполняются мгновенно, поэтому пока конструкторы работали над установкой в танки более мощного орудия, «старый» КВ-1с продолжал выпускаться (17692).</w:t>
      </w:r>
    </w:p>
    <w:p w14:paraId="577869A9" w14:textId="77777777" w:rsidR="00683FE3" w:rsidRPr="00D03F3E" w:rsidRDefault="00683FE3" w:rsidP="00D03F3E">
      <w:pPr>
        <w:pStyle w:val="12a"/>
        <w:shd w:val="clear" w:color="auto" w:fill="auto"/>
        <w:spacing w:after="0" w:line="240" w:lineRule="auto"/>
        <w:jc w:val="both"/>
        <w:rPr>
          <w:color w:val="000000" w:themeColor="text1"/>
          <w:sz w:val="16"/>
          <w:szCs w:val="16"/>
        </w:rPr>
      </w:pPr>
    </w:p>
    <w:p w14:paraId="417A5A8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января 1943 изготовленный образен САУ-152 был направлен своим ходом на Чебаркульский Артиллерийский полигон (расположен в 107 км от г. Челябинска) и там. подвергнут полным артиллерийским испытаниям под руководством Государственной комиссии, после чего опытная СУ-14 (объект 236) форсированным маршем возвратилась на завод в Челябинск. Результаты испытании были положительные (6001,20).</w:t>
      </w:r>
    </w:p>
    <w:p w14:paraId="0DF0AB1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E153D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января 1943 г. был изготовлен опытный образец и имел заводское обозначение КВ-14 ("Объект 236"). В начале февраля 1943 г. установка успешно про</w:t>
      </w:r>
      <w:r w:rsidRPr="00D03F3E">
        <w:rPr>
          <w:rFonts w:ascii="Times New Roman" w:hAnsi="Times New Roman"/>
          <w:color w:val="000000" w:themeColor="text1"/>
          <w:sz w:val="16"/>
          <w:szCs w:val="16"/>
        </w:rPr>
        <w:softHyphen/>
        <w:t>шла испытания на Чебаркульском полигоне и постановлением ГКО от 14 февраля 1943 г. была принята на вооружение РККА. Серийное про</w:t>
      </w:r>
      <w:r w:rsidRPr="00D03F3E">
        <w:rPr>
          <w:rFonts w:ascii="Times New Roman" w:hAnsi="Times New Roman"/>
          <w:color w:val="000000" w:themeColor="text1"/>
          <w:sz w:val="16"/>
          <w:szCs w:val="16"/>
        </w:rPr>
        <w:softHyphen/>
        <w:t>изводство самоходной установки СУ-152 осуществлялось с февраля до декабря 1943 г. Всего было выпущено 670 машин. Самоходная установ</w:t>
      </w:r>
      <w:r w:rsidRPr="00D03F3E">
        <w:rPr>
          <w:rFonts w:ascii="Times New Roman" w:hAnsi="Times New Roman"/>
          <w:color w:val="000000" w:themeColor="text1"/>
          <w:sz w:val="16"/>
          <w:szCs w:val="16"/>
        </w:rPr>
        <w:softHyphen/>
        <w:t>ка СУ-152 получила широкую известность во время Курской битвы ле</w:t>
      </w:r>
      <w:r w:rsidRPr="00D03F3E">
        <w:rPr>
          <w:rFonts w:ascii="Times New Roman" w:hAnsi="Times New Roman"/>
          <w:color w:val="000000" w:themeColor="text1"/>
          <w:sz w:val="16"/>
          <w:szCs w:val="16"/>
        </w:rPr>
        <w:softHyphen/>
        <w:t>том 1943 г., когда она использовалась как мощное противотанковое средство для уничтожения немецких танков Т-У "Пантера" и Т-У1 "Тигр-1" (10703).</w:t>
      </w:r>
    </w:p>
    <w:p w14:paraId="335A7D4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84F7A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января 1943 г. опытный образец установки, получивший заводское обозначение КВ-14, был собран на ЧКЗ. Испытания опытного образца самоходной установки КВ-14 успешно прошли на Чебаркульском полигоне и были закончены к 7 февраля 1943 г. Постановлением ГКО от 14 февраля 1943 г. образец КВ-14 под индексом СУ-152 был принят на вооружение и поставлен на серийное производство. До начала марта того же года была изготовлена первая партия установок в количестве 35 машин, ко</w:t>
      </w:r>
      <w:r w:rsidRPr="00D03F3E">
        <w:rPr>
          <w:rFonts w:ascii="Times New Roman" w:hAnsi="Times New Roman"/>
          <w:color w:val="000000" w:themeColor="text1"/>
          <w:sz w:val="16"/>
          <w:szCs w:val="16"/>
        </w:rPr>
        <w:softHyphen/>
        <w:t>торые были отправлены на формирование тяжелых самоходно-артил</w:t>
      </w:r>
      <w:r w:rsidRPr="00D03F3E">
        <w:rPr>
          <w:rFonts w:ascii="Times New Roman" w:hAnsi="Times New Roman"/>
          <w:color w:val="000000" w:themeColor="text1"/>
          <w:sz w:val="16"/>
          <w:szCs w:val="16"/>
        </w:rPr>
        <w:softHyphen/>
        <w:t>лерийских полков (ТСАП). Впервые новые боевые машины были ис</w:t>
      </w:r>
      <w:r w:rsidRPr="00D03F3E">
        <w:rPr>
          <w:rFonts w:ascii="Times New Roman" w:hAnsi="Times New Roman"/>
          <w:color w:val="000000" w:themeColor="text1"/>
          <w:sz w:val="16"/>
          <w:szCs w:val="16"/>
        </w:rPr>
        <w:softHyphen/>
        <w:t>пользованы в боях на Курской дуге. Серийное производство самоход</w:t>
      </w:r>
      <w:r w:rsidRPr="00D03F3E">
        <w:rPr>
          <w:rFonts w:ascii="Times New Roman" w:hAnsi="Times New Roman"/>
          <w:color w:val="000000" w:themeColor="text1"/>
          <w:sz w:val="16"/>
          <w:szCs w:val="16"/>
        </w:rPr>
        <w:softHyphen/>
        <w:t>ных установок СУ-152 продолжалось до декабря 1943 г. - до снятия с производства танка КВ-1 С (10703).</w:t>
      </w:r>
    </w:p>
    <w:p w14:paraId="551D292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C1214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января 1943 на ЧКЗ был собран опытный Су-152. Вес не превышал веса КВ и СУ полностью отвечала требованиям артиллеристов (4411,13).</w:t>
      </w:r>
    </w:p>
    <w:p w14:paraId="3E256AC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7EBFB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24 января 1943 САУ КВ-14 (объект 236) своим ходом ушла на Чебаркульский артиллерийский полигон, расположенный в 107 км от Челябинска. Испытания прошли вполне успешно и были закончены к 7 февраля 1943 года. Постановлением ГКО от 14 февраля 1943 года образец КВ-14 приняли на вооружение и поставили на серийное производство. В апреле 1943 года ГКО постановил КВ-14 впредь именовать СУ-152. </w:t>
      </w:r>
    </w:p>
    <w:p w14:paraId="658DC4B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Самоходная установка СУ-152 относилась к типу полностью бронированных самоходных установок с передним расположением боевой рубки. Боевое отделение и </w:t>
      </w:r>
      <w:r w:rsidRPr="00D03F3E">
        <w:rPr>
          <w:rFonts w:ascii="Times New Roman" w:hAnsi="Times New Roman"/>
          <w:color w:val="000000" w:themeColor="text1"/>
          <w:sz w:val="16"/>
          <w:szCs w:val="16"/>
        </w:rPr>
        <w:lastRenderedPageBreak/>
        <w:t xml:space="preserve">отделение управления были совмещены. Механик-водитель занимал место слева впереди в отделении управления, за ним — наводчик, за наводчиком — заряжающий. Справа от орудия впереди размещался командир машины, за ним — замковый. Для наблюдения за полем боя использовались перископ ПТК-4, обеспечивавший круговой обзор, и пять приз-менных зеркальных смотровых приборов, установленных на крыше рубки и крышках левого и кормового люков. В крышке правого люка имелся лючок для сигнализации. Механик-водитель вел наблюдение за полем боя через лючок со стеклоблоком, закрываемый броневой крышкой со смотровой щелью. Посадка экипажа производилась через два люка: круглый, расположенный в передней части крыши справа, и прямоугольный двухстворчатый люк, расположенный в кормовой части крыши и кормовом листе рубки. В днище корпуса в боевом отделении был предусмотрен аварийный люк. </w:t>
      </w:r>
    </w:p>
    <w:p w14:paraId="0AC1912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Корпус и рубка установки были сварены из броневых катаных листов толщиной 20, 30, 60 и 70 мм. Маска пушки имела толщину 60 мм. Зазор между подвижной бронировкой орудия и верхним лобовым листом корпуса машины защищался броневым прикрытием. Лобовой, скуловые, бортовые и кормовой броневые листы рубки, а также лобовые листы корпуса отличались рациональными углами наклона. Борта корпуса — вертикальные. В правом нижнем бортовом листе корпуса в боевом отделении располагался люк для загрузки боеприпасов с откидной броневой крышкой. Для стрельбы из личного оружия в лобовом и кормовом листах рубки имелись бойницы, закрывавшиеся броневыми пробками. Крыша броневой рубки — съемная, состояла из двух частей. С передним, скуловыми, боковыми и кормовым листами рубки листы крыши соединялись с помощью болтов. В передней части крыши рубки, помимо двух люков и отверстия под смотровой прибор, имелись два отверстия (справа) для установки командирской панорамы и антенного ввода, прикрытого броневым стаканом, и сзади справа — лючок, закрывавшийся откидной броневой крышкой, для доступа к заправочным горловинам топливных баков, расположенных в боевом отделении. Отверстия под смотровые приборы в крыше рубки и крышках люков имели броневое прикрытие. Вентиляция боевого отделения осуществлялась за счет тяги воздуха, создававшейся работающим двигателем при открытых шиберах в моторной перегородке. </w:t>
      </w:r>
    </w:p>
    <w:p w14:paraId="3EE96C3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Кормовая часть корпуса состояла из двух броневых листов (верхнего и нижнего) закругленной формы. В средней части верхний лист перекрывал нижний, образуя тем самым карман для выхода охлаждающего воздуха из МТО самоходной установки. Для защиты от попадания посторонних предметов карман закрывался проволочной сеткой. Крыша МТО состояла из двух съемных броневых листов, крепившихся к корпусу САУ болтами. Первый лист крыши в центральной части имел люк для доступа к двигателю, закрывавшийся броневой крышкой. В центре крышки в выпуклой ее части находилось отверстие, предназначавшееся для заливки воды в систему охлаждения двигателя. Вдоль бортов корпуса имелись два прямоугольных отверстия для доступа охлаждающего воздуха к двигателю, закрывавшиеся сверху защитными сетками. В задней части листа были выполнены два отверстия для прохода выхлопных труб, над которыми устанавливались броневые кожуха. Задний лист крыши оборудовался двумя круглыми люками с откидными броневыми крышками для доступа к узлам и агрегатам трансмиссии. Днище корпуса было сварено из двух броневых листов и имело люки и отверстия, закрываемые броневыми крышками. В амбразуре лобового листа рубки в рамке устанавливалась 152-мм гаубица-пушка МЛ-20 обр. 1937 г. Орудие снабжалось поршневым затвором с инерционным предохранителем и щелевым дульным тормозом. Длина ствола составляла 28,8 калибра, высота линии огня — 1800 мм. В конструкции противооткатных устройств использовались гидравлический тормоз отката и гидропневматический накатник. Подъемный и поворотный механизмы секторного типа обеспечивали углы вертикальной наводки от -5° до +18°, горизонтальной — в секторе 12°. Телескопические прицелы СТ-10 или КТ-5 использовались при стрельбе прямой наводкой, а панорама Герца — при стрельбе с закрытых огневых позиций. Для стрельбы ночью шкалы прицела и панорамы, а также прицельная и орудийная стрелки оснащались специальной подсветкой. Дальность стрельбы прямой наводкой составляла 3800 м, наибольшая — 6200 м. Скорострельность пушки-гаубицы достигала 2 выстр./мин. Для облегчения заряжания орудия имелся откидной лоток, который обеспечивал устранение задевания ведущего пояска снаряда за срез трубы ствола. </w:t>
      </w:r>
    </w:p>
    <w:p w14:paraId="1BEA446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боекомплект входили 20 выстрелов раздельного гильзового заряжания. Для стрельбы использовались осколочно-фугасная дальнобойная стальная пушечная граната ОФ-540, бетонобойный гаубичный снаряд Г-530, осколочно-фугасная дальнобойная стальная гаубичная граната ОФ-530, осколочная дальнобойная гаубичная граната из сталистого чугуна О-530А, бронебойно-трассирующий снаряд БР-540 и фугасный морской полубронебойный снаряд. Кроме того, могли использоваться пушечные бетонобойные снаряды Г-545 массой 56 кг и фугасные стальные пушечные гранаты старого образца Ф-542 и Ф-542Ш. Дополнительно в боевом отделении укладывались два 7,62-мм пистолета-пулемета ППШ с боекомплектом 1278 патронов (18 дисков) и 25 гранат Ф-1, позднее боекомплект к ППШ был увеличен до 1562 патронов (22 диска). В моторно-трансмиссионном отделении вдоль продольной оси корпуса устанавливался двенадцатицилиндровый V-образный четырехтактный дизель В-2К мощностью 600 л.с. Пуск двигателя осуществлялся с помощью электростартера СТ-700 мощностью 15 л.с. или сжатого воздуха из двух воздушных баллонов емкостью 5 л каждый. Емкость основных топливных баков составляла 600 — 615 л. При установке запасных наружных баков запас возимого топлива увеличивался на 360 л. Запас хода установки по шоссе на основных баках достигал 330 км. </w:t>
      </w:r>
    </w:p>
    <w:p w14:paraId="054F71B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состав трансмиссии входили многодисковый главный фрикцион сухого трения, четырехступенчатая коробка передач с демультипликатором, обеспечивавшая восемь передач переднего и две передачи заднего хода, два многодисковых бортовых фрикциона с плавающими ленточными тормозами и два бортовых планетарных редуктора. Состав гусеничного движителя — 12 сдвоенных опорных катков (диаметром 600 мм), шесть поддерживающих катков, два направляющих колеса с механизмами натяжения гусениц и два ведущих колеса кормового расположения со съемными зубчатыми венцами. Зацепление — цевочное. Подвеска — индивидуальная торсионная, с ограничителями хода опорных катков. Опорные и поддерживающие катки, а также направляющие колеса были выполнены цельнометаллическими, без резиновой амортизации. Ширина штампованного трака гусеницы равнялась 608 мм. </w:t>
      </w:r>
    </w:p>
    <w:p w14:paraId="53C995A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машине устанавливалась радиостанция 9Р или ЮР (ЮРК-26) с умформерами РУ-75В и РУ-11Б, для внутренней связи служило танковое переговорное устройство ТПУ-4БИС (11638).</w:t>
      </w:r>
    </w:p>
    <w:p w14:paraId="777FE9C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3898FE" w14:textId="77777777" w:rsidR="008E3DEE" w:rsidRPr="00D03F3E" w:rsidRDefault="008E3D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января 1943 г. изготовили опытный образец САУ «Объект 236». 14 февраля, после проведения ускоренных полигонных испытаний, СУ-152 приняли на вооружение. Ее серийное произ</w:t>
      </w:r>
      <w:r w:rsidRPr="00D03F3E">
        <w:rPr>
          <w:rFonts w:ascii="Times New Roman" w:hAnsi="Times New Roman"/>
          <w:color w:val="000000" w:themeColor="text1"/>
          <w:sz w:val="16"/>
          <w:szCs w:val="16"/>
        </w:rPr>
        <w:softHyphen/>
        <w:t>водство параллельно с базовым танком про</w:t>
      </w:r>
      <w:r w:rsidRPr="00D03F3E">
        <w:rPr>
          <w:rFonts w:ascii="Times New Roman" w:hAnsi="Times New Roman"/>
          <w:color w:val="000000" w:themeColor="text1"/>
          <w:sz w:val="16"/>
          <w:szCs w:val="16"/>
        </w:rPr>
        <w:softHyphen/>
        <w:t>должалось до декабря 1943 г. С марта 1943 г. было сформировано несколько тяжелых самоходно-артиллерийских полков — ТСАП, успешно участвовавших в боях. СУ-152 пре</w:t>
      </w:r>
      <w:r w:rsidRPr="00D03F3E">
        <w:rPr>
          <w:rFonts w:ascii="Times New Roman" w:hAnsi="Times New Roman"/>
          <w:color w:val="000000" w:themeColor="text1"/>
          <w:sz w:val="16"/>
          <w:szCs w:val="16"/>
        </w:rPr>
        <w:softHyphen/>
        <w:t>красно зарекомендовали себя в борьбе с новыми немецкими танками «Тигр» и «Пан</w:t>
      </w:r>
      <w:r w:rsidRPr="00D03F3E">
        <w:rPr>
          <w:rFonts w:ascii="Times New Roman" w:hAnsi="Times New Roman"/>
          <w:color w:val="000000" w:themeColor="text1"/>
          <w:sz w:val="16"/>
          <w:szCs w:val="16"/>
        </w:rPr>
        <w:softHyphen/>
        <w:t>тера». Прицельная дальность стрельбы САУ достигала 6200 м при максимальной дально</w:t>
      </w:r>
      <w:r w:rsidRPr="00D03F3E">
        <w:rPr>
          <w:rFonts w:ascii="Times New Roman" w:hAnsi="Times New Roman"/>
          <w:color w:val="000000" w:themeColor="text1"/>
          <w:sz w:val="16"/>
          <w:szCs w:val="16"/>
        </w:rPr>
        <w:softHyphen/>
        <w:t>сти 13 км, а прямой наводкой — 3800 м.</w:t>
      </w:r>
    </w:p>
    <w:p w14:paraId="7351FB26" w14:textId="77777777" w:rsidR="008E3DEE" w:rsidRPr="00D03F3E" w:rsidRDefault="008E3DEE" w:rsidP="00D03F3E">
      <w:pPr>
        <w:pStyle w:val="a3"/>
        <w:rPr>
          <w:color w:val="000000" w:themeColor="text1"/>
          <w:lang w:val="ru-RU"/>
        </w:rPr>
      </w:pPr>
      <w:r w:rsidRPr="00D03F3E">
        <w:rPr>
          <w:color w:val="000000" w:themeColor="text1"/>
          <w:lang w:val="ru-RU"/>
        </w:rPr>
        <w:t>В каждом ТСАП насчитывалось 12 само</w:t>
      </w:r>
      <w:r w:rsidRPr="00D03F3E">
        <w:rPr>
          <w:color w:val="000000" w:themeColor="text1"/>
          <w:lang w:val="ru-RU"/>
        </w:rPr>
        <w:softHyphen/>
        <w:t>ходных установок (по мере освоения и расши</w:t>
      </w:r>
      <w:r w:rsidRPr="00D03F3E">
        <w:rPr>
          <w:color w:val="000000" w:themeColor="text1"/>
          <w:lang w:val="ru-RU"/>
        </w:rPr>
        <w:softHyphen/>
        <w:t>рения производства тяжелых САУ их количе</w:t>
      </w:r>
      <w:r w:rsidRPr="00D03F3E">
        <w:rPr>
          <w:color w:val="000000" w:themeColor="text1"/>
          <w:lang w:val="ru-RU"/>
        </w:rPr>
        <w:softHyphen/>
        <w:t>ство в ТСАП увеличилось до 21 шт.). К одному из первых ТСАП в 1943 г. прикомандировали конструктора завода В.С. Старовойтова (впо</w:t>
      </w:r>
      <w:r w:rsidRPr="00D03F3E">
        <w:rPr>
          <w:color w:val="000000" w:themeColor="text1"/>
          <w:lang w:val="ru-RU"/>
        </w:rPr>
        <w:softHyphen/>
        <w:t>следствии — директора ВНИИтрансмаш). В его обязанности входило оказывать помощь артиллеристам в изучении материальной части, вести учет всех замечаний и пожеланий, касающихся функционирования машины, и пересылать эти сведения на завод. Непо</w:t>
      </w:r>
      <w:r w:rsidRPr="00D03F3E">
        <w:rPr>
          <w:color w:val="000000" w:themeColor="text1"/>
          <w:lang w:val="ru-RU"/>
        </w:rPr>
        <w:softHyphen/>
        <w:t>средственно в боевых действиях Старовойтов участия не принимал (12617).</w:t>
      </w:r>
    </w:p>
    <w:p w14:paraId="2B1CC776" w14:textId="77777777" w:rsidR="008E3DEE" w:rsidRPr="00D03F3E" w:rsidRDefault="008E3DEE" w:rsidP="00D03F3E">
      <w:pPr>
        <w:pStyle w:val="a3"/>
        <w:rPr>
          <w:color w:val="000000" w:themeColor="text1"/>
          <w:lang w:val="ru-RU"/>
        </w:rPr>
      </w:pPr>
    </w:p>
    <w:p w14:paraId="0A1CB30B" w14:textId="77777777" w:rsidR="003B66C2" w:rsidRPr="00D03F3E" w:rsidRDefault="003B66C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января 1943 года Директивой штаба Ленинградского фронта был сформирован 14-й отдельный дивизион бронепоездов, куда включили бывший бепо № 30 «Стойкий» Краснознаменного Балтийского флота и мотоброневагон МБВ №02, позже получивший имя «Стремительный». Бронепоезда получили следующие номера - №600 «Стойкий» и №684 « Стремительный». </w:t>
      </w:r>
    </w:p>
    <w:p w14:paraId="0A0D50D1" w14:textId="77777777" w:rsidR="003B66C2" w:rsidRPr="00D03F3E" w:rsidRDefault="003B66C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14-й отдельный дивизион бронепоездов до августа 1943 года поддерживал артиллерийским огнем части 23-й армии, с августа по декабрь действовал у Синявино в составе 67-й армии. В декабре 1943 года дивизион включили в 53-ю армию и с января 1944 года участвовал в боях по снятию блокады Ленинграда в районах Колпино, Саблино, Красный Бор. В это время бронепоездом № 684 «Стремительный» командовал капитан Л. Доченко. В ходе ремонта на заводе имени Сталина летом 1943 года МБВ № 02 перевооружили, заменив пушки Л-11 на 76-мм танковые Ф-34 (18626).</w:t>
      </w:r>
    </w:p>
    <w:p w14:paraId="3BE20EA9" w14:textId="77777777" w:rsidR="003B66C2" w:rsidRPr="00D03F3E" w:rsidRDefault="003B66C2" w:rsidP="00D03F3E">
      <w:pPr>
        <w:spacing w:after="0" w:line="240" w:lineRule="auto"/>
        <w:jc w:val="both"/>
        <w:rPr>
          <w:rFonts w:ascii="Times New Roman" w:hAnsi="Times New Roman"/>
          <w:color w:val="000000" w:themeColor="text1"/>
          <w:sz w:val="16"/>
          <w:szCs w:val="16"/>
        </w:rPr>
      </w:pPr>
    </w:p>
    <w:p w14:paraId="6A592DB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января 1943 вышел приказ НК ВМФ, запретивший конструирование и изготовление ПУ для РС без ведома ГМШ ВМФ, т.к. установки не обеспечивали безопасность (4305,35).</w:t>
      </w:r>
    </w:p>
    <w:p w14:paraId="7A3C2B9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60EC5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января 1943 г. прика</w:t>
      </w:r>
      <w:r w:rsidRPr="00D03F3E">
        <w:rPr>
          <w:rFonts w:ascii="Times New Roman" w:hAnsi="Times New Roman"/>
          <w:color w:val="000000" w:themeColor="text1"/>
          <w:sz w:val="16"/>
          <w:szCs w:val="16"/>
        </w:rPr>
        <w:softHyphen/>
        <w:t>зом наркома ВМФ была запрещена установка нештатных направляющих для "эрэ-сов" на катерах, которой стали увлекаться на флотах (3898).</w:t>
      </w:r>
    </w:p>
    <w:p w14:paraId="2E5881B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75A39A"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0011F50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F2F712"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24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42FD5757"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24 января наши войска в районе Сталинграда, южнее Воронежа, на Северном Кавказе, в районе Нижнего Дона, Северного Донца и южнее Ладожскогоозера продолжали бои на прежних направлениях.</w:t>
      </w:r>
    </w:p>
    <w:p w14:paraId="0C0C7801"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Южном фронте наши войска вели наступательные бои. Бойцы Н-ской части в ночном бою с противником уничтожили свыше роты гитлеровцев. Н-ское соединение, продвигаясь вперёд, заняло три населённых пункта. Немцы предприняли контратаку, но, потеряв только убитыми до 300 солдат и офицеров, а также 6 тяжёлых танков, были вынуждены отступить.</w:t>
      </w:r>
    </w:p>
    <w:p w14:paraId="55647835"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Юго-Западном фронте наши гвардейские части, преодолевая сопротивление и отбивая контратаки противника, продвигались вперёд. В боях за один крупный населённый пункт разгромлен батальон немецкой пехоты. Захвачены трофеи и пленные, в том числе и командир немецкого батальона. На другом участке наши бойцы отбили несколько ожесточённых контратак танков и пехоты противника. Подбито и сожжено 12 немецких танков. Захвачено 2 самоходных орудия и много личного оружия.</w:t>
      </w:r>
    </w:p>
    <w:p w14:paraId="0A646BCA"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Войска Воронежского фронта продолжали наступление, а частью сил уничтожали отдельные группы разгромленных дивизий противника. В лесах около одного населённого пункта нашими подразделениями взято в плен 450 немецких и итальянских солдат и офицеров. Н-ское соединение заняло несколько населённых пунктов </w:t>
      </w:r>
      <w:r w:rsidRPr="00D03F3E">
        <w:rPr>
          <w:rFonts w:ascii="Times New Roman" w:hAnsi="Times New Roman"/>
          <w:color w:val="000000" w:themeColor="text1"/>
          <w:sz w:val="16"/>
          <w:szCs w:val="16"/>
        </w:rPr>
        <w:lastRenderedPageBreak/>
        <w:t>и уничтожило свыше 800 гитлеровцев. На другом участке наши части захватили 9 паровозов, 20 вагонов, 14 складов с продовольствием и разным военным имуществом.</w:t>
      </w:r>
    </w:p>
    <w:p w14:paraId="4987D263"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продолжали успешное наступление. Н-ская часть, сломив сопротивление противника, заняла населённый пункт, имеющий важное значение. Захвачено 504 автомашины, 14 орудий, 13 пулемётов, 70 вагонов с запасными частями и разным военным имуществом. Взяты пленные. На другом участке части Н-ского соединения с боями продвинулись вперёд на 20 километров. Разведчики из подразделения, которым командует тов. Вандышев, проникли в тыл противника и обнаружили группу гитлеровцев, закладывавших мины под мост. Наши бойцы истребили всех немцев, готовивших взрыв моста.</w:t>
      </w:r>
    </w:p>
    <w:p w14:paraId="7A9F0E08"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украинских партизан, действующий в Житомирской области, в боях с немецко-фашистскими захватчиками истребил до 100 гитлеровцев и уничтожал 6 автомашин. Советские патриоты сожгли 8 мостов на шоссейных дорогах и взорвали большой железнодорожный мост. Другой отряд украинских партизан пустил под откос 3 железнодорожных состава противника. Разбито 3 паровоза и 37 вагонов с боеприпасами, техникой и живой силой.</w:t>
      </w:r>
    </w:p>
    <w:p w14:paraId="42EA4297"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дороге между городом Воронцово-Александровское и селом Кипы (Ставропольскийкрай) в силосных ямах обнаружены сотни трупов советских мирных граждан, зверски замученных немецко-фашистскими мерзавцами. Трупы изуродованы, у некоторых разбита голова, обуглены ноги. Среди замученных опознаны 60-летний старик, рабочий промысловой артели Антон Запорожцев и сестры Вера и Анна Поповы. Накануне отступления гитлеровцы согнали в Воронцово-Александровское 800 советских граждан с тем, чтобы насильно отправить их в Германию. Колонна должнабыла выйти из города в 10 часов утра. Подоспевшие части Красной Армии спасли советских граждан от гитлеровской каторги.</w:t>
      </w:r>
    </w:p>
    <w:p w14:paraId="30097419"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совершили налёт на немецкий гарнизон в городе Самоборе, близ Загреба. В ожесточённом бою уничтожено до 200 гитлеровцев. В районе города Банья-Лука партизаны очистили от противника гору Манячу. Недалеко от города Яйце югославские патриоты разбили немецкий пехотный батальон. Партизаны захватили много оружия, боеприпасов и военного снаряжения.» (15019).</w:t>
      </w:r>
    </w:p>
    <w:p w14:paraId="75B7A35E" w14:textId="77777777" w:rsidR="0024060D" w:rsidRPr="00D03F3E" w:rsidRDefault="0024060D" w:rsidP="00D03F3E">
      <w:pPr>
        <w:spacing w:after="0" w:line="240" w:lineRule="auto"/>
        <w:jc w:val="both"/>
        <w:rPr>
          <w:rFonts w:ascii="Times New Roman" w:hAnsi="Times New Roman"/>
          <w:color w:val="000000" w:themeColor="text1"/>
          <w:sz w:val="16"/>
          <w:szCs w:val="16"/>
        </w:rPr>
      </w:pPr>
    </w:p>
    <w:p w14:paraId="21034782"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24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15DB1188"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января войска Юго-Западного фронта, в результате решительной атаки, овладели городом и железнодорожной станцией Старобельск, крупными населёнными пунктами Павловка, Шульгинка, Бахмутовка, железнодорожной станцией Красноозёровка.</w:t>
      </w:r>
    </w:p>
    <w:p w14:paraId="103C56F1"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Закавказского фронта овладели районными центрами Песчанокопское, Молотовское, крупными населёнными пунктами — Красная Поляна, Ново-Михайловское, Безопасное, Краснооктябрьский, Каменнобродская, Воскресенская и железнодорожной станцией Песчанокопская.</w:t>
      </w:r>
    </w:p>
    <w:p w14:paraId="75E0086E"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c 17 по 23 января включительно, в воздушных боях и на аэродромах противника уничтожено 162 немецких самолёта. Наши потери за это же время — 75 самолётов.</w:t>
      </w:r>
    </w:p>
    <w:p w14:paraId="2EB05C99"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 по 15 января авиацией Северного флота в Баренцевом море потоплены 9 транспортов и один сторожевой корабль противника общим водоизмещением в 51.000 тонн.</w:t>
      </w:r>
    </w:p>
    <w:p w14:paraId="3EDD1E24"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Южном фронте наши войска, преодолевая, упорное сопротивление и отбивая контратаки противника, продолжали наступление на прежних направлениях. На одном участке немцы бросили в контратаку пехоту и до 40 танков. Вначале противнику удалось несколько потеснить наши подразделения. Измотав врага и уничтожив 10 немецких танков, советские бойцы контрударом отбросили гитлеровцев и восстановили положение. Н-ское соединение овладело шестью населёнными пунктами и преследует противника.</w:t>
      </w:r>
    </w:p>
    <w:p w14:paraId="43DA2CA3"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Юго-Западном фронте наши войска продолжали вести наступательные бои. Н-ская гвардейская часть сломила упорное сопротивление противника и овладела городом Старобельск. Захвачены большие трофеи. На другом участке наши танкисты произвели смелый налёт на железнодорожную станцию, разгромили 2 эшелона с немецкой пехотой и подбили бронепоезд противника.</w:t>
      </w:r>
    </w:p>
    <w:p w14:paraId="23EF2FB9"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Воронежского фронта вели успешное наступление. Наши танкисты уничтожали разрозненные группы из окружённых частей противника. В течение дня взято 1.600 пленных. Гарнизон населённого пункта Волоконовка, отказавшийся сложить оружие, полностью уничтожен. Бойцы Н-ской части овладели крупным населённым пунктом, на улицах которого подсчитано 360 вражеских трупов. В боях за этот населённый пункт захвачены 18 орудий, 32 пулемёта, 7 миномётов, склад боеприпасов и 2 продовольственных склада.</w:t>
      </w:r>
    </w:p>
    <w:p w14:paraId="2A06A320"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Закавказском фронте бойцы Н-ского соединения продвигались вперёд и заняли ряд населённых пунктов. В боях на подступах к городу Армавиру истреблено до 600 гитлеровцев, подбито и сожжено 8 танков противника. Н-ская часть преодолела многочисленные укрепления на окраине крупного населенного пункта и ворвалась на его улицы. В результате ожесточённых рукопашных схваток наши бойцы овладели этим пунктом. На поле боя осталось 4 подбитых танка, 6 орудий, 15 автомашин, 17 пулемётов, много винтовок, гранат и другого вооружения. Захвачено 3 склада с фуражом и продовольствием.</w:t>
      </w:r>
    </w:p>
    <w:p w14:paraId="5BACD113"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партизан отряда, действующего в Ленинградской области, организовала крушение воинского эшелона противника, шедшего к линии фронта. Разбиты паровоз, 2 платформы с автомашинами, 14 вагонов с боеприпасами и снаряжением. Другая группа партизан этого отряда истребила 42 гитлеровца и сожгла 2 продовольственных склада.</w:t>
      </w:r>
    </w:p>
    <w:p w14:paraId="0FDDA690"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Немецкое командование в связи с огромными потерями немецких войск на советско-германском фронте перебрасывает на Восток дивизии из оккупированных стран. На одном из участков Юго-Западного фронта взяты в плен обер-ефрейтор и солдат 575 полка 304 немецкой пехотной дивизии Альберт Кюппе и Конрад Фогель.</w:t>
      </w:r>
    </w:p>
    <w:p w14:paraId="454BA1ED"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Пленные рассказали: «Наш полк находился во Франции в составе оккупационных войск. 15 декабря прошлого года полк получил приказ выступить из Дюнкерка. Никто не знал, куда мы едем. Только в дороге мы догадались, что нас везут в Россию. Полк был укомплектован главным образом пожилыми солдатами. При первом же соприкосновении с русскими два батальона полка понесли тяжёлые потери».</w:t>
      </w:r>
    </w:p>
    <w:p w14:paraId="018FE31C"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обер-ефрейтор 7 гренадерского моторизованного полка 7 немецкой танковой дивизии Гейнц Байер рассказал: «7 танковая дивизия находилась во Франции в районе Бордо. В середине декабря 1942 года дивизия в полном составе выехала на Восточный фронт. Ехали очень долго. Все станции забиты, ощущается острая нехватка паровозов. Только 5 января наш полк выгрузился на одной железнодорожной станции в 40—50 километрах от линии фронта».</w:t>
      </w:r>
    </w:p>
    <w:p w14:paraId="08084CC4"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селе Балабановка, Ростовской области: «Проходившая через село немецкая танковая часть учинила зверскую расправу над мирным населением. По приказу немецкого полковника гитлеровцы отобрали 17 семей колхозников, вывели их за село и расстреляли из пулемёта. За один день фашистские палачи расстреляли 85 женщин, детей, стариков и больных. Немцы врывались в дома и грабили население. Грабежи сопровождались дикими издевательствами над мирными жителями». Акт подписали: жители села Балабановка А.Демьяненко, Д.Райшакова, А.Кучмаев и военнослужащие майор Облак, капитан Курочкин и военврач 3 ранга Есипович.».</w:t>
      </w:r>
    </w:p>
    <w:p w14:paraId="4175B965"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5C5633E4"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город Старобельск.</w:t>
      </w:r>
    </w:p>
    <w:p w14:paraId="72118C0A"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января войска Юго-Западного фронта в результате решительной атаки овладелигородом и железнодорожной станцией Старобельск.».</w:t>
      </w:r>
    </w:p>
    <w:p w14:paraId="26365026"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1943 году Войска Юго-Западного фронта овладевают городом и железнодорожной станцией Старобельск, крупными населенными пунктами Павловка, Шульгинка, Бахмутовка, железнодорожной станцией Красноозёровка. Войска Закавказского фронта овладевают районными центрами Песчанокопское, Молотовское, крупными населенными пунктами Красная Поляна, Ново-Михайловское, Безопасное, Краснооктябрьский, Каменнобродская, Воскресенская и железнодорожной станцией Песчанокопская (15019).</w:t>
      </w:r>
    </w:p>
    <w:p w14:paraId="0CAD86AB" w14:textId="77777777" w:rsidR="0024060D" w:rsidRPr="00D03F3E" w:rsidRDefault="0024060D" w:rsidP="00D03F3E">
      <w:pPr>
        <w:spacing w:after="0" w:line="240" w:lineRule="auto"/>
        <w:jc w:val="both"/>
        <w:rPr>
          <w:rFonts w:ascii="Times New Roman" w:hAnsi="Times New Roman"/>
          <w:color w:val="000000" w:themeColor="text1"/>
          <w:sz w:val="16"/>
          <w:szCs w:val="16"/>
        </w:rPr>
      </w:pPr>
    </w:p>
    <w:p w14:paraId="7813FED2"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24 января</w:t>
      </w:r>
      <w:r w:rsidRPr="00D03F3E">
        <w:rPr>
          <w:rFonts w:ascii="Times New Roman" w:hAnsi="Times New Roman"/>
          <w:color w:val="000000" w:themeColor="text1"/>
          <w:sz w:val="16"/>
          <w:szCs w:val="16"/>
        </w:rPr>
        <w:t xml:space="preserve"> в 1943 году войска Воронежского (генерал-полковник Ф.И.Голиков) и левого крыла Брянского (генерал-полковник М.А.Рейтер) фронтов начали Воронежско-Касторненскую наступательную операцию с целью прорыва обороны противника в районе Воронежа. В ходе операции, завершившейся 17 февраля, советские войска продвинулись на глубину до 240 км и разгромили 11 дивизий противника. В результате успешных действий советских войск в боевых порядках группы армий «Б» образовалась брешь, что обеспечило успешное наступление Брянского и Воронежского фронтов на Курском и Харьковском направлениях (15019).</w:t>
      </w:r>
    </w:p>
    <w:p w14:paraId="3223C10A" w14:textId="77777777" w:rsidR="0024060D" w:rsidRPr="00D03F3E" w:rsidRDefault="0024060D" w:rsidP="00D03F3E">
      <w:pPr>
        <w:spacing w:after="0" w:line="240" w:lineRule="auto"/>
        <w:jc w:val="both"/>
        <w:rPr>
          <w:rFonts w:ascii="Times New Roman" w:hAnsi="Times New Roman"/>
          <w:color w:val="000000" w:themeColor="text1"/>
          <w:sz w:val="16"/>
          <w:szCs w:val="16"/>
        </w:rPr>
      </w:pPr>
    </w:p>
    <w:p w14:paraId="20B17520" w14:textId="77777777" w:rsidR="0024060D" w:rsidRPr="00D03F3E" w:rsidRDefault="0024060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24 января</w:t>
      </w:r>
      <w:r w:rsidRPr="00D03F3E">
        <w:rPr>
          <w:rFonts w:ascii="Times New Roman" w:hAnsi="Times New Roman"/>
          <w:color w:val="000000" w:themeColor="text1"/>
          <w:sz w:val="16"/>
          <w:szCs w:val="16"/>
        </w:rPr>
        <w:t xml:space="preserve"> в 1943 году Ставка ВГК на базе Северной группы войск Закавказского фронта создала Северо-Кавказский фронт (20 ноября преобразован в Отдельную Приморскую армию) (15019).</w:t>
      </w:r>
    </w:p>
    <w:p w14:paraId="52E713F5" w14:textId="77777777" w:rsidR="0024060D" w:rsidRPr="00D03F3E" w:rsidRDefault="0024060D" w:rsidP="00D03F3E">
      <w:pPr>
        <w:spacing w:after="0" w:line="240" w:lineRule="auto"/>
        <w:jc w:val="both"/>
        <w:rPr>
          <w:rFonts w:ascii="Times New Roman" w:hAnsi="Times New Roman"/>
          <w:color w:val="000000" w:themeColor="text1"/>
          <w:sz w:val="16"/>
          <w:szCs w:val="16"/>
        </w:rPr>
      </w:pPr>
    </w:p>
    <w:p w14:paraId="05F574D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января 1943 г. вышел ПРИКАЗ НКО № 074 ОБ ИСПОЛЬЗОВАНИИ МАКСИМАЛЬНОЙ ДАЛЬНОСТИ И ПРОДОЛЖИТЕЛЬНОСТИ ПОЛЕТА САМОЛЕТОВ В СТРОЕВЫХ ЧАСТЯХ ВВС КРАСНОЙ АРМИИ</w:t>
      </w:r>
    </w:p>
    <w:p w14:paraId="349070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дополнение к приказу НКО за №0171 от 4 марта 1942 года, в целях дальнейшего увеличения времени пребывания самолетов-истребителей над полем боя, увеличения дальности полета всех типов самолетов и экономии горючего и моторесурса приказываю:</w:t>
      </w:r>
    </w:p>
    <w:p w14:paraId="243191D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Оперативные перелеты, полеты по перебазированию, полеты на выполнение боевых заданий (до встречи с противником), барражирование, ожидание в намеченной зоне, полеты в запасных полках по маршруту, в зону и все другие полеты, кроме высшего пилотажа и отработки элементов воздушного боя, производить на наивыгоднейших режимах, указанных в прилагаемой таблице.</w:t>
      </w:r>
    </w:p>
    <w:p w14:paraId="1CB4CAB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Для самолетов, имеющих наружную подвеску бомб или бензобаков, считать, что дальность и продолжительность полета, в зависимости от изменения полетного веса самолета, количества бомб или подвески баков уменьшается в пределах от 10 до 15%.</w:t>
      </w:r>
    </w:p>
    <w:p w14:paraId="5ED1674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При необходимости полета на режимах, отличающихся от указанных в таблице (сопровождение, полет по специальному заданию и т. п.), режим полета подбирается по инструкциям, утвержденным главным инженером ВВС Красной Армии.</w:t>
      </w:r>
    </w:p>
    <w:p w14:paraId="227413B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4. Ввести в действие утвержденные главным инженером ВВС Красной Армии инструкции по расчету дальности и продолжительности полета самолетов: Як-1, ЛаГГ-3, Ла-5, Як-7, Як-9, Ил-2, Пе-2, “Аэрокобра”, “Харрикейн”, “Киттихаук”, “Томагаук” и “Бостон”-!!!.</w:t>
      </w:r>
    </w:p>
    <w:p w14:paraId="5A25362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Все изданные ранее инструкции по расчету дальности и продолжительности полета указанных выше самолетов и приложение № 1 к приказу НКО № 333 от 18 октября 1942 года** (таблица наивыгоднейших по расходам горючего режимов полета) отменить.</w:t>
      </w:r>
    </w:p>
    <w:p w14:paraId="609BA53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Заместитель Народного комиссара обороны генерал-полковник авиации НОВИКОВ </w:t>
      </w:r>
      <w:r w:rsidRPr="00D03F3E">
        <w:rPr>
          <w:rFonts w:ascii="Times New Roman" w:hAnsi="Times New Roman"/>
          <w:color w:val="000000" w:themeColor="text1"/>
          <w:sz w:val="16"/>
          <w:szCs w:val="16"/>
        </w:rPr>
        <w:t>(9844).</w:t>
      </w:r>
    </w:p>
    <w:p w14:paraId="4E1D7B5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12262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с 24 на 25 января 1943 г. в заполярном порту Киркенес прозвучал сигнал воздушной тревоги. Это с очередным "визитом вежливости" немцев посетили МБР-2 из 118-го орап. За одну ночь 12 летающих лодок сделали 22 самолёто-вылета на бомбардировку судов в порту, сбросив 40 ФАБ-100 и 200 осколочных АО-2,5. Прямых попаданий в суда не было, но одна из бомб разорвалась вблизи борта стоявшего на рейде в ожидании разгрузки парохода "Ротенфельс" (7854 брт). Этим бы всё и закончилось, но от близкого разрыва воспламенилось сено, которое вместе с другими грузами находилось на борту, и огонь начал распространяться по судну. Несмотря на принятые меры (на "Ротенфельс" была срочно переброшена норвежская пожарная команда и двести советских военнопленных, которые" должны были сбросить опасный груз в море), пожар продолжал усиливаться. Немцам, скрепя сердце, самим пришлось затопить судно. Хотя его вскоре подняли, было потеряно 4000 т грузов, а сам пароход надолго встал в ремонт. Этот успех скромных "амбарчиков" тем более весом, поскольку "Ротенфельс" оказался не только самым крупным судном, потопленным ВВС СФ в 1943 г., но и вообще самым крупным успехом советской морской авиации в этом году на всех театрах (12003).</w:t>
      </w:r>
    </w:p>
    <w:p w14:paraId="3F4D922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EDF8E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24 января по 2 февраля 1943 была Воронежско-Касторненская операция против 2 немецкой армии и 3 венгерского корпуса для создания условий для наступления на Курск и Харьков. ВФ (Ф.И.Голиков) и левое крыло БФ (М.А.Рейтер) разгромили 11 дивизий и продвинулись на 120 км (2438,151).</w:t>
      </w:r>
    </w:p>
    <w:p w14:paraId="4D71A77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ней авианаступление проводилось на глубину прорыва сухопутными войсками тактической обороны (518,109).</w:t>
      </w:r>
    </w:p>
    <w:p w14:paraId="1C32E81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АДД нанесла удары по аэродромам (518,65).</w:t>
      </w:r>
    </w:p>
    <w:p w14:paraId="67FD612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этой операции авиация широко использовалась как транспортное средство для снабжения танковых армий (518,168).</w:t>
      </w:r>
    </w:p>
    <w:p w14:paraId="7E8465C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42BE3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January 24, 1943: The offensive by the Soviet Trans-Caucasian Front toward the Kuban bridgehead is topped at Novorossiisk and Krasnodar (3819).</w:t>
      </w:r>
    </w:p>
    <w:p w14:paraId="738751B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956B33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января 1943 наступление КА на закавказском фронте на Кубань было остановлено у Новороссийска и Краснодара (3819).</w:t>
      </w:r>
    </w:p>
    <w:p w14:paraId="7E2742B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38381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января 1943 г. при вынужденной посадке в Карелии разбился финский Пе-2 РЕ-213. На конец января 1943 г. в 48-й эскадрильи (LeLv 48) имелось в строю четыре машины. Учитывая высокую скорость “пешек” финны чаще всего применяли их для визуальной и фоторазведки советских баз, аэродромов, железнодорожных и автомобильных перевозок. Еще один самолет своеобразного “гибридного” варианта был захвачен после вынужденной посадки финнами в Карелии в 1943 г. Эта машина представляла собой Пе-3бис, но с сохраненной задней кабиной (правда, без люковой установки. Самолет восстановили и также включили в состав 48-й эскадрильи. Последний, восьмой Пе-2, попавший в Финляндию, был куплен в Германии в 1944 г., прошел капитальный ремонт и аналогично первым переоборудован в Чехословакии на заводе “Летов”. Этот самолет Пе-2 с установкой ВУБ-1 выпустили где-то во второй половине 1943 г. Сведенные в одну эскадрилью под командованием майора Э.Атиайнена, “пешки” широко применялись в ходе боевых действий в Южной Карелии, и под Ленинградом в июне-июле 1944 г. Также они участвовали в противолодочном патрулировании на Балтике. Боевые потери составили пять “пешек” (одну сбили в 1943 г., а другие четыре погибли в боях и на аэродроме Лаппенранта до перемирия с Советским Союзом в сентябре 1944 г.). Сохранившийся в Финляндии один Пе-2 служил до 1946 г. (4476).</w:t>
      </w:r>
    </w:p>
    <w:p w14:paraId="5ECD4FE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803B6D"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23746F8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4EE9DE" w14:textId="77777777" w:rsidR="00331B1B" w:rsidRPr="00D03F3E" w:rsidRDefault="00331B1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24–25 января 1943 немецкий самолет атакует конвой JW-52, когда он движется через Кольский залив в Советском Союзе через Баренцево море, но не причинил ущерба (20376).</w:t>
      </w:r>
    </w:p>
    <w:p w14:paraId="516EC68F" w14:textId="77777777" w:rsidR="00331B1B" w:rsidRPr="00D03F3E" w:rsidRDefault="00331B1B" w:rsidP="00D03F3E">
      <w:pPr>
        <w:spacing w:after="0" w:line="240" w:lineRule="auto"/>
        <w:jc w:val="both"/>
        <w:rPr>
          <w:rFonts w:ascii="Times New Roman" w:hAnsi="Times New Roman"/>
          <w:color w:val="0070C0"/>
          <w:sz w:val="16"/>
          <w:szCs w:val="16"/>
        </w:rPr>
      </w:pPr>
    </w:p>
    <w:p w14:paraId="44E791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Jan 24 1943 At Casablance conference, Roosevelt and Churchill issue demand for unconditional German surrender (1050).</w:t>
      </w:r>
    </w:p>
    <w:p w14:paraId="02BEB34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8EFB4D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января 1943 в Касабланке Ф.Д.Р. и У.Черчиль потребовали безоговорочной капитуляции Германии (1050).</w:t>
      </w:r>
    </w:p>
    <w:p w14:paraId="4EFA132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BD5E4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января 1943 завершилась встреча У. Черчилля и Т. Рузвельта в Касабланке (4962).</w:t>
      </w:r>
    </w:p>
    <w:p w14:paraId="7DD618C9"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81DF2B"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265B29B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5D55E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января 1943 г. на Калининском фронте в 800-м и 667-м шап 1-го шак Резерва Ставки ВГК закончились войсковые испытания 16 двухместных Ил-2 с задней стрел</w:t>
      </w:r>
      <w:r w:rsidRPr="00D03F3E">
        <w:rPr>
          <w:rFonts w:ascii="Times New Roman" w:hAnsi="Times New Roman"/>
          <w:color w:val="000000" w:themeColor="text1"/>
          <w:sz w:val="16"/>
          <w:szCs w:val="16"/>
        </w:rPr>
        <w:softHyphen/>
        <w:t>ковой установкой ВУБ-3 с пулеметом УБТ завода № 30, которые проходили с 30 октября 1942 г.</w:t>
      </w:r>
    </w:p>
    <w:p w14:paraId="21B5971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материалах испытаний учтено 64 боевых вылета. В вось</w:t>
      </w:r>
      <w:r w:rsidRPr="00D03F3E">
        <w:rPr>
          <w:rFonts w:ascii="Times New Roman" w:hAnsi="Times New Roman"/>
          <w:color w:val="000000" w:themeColor="text1"/>
          <w:sz w:val="16"/>
          <w:szCs w:val="16"/>
        </w:rPr>
        <w:softHyphen/>
        <w:t>ми воздушных боях огнем стрелков было сбито семь истребителей противника. Свои потери составили три Ил-2, один лет</w:t>
      </w:r>
      <w:r w:rsidRPr="00D03F3E">
        <w:rPr>
          <w:rFonts w:ascii="Times New Roman" w:hAnsi="Times New Roman"/>
          <w:color w:val="000000" w:themeColor="text1"/>
          <w:sz w:val="16"/>
          <w:szCs w:val="16"/>
        </w:rPr>
        <w:softHyphen/>
        <w:t>чик и восемь воздушных стрелков.</w:t>
      </w:r>
    </w:p>
    <w:p w14:paraId="4E72708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правило, при полете группы на боевое задание ведущи</w:t>
      </w:r>
      <w:r w:rsidRPr="00D03F3E">
        <w:rPr>
          <w:rFonts w:ascii="Times New Roman" w:hAnsi="Times New Roman"/>
          <w:color w:val="000000" w:themeColor="text1"/>
          <w:sz w:val="16"/>
          <w:szCs w:val="16"/>
        </w:rPr>
        <w:softHyphen/>
        <w:t>ми и замыкающими назначались летчики, вылетавшие на двухместных самолетах Ил-2. На воздушных стрелков возлага</w:t>
      </w:r>
      <w:r w:rsidRPr="00D03F3E">
        <w:rPr>
          <w:rFonts w:ascii="Times New Roman" w:hAnsi="Times New Roman"/>
          <w:color w:val="000000" w:themeColor="text1"/>
          <w:sz w:val="16"/>
          <w:szCs w:val="16"/>
        </w:rPr>
        <w:softHyphen/>
        <w:t>лась задача «по осмотрительности и обороне группы в задней полусфере». Такое расположение самолетов в строю повысило обороноспособность всей группы в целом и приводило к ус</w:t>
      </w:r>
      <w:r w:rsidRPr="00D03F3E">
        <w:rPr>
          <w:rFonts w:ascii="Times New Roman" w:hAnsi="Times New Roman"/>
          <w:color w:val="000000" w:themeColor="text1"/>
          <w:sz w:val="16"/>
          <w:szCs w:val="16"/>
        </w:rPr>
        <w:softHyphen/>
        <w:t>пешному отражению нападения противника.</w:t>
      </w:r>
    </w:p>
    <w:p w14:paraId="17549C3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Воздушные бои показали, что бронещиток стрелка носит формальный характер, поскольку пробивается боеприпасами немецких авиапушек и крупнокалиберных пулеметов.</w:t>
      </w:r>
    </w:p>
    <w:p w14:paraId="23FA301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Любой осколочный снаряд, попавший в кабину стрелка, если не попадал в него, то разрывался на задней броне корпуса и осколками поражал стрелка. Про осколки зенитных снаря</w:t>
      </w:r>
      <w:r w:rsidRPr="00D03F3E">
        <w:rPr>
          <w:rFonts w:ascii="Times New Roman" w:hAnsi="Times New Roman"/>
          <w:color w:val="000000" w:themeColor="text1"/>
          <w:sz w:val="16"/>
          <w:szCs w:val="16"/>
        </w:rPr>
        <w:softHyphen/>
        <w:t>дов и говорить не приходится — их было много, и они проши</w:t>
      </w:r>
      <w:r w:rsidRPr="00D03F3E">
        <w:rPr>
          <w:rFonts w:ascii="Times New Roman" w:hAnsi="Times New Roman"/>
          <w:color w:val="000000" w:themeColor="text1"/>
          <w:sz w:val="16"/>
          <w:szCs w:val="16"/>
        </w:rPr>
        <w:softHyphen/>
        <w:t>вали кабину стрелка с бортов насквозь.</w:t>
      </w:r>
    </w:p>
    <w:p w14:paraId="5013C61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воспоминаниям ветеранов, если была встреча с немец</w:t>
      </w:r>
      <w:r w:rsidRPr="00D03F3E">
        <w:rPr>
          <w:rFonts w:ascii="Times New Roman" w:hAnsi="Times New Roman"/>
          <w:color w:val="000000" w:themeColor="text1"/>
          <w:sz w:val="16"/>
          <w:szCs w:val="16"/>
        </w:rPr>
        <w:softHyphen/>
        <w:t>кими истребителями и велся воздушный бой, то обязательно одного-двух стрелков из состава группы (6—8 самолетов) при</w:t>
      </w:r>
      <w:r w:rsidRPr="00D03F3E">
        <w:rPr>
          <w:rFonts w:ascii="Times New Roman" w:hAnsi="Times New Roman"/>
          <w:color w:val="000000" w:themeColor="text1"/>
          <w:sz w:val="16"/>
          <w:szCs w:val="16"/>
        </w:rPr>
        <w:softHyphen/>
        <w:t>возили ранеными или убитыми.</w:t>
      </w:r>
    </w:p>
    <w:p w14:paraId="21A30AC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защиты стрелка технический состав изобретал раз</w:t>
      </w:r>
      <w:r w:rsidRPr="00D03F3E">
        <w:rPr>
          <w:rFonts w:ascii="Times New Roman" w:hAnsi="Times New Roman"/>
          <w:color w:val="000000" w:themeColor="text1"/>
          <w:sz w:val="16"/>
          <w:szCs w:val="16"/>
        </w:rPr>
        <w:softHyphen/>
        <w:t>личного рода дополнительные защитные устройства. Напри</w:t>
      </w:r>
      <w:r w:rsidRPr="00D03F3E">
        <w:rPr>
          <w:rFonts w:ascii="Times New Roman" w:hAnsi="Times New Roman"/>
          <w:color w:val="000000" w:themeColor="text1"/>
          <w:sz w:val="16"/>
          <w:szCs w:val="16"/>
        </w:rPr>
        <w:softHyphen/>
        <w:t>мер, в полках 1 -и гшад с бронекапота снимались бронекрыш-ки и устанавливались в кабине стрелка с боков и снизу. В час</w:t>
      </w:r>
      <w:r w:rsidRPr="00D03F3E">
        <w:rPr>
          <w:rFonts w:ascii="Times New Roman" w:hAnsi="Times New Roman"/>
          <w:color w:val="000000" w:themeColor="text1"/>
          <w:sz w:val="16"/>
          <w:szCs w:val="16"/>
        </w:rPr>
        <w:softHyphen/>
        <w:t>тях 3-й воздушной армии на расстоянии 30 мм от задней бронестенки монтировали деревянный щит толщиной 25 мм, который «собирал» осколки от разорвавшихся на задней бро</w:t>
      </w:r>
      <w:r w:rsidRPr="00D03F3E">
        <w:rPr>
          <w:rFonts w:ascii="Times New Roman" w:hAnsi="Times New Roman"/>
          <w:color w:val="000000" w:themeColor="text1"/>
          <w:sz w:val="16"/>
          <w:szCs w:val="16"/>
        </w:rPr>
        <w:softHyphen/>
        <w:t>не снарядов.</w:t>
      </w:r>
    </w:p>
    <w:p w14:paraId="06E0D3B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мнению воздушных стрелков, габариты кабины и кон</w:t>
      </w:r>
      <w:r w:rsidRPr="00D03F3E">
        <w:rPr>
          <w:rFonts w:ascii="Times New Roman" w:hAnsi="Times New Roman"/>
          <w:color w:val="000000" w:themeColor="text1"/>
          <w:sz w:val="16"/>
          <w:szCs w:val="16"/>
        </w:rPr>
        <w:softHyphen/>
        <w:t>струкция сиденья не позволяли вести прицельный огонь. В боевой обстановке стрелок вынужден был находиться в полусогнугом положении, «что очень стесняет действия и утом</w:t>
      </w:r>
      <w:r w:rsidRPr="00D03F3E">
        <w:rPr>
          <w:rFonts w:ascii="Times New Roman" w:hAnsi="Times New Roman"/>
          <w:color w:val="000000" w:themeColor="text1"/>
          <w:sz w:val="16"/>
          <w:szCs w:val="16"/>
        </w:rPr>
        <w:softHyphen/>
        <w:t>ляет его». При этом углы обстрела пулемета УБТ (вверх — до 45°, влево и вправо — по 35°, вниз по борту — 12°) оказались «слишком малы и не обеспечивали достаточной защиты зад</w:t>
      </w:r>
      <w:r w:rsidRPr="00D03F3E">
        <w:rPr>
          <w:rFonts w:ascii="Times New Roman" w:hAnsi="Times New Roman"/>
          <w:color w:val="000000" w:themeColor="text1"/>
          <w:sz w:val="16"/>
          <w:szCs w:val="16"/>
        </w:rPr>
        <w:softHyphen/>
        <w:t>ней полусферы и взаимной огневой поддержки между самоле</w:t>
      </w:r>
      <w:r w:rsidRPr="00D03F3E">
        <w:rPr>
          <w:rFonts w:ascii="Times New Roman" w:hAnsi="Times New Roman"/>
          <w:color w:val="000000" w:themeColor="text1"/>
          <w:sz w:val="16"/>
          <w:szCs w:val="16"/>
        </w:rPr>
        <w:softHyphen/>
        <w:t>тами при действии в составе группы».</w:t>
      </w:r>
    </w:p>
    <w:p w14:paraId="7A26535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Пилотирование требовало от летчиков повышенного вни</w:t>
      </w:r>
      <w:r w:rsidRPr="00D03F3E">
        <w:rPr>
          <w:rFonts w:ascii="Times New Roman" w:hAnsi="Times New Roman"/>
          <w:color w:val="000000" w:themeColor="text1"/>
          <w:sz w:val="16"/>
          <w:szCs w:val="16"/>
        </w:rPr>
        <w:softHyphen/>
        <w:t>мания, особенно при выполнении виражей и на боевых разво</w:t>
      </w:r>
      <w:r w:rsidRPr="00D03F3E">
        <w:rPr>
          <w:rFonts w:ascii="Times New Roman" w:hAnsi="Times New Roman"/>
          <w:color w:val="000000" w:themeColor="text1"/>
          <w:sz w:val="16"/>
          <w:szCs w:val="16"/>
        </w:rPr>
        <w:softHyphen/>
        <w:t>ротах, которые Ил-2 выполнял с колебаниями по продольной оси. Отмечались большие нагрузки на рули при перекладыва</w:t>
      </w:r>
      <w:r w:rsidRPr="00D03F3E">
        <w:rPr>
          <w:rFonts w:ascii="Times New Roman" w:hAnsi="Times New Roman"/>
          <w:color w:val="000000" w:themeColor="text1"/>
          <w:sz w:val="16"/>
          <w:szCs w:val="16"/>
        </w:rPr>
        <w:softHyphen/>
        <w:t>нии штурмовика из виража в вираж. При выполнении глубоких виражей наблюдалась тенденция к срыву самолета в штопор. Пикировать нужно было осторожно, так как при достижении скорости 440 км/ч самолет становился трудноуправляемым, но</w:t>
      </w:r>
      <w:r w:rsidRPr="00D03F3E">
        <w:rPr>
          <w:rFonts w:ascii="Times New Roman" w:hAnsi="Times New Roman"/>
          <w:color w:val="000000" w:themeColor="text1"/>
          <w:sz w:val="16"/>
          <w:szCs w:val="16"/>
        </w:rPr>
        <w:softHyphen/>
        <w:t>ровил увеличить угол пикирования, а при резком выводе из пи</w:t>
      </w:r>
      <w:r w:rsidRPr="00D03F3E">
        <w:rPr>
          <w:rFonts w:ascii="Times New Roman" w:hAnsi="Times New Roman"/>
          <w:color w:val="000000" w:themeColor="text1"/>
          <w:sz w:val="16"/>
          <w:szCs w:val="16"/>
        </w:rPr>
        <w:softHyphen/>
        <w:t>кирования стремился к кабрированию с последующим срывом в штопор. В то же время при плавном выводе из пикирования увеличивалась просадка самолета, что автоматически приводи</w:t>
      </w:r>
      <w:r w:rsidRPr="00D03F3E">
        <w:rPr>
          <w:rFonts w:ascii="Times New Roman" w:hAnsi="Times New Roman"/>
          <w:color w:val="000000" w:themeColor="text1"/>
          <w:sz w:val="16"/>
          <w:szCs w:val="16"/>
        </w:rPr>
        <w:softHyphen/>
        <w:t>ло к возрастанию дистанции прекращения огня. То есть летчик терял возможность вести огонь на самых эффективных дально</w:t>
      </w:r>
      <w:r w:rsidRPr="00D03F3E">
        <w:rPr>
          <w:rFonts w:ascii="Times New Roman" w:hAnsi="Times New Roman"/>
          <w:color w:val="000000" w:themeColor="text1"/>
          <w:sz w:val="16"/>
          <w:szCs w:val="16"/>
        </w:rPr>
        <w:softHyphen/>
        <w:t>стях стрельбы.</w:t>
      </w:r>
    </w:p>
    <w:p w14:paraId="2B581E3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Летный состав требовал увеличить углы обстрела пулемета, усилить бронирование кабины стрелка, улучшить взлетно-по</w:t>
      </w:r>
      <w:r w:rsidRPr="00D03F3E">
        <w:rPr>
          <w:rFonts w:ascii="Times New Roman" w:hAnsi="Times New Roman"/>
          <w:color w:val="000000" w:themeColor="text1"/>
          <w:sz w:val="16"/>
          <w:szCs w:val="16"/>
        </w:rPr>
        <w:softHyphen/>
        <w:t>садочные и пилотажные качества самолета.</w:t>
      </w:r>
    </w:p>
    <w:p w14:paraId="6E8C670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Здесь следует сказать, что в частях 1-го шак одновременно с двухместными Ил-2, оборудованными заводскими установка</w:t>
      </w:r>
      <w:r w:rsidRPr="00D03F3E">
        <w:rPr>
          <w:rFonts w:ascii="Times New Roman" w:hAnsi="Times New Roman"/>
          <w:color w:val="000000" w:themeColor="text1"/>
          <w:sz w:val="16"/>
          <w:szCs w:val="16"/>
        </w:rPr>
        <w:softHyphen/>
        <w:t>ми ВУБ-3, применялись Ил-2 с кабиной воздушного стрелка, переделанные из одноместных силами технического состава. В кабине стрелка устанавливался пулемет ШКАС с боезапасом 500 патронов. При этом для установки пулемета использова</w:t>
      </w:r>
      <w:r w:rsidRPr="00D03F3E">
        <w:rPr>
          <w:rFonts w:ascii="Times New Roman" w:hAnsi="Times New Roman"/>
          <w:color w:val="000000" w:themeColor="text1"/>
          <w:sz w:val="16"/>
          <w:szCs w:val="16"/>
        </w:rPr>
        <w:softHyphen/>
        <w:t>лось полутурельное кольцо установки ВУБ-1 от самолета Пе-2. В каждой эскадрилье корпуса имелось по два-три таких штур</w:t>
      </w:r>
      <w:r w:rsidRPr="00D03F3E">
        <w:rPr>
          <w:rFonts w:ascii="Times New Roman" w:hAnsi="Times New Roman"/>
          <w:color w:val="000000" w:themeColor="text1"/>
          <w:sz w:val="16"/>
          <w:szCs w:val="16"/>
        </w:rPr>
        <w:softHyphen/>
        <w:t>мовика.</w:t>
      </w:r>
    </w:p>
    <w:p w14:paraId="1B58FD6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мнению командного состава 1-го шак, после массового поступления в части модифицированных Ил-2 с воздушным стрелком потери штурмовиков от атак истребителей люфтваф</w:t>
      </w:r>
      <w:r w:rsidRPr="00D03F3E">
        <w:rPr>
          <w:rFonts w:ascii="Times New Roman" w:hAnsi="Times New Roman"/>
          <w:color w:val="000000" w:themeColor="text1"/>
          <w:sz w:val="16"/>
          <w:szCs w:val="16"/>
        </w:rPr>
        <w:softHyphen/>
        <w:t>фе должны сократиться примерно на 20—30% (11474,295).</w:t>
      </w:r>
    </w:p>
    <w:p w14:paraId="3FFD9F6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D8DD2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ян</w:t>
      </w:r>
      <w:r w:rsidRPr="00D03F3E">
        <w:rPr>
          <w:rFonts w:ascii="Times New Roman" w:hAnsi="Times New Roman"/>
          <w:color w:val="000000" w:themeColor="text1"/>
          <w:sz w:val="16"/>
          <w:szCs w:val="16"/>
        </w:rPr>
        <w:softHyphen/>
        <w:t>варя 1943 г. на Калининском фронте в 800-м (командир полка м-р А.И.Митрофанов) и 667-м (ко</w:t>
      </w:r>
      <w:r w:rsidRPr="00D03F3E">
        <w:rPr>
          <w:rFonts w:ascii="Times New Roman" w:hAnsi="Times New Roman"/>
          <w:color w:val="000000" w:themeColor="text1"/>
          <w:sz w:val="16"/>
          <w:szCs w:val="16"/>
        </w:rPr>
        <w:softHyphen/>
        <w:t>мандир полка м-р Г.А.Шутеев) штур</w:t>
      </w:r>
      <w:r w:rsidRPr="00D03F3E">
        <w:rPr>
          <w:rFonts w:ascii="Times New Roman" w:hAnsi="Times New Roman"/>
          <w:color w:val="000000" w:themeColor="text1"/>
          <w:sz w:val="16"/>
          <w:szCs w:val="16"/>
        </w:rPr>
        <w:softHyphen/>
        <w:t xml:space="preserve">мовых авиаполках 292-й </w:t>
      </w:r>
      <w:r w:rsidRPr="00D03F3E">
        <w:rPr>
          <w:rFonts w:ascii="Times New Roman" w:hAnsi="Times New Roman"/>
          <w:iCs/>
          <w:color w:val="000000" w:themeColor="text1"/>
          <w:sz w:val="16"/>
          <w:szCs w:val="16"/>
        </w:rPr>
        <w:t>шад</w:t>
      </w:r>
      <w:r w:rsidRPr="00D03F3E">
        <w:rPr>
          <w:rFonts w:ascii="Times New Roman" w:hAnsi="Times New Roman"/>
          <w:color w:val="000000" w:themeColor="text1"/>
          <w:sz w:val="16"/>
          <w:szCs w:val="16"/>
        </w:rPr>
        <w:t xml:space="preserve"> 3-й ВА закончились войсковые испытания двухместных вариантов самолета Ил-2 постройки за</w:t>
      </w:r>
      <w:r w:rsidRPr="00D03F3E">
        <w:rPr>
          <w:rFonts w:ascii="Times New Roman" w:hAnsi="Times New Roman"/>
          <w:color w:val="000000" w:themeColor="text1"/>
          <w:sz w:val="16"/>
          <w:szCs w:val="16"/>
        </w:rPr>
        <w:softHyphen/>
        <w:t>вода № 30, которые проходили с конца октября 1942 г. по(6467).</w:t>
      </w:r>
    </w:p>
    <w:p w14:paraId="3DA802F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Надо сказать, что в авиаполках 292-й </w:t>
      </w:r>
      <w:r w:rsidRPr="00D03F3E">
        <w:rPr>
          <w:rFonts w:ascii="Times New Roman" w:hAnsi="Times New Roman"/>
          <w:iCs/>
          <w:color w:val="000000" w:themeColor="text1"/>
          <w:sz w:val="16"/>
          <w:szCs w:val="16"/>
        </w:rPr>
        <w:t>шад</w:t>
      </w:r>
      <w:r w:rsidRPr="00D03F3E">
        <w:rPr>
          <w:rFonts w:ascii="Times New Roman" w:hAnsi="Times New Roman"/>
          <w:color w:val="000000" w:themeColor="text1"/>
          <w:sz w:val="16"/>
          <w:szCs w:val="16"/>
        </w:rPr>
        <w:t xml:space="preserve"> уже имелся опыт боевого приме</w:t>
      </w:r>
      <w:r w:rsidRPr="00D03F3E">
        <w:rPr>
          <w:rFonts w:ascii="Times New Roman" w:hAnsi="Times New Roman"/>
          <w:color w:val="000000" w:themeColor="text1"/>
          <w:sz w:val="16"/>
          <w:szCs w:val="16"/>
        </w:rPr>
        <w:softHyphen/>
        <w:t>нения двухместных штурмовиков Ил-2, так как к этому времени силами инже</w:t>
      </w:r>
      <w:r w:rsidRPr="00D03F3E">
        <w:rPr>
          <w:rFonts w:ascii="Times New Roman" w:hAnsi="Times New Roman"/>
          <w:color w:val="000000" w:themeColor="text1"/>
          <w:sz w:val="16"/>
          <w:szCs w:val="16"/>
        </w:rPr>
        <w:softHyphen/>
        <w:t>нерно-</w:t>
      </w:r>
      <w:r w:rsidRPr="00D03F3E">
        <w:rPr>
          <w:rFonts w:ascii="Times New Roman" w:hAnsi="Times New Roman"/>
          <w:color w:val="000000" w:themeColor="text1"/>
          <w:sz w:val="16"/>
          <w:szCs w:val="16"/>
        </w:rPr>
        <w:lastRenderedPageBreak/>
        <w:t>технического состава несколько одноместных Ил-2 уже были переобо</w:t>
      </w:r>
      <w:r w:rsidRPr="00D03F3E">
        <w:rPr>
          <w:rFonts w:ascii="Times New Roman" w:hAnsi="Times New Roman"/>
          <w:color w:val="000000" w:themeColor="text1"/>
          <w:sz w:val="16"/>
          <w:szCs w:val="16"/>
        </w:rPr>
        <w:softHyphen/>
        <w:t>рудованы оборонительным пулеметом ШКАС с боезапасом в 500 патронов, при этом для установки пулемета использо</w:t>
      </w:r>
      <w:r w:rsidRPr="00D03F3E">
        <w:rPr>
          <w:rFonts w:ascii="Times New Roman" w:hAnsi="Times New Roman"/>
          <w:color w:val="000000" w:themeColor="text1"/>
          <w:sz w:val="16"/>
          <w:szCs w:val="16"/>
        </w:rPr>
        <w:softHyphen/>
        <w:t>валось полутурельное кольцо установки ВУБ-1 самолета Пе-2.</w:t>
      </w:r>
    </w:p>
    <w:p w14:paraId="7187B98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время войсковых испытаний 16 двухместных самолетов Ил-2 с пулеме</w:t>
      </w:r>
      <w:r w:rsidRPr="00D03F3E">
        <w:rPr>
          <w:rFonts w:ascii="Times New Roman" w:hAnsi="Times New Roman"/>
          <w:color w:val="000000" w:themeColor="text1"/>
          <w:sz w:val="16"/>
          <w:szCs w:val="16"/>
        </w:rPr>
        <w:softHyphen/>
        <w:t>том УБТ выполнили 64 боевых вылета с общим налетом 77 часов. Проведено 8 воздушных боев, в которых огнем стрел</w:t>
      </w:r>
      <w:r w:rsidRPr="00D03F3E">
        <w:rPr>
          <w:rFonts w:ascii="Times New Roman" w:hAnsi="Times New Roman"/>
          <w:color w:val="000000" w:themeColor="text1"/>
          <w:sz w:val="16"/>
          <w:szCs w:val="16"/>
        </w:rPr>
        <w:softHyphen/>
        <w:t>ков было сбито 7 истребителей против</w:t>
      </w:r>
      <w:r w:rsidRPr="00D03F3E">
        <w:rPr>
          <w:rFonts w:ascii="Times New Roman" w:hAnsi="Times New Roman"/>
          <w:color w:val="000000" w:themeColor="text1"/>
          <w:sz w:val="16"/>
          <w:szCs w:val="16"/>
        </w:rPr>
        <w:softHyphen/>
        <w:t>ника ВТ109. Свои потери составили 3 штурмовика.</w:t>
      </w:r>
    </w:p>
    <w:p w14:paraId="7EE5D9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Строевые летчики отмечали, что ухуд</w:t>
      </w:r>
      <w:r w:rsidRPr="00D03F3E">
        <w:rPr>
          <w:rFonts w:ascii="Times New Roman" w:hAnsi="Times New Roman"/>
          <w:color w:val="000000" w:themeColor="text1"/>
          <w:sz w:val="16"/>
          <w:szCs w:val="16"/>
        </w:rPr>
        <w:softHyphen/>
        <w:t>шение продольной устойчивости штур</w:t>
      </w:r>
      <w:r w:rsidRPr="00D03F3E">
        <w:rPr>
          <w:rFonts w:ascii="Times New Roman" w:hAnsi="Times New Roman"/>
          <w:color w:val="000000" w:themeColor="text1"/>
          <w:sz w:val="16"/>
          <w:szCs w:val="16"/>
        </w:rPr>
        <w:softHyphen/>
        <w:t>мовика, а также увеличение скорости са</w:t>
      </w:r>
      <w:r w:rsidRPr="00D03F3E">
        <w:rPr>
          <w:rFonts w:ascii="Times New Roman" w:hAnsi="Times New Roman"/>
          <w:color w:val="000000" w:themeColor="text1"/>
          <w:sz w:val="16"/>
          <w:szCs w:val="16"/>
        </w:rPr>
        <w:softHyphen/>
        <w:t>молета на планировании затруднило ведение прицельного огня из стрелково-пушечного вооружения и введение боковых поправок в прицеливание, осо</w:t>
      </w:r>
      <w:r w:rsidRPr="00D03F3E">
        <w:rPr>
          <w:rFonts w:ascii="Times New Roman" w:hAnsi="Times New Roman"/>
          <w:color w:val="000000" w:themeColor="text1"/>
          <w:sz w:val="16"/>
          <w:szCs w:val="16"/>
        </w:rPr>
        <w:softHyphen/>
        <w:t>бенно для молодого летного состава, имеющего недостаточную летную под</w:t>
      </w:r>
      <w:r w:rsidRPr="00D03F3E">
        <w:rPr>
          <w:rFonts w:ascii="Times New Roman" w:hAnsi="Times New Roman"/>
          <w:color w:val="000000" w:themeColor="text1"/>
          <w:sz w:val="16"/>
          <w:szCs w:val="16"/>
        </w:rPr>
        <w:softHyphen/>
        <w:t>готовку. Кроме этого, большая инерт</w:t>
      </w:r>
      <w:r w:rsidRPr="00D03F3E">
        <w:rPr>
          <w:rFonts w:ascii="Times New Roman" w:hAnsi="Times New Roman"/>
          <w:color w:val="000000" w:themeColor="text1"/>
          <w:sz w:val="16"/>
          <w:szCs w:val="16"/>
        </w:rPr>
        <w:softHyphen/>
        <w:t>ность двухместного Ил-2, по сравнению с одноместным, требовала от летчиков и большего внимания при пилотаже в составе группы, а также больших дис</w:t>
      </w:r>
      <w:r w:rsidRPr="00D03F3E">
        <w:rPr>
          <w:rFonts w:ascii="Times New Roman" w:hAnsi="Times New Roman"/>
          <w:color w:val="000000" w:themeColor="text1"/>
          <w:sz w:val="16"/>
          <w:szCs w:val="16"/>
        </w:rPr>
        <w:softHyphen/>
        <w:t>танций между самолетами в боевых по</w:t>
      </w:r>
      <w:r w:rsidRPr="00D03F3E">
        <w:rPr>
          <w:rFonts w:ascii="Times New Roman" w:hAnsi="Times New Roman"/>
          <w:color w:val="000000" w:themeColor="text1"/>
          <w:sz w:val="16"/>
          <w:szCs w:val="16"/>
        </w:rPr>
        <w:softHyphen/>
        <w:t>рядках. Из-за большей задней центров</w:t>
      </w:r>
      <w:r w:rsidRPr="00D03F3E">
        <w:rPr>
          <w:rFonts w:ascii="Times New Roman" w:hAnsi="Times New Roman"/>
          <w:color w:val="000000" w:themeColor="text1"/>
          <w:sz w:val="16"/>
          <w:szCs w:val="16"/>
        </w:rPr>
        <w:softHyphen/>
        <w:t>ки и недостаточной устойчивости в про</w:t>
      </w:r>
      <w:r w:rsidRPr="00D03F3E">
        <w:rPr>
          <w:rFonts w:ascii="Times New Roman" w:hAnsi="Times New Roman"/>
          <w:color w:val="000000" w:themeColor="text1"/>
          <w:sz w:val="16"/>
          <w:szCs w:val="16"/>
        </w:rPr>
        <w:softHyphen/>
        <w:t>дольном отношении выполнение коор</w:t>
      </w:r>
      <w:r w:rsidRPr="00D03F3E">
        <w:rPr>
          <w:rFonts w:ascii="Times New Roman" w:hAnsi="Times New Roman"/>
          <w:color w:val="000000" w:themeColor="text1"/>
          <w:sz w:val="16"/>
          <w:szCs w:val="16"/>
        </w:rPr>
        <w:softHyphen/>
        <w:t>динированного глубокого виража требо</w:t>
      </w:r>
      <w:r w:rsidRPr="00D03F3E">
        <w:rPr>
          <w:rFonts w:ascii="Times New Roman" w:hAnsi="Times New Roman"/>
          <w:color w:val="000000" w:themeColor="text1"/>
          <w:sz w:val="16"/>
          <w:szCs w:val="16"/>
        </w:rPr>
        <w:softHyphen/>
        <w:t>вало от летчиков повышенного внима</w:t>
      </w:r>
      <w:r w:rsidRPr="00D03F3E">
        <w:rPr>
          <w:rFonts w:ascii="Times New Roman" w:hAnsi="Times New Roman"/>
          <w:color w:val="000000" w:themeColor="text1"/>
          <w:sz w:val="16"/>
          <w:szCs w:val="16"/>
        </w:rPr>
        <w:softHyphen/>
        <w:t>ния. Летчики авиаполков отмечали и большие требуемые нагрузки на рули двухместного Ил-2, по сравнению с од</w:t>
      </w:r>
      <w:r w:rsidRPr="00D03F3E">
        <w:rPr>
          <w:rFonts w:ascii="Times New Roman" w:hAnsi="Times New Roman"/>
          <w:color w:val="000000" w:themeColor="text1"/>
          <w:sz w:val="16"/>
          <w:szCs w:val="16"/>
        </w:rPr>
        <w:softHyphen/>
        <w:t>номестным вариантом, при переклады</w:t>
      </w:r>
      <w:r w:rsidRPr="00D03F3E">
        <w:rPr>
          <w:rFonts w:ascii="Times New Roman" w:hAnsi="Times New Roman"/>
          <w:color w:val="000000" w:themeColor="text1"/>
          <w:sz w:val="16"/>
          <w:szCs w:val="16"/>
        </w:rPr>
        <w:softHyphen/>
        <w:t>вании штурмовика из виража в вираж.</w:t>
      </w:r>
    </w:p>
    <w:p w14:paraId="52CB1D5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Снижение вертикальной скорости двухместного Ил-2 привело к усложне</w:t>
      </w:r>
      <w:r w:rsidRPr="00D03F3E">
        <w:rPr>
          <w:rFonts w:ascii="Times New Roman" w:hAnsi="Times New Roman"/>
          <w:color w:val="000000" w:themeColor="text1"/>
          <w:sz w:val="16"/>
          <w:szCs w:val="16"/>
        </w:rPr>
        <w:softHyphen/>
        <w:t>нию противозенитного маневра и повы</w:t>
      </w:r>
      <w:r w:rsidRPr="00D03F3E">
        <w:rPr>
          <w:rFonts w:ascii="Times New Roman" w:hAnsi="Times New Roman"/>
          <w:color w:val="000000" w:themeColor="text1"/>
          <w:sz w:val="16"/>
          <w:szCs w:val="16"/>
        </w:rPr>
        <w:softHyphen/>
        <w:t>шению вероятности поражения его от огня зенитной артиллерии, особенно ма</w:t>
      </w:r>
      <w:r w:rsidRPr="00D03F3E">
        <w:rPr>
          <w:rFonts w:ascii="Times New Roman" w:hAnsi="Times New Roman"/>
          <w:color w:val="000000" w:themeColor="text1"/>
          <w:sz w:val="16"/>
          <w:szCs w:val="16"/>
        </w:rPr>
        <w:softHyphen/>
        <w:t>локалиберной. Требовалось повышение энерговооруженности самолета.</w:t>
      </w:r>
    </w:p>
    <w:p w14:paraId="5532B23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Кабина стрелка оказалась тесной и затрудняла его движения, что отрица</w:t>
      </w:r>
      <w:r w:rsidRPr="00D03F3E">
        <w:rPr>
          <w:rFonts w:ascii="Times New Roman" w:hAnsi="Times New Roman"/>
          <w:color w:val="000000" w:themeColor="text1"/>
          <w:sz w:val="16"/>
          <w:szCs w:val="16"/>
        </w:rPr>
        <w:softHyphen/>
        <w:t>тельно сказывалось на эффективности ведения воздушного боя. Сама же пу</w:t>
      </w:r>
      <w:r w:rsidRPr="00D03F3E">
        <w:rPr>
          <w:rFonts w:ascii="Times New Roman" w:hAnsi="Times New Roman"/>
          <w:color w:val="000000" w:themeColor="text1"/>
          <w:sz w:val="16"/>
          <w:szCs w:val="16"/>
        </w:rPr>
        <w:softHyphen/>
        <w:t>леметная установка в обслуживании ока</w:t>
      </w:r>
      <w:r w:rsidRPr="00D03F3E">
        <w:rPr>
          <w:rFonts w:ascii="Times New Roman" w:hAnsi="Times New Roman"/>
          <w:color w:val="000000" w:themeColor="text1"/>
          <w:sz w:val="16"/>
          <w:szCs w:val="16"/>
        </w:rPr>
        <w:softHyphen/>
        <w:t>залась простой.</w:t>
      </w:r>
    </w:p>
    <w:p w14:paraId="14EC70C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 воздушных боев показал, что углы обстрела пулемета УБТ недоста</w:t>
      </w:r>
      <w:r w:rsidRPr="00D03F3E">
        <w:rPr>
          <w:rFonts w:ascii="Times New Roman" w:hAnsi="Times New Roman"/>
          <w:color w:val="000000" w:themeColor="text1"/>
          <w:sz w:val="16"/>
          <w:szCs w:val="16"/>
        </w:rPr>
        <w:softHyphen/>
        <w:t>точные. Стрелок не мог отражать атаки истребителей противника под больши</w:t>
      </w:r>
      <w:r w:rsidRPr="00D03F3E">
        <w:rPr>
          <w:rFonts w:ascii="Times New Roman" w:hAnsi="Times New Roman"/>
          <w:color w:val="000000" w:themeColor="text1"/>
          <w:sz w:val="16"/>
          <w:szCs w:val="16"/>
        </w:rPr>
        <w:softHyphen/>
        <w:t>ми углами сбоку и сверху. Ввиду малых углов обстрела вниз и в стороны исполь</w:t>
      </w:r>
      <w:r w:rsidRPr="00D03F3E">
        <w:rPr>
          <w:rFonts w:ascii="Times New Roman" w:hAnsi="Times New Roman"/>
          <w:color w:val="000000" w:themeColor="text1"/>
          <w:sz w:val="16"/>
          <w:szCs w:val="16"/>
        </w:rPr>
        <w:softHyphen/>
        <w:t>зовать заднюю огневую точку для стрельбы по истребителям, атакующим снизу, а также по наземным целям мож</w:t>
      </w:r>
      <w:r w:rsidRPr="00D03F3E">
        <w:rPr>
          <w:rFonts w:ascii="Times New Roman" w:hAnsi="Times New Roman"/>
          <w:color w:val="000000" w:themeColor="text1"/>
          <w:sz w:val="16"/>
          <w:szCs w:val="16"/>
        </w:rPr>
        <w:softHyphen/>
        <w:t>но было очень ограничено.</w:t>
      </w:r>
    </w:p>
    <w:p w14:paraId="4DAF58F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эффективность действий воздушных стрелков в значительной сте</w:t>
      </w:r>
      <w:r w:rsidRPr="00D03F3E">
        <w:rPr>
          <w:rFonts w:ascii="Times New Roman" w:hAnsi="Times New Roman"/>
          <w:color w:val="000000" w:themeColor="text1"/>
          <w:sz w:val="16"/>
          <w:szCs w:val="16"/>
        </w:rPr>
        <w:softHyphen/>
        <w:t>пени снижалась вследствие частых от</w:t>
      </w:r>
      <w:r w:rsidRPr="00D03F3E">
        <w:rPr>
          <w:rFonts w:ascii="Times New Roman" w:hAnsi="Times New Roman"/>
          <w:color w:val="000000" w:themeColor="text1"/>
          <w:sz w:val="16"/>
          <w:szCs w:val="16"/>
        </w:rPr>
        <w:softHyphen/>
        <w:t>казов (обрыв дульца гильзы и заклини</w:t>
      </w:r>
      <w:r w:rsidRPr="00D03F3E">
        <w:rPr>
          <w:rFonts w:ascii="Times New Roman" w:hAnsi="Times New Roman"/>
          <w:color w:val="000000" w:themeColor="text1"/>
          <w:sz w:val="16"/>
          <w:szCs w:val="16"/>
        </w:rPr>
        <w:softHyphen/>
        <w:t xml:space="preserve">вание автоматики) пулемета УБТ при стрельбе в воздухе. По воспоминаниям воздушного стрелка 43-го </w:t>
      </w:r>
      <w:r w:rsidRPr="00D03F3E">
        <w:rPr>
          <w:rFonts w:ascii="Times New Roman" w:hAnsi="Times New Roman"/>
          <w:iCs/>
          <w:color w:val="000000" w:themeColor="text1"/>
          <w:sz w:val="16"/>
          <w:szCs w:val="16"/>
        </w:rPr>
        <w:t>гшап</w:t>
      </w:r>
      <w:r w:rsidRPr="00D03F3E">
        <w:rPr>
          <w:rFonts w:ascii="Times New Roman" w:hAnsi="Times New Roman"/>
          <w:color w:val="000000" w:themeColor="text1"/>
          <w:sz w:val="16"/>
          <w:szCs w:val="16"/>
        </w:rPr>
        <w:t xml:space="preserve"> Г.А.Литвина, "Березин" при стрельбе в воздухе отказывал по этим причинам почти в каждом боевом вылете, а стрельба длин</w:t>
      </w:r>
      <w:r w:rsidRPr="00D03F3E">
        <w:rPr>
          <w:rFonts w:ascii="Times New Roman" w:hAnsi="Times New Roman"/>
          <w:color w:val="000000" w:themeColor="text1"/>
          <w:sz w:val="16"/>
          <w:szCs w:val="16"/>
        </w:rPr>
        <w:softHyphen/>
        <w:t>ными очередями производилась "с за</w:t>
      </w:r>
      <w:r w:rsidRPr="00D03F3E">
        <w:rPr>
          <w:rFonts w:ascii="Times New Roman" w:hAnsi="Times New Roman"/>
          <w:color w:val="000000" w:themeColor="text1"/>
          <w:sz w:val="16"/>
          <w:szCs w:val="16"/>
        </w:rPr>
        <w:softHyphen/>
        <w:t>миранием сердца". Стрельба очередью свыше 10 патронов не рекомендовалась по причине обязательного заклинивания пулемета.</w:t>
      </w:r>
    </w:p>
    <w:p w14:paraId="5AF59B7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Броневой лист толщиной 6 мм поза</w:t>
      </w:r>
      <w:r w:rsidRPr="00D03F3E">
        <w:rPr>
          <w:rFonts w:ascii="Times New Roman" w:hAnsi="Times New Roman"/>
          <w:color w:val="000000" w:themeColor="text1"/>
          <w:sz w:val="16"/>
          <w:szCs w:val="16"/>
        </w:rPr>
        <w:softHyphen/>
        <w:t>ди стрелка защищал только от пулемет</w:t>
      </w:r>
      <w:r w:rsidRPr="00D03F3E">
        <w:rPr>
          <w:rFonts w:ascii="Times New Roman" w:hAnsi="Times New Roman"/>
          <w:color w:val="000000" w:themeColor="text1"/>
          <w:sz w:val="16"/>
          <w:szCs w:val="16"/>
        </w:rPr>
        <w:softHyphen/>
        <w:t>ного огня при атаках истребителей про</w:t>
      </w:r>
      <w:r w:rsidRPr="00D03F3E">
        <w:rPr>
          <w:rFonts w:ascii="Times New Roman" w:hAnsi="Times New Roman"/>
          <w:color w:val="000000" w:themeColor="text1"/>
          <w:sz w:val="16"/>
          <w:szCs w:val="16"/>
        </w:rPr>
        <w:softHyphen/>
        <w:t>тивника строго со стороны хвоста са</w:t>
      </w:r>
      <w:r w:rsidRPr="00D03F3E">
        <w:rPr>
          <w:rFonts w:ascii="Times New Roman" w:hAnsi="Times New Roman"/>
          <w:color w:val="000000" w:themeColor="text1"/>
          <w:sz w:val="16"/>
          <w:szCs w:val="16"/>
        </w:rPr>
        <w:softHyphen/>
        <w:t>молета и от осколков зенитных снаря</w:t>
      </w:r>
      <w:r w:rsidRPr="00D03F3E">
        <w:rPr>
          <w:rFonts w:ascii="Times New Roman" w:hAnsi="Times New Roman"/>
          <w:color w:val="000000" w:themeColor="text1"/>
          <w:sz w:val="16"/>
          <w:szCs w:val="16"/>
        </w:rPr>
        <w:softHyphen/>
        <w:t>дов, разорвавшихся сзади фюзеляжа. Попадание в кабину стрелка фугасного снаряда калибра 20 мм пушки МО-151/ 20 с дистанции порядка 200-300 м дава</w:t>
      </w:r>
      <w:r w:rsidRPr="00D03F3E">
        <w:rPr>
          <w:rFonts w:ascii="Times New Roman" w:hAnsi="Times New Roman"/>
          <w:color w:val="000000" w:themeColor="text1"/>
          <w:sz w:val="16"/>
          <w:szCs w:val="16"/>
        </w:rPr>
        <w:softHyphen/>
        <w:t>ло пробоину размерами в среднем 70х150 мм и приводило к поражению стрелка.</w:t>
      </w:r>
    </w:p>
    <w:p w14:paraId="1B599E2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все время войсковых испытаний имелось 8 случаев поражения стрелков на двухместных самолетах Ил-2. Причем во всех случаях, кроме одного, летчики оставались невредимыми. То есть на одного вышедшего из строя летчика при</w:t>
      </w:r>
      <w:r w:rsidRPr="00D03F3E">
        <w:rPr>
          <w:rFonts w:ascii="Times New Roman" w:hAnsi="Times New Roman"/>
          <w:color w:val="000000" w:themeColor="text1"/>
          <w:sz w:val="16"/>
          <w:szCs w:val="16"/>
        </w:rPr>
        <w:softHyphen/>
        <w:t>шлось 8 убитых или раненых стрелков.</w:t>
      </w:r>
    </w:p>
    <w:p w14:paraId="58156FB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заключение акта по войсковым ис</w:t>
      </w:r>
      <w:r w:rsidRPr="00D03F3E">
        <w:rPr>
          <w:rFonts w:ascii="Times New Roman" w:hAnsi="Times New Roman"/>
          <w:color w:val="000000" w:themeColor="text1"/>
          <w:sz w:val="16"/>
          <w:szCs w:val="16"/>
        </w:rPr>
        <w:softHyphen/>
        <w:t>пытаниям двухместных Ил-2 постройки завода № 30 указывалось, что, по обще</w:t>
      </w:r>
      <w:r w:rsidRPr="00D03F3E">
        <w:rPr>
          <w:rFonts w:ascii="Times New Roman" w:hAnsi="Times New Roman"/>
          <w:color w:val="000000" w:themeColor="text1"/>
          <w:sz w:val="16"/>
          <w:szCs w:val="16"/>
        </w:rPr>
        <w:softHyphen/>
        <w:t>му мнению летного состава, самолет в целом хорош, а оборонительная огневая точка с пулеметом УБТ является эффек</w:t>
      </w:r>
      <w:r w:rsidRPr="00D03F3E">
        <w:rPr>
          <w:rFonts w:ascii="Times New Roman" w:hAnsi="Times New Roman"/>
          <w:color w:val="000000" w:themeColor="text1"/>
          <w:sz w:val="16"/>
          <w:szCs w:val="16"/>
        </w:rPr>
        <w:softHyphen/>
        <w:t>тивным средством защиты от огня ис</w:t>
      </w:r>
      <w:r w:rsidRPr="00D03F3E">
        <w:rPr>
          <w:rFonts w:ascii="Times New Roman" w:hAnsi="Times New Roman"/>
          <w:color w:val="000000" w:themeColor="text1"/>
          <w:sz w:val="16"/>
          <w:szCs w:val="16"/>
        </w:rPr>
        <w:softHyphen/>
        <w:t>требителей противника, однако летчики и стрелки требовали увеличить углы обстрела пулемета, усилить бронирова</w:t>
      </w:r>
      <w:r w:rsidRPr="00D03F3E">
        <w:rPr>
          <w:rFonts w:ascii="Times New Roman" w:hAnsi="Times New Roman"/>
          <w:color w:val="000000" w:themeColor="text1"/>
          <w:sz w:val="16"/>
          <w:szCs w:val="16"/>
        </w:rPr>
        <w:softHyphen/>
        <w:t>ние кабины стрелка и улучшить взлетно-посадочные характеристики самолета.</w:t>
      </w:r>
    </w:p>
    <w:p w14:paraId="496CDEF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появлением на фронте двухмест</w:t>
      </w:r>
      <w:r w:rsidRPr="00D03F3E">
        <w:rPr>
          <w:rFonts w:ascii="Times New Roman" w:hAnsi="Times New Roman"/>
          <w:color w:val="000000" w:themeColor="text1"/>
          <w:sz w:val="16"/>
          <w:szCs w:val="16"/>
        </w:rPr>
        <w:softHyphen/>
        <w:t>ных "Илов", истребители Люфтваффе старались производить заходы для ата</w:t>
      </w:r>
      <w:r w:rsidRPr="00D03F3E">
        <w:rPr>
          <w:rFonts w:ascii="Times New Roman" w:hAnsi="Times New Roman"/>
          <w:color w:val="000000" w:themeColor="text1"/>
          <w:sz w:val="16"/>
          <w:szCs w:val="16"/>
        </w:rPr>
        <w:softHyphen/>
        <w:t>ки на штурмовики снизу в хвост или снизу с боков, если, конечно, позволяла высота, в противном случае -сверху сбо</w:t>
      </w:r>
      <w:r w:rsidRPr="00D03F3E">
        <w:rPr>
          <w:rFonts w:ascii="Times New Roman" w:hAnsi="Times New Roman"/>
          <w:color w:val="000000" w:themeColor="text1"/>
          <w:sz w:val="16"/>
          <w:szCs w:val="16"/>
        </w:rPr>
        <w:softHyphen/>
        <w:t>ку, подводя пушечную трассу к фонарю летчика.</w:t>
      </w:r>
    </w:p>
    <w:p w14:paraId="70B23E6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Оценки, основанные на теории воз</w:t>
      </w:r>
      <w:r w:rsidRPr="00D03F3E">
        <w:rPr>
          <w:rFonts w:ascii="Times New Roman" w:hAnsi="Times New Roman"/>
          <w:color w:val="000000" w:themeColor="text1"/>
          <w:sz w:val="16"/>
          <w:szCs w:val="16"/>
        </w:rPr>
        <w:softHyphen/>
        <w:t>душной стрельбы и полигонных испытаниях эффективности действия германского стрелково-пушечного вооружения по штурмо</w:t>
      </w:r>
      <w:r w:rsidRPr="00D03F3E">
        <w:rPr>
          <w:rFonts w:ascii="Times New Roman" w:hAnsi="Times New Roman"/>
          <w:color w:val="000000" w:themeColor="text1"/>
          <w:sz w:val="16"/>
          <w:szCs w:val="16"/>
        </w:rPr>
        <w:softHyphen/>
        <w:t>вику Ил-2, показывают, что применительно к типовым условиям ве</w:t>
      </w:r>
      <w:r w:rsidRPr="00D03F3E">
        <w:rPr>
          <w:rFonts w:ascii="Times New Roman" w:hAnsi="Times New Roman"/>
          <w:color w:val="000000" w:themeColor="text1"/>
          <w:sz w:val="16"/>
          <w:szCs w:val="16"/>
        </w:rPr>
        <w:softHyphen/>
        <w:t>дения воздушных боев потенциальная вероят</w:t>
      </w:r>
      <w:r w:rsidRPr="00D03F3E">
        <w:rPr>
          <w:rFonts w:ascii="Times New Roman" w:hAnsi="Times New Roman"/>
          <w:color w:val="000000" w:themeColor="text1"/>
          <w:sz w:val="16"/>
          <w:szCs w:val="16"/>
        </w:rPr>
        <w:softHyphen/>
        <w:t>ность сбития Ил-2 с пу</w:t>
      </w:r>
      <w:r w:rsidRPr="00D03F3E">
        <w:rPr>
          <w:rFonts w:ascii="Times New Roman" w:hAnsi="Times New Roman"/>
          <w:color w:val="000000" w:themeColor="text1"/>
          <w:sz w:val="16"/>
          <w:szCs w:val="16"/>
        </w:rPr>
        <w:softHyphen/>
        <w:t>леметом УБТ со сторо</w:t>
      </w:r>
      <w:r w:rsidRPr="00D03F3E">
        <w:rPr>
          <w:rFonts w:ascii="Times New Roman" w:hAnsi="Times New Roman"/>
          <w:color w:val="000000" w:themeColor="text1"/>
          <w:sz w:val="16"/>
          <w:szCs w:val="16"/>
        </w:rPr>
        <w:softHyphen/>
        <w:t>ны задней полусферы истребителем BT109G-2 (трехточечный) в одной атаке могла составлять (летчик с отличной летной и стрелко</w:t>
      </w:r>
      <w:r w:rsidRPr="00D03F3E">
        <w:rPr>
          <w:rFonts w:ascii="Times New Roman" w:hAnsi="Times New Roman"/>
          <w:color w:val="000000" w:themeColor="text1"/>
          <w:sz w:val="16"/>
          <w:szCs w:val="16"/>
        </w:rPr>
        <w:softHyphen/>
        <w:t>вой подготовкой, а летчик-штурмовик не совершает противоистребительного ма</w:t>
      </w:r>
      <w:r w:rsidRPr="00D03F3E">
        <w:rPr>
          <w:rFonts w:ascii="Times New Roman" w:hAnsi="Times New Roman"/>
          <w:color w:val="000000" w:themeColor="text1"/>
          <w:sz w:val="16"/>
          <w:szCs w:val="16"/>
        </w:rPr>
        <w:softHyphen/>
        <w:t>невра) около 0,38, а пятиточечным Bf109G-2 - 0,65. В реальных же боевых условиях результативность летчиков была несколько хуже...</w:t>
      </w:r>
    </w:p>
    <w:p w14:paraId="011121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Поскольку воздушный стрелок Ил-2 был плохо забронирован, то вероятность его поражения огнем немецких истре</w:t>
      </w:r>
      <w:r w:rsidRPr="00D03F3E">
        <w:rPr>
          <w:rFonts w:ascii="Times New Roman" w:hAnsi="Times New Roman"/>
          <w:color w:val="000000" w:themeColor="text1"/>
          <w:sz w:val="16"/>
          <w:szCs w:val="16"/>
        </w:rPr>
        <w:softHyphen/>
        <w:t>бителей, как показывают оценки, была примерно в 2-2,5 раза выше, чем веро</w:t>
      </w:r>
      <w:r w:rsidRPr="00D03F3E">
        <w:rPr>
          <w:rFonts w:ascii="Times New Roman" w:hAnsi="Times New Roman"/>
          <w:color w:val="000000" w:themeColor="text1"/>
          <w:sz w:val="16"/>
          <w:szCs w:val="16"/>
        </w:rPr>
        <w:softHyphen/>
        <w:t>ятность сбития в этих же условиях за</w:t>
      </w:r>
      <w:r w:rsidRPr="00D03F3E">
        <w:rPr>
          <w:rFonts w:ascii="Times New Roman" w:hAnsi="Times New Roman"/>
          <w:color w:val="000000" w:themeColor="text1"/>
          <w:sz w:val="16"/>
          <w:szCs w:val="16"/>
        </w:rPr>
        <w:softHyphen/>
        <w:t>щищаемого им штурмовика.</w:t>
      </w:r>
    </w:p>
    <w:p w14:paraId="092EDB8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этой связи интересно отметить, что, как показывает анализ боевого опыта, соотношение потерь штурмовиков Ил-2, летчиков и воздушных стрелков от огня немецкой зенитной артиллерии практи</w:t>
      </w:r>
      <w:r w:rsidRPr="00D03F3E">
        <w:rPr>
          <w:rFonts w:ascii="Times New Roman" w:hAnsi="Times New Roman"/>
          <w:color w:val="000000" w:themeColor="text1"/>
          <w:sz w:val="16"/>
          <w:szCs w:val="16"/>
        </w:rPr>
        <w:softHyphen/>
        <w:t>чески на всем протяжении войны рав</w:t>
      </w:r>
      <w:r w:rsidRPr="00D03F3E">
        <w:rPr>
          <w:rFonts w:ascii="Times New Roman" w:hAnsi="Times New Roman"/>
          <w:color w:val="000000" w:themeColor="text1"/>
          <w:sz w:val="16"/>
          <w:szCs w:val="16"/>
        </w:rPr>
        <w:softHyphen/>
        <w:t>нялось 1:1:1 (6467).</w:t>
      </w:r>
    </w:p>
    <w:p w14:paraId="65A7922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6B8EE3" w14:textId="77777777" w:rsidR="00331B1B" w:rsidRPr="00D03F3E" w:rsidRDefault="00331B1B"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Style w:val="16"/>
          <w:rFonts w:ascii="Times New Roman" w:hAnsi="Times New Roman" w:cs="Times New Roman"/>
          <w:color w:val="0070C0"/>
          <w:spacing w:val="0"/>
          <w:u w:val="none"/>
        </w:rPr>
        <w:t>25 января 1943 г. на Кали</w:t>
      </w:r>
      <w:r w:rsidRPr="00D03F3E">
        <w:rPr>
          <w:rStyle w:val="16"/>
          <w:rFonts w:ascii="Times New Roman" w:hAnsi="Times New Roman" w:cs="Times New Roman"/>
          <w:color w:val="0070C0"/>
          <w:spacing w:val="0"/>
          <w:u w:val="none"/>
        </w:rPr>
        <w:softHyphen/>
        <w:t>нинском фронте в 800-м и 667-м шап 1-го шак Резерва Ставки ВГК закончились войсковые испытания 16 двухместных Ил-2 с задней стрелковой установкой ВУБ-3 с пулеметом УБТ завода №30, которые проходили с 30 октября 1942 г.</w:t>
      </w:r>
    </w:p>
    <w:p w14:paraId="71555FC5" w14:textId="77777777" w:rsidR="00331B1B" w:rsidRPr="00D03F3E" w:rsidRDefault="00331B1B"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Style w:val="16"/>
          <w:rFonts w:ascii="Times New Roman" w:hAnsi="Times New Roman" w:cs="Times New Roman"/>
          <w:color w:val="0070C0"/>
          <w:spacing w:val="0"/>
          <w:u w:val="none"/>
        </w:rPr>
        <w:t>Здесь следует сказать, что к началу боевых действий в частях 1-го шак уже имелось не</w:t>
      </w:r>
      <w:r w:rsidRPr="00D03F3E">
        <w:rPr>
          <w:rStyle w:val="16"/>
          <w:rFonts w:ascii="Times New Roman" w:hAnsi="Times New Roman" w:cs="Times New Roman"/>
          <w:color w:val="0070C0"/>
          <w:spacing w:val="0"/>
          <w:u w:val="none"/>
        </w:rPr>
        <w:softHyphen/>
        <w:t>которое количество Ил-2 с кабиной воздуш</w:t>
      </w:r>
      <w:r w:rsidRPr="00D03F3E">
        <w:rPr>
          <w:rStyle w:val="16"/>
          <w:rFonts w:ascii="Times New Roman" w:hAnsi="Times New Roman" w:cs="Times New Roman"/>
          <w:color w:val="0070C0"/>
          <w:spacing w:val="0"/>
          <w:u w:val="none"/>
        </w:rPr>
        <w:softHyphen/>
        <w:t>ного стрелка «фронтового варианта», переде</w:t>
      </w:r>
      <w:r w:rsidRPr="00D03F3E">
        <w:rPr>
          <w:rStyle w:val="16"/>
          <w:rFonts w:ascii="Times New Roman" w:hAnsi="Times New Roman" w:cs="Times New Roman"/>
          <w:color w:val="0070C0"/>
          <w:spacing w:val="0"/>
          <w:u w:val="none"/>
        </w:rPr>
        <w:softHyphen/>
        <w:t>ланных из одноместных самолетов. В кабине стрелка монтировался пулемет ШКАС с бое</w:t>
      </w:r>
      <w:r w:rsidRPr="00D03F3E">
        <w:rPr>
          <w:rStyle w:val="16"/>
          <w:rFonts w:ascii="Times New Roman" w:hAnsi="Times New Roman" w:cs="Times New Roman"/>
          <w:color w:val="0070C0"/>
          <w:spacing w:val="0"/>
          <w:u w:val="none"/>
        </w:rPr>
        <w:softHyphen/>
        <w:t>запасом 500 патронов. Для его установки ис</w:t>
      </w:r>
      <w:r w:rsidRPr="00D03F3E">
        <w:rPr>
          <w:rStyle w:val="16"/>
          <w:rFonts w:ascii="Times New Roman" w:hAnsi="Times New Roman" w:cs="Times New Roman"/>
          <w:color w:val="0070C0"/>
          <w:spacing w:val="0"/>
          <w:u w:val="none"/>
        </w:rPr>
        <w:softHyphen/>
        <w:t>пользовалось полутурельное кольцо от ВУБ-1 самолета Пе-2. Каждая эскадрилья корпуса имела по 2-3 двухместных Ил-2 с пулеметом ШКАС. Боевые вылеты такие штурмовики вы</w:t>
      </w:r>
      <w:r w:rsidRPr="00D03F3E">
        <w:rPr>
          <w:rStyle w:val="16"/>
          <w:rFonts w:ascii="Times New Roman" w:hAnsi="Times New Roman" w:cs="Times New Roman"/>
          <w:color w:val="0070C0"/>
          <w:spacing w:val="0"/>
          <w:u w:val="none"/>
        </w:rPr>
        <w:softHyphen/>
        <w:t>полняли совместно с Ил-2, оснащенными пу</w:t>
      </w:r>
      <w:r w:rsidRPr="00D03F3E">
        <w:rPr>
          <w:rStyle w:val="16"/>
          <w:rFonts w:ascii="Times New Roman" w:hAnsi="Times New Roman" w:cs="Times New Roman"/>
          <w:color w:val="0070C0"/>
          <w:spacing w:val="0"/>
          <w:u w:val="none"/>
        </w:rPr>
        <w:softHyphen/>
        <w:t>леметом УБТ.</w:t>
      </w:r>
    </w:p>
    <w:p w14:paraId="73480971" w14:textId="77777777" w:rsidR="00331B1B" w:rsidRPr="00D03F3E" w:rsidRDefault="00331B1B"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Style w:val="16"/>
          <w:rFonts w:ascii="Times New Roman" w:hAnsi="Times New Roman" w:cs="Times New Roman"/>
          <w:color w:val="0070C0"/>
          <w:spacing w:val="0"/>
          <w:u w:val="none"/>
        </w:rPr>
        <w:t>В материалах испытаний учтено 64 бое</w:t>
      </w:r>
      <w:r w:rsidRPr="00D03F3E">
        <w:rPr>
          <w:rStyle w:val="16"/>
          <w:rFonts w:ascii="Times New Roman" w:hAnsi="Times New Roman" w:cs="Times New Roman"/>
          <w:color w:val="0070C0"/>
          <w:spacing w:val="0"/>
          <w:u w:val="none"/>
        </w:rPr>
        <w:softHyphen/>
        <w:t>вых вылета Ил-2 с УБТ В восьми воздушных боях огнем стрелков было сбито семь истре</w:t>
      </w:r>
      <w:r w:rsidRPr="00D03F3E">
        <w:rPr>
          <w:rStyle w:val="16"/>
          <w:rFonts w:ascii="Times New Roman" w:hAnsi="Times New Roman" w:cs="Times New Roman"/>
          <w:color w:val="0070C0"/>
          <w:spacing w:val="0"/>
          <w:u w:val="none"/>
        </w:rPr>
        <w:softHyphen/>
        <w:t>бителей противника. Свои потери составили три самолета, один летчик и восемь (!) воз</w:t>
      </w:r>
      <w:r w:rsidRPr="00D03F3E">
        <w:rPr>
          <w:rStyle w:val="16"/>
          <w:rFonts w:ascii="Times New Roman" w:hAnsi="Times New Roman" w:cs="Times New Roman"/>
          <w:color w:val="0070C0"/>
          <w:spacing w:val="0"/>
          <w:u w:val="none"/>
        </w:rPr>
        <w:softHyphen/>
        <w:t>душных стрелков. Как правило, при полете группы на боевое задание ведущими и замы</w:t>
      </w:r>
      <w:r w:rsidRPr="00D03F3E">
        <w:rPr>
          <w:rStyle w:val="16"/>
          <w:rFonts w:ascii="Times New Roman" w:hAnsi="Times New Roman" w:cs="Times New Roman"/>
          <w:color w:val="0070C0"/>
          <w:spacing w:val="0"/>
          <w:u w:val="none"/>
        </w:rPr>
        <w:softHyphen/>
        <w:t>кающими назначались летчики, вылетавшие на двухместных Ил-2. На воздушных стрелков возлагалась задача</w:t>
      </w:r>
      <w:r w:rsidRPr="00D03F3E">
        <w:rPr>
          <w:rStyle w:val="800"/>
          <w:rFonts w:ascii="Times New Roman" w:hAnsi="Times New Roman" w:cs="Times New Roman"/>
          <w:i w:val="0"/>
          <w:iCs w:val="0"/>
          <w:color w:val="0070C0"/>
          <w:w w:val="100"/>
          <w:sz w:val="16"/>
          <w:szCs w:val="16"/>
        </w:rPr>
        <w:t xml:space="preserve"> «по осмотрительности и обороне группы в задней полусфере».</w:t>
      </w:r>
      <w:r w:rsidRPr="00D03F3E">
        <w:rPr>
          <w:rStyle w:val="16"/>
          <w:rFonts w:ascii="Times New Roman" w:hAnsi="Times New Roman" w:cs="Times New Roman"/>
          <w:color w:val="0070C0"/>
          <w:spacing w:val="0"/>
          <w:u w:val="none"/>
        </w:rPr>
        <w:t xml:space="preserve"> Такое расположение самолетов в строю повышало обороноспособность всей группы и способ</w:t>
      </w:r>
      <w:r w:rsidRPr="00D03F3E">
        <w:rPr>
          <w:rStyle w:val="16"/>
          <w:rFonts w:ascii="Times New Roman" w:hAnsi="Times New Roman" w:cs="Times New Roman"/>
          <w:color w:val="0070C0"/>
          <w:spacing w:val="0"/>
          <w:u w:val="none"/>
        </w:rPr>
        <w:softHyphen/>
        <w:t>ствовало успешному отражению нападения противника.</w:t>
      </w:r>
    </w:p>
    <w:p w14:paraId="2D9F1E13" w14:textId="77777777" w:rsidR="00331B1B" w:rsidRPr="00D03F3E" w:rsidRDefault="00331B1B"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Style w:val="16"/>
          <w:rFonts w:ascii="Times New Roman" w:hAnsi="Times New Roman" w:cs="Times New Roman"/>
          <w:color w:val="0070C0"/>
          <w:spacing w:val="0"/>
          <w:u w:val="none"/>
        </w:rPr>
        <w:t>Воздушные бои наглядно показали, что бронещиток стрелка носит формальный ха</w:t>
      </w:r>
      <w:r w:rsidRPr="00D03F3E">
        <w:rPr>
          <w:rStyle w:val="16"/>
          <w:rFonts w:ascii="Times New Roman" w:hAnsi="Times New Roman" w:cs="Times New Roman"/>
          <w:color w:val="0070C0"/>
          <w:spacing w:val="0"/>
          <w:u w:val="none"/>
        </w:rPr>
        <w:softHyphen/>
        <w:t>рактер, поскольку пробивается боеприпасами немецких авиапушек и крупнокалиберных пулеметов. Любой осколочный снаряд, уго</w:t>
      </w:r>
      <w:r w:rsidRPr="00D03F3E">
        <w:rPr>
          <w:rStyle w:val="16"/>
          <w:rFonts w:ascii="Times New Roman" w:hAnsi="Times New Roman" w:cs="Times New Roman"/>
          <w:color w:val="0070C0"/>
          <w:spacing w:val="0"/>
          <w:u w:val="none"/>
        </w:rPr>
        <w:softHyphen/>
        <w:t>дивший в кабину стрелка, если и не попадал в него, то разрывался на задней броне бронекорпуса и осколками поражал стрелка. Про осколки зенитных снарядов и говорить не приходится - их было много, и они прошивали кабину стрелка насквозь. По воспоминаниям ветеранов, если при встрече Ил-2 с немец</w:t>
      </w:r>
      <w:r w:rsidRPr="00D03F3E">
        <w:rPr>
          <w:rStyle w:val="16"/>
          <w:rFonts w:ascii="Times New Roman" w:hAnsi="Times New Roman" w:cs="Times New Roman"/>
          <w:color w:val="0070C0"/>
          <w:spacing w:val="0"/>
          <w:u w:val="none"/>
        </w:rPr>
        <w:softHyphen/>
        <w:t>кими истребителями велся воздушный бой, то обязательно одного-двух стрелков из состава группы (6-8 самолетов) привозили ранеными или убитыми.</w:t>
      </w:r>
    </w:p>
    <w:p w14:paraId="4C5199A4" w14:textId="77777777" w:rsidR="00331B1B" w:rsidRPr="00D03F3E" w:rsidRDefault="00331B1B"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Style w:val="16"/>
          <w:rFonts w:ascii="Times New Roman" w:hAnsi="Times New Roman" w:cs="Times New Roman"/>
          <w:color w:val="0070C0"/>
          <w:spacing w:val="0"/>
          <w:u w:val="none"/>
        </w:rPr>
        <w:t>Характерным в этом плане является воз</w:t>
      </w:r>
      <w:r w:rsidRPr="00D03F3E">
        <w:rPr>
          <w:rStyle w:val="16"/>
          <w:rFonts w:ascii="Times New Roman" w:hAnsi="Times New Roman" w:cs="Times New Roman"/>
          <w:color w:val="0070C0"/>
          <w:spacing w:val="0"/>
          <w:u w:val="none"/>
        </w:rPr>
        <w:softHyphen/>
        <w:t>душный бой, проведенный 14 декабря эки</w:t>
      </w:r>
      <w:r w:rsidRPr="00D03F3E">
        <w:rPr>
          <w:rStyle w:val="16"/>
          <w:rFonts w:ascii="Times New Roman" w:hAnsi="Times New Roman" w:cs="Times New Roman"/>
          <w:color w:val="0070C0"/>
          <w:spacing w:val="0"/>
          <w:u w:val="none"/>
        </w:rPr>
        <w:softHyphen/>
        <w:t>пажем в составе лейтенанта Шубина и воз</w:t>
      </w:r>
      <w:r w:rsidRPr="00D03F3E">
        <w:rPr>
          <w:rStyle w:val="16"/>
          <w:rFonts w:ascii="Times New Roman" w:hAnsi="Times New Roman" w:cs="Times New Roman"/>
          <w:color w:val="0070C0"/>
          <w:spacing w:val="0"/>
          <w:u w:val="none"/>
        </w:rPr>
        <w:softHyphen/>
        <w:t>душного стрелка Баранова из 800-го шап. В районе Белый их самолет был поврежден ог</w:t>
      </w:r>
      <w:r w:rsidRPr="00D03F3E">
        <w:rPr>
          <w:rStyle w:val="16"/>
          <w:rFonts w:ascii="Times New Roman" w:hAnsi="Times New Roman" w:cs="Times New Roman"/>
          <w:color w:val="0070C0"/>
          <w:spacing w:val="0"/>
          <w:u w:val="none"/>
        </w:rPr>
        <w:softHyphen/>
        <w:t xml:space="preserve">нем зенитной артиллерии и отстал от группы. На обратном пути, отражая атаки пары </w:t>
      </w:r>
      <w:r w:rsidRPr="00D03F3E">
        <w:rPr>
          <w:rStyle w:val="16"/>
          <w:rFonts w:ascii="Times New Roman" w:hAnsi="Times New Roman" w:cs="Times New Roman"/>
          <w:color w:val="0070C0"/>
          <w:spacing w:val="0"/>
          <w:u w:val="none"/>
          <w:lang w:val="en-US"/>
        </w:rPr>
        <w:t>Bf</w:t>
      </w:r>
      <w:r w:rsidRPr="00D03F3E">
        <w:rPr>
          <w:rStyle w:val="16"/>
          <w:rFonts w:ascii="Times New Roman" w:hAnsi="Times New Roman" w:cs="Times New Roman"/>
          <w:color w:val="0070C0"/>
          <w:spacing w:val="0"/>
          <w:u w:val="none"/>
        </w:rPr>
        <w:t>109, Баранов расстрелял весь боекомплект. Но пи</w:t>
      </w:r>
      <w:r w:rsidRPr="00D03F3E">
        <w:rPr>
          <w:rStyle w:val="16"/>
          <w:rFonts w:ascii="Times New Roman" w:hAnsi="Times New Roman" w:cs="Times New Roman"/>
          <w:color w:val="0070C0"/>
          <w:spacing w:val="0"/>
          <w:u w:val="none"/>
        </w:rPr>
        <w:softHyphen/>
        <w:t>лоты люфтваффе, получив отпор, ушли. В ходе боя Баранов вначале был ранен в ноги, а за</w:t>
      </w:r>
      <w:r w:rsidRPr="00D03F3E">
        <w:rPr>
          <w:rStyle w:val="16"/>
          <w:rFonts w:ascii="Times New Roman" w:hAnsi="Times New Roman" w:cs="Times New Roman"/>
          <w:color w:val="0070C0"/>
          <w:spacing w:val="0"/>
          <w:u w:val="none"/>
        </w:rPr>
        <w:softHyphen/>
        <w:t>тем получил несколько тяжелых осколочных ранений в результате разрыва снаряда на зад</w:t>
      </w:r>
      <w:r w:rsidRPr="00D03F3E">
        <w:rPr>
          <w:rStyle w:val="16"/>
          <w:rFonts w:ascii="Times New Roman" w:hAnsi="Times New Roman" w:cs="Times New Roman"/>
          <w:color w:val="0070C0"/>
          <w:spacing w:val="0"/>
          <w:u w:val="none"/>
        </w:rPr>
        <w:softHyphen/>
        <w:t>ней бронеспинке кабины летчика. Лейтенант Шубин сумел благополучно довести повре</w:t>
      </w:r>
      <w:r w:rsidRPr="00D03F3E">
        <w:rPr>
          <w:rStyle w:val="16"/>
          <w:rFonts w:ascii="Times New Roman" w:hAnsi="Times New Roman" w:cs="Times New Roman"/>
          <w:color w:val="0070C0"/>
          <w:spacing w:val="0"/>
          <w:u w:val="none"/>
        </w:rPr>
        <w:softHyphen/>
        <w:t>жденный штурмовик до своего аэродрома и совершил посадку.</w:t>
      </w:r>
    </w:p>
    <w:p w14:paraId="71800124" w14:textId="77777777" w:rsidR="00331B1B" w:rsidRPr="00D03F3E" w:rsidRDefault="00331B1B" w:rsidP="00D03F3E">
      <w:pPr>
        <w:shd w:val="clear" w:color="auto" w:fill="FFFFFF"/>
        <w:spacing w:after="0" w:line="240" w:lineRule="auto"/>
        <w:jc w:val="both"/>
        <w:rPr>
          <w:rFonts w:ascii="Times New Roman" w:hAnsi="Times New Roman"/>
          <w:color w:val="0070C0"/>
          <w:sz w:val="16"/>
          <w:szCs w:val="16"/>
        </w:rPr>
      </w:pPr>
      <w:r w:rsidRPr="00D03F3E">
        <w:rPr>
          <w:rStyle w:val="16"/>
          <w:rFonts w:ascii="Times New Roman" w:hAnsi="Times New Roman" w:cs="Times New Roman"/>
          <w:color w:val="0070C0"/>
          <w:spacing w:val="0"/>
          <w:u w:val="none"/>
        </w:rPr>
        <w:t>17 декабря сержант Чура, также из 800-го шап (воздушный стрелок - старший сержант Михайловский), при выполнении удара в со</w:t>
      </w:r>
      <w:r w:rsidRPr="00D03F3E">
        <w:rPr>
          <w:rStyle w:val="16"/>
          <w:rFonts w:ascii="Times New Roman" w:hAnsi="Times New Roman" w:cs="Times New Roman"/>
          <w:color w:val="0070C0"/>
          <w:spacing w:val="0"/>
          <w:u w:val="none"/>
        </w:rPr>
        <w:softHyphen/>
        <w:t>ставе группы из восьми Ил-2 после атаки цели потерял группу из виду. Почти сразу же его са</w:t>
      </w:r>
      <w:r w:rsidRPr="00D03F3E">
        <w:rPr>
          <w:rStyle w:val="16"/>
          <w:rFonts w:ascii="Times New Roman" w:hAnsi="Times New Roman" w:cs="Times New Roman"/>
          <w:color w:val="0070C0"/>
          <w:spacing w:val="0"/>
          <w:u w:val="none"/>
        </w:rPr>
        <w:softHyphen/>
        <w:t>молет настиг одиночный «мессершмитт». Чура ушел на бреющий полет и увеличил скорость. Однако это помогло мало. Первой же пуле- метно-пушечной очередью противника был убит старший сержант Михайловский. А «мес</w:t>
      </w:r>
      <w:r w:rsidRPr="00D03F3E">
        <w:rPr>
          <w:rStyle w:val="16"/>
          <w:rFonts w:ascii="Times New Roman" w:hAnsi="Times New Roman" w:cs="Times New Roman"/>
          <w:color w:val="0070C0"/>
          <w:spacing w:val="0"/>
          <w:u w:val="none"/>
        </w:rPr>
        <w:softHyphen/>
        <w:t>сер», «повиснув на хвосте» самолета Чуры, повторными атаками вывел из строя мотор и радиатор Ил-2. При вынужденной посадке на фюзеляж самолет полностью разрушился. Лет</w:t>
      </w:r>
      <w:r w:rsidRPr="00D03F3E">
        <w:rPr>
          <w:rStyle w:val="16"/>
          <w:rFonts w:ascii="Times New Roman" w:hAnsi="Times New Roman" w:cs="Times New Roman"/>
          <w:color w:val="0070C0"/>
          <w:spacing w:val="0"/>
          <w:u w:val="none"/>
        </w:rPr>
        <w:softHyphen/>
        <w:t>чик остался цел благодаря бронекоробке.</w:t>
      </w:r>
    </w:p>
    <w:p w14:paraId="56B8B6BE" w14:textId="77777777" w:rsidR="00331B1B" w:rsidRPr="00D03F3E" w:rsidRDefault="00331B1B"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По мнению воздушных стрелков, габариты кабины и конструкция сидения не позволяли им вести прицельный огонь. В боевой обста</w:t>
      </w:r>
      <w:r w:rsidRPr="00D03F3E">
        <w:rPr>
          <w:rFonts w:ascii="Times New Roman" w:hAnsi="Times New Roman" w:cs="Times New Roman"/>
          <w:color w:val="0070C0"/>
          <w:sz w:val="16"/>
          <w:szCs w:val="16"/>
        </w:rPr>
        <w:softHyphen/>
        <w:t>новке стрелок вынужден был находиться в по</w:t>
      </w:r>
      <w:r w:rsidRPr="00D03F3E">
        <w:rPr>
          <w:rFonts w:ascii="Times New Roman" w:hAnsi="Times New Roman" w:cs="Times New Roman"/>
          <w:color w:val="0070C0"/>
          <w:sz w:val="16"/>
          <w:szCs w:val="16"/>
        </w:rPr>
        <w:softHyphen/>
        <w:t>лусогнутом положении, что очень стесняло его действия и утомляло. При этом углы обстрела пулемета УБТ оказались</w:t>
      </w:r>
      <w:r w:rsidRPr="00D03F3E">
        <w:rPr>
          <w:rStyle w:val="800"/>
          <w:rFonts w:ascii="Times New Roman" w:hAnsi="Times New Roman" w:cs="Times New Roman"/>
          <w:i w:val="0"/>
          <w:iCs w:val="0"/>
          <w:color w:val="0070C0"/>
          <w:w w:val="100"/>
          <w:sz w:val="16"/>
          <w:szCs w:val="16"/>
        </w:rPr>
        <w:t xml:space="preserve"> «слишком малы и не обеспечивали достаточной защиты задней по</w:t>
      </w:r>
      <w:r w:rsidRPr="00D03F3E">
        <w:rPr>
          <w:rStyle w:val="800"/>
          <w:rFonts w:ascii="Times New Roman" w:hAnsi="Times New Roman" w:cs="Times New Roman"/>
          <w:i w:val="0"/>
          <w:iCs w:val="0"/>
          <w:color w:val="0070C0"/>
          <w:w w:val="100"/>
          <w:sz w:val="16"/>
          <w:szCs w:val="16"/>
        </w:rPr>
        <w:softHyphen/>
        <w:t>лусферы и взаимной огневой поддержки между самолетами при действии в составе группы».</w:t>
      </w:r>
    </w:p>
    <w:p w14:paraId="074769D3" w14:textId="77777777" w:rsidR="00331B1B" w:rsidRPr="00D03F3E" w:rsidRDefault="00331B1B" w:rsidP="00D03F3E">
      <w:pPr>
        <w:pStyle w:val="28"/>
        <w:shd w:val="clear" w:color="auto" w:fill="auto"/>
        <w:spacing w:before="0" w:line="240" w:lineRule="auto"/>
        <w:jc w:val="both"/>
        <w:rPr>
          <w:rFonts w:ascii="Times New Roman" w:hAnsi="Times New Roman" w:cs="Times New Roman"/>
          <w:color w:val="0070C0"/>
          <w:sz w:val="16"/>
          <w:szCs w:val="16"/>
        </w:rPr>
      </w:pPr>
      <w:r w:rsidRPr="00D03F3E">
        <w:rPr>
          <w:rStyle w:val="2750"/>
          <w:rFonts w:ascii="Times New Roman" w:hAnsi="Times New Roman" w:cs="Times New Roman"/>
          <w:i w:val="0"/>
          <w:iCs w:val="0"/>
          <w:color w:val="0070C0"/>
          <w:w w:val="100"/>
          <w:sz w:val="16"/>
          <w:szCs w:val="16"/>
        </w:rPr>
        <w:t xml:space="preserve">Установку прицела К8-Т слева от пулемета признали неудачной, так как он ограничивал </w:t>
      </w:r>
      <w:r w:rsidRPr="00D03F3E">
        <w:rPr>
          <w:rFonts w:ascii="Times New Roman" w:hAnsi="Times New Roman" w:cs="Times New Roman"/>
          <w:color w:val="0070C0"/>
          <w:sz w:val="16"/>
          <w:szCs w:val="16"/>
        </w:rPr>
        <w:t>«ведение прицельного огня в правую сторону до 20-23°, при дальнейшем увеличении угла стрельба производится неприцельно».</w:t>
      </w:r>
    </w:p>
    <w:p w14:paraId="59B36C1D" w14:textId="77777777" w:rsidR="00331B1B" w:rsidRPr="00D03F3E" w:rsidRDefault="00331B1B"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Пилотирование самолетом заметно усложнилось, особенно при выполнении ви</w:t>
      </w:r>
      <w:r w:rsidRPr="00D03F3E">
        <w:rPr>
          <w:rFonts w:ascii="Times New Roman" w:hAnsi="Times New Roman" w:cs="Times New Roman"/>
          <w:color w:val="0070C0"/>
          <w:sz w:val="16"/>
          <w:szCs w:val="16"/>
        </w:rPr>
        <w:softHyphen/>
        <w:t>ражей и на боевых разворотах, которые Ил-2 выполнял с колебаниями по продольной оси. Отмечались большие нагрузки на рули при перекладывании штурмовика из виража в вираж. На глубоких виражах имелась тенден</w:t>
      </w:r>
      <w:r w:rsidRPr="00D03F3E">
        <w:rPr>
          <w:rFonts w:ascii="Times New Roman" w:hAnsi="Times New Roman" w:cs="Times New Roman"/>
          <w:color w:val="0070C0"/>
          <w:sz w:val="16"/>
          <w:szCs w:val="16"/>
        </w:rPr>
        <w:softHyphen/>
        <w:t>ция к срыву самолета в штопор. Пикировать нужно было осторожно, так как при достиже</w:t>
      </w:r>
      <w:r w:rsidRPr="00D03F3E">
        <w:rPr>
          <w:rFonts w:ascii="Times New Roman" w:hAnsi="Times New Roman" w:cs="Times New Roman"/>
          <w:color w:val="0070C0"/>
          <w:sz w:val="16"/>
          <w:szCs w:val="16"/>
        </w:rPr>
        <w:softHyphen/>
        <w:t>нии скорости 440 км/ч самолет становился трудноуправляемым, норовил увеличить угол пикирования, а при резком выводе стремился к кабрированию с последующим срывом в штопор. В то же время при плавном выводе из пикирования увеличивалась просадка Ил- 2, что автоматически увеличивало дистанцию прекращения огня. То есть летчик терял воз</w:t>
      </w:r>
      <w:r w:rsidRPr="00D03F3E">
        <w:rPr>
          <w:rFonts w:ascii="Times New Roman" w:hAnsi="Times New Roman" w:cs="Times New Roman"/>
          <w:color w:val="0070C0"/>
          <w:sz w:val="16"/>
          <w:szCs w:val="16"/>
        </w:rPr>
        <w:softHyphen/>
        <w:t>можность вести огонь на самых эффективных дальностях стрельбы.</w:t>
      </w:r>
    </w:p>
    <w:p w14:paraId="534771AC" w14:textId="77777777" w:rsidR="00331B1B" w:rsidRPr="00D03F3E" w:rsidRDefault="00331B1B" w:rsidP="00D03F3E">
      <w:pPr>
        <w:pStyle w:val="28"/>
        <w:shd w:val="clear" w:color="auto" w:fill="auto"/>
        <w:spacing w:before="0" w:line="240" w:lineRule="auto"/>
        <w:jc w:val="both"/>
        <w:rPr>
          <w:rFonts w:ascii="Times New Roman" w:hAnsi="Times New Roman" w:cs="Times New Roman"/>
          <w:color w:val="0070C0"/>
          <w:sz w:val="16"/>
          <w:szCs w:val="16"/>
        </w:rPr>
      </w:pPr>
      <w:r w:rsidRPr="00D03F3E">
        <w:rPr>
          <w:rStyle w:val="2750"/>
          <w:rFonts w:ascii="Times New Roman" w:hAnsi="Times New Roman" w:cs="Times New Roman"/>
          <w:i w:val="0"/>
          <w:iCs w:val="0"/>
          <w:color w:val="0070C0"/>
          <w:w w:val="100"/>
          <w:sz w:val="16"/>
          <w:szCs w:val="16"/>
        </w:rPr>
        <w:t>По мнению командного и летного состава полков 1-го шак,</w:t>
      </w:r>
      <w:r w:rsidRPr="00D03F3E">
        <w:rPr>
          <w:rFonts w:ascii="Times New Roman" w:hAnsi="Times New Roman" w:cs="Times New Roman"/>
          <w:color w:val="0070C0"/>
          <w:sz w:val="16"/>
          <w:szCs w:val="16"/>
        </w:rPr>
        <w:t xml:space="preserve"> «применение двухместных Ил-2 /.../ во многом повышает самооборону штурмовиков, делает их независимыми от со</w:t>
      </w:r>
      <w:r w:rsidRPr="00D03F3E">
        <w:rPr>
          <w:rFonts w:ascii="Times New Roman" w:hAnsi="Times New Roman" w:cs="Times New Roman"/>
          <w:color w:val="0070C0"/>
          <w:sz w:val="16"/>
          <w:szCs w:val="16"/>
        </w:rPr>
        <w:softHyphen/>
        <w:t xml:space="preserve">провождения истребителями, и 100% переход полков к боевым действиям на двухместном Ил-2 является неотложной необходимостью». </w:t>
      </w:r>
      <w:r w:rsidRPr="00D03F3E">
        <w:rPr>
          <w:rStyle w:val="2750"/>
          <w:rFonts w:ascii="Times New Roman" w:hAnsi="Times New Roman" w:cs="Times New Roman"/>
          <w:i w:val="0"/>
          <w:iCs w:val="0"/>
          <w:color w:val="0070C0"/>
          <w:w w:val="100"/>
          <w:sz w:val="16"/>
          <w:szCs w:val="16"/>
        </w:rPr>
        <w:t>По оценкам офицеров оперативного отдела штаба корпуса, при массовом поступлении в части Ил-2 с воздушным стрелком потери от атак истребителей люфтваффе должны были сократиться примерно на 20-30%.</w:t>
      </w:r>
    </w:p>
    <w:p w14:paraId="76E0A4DA" w14:textId="77777777" w:rsidR="00331B1B" w:rsidRPr="00D03F3E" w:rsidRDefault="00331B1B"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В акте НИИ ВВС от 3 марта 1943 г. по ре</w:t>
      </w:r>
      <w:r w:rsidRPr="00D03F3E">
        <w:rPr>
          <w:rFonts w:ascii="Times New Roman" w:hAnsi="Times New Roman" w:cs="Times New Roman"/>
          <w:color w:val="0070C0"/>
          <w:sz w:val="16"/>
          <w:szCs w:val="16"/>
        </w:rPr>
        <w:softHyphen/>
        <w:t>зультатам войсковых испытаний Ил-2 с ог</w:t>
      </w:r>
      <w:r w:rsidRPr="00D03F3E">
        <w:rPr>
          <w:rFonts w:ascii="Times New Roman" w:hAnsi="Times New Roman" w:cs="Times New Roman"/>
          <w:color w:val="0070C0"/>
          <w:sz w:val="16"/>
          <w:szCs w:val="16"/>
        </w:rPr>
        <w:softHyphen/>
        <w:t>невой точкой завода №30 были записаны требования улучшить</w:t>
      </w:r>
      <w:r w:rsidRPr="00D03F3E">
        <w:rPr>
          <w:rStyle w:val="800"/>
          <w:rFonts w:ascii="Times New Roman" w:hAnsi="Times New Roman" w:cs="Times New Roman"/>
          <w:i w:val="0"/>
          <w:iCs w:val="0"/>
          <w:color w:val="0070C0"/>
          <w:w w:val="100"/>
          <w:sz w:val="16"/>
          <w:szCs w:val="16"/>
        </w:rPr>
        <w:t xml:space="preserve"> «бронирование кабины стрелка, установив броню с боков и снизу и усилив бронирование сзади сверху»,</w:t>
      </w:r>
      <w:r w:rsidRPr="00D03F3E">
        <w:rPr>
          <w:rFonts w:ascii="Times New Roman" w:hAnsi="Times New Roman" w:cs="Times New Roman"/>
          <w:color w:val="0070C0"/>
          <w:sz w:val="16"/>
          <w:szCs w:val="16"/>
        </w:rPr>
        <w:t xml:space="preserve"> увеличить углы обстрела ВУБ-3 до 50-60° в стороны и вверх и до 15-20° вниз</w:t>
      </w:r>
      <w:r w:rsidRPr="00D03F3E">
        <w:rPr>
          <w:rStyle w:val="800"/>
          <w:rFonts w:ascii="Times New Roman" w:hAnsi="Times New Roman" w:cs="Times New Roman"/>
          <w:i w:val="0"/>
          <w:iCs w:val="0"/>
          <w:color w:val="0070C0"/>
          <w:w w:val="100"/>
          <w:sz w:val="16"/>
          <w:szCs w:val="16"/>
        </w:rPr>
        <w:t xml:space="preserve"> («по возможности»), </w:t>
      </w:r>
      <w:r w:rsidRPr="00D03F3E">
        <w:rPr>
          <w:rFonts w:ascii="Times New Roman" w:hAnsi="Times New Roman" w:cs="Times New Roman"/>
          <w:color w:val="0070C0"/>
          <w:sz w:val="16"/>
          <w:szCs w:val="16"/>
        </w:rPr>
        <w:t>улучшить взлетно-посадочные и пилотажные качества самолета, а также устранить дефекты установки и оборудования кабины стрелка (19878).</w:t>
      </w:r>
    </w:p>
    <w:p w14:paraId="23214971" w14:textId="77777777" w:rsidR="00331B1B" w:rsidRPr="00D03F3E" w:rsidRDefault="00331B1B" w:rsidP="00D03F3E">
      <w:pPr>
        <w:pStyle w:val="11c"/>
        <w:shd w:val="clear" w:color="auto" w:fill="auto"/>
        <w:spacing w:after="0" w:line="240" w:lineRule="auto"/>
        <w:jc w:val="both"/>
        <w:rPr>
          <w:rFonts w:ascii="Times New Roman" w:hAnsi="Times New Roman" w:cs="Times New Roman"/>
          <w:color w:val="0070C0"/>
          <w:sz w:val="16"/>
          <w:szCs w:val="16"/>
        </w:rPr>
      </w:pPr>
    </w:p>
    <w:p w14:paraId="689F6AB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25 января 1943 г. на Калининском фронте в 800-м и 667-м шап 1-го шак Резерва Ставки ВГК закончились войсковые испытания 16 двухместных Ил-2 с задней </w:t>
      </w:r>
      <w:r w:rsidRPr="00D03F3E">
        <w:rPr>
          <w:rFonts w:ascii="Times New Roman" w:hAnsi="Times New Roman"/>
          <w:color w:val="000000" w:themeColor="text1"/>
          <w:sz w:val="16"/>
          <w:szCs w:val="16"/>
        </w:rPr>
        <w:lastRenderedPageBreak/>
        <w:t>стрелковой установкой ВУБ-3 с пулеметом УБТ завода №30, которые проходили с 30 октября 1942 г.</w:t>
      </w:r>
    </w:p>
    <w:p w14:paraId="46CD4CE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материалах испытаний учтено 64 боевых вылета. В восьми воздушных боях огнем стрелков было сбито семь истребителей противника. Свои потери составили 3 Ил-2, один летчик и восемь воздушных стрелков.</w:t>
      </w:r>
    </w:p>
    <w:p w14:paraId="4D0C787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правило, при полете группы на боевое задание ведущими и замыкающими назначались летчики, вылетавшие на двухместных самолетах Ил-2. На воздушных стрелков возлагалась задача "по осмотрительности и обороне группы в задней полусфере". Такое расположение самолетов в строю повысило обороноспособность всей группы в целом и приводило к успешному отражению нападения противника.</w:t>
      </w:r>
    </w:p>
    <w:p w14:paraId="72761D5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Воздушные бои показали, что бронещи- ток стрелка носит формальный характер, поскольку пробивается боеприпасами немецких авиапушек и крупнокалиберных пулеметов.</w:t>
      </w:r>
    </w:p>
    <w:p w14:paraId="3850373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Любой осколочный снаряд, попавший в кабину стрелка, если не попадал в него, то разрывался на задней броне бронекорпуса, и осколками поражал стрелка. Про осколки зенитных снарядов и говорить не приходится - их было много, и они прошивали кабину стрелка с бортов насквозь.</w:t>
      </w:r>
    </w:p>
    <w:p w14:paraId="78643EF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воспоминаниям ветеранов, если была встреча с немецкими истребителями, и велся воздушный бой, то обязательно одного- двух стрелков из состава группы (6-8 самолетов) привозили ранеными или убитыми.</w:t>
      </w:r>
    </w:p>
    <w:p w14:paraId="38D10DE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мнению воздушных стрелков, габариты кабины и конструкция сидения не позволяли вести прицельный огонь. В боевой обстановке стрелок вынужден был находиться в полусогнутом положении, "что очень стесняет действия и утомляет его". При этом углы обстрела пулемета УБТ оказались "слишком малы и не обеспечивали достаточной защиты задней полусферы и взаимной огневой поддержки между самолетами при действии в составе группы".</w:t>
      </w:r>
    </w:p>
    <w:p w14:paraId="470E63C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Пилотирование требовало от летчиков повышенного внимания, особенно при выполнении виражей и на боевых разворотах, которые Ил-2 выполнял с колебаниями по продольной оси. Отмечались большие нагрузки на рули при перекладывании штурмовика из виража в вираж. При выполнении глубоких виражей и при резком выводе из пикирования наблюдалась тенденция к срыву самолета в штопор. Пикировать нужно было осторожно, так как при достижении скорости 440 км/ч самолет становился трудноуправляемым и норовил увеличить угол пикирования.</w:t>
      </w:r>
    </w:p>
    <w:p w14:paraId="0E15B5F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Летный состав требовал увеличить углы обстрела пулемета, усилить бронирование кабины стрелка, улучшить взлетно-посадочные и пилотажные качества самолета.</w:t>
      </w:r>
    </w:p>
    <w:p w14:paraId="71F35A5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Здесь следует сказать, что в частях 1-го шак одновременно с двухместными Ил-2, оборудованными заводскими установками ВУБ-3, применялись Ил-2 с кабиной воздушного стрелка, переделанные из одноместных силами технического состава. В кабине стрелка устанавливался пулемет ШКАС с боезапасом 500 патронов. При этом для установки пулемета использовалось полуту- рельное кольцо установки ВУБ-1 от самолета Пе-2. В каждой эскадрилье корпуса имелось по два-три таких штурмовика.</w:t>
      </w:r>
    </w:p>
    <w:p w14:paraId="1FDD949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мнению командного состава 1-го шак после массового поступления в части модифицированных Ил-2 с воздушным стрелком потери штурмовиков от атак истребителей Люфтваффе должны сократиться примерно на 20-30% (12020).</w:t>
      </w:r>
    </w:p>
    <w:p w14:paraId="129B69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2B8095" w14:textId="77777777" w:rsidR="006A5B2A" w:rsidRPr="00D03F3E" w:rsidRDefault="006A5B2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состоянию на 25 января 1943 в ходе войсковых испытаний Ил-2 Ш-37 произошло 123 от</w:t>
      </w:r>
      <w:r w:rsidRPr="00D03F3E">
        <w:rPr>
          <w:color w:val="000000" w:themeColor="text1"/>
          <w:sz w:val="16"/>
          <w:szCs w:val="16"/>
        </w:rPr>
        <w:softHyphen/>
        <w:t>каза в работе пушек и 6 поломок, не приведших к задержкам в стрельбе. Отказы в работе пушек составляют 4,17% к общему настрелу за этот пери</w:t>
      </w:r>
      <w:r w:rsidRPr="00D03F3E">
        <w:rPr>
          <w:color w:val="000000" w:themeColor="text1"/>
          <w:sz w:val="16"/>
          <w:szCs w:val="16"/>
        </w:rPr>
        <w:softHyphen/>
        <w:t>од, в то время как «по техническим условиям для оружия допускается 0,2% задержек на полную жи</w:t>
      </w:r>
      <w:r w:rsidRPr="00D03F3E">
        <w:rPr>
          <w:color w:val="000000" w:themeColor="text1"/>
          <w:sz w:val="16"/>
          <w:szCs w:val="16"/>
        </w:rPr>
        <w:softHyphen/>
        <w:t>вучесть пушек».</w:t>
      </w:r>
    </w:p>
    <w:p w14:paraId="72F0C498" w14:textId="77777777" w:rsidR="006A5B2A" w:rsidRPr="00D03F3E" w:rsidRDefault="006A5B2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Если из всех задержек исключить задержки по вине установок и по вине обслуживающего пер</w:t>
      </w:r>
      <w:r w:rsidRPr="00D03F3E">
        <w:rPr>
          <w:color w:val="000000" w:themeColor="text1"/>
          <w:sz w:val="16"/>
          <w:szCs w:val="16"/>
        </w:rPr>
        <w:softHyphen/>
        <w:t>сонала, то остается 104 задержки, что составляет 3,52% к настрелу. За время испытаний произошло 43 поломки деталей пушек, или 1,46% к настрелу (то есть 1 поломка примерно на 70 выстрелов). Ос</w:t>
      </w:r>
      <w:r w:rsidRPr="00D03F3E">
        <w:rPr>
          <w:color w:val="000000" w:themeColor="text1"/>
          <w:sz w:val="16"/>
          <w:szCs w:val="16"/>
        </w:rPr>
        <w:softHyphen/>
        <w:t>новные поломки следующие: ударника — 6, план</w:t>
      </w:r>
      <w:r w:rsidRPr="00D03F3E">
        <w:rPr>
          <w:color w:val="000000" w:themeColor="text1"/>
          <w:sz w:val="16"/>
          <w:szCs w:val="16"/>
        </w:rPr>
        <w:softHyphen/>
        <w:t>ки затвора — 4, бойка — 8, направляющей втулки ударника — 5, трещина в затыльнике — 5, непо</w:t>
      </w:r>
      <w:r w:rsidRPr="00D03F3E">
        <w:rPr>
          <w:color w:val="000000" w:themeColor="text1"/>
          <w:sz w:val="16"/>
          <w:szCs w:val="16"/>
        </w:rPr>
        <w:softHyphen/>
        <w:t>садка на шептало — 20, неотдача — 21. При этом, например, пушка зав. № Г-109 при 171 выстреле имела 2 поломки ударника, «то есть 5000 выстре</w:t>
      </w:r>
      <w:r w:rsidRPr="00D03F3E">
        <w:rPr>
          <w:color w:val="000000" w:themeColor="text1"/>
          <w:sz w:val="16"/>
          <w:szCs w:val="16"/>
        </w:rPr>
        <w:softHyphen/>
        <w:t>лов потребовало бы 59 ударников».</w:t>
      </w:r>
    </w:p>
    <w:p w14:paraId="19B2EDC9" w14:textId="77777777" w:rsidR="006A5B2A" w:rsidRPr="00D03F3E" w:rsidRDefault="006A5B2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 на аэро</w:t>
      </w:r>
      <w:r w:rsidRPr="00D03F3E">
        <w:rPr>
          <w:color w:val="000000" w:themeColor="text1"/>
          <w:sz w:val="16"/>
          <w:szCs w:val="16"/>
        </w:rPr>
        <w:softHyphen/>
        <w:t>дром в Вихлянцево. Соответственно, бригада спе</w:t>
      </w:r>
      <w:r w:rsidRPr="00D03F3E">
        <w:rPr>
          <w:color w:val="000000" w:themeColor="text1"/>
          <w:sz w:val="16"/>
          <w:szCs w:val="16"/>
        </w:rPr>
        <w:softHyphen/>
        <w:t>циалистов от ОКБ-15 не могла оперативно устра</w:t>
      </w:r>
      <w:r w:rsidRPr="00D03F3E">
        <w:rPr>
          <w:color w:val="000000" w:themeColor="text1"/>
          <w:sz w:val="16"/>
          <w:szCs w:val="16"/>
        </w:rPr>
        <w:softHyphen/>
        <w:t>нять отказы в работе и поломки пушек.</w:t>
      </w:r>
    </w:p>
    <w:p w14:paraId="00590786" w14:textId="77777777" w:rsidR="006A5B2A" w:rsidRPr="00D03F3E" w:rsidRDefault="006A5B2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Очевидно, все «это нарушало нормальную бое</w:t>
      </w:r>
      <w:r w:rsidRPr="00D03F3E">
        <w:rPr>
          <w:color w:val="000000" w:themeColor="text1"/>
          <w:sz w:val="16"/>
          <w:szCs w:val="16"/>
        </w:rPr>
        <w:softHyphen/>
        <w:t>вую работу полка, самолеты приходилось из-за не</w:t>
      </w:r>
      <w:r w:rsidRPr="00D03F3E">
        <w:rPr>
          <w:color w:val="000000" w:themeColor="text1"/>
          <w:sz w:val="16"/>
          <w:szCs w:val="16"/>
        </w:rPr>
        <w:softHyphen/>
        <w:t>исправности пушек отставлять от боевых вылетов или посылать на задания с одной неисправной пушкой или, при обеих неисправных пушках, толь</w:t>
      </w:r>
      <w:r w:rsidRPr="00D03F3E">
        <w:rPr>
          <w:color w:val="000000" w:themeColor="text1"/>
          <w:sz w:val="16"/>
          <w:szCs w:val="16"/>
        </w:rPr>
        <w:softHyphen/>
        <w:t>ко с остальным вооружением».</w:t>
      </w:r>
    </w:p>
    <w:p w14:paraId="72824870" w14:textId="77777777" w:rsidR="006A5B2A" w:rsidRPr="00D03F3E" w:rsidRDefault="006A5B2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«Большое количество поломок, задержек и от</w:t>
      </w:r>
      <w:r w:rsidRPr="00D03F3E">
        <w:rPr>
          <w:color w:val="000000" w:themeColor="text1"/>
          <w:sz w:val="16"/>
          <w:szCs w:val="16"/>
        </w:rPr>
        <w:softHyphen/>
        <w:t>казов в работе пушек вызвало у летчиков неприят</w:t>
      </w:r>
      <w:r w:rsidRPr="00D03F3E">
        <w:rPr>
          <w:color w:val="000000" w:themeColor="text1"/>
          <w:sz w:val="16"/>
          <w:szCs w:val="16"/>
        </w:rPr>
        <w:softHyphen/>
        <w:t>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А. Г. Тишевский.</w:t>
      </w:r>
    </w:p>
    <w:p w14:paraId="0B21E9B4" w14:textId="77777777" w:rsidR="006A5B2A" w:rsidRPr="00D03F3E" w:rsidRDefault="006A5B2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то же время «отзывы летчиков о работе пушек в основном сводятся к тому, что при безотказной работе пушки являются мощным и грозным ору</w:t>
      </w:r>
      <w:r w:rsidRPr="00D03F3E">
        <w:rPr>
          <w:color w:val="000000" w:themeColor="text1"/>
          <w:sz w:val="16"/>
          <w:szCs w:val="16"/>
        </w:rPr>
        <w:softHyphen/>
        <w:t>жием».</w:t>
      </w:r>
    </w:p>
    <w:p w14:paraId="2F0F4761" w14:textId="77777777" w:rsidR="006A5B2A" w:rsidRPr="00D03F3E" w:rsidRDefault="006A5B2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своих донесениях летчики отмечали, что «са</w:t>
      </w:r>
      <w:r w:rsidRPr="00D03F3E">
        <w:rPr>
          <w:color w:val="000000" w:themeColor="text1"/>
          <w:sz w:val="16"/>
          <w:szCs w:val="16"/>
        </w:rPr>
        <w:softHyphen/>
        <w:t>молет Ил-2 с пушками 37 мм изменил свои качества по сравнению с серийным самолетом». Разбег при взлете увеличился на 150—170 м, пробег при по</w:t>
      </w:r>
      <w:r w:rsidRPr="00D03F3E">
        <w:rPr>
          <w:color w:val="000000" w:themeColor="text1"/>
          <w:sz w:val="16"/>
          <w:szCs w:val="16"/>
        </w:rPr>
        <w:softHyphen/>
        <w:t>садке — на 200 м. Максимальные скорости полета при выполнении боевых заданий не превышали 320—330 км/ч. Самолет стал более инертен, труд</w:t>
      </w:r>
      <w:r w:rsidRPr="00D03F3E">
        <w:rPr>
          <w:color w:val="000000" w:themeColor="text1"/>
          <w:sz w:val="16"/>
          <w:szCs w:val="16"/>
        </w:rPr>
        <w:softHyphen/>
        <w:t>нее управляем. Плохо держится в строю при ско</w:t>
      </w:r>
      <w:r w:rsidRPr="00D03F3E">
        <w:rPr>
          <w:color w:val="000000" w:themeColor="text1"/>
          <w:sz w:val="16"/>
          <w:szCs w:val="16"/>
        </w:rPr>
        <w:softHyphen/>
        <w:t>ростях около 250—260 км/ч и ниже. Хорошо дер</w:t>
      </w:r>
      <w:r w:rsidRPr="00D03F3E">
        <w:rPr>
          <w:color w:val="000000" w:themeColor="text1"/>
          <w:sz w:val="16"/>
          <w:szCs w:val="16"/>
        </w:rPr>
        <w:softHyphen/>
        <w:t>жится в строю только при скоростях 280—300 км/ч и выше. Взлет затруднен тем, что самолет делает просадку при наборе высоты.</w:t>
      </w:r>
    </w:p>
    <w:p w14:paraId="7832156C" w14:textId="77777777" w:rsidR="006A5B2A" w:rsidRPr="00D03F3E" w:rsidRDefault="006A5B2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скоростях полета 250 км/ч «прицельную стрельбу из пушек вести трудно из-за сильной ви</w:t>
      </w:r>
      <w:r w:rsidRPr="00D03F3E">
        <w:rPr>
          <w:color w:val="000000" w:themeColor="text1"/>
          <w:sz w:val="16"/>
          <w:szCs w:val="16"/>
        </w:rPr>
        <w:softHyphen/>
        <w:t>брации стволов при просадке самолета от отдачи пушек (проваливание самолета)». На скоростях 280—300 км/ч «отдача пушек на самолет чувству</w:t>
      </w:r>
      <w:r w:rsidRPr="00D03F3E">
        <w:rPr>
          <w:color w:val="000000" w:themeColor="text1"/>
          <w:sz w:val="16"/>
          <w:szCs w:val="16"/>
        </w:rPr>
        <w:softHyphen/>
        <w:t>ется незначительно». При стрельбе с набором вы</w:t>
      </w:r>
      <w:r w:rsidRPr="00D03F3E">
        <w:rPr>
          <w:color w:val="000000" w:themeColor="text1"/>
          <w:sz w:val="16"/>
          <w:szCs w:val="16"/>
        </w:rPr>
        <w:softHyphen/>
        <w:t>соты самолет резко теряет скорость. На пикирова</w:t>
      </w:r>
      <w:r w:rsidRPr="00D03F3E">
        <w:rPr>
          <w:color w:val="000000" w:themeColor="text1"/>
          <w:sz w:val="16"/>
          <w:szCs w:val="16"/>
        </w:rPr>
        <w:softHyphen/>
        <w:t>нии под углом до 45° со стрельбой самолет имеет тенденцию увеличивать угол пикирования. При стрельбе из одной пушки самолет сильно разво</w:t>
      </w:r>
      <w:r w:rsidRPr="00D03F3E">
        <w:rPr>
          <w:color w:val="000000" w:themeColor="text1"/>
          <w:sz w:val="16"/>
          <w:szCs w:val="16"/>
        </w:rPr>
        <w:softHyphen/>
        <w:t>рачивается в сторону стреляющей пушки, прицель</w:t>
      </w:r>
      <w:r w:rsidRPr="00D03F3E">
        <w:rPr>
          <w:color w:val="000000" w:themeColor="text1"/>
          <w:sz w:val="16"/>
          <w:szCs w:val="16"/>
        </w:rPr>
        <w:softHyphen/>
        <w:t>ный огонь вести невозможно. Боковой перенос ог</w:t>
      </w:r>
      <w:r w:rsidRPr="00D03F3E">
        <w:rPr>
          <w:color w:val="000000" w:themeColor="text1"/>
          <w:sz w:val="16"/>
          <w:szCs w:val="16"/>
        </w:rPr>
        <w:softHyphen/>
        <w:t>ня при пикировании затруднен, а «с высоты 400 м и ниже невозможен, ввиду инертности самолета».</w:t>
      </w:r>
    </w:p>
    <w:p w14:paraId="346CD17D" w14:textId="77777777" w:rsidR="006A5B2A" w:rsidRPr="00D03F3E" w:rsidRDefault="006A5B2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заявлениям летчиков, «стволы пушек в по</w:t>
      </w:r>
      <w:r w:rsidRPr="00D03F3E">
        <w:rPr>
          <w:color w:val="000000" w:themeColor="text1"/>
          <w:sz w:val="16"/>
          <w:szCs w:val="16"/>
        </w:rPr>
        <w:softHyphen/>
        <w:t>лете вибрируют, что увеличивает рассеивание, /.../ несинхронность и разный темп стрельбы 2 пушек на одном самолете разворачивает самолет и за</w:t>
      </w:r>
      <w:r w:rsidRPr="00D03F3E">
        <w:rPr>
          <w:color w:val="000000" w:themeColor="text1"/>
          <w:sz w:val="16"/>
          <w:szCs w:val="16"/>
        </w:rPr>
        <w:softHyphen/>
        <w:t>трудняет возможность вести прицельный огонь». Утверждалось, что «при боевом развороте на ско</w:t>
      </w:r>
      <w:r w:rsidRPr="00D03F3E">
        <w:rPr>
          <w:color w:val="000000" w:themeColor="text1"/>
          <w:sz w:val="16"/>
          <w:szCs w:val="16"/>
        </w:rPr>
        <w:softHyphen/>
        <w:t>рости 270 км/ч самолет сильно трясет».</w:t>
      </w:r>
    </w:p>
    <w:p w14:paraId="4DAD68A0" w14:textId="77777777" w:rsidR="006A5B2A" w:rsidRPr="00D03F3E" w:rsidRDefault="006A5B2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Боекомплект к пушкам (40 патронов на каждую) считался вполне достаточным, «потому что даже в условиях слабого противодействия зенитной артиллерии и истребителей противника самоле</w:t>
      </w:r>
      <w:r w:rsidRPr="00D03F3E">
        <w:rPr>
          <w:color w:val="000000" w:themeColor="text1"/>
          <w:sz w:val="16"/>
          <w:szCs w:val="16"/>
        </w:rPr>
        <w:softHyphen/>
        <w:t>ты делали по 5—7 заходов и не всегда полностью расстреливали боекомплект». Так, из 54 случаев стрельбы из пушек без задержек было зарегистри</w:t>
      </w:r>
      <w:r w:rsidRPr="00D03F3E">
        <w:rPr>
          <w:color w:val="000000" w:themeColor="text1"/>
          <w:sz w:val="16"/>
          <w:szCs w:val="16"/>
        </w:rPr>
        <w:softHyphen/>
        <w:t>ровано только 22 случая полного расстрела бое</w:t>
      </w:r>
      <w:r w:rsidRPr="00D03F3E">
        <w:rPr>
          <w:color w:val="000000" w:themeColor="text1"/>
          <w:sz w:val="16"/>
          <w:szCs w:val="16"/>
        </w:rPr>
        <w:softHyphen/>
        <w:t>комплекта.</w:t>
      </w:r>
    </w:p>
    <w:p w14:paraId="10938F28" w14:textId="77777777" w:rsidR="006A5B2A" w:rsidRPr="00D03F3E" w:rsidRDefault="006A5B2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 эксплуатационной точки зрения пушка Ш-37 и пушечная установка оказались простыми и удоб</w:t>
      </w:r>
      <w:r w:rsidRPr="00D03F3E">
        <w:rPr>
          <w:color w:val="000000" w:themeColor="text1"/>
          <w:sz w:val="16"/>
          <w:szCs w:val="16"/>
        </w:rPr>
        <w:softHyphen/>
        <w:t>ными в обслуживании даже в условиях зимы, ког</w:t>
      </w:r>
      <w:r w:rsidRPr="00D03F3E">
        <w:rPr>
          <w:color w:val="000000" w:themeColor="text1"/>
          <w:sz w:val="16"/>
          <w:szCs w:val="16"/>
        </w:rPr>
        <w:softHyphen/>
        <w:t>да технический состав вынужден работать в ру</w:t>
      </w:r>
      <w:r w:rsidRPr="00D03F3E">
        <w:rPr>
          <w:color w:val="000000" w:themeColor="text1"/>
          <w:sz w:val="16"/>
          <w:szCs w:val="16"/>
        </w:rPr>
        <w:softHyphen/>
        <w:t>кавицах и тяжелой одежде. При работе 2 человек чистка пушки требует не более 30 мин, заряд</w:t>
      </w:r>
      <w:r w:rsidRPr="00D03F3E">
        <w:rPr>
          <w:color w:val="000000" w:themeColor="text1"/>
          <w:sz w:val="16"/>
          <w:szCs w:val="16"/>
        </w:rPr>
        <w:softHyphen/>
        <w:t>ка — 20 мин, а закрывание обтекателей — около 10 мин при работе не менее 3 человек. Для замены поломанного бойка пушки требовалось 1,5—2 ч, втулки ударника — 3 ч, ударника — 4—5 ч, затво</w:t>
      </w:r>
      <w:r w:rsidRPr="00D03F3E">
        <w:rPr>
          <w:color w:val="000000" w:themeColor="text1"/>
          <w:sz w:val="16"/>
          <w:szCs w:val="16"/>
        </w:rPr>
        <w:softHyphen/>
        <w:t>ра — 4—5 ч, шептала — 4 ч, собачки шептала — 3 ч. Технический состав полка особо отметил «не</w:t>
      </w:r>
      <w:r w:rsidRPr="00D03F3E">
        <w:rPr>
          <w:color w:val="000000" w:themeColor="text1"/>
          <w:sz w:val="16"/>
          <w:szCs w:val="16"/>
        </w:rPr>
        <w:softHyphen/>
        <w:t>удобную конструкцию и плохое изготовление об</w:t>
      </w:r>
      <w:r w:rsidRPr="00D03F3E">
        <w:rPr>
          <w:color w:val="000000" w:themeColor="text1"/>
          <w:sz w:val="16"/>
          <w:szCs w:val="16"/>
        </w:rPr>
        <w:softHyphen/>
        <w:t>текателей пушек — на шомпола их невозможно закрыть».</w:t>
      </w:r>
    </w:p>
    <w:p w14:paraId="07E79A85" w14:textId="77777777" w:rsidR="006A5B2A" w:rsidRPr="00D03F3E" w:rsidRDefault="006A5B2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Общий вывод сводился к следующему: «Частые отказы пушек и пушечных установок в стрельбе, доходившее на отдельных самолетах до 80% к ко</w:t>
      </w:r>
      <w:r w:rsidRPr="00D03F3E">
        <w:rPr>
          <w:color w:val="000000" w:themeColor="text1"/>
          <w:sz w:val="16"/>
          <w:szCs w:val="16"/>
        </w:rPr>
        <w:softHyphen/>
        <w:t>личеству вылетов, не дали возможности в полной мере использовать такое мощное орудие, каким является пушка ШФК-37».</w:t>
      </w:r>
    </w:p>
    <w:p w14:paraId="5B1FA181" w14:textId="77777777" w:rsidR="006A5B2A" w:rsidRPr="00D03F3E" w:rsidRDefault="006A5B2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следует из документов, установка на Ил-2 «больших» пушек единодушной поддержки боевых летчиков не получила. Мнения летчиков раздели</w:t>
      </w:r>
      <w:r w:rsidRPr="00D03F3E">
        <w:rPr>
          <w:color w:val="000000" w:themeColor="text1"/>
          <w:sz w:val="16"/>
          <w:szCs w:val="16"/>
        </w:rPr>
        <w:softHyphen/>
        <w:t>лись.</w:t>
      </w:r>
    </w:p>
    <w:p w14:paraId="6783ACC0" w14:textId="77777777" w:rsidR="006A5B2A" w:rsidRPr="00D03F3E" w:rsidRDefault="006A5B2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Так, лейтенант Воловиков в своем донесе</w:t>
      </w:r>
      <w:r w:rsidRPr="00D03F3E">
        <w:rPr>
          <w:color w:val="000000" w:themeColor="text1"/>
          <w:sz w:val="16"/>
          <w:szCs w:val="16"/>
        </w:rPr>
        <w:softHyphen/>
        <w:t>нии указал, что «в серийном производстве Ил-2 с ШФК-37 выпускать нельзя». К его мнению присо</w:t>
      </w:r>
      <w:r w:rsidRPr="00D03F3E">
        <w:rPr>
          <w:color w:val="000000" w:themeColor="text1"/>
          <w:sz w:val="16"/>
          <w:szCs w:val="16"/>
        </w:rPr>
        <w:softHyphen/>
        <w:t>единились старший сержант А. В. Дунов, сержант М. А. Сахариленко и старшина В. Ф. Игнатьев.</w:t>
      </w:r>
    </w:p>
    <w:p w14:paraId="41872841" w14:textId="77777777" w:rsidR="006A5B2A" w:rsidRPr="00D03F3E" w:rsidRDefault="006A5B2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Наоборот, старший сержант Юсов считал, что 37-мм пушку «устанавливать можно, но нужно: 1) убрать их в крыло; 2) устранить вибрацию ствола; 3) еще лучше, установить пушку 37 мм через вал редуктора, а все остальное оставить как у серийно</w:t>
      </w:r>
      <w:r w:rsidRPr="00D03F3E">
        <w:rPr>
          <w:color w:val="000000" w:themeColor="text1"/>
          <w:sz w:val="16"/>
          <w:szCs w:val="16"/>
        </w:rPr>
        <w:softHyphen/>
        <w:t>го; 4) нужен более мощный мотор для противозе</w:t>
      </w:r>
      <w:r w:rsidRPr="00D03F3E">
        <w:rPr>
          <w:color w:val="000000" w:themeColor="text1"/>
          <w:sz w:val="16"/>
          <w:szCs w:val="16"/>
        </w:rPr>
        <w:softHyphen/>
        <w:t>нитного маневра; 5) формировать отдельные диви</w:t>
      </w:r>
      <w:r w:rsidRPr="00D03F3E">
        <w:rPr>
          <w:color w:val="000000" w:themeColor="text1"/>
          <w:sz w:val="16"/>
          <w:szCs w:val="16"/>
        </w:rPr>
        <w:softHyphen/>
        <w:t>зионные группы Ил-2 с пушками 37 мм или на полк давать 6 таких самолетов».</w:t>
      </w:r>
    </w:p>
    <w:p w14:paraId="79200BAB" w14:textId="77777777" w:rsidR="006A5B2A" w:rsidRPr="00D03F3E" w:rsidRDefault="006A5B2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Его поддержал старший сержант Зыков: «Как противотанковый самолет, применять следует, но устранить недостатки, отмеченные в отзыве ст. сер</w:t>
      </w:r>
      <w:r w:rsidRPr="00D03F3E">
        <w:rPr>
          <w:color w:val="000000" w:themeColor="text1"/>
          <w:sz w:val="16"/>
          <w:szCs w:val="16"/>
        </w:rPr>
        <w:softHyphen/>
        <w:t>жанта Юсова».</w:t>
      </w:r>
    </w:p>
    <w:p w14:paraId="5D6C98F4" w14:textId="77777777" w:rsidR="006A5B2A" w:rsidRPr="00D03F3E" w:rsidRDefault="006A5B2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Надо полагать, с учетом этого в заключении «Доклада о войсковых испытаниях на боевое при</w:t>
      </w:r>
      <w:r w:rsidRPr="00D03F3E">
        <w:rPr>
          <w:color w:val="000000" w:themeColor="text1"/>
          <w:sz w:val="16"/>
          <w:szCs w:val="16"/>
        </w:rPr>
        <w:softHyphen/>
        <w:t>менение самолетов Ил-2 АМ-38, вооруженных 37-мм пушками конструкции ОКБ-15» было записа</w:t>
      </w:r>
      <w:r w:rsidRPr="00D03F3E">
        <w:rPr>
          <w:color w:val="000000" w:themeColor="text1"/>
          <w:sz w:val="16"/>
          <w:szCs w:val="16"/>
        </w:rPr>
        <w:softHyphen/>
        <w:t>но: «1. Самолеты с пушками ШФК-37, испытанные на боевое применение, не дали должной эффективно</w:t>
      </w:r>
      <w:r w:rsidRPr="00D03F3E">
        <w:rPr>
          <w:color w:val="000000" w:themeColor="text1"/>
          <w:sz w:val="16"/>
          <w:szCs w:val="16"/>
        </w:rPr>
        <w:softHyphen/>
        <w:t>сти в связи с недоработкой пушек, невозможности ведения прицельного огня по точечным целям, большим рассеиванием снарядов и ухудшением маневренности самолета. 2. Считать необходимым иметь на вооружении ВВС КА самолеты Ил-2 с пуш</w:t>
      </w:r>
      <w:r w:rsidRPr="00D03F3E">
        <w:rPr>
          <w:color w:val="000000" w:themeColor="text1"/>
          <w:sz w:val="16"/>
          <w:szCs w:val="16"/>
        </w:rPr>
        <w:softHyphen/>
        <w:t>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2A34AFF8" w14:textId="77777777" w:rsidR="006A5B2A" w:rsidRPr="00D03F3E" w:rsidRDefault="006A5B2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Помимо боевых летчиков от 688-го шап и чле</w:t>
      </w:r>
      <w:r w:rsidRPr="00D03F3E">
        <w:rPr>
          <w:color w:val="000000" w:themeColor="text1"/>
          <w:sz w:val="16"/>
          <w:szCs w:val="16"/>
        </w:rPr>
        <w:softHyphen/>
        <w:t>нов комиссии по войсковым испытаниям, доклад подписали командующий 16 ВА генерал-майор С. И. Руденко и начальник НИИ ВВС генерал-майор П. А. Лосюков. Доклад утвердил главный инженер ВВС КА генерал-лейтенант А. К. Репин 3 марта 1943 г.</w:t>
      </w:r>
    </w:p>
    <w:p w14:paraId="424F8314" w14:textId="77777777" w:rsidR="006A5B2A" w:rsidRPr="00D03F3E" w:rsidRDefault="006A5B2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Уже 8 марта 1943 г. начальник 1-го отдела УЗ- СиМ ГУЗ ВВС инженер-полковник Ковалев в до</w:t>
      </w:r>
      <w:r w:rsidRPr="00D03F3E">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D03F3E">
        <w:rPr>
          <w:color w:val="000000" w:themeColor="text1"/>
          <w:sz w:val="16"/>
          <w:szCs w:val="16"/>
        </w:rPr>
        <w:softHyphen/>
        <w:t>вых испытаний самолетов Ил-2 с ШФК-37 37-мм пушки подлежат конструктивной доводке».</w:t>
      </w:r>
    </w:p>
    <w:p w14:paraId="7F6462C4" w14:textId="77777777" w:rsidR="006A5B2A" w:rsidRPr="00D03F3E" w:rsidRDefault="006A5B2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 ского, участвовавшего в войсковых испытаниях пу</w:t>
      </w:r>
      <w:r w:rsidRPr="00D03F3E">
        <w:rPr>
          <w:color w:val="000000" w:themeColor="text1"/>
          <w:sz w:val="16"/>
          <w:szCs w:val="16"/>
        </w:rPr>
        <w:softHyphen/>
        <w:t>шек ШФК-37 на самолетах Ил-2».</w:t>
      </w:r>
    </w:p>
    <w:p w14:paraId="492DE480" w14:textId="77777777" w:rsidR="006A5B2A" w:rsidRPr="00D03F3E" w:rsidRDefault="006A5B2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Ознакомившись с материалами отчета Тишев- 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D03F3E">
        <w:rPr>
          <w:color w:val="000000" w:themeColor="text1"/>
          <w:sz w:val="16"/>
          <w:szCs w:val="16"/>
        </w:rPr>
        <w:softHyphen/>
        <w:t>готовить справку о ходе испытаний пушек калибра 37 мм ОКБ-16 на самолетах Ил-2 (17500).</w:t>
      </w:r>
    </w:p>
    <w:p w14:paraId="00A3E08A" w14:textId="77777777" w:rsidR="006A5B2A" w:rsidRPr="00D03F3E" w:rsidRDefault="006A5B2A" w:rsidP="00D03F3E">
      <w:pPr>
        <w:pStyle w:val="12a"/>
        <w:shd w:val="clear" w:color="auto" w:fill="auto"/>
        <w:spacing w:after="0" w:line="240" w:lineRule="auto"/>
        <w:jc w:val="both"/>
        <w:rPr>
          <w:color w:val="000000" w:themeColor="text1"/>
          <w:sz w:val="16"/>
          <w:szCs w:val="16"/>
        </w:rPr>
      </w:pPr>
    </w:p>
    <w:p w14:paraId="29E9C00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января 1943 г. форсированный мотор М-71Ф за</w:t>
      </w:r>
      <w:r w:rsidRPr="00D03F3E">
        <w:rPr>
          <w:rFonts w:ascii="Times New Roman" w:hAnsi="Times New Roman"/>
          <w:color w:val="000000" w:themeColor="text1"/>
          <w:sz w:val="16"/>
          <w:szCs w:val="16"/>
        </w:rPr>
        <w:softHyphen/>
        <w:t>кончил 50-часовые испытания, развив взлетную мощ</w:t>
      </w:r>
      <w:r w:rsidRPr="00D03F3E">
        <w:rPr>
          <w:rFonts w:ascii="Times New Roman" w:hAnsi="Times New Roman"/>
          <w:color w:val="000000" w:themeColor="text1"/>
          <w:sz w:val="16"/>
          <w:szCs w:val="16"/>
        </w:rPr>
        <w:softHyphen/>
        <w:t>ность 2250 л.с., номинальную на 1000 м - 2000 л.с. и на 3600 м - 1900 л.с. Во время испытаний была установлена возможность эксплуатации мотора на форсированном режиме 50 часов. М-71Ф рекомендовали для серий</w:t>
      </w:r>
      <w:r w:rsidRPr="00D03F3E">
        <w:rPr>
          <w:rFonts w:ascii="Times New Roman" w:hAnsi="Times New Roman"/>
          <w:color w:val="000000" w:themeColor="text1"/>
          <w:sz w:val="16"/>
          <w:szCs w:val="16"/>
        </w:rPr>
        <w:softHyphen/>
        <w:t>ного производства. На заводе № 19 прорабатывался его вариант с турбокомпрессорами, позволявшими полу</w:t>
      </w:r>
      <w:r w:rsidRPr="00D03F3E">
        <w:rPr>
          <w:rFonts w:ascii="Times New Roman" w:hAnsi="Times New Roman"/>
          <w:color w:val="000000" w:themeColor="text1"/>
          <w:sz w:val="16"/>
          <w:szCs w:val="16"/>
        </w:rPr>
        <w:softHyphen/>
        <w:t>чить 1800 л.с. на высоте 7500 м. Под М-71Ф с ТК Н.Н.По</w:t>
      </w:r>
      <w:r w:rsidRPr="00D03F3E">
        <w:rPr>
          <w:rFonts w:ascii="Times New Roman" w:hAnsi="Times New Roman"/>
          <w:color w:val="000000" w:themeColor="text1"/>
          <w:sz w:val="16"/>
          <w:szCs w:val="16"/>
        </w:rPr>
        <w:softHyphen/>
        <w:t>ликарпов начал проектировать еще одну модификацию И-185 (И-187) - высотный перехватчик ВП (10667).</w:t>
      </w:r>
    </w:p>
    <w:p w14:paraId="0778F21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EB182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25 января по 11 февраля 1943 В.И.Хомяков проводил гос. испытания Як-9 (65,113).</w:t>
      </w:r>
    </w:p>
    <w:p w14:paraId="670A8B8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97F69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января 1943 на Ер-2 2М-30Б на заводах 134 и 500 после ремонта мотора состоялся полет продолжительностью 2:15 на потолок, но на 7600 правый винт не разгружался. 26 января чинили Р-7 (1458,30).</w:t>
      </w:r>
    </w:p>
    <w:p w14:paraId="52DACC7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E2455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января 1943 года Приказом НКО НИИ ВВС был возвращен в Чкаловскую (11017).</w:t>
      </w:r>
    </w:p>
    <w:p w14:paraId="398A4A0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47F12D"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27FC090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F2A4B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января 1943 года вышел приказ № 83сс НКБ</w:t>
      </w:r>
    </w:p>
    <w:p w14:paraId="19A6A8A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Постановлением СНК и ЦК ВКП(б) за № 87-33с от 23 января 1943 года:</w:t>
      </w:r>
    </w:p>
    <w:p w14:paraId="29A1A94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Передать завод № 61 в Липецке Наркомату среднего машиностроения (5802, 25).</w:t>
      </w:r>
    </w:p>
    <w:p w14:paraId="39E8A825"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875D9F"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января 1943 года вышел приказ № 83сс НКБ</w:t>
      </w:r>
    </w:p>
    <w:p w14:paraId="3D1F6FD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разгрузки и создания безопасных условий работы завода № 80:</w:t>
      </w:r>
    </w:p>
    <w:p w14:paraId="7A130F41"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Организовать к 22 января 1943 года в Горьком (Сормово) в переделанном помещении завода № 112 филиал завода № 80 по сборке реактивных снарядов М-8, М-13, М-20 и М-30 (5803, 12).</w:t>
      </w:r>
    </w:p>
    <w:p w14:paraId="483D23A1"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8CAA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января 1943 состоялись первые стрельбы из Су-152, который присвоили индекс КВ-14. Начали с 50 кг болванки и стреляли по щиту 2х2 м с 500 м. Оказалось, что возможно и с 1200 м. Стреляли и по трофейному Pz IV и снесли башню (4411,14).</w:t>
      </w:r>
    </w:p>
    <w:p w14:paraId="6B7341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94BE09" w14:textId="77777777" w:rsidR="00E56A12" w:rsidRPr="00D03F3E" w:rsidRDefault="00E56A12" w:rsidP="00D03F3E">
      <w:pPr>
        <w:pStyle w:val="a3"/>
        <w:rPr>
          <w:color w:val="000000" w:themeColor="text1"/>
          <w:lang w:val="ru-RU"/>
        </w:rPr>
      </w:pPr>
      <w:r w:rsidRPr="00D03F3E">
        <w:rPr>
          <w:color w:val="000000" w:themeColor="text1"/>
          <w:lang w:val="ru-RU"/>
        </w:rPr>
        <w:t>25 января 1943 по заверше</w:t>
      </w:r>
      <w:r w:rsidRPr="00D03F3E">
        <w:rPr>
          <w:color w:val="000000" w:themeColor="text1"/>
          <w:lang w:val="ru-RU"/>
        </w:rPr>
        <w:softHyphen/>
        <w:t xml:space="preserve">нии сборки, как и предполагалось, </w:t>
      </w:r>
      <w:r w:rsidRPr="00D03F3E">
        <w:rPr>
          <w:color w:val="000000" w:themeColor="text1"/>
        </w:rPr>
        <w:t>KB</w:t>
      </w:r>
      <w:r w:rsidRPr="00D03F3E">
        <w:rPr>
          <w:color w:val="000000" w:themeColor="text1"/>
          <w:lang w:val="ru-RU"/>
        </w:rPr>
        <w:t>-14 с серийным номером 3011 от</w:t>
      </w:r>
      <w:r w:rsidRPr="00D03F3E">
        <w:rPr>
          <w:color w:val="000000" w:themeColor="text1"/>
          <w:lang w:val="ru-RU"/>
        </w:rPr>
        <w:softHyphen/>
        <w:t>правился на заводские испытания, которые закончились 29 января. С момента подписания Гинзбургом ТТТ на установку в КВ-7 152-мм гаубицы к тому моменту прошел ровно год...</w:t>
      </w:r>
    </w:p>
    <w:p w14:paraId="484B3F67" w14:textId="77777777" w:rsidR="00E56A12" w:rsidRPr="00D03F3E" w:rsidRDefault="00E56A12" w:rsidP="00D03F3E">
      <w:pPr>
        <w:pStyle w:val="a3"/>
        <w:rPr>
          <w:color w:val="000000" w:themeColor="text1"/>
          <w:lang w:val="ru-RU"/>
        </w:rPr>
      </w:pPr>
      <w:r w:rsidRPr="00D03F3E">
        <w:rPr>
          <w:color w:val="000000" w:themeColor="text1"/>
          <w:lang w:val="ru-RU"/>
        </w:rPr>
        <w:t xml:space="preserve">При создании </w:t>
      </w:r>
      <w:r w:rsidRPr="00D03F3E">
        <w:rPr>
          <w:color w:val="000000" w:themeColor="text1"/>
        </w:rPr>
        <w:t>KB</w:t>
      </w:r>
      <w:r w:rsidRPr="00D03F3E">
        <w:rPr>
          <w:color w:val="000000" w:themeColor="text1"/>
          <w:lang w:val="ru-RU"/>
        </w:rPr>
        <w:t>-14 коллектив СКБ-2 максимально использовал опыт постройки КВ-7. Высота рубки осталась на том же уровне, зато внутренний объем заметно увеличился, поскольку ее лобовой лист, по сравнению с КВ-7, «уехал» намного дальше вперед. Подобно КВ-7, для защиты системы от заклинивания на верхнем лобовом листе кор</w:t>
      </w:r>
      <w:r w:rsidRPr="00D03F3E">
        <w:rPr>
          <w:color w:val="000000" w:themeColor="text1"/>
          <w:lang w:val="ru-RU"/>
        </w:rPr>
        <w:softHyphen/>
        <w:t>пуса появился специальный отбойник, прикрывавший нижнюю часть орудийной маски. Для повышения снарядостойкости бортовые листы рубки расположили под рациональным углом, как в вертикальной, так и в горизонтальной плоскостях. Подобное решение, с одной стороны, повысило вероятность рикошета, а с другой, несколько «съело» вну</w:t>
      </w:r>
      <w:r w:rsidRPr="00D03F3E">
        <w:rPr>
          <w:color w:val="000000" w:themeColor="text1"/>
          <w:lang w:val="ru-RU"/>
        </w:rPr>
        <w:softHyphen/>
        <w:t>тренний объем. Согласно требованиям, в лобовом и кормовом листах рубки были установлены пистолетные порты, а в корме — двуствор</w:t>
      </w:r>
      <w:r w:rsidRPr="00D03F3E">
        <w:rPr>
          <w:color w:val="000000" w:themeColor="text1"/>
          <w:lang w:val="ru-RU"/>
        </w:rPr>
        <w:softHyphen/>
        <w:t>чатый люк для загрузки боекомплекта и доступа в боевое отделение экипажа. Помимо кормового люка, для доступа в рубку на ее крыше имелись люки заряжающего и командира (на люке командира имелся сигнальный лючок). Кроме того, перед люком командира установили панорамный прицел ПТК. Для улучшения обзора по периметру руб</w:t>
      </w:r>
      <w:r w:rsidRPr="00D03F3E">
        <w:rPr>
          <w:color w:val="000000" w:themeColor="text1"/>
          <w:lang w:val="ru-RU"/>
        </w:rPr>
        <w:softHyphen/>
        <w:t>ки были установлены зеркальные смотровые приборы, аналогичные тем, что ставились на башне танка КВ-1. Первоначально предусма</w:t>
      </w:r>
      <w:r w:rsidRPr="00D03F3E">
        <w:rPr>
          <w:color w:val="000000" w:themeColor="text1"/>
          <w:lang w:val="ru-RU"/>
        </w:rPr>
        <w:softHyphen/>
        <w:t>тривалось 4 смотровых прибора, но на опытном образце и серийных машинах добавился прибор для наблюдения в правую сторону, кото</w:t>
      </w:r>
      <w:r w:rsidRPr="00D03F3E">
        <w:rPr>
          <w:color w:val="000000" w:themeColor="text1"/>
          <w:lang w:val="ru-RU"/>
        </w:rPr>
        <w:softHyphen/>
        <w:t>рым пользовался замковый. Стоит отметить, что по ряду причин часть смотровых приборов была размещена относительно далеко от границ крыши рубки, что создало большие мертвые зоны обзора в нижней плоскости.</w:t>
      </w:r>
    </w:p>
    <w:p w14:paraId="09CC2DFC" w14:textId="77777777" w:rsidR="00E56A12" w:rsidRPr="00D03F3E" w:rsidRDefault="00E56A12" w:rsidP="00D03F3E">
      <w:pPr>
        <w:pStyle w:val="a3"/>
        <w:rPr>
          <w:color w:val="000000" w:themeColor="text1"/>
          <w:lang w:val="ru-RU"/>
        </w:rPr>
      </w:pPr>
      <w:r w:rsidRPr="00D03F3E">
        <w:rPr>
          <w:color w:val="000000" w:themeColor="text1"/>
          <w:lang w:val="ru-RU"/>
        </w:rPr>
        <w:t>При разработке новой самоходной установки ее создателям при</w:t>
      </w:r>
      <w:r w:rsidRPr="00D03F3E">
        <w:rPr>
          <w:color w:val="000000" w:themeColor="text1"/>
          <w:lang w:val="ru-RU"/>
        </w:rPr>
        <w:softHyphen/>
        <w:t>шлось пойти на некоторые отступления от тактико-технических тре</w:t>
      </w:r>
      <w:r w:rsidRPr="00D03F3E">
        <w:rPr>
          <w:color w:val="000000" w:themeColor="text1"/>
          <w:lang w:val="ru-RU"/>
        </w:rPr>
        <w:softHyphen/>
        <w:t xml:space="preserve">бований. По заданию, расчет </w:t>
      </w:r>
      <w:r w:rsidRPr="00D03F3E">
        <w:rPr>
          <w:color w:val="000000" w:themeColor="text1"/>
        </w:rPr>
        <w:t>KB</w:t>
      </w:r>
      <w:r w:rsidRPr="00D03F3E">
        <w:rPr>
          <w:color w:val="000000" w:themeColor="text1"/>
          <w:lang w:val="ru-RU"/>
        </w:rPr>
        <w:t>-14 должен был составлять 6 человек, но габариты боевого отделения не оставляли для радиста свободного пространства. Решением данной проблемы стало объединение функ</w:t>
      </w:r>
      <w:r w:rsidRPr="00D03F3E">
        <w:rPr>
          <w:color w:val="000000" w:themeColor="text1"/>
          <w:lang w:val="ru-RU"/>
        </w:rPr>
        <w:softHyphen/>
        <w:t>ций командира орудия и радиста.</w:t>
      </w:r>
    </w:p>
    <w:p w14:paraId="790CCEAC" w14:textId="77777777" w:rsidR="00E56A12" w:rsidRPr="00D03F3E" w:rsidRDefault="00E56A12" w:rsidP="00D03F3E">
      <w:pPr>
        <w:pStyle w:val="a3"/>
        <w:rPr>
          <w:color w:val="000000" w:themeColor="text1"/>
          <w:lang w:val="ru-RU"/>
        </w:rPr>
      </w:pPr>
      <w:r w:rsidRPr="00D03F3E">
        <w:rPr>
          <w:color w:val="000000" w:themeColor="text1"/>
          <w:lang w:val="ru-RU"/>
        </w:rPr>
        <w:t>Радиостанцию 9-Р разместили перед местом командира. Кроме того, объемы боевого отделения не позволя</w:t>
      </w:r>
      <w:r w:rsidRPr="00D03F3E">
        <w:rPr>
          <w:color w:val="000000" w:themeColor="text1"/>
          <w:lang w:val="ru-RU"/>
        </w:rPr>
        <w:softHyphen/>
        <w:t xml:space="preserve">ли использовать штатные баки танка </w:t>
      </w:r>
      <w:r w:rsidRPr="00D03F3E">
        <w:rPr>
          <w:color w:val="000000" w:themeColor="text1"/>
        </w:rPr>
        <w:t>KB</w:t>
      </w:r>
      <w:r w:rsidRPr="00D03F3E">
        <w:rPr>
          <w:color w:val="000000" w:themeColor="text1"/>
          <w:lang w:val="ru-RU"/>
        </w:rPr>
        <w:t>-1С. Вместо них вдоль правых бортов рубки разместили топливные баки общим объемом 480 литров. Подобное размещение баков значительно увеличивало риск попа</w:t>
      </w:r>
      <w:r w:rsidRPr="00D03F3E">
        <w:rPr>
          <w:color w:val="000000" w:themeColor="text1"/>
          <w:lang w:val="ru-RU"/>
        </w:rPr>
        <w:softHyphen/>
        <w:t>дания в них вражеских снарядов, но при столь плотной компоновке девать топливные баки было более некуда. На некоторые изменения пришлось идти и относительно исходного проекта КБ Кировского за</w:t>
      </w:r>
      <w:r w:rsidRPr="00D03F3E">
        <w:rPr>
          <w:color w:val="000000" w:themeColor="text1"/>
          <w:lang w:val="ru-RU"/>
        </w:rPr>
        <w:softHyphen/>
        <w:t xml:space="preserve">вода. Согласно требованиям ГАБТУ, танки и самоходные установки оборудовались поручнями, за которые держался перевозимый десант. Изначально поручней на </w:t>
      </w:r>
      <w:r w:rsidRPr="00D03F3E">
        <w:rPr>
          <w:color w:val="000000" w:themeColor="text1"/>
        </w:rPr>
        <w:t>KB</w:t>
      </w:r>
      <w:r w:rsidRPr="00D03F3E">
        <w:rPr>
          <w:color w:val="000000" w:themeColor="text1"/>
          <w:lang w:val="ru-RU"/>
        </w:rPr>
        <w:t>-14 не было предусмотрено, но на опыт</w:t>
      </w:r>
      <w:r w:rsidRPr="00D03F3E">
        <w:rPr>
          <w:color w:val="000000" w:themeColor="text1"/>
          <w:lang w:val="ru-RU"/>
        </w:rPr>
        <w:softHyphen/>
        <w:t>ной машине они уже появились.</w:t>
      </w:r>
    </w:p>
    <w:p w14:paraId="7B618A2D" w14:textId="77777777" w:rsidR="00E56A12" w:rsidRPr="00D03F3E" w:rsidRDefault="00E56A12" w:rsidP="00D03F3E">
      <w:pPr>
        <w:pStyle w:val="a3"/>
        <w:rPr>
          <w:color w:val="000000" w:themeColor="text1"/>
          <w:lang w:val="ru-RU"/>
        </w:rPr>
      </w:pPr>
      <w:r w:rsidRPr="00D03F3E">
        <w:rPr>
          <w:color w:val="000000" w:themeColor="text1"/>
          <w:lang w:val="ru-RU"/>
        </w:rPr>
        <w:t>Жесткие требования по внутренним габаритам боевого отделения заставили конструкторов буквально выискивать место для размещения боекомплекта. Основная боеукладка находилась на левом борту руб</w:t>
      </w:r>
      <w:r w:rsidRPr="00D03F3E">
        <w:rPr>
          <w:color w:val="000000" w:themeColor="text1"/>
          <w:lang w:val="ru-RU"/>
        </w:rPr>
        <w:softHyphen/>
        <w:t>ки, часть зарядов разместили под орудием. При таком размещении до</w:t>
      </w:r>
      <w:r w:rsidRPr="00D03F3E">
        <w:rPr>
          <w:color w:val="000000" w:themeColor="text1"/>
          <w:lang w:val="ru-RU"/>
        </w:rPr>
        <w:softHyphen/>
        <w:t>ставать вторую очередь зарядов оказалось непростой задачей, но ино</w:t>
      </w:r>
      <w:r w:rsidRPr="00D03F3E">
        <w:rPr>
          <w:color w:val="000000" w:themeColor="text1"/>
          <w:lang w:val="ru-RU"/>
        </w:rPr>
        <w:softHyphen/>
        <w:t xml:space="preserve">го способа вместить 20 выстрелов не было. С другой стороны, боевое отделение получилось относительно просторным. С учетом того, что средний рост танкистов был 160—170 см, расчет внутри </w:t>
      </w:r>
      <w:r w:rsidRPr="00D03F3E">
        <w:rPr>
          <w:color w:val="000000" w:themeColor="text1"/>
        </w:rPr>
        <w:t>KB</w:t>
      </w:r>
      <w:r w:rsidRPr="00D03F3E">
        <w:rPr>
          <w:color w:val="000000" w:themeColor="text1"/>
          <w:lang w:val="ru-RU"/>
        </w:rPr>
        <w:t>-14 мог сто</w:t>
      </w:r>
      <w:r w:rsidRPr="00D03F3E">
        <w:rPr>
          <w:color w:val="000000" w:themeColor="text1"/>
          <w:lang w:val="ru-RU"/>
        </w:rPr>
        <w:softHyphen/>
        <w:t xml:space="preserve">ять, не сгибаясь. При этом общая высота машины составила 2450 мм, то есть на уровне Т-34 и на 20 см ниже </w:t>
      </w:r>
      <w:r w:rsidRPr="00D03F3E">
        <w:rPr>
          <w:color w:val="000000" w:themeColor="text1"/>
        </w:rPr>
        <w:t>KB</w:t>
      </w:r>
      <w:r w:rsidRPr="00D03F3E">
        <w:rPr>
          <w:color w:val="000000" w:themeColor="text1"/>
          <w:lang w:val="ru-RU"/>
        </w:rPr>
        <w:t>-1С. Кроме того, для облег</w:t>
      </w:r>
      <w:r w:rsidRPr="00D03F3E">
        <w:rPr>
          <w:color w:val="000000" w:themeColor="text1"/>
          <w:lang w:val="ru-RU"/>
        </w:rPr>
        <w:softHyphen/>
        <w:t>чения перемещения расчета внутри боевого отделения сиденья коман</w:t>
      </w:r>
      <w:r w:rsidRPr="00D03F3E">
        <w:rPr>
          <w:color w:val="000000" w:themeColor="text1"/>
          <w:lang w:val="ru-RU"/>
        </w:rPr>
        <w:softHyphen/>
        <w:t>дира, заряжающего и замкового выполнили откидными.</w:t>
      </w:r>
    </w:p>
    <w:p w14:paraId="67FEDD8D" w14:textId="77777777" w:rsidR="00E56A12" w:rsidRPr="00D03F3E" w:rsidRDefault="00E56A12" w:rsidP="00D03F3E">
      <w:pPr>
        <w:pStyle w:val="a3"/>
        <w:rPr>
          <w:color w:val="000000" w:themeColor="text1"/>
          <w:lang w:val="ru-RU"/>
        </w:rPr>
      </w:pPr>
      <w:r w:rsidRPr="00D03F3E">
        <w:rPr>
          <w:color w:val="000000" w:themeColor="text1"/>
          <w:lang w:val="ru-RU"/>
        </w:rPr>
        <w:t>По сумме характеристик челябинский самоход не имел аналогов в мире. Подобного сочетания относительной компактности, неплохой броневой защиты и мощи вооружения не было ни у одной армии в мире. Вместо узкоспециализированной машины для ковыряния укреплений, которую так хотели артиллеристы, получилась универсальная штурмовая САУ, которая вошла в историю как «Зверобой» (17484).</w:t>
      </w:r>
    </w:p>
    <w:p w14:paraId="37865825" w14:textId="77777777" w:rsidR="00E56A12" w:rsidRPr="00D03F3E" w:rsidRDefault="00E56A12" w:rsidP="00D03F3E">
      <w:pPr>
        <w:spacing w:after="0" w:line="240" w:lineRule="auto"/>
        <w:jc w:val="both"/>
        <w:rPr>
          <w:rFonts w:ascii="Times New Roman" w:hAnsi="Times New Roman"/>
          <w:color w:val="000000" w:themeColor="text1"/>
          <w:sz w:val="16"/>
          <w:szCs w:val="16"/>
        </w:rPr>
      </w:pPr>
    </w:p>
    <w:p w14:paraId="37F048D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января 1943 г. вышла ДИРЕКТИВА НАЧАЛЬНИКА ГАВТУ КА НАЧАЛЬНИКАМ АВТОМОБИЛЬНЫХ УПРАВЛЕНИЙ ФРОНТОВ ОБ УЛУЧШЕНИИ ЭКСПЛУАТАЦИИ АВТОМАШИН ИНОМАРОК В ЧАСТЯХ №1195026</w:t>
      </w:r>
    </w:p>
    <w:p w14:paraId="1826A82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Конструктивные особенности машин иномарок в отличие от автомашин отечественного произ</w:t>
      </w:r>
      <w:r w:rsidRPr="00D03F3E">
        <w:rPr>
          <w:rFonts w:ascii="Times New Roman" w:hAnsi="Times New Roman"/>
          <w:color w:val="000000" w:themeColor="text1"/>
          <w:sz w:val="16"/>
          <w:szCs w:val="16"/>
        </w:rPr>
        <w:softHyphen/>
        <w:t>водства требуют выполнения ряда специальных мероприятий для обеспечения нормальной их экс</w:t>
      </w:r>
      <w:r w:rsidRPr="00D03F3E">
        <w:rPr>
          <w:rFonts w:ascii="Times New Roman" w:hAnsi="Times New Roman"/>
          <w:color w:val="000000" w:themeColor="text1"/>
          <w:sz w:val="16"/>
          <w:szCs w:val="16"/>
        </w:rPr>
        <w:softHyphen/>
        <w:t>плуатации, особенно в зимнее время.</w:t>
      </w:r>
    </w:p>
    <w:p w14:paraId="1E0D064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импортные автомашины имеют высокие степени сжатия, колеблющиеся в пределах от 5,82 до 6,83, и рассчитаны на высокооктановые бензины с октановым числом 70 и выше.</w:t>
      </w:r>
    </w:p>
    <w:p w14:paraId="74B5C6A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 как парк машин иномарок переведен на работу с автобензином 2-го сорта, обладающим октановым числом в пределах от 56 до 64, то при работе на этом бензине без специальной регулиров</w:t>
      </w:r>
      <w:r w:rsidRPr="00D03F3E">
        <w:rPr>
          <w:rFonts w:ascii="Times New Roman" w:hAnsi="Times New Roman"/>
          <w:color w:val="000000" w:themeColor="text1"/>
          <w:sz w:val="16"/>
          <w:szCs w:val="16"/>
        </w:rPr>
        <w:softHyphen/>
        <w:t>ки октан-корректора происходит детонация в двигателе.</w:t>
      </w:r>
    </w:p>
    <w:p w14:paraId="7C92C2B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Детонация разрушающе действует на весь шатунно-кривошипный механизм двигателя, выводит из строя поршни и поршневые кольца, вызывает трещины в головках блока цилиндров и т.д.</w:t>
      </w:r>
    </w:p>
    <w:p w14:paraId="2545D75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Большинство моделей машин иномарок имеет средства регулировки ускорительного насоса кар</w:t>
      </w:r>
      <w:r w:rsidRPr="00D03F3E">
        <w:rPr>
          <w:rFonts w:ascii="Times New Roman" w:hAnsi="Times New Roman"/>
          <w:color w:val="000000" w:themeColor="text1"/>
          <w:sz w:val="16"/>
          <w:szCs w:val="16"/>
        </w:rPr>
        <w:softHyphen/>
        <w:t>бюраторов для условий летней, весенне-осенней и зимней эксплуатации. В том случае, если карбюратор не отрегулирован соответственно времени года — изменяется приемистость и режим работы двигателя, в результате чего топливо сгорает не полностью, попадает в картер и разжижает смазку.</w:t>
      </w:r>
    </w:p>
    <w:p w14:paraId="036379E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Разжиженная смазка вызывает разрушение шатунно-кривошипного механизма и увеличивает износ деталей двигателя.</w:t>
      </w:r>
    </w:p>
    <w:p w14:paraId="1A4957F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Гидравлические тормоза на машинах иномарок рассчитаны на заполнение системы «специаль</w:t>
      </w:r>
      <w:r w:rsidRPr="00D03F3E">
        <w:rPr>
          <w:rFonts w:ascii="Times New Roman" w:hAnsi="Times New Roman"/>
          <w:color w:val="000000" w:themeColor="text1"/>
          <w:sz w:val="16"/>
          <w:szCs w:val="16"/>
        </w:rPr>
        <w:softHyphen/>
        <w:t>ной тормозной жидкостью».</w:t>
      </w:r>
    </w:p>
    <w:p w14:paraId="0AC02A3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применении неправильных составов тормозной жидкости разрушаются все резиновые детали системы (манжеты, шланги, клапана) и гидравлические тормоза выходят из строя.</w:t>
      </w:r>
    </w:p>
    <w:p w14:paraId="091F91F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Гидравлические тормоза требуют тщательного ухода в отношении заполнения резервуара главного цилиндра до определенного уровня и периодической прокачки системы для удаления из нее воздуха. При переполнении резервуара происходит самопроизвольное торможение колес и неудовлетворительное оттормаживание, а при наличии воздуха в системе — гидравлические тормоза отказывают в работе.</w:t>
      </w:r>
    </w:p>
    <w:p w14:paraId="1B3057E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перечисленным выше вопросам войскам были даны указания и разослано большое количество памяток и руководств по регулировке механизмов, эксплуатации и профилактике машин иномарок.</w:t>
      </w:r>
    </w:p>
    <w:p w14:paraId="28A7F25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это, автомобильный парк машин иномарок плохо подготовлен к эксплуатации в условиях войсковых частей Красной Армии и находится в неудовлетворительном состоянии. Водительский состав не получает должного технического руководства и не знает особенностей авто</w:t>
      </w:r>
      <w:r w:rsidRPr="00D03F3E">
        <w:rPr>
          <w:rFonts w:ascii="Times New Roman" w:hAnsi="Times New Roman"/>
          <w:color w:val="000000" w:themeColor="text1"/>
          <w:sz w:val="16"/>
          <w:szCs w:val="16"/>
        </w:rPr>
        <w:softHyphen/>
        <w:t>машин иномарок и эксплуатации их в зимних условиях.</w:t>
      </w:r>
    </w:p>
    <w:p w14:paraId="4E097FE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Машины перегружаются, водитель зачастую не знает грузоподъемности своей машины, в результате чего ломаются рессоры, выходят из строя сцепления и т.д.</w:t>
      </w:r>
    </w:p>
    <w:p w14:paraId="5D7D6C0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Гидравлическая система тормозов заливается не пригодным для этой цели: автолом, мыльной водой, автолом с бензином, касторовым маслом. При выходе из строя гидравлических тормозов водитель начинает усиленно пользоваться ручными тормозами, которые по этой причине быстро изнашиваются и машина остается совсем без тормозов.</w:t>
      </w:r>
    </w:p>
    <w:p w14:paraId="2FA64CF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 везде карбюраторы отрегулированы на зимние условия эксплуатации.</w:t>
      </w:r>
    </w:p>
    <w:p w14:paraId="19E291D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всего этого и совершенно недостаточного контроля за эксплуатацией машин в частях дорогостоящие импортные машины преждевременно выходят из строя или в лучшем случае работают не на полную мощность.</w:t>
      </w:r>
    </w:p>
    <w:p w14:paraId="2400D7B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Обращая Ваше внимание на необходимость коренного улучшения эксплуатации автомашин иномарок в частях, ПРИКАЗЫВАЮ:</w:t>
      </w:r>
    </w:p>
    <w:p w14:paraId="4F606AA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 всех машинах иномарок провести регулировку октан-корректора и разъяснить водитель</w:t>
      </w:r>
      <w:r w:rsidRPr="00D03F3E">
        <w:rPr>
          <w:rFonts w:ascii="Times New Roman" w:hAnsi="Times New Roman"/>
          <w:color w:val="000000" w:themeColor="text1"/>
          <w:sz w:val="16"/>
          <w:szCs w:val="16"/>
        </w:rPr>
        <w:softHyphen/>
        <w:t>скому составу важность установки правильного зажигания соответственно сорту бензина, на кото</w:t>
      </w:r>
      <w:r w:rsidRPr="00D03F3E">
        <w:rPr>
          <w:rFonts w:ascii="Times New Roman" w:hAnsi="Times New Roman"/>
          <w:color w:val="000000" w:themeColor="text1"/>
          <w:sz w:val="16"/>
          <w:szCs w:val="16"/>
        </w:rPr>
        <w:softHyphen/>
        <w:t>ром работает двигатель.</w:t>
      </w:r>
    </w:p>
    <w:p w14:paraId="40E9A84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 всех кузовах машин иномарок указать их грузоподъемность, категорически запретив пере</w:t>
      </w:r>
      <w:r w:rsidRPr="00D03F3E">
        <w:rPr>
          <w:rFonts w:ascii="Times New Roman" w:hAnsi="Times New Roman"/>
          <w:color w:val="000000" w:themeColor="text1"/>
          <w:sz w:val="16"/>
          <w:szCs w:val="16"/>
        </w:rPr>
        <w:softHyphen/>
        <w:t>грузку машины.</w:t>
      </w:r>
    </w:p>
    <w:p w14:paraId="5EEA349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Отрегулировать карбюраторы для условий зимней эксплуатации с точным выполнением всех указаний по пользованию системой питания и по уходу за ней.</w:t>
      </w:r>
    </w:p>
    <w:p w14:paraId="59F05B8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Категорически запретить заливку гидравлической системы тормозов какой бы то ни было жидкостью, применяя только «специальную», а при отсутствии ее заменители: смесь №1, смесь №2 или смесь №3. Обучить водительский состав пользованию гидравлическими и ручными тормозами.</w:t>
      </w:r>
    </w:p>
    <w:p w14:paraId="74F4E9C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Результаты выполнения настоящей директивы донести к 15 февраля 1943 г.</w:t>
      </w:r>
    </w:p>
    <w:p w14:paraId="72B8F13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Инструкция по регулировке машин иномарок</w:t>
      </w:r>
      <w:r w:rsidRPr="00D03F3E">
        <w:rPr>
          <w:rFonts w:ascii="Times New Roman" w:hAnsi="Times New Roman"/>
          <w:color w:val="000000" w:themeColor="text1"/>
          <w:sz w:val="16"/>
          <w:szCs w:val="16"/>
          <w:vertAlign w:val="superscript"/>
        </w:rPr>
        <w:t>1</w:t>
      </w:r>
      <w:r w:rsidRPr="00D03F3E">
        <w:rPr>
          <w:rFonts w:ascii="Times New Roman" w:hAnsi="Times New Roman"/>
          <w:color w:val="000000" w:themeColor="text1"/>
          <w:sz w:val="16"/>
          <w:szCs w:val="16"/>
        </w:rPr>
        <w:t>.</w:t>
      </w:r>
    </w:p>
    <w:p w14:paraId="3C0AFCA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ГАВТУ КА генерал-майор Белокосков</w:t>
      </w:r>
    </w:p>
    <w:p w14:paraId="0C8AC67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41. Оп. 11592. Д. 5. Л. 1-3. Копия.</w:t>
      </w:r>
    </w:p>
    <w:p w14:paraId="42ECA77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Приложения к документу не публикуется (11403).</w:t>
      </w:r>
    </w:p>
    <w:p w14:paraId="0BE21B3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3BA8C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января 1943 года - И.В. Курчатов и А.И. Алиханов составляют первый план работ Специальной лаборатории на 1943 год (10549).</w:t>
      </w:r>
    </w:p>
    <w:p w14:paraId="17C7E92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47B8C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января 1943 вышло Постановление ГКО № 2782 О т.т. Тележкине Н.З. и Булдович Р.Е.РГАНИР, Фонд ГКО, д. 84, лл. 15 (11012).</w:t>
      </w:r>
    </w:p>
    <w:p w14:paraId="3987CA8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71BE8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января 1943 вышло Распоряжение ГКО № 2783. О переброске оборудования для добычи торфа.РГАНИР, Фонд ГКО, д. 84, лл. 16 (11012).</w:t>
      </w:r>
    </w:p>
    <w:p w14:paraId="0BA6922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412DCC"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2F869FD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AF8FF7"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25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1C32D6CB"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25 января наши войска в районе Сталинграда, южнее Воронежа, на Северном Кавказе, в районе Нижнего Дона, Северного Донца и южнее Ладожского озера продолжали бои на прежних направлениях.</w:t>
      </w:r>
    </w:p>
    <w:p w14:paraId="6566D7FA"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южном фронте наши войска вели наступательные бои. Н-ская часть отразила контратаку немцев и на плечах отступающего противника ворвалась в сильно укреплённый населённый пункт и овладела им. На поле боя осталось 3 сожжённых немецких танка. Захвачены 2 самоходных орудия, бронемашина, 11 пулемётов, 3 миномёта, 39 автоматов, много винтовок и боеприпасов. На другом участке наши бойцы овладели двумя крупными населёнными пунктами.</w:t>
      </w:r>
    </w:p>
    <w:p w14:paraId="35786E6F"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продолжали наступление и заняли несколько населённых пунктов. Особенно ожесточённые бои происходили у одного населённогопункта, который несколько раз переходил из рук в руки. Ночью наши бойцы атаковали немцев и в рукопашном бою разгромили противника. Потеряв убитыми и ранеными до батальона пехоты, гитлеровцы отступили. Нашим войскам достались склад боеприпасов, склад с зерном, 46 автомашин и много оружия.</w:t>
      </w:r>
    </w:p>
    <w:p w14:paraId="68315F47"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Воронежского фронта вели успешные наступательные бои. Ликвидирована ещё одна окружённая группа войск противника. Взяты в плен 1.100 вражеских солдат и офицеров. Захвачено 260 автомашин, 15 орудий, 48 пулемётов и 13 миномётов. Бойцы Н-ской части в результате упорного боя овладели одним населённым пунктом изахватили 4 противотанковых орудия, 17 пулемётов, 19 автоматов, склад с запасными частями для танков и 2 радиостанции.</w:t>
      </w:r>
    </w:p>
    <w:p w14:paraId="49212785"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Закавказского фронта заняли несколько десятков населённых пунктов.</w:t>
      </w:r>
    </w:p>
    <w:p w14:paraId="17F5F568"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Гвардейцы-казаки с боями продвинулись вперёд на 30—40 километров и уничтожили до 800 гитлеровцев. Взято в плен свыше 100 вражеских солдат и офицеров. Захвачено 7 орудий, 40 автомашин и 50 повозок с военным имуществом, 2 склада боеприпасов, а также 2 тысячи голов рогатого скота и 15 тысяч овец, отнятых немцами у населения.</w:t>
      </w:r>
    </w:p>
    <w:p w14:paraId="51D45353"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имени Щорса, действующий в Орловской области, за три дня пустил под откос 3 немецких воинских эшелона. В результате крушения разбиты 3 паровоза, 21 вагон и 5 платформ с автомашинами. Во время крушений было убито и ранено около 200 немецких солдат и офицеров. Партизаны другого отряда напали на гарнизон противника. В ожесточённой рукопашной схватке уничтожено 67 гитлеровцев.</w:t>
      </w:r>
    </w:p>
    <w:p w14:paraId="598D6800"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Жители деревни Глухое Демидово, Демянского района, Ленинградской области, Семён Мартынов, Артемий Волков и Пётр Елин рассказали о зверствах немецко-фашистских мерзавцев: «Гитлеровцы ограбили поголовно всех жителей деревни. В первые же дни немцы забрали у крестьян скот, хлеб, овощи и другие продукты и обрекли население на голодную смерть. Всех мужчин и женщин, а также детей заставляли работать на строительстве укреплений по 14—16 часов в сутки. Фашистские изверги издевались над крестьянами и ввели наказания розгами. За непродолжительный срок в деревне умерло от голода свыше 40 человек».</w:t>
      </w:r>
    </w:p>
    <w:p w14:paraId="20DBA177"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Лионе (Франция) свободные стрелки обстреляли немецкий воинский эшелон. В Жанлисе группа французов организовала крушение поезда. Пять вагонов с немецкими солдатами свалились в реку. В одном из ресторанов Амьена, переполненном гитлеровцами, произошёл взрыв. Убито и ранено несколько десятков немцев.» (15020).</w:t>
      </w:r>
    </w:p>
    <w:p w14:paraId="24CE276D" w14:textId="77777777" w:rsidR="00592CF5" w:rsidRPr="00D03F3E" w:rsidRDefault="00592CF5" w:rsidP="00D03F3E">
      <w:pPr>
        <w:spacing w:after="0" w:line="240" w:lineRule="auto"/>
        <w:jc w:val="both"/>
        <w:rPr>
          <w:rFonts w:ascii="Times New Roman" w:hAnsi="Times New Roman"/>
          <w:color w:val="000000" w:themeColor="text1"/>
          <w:sz w:val="16"/>
          <w:szCs w:val="16"/>
        </w:rPr>
      </w:pPr>
    </w:p>
    <w:p w14:paraId="13CB483B"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25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789ECBC8"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января войска Воронежского фронта, перейдя в наступление в районе Воронежа, опрокинули части немцев и полностью овладели городом Воронеж.</w:t>
      </w:r>
    </w:p>
    <w:p w14:paraId="7EFCBB60"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овладели районным центром Лозно-Александровка и рядом других населённых пунктов.</w:t>
      </w:r>
    </w:p>
    <w:p w14:paraId="40AD5EAA"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Южном фронте наши войска овладели населёнными пунктами — Красный Маныч, Журавлёвка, Благодатная.</w:t>
      </w:r>
    </w:p>
    <w:p w14:paraId="56158549"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наши войска овладели районным центром и железнодорожной станцией Белая Глина, крупными населёнными пунктами — Нармалиновская, Фельдмаршальский, Привольный, Ново-Кубанское.</w:t>
      </w:r>
    </w:p>
    <w:p w14:paraId="12A72015"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корабли в Баренцевом море потопили миноносец противника.</w:t>
      </w:r>
    </w:p>
    <w:p w14:paraId="308681F3"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января нашей авиацией в порту противника потоплен немецкий транспорт водоизмещением в 10.000 тонн и на различных участках фронта подавлен огонь 6артиллерийских батарей, взорвано 4 склада боеприпасов, разбито два железнодорожных состава, рассеяно и частью уничтожено до роты пехоты противника.</w:t>
      </w:r>
    </w:p>
    <w:p w14:paraId="33340339"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Южном фронте наши войска вели наступательные бои на прежних направлениях. Бойцы Н-ского соединения, преодолев многочисленные оборонительные сооружения немцев, ворвались на улицы крупного населённого пункта. В ожесточённом бою уничтожено до 400 вражеских солдат и офицеров, подбито и сожжено 11 немецких танков. Захвачены пленные и трофеи. В районе нижнего течения Дона наши части отбивали контратаки танков и пехоты противника. В этих боях разгромлено два батальона немецкой пехоты, подбито и сожжено 9 танков противника.</w:t>
      </w:r>
    </w:p>
    <w:p w14:paraId="6D6C612B"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Юго-Западном фронте советские войска продолжали наступление и заняли ряд населённых пунктов. На одном участке наши части вели упорные бои с мотопехотой и танками противника. Все контратаки немцев отбиты с большими для них потерями. Во время штурма города Старобельска истреблено свыше 1.000 гитлеровцев. Нашими частями захвачено в городе 15 танков, 16 бронемашин, 50 орудий, свыше 200 автомашин, 8 крупных складов, 8 паровозов, большое количество вагонов и другие трофеи. Взято в плен свыше 300 солдат и офицеров противника.</w:t>
      </w:r>
    </w:p>
    <w:p w14:paraId="71D8A90D"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Воронежского фронта полностью овладели городом Воронеж.</w:t>
      </w:r>
    </w:p>
    <w:p w14:paraId="1FDA506F"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Воронежского фронта наши войска продолжали наступательные операции на прежних направлениях. Части Н-ского соединения продвинулись вперёд и заняли несколько населённых пунктов. Уничтожен гарнизон противника в крупном населённом пункте. Взято в плен до 2.000 вражеских солдат и офицеров. Захвачено250 автомашин, 300 лошадей, склады с боеприпасами и продовольствием. На другом участке советские части овладели важным узлом сопротивления противника. Захвачены 3 танка, 28 орудий и другие трофеи.</w:t>
      </w:r>
    </w:p>
    <w:p w14:paraId="154C7DC8"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Закавказского фронта с боями продвигались вперёд и заняли ряд населённых пунктов. Н-ская часть разгромила немецкий противотанковый дивизион. Подбито 20 и захвачено 7 противотанковых орудий. Взято 80 пленных. На другом участке наши бойцы под командованием тов. Беляева проникли в занятый противником населённый пункт и разгромили штаб немецкого батальона. Захвачены трофеи и ценные документы.</w:t>
      </w:r>
    </w:p>
    <w:p w14:paraId="328211C3"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партизан отряда, действующего в Ленинградской области, пустила под откос немецкий воинский эшелон. При крушении разбиты паровоз и 10 вагонов с боеприпасами. Движение поездов было остановлено на сутки. Немцы восстановили разрушенное полотно и усилили железнодорожную охрану. Спустя несколько дней советские патриоты на этом же участке организовали крушение эшелона противника с горючим. Уничтожены паровоз и 8 цистерн. Движение поездов на этой линии вновь прервано.</w:t>
      </w:r>
    </w:p>
    <w:p w14:paraId="42F030D8"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районе Сталинграда на поле боя подобрана записная книжка ефрейтора 10 роты 578 полка 305 немецкой пехотной дивизии. Ниже публикуются выдержки из этой записной книжки: «...стоим на шоссе — не знаем, что делать дальше. Я ужасно голоден и не могу получить нигде ложки супа. Добрался до деревушки. Здесь настоящее столпотворение... С трудом разыскал свою роту и ночевал в хлеву. Ужасно замёрз. У меня украли всё моё имущество... Опять марш и опять без еды. Вечером после тяжёлого марша пришли в Сталинград. Удалось попасть в погреб. Здесь 30 человек. Дикая толпа. Нервы у всех расшатаны. Непрерывные ссоры и драки из-за еды. Что может сделать голод! С нами находятся раненые и больные дизентерией. Они умрут. Скудный и голодный паёк у них отнимают здоровые солдаты, прямо вырывают изо рта... Я хочу жить. Жить во что бы то ни стало. К чёрту всё, только бы уцелеть... Сижу в яме с одним солдатом. Это 20-летний парень из Австрии. Мы оба не произносим ни слова. О чём же говорить? Мне очень холодно. Слышны стоны раненых. Они валяются в снегу, в сугробах. Их не подбирают, не увозят... Я не вижу иного выхода из этого страшного ада, кроме плена».</w:t>
      </w:r>
    </w:p>
    <w:p w14:paraId="138EA17E"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61D61C23"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полностью овладели городом Воронеж.</w:t>
      </w:r>
    </w:p>
    <w:p w14:paraId="6E0261D9"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января войска Воронежского фронта, перейдя в наступление в районе Воронежа, опрокинули части немцев и полностью овладели городом Воронеж. Восточный берег реки Дон в районе западнее и юго-западнее города также очищен отнемецко-фашистских войск.</w:t>
      </w:r>
    </w:p>
    <w:p w14:paraId="6C70BAB0"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 пленных, взятых под Воронежем, к исходу 24 января увеличилось на 11.000 солдат и офицеров. Таким образом, общее количество пленных, взятых в районе Воронежского фронта, дошло до 75.000 солдат и офицеров.» (15020).</w:t>
      </w:r>
    </w:p>
    <w:p w14:paraId="3BB6F1B1" w14:textId="77777777" w:rsidR="00592CF5" w:rsidRPr="00D03F3E" w:rsidRDefault="00592CF5" w:rsidP="00D03F3E">
      <w:pPr>
        <w:spacing w:after="0" w:line="240" w:lineRule="auto"/>
        <w:jc w:val="both"/>
        <w:rPr>
          <w:rFonts w:ascii="Times New Roman" w:hAnsi="Times New Roman"/>
          <w:color w:val="000000" w:themeColor="text1"/>
          <w:sz w:val="16"/>
          <w:szCs w:val="16"/>
        </w:rPr>
      </w:pPr>
    </w:p>
    <w:p w14:paraId="7462E19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января 1943 под Сталинградом начал воевать 587 женский пбап (3044,128).</w:t>
      </w:r>
    </w:p>
    <w:p w14:paraId="1075A3A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149EF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 25 января 1943 г. шло переучивание летчиков французской авиачасти на Як-7В. После получения 19 января первых 10 Як-1 начались тренировки в учебных воздушных боях, продолжавшиеся до 14 марта. За время обучения летчики эскадрильи выполнили 536 полетов, налетав в общей сложности 218 часов (по 15,5 часов в среднем на пилота). Перед отправкой на фронт эскадрилья пополнилась 14 марта еще 4 машинами. Закончив обучение, эскадрилья получила приказ на перебазирование. Этим же приказом командиром подразделения был назначен Жан Тюлян (Jean Tulasne), фактически выполнявший обязанности командира группы "Нормандия" с 23 февраля 1943 г. В район боевых действий на аэродром Полотняный Завод, расположенный в 20 км от Калуги, эскадрилья перелетела 22 марта.</w:t>
      </w:r>
    </w:p>
    <w:p w14:paraId="0E23BE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Первый вылет по тревоге на перехват выполнили 26 марта 1943 г. лейтенант Раймонд Дервиль (Raymond Derville) и аспирант Аль- бер Дюран (Albert Durand). А 3 апреля четыре истребителя Як-1 впервые приняли участие в сопровождении пяти бомбардировщиков Пе-2. Всего через два дня - 5 апреля, - французские летчики приняли свой первый воздушный бой с 10 FW. 190.</w:t>
      </w:r>
    </w:p>
    <w:p w14:paraId="0C3FD64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апреля 1943 г. эскадрилья получила еще четыре самолета Як-1 для восполнения потерь. Но на самолетах этого типа ей пришлось летать недолго. В начале июля 1943 г. летчиков известили о перевооружении на истребители Як-9. К 19 июля 1943 г. летчиками Нормандии было сбито 30 немецких самолетов. Потери эскадрильи составили 11 летчиков. К августу эскадрилью развернули в полнокровный авиаполк на новом типе самолета. Оставшиеся 14 машин Як-1 использовались в полку "Нормандия" до ноября для переучивания и тренировки вновь прибывших пилотов.</w:t>
      </w:r>
    </w:p>
    <w:p w14:paraId="080BAFB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"Нормандия" из всех иностранных авиационных частей отличалась наибольшей активностью в боевых действиях. На Як-1 в ней выделялся Альбер Дюран, сбивший лично два и в группе один самолет противника. За ним следовал Марсель Лефевр (Marsel Lefevre), лично сбивший два самолета, и Ноэль Кастелен (Noel Castelain), сбивший лично один самолет и один в группе (12048).</w:t>
      </w:r>
    </w:p>
    <w:p w14:paraId="4361D8F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CDB73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January 25, 1943: At Stalingrad, the Red Army succeeds in splitting the remnants of 6.Armee into a northern and a southern pocket. German forces evacuate Armavir and Voronesh. President Roosevelt and Prime Miniter Churchill end the Caablanca Conference with their announcement of the demand for the unconditional surrender of Germany and Italy (3819).</w:t>
      </w:r>
    </w:p>
    <w:p w14:paraId="3DFA0B3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C8C7E0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января 1943 в Сталинграде КА разбила 6А на отдельные группы в южном и северном котлах. У.Черчиль на Касабланской конференции потребовал безоговорочной сдачи Италии и Германии (3819).</w:t>
      </w:r>
    </w:p>
    <w:p w14:paraId="74CC2FA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4D1AB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января 1943 60А освободила Воронеж (3398,45).</w:t>
      </w:r>
    </w:p>
    <w:p w14:paraId="2105F06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E4CC80"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13863AF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91084C" w14:textId="77777777" w:rsidR="0035133C" w:rsidRPr="00D03F3E" w:rsidRDefault="0035133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26 января 1943 г. один из наиболее доведенных по вооружению самолетов Ил-2 (зав. № 301379) с 2 37-мм пушками 11П официально был принят для прохождения полигонных испытаний в НИП АВ ВВС.</w:t>
      </w:r>
    </w:p>
    <w:p w14:paraId="19F81B09" w14:textId="77777777" w:rsidR="0035133C" w:rsidRPr="00D03F3E" w:rsidRDefault="0035133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Самолет испытывался специалистами 1-го отдела полигона под руководством инженер-пол</w:t>
      </w:r>
      <w:r w:rsidRPr="00D03F3E">
        <w:rPr>
          <w:color w:val="000000" w:themeColor="text1"/>
          <w:sz w:val="16"/>
          <w:szCs w:val="16"/>
        </w:rPr>
        <w:softHyphen/>
        <w:t>ковника Филиппова. Ведущим инженером по ис</w:t>
      </w:r>
      <w:r w:rsidRPr="00D03F3E">
        <w:rPr>
          <w:color w:val="000000" w:themeColor="text1"/>
          <w:sz w:val="16"/>
          <w:szCs w:val="16"/>
        </w:rPr>
        <w:softHyphen/>
        <w:t>пытаниям был назначен инженер-майор С. В. Не</w:t>
      </w:r>
      <w:r w:rsidRPr="00D03F3E">
        <w:rPr>
          <w:color w:val="000000" w:themeColor="text1"/>
          <w:sz w:val="16"/>
          <w:szCs w:val="16"/>
        </w:rPr>
        <w:softHyphen/>
        <w:t>смеянов, помощником ведущего инженера — старший техник-лейтенант А. Г. Губин, ведущим летчиком — майор Н. И. Звонарев. От промыш</w:t>
      </w:r>
      <w:r w:rsidRPr="00D03F3E">
        <w:rPr>
          <w:color w:val="000000" w:themeColor="text1"/>
          <w:sz w:val="16"/>
          <w:szCs w:val="16"/>
        </w:rPr>
        <w:softHyphen/>
        <w:t>ленности в испытаниях участвовали: начальник ОКБ-16 А. Э. Нудельман, начальник сборочного цеха ОКБ-16 Д. Ф. Исаков, конструктор ОКБ-240 С. А. Певзнер.</w:t>
      </w:r>
    </w:p>
    <w:p w14:paraId="5E31F06D" w14:textId="77777777" w:rsidR="0035133C" w:rsidRPr="00D03F3E" w:rsidRDefault="0035133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Испытания продолжались до 11 февраля, но отчет по результатам испытаний был утвержден главным инженером ВВС КА генерал-лейтенантом А. К. Репиным только 2 апреля. На следующий день материалы отчета были направлены в заинтересо</w:t>
      </w:r>
      <w:r w:rsidRPr="00D03F3E">
        <w:rPr>
          <w:color w:val="000000" w:themeColor="text1"/>
          <w:sz w:val="16"/>
          <w:szCs w:val="16"/>
        </w:rPr>
        <w:softHyphen/>
        <w:t>ванные организации: начальнику 7-го ГУ НКАП, на</w:t>
      </w:r>
      <w:r w:rsidRPr="00D03F3E">
        <w:rPr>
          <w:color w:val="000000" w:themeColor="text1"/>
          <w:sz w:val="16"/>
          <w:szCs w:val="16"/>
        </w:rPr>
        <w:softHyphen/>
        <w:t>чальнику ГУЗ ВВС, главным конструкторам ОКБ-16 и ОКБ-240, директорам и военпредам заводов № 18 и № 30, в Технический совет НКВ.</w:t>
      </w:r>
    </w:p>
    <w:p w14:paraId="3CE15C5D" w14:textId="77777777" w:rsidR="0035133C" w:rsidRPr="00D03F3E" w:rsidRDefault="0035133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 самолете были установлены пушки 11П зав. № 558 (левая) и № 547 (правая), изготовленные за</w:t>
      </w:r>
      <w:r w:rsidRPr="00D03F3E">
        <w:rPr>
          <w:color w:val="000000" w:themeColor="text1"/>
          <w:sz w:val="16"/>
          <w:szCs w:val="16"/>
        </w:rPr>
        <w:softHyphen/>
        <w:t>водом № 74 НКВ. Боекомплект к пушкам включал 110 снарядов, стрелковый прицел — ВВ-1, лента — рассыпное звено. Управление огнем пневматиче</w:t>
      </w:r>
      <w:r w:rsidRPr="00D03F3E">
        <w:rPr>
          <w:color w:val="000000" w:themeColor="text1"/>
          <w:sz w:val="16"/>
          <w:szCs w:val="16"/>
        </w:rPr>
        <w:softHyphen/>
        <w:t>ское с механическим дублером от гашетки, рас</w:t>
      </w:r>
      <w:r w:rsidRPr="00D03F3E">
        <w:rPr>
          <w:color w:val="000000" w:themeColor="text1"/>
          <w:sz w:val="16"/>
          <w:szCs w:val="16"/>
        </w:rPr>
        <w:softHyphen/>
        <w:t>положенной на ручке управления самолетом. При отклонении гашетки на 10—12 мм работает пнев- моспуск. При дальнейшем ее отклонении включа</w:t>
      </w:r>
      <w:r w:rsidRPr="00D03F3E">
        <w:rPr>
          <w:color w:val="000000" w:themeColor="text1"/>
          <w:sz w:val="16"/>
          <w:szCs w:val="16"/>
        </w:rPr>
        <w:softHyphen/>
        <w:t>ется механический спуск. Стрельба одновременная. Перезарядка пушек — пневматическая от баллона с воздухом под давлением 150 атм. через понижа</w:t>
      </w:r>
      <w:r w:rsidRPr="00D03F3E">
        <w:rPr>
          <w:color w:val="000000" w:themeColor="text1"/>
          <w:sz w:val="16"/>
          <w:szCs w:val="16"/>
        </w:rPr>
        <w:softHyphen/>
        <w:t>ющий редуктор до 35 атм.</w:t>
      </w:r>
    </w:p>
    <w:p w14:paraId="2CA142AA" w14:textId="77777777" w:rsidR="0035133C" w:rsidRPr="00D03F3E" w:rsidRDefault="0035133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Пушки крепились на 2 точках. Сила отдачи при стрельбе воспринималась передним креплением. Регулировка установки производилась наружными втулками заднего крепления. Гильзы и звенья не собирались и выбрасывались наружу.</w:t>
      </w:r>
    </w:p>
    <w:p w14:paraId="4187364B" w14:textId="77777777" w:rsidR="0035133C" w:rsidRPr="00D03F3E" w:rsidRDefault="0035133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испытаний проверялась прочность кре</w:t>
      </w:r>
      <w:r w:rsidRPr="00D03F3E">
        <w:rPr>
          <w:color w:val="000000" w:themeColor="text1"/>
          <w:sz w:val="16"/>
          <w:szCs w:val="16"/>
        </w:rPr>
        <w:softHyphen/>
        <w:t>пления пушек и проводилась оценка влияния стрельбы из пушек на материальную часть само</w:t>
      </w:r>
      <w:r w:rsidRPr="00D03F3E">
        <w:rPr>
          <w:color w:val="000000" w:themeColor="text1"/>
          <w:sz w:val="16"/>
          <w:szCs w:val="16"/>
        </w:rPr>
        <w:softHyphen/>
        <w:t>лета. Стрельба велась на земле и в воздухе по на</w:t>
      </w:r>
      <w:r w:rsidRPr="00D03F3E">
        <w:rPr>
          <w:color w:val="000000" w:themeColor="text1"/>
          <w:sz w:val="16"/>
          <w:szCs w:val="16"/>
        </w:rPr>
        <w:softHyphen/>
        <w:t>земным целям одиночными выстрелами и очере</w:t>
      </w:r>
      <w:r w:rsidRPr="00D03F3E">
        <w:rPr>
          <w:color w:val="000000" w:themeColor="text1"/>
          <w:sz w:val="16"/>
          <w:szCs w:val="16"/>
        </w:rPr>
        <w:softHyphen/>
        <w:t>дями. При стрельбах определялась работа автома</w:t>
      </w:r>
      <w:r w:rsidRPr="00D03F3E">
        <w:rPr>
          <w:color w:val="000000" w:themeColor="text1"/>
          <w:sz w:val="16"/>
          <w:szCs w:val="16"/>
        </w:rPr>
        <w:softHyphen/>
        <w:t>тики пушек «на земле и в воздухе при различных режимах полета самолета», а также «рассеивание и возможность ведения прицельной стрельбы как при одной, так и при двух работающих пуш</w:t>
      </w:r>
      <w:r w:rsidRPr="00D03F3E">
        <w:rPr>
          <w:color w:val="000000" w:themeColor="text1"/>
          <w:sz w:val="16"/>
          <w:szCs w:val="16"/>
        </w:rPr>
        <w:softHyphen/>
        <w:t>ках». Кроме того, оценивались эксплуатационные характеристики пушек и их установок в полете и удобство действия ими как на земле, так и в воз</w:t>
      </w:r>
      <w:r w:rsidRPr="00D03F3E">
        <w:rPr>
          <w:color w:val="000000" w:themeColor="text1"/>
          <w:sz w:val="16"/>
          <w:szCs w:val="16"/>
        </w:rPr>
        <w:softHyphen/>
        <w:t>духе: «постановка, снятие, зарядка, разрядка, чистка, перезарядка, устранение задержек и при</w:t>
      </w:r>
      <w:r w:rsidRPr="00D03F3E">
        <w:rPr>
          <w:color w:val="000000" w:themeColor="text1"/>
          <w:sz w:val="16"/>
          <w:szCs w:val="16"/>
        </w:rPr>
        <w:softHyphen/>
        <w:t>стрелка».</w:t>
      </w:r>
    </w:p>
    <w:p w14:paraId="7B3AC079" w14:textId="77777777" w:rsidR="0035133C" w:rsidRPr="00D03F3E" w:rsidRDefault="0035133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9 полетах было выполнено 720 выстрелов. Боекомплект к пушкам полностью был отстрелян только в одном полете. Еще 596 выстрелов было сделано на земле. При стрельбах в общей сложно</w:t>
      </w:r>
      <w:r w:rsidRPr="00D03F3E">
        <w:rPr>
          <w:color w:val="000000" w:themeColor="text1"/>
          <w:sz w:val="16"/>
          <w:szCs w:val="16"/>
        </w:rPr>
        <w:softHyphen/>
        <w:t>сти произошло 23 задержки, в том числе 12 — по вине автоматики, 5 — по вине звена, еще 5 — по вине установки, 1 — по неустановленным причи</w:t>
      </w:r>
      <w:r w:rsidRPr="00D03F3E">
        <w:rPr>
          <w:color w:val="000000" w:themeColor="text1"/>
          <w:sz w:val="16"/>
          <w:szCs w:val="16"/>
        </w:rPr>
        <w:softHyphen/>
        <w:t>нам. Из этого числа 5 задержек оказались неустра</w:t>
      </w:r>
      <w:r w:rsidRPr="00D03F3E">
        <w:rPr>
          <w:color w:val="000000" w:themeColor="text1"/>
          <w:sz w:val="16"/>
          <w:szCs w:val="16"/>
        </w:rPr>
        <w:softHyphen/>
        <w:t>нимыми в воздухе. Произошло 3 поломки, замени</w:t>
      </w:r>
      <w:r w:rsidRPr="00D03F3E">
        <w:rPr>
          <w:color w:val="000000" w:themeColor="text1"/>
          <w:sz w:val="16"/>
          <w:szCs w:val="16"/>
        </w:rPr>
        <w:softHyphen/>
        <w:t>ли 4 детали. Причем почти все задержки и поломки произошли на пушке зав. № 547, которая дала 1,5% отказов в работе. После замены деталей и устране</w:t>
      </w:r>
      <w:r w:rsidRPr="00D03F3E">
        <w:rPr>
          <w:color w:val="000000" w:themeColor="text1"/>
          <w:sz w:val="16"/>
          <w:szCs w:val="16"/>
        </w:rPr>
        <w:softHyphen/>
        <w:t>ния дефектов пушка работала вполне удовлетвори</w:t>
      </w:r>
      <w:r w:rsidRPr="00D03F3E">
        <w:rPr>
          <w:color w:val="000000" w:themeColor="text1"/>
          <w:sz w:val="16"/>
          <w:szCs w:val="16"/>
        </w:rPr>
        <w:softHyphen/>
        <w:t>тельно, показав 0,15% задержек, столько же, сколь</w:t>
      </w:r>
      <w:r w:rsidRPr="00D03F3E">
        <w:rPr>
          <w:color w:val="000000" w:themeColor="text1"/>
          <w:sz w:val="16"/>
          <w:szCs w:val="16"/>
        </w:rPr>
        <w:softHyphen/>
        <w:t>ко и пушка зав. № 558.</w:t>
      </w:r>
    </w:p>
    <w:p w14:paraId="17F6CB02" w14:textId="77777777" w:rsidR="0035133C" w:rsidRPr="00D03F3E" w:rsidRDefault="0035133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Стрельба в воздухе производилась при гори</w:t>
      </w:r>
      <w:r w:rsidRPr="00D03F3E">
        <w:rPr>
          <w:color w:val="000000" w:themeColor="text1"/>
          <w:sz w:val="16"/>
          <w:szCs w:val="16"/>
        </w:rPr>
        <w:softHyphen/>
        <w:t>зонтальном полете и с пикирования с 500 м под углом 30—40° и виражей — короткими очередями по 3—5 выстрелов.</w:t>
      </w:r>
    </w:p>
    <w:p w14:paraId="71D6D8AD" w14:textId="77777777" w:rsidR="0035133C" w:rsidRPr="00D03F3E" w:rsidRDefault="0035133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Средний темп стрельбы «пушек серийного изго</w:t>
      </w:r>
      <w:r w:rsidRPr="00D03F3E">
        <w:rPr>
          <w:color w:val="000000" w:themeColor="text1"/>
          <w:sz w:val="16"/>
          <w:szCs w:val="16"/>
        </w:rPr>
        <w:softHyphen/>
        <w:t>товления» оказался ниже на 35 выстр./мин по срав</w:t>
      </w:r>
      <w:r w:rsidRPr="00D03F3E">
        <w:rPr>
          <w:color w:val="000000" w:themeColor="text1"/>
          <w:sz w:val="16"/>
          <w:szCs w:val="16"/>
        </w:rPr>
        <w:softHyphen/>
        <w:t>нению с результатом, показанным опытной пушкой 11П, «испытанной в НИП АВ (исх. 0319 от 23.9.42)». От ОКБ-16 и завода № 74 НКВ требовалось поднять темп стрельбы до 292 выстр./мин.</w:t>
      </w:r>
    </w:p>
    <w:p w14:paraId="5A435397" w14:textId="77777777" w:rsidR="0035133C" w:rsidRPr="00D03F3E" w:rsidRDefault="0035133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заключению ведущего летчика-испытате</w:t>
      </w:r>
      <w:r w:rsidRPr="00D03F3E">
        <w:rPr>
          <w:color w:val="000000" w:themeColor="text1"/>
          <w:sz w:val="16"/>
          <w:szCs w:val="16"/>
        </w:rPr>
        <w:softHyphen/>
        <w:t>ля майора Н. И. Звонарева от 17 февраля 1943 г., «отдача на самолет не отличается от отдачи при стрельбе из пушек ОКБ-15». Отказ одной из пушек «уводит сильно самолет при стрельбе в сторону работающей пушки». При этом «ногой парировать можно, но прицельную стрельбу с прицелом ВВ-1 вести очень трудно, особенно тяжело будет для мо</w:t>
      </w:r>
      <w:r w:rsidRPr="00D03F3E">
        <w:rPr>
          <w:color w:val="000000" w:themeColor="text1"/>
          <w:sz w:val="16"/>
          <w:szCs w:val="16"/>
        </w:rPr>
        <w:softHyphen/>
        <w:t>лодого не натренированного летного состава».</w:t>
      </w:r>
    </w:p>
    <w:p w14:paraId="63EAB3AD" w14:textId="77777777" w:rsidR="0035133C" w:rsidRPr="00D03F3E" w:rsidRDefault="0035133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Звонарев считал, что «для самолета Ил-2, воору</w:t>
      </w:r>
      <w:r w:rsidRPr="00D03F3E">
        <w:rPr>
          <w:color w:val="000000" w:themeColor="text1"/>
          <w:sz w:val="16"/>
          <w:szCs w:val="16"/>
        </w:rPr>
        <w:softHyphen/>
        <w:t>женного пушками 37 мм, целесообразно поставить прицел ПБП-1б, где не требуется совмещать точки прицеливания». Боекомплект 55 снарядов на каж</w:t>
      </w:r>
      <w:r w:rsidRPr="00D03F3E">
        <w:rPr>
          <w:color w:val="000000" w:themeColor="text1"/>
          <w:sz w:val="16"/>
          <w:szCs w:val="16"/>
        </w:rPr>
        <w:softHyphen/>
        <w:t>дую пушку был вполне достаточным. Предлагалось «просить главного конструктора убрать пушки в крыло, возможность есть полная». Кроме того, «гашетки пневмоперезарядки необходимо перене</w:t>
      </w:r>
      <w:r w:rsidRPr="00D03F3E">
        <w:rPr>
          <w:color w:val="000000" w:themeColor="text1"/>
          <w:sz w:val="16"/>
          <w:szCs w:val="16"/>
        </w:rPr>
        <w:softHyphen/>
        <w:t>сти на левую сторону, так как на небольших высо</w:t>
      </w:r>
      <w:r w:rsidRPr="00D03F3E">
        <w:rPr>
          <w:color w:val="000000" w:themeColor="text1"/>
          <w:sz w:val="16"/>
          <w:szCs w:val="16"/>
        </w:rPr>
        <w:softHyphen/>
        <w:t>тах при стрельбе и отказах молодой летный состав не сможет перезарядить пушки (при перезарядке пушек летчик был вынужден брать штурвал в ле</w:t>
      </w:r>
      <w:r w:rsidRPr="00D03F3E">
        <w:rPr>
          <w:color w:val="000000" w:themeColor="text1"/>
          <w:sz w:val="16"/>
          <w:szCs w:val="16"/>
        </w:rPr>
        <w:softHyphen/>
        <w:t>вую руку. —</w:t>
      </w:r>
      <w:r w:rsidRPr="00D03F3E">
        <w:rPr>
          <w:rStyle w:val="BodytextItalic"/>
          <w:i w:val="0"/>
          <w:color w:val="000000" w:themeColor="text1"/>
          <w:sz w:val="16"/>
          <w:szCs w:val="16"/>
        </w:rPr>
        <w:t xml:space="preserve"> Авт.)».</w:t>
      </w:r>
    </w:p>
    <w:p w14:paraId="3DFBDC4C" w14:textId="77777777" w:rsidR="0035133C" w:rsidRPr="00D03F3E" w:rsidRDefault="0035133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выводах отчета по испытаниям указывалось, что «применение 37-мм пушек под плоскостями Ил-2 возможно. Самолет допускает пилотирова</w:t>
      </w:r>
      <w:r w:rsidRPr="00D03F3E">
        <w:rPr>
          <w:color w:val="000000" w:themeColor="text1"/>
          <w:sz w:val="16"/>
          <w:szCs w:val="16"/>
        </w:rPr>
        <w:softHyphen/>
        <w:t>ние на всех режимах полета и ведение прицель</w:t>
      </w:r>
      <w:r w:rsidRPr="00D03F3E">
        <w:rPr>
          <w:color w:val="000000" w:themeColor="text1"/>
          <w:sz w:val="16"/>
          <w:szCs w:val="16"/>
        </w:rPr>
        <w:softHyphen/>
        <w:t>ной стрельбы с пикирования и бреющего полета. Производство стрельбы наиболее целесообразно очередями по 3—4 выстрела, так как при боль</w:t>
      </w:r>
      <w:r w:rsidRPr="00D03F3E">
        <w:rPr>
          <w:color w:val="000000" w:themeColor="text1"/>
          <w:sz w:val="16"/>
          <w:szCs w:val="16"/>
        </w:rPr>
        <w:softHyphen/>
        <w:t>ших очередях самолет сбивается с точки прице</w:t>
      </w:r>
      <w:r w:rsidRPr="00D03F3E">
        <w:rPr>
          <w:color w:val="000000" w:themeColor="text1"/>
          <w:sz w:val="16"/>
          <w:szCs w:val="16"/>
        </w:rPr>
        <w:softHyphen/>
        <w:t>ливания, вследствие неодновременной стрельбы пушек. Прицельную стрельбу из одной крыльевой пушки вести нельзя, так как сбивается линия при</w:t>
      </w:r>
      <w:r w:rsidRPr="00D03F3E">
        <w:rPr>
          <w:color w:val="000000" w:themeColor="text1"/>
          <w:sz w:val="16"/>
          <w:szCs w:val="16"/>
        </w:rPr>
        <w:softHyphen/>
        <w:t>целивания. /.../ Управление огнем обеспечивает работу пушек и в эксплуатации удобно, но требует устранения растяжки тросов спуска. /.../ Питание пушек из патронного ящика не отлажено, что при</w:t>
      </w:r>
      <w:r w:rsidRPr="00D03F3E">
        <w:rPr>
          <w:color w:val="000000" w:themeColor="text1"/>
          <w:sz w:val="16"/>
          <w:szCs w:val="16"/>
        </w:rPr>
        <w:softHyphen/>
        <w:t>водит к задержкам — заклинению ленты в рукаве питания, выпадению патронов из ленты и раннему съему звена с патрона. Недостатком является отсут</w:t>
      </w:r>
      <w:r w:rsidRPr="00D03F3E">
        <w:rPr>
          <w:color w:val="000000" w:themeColor="text1"/>
          <w:sz w:val="16"/>
          <w:szCs w:val="16"/>
        </w:rPr>
        <w:softHyphen/>
        <w:t>ствие сбора гильз и звеньев. /.../ Кольцевой визир ВВ-1 не обеспечивает ведение прицельной стрель</w:t>
      </w:r>
      <w:r w:rsidRPr="00D03F3E">
        <w:rPr>
          <w:color w:val="000000" w:themeColor="text1"/>
          <w:sz w:val="16"/>
          <w:szCs w:val="16"/>
        </w:rPr>
        <w:softHyphen/>
        <w:t>бы ночью. Необходимо установить светящиеся ви</w:t>
      </w:r>
      <w:r w:rsidRPr="00D03F3E">
        <w:rPr>
          <w:color w:val="000000" w:themeColor="text1"/>
          <w:sz w:val="16"/>
          <w:szCs w:val="16"/>
        </w:rPr>
        <w:softHyphen/>
        <w:t>зирные точки или поставить прицел ПБП-1б».</w:t>
      </w:r>
    </w:p>
    <w:p w14:paraId="023F3165" w14:textId="77777777" w:rsidR="0035133C" w:rsidRPr="00D03F3E" w:rsidRDefault="0035133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По мнению технического состава, «эксплуатация пушек на самолете удобна, за исключением некото</w:t>
      </w:r>
      <w:r w:rsidRPr="00D03F3E">
        <w:rPr>
          <w:color w:val="000000" w:themeColor="text1"/>
          <w:sz w:val="16"/>
          <w:szCs w:val="16"/>
        </w:rPr>
        <w:softHyphen/>
        <w:t>рых неудобств, возникающих при разрядке пушка</w:t>
      </w:r>
      <w:r w:rsidRPr="00D03F3E">
        <w:rPr>
          <w:color w:val="000000" w:themeColor="text1"/>
          <w:sz w:val="16"/>
          <w:szCs w:val="16"/>
        </w:rPr>
        <w:softHyphen/>
        <w:t>ми из-за неудобного подхода к приемникам пушек». Обтекатели пушек необходимо было упрочнить: «На самолете Ил-2 зав. № 301379 обтекатели изго</w:t>
      </w:r>
      <w:r w:rsidRPr="00D03F3E">
        <w:rPr>
          <w:color w:val="000000" w:themeColor="text1"/>
          <w:sz w:val="16"/>
          <w:szCs w:val="16"/>
        </w:rPr>
        <w:softHyphen/>
        <w:t>товлены плохо, заклепки болтаются и выскакивают, в ходе испытаний наблюдалось срезание заклепок и один случай открывания переднего замка право</w:t>
      </w:r>
      <w:r w:rsidRPr="00D03F3E">
        <w:rPr>
          <w:color w:val="000000" w:themeColor="text1"/>
          <w:sz w:val="16"/>
          <w:szCs w:val="16"/>
        </w:rPr>
        <w:softHyphen/>
        <w:t>го обтекателя в полете. Отсутствие контровки гаек кронштейнов заднего переднего крепления пушки приводит к тому, что части при стрельбе отходят, пришлось их подтягивать».</w:t>
      </w:r>
    </w:p>
    <w:p w14:paraId="4D56A4BD" w14:textId="77777777" w:rsidR="0035133C" w:rsidRPr="00D03F3E" w:rsidRDefault="0035133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серийном выпуске «установок под пуш</w:t>
      </w:r>
      <w:r w:rsidRPr="00D03F3E">
        <w:rPr>
          <w:color w:val="000000" w:themeColor="text1"/>
          <w:sz w:val="16"/>
          <w:szCs w:val="16"/>
        </w:rPr>
        <w:softHyphen/>
        <w:t>ки 37 мм ОКБ-16 на самолете Ил-2» требовалось «обеспечить удобную разрядку пушек и сбор гильз и звеньев».</w:t>
      </w:r>
    </w:p>
    <w:p w14:paraId="0FFAD795" w14:textId="77777777" w:rsidR="0035133C" w:rsidRPr="00D03F3E" w:rsidRDefault="0035133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Заключение по результатам испытаний гласило, что установка пушек 11П на самолете Ил-2 поли</w:t>
      </w:r>
      <w:r w:rsidRPr="00D03F3E">
        <w:rPr>
          <w:color w:val="000000" w:themeColor="text1"/>
          <w:sz w:val="16"/>
          <w:szCs w:val="16"/>
        </w:rPr>
        <w:softHyphen/>
        <w:t>гонные испытания выдержала. Заводы № 30 НКАП и № 74 НКВ должны были в кратчайший срок устра</w:t>
      </w:r>
      <w:r w:rsidRPr="00D03F3E">
        <w:rPr>
          <w:color w:val="000000" w:themeColor="text1"/>
          <w:sz w:val="16"/>
          <w:szCs w:val="16"/>
        </w:rPr>
        <w:softHyphen/>
        <w:t>нить выявленные при испытаниях дефекты и не</w:t>
      </w:r>
      <w:r w:rsidRPr="00D03F3E">
        <w:rPr>
          <w:color w:val="000000" w:themeColor="text1"/>
          <w:sz w:val="16"/>
          <w:szCs w:val="16"/>
        </w:rPr>
        <w:softHyphen/>
        <w:t>достатки. Считалось целесообразным проведение отстрела серийных 37-мм пушек ОКБ-16 «на живу</w:t>
      </w:r>
      <w:r w:rsidRPr="00D03F3E">
        <w:rPr>
          <w:color w:val="000000" w:themeColor="text1"/>
          <w:sz w:val="16"/>
          <w:szCs w:val="16"/>
        </w:rPr>
        <w:softHyphen/>
        <w:t>честь в связи с выявленной при данных испытаниях недостаточной живучести основных деталей». Од</w:t>
      </w:r>
      <w:r w:rsidRPr="00D03F3E">
        <w:rPr>
          <w:color w:val="000000" w:themeColor="text1"/>
          <w:sz w:val="16"/>
          <w:szCs w:val="16"/>
        </w:rPr>
        <w:softHyphen/>
        <w:t>новременно требовалось «испытать на живучесть установку под пушку 37 мм, так как живучесть при испытаниях не установлена».</w:t>
      </w:r>
    </w:p>
    <w:p w14:paraId="252D2F58" w14:textId="77777777" w:rsidR="0035133C" w:rsidRPr="00D03F3E" w:rsidRDefault="0035133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Заключение подписали: начальник 1-го отделе</w:t>
      </w:r>
      <w:r w:rsidRPr="00D03F3E">
        <w:rPr>
          <w:color w:val="000000" w:themeColor="text1"/>
          <w:sz w:val="16"/>
          <w:szCs w:val="16"/>
        </w:rPr>
        <w:softHyphen/>
        <w:t>ния опытного отдела НИП АВ инженер-полковник Филиппов, ведущий инженер 1-го отделения инже</w:t>
      </w:r>
      <w:r w:rsidRPr="00D03F3E">
        <w:rPr>
          <w:color w:val="000000" w:themeColor="text1"/>
          <w:sz w:val="16"/>
          <w:szCs w:val="16"/>
        </w:rPr>
        <w:softHyphen/>
        <w:t>нер-майор Несмеянов, начальник опытного отдела НИП АВ подполковник Фомин, начальник НИП АВ инженер-полковник Лобачев (17500).</w:t>
      </w:r>
    </w:p>
    <w:p w14:paraId="517E0FFF" w14:textId="77777777" w:rsidR="0035133C" w:rsidRPr="00D03F3E" w:rsidRDefault="0035133C" w:rsidP="00D03F3E">
      <w:pPr>
        <w:pStyle w:val="12a"/>
        <w:shd w:val="clear" w:color="auto" w:fill="auto"/>
        <w:spacing w:after="0" w:line="240" w:lineRule="auto"/>
        <w:jc w:val="both"/>
        <w:rPr>
          <w:color w:val="000000" w:themeColor="text1"/>
          <w:sz w:val="16"/>
          <w:szCs w:val="16"/>
        </w:rPr>
      </w:pPr>
    </w:p>
    <w:p w14:paraId="62E65AD7" w14:textId="77777777" w:rsidR="00E43EB5" w:rsidRPr="00D03F3E" w:rsidRDefault="00E43EB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26 января 1943 «Пегас» № 01, заводские летные испытания которого на заводе № 288 прошли со 2 по 14 января,  в разобранном виде посту</w:t>
      </w:r>
      <w:r w:rsidRPr="00D03F3E">
        <w:rPr>
          <w:rFonts w:ascii="Times New Roman" w:hAnsi="Times New Roman"/>
          <w:color w:val="0070C0"/>
          <w:sz w:val="16"/>
          <w:szCs w:val="16"/>
        </w:rPr>
        <w:softHyphen/>
        <w:t>пил на опытный завод НИИ ВВС, где не</w:t>
      </w:r>
      <w:r w:rsidRPr="00D03F3E">
        <w:rPr>
          <w:rFonts w:ascii="Times New Roman" w:hAnsi="Times New Roman"/>
          <w:color w:val="0070C0"/>
          <w:sz w:val="16"/>
          <w:szCs w:val="16"/>
        </w:rPr>
        <w:softHyphen/>
        <w:t>замедлительно приступили к его сбор</w:t>
      </w:r>
      <w:r w:rsidRPr="00D03F3E">
        <w:rPr>
          <w:rFonts w:ascii="Times New Roman" w:hAnsi="Times New Roman"/>
          <w:color w:val="0070C0"/>
          <w:sz w:val="16"/>
          <w:szCs w:val="16"/>
        </w:rPr>
        <w:softHyphen/>
        <w:t>ке, регулировке и приведению в летное состояние.</w:t>
      </w:r>
    </w:p>
    <w:p w14:paraId="3A37E3B7" w14:textId="77777777" w:rsidR="00E43EB5" w:rsidRPr="00D03F3E" w:rsidRDefault="00E43EB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Одновременно на заводе №288 нача</w:t>
      </w:r>
      <w:r w:rsidRPr="00D03F3E">
        <w:rPr>
          <w:rFonts w:ascii="Times New Roman" w:hAnsi="Times New Roman"/>
          <w:color w:val="0070C0"/>
          <w:sz w:val="16"/>
          <w:szCs w:val="16"/>
        </w:rPr>
        <w:softHyphen/>
        <w:t>лись стендовые испытания подвесной пу</w:t>
      </w:r>
      <w:r w:rsidRPr="00D03F3E">
        <w:rPr>
          <w:rFonts w:ascii="Times New Roman" w:hAnsi="Times New Roman"/>
          <w:color w:val="0070C0"/>
          <w:sz w:val="16"/>
          <w:szCs w:val="16"/>
        </w:rPr>
        <w:softHyphen/>
        <w:t xml:space="preserve"> шечной установки под две пушки ВЯ и ог</w:t>
      </w:r>
      <w:r w:rsidRPr="00D03F3E">
        <w:rPr>
          <w:rFonts w:ascii="Times New Roman" w:hAnsi="Times New Roman"/>
          <w:color w:val="0070C0"/>
          <w:sz w:val="16"/>
          <w:szCs w:val="16"/>
        </w:rPr>
        <w:softHyphen/>
        <w:t>невые испытания бронированной каби</w:t>
      </w:r>
      <w:r w:rsidRPr="00D03F3E">
        <w:rPr>
          <w:rFonts w:ascii="Times New Roman" w:hAnsi="Times New Roman"/>
          <w:color w:val="0070C0"/>
          <w:sz w:val="16"/>
          <w:szCs w:val="16"/>
        </w:rPr>
        <w:softHyphen/>
        <w:t>ны летчика (23181).</w:t>
      </w:r>
    </w:p>
    <w:p w14:paraId="0D27B5C1" w14:textId="77777777" w:rsidR="00E43EB5" w:rsidRPr="00D03F3E" w:rsidRDefault="00E43EB5" w:rsidP="00D03F3E">
      <w:pPr>
        <w:shd w:val="clear" w:color="auto" w:fill="FFFFFF"/>
        <w:spacing w:after="0" w:line="240" w:lineRule="auto"/>
        <w:jc w:val="both"/>
        <w:rPr>
          <w:rFonts w:ascii="Times New Roman" w:hAnsi="Times New Roman"/>
          <w:color w:val="0070C0"/>
          <w:sz w:val="16"/>
          <w:szCs w:val="16"/>
        </w:rPr>
      </w:pPr>
    </w:p>
    <w:p w14:paraId="6C3878FC"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января 1943 самолёт Пегас в разобранном виде поступил на опыт</w:t>
      </w:r>
      <w:r w:rsidRPr="00D03F3E">
        <w:rPr>
          <w:rFonts w:ascii="Times New Roman" w:hAnsi="Times New Roman"/>
          <w:color w:val="000000" w:themeColor="text1"/>
          <w:sz w:val="16"/>
          <w:szCs w:val="16"/>
        </w:rPr>
        <w:softHyphen/>
        <w:t>ный завод НИИ ВВС, где незамедлительно приступили к его сборке, регулировке и приве</w:t>
      </w:r>
      <w:r w:rsidRPr="00D03F3E">
        <w:rPr>
          <w:rFonts w:ascii="Times New Roman" w:hAnsi="Times New Roman"/>
          <w:color w:val="000000" w:themeColor="text1"/>
          <w:sz w:val="16"/>
          <w:szCs w:val="16"/>
        </w:rPr>
        <w:softHyphen/>
        <w:t>дению в лётное состояние.</w:t>
      </w:r>
    </w:p>
    <w:p w14:paraId="4D864319"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Одновременно на заводе </w:t>
      </w:r>
      <w:r w:rsidRPr="00D03F3E">
        <w:rPr>
          <w:rFonts w:ascii="Times New Roman" w:hAnsi="Times New Roman"/>
          <w:color w:val="000000" w:themeColor="text1"/>
          <w:sz w:val="16"/>
          <w:szCs w:val="16"/>
          <w:lang w:val="en-US"/>
        </w:rPr>
        <w:t>No</w:t>
      </w:r>
      <w:r w:rsidRPr="00D03F3E">
        <w:rPr>
          <w:rFonts w:ascii="Times New Roman" w:hAnsi="Times New Roman"/>
          <w:color w:val="000000" w:themeColor="text1"/>
          <w:sz w:val="16"/>
          <w:szCs w:val="16"/>
        </w:rPr>
        <w:t xml:space="preserve"> 288 начались стендовые испытания подвесной пушечной установки под две пушки ВЯ и огневые испытания бронированной кабины лётчика.</w:t>
      </w:r>
    </w:p>
    <w:p w14:paraId="32C8F11F"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 государственные испытания самолёт «Пегас» N° 01 официально поступил 4 февраля 1943 г. Испытания проводились силами 3-го отдела НИИ ВВС. Ведущим инженером по самолёту был назначен инженер-майор П.Т. Аброщенко, ведущим лётчиком - подполковник </w:t>
      </w:r>
      <w:r w:rsidRPr="00D03F3E">
        <w:rPr>
          <w:rStyle w:val="9pt0"/>
          <w:rFonts w:ascii="Times New Roman" w:eastAsia="Arial Unicode MS" w:hAnsi="Times New Roman" w:cs="Times New Roman"/>
          <w:b w:val="0"/>
          <w:color w:val="000000" w:themeColor="text1"/>
          <w:sz w:val="16"/>
          <w:szCs w:val="16"/>
        </w:rPr>
        <w:t>В</w:t>
      </w:r>
      <w:r w:rsidRPr="00D03F3E">
        <w:rPr>
          <w:rFonts w:ascii="Times New Roman" w:hAnsi="Times New Roman"/>
          <w:color w:val="000000" w:themeColor="text1"/>
          <w:sz w:val="16"/>
          <w:szCs w:val="16"/>
        </w:rPr>
        <w:t>.И. Жданов, проводивший и заводские испытания самолёта.</w:t>
      </w:r>
    </w:p>
    <w:p w14:paraId="61D70056"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Style w:val="9pt"/>
          <w:rFonts w:ascii="Times New Roman" w:hAnsi="Times New Roman" w:cs="Times New Roman"/>
          <w:b w:val="0"/>
          <w:i w:val="0"/>
          <w:color w:val="000000" w:themeColor="text1"/>
          <w:sz w:val="16"/>
          <w:szCs w:val="16"/>
        </w:rPr>
        <w:t>Кроме того, самолёт облетали: .помощник начальника НИИ ВВС по лётной</w:t>
      </w:r>
      <w:r w:rsidRPr="00D03F3E">
        <w:rPr>
          <w:rStyle w:val="ArialNarrow105pt"/>
          <w:rFonts w:ascii="Times New Roman" w:hAnsi="Times New Roman" w:cs="Times New Roman"/>
          <w:b w:val="0"/>
          <w:color w:val="000000" w:themeColor="text1"/>
          <w:sz w:val="16"/>
          <w:szCs w:val="16"/>
        </w:rPr>
        <w:t xml:space="preserve"> части</w:t>
      </w:r>
      <w:r w:rsidRPr="00D03F3E">
        <w:rPr>
          <w:rStyle w:val="9pt"/>
          <w:rFonts w:ascii="Times New Roman" w:hAnsi="Times New Roman" w:cs="Times New Roman"/>
          <w:b w:val="0"/>
          <w:i w:val="0"/>
          <w:color w:val="000000" w:themeColor="text1"/>
          <w:sz w:val="16"/>
          <w:szCs w:val="16"/>
        </w:rPr>
        <w:t xml:space="preserve"> пол</w:t>
      </w:r>
      <w:r w:rsidRPr="00D03F3E">
        <w:rPr>
          <w:rStyle w:val="9pt"/>
          <w:rFonts w:ascii="Times New Roman" w:hAnsi="Times New Roman" w:cs="Times New Roman"/>
          <w:b w:val="0"/>
          <w:i w:val="0"/>
          <w:color w:val="000000" w:themeColor="text1"/>
          <w:sz w:val="16"/>
          <w:szCs w:val="16"/>
        </w:rPr>
        <w:softHyphen/>
        <w:t>ковник</w:t>
      </w:r>
      <w:r w:rsidRPr="00D03F3E">
        <w:rPr>
          <w:rFonts w:ascii="Times New Roman" w:hAnsi="Times New Roman"/>
          <w:color w:val="000000" w:themeColor="text1"/>
          <w:sz w:val="16"/>
          <w:szCs w:val="16"/>
        </w:rPr>
        <w:t xml:space="preserve"> А.</w:t>
      </w:r>
      <w:r w:rsidRPr="00D03F3E">
        <w:rPr>
          <w:rStyle w:val="9pt"/>
          <w:rFonts w:ascii="Times New Roman" w:hAnsi="Times New Roman" w:cs="Times New Roman"/>
          <w:b w:val="0"/>
          <w:i w:val="0"/>
          <w:color w:val="000000" w:themeColor="text1"/>
          <w:sz w:val="16"/>
          <w:szCs w:val="16"/>
        </w:rPr>
        <w:t xml:space="preserve">И. Кабанов, помощник начальника 3-го отдела по лётной работе подполковник </w:t>
      </w:r>
      <w:r w:rsidRPr="00D03F3E">
        <w:rPr>
          <w:rStyle w:val="9pt0"/>
          <w:rFonts w:ascii="Times New Roman" w:eastAsia="Arial Unicode MS" w:hAnsi="Times New Roman" w:cs="Times New Roman"/>
          <w:b w:val="0"/>
          <w:color w:val="000000" w:themeColor="text1"/>
          <w:sz w:val="16"/>
          <w:szCs w:val="16"/>
        </w:rPr>
        <w:t>В</w:t>
      </w:r>
      <w:r w:rsidRPr="00D03F3E">
        <w:rPr>
          <w:rFonts w:ascii="Times New Roman" w:hAnsi="Times New Roman"/>
          <w:color w:val="000000" w:themeColor="text1"/>
          <w:sz w:val="16"/>
          <w:szCs w:val="16"/>
        </w:rPr>
        <w:t>.И. Хомяков, полковник П.М. Стефановский, подполковники К.А. Калилец, Г.А. Ашитков, | инженер-майор А.В. Синельников, майоры А.К. Долгов, М.А. Нюхтиков, В.В. Лисицин, М.П. Субботин, капитан А.Г. Кубышкин.</w:t>
      </w:r>
    </w:p>
    <w:p w14:paraId="1034C76D"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испытаний планировалось определить лётно-тактические данные самолёта, их соответствие тактико-техническим требованиям (ТТТ) к самолёту-штурмовику и условия боевого применения при стрельбе по наземной цели, а также дать оценку стрелковому, бом- ^бардировочному и ракетному вооружению.</w:t>
      </w:r>
    </w:p>
    <w:p w14:paraId="53D34E74"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отчётных материалах по результатам испытаний особо отмечалось, что самолёт строился без ТТТ от ВВС КА, без предъявления эскизного проекта, макета и аэродинамических продувок модели самолёта. Полных статических испытаний и динамических испытаний са- гмолёт не проходил. Заключения ЦАГИ о прочности самолёта и его соответствие классу (штурмовика в НИИ ВВС не предъявлялось.</w:t>
      </w:r>
    </w:p>
    <w:p w14:paraId="6C759845"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Полёты по программе государственных испытаний начались 5 февраля, но 28 февраля они были прерваны: в ходе полётов были выявлены многочисленные производственные и конструктивные дефекты. К тому же на заводе № 288 в Омске завершились работы по отладке и доводке подвесной системы с пушками ВЯ и проведены полигонные испытания бронекабины. Было решено доработать самолёт, устранить выявленные недостатки, и за- ~вм испытать его с пушечным вооружением и с бомбовой нагрузкой в 500 кг.</w:t>
      </w:r>
    </w:p>
    <w:p w14:paraId="765F90FD" w14:textId="77777777" w:rsidR="00592CF5" w:rsidRPr="00D03F3E" w:rsidRDefault="00592C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Надо сказать, что впечатление лётчиков-испытателей о «Пегасе» было крайне удручающим. В очередной сводке в Управление опытного строительства ГУ ИАС ВВС по опытным работам красноречиво указывалось, что «Пегас» № 01 в предъявленном виде для использования на фронте не пригоден - «хорошая мишень для зенитной артиллерии». Не может лететь на одном моторе. Прицельная стрельба из пуле</w:t>
      </w:r>
      <w:r w:rsidRPr="00D03F3E">
        <w:rPr>
          <w:rFonts w:ascii="Times New Roman" w:hAnsi="Times New Roman"/>
          <w:color w:val="000000" w:themeColor="text1"/>
          <w:sz w:val="16"/>
          <w:szCs w:val="16"/>
        </w:rPr>
        <w:softHyphen/>
        <w:t>мёта («сильно задирает нос») и бомбометание («нет бомбового прицела») почти невозможны. Ставилось под сомнение при</w:t>
      </w:r>
      <w:r w:rsidRPr="00D03F3E">
        <w:rPr>
          <w:rFonts w:ascii="Times New Roman" w:hAnsi="Times New Roman"/>
          <w:color w:val="000000" w:themeColor="text1"/>
          <w:sz w:val="16"/>
          <w:szCs w:val="16"/>
        </w:rPr>
        <w:softHyphen/>
        <w:t>менение на самолёте пушек ка</w:t>
      </w:r>
      <w:r w:rsidRPr="00D03F3E">
        <w:rPr>
          <w:rFonts w:ascii="Times New Roman" w:hAnsi="Times New Roman"/>
          <w:color w:val="000000" w:themeColor="text1"/>
          <w:sz w:val="16"/>
          <w:szCs w:val="16"/>
        </w:rPr>
        <w:softHyphen/>
        <w:t>либра 23 мм и 37 мм *16846).</w:t>
      </w:r>
    </w:p>
    <w:p w14:paraId="4B4A38EA" w14:textId="77777777" w:rsidR="00592CF5" w:rsidRPr="00D03F3E" w:rsidRDefault="00592CF5" w:rsidP="00D03F3E">
      <w:pPr>
        <w:spacing w:after="0" w:line="240" w:lineRule="auto"/>
        <w:jc w:val="both"/>
        <w:rPr>
          <w:rFonts w:ascii="Times New Roman" w:hAnsi="Times New Roman"/>
          <w:color w:val="000000" w:themeColor="text1"/>
          <w:sz w:val="16"/>
          <w:szCs w:val="16"/>
        </w:rPr>
      </w:pPr>
    </w:p>
    <w:p w14:paraId="79763E59" w14:textId="77777777" w:rsidR="0035133C" w:rsidRPr="00D03F3E" w:rsidRDefault="0035133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26 января 1943 самолет Пегас № 1 в разобран</w:t>
      </w:r>
      <w:r w:rsidRPr="00D03F3E">
        <w:rPr>
          <w:color w:val="000000" w:themeColor="text1"/>
          <w:sz w:val="16"/>
          <w:szCs w:val="16"/>
        </w:rPr>
        <w:softHyphen/>
        <w:t>ном виде поступил на опытный завод НИИ ВВС, где незамедлительно приступили к его сборке, регулировке и приведению в летное состояние.</w:t>
      </w:r>
    </w:p>
    <w:p w14:paraId="4842D843" w14:textId="77777777" w:rsidR="0035133C" w:rsidRPr="00D03F3E" w:rsidRDefault="0035133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Одновременно на заводе № 288 начались стен</w:t>
      </w:r>
      <w:r w:rsidRPr="00D03F3E">
        <w:rPr>
          <w:color w:val="000000" w:themeColor="text1"/>
          <w:sz w:val="16"/>
          <w:szCs w:val="16"/>
        </w:rPr>
        <w:softHyphen/>
        <w:t>довые испытания подвесной пушечной установки под 2 пушки ВЯ и огневые испытания бронирован</w:t>
      </w:r>
      <w:r w:rsidRPr="00D03F3E">
        <w:rPr>
          <w:color w:val="000000" w:themeColor="text1"/>
          <w:sz w:val="16"/>
          <w:szCs w:val="16"/>
        </w:rPr>
        <w:softHyphen/>
        <w:t>ной кабины летчика.</w:t>
      </w:r>
    </w:p>
    <w:p w14:paraId="476F6CF6" w14:textId="77777777" w:rsidR="0035133C" w:rsidRPr="00D03F3E" w:rsidRDefault="0035133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 государственные испытания самолет «Пегас» № 01 официально поступил 4 февраля 1943 г. Ис</w:t>
      </w:r>
      <w:r w:rsidRPr="00D03F3E">
        <w:rPr>
          <w:color w:val="000000" w:themeColor="text1"/>
          <w:sz w:val="16"/>
          <w:szCs w:val="16"/>
        </w:rPr>
        <w:softHyphen/>
        <w:t>пытания проводились силами 3-го отдела НИИ ВВС. Ведущим инженером по самолету был назначен инженер-майор П. Т. Аброщенко, ведущим летчи</w:t>
      </w:r>
      <w:r w:rsidRPr="00D03F3E">
        <w:rPr>
          <w:color w:val="000000" w:themeColor="text1"/>
          <w:sz w:val="16"/>
          <w:szCs w:val="16"/>
        </w:rPr>
        <w:softHyphen/>
        <w:t>ком — подполковник В. И. Жданов, проводивший заводские испытания самолета (17500).</w:t>
      </w:r>
    </w:p>
    <w:p w14:paraId="18B4056B" w14:textId="77777777" w:rsidR="0035133C" w:rsidRPr="00D03F3E" w:rsidRDefault="0035133C" w:rsidP="00D03F3E">
      <w:pPr>
        <w:pStyle w:val="12a"/>
        <w:shd w:val="clear" w:color="auto" w:fill="auto"/>
        <w:spacing w:after="0" w:line="240" w:lineRule="auto"/>
        <w:jc w:val="both"/>
        <w:rPr>
          <w:color w:val="000000" w:themeColor="text1"/>
          <w:sz w:val="16"/>
          <w:szCs w:val="16"/>
        </w:rPr>
      </w:pPr>
    </w:p>
    <w:p w14:paraId="4D408A80" w14:textId="77777777" w:rsidR="00347FDC" w:rsidRPr="00D03F3E" w:rsidRDefault="00347FDC" w:rsidP="00D03F3E">
      <w:pPr>
        <w:pStyle w:val="3a"/>
        <w:shd w:val="clear" w:color="auto" w:fill="auto"/>
        <w:spacing w:before="0" w:after="0" w:line="240" w:lineRule="auto"/>
        <w:jc w:val="both"/>
        <w:rPr>
          <w:color w:val="000000" w:themeColor="text1"/>
          <w:spacing w:val="0"/>
          <w:sz w:val="16"/>
          <w:szCs w:val="16"/>
        </w:rPr>
      </w:pPr>
      <w:r w:rsidRPr="00D03F3E">
        <w:rPr>
          <w:color w:val="000000" w:themeColor="text1"/>
          <w:spacing w:val="0"/>
          <w:sz w:val="16"/>
          <w:szCs w:val="16"/>
        </w:rPr>
        <w:t>26 января 1943 г. Из отчета о летных испытаниях самолетов ЛА-5 № 37210850, 37210853, 37210871 с моторами М-82, улучшенных по рекомендациям ЦАГИ</w:t>
      </w:r>
    </w:p>
    <w:p w14:paraId="400E25EB" w14:textId="77777777" w:rsidR="00347FDC" w:rsidRPr="00D03F3E" w:rsidRDefault="00347FDC" w:rsidP="00D03F3E">
      <w:pPr>
        <w:pStyle w:val="3a"/>
        <w:shd w:val="clear" w:color="auto" w:fill="auto"/>
        <w:spacing w:before="0" w:after="0" w:line="240" w:lineRule="auto"/>
        <w:jc w:val="both"/>
        <w:rPr>
          <w:color w:val="000000" w:themeColor="text1"/>
          <w:spacing w:val="0"/>
          <w:sz w:val="16"/>
          <w:szCs w:val="16"/>
        </w:rPr>
      </w:pPr>
      <w:r w:rsidRPr="00D03F3E">
        <w:rPr>
          <w:color w:val="000000" w:themeColor="text1"/>
          <w:spacing w:val="0"/>
          <w:sz w:val="16"/>
          <w:szCs w:val="16"/>
        </w:rPr>
        <w:t>... Выводы</w:t>
      </w:r>
    </w:p>
    <w:p w14:paraId="79D184E8" w14:textId="77777777" w:rsidR="00347FDC" w:rsidRPr="00D03F3E" w:rsidRDefault="00347F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 результате осуществленных мероприятий (герметизация ка</w:t>
      </w:r>
      <w:r w:rsidRPr="00D03F3E">
        <w:rPr>
          <w:rFonts w:ascii="Times New Roman" w:hAnsi="Times New Roman"/>
          <w:color w:val="000000" w:themeColor="text1"/>
          <w:sz w:val="16"/>
          <w:szCs w:val="16"/>
        </w:rPr>
        <w:softHyphen/>
        <w:t>пота мотора, изменение всасывающего и выхлопных патрубков, изме</w:t>
      </w:r>
      <w:r w:rsidRPr="00D03F3E">
        <w:rPr>
          <w:rFonts w:ascii="Times New Roman" w:hAnsi="Times New Roman"/>
          <w:color w:val="000000" w:themeColor="text1"/>
          <w:sz w:val="16"/>
          <w:szCs w:val="16"/>
        </w:rPr>
        <w:softHyphen/>
        <w:t>нение формы туннеля маслорадиатора и общее облагораживание аэро</w:t>
      </w:r>
      <w:r w:rsidRPr="00D03F3E">
        <w:rPr>
          <w:rFonts w:ascii="Times New Roman" w:hAnsi="Times New Roman"/>
          <w:color w:val="000000" w:themeColor="text1"/>
          <w:sz w:val="16"/>
          <w:szCs w:val="16"/>
        </w:rPr>
        <w:softHyphen/>
        <w:t>динамики самолета), максимальная скорость горизонтального полета у земли самолета ЛА-5 повышена до 530 км/ч при полете на номинальном режиме работы мотора (давление наддува — 950 мм рт[утного] ст[олба]) и до 565 км/ч при полете на режиме повышенной десяти</w:t>
      </w:r>
      <w:r w:rsidRPr="00D03F3E">
        <w:rPr>
          <w:rFonts w:ascii="Times New Roman" w:hAnsi="Times New Roman"/>
          <w:color w:val="000000" w:themeColor="text1"/>
          <w:sz w:val="16"/>
          <w:szCs w:val="16"/>
        </w:rPr>
        <w:softHyphen/>
        <w:t>минутной боевой мощности (давление наддува 1140 мм рт[утного] ст[олба]).</w:t>
      </w:r>
    </w:p>
    <w:p w14:paraId="75E49EA1" w14:textId="77777777" w:rsidR="00347FDC" w:rsidRPr="00D03F3E" w:rsidRDefault="00347F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тех же условиях скорость на первой границе высотности по</w:t>
      </w:r>
      <w:r w:rsidRPr="00D03F3E">
        <w:rPr>
          <w:rFonts w:ascii="Times New Roman" w:hAnsi="Times New Roman"/>
          <w:color w:val="000000" w:themeColor="text1"/>
          <w:sz w:val="16"/>
          <w:szCs w:val="16"/>
        </w:rPr>
        <w:softHyphen/>
        <w:t>вышена до 590 км/ч при Рк=950 мм рт[утного] ст[олба.</w:t>
      </w:r>
    </w:p>
    <w:p w14:paraId="5EA68B7C" w14:textId="77777777" w:rsidR="00347FDC" w:rsidRPr="00D03F3E" w:rsidRDefault="00347F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в диапазоне высот от уровня моря до первой гра</w:t>
      </w:r>
      <w:r w:rsidRPr="00D03F3E">
        <w:rPr>
          <w:rFonts w:ascii="Times New Roman" w:hAnsi="Times New Roman"/>
          <w:color w:val="000000" w:themeColor="text1"/>
          <w:sz w:val="16"/>
          <w:szCs w:val="16"/>
        </w:rPr>
        <w:softHyphen/>
        <w:t>ницы высотности (Н=3250 м), скорость самолета № 37210850 выше ско</w:t>
      </w:r>
      <w:r w:rsidRPr="00D03F3E">
        <w:rPr>
          <w:rFonts w:ascii="Times New Roman" w:hAnsi="Times New Roman"/>
          <w:color w:val="000000" w:themeColor="text1"/>
          <w:sz w:val="16"/>
          <w:szCs w:val="16"/>
        </w:rPr>
        <w:softHyphen/>
        <w:t>ростей опытного самолета ЛА-5 на более чем 5 км/ч. Полученные циф</w:t>
      </w:r>
      <w:r w:rsidRPr="00D03F3E">
        <w:rPr>
          <w:rFonts w:ascii="Times New Roman" w:hAnsi="Times New Roman"/>
          <w:color w:val="000000" w:themeColor="text1"/>
          <w:sz w:val="16"/>
          <w:szCs w:val="16"/>
        </w:rPr>
        <w:softHyphen/>
        <w:t>ры скоростей находятся в полном соответствии с результатами испыта</w:t>
      </w:r>
      <w:r w:rsidRPr="00D03F3E">
        <w:rPr>
          <w:rFonts w:ascii="Times New Roman" w:hAnsi="Times New Roman"/>
          <w:color w:val="000000" w:themeColor="text1"/>
          <w:sz w:val="16"/>
          <w:szCs w:val="16"/>
        </w:rPr>
        <w:softHyphen/>
        <w:t>ний самолета ЛА-5 в аэродинамических трубах ЦАГИ.</w:t>
      </w:r>
    </w:p>
    <w:p w14:paraId="3641FDC6" w14:textId="77777777" w:rsidR="00347FDC" w:rsidRPr="00D03F3E" w:rsidRDefault="00347FDC" w:rsidP="00D03F3E">
      <w:pPr>
        <w:tabs>
          <w:tab w:val="left" w:pos="817"/>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Максимальные скорости всех испытанных самолетов на вто</w:t>
      </w:r>
      <w:r w:rsidRPr="00D03F3E">
        <w:rPr>
          <w:rFonts w:ascii="Times New Roman" w:hAnsi="Times New Roman"/>
          <w:color w:val="000000" w:themeColor="text1"/>
          <w:sz w:val="16"/>
          <w:szCs w:val="16"/>
        </w:rPr>
        <w:softHyphen/>
        <w:t>рой границе высотности мотора практически не дают прироста против максимальных скоростей на 1-й границе высотности, что может быть объяснено неудовлетворительной работой моторов на второй скорости нагнетателя, для выяснения этого вопроса необходимо провести специ</w:t>
      </w:r>
      <w:r w:rsidRPr="00D03F3E">
        <w:rPr>
          <w:rFonts w:ascii="Times New Roman" w:hAnsi="Times New Roman"/>
          <w:color w:val="000000" w:themeColor="text1"/>
          <w:sz w:val="16"/>
          <w:szCs w:val="16"/>
        </w:rPr>
        <w:softHyphen/>
        <w:t>альное исследование.</w:t>
      </w:r>
    </w:p>
    <w:p w14:paraId="1CB153B9" w14:textId="77777777" w:rsidR="00347FDC" w:rsidRPr="00D03F3E" w:rsidRDefault="00347FDC" w:rsidP="00D03F3E">
      <w:pPr>
        <w:tabs>
          <w:tab w:val="left" w:pos="874"/>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Сравнение границ высотности и скорости самолетов №№ 37210850, 37210871 и 37210853 показывает, что измененный всасы</w:t>
      </w:r>
      <w:r w:rsidRPr="00D03F3E">
        <w:rPr>
          <w:rFonts w:ascii="Times New Roman" w:hAnsi="Times New Roman"/>
          <w:color w:val="000000" w:themeColor="text1"/>
          <w:sz w:val="16"/>
          <w:szCs w:val="16"/>
        </w:rPr>
        <w:softHyphen/>
        <w:t>вающий патрубок обеспечил высотность большую на 500 м, чем серий</w:t>
      </w:r>
      <w:r w:rsidRPr="00D03F3E">
        <w:rPr>
          <w:rFonts w:ascii="Times New Roman" w:hAnsi="Times New Roman"/>
          <w:color w:val="000000" w:themeColor="text1"/>
          <w:sz w:val="16"/>
          <w:szCs w:val="16"/>
        </w:rPr>
        <w:softHyphen/>
        <w:t>ный всасывающий патрубок.</w:t>
      </w:r>
    </w:p>
    <w:p w14:paraId="59E59BEC" w14:textId="77777777" w:rsidR="00347FDC" w:rsidRPr="00D03F3E" w:rsidRDefault="00347F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Благодаря меньшему лобовому сопротивлению измененного всасывающего патрубка и туннеля маслорадиатора скорость самоле</w:t>
      </w:r>
      <w:r w:rsidRPr="00D03F3E">
        <w:rPr>
          <w:rFonts w:ascii="Times New Roman" w:hAnsi="Times New Roman"/>
          <w:color w:val="000000" w:themeColor="text1"/>
          <w:sz w:val="16"/>
          <w:szCs w:val="16"/>
        </w:rPr>
        <w:softHyphen/>
        <w:t>та № 37210850 оказалась больше скорости самолета № 37210853 на 6-10 км/ч при Рк=950 мм рт[утного] ст[олба].</w:t>
      </w:r>
    </w:p>
    <w:p w14:paraId="589BA405" w14:textId="77777777" w:rsidR="00347FDC" w:rsidRPr="00D03F3E" w:rsidRDefault="00347FDC" w:rsidP="00D03F3E">
      <w:pPr>
        <w:tabs>
          <w:tab w:val="left" w:pos="841"/>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Герметизация внешнего и внутреннего капота мотора хотя и легко осуществима в серийном производстве, но должна выполняться с особой тщательностью. Скорость самолета № 0871 с частичной гер</w:t>
      </w:r>
      <w:r w:rsidRPr="00D03F3E">
        <w:rPr>
          <w:rFonts w:ascii="Times New Roman" w:hAnsi="Times New Roman"/>
          <w:color w:val="000000" w:themeColor="text1"/>
          <w:sz w:val="16"/>
          <w:szCs w:val="16"/>
        </w:rPr>
        <w:softHyphen/>
        <w:t>метизацией капота мотора (герметизация внешнего капота практиче</w:t>
      </w:r>
      <w:r w:rsidRPr="00D03F3E">
        <w:rPr>
          <w:rFonts w:ascii="Times New Roman" w:hAnsi="Times New Roman"/>
          <w:color w:val="000000" w:themeColor="text1"/>
          <w:sz w:val="16"/>
          <w:szCs w:val="16"/>
        </w:rPr>
        <w:softHyphen/>
        <w:t>ски отсутствовала) оказалась ниже скорости самолета № 0850 (с полной герметизацией) на 6-10 км/ч.</w:t>
      </w:r>
    </w:p>
    <w:p w14:paraId="65F0343F" w14:textId="77777777" w:rsidR="00347FDC" w:rsidRPr="00D03F3E" w:rsidRDefault="00347FDC" w:rsidP="00D03F3E">
      <w:pPr>
        <w:tabs>
          <w:tab w:val="left" w:pos="86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Полное открытие створок капота снижает максимальную скорость самолета ЛА-5 по сравнению со скоростью при створках открытых на 23 мм, на 40-45 км/ч. Таким образом, излишне боль</w:t>
      </w:r>
      <w:r w:rsidRPr="00D03F3E">
        <w:rPr>
          <w:rFonts w:ascii="Times New Roman" w:hAnsi="Times New Roman"/>
          <w:color w:val="000000" w:themeColor="text1"/>
          <w:sz w:val="16"/>
          <w:szCs w:val="16"/>
        </w:rPr>
        <w:softHyphen/>
        <w:t>шое открытие створок приводит к значительному снижению скоро</w:t>
      </w:r>
      <w:r w:rsidRPr="00D03F3E">
        <w:rPr>
          <w:rFonts w:ascii="Times New Roman" w:hAnsi="Times New Roman"/>
          <w:color w:val="000000" w:themeColor="text1"/>
          <w:sz w:val="16"/>
          <w:szCs w:val="16"/>
        </w:rPr>
        <w:softHyphen/>
        <w:t>сти самолета.</w:t>
      </w:r>
    </w:p>
    <w:p w14:paraId="4B114C52" w14:textId="77777777" w:rsidR="00347FDC" w:rsidRPr="00D03F3E" w:rsidRDefault="00347FDC" w:rsidP="00D03F3E">
      <w:pPr>
        <w:tabs>
          <w:tab w:val="left" w:pos="826"/>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Прирост скорости при увеличении наддува с 950 до 1140 мм рт[утного] ст[олба] на высотах 0-1500 м составляет 30-35 км/ч.</w:t>
      </w:r>
    </w:p>
    <w:p w14:paraId="71A9D428" w14:textId="77777777" w:rsidR="00347FDC" w:rsidRPr="00D03F3E" w:rsidRDefault="00347F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Прочность предкрылков и их кронштейнов в настоящее вре</w:t>
      </w:r>
      <w:r w:rsidRPr="00D03F3E">
        <w:rPr>
          <w:rFonts w:ascii="Times New Roman" w:hAnsi="Times New Roman"/>
          <w:color w:val="000000" w:themeColor="text1"/>
          <w:sz w:val="16"/>
          <w:szCs w:val="16"/>
        </w:rPr>
        <w:softHyphen/>
        <w:t>мя еще более усилена, что обеспечивает надежную работу предкрылков в эксплуатации. Изменение, произведенное в кинематике механизма предкрылка, обеспечивает плавную его работу в полете.</w:t>
      </w:r>
    </w:p>
    <w:p w14:paraId="1B3CF1BA" w14:textId="77777777" w:rsidR="00347FDC" w:rsidRPr="00D03F3E" w:rsidRDefault="00347F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Вед. инженер В.Н. Сагинов </w:t>
      </w:r>
    </w:p>
    <w:p w14:paraId="0C123554" w14:textId="77777777" w:rsidR="00347FDC" w:rsidRPr="00D03F3E" w:rsidRDefault="00347F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1 лаборатории ЦАГИ И.В. Остославский</w:t>
      </w:r>
    </w:p>
    <w:p w14:paraId="3194994E" w14:textId="77777777" w:rsidR="00347FDC" w:rsidRPr="00D03F3E" w:rsidRDefault="00347FDC" w:rsidP="00D03F3E">
      <w:pPr>
        <w:tabs>
          <w:tab w:val="left" w:pos="3159"/>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 инженер Соркин</w:t>
      </w:r>
    </w:p>
    <w:p w14:paraId="2CCA0B3F" w14:textId="77777777" w:rsidR="00347FDC" w:rsidRPr="00D03F3E" w:rsidRDefault="00347FDC" w:rsidP="00D03F3E">
      <w:pPr>
        <w:tabs>
          <w:tab w:val="left" w:pos="3159"/>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В.И. Поликовский</w:t>
      </w:r>
    </w:p>
    <w:p w14:paraId="5E1E356B" w14:textId="77777777" w:rsidR="00347FDC" w:rsidRPr="00D03F3E" w:rsidRDefault="00347FDC" w:rsidP="00D03F3E">
      <w:pPr>
        <w:tabs>
          <w:tab w:val="left" w:pos="3136"/>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А.В. Чесалов</w:t>
      </w:r>
    </w:p>
    <w:p w14:paraId="47F4394A" w14:textId="77777777" w:rsidR="00347FDC" w:rsidRPr="00D03F3E" w:rsidRDefault="00347FDC" w:rsidP="00D03F3E">
      <w:pPr>
        <w:tabs>
          <w:tab w:val="left" w:pos="1762"/>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 2 лаб. М.А. Тайц</w:t>
      </w:r>
    </w:p>
    <w:p w14:paraId="7F46A98A" w14:textId="77777777" w:rsidR="00347FDC" w:rsidRPr="00D03F3E" w:rsidRDefault="00347F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Филиал РГАНТД. Ф. Р-217. Оп. 3-1. Д. 196. Л. 11, 12. Копия (15633).</w:t>
      </w:r>
    </w:p>
    <w:p w14:paraId="54E31548" w14:textId="77777777" w:rsidR="00347FDC" w:rsidRPr="00D03F3E" w:rsidRDefault="00347FDC" w:rsidP="00D03F3E">
      <w:pPr>
        <w:pStyle w:val="28"/>
        <w:shd w:val="clear" w:color="auto" w:fill="auto"/>
        <w:spacing w:before="0" w:line="240" w:lineRule="auto"/>
        <w:jc w:val="both"/>
        <w:rPr>
          <w:rStyle w:val="21pt0"/>
          <w:color w:val="000000" w:themeColor="text1"/>
          <w:spacing w:val="0"/>
          <w:sz w:val="16"/>
          <w:szCs w:val="16"/>
        </w:rPr>
      </w:pPr>
    </w:p>
    <w:p w14:paraId="26B458A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января 1943 г. возобновились в гос. испытаниях И-185 эталона. Несмотря на то, что они еще не завер</w:t>
      </w:r>
      <w:r w:rsidRPr="00D03F3E">
        <w:rPr>
          <w:rFonts w:ascii="Times New Roman" w:hAnsi="Times New Roman"/>
          <w:color w:val="000000" w:themeColor="text1"/>
          <w:sz w:val="16"/>
          <w:szCs w:val="16"/>
        </w:rPr>
        <w:softHyphen/>
        <w:t>шились, стало ясно, что получился действительно хоро</w:t>
      </w:r>
      <w:r w:rsidRPr="00D03F3E">
        <w:rPr>
          <w:rFonts w:ascii="Times New Roman" w:hAnsi="Times New Roman"/>
          <w:color w:val="000000" w:themeColor="text1"/>
          <w:sz w:val="16"/>
          <w:szCs w:val="16"/>
        </w:rPr>
        <w:softHyphen/>
        <w:t>ший самолет, превосходивший как отечественные, так и заграничные образцы. На повестку дня стал вопрос о се</w:t>
      </w:r>
      <w:r w:rsidRPr="00D03F3E">
        <w:rPr>
          <w:rFonts w:ascii="Times New Roman" w:hAnsi="Times New Roman"/>
          <w:color w:val="000000" w:themeColor="text1"/>
          <w:sz w:val="16"/>
          <w:szCs w:val="16"/>
        </w:rPr>
        <w:softHyphen/>
        <w:t>рийном производстве машины (10667).</w:t>
      </w:r>
    </w:p>
    <w:p w14:paraId="6FB8DA6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A05B72" w14:textId="77777777" w:rsidR="00D75F9F" w:rsidRPr="00D03F3E" w:rsidRDefault="00D75F9F" w:rsidP="00D03F3E">
      <w:pPr>
        <w:pStyle w:val="3a"/>
        <w:shd w:val="clear" w:color="auto" w:fill="auto"/>
        <w:spacing w:before="0" w:after="0" w:line="240" w:lineRule="auto"/>
        <w:jc w:val="both"/>
        <w:rPr>
          <w:color w:val="000000" w:themeColor="text1"/>
          <w:spacing w:val="0"/>
          <w:sz w:val="16"/>
          <w:szCs w:val="16"/>
        </w:rPr>
      </w:pPr>
      <w:r w:rsidRPr="00D03F3E">
        <w:rPr>
          <w:color w:val="000000" w:themeColor="text1"/>
          <w:spacing w:val="0"/>
          <w:sz w:val="16"/>
          <w:szCs w:val="16"/>
        </w:rPr>
        <w:t>26 января 1943 г. Из отчета о летных испытаниях самолетов ЛА-5 № 37210850, 37210853, 37210871 с моторами М-82, улучшенных по рекомендациям ЦАГИ</w:t>
      </w:r>
    </w:p>
    <w:p w14:paraId="1FE0E1C8" w14:textId="77777777" w:rsidR="00D75F9F" w:rsidRPr="00D03F3E" w:rsidRDefault="00D75F9F" w:rsidP="00D03F3E">
      <w:pPr>
        <w:pStyle w:val="3a"/>
        <w:shd w:val="clear" w:color="auto" w:fill="auto"/>
        <w:spacing w:before="0" w:after="0" w:line="240" w:lineRule="auto"/>
        <w:jc w:val="both"/>
        <w:rPr>
          <w:color w:val="000000" w:themeColor="text1"/>
          <w:spacing w:val="0"/>
          <w:sz w:val="16"/>
          <w:szCs w:val="16"/>
        </w:rPr>
      </w:pPr>
      <w:r w:rsidRPr="00D03F3E">
        <w:rPr>
          <w:color w:val="000000" w:themeColor="text1"/>
          <w:spacing w:val="0"/>
          <w:sz w:val="16"/>
          <w:szCs w:val="16"/>
        </w:rPr>
        <w:lastRenderedPageBreak/>
        <w:t>... Выводы</w:t>
      </w:r>
    </w:p>
    <w:p w14:paraId="1142866F"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 результате осуществленных мероприятий (герметизация ка</w:t>
      </w:r>
      <w:r w:rsidRPr="00D03F3E">
        <w:rPr>
          <w:rFonts w:ascii="Times New Roman" w:hAnsi="Times New Roman"/>
          <w:color w:val="000000" w:themeColor="text1"/>
          <w:sz w:val="16"/>
          <w:szCs w:val="16"/>
        </w:rPr>
        <w:softHyphen/>
        <w:t>пота мотора, изменение всасывающего и выхлопных патрубков, изме</w:t>
      </w:r>
      <w:r w:rsidRPr="00D03F3E">
        <w:rPr>
          <w:rFonts w:ascii="Times New Roman" w:hAnsi="Times New Roman"/>
          <w:color w:val="000000" w:themeColor="text1"/>
          <w:sz w:val="16"/>
          <w:szCs w:val="16"/>
        </w:rPr>
        <w:softHyphen/>
        <w:t>нение формы туннеля маслорадиатора и общее облагораживание аэро</w:t>
      </w:r>
      <w:r w:rsidRPr="00D03F3E">
        <w:rPr>
          <w:rFonts w:ascii="Times New Roman" w:hAnsi="Times New Roman"/>
          <w:color w:val="000000" w:themeColor="text1"/>
          <w:sz w:val="16"/>
          <w:szCs w:val="16"/>
        </w:rPr>
        <w:softHyphen/>
        <w:t>динамики самолета), максимальная скорость горизонтального полета у земли самолета ЛА-5 повышена до 530 км/ч при полете на номинальном режиме работы мотора (давление наддува — 950 мм рт[утного] ст[олба]) и до 565 км/ч при полете на режиме повышенной десяти</w:t>
      </w:r>
      <w:r w:rsidRPr="00D03F3E">
        <w:rPr>
          <w:rFonts w:ascii="Times New Roman" w:hAnsi="Times New Roman"/>
          <w:color w:val="000000" w:themeColor="text1"/>
          <w:sz w:val="16"/>
          <w:szCs w:val="16"/>
        </w:rPr>
        <w:softHyphen/>
        <w:t>минутной боевой мощности (давление наддува 1140 мм рт[утного] ст[олба]).</w:t>
      </w:r>
    </w:p>
    <w:p w14:paraId="402BFC75"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тех же условиях скорость на первой границе высотности по</w:t>
      </w:r>
      <w:r w:rsidRPr="00D03F3E">
        <w:rPr>
          <w:rFonts w:ascii="Times New Roman" w:hAnsi="Times New Roman"/>
          <w:color w:val="000000" w:themeColor="text1"/>
          <w:sz w:val="16"/>
          <w:szCs w:val="16"/>
        </w:rPr>
        <w:softHyphen/>
        <w:t>вышена до 590 км/ч при Рк=950 мм рт[утного] ст[олба.</w:t>
      </w:r>
    </w:p>
    <w:p w14:paraId="7280EDD1"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в диапазоне высот от уровня моря до первой гра</w:t>
      </w:r>
      <w:r w:rsidRPr="00D03F3E">
        <w:rPr>
          <w:rFonts w:ascii="Times New Roman" w:hAnsi="Times New Roman"/>
          <w:color w:val="000000" w:themeColor="text1"/>
          <w:sz w:val="16"/>
          <w:szCs w:val="16"/>
        </w:rPr>
        <w:softHyphen/>
        <w:t>ницы высотности (Н=3250 м), скорость самолета № 37210850 выше ско</w:t>
      </w:r>
      <w:r w:rsidRPr="00D03F3E">
        <w:rPr>
          <w:rFonts w:ascii="Times New Roman" w:hAnsi="Times New Roman"/>
          <w:color w:val="000000" w:themeColor="text1"/>
          <w:sz w:val="16"/>
          <w:szCs w:val="16"/>
        </w:rPr>
        <w:softHyphen/>
        <w:t>ростей опытного самолета ЛА-5 на более чем 5 км/ч. Полученные циф</w:t>
      </w:r>
      <w:r w:rsidRPr="00D03F3E">
        <w:rPr>
          <w:rFonts w:ascii="Times New Roman" w:hAnsi="Times New Roman"/>
          <w:color w:val="000000" w:themeColor="text1"/>
          <w:sz w:val="16"/>
          <w:szCs w:val="16"/>
        </w:rPr>
        <w:softHyphen/>
        <w:t>ры скоростей находятся в полном соответствии с результатами испыта</w:t>
      </w:r>
      <w:r w:rsidRPr="00D03F3E">
        <w:rPr>
          <w:rFonts w:ascii="Times New Roman" w:hAnsi="Times New Roman"/>
          <w:color w:val="000000" w:themeColor="text1"/>
          <w:sz w:val="16"/>
          <w:szCs w:val="16"/>
        </w:rPr>
        <w:softHyphen/>
        <w:t>ний самолета ЛА-5 в аэродинамических трубах ЦАГИ.</w:t>
      </w:r>
    </w:p>
    <w:p w14:paraId="5730588B" w14:textId="77777777" w:rsidR="00D75F9F" w:rsidRPr="00D03F3E" w:rsidRDefault="00D75F9F" w:rsidP="00D03F3E">
      <w:pPr>
        <w:tabs>
          <w:tab w:val="left" w:pos="817"/>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Максимальные скорости всех испытанных самолетов на вто</w:t>
      </w:r>
      <w:r w:rsidRPr="00D03F3E">
        <w:rPr>
          <w:rFonts w:ascii="Times New Roman" w:hAnsi="Times New Roman"/>
          <w:color w:val="000000" w:themeColor="text1"/>
          <w:sz w:val="16"/>
          <w:szCs w:val="16"/>
        </w:rPr>
        <w:softHyphen/>
        <w:t>рой границе высотности мотора практически не дают прироста против максимальных скоростей на 1-й границе высотности, что может быть объяснено неудовлетворительной работой моторов на второй скорости нагнетателя, для выяснения этого вопроса необходимо провести специ</w:t>
      </w:r>
      <w:r w:rsidRPr="00D03F3E">
        <w:rPr>
          <w:rFonts w:ascii="Times New Roman" w:hAnsi="Times New Roman"/>
          <w:color w:val="000000" w:themeColor="text1"/>
          <w:sz w:val="16"/>
          <w:szCs w:val="16"/>
        </w:rPr>
        <w:softHyphen/>
        <w:t>альное исследование.</w:t>
      </w:r>
    </w:p>
    <w:p w14:paraId="74C1C2CE" w14:textId="77777777" w:rsidR="00D75F9F" w:rsidRPr="00D03F3E" w:rsidRDefault="00D75F9F" w:rsidP="00D03F3E">
      <w:pPr>
        <w:tabs>
          <w:tab w:val="left" w:pos="874"/>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Сравнение границ высотности и скорости самолетов №№ 37210850, 37210871 и 37210853 показывает, что измененный всасы</w:t>
      </w:r>
      <w:r w:rsidRPr="00D03F3E">
        <w:rPr>
          <w:rFonts w:ascii="Times New Roman" w:hAnsi="Times New Roman"/>
          <w:color w:val="000000" w:themeColor="text1"/>
          <w:sz w:val="16"/>
          <w:szCs w:val="16"/>
        </w:rPr>
        <w:softHyphen/>
        <w:t>вающий патрубок обеспечил высотность большую на 500 м, чем серий</w:t>
      </w:r>
      <w:r w:rsidRPr="00D03F3E">
        <w:rPr>
          <w:rFonts w:ascii="Times New Roman" w:hAnsi="Times New Roman"/>
          <w:color w:val="000000" w:themeColor="text1"/>
          <w:sz w:val="16"/>
          <w:szCs w:val="16"/>
        </w:rPr>
        <w:softHyphen/>
        <w:t>ный всасывающий патрубок.</w:t>
      </w:r>
    </w:p>
    <w:p w14:paraId="485B51C5"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Благодаря меньшему лобовому сопротивлению измененного всасывающего патрубка и туннеля маслорадиатора скорость самоле</w:t>
      </w:r>
      <w:r w:rsidRPr="00D03F3E">
        <w:rPr>
          <w:rFonts w:ascii="Times New Roman" w:hAnsi="Times New Roman"/>
          <w:color w:val="000000" w:themeColor="text1"/>
          <w:sz w:val="16"/>
          <w:szCs w:val="16"/>
        </w:rPr>
        <w:softHyphen/>
        <w:t>та № 37210850 оказалась больше скорости самолета № 37210853 на 6-10 км/ч при Рк=950 мм рт[утного] ст[олба].</w:t>
      </w:r>
    </w:p>
    <w:p w14:paraId="725CD2FF" w14:textId="77777777" w:rsidR="00D75F9F" w:rsidRPr="00D03F3E" w:rsidRDefault="00D75F9F" w:rsidP="00D03F3E">
      <w:pPr>
        <w:tabs>
          <w:tab w:val="left" w:pos="841"/>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Герметизация внешнего и внутреннего капота мотора хотя и легко осуществима в серийном производстве, но должна выполняться с особой тщательностью. Скорость самолета № 0871 с частичной гер</w:t>
      </w:r>
      <w:r w:rsidRPr="00D03F3E">
        <w:rPr>
          <w:rFonts w:ascii="Times New Roman" w:hAnsi="Times New Roman"/>
          <w:color w:val="000000" w:themeColor="text1"/>
          <w:sz w:val="16"/>
          <w:szCs w:val="16"/>
        </w:rPr>
        <w:softHyphen/>
        <w:t>метизацией капота мотора (герметизация внешнего капота практиче</w:t>
      </w:r>
      <w:r w:rsidRPr="00D03F3E">
        <w:rPr>
          <w:rFonts w:ascii="Times New Roman" w:hAnsi="Times New Roman"/>
          <w:color w:val="000000" w:themeColor="text1"/>
          <w:sz w:val="16"/>
          <w:szCs w:val="16"/>
        </w:rPr>
        <w:softHyphen/>
        <w:t>ски отсутствовала) оказалась ниже скорости самолета № 0850 (с полной герметизацией) на 6-10 км/ч.</w:t>
      </w:r>
    </w:p>
    <w:p w14:paraId="6E177812" w14:textId="77777777" w:rsidR="00D75F9F" w:rsidRPr="00D03F3E" w:rsidRDefault="00D75F9F" w:rsidP="00D03F3E">
      <w:pPr>
        <w:tabs>
          <w:tab w:val="left" w:pos="86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Полное открытие створок капота снижает максимальную скорость самолета ЛА-5 по сравнению со скоростью при створках открытых на 23 мм, на 40-45 км/ч. Таким образом, излишне боль</w:t>
      </w:r>
      <w:r w:rsidRPr="00D03F3E">
        <w:rPr>
          <w:rFonts w:ascii="Times New Roman" w:hAnsi="Times New Roman"/>
          <w:color w:val="000000" w:themeColor="text1"/>
          <w:sz w:val="16"/>
          <w:szCs w:val="16"/>
        </w:rPr>
        <w:softHyphen/>
        <w:t>шое открытие створок приводит к значительному снижению скоро</w:t>
      </w:r>
      <w:r w:rsidRPr="00D03F3E">
        <w:rPr>
          <w:rFonts w:ascii="Times New Roman" w:hAnsi="Times New Roman"/>
          <w:color w:val="000000" w:themeColor="text1"/>
          <w:sz w:val="16"/>
          <w:szCs w:val="16"/>
        </w:rPr>
        <w:softHyphen/>
        <w:t>сти самолета.</w:t>
      </w:r>
    </w:p>
    <w:p w14:paraId="15663910" w14:textId="77777777" w:rsidR="00D75F9F" w:rsidRPr="00D03F3E" w:rsidRDefault="00D75F9F" w:rsidP="00D03F3E">
      <w:pPr>
        <w:tabs>
          <w:tab w:val="left" w:pos="826"/>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Прирост скорости при увеличении наддува с 950 до 1140 мм рт[утного] ст[олба] на высотах 0-1500 м составляет 30-35 км/ч.</w:t>
      </w:r>
    </w:p>
    <w:p w14:paraId="0DA7CB4B"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Прочность предкрылков и их кронштейнов в настоящее вре</w:t>
      </w:r>
      <w:r w:rsidRPr="00D03F3E">
        <w:rPr>
          <w:rFonts w:ascii="Times New Roman" w:hAnsi="Times New Roman"/>
          <w:color w:val="000000" w:themeColor="text1"/>
          <w:sz w:val="16"/>
          <w:szCs w:val="16"/>
        </w:rPr>
        <w:softHyphen/>
        <w:t>мя еще более усилена, что обеспечивает надежную работу предкрылков в эксплуатации. Изменение, произведенное в кинематике механизма предкрылка, обеспечивает плавную его работу в полете.</w:t>
      </w:r>
    </w:p>
    <w:p w14:paraId="792EC3B9"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Вед. инженер В.Н. Сагинов </w:t>
      </w:r>
    </w:p>
    <w:p w14:paraId="12179B5A"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1 лаборатории ЦАГИ И.В. Остославский</w:t>
      </w:r>
    </w:p>
    <w:p w14:paraId="2EAF8B03" w14:textId="77777777" w:rsidR="00D75F9F" w:rsidRPr="00D03F3E" w:rsidRDefault="00D75F9F" w:rsidP="00D03F3E">
      <w:pPr>
        <w:tabs>
          <w:tab w:val="left" w:pos="3159"/>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 инженер Соркин</w:t>
      </w:r>
    </w:p>
    <w:p w14:paraId="1F74B83A" w14:textId="77777777" w:rsidR="00D75F9F" w:rsidRPr="00D03F3E" w:rsidRDefault="00D75F9F" w:rsidP="00D03F3E">
      <w:pPr>
        <w:tabs>
          <w:tab w:val="left" w:pos="3159"/>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В.И. Поликовский</w:t>
      </w:r>
    </w:p>
    <w:p w14:paraId="5BCC3D25" w14:textId="77777777" w:rsidR="00D75F9F" w:rsidRPr="00D03F3E" w:rsidRDefault="00D75F9F" w:rsidP="00D03F3E">
      <w:pPr>
        <w:tabs>
          <w:tab w:val="left" w:pos="3136"/>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А.В. Чесалов</w:t>
      </w:r>
    </w:p>
    <w:p w14:paraId="4552977F" w14:textId="77777777" w:rsidR="00D75F9F" w:rsidRPr="00D03F3E" w:rsidRDefault="00D75F9F" w:rsidP="00D03F3E">
      <w:pPr>
        <w:tabs>
          <w:tab w:val="left" w:pos="1762"/>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 2 лаб. М.А. Тайц</w:t>
      </w:r>
    </w:p>
    <w:p w14:paraId="0C8AC1ED"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Филиал РГАНТД. Ф. Р-217. Оп. 3-1. Д. 196. Л. 11, 12. Копия (15633).</w:t>
      </w:r>
    </w:p>
    <w:p w14:paraId="423E4BF5" w14:textId="77777777" w:rsidR="00D75F9F" w:rsidRPr="00D03F3E" w:rsidRDefault="00D75F9F" w:rsidP="00D03F3E">
      <w:pPr>
        <w:pStyle w:val="28"/>
        <w:shd w:val="clear" w:color="auto" w:fill="auto"/>
        <w:spacing w:before="0" w:line="240" w:lineRule="auto"/>
        <w:jc w:val="both"/>
        <w:rPr>
          <w:rStyle w:val="21pt0"/>
          <w:color w:val="000000" w:themeColor="text1"/>
          <w:spacing w:val="0"/>
          <w:sz w:val="16"/>
          <w:szCs w:val="16"/>
        </w:rPr>
      </w:pPr>
    </w:p>
    <w:p w14:paraId="6AF4CBF2" w14:textId="77777777" w:rsidR="00347FDC" w:rsidRPr="00D03F3E" w:rsidRDefault="00347F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января 1943 в беседе с министром иностранных дел Сун Цзывэнем Панюшкин уже сообщал, что в Москве существует определенное мнение об авиазаводе в Урумчи, и что советское правительство склонно рассмотреть предложения китайского правительства по этому вопросу и что для того, чтобы получить официальное мнение со</w:t>
      </w:r>
      <w:r w:rsidRPr="00D03F3E">
        <w:rPr>
          <w:rFonts w:ascii="Times New Roman" w:hAnsi="Times New Roman"/>
          <w:color w:val="000000" w:themeColor="text1"/>
          <w:sz w:val="16"/>
          <w:szCs w:val="16"/>
        </w:rPr>
        <w:softHyphen/>
        <w:t>ветского правительства, он хотел бы знать конкретные предложения китайцев (15811).</w:t>
      </w:r>
    </w:p>
    <w:p w14:paraId="4C40E9DD" w14:textId="77777777" w:rsidR="00347FDC" w:rsidRPr="00D03F3E" w:rsidRDefault="00347FDC" w:rsidP="00D03F3E">
      <w:pPr>
        <w:spacing w:after="0" w:line="240" w:lineRule="auto"/>
        <w:jc w:val="both"/>
        <w:rPr>
          <w:rFonts w:ascii="Times New Roman" w:hAnsi="Times New Roman"/>
          <w:color w:val="000000" w:themeColor="text1"/>
          <w:sz w:val="16"/>
          <w:szCs w:val="16"/>
        </w:rPr>
      </w:pPr>
    </w:p>
    <w:p w14:paraId="7158B34D"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72E3800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B2FAC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января 1943 вышло Постановление ГКО № 2784 О выделении помещений для бронетанкового завода НКО по изготовлению и восстановлению танковых запасных частей.РГАНИР, Фонд ГКО, д. 84, лл. 17 (11012).</w:t>
      </w:r>
    </w:p>
    <w:p w14:paraId="194BC91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6D2EB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января 1943г. была подготовлена СПРАВКА УПРАВЛЕНИЯ БРОНЕПОЕЗДОВ И БРОНЕМАШИН ГБТУ КА О СТРОИТЕЛЬСТВЕ БРОНЕПОЕЗДОВ № 2095</w:t>
      </w:r>
    </w:p>
    <w:p w14:paraId="76A5523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Постановлением ГОКО №2095сс от 25.07.1942 г. предусмотрено изготовление во 2-м полугодии 1942 года 20 бронепоездов, из них:</w:t>
      </w:r>
    </w:p>
    <w:p w14:paraId="3F508D0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в системе Наркомтяжмаша (Коломенский завод) 6 бронепоездов;</w:t>
      </w:r>
    </w:p>
    <w:p w14:paraId="103F3F7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в системе Наркомата путей сообщения (паровозовагоноремонтные заводы) — 14 бронепоездов.</w:t>
      </w:r>
    </w:p>
    <w:p w14:paraId="65720CE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Для изготовления бронепоездов Наркомтанкопром обязан изготовить броневые детали и поставить их НКПС и НКТМ.</w:t>
      </w:r>
    </w:p>
    <w:p w14:paraId="6366940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ГБТУ КА обеспечивает строительство башнями с аварийных танков Т-34.</w:t>
      </w:r>
    </w:p>
    <w:p w14:paraId="71497F4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На 1.01.1943 г. изготовлено два бронепоезда: один Коломенским заводом НКТМ и второй Чкаловским паровозоремонтным заводом НКПС.</w:t>
      </w:r>
    </w:p>
    <w:p w14:paraId="2BA56DA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На 25.01.1943 г. находится в процессе окончания изготовления:</w:t>
      </w:r>
    </w:p>
    <w:p w14:paraId="046BD6C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на Коломенском заводе — 1 бронепоезд, намеченный срок выпуска 20 февраля; Причина задержки окончания изготовления — отсутствие части бронедеталей;</w:t>
      </w:r>
    </w:p>
    <w:p w14:paraId="381ADAC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на Чкаловском ПРзаводе — 1 бронепоезд, намеченный срок выпуска 15 февраля.</w:t>
      </w:r>
    </w:p>
    <w:p w14:paraId="7948836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Причина задержки окончания изготовления — не обеспеченность погонами башен и части электрооборудования по вине управления НКПС, несмотря на то, что после выхода постановления о строительстве прошло 6 месяцев;</w:t>
      </w:r>
    </w:p>
    <w:p w14:paraId="6DE6B2B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 Ярославском ПРзаводе - 1 бронепаровоз, намеченный срок выпуска 5 февраля. Причина задержки окончания изготовления — отсутствие части электрооборудования.</w:t>
      </w:r>
    </w:p>
    <w:p w14:paraId="46638A5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На остальных заводах (для последующих к выпуску бронепоездов) произведена только под</w:t>
      </w:r>
      <w:r w:rsidRPr="00D03F3E">
        <w:rPr>
          <w:rFonts w:ascii="Times New Roman" w:hAnsi="Times New Roman"/>
          <w:color w:val="000000" w:themeColor="text1"/>
          <w:sz w:val="16"/>
          <w:szCs w:val="16"/>
        </w:rPr>
        <w:softHyphen/>
        <w:t>готовка паровозов и платформ под бронирование.</w:t>
      </w:r>
    </w:p>
    <w:p w14:paraId="73C041A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На 26.01.1943 г. Наркомтанкопром сдал броневые детали только на 4 бронепоезда, 2 бронепа-ровоза и отгрузил 80% комплекта деталей на пятый бронепоезд.</w:t>
      </w:r>
    </w:p>
    <w:p w14:paraId="31A3165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Срыв программы строительства бронепоездов произошел исключительно вследствие недо</w:t>
      </w:r>
      <w:r w:rsidRPr="00D03F3E">
        <w:rPr>
          <w:rFonts w:ascii="Times New Roman" w:hAnsi="Times New Roman"/>
          <w:color w:val="000000" w:themeColor="text1"/>
          <w:sz w:val="16"/>
          <w:szCs w:val="16"/>
        </w:rPr>
        <w:softHyphen/>
        <w:t>ставки броневых деталей Наркомтанкопромом заводам НКПС и НКТМ.</w:t>
      </w:r>
    </w:p>
    <w:p w14:paraId="589C882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Башни на пункты строительства распоряжением ГБТУ КА завезены.</w:t>
      </w:r>
    </w:p>
    <w:p w14:paraId="081F3E3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На протяжении всего прошедшего периода о срыве строительства бронепоездов системати</w:t>
      </w:r>
      <w:r w:rsidRPr="00D03F3E">
        <w:rPr>
          <w:rFonts w:ascii="Times New Roman" w:hAnsi="Times New Roman"/>
          <w:color w:val="000000" w:themeColor="text1"/>
          <w:sz w:val="16"/>
          <w:szCs w:val="16"/>
        </w:rPr>
        <w:softHyphen/>
        <w:t>чески сообщалось в СНК СССР, Госконтроль, Наркомтанкопром, НКТМ и НКПС.</w:t>
      </w:r>
    </w:p>
    <w:p w14:paraId="31A3ABB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 итогах работы промышленности по строительству бронепоездов в январе месяце 1943 г. пред</w:t>
      </w:r>
      <w:r w:rsidRPr="00D03F3E">
        <w:rPr>
          <w:rFonts w:ascii="Times New Roman" w:hAnsi="Times New Roman"/>
          <w:color w:val="000000" w:themeColor="text1"/>
          <w:sz w:val="16"/>
          <w:szCs w:val="16"/>
        </w:rPr>
        <w:softHyphen/>
        <w:t>положено сообщить в СНК СССР.</w:t>
      </w:r>
    </w:p>
    <w:p w14:paraId="6EFF412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1 отдела управления бронепоездов и бронемашин ГБТУ КА</w:t>
      </w:r>
    </w:p>
    <w:p w14:paraId="51726AE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инженер-майор Смирнов</w:t>
      </w:r>
    </w:p>
    <w:p w14:paraId="2D7CDB2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Старший помощник начальника 1 отдела инженер-капитан Пантелеев</w:t>
      </w:r>
    </w:p>
    <w:p w14:paraId="29EFD42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11358. Д. 95. Л. 126. Подлинник (11403).</w:t>
      </w:r>
    </w:p>
    <w:p w14:paraId="70AA174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920C5F" w14:textId="77777777" w:rsidR="00E43EB5" w:rsidRPr="00D03F3E" w:rsidRDefault="00E43EB5" w:rsidP="00D03F3E">
      <w:pPr>
        <w:pStyle w:val="article-renderblock"/>
        <w:shd w:val="clear" w:color="auto" w:fill="FFFFFF"/>
        <w:spacing w:before="0" w:beforeAutospacing="0" w:after="0" w:afterAutospacing="0"/>
        <w:jc w:val="both"/>
        <w:rPr>
          <w:color w:val="0070C0"/>
          <w:sz w:val="16"/>
          <w:szCs w:val="16"/>
        </w:rPr>
      </w:pPr>
      <w:r w:rsidRPr="00D03F3E">
        <w:rPr>
          <w:color w:val="0070C0"/>
          <w:sz w:val="16"/>
          <w:szCs w:val="16"/>
        </w:rPr>
        <w:t>26 января 1943 года БТУ ГБТУ КА подтвердило задание о разработке орудия М-42 для танка Т-80. На сей раз непосредственная разработка орудия ложилась на плечи ОКБ-172 (то есть всё равно орудие разрабатывал Цирульников), а КБ завода №235 (по сути филиал ОКБ-172, начальник КБ И.В. Самарский, главный конструктор С. Попов) было, что называется, подрядчиком. При этом задание на разработку М-42 для Т-70 никто не снимал. Таким образом, часто встречающееся утверждение о том, что "длинную руку" для Т-80 создали уже после окончания работ по такому же орудию для Т-70, слегка так не соответствует действительности. Фактически орудия создавались одновременно, другой вопрос, что Т-80 для опытных стал доступен слегка так позже (20344).</w:t>
      </w:r>
    </w:p>
    <w:p w14:paraId="62F155A7" w14:textId="77777777" w:rsidR="00E43EB5" w:rsidRPr="00D03F3E" w:rsidRDefault="00E43EB5" w:rsidP="00D03F3E">
      <w:pPr>
        <w:pStyle w:val="article-renderblock"/>
        <w:shd w:val="clear" w:color="auto" w:fill="FFFFFF"/>
        <w:spacing w:before="0" w:beforeAutospacing="0" w:after="0" w:afterAutospacing="0"/>
        <w:jc w:val="both"/>
        <w:rPr>
          <w:color w:val="0070C0"/>
          <w:sz w:val="16"/>
          <w:szCs w:val="16"/>
        </w:rPr>
      </w:pPr>
    </w:p>
    <w:p w14:paraId="484D0E4F"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января 1943 вышло Постановление ГКО № 2785 О плане распределения автомобильных прицепов на I квартал 1943 года. (7077, 18,19-21).</w:t>
      </w:r>
    </w:p>
    <w:p w14:paraId="4F2ADA05"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FACC2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января 1943 вышло Постановление ГКО № 2786 О тов. Латышеве П.М.РГАНИР, Фонд ГКО, д. 84, лл. 22 (11012).</w:t>
      </w:r>
    </w:p>
    <w:p w14:paraId="6577DCC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5E610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января 1943 вышло Постановление ГКО № 2787 О т.т. Субботине Н.Е. и Новикове И.И.РГАНИР, Фонд ГКО, д. 84, лл. 23 (11012).</w:t>
      </w:r>
    </w:p>
    <w:p w14:paraId="39BCA74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6B0E71"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26 января</w:t>
      </w:r>
      <w:r w:rsidRPr="00D03F3E">
        <w:rPr>
          <w:rFonts w:ascii="Times New Roman" w:hAnsi="Times New Roman"/>
          <w:color w:val="000000" w:themeColor="text1"/>
          <w:sz w:val="16"/>
          <w:szCs w:val="16"/>
        </w:rPr>
        <w:t xml:space="preserve"> в 1943 году в соответствии с приказом по Народному Комиссариату боеприпасов СССР № 84 основано Федеральное государственное унитарное предприятие «Красноуральский химический завод». Завод был предназначен для производства боевых взрывчатых веществ - тротила и гексогена и изготовления на их основе боеприпасов. Красноуральский химический завод выпускает промышленные взрывчатые вещества (гранулотол, граммониты, тротил), лекарственные препараты (нитросорбид), товары бытовой химии, оборудование (трубчатые воздухоподогреватели, фрагмент установки очистки воды, стальные конструкции опор линий электропередач, экономайзеры для ТЭЦ и ГРЭС, запчасти к углеразмельному оборудованию ТЭЦ, ролики ленточных конвейеров для доставки угля или породы в условиях высокой влажности и запыленности), стройматериалы (15021).</w:t>
      </w:r>
    </w:p>
    <w:p w14:paraId="4715B3E2" w14:textId="77777777" w:rsidR="00D75F9F" w:rsidRPr="00D03F3E" w:rsidRDefault="00D75F9F" w:rsidP="00D03F3E">
      <w:pPr>
        <w:spacing w:after="0" w:line="240" w:lineRule="auto"/>
        <w:jc w:val="both"/>
        <w:rPr>
          <w:rFonts w:ascii="Times New Roman" w:hAnsi="Times New Roman"/>
          <w:color w:val="000000" w:themeColor="text1"/>
          <w:sz w:val="16"/>
          <w:szCs w:val="16"/>
        </w:rPr>
      </w:pPr>
    </w:p>
    <w:p w14:paraId="26A2ACBC"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49C974A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8CE1AA"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26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47BA1D09"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26 января наши войска в районе Сталинграда, Воронежа, на Северном Кавказе, в районе Нижнего Дона, Северного Донца и южнее Ладожскогоозера продолжали бои на прежних направлениях.</w:t>
      </w:r>
    </w:p>
    <w:p w14:paraId="49F8B9C9"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Южном фронте наши части в результате ожесточённого боя с противником овладели одним населённым пунктом. Захвачены 8 орудий, 19 пулемётов, 3 шестиствольных миномёта, 280 винтовок, 31 автомат, 12 автомашин, склад боеприпасов и другие трофеи. На другом участке отбита контратака танков и пехоты противника. На поле боя осталось более 200 вражеских трупов и 3 разбитых немецких танка.</w:t>
      </w:r>
    </w:p>
    <w:p w14:paraId="65FC33DA"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продолжали продвигаться вперёд и заняли ряд населённых пунктов. Н-ская часть освободила от гитлеровцев совхоз «Красноармеец». В бою захвачены 15 миномётов, 10 пулемётов, более 100 винтовок, продовольственный склад и склад боеприпасов. На другом участке наша части овладели рядом важных высот. Гитлеровцы оказывали упорное сопротивление и неоднократно переходили в контратаки. Все контратаки отбиты с большими для противника потерями.</w:t>
      </w:r>
    </w:p>
    <w:p w14:paraId="175E1840"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Воронежского фронта вели успешные наступательные бои. Наши танкисты окружили и уничтожили труппу войск противника, отказавшуюся сложить оружие. Бойцы Н-ской части штурмом заняли сильно укреплённый немцами населённый пункт. Разрушено 18 дзотов и 9 блиндажей. На подступах к населённому пункту и на его улицах подсчитано до 350 вражеских трупов. Захвачено 3 танка, 7 орудий и два продовольственных склада.</w:t>
      </w:r>
    </w:p>
    <w:p w14:paraId="0FD511DD"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Закавказского фронта продолжали наступление. Гвардейцы-кавалеристы Н-ской части внезапно напали на вражескую колонну и изрубили две роты пехоты противника. Наше соединение, продвигаясь вперёд, заняло несколько населённых пунктов. Взято 130 пленных, захвачены большие трофеи. Только в одном населенном пункте захвачены 14 орудий, 52 автомашины, 7 транспортёров, 5 тягачей, склад боеприпасов и склад запасных частей.</w:t>
      </w:r>
    </w:p>
    <w:p w14:paraId="7C1B111D"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ростовских партизан в боях против немецко-фашистских захватчиков истребил до 200 вражеских солдат и офицеров. Партизаны уничтожили 24 автомашиныи 6 повозок с боеприпасами, шестиствольный миномёт, противотанковое орудие и сожгли 25 тонн горючего. Захвачено 2 пулемёта, более 100 винтовок и 25 тысяч патронов. Кроме того, советские патриоты отбили у немцев 1.200 голов рогатого скота и 3.500 овец, награбленных гитлеровцами в колхозах и у населения.</w:t>
      </w:r>
    </w:p>
    <w:p w14:paraId="356C90D4"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грабежах и зверствах немецко-фашистских мерзавцев на хуторе Нижне-Калиновка, Сталинградской области: «Немецкие захватчики ограбили колхоз и жителей хутора. Гитлеровцы отобрали у колхозников всё продовольствие и личные вещи. У колхозницы Елизаветы Комаровой немцы отняликорову, 2 козы, 10 кур и 2 мешка зерна. У колхозника Петра Симонова, у колхозниц Феодосии Буриковой, Марии Агульцевой и других они забрали коров и телят. Гитлеровские бандиты врывались в дома, силой отнимали тёплые вещи и ценности. У Марфы Пономарёвой и Пелагеи Фастовой немцы перерыли всё имущество и унесли чемодан с бельём, швейную машину, карманные часы и золотое кольцо. Глубокой осенью немцы выселили колхозников, а сами заняли их дома. Незадолго до своего бегства они сожгли здание сельского совета, дом правления колхоза, школу, 4 колхозных амбара, конюшню, 20 домов колхозников и другие постройки. Четыре долгих месяца изнывали мы в фашистской неволе. Всё это время мы чувствовали себя приговорёнными к смерти. Как ясного солнышка, ждали мы свою освободительницу —Красную Армию. Наконец-то этот день настал. Красная Армия отомстит фашистским разбойникам за все наши мучения». Акт подписали: П.Полякова, П.Симонов, А.Сатчикова, З.Максимова, М.Недомеркова, В.Водолазова, А.Сысоева, А.Котельникова, А.Зорина, М.Гульцева, М.Борисова, А.Гужева и другие колхозники и колхозницы.</w:t>
      </w:r>
    </w:p>
    <w:p w14:paraId="20FCE245"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Бельгийские патриоты в Антверпене бросили несколько бомб в немецкий гараж. Возникшим пожаром уничтожено свыше 20 автомашин. В районе Мехельна пущен под откос немецкий воинский эшелон. По неполным данным, бельгийские железнодорожники за последний месяц вывели из строя 63 паровоза.» (15021).</w:t>
      </w:r>
    </w:p>
    <w:p w14:paraId="20812EF6" w14:textId="77777777" w:rsidR="00D75F9F" w:rsidRPr="00D03F3E" w:rsidRDefault="00D75F9F" w:rsidP="00D03F3E">
      <w:pPr>
        <w:spacing w:after="0" w:line="240" w:lineRule="auto"/>
        <w:jc w:val="both"/>
        <w:rPr>
          <w:rFonts w:ascii="Times New Roman" w:hAnsi="Times New Roman"/>
          <w:color w:val="000000" w:themeColor="text1"/>
          <w:sz w:val="16"/>
          <w:szCs w:val="16"/>
        </w:rPr>
      </w:pPr>
    </w:p>
    <w:p w14:paraId="16F34832"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26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0E255BD1"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Донского фронта, продолжая наступление против немецко-фашистскихвойск, окружённых в районе Сталинграда, после ожесточённых боёв, преодолев многочисленные мощные укрепления противника, закончили в основном ликвидацию окружённой группировки. Остались еще не ликвидированными две разрозненные и изолированные друг от друга небольшие группы противника общей численностью не более 12.000 человек, из коих одна группа находится севернее Сталинграда и другая ближе к центральной части Сталинграда. Обе эти группы противника обречены, и ликвидация их — вопрос двух-трёх дней.</w:t>
      </w:r>
    </w:p>
    <w:p w14:paraId="4A401680"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января войска Юго-Западного, Южного, Северо-Кавказского, Воронежского, Волховского и Ленинградского фронтов вели наступательные бои на прежних направлениях.</w:t>
      </w:r>
    </w:p>
    <w:p w14:paraId="17AC0179"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января частями нашей авиации на различных участках фронта уничтожено или повреждено 10 немецких танков, свыше 200 автомашин с войсками и грузами, подавлен огонь 11 артиллерийских батарей, взорвано 8 складов боеприпасов, разбит железнодорожный эшелон, рассеяно и частью уничтожено до двух батальонов пехоты противника.</w:t>
      </w:r>
    </w:p>
    <w:p w14:paraId="3CC131AF"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Южном фронте советские войска вели наступательные бои, а на отдельных участках отбивали контратаки подошедших резервов противника. В районе одного населённого пункта, бойцы Н-ского соединения отбили две ожесточённые контратаки крупных сил немецкой пехоты и танков. Наши бойцы подбили и сожгли 14 немецких танков. Взято в плен 120 вражеских солдат и офицеров. Захвачено 65 автомашин с грузами. На другом участке наши части продвинулись вперед и заняли несколько населённых пунктов. Захвачены трофеи и пленные.</w:t>
      </w:r>
    </w:p>
    <w:p w14:paraId="5A9BDF4A"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продолжали наступление, частью сил закреплялись на достигнутых рубежах и отбивали контратаки противника. Части Н-ского соединения сломили сопротивление гитлеровцев и заняли пять населённых пунктов. Уничтожены две роты немецкой пехоты, танк и самоходная пушка. На другом участке танкисты под командованием тов.Морозова истребили до 400 немецких солдат и офицеров и взяли 50 пленных. Захвачены 40 автомашин склад с велосипедами, 3 эшелона с военным имуществом, склады с обмундированием, горючим, боеприпасами и запасными частями.</w:t>
      </w:r>
    </w:p>
    <w:p w14:paraId="28D1F61F"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Воронежского фронта продолжали наступательные операции на прежних направлениях. Бойцы Н-ской части при поддержке артиллерии и танков выбили противника из трёх важных узлов сопротивления. На поле боя осталось до 600 вражеских трупов, 9 подбитых танков и 37 автомашин. Взято в плен 170 гитлеровцев. Захвачены большие склады вооружения и боеприпасов.</w:t>
      </w:r>
    </w:p>
    <w:p w14:paraId="19DBCDBE"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Северо-Кавказского фронта с боями продвигались вперёд и заняли ряд населённых пунктов. На подступах к крупному населённому пункту немцы построили несколько линий обороны, заминировали подходы и сделали завалы. Советские артиллеристы и миномётчики мощным огневым налётом взломали вражескую оборону. Наши бойцы, следуя за огневым валом артиллерии, ворвались в глубину обороны противника и овладели населённым пунктом. Захвачены трофеи и пленные. Гвардейцы-кавалеристы, продвигаясь вперёд, разгромили до батальона пехоты, два эскадрона конницы противника и заняли несколько населённых пунктов.</w:t>
      </w:r>
    </w:p>
    <w:p w14:paraId="2070BAA2"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на Украине, напали на крупное имение вновь испечённого фашистского помещика, недавно прибывшего из Германии. Советские патриоты уничтожили 85 гитлеровцев, 22 трактора, сожгли 3 склада с зерном, склады с пенькой и сеном, отнятыми немцами у населения. Партизаны другого украинского отряда заминировали железнодорожные пути. На минах подорвались 3 немецких воинских эшелона.</w:t>
      </w:r>
    </w:p>
    <w:p w14:paraId="1FB48CB4"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и грабежах немецко-фашистских мерзавцев в станице Каргинская, Ростовской области: «Гитлеровские бандиты ограбили и разорили местных жителей. Немцы угнали 1.296 голов скота, истребили 5 тысяч голов птицы, привели в негодность около 100 разных сельскохозяйственных машин, разрушили две школы, сожгли колхозные постройки. Общий убыток, причинённый немцами колхозникам и колхозам «Ленинский путь» и «Степан Разин», превышает 11,7миллиона рублей. Гитлеровские палачи расстреляли ряд жителей станины и многих мужчин и женщин угнали на каторжные работы». Акт подписали: местные жители Ф.Бурдыга, И.Тарасов, Н.Святченко, Е.Челахов и другие.».</w:t>
      </w:r>
    </w:p>
    <w:p w14:paraId="6C86A38A"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043CD049"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в основном закончили ликвидацию немецко-фашистских войск, окруженных в районе Сталинграда.</w:t>
      </w:r>
    </w:p>
    <w:p w14:paraId="2C0F2A68"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Донского фронта, продолжая наступление против немецко-фашистских войск, окружённых в районе Сталинграда, после ожесточённых боёв, преодолев многочисленные мощные укрепления противника, закончили в основном ликвидацию окружённой группировки.</w:t>
      </w:r>
    </w:p>
    <w:p w14:paraId="5CDA9FDC"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дополнение к ранее опубликованным данным, в ходе боёв с 17 по 26 января наши войска заняли важные укреплённые узлы обороны: Песчанка, Купоросное, совхоз «Горная Поляна», Большая Россошка, Хутор Гончара, Подсобное Хозяйство, Орловка, Городище, Кузьмичи, совхоз «Опытное Поле», хутор Бородкин, Шишлянкин, Новая Надежда, Уваровка, Александровка, Каменный Буерак, Сталинградский, Опытная Станция, Студеная Яблоновка, Алексеевка, Верхняя Ельшанка, Нижняя Ельшанка, Стародубовка, Зеленая Поляна, Поляковка, Лесопосадочная, Культстан и железнодорожные станции и разъезды Воропоново, Ельшанка, Древний Вал, Конный, Разгуляевка, Гумрак, Садовая.</w:t>
      </w:r>
    </w:p>
    <w:p w14:paraId="4A33B115"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за это же время наши артиллерийские миномётные и сапёрные части разрушили 620 укреплённых узлов и блиндажей, 40 прочно оборудованных наблюдательных пунктов, уничтожили и подавили 220 артиллерийских и миномётных батарей противника.</w:t>
      </w:r>
    </w:p>
    <w:p w14:paraId="3C1D5DA1"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Очищена от противника территория площадью 835 квадратных километров.</w:t>
      </w:r>
    </w:p>
    <w:p w14:paraId="4D9DABA6"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с начала генеральной атаки против окружённых под Сталинградом немецко-фашистских войск с 10 по 26 января наши войска заняли 60 сильно укреплённых и превращенных немцами в узлы обороны населённых пунктов, 9 железнодорожных станций, разрушили 2.146 дзотов и блиндажей, 115 прочно оборудованных наблюдательных пунктов, уничтожили и подавили 537 артиллерийских и миномётных батарей противника.</w:t>
      </w:r>
    </w:p>
    <w:p w14:paraId="34CEE80E"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Очищена от противника территория площадью 1.400 квадратных километров.</w:t>
      </w:r>
    </w:p>
    <w:p w14:paraId="00A93862"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Освобождены для сквозного движения железные дороги Сталинград — Поворино,Сталинград — Тацинская, Сталинград — Сальск.</w:t>
      </w:r>
    </w:p>
    <w:p w14:paraId="76E4AC2A"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За время генеральной атаки против окружённых частей противника наши войска захватили в плен 28.000 и уничтожили более 40.000 немецких солдат и офицеров.</w:t>
      </w:r>
    </w:p>
    <w:p w14:paraId="3DADB9AD"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Остались еще не ликвидированными две разрозненные и изолированные друг отдруга небольшие группы противника общей численностью не более 12.000 человек, из коих одна находится севернее Сталинграда и другая ближе к центральной частиСталинграда. Обе эти группы противника обречены, и ликвидация их — вопрос двух-трёх дней.</w:t>
      </w:r>
    </w:p>
    <w:p w14:paraId="4CB8EEF3"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это же время, по предварительным данным, нашими войсками взяты следующие трофеи: самолётов — 523, танков — 1.297, орудий разного калибра — 2.978, миномётов — 904, пулемётов — 4.870, винтовок — 45.000, автомашин — 49.000, мотоциклов — 4.660, тягачей и транспортёров — 229, повозок с военным имуществом— 4.570, радиостанций — 170, бронепоездов — 3, паровозов — 42, вагонов — 230, складов с боеприпасами и вооружением —160 и много другого военного имущества.</w:t>
      </w:r>
    </w:p>
    <w:p w14:paraId="6DB3B698"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Уничтожено: самолётов —132, танков — 290, орудий разного калибра — 315, пулемётов — 950, автомашин — 1.970, складов разных — 43.</w:t>
      </w:r>
    </w:p>
    <w:p w14:paraId="2270C8A7"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план Верховного Главнокомандования Красной Армии по окружению и ликвидации крупной группировки отборных немецко-фашистских войск в основном осуществлён.</w:t>
      </w:r>
    </w:p>
    <w:p w14:paraId="5BCE63A4"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История войн не знала подобных примеров окружения и уничтожения столь большого количества регулярных войск, до предела насыщенных современной военной техникой.</w:t>
      </w:r>
    </w:p>
    <w:p w14:paraId="17D17488"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Ликвидация окружённых в районе Сталинграда немецко-фашистских войск осуществлена силами Донского фронта под командованием генерал-полковника тов.Рокоссовского К.К. и его начальника Штаба генерал-лейтенанта тов. Малинина М.С. Артиллерийским наступлением руководил представитель Ставки ВерховногоГлавнокомандования Маршал Артиллерии тов. Воронов Н.Н., а действиями авиации руководили генерал-полковник авиации тов. Новиков А.А, и генерал-лейтенант авиации тов. Голованов А.Е.</w:t>
      </w:r>
    </w:p>
    <w:p w14:paraId="597032BD"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боях отличились войска генерал-лейтенанта тов.Чистякова И.М., генерал-лейтенанта тов.Толбухина Ф.И., генерал-лейтенанта тов. Батова П.И., генерал-лейтенанта тов. Шумилова М.С, генерал-майора тов.Галанина И.В., генерал-лейтенанта тов.Чуйкова В.И., генерал-майора тов.Жадова А.С. и авиачасти генерал-майора авиации тов.Руденко С.И.» (15021).</w:t>
      </w:r>
    </w:p>
    <w:p w14:paraId="40575261" w14:textId="77777777" w:rsidR="00D75F9F" w:rsidRPr="00D03F3E" w:rsidRDefault="00D75F9F" w:rsidP="00D03F3E">
      <w:pPr>
        <w:spacing w:after="0" w:line="240" w:lineRule="auto"/>
        <w:jc w:val="both"/>
        <w:rPr>
          <w:rFonts w:ascii="Times New Roman" w:hAnsi="Times New Roman"/>
          <w:color w:val="000000" w:themeColor="text1"/>
          <w:sz w:val="16"/>
          <w:szCs w:val="16"/>
        </w:rPr>
      </w:pPr>
    </w:p>
    <w:p w14:paraId="71002548"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26 января</w:t>
      </w:r>
      <w:r w:rsidRPr="00D03F3E">
        <w:rPr>
          <w:rFonts w:ascii="Times New Roman" w:hAnsi="Times New Roman"/>
          <w:color w:val="000000" w:themeColor="text1"/>
          <w:sz w:val="16"/>
          <w:szCs w:val="16"/>
        </w:rPr>
        <w:t xml:space="preserve"> в 1943 году в Сталинграде у Мамаева кургана соединились войска 21-й и 62-й армий Донского фронта. Окруженная немецко-фашистская группировка была расчленена на две части (15021).</w:t>
      </w:r>
    </w:p>
    <w:p w14:paraId="2DA33764" w14:textId="77777777" w:rsidR="00D75F9F" w:rsidRPr="00D03F3E" w:rsidRDefault="00D75F9F" w:rsidP="00D03F3E">
      <w:pPr>
        <w:spacing w:after="0" w:line="240" w:lineRule="auto"/>
        <w:jc w:val="both"/>
        <w:rPr>
          <w:rFonts w:ascii="Times New Roman" w:hAnsi="Times New Roman"/>
          <w:color w:val="000000" w:themeColor="text1"/>
          <w:sz w:val="16"/>
          <w:szCs w:val="16"/>
        </w:rPr>
      </w:pPr>
    </w:p>
    <w:p w14:paraId="6990B11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января 1943 г. парой Ил-2 от 7-го гшап в составе лейтенанта Смирнова и мл. лейтенанта Слепова был нанесен успешный по станции Малороссийская.</w:t>
      </w:r>
    </w:p>
    <w:p w14:paraId="6EE6E7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Выполняя в сложных метеоусловиях задачу по поиску ж.д. составов противника в районе Ставрополь, Тихорецк и Кавказская, летчики обнаружили и атаковали на ст. Малороссийская 4 эшелона. На станции возникли сильные взрывы и пожары. Малороссийская горела так, что на обратном пути летчики, из-за густого дыма не смогли рассмотреть станцию...</w:t>
      </w:r>
    </w:p>
    <w:p w14:paraId="2B517D6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Эффективность удара Смирнова и Слепова была подтверждена специальной комиссией 4-й ВА, которая работала на ст. Малороссийская после ее освобождения. Установлено, что на станции сгорели один эшелон с горючим, один с танками и два с боеприпасами. Путевое хозяйство было настолько сильно разрушено, что немцы не смогли восстановить движение, вплоть до освобождения станции нашими войсками - за четверо суток ни один эшелон не проследовал в сторону Тихорецка. Много эшелонов застряло на перегонах. Красноармейцам достались богатые трофеи...</w:t>
      </w:r>
    </w:p>
    <w:p w14:paraId="7045D2B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приказе от 4 мая 1943 г. Верховный главнокомандующий И. В. Сталин поставил грамотные действия Смирнова и Слепова в пример всему личному составу ВВС Красной Армии.</w:t>
      </w:r>
    </w:p>
    <w:p w14:paraId="41B22DB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Отметим, что к этому времени Слепов уже погиб, а Смирнов - сбит зенитной артиллерией, после падения самолета остался жив, пытался перейти фронт, но попал в плен, пройдя несколько концлагерей, бежал и затем партизанил в Чехословакии. Боевыми наградами за удар по Малороссийской никто из них награжден не был... (12020).</w:t>
      </w:r>
    </w:p>
    <w:p w14:paraId="6B91BBB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DC738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января 1943 на Мамаевом кургане наступающие части встретились с частями Чуйкова (2070,83). В плен взяли только 12 тыс. немцев, а остальные - погибли (2100).</w:t>
      </w:r>
    </w:p>
    <w:p w14:paraId="3449575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A969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января 1943 КА захватила Воронеж и 52 тыс. пленных (2262).</w:t>
      </w:r>
    </w:p>
    <w:p w14:paraId="0A46B72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EC653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января 1943 г. вышел ПРИКАЗ НКО № 40 О ВВЕДЕНИИ ПАПАХИ ИЗ СЕРОГО КАРАКУЛЯ ДЛЯ ПОЛКОВНИКОВ ВСЕХ РОДОВ ВОЙСК (СЛУЖБ) КРАСНОЙ АРМИИ ВЗАМЕН ШАПКИ-УШАНКИ</w:t>
      </w:r>
    </w:p>
    <w:p w14:paraId="68F5102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Ввести для полковников всех родов войск (служб) Красной Армии в качестве зимнего головного убора папаху из серого каракуля взамен шапки-ушанки, согласно прилагаемого описания.</w:t>
      </w:r>
    </w:p>
    <w:p w14:paraId="1C7A9CF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Народный комиссар обороны И. СТАЛИН </w:t>
      </w:r>
      <w:r w:rsidRPr="00D03F3E">
        <w:rPr>
          <w:rFonts w:ascii="Times New Roman" w:hAnsi="Times New Roman"/>
          <w:color w:val="000000" w:themeColor="text1"/>
          <w:sz w:val="16"/>
          <w:szCs w:val="16"/>
        </w:rPr>
        <w:t>(9844).</w:t>
      </w:r>
    </w:p>
    <w:p w14:paraId="26E3701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4EFD96"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3763534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7EF1A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января 1943 в Саратовской тюрьме от дистрофии умер Н.И.Вавилов (3481).</w:t>
      </w:r>
    </w:p>
    <w:p w14:paraId="3909A79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6EA1D2" w14:textId="77777777" w:rsidR="00D75F9F" w:rsidRPr="00D03F3E" w:rsidRDefault="00D75F9F"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января 1943 в тюрьме умер от дистрофии русский генетик Н. Вавилов (4962).</w:t>
      </w:r>
    </w:p>
    <w:p w14:paraId="2942D2F3" w14:textId="77777777" w:rsidR="00D75F9F" w:rsidRPr="00D03F3E" w:rsidRDefault="00D75F9F"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A39012"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34DAA33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B4099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января 1943 г. Рузвельт и Черчилль направили Сталину послание по итогам их встречи в Касабланке. В нем они говорили о сосредоточении крупных сил в Великобритании для высадки на континент. Сталин потребовал деталей. Черчилль, с согласия Рузвельта, назвал август или сентябрь, с оговоркой, что время высадки будет зависеть от оборонительных способностей немцев в районе Ла-Манша (3871).</w:t>
      </w:r>
    </w:p>
    <w:p w14:paraId="0FE0977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52EF24" w14:textId="568FDD43" w:rsidR="00E43EB5" w:rsidRPr="00D03F3E" w:rsidRDefault="00E43EB5"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D03F3E">
        <w:rPr>
          <w:rFonts w:ascii="Times New Roman" w:hAnsi="Times New Roman"/>
          <w:i/>
          <w:iCs/>
          <w:color w:val="000000" w:themeColor="text1"/>
          <w:sz w:val="16"/>
          <w:szCs w:val="16"/>
        </w:rPr>
        <w:t>Зв рубежом:</w:t>
      </w:r>
    </w:p>
    <w:p w14:paraId="6786D6B0" w14:textId="77777777" w:rsidR="00E43EB5" w:rsidRPr="00D03F3E" w:rsidRDefault="00E43EB5"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68283EB6" w14:textId="77777777" w:rsidR="00E43EB5" w:rsidRPr="00D03F3E" w:rsidRDefault="00E43EB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26 января 1943 три B-24 ВВС США из седьмой армии военно-воздушных сил совершают перелет на расстояние 704 морских мили (1304 км) из Фунафути, чтобы бомбить атолл Тарава, где обнаруживают новый японский аэродром на острове Бетио (20376).</w:t>
      </w:r>
    </w:p>
    <w:p w14:paraId="6AFAB11E" w14:textId="77777777" w:rsidR="00E43EB5" w:rsidRPr="00D03F3E" w:rsidRDefault="00E43EB5" w:rsidP="00D03F3E">
      <w:pPr>
        <w:spacing w:after="0" w:line="240" w:lineRule="auto"/>
        <w:jc w:val="both"/>
        <w:rPr>
          <w:rFonts w:ascii="Times New Roman" w:hAnsi="Times New Roman"/>
          <w:color w:val="0070C0"/>
          <w:sz w:val="16"/>
          <w:szCs w:val="16"/>
        </w:rPr>
      </w:pPr>
    </w:p>
    <w:p w14:paraId="361F46C9" w14:textId="01AD118C"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8EB5A5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F5CD3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января 1943 Кузнецов и С.В.И. писали Зам. командующему ВВС Репину письмо N Н-34/369:</w:t>
      </w:r>
    </w:p>
    <w:p w14:paraId="1BCDA7D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"Заводом 148 Наркомхимпрома изготовлены сплошные бронестекла для фонаря кабины пилота самолета Ил-2. Образцы этих бронестекол отстреляны в НИИ АВ с удовлетворительными по пулестойкости результатами.</w:t>
      </w:r>
    </w:p>
    <w:p w14:paraId="3BADCC0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Указанные бронестекла неизмеримо выше по своей прозрачности и т.о. ликвидируют тот недостаток, который имеется в существующих бронестеклах фонаря пилота самолета Ил-2.</w:t>
      </w:r>
    </w:p>
    <w:p w14:paraId="15794DB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Предлагаемые бронестекла по своей конструкции таковы, что они обеспечивают при эксплуатации лучшую устойчивость в отношении образования пузырей в склейке и образование каких-либо загрязнении.</w:t>
      </w:r>
    </w:p>
    <w:p w14:paraId="69A6194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предлагаемые стекла в производственном отношении проще и дешевле, чем ныне выпускаемые.</w:t>
      </w:r>
    </w:p>
    <w:p w14:paraId="242579F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основании вышеизложенного, просим Вас утвердить предлагаемые заводом бронестекла новой конструкции для самолета Ил-2 (1777,48).</w:t>
      </w:r>
    </w:p>
    <w:p w14:paraId="4CC3B34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C22C8D" w14:textId="77777777" w:rsidR="00E56A12" w:rsidRPr="00D03F3E" w:rsidRDefault="00E56A12" w:rsidP="00D03F3E">
      <w:pPr>
        <w:pStyle w:val="45"/>
        <w:shd w:val="clear" w:color="auto" w:fill="auto"/>
        <w:spacing w:before="0" w:line="240" w:lineRule="auto"/>
        <w:jc w:val="both"/>
        <w:rPr>
          <w:rFonts w:ascii="Times New Roman" w:cs="Times New Roman"/>
          <w:color w:val="000000" w:themeColor="text1"/>
          <w:sz w:val="16"/>
          <w:szCs w:val="16"/>
        </w:rPr>
      </w:pPr>
      <w:r w:rsidRPr="00D03F3E">
        <w:rPr>
          <w:rStyle w:val="4f0"/>
          <w:rFonts w:ascii="Times New Roman" w:hAnsi="Times New Roman" w:cs="Times New Roman"/>
          <w:i w:val="0"/>
          <w:color w:val="000000" w:themeColor="text1"/>
          <w:sz w:val="16"/>
          <w:szCs w:val="16"/>
        </w:rPr>
        <w:t xml:space="preserve">27 января 1943 заместитель главного инженера ВВС КА генерал-майор А.А. Лапин в письме Ильюшину указывал, что </w:t>
      </w:r>
      <w:r w:rsidRPr="00D03F3E">
        <w:rPr>
          <w:rFonts w:ascii="Times New Roman" w:cs="Times New Roman"/>
          <w:color w:val="000000" w:themeColor="text1"/>
          <w:sz w:val="16"/>
          <w:szCs w:val="16"/>
        </w:rPr>
        <w:t>«75% боеприпасов немецкой пушки МГ-151 калибра 15 и 20 мм составляют осколочно-фугасные снаряды. При действии этих снарядов по броне самолета образуется большое чи</w:t>
      </w:r>
      <w:r w:rsidRPr="00D03F3E">
        <w:rPr>
          <w:rFonts w:ascii="Times New Roman" w:cs="Times New Roman"/>
          <w:color w:val="000000" w:themeColor="text1"/>
          <w:sz w:val="16"/>
          <w:szCs w:val="16"/>
        </w:rPr>
        <w:softHyphen/>
        <w:t>сло осколков, которые вызывают разрушение частей самолета и наносят ранения экипажу. НИИ-48 НКТП в Экспресс-информации №7 за ноябрь 1942 г. рекомендует для улавливания этих осколков устанавливать экраны из противоосколочной брони толщиною 1,8 мм».</w:t>
      </w:r>
      <w:r w:rsidRPr="00D03F3E">
        <w:rPr>
          <w:rStyle w:val="4f0"/>
          <w:rFonts w:ascii="Times New Roman" w:hAnsi="Times New Roman" w:cs="Times New Roman"/>
          <w:i w:val="0"/>
          <w:color w:val="000000" w:themeColor="text1"/>
          <w:sz w:val="16"/>
          <w:szCs w:val="16"/>
        </w:rPr>
        <w:t xml:space="preserve"> В этой связи Лапин просил сообщить,</w:t>
      </w:r>
      <w:r w:rsidRPr="00D03F3E">
        <w:rPr>
          <w:rFonts w:ascii="Times New Roman" w:cs="Times New Roman"/>
          <w:color w:val="000000" w:themeColor="text1"/>
          <w:sz w:val="16"/>
          <w:szCs w:val="16"/>
        </w:rPr>
        <w:t xml:space="preserve"> «какие меро</w:t>
      </w:r>
      <w:r w:rsidRPr="00D03F3E">
        <w:rPr>
          <w:rFonts w:ascii="Times New Roman" w:cs="Times New Roman"/>
          <w:color w:val="000000" w:themeColor="text1"/>
          <w:sz w:val="16"/>
          <w:szCs w:val="16"/>
        </w:rPr>
        <w:softHyphen/>
        <w:t>приятия в этом направлении намечаются Вами на двухместном самолете Ил-2» (17478).</w:t>
      </w:r>
    </w:p>
    <w:p w14:paraId="5633CAB4" w14:textId="77777777" w:rsidR="00E56A12" w:rsidRPr="00D03F3E" w:rsidRDefault="00E56A12" w:rsidP="00D03F3E">
      <w:pPr>
        <w:pStyle w:val="45"/>
        <w:shd w:val="clear" w:color="auto" w:fill="auto"/>
        <w:spacing w:before="0" w:line="240" w:lineRule="auto"/>
        <w:jc w:val="both"/>
        <w:rPr>
          <w:rFonts w:ascii="Times New Roman" w:cs="Times New Roman"/>
          <w:color w:val="000000" w:themeColor="text1"/>
          <w:sz w:val="16"/>
          <w:szCs w:val="16"/>
        </w:rPr>
      </w:pPr>
    </w:p>
    <w:p w14:paraId="1BF43F0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27 января по 11 февраля 1943 л В.И.Хомяков и ви А.Т.Степанец проводили гос. испытания Як-9 М-106-1ск (65,113).</w:t>
      </w:r>
    </w:p>
    <w:p w14:paraId="0423792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EC16E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С 27 января по 11 февраля в НИИ ВВС проходилис государственные испытания Як-9М-106-1ск (зав. № 2391, завода N°115). Ведущими на этом этапе были инженер А.Т. Степанец и летчик В.И. Хомяков.</w:t>
      </w:r>
    </w:p>
    <w:p w14:paraId="7F36685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показали, что при возросшем до 3050 кг взлетном весе максимальная скорость истребителя увеличилась незначительно, а взлетно-посадочные данные и скороподъемность заметно ухудшились. За время испытаний мотор М-106-1ск наработал 19 часов 25 минут, в том числе в воздухе 15 часов 52 минуты. Всего за время эксплуатации двигатель наработал 23 часа 35 минут, причем на топливах с октановыми числами 94,8 и 97,8. Основным недостатком двигателя М-106-ICK была невозможность использования номинальных оборотов - 2700 об/мин, вследствие выбивания масла через суфлер. Выявленные дефекты двигателя делали невозможной эксплуатацию машины в строевых частях.</w:t>
      </w:r>
    </w:p>
    <w:p w14:paraId="654CB63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"Акте по результатам государственных испытаний..." ведущий летчик Хомяков отметил:</w:t>
      </w:r>
    </w:p>
    <w:p w14:paraId="4AF6CD8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технике пилотирования &lt;...&gt; Як-9 М-106-ICK ничем не отличается от серийных самолетов Як-9 М-105ПФ, за исключением увеличенной горизонтальной скорости, улучшения скороподъемности и сокращения времени разбега.</w:t>
      </w:r>
    </w:p>
    <w:p w14:paraId="79373EF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Работа мотора на 2600 об/мин удовлетворительная, на 2700 об/мин мотор работает грубо и трясет с выхлопами черного дыма. Температурный режим охлаждающей жидкости на 2600 об/мин с полностью открытой заслонкой радиатора не обеспечивает возможности набора высоты на режиме наивыгоднейшей скороподъемности; температура воды достигает 105° при температуре наружного воздуха 15-20°. В горизонтальном полете с заслонками радиаторов, установленных по потоку, температура воды может находиться на верхнем пределе. Замена штурвала Р-7 на сектор сокращает время для переключения винта на любые обороты и, поэтому, должна быть произведена на всех самолетах Як.</w:t>
      </w:r>
    </w:p>
    <w:p w14:paraId="577810F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Воздушный "бой", проведенный на Як-9 с М-106-ICK с пятиточечным Me-l09G-2 на высотах от 2000 до 4500 м, показал, что Як-9 имел значительное преимущество при маневрировании в горизонтальной плоскости. На высотах до 3000 м он имел преимущество перед Me-109G-2 на вертикалях. На горке и боевом развороте Як-9 всегда оказывался выше "мессершмитта". Скорости пикирования были почти равны.</w:t>
      </w:r>
    </w:p>
    <w:p w14:paraId="342F3E8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высотах от 3000 до 4500 м самолеты Як-9 и Me-109G-2 имеют практически одинаковую маневренность в вертикальной плоскости.</w:t>
      </w:r>
    </w:p>
    <w:p w14:paraId="137E8B6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ходе боя установлено, что пилотировать Me-109G-2 значительно тяжелее, чем Як-9, поэтому Як-9 имел больше возможностей навязать выгодный ему маневр в бою. </w:t>
      </w:r>
    </w:p>
    <w:p w14:paraId="78B59C8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Обзор задней полусферы на Me-109G-2 был значительно хуже, чем на Як-9. Этот недостаток Me-109G-2 приводил к излишним эволюциям в воздушном бою и утомлял летчика, ухудшая его положение по отношению к противнику.</w:t>
      </w:r>
    </w:p>
    <w:p w14:paraId="6A4362F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итоге НИИ ВВС рекомендовал НКАП к 1 апреля 1943 года довести винто-мотор- ную группу Як-9 до состояния нормальной эксплуатации. Но это пожелание так и не реализовали, и Як-9М-106-1ск остался в единственном экземпляре (12046).</w:t>
      </w:r>
    </w:p>
    <w:p w14:paraId="3637F83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39499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января 1943 г. указанием ГИ ВВС № 21 эксплуатацию системы НГ на Як-1 младше 102-й серии запретили до особых распоряжений. С 168-й серии (и на каждом десятом самолете 167-й серии) кран НГ вентильного типа заменили двухходовым с положениями: "Закрыто" - баки сообщены с системой НГ, "Открыто" - с атмосферой (12048).</w:t>
      </w:r>
    </w:p>
    <w:p w14:paraId="5CC80A6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4308C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января 1943 у П.М.Стефановского на И-185 М-71 сдал мотор при полете на определение максимальной скорости. При планировании потерял скорость и шасси ударился о землю и разбил самолет, но летчик - невредим (751,2).</w:t>
      </w:r>
    </w:p>
    <w:p w14:paraId="03B37B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99923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января 1943 был подписан Акт НИИ ВВС по И-185 М-71 Эталон:</w:t>
      </w:r>
    </w:p>
    <w:p w14:paraId="798B5A6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ЛТХ, полученные при заводских испытаниях И-185, подтвердились. До Н-3200 м скорости значительно повышены за счет лучшей подгонки шасси со щитками и частичной внутренней герметизации самолета".</w:t>
      </w:r>
    </w:p>
    <w:p w14:paraId="7218C74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И-185 М-71 обладает большим диапазоном скоростей, скороподъемностью и вертикальным маневром, что является положительным качеством современного истребителя.</w:t>
      </w:r>
    </w:p>
    <w:p w14:paraId="3BA16C9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технике пилотирования самолет приятен и доступен о средней квалификации. Запас горючего по расчетным данным обеспечивает дальность на 0.9 макс. скорости - 800 км." (2863,99).</w:t>
      </w:r>
    </w:p>
    <w:p w14:paraId="3AD0DF6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Самолет И-185 М-71, обладающий высокими ЛД, мощным вооружением и имеющий перспективы дальнейшего развития, м.б. рекомендован на вооружение ВВС КА." (2863,99).</w:t>
      </w:r>
    </w:p>
    <w:p w14:paraId="7A179C3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Сравнительная таблица ЛТД отечественных и немецкого истребителя Ме-109G-2: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275"/>
        <w:gridCol w:w="1276"/>
        <w:gridCol w:w="1059"/>
        <w:gridCol w:w="1493"/>
        <w:gridCol w:w="3120"/>
      </w:tblGrid>
      <w:tr w:rsidR="00860B4B" w:rsidRPr="00D03F3E" w14:paraId="6ABEA40B" w14:textId="77777777">
        <w:tc>
          <w:tcPr>
            <w:tcW w:w="2235" w:type="dxa"/>
          </w:tcPr>
          <w:p w14:paraId="76D067A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3425801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И-185 М-71</w:t>
            </w:r>
          </w:p>
        </w:tc>
        <w:tc>
          <w:tcPr>
            <w:tcW w:w="1276" w:type="dxa"/>
          </w:tcPr>
          <w:p w14:paraId="1DB0713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9" w:type="dxa"/>
          </w:tcPr>
          <w:p w14:paraId="14F30F1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Як-7</w:t>
            </w:r>
          </w:p>
        </w:tc>
        <w:tc>
          <w:tcPr>
            <w:tcW w:w="1493" w:type="dxa"/>
          </w:tcPr>
          <w:p w14:paraId="4B959D5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Ла-5</w:t>
            </w:r>
          </w:p>
        </w:tc>
        <w:tc>
          <w:tcPr>
            <w:tcW w:w="3120" w:type="dxa"/>
          </w:tcPr>
          <w:p w14:paraId="45C3271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Ме-109 G-2</w:t>
            </w:r>
          </w:p>
        </w:tc>
      </w:tr>
      <w:tr w:rsidR="00860B4B" w:rsidRPr="00D03F3E" w14:paraId="09DFE135" w14:textId="77777777">
        <w:tc>
          <w:tcPr>
            <w:tcW w:w="2235" w:type="dxa"/>
          </w:tcPr>
          <w:p w14:paraId="2EA837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65D6D3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НИИ ВВС</w:t>
            </w:r>
          </w:p>
        </w:tc>
        <w:tc>
          <w:tcPr>
            <w:tcW w:w="1276" w:type="dxa"/>
          </w:tcPr>
          <w:p w14:paraId="4934C42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Заводск.</w:t>
            </w:r>
          </w:p>
        </w:tc>
        <w:tc>
          <w:tcPr>
            <w:tcW w:w="1059" w:type="dxa"/>
          </w:tcPr>
          <w:p w14:paraId="0856FEB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М-105ПФ</w:t>
            </w:r>
          </w:p>
        </w:tc>
        <w:tc>
          <w:tcPr>
            <w:tcW w:w="1493" w:type="dxa"/>
          </w:tcPr>
          <w:p w14:paraId="0C7587F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М-82</w:t>
            </w:r>
          </w:p>
        </w:tc>
        <w:tc>
          <w:tcPr>
            <w:tcW w:w="3120" w:type="dxa"/>
          </w:tcPr>
          <w:p w14:paraId="13ED18D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DBEF0A9" w14:textId="77777777">
        <w:tc>
          <w:tcPr>
            <w:tcW w:w="2235" w:type="dxa"/>
          </w:tcPr>
          <w:p w14:paraId="6CCF589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986646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w:t>
            </w:r>
          </w:p>
        </w:tc>
        <w:tc>
          <w:tcPr>
            <w:tcW w:w="1276" w:type="dxa"/>
          </w:tcPr>
          <w:p w14:paraId="63C5E10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октябре</w:t>
            </w:r>
          </w:p>
        </w:tc>
        <w:tc>
          <w:tcPr>
            <w:tcW w:w="1059" w:type="dxa"/>
          </w:tcPr>
          <w:p w14:paraId="3957038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январь</w:t>
            </w:r>
          </w:p>
        </w:tc>
        <w:tc>
          <w:tcPr>
            <w:tcW w:w="1493" w:type="dxa"/>
          </w:tcPr>
          <w:p w14:paraId="5A2EB2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январь</w:t>
            </w:r>
          </w:p>
        </w:tc>
        <w:tc>
          <w:tcPr>
            <w:tcW w:w="3120" w:type="dxa"/>
          </w:tcPr>
          <w:p w14:paraId="4C7CE08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январь</w:t>
            </w:r>
          </w:p>
        </w:tc>
      </w:tr>
      <w:tr w:rsidR="00860B4B" w:rsidRPr="00D03F3E" w14:paraId="23DC569E" w14:textId="77777777">
        <w:tc>
          <w:tcPr>
            <w:tcW w:w="2235" w:type="dxa"/>
          </w:tcPr>
          <w:p w14:paraId="51237E2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59AA7FD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1943</w:t>
            </w:r>
          </w:p>
        </w:tc>
        <w:tc>
          <w:tcPr>
            <w:tcW w:w="1276" w:type="dxa"/>
          </w:tcPr>
          <w:p w14:paraId="7CF762B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1942</w:t>
            </w:r>
          </w:p>
        </w:tc>
        <w:tc>
          <w:tcPr>
            <w:tcW w:w="1059" w:type="dxa"/>
          </w:tcPr>
          <w:p w14:paraId="39934A9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1943</w:t>
            </w:r>
          </w:p>
        </w:tc>
        <w:tc>
          <w:tcPr>
            <w:tcW w:w="1493" w:type="dxa"/>
          </w:tcPr>
          <w:p w14:paraId="62A0842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1943</w:t>
            </w:r>
          </w:p>
        </w:tc>
        <w:tc>
          <w:tcPr>
            <w:tcW w:w="3120" w:type="dxa"/>
          </w:tcPr>
          <w:p w14:paraId="42FAA01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1943</w:t>
            </w:r>
          </w:p>
        </w:tc>
      </w:tr>
      <w:tr w:rsidR="00860B4B" w:rsidRPr="00D03F3E" w14:paraId="79CBB164" w14:textId="77777777">
        <w:tc>
          <w:tcPr>
            <w:tcW w:w="2235" w:type="dxa"/>
          </w:tcPr>
          <w:p w14:paraId="56F3B1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Скорость у земли</w:t>
            </w:r>
          </w:p>
        </w:tc>
        <w:tc>
          <w:tcPr>
            <w:tcW w:w="1275" w:type="dxa"/>
          </w:tcPr>
          <w:p w14:paraId="5DDD499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560/600</w:t>
            </w:r>
          </w:p>
        </w:tc>
        <w:tc>
          <w:tcPr>
            <w:tcW w:w="1276" w:type="dxa"/>
          </w:tcPr>
          <w:p w14:paraId="0D5E2E2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537/577</w:t>
            </w:r>
          </w:p>
        </w:tc>
        <w:tc>
          <w:tcPr>
            <w:tcW w:w="1059" w:type="dxa"/>
          </w:tcPr>
          <w:p w14:paraId="711E773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537</w:t>
            </w:r>
          </w:p>
        </w:tc>
        <w:tc>
          <w:tcPr>
            <w:tcW w:w="1493" w:type="dxa"/>
          </w:tcPr>
          <w:p w14:paraId="38D1923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518/556</w:t>
            </w:r>
          </w:p>
        </w:tc>
        <w:tc>
          <w:tcPr>
            <w:tcW w:w="3120" w:type="dxa"/>
          </w:tcPr>
          <w:p w14:paraId="5AE40CC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505</w:t>
            </w:r>
          </w:p>
        </w:tc>
      </w:tr>
      <w:tr w:rsidR="00860B4B" w:rsidRPr="00D03F3E" w14:paraId="25D94223" w14:textId="77777777">
        <w:tc>
          <w:tcPr>
            <w:tcW w:w="2235" w:type="dxa"/>
          </w:tcPr>
          <w:p w14:paraId="16614DE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на 1 гр. Высотности</w:t>
            </w:r>
          </w:p>
        </w:tc>
        <w:tc>
          <w:tcPr>
            <w:tcW w:w="1275" w:type="dxa"/>
          </w:tcPr>
          <w:p w14:paraId="2DF570A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648/3200</w:t>
            </w:r>
          </w:p>
        </w:tc>
        <w:tc>
          <w:tcPr>
            <w:tcW w:w="1276" w:type="dxa"/>
          </w:tcPr>
          <w:p w14:paraId="3BEF8E2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637/3380</w:t>
            </w:r>
          </w:p>
        </w:tc>
        <w:tc>
          <w:tcPr>
            <w:tcW w:w="1059" w:type="dxa"/>
          </w:tcPr>
          <w:p w14:paraId="702E80E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564/1800</w:t>
            </w:r>
          </w:p>
        </w:tc>
        <w:tc>
          <w:tcPr>
            <w:tcW w:w="1493" w:type="dxa"/>
          </w:tcPr>
          <w:p w14:paraId="43142A5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582/3600</w:t>
            </w:r>
          </w:p>
        </w:tc>
        <w:tc>
          <w:tcPr>
            <w:tcW w:w="3120" w:type="dxa"/>
          </w:tcPr>
          <w:p w14:paraId="77A8E80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583/2750</w:t>
            </w:r>
          </w:p>
        </w:tc>
      </w:tr>
      <w:tr w:rsidR="00860B4B" w:rsidRPr="00D03F3E" w14:paraId="298B3F6A" w14:textId="77777777">
        <w:tc>
          <w:tcPr>
            <w:tcW w:w="2235" w:type="dxa"/>
          </w:tcPr>
          <w:p w14:paraId="1ACAEF3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на 2 гр. Высотности</w:t>
            </w:r>
          </w:p>
        </w:tc>
        <w:tc>
          <w:tcPr>
            <w:tcW w:w="1275" w:type="dxa"/>
          </w:tcPr>
          <w:p w14:paraId="7646E04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680/6100</w:t>
            </w:r>
          </w:p>
        </w:tc>
        <w:tc>
          <w:tcPr>
            <w:tcW w:w="1276" w:type="dxa"/>
          </w:tcPr>
          <w:p w14:paraId="1817B7F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667/6100</w:t>
            </w:r>
          </w:p>
        </w:tc>
        <w:tc>
          <w:tcPr>
            <w:tcW w:w="1059" w:type="dxa"/>
          </w:tcPr>
          <w:p w14:paraId="60F9A8B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591/3650</w:t>
            </w:r>
          </w:p>
        </w:tc>
        <w:tc>
          <w:tcPr>
            <w:tcW w:w="1493" w:type="dxa"/>
          </w:tcPr>
          <w:p w14:paraId="64CB605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600/6300</w:t>
            </w:r>
          </w:p>
        </w:tc>
        <w:tc>
          <w:tcPr>
            <w:tcW w:w="3120" w:type="dxa"/>
          </w:tcPr>
          <w:p w14:paraId="693B788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650/7000</w:t>
            </w:r>
          </w:p>
        </w:tc>
      </w:tr>
      <w:tr w:rsidR="00860B4B" w:rsidRPr="00D03F3E" w14:paraId="1F49394B" w14:textId="77777777">
        <w:tc>
          <w:tcPr>
            <w:tcW w:w="2235" w:type="dxa"/>
          </w:tcPr>
          <w:p w14:paraId="5E0C88B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виража</w:t>
            </w:r>
          </w:p>
        </w:tc>
        <w:tc>
          <w:tcPr>
            <w:tcW w:w="1275" w:type="dxa"/>
          </w:tcPr>
          <w:p w14:paraId="21E5D21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22-23</w:t>
            </w:r>
          </w:p>
        </w:tc>
        <w:tc>
          <w:tcPr>
            <w:tcW w:w="1276" w:type="dxa"/>
          </w:tcPr>
          <w:p w14:paraId="08B873C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21-22</w:t>
            </w:r>
          </w:p>
        </w:tc>
        <w:tc>
          <w:tcPr>
            <w:tcW w:w="1059" w:type="dxa"/>
          </w:tcPr>
          <w:p w14:paraId="273E431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93" w:type="dxa"/>
          </w:tcPr>
          <w:p w14:paraId="1AA123E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18.5</w:t>
            </w:r>
          </w:p>
        </w:tc>
        <w:tc>
          <w:tcPr>
            <w:tcW w:w="3120" w:type="dxa"/>
          </w:tcPr>
          <w:p w14:paraId="32EBE8A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22.6</w:t>
            </w:r>
          </w:p>
        </w:tc>
      </w:tr>
      <w:tr w:rsidR="00860B4B" w:rsidRPr="00D03F3E" w14:paraId="2D6E56E3" w14:textId="77777777">
        <w:tc>
          <w:tcPr>
            <w:tcW w:w="2235" w:type="dxa"/>
          </w:tcPr>
          <w:p w14:paraId="5727B7E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Набор высоты за разворот</w:t>
            </w:r>
          </w:p>
        </w:tc>
        <w:tc>
          <w:tcPr>
            <w:tcW w:w="1275" w:type="dxa"/>
          </w:tcPr>
          <w:p w14:paraId="29C7FC7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w:t>
            </w:r>
          </w:p>
        </w:tc>
        <w:tc>
          <w:tcPr>
            <w:tcW w:w="1276" w:type="dxa"/>
          </w:tcPr>
          <w:p w14:paraId="782CC38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059" w:type="dxa"/>
          </w:tcPr>
          <w:p w14:paraId="6857217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93" w:type="dxa"/>
          </w:tcPr>
          <w:p w14:paraId="71AC787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tc>
        <w:tc>
          <w:tcPr>
            <w:tcW w:w="3120" w:type="dxa"/>
          </w:tcPr>
          <w:p w14:paraId="00969F6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 (2863,97)</w:t>
            </w:r>
          </w:p>
        </w:tc>
      </w:tr>
    </w:tbl>
    <w:p w14:paraId="7D0810D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Заключение по летной оценке И-185 М-71 П.М.Стефановского:</w:t>
      </w:r>
    </w:p>
    <w:p w14:paraId="397AED4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большую нагрузку на кв. м крыла, самолет благодаря удачному сочетанию форм, габаритов, прекрасной механизации крыла и удачной компоновке всего самолета, обладает очень высокими скоростями и скороподъемностью, хорошей маневренностью и сравнительной простотой в технике пилотирования. Мощный пушечный огонь позволяет сбивать самолеты противника с одной, двух атак. Постановка форсированного мотора и облегчение конструкции позволит еще больше улучшить ЛД и простоту техники пилотирования.</w:t>
      </w:r>
    </w:p>
    <w:p w14:paraId="3BEE4F1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это заставляет считать, что данный самолет является перспективным и будет иметь преимущества перед существующими в данный момент самолетами противника." (2863,98).</w:t>
      </w:r>
    </w:p>
    <w:p w14:paraId="405D982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Заключение по облету И-185 М-71 Федрови:</w:t>
      </w:r>
    </w:p>
    <w:p w14:paraId="61A1CAE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...Устойчивость самолета вполне достаточная. Самолет идет с брошенным управлением на скорости 250-300 км/час устойчиво.</w:t>
      </w:r>
    </w:p>
    <w:p w14:paraId="16F10FF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...Облет оставляет благоприятное впечатление и позволяет отнести его летные свойства к высокой оценке. По сравнению с другими самолетами с звездообразными моторами полетно-маневренные свойства и полученные скорости занимают первое место. Техника пилотирования в сравнении с Ла-5 и МиГ-82 на этом самолете проще, и освоение его в строевых частях будет легче. Боевые качества при 3 пушках с 500 снарядами выше упомянутых, а утомляемость л в полете меньше (2863,99).</w:t>
      </w:r>
    </w:p>
    <w:p w14:paraId="38FEB56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Заключение по облету И-185 М-71 П.Н.Логинова:</w:t>
      </w:r>
    </w:p>
    <w:p w14:paraId="1E82D4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"...Образцовый самолет И-185 М-71 по своим ЛД и вооружению является лучшим современным истребителем..." (2863,99).</w:t>
      </w:r>
    </w:p>
    <w:p w14:paraId="1C245A5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AA8F6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января 1943 года — «образцовый» И-185 с М-71 прошел в НИИ ВВС госиспытания, которые проходили с 20 ноября 1942. Именно здесь на нем были получены те известные скорос</w:t>
      </w:r>
      <w:r w:rsidRPr="00D03F3E">
        <w:rPr>
          <w:rFonts w:ascii="Times New Roman" w:hAnsi="Times New Roman"/>
          <w:color w:val="000000" w:themeColor="text1"/>
          <w:sz w:val="16"/>
          <w:szCs w:val="16"/>
        </w:rPr>
        <w:softHyphen/>
        <w:t>ти, которые фигурировали затем во всех публикациях, посвященных этому самолету: максимальная скорость у земли на номинале - 560, на форса</w:t>
      </w:r>
      <w:r w:rsidRPr="00D03F3E">
        <w:rPr>
          <w:rFonts w:ascii="Times New Roman" w:hAnsi="Times New Roman"/>
          <w:color w:val="000000" w:themeColor="text1"/>
          <w:sz w:val="16"/>
          <w:szCs w:val="16"/>
        </w:rPr>
        <w:softHyphen/>
        <w:t>же - 600 км/ч, на 2-й границе высот</w:t>
      </w:r>
      <w:r w:rsidRPr="00D03F3E">
        <w:rPr>
          <w:rFonts w:ascii="Times New Roman" w:hAnsi="Times New Roman"/>
          <w:color w:val="000000" w:themeColor="text1"/>
          <w:sz w:val="16"/>
          <w:szCs w:val="16"/>
        </w:rPr>
        <w:softHyphen/>
        <w:t>ности 6100 м — 680 км/ч. Испытания остались незавершен</w:t>
      </w:r>
      <w:r w:rsidRPr="00D03F3E">
        <w:rPr>
          <w:rFonts w:ascii="Times New Roman" w:hAnsi="Times New Roman"/>
          <w:color w:val="000000" w:themeColor="text1"/>
          <w:sz w:val="16"/>
          <w:szCs w:val="16"/>
        </w:rPr>
        <w:softHyphen/>
        <w:t>ными из-за аварии, происшедшей 27 января по причине разрушения в воз</w:t>
      </w:r>
      <w:r w:rsidRPr="00D03F3E">
        <w:rPr>
          <w:rFonts w:ascii="Times New Roman" w:hAnsi="Times New Roman"/>
          <w:color w:val="000000" w:themeColor="text1"/>
          <w:sz w:val="16"/>
          <w:szCs w:val="16"/>
        </w:rPr>
        <w:softHyphen/>
        <w:t>духе только что установленного ново</w:t>
      </w:r>
      <w:r w:rsidRPr="00D03F3E">
        <w:rPr>
          <w:rFonts w:ascii="Times New Roman" w:hAnsi="Times New Roman"/>
          <w:color w:val="000000" w:themeColor="text1"/>
          <w:sz w:val="16"/>
          <w:szCs w:val="16"/>
        </w:rPr>
        <w:softHyphen/>
        <w:t>го мотора, но и этих цифр было доста</w:t>
      </w:r>
      <w:r w:rsidRPr="00D03F3E">
        <w:rPr>
          <w:rFonts w:ascii="Times New Roman" w:hAnsi="Times New Roman"/>
          <w:color w:val="000000" w:themeColor="text1"/>
          <w:sz w:val="16"/>
          <w:szCs w:val="16"/>
        </w:rPr>
        <w:softHyphen/>
        <w:t>точно, чтобы вновь ставить вопрос о запуске И-185 в серийное производ</w:t>
      </w:r>
      <w:r w:rsidRPr="00D03F3E">
        <w:rPr>
          <w:rFonts w:ascii="Times New Roman" w:hAnsi="Times New Roman"/>
          <w:color w:val="000000" w:themeColor="text1"/>
          <w:sz w:val="16"/>
          <w:szCs w:val="16"/>
        </w:rPr>
        <w:softHyphen/>
        <w:t>ство. Игнорировать эти результаты дальше было невозможно, и в НКАПе начались разговоры о запуске И-185 в «малую серию» на восстановлен</w:t>
      </w:r>
      <w:r w:rsidRPr="00D03F3E">
        <w:rPr>
          <w:rFonts w:ascii="Times New Roman" w:hAnsi="Times New Roman"/>
          <w:color w:val="000000" w:themeColor="text1"/>
          <w:sz w:val="16"/>
          <w:szCs w:val="16"/>
        </w:rPr>
        <w:softHyphen/>
        <w:t>ном московском заводе №81. Оче</w:t>
      </w:r>
      <w:r w:rsidRPr="00D03F3E">
        <w:rPr>
          <w:rFonts w:ascii="Times New Roman" w:hAnsi="Times New Roman"/>
          <w:color w:val="000000" w:themeColor="text1"/>
          <w:sz w:val="16"/>
          <w:szCs w:val="16"/>
        </w:rPr>
        <w:softHyphen/>
        <w:t>видно Шахурин решил «не дразнить гусей» и в принципе выразил согла</w:t>
      </w:r>
      <w:r w:rsidRPr="00D03F3E">
        <w:rPr>
          <w:rFonts w:ascii="Times New Roman" w:hAnsi="Times New Roman"/>
          <w:color w:val="000000" w:themeColor="text1"/>
          <w:sz w:val="16"/>
          <w:szCs w:val="16"/>
        </w:rPr>
        <w:softHyphen/>
        <w:t>сие на выпуск моторов М-71 малой серией (порядка 30 шт. в месяц) в опытном цехе завода №19, сохраняя на потоке выпуск М-82. Завод №81 был маломощным и все равно не смог бы поддерживать более высокий темп выпуска самолетов. К тому же И-185 имел цельнометаллическую конструк</w:t>
      </w:r>
      <w:r w:rsidRPr="00D03F3E">
        <w:rPr>
          <w:rFonts w:ascii="Times New Roman" w:hAnsi="Times New Roman"/>
          <w:color w:val="000000" w:themeColor="text1"/>
          <w:sz w:val="16"/>
          <w:szCs w:val="16"/>
        </w:rPr>
        <w:softHyphen/>
        <w:t>цию крыла, а алюминий в то время был в большом дефиците, что также не позволяло рассчитывать на боль</w:t>
      </w:r>
      <w:r w:rsidRPr="00D03F3E">
        <w:rPr>
          <w:rFonts w:ascii="Times New Roman" w:hAnsi="Times New Roman"/>
          <w:color w:val="000000" w:themeColor="text1"/>
          <w:sz w:val="16"/>
          <w:szCs w:val="16"/>
        </w:rPr>
        <w:softHyphen/>
        <w:t>шую серию. Конечно, теперь уже ясно, что это была своего рода «кость», брошенная сторонникам И-185, а также попытка обезопасить себя от возможных бу</w:t>
      </w:r>
      <w:r w:rsidRPr="00D03F3E">
        <w:rPr>
          <w:rFonts w:ascii="Times New Roman" w:hAnsi="Times New Roman"/>
          <w:color w:val="000000" w:themeColor="text1"/>
          <w:sz w:val="16"/>
          <w:szCs w:val="16"/>
        </w:rPr>
        <w:softHyphen/>
        <w:t>дущих упреков в бездействии. Шаху</w:t>
      </w:r>
      <w:r w:rsidRPr="00D03F3E">
        <w:rPr>
          <w:rFonts w:ascii="Times New Roman" w:hAnsi="Times New Roman"/>
          <w:color w:val="000000" w:themeColor="text1"/>
          <w:sz w:val="16"/>
          <w:szCs w:val="16"/>
        </w:rPr>
        <w:softHyphen/>
        <w:t>рин по-прежнему рассчитывал на работу ОКБ Лавочкина, которое в это время устанавливало на следующий опытный экземпляр Ла-5 теперь уже мотор М-82ФНВ - так он тогда на</w:t>
      </w:r>
      <w:r w:rsidRPr="00D03F3E">
        <w:rPr>
          <w:rFonts w:ascii="Times New Roman" w:hAnsi="Times New Roman"/>
          <w:color w:val="000000" w:themeColor="text1"/>
          <w:sz w:val="16"/>
          <w:szCs w:val="16"/>
        </w:rPr>
        <w:softHyphen/>
        <w:t>зывался. И ждал не только потому, что не любил Н.Н. Поликарпова, а пото</w:t>
      </w:r>
      <w:r w:rsidRPr="00D03F3E">
        <w:rPr>
          <w:rFonts w:ascii="Times New Roman" w:hAnsi="Times New Roman"/>
          <w:color w:val="000000" w:themeColor="text1"/>
          <w:sz w:val="16"/>
          <w:szCs w:val="16"/>
        </w:rPr>
        <w:softHyphen/>
        <w:t>му, что к этому времени по опыту 1942 года и ему, и командующему ВВС А.А. Новикову уже было ясно, что малые серии сколь угодно выдающихся об</w:t>
      </w:r>
      <w:r w:rsidRPr="00D03F3E">
        <w:rPr>
          <w:rFonts w:ascii="Times New Roman" w:hAnsi="Times New Roman"/>
          <w:color w:val="000000" w:themeColor="text1"/>
          <w:sz w:val="16"/>
          <w:szCs w:val="16"/>
        </w:rPr>
        <w:softHyphen/>
        <w:t>разцов вооружения в условиях тоталь</w:t>
      </w:r>
      <w:r w:rsidRPr="00D03F3E">
        <w:rPr>
          <w:rFonts w:ascii="Times New Roman" w:hAnsi="Times New Roman"/>
          <w:color w:val="000000" w:themeColor="text1"/>
          <w:sz w:val="16"/>
          <w:szCs w:val="16"/>
        </w:rPr>
        <w:softHyphen/>
        <w:t>ной войны ничего изменить не смо</w:t>
      </w:r>
      <w:r w:rsidRPr="00D03F3E">
        <w:rPr>
          <w:rFonts w:ascii="Times New Roman" w:hAnsi="Times New Roman"/>
          <w:color w:val="000000" w:themeColor="text1"/>
          <w:sz w:val="16"/>
          <w:szCs w:val="16"/>
        </w:rPr>
        <w:softHyphen/>
        <w:t>гут (10705).</w:t>
      </w:r>
    </w:p>
    <w:p w14:paraId="5F4B328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DF8C3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января 1943 П.М.Стефановский поднял И-185 эталон в воз</w:t>
      </w:r>
      <w:r w:rsidRPr="00D03F3E">
        <w:rPr>
          <w:rFonts w:ascii="Times New Roman" w:hAnsi="Times New Roman"/>
          <w:color w:val="000000" w:themeColor="text1"/>
          <w:sz w:val="16"/>
          <w:szCs w:val="16"/>
        </w:rPr>
        <w:softHyphen/>
        <w:t>дух. Однако во время полета разрушился мотор. Опять последовала вынужденная посадка на аэродром. «Про</w:t>
      </w:r>
      <w:r w:rsidRPr="00D03F3E">
        <w:rPr>
          <w:rFonts w:ascii="Times New Roman" w:hAnsi="Times New Roman"/>
          <w:color w:val="000000" w:themeColor="text1"/>
          <w:sz w:val="16"/>
          <w:szCs w:val="16"/>
        </w:rPr>
        <w:softHyphen/>
        <w:t>скакиваю мимо бомбардировщика, резко беру ручку на себя, чтобы за счет максимальной подъемной силы на большом угле атаки крыла компенсировать недостаточ</w:t>
      </w:r>
      <w:r w:rsidRPr="00D03F3E">
        <w:rPr>
          <w:rFonts w:ascii="Times New Roman" w:hAnsi="Times New Roman"/>
          <w:color w:val="000000" w:themeColor="text1"/>
          <w:sz w:val="16"/>
          <w:szCs w:val="16"/>
        </w:rPr>
        <w:softHyphen/>
        <w:t>ную скорость. Но, увы, самолет резко проваливается. Большой ход амортизатора несколько смягчает удар, од</w:t>
      </w:r>
      <w:r w:rsidRPr="00D03F3E">
        <w:rPr>
          <w:rFonts w:ascii="Times New Roman" w:hAnsi="Times New Roman"/>
          <w:color w:val="000000" w:themeColor="text1"/>
          <w:sz w:val="16"/>
          <w:szCs w:val="16"/>
        </w:rPr>
        <w:softHyphen/>
        <w:t>нако силовые узлы конструкции не выдерживают, и крылья самолета складываются над моей головой напо</w:t>
      </w:r>
      <w:r w:rsidRPr="00D03F3E">
        <w:rPr>
          <w:rFonts w:ascii="Times New Roman" w:hAnsi="Times New Roman"/>
          <w:color w:val="000000" w:themeColor="text1"/>
          <w:sz w:val="16"/>
          <w:szCs w:val="16"/>
        </w:rPr>
        <w:softHyphen/>
        <w:t xml:space="preserve">добие шалаша, - вспоминал Петр Михайлович. - Вылез из самолета, снял парашют, с грустью </w:t>
      </w:r>
      <w:r w:rsidRPr="00D03F3E">
        <w:rPr>
          <w:rFonts w:ascii="Times New Roman" w:hAnsi="Times New Roman"/>
          <w:color w:val="000000" w:themeColor="text1"/>
          <w:sz w:val="16"/>
          <w:szCs w:val="16"/>
        </w:rPr>
        <w:lastRenderedPageBreak/>
        <w:t>смотрю на иска</w:t>
      </w:r>
      <w:r w:rsidRPr="00D03F3E">
        <w:rPr>
          <w:rFonts w:ascii="Times New Roman" w:hAnsi="Times New Roman"/>
          <w:color w:val="000000" w:themeColor="text1"/>
          <w:sz w:val="16"/>
          <w:szCs w:val="16"/>
        </w:rPr>
        <w:softHyphen/>
        <w:t>леченную стальную птицу. А ведь могло кончиться куда хуже. Значит, хороший самолет, надежный. Может стать верным товарищем в бою». Всего за время государственных испытаний состоя</w:t>
      </w:r>
      <w:r w:rsidRPr="00D03F3E">
        <w:rPr>
          <w:rFonts w:ascii="Times New Roman" w:hAnsi="Times New Roman"/>
          <w:color w:val="000000" w:themeColor="text1"/>
          <w:sz w:val="16"/>
          <w:szCs w:val="16"/>
        </w:rPr>
        <w:softHyphen/>
        <w:t>лось 8 полетов с налетом 5 часов 13 минут. По совокуп</w:t>
      </w:r>
      <w:r w:rsidRPr="00D03F3E">
        <w:rPr>
          <w:rFonts w:ascii="Times New Roman" w:hAnsi="Times New Roman"/>
          <w:color w:val="000000" w:themeColor="text1"/>
          <w:sz w:val="16"/>
          <w:szCs w:val="16"/>
        </w:rPr>
        <w:softHyphen/>
        <w:t>ным характеристикам И-185 превосходил отечественные и немецкие истребители (10667).</w:t>
      </w:r>
    </w:p>
    <w:p w14:paraId="3513D66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аварийного отчнта: Аэродром Чкаловская. Определение макс. гор. Скорости. При выполнении сдал мотор (сильная тряска). При планнировании л потерял скорость и с-т ударился шасси о землю. С-т разбит. Летчик невредим. Обрыв клапана выхлопа 2-го цилиндра. Л допустил ошибку в расчете на посадку и стараясь перетянуть черех с-ты, стоявшие на стоянке, потерял скорость. С-т ремонту не подлежит (751).</w:t>
      </w:r>
    </w:p>
    <w:p w14:paraId="551509E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28DC2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27 января 1943 согласно журнала наблюдения за проектированием, постройкой и испытаниями МиГ-5 2АМ-37 и 2М-82 в ЛИИ начались гос. испытания 2 экз. ДИС (МиГ-5) с М-82 и 28 был первый вылет. Савкин летал 15 минут. Потом сделали 14 полетов (990,8).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9259"/>
      </w:tblGrid>
      <w:tr w:rsidR="00860B4B" w:rsidRPr="00D03F3E" w14:paraId="2DA83B92" w14:textId="77777777">
        <w:tc>
          <w:tcPr>
            <w:tcW w:w="1951" w:type="dxa"/>
            <w:tcBorders>
              <w:top w:val="single" w:sz="12" w:space="0" w:color="auto"/>
            </w:tcBorders>
          </w:tcPr>
          <w:p w14:paraId="719173D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27 января 1943 </w:t>
            </w:r>
          </w:p>
        </w:tc>
        <w:tc>
          <w:tcPr>
            <w:tcW w:w="9259" w:type="dxa"/>
            <w:tcBorders>
              <w:top w:val="single" w:sz="12" w:space="0" w:color="auto"/>
            </w:tcBorders>
          </w:tcPr>
          <w:p w14:paraId="7416E6F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начались гос. испытания 2 экз. ДИС (МиГ-5) с М-82</w:t>
            </w:r>
          </w:p>
        </w:tc>
      </w:tr>
      <w:tr w:rsidR="00860B4B" w:rsidRPr="00D03F3E" w14:paraId="399E8239" w14:textId="77777777">
        <w:tc>
          <w:tcPr>
            <w:tcW w:w="1951" w:type="dxa"/>
          </w:tcPr>
          <w:p w14:paraId="2A022AC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28 января 1943 </w:t>
            </w:r>
          </w:p>
        </w:tc>
        <w:tc>
          <w:tcPr>
            <w:tcW w:w="9259" w:type="dxa"/>
          </w:tcPr>
          <w:p w14:paraId="302FECD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был первый вылет 2 экз. ДИС (МиГ-5) с М-82. Савкин летал 15 минут. Потом сделали 14 полетов.</w:t>
            </w:r>
          </w:p>
        </w:tc>
      </w:tr>
      <w:tr w:rsidR="00860B4B" w:rsidRPr="00D03F3E" w14:paraId="54D7192F" w14:textId="77777777">
        <w:tc>
          <w:tcPr>
            <w:tcW w:w="1951" w:type="dxa"/>
          </w:tcPr>
          <w:p w14:paraId="10F697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5 февраля 1942 </w:t>
            </w:r>
          </w:p>
        </w:tc>
        <w:tc>
          <w:tcPr>
            <w:tcW w:w="9259" w:type="dxa"/>
          </w:tcPr>
          <w:p w14:paraId="5F1C1ED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2 экз. ДИС (МиГ-5) с М-82 был произведен 2-й вылет (25 мин.) с целью проверки работы ВМГ</w:t>
            </w:r>
          </w:p>
        </w:tc>
      </w:tr>
      <w:tr w:rsidR="00860B4B" w:rsidRPr="00D03F3E" w14:paraId="1F50B881" w14:textId="77777777">
        <w:tc>
          <w:tcPr>
            <w:tcW w:w="1951" w:type="dxa"/>
          </w:tcPr>
          <w:p w14:paraId="5AEDF11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10 по 20 февраля 1943 </w:t>
            </w:r>
          </w:p>
        </w:tc>
        <w:tc>
          <w:tcPr>
            <w:tcW w:w="9259" w:type="dxa"/>
          </w:tcPr>
          <w:p w14:paraId="754626F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полеты 2 экз. ДИС (МиГ-5) с М-82 не производились из-за ненормальной работы карбюратора БП</w:t>
            </w:r>
          </w:p>
        </w:tc>
      </w:tr>
      <w:tr w:rsidR="00860B4B" w:rsidRPr="00D03F3E" w14:paraId="2563BDB8" w14:textId="77777777">
        <w:tc>
          <w:tcPr>
            <w:tcW w:w="1951" w:type="dxa"/>
          </w:tcPr>
          <w:p w14:paraId="76C2F5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февраля 1943</w:t>
            </w:r>
          </w:p>
        </w:tc>
        <w:tc>
          <w:tcPr>
            <w:tcW w:w="9259" w:type="dxa"/>
          </w:tcPr>
          <w:p w14:paraId="304A171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карбюраторы сняты с обоих моторов 2 экз. ДИС (МиГ-5) с М-82 и отправлены в ЦИАМ на перерегулировку. По этой причине полетов не было</w:t>
            </w:r>
          </w:p>
        </w:tc>
      </w:tr>
      <w:tr w:rsidR="00860B4B" w:rsidRPr="00D03F3E" w14:paraId="351957D5" w14:textId="77777777">
        <w:tc>
          <w:tcPr>
            <w:tcW w:w="1951" w:type="dxa"/>
          </w:tcPr>
          <w:p w14:paraId="7E720DD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25 февраля 1943 по 5 марта 1943</w:t>
            </w:r>
          </w:p>
        </w:tc>
        <w:tc>
          <w:tcPr>
            <w:tcW w:w="9259" w:type="dxa"/>
          </w:tcPr>
          <w:p w14:paraId="7888D9D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карбюраторы 2 экз. ДИС (МиГ-5) с М-82 проходили перерегулировку в ЦИАМе</w:t>
            </w:r>
          </w:p>
        </w:tc>
      </w:tr>
      <w:tr w:rsidR="00860B4B" w:rsidRPr="00D03F3E" w14:paraId="2079D4F0" w14:textId="77777777">
        <w:tc>
          <w:tcPr>
            <w:tcW w:w="1951" w:type="dxa"/>
          </w:tcPr>
          <w:p w14:paraId="284B5AA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6 марта 1943 по 9 марта 1943</w:t>
            </w:r>
          </w:p>
        </w:tc>
        <w:tc>
          <w:tcPr>
            <w:tcW w:w="9259" w:type="dxa"/>
          </w:tcPr>
          <w:p w14:paraId="6DE25F9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карбюраторы устанавливались на моторах 2 экз. ДИС (МиГ-5) с М-82. После чего планировалась проба моторов на земле и в воздухе</w:t>
            </w:r>
          </w:p>
        </w:tc>
      </w:tr>
      <w:tr w:rsidR="00860B4B" w:rsidRPr="00D03F3E" w14:paraId="24943BD0" w14:textId="77777777">
        <w:tc>
          <w:tcPr>
            <w:tcW w:w="1951" w:type="dxa"/>
          </w:tcPr>
          <w:p w14:paraId="7CEAADC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9 марта 1943 </w:t>
            </w:r>
          </w:p>
        </w:tc>
        <w:tc>
          <w:tcPr>
            <w:tcW w:w="9259" w:type="dxa"/>
          </w:tcPr>
          <w:p w14:paraId="521902F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карбюраторы были установлены на моторах 2 экз. ДИС (МиГ-5) с М-82. После чего планировалась проба моторов на земле и в воздухе</w:t>
            </w:r>
          </w:p>
        </w:tc>
      </w:tr>
      <w:tr w:rsidR="00860B4B" w:rsidRPr="00D03F3E" w14:paraId="5E3DFDEA" w14:textId="77777777">
        <w:tc>
          <w:tcPr>
            <w:tcW w:w="1951" w:type="dxa"/>
          </w:tcPr>
          <w:p w14:paraId="65C7723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w:t>
            </w:r>
          </w:p>
        </w:tc>
        <w:tc>
          <w:tcPr>
            <w:tcW w:w="9259" w:type="dxa"/>
          </w:tcPr>
          <w:p w14:paraId="2F7608D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закончили установку новых (беспоплавковых) карбюраторов, проходивших перерегулировку в ЦИАМе. Моторы 2 экз. ДИС (МиГ-5) с М-82 на земле работают нормально. С-т был готов к летным испытаниям. В связи с тем, что летный состав завода занят летными испытаниями других самолетов, полеты на с-те МиГ-5 не производились</w:t>
            </w:r>
          </w:p>
        </w:tc>
      </w:tr>
      <w:tr w:rsidR="00860B4B" w:rsidRPr="00D03F3E" w14:paraId="21EAC813" w14:textId="77777777">
        <w:tc>
          <w:tcPr>
            <w:tcW w:w="1951" w:type="dxa"/>
          </w:tcPr>
          <w:p w14:paraId="0B42E3B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мая 1943</w:t>
            </w:r>
          </w:p>
        </w:tc>
        <w:tc>
          <w:tcPr>
            <w:tcW w:w="9259" w:type="dxa"/>
          </w:tcPr>
          <w:p w14:paraId="2027621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была проверена работа ВМТ-3 2 экз. ДИС (МиГ-5) с М-82 на земле, все нормально. По указанию ГК полеты не производились</w:t>
            </w:r>
          </w:p>
        </w:tc>
      </w:tr>
      <w:tr w:rsidR="00860B4B" w:rsidRPr="00D03F3E" w14:paraId="68FAD910" w14:textId="77777777">
        <w:tc>
          <w:tcPr>
            <w:tcW w:w="1951" w:type="dxa"/>
            <w:tcBorders>
              <w:bottom w:val="single" w:sz="12" w:space="0" w:color="auto"/>
            </w:tcBorders>
          </w:tcPr>
          <w:p w14:paraId="470A51D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10 октября 1943 </w:t>
            </w:r>
          </w:p>
        </w:tc>
        <w:tc>
          <w:tcPr>
            <w:tcW w:w="9259" w:type="dxa"/>
            <w:tcBorders>
              <w:bottom w:val="single" w:sz="12" w:space="0" w:color="auto"/>
            </w:tcBorders>
          </w:tcPr>
          <w:p w14:paraId="71F1EC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указанию наркома АП винты (2 шт.) сняты с самолета 2 экз. ДИС (МиГ-5) с М-82 и отправлены в ЛИИ (990,8).</w:t>
            </w:r>
          </w:p>
        </w:tc>
      </w:tr>
    </w:tbl>
    <w:p w14:paraId="7A66295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4C78A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января 1943 С.П.Королевым выполнил расчет самолета Пе-2 с установкой РУ-1 (234,192).</w:t>
      </w:r>
    </w:p>
    <w:p w14:paraId="5CBD38F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3F529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января 1943 на Ер-2 2М-30Б на заводах 134 и 500 после ремонта винта выполнили контрольный полет продолжительностью 15 мин. Выяснили, что левый винт также не в порядке. 28-29 января меняли винт и чинили тормоза (1458,30).</w:t>
      </w:r>
    </w:p>
    <w:p w14:paraId="324F61A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627A3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января 1943 была подготовлена справка по состоянию опытных работ на 25 января 1943 на заводах 19, 24, 26, 29, ОКБ-154, ОКБ-250, 500 и агрегатным заводам НКАП (1458,81).</w:t>
      </w:r>
    </w:p>
    <w:p w14:paraId="1EF695E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E25CB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января 1943 Зам. Нач. 8-го ГУ НКАП Воликов подготовил:</w:t>
      </w:r>
    </w:p>
    <w:p w14:paraId="2B0AE9F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В О Д К А</w:t>
      </w:r>
    </w:p>
    <w:p w14:paraId="5CBE5F5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состоянию опытных работ на 25/1-43 г. на заводах № 19, 24, 26, 29, ОКБ-154, ОКБ-250, 500. и агрегатным заводам НКАП.</w:t>
      </w:r>
    </w:p>
    <w:p w14:paraId="0E5CE97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19</w:t>
      </w:r>
    </w:p>
    <w:p w14:paraId="1D7672E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Закончены 50 часовые внутризаводские испытания мотора М-71 на форсированном режиме. Получены следующие основные данные: Взлетная мощность 2250 л. с., -номинальная мощность, на высоте 1000 м. - 2000 л. с., и на высоте 3600 м - 1900 л. с. Установлена возможность эксплуатации мотора М-71 на форсированном режиме со сроком слуябы -50 часов.</w:t>
      </w:r>
    </w:p>
    <w:p w14:paraId="6422992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 М-82.</w:t>
      </w:r>
    </w:p>
    <w:p w14:paraId="1E5A3E7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Испытание моторов на форсированном режиме: (вз</w:t>
      </w:r>
      <w:r w:rsidRPr="00D03F3E">
        <w:rPr>
          <w:rFonts w:ascii="Times New Roman" w:hAnsi="Times New Roman"/>
          <w:color w:val="000000" w:themeColor="text1"/>
          <w:sz w:val="16"/>
          <w:szCs w:val="16"/>
        </w:rPr>
        <w:softHyphen/>
        <w:t>летный режим увеличен по времени с 3 ч. 20 м. до 13 ч. 20м..-и номинальный режим форсирован по наддуву на П ск. нагне</w:t>
      </w:r>
      <w:r w:rsidRPr="00D03F3E">
        <w:rPr>
          <w:rFonts w:ascii="Times New Roman" w:hAnsi="Times New Roman"/>
          <w:color w:val="000000" w:themeColor="text1"/>
          <w:sz w:val="16"/>
          <w:szCs w:val="16"/>
        </w:rPr>
        <w:softHyphen/>
        <w:t>тателя с 950 до 1050 мн.рт.ст.).</w:t>
      </w:r>
    </w:p>
    <w:p w14:paraId="071B382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Первый мотор наработал 218 часов, после чего обнаружен прогар фаски клапана выхлопа и поломка оси рычага клапана После восстановления мотора испытания были продолжены. Мотор наработал на режиме 250 часов. На этом моторе, двух-скоростнал передача к нагнетателю была оборудована разъеимным кольцом на поршне второй скорости. Второй мотор - наработал 125 часов, после чего обнаружено разрушение дисков второй скорости нагнетателя. Из за отложения грязи в фрикционной муфте П вксрости. После восстановления нагнетателя, испытание будет продолжено до 150 часов. На этом моторе двухскоростная передача бы</w:t>
      </w:r>
      <w:r w:rsidRPr="00D03F3E">
        <w:rPr>
          <w:rFonts w:ascii="Times New Roman" w:hAnsi="Times New Roman"/>
          <w:color w:val="000000" w:themeColor="text1"/>
          <w:sz w:val="16"/>
          <w:szCs w:val="16"/>
        </w:rPr>
        <w:softHyphen/>
        <w:t>ла старого типа без разъемного кольца. За время испытаний дефект по двухскоростной передачи был обнаружен после 62 и 98 часов из-за загрязнения муфты второй скорости.</w:t>
      </w:r>
    </w:p>
    <w:p w14:paraId="3A459FE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Закончено испытание 10 серийных моторов в целях контроля мощности моторов. Закончены испытания мотора по влиянию на мощность мотора - выхлопного коллектора с самолета ЛА-5. Потеря шоцности на взлетном режиме составляет - 5% на номинальной режиме 1 ск. - 4%.</w:t>
      </w:r>
    </w:p>
    <w:p w14:paraId="1C14778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Закончено 50 часовое испытание мстора на зимнем Американском масле.</w:t>
      </w:r>
    </w:p>
    <w:p w14:paraId="583A2D4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 ЛИИ НКАП подготовлен -к летным испытаниям самолет ЛА-5 оборудованный карбюратором АК-82БП с регулировкой от</w:t>
      </w:r>
      <w:r w:rsidRPr="00D03F3E">
        <w:rPr>
          <w:rFonts w:ascii="Times New Roman" w:hAnsi="Times New Roman"/>
          <w:color w:val="000000" w:themeColor="text1"/>
          <w:sz w:val="16"/>
          <w:szCs w:val="16"/>
        </w:rPr>
        <w:softHyphen/>
        <w:t>работанной ЦИАМ и магнето БСМ-14 с измененной распределитель ной колодкой и побегушкой, для поднятия высотности магнето.</w:t>
      </w:r>
    </w:p>
    <w:p w14:paraId="4AE75E8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24.</w:t>
      </w:r>
    </w:p>
    <w:p w14:paraId="292205D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 АМ-42</w:t>
      </w:r>
    </w:p>
    <w:p w14:paraId="19469D5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 № 4208 прошел 9-го января 1943 года внутри</w:t>
      </w:r>
      <w:r w:rsidRPr="00D03F3E">
        <w:rPr>
          <w:rFonts w:ascii="Times New Roman" w:hAnsi="Times New Roman"/>
          <w:color w:val="000000" w:themeColor="text1"/>
          <w:sz w:val="16"/>
          <w:szCs w:val="16"/>
        </w:rPr>
        <w:softHyphen/>
        <w:t>заводские 50-тя часовые испытания. Мотор испытывался на топ</w:t>
      </w:r>
      <w:r w:rsidRPr="00D03F3E">
        <w:rPr>
          <w:rFonts w:ascii="Times New Roman" w:hAnsi="Times New Roman"/>
          <w:color w:val="000000" w:themeColor="text1"/>
          <w:sz w:val="16"/>
          <w:szCs w:val="16"/>
        </w:rPr>
        <w:softHyphen/>
        <w:t>ливе с октановым числом 93 и на режимах в соответствии с 67МТУ. Удельные расходы топлива были в норме, расход масла был значительно меньше чем на серийных машинах. При осмотре мотора после испытаний обнаружены дефекты выхлопных клапанов:- 4 клапана прогоревших и на 2-х имелось выветривание фасок. Состояние других деталей удовлетворительное Второй мотор поставленный на повторные заводские испытания был снят из-за неудовлетворительной регулировки карбюраторов и по дефекту выброса масла из суфлера. Готовится мотор для чистовых заводских испытаний.</w:t>
      </w:r>
    </w:p>
    <w:p w14:paraId="450EC7B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 АМ-39</w:t>
      </w:r>
    </w:p>
    <w:p w14:paraId="6311227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Продолжает находиться в стадии внутризаводской доводки 2-х скоростного нагнетателя. Никаких официальных испытаний не проводилось.</w:t>
      </w:r>
    </w:p>
    <w:p w14:paraId="2363ADF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ОКБ-250</w:t>
      </w:r>
    </w:p>
    <w:p w14:paraId="4215667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имеющихся 3-х моторах, проходились эксперимен</w:t>
      </w:r>
      <w:r w:rsidRPr="00D03F3E">
        <w:rPr>
          <w:rFonts w:ascii="Times New Roman" w:hAnsi="Times New Roman"/>
          <w:color w:val="000000" w:themeColor="text1"/>
          <w:sz w:val="16"/>
          <w:szCs w:val="16"/>
        </w:rPr>
        <w:softHyphen/>
        <w:t>тальные и доводочные работы по отработке на моторе насосов непосредственного впрыска, всасыващкх труб, и торсиографирование коленчатого вала. Длительных испытаний мотора не .проводилось по причине отсутствий кондиционных блоков. Литье блоков заводом № 26 до сих пор не подано. Не выпол</w:t>
      </w:r>
      <w:r w:rsidRPr="00D03F3E">
        <w:rPr>
          <w:rFonts w:ascii="Times New Roman" w:hAnsi="Times New Roman"/>
          <w:color w:val="000000" w:themeColor="text1"/>
          <w:sz w:val="16"/>
          <w:szCs w:val="16"/>
        </w:rPr>
        <w:softHyphen/>
        <w:t>нены заводом № 26 и другие работы по производству деталей для мотора М-250.</w:t>
      </w:r>
    </w:p>
    <w:p w14:paraId="4A08FAF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154</w:t>
      </w:r>
    </w:p>
    <w:p w14:paraId="5590826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Заканчиваются станковые и летные испытания мотора Ы-11ф на 500-часовой рессурс.</w:t>
      </w:r>
    </w:p>
    <w:p w14:paraId="23E6F3B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 М-12</w:t>
      </w:r>
    </w:p>
    <w:p w14:paraId="6E1FC46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изготовленном моторе М- 12 проведено четыре длительных 50-часовых испытания. Одно из 50-ти часовых ис</w:t>
      </w:r>
      <w:r w:rsidRPr="00D03F3E">
        <w:rPr>
          <w:rFonts w:ascii="Times New Roman" w:hAnsi="Times New Roman"/>
          <w:color w:val="000000" w:themeColor="text1"/>
          <w:sz w:val="16"/>
          <w:szCs w:val="16"/>
        </w:rPr>
        <w:softHyphen/>
        <w:t>пытаний было проведено с головками типа М-11 и 3 испытания (150 часов) с цилиндрами типа "Райт-Циклон". Мотор можно считать конструктивно доведенным до совместных испытание-последние задерживаются по причине отсутствия моторов. В настоящее время ОКБ имеет всего лииь 2 мотора М-12 и один из них не укомплектован цилиндрами и клапанами.</w:t>
      </w:r>
    </w:p>
    <w:p w14:paraId="53BFCF2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26</w:t>
      </w:r>
    </w:p>
    <w:p w14:paraId="007C177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декабре месяце 1942 года мотор М-107А прошел 50 часовые совместные испытания с нормальным коленчатым валом серийного производства с наг ар то ванными галтелями по шатун</w:t>
      </w:r>
      <w:r w:rsidRPr="00D03F3E">
        <w:rPr>
          <w:rFonts w:ascii="Times New Roman" w:hAnsi="Times New Roman"/>
          <w:color w:val="000000" w:themeColor="text1"/>
          <w:sz w:val="16"/>
          <w:szCs w:val="16"/>
        </w:rPr>
        <w:softHyphen/>
        <w:t>ным и коренным шейкам.</w:t>
      </w:r>
    </w:p>
    <w:p w14:paraId="339CFE7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м-це 1943 года запущены в серийное производ</w:t>
      </w:r>
      <w:r w:rsidRPr="00D03F3E">
        <w:rPr>
          <w:rFonts w:ascii="Times New Roman" w:hAnsi="Times New Roman"/>
          <w:color w:val="000000" w:themeColor="text1"/>
          <w:sz w:val="16"/>
          <w:szCs w:val="16"/>
        </w:rPr>
        <w:softHyphen/>
        <w:t>ство 10 моторов с 50-ти часовым рессурсом, которые предназ</w:t>
      </w:r>
      <w:r w:rsidRPr="00D03F3E">
        <w:rPr>
          <w:rFonts w:ascii="Times New Roman" w:hAnsi="Times New Roman"/>
          <w:color w:val="000000" w:themeColor="text1"/>
          <w:sz w:val="16"/>
          <w:szCs w:val="16"/>
        </w:rPr>
        <w:softHyphen/>
        <w:t>начены для отправки самолетным заводам. Мотор № К-240, собранный с коленчатым валом усиленным по толщине щек на 2 мм. и увеличенными-переходными радиусами галтелей шатунных и коренных шеек, прошел 50 часов режимной работы по программе 67-МТУ. После разборки мотора все его детали оказались в хорошем состоянии, мотор был собран и поставлен на вторые 50-ти часовые испытания. На первом 10-и часовом этапе работы мотора произошла поломка коленчатого вала на 12-й щейке. Главный Конструктор тов. Климов предпола</w:t>
      </w:r>
      <w:r w:rsidRPr="00D03F3E">
        <w:rPr>
          <w:rFonts w:ascii="Times New Roman" w:hAnsi="Times New Roman"/>
          <w:color w:val="000000" w:themeColor="text1"/>
          <w:sz w:val="16"/>
          <w:szCs w:val="16"/>
        </w:rPr>
        <w:softHyphen/>
        <w:t>гает, что поломка коленчатого вала мотора № К-240 произошла благодаря действию продольных колебаний коленчатого вала, для устранения которых запроектирован и изготовляется дем^в] (специально для гашения продольных колебаний).</w:t>
      </w:r>
    </w:p>
    <w:p w14:paraId="28DA9A4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Мотор М-106 /с односкоростным нагнетателем/</w:t>
      </w:r>
    </w:p>
    <w:p w14:paraId="655CAD7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заводских испытаний двух моторов, по 100 часов каждый, на рабочих режимах по программе 67-МТУ, военный пред</w:t>
      </w:r>
      <w:r w:rsidRPr="00D03F3E">
        <w:rPr>
          <w:rFonts w:ascii="Times New Roman" w:hAnsi="Times New Roman"/>
          <w:color w:val="000000" w:themeColor="text1"/>
          <w:sz w:val="16"/>
          <w:szCs w:val="16"/>
        </w:rPr>
        <w:softHyphen/>
        <w:t>ставитель и дирекция завода № 26 считают возможным дать мо</w:t>
      </w:r>
      <w:r w:rsidRPr="00D03F3E">
        <w:rPr>
          <w:rFonts w:ascii="Times New Roman" w:hAnsi="Times New Roman"/>
          <w:color w:val="000000" w:themeColor="text1"/>
          <w:sz w:val="16"/>
          <w:szCs w:val="16"/>
        </w:rPr>
        <w:softHyphen/>
        <w:t>тору М-106 (с однсакорсстным нагнетателем) 100 часовой рессурс</w:t>
      </w:r>
    </w:p>
    <w:p w14:paraId="2F772AA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 М-106 (с 2-х скоростным нагнетателем).</w:t>
      </w:r>
    </w:p>
    <w:p w14:paraId="09ACDD7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снятии отвлеченных характеристик на первом мото</w:t>
      </w:r>
      <w:r w:rsidRPr="00D03F3E">
        <w:rPr>
          <w:rFonts w:ascii="Times New Roman" w:hAnsi="Times New Roman"/>
          <w:color w:val="000000" w:themeColor="text1"/>
          <w:sz w:val="16"/>
          <w:szCs w:val="16"/>
        </w:rPr>
        <w:softHyphen/>
        <w:t>ре М-106 (с 2-х скоростным нагнетателем} получена мощность - на режиме взлета- 1340 л.с. вместо заявленной-1350 л.с. и на режине 2-й скорости- 1150 л.с. вместо 1250 л.с.</w:t>
      </w:r>
    </w:p>
    <w:p w14:paraId="47B8843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получения требуемой мощности ведется работа совместно с ЦИАМ'ом по улучшению гидравлики нагнетателя путем постановки лопаточного диффузора, предварительные испытания которых значительно улучшает КПД нагнетателя. В ЦИАМ'е сделаны 4 лопаточных диффузора и отправлены на завод № 26. В серии изготовляются 10 моторов.</w:t>
      </w:r>
    </w:p>
    <w:p w14:paraId="0CB5A42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29</w:t>
      </w:r>
    </w:p>
    <w:p w14:paraId="2F67220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 М-90</w:t>
      </w:r>
    </w:p>
    <w:p w14:paraId="2291CA7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Проведено 100 часовое внутризаводское испытание мо тора. За время этих испытаний обнаружены дефекты: прогар клапанов выхлопа. Этот дефект был вызван применением при испытаниях Хабаровского бензина Б-78, имеющего октановое число 70-73.</w:t>
      </w:r>
    </w:p>
    <w:p w14:paraId="4E1172E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Приведение повторных 100 часовых заводских испытаний задерживается из-за отсутствия электроэнергии и требуемого количества топлива Б-78.</w:t>
      </w:r>
    </w:p>
    <w:p w14:paraId="0E72C85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Укомплектовано и собраны для 100 часовых испытаний два мотора № 29 и № 32. Два до тора № 33 и 34 прошли сдаточные испытания. Пять моторов не укомплектованы - отсутствуют клапана, поршни, два комплекта цилиндров и два коленчатых вала. Задержа изготовления указанных деталей вызвана ограничением завода электроэнергией.</w:t>
      </w:r>
    </w:p>
    <w:p w14:paraId="647B733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500</w:t>
      </w:r>
    </w:p>
    <w:p w14:paraId="6EFFC9C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 М-30Б</w:t>
      </w:r>
    </w:p>
    <w:p w14:paraId="65EC344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это время проводились доводочные испытания мото</w:t>
      </w:r>
      <w:r w:rsidRPr="00D03F3E">
        <w:rPr>
          <w:rFonts w:ascii="Times New Roman" w:hAnsi="Times New Roman"/>
          <w:color w:val="000000" w:themeColor="text1"/>
          <w:sz w:val="16"/>
          <w:szCs w:val="16"/>
        </w:rPr>
        <w:softHyphen/>
        <w:t>ра № 353 с агрегатом наддува Э-148. На режиме при числе оборотов 1800 об/мин. началось выбрасывание масла из суфлера,дефект устраняется.</w:t>
      </w:r>
    </w:p>
    <w:p w14:paraId="319F4E8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Стендовые моторные испытания задержались из-за от</w:t>
      </w:r>
      <w:r w:rsidRPr="00D03F3E">
        <w:rPr>
          <w:rFonts w:ascii="Times New Roman" w:hAnsi="Times New Roman"/>
          <w:color w:val="000000" w:themeColor="text1"/>
          <w:sz w:val="16"/>
          <w:szCs w:val="16"/>
        </w:rPr>
        <w:softHyphen/>
        <w:t>сутствия топлива. На одноцилиндровой установке начались экспериментальные работы по отработке процесса. ОКБ проводит работы по конструктивной разработке отдельных деталей и узлов моторов М-30В и АН-5.</w:t>
      </w:r>
    </w:p>
    <w:p w14:paraId="47957C9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опытно-механический цех заводом выделено 15 станков которые уже установлены, но работа на этих станках еще не начата ввиду отсутствия рабочих.</w:t>
      </w:r>
    </w:p>
    <w:p w14:paraId="4CD9B95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самолете Пе-8 № 42038 за время летных испытаний проведено.28 полетов общей проделайтельностью 50 часов |50 мин., кроме этого на земле два мотора, на которых производились полеты, наработали 24 часа 50 мин., а на следующих двух моторных установках самолета Пе-8 было заме</w:t>
      </w:r>
      <w:r w:rsidRPr="00D03F3E">
        <w:rPr>
          <w:rFonts w:ascii="Times New Roman" w:hAnsi="Times New Roman"/>
          <w:color w:val="000000" w:themeColor="text1"/>
          <w:sz w:val="16"/>
          <w:szCs w:val="16"/>
        </w:rPr>
        <w:softHyphen/>
        <w:t>нено 3 следующих мотора:</w:t>
      </w:r>
    </w:p>
    <w:p w14:paraId="57A854E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Мотор № 375 - ввиду, выхода из зацепления шестерни распределительного валика, что привело к аварии. Выход шестерни из зацепления произошел в результате выдадания шплинта.</w:t>
      </w:r>
    </w:p>
    <w:p w14:paraId="6FCE56B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Мотор № 371 - из-за прогара поршня.</w:t>
      </w:r>
    </w:p>
    <w:p w14:paraId="59E1B62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Мотор № 365 - из-за падения давления масла и выбрасывание масла из суфлера.</w:t>
      </w:r>
    </w:p>
    <w:p w14:paraId="4315997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Также был снят с самолета мотор № 362 - аз-за падения давлений масла. При частичной разборке этого мотора на заводе № 500 обнаружено, что лопнула заглушка в коленчатом вале ввиду перетяжки при монтаже мотора. Заглушка поставлена новая и мотор установлен на само</w:t>
      </w:r>
      <w:r w:rsidRPr="00D03F3E">
        <w:rPr>
          <w:rFonts w:ascii="Times New Roman" w:hAnsi="Times New Roman"/>
          <w:color w:val="000000" w:themeColor="text1"/>
          <w:sz w:val="16"/>
          <w:szCs w:val="16"/>
        </w:rPr>
        <w:softHyphen/>
        <w:t>лет. Самолет подготовлен к продолжению летных испытанна.</w:t>
      </w:r>
    </w:p>
    <w:p w14:paraId="2EAD0C8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самолете ЕР-2 № 4 проводились полеты по програм</w:t>
      </w:r>
      <w:r w:rsidRPr="00D03F3E">
        <w:rPr>
          <w:rFonts w:ascii="Times New Roman" w:hAnsi="Times New Roman"/>
          <w:color w:val="000000" w:themeColor="text1"/>
          <w:sz w:val="16"/>
          <w:szCs w:val="16"/>
        </w:rPr>
        <w:softHyphen/>
        <w:t>ме. За зремя летных испытаний был заменен левый иотор № 366 ввиду сильного дымления. При разборке мотора обнаружено, что на 6-ом правом поршне сломаны 2 верхних поршневых кольца.</w:t>
      </w:r>
    </w:p>
    <w:p w14:paraId="3FC7380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после замены мотора совершил пробные поле</w:t>
      </w:r>
      <w:r w:rsidRPr="00D03F3E">
        <w:rPr>
          <w:rFonts w:ascii="Times New Roman" w:hAnsi="Times New Roman"/>
          <w:color w:val="000000" w:themeColor="text1"/>
          <w:sz w:val="16"/>
          <w:szCs w:val="16"/>
        </w:rPr>
        <w:softHyphen/>
        <w:t>ты.</w:t>
      </w:r>
    </w:p>
    <w:p w14:paraId="58BDC80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 По агрегатным заводам</w:t>
      </w:r>
    </w:p>
    <w:p w14:paraId="03AF79B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161</w:t>
      </w:r>
    </w:p>
    <w:p w14:paraId="7DDCBAF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Свеча ВГ-25 для мотора М-42</w:t>
      </w:r>
    </w:p>
    <w:p w14:paraId="17FD880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Направлено на испытание 180 шт. свечей. Испытание проходят 2 комплекта. 1-ый комплект наработал 40 часов, из них 30 режимных. 2-ой комплект наработал 25 часов",</w:t>
      </w:r>
      <w:r w:rsidRPr="00D03F3E">
        <w:rPr>
          <w:rFonts w:ascii="Times New Roman" w:hAnsi="Times New Roman"/>
          <w:color w:val="000000" w:themeColor="text1"/>
          <w:sz w:val="16"/>
          <w:szCs w:val="16"/>
          <w:vertAlign w:val="superscript"/>
        </w:rPr>
        <w:t>г</w:t>
      </w:r>
      <w:r w:rsidRPr="00D03F3E">
        <w:rPr>
          <w:rFonts w:ascii="Times New Roman" w:hAnsi="Times New Roman"/>
          <w:color w:val="000000" w:themeColor="text1"/>
          <w:sz w:val="16"/>
          <w:szCs w:val="16"/>
        </w:rPr>
        <w:t>:из них 20 режимных.</w:t>
      </w:r>
    </w:p>
    <w:p w14:paraId="74571B9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Свеча ВГ-25 для мотора М-82Ф</w:t>
      </w:r>
    </w:p>
    <w:p w14:paraId="4CCBA8B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заводе № 19 направлены 130 шт. свечей. 1 комплект прошел 15 "часов, из них 11 рекиыных. Зишла из строя одна свеча из-за порча изоляции экрана.</w:t>
      </w:r>
    </w:p>
    <w:p w14:paraId="3C15057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Свеча ВГ-25А для мотора М-107</w:t>
      </w:r>
    </w:p>
    <w:p w14:paraId="0D7EB56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завод № 26 для иснытания на М- 107 направлены 60 шт. свечей.</w:t>
      </w:r>
    </w:p>
    <w:p w14:paraId="5101820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Свеча ВГ-25 для мотора М-250</w:t>
      </w:r>
    </w:p>
    <w:p w14:paraId="41E682C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КБ-250 направлено 72 шт. сьечей ВГ-25 для испыта</w:t>
      </w:r>
      <w:r w:rsidRPr="00D03F3E">
        <w:rPr>
          <w:rFonts w:ascii="Times New Roman" w:hAnsi="Times New Roman"/>
          <w:color w:val="000000" w:themeColor="text1"/>
          <w:sz w:val="16"/>
          <w:szCs w:val="16"/>
        </w:rPr>
        <w:softHyphen/>
        <w:t>ния на М-250.</w:t>
      </w:r>
    </w:p>
    <w:p w14:paraId="4333577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проводятся войсковые испытания свечей в 1-й ЗАБ и 2-й ЗАБ.</w:t>
      </w:r>
    </w:p>
    <w:p w14:paraId="23AF6E4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1-ю ЗАБ</w:t>
      </w:r>
    </w:p>
    <w:p w14:paraId="1C25C7C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 шт. свечей СВ-20 со стальными электродами.</w:t>
      </w:r>
    </w:p>
    <w:p w14:paraId="706CC83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 шт. свечей ВГ-4 с никелевыми электродами.</w:t>
      </w:r>
    </w:p>
    <w:p w14:paraId="18490FE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 шт. свечей ВГ-4 со стальными электродами.</w:t>
      </w:r>
    </w:p>
    <w:p w14:paraId="45F35CB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558 шт. свечей СКО-б с завода № 306,.</w:t>
      </w:r>
    </w:p>
    <w:p w14:paraId="2437DB5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2-ю ЗАБ</w:t>
      </w:r>
    </w:p>
    <w:p w14:paraId="0DE6D8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Направлено 270 шт. СК-07 с никелевыми электродами и 100шт. СК-97 со стальными электродами.</w:t>
      </w:r>
    </w:p>
    <w:p w14:paraId="6C0C60F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306</w:t>
      </w:r>
    </w:p>
    <w:p w14:paraId="31EFF17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Магнето БСМ-14 высотное</w:t>
      </w:r>
    </w:p>
    <w:p w14:paraId="5D0F3C1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Проведены лабораторное испытания магнето БСМ-14 в высотных условиях.Испытания показали, что высотность магнето БСЦ-14 не превышает 6000-7000 метр.</w:t>
      </w:r>
    </w:p>
    <w:p w14:paraId="2C80503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Изготовлены два образца магнето БСМ-14 с изме</w:t>
      </w:r>
      <w:r w:rsidRPr="00D03F3E">
        <w:rPr>
          <w:rFonts w:ascii="Times New Roman" w:hAnsi="Times New Roman"/>
          <w:color w:val="000000" w:themeColor="text1"/>
          <w:sz w:val="16"/>
          <w:szCs w:val="16"/>
        </w:rPr>
        <w:softHyphen/>
        <w:t>нениями, повышающими высотность магнето БСМ-14 (устранен пусковой электрод, введен кудачек с равномерным чередованием и уменьшена ширина электродов до 2 мм. в распределителе). Образцы магнето переданы н 10-ую лабораторию ЦИАМ для испытания.</w:t>
      </w:r>
    </w:p>
    <w:p w14:paraId="5192010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Переключатель вибратор ПВ-02</w:t>
      </w:r>
    </w:p>
    <w:p w14:paraId="693D77F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10 штук переключателей вибраторов находятся на доводке и регулировке в лаборатории ОКБ.</w:t>
      </w:r>
    </w:p>
    <w:p w14:paraId="762F976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132</w:t>
      </w:r>
    </w:p>
    <w:p w14:paraId="1ACFC9A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Синхр_ониэатор СУ-2.</w:t>
      </w:r>
    </w:p>
    <w:p w14:paraId="3078862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Агрегаты в количестве 6-ти штук прошли обкатку в экспериментальной лаборатории. 1-й образец подготавли</w:t>
      </w:r>
      <w:r w:rsidRPr="00D03F3E">
        <w:rPr>
          <w:rFonts w:ascii="Times New Roman" w:hAnsi="Times New Roman"/>
          <w:color w:val="000000" w:themeColor="text1"/>
          <w:sz w:val="16"/>
          <w:szCs w:val="16"/>
        </w:rPr>
        <w:softHyphen/>
        <w:t>вается к официальным заводский испытаниям, а 5 образ</w:t>
      </w:r>
      <w:r w:rsidRPr="00D03F3E">
        <w:rPr>
          <w:rFonts w:ascii="Times New Roman" w:hAnsi="Times New Roman"/>
          <w:color w:val="000000" w:themeColor="text1"/>
          <w:sz w:val="16"/>
          <w:szCs w:val="16"/>
        </w:rPr>
        <w:softHyphen/>
        <w:t>цов к индивидуально-сдаточным испытаниям.</w:t>
      </w:r>
    </w:p>
    <w:p w14:paraId="1ABF68A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Регулятор Р</w:t>
      </w:r>
    </w:p>
    <w:p w14:paraId="3C1D8F8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Закончено изготовление деталей на 3 опытных образ</w:t>
      </w:r>
      <w:r w:rsidRPr="00D03F3E">
        <w:rPr>
          <w:rFonts w:ascii="Times New Roman" w:hAnsi="Times New Roman"/>
          <w:color w:val="000000" w:themeColor="text1"/>
          <w:sz w:val="16"/>
          <w:szCs w:val="16"/>
        </w:rPr>
        <w:softHyphen/>
        <w:t>цах. Разработана конструкция гидравлического шподъема и опускания золотника, Протяжка корпусов опытных образцов Р-7А задерживается из-за ремонта протяжного станка.</w:t>
      </w:r>
    </w:p>
    <w:p w14:paraId="5517F9D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Подогреватель РА-50(П)</w:t>
      </w:r>
    </w:p>
    <w:p w14:paraId="13D9B2F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Подогреватель проходит госиспытания в НИИ ВВС удовлетворительно. Отчет по испытаниям оформляется.</w:t>
      </w:r>
    </w:p>
    <w:p w14:paraId="21B33DC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Подогревательная лампа (ПЛ-2)</w:t>
      </w:r>
    </w:p>
    <w:p w14:paraId="74555D1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Лампа удовлетворительно прошла гососиспытания в НИИ ВВС.</w:t>
      </w:r>
    </w:p>
    <w:p w14:paraId="09E15A3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Каталитическая печь КП</w:t>
      </w:r>
    </w:p>
    <w:p w14:paraId="254E59B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Ожидается прибытие из НИИ ВВС катализатора. По его поступлении будет закончено изготовление 2-х'образцов КП, которые будут направлены в НИИ ВВС на официальные испытания.</w:t>
      </w:r>
    </w:p>
    <w:p w14:paraId="49D5106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Пусковой насос ПН4</w:t>
      </w:r>
    </w:p>
    <w:p w14:paraId="0DE4405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Изготовлено 3 образца, с измененными клапанами. Образцы .прошедшие лабораторные испитания, отправляютсяв НИИ ВВС на официальные испытания.</w:t>
      </w:r>
    </w:p>
    <w:p w14:paraId="08848D5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Автомат давления АД—2</w:t>
      </w:r>
    </w:p>
    <w:p w14:paraId="6030012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Происходит передача техдокументации в серийное производство.</w:t>
      </w:r>
    </w:p>
    <w:p w14:paraId="2CA8086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Кран расжижения масла бензином дли холодного запус</w:t>
      </w:r>
      <w:r w:rsidRPr="00D03F3E">
        <w:rPr>
          <w:rFonts w:ascii="Times New Roman" w:hAnsi="Times New Roman"/>
          <w:color w:val="000000" w:themeColor="text1"/>
          <w:sz w:val="16"/>
          <w:szCs w:val="16"/>
        </w:rPr>
        <w:softHyphen/>
        <w:t>ка моторов удовлетворительно прошел испытание в НИИ ВВС.</w:t>
      </w:r>
    </w:p>
    <w:p w14:paraId="455676B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33</w:t>
      </w:r>
    </w:p>
    <w:p w14:paraId="211404A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Карбюратор К-107ВПА</w:t>
      </w:r>
    </w:p>
    <w:p w14:paraId="1803FFF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Испытаний одного комплекта карбюратора с пневма</w:t>
      </w:r>
      <w:r w:rsidRPr="00D03F3E">
        <w:rPr>
          <w:rFonts w:ascii="Times New Roman" w:hAnsi="Times New Roman"/>
          <w:color w:val="000000" w:themeColor="text1"/>
          <w:sz w:val="16"/>
          <w:szCs w:val="16"/>
        </w:rPr>
        <w:softHyphen/>
        <w:t>тической помпой показали сильное, обогацение малого га</w:t>
      </w:r>
      <w:r w:rsidRPr="00D03F3E">
        <w:rPr>
          <w:rFonts w:ascii="Times New Roman" w:hAnsi="Times New Roman"/>
          <w:color w:val="000000" w:themeColor="text1"/>
          <w:sz w:val="16"/>
          <w:szCs w:val="16"/>
        </w:rPr>
        <w:softHyphen/>
        <w:t>за. Проводится работа по выяснению причин обогащения малого газа. Приемистость штора удовлетворительная.</w:t>
      </w:r>
    </w:p>
    <w:p w14:paraId="6C7EA90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ВК-82Ф</w:t>
      </w:r>
    </w:p>
    <w:p w14:paraId="522646C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Произведен .полет до Н-5000 мет. Характеристика по номинальному резжму удовлетворительна и следует строго закону теоретической кривой расхода топлива.</w:t>
      </w:r>
    </w:p>
    <w:p w14:paraId="2176422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Проводилась работа по уточнению техдокументации и методики испытания на опыте выпуска новых партий кар</w:t>
      </w:r>
      <w:r w:rsidRPr="00D03F3E">
        <w:rPr>
          <w:rFonts w:ascii="Times New Roman" w:hAnsi="Times New Roman"/>
          <w:color w:val="000000" w:themeColor="text1"/>
          <w:sz w:val="16"/>
          <w:szCs w:val="16"/>
        </w:rPr>
        <w:softHyphen/>
        <w:t>бюраторов для завода № 19.</w:t>
      </w:r>
    </w:p>
    <w:p w14:paraId="50D456F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ВК-71</w:t>
      </w:r>
    </w:p>
    <w:p w14:paraId="7D190D2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.Полеты не производятся, так как аэродром не позво</w:t>
      </w:r>
      <w:r w:rsidRPr="00D03F3E">
        <w:rPr>
          <w:rFonts w:ascii="Times New Roman" w:hAnsi="Times New Roman"/>
          <w:color w:val="000000" w:themeColor="text1"/>
          <w:sz w:val="16"/>
          <w:szCs w:val="16"/>
        </w:rPr>
        <w:softHyphen/>
        <w:t>ляет вылет на колесах самолета СУ-6.</w:t>
      </w:r>
    </w:p>
    <w:p w14:paraId="451B9A8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К-42БП (типа К-37БП)</w:t>
      </w:r>
    </w:p>
    <w:p w14:paraId="4F0491A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Предварительные испытания на моторе показали неравномерное распределение смеси по цилиндрам. Заводом № 24 готовятсл новые всасывающие трубы.</w:t>
      </w:r>
    </w:p>
    <w:p w14:paraId="7D546E4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АК-82БП .</w:t>
      </w:r>
    </w:p>
    <w:p w14:paraId="2B16DBD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Полеты с улучшенными карбюраторами не производились с ноября 1942 г. из-за отсутствия погоды и поломки самолета ЛА-5 (1458,81).</w:t>
      </w:r>
    </w:p>
    <w:p w14:paraId="26FC259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3BCA75"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3AD2BCD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A3C293"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27 января 1943 года в Мурманск пришел конвой JW-52, с которым прибыло 40 танков Черчиль. Зачтена эта поставка была уже февралём. Среди прибывших танков имелись Churchill III и Churchill IV. Машины последней модификация отличались от Churchill III конструкцией башен. Более технологичным оказалось изготовлять их методом литья.</w:t>
      </w:r>
    </w:p>
    <w:p w14:paraId="426C50E7"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Самая крупная поставка в количестве 121 танка была зачтена мартом. На самом деле эти танки прибыли в СССР еще в конце февраля 1943 вместе с конвоем JW-53. На этом поставки практически прекратились, лишь в августе 1943 года через Владивосток пришло еще 8 «Черчиллей». Кроме этих последних танков, все остальные были доставлены в СССР северными конвоями. Всего было получено 253 Churchill, из них 105 в модификации Churchill IV.</w:t>
      </w:r>
    </w:p>
    <w:p w14:paraId="50687D0B"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По иронии судьбы, именно весной 1943 года Churchill, наконец, смог реабилитироваться в глазах английских военных. Эти танки оказали заметное влияние на ход боевых действий в Тунисе. Churchill уверенно передвигались в гористой местности, оказывая весомую поддержку английской пехоте. Кроме того, танки из состава 48-го Королевского танкового полка (RTR) записали на свой счет подбитый «Тигр», который ныне представлен в музее в Бовингтоне. По итогам боев в Тунисе Churchill оказался единственным танком английского производства, который командиры союзников оставили в первой линии. Вплоть до конца войны они оставались самыми массовыми английскими танками, и даже танки Cromwell по численности не смогли их превзойти.</w:t>
      </w:r>
    </w:p>
    <w:p w14:paraId="5391E1A4"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Тем не менее, сами же англичане отчасти и спровоцировали прекращение поставок этих машин в Советский Союз. Впрочем, следует помнить, что следующий северный конвой, JW-54, прибыл в СССР только в ноябре 1943 года. В значительной степени именно перерыв с северными конвоями оказался реальной причиной прекращения поставок «Черчиллей». Кроме того, после Курской дуги стало очевидно, что огневой мощи и бронирования этим танкам уже не хватает (17691).</w:t>
      </w:r>
    </w:p>
    <w:p w14:paraId="1E8A37D5" w14:textId="77777777" w:rsidR="009614F5" w:rsidRPr="00D03F3E" w:rsidRDefault="009614F5" w:rsidP="00D03F3E">
      <w:pPr>
        <w:pStyle w:val="12a"/>
        <w:shd w:val="clear" w:color="auto" w:fill="auto"/>
        <w:spacing w:after="0" w:line="240" w:lineRule="auto"/>
        <w:jc w:val="both"/>
        <w:rPr>
          <w:color w:val="000000" w:themeColor="text1"/>
          <w:sz w:val="16"/>
          <w:szCs w:val="16"/>
        </w:rPr>
      </w:pPr>
    </w:p>
    <w:p w14:paraId="378CA56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января 1943 вышло Постановление ГКО № 2788 Об увеличении добычи рыбы в 1943 г. и о мерах помощи военных организаций рыбной промышленности.РГАНИР, Фонд ГКО, д. 84, лл. 24-26, 27-28 (11012).</w:t>
      </w:r>
    </w:p>
    <w:p w14:paraId="29B1E4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90BBF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января 1943 вышло Распоряжение ГКО № 2789 О мобилизации автомашин по Свердловской области. (7077, 29).</w:t>
      </w:r>
    </w:p>
    <w:p w14:paraId="5388941A"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A696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января 1943 вышло Постановление ГКО № 2790 О плане капитального ремонта арттягачей и тракторов для Красной Армии на февраль и март 1943 г.РГАНИР, Фонд ГКО, д. 84, лл. 30-33, 34-62 (11012).</w:t>
      </w:r>
    </w:p>
    <w:p w14:paraId="46E1785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D2966B" w14:textId="77777777" w:rsidR="00D75F9F"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73E16787" w14:textId="77777777" w:rsidR="00D75F9F" w:rsidRPr="00D03F3E" w:rsidRDefault="00D75F9F"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4D8C06"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27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1F017DE6"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27 января войска Юго-Западного, Южного, Северо-Кавказского, Воронежского, Волховского и Ленинградского фронтов вели наступательные бои на прежних направлениях.</w:t>
      </w:r>
    </w:p>
    <w:p w14:paraId="1747B17B"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Донского фронта вели бои по ликвидации остатков немецко-фашистских войск, окружённых в районе Сталинграда. Бойцы Н-ской части полностью уничтожили подразделения и штаб 669 немецкого пехотного полка. Сдался в плен в полном составе 534 немецкий пехотный полк.</w:t>
      </w:r>
    </w:p>
    <w:p w14:paraId="347075C1"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продолжали развивать наступление и частью сил отбивали контратаки противника. Н-ская гвардейская часть выбила немцев из населённого пункта и захватила 3 самолёта, 4 тысячи авиабомб, 200 бочек с бензином, 37 орудий, 54 пулемёта, 24 противотанковых ружья, 5 тягачей, много продовольствия и другие трофеи. Взято в плен свыше 300 немецких солдат и офицеров. На другом участке наши подразделения отразили контратаку противника, уничтожив до двух рот немецкой пехоты</w:t>
      </w:r>
    </w:p>
    <w:p w14:paraId="59623E2F"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Южном фронте бойцы Н-ской части в ожесточённом бою за населённыйпункт истребили более 200 немецких солдат и офицеров и подбили 2 танка противника. На другом участке наше стрелковое соединение сломило сопротивление немцев и овладело рядом населённых пунктов. Захвачены пленные и трофеи.</w:t>
      </w:r>
    </w:p>
    <w:p w14:paraId="28F87F72"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Воронежского фронта вели успешные наступательные бои. Несколько окружённых групп из разбитых частей противника пытались прорваться на запад. После непродолжительного боя враг сложил оружие. Взято в плен 1.463 немецких солдата и офицера. На другом участке Н-ское соединение овладело несколькими населёнными пунктами. Захвачены большие трофеи.</w:t>
      </w:r>
    </w:p>
    <w:p w14:paraId="603E013E"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Северо-Кавказского фронта успешно продвигались вперёд и заняли ряд населённых пунктов. Частями Н-ского соединения в районе Армавира взяты следующие трофеи: орудий—около 200, миномётов — 137, пулемётов — 127, винтовок — 2.000, автоматов — 229, противотанковых ружей — 263, снарядов— 2.000, авиабомб — 8 тысяч и два склада авиабомб, патронов — 100 тысяч и несколько складов с боеприпасами и разным военным имуществом. На другом участке советские танкисты разгромили немецкий батальон. На поле боя подсчитано около 400 вражеских трупов. Взято в плен 120 немецких солдат и офицеров.</w:t>
      </w:r>
    </w:p>
    <w:p w14:paraId="45C296A4"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Три партизанских отряда, действующие в Карело-Финской ССР, в средине января одновременно атаковали гарнизоны противника, расположенные в трёх населённых пунктах. Советские патриоты истребили до 200 вражеских солдат и офицеров, уничтожили 5 орудий, 3 миномёта, 2 радиостанции, прожекторную установку взорвалии сожгли несколько складов с боеприпасами и продовольствием.</w:t>
      </w:r>
    </w:p>
    <w:p w14:paraId="5519F9BA"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кровавом злодеянии немецко-фашистских мерзавцев на станции Гартмашевка, Воронежской области: «Перед своим отступлением немцы согнали в общежитие группу рабочих-железнодорожников вместе с жёнами и детьми и учинили над ними зверскую расправу. Гитлеровские палачи убили сигналиста Дмитрия Косогова, его жену, двух дочерей и внучат — трёхлетнего Николая и полуторагодовалую Валентину, сигналиста Петра Ткачёва, его жену и сына, сигналиста Фёдора Чеснокова, его жену и четырёхлетнюю дочь. Другую группу мирных жителей станции Гартмашевка в количестве 20 человек фашистские изверги загнали в железнодорожную будку и там их расстреляли». Акт подписали: Л.Гончарова, О.Слюсарева, Е.Янголенко, П.Королёва, Е.Шевцова и другие.» (15022).</w:t>
      </w:r>
    </w:p>
    <w:p w14:paraId="608E40D7" w14:textId="77777777" w:rsidR="00D75F9F" w:rsidRPr="00D03F3E" w:rsidRDefault="00D75F9F" w:rsidP="00D03F3E">
      <w:pPr>
        <w:spacing w:after="0" w:line="240" w:lineRule="auto"/>
        <w:jc w:val="both"/>
        <w:rPr>
          <w:rFonts w:ascii="Times New Roman" w:hAnsi="Times New Roman"/>
          <w:color w:val="000000" w:themeColor="text1"/>
          <w:sz w:val="16"/>
          <w:szCs w:val="16"/>
        </w:rPr>
      </w:pPr>
    </w:p>
    <w:p w14:paraId="4C5A6400"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27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42BB436B"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января войска Воронежского фронта овладели районным центром и крупной железнодорожной станцией Горшечное, крупными населёнными пунктами —Берёзово-Колодезь, Старо-Меловое, Ново-Меловое, Городище 1-е и 2-е.</w:t>
      </w:r>
    </w:p>
    <w:p w14:paraId="25163D89"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Южном фронте наши войска овладели районным центром Егорлыкская и железнодорожной станцией Атаман.</w:t>
      </w:r>
    </w:p>
    <w:p w14:paraId="61436631"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Северо-Кавказского фронта овладели районным центром и железнодорожной станцией Ново-Александровская, крупными населёнными пунктами — Средний Егорлык, Расшеватская, Григориполисская, Отрадо-Ольгинсное и железнодорожной станцией Григорополисский.</w:t>
      </w:r>
    </w:p>
    <w:p w14:paraId="71B45332"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Закавказского фронта овладели городом Нефтегорск и районным центром Апшеронская.</w:t>
      </w:r>
    </w:p>
    <w:p w14:paraId="2DE8867F"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января частями нашей авиации на различных участках фронта уничтожено или повреждено до 150 немецких автомашин с войсками и грузами, подавлен огонь 10 артиллерийских батарей, взорвано 6 складов боеприпасов и склад с горючим, рассеяно и частью уничтожено до двух батальонов пехоты противника.</w:t>
      </w:r>
    </w:p>
    <w:p w14:paraId="4C7C8E2D"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Донского фронта продолжали истреблять разрозненные группы противника. Ближе к центральной части Сталинграда бойцы Н-ской части взяли в плен 1.350 немецких солдат и офицеров. На соседнем участке сложили оружие 2 тысячи гитлеровцев, в том числе немецкий армейский полк связи во главе с командиром полка. Севернее Сталинграда наши бойцы истребили отдельные группы немецких солдат и офицеров.</w:t>
      </w:r>
    </w:p>
    <w:p w14:paraId="61673E98"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Южном фронте наши войска продолжали наступление, а частью сил отбивали контратаки противника. Части Н-ского соединения продвинулись вперёд и заняли несколько населённых пунктов, в том числе станицу Егорлыкскую. В бою за Егорлыкскую уничтожено 3 танка и до батальона немецкой пехоты. На другом участке крупные силы танков и пехоты противника предприняли контратаку. В результате ожесточённого боя враг был отброшен на исходные позиции. Сожжено 9 немецких танков и уничтожено 3 самоходных орудия. Противник понёс тяжёлые потерн в живой силе.</w:t>
      </w:r>
    </w:p>
    <w:p w14:paraId="50D93CC9"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вели бои на прежних направлениях. Западнее Белокуракина Н-ское соединение продвигалось вперёд и заняло десять населённых пунктов. В борьбе за один населённый пункт немцы бросили в контратаку до двух батальонов пехоты и 10 танков. Бой шёл с переменным успехом. Наши части к исходу дня измотали немцев, перешли в решительную атаку и овладели этим населённым пунктом.</w:t>
      </w:r>
    </w:p>
    <w:p w14:paraId="38FDD69E"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Войска Воронежского фронта вели наступательные бои на прежних направлениях. В районе Варваровки-Шилякина после непродолжительного боя сдалась окружённая группа противника численностью в 5 тысяч солдат и офицеров. Среди офицеров, сложивших оружие, находятся полковник, два майора и капитан. На </w:t>
      </w:r>
      <w:r w:rsidRPr="00D03F3E">
        <w:rPr>
          <w:rFonts w:ascii="Times New Roman" w:hAnsi="Times New Roman"/>
          <w:color w:val="000000" w:themeColor="text1"/>
          <w:sz w:val="16"/>
          <w:szCs w:val="16"/>
        </w:rPr>
        <w:lastRenderedPageBreak/>
        <w:t>другом участке гвардейские части, продвигаясь вперёд, заняли три населённых пункта и уничтожили до 400 гитлеровцев. Захвачены танк, 3 танкетки, 11 орудий, 18 пулемётов, склад с инженерным имуществом и склад с продовольствием.</w:t>
      </w:r>
    </w:p>
    <w:p w14:paraId="7D1F3EF1"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Северо-Кавказского фронта успешно продвигались вперёд и выбили немцев из ряда населённых пунктов. Бойцы Н-ской части за один день боёв с противником захватили 9 танков, 26 автомашин, 11 орудий, много пулемётов, автоматов, винтовок и боеприпасов. Взято в плен 90 немецких солдат и офицеров. На другом участке гвардейцы-кавалеристы заняли несколько населённых пунктов и захватили большие трофеи.</w:t>
      </w:r>
    </w:p>
    <w:p w14:paraId="32BE91B2"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Калининской области, совершили нападение на автоколонну противника. Советские патриоты уничтожили 18 автомашин с грузами, истребили 137 немецких солдат и офицеров. Захвачены трофеи. Партизаны другого отряда в бою с вражеским гарнизоном в одном населённом пункте уничтожили 45 немецких солдат. Ружейно-пулемётным огнём партизаны сбили немецкий самолёт.</w:t>
      </w:r>
    </w:p>
    <w:p w14:paraId="53E8341A"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разрушают украинские города и сёла и истребляют мирное население. В декабре 1942 года гитлеровцы сожгли сёла и деревни Житомирской области: Славечно, Рудня, Тхорин, Бегунь, Городец, Рудня-Сырница, Юрово, Хочин и Нерга. В Городце немцы уничтожили 180 дворов, в селе Лученки —250 дворов, в Славечне — 307 дворов. В деревне Рудня-Сырница гитлеровские палачи согнали в сарай 40 местных жителей и живьём сожгли их. В Сочине фашистские палачи зверски убили Дмитрия Дубровеца — 55 лет, Фёдора Игнатюка — 60 лет, МариюМельник — 70 лет, Агриппину Гаврилову — 18 лет и других колхозников.</w:t>
      </w:r>
    </w:p>
    <w:p w14:paraId="0E23AC81"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заняли город и железнодорожную станцию Жепче и Нови Шехер. Захвачены трофеи: 7 станковых пулеметов, 200 винтовок, 100 тысяч патронов, бронепоезд, 60 вагонов и другое военное имущество. В районе Грагана, Ловинцев и Госпича югославские патриоты отбили несколько атак итальянских оккупантов. В боях с противником партизаны захватили два исправных танка и другие трофеи.» (15022).</w:t>
      </w:r>
    </w:p>
    <w:p w14:paraId="099D894A" w14:textId="77777777" w:rsidR="00D75F9F" w:rsidRPr="00D03F3E" w:rsidRDefault="00D75F9F" w:rsidP="00D03F3E">
      <w:pPr>
        <w:spacing w:after="0" w:line="240" w:lineRule="auto"/>
        <w:jc w:val="both"/>
        <w:rPr>
          <w:rFonts w:ascii="Times New Roman" w:hAnsi="Times New Roman"/>
          <w:color w:val="000000" w:themeColor="text1"/>
          <w:sz w:val="16"/>
          <w:szCs w:val="16"/>
        </w:rPr>
      </w:pPr>
    </w:p>
    <w:p w14:paraId="7BA886BD"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27 января</w:t>
      </w:r>
      <w:r w:rsidRPr="00D03F3E">
        <w:rPr>
          <w:rFonts w:ascii="Times New Roman" w:hAnsi="Times New Roman"/>
          <w:color w:val="000000" w:themeColor="text1"/>
          <w:sz w:val="16"/>
          <w:szCs w:val="16"/>
        </w:rPr>
        <w:t xml:space="preserve"> в 1943 году закончилась Острогожско-Россошанская операция войск Воронежского и части сил Юго-Западного фронтов: советские войска продвинулись на 140 км, создали в обороне противника 250-километровую брешь (15022).</w:t>
      </w:r>
    </w:p>
    <w:p w14:paraId="0B45FCF8" w14:textId="77777777" w:rsidR="00D75F9F" w:rsidRPr="00D03F3E" w:rsidRDefault="00D75F9F" w:rsidP="00D03F3E">
      <w:pPr>
        <w:spacing w:after="0" w:line="240" w:lineRule="auto"/>
        <w:jc w:val="both"/>
        <w:rPr>
          <w:rFonts w:ascii="Times New Roman" w:hAnsi="Times New Roman"/>
          <w:color w:val="000000" w:themeColor="text1"/>
          <w:sz w:val="16"/>
          <w:szCs w:val="16"/>
        </w:rPr>
      </w:pPr>
    </w:p>
    <w:p w14:paraId="170676C2"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6E06C0F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250744"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января 1943 восстановлено железнодорожное сообщение между Москвой и Ленинградом (4962).</w:t>
      </w:r>
    </w:p>
    <w:p w14:paraId="6B947F36"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E12DB5"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6BA3529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A462E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января 1943 года было получено:</w:t>
      </w:r>
    </w:p>
    <w:p w14:paraId="04729E5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 ПРЕЗИДЕНТА РУЗВЕЛЬТА И ПРЕМЬЕР-МИНИСТРА ЧЕРЧИЛЛЯ ПРЕМЬЕРУ СТАЛИНУ</w:t>
      </w:r>
    </w:p>
    <w:p w14:paraId="3C32586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Мы совещались с нашими военными советниками и приняли решения об операциях, которые должны быть.предприняты американскими и британскими вооруженными силами в течение первых девяти месяцев 1943 года. Мы хотим немедленно сообщить Вам о наших намерениях. Мы полагаем, что эти операции, вместе с Вашим мощным наступлением, могут наверное заставить Германию встать на колени в 1943 году. Нужно приложить все усилия, чтобы достигнуть этой цели.</w:t>
      </w:r>
    </w:p>
    <w:p w14:paraId="7275987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Мы не сомневаемся, что правильная стратегия для нас состоит в том, чтобы сосредоточить свои силы на задаче поражения Германии с целью одержания скорой и решающей победы на европейском театре. В то же самое время мы должны поддерживать достаточное давление на Японию, чтобы сохранить инициативу на Тихом океане и на Дальнем Востоке, поддержать Китай и воспрепятствовать японцам распространять свою агрессию на другие театры, как например на Ваши приморские провинции.</w:t>
      </w:r>
    </w:p>
    <w:p w14:paraId="2466160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Наше основное желание состоит в том, чтобы отвлечь значительные германские сухопутные и военно-воздушные силы с русского фронта и направить в Россию максимальный поток снабжения. Мы не пожалеем никаких усилий, чтобы отправлять Вам материальную помощь в любом случае, всеми возможными путями.</w:t>
      </w:r>
    </w:p>
    <w:p w14:paraId="7B67981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Наше ближайшее намерение состоит в том, чтобы очистить Северную Африку от сил держав оси и создать военно-морские и военно-воздушные базы, чтобы:</w:t>
      </w:r>
    </w:p>
    <w:p w14:paraId="504318E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открыть надежный путь через Средиземное море для военного транспорта и</w:t>
      </w:r>
    </w:p>
    <w:p w14:paraId="3920232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начать интенсивную бомбардировку важных объектов держав оси в Южной Европе.</w:t>
      </w:r>
    </w:p>
    <w:p w14:paraId="20F0531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Мы приняли решение предпринять широкие комбинированные операции сухопутных и военно-морских сил в Средиземном море по возможности в ближайшее время. Подготовка к этим операциям проводится в настоящее время, и она сопряжена со значительной концентрацией сил, включая десантные средства и суда, в Египте и в портах Северной Африки. Кроме того, мы намерены сконцентрировать в пределах Соединенного Королевства значительные американские сухопутные и военно-воздушные силы. Эти силы совместно с британскими вооруженными силами в Соединенном Королевстве подготовятся к тому, чтобы снова вступить на континент Европы, как только это будет осуществимо. Эти концентрации наверняка будут известны нашим противникам, но они не будут знать, где, когда и какими силами мы предполагаем нанести удар. Поэтому они будут вынуждены рассредоточить как сухопутные, так и военно-воздушные силы на всем протяжении побережья Франции, Голландии, Корсики, Сардинии, Сицилии, Леванта, Италии, Югославии, Греции, Крита и Додеканезских островов.</w:t>
      </w:r>
    </w:p>
    <w:p w14:paraId="3EB0C31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В Европе мы увеличим быстрыми темпами бомбардировочное наступление союзников из Соединенного Королевства против Германии, и к середине лета сила этого наступления по сравнению с нынешним должна удвоиться. Наш нынешний опыт показал, что дневные бомбардировки имеют своим результатом уничтожение или повреждение большого количества германских истребителей. Мы полагаем, что увеличение количества дневных и ночных налетов и общего веса сброшенных бомб приведет к весьма значительному материальному и моральному ущербу в Германии и быстро истощит германскую истребительную авиацию. Как Вы знаете, мы уже сковываем более половины германских военно-воздушных сил в Западной Европе и на Средиземном море. Мы не сомневаемся, что наше усиленное и разнообразное бомбардировочное наступление вместе с другими операциями, которые мы предпринимаем, приведет к дальнейшему отвлечению германских воздушных и других сил с русского фронта.</w:t>
      </w:r>
    </w:p>
    <w:p w14:paraId="1E384CF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Наше намерение на Тихом океане состоит в том, чтобы изгнать японцев из Рабаула в течение ближайших нескольких месяцев и затем развить успех в общем направлении на Японию. Мы также намерены увеличить масштаб наших операций в Бирме с тем, чтобы снова открыть этот путь для снабжения Китая. Мы намерены немедленно увеличить наши военно-воздушные силы в Китае. Мы, однако, не позволим, чтобы наше наступление против Японии отрицательно повлияло на нашу способность воспользоваться любой возможностью, которая может представиться для нанесения Германии решительного поражения в 1943 году.</w:t>
      </w:r>
    </w:p>
    <w:p w14:paraId="70EDD89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Наша основная цель состоит в том, чтобы обрушить на Германию и Италию на суше, на море и в воздухе максимальное количество вооруженных сил, которое можно физически применить (7430).</w:t>
      </w:r>
    </w:p>
    <w:p w14:paraId="6F9A83B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BC4805"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7323AC5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98C06F"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27 января</w:t>
      </w:r>
      <w:r w:rsidRPr="00D03F3E">
        <w:rPr>
          <w:rFonts w:ascii="Times New Roman" w:hAnsi="Times New Roman"/>
          <w:color w:val="000000" w:themeColor="text1"/>
          <w:sz w:val="16"/>
          <w:szCs w:val="16"/>
        </w:rPr>
        <w:t xml:space="preserve"> в 1943 году совершил первый полет истребитель-перехватчик </w:t>
      </w:r>
      <w:hyperlink r:id="rId21" w:tgtFrame="_blank" w:history="1">
        <w:r w:rsidRPr="00D03F3E">
          <w:rPr>
            <w:rFonts w:ascii="Times New Roman" w:hAnsi="Times New Roman"/>
            <w:color w:val="000000" w:themeColor="text1"/>
            <w:sz w:val="16"/>
            <w:szCs w:val="16"/>
          </w:rPr>
          <w:t xml:space="preserve">«ХР-60С» </w:t>
        </w:r>
      </w:hyperlink>
      <w:r w:rsidRPr="00D03F3E">
        <w:rPr>
          <w:rFonts w:ascii="Times New Roman" w:hAnsi="Times New Roman"/>
          <w:color w:val="000000" w:themeColor="text1"/>
          <w:sz w:val="16"/>
          <w:szCs w:val="16"/>
        </w:rPr>
        <w:t>с двигателем «Pratt &amp; Whitney» «R-2800-53» и соосными винтами. Обозначение «XP-60D» было присвоено оригинальному самолету «ХР-60» после установки на него двигателя «Packard Merlin 61». В конечном итоге. Эти модификации были выпущены по одному экземпляру (15022).</w:t>
      </w:r>
    </w:p>
    <w:p w14:paraId="111B28FC" w14:textId="77777777" w:rsidR="00D75F9F" w:rsidRPr="00D03F3E" w:rsidRDefault="00D75F9F" w:rsidP="00D03F3E">
      <w:pPr>
        <w:spacing w:after="0" w:line="240" w:lineRule="auto"/>
        <w:jc w:val="both"/>
        <w:rPr>
          <w:rFonts w:ascii="Times New Roman" w:hAnsi="Times New Roman"/>
          <w:color w:val="000000" w:themeColor="text1"/>
          <w:sz w:val="16"/>
          <w:szCs w:val="16"/>
        </w:rPr>
      </w:pPr>
    </w:p>
    <w:p w14:paraId="0716E1F3" w14:textId="77777777" w:rsidR="00E43EB5" w:rsidRPr="00D03F3E" w:rsidRDefault="00E43EB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shd w:val="clear" w:color="auto" w:fill="FBFCFC"/>
        </w:rPr>
        <w:t>27 января 1943 г. в Великобританию отправили запрос о возможности получения образцов двигателей «Мерлин» 61, «Валчер», «Сентаурус», «Дэггер» и «Сейбр». «Мерлин» 61 и «Сейбр» в конце войны попали в СССР с самолетами «Спитфайр» IX и «Тайфун». В 1943 г. обсуждался вопрос о целесообразности лицензионного производства «Мерлинов» в Советском Союзе. Такое предложение впервые внесли сотрудники советского торгпредства Пашинин и Богомолов. Они писали: «Считаем крайне желательным поднять вопрос о покупке лицензии на постройку у нас моторов английской фирмы «Роллс-Ройс» последних модификаций». Нарком авиапромышленности А.И. Шахурин счел покупку лицензии преждевременной и предложил сначала приобрести 10-15 экземпляров двигателя для изучения. Этот вопрос даже обсуждался на заседании ГКО. В конечном итоге сомнения в возможности освоения сборки и регулировки столь сложного мотора, на чем уже обожглась фирма «Паккард», привели к отказу от переговоров (20442).</w:t>
      </w:r>
    </w:p>
    <w:p w14:paraId="13E6CFAB" w14:textId="77777777" w:rsidR="00E43EB5" w:rsidRPr="00D03F3E" w:rsidRDefault="00E43EB5" w:rsidP="00D03F3E">
      <w:pPr>
        <w:spacing w:after="0" w:line="240" w:lineRule="auto"/>
        <w:jc w:val="both"/>
        <w:rPr>
          <w:rFonts w:ascii="Times New Roman" w:hAnsi="Times New Roman"/>
          <w:color w:val="0070C0"/>
          <w:sz w:val="16"/>
          <w:szCs w:val="16"/>
        </w:rPr>
      </w:pPr>
    </w:p>
    <w:p w14:paraId="18B982EE" w14:textId="77777777" w:rsidR="00E43EB5" w:rsidRPr="00D03F3E" w:rsidRDefault="00E43EB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27 января 1943 Военно-воздушные силы США совершают свой первый дневной бомбардировочный налет на Германию, нанося удары по военно-морским объектам в Вильгельмсхафене (20376).</w:t>
      </w:r>
    </w:p>
    <w:p w14:paraId="1FE09398" w14:textId="77777777" w:rsidR="00E43EB5" w:rsidRPr="00D03F3E" w:rsidRDefault="00E43EB5" w:rsidP="00D03F3E">
      <w:pPr>
        <w:spacing w:after="0" w:line="240" w:lineRule="auto"/>
        <w:jc w:val="both"/>
        <w:rPr>
          <w:rFonts w:ascii="Times New Roman" w:hAnsi="Times New Roman"/>
          <w:color w:val="0070C0"/>
          <w:sz w:val="16"/>
          <w:szCs w:val="16"/>
        </w:rPr>
      </w:pPr>
    </w:p>
    <w:p w14:paraId="058AEB5D" w14:textId="77777777" w:rsidR="00E43EB5" w:rsidRPr="00D03F3E" w:rsidRDefault="00E43EB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27 января 1943 - Первый налет американских самолетов B-17F на Германию (на Вильгельмсхафен) показал, что самолет был практически беззащитен для лобовых атак вражеских истребителей.</w:t>
      </w:r>
    </w:p>
    <w:p w14:paraId="3D740AA7" w14:textId="77777777" w:rsidR="00E43EB5" w:rsidRPr="00D03F3E" w:rsidRDefault="00E43EB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B-17F (Flying Fortress B-17F) поступили на вооружение 8-й Воздушной армии США в Европе. Установленное на заводах бронирование также не защищало экипаж: из 27 фрагментов тяжелых бронеплит и противозенитных экранов, ни один не защищал экипаж от лобовой атаки. Когда в лобовую часть следовало попадание из пулемета или пушки, экипаж B-17F был беззащитен. Различные доработки в строю не смогли исправить ситуацию. Одним из направлений модификации было усиление носовой огневой мощи. Для этого в носовой части в полевых условиях были выполнены различные доработки. В имевшихся шести шаровых установках приспосабливались дополнительные 7,62 мм или 12,7 мм пулеметы, направленные или вперед или по сторонам. "Memphis Belle" (один из сохранившихся к </w:t>
      </w:r>
      <w:r w:rsidRPr="00D03F3E">
        <w:rPr>
          <w:rFonts w:ascii="Times New Roman" w:hAnsi="Times New Roman"/>
          <w:color w:val="0070C0"/>
          <w:sz w:val="16"/>
          <w:szCs w:val="16"/>
        </w:rPr>
        <w:lastRenderedPageBreak/>
        <w:t>настоящему времени B-17F) B-17F-10-BO (№ 41-24485), находившйся в составе 324-й бомбардировочной эскадрильи 91-й бомбардировочной группы, имеет четыре носовых пулемета. Два пулемета располагаются в гнездах в плексигласовой носовой части и два в окнах с левой и правой сторон носовой части (22642).</w:t>
      </w:r>
    </w:p>
    <w:p w14:paraId="27C98787" w14:textId="77777777" w:rsidR="00E43EB5" w:rsidRPr="00D03F3E" w:rsidRDefault="00E43EB5" w:rsidP="00D03F3E">
      <w:pPr>
        <w:spacing w:after="0" w:line="240" w:lineRule="auto"/>
        <w:jc w:val="both"/>
        <w:rPr>
          <w:rFonts w:ascii="Times New Roman" w:hAnsi="Times New Roman"/>
          <w:color w:val="0070C0"/>
          <w:sz w:val="16"/>
          <w:szCs w:val="16"/>
        </w:rPr>
      </w:pPr>
    </w:p>
    <w:p w14:paraId="5A000A09"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rPr>
        <w:t xml:space="preserve">27 января 1943 состоялся первый дневной налет американской авиации на Германию </w:t>
      </w:r>
      <w:r w:rsidRPr="00D03F3E">
        <w:rPr>
          <w:rFonts w:ascii="Times New Roman" w:hAnsi="Times New Roman"/>
          <w:color w:val="000000" w:themeColor="text1"/>
          <w:sz w:val="16"/>
          <w:szCs w:val="16"/>
          <w:lang w:val="en-US"/>
        </w:rPr>
        <w:t>(4962).</w:t>
      </w:r>
    </w:p>
    <w:p w14:paraId="4E8DE7D7"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350404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January 27, 1943. The first American air raid on Germany is made by Eighth Air Force B-17 crews against Wilhelmshaven and other targets in the northeastern part of the country (1089).</w:t>
      </w:r>
    </w:p>
    <w:p w14:paraId="762DF48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C0A97D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January 27 1943 United States Eighth Air Force bombs Wilhelmshaven in its first attack on Germany (1037).</w:t>
      </w:r>
    </w:p>
    <w:p w14:paraId="1D6FE0F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815E6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января 1943 состоялся первый налет американской авиации (8ВА) на Германию, Wilhelmshaven. Летали без сопровождения истребителей (1037;1089;2245,1).</w:t>
      </w:r>
    </w:p>
    <w:p w14:paraId="2B30126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3DCBE2"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27 января</w:t>
      </w:r>
      <w:r w:rsidRPr="00D03F3E">
        <w:rPr>
          <w:rFonts w:ascii="Times New Roman" w:hAnsi="Times New Roman"/>
          <w:color w:val="000000" w:themeColor="text1"/>
          <w:sz w:val="16"/>
          <w:szCs w:val="16"/>
        </w:rPr>
        <w:t xml:space="preserve"> в 1943 году первый американский дневной воздушный налёт на Германию. 64 бомбардировщика Б-17 8-го авиационного командования нанесли бомбовый удар по порту Вильгельмcхафен (Wilhelmshaven) (15022).</w:t>
      </w:r>
    </w:p>
    <w:p w14:paraId="53C3833A" w14:textId="77777777" w:rsidR="00D75F9F" w:rsidRPr="00D03F3E" w:rsidRDefault="00D75F9F" w:rsidP="00D03F3E">
      <w:pPr>
        <w:spacing w:after="0" w:line="240" w:lineRule="auto"/>
        <w:jc w:val="both"/>
        <w:rPr>
          <w:rFonts w:ascii="Times New Roman" w:hAnsi="Times New Roman"/>
          <w:color w:val="000000" w:themeColor="text1"/>
          <w:sz w:val="16"/>
          <w:szCs w:val="16"/>
        </w:rPr>
      </w:pPr>
    </w:p>
    <w:p w14:paraId="0E8E381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января 1943 в Германии была введена воинская повинность для женщин (3907,245).</w:t>
      </w:r>
    </w:p>
    <w:p w14:paraId="010A930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B7A174"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27 января</w:t>
      </w:r>
      <w:r w:rsidRPr="00D03F3E">
        <w:rPr>
          <w:rFonts w:ascii="Times New Roman" w:hAnsi="Times New Roman"/>
          <w:color w:val="000000" w:themeColor="text1"/>
          <w:sz w:val="16"/>
          <w:szCs w:val="16"/>
        </w:rPr>
        <w:t xml:space="preserve"> в 1943 году распоряжение Гитлера об использовании рабочей силы для ведения «тотальной войны» (15022).</w:t>
      </w:r>
    </w:p>
    <w:p w14:paraId="58B9A92B" w14:textId="77777777" w:rsidR="00D75F9F" w:rsidRPr="00D03F3E" w:rsidRDefault="00D75F9F" w:rsidP="00D03F3E">
      <w:pPr>
        <w:spacing w:after="0" w:line="240" w:lineRule="auto"/>
        <w:jc w:val="both"/>
        <w:rPr>
          <w:rFonts w:ascii="Times New Roman" w:hAnsi="Times New Roman"/>
          <w:color w:val="000000" w:themeColor="text1"/>
          <w:sz w:val="16"/>
          <w:szCs w:val="16"/>
        </w:rPr>
      </w:pPr>
    </w:p>
    <w:p w14:paraId="659BCDA5"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января 1943 г. Из донесения шведского военного атташе в Берлине начальнику политического отдела МИД Швеции о состоянии военной промышленности, производства и рабочей силы в Германии</w:t>
      </w:r>
    </w:p>
    <w:p w14:paraId="252D0E35"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 Германии ощущается острый недостаток железной руды, а также различных металлов, таких, как медь, никель и кадмий. Нехватка этих материалов приняла такие размеры, что может привести к снижению выпуска военной продукции. По швейцарским данным, потребность в железной руде на 1943 г. исчисляется в 61 млн тонн, а удовлетворена она будет только 40 млн тонн.</w:t>
      </w:r>
    </w:p>
    <w:p w14:paraId="4C86C3DF"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Шведский инженер, который только что вернулся из поездки по Западной и Южной Германии, сообшил, что на различных заводах и в мастерских, которые он посетил, заметно ощущается недостаток сырья. На основании своих наблюдений он считает, что вследствие особой нуж</w:t>
      </w:r>
      <w:r w:rsidRPr="00D03F3E">
        <w:rPr>
          <w:rFonts w:ascii="Times New Roman" w:hAnsi="Times New Roman"/>
          <w:color w:val="000000" w:themeColor="text1"/>
          <w:sz w:val="16"/>
          <w:szCs w:val="16"/>
        </w:rPr>
        <w:softHyphen/>
        <w:t>ды в железе, меди и некоторых других металлах правительственные зака</w:t>
      </w:r>
      <w:r w:rsidRPr="00D03F3E">
        <w:rPr>
          <w:rFonts w:ascii="Times New Roman" w:hAnsi="Times New Roman"/>
          <w:color w:val="000000" w:themeColor="text1"/>
          <w:sz w:val="16"/>
          <w:szCs w:val="16"/>
        </w:rPr>
        <w:softHyphen/>
        <w:t>зы на вооружение могут быть выполнены только на 50%.</w:t>
      </w:r>
    </w:p>
    <w:p w14:paraId="691519D3"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Из нескольких источников известно о жалобах руководителей гер</w:t>
      </w:r>
      <w:r w:rsidRPr="00D03F3E">
        <w:rPr>
          <w:rFonts w:ascii="Times New Roman" w:hAnsi="Times New Roman"/>
          <w:color w:val="000000" w:themeColor="text1"/>
          <w:sz w:val="16"/>
          <w:szCs w:val="16"/>
        </w:rPr>
        <w:softHyphen/>
        <w:t>манских производственных предприятий на то, что опытные квалифи</w:t>
      </w:r>
      <w:r w:rsidRPr="00D03F3E">
        <w:rPr>
          <w:rFonts w:ascii="Times New Roman" w:hAnsi="Times New Roman"/>
          <w:color w:val="000000" w:themeColor="text1"/>
          <w:sz w:val="16"/>
          <w:szCs w:val="16"/>
        </w:rPr>
        <w:softHyphen/>
        <w:t>цированные рабочие в большом количестве мобилизуются и, как прави</w:t>
      </w:r>
      <w:r w:rsidRPr="00D03F3E">
        <w:rPr>
          <w:rFonts w:ascii="Times New Roman" w:hAnsi="Times New Roman"/>
          <w:color w:val="000000" w:themeColor="text1"/>
          <w:sz w:val="16"/>
          <w:szCs w:val="16"/>
        </w:rPr>
        <w:softHyphen/>
        <w:t>ло, заменяются иностранными рабочими</w:t>
      </w:r>
    </w:p>
    <w:p w14:paraId="698CAF5B"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По швейцарским данным, ремонт старых и производство новых ав</w:t>
      </w:r>
      <w:r w:rsidRPr="00D03F3E">
        <w:rPr>
          <w:rFonts w:ascii="Times New Roman" w:hAnsi="Times New Roman"/>
          <w:color w:val="000000" w:themeColor="text1"/>
          <w:sz w:val="16"/>
          <w:szCs w:val="16"/>
        </w:rPr>
        <w:softHyphen/>
        <w:t>томашин не могут достигнуть уровня, требуемого для предстоящего ве</w:t>
      </w:r>
      <w:r w:rsidRPr="00D03F3E">
        <w:rPr>
          <w:rFonts w:ascii="Times New Roman" w:hAnsi="Times New Roman"/>
          <w:color w:val="000000" w:themeColor="text1"/>
          <w:sz w:val="16"/>
          <w:szCs w:val="16"/>
        </w:rPr>
        <w:softHyphen/>
        <w:t>сеннего наступления. Недостаток необходимых для ремонта машин за</w:t>
      </w:r>
      <w:r w:rsidRPr="00D03F3E">
        <w:rPr>
          <w:rFonts w:ascii="Times New Roman" w:hAnsi="Times New Roman"/>
          <w:color w:val="000000" w:themeColor="text1"/>
          <w:sz w:val="16"/>
          <w:szCs w:val="16"/>
        </w:rPr>
        <w:softHyphen/>
        <w:t>пасных частей достигает 40%. Эти сведения базируются на данных, полученных с предприятий.</w:t>
      </w:r>
    </w:p>
    <w:p w14:paraId="553031FD"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Мастер одного из заводов в г. Данциге, производящих вооружение, рассказал, что оборудование сильно изношено и его приходится посто</w:t>
      </w:r>
      <w:r w:rsidRPr="00D03F3E">
        <w:rPr>
          <w:rFonts w:ascii="Times New Roman" w:hAnsi="Times New Roman"/>
          <w:color w:val="000000" w:themeColor="text1"/>
          <w:sz w:val="16"/>
          <w:szCs w:val="16"/>
        </w:rPr>
        <w:softHyphen/>
        <w:t>янно ремонтировать. Получить новое оборудование или запасные части совершенно невозможно. Ремонт производится весьма примитивно, в результате чего оборудование затем вновь выходит из строя.</w:t>
      </w:r>
    </w:p>
    <w:p w14:paraId="34FAA162"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E0E0AB7"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Сведения из прессы говорят о значительной нехватке бензина и нефти. Из-за отсутствия снабжения нефтепродуктами имели место слу</w:t>
      </w:r>
      <w:r w:rsidRPr="00D03F3E">
        <w:rPr>
          <w:rFonts w:ascii="Times New Roman" w:hAnsi="Times New Roman"/>
          <w:color w:val="000000" w:themeColor="text1"/>
          <w:sz w:val="16"/>
          <w:szCs w:val="16"/>
        </w:rPr>
        <w:softHyphen/>
        <w:t>чаи, когда корабли немецкого военно-морского флота были вынуждены делиться запасами нефти друг с другом...</w:t>
      </w:r>
    </w:p>
    <w:p w14:paraId="4BBDC75A"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По турецким данным, достигнуто соглашение о поставке в Герма</w:t>
      </w:r>
      <w:r w:rsidRPr="00D03F3E">
        <w:rPr>
          <w:rFonts w:ascii="Times New Roman" w:hAnsi="Times New Roman"/>
          <w:color w:val="000000" w:themeColor="text1"/>
          <w:sz w:val="16"/>
          <w:szCs w:val="16"/>
        </w:rPr>
        <w:softHyphen/>
        <w:t>нию из Турции 45 тыс. тонн хрома. Однако поставки начнутся после того, как немцы выполнят контракт (срок которого истек в 1942 г) по снабжению Турции вооружением. В настоящее время все германские поставки вооружения в Турцию прекращены. В будущем турки будут по</w:t>
      </w:r>
      <w:r w:rsidRPr="00D03F3E">
        <w:rPr>
          <w:rFonts w:ascii="Times New Roman" w:hAnsi="Times New Roman"/>
          <w:color w:val="000000" w:themeColor="text1"/>
          <w:sz w:val="16"/>
          <w:szCs w:val="16"/>
        </w:rPr>
        <w:softHyphen/>
        <w:t>ставлять хром в Германию в зависимости от выполнения немцами своих обязательств перед Турцией.</w:t>
      </w:r>
    </w:p>
    <w:p w14:paraId="4A959C5D"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Сообщения из Болгарии, наоборот, говорят о том, что поставки военных материалов на основе заключенных Болгарией контрактов по</w:t>
      </w:r>
      <w:r w:rsidRPr="00D03F3E">
        <w:rPr>
          <w:rFonts w:ascii="Times New Roman" w:hAnsi="Times New Roman"/>
          <w:color w:val="000000" w:themeColor="text1"/>
          <w:sz w:val="16"/>
          <w:szCs w:val="16"/>
        </w:rPr>
        <w:softHyphen/>
        <w:t>чти все аккуратно и в срок выполнены.</w:t>
      </w:r>
    </w:p>
    <w:p w14:paraId="689C7F5D"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разговора с мастером одного из заводов электропромышленности (небольшое предприятие, насчитывающее около 200 человек) установ</w:t>
      </w:r>
      <w:r w:rsidRPr="00D03F3E">
        <w:rPr>
          <w:rFonts w:ascii="Times New Roman" w:hAnsi="Times New Roman"/>
          <w:color w:val="000000" w:themeColor="text1"/>
          <w:sz w:val="16"/>
          <w:szCs w:val="16"/>
        </w:rPr>
        <w:softHyphen/>
        <w:t>лено, что последний призыв в армию коснулся этого завода в середине января. Для немедленного несения военной службы было призвано с этого предприятия около 30% рабочих 1902—1925 гг. рождения, кото</w:t>
      </w:r>
      <w:r w:rsidRPr="00D03F3E">
        <w:rPr>
          <w:rFonts w:ascii="Times New Roman" w:hAnsi="Times New Roman"/>
          <w:color w:val="000000" w:themeColor="text1"/>
          <w:sz w:val="16"/>
          <w:szCs w:val="16"/>
        </w:rPr>
        <w:softHyphen/>
        <w:t>рые в прошлом были освобождены как «незаменимые», и 20% специа</w:t>
      </w:r>
      <w:r w:rsidRPr="00D03F3E">
        <w:rPr>
          <w:rFonts w:ascii="Times New Roman" w:hAnsi="Times New Roman"/>
          <w:color w:val="000000" w:themeColor="text1"/>
          <w:sz w:val="16"/>
          <w:szCs w:val="16"/>
        </w:rPr>
        <w:softHyphen/>
        <w:t>листов и контролеров. Мобилизованные заменены иностранцами — французами, русскими и болгарами, а также незначительным количе</w:t>
      </w:r>
      <w:r w:rsidRPr="00D03F3E">
        <w:rPr>
          <w:rFonts w:ascii="Times New Roman" w:hAnsi="Times New Roman"/>
          <w:color w:val="000000" w:themeColor="text1"/>
          <w:sz w:val="16"/>
          <w:szCs w:val="16"/>
        </w:rPr>
        <w:softHyphen/>
        <w:t>ством немецких евреев (немецкие евреи постепенно выселяются в Польшу, причем, говорят, что до 1 марта сего года они все должны быть удалены из Берлина). На этом заводе также работает значительное чис</w:t>
      </w:r>
      <w:r w:rsidRPr="00D03F3E">
        <w:rPr>
          <w:rFonts w:ascii="Times New Roman" w:hAnsi="Times New Roman"/>
          <w:color w:val="000000" w:themeColor="text1"/>
          <w:sz w:val="16"/>
          <w:szCs w:val="16"/>
        </w:rPr>
        <w:softHyphen/>
        <w:t>ло чехов в возрасте 20—21 года, которые отбывают обязательную повин</w:t>
      </w:r>
      <w:r w:rsidRPr="00D03F3E">
        <w:rPr>
          <w:rFonts w:ascii="Times New Roman" w:hAnsi="Times New Roman"/>
          <w:color w:val="000000" w:themeColor="text1"/>
          <w:sz w:val="16"/>
          <w:szCs w:val="16"/>
        </w:rPr>
        <w:softHyphen/>
        <w:t>ность как лица, занятые в военной промышленности. Работают они 56 часов в неделю. Большинство из них, включая и немцев, работают довольно медленно и без всякого энтузиазма.</w:t>
      </w:r>
    </w:p>
    <w:p w14:paraId="56CEFBFC"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DA5CD49"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Моему информатору пришлось столкнуться со значительными труд</w:t>
      </w:r>
      <w:r w:rsidRPr="00D03F3E">
        <w:rPr>
          <w:rFonts w:ascii="Times New Roman" w:hAnsi="Times New Roman"/>
          <w:color w:val="000000" w:themeColor="text1"/>
          <w:sz w:val="16"/>
          <w:szCs w:val="16"/>
        </w:rPr>
        <w:softHyphen/>
        <w:t>ностями как в отношении сырья, так и в отношении рабочей силы, ко</w:t>
      </w:r>
      <w:r w:rsidRPr="00D03F3E">
        <w:rPr>
          <w:rFonts w:ascii="Times New Roman" w:hAnsi="Times New Roman"/>
          <w:color w:val="000000" w:themeColor="text1"/>
          <w:sz w:val="16"/>
          <w:szCs w:val="16"/>
        </w:rPr>
        <w:softHyphen/>
        <w:t>торые вредно отразились на производстве. Особенно остро сказывается недостаток никеля и кадмия, а за последнее время и железа, причем с начала этого года вследствие общего недостатка железа в империи нор</w:t>
      </w:r>
      <w:r w:rsidRPr="00D03F3E">
        <w:rPr>
          <w:rFonts w:ascii="Times New Roman" w:hAnsi="Times New Roman"/>
          <w:color w:val="000000" w:themeColor="text1"/>
          <w:sz w:val="16"/>
          <w:szCs w:val="16"/>
        </w:rPr>
        <w:softHyphen/>
        <w:t>мы поставок железа по сравнению с прошлым снижены на 50%.</w:t>
      </w:r>
    </w:p>
    <w:p w14:paraId="3CC14216"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Нехватка ощущается и в изоляционных материалах. Резина отпуска</w:t>
      </w:r>
      <w:r w:rsidRPr="00D03F3E">
        <w:rPr>
          <w:rFonts w:ascii="Times New Roman" w:hAnsi="Times New Roman"/>
          <w:color w:val="000000" w:themeColor="text1"/>
          <w:sz w:val="16"/>
          <w:szCs w:val="16"/>
        </w:rPr>
        <w:softHyphen/>
        <w:t>ется также в небольших количествах. Причем недостает и такого очень эффективного заменителя резины, как миполама.</w:t>
      </w:r>
    </w:p>
    <w:p w14:paraId="5D11144A"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Мой информатор думает, что подобное положение характерно и для остальных отраслей промышленности. Даже если на заказах делается пометка «Вермахт — особые материалы СС», заранее затребованное сы</w:t>
      </w:r>
      <w:r w:rsidRPr="00D03F3E">
        <w:rPr>
          <w:rFonts w:ascii="Times New Roman" w:hAnsi="Times New Roman"/>
          <w:color w:val="000000" w:themeColor="text1"/>
          <w:sz w:val="16"/>
          <w:szCs w:val="16"/>
        </w:rPr>
        <w:softHyphen/>
        <w:t>рье невозможно достать.</w:t>
      </w:r>
    </w:p>
    <w:p w14:paraId="734453F7"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От человека, работающего в другой отрасли, я узнал, что после</w:t>
      </w:r>
      <w:r w:rsidRPr="00D03F3E">
        <w:rPr>
          <w:rFonts w:ascii="Times New Roman" w:hAnsi="Times New Roman"/>
          <w:color w:val="000000" w:themeColor="text1"/>
          <w:sz w:val="16"/>
          <w:szCs w:val="16"/>
        </w:rPr>
        <w:softHyphen/>
        <w:t>дний призыв из его цеха был 21 января, причем извещения об этом по</w:t>
      </w:r>
      <w:r w:rsidRPr="00D03F3E">
        <w:rPr>
          <w:rFonts w:ascii="Times New Roman" w:hAnsi="Times New Roman"/>
          <w:color w:val="000000" w:themeColor="text1"/>
          <w:sz w:val="16"/>
          <w:szCs w:val="16"/>
        </w:rPr>
        <w:softHyphen/>
        <w:t>ступили за 2—4 дня. Было призвано 30% мужчин, родившихся начиная с 1900 г. Они были направлены в сборный лагерь в Шпандау, после пре</w:t>
      </w:r>
      <w:r w:rsidRPr="00D03F3E">
        <w:rPr>
          <w:rFonts w:ascii="Times New Roman" w:hAnsi="Times New Roman"/>
          <w:color w:val="000000" w:themeColor="text1"/>
          <w:sz w:val="16"/>
          <w:szCs w:val="16"/>
        </w:rPr>
        <w:softHyphen/>
        <w:t>бывания в котором по истечении нескольких недель посланы на восток. Обучение в некоторых случаях ограничивается 4 неделями, после чего мобилизованные отправляются на фронт.</w:t>
      </w:r>
    </w:p>
    <w:p w14:paraId="1F5618F4"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Берлине 15-летние школьники проходят предварительное военное обучение для того, чтобы быть затем использованными в качестве назем</w:t>
      </w:r>
      <w:r w:rsidRPr="00D03F3E">
        <w:rPr>
          <w:rFonts w:ascii="Times New Roman" w:hAnsi="Times New Roman"/>
          <w:color w:val="000000" w:themeColor="text1"/>
          <w:sz w:val="16"/>
          <w:szCs w:val="16"/>
        </w:rPr>
        <w:softHyphen/>
        <w:t>ного персонала в подразделениях противовоздушной обороны.</w:t>
      </w:r>
    </w:p>
    <w:p w14:paraId="4508039C"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 местного коллеги, бывшего австрийского офицера, я слышал, что для всей империи нынешний призыв лиц, родившихся в 1925 г., даст око</w:t>
      </w:r>
      <w:r w:rsidRPr="00D03F3E">
        <w:rPr>
          <w:rFonts w:ascii="Times New Roman" w:hAnsi="Times New Roman"/>
          <w:color w:val="000000" w:themeColor="text1"/>
          <w:sz w:val="16"/>
          <w:szCs w:val="16"/>
        </w:rPr>
        <w:softHyphen/>
        <w:t>ло 800 тыс. человек.</w:t>
      </w:r>
    </w:p>
    <w:p w14:paraId="5F7F4FA3"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(Архив СВР России)</w:t>
      </w:r>
    </w:p>
    <w:p w14:paraId="321F037F"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Поражения вермахта в зимней кампании 1942—1943 гг., особенно на советско-германском фронте, вынудили немецко-фашистское руководство пересмотреть тре</w:t>
      </w:r>
      <w:r w:rsidRPr="00D03F3E">
        <w:rPr>
          <w:rFonts w:ascii="Times New Roman" w:hAnsi="Times New Roman"/>
          <w:color w:val="000000" w:themeColor="text1"/>
          <w:sz w:val="16"/>
          <w:szCs w:val="16"/>
        </w:rPr>
        <w:softHyphen/>
        <w:t>бования к экономике. По приказу фюрера 13 января 1943 г. была объявлена тоталь</w:t>
      </w:r>
      <w:r w:rsidRPr="00D03F3E">
        <w:rPr>
          <w:rFonts w:ascii="Times New Roman" w:hAnsi="Times New Roman"/>
          <w:color w:val="000000" w:themeColor="text1"/>
          <w:sz w:val="16"/>
          <w:szCs w:val="16"/>
        </w:rPr>
        <w:softHyphen/>
        <w:t>ная мобилизация. Все немцы (мужчины в возрасте от 16 до 65 и женщины от 17 до 45 лет) должны были зарегистрироваться для работ военного назначения. Мероп</w:t>
      </w:r>
      <w:r w:rsidRPr="00D03F3E">
        <w:rPr>
          <w:rFonts w:ascii="Times New Roman" w:hAnsi="Times New Roman"/>
          <w:color w:val="000000" w:themeColor="text1"/>
          <w:sz w:val="16"/>
          <w:szCs w:val="16"/>
        </w:rPr>
        <w:softHyphen/>
        <w:t>риятия по тотальной мобилизации преследовали цель заменить людей, которых можно было использовать в вооруженных силах и военном производстве.</w:t>
      </w:r>
    </w:p>
    <w:p w14:paraId="6AD5EC76"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января 1943 г. главное командование сухопутных войск вермахта (ОКХ) разработало план формирования 20 новых дивизий взамен уничтоженных под Ста</w:t>
      </w:r>
      <w:r w:rsidRPr="00D03F3E">
        <w:rPr>
          <w:rFonts w:ascii="Times New Roman" w:hAnsi="Times New Roman"/>
          <w:color w:val="000000" w:themeColor="text1"/>
          <w:sz w:val="16"/>
          <w:szCs w:val="16"/>
        </w:rPr>
        <w:softHyphen/>
        <w:t>линградом. Предполагалось в течение 4—5 месяцев мобилизовать в вооруженные силы 800 тыс. человек. Значительную часть призываемых приходилось изымать из военных предприятий. Несмотря на призыв в армию немцев, проживавших в оккупи</w:t>
      </w:r>
      <w:r w:rsidRPr="00D03F3E">
        <w:rPr>
          <w:rFonts w:ascii="Times New Roman" w:hAnsi="Times New Roman"/>
          <w:color w:val="000000" w:themeColor="text1"/>
          <w:sz w:val="16"/>
          <w:szCs w:val="16"/>
        </w:rPr>
        <w:softHyphen/>
        <w:t>рованных странах Европы, к лету 1943 г. в вермахт удалось мобилизовать только 600 тыс. человек. В свою очередь, монополии в первом квартале 1943 г. потребовали дополнительно 800 тыс. рабочих.</w:t>
      </w:r>
    </w:p>
    <w:p w14:paraId="2BDD5617"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Военная экономика Германии, опиравшаяся на ресурсы и промышленность почти всей Европы, не испытывала сколько-нибудь значительных трудностей в обеспечении основ</w:t>
      </w:r>
      <w:r w:rsidRPr="00D03F3E">
        <w:rPr>
          <w:rFonts w:ascii="Times New Roman" w:hAnsi="Times New Roman"/>
          <w:color w:val="000000" w:themeColor="text1"/>
          <w:sz w:val="16"/>
          <w:szCs w:val="16"/>
        </w:rPr>
        <w:softHyphen/>
        <w:t>ными видами сырья и материалов. Подавляющая доля спроса на них, как и прежде, удов</w:t>
      </w:r>
      <w:r w:rsidRPr="00D03F3E">
        <w:rPr>
          <w:rFonts w:ascii="Times New Roman" w:hAnsi="Times New Roman"/>
          <w:color w:val="000000" w:themeColor="text1"/>
          <w:sz w:val="16"/>
          <w:szCs w:val="16"/>
        </w:rPr>
        <w:softHyphen/>
        <w:t>летворялась за счет ввоза с оккупированных территорий союзных и нейтральных стран (см.. История Второй мировой войны 1939—1945 (в 12 т.). М., 1976, т. 6, с. 423—425) (15483).</w:t>
      </w:r>
    </w:p>
    <w:p w14:paraId="653C877F" w14:textId="77777777" w:rsidR="00D75F9F" w:rsidRPr="00D03F3E" w:rsidRDefault="00D75F9F" w:rsidP="00D03F3E">
      <w:pPr>
        <w:spacing w:after="0" w:line="240" w:lineRule="auto"/>
        <w:jc w:val="both"/>
        <w:rPr>
          <w:rFonts w:ascii="Times New Roman" w:hAnsi="Times New Roman"/>
          <w:color w:val="000000" w:themeColor="text1"/>
          <w:sz w:val="16"/>
          <w:szCs w:val="16"/>
        </w:rPr>
      </w:pPr>
    </w:p>
    <w:p w14:paraId="5E26F67D"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17CB141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CDB74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января 1943 закончились войсковые испытания Як-1б в 32 гв. иап 210 иад 3ВА (Калининский фронт) и в 176 иап 283иад 16ВА (Сталинградский фронт), начавшиеся 10 декабря 1942 (65,66).</w:t>
      </w:r>
    </w:p>
    <w:p w14:paraId="42FCF63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7F34A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28 января 1943 г. в 32-м гиап 210-й иад 3 ВА Калининского фронта и в 176-м иап 283-й иад 16-й ВА Сталинградского фронта закончились войсковые испытания самолетов Як-1б, которые шли с 10 декабря 1942 г. На испытаниях произвели 669 боевых вылетов на 58 самолетах с налетом 617 часов. Провели 38 воздушных боев, в результате которых сбили 25 самолетов противника. Свои потери составили шесть самолетов Як-16. По общему мнению летного состава кабина с улучшенным обзором задней полусферы повысила боевые качества самолета. Ее рекомендовали для установки на всех самолетах истребительного типа. Эта модификация Як-1 </w:t>
      </w:r>
      <w:r w:rsidRPr="00D03F3E">
        <w:rPr>
          <w:rFonts w:ascii="Times New Roman" w:hAnsi="Times New Roman"/>
          <w:color w:val="000000" w:themeColor="text1"/>
          <w:sz w:val="16"/>
          <w:szCs w:val="16"/>
        </w:rPr>
        <w:lastRenderedPageBreak/>
        <w:t>выпускалась вплоть до перехода завода № 292 на изготовление еще более глубокой модификации самолета - Як-3 (12048).</w:t>
      </w:r>
    </w:p>
    <w:p w14:paraId="1414219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58A0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января 1943 согласно журнала наблюдения за проектированием, постройкой и испытаниями МиГ-5 2АМ-37 и 2М-82 был первый вылет 2 экз. ДИС (МиГ-5) с М-82. Савкин летал 15 минут. Потом сделали 14 полетов (990,8).</w:t>
      </w:r>
    </w:p>
    <w:p w14:paraId="5A0C6D0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BF27DE"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 xml:space="preserve">28 января </w:t>
      </w:r>
      <w:r w:rsidRPr="00D03F3E">
        <w:rPr>
          <w:rFonts w:ascii="Times New Roman" w:hAnsi="Times New Roman"/>
          <w:color w:val="000000" w:themeColor="text1"/>
          <w:sz w:val="16"/>
          <w:szCs w:val="16"/>
        </w:rPr>
        <w:t>в 1943 году состоялся первый вылет самолет «МиГ-5» («ИТ») пилотировал летчик-испытатель В.Н.Савкин. Испытания «ДИС-200» («ИТ») прервались 10 февраля из-за ненормальной работы беспоплавковых карбюраторов 2БП-82», которые 25 февраля были сняты с обоих моторов и отправлены в ЦИАМ для регулировки. С 6 по 8 марта проводились работы по установке на самолет отрегулированных карбюраторов. В связи с тем, что летный состав ОКБ был занят испытаниями других самолетов, полеты на «ДИС-200» («ИТ») так и не возобновились, а работы по нему вскоре свернули. Всего на самолете было выполнено 14 полетов. Последняя гонка моторов на земле состоялась 12 мая 1943 г. В октябре по указанию НКАП с самолета сняли винты и отправили в ЛИИ (15023).</w:t>
      </w:r>
    </w:p>
    <w:p w14:paraId="25693B54" w14:textId="77777777" w:rsidR="00D75F9F" w:rsidRPr="00D03F3E" w:rsidRDefault="00D75F9F" w:rsidP="00D03F3E">
      <w:pPr>
        <w:spacing w:after="0" w:line="240" w:lineRule="auto"/>
        <w:jc w:val="both"/>
        <w:rPr>
          <w:rFonts w:ascii="Times New Roman" w:hAnsi="Times New Roman"/>
          <w:color w:val="000000" w:themeColor="text1"/>
          <w:sz w:val="16"/>
          <w:szCs w:val="16"/>
        </w:rPr>
      </w:pPr>
    </w:p>
    <w:p w14:paraId="184D41DD" w14:textId="77777777" w:rsidR="008265AE" w:rsidRPr="00D03F3E" w:rsidRDefault="008265A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28 января 1943 - Cостоялся первый вылет самолет МиГ-5 (ИТ) - второго экземпляра истребителя ДИС-200 с моторами М-82, пилотировал летчик-испытатель В.Н.Савкин. Испытания ДИС-200 (ИТ) прервались 10 февраля из-за ненормальной работы беспоплавковых карбюраторов БП-82, которые 25 февраля были сняты с обоих моторов и отправлены в ЦИАМ для регулировки. С 6 по 8 марта проводились работы по установке на самолет отрегулированных карбюраторов. В связи с тем, что летный состав ОКБ был занят испытаниями других самолетов, полеты на ДИС-200 (ИТ) так и не возобновились, а работы по нему вскоре свернули. Всего на самолете было выполнено 14 полетов. Последняя гонка моторов на земле состоялась 12 мая 1943 г. В октябре по указанию НКАП с самолета сняли винты и отправили в ЛИИ (22641).</w:t>
      </w:r>
    </w:p>
    <w:p w14:paraId="66E484A3" w14:textId="77777777" w:rsidR="008265AE" w:rsidRPr="00D03F3E" w:rsidRDefault="008265AE" w:rsidP="00D03F3E">
      <w:pPr>
        <w:spacing w:after="0" w:line="240" w:lineRule="auto"/>
        <w:jc w:val="both"/>
        <w:rPr>
          <w:rFonts w:ascii="Times New Roman" w:hAnsi="Times New Roman"/>
          <w:color w:val="0070C0"/>
          <w:sz w:val="16"/>
          <w:szCs w:val="16"/>
        </w:rPr>
      </w:pPr>
    </w:p>
    <w:p w14:paraId="5115CA86" w14:textId="77777777" w:rsidR="0058150B" w:rsidRPr="00D03F3E" w:rsidRDefault="0058150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28 января 1943 г. уда</w:t>
      </w:r>
      <w:r w:rsidRPr="00D03F3E">
        <w:rPr>
          <w:rFonts w:ascii="Times New Roman" w:cs="Times New Roman"/>
          <w:color w:val="000000" w:themeColor="text1"/>
          <w:spacing w:val="0"/>
        </w:rPr>
        <w:softHyphen/>
        <w:t>лось выполнить первый полет ДИС-200 (ИТ) продолжительностью 15 мин. В полете ненормально работали бес</w:t>
      </w:r>
      <w:r w:rsidRPr="00D03F3E">
        <w:rPr>
          <w:rFonts w:ascii="Times New Roman" w:cs="Times New Roman"/>
          <w:color w:val="000000" w:themeColor="text1"/>
          <w:spacing w:val="0"/>
        </w:rPr>
        <w:softHyphen/>
        <w:t>поплавковые карбюраторы БП-82. Помучавшись около месяца, карбюрато</w:t>
      </w:r>
      <w:r w:rsidRPr="00D03F3E">
        <w:rPr>
          <w:rFonts w:ascii="Times New Roman" w:cs="Times New Roman"/>
          <w:color w:val="000000" w:themeColor="text1"/>
          <w:spacing w:val="0"/>
        </w:rPr>
        <w:softHyphen/>
        <w:t>ры отправили в ЦИАМ для регулировки. К 8 марта их «вернули» на самолет, но полеты по программе испытаний так и не начались. Сначала не было свобод</w:t>
      </w:r>
      <w:r w:rsidRPr="00D03F3E">
        <w:rPr>
          <w:rFonts w:ascii="Times New Roman" w:cs="Times New Roman"/>
          <w:color w:val="000000" w:themeColor="text1"/>
          <w:spacing w:val="0"/>
        </w:rPr>
        <w:softHyphen/>
        <w:t>ных летчиков, а вскоре все работы по ДИС-200 (ИТ) свернули. Как следует из документов, последняя гонка моторов была 15 мая, а к 10 октября 1943 г. с са</w:t>
      </w:r>
      <w:r w:rsidRPr="00D03F3E">
        <w:rPr>
          <w:rFonts w:ascii="Times New Roman" w:cs="Times New Roman"/>
          <w:color w:val="000000" w:themeColor="text1"/>
          <w:spacing w:val="0"/>
        </w:rPr>
        <w:softHyphen/>
        <w:t>молета сняли винты и отправили в ЛИИ НКАП. После 29 октября самолет в свод</w:t>
      </w:r>
      <w:r w:rsidRPr="00D03F3E">
        <w:rPr>
          <w:rFonts w:ascii="Times New Roman" w:cs="Times New Roman"/>
          <w:color w:val="000000" w:themeColor="text1"/>
          <w:spacing w:val="0"/>
        </w:rPr>
        <w:softHyphen/>
        <w:t>ках НИИ ВВС по опытному строительст</w:t>
      </w:r>
      <w:r w:rsidRPr="00D03F3E">
        <w:rPr>
          <w:rFonts w:ascii="Times New Roman" w:cs="Times New Roman"/>
          <w:color w:val="000000" w:themeColor="text1"/>
          <w:spacing w:val="0"/>
        </w:rPr>
        <w:softHyphen/>
        <w:t>ву больше не упоминается». В общей сложности ДИС-200 (ИТ) выполнил 14 полетов. Была получена максимальная скорость 604 км/ч на вы</w:t>
      </w:r>
      <w:r w:rsidRPr="00D03F3E">
        <w:rPr>
          <w:rFonts w:ascii="Times New Roman" w:cs="Times New Roman"/>
          <w:color w:val="000000" w:themeColor="text1"/>
          <w:spacing w:val="0"/>
        </w:rPr>
        <w:softHyphen/>
        <w:t>соте 5000 м. Расчетная дальность по</w:t>
      </w:r>
      <w:r w:rsidRPr="00D03F3E">
        <w:rPr>
          <w:rFonts w:ascii="Times New Roman" w:cs="Times New Roman"/>
          <w:color w:val="000000" w:themeColor="text1"/>
          <w:spacing w:val="0"/>
        </w:rPr>
        <w:softHyphen/>
        <w:t>лета - 2500 км. Практический потолок - 9800 м (15755).</w:t>
      </w:r>
    </w:p>
    <w:p w14:paraId="4C075BAF" w14:textId="77777777" w:rsidR="0058150B" w:rsidRPr="00D03F3E" w:rsidRDefault="0058150B" w:rsidP="00D03F3E">
      <w:pPr>
        <w:pStyle w:val="27"/>
        <w:shd w:val="clear" w:color="auto" w:fill="auto"/>
        <w:spacing w:after="0" w:line="240" w:lineRule="auto"/>
        <w:ind w:firstLine="0"/>
        <w:rPr>
          <w:rFonts w:ascii="Times New Roman" w:cs="Times New Roman"/>
          <w:color w:val="000000" w:themeColor="text1"/>
          <w:spacing w:val="0"/>
        </w:rPr>
      </w:pPr>
    </w:p>
    <w:p w14:paraId="51551CB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января 1943 г. сборка истребителя И-211 завершилась (5485,32).</w:t>
      </w:r>
    </w:p>
    <w:p w14:paraId="493B980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43646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января 1943 г. замести</w:t>
      </w:r>
      <w:r w:rsidRPr="00D03F3E">
        <w:rPr>
          <w:rFonts w:ascii="Times New Roman" w:hAnsi="Times New Roman"/>
          <w:color w:val="000000" w:themeColor="text1"/>
          <w:sz w:val="16"/>
          <w:szCs w:val="16"/>
        </w:rPr>
        <w:softHyphen/>
        <w:t>тель наркома обороны генерал М.С. Громадин обратился к А.И.Шахурину с просьбой выполнить ряд необходимых мероприятий для войск ПВО:</w:t>
      </w:r>
    </w:p>
    <w:p w14:paraId="4A6FE84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МиГ—3 является наиболее подходящим типом истребителя для борьбы с противником выше 10000 м. Потребность в таком самолете в настоящее время возрастает, так как высоты полета противника, особенно его разведчиков, постоянно возрастают.</w:t>
      </w:r>
    </w:p>
    <w:p w14:paraId="422E1D3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 18 января 1943 г. отмечен полет разведчика на высоте 11600 м. Истребительная авиация ПВО рас</w:t>
      </w:r>
      <w:r w:rsidRPr="00D03F3E">
        <w:rPr>
          <w:rFonts w:ascii="Times New Roman" w:hAnsi="Times New Roman"/>
          <w:color w:val="000000" w:themeColor="text1"/>
          <w:sz w:val="16"/>
          <w:szCs w:val="16"/>
        </w:rPr>
        <w:softHyphen/>
        <w:t>полагает 218 МиГами, в большинстве своем годными к полетам. Но из них 19 машин стоят без моторов, а на остальных установлены моторы, имеющие по не</w:t>
      </w:r>
      <w:r w:rsidRPr="00D03F3E">
        <w:rPr>
          <w:rFonts w:ascii="Times New Roman" w:hAnsi="Times New Roman"/>
          <w:color w:val="000000" w:themeColor="text1"/>
          <w:sz w:val="16"/>
          <w:szCs w:val="16"/>
        </w:rPr>
        <w:softHyphen/>
        <w:t>сколько переборок и из-за износа потерявшие мощ</w:t>
      </w:r>
      <w:r w:rsidRPr="00D03F3E">
        <w:rPr>
          <w:rFonts w:ascii="Times New Roman" w:hAnsi="Times New Roman"/>
          <w:color w:val="000000" w:themeColor="text1"/>
          <w:sz w:val="16"/>
          <w:szCs w:val="16"/>
        </w:rPr>
        <w:softHyphen/>
        <w:t>ность, отчего МиГ—3 не могут дать расчетных дан</w:t>
      </w:r>
      <w:r w:rsidRPr="00D03F3E">
        <w:rPr>
          <w:rFonts w:ascii="Times New Roman" w:hAnsi="Times New Roman"/>
          <w:color w:val="000000" w:themeColor="text1"/>
          <w:sz w:val="16"/>
          <w:szCs w:val="16"/>
        </w:rPr>
        <w:softHyphen/>
        <w:t>ных и имеют пониженный потолок. Причина теперешнего положения состоит в том, что нет про</w:t>
      </w:r>
      <w:r w:rsidRPr="00D03F3E">
        <w:rPr>
          <w:rFonts w:ascii="Times New Roman" w:hAnsi="Times New Roman"/>
          <w:color w:val="000000" w:themeColor="text1"/>
          <w:sz w:val="16"/>
          <w:szCs w:val="16"/>
        </w:rPr>
        <w:softHyphen/>
        <w:t>изводства моторов АМ—35А, а небольшой имевший</w:t>
      </w:r>
      <w:r w:rsidRPr="00D03F3E">
        <w:rPr>
          <w:rFonts w:ascii="Times New Roman" w:hAnsi="Times New Roman"/>
          <w:color w:val="000000" w:themeColor="text1"/>
          <w:sz w:val="16"/>
          <w:szCs w:val="16"/>
        </w:rPr>
        <w:softHyphen/>
        <w:t>ся запас их полностью израсходован.</w:t>
      </w:r>
    </w:p>
    <w:p w14:paraId="7E22CC3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Вашего распоряжения об изготовлении для истребительной авиации ПВО партии новых мо</w:t>
      </w:r>
      <w:r w:rsidRPr="00D03F3E">
        <w:rPr>
          <w:rFonts w:ascii="Times New Roman" w:hAnsi="Times New Roman"/>
          <w:color w:val="000000" w:themeColor="text1"/>
          <w:sz w:val="16"/>
          <w:szCs w:val="16"/>
        </w:rPr>
        <w:softHyphen/>
        <w:t>торов АМ—35А в количестве 100 штук».</w:t>
      </w:r>
    </w:p>
    <w:p w14:paraId="180278D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документе нарком оставил резолюцию: «Ди</w:t>
      </w:r>
      <w:r w:rsidRPr="00D03F3E">
        <w:rPr>
          <w:rFonts w:ascii="Times New Roman" w:hAnsi="Times New Roman"/>
          <w:color w:val="000000" w:themeColor="text1"/>
          <w:sz w:val="16"/>
          <w:szCs w:val="16"/>
        </w:rPr>
        <w:softHyphen/>
        <w:t>ректору завода № 24 тов. М.С.Жезлову. Необходимо с февраля выпускать по 10—15 моторов АМ—35А в счет программы АМ—38. А. Шахурин» (9984).</w:t>
      </w:r>
    </w:p>
    <w:p w14:paraId="31E3600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E7805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января 1943 г на самолёте Пе-2 (№9/162), пилотируемом П.Н. Кондыревым, отказал левый двигатель. Уже на выравнивании, пытаясь избежать столкновения со случайно оказавшимися на полосе трактором и автомобилем, самолёт с полуопущенным хвостом ударился о землю. Пе-2 получил многочисленные повреждения, но экипаж остался жив. Впоследствии Кондырев провёл цикл испытаний Пе-2 с двигателями М-106. Машина показала неплохие результаты, но, к сожалению, в серию не пошла. За эти испытания он был награждён орденом Красной Звезды. В дальнейшем судьба Кондырева сложилась трагически - готовясь к очередному полёту, во время осмотра Пе-2, он случайно нажал на гашетку бортового пулемёта и тяжело ранил стоящего рядом механика. Кондырева арестовали и дальнейшая судьба его неизвестна (6394).</w:t>
      </w:r>
    </w:p>
    <w:p w14:paraId="1E32C83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36EA2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января 1943 вышел приказ НКАП № 5с:</w:t>
      </w:r>
    </w:p>
    <w:p w14:paraId="5EC09DC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 возросшим объемом работ ф-ла з-да № 307 по пр-ву прокладок к авиамоторам:</w:t>
      </w:r>
    </w:p>
    <w:p w14:paraId="1E728296" w14:textId="77777777" w:rsidR="00C84258" w:rsidRPr="00D03F3E" w:rsidRDefault="00C84258"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Преобразовать ф-л з-да № 307 в самостоятельный з-д, присвоив ему № 85,</w:t>
      </w:r>
    </w:p>
    <w:p w14:paraId="2A08886A" w14:textId="77777777" w:rsidR="00C84258" w:rsidRPr="00D03F3E" w:rsidRDefault="00C84258"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Указанный з-д подчинить 4 ГУ</w:t>
      </w:r>
    </w:p>
    <w:p w14:paraId="24660EC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Дементьев (1701, 205).</w:t>
      </w:r>
    </w:p>
    <w:p w14:paraId="7A51613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0CAB3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января 1943 г. в связи с возросшим объемом производства прокладок для авиамоторов филиал завода № 307 был преобразован в самостоятельный ГС завод № 85 (Уфимский штамповочный завод) в системе 4ГУ НКАП (ГС Завод № 85 НКАП, Уфимский штамповочный завод, Уфимский агрегатный завод «Гидравлика», Уфимское агрегатное предприятие (УАП) «Гидравлика», ФГУП «УАП «Гидравлика» ФАП /Башкортостан 450001  г. Уфа ул. Володарского, 2 тел. 24-29-00/). Летом 1943 г. заводу в качестве производственного корпуса было выделено здание республиканской типографии (в 2000-е  г. там размещался штамповочный цех). В 12.1944 г. завод был перепрофилирован и переименован в агрегатный завод «Гидравлика», начато освоение выпуска масляного фильтра МФМ-25.</w:t>
      </w:r>
    </w:p>
    <w:p w14:paraId="44123F0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1948 г. началось производство трубопроводов и металлорукавов, с 1951 г. началось освоение производства топливо-масляных агрегатов для авиадвигателей.</w:t>
      </w:r>
    </w:p>
    <w:p w14:paraId="0B085FF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07.1956 г. при заводе основано ОКБ.</w:t>
      </w:r>
    </w:p>
    <w:p w14:paraId="5B561C3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СМ СССР № 713-342 от 26.06.1957 г. передан в ведение СНХ РСФСР.</w:t>
      </w:r>
    </w:p>
    <w:p w14:paraId="118608A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1966 г. начат выпуск ВСУ.</w:t>
      </w:r>
    </w:p>
    <w:p w14:paraId="5E06ED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2000 г. освоен выпуск фильтров, рукавов, компенсаторов для автотракторной промышленности, атомной энергетики, нефтегазохимической промышленности.</w:t>
      </w:r>
    </w:p>
    <w:p w14:paraId="4AC7758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1966 г. завод переименован в завод «Гидравлика». В конце 1972 г. завод вошел в состав созданного Уфимского агрегатного объединения «Гидравлика» в ведении МАП. В 1999 г. предприятие было обанкрочено. По Указу Президента РФ № 1009 от 4.08.2004 г. вошло в число стратегических оборонных предприятий. В 2000-е  г. - в ведении ФАП.</w:t>
      </w:r>
    </w:p>
    <w:p w14:paraId="60F4A35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Приказом по предприятию № 503 от 23.09.1968 г. образован филиал (и на 2002 г.) - Промбаза (далее - Чекмагушевский механический завод) по производству прокладок, фильтров-сепараторов, агрегатов к автомобильным двигателям.</w:t>
      </w:r>
    </w:p>
    <w:p w14:paraId="242C397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(2004 г.): производство ВСУ; металлических и тефлоновых трубопроводов; гидравлических, топливных и воздушных фильтров; сильфонных компенсаторов; фильтров и агрегатов для автомобилей.</w:t>
      </w:r>
    </w:p>
    <w:p w14:paraId="4FA689A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(2002 г.)- 4350 чел.</w:t>
      </w:r>
    </w:p>
    <w:p w14:paraId="42FB1D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(-08.1942-01.1943 г.-)- С.А. Глинкин, (03.1946 г.)- Гутцайт. Гендиректор (1998 г.)- И. Хузин, (2002- 05 г.)- Н.Б. Пучнин, (2008 г.)- В.А. Новиков.</w:t>
      </w:r>
    </w:p>
    <w:p w14:paraId="36A808A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Арбитражный управляющий (1999 г.-)- Н.Б. Пучнин.</w:t>
      </w:r>
    </w:p>
    <w:p w14:paraId="675FBA6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гендиректора по производству (2002 г.)- Н.П. Дубасов.</w:t>
      </w:r>
    </w:p>
    <w:p w14:paraId="5E7E671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(2002 г.)- В.Н. Дрозденко.</w:t>
      </w:r>
      <w:r w:rsidRPr="00D03F3E">
        <w:rPr>
          <w:rFonts w:ascii="Times New Roman" w:hAnsi="Times New Roman"/>
          <w:color w:val="000000" w:themeColor="text1"/>
          <w:sz w:val="16"/>
          <w:szCs w:val="16"/>
          <w:vertAlign w:val="superscript"/>
        </w:rPr>
        <w:t>69</w:t>
      </w:r>
    </w:p>
    <w:p w14:paraId="3246CD1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Начальник отдела конъюнктуры рынка и рекламы (2006 г.)- </w:t>
      </w:r>
      <w:r w:rsidRPr="00D03F3E">
        <w:rPr>
          <w:rFonts w:ascii="Times New Roman" w:hAnsi="Times New Roman"/>
          <w:color w:val="000000" w:themeColor="text1"/>
          <w:sz w:val="16"/>
          <w:szCs w:val="16"/>
          <w:lang w:val="en-US"/>
        </w:rPr>
        <w:t>P</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P</w:t>
      </w:r>
      <w:r w:rsidRPr="00D03F3E">
        <w:rPr>
          <w:rFonts w:ascii="Times New Roman" w:hAnsi="Times New Roman"/>
          <w:color w:val="000000" w:themeColor="text1"/>
          <w:sz w:val="16"/>
          <w:szCs w:val="16"/>
        </w:rPr>
        <w:t>. Башаров.</w:t>
      </w:r>
    </w:p>
    <w:p w14:paraId="61374B2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w:t>
      </w:r>
      <w:r w:rsidRPr="00D03F3E">
        <w:rPr>
          <w:rFonts w:ascii="Times New Roman" w:hAnsi="Times New Roman"/>
          <w:color w:val="000000" w:themeColor="text1"/>
          <w:sz w:val="16"/>
          <w:szCs w:val="16"/>
        </w:rPr>
        <w:t xml:space="preserve"> масляный фильтр МФМ-25 (1944-); ВСУ: ТА-6 (1966-2002-), ТА-6А (2002), ТА-8В (2002), ТА- 12 (-1990-е-2002-); турбонасосные установки ТНУА, ТНУК, ТНУ86; агрегат зажигания СК-224 для АЛ-31Ф (2004); керогаз (1946-) (11982).</w:t>
      </w:r>
    </w:p>
    <w:p w14:paraId="214B799A" w14:textId="77777777" w:rsidR="00D75F9F" w:rsidRPr="00D03F3E" w:rsidRDefault="00D75F9F"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84DFA3"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6F84501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02A248"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28 января 1943 года на заводе №38 проводилось техническое совещание, в котором участвовал Щукин, Гинзбург и главный конструктор ГАЗ А.А. Липгарт. В очередной раз причиной проблем с коробками передач было названо качество изготовления, причем как самой САУ, так и коробок передач. При этом, впрочем, были высказаны сомнения, что дело не только в этом. Лишним доказательством тому стало решение запустить в работу новый механизм переключения КПП. Сама по себе система с двумя коробками передач, которые управлялись одним рычагом, была очень ненадёжной. Тем не менее, Гинзбург все ещё не признавал, что главным источником проблемы являлась сконструированная им система (17699).</w:t>
      </w:r>
    </w:p>
    <w:p w14:paraId="7A188915" w14:textId="77777777" w:rsidR="009614F5" w:rsidRPr="00D03F3E" w:rsidRDefault="009614F5" w:rsidP="00D03F3E">
      <w:pPr>
        <w:pStyle w:val="12a"/>
        <w:shd w:val="clear" w:color="auto" w:fill="auto"/>
        <w:spacing w:after="0" w:line="240" w:lineRule="auto"/>
        <w:jc w:val="both"/>
        <w:rPr>
          <w:color w:val="000000" w:themeColor="text1"/>
          <w:sz w:val="16"/>
          <w:szCs w:val="16"/>
        </w:rPr>
      </w:pPr>
    </w:p>
    <w:p w14:paraId="1A4FDE2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января 1943 вышло Постановление ГКО № 2792 О завозе топлива в г. Москву в феврале 1943 года.РГАНИР, Фонд ГКО, д. 84, лл. 85-87 (11012).</w:t>
      </w:r>
    </w:p>
    <w:p w14:paraId="050AF51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68075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января 1943 вышло Постановление ГКО № 2793 О т.т. Фурсове И.С., Иванове С.А. и Брант Г.Р.РГАНИР, Фонд ГКО, д. 84, лл. 88 (11012).</w:t>
      </w:r>
    </w:p>
    <w:p w14:paraId="01EE1B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992CA4"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5D524BB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30C9C2"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 xml:space="preserve">28 января </w:t>
      </w:r>
      <w:r w:rsidRPr="00D03F3E">
        <w:rPr>
          <w:rFonts w:ascii="Times New Roman" w:hAnsi="Times New Roman"/>
          <w:color w:val="000000" w:themeColor="text1"/>
          <w:sz w:val="16"/>
          <w:szCs w:val="16"/>
        </w:rPr>
        <w:t>в 1943 году утреннее сообщение Совинформбюро:</w:t>
      </w:r>
    </w:p>
    <w:p w14:paraId="1FB8FC7B"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28 января войска Юго-Западного, Южного, Севвро-Кавказского, Воронежского, Волховского и Ленинградского фронтов вели наступательные бои на прежних направлениях.</w:t>
      </w:r>
    </w:p>
    <w:p w14:paraId="16BACED5"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Донского фронта продолжали истреблять разрозненные группы противника. Ближе к центральной части Сталинграда немцы оказывали слабое огневое сопротивление. С каждым часом возрастает количество сдавшихся в плен. Сдались в плен ещё один генерал, 3 полковника, 4 подполковника и другие старшие офицеры. Севернее Сталинграда советские части теснили противника и истребляли его живую силу. Захвачены большие трофеи, среди которых 46 танков, 214 орудий, 583 пулемёта, 5.890 автомашин, бронепоезд и 20 различных складов.</w:t>
      </w:r>
    </w:p>
    <w:p w14:paraId="179D742F"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Южного фронта вели наступление, а частью сил отражали контратаки противника. Н-ская часть, обойдя немцев с флангов, внезапным ударом ворвалась в населенный пункт и овладела им. Захвачены трофеи: бронемашина, 3 орудия, 14 пулемётов, 8 противотанковых ружей, склад фуража и склад с вооружением. На другом участке отбита контратака противника. Уничтожены 2 танка и свыше роты немецкой пехоты.</w:t>
      </w:r>
    </w:p>
    <w:p w14:paraId="0E7EE866"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Юго-Западном фронте советские танкисты, действующие совместно с пехотой, овладели двумя населёнными пунктами. Разбит немецкий батальон. Захвачены самоходное орудие, 5 миномётов, 30 бочек с бензином, 34 повозки с военным имуществом, радиостанция и другие трофеи.</w:t>
      </w:r>
    </w:p>
    <w:p w14:paraId="35A642CF"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Воронежского фронта вели наступательные бои. Противник пытался задержать продвижение советских частей в районе двух населённых пунктов. После ожесточённого боя немцы, понеся большие потери, отступили. Наши бойцы захватили большие трофеи. На другом участке Н-ская часть взяла в плен 540 вражеских солдат и офицеров, захватила 8 орудий, 22 пулемёта, 57 автомашин и склад боеприпасов.</w:t>
      </w:r>
    </w:p>
    <w:p w14:paraId="465DCA0D"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Северо-Кавказского фронта продвигались вперёд и заняли ряд населённых пунктов. Танкисты Н-ской части разгромили опорный пункт вражеской обороны и уничтожили более 200 немецких солдат и офицеров. Захвачено 3 танка, 17 орудий и 25 автомашин. Наши части в районе Белой Глины захватили 76 автомашин и 246 железнодорожных вагонов с различным грузом. В районе Ново-Александровской захвачено у немцев три железнодорожных эшелона с военным имуществом, в числе которого 300 автомашин, 230 мотоциклов, 2 вагона винтовочных патронов, вагон винтовок, вагон пулемётов, 2 вагона снарядов, 4 вагона с автомоторами и 3 вагона с инженерным имуществом.</w:t>
      </w:r>
    </w:p>
    <w:p w14:paraId="171D402C"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орловских партизан из отряда имени Ворошилова в середине января месяца пустила под откос вражеский эшелон. Разбиты паровоз, 18 вагонов с боеприпасами и 6 цистерн с горючим. Партизаны другого отряда совершили налёт на немецкий гарнизон, расположенный в районном центре. Советские патриоты истребили до 200 гитлеровцев. Захвачено 9 исправных пулемётов, 64 винтовки, несколько тысяч патронов и большое количество обмундирования и снаряжения.</w:t>
      </w:r>
    </w:p>
    <w:p w14:paraId="58339D97"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Жители хутора Нестеркин, Ростовской области, составили акт о грабежах, насилиях и издевательствах немецко-фашистских мерзавцев над мирным населением: В акте говорится: «До прихода немцев мы жили зажиточно и счастливо. У нас было много хлеба, овощей, каждый колхозник был обеспечен. Гитлеровцы лишили нас всего. Они забрали весь урожай на колхозных полях. Всё, что мы посадили на приусадебных участках, также было объявлено собственностью германской армии. Нам было запрещено сорвать хотя бы один огурец со своего огорода. За четыре месяца бандиты отобрали у населения 300 свиней, 20 лошадей, 13 волов, свыше 1.000 голов птицы. Солдаты врывались в дома и забирали мясо, сало, масло, молоко, отнимали одежду, обувь и бельё. Гитлеровцы ввели для крестьян телесные наказания. Не сдал яички в срок — 15 плетей; колхозник зарезал свою курицу — 25 плетей; не зарегистрировал поросёнка — 25 плетей. Фашистские палачи убили председателя нашего колхоза Николая Голева. Перед отступлением немцы хотели отправить всех девушек на каторгу в Германию, но пришла Красная Армия и вызволила нас от фашистского рабства». Акт подписали: М.Воробьёва, А.Марченко, Ф.Антипов и другие колхозники хутора.» (15023).</w:t>
      </w:r>
    </w:p>
    <w:p w14:paraId="4F31A03E" w14:textId="77777777" w:rsidR="00D75F9F" w:rsidRPr="00D03F3E" w:rsidRDefault="00D75F9F" w:rsidP="00D03F3E">
      <w:pPr>
        <w:spacing w:after="0" w:line="240" w:lineRule="auto"/>
        <w:jc w:val="both"/>
        <w:rPr>
          <w:rFonts w:ascii="Times New Roman" w:hAnsi="Times New Roman"/>
          <w:color w:val="000000" w:themeColor="text1"/>
          <w:sz w:val="16"/>
          <w:szCs w:val="16"/>
        </w:rPr>
      </w:pPr>
    </w:p>
    <w:p w14:paraId="3DDD4410"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 xml:space="preserve">28 января </w:t>
      </w:r>
      <w:r w:rsidRPr="00D03F3E">
        <w:rPr>
          <w:rFonts w:ascii="Times New Roman" w:hAnsi="Times New Roman"/>
          <w:color w:val="000000" w:themeColor="text1"/>
          <w:sz w:val="16"/>
          <w:szCs w:val="16"/>
        </w:rPr>
        <w:t>в 1943 году вечернее сообщение Совинформбюро:</w:t>
      </w:r>
    </w:p>
    <w:p w14:paraId="6C88F5F9"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января ваши войска после решительной атаки овладели городом и крупным железнодорожным узлом Касторное.</w:t>
      </w:r>
    </w:p>
    <w:p w14:paraId="5D513B54"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Северо-Кавказского фронта овладели районным центром и железнодорожным узлом Курганная, районным центром и железнодорожной станцией Ново-Покровская, районным центром и железнодорожной станцией Гулькевичи, районными центрами —Калниболотская, Ильинская, крупными населёнными пунктами Петропавловская, Михайловская и железнодорожной станцией Отрадо-Кубанское.</w:t>
      </w:r>
    </w:p>
    <w:p w14:paraId="105DF8AF"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кораблями в Баренцовом море потоплен транспорт противника водоизмещением в 8.000 тонн.</w:t>
      </w:r>
    </w:p>
    <w:p w14:paraId="001A0C06"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января частями нашей авиации на различных участках фронта уничтожено или повреждено 5 немецких танков, до 200 автомашин с войсками и грузами, подавлен огонь 5 артиллерийских батарей, разбиты железнодорожный эшелон и 4 паровоза, рассеяно и частью уничтожено до батальона пехоты противника.</w:t>
      </w:r>
    </w:p>
    <w:p w14:paraId="024BE95F"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Донского фронта продолжали истреблять разрозненные группы гитлеровцев. На одном участке уничтожен батальон пехоты противника. Взято в плен 300 немецких солдат и офицеров. Севернее Сталинграда три пленных немца, отпущенные обратно всвою часть, вскоре вернулись и привели с собой ещё 70 солдат и офицеров, решивших сложить оружие. Наши подразделения захватили 97 пулемётов, более 100автомашин, 12 паровозов и другие трофеи.</w:t>
      </w:r>
    </w:p>
    <w:p w14:paraId="354494EA"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Южного фронта продолжала наступление, а частью сил отбивали контратаки танков и пехоты противника. На одном участке немцы превратили населённые пункты в мощные узлы обороны и пытаются задержать продвижение советских войск. Ломая сопротивление противника, наши части уничтожают многочисленные укрепления немцев и наносят им большие потери в живой силе.</w:t>
      </w:r>
    </w:p>
    <w:p w14:paraId="2311AE17"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вели бои на прежних направлениях. Н-ское артиллерийское подразделение, поддерживая действия пехотных частей, подавило огонь 2 артиллерийских батарей и уничтожило 6 танков противника. На другом участке наша часть заняла населённый пункт и захватила 2 орудия, бронемашину, 17 пулемётов, склад с горючим и другие трофеи. Взято в плен 46 немецких солдат и офицеров.</w:t>
      </w:r>
    </w:p>
    <w:p w14:paraId="78505AD1"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Воронежского фронта продолжали вести наступательные бои. Н-скаятанковая часть сломила сопротивление окружённой группы войск противника. Истреблено до 300 и взято в плен 730 вражеских солдат и офицеров. Продвигаясь вперёд, наши стрелковые части освободили от гитлеровцев несколько населённых пунктов и уничтожили до батальона немецкой пехоты. Захвачены 6 орудий, 7 бронетранспортёров, 2 шестиствольных миномёта, вещевой и продовольственный склады.</w:t>
      </w:r>
    </w:p>
    <w:p w14:paraId="3DB8FDCC"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Северо-Кавказского фронта успешно продвигались вперёд и овладели многими крупными населёнными пунктами. В течение дня бойцы Н-ской части уничтожили 200 солдат и офицеров противника, подбили и сожгли 9 танков, 17 автомашин. Огнём артиллерии и миномётов рассеян и частью уничтожен вражеский моторизованный батальон. Гвардейцы-кавалеристы проникли в тыл противника и стремительно атаковали отступавшую по шоссе немецкую пехоту. Истреблено свыше 300 гитлеровцев. Захвачены пленные и трофеи.</w:t>
      </w:r>
    </w:p>
    <w:p w14:paraId="7CED52B2"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имени Хрущёва, действующий в одном из районов Украины, внезапно напал на крупную железнодорожную станцию. Советские патриоты уничтожили охрану, подорвали паровоз и дрезину, находившиеся на станции. Партизанский отряд «За Родину» совершил налёт на другую железнодорожную станцию, разрушил станционное хозяйство и захватил много винтовок, патронов и гранат.</w:t>
      </w:r>
    </w:p>
    <w:p w14:paraId="378A83D4"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чудовищных зверствах немецко-фашистских мерзавцев в селе Вторая Бугаевка, Воронежской области: «Немцы издевались и глумились над жителями села. Они заставляли нас работать, не разгибая спины, на ремонте и расчистке дорог. В конце лета близ села был найден труп убитого немецкого офицера. Гитлеровские бандиты схватили первых попавшихся на глаза 20 мирныхжителей и заперли их в амбар. Арестованных долго мучили и пытали. Палачи расстреляли 16 человек, а остальных четырёх колхозников повесили в присутствии всего населения. При отступлении немцы сожгли 35 домов, здание сельсовета, две школы, избу-читальню, конный двор колхоза и другие постройки. Фашистские изверги бросали гранаты в погреба и щели, где ютились женщины с детьми». Акт подписали: колхозницы Гахова, Бугаева и другие.».</w:t>
      </w:r>
    </w:p>
    <w:p w14:paraId="57F03DF2"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36855644"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город Касторное.</w:t>
      </w:r>
    </w:p>
    <w:p w14:paraId="344B3104"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января наши войска после решительной атаки овладели городом и крупным железнодорожным узлом Касторное. Взяты трофеи и пленные.» (15023).</w:t>
      </w:r>
    </w:p>
    <w:p w14:paraId="43A436C7" w14:textId="77777777" w:rsidR="00D75F9F" w:rsidRPr="00D03F3E" w:rsidRDefault="00D75F9F" w:rsidP="00D03F3E">
      <w:pPr>
        <w:spacing w:after="0" w:line="240" w:lineRule="auto"/>
        <w:jc w:val="both"/>
        <w:rPr>
          <w:rFonts w:ascii="Times New Roman" w:hAnsi="Times New Roman"/>
          <w:color w:val="000000" w:themeColor="text1"/>
          <w:sz w:val="16"/>
          <w:szCs w:val="16"/>
        </w:rPr>
      </w:pPr>
    </w:p>
    <w:p w14:paraId="0DD63F59" w14:textId="77777777" w:rsidR="00D75F9F" w:rsidRPr="00D03F3E" w:rsidRDefault="00D75F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 xml:space="preserve">28 января </w:t>
      </w:r>
      <w:r w:rsidRPr="00D03F3E">
        <w:rPr>
          <w:rFonts w:ascii="Times New Roman" w:hAnsi="Times New Roman"/>
          <w:color w:val="000000" w:themeColor="text1"/>
          <w:sz w:val="16"/>
          <w:szCs w:val="16"/>
        </w:rPr>
        <w:t>в 1943 году капитану С.Г.Литаврину, «добывшему» первый трофейниый FW-190 (13 января 1943), присвоено звание Героя Советского Союза. Лётчик-истребитель, полковник. Участник Великой Отечественной войны с первого дня. Был командиром эскадрильи 158-го истребительного авиационного полка ПВО. С 1944 г. летал на самолёте "Липецкий комсомолец". Совершил 462 боевых вылета, в 90 воздушных боях сбил лично 19 и в группе 5 самолётов противника. После войны продолжал служить в авиации ПВО. Погиб в авиакатастрофе 04.02.1957 (15023).</w:t>
      </w:r>
    </w:p>
    <w:p w14:paraId="6F48DEA5" w14:textId="77777777" w:rsidR="00D75F9F" w:rsidRPr="00D03F3E" w:rsidRDefault="00D75F9F" w:rsidP="00D03F3E">
      <w:pPr>
        <w:spacing w:after="0" w:line="240" w:lineRule="auto"/>
        <w:jc w:val="both"/>
        <w:rPr>
          <w:rFonts w:ascii="Times New Roman" w:hAnsi="Times New Roman"/>
          <w:color w:val="000000" w:themeColor="text1"/>
          <w:sz w:val="16"/>
          <w:szCs w:val="16"/>
        </w:rPr>
      </w:pPr>
    </w:p>
    <w:p w14:paraId="59924B5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января 1943 в Макеевке под Сталинградом сели два Ме-321 Гигант буксируемых Не-111Z. Остальные 9 перелетели в Крым, где использовались для эвакуации с Кубани, перевозя по 100 раненых на носилках + 30 в сдвоенном Хейнкеле (4270,24).</w:t>
      </w:r>
    </w:p>
    <w:p w14:paraId="5C60212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E43D30"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lastRenderedPageBreak/>
        <w:t xml:space="preserve">28 января </w:t>
      </w:r>
      <w:r w:rsidRPr="00D03F3E">
        <w:rPr>
          <w:rFonts w:ascii="Times New Roman" w:hAnsi="Times New Roman"/>
          <w:color w:val="000000" w:themeColor="text1"/>
          <w:sz w:val="16"/>
          <w:szCs w:val="16"/>
        </w:rPr>
        <w:t xml:space="preserve">в 1943 году из СССР в Англию прилетела вторая группа пилотов обучаемых на английские "Албемарлы" </w:t>
      </w:r>
      <w:hyperlink r:id="rId22" w:tgtFrame="_blank" w:history="1">
        <w:r w:rsidRPr="00D03F3E">
          <w:rPr>
            <w:rFonts w:ascii="Times New Roman" w:hAnsi="Times New Roman"/>
            <w:color w:val="000000" w:themeColor="text1"/>
            <w:sz w:val="16"/>
            <w:szCs w:val="16"/>
          </w:rPr>
          <w:t xml:space="preserve">«Armstrong Whitworth» «AW.41» «Albemarle». </w:t>
        </w:r>
      </w:hyperlink>
      <w:r w:rsidRPr="00D03F3E">
        <w:rPr>
          <w:rFonts w:ascii="Times New Roman" w:hAnsi="Times New Roman"/>
          <w:color w:val="000000" w:themeColor="text1"/>
          <w:sz w:val="16"/>
          <w:szCs w:val="16"/>
        </w:rPr>
        <w:t xml:space="preserve">С февраля на другой базе, в Престуике, начали учиться советские радисты. Напомню, что в 1942-м, когда советские ВВС страдали от недостатка техники, советский посол в Лондоне И.М.Майский согласился на поставку в СССР 200 таких самолетов. По этому поводу в октябре 1942-го было заключено отдельное соглашение между британским и советским правительством. Самолеты собирались перегонять по рискованному маршруту через Северное море, Данию, Норвегию, Швецию и Балтийское море, через зону действий истребителей противника. Предстоял долгий путь на большой высоте, чтобы избежать перехвата. Для этой цели "Албемарлы" в Англии специально дорабатывались. В основном это касалось мотоустановки и маслорадиаторов, нужно было обеспечить длительный подъем перегруженного горючим самолета на высоту. Эти работы выполнила 27-я часть технического обслуживания в Шоубюри. Возможность продолжительного набора высоты с полными баками экспериментально проверили английские испытатели. Для борьбы с обледенением собирались использовать специальную пасту, напоминающую вазелин. Ею смазывали плоскости, но она себя не оправдала. Программа переподготовки наших пилотов в Шотландии была довольно краткой. По два полета с инструктором днем, еще два ночью плюс четыре самостоятельных и все. "Языковый барьер" обходили как умели, выучив несколько десятков основных терминов и стандартные фразы для общения с инструкторами и руководителями полетов на контрольной вышке. 3 марта 1943 г. из Эррола вылетел первый экипаж: пилот капитан А.С.Шорников, штурман лейтенант П.Н.Якимов, радист лейтенант А.А.Вердеревский и бортинженер механик Г.И.Галактионов. Они вели "Албемарл" T.I с бортовым номером Р1567. Погода была плохой, самолет обледеневал, английская паста на передней кромке крыла перемешалось со льдом. Над советской территорией </w:t>
      </w:r>
      <w:hyperlink r:id="rId23" w:tgtFrame="_blank" w:history="1">
        <w:r w:rsidRPr="00D03F3E">
          <w:rPr>
            <w:rFonts w:ascii="Times New Roman" w:hAnsi="Times New Roman"/>
            <w:color w:val="000000" w:themeColor="text1"/>
            <w:sz w:val="16"/>
            <w:szCs w:val="16"/>
          </w:rPr>
          <w:t xml:space="preserve">"Албемарл" </w:t>
        </w:r>
      </w:hyperlink>
      <w:r w:rsidRPr="00D03F3E">
        <w:rPr>
          <w:rFonts w:ascii="Times New Roman" w:hAnsi="Times New Roman"/>
          <w:color w:val="000000" w:themeColor="text1"/>
          <w:sz w:val="16"/>
          <w:szCs w:val="16"/>
        </w:rPr>
        <w:t>пошел по приводным радиомаякам. После девяти часов полета, утром следующего дня, самолет сел на Внуковском аэродроме. За этой первой машиной в течение марта-апреля последовали еще 12 "Албемарлов" (четыре ST.I, семь ST.II и два GT.I). Самолеты везли груз: инструмент, запчасти, специальное оборудование (15023).</w:t>
      </w:r>
    </w:p>
    <w:p w14:paraId="450C55D8" w14:textId="77777777" w:rsidR="0058150B" w:rsidRPr="00D03F3E" w:rsidRDefault="0058150B" w:rsidP="00D03F3E">
      <w:pPr>
        <w:spacing w:after="0" w:line="240" w:lineRule="auto"/>
        <w:jc w:val="both"/>
        <w:rPr>
          <w:rFonts w:ascii="Times New Roman" w:hAnsi="Times New Roman"/>
          <w:color w:val="000000" w:themeColor="text1"/>
          <w:sz w:val="16"/>
          <w:szCs w:val="16"/>
        </w:rPr>
      </w:pPr>
    </w:p>
    <w:p w14:paraId="05461F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января 1943 вышло Постановление ГКО № 2791 О сформировании десяти танковых армий.РГАНИР, Фонд ГКО, д. 84, лл. 63-67, 68-84 (11012).</w:t>
      </w:r>
    </w:p>
    <w:p w14:paraId="6E37328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997DB7" w14:textId="77777777" w:rsidR="003B66C2" w:rsidRPr="00D03F3E" w:rsidRDefault="003B66C2"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5978C340" w14:textId="77777777" w:rsidR="003B66C2" w:rsidRPr="00D03F3E" w:rsidRDefault="003B66C2"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E74C10" w14:textId="77777777" w:rsidR="003B66C2" w:rsidRPr="00D03F3E" w:rsidRDefault="003B66C2" w:rsidP="00D03F3E">
      <w:pPr>
        <w:pStyle w:val="rteright"/>
        <w:spacing w:before="0" w:beforeAutospacing="0" w:after="0" w:afterAutospacing="0"/>
        <w:jc w:val="both"/>
        <w:rPr>
          <w:color w:val="000000" w:themeColor="text1"/>
          <w:sz w:val="16"/>
          <w:szCs w:val="16"/>
        </w:rPr>
      </w:pPr>
      <w:r w:rsidRPr="00D03F3E">
        <w:rPr>
          <w:color w:val="000000" w:themeColor="text1"/>
          <w:sz w:val="16"/>
          <w:szCs w:val="16"/>
        </w:rPr>
        <w:t>28 января 1943 г</w:t>
      </w:r>
      <w:r w:rsidRPr="00D03F3E">
        <w:rPr>
          <w:rStyle w:val="a7"/>
          <w:b w:val="0"/>
          <w:color w:val="000000" w:themeColor="text1"/>
          <w:sz w:val="16"/>
          <w:szCs w:val="16"/>
        </w:rPr>
        <w:t>.</w:t>
      </w:r>
    </w:p>
    <w:p w14:paraId="2C5DC52D" w14:textId="77777777" w:rsidR="003B66C2" w:rsidRPr="00D03F3E" w:rsidRDefault="003B66C2" w:rsidP="00D03F3E">
      <w:pPr>
        <w:pStyle w:val="rtecenter"/>
        <w:spacing w:before="0" w:beforeAutospacing="0" w:after="0" w:afterAutospacing="0"/>
        <w:jc w:val="both"/>
        <w:rPr>
          <w:color w:val="000000" w:themeColor="text1"/>
          <w:sz w:val="16"/>
          <w:szCs w:val="16"/>
        </w:rPr>
      </w:pPr>
      <w:r w:rsidRPr="00D03F3E">
        <w:rPr>
          <w:rStyle w:val="a7"/>
          <w:b w:val="0"/>
          <w:color w:val="000000" w:themeColor="text1"/>
          <w:sz w:val="16"/>
          <w:szCs w:val="16"/>
        </w:rPr>
        <w:t>Стенограмма выступления А.Н. Зверева на совещании по вопросам денежного обращения</w:t>
      </w:r>
      <w:r w:rsidRPr="00D03F3E">
        <w:rPr>
          <w:color w:val="000000" w:themeColor="text1"/>
          <w:sz w:val="16"/>
          <w:szCs w:val="16"/>
        </w:rPr>
        <w:t> [</w:t>
      </w:r>
      <w:hyperlink r:id="rId24" w:anchor="_ftnref2" w:history="1">
        <w:r w:rsidRPr="00D03F3E">
          <w:rPr>
            <w:rStyle w:val="a5"/>
            <w:rFonts w:eastAsiaTheme="majorEastAsia"/>
            <w:color w:val="000000" w:themeColor="text1"/>
            <w:sz w:val="16"/>
            <w:szCs w:val="16"/>
            <w:vertAlign w:val="superscript"/>
          </w:rPr>
          <w:t>1</w:t>
        </w:r>
      </w:hyperlink>
      <w:r w:rsidRPr="00D03F3E">
        <w:rPr>
          <w:color w:val="000000" w:themeColor="text1"/>
          <w:sz w:val="16"/>
          <w:szCs w:val="16"/>
        </w:rPr>
        <w:t>]</w:t>
      </w:r>
    </w:p>
    <w:p w14:paraId="24620E24"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Группа денежного обращения создана по решению правительственному [</w:t>
      </w:r>
      <w:hyperlink r:id="rId25" w:anchor="_ftnref4" w:history="1">
        <w:r w:rsidRPr="00D03F3E">
          <w:rPr>
            <w:rStyle w:val="a5"/>
            <w:rFonts w:eastAsiaTheme="majorEastAsia"/>
            <w:color w:val="000000" w:themeColor="text1"/>
            <w:sz w:val="16"/>
            <w:szCs w:val="16"/>
            <w:vertAlign w:val="superscript"/>
          </w:rPr>
          <w:t>2</w:t>
        </w:r>
      </w:hyperlink>
      <w:r w:rsidRPr="00D03F3E">
        <w:rPr>
          <w:color w:val="000000" w:themeColor="text1"/>
          <w:sz w:val="16"/>
          <w:szCs w:val="16"/>
        </w:rPr>
        <w:t>], так что название ее, может быть, и будет соответствовать всему содержанию ее работы, а это значит, следить за денежным обращением, изучать денежное обращение и давать некоторые предложения по улучшению денежного обращения. Кроме того, на эту группу возлагаются и другие обязанности, следующие. Эта группа, главным образом, должна не решать вопросы, а подготовлять предложения для решения вопросов послевоенного времени, т. е. эта группа, по сути дела, не будет являться оперативным органом с точки зрения жизни и действительности сегодняшнего дня. Задача основная группы — это подготовка предложений для Правительства по деньгам, затрагивая также целый ряд других финансовых институтов в послевоенное время. Нужно сказать, что у нас денежное обращение, цены, заработная плата, коммунальные услуги, налоги, займы и до войны, нельзя считать, [что] находились в нормальном состоянии и соответствовали теории Советского государства, особенно цены и заработная плата. И тогда не были реально поставлены все эти вопросы, денежное обращение также имело целый ряд соответствующих дефектов.</w:t>
      </w:r>
    </w:p>
    <w:p w14:paraId="60C536CB"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Война внесла много нового, и нужно сказать, что появился целый ряд новых финансовых мероприятий и по отношению к хозяйству, и по отношению к населению. Все эти меры были проведены в связи с общей теорией нашего хозяйства и в связи, главным образом, с требованиями расходов военных и сжатием сферы обычных доходных источников [</w:t>
      </w:r>
      <w:bookmarkStart w:id="0" w:name="_ftnref5"/>
      <w:r w:rsidR="00E319F0" w:rsidRPr="00D03F3E">
        <w:rPr>
          <w:color w:val="000000" w:themeColor="text1"/>
          <w:sz w:val="16"/>
          <w:szCs w:val="16"/>
          <w:vertAlign w:val="superscript"/>
        </w:rPr>
        <w:fldChar w:fldCharType="begin"/>
      </w:r>
      <w:r w:rsidRPr="00D03F3E">
        <w:rPr>
          <w:color w:val="000000" w:themeColor="text1"/>
          <w:sz w:val="16"/>
          <w:szCs w:val="16"/>
          <w:vertAlign w:val="superscript"/>
        </w:rPr>
        <w:instrText xml:space="preserve"> HYPERLINK "http://istmat.info/node/62256" \l "_ftnref6" </w:instrText>
      </w:r>
      <w:r w:rsidR="00E319F0" w:rsidRPr="00D03F3E">
        <w:rPr>
          <w:color w:val="000000" w:themeColor="text1"/>
          <w:sz w:val="16"/>
          <w:szCs w:val="16"/>
          <w:vertAlign w:val="superscript"/>
        </w:rPr>
        <w:fldChar w:fldCharType="separate"/>
      </w:r>
      <w:r w:rsidRPr="00D03F3E">
        <w:rPr>
          <w:rStyle w:val="a5"/>
          <w:rFonts w:eastAsiaTheme="majorEastAsia"/>
          <w:color w:val="000000" w:themeColor="text1"/>
          <w:sz w:val="16"/>
          <w:szCs w:val="16"/>
          <w:vertAlign w:val="superscript"/>
        </w:rPr>
        <w:t>3</w:t>
      </w:r>
      <w:r w:rsidR="00E319F0" w:rsidRPr="00D03F3E">
        <w:rPr>
          <w:color w:val="000000" w:themeColor="text1"/>
          <w:sz w:val="16"/>
          <w:szCs w:val="16"/>
          <w:vertAlign w:val="superscript"/>
        </w:rPr>
        <w:fldChar w:fldCharType="end"/>
      </w:r>
      <w:bookmarkEnd w:id="0"/>
      <w:r w:rsidRPr="00D03F3E">
        <w:rPr>
          <w:color w:val="000000" w:themeColor="text1"/>
          <w:sz w:val="16"/>
          <w:szCs w:val="16"/>
        </w:rPr>
        <w:t>]. Поэтому этой группе нужно будет через работу в области улучшения денежного обращения, приведения в порядок денежного обращения, решить и подправить некоторые недочеты в финансовой работе, которые были еще до начала войны, тем более [что] целый ряд моментов, которые есть, может считаться нормальным только в условиях военной обстановки.</w:t>
      </w:r>
    </w:p>
    <w:p w14:paraId="08D40109"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Какие вопросы должна будет затрагивать эту группа? Ясно, что основное — это приведение в порядок денежного обращения. Затем в какой-то степени должны быть подготовлены вопросы заработной платы, цен, вопросы государственного кредита, платежей населения, коммунальных услуг, отношения деревни, причем каждый из этих вопросов отдельно содержит в себе много элементов работы, которая должна быть охвачена группой. С другой стороны, все эти вопросы содержат в себе необходимость внесения целого ряда поправок. Взять заработную плату. Когда получают полторы-две тысячи, триста рублей, 180 руб. — все это как будто вскрывается, но если пойти по пути такому, чтобы уменьшить количество денег в обращении механически, отрезать несколько нулей, вы сразу увидите весь абсурд нашей заработной платы. У вас получится, что машинистка будет получать 10 руб., счетовод 12 руб., уборщица 30 руб. и т. д. Вопрос чрезвычайно серьезный. Здесь не только нужно сокращать количество денег в обращении, но нужно кардинально пересмотреть вопросы оплаты труда.</w:t>
      </w:r>
    </w:p>
    <w:p w14:paraId="48387057"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Напрасно думаете, что под каждый вопрос этой группе нужно подводить теорию. У нас все это сформулировано — качество и количество труда, сдельная оплата труда, повременная оплата труда и т. д. Но практика проведения и установления заработной платы может привести в отдельных случаях даже к срыву основного принципа оплаты труда. Поднять весь вопрос группа не сможет, но нащупать, как улучшить вопрос с заработной платой, она должна.</w:t>
      </w:r>
    </w:p>
    <w:p w14:paraId="383A8AAE"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Вопросы налоговые. У нас налоги за время войны подросли. Ясно, что и здесь также нужно иметь в перспективе очень большую реформу. Во-первых, они не могут оставаться количественно такими, какие они есть, во-вторых, они не могут составлять такие же, как сейчас, суммы. Поэтому многие налоги количественно должны быть меньше, чтобы не тратить огромное количество средств на собирание этих налогов и не занимать этим много людей. Тут проблема также чрезвычайно большая.</w:t>
      </w:r>
    </w:p>
    <w:p w14:paraId="38E6FD38"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Коммунальные услуги, цены. Здесь не только нужно будет сверить цены, но и проверить и выявить соотношение цен, которое также сложилось своеобразно. Я имею в виду государственные цены. Так сложились цены, что можно у нас за три метра мануфактуры порядочную пушку купить, потому что у нас все время снижаются цены.</w:t>
      </w:r>
    </w:p>
    <w:p w14:paraId="108D162D"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Тут требуется очень большая работа с тем, чтобы навести соответствующий порядок в ценах. До войны у нас также за крынку молока можно было купить штуки три косы. Когда-то все это имело значение, но значение это прошло, а такое несоответствие соотношения осталось. Поэтому, решая вопрос о ценах, надо решить и вопрос о налоге с оборота.</w:t>
      </w:r>
    </w:p>
    <w:p w14:paraId="0F98851B"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У нас привыкли наши ученые формулировать так, что налог с оборота является одной из форм изъятия социалистических накоплений. Если посмотреть, как сложились цены и как сложился налог с оборота, тут не найдешь, где социалистические накопления, где акциз [</w:t>
      </w:r>
      <w:bookmarkStart w:id="1" w:name="_ftnref5.8"/>
      <w:r w:rsidR="00E319F0" w:rsidRPr="00D03F3E">
        <w:rPr>
          <w:color w:val="000000" w:themeColor="text1"/>
          <w:sz w:val="16"/>
          <w:szCs w:val="16"/>
          <w:vertAlign w:val="superscript"/>
        </w:rPr>
        <w:fldChar w:fldCharType="begin"/>
      </w:r>
      <w:r w:rsidRPr="00D03F3E">
        <w:rPr>
          <w:color w:val="000000" w:themeColor="text1"/>
          <w:sz w:val="16"/>
          <w:szCs w:val="16"/>
          <w:vertAlign w:val="superscript"/>
        </w:rPr>
        <w:instrText xml:space="preserve"> HYPERLINK "http://istmat.info/node/62256" \l "_ftnref5.9" </w:instrText>
      </w:r>
      <w:r w:rsidR="00E319F0" w:rsidRPr="00D03F3E">
        <w:rPr>
          <w:color w:val="000000" w:themeColor="text1"/>
          <w:sz w:val="16"/>
          <w:szCs w:val="16"/>
          <w:vertAlign w:val="superscript"/>
        </w:rPr>
        <w:fldChar w:fldCharType="separate"/>
      </w:r>
      <w:r w:rsidRPr="00D03F3E">
        <w:rPr>
          <w:rStyle w:val="a5"/>
          <w:rFonts w:eastAsiaTheme="majorEastAsia"/>
          <w:color w:val="000000" w:themeColor="text1"/>
          <w:sz w:val="16"/>
          <w:szCs w:val="16"/>
          <w:vertAlign w:val="superscript"/>
        </w:rPr>
        <w:t>*</w:t>
      </w:r>
      <w:r w:rsidR="00E319F0" w:rsidRPr="00D03F3E">
        <w:rPr>
          <w:color w:val="000000" w:themeColor="text1"/>
          <w:sz w:val="16"/>
          <w:szCs w:val="16"/>
          <w:vertAlign w:val="superscript"/>
        </w:rPr>
        <w:fldChar w:fldCharType="end"/>
      </w:r>
      <w:bookmarkEnd w:id="1"/>
      <w:r w:rsidRPr="00D03F3E">
        <w:rPr>
          <w:color w:val="000000" w:themeColor="text1"/>
          <w:sz w:val="16"/>
          <w:szCs w:val="16"/>
        </w:rPr>
        <w:t>].</w:t>
      </w:r>
      <w:r w:rsidRPr="00D03F3E">
        <w:rPr>
          <w:color w:val="000000" w:themeColor="text1"/>
          <w:sz w:val="16"/>
          <w:szCs w:val="16"/>
          <w:vertAlign w:val="superscript"/>
        </w:rPr>
        <w:t> </w:t>
      </w:r>
      <w:r w:rsidRPr="00D03F3E">
        <w:rPr>
          <w:color w:val="000000" w:themeColor="text1"/>
          <w:sz w:val="16"/>
          <w:szCs w:val="16"/>
        </w:rPr>
        <w:t>Если литр водки сейчас стоит 60 руб., то наложили такую цену потому, что нужны деньги.</w:t>
      </w:r>
    </w:p>
    <w:p w14:paraId="69371E98"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Поэтому цены должны быть основаны на экономике производства, фактических результатах производства и этим самым нужно предвидеть все особенности, которые имеются, особые условия обстановки, а не потому, что так диктуют условия производства. Значит, цены должны быть установлены соответствующие. Мы должны работать в смысле денежного обращения, главным образом, в том отношении, чтобы сократить денежное обращение, сократить заработную плату, а отсюда соответственно и цены. Но тут нужно затронуть и целый ряд финансовых вопросов. Например, работая над ценами, нельзя обойти налог с оборота, который имеет значение, как элемент цен, и сам налог с оборота должен быть связан с условиями производства, с затратами на производство и труд.</w:t>
      </w:r>
    </w:p>
    <w:p w14:paraId="029D997F"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Серьезный вопрос — это отношение с колхозами, с колхозниками. Мы имеем тут большие натуральные отношения в смысле поставок, закупок, затем налоговые вопросы. Значит, также нужно определить все это дело и с точки зрения экономики сельского хозяйства, и с точки зрения промышленности, может быть, нужно ввести определенное финансовое регулирование денежного обращения в деревне [</w:t>
      </w:r>
      <w:bookmarkStart w:id="2" w:name="_ftnref7"/>
      <w:r w:rsidR="00E319F0" w:rsidRPr="00D03F3E">
        <w:rPr>
          <w:color w:val="000000" w:themeColor="text1"/>
          <w:sz w:val="16"/>
          <w:szCs w:val="16"/>
          <w:vertAlign w:val="superscript"/>
        </w:rPr>
        <w:fldChar w:fldCharType="begin"/>
      </w:r>
      <w:r w:rsidRPr="00D03F3E">
        <w:rPr>
          <w:color w:val="000000" w:themeColor="text1"/>
          <w:sz w:val="16"/>
          <w:szCs w:val="16"/>
          <w:vertAlign w:val="superscript"/>
        </w:rPr>
        <w:instrText xml:space="preserve"> HYPERLINK "http://istmat.info/node/62256" \l "_ftnref8" </w:instrText>
      </w:r>
      <w:r w:rsidR="00E319F0" w:rsidRPr="00D03F3E">
        <w:rPr>
          <w:color w:val="000000" w:themeColor="text1"/>
          <w:sz w:val="16"/>
          <w:szCs w:val="16"/>
          <w:vertAlign w:val="superscript"/>
        </w:rPr>
        <w:fldChar w:fldCharType="separate"/>
      </w:r>
      <w:r w:rsidRPr="00D03F3E">
        <w:rPr>
          <w:rStyle w:val="a5"/>
          <w:rFonts w:eastAsiaTheme="majorEastAsia"/>
          <w:color w:val="000000" w:themeColor="text1"/>
          <w:sz w:val="16"/>
          <w:szCs w:val="16"/>
          <w:vertAlign w:val="superscript"/>
        </w:rPr>
        <w:t>4</w:t>
      </w:r>
      <w:r w:rsidR="00E319F0" w:rsidRPr="00D03F3E">
        <w:rPr>
          <w:color w:val="000000" w:themeColor="text1"/>
          <w:sz w:val="16"/>
          <w:szCs w:val="16"/>
          <w:vertAlign w:val="superscript"/>
        </w:rPr>
        <w:fldChar w:fldCharType="end"/>
      </w:r>
      <w:bookmarkEnd w:id="2"/>
      <w:r w:rsidRPr="00D03F3E">
        <w:rPr>
          <w:color w:val="000000" w:themeColor="text1"/>
          <w:sz w:val="16"/>
          <w:szCs w:val="16"/>
        </w:rPr>
        <w:t>].</w:t>
      </w:r>
    </w:p>
    <w:p w14:paraId="73163C4E"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По коммунальным платежам. Если взять уровень современной зарплаты и коммунальных платежей, они чрезвычайно низки — квартирная плата и др. В частности, если бы не было войны, по квартирной плате порядок был бы наведен. Все жилищное хозяйство получает такие доходы, которые не оправдывают расходы, и это не обеспечивает роста жилищного фонда. Наше жилищное хозяйство не сводит концы с концами и в результате не обеспечивает простого воспроизводства. Эти вопросы должны быть неотъемлемой частью работы группы.</w:t>
      </w:r>
    </w:p>
    <w:p w14:paraId="37146BC2"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Тут говорили, что нужно изучить, в каком положении у нас находится сейчас денежное обращение. Это правильно, и с этого нужно начинать. Это должно быть отправной точкой.</w:t>
      </w:r>
    </w:p>
    <w:p w14:paraId="2576BFC7"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Людей для работы в этой группе нужно подобрать квалифицированных, с соответствующим теоретическим уровнем. Конечно, теория есть, нам ее писать не нужно, но нужны соответствующие поправки в понимании самой теории. Может быть, наши ученые или боятся, или не хотят что-либо написать. Здесь говорили о законах стоимости, никто еще ничего по этому вопросу не сказал определенного. Поскольку мы будем привлекать людей квалифицированных, могут быть ошибки, недочеты, один проект, другой проект, но смелость теоретической мысли в проектах должна быть [</w:t>
      </w:r>
      <w:bookmarkStart w:id="3" w:name="_ftnref9"/>
      <w:r w:rsidR="00E319F0" w:rsidRPr="00D03F3E">
        <w:rPr>
          <w:color w:val="000000" w:themeColor="text1"/>
          <w:sz w:val="16"/>
          <w:szCs w:val="16"/>
          <w:vertAlign w:val="superscript"/>
        </w:rPr>
        <w:fldChar w:fldCharType="begin"/>
      </w:r>
      <w:r w:rsidRPr="00D03F3E">
        <w:rPr>
          <w:color w:val="000000" w:themeColor="text1"/>
          <w:sz w:val="16"/>
          <w:szCs w:val="16"/>
          <w:vertAlign w:val="superscript"/>
        </w:rPr>
        <w:instrText xml:space="preserve"> HYPERLINK "http://istmat.info/node/62256" \l "_ftnref10" </w:instrText>
      </w:r>
      <w:r w:rsidR="00E319F0" w:rsidRPr="00D03F3E">
        <w:rPr>
          <w:color w:val="000000" w:themeColor="text1"/>
          <w:sz w:val="16"/>
          <w:szCs w:val="16"/>
          <w:vertAlign w:val="superscript"/>
        </w:rPr>
        <w:fldChar w:fldCharType="separate"/>
      </w:r>
      <w:r w:rsidRPr="00D03F3E">
        <w:rPr>
          <w:rStyle w:val="a5"/>
          <w:rFonts w:eastAsiaTheme="majorEastAsia"/>
          <w:color w:val="000000" w:themeColor="text1"/>
          <w:sz w:val="16"/>
          <w:szCs w:val="16"/>
          <w:vertAlign w:val="superscript"/>
        </w:rPr>
        <w:t>5</w:t>
      </w:r>
      <w:r w:rsidR="00E319F0" w:rsidRPr="00D03F3E">
        <w:rPr>
          <w:color w:val="000000" w:themeColor="text1"/>
          <w:sz w:val="16"/>
          <w:szCs w:val="16"/>
          <w:vertAlign w:val="superscript"/>
        </w:rPr>
        <w:fldChar w:fldCharType="end"/>
      </w:r>
      <w:bookmarkEnd w:id="3"/>
      <w:r w:rsidRPr="00D03F3E">
        <w:rPr>
          <w:color w:val="000000" w:themeColor="text1"/>
          <w:sz w:val="16"/>
          <w:szCs w:val="16"/>
        </w:rPr>
        <w:t>]. Будучи теоретически подготовленными, легко правильно ставить вопросы в современных условиях. В связи с выполнением такой задачи нужно быть решительнее и посмелее, а в области экономической и финансовой мало дается соответствующего теоретического материала — и финансового, и литературного.</w:t>
      </w:r>
    </w:p>
    <w:p w14:paraId="57A80803"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Не случайно, что в практической нашей работе проводятся очень серьезные вопросы. У нас в каждом квартале по бюджету, в условиях войны, решаются колоссальные проблемы. Обычно в мирное время их года полтора обсуждали бы, сейчас это проводится очень быстро. В связи с этим может проскочить немало таких вещей, которые можно было бы по-иному разрешить при всестороннем изучении. Следовательно, в этой группе нужно будет посмелее ставить вопросы и делать посмелее соответствующие выводы.</w:t>
      </w:r>
    </w:p>
    <w:p w14:paraId="6448494F"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Как должна эта группа работать. Она не должна быть оперативным органом, занимающимся текущими вопросами, она должна заниматься подготовкой вопросов, которые нужно будет решать после войны. Это не группа, довлеющая над всеми управлениями и отделами Наркомфина. Это группа, которая работает самостоятельно, она никем не командует, но по целому ряду вопросов работает по соответствующей программе.</w:t>
      </w:r>
    </w:p>
    <w:p w14:paraId="44313CF5"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lastRenderedPageBreak/>
        <w:t>Организационные формы: распоряжения и т. д. — это будег идти не через группу, в частности, я буду заниматься этим вопросом. Отделы и управления будут выполнять отдельные детали работы.</w:t>
      </w:r>
    </w:p>
    <w:p w14:paraId="2FFC5401"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Банк пусть также работает, если у него есть материал, если будут предложения, можно их обсудить, но междуведомственные комиссии создавать нельзя. В перспективе видно то, что эта группа подготовляет материал для Правительства и поэтому необходимо позаботиться о том материале, который необходим для этой группы.</w:t>
      </w:r>
    </w:p>
    <w:p w14:paraId="7E2F6B66"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Затем некоторые вопросы, которые имеют неразрывную связь с нашими отделами. Работая над денежным обращением, нельзя обойтись без Валютного управления. Обстановка сложилась так, что расчетный курс стал абсурдным курсом, что деньги наши не котируются, тут Валютное управление должно сказать свое слово, и если мы не делаем связи наших денег с золотом, однако, нам не безразлично, какова себестоимость добываемого золота, как держится наш рубль, все должно быть в какой-то гармонии. Во всяком случае, если даются предложения по усовершенствованию денежного обращения, тут должна быть стройность в этой связи — и стоимость добываемого золота, и чтобы расчетный курс был более правдоподобным.</w:t>
      </w:r>
    </w:p>
    <w:p w14:paraId="7C381B5E"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Форма работы этой группы с точки зрения конспирации. Эта группа должна работать в совершенно секретном порядке. Не может быть такого положения, чтобы весь материал этой группы был достоянием коллектива сотрудников до тех пор, пока он не будет апробирован. Весь этот материал никуда не выходит. Отделы также не должны знать, для какой цели создана эта группа. Они должны только знать, что группа существует, и они должны для нее выполнять некоторую работу.</w:t>
      </w:r>
    </w:p>
    <w:p w14:paraId="0F7ED3F8"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После данного совещания тов. Дьяченко нужно будет разработать программу работы этой группы. Нужно будет все задачи сформулировать конкретнее, надо разработать план работы группы и конкретизировать ее задачи и обязанности. Практически такой-то сотрудник составляет баланс денежного обращения, такие-то сотрудники собирают, разрабатывают такие-то материалы и на основе всего этого материала будут напрашиваться соответствующие предложения. Такой план тов. Дьяченко должен составить в 2-3 дня.</w:t>
      </w:r>
    </w:p>
    <w:p w14:paraId="0F969D73"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В группе официально будет работать 8 человек. Пока имеется 1 товарищ Дьяченко, сотрудники будут привлечены к работе в порядке выполнения отдельных поручений.</w:t>
      </w:r>
    </w:p>
    <w:p w14:paraId="2022FBC7"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Тов. Бодрову поручить укомплектовать эту группу побыстрее. Нужно будет взять нескольких товарищей из состава Наркомфина. Нам нужно включить местный аппарат через Отдел экономической статистики, для того, чтобы заставить собирать материал, и когда будет план работы, тогда созовем совещание с точки зрения обсуждения того, что должна дать теория для облегчения практической работы.</w:t>
      </w:r>
    </w:p>
    <w:p w14:paraId="7921C134" w14:textId="77777777" w:rsidR="003B66C2" w:rsidRPr="00D03F3E" w:rsidRDefault="003B66C2" w:rsidP="00D03F3E">
      <w:pPr>
        <w:pStyle w:val="rtejustify"/>
        <w:spacing w:before="0" w:beforeAutospacing="0" w:after="0" w:afterAutospacing="0"/>
        <w:jc w:val="both"/>
        <w:rPr>
          <w:i/>
          <w:color w:val="000000" w:themeColor="text1"/>
          <w:sz w:val="16"/>
          <w:szCs w:val="16"/>
        </w:rPr>
      </w:pPr>
      <w:r w:rsidRPr="00D03F3E">
        <w:rPr>
          <w:i/>
          <w:color w:val="000000" w:themeColor="text1"/>
          <w:sz w:val="16"/>
          <w:szCs w:val="16"/>
        </w:rPr>
        <w:t>[</w:t>
      </w:r>
      <w:bookmarkStart w:id="4" w:name="_ftnref5.9"/>
      <w:r w:rsidR="00E319F0" w:rsidRPr="00D03F3E">
        <w:rPr>
          <w:i/>
          <w:color w:val="000000" w:themeColor="text1"/>
          <w:sz w:val="16"/>
          <w:szCs w:val="16"/>
          <w:vertAlign w:val="superscript"/>
        </w:rPr>
        <w:fldChar w:fldCharType="begin"/>
      </w:r>
      <w:r w:rsidRPr="00D03F3E">
        <w:rPr>
          <w:i/>
          <w:color w:val="000000" w:themeColor="text1"/>
          <w:sz w:val="16"/>
          <w:szCs w:val="16"/>
          <w:vertAlign w:val="superscript"/>
        </w:rPr>
        <w:instrText xml:space="preserve"> HYPERLINK "http://istmat.info/node/62256" \l "_ftnref5.8" </w:instrText>
      </w:r>
      <w:r w:rsidR="00E319F0" w:rsidRPr="00D03F3E">
        <w:rPr>
          <w:i/>
          <w:color w:val="000000" w:themeColor="text1"/>
          <w:sz w:val="16"/>
          <w:szCs w:val="16"/>
          <w:vertAlign w:val="superscript"/>
        </w:rPr>
        <w:fldChar w:fldCharType="separate"/>
      </w:r>
      <w:r w:rsidRPr="00D03F3E">
        <w:rPr>
          <w:rStyle w:val="a5"/>
          <w:rFonts w:eastAsiaTheme="majorEastAsia"/>
          <w:i/>
          <w:color w:val="000000" w:themeColor="text1"/>
          <w:sz w:val="16"/>
          <w:szCs w:val="16"/>
          <w:vertAlign w:val="superscript"/>
        </w:rPr>
        <w:t>*</w:t>
      </w:r>
      <w:r w:rsidR="00E319F0" w:rsidRPr="00D03F3E">
        <w:rPr>
          <w:i/>
          <w:color w:val="000000" w:themeColor="text1"/>
          <w:sz w:val="16"/>
          <w:szCs w:val="16"/>
          <w:vertAlign w:val="superscript"/>
        </w:rPr>
        <w:fldChar w:fldCharType="end"/>
      </w:r>
      <w:bookmarkEnd w:id="4"/>
      <w:r w:rsidRPr="00D03F3E">
        <w:rPr>
          <w:i/>
          <w:color w:val="000000" w:themeColor="text1"/>
          <w:sz w:val="16"/>
          <w:szCs w:val="16"/>
        </w:rPr>
        <w:t>] </w:t>
      </w:r>
      <w:r w:rsidRPr="00D03F3E">
        <w:rPr>
          <w:rStyle w:val="af0"/>
          <w:i w:val="0"/>
          <w:color w:val="000000" w:themeColor="text1"/>
          <w:sz w:val="16"/>
          <w:szCs w:val="16"/>
        </w:rPr>
        <w:t>Акциз — косвенный налог на товары внутреннего производства, по преимуществу на предметы массового потребления.</w:t>
      </w:r>
    </w:p>
    <w:p w14:paraId="1EFDE5C6" w14:textId="77777777" w:rsidR="003B66C2" w:rsidRPr="00D03F3E" w:rsidRDefault="003B66C2" w:rsidP="00D03F3E">
      <w:pPr>
        <w:pStyle w:val="rtejustify"/>
        <w:spacing w:before="0" w:beforeAutospacing="0" w:after="0" w:afterAutospacing="0"/>
        <w:jc w:val="both"/>
        <w:rPr>
          <w:i/>
          <w:color w:val="000000" w:themeColor="text1"/>
          <w:sz w:val="16"/>
          <w:szCs w:val="16"/>
        </w:rPr>
      </w:pPr>
      <w:r w:rsidRPr="00D03F3E">
        <w:rPr>
          <w:i/>
          <w:color w:val="000000" w:themeColor="text1"/>
          <w:sz w:val="16"/>
          <w:szCs w:val="16"/>
        </w:rPr>
        <w:t>[</w:t>
      </w:r>
      <w:hyperlink r:id="rId26" w:anchor="_ftnref1" w:history="1">
        <w:r w:rsidRPr="00D03F3E">
          <w:rPr>
            <w:rStyle w:val="a5"/>
            <w:rFonts w:eastAsiaTheme="majorEastAsia"/>
            <w:i/>
            <w:color w:val="000000" w:themeColor="text1"/>
            <w:sz w:val="16"/>
            <w:szCs w:val="16"/>
            <w:vertAlign w:val="superscript"/>
          </w:rPr>
          <w:t>1</w:t>
        </w:r>
      </w:hyperlink>
      <w:r w:rsidRPr="00D03F3E">
        <w:rPr>
          <w:i/>
          <w:color w:val="000000" w:themeColor="text1"/>
          <w:sz w:val="16"/>
          <w:szCs w:val="16"/>
        </w:rPr>
        <w:t>] </w:t>
      </w:r>
      <w:r w:rsidRPr="00D03F3E">
        <w:rPr>
          <w:rStyle w:val="af0"/>
          <w:i w:val="0"/>
          <w:color w:val="000000" w:themeColor="text1"/>
          <w:sz w:val="16"/>
          <w:szCs w:val="16"/>
        </w:rPr>
        <w:t>Речь идет о первом совещании, состоявшемся в Наркомате финансов сразу же после решения директивных органов о «приведении в порядок денежного обращения». В выступлении А.Г. Зверева нет слов, прямо указывающих на начало подготовки к послевоенной денежной реформе. Но, говоря о необходимости совершенствования налоговой системы (в увязке этой работы с «улучшением денежного обращения») и подчеркивая, что в этой области «...нужно иметь в перспективе очень большую реформу», он начал эту фразу весьма значимыми словами: «и здесь также...» На наш взгляд, данные слова являются косвенным признанием «нужности» иметь в перспективе «очень большую реформу» не только налоговой системы, но и системы денежного обращения, а также признанием начинающейся работы в сфере денежного обращения как подготовительного этапа предстоящей реформы.</w:t>
      </w:r>
    </w:p>
    <w:p w14:paraId="0D649667" w14:textId="77777777" w:rsidR="003B66C2" w:rsidRPr="00D03F3E" w:rsidRDefault="003B66C2" w:rsidP="00D03F3E">
      <w:pPr>
        <w:pStyle w:val="rtejustify"/>
        <w:spacing w:before="0" w:beforeAutospacing="0" w:after="0" w:afterAutospacing="0"/>
        <w:jc w:val="both"/>
        <w:rPr>
          <w:i/>
          <w:color w:val="000000" w:themeColor="text1"/>
          <w:sz w:val="16"/>
          <w:szCs w:val="16"/>
        </w:rPr>
      </w:pPr>
      <w:r w:rsidRPr="00D03F3E">
        <w:rPr>
          <w:i/>
          <w:color w:val="000000" w:themeColor="text1"/>
          <w:sz w:val="16"/>
          <w:szCs w:val="16"/>
        </w:rPr>
        <w:t>[</w:t>
      </w:r>
      <w:hyperlink r:id="rId27" w:anchor="_ftnref3" w:history="1">
        <w:r w:rsidRPr="00D03F3E">
          <w:rPr>
            <w:rStyle w:val="a5"/>
            <w:rFonts w:eastAsiaTheme="majorEastAsia"/>
            <w:i/>
            <w:color w:val="000000" w:themeColor="text1"/>
            <w:sz w:val="16"/>
            <w:szCs w:val="16"/>
            <w:vertAlign w:val="superscript"/>
          </w:rPr>
          <w:t>2</w:t>
        </w:r>
      </w:hyperlink>
      <w:r w:rsidRPr="00D03F3E">
        <w:rPr>
          <w:i/>
          <w:color w:val="000000" w:themeColor="text1"/>
          <w:sz w:val="16"/>
          <w:szCs w:val="16"/>
        </w:rPr>
        <w:t>] </w:t>
      </w:r>
      <w:r w:rsidRPr="00D03F3E">
        <w:rPr>
          <w:rStyle w:val="af0"/>
          <w:i w:val="0"/>
          <w:color w:val="000000" w:themeColor="text1"/>
          <w:sz w:val="16"/>
          <w:szCs w:val="16"/>
        </w:rPr>
        <w:t>Группа денежного обращения при НКФ СССР была создана правительственным решением в январе 1943 г. Ее возглавил видный советский ученый, экономист профессор В.П. Дьяченко. В задачу Группы входило изучение денежного обращения в условиях военного времени и выработка рекомендаций по его упорядочению с прицелом на предстоящую по окончании войны денежную реформу.</w:t>
      </w:r>
    </w:p>
    <w:p w14:paraId="66EAAD1B" w14:textId="77777777" w:rsidR="003B66C2" w:rsidRPr="00D03F3E" w:rsidRDefault="003B66C2" w:rsidP="00D03F3E">
      <w:pPr>
        <w:pStyle w:val="rtejustify"/>
        <w:spacing w:before="0" w:beforeAutospacing="0" w:after="0" w:afterAutospacing="0"/>
        <w:jc w:val="both"/>
        <w:rPr>
          <w:i/>
          <w:color w:val="000000" w:themeColor="text1"/>
          <w:sz w:val="16"/>
          <w:szCs w:val="16"/>
        </w:rPr>
      </w:pPr>
      <w:r w:rsidRPr="00D03F3E">
        <w:rPr>
          <w:i/>
          <w:color w:val="000000" w:themeColor="text1"/>
          <w:sz w:val="16"/>
          <w:szCs w:val="16"/>
        </w:rPr>
        <w:t>[</w:t>
      </w:r>
      <w:bookmarkStart w:id="5" w:name="_ftnref6"/>
      <w:r w:rsidR="00E319F0" w:rsidRPr="00D03F3E">
        <w:rPr>
          <w:i/>
          <w:color w:val="000000" w:themeColor="text1"/>
          <w:sz w:val="16"/>
          <w:szCs w:val="16"/>
          <w:vertAlign w:val="superscript"/>
        </w:rPr>
        <w:fldChar w:fldCharType="begin"/>
      </w:r>
      <w:r w:rsidRPr="00D03F3E">
        <w:rPr>
          <w:i/>
          <w:color w:val="000000" w:themeColor="text1"/>
          <w:sz w:val="16"/>
          <w:szCs w:val="16"/>
          <w:vertAlign w:val="superscript"/>
        </w:rPr>
        <w:instrText xml:space="preserve"> HYPERLINK "http://istmat.info/node/62256" \l "_ftnref5" </w:instrText>
      </w:r>
      <w:r w:rsidR="00E319F0" w:rsidRPr="00D03F3E">
        <w:rPr>
          <w:i/>
          <w:color w:val="000000" w:themeColor="text1"/>
          <w:sz w:val="16"/>
          <w:szCs w:val="16"/>
          <w:vertAlign w:val="superscript"/>
        </w:rPr>
        <w:fldChar w:fldCharType="separate"/>
      </w:r>
      <w:r w:rsidRPr="00D03F3E">
        <w:rPr>
          <w:rStyle w:val="a5"/>
          <w:rFonts w:eastAsiaTheme="majorEastAsia"/>
          <w:i/>
          <w:color w:val="000000" w:themeColor="text1"/>
          <w:sz w:val="16"/>
          <w:szCs w:val="16"/>
          <w:vertAlign w:val="superscript"/>
        </w:rPr>
        <w:t>3</w:t>
      </w:r>
      <w:r w:rsidR="00E319F0" w:rsidRPr="00D03F3E">
        <w:rPr>
          <w:i/>
          <w:color w:val="000000" w:themeColor="text1"/>
          <w:sz w:val="16"/>
          <w:szCs w:val="16"/>
          <w:vertAlign w:val="superscript"/>
        </w:rPr>
        <w:fldChar w:fldCharType="end"/>
      </w:r>
      <w:bookmarkEnd w:id="5"/>
      <w:r w:rsidRPr="00D03F3E">
        <w:rPr>
          <w:i/>
          <w:color w:val="000000" w:themeColor="text1"/>
          <w:sz w:val="16"/>
          <w:szCs w:val="16"/>
        </w:rPr>
        <w:t>] </w:t>
      </w:r>
      <w:r w:rsidRPr="00D03F3E">
        <w:rPr>
          <w:rStyle w:val="af0"/>
          <w:i w:val="0"/>
          <w:color w:val="000000" w:themeColor="text1"/>
          <w:sz w:val="16"/>
          <w:szCs w:val="16"/>
        </w:rPr>
        <w:t>С целью мобилизации финансовых ресурсов 3 июля 1941 г. были установлены 100 % надбавки к подоходному и сельскохозяйственному налогам; в ноябре того же года введен налог на холостяков, одиноких и малосемейных граждан, обеспечивающий их участие в поддержке многодетных семей. 29 декабря 1941 г. указом Президиума Верховного Совета СССР введен специальный военный налог, который устанавливался для всех граждан старше 18 лет, за исключением военнослужащих в действующей армии, членов их семей, получающих пособия, инвалидов, пенсионеров и пр. (в связи с его введением были отменены надбавки к подоходному и сельскохозяйственному налогам).</w:t>
      </w:r>
    </w:p>
    <w:p w14:paraId="53FFCDC8" w14:textId="77777777" w:rsidR="003B66C2" w:rsidRPr="00D03F3E" w:rsidRDefault="003B66C2" w:rsidP="00D03F3E">
      <w:pPr>
        <w:pStyle w:val="rtejustify"/>
        <w:spacing w:before="0" w:beforeAutospacing="0" w:after="0" w:afterAutospacing="0"/>
        <w:jc w:val="both"/>
        <w:rPr>
          <w:i/>
          <w:color w:val="000000" w:themeColor="text1"/>
          <w:sz w:val="16"/>
          <w:szCs w:val="16"/>
        </w:rPr>
      </w:pPr>
      <w:r w:rsidRPr="00D03F3E">
        <w:rPr>
          <w:i/>
          <w:color w:val="000000" w:themeColor="text1"/>
          <w:sz w:val="16"/>
          <w:szCs w:val="16"/>
        </w:rPr>
        <w:t>[</w:t>
      </w:r>
      <w:bookmarkStart w:id="6" w:name="_ftnref8"/>
      <w:r w:rsidR="00E319F0" w:rsidRPr="00D03F3E">
        <w:rPr>
          <w:i/>
          <w:color w:val="000000" w:themeColor="text1"/>
          <w:sz w:val="16"/>
          <w:szCs w:val="16"/>
          <w:vertAlign w:val="superscript"/>
        </w:rPr>
        <w:fldChar w:fldCharType="begin"/>
      </w:r>
      <w:r w:rsidRPr="00D03F3E">
        <w:rPr>
          <w:i/>
          <w:color w:val="000000" w:themeColor="text1"/>
          <w:sz w:val="16"/>
          <w:szCs w:val="16"/>
          <w:vertAlign w:val="superscript"/>
        </w:rPr>
        <w:instrText xml:space="preserve"> HYPERLINK "http://istmat.info/node/62256" \l "_ftnref7" </w:instrText>
      </w:r>
      <w:r w:rsidR="00E319F0" w:rsidRPr="00D03F3E">
        <w:rPr>
          <w:i/>
          <w:color w:val="000000" w:themeColor="text1"/>
          <w:sz w:val="16"/>
          <w:szCs w:val="16"/>
          <w:vertAlign w:val="superscript"/>
        </w:rPr>
        <w:fldChar w:fldCharType="separate"/>
      </w:r>
      <w:r w:rsidRPr="00D03F3E">
        <w:rPr>
          <w:rStyle w:val="a5"/>
          <w:rFonts w:eastAsiaTheme="majorEastAsia"/>
          <w:i/>
          <w:color w:val="000000" w:themeColor="text1"/>
          <w:sz w:val="16"/>
          <w:szCs w:val="16"/>
          <w:vertAlign w:val="superscript"/>
        </w:rPr>
        <w:t>4</w:t>
      </w:r>
      <w:r w:rsidR="00E319F0" w:rsidRPr="00D03F3E">
        <w:rPr>
          <w:i/>
          <w:color w:val="000000" w:themeColor="text1"/>
          <w:sz w:val="16"/>
          <w:szCs w:val="16"/>
          <w:vertAlign w:val="superscript"/>
        </w:rPr>
        <w:fldChar w:fldCharType="end"/>
      </w:r>
      <w:bookmarkEnd w:id="6"/>
      <w:r w:rsidRPr="00D03F3E">
        <w:rPr>
          <w:i/>
          <w:color w:val="000000" w:themeColor="text1"/>
          <w:sz w:val="16"/>
          <w:szCs w:val="16"/>
        </w:rPr>
        <w:t>] </w:t>
      </w:r>
      <w:r w:rsidRPr="00D03F3E">
        <w:rPr>
          <w:rStyle w:val="af0"/>
          <w:i w:val="0"/>
          <w:color w:val="000000" w:themeColor="text1"/>
          <w:sz w:val="16"/>
          <w:szCs w:val="16"/>
        </w:rPr>
        <w:t>Первые попытки регулирования «денежного обращения в деревне» были предприняты в 1942 г. после выявившегося факта стремительного роста рыночных цен. Тогда были установлены сборы с владельцев скота и разовые сборы на колхозных рынках.</w:t>
      </w:r>
    </w:p>
    <w:p w14:paraId="17865DDB" w14:textId="77777777" w:rsidR="003B66C2" w:rsidRPr="00D03F3E" w:rsidRDefault="003B66C2" w:rsidP="00D03F3E">
      <w:pPr>
        <w:pStyle w:val="rtejustify"/>
        <w:spacing w:before="0" w:beforeAutospacing="0" w:after="0" w:afterAutospacing="0"/>
        <w:jc w:val="both"/>
        <w:rPr>
          <w:i/>
          <w:color w:val="000000" w:themeColor="text1"/>
          <w:sz w:val="16"/>
          <w:szCs w:val="16"/>
        </w:rPr>
      </w:pPr>
      <w:r w:rsidRPr="00D03F3E">
        <w:rPr>
          <w:i/>
          <w:color w:val="000000" w:themeColor="text1"/>
          <w:sz w:val="16"/>
          <w:szCs w:val="16"/>
        </w:rPr>
        <w:t>[</w:t>
      </w:r>
      <w:bookmarkStart w:id="7" w:name="_ftnref10"/>
      <w:r w:rsidR="00E319F0" w:rsidRPr="00D03F3E">
        <w:rPr>
          <w:i/>
          <w:color w:val="000000" w:themeColor="text1"/>
          <w:sz w:val="16"/>
          <w:szCs w:val="16"/>
          <w:vertAlign w:val="superscript"/>
        </w:rPr>
        <w:fldChar w:fldCharType="begin"/>
      </w:r>
      <w:r w:rsidRPr="00D03F3E">
        <w:rPr>
          <w:i/>
          <w:color w:val="000000" w:themeColor="text1"/>
          <w:sz w:val="16"/>
          <w:szCs w:val="16"/>
          <w:vertAlign w:val="superscript"/>
        </w:rPr>
        <w:instrText xml:space="preserve"> HYPERLINK "http://istmat.info/node/62256" \l "_ftnref9" </w:instrText>
      </w:r>
      <w:r w:rsidR="00E319F0" w:rsidRPr="00D03F3E">
        <w:rPr>
          <w:i/>
          <w:color w:val="000000" w:themeColor="text1"/>
          <w:sz w:val="16"/>
          <w:szCs w:val="16"/>
          <w:vertAlign w:val="superscript"/>
        </w:rPr>
        <w:fldChar w:fldCharType="separate"/>
      </w:r>
      <w:r w:rsidRPr="00D03F3E">
        <w:rPr>
          <w:rStyle w:val="a5"/>
          <w:rFonts w:eastAsiaTheme="majorEastAsia"/>
          <w:i/>
          <w:color w:val="000000" w:themeColor="text1"/>
          <w:sz w:val="16"/>
          <w:szCs w:val="16"/>
          <w:vertAlign w:val="superscript"/>
        </w:rPr>
        <w:t>5</w:t>
      </w:r>
      <w:r w:rsidR="00E319F0" w:rsidRPr="00D03F3E">
        <w:rPr>
          <w:i/>
          <w:color w:val="000000" w:themeColor="text1"/>
          <w:sz w:val="16"/>
          <w:szCs w:val="16"/>
          <w:vertAlign w:val="superscript"/>
        </w:rPr>
        <w:fldChar w:fldCharType="end"/>
      </w:r>
      <w:bookmarkEnd w:id="7"/>
      <w:r w:rsidRPr="00D03F3E">
        <w:rPr>
          <w:i/>
          <w:color w:val="000000" w:themeColor="text1"/>
          <w:sz w:val="16"/>
          <w:szCs w:val="16"/>
        </w:rPr>
        <w:t>] </w:t>
      </w:r>
      <w:r w:rsidRPr="00D03F3E">
        <w:rPr>
          <w:rStyle w:val="af0"/>
          <w:i w:val="0"/>
          <w:color w:val="000000" w:themeColor="text1"/>
          <w:sz w:val="16"/>
          <w:szCs w:val="16"/>
        </w:rPr>
        <w:t>На первый взгляд, эта фраза не отличается смысловой логикой (ошибки и недочеты как следствие невысокой квалификации специалистов). В действительности речь идет в данном случае об ошибках и недочетах, являющихся возможным следствием реализации творческого начала людей. Целью данного фрагмента выступления А.Г. Зверева и являлось «раскрепощение» будущих сотрудников Группы денежного обращения от научных штампов («смелость теоретической мысли должна быть»). Судя по всему, Зверев получил «наверху» карт-бланш даже на некоторое отступление сотрудниками Группы от ряда постулатов господствовавшей тогда экономической теории, в том числе теории денежного обращения. На это указывают как его собственное признание («конечно, теория есть, нам ее писать не нужно, но нужны соответствующие поправки в понимании самой теории»), так и призывы «посмелее ставить вопросы и делать посмелее соответствующие выводы» (19659).</w:t>
      </w:r>
    </w:p>
    <w:p w14:paraId="18CB5920" w14:textId="77777777" w:rsidR="003B66C2" w:rsidRPr="00D03F3E" w:rsidRDefault="003B66C2" w:rsidP="00D03F3E">
      <w:pPr>
        <w:spacing w:after="0" w:line="240" w:lineRule="auto"/>
        <w:jc w:val="both"/>
        <w:rPr>
          <w:rFonts w:ascii="Times New Roman" w:hAnsi="Times New Roman"/>
          <w:color w:val="000000" w:themeColor="text1"/>
          <w:sz w:val="16"/>
          <w:szCs w:val="16"/>
        </w:rPr>
      </w:pPr>
    </w:p>
    <w:p w14:paraId="4C26EDCD" w14:textId="77777777" w:rsidR="003B66C2" w:rsidRPr="00D03F3E" w:rsidRDefault="003B66C2"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color w:val="000000" w:themeColor="text1"/>
          <w:sz w:val="16"/>
          <w:szCs w:val="16"/>
        </w:rPr>
        <w:t>28 января 1943 г.</w:t>
      </w:r>
    </w:p>
    <w:p w14:paraId="0C7DAEC3" w14:textId="77777777" w:rsidR="003B66C2" w:rsidRPr="00D03F3E" w:rsidRDefault="003B66C2"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color w:val="000000" w:themeColor="text1"/>
          <w:sz w:val="16"/>
          <w:szCs w:val="16"/>
        </w:rPr>
        <w:t>О Задачах и обязанностях группы денежного обращения. Стенограмма выступления А.Г. Зверева на совещании по вопросам денежного обращения. 28 января 1943 г.</w:t>
      </w:r>
    </w:p>
    <w:p w14:paraId="4CA627C9" w14:textId="77777777" w:rsidR="003B66C2" w:rsidRPr="00D03F3E" w:rsidRDefault="003B66C2"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bCs/>
          <w:color w:val="000000" w:themeColor="text1"/>
          <w:sz w:val="16"/>
          <w:szCs w:val="16"/>
        </w:rPr>
        <w:t>Источник: </w:t>
      </w:r>
    </w:p>
    <w:p w14:paraId="1D5125A9" w14:textId="77777777" w:rsidR="003B66C2" w:rsidRPr="00D03F3E" w:rsidRDefault="003B66C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Денежная реформа в СССР 1947 года. Документы и материалы. М.: Российская политическая энциклопедия (РОССПЭН), 2010. С. 31 - 36</w:t>
      </w:r>
    </w:p>
    <w:p w14:paraId="4D1E7D7D" w14:textId="77777777" w:rsidR="003B66C2" w:rsidRPr="00D03F3E" w:rsidRDefault="003B66C2"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bCs/>
          <w:color w:val="000000" w:themeColor="text1"/>
          <w:sz w:val="16"/>
          <w:szCs w:val="16"/>
        </w:rPr>
        <w:t>Архив: </w:t>
      </w:r>
    </w:p>
    <w:p w14:paraId="25C10DFC" w14:textId="77777777" w:rsidR="003B66C2" w:rsidRPr="00D03F3E" w:rsidRDefault="003B66C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РГАЭ. Ф. 7733. Оп. 36. Д. 1236. Л. 22-29. Машинописная копия.</w:t>
      </w:r>
    </w:p>
    <w:p w14:paraId="7A4253C3" w14:textId="77777777" w:rsidR="003B66C2" w:rsidRPr="00D03F3E" w:rsidRDefault="003B66C2" w:rsidP="00D03F3E">
      <w:pPr>
        <w:pStyle w:val="rtecenter"/>
        <w:spacing w:before="0" w:beforeAutospacing="0" w:after="0" w:afterAutospacing="0"/>
        <w:jc w:val="both"/>
        <w:rPr>
          <w:color w:val="000000" w:themeColor="text1"/>
          <w:sz w:val="16"/>
          <w:szCs w:val="16"/>
        </w:rPr>
      </w:pPr>
      <w:r w:rsidRPr="00D03F3E">
        <w:rPr>
          <w:rStyle w:val="a7"/>
          <w:b w:val="0"/>
          <w:color w:val="000000" w:themeColor="text1"/>
          <w:sz w:val="16"/>
          <w:szCs w:val="16"/>
        </w:rPr>
        <w:t>Стенограмма выступления А.Н. Зверева на совещании по вопросам денежного обращения</w:t>
      </w:r>
      <w:r w:rsidRPr="00D03F3E">
        <w:rPr>
          <w:color w:val="000000" w:themeColor="text1"/>
          <w:sz w:val="16"/>
          <w:szCs w:val="16"/>
        </w:rPr>
        <w:t> [</w:t>
      </w:r>
      <w:hyperlink r:id="rId28" w:anchor="_ftnref2" w:history="1">
        <w:r w:rsidRPr="00D03F3E">
          <w:rPr>
            <w:rStyle w:val="a5"/>
            <w:rFonts w:eastAsiaTheme="majorEastAsia"/>
            <w:color w:val="000000" w:themeColor="text1"/>
            <w:sz w:val="16"/>
            <w:szCs w:val="16"/>
            <w:vertAlign w:val="superscript"/>
          </w:rPr>
          <w:t>1</w:t>
        </w:r>
      </w:hyperlink>
      <w:r w:rsidRPr="00D03F3E">
        <w:rPr>
          <w:color w:val="000000" w:themeColor="text1"/>
          <w:sz w:val="16"/>
          <w:szCs w:val="16"/>
        </w:rPr>
        <w:t>]</w:t>
      </w:r>
    </w:p>
    <w:p w14:paraId="5D944A29" w14:textId="77777777" w:rsidR="003B66C2" w:rsidRPr="00D03F3E" w:rsidRDefault="003B66C2" w:rsidP="00D03F3E">
      <w:pPr>
        <w:pStyle w:val="rteright"/>
        <w:spacing w:before="0" w:beforeAutospacing="0" w:after="0" w:afterAutospacing="0"/>
        <w:jc w:val="both"/>
        <w:rPr>
          <w:color w:val="000000" w:themeColor="text1"/>
          <w:sz w:val="16"/>
          <w:szCs w:val="16"/>
        </w:rPr>
      </w:pPr>
      <w:r w:rsidRPr="00D03F3E">
        <w:rPr>
          <w:color w:val="000000" w:themeColor="text1"/>
          <w:sz w:val="16"/>
          <w:szCs w:val="16"/>
        </w:rPr>
        <w:t>28 января 1943 г</w:t>
      </w:r>
      <w:r w:rsidRPr="00D03F3E">
        <w:rPr>
          <w:rStyle w:val="a7"/>
          <w:b w:val="0"/>
          <w:color w:val="000000" w:themeColor="text1"/>
          <w:sz w:val="16"/>
          <w:szCs w:val="16"/>
        </w:rPr>
        <w:t>.</w:t>
      </w:r>
    </w:p>
    <w:p w14:paraId="1CEDFD82"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Группа денежного обращения создана по решению правительственному [</w:t>
      </w:r>
      <w:hyperlink r:id="rId29" w:anchor="_ftnref4" w:history="1">
        <w:r w:rsidRPr="00D03F3E">
          <w:rPr>
            <w:rStyle w:val="a5"/>
            <w:rFonts w:eastAsiaTheme="majorEastAsia"/>
            <w:color w:val="000000" w:themeColor="text1"/>
            <w:sz w:val="16"/>
            <w:szCs w:val="16"/>
            <w:vertAlign w:val="superscript"/>
          </w:rPr>
          <w:t>2</w:t>
        </w:r>
      </w:hyperlink>
      <w:r w:rsidRPr="00D03F3E">
        <w:rPr>
          <w:color w:val="000000" w:themeColor="text1"/>
          <w:sz w:val="16"/>
          <w:szCs w:val="16"/>
        </w:rPr>
        <w:t>], так что название ее, может быть, и будет соответствовать всему содержанию ее работы, а это значит, следить за денежным обращением, изучать денежное обращение и давать некоторые предложения по улучшению денежного обращения. Кроме того, на эту группу возлагаются и другие обязанности, следующие. Эта группа, главным образом, должна не решать вопросы, а подготовлять предложения для решения вопросов послевоенного времени, т. е. эта группа, по сути дела, не будет являться оперативным органом с точки зрения жизни и действительности сегодняшнего дня. Задача основная группы — это подготовка предложений для Правительства по деньгам, затрагивая также целый ряд других финансовых институтов в послевоенное время. Нужно сказать, что у нас денежное обращение, цены, заработная плата, коммунальные услуги, налоги, займы и до войны, нельзя считать, [что] находились в нормальном состоянии и соответствовали теории Советского государства, особенно цены и заработная плата. И тогда не были реально поставлены все эти вопросы, денежное обращение также имело целый ряд соответствующих дефектов.</w:t>
      </w:r>
    </w:p>
    <w:p w14:paraId="71232C4E"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Война внесла много нового, и нужно сказать, что появился целый ряд новых финансовых мероприятий и по отношению к хозяйству, и по отношению к населению. Все эти меры были проведены в связи с общей теорией нашего хозяйства и в связи, главным образом, с требованиями расходов военных и сжатием сферы обычных доходных источников [</w:t>
      </w:r>
      <w:hyperlink r:id="rId30" w:anchor="_ftnref6" w:history="1">
        <w:r w:rsidRPr="00D03F3E">
          <w:rPr>
            <w:rStyle w:val="a5"/>
            <w:rFonts w:eastAsiaTheme="majorEastAsia"/>
            <w:color w:val="000000" w:themeColor="text1"/>
            <w:sz w:val="16"/>
            <w:szCs w:val="16"/>
            <w:vertAlign w:val="superscript"/>
          </w:rPr>
          <w:t>3</w:t>
        </w:r>
      </w:hyperlink>
      <w:r w:rsidRPr="00D03F3E">
        <w:rPr>
          <w:color w:val="000000" w:themeColor="text1"/>
          <w:sz w:val="16"/>
          <w:szCs w:val="16"/>
        </w:rPr>
        <w:t>]. Поэтому этой группе нужно будет через работу в области улучшения денежного обращения, приведения в порядок денежного обращения, решить и подправить некоторые недочеты в финансовой работе, которые были еще до начала войны, тем более [что] целый ряд моментов, которые есть, может считаться нормальным только в условиях военной обстановки.</w:t>
      </w:r>
    </w:p>
    <w:p w14:paraId="6D67A27F"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Какие вопросы должна будет затрагивать эту группа? Ясно, что основное — это приведение в порядок денежного обращения. Затем в какой-то степени должны быть подготовлены вопросы заработной платы, цен, вопросы государственного кредита, платежей населения, коммунальных услуг, отношения деревни, причем каждый из этих вопросов отдельно содержит в себе много элементов работы, которая должна быть охвачена группой. С другой стороны, все эти вопросы содержат в себе необходимость внесения целого ряда поправок. Взять заработную плату. Когда получают полторы-две тысячи, триста рублей, 180 руб. — все это как будто вскрывается, но если пойти по пути такому, чтобы уменьшить количество денег в обращении механически, отрезать несколько нулей, вы сразу увидите весь абсурд нашей заработной платы. У вас получится, что машинистка будет получать 10 руб., счетовод 12 руб., уборщица 30 руб. и т. д. Вопрос чрезвычайно серьезный. Здесь не только нужно сокращать количество денег в обращении, но нужно кардинально пересмотреть вопросы оплаты труда.</w:t>
      </w:r>
    </w:p>
    <w:p w14:paraId="3BD1CD36"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Напрасно думаете, что под каждый вопрос этой группе нужно подводить теорию. У нас все это сформулировано — качество и количество труда, сдельная оплата труда, повременная оплата труда и т. д. Но практика проведения и установления заработной платы может привести в отдельных случаях даже к срыву основного принципа оплаты труда. Поднять весь вопрос группа не сможет, но нащупать, как улучшить вопрос с заработной платой, она должна.</w:t>
      </w:r>
    </w:p>
    <w:p w14:paraId="7ABA59D2"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Вопросы налоговые. У нас налоги за время войны подросли. Ясно, что и здесь также нужно иметь в перспективе очень большую реформу. Во-первых, они не могут оставаться количественно такими, какие они есть, во-вторых, они не могут составлять такие же, как сейчас, суммы. Поэтому многие налоги количественно должны быть меньше, чтобы не тратить огромное количество средств на собирание этих налогов и не занимать этим много людей. Тут проблема также чрезвычайно большая.</w:t>
      </w:r>
    </w:p>
    <w:p w14:paraId="5A14B8E3"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Коммунальные услуги, цены. Здесь не только нужно будет сверить цены, но и проверить и выявить соотношение цен, которое также сложилось своеобразно. Я имею в виду государственные цены. Так сложились цены, что можно у нас за три метра мануфактуры порядочную пушку купить, потому что у нас все время снижаются цены.</w:t>
      </w:r>
    </w:p>
    <w:p w14:paraId="6805B002"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lastRenderedPageBreak/>
        <w:t>Тут требуется очень большая работа с тем, чтобы навести соответствующий порядок в ценах. До войны у нас также за крынку молока можно было купить штуки три косы. Когда-то все это имело значение, но значение это прошло, а такое несоответствие соотношения осталось. Поэтому, решая вопрос о ценах, надо решить и вопрос о налоге с оборота.</w:t>
      </w:r>
    </w:p>
    <w:p w14:paraId="3D3E2ADF"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У нас привыкли наши ученые формулировать так, что налог с оборота является одной из форм изъятия социалистических накоплений. Если посмотреть, как сложились цены и как сложился налог с оборота, тут не найдешь, где социалистические накопления, где акциз [</w:t>
      </w:r>
      <w:hyperlink r:id="rId31" w:anchor="_ftnref5.9" w:history="1">
        <w:r w:rsidRPr="00D03F3E">
          <w:rPr>
            <w:rStyle w:val="a5"/>
            <w:rFonts w:eastAsiaTheme="majorEastAsia"/>
            <w:color w:val="000000" w:themeColor="text1"/>
            <w:sz w:val="16"/>
            <w:szCs w:val="16"/>
            <w:vertAlign w:val="superscript"/>
          </w:rPr>
          <w:t>*</w:t>
        </w:r>
      </w:hyperlink>
      <w:r w:rsidRPr="00D03F3E">
        <w:rPr>
          <w:color w:val="000000" w:themeColor="text1"/>
          <w:sz w:val="16"/>
          <w:szCs w:val="16"/>
        </w:rPr>
        <w:t>].</w:t>
      </w:r>
      <w:r w:rsidRPr="00D03F3E">
        <w:rPr>
          <w:color w:val="000000" w:themeColor="text1"/>
          <w:sz w:val="16"/>
          <w:szCs w:val="16"/>
          <w:vertAlign w:val="superscript"/>
        </w:rPr>
        <w:t> </w:t>
      </w:r>
      <w:r w:rsidRPr="00D03F3E">
        <w:rPr>
          <w:color w:val="000000" w:themeColor="text1"/>
          <w:sz w:val="16"/>
          <w:szCs w:val="16"/>
        </w:rPr>
        <w:t>Если литр водки сейчас стоит 60 руб., то наложили такую цену потому, что нужны деньги.</w:t>
      </w:r>
    </w:p>
    <w:p w14:paraId="14FF874E"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Поэтому цены должны быть основаны на экономике производства, фактических результатах производства и этим самым нужно предвидеть все особенности, которые имеются, особые условия обстановки, а не потому, что так диктуют условия производства. Значит, цены должны быть установлены соответствующие. Мы должны работать в смысле денежного обращения, главным образом, в том отношении, чтобы сократить денежное обращение, сократить заработную плату, а отсюда соответственно и цены. Но тут нужно затронуть и целый ряд финансовых вопросов. Например, работая над ценами, нельзя обойти налог с оборота, который имеет значение, как элемент цен, и сам налог с оборота должен быть связан с условиями производства, с затратами на производство и труд.</w:t>
      </w:r>
    </w:p>
    <w:p w14:paraId="29F66A18"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Серьезный вопрос — это отношение с колхозами, с колхозниками. Мы имеем тут большие натуральные отношения в смысле поставок, закупок, затем налоговые вопросы. Значит, также нужно определить все это дело и с точки зрения экономики сельского хозяйства, и с точки зрения промышленности, может быть, нужно ввести определенное финансовое регулирование денежного обращения в деревне [</w:t>
      </w:r>
      <w:hyperlink r:id="rId32" w:anchor="_ftnref8" w:history="1">
        <w:r w:rsidRPr="00D03F3E">
          <w:rPr>
            <w:rStyle w:val="a5"/>
            <w:rFonts w:eastAsiaTheme="majorEastAsia"/>
            <w:color w:val="000000" w:themeColor="text1"/>
            <w:sz w:val="16"/>
            <w:szCs w:val="16"/>
            <w:vertAlign w:val="superscript"/>
          </w:rPr>
          <w:t>4</w:t>
        </w:r>
      </w:hyperlink>
      <w:r w:rsidRPr="00D03F3E">
        <w:rPr>
          <w:color w:val="000000" w:themeColor="text1"/>
          <w:sz w:val="16"/>
          <w:szCs w:val="16"/>
        </w:rPr>
        <w:t>].</w:t>
      </w:r>
    </w:p>
    <w:p w14:paraId="6D50DB61"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По коммунальным платежам. Если взять уровень современной зарплаты и коммунальных платежей, они чрезвычайно низки — квартирная плата и др. В частности, если бы не было войны, по квартирной плате порядок был бы наведен. Все жилищное хозяйство получает такие доходы, которые не оправдывают расходы, и это не обеспечивает роста жилищного фонда. Наше жилищное хозяйство не сводит концы с концами и в результате не обеспечивает простого воспроизводства. Эти вопросы должны быть неотъемлемой частью работы группы.</w:t>
      </w:r>
    </w:p>
    <w:p w14:paraId="51FD0F13"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Тут говорили, что нужно изучить, в каком положении у нас находится сейчас денежное обращение. Это правильно, и с этого нужно начинать. Это должно быть отправной точкой.</w:t>
      </w:r>
    </w:p>
    <w:p w14:paraId="74382909"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Людей для работы в этой группе нужно подобрать квалифицированных, с соответствующим теоретическим уровнем. Конечно, теория есть, нам ее писать не нужно, но нужны соответствующие поправки в понимании самой теории. Может быть, наши ученые или боятся, или не хотят что-либо написать. Здесь говорили о законах стоимости, никто еще ничего по этому вопросу не сказал определенного. Поскольку мы будем привлекать людей квалифицированных, могут быть ошибки, недочеты, один проект, другой проект, но смелость теоретической мысли в проектах должна быть [</w:t>
      </w:r>
      <w:hyperlink r:id="rId33" w:anchor="_ftnref10" w:history="1">
        <w:r w:rsidRPr="00D03F3E">
          <w:rPr>
            <w:rStyle w:val="a5"/>
            <w:rFonts w:eastAsiaTheme="majorEastAsia"/>
            <w:color w:val="000000" w:themeColor="text1"/>
            <w:sz w:val="16"/>
            <w:szCs w:val="16"/>
            <w:vertAlign w:val="superscript"/>
          </w:rPr>
          <w:t>5</w:t>
        </w:r>
      </w:hyperlink>
      <w:r w:rsidRPr="00D03F3E">
        <w:rPr>
          <w:color w:val="000000" w:themeColor="text1"/>
          <w:sz w:val="16"/>
          <w:szCs w:val="16"/>
        </w:rPr>
        <w:t>]. Будучи теоретически подготовленными, легко правильно ставить вопросы в современных условиях. В связи с выполнением такой задачи нужно быть решительнее и посмелее, а в области экономической и финансовой мало дается соответствующего теоретического материала — и финансового, и литературного.</w:t>
      </w:r>
    </w:p>
    <w:p w14:paraId="298B3602"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Не случайно, что в практической нашей работе проводятся очень серьезные вопросы. У нас в каждом квартале по бюджету, в условиях войны, решаются колоссальные проблемы. Обычно в мирное время их года полтора обсуждали бы, сейчас это проводится очень быстро. В связи с этим может проскочить немало таких вещей, которые можно было бы по-иному разрешить при всестороннем изучении. Следовательно, в этой группе нужно будет посмелее ставить вопросы и делать посмелее соответствующие выводы.</w:t>
      </w:r>
    </w:p>
    <w:p w14:paraId="5CA3A864"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Как должна эта группа работать. Она не должна быть оперативным органом, занимающимся текущими вопросами, она должна заниматься подготовкой вопросов, которые нужно будет решать после войны. Это не группа, довлеющая над всеми управлениями и отделами Наркомфина. Это группа, которая работает самостоятельно, она никем не командует, но по целому ряду вопросов работает по соответствующей программе.</w:t>
      </w:r>
    </w:p>
    <w:p w14:paraId="0D7FF0FA"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Организационные формы: распоряжения и т. д. — это будег идти не через группу, в частности, я буду заниматься этим вопросом. Отделы и управления будут выполнять отдельные детали работы.</w:t>
      </w:r>
    </w:p>
    <w:p w14:paraId="004C68D6"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Банк пусть также работает, если у него есть материал, если будут предложения, можно их обсудить, но междуведомственные комиссии создавать нельзя. В перспективе видно то, что эта группа подготовляет материал для Правительства и поэтому необходимо позаботиться о том материале, который необходим для этой группы.</w:t>
      </w:r>
    </w:p>
    <w:p w14:paraId="0E5E8E32"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Затем некоторые вопросы, которые имеют неразрывную связь с нашими отделами. Работая над денежным обращением, нельзя обойтись без Валютного управления. Обстановка сложилась так, что расчетный курс стал абсурдным курсом, что деньги наши не котируются, тут Валютное управление должно сказать свое слово, и если мы не делаем связи наших денег с золотом, однако, нам не безразлично, какова себестоимость добываемого золота, как держится наш рубль, все должно быть в какой-то гармонии. Во всяком случае, если даются предложения по усовершенствованию денежного обращения, тут должна быть стройность в этой связи — и стоимость добываемого золота, и чтобы расчетный курс был более правдоподобным.</w:t>
      </w:r>
    </w:p>
    <w:p w14:paraId="5C81CD56"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Форма работы этой группы с точки зрения конспирации. Эта группа должна работать в совершенно секретном порядке. Не может быть такого положения, чтобы весь материал этой группы был достоянием коллектива сотрудников до тех пор, пока он не будет апробирован. Весь этот материал никуда не выходит. Отделы также не должны знать, для какой цели создана эта группа. Они должны только знать, что группа существует, и они должны для нее выполнять некоторую работу.</w:t>
      </w:r>
    </w:p>
    <w:p w14:paraId="7AAF34C9"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После данного совещания тов. Дьяченко нужно будет разработать программу работы этой группы. Нужно будет все задачи сформулировать конкретнее, надо разработать план работы группы и конкретизировать ее задачи и обязанности. Практически такой-то сотрудник составляет баланс денежного обращения, такие-то сотрудники собирают, разрабатывают такие-то материалы и на основе всего этого материала будут напрашиваться соответствующие предложения. Такой план тов. Дьяченко должен составить в 2-3 дня.</w:t>
      </w:r>
    </w:p>
    <w:p w14:paraId="2E88FF8D"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В группе официально будет работать 8 человек. Пока имеется 1 товарищ Дьяченко, сотрудники будут привлечены к работе в порядке выполнения отдельных поручений.</w:t>
      </w:r>
    </w:p>
    <w:p w14:paraId="58C099DD"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Тов. Бодрову поручить укомплектовать эту группу побыстрее. Нужно будет взять нескольких товарищей из состава Наркомфина. Нам нужно включить местный аппарат через Отдел экономической статистики, для того, чтобы заставить собирать материал, и когда будет план работы, тогда созовем совещание с точки зрения обсуждения того, что должна дать теория для облегчения практической работы.</w:t>
      </w:r>
    </w:p>
    <w:p w14:paraId="6FDBA4B9"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w:t>
      </w:r>
      <w:hyperlink r:id="rId34" w:anchor="_ftnref5.8" w:history="1">
        <w:r w:rsidRPr="00D03F3E">
          <w:rPr>
            <w:rStyle w:val="a5"/>
            <w:rFonts w:eastAsiaTheme="majorEastAsia"/>
            <w:color w:val="000000" w:themeColor="text1"/>
            <w:sz w:val="16"/>
            <w:szCs w:val="16"/>
            <w:vertAlign w:val="superscript"/>
          </w:rPr>
          <w:t>*</w:t>
        </w:r>
      </w:hyperlink>
      <w:r w:rsidRPr="00D03F3E">
        <w:rPr>
          <w:color w:val="000000" w:themeColor="text1"/>
          <w:sz w:val="16"/>
          <w:szCs w:val="16"/>
        </w:rPr>
        <w:t>] </w:t>
      </w:r>
      <w:r w:rsidRPr="00D03F3E">
        <w:rPr>
          <w:rStyle w:val="af0"/>
          <w:i w:val="0"/>
          <w:color w:val="000000" w:themeColor="text1"/>
          <w:sz w:val="16"/>
          <w:szCs w:val="16"/>
        </w:rPr>
        <w:t>Акциз — косвенный налог на товары внутреннего производства, по преимуществу на предметы массового потребления.</w:t>
      </w:r>
    </w:p>
    <w:p w14:paraId="584B4D8F"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w:t>
      </w:r>
      <w:hyperlink r:id="rId35" w:anchor="_ftnref1" w:history="1">
        <w:r w:rsidRPr="00D03F3E">
          <w:rPr>
            <w:rStyle w:val="a5"/>
            <w:rFonts w:eastAsiaTheme="majorEastAsia"/>
            <w:color w:val="000000" w:themeColor="text1"/>
            <w:sz w:val="16"/>
            <w:szCs w:val="16"/>
            <w:vertAlign w:val="superscript"/>
          </w:rPr>
          <w:t>1</w:t>
        </w:r>
      </w:hyperlink>
      <w:r w:rsidRPr="00D03F3E">
        <w:rPr>
          <w:color w:val="000000" w:themeColor="text1"/>
          <w:sz w:val="16"/>
          <w:szCs w:val="16"/>
        </w:rPr>
        <w:t>] </w:t>
      </w:r>
      <w:r w:rsidRPr="00D03F3E">
        <w:rPr>
          <w:rStyle w:val="af0"/>
          <w:i w:val="0"/>
          <w:color w:val="000000" w:themeColor="text1"/>
          <w:sz w:val="16"/>
          <w:szCs w:val="16"/>
        </w:rPr>
        <w:t>Речь идет о первом совещании, состоявшемся в Наркомате финансов сразу же после решения директивных органов о «приведении в порядок денежного обращения». В выступлении А.Г. Зверева нет слов, прямо указывающих на начало подготовки к послевоенной денежной реформе. Но, говоря о необходимости совершенствования налоговой системы (в увязке этой работы с «улучшением денежного обращения») и подчеркивая, что в этой области «...нужно иметь в перспективе очень большую реформу», он начал эту фразу весьма значимыми словами: «и здесь также...» На наш взгляд, данные слова являются косвенным признанием «нужности» иметь в перспективе «очень большую реформу» не только налоговой системы, но и системы денежного обращения, а также признанием начинающейся работы в сфере денежного обращения как подготовительного этапа предстоящей реформы.</w:t>
      </w:r>
    </w:p>
    <w:p w14:paraId="5BEB46A2"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w:t>
      </w:r>
      <w:hyperlink r:id="rId36" w:anchor="_ftnref3" w:history="1">
        <w:r w:rsidRPr="00D03F3E">
          <w:rPr>
            <w:rStyle w:val="a5"/>
            <w:rFonts w:eastAsiaTheme="majorEastAsia"/>
            <w:color w:val="000000" w:themeColor="text1"/>
            <w:sz w:val="16"/>
            <w:szCs w:val="16"/>
            <w:vertAlign w:val="superscript"/>
          </w:rPr>
          <w:t>2</w:t>
        </w:r>
      </w:hyperlink>
      <w:r w:rsidRPr="00D03F3E">
        <w:rPr>
          <w:color w:val="000000" w:themeColor="text1"/>
          <w:sz w:val="16"/>
          <w:szCs w:val="16"/>
        </w:rPr>
        <w:t>] </w:t>
      </w:r>
      <w:r w:rsidRPr="00D03F3E">
        <w:rPr>
          <w:rStyle w:val="af0"/>
          <w:i w:val="0"/>
          <w:color w:val="000000" w:themeColor="text1"/>
          <w:sz w:val="16"/>
          <w:szCs w:val="16"/>
        </w:rPr>
        <w:t>Группа денежного обращения при НКФ СССР была создана правительственным решением в январе 1943 г. Ее возглавил видный советский ученый, экономист профессор В.П. Дьяченко. В задачу Группы входило изучение денежного обращения в условиях военного времени и выработка рекомендаций по его упорядочению с прицелом на предстоящую по окончании войны денежную реформу.</w:t>
      </w:r>
    </w:p>
    <w:p w14:paraId="6C018CF7"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w:t>
      </w:r>
      <w:hyperlink r:id="rId37" w:anchor="_ftnref5" w:history="1">
        <w:r w:rsidRPr="00D03F3E">
          <w:rPr>
            <w:rStyle w:val="a5"/>
            <w:rFonts w:eastAsiaTheme="majorEastAsia"/>
            <w:color w:val="000000" w:themeColor="text1"/>
            <w:sz w:val="16"/>
            <w:szCs w:val="16"/>
            <w:vertAlign w:val="superscript"/>
          </w:rPr>
          <w:t>3</w:t>
        </w:r>
      </w:hyperlink>
      <w:r w:rsidRPr="00D03F3E">
        <w:rPr>
          <w:color w:val="000000" w:themeColor="text1"/>
          <w:sz w:val="16"/>
          <w:szCs w:val="16"/>
        </w:rPr>
        <w:t>] </w:t>
      </w:r>
      <w:r w:rsidRPr="00D03F3E">
        <w:rPr>
          <w:rStyle w:val="af0"/>
          <w:i w:val="0"/>
          <w:color w:val="000000" w:themeColor="text1"/>
          <w:sz w:val="16"/>
          <w:szCs w:val="16"/>
        </w:rPr>
        <w:t>С целью мобилизации финансовых ресурсов 3 июля 1941 г. были установлены 100 % надбавки к подоходному и сельскохозяйственному налогам; в ноябре того же года введен налог на холостяков, одиноких и малосемейных граждан, обеспечивающий их участие в поддержке многодетных семей. 29 декабря 1941 г. указом Президиума Верховного Совета СССР введен специальный военный налог, который устанавливался для всех граждан старше 18 лет, за исключением военнослужащих в действующей армии, членов их семей, получающих пособия, инвалидов, пенсионеров и пр. (в связи с его введением были отменены надбавки к подоходному и сельскохозяйственному налогам).</w:t>
      </w:r>
    </w:p>
    <w:p w14:paraId="1289D0F3"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w:t>
      </w:r>
      <w:hyperlink r:id="rId38" w:anchor="_ftnref7" w:history="1">
        <w:r w:rsidRPr="00D03F3E">
          <w:rPr>
            <w:rStyle w:val="a5"/>
            <w:rFonts w:eastAsiaTheme="majorEastAsia"/>
            <w:color w:val="000000" w:themeColor="text1"/>
            <w:sz w:val="16"/>
            <w:szCs w:val="16"/>
            <w:vertAlign w:val="superscript"/>
          </w:rPr>
          <w:t>4</w:t>
        </w:r>
      </w:hyperlink>
      <w:r w:rsidRPr="00D03F3E">
        <w:rPr>
          <w:color w:val="000000" w:themeColor="text1"/>
          <w:sz w:val="16"/>
          <w:szCs w:val="16"/>
        </w:rPr>
        <w:t>] </w:t>
      </w:r>
      <w:r w:rsidRPr="00D03F3E">
        <w:rPr>
          <w:rStyle w:val="af0"/>
          <w:i w:val="0"/>
          <w:color w:val="000000" w:themeColor="text1"/>
          <w:sz w:val="16"/>
          <w:szCs w:val="16"/>
        </w:rPr>
        <w:t>Первые попытки регулирования «денежного обращения в деревне» были предприняты в 1942 г. после выявившегося факта стремительного роста рыночных цен. Тогда были установлены сборы с владельцев скота и разовые сборы на колхозных рынках.</w:t>
      </w:r>
    </w:p>
    <w:p w14:paraId="4C21BF70" w14:textId="77777777" w:rsidR="003B66C2" w:rsidRPr="00D03F3E" w:rsidRDefault="003B66C2"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w:t>
      </w:r>
      <w:hyperlink r:id="rId39" w:anchor="_ftnref9" w:history="1">
        <w:r w:rsidRPr="00D03F3E">
          <w:rPr>
            <w:rStyle w:val="a5"/>
            <w:rFonts w:eastAsiaTheme="majorEastAsia"/>
            <w:color w:val="000000" w:themeColor="text1"/>
            <w:sz w:val="16"/>
            <w:szCs w:val="16"/>
            <w:vertAlign w:val="superscript"/>
          </w:rPr>
          <w:t>5</w:t>
        </w:r>
      </w:hyperlink>
      <w:r w:rsidRPr="00D03F3E">
        <w:rPr>
          <w:color w:val="000000" w:themeColor="text1"/>
          <w:sz w:val="16"/>
          <w:szCs w:val="16"/>
        </w:rPr>
        <w:t>] </w:t>
      </w:r>
      <w:r w:rsidRPr="00D03F3E">
        <w:rPr>
          <w:rStyle w:val="af0"/>
          <w:i w:val="0"/>
          <w:color w:val="000000" w:themeColor="text1"/>
          <w:sz w:val="16"/>
          <w:szCs w:val="16"/>
        </w:rPr>
        <w:t>На первый взгляд, эта фраза не отличается смысловой логикой (ошибки и недочеты как следствие невысокой квалификации специалистов). В действительности речь идет в данном случае об ошибках и недочетах, являющихся возможным следствием реализации творческого начала людей. Целью данного фрагмента выступления А.Г. Зверева и являлось «раскрепощение» будущих сотрудников Группы денежного обращения от научных штампов («смелость теоретической мысли должна быть»). Судя по всему, Зверев получил «наверху» карт-бланш даже на некоторое отступление сотрудниками Группы от ряда постулатов господствовавшей тогда экономической теории, в том числе теории денежного обращения. На это указывают как его собственное признание («конечно, теория есть, нам ее писать не нужно, но нужны соответствующие поправки в понимании самой теории»), так и призывы «посмелее ставить вопросы и делать посмелее соответствующие выводы» (19783).</w:t>
      </w:r>
    </w:p>
    <w:p w14:paraId="45B9F844" w14:textId="77777777" w:rsidR="003B66C2" w:rsidRPr="00D03F3E" w:rsidRDefault="003B66C2" w:rsidP="00D03F3E">
      <w:pPr>
        <w:pStyle w:val="ae"/>
        <w:spacing w:before="0" w:after="0"/>
        <w:jc w:val="both"/>
        <w:rPr>
          <w:color w:val="000000" w:themeColor="text1"/>
          <w:sz w:val="16"/>
          <w:szCs w:val="16"/>
        </w:rPr>
      </w:pPr>
      <w:r w:rsidRPr="00D03F3E">
        <w:rPr>
          <w:color w:val="000000" w:themeColor="text1"/>
          <w:sz w:val="16"/>
          <w:szCs w:val="16"/>
        </w:rPr>
        <w:t> </w:t>
      </w:r>
    </w:p>
    <w:p w14:paraId="0A76149C"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6F0158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A25B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28 января и 3 февраля 1943. Из протокола заседания Политбюро N 39, 1943 г.</w:t>
      </w:r>
    </w:p>
    <w:p w14:paraId="6C973AA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 советском гражданстве некоторых категорий бывших польских граждан </w:t>
      </w:r>
    </w:p>
    <w:p w14:paraId="00B2D46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 Поручить НКВД СССР в трехмесячный срок выдать... советские паспорта лицам, состоявшим в польском гражданстве до 1-2 ноября 1939 г. </w:t>
      </w:r>
    </w:p>
    <w:p w14:paraId="678BD12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3. Лиц, демонстративно отказывающихся получить советские паспорта, а также всех подстрекателей к отказу привлекать к уголовной ответственности (11652).</w:t>
      </w:r>
    </w:p>
    <w:p w14:paraId="79E2CB0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93FABB"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24067F2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47A207"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января 1943 г. первый ХР-63 разбился. При заходе на посадку у него отказалось выпускаться шасси. Приземляться на «брюхо» с почти полными бензобаками летчик Дж. Вулэмс побоялся. Несколько часов он ходил по кругу, вырабатывая горючее. Пока «Кобра» кружилась над аэродромом, солнце село. Приземляться Вулэмс стал уже в темноте. То ли он устал, то ли перенервничал, но в результате перепутал огни в начале полосы и в конце неё. На посадке самолёт врезался в рощицу небольших деревьев и был разбит вдребезги. Пилот, однако, вылез из обломков самостоятельно и существенно не пострадал (12265).</w:t>
      </w:r>
    </w:p>
    <w:p w14:paraId="5F1FB13F" w14:textId="77777777" w:rsidR="0058150B" w:rsidRPr="00D03F3E" w:rsidRDefault="0058150B" w:rsidP="00D03F3E">
      <w:pPr>
        <w:spacing w:after="0" w:line="240" w:lineRule="auto"/>
        <w:jc w:val="both"/>
        <w:rPr>
          <w:rFonts w:ascii="Times New Roman" w:hAnsi="Times New Roman"/>
          <w:color w:val="000000" w:themeColor="text1"/>
          <w:sz w:val="16"/>
          <w:szCs w:val="16"/>
        </w:rPr>
      </w:pPr>
    </w:p>
    <w:p w14:paraId="5DDF9B65"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 xml:space="preserve">28 января </w:t>
      </w:r>
      <w:r w:rsidRPr="00D03F3E">
        <w:rPr>
          <w:rFonts w:ascii="Times New Roman" w:hAnsi="Times New Roman"/>
          <w:color w:val="000000" w:themeColor="text1"/>
          <w:sz w:val="16"/>
          <w:szCs w:val="16"/>
        </w:rPr>
        <w:t xml:space="preserve">в 1943 году в Мюроке произошла авария опытного </w:t>
      </w:r>
      <w:hyperlink r:id="rId40" w:tgtFrame="_blank" w:history="1">
        <w:r w:rsidRPr="00D03F3E">
          <w:rPr>
            <w:rFonts w:ascii="Times New Roman" w:hAnsi="Times New Roman"/>
            <w:color w:val="000000" w:themeColor="text1"/>
            <w:sz w:val="16"/>
            <w:szCs w:val="16"/>
          </w:rPr>
          <w:t xml:space="preserve">«Bell» «P-63» «Kingcobra». </w:t>
        </w:r>
      </w:hyperlink>
      <w:r w:rsidRPr="00D03F3E">
        <w:rPr>
          <w:rFonts w:ascii="Times New Roman" w:hAnsi="Times New Roman"/>
          <w:color w:val="000000" w:themeColor="text1"/>
          <w:sz w:val="16"/>
          <w:szCs w:val="16"/>
        </w:rPr>
        <w:t>Сначала опытную машину облетали представители армии, подполковник Вильям Кэмбелл, майор Марк Купер и полковник Джордж Прайс. Испытания продолжились, и 28 января 43-го произошла авария. Стойки шасси "не вышли", и пилот Джек Вулемс кружил над аэродромом несколько часов, чтобы выработать топливо перед посадкой на "брюхо". К тому моменту, когда баки опустели, солнце уже зашло. В темноте Вулемс спутал огни у оконечности полосы с фонарями, обозначавшими ее начало. Летчик осторожно, старясь сохранить уникальный самолет, зашел на посадку и врезался в деревья. Пилот уцелел чудом, машина разбилась вдребезги, налетав всего 27 ч 20 мин (15023).</w:t>
      </w:r>
    </w:p>
    <w:p w14:paraId="665965E7" w14:textId="77777777" w:rsidR="0058150B" w:rsidRPr="00D03F3E" w:rsidRDefault="0058150B" w:rsidP="00D03F3E">
      <w:pPr>
        <w:spacing w:after="0" w:line="240" w:lineRule="auto"/>
        <w:jc w:val="both"/>
        <w:rPr>
          <w:rFonts w:ascii="Times New Roman" w:hAnsi="Times New Roman"/>
          <w:color w:val="000000" w:themeColor="text1"/>
          <w:sz w:val="16"/>
          <w:szCs w:val="16"/>
        </w:rPr>
      </w:pPr>
    </w:p>
    <w:p w14:paraId="0EA7448F"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 xml:space="preserve">28 января </w:t>
      </w:r>
      <w:r w:rsidRPr="00D03F3E">
        <w:rPr>
          <w:rFonts w:ascii="Times New Roman" w:hAnsi="Times New Roman"/>
          <w:color w:val="000000" w:themeColor="text1"/>
          <w:sz w:val="16"/>
          <w:szCs w:val="16"/>
        </w:rPr>
        <w:t>в 1943 году в Германии объявляется мобилизационный призыв женщин на военную службу. но в рядах Вермахта они не служили, как в СССР, а были во вспомогательных частях, т.е. не на передовой (15023).</w:t>
      </w:r>
    </w:p>
    <w:p w14:paraId="41FDDC2B" w14:textId="77777777" w:rsidR="0058150B" w:rsidRPr="00D03F3E" w:rsidRDefault="0058150B" w:rsidP="00D03F3E">
      <w:pPr>
        <w:spacing w:after="0" w:line="240" w:lineRule="auto"/>
        <w:jc w:val="both"/>
        <w:rPr>
          <w:rFonts w:ascii="Times New Roman" w:hAnsi="Times New Roman"/>
          <w:color w:val="000000" w:themeColor="text1"/>
          <w:sz w:val="16"/>
          <w:szCs w:val="16"/>
        </w:rPr>
      </w:pPr>
    </w:p>
    <w:p w14:paraId="42F43CA1"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января 1943 в Германии объявлен призыв женщин на военную службу (4962).</w:t>
      </w:r>
    </w:p>
    <w:p w14:paraId="2EC6D29E"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8AC0F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января 1943 немцы призвали женщин на военную службу по мобилизации (2100).</w:t>
      </w:r>
    </w:p>
    <w:p w14:paraId="121A1EE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45B683" w14:textId="77777777" w:rsidR="008D38D6" w:rsidRPr="00D03F3E" w:rsidRDefault="008D38D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28 января 1943 японцы начинают использовать свой новый аэродром на Бетио (20376).</w:t>
      </w:r>
    </w:p>
    <w:p w14:paraId="3F779B3A" w14:textId="77777777" w:rsidR="008D38D6" w:rsidRPr="00D03F3E" w:rsidRDefault="008D38D6" w:rsidP="00D03F3E">
      <w:pPr>
        <w:spacing w:after="0" w:line="240" w:lineRule="auto"/>
        <w:jc w:val="both"/>
        <w:rPr>
          <w:rFonts w:ascii="Times New Roman" w:hAnsi="Times New Roman"/>
          <w:color w:val="0070C0"/>
          <w:sz w:val="16"/>
          <w:szCs w:val="16"/>
        </w:rPr>
      </w:pPr>
    </w:p>
    <w:p w14:paraId="6A8ADF87" w14:textId="77777777" w:rsidR="008D38D6" w:rsidRPr="00D03F3E" w:rsidRDefault="008D38D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28 января 1943 P-40 Warhawk - Армейские истребители ВВС США начинаю операции с Амчитки. На следующий день они впервые перехватили атакующий японский самолет, сбив оба атакующих «Руфеса» (20376).</w:t>
      </w:r>
    </w:p>
    <w:p w14:paraId="6CAE279D" w14:textId="77777777" w:rsidR="008D38D6" w:rsidRPr="00D03F3E" w:rsidRDefault="008D38D6" w:rsidP="00D03F3E">
      <w:pPr>
        <w:spacing w:after="0" w:line="240" w:lineRule="auto"/>
        <w:jc w:val="both"/>
        <w:rPr>
          <w:rFonts w:ascii="Times New Roman" w:hAnsi="Times New Roman"/>
          <w:color w:val="0070C0"/>
          <w:sz w:val="16"/>
          <w:szCs w:val="16"/>
        </w:rPr>
      </w:pPr>
    </w:p>
    <w:p w14:paraId="0F201C7F"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5DF1FDC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A21D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января 1943 ГИ ВВС Репиным был утвержден Акт НИИ ВВС по гос. испытаниям И-185 М-71 Эталон:</w:t>
      </w:r>
    </w:p>
    <w:p w14:paraId="114FBFC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января 1943 года летчик-испытатель НИИ ВВС, полковник Стефановский, вед. инженер НИИ ВВС, инженер-полковник Лазарев, летчик-испытатель завода N 51 Логинов писали письмо Сталину.</w:t>
      </w:r>
    </w:p>
    <w:p w14:paraId="3B7D25B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Дорогой Иосиф Виссарионович!</w:t>
      </w:r>
    </w:p>
    <w:p w14:paraId="4B1B961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Мы, испытатели истребителя И-185 конструкции Н.Н. Поликарпова, вынуждены обратиться к Вам, Иосиф Виссарионович, со следующим:</w:t>
      </w:r>
    </w:p>
    <w:p w14:paraId="7C5A09A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Истребитель И-185 прошел заводские, а затем и государственные летные испытания в НИИ ВВС. Заводские испытания проводил летчик Логинов, а в НИИ ВВС - летчик Стефановский. В результате испытаний получены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860B4B" w:rsidRPr="00D03F3E" w14:paraId="529B7A31" w14:textId="77777777">
        <w:tc>
          <w:tcPr>
            <w:tcW w:w="3757" w:type="dxa"/>
          </w:tcPr>
          <w:p w14:paraId="2531644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Максимальная скорость у земли</w:t>
            </w:r>
          </w:p>
        </w:tc>
        <w:tc>
          <w:tcPr>
            <w:tcW w:w="3757" w:type="dxa"/>
          </w:tcPr>
          <w:p w14:paraId="72E1919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 км/час</w:t>
            </w:r>
          </w:p>
        </w:tc>
      </w:tr>
      <w:tr w:rsidR="00860B4B" w:rsidRPr="00D03F3E" w14:paraId="69230152" w14:textId="77777777">
        <w:tc>
          <w:tcPr>
            <w:tcW w:w="3757" w:type="dxa"/>
          </w:tcPr>
          <w:p w14:paraId="31AB7AF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Максимальная скорость на</w:t>
            </w:r>
          </w:p>
        </w:tc>
        <w:tc>
          <w:tcPr>
            <w:tcW w:w="3757" w:type="dxa"/>
          </w:tcPr>
          <w:p w14:paraId="1A988B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CF2F2C3" w14:textId="77777777">
        <w:tc>
          <w:tcPr>
            <w:tcW w:w="3757" w:type="dxa"/>
          </w:tcPr>
          <w:p w14:paraId="7EF696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высоте Н=6100 м</w:t>
            </w:r>
          </w:p>
        </w:tc>
        <w:tc>
          <w:tcPr>
            <w:tcW w:w="3757" w:type="dxa"/>
          </w:tcPr>
          <w:p w14:paraId="54F02CC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680 км/час</w:t>
            </w:r>
          </w:p>
        </w:tc>
      </w:tr>
      <w:tr w:rsidR="00860B4B" w:rsidRPr="00D03F3E" w14:paraId="7B331E37" w14:textId="77777777">
        <w:tc>
          <w:tcPr>
            <w:tcW w:w="3757" w:type="dxa"/>
          </w:tcPr>
          <w:p w14:paraId="2F57F1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Скороподъемность на 5000 м</w:t>
            </w:r>
          </w:p>
        </w:tc>
        <w:tc>
          <w:tcPr>
            <w:tcW w:w="3757" w:type="dxa"/>
          </w:tcPr>
          <w:p w14:paraId="5BCDA4A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 мин.</w:t>
            </w:r>
          </w:p>
        </w:tc>
      </w:tr>
      <w:tr w:rsidR="00860B4B" w:rsidRPr="00D03F3E" w14:paraId="76898D59" w14:textId="77777777">
        <w:tc>
          <w:tcPr>
            <w:tcW w:w="3757" w:type="dxa"/>
          </w:tcPr>
          <w:p w14:paraId="731B2BF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Среднее время выполнения</w:t>
            </w:r>
          </w:p>
        </w:tc>
        <w:tc>
          <w:tcPr>
            <w:tcW w:w="3757" w:type="dxa"/>
          </w:tcPr>
          <w:p w14:paraId="7472E35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4C2981F" w14:textId="77777777">
        <w:tc>
          <w:tcPr>
            <w:tcW w:w="3757" w:type="dxa"/>
          </w:tcPr>
          <w:p w14:paraId="160087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виража на Н=1000</w:t>
            </w:r>
          </w:p>
        </w:tc>
        <w:tc>
          <w:tcPr>
            <w:tcW w:w="3757" w:type="dxa"/>
          </w:tcPr>
          <w:p w14:paraId="2D58DA7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22-23 сек.</w:t>
            </w:r>
          </w:p>
        </w:tc>
      </w:tr>
    </w:tbl>
    <w:p w14:paraId="7852A54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Истребитель имеет мощный фронтальный огонь - установлено:</w:t>
      </w:r>
    </w:p>
    <w:p w14:paraId="159B10E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пушки калибра 20 мм с боевым запасом 600 снарядов.</w:t>
      </w:r>
    </w:p>
    <w:p w14:paraId="78E4104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 В управлении истребитель доступен для летчиков средней</w:t>
      </w:r>
    </w:p>
    <w:p w14:paraId="60528ED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квалификации, что подтверждают летавшие на нем летчики (12</w:t>
      </w:r>
    </w:p>
    <w:p w14:paraId="5A3F07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человек, из них 4 рядовых летчика гвардейского полка). Самолет</w:t>
      </w:r>
    </w:p>
    <w:p w14:paraId="3F061C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является наиболее легко изучаемым для большинства летчиков</w:t>
      </w:r>
    </w:p>
    <w:p w14:paraId="687038C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нашей страны.</w:t>
      </w:r>
    </w:p>
    <w:p w14:paraId="3440153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 В эксплуатации истребитель прост. Его агрегаты легко</w:t>
      </w:r>
    </w:p>
    <w:p w14:paraId="197BE6A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доступны для ремонта в полевых условиях.</w:t>
      </w:r>
    </w:p>
    <w:p w14:paraId="414B990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Нам известно, что Поликарпов Н.Н. имеет проект модификации истребителя И-185, осуществление которого даст следующие летные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860B4B" w:rsidRPr="00D03F3E" w14:paraId="4BDE6275" w14:textId="77777777">
        <w:tc>
          <w:tcPr>
            <w:tcW w:w="3757" w:type="dxa"/>
          </w:tcPr>
          <w:p w14:paraId="0C3AD35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Максимальная скорость у земли</w:t>
            </w:r>
          </w:p>
        </w:tc>
        <w:tc>
          <w:tcPr>
            <w:tcW w:w="3757" w:type="dxa"/>
          </w:tcPr>
          <w:p w14:paraId="47CAD8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650 км/час</w:t>
            </w:r>
          </w:p>
        </w:tc>
      </w:tr>
      <w:tr w:rsidR="00860B4B" w:rsidRPr="00D03F3E" w14:paraId="65AEFAE4" w14:textId="77777777">
        <w:tc>
          <w:tcPr>
            <w:tcW w:w="3757" w:type="dxa"/>
          </w:tcPr>
          <w:p w14:paraId="2D74029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Максимальная скорость на</w:t>
            </w:r>
          </w:p>
        </w:tc>
        <w:tc>
          <w:tcPr>
            <w:tcW w:w="3757" w:type="dxa"/>
          </w:tcPr>
          <w:p w14:paraId="569322E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404E3B5" w14:textId="77777777">
        <w:tc>
          <w:tcPr>
            <w:tcW w:w="3757" w:type="dxa"/>
          </w:tcPr>
          <w:p w14:paraId="04DBEA2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высоте Н=6250 м</w:t>
            </w:r>
          </w:p>
        </w:tc>
        <w:tc>
          <w:tcPr>
            <w:tcW w:w="3757" w:type="dxa"/>
          </w:tcPr>
          <w:p w14:paraId="03B28E2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710 км/час</w:t>
            </w:r>
          </w:p>
        </w:tc>
      </w:tr>
      <w:tr w:rsidR="00860B4B" w:rsidRPr="00D03F3E" w14:paraId="299D3910" w14:textId="77777777">
        <w:tc>
          <w:tcPr>
            <w:tcW w:w="3757" w:type="dxa"/>
          </w:tcPr>
          <w:p w14:paraId="7AA079A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Набор высоты 5000 м</w:t>
            </w:r>
          </w:p>
        </w:tc>
        <w:tc>
          <w:tcPr>
            <w:tcW w:w="3757" w:type="dxa"/>
          </w:tcPr>
          <w:p w14:paraId="7968193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 мин.</w:t>
            </w:r>
          </w:p>
        </w:tc>
      </w:tr>
    </w:tbl>
    <w:p w14:paraId="0FA2F70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Мощность фронтального огня может быть увеличена до 4-х пушек,</w:t>
      </w:r>
    </w:p>
    <w:p w14:paraId="79EC783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калибра 20 мм.</w:t>
      </w:r>
    </w:p>
    <w:p w14:paraId="7FCC2B7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своим летно-тактическим данным самолет И-185 является одним из лучших в настоящее время, поэтому обращаемся к Вам с просьбой о разрешении постройки войсковой серии и испытания самолета в боевых условиях на фронте (1783).</w:t>
      </w:r>
    </w:p>
    <w:p w14:paraId="56AD816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4B07C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января/февраля (?) 1943 Нач. НИИ ВВС г-м ИТС П.А.Лосюковым был подписан акт о гос. испытаниях И-185 М-71 (2495,27), а ГИ Репин его утвердил:</w:t>
      </w:r>
    </w:p>
    <w:p w14:paraId="2E76BE6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Самолет И-185 М-71 конструкции Н.Н.П., вооруженный 3 синхронными пушками ШВАК-20 с боекомплектом 500 патр. при запасе горючего в 470 кг, является лучшим современным истребителем.</w:t>
      </w:r>
    </w:p>
    <w:p w14:paraId="1C725B9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макс. скорости, скороподъемности и вертикальному маневру И-185 М-71 превосходит отечественные и последние серийные истребители противника (Ме-108Г-2 и ФВ-190).</w:t>
      </w:r>
    </w:p>
    <w:p w14:paraId="6A308D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Рекомендовать принять на вооружение И-185 с М-71 и ходатайствовать о запуске его в крупносерийное производство. Нормальный полетный вес при этом не должен превышать 3600 кг.</w:t>
      </w:r>
    </w:p>
    <w:p w14:paraId="63A65D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Просить НКАП потребовать от завода 19 устранить дефекты по М-71, оборудовать мотор воздушным самопуском, компрессором и непосредственным впрыском.</w:t>
      </w:r>
    </w:p>
    <w:p w14:paraId="0054847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Потребовать от Н.Н.П. устранения выявленных дефектов согласно настоящему акту и внести изменения в чертежах для серийной постройки И-185 с М-71...(2495,27).</w:t>
      </w:r>
    </w:p>
    <w:p w14:paraId="456BB5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22E15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января/февраля (?) 1943 Нач. НИИ ВВС г-м ИТС П.А.Люсюковым был подписан акт о гос. испытаниях И-185 М-71 (2495,27), а ГИ Репин его утвердил:</w:t>
      </w:r>
    </w:p>
    <w:p w14:paraId="652C7DC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Самолет И-185 М-71 конструкции Н.Н.П., вооруженный 3 синхронными пушками ШВАК-20 с боекомплектом 500 патр. при запасе горючего в 470 кг, является лучшим современным истребителем.</w:t>
      </w:r>
    </w:p>
    <w:p w14:paraId="76E2490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макс. скорости, скороподъемности и вертикальному маневру И-185 М-71 превосходит отечественные и последние серийные истребители противника (Ме-108Г-2 и ФВ-190).</w:t>
      </w:r>
    </w:p>
    <w:p w14:paraId="6219916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Рекомендовать принять на вооружение И-185 с М-71 и ходатайствовать о запуске его в крупносерийное производство. Нормальный полетный вес при этом не должен превышать 3600 кг.</w:t>
      </w:r>
    </w:p>
    <w:p w14:paraId="09EBE4E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Просить НКАП потребовать от завода 19 устранить дефекты по М-71, оборудовать мотор воздушным самопуском, компрессором и непосредственным впрыском.</w:t>
      </w:r>
    </w:p>
    <w:p w14:paraId="39B831A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Потребовать от Н.Н.П. устранения выявленных дефектов согласно настоящему акту и внести изменения в чертежах для серийной постройки И-185 с М-71...(2495,27).</w:t>
      </w:r>
    </w:p>
    <w:p w14:paraId="6A55AA0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69EBD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января 1943 г. главный инже</w:t>
      </w:r>
      <w:r w:rsidRPr="00D03F3E">
        <w:rPr>
          <w:rFonts w:ascii="Times New Roman" w:hAnsi="Times New Roman"/>
          <w:color w:val="000000" w:themeColor="text1"/>
          <w:sz w:val="16"/>
          <w:szCs w:val="16"/>
        </w:rPr>
        <w:softHyphen/>
        <w:t xml:space="preserve">нер ВВС Красной Армии Репин утвердил «Акте по результатам государственных испытаний одноместного одномоторного </w:t>
      </w:r>
      <w:r w:rsidRPr="00D03F3E">
        <w:rPr>
          <w:rFonts w:ascii="Times New Roman" w:hAnsi="Times New Roman"/>
          <w:color w:val="000000" w:themeColor="text1"/>
          <w:sz w:val="16"/>
          <w:szCs w:val="16"/>
        </w:rPr>
        <w:lastRenderedPageBreak/>
        <w:t>истребительного самоле</w:t>
      </w:r>
      <w:r w:rsidRPr="00D03F3E">
        <w:rPr>
          <w:rFonts w:ascii="Times New Roman" w:hAnsi="Times New Roman"/>
          <w:color w:val="000000" w:themeColor="text1"/>
          <w:sz w:val="16"/>
          <w:szCs w:val="16"/>
        </w:rPr>
        <w:softHyphen/>
        <w:t>та И-185 с винтом АВ5-119 постройки завода №51 НКАП». Стефановский высоко оценил машину, ее летные характеристики:</w:t>
      </w:r>
    </w:p>
    <w:p w14:paraId="4189BAF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«...Кабина удобна. Оборудование размещено хорошо и рационально. Размеры кабины позволяют поместить</w:t>
      </w:r>
      <w:r w:rsidRPr="00D03F3E">
        <w:rPr>
          <w:rFonts w:ascii="Times New Roman" w:hAnsi="Times New Roman"/>
          <w:color w:val="000000" w:themeColor="text1"/>
          <w:sz w:val="16"/>
          <w:szCs w:val="16"/>
        </w:rPr>
        <w:softHyphen/>
        <w:t>ся свободно в зимнем обмундировании, не стесняя лет</w:t>
      </w:r>
      <w:r w:rsidRPr="00D03F3E">
        <w:rPr>
          <w:rFonts w:ascii="Times New Roman" w:hAnsi="Times New Roman"/>
          <w:color w:val="000000" w:themeColor="text1"/>
          <w:sz w:val="16"/>
          <w:szCs w:val="16"/>
        </w:rPr>
        <w:softHyphen/>
        <w:t>чика...</w:t>
      </w:r>
    </w:p>
    <w:p w14:paraId="5BD6C5E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большую нагрузку на квадратный метр, самолет, благодаря исключительно удачному сочетанию форм, габаритов, прекрасной механизации крыла и удачной компоновки всего самолета, обладает очень вы</w:t>
      </w:r>
      <w:r w:rsidRPr="00D03F3E">
        <w:rPr>
          <w:rFonts w:ascii="Times New Roman" w:hAnsi="Times New Roman"/>
          <w:color w:val="000000" w:themeColor="text1"/>
          <w:sz w:val="16"/>
          <w:szCs w:val="16"/>
        </w:rPr>
        <w:softHyphen/>
        <w:t>сокими скоростями и скороподъемностью, хорошей ма</w:t>
      </w:r>
      <w:r w:rsidRPr="00D03F3E">
        <w:rPr>
          <w:rFonts w:ascii="Times New Roman" w:hAnsi="Times New Roman"/>
          <w:color w:val="000000" w:themeColor="text1"/>
          <w:sz w:val="16"/>
          <w:szCs w:val="16"/>
        </w:rPr>
        <w:softHyphen/>
        <w:t>невренностью и сравнительной простотой в технике пилотирования.</w:t>
      </w:r>
    </w:p>
    <w:p w14:paraId="597270B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Мощный пушечный огонь позволяет сбивать само</w:t>
      </w:r>
      <w:r w:rsidRPr="00D03F3E">
        <w:rPr>
          <w:rFonts w:ascii="Times New Roman" w:hAnsi="Times New Roman"/>
          <w:color w:val="000000" w:themeColor="text1"/>
          <w:sz w:val="16"/>
          <w:szCs w:val="16"/>
        </w:rPr>
        <w:softHyphen/>
        <w:t>леты противника с одной-двух атак, постановка форси</w:t>
      </w:r>
      <w:r w:rsidRPr="00D03F3E">
        <w:rPr>
          <w:rFonts w:ascii="Times New Roman" w:hAnsi="Times New Roman"/>
          <w:color w:val="000000" w:themeColor="text1"/>
          <w:sz w:val="16"/>
          <w:szCs w:val="16"/>
        </w:rPr>
        <w:softHyphen/>
        <w:t>рованного мотора и облегчение конструкции еще более улучшит летные данные и простоту техники пилотиро</w:t>
      </w:r>
      <w:r w:rsidRPr="00D03F3E">
        <w:rPr>
          <w:rFonts w:ascii="Times New Roman" w:hAnsi="Times New Roman"/>
          <w:color w:val="000000" w:themeColor="text1"/>
          <w:sz w:val="16"/>
          <w:szCs w:val="16"/>
        </w:rPr>
        <w:softHyphen/>
        <w:t>вания.</w:t>
      </w:r>
    </w:p>
    <w:p w14:paraId="165B728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это заставляет считать, что данный самолет явля</w:t>
      </w:r>
      <w:r w:rsidRPr="00D03F3E">
        <w:rPr>
          <w:rFonts w:ascii="Times New Roman" w:hAnsi="Times New Roman"/>
          <w:color w:val="000000" w:themeColor="text1"/>
          <w:sz w:val="16"/>
          <w:szCs w:val="16"/>
        </w:rPr>
        <w:softHyphen/>
        <w:t>ется перспективным и будет иметь все преимущества перед существующими в данный момент самолетами противника».</w:t>
      </w:r>
    </w:p>
    <w:p w14:paraId="4D46630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Помощник начальника инспекции ВВС КА летчик-испытатель бригинженер П.Я.Федрови, успевший обле</w:t>
      </w:r>
      <w:r w:rsidRPr="00D03F3E">
        <w:rPr>
          <w:rFonts w:ascii="Times New Roman" w:hAnsi="Times New Roman"/>
          <w:color w:val="000000" w:themeColor="text1"/>
          <w:sz w:val="16"/>
          <w:szCs w:val="16"/>
        </w:rPr>
        <w:softHyphen/>
        <w:t>тать И-185 до аварии, отмечал:</w:t>
      </w:r>
    </w:p>
    <w:p w14:paraId="20524BF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«Облет самолета И-185 М-71 оставляет благоприят</w:t>
      </w:r>
      <w:r w:rsidRPr="00D03F3E">
        <w:rPr>
          <w:rFonts w:ascii="Times New Roman" w:hAnsi="Times New Roman"/>
          <w:color w:val="000000" w:themeColor="text1"/>
          <w:sz w:val="16"/>
          <w:szCs w:val="16"/>
        </w:rPr>
        <w:softHyphen/>
        <w:t>ное впечатление и позволяет отнести его летные свойст</w:t>
      </w:r>
      <w:r w:rsidRPr="00D03F3E">
        <w:rPr>
          <w:rFonts w:ascii="Times New Roman" w:hAnsi="Times New Roman"/>
          <w:color w:val="000000" w:themeColor="text1"/>
          <w:sz w:val="16"/>
          <w:szCs w:val="16"/>
        </w:rPr>
        <w:softHyphen/>
        <w:t>ва к высокой оценке. Самолет можно считать по технике пилотирования рассчитанным на среднего летчика.</w:t>
      </w:r>
    </w:p>
    <w:p w14:paraId="10398B6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сравнению с другими самолетами с звездообраз</w:t>
      </w:r>
      <w:r w:rsidRPr="00D03F3E">
        <w:rPr>
          <w:rFonts w:ascii="Times New Roman" w:hAnsi="Times New Roman"/>
          <w:color w:val="000000" w:themeColor="text1"/>
          <w:sz w:val="16"/>
          <w:szCs w:val="16"/>
        </w:rPr>
        <w:softHyphen/>
        <w:t>ными моторами самолет И-185 М-71 по летно-маневренным свойствам и полученным скоростям занимает первое место.</w:t>
      </w:r>
    </w:p>
    <w:p w14:paraId="0AA53F7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Техника пилотирования в сравнении с самолетом ЛаГ-5 и МИГ М-82 на самолете И-185 М-71 проще и ос</w:t>
      </w:r>
      <w:r w:rsidRPr="00D03F3E">
        <w:rPr>
          <w:rFonts w:ascii="Times New Roman" w:hAnsi="Times New Roman"/>
          <w:color w:val="000000" w:themeColor="text1"/>
          <w:sz w:val="16"/>
          <w:szCs w:val="16"/>
        </w:rPr>
        <w:softHyphen/>
        <w:t>воение его в строевых частях будет легче.</w:t>
      </w:r>
    </w:p>
    <w:p w14:paraId="007F89C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Боевые качества самолета И-185 М-71, имеющего 3 синхронные пушки с 500 снарядами выше упомяну</w:t>
      </w:r>
      <w:r w:rsidRPr="00D03F3E">
        <w:rPr>
          <w:rFonts w:ascii="Times New Roman" w:hAnsi="Times New Roman"/>
          <w:color w:val="000000" w:themeColor="text1"/>
          <w:sz w:val="16"/>
          <w:szCs w:val="16"/>
        </w:rPr>
        <w:softHyphen/>
        <w:t>тых самолетов, а утомляемость летчика в полете мень</w:t>
      </w:r>
      <w:r w:rsidRPr="00D03F3E">
        <w:rPr>
          <w:rFonts w:ascii="Times New Roman" w:hAnsi="Times New Roman"/>
          <w:color w:val="000000" w:themeColor="text1"/>
          <w:sz w:val="16"/>
          <w:szCs w:val="16"/>
        </w:rPr>
        <w:softHyphen/>
        <w:t>ше...».</w:t>
      </w:r>
    </w:p>
    <w:p w14:paraId="37D6365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выводах по результатам государственных испыта</w:t>
      </w:r>
      <w:r w:rsidRPr="00D03F3E">
        <w:rPr>
          <w:rFonts w:ascii="Times New Roman" w:hAnsi="Times New Roman"/>
          <w:color w:val="000000" w:themeColor="text1"/>
          <w:sz w:val="16"/>
          <w:szCs w:val="16"/>
        </w:rPr>
        <w:softHyphen/>
        <w:t>ний давалась всесторонняя оценка истребителя с точки зрения летных и эксплуатационных качеств, удовлетво</w:t>
      </w:r>
      <w:r w:rsidRPr="00D03F3E">
        <w:rPr>
          <w:rFonts w:ascii="Times New Roman" w:hAnsi="Times New Roman"/>
          <w:color w:val="000000" w:themeColor="text1"/>
          <w:sz w:val="16"/>
          <w:szCs w:val="16"/>
        </w:rPr>
        <w:softHyphen/>
        <w:t>рения требований ВВС к боевым машинам:</w:t>
      </w:r>
    </w:p>
    <w:p w14:paraId="2FEFA2A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Основные летно-тактические данные, получен</w:t>
      </w:r>
      <w:r w:rsidRPr="00D03F3E">
        <w:rPr>
          <w:rFonts w:ascii="Times New Roman" w:hAnsi="Times New Roman"/>
          <w:color w:val="000000" w:themeColor="text1"/>
          <w:sz w:val="16"/>
          <w:szCs w:val="16"/>
        </w:rPr>
        <w:softHyphen/>
        <w:t>ные при заводских испытаниях самолета И-185 М-71, подтвердились.</w:t>
      </w:r>
    </w:p>
    <w:p w14:paraId="173F364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 высоты 3200 м скорость значительно повышена за счет лучшей подгонки шасси со щитками и, частично, внутренней герметизации самолета.</w:t>
      </w:r>
    </w:p>
    <w:p w14:paraId="6F11632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Максимальная скорость на границе высотности 6100 м занижена как на заводских, так и на государст</w:t>
      </w:r>
      <w:r w:rsidRPr="00D03F3E">
        <w:rPr>
          <w:rFonts w:ascii="Times New Roman" w:hAnsi="Times New Roman"/>
          <w:color w:val="000000" w:themeColor="text1"/>
          <w:sz w:val="16"/>
          <w:szCs w:val="16"/>
        </w:rPr>
        <w:softHyphen/>
        <w:t>венных испытаниях по причине плохой работы мотора на высоте из-за низкого качества свечей «ВГ-12», невы</w:t>
      </w:r>
      <w:r w:rsidRPr="00D03F3E">
        <w:rPr>
          <w:rFonts w:ascii="Times New Roman" w:hAnsi="Times New Roman"/>
          <w:color w:val="000000" w:themeColor="text1"/>
          <w:sz w:val="16"/>
          <w:szCs w:val="16"/>
        </w:rPr>
        <w:softHyphen/>
        <w:t>сотных магнето и неудовлетворительной работы кар</w:t>
      </w:r>
      <w:r w:rsidRPr="00D03F3E">
        <w:rPr>
          <w:rFonts w:ascii="Times New Roman" w:hAnsi="Times New Roman"/>
          <w:color w:val="000000" w:themeColor="text1"/>
          <w:sz w:val="16"/>
          <w:szCs w:val="16"/>
        </w:rPr>
        <w:softHyphen/>
        <w:t>бюратора «АК-71ВП».</w:t>
      </w:r>
    </w:p>
    <w:p w14:paraId="0915E5E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Самолет И-185 М-71 обладает большим диапазо</w:t>
      </w:r>
      <w:r w:rsidRPr="00D03F3E">
        <w:rPr>
          <w:rFonts w:ascii="Times New Roman" w:hAnsi="Times New Roman"/>
          <w:color w:val="000000" w:themeColor="text1"/>
          <w:sz w:val="16"/>
          <w:szCs w:val="16"/>
        </w:rPr>
        <w:softHyphen/>
        <w:t>ном скоростей, хорошей скороподъемностью и верти</w:t>
      </w:r>
      <w:r w:rsidRPr="00D03F3E">
        <w:rPr>
          <w:rFonts w:ascii="Times New Roman" w:hAnsi="Times New Roman"/>
          <w:color w:val="000000" w:themeColor="text1"/>
          <w:sz w:val="16"/>
          <w:szCs w:val="16"/>
        </w:rPr>
        <w:softHyphen/>
        <w:t>кальным маневром, что является положительным качеством современного истребителя.</w:t>
      </w:r>
    </w:p>
    <w:p w14:paraId="28227A4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технике пилотирования самолет приятен и досту</w:t>
      </w:r>
      <w:r w:rsidRPr="00D03F3E">
        <w:rPr>
          <w:rFonts w:ascii="Times New Roman" w:hAnsi="Times New Roman"/>
          <w:color w:val="000000" w:themeColor="text1"/>
          <w:sz w:val="16"/>
          <w:szCs w:val="16"/>
        </w:rPr>
        <w:softHyphen/>
        <w:t>пен летчику средней квалификации.</w:t>
      </w:r>
    </w:p>
    <w:p w14:paraId="4DB9028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Запас горючего 470 кг по расчетным данным обеспе</w:t>
      </w:r>
      <w:r w:rsidRPr="00D03F3E">
        <w:rPr>
          <w:rFonts w:ascii="Times New Roman" w:hAnsi="Times New Roman"/>
          <w:color w:val="000000" w:themeColor="text1"/>
          <w:sz w:val="16"/>
          <w:szCs w:val="16"/>
        </w:rPr>
        <w:softHyphen/>
        <w:t>чивает дальность полета на 0,9 максимальной скорости 800 км.</w:t>
      </w:r>
    </w:p>
    <w:p w14:paraId="4DA3CD7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Стрелково-пушечное вооружение отвечает требо</w:t>
      </w:r>
      <w:r w:rsidRPr="00D03F3E">
        <w:rPr>
          <w:rFonts w:ascii="Times New Roman" w:hAnsi="Times New Roman"/>
          <w:color w:val="000000" w:themeColor="text1"/>
          <w:sz w:val="16"/>
          <w:szCs w:val="16"/>
        </w:rPr>
        <w:softHyphen/>
        <w:t>ваниям современного воздушного боя, но уступает мощности огня последнего немецкого истребителя Ме-109С-2 в пятиточечном варианте и Фокке-Вульф-190. На данном экземпляре вооружение не проверено вслед</w:t>
      </w:r>
      <w:r w:rsidRPr="00D03F3E">
        <w:rPr>
          <w:rFonts w:ascii="Times New Roman" w:hAnsi="Times New Roman"/>
          <w:color w:val="000000" w:themeColor="text1"/>
          <w:sz w:val="16"/>
          <w:szCs w:val="16"/>
        </w:rPr>
        <w:softHyphen/>
        <w:t>ствие аварии самолета. Аналогичное вооружение - 3 пушки ШВАК - успешно прошло испытание на самоле</w:t>
      </w:r>
      <w:r w:rsidRPr="00D03F3E">
        <w:rPr>
          <w:rFonts w:ascii="Times New Roman" w:hAnsi="Times New Roman"/>
          <w:color w:val="000000" w:themeColor="text1"/>
          <w:sz w:val="16"/>
          <w:szCs w:val="16"/>
        </w:rPr>
        <w:softHyphen/>
        <w:t>те И-185 с М-82 на совместных испытаниях.</w:t>
      </w:r>
    </w:p>
    <w:p w14:paraId="200F0E5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В процессе испытаний выявлен ряд конструкцион</w:t>
      </w:r>
      <w:r w:rsidRPr="00D03F3E">
        <w:rPr>
          <w:rFonts w:ascii="Times New Roman" w:hAnsi="Times New Roman"/>
          <w:color w:val="000000" w:themeColor="text1"/>
          <w:sz w:val="16"/>
          <w:szCs w:val="16"/>
        </w:rPr>
        <w:softHyphen/>
        <w:t>ных и производственных дефектов:</w:t>
      </w:r>
    </w:p>
    <w:p w14:paraId="7CA55EC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по самолету:</w:t>
      </w:r>
    </w:p>
    <w:p w14:paraId="6F32670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Сферические поверхности фонаря кабины искажают обзор, нет аварийного сброса.</w:t>
      </w:r>
    </w:p>
    <w:p w14:paraId="7BA6D33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Фонарь кабины сделать по типу фонаря кабины са</w:t>
      </w:r>
      <w:r w:rsidRPr="00D03F3E">
        <w:rPr>
          <w:rFonts w:ascii="Times New Roman" w:hAnsi="Times New Roman"/>
          <w:color w:val="000000" w:themeColor="text1"/>
          <w:sz w:val="16"/>
          <w:szCs w:val="16"/>
        </w:rPr>
        <w:softHyphen/>
        <w:t>молета «Киттихаук».</w:t>
      </w:r>
    </w:p>
    <w:p w14:paraId="4A01482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Наличие ручного управления жалюзи капота и за</w:t>
      </w:r>
      <w:r w:rsidRPr="00D03F3E">
        <w:rPr>
          <w:rFonts w:ascii="Times New Roman" w:hAnsi="Times New Roman"/>
          <w:color w:val="000000" w:themeColor="text1"/>
          <w:sz w:val="16"/>
          <w:szCs w:val="16"/>
        </w:rPr>
        <w:softHyphen/>
        <w:t>слонкой маслорадиатора усложняет работу летчика и приводит к снижению летной ценности самолета.</w:t>
      </w:r>
    </w:p>
    <w:p w14:paraId="2E391CE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Устранить высокие температуры в кабине летчика.</w:t>
      </w:r>
    </w:p>
    <w:p w14:paraId="601616D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Остальные дефекты устранить в первой серии по срокам, согласованным с ГУЗ ВВС КА (ГУЗ - Главное управление заказов. - В.И.).</w:t>
      </w:r>
    </w:p>
    <w:p w14:paraId="4A762E6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по мотору:</w:t>
      </w:r>
    </w:p>
    <w:p w14:paraId="32DF4DD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Неудовлетворительная работа мотора М-71 затянула испытания и доводку самолета И-185.</w:t>
      </w:r>
    </w:p>
    <w:p w14:paraId="3BBAB0F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5 часов 13 минут вышло из строя 2 мотора по при</w:t>
      </w:r>
      <w:r w:rsidRPr="00D03F3E">
        <w:rPr>
          <w:rFonts w:ascii="Times New Roman" w:hAnsi="Times New Roman"/>
          <w:color w:val="000000" w:themeColor="text1"/>
          <w:sz w:val="16"/>
          <w:szCs w:val="16"/>
        </w:rPr>
        <w:softHyphen/>
        <w:t>чине конструкционных и производственных дефектов: поломки валика масляной помпы МШ-5 и выпадания седла клапана. Из-за последнего дефекта самолет раз</w:t>
      </w:r>
      <w:r w:rsidRPr="00D03F3E">
        <w:rPr>
          <w:rFonts w:ascii="Times New Roman" w:hAnsi="Times New Roman"/>
          <w:color w:val="000000" w:themeColor="text1"/>
          <w:sz w:val="16"/>
          <w:szCs w:val="16"/>
        </w:rPr>
        <w:softHyphen/>
        <w:t>бит...</w:t>
      </w:r>
    </w:p>
    <w:p w14:paraId="0424990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Самолет И-185 М-71, обладая высокими летными данными, мощным вооружением, и имеющий перспек</w:t>
      </w:r>
      <w:r w:rsidRPr="00D03F3E">
        <w:rPr>
          <w:rFonts w:ascii="Times New Roman" w:hAnsi="Times New Roman"/>
          <w:color w:val="000000" w:themeColor="text1"/>
          <w:sz w:val="16"/>
          <w:szCs w:val="16"/>
        </w:rPr>
        <w:softHyphen/>
        <w:t>тиву дальнейшего развития, может быть рекомендован на вооружение ВВС Красной Армии».</w:t>
      </w:r>
    </w:p>
    <w:p w14:paraId="0B0E6C9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Заключительные строки документа гласили: «1. Самолет И-185 сМ-71 конструкции тов. Поликар</w:t>
      </w:r>
      <w:r w:rsidRPr="00D03F3E">
        <w:rPr>
          <w:rFonts w:ascii="Times New Roman" w:hAnsi="Times New Roman"/>
          <w:color w:val="000000" w:themeColor="text1"/>
          <w:sz w:val="16"/>
          <w:szCs w:val="16"/>
        </w:rPr>
        <w:softHyphen/>
        <w:t>пова Н.Н., вооруженный 3-мя синхронными пушками ШВАК-20 с боекомплектом 500 патронов при запасе го</w:t>
      </w:r>
      <w:r w:rsidRPr="00D03F3E">
        <w:rPr>
          <w:rFonts w:ascii="Times New Roman" w:hAnsi="Times New Roman"/>
          <w:color w:val="000000" w:themeColor="text1"/>
          <w:sz w:val="16"/>
          <w:szCs w:val="16"/>
        </w:rPr>
        <w:softHyphen/>
        <w:t>рючего 470 кг, является лучшим современным истреби</w:t>
      </w:r>
      <w:r w:rsidRPr="00D03F3E">
        <w:rPr>
          <w:rFonts w:ascii="Times New Roman" w:hAnsi="Times New Roman"/>
          <w:color w:val="000000" w:themeColor="text1"/>
          <w:sz w:val="16"/>
          <w:szCs w:val="16"/>
        </w:rPr>
        <w:softHyphen/>
        <w:t>телем.</w:t>
      </w:r>
    </w:p>
    <w:p w14:paraId="4368C3A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максимальной скорости, скороподъемности и вертикальному маневру И-185 с М-71 превосходит оте</w:t>
      </w:r>
      <w:r w:rsidRPr="00D03F3E">
        <w:rPr>
          <w:rFonts w:ascii="Times New Roman" w:hAnsi="Times New Roman"/>
          <w:color w:val="000000" w:themeColor="text1"/>
          <w:sz w:val="16"/>
          <w:szCs w:val="16"/>
        </w:rPr>
        <w:softHyphen/>
        <w:t>чественные и последние серийные истребители против</w:t>
      </w:r>
      <w:r w:rsidRPr="00D03F3E">
        <w:rPr>
          <w:rFonts w:ascii="Times New Roman" w:hAnsi="Times New Roman"/>
          <w:color w:val="000000" w:themeColor="text1"/>
          <w:sz w:val="16"/>
          <w:szCs w:val="16"/>
        </w:rPr>
        <w:softHyphen/>
        <w:t>ника (Ме-109С-2 и ФВ-190).</w:t>
      </w:r>
    </w:p>
    <w:p w14:paraId="2526E5F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Рекомендовать принять на вооружение самолет И-185 с мотором М-71 и ходатайствовать о запуске его в крупносерийное производство с 3 синхронными пуш</w:t>
      </w:r>
      <w:r w:rsidRPr="00D03F3E">
        <w:rPr>
          <w:rFonts w:ascii="Times New Roman" w:hAnsi="Times New Roman"/>
          <w:color w:val="000000" w:themeColor="text1"/>
          <w:sz w:val="16"/>
          <w:szCs w:val="16"/>
        </w:rPr>
        <w:softHyphen/>
        <w:t>ками ШВАК-20 с общим боекомплектом 500 шт. патро</w:t>
      </w:r>
      <w:r w:rsidRPr="00D03F3E">
        <w:rPr>
          <w:rFonts w:ascii="Times New Roman" w:hAnsi="Times New Roman"/>
          <w:color w:val="000000" w:themeColor="text1"/>
          <w:sz w:val="16"/>
          <w:szCs w:val="16"/>
        </w:rPr>
        <w:softHyphen/>
        <w:t>нов и запасом горючего 470 кг.</w:t>
      </w:r>
    </w:p>
    <w:p w14:paraId="6050F7B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Нормальный полетный вес при этом не должен пре</w:t>
      </w:r>
      <w:r w:rsidRPr="00D03F3E">
        <w:rPr>
          <w:rFonts w:ascii="Times New Roman" w:hAnsi="Times New Roman"/>
          <w:color w:val="000000" w:themeColor="text1"/>
          <w:sz w:val="16"/>
          <w:szCs w:val="16"/>
        </w:rPr>
        <w:softHyphen/>
        <w:t>вышать 3600 кг.</w:t>
      </w:r>
    </w:p>
    <w:p w14:paraId="1D3C102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Просить Народный Комиссариат Авиационной Промышленности потребовать от завода № 19 устранить дефекты по мотору М-71, оборудовать мотор воздуш</w:t>
      </w:r>
      <w:r w:rsidRPr="00D03F3E">
        <w:rPr>
          <w:rFonts w:ascii="Times New Roman" w:hAnsi="Times New Roman"/>
          <w:color w:val="000000" w:themeColor="text1"/>
          <w:sz w:val="16"/>
          <w:szCs w:val="16"/>
        </w:rPr>
        <w:softHyphen/>
        <w:t>ным самопуском, компрессором и непосредственным впрыском.</w:t>
      </w:r>
    </w:p>
    <w:p w14:paraId="24449ED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Потребовать от главного конструктора тов. Поли</w:t>
      </w:r>
      <w:r w:rsidRPr="00D03F3E">
        <w:rPr>
          <w:rFonts w:ascii="Times New Roman" w:hAnsi="Times New Roman"/>
          <w:color w:val="000000" w:themeColor="text1"/>
          <w:sz w:val="16"/>
          <w:szCs w:val="16"/>
        </w:rPr>
        <w:softHyphen/>
        <w:t>карпова устранить выявленные дефекты согласно на</w:t>
      </w:r>
      <w:r w:rsidRPr="00D03F3E">
        <w:rPr>
          <w:rFonts w:ascii="Times New Roman" w:hAnsi="Times New Roman"/>
          <w:color w:val="000000" w:themeColor="text1"/>
          <w:sz w:val="16"/>
          <w:szCs w:val="16"/>
        </w:rPr>
        <w:softHyphen/>
        <w:t>стоящего акта и внести изменения в чертежах для серийной постройки самолетов И-185 М-71».</w:t>
      </w:r>
    </w:p>
    <w:p w14:paraId="778F06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Николай Николаевич оперативно выполнил все не</w:t>
      </w:r>
      <w:r w:rsidRPr="00D03F3E">
        <w:rPr>
          <w:rFonts w:ascii="Times New Roman" w:hAnsi="Times New Roman"/>
          <w:color w:val="000000" w:themeColor="text1"/>
          <w:sz w:val="16"/>
          <w:szCs w:val="16"/>
        </w:rPr>
        <w:softHyphen/>
        <w:t>обходимые доработки, включая изменения в конструк</w:t>
      </w:r>
      <w:r w:rsidRPr="00D03F3E">
        <w:rPr>
          <w:rFonts w:ascii="Times New Roman" w:hAnsi="Times New Roman"/>
          <w:color w:val="000000" w:themeColor="text1"/>
          <w:sz w:val="16"/>
          <w:szCs w:val="16"/>
        </w:rPr>
        <w:softHyphen/>
        <w:t>ции фонаря кабины, и 29 января 1943 г. известил об этом начальника НИИ ВВС КА генерал-майора Лосюко-ва. В письме указывалось, что «в чертежах первой серии введены мероприятия, обеспечивающие облегчение ве</w:t>
      </w:r>
      <w:r w:rsidRPr="00D03F3E">
        <w:rPr>
          <w:rFonts w:ascii="Times New Roman" w:hAnsi="Times New Roman"/>
          <w:color w:val="000000" w:themeColor="text1"/>
          <w:sz w:val="16"/>
          <w:szCs w:val="16"/>
        </w:rPr>
        <w:softHyphen/>
        <w:t>са самолета И-185 М-71 в серийном производстве до 3450 кг - [на] 2%, понятно, при нормальном запасе сна</w:t>
      </w:r>
      <w:r w:rsidRPr="00D03F3E">
        <w:rPr>
          <w:rFonts w:ascii="Times New Roman" w:hAnsi="Times New Roman"/>
          <w:color w:val="000000" w:themeColor="text1"/>
          <w:sz w:val="16"/>
          <w:szCs w:val="16"/>
        </w:rPr>
        <w:softHyphen/>
        <w:t>рядов 450 шт. и горючего в 340 кг» (10667).</w:t>
      </w:r>
    </w:p>
    <w:p w14:paraId="44FD5A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7FF3D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января 1943 заводские документы впервые зафиксировали информацию о реактивном Пе-2. Приказ директора предписывал: «для проверки работы реактивной установки РУ-1 на самолете Пе-2 Главному технологу Белявскому обеспечить консультацией ОКБ завода № 16 по изготовлению чертежей установки РУ-1 применительно к производству завода № 22. Начальнику производства Кобзареву изготовить установку камер сгорания реактивного двигателя в хвостовом коке, кислотный бак, керосиновый бак, трубопроводы, арматуру, электро- и воздухопроводы, приборный щиток пилота, крепление насосного агрегата, измененный маслобак. Техническое руководство РУ-1 на самолете Пе-2 и наземными испытаниями обеспечиваются главным конструктором РУ-1 ОКБ завода № 16 инженером Королевым С.П. Общее наблюдение за проектом возлагается на зам. Гл. конструктора завода № 22 Немана И.Г.» (12049).</w:t>
      </w:r>
    </w:p>
    <w:p w14:paraId="35BAE52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F53B9E"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января 1943 г. Приказ директора завода № 22 В. А. Окулова о мероприятиях по проверке работы реактивной установки РУ-1 на самолете Пе-2</w:t>
      </w:r>
    </w:p>
    <w:p w14:paraId="23FCF650"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проверки работы реактивной установки РУ-1 на самолете Пе-2 приказываю:</w:t>
      </w:r>
    </w:p>
    <w:p w14:paraId="3A8233B4"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w:t>
      </w:r>
    </w:p>
    <w:p w14:paraId="300655A9"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Главному технологу тов. Белявскому обеспечить ОКБ завода № 16 консультацией при изготовлении рабочих чертежей установки РУ-1 применительно к производству завода № 22.</w:t>
      </w:r>
    </w:p>
    <w:p w14:paraId="7E1102FE"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Произвести расцеховку деталей, обеспечив изготовление оснастки для серийных цехов в соответствии со сроками выпуска агрегатов.</w:t>
      </w:r>
    </w:p>
    <w:p w14:paraId="6DACB8DD"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2.</w:t>
      </w:r>
    </w:p>
    <w:p w14:paraId="163CFA63"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Начальнику ОСТ тов. Голиагберову обеспечить ОКБ завода № 16 комплектом нормалей (крепежных, моторной арматуры, сортамента</w:t>
      </w:r>
      <w:hyperlink r:id="rId41" w:anchor="_ftn1" w:history="1">
        <w:r w:rsidRPr="00D03F3E">
          <w:rPr>
            <w:rFonts w:ascii="Times New Roman" w:hAnsi="Times New Roman"/>
            <w:color w:val="000000" w:themeColor="text1"/>
            <w:sz w:val="16"/>
            <w:szCs w:val="16"/>
          </w:rPr>
          <w:t>[1]</w:t>
        </w:r>
      </w:hyperlink>
      <w:r w:rsidRPr="00D03F3E">
        <w:rPr>
          <w:rFonts w:ascii="Times New Roman" w:hAnsi="Times New Roman"/>
          <w:color w:val="000000" w:themeColor="text1"/>
          <w:sz w:val="16"/>
          <w:szCs w:val="16"/>
        </w:rPr>
        <w:t xml:space="preserve"> материалов и полуфабрикатов) к 31 января с. г.</w:t>
      </w:r>
    </w:p>
    <w:p w14:paraId="3C5E646F"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3.</w:t>
      </w:r>
    </w:p>
    <w:p w14:paraId="0C3FC035"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Начальнику производства тов. Кобзареву изготовить следующие агрегаты РУ-1 по чертежам ОКБ завода № 16:</w:t>
      </w:r>
    </w:p>
    <w:p w14:paraId="04BD687B"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Установку камер сгорания реактивного двигателя в хвостовом коке.</w:t>
      </w:r>
    </w:p>
    <w:p w14:paraId="715DE523"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Кислотный бак с креплениями.</w:t>
      </w:r>
    </w:p>
    <w:p w14:paraId="3A2C613B"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Керосиновый бак с креплениями.</w:t>
      </w:r>
    </w:p>
    <w:p w14:paraId="539AF577"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Трубопроводы, арматуру, электро и воздухопроводки.</w:t>
      </w:r>
    </w:p>
    <w:p w14:paraId="7AC7B8AF"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Приборный щиток пилота.</w:t>
      </w:r>
    </w:p>
    <w:p w14:paraId="5B050556"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Крепление насосного агрегата.</w:t>
      </w:r>
    </w:p>
    <w:p w14:paraId="6AAAA681"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Измененный масляный бак.</w:t>
      </w:r>
    </w:p>
    <w:p w14:paraId="2FC2A324"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Изготовление производить в двух комплектах для двух самолетов. 31 января с. г. представить мне на утверждение график изготовления перечисленных агрегатов, считая конечный срок изготовления первого комплекта к 15 февраля и второго комплекта к 10 марта с. г.</w:t>
      </w:r>
    </w:p>
    <w:p w14:paraId="58F974B8"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По согласованию с ОКБ завода № 16 обеспечить последнему, в порядке кооперации, изготовление деталей в механических цехах завода объемом 2500 часов в январе и первой половине февраля месяцев.</w:t>
      </w:r>
    </w:p>
    <w:p w14:paraId="74FF8C1C"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4.</w:t>
      </w:r>
    </w:p>
    <w:p w14:paraId="0AAF0323"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Всем начальникам цехов завода к 15 февраля подать в цех № 8 на сборку серийного агрегата и всю начинку на 1 самолет с установкой РУ-1.</w:t>
      </w:r>
    </w:p>
    <w:p w14:paraId="77181E05"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5.</w:t>
      </w:r>
    </w:p>
    <w:p w14:paraId="73448A84"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Начальнику цеха № 8 тов. Гордину с 16 февраля приступить к монтажу серийного самолета Пе-2 с установкой на нем РУ-1 с расчетом выпуска его на аэродром 26 февраля 1943 г.</w:t>
      </w:r>
    </w:p>
    <w:p w14:paraId="2782EEF4"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6.</w:t>
      </w:r>
    </w:p>
    <w:p w14:paraId="6515CA00"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Начальнику ЛЭС тов. Шаханову в течение 10 дней по получении самолета произвести все наземные испытания и приступить к летным испытаниям машины с 7 марта с. г.</w:t>
      </w:r>
    </w:p>
    <w:p w14:paraId="0FF34728"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Тов. Шаханову к 25 января с. г. представить мне перечень необходимых мероприятий, обеспечивающих испытания новой материальной части, по согласованию с ОКБ завода № 16.</w:t>
      </w:r>
    </w:p>
    <w:p w14:paraId="02FD8541"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7.</w:t>
      </w:r>
    </w:p>
    <w:p w14:paraId="52EDB92C"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Техническое руководство монтажем реактивной установки РУ-1 на самолете Пе-2 и наземными испытаниями обеспечивается главным конструктором РУ-1 ОКБ завода № 16 инженером С. П. Королевым.</w:t>
      </w:r>
    </w:p>
    <w:p w14:paraId="04E5AD6C"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8.</w:t>
      </w:r>
    </w:p>
    <w:p w14:paraId="7A3AC9F1"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Общее наблюдение за выполнением работ по РУ-1 на самолете Пе-2, а также согласование всех технических вопросов и согласование чертежей с ОКБ завода № 16 возлагается на заместителя главного конструктора завода № 22 тов. Немана И. Г.</w:t>
      </w:r>
    </w:p>
    <w:p w14:paraId="3C622E38"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9.</w:t>
      </w:r>
    </w:p>
    <w:p w14:paraId="1D93E400"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Моему заместителю тов. Корнееву взять под личное наблюдение работы по РУ-1 на самолете Пе-2.</w:t>
      </w:r>
    </w:p>
    <w:p w14:paraId="4D9E9CAE"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10.</w:t>
      </w:r>
    </w:p>
    <w:p w14:paraId="58EDA064"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Главному технологу тов. Белявскому принять от ОКБ завода № 16 чертежи установок РУ-1 к 30 января, монтажные чертежи самолета Пе-2 с установкой РУ-1 к 5 февраля, макеты привода и насоса к 5 февраля 1943 г.</w:t>
      </w:r>
    </w:p>
    <w:p w14:paraId="2F2F0CB9"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завода № 22 В. Окулов</w:t>
      </w:r>
    </w:p>
    <w:p w14:paraId="3B07DA5E"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РТ. Ф. Р-2845. Оп. 3. Д. 185. Л. 8-8 об. Подлинник (15494).</w:t>
      </w:r>
    </w:p>
    <w:p w14:paraId="375114BA" w14:textId="77777777" w:rsidR="0058150B" w:rsidRPr="00D03F3E" w:rsidRDefault="0058150B" w:rsidP="00D03F3E">
      <w:pPr>
        <w:spacing w:after="0" w:line="240" w:lineRule="auto"/>
        <w:jc w:val="both"/>
        <w:rPr>
          <w:rFonts w:ascii="Times New Roman" w:hAnsi="Times New Roman"/>
          <w:color w:val="000000" w:themeColor="text1"/>
          <w:sz w:val="16"/>
          <w:szCs w:val="16"/>
        </w:rPr>
      </w:pPr>
    </w:p>
    <w:p w14:paraId="3C94EF79"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38B3CED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1419A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января 1943г. был ЗАПРОС ПРЕДСЕДАТЕЛЯ КОМИТЕТА ПО ДЕЛАМ КИНЕМАТОГРАФИИ ПРИ СНК СССР НАЧАЛЬНИКУ ГБТУ О ВЫДЕЛЕНИИ ТАНКОВ ДЛЯ СЪЕМОК КИНОФИЛЬМОВ В 1943 г.'</w:t>
      </w:r>
    </w:p>
    <w:p w14:paraId="4F28F0F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Московская ордена Ленина киностудия «Мосфильм» в настоящее время восстанавливает техни</w:t>
      </w:r>
      <w:r w:rsidRPr="00D03F3E">
        <w:rPr>
          <w:rFonts w:ascii="Times New Roman" w:hAnsi="Times New Roman"/>
          <w:color w:val="000000" w:themeColor="text1"/>
          <w:sz w:val="16"/>
          <w:szCs w:val="16"/>
        </w:rPr>
        <w:softHyphen/>
        <w:t>ческую базу для производства оборонных фильмов и ведет подготовку к началу съемок.</w:t>
      </w:r>
    </w:p>
    <w:p w14:paraId="70AFF5C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подготовительной работе к съемкам находятся фильмы, отражающие героическую борьбу Красной Армии и всего советского народа с немецко-фашистскими захватчиками. Среди этих филь</w:t>
      </w:r>
      <w:r w:rsidRPr="00D03F3E">
        <w:rPr>
          <w:rFonts w:ascii="Times New Roman" w:hAnsi="Times New Roman"/>
          <w:color w:val="000000" w:themeColor="text1"/>
          <w:sz w:val="16"/>
          <w:szCs w:val="16"/>
        </w:rPr>
        <w:softHyphen/>
        <w:t>мов находятся: «Украина в огне» - режиссер А.П. Довженко, «Небо Москвы» - режиссер Ю. Райзман, «Девушка из Москвы» - режиссер И. Пырьев, «Большая земля» - режиссер С. Герасимов, «Полковой музыкант» - режиссер Г. Александров и ряд других.</w:t>
      </w:r>
    </w:p>
    <w:p w14:paraId="29750E9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Осуществление названных постановок — показа наступательной мощи Красной Армии, эпи</w:t>
      </w:r>
      <w:r w:rsidRPr="00D03F3E">
        <w:rPr>
          <w:rFonts w:ascii="Times New Roman" w:hAnsi="Times New Roman"/>
          <w:color w:val="000000" w:themeColor="text1"/>
          <w:sz w:val="16"/>
          <w:szCs w:val="16"/>
        </w:rPr>
        <w:softHyphen/>
        <w:t>зодов разгрома и бегства фашистских войск связано с серьезными производственно-техническими трудностями ввиду отсутствия у киностудии немецкого вооружения и техники.</w:t>
      </w:r>
    </w:p>
    <w:p w14:paraId="0ABE7AC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Никакими художественными приемами и творческим изобретательством нельзя достигнуть в процессе съемок того эффекта, который может быть получен подлинным показом результатов побе</w:t>
      </w:r>
      <w:r w:rsidRPr="00D03F3E">
        <w:rPr>
          <w:rFonts w:ascii="Times New Roman" w:hAnsi="Times New Roman"/>
          <w:color w:val="000000" w:themeColor="text1"/>
          <w:sz w:val="16"/>
          <w:szCs w:val="16"/>
        </w:rPr>
        <w:softHyphen/>
        <w:t>ды Красной Армии — в фильмах, имеющих большое оборонное и патриотическое значение, рассчи</w:t>
      </w:r>
      <w:r w:rsidRPr="00D03F3E">
        <w:rPr>
          <w:rFonts w:ascii="Times New Roman" w:hAnsi="Times New Roman"/>
          <w:color w:val="000000" w:themeColor="text1"/>
          <w:sz w:val="16"/>
          <w:szCs w:val="16"/>
        </w:rPr>
        <w:softHyphen/>
        <w:t>танных по своему высокому художественному и качественному уровню на показ и за границей.</w:t>
      </w:r>
    </w:p>
    <w:p w14:paraId="4878BA5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Комитет по делам Кинематографии при СНК СССР просит Вашего срочного указания о предо</w:t>
      </w:r>
      <w:r w:rsidRPr="00D03F3E">
        <w:rPr>
          <w:rFonts w:ascii="Times New Roman" w:hAnsi="Times New Roman"/>
          <w:color w:val="000000" w:themeColor="text1"/>
          <w:sz w:val="16"/>
          <w:szCs w:val="16"/>
        </w:rPr>
        <w:softHyphen/>
        <w:t>ставлении в распоряжение Московской ордена Ленина киностудии «Мосфильм» трофейного иму</w:t>
      </w:r>
      <w:r w:rsidRPr="00D03F3E">
        <w:rPr>
          <w:rFonts w:ascii="Times New Roman" w:hAnsi="Times New Roman"/>
          <w:color w:val="000000" w:themeColor="text1"/>
          <w:sz w:val="16"/>
          <w:szCs w:val="16"/>
        </w:rPr>
        <w:softHyphen/>
        <w:t>щества по прилагаемому списку.</w:t>
      </w:r>
    </w:p>
    <w:p w14:paraId="5A90C51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Реализация мероприятий, связанных с потребностью в названном трофейном имуществе, мною поручена представителю киностудии «Мосфильм» т. Кузнецову И.И.</w:t>
      </w:r>
    </w:p>
    <w:p w14:paraId="7EE4D88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На 1 листе.</w:t>
      </w:r>
    </w:p>
    <w:p w14:paraId="2C533AC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Комитета по делам кинематографии при СНК СССР Большаков</w:t>
      </w:r>
    </w:p>
    <w:p w14:paraId="1002199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Список на трофейное вооружение, потребное для постановки оборонных фильмов на Московской ордена Ленина киностудии «Мосфильм» на 1943 г.</w:t>
      </w:r>
    </w:p>
    <w:p w14:paraId="3B9C8C0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Танки тяжелые на ходу — Зшт.</w:t>
      </w:r>
    </w:p>
    <w:p w14:paraId="7FB497A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Танки средние на ходу — 3 шт.</w:t>
      </w:r>
    </w:p>
    <w:p w14:paraId="4E2B84F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Танки малые на ходу — 5 шт.</w:t>
      </w:r>
    </w:p>
    <w:p w14:paraId="7699C02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Броневики на ходу — 5 шт.</w:t>
      </w:r>
    </w:p>
    <w:p w14:paraId="036D03F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11355а. Д. 360с. Л. 4,5. Подлинник.</w:t>
      </w:r>
    </w:p>
    <w:p w14:paraId="083CE68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документе сделана надпись: 1. «т. Лебедеву. Доложите возможности и условия. Бирюков. 2.02.1943 г.» 2. «Ответ: выдать не представляется возможным, так как ходовые танки используются в бою. Можем помочь в съемках кадров в частях. Нач. 6 отдела. 4.02.1943 г.» (11403).</w:t>
      </w:r>
    </w:p>
    <w:p w14:paraId="2364A8C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AC9F8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января 1943 г. состоялась проверка на заводе № 102 в г. Чапаевск состояния условий труда. Из заключения: в цехе № 4 (производство иприта) "созданы невыносимые условия труда благодаря наличию в атмосфере значительной концентрации продукта, что является причиной отравления большого количества рабочих и выхода их из строя" (9067).</w:t>
      </w:r>
    </w:p>
    <w:p w14:paraId="6471F7A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37BA0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января 1943 вышло Распоряжение ГКО № 2794. О мерах по восстановлению нефтепромыслов треста "Дагнефть" и завода № 182 НКСП.РГАНИР, Фонд ГКО, д. 84, лл. 89 (11012).</w:t>
      </w:r>
    </w:p>
    <w:p w14:paraId="0BE8AD5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F5DD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января 1943 г. вышло постановление ГКО №2794 о мерах по восстановлению завода № 182 НКСП.</w:t>
      </w:r>
    </w:p>
    <w:p w14:paraId="17CFF38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годы ВОВ- производство дизелей; торпед 53-39 (1943). В 1942 г. выпущена опытная партия мин АМД-500 и АМД-1000.</w:t>
      </w:r>
      <w:r w:rsidRPr="00D03F3E">
        <w:rPr>
          <w:rFonts w:ascii="Times New Roman" w:hAnsi="Times New Roman"/>
          <w:color w:val="000000" w:themeColor="text1"/>
          <w:sz w:val="16"/>
          <w:szCs w:val="16"/>
          <w:vertAlign w:val="superscript"/>
        </w:rPr>
        <w:t>61</w:t>
      </w:r>
      <w:r w:rsidRPr="00D03F3E">
        <w:rPr>
          <w:rFonts w:ascii="Times New Roman" w:hAnsi="Times New Roman"/>
          <w:color w:val="000000" w:themeColor="text1"/>
          <w:sz w:val="16"/>
          <w:szCs w:val="16"/>
        </w:rPr>
        <w:t xml:space="preserve"> 15.12.1943 г. вышло распоряжение ГКО № 4788 о мерах по обеспечению производства на заводе 13 комплектов тралов «Оропеза». В соответствии с распоряжением ГКО № 7031 от 1.12.1944 г. на завод в Махачкалу в 4-м квартале 1944 г. и 1-м квартале 1945 г. направлено 500 военнослужащих, не годных к строевой службе.</w:t>
      </w:r>
    </w:p>
    <w:p w14:paraId="1FBDC13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Участвовал в работах по РАТ-52; патроны ФКПС с фосфором (1959 г.). Производство П-35, КСЩ.</w:t>
      </w:r>
    </w:p>
    <w:p w14:paraId="4DAAC9B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(-1936-13.01.1937 г.)- К.К. Пога, (13.01.1937-26.07.1938 г.)- Е.М. Равикович (снят); и.о. (27.07- 08.1938 г.)- И.Н. Антонов; (14.08-11.12.1938 г.)- И.Н. Антонов, (11.12.1938 г.-)- В.И. Алферов.</w:t>
      </w:r>
    </w:p>
    <w:p w14:paraId="2C08CCF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Начальник строительства (-193б-37 г.-)- К.К. Пога. 1-й зам. директора (29.11.1937 г.-)- И.С. Кизельштейн. Зам. директора: по строительству (1.02.1937-26.07.1938 г.)- К.К. Пога (снят); по коммерческой части (07.1937 г.)-  Г. Г. Лещинский. Помощник директора по найму и увольнению (14.08.1938 г.-)- </w:t>
      </w:r>
      <w:r w:rsidRPr="00D03F3E">
        <w:rPr>
          <w:rFonts w:ascii="Times New Roman" w:hAnsi="Times New Roman"/>
          <w:color w:val="000000" w:themeColor="text1"/>
          <w:sz w:val="16"/>
          <w:szCs w:val="16"/>
          <w:lang w:val="en-US"/>
        </w:rPr>
        <w:t>A</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M</w:t>
      </w:r>
      <w:r w:rsidRPr="00D03F3E">
        <w:rPr>
          <w:rFonts w:ascii="Times New Roman" w:hAnsi="Times New Roman"/>
          <w:color w:val="000000" w:themeColor="text1"/>
          <w:sz w:val="16"/>
          <w:szCs w:val="16"/>
        </w:rPr>
        <w:t>. Толмачев.</w:t>
      </w:r>
    </w:p>
    <w:p w14:paraId="68ACF48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Технический директор (7-25.09.193 7 г.)- П.М. Кнышев.</w:t>
      </w:r>
    </w:p>
    <w:p w14:paraId="4E2CD69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(1930-е)- Ломанов; и.о. (01.1937 г.)- Ермольчик; (29.11.1937-21.11.1938 г.)- И.С. Кизельштейн (снят).</w:t>
      </w:r>
    </w:p>
    <w:p w14:paraId="29318E5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инженера (-1936 г.)- Благовещенский (репрессирован).</w:t>
      </w:r>
    </w:p>
    <w:p w14:paraId="6D2E628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цехов: № 1 (01.1937 г.)- Неженцев. Начальник ТЭЦ (1.02.1937 г.-)- Е.А. Джапаридзе.</w:t>
      </w:r>
    </w:p>
    <w:p w14:paraId="278643A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отделов: планового (1936 г.)- Маневич; транспортного (1937 г.)- Максимов; кадров (09.1937 г.-)- И.М. Богословский.</w:t>
      </w:r>
    </w:p>
    <w:p w14:paraId="64DE7ED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КБ (02.1937 г.)- Гусев.</w:t>
      </w:r>
    </w:p>
    <w:p w14:paraId="46B4CCC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торпеды Т-533 (-1938), Т-53-38 (1938-)- 13.</w:t>
      </w:r>
      <w:r w:rsidRPr="00D03F3E">
        <w:rPr>
          <w:rFonts w:ascii="Times New Roman" w:hAnsi="Times New Roman"/>
          <w:color w:val="000000" w:themeColor="text1"/>
          <w:sz w:val="16"/>
          <w:szCs w:val="16"/>
          <w:vertAlign w:val="superscript"/>
        </w:rPr>
        <w:t>139</w:t>
      </w:r>
    </w:p>
    <w:p w14:paraId="2120E3D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ОКБ-182 НКСП /г. Каспийск/</w:t>
      </w:r>
    </w:p>
    <w:p w14:paraId="05D2222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Образовано в 1942 г. из части эвакуированного ОКБ завода № 231 НКСП для работ по торпедному оружию. В 1944 г. ликвидировано, в связи с созданием НИИ-400.</w:t>
      </w:r>
    </w:p>
    <w:p w14:paraId="6975D51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Вновь действовало в Каспийске в 1950-е  г. Работы по реактивной кавитирующей торпеде РКТ-45 (1950-е  г., с НИИ-1 МСХМ) (11982).</w:t>
      </w:r>
    </w:p>
    <w:p w14:paraId="687D9F49" w14:textId="77777777" w:rsidR="0058150B" w:rsidRPr="00D03F3E" w:rsidRDefault="0058150B"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54A6F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января 1943 вышло Постановление ГКО № 2795 Об обеспечении заготовки и поставки дров заводам № 71, 74, 524 и 622 Нарком- вооружения в 1943 году.РГАНИР, Фонд ГКО, д. 84, лл. 90-95, 96-98 (11012).</w:t>
      </w:r>
    </w:p>
    <w:p w14:paraId="6896E7D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49ECB8"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2F0B03B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9B7301"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Style w:val="ucoz-forum-post"/>
          <w:rFonts w:ascii="Times New Roman" w:hAnsi="Times New Roman"/>
          <w:color w:val="000000" w:themeColor="text1"/>
          <w:sz w:val="16"/>
          <w:szCs w:val="16"/>
        </w:rPr>
        <w:t xml:space="preserve">29 января </w:t>
      </w:r>
      <w:r w:rsidRPr="00D03F3E">
        <w:rPr>
          <w:rFonts w:ascii="Times New Roman" w:hAnsi="Times New Roman"/>
          <w:color w:val="000000" w:themeColor="text1"/>
          <w:sz w:val="16"/>
          <w:szCs w:val="16"/>
        </w:rPr>
        <w:t>в 1943 году утреннее сообщение Совинформбюро:</w:t>
      </w:r>
    </w:p>
    <w:p w14:paraId="6A97D390"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29 января войска Юго-Западного, Южного, Северо-Кавказского, Воронежского, Волховского и Ленинградского фронтов вели наступательные бои на прежних направлениях.</w:t>
      </w:r>
    </w:p>
    <w:p w14:paraId="5D9C3239"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Донского фронта продолжали истреблять разрозненные группы противника. Немцы в одиночку и группами бросают оружие и сдаются в плен. Н-ская часть захватила 240 пленных. Гвардейские подразделения заняли ряд укреплений противника и взяли в плен 190 немецких солдат и офицеров. Количество трофеев непрерывно увеличивается.</w:t>
      </w:r>
    </w:p>
    <w:p w14:paraId="4C3F98A9"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Южного фронта продолжали вести наступательные бои и на ряде участков отбивали контратаки противника. Бойцы Н-ской части отразили контратаку вражеской пехоты и овладели укреплёнными позициями немцев. Захвачены 6 пулемётов, 4 миномёта, склад боеприпасов и радиостанция.</w:t>
      </w:r>
    </w:p>
    <w:p w14:paraId="3ED07113"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Юго-Западном фронте наши войска вели бои на прежних направлениях. Н-ская часть овладела одним населённым пунктом и уничтожила две роты пехоты противника. На другом участке наши бойцы разгромили крупный немецкий отряд. Захвачены —танк, 2 орудия, 13 пулемётов и другие трофеи.</w:t>
      </w:r>
    </w:p>
    <w:p w14:paraId="5D8EAC09"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Воронежского фронта продолжали развивать успешное наступление. Ломая упорное сопротивление противника, Н-ское соединение за два дня боёв освободило 33 населённых пункта и продвинулось вперёд на 20 километров. Захвачено в плен свыше 300 немецких солдат и офицеров и большие трофеи. Уничтожая окружённую группировку противника, танкисты и гвардейцы-кавалеристы истребили около 3 тысяч гитлеровцев. Взято в плен до 6.000 солдат и офицеров противника, в том числе три генерала.</w:t>
      </w:r>
    </w:p>
    <w:p w14:paraId="456AAFB5"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Северо-Кавказского фронта продолжали наступление. В уличных боях подразделения Н-ской стрелковой части истребили более 200 гитлеровцев. Взяты пленные. На другом участке наши подвижные группы прорвались в тыл противника и отрезали пути отхода крупной немецкой автоколонне. Идут бои по уничтожению автоколонны противника. Разведывательный отряд Н-ской части ночью ворвался в населённый пункт, занятый немцами, и в результате короткой схватки овладел этим населённым пунктом. Захвачены 3 танка, 12 автомашин, 4 противотанковых орудия, склад с боеприпасами и склад с обмундированием.</w:t>
      </w:r>
    </w:p>
    <w:p w14:paraId="28E395D0"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Литовской ССР, совершил налёт на немецкий гарнизон, расположенный в населённом пункте. Советские патриоты разгромили полицейский участок и сожгли 3 немецких склада. Группа партизан другого отряда пустила под откос воинский эшелон противника. Уничтожены паровоз, платформы с боевой техникой и несколько вагонов с солдатами.</w:t>
      </w:r>
    </w:p>
    <w:p w14:paraId="3DF704FC"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обер-ефрейтор 9 роты 35 полка 25 немецкой моторизованной дивизии Юлиус Ванечек рассказал: «На дороге Унеча—Брянск за последнее время было очень много крушений. Мне известно, что в декабре партизаны в том районе пустили под откос 15 поездов с войсками». Пленный обер-ефрейтор 5 роты 511 полка 293немецкой пехотной дивизии Курт Магдебург сообщил: «Солдаты, возвращающиеся из госпиталей, рассказывают о многочисленных диверсиях и крушениях на железных дорогах. Партизаны обстреливают эшелоны не только ночью, но даже днём. Нельзя скрывать, что немецкие солдаты боятся русских партизан» (15024).</w:t>
      </w:r>
    </w:p>
    <w:p w14:paraId="488708C5" w14:textId="77777777" w:rsidR="0058150B" w:rsidRPr="00D03F3E" w:rsidRDefault="0058150B" w:rsidP="00D03F3E">
      <w:pPr>
        <w:spacing w:after="0" w:line="240" w:lineRule="auto"/>
        <w:jc w:val="both"/>
        <w:rPr>
          <w:rFonts w:ascii="Times New Roman" w:hAnsi="Times New Roman"/>
          <w:color w:val="000000" w:themeColor="text1"/>
          <w:sz w:val="16"/>
          <w:szCs w:val="16"/>
        </w:rPr>
      </w:pPr>
    </w:p>
    <w:p w14:paraId="7F684381"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Style w:val="ucoz-forum-post"/>
          <w:rFonts w:ascii="Times New Roman" w:hAnsi="Times New Roman"/>
          <w:color w:val="000000" w:themeColor="text1"/>
          <w:sz w:val="16"/>
          <w:szCs w:val="16"/>
        </w:rPr>
        <w:t xml:space="preserve">29 января </w:t>
      </w:r>
      <w:r w:rsidRPr="00D03F3E">
        <w:rPr>
          <w:rFonts w:ascii="Times New Roman" w:hAnsi="Times New Roman"/>
          <w:color w:val="000000" w:themeColor="text1"/>
          <w:sz w:val="16"/>
          <w:szCs w:val="16"/>
        </w:rPr>
        <w:t>в 1943 году вечернее сообщение Совинформбюро:</w:t>
      </w:r>
    </w:p>
    <w:p w14:paraId="5DF2B92D"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днях наши войска, расположенные западнее Воронежа, перешли в наступление против немецко-фашистских войск. За три дня напряжённых боёв нашими войсками занято более 200 населённых пунктов, в том числе город и крупный железнодорожный узел Касторное, районные центры — Волово, Голосновка, Землянск, Гремячье, Хохол, районные центры и железнодорожные станции — Горшечное, Лачиново, Семилуки, железнодорожные станции — Латная, Курбатово, Прокурово, Набережное.</w:t>
      </w:r>
    </w:p>
    <w:p w14:paraId="43B6E35E"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января войска Воронежского фронта в результате решительной атаки овладели городом и крупной железнодорожной станцией Новый Оскол.</w:t>
      </w:r>
    </w:p>
    <w:p w14:paraId="5A3D55D4"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Северо-Кавказского фронта после упорных боёв овладели городом и крупным железнодорожным узлом Кропоткин, районным центром Темиргоевская.</w:t>
      </w:r>
    </w:p>
    <w:p w14:paraId="7E128732"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января частями нашей авиации на различных участках фронта уничтожено или повреждено до 400 немецких автомашин с войсками и грузами, подавлен огонь 10 артиллерийских батарей, разбито три железнодорожных состава, рассеяно и частью уничтожено до трёх батальонов пехоты противника.</w:t>
      </w:r>
    </w:p>
    <w:p w14:paraId="27D9798F"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Донского фронта продолжали истреблять разрозненные группы гитлеровцев. Ближе к центральной части Сталинграда уничтожено 300 немецких солдат и офицеров. Взято в плен до 450 солдат противника, много офицеров и в том числе один генерал. Севернее Сталинграда наши части ещё теснее сомкнули кольцо окружения и истребили много гитлеровцев. Захвачено 25 орудий, 56 пулемётов, бронемашина, 7 вездеходов, 91 автомашина и 4 склада боеприпасов.</w:t>
      </w:r>
    </w:p>
    <w:p w14:paraId="5D19281B"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Южного фронта продолжали наступление и частью сил отбивали контратаки противника. Немцы, подтянув большое количество танков и мотопехоты, оказывают упорное сопротивление. Советские части отбили контратаки противника и медленно продвигались вперёд. Пять советских лётчиков-истребителей во главе с капитаном Кузьминым атаковали четырнадцать немецких самолётов, пытавшихся бомбить боевые порядки наших войск. В ожесточённом воздушном бою советские лётчики сбили 6 вражеских самолётов. Наши истребители вернулись на свой аэродром без потерь.</w:t>
      </w:r>
    </w:p>
    <w:p w14:paraId="292486C0"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вели бои на прежних направлениях. Части Н-ского соединения овладели шестью населёнными пунктами и полностью уничтожили штурмовой немецкий батальон численностью в 500 человек. Захвачены 18 орудий, 14 пулемётов, 6 миномётов, 60 автомашин и другое военное имущество. Истребительная группа Н-ской части ворвалась в расположение противника и уничтожила до роты немецкой пехоты.</w:t>
      </w:r>
    </w:p>
    <w:p w14:paraId="79523FA6"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расположенные западнее Воронежа, продолжали успешное наступление. За три дня боёв на этом участке взято в плен свыше 14.000 немецких солдат и офицеров. Нашими частями захвачены большие трофея.</w:t>
      </w:r>
    </w:p>
    <w:p w14:paraId="6360C395"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городе Касторное на железнодорожной станция захвачено два эшелона противника, в которых находилось около двух тысяч вражеских солдат и офицеров.Там же захвачен штаб одной немецкой дивизии.</w:t>
      </w:r>
    </w:p>
    <w:p w14:paraId="123C03C6"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Северо-Кавказского фронта вели успешные наступательные бои и заняли ряд населённых пунктов. Части Н-ского соединения переправились в нескольких местах через Кубань и в результате упорных боёв овладели городом Кропоткин. В уличных боях советские бойцы уничтожили свыше 1.000 гитлеровцев, подбили и сожгли 5 немецких танков. Захвачены пленные и большие трофеи. На другом участке советские танковые и мотопехотные подразделения разгромили в населённом пункте немецкий гарнизон. 150 немецких солдат и офицеров сдались в плен. Захвачены два склада боеприпасов и склад с продовольствием.</w:t>
      </w:r>
    </w:p>
    <w:p w14:paraId="236971D6"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Витебской области, в течение нескольких дней вёл бой с немецкой карательной экспедицией. Партизаны уничтожили до 200 вражеских солдат и офицеров и вынудили гитлеровцев отступить. Другой отряд витебских партизан за две недели пустил под откос 7 немецких эшелонов. Разбито 6 паровозов и 137 вагонов. За это же время советские патриоты взорвали 10 мостов, разрушили 5 километров железнодорожного пути и уничтожили 15 грузовых автомашин противника.</w:t>
      </w:r>
    </w:p>
    <w:p w14:paraId="1F40ED58"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хуторе Захаро-Обливском, Ростовской области: «27 декабря немцы ворвались в хутор Захаро-Обливский, выгнали из домов и укрытий всех мужчин, независимо от возраста, и расстреляли их. Гитлеровские палачи убили колхозников: Кондрата Осадченкова — 78 лет, Константина Забродина — 74 лет, Ивана Семиявченко — 55лет, Ивана Жукова — 19 лет, Ивана Пронова — 19 лет, Николая Гладченко — 18 лет, Фёдора Пономарёва — 16 лет, Игната Вчерашнева — 32 лет. Виктора Попова — 28 лет, Михаила Попова — 30 лет, Сергея Косенко — 37 лет и других. Кроме того, фашистские изверги расстреляли шесть пленных советских бойцов. Всего немцы расстреляли и зверски замучили 40 человек. После кровавой расправы над мирными жителями гитлеровцы учинили повальный грабёж. Отступая из хутора, немцы облили бензином и сожгли 13 домов, 4 колхозных амбара и свинарник». Акт подписали: старший лейтенанг Т.Рогов, красноармеец Т.Козлов, жители хутора Захаро-Обливский — М.Школенко, Я.Яровенко, Е.Осадченко и другие.».</w:t>
      </w:r>
    </w:p>
    <w:p w14:paraId="18DE1134"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1A46AF44"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Успешное наступление наших войск западнее Воронежа.</w:t>
      </w:r>
    </w:p>
    <w:p w14:paraId="24BE8019"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днях наши войска, расположенные западнее Воронежа, перешли в наступление против немецко-фашистских войск. Наступление началось с трёх направлений: ссевера, с востока и с юга. Прорвав сильно укреплённую оборону противника протяжением в 70 километров и продолжая развивать наступление, наши войска за три дня напряжённых боёв продвинулись вперёд на 40—50 километров. Нашими войсками занято более 200 населённых пунктов, в том числе город и крупный железнодорожный узел Касторное, районные центры — Волово, Голосновка, Землянск, Гремячье, Хохол, районные центры и железнодорожные станции Горшечное, Лачиново, Семилуки, железнодорожные станции — Латная, Курбатово, Прокурово, Набережное.</w:t>
      </w:r>
    </w:p>
    <w:p w14:paraId="3B4501FE"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Успешно осуществив концентрические удары в общем направлении на Касторное, наши войска отрезали пути отхода немецко-фашистских войск на запад.</w:t>
      </w:r>
    </w:p>
    <w:p w14:paraId="616A4EFA"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наступления наших войск разгромлены 383, 82, 340, 377, 323, 57 и 68 пехотные дивизии немцев, полк 45 пехотной дивизии и полк 299 пехотной дивизии. Остатки этих соединений и частей плотным кольцом окружены и уничтожаются нашими войсками в районе восточнее Касторное.</w:t>
      </w:r>
    </w:p>
    <w:p w14:paraId="4664C7A1"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три дня боёв взято в плен свыше 14.000 немецких солдат и офицеров.</w:t>
      </w:r>
    </w:p>
    <w:p w14:paraId="234B3A2A"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это же время, по далеко не полным данным, нашими войсками взяты следующие трофеи: танков — 107, орудий разного калибра — 340, пулемётов — 264, винтовок —8.000, радиостанций — 40, автомашин — 1.217, мотоциклов — 307, железнодорожныхэшелонов с военными грузами — 24, складов с боеприпасами, вооружением и продовольствием — 36.</w:t>
      </w:r>
    </w:p>
    <w:p w14:paraId="18032C76"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три дня боёв противник потерял только убитыми до 12.000 солдат и офицеров.</w:t>
      </w:r>
    </w:p>
    <w:p w14:paraId="4CCD5E1E"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Прорыв обороны противника осуществлён силами войск генерал-лейтенанта тов.Рейтера М.А. и генерал-полковника тов. Голикова Ф.И.</w:t>
      </w:r>
    </w:p>
    <w:p w14:paraId="7DA08806"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боях отличились войска генерал-майора тов. Пухова Н.П., генерал-лейтенантатов. Чибисова Н.Е., генерал-лейтенанта тов. Москаленко К. С, генерал-майоратов. Черняховского И.Д. и танковые соединения генерал-майора тов. Глухова М. И.и генерал-майора танковых войск тов. Кравченко А.Г.</w:t>
      </w:r>
    </w:p>
    <w:p w14:paraId="128F5A4C"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 Наши войска заняли города Новый Оскол, Кропоткин</w:t>
      </w:r>
    </w:p>
    <w:p w14:paraId="2087E2DD"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29 января войска Воронежского фронта в результате решительной атаки овладели городом и крупной железнодорожной станцией Новый Оскол.</w:t>
      </w:r>
    </w:p>
    <w:p w14:paraId="1816F62E"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Полностью завершено уничтожение и пленение альпийского корпуса итальянцев. Взято дополнительно в плен 11.000 итальянских солдат и офицеров, в том числе командиры дивизий генералы Уммерти, Баттисти и Паскалини вместе с их штабами. Таким образом, количество пленных, взятых на этом участке Воронежского фронта, к исходу 28 января дошло до 86.000 солдат и офицеров.</w:t>
      </w:r>
    </w:p>
    <w:p w14:paraId="43EEF789" w14:textId="77777777" w:rsidR="0058150B" w:rsidRPr="00D03F3E" w:rsidRDefault="005815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Войска Северо-Кавказского фронта после упорных боёв овладели городом и крупным железнодорожным узлом Кропоткин.» (15024).</w:t>
      </w:r>
    </w:p>
    <w:p w14:paraId="419B1EC8" w14:textId="77777777" w:rsidR="0058150B" w:rsidRPr="00D03F3E" w:rsidRDefault="0058150B" w:rsidP="00D03F3E">
      <w:pPr>
        <w:spacing w:after="0" w:line="240" w:lineRule="auto"/>
        <w:jc w:val="both"/>
        <w:rPr>
          <w:rFonts w:ascii="Times New Roman" w:hAnsi="Times New Roman"/>
          <w:color w:val="000000" w:themeColor="text1"/>
          <w:sz w:val="16"/>
          <w:szCs w:val="16"/>
        </w:rPr>
      </w:pPr>
    </w:p>
    <w:p w14:paraId="76F8BA9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января 1943 звено Fw 190F-4 напало на восьмерку Пе-2 и сбили всех, причем 5 записали на Gunter Schack (2471,33).</w:t>
      </w:r>
    </w:p>
    <w:p w14:paraId="3F1B2E3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C7C0A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C 29 января по 18 февраля 1943 состоялась Ворошиловградская операция по освобождению Донбасса. Продвинулись на 120-250 км, но полностью задачу не решили из-за недостатка сил и освободили только север Донбасса (2438,152).</w:t>
      </w:r>
    </w:p>
    <w:p w14:paraId="5A37938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22697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января 1943 ЮЗФ (Н.Ф.Ватутин) во взаимодействии с ЮФ начал Ворошиловградскую операцию (операция Скачек) по освобождению Донбасса. Завершилась 18 февраля 1943 (3398,48).</w:t>
      </w:r>
    </w:p>
    <w:p w14:paraId="4035F85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85EFB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января 1943 освободили Майкоп (3398,48).</w:t>
      </w:r>
    </w:p>
    <w:p w14:paraId="3A49F07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9B9718"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0900499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D755A0" w14:textId="77777777" w:rsidR="008D38D6" w:rsidRPr="00D03F3E" w:rsidRDefault="008D38D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29-30 января 1943 в последнем морском сражении кампании Гуадалканал, в битве Реннелл, японские наземные торпедоносцы Mitsubishi G4M (Allied название отчетности «Бетти») конвой США, направляющийся в Гуадалканал, к востоку от Остров Реннелл на юго-востоке Соломоновых островов . Они топят тяжелый крейсер ВМС США USS Chicago (20376).</w:t>
      </w:r>
    </w:p>
    <w:p w14:paraId="36FCADC6" w14:textId="77777777" w:rsidR="008D38D6" w:rsidRPr="00D03F3E" w:rsidRDefault="008D38D6" w:rsidP="00D03F3E">
      <w:pPr>
        <w:spacing w:after="0" w:line="240" w:lineRule="auto"/>
        <w:jc w:val="both"/>
        <w:rPr>
          <w:rFonts w:ascii="Times New Roman" w:hAnsi="Times New Roman"/>
          <w:color w:val="0070C0"/>
          <w:sz w:val="16"/>
          <w:szCs w:val="16"/>
        </w:rPr>
      </w:pPr>
    </w:p>
    <w:p w14:paraId="6ABDCAA7" w14:textId="77777777" w:rsidR="008D38D6" w:rsidRPr="00D03F3E" w:rsidRDefault="008D38D6" w:rsidP="00D03F3E">
      <w:pPr>
        <w:spacing w:after="0" w:line="240" w:lineRule="auto"/>
        <w:jc w:val="both"/>
        <w:rPr>
          <w:rFonts w:ascii="Times New Roman" w:hAnsi="Times New Roman"/>
          <w:color w:val="000000" w:themeColor="text1"/>
          <w:sz w:val="16"/>
          <w:szCs w:val="16"/>
        </w:rPr>
      </w:pPr>
      <w:r w:rsidRPr="00D03F3E">
        <w:rPr>
          <w:rStyle w:val="ucoz-forum-post"/>
          <w:rFonts w:ascii="Times New Roman" w:hAnsi="Times New Roman"/>
          <w:color w:val="000000" w:themeColor="text1"/>
          <w:sz w:val="16"/>
          <w:szCs w:val="16"/>
        </w:rPr>
        <w:t xml:space="preserve">29 января </w:t>
      </w:r>
      <w:r w:rsidRPr="00D03F3E">
        <w:rPr>
          <w:rFonts w:ascii="Times New Roman" w:hAnsi="Times New Roman"/>
          <w:color w:val="000000" w:themeColor="text1"/>
          <w:sz w:val="16"/>
          <w:szCs w:val="16"/>
        </w:rPr>
        <w:t>в 1943 году крейсер Чикаго получил 2 попадания авиаторпедами в правый борт. Оба котельных отделения и кормовое машинное были затоплены. На следующий день он получил еще 4 попадания авиаторпед в тот же борт и затонул в течение 20 минут (15024).</w:t>
      </w:r>
    </w:p>
    <w:p w14:paraId="0E1455B1" w14:textId="77777777" w:rsidR="008D38D6" w:rsidRPr="00D03F3E" w:rsidRDefault="008D38D6" w:rsidP="00D03F3E">
      <w:pPr>
        <w:spacing w:after="0" w:line="240" w:lineRule="auto"/>
        <w:jc w:val="both"/>
        <w:rPr>
          <w:rFonts w:ascii="Times New Roman" w:hAnsi="Times New Roman"/>
          <w:color w:val="000000" w:themeColor="text1"/>
          <w:sz w:val="16"/>
          <w:szCs w:val="16"/>
        </w:rPr>
      </w:pPr>
    </w:p>
    <w:p w14:paraId="6B13DF79"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января 1943 в Германии главой РСХА назначен Эрнст Кальтенбруннер (4962).</w:t>
      </w:r>
    </w:p>
    <w:p w14:paraId="747118F1"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D6DCA6"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января 1943 немецкими нацистами издан приказ об аресте и отправки в концлагеря всех цыган (4962).</w:t>
      </w:r>
    </w:p>
    <w:p w14:paraId="1ADB92F7"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732E7D"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1BCB576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E452F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в субботу на Ер-2 2М-30Б на заводах 134 и 500 выполнили полет продолжительностью 5-6 час. по заданию для замера расхода горючего и масла. Налетали 5 с весом 16000 кг (1458,30).</w:t>
      </w:r>
    </w:p>
    <w:p w14:paraId="6C4FE46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FA74B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года вышел приказ народного комиссариата авиационной промышленности СССР № 101: в связи с переводом за</w:t>
      </w:r>
      <w:r w:rsidRPr="00D03F3E">
        <w:rPr>
          <w:rFonts w:ascii="Times New Roman" w:hAnsi="Times New Roman"/>
          <w:color w:val="000000" w:themeColor="text1"/>
          <w:sz w:val="16"/>
          <w:szCs w:val="16"/>
        </w:rPr>
        <w:softHyphen/>
        <w:t>вода № 290 на завод № 82 Директор и Главный конструктор завода № 290 Н.И.Камов назначался начальником СКО завода № 494, а заместитель Главного конструктора завода № 290 М.Л. Миль направлялся на работу в ЦАГИ. Камов прибыл на расположенный в небольшом приволжском городе Козловка авиационный завод № 494. Здесь постав</w:t>
      </w:r>
      <w:r w:rsidRPr="00D03F3E">
        <w:rPr>
          <w:rFonts w:ascii="Times New Roman" w:hAnsi="Times New Roman"/>
          <w:color w:val="000000" w:themeColor="text1"/>
          <w:sz w:val="16"/>
          <w:szCs w:val="16"/>
        </w:rPr>
        <w:softHyphen/>
        <w:t>лявшиеся по ленд-лизу американские бомбардировщики «Дуглас» А-20 «Бостон» переоборудовались в торпедоносцы. Доработка позволяла нести самолету одну-две отечественные торпеды. На заводе Камов проработал три месяца в качестве начальника серийной конструкторской бригады (10224,56).</w:t>
      </w:r>
    </w:p>
    <w:p w14:paraId="565BC7E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FE4C0D" w14:textId="77777777" w:rsidR="008D38D6" w:rsidRPr="00D03F3E" w:rsidRDefault="008D38D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30 января 1943 г. ру</w:t>
      </w:r>
      <w:r w:rsidRPr="00D03F3E">
        <w:rPr>
          <w:rFonts w:ascii="Times New Roman" w:hAnsi="Times New Roman"/>
          <w:color w:val="0070C0"/>
          <w:sz w:val="16"/>
          <w:szCs w:val="16"/>
        </w:rPr>
        <w:softHyphen/>
        <w:t>ководство НКАП подготовило приказ о расформировании завода № 290. Директор и Главный конструктор завода Н.И. Камов на</w:t>
      </w:r>
      <w:r w:rsidRPr="00D03F3E">
        <w:rPr>
          <w:rFonts w:ascii="Times New Roman" w:hAnsi="Times New Roman"/>
          <w:color w:val="0070C0"/>
          <w:sz w:val="16"/>
          <w:szCs w:val="16"/>
        </w:rPr>
        <w:softHyphen/>
        <w:t>значался начальником серийного конструкторского отде</w:t>
      </w:r>
      <w:r w:rsidRPr="00D03F3E">
        <w:rPr>
          <w:rFonts w:ascii="Times New Roman" w:hAnsi="Times New Roman"/>
          <w:color w:val="0070C0"/>
          <w:sz w:val="16"/>
          <w:szCs w:val="16"/>
        </w:rPr>
        <w:softHyphen/>
        <w:t>ла (СКО) завода №494, выпускающего самолеты По-2, а его заместитель М.Л. Миль направлялся в ЦАГИ (20361).</w:t>
      </w:r>
    </w:p>
    <w:p w14:paraId="27B8474C" w14:textId="77777777" w:rsidR="008D38D6" w:rsidRPr="00D03F3E" w:rsidRDefault="008D38D6" w:rsidP="00D03F3E">
      <w:pPr>
        <w:shd w:val="clear" w:color="auto" w:fill="FFFFFF"/>
        <w:spacing w:after="0" w:line="240" w:lineRule="auto"/>
        <w:jc w:val="both"/>
        <w:rPr>
          <w:rFonts w:ascii="Times New Roman" w:hAnsi="Times New Roman"/>
          <w:color w:val="0070C0"/>
          <w:sz w:val="16"/>
          <w:szCs w:val="16"/>
        </w:rPr>
      </w:pPr>
    </w:p>
    <w:p w14:paraId="1A0FB5D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г. по приказу № 58с деревообделочный филиал завода № 293 (Завод № 293 НКАП, МАП, Опытный завод «Фотолет» /г. Химки Московской обл.; пос. Билимбай Свердловской обл.;  г. Химки/) в дер. Новая Лужа Химкинского р-на со всеми сооружениями передан заводу № 301 (11982).</w:t>
      </w:r>
    </w:p>
    <w:p w14:paraId="67BFCE4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5A27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30 января 1943 г. по приказу № 58с для усиления производственной базы по выпуску крыльев Як-7 заводу № 301 (ГС Завод № 301 НКАП, МАП, ГКАТ, Машиностроительный завод им. С.А. Лавочкина </w:t>
      </w:r>
      <w:r w:rsidRPr="00D03F3E">
        <w:rPr>
          <w:rFonts w:ascii="Times New Roman" w:hAnsi="Times New Roman"/>
          <w:color w:val="000000" w:themeColor="text1"/>
          <w:sz w:val="16"/>
          <w:szCs w:val="16"/>
          <w:lang w:val="en-US"/>
        </w:rPr>
        <w:t>MOM</w:t>
      </w:r>
      <w:r w:rsidRPr="00D03F3E">
        <w:rPr>
          <w:rFonts w:ascii="Times New Roman" w:hAnsi="Times New Roman"/>
          <w:color w:val="000000" w:themeColor="text1"/>
          <w:sz w:val="16"/>
          <w:szCs w:val="16"/>
        </w:rPr>
        <w:t xml:space="preserve">, ГСЗ им. С.А. Лавочкина, НПО, НПАО им. С.А. Лавочкина </w:t>
      </w:r>
      <w:r w:rsidRPr="00D03F3E">
        <w:rPr>
          <w:rFonts w:ascii="Times New Roman" w:hAnsi="Times New Roman"/>
          <w:color w:val="000000" w:themeColor="text1"/>
          <w:sz w:val="16"/>
          <w:szCs w:val="16"/>
          <w:lang w:val="en-US"/>
        </w:rPr>
        <w:t>MOM</w:t>
      </w:r>
      <w:r w:rsidRPr="00D03F3E">
        <w:rPr>
          <w:rFonts w:ascii="Times New Roman" w:hAnsi="Times New Roman"/>
          <w:color w:val="000000" w:themeColor="text1"/>
          <w:sz w:val="16"/>
          <w:szCs w:val="16"/>
        </w:rPr>
        <w:t>, ФГУП «НПО им. С.А. Лавочкина» РАКА, ФКА /141400  г. Химки Московской обл. Ленинградское ш., 24 тел. 573-56-75/) передан деревообделочный филиал завода № 293 НКАП в дер. Новая Лужа Химкинского р-на со всеми сооружениями.</w:t>
      </w:r>
    </w:p>
    <w:p w14:paraId="51AE31A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ГКО в 1946 г. на завод передано 1024 единицы трофейного оборудования (111 вагонов) с завода «Арадо» в  г. Ратенов (Германия) и 1733 единицы оборудования с завода «Зибельфлюгцойгверке» в  г. Галле (в т.ч. 231 металлорежущий станок).</w:t>
      </w:r>
    </w:p>
    <w:p w14:paraId="22B3FDC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(и более раннему № 326с от 8.08.1945 г.) филиал завода № 301 передан из 1ГУ в 7ГУ в распоряжение завода № 156 для расширения работ по Ту-4.</w:t>
      </w:r>
    </w:p>
    <w:p w14:paraId="6E1ABB6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393с от 2.10.1945 г. на площадку завода № 301 переведен с кадрами и оборудованием завод № 81 НКАП и с 1.09.1945 г. влит в состав завода № 301. В связи с этим с 1.09.1945 г. завод № 301 передан в 7ГУ как опытный завод. В 12.1945 г. на завод переведено ОКБ гл. конструктора С.А. Лавочкина и переименовано в ОКБ- 301. Завод стал его опытной базой. Производство крыльев для Як-9 прекращено.</w:t>
      </w:r>
    </w:p>
    <w:p w14:paraId="1293C2D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48с от 8.02.1946 г. для усиления конструкторских кадров в ОКБ-301 переведены из ОКБ-31 завода № 458 НКАП (бывшее ОКБ В.П. Горбунова) 22 ИТР с архивом.</w:t>
      </w:r>
    </w:p>
    <w:p w14:paraId="49A6B84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1947 г. создан первый советский истребитель со стреловидным крылом Ла-160. 26.12.1948 г. на самолете Ла- 176 впервые в СССР была достигнута скорость звука, 1105 км/ч (М=1,02).</w:t>
      </w:r>
    </w:p>
    <w:p w14:paraId="1BF9480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соответствии с пост, правительства от 09.1950 г. начата разработка и опытное производство управляемой ракетной техники - ЗУР для системы ПВО Москвы С-25 «Беркут». Из НИИ-88 </w:t>
      </w:r>
      <w:r w:rsidRPr="00D03F3E">
        <w:rPr>
          <w:rFonts w:ascii="Times New Roman" w:hAnsi="Times New Roman"/>
          <w:color w:val="000000" w:themeColor="text1"/>
          <w:sz w:val="16"/>
          <w:szCs w:val="16"/>
          <w:lang w:val="en-US"/>
        </w:rPr>
        <w:t>MB</w:t>
      </w:r>
      <w:r w:rsidRPr="00D03F3E">
        <w:rPr>
          <w:rFonts w:ascii="Times New Roman" w:hAnsi="Times New Roman"/>
          <w:color w:val="000000" w:themeColor="text1"/>
          <w:sz w:val="16"/>
          <w:szCs w:val="16"/>
        </w:rPr>
        <w:t xml:space="preserve"> в ОКБ-301 переданы наработки по ЗУР, перешла работать группа Бабакина. В 1951 г. создана первая отечественная ЗУР В-300. Велись также работы по проекту УРВВ Г-300 («210», «211») для Ту-4, но затем от них отказались. В соответствии с ПСМ № 893-533сс от 7.05.1955 г. В-300 в составе С-25 пнв. За достигнутые успехи ОКБ было награждено орденом Трудового Красного Знамени.</w:t>
      </w:r>
    </w:p>
    <w:p w14:paraId="454CF72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1955 г. в ОКБ-301 переведена часть кадров (39 чел.) расформированного КБ завода № 82.</w:t>
      </w:r>
    </w:p>
    <w:p w14:paraId="34B27F5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08.1955 г. КБ завода № 82 МОП было восстановлено и подчинено ОКБ-301 С.М. Лавочкина.</w:t>
      </w:r>
    </w:p>
    <w:p w14:paraId="3ECCF7B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1.10.1951 г. завод передан из 7ГУ в 6ГУ, в 08.1957 г. - в ведении 2ГУ МАП. С 1960 г. - ГС Машиностроительный завод им. С.А. Лавочкина. В 11.1962 г. происходит разделение завода и ОКБ. С 18.12.1962 г. по конец 1964 г. ОКБ-301 перешло, в подчинение ОКБ-52 В.Н. Челомея в качестве филиала № 3 (начальник филиала- А.И. Эйдис). Возложена задача доводки и модернизации морских КР П-5, П-6, П-35, П-7, П- 120, П-500, «Аметист». В соответствии с </w:t>
      </w:r>
      <w:r w:rsidRPr="00D03F3E">
        <w:rPr>
          <w:rFonts w:ascii="Times New Roman" w:hAnsi="Times New Roman"/>
          <w:color w:val="000000" w:themeColor="text1"/>
          <w:sz w:val="16"/>
          <w:szCs w:val="16"/>
          <w:lang w:val="en-US"/>
        </w:rPr>
        <w:t>nocf</w:t>
      </w:r>
      <w:r w:rsidRPr="00D03F3E">
        <w:rPr>
          <w:rFonts w:ascii="Times New Roman" w:hAnsi="Times New Roman"/>
          <w:color w:val="000000" w:themeColor="text1"/>
          <w:sz w:val="16"/>
          <w:szCs w:val="16"/>
        </w:rPr>
        <w:t>. СМ от 18.12.1962 г. с завода № 642 передано производство П-25.' Заводу им. Лавочкина поручено производство КР «Аметист», П-25, доводка КА «ИС» и УС.</w:t>
      </w:r>
    </w:p>
    <w:p w14:paraId="5847F4A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1964 г. завод им. Лавочкина ГКОТ вновь стал самостоятельным. 03.1965 г. передан в подчинение ЗГУ </w:t>
      </w:r>
      <w:r w:rsidRPr="00D03F3E">
        <w:rPr>
          <w:rFonts w:ascii="Times New Roman" w:hAnsi="Times New Roman"/>
          <w:color w:val="000000" w:themeColor="text1"/>
          <w:sz w:val="16"/>
          <w:szCs w:val="16"/>
          <w:lang w:val="en-US"/>
        </w:rPr>
        <w:t>MOM</w:t>
      </w:r>
      <w:r w:rsidRPr="00D03F3E">
        <w:rPr>
          <w:rFonts w:ascii="Times New Roman" w:hAnsi="Times New Roman"/>
          <w:color w:val="000000" w:themeColor="text1"/>
          <w:sz w:val="16"/>
          <w:szCs w:val="16"/>
        </w:rPr>
        <w:t>. Началась разработка космической техники: автоматических КА для исследований дальнего космоса и Луны, продолжены работы по КА «ИС» (истребителю спутников). В 1974 г. на базе завода и ОКБ создано НПО им. С.А. Лавочкина.</w:t>
      </w:r>
    </w:p>
    <w:p w14:paraId="5B81AE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06.1950 г. вышло постановление СМ СССР о создании мишени «201» (Ла-17). В 06.1956 г.- постановление СМ СССР о разработке на базе Ла-17 разведчика «210-ФР». В соответствии с ПСМ № 1230-524 от 30.11.1960 г. начата разработка беспилотного разведчика «204» (Ла-17Р). В 11.1961 г.- постановление СМ СССР о создании Ла- 17ММ (госиспытания- в 10-12.1963 г.).</w:t>
      </w:r>
    </w:p>
    <w:p w14:paraId="190938B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08.1950 г. завод назначен головным разработчиком ЗУР «207» (В-300) для системы ПВО С-25, 10.03.1952 г. вышло постановление № 1264-417 о ее создании.</w:t>
      </w:r>
    </w:p>
    <w:p w14:paraId="11D25FF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ПСМ № 527-232 от 26.03.1954 г. и № 957-409 от 20.05.1954 г. начата разработка МКР «Буря» - носителя ядерного заряда (научный руководитель- М.В. Келдыш). Пост. СМ СССР от 5.02.1960 г. работы по «Буре» прекращены.</w:t>
      </w:r>
    </w:p>
    <w:p w14:paraId="4EB7334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24.03.1955 г. вышло постановление СМ СССР № 602-369 о создании зенитно-ракетной системы «Даль»; пост. № 1148-591 от 17.08.1956 г. были изменены ТТТ к ЗРК «Даль». Пост. № 735-338 от 4.04.1958 г. установлен срок предъявления ЗРК «Даль» на совместные испытания- 1-й квартал 1960 г. Пост, от 4.07.1959 г. задавалась разработка «Даль-М» с ЗУР «420» и «Дапь-2» с ЗУР «500». Пост. № 1096-460 от 22.10.1962 г. работы по «Даль» прекращены.</w:t>
      </w:r>
      <w:r w:rsidRPr="00D03F3E">
        <w:rPr>
          <w:rFonts w:ascii="Times New Roman" w:hAnsi="Times New Roman"/>
          <w:color w:val="000000" w:themeColor="text1"/>
          <w:sz w:val="16"/>
          <w:szCs w:val="16"/>
          <w:vertAlign w:val="superscript"/>
        </w:rPr>
        <w:t>57</w:t>
      </w:r>
    </w:p>
    <w:p w14:paraId="65373AB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 правительства от 03.1956 г. задана разработка дальнего сверхзвукового бомбардировщика «325», в 07.1958 г. работы прекращены.</w:t>
      </w:r>
    </w:p>
    <w:p w14:paraId="12D4EF2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1955-57 г. работы по экспериментальной крылатой атомной ракете (КАР) «375» с ЯРД.</w:t>
      </w:r>
    </w:p>
    <w:p w14:paraId="0DE76F2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Пост. СМ от 14.05.1962 г. принята на вооружение ракета «217М», а пост, от 6.08.1964 г.- ракета «218» для С- 25М.</w:t>
      </w:r>
    </w:p>
    <w:p w14:paraId="029F152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 правительства от 18.12.1962 г. на завод с завода № 642 переведено производство ККР П-25.</w:t>
      </w:r>
    </w:p>
    <w:p w14:paraId="2BFBAD5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1964 г. завод принимал участие в работах по бомбардировщику Т-4.</w:t>
      </w:r>
    </w:p>
    <w:p w14:paraId="7136E9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1965-66 г. сюда из ОКБ-1 передана тематика КА для исследования Луны, Венеры и Марса. В 1970-е  г. велась разработка проекта доставки на Марс самоходного зонда.</w:t>
      </w:r>
    </w:p>
    <w:p w14:paraId="62A6229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1967 г. началась разработка совместно с ЦНИИ «Комета» и НИИ-45 МО системы предупреждения о ракетном нападении «Око», КА УС-К, УС-КС и УС-КМО. В соответствии с ПСМ от 29.09.1969 г. задано создание УС-К со сдачей на вооружение в 1975 г. В составе системы 4 спутника УС-КС (управляемая система «Континент» с геостационарным спутником) и 1 УС-КМО (управляемая система «Континенты-моря-океаны») (71X6) «Прогноз». Пост, правительства № 5721 от 16.01.1979 г. система «Око» принята на вооружение. ПСМ от 29.05.1980 г. задано дополнение системы УС-К спутником на геостационарной орбите. Приказом МО № 00178 от 27.12.1982 г. система поставлена на боевое дежурство, директивой главкома войск ПВО от 14.03.1985 г. УС-К преобразована в УС-КС. Состоит из 8 спутников УС-КС на высокоэллиптических орбитах и 4-х УС-КМО (71X6) на геостационарных орбитах; двух КП- западного ( г. Солнечногорск) и Восточного. Включает также систему «Крокус» и носимые терминалы командной боевой системы «Казбек». Указом Президента № 1770 в 12.1996 г. СПРН принята на вооружение, в 2002 г., после ввода восточного КП, заступила на боевое дежурство,</w:t>
      </w:r>
      <w:r w:rsidRPr="00D03F3E">
        <w:rPr>
          <w:rFonts w:ascii="Times New Roman" w:hAnsi="Times New Roman"/>
          <w:color w:val="000000" w:themeColor="text1"/>
          <w:sz w:val="16"/>
          <w:szCs w:val="16"/>
          <w:vertAlign w:val="superscript"/>
        </w:rPr>
        <w:t>1</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vertAlign w:val="superscript"/>
        </w:rPr>
        <w:t>28 04</w:t>
      </w:r>
      <w:r w:rsidRPr="00D03F3E">
        <w:rPr>
          <w:rFonts w:ascii="Times New Roman" w:hAnsi="Times New Roman"/>
          <w:color w:val="000000" w:themeColor="text1"/>
          <w:sz w:val="16"/>
          <w:szCs w:val="16"/>
          <w:vertAlign w:val="superscript"/>
          <w:lang w:val="en-US"/>
        </w:rPr>
        <w:t>Cb</w:t>
      </w:r>
    </w:p>
    <w:p w14:paraId="1A89B7A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Действовал филиал в Обнинске (с 06.1993 г. - НИЦ КС). В начале 1989 г. при НПО создан НИЦ им. Бабакина как открытая организация для работы с иностранными специалистами. В 1989 г. организован Калужский филиал (с 1998 г.- дочернее предприятие Калужское ОКБ).</w:t>
      </w:r>
    </w:p>
    <w:p w14:paraId="3056348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НПО им. Лавчкина входили: ОКБ, экспериментальный завод («Вымпел»?), Калужское ОКБ (2002 г.); НИЦ им. Бабакина (2003 г.). В 2004 г. в состав НПО входил Центр «Наземно-космических систем».</w:t>
      </w:r>
    </w:p>
    <w:p w14:paraId="7629790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3015E46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(2002-05 г.): разработка и изготовление автоматических межпланетных станций, КА; космических комплексов связи, ДЗЗ; обеспечение баллистико-навигационных расчетов траекторий КА; испытания агрегатов и КА в целом; подготовка к полету и управление полетом КА. Принимало участие в программах: «Луна», «Марс», «Венера», «Банкир», «Вега», «Фобос», ИРС-1, «Гранат», «Интербол», «Спектр», «Электро», индийской лунной программе «Чандраян-2» (2006 г.).</w:t>
      </w:r>
    </w:p>
    <w:p w14:paraId="52E826D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(1962 г.)- 7966 чел., (1972 г.)- 10.655 чел.</w:t>
      </w:r>
      <w:r w:rsidRPr="00D03F3E">
        <w:rPr>
          <w:rFonts w:ascii="Times New Roman" w:hAnsi="Times New Roman"/>
          <w:color w:val="000000" w:themeColor="text1"/>
          <w:sz w:val="16"/>
          <w:szCs w:val="16"/>
          <w:vertAlign w:val="superscript"/>
        </w:rPr>
        <w:t>77</w:t>
      </w:r>
    </w:p>
    <w:p w14:paraId="2F272E1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(1945-06.1956 г.)- С.А. Лавочкин («Буря»), (1960-65 г.)- М.М. Пашинин, И.Н. Лукин, (1965- 71 г.)-  Г.Н. Бабакин, (1971-12.1977 г.)- С.С. Крюков, (17.02.1977-86 г.)- В.М. Ковтуненко. Ген. конструктор (12.1956-06.1960 г.)- С.А. Лавочкин {11.09.1900-9.06.1960}, (1986-95 г.)- В.М. Ковтуненко {31.08.1921-10.07.1995}, (1996-08.2003г,)- С.Д. Куликов; И.О. ген. конструктора (08-10.2003 г.)- К.М. Пичхадзе; (10.2003-1.02.2005 г.)- К.М. Пичхадзе, (1.02.2005-07 г.-&gt;  Г.М. Полищук.</w:t>
      </w:r>
    </w:p>
    <w:p w14:paraId="0D2031B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1-й зам. гл., ген. конструктора (0б.1951-53 г.)- П.Д. Грушин, (1971-77г,)- А. Г. Чесноков, по научной работе (1985 г.-)- А.Л. Родин; по прикладному направлению (1989 г.-)- А.Л. Родин; (2004 г.)- В.Н. Тимофеев. Зам. гл., ген. конструктора (-1952-60 г.-)- Н.А. Хейфец, (-1955-60 г.)- Н.С. Черняков, (-1956-60 г.)- М.М. Пашинин, (1960-65 г.)-  Г.Н. Бабакин, (1968 г.-)- А. Г. Чесноков, (-1969 г.)- И.А. Скробко, (10.2005 г.)- К.М. Пичхадзе; по информационным спутниковым системам (1998-2004 г.-&gt; А.Л. Родин.</w:t>
      </w:r>
    </w:p>
    <w:p w14:paraId="271F77D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И.О. директора (1942 г.)- Беленков. Директор (-01.1943-02.1945 г.-)- И.Н. Смирнов, (1945 г.-)- С.А. Лавочкин, (07.1951 г.-)- В.Н. Лисицын, (1965 г.)- А.П. Милованов. Гендиректор (1987-89 г.)- В.М. Ковтуненко, (-1996-99 г.-)- А.М. Баклунов,</w:t>
      </w:r>
      <w:r w:rsidRPr="00D03F3E">
        <w:rPr>
          <w:rFonts w:ascii="Times New Roman" w:hAnsi="Times New Roman"/>
          <w:color w:val="000000" w:themeColor="text1"/>
          <w:sz w:val="16"/>
          <w:szCs w:val="16"/>
          <w:vertAlign w:val="superscript"/>
        </w:rPr>
        <w:t>58</w:t>
      </w:r>
      <w:r w:rsidRPr="00D03F3E">
        <w:rPr>
          <w:rFonts w:ascii="Times New Roman" w:hAnsi="Times New Roman"/>
          <w:color w:val="000000" w:themeColor="text1"/>
          <w:sz w:val="16"/>
          <w:szCs w:val="16"/>
        </w:rPr>
        <w:t xml:space="preserve"> (-08.2003 г.)- С.Д. Куликов; И.О. гендиректора (08-10.2003 г.)- К.М. Пичхадзе; (10.2003- 1.02.2005 г.)- К.М. Пичхадзе, (1.02.2005-07 г.-&gt;  Г.М. Полищук.</w:t>
      </w:r>
    </w:p>
    <w:p w14:paraId="7D456EC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1-й зам. гендиректора (01.2004 г.)- Р. Кремнев, (1.02.2005 г.-)- К.М. Пичхадзе. Зам. Гендиректора: по ВЭД (2002 г.)- И.П. Зайцев.</w:t>
      </w:r>
      <w:r w:rsidRPr="00D03F3E">
        <w:rPr>
          <w:rFonts w:ascii="Times New Roman" w:hAnsi="Times New Roman"/>
          <w:color w:val="000000" w:themeColor="text1"/>
          <w:sz w:val="16"/>
          <w:szCs w:val="16"/>
          <w:vertAlign w:val="superscript"/>
        </w:rPr>
        <w:t>69</w:t>
      </w:r>
    </w:p>
    <w:p w14:paraId="6BB8F72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(06.1951-53 г.)- П.Д. Грушин.</w:t>
      </w:r>
    </w:p>
    <w:p w14:paraId="31ED979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завода (1965 г.)- И.Н. Лукин.</w:t>
      </w:r>
    </w:p>
    <w:p w14:paraId="02DE27C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комплексов: электрорадиотехнического- А.Л. Родин; проектного- А.Л. Родин.</w:t>
      </w:r>
    </w:p>
    <w:p w14:paraId="1FA974B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конструкторы: (1940-е-1950 г.-)- И.А. Меркулов («201»), (-1955-60 г.)- Н.С. Черняков («205», МКР «Буря»),</w:t>
      </w:r>
      <w:r w:rsidRPr="00D03F3E">
        <w:rPr>
          <w:rFonts w:ascii="Times New Roman" w:hAnsi="Times New Roman"/>
          <w:color w:val="000000" w:themeColor="text1"/>
          <w:sz w:val="16"/>
          <w:szCs w:val="16"/>
          <w:vertAlign w:val="superscript"/>
        </w:rPr>
        <w:t>59</w:t>
      </w:r>
      <w:r w:rsidRPr="00D03F3E">
        <w:rPr>
          <w:rFonts w:ascii="Times New Roman" w:hAnsi="Times New Roman"/>
          <w:color w:val="000000" w:themeColor="text1"/>
          <w:sz w:val="16"/>
          <w:szCs w:val="16"/>
        </w:rPr>
        <w:t xml:space="preserve"> (1960-е)- О. Г. Ивановский («Луноходы»), (1969-2004 г.-)- А. Г. Чесноков («201», УС-К, КА прикладного назначения), (1985 г.-)- А.Л. Родин (КА УС-КМО).</w:t>
      </w:r>
    </w:p>
    <w:p w14:paraId="42EF150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Ведущие конструкторы: (1969 г.)- А. Г. Чесноков (Ла-17, Ла-17М, Ла-17Р, УС-К), (1951 г.)- Н.С. Черняков («205»), А.Л. Родин (КА «Венера», «Марс»).</w:t>
      </w:r>
    </w:p>
    <w:p w14:paraId="690787A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отделов: теоретического (1951 г.-)-  Г.Н. Бабакин; по системам управления (1970-е)- Н.Д. Капырин; электроавтоматики (1970-е)- А.И. Ступников.</w:t>
      </w:r>
    </w:p>
    <w:p w14:paraId="60EB51F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Летчики-испытатели: (1955 г.)- А. Г. Кочетков.</w:t>
      </w:r>
    </w:p>
    <w:p w14:paraId="3EB4D4E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Создано: самолеты: истребители:</w:t>
      </w:r>
      <w:r w:rsidRPr="00D03F3E">
        <w:rPr>
          <w:rFonts w:ascii="Times New Roman" w:hAnsi="Times New Roman"/>
          <w:color w:val="000000" w:themeColor="text1"/>
          <w:sz w:val="16"/>
          <w:szCs w:val="16"/>
        </w:rPr>
        <w:t xml:space="preserve"> Ла-7 (30.01.1944 г.), Ла-9 (28.01.1946 г.), Ла-11 (05.1947 г.), «150» (12.09.1946 г.), «156», Ла-160 («160», 26.07.1947 г.), «168», Ла-15 («174», 8.01.1948 г.), Ла-176 («176», 20.09.1948 г.), «190», перехватчики Ла-200 («200», 16.09.1949 г.), Ла-200Б (3.07.1952 г.), Л-240 «Анаконда», бомбардировщики: «250», «325» (проект, 1958);</w:t>
      </w:r>
      <w:r w:rsidRPr="00D03F3E">
        <w:rPr>
          <w:rFonts w:ascii="Times New Roman" w:hAnsi="Times New Roman"/>
          <w:iCs/>
          <w:color w:val="000000" w:themeColor="text1"/>
          <w:sz w:val="16"/>
          <w:szCs w:val="16"/>
        </w:rPr>
        <w:t xml:space="preserve"> мишени:</w:t>
      </w:r>
      <w:r w:rsidRPr="00D03F3E">
        <w:rPr>
          <w:rFonts w:ascii="Times New Roman" w:hAnsi="Times New Roman"/>
          <w:color w:val="000000" w:themeColor="text1"/>
          <w:sz w:val="16"/>
          <w:szCs w:val="16"/>
        </w:rPr>
        <w:t xml:space="preserve"> «201» (Ла-17), «203» (Ла-17М), «202» (Ла-17ММ), Ла-17У;</w:t>
      </w:r>
      <w:r w:rsidRPr="00D03F3E">
        <w:rPr>
          <w:rFonts w:ascii="Times New Roman" w:hAnsi="Times New Roman"/>
          <w:iCs/>
          <w:color w:val="000000" w:themeColor="text1"/>
          <w:sz w:val="16"/>
          <w:szCs w:val="16"/>
        </w:rPr>
        <w:t xml:space="preserve"> БПЛА- разведчит:</w:t>
      </w:r>
      <w:r w:rsidRPr="00D03F3E">
        <w:rPr>
          <w:rFonts w:ascii="Times New Roman" w:hAnsi="Times New Roman"/>
          <w:color w:val="000000" w:themeColor="text1"/>
          <w:sz w:val="16"/>
          <w:szCs w:val="16"/>
        </w:rPr>
        <w:t xml:space="preserve"> «204» (Ла-17Р, госиспытания в 1963), «204М» (Ла-17РМ), «210-ФР» (1956), Ла-17БР (1958);</w:t>
      </w:r>
    </w:p>
    <w:p w14:paraId="3A57E5F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ЗУР:</w:t>
      </w:r>
      <w:r w:rsidRPr="00D03F3E">
        <w:rPr>
          <w:rFonts w:ascii="Times New Roman" w:hAnsi="Times New Roman"/>
          <w:color w:val="000000" w:themeColor="text1"/>
          <w:sz w:val="16"/>
          <w:szCs w:val="16"/>
        </w:rPr>
        <w:t xml:space="preserve"> изд. «205» (В-300 для С-25 «Беркут», 25.07.1951 г.), «206» (В-300, опытная, 1951), «207» (В-300, опытная, 1953), «208» (В-300, опытная, 1953), «207А» (В-300, пнв в 1955 г.), «215» (В-300, с ядерной БЧ, пнв в 1957 г.), «217» (В-300, пнв в 1958 г.), «217М» (для С-25М, пнв в 1961 г.), «218» (В-300, с ядерной БЧ, пнв в 1964 г.), «220» (В-600 для С-25), «225» (проект для С-50), «400» (5В11 для ЗРК «Даль», испытана в 1958-62 г.), «420» («Даль-М», 1959), «500» («Даль-2», 1959), В-500 для С-25;</w:t>
      </w:r>
      <w:r w:rsidRPr="00D03F3E">
        <w:rPr>
          <w:rFonts w:ascii="Times New Roman" w:hAnsi="Times New Roman"/>
          <w:iCs/>
          <w:color w:val="000000" w:themeColor="text1"/>
          <w:sz w:val="16"/>
          <w:szCs w:val="16"/>
        </w:rPr>
        <w:t xml:space="preserve"> УРВБ:</w:t>
      </w:r>
      <w:r w:rsidRPr="00D03F3E">
        <w:rPr>
          <w:rFonts w:ascii="Times New Roman" w:hAnsi="Times New Roman"/>
          <w:color w:val="000000" w:themeColor="text1"/>
          <w:sz w:val="16"/>
          <w:szCs w:val="16"/>
        </w:rPr>
        <w:t xml:space="preserve"> «210» (Г-300 на базе В-300, опытная) для Ту-4, «211» (Г- 310), «275» и «277» комплекса К-15 для Ла-250, «275А» комплекса К-15У, «278», «279», «280» комплекса К-15М; МКР «Буря» («350», В-350, 1.09.1957 г.); КАР «375» (1957);</w:t>
      </w:r>
    </w:p>
    <w:p w14:paraId="591E75A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 для исследований: Луны: «Луна-8», «Луна-9» (01.1966 г., первая в мире посадка на Луну), «Луна-10, -11,- 12 (22.10.1966 г.), -13 (12.1966 г.), -14, -15 (13.07.1969 г.), -16 (12.09.1970, доставлен лунный грунт)», «Луна-17» («Луноход-1», 10.11.1970 г.), «Луна-18» (2.09.1971 г.), «Луна-19» (28.09.1971 г.), «Луна-20» (14.02.1972 г.), «Луна- 21» («Луноход-2», 8.01.1973 г.), «Луна-23 (28.10.1974 г.), -24 (9.08.1976 г.)», «Луна-Глоб» (2000-е); Венеры: «Венера-4 (12.06.1967 г.), -5 (5.01.1969 г.), -6 (10.01.1969 г.), -7 (17.08.1970 г.), -8 (27.03.1972 г.), -9 (8.06.1975 г.), -10 (14.06.1975 г.), -11 (9.09.1978 г.), -12 (14.09.1978 г.), -13 (30.10.1981 г.), -14 (4.11.1981 г.), -16 (7.06.1983 г.)», «Вега-1 (15.12.1984 г.), -2 (21.12.1984 г.)»; Марса: «Марс-8» (1996); Марса и Фобоса «Фобос-грунт» (2000-е); исследования геомагнитной и радиационной обстановки «Прогноз-1...5» (1972-76); обсерватории для астрофизических исследований «Астрон» (1983), «Гранат» (1.12.1989 г.), «Спектр» (2000-е); автоматический оптико-электронной разведки «Аркон» («Аракс-Н», 11Ф664, «Космос-2344», «Космос-2392») (1997), спутник связи «Купон» (1997); истребитель спутников «ИС» («Уран»): «Космос-217, -248, -252» (1968), «ИС-МУ» (14Ф10), КА СПРН «Око»: «Космос-520 (5В95, 19.09.1972), -903, -917, -931, -2345, -2350 (1998), -2397» (2003), УС-КС (81Г6, «Прогноз») «Космос-775 (8.10.1975 г.), -1629 (21.02.1985 г.), -1675» (12.08.1985 г.), УС-КМО (71X6) «Космос-2133 (14.02.1991 г.), -2224 (17.12.1992 г.), -2282 (7.07.1994 г.)»; гидрометеорологический «Электро-Л» (2000-е); разгонный блок «Фрегат» для РН «Союз-2»; «Космос-1» с «солнечным парусом» (22.06.2005); «Демонстратор» (9.02.2000, 20.07.2001, 12.07.2002, 7.10.2005).</w:t>
      </w:r>
    </w:p>
    <w:p w14:paraId="009516C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w:t>
      </w:r>
      <w:r w:rsidRPr="00D03F3E">
        <w:rPr>
          <w:rFonts w:ascii="Times New Roman" w:hAnsi="Times New Roman"/>
          <w:color w:val="000000" w:themeColor="text1"/>
          <w:sz w:val="16"/>
          <w:szCs w:val="16"/>
        </w:rPr>
        <w:t xml:space="preserve"> крылья для Як-7, Як-9 (1943-45); самолет Ла-150; УР: «350» (В-350, МКР «Буря)- 19, ЗУР «400» (1961)- опытная партия; ККР П-25 (4К70, 1963-).</w:t>
      </w:r>
    </w:p>
    <w:p w14:paraId="7296F10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ФГУП «Научно- исследовательский центр (НИЦ) им.  Г.Н. Бабакина» /г. Химки Московской обл./</w:t>
      </w:r>
    </w:p>
    <w:p w14:paraId="23AAAB7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Создан при НПО им Лавочкина в начале 1989 г. как открытая организация для работы с иностранными специалистами.</w:t>
      </w:r>
    </w:p>
    <w:p w14:paraId="6580992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Разработка космической техники. Здесь созданы все советские планетоходы. Имеется испытательный полигон- марсодром.</w:t>
      </w:r>
      <w:r w:rsidRPr="00D03F3E">
        <w:rPr>
          <w:rFonts w:ascii="Times New Roman" w:hAnsi="Times New Roman"/>
          <w:color w:val="000000" w:themeColor="text1"/>
          <w:sz w:val="16"/>
          <w:szCs w:val="16"/>
          <w:vertAlign w:val="superscript"/>
        </w:rPr>
        <w:t>37</w:t>
      </w:r>
      <w:r w:rsidRPr="00D03F3E">
        <w:rPr>
          <w:rFonts w:ascii="Times New Roman" w:hAnsi="Times New Roman"/>
          <w:color w:val="000000" w:themeColor="text1"/>
          <w:sz w:val="16"/>
          <w:szCs w:val="16"/>
        </w:rPr>
        <w:t xml:space="preserve"> Создан «Солнечный парус» (2001 г.). Проект марсохода (2000-е).</w:t>
      </w:r>
    </w:p>
    <w:p w14:paraId="1180F58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2002 г. входил в состав НПО им. Лавочкина.</w:t>
      </w:r>
    </w:p>
    <w:p w14:paraId="1B579C3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Гендиректор (-10.2003 г.)- К.М. Пичхадзе.</w:t>
      </w:r>
    </w:p>
    <w:p w14:paraId="0B1022C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Создано:</w:t>
      </w:r>
      <w:r w:rsidRPr="00D03F3E">
        <w:rPr>
          <w:rFonts w:ascii="Times New Roman" w:hAnsi="Times New Roman"/>
          <w:color w:val="000000" w:themeColor="text1"/>
          <w:sz w:val="16"/>
          <w:szCs w:val="16"/>
        </w:rPr>
        <w:t xml:space="preserve"> «Луноход-1» (10.11.1970 г., «Луна-17»), «Луноход-2» (01.1973 г.), «Луноход-3» (не запускался), марсоход М-71 (1971 г., «Марс-З»).</w:t>
      </w:r>
      <w:r w:rsidRPr="00D03F3E">
        <w:rPr>
          <w:rFonts w:ascii="Times New Roman" w:hAnsi="Times New Roman"/>
          <w:color w:val="000000" w:themeColor="text1"/>
          <w:sz w:val="16"/>
          <w:szCs w:val="16"/>
          <w:vertAlign w:val="superscript"/>
        </w:rPr>
        <w:t>138</w:t>
      </w:r>
    </w:p>
    <w:p w14:paraId="0513D6E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Калужский филиал, ФГУДП «Калужское ОКБ» НПО им. Лавочкина</w:t>
      </w:r>
    </w:p>
    <w:p w14:paraId="65276FB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/248601  г. Калуга ул. Октябрьская, 17 тел. 49-523/</w:t>
      </w:r>
    </w:p>
    <w:p w14:paraId="34F5DAF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Филиал организован в 1989 г. для создания программно-математического обеспечения и спецоборудования КА. В 1998 г. филиал преобразован в дочернее предприятие Калужское ОКБ.</w:t>
      </w:r>
    </w:p>
    <w:p w14:paraId="56DDBF2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Принимал участие в программах: «Марс-96», «Спектр», «Кластер».</w:t>
      </w:r>
    </w:p>
    <w:p w14:paraId="13FBD07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Разработка и производство (2002 г.): программно-алгоритмическое обеспечение СУ и обработки информации КА («Фобос-Грунт»); научная аппаратура и наземное оборудование; математическое моделирование процессов взаимодействия посадочных аппаратов с поверхностью; оборудование на основе озона и УФ-излучения для борьбы с инфекциями.</w:t>
      </w:r>
    </w:p>
    <w:p w14:paraId="3E79BBD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(2002 г.)- С. Г. Потехин.</w:t>
      </w:r>
    </w:p>
    <w:p w14:paraId="5F276FE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(2002 г.)- С. Г. Потехин.</w:t>
      </w:r>
    </w:p>
    <w:p w14:paraId="06FC0FF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конструктора (2002 г.)- В.И. Михальский, (2002 г.)- Д.В. Кондратьев.</w:t>
      </w:r>
      <w:r w:rsidRPr="00D03F3E">
        <w:rPr>
          <w:rFonts w:ascii="Times New Roman" w:hAnsi="Times New Roman"/>
          <w:color w:val="000000" w:themeColor="text1"/>
          <w:sz w:val="16"/>
          <w:szCs w:val="16"/>
          <w:vertAlign w:val="superscript"/>
        </w:rPr>
        <w:t>69</w:t>
      </w:r>
    </w:p>
    <w:p w14:paraId="0EFD289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ФГУП Научно-исследовательский центр космической системотехники (НИЦКС) /249032  г. Обнинск Калужской обл. ул. Королева, 6А тел. 23-912, 255-23-93/</w:t>
      </w:r>
    </w:p>
    <w:p w14:paraId="2109C7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НИЦ КС создан в 06.1993 г. на базе филиала НПО им. Лавочкина. Работы по обеспечению летно- конструкторских испытаний и эксплуатации КА; НИОКР по созданию установок и систем очистки природных и сточных вод.</w:t>
      </w:r>
    </w:p>
    <w:p w14:paraId="0F41B7E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(2002 г.): НИОКР в области космических технологий производства полупроводниковых материалов, информационных технологий.</w:t>
      </w:r>
    </w:p>
    <w:p w14:paraId="6738922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Численность персонала (2002 г.)- 24 чел.</w:t>
      </w:r>
    </w:p>
    <w:p w14:paraId="004C94D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(2002 г.)- И.Л. Озерных.</w:t>
      </w:r>
    </w:p>
    <w:p w14:paraId="14F7342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(2002 г.)- И.Л. Озерных.</w:t>
      </w:r>
    </w:p>
    <w:p w14:paraId="6A97B406" w14:textId="77777777" w:rsidR="00A1719C"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D03F3E">
        <w:rPr>
          <w:rFonts w:ascii="Times New Roman" w:hAnsi="Times New Roman"/>
          <w:color w:val="000000" w:themeColor="text1"/>
          <w:sz w:val="16"/>
          <w:szCs w:val="16"/>
        </w:rPr>
        <w:t>Зам. гл. конструктора (2002 г.)- А.Н. Подтуркин.</w:t>
      </w:r>
      <w:r w:rsidRPr="00D03F3E">
        <w:rPr>
          <w:rFonts w:ascii="Times New Roman" w:hAnsi="Times New Roman"/>
          <w:color w:val="000000" w:themeColor="text1"/>
          <w:sz w:val="16"/>
          <w:szCs w:val="16"/>
          <w:vertAlign w:val="superscript"/>
        </w:rPr>
        <w:t>69</w:t>
      </w:r>
    </w:p>
    <w:p w14:paraId="58E230D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ООО «Инновационное предприятие «Луноход» /141400  г. Химки Московской обл. ул. Ленинградская, 24 тел. 573-00-75/</w:t>
      </w:r>
    </w:p>
    <w:p w14:paraId="7877776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Предприятие создано в 1991 г., учредитель- НПО им. С.А. Лавочкина.</w:t>
      </w:r>
    </w:p>
    <w:p w14:paraId="1A2D5E9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(2002 г.): НИОКР по созданию: прецизионной техники, агрегатов КА, систем электропитания, терморегулирования и радиосвязи; устройств для перемещения, фиксации положения; гидро- и пневмораспределителей; оборудование для балансировки; тензорезисторы, датчики, запорная арматура, фильтры тонкой очистки, приводы; специальные волновые передачи.</w:t>
      </w:r>
    </w:p>
    <w:p w14:paraId="5992F0D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(2002 г.)-17 чел.</w:t>
      </w:r>
    </w:p>
    <w:p w14:paraId="752F53F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Гендиректор (2002 г.)- М.Ф. Тулянкин.</w:t>
      </w:r>
    </w:p>
    <w:p w14:paraId="33B4B9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гендиректора (2002 г.)- С.В. Титенок (11982).</w:t>
      </w:r>
    </w:p>
    <w:p w14:paraId="3742A81D" w14:textId="77777777" w:rsidR="00A1719C" w:rsidRPr="00D03F3E" w:rsidRDefault="00A1719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382AB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вышло Постановление ГКО № 2796 Об увеличении производства корпусов авиабомб ФАБ-500, ФАБ-250, ФАБ-100, ФАБ-50 и АО-25.РГАНИР, Фонд ГКО, д. 84, лл. 98-103, 104-151 (11012).</w:t>
      </w:r>
    </w:p>
    <w:p w14:paraId="6CCB819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36CF19"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года Постановлением ГОКО ГСКБ-47 было передано из системы НКБ в систему НКМВ. Переход ГСКБ-47 в другой наркомат был воспринят руководством и коллективом ГСКБ без особой радости. Однако в Наркомате минометного вооружения ГСКБ-47 оказалось самым крупным предприятием из всех НИИ и КБ наркомата. Нарком П. И. Паршин никаких изменений в руководящий состав ГСКБ не внес. Боязнь руководства предприятия, что снабжение всеми материалами будет затруднено, оказалась напрасной, учитывая при этом, что для работ ГСКБ нужны были ВВ, пороха, пиротехнические составы и т. п. Потребность в спирте только на один месяц привела управление снабжения наркомата в ступор, но уже через месяц ГСКБ-47 и его снаряжательные мастерские снабжались всеми необходимыми для работ материалами. Нарком П. И. Паршин и его заместитель Николай Иванович Кочнов постоянно интересовались выполнением плана конструкторских работ. Нарком лично контролировал работу, имел прямой контакт с руководством предприятия, конструкторами, но самое главное, помогал в самые тяжелые периоды, когда не все получалось (15794).</w:t>
      </w:r>
    </w:p>
    <w:p w14:paraId="0FB3E51A" w14:textId="77777777" w:rsidR="00A1719C" w:rsidRPr="00D03F3E" w:rsidRDefault="00A1719C" w:rsidP="00D03F3E">
      <w:pPr>
        <w:spacing w:after="0" w:line="240" w:lineRule="auto"/>
        <w:jc w:val="both"/>
        <w:rPr>
          <w:rFonts w:ascii="Times New Roman" w:hAnsi="Times New Roman"/>
          <w:color w:val="000000" w:themeColor="text1"/>
          <w:sz w:val="16"/>
          <w:szCs w:val="16"/>
        </w:rPr>
      </w:pPr>
    </w:p>
    <w:p w14:paraId="0368C2F5"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650BE0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ADDB58"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г. вышло Постановление ГКО СССР № 2804сс о неудовлетворительном обеспечении Главного управления связи Красной Армии НКО качественными проводами для правительственной ВЧ-связи Ставки ВГК со штабами фронтов и армий1</w:t>
      </w:r>
    </w:p>
    <w:p w14:paraId="0FC46A5B"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постановление ГКО от 11 января 1942 г.2 по вопросу обеспече</w:t>
      </w:r>
      <w:r w:rsidRPr="00D03F3E">
        <w:rPr>
          <w:rFonts w:ascii="Times New Roman" w:hAnsi="Times New Roman"/>
          <w:color w:val="000000" w:themeColor="text1"/>
          <w:sz w:val="16"/>
          <w:szCs w:val="16"/>
        </w:rPr>
        <w:softHyphen/>
        <w:t>ния высококачественными проводами для правительственной ВЧ-связи меж</w:t>
      </w:r>
      <w:r w:rsidRPr="00D03F3E">
        <w:rPr>
          <w:rFonts w:ascii="Times New Roman" w:hAnsi="Times New Roman"/>
          <w:color w:val="000000" w:themeColor="text1"/>
          <w:sz w:val="16"/>
          <w:szCs w:val="16"/>
        </w:rPr>
        <w:softHyphen/>
        <w:t>ду Ставкой Верховного Главнокомандования и штабами фронтов и армий, ГУСКА НКО систематически запаздывает с предоставлением проводов для ВЧ-связи НКВД. В целях организации бесперебойного действия этой связи впредь Государственный Комитет Обороны постановляет:</w:t>
      </w:r>
    </w:p>
    <w:p w14:paraId="7D30DF0D"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Освободить Главное управление связи Красной Армии от работ по обес</w:t>
      </w:r>
      <w:r w:rsidRPr="00D03F3E">
        <w:rPr>
          <w:rFonts w:ascii="Times New Roman" w:hAnsi="Times New Roman"/>
          <w:color w:val="000000" w:themeColor="text1"/>
          <w:sz w:val="16"/>
          <w:szCs w:val="16"/>
        </w:rPr>
        <w:softHyphen/>
        <w:t>печению ВЧ-связи проводами и возложить строительство, восстановление, эксплуатацию и охрану всех магистральных линий, используемых для пра</w:t>
      </w:r>
      <w:r w:rsidRPr="00D03F3E">
        <w:rPr>
          <w:rFonts w:ascii="Times New Roman" w:hAnsi="Times New Roman"/>
          <w:color w:val="000000" w:themeColor="text1"/>
          <w:sz w:val="16"/>
          <w:szCs w:val="16"/>
        </w:rPr>
        <w:softHyphen/>
        <w:t>вительственной ВЧ-связи НКВД между Ставкой Верховного Главнокоман</w:t>
      </w:r>
      <w:r w:rsidRPr="00D03F3E">
        <w:rPr>
          <w:rFonts w:ascii="Times New Roman" w:hAnsi="Times New Roman"/>
          <w:color w:val="000000" w:themeColor="text1"/>
          <w:sz w:val="16"/>
          <w:szCs w:val="16"/>
        </w:rPr>
        <w:softHyphen/>
        <w:t>дования и штабами фронтов и армий, на НКВД СССР.</w:t>
      </w:r>
    </w:p>
    <w:p w14:paraId="56E9E630"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ГУСКА НКО, НКС и НКВД СССР в сроки, установленные совместными приказами, привести в полный технический порядок цепи правительственной связи НКВД до штабов фронтов и армий.</w:t>
      </w:r>
    </w:p>
    <w:p w14:paraId="6630B200"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НКО (т. Щаденко)1и ГУСКА НКО (т. Пересыпкина) в декадный срок сформировать и передать НКВД СССР 70 отдельных телефафно-стро-ительных рот численностью 185 человек в каждой (штат № 014/77) и 35 от</w:t>
      </w:r>
      <w:r w:rsidRPr="00D03F3E">
        <w:rPr>
          <w:rFonts w:ascii="Times New Roman" w:hAnsi="Times New Roman"/>
          <w:color w:val="000000" w:themeColor="text1"/>
          <w:sz w:val="16"/>
          <w:szCs w:val="16"/>
        </w:rPr>
        <w:softHyphen/>
        <w:t>дельных линейно-строительно-эксплуатационных рот по 185 человек в каж</w:t>
      </w:r>
      <w:r w:rsidRPr="00D03F3E">
        <w:rPr>
          <w:rFonts w:ascii="Times New Roman" w:hAnsi="Times New Roman"/>
          <w:color w:val="000000" w:themeColor="text1"/>
          <w:sz w:val="16"/>
          <w:szCs w:val="16"/>
        </w:rPr>
        <w:softHyphen/>
        <w:t>дой (штат № 014/77), обратив на формирование этих рот 50% технического и личного состава линейно-строительньгх батальонов и рот НКО, взамен кото</w:t>
      </w:r>
      <w:r w:rsidRPr="00D03F3E">
        <w:rPr>
          <w:rFonts w:ascii="Times New Roman" w:hAnsi="Times New Roman"/>
          <w:color w:val="000000" w:themeColor="text1"/>
          <w:sz w:val="16"/>
          <w:szCs w:val="16"/>
        </w:rPr>
        <w:softHyphen/>
        <w:t>рых НКО (т. Щаденко) восполнить численность этих батальонов и рот.</w:t>
      </w:r>
    </w:p>
    <w:p w14:paraId="75299FC9"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Одновременно передать НКВД 1500 человек начальствующего и рядо</w:t>
      </w:r>
      <w:r w:rsidRPr="00D03F3E">
        <w:rPr>
          <w:rFonts w:ascii="Times New Roman" w:hAnsi="Times New Roman"/>
          <w:color w:val="000000" w:themeColor="text1"/>
          <w:sz w:val="16"/>
          <w:szCs w:val="16"/>
        </w:rPr>
        <w:softHyphen/>
        <w:t>вого состава для формирования органов управления строительными и экс</w:t>
      </w:r>
      <w:r w:rsidRPr="00D03F3E">
        <w:rPr>
          <w:rFonts w:ascii="Times New Roman" w:hAnsi="Times New Roman"/>
          <w:color w:val="000000" w:themeColor="text1"/>
          <w:sz w:val="16"/>
          <w:szCs w:val="16"/>
        </w:rPr>
        <w:softHyphen/>
        <w:t>плуатационными ротами согласно расчету (приложение 2)1.</w:t>
      </w:r>
    </w:p>
    <w:p w14:paraId="58E3D08A"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НКО (т. Щаденко) впредь пополнять убыли личного состава в строительных и эксплуатационных ротах, переданных НКВД для обслужи</w:t>
      </w:r>
      <w:r w:rsidRPr="00D03F3E">
        <w:rPr>
          <w:rFonts w:ascii="Times New Roman" w:hAnsi="Times New Roman"/>
          <w:color w:val="000000" w:themeColor="text1"/>
          <w:sz w:val="16"/>
          <w:szCs w:val="16"/>
        </w:rPr>
        <w:softHyphen/>
        <w:t>вания правительственной ВЧ-связи, по заявкам НКВД СССР.</w:t>
      </w:r>
    </w:p>
    <w:p w14:paraId="36C414FA"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ГУСКА НКО (т. Пересыпкина) передать НКВД СССР трид</w:t>
      </w:r>
      <w:r w:rsidRPr="00D03F3E">
        <w:rPr>
          <w:rFonts w:ascii="Times New Roman" w:hAnsi="Times New Roman"/>
          <w:color w:val="000000" w:themeColor="text1"/>
          <w:sz w:val="16"/>
          <w:szCs w:val="16"/>
        </w:rPr>
        <w:softHyphen/>
        <w:t>цать рот, находящихся в настоящее время в оперативном подчинении Отдела правительственной ВЧ-связи НКВД СССР.</w:t>
      </w:r>
    </w:p>
    <w:p w14:paraId="1B65824E"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ГУСКА НКО (т. Пересыпкина) полностью обеспечить вновь формируемые и передаваемые НКВД части имуществом, материалами и инструментом согласно штату № 014/77.</w:t>
      </w:r>
    </w:p>
    <w:p w14:paraId="2044A8C1"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Снабжение передаваемых НКВД СССР рот эксплуатационными ма</w:t>
      </w:r>
      <w:r w:rsidRPr="00D03F3E">
        <w:rPr>
          <w:rFonts w:ascii="Times New Roman" w:hAnsi="Times New Roman"/>
          <w:color w:val="000000" w:themeColor="text1"/>
          <w:sz w:val="16"/>
          <w:szCs w:val="16"/>
        </w:rPr>
        <w:softHyphen/>
        <w:t>териалами, инструментом, а также проволокой, крючьями, изолятора</w:t>
      </w:r>
      <w:r w:rsidRPr="00D03F3E">
        <w:rPr>
          <w:rFonts w:ascii="Times New Roman" w:hAnsi="Times New Roman"/>
          <w:color w:val="000000" w:themeColor="text1"/>
          <w:sz w:val="16"/>
          <w:szCs w:val="16"/>
        </w:rPr>
        <w:softHyphen/>
        <w:t>ми и т.д. из наличия на фронтах и на складах до 1 апреля 1943 г. оставить за ГУСКА НКО.</w:t>
      </w:r>
    </w:p>
    <w:p w14:paraId="050AB35B"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НКО (т. Щаденко) в декадный срок выделить для сформи</w:t>
      </w:r>
      <w:r w:rsidRPr="00D03F3E">
        <w:rPr>
          <w:rFonts w:ascii="Times New Roman" w:hAnsi="Times New Roman"/>
          <w:color w:val="000000" w:themeColor="text1"/>
          <w:sz w:val="16"/>
          <w:szCs w:val="16"/>
        </w:rPr>
        <w:softHyphen/>
        <w:t>рования рот 2415 лошадей.</w:t>
      </w:r>
    </w:p>
    <w:p w14:paraId="068F693A"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НКО (т. Хрулева) обеспечить поставку НКВД СССР для уси</w:t>
      </w:r>
      <w:r w:rsidRPr="00D03F3E">
        <w:rPr>
          <w:rFonts w:ascii="Times New Roman" w:hAnsi="Times New Roman"/>
          <w:color w:val="000000" w:themeColor="text1"/>
          <w:sz w:val="16"/>
          <w:szCs w:val="16"/>
        </w:rPr>
        <w:softHyphen/>
        <w:t>ления строительных и эксплуатационных рот 1030 автомашин полуто</w:t>
      </w:r>
      <w:r w:rsidRPr="00D03F3E">
        <w:rPr>
          <w:rFonts w:ascii="Times New Roman" w:hAnsi="Times New Roman"/>
          <w:color w:val="000000" w:themeColor="text1"/>
          <w:sz w:val="16"/>
          <w:szCs w:val="16"/>
        </w:rPr>
        <w:softHyphen/>
        <w:t>ратонных, 140 автомашин типа «бентам» и для ГУСКА НКО 630 грузо</w:t>
      </w:r>
      <w:r w:rsidRPr="00D03F3E">
        <w:rPr>
          <w:rFonts w:ascii="Times New Roman" w:hAnsi="Times New Roman"/>
          <w:color w:val="000000" w:themeColor="text1"/>
          <w:sz w:val="16"/>
          <w:szCs w:val="16"/>
        </w:rPr>
        <w:softHyphen/>
        <w:t>вых автомашин, обозное имущество и транспорт согласно прилагаемому перечню (приложение З)2.</w:t>
      </w:r>
    </w:p>
    <w:p w14:paraId="46C48E44"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СНК СССР (т. Микояна) выделить НКВД дополнительно 27975 пайков для довольствия передаваемых в НКВД отдельных строи</w:t>
      </w:r>
      <w:r w:rsidRPr="00D03F3E">
        <w:rPr>
          <w:rFonts w:ascii="Times New Roman" w:hAnsi="Times New Roman"/>
          <w:color w:val="000000" w:themeColor="text1"/>
          <w:sz w:val="16"/>
          <w:szCs w:val="16"/>
        </w:rPr>
        <w:softHyphen/>
        <w:t>тельных и эксплуатационных рот и личного состава станций правитель</w:t>
      </w:r>
      <w:r w:rsidRPr="00D03F3E">
        <w:rPr>
          <w:rFonts w:ascii="Times New Roman" w:hAnsi="Times New Roman"/>
          <w:color w:val="000000" w:themeColor="text1"/>
          <w:sz w:val="16"/>
          <w:szCs w:val="16"/>
        </w:rPr>
        <w:softHyphen/>
        <w:t>ственной ВЧ-связи НКВД.</w:t>
      </w:r>
    </w:p>
    <w:p w14:paraId="7D92A961"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НКЭП (т. Кабанова)3 поставить НКВД СССР в 1-м квартале 1943 г. 700 тонн медной 3-мм проволоки, из которых 300 тонн в январе.</w:t>
      </w:r>
    </w:p>
    <w:p w14:paraId="7E78F6E7"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Наркомат местной промышленности (т. Смиряева), Нарко</w:t>
      </w:r>
      <w:r w:rsidRPr="00D03F3E">
        <w:rPr>
          <w:rFonts w:ascii="Times New Roman" w:hAnsi="Times New Roman"/>
          <w:color w:val="000000" w:themeColor="text1"/>
          <w:sz w:val="16"/>
          <w:szCs w:val="16"/>
        </w:rPr>
        <w:softHyphen/>
        <w:t>мат цветной металлургии (т. Ломако)4, Наркомат резиновой промыш</w:t>
      </w:r>
      <w:r w:rsidRPr="00D03F3E">
        <w:rPr>
          <w:rFonts w:ascii="Times New Roman" w:hAnsi="Times New Roman"/>
          <w:color w:val="000000" w:themeColor="text1"/>
          <w:sz w:val="16"/>
          <w:szCs w:val="16"/>
        </w:rPr>
        <w:softHyphen/>
        <w:t>ленности (т. Митрохина)5, Наркомат черной металлургии (т. Тевосяна)6, Наркомат пишевой промышленности (т. Пронина), Наркомат электро</w:t>
      </w:r>
      <w:r w:rsidRPr="00D03F3E">
        <w:rPr>
          <w:rFonts w:ascii="Times New Roman" w:hAnsi="Times New Roman"/>
          <w:color w:val="000000" w:themeColor="text1"/>
          <w:sz w:val="16"/>
          <w:szCs w:val="16"/>
        </w:rPr>
        <w:softHyphen/>
        <w:t>промышленности (т. Кабанова), Наркомат химической промышленности (т. Первухина), Наркомат среднего машиностроения (т. Акопова)1, Наркомат текстильной промышленности (т. Акимова)2, Наркомат стан</w:t>
      </w:r>
      <w:r w:rsidRPr="00D03F3E">
        <w:rPr>
          <w:rFonts w:ascii="Times New Roman" w:hAnsi="Times New Roman"/>
          <w:color w:val="000000" w:themeColor="text1"/>
          <w:sz w:val="16"/>
          <w:szCs w:val="16"/>
        </w:rPr>
        <w:softHyphen/>
        <w:t>костроения (т. Ефремова)3 , Управление промкооперации при СНК РСФСР (т. Кравчука), Наркомат связи (т. Пересыпкина) поставить НКВД СССР материалы и оборудование в количествах и в сроки соглас</w:t>
      </w:r>
      <w:r w:rsidRPr="00D03F3E">
        <w:rPr>
          <w:rFonts w:ascii="Times New Roman" w:hAnsi="Times New Roman"/>
          <w:color w:val="000000" w:themeColor="text1"/>
          <w:sz w:val="16"/>
          <w:szCs w:val="16"/>
        </w:rPr>
        <w:softHyphen/>
        <w:t>но приложениям 1, 1а, 16, 1в, lr4.</w:t>
      </w:r>
    </w:p>
    <w:p w14:paraId="01A5081D"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НКЭП (т. Кабанова) в трехдневный срок представить сооб</w:t>
      </w:r>
      <w:r w:rsidRPr="00D03F3E">
        <w:rPr>
          <w:rFonts w:ascii="Times New Roman" w:hAnsi="Times New Roman"/>
          <w:color w:val="000000" w:themeColor="text1"/>
          <w:sz w:val="16"/>
          <w:szCs w:val="16"/>
        </w:rPr>
        <w:softHyphen/>
        <w:t>ражения по организации производства полевого 2-жильного пупинизи-рованного кабеля типа ППК-4 с ежемесячным выпуском не менее 200 км начиная с мая 1943 г.</w:t>
      </w:r>
    </w:p>
    <w:p w14:paraId="3334EE51"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Разрешить НКВД СССР для фронтовых и армейских станций пра</w:t>
      </w:r>
      <w:r w:rsidRPr="00D03F3E">
        <w:rPr>
          <w:rFonts w:ascii="Times New Roman" w:hAnsi="Times New Roman"/>
          <w:color w:val="000000" w:themeColor="text1"/>
          <w:sz w:val="16"/>
          <w:szCs w:val="16"/>
        </w:rPr>
        <w:softHyphen/>
        <w:t>вительственной ВЧ-связи увеличить численность штата до 500 единиц.</w:t>
      </w:r>
    </w:p>
    <w:p w14:paraId="10A77298"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Наркомфин (т. Зверева) включить в смету НКВД СССР до</w:t>
      </w:r>
      <w:r w:rsidRPr="00D03F3E">
        <w:rPr>
          <w:rFonts w:ascii="Times New Roman" w:hAnsi="Times New Roman"/>
          <w:color w:val="000000" w:themeColor="text1"/>
          <w:sz w:val="16"/>
          <w:szCs w:val="16"/>
        </w:rPr>
        <w:softHyphen/>
        <w:t>полнительный кредит на 1943 г. на содержание 500 человек аппарата правительственной связи НКВД и содержание войск НКВД в количе</w:t>
      </w:r>
      <w:r w:rsidRPr="00D03F3E">
        <w:rPr>
          <w:rFonts w:ascii="Times New Roman" w:hAnsi="Times New Roman"/>
          <w:color w:val="000000" w:themeColor="text1"/>
          <w:sz w:val="16"/>
          <w:szCs w:val="16"/>
        </w:rPr>
        <w:softHyphen/>
        <w:t>стве 26 475 человек.</w:t>
      </w:r>
    </w:p>
    <w:p w14:paraId="02E3F60B"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Выделить НКВД СССР дополнительно на 1943 г. 15 миллионов руб</w:t>
      </w:r>
      <w:r w:rsidRPr="00D03F3E">
        <w:rPr>
          <w:rFonts w:ascii="Times New Roman" w:hAnsi="Times New Roman"/>
          <w:color w:val="000000" w:themeColor="text1"/>
          <w:sz w:val="16"/>
          <w:szCs w:val="16"/>
        </w:rPr>
        <w:softHyphen/>
        <w:t>лей на приобретение материалов и оборудования в соответствии с на</w:t>
      </w:r>
      <w:r w:rsidRPr="00D03F3E">
        <w:rPr>
          <w:rFonts w:ascii="Times New Roman" w:hAnsi="Times New Roman"/>
          <w:color w:val="000000" w:themeColor="text1"/>
          <w:sz w:val="16"/>
          <w:szCs w:val="16"/>
        </w:rPr>
        <w:softHyphen/>
        <w:t>стоящим постановлением.</w:t>
      </w:r>
    </w:p>
    <w:p w14:paraId="7E62C465"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Наркомавиапрому (т. Шахурину) для переброски линейных, техни</w:t>
      </w:r>
      <w:r w:rsidRPr="00D03F3E">
        <w:rPr>
          <w:rFonts w:ascii="Times New Roman" w:hAnsi="Times New Roman"/>
          <w:color w:val="000000" w:themeColor="text1"/>
          <w:sz w:val="16"/>
          <w:szCs w:val="16"/>
        </w:rPr>
        <w:softHyphen/>
        <w:t>ческих материалов и аппаратуры на фронтовые станции и магистрали передать НКВД СССР 3 грузовых самолета типа Ли-2.</w:t>
      </w:r>
    </w:p>
    <w:p w14:paraId="2E154853"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НКПС (т. Хрулева) обеспечить внеочередное продвижение вагонов с имуществом НКВД СССР для правительственной связи НКВД наряду с грузом вооружения и боеприпасов.</w:t>
      </w:r>
    </w:p>
    <w:p w14:paraId="01846110"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Установить, что весь трофейный 4-жильный кабель типа ППК-4 час</w:t>
      </w:r>
      <w:r w:rsidRPr="00D03F3E">
        <w:rPr>
          <w:rFonts w:ascii="Times New Roman" w:hAnsi="Times New Roman"/>
          <w:color w:val="000000" w:themeColor="text1"/>
          <w:sz w:val="16"/>
          <w:szCs w:val="16"/>
        </w:rPr>
        <w:softHyphen/>
        <w:t>ти Красной Армии должны передавать НКВД СССР для правительствен</w:t>
      </w:r>
      <w:r w:rsidRPr="00D03F3E">
        <w:rPr>
          <w:rFonts w:ascii="Times New Roman" w:hAnsi="Times New Roman"/>
          <w:color w:val="000000" w:themeColor="text1"/>
          <w:sz w:val="16"/>
          <w:szCs w:val="16"/>
        </w:rPr>
        <w:softHyphen/>
        <w:t>ной ВЧ-связи.</w:t>
      </w:r>
    </w:p>
    <w:p w14:paraId="4E8C4C2C"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Государственного Комитета Обороны Сталин</w:t>
      </w:r>
    </w:p>
    <w:p w14:paraId="77531803"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Печатается по: Правительственная связь СССР: Сборник документов. Т.2. 1941—1945. Ч. 2, М.: Славянский диалог, 1998, с. 13—15 (15493).</w:t>
      </w:r>
    </w:p>
    <w:p w14:paraId="49CD2333" w14:textId="77777777" w:rsidR="00A1719C" w:rsidRPr="00D03F3E" w:rsidRDefault="00A1719C" w:rsidP="00D03F3E">
      <w:pPr>
        <w:spacing w:after="0" w:line="240" w:lineRule="auto"/>
        <w:jc w:val="both"/>
        <w:rPr>
          <w:rFonts w:ascii="Times New Roman" w:hAnsi="Times New Roman"/>
          <w:color w:val="000000" w:themeColor="text1"/>
          <w:sz w:val="16"/>
          <w:szCs w:val="16"/>
        </w:rPr>
      </w:pPr>
    </w:p>
    <w:p w14:paraId="5DCC3BF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вышло Постановление ГКО № 2797 Об увеличении производства корпусов 122 мм и 152 мм снарядов и взрывателей РГМ и Д-1.РГАНИР, Фонд ГКО, д. 84, лл. 152-164, 165-198 (11012).</w:t>
      </w:r>
    </w:p>
    <w:p w14:paraId="7F251D7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E7400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вышло Постановление ГКО № 2798 О восстановлении угольных шахт комбината "Ростовуголь".РГАНИР, Фонд ГКО, д. 85, лл. 1-2 (11012).</w:t>
      </w:r>
    </w:p>
    <w:p w14:paraId="3B91485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919AC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вышло Распоряжение ГКО № 2799 [О восстановлении Орджоникидзевского вагоноремонтного завода.] (7078, 3).</w:t>
      </w:r>
    </w:p>
    <w:p w14:paraId="1FEBCEB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64FC3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вышло Постановление ГКО № 2800 О мерах по увеличению производства кальцинированной и каустической соды на заводе № 761 (г. Березники) НКХП.РГАНИР, Фонд ГКО, д. 85, лл. 4-9, 10-23 (11012).</w:t>
      </w:r>
    </w:p>
    <w:p w14:paraId="212CD8B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82E5A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вышло Постановление ГКО № 2801 О производстве бронепоездов в первом полугодии 1943 г. (7078, 24-26,27-28).</w:t>
      </w:r>
    </w:p>
    <w:p w14:paraId="48B13D91"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93ADD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вышло Постановление ГКО № 2802 О развитии строительства шахт и добычи угля на Ангренском месторождении в Узбекской ССР.РГАНИР, Фонд ГКО, д. 85, лл. 29-32, 33-36 (11012).</w:t>
      </w:r>
    </w:p>
    <w:p w14:paraId="06817DA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BE5A5E"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вышло Постановление ГКО № 2803 О мерах по улучшению добычи нефти в Азнефтекомбинате Наркомнефти. (7078, 37-44,45).</w:t>
      </w:r>
    </w:p>
    <w:p w14:paraId="119D94CE"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624F5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вышло Постановление ГКО № 2804 О неудовлетворительном обеспечении ГУСКА НКО качественными проводами для правительственной ВЧ связи Ставки Верховного Главнокомандования со штабами фронтов и армий.РГАНИР, Фонд ГКО, д. 85, лл. 46-49, 50-63 (11012).</w:t>
      </w:r>
    </w:p>
    <w:p w14:paraId="078AB8C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DEE9DA"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вышло Постановление ГКО № 2805 [О прекращении работ по сооружению железнодорожных линий Анна - Таловая, Эртиль - Анна, Калач - Богучар.] (7078, 64).</w:t>
      </w:r>
    </w:p>
    <w:p w14:paraId="55BE484E"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E8B8C4"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E052E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DB11BC"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30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3A443011"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30 января войска Юго-Западного, Южного, Северо-Кавказского, Воронежского, Волховского и Ленинградского фронтов вели наступательные бои на прежних направлениях.</w:t>
      </w:r>
    </w:p>
    <w:p w14:paraId="64F4BCB0"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Донского фронта продолжали истреблять разрозненные группы гитлеровцев. Ближе к центральной части Сталинграда наши подразделения очищали от немцев один квартал за другим. Бойцы Н-ской части захватили в плен 450 гитлеровцев, в том числе много офицеров. Отдельные немецкие офицеры бросают свои части и пытаются выйти из окружения. Недалеко от линии фронта задержана группа немецких офицеров, переодетых в солдатское обмундирование. Их сопровождал под видом конвоира немецкий солдат, переодетый в красноармейскую форму. Вся эта группа гитлеровцев взята в плен.</w:t>
      </w:r>
    </w:p>
    <w:p w14:paraId="1BF794D7"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Южном фронте наши войска продолжали наступление. В районе Нижнего Дона советские части отбили несколько контратак немецкой пехоты с большими для противника потерями. На другом участке бойцы Н-ского соединения обошли мощные укрепления немцев и внезапным ударом овладели двумя населёнными пунктами.</w:t>
      </w:r>
    </w:p>
    <w:p w14:paraId="0415BAF9"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продолжали вести наступление на прежних направлениях. Н-ская часть в ожесточённом бою с противником уничтожила до 200 гитлеровцев и четыре немецких танка. Захвачены трофеи и пленные. Наши автоматчики под командованием лейтенанта Глушко проникли в деревню, занятую немцами, и разгромили штаб части противника. Захватив документы, автоматчики благополучно вернулись в своё подразделение.</w:t>
      </w:r>
    </w:p>
    <w:p w14:paraId="50B2A524"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Воронежа наши войска продолжали успешное наступление. Н-ское соединение овладело 40 населёнными пунктами. Взято в плен 600 немецких солдат и офицеров. Захвачено 26 орудий, 38 миномётов, 104 автомашины, 68 мотоциклов, 4 радиостанции, 2.130 велосипедов и 13 складов. На другом участке советские частис боями продвигались вперёд и нанесли противнику большой урон в живой силе и технике.</w:t>
      </w:r>
    </w:p>
    <w:p w14:paraId="7076493E"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Северо-Кавказском фронте части Н-ского соединения заняли несколько населённых пунктов. Противник пытался остановить продвижение советских войск и создал на одном участке сильно укреплённый узел обороны. Наши бойцы ударами с флангов сломили сопротивление гитлеровцев и обратили их в бегство. Захвачены 12 орудий, 37 пулемётов, 9 миномётов, 2 радиостанции и другие трофеи.</w:t>
      </w:r>
    </w:p>
    <w:p w14:paraId="04E4B056"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Ладожского озера в воздушных боях и огнём зенитной артиллерии уничтожено 28 немецких самолётов.</w:t>
      </w:r>
    </w:p>
    <w:p w14:paraId="544D7A6E"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Минской области, взорвал большой мост через реку. Немцы неоднократно пытались построить новый мост, но партизаны сорвали их работу. В схватках около взорванного моста уничтожено несколько десятков гитлеровцев. Партизаны отряда, действующего в Гомельской области, из засад на шоссейных дорогах истребили 30 немецких солдат и офицеров и захватили 3 пулемёта, 20 винтовок, автомат, 3 пистолета и несколько тысяч патронов.</w:t>
      </w:r>
    </w:p>
    <w:p w14:paraId="3B5EA7BA"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публикуются выдержки из писем немецких солдат, подобранных на поле боя врайоне Сталинграда. Эти письма написаны в первой половине января месяца. Обер-ефрейтор Иоахим Бауман писал: «За Сталинград пролито громадное количество немецкой крови, но мы ничего не достигли... От нашей дивизии осталось несколько десятков человек... Раньше солдаты говорили, что путь в Германию лежит через госпиталь. Теперь, когда мы находимся в мерзком окружении, ничто не может облегчить судьбу солдат. Все дороги на родину наглухо закрыты». Унтер-офицер Куне пишет: «К нам самолёты уже не прилетают... Лошадей съели. У Иозефа Росса была собака. Её тоже съели. Поверь, это не шутка». Солдат Отто Зехтиг пишет: «Тут, в Сталинграде, я зарезал и съел трёх кошек». Солдат Гейнц Манус жалуется в письме: «Наиболее ужасными являются уличные бои, в которых русские большие специалисты. В моём подразделении было 140 человек. Сейчас осталось только 6. Остальные ранены или убиты». Отчаяние звучит в письме Генриха Мейзеля: «Боюсь, что нам не удастся вырваться. Русские тоже умеют воевать, и они никого не выпустят из этого котла. Но наши господа ничего знать не хотят и требуют, чтобы мы сопротивлялись до последней капли крови, хотя это совершенно бессмысленно» (15025).</w:t>
      </w:r>
    </w:p>
    <w:p w14:paraId="39555546" w14:textId="77777777" w:rsidR="00A1719C" w:rsidRPr="00D03F3E" w:rsidRDefault="00A1719C" w:rsidP="00D03F3E">
      <w:pPr>
        <w:spacing w:after="0" w:line="240" w:lineRule="auto"/>
        <w:jc w:val="both"/>
        <w:rPr>
          <w:rFonts w:ascii="Times New Roman" w:hAnsi="Times New Roman"/>
          <w:color w:val="000000" w:themeColor="text1"/>
          <w:sz w:val="16"/>
          <w:szCs w:val="16"/>
        </w:rPr>
      </w:pPr>
    </w:p>
    <w:p w14:paraId="19B53BF1"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30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58C95A66"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войска Северо-Кавказского фронта в результате решительной атаки овладели городом и крупным железнодорожным узлом Тихорецк, районным центром и железнодорожной станцией Ладожская, районными центрами Архангельская, Тбилисская, железнодорожными станциями Гречишкино, Малороссийская.</w:t>
      </w:r>
    </w:p>
    <w:p w14:paraId="3F9DF0B1"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Закавказского фронта овладели городом Майкоп.</w:t>
      </w:r>
    </w:p>
    <w:p w14:paraId="292796E3"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Воронежского фронта овладели районным центром Нижнедевицк, районным центром и железнодорожной станцией Чернянка, районным центром Нижняя Ведуга, железнодорожной станцией Нижнедевицк.</w:t>
      </w:r>
    </w:p>
    <w:p w14:paraId="6ED43B1C"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января частями нашей авиации на различных участках фронта уничтожено или повреждено до 180 немецких автомашин с войсками и грузами, подавлен огонь 10 артиллерийских батарей, разбито 8 паровозов, взорваны 3 склада боеприпасов и 2 склада с горючим, потоплено четыре транспорта общим водоизмещением до 35 тысяч тонн, рассеяно и частью уничтожено до трёх батальонов пехоты противника.</w:t>
      </w:r>
    </w:p>
    <w:p w14:paraId="5EEC874C"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Донского фронта продолжали истреблять разрозненные группы гитлеровцев. Ближе к центральной части города советские подразделения полностью очистили от немцев несколько улиц. Севернее Сталинграда наши бойцы добивали остатки вражеских частей, зажатых в тесном кольце. В течение дня на всех участках взято много пленных. В числе пленных 206 немецких офицеров. Отпущенный в свою часть один пленный в тот же день вернулся обратно и привёл с собою 120 немецких солдат, решивших сдаться в плен. На другом участке два немецких военнопленных, отпущенных в свою часть, привели в расположение наших войск 300 немецких солдат, сложивших оружие.</w:t>
      </w:r>
    </w:p>
    <w:p w14:paraId="330F5EA1"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Южного фронта продолжали наступление. Части Н-ского соединения, преодолев упорное сопротивление немцев, заняли два населённых пункта. На другом участке бойцы Н-ской части отбили контратаку пехоты противника и уничтожили свыше 400 немецких солдат и офицеров.</w:t>
      </w:r>
    </w:p>
    <w:p w14:paraId="6FAE0F2B"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вели наступательные бои и частью сил закреплялись на достигнутых рубежах. Н-ское соединение с боями продвинулось вперед и овладело несколькими населёнными пунктами. Особенно упорные бои происходили за один крупный населённый пункт. Противник предпринял одну за другой пять контратак. Решительным ударом наши части отбросили гитлеровцев и овладели этим населённым пунктом. На поле боя осталось до 200 вражеских трупов и 3 подбитых тяжёлых немецких танка.</w:t>
      </w:r>
    </w:p>
    <w:p w14:paraId="0388C5CF"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Воронежа наши войска успешно развивали наступление и заняли ряд населённых пунктов. На станции Долгая захвачены 2 эшелона с боеприпасами и много трофеев, которые подсчитываются. В районе Урицкого захвачено 30 складов с военным имуществом. Немецкое командование стремится любой ценой спасти свои попавшие в окружение дивизии. Командиры немецких частей получили приказ пробиваться из окружения мелкими подразделениями и оставлять в качестве прикрытия венгров. Наши части, сжимая кольцо вокруг окружённых войск противника, захватили большое число пленных.</w:t>
      </w:r>
    </w:p>
    <w:p w14:paraId="311939F1"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Северо-Кавказского фронта продолжали наступление и овладели городом Тихорецк. Танкисты Н-ской части выбили немцев из сильно укреплённого населённого пункта. Подбито 7 немецких танков и 2 самоходных орудия, уничтожено 8 противотанковых орудий вместе с их расчётами. На другом участке стрелковое соединение под прикрытием артиллерийского и миномётного огня переправилось через водный рубеж и заняло два крупных населённых пункта. В уличных боях уничтожены сотни гитлеровцев. Захвачено 14 орудий, 21 противотанковое ружьё и 2 склада боеприпасов.</w:t>
      </w:r>
    </w:p>
    <w:p w14:paraId="2FD09EAE"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Калининской области, пустил под откос 2 немецких эшелона с живой силой и техникой. Разбито 2 паровоза и 33 вагона. Другой отряд калининских партизан в шестичасовом бою уничтожил 50 немецких солдат, сжёг танк и грузовую автомашину противника.</w:t>
      </w:r>
    </w:p>
    <w:p w14:paraId="716441AA"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Ниже публикуется акт о зверствах немецко-фашистских мерзавцев в хуторе Крылов, Ростовской области: «Немецкие разбойники ограбили и разорили мирное население хутора. Они выгнали колхозников из домов и отняли у них все личные вещи. Гитлеровцы забрали в колхозе 98 лошадей, 112 рабочих быков, 86 коров, 108 телят, зарезали мелкий скот и всю домашнюю птицу. Фашистские палачи расстреляли колхозницу-орденоноску Пелагею Марковскую вместе с сыном и мужем, двух подростков — Владимира Ищенко и Петра Решетникова. 9 января расквартированные на хуторе солдаты и офицеры 294 немецкой пехотной дивизии учинили зверскую расправу над попавшими в плен ранеными советскими бойцами и командирами. Немцы раздели всех пленных догола, долго пытали и мучили их, а потом </w:t>
      </w:r>
      <w:r w:rsidRPr="00D03F3E">
        <w:rPr>
          <w:rFonts w:ascii="Times New Roman" w:hAnsi="Times New Roman"/>
          <w:color w:val="000000" w:themeColor="text1"/>
          <w:sz w:val="16"/>
          <w:szCs w:val="16"/>
        </w:rPr>
        <w:lastRenderedPageBreak/>
        <w:t>расстреляли. Более 100 местных жителей гитлеровцы угнали на каторжные работы в Германию». Акт подписали: местные жители В.Исаев, М.Безверков, М.Некравцева, бойцы и командиры Красной Армии майор Д.Ворончихин, капитан А.Матвеев, красноармеец В.Комиссаров и другие.».</w:t>
      </w:r>
    </w:p>
    <w:p w14:paraId="2E380966"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36CD6499"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города Тихорецк и Майкоп.</w:t>
      </w:r>
    </w:p>
    <w:p w14:paraId="0099138F"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войска Северо-Кавказского фронта в результате решительной атаки овладели городом и крупным железнодорожным узлом Тихорецк. Первыми ворвались в Тихорецк соединения полковника Шварева Н.А. и полковника Шевченко И.А.</w:t>
      </w:r>
    </w:p>
    <w:p w14:paraId="0B8FFD7D"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Закавказского фронта овладели городом Майкоп. Первыми в город Майкоп вошли подразделения 23 стрелкового полка под командованием подполковника Казак П.К.» (15025).</w:t>
      </w:r>
    </w:p>
    <w:p w14:paraId="2DFC6227" w14:textId="77777777" w:rsidR="00A1719C" w:rsidRPr="00D03F3E" w:rsidRDefault="00A1719C" w:rsidP="00D03F3E">
      <w:pPr>
        <w:spacing w:after="0" w:line="240" w:lineRule="auto"/>
        <w:jc w:val="both"/>
        <w:rPr>
          <w:rFonts w:ascii="Times New Roman" w:hAnsi="Times New Roman"/>
          <w:color w:val="000000" w:themeColor="text1"/>
          <w:sz w:val="16"/>
          <w:szCs w:val="16"/>
        </w:rPr>
      </w:pPr>
    </w:p>
    <w:p w14:paraId="464E4AE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вышло Постановление ГКО № 2806 Об обеспечении танковых армий гвардейскими минометными частями. (7078, 65).</w:t>
      </w:r>
    </w:p>
    <w:p w14:paraId="449D0C46"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ECB4F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вышло Постановление ГКО № 2807 Об укомплектовании стрелковых дивизий и бригад, выводимых с фронтов, и пополнении соединений и частей Юго-Западного и Южного фронтов.РГАНИР, Фонд ГКО, д. 85, лл. 66-68 (11012).</w:t>
      </w:r>
    </w:p>
    <w:p w14:paraId="2EE84CC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D5C289"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г. ГКО принял настоящее постановление, в соответствии с которым строительство, восстановление, эксплуатация и охрана всех магистральных линий, ис</w:t>
      </w:r>
      <w:r w:rsidRPr="00D03F3E">
        <w:rPr>
          <w:rFonts w:ascii="Times New Roman" w:hAnsi="Times New Roman"/>
          <w:color w:val="000000" w:themeColor="text1"/>
          <w:sz w:val="16"/>
          <w:szCs w:val="16"/>
        </w:rPr>
        <w:softHyphen/>
        <w:t>пользуемых для правительственной ВЧ-связи, между Ставкой ВГК и штабами фронтов и армий, возлагались на НКВД. Для выполнения этих задач из НКО в НКВД передава</w:t>
      </w:r>
      <w:r w:rsidRPr="00D03F3E">
        <w:rPr>
          <w:rFonts w:ascii="Times New Roman" w:hAnsi="Times New Roman"/>
          <w:color w:val="000000" w:themeColor="text1"/>
          <w:sz w:val="16"/>
          <w:szCs w:val="16"/>
        </w:rPr>
        <w:softHyphen/>
        <w:t>лось 135 отдельных рот связи.</w:t>
      </w:r>
    </w:p>
    <w:p w14:paraId="4394D89D"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учетом требований приказа народного комиссара внутренних дел № 00204 от 31 января 1943 г. из передаваемых частей было начато формирование пяти отдельных полков и двенадцати отдельных батальонов связи. Руководство формируемыми частями осуществляло Управление связи Главного управления внутренних войск НКВД СССР. Этим же приказом было утверждено Положение об обслуживании правительственной ВЧ-связи НКВД СССР, согласно которому эксплуатация правительственной связи воз</w:t>
      </w:r>
      <w:r w:rsidRPr="00D03F3E">
        <w:rPr>
          <w:rFonts w:ascii="Times New Roman" w:hAnsi="Times New Roman"/>
          <w:color w:val="000000" w:themeColor="text1"/>
          <w:sz w:val="16"/>
          <w:szCs w:val="16"/>
        </w:rPr>
        <w:softHyphen/>
        <w:t>лагалась на Отдел правительственной связи НКВД и Управление связи ГУВВ НКВД. В приказе излагались их задачи по обеспечению ВЧ-связи от Ставки ВГК до штабов фронтов и армий, порядок взаимодействия отдела правительственной связи фронтов и отдельных полков (батальонов) при организации связи в полосе фронта (15493).</w:t>
      </w:r>
    </w:p>
    <w:p w14:paraId="4046C684" w14:textId="77777777" w:rsidR="00A1719C" w:rsidRPr="00D03F3E" w:rsidRDefault="00A1719C" w:rsidP="00D03F3E">
      <w:pPr>
        <w:spacing w:after="0" w:line="240" w:lineRule="auto"/>
        <w:jc w:val="both"/>
        <w:rPr>
          <w:rFonts w:ascii="Times New Roman" w:hAnsi="Times New Roman"/>
          <w:color w:val="000000" w:themeColor="text1"/>
          <w:sz w:val="16"/>
          <w:szCs w:val="16"/>
        </w:rPr>
      </w:pPr>
    </w:p>
    <w:p w14:paraId="763A9ABB" w14:textId="77777777" w:rsidR="00A1719C" w:rsidRPr="00D03F3E" w:rsidRDefault="00A171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30 января</w:t>
      </w:r>
      <w:r w:rsidRPr="00D03F3E">
        <w:rPr>
          <w:rFonts w:ascii="Times New Roman" w:hAnsi="Times New Roman"/>
          <w:color w:val="000000" w:themeColor="text1"/>
          <w:sz w:val="16"/>
          <w:szCs w:val="16"/>
        </w:rPr>
        <w:t xml:space="preserve"> в 1943 году формируется Управление связи НКВД для эксплуатации и охраны линий правительственной "ВЧ"-связи (15025).</w:t>
      </w:r>
    </w:p>
    <w:p w14:paraId="414EDD89" w14:textId="77777777" w:rsidR="00A1719C" w:rsidRPr="00D03F3E" w:rsidRDefault="00A1719C" w:rsidP="00D03F3E">
      <w:pPr>
        <w:spacing w:after="0" w:line="240" w:lineRule="auto"/>
        <w:jc w:val="both"/>
        <w:rPr>
          <w:rFonts w:ascii="Times New Roman" w:hAnsi="Times New Roman"/>
          <w:color w:val="000000" w:themeColor="text1"/>
          <w:sz w:val="16"/>
          <w:szCs w:val="16"/>
        </w:rPr>
      </w:pPr>
    </w:p>
    <w:p w14:paraId="0995B64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ввели в строй трассу Красноярск-Уэлькаль (446,369).</w:t>
      </w:r>
    </w:p>
    <w:p w14:paraId="4F7F602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99344D" w14:textId="77777777" w:rsidR="00A1719C" w:rsidRPr="00D03F3E" w:rsidRDefault="00A1719C" w:rsidP="00D03F3E">
      <w:pPr>
        <w:spacing w:after="0" w:line="240" w:lineRule="auto"/>
        <w:jc w:val="both"/>
        <w:rPr>
          <w:rFonts w:ascii="Times New Roman" w:hAnsi="Times New Roman"/>
          <w:color w:val="000000" w:themeColor="text1"/>
          <w:sz w:val="16"/>
          <w:szCs w:val="16"/>
          <w:lang w:val="en-US"/>
        </w:rPr>
      </w:pPr>
      <w:r w:rsidRPr="00D03F3E">
        <w:rPr>
          <w:rFonts w:ascii="Times New Roman" w:hAnsi="Times New Roman"/>
          <w:bCs/>
          <w:color w:val="000000" w:themeColor="text1"/>
          <w:sz w:val="16"/>
          <w:szCs w:val="16"/>
        </w:rPr>
        <w:t>30 января</w:t>
      </w:r>
      <w:r w:rsidRPr="00D03F3E">
        <w:rPr>
          <w:rFonts w:ascii="Times New Roman" w:hAnsi="Times New Roman"/>
          <w:color w:val="000000" w:themeColor="text1"/>
          <w:sz w:val="16"/>
          <w:szCs w:val="16"/>
        </w:rPr>
        <w:t xml:space="preserve"> в 1943 году была открыта воздушная трасса Красноярск — Уэлькаль, по которой во время Великой Отечественной войны осуществлялась регулярные перелеты американских самолетов через Аляску и Северную СибирьнаЗападныйфронт</w:t>
      </w:r>
      <w:r w:rsidRPr="00D03F3E">
        <w:rPr>
          <w:rFonts w:ascii="Times New Roman" w:hAnsi="Times New Roman"/>
          <w:color w:val="000000" w:themeColor="text1"/>
          <w:sz w:val="16"/>
          <w:szCs w:val="16"/>
          <w:lang w:val="en-US"/>
        </w:rPr>
        <w:t xml:space="preserve"> (15025).</w:t>
      </w:r>
    </w:p>
    <w:p w14:paraId="64785047" w14:textId="77777777" w:rsidR="00A1719C" w:rsidRPr="00D03F3E" w:rsidRDefault="00A1719C" w:rsidP="00D03F3E">
      <w:pPr>
        <w:spacing w:after="0" w:line="240" w:lineRule="auto"/>
        <w:jc w:val="both"/>
        <w:rPr>
          <w:rFonts w:ascii="Times New Roman" w:hAnsi="Times New Roman"/>
          <w:color w:val="000000" w:themeColor="text1"/>
          <w:sz w:val="16"/>
          <w:szCs w:val="16"/>
          <w:lang w:val="en-US"/>
        </w:rPr>
      </w:pPr>
    </w:p>
    <w:p w14:paraId="76AC999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lang w:val="en-US"/>
        </w:rPr>
        <w:t xml:space="preserve">January 30 1943 Hitler promotes Paulus to Field Marshal in hopes of stiffening his resolve to fight on. </w:t>
      </w:r>
      <w:r w:rsidRPr="00D03F3E">
        <w:rPr>
          <w:rFonts w:ascii="Times New Roman" w:hAnsi="Times New Roman"/>
          <w:color w:val="000000" w:themeColor="text1"/>
          <w:sz w:val="16"/>
          <w:szCs w:val="16"/>
        </w:rPr>
        <w:t>He fails. (1052).</w:t>
      </w:r>
    </w:p>
    <w:p w14:paraId="568E3CD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C089B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А.Гитлер сделал г Паулюса фельдмаршалом (1052).</w:t>
      </w:r>
    </w:p>
    <w:p w14:paraId="5A706FF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838CC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А.Гитлер назначил Паулюса фельдмаршалом в надежде укрепить его намерения сражаться. Не удалось (1052).</w:t>
      </w:r>
    </w:p>
    <w:p w14:paraId="1FBC7D6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244485" w14:textId="77777777" w:rsidR="00273605" w:rsidRPr="00D03F3E" w:rsidRDefault="00273605"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30 января</w:t>
      </w:r>
      <w:r w:rsidRPr="00D03F3E">
        <w:rPr>
          <w:rFonts w:ascii="Times New Roman" w:hAnsi="Times New Roman"/>
          <w:color w:val="000000" w:themeColor="text1"/>
          <w:sz w:val="16"/>
          <w:szCs w:val="16"/>
        </w:rPr>
        <w:t xml:space="preserve"> в 1943 году Адольф Гитлер повысил генерала Паулюса до высшего военного звания — фельдмаршал (15025).</w:t>
      </w:r>
    </w:p>
    <w:p w14:paraId="13656335" w14:textId="77777777" w:rsidR="00273605" w:rsidRPr="00D03F3E" w:rsidRDefault="00273605" w:rsidP="00D03F3E">
      <w:pPr>
        <w:spacing w:after="0" w:line="240" w:lineRule="auto"/>
        <w:jc w:val="both"/>
        <w:rPr>
          <w:rFonts w:ascii="Times New Roman" w:hAnsi="Times New Roman"/>
          <w:color w:val="000000" w:themeColor="text1"/>
          <w:sz w:val="16"/>
          <w:szCs w:val="16"/>
        </w:rPr>
      </w:pPr>
    </w:p>
    <w:p w14:paraId="339BA74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1930 над расположением советских войск был сброшен мешок с орденами и железными крестами, посланных для поднятия боевого духе немецких войск (505,229).</w:t>
      </w:r>
    </w:p>
    <w:p w14:paraId="756CD2B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DB94D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вышла директива наркома ВМФ Н.К.Кузнецова N 9/408 об использовании авиации ЧФ для минных постановок (2120).</w:t>
      </w:r>
    </w:p>
    <w:p w14:paraId="04EA9D8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AB1E2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г. партизанское соединение под командованием С.А.Ковпака открыло счет уничтоженным самолетам. Тогда в ходе налета двух бомбардировщиков Ju 88A на партизанский аэродром на льду Князь-озера пулеметчик 4-й роты П.Я. Шведов сбил одну машину, которая взорвалась в воздухе, а ее обломки упали в трех километрах юго-восточнее озера. Уцелевший “Юнкере” на следующий день в одиночку вновь атаковал аэродром и прямым попаданием разбил транспортный “Дуглас”, прилетевший с “Большой земли”. Его экипаж из пяти человек во главе с командиром капитаном В.А.Тишко временно влился в ряды партизан (9974).</w:t>
      </w:r>
    </w:p>
    <w:p w14:paraId="3AAFFE7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C27F64"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1C9DD67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39D42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года было отправлено:</w:t>
      </w:r>
    </w:p>
    <w:p w14:paraId="3B8D6B4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СЕКРЕТНОЕ ПОСЛАНИЕ ПРЕМЬЕРА СТАЛИНА ПРЕЗИДЕНТУ г. РУЗВЕЛЬТУ И ПРЕМЬЕР-МИНИСТРУ г. ЧЕРЧИЛЛЮ</w:t>
      </w:r>
    </w:p>
    <w:p w14:paraId="3B58A3B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Ваше дружеское совместное послание получил 27 января. Благодарю за информацию о принятых в Касабланке решениях насчет операций, которые должны быть предприняты американскими и британскими вооруженными силами в течение первых девяти месяцев 1943 года. Понимая принятые Вами решения в отношении Германии как задачу ее разгрома путем открытия второго фронта в Европе в 1943 году, я был бы Вам признателен за сообщение о конкретно намеченных операциях в этой области и намечаемых сроках их осуществления.</w:t>
      </w:r>
    </w:p>
    <w:p w14:paraId="528D43B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Что касается Советского Союза, то я могу Вас заверить, что вооруженные силы СССР сделают все от них зависящее для продолжения наступления против Германии и ее союзников на советско-германском фронте. Мы думаем закончить нашу зимнюю кампанию, если обстоятельства позволят, в первой половине февраля сего года. Войска наши устали, они нуждаются в отдыхе, и едва ли им удастся продолжать наступление за пределами этого срока (7430).</w:t>
      </w:r>
    </w:p>
    <w:p w14:paraId="106B07E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1B6655"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3731D24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5CA9F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в день 10 годовщины прихода нацистов к власти англичане выполнили налет на Берлин с использованием Москито (3186).</w:t>
      </w:r>
    </w:p>
    <w:p w14:paraId="36F116B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02185E" w14:textId="77777777" w:rsidR="00273605" w:rsidRPr="00D03F3E" w:rsidRDefault="00273605"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30 января</w:t>
      </w:r>
      <w:r w:rsidRPr="00D03F3E">
        <w:rPr>
          <w:rFonts w:ascii="Times New Roman" w:hAnsi="Times New Roman"/>
          <w:color w:val="000000" w:themeColor="text1"/>
          <w:sz w:val="16"/>
          <w:szCs w:val="16"/>
        </w:rPr>
        <w:t xml:space="preserve"> в 1943 году налет на Берлин, в нем приняли участие «Москито» «B.IX» способные нести бомбовый груз массы - 1362 кг, то есть шесть 277-кг бомб, в том числе четыре на внутренней подвеске (15025).</w:t>
      </w:r>
    </w:p>
    <w:p w14:paraId="1D6DA179" w14:textId="77777777" w:rsidR="00273605" w:rsidRPr="00D03F3E" w:rsidRDefault="00273605" w:rsidP="00D03F3E">
      <w:pPr>
        <w:spacing w:after="0" w:line="240" w:lineRule="auto"/>
        <w:jc w:val="both"/>
        <w:rPr>
          <w:rFonts w:ascii="Times New Roman" w:hAnsi="Times New Roman"/>
          <w:color w:val="000000" w:themeColor="text1"/>
          <w:sz w:val="16"/>
          <w:szCs w:val="16"/>
        </w:rPr>
      </w:pPr>
    </w:p>
    <w:p w14:paraId="6A33974B" w14:textId="77777777" w:rsidR="008D38D6" w:rsidRPr="00D03F3E" w:rsidRDefault="008D38D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30 января 1943 de Havilland Mosquitos Royal Air Force совершает первый дневной налет на Берлин (20376).</w:t>
      </w:r>
    </w:p>
    <w:p w14:paraId="5840100E" w14:textId="77777777" w:rsidR="008D38D6" w:rsidRPr="00D03F3E" w:rsidRDefault="008D38D6" w:rsidP="00D03F3E">
      <w:pPr>
        <w:spacing w:after="0" w:line="240" w:lineRule="auto"/>
        <w:jc w:val="both"/>
        <w:rPr>
          <w:rFonts w:ascii="Times New Roman" w:hAnsi="Times New Roman"/>
          <w:color w:val="0070C0"/>
          <w:sz w:val="16"/>
          <w:szCs w:val="16"/>
        </w:rPr>
      </w:pPr>
    </w:p>
    <w:p w14:paraId="2CB4D3EF" w14:textId="77777777" w:rsidR="008D38D6" w:rsidRPr="00D03F3E" w:rsidRDefault="008D38D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30 января 1943 - Налет на Берлин, в нем приняли участие "Москито" B.IX способные нести бомбовый груз массы - 1362 кг, то есть шесть 277-кг бомб, в том числе четыре на внутренней подвеске (22639).</w:t>
      </w:r>
    </w:p>
    <w:p w14:paraId="3033526A" w14:textId="77777777" w:rsidR="008D38D6" w:rsidRPr="00D03F3E" w:rsidRDefault="008D38D6" w:rsidP="00D03F3E">
      <w:pPr>
        <w:spacing w:after="0" w:line="240" w:lineRule="auto"/>
        <w:jc w:val="both"/>
        <w:rPr>
          <w:rFonts w:ascii="Times New Roman" w:hAnsi="Times New Roman"/>
          <w:color w:val="0070C0"/>
          <w:sz w:val="16"/>
          <w:szCs w:val="16"/>
        </w:rPr>
      </w:pPr>
    </w:p>
    <w:p w14:paraId="11D851D6" w14:textId="77777777" w:rsidR="00273605" w:rsidRPr="00D03F3E" w:rsidRDefault="00273605"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30 января</w:t>
      </w:r>
      <w:r w:rsidRPr="00D03F3E">
        <w:rPr>
          <w:rFonts w:ascii="Times New Roman" w:hAnsi="Times New Roman"/>
          <w:color w:val="000000" w:themeColor="text1"/>
          <w:sz w:val="16"/>
          <w:szCs w:val="16"/>
        </w:rPr>
        <w:t xml:space="preserve"> в 1943 году первое применение английского 9-сантиметрового радарного устройства H2S при налете на Гамбург (первое устройство для аэронавигации на базе телевидения, захвачено как трофей 3 февраля из сбитого над Роттердамом четырехмоторного английского бомбардировщика, отсюда наименование: «Роттердамский прибор») (15025).</w:t>
      </w:r>
    </w:p>
    <w:p w14:paraId="32C83F08" w14:textId="77777777" w:rsidR="00273605" w:rsidRPr="00D03F3E" w:rsidRDefault="00273605" w:rsidP="00D03F3E">
      <w:pPr>
        <w:spacing w:after="0" w:line="240" w:lineRule="auto"/>
        <w:jc w:val="both"/>
        <w:rPr>
          <w:rFonts w:ascii="Times New Roman" w:hAnsi="Times New Roman"/>
          <w:color w:val="000000" w:themeColor="text1"/>
          <w:sz w:val="16"/>
          <w:szCs w:val="16"/>
        </w:rPr>
      </w:pPr>
    </w:p>
    <w:p w14:paraId="35B64C18" w14:textId="77777777" w:rsidR="008D38D6" w:rsidRPr="00D03F3E" w:rsidRDefault="008D38D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30 января 1943 Строительство незавершенного и сильно просроченного немецкого авианосца Graf Zeppelin остановлено в последний раз (20376).</w:t>
      </w:r>
    </w:p>
    <w:p w14:paraId="2D920DCF" w14:textId="77777777" w:rsidR="008D38D6" w:rsidRPr="00D03F3E" w:rsidRDefault="008D38D6" w:rsidP="00D03F3E">
      <w:pPr>
        <w:spacing w:after="0" w:line="240" w:lineRule="auto"/>
        <w:jc w:val="both"/>
        <w:rPr>
          <w:rFonts w:ascii="Times New Roman" w:hAnsi="Times New Roman"/>
          <w:color w:val="0070C0"/>
          <w:sz w:val="16"/>
          <w:szCs w:val="16"/>
        </w:rPr>
      </w:pPr>
    </w:p>
    <w:p w14:paraId="572896EA" w14:textId="77777777" w:rsidR="008D38D6" w:rsidRPr="00D03F3E" w:rsidRDefault="008D38D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30–31 января (ночь) 1944 во время налета на Гамбург, Германия, бомбардировщики Королевских ВВС впервые в оперативном режиме использовали радар H2S для навигации (20376).</w:t>
      </w:r>
    </w:p>
    <w:p w14:paraId="4B326B3F" w14:textId="77777777" w:rsidR="008D38D6" w:rsidRPr="00D03F3E" w:rsidRDefault="008D38D6" w:rsidP="00D03F3E">
      <w:pPr>
        <w:spacing w:after="0" w:line="240" w:lineRule="auto"/>
        <w:jc w:val="both"/>
        <w:rPr>
          <w:rFonts w:ascii="Times New Roman" w:hAnsi="Times New Roman"/>
          <w:color w:val="0070C0"/>
          <w:sz w:val="16"/>
          <w:szCs w:val="16"/>
        </w:rPr>
      </w:pPr>
    </w:p>
    <w:p w14:paraId="4726E9E7" w14:textId="77777777" w:rsidR="00273605" w:rsidRPr="00D03F3E" w:rsidRDefault="00273605"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30 января</w:t>
      </w:r>
      <w:r w:rsidRPr="00D03F3E">
        <w:rPr>
          <w:rFonts w:ascii="Times New Roman" w:hAnsi="Times New Roman"/>
          <w:color w:val="000000" w:themeColor="text1"/>
          <w:sz w:val="16"/>
          <w:szCs w:val="16"/>
        </w:rPr>
        <w:t xml:space="preserve"> в 1943 году адмирал Редер был смешён с поста главнокомандующего военно-морскими силами Германии. Новым главнокомандующим был назначен адмирал Дёниц (15025).</w:t>
      </w:r>
    </w:p>
    <w:p w14:paraId="3AE80E26" w14:textId="77777777" w:rsidR="00273605" w:rsidRPr="00D03F3E" w:rsidRDefault="00273605" w:rsidP="00D03F3E">
      <w:pPr>
        <w:spacing w:after="0" w:line="240" w:lineRule="auto"/>
        <w:jc w:val="both"/>
        <w:rPr>
          <w:rFonts w:ascii="Times New Roman" w:hAnsi="Times New Roman"/>
          <w:color w:val="000000" w:themeColor="text1"/>
          <w:sz w:val="16"/>
          <w:szCs w:val="16"/>
        </w:rPr>
      </w:pPr>
    </w:p>
    <w:p w14:paraId="7373895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30 января 1943 Англия пообещала Турции военную помощь в случае нападения Германии (4962).</w:t>
      </w:r>
    </w:p>
    <w:p w14:paraId="3269B284"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F24401"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1943 французскими нацистами создана “Французская милиция” для борьбы с Сопротивлением (4962).</w:t>
      </w:r>
    </w:p>
    <w:p w14:paraId="382789DE"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E0E9A1" w14:textId="77777777" w:rsidR="00273605" w:rsidRPr="00D03F3E" w:rsidRDefault="00273605"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30 января</w:t>
      </w:r>
      <w:r w:rsidRPr="00D03F3E">
        <w:rPr>
          <w:rFonts w:ascii="Times New Roman" w:hAnsi="Times New Roman"/>
          <w:color w:val="000000" w:themeColor="text1"/>
          <w:sz w:val="16"/>
          <w:szCs w:val="16"/>
        </w:rPr>
        <w:t xml:space="preserve"> в 1943 году японская авиация потопила американский крейсер у Гуадалканала (15025).</w:t>
      </w:r>
    </w:p>
    <w:p w14:paraId="526FB97A" w14:textId="77777777" w:rsidR="00273605" w:rsidRPr="00D03F3E" w:rsidRDefault="00273605" w:rsidP="00D03F3E">
      <w:pPr>
        <w:spacing w:after="0" w:line="240" w:lineRule="auto"/>
        <w:jc w:val="both"/>
        <w:rPr>
          <w:rFonts w:ascii="Times New Roman" w:hAnsi="Times New Roman"/>
          <w:color w:val="000000" w:themeColor="text1"/>
          <w:sz w:val="16"/>
          <w:szCs w:val="16"/>
        </w:rPr>
      </w:pPr>
    </w:p>
    <w:p w14:paraId="232B5E0E"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51C405A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1A4F0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января 1943 в ЛИИ завершились испытания серийного Як-1 с установленным на нем М-106-1ск, начатые 8 января 1943 (65,69).</w:t>
      </w:r>
    </w:p>
    <w:p w14:paraId="5455CA0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355C1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января 1943 поступил новый мотор М-82ФНВ для Ла-5. В первой декаде февраля начались было летные испытания, но дело не залади</w:t>
      </w:r>
      <w:r w:rsidRPr="00D03F3E">
        <w:rPr>
          <w:rFonts w:ascii="Times New Roman" w:hAnsi="Times New Roman"/>
          <w:color w:val="000000" w:themeColor="text1"/>
          <w:sz w:val="16"/>
          <w:szCs w:val="16"/>
        </w:rPr>
        <w:softHyphen/>
        <w:t>лось: то плохо работал НБ-ЗУ, то — за</w:t>
      </w:r>
      <w:r w:rsidRPr="00D03F3E">
        <w:rPr>
          <w:rFonts w:ascii="Times New Roman" w:hAnsi="Times New Roman"/>
          <w:color w:val="000000" w:themeColor="text1"/>
          <w:sz w:val="16"/>
          <w:szCs w:val="16"/>
        </w:rPr>
        <w:softHyphen/>
        <w:t>жигание. А в конце месяца снова произошел гидроудар. Одновременно строился и второй Ла-5 с М-82ФНВ - «Дублер». Конст</w:t>
      </w:r>
      <w:r w:rsidRPr="00D03F3E">
        <w:rPr>
          <w:rFonts w:ascii="Times New Roman" w:hAnsi="Times New Roman"/>
          <w:color w:val="000000" w:themeColor="text1"/>
          <w:sz w:val="16"/>
          <w:szCs w:val="16"/>
        </w:rPr>
        <w:softHyphen/>
        <w:t>руктивно он отличался от первого: на нем стояли металлические лонжеро</w:t>
      </w:r>
      <w:r w:rsidRPr="00D03F3E">
        <w:rPr>
          <w:rFonts w:ascii="Times New Roman" w:hAnsi="Times New Roman"/>
          <w:color w:val="000000" w:themeColor="text1"/>
          <w:sz w:val="16"/>
          <w:szCs w:val="16"/>
        </w:rPr>
        <w:softHyphen/>
        <w:t>ны крыла вместо деревянных, что об</w:t>
      </w:r>
      <w:r w:rsidRPr="00D03F3E">
        <w:rPr>
          <w:rFonts w:ascii="Times New Roman" w:hAnsi="Times New Roman"/>
          <w:color w:val="000000" w:themeColor="text1"/>
          <w:sz w:val="16"/>
          <w:szCs w:val="16"/>
        </w:rPr>
        <w:softHyphen/>
        <w:t>легчило машину, новый улучшенный по рекомендации ЦАГИ всасывающий патрубок, а вместо серийного выхлоп</w:t>
      </w:r>
      <w:r w:rsidRPr="00D03F3E">
        <w:rPr>
          <w:rFonts w:ascii="Times New Roman" w:hAnsi="Times New Roman"/>
          <w:color w:val="000000" w:themeColor="text1"/>
          <w:sz w:val="16"/>
          <w:szCs w:val="16"/>
        </w:rPr>
        <w:softHyphen/>
        <w:t>ного коллектора - сдвоенные и стро</w:t>
      </w:r>
      <w:r w:rsidRPr="00D03F3E">
        <w:rPr>
          <w:rFonts w:ascii="Times New Roman" w:hAnsi="Times New Roman"/>
          <w:color w:val="000000" w:themeColor="text1"/>
          <w:sz w:val="16"/>
          <w:szCs w:val="16"/>
        </w:rPr>
        <w:softHyphen/>
        <w:t>енные индивидуальные выхлопные пат</w:t>
      </w:r>
      <w:r w:rsidRPr="00D03F3E">
        <w:rPr>
          <w:rFonts w:ascii="Times New Roman" w:hAnsi="Times New Roman"/>
          <w:color w:val="000000" w:themeColor="text1"/>
          <w:sz w:val="16"/>
          <w:szCs w:val="16"/>
        </w:rPr>
        <w:softHyphen/>
        <w:t>рубки, которые снизили потери ско</w:t>
      </w:r>
      <w:r w:rsidRPr="00D03F3E">
        <w:rPr>
          <w:rFonts w:ascii="Times New Roman" w:hAnsi="Times New Roman"/>
          <w:color w:val="000000" w:themeColor="text1"/>
          <w:sz w:val="16"/>
          <w:szCs w:val="16"/>
        </w:rPr>
        <w:softHyphen/>
        <w:t>ростного напора на всасывании и противодавление на выхлопе. После</w:t>
      </w:r>
      <w:r w:rsidRPr="00D03F3E">
        <w:rPr>
          <w:rFonts w:ascii="Times New Roman" w:hAnsi="Times New Roman"/>
          <w:color w:val="000000" w:themeColor="text1"/>
          <w:sz w:val="16"/>
          <w:szCs w:val="16"/>
        </w:rPr>
        <w:softHyphen/>
        <w:t>днее мероприятие было откликом на исследования падения мощности ВМГ, проведенные заводом №19 в октяб</w:t>
      </w:r>
      <w:r w:rsidRPr="00D03F3E">
        <w:rPr>
          <w:rFonts w:ascii="Times New Roman" w:hAnsi="Times New Roman"/>
          <w:color w:val="000000" w:themeColor="text1"/>
          <w:sz w:val="16"/>
          <w:szCs w:val="16"/>
        </w:rPr>
        <w:softHyphen/>
        <w:t>ре-декабре 1942 года. В них было констатировано, что серийный выхлоп</w:t>
      </w:r>
      <w:r w:rsidRPr="00D03F3E">
        <w:rPr>
          <w:rFonts w:ascii="Times New Roman" w:hAnsi="Times New Roman"/>
          <w:color w:val="000000" w:themeColor="text1"/>
          <w:sz w:val="16"/>
          <w:szCs w:val="16"/>
        </w:rPr>
        <w:softHyphen/>
        <w:t>ной коллектор Ла-5 «съедает» 1,5-3%, а на режиме взлета — до 5% мощ</w:t>
      </w:r>
      <w:r w:rsidRPr="00D03F3E">
        <w:rPr>
          <w:rFonts w:ascii="Times New Roman" w:hAnsi="Times New Roman"/>
          <w:color w:val="000000" w:themeColor="text1"/>
          <w:sz w:val="16"/>
          <w:szCs w:val="16"/>
        </w:rPr>
        <w:softHyphen/>
        <w:t>ности. «Дублер» быстро догнал по готовности 1-й экземпляр, а потом и обо</w:t>
      </w:r>
      <w:r w:rsidRPr="00D03F3E">
        <w:rPr>
          <w:rFonts w:ascii="Times New Roman" w:hAnsi="Times New Roman"/>
          <w:color w:val="000000" w:themeColor="text1"/>
          <w:sz w:val="16"/>
          <w:szCs w:val="16"/>
        </w:rPr>
        <w:softHyphen/>
        <w:t>гнал его. 22-24 марта 1943 года лет</w:t>
      </w:r>
      <w:r w:rsidRPr="00D03F3E">
        <w:rPr>
          <w:rFonts w:ascii="Times New Roman" w:hAnsi="Times New Roman"/>
          <w:color w:val="000000" w:themeColor="text1"/>
          <w:sz w:val="16"/>
          <w:szCs w:val="16"/>
        </w:rPr>
        <w:softHyphen/>
        <w:t>чик-испытатель майор Г.А. Мищенко провел краткие заводские испытания «Дублера». Результат был тот, кото</w:t>
      </w:r>
      <w:r w:rsidRPr="00D03F3E">
        <w:rPr>
          <w:rFonts w:ascii="Times New Roman" w:hAnsi="Times New Roman"/>
          <w:color w:val="000000" w:themeColor="text1"/>
          <w:sz w:val="16"/>
          <w:szCs w:val="16"/>
        </w:rPr>
        <w:softHyphen/>
        <w:t>рого все ждали: максимальная ско</w:t>
      </w:r>
      <w:r w:rsidRPr="00D03F3E">
        <w:rPr>
          <w:rFonts w:ascii="Times New Roman" w:hAnsi="Times New Roman"/>
          <w:color w:val="000000" w:themeColor="text1"/>
          <w:sz w:val="16"/>
          <w:szCs w:val="16"/>
        </w:rPr>
        <w:softHyphen/>
        <w:t>рость у земли на номинале - 563, на форсаже - 598 км/ч, на 2-й границе высотности 6000 м - 650 км/ч. Сроч</w:t>
      </w:r>
      <w:r w:rsidRPr="00D03F3E">
        <w:rPr>
          <w:rFonts w:ascii="Times New Roman" w:hAnsi="Times New Roman"/>
          <w:color w:val="000000" w:themeColor="text1"/>
          <w:sz w:val="16"/>
          <w:szCs w:val="16"/>
        </w:rPr>
        <w:softHyphen/>
        <w:t>но в Горький был командирован от НИИ ВВС летчик-испытатель-инженер А.И. Никашин, который с 3 по 20 ап</w:t>
      </w:r>
      <w:r w:rsidRPr="00D03F3E">
        <w:rPr>
          <w:rFonts w:ascii="Times New Roman" w:hAnsi="Times New Roman"/>
          <w:color w:val="000000" w:themeColor="text1"/>
          <w:sz w:val="16"/>
          <w:szCs w:val="16"/>
        </w:rPr>
        <w:softHyphen/>
        <w:t>реля провел контрольные испытания и подтвердил полученные ранее циф</w:t>
      </w:r>
      <w:r w:rsidRPr="00D03F3E">
        <w:rPr>
          <w:rFonts w:ascii="Times New Roman" w:hAnsi="Times New Roman"/>
          <w:color w:val="000000" w:themeColor="text1"/>
          <w:sz w:val="16"/>
          <w:szCs w:val="16"/>
        </w:rPr>
        <w:softHyphen/>
        <w:t>ры: максимальная скорость у земли на номинале - 562 и на форсаже -595 км/ч, на 2-й границе высотности 6300 м - 648 км/ч, время набора 5000 м - 4,7 мин. Эти данные позволили А.И. Шахурину отказаться и от производства И-185, и от производства М-71, тем более что 5 апреля 1943 года другой опытный И-185 с М-71 потерпел ка</w:t>
      </w:r>
      <w:r w:rsidRPr="00D03F3E">
        <w:rPr>
          <w:rFonts w:ascii="Times New Roman" w:hAnsi="Times New Roman"/>
          <w:color w:val="000000" w:themeColor="text1"/>
          <w:sz w:val="16"/>
          <w:szCs w:val="16"/>
        </w:rPr>
        <w:softHyphen/>
        <w:t>тастрофу из-за отказа мотора при посадке - засорился жиклер карбю</w:t>
      </w:r>
      <w:r w:rsidRPr="00D03F3E">
        <w:rPr>
          <w:rFonts w:ascii="Times New Roman" w:hAnsi="Times New Roman"/>
          <w:color w:val="000000" w:themeColor="text1"/>
          <w:sz w:val="16"/>
          <w:szCs w:val="16"/>
        </w:rPr>
        <w:softHyphen/>
        <w:t>ратора (погиб летчик-испытатель В.А. Степанченок). И хотя в 1943 году те</w:t>
      </w:r>
      <w:r w:rsidRPr="00D03F3E">
        <w:rPr>
          <w:rFonts w:ascii="Times New Roman" w:hAnsi="Times New Roman"/>
          <w:color w:val="000000" w:themeColor="text1"/>
          <w:sz w:val="16"/>
          <w:szCs w:val="16"/>
        </w:rPr>
        <w:softHyphen/>
        <w:t>перь уже ОКБ Лавочкина построило модификацию Ла-5 с форсированным М-71Ф, работы по этой машине про</w:t>
      </w:r>
      <w:r w:rsidRPr="00D03F3E">
        <w:rPr>
          <w:rFonts w:ascii="Times New Roman" w:hAnsi="Times New Roman"/>
          <w:color w:val="000000" w:themeColor="text1"/>
          <w:sz w:val="16"/>
          <w:szCs w:val="16"/>
        </w:rPr>
        <w:softHyphen/>
        <w:t>ходили неспешно и в 1944 году пре</w:t>
      </w:r>
      <w:r w:rsidRPr="00D03F3E">
        <w:rPr>
          <w:rFonts w:ascii="Times New Roman" w:hAnsi="Times New Roman"/>
          <w:color w:val="000000" w:themeColor="text1"/>
          <w:sz w:val="16"/>
          <w:szCs w:val="16"/>
        </w:rPr>
        <w:softHyphen/>
        <w:t>кратились вовсе (10705).</w:t>
      </w:r>
    </w:p>
    <w:p w14:paraId="6C1BCD5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A1E99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января 1943 в 45 дивизию поступил первый серийный Пе-8 (ТБ-7) с АШ-82 и новой формой носовой установки N 42058 (1103,130).</w:t>
      </w:r>
    </w:p>
    <w:p w14:paraId="3B8BDF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0A764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Потери ВВС СССР в годы Великой Отечественной войны (в тыс. шт.) </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573"/>
        <w:gridCol w:w="1200"/>
        <w:gridCol w:w="1238"/>
      </w:tblGrid>
      <w:tr w:rsidR="00860B4B" w:rsidRPr="00D03F3E" w14:paraId="5EAF2CC4" w14:textId="77777777">
        <w:trPr>
          <w:trHeight w:val="643"/>
        </w:trPr>
        <w:tc>
          <w:tcPr>
            <w:tcW w:w="2573" w:type="dxa"/>
            <w:tcBorders>
              <w:top w:val="single" w:sz="12" w:space="0" w:color="auto"/>
            </w:tcBorders>
          </w:tcPr>
          <w:p w14:paraId="2C67CD3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Период времени</w:t>
            </w:r>
          </w:p>
        </w:tc>
        <w:tc>
          <w:tcPr>
            <w:tcW w:w="1200" w:type="dxa"/>
            <w:tcBorders>
              <w:top w:val="single" w:sz="12" w:space="0" w:color="auto"/>
            </w:tcBorders>
          </w:tcPr>
          <w:p w14:paraId="2537BD6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Истребители</w:t>
            </w:r>
          </w:p>
        </w:tc>
        <w:tc>
          <w:tcPr>
            <w:tcW w:w="1238" w:type="dxa"/>
            <w:tcBorders>
              <w:top w:val="single" w:sz="12" w:space="0" w:color="auto"/>
            </w:tcBorders>
          </w:tcPr>
          <w:p w14:paraId="6668D48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боевых самолетов</w:t>
            </w:r>
          </w:p>
        </w:tc>
      </w:tr>
      <w:tr w:rsidR="00860B4B" w:rsidRPr="00D03F3E" w14:paraId="0B133551" w14:textId="77777777">
        <w:trPr>
          <w:trHeight w:val="211"/>
        </w:trPr>
        <w:tc>
          <w:tcPr>
            <w:tcW w:w="2573" w:type="dxa"/>
          </w:tcPr>
          <w:p w14:paraId="01554B9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22.06-31.12 1941 г.</w:t>
            </w:r>
          </w:p>
        </w:tc>
        <w:tc>
          <w:tcPr>
            <w:tcW w:w="1200" w:type="dxa"/>
          </w:tcPr>
          <w:p w14:paraId="4041F1B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Pr>
          <w:p w14:paraId="3CE3D29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15AF59E" w14:textId="77777777">
        <w:trPr>
          <w:trHeight w:val="298"/>
        </w:trPr>
        <w:tc>
          <w:tcPr>
            <w:tcW w:w="2573" w:type="dxa"/>
          </w:tcPr>
          <w:p w14:paraId="7AF10FF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Поступило самолетов</w:t>
            </w:r>
          </w:p>
        </w:tc>
        <w:tc>
          <w:tcPr>
            <w:tcW w:w="1200" w:type="dxa"/>
          </w:tcPr>
          <w:p w14:paraId="0CFE184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tc>
        <w:tc>
          <w:tcPr>
            <w:tcW w:w="1238" w:type="dxa"/>
          </w:tcPr>
          <w:p w14:paraId="0AF703D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9,9</w:t>
            </w:r>
          </w:p>
        </w:tc>
      </w:tr>
      <w:tr w:rsidR="00860B4B" w:rsidRPr="00D03F3E" w14:paraId="3419D282" w14:textId="77777777">
        <w:trPr>
          <w:trHeight w:val="240"/>
        </w:trPr>
        <w:tc>
          <w:tcPr>
            <w:tcW w:w="2573" w:type="dxa"/>
          </w:tcPr>
          <w:p w14:paraId="598D962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Потери общие</w:t>
            </w:r>
          </w:p>
        </w:tc>
        <w:tc>
          <w:tcPr>
            <w:tcW w:w="1200" w:type="dxa"/>
          </w:tcPr>
          <w:p w14:paraId="27C705C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9,6</w:t>
            </w:r>
          </w:p>
        </w:tc>
        <w:tc>
          <w:tcPr>
            <w:tcW w:w="1238" w:type="dxa"/>
          </w:tcPr>
          <w:p w14:paraId="19357D6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17,9</w:t>
            </w:r>
          </w:p>
        </w:tc>
      </w:tr>
      <w:tr w:rsidR="00860B4B" w:rsidRPr="00D03F3E" w14:paraId="4C7AD11B" w14:textId="77777777">
        <w:trPr>
          <w:trHeight w:val="240"/>
        </w:trPr>
        <w:tc>
          <w:tcPr>
            <w:tcW w:w="2573" w:type="dxa"/>
          </w:tcPr>
          <w:p w14:paraId="5DAD8E2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Потери боевые</w:t>
            </w:r>
          </w:p>
        </w:tc>
        <w:tc>
          <w:tcPr>
            <w:tcW w:w="1200" w:type="dxa"/>
          </w:tcPr>
          <w:p w14:paraId="66327E1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w:t>
            </w:r>
          </w:p>
        </w:tc>
        <w:tc>
          <w:tcPr>
            <w:tcW w:w="1238" w:type="dxa"/>
          </w:tcPr>
          <w:p w14:paraId="3A1B82E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10,3</w:t>
            </w:r>
          </w:p>
        </w:tc>
      </w:tr>
      <w:tr w:rsidR="00860B4B" w:rsidRPr="00D03F3E" w14:paraId="1AEDD02E" w14:textId="77777777">
        <w:trPr>
          <w:trHeight w:val="173"/>
        </w:trPr>
        <w:tc>
          <w:tcPr>
            <w:tcW w:w="2573" w:type="dxa"/>
          </w:tcPr>
          <w:p w14:paraId="1EB4E13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01.01-31.12 1942 г.</w:t>
            </w:r>
          </w:p>
        </w:tc>
        <w:tc>
          <w:tcPr>
            <w:tcW w:w="1200" w:type="dxa"/>
          </w:tcPr>
          <w:p w14:paraId="1C2FA2E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Pr>
          <w:p w14:paraId="6A88BDF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6A7BA1A" w14:textId="77777777">
        <w:trPr>
          <w:trHeight w:val="298"/>
        </w:trPr>
        <w:tc>
          <w:tcPr>
            <w:tcW w:w="2573" w:type="dxa"/>
          </w:tcPr>
          <w:p w14:paraId="305847C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Поступило самолетов</w:t>
            </w:r>
          </w:p>
        </w:tc>
        <w:tc>
          <w:tcPr>
            <w:tcW w:w="1200" w:type="dxa"/>
          </w:tcPr>
          <w:p w14:paraId="45C7948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10,7</w:t>
            </w:r>
          </w:p>
        </w:tc>
        <w:tc>
          <w:tcPr>
            <w:tcW w:w="1238" w:type="dxa"/>
          </w:tcPr>
          <w:p w14:paraId="149A186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22,0</w:t>
            </w:r>
          </w:p>
        </w:tc>
      </w:tr>
      <w:tr w:rsidR="00860B4B" w:rsidRPr="00D03F3E" w14:paraId="77AFC0C8" w14:textId="77777777">
        <w:trPr>
          <w:trHeight w:val="240"/>
        </w:trPr>
        <w:tc>
          <w:tcPr>
            <w:tcW w:w="2573" w:type="dxa"/>
          </w:tcPr>
          <w:p w14:paraId="1B9B739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Потери общие</w:t>
            </w:r>
          </w:p>
        </w:tc>
        <w:tc>
          <w:tcPr>
            <w:tcW w:w="1200" w:type="dxa"/>
          </w:tcPr>
          <w:p w14:paraId="35AEB40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w:t>
            </w:r>
          </w:p>
        </w:tc>
        <w:tc>
          <w:tcPr>
            <w:tcW w:w="1238" w:type="dxa"/>
          </w:tcPr>
          <w:p w14:paraId="0A3D95F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12,1</w:t>
            </w:r>
          </w:p>
        </w:tc>
      </w:tr>
      <w:tr w:rsidR="00860B4B" w:rsidRPr="00D03F3E" w14:paraId="02F0521E" w14:textId="77777777">
        <w:trPr>
          <w:trHeight w:val="250"/>
        </w:trPr>
        <w:tc>
          <w:tcPr>
            <w:tcW w:w="2573" w:type="dxa"/>
          </w:tcPr>
          <w:p w14:paraId="2C83A9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Потери боевые</w:t>
            </w:r>
          </w:p>
        </w:tc>
        <w:tc>
          <w:tcPr>
            <w:tcW w:w="1200" w:type="dxa"/>
          </w:tcPr>
          <w:p w14:paraId="520A5C4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w:t>
            </w:r>
          </w:p>
        </w:tc>
        <w:tc>
          <w:tcPr>
            <w:tcW w:w="1238" w:type="dxa"/>
          </w:tcPr>
          <w:p w14:paraId="728211C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7,8</w:t>
            </w:r>
          </w:p>
        </w:tc>
      </w:tr>
      <w:tr w:rsidR="00860B4B" w:rsidRPr="00D03F3E" w14:paraId="32250B07" w14:textId="77777777">
        <w:trPr>
          <w:trHeight w:val="173"/>
        </w:trPr>
        <w:tc>
          <w:tcPr>
            <w:tcW w:w="2573" w:type="dxa"/>
          </w:tcPr>
          <w:p w14:paraId="588AE82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01.01-31.12 1943 г.</w:t>
            </w:r>
          </w:p>
        </w:tc>
        <w:tc>
          <w:tcPr>
            <w:tcW w:w="1200" w:type="dxa"/>
          </w:tcPr>
          <w:p w14:paraId="63F8A37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Pr>
          <w:p w14:paraId="54A3FCC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9525C52" w14:textId="77777777">
        <w:trPr>
          <w:trHeight w:val="298"/>
        </w:trPr>
        <w:tc>
          <w:tcPr>
            <w:tcW w:w="2573" w:type="dxa"/>
          </w:tcPr>
          <w:p w14:paraId="5224CFE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Поступило самолетов</w:t>
            </w:r>
          </w:p>
        </w:tc>
        <w:tc>
          <w:tcPr>
            <w:tcW w:w="1200" w:type="dxa"/>
          </w:tcPr>
          <w:p w14:paraId="6947B76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17,0</w:t>
            </w:r>
          </w:p>
        </w:tc>
        <w:tc>
          <w:tcPr>
            <w:tcW w:w="1238" w:type="dxa"/>
          </w:tcPr>
          <w:p w14:paraId="7F534A3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33,1</w:t>
            </w:r>
          </w:p>
        </w:tc>
      </w:tr>
      <w:tr w:rsidR="00860B4B" w:rsidRPr="00D03F3E" w14:paraId="3979AFB8" w14:textId="77777777">
        <w:trPr>
          <w:trHeight w:val="240"/>
        </w:trPr>
        <w:tc>
          <w:tcPr>
            <w:tcW w:w="2573" w:type="dxa"/>
          </w:tcPr>
          <w:p w14:paraId="27AC8EE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Потери общие</w:t>
            </w:r>
          </w:p>
        </w:tc>
        <w:tc>
          <w:tcPr>
            <w:tcW w:w="1200" w:type="dxa"/>
          </w:tcPr>
          <w:p w14:paraId="21F2267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11,7</w:t>
            </w:r>
          </w:p>
        </w:tc>
        <w:tc>
          <w:tcPr>
            <w:tcW w:w="1238" w:type="dxa"/>
          </w:tcPr>
          <w:p w14:paraId="61BA0C6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22,5</w:t>
            </w:r>
          </w:p>
        </w:tc>
      </w:tr>
      <w:tr w:rsidR="00860B4B" w:rsidRPr="00D03F3E" w14:paraId="064DE376" w14:textId="77777777">
        <w:trPr>
          <w:trHeight w:val="240"/>
        </w:trPr>
        <w:tc>
          <w:tcPr>
            <w:tcW w:w="2573" w:type="dxa"/>
          </w:tcPr>
          <w:p w14:paraId="0C56EE7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Потери боевые</w:t>
            </w:r>
          </w:p>
        </w:tc>
        <w:tc>
          <w:tcPr>
            <w:tcW w:w="1200" w:type="dxa"/>
          </w:tcPr>
          <w:p w14:paraId="7E068BF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w:t>
            </w:r>
          </w:p>
        </w:tc>
        <w:tc>
          <w:tcPr>
            <w:tcW w:w="1238" w:type="dxa"/>
          </w:tcPr>
          <w:p w14:paraId="5C355D6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11,2</w:t>
            </w:r>
          </w:p>
        </w:tc>
      </w:tr>
      <w:tr w:rsidR="00860B4B" w:rsidRPr="00D03F3E" w14:paraId="2B0882B0" w14:textId="77777777">
        <w:trPr>
          <w:trHeight w:val="182"/>
        </w:trPr>
        <w:tc>
          <w:tcPr>
            <w:tcW w:w="2573" w:type="dxa"/>
          </w:tcPr>
          <w:p w14:paraId="751BD69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01.01-31.12 1944 г.</w:t>
            </w:r>
          </w:p>
        </w:tc>
        <w:tc>
          <w:tcPr>
            <w:tcW w:w="1200" w:type="dxa"/>
          </w:tcPr>
          <w:p w14:paraId="48037B6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Pr>
          <w:p w14:paraId="48A2DD1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06D79D7" w14:textId="77777777">
        <w:trPr>
          <w:trHeight w:val="298"/>
        </w:trPr>
        <w:tc>
          <w:tcPr>
            <w:tcW w:w="2573" w:type="dxa"/>
          </w:tcPr>
          <w:p w14:paraId="008A70C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Поступило самолетов</w:t>
            </w:r>
          </w:p>
        </w:tc>
        <w:tc>
          <w:tcPr>
            <w:tcW w:w="1200" w:type="dxa"/>
          </w:tcPr>
          <w:p w14:paraId="5A15702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w:t>
            </w:r>
          </w:p>
        </w:tc>
        <w:tc>
          <w:tcPr>
            <w:tcW w:w="1238" w:type="dxa"/>
          </w:tcPr>
          <w:p w14:paraId="037BD3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35,6</w:t>
            </w:r>
          </w:p>
        </w:tc>
      </w:tr>
      <w:tr w:rsidR="00860B4B" w:rsidRPr="00D03F3E" w14:paraId="1D33C844" w14:textId="77777777">
        <w:trPr>
          <w:trHeight w:val="240"/>
        </w:trPr>
        <w:tc>
          <w:tcPr>
            <w:tcW w:w="2573" w:type="dxa"/>
          </w:tcPr>
          <w:p w14:paraId="42E80A9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Потери общие</w:t>
            </w:r>
          </w:p>
        </w:tc>
        <w:tc>
          <w:tcPr>
            <w:tcW w:w="1200" w:type="dxa"/>
          </w:tcPr>
          <w:p w14:paraId="5AEC1D3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12,7</w:t>
            </w:r>
          </w:p>
        </w:tc>
        <w:tc>
          <w:tcPr>
            <w:tcW w:w="1238" w:type="dxa"/>
          </w:tcPr>
          <w:p w14:paraId="2F2AEF8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24,8</w:t>
            </w:r>
          </w:p>
        </w:tc>
      </w:tr>
      <w:tr w:rsidR="00860B4B" w:rsidRPr="00D03F3E" w14:paraId="0A1D867E" w14:textId="77777777">
        <w:trPr>
          <w:trHeight w:val="240"/>
        </w:trPr>
        <w:tc>
          <w:tcPr>
            <w:tcW w:w="2573" w:type="dxa"/>
          </w:tcPr>
          <w:p w14:paraId="6696915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Потери боевые</w:t>
            </w:r>
          </w:p>
        </w:tc>
        <w:tc>
          <w:tcPr>
            <w:tcW w:w="1200" w:type="dxa"/>
          </w:tcPr>
          <w:p w14:paraId="3952E97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w:t>
            </w:r>
          </w:p>
        </w:tc>
        <w:tc>
          <w:tcPr>
            <w:tcW w:w="1238" w:type="dxa"/>
          </w:tcPr>
          <w:p w14:paraId="3CD31D7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9,7</w:t>
            </w:r>
          </w:p>
        </w:tc>
      </w:tr>
      <w:tr w:rsidR="00860B4B" w:rsidRPr="00D03F3E" w14:paraId="69C57ADF" w14:textId="77777777">
        <w:trPr>
          <w:trHeight w:val="182"/>
        </w:trPr>
        <w:tc>
          <w:tcPr>
            <w:tcW w:w="2573" w:type="dxa"/>
          </w:tcPr>
          <w:p w14:paraId="29BD4EB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01.01-10.05 1945 г.</w:t>
            </w:r>
          </w:p>
        </w:tc>
        <w:tc>
          <w:tcPr>
            <w:tcW w:w="1200" w:type="dxa"/>
          </w:tcPr>
          <w:p w14:paraId="5E818C2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Pr>
          <w:p w14:paraId="2AE9E36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A95CAE3" w14:textId="77777777">
        <w:trPr>
          <w:trHeight w:val="288"/>
        </w:trPr>
        <w:tc>
          <w:tcPr>
            <w:tcW w:w="2573" w:type="dxa"/>
          </w:tcPr>
          <w:p w14:paraId="5807AD6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Поступило самолетов</w:t>
            </w:r>
          </w:p>
        </w:tc>
        <w:tc>
          <w:tcPr>
            <w:tcW w:w="1200" w:type="dxa"/>
          </w:tcPr>
          <w:p w14:paraId="399433F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9,1</w:t>
            </w:r>
          </w:p>
        </w:tc>
        <w:tc>
          <w:tcPr>
            <w:tcW w:w="1238" w:type="dxa"/>
          </w:tcPr>
          <w:p w14:paraId="0599712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w:t>
            </w:r>
          </w:p>
        </w:tc>
      </w:tr>
      <w:tr w:rsidR="00860B4B" w:rsidRPr="00D03F3E" w14:paraId="028B254C" w14:textId="77777777">
        <w:trPr>
          <w:trHeight w:val="250"/>
        </w:trPr>
        <w:tc>
          <w:tcPr>
            <w:tcW w:w="2573" w:type="dxa"/>
          </w:tcPr>
          <w:p w14:paraId="0F9566B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Потери общие</w:t>
            </w:r>
          </w:p>
        </w:tc>
        <w:tc>
          <w:tcPr>
            <w:tcW w:w="1200" w:type="dxa"/>
          </w:tcPr>
          <w:p w14:paraId="71935FA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w:t>
            </w:r>
          </w:p>
        </w:tc>
        <w:tc>
          <w:tcPr>
            <w:tcW w:w="1238" w:type="dxa"/>
          </w:tcPr>
          <w:p w14:paraId="3DC9D20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w:t>
            </w:r>
          </w:p>
        </w:tc>
      </w:tr>
      <w:tr w:rsidR="00860B4B" w:rsidRPr="00D03F3E" w14:paraId="50243264" w14:textId="77777777">
        <w:trPr>
          <w:trHeight w:val="259"/>
        </w:trPr>
        <w:tc>
          <w:tcPr>
            <w:tcW w:w="2573" w:type="dxa"/>
            <w:tcBorders>
              <w:bottom w:val="single" w:sz="12" w:space="0" w:color="auto"/>
            </w:tcBorders>
          </w:tcPr>
          <w:p w14:paraId="2F22846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Потери боевые</w:t>
            </w:r>
          </w:p>
        </w:tc>
        <w:tc>
          <w:tcPr>
            <w:tcW w:w="1200" w:type="dxa"/>
            <w:tcBorders>
              <w:bottom w:val="single" w:sz="12" w:space="0" w:color="auto"/>
            </w:tcBorders>
          </w:tcPr>
          <w:p w14:paraId="5A3EAC0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c>
          <w:tcPr>
            <w:tcW w:w="1238" w:type="dxa"/>
            <w:tcBorders>
              <w:bottom w:val="single" w:sz="12" w:space="0" w:color="auto"/>
            </w:tcBorders>
          </w:tcPr>
          <w:p w14:paraId="3159768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w:t>
            </w:r>
          </w:p>
        </w:tc>
      </w:tr>
    </w:tbl>
    <w:p w14:paraId="17AE060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(10667).</w:t>
      </w:r>
    </w:p>
    <w:p w14:paraId="0A29793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1BB11B"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656644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555DB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января 1943 приказом НКВД N 204 было создано Управление Связи (П.Угловский) ГУ ВВ НКВД (теперь - ФАПСИ) (3398,52).</w:t>
      </w:r>
    </w:p>
    <w:p w14:paraId="28F9D34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2A5C47"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5B22C65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1FDA6F"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31 января</w:t>
      </w:r>
      <w:r w:rsidRPr="00D03F3E">
        <w:rPr>
          <w:rFonts w:ascii="Times New Roman" w:hAnsi="Times New Roman"/>
          <w:color w:val="000000" w:themeColor="text1"/>
          <w:sz w:val="16"/>
          <w:szCs w:val="16"/>
        </w:rPr>
        <w:t xml:space="preserve"> в 1943 году утреннее сообщение Совинформбюро:</w:t>
      </w:r>
    </w:p>
    <w:p w14:paraId="410BC491"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31 января войска Юго-Западного, Южного, Северо-Кавказского,Воронежского, Волховского и Ленинградского фронтов вели наступательные бои на прежних направлениях.</w:t>
      </w:r>
    </w:p>
    <w:p w14:paraId="7B80CC42"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Донского фронта севернее Сталинграда овладели многими оборонительными сооружениями противника и взяли в плен 700 немецких солдат и офицеров. Захвачены большие трофеи.</w:t>
      </w:r>
    </w:p>
    <w:p w14:paraId="1728FB29"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Южного фронта вели наступательные бои и отбивали контратаки противника. Н-ская часть заняла два населённых пункта, в боях за которые истребила свыше роты немецкой пехоты. Захвачены бронемашина, 2 орудия, 9 пулеметов, радиостанция и склад боеприпасов. На другом участке гитлеровцы силою до батальона пехоты при поддержке танков перешли в контратаку, но, встреченные артиллерийским огнём, быстро отступили. На поле боя осталось 8 подбитых немецких танков.</w:t>
      </w:r>
    </w:p>
    <w:p w14:paraId="1A381F0D"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вели бои на прежних направлениях. Н-ская часть, овладев одним населённым пунктом, захватила 5 орудий, 11 автомашин, 3 тягача, склад продовольствия и другие трофеи. На другом участке немцы неоднократно пытались вернуть потерянные ими накануне позиции. Наши бойцы отбили контратаки гитлеровцев, подбили 2 танка и истребили до 300 солдат и офицеров противника.</w:t>
      </w:r>
    </w:p>
    <w:p w14:paraId="760BF050"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Воронежа наши войска продолжали успешное наступление. Н-ское соединение заняло восемь населённых пунктов. Взяты трофеи: 4 танка, 56 орудий,27 миномётов, 228 пулемётов, 1.500 винтовок, 19 тракторов, 4 радиостанции, свыше l50 тысяч снарядов, 3 миллиона патронов и 58 разных складов. Уничтожено до полка пехоты и взято в плен 2.500 вражеских солдат и офицеров. В районном центре Нижнедевицк наши части захватили 4 тяжелых и 15 противотанковых орудий, миномётную батарею, 30 автомашин и 2 радиостанции. Танкисты под командованием тов. Кравченко на одной железнодорожной станции взяли большие трофея, в том числе 500 автомашин, 12 паровозов и 8 железнодорожных эшелонов с разным снаряжением и военным имуществом.</w:t>
      </w:r>
    </w:p>
    <w:p w14:paraId="430F2EEA"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Войска Северо-Кавказского фронта с боями продвигались вперёд. Бойцы Н-ской части ворвались в крупный населённый пункт и после ожесточённого уличного боя очистили его от гитлеровцев. Уничтожено до 400 вражеских солдат и офицеров. Подбито 5 немецких танков, захвачено 7 противотанковых орудий, много автоматов, винтовок и боеприпасов. На другом участке наш разведывательный отряд ночью проник в тыл противника и напал на штаб немецкого полка. Разведчики истребили 75 вражеских солдат и офицеров, захватили документы штаба и благополучно вернулись в свою часть.</w:t>
      </w:r>
    </w:p>
    <w:p w14:paraId="3887989B"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Ленинградской области, за неделю пустил под откос два немецких воинских эшелона, следовавших к линии фронта. Разбито 2 паровоза и 7 вагонов с оружием и боеприпасами. Кроме того, советские патриоты взорвали 3 моста и 64 метра железнодорожного полотна. Другой отряд ленинградских партизан совершил налёт на имение новоиспечённого фашистского помещика. Советские патриоты перебили несколько десятков охранников и управляющего имением.</w:t>
      </w:r>
    </w:p>
    <w:p w14:paraId="44F644BB"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Жители села Крюково, Ростовской области, составили акт о зверствах немецко-фашистских мерзавцев. В акте говорится: «Гитлеровцы бесчинствовали в нашем селе, грабили и убивали мирных жителей. Немецкие бандиты отобрали у колхозников сельскохозяйственной артели «Память Ильича» пшеницу, скот, продукты питания и личные вещи. Отступая из села, изверги замучили и расстреляли 33 местных жителя. Палачи убили Ефима Назарова — 14 лет, Александра Денисова—15 лет, Петра Фатеева — 15 лет, Фёдора Юдина — 15 лет, Петра Широкова — 16 лет, Андрея Полякова — 16 лет, Семёна Алексеева — 17 лет, Астафия Юдина — 65 лет идругих жителей. Кроме того, немцы расстреляли 8 пленных красноармейцев.</w:t>
      </w:r>
    </w:p>
    <w:p w14:paraId="36B78C48"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Мы и наши семьи испытали зверства подлого врага. Обращаемся к вам, дорогие бойцы нашей Красной Армии: бейте фашистских гадов, не давайте им пощады, отомстите фашистским душегубам и разбойникам за все наши мучения». Акт подписали колхозники и колхозницы колхоза «Память Ильича» (15026).</w:t>
      </w:r>
    </w:p>
    <w:p w14:paraId="3A8D7189" w14:textId="77777777" w:rsidR="006867CF" w:rsidRPr="00D03F3E" w:rsidRDefault="006867CF" w:rsidP="00D03F3E">
      <w:pPr>
        <w:spacing w:after="0" w:line="240" w:lineRule="auto"/>
        <w:jc w:val="both"/>
        <w:rPr>
          <w:rFonts w:ascii="Times New Roman" w:hAnsi="Times New Roman"/>
          <w:color w:val="000000" w:themeColor="text1"/>
          <w:sz w:val="16"/>
          <w:szCs w:val="16"/>
        </w:rPr>
      </w:pPr>
    </w:p>
    <w:p w14:paraId="5F496444"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31 января</w:t>
      </w:r>
      <w:r w:rsidRPr="00D03F3E">
        <w:rPr>
          <w:rFonts w:ascii="Times New Roman" w:hAnsi="Times New Roman"/>
          <w:color w:val="000000" w:themeColor="text1"/>
          <w:sz w:val="16"/>
          <w:szCs w:val="16"/>
        </w:rPr>
        <w:t xml:space="preserve"> в 1943 году вечернее сообщение Совинформбюро:</w:t>
      </w:r>
    </w:p>
    <w:p w14:paraId="1D987A31"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января войска Закавказского фронта овладели районным центром и узловой железнодорожной станцией Белореченская, районными центрами Горячий Ключ и Рязанская.</w:t>
      </w:r>
    </w:p>
    <w:p w14:paraId="7D947C71"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Северо-Кавказского, Воронежского, Юго-Западного, Южного, Ленинградского и Волховского фронтов продолжали наступательные бои на прежних направлениях.</w:t>
      </w:r>
    </w:p>
    <w:p w14:paraId="447708AA"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24 по 30 января включительно, в воздушных боях и на аэродромах противника уничтожен 141 немецкий самолёт. Наши потери за это же время 93 самолёта.</w:t>
      </w:r>
    </w:p>
    <w:p w14:paraId="2594474A"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частями нашей авиации на различных участках фронта уничтожено или повреждено более 200 немецких автомашин с войсками и грузами, подавлен огонь 8 артиллерийских батарей, разбит железнодорожный эшелон, взорвано два склада боеприпасов, рассеяно и частью уничтожено до двух батальонов пехоты противника.</w:t>
      </w:r>
    </w:p>
    <w:p w14:paraId="447F9A14"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Донского фронта продолжали истреблять разрозненные группы гитлеровцев. Ближе к центральной части Сталинграда в течение дня нашими частями захвачено в плен свыше 5.000 немецких солдат и офицеров, в том числе несколько немецких генералов. Взяты трофеи: 90 орудий, 75 пулемётов, 20 автомашин и радиостанция.</w:t>
      </w:r>
    </w:p>
    <w:p w14:paraId="6E46D3F2"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Южного фронта, преодолевая сопротивление и отбивая контратаки противника, продолжали наступление. На одном участке наши подразделения, прорвавшись в тыл немцев, атаковали и разгромили маршевый батальон противника.Н-ская моторизованная часть была атакована 15 немецкими танками и десантом автоматчиков. Советские бойцы огнём из противотанковых ружей подожгли 3 танка и ружейно-пулемётным огнём истребили много немецких автоматчиков.</w:t>
      </w:r>
    </w:p>
    <w:p w14:paraId="2E3DCD39"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вели наступательные бои. Западнее Старобельска советские части сломили сопротивление противника и овладели сильно укреплёнными пунктами вражеской обороны. Уничтожено 10 немецких танков и свыше 300 гитлеровцев. Захвачены 15 орудий, 32 пулемёта и другие трофеи.</w:t>
      </w:r>
    </w:p>
    <w:p w14:paraId="13F6C32D"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Воронежа наши войска овладели 20 населёнными пунктами и двумя железнодорожными станциями. Бойцы Н-ской части захватили 13 танков, 7 орудий, 5 шестиствольных миномётов, вездеход, 22 автомашины, 4 радиостанции и более 25 километров телефонного кабеля. В районе одной железнодорожной станции нашими частями захвачен немецкий бронепоезд. В районном центре Чернянка, вчера занятом нашими войсками, взято в плен 400 солдат и офицеров противника. 3ахвачено 4 артиллерийских склада со снарядами, 5 паровозов и 100 железнодорожных вагонов своенным снаряжением.</w:t>
      </w:r>
    </w:p>
    <w:p w14:paraId="7CAA430D"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Советской авиацией в воздушных боях сбито 3 и уничтожено на аэродромах 15 немецких самолётов.</w:t>
      </w:r>
    </w:p>
    <w:p w14:paraId="2ADB4249"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оккупированных немцами районов Орловской области, в бою с противником истребил свыше 100 вражеских солдат и офицеров. Партизаны захватили пулемёт, автоматы, винтовки, револьверы и 10 тысяч патронов. Партизанский отряд имени Щорса пустил под откос 3 немецких воинских эшелона. Разбито 2 паровоза, 29 вагонов и 34 платформы. Во время крушений убито160 гитлеровцев.</w:t>
      </w:r>
    </w:p>
    <w:p w14:paraId="388AA809"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Агентство АФИ передало статью известного французского журналиста Пертинакса. Автор статьи утверждает, что «в настоящее время происходит широкая перегруппировка германских сил. По мнению военного обозревателя «Нью-Йорктаймс», с Восточного фронта уже оттянуто 50 немецких дивизий».</w:t>
      </w:r>
    </w:p>
    <w:p w14:paraId="3A5D3FFB"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Утверждение Пертинакса и военного обозревателя из «Нью-Йорк таймс» о переброске немецких дивизий с советско-германского фронта находится в вопиющем противоречии с действительностью.</w:t>
      </w:r>
    </w:p>
    <w:p w14:paraId="266C4A70"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последнее время немецкое командование в связи с наступлением Красной Армиии поражением немецких войск на советско-германском фронте действительно производит перегруппировку своих войск. Однако немецкие дивизии направляются не с Востока на Запад, а с Запада на Восток. В дополнение к ранее переброшеннымвойскам на советско-германский фронт немецкое командование с конца ноября месяца 1942 года, то есть со времени перехода советских войск в наступление, спешно перебросило на Восток ещё ряд дивизий.</w:t>
      </w:r>
    </w:p>
    <w:p w14:paraId="237084C1"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Начиная с конца ноября месяца 1942 года немецкое командование перебросило на советско-германский фронт 19 пехотных и 3 танковые дивизии, в том числе 11 дивизий были переброшены из Франции, Бельгии и Норвегии, а остальные — из Германии. Вот номера этих немецких дивизий: 1, 3, 6, 7, 8, 9 и 10 авиа полевые, 6, 7 и 27 танковые, 69, 161, 302, 304, 306, 320, 321, 337, 401, 404, 406 и 708 пехотные дивизии.</w:t>
      </w:r>
    </w:p>
    <w:p w14:paraId="2EA1A054"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по имеющимся достоверным данным, сейчас находятся в пути с Запада на советско-немецкий фронт ещё 9 немецких дивизий, в том числе три танковые дивизии.</w:t>
      </w:r>
    </w:p>
    <w:p w14:paraId="0990838C"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гитлеровское командование не только не оттянуло с советско-германского фронта ни одной дивизии, а напротив, перебросило иперебрасывает на советско-немецкий фронт 31 дивизию. По вполне понятным причинам гитлеровцы тщательно скрывают факт переброски своих войск с Запада на Восток.Тем не менее это обстоятельство ныне широко известно.</w:t>
      </w:r>
    </w:p>
    <w:p w14:paraId="08133AD9"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Достойно удивления, что агентство АФИ и обозреватель газеты «Нью-Йорк таймс» выступают с утверждениями, не имеющими ничего общего с действительностью.».</w:t>
      </w:r>
    </w:p>
    <w:p w14:paraId="64C55805"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01CE92B5"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закончили ликвидацию группы немецко-фашистских войск,окруженных западнее центральной части Сталинграда.</w:t>
      </w:r>
    </w:p>
    <w:p w14:paraId="6CDEE9E4"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Донского фронта в боях 27—31 января закончили ликвидацию группы немецко-фашистских войск, окружённых западнее центральной части Сталинграда.</w:t>
      </w:r>
    </w:p>
    <w:p w14:paraId="3EBFBC41"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боёв, а также показаниями захваченных в плен немецких генералов установлено, что к 23 ноября 1942 года под Сталинградом было окружено по меньшей мере 330 тысяч войск противника, если считать также тыловые, строительные иполицейские части, а не 220 тысяч, как сообщалось об этом ранее.</w:t>
      </w:r>
    </w:p>
    <w:p w14:paraId="5CA5CDB9"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известно, немецкие войска, окружённые под Сталинградом, с 23 ноября по 10 января от нашего артиллерийского огня, систематических бомбардировок с воздуха, от атак наших наземных войск, а также от голода, морозов и болезней потеряли до140 тысяч человек. Таким образом, к моменту генерального наступления наших войск— к 10 января 1943 года — окружённые под Сталинградом немецкие войска насчитывали вместе с частями усиления, строительной организацией Тодта, с полицейскими частями, армейскими и корпусными тылами — до 190.000 солдат иофицеров.</w:t>
      </w:r>
    </w:p>
    <w:p w14:paraId="5FD21051"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Этот расчёт подтвердил пленённый исполняющий должность генерал-квартирмейстера 6-й немецкой армии полковник фон Куловский, который показал, что к 10 января личный состав немецких войск, окружённых подСталинградом, насчитывал вместе с тылами 195.000 человек.</w:t>
      </w:r>
    </w:p>
    <w:p w14:paraId="18C8D2AA"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свете этих данных победа советских войск под Сталинградом приобретает ещё более крупное значение.</w:t>
      </w:r>
    </w:p>
    <w:p w14:paraId="6B467210"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 пленных с 27 по 31 января увеличилось на 18.000 солдат и офицеров, а всего за время генерального наступления против окружённых частей противника наши войска захватили в плен 46.000 солдат и офицеров.</w:t>
      </w:r>
    </w:p>
    <w:p w14:paraId="0892B365"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Сегодня нашими войсками взят в плен вместе со своим штабом командующийгруппой немецких войск под Сталинградом, состоящей из 6-й армии и 4-й танковой армии, — генерал-фельдмаршал Паулюс и его начальник штаба генерал-лейтенант Шмидт. Фельдмаршальское звание Паулюс получил несколько дней назад.</w:t>
      </w:r>
    </w:p>
    <w:p w14:paraId="7EF8EC99"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взяты в плен следующие генералы: 1) командир 14 танкового корпуса генерал-лейтенант Шлеммер, 2) командир 51 армейского корпуса генерал-лейтенант Зейдлитц, 3) командир 4-го армейского корпуса генерал-лейтенант артиллерии Пфефер, 4) командир 100-й лёгкой пехотной дивизии генерал-лейтенант Санне, 5) командир 29-й мотодивизии генерал-лейтенант Лейзер, 6) командир 295 пехотной дивизии генерал-лейтенант Корфес, 7) командир 297 пехотной дивизии генерал-майор Мориц фон Дребер, 8) командир 376 пехотной дивизии генерал-лейтенант фон Даниэль, 9) командир 44 пехотной дивизии генерал-лейтенант Дюбуа, 10) начальник артиллерии 4-го армейского корпуса генерал-майор Вольф, 11) начальник артиллерии 51-го армейского корпуса генерал-майор Ульрих, 12) командир 20-й пехотной дивизии румын, бригадный генерал Димитриу, 13) командир 1-й кавалерийской румынской дивизии генерал Братеску, 14) начальник санитарной службы 6-й армии генерал-лейтенант Отто Ринольди.</w:t>
      </w:r>
    </w:p>
    <w:p w14:paraId="2E99B1A7"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следовательно, взято в плен 16 генералов.</w:t>
      </w:r>
    </w:p>
    <w:p w14:paraId="5941281C"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Взяты также в плен исполняющий должность генерал-квартирмейстера полковникфон Куловский, командир 524 пехотного полка 297 пехотной дивизии полковник Вильгельм Пиккель, командир 297 артиллерийского полка полковник Генрих Фохт, командир 132 пехотного полка 44 пехотной дивизии полковник Вегеман, командир </w:t>
      </w:r>
      <w:r w:rsidRPr="00D03F3E">
        <w:rPr>
          <w:rFonts w:ascii="Times New Roman" w:hAnsi="Times New Roman"/>
          <w:color w:val="000000" w:themeColor="text1"/>
          <w:sz w:val="16"/>
          <w:szCs w:val="16"/>
        </w:rPr>
        <w:lastRenderedPageBreak/>
        <w:t>29 мотопехотного полка Болье Сигурт, начальник штаба 4-го армейского корпусаполковник Кромме, начальник штаба 295 пехотной дивизии полковник Диссель, командир 91 полка 20 пехотной дивизии румын полковник Попеску и многие другие.</w:t>
      </w:r>
    </w:p>
    <w:p w14:paraId="33ACAF36"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захвачены штабы 14 танкового корпуса, 3-й мотодивизии, 297, 376 немецких и 20 румынской пехотных дивизий, 44,83, 132, 297, 523, 524, 534, 535, 536 пехотных полков, 39 и 40 артиллерийских полков, 549 армейского полка связи и штаб армейского сапёрного батальона.</w:t>
      </w:r>
    </w:p>
    <w:p w14:paraId="02CA79D2"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время генерального наступления против окружённых частей противника с 10 по 30 января советскими войсками, по неполным данным, уничтожено более 100.000 немецких солдат и офицеров.</w:t>
      </w:r>
    </w:p>
    <w:p w14:paraId="2CB0208B"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это же время нашими войсками взяты следующие трофеи: самолётов — 744, танков — 1.517, орудий — 6.523, миномётов — 1.421, пулемётов — 7.489, винтовок —76.887, автомашин — 60.454, мотоциклов — 7.341, тягачей, тракторов и транспортёров — 470, парашютов — 5.700, радиостанций — 304, бронепоездов — 3, вагонов — 575, паровозов — 48, складов с боеприпасами и вооружением — 229 и большое количество другого военного имущества.» (15026).</w:t>
      </w:r>
    </w:p>
    <w:p w14:paraId="7BDD3143" w14:textId="77777777" w:rsidR="006867CF" w:rsidRPr="00D03F3E" w:rsidRDefault="006867CF" w:rsidP="00D03F3E">
      <w:pPr>
        <w:spacing w:after="0" w:line="240" w:lineRule="auto"/>
        <w:jc w:val="both"/>
        <w:rPr>
          <w:rFonts w:ascii="Times New Roman" w:hAnsi="Times New Roman"/>
          <w:color w:val="000000" w:themeColor="text1"/>
          <w:sz w:val="16"/>
          <w:szCs w:val="16"/>
        </w:rPr>
      </w:pPr>
    </w:p>
    <w:p w14:paraId="6FB7D418"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31 января</w:t>
      </w:r>
      <w:r w:rsidRPr="00D03F3E">
        <w:rPr>
          <w:rFonts w:ascii="Times New Roman" w:hAnsi="Times New Roman"/>
          <w:color w:val="000000" w:themeColor="text1"/>
          <w:sz w:val="16"/>
          <w:szCs w:val="16"/>
        </w:rPr>
        <w:t xml:space="preserve"> в 1943 году (31 января — 5 апреля) рейд кавалерийского партизанского соединения под командованием М.И.Наумова по территории Курской, Сумской, Полтавской, Кировоградской, Одесской, Винницкой, Киевской и Житомирской областей (15026).</w:t>
      </w:r>
    </w:p>
    <w:p w14:paraId="7A508730" w14:textId="77777777" w:rsidR="006867CF" w:rsidRPr="00D03F3E" w:rsidRDefault="006867CF" w:rsidP="00D03F3E">
      <w:pPr>
        <w:spacing w:after="0" w:line="240" w:lineRule="auto"/>
        <w:jc w:val="both"/>
        <w:rPr>
          <w:rFonts w:ascii="Times New Roman" w:hAnsi="Times New Roman"/>
          <w:color w:val="000000" w:themeColor="text1"/>
          <w:sz w:val="16"/>
          <w:szCs w:val="16"/>
        </w:rPr>
      </w:pPr>
    </w:p>
    <w:p w14:paraId="7E5F40F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января 1943 в Гумраке недалеко от Сталинграда был захвачен Fw 200C-3/U2 N 0034 F8+GW, который потом испытывался в НИИ ВВС А.Кабановом, а потом был передан для демонстрации в Москве - есть фото (2466,84).</w:t>
      </w:r>
    </w:p>
    <w:p w14:paraId="274CE9D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B31B3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января 1943 г. вышел ПРИКАЗ № 49 ОБ УСТАНОВЛЕНИИ НОРМЫ И ПОРЯДКА ВЫДАЧИ БОРТОВОГО ПАЙКА ДЛЯ ЭКИПАЖЕЙ САМОЛЕТОВ АВИАЦИИ ДАЛЬНЕГО ДЕЙСТВИЯ, НАХОДЯЩИХСЯ В ДЛИТЕЛЬНЫХ НОЧНЫХ ПОЛЕТАХ</w:t>
      </w:r>
    </w:p>
    <w:p w14:paraId="0E29005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Установить для экипажей самолетов авиации дальнего действия, совершающих длительные ночные полеты, следующее добавочное питание на 1 человека:</w:t>
      </w:r>
    </w:p>
    <w:tbl>
      <w:tblPr>
        <w:tblW w:w="0" w:type="auto"/>
        <w:tblInd w:w="3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45"/>
        <w:gridCol w:w="3564"/>
        <w:gridCol w:w="1707"/>
        <w:gridCol w:w="1707"/>
      </w:tblGrid>
      <w:tr w:rsidR="00860B4B" w:rsidRPr="00D03F3E" w14:paraId="7F4EC4EA" w14:textId="77777777">
        <w:trPr>
          <w:trHeight w:val="1020"/>
        </w:trPr>
        <w:tc>
          <w:tcPr>
            <w:tcW w:w="445" w:type="dxa"/>
          </w:tcPr>
          <w:p w14:paraId="55FE52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Pr>
          <w:p w14:paraId="189FD8F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Наименование продуктов</w:t>
            </w:r>
          </w:p>
        </w:tc>
        <w:tc>
          <w:tcPr>
            <w:tcW w:w="1707" w:type="dxa"/>
          </w:tcPr>
          <w:p w14:paraId="4753D77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беспосадочных полетах продолжительностью более 6 час. с пребыванием на высоте 4000 м и выше</w:t>
            </w:r>
          </w:p>
        </w:tc>
        <w:tc>
          <w:tcPr>
            <w:tcW w:w="1707" w:type="dxa"/>
          </w:tcPr>
          <w:p w14:paraId="767EF37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беспосадочных полетах продолжительностью более 6 час. с пребыванием на высоте менее 4000 м или при нескольких вылетах с обшей продолжительностью более 8 час.</w:t>
            </w:r>
          </w:p>
        </w:tc>
      </w:tr>
      <w:tr w:rsidR="00860B4B" w:rsidRPr="00D03F3E" w14:paraId="0C4E705C" w14:textId="77777777">
        <w:trPr>
          <w:trHeight w:val="405"/>
        </w:trPr>
        <w:tc>
          <w:tcPr>
            <w:tcW w:w="445" w:type="dxa"/>
          </w:tcPr>
          <w:p w14:paraId="0BE5372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564" w:type="dxa"/>
          </w:tcPr>
          <w:p w14:paraId="738092A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Хлеб пшеничный из муки 2-го сорта</w:t>
            </w:r>
          </w:p>
        </w:tc>
        <w:tc>
          <w:tcPr>
            <w:tcW w:w="1707" w:type="dxa"/>
          </w:tcPr>
          <w:p w14:paraId="2687DEB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 г</w:t>
            </w:r>
          </w:p>
        </w:tc>
        <w:tc>
          <w:tcPr>
            <w:tcW w:w="1707" w:type="dxa"/>
          </w:tcPr>
          <w:p w14:paraId="4577499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 г</w:t>
            </w:r>
          </w:p>
        </w:tc>
      </w:tr>
      <w:tr w:rsidR="00860B4B" w:rsidRPr="00D03F3E" w14:paraId="3F176CC6" w14:textId="77777777">
        <w:trPr>
          <w:trHeight w:val="195"/>
        </w:trPr>
        <w:tc>
          <w:tcPr>
            <w:tcW w:w="445" w:type="dxa"/>
          </w:tcPr>
          <w:p w14:paraId="383938B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3564" w:type="dxa"/>
          </w:tcPr>
          <w:p w14:paraId="064270C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Печенье</w:t>
            </w:r>
          </w:p>
        </w:tc>
        <w:tc>
          <w:tcPr>
            <w:tcW w:w="1707" w:type="dxa"/>
          </w:tcPr>
          <w:p w14:paraId="3DEDF62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 г</w:t>
            </w:r>
          </w:p>
        </w:tc>
        <w:tc>
          <w:tcPr>
            <w:tcW w:w="1707" w:type="dxa"/>
          </w:tcPr>
          <w:p w14:paraId="6D0A4C2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 г</w:t>
            </w:r>
          </w:p>
        </w:tc>
      </w:tr>
      <w:tr w:rsidR="00860B4B" w:rsidRPr="00D03F3E" w14:paraId="0F16179E" w14:textId="77777777">
        <w:trPr>
          <w:trHeight w:val="210"/>
        </w:trPr>
        <w:tc>
          <w:tcPr>
            <w:tcW w:w="445" w:type="dxa"/>
          </w:tcPr>
          <w:p w14:paraId="00B4B93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3564" w:type="dxa"/>
          </w:tcPr>
          <w:p w14:paraId="3032C2F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Ветчина</w:t>
            </w:r>
          </w:p>
        </w:tc>
        <w:tc>
          <w:tcPr>
            <w:tcW w:w="1707" w:type="dxa"/>
          </w:tcPr>
          <w:p w14:paraId="266EFA0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 г</w:t>
            </w:r>
          </w:p>
        </w:tc>
        <w:tc>
          <w:tcPr>
            <w:tcW w:w="1707" w:type="dxa"/>
          </w:tcPr>
          <w:p w14:paraId="0A7A40D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 г</w:t>
            </w:r>
          </w:p>
        </w:tc>
      </w:tr>
      <w:tr w:rsidR="00860B4B" w:rsidRPr="00D03F3E" w14:paraId="69D84853" w14:textId="77777777">
        <w:trPr>
          <w:trHeight w:val="225"/>
        </w:trPr>
        <w:tc>
          <w:tcPr>
            <w:tcW w:w="445" w:type="dxa"/>
          </w:tcPr>
          <w:p w14:paraId="5D94B74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3564" w:type="dxa"/>
          </w:tcPr>
          <w:p w14:paraId="2D478A0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Сыр</w:t>
            </w:r>
          </w:p>
        </w:tc>
        <w:tc>
          <w:tcPr>
            <w:tcW w:w="1707" w:type="dxa"/>
          </w:tcPr>
          <w:p w14:paraId="2C85FF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 г</w:t>
            </w:r>
          </w:p>
        </w:tc>
        <w:tc>
          <w:tcPr>
            <w:tcW w:w="1707" w:type="dxa"/>
          </w:tcPr>
          <w:p w14:paraId="2BA8127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г</w:t>
            </w:r>
          </w:p>
        </w:tc>
      </w:tr>
      <w:tr w:rsidR="00860B4B" w:rsidRPr="00D03F3E" w14:paraId="12254847" w14:textId="77777777">
        <w:trPr>
          <w:trHeight w:val="210"/>
        </w:trPr>
        <w:tc>
          <w:tcPr>
            <w:tcW w:w="445" w:type="dxa"/>
          </w:tcPr>
          <w:p w14:paraId="295B78B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3564" w:type="dxa"/>
          </w:tcPr>
          <w:p w14:paraId="3533A34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Шоколад</w:t>
            </w:r>
          </w:p>
        </w:tc>
        <w:tc>
          <w:tcPr>
            <w:tcW w:w="1707" w:type="dxa"/>
          </w:tcPr>
          <w:p w14:paraId="190CCD7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 г</w:t>
            </w:r>
          </w:p>
        </w:tc>
        <w:tc>
          <w:tcPr>
            <w:tcW w:w="1707" w:type="dxa"/>
          </w:tcPr>
          <w:p w14:paraId="1B3317D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 г</w:t>
            </w:r>
          </w:p>
        </w:tc>
      </w:tr>
      <w:tr w:rsidR="00860B4B" w:rsidRPr="00D03F3E" w14:paraId="3923B07D" w14:textId="77777777">
        <w:trPr>
          <w:trHeight w:val="225"/>
        </w:trPr>
        <w:tc>
          <w:tcPr>
            <w:tcW w:w="445" w:type="dxa"/>
          </w:tcPr>
          <w:p w14:paraId="3B528AB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3564" w:type="dxa"/>
          </w:tcPr>
          <w:p w14:paraId="68A117F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Сахар</w:t>
            </w:r>
          </w:p>
        </w:tc>
        <w:tc>
          <w:tcPr>
            <w:tcW w:w="1707" w:type="dxa"/>
          </w:tcPr>
          <w:p w14:paraId="0720B45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 г</w:t>
            </w:r>
          </w:p>
        </w:tc>
        <w:tc>
          <w:tcPr>
            <w:tcW w:w="1707" w:type="dxa"/>
          </w:tcPr>
          <w:p w14:paraId="0CB28EF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г</w:t>
            </w:r>
          </w:p>
        </w:tc>
      </w:tr>
      <w:tr w:rsidR="00860B4B" w:rsidRPr="00D03F3E" w14:paraId="580BA61B" w14:textId="77777777">
        <w:trPr>
          <w:trHeight w:val="225"/>
        </w:trPr>
        <w:tc>
          <w:tcPr>
            <w:tcW w:w="445" w:type="dxa"/>
          </w:tcPr>
          <w:p w14:paraId="2936709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c>
          <w:tcPr>
            <w:tcW w:w="3564" w:type="dxa"/>
          </w:tcPr>
          <w:p w14:paraId="28895D9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Чай</w:t>
            </w:r>
          </w:p>
        </w:tc>
        <w:tc>
          <w:tcPr>
            <w:tcW w:w="1707" w:type="dxa"/>
          </w:tcPr>
          <w:p w14:paraId="38D9424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г</w:t>
            </w:r>
          </w:p>
        </w:tc>
        <w:tc>
          <w:tcPr>
            <w:tcW w:w="1707" w:type="dxa"/>
          </w:tcPr>
          <w:p w14:paraId="01D15DE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0,5 г</w:t>
            </w:r>
          </w:p>
        </w:tc>
      </w:tr>
      <w:tr w:rsidR="00860B4B" w:rsidRPr="00D03F3E" w14:paraId="62271FF6" w14:textId="77777777">
        <w:trPr>
          <w:trHeight w:val="225"/>
        </w:trPr>
        <w:tc>
          <w:tcPr>
            <w:tcW w:w="445" w:type="dxa"/>
          </w:tcPr>
          <w:p w14:paraId="51F02F1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tc>
        <w:tc>
          <w:tcPr>
            <w:tcW w:w="3564" w:type="dxa"/>
          </w:tcPr>
          <w:p w14:paraId="064AF7D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Фруктовый экстракт</w:t>
            </w:r>
          </w:p>
        </w:tc>
        <w:tc>
          <w:tcPr>
            <w:tcW w:w="1707" w:type="dxa"/>
          </w:tcPr>
          <w:p w14:paraId="0513E52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г</w:t>
            </w:r>
          </w:p>
        </w:tc>
        <w:tc>
          <w:tcPr>
            <w:tcW w:w="1707" w:type="dxa"/>
          </w:tcPr>
          <w:p w14:paraId="674BCDE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г</w:t>
            </w:r>
          </w:p>
        </w:tc>
      </w:tr>
    </w:tbl>
    <w:p w14:paraId="120202A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заменить в этих случаях половину черного хлеба, полагающегося по норме № 5 приказа НКО 1941 г. № 312, пшеничным из муки 2-го сорта.</w:t>
      </w:r>
    </w:p>
    <w:p w14:paraId="722D664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Заместитель Народного комиссара обороны генерал-полковник интендантской службы А. ХРУЛЕВ </w:t>
      </w:r>
      <w:r w:rsidRPr="00D03F3E">
        <w:rPr>
          <w:rFonts w:ascii="Times New Roman" w:hAnsi="Times New Roman"/>
          <w:color w:val="000000" w:themeColor="text1"/>
          <w:sz w:val="16"/>
          <w:szCs w:val="16"/>
        </w:rPr>
        <w:t>(9844).</w:t>
      </w:r>
    </w:p>
    <w:p w14:paraId="52BADF2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0EEDB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January 31 1943 Paulus surrenders the remnants of the 6th Army. 100,000 are already casualties, 110,000 march into captivity. It is the greatest Russian victory of the war, and the tide now turns (1052).</w:t>
      </w:r>
    </w:p>
    <w:p w14:paraId="65C1B76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3A5E0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января 1943 г Паулюс сдал остатки 6 армии. 100000 погибли и 110000 попали в плен (1052). Это была южная группировка, а северная - под командованием Штрекера - сдалась 2 февраля 1943 (2598,11).</w:t>
      </w:r>
    </w:p>
    <w:p w14:paraId="1D99F94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Сдача была с 31 января по 2 февраля 1943 (1348,224).</w:t>
      </w:r>
    </w:p>
    <w:p w14:paraId="36FD11C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A0CCBA"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января 1943 немецкий генерал Паулюс в день присвоения ему звания фельдмаршала капитулировал под Сталинградом (4962).</w:t>
      </w:r>
    </w:p>
    <w:p w14:paraId="24DABA96"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34DD1D"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65138C7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77D654" w14:textId="77777777" w:rsidR="008D38D6" w:rsidRPr="00D03F3E" w:rsidRDefault="008D38D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31 января 1944, пилотируя один из восьми истребителей F4F-4 Wildcat корпуса морской пехоты США, сопровождавших 12 пикирующих бомбардировщиков SBD-3 Dauntless, атакующих японское судно у побережья Коломбангара, старший лейтенант Джефферсон Дж. ДеБланк сбивает два гидросамолета Mitsubishi F1M 2 Императорского флота Японии (союзное имя «Пит») перед атакой истребителей ВВС Императорской армии Японии Накадзима Ки-43 Хаябуса (« Сокол-сапсан»; союзное название «Оскар»). Во время воздушного боя ДеБлан и его товарищ, пилот Wildcat, старший сержант Джеймс А. Фелитон используют тактику Thach Weave, которая позволяет ДеБланку сбить два Ki-43. После того, как Фелитон был сбит, ДеБлан сбил еще один Ki-43 - его пятая победа за день - прежде чем был сбит сам. Японский ас Такео Такахаши получил награду за то, что сбил обоих Wildcats. ДеБлан и Фелитон спускаются с парашютом в залив Велла, плывут в Коломбангара, спасаются береговыми наблюдателями и возвращаются на свою базу на Гуадалканале 12 февраля. ДеБлан получит Почетную медаль за полет (20376).</w:t>
      </w:r>
    </w:p>
    <w:p w14:paraId="006622AC" w14:textId="77777777" w:rsidR="008D38D6" w:rsidRPr="00D03F3E" w:rsidRDefault="008D38D6" w:rsidP="00D03F3E">
      <w:pPr>
        <w:spacing w:after="0" w:line="240" w:lineRule="auto"/>
        <w:jc w:val="both"/>
        <w:rPr>
          <w:rFonts w:ascii="Times New Roman" w:hAnsi="Times New Roman"/>
          <w:color w:val="0070C0"/>
          <w:sz w:val="16"/>
          <w:szCs w:val="16"/>
        </w:rPr>
      </w:pPr>
    </w:p>
    <w:p w14:paraId="3A00462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января 1943 адмирал Карл Дениц назначен командующим немецких ВМС (4962).</w:t>
      </w:r>
    </w:p>
    <w:p w14:paraId="378F7A31"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4F7C9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января 1941 а Карл Дениц был назначен главнокомандующим ВМФ Германии после отставки а Родера (3186).</w:t>
      </w:r>
    </w:p>
    <w:p w14:paraId="026BC86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F41AEA"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31 января</w:t>
      </w:r>
      <w:r w:rsidRPr="00D03F3E">
        <w:rPr>
          <w:rFonts w:ascii="Times New Roman" w:hAnsi="Times New Roman"/>
          <w:color w:val="000000" w:themeColor="text1"/>
          <w:sz w:val="16"/>
          <w:szCs w:val="16"/>
        </w:rPr>
        <w:t xml:space="preserve"> в 1943 году отставка главнокомандующего военно-морским флотом Германии гросс-адмирала Редера (ввиду разногласий с Гитлером по вопросу о списании крупных кораблей). Его преемник — гросс-адмирал Карл Дениц (15026).</w:t>
      </w:r>
    </w:p>
    <w:p w14:paraId="5EB97ABE" w14:textId="77777777" w:rsidR="006867CF" w:rsidRPr="00D03F3E" w:rsidRDefault="006867CF" w:rsidP="00D03F3E">
      <w:pPr>
        <w:spacing w:after="0" w:line="240" w:lineRule="auto"/>
        <w:jc w:val="both"/>
        <w:rPr>
          <w:rFonts w:ascii="Times New Roman" w:hAnsi="Times New Roman"/>
          <w:color w:val="000000" w:themeColor="text1"/>
          <w:sz w:val="16"/>
          <w:szCs w:val="16"/>
        </w:rPr>
      </w:pPr>
    </w:p>
    <w:p w14:paraId="0CA6C5FC"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31 января</w:t>
      </w:r>
      <w:r w:rsidRPr="00D03F3E">
        <w:rPr>
          <w:rFonts w:ascii="Times New Roman" w:hAnsi="Times New Roman"/>
          <w:color w:val="000000" w:themeColor="text1"/>
          <w:sz w:val="16"/>
          <w:szCs w:val="16"/>
        </w:rPr>
        <w:t xml:space="preserve"> в 1943 году генерал Эйзенхауэр был назначен верховным главнокомандующим союзными войсками в Северной Африке (15026).</w:t>
      </w:r>
    </w:p>
    <w:p w14:paraId="75060ACB" w14:textId="77777777" w:rsidR="006867CF" w:rsidRPr="00D03F3E" w:rsidRDefault="006867CF" w:rsidP="00D03F3E">
      <w:pPr>
        <w:spacing w:after="0" w:line="240" w:lineRule="auto"/>
        <w:jc w:val="both"/>
        <w:rPr>
          <w:rFonts w:ascii="Times New Roman" w:hAnsi="Times New Roman"/>
          <w:color w:val="000000" w:themeColor="text1"/>
          <w:sz w:val="16"/>
          <w:szCs w:val="16"/>
        </w:rPr>
      </w:pPr>
    </w:p>
    <w:p w14:paraId="03D8FB12"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31 января</w:t>
      </w:r>
      <w:r w:rsidRPr="00D03F3E">
        <w:rPr>
          <w:rFonts w:ascii="Times New Roman" w:hAnsi="Times New Roman"/>
          <w:color w:val="000000" w:themeColor="text1"/>
          <w:sz w:val="16"/>
          <w:szCs w:val="16"/>
        </w:rPr>
        <w:t xml:space="preserve"> в 1943 году немецкая разведка раскрыла шифр, который применяли Англия и США для связи с конвоями в Атлантике (15026).</w:t>
      </w:r>
    </w:p>
    <w:p w14:paraId="3624959D" w14:textId="77777777" w:rsidR="006867CF" w:rsidRPr="00D03F3E" w:rsidRDefault="006867CF" w:rsidP="00D03F3E">
      <w:pPr>
        <w:spacing w:after="0" w:line="240" w:lineRule="auto"/>
        <w:jc w:val="both"/>
        <w:rPr>
          <w:rFonts w:ascii="Times New Roman" w:hAnsi="Times New Roman"/>
          <w:color w:val="000000" w:themeColor="text1"/>
          <w:sz w:val="16"/>
          <w:szCs w:val="16"/>
        </w:rPr>
      </w:pPr>
    </w:p>
    <w:p w14:paraId="348C8B17"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EC0D02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FDC64E" w14:textId="77777777" w:rsidR="00E56A12" w:rsidRPr="00D03F3E" w:rsidRDefault="00E56A1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 концу января 1943 г. во 2-м отделе (от</w:t>
      </w:r>
      <w:r w:rsidRPr="00D03F3E">
        <w:rPr>
          <w:rFonts w:ascii="Times New Roman" w:cs="Times New Roman"/>
          <w:color w:val="000000" w:themeColor="text1"/>
          <w:spacing w:val="0"/>
        </w:rPr>
        <w:softHyphen/>
        <w:t>дел по изучению опыта войны) Оперативного управления штаба ВВС КА подготовили об</w:t>
      </w:r>
      <w:r w:rsidRPr="00D03F3E">
        <w:rPr>
          <w:rFonts w:ascii="Times New Roman" w:cs="Times New Roman"/>
          <w:color w:val="000000" w:themeColor="text1"/>
          <w:spacing w:val="0"/>
        </w:rPr>
        <w:softHyphen/>
        <w:t>стоятельный материал по живучести самолета Ил-2 от огня зенитной артиллерии и истреби</w:t>
      </w:r>
      <w:r w:rsidRPr="00D03F3E">
        <w:rPr>
          <w:rFonts w:ascii="Times New Roman" w:cs="Times New Roman"/>
          <w:color w:val="000000" w:themeColor="text1"/>
          <w:spacing w:val="0"/>
        </w:rPr>
        <w:softHyphen/>
        <w:t>телей противника (17478).</w:t>
      </w:r>
    </w:p>
    <w:p w14:paraId="43AD4DEA" w14:textId="77777777" w:rsidR="00E56A12" w:rsidRPr="00D03F3E" w:rsidRDefault="00E56A12" w:rsidP="00D03F3E">
      <w:pPr>
        <w:pStyle w:val="27"/>
        <w:shd w:val="clear" w:color="auto" w:fill="auto"/>
        <w:spacing w:after="0" w:line="240" w:lineRule="auto"/>
        <w:ind w:firstLine="0"/>
        <w:rPr>
          <w:rFonts w:ascii="Times New Roman" w:cs="Times New Roman"/>
          <w:color w:val="000000" w:themeColor="text1"/>
          <w:spacing w:val="0"/>
        </w:rPr>
      </w:pPr>
    </w:p>
    <w:p w14:paraId="6A92F0F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января 1943 в ОКБ П.О.С. был разработан проект двухместного двухмоторного бронированного штурмовика (ДДБШ) с М-71Ф и 4 членами экипажа (1454,71).</w:t>
      </w:r>
    </w:p>
    <w:p w14:paraId="2232D6E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6A0A1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января 1943 года. Телефонограмма по ВЧ Шахурину.</w:t>
      </w:r>
    </w:p>
    <w:p w14:paraId="66130A5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Докладываю, что самолет бронированный Пегас первый экземпляр начал летные испытания 2-го января 1943 года.</w:t>
      </w:r>
    </w:p>
    <w:p w14:paraId="037FDB7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Сделано два самолета, машина ведет себя нормально. Продолжаем испытания дальше. Замечаний со стороны летчика пока нет.</w:t>
      </w:r>
    </w:p>
    <w:p w14:paraId="5B11FD8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Постройка остальных 4-х машин задерживается из-за отсутствия кислорода, брони, мелких гвоздей и части сухого леса.</w:t>
      </w:r>
    </w:p>
    <w:p w14:paraId="5C37F37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Первый экземпляр самолета задерживается из-за отсутствия моторов и винтов.</w:t>
      </w:r>
    </w:p>
    <w:p w14:paraId="69840AB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Моторы прибыли 3-го декабря, винты 26-го декабря.</w:t>
      </w:r>
    </w:p>
    <w:p w14:paraId="099D3E8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Вас дать указания Омским заводам выдать нам 5-7 кб. метров сухого леса, гвоздей мелких по 10 кг, всего 30-40 кг, кислорода 4-5 баллонов.</w:t>
      </w:r>
    </w:p>
    <w:p w14:paraId="707434D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Также прошу добиться через НКТП указаний заводу N 174 об обеспечении нас броней в количестве 2-3 тонн размером 6, 8, 10 и 13 мм.</w:t>
      </w:r>
    </w:p>
    <w:p w14:paraId="351B91E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все это будет своевременно получено, то четыре машины будут выпущены также своевременно (1775,4).</w:t>
      </w:r>
    </w:p>
    <w:p w14:paraId="7DB9A33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B81DD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января 1943 г. макет истребителя Пе-2ВИ, оснащенного двумя моторами М-105ПД (с нагнетателями Н.А. Доллежаля), предъявили комиссии НИИ ВВС. Собственно, продемонстрированы были макет гермокабины (одноместной, только для летчика), винтомоторная группа с М-105ПД на опытном самолете Пе-2 зав. № 12/138, дистанционно управляемая оборонительная установка ДЭУ-1 с пулеметом УБК, почти готовый планер самолета Пе-2ВИ без моторов, а также чертежи и схемы. Площадь крыла самолета в будущем собирались увеличить на 2,5 м" с целью уменьшения посадочной скорости. Комиссия утвердила макет, внеся ряд мелких изменений (4476).</w:t>
      </w:r>
    </w:p>
    <w:p w14:paraId="135DDAC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9F196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января 1943 был готов макет истребителя Пе-2И с М-105ПД (нагнетатели Доллежаля) и его предъявили комиссии НИИ ВВС и прежде всего гермокабину и другие компоненты. Утвердили (235,5).</w:t>
      </w:r>
    </w:p>
    <w:p w14:paraId="7C9E49B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7F3F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января 1943 г. макет истребителя Пе-2ВИ с двумя моторами М-105ПД (с нагнетателями конструкции Доллежаля) предъявили комиссии НИИ ВВС. Демонстрировались макет гермокабины (одноместной, только для летчика), винтомоторная группа с М-105ПД на опытном самолете Пе-2 зав. № 12/138, дистанционно управляемая оборонительная установка ДЭУ-1 с пулеметом УБК, почти готовый планер самолета Пе-2ВИ без моторов, а также чертежи и схемы. Площадь крыла самолета в будущем собирались увеличить на 2,5 м- с целью уменьшения посадочной скорости. Комиссия утвердила макет, внеся ряд мелких изменений.</w:t>
      </w:r>
    </w:p>
    <w:p w14:paraId="2FA3F2A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самолет Пе-2ВИ зав. №15/161 был готов к полетам. Сразу выявились дефекты гермокабины, в которой уже при рулении быстро нарастала температура и запотевали стекла. Впрочем, конструктор А.И. Путилов рассчитывал быстро управиться с недостатками, а пока доложил руководству: высотный истребитель, созданный на базе Пе-2, уже летает. Результат доклада оказался ошеломляющим.</w:t>
      </w:r>
    </w:p>
    <w:p w14:paraId="3FA0CB5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то время авиация флота испытывала большую нужду в дальнем двухмоторном истребителе для прикрытия северных конвоев, операций легких сил на Черном море и т.п. По прошествии полугода с момента прекращения производства Пе-Збис и разведывательные полки ВВС КА нуждались в пополнении, поскольку по дальности полета серийный вариант Пе-2 "разведчик" уступал "тройке". Как всегда на войне, самолеты нужны были немедленно. Поэтому 28 мая 1943 г. ГКО своим постановлением обязал завод № 22 приступить со следующего месяца к серийному выпуску... истребителей Пе-3. Никаких гермокабин, дистанционно управляемых пулеметов, нагнетателей Доллежаля - использовать только серийно выпускающиеся моторы и оборудование. Детально ознакомившись с тактико-техничес- кими требованиями, Путилов понял: ему фактически приказали организовать постройку Пе-2И образца 1941 г., но с моторами М-105ПФ. План предусматривал выпуск в июне двух опытных машин, а в июле - уже 25 серийных.</w:t>
      </w:r>
    </w:p>
    <w:p w14:paraId="16A54D7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Предписывалось снять с "нормального" серийного Пе-2 пулемет и броню стрелка радиста, разместив на освободившемся месте 500-литровый бензобак. Внутрифюзеляжная бомбардировочная установка ликвидировалась, на месте бомбоогсека требовалось смонтировать две пушки ШВАК со 160 снарядами на ствол. В носовом коке оставался пулемет УБК с боекомплектом 150 патронов, а в хвостовом следовало разместить пулемет ШКАС. Реализовывать это указание наркомата довелось уже новому главному конструктору по самолету Пе-2 В.М. Мяси- шеву. Впрочем, вскоре вместо истребителей Пе-3 завод получил задание развернуть серийное производство Пе-2 с моторами М-82. После выпуска небольшой серии машин, отличавшихся обилием дефектов винтомоторной группы, завод прекратил их постройку осенью 1943 г. И тут снова возник вопрос о Пе-3...</w:t>
      </w:r>
    </w:p>
    <w:p w14:paraId="5E9A13B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этому времени ОКБ завода № 22 разработало новую, более совершенную установку штурмана, получившую обозначение "ФЗ" - "фронтовое задание". Вместе с модифицированным фонарем кабины пилота она позволяла заметно повысить боевые качества Пс-2. В конце 1943 г. ее решили смонтировать на новый вариант двухмоторного истребителя Пе-3, производство которого возобновлялось на казанском заводе в соответствии с распоряжением наркомата авиапромышленности. Другим нововведением должно было стать крыло с модифицированным профилем носка, значительно улучшавшим поведение машины при посадке (12042).</w:t>
      </w:r>
    </w:p>
    <w:p w14:paraId="57F4325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3D31E4"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CAFC75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7EB0A4" w14:textId="77777777" w:rsidR="001266A9" w:rsidRPr="00D03F3E" w:rsidRDefault="001266A9" w:rsidP="00D03F3E">
      <w:pPr>
        <w:pStyle w:val="a3"/>
        <w:rPr>
          <w:color w:val="000000" w:themeColor="text1"/>
          <w:lang w:val="ru-RU"/>
        </w:rPr>
      </w:pPr>
      <w:r w:rsidRPr="00D03F3E">
        <w:rPr>
          <w:color w:val="000000" w:themeColor="text1"/>
          <w:lang w:val="ru-RU"/>
        </w:rPr>
        <w:t>В конце января 1943 г. в Наркомат танковой промышленности из Главного разведыватель</w:t>
      </w:r>
      <w:r w:rsidRPr="00D03F3E">
        <w:rPr>
          <w:color w:val="000000" w:themeColor="text1"/>
          <w:lang w:val="ru-RU"/>
        </w:rPr>
        <w:softHyphen/>
        <w:t>ного управления Красной Армии за подписями начальника 3-го управления ГРУ и начальника 1-го отдела 3-го управления на имя замнаркома Ж.Я. Котина поступила информация сле</w:t>
      </w:r>
      <w:r w:rsidRPr="00D03F3E">
        <w:rPr>
          <w:color w:val="000000" w:themeColor="text1"/>
          <w:lang w:val="ru-RU"/>
        </w:rPr>
        <w:softHyphen/>
        <w:t>дующего содержания:</w:t>
      </w:r>
    </w:p>
    <w:p w14:paraId="7D4B5638" w14:textId="77777777" w:rsidR="001266A9" w:rsidRPr="00D03F3E" w:rsidRDefault="001266A9" w:rsidP="00D03F3E">
      <w:pPr>
        <w:pStyle w:val="6a"/>
        <w:shd w:val="clear" w:color="auto" w:fill="auto"/>
        <w:spacing w:before="0" w:line="240" w:lineRule="auto"/>
        <w:rPr>
          <w:rFonts w:ascii="Times New Roman" w:hAnsi="Times New Roman"/>
          <w:color w:val="000000" w:themeColor="text1"/>
          <w:sz w:val="16"/>
          <w:szCs w:val="16"/>
        </w:rPr>
      </w:pPr>
      <w:r w:rsidRPr="00D03F3E">
        <w:rPr>
          <w:rFonts w:ascii="Times New Roman" w:hAnsi="Times New Roman"/>
          <w:color w:val="000000" w:themeColor="text1"/>
          <w:sz w:val="16"/>
          <w:szCs w:val="16"/>
        </w:rPr>
        <w:t>«Сообщаю сведения о новых типах танков противника, захваченных войсками Ленин</w:t>
      </w:r>
      <w:r w:rsidRPr="00D03F3E">
        <w:rPr>
          <w:rFonts w:ascii="Times New Roman" w:hAnsi="Times New Roman"/>
          <w:color w:val="000000" w:themeColor="text1"/>
          <w:sz w:val="16"/>
          <w:szCs w:val="16"/>
        </w:rPr>
        <w:softHyphen/>
        <w:t>градского и Волховского фронтов южнее Ладожского озера:</w:t>
      </w:r>
    </w:p>
    <w:p w14:paraId="4E37AFF5" w14:textId="77777777" w:rsidR="001266A9" w:rsidRPr="00D03F3E" w:rsidRDefault="001266A9" w:rsidP="00D03F3E">
      <w:pPr>
        <w:pStyle w:val="6a"/>
        <w:shd w:val="clear" w:color="auto" w:fill="auto"/>
        <w:spacing w:before="0" w:line="240" w:lineRule="auto"/>
        <w:rPr>
          <w:rFonts w:ascii="Times New Roman" w:hAnsi="Times New Roman"/>
          <w:color w:val="000000" w:themeColor="text1"/>
          <w:sz w:val="16"/>
          <w:szCs w:val="16"/>
        </w:rPr>
      </w:pPr>
      <w:r w:rsidRPr="00D03F3E">
        <w:rPr>
          <w:rFonts w:ascii="Times New Roman" w:hAnsi="Times New Roman"/>
          <w:color w:val="000000" w:themeColor="text1"/>
          <w:sz w:val="16"/>
          <w:szCs w:val="16"/>
        </w:rPr>
        <w:t>I тип:</w:t>
      </w:r>
    </w:p>
    <w:p w14:paraId="49662F88" w14:textId="77777777" w:rsidR="001266A9" w:rsidRPr="00D03F3E" w:rsidRDefault="001266A9" w:rsidP="00D03F3E">
      <w:pPr>
        <w:pStyle w:val="6a"/>
        <w:shd w:val="clear" w:color="auto" w:fill="auto"/>
        <w:tabs>
          <w:tab w:val="left" w:pos="434"/>
        </w:tabs>
        <w:spacing w:before="0" w:line="240" w:lineRule="auto"/>
        <w:rPr>
          <w:rFonts w:ascii="Times New Roman" w:hAnsi="Times New Roman"/>
          <w:color w:val="000000" w:themeColor="text1"/>
          <w:sz w:val="16"/>
          <w:szCs w:val="16"/>
        </w:rPr>
      </w:pPr>
      <w:r w:rsidRPr="00D03F3E">
        <w:rPr>
          <w:rFonts w:ascii="Times New Roman" w:hAnsi="Times New Roman"/>
          <w:color w:val="000000" w:themeColor="text1"/>
          <w:sz w:val="16"/>
          <w:szCs w:val="16"/>
        </w:rPr>
        <w:t>Боевой вес 75-80 т.</w:t>
      </w:r>
    </w:p>
    <w:p w14:paraId="703A52F7" w14:textId="77777777" w:rsidR="001266A9" w:rsidRPr="00D03F3E" w:rsidRDefault="001266A9" w:rsidP="00D03F3E">
      <w:pPr>
        <w:pStyle w:val="6a"/>
        <w:shd w:val="clear" w:color="auto" w:fill="auto"/>
        <w:tabs>
          <w:tab w:val="left" w:pos="505"/>
        </w:tabs>
        <w:spacing w:before="0" w:line="240" w:lineRule="auto"/>
        <w:rPr>
          <w:rFonts w:ascii="Times New Roman" w:hAnsi="Times New Roman"/>
          <w:color w:val="000000" w:themeColor="text1"/>
          <w:sz w:val="16"/>
          <w:szCs w:val="16"/>
        </w:rPr>
      </w:pPr>
      <w:r w:rsidRPr="00D03F3E">
        <w:rPr>
          <w:rFonts w:ascii="Times New Roman" w:hAnsi="Times New Roman"/>
          <w:color w:val="000000" w:themeColor="text1"/>
          <w:sz w:val="16"/>
          <w:szCs w:val="16"/>
        </w:rPr>
        <w:t>Размеры: длина 6,2 м; ширина 3,6 м; высота 2,95 м.</w:t>
      </w:r>
    </w:p>
    <w:p w14:paraId="088DB06A" w14:textId="77777777" w:rsidR="001266A9" w:rsidRPr="00D03F3E" w:rsidRDefault="001266A9" w:rsidP="00D03F3E">
      <w:pPr>
        <w:pStyle w:val="6a"/>
        <w:shd w:val="clear" w:color="auto" w:fill="auto"/>
        <w:tabs>
          <w:tab w:val="left" w:pos="476"/>
        </w:tabs>
        <w:spacing w:before="0" w:line="240" w:lineRule="auto"/>
        <w:rPr>
          <w:rFonts w:ascii="Times New Roman" w:hAnsi="Times New Roman"/>
          <w:color w:val="000000" w:themeColor="text1"/>
          <w:sz w:val="16"/>
          <w:szCs w:val="16"/>
        </w:rPr>
      </w:pPr>
      <w:r w:rsidRPr="00D03F3E">
        <w:rPr>
          <w:rFonts w:ascii="Times New Roman" w:hAnsi="Times New Roman"/>
          <w:color w:val="000000" w:themeColor="text1"/>
          <w:sz w:val="16"/>
          <w:szCs w:val="16"/>
        </w:rPr>
        <w:t>Броня: лобовая 110 мм; бортовая 75 мм; горизонтальная 30 мм; кормовая 80 мм; щиток водителя 190 мм.</w:t>
      </w:r>
    </w:p>
    <w:p w14:paraId="3EB58E87" w14:textId="77777777" w:rsidR="001266A9" w:rsidRPr="00D03F3E" w:rsidRDefault="001266A9" w:rsidP="00D03F3E">
      <w:pPr>
        <w:pStyle w:val="6a"/>
        <w:shd w:val="clear" w:color="auto" w:fill="auto"/>
        <w:tabs>
          <w:tab w:val="left" w:pos="510"/>
        </w:tabs>
        <w:spacing w:before="0" w:line="240" w:lineRule="auto"/>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одна 88 мм пушка; два 7,6 мм пулемета.</w:t>
      </w:r>
    </w:p>
    <w:p w14:paraId="56299779" w14:textId="77777777" w:rsidR="001266A9" w:rsidRPr="00D03F3E" w:rsidRDefault="001266A9" w:rsidP="00D03F3E">
      <w:pPr>
        <w:pStyle w:val="6a"/>
        <w:shd w:val="clear" w:color="auto" w:fill="auto"/>
        <w:tabs>
          <w:tab w:val="left" w:pos="463"/>
        </w:tabs>
        <w:spacing w:before="0" w:line="240" w:lineRule="auto"/>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 5 человек».</w:t>
      </w:r>
    </w:p>
    <w:p w14:paraId="14A4F346" w14:textId="77777777" w:rsidR="001266A9" w:rsidRPr="00D03F3E" w:rsidRDefault="001266A9" w:rsidP="00D03F3E">
      <w:pPr>
        <w:pStyle w:val="a3"/>
        <w:rPr>
          <w:color w:val="000000" w:themeColor="text1"/>
          <w:lang w:val="ru-RU"/>
        </w:rPr>
      </w:pPr>
      <w:r w:rsidRPr="00D03F3E">
        <w:rPr>
          <w:color w:val="000000" w:themeColor="text1"/>
          <w:lang w:val="ru-RU"/>
        </w:rPr>
        <w:t>Как видим, марка танка еще не была названа, а технические параметры были определены визуально с большой долей погрешности (12617).</w:t>
      </w:r>
    </w:p>
    <w:p w14:paraId="171570A4" w14:textId="77777777" w:rsidR="001266A9" w:rsidRPr="00D03F3E" w:rsidRDefault="001266A9" w:rsidP="00D03F3E">
      <w:pPr>
        <w:pStyle w:val="a3"/>
        <w:rPr>
          <w:color w:val="000000" w:themeColor="text1"/>
          <w:lang w:val="ru-RU"/>
        </w:rPr>
      </w:pPr>
    </w:p>
    <w:p w14:paraId="2C8EFD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января 1943 г. конструкторская группа А.Н. Каштанова была усиле</w:t>
      </w:r>
      <w:r w:rsidRPr="00D03F3E">
        <w:rPr>
          <w:rFonts w:ascii="Times New Roman" w:hAnsi="Times New Roman"/>
          <w:color w:val="000000" w:themeColor="text1"/>
          <w:sz w:val="16"/>
          <w:szCs w:val="16"/>
        </w:rPr>
        <w:softHyphen/>
        <w:t>на конструкторами завода № 37 и приступила к спешной ра</w:t>
      </w:r>
      <w:r w:rsidRPr="00D03F3E">
        <w:rPr>
          <w:rFonts w:ascii="Times New Roman" w:hAnsi="Times New Roman"/>
          <w:color w:val="000000" w:themeColor="text1"/>
          <w:sz w:val="16"/>
          <w:szCs w:val="16"/>
        </w:rPr>
        <w:softHyphen/>
        <w:t>боте над СУ-76(Т-Ш). Времени было мало, так как 1 марта опытный образец должен был пройти ходовые испытания.</w:t>
      </w:r>
    </w:p>
    <w:p w14:paraId="049FDAA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отличие от СГ-122, рубка в новой САУ была улучшена. В частности, она получила наклонные борта, что повысило их прочность от 37-мм бронебойных снарядов. Первона</w:t>
      </w:r>
      <w:r w:rsidRPr="00D03F3E">
        <w:rPr>
          <w:rFonts w:ascii="Times New Roman" w:hAnsi="Times New Roman"/>
          <w:color w:val="000000" w:themeColor="text1"/>
          <w:sz w:val="16"/>
          <w:szCs w:val="16"/>
        </w:rPr>
        <w:softHyphen/>
        <w:t>чально планировалось установить в боевом отделении САУ 76,2-мм пушку ЗИС-3 или Ф-22УСВ на станке, укреплен</w:t>
      </w:r>
      <w:r w:rsidRPr="00D03F3E">
        <w:rPr>
          <w:rFonts w:ascii="Times New Roman" w:hAnsi="Times New Roman"/>
          <w:color w:val="000000" w:themeColor="text1"/>
          <w:sz w:val="16"/>
          <w:szCs w:val="16"/>
        </w:rPr>
        <w:softHyphen/>
        <w:t>ном к полу (по типу уже испытанной на У-31/32), но такая установка имела те же недостатки, что и У-35, к тому же тум</w:t>
      </w:r>
      <w:r w:rsidRPr="00D03F3E">
        <w:rPr>
          <w:rFonts w:ascii="Times New Roman" w:hAnsi="Times New Roman"/>
          <w:color w:val="000000" w:themeColor="text1"/>
          <w:sz w:val="16"/>
          <w:szCs w:val="16"/>
        </w:rPr>
        <w:softHyphen/>
        <w:t>ба «съедала» часть полезного внутреннего объема САУ.</w:t>
      </w:r>
    </w:p>
    <w:p w14:paraId="03936F7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Поэтому по эскизу завода № 592 ЦАКБ на базе конст</w:t>
      </w:r>
      <w:r w:rsidRPr="00D03F3E">
        <w:rPr>
          <w:rFonts w:ascii="Times New Roman" w:hAnsi="Times New Roman"/>
          <w:color w:val="000000" w:themeColor="text1"/>
          <w:sz w:val="16"/>
          <w:szCs w:val="16"/>
        </w:rPr>
        <w:softHyphen/>
        <w:t>рукции танковой пушки Ф-34 подало «самоходную» пушку С-1 в рамочной установке. Орудие предназначалось для лег</w:t>
      </w:r>
      <w:r w:rsidRPr="00D03F3E">
        <w:rPr>
          <w:rFonts w:ascii="Times New Roman" w:hAnsi="Times New Roman"/>
          <w:color w:val="000000" w:themeColor="text1"/>
          <w:sz w:val="16"/>
          <w:szCs w:val="16"/>
        </w:rPr>
        <w:softHyphen/>
        <w:t>ких САУ НИИ-13 и было доработано для СУ-76(Т-Ш).</w:t>
      </w:r>
    </w:p>
    <w:p w14:paraId="4A27F05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Установка орудия "С-1 в боевой рубке новой САУ не вызвала никаких проблем. Но предложенная ГАЗом бро</w:t>
      </w:r>
      <w:r w:rsidRPr="00D03F3E">
        <w:rPr>
          <w:rFonts w:ascii="Times New Roman" w:hAnsi="Times New Roman"/>
          <w:color w:val="000000" w:themeColor="text1"/>
          <w:sz w:val="16"/>
          <w:szCs w:val="16"/>
        </w:rPr>
        <w:softHyphen/>
        <w:t>нировка орудия была сочтена сложной, и в срок пять дней завод № 592 совместно с УЗТМ предложили решение, ус</w:t>
      </w:r>
      <w:r w:rsidRPr="00D03F3E">
        <w:rPr>
          <w:rFonts w:ascii="Times New Roman" w:hAnsi="Times New Roman"/>
          <w:color w:val="000000" w:themeColor="text1"/>
          <w:sz w:val="16"/>
          <w:szCs w:val="16"/>
        </w:rPr>
        <w:softHyphen/>
        <w:t>троившее всех, — литая орудийная маска (11417).</w:t>
      </w:r>
    </w:p>
    <w:p w14:paraId="793AFCD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036EEB" w14:textId="77777777" w:rsidR="00E56A12" w:rsidRPr="00D03F3E" w:rsidRDefault="00E56A12" w:rsidP="00D03F3E">
      <w:pPr>
        <w:pStyle w:val="162"/>
        <w:shd w:val="clear" w:color="auto" w:fill="auto"/>
        <w:spacing w:line="240" w:lineRule="auto"/>
        <w:jc w:val="both"/>
        <w:rPr>
          <w:color w:val="000000" w:themeColor="text1"/>
          <w:sz w:val="16"/>
          <w:szCs w:val="16"/>
        </w:rPr>
      </w:pPr>
      <w:r w:rsidRPr="00D03F3E">
        <w:rPr>
          <w:rFonts w:eastAsia="Calibri"/>
          <w:color w:val="000000" w:themeColor="text1"/>
          <w:sz w:val="16"/>
          <w:szCs w:val="16"/>
        </w:rPr>
        <w:t>В конце января 1943 года на ГАЗ началось производство бронесаней из корпусов Т-60, в январе же начался выпуск саней и в Са</w:t>
      </w:r>
      <w:r w:rsidRPr="00D03F3E">
        <w:rPr>
          <w:rFonts w:eastAsia="Calibri"/>
          <w:color w:val="000000" w:themeColor="text1"/>
          <w:sz w:val="16"/>
          <w:szCs w:val="16"/>
        </w:rPr>
        <w:softHyphen/>
        <w:t>ратове. Помимо бронесаней на базе Т-60, завод № 180 также выпустил партию из 18 саней с использованием корпусов танка Т-50. К слову, в войсках бронированные сани на базе Т-60 применили еще до по</w:t>
      </w:r>
      <w:r w:rsidRPr="00D03F3E">
        <w:rPr>
          <w:rFonts w:eastAsia="Calibri"/>
          <w:color w:val="000000" w:themeColor="text1"/>
          <w:sz w:val="16"/>
          <w:szCs w:val="16"/>
        </w:rPr>
        <w:softHyphen/>
        <w:t>явления серийных образцов. Согласно переписке по ГАБТУ, в частях 65-й армии осенью-зимой 1942 года успешно использовались корпуса Т-60 (речь идет, скорее всего, о заделе завода № 264), установленные на полозья и цепляемые за танки.</w:t>
      </w:r>
    </w:p>
    <w:p w14:paraId="09C315E6" w14:textId="77777777" w:rsidR="00E56A12" w:rsidRPr="00D03F3E" w:rsidRDefault="00E56A12" w:rsidP="00D03F3E">
      <w:pPr>
        <w:pStyle w:val="162"/>
        <w:shd w:val="clear" w:color="auto" w:fill="auto"/>
        <w:spacing w:line="240" w:lineRule="auto"/>
        <w:jc w:val="both"/>
        <w:rPr>
          <w:color w:val="000000" w:themeColor="text1"/>
          <w:sz w:val="16"/>
          <w:szCs w:val="16"/>
        </w:rPr>
      </w:pPr>
      <w:r w:rsidRPr="00D03F3E">
        <w:rPr>
          <w:rFonts w:eastAsia="Calibri"/>
          <w:color w:val="000000" w:themeColor="text1"/>
          <w:sz w:val="16"/>
          <w:szCs w:val="16"/>
        </w:rPr>
        <w:t>По состоянию на 3 марта 1943 года ГАЗ им. Молотова изготовил 250 бронесаней, из которых 35 отравили в 1-ю Танковую Армию, 75 на Западный фронт и 41 на Северо-Западный фронт. Кроме того, завод № 180 выпустил 24 единицы бронесаней, отправленных на Ка</w:t>
      </w:r>
      <w:r w:rsidRPr="00D03F3E">
        <w:rPr>
          <w:rFonts w:eastAsia="Calibri"/>
          <w:color w:val="000000" w:themeColor="text1"/>
          <w:sz w:val="16"/>
          <w:szCs w:val="16"/>
        </w:rPr>
        <w:softHyphen/>
        <w:t>лининский фронт. По состоянию на 21 декабря 1943 года на складах находилось 120 десантных саней, которые планировалось передать в войска: 60 на 2-й Прибалтийский фронт, 30 на 1-й Прибалтийский фронт и 30 на Белорусский фронт. Точное число выпущенных саней БП-60 неизвестно, но суммарный выпуск на ГАЗ им. Молотова и заво</w:t>
      </w:r>
      <w:r w:rsidRPr="00D03F3E">
        <w:rPr>
          <w:rFonts w:eastAsia="Calibri"/>
          <w:color w:val="000000" w:themeColor="text1"/>
          <w:sz w:val="16"/>
          <w:szCs w:val="16"/>
        </w:rPr>
        <w:softHyphen/>
        <w:t>де № 180 оценивается в районе 300 штук (17485).</w:t>
      </w:r>
    </w:p>
    <w:p w14:paraId="1C2BDAF2" w14:textId="77777777" w:rsidR="00E56A12" w:rsidRPr="00D03F3E" w:rsidRDefault="00E56A12" w:rsidP="00D03F3E">
      <w:pPr>
        <w:pStyle w:val="a3"/>
        <w:rPr>
          <w:color w:val="000000" w:themeColor="text1"/>
          <w:lang w:val="ru-RU"/>
        </w:rPr>
      </w:pPr>
    </w:p>
    <w:p w14:paraId="597B26D7" w14:textId="77777777" w:rsidR="009614F5" w:rsidRPr="00D03F3E" w:rsidRDefault="009614F5"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конце января 1943 года производство саней из корпусов Т-60 началось на ГАЗ, а в январе начался выпуск саней в Саратове. Помимо бронесаней на базе Т-60, завод №180 выпустил партию из 18 саней с использованием корпусов танка Т-50. В войсках бронированные сани на базе Т-60 впервые были использованы ещё до появления серийных образцов. Согласно переписке по ГАБТУ, в частях 65-й армии осенью-зимой 1942 года успешно использовались корпуса Т-60 (речь идет, скорее всего, о заделе завода №264), установленные на полозья и цепляемые за танки (17711).</w:t>
      </w:r>
    </w:p>
    <w:p w14:paraId="648DF765" w14:textId="77777777" w:rsidR="009614F5" w:rsidRPr="00D03F3E" w:rsidRDefault="009614F5" w:rsidP="00D03F3E">
      <w:pPr>
        <w:pStyle w:val="12a"/>
        <w:shd w:val="clear" w:color="auto" w:fill="auto"/>
        <w:spacing w:after="0" w:line="240" w:lineRule="auto"/>
        <w:jc w:val="both"/>
        <w:rPr>
          <w:color w:val="000000" w:themeColor="text1"/>
          <w:sz w:val="16"/>
          <w:szCs w:val="16"/>
        </w:rPr>
      </w:pPr>
    </w:p>
    <w:p w14:paraId="3558D01C"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2B3483A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ABBACC" w14:textId="77777777" w:rsidR="006867CF" w:rsidRPr="00D03F3E" w:rsidRDefault="006867C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января 1943 г. главное командование сухопутных войск вермахта (ОКХ) разработало план формирования 20 новых дивизий взамен уничтоженных под Ста</w:t>
      </w:r>
      <w:r w:rsidRPr="00D03F3E">
        <w:rPr>
          <w:rFonts w:ascii="Times New Roman" w:hAnsi="Times New Roman"/>
          <w:color w:val="000000" w:themeColor="text1"/>
          <w:sz w:val="16"/>
          <w:szCs w:val="16"/>
        </w:rPr>
        <w:softHyphen/>
        <w:t>линградом. Предполагалось в течение 4—5 месяцев мобилизовать в вооруженные силы 800 тыс. человек. Значительную часть призываемых приходилось изымать из военных предприятий. Несмотря на призыв в армию немцев, проживавших в оккупи</w:t>
      </w:r>
      <w:r w:rsidRPr="00D03F3E">
        <w:rPr>
          <w:rFonts w:ascii="Times New Roman" w:hAnsi="Times New Roman"/>
          <w:color w:val="000000" w:themeColor="text1"/>
          <w:sz w:val="16"/>
          <w:szCs w:val="16"/>
        </w:rPr>
        <w:softHyphen/>
        <w:t>рованных странах Европы, к лету 1943 г. в вермахт удалось мобилизовать только 600 тыс. человек. В свою очередь, монополии в первом квартале 1943 г. потребовали дополнительно 800 тыс. рабочих (15483).</w:t>
      </w:r>
    </w:p>
    <w:p w14:paraId="0F29D3C4" w14:textId="77777777" w:rsidR="006867CF" w:rsidRPr="00D03F3E" w:rsidRDefault="006867CF" w:rsidP="00D03F3E">
      <w:pPr>
        <w:spacing w:after="0" w:line="240" w:lineRule="auto"/>
        <w:jc w:val="both"/>
        <w:rPr>
          <w:rFonts w:ascii="Times New Roman" w:hAnsi="Times New Roman"/>
          <w:color w:val="000000" w:themeColor="text1"/>
          <w:sz w:val="16"/>
          <w:szCs w:val="16"/>
        </w:rPr>
      </w:pPr>
    </w:p>
    <w:p w14:paraId="52ADCDC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конце января 1943 г. четверка "Фокке-Вульфов" обер-лейтенанта Шака внезапно атаковала и сбила всю девятку Пе-2, возвращавшуюся с задания без </w:t>
      </w:r>
      <w:r w:rsidRPr="00D03F3E">
        <w:rPr>
          <w:rFonts w:ascii="Times New Roman" w:hAnsi="Times New Roman"/>
          <w:color w:val="000000" w:themeColor="text1"/>
          <w:sz w:val="16"/>
          <w:szCs w:val="16"/>
        </w:rPr>
        <w:lastRenderedPageBreak/>
        <w:t>истребительного прикрытия (9020).</w:t>
      </w:r>
    </w:p>
    <w:p w14:paraId="70BB773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D9A73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конца января 1943 танковая армия получила войсковую авиацию - полк связи из По-2 (иногда - эскадрилья) (2606,35).</w:t>
      </w:r>
    </w:p>
    <w:p w14:paraId="52EFC26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023E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концу января 1943 года два первых самоходно-артиллерийских полка, вооруженных "штурмовой самоходной пушкой поддержки пехотных и танковых подразделений СУ-76" отправились на Волховский фронт (3862).</w:t>
      </w:r>
    </w:p>
    <w:p w14:paraId="182517E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время боевого применения и проявились недостатки параллельной схемы силовой установки СУ-12, проявившиеся в возникновении резонансных крутильных колебаний, которые приводили к быстрой поломке КПП. Колебания проявлялись в режиме самой нагруженной 2-й скорости КПП и происходили из-за невозможности синхронизации работы двух двигателей ГАЗ-202 на общем валу (3862).</w:t>
      </w:r>
    </w:p>
    <w:p w14:paraId="621303D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86F97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января 1943 два первых самоходно-артиллерийских полка смешанной организации (1433-й и 1434-й сап) отправили на Волховский фронт для участия в прорыве блокады Ленинграда (3862).</w:t>
      </w:r>
    </w:p>
    <w:p w14:paraId="6B1C2F9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5A1E34" w14:textId="77777777" w:rsidR="006867CF" w:rsidRPr="00D03F3E" w:rsidRDefault="006867CF"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января 1943 года два первых сформированных полка (1433-й и 1434-й) решением ставки ВГК были направлены на Волховский фронт для использования их в качестве артиллерии сопровождения пехоты и танков. В результате первого опыта боевого применения самоходных установок было выявлено конструктивное несовершенство трансмиссии, связанное с параллельной установкой двух карбюраторных двигателей и двух коробок передач, работавших на один общий грузовой вал, а также плохие условия обзора местности экипажем, что потребовало существенной доработки конструкции машины. В марте 1943 года завод №38 из-за систематических поломок коробок передач был вынужден временно приостановить серийное производство СУ-76 (15218).</w:t>
      </w:r>
    </w:p>
    <w:p w14:paraId="234577DA" w14:textId="77777777" w:rsidR="006867CF" w:rsidRPr="00D03F3E" w:rsidRDefault="006867CF" w:rsidP="00D03F3E">
      <w:pPr>
        <w:widowControl w:val="0"/>
        <w:spacing w:after="0" w:line="240" w:lineRule="auto"/>
        <w:jc w:val="both"/>
        <w:rPr>
          <w:rFonts w:ascii="Times New Roman" w:hAnsi="Times New Roman"/>
          <w:color w:val="000000" w:themeColor="text1"/>
          <w:sz w:val="16"/>
          <w:szCs w:val="16"/>
        </w:rPr>
      </w:pPr>
    </w:p>
    <w:p w14:paraId="3B139A32" w14:textId="77777777" w:rsidR="001266A9" w:rsidRPr="00D03F3E" w:rsidRDefault="001266A9"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января 1943 г. первые два советских самоходно артиллерийских полка оказались на Волховском фронте (11300).</w:t>
      </w:r>
    </w:p>
    <w:p w14:paraId="7A0F4C3F" w14:textId="77777777" w:rsidR="001266A9" w:rsidRPr="00D03F3E" w:rsidRDefault="001266A9"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ED162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января 1943 года первые два полка самоходных орудий, вооруженных Су-76 и Су-122, прибыли на фронт под Ленинградом (3862).</w:t>
      </w:r>
    </w:p>
    <w:p w14:paraId="1D77CD6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0EDBB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января 1943 г. на Волховский фронт были направлены первые два артиллерийских самоходных полка - №№ 1433 и 1434, где приняли участие в боях по прорыву блокады Ленинграда. Они состояли из 6 батарей по 4 СУ (всего 17 СУ-76 и 8 СУ-122). Опыт боев показал полную пригодность этих СУ для сопровождения танков и пехоты. Выпуск СУ-122 на УЗТМ (всего их было выпущено около 650) продолжался до осени 1943 г., когда их сменили СУ-85 (3905).</w:t>
      </w:r>
    </w:p>
    <w:p w14:paraId="0D0F5D9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860B20" w14:textId="77777777" w:rsidR="00C84258" w:rsidRPr="00D03F3E"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января 1943 года первые самоходно-артиллерийские полки (1433 и 1434), которые предназначались для передачи в танковые и механизированные корпуса, в связи с начавшейся операцией по прорыву блокады Ленинграда были отправлены на Волховский фронт (9636).</w:t>
      </w:r>
    </w:p>
    <w:p w14:paraId="2E6596FA" w14:textId="77777777" w:rsidR="00C84258" w:rsidRPr="00D03F3E"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p>
    <w:p w14:paraId="0A5DD22F"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C5514F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13056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Начиная с января 1943 г. форсированные моторы АМ- 38ф стали устанавливаться на все серийные штурмовики Ил-2, как одноместные, так и двухместные. К этому времени заводу № 24 удалось изготовить 377 моторов АМ-38ф.</w:t>
      </w:r>
    </w:p>
    <w:p w14:paraId="2FC4066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 установкой на Ил-2 моторов АМ-38ф, имевших большую, чем моторы АМ-38, теплоотдачу в масло, на самоле</w:t>
      </w:r>
      <w:r w:rsidRPr="00D03F3E">
        <w:rPr>
          <w:rFonts w:ascii="Times New Roman" w:hAnsi="Times New Roman"/>
          <w:color w:val="000000" w:themeColor="text1"/>
          <w:sz w:val="16"/>
          <w:szCs w:val="16"/>
        </w:rPr>
        <w:softHyphen/>
        <w:t>тах стали устанавливаться маслорадиаторы ОП-446 с увели</w:t>
      </w:r>
      <w:r w:rsidRPr="00D03F3E">
        <w:rPr>
          <w:rFonts w:ascii="Times New Roman" w:hAnsi="Times New Roman"/>
          <w:color w:val="000000" w:themeColor="text1"/>
          <w:sz w:val="16"/>
          <w:szCs w:val="16"/>
        </w:rPr>
        <w:softHyphen/>
        <w:t>ченной поверхностью охлаждения.</w:t>
      </w:r>
    </w:p>
    <w:p w14:paraId="0E37901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 как ОП-446 был больше радиатора ОП-321 по высоте на 30 мм, то для его установки потребовалось увеличить габа</w:t>
      </w:r>
      <w:r w:rsidRPr="00D03F3E">
        <w:rPr>
          <w:rFonts w:ascii="Times New Roman" w:hAnsi="Times New Roman"/>
          <w:color w:val="000000" w:themeColor="text1"/>
          <w:sz w:val="16"/>
          <w:szCs w:val="16"/>
        </w:rPr>
        <w:softHyphen/>
        <w:t>риты бронекоробки путем уширения ее боковых стенок 30-мм вставками.</w:t>
      </w:r>
    </w:p>
    <w:p w14:paraId="049F8BF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Увеличение площади входного отверстия тоннеля маслора-диатора потребовало увеличения и габаритов бронезаслонок.</w:t>
      </w:r>
    </w:p>
    <w:p w14:paraId="77C837E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переходе к двухместному варианту размер основных ко</w:t>
      </w:r>
      <w:r w:rsidRPr="00D03F3E">
        <w:rPr>
          <w:rFonts w:ascii="Times New Roman" w:hAnsi="Times New Roman"/>
          <w:color w:val="000000" w:themeColor="text1"/>
          <w:sz w:val="16"/>
          <w:szCs w:val="16"/>
        </w:rPr>
        <w:softHyphen/>
        <w:t>лес шасси был увеличен до 800x260 мм, а хвостового колеса — до 400x150 мм. Соответственно этому были увеличены: на 20 мм — ход амортизатора костыля, на 3 мм — расстояние между ушками вилки, на 40—52 мм — габариты самого костыля. В связи с уве</w:t>
      </w:r>
      <w:r w:rsidRPr="00D03F3E">
        <w:rPr>
          <w:rFonts w:ascii="Times New Roman" w:hAnsi="Times New Roman"/>
          <w:color w:val="000000" w:themeColor="text1"/>
          <w:sz w:val="16"/>
          <w:szCs w:val="16"/>
        </w:rPr>
        <w:softHyphen/>
        <w:t>личением габаритов костыля и колеса изменился в сторону уве</w:t>
      </w:r>
      <w:r w:rsidRPr="00D03F3E">
        <w:rPr>
          <w:rFonts w:ascii="Times New Roman" w:hAnsi="Times New Roman"/>
          <w:color w:val="000000" w:themeColor="text1"/>
          <w:sz w:val="16"/>
          <w:szCs w:val="16"/>
        </w:rPr>
        <w:softHyphen/>
        <w:t>личения и вырез в хвостовом коке фюзеляжа.</w:t>
      </w:r>
    </w:p>
    <w:p w14:paraId="571557D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Установка винтов ВИШ-22Т и АВ-5л-124 на самолеты с мотором АМ-38ф категорически запрещалась, так как установочный угол лопастей, диаметр и аэродинамические характе</w:t>
      </w:r>
      <w:r w:rsidRPr="00D03F3E">
        <w:rPr>
          <w:rFonts w:ascii="Times New Roman" w:hAnsi="Times New Roman"/>
          <w:color w:val="000000" w:themeColor="text1"/>
          <w:sz w:val="16"/>
          <w:szCs w:val="16"/>
        </w:rPr>
        <w:softHyphen/>
        <w:t>ристики этих винтов не соответствовали условиям работы на моторе. На Ил-2 с АМ-38 наравне с ВИШ-22Т и АВ-5л-124 мог устанавливаться винт АВ-5л-158 серии 04 с минимальным установочным углом лопастей 22 вместо 19°, под которым ус</w:t>
      </w:r>
      <w:r w:rsidRPr="00D03F3E">
        <w:rPr>
          <w:rFonts w:ascii="Times New Roman" w:hAnsi="Times New Roman"/>
          <w:color w:val="000000" w:themeColor="text1"/>
          <w:sz w:val="16"/>
          <w:szCs w:val="16"/>
        </w:rPr>
        <w:softHyphen/>
        <w:t>танавливаются лопасти винта на моторе АМ-38ф.</w:t>
      </w:r>
    </w:p>
    <w:p w14:paraId="68D85C9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Взлетные свойства двухместного Ил-2 с АМ-38ф улучши</w:t>
      </w:r>
      <w:r w:rsidRPr="00D03F3E">
        <w:rPr>
          <w:rFonts w:ascii="Times New Roman" w:hAnsi="Times New Roman"/>
          <w:color w:val="000000" w:themeColor="text1"/>
          <w:sz w:val="16"/>
          <w:szCs w:val="16"/>
        </w:rPr>
        <w:softHyphen/>
        <w:t>лись и при бомбовой нагрузке в 400 кг практически совпали с данными одноместного штурмовика с АМ-38. Однако пило</w:t>
      </w:r>
      <w:r w:rsidRPr="00D03F3E">
        <w:rPr>
          <w:rFonts w:ascii="Times New Roman" w:hAnsi="Times New Roman"/>
          <w:color w:val="000000" w:themeColor="text1"/>
          <w:sz w:val="16"/>
          <w:szCs w:val="16"/>
        </w:rPr>
        <w:softHyphen/>
        <w:t>тажные качества по-прежнему оставались неудовлетворитель</w:t>
      </w:r>
      <w:r w:rsidRPr="00D03F3E">
        <w:rPr>
          <w:rFonts w:ascii="Times New Roman" w:hAnsi="Times New Roman"/>
          <w:color w:val="000000" w:themeColor="text1"/>
          <w:sz w:val="16"/>
          <w:szCs w:val="16"/>
        </w:rPr>
        <w:softHyphen/>
        <w:t>ными.</w:t>
      </w:r>
    </w:p>
    <w:p w14:paraId="4F64627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Положение усугублялось тем обстоятельством, что удель</w:t>
      </w:r>
      <w:r w:rsidRPr="00D03F3E">
        <w:rPr>
          <w:rFonts w:ascii="Times New Roman" w:hAnsi="Times New Roman"/>
          <w:color w:val="000000" w:themeColor="text1"/>
          <w:sz w:val="16"/>
          <w:szCs w:val="16"/>
        </w:rPr>
        <w:softHyphen/>
        <w:t>ный вес молодых летчиков в частях действующей армии неук</w:t>
      </w:r>
      <w:r w:rsidRPr="00D03F3E">
        <w:rPr>
          <w:rFonts w:ascii="Times New Roman" w:hAnsi="Times New Roman"/>
          <w:color w:val="000000" w:themeColor="text1"/>
          <w:sz w:val="16"/>
          <w:szCs w:val="16"/>
        </w:rPr>
        <w:softHyphen/>
        <w:t>лонно повышался — до 40—50%, а средний уровень их лет-но-боевой подготовки, наоборот, снижался. При этом качест</w:t>
      </w:r>
      <w:r w:rsidRPr="00D03F3E">
        <w:rPr>
          <w:rFonts w:ascii="Times New Roman" w:hAnsi="Times New Roman"/>
          <w:color w:val="000000" w:themeColor="text1"/>
          <w:sz w:val="16"/>
          <w:szCs w:val="16"/>
        </w:rPr>
        <w:softHyphen/>
        <w:t>во самолетов Ил-2 стремительно ухудшалось. Очевидно, что эти процессы неизбежно должны были привести к росту лет</w:t>
      </w:r>
      <w:r w:rsidRPr="00D03F3E">
        <w:rPr>
          <w:rFonts w:ascii="Times New Roman" w:hAnsi="Times New Roman"/>
          <w:color w:val="000000" w:themeColor="text1"/>
          <w:sz w:val="16"/>
          <w:szCs w:val="16"/>
        </w:rPr>
        <w:softHyphen/>
        <w:t>ных происшествий, аварий и катастроф. Руководство ВВС КА забило тревогу. Требовалось срочно улучшить пило</w:t>
      </w:r>
      <w:r w:rsidRPr="00D03F3E">
        <w:rPr>
          <w:rFonts w:ascii="Times New Roman" w:hAnsi="Times New Roman"/>
          <w:color w:val="000000" w:themeColor="text1"/>
          <w:sz w:val="16"/>
          <w:szCs w:val="16"/>
        </w:rPr>
        <w:softHyphen/>
        <w:t>тажные и эксплуатационные качества Ил-2 (11474,302).</w:t>
      </w:r>
    </w:p>
    <w:p w14:paraId="5921909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B5079C" w14:textId="77777777" w:rsidR="00F90B37" w:rsidRPr="00D03F3E" w:rsidRDefault="00F90B3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lang w:val="en-US"/>
        </w:rPr>
        <w:t>C</w:t>
      </w:r>
      <w:r w:rsidRPr="00D03F3E">
        <w:rPr>
          <w:rFonts w:ascii="Times New Roman" w:hAnsi="Times New Roman"/>
          <w:color w:val="000000" w:themeColor="text1"/>
          <w:sz w:val="16"/>
          <w:szCs w:val="16"/>
        </w:rPr>
        <w:t xml:space="preserve"> января 1943 г. установка на двухместные Ил-2 форсированного мотора АМ-38ф улучшило лишь взлет</w:t>
      </w:r>
      <w:r w:rsidRPr="00D03F3E">
        <w:rPr>
          <w:rFonts w:ascii="Times New Roman" w:hAnsi="Times New Roman"/>
          <w:color w:val="000000" w:themeColor="text1"/>
          <w:sz w:val="16"/>
          <w:szCs w:val="16"/>
        </w:rPr>
        <w:softHyphen/>
        <w:t>ные свойства самолета, которые при бомбовой нагрузке в 400 кг практиче</w:t>
      </w:r>
      <w:r w:rsidRPr="00D03F3E">
        <w:rPr>
          <w:rFonts w:ascii="Times New Roman" w:hAnsi="Times New Roman"/>
          <w:color w:val="000000" w:themeColor="text1"/>
          <w:sz w:val="16"/>
          <w:szCs w:val="16"/>
        </w:rPr>
        <w:softHyphen/>
        <w:t>ски совпали с данными одноместного Ил-2 с АМ-38, но пилотажные качества по-прежнему оставались неудовлетво</w:t>
      </w:r>
      <w:r w:rsidRPr="00D03F3E">
        <w:rPr>
          <w:rFonts w:ascii="Times New Roman" w:hAnsi="Times New Roman"/>
          <w:color w:val="000000" w:themeColor="text1"/>
          <w:sz w:val="16"/>
          <w:szCs w:val="16"/>
        </w:rPr>
        <w:softHyphen/>
        <w:t>рительными.</w:t>
      </w:r>
    </w:p>
    <w:p w14:paraId="76F1D731" w14:textId="77777777" w:rsidR="00F90B37" w:rsidRPr="00D03F3E" w:rsidRDefault="00F90B37" w:rsidP="00D03F3E">
      <w:pPr>
        <w:pStyle w:val="250"/>
        <w:shd w:val="clear" w:color="auto" w:fill="auto"/>
        <w:spacing w:after="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Положение осложнялось тем обстоятелвстзом, что процесс насыщения штурмовых авиаполков действующей армии двухместными самолетами Ил-2 совпал с новым поступлением в строевые ча- мсиодых летчиков с недостаточной летно-боевой подготовкой. К весне 1943 г. удельный вес «молодежи» в частях действующей армии достигал 40-50%.</w:t>
      </w:r>
    </w:p>
    <w:p w14:paraId="36D965D1" w14:textId="77777777" w:rsidR="00F90B37" w:rsidRPr="00D03F3E" w:rsidRDefault="00F90B37" w:rsidP="00D03F3E">
      <w:pPr>
        <w:pStyle w:val="250"/>
        <w:shd w:val="clear" w:color="auto" w:fill="auto"/>
        <w:spacing w:after="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«Гром грянул» в марте-апреле, когда негативные тенденции с боеспособностью материальной части в ВВС КА достигли таких размеров, что поставили под угрозу проведение операций летней кампании.</w:t>
      </w:r>
    </w:p>
    <w:p w14:paraId="4D23D5DF" w14:textId="77777777" w:rsidR="00F90B37" w:rsidRPr="00D03F3E" w:rsidRDefault="00F90B37" w:rsidP="00D03F3E">
      <w:pPr>
        <w:pStyle w:val="250"/>
        <w:shd w:val="clear" w:color="auto" w:fill="auto"/>
        <w:spacing w:after="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На многих боевых самолетах обнару</w:t>
      </w:r>
      <w:r w:rsidRPr="00D03F3E">
        <w:rPr>
          <w:rFonts w:ascii="Times New Roman" w:cs="Times New Roman"/>
          <w:color w:val="000000" w:themeColor="text1"/>
          <w:sz w:val="16"/>
          <w:szCs w:val="16"/>
        </w:rPr>
        <w:softHyphen/>
        <w:t>жился массовый дефект производствен</w:t>
      </w:r>
      <w:r w:rsidRPr="00D03F3E">
        <w:rPr>
          <w:rFonts w:ascii="Times New Roman" w:cs="Times New Roman"/>
          <w:color w:val="000000" w:themeColor="text1"/>
          <w:sz w:val="16"/>
          <w:szCs w:val="16"/>
        </w:rPr>
        <w:softHyphen/>
        <w:t>ной отделки. Отмечались многочислен</w:t>
      </w:r>
      <w:r w:rsidRPr="00D03F3E">
        <w:rPr>
          <w:rFonts w:ascii="Times New Roman" w:cs="Times New Roman"/>
          <w:color w:val="000000" w:themeColor="text1"/>
          <w:sz w:val="16"/>
          <w:szCs w:val="16"/>
        </w:rPr>
        <w:softHyphen/>
        <w:t>ные случаи, когда в полете с крыла сры- шю фанерную обшивку. Только в одной 16-й ВА вышло ив строя 125 самолетов Ил-2. Кроме них, из-за дефектов обшивки считались небоеспособными еще 27 ис</w:t>
      </w:r>
      <w:r w:rsidRPr="00D03F3E">
        <w:rPr>
          <w:rFonts w:ascii="Times New Roman" w:cs="Times New Roman"/>
          <w:color w:val="000000" w:themeColor="text1"/>
          <w:sz w:val="16"/>
          <w:szCs w:val="16"/>
        </w:rPr>
        <w:softHyphen/>
        <w:t>требителей Ла-5, а также 97 Як-1 и 100 - Як-9 и Як-7. В 13-й ВА из строя вышли 84 штурмовика Ил-2,11 Ла-5 и 70 самолетов Як-1, Як-7. Подобная картина наблюдалась и в других воздушных армиях и внутрен</w:t>
      </w:r>
      <w:r w:rsidRPr="00D03F3E">
        <w:rPr>
          <w:rFonts w:ascii="Times New Roman" w:cs="Times New Roman"/>
          <w:color w:val="000000" w:themeColor="text1"/>
          <w:sz w:val="16"/>
          <w:szCs w:val="16"/>
        </w:rPr>
        <w:softHyphen/>
        <w:t>них Военных округах.</w:t>
      </w:r>
    </w:p>
    <w:p w14:paraId="72D0A8C5" w14:textId="77777777" w:rsidR="00F90B37" w:rsidRPr="00D03F3E" w:rsidRDefault="00F90B37" w:rsidP="00D03F3E">
      <w:pPr>
        <w:pStyle w:val="134"/>
        <w:shd w:val="clear" w:color="auto" w:fill="auto"/>
        <w:spacing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Наметился рост аварий и катастроф самолетов Ил-2. Командование ВВС КА забило тревогу. Требовалось срочно улуч</w:t>
      </w:r>
      <w:r w:rsidRPr="00D03F3E">
        <w:rPr>
          <w:rFonts w:ascii="Times New Roman" w:hAnsi="Times New Roman"/>
          <w:color w:val="000000" w:themeColor="text1"/>
          <w:sz w:val="16"/>
          <w:szCs w:val="16"/>
        </w:rPr>
        <w:softHyphen/>
        <w:t>шить пилотажные и эксплуатационные ка</w:t>
      </w:r>
      <w:r w:rsidRPr="00D03F3E">
        <w:rPr>
          <w:rFonts w:ascii="Times New Roman" w:hAnsi="Times New Roman"/>
          <w:color w:val="000000" w:themeColor="text1"/>
          <w:sz w:val="16"/>
          <w:szCs w:val="16"/>
        </w:rPr>
        <w:softHyphen/>
        <w:t>чества Ил-2.</w:t>
      </w:r>
    </w:p>
    <w:p w14:paraId="49E788D3" w14:textId="77777777" w:rsidR="00F90B37" w:rsidRPr="00D03F3E" w:rsidRDefault="00F90B37" w:rsidP="00D03F3E">
      <w:pPr>
        <w:pStyle w:val="134"/>
        <w:shd w:val="clear" w:color="auto" w:fill="auto"/>
        <w:spacing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Судя по документам, основной брак в это время исходил от заводов №1 и №30. При этом пальму первенства держал мос</w:t>
      </w:r>
      <w:r w:rsidRPr="00D03F3E">
        <w:rPr>
          <w:rFonts w:ascii="Times New Roman" w:hAnsi="Times New Roman"/>
          <w:color w:val="000000" w:themeColor="text1"/>
          <w:sz w:val="16"/>
          <w:szCs w:val="16"/>
        </w:rPr>
        <w:softHyphen/>
        <w:t>ковский завод.</w:t>
      </w:r>
    </w:p>
    <w:p w14:paraId="5278D8D9" w14:textId="77777777" w:rsidR="00F90B37" w:rsidRPr="00D03F3E" w:rsidRDefault="00F90B37" w:rsidP="00D03F3E">
      <w:pPr>
        <w:pStyle w:val="134"/>
        <w:shd w:val="clear" w:color="auto" w:fill="auto"/>
        <w:spacing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Например, в частях 232-й шад 2-го шак Резерва ВГК небоеспособными ока</w:t>
      </w:r>
      <w:r w:rsidRPr="00D03F3E">
        <w:rPr>
          <w:rFonts w:ascii="Times New Roman" w:hAnsi="Times New Roman"/>
          <w:color w:val="000000" w:themeColor="text1"/>
          <w:sz w:val="16"/>
          <w:szCs w:val="16"/>
        </w:rPr>
        <w:softHyphen/>
        <w:t>зались почти все Ил-2, полученные на 30-м заводе: в 704-м шап - 34 самолета, в 801-м шап - 32, в 230-м шап - 34 ма</w:t>
      </w:r>
      <w:r w:rsidRPr="00D03F3E">
        <w:rPr>
          <w:rFonts w:ascii="Times New Roman" w:hAnsi="Times New Roman"/>
          <w:color w:val="000000" w:themeColor="text1"/>
          <w:sz w:val="16"/>
          <w:szCs w:val="16"/>
        </w:rPr>
        <w:softHyphen/>
        <w:t>шины. Всего 100 самолетов Ил-2.</w:t>
      </w:r>
    </w:p>
    <w:p w14:paraId="0123E0A4" w14:textId="77777777" w:rsidR="00F90B37" w:rsidRPr="00D03F3E" w:rsidRDefault="00F90B37" w:rsidP="00D03F3E">
      <w:pPr>
        <w:pStyle w:val="134"/>
        <w:shd w:val="clear" w:color="auto" w:fill="auto"/>
        <w:spacing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Положение в полках 231-й шад этого же корпуса было несколько лучше. Из строя вышли немногим больше двух тре</w:t>
      </w:r>
      <w:r w:rsidRPr="00D03F3E">
        <w:rPr>
          <w:rFonts w:ascii="Times New Roman" w:hAnsi="Times New Roman"/>
          <w:color w:val="000000" w:themeColor="text1"/>
          <w:sz w:val="16"/>
          <w:szCs w:val="16"/>
        </w:rPr>
        <w:softHyphen/>
        <w:t>тей боевого состава дивизии - 66 Ил-2, также производства завода № 30.</w:t>
      </w:r>
    </w:p>
    <w:p w14:paraId="586DA4F4" w14:textId="77777777" w:rsidR="00F90B37" w:rsidRPr="00D03F3E" w:rsidRDefault="00F90B37" w:rsidP="00D03F3E">
      <w:pPr>
        <w:pStyle w:val="134"/>
        <w:shd w:val="clear" w:color="auto" w:fill="auto"/>
        <w:spacing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полете при выполнении упражне</w:t>
      </w:r>
      <w:r w:rsidRPr="00D03F3E">
        <w:rPr>
          <w:rFonts w:ascii="Times New Roman" w:hAnsi="Times New Roman"/>
          <w:color w:val="000000" w:themeColor="text1"/>
          <w:sz w:val="16"/>
          <w:szCs w:val="16"/>
        </w:rPr>
        <w:softHyphen/>
        <w:t>ний по учебно-боевой подготовке проис</w:t>
      </w:r>
      <w:r w:rsidRPr="00D03F3E">
        <w:rPr>
          <w:rFonts w:ascii="Times New Roman" w:hAnsi="Times New Roman"/>
          <w:color w:val="000000" w:themeColor="text1"/>
          <w:sz w:val="16"/>
          <w:szCs w:val="16"/>
        </w:rPr>
        <w:softHyphen/>
        <w:t>ходил срыв полотна и фанерной обшивки с консолей крыла. По этой причине имели место аварии и даже катастрофы.</w:t>
      </w:r>
    </w:p>
    <w:p w14:paraId="015E1962" w14:textId="77777777" w:rsidR="00F90B37" w:rsidRPr="00D03F3E" w:rsidRDefault="00F90B3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мая в ходе учебно-тренировочного полета на бомбометание с пикирования на полигоне аэродрома Фастово на Ил-2 зав. №301766 погибли летчик 873-го шап 231-й шад старший сержант Кулагин и воздушный стрелок младший сержант Ко</w:t>
      </w:r>
      <w:r w:rsidRPr="00D03F3E">
        <w:rPr>
          <w:rFonts w:ascii="Times New Roman" w:hAnsi="Times New Roman"/>
          <w:color w:val="000000" w:themeColor="text1"/>
          <w:sz w:val="16"/>
          <w:szCs w:val="16"/>
        </w:rPr>
        <w:softHyphen/>
        <w:t>четов. Обстоятельства катастрофы таковы. При выполнении четвертого захода для бомбометания у самолета на высоте 200- 250 м начался отрыв верхней фанерной обшивки левой консоли в межлонжерон- ной части с последующим разрушением всей обшивки и каркаса крыла. После от</w:t>
      </w:r>
      <w:r w:rsidRPr="00D03F3E">
        <w:rPr>
          <w:rFonts w:ascii="Times New Roman" w:hAnsi="Times New Roman"/>
          <w:color w:val="000000" w:themeColor="text1"/>
          <w:sz w:val="16"/>
          <w:szCs w:val="16"/>
        </w:rPr>
        <w:softHyphen/>
        <w:t>рыва лонжеронов левой плоскости само</w:t>
      </w:r>
      <w:r w:rsidRPr="00D03F3E">
        <w:rPr>
          <w:rFonts w:ascii="Times New Roman" w:hAnsi="Times New Roman"/>
          <w:color w:val="000000" w:themeColor="text1"/>
          <w:sz w:val="16"/>
          <w:szCs w:val="16"/>
        </w:rPr>
        <w:softHyphen/>
        <w:t>лет перешел в беспорядочное падение и разрушился при ударе о землю.</w:t>
      </w:r>
    </w:p>
    <w:p w14:paraId="12008365" w14:textId="77777777" w:rsidR="00F90B37" w:rsidRPr="00D03F3E" w:rsidRDefault="00F90B37" w:rsidP="00D03F3E">
      <w:pPr>
        <w:pStyle w:val="250"/>
        <w:shd w:val="clear" w:color="auto" w:fill="auto"/>
        <w:spacing w:after="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Днем позже летчик 704-го шап 232-й шад младший лейтенант Зыков с воздуш</w:t>
      </w:r>
      <w:r w:rsidRPr="00D03F3E">
        <w:rPr>
          <w:rFonts w:ascii="Times New Roman" w:cs="Times New Roman"/>
          <w:color w:val="000000" w:themeColor="text1"/>
          <w:sz w:val="16"/>
          <w:szCs w:val="16"/>
        </w:rPr>
        <w:softHyphen/>
        <w:t>ным стрелком сержантом Токанаевым на Ил-2 зав. №302026 в районе д. Ременье вблизи аэродрома Андреаполь выполнял тренировочный полет в зоне на виражи и пикирование с выходом из пикирования с боевым разворотом. При третьем пики</w:t>
      </w:r>
      <w:r w:rsidRPr="00D03F3E">
        <w:rPr>
          <w:rFonts w:ascii="Times New Roman" w:cs="Times New Roman"/>
          <w:color w:val="000000" w:themeColor="text1"/>
          <w:sz w:val="16"/>
          <w:szCs w:val="16"/>
        </w:rPr>
        <w:softHyphen/>
        <w:t>ровании под углом порядка 30-35° с вы</w:t>
      </w:r>
      <w:r w:rsidRPr="00D03F3E">
        <w:rPr>
          <w:rFonts w:ascii="Times New Roman" w:cs="Times New Roman"/>
          <w:color w:val="000000" w:themeColor="text1"/>
          <w:sz w:val="16"/>
          <w:szCs w:val="16"/>
        </w:rPr>
        <w:softHyphen/>
        <w:t>соты 950-1000 м на выводе из пикиро</w:t>
      </w:r>
      <w:r w:rsidRPr="00D03F3E">
        <w:rPr>
          <w:rFonts w:ascii="Times New Roman" w:cs="Times New Roman"/>
          <w:color w:val="000000" w:themeColor="text1"/>
          <w:sz w:val="16"/>
          <w:szCs w:val="16"/>
        </w:rPr>
        <w:softHyphen/>
        <w:t>вания на высоте 500-550 м у самолета оторвалась вместе с частью центроплана правая консоль. При ударе о землю штур</w:t>
      </w:r>
      <w:r w:rsidRPr="00D03F3E">
        <w:rPr>
          <w:rFonts w:ascii="Times New Roman" w:cs="Times New Roman"/>
          <w:color w:val="000000" w:themeColor="text1"/>
          <w:sz w:val="16"/>
          <w:szCs w:val="16"/>
        </w:rPr>
        <w:softHyphen/>
        <w:t>мовик разрушился. Экипаж погиб. Разру</w:t>
      </w:r>
      <w:r w:rsidRPr="00D03F3E">
        <w:rPr>
          <w:rFonts w:ascii="Times New Roman" w:cs="Times New Roman"/>
          <w:color w:val="000000" w:themeColor="text1"/>
          <w:sz w:val="16"/>
          <w:szCs w:val="16"/>
        </w:rPr>
        <w:softHyphen/>
        <w:t>шение крыла произошло в отсеке между первой и второй нервюрами центроплана.</w:t>
      </w:r>
    </w:p>
    <w:p w14:paraId="38BD7569" w14:textId="77777777" w:rsidR="00F90B37" w:rsidRPr="00D03F3E" w:rsidRDefault="00F90B37" w:rsidP="00D03F3E">
      <w:pPr>
        <w:pStyle w:val="250"/>
        <w:shd w:val="clear" w:color="auto" w:fill="auto"/>
        <w:spacing w:after="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Самолет Ил-2 зав. №301766 был при</w:t>
      </w:r>
      <w:r w:rsidRPr="00D03F3E">
        <w:rPr>
          <w:rFonts w:ascii="Times New Roman" w:cs="Times New Roman"/>
          <w:color w:val="000000" w:themeColor="text1"/>
          <w:sz w:val="16"/>
          <w:szCs w:val="16"/>
        </w:rPr>
        <w:softHyphen/>
        <w:t>нят от завода 25 марта 1943 г. и с на</w:t>
      </w:r>
      <w:r w:rsidRPr="00D03F3E">
        <w:rPr>
          <w:rFonts w:ascii="Times New Roman" w:cs="Times New Roman"/>
          <w:color w:val="000000" w:themeColor="text1"/>
          <w:sz w:val="16"/>
          <w:szCs w:val="16"/>
        </w:rPr>
        <w:softHyphen/>
        <w:t>чала эксплуатации имел налет всего 11 ч 10 мин (17 посадок), а Ил-2 зав. №302026 - 8 апреля и имел налет 4 ч 30 мин (9 посадок).</w:t>
      </w:r>
    </w:p>
    <w:p w14:paraId="574E1991" w14:textId="77777777" w:rsidR="00F90B37" w:rsidRPr="00D03F3E" w:rsidRDefault="00F90B37" w:rsidP="00D03F3E">
      <w:pPr>
        <w:pStyle w:val="250"/>
        <w:shd w:val="clear" w:color="auto" w:fill="auto"/>
        <w:spacing w:after="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Незадолго до этого в 212-й шад 3-й ВА17 и 20 апреля разбились два само</w:t>
      </w:r>
      <w:r w:rsidRPr="00D03F3E">
        <w:rPr>
          <w:rFonts w:ascii="Times New Roman" w:cs="Times New Roman"/>
          <w:color w:val="000000" w:themeColor="text1"/>
          <w:sz w:val="16"/>
          <w:szCs w:val="16"/>
        </w:rPr>
        <w:softHyphen/>
        <w:t>лета Ил-2: сначала погибли старший сер</w:t>
      </w:r>
      <w:r w:rsidRPr="00D03F3E">
        <w:rPr>
          <w:rFonts w:ascii="Times New Roman" w:cs="Times New Roman"/>
          <w:color w:val="000000" w:themeColor="text1"/>
          <w:sz w:val="16"/>
          <w:szCs w:val="16"/>
        </w:rPr>
        <w:softHyphen/>
        <w:t>жант А.А.Даганский и воздушный стрелок младший сержант Д.Р. Копылов из 685-го шап, затем - старшина Пикаев и младший сержант Литвинов из 671-го шап.</w:t>
      </w:r>
    </w:p>
    <w:p w14:paraId="6A37BEB8" w14:textId="77777777" w:rsidR="00F90B37" w:rsidRPr="00D03F3E" w:rsidRDefault="00F90B37" w:rsidP="00D03F3E">
      <w:pPr>
        <w:pStyle w:val="250"/>
        <w:shd w:val="clear" w:color="auto" w:fill="auto"/>
        <w:spacing w:after="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lastRenderedPageBreak/>
        <w:t>Экипажи выполняли упражнения по бомбометанию и стрельбе с пикирова</w:t>
      </w:r>
      <w:r w:rsidRPr="00D03F3E">
        <w:rPr>
          <w:rFonts w:ascii="Times New Roman" w:cs="Times New Roman"/>
          <w:color w:val="000000" w:themeColor="text1"/>
          <w:sz w:val="16"/>
          <w:szCs w:val="16"/>
        </w:rPr>
        <w:softHyphen/>
        <w:t>ния на полигоне Левково (аэродром Пре</w:t>
      </w:r>
      <w:r w:rsidRPr="00D03F3E">
        <w:rPr>
          <w:rFonts w:ascii="Times New Roman" w:cs="Times New Roman"/>
          <w:color w:val="000000" w:themeColor="text1"/>
          <w:sz w:val="16"/>
          <w:szCs w:val="16"/>
        </w:rPr>
        <w:softHyphen/>
        <w:t>чистая Каменка). На Ил-2 зав. №301716 старшего сержанта Даганского при пи</w:t>
      </w:r>
      <w:r w:rsidRPr="00D03F3E">
        <w:rPr>
          <w:rFonts w:ascii="Times New Roman" w:cs="Times New Roman"/>
          <w:color w:val="000000" w:themeColor="text1"/>
          <w:sz w:val="16"/>
          <w:szCs w:val="16"/>
        </w:rPr>
        <w:softHyphen/>
        <w:t>кировании под углом 30-40° отвалилась правая консоль, а на Ил-2 зав. №1876142 старшины Пикаева при выводе само</w:t>
      </w:r>
      <w:r w:rsidRPr="00D03F3E">
        <w:rPr>
          <w:rFonts w:ascii="Times New Roman" w:cs="Times New Roman"/>
          <w:color w:val="000000" w:themeColor="text1"/>
          <w:sz w:val="16"/>
          <w:szCs w:val="16"/>
        </w:rPr>
        <w:softHyphen/>
        <w:t>лета из пикирования под углом 25-30° отвалилась левая консоль крыла. Оба Ил-2 были выпущены заводами в фев</w:t>
      </w:r>
      <w:r w:rsidRPr="00D03F3E">
        <w:rPr>
          <w:rFonts w:ascii="Times New Roman" w:cs="Times New Roman"/>
          <w:color w:val="000000" w:themeColor="text1"/>
          <w:sz w:val="16"/>
          <w:szCs w:val="16"/>
        </w:rPr>
        <w:softHyphen/>
        <w:t>рале 1943 г.</w:t>
      </w:r>
    </w:p>
    <w:p w14:paraId="779C7A06" w14:textId="77777777" w:rsidR="00F90B37" w:rsidRPr="00D03F3E" w:rsidRDefault="00F90B3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расследования катастроф были созданы совместные государственные ко</w:t>
      </w:r>
      <w:r w:rsidRPr="00D03F3E">
        <w:rPr>
          <w:rFonts w:ascii="Times New Roman" w:hAnsi="Times New Roman"/>
          <w:color w:val="000000" w:themeColor="text1"/>
          <w:sz w:val="16"/>
          <w:szCs w:val="16"/>
        </w:rPr>
        <w:softHyphen/>
        <w:t>миссии ВВС и НКАП. Одна комиссия под руководством заместителя главного ин</w:t>
      </w:r>
      <w:r w:rsidRPr="00D03F3E">
        <w:rPr>
          <w:rFonts w:ascii="Times New Roman" w:hAnsi="Times New Roman"/>
          <w:color w:val="000000" w:themeColor="text1"/>
          <w:sz w:val="16"/>
          <w:szCs w:val="16"/>
        </w:rPr>
        <w:softHyphen/>
        <w:t>женера ВВС генерал-майора А.А. Лапина работала в частях 212-й шад, вторая под председательством ведущего инженера НИИ ВВС инженер-майора В.С.Холопова - в частях 2-го шак. Еще одна комиссия под председательством заместителя на</w:t>
      </w:r>
      <w:r w:rsidRPr="00D03F3E">
        <w:rPr>
          <w:rFonts w:ascii="Times New Roman" w:hAnsi="Times New Roman"/>
          <w:color w:val="000000" w:themeColor="text1"/>
          <w:sz w:val="16"/>
          <w:szCs w:val="16"/>
        </w:rPr>
        <w:softHyphen/>
        <w:t>чальника УЗСиМ ВВС инженер-полков- ника Я.Я. Салтанова проводила инспек</w:t>
      </w:r>
      <w:r w:rsidRPr="00D03F3E">
        <w:rPr>
          <w:rFonts w:ascii="Times New Roman" w:hAnsi="Times New Roman"/>
          <w:color w:val="000000" w:themeColor="text1"/>
          <w:sz w:val="16"/>
          <w:szCs w:val="16"/>
        </w:rPr>
        <w:softHyphen/>
        <w:t>цию организации производства и соблю</w:t>
      </w:r>
      <w:r w:rsidRPr="00D03F3E">
        <w:rPr>
          <w:rFonts w:ascii="Times New Roman" w:hAnsi="Times New Roman"/>
          <w:color w:val="000000" w:themeColor="text1"/>
          <w:sz w:val="16"/>
          <w:szCs w:val="16"/>
        </w:rPr>
        <w:softHyphen/>
        <w:t>дения технологии изготовления деревян</w:t>
      </w:r>
      <w:r w:rsidRPr="00D03F3E">
        <w:rPr>
          <w:rFonts w:ascii="Times New Roman" w:hAnsi="Times New Roman"/>
          <w:color w:val="000000" w:themeColor="text1"/>
          <w:sz w:val="16"/>
          <w:szCs w:val="16"/>
        </w:rPr>
        <w:softHyphen/>
        <w:t>ных агрегатов Ил-2 на заводах №№1,18 и 30. В состав комиссий вошли предста вители ГУ ИАС ВВС, 10 ГУ НКАП, СЖБ-240 Ильюшина и заводов.</w:t>
      </w:r>
    </w:p>
    <w:p w14:paraId="49022892" w14:textId="77777777" w:rsidR="00F90B37" w:rsidRPr="00D03F3E" w:rsidRDefault="00F90B37" w:rsidP="00D03F3E">
      <w:pPr>
        <w:pStyle w:val="250"/>
        <w:shd w:val="clear" w:color="auto" w:fill="auto"/>
        <w:spacing w:after="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Осмотр узлов и деталей разбившихся самолетов 212 шад показал, что разру</w:t>
      </w:r>
      <w:r w:rsidRPr="00D03F3E">
        <w:rPr>
          <w:rFonts w:ascii="Times New Roman" w:cs="Times New Roman"/>
          <w:color w:val="000000" w:themeColor="text1"/>
          <w:sz w:val="16"/>
          <w:szCs w:val="16"/>
        </w:rPr>
        <w:softHyphen/>
        <w:t>шение Ил-2 зав. №301716 произошло по нижней полке переднего лонжерона центроплана с правой стороны, а Ил-2 зав. №875643 - из-за разрыва уха ле</w:t>
      </w:r>
      <w:r w:rsidRPr="00D03F3E">
        <w:rPr>
          <w:rFonts w:ascii="Times New Roman" w:cs="Times New Roman"/>
          <w:color w:val="000000" w:themeColor="text1"/>
          <w:sz w:val="16"/>
          <w:szCs w:val="16"/>
        </w:rPr>
        <w:softHyphen/>
        <w:t>вого стыкового узла нижней полки зад</w:t>
      </w:r>
      <w:r w:rsidRPr="00D03F3E">
        <w:rPr>
          <w:rFonts w:ascii="Times New Roman" w:cs="Times New Roman"/>
          <w:color w:val="000000" w:themeColor="text1"/>
          <w:sz w:val="16"/>
          <w:szCs w:val="16"/>
        </w:rPr>
        <w:softHyphen/>
        <w:t>него лонжерона центроплана. Предполо</w:t>
      </w:r>
      <w:r w:rsidRPr="00D03F3E">
        <w:rPr>
          <w:rFonts w:ascii="Times New Roman" w:cs="Times New Roman"/>
          <w:color w:val="000000" w:themeColor="text1"/>
          <w:sz w:val="16"/>
          <w:szCs w:val="16"/>
        </w:rPr>
        <w:softHyphen/>
        <w:t>жительными причинами дефектов счита</w:t>
      </w:r>
      <w:r w:rsidRPr="00D03F3E">
        <w:rPr>
          <w:rFonts w:ascii="Times New Roman" w:cs="Times New Roman"/>
          <w:color w:val="000000" w:themeColor="text1"/>
          <w:sz w:val="16"/>
          <w:szCs w:val="16"/>
        </w:rPr>
        <w:softHyphen/>
        <w:t>лась некондиционность примененных ма</w:t>
      </w:r>
      <w:r w:rsidRPr="00D03F3E">
        <w:rPr>
          <w:rFonts w:ascii="Times New Roman" w:cs="Times New Roman"/>
          <w:color w:val="000000" w:themeColor="text1"/>
          <w:sz w:val="16"/>
          <w:szCs w:val="16"/>
        </w:rPr>
        <w:softHyphen/>
        <w:t>териалов.</w:t>
      </w:r>
    </w:p>
    <w:p w14:paraId="72DB548F" w14:textId="77777777" w:rsidR="00F90B37" w:rsidRPr="00D03F3E" w:rsidRDefault="00F90B37" w:rsidP="00D03F3E">
      <w:pPr>
        <w:pStyle w:val="250"/>
        <w:shd w:val="clear" w:color="auto" w:fill="auto"/>
        <w:spacing w:after="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По требованию комиссии были осмо</w:t>
      </w:r>
      <w:r w:rsidRPr="00D03F3E">
        <w:rPr>
          <w:rFonts w:ascii="Times New Roman" w:cs="Times New Roman"/>
          <w:color w:val="000000" w:themeColor="text1"/>
          <w:sz w:val="16"/>
          <w:szCs w:val="16"/>
        </w:rPr>
        <w:softHyphen/>
        <w:t>трены стыковые узлы на всех самолетах дивизии. На трех Ил-2 были обнаружены трещины стыковых узлов: у самолета зав. № 1871242 - передний левый нижний центроплэнный узел, зав. № 1876142 - задний правый центропланный узел, зав.№ 301591 - задний нижний правый цен- -ропяанный узел. Дефектные узлы были сняты для последующего лабораторного исследования материала в ВИАМ.</w:t>
      </w:r>
    </w:p>
    <w:p w14:paraId="6347E4E3" w14:textId="77777777" w:rsidR="00F90B37" w:rsidRPr="00D03F3E" w:rsidRDefault="00F90B37" w:rsidP="00D03F3E">
      <w:pPr>
        <w:pStyle w:val="250"/>
        <w:shd w:val="clear" w:color="auto" w:fill="auto"/>
        <w:spacing w:after="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В ряду вероятных причин катастроф з 231-й и 232-й шад рассматривались эасслоение фанерной обшивки, частич</w:t>
      </w:r>
      <w:r w:rsidRPr="00D03F3E">
        <w:rPr>
          <w:rFonts w:ascii="Times New Roman" w:cs="Times New Roman"/>
          <w:color w:val="000000" w:themeColor="text1"/>
          <w:sz w:val="16"/>
          <w:szCs w:val="16"/>
        </w:rPr>
        <w:softHyphen/>
        <w:t>ный непроклей обшивки к каркасу кон</w:t>
      </w:r>
      <w:r w:rsidRPr="00D03F3E">
        <w:rPr>
          <w:rFonts w:ascii="Times New Roman" w:cs="Times New Roman"/>
          <w:color w:val="000000" w:themeColor="text1"/>
          <w:sz w:val="16"/>
          <w:szCs w:val="16"/>
        </w:rPr>
        <w:softHyphen/>
        <w:t>соли (</w:t>
      </w:r>
      <w:r w:rsidRPr="00D03F3E">
        <w:rPr>
          <w:rStyle w:val="9pt80"/>
          <w:rFonts w:ascii="Times New Roman" w:hAnsi="Times New Roman" w:cs="Times New Roman"/>
          <w:i w:val="0"/>
          <w:color w:val="000000" w:themeColor="text1"/>
          <w:w w:val="100"/>
          <w:sz w:val="16"/>
          <w:szCs w:val="16"/>
        </w:rPr>
        <w:t>непроклей</w:t>
      </w:r>
      <w:r w:rsidRPr="00D03F3E">
        <w:rPr>
          <w:rStyle w:val="aff6"/>
          <w:rFonts w:ascii="Times New Roman" w:hAnsi="Times New Roman" w:cs="Times New Roman"/>
          <w:i w:val="0"/>
          <w:color w:val="000000" w:themeColor="text1"/>
        </w:rPr>
        <w:t xml:space="preserve"> в</w:t>
      </w:r>
      <w:r w:rsidRPr="00D03F3E">
        <w:rPr>
          <w:rStyle w:val="9pt80"/>
          <w:rFonts w:ascii="Times New Roman" w:hAnsi="Times New Roman" w:cs="Times New Roman"/>
          <w:i w:val="0"/>
          <w:color w:val="000000" w:themeColor="text1"/>
          <w:w w:val="100"/>
          <w:sz w:val="16"/>
          <w:szCs w:val="16"/>
        </w:rPr>
        <w:t xml:space="preserve"> отдельных местах до</w:t>
      </w:r>
      <w:r w:rsidRPr="00D03F3E">
        <w:rPr>
          <w:rStyle w:val="9pt80"/>
          <w:rFonts w:ascii="Times New Roman" w:hAnsi="Times New Roman" w:cs="Times New Roman"/>
          <w:i w:val="0"/>
          <w:color w:val="000000" w:themeColor="text1"/>
          <w:w w:val="100"/>
          <w:sz w:val="16"/>
          <w:szCs w:val="16"/>
        </w:rPr>
        <w:softHyphen/>
        <w:t>ходит до 1 м2), шснос за границы нервюр и стрингеров»</w:t>
      </w:r>
      <w:r w:rsidRPr="00D03F3E">
        <w:rPr>
          <w:rFonts w:ascii="Times New Roman" w:cs="Times New Roman"/>
          <w:color w:val="000000" w:themeColor="text1"/>
          <w:sz w:val="16"/>
          <w:szCs w:val="16"/>
        </w:rPr>
        <w:t>тэозаевых и шурупных швов, з также применение некондиционного материала при изготовлении поясов лон</w:t>
      </w:r>
      <w:r w:rsidRPr="00D03F3E">
        <w:rPr>
          <w:rFonts w:ascii="Times New Roman" w:cs="Times New Roman"/>
          <w:color w:val="000000" w:themeColor="text1"/>
          <w:sz w:val="16"/>
          <w:szCs w:val="16"/>
        </w:rPr>
        <w:softHyphen/>
        <w:t>жеронов центроплана.</w:t>
      </w:r>
    </w:p>
    <w:p w14:paraId="5824CAE1" w14:textId="77777777" w:rsidR="00F90B37" w:rsidRPr="00D03F3E" w:rsidRDefault="00F90B37" w:rsidP="00D03F3E">
      <w:pPr>
        <w:pStyle w:val="250"/>
        <w:shd w:val="clear" w:color="auto" w:fill="auto"/>
        <w:spacing w:after="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Учитывая выявленные ранее в частях 2-го шак дефекты обшивки крыла на самолетах Ил-2, комиссия решила детально исследова машины 704-го и 873-го лтурмовых авиаполков (19557).</w:t>
      </w:r>
    </w:p>
    <w:p w14:paraId="16880197" w14:textId="77777777" w:rsidR="00F90B37" w:rsidRPr="00D03F3E" w:rsidRDefault="00F90B37" w:rsidP="00D03F3E">
      <w:pPr>
        <w:spacing w:after="0" w:line="240" w:lineRule="auto"/>
        <w:jc w:val="both"/>
        <w:rPr>
          <w:rFonts w:ascii="Times New Roman" w:hAnsi="Times New Roman"/>
          <w:color w:val="000000" w:themeColor="text1"/>
          <w:sz w:val="16"/>
          <w:szCs w:val="16"/>
        </w:rPr>
      </w:pPr>
    </w:p>
    <w:p w14:paraId="7AB1CE4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Начиная с января 1943 г. на все серийные Ил-2, как одноместные, так и двухместные стал устанавливаться мотор АМ-38ф с воздушным винтом АВ-5л-158. Взлетные свойства улучшились и при бомбовой нагрузке в 400 кг практически совпали с данными одноместного Ил-2 с АМ-38. Однако пилотажные качества по-прежнему оставались неудовлетворительными. Положение усугублялось тем обстоятельством, что удельный вес молодых летчиков в частях действующей армии неуклонно повышался - до 40-50%, а средний уровень их летно-боевой подготовки, наоборот, снижался. При этом качество самолетов Ил-2 стремительно ухудшалось. Очевидно, что эти процессы неизбежно должны были привести к росту летных происшествий, аварий и катастроф. Руководство ВВС КА забило тревогу. Требовалось срочно улучшить пилотажные и эксплуатационные качества Ил-2 (12020).</w:t>
      </w:r>
    </w:p>
    <w:p w14:paraId="124269A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DB336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1943 г. двухместный Ил-2 с мотором АМ-38ф пошел в крупносе</w:t>
      </w:r>
      <w:r w:rsidRPr="00D03F3E">
        <w:rPr>
          <w:rFonts w:ascii="Times New Roman" w:hAnsi="Times New Roman"/>
          <w:color w:val="000000" w:themeColor="text1"/>
          <w:sz w:val="16"/>
          <w:szCs w:val="16"/>
        </w:rPr>
        <w:softHyphen/>
        <w:t>рийное производство (6467).</w:t>
      </w:r>
    </w:p>
    <w:p w14:paraId="2C50088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64048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заводы №№ 1 и 18 полностью перешли на выпуск двухместных самолетов Ил-2 с двойным управлением (в документах не указано чего, но можно предположить, что стрелкового и бомбардировочного вооружения) и с форсированными моторами АМ-38ф. Но уже в конце года на испытания был предъявлен самолет с мотором АМ-42 (ГАСО. Ф. Р-3454. Оп. 1. Д. 24. Л. 4, 75-76.) (11714).</w:t>
      </w:r>
    </w:p>
    <w:p w14:paraId="390E6E9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B5252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Начиная с января 1943 г. моторы АМ-38ф стали устанавливаться на все се</w:t>
      </w:r>
      <w:r w:rsidRPr="00D03F3E">
        <w:rPr>
          <w:rFonts w:ascii="Times New Roman" w:hAnsi="Times New Roman"/>
          <w:color w:val="000000" w:themeColor="text1"/>
          <w:sz w:val="16"/>
          <w:szCs w:val="16"/>
        </w:rPr>
        <w:softHyphen/>
        <w:t>рийные штурмовики Ил-2, как одноме</w:t>
      </w:r>
      <w:r w:rsidRPr="00D03F3E">
        <w:rPr>
          <w:rFonts w:ascii="Times New Roman" w:hAnsi="Times New Roman"/>
          <w:color w:val="000000" w:themeColor="text1"/>
          <w:sz w:val="16"/>
          <w:szCs w:val="16"/>
        </w:rPr>
        <w:softHyphen/>
        <w:t>стные, так и двухместные, на всех авиа</w:t>
      </w:r>
      <w:r w:rsidRPr="00D03F3E">
        <w:rPr>
          <w:rFonts w:ascii="Times New Roman" w:hAnsi="Times New Roman"/>
          <w:color w:val="000000" w:themeColor="text1"/>
          <w:sz w:val="16"/>
          <w:szCs w:val="16"/>
        </w:rPr>
        <w:softHyphen/>
        <w:t>заводах, выпускавших эти самолеты (6467).</w:t>
      </w:r>
    </w:p>
    <w:p w14:paraId="355FB0B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0A80F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1943-го на фронт в большом количестве стали поступать двухместные Ил-2 с форсированным двигателем АМ-38Ф (взлетная мощность 1700 л.с., на боевом кратковременном режиме - до 1780 л.с.), с лучшими летными, маневренными и взлет-но-посадочными данными (9532,4).</w:t>
      </w:r>
    </w:p>
    <w:p w14:paraId="350372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49BDD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1943 г. на фронт в большом количестве стали поступать двухместные Ил-2 с форсированным двигателем АМ-38Ф, лучшими летными, маневренными и взлетно-посадочными данными. Новый двигатель взлетной мощностью 1700 л.с. на боевом кратковременном режиме мог развивать 1780 л.с. Такое повышение мощности достигалось снижением высотности АМ-38Ф с 1650 м до 750 м и увеличением числа его оборотов.</w:t>
      </w:r>
    </w:p>
    <w:p w14:paraId="080530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Снижение степени сжатия в двигателе позволило использовать более дешевый низкооктановый бензин. Кроме того, ряд конструктивных мероприятий резко увеличил надежность работы форсированного мотора. Этому способствовала и новая конструкция всасывающего патрубка (ранее при эксплуатации на пыльных фронтовых аэродромах отмечались случаи загрязнения карбюратора и цилиндров двигателя, что приводило к его быстрому износу, повышало вероятность неожиданного отказа в полете). По рекомендации ЦАГИ на всасывающий патрубок в носке центроплана с правой стороны фюзеляжа установили цилиндрический воздушный фильтр. При движении по земле передние заслонки фильтра закрывались, и воздух засасывался только через боковые фильтрующие сетки, где очищался от пыли и песка. В момент уборки шасси заслонки открывались, и воздух начинал поступать в двигатель уже через переднюю часть цилиндра всасывающего патрубка (9528).</w:t>
      </w:r>
    </w:p>
    <w:p w14:paraId="4A22BCA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ACFD5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проходил контрольные гос. испытания в НИИ ВВС двухместный Ил-2 N 1122 с АМ-38Ф 30 завода. Полетный вес 6060 кг, скорость у земли 403, на границе высотности - 406 км/час с 300 кг бомб и 4 РС-82 и 375 и 390 с 600 кг бомб и 4 РС-82 (6360 кг) (1867,8).</w:t>
      </w:r>
    </w:p>
    <w:p w14:paraId="547F807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70463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а опытное звено Ил-2 с 11П прибыло в 289-й шап 1-й ВА Западного фронта. Как следует из документов, летный состав 289-го шап оце</w:t>
      </w:r>
      <w:r w:rsidRPr="00D03F3E">
        <w:rPr>
          <w:rFonts w:ascii="Times New Roman" w:hAnsi="Times New Roman"/>
          <w:color w:val="000000" w:themeColor="text1"/>
          <w:sz w:val="16"/>
          <w:szCs w:val="16"/>
        </w:rPr>
        <w:softHyphen/>
        <w:t>нил новый вариант Ил-2 положительно, отметив, что для ус</w:t>
      </w:r>
      <w:r w:rsidRPr="00D03F3E">
        <w:rPr>
          <w:rFonts w:ascii="Times New Roman" w:hAnsi="Times New Roman"/>
          <w:color w:val="000000" w:themeColor="text1"/>
          <w:sz w:val="16"/>
          <w:szCs w:val="16"/>
        </w:rPr>
        <w:softHyphen/>
        <w:t>пешного боевого применения требуется повышенная подго</w:t>
      </w:r>
      <w:r w:rsidRPr="00D03F3E">
        <w:rPr>
          <w:rFonts w:ascii="Times New Roman" w:hAnsi="Times New Roman"/>
          <w:color w:val="000000" w:themeColor="text1"/>
          <w:sz w:val="16"/>
          <w:szCs w:val="16"/>
        </w:rPr>
        <w:softHyphen/>
        <w:t>товка в пилотировании самолета и прицельной стрельбе из пу</w:t>
      </w:r>
      <w:r w:rsidRPr="00D03F3E">
        <w:rPr>
          <w:rFonts w:ascii="Times New Roman" w:hAnsi="Times New Roman"/>
          <w:color w:val="000000" w:themeColor="text1"/>
          <w:sz w:val="16"/>
          <w:szCs w:val="16"/>
        </w:rPr>
        <w:softHyphen/>
        <w:t>шек короткими очередями. При этом сами пушки показали достаточную надежность в работе (11474,334).</w:t>
      </w:r>
    </w:p>
    <w:p w14:paraId="0042CF4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417F61"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январе 1943 г. опытное звено Ил-2 с 11П прибыло в 289-й шап 1 ВА. Как следует из документов, летный состав 289-го шап оценил новый вариант Ил-2 положительно, отметив, что для успешного боевого применения требуется повышенная подготовка в пилотировании самолетом и прицельной стрельбе из пушек короткими очередями (21180).</w:t>
      </w:r>
    </w:p>
    <w:p w14:paraId="43C090DE" w14:textId="77777777" w:rsidR="00282096" w:rsidRPr="00D03F3E" w:rsidRDefault="00282096" w:rsidP="00D03F3E">
      <w:pPr>
        <w:spacing w:after="0" w:line="240" w:lineRule="auto"/>
        <w:jc w:val="both"/>
        <w:rPr>
          <w:rFonts w:ascii="Times New Roman" w:hAnsi="Times New Roman"/>
          <w:color w:val="0070C0"/>
          <w:sz w:val="16"/>
          <w:szCs w:val="16"/>
        </w:rPr>
      </w:pPr>
    </w:p>
    <w:p w14:paraId="1E159C3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опытное звено Ил-2 с 11П прибыло в 289-й шап 1 -й ВА Западного фронта, а к середине декабря 1942 г. 8 самолетов с ШФК-37 поступили в 688-й шап 16-й ВА Донского фронта.</w:t>
      </w:r>
    </w:p>
    <w:p w14:paraId="3E17059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следует из документов, летный состав 289-го шап оценил новый вариант Ил-2 положительно, отметив, что для успешного боевого применения требуется повышенная подготовка в пилотировании самолетом и прицельной стрельбе из пушек короткими очередями. При этом сами пушки показали достаточную надежность в работе.</w:t>
      </w:r>
    </w:p>
    <w:p w14:paraId="143EFDC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Материалы отчета по испытаниям вооружения опытного Ил-2 с 11П, проведенные в НИП АВ в январе-феврале 1943 г., в целом соответствовали оценке строевых летчиков.</w:t>
      </w:r>
    </w:p>
    <w:p w14:paraId="4F9B69E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Мнение летчиков 688-го шап оказалось прямо противоположным: "...Самолеты Ил-2 с пушкой ШФК-37, при испытании на боевое применение не дали должной эффективности в связи с недоработкой пушек, невозможностью ведения прицельного огня по точечным целям, большим рассеиванием снарядов и ухудшением маневренности самолета".</w:t>
      </w:r>
    </w:p>
    <w:p w14:paraId="183B9BB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Здесь стоит отметить, что условия боевого применения Ил-2 с "большой пушкой" на Западном и Донском фронтах имели существенные отличия. Это обстоятельство, несомненно, повлияло на оценку боевых свойств нового штурмовика. </w:t>
      </w:r>
    </w:p>
    <w:p w14:paraId="41D2780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Действительно, если под Сталинградом экипажи 688-го шап 16-й ВА действовали главным образом по скоплению войск в балках, автотранспорту и танкам противника, по огневым точкам на поле боя и в отдельных случаях по самолетам на аэродромах, то летчики 289-го шап 1-й ВА на западе - работали в основном по ж.д. составам на перегонах и станциях. Очевидно, что эффект от атак по таким различным по степени уязвимости снарядами калибра 37 мм целям отличался весьма сильно.</w:t>
      </w:r>
    </w:p>
    <w:p w14:paraId="4254751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Действие Ил-2 с пушками калибра 37 мм по ж.д. составам сводилось к поражению паровозов и грузов на платформах и в вагонах. Прекрасные результаты получались, если в составе эшелона находились цистерны с горючим. Как правило, после атаки звена штурмовиков эшелон останавливался - паровоз выходил из строя, иногда со взрывом котла, 2-3 вагона загорались, и появлялась возможность его быстрого уничтожения ударами других групп Ил-2.</w:t>
      </w:r>
    </w:p>
    <w:p w14:paraId="3D1DFD6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другой стороны, при стрельбе по рассредоточенным малоразмерным целям на поле боя видимый эффект был не настолько заметным, поскольку точное попадание практически обеспечить было сложно. Еше сложнее было визуально проконтролировать результаты стрельбы из пушек.</w:t>
      </w:r>
    </w:p>
    <w:p w14:paraId="428F3B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этого, летчики 289-го шап прошли специальную подготовку для действий на предельном радиусе и в сложных метеоусловиях и имели значительный налет на Ил-2 и боевой опыт, тогда как основную массу летного состава 688-го шап составляли летчики-сержанты военного выпуска. Несомненно, это сказалось и на оценке боевых возможностей Ил-2 с "большими пушками".</w:t>
      </w:r>
    </w:p>
    <w:p w14:paraId="0BF4EF3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Этот вывод подтверждают и материалы полигонных стрельб из ШФК-37 с Ил-2 в воздухе, которые состоялись 22 декабря 1942 г. в ходе облета летным составом 688-</w:t>
      </w:r>
      <w:r w:rsidRPr="00D03F3E">
        <w:rPr>
          <w:rFonts w:ascii="Times New Roman" w:hAnsi="Times New Roman"/>
          <w:color w:val="000000" w:themeColor="text1"/>
          <w:sz w:val="16"/>
          <w:szCs w:val="16"/>
        </w:rPr>
        <w:lastRenderedPageBreak/>
        <w:t>го шап новых самолетов. Летали пять летчиков разной квалификации. Оказалось, что кучность стрельбы из пушек была довольно приличной, хотя сама стрельба - неточной. Большая часть снарядов (из 153 штук) легла в 4-5 метрах в стороне от цели (щит в виде квадрата со стороной 6 м), остальные - в 12-15 м. Только командиру полка капитану Склярову удалось поразить щит двумя снарядами. Вторым по результативности оказался капитан Копаев. Низкий процент попадания в щит объясняется большими дистанциями стрельбы - начало стрельбы 800-900 м и окончание 500-400 м, а также "недостатками освоения техники пилотирования этим самолетом и ведения огня из пушек калибра 37 мм". Надо полагать, условия стрельбы в реальном бою были такими же или хуже. В выводах отчета летчики отмечали, что для поражения наземных целей из ШФК-37 прицельный огонь должен открываться на дистанции не более 500 м и вестись до 200-250 м очередями в 5-7 выстрелов. При этом "стрельба с самолетов Ил-2, вооруженных 37-мм пушками, производит большое моральное действие", а "применение огня из этих пушек против танков даст лучший эффект нежели авиабомбы".</w:t>
      </w:r>
    </w:p>
    <w:p w14:paraId="4E8A44C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Заводской летчик-испытатель Ломакин в ходе приемо-сдаточных испытаний самолетов Ил-2 с ШФК-37 никаких особенностей в пилотировании и применении штурмовика не отмечал: "...1. Машина с пушками ШФК-37 устойчива в воздухе и ничем не отличается от машин серийного типа. 2. Для израсходования полного боекомплекта патронов необходимо делать не менее 4-5 заходов по 8-10 патронов в очереди. 3. Кучность попаданий при стрельбе в воздухе хорошая".</w:t>
      </w:r>
    </w:p>
    <w:p w14:paraId="297E90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Анализ документов показывает, что основной причиной негативного отношения летчиков 688-го шап к противотанковому Ил-2 стала все же ненадежная работа автоматики пушки. Почти каждый второй вылет на боевое задание Ил-2 с ШФК-37 сопровождался отказом хотя бы одной из пушек. Это обстоятельство нарушало нормальную боевую работу полка.</w:t>
      </w:r>
    </w:p>
    <w:p w14:paraId="777FBC7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"Большое количество поломок, задержек и отказов в работе пушек вызвало у летчиков неприятное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Тишевский.</w:t>
      </w:r>
    </w:p>
    <w:p w14:paraId="7A6D253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Соответственно бригада специалистов от ОКБ-15 не могла оперативно устранять отказы в работе и поломки пушек.</w:t>
      </w:r>
    </w:p>
    <w:p w14:paraId="4839E46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этой причине после выхода из строя ряда деталей с трех самолетов пушки были сняты и они вылетали на боевые задания с бомбовой нагрузкой в 600 кг, 8 РС-32 и боекомплектом к пулеметам. Часть самолетов вылетала на боевые задания с одной исправной пушкой, а часть и с обеими неисправными пушками, используя в бою только реактивные снаряды, бомбы и пулеметы. К 22 января 1943 г. с пушками ШФК-37 летало только два штурмовика.</w:t>
      </w:r>
    </w:p>
    <w:p w14:paraId="6FFB53F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Здесь необходимо отметить, что ненадежная работа пушек в 688-м шап объясняется не столько недостатками самой пушки, сколько отсутствием ухода за пушками до их прибытия в полк. Дело в том, что после сборки на авиазаводе №18 самолеты сначала попали на аэродром 1-й запасной авиабригады Кряж, а затем были перегнаны на аэродром Толкай, где базировался 5-й запасной авиаполк бригады. Этими самолетами планировали вооружить 617-й штурмовой авиаполк, который проходил там переформирование и пополнение матчастью. Насколько удалось установить, находясь на аэродроме Кряж, за самолеты никто не отвечал, и они стояли бесхозными. Будучи уже на балансе 617-го шап, самолетами в течение месяца также никто не занимался и за оружием не следил. В результате, к началу подготовки летного состава полка пушки оказались в крайне запущенном состоянии: "...подвижные части и каналы стволов и снаружи пушки были ржавые". После "разбора полетов" за пушки, наконец, основательно взялись и в течение 10 дней привели в надлежащий вид. Однако "от сильного ржавения на многих деталях пушек остались неустранимые следы ржавчины и раковины". Когда же выяснилось, что 617-й шап укомплектован исключительно молодыми летчиками прямо из школ, то решили отправить самолеты в действующий полк под Сталинград. При этом один Ил-2 с ШФК-37 (зав. №1871129) из-за течи маслобака не смог вылететь вместе с основной группой с аэродрома Разбойщина и попал на фронт только 18 января 1943 г. Десятый противотанковый Ил-2 (зав. №1876123) из-за полного израсходования горючего вынужденно сел в глубокий снег вдали от посадочной полосы аэродрома Маркштад. На аэродроме Маркштад этот самолет находился, по крайней мере, до 15 февраля 1943 г. Что стало с ним в дальнейшем, установить не удалось.</w:t>
      </w:r>
    </w:p>
    <w:p w14:paraId="17D25A0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 времени окончания войсковых испытаний противотанковых вариантов Ил-2 стало известно о применении противником на фронте тяжелых танков Pz.VI "Тигр". От Главного разведывательного управления ГШ КА получены сведения о поступлении на вооружение немецкой армии новых образцов бронетехники - танков Pz.V "Пантера" и Pz.IV/H, а также штурмового орудия Jgd Pz Tiger(P) "Фердинанд". Все они имели усиленную броневую защиту и мощное вооружение. Массовое появление на фронте этих танков ожидалось летом 1943 г. Вопрос о резком повышении противотанковых возможностей ВВС КА встал со всей остротой.</w:t>
      </w:r>
    </w:p>
    <w:p w14:paraId="7BD4395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обмена мнениями по результатам боевого применения Ил-2 с 37-мм пушками было решено остановиться на варианте с 11П (в серии НС-37). Боекомплект к НС-37 устанавливался по 50 снарядов на ствол, нормальная бомбовая нагрузка 100 кг (в перегрузку 200 кг). Ракетные орудия с самолета снимались. Постановлением ГКО от 8 апреля 1943 г. серийный выпуск самолетов этого типа разворачивался на заводе №30 (12020).</w:t>
      </w:r>
    </w:p>
    <w:p w14:paraId="17A9DD4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9A0E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на заводе 30 в Москве началось изготовление крыла, деревянных хвостовых частей и шасси Ил-АМ-42 (1605,1). Это речь шла о будущем Ил-8.</w:t>
      </w:r>
    </w:p>
    <w:p w14:paraId="332F442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56389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w:t>
      </w:r>
      <w:r w:rsidRPr="00D03F3E">
        <w:rPr>
          <w:rFonts w:ascii="Times New Roman" w:hAnsi="Times New Roman"/>
          <w:color w:val="000000" w:themeColor="text1"/>
          <w:sz w:val="16"/>
          <w:szCs w:val="16"/>
        </w:rPr>
        <w:softHyphen/>
        <w:t>варе 1943 г. прошли заводские испыта</w:t>
      </w:r>
      <w:r w:rsidRPr="00D03F3E">
        <w:rPr>
          <w:rFonts w:ascii="Times New Roman" w:hAnsi="Times New Roman"/>
          <w:color w:val="000000" w:themeColor="text1"/>
          <w:sz w:val="16"/>
          <w:szCs w:val="16"/>
        </w:rPr>
        <w:softHyphen/>
        <w:t>ния АМ-42, на которых удалось добиться ре</w:t>
      </w:r>
      <w:r w:rsidRPr="00D03F3E">
        <w:rPr>
          <w:rFonts w:ascii="Times New Roman" w:hAnsi="Times New Roman"/>
          <w:color w:val="000000" w:themeColor="text1"/>
          <w:sz w:val="16"/>
          <w:szCs w:val="16"/>
        </w:rPr>
        <w:softHyphen/>
        <w:t>сурса в 50 ч (10680).</w:t>
      </w:r>
    </w:p>
    <w:p w14:paraId="01C63AC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C974B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АМ-42 прошел 50- часовые заводские испытания. В марте - мае того же года его облетывали на специально доработанном Ил-2 (Ил-АМ-42). Планировали провести государственные испытания АМ-42 в марте 1943 г., но двигатель не успели довести к этому сроку. В мае того же года Микулина освободили от обязанностей главного конструктора завода № 24, и дальнейшим совершенствованием мотора Флисский занимался самостоятельно. 23 сентября 1943 г. АМ-42 в первый раз представили на государственные испытания, с которых его довольно быстро сняли из-за прогара поршней. Последовала доводка двигателя. В ее ходе доработали беспоплавковый карбюратор К-42БПА, усилили силовые шпильки блока, юбки поршней, утолщили гильзы цилиндров, усилили редуктор. Госиспытания АМ-42 успешно прошел в апреле-мае 1944 г. Номинальная мощность равнялась 1750 л.с., а максимальная дошла до 2000 л.с. При этом вес у моторов первых серий был около 980 кг.</w:t>
      </w:r>
    </w:p>
    <w:p w14:paraId="478EEEC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еще раньше, с самого начала 1944 г., двигатель запустили в серию на заводе No 24. Эти моторы ставили на штурмовики Ил- 10. АМ-42 изготовлялся в больших количествах. С 1947 г. усилили картер, щеки коленчатого вала, шатуны, шестерни редуктора.э увеличило вес сухого двигателя на 10 кг (до 1030 кг). Попробовали вариант с непосредственным впрыском, но внедрение его на Ил-10 потребовало бы внесения значительных изменений в винтомоторную установку, и от серийного производства отказались.</w:t>
      </w:r>
    </w:p>
    <w:p w14:paraId="516AA9B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1948 г. АМ-42 сняли с производства, но в начале 1951 г. выпуск мотора восстановили в усовершенствованном варианте с ресурсом 400 часов (за счет нового увеличения веса) для Ил- 10М, но снова прекратили в 1954 г. Масштаб производства в 50-е годы был не сравним, с тем, что имел место во время войны - делали чуть более 300 моторов в год. Всего на заводе № 24 было изготовлено 10 232 двигателей АМ-42.</w:t>
      </w:r>
    </w:p>
    <w:p w14:paraId="03FDF3D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весны 1952 г. АМ-42 также делали по лицензии в Чехословакии на заводе им. Димитрова как М-42 для штурмовиков В-33 (это был местный вариант Ил-10). Количество моторов, выпущенных там, неизвестно. AJM-42 экспортировался в Польшу, Венгрию, Румынию, Чехословакию, Китай и Северную Корею.</w:t>
      </w:r>
    </w:p>
    <w:p w14:paraId="4080BD4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Существовало несколько опытных вариантов АМ-42. Например, имелась модификация с форкамер- ным зажиганием и степенью сжатия 7,0. Опытный образец ее испытывался на стенде в 1944 г. АМ-42Б (он же АМ-42ТК или АМ-42Б-ТК) - это вариант 1943 г. с переделанным ПЦН, новыми всасывающими патрубками и воздухо-воздушным интеркулером. Он комплектовался двумя турбонагнетателями ТК-300Б.</w:t>
      </w:r>
    </w:p>
    <w:p w14:paraId="25EA006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Мощность была на уровне серийного типа, но номинальную мощность можно было удерживать до гораздо большей высоты. Такой двигатель изготовили в марте 1943 г., он испытывался на опытном истребителе "5А" конструкции А.И. Микояна. Был и еще один вариант с турбонаддувом - АМ-42ФБ-ТК с двумя турбонагнетателями ТК-1А.</w:t>
      </w:r>
    </w:p>
    <w:p w14:paraId="1D1EE87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АМ-42ФНВ отличался непосредственным впрыском топлива. Он получился тяжелее карбюраторного "собрата" - вес дошел до 1000 кг. Испытания опытного образца АМ-42ФНВ на стенде были завершены 22 августа 1945 г., но серийно этот вариант строить не стали (11934).</w:t>
      </w:r>
    </w:p>
    <w:p w14:paraId="45C987D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6CC55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НТЖ № 050 кумулятивной авиабомбе присвоили наименование ПТАБ-2.5-1.5 и утвердили номер чертежа 3-01217 и индекс ВВС 7-Т-118 (7453, 524).</w:t>
      </w:r>
    </w:p>
    <w:p w14:paraId="6ADBF8C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E366B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П.О.Сухой предъявил эскизный проект самолета Су-6 в двухме</w:t>
      </w:r>
      <w:r w:rsidRPr="00D03F3E">
        <w:rPr>
          <w:rFonts w:ascii="Times New Roman" w:hAnsi="Times New Roman"/>
          <w:color w:val="000000" w:themeColor="text1"/>
          <w:sz w:val="16"/>
          <w:szCs w:val="16"/>
        </w:rPr>
        <w:softHyphen/>
        <w:t>стном варианте с мотором М-71Ф (5011).</w:t>
      </w:r>
    </w:p>
    <w:p w14:paraId="15E79F4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D6D7E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И.В.С. вызывал П.О.С. по поводу запуска Су-6 в серию. Спросил, скажется ли на темпах выпуска. Да. Не стали (510).</w:t>
      </w:r>
    </w:p>
    <w:p w14:paraId="5A25F36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F8076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года был завер</w:t>
      </w:r>
      <w:r w:rsidRPr="00D03F3E">
        <w:rPr>
          <w:rFonts w:ascii="Times New Roman" w:hAnsi="Times New Roman"/>
          <w:color w:val="000000" w:themeColor="text1"/>
          <w:sz w:val="16"/>
          <w:szCs w:val="16"/>
        </w:rPr>
        <w:softHyphen/>
        <w:t>шен и предъявлен на рассмотре</w:t>
      </w:r>
      <w:r w:rsidRPr="00D03F3E">
        <w:rPr>
          <w:rFonts w:ascii="Times New Roman" w:hAnsi="Times New Roman"/>
          <w:color w:val="000000" w:themeColor="text1"/>
          <w:sz w:val="16"/>
          <w:szCs w:val="16"/>
        </w:rPr>
        <w:softHyphen/>
        <w:t>ние в НИИ ВВС КА эскизный про</w:t>
      </w:r>
      <w:r w:rsidRPr="00D03F3E">
        <w:rPr>
          <w:rFonts w:ascii="Times New Roman" w:hAnsi="Times New Roman"/>
          <w:color w:val="000000" w:themeColor="text1"/>
          <w:sz w:val="16"/>
          <w:szCs w:val="16"/>
        </w:rPr>
        <w:softHyphen/>
        <w:t>ект самолета Су-6 в варианте ис</w:t>
      </w:r>
      <w:r w:rsidRPr="00D03F3E">
        <w:rPr>
          <w:rFonts w:ascii="Times New Roman" w:hAnsi="Times New Roman"/>
          <w:color w:val="000000" w:themeColor="text1"/>
          <w:sz w:val="16"/>
          <w:szCs w:val="16"/>
        </w:rPr>
        <w:softHyphen/>
        <w:t>требителя с гермокабиной и двумя турбокомпрессорами ТК-3. В пояс</w:t>
      </w:r>
      <w:r w:rsidRPr="00D03F3E">
        <w:rPr>
          <w:rFonts w:ascii="Times New Roman" w:hAnsi="Times New Roman"/>
          <w:color w:val="000000" w:themeColor="text1"/>
          <w:sz w:val="16"/>
          <w:szCs w:val="16"/>
        </w:rPr>
        <w:softHyphen/>
        <w:t>нительной записке отмечалось, что: «Применение дальних бомбарди</w:t>
      </w:r>
      <w:r w:rsidRPr="00D03F3E">
        <w:rPr>
          <w:rFonts w:ascii="Times New Roman" w:hAnsi="Times New Roman"/>
          <w:color w:val="000000" w:themeColor="text1"/>
          <w:sz w:val="16"/>
          <w:szCs w:val="16"/>
        </w:rPr>
        <w:softHyphen/>
        <w:t>ровщиков и разведчиков на высо</w:t>
      </w:r>
      <w:r w:rsidRPr="00D03F3E">
        <w:rPr>
          <w:rFonts w:ascii="Times New Roman" w:hAnsi="Times New Roman"/>
          <w:color w:val="000000" w:themeColor="text1"/>
          <w:sz w:val="16"/>
          <w:szCs w:val="16"/>
        </w:rPr>
        <w:softHyphen/>
        <w:t>тах 9000-10000 м, представляет зна</w:t>
      </w:r>
      <w:r w:rsidRPr="00D03F3E">
        <w:rPr>
          <w:rFonts w:ascii="Times New Roman" w:hAnsi="Times New Roman"/>
          <w:color w:val="000000" w:themeColor="text1"/>
          <w:sz w:val="16"/>
          <w:szCs w:val="16"/>
        </w:rPr>
        <w:softHyphen/>
        <w:t>чительные тактические преимуще</w:t>
      </w:r>
      <w:r w:rsidRPr="00D03F3E">
        <w:rPr>
          <w:rFonts w:ascii="Times New Roman" w:hAnsi="Times New Roman"/>
          <w:color w:val="000000" w:themeColor="text1"/>
          <w:sz w:val="16"/>
          <w:szCs w:val="16"/>
        </w:rPr>
        <w:softHyphen/>
        <w:t>ства, т.к. на этих высотах они име</w:t>
      </w:r>
      <w:r w:rsidRPr="00D03F3E">
        <w:rPr>
          <w:rFonts w:ascii="Times New Roman" w:hAnsi="Times New Roman"/>
          <w:color w:val="000000" w:themeColor="text1"/>
          <w:sz w:val="16"/>
          <w:szCs w:val="16"/>
        </w:rPr>
        <w:softHyphen/>
        <w:t>ют меньшую уязвимость от зенит</w:t>
      </w:r>
      <w:r w:rsidRPr="00D03F3E">
        <w:rPr>
          <w:rFonts w:ascii="Times New Roman" w:hAnsi="Times New Roman"/>
          <w:color w:val="000000" w:themeColor="text1"/>
          <w:sz w:val="16"/>
          <w:szCs w:val="16"/>
        </w:rPr>
        <w:softHyphen/>
        <w:t>ного огня. Борьба с бомбардиров</w:t>
      </w:r>
      <w:r w:rsidRPr="00D03F3E">
        <w:rPr>
          <w:rFonts w:ascii="Times New Roman" w:hAnsi="Times New Roman"/>
          <w:color w:val="000000" w:themeColor="text1"/>
          <w:sz w:val="16"/>
          <w:szCs w:val="16"/>
        </w:rPr>
        <w:softHyphen/>
        <w:t>щиками на больших высотах долж</w:t>
      </w:r>
      <w:r w:rsidRPr="00D03F3E">
        <w:rPr>
          <w:rFonts w:ascii="Times New Roman" w:hAnsi="Times New Roman"/>
          <w:color w:val="000000" w:themeColor="text1"/>
          <w:sz w:val="16"/>
          <w:szCs w:val="16"/>
        </w:rPr>
        <w:softHyphen/>
        <w:t>на осуществляться с помощью специальных высотных истребителей, обладающих потолком не менее 12000 м и хорошей скороподъем</w:t>
      </w:r>
      <w:r w:rsidRPr="00D03F3E">
        <w:rPr>
          <w:rFonts w:ascii="Times New Roman" w:hAnsi="Times New Roman"/>
          <w:color w:val="000000" w:themeColor="text1"/>
          <w:sz w:val="16"/>
          <w:szCs w:val="16"/>
        </w:rPr>
        <w:softHyphen/>
        <w:t>ностью. Такие истребители для обес</w:t>
      </w:r>
      <w:r w:rsidRPr="00D03F3E">
        <w:rPr>
          <w:rFonts w:ascii="Times New Roman" w:hAnsi="Times New Roman"/>
          <w:color w:val="000000" w:themeColor="text1"/>
          <w:sz w:val="16"/>
          <w:szCs w:val="16"/>
        </w:rPr>
        <w:softHyphen/>
        <w:t>печения нормальной работы экипа</w:t>
      </w:r>
      <w:r w:rsidRPr="00D03F3E">
        <w:rPr>
          <w:rFonts w:ascii="Times New Roman" w:hAnsi="Times New Roman"/>
          <w:color w:val="000000" w:themeColor="text1"/>
          <w:sz w:val="16"/>
          <w:szCs w:val="16"/>
        </w:rPr>
        <w:softHyphen/>
        <w:t>жа следует снабжать высотными гер</w:t>
      </w:r>
      <w:r w:rsidRPr="00D03F3E">
        <w:rPr>
          <w:rFonts w:ascii="Times New Roman" w:hAnsi="Times New Roman"/>
          <w:color w:val="000000" w:themeColor="text1"/>
          <w:sz w:val="16"/>
          <w:szCs w:val="16"/>
        </w:rPr>
        <w:softHyphen/>
        <w:t>метическими кабинами, т.к. только герметическая кабина гарантиру</w:t>
      </w:r>
      <w:r w:rsidRPr="00D03F3E">
        <w:rPr>
          <w:rFonts w:ascii="Times New Roman" w:hAnsi="Times New Roman"/>
          <w:color w:val="000000" w:themeColor="text1"/>
          <w:sz w:val="16"/>
          <w:szCs w:val="16"/>
        </w:rPr>
        <w:softHyphen/>
        <w:t>ет пилоту нормальные условия ра</w:t>
      </w:r>
      <w:r w:rsidRPr="00D03F3E">
        <w:rPr>
          <w:rFonts w:ascii="Times New Roman" w:hAnsi="Times New Roman"/>
          <w:color w:val="000000" w:themeColor="text1"/>
          <w:sz w:val="16"/>
          <w:szCs w:val="16"/>
        </w:rPr>
        <w:softHyphen/>
        <w:t>боты на высотах 10000 м и выше. Нужно отметить, однако, что и на меньших высотах применение гер</w:t>
      </w:r>
      <w:r w:rsidRPr="00D03F3E">
        <w:rPr>
          <w:rFonts w:ascii="Times New Roman" w:hAnsi="Times New Roman"/>
          <w:color w:val="000000" w:themeColor="text1"/>
          <w:sz w:val="16"/>
          <w:szCs w:val="16"/>
        </w:rPr>
        <w:softHyphen/>
        <w:t>метических кабин целесообразно, т.к. пилот, находясь в кабине с близ</w:t>
      </w:r>
      <w:r w:rsidRPr="00D03F3E">
        <w:rPr>
          <w:rFonts w:ascii="Times New Roman" w:hAnsi="Times New Roman"/>
          <w:color w:val="000000" w:themeColor="text1"/>
          <w:sz w:val="16"/>
          <w:szCs w:val="16"/>
        </w:rPr>
        <w:softHyphen/>
        <w:t>ким к нормальным температуре и давлению, с соответствующим со</w:t>
      </w:r>
      <w:r w:rsidRPr="00D03F3E">
        <w:rPr>
          <w:rFonts w:ascii="Times New Roman" w:hAnsi="Times New Roman"/>
          <w:color w:val="000000" w:themeColor="text1"/>
          <w:sz w:val="16"/>
          <w:szCs w:val="16"/>
        </w:rPr>
        <w:softHyphen/>
        <w:t>держанием кислорода, будет рас</w:t>
      </w:r>
      <w:r w:rsidRPr="00D03F3E">
        <w:rPr>
          <w:rFonts w:ascii="Times New Roman" w:hAnsi="Times New Roman"/>
          <w:color w:val="000000" w:themeColor="text1"/>
          <w:sz w:val="16"/>
          <w:szCs w:val="16"/>
        </w:rPr>
        <w:softHyphen/>
        <w:t>полагать значительно большим ком</w:t>
      </w:r>
      <w:r w:rsidRPr="00D03F3E">
        <w:rPr>
          <w:rFonts w:ascii="Times New Roman" w:hAnsi="Times New Roman"/>
          <w:color w:val="000000" w:themeColor="text1"/>
          <w:sz w:val="16"/>
          <w:szCs w:val="16"/>
        </w:rPr>
        <w:softHyphen/>
        <w:t>фортом, нежели в обычной каби</w:t>
      </w:r>
      <w:r w:rsidRPr="00D03F3E">
        <w:rPr>
          <w:rFonts w:ascii="Times New Roman" w:hAnsi="Times New Roman"/>
          <w:color w:val="000000" w:themeColor="text1"/>
          <w:sz w:val="16"/>
          <w:szCs w:val="16"/>
        </w:rPr>
        <w:softHyphen/>
        <w:t>не, вследствие чего, его работос</w:t>
      </w:r>
      <w:r w:rsidRPr="00D03F3E">
        <w:rPr>
          <w:rFonts w:ascii="Times New Roman" w:hAnsi="Times New Roman"/>
          <w:color w:val="000000" w:themeColor="text1"/>
          <w:sz w:val="16"/>
          <w:szCs w:val="16"/>
        </w:rPr>
        <w:softHyphen/>
        <w:t>пособность, необходимая для веде</w:t>
      </w:r>
      <w:r w:rsidRPr="00D03F3E">
        <w:rPr>
          <w:rFonts w:ascii="Times New Roman" w:hAnsi="Times New Roman"/>
          <w:color w:val="000000" w:themeColor="text1"/>
          <w:sz w:val="16"/>
          <w:szCs w:val="16"/>
        </w:rPr>
        <w:softHyphen/>
        <w:t>ния воздушного боя, будет выше.</w:t>
      </w:r>
    </w:p>
    <w:p w14:paraId="5240780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Предлагаемый в данном эскиз</w:t>
      </w:r>
      <w:r w:rsidRPr="00D03F3E">
        <w:rPr>
          <w:rFonts w:ascii="Times New Roman" w:hAnsi="Times New Roman"/>
          <w:color w:val="000000" w:themeColor="text1"/>
          <w:sz w:val="16"/>
          <w:szCs w:val="16"/>
        </w:rPr>
        <w:softHyphen/>
        <w:t>ном проекте высотный истребитель является модификацией первого эк</w:t>
      </w:r>
      <w:r w:rsidRPr="00D03F3E">
        <w:rPr>
          <w:rFonts w:ascii="Times New Roman" w:hAnsi="Times New Roman"/>
          <w:color w:val="000000" w:themeColor="text1"/>
          <w:sz w:val="16"/>
          <w:szCs w:val="16"/>
        </w:rPr>
        <w:softHyphen/>
        <w:t>земпляра опытного самолета Су-6, на котором устанавливаются два ТК-3 и высотная гермокабина с постоянным давлением. ...</w:t>
      </w:r>
    </w:p>
    <w:p w14:paraId="0E4938D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Переделки по Су-6 при перехо</w:t>
      </w:r>
      <w:r w:rsidRPr="00D03F3E">
        <w:rPr>
          <w:rFonts w:ascii="Times New Roman" w:hAnsi="Times New Roman"/>
          <w:color w:val="000000" w:themeColor="text1"/>
          <w:sz w:val="16"/>
          <w:szCs w:val="16"/>
        </w:rPr>
        <w:softHyphen/>
        <w:t>де на вариант высотного истреби</w:t>
      </w:r>
      <w:r w:rsidRPr="00D03F3E">
        <w:rPr>
          <w:rFonts w:ascii="Times New Roman" w:hAnsi="Times New Roman"/>
          <w:color w:val="000000" w:themeColor="text1"/>
          <w:sz w:val="16"/>
          <w:szCs w:val="16"/>
        </w:rPr>
        <w:softHyphen/>
        <w:t>теля сведутся к небольшим измене</w:t>
      </w:r>
      <w:r w:rsidRPr="00D03F3E">
        <w:rPr>
          <w:rFonts w:ascii="Times New Roman" w:hAnsi="Times New Roman"/>
          <w:color w:val="000000" w:themeColor="text1"/>
          <w:sz w:val="16"/>
          <w:szCs w:val="16"/>
        </w:rPr>
        <w:softHyphen/>
        <w:t>ниям конструкции фюзеляжа, связан-</w:t>
      </w:r>
    </w:p>
    <w:p w14:paraId="2A16BF4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ным с установкой ГК и ТК-3, управ</w:t>
      </w:r>
      <w:r w:rsidRPr="00D03F3E">
        <w:rPr>
          <w:rFonts w:ascii="Times New Roman" w:hAnsi="Times New Roman"/>
          <w:color w:val="000000" w:themeColor="text1"/>
          <w:sz w:val="16"/>
          <w:szCs w:val="16"/>
        </w:rPr>
        <w:softHyphen/>
        <w:t>ления самолетом, вооружения и ВМГ.</w:t>
      </w:r>
    </w:p>
    <w:p w14:paraId="45B5474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Грузовой отсек, расположенный за кабиной пилота, служит для раз</w:t>
      </w:r>
      <w:r w:rsidRPr="00D03F3E">
        <w:rPr>
          <w:rFonts w:ascii="Times New Roman" w:hAnsi="Times New Roman"/>
          <w:color w:val="000000" w:themeColor="text1"/>
          <w:sz w:val="16"/>
          <w:szCs w:val="16"/>
        </w:rPr>
        <w:softHyphen/>
        <w:t>мещения в нем дополнительного бензобака и установки двух ТК-3.</w:t>
      </w:r>
    </w:p>
    <w:p w14:paraId="567C875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Гермокабина емкостью 0,7 м</w:t>
      </w:r>
      <w:r w:rsidRPr="00D03F3E">
        <w:rPr>
          <w:rFonts w:ascii="Times New Roman" w:hAnsi="Times New Roman"/>
          <w:color w:val="000000" w:themeColor="text1"/>
          <w:sz w:val="16"/>
          <w:szCs w:val="16"/>
          <w:vertAlign w:val="superscript"/>
        </w:rPr>
        <w:t xml:space="preserve">2 </w:t>
      </w:r>
      <w:r w:rsidRPr="00D03F3E">
        <w:rPr>
          <w:rFonts w:ascii="Times New Roman" w:hAnsi="Times New Roman"/>
          <w:color w:val="000000" w:themeColor="text1"/>
          <w:sz w:val="16"/>
          <w:szCs w:val="16"/>
        </w:rPr>
        <w:t>осуществляется как компрессорно-вентиляционная с забором воздуха из нагнетательной воздушной сис</w:t>
      </w:r>
      <w:r w:rsidRPr="00D03F3E">
        <w:rPr>
          <w:rFonts w:ascii="Times New Roman" w:hAnsi="Times New Roman"/>
          <w:color w:val="000000" w:themeColor="text1"/>
          <w:sz w:val="16"/>
          <w:szCs w:val="16"/>
        </w:rPr>
        <w:softHyphen/>
        <w:t>темы ТК через фильтр. Давление в кабине будет соответствовать вы</w:t>
      </w:r>
      <w:r w:rsidRPr="00D03F3E">
        <w:rPr>
          <w:rFonts w:ascii="Times New Roman" w:hAnsi="Times New Roman"/>
          <w:color w:val="000000" w:themeColor="text1"/>
          <w:sz w:val="16"/>
          <w:szCs w:val="16"/>
        </w:rPr>
        <w:softHyphen/>
        <w:t>соте 3500 м. Конструкция кабины -дюралевая. Обечайка - из листа толщиной 0,8 мм имеет спереди коническую форму, сзади - цилинд</w:t>
      </w:r>
      <w:r w:rsidRPr="00D03F3E">
        <w:rPr>
          <w:rFonts w:ascii="Times New Roman" w:hAnsi="Times New Roman"/>
          <w:color w:val="000000" w:themeColor="text1"/>
          <w:sz w:val="16"/>
          <w:szCs w:val="16"/>
        </w:rPr>
        <w:softHyphen/>
        <w:t>рическую.</w:t>
      </w:r>
    </w:p>
    <w:p w14:paraId="0261344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Вырез в верхней части, над ко</w:t>
      </w:r>
      <w:r w:rsidRPr="00D03F3E">
        <w:rPr>
          <w:rFonts w:ascii="Times New Roman" w:hAnsi="Times New Roman"/>
          <w:color w:val="000000" w:themeColor="text1"/>
          <w:sz w:val="16"/>
          <w:szCs w:val="16"/>
        </w:rPr>
        <w:softHyphen/>
        <w:t>торым расположен фонарь пилота, усилен дюралевой рамой, ... Пере</w:t>
      </w:r>
      <w:r w:rsidRPr="00D03F3E">
        <w:rPr>
          <w:rFonts w:ascii="Times New Roman" w:hAnsi="Times New Roman"/>
          <w:color w:val="000000" w:themeColor="text1"/>
          <w:sz w:val="16"/>
          <w:szCs w:val="16"/>
        </w:rPr>
        <w:softHyphen/>
        <w:t>днее днище штампуется из дюрале</w:t>
      </w:r>
      <w:r w:rsidRPr="00D03F3E">
        <w:rPr>
          <w:rFonts w:ascii="Times New Roman" w:hAnsi="Times New Roman"/>
          <w:color w:val="000000" w:themeColor="text1"/>
          <w:sz w:val="16"/>
          <w:szCs w:val="16"/>
        </w:rPr>
        <w:softHyphen/>
        <w:t>вого листа толщиной 1,5 мм. Зад</w:t>
      </w:r>
      <w:r w:rsidRPr="00D03F3E">
        <w:rPr>
          <w:rFonts w:ascii="Times New Roman" w:hAnsi="Times New Roman"/>
          <w:color w:val="000000" w:themeColor="text1"/>
          <w:sz w:val="16"/>
          <w:szCs w:val="16"/>
        </w:rPr>
        <w:softHyphen/>
        <w:t>нее днище служит броней пилота и изготавливается из броневой ста</w:t>
      </w:r>
      <w:r w:rsidRPr="00D03F3E">
        <w:rPr>
          <w:rFonts w:ascii="Times New Roman" w:hAnsi="Times New Roman"/>
          <w:color w:val="000000" w:themeColor="text1"/>
          <w:sz w:val="16"/>
          <w:szCs w:val="16"/>
        </w:rPr>
        <w:softHyphen/>
        <w:t>ли толщиной 15 мм. Заднее днище соединяется с обечайкой при по</w:t>
      </w:r>
      <w:r w:rsidRPr="00D03F3E">
        <w:rPr>
          <w:rFonts w:ascii="Times New Roman" w:hAnsi="Times New Roman"/>
          <w:color w:val="000000" w:themeColor="text1"/>
          <w:sz w:val="16"/>
          <w:szCs w:val="16"/>
        </w:rPr>
        <w:softHyphen/>
        <w:t>мощи стального уголка. Фонарь кабины имеет запирающийся гер-молюк.</w:t>
      </w:r>
    </w:p>
    <w:p w14:paraId="661F648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Управление самолетом подвер</w:t>
      </w:r>
      <w:r w:rsidRPr="00D03F3E">
        <w:rPr>
          <w:rFonts w:ascii="Times New Roman" w:hAnsi="Times New Roman"/>
          <w:color w:val="000000" w:themeColor="text1"/>
          <w:sz w:val="16"/>
          <w:szCs w:val="16"/>
        </w:rPr>
        <w:softHyphen/>
        <w:t>гается изменениям вследствие не</w:t>
      </w:r>
      <w:r w:rsidRPr="00D03F3E">
        <w:rPr>
          <w:rFonts w:ascii="Times New Roman" w:hAnsi="Times New Roman"/>
          <w:color w:val="000000" w:themeColor="text1"/>
          <w:sz w:val="16"/>
          <w:szCs w:val="16"/>
        </w:rPr>
        <w:softHyphen/>
        <w:t>обходимости осуществления надежных и простых гермовыводов из кабины. На основании опыта мож</w:t>
      </w:r>
      <w:r w:rsidRPr="00D03F3E">
        <w:rPr>
          <w:rFonts w:ascii="Times New Roman" w:hAnsi="Times New Roman"/>
          <w:color w:val="000000" w:themeColor="text1"/>
          <w:sz w:val="16"/>
          <w:szCs w:val="16"/>
        </w:rPr>
        <w:softHyphen/>
        <w:t>но считать, что наиболее надеж</w:t>
      </w:r>
      <w:r w:rsidRPr="00D03F3E">
        <w:rPr>
          <w:rFonts w:ascii="Times New Roman" w:hAnsi="Times New Roman"/>
          <w:color w:val="000000" w:themeColor="text1"/>
          <w:sz w:val="16"/>
          <w:szCs w:val="16"/>
        </w:rPr>
        <w:softHyphen/>
        <w:t>ным гермовыводом является сальник с валом, работающим на кручение.</w:t>
      </w:r>
    </w:p>
    <w:p w14:paraId="5D61707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Разработанная в проекте схе</w:t>
      </w:r>
      <w:r w:rsidRPr="00D03F3E">
        <w:rPr>
          <w:rFonts w:ascii="Times New Roman" w:hAnsi="Times New Roman"/>
          <w:color w:val="000000" w:themeColor="text1"/>
          <w:sz w:val="16"/>
          <w:szCs w:val="16"/>
        </w:rPr>
        <w:softHyphen/>
        <w:t>ма предусматривает четыре основ</w:t>
      </w:r>
      <w:r w:rsidRPr="00D03F3E">
        <w:rPr>
          <w:rFonts w:ascii="Times New Roman" w:hAnsi="Times New Roman"/>
          <w:color w:val="000000" w:themeColor="text1"/>
          <w:sz w:val="16"/>
          <w:szCs w:val="16"/>
        </w:rPr>
        <w:softHyphen/>
        <w:t>ных вывода: два для ручного управ</w:t>
      </w:r>
      <w:r w:rsidRPr="00D03F3E">
        <w:rPr>
          <w:rFonts w:ascii="Times New Roman" w:hAnsi="Times New Roman"/>
          <w:color w:val="000000" w:themeColor="text1"/>
          <w:sz w:val="16"/>
          <w:szCs w:val="16"/>
        </w:rPr>
        <w:softHyphen/>
        <w:t>ления (РВ и элероны) и два для нож</w:t>
      </w:r>
      <w:r w:rsidRPr="00D03F3E">
        <w:rPr>
          <w:rFonts w:ascii="Times New Roman" w:hAnsi="Times New Roman"/>
          <w:color w:val="000000" w:themeColor="text1"/>
          <w:sz w:val="16"/>
          <w:szCs w:val="16"/>
        </w:rPr>
        <w:softHyphen/>
        <w:t>ного...</w:t>
      </w:r>
    </w:p>
    <w:p w14:paraId="7E2507C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самолета состоит из стрелкового, включающего в себя две неподвижные батареи, распо</w:t>
      </w:r>
      <w:r w:rsidRPr="00D03F3E">
        <w:rPr>
          <w:rFonts w:ascii="Times New Roman" w:hAnsi="Times New Roman"/>
          <w:color w:val="000000" w:themeColor="text1"/>
          <w:sz w:val="16"/>
          <w:szCs w:val="16"/>
        </w:rPr>
        <w:softHyphen/>
        <w:t>ложенные в консолях крыла. Каж</w:t>
      </w:r>
      <w:r w:rsidRPr="00D03F3E">
        <w:rPr>
          <w:rFonts w:ascii="Times New Roman" w:hAnsi="Times New Roman"/>
          <w:color w:val="000000" w:themeColor="text1"/>
          <w:sz w:val="16"/>
          <w:szCs w:val="16"/>
        </w:rPr>
        <w:softHyphen/>
        <w:t>дая батарея состоит из одной пуш</w:t>
      </w:r>
      <w:r w:rsidRPr="00D03F3E">
        <w:rPr>
          <w:rFonts w:ascii="Times New Roman" w:hAnsi="Times New Roman"/>
          <w:color w:val="000000" w:themeColor="text1"/>
          <w:sz w:val="16"/>
          <w:szCs w:val="16"/>
        </w:rPr>
        <w:softHyphen/>
        <w:t>ки ШВАК, калибра 20 мм с боеза</w:t>
      </w:r>
      <w:r w:rsidRPr="00D03F3E">
        <w:rPr>
          <w:rFonts w:ascii="Times New Roman" w:hAnsi="Times New Roman"/>
          <w:color w:val="000000" w:themeColor="text1"/>
          <w:sz w:val="16"/>
          <w:szCs w:val="16"/>
        </w:rPr>
        <w:softHyphen/>
        <w:t>пасом 100 снарядов и одного пуле</w:t>
      </w:r>
      <w:r w:rsidRPr="00D03F3E">
        <w:rPr>
          <w:rFonts w:ascii="Times New Roman" w:hAnsi="Times New Roman"/>
          <w:color w:val="000000" w:themeColor="text1"/>
          <w:sz w:val="16"/>
          <w:szCs w:val="16"/>
        </w:rPr>
        <w:softHyphen/>
        <w:t>мета Березина УБТ, калибра 12,7 мм с боезапасом 130 патронов на пулемет.</w:t>
      </w:r>
    </w:p>
    <w:p w14:paraId="6DA963F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Изменения по моторному обо</w:t>
      </w:r>
      <w:r w:rsidRPr="00D03F3E">
        <w:rPr>
          <w:rFonts w:ascii="Times New Roman" w:hAnsi="Times New Roman"/>
          <w:color w:val="000000" w:themeColor="text1"/>
          <w:sz w:val="16"/>
          <w:szCs w:val="16"/>
        </w:rPr>
        <w:softHyphen/>
        <w:t>рудованию связаны с необходимо</w:t>
      </w:r>
      <w:r w:rsidRPr="00D03F3E">
        <w:rPr>
          <w:rFonts w:ascii="Times New Roman" w:hAnsi="Times New Roman"/>
          <w:color w:val="000000" w:themeColor="text1"/>
          <w:sz w:val="16"/>
          <w:szCs w:val="16"/>
        </w:rPr>
        <w:softHyphen/>
        <w:t>стью введения гермовыводов, уста</w:t>
      </w:r>
      <w:r w:rsidRPr="00D03F3E">
        <w:rPr>
          <w:rFonts w:ascii="Times New Roman" w:hAnsi="Times New Roman"/>
          <w:color w:val="000000" w:themeColor="text1"/>
          <w:sz w:val="16"/>
          <w:szCs w:val="16"/>
        </w:rPr>
        <w:softHyphen/>
        <w:t>новкой дополнительного бензоба</w:t>
      </w:r>
      <w:r w:rsidRPr="00D03F3E">
        <w:rPr>
          <w:rFonts w:ascii="Times New Roman" w:hAnsi="Times New Roman"/>
          <w:color w:val="000000" w:themeColor="text1"/>
          <w:sz w:val="16"/>
          <w:szCs w:val="16"/>
        </w:rPr>
        <w:softHyphen/>
        <w:t>ка в грузовом отсеке фюзеляжа и с установкой ТК-3.</w:t>
      </w:r>
    </w:p>
    <w:p w14:paraId="166CFDE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Проектирование и переделка самолета займут около 20000 ча</w:t>
      </w:r>
      <w:r w:rsidRPr="00D03F3E">
        <w:rPr>
          <w:rFonts w:ascii="Times New Roman" w:hAnsi="Times New Roman"/>
          <w:color w:val="000000" w:themeColor="text1"/>
          <w:sz w:val="16"/>
          <w:szCs w:val="16"/>
        </w:rPr>
        <w:softHyphen/>
        <w:t>сов. Самолет может быть предъяв</w:t>
      </w:r>
      <w:r w:rsidRPr="00D03F3E">
        <w:rPr>
          <w:rFonts w:ascii="Times New Roman" w:hAnsi="Times New Roman"/>
          <w:color w:val="000000" w:themeColor="text1"/>
          <w:sz w:val="16"/>
          <w:szCs w:val="16"/>
        </w:rPr>
        <w:softHyphen/>
        <w:t>лен на испытания к 1 июня с.г. ...»</w:t>
      </w:r>
    </w:p>
    <w:p w14:paraId="6E566F6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Эскизный проект истребителя был рассмотрен в НИИ ВВС КА, но одобрения не получил. В заключе</w:t>
      </w:r>
      <w:r w:rsidRPr="00D03F3E">
        <w:rPr>
          <w:rFonts w:ascii="Times New Roman" w:hAnsi="Times New Roman"/>
          <w:color w:val="000000" w:themeColor="text1"/>
          <w:sz w:val="16"/>
          <w:szCs w:val="16"/>
        </w:rPr>
        <w:softHyphen/>
        <w:t>нии отмечалось, что:</w:t>
      </w:r>
    </w:p>
    <w:p w14:paraId="04FC710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Предъявленный эскизный про</w:t>
      </w:r>
      <w:r w:rsidRPr="00D03F3E">
        <w:rPr>
          <w:rFonts w:ascii="Times New Roman" w:hAnsi="Times New Roman"/>
          <w:color w:val="000000" w:themeColor="text1"/>
          <w:sz w:val="16"/>
          <w:szCs w:val="16"/>
        </w:rPr>
        <w:softHyphen/>
        <w:t>ект разработан неудовлетворитель</w:t>
      </w:r>
      <w:r w:rsidRPr="00D03F3E">
        <w:rPr>
          <w:rFonts w:ascii="Times New Roman" w:hAnsi="Times New Roman"/>
          <w:color w:val="000000" w:themeColor="text1"/>
          <w:sz w:val="16"/>
          <w:szCs w:val="16"/>
        </w:rPr>
        <w:softHyphen/>
        <w:t>но.</w:t>
      </w:r>
    </w:p>
    <w:p w14:paraId="6388CC6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Предложить главному конст</w:t>
      </w:r>
      <w:r w:rsidRPr="00D03F3E">
        <w:rPr>
          <w:rFonts w:ascii="Times New Roman" w:hAnsi="Times New Roman"/>
          <w:color w:val="000000" w:themeColor="text1"/>
          <w:sz w:val="16"/>
          <w:szCs w:val="16"/>
        </w:rPr>
        <w:softHyphen/>
        <w:t>руктору Сухому разработать бо</w:t>
      </w:r>
      <w:r w:rsidRPr="00D03F3E">
        <w:rPr>
          <w:rFonts w:ascii="Times New Roman" w:hAnsi="Times New Roman"/>
          <w:color w:val="000000" w:themeColor="text1"/>
          <w:sz w:val="16"/>
          <w:szCs w:val="16"/>
        </w:rPr>
        <w:softHyphen/>
        <w:t>лее полный эскизный проект истре</w:t>
      </w:r>
      <w:r w:rsidRPr="00D03F3E">
        <w:rPr>
          <w:rFonts w:ascii="Times New Roman" w:hAnsi="Times New Roman"/>
          <w:color w:val="000000" w:themeColor="text1"/>
          <w:sz w:val="16"/>
          <w:szCs w:val="16"/>
        </w:rPr>
        <w:softHyphen/>
        <w:t>бителя, отвечающий 777 ВВС КА на 1943 год» (11845).</w:t>
      </w:r>
    </w:p>
    <w:p w14:paraId="12170B8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21E7A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года, учитывая замечания и пожелания НИИ ВВС КА, приступили к проектированию четырехместного ДДБШ в вариан</w:t>
      </w:r>
      <w:r w:rsidRPr="00D03F3E">
        <w:rPr>
          <w:rFonts w:ascii="Times New Roman" w:hAnsi="Times New Roman"/>
          <w:color w:val="000000" w:themeColor="text1"/>
          <w:sz w:val="16"/>
          <w:szCs w:val="16"/>
        </w:rPr>
        <w:softHyphen/>
        <w:t>тах бомбардировщика и высотно</w:t>
      </w:r>
      <w:r w:rsidRPr="00D03F3E">
        <w:rPr>
          <w:rFonts w:ascii="Times New Roman" w:hAnsi="Times New Roman"/>
          <w:color w:val="000000" w:themeColor="text1"/>
          <w:sz w:val="16"/>
          <w:szCs w:val="16"/>
        </w:rPr>
        <w:softHyphen/>
        <w:t>го разведчика. Весной этот самолет в качестве дублера Су-8 был включен в про</w:t>
      </w:r>
      <w:r w:rsidRPr="00D03F3E">
        <w:rPr>
          <w:rFonts w:ascii="Times New Roman" w:hAnsi="Times New Roman"/>
          <w:color w:val="000000" w:themeColor="text1"/>
          <w:sz w:val="16"/>
          <w:szCs w:val="16"/>
        </w:rPr>
        <w:softHyphen/>
        <w:t>ект плана строительства самолетов и модификаций серийных самоле</w:t>
      </w:r>
      <w:r w:rsidRPr="00D03F3E">
        <w:rPr>
          <w:rFonts w:ascii="Times New Roman" w:hAnsi="Times New Roman"/>
          <w:color w:val="000000" w:themeColor="text1"/>
          <w:sz w:val="16"/>
          <w:szCs w:val="16"/>
        </w:rPr>
        <w:softHyphen/>
        <w:t>тов на 1943 год со сроком переда</w:t>
      </w:r>
      <w:r w:rsidRPr="00D03F3E">
        <w:rPr>
          <w:rFonts w:ascii="Times New Roman" w:hAnsi="Times New Roman"/>
          <w:color w:val="000000" w:themeColor="text1"/>
          <w:sz w:val="16"/>
          <w:szCs w:val="16"/>
        </w:rPr>
        <w:softHyphen/>
        <w:t>чи его на госиспытания 15.12.43 г. В августе завершилось эскизное и началось рабочее проектирова</w:t>
      </w:r>
      <w:r w:rsidRPr="00D03F3E">
        <w:rPr>
          <w:rFonts w:ascii="Times New Roman" w:hAnsi="Times New Roman"/>
          <w:color w:val="000000" w:themeColor="text1"/>
          <w:sz w:val="16"/>
          <w:szCs w:val="16"/>
        </w:rPr>
        <w:softHyphen/>
        <w:t>ние самолета, получившего в пе</w:t>
      </w:r>
      <w:r w:rsidRPr="00D03F3E">
        <w:rPr>
          <w:rFonts w:ascii="Times New Roman" w:hAnsi="Times New Roman"/>
          <w:color w:val="000000" w:themeColor="text1"/>
          <w:sz w:val="16"/>
          <w:szCs w:val="16"/>
        </w:rPr>
        <w:softHyphen/>
        <w:t>реписке обозначение БББ (бро</w:t>
      </w:r>
      <w:r w:rsidRPr="00D03F3E">
        <w:rPr>
          <w:rFonts w:ascii="Times New Roman" w:hAnsi="Times New Roman"/>
          <w:color w:val="000000" w:themeColor="text1"/>
          <w:sz w:val="16"/>
          <w:szCs w:val="16"/>
        </w:rPr>
        <w:softHyphen/>
        <w:t>нированный ближний бомбарди</w:t>
      </w:r>
      <w:r w:rsidRPr="00D03F3E">
        <w:rPr>
          <w:rFonts w:ascii="Times New Roman" w:hAnsi="Times New Roman"/>
          <w:color w:val="000000" w:themeColor="text1"/>
          <w:sz w:val="16"/>
          <w:szCs w:val="16"/>
        </w:rPr>
        <w:softHyphen/>
        <w:t>ровщик). 5 августа комиссия утвердила макет самолета БББ, но в связи с начавшейся реэвакуацией завода № 289 работы по самолету были временно прекращены. В конце декабря 1943 года по ука</w:t>
      </w:r>
      <w:r w:rsidRPr="00D03F3E">
        <w:rPr>
          <w:rFonts w:ascii="Times New Roman" w:hAnsi="Times New Roman"/>
          <w:color w:val="000000" w:themeColor="text1"/>
          <w:sz w:val="16"/>
          <w:szCs w:val="16"/>
        </w:rPr>
        <w:softHyphen/>
        <w:t>занию НКАП СССР ОКБ прекрати</w:t>
      </w:r>
      <w:r w:rsidRPr="00D03F3E">
        <w:rPr>
          <w:rFonts w:ascii="Times New Roman" w:hAnsi="Times New Roman"/>
          <w:color w:val="000000" w:themeColor="text1"/>
          <w:sz w:val="16"/>
          <w:szCs w:val="16"/>
        </w:rPr>
        <w:softHyphen/>
        <w:t>ло работы по БББ с 2М-71Ф, ввиду того, что «...по своим ЛТД он не пре</w:t>
      </w:r>
      <w:r w:rsidRPr="00D03F3E">
        <w:rPr>
          <w:rFonts w:ascii="Times New Roman" w:hAnsi="Times New Roman"/>
          <w:color w:val="000000" w:themeColor="text1"/>
          <w:sz w:val="16"/>
          <w:szCs w:val="16"/>
        </w:rPr>
        <w:softHyphen/>
        <w:t>восходит серийный Ту-2 с 2М-82ФН».</w:t>
      </w:r>
    </w:p>
    <w:p w14:paraId="44C1A31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расчетные характеристики вариантов самолетов ДДБШ</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84"/>
        <w:gridCol w:w="1119"/>
        <w:gridCol w:w="1218"/>
        <w:gridCol w:w="2378"/>
        <w:gridCol w:w="2378"/>
      </w:tblGrid>
      <w:tr w:rsidR="00860B4B" w:rsidRPr="00D03F3E" w14:paraId="2428E0EC" w14:textId="77777777">
        <w:trPr>
          <w:trHeight w:val="485"/>
        </w:trPr>
        <w:tc>
          <w:tcPr>
            <w:tcW w:w="3184" w:type="dxa"/>
            <w:tcBorders>
              <w:top w:val="single" w:sz="12" w:space="0" w:color="auto"/>
            </w:tcBorders>
          </w:tcPr>
          <w:p w14:paraId="5399F7D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Характеристики</w:t>
            </w:r>
          </w:p>
          <w:p w14:paraId="54C5576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Borders>
              <w:top w:val="single" w:sz="12" w:space="0" w:color="auto"/>
            </w:tcBorders>
          </w:tcPr>
          <w:p w14:paraId="31B61C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 ОНВ</w:t>
            </w:r>
          </w:p>
          <w:p w14:paraId="3270226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Borders>
              <w:top w:val="single" w:sz="12" w:space="0" w:color="auto"/>
            </w:tcBorders>
          </w:tcPr>
          <w:p w14:paraId="12E5BE3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 2АМ-42</w:t>
            </w:r>
          </w:p>
          <w:p w14:paraId="12BE045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Borders>
              <w:top w:val="single" w:sz="12" w:space="0" w:color="auto"/>
            </w:tcBorders>
          </w:tcPr>
          <w:p w14:paraId="1EB858D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 2М-71Ф 2ТК-3</w:t>
            </w:r>
          </w:p>
          <w:p w14:paraId="2134F98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Borders>
              <w:top w:val="single" w:sz="12" w:space="0" w:color="auto"/>
            </w:tcBorders>
          </w:tcPr>
          <w:p w14:paraId="0855D6E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2М-71Ф</w:t>
            </w:r>
          </w:p>
          <w:p w14:paraId="60226FD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ED436F3" w14:textId="77777777">
        <w:trPr>
          <w:trHeight w:val="206"/>
        </w:trPr>
        <w:tc>
          <w:tcPr>
            <w:tcW w:w="3184" w:type="dxa"/>
          </w:tcPr>
          <w:p w14:paraId="4F498D7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самолета, мм</w:t>
            </w:r>
          </w:p>
          <w:p w14:paraId="53C4A58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3A0F3F0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13580</w:t>
            </w:r>
          </w:p>
          <w:p w14:paraId="75F2BE1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7C739FE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13580</w:t>
            </w:r>
          </w:p>
          <w:p w14:paraId="7AC9F3B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3097F0D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14750 14750</w:t>
            </w:r>
          </w:p>
          <w:p w14:paraId="4FFEA8C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779E3AE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14750 14750</w:t>
            </w:r>
          </w:p>
          <w:p w14:paraId="0C47855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2DB1E68" w14:textId="77777777">
        <w:trPr>
          <w:trHeight w:val="214"/>
        </w:trPr>
        <w:tc>
          <w:tcPr>
            <w:tcW w:w="3184" w:type="dxa"/>
          </w:tcPr>
          <w:p w14:paraId="1E4CCCE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Размах крыла, мм</w:t>
            </w:r>
          </w:p>
          <w:p w14:paraId="035DEF2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45AD2D5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20500</w:t>
            </w:r>
          </w:p>
          <w:p w14:paraId="1FB26CC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1B04E5C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20500</w:t>
            </w:r>
          </w:p>
          <w:p w14:paraId="25EF5C4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6AB3117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20500 20500</w:t>
            </w:r>
          </w:p>
          <w:p w14:paraId="72B1D2A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2AEA408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20500 20500</w:t>
            </w:r>
          </w:p>
          <w:p w14:paraId="77B982C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5D87B8B" w14:textId="77777777">
        <w:trPr>
          <w:trHeight w:val="214"/>
        </w:trPr>
        <w:tc>
          <w:tcPr>
            <w:tcW w:w="3184" w:type="dxa"/>
          </w:tcPr>
          <w:p w14:paraId="4B2A370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крыла, м</w:t>
            </w:r>
            <w:r w:rsidRPr="00D03F3E">
              <w:rPr>
                <w:rFonts w:ascii="Times New Roman" w:hAnsi="Times New Roman"/>
                <w:color w:val="000000" w:themeColor="text1"/>
                <w:sz w:val="16"/>
                <w:szCs w:val="16"/>
                <w:vertAlign w:val="superscript"/>
              </w:rPr>
              <w:t>2</w:t>
            </w:r>
          </w:p>
          <w:p w14:paraId="2D8EBB3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57B0665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p w14:paraId="25524CF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615FEFF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p w14:paraId="38855B6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6F0F55C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60 60</w:t>
            </w:r>
          </w:p>
          <w:p w14:paraId="3A59ABD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1D2187E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60 60</w:t>
            </w:r>
          </w:p>
          <w:p w14:paraId="2A67A95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21FC434" w14:textId="77777777">
        <w:trPr>
          <w:trHeight w:val="206"/>
        </w:trPr>
        <w:tc>
          <w:tcPr>
            <w:tcW w:w="3184" w:type="dxa"/>
          </w:tcPr>
          <w:p w14:paraId="3D0876E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Масса самолета, кг</w:t>
            </w:r>
          </w:p>
          <w:p w14:paraId="08C5B1D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2343601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CB136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0BB4FCB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50A4B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65CBFA5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4EB63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2FB2209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9855C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E5B63AC" w14:textId="77777777">
        <w:trPr>
          <w:trHeight w:val="214"/>
        </w:trPr>
        <w:tc>
          <w:tcPr>
            <w:tcW w:w="3184" w:type="dxa"/>
          </w:tcPr>
          <w:p w14:paraId="47B6E3F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пустого</w:t>
            </w:r>
          </w:p>
          <w:p w14:paraId="4E547C4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1A30B22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9168</w:t>
            </w:r>
          </w:p>
          <w:p w14:paraId="592FF78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2038FDE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9728</w:t>
            </w:r>
          </w:p>
          <w:p w14:paraId="4571F97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407BFC9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8407 8422</w:t>
            </w:r>
          </w:p>
          <w:p w14:paraId="6F95BC5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5E682CA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8297 8329</w:t>
            </w:r>
          </w:p>
          <w:p w14:paraId="5D84E53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6A7AC65" w14:textId="77777777">
        <w:trPr>
          <w:trHeight w:val="189"/>
        </w:trPr>
        <w:tc>
          <w:tcPr>
            <w:tcW w:w="3184" w:type="dxa"/>
          </w:tcPr>
          <w:p w14:paraId="230BA9C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полетная</w:t>
            </w:r>
          </w:p>
          <w:p w14:paraId="117C3D0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663D652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12413</w:t>
            </w:r>
          </w:p>
          <w:p w14:paraId="5C5E1A1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211C333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12774</w:t>
            </w:r>
          </w:p>
          <w:p w14:paraId="51E64BD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AF7E55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11250 11232</w:t>
            </w:r>
          </w:p>
          <w:p w14:paraId="63265F4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5222C9E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11912 12034</w:t>
            </w:r>
          </w:p>
          <w:p w14:paraId="1BA7FD2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8B4F23E" w14:textId="77777777">
        <w:trPr>
          <w:trHeight w:val="230"/>
        </w:trPr>
        <w:tc>
          <w:tcPr>
            <w:tcW w:w="3184" w:type="dxa"/>
          </w:tcPr>
          <w:p w14:paraId="398D4F6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 перегрузкой</w:t>
            </w:r>
          </w:p>
          <w:p w14:paraId="7D2BB21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105B81A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3381</w:t>
            </w:r>
          </w:p>
          <w:p w14:paraId="218AD6F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6664902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AFAEF4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47BA38B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E1F31C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1DC582F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D3D6E1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C121C96" w14:textId="77777777">
        <w:trPr>
          <w:trHeight w:val="214"/>
        </w:trPr>
        <w:tc>
          <w:tcPr>
            <w:tcW w:w="3184" w:type="dxa"/>
          </w:tcPr>
          <w:p w14:paraId="50BE33D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км/ч</w:t>
            </w:r>
          </w:p>
          <w:p w14:paraId="2BD716D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75952E1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163AB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2AD6686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6FF1A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2795D93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BB45D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3D72EC5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E0EDD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CF96677" w14:textId="77777777">
        <w:trPr>
          <w:trHeight w:val="206"/>
        </w:trPr>
        <w:tc>
          <w:tcPr>
            <w:tcW w:w="3184" w:type="dxa"/>
          </w:tcPr>
          <w:p w14:paraId="3DDF968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 земли</w:t>
            </w:r>
          </w:p>
          <w:p w14:paraId="459DE84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55E4803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w:t>
            </w:r>
          </w:p>
          <w:p w14:paraId="3A18E14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67874C5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485</w:t>
            </w:r>
          </w:p>
          <w:p w14:paraId="4C878C0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712CE4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483 483</w:t>
            </w:r>
          </w:p>
          <w:p w14:paraId="777FE09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7FD8E60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490 490</w:t>
            </w:r>
          </w:p>
          <w:p w14:paraId="3EFDE2F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6A0CD1B" w14:textId="77777777">
        <w:trPr>
          <w:trHeight w:val="206"/>
        </w:trPr>
        <w:tc>
          <w:tcPr>
            <w:tcW w:w="3184" w:type="dxa"/>
          </w:tcPr>
          <w:p w14:paraId="76DCAE4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на высоте, м</w:t>
            </w:r>
          </w:p>
          <w:p w14:paraId="0B17E6B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2EF9CD9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550/4600</w:t>
            </w:r>
          </w:p>
          <w:p w14:paraId="405224E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2A5D969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525/2500</w:t>
            </w:r>
          </w:p>
          <w:p w14:paraId="63670A4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30317F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595/8000 595/8300</w:t>
            </w:r>
          </w:p>
          <w:p w14:paraId="28BA6EF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133EC6B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566/4600 566/4600</w:t>
            </w:r>
          </w:p>
          <w:p w14:paraId="6A5AC0B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4ED56D8" w14:textId="77777777">
        <w:trPr>
          <w:trHeight w:val="214"/>
        </w:trPr>
        <w:tc>
          <w:tcPr>
            <w:tcW w:w="3184" w:type="dxa"/>
          </w:tcPr>
          <w:p w14:paraId="51E9525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Н, мин/м</w:t>
            </w:r>
          </w:p>
          <w:p w14:paraId="7F096D2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27AE952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9/5000</w:t>
            </w:r>
          </w:p>
          <w:p w14:paraId="6F9C63A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5DA8459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8,5/4000</w:t>
            </w:r>
          </w:p>
          <w:p w14:paraId="1B8209E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66C35D5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10/8000 10,6/8300</w:t>
            </w:r>
          </w:p>
          <w:p w14:paraId="6FE03B0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84466E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8,5/6000 8,25/4000</w:t>
            </w:r>
          </w:p>
          <w:p w14:paraId="432BDDE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0D736C9" w14:textId="77777777">
        <w:trPr>
          <w:trHeight w:val="214"/>
        </w:trPr>
        <w:tc>
          <w:tcPr>
            <w:tcW w:w="3184" w:type="dxa"/>
          </w:tcPr>
          <w:p w14:paraId="2029411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 м</w:t>
            </w:r>
          </w:p>
          <w:p w14:paraId="69B3A23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2B62158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9000</w:t>
            </w:r>
          </w:p>
          <w:p w14:paraId="6CE0D32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08125E3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7000</w:t>
            </w:r>
          </w:p>
          <w:p w14:paraId="43B4F0A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F80B82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12000 12000</w:t>
            </w:r>
          </w:p>
          <w:p w14:paraId="5826155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480ECFD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10300 10300</w:t>
            </w:r>
          </w:p>
          <w:p w14:paraId="7B48BF1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2E9D6EE" w14:textId="77777777">
        <w:trPr>
          <w:trHeight w:val="197"/>
        </w:trPr>
        <w:tc>
          <w:tcPr>
            <w:tcW w:w="3184" w:type="dxa"/>
          </w:tcPr>
          <w:p w14:paraId="4B5D92A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полета, км</w:t>
            </w:r>
          </w:p>
          <w:p w14:paraId="5FD04ED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556D41B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7F828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45BFDFA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F38BE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564B7B1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BD9DD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D5CDFF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094D5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6E57D3D" w14:textId="77777777">
        <w:trPr>
          <w:trHeight w:val="222"/>
        </w:trPr>
        <w:tc>
          <w:tcPr>
            <w:tcW w:w="3184" w:type="dxa"/>
          </w:tcPr>
          <w:p w14:paraId="3FE742C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нормальная</w:t>
            </w:r>
          </w:p>
          <w:p w14:paraId="25F894D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4C73EFA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p w14:paraId="16BE905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27B376C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620</w:t>
            </w:r>
          </w:p>
          <w:p w14:paraId="2AE073B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7FC492B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2000 2000</w:t>
            </w:r>
          </w:p>
          <w:p w14:paraId="333C6E4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305ED1C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1500 1500</w:t>
            </w:r>
          </w:p>
          <w:p w14:paraId="40A2F6D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509DB64" w14:textId="77777777">
        <w:trPr>
          <w:trHeight w:val="206"/>
        </w:trPr>
        <w:tc>
          <w:tcPr>
            <w:tcW w:w="3184" w:type="dxa"/>
          </w:tcPr>
          <w:p w14:paraId="6D0257C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 перегрузкой</w:t>
            </w:r>
          </w:p>
          <w:p w14:paraId="0DEEB6E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19EC742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w:t>
            </w:r>
          </w:p>
          <w:p w14:paraId="1F30855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237707A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86E923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34EB8F4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BE3C3E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7BE0129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E37281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20A18D9" w14:textId="77777777">
        <w:trPr>
          <w:trHeight w:val="214"/>
        </w:trPr>
        <w:tc>
          <w:tcPr>
            <w:tcW w:w="3184" w:type="dxa"/>
          </w:tcPr>
          <w:p w14:paraId="6632476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разбега, м</w:t>
            </w:r>
          </w:p>
          <w:p w14:paraId="31EAC7A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16F9840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p w14:paraId="7D4B6CF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519F365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430</w:t>
            </w:r>
          </w:p>
          <w:p w14:paraId="63F3701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D209BD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264 265</w:t>
            </w:r>
          </w:p>
          <w:p w14:paraId="3708683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5893EF2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356 360</w:t>
            </w:r>
          </w:p>
          <w:p w14:paraId="3E49D8A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EFE4991" w14:textId="77777777">
        <w:trPr>
          <w:trHeight w:val="255"/>
        </w:trPr>
        <w:tc>
          <w:tcPr>
            <w:tcW w:w="3184" w:type="dxa"/>
            <w:tcBorders>
              <w:bottom w:val="single" w:sz="12" w:space="0" w:color="auto"/>
            </w:tcBorders>
          </w:tcPr>
          <w:p w14:paraId="486818E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 чел.</w:t>
            </w:r>
          </w:p>
          <w:p w14:paraId="5C90D24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Borders>
              <w:bottom w:val="single" w:sz="12" w:space="0" w:color="auto"/>
            </w:tcBorders>
          </w:tcPr>
          <w:p w14:paraId="3ADFBEA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34A1730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Borders>
              <w:bottom w:val="single" w:sz="12" w:space="0" w:color="auto"/>
            </w:tcBorders>
          </w:tcPr>
          <w:p w14:paraId="30C7423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6743196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Borders>
              <w:bottom w:val="single" w:sz="12" w:space="0" w:color="auto"/>
            </w:tcBorders>
          </w:tcPr>
          <w:p w14:paraId="143383A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3 4</w:t>
            </w:r>
          </w:p>
          <w:p w14:paraId="174F613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Borders>
              <w:bottom w:val="single" w:sz="12" w:space="0" w:color="auto"/>
            </w:tcBorders>
          </w:tcPr>
          <w:p w14:paraId="5B51148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3 4</w:t>
            </w:r>
          </w:p>
          <w:p w14:paraId="508D7CE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C5925B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(11853).</w:t>
      </w:r>
    </w:p>
    <w:p w14:paraId="6309398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175B1" w14:textId="77777777" w:rsidR="00C84258" w:rsidRPr="00D03F3E"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года ОКБ П.О.Сухого был завершен эскизный про ект двухместного двухмоторного истребителя сопровождения с 2М-71Ф 4ТК-3 (в двух вариантах). Вес</w:t>
      </w:r>
      <w:r w:rsidRPr="00D03F3E">
        <w:rPr>
          <w:rFonts w:ascii="Times New Roman" w:hAnsi="Times New Roman"/>
          <w:color w:val="000000" w:themeColor="text1"/>
          <w:sz w:val="16"/>
          <w:szCs w:val="16"/>
        </w:rPr>
        <w:softHyphen/>
        <w:t>ной проект первого варианта предъявили на рассмотрение в НИИ ВВС КА. Проект был отклонен с мотивировкой «...как неудовлетво</w:t>
      </w:r>
      <w:r w:rsidRPr="00D03F3E">
        <w:rPr>
          <w:rFonts w:ascii="Times New Roman" w:hAnsi="Times New Roman"/>
          <w:color w:val="000000" w:themeColor="text1"/>
          <w:sz w:val="16"/>
          <w:szCs w:val="16"/>
        </w:rPr>
        <w:softHyphen/>
        <w:t>ряющий требованиям воздушного боя с истребителями противника и имеющий недостаточную дальность полета...», не указав, о каких конк</w:t>
      </w:r>
      <w:r w:rsidRPr="00D03F3E">
        <w:rPr>
          <w:rFonts w:ascii="Times New Roman" w:hAnsi="Times New Roman"/>
          <w:color w:val="000000" w:themeColor="text1"/>
          <w:sz w:val="16"/>
          <w:szCs w:val="16"/>
        </w:rPr>
        <w:softHyphen/>
        <w:t>ретно самолетах, идет речь. Еще до утверждения Заключения, мате</w:t>
      </w:r>
      <w:r w:rsidRPr="00D03F3E">
        <w:rPr>
          <w:rFonts w:ascii="Times New Roman" w:hAnsi="Times New Roman"/>
          <w:color w:val="000000" w:themeColor="text1"/>
          <w:sz w:val="16"/>
          <w:szCs w:val="16"/>
        </w:rPr>
        <w:softHyphen/>
        <w:t>риалы по эскизному проекту, по просьбе П.О.Сухого, возвратили в ОКБ.</w:t>
      </w:r>
    </w:p>
    <w:p w14:paraId="113CEC3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своему назначению это был «истребитель сопровождения бом</w:t>
      </w:r>
      <w:r w:rsidRPr="00D03F3E">
        <w:rPr>
          <w:rFonts w:ascii="Times New Roman" w:hAnsi="Times New Roman"/>
          <w:color w:val="000000" w:themeColor="text1"/>
          <w:sz w:val="16"/>
          <w:szCs w:val="16"/>
        </w:rPr>
        <w:softHyphen/>
        <w:t>бардировщиков на больших высотах, действующих в радиусе до 1000 км».</w:t>
      </w:r>
    </w:p>
    <w:p w14:paraId="693F60A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представлял собой низ-коплан смешанной конструкции с разнесенным хвостовым оперени</w:t>
      </w:r>
      <w:r w:rsidRPr="00D03F3E">
        <w:rPr>
          <w:rFonts w:ascii="Times New Roman" w:hAnsi="Times New Roman"/>
          <w:color w:val="000000" w:themeColor="text1"/>
          <w:sz w:val="16"/>
          <w:szCs w:val="16"/>
        </w:rPr>
        <w:softHyphen/>
        <w:t>ем и убирающимся шасси. По сво</w:t>
      </w:r>
      <w:r w:rsidRPr="00D03F3E">
        <w:rPr>
          <w:rFonts w:ascii="Times New Roman" w:hAnsi="Times New Roman"/>
          <w:color w:val="000000" w:themeColor="text1"/>
          <w:sz w:val="16"/>
          <w:szCs w:val="16"/>
        </w:rPr>
        <w:softHyphen/>
        <w:t>ей схеме и конструкции истреби</w:t>
      </w:r>
      <w:r w:rsidRPr="00D03F3E">
        <w:rPr>
          <w:rFonts w:ascii="Times New Roman" w:hAnsi="Times New Roman"/>
          <w:color w:val="000000" w:themeColor="text1"/>
          <w:sz w:val="16"/>
          <w:szCs w:val="16"/>
        </w:rPr>
        <w:softHyphen/>
        <w:t>тель мало чем отличался от МОП. Исключение составлял фюзеляж, ко</w:t>
      </w:r>
      <w:r w:rsidRPr="00D03F3E">
        <w:rPr>
          <w:rFonts w:ascii="Times New Roman" w:hAnsi="Times New Roman"/>
          <w:color w:val="000000" w:themeColor="text1"/>
          <w:sz w:val="16"/>
          <w:szCs w:val="16"/>
        </w:rPr>
        <w:softHyphen/>
        <w:t>торый имел металлическую носовую часть и деревянную хвостовую.</w:t>
      </w:r>
    </w:p>
    <w:p w14:paraId="3F6CFDD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Силовая установка включала два двигателя воздушного охлаждения М-71Ф (Мвзл.=2200 л.с.), на каждом стояли два турбокомпрессора ТК-3. Выход охлаждающего воздуха ре</w:t>
      </w:r>
      <w:r w:rsidRPr="00D03F3E">
        <w:rPr>
          <w:rFonts w:ascii="Times New Roman" w:hAnsi="Times New Roman"/>
          <w:color w:val="000000" w:themeColor="text1"/>
          <w:sz w:val="16"/>
          <w:szCs w:val="16"/>
        </w:rPr>
        <w:softHyphen/>
        <w:t>гулировался створками капотов дви</w:t>
      </w:r>
      <w:r w:rsidRPr="00D03F3E">
        <w:rPr>
          <w:rFonts w:ascii="Times New Roman" w:hAnsi="Times New Roman"/>
          <w:color w:val="000000" w:themeColor="text1"/>
          <w:sz w:val="16"/>
          <w:szCs w:val="16"/>
        </w:rPr>
        <w:softHyphen/>
        <w:t>гателей. Маслорадиаторы распо</w:t>
      </w:r>
      <w:r w:rsidRPr="00D03F3E">
        <w:rPr>
          <w:rFonts w:ascii="Times New Roman" w:hAnsi="Times New Roman"/>
          <w:color w:val="000000" w:themeColor="text1"/>
          <w:sz w:val="16"/>
          <w:szCs w:val="16"/>
        </w:rPr>
        <w:softHyphen/>
        <w:t>лагались в подкапотном простран</w:t>
      </w:r>
      <w:r w:rsidRPr="00D03F3E">
        <w:rPr>
          <w:rFonts w:ascii="Times New Roman" w:hAnsi="Times New Roman"/>
          <w:color w:val="000000" w:themeColor="text1"/>
          <w:sz w:val="16"/>
          <w:szCs w:val="16"/>
        </w:rPr>
        <w:softHyphen/>
        <w:t>стве, в туннеле под редуктором дви</w:t>
      </w:r>
      <w:r w:rsidRPr="00D03F3E">
        <w:rPr>
          <w:rFonts w:ascii="Times New Roman" w:hAnsi="Times New Roman"/>
          <w:color w:val="000000" w:themeColor="text1"/>
          <w:sz w:val="16"/>
          <w:szCs w:val="16"/>
        </w:rPr>
        <w:softHyphen/>
        <w:t>гателя. Протектированные топлив</w:t>
      </w:r>
      <w:r w:rsidRPr="00D03F3E">
        <w:rPr>
          <w:rFonts w:ascii="Times New Roman" w:hAnsi="Times New Roman"/>
          <w:color w:val="000000" w:themeColor="text1"/>
          <w:sz w:val="16"/>
          <w:szCs w:val="16"/>
        </w:rPr>
        <w:softHyphen/>
        <w:t>ные баки по 787,5 кг размещались в гермоотсеках в хвостовых частях мотогондол. Гермоотсеки и баки за</w:t>
      </w:r>
      <w:r w:rsidRPr="00D03F3E">
        <w:rPr>
          <w:rFonts w:ascii="Times New Roman" w:hAnsi="Times New Roman"/>
          <w:color w:val="000000" w:themeColor="text1"/>
          <w:sz w:val="16"/>
          <w:szCs w:val="16"/>
        </w:rPr>
        <w:softHyphen/>
        <w:t>полнялись инертным газом.</w:t>
      </w:r>
    </w:p>
    <w:p w14:paraId="5352893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Стрелково-пушечное вооруже</w:t>
      </w:r>
      <w:r w:rsidRPr="00D03F3E">
        <w:rPr>
          <w:rFonts w:ascii="Times New Roman" w:hAnsi="Times New Roman"/>
          <w:color w:val="000000" w:themeColor="text1"/>
          <w:sz w:val="16"/>
          <w:szCs w:val="16"/>
        </w:rPr>
        <w:softHyphen/>
        <w:t>ние включало неподвижную бата</w:t>
      </w:r>
      <w:r w:rsidRPr="00D03F3E">
        <w:rPr>
          <w:rFonts w:ascii="Times New Roman" w:hAnsi="Times New Roman"/>
          <w:color w:val="000000" w:themeColor="text1"/>
          <w:sz w:val="16"/>
          <w:szCs w:val="16"/>
        </w:rPr>
        <w:softHyphen/>
        <w:t>рею в носовой части фюзеляжа и две пулеметные установки для об</w:t>
      </w:r>
      <w:r w:rsidRPr="00D03F3E">
        <w:rPr>
          <w:rFonts w:ascii="Times New Roman" w:hAnsi="Times New Roman"/>
          <w:color w:val="000000" w:themeColor="text1"/>
          <w:sz w:val="16"/>
          <w:szCs w:val="16"/>
        </w:rPr>
        <w:softHyphen/>
        <w:t>стрела задней полусферы.</w:t>
      </w:r>
    </w:p>
    <w:p w14:paraId="20666BE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Центральная батарея включала две пушки ВЯ-23 с суммарным бое</w:t>
      </w:r>
      <w:r w:rsidRPr="00D03F3E">
        <w:rPr>
          <w:rFonts w:ascii="Times New Roman" w:hAnsi="Times New Roman"/>
          <w:color w:val="000000" w:themeColor="text1"/>
          <w:sz w:val="16"/>
          <w:szCs w:val="16"/>
        </w:rPr>
        <w:softHyphen/>
        <w:t>запасом 400 снарядов и 4 пулеме</w:t>
      </w:r>
      <w:r w:rsidRPr="00D03F3E">
        <w:rPr>
          <w:rFonts w:ascii="Times New Roman" w:hAnsi="Times New Roman"/>
          <w:color w:val="000000" w:themeColor="text1"/>
          <w:sz w:val="16"/>
          <w:szCs w:val="16"/>
        </w:rPr>
        <w:softHyphen/>
        <w:t>та УБ-12,7 с суммарным боезапа</w:t>
      </w:r>
      <w:r w:rsidRPr="00D03F3E">
        <w:rPr>
          <w:rFonts w:ascii="Times New Roman" w:hAnsi="Times New Roman"/>
          <w:color w:val="000000" w:themeColor="text1"/>
          <w:sz w:val="16"/>
          <w:szCs w:val="16"/>
        </w:rPr>
        <w:softHyphen/>
        <w:t>сом 1600 патронов.</w:t>
      </w:r>
    </w:p>
    <w:p w14:paraId="144658D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Верхняя подвижная установка -УБТ-12,7 с боезапасом 200 патро</w:t>
      </w:r>
      <w:r w:rsidRPr="00D03F3E">
        <w:rPr>
          <w:rFonts w:ascii="Times New Roman" w:hAnsi="Times New Roman"/>
          <w:color w:val="000000" w:themeColor="text1"/>
          <w:sz w:val="16"/>
          <w:szCs w:val="16"/>
        </w:rPr>
        <w:softHyphen/>
        <w:t>нов, нижняя - люковая УБТ-12,7 с боезапасом 150 патронов.</w:t>
      </w:r>
    </w:p>
    <w:p w14:paraId="69CB9E8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перегрузочном варианте име</w:t>
      </w:r>
      <w:r w:rsidRPr="00D03F3E">
        <w:rPr>
          <w:rFonts w:ascii="Times New Roman" w:hAnsi="Times New Roman"/>
          <w:color w:val="000000" w:themeColor="text1"/>
          <w:sz w:val="16"/>
          <w:szCs w:val="16"/>
        </w:rPr>
        <w:softHyphen/>
        <w:t>лась возможность подвески 200 кг бомб в грузовом отсеке под каби</w:t>
      </w:r>
      <w:r w:rsidRPr="00D03F3E">
        <w:rPr>
          <w:rFonts w:ascii="Times New Roman" w:hAnsi="Times New Roman"/>
          <w:color w:val="000000" w:themeColor="text1"/>
          <w:sz w:val="16"/>
          <w:szCs w:val="16"/>
        </w:rPr>
        <w:softHyphen/>
        <w:t>ной летчика.</w:t>
      </w:r>
    </w:p>
    <w:p w14:paraId="438D7A2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Броневая защита пилота: спе</w:t>
      </w:r>
      <w:r w:rsidRPr="00D03F3E">
        <w:rPr>
          <w:rFonts w:ascii="Times New Roman" w:hAnsi="Times New Roman"/>
          <w:color w:val="000000" w:themeColor="text1"/>
          <w:sz w:val="16"/>
          <w:szCs w:val="16"/>
        </w:rPr>
        <w:softHyphen/>
        <w:t>реди - бронестекло и бронеплита, сзади - бронеспинка с подголов</w:t>
      </w:r>
      <w:r w:rsidRPr="00D03F3E">
        <w:rPr>
          <w:rFonts w:ascii="Times New Roman" w:hAnsi="Times New Roman"/>
          <w:color w:val="000000" w:themeColor="text1"/>
          <w:sz w:val="16"/>
          <w:szCs w:val="16"/>
        </w:rPr>
        <w:softHyphen/>
        <w:t xml:space="preserve">ником, две боковые плиты, а также бортовая броня слева. Защита </w:t>
      </w:r>
      <w:r w:rsidRPr="00D03F3E">
        <w:rPr>
          <w:rFonts w:ascii="Times New Roman" w:hAnsi="Times New Roman"/>
          <w:color w:val="000000" w:themeColor="text1"/>
          <w:sz w:val="16"/>
          <w:szCs w:val="16"/>
        </w:rPr>
        <w:lastRenderedPageBreak/>
        <w:t>стрелка: задняя стенка с боковыми плитами, бронестекло. Общая мас</w:t>
      </w:r>
      <w:r w:rsidRPr="00D03F3E">
        <w:rPr>
          <w:rFonts w:ascii="Times New Roman" w:hAnsi="Times New Roman"/>
          <w:color w:val="000000" w:themeColor="text1"/>
          <w:sz w:val="16"/>
          <w:szCs w:val="16"/>
        </w:rPr>
        <w:softHyphen/>
        <w:t>са брони - 285 кг.</w:t>
      </w:r>
    </w:p>
    <w:p w14:paraId="2593431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расчетные данные истребителя:</w:t>
      </w:r>
    </w:p>
    <w:p w14:paraId="1D80BF6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самолета, мм............... 12700</w:t>
      </w:r>
    </w:p>
    <w:p w14:paraId="6F3C0FF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Размах крыла, мм .................... 17600</w:t>
      </w:r>
    </w:p>
    <w:p w14:paraId="6E3E258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крыла,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xml:space="preserve"> ........................ 48</w:t>
      </w:r>
    </w:p>
    <w:p w14:paraId="6132133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Масса самолета, кг пустого......................................... 7312</w:t>
      </w:r>
    </w:p>
    <w:p w14:paraId="591906B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нормальная  полетная........... 10092</w:t>
      </w:r>
    </w:p>
    <w:p w14:paraId="3023887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км/ч: у земли........................ 536 (500-510)</w:t>
      </w:r>
    </w:p>
    <w:p w14:paraId="5E377CAC" w14:textId="77777777" w:rsidR="00C84258" w:rsidRPr="00D03F3E"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Н=8300м .............. 663 (620-630)</w:t>
      </w:r>
    </w:p>
    <w:p w14:paraId="11B6AFD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w:t>
      </w:r>
    </w:p>
    <w:p w14:paraId="2884D7B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Н=5000 м, мин ....................... 5,5 (6-7)</w:t>
      </w:r>
    </w:p>
    <w:p w14:paraId="0B5591E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виража  на</w:t>
      </w:r>
    </w:p>
    <w:p w14:paraId="6CCB2AC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Н=1000м, с...................... 22,7 (25-27)</w:t>
      </w:r>
    </w:p>
    <w:p w14:paraId="4933EDC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 м..... 11900</w:t>
      </w:r>
    </w:p>
    <w:p w14:paraId="6836BA9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полета (У=0.67Утах, Н=8300м), км ....... 2000 (1700-1800)</w:t>
      </w:r>
    </w:p>
    <w:p w14:paraId="16A1535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разбега, м..............297 (350) (11754).</w:t>
      </w:r>
    </w:p>
    <w:p w14:paraId="4607806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D4FD87"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года в ОКБ П.О. Сухого был подготовлен эскизный проект двухместного двухмоторного истребителя сопровождения с 2М-71Ф 4ТК-3 (в двух вариантах). Весной проект первого варианта предъявили на рассмотрение в НИИ ВВС КА. Проект был отклонен с мотивировкой «...как неудовлетворяющий требованиям воздушного боя с истребителями противника и имеющий недостаточную дальность полета...», не указав, о каких конкретно самолетах, идет речь. Еще до утверждения Заключения, материалы по эскизному проекту, по просьбе П.О.Сухого, возвратили в ОКБ.</w:t>
      </w:r>
    </w:p>
    <w:p w14:paraId="0E0EFA4A"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своему назначению это был «истребитель сопровождения бомбардировщиков на больших высотах, действующих в радиусе до 1000 км».</w:t>
      </w:r>
    </w:p>
    <w:p w14:paraId="6FA49EFA"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представлял собой низкоплан смешанной конструкции с разнесенным хвостовым оперением и убирающимся шасси. По своей схеме и конструкции истребитель мало чем отличался от ИОП. Исключение составлял фюзеляж, который имел металлическую носовую часть и деревянную хвостовую.</w:t>
      </w:r>
    </w:p>
    <w:p w14:paraId="1973E292"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Силовая установка включала два двигателя воздушного охлаждения М-71Ф (Nвзл.=2200 л.с), на каждом стояли два турбокомпрессора ТК-3. Выход охлаждающего воздуха регулировался створками капотов двигателей. Маслорадиаторы располагались в подкапотном пространстве, в туннеле под редуктором двигателя. Протектированные топливные баки по 787,5 кг размещались в гермоотсеках в хвостовых частях мотогондол. Гермоотсеки и баки заполнялись инертным газом.</w:t>
      </w:r>
    </w:p>
    <w:p w14:paraId="0DC7B75C"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Стрелково-пушечное вооружение включало неподвижную батарею в носовой части фюзеляжа и две пулеметные установки для обстрела задней полусферы.</w:t>
      </w:r>
    </w:p>
    <w:p w14:paraId="41D2005D"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Центральная батарея включала две пушки ВЯ-23 с суммарным боезапасом 400 снарядов и 4 пулемета УБ-12,7 с суммарным боезапасом 1600 патронов.</w:t>
      </w:r>
    </w:p>
    <w:p w14:paraId="3064D59D"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Верхняя подвижная установка — УБТ-12,7 с боезапасом 200 патронов, нижняя - люковая УБТ-12,7 с боезапасом 150 патронов.</w:t>
      </w:r>
    </w:p>
    <w:p w14:paraId="2763BC1B"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перегрузочном варианте имелась возможность подвески 200 кг бомб в грузовом отсеке под кабиной летчика.</w:t>
      </w:r>
    </w:p>
    <w:p w14:paraId="38342A01"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Броневая защита пилота: спереди - бронестекло и бронеплита, сзади - бронеспинка с надголовником, две боковые плиты, а также бортовая броня слева. Защита стрелка: задняя стенка с боковыми плитами, бронестекло. Общая масса брони - 285 кг.</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5661"/>
        <w:gridCol w:w="5661"/>
      </w:tblGrid>
      <w:tr w:rsidR="00860B4B" w:rsidRPr="00D03F3E" w14:paraId="5842E55C" w14:textId="77777777" w:rsidTr="00601E3D">
        <w:trPr>
          <w:tblCellSpacing w:w="0" w:type="dxa"/>
        </w:trPr>
        <w:tc>
          <w:tcPr>
            <w:tcW w:w="5000" w:type="pct"/>
            <w:gridSpan w:val="2"/>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443C4C2B"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расчетные данные истребителя</w:t>
            </w:r>
          </w:p>
        </w:tc>
      </w:tr>
      <w:tr w:rsidR="00860B4B" w:rsidRPr="00D03F3E" w14:paraId="46392B3A"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965EF2A"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самолета, мм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694D195"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12700</w:t>
            </w:r>
          </w:p>
        </w:tc>
      </w:tr>
      <w:tr w:rsidR="00860B4B" w:rsidRPr="00D03F3E" w14:paraId="78747E71"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A3C31B4"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Размах крыла, мм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24B93DF"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17600</w:t>
            </w:r>
          </w:p>
        </w:tc>
      </w:tr>
      <w:tr w:rsidR="00860B4B" w:rsidRPr="00D03F3E" w14:paraId="64BF0BFB"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823AA3E"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крыла, м2</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B46C34B"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w:t>
            </w:r>
          </w:p>
        </w:tc>
      </w:tr>
      <w:tr w:rsidR="00860B4B" w:rsidRPr="00D03F3E" w14:paraId="55B28443" w14:textId="77777777" w:rsidTr="00601E3D">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03B8037"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Масса самолета, кг</w:t>
            </w:r>
          </w:p>
        </w:tc>
      </w:tr>
      <w:tr w:rsidR="00860B4B" w:rsidRPr="00D03F3E" w14:paraId="268E7DC8"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C88E6B7"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пустого</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B07D54B"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7312</w:t>
            </w:r>
          </w:p>
        </w:tc>
      </w:tr>
      <w:tr w:rsidR="00860B4B" w:rsidRPr="00D03F3E" w14:paraId="4FD6FD55"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37C2BE9"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нормальная полетная</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DAD63B6"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10092</w:t>
            </w:r>
          </w:p>
        </w:tc>
      </w:tr>
      <w:tr w:rsidR="00860B4B" w:rsidRPr="00D03F3E" w14:paraId="6961FDA1" w14:textId="77777777" w:rsidTr="00601E3D">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5C172E9"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км/ч</w:t>
            </w:r>
          </w:p>
        </w:tc>
      </w:tr>
      <w:tr w:rsidR="00860B4B" w:rsidRPr="00D03F3E" w14:paraId="5340BFE4"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F4BF109"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земли</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F6AE785"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536 (500-510)</w:t>
            </w:r>
          </w:p>
        </w:tc>
      </w:tr>
      <w:tr w:rsidR="00860B4B" w:rsidRPr="00D03F3E" w14:paraId="3D0D3DED"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60E8137"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Н=8300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58010B2"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663 (620-630)</w:t>
            </w:r>
          </w:p>
        </w:tc>
      </w:tr>
      <w:tr w:rsidR="00860B4B" w:rsidRPr="00D03F3E" w14:paraId="1190F19E"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00D8EF4"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Н=5000 м, мин</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3320905"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 (6-7)</w:t>
            </w:r>
          </w:p>
        </w:tc>
      </w:tr>
      <w:tr w:rsidR="00860B4B" w:rsidRPr="00D03F3E" w14:paraId="02D81830"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091E3FD"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виража на Н=1000м, с</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7E40D1D"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22,7 (25-27)</w:t>
            </w:r>
          </w:p>
        </w:tc>
      </w:tr>
      <w:tr w:rsidR="00860B4B" w:rsidRPr="00D03F3E" w14:paraId="0D4D61CA"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72491D3"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0FB21D3"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11900</w:t>
            </w:r>
          </w:p>
        </w:tc>
      </w:tr>
      <w:tr w:rsidR="00860B4B" w:rsidRPr="00D03F3E" w14:paraId="77EE91E1"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CAD3675"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полета (V=0.67Vmax, Н=8300м), км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C0F098F"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 (1700-1800)</w:t>
            </w:r>
          </w:p>
        </w:tc>
      </w:tr>
      <w:tr w:rsidR="00860B4B" w:rsidRPr="00D03F3E" w14:paraId="6E9CD913"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65F6A43"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разбега,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57C5A30"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297 (350)</w:t>
            </w:r>
          </w:p>
        </w:tc>
      </w:tr>
    </w:tbl>
    <w:p w14:paraId="12408E7D"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скобках указаны данные, ожидаемые по расчетам специалистов НИИ ВВС (15578).</w:t>
      </w:r>
    </w:p>
    <w:p w14:paraId="51A70A21" w14:textId="77777777" w:rsidR="00F45B06" w:rsidRPr="00D03F3E" w:rsidRDefault="00F45B06" w:rsidP="00D03F3E">
      <w:pPr>
        <w:spacing w:after="0" w:line="240" w:lineRule="auto"/>
        <w:jc w:val="both"/>
        <w:rPr>
          <w:rFonts w:ascii="Times New Roman" w:hAnsi="Times New Roman"/>
          <w:color w:val="000000" w:themeColor="text1"/>
          <w:sz w:val="16"/>
          <w:szCs w:val="16"/>
        </w:rPr>
      </w:pPr>
    </w:p>
    <w:p w14:paraId="60A3FAB4" w14:textId="77777777" w:rsidR="00282096" w:rsidRPr="00D03F3E" w:rsidRDefault="00282096" w:rsidP="00D03F3E">
      <w:pPr>
        <w:pStyle w:val="850"/>
        <w:shd w:val="clear" w:color="auto" w:fill="auto"/>
        <w:spacing w:line="240" w:lineRule="auto"/>
        <w:jc w:val="both"/>
        <w:rPr>
          <w:rFonts w:ascii="Times New Roman" w:hAnsi="Times New Roman" w:cs="Times New Roman"/>
          <w:color w:val="0070C0"/>
          <w:sz w:val="16"/>
          <w:szCs w:val="16"/>
        </w:rPr>
      </w:pPr>
      <w:r w:rsidRPr="00D03F3E">
        <w:rPr>
          <w:rStyle w:val="690"/>
          <w:rFonts w:ascii="Times New Roman" w:hAnsi="Times New Roman" w:cs="Times New Roman"/>
          <w:color w:val="0070C0"/>
          <w:sz w:val="16"/>
          <w:szCs w:val="16"/>
          <w:lang w:val="ru-RU"/>
        </w:rPr>
        <w:t>В</w:t>
      </w:r>
      <w:r w:rsidRPr="00D03F3E">
        <w:rPr>
          <w:rStyle w:val="690"/>
          <w:rFonts w:ascii="Times New Roman" w:hAnsi="Times New Roman" w:cs="Times New Roman"/>
          <w:color w:val="0070C0"/>
          <w:sz w:val="16"/>
          <w:szCs w:val="16"/>
        </w:rPr>
        <w:t xml:space="preserve"> январе </w:t>
      </w:r>
      <w:r w:rsidRPr="00D03F3E">
        <w:rPr>
          <w:rStyle w:val="690"/>
          <w:rFonts w:ascii="Times New Roman" w:hAnsi="Times New Roman" w:cs="Times New Roman"/>
          <w:color w:val="0070C0"/>
          <w:sz w:val="16"/>
          <w:szCs w:val="16"/>
          <w:lang w:val="ru-RU"/>
        </w:rPr>
        <w:t xml:space="preserve">1943 </w:t>
      </w:r>
      <w:r w:rsidRPr="00D03F3E">
        <w:rPr>
          <w:rStyle w:val="690"/>
          <w:rFonts w:ascii="Times New Roman" w:hAnsi="Times New Roman" w:cs="Times New Roman"/>
          <w:color w:val="0070C0"/>
          <w:sz w:val="16"/>
          <w:szCs w:val="16"/>
        </w:rPr>
        <w:t xml:space="preserve">в КБ-3 </w:t>
      </w:r>
      <w:r w:rsidRPr="00D03F3E">
        <w:rPr>
          <w:rStyle w:val="690"/>
          <w:rFonts w:ascii="Times New Roman" w:hAnsi="Times New Roman" w:cs="Times New Roman"/>
          <w:color w:val="0070C0"/>
          <w:sz w:val="16"/>
          <w:szCs w:val="16"/>
          <w:lang w:val="ru-RU"/>
        </w:rPr>
        <w:t xml:space="preserve">Томашевича </w:t>
      </w:r>
      <w:r w:rsidRPr="00D03F3E">
        <w:rPr>
          <w:rStyle w:val="690"/>
          <w:rFonts w:ascii="Times New Roman" w:hAnsi="Times New Roman" w:cs="Times New Roman"/>
          <w:color w:val="0070C0"/>
          <w:sz w:val="16"/>
          <w:szCs w:val="16"/>
        </w:rPr>
        <w:t xml:space="preserve">работало около 100 человек, в основном вольнонаемных. По мере развития проекта </w:t>
      </w:r>
      <w:r w:rsidRPr="00D03F3E">
        <w:rPr>
          <w:rStyle w:val="690"/>
          <w:rFonts w:ascii="Times New Roman" w:hAnsi="Times New Roman" w:cs="Times New Roman"/>
          <w:color w:val="0070C0"/>
          <w:sz w:val="16"/>
          <w:szCs w:val="16"/>
          <w:lang w:val="ru-RU"/>
        </w:rPr>
        <w:t xml:space="preserve">самолета 110 </w:t>
      </w:r>
      <w:r w:rsidRPr="00D03F3E">
        <w:rPr>
          <w:rStyle w:val="690"/>
          <w:rFonts w:ascii="Times New Roman" w:hAnsi="Times New Roman" w:cs="Times New Roman"/>
          <w:color w:val="0070C0"/>
          <w:sz w:val="16"/>
          <w:szCs w:val="16"/>
        </w:rPr>
        <w:t>росло количе</w:t>
      </w:r>
      <w:r w:rsidRPr="00D03F3E">
        <w:rPr>
          <w:rStyle w:val="690"/>
          <w:rFonts w:ascii="Times New Roman" w:hAnsi="Times New Roman" w:cs="Times New Roman"/>
          <w:color w:val="0070C0"/>
          <w:sz w:val="16"/>
          <w:szCs w:val="16"/>
        </w:rPr>
        <w:softHyphen/>
        <w:t>ство вовлеченных в него специалистов. Было организовано восемь конструкторских бри</w:t>
      </w:r>
      <w:r w:rsidRPr="00D03F3E">
        <w:rPr>
          <w:rStyle w:val="690"/>
          <w:rFonts w:ascii="Times New Roman" w:hAnsi="Times New Roman" w:cs="Times New Roman"/>
          <w:color w:val="0070C0"/>
          <w:sz w:val="16"/>
          <w:szCs w:val="16"/>
        </w:rPr>
        <w:softHyphen/>
        <w:t>гад, а также несколько групп, в том числе - аэродинамики и прочности Бурный рост числа работни</w:t>
      </w:r>
      <w:r w:rsidRPr="00D03F3E">
        <w:rPr>
          <w:rStyle w:val="690"/>
          <w:rFonts w:ascii="Times New Roman" w:hAnsi="Times New Roman" w:cs="Times New Roman"/>
          <w:color w:val="0070C0"/>
          <w:sz w:val="16"/>
          <w:szCs w:val="16"/>
        </w:rPr>
        <w:softHyphen/>
        <w:t>ков в КБ-3, вызванный сжатыми сроками на проектирование, естественно, не способ</w:t>
      </w:r>
      <w:r w:rsidRPr="00D03F3E">
        <w:rPr>
          <w:rStyle w:val="690"/>
          <w:rFonts w:ascii="Times New Roman" w:hAnsi="Times New Roman" w:cs="Times New Roman"/>
          <w:color w:val="0070C0"/>
          <w:sz w:val="16"/>
          <w:szCs w:val="16"/>
        </w:rPr>
        <w:softHyphen/>
        <w:t>ствовал отбору конструкторов достаточной технической квалификации - приходилось брать людей, номинально соответствующих требованиям, хотя зарплата в КБ-3 была выше, чем в других конструкторских бюро, функционировавших на заводе № 156. Тут наверняка не обошлось без участия НКВД, но большие деньги обернулись скорее минусом. Похоже, что в КБ-3 попало много «блатных», отнюдь не в уголовном, а в бытовом смысле этого слова. Процент старших инженеров и инженеров по КБ-3 был выше, чем в других бюро, но объяснялось это скорее завышени</w:t>
      </w:r>
      <w:r w:rsidRPr="00D03F3E">
        <w:rPr>
          <w:rStyle w:val="690"/>
          <w:rFonts w:ascii="Times New Roman" w:hAnsi="Times New Roman" w:cs="Times New Roman"/>
          <w:color w:val="0070C0"/>
          <w:sz w:val="16"/>
          <w:szCs w:val="16"/>
        </w:rPr>
        <w:softHyphen/>
        <w:t>ем окладов тарифной сетки, чем квалифика</w:t>
      </w:r>
      <w:r w:rsidRPr="00D03F3E">
        <w:rPr>
          <w:rStyle w:val="690"/>
          <w:rFonts w:ascii="Times New Roman" w:hAnsi="Times New Roman" w:cs="Times New Roman"/>
          <w:color w:val="0070C0"/>
          <w:sz w:val="16"/>
          <w:szCs w:val="16"/>
        </w:rPr>
        <w:softHyphen/>
        <w:t>цией работников. Копировщицами, напри</w:t>
      </w:r>
      <w:r w:rsidRPr="00D03F3E">
        <w:rPr>
          <w:rStyle w:val="690"/>
          <w:rFonts w:ascii="Times New Roman" w:hAnsi="Times New Roman" w:cs="Times New Roman"/>
          <w:color w:val="0070C0"/>
          <w:sz w:val="16"/>
          <w:szCs w:val="16"/>
        </w:rPr>
        <w:softHyphen/>
        <w:t>мер, бригады укомплектовать долго не удава</w:t>
      </w:r>
      <w:r w:rsidRPr="00D03F3E">
        <w:rPr>
          <w:rStyle w:val="690"/>
          <w:rFonts w:ascii="Times New Roman" w:hAnsi="Times New Roman" w:cs="Times New Roman"/>
          <w:color w:val="0070C0"/>
          <w:sz w:val="16"/>
          <w:szCs w:val="16"/>
        </w:rPr>
        <w:softHyphen/>
        <w:t>лось. Ненормальный ход по проектированию, объясняемый спешностью работ, привлече</w:t>
      </w:r>
      <w:r w:rsidRPr="00D03F3E">
        <w:rPr>
          <w:rStyle w:val="690"/>
          <w:rFonts w:ascii="Times New Roman" w:hAnsi="Times New Roman" w:cs="Times New Roman"/>
          <w:color w:val="0070C0"/>
          <w:sz w:val="16"/>
          <w:szCs w:val="16"/>
        </w:rPr>
        <w:softHyphen/>
        <w:t>ние большого числа работников из других КБ, громадная доля сверхурочных работ и неко</w:t>
      </w:r>
      <w:r w:rsidRPr="00D03F3E">
        <w:rPr>
          <w:rStyle w:val="690"/>
          <w:rFonts w:ascii="Times New Roman" w:hAnsi="Times New Roman" w:cs="Times New Roman"/>
          <w:color w:val="0070C0"/>
          <w:sz w:val="16"/>
          <w:szCs w:val="16"/>
        </w:rPr>
        <w:softHyphen/>
        <w:t>торые другие факторы порождали в КБ-3 значительное завышение среднемесячных и фактических заработков даже по сравнению с другими бюро ЦКБ-29, не говоря уже о «штатских» отделах завода.</w:t>
      </w:r>
    </w:p>
    <w:p w14:paraId="0DD5AE56" w14:textId="77777777" w:rsidR="00282096" w:rsidRPr="00D03F3E" w:rsidRDefault="00282096" w:rsidP="00D03F3E">
      <w:pPr>
        <w:pStyle w:val="850"/>
        <w:shd w:val="clear" w:color="auto" w:fill="auto"/>
        <w:spacing w:line="240" w:lineRule="auto"/>
        <w:jc w:val="both"/>
        <w:rPr>
          <w:rFonts w:ascii="Times New Roman" w:hAnsi="Times New Roman" w:cs="Times New Roman"/>
          <w:color w:val="0070C0"/>
          <w:sz w:val="16"/>
          <w:szCs w:val="16"/>
        </w:rPr>
      </w:pPr>
      <w:r w:rsidRPr="00D03F3E">
        <w:rPr>
          <w:rStyle w:val="690"/>
          <w:rFonts w:ascii="Times New Roman" w:hAnsi="Times New Roman" w:cs="Times New Roman"/>
          <w:color w:val="0070C0"/>
          <w:sz w:val="16"/>
          <w:szCs w:val="16"/>
        </w:rPr>
        <w:t>На первом этапе пришлось не сладко аэродинамикам. От них в срочном порядке потребовали обеспечить анализ и рацио</w:t>
      </w:r>
      <w:r w:rsidRPr="00D03F3E">
        <w:rPr>
          <w:rStyle w:val="690"/>
          <w:rFonts w:ascii="Times New Roman" w:hAnsi="Times New Roman" w:cs="Times New Roman"/>
          <w:color w:val="0070C0"/>
          <w:sz w:val="16"/>
          <w:szCs w:val="16"/>
        </w:rPr>
        <w:softHyphen/>
        <w:t>нальный подбор основных геометрических параметров самолета: крыла и его механиза</w:t>
      </w:r>
      <w:r w:rsidRPr="00D03F3E">
        <w:rPr>
          <w:rStyle w:val="690"/>
          <w:rFonts w:ascii="Times New Roman" w:hAnsi="Times New Roman" w:cs="Times New Roman"/>
          <w:color w:val="0070C0"/>
          <w:sz w:val="16"/>
          <w:szCs w:val="16"/>
        </w:rPr>
        <w:softHyphen/>
        <w:t>ции, а также систем охлаждения, расчеты сечений всасывающих и выхлопных патруб</w:t>
      </w:r>
      <w:r w:rsidRPr="00D03F3E">
        <w:rPr>
          <w:rStyle w:val="690"/>
          <w:rFonts w:ascii="Times New Roman" w:hAnsi="Times New Roman" w:cs="Times New Roman"/>
          <w:color w:val="0070C0"/>
          <w:sz w:val="16"/>
          <w:szCs w:val="16"/>
        </w:rPr>
        <w:softHyphen/>
        <w:t>ков. Аэродинамической группой также были выполнены расчеты основных летных данных десяти вариантов самолета, два полных аэро</w:t>
      </w:r>
      <w:r w:rsidRPr="00D03F3E">
        <w:rPr>
          <w:rStyle w:val="690"/>
          <w:rFonts w:ascii="Times New Roman" w:hAnsi="Times New Roman" w:cs="Times New Roman"/>
          <w:color w:val="0070C0"/>
          <w:sz w:val="16"/>
          <w:szCs w:val="16"/>
        </w:rPr>
        <w:softHyphen/>
        <w:t>динамических расчета летных данных к эскизным проектам с моторами М-105Ф и М-107П. Была подготовлена модель для испытания в аэродинамической трубе НИИ ВВС, а также чертежи тактической модели. Они были закончены в январе, а модель изго</w:t>
      </w:r>
      <w:r w:rsidRPr="00D03F3E">
        <w:rPr>
          <w:rStyle w:val="690"/>
          <w:rFonts w:ascii="Times New Roman" w:hAnsi="Times New Roman" w:cs="Times New Roman"/>
          <w:color w:val="0070C0"/>
          <w:sz w:val="16"/>
          <w:szCs w:val="16"/>
        </w:rPr>
        <w:softHyphen/>
        <w:t>товлена в феврале. Помимо аэродинамиче</w:t>
      </w:r>
      <w:r w:rsidRPr="00D03F3E">
        <w:rPr>
          <w:rStyle w:val="690"/>
          <w:rFonts w:ascii="Times New Roman" w:hAnsi="Times New Roman" w:cs="Times New Roman"/>
          <w:color w:val="0070C0"/>
          <w:sz w:val="16"/>
          <w:szCs w:val="16"/>
        </w:rPr>
        <w:softHyphen/>
        <w:t>ских, на группу возлагались еще и вопросы динамики полета, в частности предваритель</w:t>
      </w:r>
      <w:r w:rsidRPr="00D03F3E">
        <w:rPr>
          <w:rStyle w:val="690"/>
          <w:rFonts w:ascii="Times New Roman" w:hAnsi="Times New Roman" w:cs="Times New Roman"/>
          <w:color w:val="0070C0"/>
          <w:sz w:val="16"/>
          <w:szCs w:val="16"/>
        </w:rPr>
        <w:softHyphen/>
        <w:t>ные расчеты устойчивости самолета для эскизного проекта, подбор воздушных вин</w:t>
      </w:r>
      <w:r w:rsidRPr="00D03F3E">
        <w:rPr>
          <w:rStyle w:val="690"/>
          <w:rFonts w:ascii="Times New Roman" w:hAnsi="Times New Roman" w:cs="Times New Roman"/>
          <w:color w:val="0070C0"/>
          <w:sz w:val="16"/>
          <w:szCs w:val="16"/>
        </w:rPr>
        <w:softHyphen/>
        <w:t>тов и проведение испытаний моделей винтов в ЦАГИ. Предварительные результаты проду</w:t>
      </w:r>
      <w:r w:rsidRPr="00D03F3E">
        <w:rPr>
          <w:rStyle w:val="690"/>
          <w:rFonts w:ascii="Times New Roman" w:hAnsi="Times New Roman" w:cs="Times New Roman"/>
          <w:color w:val="0070C0"/>
          <w:sz w:val="16"/>
          <w:szCs w:val="16"/>
        </w:rPr>
        <w:softHyphen/>
        <w:t>вок были получены 8 мая</w:t>
      </w:r>
      <w:r w:rsidRPr="00D03F3E">
        <w:rPr>
          <w:rStyle w:val="690"/>
          <w:rFonts w:ascii="Times New Roman" w:hAnsi="Times New Roman" w:cs="Times New Roman"/>
          <w:color w:val="0070C0"/>
          <w:sz w:val="16"/>
          <w:szCs w:val="16"/>
          <w:lang w:val="ru-RU"/>
        </w:rPr>
        <w:t xml:space="preserve"> (19869)</w:t>
      </w:r>
      <w:r w:rsidRPr="00D03F3E">
        <w:rPr>
          <w:rStyle w:val="690"/>
          <w:rFonts w:ascii="Times New Roman" w:hAnsi="Times New Roman" w:cs="Times New Roman"/>
          <w:color w:val="0070C0"/>
          <w:sz w:val="16"/>
          <w:szCs w:val="16"/>
        </w:rPr>
        <w:t>.</w:t>
      </w:r>
    </w:p>
    <w:p w14:paraId="598DDA6E" w14:textId="77777777" w:rsidR="00282096" w:rsidRPr="00D03F3E" w:rsidRDefault="00282096" w:rsidP="00D03F3E">
      <w:pPr>
        <w:shd w:val="clear" w:color="auto" w:fill="FFFFFF"/>
        <w:spacing w:after="0" w:line="240" w:lineRule="auto"/>
        <w:jc w:val="both"/>
        <w:rPr>
          <w:rFonts w:ascii="Times New Roman" w:hAnsi="Times New Roman"/>
          <w:color w:val="0070C0"/>
          <w:sz w:val="16"/>
          <w:szCs w:val="16"/>
        </w:rPr>
      </w:pPr>
    </w:p>
    <w:p w14:paraId="522DAA79" w14:textId="77777777" w:rsidR="00282096" w:rsidRPr="00D03F3E" w:rsidRDefault="00282096"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на заводе № 39 были построены 10 бомбардировщиков, в июне темп достиг 15 машин в месяц. Начиная с октября по декабрь 1943 г. ежемесячно собирали по 30 машин, а затем темп стал сокращаться. Это было связано с очередным удивительным витком в биографии завода. Только- только вытянули Ил-4, и вдруг опять надо начинать перестройку производства. В сентябре завод №39 получил задание - параллельно с изготовлением Ил-4 организовать производство нового изделия - дальнего бомбардировщика Ер-2, причем первый Ер-2 следовало построить уже в декабре, с тем, чтобы начиная с января наращивать темп его выпуска при одновременном сокращении объемов строительства Ил-4.</w:t>
      </w:r>
    </w:p>
    <w:p w14:paraId="3CF1B57B" w14:textId="77777777" w:rsidR="00282096" w:rsidRPr="00D03F3E" w:rsidRDefault="00282096"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№126 строил ДБ-ЗФ с темпов 60 самолетов в месяц. Этого было недостаточно для компенсации боевых потерь и наращивания численности Дальней авиации. В связи с этим в подмосковных Филях в марте 1942 г., на вернувшемся из Сибири заводе, получившем №23, тоже развернули производство Ил-4. Ввиду близости к ОКБ новый завод стал базой для отработки в условиях серийного производства всех необходимых переделок конструкции. Но его темп выпуска ДБ-ЗФ не превышал 30 машин в месяц, да и вышли на такой показатель только к ноябрю 1942 г.</w:t>
      </w:r>
    </w:p>
    <w:p w14:paraId="1FCBFB24" w14:textId="77777777" w:rsidR="00282096" w:rsidRPr="00D03F3E" w:rsidRDefault="00282096"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том же году для выпуска Ил-4 на площадке эвакуированного завода №39 в Москве организовали завод №81, а сам 39-й завод в Иркутске прекратил изготовление Пе-2 и Пе-3 в пользу Ил-4.</w:t>
      </w:r>
    </w:p>
    <w:p w14:paraId="6F6E442E" w14:textId="77777777" w:rsidR="00282096" w:rsidRPr="00D03F3E" w:rsidRDefault="00282096"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Бесконечные переезды и переориентации заводов привели к тому, что даже ценой огромных усилий за 1941 г. было выпущено всего 757 ДБ-3 и ДБ-ЗФ, а за 1942 г. - 858 машин (12037).</w:t>
      </w:r>
    </w:p>
    <w:p w14:paraId="743A8A13" w14:textId="77777777" w:rsidR="00282096" w:rsidRPr="00D03F3E" w:rsidRDefault="00282096"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4630E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на одном из самолетов выпуска завода №23 испытывались три варианта теплового антиобледенителя. Летал заводской пилот майор Подолякин. Самым легким оказался вариант с обогревательными рубашками на выхлопных коллекторах и калорифером для оперения -117 кг. Он же обеспечивал меньшее лобовое сопротивление, чем вариант с тремя бензиновыми подвесными калориферами. Но для серии рекомендовали калориферы, как более простые. Одновременно испытали и одобрили омывание стекол козырька спиртовой смесью (7666).</w:t>
      </w:r>
    </w:p>
    <w:p w14:paraId="5ECDF3F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1433F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1943-го на одном из самолетов выпуска завода № 23 испытывались три варианта теплового антиобледени</w:t>
      </w:r>
      <w:r w:rsidRPr="00D03F3E">
        <w:rPr>
          <w:rFonts w:ascii="Times New Roman" w:hAnsi="Times New Roman"/>
          <w:color w:val="000000" w:themeColor="text1"/>
          <w:sz w:val="16"/>
          <w:szCs w:val="16"/>
        </w:rPr>
        <w:softHyphen/>
        <w:t>теля. Летал заводской пилот майор По-долякин. Самым легким оказался вари</w:t>
      </w:r>
      <w:r w:rsidRPr="00D03F3E">
        <w:rPr>
          <w:rFonts w:ascii="Times New Roman" w:hAnsi="Times New Roman"/>
          <w:color w:val="000000" w:themeColor="text1"/>
          <w:sz w:val="16"/>
          <w:szCs w:val="16"/>
        </w:rPr>
        <w:softHyphen/>
        <w:t>ант с обогревательными рубашками на выхлопных коллекторах и калорифером для оперения — 117 кг. Он же обеспе</w:t>
      </w:r>
      <w:r w:rsidRPr="00D03F3E">
        <w:rPr>
          <w:rFonts w:ascii="Times New Roman" w:hAnsi="Times New Roman"/>
          <w:color w:val="000000" w:themeColor="text1"/>
          <w:sz w:val="16"/>
          <w:szCs w:val="16"/>
        </w:rPr>
        <w:softHyphen/>
        <w:t>чивал меньшее лобовое сопротивление, чем вариант с тремя бензиновыми под</w:t>
      </w:r>
      <w:r w:rsidRPr="00D03F3E">
        <w:rPr>
          <w:rFonts w:ascii="Times New Roman" w:hAnsi="Times New Roman"/>
          <w:color w:val="000000" w:themeColor="text1"/>
          <w:sz w:val="16"/>
          <w:szCs w:val="16"/>
        </w:rPr>
        <w:softHyphen/>
        <w:t>весными калориферами. Но для серии рекомендовали калориферы, как более простые. Одновременно испытали и одобрили смывание стекол козырька спиртовой смесью (10734,78).</w:t>
      </w:r>
    </w:p>
    <w:p w14:paraId="081AC5F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29DE9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по результатам гос. Испытпний И-185 М-71 эталон был предпринят ряд обращений в высшие инстан</w:t>
      </w:r>
      <w:r w:rsidRPr="00D03F3E">
        <w:rPr>
          <w:rFonts w:ascii="Times New Roman" w:hAnsi="Times New Roman"/>
          <w:color w:val="000000" w:themeColor="text1"/>
          <w:sz w:val="16"/>
          <w:szCs w:val="16"/>
        </w:rPr>
        <w:softHyphen/>
        <w:t>ции для скорейшего запуска И-185 в производ</w:t>
      </w:r>
      <w:r w:rsidRPr="00D03F3E">
        <w:rPr>
          <w:rFonts w:ascii="Times New Roman" w:hAnsi="Times New Roman"/>
          <w:color w:val="000000" w:themeColor="text1"/>
          <w:sz w:val="16"/>
          <w:szCs w:val="16"/>
        </w:rPr>
        <w:softHyphen/>
        <w:t>ство. В частности, лично к И.В.Сталину обрати</w:t>
      </w:r>
      <w:r w:rsidRPr="00D03F3E">
        <w:rPr>
          <w:rFonts w:ascii="Times New Roman" w:hAnsi="Times New Roman"/>
          <w:color w:val="000000" w:themeColor="text1"/>
          <w:sz w:val="16"/>
          <w:szCs w:val="16"/>
        </w:rPr>
        <w:softHyphen/>
        <w:t>лись летчики Стефановский, Логинов и веду</w:t>
      </w:r>
      <w:r w:rsidRPr="00D03F3E">
        <w:rPr>
          <w:rFonts w:ascii="Times New Roman" w:hAnsi="Times New Roman"/>
          <w:color w:val="000000" w:themeColor="text1"/>
          <w:sz w:val="16"/>
          <w:szCs w:val="16"/>
        </w:rPr>
        <w:softHyphen/>
        <w:t>щий инженер Лазарев:</w:t>
      </w:r>
    </w:p>
    <w:p w14:paraId="0F4D075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ЦК ВКП (б) тов. Сталину И. В.</w:t>
      </w:r>
    </w:p>
    <w:p w14:paraId="19208A0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Дорогой Иосиф Виссарионович!</w:t>
      </w:r>
    </w:p>
    <w:p w14:paraId="105CD39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Мы, испытатели истребителя И-185 конст</w:t>
      </w:r>
      <w:r w:rsidRPr="00D03F3E">
        <w:rPr>
          <w:rFonts w:ascii="Times New Roman" w:hAnsi="Times New Roman"/>
          <w:iCs/>
          <w:color w:val="000000" w:themeColor="text1"/>
          <w:sz w:val="16"/>
          <w:szCs w:val="16"/>
        </w:rPr>
        <w:softHyphen/>
        <w:t>рукции И.И.Поликарпова, вынуждены обратить</w:t>
      </w:r>
      <w:r w:rsidRPr="00D03F3E">
        <w:rPr>
          <w:rFonts w:ascii="Times New Roman" w:hAnsi="Times New Roman"/>
          <w:iCs/>
          <w:color w:val="000000" w:themeColor="text1"/>
          <w:sz w:val="16"/>
          <w:szCs w:val="16"/>
        </w:rPr>
        <w:softHyphen/>
        <w:t>ся к Вам, Иосиф Виссарионович, со следующим:</w:t>
      </w:r>
    </w:p>
    <w:p w14:paraId="542E0A8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1. Истребитель И-185 прошел заводские, а затем и государственные летные испытания в НИИ ВВС КА. Заводские испытания проводил летчик тов. Логинов, а в НИИ ВВС КА - летчик тов. Стефановский. В результате испытаний получены следущие данные:</w:t>
      </w:r>
    </w:p>
    <w:p w14:paraId="0557434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А) Максимальная скорость у земли = 600 км/ч</w:t>
      </w:r>
    </w:p>
    <w:p w14:paraId="7FBD9B6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Б) на высоте 6100м = 680 км/ч</w:t>
      </w:r>
    </w:p>
    <w:p w14:paraId="2800256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 xml:space="preserve">В) Скороподъемность на 5000 </w:t>
      </w:r>
      <w:r w:rsidRPr="00D03F3E">
        <w:rPr>
          <w:rFonts w:ascii="Times New Roman" w:hAnsi="Times New Roman"/>
          <w:color w:val="000000" w:themeColor="text1"/>
          <w:sz w:val="16"/>
          <w:szCs w:val="16"/>
        </w:rPr>
        <w:t xml:space="preserve">м = 4,7 </w:t>
      </w:r>
      <w:r w:rsidRPr="00D03F3E">
        <w:rPr>
          <w:rFonts w:ascii="Times New Roman" w:hAnsi="Times New Roman"/>
          <w:iCs/>
          <w:color w:val="000000" w:themeColor="text1"/>
          <w:sz w:val="16"/>
          <w:szCs w:val="16"/>
        </w:rPr>
        <w:t>мин.</w:t>
      </w:r>
    </w:p>
    <w:p w14:paraId="28A87A1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Г) Среднее время выполнения виража на Н= 1000м = 22-23 сек.</w:t>
      </w:r>
    </w:p>
    <w:p w14:paraId="625FFC9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Д) Истребитель имеет мощный фронтальный огонь - установлено: 3 пушки калибра 20 мм с боевым запасом 600 снарядов.</w:t>
      </w:r>
    </w:p>
    <w:p w14:paraId="17696CC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Е) В управлении самолет доступен для летчи</w:t>
      </w:r>
      <w:r w:rsidRPr="00D03F3E">
        <w:rPr>
          <w:rFonts w:ascii="Times New Roman" w:hAnsi="Times New Roman"/>
          <w:iCs/>
          <w:color w:val="000000" w:themeColor="text1"/>
          <w:sz w:val="16"/>
          <w:szCs w:val="16"/>
        </w:rPr>
        <w:softHyphen/>
        <w:t>ков средней квалификации, что подтверждают летавшие на нем летчики (12 человек, из них 4 рядовых летчика гвардейского полка). Самолет является наиболее легко изучаемым для боль</w:t>
      </w:r>
      <w:r w:rsidRPr="00D03F3E">
        <w:rPr>
          <w:rFonts w:ascii="Times New Roman" w:hAnsi="Times New Roman"/>
          <w:iCs/>
          <w:color w:val="000000" w:themeColor="text1"/>
          <w:sz w:val="16"/>
          <w:szCs w:val="16"/>
        </w:rPr>
        <w:softHyphen/>
        <w:t>шинства летчиков нашей страны.</w:t>
      </w:r>
    </w:p>
    <w:p w14:paraId="427F75F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Ж) В эксплуатации истребитель прост. Его аг</w:t>
      </w:r>
      <w:r w:rsidRPr="00D03F3E">
        <w:rPr>
          <w:rFonts w:ascii="Times New Roman" w:hAnsi="Times New Roman"/>
          <w:iCs/>
          <w:color w:val="000000" w:themeColor="text1"/>
          <w:sz w:val="16"/>
          <w:szCs w:val="16"/>
        </w:rPr>
        <w:softHyphen/>
        <w:t>регаты легко доступны для ремонта в полевых условиях.</w:t>
      </w:r>
    </w:p>
    <w:p w14:paraId="2EDD9D3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2. Нам известно, что тов. Поликарпов име</w:t>
      </w:r>
      <w:r w:rsidRPr="00D03F3E">
        <w:rPr>
          <w:rFonts w:ascii="Times New Roman" w:hAnsi="Times New Roman"/>
          <w:iCs/>
          <w:color w:val="000000" w:themeColor="text1"/>
          <w:sz w:val="16"/>
          <w:szCs w:val="16"/>
        </w:rPr>
        <w:softHyphen/>
        <w:t>ет проект модификации истребителя И-185, осуществление которого даст следущие летные данные:</w:t>
      </w:r>
    </w:p>
    <w:p w14:paraId="06E4EC9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А.) Максимальная скорость у земли 650 км/ч</w:t>
      </w:r>
    </w:p>
    <w:p w14:paraId="1755641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Б.) на высоте Н=6250 м 710 км/ч</w:t>
      </w:r>
    </w:p>
    <w:p w14:paraId="41EE0DF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В.) Набор высоты 5000 м 4,2 мин.</w:t>
      </w:r>
    </w:p>
    <w:p w14:paraId="649A925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Г.) Мощность фронтального огня может быть увеличена до 4-х пушек калибра 20 мм.</w:t>
      </w:r>
    </w:p>
    <w:p w14:paraId="18EE37F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По своимлетно-тактическим данным само</w:t>
      </w:r>
      <w:r w:rsidRPr="00D03F3E">
        <w:rPr>
          <w:rFonts w:ascii="Times New Roman" w:hAnsi="Times New Roman"/>
          <w:iCs/>
          <w:color w:val="000000" w:themeColor="text1"/>
          <w:sz w:val="16"/>
          <w:szCs w:val="16"/>
        </w:rPr>
        <w:softHyphen/>
        <w:t>лет И-185 является одним из лучших в настоя</w:t>
      </w:r>
      <w:r w:rsidRPr="00D03F3E">
        <w:rPr>
          <w:rFonts w:ascii="Times New Roman" w:hAnsi="Times New Roman"/>
          <w:iCs/>
          <w:color w:val="000000" w:themeColor="text1"/>
          <w:sz w:val="16"/>
          <w:szCs w:val="16"/>
        </w:rPr>
        <w:softHyphen/>
        <w:t>щее время, поэтому обращаемся к Вам с просьбой о разрешении постройки войсковой серии и испытании самолета в боевых услови</w:t>
      </w:r>
      <w:r w:rsidRPr="00D03F3E">
        <w:rPr>
          <w:rFonts w:ascii="Times New Roman" w:hAnsi="Times New Roman"/>
          <w:iCs/>
          <w:color w:val="000000" w:themeColor="text1"/>
          <w:sz w:val="16"/>
          <w:szCs w:val="16"/>
        </w:rPr>
        <w:softHyphen/>
        <w:t>ях на фронте.</w:t>
      </w:r>
    </w:p>
    <w:p w14:paraId="05E565A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Летчик-испытатель НИИ ВВСКА полковник Стефановский</w:t>
      </w:r>
    </w:p>
    <w:p w14:paraId="4C78B11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Ведущий инженер НИИ ВВС КА инженер-полковник Лазарев</w:t>
      </w:r>
    </w:p>
    <w:p w14:paraId="4D2EDD3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Летчик-испытатель завода №51 НКАП Ло</w:t>
      </w:r>
      <w:r w:rsidRPr="00D03F3E">
        <w:rPr>
          <w:rFonts w:ascii="Times New Roman" w:hAnsi="Times New Roman"/>
          <w:iCs/>
          <w:color w:val="000000" w:themeColor="text1"/>
          <w:sz w:val="16"/>
          <w:szCs w:val="16"/>
        </w:rPr>
        <w:softHyphen/>
        <w:t>гинов»</w:t>
      </w:r>
      <w:r w:rsidRPr="00D03F3E">
        <w:rPr>
          <w:rFonts w:ascii="Times New Roman" w:hAnsi="Times New Roman"/>
          <w:color w:val="000000" w:themeColor="text1"/>
          <w:sz w:val="16"/>
          <w:szCs w:val="16"/>
        </w:rPr>
        <w:t xml:space="preserve"> (9979).</w:t>
      </w:r>
    </w:p>
    <w:p w14:paraId="19E9EF6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9253D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года гл. конструктором завода № 29 был назначен Нитченко В.С. В 1942 году завод получил задание довести и запустить в производство малую серию опытного двигателя М-90.</w:t>
      </w:r>
    </w:p>
    <w:p w14:paraId="0EA7C1B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54BE619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26B1CF5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0E6C2A6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Омск, Б. Хмельницкого – 281, п/я 64</w:t>
      </w:r>
    </w:p>
    <w:p w14:paraId="66A282A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037C5D4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1411C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начались испытательные полеты первого прототипа И-220 (1021,78).</w:t>
      </w:r>
    </w:p>
    <w:p w14:paraId="7DFA47E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A5F9A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в ОКБ П.О.С. был разработан проект двухмоторного двухместного истребителя с М-71Ф и ТК-3 с 37 мм пушками на основе одноместного истребителя ИОП, разработанного в декабре 1942 1943 (1454,56).</w:t>
      </w:r>
    </w:p>
    <w:p w14:paraId="4B67827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04E04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О.К.А. стал зам. А.С.Я., а затем руководителем филиала ОКБ А.С.Я. (368,36).</w:t>
      </w:r>
    </w:p>
    <w:p w14:paraId="1F1DD85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0170C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1943 по июль 1945 О.К.А. был зам ГК А.С.Я. (7483, 9).</w:t>
      </w:r>
    </w:p>
    <w:p w14:paraId="6D51313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DA66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впервые взлетел Як-7 с мотором М-107А. Известно, что на самолет установили консоли с металлическими лонжеронами (после чего в ряде документов истребитель переименовали в Як-9), но сохранили полностью вооружение: два синхронных крупнокалиберных пулемета УБС и 20-мм пушку ШВАК. Данный вариант вооружения стал типичным для большинства Як-9 с мотором М-107А (4537).</w:t>
      </w:r>
    </w:p>
    <w:p w14:paraId="7B905EC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9058AC" w14:textId="77777777" w:rsidR="009614F5" w:rsidRPr="00D03F3E" w:rsidRDefault="009614F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январе 1943 г. в НИИ ВВС КА изучался опыт 42-го иап по боевому применению «истре</w:t>
      </w:r>
      <w:r w:rsidRPr="00D03F3E">
        <w:rPr>
          <w:color w:val="000000" w:themeColor="text1"/>
          <w:sz w:val="16"/>
          <w:szCs w:val="16"/>
        </w:rPr>
        <w:softHyphen/>
        <w:t>бителей Як-7б М-105Пф с пушкой 37 мм ОКБ-15 и пулеметом УБС». Ответственными исполнителями были ка</w:t>
      </w:r>
      <w:r w:rsidRPr="00D03F3E">
        <w:rPr>
          <w:color w:val="000000" w:themeColor="text1"/>
          <w:sz w:val="16"/>
          <w:szCs w:val="16"/>
        </w:rPr>
        <w:softHyphen/>
        <w:t>питан А. С. Никитин и командир полка подполков</w:t>
      </w:r>
      <w:r w:rsidRPr="00D03F3E">
        <w:rPr>
          <w:color w:val="000000" w:themeColor="text1"/>
          <w:sz w:val="16"/>
          <w:szCs w:val="16"/>
        </w:rPr>
        <w:softHyphen/>
        <w:t>ник Ф. И. Шинкаренко. Отчет был утвержден на</w:t>
      </w:r>
      <w:r w:rsidRPr="00D03F3E">
        <w:rPr>
          <w:color w:val="000000" w:themeColor="text1"/>
          <w:sz w:val="16"/>
          <w:szCs w:val="16"/>
        </w:rPr>
        <w:softHyphen/>
        <w:t>чальником института генерал-майором П. А. Лосюковым 21 января.</w:t>
      </w:r>
    </w:p>
    <w:p w14:paraId="78A6A5CF" w14:textId="77777777" w:rsidR="009614F5" w:rsidRPr="00D03F3E" w:rsidRDefault="009614F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следует из документов, все полеты на Як-7-37 выполнялись только над своей террито</w:t>
      </w:r>
      <w:r w:rsidRPr="00D03F3E">
        <w:rPr>
          <w:color w:val="000000" w:themeColor="text1"/>
          <w:sz w:val="16"/>
          <w:szCs w:val="16"/>
        </w:rPr>
        <w:softHyphen/>
        <w:t>рией. Перелет линии фронта категорически запре</w:t>
      </w:r>
      <w:r w:rsidRPr="00D03F3E">
        <w:rPr>
          <w:color w:val="000000" w:themeColor="text1"/>
          <w:sz w:val="16"/>
          <w:szCs w:val="16"/>
        </w:rPr>
        <w:softHyphen/>
        <w:t>щался. Летчики вылетали на сопровождение Ил-2, прикрытие наземных войск, уничтожение авиации противника.</w:t>
      </w:r>
    </w:p>
    <w:p w14:paraId="2C33E29F" w14:textId="77777777" w:rsidR="009614F5" w:rsidRPr="00D03F3E" w:rsidRDefault="009614F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 Як-7-37 было проведено 12 групповых воз</w:t>
      </w:r>
      <w:r w:rsidRPr="00D03F3E">
        <w:rPr>
          <w:color w:val="000000" w:themeColor="text1"/>
          <w:sz w:val="16"/>
          <w:szCs w:val="16"/>
        </w:rPr>
        <w:softHyphen/>
        <w:t>душных боев при примерно равном соотношении сил, в которых было сбито десять самолетов про</w:t>
      </w:r>
      <w:r w:rsidRPr="00D03F3E">
        <w:rPr>
          <w:color w:val="000000" w:themeColor="text1"/>
          <w:sz w:val="16"/>
          <w:szCs w:val="16"/>
        </w:rPr>
        <w:softHyphen/>
        <w:t xml:space="preserve">тивника (восемь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F</w:t>
      </w:r>
      <w:r w:rsidRPr="00D03F3E">
        <w:rPr>
          <w:color w:val="000000" w:themeColor="text1"/>
          <w:sz w:val="16"/>
          <w:szCs w:val="16"/>
        </w:rPr>
        <w:t xml:space="preserve">, </w:t>
      </w:r>
      <w:r w:rsidRPr="00D03F3E">
        <w:rPr>
          <w:color w:val="000000" w:themeColor="text1"/>
          <w:sz w:val="16"/>
          <w:szCs w:val="16"/>
          <w:lang w:val="en-US"/>
        </w:rPr>
        <w:t>Fw</w:t>
      </w:r>
      <w:r w:rsidRPr="00D03F3E">
        <w:rPr>
          <w:color w:val="000000" w:themeColor="text1"/>
          <w:sz w:val="16"/>
          <w:szCs w:val="16"/>
        </w:rPr>
        <w:t xml:space="preserve">189, </w:t>
      </w:r>
      <w:r w:rsidRPr="00D03F3E">
        <w:rPr>
          <w:color w:val="000000" w:themeColor="text1"/>
          <w:sz w:val="16"/>
          <w:szCs w:val="16"/>
          <w:lang w:val="en-US"/>
        </w:rPr>
        <w:t>Hs</w:t>
      </w:r>
      <w:r w:rsidRPr="00D03F3E">
        <w:rPr>
          <w:color w:val="000000" w:themeColor="text1"/>
          <w:sz w:val="16"/>
          <w:szCs w:val="16"/>
        </w:rPr>
        <w:t>126). Свои потери составили пять летчиков.</w:t>
      </w:r>
    </w:p>
    <w:p w14:paraId="5D89C14E" w14:textId="77777777" w:rsidR="009614F5" w:rsidRPr="00D03F3E" w:rsidRDefault="009614F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общему мнению летчиков полка, Як-7-37 «по сравнению с другими типами истребителей, кроме Як-1, является лучшим самолетом, который позво</w:t>
      </w:r>
      <w:r w:rsidRPr="00D03F3E">
        <w:rPr>
          <w:color w:val="000000" w:themeColor="text1"/>
          <w:sz w:val="16"/>
          <w:szCs w:val="16"/>
        </w:rPr>
        <w:softHyphen/>
        <w:t>ляет вести воздушный бой как на вертикальном, так и на горизонтальном маневре». Однако для успешного боя с новыми немецкими истребителя</w:t>
      </w:r>
      <w:r w:rsidRPr="00D03F3E">
        <w:rPr>
          <w:color w:val="000000" w:themeColor="text1"/>
          <w:sz w:val="16"/>
          <w:szCs w:val="16"/>
        </w:rPr>
        <w:softHyphen/>
        <w:t>ми «желательно повысить скорость полета самоле</w:t>
      </w:r>
      <w:r w:rsidRPr="00D03F3E">
        <w:rPr>
          <w:color w:val="000000" w:themeColor="text1"/>
          <w:sz w:val="16"/>
          <w:szCs w:val="16"/>
        </w:rPr>
        <w:softHyphen/>
        <w:t>та на 40—50 км/ч».</w:t>
      </w:r>
    </w:p>
    <w:p w14:paraId="08C9BB7C" w14:textId="77777777" w:rsidR="009614F5" w:rsidRPr="00D03F3E" w:rsidRDefault="009614F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то же время пушка Ш-37 показала себя с наи</w:t>
      </w:r>
      <w:r w:rsidRPr="00D03F3E">
        <w:rPr>
          <w:color w:val="000000" w:themeColor="text1"/>
          <w:sz w:val="16"/>
          <w:szCs w:val="16"/>
        </w:rPr>
        <w:softHyphen/>
        <w:t>лучшей стороны, работала почти без отказов и ока</w:t>
      </w:r>
      <w:r w:rsidRPr="00D03F3E">
        <w:rPr>
          <w:color w:val="000000" w:themeColor="text1"/>
          <w:sz w:val="16"/>
          <w:szCs w:val="16"/>
        </w:rPr>
        <w:softHyphen/>
        <w:t>залась простой в эксплуатации. Вследствие силь</w:t>
      </w:r>
      <w:r w:rsidRPr="00D03F3E">
        <w:rPr>
          <w:color w:val="000000" w:themeColor="text1"/>
          <w:sz w:val="16"/>
          <w:szCs w:val="16"/>
        </w:rPr>
        <w:softHyphen/>
        <w:t>ной отдачи пушки при стрельбе отмечались случаи течи масла из заднего уплотнения редукторного вала после 200—300 выстрелов.</w:t>
      </w:r>
    </w:p>
    <w:p w14:paraId="3E2A37F9" w14:textId="77777777" w:rsidR="009614F5" w:rsidRPr="00D03F3E" w:rsidRDefault="009614F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Несмотря на положительные в целом результаты войсковых испытаний, развития самолет Як-7-37 не получил, поскольку к моменту их окончания в мас</w:t>
      </w:r>
      <w:r w:rsidRPr="00D03F3E">
        <w:rPr>
          <w:color w:val="000000" w:themeColor="text1"/>
          <w:sz w:val="16"/>
          <w:szCs w:val="16"/>
        </w:rPr>
        <w:softHyphen/>
        <w:t>совую серию уже пошел истребитель Як-9 М-105ПФ с лучшими летно-боевыми данными. По этим причи</w:t>
      </w:r>
      <w:r w:rsidRPr="00D03F3E">
        <w:rPr>
          <w:color w:val="000000" w:themeColor="text1"/>
          <w:sz w:val="16"/>
          <w:szCs w:val="16"/>
        </w:rPr>
        <w:softHyphen/>
        <w:t>нам все дальнейшие работы по увеличению мощно</w:t>
      </w:r>
      <w:r w:rsidRPr="00D03F3E">
        <w:rPr>
          <w:color w:val="000000" w:themeColor="text1"/>
          <w:sz w:val="16"/>
          <w:szCs w:val="16"/>
        </w:rPr>
        <w:softHyphen/>
        <w:t>сти огня проводились именно на «девятке» (17500).</w:t>
      </w:r>
    </w:p>
    <w:p w14:paraId="74B22093" w14:textId="77777777" w:rsidR="009614F5" w:rsidRPr="00D03F3E" w:rsidRDefault="009614F5" w:rsidP="00D03F3E">
      <w:pPr>
        <w:pStyle w:val="12a"/>
        <w:shd w:val="clear" w:color="auto" w:fill="auto"/>
        <w:spacing w:after="0" w:line="240" w:lineRule="auto"/>
        <w:jc w:val="both"/>
        <w:rPr>
          <w:color w:val="000000" w:themeColor="text1"/>
          <w:sz w:val="16"/>
          <w:szCs w:val="16"/>
        </w:rPr>
      </w:pPr>
    </w:p>
    <w:p w14:paraId="70988E6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январе 1943 г. ОКБ А.С. Яковлева самостоятельно предприняло попытку улучшить температурные режимы М-106-1ск, совместив ее с изменением конструкции </w:t>
      </w:r>
      <w:r w:rsidRPr="00D03F3E">
        <w:rPr>
          <w:rFonts w:ascii="Times New Roman" w:hAnsi="Times New Roman"/>
          <w:color w:val="000000" w:themeColor="text1"/>
          <w:sz w:val="16"/>
          <w:szCs w:val="16"/>
        </w:rPr>
        <w:lastRenderedPageBreak/>
        <w:t>для дополнительного улучшения летных данных самолета. На опытном заводе ОКБ был переоборудован серийный Як-1 № 3299. Самолет получил новое крыло с металлическими лонжеронами и серийное металлическое хвостовое оперение от Як-7. Водорадиатор сместили вперед, под крыло, по типу Як-7, Як-9. Наибольшие изменения претерпел маслорадиатор, который выполнили из двух радиаторов диаметром 225 мм, размешенных по рекомендации ЦАГИ в центральной части крыла. Испытания для чистоты эксперимента выполняли как с мотором М-105ПФ, так и с М-106-1ск. При этом получены максимальные скорости горизонтального полета, приведенные в таблице.</w:t>
      </w:r>
    </w:p>
    <w:p w14:paraId="279CE2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Максимальные скорости горизонтального полета, км/ч, Як-1 № 3299 с моторами М-106-1ск и М-105ПФ</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860B4B" w:rsidRPr="00D03F3E" w14:paraId="784BD03B" w14:textId="77777777">
        <w:tc>
          <w:tcPr>
            <w:tcW w:w="1601" w:type="dxa"/>
            <w:tcBorders>
              <w:top w:val="single" w:sz="12" w:space="0" w:color="auto"/>
            </w:tcBorders>
          </w:tcPr>
          <w:p w14:paraId="48AA79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w:t>
            </w:r>
          </w:p>
        </w:tc>
        <w:tc>
          <w:tcPr>
            <w:tcW w:w="1601" w:type="dxa"/>
            <w:tcBorders>
              <w:top w:val="single" w:sz="12" w:space="0" w:color="auto"/>
            </w:tcBorders>
          </w:tcPr>
          <w:p w14:paraId="4EFA9F4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Высота полета, м</w:t>
            </w:r>
          </w:p>
        </w:tc>
        <w:tc>
          <w:tcPr>
            <w:tcW w:w="1601" w:type="dxa"/>
            <w:tcBorders>
              <w:top w:val="single" w:sz="12" w:space="0" w:color="auto"/>
            </w:tcBorders>
          </w:tcPr>
          <w:p w14:paraId="7FBC8F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7FD44A8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0E3B3CC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1196CF1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6193A5C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87B7914" w14:textId="77777777">
        <w:tc>
          <w:tcPr>
            <w:tcW w:w="1601" w:type="dxa"/>
          </w:tcPr>
          <w:p w14:paraId="0F805AD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A29200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w:t>
            </w:r>
          </w:p>
        </w:tc>
        <w:tc>
          <w:tcPr>
            <w:tcW w:w="1601" w:type="dxa"/>
          </w:tcPr>
          <w:p w14:paraId="26BD878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tc>
        <w:tc>
          <w:tcPr>
            <w:tcW w:w="1601" w:type="dxa"/>
          </w:tcPr>
          <w:p w14:paraId="5006071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w:t>
            </w:r>
          </w:p>
        </w:tc>
        <w:tc>
          <w:tcPr>
            <w:tcW w:w="1601" w:type="dxa"/>
          </w:tcPr>
          <w:p w14:paraId="124BA3A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3400</w:t>
            </w:r>
          </w:p>
        </w:tc>
        <w:tc>
          <w:tcPr>
            <w:tcW w:w="1601" w:type="dxa"/>
          </w:tcPr>
          <w:p w14:paraId="7AD2E9E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4000</w:t>
            </w:r>
          </w:p>
        </w:tc>
        <w:tc>
          <w:tcPr>
            <w:tcW w:w="1601" w:type="dxa"/>
          </w:tcPr>
          <w:p w14:paraId="08643CC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5000</w:t>
            </w:r>
          </w:p>
        </w:tc>
      </w:tr>
      <w:tr w:rsidR="00860B4B" w:rsidRPr="00D03F3E" w14:paraId="3B8DBA34" w14:textId="77777777">
        <w:tc>
          <w:tcPr>
            <w:tcW w:w="1601" w:type="dxa"/>
          </w:tcPr>
          <w:p w14:paraId="03E0BA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М-106-1ск</w:t>
            </w:r>
          </w:p>
        </w:tc>
        <w:tc>
          <w:tcPr>
            <w:tcW w:w="1601" w:type="dxa"/>
          </w:tcPr>
          <w:p w14:paraId="5F55F5C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551</w:t>
            </w:r>
          </w:p>
        </w:tc>
        <w:tc>
          <w:tcPr>
            <w:tcW w:w="1601" w:type="dxa"/>
          </w:tcPr>
          <w:p w14:paraId="7FC1B20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573</w:t>
            </w:r>
          </w:p>
        </w:tc>
        <w:tc>
          <w:tcPr>
            <w:tcW w:w="1601" w:type="dxa"/>
          </w:tcPr>
          <w:p w14:paraId="44D8546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596</w:t>
            </w:r>
          </w:p>
        </w:tc>
        <w:tc>
          <w:tcPr>
            <w:tcW w:w="1601" w:type="dxa"/>
          </w:tcPr>
          <w:p w14:paraId="3A2A7F0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630</w:t>
            </w:r>
          </w:p>
        </w:tc>
        <w:tc>
          <w:tcPr>
            <w:tcW w:w="1601" w:type="dxa"/>
          </w:tcPr>
          <w:p w14:paraId="0B5835A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610</w:t>
            </w:r>
          </w:p>
        </w:tc>
        <w:tc>
          <w:tcPr>
            <w:tcW w:w="1601" w:type="dxa"/>
          </w:tcPr>
          <w:p w14:paraId="520F99D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590</w:t>
            </w:r>
          </w:p>
        </w:tc>
      </w:tr>
      <w:tr w:rsidR="00860B4B" w:rsidRPr="00D03F3E" w14:paraId="22A80E8E" w14:textId="77777777">
        <w:tc>
          <w:tcPr>
            <w:tcW w:w="1601" w:type="dxa"/>
            <w:tcBorders>
              <w:bottom w:val="single" w:sz="12" w:space="0" w:color="auto"/>
            </w:tcBorders>
          </w:tcPr>
          <w:p w14:paraId="472D22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М-105ПФ</w:t>
            </w:r>
          </w:p>
        </w:tc>
        <w:tc>
          <w:tcPr>
            <w:tcW w:w="1601" w:type="dxa"/>
            <w:tcBorders>
              <w:bottom w:val="single" w:sz="12" w:space="0" w:color="auto"/>
            </w:tcBorders>
          </w:tcPr>
          <w:p w14:paraId="298B98C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535</w:t>
            </w:r>
          </w:p>
        </w:tc>
        <w:tc>
          <w:tcPr>
            <w:tcW w:w="1601" w:type="dxa"/>
            <w:tcBorders>
              <w:bottom w:val="single" w:sz="12" w:space="0" w:color="auto"/>
            </w:tcBorders>
          </w:tcPr>
          <w:p w14:paraId="6B71126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555</w:t>
            </w:r>
          </w:p>
        </w:tc>
        <w:tc>
          <w:tcPr>
            <w:tcW w:w="1601" w:type="dxa"/>
            <w:tcBorders>
              <w:bottom w:val="single" w:sz="12" w:space="0" w:color="auto"/>
            </w:tcBorders>
          </w:tcPr>
          <w:p w14:paraId="6BDD2E1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572</w:t>
            </w:r>
          </w:p>
        </w:tc>
        <w:tc>
          <w:tcPr>
            <w:tcW w:w="1601" w:type="dxa"/>
            <w:tcBorders>
              <w:bottom w:val="single" w:sz="12" w:space="0" w:color="auto"/>
            </w:tcBorders>
          </w:tcPr>
          <w:p w14:paraId="1F3E660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bottom w:val="single" w:sz="12" w:space="0" w:color="auto"/>
            </w:tcBorders>
          </w:tcPr>
          <w:p w14:paraId="37DBDDA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bottom w:val="single" w:sz="12" w:space="0" w:color="auto"/>
            </w:tcBorders>
          </w:tcPr>
          <w:p w14:paraId="08D3065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24431F3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высоты 5000 м с мотором М-106-ICK составило 4,5 мин. Но основной цели - улучшения температурных режимов мотора (несмотря на улучшение летных данных) - достигнуто не было. Это предопределило судьбу М-106. Из-за плохих температурных показателей, требующих увеличения площади радиаторов, увеличенного выброса масла в суфлер и других дефектов он был снят с производства в марте 1943 г., а вместе с ним и Як-1 с этим мотором, как не прошедший государственных испытаний.</w:t>
      </w:r>
    </w:p>
    <w:p w14:paraId="3E11AC0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Часть уже изготовленных моторов (более 300 штук), перерегулированных на режимы М-105ПФ с потерей взлетной мощности до 1180 л.с., получила обозначение М-106ПМ. Другая часть, из не прошедших сдаточные испытания, была переделана путем установки (без замены других деталей) двухско- ростного нагнетателя вместо односкоростного. Потери мощности по сравнению с М-105ПФ при этом не произошло. Эти моторы М-105ПФ серии 615, или "гибриды", рекомендовали использовать в школах ВВС из-за неполной взаимозаменяемости по деталям с моторами других серий.</w:t>
      </w:r>
    </w:p>
    <w:p w14:paraId="4701EF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и доводка мотора М-106 и самолетных систем охлаждения были продолжены заводом № 26 на самолете Я к-1 №0130 по программе Главного конструктора и прекращены после катастрофы этой машины 22 октября 1943 г. (12048)</w:t>
      </w:r>
    </w:p>
    <w:p w14:paraId="3058473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B1AD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была заложена се</w:t>
      </w:r>
      <w:r w:rsidRPr="00D03F3E">
        <w:rPr>
          <w:rFonts w:ascii="Times New Roman" w:hAnsi="Times New Roman"/>
          <w:color w:val="000000" w:themeColor="text1"/>
          <w:sz w:val="16"/>
          <w:szCs w:val="16"/>
        </w:rPr>
        <w:softHyphen/>
        <w:t>рия из десяти двигателей М-107А с 50-часовым ресурсом. В ОКБ А.С.Яковлева сравнительно быстро разрабо</w:t>
      </w:r>
      <w:r w:rsidRPr="00D03F3E">
        <w:rPr>
          <w:rFonts w:ascii="Times New Roman" w:hAnsi="Times New Roman"/>
          <w:color w:val="000000" w:themeColor="text1"/>
          <w:sz w:val="16"/>
          <w:szCs w:val="16"/>
        </w:rPr>
        <w:softHyphen/>
        <w:t>тали модификацию истребителя Як-9 с М-107А. С нача</w:t>
      </w:r>
      <w:r w:rsidRPr="00D03F3E">
        <w:rPr>
          <w:rFonts w:ascii="Times New Roman" w:hAnsi="Times New Roman"/>
          <w:color w:val="000000" w:themeColor="text1"/>
          <w:sz w:val="16"/>
          <w:szCs w:val="16"/>
        </w:rPr>
        <w:softHyphen/>
        <w:t>ла февраля машина начала проходить заводские испытания. Предполагалось, что Як-9 с этим мотором сможет развить максимальную скорость до 700 км/ч. Первые полеты вселяли надежду в реальности заявлен</w:t>
      </w:r>
      <w:r w:rsidRPr="00D03F3E">
        <w:rPr>
          <w:rFonts w:ascii="Times New Roman" w:hAnsi="Times New Roman"/>
          <w:color w:val="000000" w:themeColor="text1"/>
          <w:sz w:val="16"/>
          <w:szCs w:val="16"/>
        </w:rPr>
        <w:softHyphen/>
        <w:t>ных летных характеристик (10667).</w:t>
      </w:r>
    </w:p>
    <w:p w14:paraId="4C59E62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DE900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началось серийное производство М-107А (65,147).</w:t>
      </w:r>
    </w:p>
    <w:p w14:paraId="08472E3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C3A747" w14:textId="77777777" w:rsidR="009614F5" w:rsidRPr="00D03F3E" w:rsidRDefault="009614F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январе 1943 г. мотор М-107А удовлетво</w:t>
      </w:r>
      <w:r w:rsidRPr="00D03F3E">
        <w:rPr>
          <w:color w:val="000000" w:themeColor="text1"/>
          <w:sz w:val="16"/>
          <w:szCs w:val="16"/>
        </w:rPr>
        <w:softHyphen/>
        <w:t>рительно прошел 50-часовые испытания, и с марта его выпуск на заводе № 26 был возобновлен, но малой опытной серией. Боевая мощность этого ва</w:t>
      </w:r>
      <w:r w:rsidRPr="00D03F3E">
        <w:rPr>
          <w:color w:val="000000" w:themeColor="text1"/>
          <w:sz w:val="16"/>
          <w:szCs w:val="16"/>
        </w:rPr>
        <w:softHyphen/>
        <w:t>рианта мотора устанавливалась на уровне 1650 л.с. на 1-й расчетной высоте 1800 м и 1500 л.с. на 2-й расчетной высоте 4500 м. К концу I квартала было построено 3 мотора этого типа, во II квартале — 19 единиц (17500).</w:t>
      </w:r>
    </w:p>
    <w:p w14:paraId="45F51F57" w14:textId="77777777" w:rsidR="009614F5" w:rsidRPr="00D03F3E" w:rsidRDefault="009614F5" w:rsidP="00D03F3E">
      <w:pPr>
        <w:spacing w:after="0" w:line="240" w:lineRule="auto"/>
        <w:jc w:val="both"/>
        <w:rPr>
          <w:rFonts w:ascii="Times New Roman" w:eastAsia="Times New Roman" w:hAnsi="Times New Roman"/>
          <w:color w:val="000000" w:themeColor="text1"/>
          <w:sz w:val="16"/>
          <w:szCs w:val="16"/>
          <w:lang w:eastAsia="ru-RU"/>
        </w:rPr>
      </w:pPr>
    </w:p>
    <w:p w14:paraId="67C0308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1943 г. выпуск Як-9 наладили и на заводе № 166 в Омске, свернув там с боль</w:t>
      </w:r>
      <w:r w:rsidRPr="00D03F3E">
        <w:rPr>
          <w:rFonts w:ascii="Times New Roman" w:hAnsi="Times New Roman"/>
          <w:color w:val="000000" w:themeColor="text1"/>
          <w:sz w:val="16"/>
          <w:szCs w:val="16"/>
        </w:rPr>
        <w:softHyphen/>
        <w:t>шим трудом налаженное производство новых бомбар</w:t>
      </w:r>
      <w:r w:rsidRPr="00D03F3E">
        <w:rPr>
          <w:rFonts w:ascii="Times New Roman" w:hAnsi="Times New Roman"/>
          <w:color w:val="000000" w:themeColor="text1"/>
          <w:sz w:val="16"/>
          <w:szCs w:val="16"/>
        </w:rPr>
        <w:softHyphen/>
        <w:t>дировщиков Ту-2 (10712).</w:t>
      </w:r>
    </w:p>
    <w:p w14:paraId="5313C3A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44BD9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ист</w:t>
      </w:r>
      <w:r w:rsidRPr="00D03F3E">
        <w:rPr>
          <w:rFonts w:ascii="Times New Roman" w:hAnsi="Times New Roman"/>
          <w:color w:val="000000" w:themeColor="text1"/>
          <w:sz w:val="16"/>
          <w:szCs w:val="16"/>
        </w:rPr>
        <w:softHyphen/>
        <w:t>ребитель Як-9 с пушкой НС-37, который получил обозна</w:t>
      </w:r>
      <w:r w:rsidRPr="00D03F3E">
        <w:rPr>
          <w:rFonts w:ascii="Times New Roman" w:hAnsi="Times New Roman"/>
          <w:color w:val="000000" w:themeColor="text1"/>
          <w:sz w:val="16"/>
          <w:szCs w:val="16"/>
        </w:rPr>
        <w:softHyphen/>
        <w:t>чение Як-9Т, вышел на испытания. Столь ма</w:t>
      </w:r>
      <w:r w:rsidRPr="00D03F3E">
        <w:rPr>
          <w:rFonts w:ascii="Times New Roman" w:hAnsi="Times New Roman"/>
          <w:color w:val="000000" w:themeColor="text1"/>
          <w:sz w:val="16"/>
          <w:szCs w:val="16"/>
        </w:rPr>
        <w:softHyphen/>
        <w:t>лый срок объясняется тем, что при созда</w:t>
      </w:r>
      <w:r w:rsidRPr="00D03F3E">
        <w:rPr>
          <w:rFonts w:ascii="Times New Roman" w:hAnsi="Times New Roman"/>
          <w:color w:val="000000" w:themeColor="text1"/>
          <w:sz w:val="16"/>
          <w:szCs w:val="16"/>
        </w:rPr>
        <w:softHyphen/>
        <w:t>нии самолета максимально использовался задел, полученный ранее при работе над Як-7-37 с пушкой такого же калибра. НС-37, как и пушка ШВАК на Як-9, разме</w:t>
      </w:r>
      <w:r w:rsidRPr="00D03F3E">
        <w:rPr>
          <w:rFonts w:ascii="Times New Roman" w:hAnsi="Times New Roman"/>
          <w:color w:val="000000" w:themeColor="text1"/>
          <w:sz w:val="16"/>
          <w:szCs w:val="16"/>
        </w:rPr>
        <w:softHyphen/>
        <w:t>щалась в развале блока цилиндров мотора М-105ПФ. Из-за большей длины орудия кабину летчика сдвинули назад на 0,4 м (как это было сделано на Як-7-37) и прове</w:t>
      </w:r>
      <w:r w:rsidRPr="00D03F3E">
        <w:rPr>
          <w:rFonts w:ascii="Times New Roman" w:hAnsi="Times New Roman"/>
          <w:color w:val="000000" w:themeColor="text1"/>
          <w:sz w:val="16"/>
          <w:szCs w:val="16"/>
        </w:rPr>
        <w:softHyphen/>
        <w:t>ли необходимые усиления конструкции и агрегатов, поскольку сильная отдача при стрельбе (около 5500 кгс) могла привести к по</w:t>
      </w:r>
      <w:r w:rsidRPr="00D03F3E">
        <w:rPr>
          <w:rFonts w:ascii="Times New Roman" w:hAnsi="Times New Roman"/>
          <w:color w:val="000000" w:themeColor="text1"/>
          <w:sz w:val="16"/>
          <w:szCs w:val="16"/>
        </w:rPr>
        <w:softHyphen/>
        <w:t>явлению в них трещин. Боезапас состоял из 30-32 снарядов для НС-37 и 200-220 патронов для синхронного пулемета УБ. Прицеливание при стрельбе по воздушным целям осущест</w:t>
      </w:r>
      <w:r w:rsidRPr="00D03F3E">
        <w:rPr>
          <w:rFonts w:ascii="Times New Roman" w:hAnsi="Times New Roman"/>
          <w:color w:val="000000" w:themeColor="text1"/>
          <w:sz w:val="16"/>
          <w:szCs w:val="16"/>
        </w:rPr>
        <w:softHyphen/>
        <w:t>влялось с помощью традиционного кольцевого прицела. Управление огнем пушки и пулемета было раздельным, от размещаемых на ручке управления самолетом кнопок электропнев-моспуска. После всесторонних испытаний Як-9Т с марта 1943 г. начали выпускать на заводе №153 и до июня 1945 г. построили 2748 машин (10712).</w:t>
      </w:r>
    </w:p>
    <w:p w14:paraId="402B573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BD229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ОКБ А.С.Я. построило Як-9Т с НС-37 (65,116).</w:t>
      </w:r>
    </w:p>
    <w:p w14:paraId="47E48CE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FEBE3B" w14:textId="77777777" w:rsidR="003B66C2" w:rsidRPr="00D03F3E" w:rsidRDefault="003B66C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январе 1943 г. ОКБ-115 передало на госиспытания противотанковый Як-9Т. Этот вариант с мотор-пушкой МП-37 (НС-37) ка</w:t>
      </w:r>
      <w:r w:rsidRPr="00D03F3E">
        <w:rPr>
          <w:rFonts w:ascii="Times New Roman" w:cs="Times New Roman"/>
          <w:color w:val="000000" w:themeColor="text1"/>
          <w:spacing w:val="0"/>
        </w:rPr>
        <w:softHyphen/>
        <w:t>либра 37 мм и боезапасом (при тщательной укладке ленты) до 30 патронов построили в соответствие с декабрьским 1942 г. поста</w:t>
      </w:r>
      <w:r w:rsidRPr="00D03F3E">
        <w:rPr>
          <w:rFonts w:ascii="Times New Roman" w:cs="Times New Roman"/>
          <w:color w:val="000000" w:themeColor="text1"/>
          <w:spacing w:val="0"/>
        </w:rPr>
        <w:softHyphen/>
        <w:t>новлением ГКО. Новое орудие имело темп стрельбы 250 - 260 выстр./мин и начальную скорость снаряда 900 м/с. НС-37 и боепри</w:t>
      </w:r>
      <w:r w:rsidRPr="00D03F3E">
        <w:rPr>
          <w:rFonts w:ascii="Times New Roman" w:cs="Times New Roman"/>
          <w:color w:val="000000" w:themeColor="text1"/>
          <w:spacing w:val="0"/>
        </w:rPr>
        <w:softHyphen/>
        <w:t>пасы к ней вместе весили свыше 210,5 кг, вес установки без боекомплекта возрос до 315,5 кг (предыдущая весила 168,3 кг).</w:t>
      </w:r>
    </w:p>
    <w:p w14:paraId="38D4B361" w14:textId="77777777" w:rsidR="003B66C2" w:rsidRPr="00D03F3E" w:rsidRDefault="003B66C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НС-37 с пневматической перезарядкой располагалась на том же месте, что и ранее ШВ</w:t>
      </w:r>
      <w:r w:rsidRPr="00D03F3E">
        <w:rPr>
          <w:rFonts w:ascii="Times New Roman" w:cs="Times New Roman"/>
          <w:color w:val="000000" w:themeColor="text1"/>
          <w:spacing w:val="0"/>
          <w:lang w:val="en-US"/>
        </w:rPr>
        <w:t>AK</w:t>
      </w:r>
      <w:r w:rsidRPr="00D03F3E">
        <w:rPr>
          <w:rFonts w:ascii="Times New Roman" w:cs="Times New Roman"/>
          <w:color w:val="000000" w:themeColor="text1"/>
          <w:spacing w:val="0"/>
        </w:rPr>
        <w:t xml:space="preserve"> - в развале блоков мотора, стреляя через полый вал редуктора. Стреляные гильзы и звенья ленты сбрасывались в сборник. Вооружение истребителя допол</w:t>
      </w:r>
      <w:r w:rsidRPr="00D03F3E">
        <w:rPr>
          <w:rFonts w:ascii="Times New Roman" w:cs="Times New Roman"/>
          <w:color w:val="000000" w:themeColor="text1"/>
          <w:spacing w:val="0"/>
        </w:rPr>
        <w:softHyphen/>
        <w:t>нял синхронный пулемёт УБС с 220 пат</w:t>
      </w:r>
      <w:r w:rsidRPr="00D03F3E">
        <w:rPr>
          <w:rFonts w:ascii="Times New Roman" w:cs="Times New Roman"/>
          <w:color w:val="000000" w:themeColor="text1"/>
          <w:spacing w:val="0"/>
        </w:rPr>
        <w:softHyphen/>
        <w:t>ронами.</w:t>
      </w:r>
    </w:p>
    <w:p w14:paraId="52F250D3" w14:textId="77777777" w:rsidR="003B66C2" w:rsidRPr="00D03F3E" w:rsidRDefault="003B66C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Размещение пушки НС-37 длиной 3,14 м вынужденно привело к перекомпоновке ма</w:t>
      </w:r>
      <w:r w:rsidRPr="00D03F3E">
        <w:rPr>
          <w:rFonts w:ascii="Times New Roman" w:cs="Times New Roman"/>
          <w:color w:val="000000" w:themeColor="text1"/>
          <w:spacing w:val="0"/>
        </w:rPr>
        <w:softHyphen/>
        <w:t>шины. Кабину сместили назад на 400 мм, исключив запасной отсек, изменили рас</w:t>
      </w:r>
      <w:r w:rsidRPr="00D03F3E">
        <w:rPr>
          <w:rFonts w:ascii="Times New Roman" w:cs="Times New Roman"/>
          <w:color w:val="000000" w:themeColor="text1"/>
          <w:spacing w:val="0"/>
        </w:rPr>
        <w:softHyphen/>
        <w:t>положение педалей и ручки управления самолётом и доработали каркас передней части фюзеляжа. На Як-9Т стоял простей</w:t>
      </w:r>
      <w:r w:rsidRPr="00D03F3E">
        <w:rPr>
          <w:rFonts w:ascii="Times New Roman" w:cs="Times New Roman"/>
          <w:color w:val="000000" w:themeColor="text1"/>
          <w:spacing w:val="0"/>
        </w:rPr>
        <w:softHyphen/>
        <w:t>ший прицел из кольца в кабине лётчика и мушки на фюзеляже перед бронестеклом. Вес пустого истребителя возрос до 2298 кг, а нормальный полётный - до 3025 кг.</w:t>
      </w:r>
    </w:p>
    <w:p w14:paraId="35139E85" w14:textId="77777777" w:rsidR="003B66C2" w:rsidRPr="00D03F3E" w:rsidRDefault="003B66C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Самолёт сначала отправили на испыта</w:t>
      </w:r>
      <w:r w:rsidRPr="00D03F3E">
        <w:rPr>
          <w:rFonts w:ascii="Times New Roman" w:hAnsi="Times New Roman"/>
          <w:color w:val="000000" w:themeColor="text1"/>
          <w:sz w:val="16"/>
          <w:szCs w:val="16"/>
        </w:rPr>
        <w:softHyphen/>
        <w:t>ния в НИП АВ, а после их завершения в середине февраля передали в НИИ ВВС. Для всесторонних испытаний Як-9Т хватило 15 полётов, затянувшихся на полтора меся</w:t>
      </w:r>
      <w:r w:rsidRPr="00D03F3E">
        <w:rPr>
          <w:rFonts w:ascii="Times New Roman" w:hAnsi="Times New Roman"/>
          <w:color w:val="000000" w:themeColor="text1"/>
          <w:sz w:val="16"/>
          <w:szCs w:val="16"/>
        </w:rPr>
        <w:softHyphen/>
        <w:t>ца. Ведущими по машине являлись инженер А.Г. Степанец и лётчик В.И. Хомяков; обле</w:t>
      </w:r>
      <w:r w:rsidRPr="00D03F3E">
        <w:rPr>
          <w:rFonts w:ascii="Times New Roman" w:hAnsi="Times New Roman"/>
          <w:color w:val="000000" w:themeColor="text1"/>
          <w:sz w:val="16"/>
          <w:szCs w:val="16"/>
        </w:rPr>
        <w:softHyphen/>
        <w:t>тал её также А.Г. Кубышкин. По их мнению, по технике пилотирования, максимальной горизонтальной и вертикальной скоростям Як-9Т практически не отличался от серий</w:t>
      </w:r>
      <w:r w:rsidRPr="00D03F3E">
        <w:rPr>
          <w:rFonts w:ascii="Times New Roman" w:hAnsi="Times New Roman"/>
          <w:color w:val="000000" w:themeColor="text1"/>
          <w:sz w:val="16"/>
          <w:szCs w:val="16"/>
        </w:rPr>
        <w:softHyphen/>
        <w:t>ного Як-9. Стрельба же из 37-мм орудия со</w:t>
      </w:r>
      <w:r w:rsidRPr="00D03F3E">
        <w:rPr>
          <w:rFonts w:ascii="Times New Roman" w:hAnsi="Times New Roman"/>
          <w:color w:val="000000" w:themeColor="text1"/>
          <w:sz w:val="16"/>
          <w:szCs w:val="16"/>
        </w:rPr>
        <w:softHyphen/>
        <w:t>провождалась сильной отдачей и раскачи</w:t>
      </w:r>
      <w:r w:rsidRPr="00D03F3E">
        <w:rPr>
          <w:rFonts w:ascii="Times New Roman" w:hAnsi="Times New Roman"/>
          <w:color w:val="000000" w:themeColor="text1"/>
          <w:sz w:val="16"/>
          <w:szCs w:val="16"/>
        </w:rPr>
        <w:softHyphen/>
        <w:t>вала самолёт на скоростях менее 350 км/ч. Прицельный огонь был возможен только при одном-двух первых выстрелах, последую</w:t>
      </w:r>
      <w:r w:rsidRPr="00D03F3E">
        <w:rPr>
          <w:rFonts w:ascii="Times New Roman" w:hAnsi="Times New Roman"/>
          <w:color w:val="000000" w:themeColor="text1"/>
          <w:sz w:val="16"/>
          <w:szCs w:val="16"/>
        </w:rPr>
        <w:softHyphen/>
        <w:t>щие снаряды рассеивались. Чем длиннее была очередь, тем ниже оказывалась точ</w:t>
      </w:r>
      <w:r w:rsidRPr="00D03F3E">
        <w:rPr>
          <w:rFonts w:ascii="Times New Roman" w:hAnsi="Times New Roman"/>
          <w:color w:val="000000" w:themeColor="text1"/>
          <w:sz w:val="16"/>
          <w:szCs w:val="16"/>
        </w:rPr>
        <w:softHyphen/>
        <w:t>ность. Поэтому рекомендовали стрелять очередями не более чем из двух-трёх вы</w:t>
      </w:r>
      <w:r w:rsidRPr="00D03F3E">
        <w:rPr>
          <w:rFonts w:ascii="Times New Roman" w:hAnsi="Times New Roman"/>
          <w:color w:val="000000" w:themeColor="text1"/>
          <w:sz w:val="16"/>
          <w:szCs w:val="16"/>
        </w:rPr>
        <w:softHyphen/>
        <w:t xml:space="preserve">стрелов. Как выразился Кубышкин: «Лётчик, летающий на самолёте Як-9Т, должен быть </w:t>
      </w:r>
      <w:r w:rsidRPr="00D03F3E">
        <w:rPr>
          <w:rStyle w:val="aff0"/>
          <w:rFonts w:ascii="Times New Roman" w:hAnsi="Times New Roman" w:cs="Times New Roman"/>
          <w:color w:val="000000" w:themeColor="text1"/>
          <w:spacing w:val="0"/>
          <w:sz w:val="16"/>
          <w:szCs w:val="16"/>
        </w:rPr>
        <w:t>своего рода воздушным снайпером и бить врага наверняка - с первого выстрела». При стрельбе наблюдался сильный выброс огня из ствола, что ослепляло пилота ночью.</w:t>
      </w:r>
    </w:p>
    <w:p w14:paraId="4CB5356C" w14:textId="77777777" w:rsidR="003B66C2" w:rsidRPr="00D03F3E" w:rsidRDefault="003B66C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НИИ ВВС выработали рекомендации для лётного состава строевых частей. При стрельбе по наземным целям заход следо</w:t>
      </w:r>
      <w:r w:rsidRPr="00D03F3E">
        <w:rPr>
          <w:rFonts w:ascii="Times New Roman" w:cs="Times New Roman"/>
          <w:color w:val="000000" w:themeColor="text1"/>
          <w:spacing w:val="0"/>
        </w:rPr>
        <w:softHyphen/>
        <w:t>вало выполнять на скорости 300 - 320 км/ч и высоте 700 - 800 м с разворотом на 40 - 45°. Поскольку кольцевой прицел не позволял вести точный огонь, то при подходе к цели требовалось совместить её с меткой, на</w:t>
      </w:r>
      <w:r w:rsidRPr="00D03F3E">
        <w:rPr>
          <w:rFonts w:ascii="Times New Roman" w:cs="Times New Roman"/>
          <w:color w:val="000000" w:themeColor="text1"/>
          <w:spacing w:val="0"/>
        </w:rPr>
        <w:softHyphen/>
        <w:t>несённой на кромку крыла, а затем энергич</w:t>
      </w:r>
      <w:r w:rsidRPr="00D03F3E">
        <w:rPr>
          <w:rFonts w:ascii="Times New Roman" w:cs="Times New Roman"/>
          <w:color w:val="000000" w:themeColor="text1"/>
          <w:spacing w:val="0"/>
        </w:rPr>
        <w:softHyphen/>
        <w:t>но со снижением довернуть истребитель на цель, стреляя с дистанции 1000 - 500 м.</w:t>
      </w:r>
    </w:p>
    <w:p w14:paraId="5ECF59A8" w14:textId="77777777" w:rsidR="003B66C2" w:rsidRPr="00D03F3E" w:rsidRDefault="003B66C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Специалисты НИИ ВВС отмечали, что «Як-9, вооружённый пушкой ОКБ-16 калиб</w:t>
      </w:r>
      <w:r w:rsidRPr="00D03F3E">
        <w:rPr>
          <w:rFonts w:ascii="Times New Roman" w:cs="Times New Roman"/>
          <w:color w:val="000000" w:themeColor="text1"/>
          <w:spacing w:val="0"/>
        </w:rPr>
        <w:softHyphen/>
        <w:t>ра 37 мм, при стрельбе по бомбардиров</w:t>
      </w:r>
      <w:r w:rsidRPr="00D03F3E">
        <w:rPr>
          <w:rFonts w:ascii="Times New Roman" w:cs="Times New Roman"/>
          <w:color w:val="000000" w:themeColor="text1"/>
          <w:spacing w:val="0"/>
        </w:rPr>
        <w:softHyphen/>
        <w:t>щикам, автоколоннам, зенитным точкам, аэродромам противника и другим целям, а также в воздушном бою с истребителями покажет хорошие результаты...»</w:t>
      </w:r>
    </w:p>
    <w:p w14:paraId="53AF71AC" w14:textId="77777777" w:rsidR="003B66C2" w:rsidRPr="00D03F3E" w:rsidRDefault="003B66C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В ходе испытаний провели два воздушных боя Як-9Т с трофейным «трёхточечным» (без крыльевых пушек) </w:t>
      </w:r>
      <w:r w:rsidRPr="00D03F3E">
        <w:rPr>
          <w:rFonts w:ascii="Times New Roman" w:cs="Times New Roman"/>
          <w:color w:val="000000" w:themeColor="text1"/>
          <w:spacing w:val="0"/>
          <w:lang w:val="en-US"/>
        </w:rPr>
        <w:t>Bf</w:t>
      </w:r>
      <w:r w:rsidRPr="00D03F3E">
        <w:rPr>
          <w:rFonts w:ascii="Times New Roman" w:cs="Times New Roman"/>
          <w:color w:val="000000" w:themeColor="text1"/>
          <w:spacing w:val="0"/>
        </w:rPr>
        <w:t xml:space="preserve"> 109</w:t>
      </w:r>
      <w:r w:rsidRPr="00D03F3E">
        <w:rPr>
          <w:rFonts w:ascii="Times New Roman" w:cs="Times New Roman"/>
          <w:color w:val="000000" w:themeColor="text1"/>
          <w:spacing w:val="0"/>
          <w:lang w:val="en-US"/>
        </w:rPr>
        <w:t>G</w:t>
      </w:r>
      <w:r w:rsidRPr="00D03F3E">
        <w:rPr>
          <w:rFonts w:ascii="Times New Roman" w:cs="Times New Roman"/>
          <w:color w:val="000000" w:themeColor="text1"/>
          <w:spacing w:val="0"/>
        </w:rPr>
        <w:t>-2. Манёв</w:t>
      </w:r>
      <w:r w:rsidRPr="00D03F3E">
        <w:rPr>
          <w:rFonts w:ascii="Times New Roman" w:cs="Times New Roman"/>
          <w:color w:val="000000" w:themeColor="text1"/>
          <w:spacing w:val="0"/>
        </w:rPr>
        <w:softHyphen/>
        <w:t xml:space="preserve">ренность Як-9Т в горизонтальной плоскости оказалась значительно выше, чем у «мес- сершмитта». На высотах до 5000 м «як» заходил в хвост «неприятелю» через два виража. На вертикалях до высоты 3000 м Як-9Т имел преимущество перед </w:t>
      </w:r>
      <w:r w:rsidRPr="00D03F3E">
        <w:rPr>
          <w:rFonts w:ascii="Times New Roman" w:cs="Times New Roman"/>
          <w:color w:val="000000" w:themeColor="text1"/>
          <w:spacing w:val="0"/>
          <w:lang w:val="en-US"/>
        </w:rPr>
        <w:t>Bf</w:t>
      </w:r>
      <w:r w:rsidRPr="00D03F3E">
        <w:rPr>
          <w:rFonts w:ascii="Times New Roman" w:cs="Times New Roman"/>
          <w:color w:val="000000" w:themeColor="text1"/>
          <w:spacing w:val="0"/>
        </w:rPr>
        <w:t xml:space="preserve"> 109</w:t>
      </w:r>
      <w:r w:rsidRPr="00D03F3E">
        <w:rPr>
          <w:rFonts w:ascii="Times New Roman" w:cs="Times New Roman"/>
          <w:color w:val="000000" w:themeColor="text1"/>
          <w:spacing w:val="0"/>
          <w:lang w:val="en-US"/>
        </w:rPr>
        <w:t>G</w:t>
      </w:r>
      <w:r w:rsidRPr="00D03F3E">
        <w:rPr>
          <w:rFonts w:ascii="Times New Roman" w:cs="Times New Roman"/>
          <w:color w:val="000000" w:themeColor="text1"/>
          <w:spacing w:val="0"/>
        </w:rPr>
        <w:t>-2. Выполняя боевой разворот или горку, «як» оказывался выше его. На пикировании же он несколько отставал от «мессера», но при выходе в горизонтальный полёт «садился ему на хвост». На высотах от 3000 до 4500 м поведение обеих машин почти не отлича</w:t>
      </w:r>
      <w:r w:rsidRPr="00D03F3E">
        <w:rPr>
          <w:rFonts w:ascii="Times New Roman" w:cs="Times New Roman"/>
          <w:color w:val="000000" w:themeColor="text1"/>
          <w:spacing w:val="0"/>
        </w:rPr>
        <w:softHyphen/>
        <w:t>лось, но выше преимущество в вертикаль</w:t>
      </w:r>
      <w:r w:rsidRPr="00D03F3E">
        <w:rPr>
          <w:rFonts w:ascii="Times New Roman" w:cs="Times New Roman"/>
          <w:color w:val="000000" w:themeColor="text1"/>
          <w:spacing w:val="0"/>
        </w:rPr>
        <w:softHyphen/>
        <w:t>ном манёвре переходило к «немцу».</w:t>
      </w:r>
    </w:p>
    <w:p w14:paraId="0CA8C60E" w14:textId="77777777" w:rsidR="003B66C2" w:rsidRPr="00D03F3E" w:rsidRDefault="003B66C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 достоинствам Як-9Т следует отнести лучший обзор задней полусферы и мень</w:t>
      </w:r>
      <w:r w:rsidRPr="00D03F3E">
        <w:rPr>
          <w:rFonts w:ascii="Times New Roman" w:cs="Times New Roman"/>
          <w:color w:val="000000" w:themeColor="text1"/>
          <w:spacing w:val="0"/>
        </w:rPr>
        <w:softHyphen/>
        <w:t>шую инертность машины, что позволяло в воздушном бою более расчётливо и энер</w:t>
      </w:r>
      <w:r w:rsidRPr="00D03F3E">
        <w:rPr>
          <w:rFonts w:ascii="Times New Roman" w:cs="Times New Roman"/>
          <w:color w:val="000000" w:themeColor="text1"/>
          <w:spacing w:val="0"/>
        </w:rPr>
        <w:softHyphen/>
        <w:t>гично маневрировать, упреждая действия противника.</w:t>
      </w:r>
    </w:p>
    <w:p w14:paraId="41C2B026" w14:textId="77777777" w:rsidR="003B66C2" w:rsidRPr="00D03F3E" w:rsidRDefault="003B66C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Перспективным счита</w:t>
      </w:r>
      <w:r w:rsidRPr="00D03F3E">
        <w:rPr>
          <w:rFonts w:ascii="Times New Roman" w:hAnsi="Times New Roman"/>
          <w:color w:val="000000" w:themeColor="text1"/>
          <w:sz w:val="16"/>
          <w:szCs w:val="16"/>
        </w:rPr>
        <w:softHyphen/>
        <w:t>ли применение Як-9Т против бомбардиров</w:t>
      </w:r>
      <w:r w:rsidRPr="00D03F3E">
        <w:rPr>
          <w:rFonts w:ascii="Times New Roman" w:hAnsi="Times New Roman"/>
          <w:color w:val="000000" w:themeColor="text1"/>
          <w:sz w:val="16"/>
          <w:szCs w:val="16"/>
        </w:rPr>
        <w:softHyphen/>
        <w:t>щиков. Наивыгоднейшей считалась атака сзади; огонь собирались открывать с 400 - 100 м. Максимальная дальность прицельной стрельбы не должна была превышать 600 м (19103).</w:t>
      </w:r>
    </w:p>
    <w:p w14:paraId="64EC69F5" w14:textId="77777777" w:rsidR="003B66C2" w:rsidRPr="00D03F3E" w:rsidRDefault="003B66C2" w:rsidP="00D03F3E">
      <w:pPr>
        <w:spacing w:after="0" w:line="240" w:lineRule="auto"/>
        <w:jc w:val="both"/>
        <w:rPr>
          <w:rFonts w:ascii="Times New Roman" w:hAnsi="Times New Roman"/>
          <w:color w:val="000000" w:themeColor="text1"/>
          <w:sz w:val="16"/>
          <w:szCs w:val="16"/>
        </w:rPr>
      </w:pPr>
    </w:p>
    <w:p w14:paraId="5CA9D922" w14:textId="77777777" w:rsidR="001B177D" w:rsidRPr="00D03F3E" w:rsidRDefault="001B177D"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В январе 1943 был готов первый истребитель Як-9Т (танковый), который проходил испытания вооружения в НИПАВ (научно-испытательный полигон авиационного вооружения) с 10 января по 12 февраля 1943 г. и летные испытания в НИИ ВВС с 15 февраля по 4 марта (летчик В.И.Хомяков, ведущий инженер по самолету А.Т.Степанец, по вооружению — Л.И.Лось).</w:t>
      </w:r>
    </w:p>
    <w:p w14:paraId="7AFBD43A" w14:textId="77777777" w:rsidR="001B177D" w:rsidRPr="00D03F3E" w:rsidRDefault="001B177D"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Як-9 с моторпушкой НС-37 , а уже</w:t>
      </w:r>
    </w:p>
    <w:p w14:paraId="2A099DF9" w14:textId="77777777" w:rsidR="001B177D" w:rsidRPr="00D03F3E" w:rsidRDefault="001B177D"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Установка большой и тяжелой 37-мм пушки (длина — 3400 мм, масса — 150 кг) потребовала внесения в конструкцию Як-9 ряда существенных изменений. Был усилен силовой каркас фюзеляжа в передней части. Для размещения на самолете казенной части пушки и сохранения центровки в допустимых пределах кабина летчика была сдвинута назад на 400 мм, что несколько ухудшило обзор передней полусферы, но улучшило обзор задней. Благодаря заднему расположению кабины, приведшему к смещению центровки назад, Як-9Т обладал меньшей инертностью, чем другие самолеты, что позволяло летчику выполнять боевой маневр, упреждая противника.</w:t>
      </w:r>
    </w:p>
    <w:p w14:paraId="4DFE1852" w14:textId="77777777" w:rsidR="001B177D" w:rsidRPr="00D03F3E" w:rsidRDefault="001B177D"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lastRenderedPageBreak/>
        <w:t>Установка 37-мм пушки требовала повышения качества сборки самолета, в первую очередь — качества монтажных работ, так как большая отдача при стрельбе приводила к нарушению соединений трубопроводов, а также появлению трещин и разрушению отдельных деталей.</w:t>
      </w:r>
    </w:p>
    <w:p w14:paraId="27F7EAD7" w14:textId="77777777" w:rsidR="001B177D" w:rsidRPr="00D03F3E" w:rsidRDefault="001B177D"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В целом, надо отметить, что Як-9Т оказался наиболее удачным носителем тяжелых пушек. Удачная компоновка столь тяжелого и габаритного орудия почти не сказалась на маневренных характеристиках истребителя. Учитывая большой для такого калибра боекомплект пушки в 30 выстрелов, Як обладал хорошей автономностью. К недостаткам относилось невозможность вести огонь длинными очередями, более 2-3 выстрелов, поскольку из-за большой отдачи сбивался прицел, а самолет изрядно терял в скорости. С другой стороны, прекрасная баллистика орудия предопределяла настильную траекторию, позволяла вести эффективный огонь на ранее недоступных дистанциях до 600 и даже до 1000 метров. Ну а могущество боеприпаса позволяло гарантированно уничтожать любого воздушного противника с 1-2 попаданий. Строго говоря, дистанция стрельбы и вероятность попадания ограничивалась лишь несовершенством достаточно допотопных прицелов (19170).</w:t>
      </w:r>
    </w:p>
    <w:p w14:paraId="6CF906E8" w14:textId="77777777" w:rsidR="001B177D" w:rsidRPr="00D03F3E" w:rsidRDefault="001B177D" w:rsidP="00D03F3E">
      <w:pPr>
        <w:pStyle w:val="rtejustify"/>
        <w:shd w:val="clear" w:color="auto" w:fill="FFFFFF"/>
        <w:spacing w:before="0" w:beforeAutospacing="0" w:after="0" w:afterAutospacing="0"/>
        <w:jc w:val="both"/>
        <w:textAlignment w:val="baseline"/>
        <w:rPr>
          <w:color w:val="000000" w:themeColor="text1"/>
          <w:sz w:val="16"/>
          <w:szCs w:val="16"/>
        </w:rPr>
      </w:pPr>
    </w:p>
    <w:p w14:paraId="288AD31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года ОКБ-115 передало на государственные испытания с небольшим интервалом две машины. Первой из них был противотанковый самолет Як-9Т, а второй - Як-9Д с увеличенной дальностью полета.</w:t>
      </w:r>
    </w:p>
    <w:p w14:paraId="70D0E6E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Истребитель Як-9Т с мотор-пушкой МП-37 (НС-37) калибра 37 мм и боезапасом (при тщательной укладке ленты) до 30 патронов построили в соответствие с декабрьским I942 года постановлением ГКО. Новое орудие имело темп стрельбы 250-260 выстрелов в минуту и начальную скорость снаряда - 900 м/с, но более чем втрое превышало возможности ШВАК (темп стрельбы 700-850 выстрелов в минуту, начальная скорость снаряда 815 м/с). Пушка НС-37 и боеприпасы к ней весили свыше 210,5 кг, общий же вес орудийной установки без боекомплекта возрос до 315,5 кг, для сравнения - предыдущая весила 168,3 кг.</w:t>
      </w:r>
    </w:p>
    <w:p w14:paraId="19372C0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Орудие НС-37 с пневматической перезарядкой, как и МПШ-20 (МП-20, ШВАК), располагалось в развале мотора для стрельбы через редуктор винта. Гильзы и звенья патронной ленты пушки накапливались в специальном сборнике. Имелся на истребителе и синхронный пулемет УБС калибра 12,7 мм с 220 патронами.</w:t>
      </w:r>
    </w:p>
    <w:p w14:paraId="74A1933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Як-9Т с двигателем М-105ПФ и пушкой НС-37 на войсковых испытаниях. 1943 г.</w:t>
      </w:r>
    </w:p>
    <w:p w14:paraId="75996A1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Размещение крупнокалиберного орудия длиной 3,14 м (пушка ШВАК была на 1,018 м короче) привело к перекомпоновке машины. В частности, кабину пилота сместили назад на 400 мм, изменив расположение педалей и ручки управления самолетом и доработав силовой каркас передней части фюзеляжа. При этом вес пустого истребителя возрос до 2298 кг, а нормальный полетный - до 3025 кг.</w:t>
      </w:r>
    </w:p>
    <w:p w14:paraId="1986D3F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Прицел состоял из кольца, расположенного в кабине летчика,и мушки на фюзеляже перед бронекозырьком.</w:t>
      </w:r>
    </w:p>
    <w:p w14:paraId="647D55D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поступил в НИИ ВВС с Научно- исследовательского полигона авиационного вооружения (НИИПАВ) в середине февраля 1943 г. Чтобы всесторонне испытать Як-9Т, хватило 15 полетов, затянувшихся на полтора месяца. Ведущими по машине на этапе государственных испытаний были инженер А.Г. Степанец и летчик В.И. Хомяков. Облетал истребитель летчик А.Г. Кубышкин.</w:t>
      </w:r>
    </w:p>
    <w:p w14:paraId="3753B13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мнению обоих пилотов, техника пилотирования, максимальная горизонтальная и вертикальная скорости Як-9Т практически ни чем не отличались от серийного Як-9. Стрельба же из 37-мм орудия сопровождалась сильной отдачей и раскачивала самолет на скоростях менее 350 км/ч. Прицельный огонь можно было вести только при одном- двух первых выстрелах, последующие же снаряды рассеивались, и, чем длиннее была очередь, тем ниже точность стрельбы. Поэтому огонь рекомендовалось вести очередями, расходуя не больше двух-трех патронов.</w:t>
      </w:r>
    </w:p>
    <w:p w14:paraId="20C1573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стрельбе по наземным целям самолет пикировал устойчиво, но стрелять следовало очередями, не более трех - пяти выстрелов, иначе отмечался большой разброс снарядов. Заход на цель рекомендовалось делать на скорости 300-320 км/ч и высоте 700-800 м с разворотом на 40-45 градусов. При подходе к цели требовалось совмещать ее с меткой, нанесенной на кромке крыла, и, как только они совпадут, энергично со снижением довернуть самолет на цель, стреляя с дистанции 1000-500 м. При выполнении этого маневра угол пикирования составлял 30-35°, а выводить истребитель в горизонтальный полет следовало с высоты 300-200 м с трехкратной перегрузкой.</w:t>
      </w:r>
    </w:p>
    <w:p w14:paraId="343C2F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Малый боезапас вынуждал летчика вести только прицельную стрельбу, но кольцевой прицел не обеспечивал этого. Таким образом, стрельба по наземным целям была, своего рода, искусством и каждый пилот Як-9Т имел свои приемы и "реперные" точки на планере истребителя, чтобы поражать противника первыми снарядами. Как выразился А.Г. Кубышкин: "Летчик, летающий на самолете Як-9Т, должен быть своего рода воздушным снайпером и бить врага наверняка - с первого выстрела". К тому же, при стрельбе из ствола пушки наблюдался сильный выброс огня, что очень ограничивало использование Як-9Т ночью, ослепляя летчика.</w:t>
      </w:r>
    </w:p>
    <w:p w14:paraId="03EE7D2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Специалисты НИИ ВВС отмечали, что "Як-9, вооруженный пушкой ОКБ-16 калибра 37 мм (НС-37. - Прим. авт.), при стрельбе по бомбардировщикам, автоколоннам, зенитным точкам, аэродромам противника и другим целям, а также в воздушном бою с истребителями покажет хорошие результаты. Необходимо доработать самоликвидаторы снарядов, так чтобы они взрывались на дистанции не 3000 м, как сейчас, а на 1000 м.......</w:t>
      </w:r>
    </w:p>
    <w:p w14:paraId="6F440A2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государственных испытаний провели два воздушных боя Як-9Т с трофейным "трехточечным" (без подкрыльных пушек) Me-109G-2 на высотах от 2000 м до 5000 м. Маневренность Як-9Т в горизонтальной плоскости оказалась значительно выше, чем у "мессершмитта". На высотах до 5000 м "як" заходил в хвост "неприятелю" через два виража.</w:t>
      </w:r>
    </w:p>
    <w:p w14:paraId="20462A8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вертикалях до высоты 3000 м Як-9Т имел преимущество перед Me-109G-2. Выполняя боевой разворот или горку, "як" оказывался выше его. На пикировании же наш истребитель несколько отставал от "мессершмитта", но при выходе в горизонтальный полет "садился ему на хвост". На высотах от 3000 до 4500 м поведение обеих машин было идентично, но выше преимущество в вертикальном маневре переходило к "немцу".</w:t>
      </w:r>
    </w:p>
    <w:p w14:paraId="3ED92A1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преимуществам Як-9Т следует отнести лучший обзор задней полусферы и меньшую инертность машины, что позволяло летчику в воздушном бою более расчетливо и энергично маневрировать, упреждая действия пилота "мессершмитта".</w:t>
      </w:r>
    </w:p>
    <w:p w14:paraId="2C31B4E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Наивыгоднейшей считалась атака бомбардировщиков противника при ракурсе 0/4; дальность открытия огня - 400-100 м. Максимальная дальность прицельной стрельбы из 37 мм пушки не должна была превышать 600 м. В отдельных случаях, при встречах с большими группами бомбардировщиков, можно было открывать огонь из 37 мм пушки и с больших дистанций 1000- 1200 м для нарушения строя и нанесения морального воздействия на противника.</w:t>
      </w:r>
    </w:p>
    <w:p w14:paraId="09F5493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атаках бомбардировщиков и разведчиков сзади, целесообразно с дальности 500-600 м короткими очередями из пулемета или пушки сковать огонь стрелков, а на дальности 100-200 м открывать огонь на поражение.</w:t>
      </w:r>
    </w:p>
    <w:p w14:paraId="2205F01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лобовых атаках огонь на поражение из 37 мм пушек нужно было открывать на дальности 500-600 м, при этом скорость должна быть около 350 км/ч (видимо, по прибору).</w:t>
      </w:r>
    </w:p>
    <w:p w14:paraId="58D9400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Атаку сомкнутого строя самолетов выгоднее производить по их створу, что повышало вероятность поражения противника (12042).</w:t>
      </w:r>
    </w:p>
    <w:p w14:paraId="217B49C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CA385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1943 завод 166 стал делать Як-9 М-105ПФ и до августа 1943 сделал 264 (65,112).</w:t>
      </w:r>
    </w:p>
    <w:p w14:paraId="15DFAA9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A0F01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в ОКБ А.С.Я. был построен Як-9Д (дальний) с М-105ПФ и ВИШ-61П (65,118).</w:t>
      </w:r>
    </w:p>
    <w:p w14:paraId="7926D4B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BBDCE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проходили летные испытания опытных моторов М-106 на истребителях Як-9, в ноябре 1942 г. — январе 1942 г. на Як-1. Двигатель М-106 представлял собой попытку форсировать М-105 по наддуву. Предполагалось, что он станет основным мотором истребитель</w:t>
      </w:r>
      <w:r w:rsidRPr="00D03F3E">
        <w:rPr>
          <w:rFonts w:ascii="Times New Roman" w:hAnsi="Times New Roman"/>
          <w:color w:val="000000" w:themeColor="text1"/>
          <w:sz w:val="16"/>
          <w:szCs w:val="16"/>
        </w:rPr>
        <w:softHyphen/>
        <w:t>ной и отчасти бомбардировочной авиации. Разработка этого двигателя велась с 1938 г. По сравнению с М-105 были изменены поршни, конструкция блоков, усилены коленвал и шестерни редуктора, уменьшена степень сжатия. Установлен односкоростной ПЦН конструкции В.А. Доллежаля с переда</w:t>
      </w:r>
      <w:r w:rsidRPr="00D03F3E">
        <w:rPr>
          <w:rFonts w:ascii="Times New Roman" w:hAnsi="Times New Roman"/>
          <w:color w:val="000000" w:themeColor="text1"/>
          <w:sz w:val="16"/>
          <w:szCs w:val="16"/>
        </w:rPr>
        <w:softHyphen/>
        <w:t>чей по типу М-103. Габариты и посадочные места двигателя аналогичны М-105. Двигатель М-106 долго доводился, страдал тряской на переходных ре</w:t>
      </w:r>
      <w:r w:rsidRPr="00D03F3E">
        <w:rPr>
          <w:rFonts w:ascii="Times New Roman" w:hAnsi="Times New Roman"/>
          <w:color w:val="000000" w:themeColor="text1"/>
          <w:sz w:val="16"/>
          <w:szCs w:val="16"/>
        </w:rPr>
        <w:softHyphen/>
        <w:t>жимах, выбросами масла, детонацией и дымлением. Данные о количестве изготов</w:t>
      </w:r>
      <w:r w:rsidRPr="00D03F3E">
        <w:rPr>
          <w:rFonts w:ascii="Times New Roman" w:hAnsi="Times New Roman"/>
          <w:color w:val="000000" w:themeColor="text1"/>
          <w:sz w:val="16"/>
          <w:szCs w:val="16"/>
        </w:rPr>
        <w:softHyphen/>
        <w:t>ленных моторов крайне противоречивы. Мотор был снят с производства в мае 1943 г.</w:t>
      </w:r>
    </w:p>
    <w:p w14:paraId="7F15809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Характеристики:</w:t>
      </w:r>
    </w:p>
    <w:p w14:paraId="76F2634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12-цтиндровый, рядный, У-образный, карбюраторный, водяного охлаж</w:t>
      </w:r>
      <w:r w:rsidRPr="00D03F3E">
        <w:rPr>
          <w:rFonts w:ascii="Times New Roman" w:hAnsi="Times New Roman"/>
          <w:color w:val="000000" w:themeColor="text1"/>
          <w:sz w:val="16"/>
          <w:szCs w:val="16"/>
        </w:rPr>
        <w:softHyphen/>
        <w:t>дения (зимой использовались этиленгликолевые или глицериновые анти</w:t>
      </w:r>
      <w:r w:rsidRPr="00D03F3E">
        <w:rPr>
          <w:rFonts w:ascii="Times New Roman" w:hAnsi="Times New Roman"/>
          <w:color w:val="000000" w:themeColor="text1"/>
          <w:sz w:val="16"/>
          <w:szCs w:val="16"/>
        </w:rPr>
        <w:softHyphen/>
        <w:t>фризы), редукторный, с одноступенчатым односкоростным ПЦН;</w:t>
      </w:r>
    </w:p>
    <w:p w14:paraId="4BD6F5D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диаметр цилиндра/ход поршня 148/170 мм;</w:t>
      </w:r>
    </w:p>
    <w:p w14:paraId="10A2976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объем 35,08 л, степень сжатия 6,0 (по др\&gt;гим данным, 6,5);</w:t>
      </w:r>
    </w:p>
    <w:p w14:paraId="4897BAF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мощность и вес в зависимости от модификации.</w:t>
      </w:r>
    </w:p>
    <w:p w14:paraId="7FEB659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Известны следующие модификации М-106:</w:t>
      </w:r>
    </w:p>
    <w:p w14:paraId="04A490D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М-106 (М-106-1ск), серийно выпускался в 1942-1943 гг. Иногда име</w:t>
      </w:r>
      <w:r w:rsidRPr="00D03F3E">
        <w:rPr>
          <w:rFonts w:ascii="Times New Roman" w:hAnsi="Times New Roman"/>
          <w:color w:val="000000" w:themeColor="text1"/>
          <w:sz w:val="16"/>
          <w:szCs w:val="16"/>
        </w:rPr>
        <w:softHyphen/>
        <w:t>новался М-106П. Предусматривал установку пушки ШВАК (20 мм) в развале блоков цилиндров. Мощность 1250/1350 л.с., вес 600 кг.</w:t>
      </w:r>
    </w:p>
    <w:p w14:paraId="385488A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М-106, аналогичный предыдущему вариант для бомбардировщиков без возможности установки пушки. Проектировался в 1939 г.</w:t>
      </w:r>
    </w:p>
    <w:p w14:paraId="1E0B49A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М-106ПВ («повышенной высотности»), вариант с двухступенчатым ПЦН Э-100 с гидромуфтой, аналогичный М-105ПД. Он испытывался на истребителе Як-9ПД в октябре 1943 г. В 1944 г. увеличили обо</w:t>
      </w:r>
      <w:r w:rsidRPr="00D03F3E">
        <w:rPr>
          <w:rFonts w:ascii="Times New Roman" w:hAnsi="Times New Roman"/>
          <w:color w:val="000000" w:themeColor="text1"/>
          <w:sz w:val="16"/>
          <w:szCs w:val="16"/>
        </w:rPr>
        <w:softHyphen/>
        <w:t>роты нагнетателя, ввели впрыск водно-спиртовой смеси, установили новую систему зажигания. Модернизированный М-106ПВ испытывал</w:t>
      </w:r>
      <w:r w:rsidRPr="00D03F3E">
        <w:rPr>
          <w:rFonts w:ascii="Times New Roman" w:hAnsi="Times New Roman"/>
          <w:color w:val="000000" w:themeColor="text1"/>
          <w:sz w:val="16"/>
          <w:szCs w:val="16"/>
        </w:rPr>
        <w:softHyphen/>
        <w:t>ся на Як-9ПД в апреле 1944 г. Было выпущено более 50 модерни</w:t>
      </w:r>
      <w:r w:rsidRPr="00D03F3E">
        <w:rPr>
          <w:rFonts w:ascii="Times New Roman" w:hAnsi="Times New Roman"/>
          <w:color w:val="000000" w:themeColor="text1"/>
          <w:sz w:val="16"/>
          <w:szCs w:val="16"/>
        </w:rPr>
        <w:softHyphen/>
        <w:t>зированных М-106ПВ. На этом типе двигателя устанавливалась об</w:t>
      </w:r>
      <w:r w:rsidRPr="00D03F3E">
        <w:rPr>
          <w:rFonts w:ascii="Times New Roman" w:hAnsi="Times New Roman"/>
          <w:color w:val="000000" w:themeColor="text1"/>
          <w:sz w:val="16"/>
          <w:szCs w:val="16"/>
        </w:rPr>
        <w:softHyphen/>
        <w:t>легченная пушка ША-20М (20 мм).</w:t>
      </w:r>
    </w:p>
    <w:p w14:paraId="321492F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М-106 с турбореактором Ефремова. Проект 1940 г. с «турбореакто-ром» — туннельным радиатором конструкции Ефремова, обеспечи</w:t>
      </w:r>
      <w:r w:rsidRPr="00D03F3E">
        <w:rPr>
          <w:rFonts w:ascii="Times New Roman" w:hAnsi="Times New Roman"/>
          <w:color w:val="000000" w:themeColor="text1"/>
          <w:sz w:val="16"/>
          <w:szCs w:val="16"/>
        </w:rPr>
        <w:softHyphen/>
        <w:t>вавшим создание реактивной тяги. О постройке опытных образцов ничего не известно.</w:t>
      </w:r>
    </w:p>
    <w:p w14:paraId="5A56A94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М-106ТК, проект 1940 г. с двумя турбонагнетателями ТК-1.</w:t>
      </w:r>
    </w:p>
    <w:p w14:paraId="49A9E92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Двигатели М-106 (М-106-1ск) устанавливались на серийных истребителях Як-1, но на вооружение эти самолеты приняты не были, двигатели с них сняли. Моторы М-106ПВ монтировались на серийных Як-9ПД выпуска заво</w:t>
      </w:r>
      <w:r w:rsidRPr="00D03F3E">
        <w:rPr>
          <w:rFonts w:ascii="Times New Roman" w:hAnsi="Times New Roman"/>
          <w:color w:val="000000" w:themeColor="text1"/>
          <w:sz w:val="16"/>
          <w:szCs w:val="16"/>
        </w:rPr>
        <w:softHyphen/>
        <w:t>да № 301. Использование М-106 разных вариантов предусматривалось также проектами самолетов ДБ-240 (Ер-2), СБ, И-26 (Як-1), И-301 (ЛаГГ-1) (11852).</w:t>
      </w:r>
    </w:p>
    <w:p w14:paraId="16636D5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6778F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1943 к заводу 21 была прикомандирована бригада ЦИАМ для обеспечения летных испытаний высотных Ла (1824,19).</w:t>
      </w:r>
    </w:p>
    <w:p w14:paraId="3F97FF4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C1E9E2"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Январь 1943 г.</w:t>
      </w:r>
    </w:p>
    <w:p w14:paraId="6D364BDB"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ГЛАВНОМУ КОНСТРУКТОРУ ЗАВОДА № 21 ТОВ. ЛАВОЧКИНУ</w:t>
      </w:r>
    </w:p>
    <w:p w14:paraId="5708F8B5"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Январь 1943 г.</w:t>
      </w:r>
    </w:p>
    <w:p w14:paraId="0E3A242E"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Представительство ГУЗ ВВС ставит Вас в известность о том, что проведенная за последние два месяца работа по улучшению летнотехнических качеств самолета Ла-5 дали значительный эффект и уже отмечаются благодарными отзывами летного состава частей ВВС КА. Закрепление скоростей серийных самолетов на 5 км/час выше скоростей опытного образца и облегчение управлением самолетом с удовлетворением принято воздушными бойцами Красной Армии.</w:t>
      </w:r>
    </w:p>
    <w:p w14:paraId="678AA5D1"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то же время считаем, что на самолете Ла-5 не реализованы еще многие требования современности.</w:t>
      </w:r>
    </w:p>
    <w:p w14:paraId="4D082A1A"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Представительство ГУЗ ВВС КА считает первоочередными (не перспективными) следующие работы по совершенствованию самолета Ла-5:</w:t>
      </w:r>
    </w:p>
    <w:p w14:paraId="4D4405DB"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Перенести маслорадиатор из-под мотора в центроплан.</w:t>
      </w:r>
    </w:p>
    <w:p w14:paraId="45A1774D"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Установить на всасывании воздухоочиститель (фильтр) для предупреждения быстрого выхода из строя моторов.</w:t>
      </w:r>
    </w:p>
    <w:p w14:paraId="5E6AAF85"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Поставить на рули и элероны материал с огнестойким покрытием.</w:t>
      </w:r>
    </w:p>
    <w:p w14:paraId="3DDC6665"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 Внедрить стандартную кабину пилота.</w:t>
      </w:r>
    </w:p>
    <w:p w14:paraId="4B510BCE"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 Установить бронирование левой руки летчика.</w:t>
      </w:r>
    </w:p>
    <w:p w14:paraId="7F3EB2E0"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6. Установить дистанционное управление рацией с целью устранения влияние рации на компас и упрощение приборной доски.</w:t>
      </w:r>
    </w:p>
    <w:p w14:paraId="236141CC"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7. Увеличить действующую высоту антенны рации постановкой сетки в фюзеляж.</w:t>
      </w:r>
    </w:p>
    <w:p w14:paraId="652603DA"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8. Внедрить совмещенное управление винтом и газом мотора.</w:t>
      </w:r>
    </w:p>
    <w:p w14:paraId="7E6EACBD"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9. Повысить живучесть самолета:</w:t>
      </w:r>
    </w:p>
    <w:p w14:paraId="76E5DA19"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 внедрением фибровых или мягких бензобаков;</w:t>
      </w:r>
    </w:p>
    <w:p w14:paraId="6AECF2A1"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б) установкой кислородного крана в кабине самолета;</w:t>
      </w:r>
    </w:p>
    <w:p w14:paraId="1F250CF1"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улучшением технологии склейки деревянных деталей;</w:t>
      </w:r>
    </w:p>
    <w:p w14:paraId="6B6E362A"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 постановкой морозостойкой резины в клапанах, кранах и др.</w:t>
      </w:r>
    </w:p>
    <w:p w14:paraId="7E20E76F"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10. Пересмотреть проводки и устранить короткие замыкания в электрической цепи.</w:t>
      </w:r>
    </w:p>
    <w:p w14:paraId="4F5B8908"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Ст[арший] военпред ГУЗ и ТС ВВС КА на заводе № 21 Инженер-полковник</w:t>
      </w:r>
      <w:r w:rsidRPr="00D03F3E">
        <w:rPr>
          <w:rFonts w:ascii="Times New Roman" w:hAnsi="Times New Roman"/>
          <w:color w:val="0070C0"/>
          <w:sz w:val="16"/>
          <w:szCs w:val="16"/>
        </w:rPr>
        <w:tab/>
        <w:t>ЯРОШЕНКО</w:t>
      </w:r>
    </w:p>
    <w:p w14:paraId="05A4CD8E"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ЦАНО. Ф. 2066. Оп. 7. Д 42. Л. 20.</w:t>
      </w:r>
    </w:p>
    <w:p w14:paraId="1E6E654E"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Подлинник. Машинопись (20936).</w:t>
      </w:r>
    </w:p>
    <w:p w14:paraId="0C3114F7" w14:textId="77777777" w:rsidR="00282096" w:rsidRPr="00D03F3E" w:rsidRDefault="00282096" w:rsidP="00D03F3E">
      <w:pPr>
        <w:spacing w:after="0" w:line="240" w:lineRule="auto"/>
        <w:jc w:val="both"/>
        <w:rPr>
          <w:rFonts w:ascii="Times New Roman" w:hAnsi="Times New Roman"/>
          <w:color w:val="0070C0"/>
          <w:sz w:val="16"/>
          <w:szCs w:val="16"/>
        </w:rPr>
      </w:pPr>
    </w:p>
    <w:p w14:paraId="45285FE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1943 года НИИ ВВС про</w:t>
      </w:r>
      <w:r w:rsidRPr="00D03F3E">
        <w:rPr>
          <w:rFonts w:ascii="Times New Roman" w:hAnsi="Times New Roman"/>
          <w:color w:val="000000" w:themeColor="text1"/>
          <w:sz w:val="16"/>
          <w:szCs w:val="16"/>
        </w:rPr>
        <w:softHyphen/>
        <w:t>водил сравнительные войсковые ис</w:t>
      </w:r>
      <w:r w:rsidRPr="00D03F3E">
        <w:rPr>
          <w:rFonts w:ascii="Times New Roman" w:hAnsi="Times New Roman"/>
          <w:color w:val="000000" w:themeColor="text1"/>
          <w:sz w:val="16"/>
          <w:szCs w:val="16"/>
        </w:rPr>
        <w:softHyphen/>
        <w:t>пытания старых свечей ВГ-12, ВГ-27 и новых свечей ВГ-25 (АС-110) завода №161 со слюдяными изоляторами и керамических свечей СК-07 на са</w:t>
      </w:r>
      <w:r w:rsidRPr="00D03F3E">
        <w:rPr>
          <w:rFonts w:ascii="Times New Roman" w:hAnsi="Times New Roman"/>
          <w:color w:val="000000" w:themeColor="text1"/>
          <w:sz w:val="16"/>
          <w:szCs w:val="16"/>
        </w:rPr>
        <w:softHyphen/>
        <w:t>молете Ла-5 во 2-й запасной авиа</w:t>
      </w:r>
      <w:r w:rsidRPr="00D03F3E">
        <w:rPr>
          <w:rFonts w:ascii="Times New Roman" w:hAnsi="Times New Roman"/>
          <w:color w:val="000000" w:themeColor="text1"/>
          <w:sz w:val="16"/>
          <w:szCs w:val="16"/>
        </w:rPr>
        <w:softHyphen/>
        <w:t>бригаде в Сейме. Надежды на новые керамические свечи не оправдались. Свечи СК-07 на Ла-5 с М-82 рабо</w:t>
      </w:r>
      <w:r w:rsidRPr="00D03F3E">
        <w:rPr>
          <w:rFonts w:ascii="Times New Roman" w:hAnsi="Times New Roman"/>
          <w:color w:val="000000" w:themeColor="text1"/>
          <w:sz w:val="16"/>
          <w:szCs w:val="16"/>
        </w:rPr>
        <w:softHyphen/>
        <w:t>тали неудовлетворительно. Надо сказать, что испытания загра</w:t>
      </w:r>
      <w:r w:rsidRPr="00D03F3E">
        <w:rPr>
          <w:rFonts w:ascii="Times New Roman" w:hAnsi="Times New Roman"/>
          <w:color w:val="000000" w:themeColor="text1"/>
          <w:sz w:val="16"/>
          <w:szCs w:val="16"/>
        </w:rPr>
        <w:softHyphen/>
        <w:t>ничных керамических свечей на на</w:t>
      </w:r>
      <w:r w:rsidRPr="00D03F3E">
        <w:rPr>
          <w:rFonts w:ascii="Times New Roman" w:hAnsi="Times New Roman"/>
          <w:color w:val="000000" w:themeColor="text1"/>
          <w:sz w:val="16"/>
          <w:szCs w:val="16"/>
        </w:rPr>
        <w:softHyphen/>
        <w:t>ших моторах также показали неудов</w:t>
      </w:r>
      <w:r w:rsidRPr="00D03F3E">
        <w:rPr>
          <w:rFonts w:ascii="Times New Roman" w:hAnsi="Times New Roman"/>
          <w:color w:val="000000" w:themeColor="text1"/>
          <w:sz w:val="16"/>
          <w:szCs w:val="16"/>
        </w:rPr>
        <w:softHyphen/>
        <w:t>летворительные результаты (10714).</w:t>
      </w:r>
    </w:p>
    <w:p w14:paraId="38F4852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A4E749"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1943 г. НИИ ВВС во 2-й запасной авиабригаде в Сейме проводил на Ла-5 сравнительные войсковые испытания старых свечей ВГ-12, ВГ-27 и новых свечей ВГ-25 (АС-110) завода № 161 со слюдяными изоляторами и керамических свечей СК-07. Надежды на новые керамические свечи не оправдались. Свечи СК-07 на Ла-5 с М-82 работали неудовлетворительно.</w:t>
      </w:r>
    </w:p>
    <w:p w14:paraId="2C49A540"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Надо сказать, что испытания заграничных керамических свечей на наших моторах так</w:t>
      </w:r>
      <w:r w:rsidRPr="00D03F3E">
        <w:rPr>
          <w:rFonts w:ascii="Times New Roman" w:hAnsi="Times New Roman"/>
          <w:color w:val="000000" w:themeColor="text1"/>
          <w:sz w:val="16"/>
          <w:szCs w:val="16"/>
        </w:rPr>
        <w:softHyphen/>
        <w:t>же показали неудовлетворительные результаты. Так, на заводе № 19 в августе 1942 г. ис</w:t>
      </w:r>
      <w:r w:rsidRPr="00D03F3E">
        <w:rPr>
          <w:rFonts w:ascii="Times New Roman" w:hAnsi="Times New Roman"/>
          <w:color w:val="000000" w:themeColor="text1"/>
          <w:sz w:val="16"/>
          <w:szCs w:val="16"/>
        </w:rPr>
        <w:softHyphen/>
        <w:t xml:space="preserve">пытали американские керамические свечи </w:t>
      </w:r>
      <w:r w:rsidRPr="00D03F3E">
        <w:rPr>
          <w:rFonts w:ascii="Times New Roman" w:hAnsi="Times New Roman"/>
          <w:color w:val="000000" w:themeColor="text1"/>
          <w:sz w:val="16"/>
          <w:szCs w:val="16"/>
          <w:lang w:val="en-US"/>
        </w:rPr>
        <w:t>AC</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LS</w:t>
      </w:r>
      <w:r w:rsidRPr="00D03F3E">
        <w:rPr>
          <w:rFonts w:ascii="Times New Roman" w:hAnsi="Times New Roman"/>
          <w:color w:val="000000" w:themeColor="text1"/>
          <w:sz w:val="16"/>
          <w:szCs w:val="16"/>
        </w:rPr>
        <w:t>-85 при длительном испытании М-82 на станке. После 12 часов работы (из них 9 часов на режиме) заменили одну свечу вслед</w:t>
      </w:r>
      <w:r w:rsidRPr="00D03F3E">
        <w:rPr>
          <w:rFonts w:ascii="Times New Roman" w:hAnsi="Times New Roman"/>
          <w:color w:val="000000" w:themeColor="text1"/>
          <w:sz w:val="16"/>
          <w:szCs w:val="16"/>
        </w:rPr>
        <w:softHyphen/>
        <w:t>ствие разрушения изолятора и 3 свечи вследствие прогорания ввёртной части корпуса в свечной втулке цилиндра. После 32 часов работы (из них 18 часов на режиме) замени</w:t>
      </w:r>
      <w:r w:rsidRPr="00D03F3E">
        <w:rPr>
          <w:rFonts w:ascii="Times New Roman" w:hAnsi="Times New Roman"/>
          <w:color w:val="000000" w:themeColor="text1"/>
          <w:sz w:val="16"/>
          <w:szCs w:val="16"/>
        </w:rPr>
        <w:softHyphen/>
        <w:t>ли 4 свечи вследствие пробоя изолятора сердечника и 2 свечи вследствие разрушения изолятора сердечника.</w:t>
      </w:r>
    </w:p>
    <w:p w14:paraId="205557E7" w14:textId="77777777" w:rsidR="00F45B06" w:rsidRPr="00D03F3E" w:rsidRDefault="00F45B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целом, ухудшение работы свечей обусловливалось ростом мощностей моторов и применением высокооктанового топлива (повышением степени сжатия) (15829).</w:t>
      </w:r>
    </w:p>
    <w:p w14:paraId="0519EF9F" w14:textId="77777777" w:rsidR="00F45B06" w:rsidRPr="00D03F3E" w:rsidRDefault="00F45B06" w:rsidP="00D03F3E">
      <w:pPr>
        <w:spacing w:after="0" w:line="240" w:lineRule="auto"/>
        <w:jc w:val="both"/>
        <w:rPr>
          <w:rFonts w:ascii="Times New Roman" w:hAnsi="Times New Roman"/>
          <w:color w:val="000000" w:themeColor="text1"/>
          <w:sz w:val="16"/>
          <w:szCs w:val="16"/>
        </w:rPr>
      </w:pPr>
    </w:p>
    <w:p w14:paraId="4F0A4AC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года завершились госиспытания усовершенствованного Ла-5Ф № 39210101, которые шли с 21 ноября 1942. Получили максимальную скорость 600 км/ч на высоте 6300 м и 582 км/ч на высоте 3600 м. Это был наивысший результат для Ла-5 с мотором М-82Ф, при этом самолет стал, как бы, переходным от Ла-5Ф к Ла-5ФН. На капотах серийных самолетов с новыми двигателями появилось специфическое обозначение - буква "Ф" в светлом кружочке, а в серийном производстве он остался типом "37". Отличиями Ла-5Ф стали трехбаковая топливная система и более тонкая бронеспинка (8,5 мм). Это, в совокупности с неполной заправкой топливом, позволило снизить полетный вес истребителя и улучшить его маневренность, особенно на вертикалях.</w:t>
      </w:r>
    </w:p>
    <w:p w14:paraId="58E4827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Одновременно предпринимались меры по облегчению управления самолетом (12032).</w:t>
      </w:r>
    </w:p>
    <w:p w14:paraId="516E3A4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BF1D06" w14:textId="77777777" w:rsidR="002C70B6" w:rsidRPr="00D03F3E" w:rsidRDefault="002C70B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прошли летные испытания самолетов Ла-5 № 37210850, 37210853, 37210871, улучшенных по рекомендациям ЦАГИ. В отчете по испытаниям было отмечено, что в результате осуществленных мероприятий (герметизация капота мотора, изменение всасывающего и выхлопных патрубков, изменение формы туннеля маслорадиатора и общее облагораживание аэродинамики самолета), максимальная скорость у земли возросла до 530 км/ч при полете на номинальном режиме работы мотора и до 565 км/ч при полете на режиме боевой мощности. Полученные цифры находились в полном соответствии с результатами испытаний самолета Ла-5 в аэродинамических трубах ЦАГИ. Благодаря меньшему лобовому сопротивлению измененного всасывающего патрубка и туннеля маслорадиатора скорость самолета № 37210850 оказалась больше скорости самолета № 37210853 на 6—10 км/ч. Скорость самолета № 37210871 с частичной герметизацией капота мотора (герметизация внешнего капота практически отсутствовала) оказалась ниже скорости самолета с полной герметизацией на 6—10 км/ч. Часть рекомендаций внедрили в серию на истребителе Ла-5ФН: улучшенные всасывающий и выхлопные патрубки. Но на самом деле рекомендации ЦАГИ были гораздо шире. Ученые показали, что расположение маслорадиатора под фюзеляжем в специально спрофилированном туннеле снижает его лобовое сопротивление в 2 раза и обеспечивает расход воздуха через радиатор на 25—30% больший, чем при серийном варианте (19727).</w:t>
      </w:r>
    </w:p>
    <w:p w14:paraId="1AC9377D" w14:textId="77777777" w:rsidR="002C70B6" w:rsidRPr="00D03F3E" w:rsidRDefault="002C70B6" w:rsidP="00D03F3E">
      <w:pPr>
        <w:spacing w:after="0" w:line="240" w:lineRule="auto"/>
        <w:jc w:val="both"/>
        <w:rPr>
          <w:rFonts w:ascii="Times New Roman" w:hAnsi="Times New Roman"/>
          <w:color w:val="000000" w:themeColor="text1"/>
          <w:sz w:val="16"/>
          <w:szCs w:val="16"/>
        </w:rPr>
      </w:pPr>
    </w:p>
    <w:p w14:paraId="346274C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с января по март 1943 г. в рамках государственных испытаний в НИИ ВВС майор Хрипков выполнил на Пе-2 М-82 50 полетов с аэродрома Кольцово. Они в основном подтвердили результаты заводских испытаний. Если у земли самолет лишь ненамного (458 км/ч против 451 км/ч) опережал машину с М-105ПФ. выпушенную в феврале 1943 г., то уже на средних высотах преимущество в скорости значительно увеличивалось. Здесь новый вариант Пе-2 обгонял не только отечественные двухмоторные самолеты с двигателями водяного охлаждения, но и американский "Бостон" III, являвшийся вто время одним из самых скоростных серийных средних бомбардировщиков мира. За боевой разворот удавалось набрать 800 м вместо прежних 450-500 м. Большая тяга моторов резко сократила разбег - до 490 м по сравнению с 620 м у серийного самолета с М-105РА. Несколько улучшились продольная и путевая устойчивости самолета. Новый вариант свободно летал на одном моторе.</w:t>
      </w:r>
    </w:p>
    <w:p w14:paraId="4025C86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недостатков отметили, пожалуй, не меньше, чем достоинств. Громоздкие капоты моторов ухудшили обзор вбок из пилотской кабины. Очень низкой оказалась надежность новой мотоустановки, в эксплуатации она была сложной, капризной и иногда просто опасной. Здесь проявились и не- доведенность самого М-82, и ошибки в конструкции установки, и технологические дефекты ряда кустарно изготовленных опытных агрегатов. Формально моторесурс М-82 выпуска завода № 19 составлял 100 ч, но постоянно отказывали свечи ВГ-12. При испытаниях в НИИ ВВС на машине сменили 210 свечей!</w:t>
      </w:r>
    </w:p>
    <w:p w14:paraId="048541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"Нормальный" Пе-2 имел довольно большую посадочную скорость, а у более тяжелого варианта с М-82 она еще увеличилась. Неустойчивая работа моторов на малом газу заставила выполнять посадку с выключенными двигателями. Для мапоквачифициро- ванных летчиков (а такие на фронте составляли большинство) это было опасно, поскольку исключалось "подтягивание" мотором и уход в случае необходимости на второй круг. И, наконец, имелся целый ряд эксплуатационных недостатков. Механики жаловались на то, что трудно подобраться к сливным кранам маслобаков. Из-за неудачной конструкции мотогондол моторы очень долго прогревались перед вылетом; зимой на эту процедуру уходило до 3-4 ч. Новые двигатели оказались и более "прожорливыми", поэтому дальность полета по сравнению с обычным Пе-2 существенно уменьшилась.</w:t>
      </w:r>
    </w:p>
    <w:p w14:paraId="0725127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достоинства Пе-2 с М-82 на этом этапе перевесили недостатки, и в заключении акта по испытаниям ведущий инженер инженер-подполковник Шашков отметил:</w:t>
      </w:r>
    </w:p>
    <w:p w14:paraId="3441128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"Учитывая возможность доводки ВМГ и устранения всех основных дефектов при серийном производстве, рекомендовать постройку малой серии самолетов Пе-2 с М-82...</w:t>
      </w:r>
    </w:p>
    <w:p w14:paraId="3F70959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Рекомендовать вооружить один из бомбардировочных полков самолетами Пе-2 с М-82 и провести войсковые испытания. Головной серийный самолет представить на государственные испытания" (12042).</w:t>
      </w:r>
    </w:p>
    <w:p w14:paraId="5D27A5C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10DBE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на заводе № 166 собрали последние 12 машин Ту-2 7-й серии. К концу октября 1942, согласно приказу от 10 октября, выпуск Ту-2 свернули. Всего тогда в Омске изготовили семь серий, из них две последние (6-ю и 7-ю) - по 20 машин. Итого получается 80 бомбардировщиков. В отчете завода № 166 указано, что сборка Ту-2 из задела деталей продолжалась до конца года. Часть самолетов 7-й серии потом использовали для различных экспериментов. Согласно приказу от 10 октября вся оснастка и специальный инструмент консервировались для возможного использования в будущем. То же самое относилось к заделу деталей и узлов и всей документации. На Туполева была возложена ответственность за дальнейшее совершенствование конструкции Ту-2 и необходимые доработки уже выпущенных бомбардировщиков (11988).</w:t>
      </w:r>
    </w:p>
    <w:p w14:paraId="02D00CE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8AA17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А.Н.Т. писал И.В.С. о возобновлении серии Ту-2 и вновь появилось предложение по 22 заводу в Казани, но потом остановились на 23 заводе в Москве (1835,25).</w:t>
      </w:r>
    </w:p>
    <w:p w14:paraId="1B609BD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Известно, что Ил-2 с АМ-38 стали поступать на фронт в значительном количестве только с января 1943 (5,108) и, таким образом, именно этот период можно считать временем рождения полноценного двухместного Ил-2, производимого в массовых количествах.</w:t>
      </w:r>
    </w:p>
    <w:p w14:paraId="6447302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Позднее, в январе-феврале 1943 на Сталинградском фронте в 8 воздушной армии прошли массированные летно-боевые войсковые испытания Ил-2 со стрелкой и АМ-38Ф (182,245). Во время этих испытаний было сбито 7 истребителей Ме-109.</w:t>
      </w:r>
    </w:p>
    <w:p w14:paraId="1A0F7B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проходили заводские испытания Як-1 М-106, но оказалось, что двигатель недоведен (65,69).</w:t>
      </w:r>
    </w:p>
    <w:p w14:paraId="5F0C1D7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D3437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Туполев обратился с письмом к самому Сталину.</w:t>
      </w:r>
    </w:p>
    <w:p w14:paraId="39CFC88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решения о снятии Ту-2 с производства в Омске А.Н. Туполев на время оказался не у дел. Руководство завода № 166, занятое новыми заботами, быстро потеряло интерес к бомбардировщику. С конструктора никто не снимал обязанности, предписанной постановлением ГКО, довести самолет до уровня заданных требований, в частности, по высотным характеристикам. Но вот возможностей для этого у него не имелось. Все производственные мощности завода были заняты новой продукцией - истребителями. Людей и оборудования для опытных работ не оставалось.</w:t>
      </w:r>
    </w:p>
    <w:p w14:paraId="734DBC8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конструкторском бюро продолжали вести проектирование и расчеты. В частности, прорабатывали вариант Ту-2 с широким применением дерева. Этим занимался A.M. Чере- мухин. Значительную часть обшивки собирались делать не из дюралюминиевого листа, а в виде выкпейки из шпона. Это увеличивало вес машины на 150 - 200 кг, но давало экономию около 800 кг алюминия. Однако острота кризиса с легкими сплавами постепенно спадала, и вскоре работа оказалась практически бесполезной.</w:t>
      </w:r>
    </w:p>
    <w:p w14:paraId="0846C28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Туполев отправлял письма в разные инстанции, добивался приема у наркома Шахурина. Наконец, разрешение на последнее было получено. Конструктор отправился в Москву, но, по сути, ничего не добился.</w:t>
      </w:r>
    </w:p>
    <w:p w14:paraId="1DA1076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нем он написал: "Я не решился бы, Иосиф Виссарионович, беспокоить Вас своим письмом, если бы самолет Ту-2 не оправдал себя на фронте..." Далее Туполев предлагал возобновить производство бомбардировщиков на московском заводе N° 23. Это предприятие располагалось в цехах эвакуированного в Казань завода № 22 и выпускало дальние бомбардировщики Ил-4. Причиной невыполнения требований по скорости на больших высотах конструктор объяснял дефектами мотора М-82А и считал, что после их устранения удастся их выполнить.</w:t>
      </w:r>
    </w:p>
    <w:p w14:paraId="45A62F9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Письмо, очевидно, было внимательно прочитано. Но руководство наркомата (а может быть, и Кремль) решили, что не стоит возобновлять серийное производство до получения обещанных результатов на опытных образцах. Однако их еще предстояло построить. Поэтому Туполеву 14 апреля 1943 г. дали завод, но небольшой - опытный. Это был хорошо знакомый завод № 156 в Москве, который он сам же и создавал. Приказом наркома авиапромышленности там прекращали ремонт самолетов других типов и производство подвесных бензобаков. Зато там сосредоточили капитальный ремонт всех Ту-2, их доработку и модернизацию, а также опытные работы по совершенствованию бомбардировщика. В Москву из Омска требовалось перевезти приспособления, инструмент, задел деталей и узлов (11988).</w:t>
      </w:r>
    </w:p>
    <w:p w14:paraId="137CBC0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8B14B4" w14:textId="77777777" w:rsidR="00282096" w:rsidRPr="00D03F3E" w:rsidRDefault="00282096" w:rsidP="00D03F3E">
      <w:pPr>
        <w:spacing w:after="0" w:line="240" w:lineRule="auto"/>
        <w:jc w:val="both"/>
        <w:rPr>
          <w:rFonts w:ascii="Times New Roman" w:hAnsi="Times New Roman"/>
          <w:color w:val="0070C0"/>
          <w:sz w:val="16"/>
          <w:szCs w:val="16"/>
          <w:lang w:eastAsia="ru-RU" w:bidi="ru-RU"/>
        </w:rPr>
      </w:pPr>
      <w:r w:rsidRPr="00D03F3E">
        <w:rPr>
          <w:rFonts w:ascii="Times New Roman" w:hAnsi="Times New Roman"/>
          <w:color w:val="0070C0"/>
          <w:sz w:val="16"/>
          <w:szCs w:val="16"/>
          <w:lang w:eastAsia="ru-RU" w:bidi="ru-RU"/>
        </w:rPr>
        <w:t>В январе 1943 г. Туполев обратился с письмом к самому Сталину. В нем он на</w:t>
      </w:r>
      <w:r w:rsidRPr="00D03F3E">
        <w:rPr>
          <w:rFonts w:ascii="Times New Roman" w:hAnsi="Times New Roman"/>
          <w:color w:val="0070C0"/>
          <w:sz w:val="16"/>
          <w:szCs w:val="16"/>
          <w:lang w:eastAsia="ru-RU" w:bidi="ru-RU"/>
        </w:rPr>
        <w:softHyphen/>
        <w:t>писал: «Я не решился бы, Иосиф Виссари</w:t>
      </w:r>
      <w:r w:rsidRPr="00D03F3E">
        <w:rPr>
          <w:rFonts w:ascii="Times New Roman" w:hAnsi="Times New Roman"/>
          <w:color w:val="0070C0"/>
          <w:sz w:val="16"/>
          <w:szCs w:val="16"/>
          <w:lang w:eastAsia="ru-RU" w:bidi="ru-RU"/>
        </w:rPr>
        <w:softHyphen/>
        <w:t>онович, беспокоить Вас своим письмом, если бы самолет Ту-2 не оправдал себя на фронте...» Далее Туполев предлагал возобновить производство бомбардиров</w:t>
      </w:r>
      <w:r w:rsidRPr="00D03F3E">
        <w:rPr>
          <w:rFonts w:ascii="Times New Roman" w:hAnsi="Times New Roman"/>
          <w:color w:val="0070C0"/>
          <w:sz w:val="16"/>
          <w:szCs w:val="16"/>
          <w:lang w:eastAsia="ru-RU" w:bidi="ru-RU"/>
        </w:rPr>
        <w:softHyphen/>
        <w:t>щиков на московском заводе №23. При</w:t>
      </w:r>
      <w:r w:rsidRPr="00D03F3E">
        <w:rPr>
          <w:rFonts w:ascii="Times New Roman" w:hAnsi="Times New Roman"/>
          <w:color w:val="0070C0"/>
          <w:sz w:val="16"/>
          <w:szCs w:val="16"/>
          <w:lang w:eastAsia="ru-RU" w:bidi="ru-RU"/>
        </w:rPr>
        <w:softHyphen/>
        <w:t>чиной невыполнения требований по ско</w:t>
      </w:r>
      <w:r w:rsidRPr="00D03F3E">
        <w:rPr>
          <w:rFonts w:ascii="Times New Roman" w:hAnsi="Times New Roman"/>
          <w:color w:val="0070C0"/>
          <w:sz w:val="16"/>
          <w:szCs w:val="16"/>
          <w:lang w:eastAsia="ru-RU" w:bidi="ru-RU"/>
        </w:rPr>
        <w:softHyphen/>
        <w:t>рости на больших высотах конструктор объяснял дефектами мотора М-82А и счи</w:t>
      </w:r>
      <w:r w:rsidRPr="00D03F3E">
        <w:rPr>
          <w:rFonts w:ascii="Times New Roman" w:hAnsi="Times New Roman"/>
          <w:color w:val="0070C0"/>
          <w:sz w:val="16"/>
          <w:szCs w:val="16"/>
          <w:lang w:eastAsia="ru-RU" w:bidi="ru-RU"/>
        </w:rPr>
        <w:softHyphen/>
        <w:t>тал, что после их устранения удастся их выполнить.</w:t>
      </w:r>
    </w:p>
    <w:p w14:paraId="0CA63B20"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После решения о снятии Ту-2 с про</w:t>
      </w:r>
      <w:r w:rsidRPr="00D03F3E">
        <w:rPr>
          <w:rFonts w:ascii="Times New Roman" w:hAnsi="Times New Roman"/>
          <w:color w:val="0070C0"/>
          <w:sz w:val="16"/>
          <w:szCs w:val="16"/>
          <w:lang w:eastAsia="ru-RU" w:bidi="ru-RU"/>
        </w:rPr>
        <w:softHyphen/>
        <w:t>изводства в Омске А.Н. Туполев на время оказался не у дел. Руководство завода №166, занятое новыми заботами, быстро потеряло интерес к бомбардировщику.</w:t>
      </w:r>
    </w:p>
    <w:p w14:paraId="6036E628"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С конструктора никто не снимал обя</w:t>
      </w:r>
      <w:r w:rsidRPr="00D03F3E">
        <w:rPr>
          <w:rFonts w:ascii="Times New Roman" w:hAnsi="Times New Roman"/>
          <w:color w:val="0070C0"/>
          <w:sz w:val="16"/>
          <w:szCs w:val="16"/>
          <w:lang w:eastAsia="ru-RU" w:bidi="ru-RU"/>
        </w:rPr>
        <w:softHyphen/>
        <w:t>занности, предписанной постановлением ГКО, довести самолет до уровня заданных требований, в частности, по высотным ха</w:t>
      </w:r>
      <w:r w:rsidRPr="00D03F3E">
        <w:rPr>
          <w:rFonts w:ascii="Times New Roman" w:hAnsi="Times New Roman"/>
          <w:color w:val="0070C0"/>
          <w:sz w:val="16"/>
          <w:szCs w:val="16"/>
          <w:lang w:eastAsia="ru-RU" w:bidi="ru-RU"/>
        </w:rPr>
        <w:softHyphen/>
        <w:t>рактеристикам. Но вот возможностей для этого у него не имелось. Все производ</w:t>
      </w:r>
      <w:r w:rsidRPr="00D03F3E">
        <w:rPr>
          <w:rFonts w:ascii="Times New Roman" w:hAnsi="Times New Roman"/>
          <w:color w:val="0070C0"/>
          <w:sz w:val="16"/>
          <w:szCs w:val="16"/>
          <w:lang w:eastAsia="ru-RU" w:bidi="ru-RU"/>
        </w:rPr>
        <w:softHyphen/>
        <w:t>ственные мощности завода были заняты новой продукцией - истребителями. Лю</w:t>
      </w:r>
      <w:r w:rsidRPr="00D03F3E">
        <w:rPr>
          <w:rFonts w:ascii="Times New Roman" w:hAnsi="Times New Roman"/>
          <w:color w:val="0070C0"/>
          <w:sz w:val="16"/>
          <w:szCs w:val="16"/>
          <w:lang w:eastAsia="ru-RU" w:bidi="ru-RU"/>
        </w:rPr>
        <w:softHyphen/>
        <w:t>дей и оборудования для опытных работ не оставалось.</w:t>
      </w:r>
    </w:p>
    <w:p w14:paraId="35287AD4"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В конструкторском бюро продолжали вести проектирование и расчеты. В част</w:t>
      </w:r>
      <w:r w:rsidRPr="00D03F3E">
        <w:rPr>
          <w:rFonts w:ascii="Times New Roman" w:hAnsi="Times New Roman"/>
          <w:color w:val="0070C0"/>
          <w:sz w:val="16"/>
          <w:szCs w:val="16"/>
          <w:lang w:eastAsia="ru-RU" w:bidi="ru-RU"/>
        </w:rPr>
        <w:softHyphen/>
        <w:t>ности, прорабатывали вариант Ту-2 с ши</w:t>
      </w:r>
      <w:r w:rsidRPr="00D03F3E">
        <w:rPr>
          <w:rFonts w:ascii="Times New Roman" w:hAnsi="Times New Roman"/>
          <w:color w:val="0070C0"/>
          <w:sz w:val="16"/>
          <w:szCs w:val="16"/>
          <w:lang w:eastAsia="ru-RU" w:bidi="ru-RU"/>
        </w:rPr>
        <w:softHyphen/>
        <w:t>роким применением дерева. Этим за</w:t>
      </w:r>
      <w:r w:rsidRPr="00D03F3E">
        <w:rPr>
          <w:rFonts w:ascii="Times New Roman" w:hAnsi="Times New Roman"/>
          <w:color w:val="0070C0"/>
          <w:sz w:val="16"/>
          <w:szCs w:val="16"/>
          <w:lang w:eastAsia="ru-RU" w:bidi="ru-RU"/>
        </w:rPr>
        <w:softHyphen/>
        <w:t>нимался А.М. Черемухин. Значительную часть обшивки собирались делать не из дюралюминиевого листа, а в виде вы- клейки из шпона. Это увеличивало вес машины на 150-200 кг, но давало эко</w:t>
      </w:r>
      <w:r w:rsidRPr="00D03F3E">
        <w:rPr>
          <w:rFonts w:ascii="Times New Roman" w:hAnsi="Times New Roman"/>
          <w:color w:val="0070C0"/>
          <w:sz w:val="16"/>
          <w:szCs w:val="16"/>
          <w:lang w:eastAsia="ru-RU" w:bidi="ru-RU"/>
        </w:rPr>
        <w:softHyphen/>
        <w:t>номию около 800 кг алюминия. Однако острота кризиса с легкими сплавами по</w:t>
      </w:r>
      <w:r w:rsidRPr="00D03F3E">
        <w:rPr>
          <w:rFonts w:ascii="Times New Roman" w:hAnsi="Times New Roman"/>
          <w:color w:val="0070C0"/>
          <w:sz w:val="16"/>
          <w:szCs w:val="16"/>
          <w:lang w:eastAsia="ru-RU" w:bidi="ru-RU"/>
        </w:rPr>
        <w:softHyphen/>
        <w:t>степенно спадала, и вскоре работа оказа</w:t>
      </w:r>
      <w:r w:rsidRPr="00D03F3E">
        <w:rPr>
          <w:rFonts w:ascii="Times New Roman" w:hAnsi="Times New Roman"/>
          <w:color w:val="0070C0"/>
          <w:sz w:val="16"/>
          <w:szCs w:val="16"/>
          <w:lang w:eastAsia="ru-RU" w:bidi="ru-RU"/>
        </w:rPr>
        <w:softHyphen/>
        <w:t>лась практически бесполезной.</w:t>
      </w:r>
    </w:p>
    <w:p w14:paraId="6CFCD8E0"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Туполев отправлял письма в разные инстанции, добивался приема у наркома Шахурина. Наконец, разрешение на по</w:t>
      </w:r>
      <w:r w:rsidRPr="00D03F3E">
        <w:rPr>
          <w:rFonts w:ascii="Times New Roman" w:hAnsi="Times New Roman"/>
          <w:color w:val="0070C0"/>
          <w:sz w:val="16"/>
          <w:szCs w:val="16"/>
          <w:lang w:eastAsia="ru-RU" w:bidi="ru-RU"/>
        </w:rPr>
        <w:softHyphen/>
        <w:t>следнее было получено. Конструктор от</w:t>
      </w:r>
      <w:r w:rsidRPr="00D03F3E">
        <w:rPr>
          <w:rFonts w:ascii="Times New Roman" w:hAnsi="Times New Roman"/>
          <w:color w:val="0070C0"/>
          <w:sz w:val="16"/>
          <w:szCs w:val="16"/>
          <w:lang w:eastAsia="ru-RU" w:bidi="ru-RU"/>
        </w:rPr>
        <w:softHyphen/>
        <w:t>правился в Москву, но, по сути, он ничего не добился.</w:t>
      </w:r>
    </w:p>
    <w:p w14:paraId="3B18FC9E" w14:textId="77777777" w:rsidR="00282096" w:rsidRPr="00D03F3E" w:rsidRDefault="00282096" w:rsidP="00D03F3E">
      <w:pPr>
        <w:spacing w:after="0" w:line="240" w:lineRule="auto"/>
        <w:jc w:val="both"/>
        <w:rPr>
          <w:rFonts w:ascii="Times New Roman" w:hAnsi="Times New Roman"/>
          <w:color w:val="0070C0"/>
          <w:sz w:val="16"/>
          <w:szCs w:val="16"/>
          <w:lang w:eastAsia="ru-RU" w:bidi="ru-RU"/>
        </w:rPr>
      </w:pPr>
      <w:r w:rsidRPr="00D03F3E">
        <w:rPr>
          <w:rFonts w:ascii="Times New Roman" w:hAnsi="Times New Roman"/>
          <w:color w:val="0070C0"/>
          <w:sz w:val="16"/>
          <w:szCs w:val="16"/>
          <w:lang w:eastAsia="ru-RU" w:bidi="ru-RU"/>
        </w:rPr>
        <w:t>Письмо, очевидно, было внима</w:t>
      </w:r>
      <w:r w:rsidRPr="00D03F3E">
        <w:rPr>
          <w:rFonts w:ascii="Times New Roman" w:hAnsi="Times New Roman"/>
          <w:color w:val="0070C0"/>
          <w:sz w:val="16"/>
          <w:szCs w:val="16"/>
          <w:lang w:eastAsia="ru-RU" w:bidi="ru-RU"/>
        </w:rPr>
        <w:softHyphen/>
        <w:t>тельно прочитано. Но руководство нарко</w:t>
      </w:r>
      <w:r w:rsidRPr="00D03F3E">
        <w:rPr>
          <w:rFonts w:ascii="Times New Roman" w:hAnsi="Times New Roman"/>
          <w:color w:val="0070C0"/>
          <w:sz w:val="16"/>
          <w:szCs w:val="16"/>
          <w:lang w:eastAsia="ru-RU" w:bidi="ru-RU"/>
        </w:rPr>
        <w:softHyphen/>
        <w:t>мата (а может быть и Кремль) решили, что не стоит возобновлять серийное произ</w:t>
      </w:r>
      <w:r w:rsidRPr="00D03F3E">
        <w:rPr>
          <w:rFonts w:ascii="Times New Roman" w:hAnsi="Times New Roman"/>
          <w:color w:val="0070C0"/>
          <w:sz w:val="16"/>
          <w:szCs w:val="16"/>
          <w:lang w:eastAsia="ru-RU" w:bidi="ru-RU"/>
        </w:rPr>
        <w:softHyphen/>
        <w:t>водство до получения обещанных резуль</w:t>
      </w:r>
      <w:r w:rsidRPr="00D03F3E">
        <w:rPr>
          <w:rFonts w:ascii="Times New Roman" w:hAnsi="Times New Roman"/>
          <w:color w:val="0070C0"/>
          <w:sz w:val="16"/>
          <w:szCs w:val="16"/>
          <w:lang w:eastAsia="ru-RU" w:bidi="ru-RU"/>
        </w:rPr>
        <w:softHyphen/>
        <w:t>татов на опытных образцах. Однако их еще предстояло построить (21060).</w:t>
      </w:r>
    </w:p>
    <w:p w14:paraId="489FFAF6" w14:textId="77777777" w:rsidR="00282096" w:rsidRPr="00D03F3E" w:rsidRDefault="00282096" w:rsidP="00D03F3E">
      <w:pPr>
        <w:spacing w:after="0" w:line="240" w:lineRule="auto"/>
        <w:jc w:val="both"/>
        <w:rPr>
          <w:rFonts w:ascii="Times New Roman" w:hAnsi="Times New Roman"/>
          <w:color w:val="0070C0"/>
          <w:sz w:val="16"/>
          <w:szCs w:val="16"/>
          <w:lang w:eastAsia="ru-RU" w:bidi="ru-RU"/>
        </w:rPr>
      </w:pPr>
    </w:p>
    <w:p w14:paraId="3345276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на 125 заводе в Иркутске Ермолаев сделали 4-ю машину Ер-2 с дизелями АЧ-30Б по 1500 нр и испытывали ее до мая (2391,11).</w:t>
      </w:r>
    </w:p>
    <w:p w14:paraId="7F05D80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3EAD6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1943 г. Ер-2 с М-30Б (с 1944 г. - АЧ-30Б) конструкции А.Д. Чаромского, работавших на тракторном керосине, построенный на заводе № 39 в Иркутске и испытывавшийся, получил обозначение Ер-2 № 4 (иногда его ошибочно называют Ер-4). Из-за установки на двигатели воздушных винтов ВИШ-24 диаметром 4,1 м пришлось увеличить расстояние между двигателями, что увеличило размах крыла (11994).</w:t>
      </w:r>
    </w:p>
    <w:p w14:paraId="658E853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991EB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первый серийный Пе-8 с М-82 N 42058 поступил в 747 АП ДД и испытания прошел в марте 1943 (1792,6).</w:t>
      </w:r>
    </w:p>
    <w:p w14:paraId="383C31D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51CDE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года первый серийный Пе-8 №42058 поступил на вооружение 746 авиационного полка, затем последовало еще несколько машин, поступивших в полк к лету. Всего за 1943 год завод №22 выпустил 18 Пе-8, и все они были с М-82 (7685).</w:t>
      </w:r>
    </w:p>
    <w:p w14:paraId="75547F2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6D7A2D"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Января 1943</w:t>
      </w:r>
    </w:p>
    <w:p w14:paraId="12F4F069"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Из объяснительной записки к отчету о работе завода № 477 за 1942 год</w:t>
      </w:r>
    </w:p>
    <w:p w14:paraId="59B79A60"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 Красноярск</w:t>
      </w:r>
      <w:r w:rsidRPr="00D03F3E">
        <w:rPr>
          <w:rFonts w:ascii="Times New Roman" w:hAnsi="Times New Roman"/>
          <w:color w:val="0070C0"/>
          <w:sz w:val="16"/>
          <w:szCs w:val="16"/>
        </w:rPr>
        <w:tab/>
        <w:t>[1943 г.1]</w:t>
      </w:r>
    </w:p>
    <w:p w14:paraId="73AA317C"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Завод № 477 после эвакуации в г. Красноярск согласно решению правительства и приказа народного комиссара авиационной промышленности с 7 ноября по 10 декабря, установив во вновь организованных цехах оборудование, приступил к производственной деятельности на новом месте 10 декабря 1941 г.</w:t>
      </w:r>
    </w:p>
    <w:p w14:paraId="63394F5E"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1942 год заводу была утверждена программа по выпуску запчастей самолета СБ, ремонт самолетов и моторов и по постановлению ГКО изготовление боеприпасов детали № 7 изделия М8.</w:t>
      </w:r>
    </w:p>
    <w:p w14:paraId="28A6A397"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 время своей хозяйственной деятельности завод имел следующие показатели:</w:t>
      </w:r>
    </w:p>
    <w:p w14:paraId="1BDE948D"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I. Производство</w:t>
      </w:r>
    </w:p>
    <w:p w14:paraId="44F59DA5"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План по выпуску оборонной продукции выполнен заводом на 110,4 %, в том числе по детали № 7 - на 127 %. [...]</w:t>
      </w:r>
    </w:p>
    <w:p w14:paraId="1DAD942B"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Заводом в 1942 году освоены:</w:t>
      </w:r>
    </w:p>
    <w:p w14:paraId="2719E534"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бомболюки, шпангоуты, заливные и расширительные бачки, маслобаки и бензобаки;</w:t>
      </w:r>
    </w:p>
    <w:p w14:paraId="277ABC7B"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рули глубины и рули поворота с полотняной обшивкой;</w:t>
      </w:r>
    </w:p>
    <w:p w14:paraId="2A9D8431"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проектирование бензобаков. [...]</w:t>
      </w:r>
    </w:p>
    <w:p w14:paraId="77E5068B"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Выпуск и отгрузка главнейших видов изделий в натуральном выражении:</w:t>
      </w:r>
    </w:p>
    <w:p w14:paraId="2838EBEC"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п/п</w:t>
      </w:r>
      <w:r w:rsidRPr="00D03F3E">
        <w:rPr>
          <w:rFonts w:ascii="Times New Roman" w:hAnsi="Times New Roman"/>
          <w:color w:val="0070C0"/>
          <w:sz w:val="16"/>
          <w:szCs w:val="16"/>
        </w:rPr>
        <w:tab/>
        <w:t>Наименование  изделий</w:t>
      </w:r>
      <w:r w:rsidRPr="00D03F3E">
        <w:rPr>
          <w:rFonts w:ascii="Times New Roman" w:hAnsi="Times New Roman"/>
          <w:color w:val="0070C0"/>
          <w:sz w:val="16"/>
          <w:szCs w:val="16"/>
        </w:rPr>
        <w:tab/>
        <w:t>Выпуск продукции</w:t>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t>Отгружено</w:t>
      </w:r>
    </w:p>
    <w:p w14:paraId="2ABF8617"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ab/>
      </w:r>
      <w:r w:rsidRPr="00D03F3E">
        <w:rPr>
          <w:rFonts w:ascii="Times New Roman" w:hAnsi="Times New Roman"/>
          <w:color w:val="0070C0"/>
          <w:sz w:val="16"/>
          <w:szCs w:val="16"/>
        </w:rPr>
        <w:tab/>
        <w:t>план</w:t>
      </w:r>
      <w:r w:rsidRPr="00D03F3E">
        <w:rPr>
          <w:rFonts w:ascii="Times New Roman" w:hAnsi="Times New Roman"/>
          <w:color w:val="0070C0"/>
          <w:sz w:val="16"/>
          <w:szCs w:val="16"/>
        </w:rPr>
        <w:tab/>
        <w:t>факт[ически]</w:t>
      </w:r>
      <w:r w:rsidRPr="00D03F3E">
        <w:rPr>
          <w:rFonts w:ascii="Times New Roman" w:hAnsi="Times New Roman"/>
          <w:color w:val="0070C0"/>
          <w:sz w:val="16"/>
          <w:szCs w:val="16"/>
        </w:rPr>
        <w:tab/>
        <w:t>% к плану</w:t>
      </w:r>
      <w:r w:rsidRPr="00D03F3E">
        <w:rPr>
          <w:rFonts w:ascii="Times New Roman" w:hAnsi="Times New Roman"/>
          <w:color w:val="0070C0"/>
          <w:sz w:val="16"/>
          <w:szCs w:val="16"/>
        </w:rPr>
        <w:tab/>
      </w:r>
    </w:p>
    <w:p w14:paraId="1087F387"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w:t>
      </w:r>
      <w:r w:rsidRPr="00D03F3E">
        <w:rPr>
          <w:rFonts w:ascii="Times New Roman" w:hAnsi="Times New Roman"/>
          <w:color w:val="0070C0"/>
          <w:sz w:val="16"/>
          <w:szCs w:val="16"/>
        </w:rPr>
        <w:tab/>
        <w:t>Крылья</w:t>
      </w:r>
      <w:r w:rsidRPr="00D03F3E">
        <w:rPr>
          <w:rFonts w:ascii="Times New Roman" w:hAnsi="Times New Roman"/>
          <w:color w:val="0070C0"/>
          <w:sz w:val="16"/>
          <w:szCs w:val="16"/>
        </w:rPr>
        <w:tab/>
        <w:t>175</w:t>
      </w:r>
      <w:r w:rsidRPr="00D03F3E">
        <w:rPr>
          <w:rFonts w:ascii="Times New Roman" w:hAnsi="Times New Roman"/>
          <w:color w:val="0070C0"/>
          <w:sz w:val="16"/>
          <w:szCs w:val="16"/>
        </w:rPr>
        <w:tab/>
        <w:t>222</w:t>
      </w:r>
      <w:r w:rsidRPr="00D03F3E">
        <w:rPr>
          <w:rFonts w:ascii="Times New Roman" w:hAnsi="Times New Roman"/>
          <w:color w:val="0070C0"/>
          <w:sz w:val="16"/>
          <w:szCs w:val="16"/>
        </w:rPr>
        <w:tab/>
        <w:t>127</w:t>
      </w:r>
      <w:r w:rsidRPr="00D03F3E">
        <w:rPr>
          <w:rFonts w:ascii="Times New Roman" w:hAnsi="Times New Roman"/>
          <w:color w:val="0070C0"/>
          <w:sz w:val="16"/>
          <w:szCs w:val="16"/>
        </w:rPr>
        <w:tab/>
        <w:t>203</w:t>
      </w:r>
    </w:p>
    <w:p w14:paraId="4A964D58"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2.</w:t>
      </w:r>
      <w:r w:rsidRPr="00D03F3E">
        <w:rPr>
          <w:rFonts w:ascii="Times New Roman" w:hAnsi="Times New Roman"/>
          <w:color w:val="0070C0"/>
          <w:sz w:val="16"/>
          <w:szCs w:val="16"/>
        </w:rPr>
        <w:tab/>
        <w:t>Стабилизаторы</w:t>
      </w:r>
      <w:r w:rsidRPr="00D03F3E">
        <w:rPr>
          <w:rFonts w:ascii="Times New Roman" w:hAnsi="Times New Roman"/>
          <w:color w:val="0070C0"/>
          <w:sz w:val="16"/>
          <w:szCs w:val="16"/>
        </w:rPr>
        <w:tab/>
        <w:t>280</w:t>
      </w:r>
      <w:r w:rsidRPr="00D03F3E">
        <w:rPr>
          <w:rFonts w:ascii="Times New Roman" w:hAnsi="Times New Roman"/>
          <w:color w:val="0070C0"/>
          <w:sz w:val="16"/>
          <w:szCs w:val="16"/>
        </w:rPr>
        <w:tab/>
        <w:t>331</w:t>
      </w:r>
      <w:r w:rsidRPr="00D03F3E">
        <w:rPr>
          <w:rFonts w:ascii="Times New Roman" w:hAnsi="Times New Roman"/>
          <w:color w:val="0070C0"/>
          <w:sz w:val="16"/>
          <w:szCs w:val="16"/>
        </w:rPr>
        <w:tab/>
        <w:t>118</w:t>
      </w:r>
      <w:r w:rsidRPr="00D03F3E">
        <w:rPr>
          <w:rFonts w:ascii="Times New Roman" w:hAnsi="Times New Roman"/>
          <w:color w:val="0070C0"/>
          <w:sz w:val="16"/>
          <w:szCs w:val="16"/>
        </w:rPr>
        <w:tab/>
        <w:t>328</w:t>
      </w:r>
    </w:p>
    <w:p w14:paraId="032217DE"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w:t>
      </w:r>
      <w:r w:rsidRPr="00D03F3E">
        <w:rPr>
          <w:rFonts w:ascii="Times New Roman" w:hAnsi="Times New Roman"/>
          <w:color w:val="0070C0"/>
          <w:sz w:val="16"/>
          <w:szCs w:val="16"/>
        </w:rPr>
        <w:tab/>
        <w:t>Рули высоты</w:t>
      </w:r>
      <w:r w:rsidRPr="00D03F3E">
        <w:rPr>
          <w:rFonts w:ascii="Times New Roman" w:hAnsi="Times New Roman"/>
          <w:color w:val="0070C0"/>
          <w:sz w:val="16"/>
          <w:szCs w:val="16"/>
        </w:rPr>
        <w:tab/>
        <w:t>305</w:t>
      </w:r>
      <w:r w:rsidRPr="00D03F3E">
        <w:rPr>
          <w:rFonts w:ascii="Times New Roman" w:hAnsi="Times New Roman"/>
          <w:color w:val="0070C0"/>
          <w:sz w:val="16"/>
          <w:szCs w:val="16"/>
        </w:rPr>
        <w:tab/>
        <w:t>372</w:t>
      </w:r>
      <w:r w:rsidRPr="00D03F3E">
        <w:rPr>
          <w:rFonts w:ascii="Times New Roman" w:hAnsi="Times New Roman"/>
          <w:color w:val="0070C0"/>
          <w:sz w:val="16"/>
          <w:szCs w:val="16"/>
        </w:rPr>
        <w:tab/>
        <w:t>122</w:t>
      </w:r>
      <w:r w:rsidRPr="00D03F3E">
        <w:rPr>
          <w:rFonts w:ascii="Times New Roman" w:hAnsi="Times New Roman"/>
          <w:color w:val="0070C0"/>
          <w:sz w:val="16"/>
          <w:szCs w:val="16"/>
        </w:rPr>
        <w:tab/>
        <w:t>372</w:t>
      </w:r>
    </w:p>
    <w:p w14:paraId="4DFA4C88"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w:t>
      </w:r>
      <w:r w:rsidRPr="00D03F3E">
        <w:rPr>
          <w:rFonts w:ascii="Times New Roman" w:hAnsi="Times New Roman"/>
          <w:color w:val="0070C0"/>
          <w:sz w:val="16"/>
          <w:szCs w:val="16"/>
        </w:rPr>
        <w:tab/>
        <w:t>Рули поворота</w:t>
      </w:r>
      <w:r w:rsidRPr="00D03F3E">
        <w:rPr>
          <w:rFonts w:ascii="Times New Roman" w:hAnsi="Times New Roman"/>
          <w:color w:val="0070C0"/>
          <w:sz w:val="16"/>
          <w:szCs w:val="16"/>
        </w:rPr>
        <w:tab/>
        <w:t>329</w:t>
      </w:r>
      <w:r w:rsidRPr="00D03F3E">
        <w:rPr>
          <w:rFonts w:ascii="Times New Roman" w:hAnsi="Times New Roman"/>
          <w:color w:val="0070C0"/>
          <w:sz w:val="16"/>
          <w:szCs w:val="16"/>
        </w:rPr>
        <w:tab/>
        <w:t>394</w:t>
      </w:r>
      <w:r w:rsidRPr="00D03F3E">
        <w:rPr>
          <w:rFonts w:ascii="Times New Roman" w:hAnsi="Times New Roman"/>
          <w:color w:val="0070C0"/>
          <w:sz w:val="16"/>
          <w:szCs w:val="16"/>
        </w:rPr>
        <w:tab/>
        <w:t>120</w:t>
      </w:r>
      <w:r w:rsidRPr="00D03F3E">
        <w:rPr>
          <w:rFonts w:ascii="Times New Roman" w:hAnsi="Times New Roman"/>
          <w:color w:val="0070C0"/>
          <w:sz w:val="16"/>
          <w:szCs w:val="16"/>
        </w:rPr>
        <w:tab/>
        <w:t>390</w:t>
      </w:r>
    </w:p>
    <w:p w14:paraId="1656CFAF"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w:t>
      </w:r>
      <w:r w:rsidRPr="00D03F3E">
        <w:rPr>
          <w:rFonts w:ascii="Times New Roman" w:hAnsi="Times New Roman"/>
          <w:color w:val="0070C0"/>
          <w:sz w:val="16"/>
          <w:szCs w:val="16"/>
        </w:rPr>
        <w:tab/>
        <w:t>Элероны</w:t>
      </w:r>
      <w:r w:rsidRPr="00D03F3E">
        <w:rPr>
          <w:rFonts w:ascii="Times New Roman" w:hAnsi="Times New Roman"/>
          <w:color w:val="0070C0"/>
          <w:sz w:val="16"/>
          <w:szCs w:val="16"/>
        </w:rPr>
        <w:tab/>
        <w:t>238</w:t>
      </w:r>
      <w:r w:rsidRPr="00D03F3E">
        <w:rPr>
          <w:rFonts w:ascii="Times New Roman" w:hAnsi="Times New Roman"/>
          <w:color w:val="0070C0"/>
          <w:sz w:val="16"/>
          <w:szCs w:val="16"/>
        </w:rPr>
        <w:tab/>
        <w:t>237</w:t>
      </w:r>
      <w:r w:rsidRPr="00D03F3E">
        <w:rPr>
          <w:rFonts w:ascii="Times New Roman" w:hAnsi="Times New Roman"/>
          <w:color w:val="0070C0"/>
          <w:sz w:val="16"/>
          <w:szCs w:val="16"/>
        </w:rPr>
        <w:tab/>
        <w:t>99,6</w:t>
      </w:r>
      <w:r w:rsidRPr="00D03F3E">
        <w:rPr>
          <w:rFonts w:ascii="Times New Roman" w:hAnsi="Times New Roman"/>
          <w:color w:val="0070C0"/>
          <w:sz w:val="16"/>
          <w:szCs w:val="16"/>
        </w:rPr>
        <w:tab/>
        <w:t>221</w:t>
      </w:r>
    </w:p>
    <w:p w14:paraId="1B6A21A0"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6.</w:t>
      </w:r>
      <w:r w:rsidRPr="00D03F3E">
        <w:rPr>
          <w:rFonts w:ascii="Times New Roman" w:hAnsi="Times New Roman"/>
          <w:color w:val="0070C0"/>
          <w:sz w:val="16"/>
          <w:szCs w:val="16"/>
        </w:rPr>
        <w:tab/>
        <w:t>Закрылки крыла</w:t>
      </w:r>
      <w:r w:rsidRPr="00D03F3E">
        <w:rPr>
          <w:rFonts w:ascii="Times New Roman" w:hAnsi="Times New Roman"/>
          <w:color w:val="0070C0"/>
          <w:sz w:val="16"/>
          <w:szCs w:val="16"/>
        </w:rPr>
        <w:tab/>
        <w:t>621</w:t>
      </w:r>
      <w:r w:rsidRPr="00D03F3E">
        <w:rPr>
          <w:rFonts w:ascii="Times New Roman" w:hAnsi="Times New Roman"/>
          <w:color w:val="0070C0"/>
          <w:sz w:val="16"/>
          <w:szCs w:val="16"/>
        </w:rPr>
        <w:tab/>
        <w:t>782</w:t>
      </w:r>
      <w:r w:rsidRPr="00D03F3E">
        <w:rPr>
          <w:rFonts w:ascii="Times New Roman" w:hAnsi="Times New Roman"/>
          <w:color w:val="0070C0"/>
          <w:sz w:val="16"/>
          <w:szCs w:val="16"/>
        </w:rPr>
        <w:tab/>
        <w:t>126</w:t>
      </w:r>
      <w:r w:rsidRPr="00D03F3E">
        <w:rPr>
          <w:rFonts w:ascii="Times New Roman" w:hAnsi="Times New Roman"/>
          <w:color w:val="0070C0"/>
          <w:sz w:val="16"/>
          <w:szCs w:val="16"/>
        </w:rPr>
        <w:tab/>
        <w:t>728</w:t>
      </w:r>
    </w:p>
    <w:p w14:paraId="5198C1AE"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7.</w:t>
      </w:r>
      <w:r w:rsidRPr="00D03F3E">
        <w:rPr>
          <w:rFonts w:ascii="Times New Roman" w:hAnsi="Times New Roman"/>
          <w:color w:val="0070C0"/>
          <w:sz w:val="16"/>
          <w:szCs w:val="16"/>
        </w:rPr>
        <w:tab/>
        <w:t>Щитки</w:t>
      </w:r>
      <w:r w:rsidRPr="00D03F3E">
        <w:rPr>
          <w:rFonts w:ascii="Times New Roman" w:hAnsi="Times New Roman"/>
          <w:color w:val="0070C0"/>
          <w:sz w:val="16"/>
          <w:szCs w:val="16"/>
        </w:rPr>
        <w:tab/>
        <w:t>377</w:t>
      </w:r>
      <w:r w:rsidRPr="00D03F3E">
        <w:rPr>
          <w:rFonts w:ascii="Times New Roman" w:hAnsi="Times New Roman"/>
          <w:color w:val="0070C0"/>
          <w:sz w:val="16"/>
          <w:szCs w:val="16"/>
        </w:rPr>
        <w:tab/>
        <w:t>423</w:t>
      </w:r>
      <w:r w:rsidRPr="00D03F3E">
        <w:rPr>
          <w:rFonts w:ascii="Times New Roman" w:hAnsi="Times New Roman"/>
          <w:color w:val="0070C0"/>
          <w:sz w:val="16"/>
          <w:szCs w:val="16"/>
        </w:rPr>
        <w:tab/>
        <w:t>112</w:t>
      </w:r>
      <w:r w:rsidRPr="00D03F3E">
        <w:rPr>
          <w:rFonts w:ascii="Times New Roman" w:hAnsi="Times New Roman"/>
          <w:color w:val="0070C0"/>
          <w:sz w:val="16"/>
          <w:szCs w:val="16"/>
        </w:rPr>
        <w:tab/>
        <w:t>412</w:t>
      </w:r>
    </w:p>
    <w:p w14:paraId="6C4AFFC8"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8.</w:t>
      </w:r>
      <w:r w:rsidRPr="00D03F3E">
        <w:rPr>
          <w:rFonts w:ascii="Times New Roman" w:hAnsi="Times New Roman"/>
          <w:color w:val="0070C0"/>
          <w:sz w:val="16"/>
          <w:szCs w:val="16"/>
        </w:rPr>
        <w:tab/>
        <w:t>Деталь № 7</w:t>
      </w:r>
      <w:r w:rsidRPr="00D03F3E">
        <w:rPr>
          <w:rFonts w:ascii="Times New Roman" w:hAnsi="Times New Roman"/>
          <w:color w:val="0070C0"/>
          <w:sz w:val="16"/>
          <w:szCs w:val="16"/>
        </w:rPr>
        <w:tab/>
        <w:t>38 300</w:t>
      </w:r>
      <w:r w:rsidRPr="00D03F3E">
        <w:rPr>
          <w:rFonts w:ascii="Times New Roman" w:hAnsi="Times New Roman"/>
          <w:color w:val="0070C0"/>
          <w:sz w:val="16"/>
          <w:szCs w:val="16"/>
        </w:rPr>
        <w:tab/>
        <w:t>48 625</w:t>
      </w:r>
      <w:r w:rsidRPr="00D03F3E">
        <w:rPr>
          <w:rFonts w:ascii="Times New Roman" w:hAnsi="Times New Roman"/>
          <w:color w:val="0070C0"/>
          <w:sz w:val="16"/>
          <w:szCs w:val="16"/>
        </w:rPr>
        <w:tab/>
        <w:t>127</w:t>
      </w:r>
      <w:r w:rsidRPr="00D03F3E">
        <w:rPr>
          <w:rFonts w:ascii="Times New Roman" w:hAnsi="Times New Roman"/>
          <w:color w:val="0070C0"/>
          <w:sz w:val="16"/>
          <w:szCs w:val="16"/>
        </w:rPr>
        <w:tab/>
        <w:t>48 027</w:t>
      </w:r>
    </w:p>
    <w:p w14:paraId="1443981D"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течение года было использовано под отгрузку 356 вагонов.</w:t>
      </w:r>
    </w:p>
    <w:p w14:paraId="002F5F24"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w:t>
      </w:r>
    </w:p>
    <w:p w14:paraId="346189F2"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Транспортировка грузов находится в крайне тяжелых условиях, так как завод не имеет своей железнодорожной ветки, а ближайшая ж[елезно]д[орожная] станция находится в трех километрах от завода. [...]</w:t>
      </w:r>
    </w:p>
    <w:p w14:paraId="1CF5E6A7"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Отсутствовали материалы не только по потребному их количеству. Завод ежедневно искал и находил способы выполнения программы при отсутствии ряда необходимых марок сечений и размеров материалов. К числу этих способов можно отнести:</w:t>
      </w:r>
    </w:p>
    <w:p w14:paraId="209E5F73"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замена марок материала с сохранением размеров без изменения конструкции;</w:t>
      </w:r>
    </w:p>
    <w:p w14:paraId="76C07CE4"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замена марок и размеров с сохранением конструкций;</w:t>
      </w:r>
    </w:p>
    <w:p w14:paraId="518426EC"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замена материалов и изменение конструкций;</w:t>
      </w:r>
    </w:p>
    <w:p w14:paraId="55D5FB62"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 изменение раскроя деталей для использования отходов и негабаритных листов;</w:t>
      </w:r>
    </w:p>
    <w:p w14:paraId="0D19BBAA"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 изменение конструкции в связи с технологическими трудностями и отсутствием оборудования. [...]</w:t>
      </w:r>
    </w:p>
    <w:p w14:paraId="2F41332A"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Отсутствие труб на лонжероны стабилизатора привело к капитальной разработке новых конструкций лонжеронов; трубы поясов были заменены на клепаные профили из листового материала. [...]</w:t>
      </w:r>
    </w:p>
    <w:p w14:paraId="735493E4"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целях экономии дюраля заводом разработаны конструктивно и внедрены в производство с октября-месяца рули поворота и рули глубины с полотняной обшивкой вместо дюралевой. [...]</w:t>
      </w:r>
    </w:p>
    <w:p w14:paraId="0EBA9688"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Все крупные конструктивные изменения и замены материалов проверялись и согласовывались с главным конструктором СБ Архангельским М.М. или его уполномоченными представителями.</w:t>
      </w:r>
    </w:p>
    <w:p w14:paraId="272D86E5"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II. Труд и кадры</w:t>
      </w:r>
    </w:p>
    <w:p w14:paraId="189CCE78"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Численность и фонды зарплаты1 [...]</w:t>
      </w:r>
    </w:p>
    <w:p w14:paraId="52A98BD0"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Категории</w:t>
      </w:r>
      <w:r w:rsidRPr="00D03F3E">
        <w:rPr>
          <w:rFonts w:ascii="Times New Roman" w:hAnsi="Times New Roman"/>
          <w:color w:val="0070C0"/>
          <w:sz w:val="16"/>
          <w:szCs w:val="16"/>
        </w:rPr>
        <w:tab/>
        <w:t>Численность (факт)</w:t>
      </w:r>
    </w:p>
    <w:p w14:paraId="4D658992"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Рабочие</w:t>
      </w:r>
      <w:r w:rsidRPr="00D03F3E">
        <w:rPr>
          <w:rFonts w:ascii="Times New Roman" w:hAnsi="Times New Roman"/>
          <w:color w:val="0070C0"/>
          <w:sz w:val="16"/>
          <w:szCs w:val="16"/>
        </w:rPr>
        <w:tab/>
        <w:t>1 185</w:t>
      </w:r>
    </w:p>
    <w:p w14:paraId="4B5B8C2A"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ИТР</w:t>
      </w:r>
      <w:r w:rsidRPr="00D03F3E">
        <w:rPr>
          <w:rFonts w:ascii="Times New Roman" w:hAnsi="Times New Roman"/>
          <w:color w:val="0070C0"/>
          <w:sz w:val="16"/>
          <w:szCs w:val="16"/>
        </w:rPr>
        <w:tab/>
        <w:t>273</w:t>
      </w:r>
    </w:p>
    <w:p w14:paraId="121D1734"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Служащ[ие]</w:t>
      </w:r>
      <w:r w:rsidRPr="00D03F3E">
        <w:rPr>
          <w:rFonts w:ascii="Times New Roman" w:hAnsi="Times New Roman"/>
          <w:color w:val="0070C0"/>
          <w:sz w:val="16"/>
          <w:szCs w:val="16"/>
        </w:rPr>
        <w:tab/>
        <w:t>130</w:t>
      </w:r>
    </w:p>
    <w:p w14:paraId="010FE79B"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МОП</w:t>
      </w:r>
      <w:r w:rsidRPr="00D03F3E">
        <w:rPr>
          <w:rFonts w:ascii="Times New Roman" w:hAnsi="Times New Roman"/>
          <w:color w:val="0070C0"/>
          <w:sz w:val="16"/>
          <w:szCs w:val="16"/>
        </w:rPr>
        <w:tab/>
        <w:t>53</w:t>
      </w:r>
    </w:p>
    <w:p w14:paraId="5A34E43F"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Ученики</w:t>
      </w:r>
      <w:r w:rsidRPr="00D03F3E">
        <w:rPr>
          <w:rFonts w:ascii="Times New Roman" w:hAnsi="Times New Roman"/>
          <w:color w:val="0070C0"/>
          <w:sz w:val="16"/>
          <w:szCs w:val="16"/>
        </w:rPr>
        <w:tab/>
        <w:t>275</w:t>
      </w:r>
    </w:p>
    <w:p w14:paraId="3A2534E8"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ВВО2</w:t>
      </w:r>
      <w:r w:rsidRPr="00D03F3E">
        <w:rPr>
          <w:rFonts w:ascii="Times New Roman" w:hAnsi="Times New Roman"/>
          <w:color w:val="0070C0"/>
          <w:sz w:val="16"/>
          <w:szCs w:val="16"/>
        </w:rPr>
        <w:tab/>
        <w:t>136</w:t>
      </w:r>
    </w:p>
    <w:p w14:paraId="406B7C6D"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Итого:</w:t>
      </w:r>
      <w:r w:rsidRPr="00D03F3E">
        <w:rPr>
          <w:rFonts w:ascii="Times New Roman" w:hAnsi="Times New Roman"/>
          <w:color w:val="0070C0"/>
          <w:sz w:val="16"/>
          <w:szCs w:val="16"/>
        </w:rPr>
        <w:tab/>
        <w:t>2 052</w:t>
      </w:r>
    </w:p>
    <w:p w14:paraId="76913AC2"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Лучшие стахановцы:</w:t>
      </w:r>
    </w:p>
    <w:p w14:paraId="3C882A86"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Андреев М.Н. - токарь VI раз[ряда]. В IV кв[артале] нормы выполнил на 230 % [...];</w:t>
      </w:r>
    </w:p>
    <w:p w14:paraId="4ED42EDF"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Чеклецов М.Ф. - строгальщик VI раз[ряда]. Выполнение норм в IV квартале - 219 % [...];</w:t>
      </w:r>
    </w:p>
    <w:p w14:paraId="3D16F2D5"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Нестеров - [...] жестянщик VI раз[ряда]. Среднее выполнение норм за год - 260 % [...];</w:t>
      </w:r>
    </w:p>
    <w:p w14:paraId="346EBCB5"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Орлов - [...] прокатчик. В среднем за год нормы выполнил на 240 % [...];</w:t>
      </w:r>
    </w:p>
    <w:p w14:paraId="174A31BD"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Прошкина - [...] фрезеровщица штамповочно-заготовительного цеха. Выполнила нормы за 1942 год на 215 % [...];</w:t>
      </w:r>
    </w:p>
    <w:p w14:paraId="1462EC2A"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Губанов - [...] выполнение норм за 1942 год - 235 %. За 1942 год вырос в квалифицированного прокатчика [...];</w:t>
      </w:r>
    </w:p>
    <w:p w14:paraId="320ACC31"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Сиротин - [...] слесарь. В 1942 году нормы выполнял на 267 %</w:t>
      </w:r>
    </w:p>
    <w:p w14:paraId="634851D5"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w:t>
      </w:r>
    </w:p>
    <w:p w14:paraId="68785701"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Якушенок - [...] слесарь. Нормы в 1942 году выполнил на 293 %</w:t>
      </w:r>
    </w:p>
    <w:p w14:paraId="6BAEC084"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w:t>
      </w:r>
    </w:p>
    <w:p w14:paraId="2A1C6B29"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Дьяков - [...] клепальщик VI разряда. В IV кв[артале] нормы выполнил на 224 % [...];</w:t>
      </w:r>
    </w:p>
    <w:p w14:paraId="1F47CA41"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Лишафаева - [...] стахановка-двухсотница [...];</w:t>
      </w:r>
    </w:p>
    <w:p w14:paraId="2026E899"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Пермяков - [...] клепальщик IV разряда. В октябре нормы выполнил на 244 %, в ноябре - на 510 %. В декабре выдвинут на должность мастера;</w:t>
      </w:r>
    </w:p>
    <w:p w14:paraId="0FB5E5EA"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Завьялова - [...] клепальщица IV разряда. [...] Добилась среднего выполнения норм за год на 226 % [...].</w:t>
      </w:r>
    </w:p>
    <w:p w14:paraId="5041FB8D"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Подготовка кадров</w:t>
      </w:r>
    </w:p>
    <w:p w14:paraId="0E5C3D3F"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 период 1942 года было принято всего личного состава 1 262 чел[овека].</w:t>
      </w:r>
    </w:p>
    <w:p w14:paraId="03A65862"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Из этого количества принято в порядке организованного набора 126 чел[овек], окончивших ФЗО и ремесленное училище. [...]</w:t>
      </w:r>
    </w:p>
    <w:p w14:paraId="1F994773"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 отчетный год принято и уволено работников по всем категориям следующее количество:</w:t>
      </w:r>
    </w:p>
    <w:p w14:paraId="5656C1D2"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Категории</w:t>
      </w:r>
      <w:r w:rsidRPr="00D03F3E">
        <w:rPr>
          <w:rFonts w:ascii="Times New Roman" w:hAnsi="Times New Roman"/>
          <w:color w:val="0070C0"/>
          <w:sz w:val="16"/>
          <w:szCs w:val="16"/>
        </w:rPr>
        <w:tab/>
        <w:t>Уход в РККА</w:t>
      </w:r>
    </w:p>
    <w:p w14:paraId="59567439"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Служащих</w:t>
      </w:r>
      <w:r w:rsidRPr="00D03F3E">
        <w:rPr>
          <w:rFonts w:ascii="Times New Roman" w:hAnsi="Times New Roman"/>
          <w:color w:val="0070C0"/>
          <w:sz w:val="16"/>
          <w:szCs w:val="16"/>
        </w:rPr>
        <w:tab/>
        <w:t>206</w:t>
      </w:r>
    </w:p>
    <w:p w14:paraId="64B58DDD"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243 человека переведены на завод ЦАРБа согласно приказу НКАП и Главсевморпути в связи с передачей ремонта самолетов и моторов с завода № 477. [...]</w:t>
      </w:r>
    </w:p>
    <w:p w14:paraId="24104B5A"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И.о. директора завода № 477</w:t>
      </w:r>
      <w:r w:rsidRPr="00D03F3E">
        <w:rPr>
          <w:rFonts w:ascii="Times New Roman" w:hAnsi="Times New Roman"/>
          <w:color w:val="0070C0"/>
          <w:sz w:val="16"/>
          <w:szCs w:val="16"/>
        </w:rPr>
        <w:tab/>
        <w:t>подпись</w:t>
      </w:r>
      <w:r w:rsidRPr="00D03F3E">
        <w:rPr>
          <w:rFonts w:ascii="Times New Roman" w:hAnsi="Times New Roman"/>
          <w:color w:val="0070C0"/>
          <w:sz w:val="16"/>
          <w:szCs w:val="16"/>
        </w:rPr>
        <w:tab/>
        <w:t>Смирнов</w:t>
      </w:r>
    </w:p>
    <w:p w14:paraId="20277D09"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КГКУ «ГАКК». Ф.Р-1341. Оп. 1. Д. 30. Л. 5, 6, 8-10, 15-18, 20, 21, 43. Подлинник. </w:t>
      </w:r>
    </w:p>
    <w:p w14:paraId="25F484BC"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Машинопись (20638).</w:t>
      </w:r>
    </w:p>
    <w:p w14:paraId="3094D832" w14:textId="77777777" w:rsidR="00282096" w:rsidRPr="00D03F3E" w:rsidRDefault="00282096" w:rsidP="00D03F3E">
      <w:pPr>
        <w:spacing w:after="0" w:line="240" w:lineRule="auto"/>
        <w:jc w:val="both"/>
        <w:rPr>
          <w:rFonts w:ascii="Times New Roman" w:hAnsi="Times New Roman"/>
          <w:color w:val="0070C0"/>
          <w:sz w:val="16"/>
          <w:szCs w:val="16"/>
        </w:rPr>
      </w:pPr>
    </w:p>
    <w:p w14:paraId="459F584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велись доводочные испытания первого варианта двигателя, АМ-39, с четырьмя карбюраторами. АМ-39 - дальнейшее развитие двигателя АМ-37 на базе АМ-38Ф с двухскоростным ПЦН, интеркулером и беспоплавковыми карбюраторами К-39БП. Раз</w:t>
      </w:r>
      <w:r w:rsidRPr="00D03F3E">
        <w:rPr>
          <w:rFonts w:ascii="Times New Roman" w:hAnsi="Times New Roman"/>
          <w:color w:val="000000" w:themeColor="text1"/>
          <w:sz w:val="16"/>
          <w:szCs w:val="16"/>
        </w:rPr>
        <w:softHyphen/>
        <w:t>работка была начата в 1942 г. в конструкторском бюро завода № 300 (ОКБ-300), отдельные узлы опытных образцов изготовлялись на заводах № 24 и № 45. В 1943-1946 гг. создали еще несколько модификаций мотора. В марте 1944 г. АМ-39 про</w:t>
      </w:r>
      <w:r w:rsidRPr="00D03F3E">
        <w:rPr>
          <w:rFonts w:ascii="Times New Roman" w:hAnsi="Times New Roman"/>
          <w:color w:val="000000" w:themeColor="text1"/>
          <w:sz w:val="16"/>
          <w:szCs w:val="16"/>
        </w:rPr>
        <w:softHyphen/>
        <w:t>шел госиспытания, но в большую серию не запускался. В апреле 1944 г. 10 АМ-39 изготовили на заводе № 45, в мае — июне того же года 22 экз. переделали на заводе № 300 из АМ-38Ф с исполь</w:t>
      </w:r>
      <w:r w:rsidRPr="00D03F3E">
        <w:rPr>
          <w:rFonts w:ascii="Times New Roman" w:hAnsi="Times New Roman"/>
          <w:color w:val="000000" w:themeColor="text1"/>
          <w:sz w:val="16"/>
          <w:szCs w:val="16"/>
        </w:rPr>
        <w:softHyphen/>
        <w:t>зованием узлов, изготовленных заводом № 45.</w:t>
      </w:r>
    </w:p>
    <w:p w14:paraId="0D0A9CE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Характеристики:</w:t>
      </w:r>
    </w:p>
    <w:p w14:paraId="6B31D5C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12-цилиндровый рядный У-образный, четырехтактный, водяного охлаждения, редукторный, с двухскоростным ПЦН и интеркулером;</w:t>
      </w:r>
    </w:p>
    <w:p w14:paraId="71E241C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диаметр цилиндра/ход поршня 160/190 мм (в цилиндрах с прицепными шатунами 196,8 мм);</w:t>
      </w:r>
    </w:p>
    <w:p w14:paraId="1002421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объем 46,66 л;</w:t>
      </w:r>
    </w:p>
    <w:p w14:paraId="41AE3B4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мощность и вес в зависимости от модификации;</w:t>
      </w:r>
    </w:p>
    <w:p w14:paraId="542410B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запуск сжатым воздухом;</w:t>
      </w:r>
    </w:p>
    <w:p w14:paraId="06A2301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возможна установка синхронизатора. Известны модификации:</w:t>
      </w:r>
    </w:p>
    <w:p w14:paraId="171BECF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АМ-39 на базе АМ-38, 1500/1800 л.с., карбюраторный.</w:t>
      </w:r>
    </w:p>
    <w:p w14:paraId="255EE7A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АМ-39А на базе АМ-38Ф, 1500/1800 л.с. (по заданию 1700/1800 л.с.), карбюраторный, с нагнетателем от АМ-38Ф, но с двухскоростной передачей, водо-воздушным интеркулером. Проходил госиспытания в марте 1944 г., в июле — летные испытания.</w:t>
      </w:r>
    </w:p>
    <w:p w14:paraId="44E980F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АМ-39А-ТК с турбонагнетателями ТК-Б. Испытывался на самолете И-224 в феврале 1944 г.</w:t>
      </w:r>
    </w:p>
    <w:p w14:paraId="4D04EC9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АМ-39Б (АМ-39Б-ТК), 1580/1890 л.с., вариант предыдущего типа с двумя турбонагнетателями ТК-ЗООБ и воздухо-воздушным интеркуле</w:t>
      </w:r>
      <w:r w:rsidRPr="00D03F3E">
        <w:rPr>
          <w:rFonts w:ascii="Times New Roman" w:hAnsi="Times New Roman"/>
          <w:color w:val="000000" w:themeColor="text1"/>
          <w:sz w:val="16"/>
          <w:szCs w:val="16"/>
        </w:rPr>
        <w:softHyphen/>
        <w:t>ром. Испытывался в июне 1944 г. на И-224.</w:t>
      </w:r>
    </w:p>
    <w:p w14:paraId="50F4BEB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АМ-39В с одним турбонагнетателем АМТК-1, установленным только на одном блоке двигателя (асимметрично); с другой стороны — вы</w:t>
      </w:r>
      <w:r w:rsidRPr="00D03F3E">
        <w:rPr>
          <w:rFonts w:ascii="Times New Roman" w:hAnsi="Times New Roman"/>
          <w:color w:val="000000" w:themeColor="text1"/>
          <w:sz w:val="16"/>
          <w:szCs w:val="16"/>
        </w:rPr>
        <w:softHyphen/>
        <w:t>хлопные патрубки.</w:t>
      </w:r>
    </w:p>
    <w:p w14:paraId="58460B6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 АМ-39 с турбонагнетателем АМТК</w:t>
      </w:r>
    </w:p>
    <w:p w14:paraId="122FADA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АМ-39Ф с новым односкоростным ПЦН, форсирован по оборотам и наддуву, мощность 1800/1800 л.с. В ноябре 1944 г. прошел заводские испытания, затем летные на самолете «63».</w:t>
      </w:r>
    </w:p>
    <w:p w14:paraId="4A26C87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АМ-39Ф — вариант предыдущего с впрыском воды на режиме фор</w:t>
      </w:r>
      <w:r w:rsidRPr="00D03F3E">
        <w:rPr>
          <w:rFonts w:ascii="Times New Roman" w:hAnsi="Times New Roman"/>
          <w:color w:val="000000" w:themeColor="text1"/>
          <w:sz w:val="16"/>
          <w:szCs w:val="16"/>
        </w:rPr>
        <w:softHyphen/>
        <w:t>сажа.</w:t>
      </w:r>
    </w:p>
    <w:p w14:paraId="4CE4AE4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АМ-39ФК с форкамерным зажиганием, 1600/1850 л.с. В начале 1946 г. изготовили два опытных экземпляра и начали заводские испытания. В 1947 г. выпустили еще семь двигателей. На государственные ис</w:t>
      </w:r>
      <w:r w:rsidRPr="00D03F3E">
        <w:rPr>
          <w:rFonts w:ascii="Times New Roman" w:hAnsi="Times New Roman"/>
          <w:color w:val="000000" w:themeColor="text1"/>
          <w:sz w:val="16"/>
          <w:szCs w:val="16"/>
        </w:rPr>
        <w:softHyphen/>
        <w:t>пытания АМ-39ФК не предъявлялся.</w:t>
      </w:r>
    </w:p>
    <w:p w14:paraId="7BFDE29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АМ-39ФН (ФНВ), форсированный, с непосредственным впрыском, на базе АМ-38Ф. Разрабатывался в ОКБ-300 с середины 1944 г. От</w:t>
      </w:r>
      <w:r w:rsidRPr="00D03F3E">
        <w:rPr>
          <w:rFonts w:ascii="Times New Roman" w:hAnsi="Times New Roman"/>
          <w:color w:val="000000" w:themeColor="text1"/>
          <w:sz w:val="16"/>
          <w:szCs w:val="16"/>
        </w:rPr>
        <w:softHyphen/>
        <w:t>личался улучшенной гидравликой ПЦН, увеличенным диаметром его крыльчатки, увеличенным диаметром клапанов, всасывающими па</w:t>
      </w:r>
      <w:r w:rsidRPr="00D03F3E">
        <w:rPr>
          <w:rFonts w:ascii="Times New Roman" w:hAnsi="Times New Roman"/>
          <w:color w:val="000000" w:themeColor="text1"/>
          <w:sz w:val="16"/>
          <w:szCs w:val="16"/>
        </w:rPr>
        <w:softHyphen/>
        <w:t>трубками по типу мотора Аллисон У-1710. Мощность первоначально 1600/1850 л.с., затем 1730/2130 л.с., вес 970 кг. Испытания велись с августа 1944 г., официальные заводские испытания проходили в январе 1945 г. Летом того же года моторы испытывались на бомбардиров</w:t>
      </w:r>
      <w:r w:rsidRPr="00D03F3E">
        <w:rPr>
          <w:rFonts w:ascii="Times New Roman" w:hAnsi="Times New Roman"/>
          <w:color w:val="000000" w:themeColor="text1"/>
          <w:sz w:val="16"/>
          <w:szCs w:val="16"/>
        </w:rPr>
        <w:softHyphen/>
        <w:t>щике Ту-2. Работы прекращены в сентябре 1945 г.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w:t>
      </w:r>
    </w:p>
    <w:p w14:paraId="55EA485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D03F3E">
        <w:rPr>
          <w:rFonts w:ascii="Times New Roman" w:hAnsi="Times New Roman"/>
          <w:color w:val="000000" w:themeColor="text1"/>
          <w:sz w:val="16"/>
          <w:szCs w:val="16"/>
        </w:rPr>
        <w:softHyphen/>
        <w:t>сматривалось проектом самолета СПС (11852).</w:t>
      </w:r>
    </w:p>
    <w:p w14:paraId="17E6261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51380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велись доводочные испытания первого варианта двигателя, АМ-39, с карбюраторами К-42БП. АМ-39 являлся дальнейшим развитием двигателя АМ-37 на базе узлов и агрегатов АМ-38Ф с двухскоростным ПЦН, водо-воздушным интеркулером и бесполлавковыми карбюраторами К-39БП. Разработка проекта была начата в 1942 г., отдельные узлы опытных образцов изготовлялись на заводах № 24 и № 45. В 1943-46 годах создали еще несколько модификаций мотора. В марте 1944 г. АМ-39 прошел госиспытания, но в большую серию не запускался.</w:t>
      </w:r>
    </w:p>
    <w:p w14:paraId="0DDFF47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1944 г. десять АМ-39 изготовили на заводе № 45, в мае- июне того же года 22 экземпляра переделали на опытном заводе № 300 из АМ-38Ф с использованием узлов, изготовленных заводом № 45. Но в эту партию входили моторы разных модификаций. Большая часть представляло собой АМ-39 максимальной мощностью 1800 л.с., однако, несколько штук относились к типу АМ-39А с нагнетателем от АМ-38Ф, но с двухскоростной передачей. Интеркулер оставался водо-воздушным. АМ-39А проходил государственные испытания в марте 1944 г., а в июле - летные испытания. По крайней мере один мотор был типа АМ-39А-ТК с турбонагнетателями ТК-Б. Он испытывался на самолете И-224 в феврале 1944 г. Существовал и АМ-39Б (АМ- 39Б-ТК), 1580/1890 л.с., вариант предыдущего типа с двумя турбонагнетателями ТК-300Б и воздухо- воздушным интеркулером. Мощность равнялась 1580/1890 л.с. Этот мотор испытывался в июне 1944 г. на опытном высотном перехватчике И-224. Третьей модификацией с турбонаддувом являлся АМ-39В с одним турбонагнетателем АМТК-1, установленным на одном блоке двигателя (асимметрично); с другой стороны монтировались обычные выхлопные патрубки.</w:t>
      </w:r>
    </w:p>
    <w:p w14:paraId="63B20D1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АМ-39Ф оснащался новым од- носкоростным ПЦН, был форсирован по оборотам и наддуву, расчетная номинальная мощность у него должна была дойти до 1800 л.с. В ноябре 1944 г. мотор прошел заводские испытания, а затем летные на самолете "63". Интеркулер на нем не устанавливался, а чтобы справиться с перегревом на форсированных режимах, предусмотрели впрыск воды.</w:t>
      </w:r>
    </w:p>
    <w:p w14:paraId="40ACE40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АМ-39ФК экспериментировали с форкамерным зажиганием. Получили максимальную мощность 1850 л.с. В начале 1946 г. изготовили два опытных экземпляра и начали заводские испытания, в следующем году выпустили еще семь двигателей. Но на государственные испытания АМ-39ФК не предъявлялся.</w:t>
      </w:r>
    </w:p>
    <w:p w14:paraId="43B3BA2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АМ-39ФН (он же ФНВ) - форсированный вариант с непосредственным впрыском, разрабатывался в ОКБ-ЗОО с середины 1944 г. Он отличался улучшенной гидравликой ПЦН, увеличенным диаметром его крыльчатки, увеличенным диаметром клапанов, всасывающими патрубками по типу американского мотора Аллисон V-1710. Испытания велись с августа 1944 г., официальные заводские испытания проходили в январе 1945 г. Максимальная мощность сначала была 1850 л.с., позже ее довели до 2130 л.с. Летом 1945 г. моторы испытывались на бомбардировщике Ту-2. Работы по АМ-39ФН были прекращены в сентябре 1945 г. по распоряжению Микулина в связи с успехом следующей модификации, АМ-39ФН2. Это был аналог АМ-39ФН на базе нового двигателя для штурмовиков, АМ-42. Он имел максимальную мощность 1850 л.с. и вес 1080 кг. В 1-м квартале 1946 г. изготовили пять экземпляров, на которых вели государственные испытания.</w:t>
      </w:r>
    </w:p>
    <w:p w14:paraId="60F84D9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Позже АМ-39ФН2 переименовали в АМ-40. В 1946-48 годах заводом No 24 были изготовлены 34 экземпляра. Эти моторы испытывались в 1947 г. на одной из модификаций Ту-2.</w:t>
      </w:r>
    </w:p>
    <w:p w14:paraId="30C49BC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Ранее уже говорилось, что Микулин работал над двигателем с удлиненным валом и вынесенным редуктором на базе АМ-37. Хотя задание выдали еще в 1940 г. фактически проектирование начали только в 1942 г. и вскоре за основу вместо АМ-37 взяли АМ-39. Максимальная мощность была меньше, чем даже у ранних АМ-39, и ограничивалась 1600 л.с. Возможно, это ограничение шло от трансмиссии, которую исходно делали под АМ-37. Мотор назывался АМ-39УВ, а позже АМ-41. Изготовили три опытных экземпляра. Доводку одного из них закончили к лету 1943 г. и поставили его на истребитель Гу-1, который в ходе летных испытаний потерпел катастрофу 14 июня того ственных испытаний он не проходил (11934).</w:t>
      </w:r>
    </w:p>
    <w:p w14:paraId="0197FA0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60B4BE" w14:textId="77777777" w:rsidR="00157BCE" w:rsidRPr="00D03F3E" w:rsidRDefault="00157BCE" w:rsidP="00D03F3E">
      <w:pPr>
        <w:pStyle w:val="27"/>
        <w:shd w:val="clear" w:color="auto" w:fill="auto"/>
        <w:spacing w:after="0" w:line="240" w:lineRule="auto"/>
        <w:ind w:firstLine="0"/>
        <w:rPr>
          <w:rFonts w:ascii="Times New Roman" w:cs="Times New Roman"/>
          <w:color w:val="000000" w:themeColor="text1"/>
          <w:spacing w:val="0"/>
        </w:rPr>
      </w:pPr>
      <w:r w:rsidRPr="00D03F3E">
        <w:rPr>
          <w:rStyle w:val="24pt"/>
          <w:rFonts w:ascii="Times New Roman" w:hAnsi="Times New Roman" w:cs="Times New Roman"/>
          <w:b w:val="0"/>
          <w:color w:val="000000" w:themeColor="text1"/>
          <w:sz w:val="16"/>
          <w:szCs w:val="16"/>
        </w:rPr>
        <w:t>В</w:t>
      </w:r>
      <w:r w:rsidRPr="00D03F3E">
        <w:rPr>
          <w:rFonts w:ascii="Times New Roman" w:cs="Times New Roman"/>
          <w:color w:val="000000" w:themeColor="text1"/>
          <w:spacing w:val="0"/>
        </w:rPr>
        <w:t xml:space="preserve"> январе 1943 г. на заводе №24 нача</w:t>
      </w:r>
      <w:r w:rsidRPr="00D03F3E">
        <w:rPr>
          <w:rFonts w:ascii="Times New Roman" w:cs="Times New Roman"/>
          <w:color w:val="000000" w:themeColor="text1"/>
          <w:spacing w:val="0"/>
        </w:rPr>
        <w:softHyphen/>
        <w:t>лись совместные 50-часовые испы</w:t>
      </w:r>
      <w:r w:rsidRPr="00D03F3E">
        <w:rPr>
          <w:rFonts w:ascii="Times New Roman" w:cs="Times New Roman"/>
          <w:color w:val="000000" w:themeColor="text1"/>
          <w:spacing w:val="0"/>
        </w:rPr>
        <w:softHyphen/>
        <w:t>тания опытного образца мотора АМ-39, построенного на базе узлов и агрегатов мотора АМ-38ф. Полученные резуль</w:t>
      </w:r>
      <w:r w:rsidRPr="00D03F3E">
        <w:rPr>
          <w:rFonts w:ascii="Times New Roman" w:cs="Times New Roman"/>
          <w:color w:val="000000" w:themeColor="text1"/>
          <w:spacing w:val="0"/>
        </w:rPr>
        <w:softHyphen/>
        <w:t>таты были вполне обнадеживающими. Взлетная мощность оказалась на уровне 1700 л.с., номинальная мощность на 1-й границе высотности 1600 м - 1500 л.с., и на 2-й границе высотности 6000 м - 1400 л.с.</w:t>
      </w:r>
    </w:p>
    <w:p w14:paraId="1F02A5B5" w14:textId="77777777" w:rsidR="00157BCE" w:rsidRPr="00D03F3E" w:rsidRDefault="00157BCE"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Как уже отмечалось ранее, мотор АМ-39 отличался от серийного мото</w:t>
      </w:r>
      <w:r w:rsidRPr="00D03F3E">
        <w:rPr>
          <w:rFonts w:ascii="Times New Roman" w:cs="Times New Roman"/>
          <w:color w:val="000000" w:themeColor="text1"/>
          <w:spacing w:val="0"/>
        </w:rPr>
        <w:softHyphen/>
        <w:t>ра АМ-38ф только постановкой допол</w:t>
      </w:r>
      <w:r w:rsidRPr="00D03F3E">
        <w:rPr>
          <w:rFonts w:ascii="Times New Roman" w:cs="Times New Roman"/>
          <w:color w:val="000000" w:themeColor="text1"/>
          <w:spacing w:val="0"/>
        </w:rPr>
        <w:softHyphen/>
        <w:t>нительной двухскоростной коробки к нагнетателю и водо-воздушного ради</w:t>
      </w:r>
      <w:r w:rsidRPr="00D03F3E">
        <w:rPr>
          <w:rFonts w:ascii="Times New Roman" w:cs="Times New Roman"/>
          <w:color w:val="000000" w:themeColor="text1"/>
          <w:spacing w:val="0"/>
        </w:rPr>
        <w:softHyphen/>
        <w:t>атора от мотора АМ-37. Внедрение ко</w:t>
      </w:r>
      <w:r w:rsidRPr="00D03F3E">
        <w:rPr>
          <w:rFonts w:ascii="Times New Roman" w:cs="Times New Roman"/>
          <w:color w:val="000000" w:themeColor="text1"/>
          <w:spacing w:val="0"/>
        </w:rPr>
        <w:softHyphen/>
        <w:t>робки не требовало изменения техно</w:t>
      </w:r>
      <w:r w:rsidRPr="00D03F3E">
        <w:rPr>
          <w:rFonts w:ascii="Times New Roman" w:cs="Times New Roman"/>
          <w:color w:val="000000" w:themeColor="text1"/>
          <w:spacing w:val="0"/>
        </w:rPr>
        <w:softHyphen/>
        <w:t>логии изготовления нагнетателя. Эти особенности мотора АМ-39 позволя</w:t>
      </w:r>
      <w:r w:rsidRPr="00D03F3E">
        <w:rPr>
          <w:rFonts w:ascii="Times New Roman" w:cs="Times New Roman"/>
          <w:color w:val="000000" w:themeColor="text1"/>
          <w:spacing w:val="0"/>
        </w:rPr>
        <w:softHyphen/>
        <w:t>ли надеяться, что он будет достаточно быстро доведен до серийного произ</w:t>
      </w:r>
      <w:r w:rsidRPr="00D03F3E">
        <w:rPr>
          <w:rFonts w:ascii="Times New Roman" w:cs="Times New Roman"/>
          <w:color w:val="000000" w:themeColor="text1"/>
          <w:spacing w:val="0"/>
        </w:rPr>
        <w:softHyphen/>
        <w:t>водства (15758).</w:t>
      </w:r>
    </w:p>
    <w:p w14:paraId="439BD709" w14:textId="77777777" w:rsidR="00157BCE" w:rsidRPr="00D03F3E" w:rsidRDefault="00157BCE" w:rsidP="00D03F3E">
      <w:pPr>
        <w:pStyle w:val="27"/>
        <w:shd w:val="clear" w:color="auto" w:fill="auto"/>
        <w:spacing w:after="0" w:line="240" w:lineRule="auto"/>
        <w:ind w:firstLine="0"/>
        <w:rPr>
          <w:rFonts w:ascii="Times New Roman" w:cs="Times New Roman"/>
          <w:color w:val="000000" w:themeColor="text1"/>
          <w:spacing w:val="0"/>
        </w:rPr>
      </w:pPr>
    </w:p>
    <w:p w14:paraId="4C955CA5" w14:textId="77777777" w:rsidR="009614F5" w:rsidRPr="00D03F3E" w:rsidRDefault="009614F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январе 1943 г., после того как начались со</w:t>
      </w:r>
      <w:r w:rsidRPr="00D03F3E">
        <w:rPr>
          <w:color w:val="000000" w:themeColor="text1"/>
          <w:sz w:val="16"/>
          <w:szCs w:val="16"/>
        </w:rPr>
        <w:softHyphen/>
        <w:t>вместные 50-часовые испытания опытного образ</w:t>
      </w:r>
      <w:r w:rsidRPr="00D03F3E">
        <w:rPr>
          <w:color w:val="000000" w:themeColor="text1"/>
          <w:sz w:val="16"/>
          <w:szCs w:val="16"/>
        </w:rPr>
        <w:softHyphen/>
        <w:t>ца мотора АМ-39 с взлетной мощностью 1700 л.с., Н. Н. Поликарпов незамедлительно вышел с ини</w:t>
      </w:r>
      <w:r w:rsidRPr="00D03F3E">
        <w:rPr>
          <w:color w:val="000000" w:themeColor="text1"/>
          <w:sz w:val="16"/>
          <w:szCs w:val="16"/>
        </w:rPr>
        <w:softHyphen/>
        <w:t>циативой доработать ТИС (2А) под этот мотор. При этом предполагалось провести комплекс меропри</w:t>
      </w:r>
      <w:r w:rsidRPr="00D03F3E">
        <w:rPr>
          <w:color w:val="000000" w:themeColor="text1"/>
          <w:sz w:val="16"/>
          <w:szCs w:val="16"/>
        </w:rPr>
        <w:softHyphen/>
        <w:t>ятий по снижению веса пустого самолета и усилить стрелково-пушечное вооружение с учетом требо</w:t>
      </w:r>
      <w:r w:rsidRPr="00D03F3E">
        <w:rPr>
          <w:color w:val="000000" w:themeColor="text1"/>
          <w:sz w:val="16"/>
          <w:szCs w:val="16"/>
        </w:rPr>
        <w:softHyphen/>
        <w:t>ваний военных.</w:t>
      </w:r>
    </w:p>
    <w:p w14:paraId="191000C2" w14:textId="77777777" w:rsidR="009614F5" w:rsidRPr="00D03F3E" w:rsidRDefault="009614F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Предусматривалась установка в центроплане 2 пушек калибра 37 мм 11П конструкции ОКБ-16 с боекомплектом по 75 снарядов на ствол и в носо</w:t>
      </w:r>
      <w:r w:rsidRPr="00D03F3E">
        <w:rPr>
          <w:color w:val="000000" w:themeColor="text1"/>
          <w:sz w:val="16"/>
          <w:szCs w:val="16"/>
        </w:rPr>
        <w:softHyphen/>
        <w:t>вом отсеке 2 пушек ШВАК с боезапасом по 150 сна</w:t>
      </w:r>
      <w:r w:rsidRPr="00D03F3E">
        <w:rPr>
          <w:color w:val="000000" w:themeColor="text1"/>
          <w:sz w:val="16"/>
          <w:szCs w:val="16"/>
        </w:rPr>
        <w:softHyphen/>
        <w:t>рядов на пушку. Вес секундного залпа составлял 8,8 кг.</w:t>
      </w:r>
    </w:p>
    <w:p w14:paraId="15F9CBA6" w14:textId="77777777" w:rsidR="009614F5" w:rsidRPr="00D03F3E" w:rsidRDefault="009614F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Верхний пулемет ШКАС заменялся крупнокали</w:t>
      </w:r>
      <w:r w:rsidRPr="00D03F3E">
        <w:rPr>
          <w:color w:val="000000" w:themeColor="text1"/>
          <w:sz w:val="16"/>
          <w:szCs w:val="16"/>
        </w:rPr>
        <w:softHyphen/>
        <w:t>берным пулеметом БТ с боекомплектом 200 патро</w:t>
      </w:r>
      <w:r w:rsidRPr="00D03F3E">
        <w:rPr>
          <w:color w:val="000000" w:themeColor="text1"/>
          <w:sz w:val="16"/>
          <w:szCs w:val="16"/>
        </w:rPr>
        <w:softHyphen/>
        <w:t>нов на установке ВУБ-1. Люковая установка с пуле</w:t>
      </w:r>
      <w:r w:rsidRPr="00D03F3E">
        <w:rPr>
          <w:color w:val="000000" w:themeColor="text1"/>
          <w:sz w:val="16"/>
          <w:szCs w:val="16"/>
        </w:rPr>
        <w:softHyphen/>
        <w:t>метом ШКАС сохранялась.</w:t>
      </w:r>
    </w:p>
    <w:p w14:paraId="2B06697C" w14:textId="77777777" w:rsidR="009614F5" w:rsidRPr="00D03F3E" w:rsidRDefault="009614F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Бомбовая нагрузка по весу оставалась в целом прежней — 1000 кг, но с некоторым изменением. В дополнение к 2 подфюзеляжным бомбодержате</w:t>
      </w:r>
      <w:r w:rsidRPr="00D03F3E">
        <w:rPr>
          <w:color w:val="000000" w:themeColor="text1"/>
          <w:sz w:val="16"/>
          <w:szCs w:val="16"/>
        </w:rPr>
        <w:softHyphen/>
        <w:t>лям по 500 кг каждый внутри фюзеляжа оборудо</w:t>
      </w:r>
      <w:r w:rsidRPr="00D03F3E">
        <w:rPr>
          <w:color w:val="000000" w:themeColor="text1"/>
          <w:sz w:val="16"/>
          <w:szCs w:val="16"/>
        </w:rPr>
        <w:softHyphen/>
        <w:t>вался небольшой бомбоотсек с 2 держателями ем</w:t>
      </w:r>
      <w:r w:rsidRPr="00D03F3E">
        <w:rPr>
          <w:color w:val="000000" w:themeColor="text1"/>
          <w:sz w:val="16"/>
          <w:szCs w:val="16"/>
        </w:rPr>
        <w:softHyphen/>
        <w:t>костью по 100 кг каждый. Это позволяло увеличить бомбовую нагрузку до 1200 кг, но при условии сня</w:t>
      </w:r>
      <w:r w:rsidRPr="00D03F3E">
        <w:rPr>
          <w:color w:val="000000" w:themeColor="text1"/>
          <w:sz w:val="16"/>
          <w:szCs w:val="16"/>
        </w:rPr>
        <w:softHyphen/>
        <w:t>тия центропланных пушек.</w:t>
      </w:r>
    </w:p>
    <w:p w14:paraId="30098D25" w14:textId="77777777" w:rsidR="009614F5" w:rsidRPr="00D03F3E" w:rsidRDefault="009614F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Кроме того, под консолями крыла предпо</w:t>
      </w:r>
      <w:r w:rsidRPr="00D03F3E">
        <w:rPr>
          <w:color w:val="000000" w:themeColor="text1"/>
          <w:sz w:val="16"/>
          <w:szCs w:val="16"/>
        </w:rPr>
        <w:softHyphen/>
        <w:t>лагалась установка 8 ракетных орудий калибра 132 мм — РО-132, что заметно повышало боевую эффективность самолета за счет применения оско</w:t>
      </w:r>
      <w:r w:rsidRPr="00D03F3E">
        <w:rPr>
          <w:color w:val="000000" w:themeColor="text1"/>
          <w:sz w:val="16"/>
          <w:szCs w:val="16"/>
        </w:rPr>
        <w:softHyphen/>
        <w:t>лочно-фугасных и бронебойных ракетных снарядов типа РОФС-132, М-13, РБС-132.</w:t>
      </w:r>
    </w:p>
    <w:p w14:paraId="797888C6" w14:textId="77777777" w:rsidR="009614F5" w:rsidRPr="00D03F3E" w:rsidRDefault="009614F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оценкам, при полетном весе 8000 кг мак</w:t>
      </w:r>
      <w:r w:rsidRPr="00D03F3E">
        <w:rPr>
          <w:color w:val="000000" w:themeColor="text1"/>
          <w:sz w:val="16"/>
          <w:szCs w:val="16"/>
        </w:rPr>
        <w:softHyphen/>
        <w:t>симальная скорость ожидалась около 650 км/ч на высоте 7000 м и 505 км/ч — у земли. Скоростная дальность полета — 2000 км.</w:t>
      </w:r>
    </w:p>
    <w:p w14:paraId="202406F2" w14:textId="77777777" w:rsidR="009614F5" w:rsidRPr="00D03F3E" w:rsidRDefault="009614F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После согласования некоторых технических и организационных вопросов НКАП дал официаль</w:t>
      </w:r>
      <w:r w:rsidRPr="00D03F3E">
        <w:rPr>
          <w:color w:val="000000" w:themeColor="text1"/>
          <w:sz w:val="16"/>
          <w:szCs w:val="16"/>
        </w:rPr>
        <w:softHyphen/>
        <w:t>ное разрешение на переделку самолета со сроком окончания всех работ 15 октября. Одновременно директор завода № 300 Г. А. Тихомирнов получил приказ поставить заводу № 51 один мотор АМ-39Б с ТК с редукцией 0,59 в срок не позже 1 июля и еще 2 таких же мотора — к 15 сентября 1943 г.</w:t>
      </w:r>
    </w:p>
    <w:p w14:paraId="212B44DD" w14:textId="77777777" w:rsidR="009614F5" w:rsidRPr="00D03F3E" w:rsidRDefault="009614F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заводской документации и в переписке само</w:t>
      </w:r>
      <w:r w:rsidRPr="00D03F3E">
        <w:rPr>
          <w:color w:val="000000" w:themeColor="text1"/>
          <w:sz w:val="16"/>
          <w:szCs w:val="16"/>
        </w:rPr>
        <w:softHyphen/>
        <w:t>лет с моторами АМ-39 стал обозначаться как ТИС (МА). Ведущим инженером по самолету был назна</w:t>
      </w:r>
      <w:r w:rsidRPr="00D03F3E">
        <w:rPr>
          <w:color w:val="000000" w:themeColor="text1"/>
          <w:sz w:val="16"/>
          <w:szCs w:val="16"/>
        </w:rPr>
        <w:softHyphen/>
        <w:t>чен А. В. Потопалов. Все работы по переделке ТИС (2А) в ТИС (МА) решили провести в Москве, куда планировали переехать, начиная со второй дека</w:t>
      </w:r>
      <w:r w:rsidRPr="00D03F3E">
        <w:rPr>
          <w:color w:val="000000" w:themeColor="text1"/>
          <w:sz w:val="16"/>
          <w:szCs w:val="16"/>
        </w:rPr>
        <w:softHyphen/>
        <w:t>ды мая.</w:t>
      </w:r>
    </w:p>
    <w:p w14:paraId="13FD88B0" w14:textId="77777777" w:rsidR="009614F5" w:rsidRPr="00D03F3E" w:rsidRDefault="009614F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 середине июня самолет уже был в столице. Почти сразу же начались работы по его модерниза</w:t>
      </w:r>
      <w:r w:rsidRPr="00D03F3E">
        <w:rPr>
          <w:color w:val="000000" w:themeColor="text1"/>
          <w:sz w:val="16"/>
          <w:szCs w:val="16"/>
        </w:rPr>
        <w:softHyphen/>
        <w:t>ции. На 21 июля 1943 г. общая готовность ТИС (МА) оценивалась в 25% (17500).</w:t>
      </w:r>
    </w:p>
    <w:p w14:paraId="00717679" w14:textId="77777777" w:rsidR="009614F5" w:rsidRPr="00D03F3E" w:rsidRDefault="009614F5" w:rsidP="00D03F3E">
      <w:pPr>
        <w:spacing w:after="0" w:line="240" w:lineRule="auto"/>
        <w:jc w:val="both"/>
        <w:rPr>
          <w:rFonts w:ascii="Times New Roman" w:eastAsia="Times New Roman" w:hAnsi="Times New Roman"/>
          <w:color w:val="000000" w:themeColor="text1"/>
          <w:sz w:val="16"/>
          <w:szCs w:val="16"/>
          <w:lang w:eastAsia="ru-RU"/>
        </w:rPr>
      </w:pPr>
    </w:p>
    <w:p w14:paraId="1BDAABB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АМ-42 прошел 50-часовые заводские испытания. В марте — мае того же года его облетывали на специально доработанном Ил-2 (Ил-АМ-42). Планировали провести госиспытания АМ-42 в марте 1943 г., но двигатель не успели довести. В мае того же года Микулина освободили от обязанностей главного конструктора завода № 24, и даль</w:t>
      </w:r>
      <w:r w:rsidRPr="00D03F3E">
        <w:rPr>
          <w:rFonts w:ascii="Times New Roman" w:hAnsi="Times New Roman"/>
          <w:color w:val="000000" w:themeColor="text1"/>
          <w:sz w:val="16"/>
          <w:szCs w:val="16"/>
        </w:rPr>
        <w:softHyphen/>
        <w:t>нейшим совершенствованием мотора Флисский занимался самостоятельно. 23 сентября 1943 г. АМ-42 в первый раз представили на госиспытания, с которых его сняли из-за прогара поршней. В ходе доводки опытного дви</w:t>
      </w:r>
      <w:r w:rsidRPr="00D03F3E">
        <w:rPr>
          <w:rFonts w:ascii="Times New Roman" w:hAnsi="Times New Roman"/>
          <w:color w:val="000000" w:themeColor="text1"/>
          <w:sz w:val="16"/>
          <w:szCs w:val="16"/>
        </w:rPr>
        <w:softHyphen/>
        <w:t>гателя доработали беспоплавковый карбюратор К-42БПА, усилили силовые шпильки блока, юбки поршней, утолщили гильзы цилиндров, усилили ре</w:t>
      </w:r>
      <w:r w:rsidRPr="00D03F3E">
        <w:rPr>
          <w:rFonts w:ascii="Times New Roman" w:hAnsi="Times New Roman"/>
          <w:color w:val="000000" w:themeColor="text1"/>
          <w:sz w:val="16"/>
          <w:szCs w:val="16"/>
        </w:rPr>
        <w:softHyphen/>
        <w:t>дуктор. Госиспытания АМ-42 успешно прошел в апреле — мае 1944 г. Еще раньше, с начала 1944 г., двигатель запустили в серию на заводе № 24. АМ-42 изготовлялся в больших количествах до 1948 г., затем его сняли с производства. В начале 1951 г. выпуск мотора восстановили в усовершенствованном варианте с ресурсом 400 ч., но снова прекратили в 1954 г. Всего на заводе № 24 было изготовлено 10 232 экз. С весны 1952 г. АМ-42 изготовлялся по лицензии в Чехословакии на заводе им. Димитрова как М-42. Количество моторов, выпущенных там, неизвестно.</w:t>
      </w:r>
    </w:p>
    <w:p w14:paraId="2EFA685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АМ-42 экспортировался в Польшу, Венгрию, Румынию, Чехословакию, Китай, Северную Корею. </w:t>
      </w:r>
    </w:p>
    <w:p w14:paraId="5780D2C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Характеристики:</w:t>
      </w:r>
    </w:p>
    <w:p w14:paraId="04236C0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12-цилиндровый рядный У-образный, четырехтактный, водяного охлаждения, редукторный, с односкоростным ПЦН;</w:t>
      </w:r>
    </w:p>
    <w:p w14:paraId="5DF44C9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диаметр цилиндра/ход поршня 160/190 мм (в цилиндрах с прицепными шатунами 196,8 мм);</w:t>
      </w:r>
    </w:p>
    <w:p w14:paraId="002A327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объем 46,66 л;</w:t>
      </w:r>
    </w:p>
    <w:p w14:paraId="6DDEC64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степень сжатия 5,5; </w:t>
      </w:r>
      <w:r w:rsidRPr="00D03F3E">
        <w:rPr>
          <w:rFonts w:ascii="Times New Roman" w:hAnsi="Times New Roman"/>
          <w:color w:val="000000" w:themeColor="text1"/>
          <w:sz w:val="16"/>
          <w:szCs w:val="16"/>
          <w:vertAlign w:val="subscript"/>
        </w:rPr>
        <w:t>4</w:t>
      </w:r>
    </w:p>
    <w:p w14:paraId="1668D9A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мощность и вес в зависимости от модификации;</w:t>
      </w:r>
    </w:p>
    <w:p w14:paraId="4F7381E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запуск сжатым воздухом. Известны модификации:</w:t>
      </w:r>
    </w:p>
    <w:p w14:paraId="1D4BAD1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АМ-42, единственный вариант, находившийся в массовом производ</w:t>
      </w:r>
      <w:r w:rsidRPr="00D03F3E">
        <w:rPr>
          <w:rFonts w:ascii="Times New Roman" w:hAnsi="Times New Roman"/>
          <w:color w:val="000000" w:themeColor="text1"/>
          <w:sz w:val="16"/>
          <w:szCs w:val="16"/>
        </w:rPr>
        <w:softHyphen/>
        <w:t>стве, 1750/2000 л.с., вес 980 кг (поздние серии 996 кг).</w:t>
      </w:r>
    </w:p>
    <w:p w14:paraId="7B3C6FA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АМ-42 с форкамерным зажиганием и степенью сжатия 7,0. Опытный образец испытывался на стенде в 1944 г.</w:t>
      </w:r>
    </w:p>
    <w:p w14:paraId="5895004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АМ-42Б (АМ-42ТК, АМ-42Б-ТК), вариант 1943 г. с переделанным ПЦН, новыми всасывающими патрубками и воздухо-воздушным интеркулером. Комплектовался турбонагнетателями ТК-ЗООБ. Мощность 1750/2000 л.с. Был изготовлен в марте 1943 г. Испытывался на опыт</w:t>
      </w:r>
      <w:r w:rsidRPr="00D03F3E">
        <w:rPr>
          <w:rFonts w:ascii="Times New Roman" w:hAnsi="Times New Roman"/>
          <w:color w:val="000000" w:themeColor="text1"/>
          <w:sz w:val="16"/>
          <w:szCs w:val="16"/>
        </w:rPr>
        <w:softHyphen/>
        <w:t>ном истребителе «5А» конструкции А.И. Микояна. АМ-42ФНВ с непосредственным впрыском топлива, 1650/2000 л.с., вес 1000 кг. Испытания опытного образца на стенде завершены 22 августа 1945 г.</w:t>
      </w:r>
    </w:p>
    <w:p w14:paraId="6738D27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АМ-42ФБ-ТК с двумя турбонагнетателями ТК-1А. Двигатели АМ-42 устанавливались на серийных штурмовиках Ил-10 и Ил-ЮМ. Чехословацкие М-42 монтировались на самолетах В-33 (мест</w:t>
      </w:r>
      <w:r w:rsidRPr="00D03F3E">
        <w:rPr>
          <w:rFonts w:ascii="Times New Roman" w:hAnsi="Times New Roman"/>
          <w:color w:val="000000" w:themeColor="text1"/>
          <w:sz w:val="16"/>
          <w:szCs w:val="16"/>
        </w:rPr>
        <w:softHyphen/>
        <w:t>ный вариант Ил-10). АМ-42 устанавливались также на опытные машины Ил-8, Ил-16, И-225 (5А), Су-6. Применение их предусматривалось про</w:t>
      </w:r>
      <w:r w:rsidRPr="00D03F3E">
        <w:rPr>
          <w:rFonts w:ascii="Times New Roman" w:hAnsi="Times New Roman"/>
          <w:color w:val="000000" w:themeColor="text1"/>
          <w:sz w:val="16"/>
          <w:szCs w:val="16"/>
        </w:rPr>
        <w:softHyphen/>
        <w:t>ектом Ту-8Б (11852).</w:t>
      </w:r>
    </w:p>
    <w:p w14:paraId="09EE6F2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2A074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1943 г. М-82ФН выпускался серийно заводами № 19 (модификации АШ-82ФН-111 и АШ-82ФН-212) и заводом № 29 (мо</w:t>
      </w:r>
      <w:r w:rsidRPr="00D03F3E">
        <w:rPr>
          <w:rFonts w:ascii="Times New Roman" w:hAnsi="Times New Roman"/>
          <w:color w:val="000000" w:themeColor="text1"/>
          <w:sz w:val="16"/>
          <w:szCs w:val="16"/>
        </w:rPr>
        <w:softHyphen/>
        <w:t>дификация АШ-82-312 с третьим типом редуктора). На 4-й серии (на</w:t>
      </w:r>
      <w:r w:rsidRPr="00D03F3E">
        <w:rPr>
          <w:rFonts w:ascii="Times New Roman" w:hAnsi="Times New Roman"/>
          <w:color w:val="000000" w:themeColor="text1"/>
          <w:sz w:val="16"/>
          <w:szCs w:val="16"/>
        </w:rPr>
        <w:softHyphen/>
        <w:t>чало 1945 г.) усилен коленвал аналогично АШ-83, на 5-й серии (весна 1945 г.) введены гильзы с параболическим профилем и усиленным фланцем. Мощность 1630/1850 л.с., вес 900 кг. Серийное производ</w:t>
      </w:r>
      <w:r w:rsidRPr="00D03F3E">
        <w:rPr>
          <w:rFonts w:ascii="Times New Roman" w:hAnsi="Times New Roman"/>
          <w:color w:val="000000" w:themeColor="text1"/>
          <w:sz w:val="16"/>
          <w:szCs w:val="16"/>
        </w:rPr>
        <w:softHyphen/>
        <w:t>ство завершено в 1953 г. (11852).</w:t>
      </w:r>
    </w:p>
    <w:p w14:paraId="3666E54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7763A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январю 1943 г. закончили общую компоновку М-95. Проект, выполнявшийся под руководством Е.В Урмина по заданию от января 1939 г. Использо</w:t>
      </w:r>
      <w:r w:rsidRPr="00D03F3E">
        <w:rPr>
          <w:rFonts w:ascii="Times New Roman" w:hAnsi="Times New Roman"/>
          <w:color w:val="000000" w:themeColor="text1"/>
          <w:sz w:val="16"/>
          <w:szCs w:val="16"/>
        </w:rPr>
        <w:softHyphen/>
        <w:t>валась цилиндро-поршневая группа М-88Б, но в сочетании с трехклапан-ными головками, новым ПЦН, вентилятором принудительного охлаждения, коленвалом с двумя демпферами и жестким стальным картером.</w:t>
      </w:r>
    </w:p>
    <w:p w14:paraId="1337161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Характеристики:</w:t>
      </w:r>
    </w:p>
    <w:p w14:paraId="43569BE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2 7-цилиндровый, трехрядный звездообразный, четырехтактный, воз</w:t>
      </w:r>
      <w:r w:rsidRPr="00D03F3E">
        <w:rPr>
          <w:rFonts w:ascii="Times New Roman" w:hAnsi="Times New Roman"/>
          <w:color w:val="000000" w:themeColor="text1"/>
          <w:sz w:val="16"/>
          <w:szCs w:val="16"/>
        </w:rPr>
        <w:softHyphen/>
        <w:t>душного охлаждения с принудительным обдувом, редукторный, с двухступенчатым трехскоростным ПЦН;</w:t>
      </w:r>
    </w:p>
    <w:p w14:paraId="6CA81EA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мощность 2000/3000 л.с.;</w:t>
      </w:r>
    </w:p>
    <w:p w14:paraId="08AC9A7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вес 1400 кг;</w:t>
      </w:r>
    </w:p>
    <w:p w14:paraId="60AE070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диаметр цилиндра/ход поршня 146/165 мм;</w:t>
      </w:r>
    </w:p>
    <w:p w14:paraId="0F500B1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полный рабочий объем 38,65 л;</w:t>
      </w:r>
    </w:p>
    <w:p w14:paraId="0CC6DEC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степень сжатия 6,1 (11852).</w:t>
      </w:r>
    </w:p>
    <w:p w14:paraId="445E501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582EB3" w14:textId="77777777" w:rsidR="00282096" w:rsidRPr="00D03F3E" w:rsidRDefault="00282096" w:rsidP="00D03F3E">
      <w:pPr>
        <w:pStyle w:val="ae"/>
        <w:spacing w:before="0" w:after="0"/>
        <w:jc w:val="both"/>
        <w:textAlignment w:val="baseline"/>
        <w:rPr>
          <w:color w:val="0070C0"/>
          <w:sz w:val="16"/>
          <w:szCs w:val="16"/>
        </w:rPr>
      </w:pPr>
      <w:r w:rsidRPr="00D03F3E">
        <w:rPr>
          <w:color w:val="0070C0"/>
          <w:sz w:val="16"/>
          <w:szCs w:val="16"/>
          <w:bdr w:val="none" w:sz="0" w:space="0" w:color="auto" w:frame="1"/>
        </w:rPr>
        <w:t>В январе 1943 г. у США просили предоставить экземпляры </w:t>
      </w:r>
      <w:r w:rsidRPr="00D03F3E">
        <w:rPr>
          <w:color w:val="0070C0"/>
          <w:sz w:val="16"/>
          <w:szCs w:val="16"/>
          <w:bdr w:val="none" w:sz="0" w:space="0" w:color="auto" w:frame="1"/>
          <w:lang w:val="en-US"/>
        </w:rPr>
        <w:t>R</w:t>
      </w:r>
      <w:r w:rsidRPr="00D03F3E">
        <w:rPr>
          <w:color w:val="0070C0"/>
          <w:sz w:val="16"/>
          <w:szCs w:val="16"/>
          <w:bdr w:val="none" w:sz="0" w:space="0" w:color="auto" w:frame="1"/>
        </w:rPr>
        <w:t xml:space="preserve">-2800, </w:t>
      </w:r>
      <w:r w:rsidRPr="00D03F3E">
        <w:rPr>
          <w:color w:val="0070C0"/>
          <w:sz w:val="16"/>
          <w:szCs w:val="16"/>
          <w:bdr w:val="none" w:sz="0" w:space="0" w:color="auto" w:frame="1"/>
          <w:lang w:val="en-US"/>
        </w:rPr>
        <w:t>R</w:t>
      </w:r>
      <w:r w:rsidRPr="00D03F3E">
        <w:rPr>
          <w:color w:val="0070C0"/>
          <w:sz w:val="16"/>
          <w:szCs w:val="16"/>
          <w:bdr w:val="none" w:sz="0" w:space="0" w:color="auto" w:frame="1"/>
        </w:rPr>
        <w:t xml:space="preserve">-3350, </w:t>
      </w:r>
      <w:r w:rsidRPr="00D03F3E">
        <w:rPr>
          <w:color w:val="0070C0"/>
          <w:sz w:val="16"/>
          <w:szCs w:val="16"/>
          <w:bdr w:val="none" w:sz="0" w:space="0" w:color="auto" w:frame="1"/>
          <w:lang w:val="en-US"/>
        </w:rPr>
        <w:t>V</w:t>
      </w:r>
      <w:r w:rsidRPr="00D03F3E">
        <w:rPr>
          <w:color w:val="0070C0"/>
          <w:sz w:val="16"/>
          <w:szCs w:val="16"/>
          <w:bdr w:val="none" w:sz="0" w:space="0" w:color="auto" w:frame="1"/>
        </w:rPr>
        <w:t xml:space="preserve">-3420, </w:t>
      </w:r>
      <w:r w:rsidRPr="00D03F3E">
        <w:rPr>
          <w:color w:val="0070C0"/>
          <w:sz w:val="16"/>
          <w:szCs w:val="16"/>
          <w:bdr w:val="none" w:sz="0" w:space="0" w:color="auto" w:frame="1"/>
          <w:lang w:val="en-US"/>
        </w:rPr>
        <w:t>V</w:t>
      </w:r>
      <w:r w:rsidRPr="00D03F3E">
        <w:rPr>
          <w:color w:val="0070C0"/>
          <w:sz w:val="16"/>
          <w:szCs w:val="16"/>
          <w:bdr w:val="none" w:sz="0" w:space="0" w:color="auto" w:frame="1"/>
        </w:rPr>
        <w:t>-1650</w:t>
      </w:r>
      <w:r w:rsidRPr="00D03F3E">
        <w:rPr>
          <w:color w:val="0070C0"/>
          <w:sz w:val="16"/>
          <w:szCs w:val="16"/>
          <w:bdr w:val="none" w:sz="0" w:space="0" w:color="auto" w:frame="1"/>
          <w:lang w:val="en-US"/>
        </w:rPr>
        <w:t> </w:t>
      </w:r>
      <w:r w:rsidRPr="00D03F3E">
        <w:rPr>
          <w:color w:val="0070C0"/>
          <w:sz w:val="16"/>
          <w:szCs w:val="16"/>
          <w:bdr w:val="none" w:sz="0" w:space="0" w:color="auto" w:frame="1"/>
        </w:rPr>
        <w:t>и получили отказ. Первый из них позднее поставляли с истребителями Р-47 «Тандерболт». Он тщательно изучался в СССР, но в основном интересовал не сам двигатель, а его турбонагнетатель, обеспечивавший отличные высотные характеристики. Как уже говорилось, конструкторское бюро А.И. Микояна в 1944 г. выполнило проект переделки МиГ-3 под мотоустановку от </w:t>
      </w:r>
      <w:r w:rsidRPr="00D03F3E">
        <w:rPr>
          <w:color w:val="0070C0"/>
          <w:sz w:val="16"/>
          <w:szCs w:val="16"/>
          <w:bdr w:val="none" w:sz="0" w:space="0" w:color="auto" w:frame="1"/>
          <w:lang w:val="en-US"/>
        </w:rPr>
        <w:t>P</w:t>
      </w:r>
      <w:r w:rsidRPr="00D03F3E">
        <w:rPr>
          <w:color w:val="0070C0"/>
          <w:sz w:val="16"/>
          <w:szCs w:val="16"/>
          <w:bdr w:val="none" w:sz="0" w:space="0" w:color="auto" w:frame="1"/>
        </w:rPr>
        <w:t>-47</w:t>
      </w:r>
      <w:r w:rsidRPr="00D03F3E">
        <w:rPr>
          <w:color w:val="0070C0"/>
          <w:sz w:val="16"/>
          <w:szCs w:val="16"/>
          <w:bdr w:val="none" w:sz="0" w:space="0" w:color="auto" w:frame="1"/>
          <w:lang w:val="en-US"/>
        </w:rPr>
        <w:t>D</w:t>
      </w:r>
      <w:r w:rsidRPr="00D03F3E">
        <w:rPr>
          <w:color w:val="0070C0"/>
          <w:sz w:val="16"/>
          <w:szCs w:val="16"/>
          <w:bdr w:val="none" w:sz="0" w:space="0" w:color="auto" w:frame="1"/>
        </w:rPr>
        <w:t>-10-</w:t>
      </w:r>
      <w:r w:rsidRPr="00D03F3E">
        <w:rPr>
          <w:color w:val="0070C0"/>
          <w:sz w:val="16"/>
          <w:szCs w:val="16"/>
          <w:bdr w:val="none" w:sz="0" w:space="0" w:color="auto" w:frame="1"/>
          <w:lang w:val="en-US"/>
        </w:rPr>
        <w:t>RE </w:t>
      </w:r>
      <w:r w:rsidRPr="00D03F3E">
        <w:rPr>
          <w:color w:val="0070C0"/>
          <w:sz w:val="16"/>
          <w:szCs w:val="16"/>
          <w:bdr w:val="none" w:sz="0" w:space="0" w:color="auto" w:frame="1"/>
        </w:rPr>
        <w:t>с мотором </w:t>
      </w:r>
      <w:r w:rsidRPr="00D03F3E">
        <w:rPr>
          <w:color w:val="0070C0"/>
          <w:sz w:val="16"/>
          <w:szCs w:val="16"/>
          <w:bdr w:val="none" w:sz="0" w:space="0" w:color="auto" w:frame="1"/>
          <w:lang w:val="en-US"/>
        </w:rPr>
        <w:t>R</w:t>
      </w:r>
      <w:r w:rsidRPr="00D03F3E">
        <w:rPr>
          <w:color w:val="0070C0"/>
          <w:sz w:val="16"/>
          <w:szCs w:val="16"/>
          <w:bdr w:val="none" w:sz="0" w:space="0" w:color="auto" w:frame="1"/>
        </w:rPr>
        <w:t>-2800-63</w:t>
      </w:r>
      <w:r w:rsidRPr="00D03F3E">
        <w:rPr>
          <w:color w:val="0070C0"/>
          <w:sz w:val="16"/>
          <w:szCs w:val="16"/>
          <w:bdr w:val="none" w:sz="0" w:space="0" w:color="auto" w:frame="1"/>
          <w:lang w:val="en-US"/>
        </w:rPr>
        <w:t> </w:t>
      </w:r>
      <w:r w:rsidRPr="00D03F3E">
        <w:rPr>
          <w:color w:val="0070C0"/>
          <w:sz w:val="16"/>
          <w:szCs w:val="16"/>
          <w:bdr w:val="none" w:sz="0" w:space="0" w:color="auto" w:frame="1"/>
        </w:rPr>
        <w:t>и турбонагнетателем С-23.</w:t>
      </w:r>
    </w:p>
    <w:p w14:paraId="5C044EDC" w14:textId="77777777" w:rsidR="00282096" w:rsidRPr="00D03F3E" w:rsidRDefault="00282096" w:rsidP="00D03F3E">
      <w:pPr>
        <w:pStyle w:val="ae"/>
        <w:spacing w:before="0" w:after="0"/>
        <w:jc w:val="both"/>
        <w:textAlignment w:val="baseline"/>
        <w:rPr>
          <w:color w:val="0070C0"/>
          <w:sz w:val="16"/>
          <w:szCs w:val="16"/>
          <w:bdr w:val="none" w:sz="0" w:space="0" w:color="auto" w:frame="1"/>
        </w:rPr>
      </w:pPr>
      <w:r w:rsidRPr="00D03F3E">
        <w:rPr>
          <w:color w:val="0070C0"/>
          <w:sz w:val="16"/>
          <w:szCs w:val="16"/>
          <w:bdr w:val="none" w:sz="0" w:space="0" w:color="auto" w:frame="1"/>
        </w:rPr>
        <w:t>Особенно интересовал мощный 18-цилиндровый двигатель </w:t>
      </w:r>
      <w:r w:rsidRPr="00D03F3E">
        <w:rPr>
          <w:color w:val="0070C0"/>
          <w:sz w:val="16"/>
          <w:szCs w:val="16"/>
          <w:bdr w:val="none" w:sz="0" w:space="0" w:color="auto" w:frame="1"/>
          <w:lang w:val="en-US"/>
        </w:rPr>
        <w:t>R</w:t>
      </w:r>
      <w:r w:rsidRPr="00D03F3E">
        <w:rPr>
          <w:color w:val="0070C0"/>
          <w:sz w:val="16"/>
          <w:szCs w:val="16"/>
          <w:bdr w:val="none" w:sz="0" w:space="0" w:color="auto" w:frame="1"/>
        </w:rPr>
        <w:t>-3350,</w:t>
      </w:r>
      <w:r w:rsidRPr="00D03F3E">
        <w:rPr>
          <w:color w:val="0070C0"/>
          <w:sz w:val="16"/>
          <w:szCs w:val="16"/>
          <w:bdr w:val="none" w:sz="0" w:space="0" w:color="auto" w:frame="1"/>
          <w:lang w:val="en-US"/>
        </w:rPr>
        <w:t> </w:t>
      </w:r>
      <w:r w:rsidRPr="00D03F3E">
        <w:rPr>
          <w:color w:val="0070C0"/>
          <w:sz w:val="16"/>
          <w:szCs w:val="16"/>
          <w:bdr w:val="none" w:sz="0" w:space="0" w:color="auto" w:frame="1"/>
        </w:rPr>
        <w:t>который хотели заполучить еще в 1940 г. 31 июля 1943 г. последовало специальное обращение к генералу г. Арнольду, начальнику штаба ВВС армии США. 6 августа он дал ответ: «ситуация изучается». 15 августа решение «временно отложили», а 2 сентября отправили официальный отказ. Параллельно велись переговоры с фирмой «Райт», готовой предоставить лицензию, но только с согласия военных.</w:t>
      </w:r>
    </w:p>
    <w:p w14:paraId="2C5232DA" w14:textId="77777777" w:rsidR="00282096" w:rsidRPr="00D03F3E" w:rsidRDefault="00282096" w:rsidP="00D03F3E">
      <w:pPr>
        <w:pStyle w:val="ae"/>
        <w:spacing w:before="0" w:after="0"/>
        <w:jc w:val="both"/>
        <w:textAlignment w:val="baseline"/>
        <w:rPr>
          <w:color w:val="0070C0"/>
          <w:sz w:val="16"/>
          <w:szCs w:val="16"/>
        </w:rPr>
      </w:pPr>
      <w:r w:rsidRPr="00D03F3E">
        <w:rPr>
          <w:color w:val="0070C0"/>
          <w:sz w:val="16"/>
          <w:szCs w:val="16"/>
          <w:bdr w:val="none" w:sz="0" w:space="0" w:color="auto" w:frame="1"/>
          <w:lang w:val="en-US"/>
        </w:rPr>
        <w:t>R</w:t>
      </w:r>
      <w:r w:rsidRPr="00D03F3E">
        <w:rPr>
          <w:color w:val="0070C0"/>
          <w:sz w:val="16"/>
          <w:szCs w:val="16"/>
          <w:bdr w:val="none" w:sz="0" w:space="0" w:color="auto" w:frame="1"/>
        </w:rPr>
        <w:t>-3350</w:t>
      </w:r>
      <w:r w:rsidRPr="00D03F3E">
        <w:rPr>
          <w:color w:val="0070C0"/>
          <w:sz w:val="16"/>
          <w:szCs w:val="16"/>
          <w:bdr w:val="none" w:sz="0" w:space="0" w:color="auto" w:frame="1"/>
          <w:lang w:val="en-US"/>
        </w:rPr>
        <w:t> </w:t>
      </w:r>
      <w:r w:rsidRPr="00D03F3E">
        <w:rPr>
          <w:color w:val="0070C0"/>
          <w:sz w:val="16"/>
          <w:szCs w:val="16"/>
          <w:bdr w:val="none" w:sz="0" w:space="0" w:color="auto" w:frame="1"/>
        </w:rPr>
        <w:t>все-таки достали. Достали неофициально. Как уже говорилось, с июля по ноябрь 1944 г. в районе Владивостока совершили вынужденные посадки четыре бомбардировщика В-29 с этими двигателями. Поскольку Советский Союз тогда еще не находился в состоянии войны с Японией, самолеты интернировали... и решили не возвращать. Американский бомбардировщик скопировали в конструкторском бюро А.Н. Туполева и запустили в серийное производство под обозначением Ту-4. Но на нем устанавливались не </w:t>
      </w:r>
      <w:r w:rsidRPr="00D03F3E">
        <w:rPr>
          <w:color w:val="0070C0"/>
          <w:sz w:val="16"/>
          <w:szCs w:val="16"/>
          <w:bdr w:val="none" w:sz="0" w:space="0" w:color="auto" w:frame="1"/>
          <w:lang w:val="en-US"/>
        </w:rPr>
        <w:t>R</w:t>
      </w:r>
      <w:r w:rsidRPr="00D03F3E">
        <w:rPr>
          <w:color w:val="0070C0"/>
          <w:sz w:val="16"/>
          <w:szCs w:val="16"/>
          <w:bdr w:val="none" w:sz="0" w:space="0" w:color="auto" w:frame="1"/>
        </w:rPr>
        <w:t>-3350,</w:t>
      </w:r>
      <w:r w:rsidRPr="00D03F3E">
        <w:rPr>
          <w:color w:val="0070C0"/>
          <w:sz w:val="16"/>
          <w:szCs w:val="16"/>
          <w:bdr w:val="none" w:sz="0" w:space="0" w:color="auto" w:frame="1"/>
          <w:lang w:val="en-US"/>
        </w:rPr>
        <w:t> </w:t>
      </w:r>
      <w:r w:rsidRPr="00D03F3E">
        <w:rPr>
          <w:color w:val="0070C0"/>
          <w:sz w:val="16"/>
          <w:szCs w:val="16"/>
          <w:bdr w:val="none" w:sz="0" w:space="0" w:color="auto" w:frame="1"/>
        </w:rPr>
        <w:t>а отечественные М-73ТК (АШ-73ТК). Однако конструкция американского двигателя оказала очень большое влияние на советский. Изучение </w:t>
      </w:r>
      <w:r w:rsidRPr="00D03F3E">
        <w:rPr>
          <w:color w:val="0070C0"/>
          <w:sz w:val="16"/>
          <w:szCs w:val="16"/>
          <w:bdr w:val="none" w:sz="0" w:space="0" w:color="auto" w:frame="1"/>
          <w:lang w:val="en-US"/>
        </w:rPr>
        <w:t>R</w:t>
      </w:r>
      <w:r w:rsidRPr="00D03F3E">
        <w:rPr>
          <w:color w:val="0070C0"/>
          <w:sz w:val="16"/>
          <w:szCs w:val="16"/>
          <w:bdr w:val="none" w:sz="0" w:space="0" w:color="auto" w:frame="1"/>
        </w:rPr>
        <w:t>-3350</w:t>
      </w:r>
      <w:r w:rsidRPr="00D03F3E">
        <w:rPr>
          <w:color w:val="0070C0"/>
          <w:sz w:val="16"/>
          <w:szCs w:val="16"/>
          <w:bdr w:val="none" w:sz="0" w:space="0" w:color="auto" w:frame="1"/>
          <w:lang w:val="en-US"/>
        </w:rPr>
        <w:t> </w:t>
      </w:r>
      <w:r w:rsidRPr="00D03F3E">
        <w:rPr>
          <w:color w:val="0070C0"/>
          <w:sz w:val="16"/>
          <w:szCs w:val="16"/>
          <w:bdr w:val="none" w:sz="0" w:space="0" w:color="auto" w:frame="1"/>
        </w:rPr>
        <w:t>позволило заимствовать ряд удачных решений, в частности, подшипниковых узлов. Турбокомпрессор ТК-19 специалисты ЦИАМ полностью скопировали с американского образца. Более того, первые опытные образцы М-73ТК проходили стендовые испытания с агрегатами (свечами, генераторами, стартерами, магнето и подшипниками) американского производства. На опытных образцах в разных сочетаниях комбинировали оригинальные советские агрегаты, импортные американские и их сделанные у нас копии (20442).</w:t>
      </w:r>
    </w:p>
    <w:p w14:paraId="6875A25F" w14:textId="77777777" w:rsidR="00282096" w:rsidRPr="00D03F3E" w:rsidRDefault="00282096" w:rsidP="00D03F3E">
      <w:pPr>
        <w:spacing w:after="0" w:line="240" w:lineRule="auto"/>
        <w:jc w:val="both"/>
        <w:rPr>
          <w:rFonts w:ascii="Times New Roman" w:hAnsi="Times New Roman"/>
          <w:color w:val="0070C0"/>
          <w:sz w:val="16"/>
          <w:szCs w:val="16"/>
        </w:rPr>
      </w:pPr>
    </w:p>
    <w:p w14:paraId="5B06C218"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bdr w:val="none" w:sz="0" w:space="0" w:color="auto" w:frame="1"/>
        </w:rPr>
        <w:t>В январе 1943 г. у США просили предоставить экземпляры </w:t>
      </w:r>
      <w:r w:rsidRPr="00D03F3E">
        <w:rPr>
          <w:rFonts w:ascii="Times New Roman" w:hAnsi="Times New Roman"/>
          <w:color w:val="0070C0"/>
          <w:sz w:val="16"/>
          <w:szCs w:val="16"/>
          <w:bdr w:val="none" w:sz="0" w:space="0" w:color="auto" w:frame="1"/>
          <w:lang w:val="en-US"/>
        </w:rPr>
        <w:t>R</w:t>
      </w:r>
      <w:r w:rsidRPr="00D03F3E">
        <w:rPr>
          <w:rFonts w:ascii="Times New Roman" w:hAnsi="Times New Roman"/>
          <w:color w:val="0070C0"/>
          <w:sz w:val="16"/>
          <w:szCs w:val="16"/>
          <w:bdr w:val="none" w:sz="0" w:space="0" w:color="auto" w:frame="1"/>
        </w:rPr>
        <w:t xml:space="preserve">-2800, </w:t>
      </w:r>
      <w:r w:rsidRPr="00D03F3E">
        <w:rPr>
          <w:rFonts w:ascii="Times New Roman" w:hAnsi="Times New Roman"/>
          <w:color w:val="0070C0"/>
          <w:sz w:val="16"/>
          <w:szCs w:val="16"/>
          <w:bdr w:val="none" w:sz="0" w:space="0" w:color="auto" w:frame="1"/>
          <w:lang w:val="en-US"/>
        </w:rPr>
        <w:t>R</w:t>
      </w:r>
      <w:r w:rsidRPr="00D03F3E">
        <w:rPr>
          <w:rFonts w:ascii="Times New Roman" w:hAnsi="Times New Roman"/>
          <w:color w:val="0070C0"/>
          <w:sz w:val="16"/>
          <w:szCs w:val="16"/>
          <w:bdr w:val="none" w:sz="0" w:space="0" w:color="auto" w:frame="1"/>
        </w:rPr>
        <w:t xml:space="preserve">-3350, </w:t>
      </w:r>
      <w:r w:rsidRPr="00D03F3E">
        <w:rPr>
          <w:rFonts w:ascii="Times New Roman" w:hAnsi="Times New Roman"/>
          <w:color w:val="0070C0"/>
          <w:sz w:val="16"/>
          <w:szCs w:val="16"/>
          <w:bdr w:val="none" w:sz="0" w:space="0" w:color="auto" w:frame="1"/>
          <w:lang w:val="en-US"/>
        </w:rPr>
        <w:t>V</w:t>
      </w:r>
      <w:r w:rsidRPr="00D03F3E">
        <w:rPr>
          <w:rFonts w:ascii="Times New Roman" w:hAnsi="Times New Roman"/>
          <w:color w:val="0070C0"/>
          <w:sz w:val="16"/>
          <w:szCs w:val="16"/>
          <w:bdr w:val="none" w:sz="0" w:space="0" w:color="auto" w:frame="1"/>
        </w:rPr>
        <w:t xml:space="preserve">-3420, </w:t>
      </w:r>
      <w:r w:rsidRPr="00D03F3E">
        <w:rPr>
          <w:rFonts w:ascii="Times New Roman" w:hAnsi="Times New Roman"/>
          <w:color w:val="0070C0"/>
          <w:sz w:val="16"/>
          <w:szCs w:val="16"/>
          <w:bdr w:val="none" w:sz="0" w:space="0" w:color="auto" w:frame="1"/>
          <w:lang w:val="en-US"/>
        </w:rPr>
        <w:t>V</w:t>
      </w:r>
      <w:r w:rsidRPr="00D03F3E">
        <w:rPr>
          <w:rFonts w:ascii="Times New Roman" w:hAnsi="Times New Roman"/>
          <w:color w:val="0070C0"/>
          <w:sz w:val="16"/>
          <w:szCs w:val="16"/>
          <w:bdr w:val="none" w:sz="0" w:space="0" w:color="auto" w:frame="1"/>
        </w:rPr>
        <w:t>-1650</w:t>
      </w:r>
      <w:r w:rsidRPr="00D03F3E">
        <w:rPr>
          <w:rFonts w:ascii="Times New Roman" w:hAnsi="Times New Roman"/>
          <w:color w:val="0070C0"/>
          <w:sz w:val="16"/>
          <w:szCs w:val="16"/>
          <w:bdr w:val="none" w:sz="0" w:space="0" w:color="auto" w:frame="1"/>
          <w:lang w:val="en-US"/>
        </w:rPr>
        <w:t> </w:t>
      </w:r>
      <w:r w:rsidRPr="00D03F3E">
        <w:rPr>
          <w:rFonts w:ascii="Times New Roman" w:hAnsi="Times New Roman"/>
          <w:color w:val="0070C0"/>
          <w:sz w:val="16"/>
          <w:szCs w:val="16"/>
          <w:bdr w:val="none" w:sz="0" w:space="0" w:color="auto" w:frame="1"/>
        </w:rPr>
        <w:t>и получили отказ. Первый из них позднее поставляли с истребителями Р-47 «Тандерболт». Он тщательно изучался в СССР, но в основном интересовал не сам двигатель, а его турбонагнетатель, обеспечивавший отличные высотные характеристики. Конструкторское бюро А.И. Микояна в 1944 г. выполнило проект переделки МиГ-3 под мотоустановку от </w:t>
      </w:r>
      <w:r w:rsidRPr="00D03F3E">
        <w:rPr>
          <w:rFonts w:ascii="Times New Roman" w:hAnsi="Times New Roman"/>
          <w:color w:val="0070C0"/>
          <w:sz w:val="16"/>
          <w:szCs w:val="16"/>
          <w:bdr w:val="none" w:sz="0" w:space="0" w:color="auto" w:frame="1"/>
          <w:lang w:val="en-US"/>
        </w:rPr>
        <w:t>P</w:t>
      </w:r>
      <w:r w:rsidRPr="00D03F3E">
        <w:rPr>
          <w:rFonts w:ascii="Times New Roman" w:hAnsi="Times New Roman"/>
          <w:color w:val="0070C0"/>
          <w:sz w:val="16"/>
          <w:szCs w:val="16"/>
          <w:bdr w:val="none" w:sz="0" w:space="0" w:color="auto" w:frame="1"/>
        </w:rPr>
        <w:t>-47</w:t>
      </w:r>
      <w:r w:rsidRPr="00D03F3E">
        <w:rPr>
          <w:rFonts w:ascii="Times New Roman" w:hAnsi="Times New Roman"/>
          <w:color w:val="0070C0"/>
          <w:sz w:val="16"/>
          <w:szCs w:val="16"/>
          <w:bdr w:val="none" w:sz="0" w:space="0" w:color="auto" w:frame="1"/>
          <w:lang w:val="en-US"/>
        </w:rPr>
        <w:t>D</w:t>
      </w:r>
      <w:r w:rsidRPr="00D03F3E">
        <w:rPr>
          <w:rFonts w:ascii="Times New Roman" w:hAnsi="Times New Roman"/>
          <w:color w:val="0070C0"/>
          <w:sz w:val="16"/>
          <w:szCs w:val="16"/>
          <w:bdr w:val="none" w:sz="0" w:space="0" w:color="auto" w:frame="1"/>
        </w:rPr>
        <w:t>-10-</w:t>
      </w:r>
      <w:r w:rsidRPr="00D03F3E">
        <w:rPr>
          <w:rFonts w:ascii="Times New Roman" w:hAnsi="Times New Roman"/>
          <w:color w:val="0070C0"/>
          <w:sz w:val="16"/>
          <w:szCs w:val="16"/>
          <w:bdr w:val="none" w:sz="0" w:space="0" w:color="auto" w:frame="1"/>
          <w:lang w:val="en-US"/>
        </w:rPr>
        <w:t>RE </w:t>
      </w:r>
      <w:r w:rsidRPr="00D03F3E">
        <w:rPr>
          <w:rFonts w:ascii="Times New Roman" w:hAnsi="Times New Roman"/>
          <w:color w:val="0070C0"/>
          <w:sz w:val="16"/>
          <w:szCs w:val="16"/>
          <w:bdr w:val="none" w:sz="0" w:space="0" w:color="auto" w:frame="1"/>
        </w:rPr>
        <w:t>с мотором </w:t>
      </w:r>
      <w:r w:rsidRPr="00D03F3E">
        <w:rPr>
          <w:rFonts w:ascii="Times New Roman" w:hAnsi="Times New Roman"/>
          <w:color w:val="0070C0"/>
          <w:sz w:val="16"/>
          <w:szCs w:val="16"/>
          <w:bdr w:val="none" w:sz="0" w:space="0" w:color="auto" w:frame="1"/>
          <w:lang w:val="en-US"/>
        </w:rPr>
        <w:t>R</w:t>
      </w:r>
      <w:r w:rsidRPr="00D03F3E">
        <w:rPr>
          <w:rFonts w:ascii="Times New Roman" w:hAnsi="Times New Roman"/>
          <w:color w:val="0070C0"/>
          <w:sz w:val="16"/>
          <w:szCs w:val="16"/>
          <w:bdr w:val="none" w:sz="0" w:space="0" w:color="auto" w:frame="1"/>
        </w:rPr>
        <w:t>-2800-63</w:t>
      </w:r>
      <w:r w:rsidRPr="00D03F3E">
        <w:rPr>
          <w:rFonts w:ascii="Times New Roman" w:hAnsi="Times New Roman"/>
          <w:color w:val="0070C0"/>
          <w:sz w:val="16"/>
          <w:szCs w:val="16"/>
          <w:bdr w:val="none" w:sz="0" w:space="0" w:color="auto" w:frame="1"/>
          <w:lang w:val="en-US"/>
        </w:rPr>
        <w:t> </w:t>
      </w:r>
      <w:r w:rsidRPr="00D03F3E">
        <w:rPr>
          <w:rFonts w:ascii="Times New Roman" w:hAnsi="Times New Roman"/>
          <w:color w:val="0070C0"/>
          <w:sz w:val="16"/>
          <w:szCs w:val="16"/>
          <w:bdr w:val="none" w:sz="0" w:space="0" w:color="auto" w:frame="1"/>
        </w:rPr>
        <w:t>и турбонагнетателем С-23 (21511).</w:t>
      </w:r>
    </w:p>
    <w:p w14:paraId="2D50FAF2" w14:textId="77777777" w:rsidR="00282096" w:rsidRPr="00D03F3E" w:rsidRDefault="00282096" w:rsidP="00D03F3E">
      <w:pPr>
        <w:spacing w:after="0" w:line="240" w:lineRule="auto"/>
        <w:jc w:val="both"/>
        <w:rPr>
          <w:rFonts w:ascii="Times New Roman" w:hAnsi="Times New Roman"/>
          <w:color w:val="0070C0"/>
          <w:sz w:val="16"/>
          <w:szCs w:val="16"/>
        </w:rPr>
      </w:pPr>
    </w:p>
    <w:p w14:paraId="71325DB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группой С.П.К., созданной 8 января 1943, была выполнена компоновка проекта установки ЖРД на Пе-2.</w:t>
      </w:r>
    </w:p>
    <w:p w14:paraId="3442F30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14 марта 1943, согласно доклада С.П.К. от 18 октября 1943, рабочие чертежи установки, разрабатываемые с 1 февраля 1943, были закончены и к этому сроку спущены в цехи...</w:t>
      </w:r>
    </w:p>
    <w:p w14:paraId="0772259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...Прибыв 19/XI-1942 г. в Казань, я имел задание ознакомиться с работами, ведущимися по реактивным двигателям. ОКБ завода № 16 работало над созданием чегырехкамерного реактивного двигателя РД-1 с тягой 1200 кг на жидком топливе с питанием от автономно действующего турбонасосного агрегата для самолетов. Эта работа была построена таким образом, что вначале отрабатывалась секция РД-1 в виде одной камеры с тягой 300 кгс и системой питания от постороннего источника энергии (на стенде - от электромотора). Объем всей работы по РД-1 достаточно велик и технически труден, и потому первый ее этап - однокамерный двигатель с приводом - являлся наиболее реальным и близким к осуществлению. Одновременно простейшие подсчеты показывали, что целесообразна установка однокамерного РД-1 с тягой 300 кгс в качестве вспомогательного двигателя для самолета Пе-2 с приводом от авиамотора М-105...Конструкторские работы по АРУ выполнялись группой, организованной при ОКБ завода № 16 8/1 с.г. (12042).</w:t>
      </w:r>
    </w:p>
    <w:p w14:paraId="4118E7B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7E8430" w14:textId="77777777" w:rsidR="00157BCE" w:rsidRPr="00D03F3E" w:rsidRDefault="00157BC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у советского руково</w:t>
      </w:r>
      <w:r w:rsidRPr="00D03F3E">
        <w:rPr>
          <w:rFonts w:ascii="Times New Roman" w:hAnsi="Times New Roman"/>
          <w:color w:val="000000" w:themeColor="text1"/>
          <w:sz w:val="16"/>
          <w:szCs w:val="16"/>
        </w:rPr>
        <w:softHyphen/>
        <w:t>дства возникли оп</w:t>
      </w:r>
      <w:r w:rsidRPr="00D03F3E">
        <w:rPr>
          <w:rFonts w:ascii="Times New Roman" w:hAnsi="Times New Roman"/>
          <w:color w:val="000000" w:themeColor="text1"/>
          <w:sz w:val="16"/>
          <w:szCs w:val="16"/>
        </w:rPr>
        <w:softHyphen/>
        <w:t>ределенные сомне</w:t>
      </w:r>
      <w:r w:rsidRPr="00D03F3E">
        <w:rPr>
          <w:rFonts w:ascii="Times New Roman" w:hAnsi="Times New Roman"/>
          <w:color w:val="000000" w:themeColor="text1"/>
          <w:sz w:val="16"/>
          <w:szCs w:val="16"/>
        </w:rPr>
        <w:softHyphen/>
        <w:t>ния о целесообраз</w:t>
      </w:r>
      <w:r w:rsidRPr="00D03F3E">
        <w:rPr>
          <w:rFonts w:ascii="Times New Roman" w:hAnsi="Times New Roman"/>
          <w:color w:val="000000" w:themeColor="text1"/>
          <w:sz w:val="16"/>
          <w:szCs w:val="16"/>
        </w:rPr>
        <w:softHyphen/>
        <w:t>ности продолжения производственной деятельности авиа</w:t>
      </w:r>
      <w:r w:rsidRPr="00D03F3E">
        <w:rPr>
          <w:rFonts w:ascii="Times New Roman" w:hAnsi="Times New Roman"/>
          <w:color w:val="000000" w:themeColor="text1"/>
          <w:sz w:val="16"/>
          <w:szCs w:val="16"/>
        </w:rPr>
        <w:softHyphen/>
        <w:t>завода № 600 НКАП в Урумчи и о продолжении постройки нефтекомбината в Душаньцзы (15811).</w:t>
      </w:r>
    </w:p>
    <w:p w14:paraId="57A2196D" w14:textId="77777777" w:rsidR="00157BCE" w:rsidRPr="00D03F3E" w:rsidRDefault="00157BCE" w:rsidP="00D03F3E">
      <w:pPr>
        <w:spacing w:after="0" w:line="240" w:lineRule="auto"/>
        <w:jc w:val="both"/>
        <w:rPr>
          <w:rFonts w:ascii="Times New Roman" w:hAnsi="Times New Roman"/>
          <w:color w:val="000000" w:themeColor="text1"/>
          <w:sz w:val="16"/>
          <w:szCs w:val="16"/>
        </w:rPr>
      </w:pPr>
    </w:p>
    <w:p w14:paraId="00B64B56" w14:textId="77777777" w:rsidR="002C70B6" w:rsidRPr="00D03F3E" w:rsidRDefault="002C70B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В январе 1943 года начальник ОКБ-16 К.К. Глухарев был переведен в Центральное Артиллерийское Конструкторское Бюро В.Г. Грабина, выдвинув на свое место Александра Эммануиловича Нудельмана, ставшего до самой своей смерти бессменным руководителем ОКБ-16, а с 60-х годов КБ Точного Машиностроения. Заместителем Нудельмана стал конструктор-самоучка Александр Степанович Суранов. Именно в этот период принятая на вооружение пушка 11-П получила обозначение НС-37 в честь разработчиков Нудельмана и Суранова. К сожалению, истинные авторы системы, Таубин и Бабурин, числившиеся врагами народа, были надолго забыты.</w:t>
      </w:r>
    </w:p>
    <w:p w14:paraId="6C74C275" w14:textId="77777777" w:rsidR="002C70B6" w:rsidRPr="00D03F3E" w:rsidRDefault="002C70B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Как нередко бывало в советские времена, еще не испытанное орудие начали устанавливать на серийные самолеты. В 1942 году завод №21 построил 15 ЛаГГ-3 с пушками НС-37, получивших обозначение Тип 33. По сравнению с машинами, оснащенными орудиями Шпитального, самолеты получились значительно легче, в чем немалую роль сыграли и новшества, внедренные в последние серийные "ЛаГГи". В связи с переходом завода № 21 на выпуск Ла-5, последующее производство противотанковых ЛаГГ-3 осуществлялось в Тбилиси. Также пушками НС-37 вооружали последние ЛаГГ-3 Тип 38, ранее строившиеся с пушками Ш-37 (19170).</w:t>
      </w:r>
    </w:p>
    <w:p w14:paraId="565506C1" w14:textId="77777777" w:rsidR="002C70B6" w:rsidRPr="00D03F3E" w:rsidRDefault="002C70B6" w:rsidP="00D03F3E">
      <w:pPr>
        <w:pStyle w:val="rtejustify"/>
        <w:shd w:val="clear" w:color="auto" w:fill="FFFFFF"/>
        <w:spacing w:before="0" w:beforeAutospacing="0" w:after="0" w:afterAutospacing="0"/>
        <w:jc w:val="both"/>
        <w:textAlignment w:val="baseline"/>
        <w:rPr>
          <w:color w:val="000000" w:themeColor="text1"/>
          <w:sz w:val="16"/>
          <w:szCs w:val="16"/>
        </w:rPr>
      </w:pPr>
    </w:p>
    <w:p w14:paraId="16F0F00F" w14:textId="77777777" w:rsidR="00157BCE" w:rsidRPr="00D03F3E" w:rsidRDefault="00157BC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по приказу командующего ЧГВ ЗАКФ восемь 12-зарядных установок формировавшегося 4-го отдельного гвардейского горно-вьючного минометного дивизиона были переданы Черноморскому флоту и установлены на катерном тральщике КАТЩ-606 (бывший сейнер «Скумбрия»). Все 4 дивизиона горных «катюш» участвовали в сражении за Новороссийск. 3-й дивизион (командир – капитан Д. И. Ермольчик) успешно высадился на Малую Землю только со второго раза в ночь на 12 февраля 1943 г., развернув свои боевые порядки в районе совхоза «Мысхако». 2-й дивизион (командир – капитан С. И. Жуйко) высадился на Малой Земле в марте, заняв позиции на восточном склоне горы Мысхако (15796).</w:t>
      </w:r>
    </w:p>
    <w:p w14:paraId="3436300A" w14:textId="77777777" w:rsidR="00157BCE" w:rsidRPr="00D03F3E" w:rsidRDefault="00157BCE" w:rsidP="00D03F3E">
      <w:pPr>
        <w:spacing w:after="0" w:line="240" w:lineRule="auto"/>
        <w:jc w:val="both"/>
        <w:rPr>
          <w:rFonts w:ascii="Times New Roman" w:hAnsi="Times New Roman"/>
          <w:color w:val="000000" w:themeColor="text1"/>
          <w:sz w:val="16"/>
          <w:szCs w:val="16"/>
        </w:rPr>
      </w:pPr>
    </w:p>
    <w:p w14:paraId="1DDDB92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НКАП отчитывался за сдачу запальных, ударных и гальванических трубок, камор для реактивных снарядов М-8 и корпусов 76-мм артиллерийских снарядов и 50-мм ми</w:t>
      </w:r>
      <w:r w:rsidRPr="00D03F3E">
        <w:rPr>
          <w:rFonts w:ascii="Times New Roman" w:hAnsi="Times New Roman"/>
          <w:color w:val="000000" w:themeColor="text1"/>
          <w:sz w:val="16"/>
          <w:szCs w:val="16"/>
        </w:rPr>
        <w:softHyphen/>
        <w:t xml:space="preserve">номётных мин (РГАЭ. Ф. 8044. </w:t>
      </w:r>
      <w:r w:rsidRPr="00D03F3E">
        <w:rPr>
          <w:rFonts w:ascii="Times New Roman" w:hAnsi="Times New Roman"/>
          <w:color w:val="000000" w:themeColor="text1"/>
          <w:sz w:val="16"/>
          <w:szCs w:val="16"/>
          <w:lang w:val="en-US"/>
        </w:rPr>
        <w:t>On</w:t>
      </w:r>
      <w:r w:rsidRPr="00D03F3E">
        <w:rPr>
          <w:rFonts w:ascii="Times New Roman" w:hAnsi="Times New Roman"/>
          <w:color w:val="000000" w:themeColor="text1"/>
          <w:sz w:val="16"/>
          <w:szCs w:val="16"/>
        </w:rPr>
        <w:t>. 1. Д. 2877. Л. 78). Параллельно с продукцией военной, НКАП был загружен и выпуском продукции гражданской (12011).</w:t>
      </w:r>
    </w:p>
    <w:p w14:paraId="5E1454D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06E5B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прошли гос. испытания навигационной бомбы ННСАБ с СБ и По-2 (7453, 569).</w:t>
      </w:r>
    </w:p>
    <w:p w14:paraId="1CA766C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1E130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январе 1943 г. проходили госиспытания ННСАБ. В ходе их 15 авиабомб сбросили с самолетов СБ и По-2. Только в одном случае горение факела не наблюдалось, но видна была вспышка в момент падения. Время от начальной вспышки до появления устойчиво горящего факела составило от 0,5 до 2 мин., а продолжительность его горения - от 1 до 3,5 мин. При наличии угла отставания авиабомбы в 36-37° (при скорости носителя 160 км/ч - 32-34°) измерить угол сноса и путевую скорость </w:t>
      </w:r>
      <w:r w:rsidRPr="00D03F3E">
        <w:rPr>
          <w:rFonts w:ascii="Times New Roman" w:hAnsi="Times New Roman"/>
          <w:color w:val="000000" w:themeColor="text1"/>
          <w:sz w:val="16"/>
          <w:szCs w:val="16"/>
        </w:rPr>
        <w:lastRenderedPageBreak/>
        <w:t>самолета на прямом курсе можно было только в хороших метеоусловиях и при достаточной тренировке штурмана. В противном случае для определения необходимых данных приходилось выполнять специальный заход. Яркость свечения факела в начале горения была слабой, но затем усиливалась, так что при наблюдении через оптический визир прицела для бомбометания ОПБ-1 очаг огня виднелся отчетливо. Продолжительности горения факела вполне хватало для измерения требуемых параметров даже при необходимости выполнить специальный заход на световую точку.</w:t>
      </w:r>
    </w:p>
    <w:p w14:paraId="65CD5C6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толщине снежного покрова 25 - 30 см факел зарывался глубоко в снег и на время пропадал из поля зрения. По мере его горения снежная корка таяла, и свечение факела снова появлялось. В итоге испытатели пришли к выводу, что при снежном покрове толщиной более 10 см использовать ННСАБ невозможно, а при горении на земле факел опасен в пожарном отношении, что исключало применение ННСАБ на своей территории. Между тем проверить возможность использования ННСАБ в боевых условиях поручили одной из строевых частей авиации дальнего действия, отправив туда часть опытных образцов авиабомб.</w:t>
      </w:r>
    </w:p>
    <w:p w14:paraId="125F636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Результаты войсковых испытаний лишь подтвердили заключение по госиспытаниям ННСАБ. Следует отметить, что в данном случае испытатели чересчур “перебрали” со своими капризами, предъявив к конструкции боеприпаса взаимоисключающие претензии. Что поделать, жизнь - она и на войне - жизнь. Иногда случалось и такое, что кому-либо из молодых специалистов в ГК НИИ ВВС, не достигших еще зрелости и мудрости, необходимо было самоутвердиться, а для этого требовалось продемонстрировать принципиальность... Короче, в ГСКБ-47 можно было еще дорабатывать и улучшать конструкцию боеприпаса бесконечно, однако за неимением альтернативной разработки ННСАБ-2,5 приняли на вооружение со всеми недостатками, присвоив номер чертежа 3-01274 и индекс ВВС - 7-Ш-109 (7453).</w:t>
      </w:r>
    </w:p>
    <w:p w14:paraId="7074CA1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79E19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з-д № 84 выпустил и испытал ПС-84 № 1845408 с тремя внутренними бомбодержателями для 5х3 ФАБ-100: два параллельно за кабиной и одна в задней части грузовой кабины. Люки закрывались створками. Внешняя подвеска сохранялась без изменений. Мог брать до 2500. В феврале его предъявили на гос. испытания (3404, 11).</w:t>
      </w:r>
    </w:p>
    <w:p w14:paraId="1DD06D3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F9DCF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ВВС СССР на советско-германском фронте по численности превзошли германские ВВС (3688 машин против 3500). По темпам выпуска боевых самолетов отечествен</w:t>
      </w:r>
      <w:r w:rsidRPr="00D03F3E">
        <w:rPr>
          <w:rFonts w:ascii="Times New Roman" w:hAnsi="Times New Roman"/>
          <w:color w:val="000000" w:themeColor="text1"/>
          <w:sz w:val="16"/>
          <w:szCs w:val="16"/>
        </w:rPr>
        <w:softHyphen/>
        <w:t>ная авиапромышленность, несмотря на последствия эвакуации, к середине 1942 г. обогнала немецкую. Однако ни Ставка Верховного Главнокомандования, ни наркомат авиационной промышленности не спеши</w:t>
      </w:r>
      <w:r w:rsidRPr="00D03F3E">
        <w:rPr>
          <w:rFonts w:ascii="Times New Roman" w:hAnsi="Times New Roman"/>
          <w:color w:val="000000" w:themeColor="text1"/>
          <w:sz w:val="16"/>
          <w:szCs w:val="16"/>
        </w:rPr>
        <w:softHyphen/>
        <w:t>ли пересмотреть свою политику в отношении измене</w:t>
      </w:r>
      <w:r w:rsidRPr="00D03F3E">
        <w:rPr>
          <w:rFonts w:ascii="Times New Roman" w:hAnsi="Times New Roman"/>
          <w:color w:val="000000" w:themeColor="text1"/>
          <w:sz w:val="16"/>
          <w:szCs w:val="16"/>
        </w:rPr>
        <w:softHyphen/>
        <w:t>ния качественного состава техники ВВС. Любое, даже временное, сокращение темпов производства по-преж</w:t>
      </w:r>
      <w:r w:rsidRPr="00D03F3E">
        <w:rPr>
          <w:rFonts w:ascii="Times New Roman" w:hAnsi="Times New Roman"/>
          <w:color w:val="000000" w:themeColor="text1"/>
          <w:sz w:val="16"/>
          <w:szCs w:val="16"/>
        </w:rPr>
        <w:softHyphen/>
        <w:t>нему встречалось «в штыки». Для постройки И-185 оставался один путь: задейство</w:t>
      </w:r>
      <w:r w:rsidRPr="00D03F3E">
        <w:rPr>
          <w:rFonts w:ascii="Times New Roman" w:hAnsi="Times New Roman"/>
          <w:color w:val="000000" w:themeColor="text1"/>
          <w:sz w:val="16"/>
          <w:szCs w:val="16"/>
        </w:rPr>
        <w:softHyphen/>
        <w:t>вать предприятия, не занятые серией, жизнь на которых замерла во время эвакуации и которые только сейчас на</w:t>
      </w:r>
      <w:r w:rsidRPr="00D03F3E">
        <w:rPr>
          <w:rFonts w:ascii="Times New Roman" w:hAnsi="Times New Roman"/>
          <w:color w:val="000000" w:themeColor="text1"/>
          <w:sz w:val="16"/>
          <w:szCs w:val="16"/>
        </w:rPr>
        <w:softHyphen/>
        <w:t>чали возрождаться. К числу подобных относился и завод № 81 в Тушино. Именно его предложили для разверты</w:t>
      </w:r>
      <w:r w:rsidRPr="00D03F3E">
        <w:rPr>
          <w:rFonts w:ascii="Times New Roman" w:hAnsi="Times New Roman"/>
          <w:color w:val="000000" w:themeColor="text1"/>
          <w:sz w:val="16"/>
          <w:szCs w:val="16"/>
        </w:rPr>
        <w:softHyphen/>
        <w:t>вания производства И-185. Серийные машины должны были получить новое обозначение - По-15 (10667). Но тут стали играть роль другие факторы. Выпуск И-185, превосходившего по летным характеристикам другие истребители, в итоге ставил вопрос о сокращении их производства, что по ряду причин (боязни конкурен</w:t>
      </w:r>
      <w:r w:rsidRPr="00D03F3E">
        <w:rPr>
          <w:rFonts w:ascii="Times New Roman" w:hAnsi="Times New Roman"/>
          <w:color w:val="000000" w:themeColor="text1"/>
          <w:sz w:val="16"/>
          <w:szCs w:val="16"/>
        </w:rPr>
        <w:softHyphen/>
        <w:t>ции, снижение на некоторое время объемов выпуска бо</w:t>
      </w:r>
      <w:r w:rsidRPr="00D03F3E">
        <w:rPr>
          <w:rFonts w:ascii="Times New Roman" w:hAnsi="Times New Roman"/>
          <w:color w:val="000000" w:themeColor="text1"/>
          <w:sz w:val="16"/>
          <w:szCs w:val="16"/>
        </w:rPr>
        <w:softHyphen/>
        <w:t>евых самолетов и др.) не устраивало ни определенные круги в руководстве наркомата и ВВС, ни, естественно, главных конструкторов. Поэтому продолжалась «мы</w:t>
      </w:r>
      <w:r w:rsidRPr="00D03F3E">
        <w:rPr>
          <w:rFonts w:ascii="Times New Roman" w:hAnsi="Times New Roman"/>
          <w:color w:val="000000" w:themeColor="text1"/>
          <w:sz w:val="16"/>
          <w:szCs w:val="16"/>
        </w:rPr>
        <w:softHyphen/>
        <w:t>шья беготня около самолета», как об этом писал с горь</w:t>
      </w:r>
      <w:r w:rsidRPr="00D03F3E">
        <w:rPr>
          <w:rFonts w:ascii="Times New Roman" w:hAnsi="Times New Roman"/>
          <w:color w:val="000000" w:themeColor="text1"/>
          <w:sz w:val="16"/>
          <w:szCs w:val="16"/>
        </w:rPr>
        <w:softHyphen/>
        <w:t>кой усмешкой Николай Николаевич. Со своей стороны он старался сделать все возможное, чтобы сдвинуть дело с мертвой точки. Его переписка с Н.А.Жемчужиным на</w:t>
      </w:r>
      <w:r w:rsidRPr="00D03F3E">
        <w:rPr>
          <w:rFonts w:ascii="Times New Roman" w:hAnsi="Times New Roman"/>
          <w:color w:val="000000" w:themeColor="text1"/>
          <w:sz w:val="16"/>
          <w:szCs w:val="16"/>
        </w:rPr>
        <w:softHyphen/>
        <w:t>глядно отражает суть происходившего в начале 1943 г. (10667).</w:t>
      </w:r>
    </w:p>
    <w:p w14:paraId="0FA0079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4F12DB"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3993127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38D7F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1943 года на заводе № 324 начался выпуск осколочно-фугасных снарядов средних калибров.</w:t>
      </w:r>
    </w:p>
    <w:p w14:paraId="51C306E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Киров, п/я 423</w:t>
      </w:r>
    </w:p>
    <w:p w14:paraId="41ECF81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–Галушко В.Л. (10035).</w:t>
      </w:r>
    </w:p>
    <w:p w14:paraId="3AF6E70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09820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противотанковые средства фашистской ар</w:t>
      </w:r>
      <w:r w:rsidRPr="00D03F3E">
        <w:rPr>
          <w:rFonts w:ascii="Times New Roman" w:hAnsi="Times New Roman"/>
          <w:color w:val="000000" w:themeColor="text1"/>
          <w:sz w:val="16"/>
          <w:szCs w:val="16"/>
        </w:rPr>
        <w:softHyphen/>
        <w:t>мии (в порядке важности) перечислялись таким образом:</w:t>
      </w:r>
    </w:p>
    <w:p w14:paraId="60CE573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«Перечень главнейших бронебойных средств германской фашистской армии:</w:t>
      </w:r>
    </w:p>
    <w:p w14:paraId="66F5429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Бронебойные и подкалиберные 50-мм снаряды противо</w:t>
      </w:r>
      <w:r w:rsidRPr="00D03F3E">
        <w:rPr>
          <w:rFonts w:ascii="Times New Roman" w:hAnsi="Times New Roman"/>
          <w:color w:val="000000" w:themeColor="text1"/>
          <w:sz w:val="16"/>
          <w:szCs w:val="16"/>
        </w:rPr>
        <w:softHyphen/>
        <w:t>танковых и танковых пушек с длиной ствола 60- 70 калибров.</w:t>
      </w:r>
    </w:p>
    <w:p w14:paraId="6A091BC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Бронебойные и подкалиберные 37-мм снаряды противо</w:t>
      </w:r>
      <w:r w:rsidRPr="00D03F3E">
        <w:rPr>
          <w:rFonts w:ascii="Times New Roman" w:hAnsi="Times New Roman"/>
          <w:color w:val="000000" w:themeColor="text1"/>
          <w:sz w:val="16"/>
          <w:szCs w:val="16"/>
        </w:rPr>
        <w:softHyphen/>
        <w:t>танковых и танковых пушек с длиной ствола 50 калибров.</w:t>
      </w:r>
    </w:p>
    <w:p w14:paraId="7A7BC1F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Бронебойные 75-мм снаряды противотанковых и тан</w:t>
      </w:r>
      <w:r w:rsidRPr="00D03F3E">
        <w:rPr>
          <w:rFonts w:ascii="Times New Roman" w:hAnsi="Times New Roman"/>
          <w:color w:val="000000" w:themeColor="text1"/>
          <w:sz w:val="16"/>
          <w:szCs w:val="16"/>
        </w:rPr>
        <w:softHyphen/>
        <w:t>ковых пушек с длиной ствола 40-45 калибров.</w:t>
      </w:r>
    </w:p>
    <w:p w14:paraId="78CBFEC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Бронебойные и подкалиберные 76,2-мм снаряды проти</w:t>
      </w:r>
      <w:r w:rsidRPr="00D03F3E">
        <w:rPr>
          <w:rFonts w:ascii="Times New Roman" w:hAnsi="Times New Roman"/>
          <w:color w:val="000000" w:themeColor="text1"/>
          <w:sz w:val="16"/>
          <w:szCs w:val="16"/>
        </w:rPr>
        <w:softHyphen/>
        <w:t>вотанковых и танковых пушек с длиной ствола 55 калибров.</w:t>
      </w:r>
    </w:p>
    <w:p w14:paraId="44FB375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88-мм и 105-мм бронебойные снаряды танковых, само</w:t>
      </w:r>
      <w:r w:rsidRPr="00D03F3E">
        <w:rPr>
          <w:rFonts w:ascii="Times New Roman" w:hAnsi="Times New Roman"/>
          <w:color w:val="000000" w:themeColor="text1"/>
          <w:sz w:val="16"/>
          <w:szCs w:val="16"/>
        </w:rPr>
        <w:softHyphen/>
        <w:t>ходных, зенитных и корпусных орудий</w:t>
      </w:r>
    </w:p>
    <w:p w14:paraId="748622D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Прочие малокалиберные 20-47-мм германские и тро</w:t>
      </w:r>
      <w:r w:rsidRPr="00D03F3E">
        <w:rPr>
          <w:rFonts w:ascii="Times New Roman" w:hAnsi="Times New Roman"/>
          <w:color w:val="000000" w:themeColor="text1"/>
          <w:sz w:val="16"/>
          <w:szCs w:val="16"/>
        </w:rPr>
        <w:softHyphen/>
        <w:t>фейные противотанковые орудия...*</w:t>
      </w:r>
    </w:p>
    <w:p w14:paraId="58F2D0E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в конце перечня делался такой прогноз:</w:t>
      </w:r>
    </w:p>
    <w:p w14:paraId="7645A04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концу тек. года можно ожидать повышение роли круп</w:t>
      </w:r>
      <w:r w:rsidRPr="00D03F3E">
        <w:rPr>
          <w:rFonts w:ascii="Times New Roman" w:hAnsi="Times New Roman"/>
          <w:color w:val="000000" w:themeColor="text1"/>
          <w:sz w:val="16"/>
          <w:szCs w:val="16"/>
        </w:rPr>
        <w:softHyphen/>
        <w:t>нокалиберных танковых и противотанковых пушек, так как увеличение калибра выгодно не только с точки зрения лучшей пробиваемости, но также лучшего разрушительного дейст</w:t>
      </w:r>
      <w:r w:rsidRPr="00D03F3E">
        <w:rPr>
          <w:rFonts w:ascii="Times New Roman" w:hAnsi="Times New Roman"/>
          <w:color w:val="000000" w:themeColor="text1"/>
          <w:sz w:val="16"/>
          <w:szCs w:val="16"/>
        </w:rPr>
        <w:softHyphen/>
        <w:t>вия снаряда по укреплению, или живой силе... Однако, роль 50-мм орудий, останется, вероятно, главенствующей...»</w:t>
      </w:r>
    </w:p>
    <w:p w14:paraId="6823E7D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Видимо, исходя из этого или подобного прогноза и составлялся план усиления броневой защиты отечествен</w:t>
      </w:r>
      <w:r w:rsidRPr="00D03F3E">
        <w:rPr>
          <w:rFonts w:ascii="Times New Roman" w:hAnsi="Times New Roman"/>
          <w:color w:val="000000" w:themeColor="text1"/>
          <w:sz w:val="16"/>
          <w:szCs w:val="16"/>
        </w:rPr>
        <w:softHyphen/>
        <w:t>ных танков, которое следовало осуществить в начале — се</w:t>
      </w:r>
      <w:r w:rsidRPr="00D03F3E">
        <w:rPr>
          <w:rFonts w:ascii="Times New Roman" w:hAnsi="Times New Roman"/>
          <w:color w:val="000000" w:themeColor="text1"/>
          <w:sz w:val="16"/>
          <w:szCs w:val="16"/>
        </w:rPr>
        <w:softHyphen/>
        <w:t>редине 1943 г. (11135).</w:t>
      </w:r>
    </w:p>
    <w:p w14:paraId="448207B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6F8EF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года на заводе № 172 было начато валовое производство 45-мм ПТП М-42 (3861).</w:t>
      </w:r>
    </w:p>
    <w:p w14:paraId="11CC612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B7598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года были начаты работы над 85-мм танковой пушкой Д-5 под руководством Петрова. В пушке был использован ствол с баллистикой 52К, люльку и ряд других элементов взяли от опытной 122-мм танковой гаубицы У-9. Пушка Д-5 выпускалась в двух вариантах: танковом Д-5Т и самоходном Д-5С (иногда их называли Д-5С-85) (3861).</w:t>
      </w:r>
    </w:p>
    <w:p w14:paraId="5CF2536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767B9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года состоялось решение Правительства о вынесении с территории завода № 80 производства снаряжения порохами реактивных снарядов.</w:t>
      </w:r>
    </w:p>
    <w:p w14:paraId="776F721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решению ГКО для этого производства было предоставлено ранее принадлежавшая заводу № 112 промплощадка и складской корпус в Горьком – Сормово.</w:t>
      </w:r>
    </w:p>
    <w:p w14:paraId="0979E03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структурном отношении производство до 1 сентября входило в состав завода № 80 как филиал, а с 1 сентября по решению Правительства выделено в самостоятельный завод № 105 (10221).</w:t>
      </w:r>
    </w:p>
    <w:p w14:paraId="239A4B8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4F8B4C" w14:textId="77777777" w:rsidR="001266A9" w:rsidRPr="00D03F3E" w:rsidRDefault="001266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Январь 1943 г. из ДОНЕСЕНИЯ В ЦК ВКП(б) И.В. СТАЛИНУ НАРОДНОГО КОМИССАРА ПО СТРОИТЕЛЬСТВУ С.З. ГИНЗБУРГА И СЕКРЕТАРЯ НОВОСИБИРСКОГО ОБКОМА ВКП(б) М.В. КУЛАГИНА О СТРОИТЕЛЬСТВЕ И ВОССТАНОВЛЕНИИ ЧЕТЫРЕХ ОБОРОННЫХ ЗАВОДОВ В НОВОСИБИРСКЕ</w:t>
      </w:r>
    </w:p>
    <w:p w14:paraId="139FD0FB" w14:textId="77777777" w:rsidR="001266A9" w:rsidRPr="00D03F3E" w:rsidRDefault="001266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товарищу Сталину</w:t>
      </w:r>
    </w:p>
    <w:p w14:paraId="7520F616" w14:textId="77777777" w:rsidR="001266A9" w:rsidRPr="00D03F3E" w:rsidRDefault="001266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Строители Наркомстроя в Новосибирске успешно справились с серьезными задачами по строительству и восстановлению четырех оборонных заводов. Скоростными методами в течение 80 дней построен и восстановлен завод № 171 Нарком цвет мета (Главзолото). За успешную эксплуатацию завода правительство наградило лучших работников этого завода орденами и медалями Союза ССР. Прибывший в декабре 1941 года в Новосибирск из Воронежа завод Наркомата электропромышленности «Электросигнал» (ныне завод № 590) был восстановлен в короткий срок и в феврале 1942 года начал давать радиоаппараты для танков и самолетов. Завод в июне получил переходящее знамя Государственного Комитета Обороны. Построены и восстановлены заводы № 512 и № 65 Наркомата боеприпасов (ныне завод № 564). С декабря прошлого года завод дает продукцию фронту.</w:t>
      </w:r>
    </w:p>
    <w:p w14:paraId="0C8DA015" w14:textId="77777777" w:rsidR="001266A9" w:rsidRPr="00D03F3E" w:rsidRDefault="001266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сжатые сроки построен и смонтирован завод № 520 (Оловозавод) Наркомцветмета. В декабре был пущен первый цех, в настоящее время завод работает на полную мощность, перевыполняя план. Группа работников по эксплуатации завода отмечена правительственными наградами.</w:t>
      </w:r>
    </w:p>
    <w:p w14:paraId="3043034C" w14:textId="77777777" w:rsidR="001266A9" w:rsidRPr="00D03F3E" w:rsidRDefault="001266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Эти заводы строились и монтировались в условиях сибирской зимы. Строители Наркомстроя в Новосибирске показали хорошие образцы работы. Особо отличившихся на строительстве и монтаже заводов № 171, № 520, № 564 и N° 590 рабочих и инженерно-технических работников Наркомстроя в Новосибирске просим наградить орденами и медалями Союза ССР.</w:t>
      </w:r>
    </w:p>
    <w:p w14:paraId="15E240E5" w14:textId="77777777" w:rsidR="001266A9" w:rsidRPr="00D03F3E" w:rsidRDefault="001266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Народный комиссар по строительству Гинзбург</w:t>
      </w:r>
    </w:p>
    <w:p w14:paraId="23E05335" w14:textId="77777777" w:rsidR="001266A9" w:rsidRPr="00D03F3E" w:rsidRDefault="001266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Секретарь Новосибирского обкома ВКП(б) Кулагин</w:t>
      </w:r>
    </w:p>
    <w:p w14:paraId="6FE4CCB3" w14:textId="77777777" w:rsidR="001266A9" w:rsidRPr="00D03F3E" w:rsidRDefault="001266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ГАНО. Ф. П-4. Оп. 6. Д. 354. Л. 239. Подлинник (12193).</w:t>
      </w:r>
    </w:p>
    <w:p w14:paraId="378DF4ED" w14:textId="77777777" w:rsidR="001266A9" w:rsidRPr="00D03F3E" w:rsidRDefault="001266A9" w:rsidP="00D03F3E">
      <w:pPr>
        <w:spacing w:after="0" w:line="240" w:lineRule="auto"/>
        <w:jc w:val="both"/>
        <w:rPr>
          <w:rFonts w:ascii="Times New Roman" w:hAnsi="Times New Roman"/>
          <w:color w:val="000000" w:themeColor="text1"/>
          <w:sz w:val="16"/>
          <w:szCs w:val="16"/>
        </w:rPr>
      </w:pPr>
    </w:p>
    <w:p w14:paraId="5BF9F25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опытный образец танка с ракетным оружи</w:t>
      </w:r>
      <w:r w:rsidRPr="00D03F3E">
        <w:rPr>
          <w:rFonts w:ascii="Times New Roman" w:hAnsi="Times New Roman"/>
          <w:color w:val="000000" w:themeColor="text1"/>
          <w:sz w:val="16"/>
          <w:szCs w:val="16"/>
        </w:rPr>
        <w:softHyphen/>
        <w:t>ем, изготовленный на заводе № 100, был отправлен для испытаний на Кубинку. Смонтированная на танке КВ-1 система ракет</w:t>
      </w:r>
      <w:r w:rsidRPr="00D03F3E">
        <w:rPr>
          <w:rFonts w:ascii="Times New Roman" w:hAnsi="Times New Roman"/>
          <w:color w:val="000000" w:themeColor="text1"/>
          <w:sz w:val="16"/>
          <w:szCs w:val="16"/>
        </w:rPr>
        <w:softHyphen/>
        <w:t>ного оружия КАРСТ-1 (короткая артиллерийская ракетная система танков) была рекомендована для серийного производства и установки на танк КВ-1 С. Применение КАРСТ-1 на танках задумывалось с целью придать танковым соединениям мощную артиллерию сопровождения, которая могла бы использоваться как для самостоятельной артилле</w:t>
      </w:r>
      <w:r w:rsidRPr="00D03F3E">
        <w:rPr>
          <w:rFonts w:ascii="Times New Roman" w:hAnsi="Times New Roman"/>
          <w:color w:val="000000" w:themeColor="text1"/>
          <w:sz w:val="16"/>
          <w:szCs w:val="16"/>
        </w:rPr>
        <w:softHyphen/>
        <w:t xml:space="preserve">рийской подготовки, так и в танковом бою на дальностях стрельбы 600 - 1800 м. Однако эти опытные работы во время войны не получили дальнейшего развития. На основе КАРСТ-1 в январе 1943 г. в академии на кафедре артиллерии был выполнен проект установки танковой </w:t>
      </w:r>
      <w:r w:rsidRPr="00D03F3E">
        <w:rPr>
          <w:rFonts w:ascii="Times New Roman" w:hAnsi="Times New Roman"/>
          <w:color w:val="000000" w:themeColor="text1"/>
          <w:sz w:val="16"/>
          <w:szCs w:val="16"/>
        </w:rPr>
        <w:lastRenderedPageBreak/>
        <w:t>ар</w:t>
      </w:r>
      <w:r w:rsidRPr="00D03F3E">
        <w:rPr>
          <w:rFonts w:ascii="Times New Roman" w:hAnsi="Times New Roman"/>
          <w:color w:val="000000" w:themeColor="text1"/>
          <w:sz w:val="16"/>
          <w:szCs w:val="16"/>
        </w:rPr>
        <w:softHyphen/>
        <w:t>тиллерийской ракетной системы (ТАРС) на танк Т-34. Несмотря на то, что проект ТАРС не был реализован в серийном производстве танков, работы по применению на танках неуправляемых ракет не пропали да</w:t>
      </w:r>
      <w:r w:rsidRPr="00D03F3E">
        <w:rPr>
          <w:rFonts w:ascii="Times New Roman" w:hAnsi="Times New Roman"/>
          <w:color w:val="000000" w:themeColor="text1"/>
          <w:sz w:val="16"/>
          <w:szCs w:val="16"/>
        </w:rPr>
        <w:softHyphen/>
        <w:t>ром, и полученный опыт был использован при создании в послевоенные годы танков с ракетным оружием (10703).</w:t>
      </w:r>
    </w:p>
    <w:p w14:paraId="1ED340C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68390E" w14:textId="77777777" w:rsidR="00157BCE" w:rsidRPr="00D03F3E" w:rsidRDefault="00157BCE"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В январе 1943 года выпуск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составил всего 92 машины - ос</w:t>
      </w:r>
      <w:r w:rsidRPr="00D03F3E">
        <w:rPr>
          <w:rFonts w:ascii="Times New Roman" w:cs="Times New Roman"/>
          <w:color w:val="000000" w:themeColor="text1"/>
          <w:spacing w:val="0"/>
        </w:rPr>
        <w:softHyphen/>
        <w:t>новной проблемой этого стало недостаточ</w:t>
      </w:r>
      <w:r w:rsidRPr="00D03F3E">
        <w:rPr>
          <w:rFonts w:ascii="Times New Roman" w:cs="Times New Roman"/>
          <w:color w:val="000000" w:themeColor="text1"/>
          <w:spacing w:val="0"/>
        </w:rPr>
        <w:softHyphen/>
        <w:t>ное обеспечение ЧКЗ бронекорпусами с за</w:t>
      </w:r>
      <w:r w:rsidRPr="00D03F3E">
        <w:rPr>
          <w:rFonts w:ascii="Times New Roman" w:cs="Times New Roman"/>
          <w:color w:val="000000" w:themeColor="text1"/>
          <w:spacing w:val="0"/>
        </w:rPr>
        <w:softHyphen/>
        <w:t>вода № 200:</w:t>
      </w:r>
    </w:p>
    <w:p w14:paraId="1E619B1D" w14:textId="77777777" w:rsidR="00157BCE" w:rsidRPr="00D03F3E" w:rsidRDefault="00157BCE"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«Заданная программа заводу № 200 на ян</w:t>
      </w:r>
      <w:r w:rsidRPr="00D03F3E">
        <w:rPr>
          <w:rFonts w:ascii="Times New Roman" w:cs="Times New Roman"/>
          <w:color w:val="000000" w:themeColor="text1"/>
          <w:spacing w:val="0"/>
        </w:rPr>
        <w:softHyphen/>
        <w:t>варь 1943 года не выполнена. Было задано из</w:t>
      </w:r>
      <w:r w:rsidRPr="00D03F3E">
        <w:rPr>
          <w:rFonts w:ascii="Times New Roman" w:cs="Times New Roman"/>
          <w:color w:val="000000" w:themeColor="text1"/>
          <w:spacing w:val="0"/>
        </w:rPr>
        <w:softHyphen/>
        <w:t xml:space="preserve">готовление 180 комплектов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изготов</w:t>
      </w:r>
      <w:r w:rsidRPr="00D03F3E">
        <w:rPr>
          <w:rFonts w:ascii="Times New Roman" w:cs="Times New Roman"/>
          <w:color w:val="000000" w:themeColor="text1"/>
          <w:spacing w:val="0"/>
        </w:rPr>
        <w:softHyphen/>
        <w:t>лено и принято 120 комплектов, что состав</w:t>
      </w:r>
      <w:r w:rsidRPr="00D03F3E">
        <w:rPr>
          <w:rFonts w:ascii="Times New Roman" w:cs="Times New Roman"/>
          <w:color w:val="000000" w:themeColor="text1"/>
          <w:spacing w:val="0"/>
        </w:rPr>
        <w:softHyphen/>
        <w:t>ляет 66,6%...</w:t>
      </w:r>
    </w:p>
    <w:p w14:paraId="218876E3" w14:textId="77777777" w:rsidR="00157BCE" w:rsidRPr="00D03F3E" w:rsidRDefault="00157BCE"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Коллектив завода еще недостаточно мо</w:t>
      </w:r>
      <w:r w:rsidRPr="00D03F3E">
        <w:rPr>
          <w:rFonts w:ascii="Times New Roman" w:cs="Times New Roman"/>
          <w:color w:val="000000" w:themeColor="text1"/>
          <w:spacing w:val="0"/>
        </w:rPr>
        <w:softHyphen/>
        <w:t>билизован на более напряженную работу. В связи с успешным наступлением Красной Армии и освобождением ряда городов и об</w:t>
      </w:r>
      <w:r w:rsidRPr="00D03F3E">
        <w:rPr>
          <w:rFonts w:ascii="Times New Roman" w:cs="Times New Roman"/>
          <w:color w:val="000000" w:themeColor="text1"/>
          <w:spacing w:val="0"/>
        </w:rPr>
        <w:softHyphen/>
        <w:t>ластей от немецкой нечисти, и прорыва бло</w:t>
      </w:r>
      <w:r w:rsidRPr="00D03F3E">
        <w:rPr>
          <w:rFonts w:ascii="Times New Roman" w:cs="Times New Roman"/>
          <w:color w:val="000000" w:themeColor="text1"/>
          <w:spacing w:val="0"/>
        </w:rPr>
        <w:softHyphen/>
        <w:t>кады Ленинграда, у ряда работников, эваку</w:t>
      </w:r>
      <w:r w:rsidRPr="00D03F3E">
        <w:rPr>
          <w:rFonts w:ascii="Times New Roman" w:cs="Times New Roman"/>
          <w:color w:val="000000" w:themeColor="text1"/>
          <w:spacing w:val="0"/>
        </w:rPr>
        <w:softHyphen/>
        <w:t>ированных из Ленинграда и других местно</w:t>
      </w:r>
      <w:r w:rsidRPr="00D03F3E">
        <w:rPr>
          <w:rFonts w:ascii="Times New Roman" w:cs="Times New Roman"/>
          <w:color w:val="000000" w:themeColor="text1"/>
          <w:spacing w:val="0"/>
        </w:rPr>
        <w:softHyphen/>
        <w:t>стей, появилось «чемоданное» настроение возвращения в родные края. Разговоры о воз</w:t>
      </w:r>
      <w:r w:rsidRPr="00D03F3E">
        <w:rPr>
          <w:rFonts w:ascii="Times New Roman" w:cs="Times New Roman"/>
          <w:color w:val="000000" w:themeColor="text1"/>
          <w:spacing w:val="0"/>
        </w:rPr>
        <w:softHyphen/>
        <w:t>вращении сильно бьют по производительно</w:t>
      </w:r>
      <w:r w:rsidRPr="00D03F3E">
        <w:rPr>
          <w:rFonts w:ascii="Times New Roman" w:cs="Times New Roman"/>
          <w:color w:val="000000" w:themeColor="text1"/>
          <w:spacing w:val="0"/>
        </w:rPr>
        <w:softHyphen/>
        <w:t>сти труда и отвлекают от напряженной рабо</w:t>
      </w:r>
      <w:r w:rsidRPr="00D03F3E">
        <w:rPr>
          <w:rFonts w:ascii="Times New Roman" w:cs="Times New Roman"/>
          <w:color w:val="000000" w:themeColor="text1"/>
          <w:spacing w:val="0"/>
        </w:rPr>
        <w:softHyphen/>
        <w:t>ты в помощь фронту».</w:t>
      </w:r>
    </w:p>
    <w:p w14:paraId="0B45A3A8" w14:textId="77777777" w:rsidR="00157BCE" w:rsidRPr="00D03F3E" w:rsidRDefault="00157BCE"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Еще одной причиной невыполнения плана по бронедеталям для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на заводе № 200 являлось недостаточное обеспечение пред</w:t>
      </w:r>
      <w:r w:rsidRPr="00D03F3E">
        <w:rPr>
          <w:rFonts w:ascii="Times New Roman" w:cs="Times New Roman"/>
          <w:color w:val="000000" w:themeColor="text1"/>
          <w:spacing w:val="0"/>
        </w:rPr>
        <w:softHyphen/>
        <w:t>приятия топливом. В отчете об этом говори</w:t>
      </w:r>
      <w:r w:rsidRPr="00D03F3E">
        <w:rPr>
          <w:rFonts w:ascii="Times New Roman" w:cs="Times New Roman"/>
          <w:color w:val="000000" w:themeColor="text1"/>
          <w:spacing w:val="0"/>
        </w:rPr>
        <w:softHyphen/>
        <w:t>лось следующее:</w:t>
      </w:r>
    </w:p>
    <w:p w14:paraId="09A4188F" w14:textId="77777777" w:rsidR="00157BCE" w:rsidRPr="00D03F3E" w:rsidRDefault="00157BCE"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«Мартеновский цех (цех № 1) — было за</w:t>
      </w:r>
      <w:r w:rsidRPr="00D03F3E">
        <w:rPr>
          <w:rFonts w:ascii="Times New Roman" w:cs="Times New Roman"/>
          <w:color w:val="000000" w:themeColor="text1"/>
          <w:spacing w:val="0"/>
        </w:rPr>
        <w:softHyphen/>
        <w:t>дано отлить 203 комплекта башен и других литых деталей, отлито 87 (46,5%) из них 8 — брак.</w:t>
      </w:r>
    </w:p>
    <w:p w14:paraId="774EE616" w14:textId="77777777" w:rsidR="00157BCE" w:rsidRPr="00D03F3E" w:rsidRDefault="00157BCE"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Из имевшихся 4 мартеновских печей рабо</w:t>
      </w:r>
      <w:r w:rsidRPr="00D03F3E">
        <w:rPr>
          <w:rFonts w:ascii="Times New Roman" w:cs="Times New Roman"/>
          <w:color w:val="000000" w:themeColor="text1"/>
          <w:spacing w:val="0"/>
        </w:rPr>
        <w:softHyphen/>
        <w:t>тала одна, вторая простояла 50% фонда вре</w:t>
      </w:r>
      <w:r w:rsidRPr="00D03F3E">
        <w:rPr>
          <w:rFonts w:ascii="Times New Roman" w:cs="Times New Roman"/>
          <w:color w:val="000000" w:themeColor="text1"/>
          <w:spacing w:val="0"/>
        </w:rPr>
        <w:softHyphen/>
        <w:t>мени из-за отсутствия чугуна и мазута. По той же причине две другие печи простаива</w:t>
      </w:r>
      <w:r w:rsidRPr="00D03F3E">
        <w:rPr>
          <w:rFonts w:ascii="Times New Roman" w:cs="Times New Roman"/>
          <w:color w:val="000000" w:themeColor="text1"/>
          <w:spacing w:val="0"/>
        </w:rPr>
        <w:softHyphen/>
        <w:t>ли полностью.</w:t>
      </w:r>
    </w:p>
    <w:p w14:paraId="28DDC66A" w14:textId="77777777" w:rsidR="00157BCE" w:rsidRPr="00D03F3E" w:rsidRDefault="00157BCE"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Цех № 8 (термопрессовый) - изготовлено 116 комплектов деталей КВ-1С, что состав</w:t>
      </w:r>
      <w:r w:rsidRPr="00D03F3E">
        <w:rPr>
          <w:rFonts w:ascii="Times New Roman" w:cs="Times New Roman"/>
          <w:color w:val="000000" w:themeColor="text1"/>
          <w:spacing w:val="0"/>
        </w:rPr>
        <w:softHyphen/>
        <w:t>ляет 54,3% к плану товарного выпуска.</w:t>
      </w:r>
    </w:p>
    <w:p w14:paraId="5F11A40D" w14:textId="77777777" w:rsidR="00157BCE" w:rsidRPr="00D03F3E" w:rsidRDefault="00157BC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Высокий процент простоя кузнечно-прес- сового и термического оборудования объяс</w:t>
      </w:r>
    </w:p>
    <w:p w14:paraId="42CF74DE" w14:textId="77777777" w:rsidR="00157BCE" w:rsidRPr="00D03F3E" w:rsidRDefault="00157BCE"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объяс</w:t>
      </w:r>
      <w:r w:rsidRPr="00D03F3E">
        <w:rPr>
          <w:rFonts w:ascii="Times New Roman" w:cs="Times New Roman"/>
          <w:color w:val="000000" w:themeColor="text1"/>
          <w:spacing w:val="0"/>
        </w:rPr>
        <w:softHyphen/>
        <w:t>няется ограничением электроэнергии, отсут</w:t>
      </w:r>
      <w:r w:rsidRPr="00D03F3E">
        <w:rPr>
          <w:rFonts w:ascii="Times New Roman" w:cs="Times New Roman"/>
          <w:color w:val="000000" w:themeColor="text1"/>
          <w:spacing w:val="0"/>
        </w:rPr>
        <w:softHyphen/>
        <w:t>ствием пара высокого давления, недостатком топлива и плохой работой транспорта.</w:t>
      </w:r>
    </w:p>
    <w:p w14:paraId="2BC342F0" w14:textId="77777777" w:rsidR="00157BCE" w:rsidRPr="00D03F3E" w:rsidRDefault="00157BCE"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Цех № 6 (заготовительный) — выпустил 113 комплектов или 56,5% плана, термически обработал 137 комплектов или 68,5%.</w:t>
      </w:r>
    </w:p>
    <w:p w14:paraId="7CEBC64D" w14:textId="77777777" w:rsidR="00157BCE" w:rsidRPr="00D03F3E" w:rsidRDefault="00157BCE"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Простой огнерезного участка достиг 44,4% общего времени из-за отсутствия кислоро</w:t>
      </w:r>
      <w:r w:rsidRPr="00D03F3E">
        <w:rPr>
          <w:rFonts w:ascii="Times New Roman" w:cs="Times New Roman"/>
          <w:color w:val="000000" w:themeColor="text1"/>
          <w:spacing w:val="0"/>
        </w:rPr>
        <w:softHyphen/>
        <w:t>да и мазута.</w:t>
      </w:r>
    </w:p>
    <w:p w14:paraId="7C23855C" w14:textId="77777777" w:rsidR="00157BCE" w:rsidRPr="00D03F3E" w:rsidRDefault="00157BCE"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Такое же положение и по другим цехам за</w:t>
      </w:r>
      <w:r w:rsidRPr="00D03F3E">
        <w:rPr>
          <w:rFonts w:ascii="Times New Roman" w:cs="Times New Roman"/>
          <w:color w:val="000000" w:themeColor="text1"/>
          <w:spacing w:val="0"/>
        </w:rPr>
        <w:softHyphen/>
        <w:t>вода» (15226).</w:t>
      </w:r>
    </w:p>
    <w:p w14:paraId="79C01154" w14:textId="77777777" w:rsidR="00157BCE" w:rsidRPr="00D03F3E" w:rsidRDefault="00157BCE" w:rsidP="00D03F3E">
      <w:pPr>
        <w:pStyle w:val="27"/>
        <w:shd w:val="clear" w:color="auto" w:fill="auto"/>
        <w:spacing w:after="0" w:line="240" w:lineRule="auto"/>
        <w:ind w:firstLine="0"/>
        <w:rPr>
          <w:rFonts w:ascii="Times New Roman" w:cs="Times New Roman"/>
          <w:color w:val="000000" w:themeColor="text1"/>
          <w:spacing w:val="0"/>
        </w:rPr>
      </w:pPr>
    </w:p>
    <w:p w14:paraId="5865CDE8" w14:textId="77777777" w:rsidR="00157BCE" w:rsidRPr="00D03F3E" w:rsidRDefault="00157BCE"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январе 1943 ЧКЗ сдал семь КВ-8С, и еще три - в феврале, после чего их произ</w:t>
      </w:r>
      <w:r w:rsidRPr="00D03F3E">
        <w:rPr>
          <w:rFonts w:ascii="Times New Roman" w:cs="Times New Roman"/>
          <w:color w:val="000000" w:themeColor="text1"/>
          <w:spacing w:val="0"/>
        </w:rPr>
        <w:softHyphen/>
        <w:t xml:space="preserve">водство было прекращено. Помимо башни от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эти машины были вооружены бо</w:t>
      </w:r>
      <w:r w:rsidRPr="00D03F3E">
        <w:rPr>
          <w:rFonts w:ascii="Times New Roman" w:cs="Times New Roman"/>
          <w:color w:val="000000" w:themeColor="text1"/>
          <w:spacing w:val="0"/>
        </w:rPr>
        <w:softHyphen/>
        <w:t>лее совершенным огнеметом АТО-42 вме</w:t>
      </w:r>
      <w:r w:rsidRPr="00D03F3E">
        <w:rPr>
          <w:rFonts w:ascii="Times New Roman" w:cs="Times New Roman"/>
          <w:color w:val="000000" w:themeColor="text1"/>
          <w:spacing w:val="0"/>
        </w:rPr>
        <w:softHyphen/>
        <w:t>сто АТО-41. Эти последние 10 машин КВ-8С были изготовлены на средства, собранные учащимися ФЗО и ремесленных училищ. Та</w:t>
      </w:r>
      <w:r w:rsidRPr="00D03F3E">
        <w:rPr>
          <w:rFonts w:ascii="Times New Roman" w:cs="Times New Roman"/>
          <w:color w:val="000000" w:themeColor="text1"/>
          <w:spacing w:val="0"/>
        </w:rPr>
        <w:softHyphen/>
        <w:t>ким образом, общий выпуск огнеметных тан</w:t>
      </w:r>
      <w:r w:rsidRPr="00D03F3E">
        <w:rPr>
          <w:rFonts w:ascii="Times New Roman" w:cs="Times New Roman"/>
          <w:color w:val="000000" w:themeColor="text1"/>
          <w:spacing w:val="0"/>
        </w:rPr>
        <w:softHyphen/>
        <w:t>ков КВ-8С за 1942-1943 год составил 35 штук.</w:t>
      </w:r>
    </w:p>
    <w:p w14:paraId="54992A00" w14:textId="77777777" w:rsidR="00157BCE" w:rsidRPr="00D03F3E" w:rsidRDefault="00157BCE"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Огнеметные танки КВ-8С поступали на вооружение отдельных огнеметных тан</w:t>
      </w:r>
      <w:r w:rsidRPr="00D03F3E">
        <w:rPr>
          <w:rFonts w:ascii="Times New Roman" w:cs="Times New Roman"/>
          <w:color w:val="000000" w:themeColor="text1"/>
          <w:spacing w:val="0"/>
        </w:rPr>
        <w:softHyphen/>
        <w:t>ковых батальонов, которых было сформи</w:t>
      </w:r>
      <w:r w:rsidRPr="00D03F3E">
        <w:rPr>
          <w:rFonts w:ascii="Times New Roman" w:cs="Times New Roman"/>
          <w:color w:val="000000" w:themeColor="text1"/>
          <w:spacing w:val="0"/>
        </w:rPr>
        <w:softHyphen/>
        <w:t>ровано 19: с 500 по 517 и 519-й. Часть из них имела в своем составе только КВ-8/КВ-8С (16 машин), а часть была смешанной - 20 КВ-8/КВ-8С, девять огнеметных ТО-34 и два линейных Т-34. Кроме того, в сентябре 1942 года была сформирована 235-я огнемет- но-танковая бригада, в состав которой вошло два смешанных батальона (508 и 509) и один на КВ-8/КВ-8С (509-й). Бригада была на</w:t>
      </w:r>
      <w:r w:rsidRPr="00D03F3E">
        <w:rPr>
          <w:rFonts w:ascii="Times New Roman" w:cs="Times New Roman"/>
          <w:color w:val="000000" w:themeColor="text1"/>
          <w:spacing w:val="0"/>
        </w:rPr>
        <w:softHyphen/>
        <w:t>правлена на Сталинградский фронт, где при</w:t>
      </w:r>
      <w:r w:rsidRPr="00D03F3E">
        <w:rPr>
          <w:rFonts w:ascii="Times New Roman" w:cs="Times New Roman"/>
          <w:color w:val="000000" w:themeColor="text1"/>
          <w:spacing w:val="0"/>
        </w:rPr>
        <w:softHyphen/>
        <w:t>нимала участие в боях по окружению армии Паулюса. 14 декабря 1942 года ее перебро</w:t>
      </w:r>
      <w:r w:rsidRPr="00D03F3E">
        <w:rPr>
          <w:rFonts w:ascii="Times New Roman" w:cs="Times New Roman"/>
          <w:color w:val="000000" w:themeColor="text1"/>
          <w:spacing w:val="0"/>
        </w:rPr>
        <w:softHyphen/>
        <w:t>сили в состав опергруппы генерала Захарова для отражения немецких попыток пробиться к окруженной под Сталинградом группиров</w:t>
      </w:r>
      <w:r w:rsidRPr="00D03F3E">
        <w:rPr>
          <w:rFonts w:ascii="Times New Roman" w:cs="Times New Roman"/>
          <w:color w:val="000000" w:themeColor="text1"/>
          <w:spacing w:val="0"/>
        </w:rPr>
        <w:softHyphen/>
        <w:t>ке. Здесь впервые были использованы в боях КВ-8С, причем 14 декабря рота таких машин под прикрытием тумана подошла к группе немецких танков и из огнеметов сожгла три машины. 19 ноября экипаж одного из них под командованием лейтенанта М. Верхоту- рова у населенных пунктов Верхне-Кумский и Заготский уничтожил танк, автомашину с пушкой и до 25 солдат. 7 февраля 1943 года 235-я огнеметная тан</w:t>
      </w:r>
      <w:r w:rsidRPr="00D03F3E">
        <w:rPr>
          <w:rFonts w:ascii="Times New Roman" w:cs="Times New Roman"/>
          <w:color w:val="000000" w:themeColor="text1"/>
          <w:spacing w:val="0"/>
        </w:rPr>
        <w:softHyphen/>
        <w:t>ковая бригада была преобразована в 31-ю гвардейскую. Именно в ее состав весной по</w:t>
      </w:r>
      <w:r w:rsidRPr="00D03F3E">
        <w:rPr>
          <w:rFonts w:ascii="Times New Roman" w:cs="Times New Roman"/>
          <w:color w:val="000000" w:themeColor="text1"/>
          <w:spacing w:val="0"/>
        </w:rPr>
        <w:softHyphen/>
        <w:t>ступили последние 10 КВ-8С из состава тан</w:t>
      </w:r>
      <w:r w:rsidRPr="00D03F3E">
        <w:rPr>
          <w:rFonts w:ascii="Times New Roman" w:cs="Times New Roman"/>
          <w:color w:val="000000" w:themeColor="text1"/>
          <w:spacing w:val="0"/>
        </w:rPr>
        <w:softHyphen/>
        <w:t>ковой колонны «Трудовые резервы фронту». С сентября 1943-го и до конца года бригада участвовала в боях на Юго-Западном, а затем на 4-м Украинском фронтах</w:t>
      </w:r>
    </w:p>
    <w:p w14:paraId="12ED3159" w14:textId="77777777" w:rsidR="00157BCE" w:rsidRPr="00D03F3E" w:rsidRDefault="00157BCE" w:rsidP="00D03F3E">
      <w:pPr>
        <w:spacing w:after="0" w:line="240" w:lineRule="auto"/>
        <w:jc w:val="both"/>
        <w:rPr>
          <w:rFonts w:ascii="Times New Roman" w:hAnsi="Times New Roman"/>
          <w:color w:val="000000" w:themeColor="text1"/>
          <w:sz w:val="16"/>
          <w:szCs w:val="16"/>
        </w:rPr>
      </w:pPr>
    </w:p>
    <w:p w14:paraId="308AD3A9" w14:textId="77777777" w:rsidR="00B51AAB" w:rsidRPr="00D03F3E" w:rsidRDefault="00B51AA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w:t>
      </w:r>
      <w:r w:rsidRPr="00D03F3E">
        <w:rPr>
          <w:rFonts w:ascii="Times New Roman" w:hAnsi="Times New Roman"/>
          <w:color w:val="000000" w:themeColor="text1"/>
          <w:sz w:val="16"/>
          <w:szCs w:val="16"/>
        </w:rPr>
        <w:softHyphen/>
        <w:t>варе 1943 года в мартеновском цеху произво</w:t>
      </w:r>
      <w:r w:rsidRPr="00D03F3E">
        <w:rPr>
          <w:rFonts w:ascii="Times New Roman" w:hAnsi="Times New Roman"/>
          <w:color w:val="000000" w:themeColor="text1"/>
          <w:sz w:val="16"/>
          <w:szCs w:val="16"/>
        </w:rPr>
        <w:softHyphen/>
        <w:t>дилась подготовка к отливке башен, кожухов рамок и бронемасок в кокиль. Была сделана модель для отливки кокиля, по которой был отлит один стальной кокиль (для башни)</w:t>
      </w:r>
    </w:p>
    <w:p w14:paraId="58E6DA4D" w14:textId="77777777" w:rsidR="00B51AAB" w:rsidRPr="00D03F3E" w:rsidRDefault="00B51AA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Срок отливки башни наметили на 25 февра</w:t>
      </w:r>
      <w:r w:rsidRPr="00D03F3E">
        <w:rPr>
          <w:rFonts w:ascii="Times New Roman" w:cs="Times New Roman"/>
          <w:color w:val="000000" w:themeColor="text1"/>
          <w:spacing w:val="0"/>
        </w:rPr>
        <w:softHyphen/>
        <w:t>ля, но реально это удалось осуществить толь</w:t>
      </w:r>
      <w:r w:rsidRPr="00D03F3E">
        <w:rPr>
          <w:rFonts w:ascii="Times New Roman" w:cs="Times New Roman"/>
          <w:color w:val="000000" w:themeColor="text1"/>
          <w:spacing w:val="0"/>
        </w:rPr>
        <w:softHyphen/>
        <w:t>ко в марте.</w:t>
      </w:r>
    </w:p>
    <w:p w14:paraId="2B51A8FF" w14:textId="77777777" w:rsidR="00B51AAB" w:rsidRPr="00D03F3E" w:rsidRDefault="00B51AA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январе 1943 года было отлито 5 башен по чертежам КВ-1С из стали 8С. Это дела</w:t>
      </w:r>
      <w:r w:rsidRPr="00D03F3E">
        <w:rPr>
          <w:rFonts w:ascii="Times New Roman" w:cs="Times New Roman"/>
          <w:color w:val="000000" w:themeColor="text1"/>
          <w:spacing w:val="0"/>
        </w:rPr>
        <w:softHyphen/>
        <w:t>лось в рамках программы по переходу на из</w:t>
      </w:r>
      <w:r w:rsidRPr="00D03F3E">
        <w:rPr>
          <w:rFonts w:ascii="Times New Roman" w:cs="Times New Roman"/>
          <w:color w:val="000000" w:themeColor="text1"/>
          <w:spacing w:val="0"/>
        </w:rPr>
        <w:softHyphen/>
        <w:t xml:space="preserve">готовление башен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из брони высо</w:t>
      </w:r>
      <w:r w:rsidRPr="00D03F3E">
        <w:rPr>
          <w:rFonts w:ascii="Times New Roman" w:cs="Times New Roman"/>
          <w:color w:val="000000" w:themeColor="text1"/>
          <w:spacing w:val="0"/>
        </w:rPr>
        <w:softHyphen/>
        <w:t>кой твердости - такой же, из которой выпу</w:t>
      </w:r>
      <w:r w:rsidRPr="00D03F3E">
        <w:rPr>
          <w:rFonts w:ascii="Times New Roman" w:cs="Times New Roman"/>
          <w:color w:val="000000" w:themeColor="text1"/>
          <w:spacing w:val="0"/>
        </w:rPr>
        <w:softHyphen/>
        <w:t>скались башни Т-34. Это делалось с целью попытки уменьшения номенклатуры про</w:t>
      </w:r>
      <w:r w:rsidRPr="00D03F3E">
        <w:rPr>
          <w:rFonts w:ascii="Times New Roman" w:cs="Times New Roman"/>
          <w:color w:val="000000" w:themeColor="text1"/>
          <w:spacing w:val="0"/>
        </w:rPr>
        <w:softHyphen/>
        <w:t>изводимых в СССР броневых сталей и уде</w:t>
      </w:r>
      <w:r w:rsidRPr="00D03F3E">
        <w:rPr>
          <w:rFonts w:ascii="Times New Roman" w:cs="Times New Roman"/>
          <w:color w:val="000000" w:themeColor="text1"/>
          <w:spacing w:val="0"/>
        </w:rPr>
        <w:softHyphen/>
        <w:t>шевления производства танков. Дело в том, что на КВ-1С использовалась броневая сталь средней твердости - 60 мм катаная 49С и 42С (позже 66</w:t>
      </w:r>
      <w:r w:rsidRPr="00D03F3E">
        <w:rPr>
          <w:rFonts w:ascii="Times New Roman" w:cs="Times New Roman"/>
          <w:color w:val="000000" w:themeColor="text1"/>
          <w:spacing w:val="0"/>
          <w:lang w:val="en-US"/>
        </w:rPr>
        <w:t>J</w:t>
      </w:r>
      <w:r w:rsidRPr="00D03F3E">
        <w:rPr>
          <w:rFonts w:ascii="Times New Roman" w:cs="Times New Roman"/>
          <w:color w:val="000000" w:themeColor="text1"/>
          <w:spacing w:val="0"/>
        </w:rPr>
        <w:t>1) для отливки башен.</w:t>
      </w:r>
    </w:p>
    <w:p w14:paraId="76CCFD20" w14:textId="77777777" w:rsidR="00B51AAB" w:rsidRPr="00D03F3E" w:rsidRDefault="00B51AA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До конца января две башни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отли</w:t>
      </w:r>
      <w:r w:rsidRPr="00D03F3E">
        <w:rPr>
          <w:rFonts w:ascii="Times New Roman" w:cs="Times New Roman"/>
          <w:color w:val="000000" w:themeColor="text1"/>
          <w:spacing w:val="0"/>
        </w:rPr>
        <w:softHyphen/>
        <w:t>тых из стали 8С, были окончательно терми</w:t>
      </w:r>
      <w:r w:rsidRPr="00D03F3E">
        <w:rPr>
          <w:rFonts w:ascii="Times New Roman" w:cs="Times New Roman"/>
          <w:color w:val="000000" w:themeColor="text1"/>
          <w:spacing w:val="0"/>
        </w:rPr>
        <w:softHyphen/>
        <w:t>чески обработаны, а одна прошла начальный цикл механической обработки.</w:t>
      </w:r>
    </w:p>
    <w:p w14:paraId="3117A133" w14:textId="77777777" w:rsidR="00B51AAB" w:rsidRPr="00D03F3E" w:rsidRDefault="00B51AA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Кроме того, завод № 200 провел ряд ра</w:t>
      </w:r>
      <w:r w:rsidRPr="00D03F3E">
        <w:rPr>
          <w:rFonts w:ascii="Times New Roman" w:cs="Times New Roman"/>
          <w:color w:val="000000" w:themeColor="text1"/>
          <w:spacing w:val="0"/>
        </w:rPr>
        <w:softHyphen/>
        <w:t xml:space="preserve">бот для выяснения возможности внесения упрощений в конструкцию корпуса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Для этого предполагалось сделать следующее:</w:t>
      </w:r>
    </w:p>
    <w:p w14:paraId="728FDCA5" w14:textId="77777777" w:rsidR="00B51AAB" w:rsidRPr="00D03F3E" w:rsidRDefault="00B51AA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Заменить целую верхнюю носовую де</w:t>
      </w:r>
      <w:r w:rsidRPr="00D03F3E">
        <w:rPr>
          <w:rFonts w:ascii="Times New Roman" w:cs="Times New Roman"/>
          <w:color w:val="000000" w:themeColor="text1"/>
          <w:spacing w:val="0"/>
        </w:rPr>
        <w:softHyphen/>
        <w:t>таль корпуса составной с целью сокращения строжки - 4 часа - и штамповки;</w:t>
      </w:r>
    </w:p>
    <w:p w14:paraId="14108BD9" w14:textId="77777777" w:rsidR="00B51AAB" w:rsidRPr="00D03F3E" w:rsidRDefault="00B51AA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Отменить выборку четверти под днище в нижней носовой детали с целью сокраще</w:t>
      </w:r>
      <w:r w:rsidRPr="00D03F3E">
        <w:rPr>
          <w:rFonts w:ascii="Times New Roman" w:cs="Times New Roman"/>
          <w:color w:val="000000" w:themeColor="text1"/>
          <w:spacing w:val="0"/>
        </w:rPr>
        <w:softHyphen/>
        <w:t>ния строжки на 100%;</w:t>
      </w:r>
    </w:p>
    <w:p w14:paraId="59D1B881" w14:textId="77777777" w:rsidR="00B51AAB" w:rsidRPr="00D03F3E" w:rsidRDefault="00B51AA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Отменить выборку четверти под днище в кормовой нижней детали с целью сокраще</w:t>
      </w:r>
      <w:r w:rsidRPr="00D03F3E">
        <w:rPr>
          <w:rFonts w:ascii="Times New Roman" w:cs="Times New Roman"/>
          <w:color w:val="000000" w:themeColor="text1"/>
          <w:spacing w:val="0"/>
        </w:rPr>
        <w:softHyphen/>
        <w:t>ния строжки на 100%.</w:t>
      </w:r>
    </w:p>
    <w:p w14:paraId="5DA0214D" w14:textId="77777777" w:rsidR="00B51AAB" w:rsidRPr="00D03F3E" w:rsidRDefault="00B51AA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феврале 1943 года предполагалось изго</w:t>
      </w:r>
      <w:r w:rsidRPr="00D03F3E">
        <w:rPr>
          <w:rFonts w:ascii="Times New Roman" w:cs="Times New Roman"/>
          <w:color w:val="000000" w:themeColor="text1"/>
          <w:spacing w:val="0"/>
        </w:rPr>
        <w:softHyphen/>
        <w:t>товить и испытать обстрелом опытный кор</w:t>
      </w:r>
      <w:r w:rsidRPr="00D03F3E">
        <w:rPr>
          <w:rFonts w:ascii="Times New Roman" w:cs="Times New Roman"/>
          <w:color w:val="000000" w:themeColor="text1"/>
          <w:spacing w:val="0"/>
        </w:rPr>
        <w:softHyphen/>
        <w:t xml:space="preserve">пус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с этими и рядом других упроще</w:t>
      </w:r>
      <w:r w:rsidRPr="00D03F3E">
        <w:rPr>
          <w:rFonts w:ascii="Times New Roman" w:cs="Times New Roman"/>
          <w:color w:val="000000" w:themeColor="text1"/>
          <w:spacing w:val="0"/>
        </w:rPr>
        <w:softHyphen/>
        <w:t>ний с целью выяснения возможности введе</w:t>
      </w:r>
      <w:r w:rsidRPr="00D03F3E">
        <w:rPr>
          <w:rFonts w:ascii="Times New Roman" w:cs="Times New Roman"/>
          <w:color w:val="000000" w:themeColor="text1"/>
          <w:spacing w:val="0"/>
        </w:rPr>
        <w:softHyphen/>
        <w:t>ния новых деталей в серийное производство (15226).</w:t>
      </w:r>
    </w:p>
    <w:p w14:paraId="632A6B26" w14:textId="77777777" w:rsidR="00B51AAB" w:rsidRPr="00D03F3E" w:rsidRDefault="00B51AAB" w:rsidP="00D03F3E">
      <w:pPr>
        <w:pStyle w:val="27"/>
        <w:shd w:val="clear" w:color="auto" w:fill="auto"/>
        <w:spacing w:after="0" w:line="240" w:lineRule="auto"/>
        <w:ind w:firstLine="0"/>
        <w:rPr>
          <w:rFonts w:ascii="Times New Roman" w:cs="Times New Roman"/>
          <w:color w:val="000000" w:themeColor="text1"/>
          <w:spacing w:val="0"/>
        </w:rPr>
      </w:pPr>
    </w:p>
    <w:p w14:paraId="6D5D8B6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с целью повышения огневых возможностей по поражению фортификациовных сооружений средним танком преподаватель кафедры артиллерии ВАММ им. Сталина инженер-полковником Александровым был выполнен эскизный проект установки на танк, в качестве дополнительного оружия, танковой артиллерийской системы (ТАРС). Этот эскизный проект был рассмотрен на совещании ГБТУ, состоявшемся 8 февраля 1943 г. ТАРС •представляла собой четыре ракетных орудия, каждое из которых имело две 132-мм осколочно-фугасных ракеты (М-13). Орудия устанавливались по бортам танка на наклонных броневых листах корпуса. Управление огнем осуществлялось с помощью специального щитка, устанавливавшегося справа от механика-водителя. Наводка на цель должна была осуществляться корпусом танка с помощью смотрового прибора механика-водителя с нанесенной сеткой и мушкой, а также маятникового угломера, показывающего в градусах угол, возвы</w:t>
      </w:r>
      <w:r w:rsidRPr="00D03F3E">
        <w:rPr>
          <w:rFonts w:ascii="Times New Roman" w:hAnsi="Times New Roman"/>
          <w:color w:val="000000" w:themeColor="text1"/>
          <w:sz w:val="16"/>
          <w:szCs w:val="16"/>
        </w:rPr>
        <w:softHyphen/>
        <w:t>шения корпуса танка и соответственно угол возвышения ракетных орудий. Стрельба могла производиться как одиночными выстрелами, так и залпами - от 2 до 8 выстрелов. Дальнейшая судьба данного эскиз</w:t>
      </w:r>
      <w:r w:rsidRPr="00D03F3E">
        <w:rPr>
          <w:rFonts w:ascii="Times New Roman" w:hAnsi="Times New Roman"/>
          <w:color w:val="000000" w:themeColor="text1"/>
          <w:sz w:val="16"/>
          <w:szCs w:val="16"/>
        </w:rPr>
        <w:softHyphen/>
        <w:t>ного проекта пока остается неизвестной. На практике такая установка ТАРС была реализована на опытном тяжелом танке КВ-1К (10703).</w:t>
      </w:r>
    </w:p>
    <w:p w14:paraId="38B9351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36DBB8"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январе 1943 года ГАЗ вместо 550 танков Т-70 было сдано 300, при этом на начало февраля имелся задел из 130 танков, не имевших траков. В феврале с огромным трудом заводу удалось выполнить программу в 400 танков, при этом на начало марта имелся задел из 60 Т-70Б без траков. Удалось выполнить и мартовский план в 500 танков, в апреле же вместо 550 машин было сдано 500. При этом завод реально построил 440 танков, остальное же было теми самым 60-ю Т-70Б без траков. При этом реально заказчик принял 275 танков, а на заводе к 1 мая скопилось 225 машин, которые еще требовалось доделать. Как раз в это время ГАЗ фактически отмахнулся от производства Т-80. В мае вместо 450 Т-70 заводу удалось сдать всего 325 (17695).</w:t>
      </w:r>
    </w:p>
    <w:p w14:paraId="3798014E"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D76D08C" w14:textId="77777777" w:rsidR="009614F5" w:rsidRPr="00D03F3E" w:rsidRDefault="009614F5"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январе 1943 года по инициативе руководства ГАЗ им. Молотова и Народного комиссариата среднего машиностроения (НКСМ) вовсю шли работы по подготовке выпуска Т-80. Уже в начале марта был построен первый эталонный экземпляр Т-80. Для его сборки использовались корпус и башня, которые изготовили на заводе №176. Этот завод также являлся поставщиком корпусов и башен для завода №40, так что никаких существенных отличий машины двух заводов не имели. Это касается и люка механика-водителя, который у опытного Т-80 был литой, а у эталонного штампованный (17712).</w:t>
      </w:r>
    </w:p>
    <w:p w14:paraId="322B6214" w14:textId="77777777" w:rsidR="009614F5" w:rsidRPr="00D03F3E" w:rsidRDefault="009614F5" w:rsidP="00D03F3E">
      <w:pPr>
        <w:pStyle w:val="12a"/>
        <w:shd w:val="clear" w:color="auto" w:fill="auto"/>
        <w:spacing w:after="0" w:line="240" w:lineRule="auto"/>
        <w:jc w:val="both"/>
        <w:rPr>
          <w:color w:val="000000" w:themeColor="text1"/>
          <w:sz w:val="16"/>
          <w:szCs w:val="16"/>
        </w:rPr>
      </w:pPr>
    </w:p>
    <w:p w14:paraId="455E5D3A" w14:textId="77777777" w:rsidR="009614F5" w:rsidRPr="00D03F3E" w:rsidRDefault="009614F5"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январе 1943 года ОКБ-15 запустила программу проектирования «универсальной установки 45-мм пушки ОКБ-15 в танк Т-80». В этом случае речь шла об автоматической авиационной пушке НС-45, развитии темы ЗУТ-37. На этом направлении дальше заказа и эскизного проектирования данные работы не продвинулись (17712).</w:t>
      </w:r>
    </w:p>
    <w:p w14:paraId="502B4A3E"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7CC1400"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январе стали поступать жалобы о том, что боевое машины отделение СУ-35 тесное. Такие же жалобы шли и в феврале, когда в Москву отправились самоходки январского выпуска.</w:t>
      </w:r>
    </w:p>
    <w:p w14:paraId="5B2817EB"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Кроме того, в ходе испытательных пробегов частым нареканиям стал подвергаться стопор, закреплявший орудие в положении по-походному. На марше он часто гнулся. Связано это оказалось с тем, что детали приходили в сборочные цеха без термообработки. Дефектные стопоры заменили, испытания показали удовлетворительные результаты. Но на машинах февральского выпуска дефект со стопором вернулся, проблемным признали весь узел. На техническом совещании было принято решение провести испытания 10 машин, из которых 5 имели стопоры крепления по-походному, а остальные 5 не имели. Крепления ломались, при этом система оставалась работоспособной. В качестве временной меры УЗТМ разработал дополнительный хомут, но было ясно, что проблему надо решать более радикально. В феврале 1943 года на УЗТМ был проведен конкурс на разработку нового стопора, всего представили 3 варианта. Наилучшим был признан конический стопор, который крепился за верхнюю часть подвижной бронировки орудия. Новый стопор утвердили в середине марта.</w:t>
      </w:r>
    </w:p>
    <w:p w14:paraId="2C2A7CFF"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lastRenderedPageBreak/>
        <w:t>В верхней части подвижной бронировки делалось отверстие, которое прикрывалось специальной круглой наваркой. Также на лобовом листе бронировки появились специальные наварки. Некоторые исследователи ошибочно их приняли за дополнительную бронезащиту. В реальности наварки выполняли роль противовесов. По этой причине их могло быть и две, и одна, а могло и не быть вовсе.</w:t>
      </w:r>
    </w:p>
    <w:p w14:paraId="750A0851"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Новый стопор крепления по-походному, а также измененная подвижная бронировка были введены в серию с конца марта 1943 года. Они стали первыми крупными изменениями СУ-35. Еще одно серьезное изменение произошло 3 апреля: СУ-35 переименовали в СУ-122. Помимо переименования, апрельские машины отличались изменением конструкции колпака для прицела. Первые месяцы эксплуатации показали, что необходимо сделать лючок для обзора назад. С начала апреля стали выпускать колпак с четырьмя лючками.</w:t>
      </w:r>
    </w:p>
    <w:p w14:paraId="1CEE08C9"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Между тем, еще в январе 1943 года началась работа над модернизированной СУ-122. Машина, известная как СУ-122М, достойна отдельного повествования. Здесь лишь стоит отметить, что в ней КБ УЗТМ решило проблему тесноты боевого отделения, максимально расширив рубку. Предложение сделать то же самое на серийной СУ-122 Горлицкий встретил в штыки, справедливо заметив, что это поднимет боевую массу САУ на 600 килограмм (17685).</w:t>
      </w:r>
    </w:p>
    <w:p w14:paraId="72D3B626"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EFFB34F"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январе 1943 года начавшийся без особых трудностей выпуск СУ-12 натолкнулся на целую массу производственных проблем. Вместо 150 машин, предусмотренных планом, в январе было сдано всего 40 штук. Не удалось вписаться в план и в другие месяцы первого квартала 1943 года: в феврале, вместо 200 машин, было сдано 150, такая же картина самое наблюдалось и в марте. Лишь в апреле завод №38 смог выполнить уменьшившийся месячный план в 100 СУ-12. В связи с невыполнением плановых показателей на завод наложили штрафные санкции. Впрочем, аналогичные проблемы наблюдались и с производством других самоходных установок.</w:t>
      </w:r>
    </w:p>
    <w:p w14:paraId="728EBFED"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Еще одной существенной проблемой, которая была общей для советских образцов бронетехники военного периода, являлось качество сборки. Первые 26 СУ-12 были направлены 5 января 1943 года в Московский учебный центр самоходной артиллерии. 20 января оттуда поступила докладная записка, которая касалась качества СУ-12 и </w:t>
      </w:r>
      <w:hyperlink r:id="rId42" w:history="1">
        <w:r w:rsidRPr="00D03F3E">
          <w:rPr>
            <w:rFonts w:ascii="Times New Roman" w:eastAsia="Times New Roman" w:hAnsi="Times New Roman"/>
            <w:color w:val="000000" w:themeColor="text1"/>
            <w:sz w:val="16"/>
            <w:szCs w:val="16"/>
            <w:lang w:eastAsia="ru-RU"/>
          </w:rPr>
          <w:t>СУ-35 (СУ-122)</w:t>
        </w:r>
      </w:hyperlink>
      <w:r w:rsidRPr="00D03F3E">
        <w:rPr>
          <w:rFonts w:ascii="Times New Roman" w:eastAsia="Times New Roman" w:hAnsi="Times New Roman"/>
          <w:color w:val="000000" w:themeColor="text1"/>
          <w:sz w:val="16"/>
          <w:szCs w:val="16"/>
          <w:lang w:eastAsia="ru-RU"/>
        </w:rPr>
        <w:t>. Из 26 полученных СУ-12 к тому моменту удалось поставить в строй 14, еще 9 ремонтировалось на месте, а 3 отправились на ремонт в Мытищи, на завод №40.</w:t>
      </w:r>
    </w:p>
    <w:p w14:paraId="6965EC51"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При этом среди дефектов массовые выходы из строя КПП ещё не значились, но хватало и других проблем. С переохлаждением двигателей из-за отсутствия регулировки сечения каналов воздухозаборников удалось справиться ремонтникам из бригады Народного комиссариата танковой промышленности (НКТП). Существенной проблемой было то, что в машине заводился сначала правый двигатель, а генератор при этом устанавливался на левом моторе. Это приводило к разрядке аккумуляторов. Накопилось немало претензий к качеству приварки креплений внутренних деталей. Наконец, имелись проблемы, связанные с незнанием личным составом своих машин, что также приводило к поломкам (17699).</w:t>
      </w:r>
    </w:p>
    <w:p w14:paraId="0627DE22"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28177B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на основе КАРСТ-1 в академии на кафедре артиллерии был выполнен проект установки танковой ар</w:t>
      </w:r>
      <w:r w:rsidRPr="00D03F3E">
        <w:rPr>
          <w:rFonts w:ascii="Times New Roman" w:hAnsi="Times New Roman"/>
          <w:color w:val="000000" w:themeColor="text1"/>
          <w:sz w:val="16"/>
          <w:szCs w:val="16"/>
        </w:rPr>
        <w:softHyphen/>
        <w:t>тиллерийской ракетной системы (ТАРС) на танк Т-34. Несмотря на то, что проект ТАРС не был реализован в серийном производстве танков, работы по применению на танках неуправляемых ракет не пропали да</w:t>
      </w:r>
      <w:r w:rsidRPr="00D03F3E">
        <w:rPr>
          <w:rFonts w:ascii="Times New Roman" w:hAnsi="Times New Roman"/>
          <w:color w:val="000000" w:themeColor="text1"/>
          <w:sz w:val="16"/>
          <w:szCs w:val="16"/>
        </w:rPr>
        <w:softHyphen/>
        <w:t>ром, и полученный опыт был использован при создании в послевоенные годы танков с ракетным оружием (10703).</w:t>
      </w:r>
    </w:p>
    <w:p w14:paraId="7BDBB97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671DB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на НИБТ полигоне были проведены ис</w:t>
      </w:r>
      <w:r w:rsidRPr="00D03F3E">
        <w:rPr>
          <w:rFonts w:ascii="Times New Roman" w:hAnsi="Times New Roman"/>
          <w:color w:val="000000" w:themeColor="text1"/>
          <w:sz w:val="16"/>
          <w:szCs w:val="16"/>
        </w:rPr>
        <w:softHyphen/>
        <w:t>пытания опытного танкового прицела ТМФД-3 со стабилизатором ли</w:t>
      </w:r>
      <w:r w:rsidRPr="00D03F3E">
        <w:rPr>
          <w:rFonts w:ascii="Times New Roman" w:hAnsi="Times New Roman"/>
          <w:color w:val="000000" w:themeColor="text1"/>
          <w:sz w:val="16"/>
          <w:szCs w:val="16"/>
        </w:rPr>
        <w:softHyphen/>
        <w:t>нии прицеливания, установленного в танк Т-34-76. В процессе проведе</w:t>
      </w:r>
      <w:r w:rsidRPr="00D03F3E">
        <w:rPr>
          <w:rFonts w:ascii="Times New Roman" w:hAnsi="Times New Roman"/>
          <w:color w:val="000000" w:themeColor="text1"/>
          <w:sz w:val="16"/>
          <w:szCs w:val="16"/>
        </w:rPr>
        <w:softHyphen/>
        <w:t>ния испытаний было выявлено, что прицел ТМФД-3 был недостаточно отработан, вследствие чего имели место ряд существенных поломок, для устранения которых прицел неоднократно отправляли на завод. В связи с принятием на вооружение танка Т-34-85 с пушкой ЗИС-С-53 и шарнирного телескопического прицела ТШЛ5 работа над опытным прицелом ТМФД-3 для 76,2-мм пушки была прекращена (10703).</w:t>
      </w:r>
    </w:p>
    <w:p w14:paraId="09EAD4C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F0FEE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1943 г. танки Т-34 производства ЧКЗ стали выпускаться с удли</w:t>
      </w:r>
      <w:r w:rsidRPr="00D03F3E">
        <w:rPr>
          <w:rFonts w:ascii="Times New Roman" w:hAnsi="Times New Roman"/>
          <w:color w:val="000000" w:themeColor="text1"/>
          <w:sz w:val="16"/>
          <w:szCs w:val="16"/>
        </w:rPr>
        <w:softHyphen/>
        <w:t>ненной броневой защитой шаровой пулеметной установки, воздухоочи</w:t>
      </w:r>
      <w:r w:rsidRPr="00D03F3E">
        <w:rPr>
          <w:rFonts w:ascii="Times New Roman" w:hAnsi="Times New Roman"/>
          <w:color w:val="000000" w:themeColor="text1"/>
          <w:sz w:val="16"/>
          <w:szCs w:val="16"/>
        </w:rPr>
        <w:softHyphen/>
        <w:t>стителем типа "Циклон", опорными катками с резиновыми бандажами без вентиляционных отверстий (10703).</w:t>
      </w:r>
    </w:p>
    <w:p w14:paraId="0870ABE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7EB22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все 25 самоходных уста</w:t>
      </w:r>
      <w:r w:rsidRPr="00D03F3E">
        <w:rPr>
          <w:rFonts w:ascii="Times New Roman" w:hAnsi="Times New Roman"/>
          <w:color w:val="000000" w:themeColor="text1"/>
          <w:sz w:val="16"/>
          <w:szCs w:val="16"/>
        </w:rPr>
        <w:softHyphen/>
        <w:t>новок СУ-122 установочной партии декабрьской программы были отправлены в центр самоходной артиллерии и затем на фронт (10703).</w:t>
      </w:r>
    </w:p>
    <w:p w14:paraId="48854CB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DD24C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две само ходки СУ 122 были доставлены в Москву и на Ивановской площади в Кремле показаны чле нам правительства во главе со Сталиным. «Смотрины» прошли удачно, и в конце января 1943 г. первые два советских самоход но артиллерийских полка ока зались на Волховском фронте (11300).</w:t>
      </w:r>
    </w:p>
    <w:p w14:paraId="0AD8E2C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7FAE4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1943 г. самоходные установки СУ-122 стали выпускаться без выявленных недостатков. Серийное производство СУ-122 было ор</w:t>
      </w:r>
      <w:r w:rsidRPr="00D03F3E">
        <w:rPr>
          <w:rFonts w:ascii="Times New Roman" w:hAnsi="Times New Roman"/>
          <w:color w:val="000000" w:themeColor="text1"/>
          <w:sz w:val="16"/>
          <w:szCs w:val="16"/>
        </w:rPr>
        <w:softHyphen/>
        <w:t>ганизовано на УЗТМ. Общее число деталей, заимствованных у танка Т-34, составляло 75%, остальные были новыми, специально спроекти</w:t>
      </w:r>
      <w:r w:rsidRPr="00D03F3E">
        <w:rPr>
          <w:rFonts w:ascii="Times New Roman" w:hAnsi="Times New Roman"/>
          <w:color w:val="000000" w:themeColor="text1"/>
          <w:sz w:val="16"/>
          <w:szCs w:val="16"/>
        </w:rPr>
        <w:softHyphen/>
        <w:t>рованными для самоходной установки СУ-122 (10703).</w:t>
      </w:r>
    </w:p>
    <w:p w14:paraId="664D9B0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4249F1" w14:textId="77777777" w:rsidR="001266A9" w:rsidRPr="00D03F3E" w:rsidRDefault="001266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Каштанов предложил на базе СГ-122 создать 76-мм САУ. Решение о подготовке серийного производства штурмовой 76-мм САУ поддержки на трофейном шасси было принято 3 февраля 1943 г. Конструкторский коллектив Каштанова был переведен в Свердловск, на территорию эвакуированного завода № 37, и приказом по Наркомату тяжелой промышленности преобразован в конструкторское бюро и начал доработку проекта СГ-122. Времени было мало, так как опытный образец САУ должен был быть готов к 1 марта (12687).</w:t>
      </w:r>
    </w:p>
    <w:p w14:paraId="6C1B84EE" w14:textId="77777777" w:rsidR="001266A9" w:rsidRPr="00D03F3E" w:rsidRDefault="001266A9" w:rsidP="00D03F3E">
      <w:pPr>
        <w:spacing w:after="0" w:line="240" w:lineRule="auto"/>
        <w:jc w:val="both"/>
        <w:rPr>
          <w:rFonts w:ascii="Times New Roman" w:hAnsi="Times New Roman"/>
          <w:color w:val="000000" w:themeColor="text1"/>
          <w:sz w:val="16"/>
          <w:szCs w:val="16"/>
        </w:rPr>
      </w:pPr>
    </w:p>
    <w:p w14:paraId="76C78B41"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Сданные в январе 1943 года четырнадцать СГ-122 попали в Московский артиллерийский центр, откуда их передали в состав 1435-го самоходно-артиллерийского полка (САП), сформированного 1 января 1943 года. 5 января часть начала приёмку самоходных установок СУ-12 (СУ-76), а затем в полк стали поступать СУ-35 (СУ-122). 28 января СУ-35 были переданы в 1433-й и 1434-й САП, а в место них в первых числах февраля стали поступать СГ-122. К слову, в документах полка они периодически фигурировали как СУ-35.</w:t>
      </w:r>
    </w:p>
    <w:p w14:paraId="603632EC"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По состоянию на 2 февраля в полку было пять перевооружённых «Артштурмов», причём к 4 числу три из них уже находилось в ремонте. В документах указывается, что отправка машин с завода №40 тормозилась, причём прибывшие САУ в ряде случаев имели дефекты. Некоторые из неисправностей были настолько серьёзными, что требовали заводского ремонта.</w:t>
      </w:r>
    </w:p>
    <w:p w14:paraId="1A4C80BF"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 8 февраля количество СГ-122 в полку достигло семи штук, но уже на следующий день пять из них находились в ремонте. Наконец 15 февраля число СГ-122 в части достигло шестнадцати машин (четырнадцать отправленных с завода и две из 15-го запасного учебного полка), из них в ремонте оказалось пять/</w:t>
      </w:r>
    </w:p>
    <w:p w14:paraId="03F3E047"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На фронт 1435 САП отправился 20 февраля, причём к этому времени число СГ-122 в его составе сократилось до двенадцати. Четыре машины были переданы Учебному центру самоходной артиллерии. Разгрузился 1435 САП на станции Дабужа. В пути полком были оставлены СГ-122 с номерами 1002 и 1011. Таким образом, к 3 марта из 12 СГ-122 фактически боеспособными были восемь машин.</w:t>
      </w:r>
    </w:p>
    <w:p w14:paraId="3DEFC2CF"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Боевое крещение самоходок на трофейной базе состоялось 7 марта 1943 года в боях за деревню Верхняя Акимовка. В тот день машины поддерживали атаку 248-й танковой бригады 9-го танкового корпуса. В бой пошли семь СУ-12 и семь СГ-122, из них три машины были подбиты противником, две сгорели. Огнём самоходок были уничтожены три противотанковых орудия, две пулемётных точки и один танк.</w:t>
      </w:r>
    </w:p>
    <w:p w14:paraId="32114FD3"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На следующий день в бою сгорела СГ-122 с номером 1003, были подбиты машины с номерами 1016 и 1025. 9 марта бои за Верхнюю Акимовку продолжились. На сей раз обошлось без потерь, самоходчики отчитались об уничтоженном противотанковом орудии и двух пулемётных точках. Особо отличился в боях экипаж в составе командира лейтенанта Коваля и наводчика Юрина, которые записали на свой счёт два орудия, четыре ДЗОТа, четыре пулемётных точки и одну машину.</w:t>
      </w:r>
    </w:p>
    <w:p w14:paraId="5D301636"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последний раз 1435 САП ходил в бой 14 марта. В ходе атаки на деревню Ясенок использовались три СУ-12 и четыре СГ-122. Из боя две машины вернулось с незначительными повреждениями, две сгорели и три оказались подбитыми (17663).</w:t>
      </w:r>
    </w:p>
    <w:p w14:paraId="18D0F72D" w14:textId="77777777" w:rsidR="009614F5" w:rsidRPr="00D03F3E"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3A73FD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с целью повышения огневых возможностей по поражению фортификациовных сооружений средним танком преподаватель кафедры артиллерии ВАММ им. Сталина инженер-полковником Александровым был выполнен эскизный проект установки на танк, в качестве дополнительного оружия, танковой артиллерийской системы (ТАРС). Этот эскизный проект был рассмотрен на совещании ГБТУ, состоявшемся 8 февраля 1943 г. ТАРС •представляла собой четыре ракетных орудия, каждое из которых имело две 132-мм осколочно-фугасных ракеты (М-13). Орудия устанавливались по бортам танка на наклонных броневых листах корпуса. Управление огнем осуществлялось с помощью специального щитка, устанавливавшегося справа от механика-водителя. Наводка на цель должна была осуществляться корпусом танка с помощью смотрового прибора механика-водителя с нанесенной сеткой и мушкой, а также маятникового угломера, показывающего в градусах угол, возвы</w:t>
      </w:r>
      <w:r w:rsidRPr="00D03F3E">
        <w:rPr>
          <w:rFonts w:ascii="Times New Roman" w:hAnsi="Times New Roman"/>
          <w:color w:val="000000" w:themeColor="text1"/>
          <w:sz w:val="16"/>
          <w:szCs w:val="16"/>
        </w:rPr>
        <w:softHyphen/>
        <w:t>шения корпуса танка и соответственно угол возвышения ракетных орудий. Стрельба могла производиться как одиночными выстрелами, так и залпами - от 2 до 8 выстрелов. Дальнейшая судьба данного эскиз</w:t>
      </w:r>
      <w:r w:rsidRPr="00D03F3E">
        <w:rPr>
          <w:rFonts w:ascii="Times New Roman" w:hAnsi="Times New Roman"/>
          <w:color w:val="000000" w:themeColor="text1"/>
          <w:sz w:val="16"/>
          <w:szCs w:val="16"/>
        </w:rPr>
        <w:softHyphen/>
        <w:t>ного проекта пока остается неизвестной. На практике такая установка ТАРС была реализована на опытном тяжелом танке КВ-1К (10703).</w:t>
      </w:r>
    </w:p>
    <w:p w14:paraId="62498B7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7895C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опытный образец танка с ракетным оружи</w:t>
      </w:r>
      <w:r w:rsidRPr="00D03F3E">
        <w:rPr>
          <w:rFonts w:ascii="Times New Roman" w:hAnsi="Times New Roman"/>
          <w:color w:val="000000" w:themeColor="text1"/>
          <w:sz w:val="16"/>
          <w:szCs w:val="16"/>
        </w:rPr>
        <w:softHyphen/>
        <w:t>ем, изготовленный на заводе № 100, был отправлен для испытаний на Кубинку. Смонтированная на танке КВ-1 система ракет</w:t>
      </w:r>
      <w:r w:rsidRPr="00D03F3E">
        <w:rPr>
          <w:rFonts w:ascii="Times New Roman" w:hAnsi="Times New Roman"/>
          <w:color w:val="000000" w:themeColor="text1"/>
          <w:sz w:val="16"/>
          <w:szCs w:val="16"/>
        </w:rPr>
        <w:softHyphen/>
        <w:t xml:space="preserve">ного оружия КАРСТ-1 (короткая артиллерийская ракетная система танков) была рекомендована для серийного производства и установки на танк КВ-1 С. Применение КАРСТ-1 на танках задумывалось с целью придать танковым соединениям мощную артиллерию сопровождения, которая могла бы </w:t>
      </w:r>
      <w:r w:rsidRPr="00D03F3E">
        <w:rPr>
          <w:rFonts w:ascii="Times New Roman" w:hAnsi="Times New Roman"/>
          <w:color w:val="000000" w:themeColor="text1"/>
          <w:sz w:val="16"/>
          <w:szCs w:val="16"/>
        </w:rPr>
        <w:lastRenderedPageBreak/>
        <w:t>использоваться как для самостоятельной артилле</w:t>
      </w:r>
      <w:r w:rsidRPr="00D03F3E">
        <w:rPr>
          <w:rFonts w:ascii="Times New Roman" w:hAnsi="Times New Roman"/>
          <w:color w:val="000000" w:themeColor="text1"/>
          <w:sz w:val="16"/>
          <w:szCs w:val="16"/>
        </w:rPr>
        <w:softHyphen/>
        <w:t>рийской подготовки, так и в танковом бою на дальностях стрельбы 600 - 1800 м. Однако эти опытные работы во время войны не получили дальнейшего развития. На основе КАРСТ-1 в январе 1943 г. в академии на кафедре артиллерии был выполнен проект установки танковой ар</w:t>
      </w:r>
      <w:r w:rsidRPr="00D03F3E">
        <w:rPr>
          <w:rFonts w:ascii="Times New Roman" w:hAnsi="Times New Roman"/>
          <w:color w:val="000000" w:themeColor="text1"/>
          <w:sz w:val="16"/>
          <w:szCs w:val="16"/>
        </w:rPr>
        <w:softHyphen/>
        <w:t>тиллерийской ракетной системы (ТАРС) на танк Т-34. Несмотря на то, что проект ТАРС не был реализован в серийном производстве танков, работы по применению на танках неуправляемых ракет не пропали да</w:t>
      </w:r>
      <w:r w:rsidRPr="00D03F3E">
        <w:rPr>
          <w:rFonts w:ascii="Times New Roman" w:hAnsi="Times New Roman"/>
          <w:color w:val="000000" w:themeColor="text1"/>
          <w:sz w:val="16"/>
          <w:szCs w:val="16"/>
        </w:rPr>
        <w:softHyphen/>
        <w:t>ром, и полученный опыт был использован при создании в послевоенные годы танков с ракетным оружием (10703).</w:t>
      </w:r>
    </w:p>
    <w:p w14:paraId="3F16873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4E7BA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на основе КАРСТ-1 в академии на кафедре артиллерии был выполнен проект установки танковой ар</w:t>
      </w:r>
      <w:r w:rsidRPr="00D03F3E">
        <w:rPr>
          <w:rFonts w:ascii="Times New Roman" w:hAnsi="Times New Roman"/>
          <w:color w:val="000000" w:themeColor="text1"/>
          <w:sz w:val="16"/>
          <w:szCs w:val="16"/>
        </w:rPr>
        <w:softHyphen/>
        <w:t>тиллерийской ракетной системы (ТАРС) на танк Т-34. Несмотря на то, что проект ТАРС не был реализован в серийном производстве танков, работы по применению на танках неуправляемых ракет не пропали да</w:t>
      </w:r>
      <w:r w:rsidRPr="00D03F3E">
        <w:rPr>
          <w:rFonts w:ascii="Times New Roman" w:hAnsi="Times New Roman"/>
          <w:color w:val="000000" w:themeColor="text1"/>
          <w:sz w:val="16"/>
          <w:szCs w:val="16"/>
        </w:rPr>
        <w:softHyphen/>
        <w:t>ром, и полученный опыт был использован при создании в послевоенные годы танков с ракетным оружием (10703).</w:t>
      </w:r>
    </w:p>
    <w:p w14:paraId="03EBCA9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C7801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1943 г. танки Т-34 производства ЧКЗ стали выпускаться с удли</w:t>
      </w:r>
      <w:r w:rsidRPr="00D03F3E">
        <w:rPr>
          <w:rFonts w:ascii="Times New Roman" w:hAnsi="Times New Roman"/>
          <w:color w:val="000000" w:themeColor="text1"/>
          <w:sz w:val="16"/>
          <w:szCs w:val="16"/>
        </w:rPr>
        <w:softHyphen/>
        <w:t>ненной броневой защитой шаровой пулеметной установки, воздухоочи</w:t>
      </w:r>
      <w:r w:rsidRPr="00D03F3E">
        <w:rPr>
          <w:rFonts w:ascii="Times New Roman" w:hAnsi="Times New Roman"/>
          <w:color w:val="000000" w:themeColor="text1"/>
          <w:sz w:val="16"/>
          <w:szCs w:val="16"/>
        </w:rPr>
        <w:softHyphen/>
        <w:t>стителем типа "Циклон", опорными катками с резиновыми бандажами без вентиляционных отверстий (10703).</w:t>
      </w:r>
    </w:p>
    <w:p w14:paraId="0B898A3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86FDC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в СКБ-2 группой конструкторов под руководством Тевелева для танка КВ-1С была разработана коробка передач с планетарным механизмом поворота (10703).</w:t>
      </w:r>
    </w:p>
    <w:p w14:paraId="73C2607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FB45F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январю 1943 г. было вы</w:t>
      </w:r>
      <w:r w:rsidRPr="00D03F3E">
        <w:rPr>
          <w:rFonts w:ascii="Times New Roman" w:hAnsi="Times New Roman"/>
          <w:color w:val="000000" w:themeColor="text1"/>
          <w:sz w:val="16"/>
          <w:szCs w:val="16"/>
        </w:rPr>
        <w:softHyphen/>
        <w:t>полнено только 60% от общего объема работ по танку ЭКВ. В феврале 1943 г. заверше</w:t>
      </w:r>
      <w:r w:rsidRPr="00D03F3E">
        <w:rPr>
          <w:rFonts w:ascii="Times New Roman" w:hAnsi="Times New Roman"/>
          <w:color w:val="000000" w:themeColor="text1"/>
          <w:sz w:val="16"/>
          <w:szCs w:val="16"/>
        </w:rPr>
        <w:softHyphen/>
        <w:t>ние работ было перенесено в Москву на завод № 627. Испытания опыт</w:t>
      </w:r>
      <w:r w:rsidRPr="00D03F3E">
        <w:rPr>
          <w:rFonts w:ascii="Times New Roman" w:hAnsi="Times New Roman"/>
          <w:color w:val="000000" w:themeColor="text1"/>
          <w:sz w:val="16"/>
          <w:szCs w:val="16"/>
        </w:rPr>
        <w:softHyphen/>
        <w:t>ного образца машины были проведены в период с ноября по декабрь 1944 г. на НИБТ полигоне. Из-за конструкционных недостатков танк ЭКВ на вооружение РККА принят не был, а полученный при разработ</w:t>
      </w:r>
      <w:r w:rsidRPr="00D03F3E">
        <w:rPr>
          <w:rFonts w:ascii="Times New Roman" w:hAnsi="Times New Roman"/>
          <w:color w:val="000000" w:themeColor="text1"/>
          <w:sz w:val="16"/>
          <w:szCs w:val="16"/>
        </w:rPr>
        <w:softHyphen/>
        <w:t>ке танка опыт в последующем был использован при проектировании электромеханических трансмиссий для тяжелых танков ИС-6 и ИС-7. Танк ЭКВ был изготовлен на базе серийного танка КВ-1 обр. 1941 г. и отличался от него установкой электромеханической трансмиссии вме</w:t>
      </w:r>
      <w:r w:rsidRPr="00D03F3E">
        <w:rPr>
          <w:rFonts w:ascii="Times New Roman" w:hAnsi="Times New Roman"/>
          <w:color w:val="000000" w:themeColor="text1"/>
          <w:sz w:val="16"/>
          <w:szCs w:val="16"/>
        </w:rPr>
        <w:softHyphen/>
        <w:t>сто механической, а также башни с вооружением, аналогичной конструк</w:t>
      </w:r>
      <w:r w:rsidRPr="00D03F3E">
        <w:rPr>
          <w:rFonts w:ascii="Times New Roman" w:hAnsi="Times New Roman"/>
          <w:color w:val="000000" w:themeColor="text1"/>
          <w:sz w:val="16"/>
          <w:szCs w:val="16"/>
        </w:rPr>
        <w:softHyphen/>
        <w:t>ции, устанавливаемой на танке КВ-1 С. Машина имела классическую схему общей компоновки. В отделении управления находились сиденья механика-водителя и стрелка-радиста, приводы управления движением танка, контрольные приборы, аккумуляторные батареи, воздушные бал</w:t>
      </w:r>
      <w:r w:rsidRPr="00D03F3E">
        <w:rPr>
          <w:rFonts w:ascii="Times New Roman" w:hAnsi="Times New Roman"/>
          <w:color w:val="000000" w:themeColor="text1"/>
          <w:sz w:val="16"/>
          <w:szCs w:val="16"/>
        </w:rPr>
        <w:softHyphen/>
        <w:t>лоны, пулемет ДТ, радиостанция, часть боеукладки и ЗИПа. В середине лобового броневого листа корпуса располагался смотровой люк механи</w:t>
      </w:r>
      <w:r w:rsidRPr="00D03F3E">
        <w:rPr>
          <w:rFonts w:ascii="Times New Roman" w:hAnsi="Times New Roman"/>
          <w:color w:val="000000" w:themeColor="text1"/>
          <w:sz w:val="16"/>
          <w:szCs w:val="16"/>
        </w:rPr>
        <w:softHyphen/>
        <w:t>ка-водителя, закрывавшийся броневой крышкой (пробкой) со смотро</w:t>
      </w:r>
      <w:r w:rsidRPr="00D03F3E">
        <w:rPr>
          <w:rFonts w:ascii="Times New Roman" w:hAnsi="Times New Roman"/>
          <w:color w:val="000000" w:themeColor="text1"/>
          <w:sz w:val="16"/>
          <w:szCs w:val="16"/>
        </w:rPr>
        <w:softHyphen/>
        <w:t>вой щелью с триплексом. Справа от механика-водителя в крыше корпу</w:t>
      </w:r>
      <w:r w:rsidRPr="00D03F3E">
        <w:rPr>
          <w:rFonts w:ascii="Times New Roman" w:hAnsi="Times New Roman"/>
          <w:color w:val="000000" w:themeColor="text1"/>
          <w:sz w:val="16"/>
          <w:szCs w:val="16"/>
        </w:rPr>
        <w:softHyphen/>
        <w:t>са устанавливался зеркальный смотровой прибор. Перед стрелком-ради</w:t>
      </w:r>
      <w:r w:rsidRPr="00D03F3E">
        <w:rPr>
          <w:rFonts w:ascii="Times New Roman" w:hAnsi="Times New Roman"/>
          <w:color w:val="000000" w:themeColor="text1"/>
          <w:sz w:val="16"/>
          <w:szCs w:val="16"/>
        </w:rPr>
        <w:softHyphen/>
        <w:t>стом в лобовом листе располагалась шаровая опора под установку лобового пулемета. Для входа и выхода членов экипажа, располагавшихся в отделении управления, в крыше корпуса машины над рабочим местом стрелка-радиста был сделан люк, закрывавшийся откидной броневой крышкой на внутренней петле. За сиденьем механика-водителя в днище корпуса имелся запасный люк для выхода экипажа (10703).</w:t>
      </w:r>
    </w:p>
    <w:p w14:paraId="7CB6F58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F5569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были проведены испытания модернизированного танкового огнемета ОП-34 с системой зарядки воздушных баллонов от</w:t>
      </w:r>
      <w:r w:rsidRPr="00D03F3E">
        <w:rPr>
          <w:rFonts w:ascii="Times New Roman" w:hAnsi="Times New Roman"/>
          <w:color w:val="000000" w:themeColor="text1"/>
          <w:sz w:val="16"/>
          <w:szCs w:val="16"/>
        </w:rPr>
        <w:softHyphen/>
        <w:t>работавшими газами двигателя. Первый опытный образец прибора был изготовлен и испытан в танке Т-34-76 еще в январе - мае 1941 г. на за</w:t>
      </w:r>
      <w:r w:rsidRPr="00D03F3E">
        <w:rPr>
          <w:rFonts w:ascii="Times New Roman" w:hAnsi="Times New Roman"/>
          <w:color w:val="000000" w:themeColor="text1"/>
          <w:sz w:val="16"/>
          <w:szCs w:val="16"/>
        </w:rPr>
        <w:softHyphen/>
        <w:t>воде № 183 в Харькове. В марте 1943 г. установка огнемета ОП-34 была проверена работой на трех танках ОТ-34-76, дальность огнеметания со</w:t>
      </w:r>
      <w:r w:rsidRPr="00D03F3E">
        <w:rPr>
          <w:rFonts w:ascii="Times New Roman" w:hAnsi="Times New Roman"/>
          <w:color w:val="000000" w:themeColor="text1"/>
          <w:sz w:val="16"/>
          <w:szCs w:val="16"/>
        </w:rPr>
        <w:softHyphen/>
        <w:t>ставила 40 - 60 м. Испытания показали целесообразность применения на танке Т-34 огнемета ОП-34 и, после внесения доработок в соответст</w:t>
      </w:r>
      <w:r w:rsidRPr="00D03F3E">
        <w:rPr>
          <w:rFonts w:ascii="Times New Roman" w:hAnsi="Times New Roman"/>
          <w:color w:val="000000" w:themeColor="text1"/>
          <w:sz w:val="16"/>
          <w:szCs w:val="16"/>
        </w:rPr>
        <w:softHyphen/>
        <w:t>вии с замечаниями комиссии по испытаниям, он был рекомендован к принятию на вооружение (10703).</w:t>
      </w:r>
    </w:p>
    <w:p w14:paraId="0C07D20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10EAA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параллельно с освоением серийного выпуска СУ-122 КБ Уралмашзавода начало про</w:t>
      </w:r>
      <w:r w:rsidRPr="00D03F3E">
        <w:rPr>
          <w:rFonts w:ascii="Times New Roman" w:hAnsi="Times New Roman"/>
          <w:color w:val="000000" w:themeColor="text1"/>
          <w:sz w:val="16"/>
          <w:szCs w:val="16"/>
        </w:rPr>
        <w:softHyphen/>
        <w:t>работку кардинально улучшенной версии машины.</w:t>
      </w:r>
    </w:p>
    <w:p w14:paraId="5B05C9A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процессе эскизного проектирования ведущий конст</w:t>
      </w:r>
      <w:r w:rsidRPr="00D03F3E">
        <w:rPr>
          <w:rFonts w:ascii="Times New Roman" w:hAnsi="Times New Roman"/>
          <w:color w:val="000000" w:themeColor="text1"/>
          <w:sz w:val="16"/>
          <w:szCs w:val="16"/>
        </w:rPr>
        <w:softHyphen/>
        <w:t>руктор Н.В. Курин установил, что наилучшим решением будет вооружение новым 122-мм орудием в рамочной уста</w:t>
      </w:r>
      <w:r w:rsidRPr="00D03F3E">
        <w:rPr>
          <w:rFonts w:ascii="Times New Roman" w:hAnsi="Times New Roman"/>
          <w:color w:val="000000" w:themeColor="text1"/>
          <w:sz w:val="16"/>
          <w:szCs w:val="16"/>
        </w:rPr>
        <w:softHyphen/>
        <w:t>новке. Выбор конструктора остановился на танковой штурмовой пушке У-11, разработанной для вооружения танка КВ-9, на основании которой он выполнил эскизный проект ее самоходной версии. Орудие У-11 выгодно отли</w:t>
      </w:r>
      <w:r w:rsidRPr="00D03F3E">
        <w:rPr>
          <w:rFonts w:ascii="Times New Roman" w:hAnsi="Times New Roman"/>
          <w:color w:val="000000" w:themeColor="text1"/>
          <w:sz w:val="16"/>
          <w:szCs w:val="16"/>
        </w:rPr>
        <w:softHyphen/>
        <w:t>чалось от М-30 сниженной с 1100 до 600 мм длиной отката, расположением механизмов наводки по горизонтали и вер</w:t>
      </w:r>
      <w:r w:rsidRPr="00D03F3E">
        <w:rPr>
          <w:rFonts w:ascii="Times New Roman" w:hAnsi="Times New Roman"/>
          <w:color w:val="000000" w:themeColor="text1"/>
          <w:sz w:val="16"/>
          <w:szCs w:val="16"/>
        </w:rPr>
        <w:softHyphen/>
        <w:t>тикали с одной стороны, что позволяло отказаться от вто</w:t>
      </w:r>
      <w:r w:rsidRPr="00D03F3E">
        <w:rPr>
          <w:rFonts w:ascii="Times New Roman" w:hAnsi="Times New Roman"/>
          <w:color w:val="000000" w:themeColor="text1"/>
          <w:sz w:val="16"/>
          <w:szCs w:val="16"/>
        </w:rPr>
        <w:softHyphen/>
        <w:t>рого наводчика по вертикали. Компактный тормоз отката и размещение орудия в карданной рамке давало экипажу до</w:t>
      </w:r>
      <w:r w:rsidRPr="00D03F3E">
        <w:rPr>
          <w:rFonts w:ascii="Times New Roman" w:hAnsi="Times New Roman"/>
          <w:color w:val="000000" w:themeColor="text1"/>
          <w:sz w:val="16"/>
          <w:szCs w:val="16"/>
        </w:rPr>
        <w:softHyphen/>
        <w:t>полнительный простор «для творчества».</w:t>
      </w:r>
    </w:p>
    <w:p w14:paraId="0816CB9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Поскольку в У-35 использовались агрегаты танка Т-34 и освоенная в серийном производстве 122-мм гаубица М-30, то изготовление САУ шло быстро и споро, с отладкой машины, обучением личного состава и эксплуатацией ее на фронте за</w:t>
      </w:r>
      <w:r w:rsidRPr="00D03F3E">
        <w:rPr>
          <w:rFonts w:ascii="Times New Roman" w:hAnsi="Times New Roman"/>
          <w:color w:val="000000" w:themeColor="text1"/>
          <w:sz w:val="16"/>
          <w:szCs w:val="16"/>
        </w:rPr>
        <w:softHyphen/>
        <w:t>труднений не было. Тем не менее конструкция СУ-122 имела целый ряд конструктивных недостатков. Ими были:</w:t>
      </w:r>
    </w:p>
    <w:p w14:paraId="6D8E10B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Малые размеры боевого отделения, вызывают тесноту, быструю загазованность и снижение скорострельности.</w:t>
      </w:r>
    </w:p>
    <w:p w14:paraId="7E25002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Верхний станок и постамент, на котором было установ</w:t>
      </w:r>
      <w:r w:rsidRPr="00D03F3E">
        <w:rPr>
          <w:rFonts w:ascii="Times New Roman" w:hAnsi="Times New Roman"/>
          <w:color w:val="000000" w:themeColor="text1"/>
          <w:sz w:val="16"/>
          <w:szCs w:val="16"/>
        </w:rPr>
        <w:softHyphen/>
        <w:t>лено орудие, занимали большой объем, ухудшая усло</w:t>
      </w:r>
      <w:r w:rsidRPr="00D03F3E">
        <w:rPr>
          <w:rFonts w:ascii="Times New Roman" w:hAnsi="Times New Roman"/>
          <w:color w:val="000000" w:themeColor="text1"/>
          <w:sz w:val="16"/>
          <w:szCs w:val="16"/>
        </w:rPr>
        <w:softHyphen/>
        <w:t>вия работы экипажа.</w:t>
      </w:r>
    </w:p>
    <w:p w14:paraId="6C8465D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Длинный откат также уменьшал объем боевого отделе</w:t>
      </w:r>
      <w:r w:rsidRPr="00D03F3E">
        <w:rPr>
          <w:rFonts w:ascii="Times New Roman" w:hAnsi="Times New Roman"/>
          <w:color w:val="000000" w:themeColor="text1"/>
          <w:sz w:val="16"/>
          <w:szCs w:val="16"/>
        </w:rPr>
        <w:softHyphen/>
        <w:t>ния, а выступание противооткатных приспособлений орудия вперед ухудшало обзор водителя и заставляло дополнительно бронировать их, увеличивая нагрузку на передние катки САУ.</w:t>
      </w:r>
    </w:p>
    <w:p w14:paraId="2E43921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Сложность формы и конструкции бронезащиты из-за несовпадения центров вращения бронировки в верти</w:t>
      </w:r>
      <w:r w:rsidRPr="00D03F3E">
        <w:rPr>
          <w:rFonts w:ascii="Times New Roman" w:hAnsi="Times New Roman"/>
          <w:color w:val="000000" w:themeColor="text1"/>
          <w:sz w:val="16"/>
          <w:szCs w:val="16"/>
        </w:rPr>
        <w:softHyphen/>
        <w:t>кальной и горизонтальной плоскостях; недостаточно надежное крепление бронирования к люльке орудия, имеющей толщину всего 4 мм.</w:t>
      </w:r>
    </w:p>
    <w:p w14:paraId="714863F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Люк водителя не предназначен для посадки-высадки, но лишь для обзора, что ухудшало стойкость лобовой брони, а путь механика-водителя во время посадки-вы</w:t>
      </w:r>
      <w:r w:rsidRPr="00D03F3E">
        <w:rPr>
          <w:rFonts w:ascii="Times New Roman" w:hAnsi="Times New Roman"/>
          <w:color w:val="000000" w:themeColor="text1"/>
          <w:sz w:val="16"/>
          <w:szCs w:val="16"/>
        </w:rPr>
        <w:softHyphen/>
        <w:t>садки отличался крайне большой длиной.</w:t>
      </w:r>
    </w:p>
    <w:p w14:paraId="0130760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Несмотря на то, что по ТЗ необходимо было сохранить верхний станок от гаубицы М-30, его применение в САУ требовало внести в конструкцию большое число дорабо</w:t>
      </w:r>
      <w:r w:rsidRPr="00D03F3E">
        <w:rPr>
          <w:rFonts w:ascii="Times New Roman" w:hAnsi="Times New Roman"/>
          <w:color w:val="000000" w:themeColor="text1"/>
          <w:sz w:val="16"/>
          <w:szCs w:val="16"/>
        </w:rPr>
        <w:softHyphen/>
        <w:t>ток, что было равнозначно изготовлению нового станка.</w:t>
      </w:r>
    </w:p>
    <w:p w14:paraId="3B2D402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Большие затруднения и желание по максимуму исполь</w:t>
      </w:r>
      <w:r w:rsidRPr="00D03F3E">
        <w:rPr>
          <w:rFonts w:ascii="Times New Roman" w:hAnsi="Times New Roman"/>
          <w:color w:val="000000" w:themeColor="text1"/>
          <w:sz w:val="16"/>
          <w:szCs w:val="16"/>
        </w:rPr>
        <w:softHyphen/>
        <w:t>зовать конструкцию М-30 вызвало при сборке необхо</w:t>
      </w:r>
      <w:r w:rsidRPr="00D03F3E">
        <w:rPr>
          <w:rFonts w:ascii="Times New Roman" w:hAnsi="Times New Roman"/>
          <w:color w:val="000000" w:themeColor="text1"/>
          <w:sz w:val="16"/>
          <w:szCs w:val="16"/>
        </w:rPr>
        <w:softHyphen/>
        <w:t>димость совершения большого числа пригоночных ра</w:t>
      </w:r>
      <w:r w:rsidRPr="00D03F3E">
        <w:rPr>
          <w:rFonts w:ascii="Times New Roman" w:hAnsi="Times New Roman"/>
          <w:color w:val="000000" w:themeColor="text1"/>
          <w:sz w:val="16"/>
          <w:szCs w:val="16"/>
        </w:rPr>
        <w:softHyphen/>
        <w:t>бот, удлиняющих цикл изготовления.</w:t>
      </w:r>
    </w:p>
    <w:p w14:paraId="52035FA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итоге всех работ, в апреле 1943 г. был изготовлен опыт</w:t>
      </w:r>
      <w:r w:rsidRPr="00D03F3E">
        <w:rPr>
          <w:rFonts w:ascii="Times New Roman" w:hAnsi="Times New Roman"/>
          <w:color w:val="000000" w:themeColor="text1"/>
          <w:sz w:val="16"/>
          <w:szCs w:val="16"/>
        </w:rPr>
        <w:softHyphen/>
        <w:t>ный образец модернизированного самохода СУ-122М, а 16—17 мая 1943 г. он уже прошел заводские испытания про</w:t>
      </w:r>
      <w:r w:rsidRPr="00D03F3E">
        <w:rPr>
          <w:rFonts w:ascii="Times New Roman" w:hAnsi="Times New Roman"/>
          <w:color w:val="000000" w:themeColor="text1"/>
          <w:sz w:val="16"/>
          <w:szCs w:val="16"/>
        </w:rPr>
        <w:softHyphen/>
        <w:t>бегом на 100 км и 50 выстрелами.</w:t>
      </w:r>
    </w:p>
    <w:p w14:paraId="667876A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сравнению с СУ-122 новый артсамоход имел целый ряд преимуществ:</w:t>
      </w:r>
    </w:p>
    <w:p w14:paraId="366CFCB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Более просторное боевое отделение за счет расширения стенок подкрылков до внешнего габарита гусениц и подъема крыши на 50 мм (т.е. увеличение высоты бое</w:t>
      </w:r>
      <w:r w:rsidRPr="00D03F3E">
        <w:rPr>
          <w:rFonts w:ascii="Times New Roman" w:hAnsi="Times New Roman"/>
          <w:color w:val="000000" w:themeColor="text1"/>
          <w:sz w:val="16"/>
          <w:szCs w:val="16"/>
        </w:rPr>
        <w:softHyphen/>
        <w:t>вого отделения до 1700 мм).</w:t>
      </w:r>
    </w:p>
    <w:p w14:paraId="0E27279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122-мм штурмовое орудие У-11, имея ту же баллистику, что и гаубица М-30, было уравновешено в цапфах и ус</w:t>
      </w:r>
      <w:r w:rsidRPr="00D03F3E">
        <w:rPr>
          <w:rFonts w:ascii="Times New Roman" w:hAnsi="Times New Roman"/>
          <w:color w:val="000000" w:themeColor="text1"/>
          <w:sz w:val="16"/>
          <w:szCs w:val="16"/>
        </w:rPr>
        <w:softHyphen/>
        <w:t>тановлено в карданную рамку, прикрепленную к лобо</w:t>
      </w:r>
      <w:r w:rsidRPr="00D03F3E">
        <w:rPr>
          <w:rFonts w:ascii="Times New Roman" w:hAnsi="Times New Roman"/>
          <w:color w:val="000000" w:themeColor="text1"/>
          <w:sz w:val="16"/>
          <w:szCs w:val="16"/>
        </w:rPr>
        <w:softHyphen/>
        <w:t>вому листу корпуса.</w:t>
      </w:r>
    </w:p>
    <w:p w14:paraId="0F256C3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Сокращение длины противооткатных устройств, умень</w:t>
      </w:r>
      <w:r w:rsidRPr="00D03F3E">
        <w:rPr>
          <w:rFonts w:ascii="Times New Roman" w:hAnsi="Times New Roman"/>
          <w:color w:val="000000" w:themeColor="text1"/>
          <w:sz w:val="16"/>
          <w:szCs w:val="16"/>
        </w:rPr>
        <w:softHyphen/>
        <w:t>шение длины отката, рамочная установка оружия улуч</w:t>
      </w:r>
      <w:r w:rsidRPr="00D03F3E">
        <w:rPr>
          <w:rFonts w:ascii="Times New Roman" w:hAnsi="Times New Roman"/>
          <w:color w:val="000000" w:themeColor="text1"/>
          <w:sz w:val="16"/>
          <w:szCs w:val="16"/>
        </w:rPr>
        <w:softHyphen/>
        <w:t>шили условия обитания экипажа и позволили оснастить орудие шаровой бронировкой, а трудоемкость монтажа вооружения уменьшилась с 17—18 часов до 1,5—2.</w:t>
      </w:r>
    </w:p>
    <w:p w14:paraId="29B48C7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Расположение центра масс орудия было более благо</w:t>
      </w:r>
      <w:r w:rsidRPr="00D03F3E">
        <w:rPr>
          <w:rFonts w:ascii="Times New Roman" w:hAnsi="Times New Roman"/>
          <w:color w:val="000000" w:themeColor="text1"/>
          <w:sz w:val="16"/>
          <w:szCs w:val="16"/>
        </w:rPr>
        <w:softHyphen/>
        <w:t>приятно для передних опорных катков.</w:t>
      </w:r>
    </w:p>
    <w:p w14:paraId="0E7C691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Для ведения огня прямой наводкой орудие оснащалось телескопическим прицелом.</w:t>
      </w:r>
    </w:p>
    <w:p w14:paraId="55D8B7B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Был введен люк-лаз механика-водителя, расположение остальных люков изменилось для обеспечения как тех</w:t>
      </w:r>
      <w:r w:rsidRPr="00D03F3E">
        <w:rPr>
          <w:rFonts w:ascii="Times New Roman" w:hAnsi="Times New Roman"/>
          <w:color w:val="000000" w:themeColor="text1"/>
          <w:sz w:val="16"/>
          <w:szCs w:val="16"/>
        </w:rPr>
        <w:softHyphen/>
        <w:t>нологических, так и эксплуатационных преимуществ (11417).</w:t>
      </w:r>
    </w:p>
    <w:p w14:paraId="760C432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78923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началось серийное производство СУ-12, получивших войсковой индекс СУ-76 (6205, 14).</w:t>
      </w:r>
    </w:p>
    <w:p w14:paraId="5F8F508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113C7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ГКО принял на вооружение 76-мм САУ на базе ЗИС-3 и Т-70 и на базе Ф-34 и трофейного Т-III (1073,219).</w:t>
      </w:r>
    </w:p>
    <w:p w14:paraId="684A3B0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C7A7E2" w14:textId="77777777" w:rsidR="00B51AAB" w:rsidRPr="00D03F3E" w:rsidRDefault="00B51AAB"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январе </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1943 г</w:t>
        </w:r>
      </w:smartTag>
      <w:r w:rsidRPr="00D03F3E">
        <w:rPr>
          <w:rFonts w:ascii="Times New Roman" w:hAnsi="Times New Roman"/>
          <w:color w:val="000000" w:themeColor="text1"/>
          <w:sz w:val="16"/>
          <w:szCs w:val="16"/>
        </w:rPr>
        <w:t>. началось серийное производство СУ-12, получивших войсковой индекс СУ-76. Первая партия состояла из 25 машин, которые были направлены в учебный центр самоходной артиллерии. Эти машины вошли в состав двух первых самоходно-артиллерийских полков, которые находились в подчинении начальника артиллерии Красной Армии и приказом НКО от 10 января «Об усилении огневой мощи бронетанковых и механизированных войск» предназначались для передачи в танковые и механизированные корпуса. Однако в связи с начавшейся операцией по прорыву блокады Ленинграда два первых сформированных полка (1433-й и 1434-й) решением ставки ВГК в конце января 1943 года были направлены на Волховский фронт для использования их в качестве артиллерии сопровождения пехоты и танков. В результате первого опыта боевого применения самоходных установок было выявлено конструктивное несовершенство трансмиссии, связанное с параллельной установкой двух карбюраторных двигателей и двух коробок передач, работавших на один общий грузовой вал, а также плохие условия обзора местности экипажем, что потребовало существенной доработки конструкции машины. В марте 1943 года завод №38 из-за систематических поломок коробок передач был вынужден временно приостановить серийное производство СУ-76 (15218).</w:t>
      </w:r>
    </w:p>
    <w:p w14:paraId="408033E3" w14:textId="77777777" w:rsidR="00B51AAB" w:rsidRPr="00D03F3E" w:rsidRDefault="00B51AAB" w:rsidP="00D03F3E">
      <w:pPr>
        <w:widowControl w:val="0"/>
        <w:spacing w:after="0" w:line="240" w:lineRule="auto"/>
        <w:jc w:val="both"/>
        <w:rPr>
          <w:rFonts w:ascii="Times New Roman" w:hAnsi="Times New Roman"/>
          <w:color w:val="000000" w:themeColor="text1"/>
          <w:sz w:val="16"/>
          <w:szCs w:val="16"/>
        </w:rPr>
      </w:pPr>
    </w:p>
    <w:p w14:paraId="11535A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январе 1943 года Захваченный под Ленинградом новый фашистский танк PzKpfw VI "Тигр" поверг в шок командование Красной Армии. Броня "Тигра" была такой толщины, что ее с большим трудом и только на самоубийственно близких дистанциях могли пробить Ф-34 и ЗИС-5, устанавливаемые на Т-34/76 и КВ-1. Специальные </w:t>
      </w:r>
      <w:r w:rsidRPr="00D03F3E">
        <w:rPr>
          <w:rFonts w:ascii="Times New Roman" w:hAnsi="Times New Roman"/>
          <w:color w:val="000000" w:themeColor="text1"/>
          <w:sz w:val="16"/>
          <w:szCs w:val="16"/>
        </w:rPr>
        <w:lastRenderedPageBreak/>
        <w:t>стрельбы по захваченному немецкому танку показали, что гаубица М-30, установленная на СУ-122, имеет недостаточную скорострельность и малую настильность. Вообще, для стрельбы по быстро передвигающимся целям она оказалась мало приспособлена, хотя и обладала неплохой бронепробиваемостью после введения кумулятивного боеприпаса (3862).</w:t>
      </w:r>
    </w:p>
    <w:p w14:paraId="45C17CC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спешном порядке стали создаваться истребители танков, которые могли бы успешно противостоять новой немецкой технике. Испытания показали, что против лобовой брони "Тигра" эффективны только две пушки: 85-мм зенитное орудие образца 1939 года и корпусное орудие А-19 калибра 122 мм (3862).</w:t>
      </w:r>
    </w:p>
    <w:p w14:paraId="2ADC2B4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74B528" w14:textId="77777777" w:rsidR="00C84258" w:rsidRPr="00D03F3E"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года параллельно с разработкой чертежей серийной самоходной установки Су-122 начались работы над ее кардинальным совершенствованием. В процессе этих работ было установлено, что лучшим решением является установка гаубицы в рубке САУ не на тумбе, а в рамке. Крепление орудия к лобовому листу корпуса значительно увеличивало полезный объем боевого отделения. В целях получения большей компактности установки вооружения длина отката пушки должна была уменьшиться с 1100 до 600 мм - требовалось создание нового орудия, специально приспособленного для артсамохода. Разработку его взял на себя завод № 9 и выпустил под индексом Д-11 (9636).</w:t>
      </w:r>
    </w:p>
    <w:p w14:paraId="27569720" w14:textId="77777777" w:rsidR="00C84258" w:rsidRPr="00D03F3E"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p>
    <w:p w14:paraId="3FF0671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опытный улучшенный образен бронеавтомобиля БА-64Г был изготовлен ГАЗ. Весной 1943 г. был изготовлен второй опытный образец улучшенного варианта (эталонный). Оба улучшенных образца бронеавтомобиля поступили на полигонные ис</w:t>
      </w:r>
      <w:r w:rsidRPr="00D03F3E">
        <w:rPr>
          <w:rFonts w:ascii="Times New Roman" w:hAnsi="Times New Roman"/>
          <w:color w:val="000000" w:themeColor="text1"/>
          <w:sz w:val="16"/>
          <w:szCs w:val="16"/>
        </w:rPr>
        <w:softHyphen/>
        <w:t>пытания на Гороховецкий полигон ВОСО. Бронеавтомобиль БА-64Г отличался от серийного образца БА-64 возможностью движения по железнодорожной колее. В носовой и кор</w:t>
      </w:r>
      <w:r w:rsidRPr="00D03F3E">
        <w:rPr>
          <w:rFonts w:ascii="Times New Roman" w:hAnsi="Times New Roman"/>
          <w:color w:val="000000" w:themeColor="text1"/>
          <w:sz w:val="16"/>
          <w:szCs w:val="16"/>
        </w:rPr>
        <w:softHyphen/>
        <w:t>мовой частях корпуса машины устанавливались специальные, частично подрессоренные, откидывавшиеся вверх железнодорожные колеса ма</w:t>
      </w:r>
      <w:r w:rsidRPr="00D03F3E">
        <w:rPr>
          <w:rFonts w:ascii="Times New Roman" w:hAnsi="Times New Roman"/>
          <w:color w:val="000000" w:themeColor="text1"/>
          <w:sz w:val="16"/>
          <w:szCs w:val="16"/>
        </w:rPr>
        <w:softHyphen/>
        <w:t>лого диаметра, которые представляли собой направляющие ролики с ребордами, препятствовавшими сходу машины с железнодорожной ко</w:t>
      </w:r>
      <w:r w:rsidRPr="00D03F3E">
        <w:rPr>
          <w:rFonts w:ascii="Times New Roman" w:hAnsi="Times New Roman"/>
          <w:color w:val="000000" w:themeColor="text1"/>
          <w:sz w:val="16"/>
          <w:szCs w:val="16"/>
        </w:rPr>
        <w:softHyphen/>
        <w:t>леи и позволявшие ей двигаться по железнодорожному полотну при ис</w:t>
      </w:r>
      <w:r w:rsidRPr="00D03F3E">
        <w:rPr>
          <w:rFonts w:ascii="Times New Roman" w:hAnsi="Times New Roman"/>
          <w:color w:val="000000" w:themeColor="text1"/>
          <w:sz w:val="16"/>
          <w:szCs w:val="16"/>
        </w:rPr>
        <w:softHyphen/>
        <w:t>пользовании колесного движителя. Для достижения постоянного кон</w:t>
      </w:r>
      <w:r w:rsidRPr="00D03F3E">
        <w:rPr>
          <w:rFonts w:ascii="Times New Roman" w:hAnsi="Times New Roman"/>
          <w:color w:val="000000" w:themeColor="text1"/>
          <w:sz w:val="16"/>
          <w:szCs w:val="16"/>
        </w:rPr>
        <w:softHyphen/>
        <w:t>такта колес с шинами "ГК" с железнодорожным полотном (колея 1524 мм) было предусмотрено расширение собственной колеи машины, что соответствовало планам ее дальнейшей модернизации и проведению работ над машиной БА-64Б (10703).</w:t>
      </w:r>
    </w:p>
    <w:p w14:paraId="04AEB2B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0C0C6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на автозаводе был изго</w:t>
      </w:r>
      <w:r w:rsidRPr="00D03F3E">
        <w:rPr>
          <w:rFonts w:ascii="Times New Roman" w:hAnsi="Times New Roman"/>
          <w:color w:val="000000" w:themeColor="text1"/>
          <w:sz w:val="16"/>
          <w:szCs w:val="16"/>
        </w:rPr>
        <w:softHyphen/>
        <w:t>товлен опытный образец Бронеавтомобиль БА-64-3 ("зимний"), который в январе - феврале того же года про</w:t>
      </w:r>
      <w:r w:rsidRPr="00D03F3E">
        <w:rPr>
          <w:rFonts w:ascii="Times New Roman" w:hAnsi="Times New Roman"/>
          <w:color w:val="000000" w:themeColor="text1"/>
          <w:sz w:val="16"/>
          <w:szCs w:val="16"/>
        </w:rPr>
        <w:softHyphen/>
        <w:t>шел заводские испытания. БА-64-3 на вооружение не принимался и в се</w:t>
      </w:r>
      <w:r w:rsidRPr="00D03F3E">
        <w:rPr>
          <w:rFonts w:ascii="Times New Roman" w:hAnsi="Times New Roman"/>
          <w:color w:val="000000" w:themeColor="text1"/>
          <w:sz w:val="16"/>
          <w:szCs w:val="16"/>
        </w:rPr>
        <w:softHyphen/>
        <w:t>рийном производстве не состоял (10703).</w:t>
      </w:r>
    </w:p>
    <w:p w14:paraId="1243813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BFDEC3" w14:textId="77777777" w:rsidR="00B51AAB" w:rsidRPr="00D03F3E" w:rsidRDefault="00B51AAB"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года ГАЗ предписывалось довести выработку до 5 тысяч импортных автомобилей в месяц. Тогда же вышел приказ по заводу об организации производства на ГАЗе платформ для прибывающих на сборку машин иномарок. До начала налетов германской авиации на Горький автозаводцы собирали еженедельно до 500 машин. В 1944 году число собранных машин превысило выпуск отечественных.</w:t>
      </w:r>
    </w:p>
    <w:p w14:paraId="55D1ADE3" w14:textId="77777777" w:rsidR="00B51AAB" w:rsidRPr="00D03F3E" w:rsidRDefault="00B51AAB"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Динамика сборки импортных автомашин на Горьковском автозаводе показана в таблице:</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677"/>
        <w:gridCol w:w="960"/>
        <w:gridCol w:w="960"/>
        <w:gridCol w:w="960"/>
        <w:gridCol w:w="961"/>
        <w:gridCol w:w="931"/>
      </w:tblGrid>
      <w:tr w:rsidR="00860B4B" w:rsidRPr="00D03F3E" w14:paraId="6CFF76F7" w14:textId="77777777" w:rsidTr="00E71AD7">
        <w:tc>
          <w:tcPr>
            <w:tcW w:w="1260" w:type="dxa"/>
            <w:shd w:val="clear" w:color="auto" w:fill="auto"/>
            <w:vAlign w:val="center"/>
          </w:tcPr>
          <w:p w14:paraId="6808CF81" w14:textId="77777777" w:rsidR="00B51AAB" w:rsidRPr="00D03F3E"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D03F3E">
              <w:rPr>
                <w:rFonts w:ascii="Times New Roman" w:eastAsia="Times New Roman" w:hAnsi="Times New Roman"/>
                <w:color w:val="000000" w:themeColor="text1"/>
                <w:sz w:val="16"/>
                <w:szCs w:val="16"/>
              </w:rPr>
              <w:t>Годы</w:t>
            </w:r>
          </w:p>
        </w:tc>
        <w:tc>
          <w:tcPr>
            <w:tcW w:w="677" w:type="dxa"/>
            <w:shd w:val="clear" w:color="auto" w:fill="auto"/>
            <w:vAlign w:val="center"/>
          </w:tcPr>
          <w:p w14:paraId="350D733D" w14:textId="77777777" w:rsidR="00B51AAB" w:rsidRPr="00D03F3E"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D03F3E">
              <w:rPr>
                <w:rFonts w:ascii="Times New Roman" w:eastAsia="Times New Roman" w:hAnsi="Times New Roman"/>
                <w:color w:val="000000" w:themeColor="text1"/>
                <w:sz w:val="16"/>
                <w:szCs w:val="16"/>
              </w:rPr>
              <w:t>1941</w:t>
            </w:r>
          </w:p>
        </w:tc>
        <w:tc>
          <w:tcPr>
            <w:tcW w:w="960" w:type="dxa"/>
            <w:shd w:val="clear" w:color="auto" w:fill="auto"/>
            <w:vAlign w:val="center"/>
          </w:tcPr>
          <w:p w14:paraId="600AA9CC" w14:textId="77777777" w:rsidR="00B51AAB" w:rsidRPr="00D03F3E"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D03F3E">
              <w:rPr>
                <w:rFonts w:ascii="Times New Roman" w:eastAsia="Times New Roman" w:hAnsi="Times New Roman"/>
                <w:color w:val="000000" w:themeColor="text1"/>
                <w:sz w:val="16"/>
                <w:szCs w:val="16"/>
              </w:rPr>
              <w:t>1942</w:t>
            </w:r>
          </w:p>
        </w:tc>
        <w:tc>
          <w:tcPr>
            <w:tcW w:w="960" w:type="dxa"/>
            <w:shd w:val="clear" w:color="auto" w:fill="auto"/>
            <w:vAlign w:val="center"/>
          </w:tcPr>
          <w:p w14:paraId="1420F19F" w14:textId="77777777" w:rsidR="00B51AAB" w:rsidRPr="00D03F3E"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D03F3E">
              <w:rPr>
                <w:rFonts w:ascii="Times New Roman" w:eastAsia="Times New Roman" w:hAnsi="Times New Roman"/>
                <w:color w:val="000000" w:themeColor="text1"/>
                <w:sz w:val="16"/>
                <w:szCs w:val="16"/>
              </w:rPr>
              <w:t>1943</w:t>
            </w:r>
          </w:p>
        </w:tc>
        <w:tc>
          <w:tcPr>
            <w:tcW w:w="960" w:type="dxa"/>
            <w:shd w:val="clear" w:color="auto" w:fill="auto"/>
            <w:vAlign w:val="center"/>
          </w:tcPr>
          <w:p w14:paraId="4EE21390" w14:textId="77777777" w:rsidR="00B51AAB" w:rsidRPr="00D03F3E"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D03F3E">
              <w:rPr>
                <w:rFonts w:ascii="Times New Roman" w:eastAsia="Times New Roman" w:hAnsi="Times New Roman"/>
                <w:color w:val="000000" w:themeColor="text1"/>
                <w:sz w:val="16"/>
                <w:szCs w:val="16"/>
              </w:rPr>
              <w:t>1944</w:t>
            </w:r>
          </w:p>
        </w:tc>
        <w:tc>
          <w:tcPr>
            <w:tcW w:w="961" w:type="dxa"/>
            <w:shd w:val="clear" w:color="auto" w:fill="auto"/>
            <w:vAlign w:val="center"/>
          </w:tcPr>
          <w:p w14:paraId="52155AFF" w14:textId="77777777" w:rsidR="00B51AAB" w:rsidRPr="00D03F3E"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D03F3E">
              <w:rPr>
                <w:rFonts w:ascii="Times New Roman" w:eastAsia="Times New Roman" w:hAnsi="Times New Roman"/>
                <w:color w:val="000000" w:themeColor="text1"/>
                <w:sz w:val="16"/>
                <w:szCs w:val="16"/>
              </w:rPr>
              <w:t>1945</w:t>
            </w:r>
          </w:p>
        </w:tc>
        <w:tc>
          <w:tcPr>
            <w:tcW w:w="931" w:type="dxa"/>
            <w:shd w:val="clear" w:color="auto" w:fill="auto"/>
            <w:vAlign w:val="center"/>
          </w:tcPr>
          <w:p w14:paraId="1850C0C1" w14:textId="77777777" w:rsidR="00B51AAB" w:rsidRPr="00D03F3E"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D03F3E">
              <w:rPr>
                <w:rFonts w:ascii="Times New Roman" w:eastAsia="Times New Roman" w:hAnsi="Times New Roman"/>
                <w:color w:val="000000" w:themeColor="text1"/>
                <w:sz w:val="16"/>
                <w:szCs w:val="16"/>
              </w:rPr>
              <w:t>Всего</w:t>
            </w:r>
          </w:p>
        </w:tc>
      </w:tr>
      <w:tr w:rsidR="00860B4B" w:rsidRPr="00D03F3E" w14:paraId="1F2DDB9F" w14:textId="77777777" w:rsidTr="00E71AD7">
        <w:tc>
          <w:tcPr>
            <w:tcW w:w="1260" w:type="dxa"/>
            <w:shd w:val="clear" w:color="auto" w:fill="auto"/>
          </w:tcPr>
          <w:p w14:paraId="1F83CD2E" w14:textId="77777777" w:rsidR="00B51AAB" w:rsidRPr="00D03F3E"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D03F3E">
              <w:rPr>
                <w:rFonts w:ascii="Times New Roman" w:eastAsia="Times New Roman" w:hAnsi="Times New Roman"/>
                <w:color w:val="000000" w:themeColor="text1"/>
                <w:sz w:val="16"/>
                <w:szCs w:val="16"/>
              </w:rPr>
              <w:t>Всего иномарок</w:t>
            </w:r>
          </w:p>
        </w:tc>
        <w:tc>
          <w:tcPr>
            <w:tcW w:w="677" w:type="dxa"/>
            <w:shd w:val="clear" w:color="auto" w:fill="auto"/>
            <w:vAlign w:val="center"/>
          </w:tcPr>
          <w:p w14:paraId="1E632379" w14:textId="77777777" w:rsidR="00B51AAB" w:rsidRPr="00D03F3E"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D03F3E">
              <w:rPr>
                <w:rFonts w:ascii="Times New Roman" w:eastAsia="Times New Roman" w:hAnsi="Times New Roman"/>
                <w:color w:val="000000" w:themeColor="text1"/>
                <w:sz w:val="16"/>
                <w:szCs w:val="16"/>
              </w:rPr>
              <w:t>221</w:t>
            </w:r>
          </w:p>
        </w:tc>
        <w:tc>
          <w:tcPr>
            <w:tcW w:w="960" w:type="dxa"/>
            <w:shd w:val="clear" w:color="auto" w:fill="auto"/>
            <w:vAlign w:val="center"/>
          </w:tcPr>
          <w:p w14:paraId="5C54908D" w14:textId="77777777" w:rsidR="00B51AAB" w:rsidRPr="00D03F3E"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D03F3E">
              <w:rPr>
                <w:rFonts w:ascii="Times New Roman" w:eastAsia="Times New Roman" w:hAnsi="Times New Roman"/>
                <w:color w:val="000000" w:themeColor="text1"/>
                <w:sz w:val="16"/>
                <w:szCs w:val="16"/>
              </w:rPr>
              <w:t>12 644</w:t>
            </w:r>
          </w:p>
        </w:tc>
        <w:tc>
          <w:tcPr>
            <w:tcW w:w="960" w:type="dxa"/>
            <w:shd w:val="clear" w:color="auto" w:fill="auto"/>
            <w:vAlign w:val="center"/>
          </w:tcPr>
          <w:p w14:paraId="333A68E2" w14:textId="77777777" w:rsidR="00B51AAB" w:rsidRPr="00D03F3E"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D03F3E">
              <w:rPr>
                <w:rFonts w:ascii="Times New Roman" w:eastAsia="Times New Roman" w:hAnsi="Times New Roman"/>
                <w:color w:val="000000" w:themeColor="text1"/>
                <w:sz w:val="16"/>
                <w:szCs w:val="16"/>
              </w:rPr>
              <w:t>13 891</w:t>
            </w:r>
          </w:p>
        </w:tc>
        <w:tc>
          <w:tcPr>
            <w:tcW w:w="960" w:type="dxa"/>
            <w:shd w:val="clear" w:color="auto" w:fill="auto"/>
            <w:vAlign w:val="center"/>
          </w:tcPr>
          <w:p w14:paraId="62D68303" w14:textId="77777777" w:rsidR="00B51AAB" w:rsidRPr="00D03F3E"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D03F3E">
              <w:rPr>
                <w:rFonts w:ascii="Times New Roman" w:eastAsia="Times New Roman" w:hAnsi="Times New Roman"/>
                <w:color w:val="000000" w:themeColor="text1"/>
                <w:sz w:val="16"/>
                <w:szCs w:val="16"/>
              </w:rPr>
              <w:t>14 748</w:t>
            </w:r>
          </w:p>
        </w:tc>
        <w:tc>
          <w:tcPr>
            <w:tcW w:w="961" w:type="dxa"/>
            <w:shd w:val="clear" w:color="auto" w:fill="auto"/>
            <w:vAlign w:val="center"/>
          </w:tcPr>
          <w:p w14:paraId="5A6CECEB" w14:textId="77777777" w:rsidR="00B51AAB" w:rsidRPr="00D03F3E"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D03F3E">
              <w:rPr>
                <w:rFonts w:ascii="Times New Roman" w:eastAsia="Times New Roman" w:hAnsi="Times New Roman"/>
                <w:color w:val="000000" w:themeColor="text1"/>
                <w:sz w:val="16"/>
                <w:szCs w:val="16"/>
              </w:rPr>
              <w:t>5 943</w:t>
            </w:r>
          </w:p>
        </w:tc>
        <w:tc>
          <w:tcPr>
            <w:tcW w:w="931" w:type="dxa"/>
            <w:shd w:val="clear" w:color="auto" w:fill="auto"/>
            <w:vAlign w:val="center"/>
          </w:tcPr>
          <w:p w14:paraId="1FC9E39E" w14:textId="77777777" w:rsidR="00B51AAB" w:rsidRPr="00D03F3E"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D03F3E">
              <w:rPr>
                <w:rFonts w:ascii="Times New Roman" w:eastAsia="Times New Roman" w:hAnsi="Times New Roman"/>
                <w:color w:val="000000" w:themeColor="text1"/>
                <w:sz w:val="16"/>
                <w:szCs w:val="16"/>
              </w:rPr>
              <w:t>46 997</w:t>
            </w:r>
          </w:p>
        </w:tc>
      </w:tr>
    </w:tbl>
    <w:p w14:paraId="3D4F3795" w14:textId="77777777" w:rsidR="00B51AAB" w:rsidRPr="00D03F3E" w:rsidRDefault="00B51AAB"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(15218).</w:t>
      </w:r>
    </w:p>
    <w:p w14:paraId="23141A49" w14:textId="77777777" w:rsidR="00B51AAB" w:rsidRPr="00D03F3E" w:rsidRDefault="00B51AAB" w:rsidP="00D03F3E">
      <w:pPr>
        <w:widowControl w:val="0"/>
        <w:spacing w:after="0" w:line="240" w:lineRule="auto"/>
        <w:jc w:val="both"/>
        <w:rPr>
          <w:rFonts w:ascii="Times New Roman" w:hAnsi="Times New Roman"/>
          <w:color w:val="000000" w:themeColor="text1"/>
          <w:sz w:val="16"/>
          <w:szCs w:val="16"/>
        </w:rPr>
      </w:pPr>
    </w:p>
    <w:p w14:paraId="55411D1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январю 1943 г. на РФ-7 спроектировали и уста</w:t>
      </w:r>
      <w:r w:rsidRPr="00D03F3E">
        <w:rPr>
          <w:rFonts w:ascii="Times New Roman" w:hAnsi="Times New Roman"/>
          <w:color w:val="000000" w:themeColor="text1"/>
          <w:sz w:val="16"/>
          <w:szCs w:val="16"/>
        </w:rPr>
        <w:softHyphen/>
        <w:t>новили привод от мотора к винту мотоцик</w:t>
      </w:r>
      <w:r w:rsidRPr="00D03F3E">
        <w:rPr>
          <w:rFonts w:ascii="Times New Roman" w:hAnsi="Times New Roman"/>
          <w:color w:val="000000" w:themeColor="text1"/>
          <w:sz w:val="16"/>
          <w:szCs w:val="16"/>
        </w:rPr>
        <w:softHyphen/>
        <w:t>летной цепью. На вале мотора были раз</w:t>
      </w:r>
      <w:r w:rsidRPr="00D03F3E">
        <w:rPr>
          <w:rFonts w:ascii="Times New Roman" w:hAnsi="Times New Roman"/>
          <w:color w:val="000000" w:themeColor="text1"/>
          <w:sz w:val="16"/>
          <w:szCs w:val="16"/>
        </w:rPr>
        <w:softHyphen/>
        <w:t>мещены маховик и пружинная эластичная муфта. Подача топлива теперь производи</w:t>
      </w:r>
      <w:r w:rsidRPr="00D03F3E">
        <w:rPr>
          <w:rFonts w:ascii="Times New Roman" w:hAnsi="Times New Roman"/>
          <w:color w:val="000000" w:themeColor="text1"/>
          <w:sz w:val="16"/>
          <w:szCs w:val="16"/>
        </w:rPr>
        <w:softHyphen/>
        <w:t>лась самотеком. Усовершенствованная си</w:t>
      </w:r>
      <w:r w:rsidRPr="00D03F3E">
        <w:rPr>
          <w:rFonts w:ascii="Times New Roman" w:hAnsi="Times New Roman"/>
          <w:color w:val="000000" w:themeColor="text1"/>
          <w:sz w:val="16"/>
          <w:szCs w:val="16"/>
        </w:rPr>
        <w:softHyphen/>
        <w:t>ловая установка была испытана сначала на аэросанях РФ-7, а летом опробована на глиссере. В результате проведенных ме</w:t>
      </w:r>
      <w:r w:rsidRPr="00D03F3E">
        <w:rPr>
          <w:rFonts w:ascii="Times New Roman" w:hAnsi="Times New Roman"/>
          <w:color w:val="000000" w:themeColor="text1"/>
          <w:sz w:val="16"/>
          <w:szCs w:val="16"/>
        </w:rPr>
        <w:softHyphen/>
        <w:t>роприятий работа ВМГ стала значительно более стабильной. Хотя после доработки аэросани РФ-7 в целом соответствовали ТТТ ГАБТУ, в ОКБ НКРФ пришли к выводу о неприемлемости традиционных конструктивных схем и ре</w:t>
      </w:r>
      <w:r w:rsidRPr="00D03F3E">
        <w:rPr>
          <w:rFonts w:ascii="Times New Roman" w:hAnsi="Times New Roman"/>
          <w:color w:val="000000" w:themeColor="text1"/>
          <w:sz w:val="16"/>
          <w:szCs w:val="16"/>
        </w:rPr>
        <w:softHyphen/>
        <w:t>шений для постройки маломощных аэро</w:t>
      </w:r>
      <w:r w:rsidRPr="00D03F3E">
        <w:rPr>
          <w:rFonts w:ascii="Times New Roman" w:hAnsi="Times New Roman"/>
          <w:color w:val="000000" w:themeColor="text1"/>
          <w:sz w:val="16"/>
          <w:szCs w:val="16"/>
        </w:rPr>
        <w:softHyphen/>
        <w:t>саней. Главными принципами при созда</w:t>
      </w:r>
      <w:r w:rsidRPr="00D03F3E">
        <w:rPr>
          <w:rFonts w:ascii="Times New Roman" w:hAnsi="Times New Roman"/>
          <w:color w:val="000000" w:themeColor="text1"/>
          <w:sz w:val="16"/>
          <w:szCs w:val="16"/>
        </w:rPr>
        <w:softHyphen/>
        <w:t>нии новых аэросаней, названных РФ-12, стали снижение веса и поиск новой конст</w:t>
      </w:r>
      <w:r w:rsidRPr="00D03F3E">
        <w:rPr>
          <w:rFonts w:ascii="Times New Roman" w:hAnsi="Times New Roman"/>
          <w:color w:val="000000" w:themeColor="text1"/>
          <w:sz w:val="16"/>
          <w:szCs w:val="16"/>
        </w:rPr>
        <w:softHyphen/>
        <w:t>руктивной схемы. Новые аэросани отличали открытая по</w:t>
      </w:r>
      <w:r w:rsidRPr="00D03F3E">
        <w:rPr>
          <w:rFonts w:ascii="Times New Roman" w:hAnsi="Times New Roman"/>
          <w:color w:val="000000" w:themeColor="text1"/>
          <w:sz w:val="16"/>
          <w:szCs w:val="16"/>
        </w:rPr>
        <w:softHyphen/>
        <w:t>садка экипажа (как на мотоцикле), мото</w:t>
      </w:r>
      <w:r w:rsidRPr="00D03F3E">
        <w:rPr>
          <w:rFonts w:ascii="Times New Roman" w:hAnsi="Times New Roman"/>
          <w:color w:val="000000" w:themeColor="text1"/>
          <w:sz w:val="16"/>
          <w:szCs w:val="16"/>
        </w:rPr>
        <w:softHyphen/>
        <w:t>циклетный руль с размещением на нем всех агрегатов управления, недефицитные конструкционные материалы, трехлыжная схема при сохранении двух колей. Простей</w:t>
      </w:r>
      <w:r w:rsidRPr="00D03F3E">
        <w:rPr>
          <w:rFonts w:ascii="Times New Roman" w:hAnsi="Times New Roman"/>
          <w:color w:val="000000" w:themeColor="text1"/>
          <w:sz w:val="16"/>
          <w:szCs w:val="16"/>
        </w:rPr>
        <w:softHyphen/>
        <w:t>шая технология изготовления и доступные конструкционные материалы делали пост</w:t>
      </w:r>
      <w:r w:rsidRPr="00D03F3E">
        <w:rPr>
          <w:rFonts w:ascii="Times New Roman" w:hAnsi="Times New Roman"/>
          <w:color w:val="000000" w:themeColor="text1"/>
          <w:sz w:val="16"/>
          <w:szCs w:val="16"/>
        </w:rPr>
        <w:softHyphen/>
        <w:t>ройку аэросаней такого типа возможной даже на слабо оснащенном ремонтном предпри</w:t>
      </w:r>
      <w:r w:rsidRPr="00D03F3E">
        <w:rPr>
          <w:rFonts w:ascii="Times New Roman" w:hAnsi="Times New Roman"/>
          <w:color w:val="000000" w:themeColor="text1"/>
          <w:sz w:val="16"/>
          <w:szCs w:val="16"/>
        </w:rPr>
        <w:softHyphen/>
        <w:t>ятии. Даже внешне аэросани РФ-12 похо</w:t>
      </w:r>
      <w:r w:rsidRPr="00D03F3E">
        <w:rPr>
          <w:rFonts w:ascii="Times New Roman" w:hAnsi="Times New Roman"/>
          <w:color w:val="000000" w:themeColor="text1"/>
          <w:sz w:val="16"/>
          <w:szCs w:val="16"/>
        </w:rPr>
        <w:softHyphen/>
        <w:t>дили на поставленный на лыжи мотоцикл с коляской. Это сходство усиливалось при замене летом лыж на колеса. Сохранение двух колей при трех лыжах позволило объединить преимущества че-тырехлыжных и трехлыжных аэросаней. Две расположенные слева лыжи прокладывали одну колею, что существенно снижало со</w:t>
      </w:r>
      <w:r w:rsidRPr="00D03F3E">
        <w:rPr>
          <w:rFonts w:ascii="Times New Roman" w:hAnsi="Times New Roman"/>
          <w:color w:val="000000" w:themeColor="text1"/>
          <w:sz w:val="16"/>
          <w:szCs w:val="16"/>
        </w:rPr>
        <w:softHyphen/>
        <w:t>противление движению. Отсутствие чет</w:t>
      </w:r>
      <w:r w:rsidRPr="00D03F3E">
        <w:rPr>
          <w:rFonts w:ascii="Times New Roman" w:hAnsi="Times New Roman"/>
          <w:color w:val="000000" w:themeColor="text1"/>
          <w:sz w:val="16"/>
          <w:szCs w:val="16"/>
        </w:rPr>
        <w:softHyphen/>
        <w:t>вертой лыжи и связанных с ней деталей подвески и управления позволило значи</w:t>
      </w:r>
      <w:r w:rsidRPr="00D03F3E">
        <w:rPr>
          <w:rFonts w:ascii="Times New Roman" w:hAnsi="Times New Roman"/>
          <w:color w:val="000000" w:themeColor="text1"/>
          <w:sz w:val="16"/>
          <w:szCs w:val="16"/>
        </w:rPr>
        <w:softHyphen/>
        <w:t>тельно снизить массу конструкции. Колея была принята равной колее массовых аэро</w:t>
      </w:r>
      <w:r w:rsidRPr="00D03F3E">
        <w:rPr>
          <w:rFonts w:ascii="Times New Roman" w:hAnsi="Times New Roman"/>
          <w:color w:val="000000" w:themeColor="text1"/>
          <w:sz w:val="16"/>
          <w:szCs w:val="16"/>
        </w:rPr>
        <w:softHyphen/>
        <w:t>саней НКЛ-16, что позволяло использовать РФ-12 в одной колонне с транспортными аэросанями (11955).</w:t>
      </w:r>
    </w:p>
    <w:p w14:paraId="3E06BD0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8E60B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боты пр. 165 стали использовать на Черном море, где выявилась необходимость улучшения их мореходньгх ка</w:t>
      </w:r>
      <w:r w:rsidRPr="00D03F3E">
        <w:rPr>
          <w:rFonts w:ascii="Times New Roman" w:hAnsi="Times New Roman"/>
          <w:color w:val="000000" w:themeColor="text1"/>
          <w:sz w:val="16"/>
          <w:szCs w:val="16"/>
        </w:rPr>
        <w:softHyphen/>
        <w:t>честв. С учетом этого в судоремонтных мастерских Черноморского флота проект был доработан и организована постройка близкого к пр. 165 деревянного мотобота (построено 12 единиц). Подобный мотобот — ДМБ (десантный морской бот) — был создан в метал</w:t>
      </w:r>
      <w:r w:rsidRPr="00D03F3E">
        <w:rPr>
          <w:rFonts w:ascii="Times New Roman" w:hAnsi="Times New Roman"/>
          <w:color w:val="000000" w:themeColor="text1"/>
          <w:sz w:val="16"/>
          <w:szCs w:val="16"/>
        </w:rPr>
        <w:softHyphen/>
        <w:t>лическом варианте на заводе 343. При водоизмещении 20 т (длина 13,6 м, ширина 3,85 м, высота борта — около 1,4 м) ДМБ-100 при</w:t>
      </w:r>
      <w:r w:rsidRPr="00D03F3E">
        <w:rPr>
          <w:rFonts w:ascii="Times New Roman" w:hAnsi="Times New Roman"/>
          <w:color w:val="000000" w:themeColor="text1"/>
          <w:sz w:val="16"/>
          <w:szCs w:val="16"/>
        </w:rPr>
        <w:softHyphen/>
        <w:t>нимал до 100 десантников. Импортный мотор "Коптиненталь" обеспечивал ему скорость до 9 уз и 120-мильную дальность плава</w:t>
      </w:r>
      <w:r w:rsidRPr="00D03F3E">
        <w:rPr>
          <w:rFonts w:ascii="Times New Roman" w:hAnsi="Times New Roman"/>
          <w:color w:val="000000" w:themeColor="text1"/>
          <w:sz w:val="16"/>
          <w:szCs w:val="16"/>
        </w:rPr>
        <w:softHyphen/>
        <w:t>ния (3898).</w:t>
      </w:r>
    </w:p>
    <w:p w14:paraId="2820A4D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60C8F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январе 1943 года В.Г. Хлопин направил А.Ф. Иоффе свои предложения по организации работ по атомному проекту. К основным вопросам, которые должны быть решены, В.Г. Хлопин отнес: </w:t>
      </w:r>
    </w:p>
    <w:p w14:paraId="27096A3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возможно ли создание цепной реакции деления ядер U-235 на быстрых или медленных нейтронах на природном уране или для этих целей требуется их предварительное разделение;</w:t>
      </w:r>
    </w:p>
    <w:p w14:paraId="2F3BACD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какова критическая масса материалов для различных типов протекания цепной реакции;</w:t>
      </w:r>
    </w:p>
    <w:p w14:paraId="1F61D80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возможно ли выделение изотопа U-235 в практически необходимых количествах и какой метод является для этого наиболее перспективным. В.Г. Хлопин еще раз отмечает принципиальное значение осуществления цепной реакции на природном уране, если для этого существует какая либо возможность (10549).</w:t>
      </w:r>
    </w:p>
    <w:p w14:paraId="07A9089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BB5B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в кратчайшие сроки был восстановлен и приступил к выпуску продукции и постройке базовых тральщиков проекта 53у, а затем к строитель</w:t>
      </w:r>
      <w:r w:rsidRPr="00D03F3E">
        <w:rPr>
          <w:rFonts w:ascii="Times New Roman" w:hAnsi="Times New Roman"/>
          <w:color w:val="000000" w:themeColor="text1"/>
          <w:sz w:val="16"/>
          <w:szCs w:val="16"/>
        </w:rPr>
        <w:softHyphen/>
        <w:t>ству тральщиков-"стотонников") завод 363 в Усть-Ижоре, располо</w:t>
      </w:r>
      <w:r w:rsidRPr="00D03F3E">
        <w:rPr>
          <w:rFonts w:ascii="Times New Roman" w:hAnsi="Times New Roman"/>
          <w:color w:val="000000" w:themeColor="text1"/>
          <w:sz w:val="16"/>
          <w:szCs w:val="16"/>
        </w:rPr>
        <w:softHyphen/>
        <w:t>женный в непосредственной близости от знаменитого "Невского пятачка (3898).</w:t>
      </w:r>
    </w:p>
    <w:p w14:paraId="00AC650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ABEB5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начальник ГМШ (В. А. Алафузов) утвердил предварительное ОТЗ на проектирование авианосца, которое пре</w:t>
      </w:r>
      <w:r w:rsidRPr="00D03F3E">
        <w:rPr>
          <w:rFonts w:ascii="Times New Roman" w:hAnsi="Times New Roman"/>
          <w:color w:val="000000" w:themeColor="text1"/>
          <w:sz w:val="16"/>
          <w:szCs w:val="16"/>
        </w:rPr>
        <w:softHyphen/>
        <w:t>дусматривало три варианта авиавооружения: 30, 45 и 60 самолетов, 130-мм, 85-мм и 37-мм артиллерию и брониров лие жизненно важных частей от 130-мм снарядов противника (3898).</w:t>
      </w:r>
    </w:p>
    <w:p w14:paraId="0E70853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B3196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январю 1943 г. был готов технический пр. 607 подводного транспорта (главный конст</w:t>
      </w:r>
      <w:r w:rsidRPr="00D03F3E">
        <w:rPr>
          <w:rFonts w:ascii="Times New Roman" w:hAnsi="Times New Roman"/>
          <w:color w:val="000000" w:themeColor="text1"/>
          <w:sz w:val="16"/>
          <w:szCs w:val="16"/>
        </w:rPr>
        <w:softHyphen/>
        <w:t>руктор Я. Е. Евграфов). Он предусмат</w:t>
      </w:r>
      <w:r w:rsidRPr="00D03F3E">
        <w:rPr>
          <w:rFonts w:ascii="Times New Roman" w:hAnsi="Times New Roman"/>
          <w:color w:val="000000" w:themeColor="text1"/>
          <w:sz w:val="16"/>
          <w:szCs w:val="16"/>
        </w:rPr>
        <w:softHyphen/>
        <w:t>ривал строительство двухкорпусной лодки с пятью главными отсе</w:t>
      </w:r>
      <w:r w:rsidRPr="00D03F3E">
        <w:rPr>
          <w:rFonts w:ascii="Times New Roman" w:hAnsi="Times New Roman"/>
          <w:color w:val="000000" w:themeColor="text1"/>
          <w:sz w:val="16"/>
          <w:szCs w:val="16"/>
        </w:rPr>
        <w:softHyphen/>
        <w:t>ками (в том числе два грузовых) надводным водоизмещением око</w:t>
      </w:r>
      <w:r w:rsidRPr="00D03F3E">
        <w:rPr>
          <w:rFonts w:ascii="Times New Roman" w:hAnsi="Times New Roman"/>
          <w:color w:val="000000" w:themeColor="text1"/>
          <w:sz w:val="16"/>
          <w:szCs w:val="16"/>
        </w:rPr>
        <w:softHyphen/>
        <w:t>ло 740 т (главные размерения 64х6,4х3,0 м), подводным — 984 т. При заполнении четырех балластных цистерн бензином водоизме</w:t>
      </w:r>
      <w:r w:rsidRPr="00D03F3E">
        <w:rPr>
          <w:rFonts w:ascii="Times New Roman" w:hAnsi="Times New Roman"/>
          <w:color w:val="000000" w:themeColor="text1"/>
          <w:sz w:val="16"/>
          <w:szCs w:val="16"/>
        </w:rPr>
        <w:softHyphen/>
        <w:t>щение возрастало до 865 т. Применение механизмов "малюток" предопределило низкие маневренные элементы: надводная и подводная скорости составили всего 9,5 и 4,5 уз при дальностях плавания экономическим ходом 3000 и 50 миль соответственно (3898).</w:t>
      </w:r>
    </w:p>
    <w:p w14:paraId="2AE21B0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346FA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инициативная группа при заводе «Красное Сормово», которая под руководством Р.Е. Алексеева разработала проект катера на малопогруженных крыльях А-4 в 1942, была преобразована в Гидродинамическую лабораторию для работ по судам на подводных крыльях, в 04.1943 г. по инициативе Алексеева она переведена в ОГК завода, осенью 1943 г. Преобразована в НИГЛ (Научно-исследовательская опытная гидродинамическая лаборатория (НИГЛ) завода № 112, филиал ЦКБ-19 МСП, ЦКБ по судам на подводных крыльях (ЦКБ по СПК) завода «Красное Сормово», ЦКБ по СПК им. Р.Е. Алексеева МСП, НПО, ОАО «ЦКБ по СПК им. Р.Е. Алексеева» ФАП /603003  г. Горький,  г. Нижний Новгород ул. Свободы, 51 тел. 73-10-37, -19-09/). Лаборатория размещена в небольшом деревянном строении на понтонах в затоне. Постройка А-4 включена в план опытного строительства НКСП с окончанием во 2-м квартале 1944 г.</w:t>
      </w:r>
    </w:p>
    <w:p w14:paraId="59AC40C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1947 г. лаборатории выдано задание по оснащению подводными крыльями серийных торпедных катеров пр. 123бис, переоборудованы опытные катера А-7, А-10, А-11. 17.04.1951 г. вышло ПСМ № 1235-621 об оснащении торпедного катера пр. 123К подводным крылом по пр. А-10бис.</w:t>
      </w:r>
    </w:p>
    <w:p w14:paraId="403D9D0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1949 г. разработан проект первого пассажирского СПК, построена его модель А-8.</w:t>
      </w:r>
    </w:p>
    <w:p w14:paraId="16BD2E9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08.1952 г. вышел приказ МТМ об организации НИГЛ в составе завода «Красное Сормово». По пр. МСП от 14.12.1954 г. НИГЛ передана в качестве филиала в состав ЦКБ-19 МСП. Распоряжением Горьковского СНХ от 24.12.1957 г. филиал преобразован в ЦКБ по СПК завода «Красное Сормово», в его состав вошли КБ, опытное производство, НИЛ и экспериментальная база. По пр. МСП от 14.04.1962 г. ЦКБ выделено (с 30.03.1965 г.) в самостоятельную организацию в непосредственном подчинении МСП. В 1964 г. ЦКБ - в ведении Волго-Вятского СНХ (ВВСНХ). По пр. МСП № 75/К от 14.02.1968 г. в составе ЦКБ по СПК с 4.03.1968 г. выделено два КБ: «А» - по судам на подводных крыльях; «Б» - по экранопланам; опытное производство преобразовано в самостоятельный завод «Волга». Р.Е. Алексеев снят с должности начальника-гл. конструктора ЦКБ, назначен гл. конструктором КБ «Б». ИС-1 вошла в состав КБ «А». В КБ «Б» перешли отделы: по разработке </w:t>
      </w:r>
      <w:r w:rsidRPr="00D03F3E">
        <w:rPr>
          <w:rFonts w:ascii="Times New Roman" w:hAnsi="Times New Roman"/>
          <w:color w:val="000000" w:themeColor="text1"/>
          <w:sz w:val="16"/>
          <w:szCs w:val="16"/>
        </w:rPr>
        <w:lastRenderedPageBreak/>
        <w:t>аэрогидродинамической компоновки, стартовых устройств, аэродинамики; ИС-2 и Каспийская база. Общепроектный, механический и корпусной отделы разделены между двумя КБ. Отделы прочности, стандартизации, патентов, снабжения и др. остались общими для двух КБ. Само ЦКБ по СПК вновь включено в состав завода «Красное Сормово».</w:t>
      </w:r>
    </w:p>
    <w:p w14:paraId="72B1410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1955-62 г. создан ряд пассажирских СПК. По решению МРФ РСФСР 9.09.1958 г. СПК пр. 340 «Ракета» запущено в серийное производство.</w:t>
      </w:r>
    </w:p>
    <w:p w14:paraId="1518922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1950-х  г. начаты работы по созданию боевых экранопланов. С 1961 г. строились самоходные пилотируемые модели экранопланов СМ-1, СМ-2,.. СМ-6.</w:t>
      </w:r>
    </w:p>
    <w:p w14:paraId="6AAB5EC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Помимо основной работы Р.Е. Алексеевым в 1936-53 г. спроектировано и построено 18 спортивных яхт (Р-4 «Щука», «Мир», Р-30 «Ласточка»),</w:t>
      </w:r>
    </w:p>
    <w:p w14:paraId="4B608B4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составе НИГЛ - экспериментальный цех, в котором размещался первый в стране скоростной опытный бассейн для испытания моделей, стапели. В 1956 г. заводом № 112 лаборатории передан цех для организации опытного производства (далее - завод «Волга»).</w:t>
      </w:r>
    </w:p>
    <w:p w14:paraId="51CC147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Имелась испытательная станция (1953 г.) на левом берегу Волги в 8 км от завода «Красное Сормово» в бухте Золотой залив. В 1953 г. организована новая испытательная станция (ИС-1) вблизи  г. Балахна на берегу незамерзающего Теплого озера. На этой станции имелся двухэтажный корпус со слесарным, механическим и сварочным участками, конструкторскими помещениями; склады с деревообделочным участком. В 1980-86 г. здесь построен экраноплан «Волга-2». Для этого был построен ангар для сборки и испытаний, участок изготовления пневмооболочек, здание стенда силовых установок, оборудован пологий спуск в воду.</w:t>
      </w:r>
    </w:p>
    <w:p w14:paraId="1D39BB6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1958 г. на Горьковском водохранилище (в месте впадения р. Троца) у  г. Чкаловска на площадке 2,5х 1 км начато строительство испытательной базы экранопланов ИС-2, далее это- Чкаловский филиал. Здесь в 1960-е  г. были построены опытовый бассейн, аэродинамическая труба, сборочный цех-эллинг, мастерские, лаборатории (гидродинамическая, аэротрубная, трековая) и стенды, пирс, причал, испытательная полоса длиной 2 км. В 1970-е  г. на ИС-2 создан стенд для доработки авиационных ГТД для экранопланов (были конвертированы НК-12МК, НК-8-4К). В 1976 г. Чкаловский филиал ЦКБ передан в ЦНИИ им. Крылова и перепрофилирован на исследования и испытания СВП. В 1960-е  г. на окраине  г. Каспийска на территории завода «Дагдизель» на берегу Каспийского моря создана новая испытательная база. В 1965 г. на о. Чечень в Каспийском море построена еще одна испытательная база (№ 3) и место стоянки экраноплана КМ. В 1962 г. построен инженерный корпус ЦКБ на берегу Волги. По приказам ВВСНХ от 18.09.1964 г. и по предприятию № 1 от 13.01.1965 г. на базе испытательной группы был организован летно-испытательный отдел (ЛИО). Он входил в состав летно-испытательной службы (ЛИС), в которую также вошли летный отряд (ЛО) и сектор испытаний. Для тренировки летного состава были приобретены самолеты «Супер-Аэро» и Як-12; для изучения авиационных конструкций - три списанных Ил-28.</w:t>
      </w:r>
    </w:p>
    <w:p w14:paraId="4AD70B4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1960-х-начале 1970-х  г. создан комплекс испытаний самоходных радиоуправляемых моделей (РУМ) на открытой воде, включавший стартовый понтон, скоростной катер сопровождения, наземный ангар, центр по расшифровке результатов; организован сектор РУМ. Для РУМ в ЦКБ был налажен серийный выпуск двигателей внутреннего сгорания МД-15, -30, -32; для управления движением моделей создана аппаратура пропорционального управления.</w:t>
      </w:r>
    </w:p>
    <w:p w14:paraId="36D95B3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1968 г. создан вычислительный центр. В 1973 г. организован отдел по испытаниям СМ-6 и пр. 904.</w:t>
      </w:r>
    </w:p>
    <w:p w14:paraId="4B8E444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24.04.1962 г. вышло ПСМ № 375-174 «О создании высокоскоростных кораблей противолодочной обороны и ракетоносцев пр. 1133 и 903».</w:t>
      </w:r>
    </w:p>
    <w:p w14:paraId="2BDEEB3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ПСМ № 357-127 от 30.04.1965 г. и пр. МСП № 0089 от 28.05.1965 г. начата разработка эскизного проекта военно-транспортного экраноплана (ВТЭ) Т-1. 28.12.1965 г. проект был готов. В 06.1966 г. работы прекращены.</w:t>
      </w:r>
    </w:p>
    <w:p w14:paraId="21F3052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26.07.1968 г. вышло постановление СМ СССР № 587-210, а 15.08.1968 г. - пр. МСП № 382 о проведении доработок КМ, о перспективных работах по созданию больших экранопланов.</w:t>
      </w:r>
    </w:p>
    <w:p w14:paraId="031AB23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1972 г. в ЦКБ введены должности гл. конструкторов проектов.</w:t>
      </w:r>
    </w:p>
    <w:p w14:paraId="3234CA0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~1975 г. Алексеев из-за аварии «Орленка» был снят с должности гл. конструктора и назначен начальником отдела (затем- сектора) перспективных разработок численностью 23 чел. Начаты работы по теме «Поиск» по созданию военных экранопланов (транспортно-десантных, противолодочных, ракетных). По 1978 г. отдел принимал участие в НИР «Взлет» (совместно с ЦНИИ им. Крылова) по перспективам развития скоростного судостроения. В 1979 г. отдел реорганизован в комплексный (со штатом около 150 чел.).</w:t>
      </w:r>
    </w:p>
    <w:p w14:paraId="2E36DEF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1970-е  г. по заданию ВМФ разработан проект малого сторожевого корабля на подводных крыльях пр. 133 «Антарес».</w:t>
      </w:r>
    </w:p>
    <w:p w14:paraId="0A14563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Планировалось строительство 120 экранопланов «Орленок», но после смерти в 1985 г. Д.Ф. Устинова программа была закрыта.</w:t>
      </w:r>
    </w:p>
    <w:p w14:paraId="493D37F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1990 г.- работы по судам на воздушной каверне.</w:t>
      </w:r>
    </w:p>
    <w:p w14:paraId="4C9864A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Выполнена НИР «Секунда».</w:t>
      </w:r>
    </w:p>
    <w:p w14:paraId="0D5A52C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(2007 г.): создание семейства морских многоцелевых катеров «Кобра» водоизмещением от 2,4 до 49 т и скоростью 60-100 узлов.</w:t>
      </w:r>
    </w:p>
    <w:p w14:paraId="5D267CA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2000 г. на базе ЦКБ по СПК создано совместное российско-китайское предприятие.</w:t>
      </w:r>
    </w:p>
    <w:p w14:paraId="2888DC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18.12.1986 г. ЦКБ присвоено имя Р.Е. Алексеева. По решению правительства № 22-р от 9.01.2004 г. вошло в перечень стратегических предприятий. Входило в ФПГ «Скоростной флот» (2007 г.).</w:t>
      </w:r>
    </w:p>
    <w:p w14:paraId="258A640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(-1955-68 Г.)- Р.Е. Алексеев, (1968-70-е)- В.В. Иконников, (1980-е)- В.Б. Чубиков, (2002 г.)- М.А. Суслов.</w:t>
      </w:r>
    </w:p>
    <w:p w14:paraId="492D5BE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конструкторы: КБ «А» (14.02.1968 г.-&gt; И.И. Ерлыкин; КБ «Б» (14.02.1968-26.09.75 г.)- Р.Е. Алексеев (пр. 904, СМ-6) {18.12.1916-9.02.1980}.</w:t>
      </w:r>
    </w:p>
    <w:p w14:paraId="6C2B9F8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конструктора (1956-60 г.-)- Н.А. Зайцев; по производству (1959 г.)-  Г.В. Сушин.</w:t>
      </w:r>
    </w:p>
    <w:p w14:paraId="6095075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конструктора КБ «Б» (1968 г.-)- И.М. Шапкин.</w:t>
      </w:r>
    </w:p>
    <w:p w14:paraId="50477F1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(1.01.1943-65 г.)- Р.Е. Алексеев. Ответственный руководитель (1.01.1965-68 г.)- Р.Е. Алексеев. Начальник (1968-80 г.-)- В.В. Иконников. Гендиректор (1992 г.)- Б.В. Чубиков, (2002 г.)- И.М. Василевский, (2006 г.)- С. Платонов.</w:t>
      </w:r>
    </w:p>
    <w:p w14:paraId="61E3006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по испытаниям (1960-е)- С.В. Моисеев; (1956-60 г.)- Н.А. Зайцев.</w:t>
      </w:r>
    </w:p>
    <w:p w14:paraId="5C92421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КБ «А» (14.02.1968 г.-)- Б.В. Садовский; КБ «Б» (14.02.1968 г.-)- И.М. Шапкин.</w:t>
      </w:r>
    </w:p>
    <w:p w14:paraId="71FF00D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(1960-67 г.)- Н.А. Зайцев, В.А. Марков.</w:t>
      </w:r>
    </w:p>
    <w:p w14:paraId="5ED01BA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Технический директор (2002 г.)- М.А. Суслов.</w:t>
      </w:r>
    </w:p>
    <w:p w14:paraId="70C2F1D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Руководитель ЛИС (1960-е)- С.В. Моисеев. Начальники испытательных баз (филиалов): ИС-1 - К.И. Диков, Н.С. Панов, А.И. Хохлов, В.И. Лисицын, Е.В. Маланов, С.Ю. Гусев; ИС-2 (1950-е)- В.П. Ишаков, Б.Е. Спящев, М.А. Агапыцев, Горьковского филиала ЦНИИ им. Крылова (1970-е)- П.А. Малахов; № 3 (1969 г.)- В.В. Артемов; Каспийской- М.И. Гайдарбеков.</w:t>
      </w:r>
    </w:p>
    <w:p w14:paraId="01C4F38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отделов: корпусного (1966 г.)- К.М. Шалаев; механического, силовых установок (1966 г.)- П.А. Булыгин; по разработке аэрогидродинамической компоновки (1968 г.)- Б.А. Зобнин; стартовых устройств (-1968- 75 г.-)- Э.И. Привалов; корабельных систем (1975 г.)- Ю.И. Минеев; электрооборудования и электронного вооружения- К.К. Марков; оборудования помещений и судовых устройств- К.Е. Рябов; аэродинамики (-1961-68 г.- )- А.И. Маскалик; прочности (1975 г.)- Б.С. Перельман; ЛИО (13.01.1965 г.-)- п В.Ф. Логинов; по испытаниям СМ- 6 и пр. 904 (1973-75 г.-)- Б.А. Зобнин; перспективных разработок (26.09.1975 г.-)- Р.Е. Алексеев; И.М. Василевский, Л.А. Горбачев, М.П. Ярошенко.</w:t>
      </w:r>
    </w:p>
    <w:p w14:paraId="7BBFC99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отдела: корпусного (1960-е)- В.А. Маслов; № 33- В.А. Дементьев.</w:t>
      </w:r>
    </w:p>
    <w:p w14:paraId="07A501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конструкторы: (1972 г.-)- Б.Ф. Орлов (пр. 133), (1972-79 г.-)- В.В. Соколов (пр. 904), (30.03.1972-76 г.)- Р.Е. Алексеев (СМ-6, пр. 904), (1985 г.)- В.В. Буланов («Стриж»), (1980-е)- И.И. Ерлыкин (пр. 03520, 12351), (1980-е- 2006 г.-)- В.Н. Кирилловых (пр. 903), (1980-е-90-е)- А.Н. Павленко (пр. 11770, 14230), В.М. Полежаев (СМ-6), И.Е. Малеханов (пр. 10391), И.И. Матвеев («Олимпия»), В.А. Дементьев («Волга-2»), Д.Н. Синицын («Акваглайдер»); по прочности (1961-2005 г.-)- Б.М. Нарицын; по гидродинамике (1959-2005 г.-)- Э.И. Привалов.</w:t>
      </w:r>
    </w:p>
    <w:p w14:paraId="6035325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конструкторов: (1979 г.)- С.А. Васильев (пр. 903, 904), В.А. Дементьев, (1980-е)- В.П. Ефремов (пр. 12351), В.Б. Латышенко (пр. 903).</w:t>
      </w:r>
    </w:p>
    <w:p w14:paraId="73D8980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судовой архитектор-дизайнер- О.П. Фролов.</w:t>
      </w:r>
    </w:p>
    <w:p w14:paraId="574D4AB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Начальники секторов: испытаний (1960-е)- </w:t>
      </w:r>
      <w:r w:rsidRPr="00D03F3E">
        <w:rPr>
          <w:rFonts w:ascii="Times New Roman" w:hAnsi="Times New Roman"/>
          <w:color w:val="000000" w:themeColor="text1"/>
          <w:sz w:val="16"/>
          <w:szCs w:val="16"/>
          <w:lang w:val="en-US"/>
        </w:rPr>
        <w:t>A</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M</w:t>
      </w:r>
      <w:r w:rsidRPr="00D03F3E">
        <w:rPr>
          <w:rFonts w:ascii="Times New Roman" w:hAnsi="Times New Roman"/>
          <w:color w:val="000000" w:themeColor="text1"/>
          <w:sz w:val="16"/>
          <w:szCs w:val="16"/>
        </w:rPr>
        <w:t>. Петров. Начальники: средств обеспечения (1966 г.)- В. Г. Голяткин; команды техобслуживания (1966 г.)- Н.Н. Лукьянченко. Начальник ВЦ- Д.И. Волов.</w:t>
      </w:r>
    </w:p>
    <w:p w14:paraId="4B391AC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Ведущие конструкторы: В.П. Ефремов (КМ), (1969 г.)- В.М. Полежаев (СМ-6), (1965 г.)- В.В. Соколов (Т-1), (- 1969-80-е)- О.А. Черемухин, (1962 г.)- В.И. Шадрин.</w:t>
      </w:r>
    </w:p>
    <w:p w14:paraId="68C580F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Создано: катера на подводных крыльях: А-4 (1943-44), А-5 (1945), торпедные А-7 (123бис, 1947), А-10 и А-11 (М-123бис, 1950), А-10бис (123К, 1952), К-123К (1953), А-1-д (пр. 183, 1953), А-1-20 (пр. 183ТК, 1955); А-8 (1949), разъездной «Волга» (1957), прогулочные: морской «Невка» (1967), «Дельфин» (1979); малый сторожевой пр. 133 «Антарес» (1978); СПК: речные пр. 340 «Ракета» (1956), пр. 342 «Метеор» (1958), сварной пр. 343 «Спутник» (1961), «Чайка» (1962), газотурбоход пр. 1708 «Буревестник» (1963), пр. 1709 «Беларусь» (1963); морские пр. 342МТ «Комета» (1961), «Стрела» (1961), пр. 330 «Вихрь» (1962), «Тайфун» (1969), «Альбатрос (1985), пр. 12351 «Циклон» (1985), «Ласточка» (1986), «Олимпия» (1993); «Восход», пр. 03520 «Восход-2» (1974), «Полесье» (1980), пр. 10391 «Колхида» (1981), «Зенит» (проект); суда на воздушной каверне: десантный катер пр. 11770 «Серна» (1990-е), «Линда», «Меркурий», патрульный пр. 14230 «Согжой» (1990-е), таможенное судно пр. 14232 «Меркурий», десантное типа «Дюгонь» (2000-е); патрульный катер пр. 21850 «Чибис»;</w:t>
      </w:r>
    </w:p>
    <w:p w14:paraId="7BF1457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экранотаны: СМ-1 (самоходная модель, 1960-61), СМ-2 (1962), СМ-2П7 (1964), СМ-3 (1962), СМ-4 (1963), СМ-5 (1963), СМ-8 (1967), КМ («Корабль-макет», «Каспийский монстр», 1962-66), военно-транспортный Т-1 (проект, 1965), СМ-6 (1969), пр. 903 «Лунь» с ПКР «Москит» (1961-81), десантный пр. 904 «Орленок» (1972, пнв в 11.1979 г.), УТ-1 (1968), СМ-9 (1977), СМ-10 (1979), СМ-11 (1979), учебно-тренировочный «Стриж» (1985-90), «Волга-2» (1979-80), пр. 09037 «Спасатель» (1987), «Акваглайдер», «Коршун» (проект), «Ястреб» (проект), «Чиж» (проект), пассажирский «Чайка» (проект), «Ракета-2» (проект), «Метеор-2» (проект), «Комета-2» (проект), «Вихрь-2» (проект).</w:t>
      </w:r>
      <w:r w:rsidRPr="00D03F3E">
        <w:rPr>
          <w:rFonts w:ascii="Times New Roman" w:hAnsi="Times New Roman"/>
          <w:color w:val="000000" w:themeColor="text1"/>
          <w:sz w:val="16"/>
          <w:szCs w:val="16"/>
          <w:vertAlign w:val="superscript"/>
        </w:rPr>
        <w:t>141</w:t>
      </w:r>
    </w:p>
    <w:p w14:paraId="7201E55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Опытный завод «Волга», Судостроительный завод «Волга», ОАО «Судостроительный завод «Волга»</w:t>
      </w:r>
    </w:p>
    <w:p w14:paraId="4DC89DB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/603603 (603950)  г. Горький, Нижний Новгород ул. Свободы, 51 тел. 73-08-23/</w:t>
      </w:r>
    </w:p>
    <w:p w14:paraId="24573E3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Опытное производство ЦКБ по СПК создано в 1956 г. на базе цеха завода № 112. Уникальное производство, созданное на стыке авиационной и судостроительной технологий для отработки постройки и натурных испытаний экранопланов. По пр. МСП № 75/К от 14.02.1968 г. опытное производство ЦКБ по СПК преобразовано в самостоятельный завод, с 21.12.1970 г. - опытный завод «Волга» ЦКБ по СПК.</w:t>
      </w:r>
    </w:p>
    <w:p w14:paraId="41FB6BF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решению правительства № 22-р от 9.01.2004 г. вошло в перечень стратегических предприятий. Входило в ФПГ «Скоростной флот» (2007 г.).</w:t>
      </w:r>
    </w:p>
    <w:p w14:paraId="65690F2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2008 г. планировалась постройка 5 десантных катеров на воздушной каверне типа «Дюгонь».</w:t>
      </w:r>
    </w:p>
    <w:p w14:paraId="0A7869F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ОП-  Г.В. Сушин. Директор (1968 г.-)- В.Н. Аверьянов, Н.И. Лепилов, (2006 г.)- В. Сурков.</w:t>
      </w:r>
    </w:p>
    <w:p w14:paraId="48863E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А.И. Коносов, В. Г. Алексеев.</w:t>
      </w:r>
    </w:p>
    <w:p w14:paraId="6119054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технолог- Н.И. Лопатин.</w:t>
      </w:r>
    </w:p>
    <w:p w14:paraId="17EB440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технолога- В.Н. Аверкин.</w:t>
      </w:r>
    </w:p>
    <w:p w14:paraId="379DFAA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катера: разъездной «Волга» (1958), десантный пр. 11770 «Серна» для ОАЭ (1990-е)- 3; служебно-разъездной пр. 14620 «Дельфин» (2000-е); десантный на воздушной каверне типа «Дюгонь» (2006-); патрульный пр. 21850 «Чибис» (2006); пассажирские теплоходы на подводных крыльях: пр. 340 «Ракета», пр. 342 «Метеор» (12.1958-10.1959), пр. 343 «Спутник» (1961), пр. 330 «Вихрь» (1961), «Комета» (1961), пр. 1708 «Буревестник» (1964), «Катран», «Ласточка» для Китая (2005); экранотаны: КМ (25.04.1963-66)- 1, СМ-6 (- 12.1970), пр. 904 «Орленок» МДЭ-150 (С-21, 1970-79), «Дубль» (экземпляр для статиспытаний), МДЭ-155 (С-25, 1981), МДЭ-160 (С-26, 1983); С-23 (1972); пр. 903Р «Лунь» МД-160 (С-31, 1983-07.1986)- 1; учебно- тренировочный «Стриж» (С-11, 1991), С-12 (экземпляр для статиспытаний); поисково-спасательный пр. 09037 «Спасатель» (С-33, 1986-2005-); таможенное судно «Сокжой» пр. 14232 «Меркурий» (-2005) (11982).</w:t>
      </w:r>
    </w:p>
    <w:p w14:paraId="42A62D1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1CA3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1943 г. началось восстановление завода (Завод № 363 НКСП, МСП, Усть-Ижорская верфь, Усть-Ижорская опытно-показательная электроверфь ВСНХ, НКВТ, Усть-Ижорская верфь НКОП, НКСП, Средне-Невский государственный судостроительный завод (СНСЗ) МСП, ГП, ФГУП, ОАО «СНСЗ» /196543 (196643) пос. Понтонный  г. Ленинград,  г. Санкт-Петербург ул. Заводская, 10 тел. 462-75-53, -10/) (620 чел.) и продолжено строительство и ремонт кораблей. С 1944 г. под руководством П.М. Сипилина начато внедрение блочного поточно-позиционного метода строительства, в 1947 г. началась крупносерийная постройка базовых тральщиков. В 1948-54 г. построен блок корпусных цехов для строительства малых боевых кораблей с поперечным слипом грузоподъемностью 1000 т. В 1960-е  г. был цех стеклопластикового судостроения.</w:t>
      </w:r>
    </w:p>
    <w:p w14:paraId="71B2641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1946 г. завод - в ведении МСП, затем - МТиТМ (1953-54 г.), МСП (1954-57 г.), Управления судостроительной промышленности ЛенСНХ (1957-65 г.). В 01.1966 г. завод № 363 передан в ведение 2ГУ МСП и переименован в Средне-Невский государственный судостроительный завод.</w:t>
      </w:r>
    </w:p>
    <w:p w14:paraId="63B5D3F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1955 г. впервые в нашей стране освоен выпуск надстроек кораблей-спасателей из АМ г. С 1960 г. началось строительство большой серии базовых тральщиков из маломагнитной стали и танкеров спецтоплива. В 1963 г. начато строительство первого в мире корабля из стеклопластика - тральщика «Изумруд», с начала 1970-х  г. - серийное производство стеклопластиковых корпусов. Затем завод строил быстроходные тральщики- волновые охранители, вертолетные неконтактные тралы, телеуправляемые прорыватели минных заграждений, противопожарные суда, спасательные колокола для ПЛ. С 1973 г. начато строительство серии больших ракетно- артиллерийских катеров.</w:t>
      </w:r>
    </w:p>
    <w:p w14:paraId="5190907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2001 г. вошел в ОАО «Концерн средне- и малотоннажного кораблестроения». По Указу Президента РФ № 1009 от 4.08.2004 г. вошел в число стратегических оборонных предприятий. В 2007 г. планировалось вхождение предприятия, находящегося в очень тяжелом финансовом положении, в один из 7 создаваемых в России судостроительных холдингов- ОАО «Западный центр судостроения». Распоряжением правительства в 06.2007 г. ФГУП «СНСЗ» преобразовано в ОАО.</w:t>
      </w:r>
    </w:p>
    <w:p w14:paraId="32028C0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(2005 г.): производство тральщика V поколения пр. 02668; модернизация тральщиков предыдущих выпусков.</w:t>
      </w:r>
    </w:p>
    <w:p w14:paraId="26C3CDB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(1937 г.)- 1222 чел., (06.1941 г.)- 2200 чел.</w:t>
      </w:r>
    </w:p>
    <w:p w14:paraId="40B82DD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Директор (9.04.1938 г.-)- </w:t>
      </w:r>
      <w:r w:rsidRPr="00D03F3E">
        <w:rPr>
          <w:rFonts w:ascii="Times New Roman" w:hAnsi="Times New Roman"/>
          <w:color w:val="000000" w:themeColor="text1"/>
          <w:sz w:val="16"/>
          <w:szCs w:val="16"/>
          <w:lang w:val="en-US"/>
        </w:rPr>
        <w:t>H</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JI</w:t>
      </w:r>
      <w:r w:rsidRPr="00D03F3E">
        <w:rPr>
          <w:rFonts w:ascii="Times New Roman" w:hAnsi="Times New Roman"/>
          <w:color w:val="000000" w:themeColor="text1"/>
          <w:sz w:val="16"/>
          <w:szCs w:val="16"/>
        </w:rPr>
        <w:t>. Тихомиров. Гендиректор (2005 г.)- С. Г. Ваганов, (2005 г.)- М. Швалев.</w:t>
      </w:r>
    </w:p>
    <w:p w14:paraId="74C35FB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директора (8.10.1937 г.-)- Т.В. Арефьев.</w:t>
      </w:r>
    </w:p>
    <w:p w14:paraId="063B6AF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(8.10.1937 г.-)- Т.В. Арефьев.</w:t>
      </w:r>
    </w:p>
    <w:p w14:paraId="3084234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строители кораблей: (1913 г.-)- В. Смыслов.</w:t>
      </w:r>
    </w:p>
    <w:p w14:paraId="584A63E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 эсминцы:</w:t>
      </w:r>
      <w:r w:rsidRPr="00D03F3E">
        <w:rPr>
          <w:rFonts w:ascii="Times New Roman" w:hAnsi="Times New Roman"/>
          <w:color w:val="000000" w:themeColor="text1"/>
          <w:sz w:val="16"/>
          <w:szCs w:val="16"/>
        </w:rPr>
        <w:t xml:space="preserve"> типа «Орфей» «Победитель», «Забияка» (11.1913-11.1914), «Орфей», «Гром» (11.1913-05.1915, достройка на Ижорском заводе), «Черноморский новик» (11.1913-12.1916, корпуса), «Летун», «Десна» (1914-15), «Азард», «Самсон» (1915-)- 8;</w:t>
      </w:r>
      <w:r w:rsidRPr="00D03F3E">
        <w:rPr>
          <w:rFonts w:ascii="Times New Roman" w:hAnsi="Times New Roman"/>
          <w:iCs/>
          <w:color w:val="000000" w:themeColor="text1"/>
          <w:sz w:val="16"/>
          <w:szCs w:val="16"/>
        </w:rPr>
        <w:t xml:space="preserve"> тральщики:</w:t>
      </w:r>
      <w:r w:rsidRPr="00D03F3E">
        <w:rPr>
          <w:rFonts w:ascii="Times New Roman" w:hAnsi="Times New Roman"/>
          <w:color w:val="000000" w:themeColor="text1"/>
          <w:sz w:val="16"/>
          <w:szCs w:val="16"/>
        </w:rPr>
        <w:t xml:space="preserve"> пр. 53у Т-205 «Гафель», Т-206 «Верп», Т-207 «Шпиль», Т-209 «Кнехт» (зак. 15/2, 1938), Т-210 «Гак», Т-211 «Рым», Т-212 «Штаг», Т-215, Т-216, Т-217 («Контр</w:t>
      </w:r>
      <w:r w:rsidRPr="00D03F3E">
        <w:rPr>
          <w:rFonts w:ascii="Times New Roman" w:hAnsi="Times New Roman"/>
          <w:color w:val="000000" w:themeColor="text1"/>
          <w:sz w:val="16"/>
          <w:szCs w:val="16"/>
        </w:rPr>
        <w:softHyphen/>
        <w:t>адмирал Юрковский»), Т-218 (1937-40), Т-208 «Шкив» (1938, достройка на заводе 196), Т-221 «Дмитрий Лысов» (1941-45); Т-219 («Контр-адмирал Хорошкин»), Т-220 (1941-, достройка на заводе 370); МТ-2 (1944); пр. 254 (1948-)- 60 (вместе с заводом 532), пр. 254К (1952)- 82 (вместе с заводом 532), пр. 254М (-1959)- 16 (вместе с заводом 532), пр. 254В (1955)- 2, пр. 254А (1957-59)- 12; пр. 264 (1951-57)- 1, пр. 264А (1958-63)- 23: базовые пр. 266 (1963-71)- 41 (вместе с заводом 876), экспортный пр. 266Э (1960-е)- 4 (вместе с заводом 876), пр. 266М (1970- 78)- 31 (вместе с ХСЗ), экспортный пр. 266МЭ (1978-91)- 23 (вместе с ХСЗ); пр. 1252 «Изумруд» (1966-69)- 3, деревянный пр. 1265Д (1970-е); морской пр. 02668 (2000-); рейдовые: пр. 1258 «Корунд» (1969-85)- 52, экспортный пр. 1258Э (1979-85)- 37, пр. 10750 «Сапфир» (1989-95-)- более 10, (2000-)- заложено несколько шт.; морской пр. 12660 «Железняков» (1988), морской зоны «Вице-адмирал Захарьин» пр. 02668 «Агат» (-05.2006); «Валентин Пикуль» (1991-2002); речной пр. 1259 (1973-76)- 7; волновой охранитель пр. 1256 (1974-75)- 2; прорыватель минных заграждений пр. 1300 (1979-)- 6; водитель прорывателей пр. 12255 (1980-е)- 2; канонерская лодка «Пионер» (1945);</w:t>
      </w:r>
      <w:r w:rsidRPr="00D03F3E">
        <w:rPr>
          <w:rFonts w:ascii="Times New Roman" w:hAnsi="Times New Roman"/>
          <w:color w:val="000000" w:themeColor="text1"/>
          <w:sz w:val="16"/>
          <w:szCs w:val="16"/>
          <w:vertAlign w:val="superscript"/>
        </w:rPr>
        <w:t>61</w:t>
      </w:r>
      <w:r w:rsidRPr="00D03F3E">
        <w:rPr>
          <w:rFonts w:ascii="Times New Roman" w:hAnsi="Times New Roman"/>
          <w:color w:val="000000" w:themeColor="text1"/>
          <w:sz w:val="16"/>
          <w:szCs w:val="16"/>
        </w:rPr>
        <w:t xml:space="preserve"> спасатель ПЛ пр. 532 и пр. 532А (1960-е)- всего 13;</w:t>
      </w:r>
      <w:r w:rsidRPr="00D03F3E">
        <w:rPr>
          <w:rFonts w:ascii="Times New Roman" w:hAnsi="Times New Roman"/>
          <w:iCs/>
          <w:color w:val="000000" w:themeColor="text1"/>
          <w:sz w:val="16"/>
          <w:szCs w:val="16"/>
        </w:rPr>
        <w:t xml:space="preserve"> катера:</w:t>
      </w:r>
      <w:r w:rsidRPr="00D03F3E">
        <w:rPr>
          <w:rFonts w:ascii="Times New Roman" w:hAnsi="Times New Roman"/>
          <w:color w:val="000000" w:themeColor="text1"/>
          <w:sz w:val="16"/>
          <w:szCs w:val="16"/>
        </w:rPr>
        <w:t xml:space="preserve"> бронекатера пр. 1124, 1125 (-1941); торпедные: на ПК пр. 206М (1970-76)- 24 (вместе с заводами 341, 5 и 602), пр. 205Т (1974-75) -4; сторожевой пр. 205ЭТ (1976-77)- 4; ракетные пр. 206МР «Вихрь» (1977-83)- 12,</w:t>
      </w:r>
      <w:r w:rsidRPr="00D03F3E">
        <w:rPr>
          <w:rFonts w:ascii="Times New Roman" w:hAnsi="Times New Roman"/>
          <w:color w:val="000000" w:themeColor="text1"/>
          <w:sz w:val="16"/>
          <w:szCs w:val="16"/>
          <w:vertAlign w:val="superscript"/>
        </w:rPr>
        <w:t>3</w:t>
      </w:r>
      <w:r w:rsidRPr="00D03F3E">
        <w:rPr>
          <w:rFonts w:ascii="Times New Roman" w:hAnsi="Times New Roman"/>
          <w:color w:val="000000" w:themeColor="text1"/>
          <w:sz w:val="16"/>
          <w:szCs w:val="16"/>
        </w:rPr>
        <w:t xml:space="preserve"> пр. 12411 «Молния-1» Р-2 (1979- 86)- около 17 (вместе с заводом 876); пассажирский на подводных крыльях пр. 1432 «Невка» (1970-е-80-е)- около 200; пассажирское судно «Белорыбица» (1934); плавучие краны 1,5 т (1934); достройка танкеров ракетного топлива завода 870 пр. 1541 (1960-е)- 9; противопожарные суда пр. 1893 (1968-75)- 6, пр. 1993 (1980-83); прогулочная стеклопластиковая яхта «Нева»- более 400, мотолодки «Онега», «Ладога», разборная лодка «Малютка», прогулочные яхты: «Круиз» (1990-е), "</w:t>
      </w:r>
      <w:r w:rsidRPr="00D03F3E">
        <w:rPr>
          <w:rFonts w:ascii="Times New Roman" w:hAnsi="Times New Roman"/>
          <w:color w:val="000000" w:themeColor="text1"/>
          <w:sz w:val="16"/>
          <w:szCs w:val="16"/>
          <w:lang w:val="en-US"/>
        </w:rPr>
        <w:t>LadyAnneIII</w:t>
      </w:r>
      <w:r w:rsidRPr="00D03F3E">
        <w:rPr>
          <w:rFonts w:ascii="Times New Roman" w:hAnsi="Times New Roman"/>
          <w:color w:val="000000" w:themeColor="text1"/>
          <w:sz w:val="16"/>
          <w:szCs w:val="16"/>
        </w:rPr>
        <w:t>" (1990); пассажирский катамаран «Капитан Корсак» (1995); вертолетные неконтактные тралы, телеуправляемые прорыватели минных заграждений, спасательные колокола для ПЛ;</w:t>
      </w:r>
    </w:p>
    <w:p w14:paraId="38E7CAE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переоборудование:</w:t>
      </w:r>
      <w:r w:rsidRPr="00D03F3E">
        <w:rPr>
          <w:rFonts w:ascii="Times New Roman" w:hAnsi="Times New Roman"/>
          <w:color w:val="000000" w:themeColor="text1"/>
          <w:sz w:val="16"/>
          <w:szCs w:val="16"/>
        </w:rPr>
        <w:t xml:space="preserve"> тральщиков пр. 264А в базовые корабли РЛ дозора (1978-83)- З.</w:t>
      </w:r>
      <w:r w:rsidRPr="00D03F3E">
        <w:rPr>
          <w:rFonts w:ascii="Times New Roman" w:hAnsi="Times New Roman"/>
          <w:color w:val="000000" w:themeColor="text1"/>
          <w:sz w:val="16"/>
          <w:szCs w:val="16"/>
          <w:vertAlign w:val="superscript"/>
        </w:rPr>
        <w:t>116</w:t>
      </w:r>
    </w:p>
    <w:p w14:paraId="2F607B1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КБ завода № 363, ЦКБ-363 /г. Ленинград/</w:t>
      </w:r>
    </w:p>
    <w:p w14:paraId="235E82B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1949 г. в КБ завода № 363 из ЦКБ-50 передано проектирование базовых тральщиков.</w:t>
      </w:r>
    </w:p>
    <w:p w14:paraId="7BC94EC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ПСМ № 255-123сс от 11.02.1954 г. были утверждены техпроекты базовых тральщиков пр. 254М и пр. 264 и начато их строительство, в соответствии с ПСМ № 488-197 от 12.05.1960 г. головной тральщик пр. 264А пнв. В соответствии с ПСМ № 2080-974сс от 2.10.1954 г. утвержден эскизный проект тральщика пр. 259; пост. № 346-117 от 30.04.1965 г. тральщики пр. 257Д и 257ДМ пнв. Пост. СМ СССР № 10-5сс от 5.01.1955 г. утвержден проект тральщика пр. 265К. Пост. СМ СССР № 1546-778 от 3.12.1956 г. утверждено ТТЗ на проектирование тральщика пр. 266.</w:t>
      </w:r>
    </w:p>
    <w:p w14:paraId="74E090F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1949 г. КБ завода преобразовано в самостоятельное ЦКБ-363. В 1954 г. в его состав влито СКБ-341. В 1963 г. ЦКБ-363 влито в состав ЦКБ-50.</w:t>
      </w:r>
    </w:p>
    <w:p w14:paraId="66256D9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конструкторы: (1940-е)-  Г.М. Вераксо (пр. 254), (-1949-57 г.-&gt; А. Г. Соколов (пр. 254К, 254А, 259, 264, 264А, 332), (1951 г.)- Е.Н. Туманов (пр. 444), (-1955-59 г.)- В.И. Блинов (пр. 265К, 265А, 265И, 257М), (1956 г.)- Н.П. Пегов (пр. 266).</w:t>
      </w:r>
    </w:p>
    <w:p w14:paraId="44EA971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Создано: тральщики:</w:t>
      </w:r>
      <w:r w:rsidRPr="00D03F3E">
        <w:rPr>
          <w:rFonts w:ascii="Times New Roman" w:hAnsi="Times New Roman"/>
          <w:color w:val="000000" w:themeColor="text1"/>
          <w:sz w:val="16"/>
          <w:szCs w:val="16"/>
        </w:rPr>
        <w:t xml:space="preserve"> базовые пр. 254 (1946), пр. 254К (1951), пр. 254М (1954), корабль воздушного наблюдения пр. 254В (1955), пр. 254А (1957); пр. 264 (1949-54), пр. 264А (1958, пнв 12.05.1960 г.);</w:t>
      </w:r>
      <w:r w:rsidRPr="00D03F3E">
        <w:rPr>
          <w:rFonts w:ascii="Times New Roman" w:hAnsi="Times New Roman"/>
          <w:iCs/>
          <w:color w:val="000000" w:themeColor="text1"/>
          <w:sz w:val="16"/>
          <w:szCs w:val="16"/>
        </w:rPr>
        <w:t xml:space="preserve"> пр. 266</w:t>
      </w:r>
      <w:r w:rsidRPr="00D03F3E">
        <w:rPr>
          <w:rFonts w:ascii="Times New Roman" w:hAnsi="Times New Roman"/>
          <w:color w:val="000000" w:themeColor="text1"/>
          <w:sz w:val="16"/>
          <w:szCs w:val="16"/>
        </w:rPr>
        <w:t xml:space="preserve"> (1956- 63), экспортный пр. 266Э (1960-е); рейдовые пр. 265К (1954-55), пр. 265А (1959), пр. 265И (1960-е); эскадренный пр. 259 (1954, не реализован); трал-баржа пр. 444 (1951, не реализован); рейдовые искатели мин пр. 257М (1959), пр. 257Д и 257ДМ (пнв 30.04.1965 г.); прорыватели минных заграждений: пр. 332 (1956, не реализован), дистанционно-упраляемый пр. 322 (1958-60, не реализован); пр. 256 и пр. 258 переоборудования тральщика пр. 254К в корабли РЛ дозора (1950-е); судно для испытаний торпед пр. 516 (1960); спасатель Г1Л пр. 532 и пр. 532А на базе тральщика пр. 264А (1960-е) (11982).</w:t>
      </w:r>
    </w:p>
    <w:p w14:paraId="76B4427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67F1DA" w14:textId="77777777" w:rsidR="00B51AAB" w:rsidRPr="00D03F3E" w:rsidRDefault="00B51AA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w:t>
      </w:r>
    </w:p>
    <w:p w14:paraId="3AB631CE" w14:textId="77777777" w:rsidR="00B51AAB" w:rsidRPr="00D03F3E" w:rsidRDefault="00B51AAB" w:rsidP="00D03F3E">
      <w:pPr>
        <w:tabs>
          <w:tab w:val="left" w:pos="2640"/>
        </w:tabs>
        <w:spacing w:after="0" w:line="240" w:lineRule="auto"/>
        <w:jc w:val="both"/>
        <w:rPr>
          <w:rFonts w:ascii="Times New Roman" w:hAnsi="Times New Roman"/>
          <w:bCs/>
          <w:color w:val="000000" w:themeColor="text1"/>
          <w:sz w:val="16"/>
          <w:szCs w:val="16"/>
        </w:rPr>
      </w:pPr>
      <w:r w:rsidRPr="00D03F3E">
        <w:rPr>
          <w:rFonts w:ascii="Times New Roman" w:hAnsi="Times New Roman"/>
          <w:bCs/>
          <w:color w:val="000000" w:themeColor="text1"/>
          <w:sz w:val="16"/>
          <w:szCs w:val="16"/>
        </w:rPr>
        <w:t xml:space="preserve">О развитии Красноярского завода №399 </w:t>
      </w:r>
    </w:p>
    <w:p w14:paraId="7AA17E2E" w14:textId="77777777" w:rsidR="00B51AAB" w:rsidRPr="00D03F3E" w:rsidRDefault="00B51AA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докладной записки Красноярского крайкома ВКП (б) в ЦК ВКП (б)</w:t>
      </w:r>
    </w:p>
    <w:p w14:paraId="20729C74" w14:textId="77777777" w:rsidR="00B51AAB" w:rsidRPr="00D03F3E" w:rsidRDefault="00B51AA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Красноярск [1943 г.]</w:t>
      </w:r>
    </w:p>
    <w:p w14:paraId="67E8DDCA" w14:textId="77777777" w:rsidR="00B51AAB" w:rsidRPr="00D03F3E" w:rsidRDefault="00B51AA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Секретарю Центрального комитета ВКП (б)</w:t>
      </w:r>
    </w:p>
    <w:p w14:paraId="6B916B71" w14:textId="77777777" w:rsidR="00B51AAB" w:rsidRPr="00D03F3E" w:rsidRDefault="00B51AAB" w:rsidP="00D03F3E">
      <w:pPr>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товарищу Маленкову</w:t>
      </w:r>
    </w:p>
    <w:p w14:paraId="44D3BED1" w14:textId="77777777" w:rsidR="00B51AAB" w:rsidRPr="00D03F3E" w:rsidRDefault="00B51AA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копия: Народному комиссару </w:t>
      </w:r>
    </w:p>
    <w:p w14:paraId="0A4C4001" w14:textId="77777777" w:rsidR="00B51AAB" w:rsidRPr="00D03F3E" w:rsidRDefault="00B51AA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судостроительной промышленности СССР</w:t>
      </w:r>
    </w:p>
    <w:p w14:paraId="2A40254E" w14:textId="77777777" w:rsidR="00B51AAB" w:rsidRPr="00D03F3E" w:rsidRDefault="00B51AAB" w:rsidP="00D03F3E">
      <w:pPr>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товарищу Носенко</w:t>
      </w:r>
    </w:p>
    <w:p w14:paraId="79E3EAFD" w14:textId="77777777" w:rsidR="00B51AAB" w:rsidRPr="00D03F3E" w:rsidRDefault="00B51AAB" w:rsidP="00D03F3E">
      <w:pPr>
        <w:tabs>
          <w:tab w:val="left" w:pos="264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сентябре 1942 года Наркомсудпром принял от Наркомлеса Союза ССР Красноярскую судоверфь и переименовал ее в завод №399. До начала войны верфь выпускала в год до 50 единиц мелких речных буксирных и пассажирских катеров. В  </w:t>
      </w:r>
      <w:r w:rsidRPr="00D03F3E">
        <w:rPr>
          <w:rFonts w:ascii="Times New Roman" w:hAnsi="Times New Roman"/>
          <w:color w:val="000000" w:themeColor="text1"/>
          <w:sz w:val="16"/>
          <w:szCs w:val="16"/>
          <w:lang w:val="en-US"/>
        </w:rPr>
        <w:t>III</w:t>
      </w:r>
      <w:r w:rsidRPr="00D03F3E">
        <w:rPr>
          <w:rFonts w:ascii="Times New Roman" w:hAnsi="Times New Roman"/>
          <w:color w:val="000000" w:themeColor="text1"/>
          <w:sz w:val="16"/>
          <w:szCs w:val="16"/>
        </w:rPr>
        <w:t xml:space="preserve">-м квартале 1943 года производственные площади и часть оборудования были переданы Наркомлесом эвакуированному в Красноярск Онежскому заводу, а верфь передана на площадку законсервированного с </w:t>
      </w:r>
      <w:smartTag w:uri="urn:schemas-microsoft-com:office:smarttags" w:element="metricconverter">
        <w:smartTagPr>
          <w:attr w:name="ProductID" w:val="1936 г"/>
        </w:smartTagPr>
        <w:r w:rsidRPr="00D03F3E">
          <w:rPr>
            <w:rFonts w:ascii="Times New Roman" w:hAnsi="Times New Roman"/>
            <w:color w:val="000000" w:themeColor="text1"/>
            <w:sz w:val="16"/>
            <w:szCs w:val="16"/>
          </w:rPr>
          <w:t>1936 г</w:t>
        </w:r>
      </w:smartTag>
      <w:r w:rsidRPr="00D03F3E">
        <w:rPr>
          <w:rFonts w:ascii="Times New Roman" w:hAnsi="Times New Roman"/>
          <w:color w:val="000000" w:themeColor="text1"/>
          <w:sz w:val="16"/>
          <w:szCs w:val="16"/>
        </w:rPr>
        <w:t>. строительства новой верфи. Основной контингент квалифицированных рабочих был взят в армию. Никаких мер по окончанию строительства новой верфи принято не было.</w:t>
      </w:r>
    </w:p>
    <w:p w14:paraId="37BADAF4" w14:textId="77777777" w:rsidR="00B51AAB" w:rsidRPr="00D03F3E" w:rsidRDefault="00B51AA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Решениями Государственного комитета обороны от 13/</w:t>
      </w:r>
      <w:r w:rsidRPr="00D03F3E">
        <w:rPr>
          <w:rFonts w:ascii="Times New Roman" w:hAnsi="Times New Roman"/>
          <w:color w:val="000000" w:themeColor="text1"/>
          <w:sz w:val="16"/>
          <w:szCs w:val="16"/>
          <w:lang w:val="en-US"/>
        </w:rPr>
        <w:t>VIII</w:t>
      </w:r>
      <w:r w:rsidRPr="00D03F3E">
        <w:rPr>
          <w:rFonts w:ascii="Times New Roman" w:hAnsi="Times New Roman"/>
          <w:color w:val="000000" w:themeColor="text1"/>
          <w:sz w:val="16"/>
          <w:szCs w:val="16"/>
        </w:rPr>
        <w:t>-1941 года и 4/</w:t>
      </w:r>
      <w:r w:rsidRPr="00D03F3E">
        <w:rPr>
          <w:rFonts w:ascii="Times New Roman" w:hAnsi="Times New Roman"/>
          <w:color w:val="000000" w:themeColor="text1"/>
          <w:sz w:val="16"/>
          <w:szCs w:val="16"/>
          <w:lang w:val="en-US"/>
        </w:rPr>
        <w:t>XII</w:t>
      </w:r>
      <w:r w:rsidRPr="00D03F3E">
        <w:rPr>
          <w:rFonts w:ascii="Times New Roman" w:hAnsi="Times New Roman"/>
          <w:color w:val="000000" w:themeColor="text1"/>
          <w:sz w:val="16"/>
          <w:szCs w:val="16"/>
        </w:rPr>
        <w:t xml:space="preserve">-1941 года на верфь было возложено строительство морских катеров- охотников типа «МО-IV» в количестве 15 единиц и 10 единиц катеров- тральщиков типа «МСВ-38-Б». Из них подлежало сдачи в 3-м квартале 1942 года «МО-IV» – 4 един[иц] и «МСВ-38-Б» – 6 [единиц], в </w:t>
      </w:r>
      <w:r w:rsidRPr="00D03F3E">
        <w:rPr>
          <w:rFonts w:ascii="Times New Roman" w:hAnsi="Times New Roman"/>
          <w:color w:val="000000" w:themeColor="text1"/>
          <w:sz w:val="16"/>
          <w:szCs w:val="16"/>
          <w:lang w:val="en-US"/>
        </w:rPr>
        <w:t>IV</w:t>
      </w:r>
      <w:r w:rsidRPr="00D03F3E">
        <w:rPr>
          <w:rFonts w:ascii="Times New Roman" w:hAnsi="Times New Roman"/>
          <w:color w:val="000000" w:themeColor="text1"/>
          <w:sz w:val="16"/>
          <w:szCs w:val="16"/>
        </w:rPr>
        <w:t xml:space="preserve">-м квартале </w:t>
      </w:r>
      <w:smartTag w:uri="urn:schemas-microsoft-com:office:smarttags" w:element="metricconverter">
        <w:smartTagPr>
          <w:attr w:name="ProductID" w:val="1942 г"/>
        </w:smartTagPr>
        <w:r w:rsidRPr="00D03F3E">
          <w:rPr>
            <w:rFonts w:ascii="Times New Roman" w:hAnsi="Times New Roman"/>
            <w:color w:val="000000" w:themeColor="text1"/>
            <w:sz w:val="16"/>
            <w:szCs w:val="16"/>
          </w:rPr>
          <w:t>1942 г</w:t>
        </w:r>
      </w:smartTag>
      <w:r w:rsidRPr="00D03F3E">
        <w:rPr>
          <w:rFonts w:ascii="Times New Roman" w:hAnsi="Times New Roman"/>
          <w:color w:val="000000" w:themeColor="text1"/>
          <w:sz w:val="16"/>
          <w:szCs w:val="16"/>
        </w:rPr>
        <w:t>. «МО-IV» – 8 един[иц] и «МСВ-38-Б» – 4 [единицы].</w:t>
      </w:r>
    </w:p>
    <w:p w14:paraId="166EA3FA" w14:textId="77777777" w:rsidR="00B51AAB" w:rsidRPr="00D03F3E" w:rsidRDefault="00B51AA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Обеспеченность программы 1942 года производственными мощностями представлялась в следующем виде: </w:t>
      </w:r>
    </w:p>
    <w:p w14:paraId="2D955F6D" w14:textId="77777777" w:rsidR="00B51AAB" w:rsidRPr="00D03F3E" w:rsidRDefault="00B51AAB" w:rsidP="00D03F3E">
      <w:pPr>
        <w:tabs>
          <w:tab w:val="left" w:pos="264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Производственные площади:</w:t>
      </w:r>
    </w:p>
    <w:tbl>
      <w:tblPr>
        <w:tblW w:w="0" w:type="auto"/>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212"/>
        <w:gridCol w:w="3212"/>
        <w:gridCol w:w="3163"/>
      </w:tblGrid>
      <w:tr w:rsidR="00860B4B" w:rsidRPr="00D03F3E" w14:paraId="3B394985" w14:textId="77777777" w:rsidTr="00601E3D">
        <w:tc>
          <w:tcPr>
            <w:tcW w:w="3212" w:type="dxa"/>
          </w:tcPr>
          <w:p w14:paraId="567A9583"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Наименование цехов</w:t>
            </w:r>
          </w:p>
        </w:tc>
        <w:tc>
          <w:tcPr>
            <w:tcW w:w="3212" w:type="dxa"/>
          </w:tcPr>
          <w:p w14:paraId="37C6B648"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Потребная площадь</w:t>
            </w:r>
          </w:p>
        </w:tc>
        <w:tc>
          <w:tcPr>
            <w:tcW w:w="3163" w:type="dxa"/>
          </w:tcPr>
          <w:p w14:paraId="5D4BAD04"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Наличие</w:t>
            </w:r>
          </w:p>
        </w:tc>
      </w:tr>
      <w:tr w:rsidR="00860B4B" w:rsidRPr="00D03F3E" w14:paraId="496EA446" w14:textId="77777777" w:rsidTr="00601E3D">
        <w:tc>
          <w:tcPr>
            <w:tcW w:w="3212" w:type="dxa"/>
          </w:tcPr>
          <w:p w14:paraId="1FC64FB5"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1. Катеросборочный</w:t>
            </w:r>
          </w:p>
        </w:tc>
        <w:tc>
          <w:tcPr>
            <w:tcW w:w="3212" w:type="dxa"/>
          </w:tcPr>
          <w:p w14:paraId="15EC84CF"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smartTag w:uri="urn:schemas-microsoft-com:office:smarttags" w:element="metricconverter">
              <w:smartTagPr>
                <w:attr w:name="ProductID" w:val="2800 кв. м"/>
              </w:smartTagPr>
              <w:r w:rsidRPr="00D03F3E">
                <w:rPr>
                  <w:rFonts w:ascii="Times New Roman" w:hAnsi="Times New Roman" w:cs="Times New Roman"/>
                  <w:color w:val="000000" w:themeColor="text1"/>
                  <w:kern w:val="0"/>
                  <w:sz w:val="16"/>
                  <w:szCs w:val="16"/>
                </w:rPr>
                <w:t>2800 кв. м</w:t>
              </w:r>
            </w:smartTag>
          </w:p>
        </w:tc>
        <w:tc>
          <w:tcPr>
            <w:tcW w:w="3163" w:type="dxa"/>
          </w:tcPr>
          <w:p w14:paraId="2DAFB990"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smartTag w:uri="urn:schemas-microsoft-com:office:smarttags" w:element="metricconverter">
              <w:smartTagPr>
                <w:attr w:name="ProductID" w:val="1130 кв. м"/>
              </w:smartTagPr>
              <w:r w:rsidRPr="00D03F3E">
                <w:rPr>
                  <w:rFonts w:ascii="Times New Roman" w:hAnsi="Times New Roman" w:cs="Times New Roman"/>
                  <w:color w:val="000000" w:themeColor="text1"/>
                  <w:kern w:val="0"/>
                  <w:sz w:val="16"/>
                  <w:szCs w:val="16"/>
                </w:rPr>
                <w:t>1130 кв. м</w:t>
              </w:r>
            </w:smartTag>
          </w:p>
        </w:tc>
      </w:tr>
      <w:tr w:rsidR="00860B4B" w:rsidRPr="00D03F3E" w14:paraId="1B18D113" w14:textId="77777777" w:rsidTr="00601E3D">
        <w:tc>
          <w:tcPr>
            <w:tcW w:w="3212" w:type="dxa"/>
          </w:tcPr>
          <w:p w14:paraId="34A0FEE7"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2. Кузнечно-пресервый</w:t>
            </w:r>
          </w:p>
        </w:tc>
        <w:tc>
          <w:tcPr>
            <w:tcW w:w="3212" w:type="dxa"/>
          </w:tcPr>
          <w:p w14:paraId="1F5FA5DB"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740</w:t>
            </w:r>
          </w:p>
        </w:tc>
        <w:tc>
          <w:tcPr>
            <w:tcW w:w="3163" w:type="dxa"/>
          </w:tcPr>
          <w:p w14:paraId="336A9668"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Нет</w:t>
            </w:r>
          </w:p>
        </w:tc>
      </w:tr>
      <w:tr w:rsidR="00860B4B" w:rsidRPr="00D03F3E" w14:paraId="5548BEEB" w14:textId="77777777" w:rsidTr="00601E3D">
        <w:tc>
          <w:tcPr>
            <w:tcW w:w="3212" w:type="dxa"/>
          </w:tcPr>
          <w:p w14:paraId="22198FB5"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3. Чугунно-литейный</w:t>
            </w:r>
          </w:p>
        </w:tc>
        <w:tc>
          <w:tcPr>
            <w:tcW w:w="3212" w:type="dxa"/>
          </w:tcPr>
          <w:p w14:paraId="49AAE95F"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400</w:t>
            </w:r>
          </w:p>
        </w:tc>
        <w:tc>
          <w:tcPr>
            <w:tcW w:w="3163" w:type="dxa"/>
          </w:tcPr>
          <w:p w14:paraId="3CC7BA74"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Нет</w:t>
            </w:r>
          </w:p>
        </w:tc>
      </w:tr>
      <w:tr w:rsidR="00860B4B" w:rsidRPr="00D03F3E" w14:paraId="1C3B5C73" w14:textId="77777777" w:rsidTr="00601E3D">
        <w:tc>
          <w:tcPr>
            <w:tcW w:w="3212" w:type="dxa"/>
          </w:tcPr>
          <w:p w14:paraId="62D121D9"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4. Трубомедницкий</w:t>
            </w:r>
          </w:p>
        </w:tc>
        <w:tc>
          <w:tcPr>
            <w:tcW w:w="3212" w:type="dxa"/>
          </w:tcPr>
          <w:p w14:paraId="0C0C71EE"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400</w:t>
            </w:r>
          </w:p>
        </w:tc>
        <w:tc>
          <w:tcPr>
            <w:tcW w:w="3163" w:type="dxa"/>
          </w:tcPr>
          <w:p w14:paraId="547B60BF"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Нет</w:t>
            </w:r>
          </w:p>
        </w:tc>
      </w:tr>
      <w:tr w:rsidR="00860B4B" w:rsidRPr="00D03F3E" w14:paraId="5EF2A9EA" w14:textId="77777777" w:rsidTr="00601E3D">
        <w:tc>
          <w:tcPr>
            <w:tcW w:w="3212" w:type="dxa"/>
          </w:tcPr>
          <w:p w14:paraId="2C56722F"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5. Механический</w:t>
            </w:r>
          </w:p>
        </w:tc>
        <w:tc>
          <w:tcPr>
            <w:tcW w:w="3212" w:type="dxa"/>
          </w:tcPr>
          <w:p w14:paraId="0B6736B7"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740</w:t>
            </w:r>
          </w:p>
        </w:tc>
        <w:tc>
          <w:tcPr>
            <w:tcW w:w="3163" w:type="dxa"/>
          </w:tcPr>
          <w:p w14:paraId="11AAC274"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740</w:t>
            </w:r>
          </w:p>
        </w:tc>
      </w:tr>
      <w:tr w:rsidR="00860B4B" w:rsidRPr="00D03F3E" w14:paraId="656B6B35" w14:textId="77777777" w:rsidTr="00601E3D">
        <w:tc>
          <w:tcPr>
            <w:tcW w:w="3212" w:type="dxa"/>
          </w:tcPr>
          <w:p w14:paraId="1E6D64AE"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6. Деревообделочный</w:t>
            </w:r>
          </w:p>
        </w:tc>
        <w:tc>
          <w:tcPr>
            <w:tcW w:w="3212" w:type="dxa"/>
          </w:tcPr>
          <w:p w14:paraId="65BC258D"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600</w:t>
            </w:r>
          </w:p>
        </w:tc>
        <w:tc>
          <w:tcPr>
            <w:tcW w:w="3163" w:type="dxa"/>
          </w:tcPr>
          <w:p w14:paraId="7DF970DB"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lang w:val="en-US"/>
              </w:rPr>
              <w:t xml:space="preserve"> 1</w:t>
            </w:r>
            <w:r w:rsidRPr="00D03F3E">
              <w:rPr>
                <w:rFonts w:ascii="Times New Roman" w:hAnsi="Times New Roman" w:cs="Times New Roman"/>
                <w:color w:val="000000" w:themeColor="text1"/>
                <w:kern w:val="0"/>
                <w:sz w:val="16"/>
                <w:szCs w:val="16"/>
              </w:rPr>
              <w:t>200</w:t>
            </w:r>
          </w:p>
        </w:tc>
      </w:tr>
    </w:tbl>
    <w:p w14:paraId="64FCAE96" w14:textId="77777777" w:rsidR="00B51AAB" w:rsidRPr="00D03F3E" w:rsidRDefault="00B51AAB" w:rsidP="00D03F3E">
      <w:pPr>
        <w:tabs>
          <w:tab w:val="left" w:pos="264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Оборудование</w:t>
      </w:r>
    </w:p>
    <w:tbl>
      <w:tblPr>
        <w:tblW w:w="0" w:type="auto"/>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4260"/>
        <w:gridCol w:w="2790"/>
        <w:gridCol w:w="2589"/>
      </w:tblGrid>
      <w:tr w:rsidR="00860B4B" w:rsidRPr="00D03F3E" w14:paraId="57BD4E6E" w14:textId="77777777" w:rsidTr="00601E3D">
        <w:tc>
          <w:tcPr>
            <w:tcW w:w="4260" w:type="dxa"/>
          </w:tcPr>
          <w:p w14:paraId="4CC2A4A1"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Группа оборудования</w:t>
            </w:r>
          </w:p>
        </w:tc>
        <w:tc>
          <w:tcPr>
            <w:tcW w:w="2790" w:type="dxa"/>
          </w:tcPr>
          <w:p w14:paraId="6232A328"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Потреб.</w:t>
            </w:r>
          </w:p>
        </w:tc>
        <w:tc>
          <w:tcPr>
            <w:tcW w:w="2589" w:type="dxa"/>
          </w:tcPr>
          <w:p w14:paraId="4BAA1A3C"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Наличие</w:t>
            </w:r>
          </w:p>
        </w:tc>
      </w:tr>
      <w:tr w:rsidR="00860B4B" w:rsidRPr="00D03F3E" w14:paraId="6093D963" w14:textId="77777777" w:rsidTr="00601E3D">
        <w:tc>
          <w:tcPr>
            <w:tcW w:w="4260" w:type="dxa"/>
          </w:tcPr>
          <w:p w14:paraId="1476BB9D"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Металлорежущие станки</w:t>
            </w:r>
          </w:p>
        </w:tc>
        <w:tc>
          <w:tcPr>
            <w:tcW w:w="2790" w:type="dxa"/>
          </w:tcPr>
          <w:p w14:paraId="2A082DDC"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55</w:t>
            </w:r>
          </w:p>
        </w:tc>
        <w:tc>
          <w:tcPr>
            <w:tcW w:w="2589" w:type="dxa"/>
          </w:tcPr>
          <w:p w14:paraId="16D410C3"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22</w:t>
            </w:r>
          </w:p>
        </w:tc>
      </w:tr>
      <w:tr w:rsidR="00860B4B" w:rsidRPr="00D03F3E" w14:paraId="401C0EFF" w14:textId="77777777" w:rsidTr="00601E3D">
        <w:tc>
          <w:tcPr>
            <w:tcW w:w="4260" w:type="dxa"/>
          </w:tcPr>
          <w:p w14:paraId="23078EEC"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Деревообделочные станки</w:t>
            </w:r>
          </w:p>
        </w:tc>
        <w:tc>
          <w:tcPr>
            <w:tcW w:w="2790" w:type="dxa"/>
          </w:tcPr>
          <w:p w14:paraId="7402B30C"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15</w:t>
            </w:r>
          </w:p>
        </w:tc>
        <w:tc>
          <w:tcPr>
            <w:tcW w:w="2589" w:type="dxa"/>
          </w:tcPr>
          <w:p w14:paraId="269BBFDB"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12</w:t>
            </w:r>
          </w:p>
        </w:tc>
      </w:tr>
      <w:tr w:rsidR="00860B4B" w:rsidRPr="00D03F3E" w14:paraId="05CDD4ED" w14:textId="77777777" w:rsidTr="00601E3D">
        <w:tc>
          <w:tcPr>
            <w:tcW w:w="4260" w:type="dxa"/>
          </w:tcPr>
          <w:p w14:paraId="0F782FB2"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 xml:space="preserve">Кузнечно-прессовое оборудование </w:t>
            </w:r>
          </w:p>
        </w:tc>
        <w:tc>
          <w:tcPr>
            <w:tcW w:w="2790" w:type="dxa"/>
          </w:tcPr>
          <w:p w14:paraId="10CA7817"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8</w:t>
            </w:r>
          </w:p>
        </w:tc>
        <w:tc>
          <w:tcPr>
            <w:tcW w:w="2589" w:type="dxa"/>
          </w:tcPr>
          <w:p w14:paraId="426DB537"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4</w:t>
            </w:r>
          </w:p>
        </w:tc>
      </w:tr>
      <w:tr w:rsidR="00860B4B" w:rsidRPr="00D03F3E" w14:paraId="0A3310F5" w14:textId="77777777" w:rsidTr="00601E3D">
        <w:tc>
          <w:tcPr>
            <w:tcW w:w="4260" w:type="dxa"/>
          </w:tcPr>
          <w:p w14:paraId="446E48B0"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Вагранка</w:t>
            </w:r>
          </w:p>
        </w:tc>
        <w:tc>
          <w:tcPr>
            <w:tcW w:w="2790" w:type="dxa"/>
          </w:tcPr>
          <w:p w14:paraId="55E75171"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1</w:t>
            </w:r>
          </w:p>
        </w:tc>
        <w:tc>
          <w:tcPr>
            <w:tcW w:w="2589" w:type="dxa"/>
          </w:tcPr>
          <w:p w14:paraId="262C3D29"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Нет</w:t>
            </w:r>
          </w:p>
        </w:tc>
      </w:tr>
      <w:tr w:rsidR="00860B4B" w:rsidRPr="00D03F3E" w14:paraId="1F94A303" w14:textId="77777777" w:rsidTr="00601E3D">
        <w:tc>
          <w:tcPr>
            <w:tcW w:w="4260" w:type="dxa"/>
          </w:tcPr>
          <w:p w14:paraId="641E5048"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Печь для цветного литья</w:t>
            </w:r>
          </w:p>
        </w:tc>
        <w:tc>
          <w:tcPr>
            <w:tcW w:w="2790" w:type="dxa"/>
          </w:tcPr>
          <w:p w14:paraId="79FACCB8"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1</w:t>
            </w:r>
          </w:p>
        </w:tc>
        <w:tc>
          <w:tcPr>
            <w:tcW w:w="2589" w:type="dxa"/>
          </w:tcPr>
          <w:p w14:paraId="258CA4A2" w14:textId="77777777" w:rsidR="00B51AAB" w:rsidRPr="00D03F3E" w:rsidRDefault="00B51AAB" w:rsidP="00D03F3E">
            <w:pPr>
              <w:pStyle w:val="afffff2"/>
              <w:snapToGrid w:val="0"/>
              <w:jc w:val="both"/>
              <w:rPr>
                <w:rFonts w:ascii="Times New Roman" w:hAnsi="Times New Roman" w:cs="Times New Roman"/>
                <w:color w:val="000000" w:themeColor="text1"/>
                <w:kern w:val="0"/>
                <w:sz w:val="16"/>
                <w:szCs w:val="16"/>
              </w:rPr>
            </w:pPr>
            <w:r w:rsidRPr="00D03F3E">
              <w:rPr>
                <w:rFonts w:ascii="Times New Roman" w:hAnsi="Times New Roman" w:cs="Times New Roman"/>
                <w:color w:val="000000" w:themeColor="text1"/>
                <w:kern w:val="0"/>
                <w:sz w:val="16"/>
                <w:szCs w:val="16"/>
              </w:rPr>
              <w:t>Нет</w:t>
            </w:r>
          </w:p>
        </w:tc>
      </w:tr>
    </w:tbl>
    <w:p w14:paraId="243E5A7F" w14:textId="77777777" w:rsidR="00B51AAB" w:rsidRPr="00D03F3E" w:rsidRDefault="00B51AA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Рабочая сила.</w:t>
      </w:r>
    </w:p>
    <w:p w14:paraId="07227AA7" w14:textId="77777777" w:rsidR="00B51AAB" w:rsidRPr="00D03F3E" w:rsidRDefault="00B51AA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Обеспеченность плана рабочей силой составляла в начале года 12% и в IV квартале – 26%. Причем средний разряд квалификации имеющейся рабочей силы 2,5 вместо 5,2 по плану.</w:t>
      </w:r>
    </w:p>
    <w:p w14:paraId="50C81B34" w14:textId="77777777" w:rsidR="00B51AAB" w:rsidRPr="00D03F3E" w:rsidRDefault="00B51AA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Материально-техническое обеспечение.</w:t>
      </w:r>
    </w:p>
    <w:p w14:paraId="27C87F1F" w14:textId="77777777" w:rsidR="00B51AAB" w:rsidRPr="00D03F3E" w:rsidRDefault="00B51AA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Поступление материалов по плану 1942 года практически началось в третьем квартале 1942 года, а основными видами материалов и судового оборудования выпуск судов не обеспечен до сего времени. Так, для  выпуска катеров-тральщиков «МСВ-38-Б» до сего времени не имеется: двигателей «ЗИС-5», гребных винтов, двигателей «Л/6-2», гребных валов, генераторов «ПН-28-5», якорей «Холла», цветного литья, листовой латуни, масляных радиаторов и друг[ого]. Выпуск катеров «МО-IV» также до сего времени не обеспечен оборудованием валопроводов, гребными винтами, электрооборудованием и друг.</w:t>
      </w:r>
    </w:p>
    <w:p w14:paraId="51C18AF2" w14:textId="77777777" w:rsidR="00B51AAB" w:rsidRPr="00D03F3E" w:rsidRDefault="00B51AAB" w:rsidP="00D03F3E">
      <w:pPr>
        <w:tabs>
          <w:tab w:val="num" w:pos="114"/>
          <w:tab w:val="left" w:pos="264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Произведенные монтажные работы (фундаменты) приходится переделывать, потому что вместо требующихся по проекту моторов «ГАМ» в декабре заводу присланы моторы «Поккорд».</w:t>
      </w:r>
    </w:p>
    <w:p w14:paraId="08FC5915" w14:textId="77777777" w:rsidR="00B51AAB" w:rsidRPr="00D03F3E" w:rsidRDefault="00B51AAB" w:rsidP="00D03F3E">
      <w:pPr>
        <w:tabs>
          <w:tab w:val="num" w:pos="114"/>
          <w:tab w:val="left" w:pos="264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Вместо укрепления верфи и оказания ей необходимой помощи Наркомлес СССР сделал все, чтобы избавиться от этого предприятия и освободиться от ответственности за срыв плана Государственного Комитета Обороны.</w:t>
      </w:r>
    </w:p>
    <w:p w14:paraId="53F23512" w14:textId="77777777" w:rsidR="00B51AAB" w:rsidRPr="00D03F3E" w:rsidRDefault="00B51AAB" w:rsidP="00D03F3E">
      <w:pPr>
        <w:tabs>
          <w:tab w:val="left" w:pos="264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существующих производственных возможностях верфи удалось в 1942 году заложить 4 единицы катеров-охотников «МО-IV» и 6 единиц тральщиков «МСВ-38-Б». Готовность судов на 1/</w:t>
      </w:r>
      <w:r w:rsidRPr="00D03F3E">
        <w:rPr>
          <w:rFonts w:ascii="Times New Roman" w:hAnsi="Times New Roman"/>
          <w:color w:val="000000" w:themeColor="text1"/>
          <w:sz w:val="16"/>
          <w:szCs w:val="16"/>
          <w:lang w:val="en-US"/>
        </w:rPr>
        <w:t>I</w:t>
      </w:r>
      <w:r w:rsidRPr="00D03F3E">
        <w:rPr>
          <w:rFonts w:ascii="Times New Roman" w:hAnsi="Times New Roman"/>
          <w:color w:val="000000" w:themeColor="text1"/>
          <w:sz w:val="16"/>
          <w:szCs w:val="16"/>
        </w:rPr>
        <w:t>-</w:t>
      </w:r>
      <w:smartTag w:uri="urn:schemas-microsoft-com:office:smarttags" w:element="metricconverter">
        <w:smartTagPr>
          <w:attr w:name="ProductID" w:val="1943 г"/>
        </w:smartTagPr>
        <w:r w:rsidRPr="00D03F3E">
          <w:rPr>
            <w:rFonts w:ascii="Times New Roman" w:hAnsi="Times New Roman"/>
            <w:color w:val="000000" w:themeColor="text1"/>
            <w:sz w:val="16"/>
            <w:szCs w:val="16"/>
          </w:rPr>
          <w:t>1943 г</w:t>
        </w:r>
      </w:smartTag>
      <w:r w:rsidRPr="00D03F3E">
        <w:rPr>
          <w:rFonts w:ascii="Times New Roman" w:hAnsi="Times New Roman"/>
          <w:color w:val="000000" w:themeColor="text1"/>
          <w:sz w:val="16"/>
          <w:szCs w:val="16"/>
        </w:rPr>
        <w:t>. составляет «МО-IV»  – 38-42%, «МСВ-38-Б» – 14%-23%.</w:t>
      </w:r>
    </w:p>
    <w:p w14:paraId="0DEAE775" w14:textId="77777777" w:rsidR="00B51AAB" w:rsidRPr="00D03F3E" w:rsidRDefault="00B51AAB" w:rsidP="00D03F3E">
      <w:pPr>
        <w:tabs>
          <w:tab w:val="left" w:pos="264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Приняв от Наркомлеса верфь, Наркомсудпром наметил ряд совершенно правильных и неотложных мероприятий. На место была прислана бригада             2-го Государственного проектного института, составившая проект реконструкции завода.</w:t>
      </w:r>
    </w:p>
    <w:p w14:paraId="07BE26E9" w14:textId="77777777" w:rsidR="00B51AAB" w:rsidRPr="00D03F3E" w:rsidRDefault="00B51AA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Зам[еститель] наркома тов. Каплун телеграммой директору завода и крайкому ВКП (б) сообщил, что в ноябре на завод будет прислано 300 чел[овек] квалифицированных рабочих-судостроителей. Фактически же в ноябре-декабре на завод прислан ряд руководящих инженерно-технических работников.</w:t>
      </w:r>
    </w:p>
    <w:p w14:paraId="24E75CFD" w14:textId="77777777" w:rsidR="00B51AAB" w:rsidRPr="00D03F3E" w:rsidRDefault="00B51AA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к сожалению, дальше этого дела укрепление завода №399 не пошло. Никаких практических мер по выполнению плана реконструкции не принято. Обещанные 300 чел[овек] квалифицированных рабочих не присланы. План на 1943 год приспособляется к существующим производственным возможностям. Возможности же эти, по сути дела, ограничиваются строительством небольшого количества судовых корпусов и для законченного судостроения требуют большой кооперации с другими предприятиями.</w:t>
      </w:r>
    </w:p>
    <w:p w14:paraId="5AE70D0E" w14:textId="77777777" w:rsidR="00B51AAB" w:rsidRPr="00D03F3E" w:rsidRDefault="00B51AAB" w:rsidP="00D03F3E">
      <w:pPr>
        <w:tabs>
          <w:tab w:val="left" w:pos="2640"/>
        </w:tabs>
        <w:spacing w:after="0" w:line="240" w:lineRule="auto"/>
        <w:jc w:val="both"/>
        <w:rPr>
          <w:rFonts w:ascii="Times New Roman" w:hAnsi="Times New Roman"/>
          <w:iCs/>
          <w:color w:val="000000" w:themeColor="text1"/>
          <w:sz w:val="16"/>
          <w:szCs w:val="16"/>
        </w:rPr>
      </w:pPr>
      <w:r w:rsidRPr="00D03F3E">
        <w:rPr>
          <w:rFonts w:ascii="Times New Roman" w:hAnsi="Times New Roman"/>
          <w:color w:val="000000" w:themeColor="text1"/>
          <w:sz w:val="16"/>
          <w:szCs w:val="16"/>
        </w:rPr>
        <w:t xml:space="preserve">Таким образом, реконструкция и развитие завода №399 откладывается на неопределенное время, без серьезных на то оснований. Между тем по заявлению работников НКПС необходимое заводу №399 оборудование в Наркомате имеется и может быть ему выделено. Потребность [в] строительных материалах, в основном, обеспечивается местными ресурсами. В связи с окончанием в 1-м квартале </w:t>
      </w:r>
      <w:smartTag w:uri="urn:schemas-microsoft-com:office:smarttags" w:element="metricconverter">
        <w:smartTagPr>
          <w:attr w:name="ProductID" w:val="1943 г"/>
        </w:smartTagPr>
        <w:r w:rsidRPr="00D03F3E">
          <w:rPr>
            <w:rFonts w:ascii="Times New Roman" w:hAnsi="Times New Roman"/>
            <w:color w:val="000000" w:themeColor="text1"/>
            <w:sz w:val="16"/>
            <w:szCs w:val="16"/>
          </w:rPr>
          <w:t>1943 г</w:t>
        </w:r>
      </w:smartTag>
      <w:r w:rsidRPr="00D03F3E">
        <w:rPr>
          <w:rFonts w:ascii="Times New Roman" w:hAnsi="Times New Roman"/>
          <w:color w:val="000000" w:themeColor="text1"/>
          <w:sz w:val="16"/>
          <w:szCs w:val="16"/>
        </w:rPr>
        <w:t xml:space="preserve">. строительства Красноярского гидролизного завода </w:t>
      </w:r>
      <w:r w:rsidRPr="00D03F3E">
        <w:rPr>
          <w:rFonts w:ascii="Times New Roman" w:hAnsi="Times New Roman"/>
          <w:iCs/>
          <w:color w:val="000000" w:themeColor="text1"/>
          <w:sz w:val="16"/>
          <w:szCs w:val="16"/>
        </w:rPr>
        <w:t>\</w:t>
      </w:r>
    </w:p>
    <w:p w14:paraId="6CECC64C" w14:textId="77777777" w:rsidR="00B51AAB" w:rsidRPr="00D03F3E" w:rsidRDefault="00B51AAB" w:rsidP="00D03F3E">
      <w:pPr>
        <w:tabs>
          <w:tab w:val="left" w:pos="2640"/>
        </w:tabs>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 НКВД</w:t>
      </w:r>
      <w:r w:rsidRPr="00D03F3E">
        <w:rPr>
          <w:rFonts w:ascii="Times New Roman" w:hAnsi="Times New Roman"/>
          <w:color w:val="000000" w:themeColor="text1"/>
          <w:sz w:val="16"/>
          <w:szCs w:val="16"/>
        </w:rPr>
        <w:t xml:space="preserve"> имеет возможность осуществить строительные работы.</w:t>
      </w:r>
    </w:p>
    <w:p w14:paraId="5280473F" w14:textId="77777777" w:rsidR="00B51AAB" w:rsidRPr="00D03F3E" w:rsidRDefault="00B51AAB" w:rsidP="00D03F3E">
      <w:pPr>
        <w:tabs>
          <w:tab w:val="left" w:pos="264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военного судостроения, необходимость развития завода №399 в мощную судостроительную базу диктуется нуждами народного хозяйства Красноярского края. Енисейское речное пароходство имеет совершенно недостаточные возможности (Судоремзавод) для пополнения своего флота новыми судами. Наличный же флот уже в настоящее время не справляется со все возрастающим грузооборотом в Енисейском водном бассейне. Рост лесной, рыбной и полиметаллической промышленности края (Норильск), особенно в северных районах, также требует большого количества речных судов. Учитывая все эти обстоятельства, крайком ВКП (б) считает совершенно необходимым и неотложным делом проведение следующих мероприятий:</w:t>
      </w:r>
    </w:p>
    <w:p w14:paraId="1E3A1C9F" w14:textId="77777777" w:rsidR="00B51AAB" w:rsidRPr="00D03F3E" w:rsidRDefault="00B51AA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 В </w:t>
      </w:r>
      <w:smartTag w:uri="urn:schemas-microsoft-com:office:smarttags" w:element="metricconverter">
        <w:smartTagPr>
          <w:attr w:name="ProductID" w:val="1943 г"/>
        </w:smartTagPr>
        <w:r w:rsidRPr="00D03F3E">
          <w:rPr>
            <w:rFonts w:ascii="Times New Roman" w:hAnsi="Times New Roman"/>
            <w:color w:val="000000" w:themeColor="text1"/>
            <w:sz w:val="16"/>
            <w:szCs w:val="16"/>
          </w:rPr>
          <w:t>1943 г</w:t>
        </w:r>
      </w:smartTag>
      <w:r w:rsidRPr="00D03F3E">
        <w:rPr>
          <w:rFonts w:ascii="Times New Roman" w:hAnsi="Times New Roman"/>
          <w:color w:val="000000" w:themeColor="text1"/>
          <w:sz w:val="16"/>
          <w:szCs w:val="16"/>
        </w:rPr>
        <w:t>. провести реконструкцию и расширение завода №399 в соответствии с планом военного судостроения и удовлетворением растущих потребностей в судах Енисейского пароходства.</w:t>
      </w:r>
    </w:p>
    <w:p w14:paraId="3668C658" w14:textId="77777777" w:rsidR="00B51AAB" w:rsidRPr="00D03F3E" w:rsidRDefault="00B51AA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Путем переброски других заводов создать основной костяк квалифицированных кадров рабочих-судостроителей (250-300 чел[овек]).</w:t>
      </w:r>
    </w:p>
    <w:p w14:paraId="6C8DFBDA" w14:textId="77777777" w:rsidR="00B51AAB" w:rsidRPr="00D03F3E" w:rsidRDefault="00B51AA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 кратчайший срок обеспечить материалом и оборудованием строящиеся военные суда, что даст возможность закончить их и освободить стапеля для закладки новых.</w:t>
      </w:r>
    </w:p>
    <w:p w14:paraId="1E03CAE4" w14:textId="77777777" w:rsidR="00B51AAB" w:rsidRPr="00D03F3E" w:rsidRDefault="00B51AAB" w:rsidP="00D03F3E">
      <w:pPr>
        <w:tabs>
          <w:tab w:val="left" w:pos="264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Придавая поднятому вопросу большое значение, крайком ВКП (б) просит Вас одобрить предлагаемые мероприятия и поручить НКПС принять необходимые меры к их осуществлению.</w:t>
      </w:r>
    </w:p>
    <w:p w14:paraId="128B4780" w14:textId="77777777" w:rsidR="00B51AAB" w:rsidRPr="00D03F3E" w:rsidRDefault="00B51AAB" w:rsidP="00D03F3E">
      <w:pPr>
        <w:tabs>
          <w:tab w:val="left" w:pos="264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Секретарь крайкома ВКП (б)           подпись                 И. Голубев</w:t>
      </w:r>
    </w:p>
    <w:p w14:paraId="0442B599" w14:textId="77777777" w:rsidR="00B51AAB" w:rsidRPr="00D03F3E" w:rsidRDefault="00B51AAB" w:rsidP="00D03F3E">
      <w:pPr>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ГАКК. Ф.П-26. Оп.4. Д.1.Л.14-17. Подлинник. Машинопись (15991).</w:t>
      </w:r>
    </w:p>
    <w:p w14:paraId="0E3D559F" w14:textId="77777777" w:rsidR="00B51AAB" w:rsidRPr="00D03F3E" w:rsidRDefault="00B51AAB" w:rsidP="00D03F3E">
      <w:pPr>
        <w:spacing w:after="0" w:line="240" w:lineRule="auto"/>
        <w:jc w:val="both"/>
        <w:rPr>
          <w:rFonts w:ascii="Times New Roman" w:hAnsi="Times New Roman"/>
          <w:color w:val="000000" w:themeColor="text1"/>
          <w:sz w:val="16"/>
          <w:szCs w:val="16"/>
        </w:rPr>
      </w:pPr>
    </w:p>
    <w:p w14:paraId="620A8096"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47F3F3C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DCDC3B"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январе 1943 г. старший лейтенант Сергей Платов, сбивший к тому времени 5 самолетов противника лично и 8 - в груп</w:t>
      </w:r>
      <w:r w:rsidRPr="00D03F3E">
        <w:rPr>
          <w:rFonts w:ascii="Times New Roman" w:cs="Times New Roman"/>
          <w:color w:val="000000" w:themeColor="text1"/>
          <w:spacing w:val="0"/>
        </w:rPr>
        <w:softHyphen/>
        <w:t>пе, после того, как на его Як-1 в бою закон</w:t>
      </w:r>
      <w:r w:rsidRPr="00D03F3E">
        <w:rPr>
          <w:rFonts w:ascii="Times New Roman" w:cs="Times New Roman"/>
          <w:color w:val="000000" w:themeColor="text1"/>
          <w:spacing w:val="0"/>
        </w:rPr>
        <w:softHyphen/>
        <w:t>чились снаряды, трижды пытался таранить «Юнкерс-88», на котором он до этого успел вывести из строя огневые точки и подбил правый мотор. Однако самолет против</w:t>
      </w:r>
      <w:r w:rsidRPr="00D03F3E">
        <w:rPr>
          <w:rFonts w:ascii="Times New Roman" w:cs="Times New Roman"/>
          <w:color w:val="000000" w:themeColor="text1"/>
          <w:spacing w:val="0"/>
        </w:rPr>
        <w:softHyphen/>
        <w:t>ника, маневрируя, уклонился от таранных атак Сергея и скрылся (12738).</w:t>
      </w:r>
    </w:p>
    <w:p w14:paraId="57F9BEB1" w14:textId="77777777" w:rsidR="00113EE2" w:rsidRPr="00D03F3E" w:rsidRDefault="00113EE2" w:rsidP="00D03F3E">
      <w:pPr>
        <w:pStyle w:val="27"/>
        <w:shd w:val="clear" w:color="auto" w:fill="auto"/>
        <w:spacing w:after="0" w:line="240" w:lineRule="auto"/>
        <w:ind w:firstLine="0"/>
        <w:rPr>
          <w:rFonts w:ascii="Times New Roman" w:cs="Times New Roman"/>
          <w:color w:val="000000" w:themeColor="text1"/>
          <w:spacing w:val="0"/>
        </w:rPr>
      </w:pPr>
    </w:p>
    <w:p w14:paraId="23155E8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успешное же на</w:t>
      </w:r>
      <w:r w:rsidRPr="00D03F3E">
        <w:rPr>
          <w:rFonts w:ascii="Times New Roman" w:hAnsi="Times New Roman"/>
          <w:color w:val="000000" w:themeColor="text1"/>
          <w:sz w:val="16"/>
          <w:szCs w:val="16"/>
        </w:rPr>
        <w:softHyphen/>
        <w:t>ступление войск Южного и Заказвказского фронтов постави</w:t>
      </w:r>
      <w:r w:rsidRPr="00D03F3E">
        <w:rPr>
          <w:rFonts w:ascii="Times New Roman" w:hAnsi="Times New Roman"/>
          <w:color w:val="000000" w:themeColor="text1"/>
          <w:sz w:val="16"/>
          <w:szCs w:val="16"/>
        </w:rPr>
        <w:softHyphen/>
        <w:t>ло немецкую группировку на Таманском полуострове в полную зависимость от морских перевозок. В этой связи ком</w:t>
      </w:r>
      <w:r w:rsidRPr="00D03F3E">
        <w:rPr>
          <w:rFonts w:ascii="Times New Roman" w:hAnsi="Times New Roman"/>
          <w:color w:val="000000" w:themeColor="text1"/>
          <w:sz w:val="16"/>
          <w:szCs w:val="16"/>
        </w:rPr>
        <w:softHyphen/>
        <w:t>муникация Керченский полуостров -Таманский полуостров для немцев при</w:t>
      </w:r>
      <w:r w:rsidRPr="00D03F3E">
        <w:rPr>
          <w:rFonts w:ascii="Times New Roman" w:hAnsi="Times New Roman"/>
          <w:color w:val="000000" w:themeColor="text1"/>
          <w:sz w:val="16"/>
          <w:szCs w:val="16"/>
        </w:rPr>
        <w:softHyphen/>
        <w:t>обрела особо важное значение. Боевое снабжение и пополнение войск 17-й армии вермахта на Таманс</w:t>
      </w:r>
      <w:r w:rsidRPr="00D03F3E">
        <w:rPr>
          <w:rFonts w:ascii="Times New Roman" w:hAnsi="Times New Roman"/>
          <w:color w:val="000000" w:themeColor="text1"/>
          <w:sz w:val="16"/>
          <w:szCs w:val="16"/>
        </w:rPr>
        <w:softHyphen/>
        <w:t>ком п/о проводилось из Крыма через порты Керченского пролива и по ком</w:t>
      </w:r>
      <w:r w:rsidRPr="00D03F3E">
        <w:rPr>
          <w:rFonts w:ascii="Times New Roman" w:hAnsi="Times New Roman"/>
          <w:color w:val="000000" w:themeColor="text1"/>
          <w:sz w:val="16"/>
          <w:szCs w:val="16"/>
        </w:rPr>
        <w:softHyphen/>
        <w:t>муникации Керчь-Анапа. Основным пор</w:t>
      </w:r>
      <w:r w:rsidRPr="00D03F3E">
        <w:rPr>
          <w:rFonts w:ascii="Times New Roman" w:hAnsi="Times New Roman"/>
          <w:color w:val="000000" w:themeColor="text1"/>
          <w:sz w:val="16"/>
          <w:szCs w:val="16"/>
        </w:rPr>
        <w:softHyphen/>
        <w:t>том погрузки являлась Керчь, а вспомо</w:t>
      </w:r>
      <w:r w:rsidRPr="00D03F3E">
        <w:rPr>
          <w:rFonts w:ascii="Times New Roman" w:hAnsi="Times New Roman"/>
          <w:color w:val="000000" w:themeColor="text1"/>
          <w:sz w:val="16"/>
          <w:szCs w:val="16"/>
        </w:rPr>
        <w:softHyphen/>
        <w:t>гательными - Феодосия и Камыш-Бу</w:t>
      </w:r>
      <w:r w:rsidRPr="00D03F3E">
        <w:rPr>
          <w:rFonts w:ascii="Times New Roman" w:hAnsi="Times New Roman"/>
          <w:color w:val="000000" w:themeColor="text1"/>
          <w:sz w:val="16"/>
          <w:szCs w:val="16"/>
        </w:rPr>
        <w:softHyphen/>
        <w:t>рун. Портами разгрузки были: Тамань, Сенная, Темрюк, Анапа, Гадючий Кут, коса Чушка и Анапа. Для обеспечения своих войск в Крыму и на Керченском п/о про</w:t>
      </w:r>
      <w:r w:rsidRPr="00D03F3E">
        <w:rPr>
          <w:rFonts w:ascii="Times New Roman" w:hAnsi="Times New Roman"/>
          <w:color w:val="000000" w:themeColor="text1"/>
          <w:sz w:val="16"/>
          <w:szCs w:val="16"/>
        </w:rPr>
        <w:softHyphen/>
        <w:t>тивник использовал коммуникации Кон</w:t>
      </w:r>
      <w:r w:rsidRPr="00D03F3E">
        <w:rPr>
          <w:rFonts w:ascii="Times New Roman" w:hAnsi="Times New Roman"/>
          <w:color w:val="000000" w:themeColor="text1"/>
          <w:sz w:val="16"/>
          <w:szCs w:val="16"/>
        </w:rPr>
        <w:softHyphen/>
        <w:t>станца - Сулина - Одесса - Севасто</w:t>
      </w:r>
      <w:r w:rsidRPr="00D03F3E">
        <w:rPr>
          <w:rFonts w:ascii="Times New Roman" w:hAnsi="Times New Roman"/>
          <w:color w:val="000000" w:themeColor="text1"/>
          <w:sz w:val="16"/>
          <w:szCs w:val="16"/>
        </w:rPr>
        <w:softHyphen/>
        <w:t>поль, Севастополь - Феодосия - Керчь.</w:t>
      </w:r>
    </w:p>
    <w:p w14:paraId="05D711F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Небольшие расстояния от районов прохождения ближних морских комму</w:t>
      </w:r>
      <w:r w:rsidRPr="00D03F3E">
        <w:rPr>
          <w:rFonts w:ascii="Times New Roman" w:hAnsi="Times New Roman"/>
          <w:color w:val="000000" w:themeColor="text1"/>
          <w:sz w:val="16"/>
          <w:szCs w:val="16"/>
        </w:rPr>
        <w:softHyphen/>
        <w:t>никаций противника до линии фронта обуславливало их чрезвычайно высокую насыщенность огневыми средствами противовоздушной обороны, а неболь</w:t>
      </w:r>
      <w:r w:rsidRPr="00D03F3E">
        <w:rPr>
          <w:rFonts w:ascii="Times New Roman" w:hAnsi="Times New Roman"/>
          <w:color w:val="000000" w:themeColor="text1"/>
          <w:sz w:val="16"/>
          <w:szCs w:val="16"/>
        </w:rPr>
        <w:softHyphen/>
        <w:t>шое их удаление от аэродромов бази</w:t>
      </w:r>
      <w:r w:rsidRPr="00D03F3E">
        <w:rPr>
          <w:rFonts w:ascii="Times New Roman" w:hAnsi="Times New Roman"/>
          <w:color w:val="000000" w:themeColor="text1"/>
          <w:sz w:val="16"/>
          <w:szCs w:val="16"/>
        </w:rPr>
        <w:softHyphen/>
        <w:t>рования штурмовиков Ил-2 вынуждало немецкое командование использовать наименее уязвимые транспортные плав-средства - быстроходные десантные баржи (БДБ) типа "F" (серий "А", "В", "С", "D"), самоходные паромы (СП) типа "Зибель", штурмботы PiLB (типа "39", "40", "41" и "42") и ряд других транспортов малого тоннажа.</w:t>
      </w:r>
    </w:p>
    <w:p w14:paraId="26D8224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Поскольку применяемые противником плавсредства имели малые размеры и обладали высокой маневренностью, то эффективность бомбовых ударов по ним скоростных бомбардировщиков типа Пе-2 и А-20 "Бостон" оказалась очень невы</w:t>
      </w:r>
      <w:r w:rsidRPr="00D03F3E">
        <w:rPr>
          <w:rFonts w:ascii="Times New Roman" w:hAnsi="Times New Roman"/>
          <w:color w:val="000000" w:themeColor="text1"/>
          <w:sz w:val="16"/>
          <w:szCs w:val="16"/>
        </w:rPr>
        <w:softHyphen/>
        <w:t>сокой. Поэтому для борьбы с перевоз</w:t>
      </w:r>
      <w:r w:rsidRPr="00D03F3E">
        <w:rPr>
          <w:rFonts w:ascii="Times New Roman" w:hAnsi="Times New Roman"/>
          <w:color w:val="000000" w:themeColor="text1"/>
          <w:sz w:val="16"/>
          <w:szCs w:val="16"/>
        </w:rPr>
        <w:softHyphen/>
        <w:t>ками противника на ближних коммуни</w:t>
      </w:r>
      <w:r w:rsidRPr="00D03F3E">
        <w:rPr>
          <w:rFonts w:ascii="Times New Roman" w:hAnsi="Times New Roman"/>
          <w:color w:val="000000" w:themeColor="text1"/>
          <w:sz w:val="16"/>
          <w:szCs w:val="16"/>
        </w:rPr>
        <w:softHyphen/>
        <w:t>кациях были задействованы штурмови</w:t>
      </w:r>
      <w:r w:rsidRPr="00D03F3E">
        <w:rPr>
          <w:rFonts w:ascii="Times New Roman" w:hAnsi="Times New Roman"/>
          <w:color w:val="000000" w:themeColor="text1"/>
          <w:sz w:val="16"/>
          <w:szCs w:val="16"/>
        </w:rPr>
        <w:softHyphen/>
        <w:t>ки. На участках Феодосия - Керченский пролив, Керченский пролив - Анапа "ра</w:t>
      </w:r>
      <w:r w:rsidRPr="00D03F3E">
        <w:rPr>
          <w:rFonts w:ascii="Times New Roman" w:hAnsi="Times New Roman"/>
          <w:color w:val="000000" w:themeColor="text1"/>
          <w:sz w:val="16"/>
          <w:szCs w:val="16"/>
        </w:rPr>
        <w:softHyphen/>
        <w:t xml:space="preserve">ботали" Ил-2 8-го гвардейского (до 01.03.43 г. - 18-й </w:t>
      </w:r>
      <w:r w:rsidRPr="00D03F3E">
        <w:rPr>
          <w:rFonts w:ascii="Times New Roman" w:hAnsi="Times New Roman"/>
          <w:iCs/>
          <w:color w:val="000000" w:themeColor="text1"/>
          <w:sz w:val="16"/>
          <w:szCs w:val="16"/>
        </w:rPr>
        <w:t>шап}</w:t>
      </w:r>
      <w:r w:rsidRPr="00D03F3E">
        <w:rPr>
          <w:rFonts w:ascii="Times New Roman" w:hAnsi="Times New Roman"/>
          <w:color w:val="000000" w:themeColor="text1"/>
          <w:sz w:val="16"/>
          <w:szCs w:val="16"/>
        </w:rPr>
        <w:t xml:space="preserve"> и 47-го штурмо</w:t>
      </w:r>
      <w:r w:rsidRPr="00D03F3E">
        <w:rPr>
          <w:rFonts w:ascii="Times New Roman" w:hAnsi="Times New Roman"/>
          <w:color w:val="000000" w:themeColor="text1"/>
          <w:sz w:val="16"/>
          <w:szCs w:val="16"/>
        </w:rPr>
        <w:softHyphen/>
        <w:t xml:space="preserve">вых авиаполков, которых прикрывали 6-й гвардейский и 9-й </w:t>
      </w:r>
      <w:r w:rsidRPr="00D03F3E">
        <w:rPr>
          <w:rFonts w:ascii="Times New Roman" w:hAnsi="Times New Roman"/>
          <w:iCs/>
          <w:color w:val="000000" w:themeColor="text1"/>
          <w:sz w:val="16"/>
          <w:szCs w:val="16"/>
        </w:rPr>
        <w:t>иап,</w:t>
      </w:r>
      <w:r w:rsidRPr="00D03F3E">
        <w:rPr>
          <w:rFonts w:ascii="Times New Roman" w:hAnsi="Times New Roman"/>
          <w:color w:val="000000" w:themeColor="text1"/>
          <w:sz w:val="16"/>
          <w:szCs w:val="16"/>
        </w:rPr>
        <w:t xml:space="preserve"> а на участке между портами Таганрог - Мариуполь -Осипенко - 23-й отдельный </w:t>
      </w:r>
      <w:r w:rsidRPr="00D03F3E">
        <w:rPr>
          <w:rFonts w:ascii="Times New Roman" w:hAnsi="Times New Roman"/>
          <w:iCs/>
          <w:color w:val="000000" w:themeColor="text1"/>
          <w:sz w:val="16"/>
          <w:szCs w:val="16"/>
        </w:rPr>
        <w:t>шап,</w:t>
      </w:r>
      <w:r w:rsidRPr="00D03F3E">
        <w:rPr>
          <w:rFonts w:ascii="Times New Roman" w:hAnsi="Times New Roman"/>
          <w:color w:val="000000" w:themeColor="text1"/>
          <w:sz w:val="16"/>
          <w:szCs w:val="16"/>
        </w:rPr>
        <w:t xml:space="preserve"> кото</w:t>
      </w:r>
      <w:r w:rsidRPr="00D03F3E">
        <w:rPr>
          <w:rFonts w:ascii="Times New Roman" w:hAnsi="Times New Roman"/>
          <w:color w:val="000000" w:themeColor="text1"/>
          <w:sz w:val="16"/>
          <w:szCs w:val="16"/>
        </w:rPr>
        <w:softHyphen/>
        <w:t>рый после освобождения Ейска был пе</w:t>
      </w:r>
      <w:r w:rsidRPr="00D03F3E">
        <w:rPr>
          <w:rFonts w:ascii="Times New Roman" w:hAnsi="Times New Roman"/>
          <w:color w:val="000000" w:themeColor="text1"/>
          <w:sz w:val="16"/>
          <w:szCs w:val="16"/>
        </w:rPr>
        <w:softHyphen/>
        <w:t>ребазирован на аэродром Ейск. Позже для работы на ближних коммуникациях до</w:t>
      </w:r>
      <w:r w:rsidRPr="00D03F3E">
        <w:rPr>
          <w:rFonts w:ascii="Times New Roman" w:hAnsi="Times New Roman"/>
          <w:color w:val="000000" w:themeColor="text1"/>
          <w:sz w:val="16"/>
          <w:szCs w:val="16"/>
        </w:rPr>
        <w:softHyphen/>
        <w:t xml:space="preserve">полнительно был выделен 40-й </w:t>
      </w:r>
      <w:r w:rsidRPr="00D03F3E">
        <w:rPr>
          <w:rFonts w:ascii="Times New Roman" w:hAnsi="Times New Roman"/>
          <w:iCs/>
          <w:color w:val="000000" w:themeColor="text1"/>
          <w:sz w:val="16"/>
          <w:szCs w:val="16"/>
        </w:rPr>
        <w:t>бап</w:t>
      </w:r>
      <w:r w:rsidRPr="00D03F3E">
        <w:rPr>
          <w:rFonts w:ascii="Times New Roman" w:hAnsi="Times New Roman"/>
          <w:color w:val="000000" w:themeColor="text1"/>
          <w:sz w:val="16"/>
          <w:szCs w:val="16"/>
        </w:rPr>
        <w:t xml:space="preserve"> на Пе-2.</w:t>
      </w:r>
    </w:p>
    <w:p w14:paraId="4CA8659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Штурмовики 8-го гшап, 47-го </w:t>
      </w:r>
      <w:r w:rsidRPr="00D03F3E">
        <w:rPr>
          <w:rFonts w:ascii="Times New Roman" w:hAnsi="Times New Roman"/>
          <w:iCs/>
          <w:color w:val="000000" w:themeColor="text1"/>
          <w:sz w:val="16"/>
          <w:szCs w:val="16"/>
        </w:rPr>
        <w:t>шап</w:t>
      </w:r>
      <w:r w:rsidRPr="00D03F3E">
        <w:rPr>
          <w:rFonts w:ascii="Times New Roman" w:hAnsi="Times New Roman"/>
          <w:color w:val="000000" w:themeColor="text1"/>
          <w:sz w:val="16"/>
          <w:szCs w:val="16"/>
        </w:rPr>
        <w:t xml:space="preserve"> и Пе-2 40-й </w:t>
      </w:r>
      <w:r w:rsidRPr="00D03F3E">
        <w:rPr>
          <w:rFonts w:ascii="Times New Roman" w:hAnsi="Times New Roman"/>
          <w:iCs/>
          <w:color w:val="000000" w:themeColor="text1"/>
          <w:sz w:val="16"/>
          <w:szCs w:val="16"/>
        </w:rPr>
        <w:t>бап</w:t>
      </w:r>
      <w:r w:rsidRPr="00D03F3E">
        <w:rPr>
          <w:rFonts w:ascii="Times New Roman" w:hAnsi="Times New Roman"/>
          <w:color w:val="000000" w:themeColor="text1"/>
          <w:sz w:val="16"/>
          <w:szCs w:val="16"/>
        </w:rPr>
        <w:t xml:space="preserve"> базировались на аэро</w:t>
      </w:r>
      <w:r w:rsidRPr="00D03F3E">
        <w:rPr>
          <w:rFonts w:ascii="Times New Roman" w:hAnsi="Times New Roman"/>
          <w:color w:val="000000" w:themeColor="text1"/>
          <w:sz w:val="16"/>
          <w:szCs w:val="16"/>
        </w:rPr>
        <w:softHyphen/>
        <w:t>дромный узел Геленджик, откуда Ил-2 могли действовать до Керченского п/о. Впоследствии, с освобождением Ново</w:t>
      </w:r>
      <w:r w:rsidRPr="00D03F3E">
        <w:rPr>
          <w:rFonts w:ascii="Times New Roman" w:hAnsi="Times New Roman"/>
          <w:color w:val="000000" w:themeColor="text1"/>
          <w:sz w:val="16"/>
          <w:szCs w:val="16"/>
        </w:rPr>
        <w:softHyphen/>
        <w:t>российска и Таманского полуострова, группа перелетела на аэродромы Анапа, Анапская и Витязевская. С этих аэро</w:t>
      </w:r>
      <w:r w:rsidRPr="00D03F3E">
        <w:rPr>
          <w:rFonts w:ascii="Times New Roman" w:hAnsi="Times New Roman"/>
          <w:color w:val="000000" w:themeColor="text1"/>
          <w:sz w:val="16"/>
          <w:szCs w:val="16"/>
        </w:rPr>
        <w:softHyphen/>
        <w:t xml:space="preserve">дромов Ил-2 11-й </w:t>
      </w:r>
      <w:r w:rsidRPr="00D03F3E">
        <w:rPr>
          <w:rFonts w:ascii="Times New Roman" w:hAnsi="Times New Roman"/>
          <w:iCs/>
          <w:color w:val="000000" w:themeColor="text1"/>
          <w:sz w:val="16"/>
          <w:szCs w:val="16"/>
        </w:rPr>
        <w:t>шад</w:t>
      </w:r>
      <w:r w:rsidRPr="00D03F3E">
        <w:rPr>
          <w:rFonts w:ascii="Times New Roman" w:hAnsi="Times New Roman"/>
          <w:color w:val="000000" w:themeColor="text1"/>
          <w:sz w:val="16"/>
          <w:szCs w:val="16"/>
        </w:rPr>
        <w:t xml:space="preserve"> уже могли "до</w:t>
      </w:r>
      <w:r w:rsidRPr="00D03F3E">
        <w:rPr>
          <w:rFonts w:ascii="Times New Roman" w:hAnsi="Times New Roman"/>
          <w:color w:val="000000" w:themeColor="text1"/>
          <w:sz w:val="16"/>
          <w:szCs w:val="16"/>
        </w:rPr>
        <w:softHyphen/>
        <w:t>тянуться" до порта Феодосии, а "пешки" - до севастопольского меридиана.</w:t>
      </w:r>
    </w:p>
    <w:p w14:paraId="734F5E7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Перевозка грузов на коммуникациях производилась противником посред</w:t>
      </w:r>
      <w:r w:rsidRPr="00D03F3E">
        <w:rPr>
          <w:rFonts w:ascii="Times New Roman" w:hAnsi="Times New Roman"/>
          <w:color w:val="000000" w:themeColor="text1"/>
          <w:sz w:val="16"/>
          <w:szCs w:val="16"/>
        </w:rPr>
        <w:softHyphen/>
        <w:t>ством системы конвоев и отдельных транспортов при сильном охранении из сторожевых кораблей и тральщиков (6467).</w:t>
      </w:r>
    </w:p>
    <w:p w14:paraId="46E74BE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Непосредственно в прибрежной зоне корабли и транспорты, как правило, при</w:t>
      </w:r>
      <w:r w:rsidRPr="00D03F3E">
        <w:rPr>
          <w:rFonts w:ascii="Times New Roman" w:hAnsi="Times New Roman"/>
          <w:color w:val="000000" w:themeColor="text1"/>
          <w:sz w:val="16"/>
          <w:szCs w:val="16"/>
        </w:rPr>
        <w:softHyphen/>
        <w:t>крывались с воздуха истребителями в количестве от 2 до 4 Bf 109 и Fw 190, ко</w:t>
      </w:r>
      <w:r w:rsidRPr="00D03F3E">
        <w:rPr>
          <w:rFonts w:ascii="Times New Roman" w:hAnsi="Times New Roman"/>
          <w:color w:val="000000" w:themeColor="text1"/>
          <w:sz w:val="16"/>
          <w:szCs w:val="16"/>
        </w:rPr>
        <w:softHyphen/>
        <w:t>торые при приближении советских са</w:t>
      </w:r>
      <w:r w:rsidRPr="00D03F3E">
        <w:rPr>
          <w:rFonts w:ascii="Times New Roman" w:hAnsi="Times New Roman"/>
          <w:color w:val="000000" w:themeColor="text1"/>
          <w:sz w:val="16"/>
          <w:szCs w:val="16"/>
        </w:rPr>
        <w:softHyphen/>
        <w:t>молетов завязывали воздушный бой и вызывали по радио свои истребители, дежурящие на аэродромах и площадках подскока. Отмечались случаи перехода конвоев БДБ без охранения из надвод</w:t>
      </w:r>
      <w:r w:rsidRPr="00D03F3E">
        <w:rPr>
          <w:rFonts w:ascii="Times New Roman" w:hAnsi="Times New Roman"/>
          <w:color w:val="000000" w:themeColor="text1"/>
          <w:sz w:val="16"/>
          <w:szCs w:val="16"/>
        </w:rPr>
        <w:softHyphen/>
        <w:t>ных кораблей, но с сильным прикрыти</w:t>
      </w:r>
      <w:r w:rsidRPr="00D03F3E">
        <w:rPr>
          <w:rFonts w:ascii="Times New Roman" w:hAnsi="Times New Roman"/>
          <w:color w:val="000000" w:themeColor="text1"/>
          <w:sz w:val="16"/>
          <w:szCs w:val="16"/>
        </w:rPr>
        <w:softHyphen/>
        <w:t>ем истребителей.</w:t>
      </w:r>
    </w:p>
    <w:p w14:paraId="3256B20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Интенсивность морских перевозок достигала 2-3 конвоев в сутки (туда и обратно), а наличие промежуточных пор</w:t>
      </w:r>
      <w:r w:rsidRPr="00D03F3E">
        <w:rPr>
          <w:rFonts w:ascii="Times New Roman" w:hAnsi="Times New Roman"/>
          <w:color w:val="000000" w:themeColor="text1"/>
          <w:sz w:val="16"/>
          <w:szCs w:val="16"/>
        </w:rPr>
        <w:softHyphen/>
        <w:t>тов (или стоянок) позволяло немцам организовывать переходы и в темное время суток.</w:t>
      </w:r>
    </w:p>
    <w:p w14:paraId="42F7C43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Сначала конвои состояли из 5-8 еди</w:t>
      </w:r>
      <w:r w:rsidRPr="00D03F3E">
        <w:rPr>
          <w:rFonts w:ascii="Times New Roman" w:hAnsi="Times New Roman"/>
          <w:color w:val="000000" w:themeColor="text1"/>
          <w:sz w:val="16"/>
          <w:szCs w:val="16"/>
        </w:rPr>
        <w:softHyphen/>
        <w:t>ниц транспортных средств и 2-3 сторо</w:t>
      </w:r>
      <w:r w:rsidRPr="00D03F3E">
        <w:rPr>
          <w:rFonts w:ascii="Times New Roman" w:hAnsi="Times New Roman"/>
          <w:color w:val="000000" w:themeColor="text1"/>
          <w:sz w:val="16"/>
          <w:szCs w:val="16"/>
        </w:rPr>
        <w:softHyphen/>
        <w:t>жевых катеров, однако к середине лета численность конвоев возросла до 12-15 единиц, включая по 10-12 БДБ и 3-5 СКА.</w:t>
      </w:r>
    </w:p>
    <w:p w14:paraId="362ED1B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Особенно важной была борьба с БДБ, поскольку они являлись основными плавсредствами, с помощью которых не</w:t>
      </w:r>
      <w:r w:rsidRPr="00D03F3E">
        <w:rPr>
          <w:rFonts w:ascii="Times New Roman" w:hAnsi="Times New Roman"/>
          <w:color w:val="000000" w:themeColor="text1"/>
          <w:sz w:val="16"/>
          <w:szCs w:val="16"/>
        </w:rPr>
        <w:softHyphen/>
        <w:t>мецкое командование осуществляло пе</w:t>
      </w:r>
      <w:r w:rsidRPr="00D03F3E">
        <w:rPr>
          <w:rFonts w:ascii="Times New Roman" w:hAnsi="Times New Roman"/>
          <w:color w:val="000000" w:themeColor="text1"/>
          <w:sz w:val="16"/>
          <w:szCs w:val="16"/>
        </w:rPr>
        <w:softHyphen/>
        <w:t>ревозки грузов в прибрежной зоне.</w:t>
      </w:r>
    </w:p>
    <w:p w14:paraId="3D2F1BC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Обычно конвои шли в виде компакт</w:t>
      </w:r>
      <w:r w:rsidRPr="00D03F3E">
        <w:rPr>
          <w:rFonts w:ascii="Times New Roman" w:hAnsi="Times New Roman"/>
          <w:color w:val="000000" w:themeColor="text1"/>
          <w:sz w:val="16"/>
          <w:szCs w:val="16"/>
        </w:rPr>
        <w:softHyphen/>
        <w:t>ной группы барж и катеров охранения. БДБ следовали в строю кильватера в 100-150 м одна от другой. Однако по мере возрастания эффективности бомбоштурмовых ударов Ил-2, БДБ и кате</w:t>
      </w:r>
      <w:r w:rsidRPr="00D03F3E">
        <w:rPr>
          <w:rFonts w:ascii="Times New Roman" w:hAnsi="Times New Roman"/>
          <w:color w:val="000000" w:themeColor="text1"/>
          <w:sz w:val="16"/>
          <w:szCs w:val="16"/>
        </w:rPr>
        <w:softHyphen/>
        <w:t>ра охранения при обнаружении советс</w:t>
      </w:r>
      <w:r w:rsidRPr="00D03F3E">
        <w:rPr>
          <w:rFonts w:ascii="Times New Roman" w:hAnsi="Times New Roman"/>
          <w:color w:val="000000" w:themeColor="text1"/>
          <w:sz w:val="16"/>
          <w:szCs w:val="16"/>
        </w:rPr>
        <w:softHyphen/>
        <w:t>ких штурмовиков рассредоточивались, перестраивались в шахматный порядок и производили энергичное маневриро</w:t>
      </w:r>
      <w:r w:rsidRPr="00D03F3E">
        <w:rPr>
          <w:rFonts w:ascii="Times New Roman" w:hAnsi="Times New Roman"/>
          <w:color w:val="000000" w:themeColor="text1"/>
          <w:sz w:val="16"/>
          <w:szCs w:val="16"/>
        </w:rPr>
        <w:softHyphen/>
        <w:t>вание, меняя курс и ход, стремясь при этом удерживать штурмовики на носо</w:t>
      </w:r>
      <w:r w:rsidRPr="00D03F3E">
        <w:rPr>
          <w:rFonts w:ascii="Times New Roman" w:hAnsi="Times New Roman"/>
          <w:color w:val="000000" w:themeColor="text1"/>
          <w:sz w:val="16"/>
          <w:szCs w:val="16"/>
        </w:rPr>
        <w:softHyphen/>
        <w:t>вых курсовых углах.</w:t>
      </w:r>
    </w:p>
    <w:p w14:paraId="5348E4F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Надо признать, немецкие БДБ - ма</w:t>
      </w:r>
      <w:r w:rsidRPr="00D03F3E">
        <w:rPr>
          <w:rFonts w:ascii="Times New Roman" w:hAnsi="Times New Roman"/>
          <w:color w:val="000000" w:themeColor="text1"/>
          <w:sz w:val="16"/>
          <w:szCs w:val="16"/>
        </w:rPr>
        <w:softHyphen/>
        <w:t>невренные, низкобортные, имеющие 20</w:t>
      </w:r>
      <w:r w:rsidRPr="00D03F3E">
        <w:rPr>
          <w:rFonts w:ascii="Times New Roman" w:hAnsi="Times New Roman"/>
          <w:color w:val="000000" w:themeColor="text1"/>
          <w:sz w:val="16"/>
          <w:szCs w:val="16"/>
        </w:rPr>
        <w:softHyphen/>
        <w:t>мм бронирование вокруг моторного и рулевого отделения, а также мощные огневые средства ПВО (два универсаль</w:t>
      </w:r>
      <w:r w:rsidRPr="00D03F3E">
        <w:rPr>
          <w:rFonts w:ascii="Times New Roman" w:hAnsi="Times New Roman"/>
          <w:color w:val="000000" w:themeColor="text1"/>
          <w:sz w:val="16"/>
          <w:szCs w:val="16"/>
        </w:rPr>
        <w:softHyphen/>
        <w:t>ных орудия калибра 75 мм или 88 мм и два-четыре зенитных 20-мм или 37-мм автоматов), были серьезным противни</w:t>
      </w:r>
      <w:r w:rsidRPr="00D03F3E">
        <w:rPr>
          <w:rFonts w:ascii="Times New Roman" w:hAnsi="Times New Roman"/>
          <w:color w:val="000000" w:themeColor="text1"/>
          <w:sz w:val="16"/>
          <w:szCs w:val="16"/>
        </w:rPr>
        <w:softHyphen/>
        <w:t>ком для экипажей Ил-2. При атаках БДБ от летчиков-штурмовиков требовалось большое умение и железная выдержка. Сильная ПВО групп БДБ требовала от летчиков-штурмовиков умелого проти</w:t>
      </w:r>
      <w:r w:rsidRPr="00D03F3E">
        <w:rPr>
          <w:rFonts w:ascii="Times New Roman" w:hAnsi="Times New Roman"/>
          <w:color w:val="000000" w:themeColor="text1"/>
          <w:sz w:val="16"/>
          <w:szCs w:val="16"/>
        </w:rPr>
        <w:softHyphen/>
        <w:t>возенитного маневра, а сильное проти</w:t>
      </w:r>
      <w:r w:rsidRPr="00D03F3E">
        <w:rPr>
          <w:rFonts w:ascii="Times New Roman" w:hAnsi="Times New Roman"/>
          <w:color w:val="000000" w:themeColor="text1"/>
          <w:sz w:val="16"/>
          <w:szCs w:val="16"/>
        </w:rPr>
        <w:softHyphen/>
        <w:t>водействие истребителей Люфтваффе требовало скрытного подхода к цели и надежного прикрытия штурмовиков сво</w:t>
      </w:r>
      <w:r w:rsidRPr="00D03F3E">
        <w:rPr>
          <w:rFonts w:ascii="Times New Roman" w:hAnsi="Times New Roman"/>
          <w:color w:val="000000" w:themeColor="text1"/>
          <w:sz w:val="16"/>
          <w:szCs w:val="16"/>
        </w:rPr>
        <w:softHyphen/>
        <w:t>ими истребителями.</w:t>
      </w:r>
    </w:p>
    <w:p w14:paraId="2E851C3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Отметим, что для успешных боевых действий штурмовиков на коммуникации Керчь-Анапа было очень важно обнару</w:t>
      </w:r>
      <w:r w:rsidRPr="00D03F3E">
        <w:rPr>
          <w:rFonts w:ascii="Times New Roman" w:hAnsi="Times New Roman"/>
          <w:color w:val="000000" w:themeColor="text1"/>
          <w:sz w:val="16"/>
          <w:szCs w:val="16"/>
        </w:rPr>
        <w:softHyphen/>
        <w:t>жить немецкий конвой именно на выхо</w:t>
      </w:r>
      <w:r w:rsidRPr="00D03F3E">
        <w:rPr>
          <w:rFonts w:ascii="Times New Roman" w:hAnsi="Times New Roman"/>
          <w:color w:val="000000" w:themeColor="text1"/>
          <w:sz w:val="16"/>
          <w:szCs w:val="16"/>
        </w:rPr>
        <w:softHyphen/>
        <w:t>де из Керченского пролива или из пор</w:t>
      </w:r>
      <w:r w:rsidRPr="00D03F3E">
        <w:rPr>
          <w:rFonts w:ascii="Times New Roman" w:hAnsi="Times New Roman"/>
          <w:color w:val="000000" w:themeColor="text1"/>
          <w:sz w:val="16"/>
          <w:szCs w:val="16"/>
        </w:rPr>
        <w:softHyphen/>
        <w:t>та Анапа. В противном случае штурмо</w:t>
      </w:r>
      <w:r w:rsidRPr="00D03F3E">
        <w:rPr>
          <w:rFonts w:ascii="Times New Roman" w:hAnsi="Times New Roman"/>
          <w:color w:val="000000" w:themeColor="text1"/>
          <w:sz w:val="16"/>
          <w:szCs w:val="16"/>
        </w:rPr>
        <w:softHyphen/>
        <w:t>вики не успевали осуществить удар по конвою при переходе его морем. Дело в том, что участок Благовещенская-Па</w:t>
      </w:r>
      <w:r w:rsidRPr="00D03F3E">
        <w:rPr>
          <w:rFonts w:ascii="Times New Roman" w:hAnsi="Times New Roman"/>
          <w:color w:val="000000" w:themeColor="text1"/>
          <w:sz w:val="16"/>
          <w:szCs w:val="16"/>
        </w:rPr>
        <w:softHyphen/>
        <w:t>нагия, являвшийся центром коммуника</w:t>
      </w:r>
      <w:r w:rsidRPr="00D03F3E">
        <w:rPr>
          <w:rFonts w:ascii="Times New Roman" w:hAnsi="Times New Roman"/>
          <w:color w:val="000000" w:themeColor="text1"/>
          <w:sz w:val="16"/>
          <w:szCs w:val="16"/>
        </w:rPr>
        <w:softHyphen/>
        <w:t>ции Керчь-Анапа и проходивший вдоль береговой черты в непосредственной близости от берега, отстоял от аэродро</w:t>
      </w:r>
      <w:r w:rsidRPr="00D03F3E">
        <w:rPr>
          <w:rFonts w:ascii="Times New Roman" w:hAnsi="Times New Roman"/>
          <w:color w:val="000000" w:themeColor="text1"/>
          <w:sz w:val="16"/>
          <w:szCs w:val="16"/>
        </w:rPr>
        <w:softHyphen/>
        <w:t>ма Геленджик в 25-30 мин полета само</w:t>
      </w:r>
      <w:r w:rsidRPr="00D03F3E">
        <w:rPr>
          <w:rFonts w:ascii="Times New Roman" w:hAnsi="Times New Roman"/>
          <w:color w:val="000000" w:themeColor="text1"/>
          <w:sz w:val="16"/>
          <w:szCs w:val="16"/>
        </w:rPr>
        <w:softHyphen/>
        <w:t>летов Ил-2, тогда как протяженность уча</w:t>
      </w:r>
      <w:r w:rsidRPr="00D03F3E">
        <w:rPr>
          <w:rFonts w:ascii="Times New Roman" w:hAnsi="Times New Roman"/>
          <w:color w:val="000000" w:themeColor="text1"/>
          <w:sz w:val="16"/>
          <w:szCs w:val="16"/>
        </w:rPr>
        <w:softHyphen/>
        <w:t>стка равнялась всего 40 км, и БДБ про</w:t>
      </w:r>
      <w:r w:rsidRPr="00D03F3E">
        <w:rPr>
          <w:rFonts w:ascii="Times New Roman" w:hAnsi="Times New Roman"/>
          <w:color w:val="000000" w:themeColor="text1"/>
          <w:sz w:val="16"/>
          <w:szCs w:val="16"/>
        </w:rPr>
        <w:softHyphen/>
        <w:t>тивника проходили это расстояние за 2,5-3 часа.</w:t>
      </w:r>
    </w:p>
    <w:p w14:paraId="439767A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 по маршруту групп штурмови</w:t>
      </w:r>
      <w:r w:rsidRPr="00D03F3E">
        <w:rPr>
          <w:rFonts w:ascii="Times New Roman" w:hAnsi="Times New Roman"/>
          <w:color w:val="000000" w:themeColor="text1"/>
          <w:sz w:val="16"/>
          <w:szCs w:val="16"/>
        </w:rPr>
        <w:softHyphen/>
        <w:t>ков, если их было больше пяти, произво</w:t>
      </w:r>
      <w:r w:rsidRPr="00D03F3E">
        <w:rPr>
          <w:rFonts w:ascii="Times New Roman" w:hAnsi="Times New Roman"/>
          <w:color w:val="000000" w:themeColor="text1"/>
          <w:sz w:val="16"/>
          <w:szCs w:val="16"/>
        </w:rPr>
        <w:softHyphen/>
        <w:t>дился в строю "клин". Такой строй обес</w:t>
      </w:r>
      <w:r w:rsidRPr="00D03F3E">
        <w:rPr>
          <w:rFonts w:ascii="Times New Roman" w:hAnsi="Times New Roman"/>
          <w:color w:val="000000" w:themeColor="text1"/>
          <w:sz w:val="16"/>
          <w:szCs w:val="16"/>
        </w:rPr>
        <w:softHyphen/>
        <w:t>печивал самооборону от истребителей противника и обеспечивал компактность группы штурмовиков и истребителей прикрытия. Группы в составе до пяти самолетов полет совершали в строю "пеленг". Выход в атаку производился последовательно, по одному самолету или парами, по сигналу ведущего с ра</w:t>
      </w:r>
      <w:r w:rsidRPr="00D03F3E">
        <w:rPr>
          <w:rFonts w:ascii="Times New Roman" w:hAnsi="Times New Roman"/>
          <w:color w:val="000000" w:themeColor="text1"/>
          <w:sz w:val="16"/>
          <w:szCs w:val="16"/>
        </w:rPr>
        <w:softHyphen/>
        <w:t>стягиванием на дистанцию до 150-200 м. Атака, как правило, выполнялась в 2-3 заходах (иногда и более) в зависимо</w:t>
      </w:r>
      <w:r w:rsidRPr="00D03F3E">
        <w:rPr>
          <w:rFonts w:ascii="Times New Roman" w:hAnsi="Times New Roman"/>
          <w:color w:val="000000" w:themeColor="text1"/>
          <w:sz w:val="16"/>
          <w:szCs w:val="16"/>
        </w:rPr>
        <w:softHyphen/>
        <w:t>сти от обстановки.</w:t>
      </w:r>
    </w:p>
    <w:p w14:paraId="22715CE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Удары по БДБ "Илы" производили со стороны моря с пикирования (до 25-30°) с высот 600-800 м с применением фу</w:t>
      </w:r>
      <w:r w:rsidRPr="00D03F3E">
        <w:rPr>
          <w:rFonts w:ascii="Times New Roman" w:hAnsi="Times New Roman"/>
          <w:color w:val="000000" w:themeColor="text1"/>
          <w:sz w:val="16"/>
          <w:szCs w:val="16"/>
        </w:rPr>
        <w:softHyphen/>
        <w:t>гасных (обычно ФАБ-50) авиабомб, ре</w:t>
      </w:r>
      <w:r w:rsidRPr="00D03F3E">
        <w:rPr>
          <w:rFonts w:ascii="Times New Roman" w:hAnsi="Times New Roman"/>
          <w:color w:val="000000" w:themeColor="text1"/>
          <w:sz w:val="16"/>
          <w:szCs w:val="16"/>
        </w:rPr>
        <w:softHyphen/>
        <w:t>активных снарядов (РОФС-132 или PC-82), пушечного огня и гранулированным фосфором с использованием выливных авиаприборов типа ВАП-200 (по два на самолет).</w:t>
      </w:r>
    </w:p>
    <w:p w14:paraId="720693F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Атаку Ил-2 старались произвести под углом 90° к курсу баржи - в противном случае, удар был не эффективен. Огонь из пушек и PC открывался с дистанции не более 500 м и велся до минимально возможных по безопасности дистанций (150-200 м). В первом заходе на выходе из пикирования сбрасывались авиабом</w:t>
      </w:r>
      <w:r w:rsidRPr="00D03F3E">
        <w:rPr>
          <w:rFonts w:ascii="Times New Roman" w:hAnsi="Times New Roman"/>
          <w:color w:val="000000" w:themeColor="text1"/>
          <w:sz w:val="16"/>
          <w:szCs w:val="16"/>
        </w:rPr>
        <w:softHyphen/>
        <w:t>бы. В последующих заходах производи</w:t>
      </w:r>
      <w:r w:rsidRPr="00D03F3E">
        <w:rPr>
          <w:rFonts w:ascii="Times New Roman" w:hAnsi="Times New Roman"/>
          <w:color w:val="000000" w:themeColor="text1"/>
          <w:sz w:val="16"/>
          <w:szCs w:val="16"/>
        </w:rPr>
        <w:softHyphen/>
        <w:t>лась стрельба РСами. Как в первом, так и в последующих заходах штурмовики вели обстрел цели пулеметно-пушечным огнем. Выход из атаки производился змейкой со скольжением до выхода из зоны зенитного огня.</w:t>
      </w:r>
    </w:p>
    <w:p w14:paraId="01682AF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Анализ боевого опыта показывает, что в типовых условиях атаки вероятность поражения БДБ одиночным Ил-2 при израсходовании стандартного при атаках БДБ боекомплекта штурмовика (4 РОФС-132, 6 ФАБ-50) с учетом ответ</w:t>
      </w:r>
      <w:r w:rsidRPr="00D03F3E">
        <w:rPr>
          <w:rFonts w:ascii="Times New Roman" w:hAnsi="Times New Roman"/>
          <w:color w:val="000000" w:themeColor="text1"/>
          <w:sz w:val="16"/>
          <w:szCs w:val="16"/>
        </w:rPr>
        <w:softHyphen/>
        <w:t>ного огня средств ПВО баржи состав</w:t>
      </w:r>
      <w:r w:rsidRPr="00D03F3E">
        <w:rPr>
          <w:rFonts w:ascii="Times New Roman" w:hAnsi="Times New Roman"/>
          <w:color w:val="000000" w:themeColor="text1"/>
          <w:sz w:val="16"/>
          <w:szCs w:val="16"/>
        </w:rPr>
        <w:softHyphen/>
        <w:t>ляет не более 0,2. При этом принима</w:t>
      </w:r>
      <w:r w:rsidRPr="00D03F3E">
        <w:rPr>
          <w:rFonts w:ascii="Times New Roman" w:hAnsi="Times New Roman"/>
          <w:color w:val="000000" w:themeColor="text1"/>
          <w:sz w:val="16"/>
          <w:szCs w:val="16"/>
        </w:rPr>
        <w:softHyphen/>
        <w:t>лось во внимание, что огонь из пушек не обеспечивает поражение БДБ, а влияет на эффективность работы зенитных расчетов баржи и наносит поражения лич</w:t>
      </w:r>
      <w:r w:rsidRPr="00D03F3E">
        <w:rPr>
          <w:rFonts w:ascii="Times New Roman" w:hAnsi="Times New Roman"/>
          <w:color w:val="000000" w:themeColor="text1"/>
          <w:sz w:val="16"/>
          <w:szCs w:val="16"/>
        </w:rPr>
        <w:softHyphen/>
        <w:t>ному составу и грузам на палубе.</w:t>
      </w:r>
    </w:p>
    <w:p w14:paraId="1445793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 есть для гарантированного потоп</w:t>
      </w:r>
      <w:r w:rsidRPr="00D03F3E">
        <w:rPr>
          <w:rFonts w:ascii="Times New Roman" w:hAnsi="Times New Roman"/>
          <w:color w:val="000000" w:themeColor="text1"/>
          <w:sz w:val="16"/>
          <w:szCs w:val="16"/>
        </w:rPr>
        <w:softHyphen/>
        <w:t>ления одной БДБ в типовых условиях боев необходимо выделять наряд сил, как минимум, в 8-10 Ил-2. Однако, в этом случае хотя бы один Ил-2 сбивался, а 2-4 - повреждались огнем зенитной ар</w:t>
      </w:r>
      <w:r w:rsidRPr="00D03F3E">
        <w:rPr>
          <w:rFonts w:ascii="Times New Roman" w:hAnsi="Times New Roman"/>
          <w:color w:val="000000" w:themeColor="text1"/>
          <w:sz w:val="16"/>
          <w:szCs w:val="16"/>
        </w:rPr>
        <w:softHyphen/>
        <w:t>тиллерии.</w:t>
      </w:r>
    </w:p>
    <w:p w14:paraId="4846DB0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не только зенитные расчеты БДБ и кораблей охранения встречали штур</w:t>
      </w:r>
      <w:r w:rsidRPr="00D03F3E">
        <w:rPr>
          <w:rFonts w:ascii="Times New Roman" w:hAnsi="Times New Roman"/>
          <w:color w:val="000000" w:themeColor="text1"/>
          <w:sz w:val="16"/>
          <w:szCs w:val="16"/>
        </w:rPr>
        <w:softHyphen/>
        <w:t>мовиков над целью. Летчикам-черно</w:t>
      </w:r>
      <w:r w:rsidRPr="00D03F3E">
        <w:rPr>
          <w:rFonts w:ascii="Times New Roman" w:hAnsi="Times New Roman"/>
          <w:color w:val="000000" w:themeColor="text1"/>
          <w:sz w:val="16"/>
          <w:szCs w:val="16"/>
        </w:rPr>
        <w:softHyphen/>
        <w:t>морцам активно противодействовали истребители Люфтваффе. Для прикры</w:t>
      </w:r>
      <w:r w:rsidRPr="00D03F3E">
        <w:rPr>
          <w:rFonts w:ascii="Times New Roman" w:hAnsi="Times New Roman"/>
          <w:color w:val="000000" w:themeColor="text1"/>
          <w:sz w:val="16"/>
          <w:szCs w:val="16"/>
        </w:rPr>
        <w:softHyphen/>
        <w:t>тия коммуникации Керчь-Анапа против</w:t>
      </w:r>
      <w:r w:rsidRPr="00D03F3E">
        <w:rPr>
          <w:rFonts w:ascii="Times New Roman" w:hAnsi="Times New Roman"/>
          <w:color w:val="000000" w:themeColor="text1"/>
          <w:sz w:val="16"/>
          <w:szCs w:val="16"/>
        </w:rPr>
        <w:softHyphen/>
        <w:t>ник на аэродромах Анапа и Тамань со</w:t>
      </w:r>
      <w:r w:rsidRPr="00D03F3E">
        <w:rPr>
          <w:rFonts w:ascii="Times New Roman" w:hAnsi="Times New Roman"/>
          <w:color w:val="000000" w:themeColor="text1"/>
          <w:sz w:val="16"/>
          <w:szCs w:val="16"/>
        </w:rPr>
        <w:softHyphen/>
        <w:t>средоточил в общей сложности до 80 истребителей и, кроме того, на площад</w:t>
      </w:r>
      <w:r w:rsidRPr="00D03F3E">
        <w:rPr>
          <w:rFonts w:ascii="Times New Roman" w:hAnsi="Times New Roman"/>
          <w:color w:val="000000" w:themeColor="text1"/>
          <w:sz w:val="16"/>
          <w:szCs w:val="16"/>
        </w:rPr>
        <w:softHyphen/>
        <w:t>ке поскока в районе Благовещенская находилось еще до 10-12 истребителей.</w:t>
      </w:r>
    </w:p>
    <w:p w14:paraId="614DE13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Надо признать, истребители Люфтваффе действовали в этот период весь</w:t>
      </w:r>
      <w:r w:rsidRPr="00D03F3E">
        <w:rPr>
          <w:rFonts w:ascii="Times New Roman" w:hAnsi="Times New Roman"/>
          <w:color w:val="000000" w:themeColor="text1"/>
          <w:sz w:val="16"/>
          <w:szCs w:val="16"/>
        </w:rPr>
        <w:softHyphen/>
        <w:t>ма эффективно и целеустремленно. В действиях же советских истребителей сопровождения и штурмовиков имелись серьезные недостатки.</w:t>
      </w:r>
    </w:p>
    <w:p w14:paraId="03C6D82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Дело в том, что поначалу из состава истребителей сопровождения штурмо</w:t>
      </w:r>
      <w:r w:rsidRPr="00D03F3E">
        <w:rPr>
          <w:rFonts w:ascii="Times New Roman" w:hAnsi="Times New Roman"/>
          <w:color w:val="000000" w:themeColor="text1"/>
          <w:sz w:val="16"/>
          <w:szCs w:val="16"/>
        </w:rPr>
        <w:softHyphen/>
        <w:t>виков 6-8 машин выделялись для непос</w:t>
      </w:r>
      <w:r w:rsidRPr="00D03F3E">
        <w:rPr>
          <w:rFonts w:ascii="Times New Roman" w:hAnsi="Times New Roman"/>
          <w:color w:val="000000" w:themeColor="text1"/>
          <w:sz w:val="16"/>
          <w:szCs w:val="16"/>
        </w:rPr>
        <w:softHyphen/>
        <w:t>редственного прикрытия и 4 истреби</w:t>
      </w:r>
      <w:r w:rsidRPr="00D03F3E">
        <w:rPr>
          <w:rFonts w:ascii="Times New Roman" w:hAnsi="Times New Roman"/>
          <w:color w:val="000000" w:themeColor="text1"/>
          <w:sz w:val="16"/>
          <w:szCs w:val="16"/>
        </w:rPr>
        <w:softHyphen/>
        <w:t>теля - в качестве ударной группы. В задачу ударной группы входила расчис</w:t>
      </w:r>
      <w:r w:rsidRPr="00D03F3E">
        <w:rPr>
          <w:rFonts w:ascii="Times New Roman" w:hAnsi="Times New Roman"/>
          <w:color w:val="000000" w:themeColor="text1"/>
          <w:sz w:val="16"/>
          <w:szCs w:val="16"/>
        </w:rPr>
        <w:softHyphen/>
        <w:t>тка воздушного пространства над целью. Полет групп происходил на одной вы</w:t>
      </w:r>
      <w:r w:rsidRPr="00D03F3E">
        <w:rPr>
          <w:rFonts w:ascii="Times New Roman" w:hAnsi="Times New Roman"/>
          <w:color w:val="000000" w:themeColor="text1"/>
          <w:sz w:val="16"/>
          <w:szCs w:val="16"/>
        </w:rPr>
        <w:softHyphen/>
        <w:t>соте. Группы непосредственного при</w:t>
      </w:r>
      <w:r w:rsidRPr="00D03F3E">
        <w:rPr>
          <w:rFonts w:ascii="Times New Roman" w:hAnsi="Times New Roman"/>
          <w:color w:val="000000" w:themeColor="text1"/>
          <w:sz w:val="16"/>
          <w:szCs w:val="16"/>
        </w:rPr>
        <w:softHyphen/>
        <w:t>крытия занимали оборону со стороны вероятного появления истребителей противника, ударная группа выдвигалась вперед к цели. Практика показала, что такая организация прикрытия была малоэффективной, так как немцы все</w:t>
      </w:r>
      <w:r w:rsidRPr="00D03F3E">
        <w:rPr>
          <w:rFonts w:ascii="Times New Roman" w:hAnsi="Times New Roman"/>
          <w:color w:val="000000" w:themeColor="text1"/>
          <w:sz w:val="16"/>
          <w:szCs w:val="16"/>
        </w:rPr>
        <w:softHyphen/>
        <w:t>гда очень умело и быстро наращивали силы над районом цели и в этом случае сил ударной группы было недостаточно для выдавливания немецких истребите</w:t>
      </w:r>
      <w:r w:rsidRPr="00D03F3E">
        <w:rPr>
          <w:rFonts w:ascii="Times New Roman" w:hAnsi="Times New Roman"/>
          <w:color w:val="000000" w:themeColor="text1"/>
          <w:sz w:val="16"/>
          <w:szCs w:val="16"/>
        </w:rPr>
        <w:softHyphen/>
        <w:t>лей из района целей, а сил группы при</w:t>
      </w:r>
      <w:r w:rsidRPr="00D03F3E">
        <w:rPr>
          <w:rFonts w:ascii="Times New Roman" w:hAnsi="Times New Roman"/>
          <w:color w:val="000000" w:themeColor="text1"/>
          <w:sz w:val="16"/>
          <w:szCs w:val="16"/>
        </w:rPr>
        <w:softHyphen/>
        <w:t>крытия - для отражения атак истреби</w:t>
      </w:r>
      <w:r w:rsidRPr="00D03F3E">
        <w:rPr>
          <w:rFonts w:ascii="Times New Roman" w:hAnsi="Times New Roman"/>
          <w:color w:val="000000" w:themeColor="text1"/>
          <w:sz w:val="16"/>
          <w:szCs w:val="16"/>
        </w:rPr>
        <w:softHyphen/>
        <w:t>телей Люфтваффе из состава группы подкрепления. Положение усугублялось еще и тем, что истребители прикрытия, как правило, увлекались воздушным боем с противником и оставляли своих по</w:t>
      </w:r>
      <w:r w:rsidRPr="00D03F3E">
        <w:rPr>
          <w:rFonts w:ascii="Times New Roman" w:hAnsi="Times New Roman"/>
          <w:color w:val="000000" w:themeColor="text1"/>
          <w:sz w:val="16"/>
          <w:szCs w:val="16"/>
        </w:rPr>
        <w:softHyphen/>
        <w:t>допечных без защиты. Необходимого взаимодействия между истребителями и штурмовиками не получалось. Кроме того, при вступлении в воздушный бой истребители прикрытия сразу же рас</w:t>
      </w:r>
      <w:r w:rsidRPr="00D03F3E">
        <w:rPr>
          <w:rFonts w:ascii="Times New Roman" w:hAnsi="Times New Roman"/>
          <w:color w:val="000000" w:themeColor="text1"/>
          <w:sz w:val="16"/>
          <w:szCs w:val="16"/>
        </w:rPr>
        <w:softHyphen/>
        <w:t>сыпались и никакого взаимодействия в парах, а также между парами не получа</w:t>
      </w:r>
      <w:r w:rsidRPr="00D03F3E">
        <w:rPr>
          <w:rFonts w:ascii="Times New Roman" w:hAnsi="Times New Roman"/>
          <w:color w:val="000000" w:themeColor="text1"/>
          <w:sz w:val="16"/>
          <w:szCs w:val="16"/>
        </w:rPr>
        <w:softHyphen/>
        <w:t>лось. Бой проводился преимуществен</w:t>
      </w:r>
      <w:r w:rsidRPr="00D03F3E">
        <w:rPr>
          <w:rFonts w:ascii="Times New Roman" w:hAnsi="Times New Roman"/>
          <w:color w:val="000000" w:themeColor="text1"/>
          <w:sz w:val="16"/>
          <w:szCs w:val="16"/>
        </w:rPr>
        <w:softHyphen/>
        <w:t>но на виражах. Маневр в вертикальной плоскости не применялся, так как лет</w:t>
      </w:r>
      <w:r w:rsidRPr="00D03F3E">
        <w:rPr>
          <w:rFonts w:ascii="Times New Roman" w:hAnsi="Times New Roman"/>
          <w:color w:val="000000" w:themeColor="text1"/>
          <w:sz w:val="16"/>
          <w:szCs w:val="16"/>
        </w:rPr>
        <w:softHyphen/>
        <w:t>чики в тот период недостаточно еще владели самолетом Як-1. При ведении воздушного боя стрельба велась непри</w:t>
      </w:r>
      <w:r w:rsidRPr="00D03F3E">
        <w:rPr>
          <w:rFonts w:ascii="Times New Roman" w:hAnsi="Times New Roman"/>
          <w:color w:val="000000" w:themeColor="text1"/>
          <w:sz w:val="16"/>
          <w:szCs w:val="16"/>
        </w:rPr>
        <w:softHyphen/>
        <w:t>цельно, длинными очередями и с боль</w:t>
      </w:r>
      <w:r w:rsidRPr="00D03F3E">
        <w:rPr>
          <w:rFonts w:ascii="Times New Roman" w:hAnsi="Times New Roman"/>
          <w:color w:val="000000" w:themeColor="text1"/>
          <w:sz w:val="16"/>
          <w:szCs w:val="16"/>
        </w:rPr>
        <w:softHyphen/>
        <w:t>ших дистанций. В результате обе груп</w:t>
      </w:r>
      <w:r w:rsidRPr="00D03F3E">
        <w:rPr>
          <w:rFonts w:ascii="Times New Roman" w:hAnsi="Times New Roman"/>
          <w:color w:val="000000" w:themeColor="text1"/>
          <w:sz w:val="16"/>
          <w:szCs w:val="16"/>
        </w:rPr>
        <w:softHyphen/>
        <w:t>пы истребителей сопровождения и штурмовики несли большие потери (6467).</w:t>
      </w:r>
    </w:p>
    <w:p w14:paraId="7E5EEE5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Позже была сделана попытка перей</w:t>
      </w:r>
      <w:r w:rsidRPr="00D03F3E">
        <w:rPr>
          <w:rFonts w:ascii="Times New Roman" w:hAnsi="Times New Roman"/>
          <w:color w:val="000000" w:themeColor="text1"/>
          <w:sz w:val="16"/>
          <w:szCs w:val="16"/>
        </w:rPr>
        <w:softHyphen/>
        <w:t>ти к сопровождению только одной груп</w:t>
      </w:r>
      <w:r w:rsidRPr="00D03F3E">
        <w:rPr>
          <w:rFonts w:ascii="Times New Roman" w:hAnsi="Times New Roman"/>
          <w:color w:val="000000" w:themeColor="text1"/>
          <w:sz w:val="16"/>
          <w:szCs w:val="16"/>
        </w:rPr>
        <w:softHyphen/>
        <w:t>пой истребителей, которая создавала над штурмовиками своеобразный "ку</w:t>
      </w:r>
      <w:r w:rsidRPr="00D03F3E">
        <w:rPr>
          <w:rFonts w:ascii="Times New Roman" w:hAnsi="Times New Roman"/>
          <w:color w:val="000000" w:themeColor="text1"/>
          <w:sz w:val="16"/>
          <w:szCs w:val="16"/>
        </w:rPr>
        <w:softHyphen/>
        <w:t>пол". Однако истребители Люфтваффе перешли к эшелонированным атакам парами сверху с разных высот. В ответ на это группы истребителей сопровож</w:t>
      </w:r>
      <w:r w:rsidRPr="00D03F3E">
        <w:rPr>
          <w:rFonts w:ascii="Times New Roman" w:hAnsi="Times New Roman"/>
          <w:color w:val="000000" w:themeColor="text1"/>
          <w:sz w:val="16"/>
          <w:szCs w:val="16"/>
        </w:rPr>
        <w:softHyphen/>
        <w:t>дения Ил-2 также стали эшелонировать</w:t>
      </w:r>
      <w:r w:rsidRPr="00D03F3E">
        <w:rPr>
          <w:rFonts w:ascii="Times New Roman" w:hAnsi="Times New Roman"/>
          <w:color w:val="000000" w:themeColor="text1"/>
          <w:sz w:val="16"/>
          <w:szCs w:val="16"/>
        </w:rPr>
        <w:softHyphen/>
        <w:t>ся по высоте, что затруднило маневри</w:t>
      </w:r>
      <w:r w:rsidRPr="00D03F3E">
        <w:rPr>
          <w:rFonts w:ascii="Times New Roman" w:hAnsi="Times New Roman"/>
          <w:color w:val="000000" w:themeColor="text1"/>
          <w:sz w:val="16"/>
          <w:szCs w:val="16"/>
        </w:rPr>
        <w:softHyphen/>
        <w:t>рование истребителей Люфтваффе по вертикали. Тогда истребители против</w:t>
      </w:r>
      <w:r w:rsidRPr="00D03F3E">
        <w:rPr>
          <w:rFonts w:ascii="Times New Roman" w:hAnsi="Times New Roman"/>
          <w:color w:val="000000" w:themeColor="text1"/>
          <w:sz w:val="16"/>
          <w:szCs w:val="16"/>
        </w:rPr>
        <w:softHyphen/>
        <w:t>ника стали атаковывать штурмовики од</w:t>
      </w:r>
      <w:r w:rsidRPr="00D03F3E">
        <w:rPr>
          <w:rFonts w:ascii="Times New Roman" w:hAnsi="Times New Roman"/>
          <w:color w:val="000000" w:themeColor="text1"/>
          <w:sz w:val="16"/>
          <w:szCs w:val="16"/>
        </w:rPr>
        <w:softHyphen/>
        <w:t>новременно сверху и с бреющего по</w:t>
      </w:r>
      <w:r w:rsidRPr="00D03F3E">
        <w:rPr>
          <w:rFonts w:ascii="Times New Roman" w:hAnsi="Times New Roman"/>
          <w:color w:val="000000" w:themeColor="text1"/>
          <w:sz w:val="16"/>
          <w:szCs w:val="16"/>
        </w:rPr>
        <w:softHyphen/>
        <w:t>лета. Способ прикрытия Ил-2 был вновь изменен. Вернулись к формированию двух групп истребителей - ударной и непосредственного сопровождения. Истребители непосредственного при</w:t>
      </w:r>
      <w:r w:rsidRPr="00D03F3E">
        <w:rPr>
          <w:rFonts w:ascii="Times New Roman" w:hAnsi="Times New Roman"/>
          <w:color w:val="000000" w:themeColor="text1"/>
          <w:sz w:val="16"/>
          <w:szCs w:val="16"/>
        </w:rPr>
        <w:softHyphen/>
        <w:t>крытия на маршруте стали ходить над штурмовиками с превышением 100-200 м, а над целью - прикрывать вход и вы</w:t>
      </w:r>
      <w:r w:rsidRPr="00D03F3E">
        <w:rPr>
          <w:rFonts w:ascii="Times New Roman" w:hAnsi="Times New Roman"/>
          <w:color w:val="000000" w:themeColor="text1"/>
          <w:sz w:val="16"/>
          <w:szCs w:val="16"/>
        </w:rPr>
        <w:softHyphen/>
        <w:t>ход из атаки на высоте ниже 600 м. Удар</w:t>
      </w:r>
      <w:r w:rsidRPr="00D03F3E">
        <w:rPr>
          <w:rFonts w:ascii="Times New Roman" w:hAnsi="Times New Roman"/>
          <w:color w:val="000000" w:themeColor="text1"/>
          <w:sz w:val="16"/>
          <w:szCs w:val="16"/>
        </w:rPr>
        <w:softHyphen/>
        <w:t>ная группа истребителей на маршруте шла сзади или сбоку со стороны солн</w:t>
      </w:r>
      <w:r w:rsidRPr="00D03F3E">
        <w:rPr>
          <w:rFonts w:ascii="Times New Roman" w:hAnsi="Times New Roman"/>
          <w:color w:val="000000" w:themeColor="text1"/>
          <w:sz w:val="16"/>
          <w:szCs w:val="16"/>
        </w:rPr>
        <w:softHyphen/>
        <w:t>ца и выше на 400-500 м. Над целью она действовала на этих же высотах, прикры</w:t>
      </w:r>
      <w:r w:rsidRPr="00D03F3E">
        <w:rPr>
          <w:rFonts w:ascii="Times New Roman" w:hAnsi="Times New Roman"/>
          <w:color w:val="000000" w:themeColor="text1"/>
          <w:sz w:val="16"/>
          <w:szCs w:val="16"/>
        </w:rPr>
        <w:softHyphen/>
        <w:t>вая общий район действия штурмови</w:t>
      </w:r>
      <w:r w:rsidRPr="00D03F3E">
        <w:rPr>
          <w:rFonts w:ascii="Times New Roman" w:hAnsi="Times New Roman"/>
          <w:color w:val="000000" w:themeColor="text1"/>
          <w:sz w:val="16"/>
          <w:szCs w:val="16"/>
        </w:rPr>
        <w:softHyphen/>
        <w:t>ков. Потери штурмовиков снизились.</w:t>
      </w:r>
    </w:p>
    <w:p w14:paraId="1AEB475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столь великие трудно</w:t>
      </w:r>
      <w:r w:rsidRPr="00D03F3E">
        <w:rPr>
          <w:rFonts w:ascii="Times New Roman" w:hAnsi="Times New Roman"/>
          <w:color w:val="000000" w:themeColor="text1"/>
          <w:sz w:val="16"/>
          <w:szCs w:val="16"/>
        </w:rPr>
        <w:softHyphen/>
        <w:t>сти, черноморцы добились определен</w:t>
      </w:r>
      <w:r w:rsidRPr="00D03F3E">
        <w:rPr>
          <w:rFonts w:ascii="Times New Roman" w:hAnsi="Times New Roman"/>
          <w:color w:val="000000" w:themeColor="text1"/>
          <w:sz w:val="16"/>
          <w:szCs w:val="16"/>
        </w:rPr>
        <w:softHyphen/>
        <w:t>ных успехов в уничтожении БДБ и дру</w:t>
      </w:r>
      <w:r w:rsidRPr="00D03F3E">
        <w:rPr>
          <w:rFonts w:ascii="Times New Roman" w:hAnsi="Times New Roman"/>
          <w:color w:val="000000" w:themeColor="text1"/>
          <w:sz w:val="16"/>
          <w:szCs w:val="16"/>
        </w:rPr>
        <w:softHyphen/>
        <w:t>гих плавсредств противника (6467).</w:t>
      </w:r>
    </w:p>
    <w:p w14:paraId="4F1CC1A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3CFBF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во время наступления, самолеты ночных бомбардировочных полков 2-й воздушной армии использовали как летающие танкеры. Они доставляли горючее стремящимся вперед танкам Воронежского фронта (12034).</w:t>
      </w:r>
    </w:p>
    <w:p w14:paraId="479B926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4BE7B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1943-го на Восточном фронте появились специальные эскадрильи истребителей танков. Первым таким соединением стала отдельная эскадрилья 51-й истребительной авиационной эскадры, оснащенная Hs 129В-1/R-2 с 30-мм пушкой МК 101. Первые же встречи с советскими Т-34 и KB показали, что лобовую броню наших танков орудие не пробивает. Тогда немцы стали применять 4-кг кумулятивные бомбы SD-4. Чтобы увеличить вероятность попадания, три штурмовика пикировали друг за другом в линию, одновременно сбрасывая бомбы. Теоретически все было правильно, но на практике такой способ оказывался трудновыполнимым из-за недостаточной видимости лётчика из тесной кабины (3039,30).</w:t>
      </w:r>
    </w:p>
    <w:p w14:paraId="1905F63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C4149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январе 1943 летчики Балтики отличились в ходе операции «Искра» - очередной и наконец-то успешной попытки прорыва блокады Ленинграда. Единственные на флоте «Илы», ведомые пилотами 1-го гвардейского минно-торпедного авиационного полка, участвовали в этих событиях как обычные дальние бомбардировщики, </w:t>
      </w:r>
      <w:r w:rsidRPr="00D03F3E">
        <w:rPr>
          <w:rFonts w:ascii="Times New Roman" w:hAnsi="Times New Roman"/>
          <w:color w:val="000000" w:themeColor="text1"/>
          <w:sz w:val="16"/>
          <w:szCs w:val="16"/>
        </w:rPr>
        <w:lastRenderedPageBreak/>
        <w:t>нанося ночные удары по станциям и населенным пунктам - узлам сопротивления противника (9965).</w:t>
      </w:r>
    </w:p>
    <w:p w14:paraId="4156D8E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CC971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года "Бостон" III стал применяться на Черном море как бомбардировщик. Им вооружили 36-и бомбардировочный полк. "Бостоны" бомбили корабли в море и в гаванях, самолеты на аэродромах. При действиях 1$ открытом море по малоразмерным подвижным целям американские самолеты, способные бомбить только с горизонтального полета, оказались менее эффективны, чем пикировщики Пе-2. Количество попадании с одной н тон же высоты бомбометания было меньше почти па треть. Чтобы наверняка попасть хотя бы одной бомбой в быстроходную десантную баржу, требовался налет 28 "Бостонов" (3457,106).</w:t>
      </w:r>
    </w:p>
    <w:p w14:paraId="32CC765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E5AC0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по решению ГКО было создано ГУ боевой подготовки фронтовой авиации во главе с г Д.Ф.Кондратюком и за год провело в частях и соединениях 2000 докладов, военных игр, боевых упражнений и занятий. Выполнили 4500 показных и учебно-тренировочных полетов по ведению одиночных и групповых в/боев, построению боевых порядков на новых типах самолетов, опробованы различные способы атак наземных малоразмерных подвижных целей и наведение самолетов с помощью р/с на воздушные и наземные объекты (340,155).</w:t>
      </w:r>
    </w:p>
    <w:p w14:paraId="4E060F2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80B10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1943 г. вводился штат № 08/191, предусматривавший состав самоходно-артиллерийского полка из пяти батарей, каждая по 4 орудия, в том числе 12 СУ-122 и 8 СУ-76 при общей численности 289 человек.</w:t>
      </w:r>
    </w:p>
    <w:p w14:paraId="3914FDB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Тогда же для усиления огневой мощи танкового корпу</w:t>
      </w:r>
      <w:r w:rsidRPr="00D03F3E">
        <w:rPr>
          <w:rFonts w:ascii="Times New Roman" w:hAnsi="Times New Roman"/>
          <w:color w:val="000000" w:themeColor="text1"/>
          <w:sz w:val="16"/>
          <w:szCs w:val="16"/>
        </w:rPr>
        <w:softHyphen/>
        <w:t>са, крайне необходимой в наступлении, в его штат был включен и самоходно-артиллерийский полк, сформиро</w:t>
      </w:r>
      <w:r w:rsidRPr="00D03F3E">
        <w:rPr>
          <w:rFonts w:ascii="Times New Roman" w:hAnsi="Times New Roman"/>
          <w:color w:val="000000" w:themeColor="text1"/>
          <w:sz w:val="16"/>
          <w:szCs w:val="16"/>
        </w:rPr>
        <w:softHyphen/>
        <w:t>ванный по штату № 08/158 или же № 08/191.</w:t>
      </w:r>
    </w:p>
    <w:p w14:paraId="75552B1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Также уже говорилось, что весной 1943 г. самоходная ар</w:t>
      </w:r>
      <w:r w:rsidRPr="00D03F3E">
        <w:rPr>
          <w:rFonts w:ascii="Times New Roman" w:hAnsi="Times New Roman"/>
          <w:color w:val="000000" w:themeColor="text1"/>
          <w:sz w:val="16"/>
          <w:szCs w:val="16"/>
        </w:rPr>
        <w:softHyphen/>
        <w:t>тиллерия была передана танковым войскам, и тогда же в Красной Армии начали формировать тяжелые самоходно-артиллерийские полки резерва Верховного главнокомандо</w:t>
      </w:r>
      <w:r w:rsidRPr="00D03F3E">
        <w:rPr>
          <w:rFonts w:ascii="Times New Roman" w:hAnsi="Times New Roman"/>
          <w:color w:val="000000" w:themeColor="text1"/>
          <w:sz w:val="16"/>
          <w:szCs w:val="16"/>
        </w:rPr>
        <w:softHyphen/>
        <w:t>вания на СУ-152, для которых был разработан штат № 08/218 (361 человек, 12 СУ-152). Предполагалось, что тяжелые САП РВГК будут применяться для качественного усиления танко</w:t>
      </w:r>
      <w:r w:rsidRPr="00D03F3E">
        <w:rPr>
          <w:rFonts w:ascii="Times New Roman" w:hAnsi="Times New Roman"/>
          <w:color w:val="000000" w:themeColor="text1"/>
          <w:sz w:val="16"/>
          <w:szCs w:val="16"/>
        </w:rPr>
        <w:softHyphen/>
        <w:t>вых и пехотных частей и соединений на главных направлени</w:t>
      </w:r>
      <w:r w:rsidRPr="00D03F3E">
        <w:rPr>
          <w:rFonts w:ascii="Times New Roman" w:hAnsi="Times New Roman"/>
          <w:color w:val="000000" w:themeColor="text1"/>
          <w:sz w:val="16"/>
          <w:szCs w:val="16"/>
        </w:rPr>
        <w:softHyphen/>
        <w:t>ях в качестве артиллерии усиления. Самоходные установки должны были применяться преимущественно для ведения огня с закрытых позиций, в особо ответственные моменты переводя их непосредственно в боевые порядки войск для сокрушения вражеских укреплений, срыва наступления тан</w:t>
      </w:r>
      <w:r w:rsidRPr="00D03F3E">
        <w:rPr>
          <w:rFonts w:ascii="Times New Roman" w:hAnsi="Times New Roman"/>
          <w:color w:val="000000" w:themeColor="text1"/>
          <w:sz w:val="16"/>
          <w:szCs w:val="16"/>
        </w:rPr>
        <w:softHyphen/>
        <w:t>ков противника и борьбы с подходящими резервами.</w:t>
      </w:r>
    </w:p>
    <w:p w14:paraId="5F630F9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Первое применение боевых и учебных самоходно-ар-тиллерийских полков смешанного типа, сформированных по штатам № 08/158 и 08/191, выявило большие организа</w:t>
      </w:r>
      <w:r w:rsidRPr="00D03F3E">
        <w:rPr>
          <w:rFonts w:ascii="Times New Roman" w:hAnsi="Times New Roman"/>
          <w:color w:val="000000" w:themeColor="text1"/>
          <w:sz w:val="16"/>
          <w:szCs w:val="16"/>
        </w:rPr>
        <w:softHyphen/>
        <w:t>ционные недостатки. Поскольку в полках имелись САУ различных типов не только по вооружению, но и по типам применяемых ГСМ, создавались большие трудности орга</w:t>
      </w:r>
      <w:r w:rsidRPr="00D03F3E">
        <w:rPr>
          <w:rFonts w:ascii="Times New Roman" w:hAnsi="Times New Roman"/>
          <w:color w:val="000000" w:themeColor="text1"/>
          <w:sz w:val="16"/>
          <w:szCs w:val="16"/>
        </w:rPr>
        <w:softHyphen/>
        <w:t>низации похода и боя, при проведении ремонта. Для устра</w:t>
      </w:r>
      <w:r w:rsidRPr="00D03F3E">
        <w:rPr>
          <w:rFonts w:ascii="Times New Roman" w:hAnsi="Times New Roman"/>
          <w:color w:val="000000" w:themeColor="text1"/>
          <w:sz w:val="16"/>
          <w:szCs w:val="16"/>
        </w:rPr>
        <w:softHyphen/>
        <w:t>нения этих недостатков требовалось комплектование САП однотипной матчастью, что начали выполнять с апреля 1943 г. Теперь полки, получающие на вооружение СУ-122, формировались по штату № 010/453 (255 чел, 16 СУ-122 и 1 Т-34), самоходно-артиллерийские полки СУ-76 формиро</w:t>
      </w:r>
      <w:r w:rsidRPr="00D03F3E">
        <w:rPr>
          <w:rFonts w:ascii="Times New Roman" w:hAnsi="Times New Roman"/>
          <w:color w:val="000000" w:themeColor="text1"/>
          <w:sz w:val="16"/>
          <w:szCs w:val="16"/>
        </w:rPr>
        <w:softHyphen/>
        <w:t>вались по штату № 010/456 (253 человека и 21 САУ или 20 САУ и танк Т-70) и состояли из пяти батарей, а также под</w:t>
      </w:r>
      <w:r w:rsidRPr="00D03F3E">
        <w:rPr>
          <w:rFonts w:ascii="Times New Roman" w:hAnsi="Times New Roman"/>
          <w:color w:val="000000" w:themeColor="text1"/>
          <w:sz w:val="16"/>
          <w:szCs w:val="16"/>
        </w:rPr>
        <w:softHyphen/>
        <w:t>разделения обеспечения. Тяжелые же САП РВГК перево</w:t>
      </w:r>
      <w:r w:rsidRPr="00D03F3E">
        <w:rPr>
          <w:rFonts w:ascii="Times New Roman" w:hAnsi="Times New Roman"/>
          <w:color w:val="000000" w:themeColor="text1"/>
          <w:sz w:val="16"/>
          <w:szCs w:val="16"/>
        </w:rPr>
        <w:softHyphen/>
        <w:t>дились на штат № 010/454, отличавшийся от предыдущего добавлением танка КВ-1С для командира полка и легкого бронеавтомобиля разведки и связи (11417).</w:t>
      </w:r>
    </w:p>
    <w:p w14:paraId="765AB00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2107D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под Ленинградом захватили первый Тигр, а весной разведка узнала о Пантере (1031,32).</w:t>
      </w:r>
    </w:p>
    <w:p w14:paraId="5E37900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9C9E0E" w14:textId="77777777" w:rsidR="001266A9" w:rsidRPr="00D03F3E" w:rsidRDefault="001266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года появился новый штат танкового полка (№ 010/414), согласно которому количество боевых машин осталось прежним - 39, но огневая мощь усилилась за счет увеличения тридцатьчетверок: теперь их стало 32, а Т-70 всего 7. Как и предыдущие, такие полки входили в состав механизированных бригад, кавалерийских дивизий или были отдельными (12217).</w:t>
      </w:r>
    </w:p>
    <w:p w14:paraId="57684631" w14:textId="77777777" w:rsidR="001266A9" w:rsidRPr="00D03F3E" w:rsidRDefault="001266A9" w:rsidP="00D03F3E">
      <w:pPr>
        <w:spacing w:after="0" w:line="240" w:lineRule="auto"/>
        <w:jc w:val="both"/>
        <w:rPr>
          <w:rFonts w:ascii="Times New Roman" w:hAnsi="Times New Roman"/>
          <w:color w:val="000000" w:themeColor="text1"/>
          <w:sz w:val="16"/>
          <w:szCs w:val="16"/>
        </w:rPr>
      </w:pPr>
    </w:p>
    <w:p w14:paraId="5659AE1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для усиления огневой мощи танкового корпуса, крайне необходимой в наступлении, в его штат был включен минометный полк РГК (36 120-мм минометов) и самоходно-артиллерийский полк (25 СУ-76 и СУ-122). Не</w:t>
      </w:r>
      <w:r w:rsidRPr="00D03F3E">
        <w:rPr>
          <w:rFonts w:ascii="Times New Roman" w:hAnsi="Times New Roman"/>
          <w:color w:val="000000" w:themeColor="text1"/>
          <w:sz w:val="16"/>
          <w:szCs w:val="16"/>
        </w:rPr>
        <w:softHyphen/>
        <w:t>сколько позже в состав некоторых корпусов был добавлен танковый резерв (40 машин) с экипажами и 100 резервных шоферов. Увеличились возможности роты подвоза ГСМ (11135).</w:t>
      </w:r>
    </w:p>
    <w:p w14:paraId="4978EF4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80CD8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в целях усиления ударной силы механи</w:t>
      </w:r>
      <w:r w:rsidRPr="00D03F3E">
        <w:rPr>
          <w:rFonts w:ascii="Times New Roman" w:hAnsi="Times New Roman"/>
          <w:color w:val="000000" w:themeColor="text1"/>
          <w:sz w:val="16"/>
          <w:szCs w:val="16"/>
        </w:rPr>
        <w:softHyphen/>
        <w:t>зированной бригады в штат танкового полка была введена еще одна рота средних танков. Общее количество танков в полку осталось прежним — 39, число средних возросло с 23 до 32, а легких уменьшилось на 9 машин. В феврале того же года ввиду недостаточной мобильности из бригады был ис</w:t>
      </w:r>
      <w:r w:rsidRPr="00D03F3E">
        <w:rPr>
          <w:rFonts w:ascii="Times New Roman" w:hAnsi="Times New Roman"/>
          <w:color w:val="000000" w:themeColor="text1"/>
          <w:sz w:val="16"/>
          <w:szCs w:val="16"/>
        </w:rPr>
        <w:softHyphen/>
        <w:t>ключен зенитно-артиллерийский дивизион, а вместо него введена зенитно-пулеметная рота крупнокалиберных пуле</w:t>
      </w:r>
      <w:r w:rsidRPr="00D03F3E">
        <w:rPr>
          <w:rFonts w:ascii="Times New Roman" w:hAnsi="Times New Roman"/>
          <w:color w:val="000000" w:themeColor="text1"/>
          <w:sz w:val="16"/>
          <w:szCs w:val="16"/>
        </w:rPr>
        <w:softHyphen/>
        <w:t>метов. Одновременно в штат бригады была введена инже</w:t>
      </w:r>
      <w:r w:rsidRPr="00D03F3E">
        <w:rPr>
          <w:rFonts w:ascii="Times New Roman" w:hAnsi="Times New Roman"/>
          <w:color w:val="000000" w:themeColor="text1"/>
          <w:sz w:val="16"/>
          <w:szCs w:val="16"/>
        </w:rPr>
        <w:softHyphen/>
        <w:t>нерно-минная рота, а все автомобили для перевозки лич</w:t>
      </w:r>
      <w:r w:rsidRPr="00D03F3E">
        <w:rPr>
          <w:rFonts w:ascii="Times New Roman" w:hAnsi="Times New Roman"/>
          <w:color w:val="000000" w:themeColor="text1"/>
          <w:sz w:val="16"/>
          <w:szCs w:val="16"/>
        </w:rPr>
        <w:softHyphen/>
        <w:t>ного состава мотострелковых батальонов были сведены в специально организованную бригадную автороту. Дальнейшие изменения в организации механизирован</w:t>
      </w:r>
      <w:r w:rsidRPr="00D03F3E">
        <w:rPr>
          <w:rFonts w:ascii="Times New Roman" w:hAnsi="Times New Roman"/>
          <w:color w:val="000000" w:themeColor="text1"/>
          <w:sz w:val="16"/>
          <w:szCs w:val="16"/>
        </w:rPr>
        <w:softHyphen/>
        <w:t>ной бригады происходили преимущественно в связи с со</w:t>
      </w:r>
      <w:r w:rsidRPr="00D03F3E">
        <w:rPr>
          <w:rFonts w:ascii="Times New Roman" w:hAnsi="Times New Roman"/>
          <w:color w:val="000000" w:themeColor="text1"/>
          <w:sz w:val="16"/>
          <w:szCs w:val="16"/>
        </w:rPr>
        <w:softHyphen/>
        <w:t>вершенствованием организации ее танкового полка. Так, в феврале 1944 г. танковый полк был переведен на новый штат, по которому в нем имелось три танковые роты, уком</w:t>
      </w:r>
      <w:r w:rsidRPr="00D03F3E">
        <w:rPr>
          <w:rFonts w:ascii="Times New Roman" w:hAnsi="Times New Roman"/>
          <w:color w:val="000000" w:themeColor="text1"/>
          <w:sz w:val="16"/>
          <w:szCs w:val="16"/>
        </w:rPr>
        <w:softHyphen/>
        <w:t>плектованные только средними танками. В результате в полку стало 35 танков Т-34, а легкие танки из штата были выведены. С этого момента и до конца войны в бригаде не происходило никаких изменений (11135).</w:t>
      </w:r>
    </w:p>
    <w:p w14:paraId="4B59F0F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7CFDC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были введены погоны (341,224).</w:t>
      </w:r>
    </w:p>
    <w:p w14:paraId="5A21A0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21BD1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образовали Кронштадский морской оборонительный район, объединивший силы и средства Кронштадской и Островной баз (359,190).</w:t>
      </w:r>
    </w:p>
    <w:p w14:paraId="445F400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27C98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на город упало 5010 снарядов, в мае – 6044, в сентябре – 11394. В 1943 г. город продолжал подвергаться бомбовым ударам, в основном в ночное время (73% налетов). Применение зажигательных бомб по сравнению с 1942 годом увеличилось в 13 раз. За время войны бойцами МПВО Ленинграда было предотвращено 12850 (86,2%) пожаров от зажигательных бомб и снарядов. За время войны штаб МПВО города передал свыше 4000 специальных сообщений о сигналах воздушной тревоги и артобстрелах, за каждые 5 минут принимались до 100 донесений об обстановке. Подразделения начинали работы в очагах поражения в среднем через 10 минут после их возникновения (9453).</w:t>
      </w:r>
    </w:p>
    <w:p w14:paraId="326BCF8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048B4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комиссии, созданные из представителей обкома ВКП(б) и управления НКВД Саратовской области, провели массовые проверки состояния общей охраны и пожарной безопасности объектов промышленности и важнейших сооружений. При этом, как обычно, выяснилось, что за минувший военный год положение на многих предприятиях нисколько не улучшилось, несмотря на регулярно получаемые их руководством инструкции, распоряжения и угрозы. В ряде мест произошли разрушения охранных сооружений и заграждений, пришли в негодность средства пожаротушения. Подъездные пути к уязвимым в пожарном отношении объектам (нефтебазам, складам) находились в запущенном и негодном состоянии. На всех объектах наблюдался некомплект военизированной и пожарной охраны, а те, что входили в штат, в основном престарелые граждане и инвалиды, в силу здоровья и возраста были не в состоянии владеть оружием и средствами пожаротушения. На особо пожароопасном заводе № 702 вообще отсутствовали какие-либо средства пожаротушения. Территория предприятия была захламлена всевозможными отходами, не вывозившимися месяцами, регулярно происходили мелкие пожары.</w:t>
      </w:r>
    </w:p>
    <w:p w14:paraId="6260604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В Саратове в массовом порядке нарушалась светомаскировка на предприятиях и в жилом секторе. Пожарные водоемы, наспех отрытые прошлой осенью, разваливались и превращались в болота, укрытия и щели были залиты водой, а зачастую использовались населением в качестве помойных ям, а во многих местах просто обвалились. На заводах №№ 236,311 и 702 практически все убежища после таяния снега пришли в негодность и в случае бомбежки не могли быть использованы по назначению. В ходе проверок, проведенных городским штабом МПВО, выяснилось, что в самом плохом состоянии находятся щели и бомбоубежища в Сталинском районе, где находились все крупные предприятия: ГПЗ-3, нефтеперегонный завод и авиазавод № 292. На последнем все защитные сооружения были залиты водой и разрушились (11774).</w:t>
      </w:r>
    </w:p>
    <w:p w14:paraId="265AB89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68848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года Постановлением ГКО строительство, восстановление, эксплуатационное обслуживание и охрана всех магистральных линий, используемых для правительственной ВЧ-связи между СВГК и штабами фронтов и армий были возложены на НКВД СССР. В составе ГУВВ сформировано управление связи (войск правительственной связи) а принятые от ГУСКА 135 отдельных линейно-строительных рот связи сведены в 12 отдельных полков, 4 отдельных батальона и отдельные автотранспортную и аэросанную роты общей численностью более 31 тыс. человек (8983).</w:t>
      </w:r>
    </w:p>
    <w:p w14:paraId="21B0D25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81F5ED"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6FC44B6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8E208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Сталин отправил тедеграмму:</w:t>
      </w:r>
    </w:p>
    <w:p w14:paraId="5F8386D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Высшая правительственная</w:t>
      </w:r>
    </w:p>
    <w:p w14:paraId="53D8696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НАЧАЛЬНИКУ ХАБАРОВСКОГО КРАЕВОГО УПРАВЛЕНИЯ КИНОСВЯЗИ тов. МИХАЙЛОВУ</w:t>
      </w:r>
    </w:p>
    <w:p w14:paraId="30506DF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МОСКВЫ 3796 39 9 1434</w:t>
      </w:r>
    </w:p>
    <w:p w14:paraId="18972C2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ПРОШУ ПЕРЕДАТЬ РАБОТНИКАМ СВЯЗИ ХАБАРОВСКОГО КРАЯ СОБРАВШИМ 1014000 РУБЛЕЙ И 328260 РУБЛЕЙ ОБЛИГАЦИЯМИ НА СТРОИТЕЛЬСТВО ЭСКАДРИЛЬИ САМОЛЕТОВ "СВЯЗИСТ ХАБАРОВСКОГО КРАЯ" МОЙ БРАТСКИЙ ПРИВЕТ И БЛАГОДАРНОСТЬ КРАСНОЙ АРМИИ=ИСТАЛИН</w:t>
      </w:r>
    </w:p>
    <w:p w14:paraId="7A86312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Телеграмма сталина, ф. 35, оп. 1, д. 1537, л. 9 (10701).</w:t>
      </w:r>
    </w:p>
    <w:p w14:paraId="0917B2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17831A"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3A0D747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3A6C3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1943 г. американская администрация осторожно, но настойчиво предлагала создать на территории советского Дальнего Востока ряд баз для американской авиации для нанесения с них ударов по позициям японских войск. Однако эта идея была решительно отклонена советской стороной - отчасти из-за опасений, что американские спецслужбы смогут получить доступ к стратегически важной информации и дислокации советских сил на Дальнем Востоке (3871).</w:t>
      </w:r>
    </w:p>
    <w:p w14:paraId="2956A2D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B3088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Япония вслед за СССР стала второй из великих держав, подписавших с Китаем (нанкинским правительством Ван Цзинвея) договор об отмене права экстерриториальности и о возвращению Китаю всех прав по концессиям, которыми Япония владела на китайской территории.</w:t>
      </w:r>
    </w:p>
    <w:p w14:paraId="1E5AC96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Хотя мысль об отказе от неравноправных договоров с Китаем была выдвинута американской дипломатией еще в 1941 г., она допустила промедление в этом вопросе. Психологический эффект от шага Японии был отчасти сглажен Соединенными Штатами и Британией, которые так же в январе 1943 г. тоже подписали договоры об отказе от экстерриториальности с правительством Чан Кайши. Эта задача была тем более актуальной, что неожиданно обнаружившаяся "конкуренция" между Японией и двумя демократическими державами за право первенства в отмене неравноправных договоров с Китаем была только частным случаем более общего процесса (3871).</w:t>
      </w:r>
    </w:p>
    <w:p w14:paraId="1BED749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9FC9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Прошедшая в январе 1943 г. американо-британская конференция в г. Касабланке (Марокко) стала этапной для развития отношений в Азии. На нее был приглашен и Сталин, однако, сославшись на необходимость непосредственно руководить военными действиями на советско-германском фронте, он отказался приехать. В то же время Чан Кайши, добивавшийся приглашения на конференцию, его не получил.</w:t>
      </w:r>
    </w:p>
    <w:p w14:paraId="2FFF80B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центре обсуждений находилось три главных вопроса. Во-первых, участие британских сил в боевых действиях на Тихом океане. На конференции США добились того, что Великобритания впервые четко заявила о готовности начать полномасштабные боевые действия против Японии после победы над Германией.</w:t>
      </w:r>
    </w:p>
    <w:p w14:paraId="77F9BAC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Во-вторых, США и Великобритания согласились в мнении о необходимости убедить Советский Союз вступить в войну против Японии после победы над Германией. США твердо следовали линии не вступать в полномасштабные военные действия на материке без сильных союзников на континенте. В Азии такими союзниками США считали СССР и Китай. Вопрос о координации линии в отношении первого и был в целом согласован в Касабланке. Проблема Китая, однако, оставалась открытой.</w:t>
      </w:r>
    </w:p>
    <w:p w14:paraId="427F5D6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Она и составила содержание третьего вопроса, общего видения которого Ф.Рузвельту и У.Черчилю добиться не удалось. Речь шла о совместных действиях в зоне индо-бирмано-китайского фронта. Главной задачей США было укрепить позиции Чан Кайши, удержать его в войне с Японией и, по возможности, побудить к активным действиям против нее.</w:t>
      </w:r>
    </w:p>
    <w:p w14:paraId="2B2E1A1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решающим условием участия Чан Кайши в войне было оказание ему помощи со стороны союзников. После того, как китайско-бирманская железная дорога была захвачена японцами, оккупировавшими Бирму, доставлять помощь в Китай было чрезвычайно сложно. Контроль США и Британии над дорогой необходимо было восстановить. Кроме того, Чан Кайши соглашался предпринять крупную военную операцию против Японии только при том условии, если союзники будут иметь явное превосходство в военно-воздушных и военно-морских силах у побережья Бирмы, в зоне Бенгальского залива. Китайское правительство так же настаивало на том, чтобы операция по освобождению Бирмы проводилась посредством тесного взаимодействия сухопутных сил Чан Кайши и объединенных американо-британских военно-морских и военно-воздушных соединений.</w:t>
      </w:r>
    </w:p>
    <w:p w14:paraId="22ABEBF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Великобритания была против такой операции. Она с большим подозрением воспринимала перспективу возрастания региональной роли Китая, который явно ориентировался на союз с США. В Лондоне было хорошо известно, что Чан Кайши критически относится к британской колониальной политике в Индии, считая, что она только препятствует формированию единого фронта азиатских народов против Японии. Визит Чан Кайши в Индию в 1942 г. обнаружил некоторое сходство взглядов гандистов и самого Чан Кайши на проблемы независимости и равноправия Китая и Индии как крупнейших стран Азии в мировой политике.</w:t>
      </w:r>
    </w:p>
    <w:p w14:paraId="3888A6D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британское правительство было хорошо осведомлено о территориальных претензиях китайского правительства в отношении северных районов Бирмы, которые в косвенной форме были высказаны Чунцином в 1943 г. Поэтому план посылки в Бирму китайских войск вызвал у британского правительства сомнения. Наконец, У.Черчиль весьма низко оценивал боеспособность армий Чан Кайши. Он был уверен, что военное сотрудничество с Китаем окажется тяжким и ненужным бременем для союзников. Разногласия между британской и американской делегациями зашли так далеко, что США пригрозили Британии отвести часть своих войск с европейского театра, если операция по освобождению Бирмы не будет осуществлена. Британская делегация уступила. Однако, согласившись с планом операции в принципе, Великобритания стремилась фактически под тем или иным предлогом отсрочить ее реализацию.</w:t>
      </w:r>
    </w:p>
    <w:p w14:paraId="6D74875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Касабланке президент Ф.Рузвельт впервые сформулировал идею "безоговорочной капитуляции", которая была затем принята антигитлеровской коалицией в целом как первоочередное условие перемирия с державами "Тройственного пакта". Как заявил Ф. Рузвельт, безоговорочная капитуляция не предполагала "сокрушение (distruction) народов Германии, Италии или Японии, однако она означает уничтожение в этих странах философии, основанной на завоевании и подчинении других людей". Такая трактовка с самого начала предполагала не просто военный разгром агрессивных держав, но и проведение в них в послевоенный период реформ, направленных против возрождения духа реванша и агрессивности (3871).</w:t>
      </w:r>
    </w:p>
    <w:p w14:paraId="2A786E7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32BA0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Иракское правительство во главе с лидером пробританской группировки Нури Саидом объявляет войну Германии и Италии. В этом же году оно устанавливает дипломатические отношения с СССР (3871).</w:t>
      </w:r>
    </w:p>
    <w:p w14:paraId="5A18510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E84364"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766E3DB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E1CA56"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январе 1943 непогода настолько ограничила операции военно - воздушных сил Одиннадцатый армии ВВС, что они сбросили только 10 1/2 тонн (10,500 кг) бомб на японские базы в Алеутских островах в течение месяца и потеряли одиннадцать самолетов не из-за действиям противника.</w:t>
      </w:r>
    </w:p>
    <w:p w14:paraId="561C1EDB" w14:textId="77777777" w:rsidR="00282096" w:rsidRPr="00D03F3E" w:rsidRDefault="00282096" w:rsidP="00D03F3E">
      <w:pPr>
        <w:spacing w:after="0" w:line="240" w:lineRule="auto"/>
        <w:jc w:val="both"/>
        <w:rPr>
          <w:rFonts w:ascii="Times New Roman" w:hAnsi="Times New Roman"/>
          <w:color w:val="0070C0"/>
          <w:sz w:val="16"/>
          <w:szCs w:val="16"/>
        </w:rPr>
      </w:pPr>
    </w:p>
    <w:p w14:paraId="5B3CEBFB"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январе 1943 года 15-й эскадрильей Бомбардировочного Командования были приняты первые два серийных «стирлинга» Mk. III. Задержка была вызвана не только проблемами с двигателями, но и тем, что сборку самолетов передали автомобильному концерну «Остин Моторз». Он уже строил учебные и связные самолеты, но для выпуска тяжелых бомбардировщиков был вынужден капитально модернизировать производство, пришлось даже перестраивать цех окончательной сборки, сделав широкие ворота для выкатки бомбардировщиков. Также необходимым оказалось расширить аэродром.</w:t>
      </w:r>
    </w:p>
    <w:p w14:paraId="4B35DD24"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Моторы «Геркулес» VI имели увеличенную взлетную мощность (1635 л.с.) и лучшую высотность, что позволило увеличить скорость на высоте 4400 м до 434 км/ч. Скороподъемность у земли ухудшилась, но военные сочли это для бомбардировщика делом второстепенным. Испытания продолжались более полугода, пока в сентябре 1942 самолет не был потерян из-за пожара моторов. Отладка винтомоторной группы продолжилась на «дублере».</w:t>
      </w:r>
    </w:p>
    <w:p w14:paraId="6C718990"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серийных самолетах Mk. III внедрили верхнюю стрелковую башню FN 50A с двумя пулеметами 7,69 мм, более удобную и в то же время имеющую меньшее аэродинамическое сопротивление. Нижний ограниченно-подвижный пулемет сняли: новая кормовая башня FN 20A имела увеличенный угол отклонения четырех пулеметов вниз. Но противник начал широко применять тяжелые перехватчики с системой «Джаз» (вертикальные пушки в фюзеляже), и пришлось «кинжальную» установку вернуть, смонтировав на старом месте крупнокалиберный пулемет.</w:t>
      </w:r>
    </w:p>
    <w:p w14:paraId="5AB75132"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«Стирлинг» оставался самым аварийным среди английских бомбардировщиков (22823).</w:t>
      </w:r>
    </w:p>
    <w:p w14:paraId="45B2DCFB" w14:textId="77777777" w:rsidR="00282096" w:rsidRPr="00D03F3E" w:rsidRDefault="00282096" w:rsidP="00D03F3E">
      <w:pPr>
        <w:spacing w:after="0" w:line="240" w:lineRule="auto"/>
        <w:jc w:val="both"/>
        <w:rPr>
          <w:rFonts w:ascii="Times New Roman" w:hAnsi="Times New Roman"/>
          <w:color w:val="0070C0"/>
          <w:sz w:val="16"/>
          <w:szCs w:val="16"/>
        </w:rPr>
      </w:pPr>
    </w:p>
    <w:p w14:paraId="79D45FA6" w14:textId="77777777" w:rsidR="00282096" w:rsidRPr="00D03F3E" w:rsidRDefault="0028209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январе 1943 года «Мицубиси» поручили обеспечить подвеску на армейский бомбардировщик Ki67 торпеды. Эти машины планировали передать на флот, а отделение армейских самолетов было загружено другими заданиями, и торпедоносцы «Ясакуни» появились лишь в октябре 1944 года. Они переоборудовались при ремонте строевых Ki67-I, и если новый Ki67-I был более скоростным и высотным, чем новый G4M2, то среднестатистический «Ясакуни» обычно был хуже, чем «рикко» даже после ремонта. Однако торпеда была единственным средством против боевых кораблей, и торпедные держатели были смонтированы более чем на 420 строевых Ki67. Они шли как в морскую, так и в армейскую авиацию. Но дальнейшее улучшение Ki67 уперлось в проблему моторов. Было построено два Ki67-II с 2400-сильными двигателями На214, они показали высокие летные данные, но в серии они не пошли. Упорные попытки повысить скорость Ki67 были не очень нужны — серийный самолет и так давал 520-540 км/ч, на 100 км/ч больше, чем у G4M. С другой стороны, не занимались проблемой повышения бомбовой нагрузки, и главное — живучестью и надежностью. Ki67, в отличие от G4M, не мог долго лететь на одном моторе, что над морем было равносильно смертному приговору (22842).</w:t>
      </w:r>
    </w:p>
    <w:p w14:paraId="636654AB" w14:textId="77777777" w:rsidR="00282096" w:rsidRPr="00D03F3E" w:rsidRDefault="00282096" w:rsidP="00D03F3E">
      <w:pPr>
        <w:spacing w:after="0" w:line="240" w:lineRule="auto"/>
        <w:jc w:val="both"/>
        <w:rPr>
          <w:rFonts w:ascii="Times New Roman" w:hAnsi="Times New Roman"/>
          <w:color w:val="0070C0"/>
          <w:sz w:val="16"/>
          <w:szCs w:val="16"/>
        </w:rPr>
      </w:pPr>
    </w:p>
    <w:p w14:paraId="7E42DFB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1943 Москито начали совершать дневные налеты на Берлин (88,168).</w:t>
      </w:r>
    </w:p>
    <w:p w14:paraId="668D2C8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F2D23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lastRenderedPageBreak/>
        <w:t>During January 1943 Lockheed C-69 Constellation first flown, a successful postwar transport with pressurized cabin (1038).</w:t>
      </w:r>
    </w:p>
    <w:p w14:paraId="0E76B21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A9BD63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года Дорнбергер ездил в Берлин, чтобы напомнить о своем существовании и по возможности выпросить денег. Единственными результатами его переговоров в военном министерстве были приказ о продолжении разработок. Военное министерство не могло предоставить Пенемюнде необходимого количества материалов: этот вопрос нужно было решать с министром вооружений Альбертом Шпеером. Дорнбергер отправился к нему, но Шпеер, невзирая на свое благосклонное отношение к ракетчикам, выразил сожаление: он ничем не может помочь!. А в феврале Дорнбергера попросили приехать в министерство боеприпасов к начальнику финансового отдела. Там ему заявили, что Пенемюнде предполагается преобразовать в частную акционерную компанию; все его акции будут временно принадлежать государству, а руководство будет осуществляться крупной промышленной фирмой. Когда Дорнбергер стал возражать, против него выдвинули обвинения в плохом руководстве. Дорнбергер все же сумел доказать свою правоту и на некоторое время восторжествовал, хотя с тех пор в Пенемюнде стали часто появляться люди, открыто заявлявшие, что они прибыли проверить, все ли здесь идет нормально. Это действовало скрывавшееся за спиной промышленных фирм техническое бюро нацистской партии, которое намерено было отнять у армии это учреждение (11688).</w:t>
      </w:r>
    </w:p>
    <w:p w14:paraId="47766B2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F989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 Шэн Шицай создал в Синьцзяне первую партийную организацию гоминьдана и стал ее руководителем. Вслед за тем в провинцию были введены правительственные войска Чан Кайши. В Урумчи были открыты генеральные консульства США и Великобритании (3871).</w:t>
      </w:r>
    </w:p>
    <w:p w14:paraId="1411D8D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B8DCD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команда Howard H. Aiken в Гарвардском университете при поддержке ИВМ завершил создание электромеханической программируемой ЭВМ ASCC Mark I (2952).</w:t>
      </w:r>
    </w:p>
    <w:p w14:paraId="4DFC0B8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5400F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1943 Говард Айкен и команда из IBM в Гарварде построили Mark 1 - первый широко известный программируемый калькулятор - 5 т и 750 тыс. частей (3463).</w:t>
      </w:r>
    </w:p>
    <w:p w14:paraId="06B57D9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9FC160"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3ACA709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4D4BB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январе-фев</w:t>
      </w:r>
      <w:r w:rsidRPr="00D03F3E">
        <w:rPr>
          <w:rFonts w:ascii="Times New Roman" w:hAnsi="Times New Roman"/>
          <w:color w:val="000000" w:themeColor="text1"/>
          <w:sz w:val="16"/>
          <w:szCs w:val="16"/>
        </w:rPr>
        <w:softHyphen/>
        <w:t>рале 1943-го в НИИ ВВС КА проходили Контрольные испытания серийного двухместного Ил-2 (зав. № 301122) с АМ-38ф производства завода № 30. Они показали, что при полетном весе 6060 кг максимальная скорость са</w:t>
      </w:r>
      <w:r w:rsidRPr="00D03F3E">
        <w:rPr>
          <w:rFonts w:ascii="Times New Roman" w:hAnsi="Times New Roman"/>
          <w:color w:val="000000" w:themeColor="text1"/>
          <w:sz w:val="16"/>
          <w:szCs w:val="16"/>
        </w:rPr>
        <w:softHyphen/>
        <w:t>молета у земли равнялась 386 км/ч, на высоте 1220 м - 404 км/ч. Высоту 1000 м штурмовик набирал за 2,2 минуты. Длина разбега с 400 кг бомб составила 335 м.</w:t>
      </w:r>
    </w:p>
    <w:p w14:paraId="475E413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Стрелково-пушечное и ракетное во</w:t>
      </w:r>
      <w:r w:rsidRPr="00D03F3E">
        <w:rPr>
          <w:rFonts w:ascii="Times New Roman" w:hAnsi="Times New Roman"/>
          <w:color w:val="000000" w:themeColor="text1"/>
          <w:sz w:val="16"/>
          <w:szCs w:val="16"/>
        </w:rPr>
        <w:softHyphen/>
        <w:t>оружение самолета состояло из двух пушек ШВАК (боезапас 420 снарядов), двух пулеметов ШКАС (боекомплект 1500 патронов), четырех РО-82 и одного обо</w:t>
      </w:r>
      <w:r w:rsidRPr="00D03F3E">
        <w:rPr>
          <w:rFonts w:ascii="Times New Roman" w:hAnsi="Times New Roman"/>
          <w:color w:val="000000" w:themeColor="text1"/>
          <w:sz w:val="16"/>
          <w:szCs w:val="16"/>
        </w:rPr>
        <w:softHyphen/>
        <w:t>ронительного пулемета УБТ (150 патро</w:t>
      </w:r>
      <w:r w:rsidRPr="00D03F3E">
        <w:rPr>
          <w:rFonts w:ascii="Times New Roman" w:hAnsi="Times New Roman"/>
          <w:color w:val="000000" w:themeColor="text1"/>
          <w:sz w:val="16"/>
          <w:szCs w:val="16"/>
        </w:rPr>
        <w:softHyphen/>
        <w:t>нов). Бомбовое вооружение включало 400 кг бомб нормальной нагрузки и 600 кг в перегрузку.</w:t>
      </w:r>
    </w:p>
    <w:p w14:paraId="05F8820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Летчики отмечали, что по технике пи</w:t>
      </w:r>
      <w:r w:rsidRPr="00D03F3E">
        <w:rPr>
          <w:rFonts w:ascii="Times New Roman" w:hAnsi="Times New Roman"/>
          <w:color w:val="000000" w:themeColor="text1"/>
          <w:sz w:val="16"/>
          <w:szCs w:val="16"/>
        </w:rPr>
        <w:softHyphen/>
        <w:t>лотирования двухместный Ил-2 с мото</w:t>
      </w:r>
      <w:r w:rsidRPr="00D03F3E">
        <w:rPr>
          <w:rFonts w:ascii="Times New Roman" w:hAnsi="Times New Roman"/>
          <w:color w:val="000000" w:themeColor="text1"/>
          <w:sz w:val="16"/>
          <w:szCs w:val="16"/>
        </w:rPr>
        <w:softHyphen/>
        <w:t>ром АМ-38ф практически не отличает</w:t>
      </w:r>
      <w:r w:rsidRPr="00D03F3E">
        <w:rPr>
          <w:rFonts w:ascii="Times New Roman" w:hAnsi="Times New Roman"/>
          <w:color w:val="000000" w:themeColor="text1"/>
          <w:sz w:val="16"/>
          <w:szCs w:val="16"/>
        </w:rPr>
        <w:softHyphen/>
        <w:t>ся от самолета с нефорсированным мо</w:t>
      </w:r>
      <w:r w:rsidRPr="00D03F3E">
        <w:rPr>
          <w:rFonts w:ascii="Times New Roman" w:hAnsi="Times New Roman"/>
          <w:color w:val="000000" w:themeColor="text1"/>
          <w:sz w:val="16"/>
          <w:szCs w:val="16"/>
        </w:rPr>
        <w:softHyphen/>
        <w:t>тором (6467).</w:t>
      </w:r>
    </w:p>
    <w:p w14:paraId="29A0DCA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3BF45D" w14:textId="77777777" w:rsidR="00282096" w:rsidRPr="00D03F3E" w:rsidRDefault="00282096"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В январе-феврале 1943 г. Испытывались четыре варианта оборонительных установок под пулемет УБТ для самолета Ил-2 - заводов №32 (И.И. Торопов), №43 (Н.А. Рубин), №481 (В.Н. Павлов) и №454 (И.П. Шебанов). Если первая из них представляла собой улучшен</w:t>
      </w:r>
      <w:r w:rsidRPr="00D03F3E">
        <w:rPr>
          <w:rFonts w:ascii="Times New Roman" w:hAnsi="Times New Roman" w:cs="Times New Roman"/>
          <w:color w:val="0070C0"/>
          <w:sz w:val="16"/>
          <w:szCs w:val="16"/>
        </w:rPr>
        <w:softHyphen/>
        <w:t>ный вариант серийной ВУБ-3 с увеличенным ходом каретки по полукольцу и механическим подтягом патронной ленты (вместо электриче</w:t>
      </w:r>
      <w:r w:rsidRPr="00D03F3E">
        <w:rPr>
          <w:rFonts w:ascii="Times New Roman" w:hAnsi="Times New Roman" w:cs="Times New Roman"/>
          <w:color w:val="0070C0"/>
          <w:sz w:val="16"/>
          <w:szCs w:val="16"/>
        </w:rPr>
        <w:softHyphen/>
        <w:t>ского), то остальные установки являлись ори</w:t>
      </w:r>
      <w:r w:rsidRPr="00D03F3E">
        <w:rPr>
          <w:rFonts w:ascii="Times New Roman" w:hAnsi="Times New Roman" w:cs="Times New Roman"/>
          <w:color w:val="0070C0"/>
          <w:sz w:val="16"/>
          <w:szCs w:val="16"/>
        </w:rPr>
        <w:softHyphen/>
        <w:t>гинальными.</w:t>
      </w:r>
    </w:p>
    <w:p w14:paraId="091A50B5" w14:textId="77777777" w:rsidR="00282096" w:rsidRPr="00D03F3E" w:rsidRDefault="00282096"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Так, установка завода №43 имела сварную раму с установленным на ней штатным ла</w:t>
      </w:r>
      <w:r w:rsidRPr="00D03F3E">
        <w:rPr>
          <w:rFonts w:ascii="Times New Roman" w:hAnsi="Times New Roman"/>
          <w:color w:val="0070C0"/>
          <w:sz w:val="16"/>
          <w:szCs w:val="16"/>
        </w:rPr>
        <w:softHyphen/>
        <w:t>фетом под пулемет УБТ от бомбардировщика Пе-2. Рама крепилась на двух кронштейнах, закрепленных</w:t>
      </w:r>
      <w:r w:rsidRPr="00D03F3E">
        <w:rPr>
          <w:rStyle w:val="800"/>
          <w:rFonts w:ascii="Times New Roman" w:hAnsi="Times New Roman" w:cs="Times New Roman"/>
          <w:i w:val="0"/>
          <w:iCs w:val="0"/>
          <w:color w:val="0070C0"/>
          <w:w w:val="100"/>
          <w:sz w:val="16"/>
          <w:szCs w:val="16"/>
        </w:rPr>
        <w:t xml:space="preserve"> «на профиле самолета».</w:t>
      </w:r>
      <w:r w:rsidRPr="00D03F3E">
        <w:rPr>
          <w:rFonts w:ascii="Times New Roman" w:hAnsi="Times New Roman"/>
          <w:color w:val="0070C0"/>
          <w:sz w:val="16"/>
          <w:szCs w:val="16"/>
        </w:rPr>
        <w:t xml:space="preserve"> Уста</w:t>
      </w:r>
      <w:r w:rsidRPr="00D03F3E">
        <w:rPr>
          <w:rFonts w:ascii="Times New Roman" w:hAnsi="Times New Roman"/>
          <w:color w:val="0070C0"/>
          <w:sz w:val="16"/>
          <w:szCs w:val="16"/>
        </w:rPr>
        <w:softHyphen/>
        <w:t>новка вращалась вокруг горизонтальной оси. В горизонтальной плоскости пулемет переме</w:t>
      </w:r>
      <w:r w:rsidRPr="00D03F3E">
        <w:rPr>
          <w:rFonts w:ascii="Times New Roman" w:hAnsi="Times New Roman"/>
          <w:color w:val="0070C0"/>
          <w:sz w:val="16"/>
          <w:szCs w:val="16"/>
        </w:rPr>
        <w:softHyphen/>
        <w:t>щался по дуге установки. Питание пулемета от ленты осуществлялось</w:t>
      </w:r>
      <w:r w:rsidRPr="00D03F3E">
        <w:rPr>
          <w:rStyle w:val="800"/>
          <w:rFonts w:ascii="Times New Roman" w:hAnsi="Times New Roman" w:cs="Times New Roman"/>
          <w:i w:val="0"/>
          <w:iCs w:val="0"/>
          <w:color w:val="0070C0"/>
          <w:w w:val="100"/>
          <w:sz w:val="16"/>
          <w:szCs w:val="16"/>
        </w:rPr>
        <w:t xml:space="preserve"> «через жесткий рукав без подтяга».</w:t>
      </w:r>
      <w:r w:rsidRPr="00D03F3E">
        <w:rPr>
          <w:rFonts w:ascii="Times New Roman" w:hAnsi="Times New Roman"/>
          <w:color w:val="0070C0"/>
          <w:sz w:val="16"/>
          <w:szCs w:val="16"/>
        </w:rPr>
        <w:t xml:space="preserve"> Патронный ящик емкостью 165 патронов монтировался непосредственно на установке. Стреляные гильзы и звенья собира</w:t>
      </w:r>
      <w:r w:rsidRPr="00D03F3E">
        <w:rPr>
          <w:rFonts w:ascii="Times New Roman" w:hAnsi="Times New Roman"/>
          <w:color w:val="0070C0"/>
          <w:sz w:val="16"/>
          <w:szCs w:val="16"/>
        </w:rPr>
        <w:softHyphen/>
        <w:t>лись в специальный фартук, который вмещал два боекомплекта. Он крепился на самолете и при вращении установки не мешал стрелку маневрировать пулеметом и вести огонь. При</w:t>
      </w:r>
      <w:r w:rsidRPr="00D03F3E">
        <w:rPr>
          <w:rFonts w:ascii="Times New Roman" w:hAnsi="Times New Roman"/>
          <w:color w:val="0070C0"/>
          <w:sz w:val="16"/>
          <w:szCs w:val="16"/>
        </w:rPr>
        <w:softHyphen/>
        <w:t>цел - механический, кольцевой, без стабили</w:t>
      </w:r>
      <w:r w:rsidRPr="00D03F3E">
        <w:rPr>
          <w:rFonts w:ascii="Times New Roman" w:hAnsi="Times New Roman"/>
          <w:color w:val="0070C0"/>
          <w:sz w:val="16"/>
          <w:szCs w:val="16"/>
        </w:rPr>
        <w:softHyphen/>
        <w:t>зации вектора собственной скорости самолета.</w:t>
      </w:r>
    </w:p>
    <w:p w14:paraId="5196D6B7" w14:textId="77777777" w:rsidR="00282096" w:rsidRPr="00D03F3E" w:rsidRDefault="00282096"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Установка завода №481 состояла из сфе</w:t>
      </w:r>
      <w:r w:rsidRPr="00D03F3E">
        <w:rPr>
          <w:rFonts w:ascii="Times New Roman" w:hAnsi="Times New Roman" w:cs="Times New Roman"/>
          <w:color w:val="0070C0"/>
          <w:sz w:val="16"/>
          <w:szCs w:val="16"/>
        </w:rPr>
        <w:softHyphen/>
        <w:t>рической сварной дуги из труб с установлен</w:t>
      </w:r>
      <w:r w:rsidRPr="00D03F3E">
        <w:rPr>
          <w:rFonts w:ascii="Times New Roman" w:hAnsi="Times New Roman" w:cs="Times New Roman"/>
          <w:color w:val="0070C0"/>
          <w:sz w:val="16"/>
          <w:szCs w:val="16"/>
        </w:rPr>
        <w:softHyphen/>
        <w:t>ным на ней штатным лафетом для УБТ от ВУБ- 3. Дуга фиксировалась при помощи двух крон</w:t>
      </w:r>
      <w:r w:rsidRPr="00D03F3E">
        <w:rPr>
          <w:rFonts w:ascii="Times New Roman" w:hAnsi="Times New Roman" w:cs="Times New Roman"/>
          <w:color w:val="0070C0"/>
          <w:sz w:val="16"/>
          <w:szCs w:val="16"/>
        </w:rPr>
        <w:softHyphen/>
        <w:t>штейнов: вверху - к силовому экрану, внизу - на шпангоуте фюзеляжа. Вращение проис</w:t>
      </w:r>
      <w:r w:rsidRPr="00D03F3E">
        <w:rPr>
          <w:rFonts w:ascii="Times New Roman" w:hAnsi="Times New Roman" w:cs="Times New Roman"/>
          <w:color w:val="0070C0"/>
          <w:sz w:val="16"/>
          <w:szCs w:val="16"/>
        </w:rPr>
        <w:softHyphen/>
        <w:t>ходило вокруг вертикальной оси. Патронный ящик на 200 патронов крепился к установке. Лента подавалась через гибкий рукав при по</w:t>
      </w:r>
      <w:r w:rsidRPr="00D03F3E">
        <w:rPr>
          <w:rFonts w:ascii="Times New Roman" w:hAnsi="Times New Roman" w:cs="Times New Roman"/>
          <w:color w:val="0070C0"/>
          <w:sz w:val="16"/>
          <w:szCs w:val="16"/>
        </w:rPr>
        <w:softHyphen/>
        <w:t>мощи механического подтяга. Гильзы и звенья собирались в мешок емкостью до одной трети боекомплекта. Прицел - коллиматорный К8-Т, со стабилизацией вектора собственной скоро</w:t>
      </w:r>
      <w:r w:rsidRPr="00D03F3E">
        <w:rPr>
          <w:rFonts w:ascii="Times New Roman" w:hAnsi="Times New Roman" w:cs="Times New Roman"/>
          <w:color w:val="0070C0"/>
          <w:sz w:val="16"/>
          <w:szCs w:val="16"/>
        </w:rPr>
        <w:softHyphen/>
        <w:t>сти самолета.</w:t>
      </w:r>
    </w:p>
    <w:p w14:paraId="22B815B4" w14:textId="77777777" w:rsidR="00282096" w:rsidRPr="00D03F3E" w:rsidRDefault="00282096"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Конструкция завода №454 представляла собой закрепленное на фюзеляже основание («подпятник»), на ось которого крепился свар</w:t>
      </w:r>
      <w:r w:rsidRPr="00D03F3E">
        <w:rPr>
          <w:rFonts w:ascii="Times New Roman" w:hAnsi="Times New Roman" w:cs="Times New Roman"/>
          <w:color w:val="0070C0"/>
          <w:sz w:val="16"/>
          <w:szCs w:val="16"/>
        </w:rPr>
        <w:softHyphen/>
        <w:t>ной коробчатого сечения вертлюг с вильчатым шкворнем. На шкворне при помощи нарезных пробок монтировался серийный лафет с буфе</w:t>
      </w:r>
      <w:r w:rsidRPr="00D03F3E">
        <w:rPr>
          <w:rFonts w:ascii="Times New Roman" w:hAnsi="Times New Roman" w:cs="Times New Roman"/>
          <w:color w:val="0070C0"/>
          <w:sz w:val="16"/>
          <w:szCs w:val="16"/>
        </w:rPr>
        <w:softHyphen/>
        <w:t>рами, на котором размещался пулемет УБТ и механизм стабилизации вектора собственной скорости самолета. Прицел - коллиматорный, К8-Т. Питание УБТ - непрерывное, из мага</w:t>
      </w:r>
      <w:r w:rsidRPr="00D03F3E">
        <w:rPr>
          <w:rFonts w:ascii="Times New Roman" w:hAnsi="Times New Roman" w:cs="Times New Roman"/>
          <w:color w:val="0070C0"/>
          <w:sz w:val="16"/>
          <w:szCs w:val="16"/>
        </w:rPr>
        <w:softHyphen/>
        <w:t>зина на 50 патронов (легкосъемный ящик с патронной лентой). Боекомплект включал 200 патронов в четырех магазинах. Запасные ма</w:t>
      </w:r>
      <w:r w:rsidRPr="00D03F3E">
        <w:rPr>
          <w:rFonts w:ascii="Times New Roman" w:hAnsi="Times New Roman" w:cs="Times New Roman"/>
          <w:color w:val="0070C0"/>
          <w:sz w:val="16"/>
          <w:szCs w:val="16"/>
        </w:rPr>
        <w:softHyphen/>
        <w:t>газины крепились по бортам кабины самолета на специальных замках. Стреляные гильзы и звенья собирались в специальный мешок, подвешиваемый на лафет оружия. Наводка осуществлялась путем переброски вертлюга в горизонтальной плоскости и доводки пуле</w:t>
      </w:r>
      <w:r w:rsidRPr="00D03F3E">
        <w:rPr>
          <w:rFonts w:ascii="Times New Roman" w:hAnsi="Times New Roman" w:cs="Times New Roman"/>
          <w:color w:val="0070C0"/>
          <w:sz w:val="16"/>
          <w:szCs w:val="16"/>
        </w:rPr>
        <w:softHyphen/>
        <w:t>мета на шкворне на цель в вертикальной и горизонтальной плоскости.</w:t>
      </w:r>
    </w:p>
    <w:p w14:paraId="0B257176" w14:textId="77777777" w:rsidR="00282096" w:rsidRPr="00D03F3E" w:rsidRDefault="00282096"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Установки заводов №32, 43 и 481 испытывались на НИП АВ ВВС с 3 по 26 января, а завода №454 - с 6 по 18 февраля 1943 г. В испытаниях задействовали четыре серийных самолета Ил-2 (№301134, 301084, 301247 и 18710040) производства заводов №30 и №18.</w:t>
      </w:r>
    </w:p>
    <w:p w14:paraId="367E71E4" w14:textId="77777777" w:rsidR="00282096" w:rsidRPr="00D03F3E" w:rsidRDefault="00282096"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В ходе январских испытаний наилучшие результаты по удобству применения в бою, технологичности в изготовлении и простоте эксплуатации показала установка завода №481.</w:t>
      </w:r>
    </w:p>
    <w:p w14:paraId="2BE4103F" w14:textId="77777777" w:rsidR="00282096" w:rsidRPr="00D03F3E" w:rsidRDefault="00282096"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Испытатели отмечали, что прицельная стрельба из УБТ на ВУБ-3 (как серийной, так и модернизированной) была затруднена из-за сильной тряска пулемета. На установках заво</w:t>
      </w:r>
      <w:r w:rsidRPr="00D03F3E">
        <w:rPr>
          <w:rFonts w:ascii="Times New Roman" w:hAnsi="Times New Roman" w:cs="Times New Roman"/>
          <w:color w:val="0070C0"/>
          <w:sz w:val="16"/>
          <w:szCs w:val="16"/>
        </w:rPr>
        <w:softHyphen/>
        <w:t>дов №481 и №43 вести прицельную стрельбу стало заметно легче: их конструкция равно</w:t>
      </w:r>
      <w:r w:rsidRPr="00D03F3E">
        <w:rPr>
          <w:rFonts w:ascii="Times New Roman" w:hAnsi="Times New Roman" w:cs="Times New Roman"/>
          <w:color w:val="0070C0"/>
          <w:sz w:val="16"/>
          <w:szCs w:val="16"/>
        </w:rPr>
        <w:softHyphen/>
        <w:t>мерно воспринимала отдачу при стрельбе, поэтому удерживать прицельную линию было легко. При этом</w:t>
      </w:r>
      <w:r w:rsidRPr="00D03F3E">
        <w:rPr>
          <w:rStyle w:val="800"/>
          <w:rFonts w:ascii="Times New Roman" w:hAnsi="Times New Roman" w:cs="Times New Roman"/>
          <w:i w:val="0"/>
          <w:iCs w:val="0"/>
          <w:color w:val="0070C0"/>
          <w:w w:val="100"/>
          <w:sz w:val="16"/>
          <w:szCs w:val="16"/>
        </w:rPr>
        <w:t xml:space="preserve"> «наибольшие прицельные углы и удобное их использование при стрельбе» </w:t>
      </w:r>
      <w:r w:rsidRPr="00D03F3E">
        <w:rPr>
          <w:rFonts w:ascii="Times New Roman" w:hAnsi="Times New Roman" w:cs="Times New Roman"/>
          <w:color w:val="0070C0"/>
          <w:sz w:val="16"/>
          <w:szCs w:val="16"/>
        </w:rPr>
        <w:t>имела установка завода №481 (вверх - 35°, вправо - 35°, влево - 50°, вниз по борту - 8°). Прицельные углы на установке завода №43 (вверх - 47°, вправо - 15°, влево - 40°, вниз по борту - 3°),</w:t>
      </w:r>
      <w:r w:rsidRPr="00D03F3E">
        <w:rPr>
          <w:rStyle w:val="800"/>
          <w:rFonts w:ascii="Times New Roman" w:hAnsi="Times New Roman" w:cs="Times New Roman"/>
          <w:i w:val="0"/>
          <w:iCs w:val="0"/>
          <w:color w:val="0070C0"/>
          <w:w w:val="100"/>
          <w:sz w:val="16"/>
          <w:szCs w:val="16"/>
        </w:rPr>
        <w:t xml:space="preserve"> «полностью использовать нельзя, поскольку прицел не имеет стабилиза</w:t>
      </w:r>
      <w:r w:rsidRPr="00D03F3E">
        <w:rPr>
          <w:rStyle w:val="800"/>
          <w:rFonts w:ascii="Times New Roman" w:hAnsi="Times New Roman" w:cs="Times New Roman"/>
          <w:i w:val="0"/>
          <w:iCs w:val="0"/>
          <w:color w:val="0070C0"/>
          <w:w w:val="100"/>
          <w:sz w:val="16"/>
          <w:szCs w:val="16"/>
        </w:rPr>
        <w:softHyphen/>
        <w:t>ции вектора собственной скорости самолета».</w:t>
      </w:r>
    </w:p>
    <w:p w14:paraId="67500140" w14:textId="77777777" w:rsidR="00282096" w:rsidRPr="00D03F3E" w:rsidRDefault="00282096"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Главное отличие модернизированной установки ВУБ-3 от серийного варианта за</w:t>
      </w:r>
      <w:r w:rsidRPr="00D03F3E">
        <w:rPr>
          <w:rFonts w:ascii="Times New Roman" w:hAnsi="Times New Roman" w:cs="Times New Roman"/>
          <w:color w:val="0070C0"/>
          <w:sz w:val="16"/>
          <w:szCs w:val="16"/>
        </w:rPr>
        <w:softHyphen/>
        <w:t>ключалось в применении механического подтяга патронной ленты вместо электриче</w:t>
      </w:r>
      <w:r w:rsidRPr="00D03F3E">
        <w:rPr>
          <w:rFonts w:ascii="Times New Roman" w:hAnsi="Times New Roman" w:cs="Times New Roman"/>
          <w:color w:val="0070C0"/>
          <w:sz w:val="16"/>
          <w:szCs w:val="16"/>
        </w:rPr>
        <w:softHyphen/>
        <w:t>ского; он монтировался непосредственно в приемнике пулемета и состоял из подающей пружины, звездочки и рычага. При заправке ленты в приемник пружину требовалось заве</w:t>
      </w:r>
      <w:r w:rsidRPr="00D03F3E">
        <w:rPr>
          <w:rFonts w:ascii="Times New Roman" w:hAnsi="Times New Roman" w:cs="Times New Roman"/>
          <w:color w:val="0070C0"/>
          <w:sz w:val="16"/>
          <w:szCs w:val="16"/>
        </w:rPr>
        <w:softHyphen/>
        <w:t>сти, после чего за счет ее упругости лента про</w:t>
      </w:r>
      <w:r w:rsidRPr="00D03F3E">
        <w:rPr>
          <w:rFonts w:ascii="Times New Roman" w:hAnsi="Times New Roman" w:cs="Times New Roman"/>
          <w:color w:val="0070C0"/>
          <w:sz w:val="16"/>
          <w:szCs w:val="16"/>
        </w:rPr>
        <w:softHyphen/>
        <w:t>талкивалась в приемник. Подзавод пружины осуществлялся во время стрельбы с помощью подвижной планки в приемнике пулемета, ко</w:t>
      </w:r>
      <w:r w:rsidRPr="00D03F3E">
        <w:rPr>
          <w:rFonts w:ascii="Times New Roman" w:hAnsi="Times New Roman" w:cs="Times New Roman"/>
          <w:color w:val="0070C0"/>
          <w:sz w:val="16"/>
          <w:szCs w:val="16"/>
        </w:rPr>
        <w:softHyphen/>
        <w:t>торая при стрельбе действовала на рычаг ме</w:t>
      </w:r>
      <w:r w:rsidRPr="00D03F3E">
        <w:rPr>
          <w:rFonts w:ascii="Times New Roman" w:hAnsi="Times New Roman" w:cs="Times New Roman"/>
          <w:color w:val="0070C0"/>
          <w:sz w:val="16"/>
          <w:szCs w:val="16"/>
        </w:rPr>
        <w:softHyphen/>
        <w:t>ханизма подтяга, заводя пружину до первона</w:t>
      </w:r>
      <w:r w:rsidRPr="00D03F3E">
        <w:rPr>
          <w:rFonts w:ascii="Times New Roman" w:hAnsi="Times New Roman" w:cs="Times New Roman"/>
          <w:color w:val="0070C0"/>
          <w:sz w:val="16"/>
          <w:szCs w:val="16"/>
        </w:rPr>
        <w:softHyphen/>
        <w:t>чального состояния.</w:t>
      </w:r>
    </w:p>
    <w:p w14:paraId="034CCF38" w14:textId="77777777" w:rsidR="00282096" w:rsidRPr="00D03F3E" w:rsidRDefault="00282096"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Отмечалось, что механический подтяг, предложенный заводом №32,</w:t>
      </w:r>
      <w:r w:rsidRPr="00D03F3E">
        <w:rPr>
          <w:rStyle w:val="800"/>
          <w:rFonts w:ascii="Times New Roman" w:hAnsi="Times New Roman" w:cs="Times New Roman"/>
          <w:i w:val="0"/>
          <w:iCs w:val="0"/>
          <w:color w:val="0070C0"/>
          <w:w w:val="100"/>
          <w:sz w:val="16"/>
          <w:szCs w:val="16"/>
        </w:rPr>
        <w:t xml:space="preserve"> «обеспечил на испытании достаточно надежную работу автоматики пулемета».</w:t>
      </w:r>
      <w:r w:rsidRPr="00D03F3E">
        <w:rPr>
          <w:rFonts w:ascii="Times New Roman" w:hAnsi="Times New Roman" w:cs="Times New Roman"/>
          <w:color w:val="0070C0"/>
          <w:sz w:val="16"/>
          <w:szCs w:val="16"/>
        </w:rPr>
        <w:t xml:space="preserve"> Как следствие, он рекомендовался к внедрению на установках других заводов, где предусматривался под- тяг патронной ленты. Основные недостатки и дефекты указывались те же самые, что и для серийной ВУБ-3.</w:t>
      </w:r>
    </w:p>
    <w:p w14:paraId="34B63817" w14:textId="77777777" w:rsidR="00282096" w:rsidRPr="00D03F3E" w:rsidRDefault="00282096"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Установка завода №481 по сравнению с серийной ВУБ-3 или ее модернизированным вариантом была технологически проще в изго</w:t>
      </w:r>
      <w:r w:rsidRPr="00D03F3E">
        <w:rPr>
          <w:rFonts w:ascii="Times New Roman" w:hAnsi="Times New Roman" w:cs="Times New Roman"/>
          <w:color w:val="0070C0"/>
          <w:sz w:val="16"/>
          <w:szCs w:val="16"/>
        </w:rPr>
        <w:softHyphen/>
        <w:t>товлении, так как в ней отсутствовали каретка и кольцо, но требовались довольно заметные переделки самолета и пулемета. Так, для мон</w:t>
      </w:r>
      <w:r w:rsidRPr="00D03F3E">
        <w:rPr>
          <w:rFonts w:ascii="Times New Roman" w:hAnsi="Times New Roman" w:cs="Times New Roman"/>
          <w:color w:val="0070C0"/>
          <w:sz w:val="16"/>
          <w:szCs w:val="16"/>
        </w:rPr>
        <w:softHyphen/>
        <w:t>тажа установки в кабине стрелка необходимо было поставить кронштейны дуги для верхней и нижней осей, заменить серийный откидной фонарь новым - с измененной конструкцией экрана,</w:t>
      </w:r>
      <w:r w:rsidRPr="00D03F3E">
        <w:rPr>
          <w:rStyle w:val="800"/>
          <w:rFonts w:ascii="Times New Roman" w:hAnsi="Times New Roman" w:cs="Times New Roman"/>
          <w:i w:val="0"/>
          <w:iCs w:val="0"/>
          <w:color w:val="0070C0"/>
          <w:w w:val="100"/>
          <w:sz w:val="16"/>
          <w:szCs w:val="16"/>
        </w:rPr>
        <w:t xml:space="preserve"> «несущего верхнюю ось дуги»,</w:t>
      </w:r>
      <w:r w:rsidRPr="00D03F3E">
        <w:rPr>
          <w:rFonts w:ascii="Times New Roman" w:hAnsi="Times New Roman" w:cs="Times New Roman"/>
          <w:color w:val="0070C0"/>
          <w:sz w:val="16"/>
          <w:szCs w:val="16"/>
        </w:rPr>
        <w:t xml:space="preserve"> и дора</w:t>
      </w:r>
      <w:r w:rsidRPr="00D03F3E">
        <w:rPr>
          <w:rFonts w:ascii="Times New Roman" w:hAnsi="Times New Roman" w:cs="Times New Roman"/>
          <w:color w:val="0070C0"/>
          <w:sz w:val="16"/>
          <w:szCs w:val="16"/>
        </w:rPr>
        <w:softHyphen/>
        <w:t>ботать пулемет валового выпуска -</w:t>
      </w:r>
      <w:r w:rsidRPr="00D03F3E">
        <w:rPr>
          <w:rStyle w:val="800"/>
          <w:rFonts w:ascii="Times New Roman" w:hAnsi="Times New Roman" w:cs="Times New Roman"/>
          <w:i w:val="0"/>
          <w:iCs w:val="0"/>
          <w:color w:val="0070C0"/>
          <w:w w:val="100"/>
          <w:sz w:val="16"/>
          <w:szCs w:val="16"/>
        </w:rPr>
        <w:t xml:space="preserve"> «заменить штанги спускового крючка и произвести свер</w:t>
      </w:r>
      <w:r w:rsidRPr="00D03F3E">
        <w:rPr>
          <w:rStyle w:val="800"/>
          <w:rFonts w:ascii="Times New Roman" w:hAnsi="Times New Roman" w:cs="Times New Roman"/>
          <w:i w:val="0"/>
          <w:iCs w:val="0"/>
          <w:color w:val="0070C0"/>
          <w:w w:val="100"/>
          <w:sz w:val="16"/>
          <w:szCs w:val="16"/>
        </w:rPr>
        <w:softHyphen/>
        <w:t>ление отверстий в движителе подавателя пулемета».</w:t>
      </w:r>
      <w:r w:rsidRPr="00D03F3E">
        <w:rPr>
          <w:rFonts w:ascii="Times New Roman" w:hAnsi="Times New Roman" w:cs="Times New Roman"/>
          <w:color w:val="0070C0"/>
          <w:sz w:val="16"/>
          <w:szCs w:val="16"/>
        </w:rPr>
        <w:t xml:space="preserve"> Но главное - установку верхней и нижней осей дуги требовалось выполнить </w:t>
      </w:r>
      <w:r w:rsidRPr="00D03F3E">
        <w:rPr>
          <w:rStyle w:val="800"/>
          <w:rFonts w:ascii="Times New Roman" w:hAnsi="Times New Roman" w:cs="Times New Roman"/>
          <w:i w:val="0"/>
          <w:iCs w:val="0"/>
          <w:color w:val="0070C0"/>
          <w:w w:val="100"/>
          <w:sz w:val="16"/>
          <w:szCs w:val="16"/>
        </w:rPr>
        <w:t>«строго соосно».</w:t>
      </w:r>
    </w:p>
    <w:p w14:paraId="4D928C4B" w14:textId="77777777" w:rsidR="00282096" w:rsidRPr="00D03F3E" w:rsidRDefault="00282096"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Кроме того, новый фонарь затруднял</w:t>
      </w:r>
      <w:r w:rsidRPr="00D03F3E">
        <w:rPr>
          <w:rStyle w:val="800"/>
          <w:rFonts w:ascii="Times New Roman" w:hAnsi="Times New Roman" w:cs="Times New Roman"/>
          <w:i w:val="0"/>
          <w:iCs w:val="0"/>
          <w:color w:val="0070C0"/>
          <w:w w:val="100"/>
          <w:sz w:val="16"/>
          <w:szCs w:val="16"/>
        </w:rPr>
        <w:t xml:space="preserve"> «вы</w:t>
      </w:r>
      <w:r w:rsidRPr="00D03F3E">
        <w:rPr>
          <w:rStyle w:val="800"/>
          <w:rFonts w:ascii="Times New Roman" w:hAnsi="Times New Roman" w:cs="Times New Roman"/>
          <w:i w:val="0"/>
          <w:iCs w:val="0"/>
          <w:color w:val="0070C0"/>
          <w:w w:val="100"/>
          <w:sz w:val="16"/>
          <w:szCs w:val="16"/>
        </w:rPr>
        <w:softHyphen/>
        <w:t>броску стрелка с парашютом»,</w:t>
      </w:r>
      <w:r w:rsidRPr="00D03F3E">
        <w:rPr>
          <w:rFonts w:ascii="Times New Roman" w:hAnsi="Times New Roman" w:cs="Times New Roman"/>
          <w:color w:val="0070C0"/>
          <w:sz w:val="16"/>
          <w:szCs w:val="16"/>
        </w:rPr>
        <w:t xml:space="preserve"> а наличие дуги ухудшало доступ к отсеку с аккумулятором. К тому же наличие гибкой системы питания, ве</w:t>
      </w:r>
      <w:r w:rsidRPr="00D03F3E">
        <w:rPr>
          <w:rFonts w:ascii="Times New Roman" w:hAnsi="Times New Roman" w:cs="Times New Roman"/>
          <w:color w:val="0070C0"/>
          <w:sz w:val="16"/>
          <w:szCs w:val="16"/>
        </w:rPr>
        <w:softHyphen/>
        <w:t xml:space="preserve">совой компенсации и механического подтяга требовало довольно трудоемкой регулировки установки при эксплуатации. В то же время ее конструкция позволяла улучшить защиту стрелка со стороны задней полусферы путем </w:t>
      </w:r>
      <w:r w:rsidRPr="00D03F3E">
        <w:rPr>
          <w:rStyle w:val="800"/>
          <w:rFonts w:ascii="Times New Roman" w:hAnsi="Times New Roman" w:cs="Times New Roman"/>
          <w:i w:val="0"/>
          <w:iCs w:val="0"/>
          <w:color w:val="0070C0"/>
          <w:w w:val="100"/>
          <w:sz w:val="16"/>
          <w:szCs w:val="16"/>
        </w:rPr>
        <w:t>«постановки бронестекла и подвижной брони».</w:t>
      </w:r>
    </w:p>
    <w:p w14:paraId="0A1D0419" w14:textId="77777777" w:rsidR="00282096" w:rsidRPr="00D03F3E" w:rsidRDefault="00282096"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 xml:space="preserve">По мнению специалистов полигона, </w:t>
      </w:r>
      <w:r w:rsidRPr="00D03F3E">
        <w:rPr>
          <w:rStyle w:val="800"/>
          <w:rFonts w:ascii="Times New Roman" w:hAnsi="Times New Roman" w:cs="Times New Roman"/>
          <w:i w:val="0"/>
          <w:iCs w:val="0"/>
          <w:color w:val="0070C0"/>
          <w:w w:val="100"/>
          <w:sz w:val="16"/>
          <w:szCs w:val="16"/>
        </w:rPr>
        <w:t>«установка Павлова завода №481 в удобстве эксплуатации, в легкости маневра является лучшей установкой».</w:t>
      </w:r>
      <w:r w:rsidRPr="00D03F3E">
        <w:rPr>
          <w:rFonts w:ascii="Times New Roman" w:hAnsi="Times New Roman" w:cs="Times New Roman"/>
          <w:color w:val="0070C0"/>
          <w:sz w:val="16"/>
          <w:szCs w:val="16"/>
        </w:rPr>
        <w:t xml:space="preserve"> Для повышения оборо</w:t>
      </w:r>
      <w:r w:rsidRPr="00D03F3E">
        <w:rPr>
          <w:rFonts w:ascii="Times New Roman" w:hAnsi="Times New Roman" w:cs="Times New Roman"/>
          <w:color w:val="0070C0"/>
          <w:sz w:val="16"/>
          <w:szCs w:val="16"/>
        </w:rPr>
        <w:softHyphen/>
        <w:t>носпособности требовалось лишь увеличить углы обстрела по горизонту на 10-15°.</w:t>
      </w:r>
    </w:p>
    <w:p w14:paraId="1632E74F" w14:textId="77777777" w:rsidR="00282096" w:rsidRPr="00D03F3E" w:rsidRDefault="00282096"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Наиболее простой в производстве и в эксплуатационном отношении являлась уста</w:t>
      </w:r>
      <w:r w:rsidRPr="00D03F3E">
        <w:rPr>
          <w:rFonts w:ascii="Times New Roman" w:hAnsi="Times New Roman" w:cs="Times New Roman"/>
          <w:color w:val="0070C0"/>
          <w:sz w:val="16"/>
          <w:szCs w:val="16"/>
        </w:rPr>
        <w:softHyphen/>
        <w:t>новка завода №43. Она имела</w:t>
      </w:r>
      <w:r w:rsidRPr="00D03F3E">
        <w:rPr>
          <w:rStyle w:val="800"/>
          <w:rFonts w:ascii="Times New Roman" w:hAnsi="Times New Roman" w:cs="Times New Roman"/>
          <w:i w:val="0"/>
          <w:iCs w:val="0"/>
          <w:color w:val="0070C0"/>
          <w:w w:val="100"/>
          <w:sz w:val="16"/>
          <w:szCs w:val="16"/>
        </w:rPr>
        <w:t xml:space="preserve"> «крайне малое количество деталей, составляющей установку (321 деталь), при технологической простоте изготовления».</w:t>
      </w:r>
      <w:r w:rsidRPr="00D03F3E">
        <w:rPr>
          <w:rFonts w:ascii="Times New Roman" w:hAnsi="Times New Roman" w:cs="Times New Roman"/>
          <w:color w:val="0070C0"/>
          <w:sz w:val="16"/>
          <w:szCs w:val="16"/>
        </w:rPr>
        <w:t xml:space="preserve"> При этом 90 деталей и узлов уже были освоены в производстве. Отсутствие необходимости индивидуальной пригонки деталей и узлов, а также дефицитных мате</w:t>
      </w:r>
      <w:r w:rsidRPr="00D03F3E">
        <w:rPr>
          <w:rFonts w:ascii="Times New Roman" w:hAnsi="Times New Roman" w:cs="Times New Roman"/>
          <w:color w:val="0070C0"/>
          <w:sz w:val="16"/>
          <w:szCs w:val="16"/>
        </w:rPr>
        <w:softHyphen/>
        <w:t>риалов и механизмов подтяга ленты позво</w:t>
      </w:r>
      <w:r w:rsidRPr="00D03F3E">
        <w:rPr>
          <w:rFonts w:ascii="Times New Roman" w:hAnsi="Times New Roman" w:cs="Times New Roman"/>
          <w:color w:val="0070C0"/>
          <w:sz w:val="16"/>
          <w:szCs w:val="16"/>
        </w:rPr>
        <w:softHyphen/>
        <w:t>ляло развернуть массовый выпуск установки в кратчайшие сроки, в том числе</w:t>
      </w:r>
      <w:r w:rsidRPr="00D03F3E">
        <w:rPr>
          <w:rStyle w:val="800"/>
          <w:rFonts w:ascii="Times New Roman" w:hAnsi="Times New Roman" w:cs="Times New Roman"/>
          <w:i w:val="0"/>
          <w:iCs w:val="0"/>
          <w:color w:val="0070C0"/>
          <w:w w:val="100"/>
          <w:sz w:val="16"/>
          <w:szCs w:val="16"/>
        </w:rPr>
        <w:t xml:space="preserve"> «на заводах с малым механическим парком и низкой квали</w:t>
      </w:r>
      <w:r w:rsidRPr="00D03F3E">
        <w:rPr>
          <w:rStyle w:val="800"/>
          <w:rFonts w:ascii="Times New Roman" w:hAnsi="Times New Roman" w:cs="Times New Roman"/>
          <w:i w:val="0"/>
          <w:iCs w:val="0"/>
          <w:color w:val="0070C0"/>
          <w:w w:val="100"/>
          <w:sz w:val="16"/>
          <w:szCs w:val="16"/>
        </w:rPr>
        <w:softHyphen/>
        <w:t>фикацией рабсилы».</w:t>
      </w:r>
      <w:r w:rsidRPr="00D03F3E">
        <w:rPr>
          <w:rFonts w:ascii="Times New Roman" w:hAnsi="Times New Roman" w:cs="Times New Roman"/>
          <w:color w:val="0070C0"/>
          <w:sz w:val="16"/>
          <w:szCs w:val="16"/>
        </w:rPr>
        <w:t xml:space="preserve"> Кроме того, при монтаже установки в кабине Ил-2 («в</w:t>
      </w:r>
      <w:r w:rsidRPr="00D03F3E">
        <w:rPr>
          <w:rStyle w:val="800"/>
          <w:rFonts w:ascii="Times New Roman" w:hAnsi="Times New Roman" w:cs="Times New Roman"/>
          <w:i w:val="0"/>
          <w:iCs w:val="0"/>
          <w:color w:val="0070C0"/>
          <w:w w:val="100"/>
          <w:sz w:val="16"/>
          <w:szCs w:val="16"/>
        </w:rPr>
        <w:t xml:space="preserve"> месте крепления ВУБ-3»)</w:t>
      </w:r>
      <w:r w:rsidRPr="00D03F3E">
        <w:rPr>
          <w:rFonts w:ascii="Times New Roman" w:hAnsi="Times New Roman" w:cs="Times New Roman"/>
          <w:color w:val="0070C0"/>
          <w:sz w:val="16"/>
          <w:szCs w:val="16"/>
        </w:rPr>
        <w:t xml:space="preserve"> не требовалось никаких переделок фюзеляжа.</w:t>
      </w:r>
    </w:p>
    <w:p w14:paraId="39E08C54" w14:textId="77777777" w:rsidR="00282096" w:rsidRPr="00D03F3E" w:rsidRDefault="00282096"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Отличительной чертой установки завода №43 являлось крайне простое и быстрое заря</w:t>
      </w:r>
      <w:r w:rsidRPr="00D03F3E">
        <w:rPr>
          <w:rFonts w:ascii="Times New Roman" w:hAnsi="Times New Roman" w:cs="Times New Roman"/>
          <w:color w:val="0070C0"/>
          <w:sz w:val="16"/>
          <w:szCs w:val="16"/>
        </w:rPr>
        <w:softHyphen/>
        <w:t xml:space="preserve">жание. Патронный ящик мог устанавливаться </w:t>
      </w:r>
      <w:r w:rsidRPr="00D03F3E">
        <w:rPr>
          <w:rStyle w:val="800"/>
          <w:rFonts w:ascii="Times New Roman" w:hAnsi="Times New Roman" w:cs="Times New Roman"/>
          <w:i w:val="0"/>
          <w:iCs w:val="0"/>
          <w:color w:val="0070C0"/>
          <w:w w:val="100"/>
          <w:sz w:val="16"/>
          <w:szCs w:val="16"/>
        </w:rPr>
        <w:t>«со свешенной через левую стенку горловины патронной лентой».</w:t>
      </w:r>
      <w:r w:rsidRPr="00D03F3E">
        <w:rPr>
          <w:rFonts w:ascii="Times New Roman" w:hAnsi="Times New Roman" w:cs="Times New Roman"/>
          <w:color w:val="0070C0"/>
          <w:sz w:val="16"/>
          <w:szCs w:val="16"/>
        </w:rPr>
        <w:t xml:space="preserve"> Фрагмент ленты (18-20 патрон) через верхнюю крышку вводился в приемник, зацеплялся первым патроном (или звеном) за звеньевырез и нижним концом соединялся с лентой, уложенной в патронный ящик. Тем самым</w:t>
      </w:r>
      <w:r w:rsidRPr="00D03F3E">
        <w:rPr>
          <w:rStyle w:val="800"/>
          <w:rFonts w:ascii="Times New Roman" w:hAnsi="Times New Roman" w:cs="Times New Roman"/>
          <w:i w:val="0"/>
          <w:iCs w:val="0"/>
          <w:color w:val="0070C0"/>
          <w:w w:val="100"/>
          <w:sz w:val="16"/>
          <w:szCs w:val="16"/>
        </w:rPr>
        <w:t xml:space="preserve"> «исключалась необходимость в протаскивании переднего конца ее через приемник, что при работе зимой связано с по</w:t>
      </w:r>
      <w:r w:rsidRPr="00D03F3E">
        <w:rPr>
          <w:rStyle w:val="800"/>
          <w:rFonts w:ascii="Times New Roman" w:hAnsi="Times New Roman" w:cs="Times New Roman"/>
          <w:i w:val="0"/>
          <w:iCs w:val="0"/>
          <w:color w:val="0070C0"/>
          <w:w w:val="100"/>
          <w:sz w:val="16"/>
          <w:szCs w:val="16"/>
        </w:rPr>
        <w:softHyphen/>
        <w:t>терей времени ввиду выскакивания ленты из рук».</w:t>
      </w:r>
      <w:r w:rsidRPr="00D03F3E">
        <w:rPr>
          <w:rFonts w:ascii="Times New Roman" w:hAnsi="Times New Roman" w:cs="Times New Roman"/>
          <w:color w:val="0070C0"/>
          <w:sz w:val="16"/>
          <w:szCs w:val="16"/>
        </w:rPr>
        <w:t xml:space="preserve"> Снятие патронного ящика также было простым и удобным.</w:t>
      </w:r>
    </w:p>
    <w:p w14:paraId="7674490E" w14:textId="77777777" w:rsidR="00282096" w:rsidRPr="00D03F3E" w:rsidRDefault="00282096"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Оригинально и удачно был решен вопрос сбора гильз и звеньев - при помощи фартука, подвешиваемого к фюзеляжу внутри самолета. Констатировалось, что фартук</w:t>
      </w:r>
      <w:r w:rsidRPr="00D03F3E">
        <w:rPr>
          <w:rStyle w:val="800"/>
          <w:rFonts w:ascii="Times New Roman" w:hAnsi="Times New Roman" w:cs="Times New Roman"/>
          <w:i w:val="0"/>
          <w:iCs w:val="0"/>
          <w:color w:val="0070C0"/>
          <w:w w:val="100"/>
          <w:sz w:val="16"/>
          <w:szCs w:val="16"/>
        </w:rPr>
        <w:t xml:space="preserve"> «устраняет необходимость наблюдения за наполнением мешков, предназначенных для этой цели на других установках, и устраняет возможность получения в бою </w:t>
      </w:r>
      <w:r w:rsidRPr="00D03F3E">
        <w:rPr>
          <w:rStyle w:val="800"/>
          <w:rFonts w:ascii="Times New Roman" w:hAnsi="Times New Roman" w:cs="Times New Roman"/>
          <w:i w:val="0"/>
          <w:iCs w:val="0"/>
          <w:color w:val="0070C0"/>
          <w:w w:val="100"/>
          <w:sz w:val="16"/>
          <w:szCs w:val="16"/>
        </w:rPr>
        <w:lastRenderedPageBreak/>
        <w:t>задержек по причине несво</w:t>
      </w:r>
      <w:r w:rsidRPr="00D03F3E">
        <w:rPr>
          <w:rStyle w:val="800"/>
          <w:rFonts w:ascii="Times New Roman" w:hAnsi="Times New Roman" w:cs="Times New Roman"/>
          <w:i w:val="0"/>
          <w:iCs w:val="0"/>
          <w:color w:val="0070C0"/>
          <w:w w:val="100"/>
          <w:sz w:val="16"/>
          <w:szCs w:val="16"/>
        </w:rPr>
        <w:softHyphen/>
        <w:t>евременной смены мешка».</w:t>
      </w:r>
      <w:r w:rsidRPr="00D03F3E">
        <w:rPr>
          <w:rFonts w:ascii="Times New Roman" w:hAnsi="Times New Roman" w:cs="Times New Roman"/>
          <w:color w:val="0070C0"/>
          <w:sz w:val="16"/>
          <w:szCs w:val="16"/>
        </w:rPr>
        <w:t xml:space="preserve"> Поскольку в кон</w:t>
      </w:r>
      <w:r w:rsidRPr="00D03F3E">
        <w:rPr>
          <w:rFonts w:ascii="Times New Roman" w:hAnsi="Times New Roman" w:cs="Times New Roman"/>
          <w:color w:val="0070C0"/>
          <w:sz w:val="16"/>
          <w:szCs w:val="16"/>
        </w:rPr>
        <w:softHyphen/>
        <w:t>струкции установки отсутствовали какие-либо регулировки, то это значительно упрощало ее эксплуатацию.</w:t>
      </w:r>
    </w:p>
    <w:p w14:paraId="6623966B" w14:textId="77777777" w:rsidR="00282096" w:rsidRPr="00D03F3E" w:rsidRDefault="00282096" w:rsidP="00D03F3E">
      <w:pPr>
        <w:pStyle w:val="28"/>
        <w:shd w:val="clear" w:color="auto" w:fill="auto"/>
        <w:spacing w:before="0" w:line="240" w:lineRule="auto"/>
        <w:jc w:val="both"/>
        <w:rPr>
          <w:rFonts w:ascii="Times New Roman" w:hAnsi="Times New Roman" w:cs="Times New Roman"/>
          <w:color w:val="0070C0"/>
          <w:sz w:val="16"/>
          <w:szCs w:val="16"/>
        </w:rPr>
      </w:pPr>
      <w:r w:rsidRPr="00D03F3E">
        <w:rPr>
          <w:rStyle w:val="2750"/>
          <w:rFonts w:ascii="Times New Roman" w:hAnsi="Times New Roman" w:cs="Times New Roman"/>
          <w:i w:val="0"/>
          <w:iCs w:val="0"/>
          <w:color w:val="0070C0"/>
          <w:w w:val="100"/>
          <w:sz w:val="16"/>
          <w:szCs w:val="16"/>
        </w:rPr>
        <w:t>В отчете НИП АВ по результатам испы</w:t>
      </w:r>
      <w:r w:rsidRPr="00D03F3E">
        <w:rPr>
          <w:rStyle w:val="2750"/>
          <w:rFonts w:ascii="Times New Roman" w:hAnsi="Times New Roman" w:cs="Times New Roman"/>
          <w:i w:val="0"/>
          <w:iCs w:val="0"/>
          <w:color w:val="0070C0"/>
          <w:w w:val="100"/>
          <w:sz w:val="16"/>
          <w:szCs w:val="16"/>
        </w:rPr>
        <w:softHyphen/>
        <w:t>таний отмечалось, что</w:t>
      </w:r>
      <w:r w:rsidRPr="00D03F3E">
        <w:rPr>
          <w:rFonts w:ascii="Times New Roman" w:hAnsi="Times New Roman" w:cs="Times New Roman"/>
          <w:color w:val="0070C0"/>
          <w:sz w:val="16"/>
          <w:szCs w:val="16"/>
        </w:rPr>
        <w:t xml:space="preserve"> «из всех 4-х установок представляет интерес установка завода № 481 (тов. Павлова) по следующим причинам:</w:t>
      </w:r>
    </w:p>
    <w:p w14:paraId="7E4E7C48" w14:textId="77777777" w:rsidR="00282096" w:rsidRPr="00D03F3E" w:rsidRDefault="00282096"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 большие углы обстрела, чем установки</w:t>
      </w:r>
      <w:r w:rsidRPr="00D03F3E">
        <w:rPr>
          <w:rStyle w:val="8pt3"/>
          <w:rFonts w:ascii="Times New Roman" w:hAnsi="Times New Roman" w:cs="Times New Roman"/>
          <w:i w:val="0"/>
          <w:iCs w:val="0"/>
          <w:color w:val="0070C0"/>
          <w:spacing w:val="0"/>
        </w:rPr>
        <w:t xml:space="preserve"> </w:t>
      </w:r>
      <w:r w:rsidRPr="00D03F3E">
        <w:rPr>
          <w:rFonts w:ascii="Times New Roman" w:hAnsi="Times New Roman"/>
          <w:color w:val="0070C0"/>
          <w:sz w:val="16"/>
          <w:szCs w:val="16"/>
        </w:rPr>
        <w:t>завода №№ 43 и 30;</w:t>
      </w:r>
    </w:p>
    <w:p w14:paraId="2402C833" w14:textId="77777777" w:rsidR="00282096" w:rsidRPr="00D03F3E" w:rsidRDefault="00282096" w:rsidP="00D03F3E">
      <w:pPr>
        <w:pStyle w:val="28"/>
        <w:shd w:val="clear" w:color="auto" w:fill="auto"/>
        <w:tabs>
          <w:tab w:val="left" w:pos="495"/>
        </w:tabs>
        <w:spacing w:before="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б) имеет механизм стабилизации скоро</w:t>
      </w:r>
      <w:r w:rsidRPr="00D03F3E">
        <w:rPr>
          <w:rFonts w:ascii="Times New Roman" w:hAnsi="Times New Roman" w:cs="Times New Roman"/>
          <w:color w:val="0070C0"/>
          <w:sz w:val="16"/>
          <w:szCs w:val="16"/>
        </w:rPr>
        <w:softHyphen/>
        <w:t>сти и коллиматорный прицел, что дает преи</w:t>
      </w:r>
      <w:r w:rsidRPr="00D03F3E">
        <w:rPr>
          <w:rFonts w:ascii="Times New Roman" w:hAnsi="Times New Roman" w:cs="Times New Roman"/>
          <w:color w:val="0070C0"/>
          <w:sz w:val="16"/>
          <w:szCs w:val="16"/>
        </w:rPr>
        <w:softHyphen/>
        <w:t>мущество перед установкой завода № 43;</w:t>
      </w:r>
    </w:p>
    <w:p w14:paraId="19C711B0" w14:textId="77777777" w:rsidR="00282096" w:rsidRPr="00D03F3E" w:rsidRDefault="00282096" w:rsidP="00D03F3E">
      <w:pPr>
        <w:pStyle w:val="28"/>
        <w:shd w:val="clear" w:color="auto" w:fill="auto"/>
        <w:tabs>
          <w:tab w:val="left" w:pos="481"/>
        </w:tabs>
        <w:spacing w:before="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в) установка исключительно легка в ма</w:t>
      </w:r>
      <w:r w:rsidRPr="00D03F3E">
        <w:rPr>
          <w:rFonts w:ascii="Times New Roman" w:hAnsi="Times New Roman" w:cs="Times New Roman"/>
          <w:color w:val="0070C0"/>
          <w:sz w:val="16"/>
          <w:szCs w:val="16"/>
        </w:rPr>
        <w:softHyphen/>
        <w:t>неврировании, удобна в ведении прицельной стрельбы, имея преимущество в этом перед установками заводов №№ 43,32 и 30;</w:t>
      </w:r>
    </w:p>
    <w:p w14:paraId="04FE5985" w14:textId="77777777" w:rsidR="00282096" w:rsidRPr="00D03F3E" w:rsidRDefault="00282096" w:rsidP="00D03F3E">
      <w:pPr>
        <w:pStyle w:val="28"/>
        <w:shd w:val="clear" w:color="auto" w:fill="auto"/>
        <w:tabs>
          <w:tab w:val="left" w:pos="462"/>
        </w:tabs>
        <w:spacing w:before="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г) установка проста в производстве, так как имеет трубчатую сварную конструкцию, что дает преимущество перед установками заводов №№ 30 и 32».</w:t>
      </w:r>
    </w:p>
    <w:p w14:paraId="2CBCE8DB" w14:textId="77777777" w:rsidR="00282096" w:rsidRPr="00D03F3E" w:rsidRDefault="00282096"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Style w:val="5f1"/>
          <w:rFonts w:eastAsia="Arial Narrow"/>
          <w:color w:val="0070C0"/>
          <w:sz w:val="16"/>
          <w:szCs w:val="16"/>
        </w:rPr>
        <w:t xml:space="preserve">Требовалось упростить механизм подтяга </w:t>
      </w:r>
      <w:r w:rsidRPr="00D03F3E">
        <w:rPr>
          <w:rStyle w:val="800"/>
          <w:rFonts w:ascii="Times New Roman" w:hAnsi="Times New Roman" w:cs="Times New Roman"/>
          <w:i w:val="0"/>
          <w:iCs w:val="0"/>
          <w:color w:val="0070C0"/>
          <w:w w:val="100"/>
          <w:sz w:val="16"/>
          <w:szCs w:val="16"/>
        </w:rPr>
        <w:t>«по типу установки №32 (ВУБ-3 модернизи</w:t>
      </w:r>
      <w:r w:rsidRPr="00D03F3E">
        <w:rPr>
          <w:rStyle w:val="800"/>
          <w:rFonts w:ascii="Times New Roman" w:hAnsi="Times New Roman" w:cs="Times New Roman"/>
          <w:i w:val="0"/>
          <w:iCs w:val="0"/>
          <w:color w:val="0070C0"/>
          <w:w w:val="100"/>
          <w:sz w:val="16"/>
          <w:szCs w:val="16"/>
        </w:rPr>
        <w:softHyphen/>
        <w:t>рованная)»,</w:t>
      </w:r>
      <w:r w:rsidRPr="00D03F3E">
        <w:rPr>
          <w:rStyle w:val="5f1"/>
          <w:rFonts w:eastAsia="Arial Narrow"/>
          <w:color w:val="0070C0"/>
          <w:sz w:val="16"/>
          <w:szCs w:val="16"/>
        </w:rPr>
        <w:t xml:space="preserve"> уменьшить габариты патронного ящика, сделав его выше и уже (при сохране</w:t>
      </w:r>
      <w:r w:rsidRPr="00D03F3E">
        <w:rPr>
          <w:rStyle w:val="5f1"/>
          <w:rFonts w:eastAsia="Arial Narrow"/>
          <w:color w:val="0070C0"/>
          <w:sz w:val="16"/>
          <w:szCs w:val="16"/>
        </w:rPr>
        <w:softHyphen/>
        <w:t>нии боекомплекта), а также изменить сборку гильз и звеньев - по типу установки завода №43.</w:t>
      </w:r>
    </w:p>
    <w:p w14:paraId="663DF378" w14:textId="77777777" w:rsidR="00282096" w:rsidRPr="00D03F3E" w:rsidRDefault="00282096"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Style w:val="5f1"/>
          <w:rFonts w:eastAsia="Arial Narrow"/>
          <w:color w:val="0070C0"/>
          <w:sz w:val="16"/>
          <w:szCs w:val="16"/>
        </w:rPr>
        <w:t>В заключении отчета сообщалось следу</w:t>
      </w:r>
      <w:r w:rsidRPr="00D03F3E">
        <w:rPr>
          <w:rStyle w:val="5f1"/>
          <w:rFonts w:eastAsia="Arial Narrow"/>
          <w:color w:val="0070C0"/>
          <w:sz w:val="16"/>
          <w:szCs w:val="16"/>
        </w:rPr>
        <w:softHyphen/>
        <w:t>ющее:</w:t>
      </w:r>
    </w:p>
    <w:p w14:paraId="71B24198" w14:textId="77777777" w:rsidR="00282096" w:rsidRPr="00D03F3E" w:rsidRDefault="00282096" w:rsidP="00D03F3E">
      <w:pPr>
        <w:pStyle w:val="28"/>
        <w:shd w:val="clear" w:color="auto" w:fill="auto"/>
        <w:spacing w:before="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«1. Серийная установка завода № 30 вто</w:t>
      </w:r>
      <w:r w:rsidRPr="00D03F3E">
        <w:rPr>
          <w:rFonts w:ascii="Times New Roman" w:hAnsi="Times New Roman" w:cs="Times New Roman"/>
          <w:color w:val="0070C0"/>
          <w:sz w:val="16"/>
          <w:szCs w:val="16"/>
        </w:rPr>
        <w:softHyphen/>
        <w:t>ричных полигонных испытаний не выдержала вследствие ненадежной работы.</w:t>
      </w:r>
    </w:p>
    <w:p w14:paraId="5E8B5FD9" w14:textId="77777777" w:rsidR="00282096" w:rsidRPr="00D03F3E" w:rsidRDefault="00282096" w:rsidP="00D03F3E">
      <w:pPr>
        <w:pStyle w:val="28"/>
        <w:shd w:val="clear" w:color="auto" w:fill="auto"/>
        <w:tabs>
          <w:tab w:val="left" w:pos="486"/>
        </w:tabs>
        <w:spacing w:before="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2. Установка завода № 43 полигонных испытаний не выдержала из-за малых углов обстрела, стесненного положения стрелка в кабине, отсутствия стабилизации вектора собственной скорости и сваливания пулемета.</w:t>
      </w:r>
    </w:p>
    <w:p w14:paraId="23E8FCF2" w14:textId="77777777" w:rsidR="00282096" w:rsidRPr="00D03F3E" w:rsidRDefault="00282096" w:rsidP="00D03F3E">
      <w:pPr>
        <w:pStyle w:val="28"/>
        <w:shd w:val="clear" w:color="auto" w:fill="auto"/>
        <w:tabs>
          <w:tab w:val="left" w:pos="433"/>
        </w:tabs>
        <w:spacing w:before="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3. Установка завода № 32 (тов. Торопова) и № 481 полигонные испытания выдержали.</w:t>
      </w:r>
    </w:p>
    <w:p w14:paraId="3C3CA615" w14:textId="77777777" w:rsidR="00282096" w:rsidRPr="00D03F3E" w:rsidRDefault="00282096" w:rsidP="00D03F3E">
      <w:pPr>
        <w:pStyle w:val="28"/>
        <w:shd w:val="clear" w:color="auto" w:fill="auto"/>
        <w:tabs>
          <w:tab w:val="left" w:pos="466"/>
        </w:tabs>
        <w:spacing w:before="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4. НИП АВ считает целесообразным при</w:t>
      </w:r>
      <w:r w:rsidRPr="00D03F3E">
        <w:rPr>
          <w:rFonts w:ascii="Times New Roman" w:hAnsi="Times New Roman" w:cs="Times New Roman"/>
          <w:color w:val="0070C0"/>
          <w:sz w:val="16"/>
          <w:szCs w:val="16"/>
        </w:rPr>
        <w:softHyphen/>
        <w:t>нять к производству установку завода № 481, конструктора Павлова, которая имеет пре</w:t>
      </w:r>
      <w:r w:rsidRPr="00D03F3E">
        <w:rPr>
          <w:rFonts w:ascii="Times New Roman" w:hAnsi="Times New Roman" w:cs="Times New Roman"/>
          <w:color w:val="0070C0"/>
          <w:sz w:val="16"/>
          <w:szCs w:val="16"/>
        </w:rPr>
        <w:softHyphen/>
        <w:t>имущества перед установкой завода № 32 в более свободном маневрировании в простоте и дешевизне изготовления, а также допускает бронирование стрелка прозрачной броней».</w:t>
      </w:r>
    </w:p>
    <w:p w14:paraId="7DBC491E" w14:textId="77777777" w:rsidR="00282096" w:rsidRPr="00D03F3E" w:rsidRDefault="00282096"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Style w:val="5f1"/>
          <w:rFonts w:eastAsia="Arial Narrow"/>
          <w:color w:val="0070C0"/>
          <w:sz w:val="16"/>
          <w:szCs w:val="16"/>
        </w:rPr>
        <w:t>Однако в серию установка завода №481 все-таки не попала. При утверждении 29 ян</w:t>
      </w:r>
      <w:r w:rsidRPr="00D03F3E">
        <w:rPr>
          <w:rStyle w:val="5f1"/>
          <w:rFonts w:eastAsia="Arial Narrow"/>
          <w:color w:val="0070C0"/>
          <w:sz w:val="16"/>
          <w:szCs w:val="16"/>
        </w:rPr>
        <w:softHyphen/>
        <w:t>варя 1943 г. материалов отчета по испытаниям главный инженер ВВС КА генерал-лейтенант Репин наложил резолюцию:</w:t>
      </w:r>
      <w:r w:rsidRPr="00D03F3E">
        <w:rPr>
          <w:rStyle w:val="800"/>
          <w:rFonts w:ascii="Times New Roman" w:hAnsi="Times New Roman" w:cs="Times New Roman"/>
          <w:i w:val="0"/>
          <w:iCs w:val="0"/>
          <w:color w:val="0070C0"/>
          <w:w w:val="100"/>
          <w:sz w:val="16"/>
          <w:szCs w:val="16"/>
        </w:rPr>
        <w:t xml:space="preserve"> «Раз обе уста</w:t>
      </w:r>
      <w:r w:rsidRPr="00D03F3E">
        <w:rPr>
          <w:rStyle w:val="800"/>
          <w:rFonts w:ascii="Times New Roman" w:hAnsi="Times New Roman" w:cs="Times New Roman"/>
          <w:i w:val="0"/>
          <w:iCs w:val="0"/>
          <w:color w:val="0070C0"/>
          <w:w w:val="100"/>
          <w:sz w:val="16"/>
          <w:szCs w:val="16"/>
        </w:rPr>
        <w:softHyphen/>
        <w:t>новки и Торопова, и Павлова выдержали испы</w:t>
      </w:r>
      <w:r w:rsidRPr="00D03F3E">
        <w:rPr>
          <w:rStyle w:val="800"/>
          <w:rFonts w:ascii="Times New Roman" w:hAnsi="Times New Roman" w:cs="Times New Roman"/>
          <w:i w:val="0"/>
          <w:iCs w:val="0"/>
          <w:color w:val="0070C0"/>
          <w:w w:val="100"/>
          <w:sz w:val="16"/>
          <w:szCs w:val="16"/>
        </w:rPr>
        <w:softHyphen/>
        <w:t>тания, то необходимо производить установки Торопова, для производства которых приспосо</w:t>
      </w:r>
      <w:r w:rsidRPr="00D03F3E">
        <w:rPr>
          <w:rStyle w:val="800"/>
          <w:rFonts w:ascii="Times New Roman" w:hAnsi="Times New Roman" w:cs="Times New Roman"/>
          <w:i w:val="0"/>
          <w:iCs w:val="0"/>
          <w:color w:val="0070C0"/>
          <w:w w:val="100"/>
          <w:sz w:val="16"/>
          <w:szCs w:val="16"/>
        </w:rPr>
        <w:softHyphen/>
        <w:t>блено серийное производство».</w:t>
      </w:r>
      <w:r w:rsidRPr="00D03F3E">
        <w:rPr>
          <w:rStyle w:val="5f1"/>
          <w:rFonts w:eastAsia="Arial Narrow"/>
          <w:color w:val="0070C0"/>
          <w:sz w:val="16"/>
          <w:szCs w:val="16"/>
        </w:rPr>
        <w:t xml:space="preserve"> Данное реше</w:t>
      </w:r>
      <w:r w:rsidRPr="00D03F3E">
        <w:rPr>
          <w:rStyle w:val="5f1"/>
          <w:rFonts w:eastAsia="Arial Narrow"/>
          <w:color w:val="0070C0"/>
          <w:sz w:val="16"/>
          <w:szCs w:val="16"/>
        </w:rPr>
        <w:softHyphen/>
        <w:t>ние не понравилось дирекции завода №481 и главному конструктору Павлову. Последовала даже жалоба секретарю ЦК ВКП(б) Маленкову.</w:t>
      </w:r>
    </w:p>
    <w:p w14:paraId="3B4E0DC4" w14:textId="77777777" w:rsidR="00282096" w:rsidRPr="00D03F3E" w:rsidRDefault="00282096" w:rsidP="00D03F3E">
      <w:pPr>
        <w:pStyle w:val="11c"/>
        <w:shd w:val="clear" w:color="auto" w:fill="auto"/>
        <w:spacing w:after="0" w:line="240" w:lineRule="auto"/>
        <w:jc w:val="both"/>
        <w:rPr>
          <w:rStyle w:val="5f1"/>
          <w:rFonts w:eastAsia="Arial Narrow"/>
          <w:color w:val="0070C0"/>
          <w:sz w:val="16"/>
          <w:szCs w:val="16"/>
        </w:rPr>
      </w:pPr>
      <w:r w:rsidRPr="00D03F3E">
        <w:rPr>
          <w:rStyle w:val="5f1"/>
          <w:rFonts w:eastAsia="Arial Narrow"/>
          <w:color w:val="0070C0"/>
          <w:sz w:val="16"/>
          <w:szCs w:val="16"/>
        </w:rPr>
        <w:t>Надо отдать должное генералу Репину: в этой довольно непростой обстановке он про</w:t>
      </w:r>
      <w:r w:rsidRPr="00D03F3E">
        <w:rPr>
          <w:rStyle w:val="5f1"/>
          <w:rFonts w:eastAsia="Arial Narrow"/>
          <w:color w:val="0070C0"/>
          <w:sz w:val="16"/>
          <w:szCs w:val="16"/>
        </w:rPr>
        <w:softHyphen/>
        <w:t>демонстрировал весьма приличные «навыки» политической борьбы и хорошие способности обращать любую ситуацию по возможности в свою пользу (19879)..</w:t>
      </w:r>
    </w:p>
    <w:p w14:paraId="3C72FA6F" w14:textId="77777777" w:rsidR="00282096" w:rsidRPr="00D03F3E" w:rsidRDefault="00282096" w:rsidP="00D03F3E">
      <w:pPr>
        <w:pStyle w:val="11c"/>
        <w:shd w:val="clear" w:color="auto" w:fill="auto"/>
        <w:spacing w:after="0" w:line="240" w:lineRule="auto"/>
        <w:jc w:val="both"/>
        <w:rPr>
          <w:rStyle w:val="5f1"/>
          <w:rFonts w:eastAsia="Arial Narrow"/>
          <w:color w:val="0070C0"/>
          <w:sz w:val="16"/>
          <w:szCs w:val="16"/>
        </w:rPr>
      </w:pPr>
    </w:p>
    <w:p w14:paraId="1B3D963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 феврале 1943 г. в НИП АВ прошли испытаниям вооружения опытного Ил-2 с 11П (11474,334).</w:t>
      </w:r>
    </w:p>
    <w:p w14:paraId="24B766A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EA36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январе-феврале 1943 г. велись испытания вооружения опытного Ил-2 с 11П в НИП АВ, результаты которых в целом соответствовали оценке строевых летчиков (12020).</w:t>
      </w:r>
    </w:p>
    <w:p w14:paraId="762EA72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CEA44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C января по март 1943 проходили гос. испытания Пе-2 М-82 АВ-5Л-118А - переделанный N 19/31. Хрипков выполнил 50 полетов на аэродроме Кольцово и подтвердил результаты заводских испытаний с 21 июля по конец сентября 1942 (2205,37).</w:t>
      </w:r>
    </w:p>
    <w:p w14:paraId="7082465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D130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по июнь 1943 прошли испытания Бостона в варианте ночного истребителя (Б-3), оснащенного РЛС Гнейс-2. испытывал экипаж м Сахарова. Дальность обнаружения самолета была 3.5-4 км (3115,52).</w:t>
      </w:r>
    </w:p>
    <w:p w14:paraId="04490C8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7330E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январе-июне 1943 в НИИ ВВС прошел испытания Бостон Б-3 в варианте ночного истребителя с РЛС "Гнейс-2" (3457,110).</w:t>
      </w:r>
    </w:p>
    <w:p w14:paraId="3B28B45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9A2E1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январе-феврале 1943 в ОКБ П.О.С. разрабатывали истребитель с одним поршневым двигателем М-30В и двумя ПВРД (1454,66).</w:t>
      </w:r>
    </w:p>
    <w:p w14:paraId="6CE7032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71682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январе-июне 1943 г. при испытаниях в НИИ ВВС двух самолетов Ме-109Г-2 отремонтированных после эвакуации с мест вынужденных посадок под Сталинградом подтвердилось их превосходство над советскими истребителями (4095; 4096) (3573).</w:t>
      </w:r>
    </w:p>
    <w:p w14:paraId="1AB590C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80492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января по август 1943 г. в части ПВО ежемесячно поставляли по тридцать два Як-9, </w:t>
      </w:r>
      <w:r w:rsidRPr="00D03F3E">
        <w:rPr>
          <w:rFonts w:ascii="Times New Roman" w:hAnsi="Times New Roman"/>
          <w:iCs/>
          <w:color w:val="000000" w:themeColor="text1"/>
          <w:sz w:val="16"/>
          <w:szCs w:val="16"/>
        </w:rPr>
        <w:t xml:space="preserve">а с </w:t>
      </w:r>
      <w:r w:rsidRPr="00D03F3E">
        <w:rPr>
          <w:rFonts w:ascii="Times New Roman" w:hAnsi="Times New Roman"/>
          <w:color w:val="000000" w:themeColor="text1"/>
          <w:sz w:val="16"/>
          <w:szCs w:val="16"/>
        </w:rPr>
        <w:t>августа 1943 г. — каждый десятый само</w:t>
      </w:r>
      <w:r w:rsidRPr="00D03F3E">
        <w:rPr>
          <w:rFonts w:ascii="Times New Roman" w:hAnsi="Times New Roman"/>
          <w:color w:val="000000" w:themeColor="text1"/>
          <w:sz w:val="16"/>
          <w:szCs w:val="16"/>
        </w:rPr>
        <w:softHyphen/>
        <w:t>лет Як-9 поставлялся ПВО. От фронтовых истребителей ма</w:t>
      </w:r>
      <w:r w:rsidRPr="00D03F3E">
        <w:rPr>
          <w:rFonts w:ascii="Times New Roman" w:hAnsi="Times New Roman"/>
          <w:color w:val="000000" w:themeColor="text1"/>
          <w:sz w:val="16"/>
          <w:szCs w:val="16"/>
        </w:rPr>
        <w:softHyphen/>
        <w:t>шины, предназначенные для ПВО, отличались только более разнообразным комплектом обору</w:t>
      </w:r>
      <w:r w:rsidRPr="00D03F3E">
        <w:rPr>
          <w:rFonts w:ascii="Times New Roman" w:hAnsi="Times New Roman"/>
          <w:color w:val="000000" w:themeColor="text1"/>
          <w:sz w:val="16"/>
          <w:szCs w:val="16"/>
        </w:rPr>
        <w:softHyphen/>
        <w:t>дования, фарой на левой консоли крыла и не</w:t>
      </w:r>
      <w:r w:rsidRPr="00D03F3E">
        <w:rPr>
          <w:rFonts w:ascii="Times New Roman" w:hAnsi="Times New Roman"/>
          <w:color w:val="000000" w:themeColor="text1"/>
          <w:sz w:val="16"/>
          <w:szCs w:val="16"/>
        </w:rPr>
        <w:softHyphen/>
        <w:t>сколько меньшим весом за счет снятия брони и уменьшения запаса топлива (10712).</w:t>
      </w:r>
    </w:p>
    <w:p w14:paraId="4E83711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95D52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 апреле 1943 г. М-ЗОБ испытывался на Ер-2, в августе — на Ил-6. В феврале того же года осуществлялась опытная эксплуатация М-ЗОБ на Пе-8 в частях АДД. Официально АЧ-ЗОБ был принят к крупносерийному производству 19 июня 1943 г. С весны того же года выпуск АЧ-ЗОБ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 (11852).</w:t>
      </w:r>
    </w:p>
    <w:p w14:paraId="461FC8B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63ABC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январе-марте 1943 г. в НИИ ГВФ и НИИ ВВС КА проводились летные испытания лыж трех групп на самолетах Як-1, Ил-2, Ил-4. Испытания взлетных лыж первой группы производились НИИ ГВФ на самолете Як-1. Размеры основных лыж 2300x650x227, а хвостовой - 800x360x130. Площадь опоры основной лыжи составляла 1,31, а хвостовой 0,26 м2. Помимо опробования на земле (рулежка, маневренные качества) было выполнено три контрольных взлета. из них два с укатанной дорожки и один - с целины. Взлет ничем не отличался, кроме более длительного выдерживания скорости на разбеге, чтобы избежать преждевременного отрыва самолета. НИИ ВВС КА рекомендовал принять взлетные лыжи на вооружение ВВС и изготовить их опытную серию.</w:t>
      </w:r>
    </w:p>
    <w:p w14:paraId="26C2044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Серийное производство взлетных лыж было организовано в г.Ростове-на-Дону на заводе № 87 НКАП (выпушено 268 комплектов лыж первой группы), а затем и на заводе № 473, где в 1944 году выполнялся заказ ВВС КА на 500 комплектов лыж второй и третьей групп.</w:t>
      </w:r>
    </w:p>
    <w:p w14:paraId="7C2BE65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Взлетные лыжи приняли на вооружение: ГВФ - приказом начальника ГУ ГВФ № 171 от 10 ноября, а ВВС ВМФ - 15 ноября 1943 г. приказом начальника ВВС ВМФ № 136. После дополнительных испытаний, проведенных НИИ ВВС КА с 19 по 22 марта 1944 г., распоряжением главного инженера ВВС КА генерал-полковника ИАС Репина от 29 июля взлетные лыжи были приняты и на вооружение ВВС КА (12048).</w:t>
      </w:r>
    </w:p>
    <w:p w14:paraId="3B30BF2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21CDF9" w14:textId="77777777" w:rsidR="001266A9" w:rsidRPr="00D03F3E" w:rsidRDefault="001266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 марте 1943 года научно-исследовательскими институтами гражданской и военной авиации проводилась работа по испытанию взлётных лыж. Зимние лыжи для самолётов Ил-2 и Як-1 были переделаны из обычных лыж для самолёта СБ. Было выполнено двенадцать взлётов при различном состоянии снежного покрова на укатанном поле и целине. После испытаний был сделан вывод о возможности применения взлётных лыж конструкции НИИ ГВФ для самолётов ВВС Красной армии при условиях усложненного зимнего старта</w:t>
      </w:r>
      <w:bookmarkStart w:id="8" w:name="_ednref23"/>
      <w:r w:rsidRPr="00D03F3E">
        <w:rPr>
          <w:rFonts w:ascii="Times New Roman" w:hAnsi="Times New Roman"/>
          <w:color w:val="000000" w:themeColor="text1"/>
          <w:sz w:val="16"/>
          <w:szCs w:val="16"/>
        </w:rPr>
        <w:t xml:space="preserve"> (Филиал РГАНТД. Ф. Р-220. Оп. 4-1. Д. 13. Л. 17-22.)</w:t>
      </w:r>
      <w:bookmarkEnd w:id="8"/>
      <w:r w:rsidRPr="00D03F3E">
        <w:rPr>
          <w:rFonts w:ascii="Times New Roman" w:hAnsi="Times New Roman"/>
          <w:color w:val="000000" w:themeColor="text1"/>
          <w:sz w:val="16"/>
          <w:szCs w:val="16"/>
        </w:rPr>
        <w:t>.</w:t>
      </w:r>
    </w:p>
    <w:p w14:paraId="23E7BA00" w14:textId="77777777" w:rsidR="001266A9" w:rsidRPr="00D03F3E" w:rsidRDefault="001266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ноябре 1943 года вышел приказ начальника ВВС Военно-морского флота СССР Жаворонкова, где говорилось, что в воинских частях, где лыжное шасси не применяется, а взлёт на колёсах из-за неподготовленного лыжного поля невозможен, разрешается для взлёта применять взлётные лыжи (12706).</w:t>
      </w:r>
    </w:p>
    <w:p w14:paraId="0BD76519" w14:textId="77777777" w:rsidR="001266A9" w:rsidRPr="00D03F3E" w:rsidRDefault="001266A9" w:rsidP="00D03F3E">
      <w:pPr>
        <w:spacing w:after="0" w:line="240" w:lineRule="auto"/>
        <w:jc w:val="both"/>
        <w:rPr>
          <w:rFonts w:ascii="Times New Roman" w:hAnsi="Times New Roman"/>
          <w:color w:val="000000" w:themeColor="text1"/>
          <w:sz w:val="16"/>
          <w:szCs w:val="16"/>
        </w:rPr>
      </w:pPr>
    </w:p>
    <w:p w14:paraId="614E346A"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03DB98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031C8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 феврале 1943 г. начались работы над первым Т-44 и были проведены в чрезвычайно сжатые сроки. Увеличенная башня для танка была разработана под ру</w:t>
      </w:r>
      <w:r w:rsidRPr="00D03F3E">
        <w:rPr>
          <w:rFonts w:ascii="Times New Roman" w:hAnsi="Times New Roman"/>
          <w:color w:val="000000" w:themeColor="text1"/>
          <w:sz w:val="16"/>
          <w:szCs w:val="16"/>
        </w:rPr>
        <w:softHyphen/>
        <w:t>ководством В. Ниценко. Вооружение его оставалось преж</w:t>
      </w:r>
      <w:r w:rsidRPr="00D03F3E">
        <w:rPr>
          <w:rFonts w:ascii="Times New Roman" w:hAnsi="Times New Roman"/>
          <w:color w:val="000000" w:themeColor="text1"/>
          <w:sz w:val="16"/>
          <w:szCs w:val="16"/>
        </w:rPr>
        <w:softHyphen/>
        <w:t>ним — 76-мм танковая пушка Ф-34 и два пулемета. К 1 ап</w:t>
      </w:r>
      <w:r w:rsidRPr="00D03F3E">
        <w:rPr>
          <w:rFonts w:ascii="Times New Roman" w:hAnsi="Times New Roman"/>
          <w:color w:val="000000" w:themeColor="text1"/>
          <w:sz w:val="16"/>
          <w:szCs w:val="16"/>
        </w:rPr>
        <w:softHyphen/>
        <w:t>реля 1943 г. УЗТМ отлил 10 увеличенных башен В. Ницен</w:t>
      </w:r>
      <w:r w:rsidRPr="00D03F3E">
        <w:rPr>
          <w:rFonts w:ascii="Times New Roman" w:hAnsi="Times New Roman"/>
          <w:color w:val="000000" w:themeColor="text1"/>
          <w:sz w:val="16"/>
          <w:szCs w:val="16"/>
        </w:rPr>
        <w:softHyphen/>
        <w:t>ко, а к июню таких башен было заказано еще 50. Поскольку башня являлась наиболее сложным узлом в новом танке, А. Морозов вновь настоял на изготовлении двух «ездящих лабораторий» из корпуса Т-34 и увеличен</w:t>
      </w:r>
      <w:r w:rsidRPr="00D03F3E">
        <w:rPr>
          <w:rFonts w:ascii="Times New Roman" w:hAnsi="Times New Roman"/>
          <w:color w:val="000000" w:themeColor="text1"/>
          <w:sz w:val="16"/>
          <w:szCs w:val="16"/>
        </w:rPr>
        <w:softHyphen/>
        <w:t>ной башни Т-43. Для того чтобы сделать такой гибрид, кор</w:t>
      </w:r>
      <w:r w:rsidRPr="00D03F3E">
        <w:rPr>
          <w:rFonts w:ascii="Times New Roman" w:hAnsi="Times New Roman"/>
          <w:color w:val="000000" w:themeColor="text1"/>
          <w:sz w:val="16"/>
          <w:szCs w:val="16"/>
        </w:rPr>
        <w:softHyphen/>
        <w:t>пус Т-34 был несколько изменен, на нем была установлена новая крыша с отверстием под бдшню диаметром 1600 мм. А так как высота кольцевого основания башни Т-43 была меньше, чем высота надмоторного кожуха Т-34, то для обеспечения вращения башни кольцевое основание было дополнено кольцевой вставкой (шайбой). Первый танк Т-34 с новой башней закончил первый этап испытаний к 15 мая 1943 г. Башня оказалась удачной. Почти все меха</w:t>
      </w:r>
      <w:r w:rsidRPr="00D03F3E">
        <w:rPr>
          <w:rFonts w:ascii="Times New Roman" w:hAnsi="Times New Roman"/>
          <w:color w:val="000000" w:themeColor="text1"/>
          <w:sz w:val="16"/>
          <w:szCs w:val="16"/>
        </w:rPr>
        <w:softHyphen/>
        <w:t>низмы в ней работали безупречно, лишь одностворчатый люк командира, требовавший уравновешивания, было ре</w:t>
      </w:r>
      <w:r w:rsidRPr="00D03F3E">
        <w:rPr>
          <w:rFonts w:ascii="Times New Roman" w:hAnsi="Times New Roman"/>
          <w:color w:val="000000" w:themeColor="text1"/>
          <w:sz w:val="16"/>
          <w:szCs w:val="16"/>
        </w:rPr>
        <w:softHyphen/>
        <w:t>комендовано заменить двухстворчатым (по типу люка за</w:t>
      </w:r>
      <w:r w:rsidRPr="00D03F3E">
        <w:rPr>
          <w:rFonts w:ascii="Times New Roman" w:hAnsi="Times New Roman"/>
          <w:color w:val="000000" w:themeColor="text1"/>
          <w:sz w:val="16"/>
          <w:szCs w:val="16"/>
        </w:rPr>
        <w:softHyphen/>
        <w:t>вода № 112 танка Т- 34). Новый корпус Т-43 был дополнен полноценным лю</w:t>
      </w:r>
      <w:r w:rsidRPr="00D03F3E">
        <w:rPr>
          <w:rFonts w:ascii="Times New Roman" w:hAnsi="Times New Roman"/>
          <w:color w:val="000000" w:themeColor="text1"/>
          <w:sz w:val="16"/>
          <w:szCs w:val="16"/>
        </w:rPr>
        <w:softHyphen/>
        <w:t>ком механика-водителя вместо люка-пробки, оснащен усиленными торсионами. В июне 1943 г. танк, прежде но</w:t>
      </w:r>
      <w:r w:rsidRPr="00D03F3E">
        <w:rPr>
          <w:rFonts w:ascii="Times New Roman" w:hAnsi="Times New Roman"/>
          <w:color w:val="000000" w:themeColor="text1"/>
          <w:sz w:val="16"/>
          <w:szCs w:val="16"/>
        </w:rPr>
        <w:softHyphen/>
        <w:t>сивший в наркомате индекс Т-44, был переименован в Т-43-П, или Т-43 эталонный (11135).</w:t>
      </w:r>
    </w:p>
    <w:p w14:paraId="316B230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2B297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январе - феврале 1943 года начали происходить массовые аварии трансмиссии, принятых на вооружение СУ-76 (СУ-12). Причиной этих аварий была параллельная установка двух спаренных двигателей, работавших на общий вал, что приводило к возникновению резонансных крутильных колебаний. Дефект был сочтен </w:t>
      </w:r>
      <w:r w:rsidRPr="00D03F3E">
        <w:rPr>
          <w:rFonts w:ascii="Times New Roman" w:hAnsi="Times New Roman"/>
          <w:color w:val="000000" w:themeColor="text1"/>
          <w:sz w:val="16"/>
          <w:szCs w:val="16"/>
        </w:rPr>
        <w:lastRenderedPageBreak/>
        <w:t>конструкционным, и для его ликвидации требовалось много времени. Таким образом, в феврале 1943 года большая часть СУ-76 (СУ-12) требовала ремонта и не могла использоваться для ведения боев. Красная Армия оказалась лишенной наиболее необходимых 76-мм самоходных дивизионных орудий.</w:t>
      </w:r>
    </w:p>
    <w:p w14:paraId="70E2B25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Срочно необходимо было найти временное решение по изготовлению самоходных 76-мм орудий к летней кампании 1943 года. И тут предложение Каштанова о перевооружении СГ-122 76-мм дивизионной пушкой пришлось как нельзя кстати. Кроме того, по донесениям трофейных служб после окончания Сталинградской битвы на ремонтные предприятия Наркомата танковой промышленности (НКТП)и НKB было доставлено более 300 немецких танков и САУ. Решение о подготовке серийного производства штурмовой 76-мм САУ поддержки на трофейном шасси было принято 3 февраля 1943 г. (9695)</w:t>
      </w:r>
    </w:p>
    <w:p w14:paraId="43E0940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 марте 1943т. на заводе № 37 НКТП в Свердловске под руко</w:t>
      </w:r>
      <w:r w:rsidRPr="00D03F3E">
        <w:rPr>
          <w:rFonts w:ascii="Times New Roman" w:hAnsi="Times New Roman"/>
          <w:color w:val="000000" w:themeColor="text1"/>
          <w:sz w:val="16"/>
          <w:szCs w:val="16"/>
        </w:rPr>
        <w:softHyphen/>
        <w:t>водством Г.И. Каштанова совместно с ЦАКБ НКВ на базе трофейного немецкого танка Т-Ш была разработана и изготовлена самоходная установка СУ-76И. В марте 1943 г. изготовленный опытный образец установки прошел заводские испытания, а затем и испытания на Софринском полигоне НКВ. По результатам проведенных испытаний ус</w:t>
      </w:r>
      <w:r w:rsidRPr="00D03F3E">
        <w:rPr>
          <w:rFonts w:ascii="Times New Roman" w:hAnsi="Times New Roman"/>
          <w:color w:val="000000" w:themeColor="text1"/>
          <w:sz w:val="16"/>
          <w:szCs w:val="16"/>
        </w:rPr>
        <w:softHyphen/>
        <w:t>тановка СУ-76И была принята на вооружение (10703).</w:t>
      </w:r>
    </w:p>
    <w:p w14:paraId="199C14C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D60BA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январе-марте 1943 г. на заводе № 37 НКТП в Свердловске под ру</w:t>
      </w:r>
      <w:r w:rsidRPr="00D03F3E">
        <w:rPr>
          <w:rFonts w:ascii="Times New Roman" w:hAnsi="Times New Roman"/>
          <w:color w:val="000000" w:themeColor="text1"/>
          <w:sz w:val="16"/>
          <w:szCs w:val="16"/>
        </w:rPr>
        <w:softHyphen/>
        <w:t>ководством Г.И. Каштанова совместно с ЦАКБ НКВ на базе трофейных немецких САУ "Артштурм" и танка Т-Ш была сконструирована и изготовле</w:t>
      </w:r>
      <w:r w:rsidRPr="00D03F3E">
        <w:rPr>
          <w:rFonts w:ascii="Times New Roman" w:hAnsi="Times New Roman"/>
          <w:color w:val="000000" w:themeColor="text1"/>
          <w:sz w:val="16"/>
          <w:szCs w:val="16"/>
        </w:rPr>
        <w:softHyphen/>
        <w:t>на самоходная установка СУ-76И. В марте 1943 г. изготовлен</w:t>
      </w:r>
      <w:r w:rsidRPr="00D03F3E">
        <w:rPr>
          <w:rFonts w:ascii="Times New Roman" w:hAnsi="Times New Roman"/>
          <w:color w:val="000000" w:themeColor="text1"/>
          <w:sz w:val="16"/>
          <w:szCs w:val="16"/>
        </w:rPr>
        <w:softHyphen/>
        <w:t>ный опытный образец установки успешно прошел испытания на Софринском полигоне НКВ. Постановлением ГКО от 18 января 1943 г. машина была принята на вооружение и находилась в серийном произ</w:t>
      </w:r>
      <w:r w:rsidRPr="00D03F3E">
        <w:rPr>
          <w:rFonts w:ascii="Times New Roman" w:hAnsi="Times New Roman"/>
          <w:color w:val="000000" w:themeColor="text1"/>
          <w:sz w:val="16"/>
          <w:szCs w:val="16"/>
        </w:rPr>
        <w:softHyphen/>
        <w:t>водстве с мая до конца ноября 1943 г. Всего заводом № 37 было выпу</w:t>
      </w:r>
      <w:r w:rsidRPr="00D03F3E">
        <w:rPr>
          <w:rFonts w:ascii="Times New Roman" w:hAnsi="Times New Roman"/>
          <w:color w:val="000000" w:themeColor="text1"/>
          <w:sz w:val="16"/>
          <w:szCs w:val="16"/>
        </w:rPr>
        <w:softHyphen/>
        <w:t>щено 200 самоходных установок за счет трофеев, захваченных после бо</w:t>
      </w:r>
      <w:r w:rsidRPr="00D03F3E">
        <w:rPr>
          <w:rFonts w:ascii="Times New Roman" w:hAnsi="Times New Roman"/>
          <w:color w:val="000000" w:themeColor="text1"/>
          <w:sz w:val="16"/>
          <w:szCs w:val="16"/>
        </w:rPr>
        <w:softHyphen/>
        <w:t>ев в Сталинграде. Самоходная установка СУ-76И была снята с произ</w:t>
      </w:r>
      <w:r w:rsidRPr="00D03F3E">
        <w:rPr>
          <w:rFonts w:ascii="Times New Roman" w:hAnsi="Times New Roman"/>
          <w:color w:val="000000" w:themeColor="text1"/>
          <w:sz w:val="16"/>
          <w:szCs w:val="16"/>
        </w:rPr>
        <w:softHyphen/>
        <w:t>водства из-за отсутствия трофейных танков Т-Ш и самоходных устано</w:t>
      </w:r>
      <w:r w:rsidRPr="00D03F3E">
        <w:rPr>
          <w:rFonts w:ascii="Times New Roman" w:hAnsi="Times New Roman"/>
          <w:color w:val="000000" w:themeColor="text1"/>
          <w:sz w:val="16"/>
          <w:szCs w:val="16"/>
        </w:rPr>
        <w:softHyphen/>
        <w:t>вок "Артштурм". Войсковая эксплуатация затруднялась сложностью ремонта и отсутствием запасных частей (10703).</w:t>
      </w:r>
    </w:p>
    <w:p w14:paraId="15890A9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66FF7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по август 1943 г. в связи с резким сокращением поставок с ярославского шинноп вода резиновых бандажей для опорных катков на танке Т-34 производства УВЗ частично устан вались опорные катки с внутренней амортизацией (10703).</w:t>
      </w:r>
    </w:p>
    <w:p w14:paraId="1B6276A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6FC8E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январе-апреле 1943 г. доработанный опытный образец прибора ОП-34 прошел полигонные испытания. В марте 1943 г. установка огне</w:t>
      </w:r>
      <w:r w:rsidRPr="00D03F3E">
        <w:rPr>
          <w:rFonts w:ascii="Times New Roman" w:hAnsi="Times New Roman"/>
          <w:color w:val="000000" w:themeColor="text1"/>
          <w:sz w:val="16"/>
          <w:szCs w:val="16"/>
        </w:rPr>
        <w:softHyphen/>
        <w:t>мета ОП-34 была проверена работой на трех танках Т-34-76. Испытания показали целесообразность применения на танке Т-34 огнемета ОП-34 и после внесения соответствующих доработок по замечаниям комиссии он был рекомендован к принятию на вооружение. На вооружение танк Т-34-76 с огнеметом ОП-34 не принимался и в серийном производстве не состоял (10703).</w:t>
      </w:r>
    </w:p>
    <w:p w14:paraId="7A7A272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3C9441" w14:textId="77777777" w:rsidR="00510105" w:rsidRPr="00D03F3E" w:rsidRDefault="0051010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 января по март 1943 года, прошли зимние испытания Valentine VII, в ходе которых он сравнивался с английским Valentine II. Танк прошел 1161 километр, а суммарно, вместе с летними испытаниями 1942 года, он преодолел 3019 километров. Даже после этого двигатель канадского танка оказался более надежным, чем британский AEC 190. Кроме того, Valentine VII оказался заметно быстрее, чему способствовал более мощный двигатель. Платой за более высокую скорость стал более высокий расход топлива. Способности к преодолению препятствий у английского и канадского танков были примерно одинаковыми.</w:t>
      </w:r>
    </w:p>
    <w:p w14:paraId="1E1044FA" w14:textId="77777777" w:rsidR="00510105" w:rsidRPr="00D03F3E" w:rsidRDefault="0051010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Сопоставимыми оказались и боевые характеристики двух машин. Из общей массы «Валентинов», или МК-7 (MK-VII), как танк называли в войсках, канадская машина не выделялась. Она вполне исправно служила в качестве танка поддержки пехоты, имея схожие с английскими танками достоинства и недостатки. Плюсом являлся более надежный мотор, но стоит напомнить, что на английском Valentine IV стоял точно такой же двигатель. Наиболее массово канадские танки применялись на Северном Кавказе, куда стали массово поступать с сентября 1942 года. Именно там танки, построенные в Монреале, чаще всего попадали в объектив фотокамер.</w:t>
      </w:r>
    </w:p>
    <w:p w14:paraId="7132E99C" w14:textId="77777777" w:rsidR="00510105" w:rsidRPr="00D03F3E" w:rsidRDefault="0051010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Несмотря на то, что вооружение Valentine VII уже для 1942 года выглядело недостаточным, эти машины вполне успешно применялись и позднее. Достаточно активно их использовали даже в 1944 году, когда они массово попадали на вооружение отдельных танковых полков. Один из таких танков дожил до наших дней, оказавшись единственным сохранившимся Valentine VII. Машина с серийным номером 838 была построена в мае 1943 года, ближе к осени попала в СССР, а 25 января 1944 года ушла под лёд во время боев за Телепино (Черкасская область, Украина). Танк подняли в 1990 году, а в 1992 подарили Канаде. Сейчас он находится в Канадском военном музее в Оттаве, являясь напоминанием о том, что Канада внесла свой ощутимый вклад в победу над фашизмом (17697).</w:t>
      </w:r>
    </w:p>
    <w:p w14:paraId="4938E7C1" w14:textId="77777777" w:rsidR="00510105" w:rsidRPr="00D03F3E" w:rsidRDefault="0051010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71FA81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 феврале 1943 года БА-64-3 ("зимний") про</w:t>
      </w:r>
      <w:r w:rsidRPr="00D03F3E">
        <w:rPr>
          <w:rFonts w:ascii="Times New Roman" w:hAnsi="Times New Roman"/>
          <w:color w:val="000000" w:themeColor="text1"/>
          <w:sz w:val="16"/>
          <w:szCs w:val="16"/>
        </w:rPr>
        <w:softHyphen/>
        <w:t>шел заводские испытания. БА-64-3 на вооружение не принимался и в се</w:t>
      </w:r>
      <w:r w:rsidRPr="00D03F3E">
        <w:rPr>
          <w:rFonts w:ascii="Times New Roman" w:hAnsi="Times New Roman"/>
          <w:color w:val="000000" w:themeColor="text1"/>
          <w:sz w:val="16"/>
          <w:szCs w:val="16"/>
        </w:rPr>
        <w:softHyphen/>
        <w:t>рийном производстве не состоял (10703).</w:t>
      </w:r>
    </w:p>
    <w:p w14:paraId="0481219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F1D15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январе—июле 1943 гг. специалисты Сясьской судоверфи на площадке у станции Мстинский Мост по решению ГКО построили первую серию из двадцати 60-тонных деревянных барж, предназ</w:t>
      </w:r>
      <w:r w:rsidRPr="00D03F3E">
        <w:rPr>
          <w:rFonts w:ascii="Times New Roman" w:hAnsi="Times New Roman"/>
          <w:color w:val="000000" w:themeColor="text1"/>
          <w:sz w:val="16"/>
          <w:szCs w:val="16"/>
        </w:rPr>
        <w:softHyphen/>
        <w:t>наченных для перевозки грузов по р. Мета (3898).</w:t>
      </w:r>
    </w:p>
    <w:p w14:paraId="1FF9587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C2AC5C"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365B1FF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E4FDD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течение января-июня 1943-го 6-й </w:t>
      </w:r>
      <w:r w:rsidRPr="00D03F3E">
        <w:rPr>
          <w:rFonts w:ascii="Times New Roman" w:hAnsi="Times New Roman"/>
          <w:iCs/>
          <w:color w:val="000000" w:themeColor="text1"/>
          <w:sz w:val="16"/>
          <w:szCs w:val="16"/>
        </w:rPr>
        <w:t>гиап,</w:t>
      </w:r>
      <w:r w:rsidRPr="00D03F3E">
        <w:rPr>
          <w:rFonts w:ascii="Times New Roman" w:hAnsi="Times New Roman"/>
          <w:color w:val="000000" w:themeColor="text1"/>
          <w:sz w:val="16"/>
          <w:szCs w:val="16"/>
        </w:rPr>
        <w:t xml:space="preserve"> проведя 220 воздушных боев, безвозвратно потерял 30 истребителей Як-1, из них: 29 "Яков" были потеряны при сопровождении штурмовиков и лишь одна машина - при решении за</w:t>
      </w:r>
      <w:r w:rsidRPr="00D03F3E">
        <w:rPr>
          <w:rFonts w:ascii="Times New Roman" w:hAnsi="Times New Roman"/>
          <w:color w:val="000000" w:themeColor="text1"/>
          <w:sz w:val="16"/>
          <w:szCs w:val="16"/>
        </w:rPr>
        <w:softHyphen/>
        <w:t>дачи ПВО порта Геленджик. После та</w:t>
      </w:r>
      <w:r w:rsidRPr="00D03F3E">
        <w:rPr>
          <w:rFonts w:ascii="Times New Roman" w:hAnsi="Times New Roman"/>
          <w:color w:val="000000" w:themeColor="text1"/>
          <w:sz w:val="16"/>
          <w:szCs w:val="16"/>
        </w:rPr>
        <w:softHyphen/>
        <w:t>ких потерь полк был выведен на пере</w:t>
      </w:r>
      <w:r w:rsidRPr="00D03F3E">
        <w:rPr>
          <w:rFonts w:ascii="Times New Roman" w:hAnsi="Times New Roman"/>
          <w:color w:val="000000" w:themeColor="text1"/>
          <w:sz w:val="16"/>
          <w:szCs w:val="16"/>
        </w:rPr>
        <w:softHyphen/>
        <w:t xml:space="preserve">формирование, а его место занял 9-й </w:t>
      </w:r>
      <w:r w:rsidRPr="00D03F3E">
        <w:rPr>
          <w:rFonts w:ascii="Times New Roman" w:hAnsi="Times New Roman"/>
          <w:iCs/>
          <w:color w:val="000000" w:themeColor="text1"/>
          <w:sz w:val="16"/>
          <w:szCs w:val="16"/>
        </w:rPr>
        <w:t>иап.</w:t>
      </w:r>
    </w:p>
    <w:p w14:paraId="4BEB487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сожалению, вследствие поспешно</w:t>
      </w:r>
      <w:r w:rsidRPr="00D03F3E">
        <w:rPr>
          <w:rFonts w:ascii="Times New Roman" w:hAnsi="Times New Roman"/>
          <w:color w:val="000000" w:themeColor="text1"/>
          <w:sz w:val="16"/>
          <w:szCs w:val="16"/>
        </w:rPr>
        <w:softHyphen/>
        <w:t>го ввода в боевую работу молодого лет</w:t>
      </w:r>
      <w:r w:rsidRPr="00D03F3E">
        <w:rPr>
          <w:rFonts w:ascii="Times New Roman" w:hAnsi="Times New Roman"/>
          <w:color w:val="000000" w:themeColor="text1"/>
          <w:sz w:val="16"/>
          <w:szCs w:val="16"/>
        </w:rPr>
        <w:softHyphen/>
        <w:t xml:space="preserve">ного состава 9-го </w:t>
      </w:r>
      <w:r w:rsidRPr="00D03F3E">
        <w:rPr>
          <w:rFonts w:ascii="Times New Roman" w:hAnsi="Times New Roman"/>
          <w:iCs/>
          <w:color w:val="000000" w:themeColor="text1"/>
          <w:sz w:val="16"/>
          <w:szCs w:val="16"/>
        </w:rPr>
        <w:t>иап,</w:t>
      </w:r>
      <w:r w:rsidRPr="00D03F3E">
        <w:rPr>
          <w:rFonts w:ascii="Times New Roman" w:hAnsi="Times New Roman"/>
          <w:color w:val="000000" w:themeColor="text1"/>
          <w:sz w:val="16"/>
          <w:szCs w:val="16"/>
        </w:rPr>
        <w:t xml:space="preserve"> не имевшего дос</w:t>
      </w:r>
      <w:r w:rsidRPr="00D03F3E">
        <w:rPr>
          <w:rFonts w:ascii="Times New Roman" w:hAnsi="Times New Roman"/>
          <w:color w:val="000000" w:themeColor="text1"/>
          <w:sz w:val="16"/>
          <w:szCs w:val="16"/>
        </w:rPr>
        <w:softHyphen/>
        <w:t>таточного боевого опыта, в первые же дни боев полк понес большие потери. Проведя в июне всего 14 воздушных боев с истребителями Люфтваффе, полк потерял 11 Як-1. Такое же количество машин полк потерял и в июле. Потери противника за два месяца по официаль</w:t>
      </w:r>
      <w:r w:rsidRPr="00D03F3E">
        <w:rPr>
          <w:rFonts w:ascii="Times New Roman" w:hAnsi="Times New Roman"/>
          <w:color w:val="000000" w:themeColor="text1"/>
          <w:sz w:val="16"/>
          <w:szCs w:val="16"/>
        </w:rPr>
        <w:softHyphen/>
        <w:t>ным данным составили 17 самолетов (6467).</w:t>
      </w:r>
    </w:p>
    <w:p w14:paraId="1C4901B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D45BB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январе-феврале 1943 было отмечено несколько случаев бесследного исчезновения целых подразделений Пе-2. Самая большая группа составила 14 машин (2471,33).</w:t>
      </w:r>
    </w:p>
    <w:p w14:paraId="68CF743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A9472D"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E1C7F3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4909D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был выпущен годовой отчет завода 30 за 1942:</w:t>
      </w:r>
    </w:p>
    <w:p w14:paraId="4B0A709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развертывания деятельности цехов завода в связи с отсутствием оборудования, кадров и материалов ощущалась большая потребность, как в отдельных деталях, так и узлах и ценных агрегатов.</w:t>
      </w:r>
    </w:p>
    <w:p w14:paraId="6A8F212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Желая выполнить программу завод организовал несколько бригад, которые выезжали на периферийные аэродромы для разборки подвергшихся авариям самолетов и доставляли на завод все собранное.</w:t>
      </w:r>
    </w:p>
    <w:p w14:paraId="0FF6F6F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путем были доставлены на завод:</w:t>
      </w:r>
    </w:p>
    <w:p w14:paraId="106DEF0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центропланов - 52</w:t>
      </w:r>
    </w:p>
    <w:p w14:paraId="64778BF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консолей крыла - 25</w:t>
      </w:r>
    </w:p>
    <w:p w14:paraId="5941C4A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амортстоек - 80 пар</w:t>
      </w:r>
    </w:p>
    <w:p w14:paraId="4B21CB1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баллонов сжатого воздуха - 114.</w:t>
      </w:r>
    </w:p>
    <w:p w14:paraId="6A788FA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Полученные агрегаты и узлы частично ремонтировались, частично же разбирались и ставились на машины." (2011).</w:t>
      </w:r>
    </w:p>
    <w:p w14:paraId="2E2B441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E02B6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был подготовлен отчет по основной деятельности завода 381 за 1942:</w:t>
      </w:r>
    </w:p>
    <w:p w14:paraId="4EEEE5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"Настоящий выпуск машин и освоение заводом производства самолетов начался только с 1942, т.к. выпущенные в 1941 7 самолетов не характерны для разворота производства.</w:t>
      </w:r>
    </w:p>
    <w:p w14:paraId="3DDC490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программой 1942 завод справился, выполнив ее по товарному выпуску на 103.9%.</w:t>
      </w:r>
    </w:p>
    <w:p w14:paraId="46EB119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Уже в 1 кв. 1942 наряду с выпуском основной машины Ил-2, завод начал производство модернизированной машины Ил-4... и прекратил это производство, возвратившись к выпуску Ил-2.</w:t>
      </w:r>
    </w:p>
    <w:p w14:paraId="430E01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Работа в течение 1942 над освоением 3-х новых типов машин Ил-4, Би, Ла-5, завод в то же время проводил усовершенствованием машины Ил-2, производя ряд конструктивных изменений, из которых крупнейшие:</w:t>
      </w:r>
    </w:p>
    <w:p w14:paraId="0B59A85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Усиление хвостовой части фюзеляжа</w:t>
      </w:r>
    </w:p>
    <w:p w14:paraId="099AC6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введение однопроводной системы электрооборудования</w:t>
      </w:r>
    </w:p>
    <w:p w14:paraId="11B4602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введение доп. бензобаков</w:t>
      </w:r>
    </w:p>
    <w:p w14:paraId="4FD905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введение воздушного фильтра</w:t>
      </w:r>
    </w:p>
    <w:p w14:paraId="53A9FB6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замена литых узлов на сварные на складывающихся подкосах шасси</w:t>
      </w:r>
    </w:p>
    <w:p w14:paraId="3B1E71E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введение прицела ВВ-1 взамен ПБП</w:t>
      </w:r>
    </w:p>
    <w:p w14:paraId="1A03F8A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усиление элеронов и переход на новый балансир</w:t>
      </w:r>
    </w:p>
    <w:p w14:paraId="256689F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опытные работы по деревянным агрегатам (крыло, обтекатели шасси и др.)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112"/>
        <w:gridCol w:w="1112"/>
        <w:gridCol w:w="1112"/>
        <w:gridCol w:w="1112"/>
        <w:gridCol w:w="1112"/>
        <w:gridCol w:w="1112"/>
        <w:gridCol w:w="1112"/>
      </w:tblGrid>
      <w:tr w:rsidR="00860B4B" w:rsidRPr="00D03F3E" w14:paraId="7A9DBAEB" w14:textId="77777777">
        <w:tc>
          <w:tcPr>
            <w:tcW w:w="2235" w:type="dxa"/>
          </w:tcPr>
          <w:p w14:paraId="69C883A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Наименование по</w:t>
            </w:r>
          </w:p>
        </w:tc>
        <w:tc>
          <w:tcPr>
            <w:tcW w:w="1112" w:type="dxa"/>
          </w:tcPr>
          <w:p w14:paraId="4C6F88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Ед.</w:t>
            </w:r>
          </w:p>
        </w:tc>
        <w:tc>
          <w:tcPr>
            <w:tcW w:w="1112" w:type="dxa"/>
          </w:tcPr>
          <w:p w14:paraId="6DC98B0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Кол-во</w:t>
            </w:r>
          </w:p>
        </w:tc>
        <w:tc>
          <w:tcPr>
            <w:tcW w:w="1112" w:type="dxa"/>
          </w:tcPr>
          <w:p w14:paraId="67E8998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6157FE5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07C5C91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49C1587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1942(%)</w:t>
            </w:r>
          </w:p>
        </w:tc>
        <w:tc>
          <w:tcPr>
            <w:tcW w:w="1112" w:type="dxa"/>
          </w:tcPr>
          <w:p w14:paraId="196CB66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97A344F" w14:textId="77777777">
        <w:tc>
          <w:tcPr>
            <w:tcW w:w="2235" w:type="dxa"/>
          </w:tcPr>
          <w:p w14:paraId="1018CA1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спец. номенклат.</w:t>
            </w:r>
          </w:p>
        </w:tc>
        <w:tc>
          <w:tcPr>
            <w:tcW w:w="1112" w:type="dxa"/>
          </w:tcPr>
          <w:p w14:paraId="220DFD5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0DBBFD4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7FF008A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1941</w:t>
            </w:r>
          </w:p>
        </w:tc>
        <w:tc>
          <w:tcPr>
            <w:tcW w:w="1112" w:type="dxa"/>
          </w:tcPr>
          <w:p w14:paraId="368988B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 1942</w:t>
            </w:r>
          </w:p>
        </w:tc>
        <w:tc>
          <w:tcPr>
            <w:tcW w:w="1112" w:type="dxa"/>
          </w:tcPr>
          <w:p w14:paraId="554E092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факт 1942</w:t>
            </w:r>
          </w:p>
        </w:tc>
        <w:tc>
          <w:tcPr>
            <w:tcW w:w="1112" w:type="dxa"/>
          </w:tcPr>
          <w:p w14:paraId="2DC2EE7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1941</w:t>
            </w:r>
          </w:p>
        </w:tc>
        <w:tc>
          <w:tcPr>
            <w:tcW w:w="1112" w:type="dxa"/>
          </w:tcPr>
          <w:p w14:paraId="2A444E3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плану</w:t>
            </w:r>
          </w:p>
        </w:tc>
      </w:tr>
      <w:tr w:rsidR="00860B4B" w:rsidRPr="00D03F3E" w14:paraId="693CA99D" w14:textId="77777777">
        <w:tc>
          <w:tcPr>
            <w:tcW w:w="2235" w:type="dxa"/>
          </w:tcPr>
          <w:p w14:paraId="00356C6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Ил-2</w:t>
            </w:r>
          </w:p>
        </w:tc>
        <w:tc>
          <w:tcPr>
            <w:tcW w:w="1112" w:type="dxa"/>
          </w:tcPr>
          <w:p w14:paraId="1C8B892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шт.</w:t>
            </w:r>
          </w:p>
        </w:tc>
        <w:tc>
          <w:tcPr>
            <w:tcW w:w="1112" w:type="dxa"/>
          </w:tcPr>
          <w:p w14:paraId="301859D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313B140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c>
          <w:tcPr>
            <w:tcW w:w="1112" w:type="dxa"/>
          </w:tcPr>
          <w:p w14:paraId="427B12C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216</w:t>
            </w:r>
          </w:p>
        </w:tc>
        <w:tc>
          <w:tcPr>
            <w:tcW w:w="1112" w:type="dxa"/>
          </w:tcPr>
          <w:p w14:paraId="068B25E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240</w:t>
            </w:r>
          </w:p>
        </w:tc>
        <w:tc>
          <w:tcPr>
            <w:tcW w:w="1112" w:type="dxa"/>
          </w:tcPr>
          <w:p w14:paraId="233A7DD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3085</w:t>
            </w:r>
          </w:p>
        </w:tc>
        <w:tc>
          <w:tcPr>
            <w:tcW w:w="1112" w:type="dxa"/>
          </w:tcPr>
          <w:p w14:paraId="15FB6AC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111</w:t>
            </w:r>
          </w:p>
        </w:tc>
      </w:tr>
      <w:tr w:rsidR="00860B4B" w:rsidRPr="00D03F3E" w14:paraId="5067FB29" w14:textId="77777777">
        <w:tc>
          <w:tcPr>
            <w:tcW w:w="2235" w:type="dxa"/>
          </w:tcPr>
          <w:p w14:paraId="5743CAE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Планеры</w:t>
            </w:r>
          </w:p>
        </w:tc>
        <w:tc>
          <w:tcPr>
            <w:tcW w:w="1112" w:type="dxa"/>
          </w:tcPr>
          <w:p w14:paraId="5ECB8B6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41AF006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71B0168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112" w:type="dxa"/>
          </w:tcPr>
          <w:p w14:paraId="0B5E584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104</w:t>
            </w:r>
          </w:p>
        </w:tc>
        <w:tc>
          <w:tcPr>
            <w:tcW w:w="1112" w:type="dxa"/>
          </w:tcPr>
          <w:p w14:paraId="3D6E284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104</w:t>
            </w:r>
          </w:p>
        </w:tc>
        <w:tc>
          <w:tcPr>
            <w:tcW w:w="1112" w:type="dxa"/>
          </w:tcPr>
          <w:p w14:paraId="460B653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112" w:type="dxa"/>
          </w:tcPr>
          <w:p w14:paraId="3E369E6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r>
      <w:tr w:rsidR="00860B4B" w:rsidRPr="00D03F3E" w14:paraId="5532B7A0" w14:textId="77777777">
        <w:tc>
          <w:tcPr>
            <w:tcW w:w="2235" w:type="dxa"/>
          </w:tcPr>
          <w:p w14:paraId="401B25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Ла-5</w:t>
            </w:r>
          </w:p>
        </w:tc>
        <w:tc>
          <w:tcPr>
            <w:tcW w:w="1112" w:type="dxa"/>
          </w:tcPr>
          <w:p w14:paraId="6C7FE4E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017E954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70322A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112" w:type="dxa"/>
          </w:tcPr>
          <w:p w14:paraId="4F934D3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c>
          <w:tcPr>
            <w:tcW w:w="1112" w:type="dxa"/>
          </w:tcPr>
          <w:p w14:paraId="6105979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112" w:type="dxa"/>
          </w:tcPr>
          <w:p w14:paraId="2E952B3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112" w:type="dxa"/>
          </w:tcPr>
          <w:p w14:paraId="2BA788A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4E187130" w14:textId="77777777">
        <w:tc>
          <w:tcPr>
            <w:tcW w:w="2235" w:type="dxa"/>
          </w:tcPr>
          <w:p w14:paraId="15BB551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Би</w:t>
            </w:r>
          </w:p>
        </w:tc>
        <w:tc>
          <w:tcPr>
            <w:tcW w:w="1112" w:type="dxa"/>
          </w:tcPr>
          <w:p w14:paraId="4EBCE0C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3F08D2D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508D6F0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112" w:type="dxa"/>
          </w:tcPr>
          <w:p w14:paraId="5CEA23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tc>
        <w:tc>
          <w:tcPr>
            <w:tcW w:w="1112" w:type="dxa"/>
          </w:tcPr>
          <w:p w14:paraId="1D64E20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112" w:type="dxa"/>
          </w:tcPr>
          <w:p w14:paraId="423EFB0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112" w:type="dxa"/>
          </w:tcPr>
          <w:p w14:paraId="0531445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(2353)</w:t>
            </w:r>
          </w:p>
        </w:tc>
      </w:tr>
    </w:tbl>
    <w:p w14:paraId="1ABB0A4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85A5A7" w14:textId="77777777" w:rsidR="002C70B6" w:rsidRPr="00D03F3E" w:rsidRDefault="002C70B6" w:rsidP="00D03F3E">
      <w:pPr>
        <w:pStyle w:val="ae"/>
        <w:shd w:val="clear" w:color="auto" w:fill="FFFFFF"/>
        <w:spacing w:before="0" w:after="0"/>
        <w:jc w:val="both"/>
        <w:rPr>
          <w:color w:val="000000" w:themeColor="text1"/>
          <w:sz w:val="16"/>
          <w:szCs w:val="16"/>
        </w:rPr>
      </w:pPr>
      <w:r w:rsidRPr="00D03F3E">
        <w:rPr>
          <w:color w:val="000000" w:themeColor="text1"/>
          <w:sz w:val="16"/>
          <w:szCs w:val="16"/>
          <w:shd w:val="clear" w:color="auto" w:fill="FFFFFF"/>
        </w:rPr>
        <w:t xml:space="preserve">В начале 1943 вышел отчет о серийном испытании самолета № 1874833 с установленными ВУБ-3, новым бомбовым вооружением, РПК-10, РСИ-4, СПУ-Ф2. </w:t>
      </w:r>
      <w:r w:rsidRPr="00D03F3E">
        <w:rPr>
          <w:color w:val="000000" w:themeColor="text1"/>
          <w:sz w:val="16"/>
          <w:szCs w:val="16"/>
        </w:rPr>
        <w:t>Ил-2 № 1874833 проходил контрольные испытания с 11 по 23 декабря 1942 года. Масса пустого составляла 4427 кг, полётная – 6142 кг; масса полной нагрузки, соответственно, 1715 кг. Из этой цифры на топливо и масло приходится 535+65 = 600 кг. Соответственно, 1115 кг – на всё остальное. Даже если считать, что пилот и стрелок со всей своей амуницией потянут на 200 кг (хотя это большая натяжка), получаем 915 кг чисто на боевую нагрузку.</w:t>
      </w:r>
    </w:p>
    <w:p w14:paraId="6630AE10" w14:textId="77777777" w:rsidR="002C70B6" w:rsidRPr="00D03F3E" w:rsidRDefault="002C70B6" w:rsidP="00D03F3E">
      <w:pPr>
        <w:pStyle w:val="ae"/>
        <w:shd w:val="clear" w:color="auto" w:fill="FFFFFF"/>
        <w:spacing w:before="0" w:after="0"/>
        <w:jc w:val="both"/>
        <w:rPr>
          <w:color w:val="000000" w:themeColor="text1"/>
          <w:sz w:val="16"/>
          <w:szCs w:val="16"/>
        </w:rPr>
      </w:pPr>
      <w:r w:rsidRPr="00D03F3E">
        <w:rPr>
          <w:color w:val="000000" w:themeColor="text1"/>
          <w:sz w:val="16"/>
          <w:szCs w:val="16"/>
          <w:shd w:val="clear" w:color="auto" w:fill="FFFFFF"/>
        </w:rPr>
        <w:t>(Опись 1/дело11. Приказы по заводу, с. 62)</w:t>
      </w:r>
      <w:r w:rsidRPr="00D03F3E">
        <w:rPr>
          <w:color w:val="000000" w:themeColor="text1"/>
          <w:sz w:val="16"/>
          <w:szCs w:val="16"/>
        </w:rPr>
        <w:t xml:space="preserve"> (19706).</w:t>
      </w:r>
    </w:p>
    <w:p w14:paraId="74929711" w14:textId="77777777" w:rsidR="002C70B6" w:rsidRPr="00D03F3E" w:rsidRDefault="002C70B6" w:rsidP="00D03F3E">
      <w:pPr>
        <w:pStyle w:val="ae"/>
        <w:shd w:val="clear" w:color="auto" w:fill="FFFFFF"/>
        <w:spacing w:before="0" w:after="0"/>
        <w:jc w:val="both"/>
        <w:rPr>
          <w:color w:val="000000" w:themeColor="text1"/>
          <w:sz w:val="16"/>
          <w:szCs w:val="16"/>
        </w:rPr>
      </w:pPr>
    </w:p>
    <w:p w14:paraId="36BA5FA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продувка Ил-2 (зав. № 0202) производства заво</w:t>
      </w:r>
      <w:r w:rsidRPr="00D03F3E">
        <w:rPr>
          <w:rFonts w:ascii="Times New Roman" w:hAnsi="Times New Roman"/>
          <w:color w:val="000000" w:themeColor="text1"/>
          <w:sz w:val="16"/>
          <w:szCs w:val="16"/>
        </w:rPr>
        <w:softHyphen/>
        <w:t>да № 18 в аэродинамической трубе Т-104 ЦАГИ показала, что у самолета имеется резерв в 45—50 км/ч повышения максимальной скорости полета. Это достигалось за счет облагораживания фонаря кабины пилота, применения патрубков с реактивным выхлопом, устранения отсоса створок бомболюков, размещения маслорадиатора в об</w:t>
      </w:r>
      <w:r w:rsidRPr="00D03F3E">
        <w:rPr>
          <w:rFonts w:ascii="Times New Roman" w:hAnsi="Times New Roman"/>
          <w:color w:val="000000" w:themeColor="text1"/>
          <w:sz w:val="16"/>
          <w:szCs w:val="16"/>
        </w:rPr>
        <w:softHyphen/>
        <w:t>щем тоннеле с водорадиатором, более тщательной внутренней герметизации тоннелей радиаторов и противопожарной пере</w:t>
      </w:r>
      <w:r w:rsidRPr="00D03F3E">
        <w:rPr>
          <w:rFonts w:ascii="Times New Roman" w:hAnsi="Times New Roman"/>
          <w:color w:val="000000" w:themeColor="text1"/>
          <w:sz w:val="16"/>
          <w:szCs w:val="16"/>
        </w:rPr>
        <w:softHyphen/>
        <w:t>городки, установки обтекателей на реактивные орудия и хво</w:t>
      </w:r>
      <w:r w:rsidRPr="00D03F3E">
        <w:rPr>
          <w:rFonts w:ascii="Times New Roman" w:hAnsi="Times New Roman"/>
          <w:color w:val="000000" w:themeColor="text1"/>
          <w:sz w:val="16"/>
          <w:szCs w:val="16"/>
        </w:rPr>
        <w:softHyphen/>
        <w:t>стовое колесо и т.д. Так, отсос створок бомболюков в полете уменьшал макси</w:t>
      </w:r>
      <w:r w:rsidRPr="00D03F3E">
        <w:rPr>
          <w:rFonts w:ascii="Times New Roman" w:hAnsi="Times New Roman"/>
          <w:color w:val="000000" w:themeColor="text1"/>
          <w:sz w:val="16"/>
          <w:szCs w:val="16"/>
        </w:rPr>
        <w:softHyphen/>
        <w:t>мальную скорость Ил-2 на 12—15 км/ч, отсутствие обтекателей ракетных орудий и над хвостовым колесом — на 11 км/ч, а плохая внутренняя герметизация бронеспинки и противопо</w:t>
      </w:r>
      <w:r w:rsidRPr="00D03F3E">
        <w:rPr>
          <w:rFonts w:ascii="Times New Roman" w:hAnsi="Times New Roman"/>
          <w:color w:val="000000" w:themeColor="text1"/>
          <w:sz w:val="16"/>
          <w:szCs w:val="16"/>
        </w:rPr>
        <w:softHyphen/>
        <w:t>жарной перегородки — на 5,5 км/ч. Доработать Ил-2 АМ-38ф по рекомендациям ЦАГИ на за</w:t>
      </w:r>
      <w:r w:rsidRPr="00D03F3E">
        <w:rPr>
          <w:rFonts w:ascii="Times New Roman" w:hAnsi="Times New Roman"/>
          <w:color w:val="000000" w:themeColor="text1"/>
          <w:sz w:val="16"/>
          <w:szCs w:val="16"/>
        </w:rPr>
        <w:softHyphen/>
        <w:t>воде № 30 удалось лишь в середине июня. На испытаниях об</w:t>
      </w:r>
      <w:r w:rsidRPr="00D03F3E">
        <w:rPr>
          <w:rFonts w:ascii="Times New Roman" w:hAnsi="Times New Roman"/>
          <w:color w:val="000000" w:themeColor="text1"/>
          <w:sz w:val="16"/>
          <w:szCs w:val="16"/>
        </w:rPr>
        <w:softHyphen/>
        <w:t>лагороженный штурмовик показал максимальную скорость на 30 км/ч выше в сравнении с серийными образцами (11474,362).</w:t>
      </w:r>
    </w:p>
    <w:p w14:paraId="26F4B33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8CBA4C" w14:textId="77777777" w:rsidR="002C70B6" w:rsidRPr="00D03F3E" w:rsidRDefault="002C70B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продувка штурмовика Ил-2 (№ 0202) производства завода № 18 в аэродинамической трубе Т-104 показала, что есть резерв повышения максимальной скорости полета на 45—50 км/ч. Это могло быть достигнуто за счет облагораживания фонаря кабины пилота, применения патрубков с реактивным выхлопом, устранения отсоса створок бомболюков, установки обтекателей на реактивные орудия и хвостовое колесо, введения более тщательной внутренней герметизации туннелей радиаторов и противопожарной перегородки. Так, отсос створок бомболюков в полете уменьшал максимальную скорость Ил-2 на 12—15 км/ч, отсутствие обтекателей направляющих под PC и хвостового колеса — на 11 км/ч, а плохая внутренняя герметизация бронеспинки и противопожарной перегородки — на 5.5 км/ч. 3 декабря 1942 г. главный инженер ВВС в письме на имя Шахурина просил указаний о внедрении обтекателей к РО на самолетах Ил-2. «В результате проведенных в ЦАГИ научно-исследовательских и экспериментальных работ по определению лобового сопро тивления спецподвесок (РО-82 и РС-82) установлено, что: ...Установка простых обтекателей для реактивных орудий уменьшает лобовое сопротивление РО, при существующей установке, на 70%... Применение обтекателей и небольшое изменение установки РО приводит к снижению лобового сопротивления РО на 82%. Имеющиеся материалы позволяют считать, что применение подобных обтекателей на реактивных орудиях, установленных на самолете Ил-2 по существующей схеме, уменьшит потерю максимальной скорости этого самолета с 14—15 км/ч до 4—4.5 км/ч при восьми РО без РС, и с 24—26 км/ч до 14—15.5 км/ч при восьми РО и восьми РС». В результате завод № 30 получил устное приказание заместителя наркома П. В. Дементьева внести по рекомендации ЦАГИ изменения, улучшающие аэродинамические качества самолета Ил-2, в том числе установить обтекатели на балки РО-82. Доработать Ил-2 по рекомендациям ЦАГИ на заводе № 30 удалось лишь в середине июня 1943 г. На испытаниях он показал максимальную скорость на 30 км/ч выше в сравнении с серийными образцами (19727).</w:t>
      </w:r>
    </w:p>
    <w:p w14:paraId="75D3C39B" w14:textId="77777777" w:rsidR="002C70B6" w:rsidRPr="00D03F3E" w:rsidRDefault="002C70B6" w:rsidP="00D03F3E">
      <w:pPr>
        <w:spacing w:after="0" w:line="240" w:lineRule="auto"/>
        <w:jc w:val="both"/>
        <w:rPr>
          <w:rFonts w:ascii="Times New Roman" w:hAnsi="Times New Roman"/>
          <w:color w:val="000000" w:themeColor="text1"/>
          <w:sz w:val="16"/>
          <w:szCs w:val="16"/>
        </w:rPr>
      </w:pPr>
    </w:p>
    <w:p w14:paraId="580414E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принятия пушки 11-П на вооружение в начале 1943 вновь началась совместная работа ОКБ-16 с ОКБ С.В.И. Было решено установить две пушки Н37 под крыльями Ил-2 с боекомплектом по 50 патронов на пушку. Ил-2 с НС-37 был принят в серийное производство (263,141).</w:t>
      </w:r>
    </w:p>
    <w:p w14:paraId="2FA1FA7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11A0C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эскадрильи КРА свели в корректировочно-разведывательные авиаполки (по три АЭ в каждом).</w:t>
      </w:r>
    </w:p>
    <w:p w14:paraId="6353044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середине 1943 г. на смену Су-2 стали поступать переоборудованные Ил-2, которые до конца войны являлись основным разведчиком-корректировщиком артогня.</w:t>
      </w:r>
    </w:p>
    <w:p w14:paraId="02D82B5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декабре 1943 г. Начальник оперативного управления штаба ВВС КА на одном из со</w:t>
      </w:r>
      <w:r w:rsidRPr="00D03F3E">
        <w:rPr>
          <w:rFonts w:ascii="Times New Roman" w:hAnsi="Times New Roman"/>
          <w:color w:val="000000" w:themeColor="text1"/>
          <w:sz w:val="16"/>
          <w:szCs w:val="16"/>
        </w:rPr>
        <w:softHyphen/>
        <w:t>вещаний отметил, что «использование Су-2 и Ил-2 в качестве корректировщика вынуж</w:t>
      </w:r>
      <w:r w:rsidRPr="00D03F3E">
        <w:rPr>
          <w:rFonts w:ascii="Times New Roman" w:hAnsi="Times New Roman"/>
          <w:color w:val="000000" w:themeColor="text1"/>
          <w:sz w:val="16"/>
          <w:szCs w:val="16"/>
        </w:rPr>
        <w:softHyphen/>
        <w:t>денное мероприятие, обусловленное отсутствием специального самолета. Корректиров</w:t>
      </w:r>
      <w:r w:rsidRPr="00D03F3E">
        <w:rPr>
          <w:rFonts w:ascii="Times New Roman" w:hAnsi="Times New Roman"/>
          <w:color w:val="000000" w:themeColor="text1"/>
          <w:sz w:val="16"/>
          <w:szCs w:val="16"/>
        </w:rPr>
        <w:softHyphen/>
        <w:t>щик должен быть, по крайней мере, 3-х местным самолетом, маневренным, с хорошим обзором, сильным вооружением и большим диапазоном скоростей. Над созданием та</w:t>
      </w:r>
      <w:r w:rsidRPr="00D03F3E">
        <w:rPr>
          <w:rFonts w:ascii="Times New Roman" w:hAnsi="Times New Roman"/>
          <w:color w:val="000000" w:themeColor="text1"/>
          <w:sz w:val="16"/>
          <w:szCs w:val="16"/>
        </w:rPr>
        <w:softHyphen/>
        <w:t>кого самолета нужно работать, потребность в нем ощущается очень большая».</w:t>
      </w:r>
    </w:p>
    <w:p w14:paraId="3A0301F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Ранее в план-заявку на строительство опыт</w:t>
      </w:r>
      <w:r w:rsidRPr="00D03F3E">
        <w:rPr>
          <w:rFonts w:ascii="Times New Roman" w:hAnsi="Times New Roman"/>
          <w:color w:val="000000" w:themeColor="text1"/>
          <w:sz w:val="16"/>
          <w:szCs w:val="16"/>
        </w:rPr>
        <w:softHyphen/>
        <w:t>ных и модификаций се</w:t>
      </w:r>
      <w:r w:rsidRPr="00D03F3E">
        <w:rPr>
          <w:rFonts w:ascii="Times New Roman" w:hAnsi="Times New Roman"/>
          <w:color w:val="000000" w:themeColor="text1"/>
          <w:sz w:val="16"/>
          <w:szCs w:val="16"/>
        </w:rPr>
        <w:softHyphen/>
        <w:t>рийных самолётов в 1943 г. включили «Вой</w:t>
      </w:r>
      <w:r w:rsidRPr="00D03F3E">
        <w:rPr>
          <w:rFonts w:ascii="Times New Roman" w:hAnsi="Times New Roman"/>
          <w:color w:val="000000" w:themeColor="text1"/>
          <w:sz w:val="16"/>
          <w:szCs w:val="16"/>
        </w:rPr>
        <w:softHyphen/>
        <w:t>сковой разведчик и ар</w:t>
      </w:r>
      <w:r w:rsidRPr="00D03F3E">
        <w:rPr>
          <w:rFonts w:ascii="Times New Roman" w:hAnsi="Times New Roman"/>
          <w:color w:val="000000" w:themeColor="text1"/>
          <w:sz w:val="16"/>
          <w:szCs w:val="16"/>
        </w:rPr>
        <w:softHyphen/>
        <w:t>тиллерийский корректи</w:t>
      </w:r>
      <w:r w:rsidRPr="00D03F3E">
        <w:rPr>
          <w:rFonts w:ascii="Times New Roman" w:hAnsi="Times New Roman"/>
          <w:color w:val="000000" w:themeColor="text1"/>
          <w:sz w:val="16"/>
          <w:szCs w:val="16"/>
        </w:rPr>
        <w:softHyphen/>
        <w:t>ровщик с мотором воз</w:t>
      </w:r>
      <w:r w:rsidRPr="00D03F3E">
        <w:rPr>
          <w:rFonts w:ascii="Times New Roman" w:hAnsi="Times New Roman"/>
          <w:color w:val="000000" w:themeColor="text1"/>
          <w:sz w:val="16"/>
          <w:szCs w:val="16"/>
        </w:rPr>
        <w:softHyphen/>
        <w:t>душного охлаждения» (11696).</w:t>
      </w:r>
    </w:p>
    <w:p w14:paraId="206E5EE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3AD6E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вышел годовой отчет завода 126 за 1942:</w:t>
      </w:r>
    </w:p>
    <w:p w14:paraId="7D53046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"Производственная деятельность по основной оборонной продукции самолетам Ил-4 характеризуется за 1942 с одной стороны значительным отставанием размеров изготовления самолетов от выпуска их. За 1942 произошло значительное "съедание" заделов.</w:t>
      </w:r>
    </w:p>
    <w:p w14:paraId="74DBDA5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производства самолетов Ил-4 с М-88 одновременно была начата организация опытного производства по ВМГ самолета с М-82, с запуском одной серии по чертежам СКО завода и ГК С.В.И." (2012).</w:t>
      </w:r>
    </w:p>
    <w:p w14:paraId="3155665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4342B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вышел доклад директора завода 23 об итогах за 1942:</w:t>
      </w:r>
    </w:p>
    <w:p w14:paraId="136321A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период с 1938 года в машину Ил-4 не было внесено каких-либо существенных конструктивных изменений.</w:t>
      </w:r>
    </w:p>
    <w:p w14:paraId="5D0FB05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Серийное производство самолета Ил-4 на заводе 23 имело в отчетном году ту особенность, что оно служило постоянной базой для ГК С.В.И., позволявшей ему поставить и проверить в условиях серийного производства, те необходимые переделки, дополнения и изменения в конструкции, которые подсказывались боевым опытом эксплуатации машин в армии.</w:t>
      </w:r>
    </w:p>
    <w:p w14:paraId="3DED69F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отдельных работ, проведенных за отчетный период:</w:t>
      </w:r>
    </w:p>
    <w:p w14:paraId="58076A4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по планеру - всего проведено 14 работ, затронувших 1789 чертежей, в т.ч. разработаны: деревянная кабина ш, деревянный пол пилота, деревянный хвостовой кок, деревянный обтекатель кабины пилота, ОЧУ деревянной конструкции, усиление костыльного шпангоута, усиление фюзеляжной обшивки, усиление лонжеронов и стрингеров, увеличение передней части фюзеляжа деревянной конструкции со съемным полом пилота, элероны с полотняной обшивкой, новая костыльная установка, тепловой антиобледенитель на крыло и оперение, изменение выноса шасси.</w:t>
      </w:r>
    </w:p>
    <w:p w14:paraId="2F84B9B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по оборудованию всего проведено 8 работ, затронувших 355 чертежей, в т.ч. замену СПУ-3 на СПУ-4Ф, замена ОПБ-2М на ОПБ-1Р, новая система кислородного питания, УФО приборной доски, металлизация, установка РСБ-3 бис, установка термометра наружного воздуха, новая розетка аэродромного питания." (2013,33).</w:t>
      </w:r>
    </w:p>
    <w:p w14:paraId="11D5D43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39F114" w14:textId="77777777" w:rsidR="00B51AAB" w:rsidRPr="00D03F3E" w:rsidRDefault="00B51AAB"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года рабочие чертежи ИЛ-6 были готовы. Две опытные машины решили строить в Иркутске. Можно предположить, что заказ на постройку был получен не без участия С.В. Ильюшина, который прекрасно знал возможности специалистов московского завода, на котором он до недавнего времени работал главным конструктором. Согласно Постановлению ГКО № 29999сс от 7-го марта 1943 года, первый опытный экземпляр Ил-6 необходимо было передать на летные испытания 25-го июня, а второй – 10-го июля (15223).</w:t>
      </w:r>
    </w:p>
    <w:p w14:paraId="70E27C95" w14:textId="77777777" w:rsidR="00B51AAB" w:rsidRPr="00D03F3E" w:rsidRDefault="00B51AAB" w:rsidP="00D03F3E">
      <w:pPr>
        <w:shd w:val="clear" w:color="auto" w:fill="FFFFFF"/>
        <w:spacing w:after="0" w:line="240" w:lineRule="auto"/>
        <w:jc w:val="both"/>
        <w:rPr>
          <w:rFonts w:ascii="Times New Roman" w:hAnsi="Times New Roman"/>
          <w:color w:val="000000" w:themeColor="text1"/>
          <w:sz w:val="16"/>
          <w:szCs w:val="16"/>
        </w:rPr>
      </w:pPr>
    </w:p>
    <w:p w14:paraId="3BD244A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в НИИ ВВС был испытан Ю-87Д-1, доставленный из-под Сталинграда. Бомбовая нагрузка доходила до 1500, было улучшено бронирование, но скорость осталась низкой - 382 км/час с наружной подвеской 500 кг бомбы. Наши его перед войной не закупили сочтя устаревшим. Потом под Брянском захватили противотанковый Ю-87 с 37 мм Рейнметаллами и пилотом - ли Г.Тренкманом. В допросах участвовали и НИИ ВВС к А.Розанов и А.Аронов. Узнали, что в феврале 1943 немцы получили 25 противотанковых машин (1122,12).</w:t>
      </w:r>
    </w:p>
    <w:p w14:paraId="0CA1BE6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130EB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1943-го появляется штурмовая модификация Ju87D-5. Штурмовики имели довольно слабое наступательное (2 пулемета калибра 7,92 мм MG17 у D-3, и 2 пушки MG151/20 у D-5) вооружение. Действуя в качестве штурмовиков, "юнкерсы" чаще всего использовали деревянные контейнеры на 92 осколочные 2-кг авиабомбы типа SC2, которые были малоэффективными по защищенным целям. Кроме них применялись авиабомбы и большего калибра: 500 и 250 кг.</w:t>
      </w:r>
    </w:p>
    <w:p w14:paraId="5A27BE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Бронирование Ju-87D оставляло желать лучшего. Летчик защищался сзади вертикальной бронеплитой толщиной 8 мм, с боков, снизу и спереди - 4-мм броней. Сиденье выполнялось из 4-мм брони, заголовник - из 10-мм брони. В пересчете на советскую броню АБ-1 указанные бронелисты были эквивалентны советской броне толщиной - 5,3 мм, 2,7 мм, 6,7 мм.</w:t>
      </w:r>
    </w:p>
    <w:p w14:paraId="41B9585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Козырек фонаря кабины выполнялся из бронестекла толщиной 60 мм, что в пересчете на советское бронестекло было эквивалентно броне толщиной около 43 мм.</w:t>
      </w:r>
    </w:p>
    <w:p w14:paraId="7E7ECDF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Позади мотора по бокам фюзеляжа устанавливались две фигурные 5-мм бронеплиты (АБ-1 - 3,3 мм), между которыми в полу кабины находилось небольших размеров окно для наблюдения вниз из кабины летчика, которое, однако, полностью закрывалось бомбой при подвеске ее под фюзеляжем. Эти бронеплиты частично защищали летчика и маслобак.</w:t>
      </w:r>
    </w:p>
    <w:p w14:paraId="61B00D5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Бронезащита воздушного стрелка была еще хуже и включала вертикальную бронеплиту толщиной 8 мм с 5-мм боковинками (АБ-1 - 5,3 мм и 3,3 мм, соответственно), бронированный 5-мм пол (АБ-1 - 3,3 мм) и выпуклый бронеколпак, состоящий из двух симметричных боковых 8-мм бронеплит (АБ-1 -5,3 мм) и верхней 5-мм бронеплиты (АБ-1 - 3,3 мм), вмонтированных в потолок экранированной полутурели.</w:t>
      </w:r>
    </w:p>
    <w:p w14:paraId="39FD8F3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Водорадиаторы защищались сверху и снизу 4-мм плоскими бронелистами (АБ-1 - 2,7 мм), а спереди и сзади -бронестворками, также толщиной 4 мм (АБ-1 - 2,7 мм). Маслорадиаторы прикрывались броней только снизу - вмонтированной в нижнюю крышку капота 4-мм бронеплитой (АБ-1 - 2,7 мм).</w:t>
      </w:r>
    </w:p>
    <w:p w14:paraId="4F6BF01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Водопроводы на всем пути от мотора к радиатору защищались спереди вертикальными 5-мм бронеплитами (АБ-1 - 3,3 мм), установленными в передней кромке центроплана, вертикальными 5-мм бронеплитами (АБ-1 - 3,3 мм), расположенными в центроплане в месте отъема крыла, и далее тремя горизонтальными 5-мм бронелистами (АБ-1 - 3,3 мм) под трубопроводом.</w:t>
      </w:r>
    </w:p>
    <w:p w14:paraId="7AE5BA2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Центропланные бензобаки прикрывались от стрелкового огня и осколков зенитных снарядов 5-мм бронеплитами (АБ-1 - 3,3 мм), установленными спереди и с внешнебортовой стороны баков.</w:t>
      </w:r>
    </w:p>
    <w:p w14:paraId="5A226AC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Общий вес брони на "восемьдесят седьмом" - около 200 кг (по данным НИИ ВВС КА).</w:t>
      </w:r>
    </w:p>
    <w:p w14:paraId="7567A95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Анализ схемы бронирования "Юнкерса" показывает, что попытка немецких конструкторов обеспечить как можно большую, по сравнению с другими самолетами люфтваффе, угловую защищенность экипажа пикировщика-штурмовика в задней полусфере успехом все же не увенчалась. Схема бронирования машины не соответствовала условиям воздушных боев того периода.</w:t>
      </w:r>
    </w:p>
    <w:p w14:paraId="24D74B6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Вертикальная 8-мм бронеплита стрелка, так же как и 8-мм бронестенка летчика, в типовых условиях боев "не держали" 20-мм бронебойные снаряды к советской пушке ШВАК, не говоря уже о снарядах к пушке ВЯ-23 и бронебойных 12,7-мм пулях к пулемету УБ.</w:t>
      </w:r>
    </w:p>
    <w:p w14:paraId="7274E3F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Бронирование экипажа с боков и снизу, а бензобаков, водо- и маслорадиаторов также и сверху не обеспечивало защиту как от осколков зенитных снарядов, так и крупнокалиберных пуль. Мотор жидкостного охлаждения совершенно не был защищен броней...</w:t>
      </w:r>
    </w:p>
    <w:p w14:paraId="095A7F5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Броня Ju87D обеспечивала защиту экипажа и прикрываемых броней жизненно важных систем самолета только от бронебойных пуль нормального калибра (типа Б-30) при условии, что стрельба ведется с дистанции до 400 м, а угол встречи с броней не превышает 15-20".</w:t>
      </w:r>
    </w:p>
    <w:p w14:paraId="6FD48D0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Бронирование Ju87B было значительно хуже бронирования "юнкерсов"-штурмовиков.</w:t>
      </w:r>
    </w:p>
    <w:p w14:paraId="4832ACD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рекомендациях НИИ ВВС КА летчикам строевых частей по ведению воздушного боя с Ju87 отмечалось, что наиболее уязвимыми местами немецкой машины являются: экипаж, расширительный бачок, установленный с левой стороны мотора, воздушный радиатор и топливный насос, установленные снизу мотора, непротектированный добавочный маслобак, размещенный сверху мотора, маслобак, установленный за противопожарной перегородкой впереди кабины пилота, а также имеющие большую площадь центропланные и консольные (непротектированные) бензобаки.</w:t>
      </w:r>
    </w:p>
    <w:p w14:paraId="5B1CAA2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Ситуацию усугубляли недостаточные углы обстрела (без учета затенения элементами хвостового оперения самолета: по горизонту - 45°, в вертикальной плоскости: вверх - 60°, вниз - 15°) и мощь огня оборонительной установки спарки пулеметов нормального калибра MG81 "восемьдесят седьмых". По показаниям немецких пленных, пользоваться турелью было крайне сложно.</w:t>
      </w:r>
    </w:p>
    <w:p w14:paraId="75B8D7B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Оценки показывают, что применительно к сложившимся условиям боев на восточном фронте в период 1943-45 гг. вероятность боевого успеха одиночного Ju87D-5 в одном боевом вылете при поражении советской техники могла составлять: средних танков - 0,007; легких танков всех типов - около 0,024;</w:t>
      </w:r>
    </w:p>
    <w:p w14:paraId="4F39364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бронемашины - 0,13; автомашины -0,22; артиллерии на позиции - 0,07; переправы (наплавной мост типа ТПМ) -0,08.</w:t>
      </w:r>
    </w:p>
    <w:p w14:paraId="60E3A8F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Напомним, что вероятность боевого успеха штурмовика при выполнении боевой задачи по уничтожению наземной цели представляет собой произведение вероятности поражения штурмовиком цели в одном боевом вылете, вероятности для штурмовика долететь до цели и не быть перехваченным и сбитым истребителем противника и вероятности не быть сбитым огнем зенитной артиллерии противника на подлете к цели и над целью (9084).</w:t>
      </w:r>
    </w:p>
    <w:p w14:paraId="18D6ED6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5DFC5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в НИИ АВ к В.Сорокин исследовал вариант реактивного вооружения для Пе-2, предложенный ком. 1 эск. 205 бап м Глуховым. Устанавливалось для стрельбы назад на задней части машины. Эффективность была низкой из-за большого рассеяния и низкой прицельности (1841,31).</w:t>
      </w:r>
    </w:p>
    <w:p w14:paraId="18A6FF8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A5E16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г.(со 179-й серии) на все бомбардировщики Пе-2 стали ставить М-105ПФ, на разведчиках еще некоторое время сохранились М-105РА, причем первоначально на серийных Пе-2 остались винты ВИШ-61Б, оптимизированные для варианта РА. По-видимому, главной причиной замены было все же стремление сократить номенклатуру выпускаемых моторов, и за счет этого увеличить объем производства. Следует отметить, что НИИ ВВС возражал против подобной замены моторов. Заместитель начальника института генерал-майор Федоров в письме главному инженеру ВВС Репину утверждал: "Установка М-105ПФ на Пе-2 никаких выгод не дает... Скорость Пе-2 будет на 40-70 км/час меньше, чем у Me-109 во всем диапазоне высот...". И все же решение о замене М-105РА на М-105ПФ состоялось. В конструкторском бюро В.Я.Климова проводились работы по форсированию двигателей М-105 путем увеличения наддува с 910 до 1050 мм рт. ст. Форсированные моторы получили обозначения М-105ПФ (пушечный, предназначенный для истребителей) и М-105РФ (для бомбардировщиков), но если первый из них был немедленно запущен в серию, то второй оказался менее удачливым. Несмотря на то, что летные данные Пе-2 с моторами М-105РФ несколько улучшились (максимальная скорость возросла на 16-21 км/час, время набора высоты 5000 м уменьшилось на 1,5 мин, а длина разбега на 40-50 м), моторы М-105РФ из-за недостаточной надежности так и не стали серийными. Когда же на Пе-2 поставили "истребительные" моторы М-105ПФ, то наряду с некоторым увеличением скорости у земли, она заметно снизилась на высоте. Это объяснялось снижением КПД винта ВИШ-61Б на полном газу из-за излишне большой концевой скорости лопастей при переходе от редукции 0,59 к 0,667. Приходилось эксплуатировать "пешку" при пониженных оборотах моторов (3542).</w:t>
      </w:r>
    </w:p>
    <w:p w14:paraId="4BC4A32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B2EEB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ОКБ-22 разработала новую, более совершенную стрелковую установку штурмана для Пе-2 и назвала ее ФЗ. Вскоре она была испытана в НИИ ВВС и принята в серии (235,6).</w:t>
      </w:r>
    </w:p>
    <w:p w14:paraId="587DF35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ED6EA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на НИПАВ исследовали ва</w:t>
      </w:r>
      <w:r w:rsidRPr="00D03F3E">
        <w:rPr>
          <w:rFonts w:ascii="Times New Roman" w:hAnsi="Times New Roman"/>
          <w:color w:val="000000" w:themeColor="text1"/>
          <w:sz w:val="16"/>
          <w:szCs w:val="16"/>
        </w:rPr>
        <w:softHyphen/>
        <w:t>риант размещения РО, предложенный ко</w:t>
      </w:r>
      <w:r w:rsidRPr="00D03F3E">
        <w:rPr>
          <w:rFonts w:ascii="Times New Roman" w:hAnsi="Times New Roman"/>
          <w:color w:val="000000" w:themeColor="text1"/>
          <w:sz w:val="16"/>
          <w:szCs w:val="16"/>
        </w:rPr>
        <w:softHyphen/>
        <w:t>мандиром 1-й эскадрильи 205-го бап майо</w:t>
      </w:r>
      <w:r w:rsidRPr="00D03F3E">
        <w:rPr>
          <w:rFonts w:ascii="Times New Roman" w:hAnsi="Times New Roman"/>
          <w:color w:val="000000" w:themeColor="text1"/>
          <w:sz w:val="16"/>
          <w:szCs w:val="16"/>
        </w:rPr>
        <w:softHyphen/>
        <w:t>ром Глуховым. На испытаниях капитан В.Со</w:t>
      </w:r>
      <w:r w:rsidRPr="00D03F3E">
        <w:rPr>
          <w:rFonts w:ascii="Times New Roman" w:hAnsi="Times New Roman"/>
          <w:color w:val="000000" w:themeColor="text1"/>
          <w:sz w:val="16"/>
          <w:szCs w:val="16"/>
        </w:rPr>
        <w:softHyphen/>
        <w:t>рокин оценивал Пе-2 с двумя пусковыми РО-82 над хвостовой частью фюзеляжа. По результатам пусков он выявил невысо</w:t>
      </w:r>
      <w:r w:rsidRPr="00D03F3E">
        <w:rPr>
          <w:rFonts w:ascii="Times New Roman" w:hAnsi="Times New Roman"/>
          <w:color w:val="000000" w:themeColor="text1"/>
          <w:sz w:val="16"/>
          <w:szCs w:val="16"/>
        </w:rPr>
        <w:softHyphen/>
        <w:t>кую эффективность такой установки, объяс</w:t>
      </w:r>
      <w:r w:rsidRPr="00D03F3E">
        <w:rPr>
          <w:rFonts w:ascii="Times New Roman" w:hAnsi="Times New Roman"/>
          <w:color w:val="000000" w:themeColor="text1"/>
          <w:sz w:val="16"/>
          <w:szCs w:val="16"/>
        </w:rPr>
        <w:softHyphen/>
        <w:t>нив это большим рассеиванием снарядов, на траектории проходивших точку с «нуле</w:t>
      </w:r>
      <w:r w:rsidRPr="00D03F3E">
        <w:rPr>
          <w:rFonts w:ascii="Times New Roman" w:hAnsi="Times New Roman"/>
          <w:color w:val="000000" w:themeColor="text1"/>
          <w:sz w:val="16"/>
          <w:szCs w:val="16"/>
        </w:rPr>
        <w:softHyphen/>
        <w:t>вой скоростью» относительно воздуха, и большим временем задержки взрыва РС-82 (минимальная уставка взрывателя -2,2 с), что обусловило подрыв в 450-500 м от самолёта. Естественно, прицельная стрель</w:t>
      </w:r>
      <w:r w:rsidRPr="00D03F3E">
        <w:rPr>
          <w:rFonts w:ascii="Times New Roman" w:hAnsi="Times New Roman"/>
          <w:color w:val="000000" w:themeColor="text1"/>
          <w:sz w:val="16"/>
          <w:szCs w:val="16"/>
        </w:rPr>
        <w:softHyphen/>
        <w:t>ба на такой дальности оказалась невозмож</w:t>
      </w:r>
      <w:r w:rsidRPr="00D03F3E">
        <w:rPr>
          <w:rFonts w:ascii="Times New Roman" w:hAnsi="Times New Roman"/>
          <w:color w:val="000000" w:themeColor="text1"/>
          <w:sz w:val="16"/>
          <w:szCs w:val="16"/>
        </w:rPr>
        <w:softHyphen/>
        <w:t>ной, и испытанное устройство получило от</w:t>
      </w:r>
      <w:r w:rsidRPr="00D03F3E">
        <w:rPr>
          <w:rFonts w:ascii="Times New Roman" w:hAnsi="Times New Roman"/>
          <w:color w:val="000000" w:themeColor="text1"/>
          <w:sz w:val="16"/>
          <w:szCs w:val="16"/>
        </w:rPr>
        <w:softHyphen/>
        <w:t>рицательный отзыв НИПАВ.</w:t>
      </w:r>
    </w:p>
    <w:p w14:paraId="19B9F36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это, в ряде авиаполков уста</w:t>
      </w:r>
      <w:r w:rsidRPr="00D03F3E">
        <w:rPr>
          <w:rFonts w:ascii="Times New Roman" w:hAnsi="Times New Roman"/>
          <w:color w:val="000000" w:themeColor="text1"/>
          <w:sz w:val="16"/>
          <w:szCs w:val="16"/>
        </w:rPr>
        <w:softHyphen/>
        <w:t>новки для пуска РС на Пе-2 назад сохрани</w:t>
      </w:r>
      <w:r w:rsidRPr="00D03F3E">
        <w:rPr>
          <w:rFonts w:ascii="Times New Roman" w:hAnsi="Times New Roman"/>
          <w:color w:val="000000" w:themeColor="text1"/>
          <w:sz w:val="16"/>
          <w:szCs w:val="16"/>
        </w:rPr>
        <w:softHyphen/>
        <w:t>лись вплоть до окончания войны. Во фронто</w:t>
      </w:r>
      <w:r w:rsidRPr="00D03F3E">
        <w:rPr>
          <w:rFonts w:ascii="Times New Roman" w:hAnsi="Times New Roman"/>
          <w:color w:val="000000" w:themeColor="text1"/>
          <w:sz w:val="16"/>
          <w:szCs w:val="16"/>
        </w:rPr>
        <w:softHyphen/>
        <w:t>вой практике большое значение имела и психологическая составляющая эффек</w:t>
      </w:r>
      <w:r w:rsidRPr="00D03F3E">
        <w:rPr>
          <w:rFonts w:ascii="Times New Roman" w:hAnsi="Times New Roman"/>
          <w:color w:val="000000" w:themeColor="text1"/>
          <w:sz w:val="16"/>
          <w:szCs w:val="16"/>
        </w:rPr>
        <w:softHyphen/>
        <w:t>тивности оружия, пусть даже разового при</w:t>
      </w:r>
      <w:r w:rsidRPr="00D03F3E">
        <w:rPr>
          <w:rFonts w:ascii="Times New Roman" w:hAnsi="Times New Roman"/>
          <w:color w:val="000000" w:themeColor="text1"/>
          <w:sz w:val="16"/>
          <w:szCs w:val="16"/>
        </w:rPr>
        <w:softHyphen/>
        <w:t>менения, что не принимали во внимание «тыловые испытатели». Впрочем, со време</w:t>
      </w:r>
      <w:r w:rsidRPr="00D03F3E">
        <w:rPr>
          <w:rFonts w:ascii="Times New Roman" w:hAnsi="Times New Roman"/>
          <w:color w:val="000000" w:themeColor="text1"/>
          <w:sz w:val="16"/>
          <w:szCs w:val="16"/>
        </w:rPr>
        <w:softHyphen/>
        <w:t>нем, РС обратного старта перестали подве</w:t>
      </w:r>
      <w:r w:rsidRPr="00D03F3E">
        <w:rPr>
          <w:rFonts w:ascii="Times New Roman" w:hAnsi="Times New Roman"/>
          <w:color w:val="000000" w:themeColor="text1"/>
          <w:sz w:val="16"/>
          <w:szCs w:val="16"/>
        </w:rPr>
        <w:softHyphen/>
        <w:t>шивать под крылья «пешек», всё больше по</w:t>
      </w:r>
      <w:r w:rsidRPr="00D03F3E">
        <w:rPr>
          <w:rFonts w:ascii="Times New Roman" w:hAnsi="Times New Roman"/>
          <w:color w:val="000000" w:themeColor="text1"/>
          <w:sz w:val="16"/>
          <w:szCs w:val="16"/>
        </w:rPr>
        <w:softHyphen/>
        <w:t>лагаясь на согласованный пулемётный огонь плотного строя бомбардировщиков и на истребители сопровождения (11392).</w:t>
      </w:r>
    </w:p>
    <w:p w14:paraId="0DBB72E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33385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на НИПАВ исследовали вариант размещения РО, предложенный командиром 1-й эс</w:t>
      </w:r>
      <w:r w:rsidRPr="00D03F3E">
        <w:rPr>
          <w:rFonts w:ascii="Times New Roman" w:hAnsi="Times New Roman"/>
          <w:color w:val="000000" w:themeColor="text1"/>
          <w:sz w:val="16"/>
          <w:szCs w:val="16"/>
        </w:rPr>
        <w:softHyphen/>
        <w:t>кадрильи 205-го бап майором Глу-ховым. На испытаниях капитан В.Со</w:t>
      </w:r>
      <w:r w:rsidRPr="00D03F3E">
        <w:rPr>
          <w:rFonts w:ascii="Times New Roman" w:hAnsi="Times New Roman"/>
          <w:color w:val="000000" w:themeColor="text1"/>
          <w:sz w:val="16"/>
          <w:szCs w:val="16"/>
        </w:rPr>
        <w:softHyphen/>
        <w:t>рокин оценивал Пе-2 с двумя пуско</w:t>
      </w:r>
      <w:r w:rsidRPr="00D03F3E">
        <w:rPr>
          <w:rFonts w:ascii="Times New Roman" w:hAnsi="Times New Roman"/>
          <w:color w:val="000000" w:themeColor="text1"/>
          <w:sz w:val="16"/>
          <w:szCs w:val="16"/>
        </w:rPr>
        <w:softHyphen/>
        <w:t>выми РО-82 над хвостовой частью фюзеляжа. По результатам пусков он выявил невысокую эффективность такой установки, объяснив это боль</w:t>
      </w:r>
      <w:r w:rsidRPr="00D03F3E">
        <w:rPr>
          <w:rFonts w:ascii="Times New Roman" w:hAnsi="Times New Roman"/>
          <w:color w:val="000000" w:themeColor="text1"/>
          <w:sz w:val="16"/>
          <w:szCs w:val="16"/>
        </w:rPr>
        <w:softHyphen/>
        <w:t>шим рассеиванием снарядов, на тра</w:t>
      </w:r>
      <w:r w:rsidRPr="00D03F3E">
        <w:rPr>
          <w:rFonts w:ascii="Times New Roman" w:hAnsi="Times New Roman"/>
          <w:color w:val="000000" w:themeColor="text1"/>
          <w:sz w:val="16"/>
          <w:szCs w:val="16"/>
        </w:rPr>
        <w:softHyphen/>
        <w:t>ектории проходивших точку с «нуле</w:t>
      </w:r>
      <w:r w:rsidRPr="00D03F3E">
        <w:rPr>
          <w:rFonts w:ascii="Times New Roman" w:hAnsi="Times New Roman"/>
          <w:color w:val="000000" w:themeColor="text1"/>
          <w:sz w:val="16"/>
          <w:szCs w:val="16"/>
        </w:rPr>
        <w:softHyphen/>
        <w:t>вой скоростью» относительно возду</w:t>
      </w:r>
      <w:r w:rsidRPr="00D03F3E">
        <w:rPr>
          <w:rFonts w:ascii="Times New Roman" w:hAnsi="Times New Roman"/>
          <w:color w:val="000000" w:themeColor="text1"/>
          <w:sz w:val="16"/>
          <w:szCs w:val="16"/>
        </w:rPr>
        <w:softHyphen/>
        <w:t>ха, и большим временем задержки взрыва РС-82 (минимальная уставка взрывателя - 2,2 с), что обусловило подрыв в 450-500 м от самолёта. Ес</w:t>
      </w:r>
      <w:r w:rsidRPr="00D03F3E">
        <w:rPr>
          <w:rFonts w:ascii="Times New Roman" w:hAnsi="Times New Roman"/>
          <w:color w:val="000000" w:themeColor="text1"/>
          <w:sz w:val="16"/>
          <w:szCs w:val="16"/>
        </w:rPr>
        <w:softHyphen/>
        <w:t>тественно, прицельная стрельба на такой дальности оказалась невоз</w:t>
      </w:r>
      <w:r w:rsidRPr="00D03F3E">
        <w:rPr>
          <w:rFonts w:ascii="Times New Roman" w:hAnsi="Times New Roman"/>
          <w:color w:val="000000" w:themeColor="text1"/>
          <w:sz w:val="16"/>
          <w:szCs w:val="16"/>
        </w:rPr>
        <w:softHyphen/>
        <w:t>можной, и испытанное устройство по</w:t>
      </w:r>
      <w:r w:rsidRPr="00D03F3E">
        <w:rPr>
          <w:rFonts w:ascii="Times New Roman" w:hAnsi="Times New Roman"/>
          <w:color w:val="000000" w:themeColor="text1"/>
          <w:sz w:val="16"/>
          <w:szCs w:val="16"/>
        </w:rPr>
        <w:softHyphen/>
        <w:t>лучило отрицательный отзыв НИПАВ. Несмотря на это, в ряде авиапол</w:t>
      </w:r>
      <w:r w:rsidRPr="00D03F3E">
        <w:rPr>
          <w:rFonts w:ascii="Times New Roman" w:hAnsi="Times New Roman"/>
          <w:color w:val="000000" w:themeColor="text1"/>
          <w:sz w:val="16"/>
          <w:szCs w:val="16"/>
        </w:rPr>
        <w:softHyphen/>
        <w:t>ков установки для пуска РС на Пе-2 назад сохранились вплоть до окон</w:t>
      </w:r>
      <w:r w:rsidRPr="00D03F3E">
        <w:rPr>
          <w:rFonts w:ascii="Times New Roman" w:hAnsi="Times New Roman"/>
          <w:color w:val="000000" w:themeColor="text1"/>
          <w:sz w:val="16"/>
          <w:szCs w:val="16"/>
        </w:rPr>
        <w:softHyphen/>
        <w:t>чания войны. Во фронтовой практи</w:t>
      </w:r>
      <w:r w:rsidRPr="00D03F3E">
        <w:rPr>
          <w:rFonts w:ascii="Times New Roman" w:hAnsi="Times New Roman"/>
          <w:color w:val="000000" w:themeColor="text1"/>
          <w:sz w:val="16"/>
          <w:szCs w:val="16"/>
        </w:rPr>
        <w:softHyphen/>
        <w:t>ке большое значение имела и пси</w:t>
      </w:r>
      <w:r w:rsidRPr="00D03F3E">
        <w:rPr>
          <w:rFonts w:ascii="Times New Roman" w:hAnsi="Times New Roman"/>
          <w:color w:val="000000" w:themeColor="text1"/>
          <w:sz w:val="16"/>
          <w:szCs w:val="16"/>
        </w:rPr>
        <w:softHyphen/>
        <w:t>хологическая составляющая эффек</w:t>
      </w:r>
      <w:r w:rsidRPr="00D03F3E">
        <w:rPr>
          <w:rFonts w:ascii="Times New Roman" w:hAnsi="Times New Roman"/>
          <w:color w:val="000000" w:themeColor="text1"/>
          <w:sz w:val="16"/>
          <w:szCs w:val="16"/>
        </w:rPr>
        <w:softHyphen/>
        <w:t>тивности оружия, пусть даже разо</w:t>
      </w:r>
      <w:r w:rsidRPr="00D03F3E">
        <w:rPr>
          <w:rFonts w:ascii="Times New Roman" w:hAnsi="Times New Roman"/>
          <w:color w:val="000000" w:themeColor="text1"/>
          <w:sz w:val="16"/>
          <w:szCs w:val="16"/>
        </w:rPr>
        <w:softHyphen/>
        <w:t>вого применения, что не принимали во внимание «тыловые испытатели». Впрочем, со временем, РС обратно</w:t>
      </w:r>
      <w:r w:rsidRPr="00D03F3E">
        <w:rPr>
          <w:rFonts w:ascii="Times New Roman" w:hAnsi="Times New Roman"/>
          <w:color w:val="000000" w:themeColor="text1"/>
          <w:sz w:val="16"/>
          <w:szCs w:val="16"/>
        </w:rPr>
        <w:softHyphen/>
        <w:t>го старта перестали подвешивать под крылья «пешек», всё больше полага</w:t>
      </w:r>
      <w:r w:rsidRPr="00D03F3E">
        <w:rPr>
          <w:rFonts w:ascii="Times New Roman" w:hAnsi="Times New Roman"/>
          <w:color w:val="000000" w:themeColor="text1"/>
          <w:sz w:val="16"/>
          <w:szCs w:val="16"/>
        </w:rPr>
        <w:softHyphen/>
        <w:t>ясь на согласованный пулемётный огонь плотного строя бомбардиров</w:t>
      </w:r>
      <w:r w:rsidRPr="00D03F3E">
        <w:rPr>
          <w:rFonts w:ascii="Times New Roman" w:hAnsi="Times New Roman"/>
          <w:color w:val="000000" w:themeColor="text1"/>
          <w:sz w:val="16"/>
          <w:szCs w:val="16"/>
        </w:rPr>
        <w:softHyphen/>
        <w:t>щиков и на истребители сопровождения (11432).</w:t>
      </w:r>
    </w:p>
    <w:p w14:paraId="2705658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15CD7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Начало 1943 г ознаменовалось сборкой на личные сбережения жителей Татарстана ста двух Пе-2, которые передали 202 бомбардировочной авиационной Средне-Донской Краснознамённой ордена Суворова дивизии. По инициативе тружеников республики и при поддержке Председателя Президиума Верховного Совета ТАССР Г. Динмухаметова, дивизии приказом Наркома Обороны было присвоено и собственное наименование - имени Верховного Совета ТАССР (6394).</w:t>
      </w:r>
    </w:p>
    <w:p w14:paraId="0078B9C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7CF0A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директор заврода № 124 Окулов отчитался перед Шахуриным о работах по модернизации Пе-2:</w:t>
      </w:r>
    </w:p>
    <w:p w14:paraId="7E29D25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установлены новые двигатели М-105Ф с ТК;</w:t>
      </w:r>
    </w:p>
    <w:p w14:paraId="257779D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увеличили бомбоотсек (6 бомб по 100 кг, 2 по 250 кг и 1 по 500 кг);</w:t>
      </w:r>
    </w:p>
    <w:p w14:paraId="7389CC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самолет с М-107 один раз был в полете, потом начались проблемы;</w:t>
      </w:r>
    </w:p>
    <w:p w14:paraId="087168B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 М-82 прошел заводские испытания и отправлен в НИИ ВВС, на нем увеличена скорость на 50-60 км/ч;</w:t>
      </w:r>
    </w:p>
    <w:p w14:paraId="01CB346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со 110 серии ставятся установки Торопова;</w:t>
      </w:r>
    </w:p>
    <w:p w14:paraId="6BA56FC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на машине № 19/35 установлены новый прицел и гранатница».</w:t>
      </w:r>
    </w:p>
    <w:p w14:paraId="44BD75B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Правда, доклад директора не убедил наркома, что дела на заводе в этом аспекте идут нормально, и летние события подтвердят это (12049).</w:t>
      </w:r>
    </w:p>
    <w:p w14:paraId="3359D13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BBD56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года вслед за первой машиной Пе-8 системой подвески ФАБ-5000 было оборудовано еще несколько самолетов (7685).</w:t>
      </w:r>
    </w:p>
    <w:p w14:paraId="1BF62FD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958AF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ГУ АС ВВС дало задание КБ-35 НКБ разработать и изготовить пять авиабомб особо крупного калибра для их боевого применения с самолетов Пе-8 (7453).</w:t>
      </w:r>
    </w:p>
    <w:p w14:paraId="5A0113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50339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началу 1943 г. был готов проект НБ (Т) Н.Н.П. под М-30Б. М-30Б имел взлетную мощность 1500 л.с. и 1250 л.с. на высоте 6000 м, т.е. меньшую, чем М-71 и М-82. Естественно, что с этим мотором ожидаемые летные характеристики получались не очень высокими: максимальная скорость не превы</w:t>
      </w:r>
      <w:r w:rsidRPr="00D03F3E">
        <w:rPr>
          <w:rFonts w:ascii="Times New Roman" w:hAnsi="Times New Roman"/>
          <w:color w:val="000000" w:themeColor="text1"/>
          <w:sz w:val="16"/>
          <w:szCs w:val="16"/>
        </w:rPr>
        <w:softHyphen/>
        <w:t>шала 475 км/ч на высоте 6000 м, практический потолок понизился до 7600 м, время набора высоты 5000 м воз</w:t>
      </w:r>
      <w:r w:rsidRPr="00D03F3E">
        <w:rPr>
          <w:rFonts w:ascii="Times New Roman" w:hAnsi="Times New Roman"/>
          <w:color w:val="000000" w:themeColor="text1"/>
          <w:sz w:val="16"/>
          <w:szCs w:val="16"/>
        </w:rPr>
        <w:softHyphen/>
        <w:t>росло до 21,7 мин. Зато дальность полета на 0,8 Умакс увеличилась до 4900 км, продолжительность полета - до 12,6 часов. Самолет имел дальность 1000 км с 4000 кг бомб и 4000 км с 1000 кг бомб. Для взлета требовалась дистанция 960-1000 м. Вес пустого самолета стал теперь равен 8835 кг. В итоге стало ясно, что повышение дальности не ис</w:t>
      </w:r>
      <w:r w:rsidRPr="00D03F3E">
        <w:rPr>
          <w:rFonts w:ascii="Times New Roman" w:hAnsi="Times New Roman"/>
          <w:color w:val="000000" w:themeColor="text1"/>
          <w:sz w:val="16"/>
          <w:szCs w:val="16"/>
        </w:rPr>
        <w:softHyphen/>
        <w:t>купает ухудшения всех других характеристик. Поэтому приняли решение о постройке бомбардировщика с дву</w:t>
      </w:r>
      <w:r w:rsidRPr="00D03F3E">
        <w:rPr>
          <w:rFonts w:ascii="Times New Roman" w:hAnsi="Times New Roman"/>
          <w:color w:val="000000" w:themeColor="text1"/>
          <w:sz w:val="16"/>
          <w:szCs w:val="16"/>
        </w:rPr>
        <w:softHyphen/>
        <w:t>мя двигателями М-82ФНВ. Второй экземпляр предпола</w:t>
      </w:r>
      <w:r w:rsidRPr="00D03F3E">
        <w:rPr>
          <w:rFonts w:ascii="Times New Roman" w:hAnsi="Times New Roman"/>
          <w:color w:val="000000" w:themeColor="text1"/>
          <w:sz w:val="16"/>
          <w:szCs w:val="16"/>
        </w:rPr>
        <w:softHyphen/>
        <w:t>галось выпустить с М-71 (10667).</w:t>
      </w:r>
    </w:p>
    <w:p w14:paraId="7DD733A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E4FF0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ситуация на самолетостроительных заводах сложилась не менее сложная, чем на моторостроительных. Например, согласно принятым постановлениям, Новосибирский завод № 153 был обязан в марте выпускать самолеты Як-9 с мотором М-106 и увеличенной дальностью, Як-7 с 37мм пушкой (впоследствии изменили на Як-9), учебные Як-7А и продолжать постройку Як-7Б. Заместитель Наркома В.П.Воронин не сомневался, что такая организация серийного производства неизбежно приведет к значительному снижению суммарного выпуска. Это только непосвященным кажется, что если самолеты имеют близкую конструкцию, переход с одной модели на другую проходит безболезненно. Кроме того, опыт завода № 292 показал, что необходимо сразу ставить на самолет Як-9 М-106 новую систему охлаждения с повышенной теплоемкостью. В свою очередь это повлекло бы отладку штампов и приспособлений, чтобы при сборочных работах избежать индивидуальной подгонки. Поэтому Воронин предложил отказаться от внедрения в Новосибирске самолетов с мотором М-106 (4537).</w:t>
      </w:r>
    </w:p>
    <w:p w14:paraId="4319AC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F2103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года Як-9 успешно боролся с последними модификациями Me-109, а после войны в варианте Як-9П не уступал американскому F-51 "Мустанг". За годы серийного выпуска промышленность Советского Союза построила 16 679 экземпляров этого самолета. Его и по сей день можно встретить не только в заокеанских музеях, но и в воздухе, правда, в ретро исполнении. Як-9 с честью выдержал испытания в войне в Корее, но появление самолетов-истребителей с реактивным двигателем, привело к быстрому его вытеснению с театров боевых действий.</w:t>
      </w:r>
    </w:p>
    <w:p w14:paraId="4365806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Таблица № 5. Сравнительные данные истребителей Як-9, Як-3 и Ла-11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860B4B" w:rsidRPr="00D03F3E" w14:paraId="662A863A" w14:textId="77777777">
        <w:tc>
          <w:tcPr>
            <w:tcW w:w="2242" w:type="dxa"/>
            <w:tcBorders>
              <w:top w:val="single" w:sz="12" w:space="0" w:color="auto"/>
            </w:tcBorders>
          </w:tcPr>
          <w:p w14:paraId="27FAADA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w:t>
            </w:r>
          </w:p>
        </w:tc>
        <w:tc>
          <w:tcPr>
            <w:tcW w:w="2242" w:type="dxa"/>
            <w:tcBorders>
              <w:top w:val="single" w:sz="12" w:space="0" w:color="auto"/>
            </w:tcBorders>
          </w:tcPr>
          <w:p w14:paraId="56E4C42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Як-9П</w:t>
            </w:r>
          </w:p>
        </w:tc>
        <w:tc>
          <w:tcPr>
            <w:tcW w:w="2242" w:type="dxa"/>
            <w:tcBorders>
              <w:top w:val="single" w:sz="12" w:space="0" w:color="auto"/>
            </w:tcBorders>
          </w:tcPr>
          <w:p w14:paraId="2145AF8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Як-9П</w:t>
            </w:r>
          </w:p>
        </w:tc>
        <w:tc>
          <w:tcPr>
            <w:tcW w:w="2242" w:type="dxa"/>
            <w:tcBorders>
              <w:top w:val="single" w:sz="12" w:space="0" w:color="auto"/>
            </w:tcBorders>
          </w:tcPr>
          <w:p w14:paraId="096BEA6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Як-3</w:t>
            </w:r>
          </w:p>
        </w:tc>
        <w:tc>
          <w:tcPr>
            <w:tcW w:w="2242" w:type="dxa"/>
            <w:tcBorders>
              <w:top w:val="single" w:sz="12" w:space="0" w:color="auto"/>
            </w:tcBorders>
          </w:tcPr>
          <w:p w14:paraId="0C0CE7E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Ла-11</w:t>
            </w:r>
          </w:p>
        </w:tc>
      </w:tr>
      <w:tr w:rsidR="00860B4B" w:rsidRPr="00D03F3E" w14:paraId="6E352607" w14:textId="77777777">
        <w:tc>
          <w:tcPr>
            <w:tcW w:w="2242" w:type="dxa"/>
          </w:tcPr>
          <w:p w14:paraId="086C471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CEF5BE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№01-03</w:t>
            </w:r>
          </w:p>
        </w:tc>
        <w:tc>
          <w:tcPr>
            <w:tcW w:w="2242" w:type="dxa"/>
          </w:tcPr>
          <w:p w14:paraId="45A46E2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№01-04</w:t>
            </w:r>
          </w:p>
        </w:tc>
        <w:tc>
          <w:tcPr>
            <w:tcW w:w="2242" w:type="dxa"/>
          </w:tcPr>
          <w:p w14:paraId="5022967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59F384A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0A1BFBB" w14:textId="77777777">
        <w:tc>
          <w:tcPr>
            <w:tcW w:w="2242" w:type="dxa"/>
          </w:tcPr>
          <w:p w14:paraId="0800C43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Двигатель</w:t>
            </w:r>
          </w:p>
        </w:tc>
        <w:tc>
          <w:tcPr>
            <w:tcW w:w="2242" w:type="dxa"/>
          </w:tcPr>
          <w:p w14:paraId="20736A2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ВК-107А</w:t>
            </w:r>
          </w:p>
        </w:tc>
        <w:tc>
          <w:tcPr>
            <w:tcW w:w="2242" w:type="dxa"/>
          </w:tcPr>
          <w:p w14:paraId="06BB8E7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ВК-107А</w:t>
            </w:r>
          </w:p>
        </w:tc>
        <w:tc>
          <w:tcPr>
            <w:tcW w:w="2242" w:type="dxa"/>
          </w:tcPr>
          <w:p w14:paraId="6456401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ВК-107А</w:t>
            </w:r>
          </w:p>
        </w:tc>
        <w:tc>
          <w:tcPr>
            <w:tcW w:w="2242" w:type="dxa"/>
          </w:tcPr>
          <w:p w14:paraId="5BE523F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АШ-82ФН</w:t>
            </w:r>
          </w:p>
        </w:tc>
      </w:tr>
      <w:tr w:rsidR="00860B4B" w:rsidRPr="00D03F3E" w14:paraId="61BDDC62" w14:textId="77777777">
        <w:tc>
          <w:tcPr>
            <w:tcW w:w="2242" w:type="dxa"/>
          </w:tcPr>
          <w:p w14:paraId="58452C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Взлетный вес, кг</w:t>
            </w:r>
          </w:p>
        </w:tc>
        <w:tc>
          <w:tcPr>
            <w:tcW w:w="2242" w:type="dxa"/>
          </w:tcPr>
          <w:p w14:paraId="70BE3E8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3227</w:t>
            </w:r>
          </w:p>
        </w:tc>
        <w:tc>
          <w:tcPr>
            <w:tcW w:w="2242" w:type="dxa"/>
          </w:tcPr>
          <w:p w14:paraId="4D71B2B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3222</w:t>
            </w:r>
          </w:p>
        </w:tc>
        <w:tc>
          <w:tcPr>
            <w:tcW w:w="2242" w:type="dxa"/>
          </w:tcPr>
          <w:p w14:paraId="1DE1B8B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3059</w:t>
            </w:r>
          </w:p>
        </w:tc>
        <w:tc>
          <w:tcPr>
            <w:tcW w:w="2242" w:type="dxa"/>
          </w:tcPr>
          <w:p w14:paraId="77786B6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37301</w:t>
            </w:r>
          </w:p>
        </w:tc>
      </w:tr>
      <w:tr w:rsidR="00860B4B" w:rsidRPr="00D03F3E" w14:paraId="018E4CEB" w14:textId="77777777">
        <w:tc>
          <w:tcPr>
            <w:tcW w:w="2242" w:type="dxa"/>
          </w:tcPr>
          <w:p w14:paraId="4BBC86D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Запас топлива, л</w:t>
            </w:r>
          </w:p>
        </w:tc>
        <w:tc>
          <w:tcPr>
            <w:tcW w:w="2242" w:type="dxa"/>
          </w:tcPr>
          <w:p w14:paraId="1A8D23B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430</w:t>
            </w:r>
          </w:p>
        </w:tc>
        <w:tc>
          <w:tcPr>
            <w:tcW w:w="2242" w:type="dxa"/>
          </w:tcPr>
          <w:p w14:paraId="33A0263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425</w:t>
            </w:r>
          </w:p>
        </w:tc>
        <w:tc>
          <w:tcPr>
            <w:tcW w:w="2242" w:type="dxa"/>
          </w:tcPr>
          <w:p w14:paraId="21E77DD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480</w:t>
            </w:r>
          </w:p>
        </w:tc>
        <w:tc>
          <w:tcPr>
            <w:tcW w:w="2242" w:type="dxa"/>
          </w:tcPr>
          <w:p w14:paraId="48D3D48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8463</w:t>
            </w:r>
          </w:p>
        </w:tc>
      </w:tr>
      <w:tr w:rsidR="00860B4B" w:rsidRPr="00D03F3E" w14:paraId="7711C04F" w14:textId="77777777">
        <w:tc>
          <w:tcPr>
            <w:tcW w:w="2242" w:type="dxa"/>
          </w:tcPr>
          <w:p w14:paraId="4B29741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Скорость макс., км/ч</w:t>
            </w:r>
          </w:p>
        </w:tc>
        <w:tc>
          <w:tcPr>
            <w:tcW w:w="2242" w:type="dxa"/>
          </w:tcPr>
          <w:p w14:paraId="105864D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A21450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5962DF5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411FABE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181E13A" w14:textId="77777777">
        <w:tc>
          <w:tcPr>
            <w:tcW w:w="2242" w:type="dxa"/>
          </w:tcPr>
          <w:p w14:paraId="7F0B94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земли</w:t>
            </w:r>
          </w:p>
        </w:tc>
        <w:tc>
          <w:tcPr>
            <w:tcW w:w="2242" w:type="dxa"/>
          </w:tcPr>
          <w:p w14:paraId="7A44521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569</w:t>
            </w:r>
          </w:p>
        </w:tc>
        <w:tc>
          <w:tcPr>
            <w:tcW w:w="2242" w:type="dxa"/>
          </w:tcPr>
          <w:p w14:paraId="2A0F192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582</w:t>
            </w:r>
          </w:p>
        </w:tc>
        <w:tc>
          <w:tcPr>
            <w:tcW w:w="2242" w:type="dxa"/>
          </w:tcPr>
          <w:p w14:paraId="20448EF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602</w:t>
            </w:r>
          </w:p>
        </w:tc>
        <w:tc>
          <w:tcPr>
            <w:tcW w:w="2242" w:type="dxa"/>
          </w:tcPr>
          <w:p w14:paraId="012D4A2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562</w:t>
            </w:r>
          </w:p>
        </w:tc>
      </w:tr>
      <w:tr w:rsidR="00860B4B" w:rsidRPr="00D03F3E" w14:paraId="759EA32D" w14:textId="77777777">
        <w:tc>
          <w:tcPr>
            <w:tcW w:w="2242" w:type="dxa"/>
          </w:tcPr>
          <w:p w14:paraId="2EAA56F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высоте 5000 м</w:t>
            </w:r>
          </w:p>
        </w:tc>
        <w:tc>
          <w:tcPr>
            <w:tcW w:w="2242" w:type="dxa"/>
          </w:tcPr>
          <w:p w14:paraId="57D758C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660</w:t>
            </w:r>
          </w:p>
        </w:tc>
        <w:tc>
          <w:tcPr>
            <w:tcW w:w="2242" w:type="dxa"/>
          </w:tcPr>
          <w:p w14:paraId="7B75F80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657</w:t>
            </w:r>
          </w:p>
        </w:tc>
        <w:tc>
          <w:tcPr>
            <w:tcW w:w="2242" w:type="dxa"/>
          </w:tcPr>
          <w:p w14:paraId="77B9ED2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673</w:t>
            </w:r>
          </w:p>
        </w:tc>
        <w:tc>
          <w:tcPr>
            <w:tcW w:w="2242" w:type="dxa"/>
          </w:tcPr>
          <w:p w14:paraId="32CCCB4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664</w:t>
            </w:r>
          </w:p>
        </w:tc>
      </w:tr>
      <w:tr w:rsidR="00860B4B" w:rsidRPr="00D03F3E" w14:paraId="659ADA41" w14:textId="77777777">
        <w:tc>
          <w:tcPr>
            <w:tcW w:w="2242" w:type="dxa"/>
          </w:tcPr>
          <w:p w14:paraId="61E6ED6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2-й гр. высотности, м</w:t>
            </w:r>
          </w:p>
        </w:tc>
        <w:tc>
          <w:tcPr>
            <w:tcW w:w="2242" w:type="dxa"/>
          </w:tcPr>
          <w:p w14:paraId="732DA22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673/5700</w:t>
            </w:r>
          </w:p>
        </w:tc>
        <w:tc>
          <w:tcPr>
            <w:tcW w:w="2242" w:type="dxa"/>
          </w:tcPr>
          <w:p w14:paraId="38B21B3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672/5750</w:t>
            </w:r>
          </w:p>
        </w:tc>
        <w:tc>
          <w:tcPr>
            <w:tcW w:w="2242" w:type="dxa"/>
          </w:tcPr>
          <w:p w14:paraId="23CBDD3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695/5950</w:t>
            </w:r>
          </w:p>
        </w:tc>
        <w:tc>
          <w:tcPr>
            <w:tcW w:w="2242" w:type="dxa"/>
          </w:tcPr>
          <w:p w14:paraId="5EF12EB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674/6200</w:t>
            </w:r>
          </w:p>
        </w:tc>
      </w:tr>
      <w:tr w:rsidR="00860B4B" w:rsidRPr="00D03F3E" w14:paraId="58C913F9" w14:textId="77777777">
        <w:tc>
          <w:tcPr>
            <w:tcW w:w="2242" w:type="dxa"/>
          </w:tcPr>
          <w:p w14:paraId="00B3E86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w:t>
            </w:r>
          </w:p>
        </w:tc>
        <w:tc>
          <w:tcPr>
            <w:tcW w:w="2242" w:type="dxa"/>
          </w:tcPr>
          <w:p w14:paraId="10E7636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7DD31C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BCC3A1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4DE21F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9521B6E" w14:textId="77777777">
        <w:tc>
          <w:tcPr>
            <w:tcW w:w="2242" w:type="dxa"/>
          </w:tcPr>
          <w:p w14:paraId="35100B7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высоты 5000 м, мин</w:t>
            </w:r>
          </w:p>
        </w:tc>
        <w:tc>
          <w:tcPr>
            <w:tcW w:w="2242" w:type="dxa"/>
          </w:tcPr>
          <w:p w14:paraId="43959C4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w:t>
            </w:r>
          </w:p>
        </w:tc>
        <w:tc>
          <w:tcPr>
            <w:tcW w:w="2242" w:type="dxa"/>
          </w:tcPr>
          <w:p w14:paraId="5D98BF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w:t>
            </w:r>
          </w:p>
        </w:tc>
        <w:tc>
          <w:tcPr>
            <w:tcW w:w="2242" w:type="dxa"/>
          </w:tcPr>
          <w:p w14:paraId="47E7756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w:t>
            </w:r>
          </w:p>
        </w:tc>
        <w:tc>
          <w:tcPr>
            <w:tcW w:w="2242" w:type="dxa"/>
          </w:tcPr>
          <w:p w14:paraId="1590A68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w:t>
            </w:r>
          </w:p>
        </w:tc>
      </w:tr>
      <w:tr w:rsidR="00860B4B" w:rsidRPr="00D03F3E" w14:paraId="392C0CBF" w14:textId="77777777">
        <w:tc>
          <w:tcPr>
            <w:tcW w:w="2242" w:type="dxa"/>
          </w:tcPr>
          <w:p w14:paraId="0DF32B3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 м</w:t>
            </w:r>
          </w:p>
        </w:tc>
        <w:tc>
          <w:tcPr>
            <w:tcW w:w="2242" w:type="dxa"/>
          </w:tcPr>
          <w:p w14:paraId="44CED30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11100</w:t>
            </w:r>
          </w:p>
        </w:tc>
        <w:tc>
          <w:tcPr>
            <w:tcW w:w="2242" w:type="dxa"/>
          </w:tcPr>
          <w:p w14:paraId="4D825D6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11100</w:t>
            </w:r>
          </w:p>
        </w:tc>
        <w:tc>
          <w:tcPr>
            <w:tcW w:w="2242" w:type="dxa"/>
          </w:tcPr>
          <w:p w14:paraId="1D470D0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11350</w:t>
            </w:r>
          </w:p>
        </w:tc>
        <w:tc>
          <w:tcPr>
            <w:tcW w:w="2242" w:type="dxa"/>
          </w:tcPr>
          <w:p w14:paraId="49CC2EC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10250</w:t>
            </w:r>
          </w:p>
        </w:tc>
      </w:tr>
      <w:tr w:rsidR="00860B4B" w:rsidRPr="00D03F3E" w14:paraId="424CC728" w14:textId="77777777">
        <w:tc>
          <w:tcPr>
            <w:tcW w:w="2242" w:type="dxa"/>
          </w:tcPr>
          <w:p w14:paraId="69F1BD8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макс, км</w:t>
            </w:r>
          </w:p>
        </w:tc>
        <w:tc>
          <w:tcPr>
            <w:tcW w:w="2242" w:type="dxa"/>
          </w:tcPr>
          <w:p w14:paraId="7A018C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780</w:t>
            </w:r>
          </w:p>
        </w:tc>
        <w:tc>
          <w:tcPr>
            <w:tcW w:w="2242" w:type="dxa"/>
          </w:tcPr>
          <w:p w14:paraId="287C13F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890</w:t>
            </w:r>
          </w:p>
        </w:tc>
        <w:tc>
          <w:tcPr>
            <w:tcW w:w="2242" w:type="dxa"/>
          </w:tcPr>
          <w:p w14:paraId="3B16B5B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941</w:t>
            </w:r>
          </w:p>
        </w:tc>
        <w:tc>
          <w:tcPr>
            <w:tcW w:w="2242" w:type="dxa"/>
          </w:tcPr>
          <w:p w14:paraId="7146C0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2535</w:t>
            </w:r>
          </w:p>
        </w:tc>
      </w:tr>
      <w:tr w:rsidR="00860B4B" w:rsidRPr="00D03F3E" w14:paraId="30CC8513" w14:textId="77777777">
        <w:tc>
          <w:tcPr>
            <w:tcW w:w="2242" w:type="dxa"/>
          </w:tcPr>
          <w:p w14:paraId="16811A6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Разбег/пробег, м</w:t>
            </w:r>
          </w:p>
        </w:tc>
        <w:tc>
          <w:tcPr>
            <w:tcW w:w="2242" w:type="dxa"/>
          </w:tcPr>
          <w:p w14:paraId="71DDD4B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390/530</w:t>
            </w:r>
          </w:p>
        </w:tc>
        <w:tc>
          <w:tcPr>
            <w:tcW w:w="2242" w:type="dxa"/>
          </w:tcPr>
          <w:p w14:paraId="6635D29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375/550</w:t>
            </w:r>
          </w:p>
        </w:tc>
        <w:tc>
          <w:tcPr>
            <w:tcW w:w="2242" w:type="dxa"/>
          </w:tcPr>
          <w:p w14:paraId="39DC8C3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375/540</w:t>
            </w:r>
          </w:p>
        </w:tc>
        <w:tc>
          <w:tcPr>
            <w:tcW w:w="2242" w:type="dxa"/>
          </w:tcPr>
          <w:p w14:paraId="5CFB53D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535/600</w:t>
            </w:r>
          </w:p>
        </w:tc>
      </w:tr>
      <w:tr w:rsidR="00860B4B" w:rsidRPr="00D03F3E" w14:paraId="461DD4CF" w14:textId="77777777">
        <w:tc>
          <w:tcPr>
            <w:tcW w:w="2242" w:type="dxa"/>
          </w:tcPr>
          <w:p w14:paraId="3119EA3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w:t>
            </w:r>
          </w:p>
        </w:tc>
        <w:tc>
          <w:tcPr>
            <w:tcW w:w="2242" w:type="dxa"/>
          </w:tcPr>
          <w:p w14:paraId="4A3A2DC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1x20 мм</w:t>
            </w:r>
          </w:p>
        </w:tc>
        <w:tc>
          <w:tcPr>
            <w:tcW w:w="2242" w:type="dxa"/>
          </w:tcPr>
          <w:p w14:paraId="34FBB65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1x20 мм</w:t>
            </w:r>
          </w:p>
        </w:tc>
        <w:tc>
          <w:tcPr>
            <w:tcW w:w="2242" w:type="dxa"/>
          </w:tcPr>
          <w:p w14:paraId="378EE92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3x20 мм</w:t>
            </w:r>
          </w:p>
        </w:tc>
        <w:tc>
          <w:tcPr>
            <w:tcW w:w="2242" w:type="dxa"/>
          </w:tcPr>
          <w:p w14:paraId="0093EDF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3x23 мм</w:t>
            </w:r>
          </w:p>
        </w:tc>
      </w:tr>
      <w:tr w:rsidR="00860B4B" w:rsidRPr="00D03F3E" w14:paraId="5F780759" w14:textId="77777777">
        <w:tc>
          <w:tcPr>
            <w:tcW w:w="2242" w:type="dxa"/>
            <w:tcBorders>
              <w:bottom w:val="single" w:sz="12" w:space="0" w:color="auto"/>
            </w:tcBorders>
          </w:tcPr>
          <w:p w14:paraId="0179D12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3958D2A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2x12,7 мм</w:t>
            </w:r>
          </w:p>
        </w:tc>
        <w:tc>
          <w:tcPr>
            <w:tcW w:w="2242" w:type="dxa"/>
            <w:tcBorders>
              <w:bottom w:val="single" w:sz="12" w:space="0" w:color="auto"/>
            </w:tcBorders>
          </w:tcPr>
          <w:p w14:paraId="1F97221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2x12,7 мм</w:t>
            </w:r>
          </w:p>
        </w:tc>
        <w:tc>
          <w:tcPr>
            <w:tcW w:w="2242" w:type="dxa"/>
            <w:tcBorders>
              <w:bottom w:val="single" w:sz="12" w:space="0" w:color="auto"/>
            </w:tcBorders>
          </w:tcPr>
          <w:p w14:paraId="0402EF1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7F9A59E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ABEDB1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 перегрузочном варианте - 3996 кг.</w:t>
      </w:r>
    </w:p>
    <w:p w14:paraId="26E7E19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 перегрузочном варианте - 1735 км.</w:t>
      </w:r>
    </w:p>
    <w:p w14:paraId="28C533D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 перегрузочном варианте (12046).</w:t>
      </w:r>
    </w:p>
    <w:p w14:paraId="3062B9D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8034D0" w14:textId="77777777" w:rsidR="00BD4344" w:rsidRPr="00D03F3E" w:rsidRDefault="00BD434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двигатель ВК-107 был установлен на Як-9, на котором летчиком П. Я. Федрови была достигнута максимальная скорость 590 км/час у земли и 680 км/час на высоте 5800 метров [16, с. 24]. Однако 23 февраля 1943 г. опытная машина была потеряна в аварии изза возгорания двигателя. Потребовался почти год на изготовление второго опытного самолета, в конструкцию которого внесли множество изменений На испытаниях в январе – апреле 1944 г. истребитель Як-9У («улучшенный») с двигателем ВК-107А показал максимальную скорость на боевом режиме у земли, равную 600 км/час, а на второй границе высотности (5600 м) – 700 км/час. Двигатель был принят на вооружение ВВС Красной Армии. С ним выпускались истребители Як-9У, которые появились на фронте в конце октября 1944 г. в Прибалтике. Воздушные бои показали, что по сравнению с германским Bf-109G истребитель Як-9У с ВК-107А обладал преимуществом в скорости и характеристиках вертикального маневра. За месяц боев авиационный полк, вооруженный такими самолетами, сбил 28 вражеских самолетов и потерял семь своих (19705).</w:t>
      </w:r>
    </w:p>
    <w:p w14:paraId="0F76E2E3" w14:textId="77777777" w:rsidR="00BD4344" w:rsidRPr="00D03F3E" w:rsidRDefault="00BD4344" w:rsidP="00D03F3E">
      <w:pPr>
        <w:spacing w:after="0" w:line="240" w:lineRule="auto"/>
        <w:jc w:val="both"/>
        <w:rPr>
          <w:rFonts w:ascii="Times New Roman" w:hAnsi="Times New Roman"/>
          <w:color w:val="000000" w:themeColor="text1"/>
          <w:sz w:val="16"/>
          <w:szCs w:val="16"/>
        </w:rPr>
      </w:pPr>
    </w:p>
    <w:p w14:paraId="5EEAD15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Начало 1943 г. было омрачено плохими новостями с фронта. На самолетах выпуска ноября 1942 г. - апреля 1943 г. произошло несколько случаев срыва обшивки с крыла в воздухе. Справедливости ради следует отметить, что подобное происходило на всех типах советских самолетов, имевших деревянную конструкцию. Однако, из-за срыва обшивки гораздо больше летных происшествий происходило с "ЛаГГами" и "Илами", чем с "Яками".</w:t>
      </w:r>
    </w:p>
    <w:p w14:paraId="716DDD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Обычно в так называемых случаях срыва обшивки с крыла основная фанерная обшивка не разрушалась. Для приданию крылу обтекаемой формы фанерная обшивка в то время оклеивалась тканью, шпаклевалась и шлифовалась. После наносился слой камуфляжных красок. Если служившая для армирования шпаклевки ткань оказывалась плохо приклеенной, то ее отсасывало и разрывало в клочья набегающим потоком. За счет этого лобовое сопротивление самолета увеличивалось, значительно ухудшая летные характеристики. Случаи разрушения крыла в воздухе были единичными.</w:t>
      </w:r>
    </w:p>
    <w:p w14:paraId="1ECE00F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Срывам обшивки объективно способствовал ряд причин. Во первых, прочность клеевых соединений и лакокрасочных покрытий с течением времени снижалась. Для машин 1941 года выпуска это было не актуально, так как редкие из них успевали налетать по 40-50 часов (а в начале войны и вовсе 15-20 часов). К концу 1942 г. налет машин вырос до 100-150 часов, и соответствие конструкции самолета Нормам прочности стало важным и потребовало повышенного внимания. Во-вторых, значительно ухудшились защитные свойства лакокрасочного покрытия самолетов. Частично это было сделано сознательно: с началом войны, для уменьшения цикла выпуска самолета, многие операции по окраске деревянных частей самолета стали выполняться нитрокрасками, которые плохо защищали древесину. С другой стороны, из- за потерь сырьевых баз и сокращения импорта дефицитные компоненты в клеях, шпаклевках, красках, лаках вынужденно заменялись другими, которые были недостаточно апробированными (или не было времени для соответствующей проверки). В разработанных в 1942 г. Всесоюзным институтом авиационных материалов (ВИАМ) и внедренных на заводах рецептурах содержание органических расворителей и растительного масла было сокращено на 15-20%, а такой компонент как глицерин был заменен полностью. В-третьих, деревянное двухлон- жеронное крыло Як-1 с фанерной обшивкой имело длительный цикл изготовления и было технологически сложным. Казеиновый клей, который использовался для сборки крыла, требовал больших выдержек при сушке. Попадает в клей пыль - получаются местные непроклеи, холодно в цехе - клей свертывается.</w:t>
      </w:r>
    </w:p>
    <w:p w14:paraId="60081BC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Опытного персонала хронически не хватало. В 1942 году до 50 % списочного состава на заводах НКАП являлись новыми работниками. На Саратовском авиазаводе 1642 человека из числа рабочих и служащих прошли переподготовку на рабочие специальности, по которым ощущалась острая нехватка. Места у станков и на сборке занимали и женщины, и дети. Несмотря на строгие положения закона об использовании труда подростков, многие руководители заводов эксплуатировали юношеский энтузиазм и желание ребят помочь своим старшим братьям и отцам, призванным на борьбу с фашизмом в ряды Красной Армии. Дети до 16 лет по закону не должны были работать более 6 часов в день. Им должен был предоставляться один выходной в неделю и ежегодный 12-ти дневный отпуск. В действительности эти мальчишки и девчонки трудились по 10-12 часов в день, иногда и в ночную смену, без выходных и отпусков, страдая от холода и голода. А истощенному и уставшему человеку очень просто совершить ошибку при сборке самолета. </w:t>
      </w:r>
    </w:p>
    <w:p w14:paraId="321DD05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Герой Советского Союза летчик-испыта- тель M.J1. Галлай так вспоминал о своем посещении механического цеха Горьковско- го авиационного завода им. Орджоникидзе (№21):</w:t>
      </w:r>
    </w:p>
    <w:p w14:paraId="3CCF9FC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"Ровный шум множества станков, с юности знакомый запах горячего металла, отблески зеркальной поверхности обрабатываемых деталей... Но что-то здесь необычное, не такое, как в любом другом ранее виденном механическом цехе. Что же именно?</w:t>
      </w:r>
    </w:p>
    <w:p w14:paraId="0430A7C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Много раздумывать на эту тему не пришлось. Необычно выглядели стоявшие у станков люди, в большинстве своем подростки, я чуть было не сказал - дети. Дети с худыми, бледными от недоедания и не по возрасту тяжелого труда лицами. Некоторым из них не хватало роста, чтобы дотянуться до всех нужных рукояток, и они стояли у станков не прямо на полу, а на каких-то старых ящиках из-под деталей или наспех сколоченных подставках. Одного мальчика за что- то корил мастер. Реакция проштрафившегося была необычной для заводских условий: он всхлипывал...</w:t>
      </w:r>
    </w:p>
    <w:p w14:paraId="59A0352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Сложный комплекс чувств возник у меня при виде этих ребят. Жалость к детям, которым по-настоящему следовало бы не работать среди грохота станков, а в школе сидеть или в "казаки-разбойники" играть, соединялась с тенью некоторого беспокойства (наверное, мне хотелось, чтобы самолеты, на которых летают мои товарищи и я, делались руками людей, немножко более взрослых). Но над всеми этими чувствами господствовало одно - уважение. Глубокое уважение к этим подросткам - гражданам нашей страны, так рано взвалившим на свои детские плечи тяжесть забот об обороне Родины и так достойно эту тяжесть несущим!"</w:t>
      </w:r>
    </w:p>
    <w:p w14:paraId="722439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случаи разрушения крыльев в полете были следствием не недостаточной прочности конструкции, а плохого качества изготовления. Тем не менее, пришлось ввести как бы поправочный коэффициент на особенности производства в прочностные характеристики крыла, увеличив площадь склейки обшивки и набора крыла установкой дополнительных стрингеров. Много изобретательности проявил инженер-химик аппарата НКАП А. Кроль, сумевший найти высокостойкие заменители остродефицитных компонентов нитроэмалей и красок. Кроме того, ввели пооперационную приемку крыльев военными представителями. Они стали следить за соблюдением технологического процесса и при малейших отклонениях от него безжалостно возвращали продукцию на переделку. Это не замедлило сказаться на выпуске самолетов. График Сборочный цех завода сборки в июне перестал выполняться, пото- N°292 1942 год. му что вследствие усиленного контроля над Архив ОКБ качеством крыльевой цех вместо 13 стал изготавливать 6-7 крыльев в сутки.</w:t>
      </w:r>
    </w:p>
    <w:p w14:paraId="72BF4BB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принятые меры, улучшения качества покрытия крыла и фюзеляжа не произошло. Нитрошпаклевка ALU-30, разработанная для бестканевых обшивок и примененная вместо АШ-22, продолжала отставать от покрываемой поверхности. Покрытие полотняной обшивки фюзеляжа при надавливании давало трещины, что заставило специалистов ВИАМ и завода № 36 вновь заняться этим вопросом (12048).</w:t>
      </w:r>
    </w:p>
    <w:p w14:paraId="2FC80EA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E63964" w14:textId="77777777" w:rsidR="00AD5F7E" w:rsidRPr="00D03F3E" w:rsidRDefault="00AD5F7E" w:rsidP="00D03F3E">
      <w:pPr>
        <w:pStyle w:val="ae"/>
        <w:spacing w:before="0" w:after="0"/>
        <w:jc w:val="both"/>
        <w:textAlignment w:val="baseline"/>
        <w:rPr>
          <w:color w:val="000000" w:themeColor="text1"/>
          <w:sz w:val="16"/>
          <w:szCs w:val="16"/>
        </w:rPr>
      </w:pPr>
      <w:r w:rsidRPr="00D03F3E">
        <w:rPr>
          <w:color w:val="000000" w:themeColor="text1"/>
          <w:sz w:val="16"/>
          <w:szCs w:val="16"/>
        </w:rPr>
        <w:t>В начале 1943 г. Поликарпов получил указание наркома Шахурина форсировать испытания и готовить рабочую конструкторскую документацию по И-185 к передаче в серийное производство, однако завод-получатель все еще не был определен (17737).</w:t>
      </w:r>
    </w:p>
    <w:p w14:paraId="23347152" w14:textId="77777777" w:rsidR="00AD5F7E" w:rsidRPr="00D03F3E" w:rsidRDefault="00AD5F7E" w:rsidP="00D03F3E">
      <w:pPr>
        <w:pStyle w:val="ae"/>
        <w:spacing w:before="0" w:after="0"/>
        <w:jc w:val="both"/>
        <w:textAlignment w:val="baseline"/>
        <w:rPr>
          <w:iCs/>
          <w:color w:val="000000" w:themeColor="text1"/>
          <w:sz w:val="16"/>
          <w:szCs w:val="16"/>
          <w:bdr w:val="none" w:sz="0" w:space="0" w:color="auto" w:frame="1"/>
        </w:rPr>
      </w:pPr>
    </w:p>
    <w:p w14:paraId="2DEC0EE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Н.Н.П. проектировал И-188. И-188 предусматривал использование трехрядного 27-цилиндрового двигателя воздушного охлаждения М-95 конструкции Е.В.Урмина (ОКБ завода № 29) мощ</w:t>
      </w:r>
      <w:r w:rsidRPr="00D03F3E">
        <w:rPr>
          <w:rFonts w:ascii="Times New Roman" w:hAnsi="Times New Roman"/>
          <w:color w:val="000000" w:themeColor="text1"/>
          <w:sz w:val="16"/>
          <w:szCs w:val="16"/>
        </w:rPr>
        <w:softHyphen/>
        <w:t>ностью 2500 л.с. на высоте 3300 м. От И-187 самолет внешне отличался формой выхлопных патрубков. После соответствующей отработки на машине предпо</w:t>
      </w:r>
      <w:r w:rsidRPr="00D03F3E">
        <w:rPr>
          <w:rFonts w:ascii="Times New Roman" w:hAnsi="Times New Roman"/>
          <w:color w:val="000000" w:themeColor="text1"/>
          <w:sz w:val="16"/>
          <w:szCs w:val="16"/>
        </w:rPr>
        <w:softHyphen/>
        <w:t>лагалось использовать новый капот с центральным входом. Большой вес мотора и четырехпушечное вооруже</w:t>
      </w:r>
      <w:r w:rsidRPr="00D03F3E">
        <w:rPr>
          <w:rFonts w:ascii="Times New Roman" w:hAnsi="Times New Roman"/>
          <w:color w:val="000000" w:themeColor="text1"/>
          <w:sz w:val="16"/>
          <w:szCs w:val="16"/>
        </w:rPr>
        <w:softHyphen/>
        <w:t>ние обуславливали большой полетный вес истребителя - 4300 кг. Поэтому размах крыла И-188 с М-95 решили увеличить до 11 м. Согласно расчетам, скорость получалась равной 690 км/ч у земли и до 800 км/ч на боевой высоте, пото</w:t>
      </w:r>
      <w:r w:rsidRPr="00D03F3E">
        <w:rPr>
          <w:rFonts w:ascii="Times New Roman" w:hAnsi="Times New Roman"/>
          <w:color w:val="000000" w:themeColor="text1"/>
          <w:sz w:val="16"/>
          <w:szCs w:val="16"/>
        </w:rPr>
        <w:softHyphen/>
        <w:t>лок - 12000 м, время набора высоты 5000 м - 3,7 мин. Временно, до освоения в производстве мотора М-95, на самолет собирались ставить менее мощный М-90 и крыло от И-187. Рассматривался также вопрос об использовании 24-цилиндрового шестиблочного звездообразного дви</w:t>
      </w:r>
      <w:r w:rsidRPr="00D03F3E">
        <w:rPr>
          <w:rFonts w:ascii="Times New Roman" w:hAnsi="Times New Roman"/>
          <w:color w:val="000000" w:themeColor="text1"/>
          <w:sz w:val="16"/>
          <w:szCs w:val="16"/>
        </w:rPr>
        <w:softHyphen/>
        <w:t>гателя жидкостного охлаждения М-250 мощностью 2200/2500 л.с. с двумя соосными винтами. Полетный вес получался сравнительно большим - 4650 кг, соответст</w:t>
      </w:r>
      <w:r w:rsidRPr="00D03F3E">
        <w:rPr>
          <w:rFonts w:ascii="Times New Roman" w:hAnsi="Times New Roman"/>
          <w:color w:val="000000" w:themeColor="text1"/>
          <w:sz w:val="16"/>
          <w:szCs w:val="16"/>
        </w:rPr>
        <w:softHyphen/>
        <w:t>венно, время набора высоты 5000 м увеличивалось до 4,88 мин., максимальная скорость равнялась 730 км/ч на высоте 6500 м. Вместе с прекращением работ над И-185 завершилось и дальнейшее проектирование И-187 и И-188. Эти ма</w:t>
      </w:r>
      <w:r w:rsidRPr="00D03F3E">
        <w:rPr>
          <w:rFonts w:ascii="Times New Roman" w:hAnsi="Times New Roman"/>
          <w:color w:val="000000" w:themeColor="text1"/>
          <w:sz w:val="16"/>
          <w:szCs w:val="16"/>
        </w:rPr>
        <w:softHyphen/>
        <w:t>шины можно назвать лебединой песней Поликарпова. Оставшиеся экземпляры истребителя до 1945 г. нахо</w:t>
      </w:r>
      <w:r w:rsidRPr="00D03F3E">
        <w:rPr>
          <w:rFonts w:ascii="Times New Roman" w:hAnsi="Times New Roman"/>
          <w:color w:val="000000" w:themeColor="text1"/>
          <w:sz w:val="16"/>
          <w:szCs w:val="16"/>
        </w:rPr>
        <w:softHyphen/>
        <w:t>дились на территории завода № 51 (10667).</w:t>
      </w:r>
    </w:p>
    <w:p w14:paraId="5404DC5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86757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начала 1943 года Завод №21 готовился перейти на выпуск модер</w:t>
      </w:r>
      <w:r w:rsidRPr="00D03F3E">
        <w:rPr>
          <w:rFonts w:ascii="Times New Roman" w:hAnsi="Times New Roman"/>
          <w:color w:val="000000" w:themeColor="text1"/>
          <w:sz w:val="16"/>
          <w:szCs w:val="16"/>
        </w:rPr>
        <w:softHyphen/>
        <w:t>низированного Ла-5 с М-82ФНВ. По</w:t>
      </w:r>
      <w:r w:rsidRPr="00D03F3E">
        <w:rPr>
          <w:rFonts w:ascii="Times New Roman" w:hAnsi="Times New Roman"/>
          <w:color w:val="000000" w:themeColor="text1"/>
          <w:sz w:val="16"/>
          <w:szCs w:val="16"/>
        </w:rPr>
        <w:softHyphen/>
        <w:t>становление ГКО №2727 от 10 ян</w:t>
      </w:r>
      <w:r w:rsidRPr="00D03F3E">
        <w:rPr>
          <w:rFonts w:ascii="Times New Roman" w:hAnsi="Times New Roman"/>
          <w:color w:val="000000" w:themeColor="text1"/>
          <w:sz w:val="16"/>
          <w:szCs w:val="16"/>
        </w:rPr>
        <w:softHyphen/>
        <w:t>варя 1943 года «О плане производ</w:t>
      </w:r>
      <w:r w:rsidRPr="00D03F3E">
        <w:rPr>
          <w:rFonts w:ascii="Times New Roman" w:hAnsi="Times New Roman"/>
          <w:color w:val="000000" w:themeColor="text1"/>
          <w:sz w:val="16"/>
          <w:szCs w:val="16"/>
        </w:rPr>
        <w:softHyphen/>
        <w:t>ства самолетов и моторов в январе месяце и 1-м квартале 1943 года» считало важнейшей задачей завода №21 в I квартале - осуществить пе</w:t>
      </w:r>
      <w:r w:rsidRPr="00D03F3E">
        <w:rPr>
          <w:rFonts w:ascii="Times New Roman" w:hAnsi="Times New Roman"/>
          <w:color w:val="000000" w:themeColor="text1"/>
          <w:sz w:val="16"/>
          <w:szCs w:val="16"/>
        </w:rPr>
        <w:softHyphen/>
        <w:t>ревод всех самолетов Ла-5 с М-82 на постоянный форсаж и начать вы</w:t>
      </w:r>
      <w:r w:rsidRPr="00D03F3E">
        <w:rPr>
          <w:rFonts w:ascii="Times New Roman" w:hAnsi="Times New Roman"/>
          <w:color w:val="000000" w:themeColor="text1"/>
          <w:sz w:val="16"/>
          <w:szCs w:val="16"/>
        </w:rPr>
        <w:softHyphen/>
        <w:t>пуск первых серий самолетов Ла-5 облегченной конструкции с М-82Ф-НВ (форсированными с насосами непосредственного впрыска). Но на этом пути встретились два препятствия. Первое - повторить кон</w:t>
      </w:r>
      <w:r w:rsidRPr="00D03F3E">
        <w:rPr>
          <w:rFonts w:ascii="Times New Roman" w:hAnsi="Times New Roman"/>
          <w:color w:val="000000" w:themeColor="text1"/>
          <w:sz w:val="16"/>
          <w:szCs w:val="16"/>
        </w:rPr>
        <w:softHyphen/>
        <w:t>струкцию крыла «Дублера» с метал</w:t>
      </w:r>
      <w:r w:rsidRPr="00D03F3E">
        <w:rPr>
          <w:rFonts w:ascii="Times New Roman" w:hAnsi="Times New Roman"/>
          <w:color w:val="000000" w:themeColor="text1"/>
          <w:sz w:val="16"/>
          <w:szCs w:val="16"/>
        </w:rPr>
        <w:softHyphen/>
        <w:t>лическими лонжеронами в серии за</w:t>
      </w:r>
      <w:r w:rsidRPr="00D03F3E">
        <w:rPr>
          <w:rFonts w:ascii="Times New Roman" w:hAnsi="Times New Roman"/>
          <w:color w:val="000000" w:themeColor="text1"/>
          <w:sz w:val="16"/>
          <w:szCs w:val="16"/>
        </w:rPr>
        <w:softHyphen/>
        <w:t>вод №21 в то время не мог, посколь</w:t>
      </w:r>
      <w:r w:rsidRPr="00D03F3E">
        <w:rPr>
          <w:rFonts w:ascii="Times New Roman" w:hAnsi="Times New Roman"/>
          <w:color w:val="000000" w:themeColor="text1"/>
          <w:sz w:val="16"/>
          <w:szCs w:val="16"/>
        </w:rPr>
        <w:softHyphen/>
        <w:t>ку не имел требуемого металлорежу</w:t>
      </w:r>
      <w:r w:rsidRPr="00D03F3E">
        <w:rPr>
          <w:rFonts w:ascii="Times New Roman" w:hAnsi="Times New Roman"/>
          <w:color w:val="000000" w:themeColor="text1"/>
          <w:sz w:val="16"/>
          <w:szCs w:val="16"/>
        </w:rPr>
        <w:softHyphen/>
        <w:t>щего оборудования и рабочих-метал</w:t>
      </w:r>
      <w:r w:rsidRPr="00D03F3E">
        <w:rPr>
          <w:rFonts w:ascii="Times New Roman" w:hAnsi="Times New Roman"/>
          <w:color w:val="000000" w:themeColor="text1"/>
          <w:sz w:val="16"/>
          <w:szCs w:val="16"/>
        </w:rPr>
        <w:softHyphen/>
        <w:t>листов. Пришлось пока оставить се</w:t>
      </w:r>
      <w:r w:rsidRPr="00D03F3E">
        <w:rPr>
          <w:rFonts w:ascii="Times New Roman" w:hAnsi="Times New Roman"/>
          <w:color w:val="000000" w:themeColor="text1"/>
          <w:sz w:val="16"/>
          <w:szCs w:val="16"/>
        </w:rPr>
        <w:softHyphen/>
        <w:t>рийное крыло с деревянными лонже</w:t>
      </w:r>
      <w:r w:rsidRPr="00D03F3E">
        <w:rPr>
          <w:rFonts w:ascii="Times New Roman" w:hAnsi="Times New Roman"/>
          <w:color w:val="000000" w:themeColor="text1"/>
          <w:sz w:val="16"/>
          <w:szCs w:val="16"/>
        </w:rPr>
        <w:softHyphen/>
        <w:t>ронами. Второе препятствие было связано с организацией серийного выпуска моторов М-82ФН (третья буква «В» в обозначении мотора вскоре исчез</w:t>
      </w:r>
      <w:r w:rsidRPr="00D03F3E">
        <w:rPr>
          <w:rFonts w:ascii="Times New Roman" w:hAnsi="Times New Roman"/>
          <w:color w:val="000000" w:themeColor="text1"/>
          <w:sz w:val="16"/>
          <w:szCs w:val="16"/>
        </w:rPr>
        <w:softHyphen/>
        <w:t>ла). Собственно, завод №19 мог про</w:t>
      </w:r>
      <w:r w:rsidRPr="00D03F3E">
        <w:rPr>
          <w:rFonts w:ascii="Times New Roman" w:hAnsi="Times New Roman"/>
          <w:color w:val="000000" w:themeColor="text1"/>
          <w:sz w:val="16"/>
          <w:szCs w:val="16"/>
        </w:rPr>
        <w:softHyphen/>
        <w:t>изводить эти моторы без особых про</w:t>
      </w:r>
      <w:r w:rsidRPr="00D03F3E">
        <w:rPr>
          <w:rFonts w:ascii="Times New Roman" w:hAnsi="Times New Roman"/>
          <w:color w:val="000000" w:themeColor="text1"/>
          <w:sz w:val="16"/>
          <w:szCs w:val="16"/>
        </w:rPr>
        <w:softHyphen/>
        <w:t>блем, но наладить крупносерийный выпуск насосов НБ-ЗУ на заводе №296 не было никакой возможнос</w:t>
      </w:r>
      <w:r w:rsidRPr="00D03F3E">
        <w:rPr>
          <w:rFonts w:ascii="Times New Roman" w:hAnsi="Times New Roman"/>
          <w:color w:val="000000" w:themeColor="text1"/>
          <w:sz w:val="16"/>
          <w:szCs w:val="16"/>
        </w:rPr>
        <w:softHyphen/>
        <w:t>ти. До сих пор эти насосы производи</w:t>
      </w:r>
      <w:r w:rsidRPr="00D03F3E">
        <w:rPr>
          <w:rFonts w:ascii="Times New Roman" w:hAnsi="Times New Roman"/>
          <w:color w:val="000000" w:themeColor="text1"/>
          <w:sz w:val="16"/>
          <w:szCs w:val="16"/>
        </w:rPr>
        <w:softHyphen/>
        <w:t>лись единицами вручную рабочими высокой квалификации. Для опытных работ больше и не требовалось. Но теперь их нужно было производить сотнями штук в месяц, а для этого тре</w:t>
      </w:r>
      <w:r w:rsidRPr="00D03F3E">
        <w:rPr>
          <w:rFonts w:ascii="Times New Roman" w:hAnsi="Times New Roman"/>
          <w:color w:val="000000" w:themeColor="text1"/>
          <w:sz w:val="16"/>
          <w:szCs w:val="16"/>
        </w:rPr>
        <w:softHyphen/>
        <w:t>бовалось высокоточное станочное оборудование, которого в стране про</w:t>
      </w:r>
      <w:r w:rsidRPr="00D03F3E">
        <w:rPr>
          <w:rFonts w:ascii="Times New Roman" w:hAnsi="Times New Roman"/>
          <w:color w:val="000000" w:themeColor="text1"/>
          <w:sz w:val="16"/>
          <w:szCs w:val="16"/>
        </w:rPr>
        <w:softHyphen/>
        <w:t>сто не было. Тем не менее, было ре</w:t>
      </w:r>
      <w:r w:rsidRPr="00D03F3E">
        <w:rPr>
          <w:rFonts w:ascii="Times New Roman" w:hAnsi="Times New Roman"/>
          <w:color w:val="000000" w:themeColor="text1"/>
          <w:sz w:val="16"/>
          <w:szCs w:val="16"/>
        </w:rPr>
        <w:softHyphen/>
        <w:t>шено начать серийное производство М-82ФН в том количестве, которое сможет обеспечить насосами завод №296, а остальные моторы М-82 вы</w:t>
      </w:r>
      <w:r w:rsidRPr="00D03F3E">
        <w:rPr>
          <w:rFonts w:ascii="Times New Roman" w:hAnsi="Times New Roman"/>
          <w:color w:val="000000" w:themeColor="text1"/>
          <w:sz w:val="16"/>
          <w:szCs w:val="16"/>
        </w:rPr>
        <w:softHyphen/>
        <w:t>пускать в варианте «Ф» с карбюра</w:t>
      </w:r>
      <w:r w:rsidRPr="00D03F3E">
        <w:rPr>
          <w:rFonts w:ascii="Times New Roman" w:hAnsi="Times New Roman"/>
          <w:color w:val="000000" w:themeColor="text1"/>
          <w:sz w:val="16"/>
          <w:szCs w:val="16"/>
        </w:rPr>
        <w:softHyphen/>
        <w:t>тором. Предполагалось, что постепен</w:t>
      </w:r>
      <w:r w:rsidRPr="00D03F3E">
        <w:rPr>
          <w:rFonts w:ascii="Times New Roman" w:hAnsi="Times New Roman"/>
          <w:color w:val="000000" w:themeColor="text1"/>
          <w:sz w:val="16"/>
          <w:szCs w:val="16"/>
        </w:rPr>
        <w:softHyphen/>
        <w:t>но выпуск насосов НВ и, соответствен</w:t>
      </w:r>
      <w:r w:rsidRPr="00D03F3E">
        <w:rPr>
          <w:rFonts w:ascii="Times New Roman" w:hAnsi="Times New Roman"/>
          <w:color w:val="000000" w:themeColor="text1"/>
          <w:sz w:val="16"/>
          <w:szCs w:val="16"/>
        </w:rPr>
        <w:softHyphen/>
        <w:t>но, моторов М-82ФН будет нарастать, а карбюраторных М-82Ф - снижать</w:t>
      </w:r>
      <w:r w:rsidRPr="00D03F3E">
        <w:rPr>
          <w:rFonts w:ascii="Times New Roman" w:hAnsi="Times New Roman"/>
          <w:color w:val="000000" w:themeColor="text1"/>
          <w:sz w:val="16"/>
          <w:szCs w:val="16"/>
        </w:rPr>
        <w:softHyphen/>
        <w:t>ся, до полного вытеснения последних. Таким образом, завод №21 был поставлен перед необходимостью производить самолет Ла-5 в двух мо</w:t>
      </w:r>
      <w:r w:rsidRPr="00D03F3E">
        <w:rPr>
          <w:rFonts w:ascii="Times New Roman" w:hAnsi="Times New Roman"/>
          <w:color w:val="000000" w:themeColor="text1"/>
          <w:sz w:val="16"/>
          <w:szCs w:val="16"/>
        </w:rPr>
        <w:softHyphen/>
        <w:t>дификациях. Все улучшения ВМГ, оп</w:t>
      </w:r>
      <w:r w:rsidRPr="00D03F3E">
        <w:rPr>
          <w:rFonts w:ascii="Times New Roman" w:hAnsi="Times New Roman"/>
          <w:color w:val="000000" w:themeColor="text1"/>
          <w:sz w:val="16"/>
          <w:szCs w:val="16"/>
        </w:rPr>
        <w:softHyphen/>
        <w:t>робованные на «Дублере», были вне</w:t>
      </w:r>
      <w:r w:rsidRPr="00D03F3E">
        <w:rPr>
          <w:rFonts w:ascii="Times New Roman" w:hAnsi="Times New Roman"/>
          <w:color w:val="000000" w:themeColor="text1"/>
          <w:sz w:val="16"/>
          <w:szCs w:val="16"/>
        </w:rPr>
        <w:softHyphen/>
        <w:t>дрены в серию только на Ла-5ФН, а на Ла-5Ф системы питания, всасыва</w:t>
      </w:r>
      <w:r w:rsidRPr="00D03F3E">
        <w:rPr>
          <w:rFonts w:ascii="Times New Roman" w:hAnsi="Times New Roman"/>
          <w:color w:val="000000" w:themeColor="text1"/>
          <w:sz w:val="16"/>
          <w:szCs w:val="16"/>
        </w:rPr>
        <w:softHyphen/>
        <w:t>ния и выхлопа остались прежние. Это решение объяснялось стремлением избежать неразберихи в эксплуата</w:t>
      </w:r>
      <w:r w:rsidRPr="00D03F3E">
        <w:rPr>
          <w:rFonts w:ascii="Times New Roman" w:hAnsi="Times New Roman"/>
          <w:color w:val="000000" w:themeColor="text1"/>
          <w:sz w:val="16"/>
          <w:szCs w:val="16"/>
        </w:rPr>
        <w:softHyphen/>
        <w:t>ции и снабжении строевых частей запчастями, поскольку детали этих си</w:t>
      </w:r>
      <w:r w:rsidRPr="00D03F3E">
        <w:rPr>
          <w:rFonts w:ascii="Times New Roman" w:hAnsi="Times New Roman"/>
          <w:color w:val="000000" w:themeColor="text1"/>
          <w:sz w:val="16"/>
          <w:szCs w:val="16"/>
        </w:rPr>
        <w:softHyphen/>
        <w:t>стем, а также моторамы на Ла-5Ф и Ла-5ФН были различными. Но в результате летные данные Ла-5Ф оста</w:t>
      </w:r>
      <w:r w:rsidRPr="00D03F3E">
        <w:rPr>
          <w:rFonts w:ascii="Times New Roman" w:hAnsi="Times New Roman"/>
          <w:color w:val="000000" w:themeColor="text1"/>
          <w:sz w:val="16"/>
          <w:szCs w:val="16"/>
        </w:rPr>
        <w:softHyphen/>
        <w:t>лись почти на прежнем уровне, хотя при изменении всасывающего и вых</w:t>
      </w:r>
      <w:r w:rsidRPr="00D03F3E">
        <w:rPr>
          <w:rFonts w:ascii="Times New Roman" w:hAnsi="Times New Roman"/>
          <w:color w:val="000000" w:themeColor="text1"/>
          <w:sz w:val="16"/>
          <w:szCs w:val="16"/>
        </w:rPr>
        <w:softHyphen/>
        <w:t>лопных патрубков аналогично Ла-5ФН можно было бы получить прирост лет</w:t>
      </w:r>
      <w:r w:rsidRPr="00D03F3E">
        <w:rPr>
          <w:rFonts w:ascii="Times New Roman" w:hAnsi="Times New Roman"/>
          <w:color w:val="000000" w:themeColor="text1"/>
          <w:sz w:val="16"/>
          <w:szCs w:val="16"/>
        </w:rPr>
        <w:softHyphen/>
        <w:t>ных данных и при моторе М-82Ф. Видимо считалось, что параллельный выпуск обоих модификаций продлит</w:t>
      </w:r>
      <w:r w:rsidRPr="00D03F3E">
        <w:rPr>
          <w:rFonts w:ascii="Times New Roman" w:hAnsi="Times New Roman"/>
          <w:color w:val="000000" w:themeColor="text1"/>
          <w:sz w:val="16"/>
          <w:szCs w:val="16"/>
        </w:rPr>
        <w:softHyphen/>
        <w:t>ся недолго (10705).</w:t>
      </w:r>
    </w:p>
    <w:p w14:paraId="1655FB8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9E351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когда после Сталинградской битвы Красная Армия на ряде направлений начала быстро продвигаться вперед, наземные службы стали не успевать готовить аэродромы и возникала опасность отрыва истребительной авиации от сухопутных войск решили, что эту проблему в период весенней и осенней распутицы можно решить с помощью истребителя с боль</w:t>
      </w:r>
      <w:r w:rsidRPr="00D03F3E">
        <w:rPr>
          <w:rFonts w:ascii="Times New Roman" w:hAnsi="Times New Roman"/>
          <w:color w:val="000000" w:themeColor="text1"/>
          <w:sz w:val="16"/>
          <w:szCs w:val="16"/>
        </w:rPr>
        <w:softHyphen/>
        <w:t>шой дальностью полета, способного действо</w:t>
      </w:r>
      <w:r w:rsidRPr="00D03F3E">
        <w:rPr>
          <w:rFonts w:ascii="Times New Roman" w:hAnsi="Times New Roman"/>
          <w:color w:val="000000" w:themeColor="text1"/>
          <w:sz w:val="16"/>
          <w:szCs w:val="16"/>
        </w:rPr>
        <w:softHyphen/>
        <w:t>вать со старых баз, КБ Яковле</w:t>
      </w:r>
      <w:r w:rsidRPr="00D03F3E">
        <w:rPr>
          <w:rFonts w:ascii="Times New Roman" w:hAnsi="Times New Roman"/>
          <w:color w:val="000000" w:themeColor="text1"/>
          <w:sz w:val="16"/>
          <w:szCs w:val="16"/>
        </w:rPr>
        <w:softHyphen/>
        <w:t>ва выпустило на испытания такую машину, по</w:t>
      </w:r>
      <w:r w:rsidRPr="00D03F3E">
        <w:rPr>
          <w:rFonts w:ascii="Times New Roman" w:hAnsi="Times New Roman"/>
          <w:color w:val="000000" w:themeColor="text1"/>
          <w:sz w:val="16"/>
          <w:szCs w:val="16"/>
        </w:rPr>
        <w:softHyphen/>
        <w:t>лучившую обозначение Як-9Д. Она отличалась увеличенным запасом топлива, которое теперь размещалось не в двух баках, как на Як-9, а в четырех: двух корневых по 208 л и двух кон</w:t>
      </w:r>
      <w:r w:rsidRPr="00D03F3E">
        <w:rPr>
          <w:rFonts w:ascii="Times New Roman" w:hAnsi="Times New Roman"/>
          <w:color w:val="000000" w:themeColor="text1"/>
          <w:sz w:val="16"/>
          <w:szCs w:val="16"/>
        </w:rPr>
        <w:softHyphen/>
        <w:t>сольных по 117 л. Масса топлива возросла с 320 до 480 кг, то есть стала почти такой же, как у опытного Як-7ДИ. Во всем остальном Як-9Д был подобен Як-9. Производство Як-9Д началось в марте 1943 г. (вместо Як-9) и продолжалось до мая 1944 г. Всего выпустили 3068 таких истребите</w:t>
      </w:r>
      <w:r w:rsidRPr="00D03F3E">
        <w:rPr>
          <w:rFonts w:ascii="Times New Roman" w:hAnsi="Times New Roman"/>
          <w:color w:val="000000" w:themeColor="text1"/>
          <w:sz w:val="16"/>
          <w:szCs w:val="16"/>
        </w:rPr>
        <w:softHyphen/>
        <w:t>лей. Часто при обозначении этого самолета в войсках, да и во многих официальных доку</w:t>
      </w:r>
      <w:r w:rsidRPr="00D03F3E">
        <w:rPr>
          <w:rFonts w:ascii="Times New Roman" w:hAnsi="Times New Roman"/>
          <w:color w:val="000000" w:themeColor="text1"/>
          <w:sz w:val="16"/>
          <w:szCs w:val="16"/>
        </w:rPr>
        <w:softHyphen/>
        <w:t>ментах, индекс «Д» опускали, называя его просто Як-9 (10712). Отношение фронтовых летчиков к этой ма</w:t>
      </w:r>
      <w:r w:rsidRPr="00D03F3E">
        <w:rPr>
          <w:rFonts w:ascii="Times New Roman" w:hAnsi="Times New Roman"/>
          <w:color w:val="000000" w:themeColor="text1"/>
          <w:sz w:val="16"/>
          <w:szCs w:val="16"/>
        </w:rPr>
        <w:softHyphen/>
        <w:t>шине оказалось неоднозначным. С одной сто</w:t>
      </w:r>
      <w:r w:rsidRPr="00D03F3E">
        <w:rPr>
          <w:rFonts w:ascii="Times New Roman" w:hAnsi="Times New Roman"/>
          <w:color w:val="000000" w:themeColor="text1"/>
          <w:sz w:val="16"/>
          <w:szCs w:val="16"/>
        </w:rPr>
        <w:softHyphen/>
        <w:t>роны, самолет приобрел новое качество — по</w:t>
      </w:r>
      <w:r w:rsidRPr="00D03F3E">
        <w:rPr>
          <w:rFonts w:ascii="Times New Roman" w:hAnsi="Times New Roman"/>
          <w:color w:val="000000" w:themeColor="text1"/>
          <w:sz w:val="16"/>
          <w:szCs w:val="16"/>
        </w:rPr>
        <w:softHyphen/>
        <w:t>вышенную дальность, что позволяло выпол</w:t>
      </w:r>
      <w:r w:rsidRPr="00D03F3E">
        <w:rPr>
          <w:rFonts w:ascii="Times New Roman" w:hAnsi="Times New Roman"/>
          <w:color w:val="000000" w:themeColor="text1"/>
          <w:sz w:val="16"/>
          <w:szCs w:val="16"/>
        </w:rPr>
        <w:softHyphen/>
        <w:t>нять задачи, недоступные другим истребителям. Но с другой, став основным истребителем ВВС РККА, Як-9Д гораздо чаще привлекался к решению традиционных такти</w:t>
      </w:r>
      <w:r w:rsidRPr="00D03F3E">
        <w:rPr>
          <w:rFonts w:ascii="Times New Roman" w:hAnsi="Times New Roman"/>
          <w:color w:val="000000" w:themeColor="text1"/>
          <w:sz w:val="16"/>
          <w:szCs w:val="16"/>
        </w:rPr>
        <w:softHyphen/>
        <w:t>ческих задач и применялся совместно с само</w:t>
      </w:r>
      <w:r w:rsidRPr="00D03F3E">
        <w:rPr>
          <w:rFonts w:ascii="Times New Roman" w:hAnsi="Times New Roman"/>
          <w:color w:val="000000" w:themeColor="text1"/>
          <w:sz w:val="16"/>
          <w:szCs w:val="16"/>
        </w:rPr>
        <w:softHyphen/>
        <w:t>летами, не отличавшимися большой дальнос</w:t>
      </w:r>
      <w:r w:rsidRPr="00D03F3E">
        <w:rPr>
          <w:rFonts w:ascii="Times New Roman" w:hAnsi="Times New Roman"/>
          <w:color w:val="000000" w:themeColor="text1"/>
          <w:sz w:val="16"/>
          <w:szCs w:val="16"/>
        </w:rPr>
        <w:softHyphen/>
        <w:t>тью полета. Таким образом, в большинстве случаев увеличенный запас топлива Як-9Д ока</w:t>
      </w:r>
      <w:r w:rsidRPr="00D03F3E">
        <w:rPr>
          <w:rFonts w:ascii="Times New Roman" w:hAnsi="Times New Roman"/>
          <w:color w:val="000000" w:themeColor="text1"/>
          <w:sz w:val="16"/>
          <w:szCs w:val="16"/>
        </w:rPr>
        <w:softHyphen/>
        <w:t>зывался не нужен и, более того, вреден, пос</w:t>
      </w:r>
      <w:r w:rsidRPr="00D03F3E">
        <w:rPr>
          <w:rFonts w:ascii="Times New Roman" w:hAnsi="Times New Roman"/>
          <w:color w:val="000000" w:themeColor="text1"/>
          <w:sz w:val="16"/>
          <w:szCs w:val="16"/>
        </w:rPr>
        <w:softHyphen/>
        <w:t>кольку становился просто балластом, да к тому же уменьшал живучесть истребителя. При пол</w:t>
      </w:r>
      <w:r w:rsidRPr="00D03F3E">
        <w:rPr>
          <w:rFonts w:ascii="Times New Roman" w:hAnsi="Times New Roman"/>
          <w:color w:val="000000" w:themeColor="text1"/>
          <w:sz w:val="16"/>
          <w:szCs w:val="16"/>
        </w:rPr>
        <w:softHyphen/>
        <w:t xml:space="preserve">ных баках, </w:t>
      </w:r>
      <w:r w:rsidRPr="00D03F3E">
        <w:rPr>
          <w:rFonts w:ascii="Times New Roman" w:hAnsi="Times New Roman"/>
          <w:iCs/>
          <w:color w:val="000000" w:themeColor="text1"/>
          <w:sz w:val="16"/>
          <w:szCs w:val="16"/>
        </w:rPr>
        <w:t xml:space="preserve">а </w:t>
      </w:r>
      <w:r w:rsidRPr="00D03F3E">
        <w:rPr>
          <w:rFonts w:ascii="Times New Roman" w:hAnsi="Times New Roman"/>
          <w:color w:val="000000" w:themeColor="text1"/>
          <w:sz w:val="16"/>
          <w:szCs w:val="16"/>
        </w:rPr>
        <w:t>именно так заправляли самолеты на фронте, Як-9Д в воздухе становился гораздо более инертным, чем Як-9, и во многом терял маневренные качества, особенно в вертикаль</w:t>
      </w:r>
      <w:r w:rsidRPr="00D03F3E">
        <w:rPr>
          <w:rFonts w:ascii="Times New Roman" w:hAnsi="Times New Roman"/>
          <w:color w:val="000000" w:themeColor="text1"/>
          <w:sz w:val="16"/>
          <w:szCs w:val="16"/>
        </w:rPr>
        <w:softHyphen/>
        <w:t>ной плоскости. Создатели этого истребителя и не рассчитывали, что их машина будет во</w:t>
      </w:r>
      <w:r w:rsidRPr="00D03F3E">
        <w:rPr>
          <w:rFonts w:ascii="Times New Roman" w:hAnsi="Times New Roman"/>
          <w:color w:val="000000" w:themeColor="text1"/>
          <w:sz w:val="16"/>
          <w:szCs w:val="16"/>
        </w:rPr>
        <w:softHyphen/>
        <w:t>евать с полными баками, ведь при полете на большую дальность к моменту предпо</w:t>
      </w:r>
      <w:r w:rsidRPr="00D03F3E">
        <w:rPr>
          <w:rFonts w:ascii="Times New Roman" w:hAnsi="Times New Roman"/>
          <w:color w:val="000000" w:themeColor="text1"/>
          <w:sz w:val="16"/>
          <w:szCs w:val="16"/>
        </w:rPr>
        <w:softHyphen/>
        <w:t>лагаемой встречи с противником изрядная доля топлива должна быть израсходован</w:t>
      </w:r>
      <w:r w:rsidRPr="00D03F3E">
        <w:rPr>
          <w:rFonts w:ascii="Times New Roman" w:hAnsi="Times New Roman"/>
          <w:color w:val="000000" w:themeColor="text1"/>
          <w:sz w:val="16"/>
          <w:szCs w:val="16"/>
        </w:rPr>
        <w:softHyphen/>
        <w:t>ной, а характеристики самолета стать та</w:t>
      </w:r>
      <w:r w:rsidRPr="00D03F3E">
        <w:rPr>
          <w:rFonts w:ascii="Times New Roman" w:hAnsi="Times New Roman"/>
          <w:color w:val="000000" w:themeColor="text1"/>
          <w:sz w:val="16"/>
          <w:szCs w:val="16"/>
        </w:rPr>
        <w:softHyphen/>
        <w:t>кими же, как у Як-9. Боевые реалии заста</w:t>
      </w:r>
      <w:r w:rsidRPr="00D03F3E">
        <w:rPr>
          <w:rFonts w:ascii="Times New Roman" w:hAnsi="Times New Roman"/>
          <w:color w:val="000000" w:themeColor="text1"/>
          <w:sz w:val="16"/>
          <w:szCs w:val="16"/>
        </w:rPr>
        <w:softHyphen/>
        <w:t>вили фронтовиков добиваться жизненно необходимой маневренности своими си</w:t>
      </w:r>
      <w:r w:rsidRPr="00D03F3E">
        <w:rPr>
          <w:rFonts w:ascii="Times New Roman" w:hAnsi="Times New Roman"/>
          <w:color w:val="000000" w:themeColor="text1"/>
          <w:sz w:val="16"/>
          <w:szCs w:val="16"/>
        </w:rPr>
        <w:softHyphen/>
        <w:t>лами, и вскоре, чтобы не заполнять кон</w:t>
      </w:r>
      <w:r w:rsidRPr="00D03F3E">
        <w:rPr>
          <w:rFonts w:ascii="Times New Roman" w:hAnsi="Times New Roman"/>
          <w:color w:val="000000" w:themeColor="text1"/>
          <w:sz w:val="16"/>
          <w:szCs w:val="16"/>
        </w:rPr>
        <w:softHyphen/>
        <w:t>сольные баки Як-9Д топливом, на них ста</w:t>
      </w:r>
      <w:r w:rsidRPr="00D03F3E">
        <w:rPr>
          <w:rFonts w:ascii="Times New Roman" w:hAnsi="Times New Roman"/>
          <w:color w:val="000000" w:themeColor="text1"/>
          <w:sz w:val="16"/>
          <w:szCs w:val="16"/>
        </w:rPr>
        <w:softHyphen/>
        <w:t>ли устанавливать заглушки. В частности, подобным образом поступали в полку «Нормандия», на вооружении которого ле</w:t>
      </w:r>
      <w:r w:rsidRPr="00D03F3E">
        <w:rPr>
          <w:rFonts w:ascii="Times New Roman" w:hAnsi="Times New Roman"/>
          <w:color w:val="000000" w:themeColor="text1"/>
          <w:sz w:val="16"/>
          <w:szCs w:val="16"/>
        </w:rPr>
        <w:softHyphen/>
        <w:t>том 1943 г. находились Як-9 и Як-9Д (10712).</w:t>
      </w:r>
    </w:p>
    <w:p w14:paraId="7F679A2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91D276" w14:textId="77777777" w:rsidR="00BD4344" w:rsidRPr="00D03F3E" w:rsidRDefault="00BD434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нача</w:t>
      </w:r>
      <w:r w:rsidRPr="00D03F3E">
        <w:rPr>
          <w:rFonts w:ascii="Times New Roman" w:cs="Times New Roman"/>
          <w:color w:val="000000" w:themeColor="text1"/>
          <w:spacing w:val="0"/>
        </w:rPr>
        <w:softHyphen/>
        <w:t>ле 1943 г. Опытный образец построили Як-9Д.</w:t>
      </w:r>
    </w:p>
    <w:p w14:paraId="2943E24B" w14:textId="77777777" w:rsidR="00BD4344" w:rsidRPr="00D03F3E" w:rsidRDefault="00BD434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На Як-9Д с увели</w:t>
      </w:r>
      <w:r w:rsidRPr="00D03F3E">
        <w:rPr>
          <w:rFonts w:ascii="Times New Roman" w:cs="Times New Roman"/>
          <w:color w:val="000000" w:themeColor="text1"/>
          <w:spacing w:val="0"/>
        </w:rPr>
        <w:softHyphen/>
        <w:t>ченной дальностью довели запас топлива до 650 л. Дополнительные баки по 117 л разместили в крыле. Увеличился с 25 до 48 кг и запас масла. Полётный вес машины с прежним вооружением возрос до 3117 кг.</w:t>
      </w:r>
    </w:p>
    <w:p w14:paraId="2C4D2087" w14:textId="77777777" w:rsidR="00BD4344" w:rsidRPr="00D03F3E" w:rsidRDefault="00BD434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Одновременно по рекомендации ЦАГИ улучшили отделку передней кромки крыла и фюзеляжа, заделав многочисленные щели. В итоге, дальность возросла в зависимос</w:t>
      </w:r>
      <w:r w:rsidRPr="00D03F3E">
        <w:rPr>
          <w:rFonts w:ascii="Times New Roman" w:cs="Times New Roman"/>
          <w:color w:val="000000" w:themeColor="text1"/>
          <w:spacing w:val="0"/>
        </w:rPr>
        <w:softHyphen/>
        <w:t>ти от режима полёта до 875 - 1360 км, а продолжительность пребывания в возду</w:t>
      </w:r>
      <w:r w:rsidRPr="00D03F3E">
        <w:rPr>
          <w:rFonts w:ascii="Times New Roman" w:cs="Times New Roman"/>
          <w:color w:val="000000" w:themeColor="text1"/>
          <w:spacing w:val="0"/>
        </w:rPr>
        <w:softHyphen/>
        <w:t>хе - до 4,5 ч. В то же время манёвренность, скороподъёмность и потолок истребителя ухудшились.</w:t>
      </w:r>
    </w:p>
    <w:p w14:paraId="25E5A73F" w14:textId="77777777" w:rsidR="00BD4344" w:rsidRPr="00D03F3E" w:rsidRDefault="00BD434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14 января 1943 машину передали в НИИ ВВС. Ведущими на госиспытаниях, завершивших</w:t>
      </w:r>
      <w:r w:rsidRPr="00D03F3E">
        <w:rPr>
          <w:rFonts w:ascii="Times New Roman" w:cs="Times New Roman"/>
          <w:color w:val="000000" w:themeColor="text1"/>
          <w:spacing w:val="0"/>
        </w:rPr>
        <w:softHyphen/>
        <w:t>ся 28 февраля, являлись лётчик В.Е. Голо- фастов и инженер И.Г. Рабкин. Помимо уже отмеченных преимуществ и недостатков машины, в акте НИИ отметили скудность пилотажно-навигационного оборудования, указали на отсутствие радиополукомпаса и авиагоризонта, необходимых для полётов на расстояние до 10ОО км. Мала оказалась и дальность радиосвязи - не более 60 км.</w:t>
      </w:r>
    </w:p>
    <w:p w14:paraId="764DEB4F" w14:textId="77777777" w:rsidR="00BD4344" w:rsidRPr="00D03F3E" w:rsidRDefault="00BD434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Тогда же провели несколько воздушных боёв с «трёхточечным» </w:t>
      </w:r>
      <w:r w:rsidRPr="00D03F3E">
        <w:rPr>
          <w:rFonts w:ascii="Times New Roman" w:cs="Times New Roman"/>
          <w:color w:val="000000" w:themeColor="text1"/>
          <w:spacing w:val="0"/>
          <w:lang w:val="en-US"/>
        </w:rPr>
        <w:t>Bf</w:t>
      </w:r>
      <w:r w:rsidRPr="00D03F3E">
        <w:rPr>
          <w:rFonts w:ascii="Times New Roman" w:cs="Times New Roman"/>
          <w:color w:val="000000" w:themeColor="text1"/>
          <w:spacing w:val="0"/>
        </w:rPr>
        <w:t xml:space="preserve"> 109</w:t>
      </w:r>
      <w:r w:rsidRPr="00D03F3E">
        <w:rPr>
          <w:rFonts w:ascii="Times New Roman" w:cs="Times New Roman"/>
          <w:color w:val="000000" w:themeColor="text1"/>
          <w:spacing w:val="0"/>
          <w:lang w:val="en-US"/>
        </w:rPr>
        <w:t>G</w:t>
      </w:r>
      <w:r w:rsidRPr="00D03F3E">
        <w:rPr>
          <w:rFonts w:ascii="Times New Roman" w:cs="Times New Roman"/>
          <w:color w:val="000000" w:themeColor="text1"/>
          <w:spacing w:val="0"/>
        </w:rPr>
        <w:t>-2, показа</w:t>
      </w:r>
      <w:r w:rsidRPr="00D03F3E">
        <w:rPr>
          <w:rFonts w:ascii="Times New Roman" w:cs="Times New Roman"/>
          <w:color w:val="000000" w:themeColor="text1"/>
          <w:spacing w:val="0"/>
        </w:rPr>
        <w:softHyphen/>
        <w:t>вших, что на высотах до 3500 м Як-9Д имел значительное преимущество в горизонталь</w:t>
      </w:r>
      <w:r w:rsidRPr="00D03F3E">
        <w:rPr>
          <w:rFonts w:ascii="Times New Roman" w:cs="Times New Roman"/>
          <w:color w:val="000000" w:themeColor="text1"/>
          <w:spacing w:val="0"/>
        </w:rPr>
        <w:softHyphen/>
        <w:t>ном манёвре перед «немцем». К концу вто</w:t>
      </w:r>
      <w:r w:rsidRPr="00D03F3E">
        <w:rPr>
          <w:rFonts w:ascii="Times New Roman" w:cs="Times New Roman"/>
          <w:color w:val="000000" w:themeColor="text1"/>
          <w:spacing w:val="0"/>
        </w:rPr>
        <w:softHyphen/>
        <w:t>рого правого виража «як» заходил в хвост «противнику» на дистанцию прицельного огня. При выполнении левых виражей Як-9Д проделывал это через два-три виража.</w:t>
      </w:r>
    </w:p>
    <w:p w14:paraId="26492438" w14:textId="77777777" w:rsidR="00BD4344" w:rsidRPr="00D03F3E" w:rsidRDefault="00BD434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lastRenderedPageBreak/>
        <w:t>На высотах от 3500 до 5500 м данное преимущество постепенно уменьшалось и на 5500 м самолёты становились равноцен</w:t>
      </w:r>
      <w:r w:rsidRPr="00D03F3E">
        <w:rPr>
          <w:rFonts w:ascii="Times New Roman" w:cs="Times New Roman"/>
          <w:color w:val="000000" w:themeColor="text1"/>
          <w:spacing w:val="0"/>
        </w:rPr>
        <w:softHyphen/>
        <w:t xml:space="preserve">ными. На больших высотах превосходство оказывалось уже у </w:t>
      </w:r>
      <w:r w:rsidRPr="00D03F3E">
        <w:rPr>
          <w:rFonts w:ascii="Times New Roman" w:cs="Times New Roman"/>
          <w:color w:val="000000" w:themeColor="text1"/>
          <w:spacing w:val="0"/>
          <w:lang w:val="en-US"/>
        </w:rPr>
        <w:t>Bf</w:t>
      </w:r>
      <w:r w:rsidRPr="00D03F3E">
        <w:rPr>
          <w:rFonts w:ascii="Times New Roman" w:cs="Times New Roman"/>
          <w:color w:val="000000" w:themeColor="text1"/>
          <w:spacing w:val="0"/>
        </w:rPr>
        <w:t xml:space="preserve"> 109</w:t>
      </w:r>
      <w:r w:rsidRPr="00D03F3E">
        <w:rPr>
          <w:rFonts w:ascii="Times New Roman" w:cs="Times New Roman"/>
          <w:color w:val="000000" w:themeColor="text1"/>
          <w:spacing w:val="0"/>
          <w:lang w:val="en-US"/>
        </w:rPr>
        <w:t>G</w:t>
      </w:r>
      <w:r w:rsidRPr="00D03F3E">
        <w:rPr>
          <w:rFonts w:ascii="Times New Roman" w:cs="Times New Roman"/>
          <w:color w:val="000000" w:themeColor="text1"/>
          <w:spacing w:val="0"/>
        </w:rPr>
        <w:t>-2. На высоте 7500 м «немец» заходил в хвост «яку» через два-три виража.</w:t>
      </w:r>
    </w:p>
    <w:p w14:paraId="5EFF4F2F" w14:textId="77777777" w:rsidR="00BD4344" w:rsidRPr="00D03F3E" w:rsidRDefault="00BD434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На вертикалях Як-9Д имел незначитель</w:t>
      </w:r>
      <w:r w:rsidRPr="00D03F3E">
        <w:rPr>
          <w:rFonts w:ascii="Times New Roman" w:cs="Times New Roman"/>
          <w:color w:val="000000" w:themeColor="text1"/>
          <w:spacing w:val="0"/>
        </w:rPr>
        <w:softHyphen/>
        <w:t>ное преимущество лишь до высоты 2000 м, и то в случае комбинации вертикального и горизонтального манёвра. На высотах от 2000 до 3500 м разницы практически не наблюдалось, но выше инициатива перехо</w:t>
      </w:r>
      <w:r w:rsidRPr="00D03F3E">
        <w:rPr>
          <w:rFonts w:ascii="Times New Roman" w:cs="Times New Roman"/>
          <w:color w:val="000000" w:themeColor="text1"/>
          <w:spacing w:val="0"/>
        </w:rPr>
        <w:softHyphen/>
        <w:t xml:space="preserve">дила к «немцу». Уходил </w:t>
      </w:r>
      <w:r w:rsidRPr="00D03F3E">
        <w:rPr>
          <w:rFonts w:ascii="Times New Roman" w:cs="Times New Roman"/>
          <w:color w:val="000000" w:themeColor="text1"/>
          <w:spacing w:val="0"/>
          <w:lang w:val="en-US"/>
        </w:rPr>
        <w:t>Bf</w:t>
      </w:r>
      <w:r w:rsidRPr="00D03F3E">
        <w:rPr>
          <w:rFonts w:ascii="Times New Roman" w:cs="Times New Roman"/>
          <w:color w:val="000000" w:themeColor="text1"/>
          <w:spacing w:val="0"/>
        </w:rPr>
        <w:t xml:space="preserve"> 109</w:t>
      </w:r>
      <w:r w:rsidRPr="00D03F3E">
        <w:rPr>
          <w:rFonts w:ascii="Times New Roman" w:cs="Times New Roman"/>
          <w:color w:val="000000" w:themeColor="text1"/>
          <w:spacing w:val="0"/>
          <w:lang w:val="en-US"/>
        </w:rPr>
        <w:t>G</w:t>
      </w:r>
      <w:r w:rsidRPr="00D03F3E">
        <w:rPr>
          <w:rFonts w:ascii="Times New Roman" w:cs="Times New Roman"/>
          <w:color w:val="000000" w:themeColor="text1"/>
          <w:spacing w:val="0"/>
        </w:rPr>
        <w:t xml:space="preserve">-2 от «яка» и на пикировании. В итоге, пришли к выводу, что Як-9Д до высоты 5000 м может успешно вести наступательный бой против </w:t>
      </w:r>
      <w:r w:rsidRPr="00D03F3E">
        <w:rPr>
          <w:rFonts w:ascii="Times New Roman" w:cs="Times New Roman"/>
          <w:color w:val="000000" w:themeColor="text1"/>
          <w:spacing w:val="0"/>
          <w:lang w:val="en-US"/>
        </w:rPr>
        <w:t>Bf</w:t>
      </w:r>
      <w:r w:rsidRPr="00D03F3E">
        <w:rPr>
          <w:rFonts w:ascii="Times New Roman" w:cs="Times New Roman"/>
          <w:color w:val="000000" w:themeColor="text1"/>
          <w:spacing w:val="0"/>
        </w:rPr>
        <w:t xml:space="preserve"> 109</w:t>
      </w:r>
      <w:r w:rsidRPr="00D03F3E">
        <w:rPr>
          <w:rFonts w:ascii="Times New Roman" w:cs="Times New Roman"/>
          <w:color w:val="000000" w:themeColor="text1"/>
          <w:spacing w:val="0"/>
          <w:lang w:val="en-US"/>
        </w:rPr>
        <w:t>G</w:t>
      </w:r>
      <w:r w:rsidRPr="00D03F3E">
        <w:rPr>
          <w:rFonts w:ascii="Times New Roman" w:cs="Times New Roman"/>
          <w:color w:val="000000" w:themeColor="text1"/>
          <w:spacing w:val="0"/>
        </w:rPr>
        <w:t>-2, применяя комбинированный манёвр в гори</w:t>
      </w:r>
      <w:r w:rsidRPr="00D03F3E">
        <w:rPr>
          <w:rFonts w:ascii="Times New Roman" w:cs="Times New Roman"/>
          <w:color w:val="000000" w:themeColor="text1"/>
          <w:spacing w:val="0"/>
        </w:rPr>
        <w:softHyphen/>
        <w:t>зонтальной и вертикальной плоскостях.</w:t>
      </w:r>
    </w:p>
    <w:p w14:paraId="038DABEC" w14:textId="77777777" w:rsidR="00BD4344" w:rsidRPr="00D03F3E" w:rsidRDefault="00BD434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Модификацию Д, не мешкая, запустили в серийное производство. С марта 1943 г. по июнь 1946 г. выпустили 3058 истребителей Як-9Д (19103).</w:t>
      </w:r>
    </w:p>
    <w:p w14:paraId="6D093B26" w14:textId="77777777" w:rsidR="00BD4344" w:rsidRPr="00D03F3E" w:rsidRDefault="00BD4344" w:rsidP="00D03F3E">
      <w:pPr>
        <w:pStyle w:val="27"/>
        <w:shd w:val="clear" w:color="auto" w:fill="auto"/>
        <w:spacing w:after="0" w:line="240" w:lineRule="auto"/>
        <w:ind w:firstLine="0"/>
        <w:rPr>
          <w:rFonts w:ascii="Times New Roman" w:cs="Times New Roman"/>
          <w:color w:val="000000" w:themeColor="text1"/>
          <w:spacing w:val="0"/>
        </w:rPr>
      </w:pPr>
    </w:p>
    <w:p w14:paraId="162F0669" w14:textId="77777777" w:rsidR="002036A8" w:rsidRPr="00D03F3E" w:rsidRDefault="002036A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после проведения тщательных исследований Ла-5 в аэродинамических трубах, ЦАГИ выдал ОКБ Лавочкина целый ряд рекомендаций по неиспользованным резервам в области аэродинамики. Часть из них успели внедрить в серию тогда же на Ла-5ФН: это улучшенные всасывающий и выхлопные патрубки. Но на самом деле ре</w:t>
      </w:r>
      <w:r w:rsidRPr="00D03F3E">
        <w:rPr>
          <w:rFonts w:ascii="Times New Roman" w:hAnsi="Times New Roman"/>
          <w:color w:val="000000" w:themeColor="text1"/>
          <w:sz w:val="16"/>
          <w:szCs w:val="16"/>
        </w:rPr>
        <w:softHyphen/>
        <w:t>комендации ЦАГИ оказались гораздо шире. Так, учёные показали, что расположение маслорадиатора под фюзеляжем (за 5-м шпангоутом) в специально спрофилированном туннеле снижает его лобовое сопротивление в 2 раза и обеспечивает расход воздуха через радиатор на 25-30% больший, чем при серийном варианте (15829).</w:t>
      </w:r>
    </w:p>
    <w:p w14:paraId="2515A950" w14:textId="77777777" w:rsidR="002036A8" w:rsidRPr="00D03F3E" w:rsidRDefault="002036A8" w:rsidP="00D03F3E">
      <w:pPr>
        <w:spacing w:after="0" w:line="240" w:lineRule="auto"/>
        <w:jc w:val="both"/>
        <w:rPr>
          <w:rFonts w:ascii="Times New Roman" w:hAnsi="Times New Roman"/>
          <w:color w:val="000000" w:themeColor="text1"/>
          <w:sz w:val="16"/>
          <w:szCs w:val="16"/>
        </w:rPr>
      </w:pPr>
    </w:p>
    <w:p w14:paraId="4B0D1A4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года, пос</w:t>
      </w:r>
      <w:r w:rsidRPr="00D03F3E">
        <w:rPr>
          <w:rFonts w:ascii="Times New Roman" w:hAnsi="Times New Roman"/>
          <w:color w:val="000000" w:themeColor="text1"/>
          <w:sz w:val="16"/>
          <w:szCs w:val="16"/>
        </w:rPr>
        <w:softHyphen/>
        <w:t>ле проведения тщательных исследо</w:t>
      </w:r>
      <w:r w:rsidRPr="00D03F3E">
        <w:rPr>
          <w:rFonts w:ascii="Times New Roman" w:hAnsi="Times New Roman"/>
          <w:color w:val="000000" w:themeColor="text1"/>
          <w:sz w:val="16"/>
          <w:szCs w:val="16"/>
        </w:rPr>
        <w:softHyphen/>
        <w:t>ваний Ла-5 в аэродинамических тру</w:t>
      </w:r>
      <w:r w:rsidRPr="00D03F3E">
        <w:rPr>
          <w:rFonts w:ascii="Times New Roman" w:hAnsi="Times New Roman"/>
          <w:color w:val="000000" w:themeColor="text1"/>
          <w:sz w:val="16"/>
          <w:szCs w:val="16"/>
        </w:rPr>
        <w:softHyphen/>
        <w:t>бах, ЦАГИ выдал ОКБ Лавочкина це</w:t>
      </w:r>
      <w:r w:rsidRPr="00D03F3E">
        <w:rPr>
          <w:rFonts w:ascii="Times New Roman" w:hAnsi="Times New Roman"/>
          <w:color w:val="000000" w:themeColor="text1"/>
          <w:sz w:val="16"/>
          <w:szCs w:val="16"/>
        </w:rPr>
        <w:softHyphen/>
        <w:t>лый ряд рекомендаций по неисполь</w:t>
      </w:r>
      <w:r w:rsidRPr="00D03F3E">
        <w:rPr>
          <w:rFonts w:ascii="Times New Roman" w:hAnsi="Times New Roman"/>
          <w:color w:val="000000" w:themeColor="text1"/>
          <w:sz w:val="16"/>
          <w:szCs w:val="16"/>
        </w:rPr>
        <w:softHyphen/>
        <w:t>зованным резервам в области аэро</w:t>
      </w:r>
      <w:r w:rsidRPr="00D03F3E">
        <w:rPr>
          <w:rFonts w:ascii="Times New Roman" w:hAnsi="Times New Roman"/>
          <w:color w:val="000000" w:themeColor="text1"/>
          <w:sz w:val="16"/>
          <w:szCs w:val="16"/>
        </w:rPr>
        <w:softHyphen/>
        <w:t>динамики. Часть из них успели вне</w:t>
      </w:r>
      <w:r w:rsidRPr="00D03F3E">
        <w:rPr>
          <w:rFonts w:ascii="Times New Roman" w:hAnsi="Times New Roman"/>
          <w:color w:val="000000" w:themeColor="text1"/>
          <w:sz w:val="16"/>
          <w:szCs w:val="16"/>
        </w:rPr>
        <w:softHyphen/>
        <w:t>дрить в серию тогда же на Ла-5ФН: это улучшенные всасывающий и вых</w:t>
      </w:r>
      <w:r w:rsidRPr="00D03F3E">
        <w:rPr>
          <w:rFonts w:ascii="Times New Roman" w:hAnsi="Times New Roman"/>
          <w:color w:val="000000" w:themeColor="text1"/>
          <w:sz w:val="16"/>
          <w:szCs w:val="16"/>
        </w:rPr>
        <w:softHyphen/>
        <w:t>лопные патрубки. Но на самом деле рекомендации ЦАГИ были го</w:t>
      </w:r>
      <w:r w:rsidRPr="00D03F3E">
        <w:rPr>
          <w:rFonts w:ascii="Times New Roman" w:hAnsi="Times New Roman"/>
          <w:color w:val="000000" w:themeColor="text1"/>
          <w:sz w:val="16"/>
          <w:szCs w:val="16"/>
        </w:rPr>
        <w:softHyphen/>
        <w:t>раздо шире. Так было показа</w:t>
      </w:r>
      <w:r w:rsidRPr="00D03F3E">
        <w:rPr>
          <w:rFonts w:ascii="Times New Roman" w:hAnsi="Times New Roman"/>
          <w:color w:val="000000" w:themeColor="text1"/>
          <w:sz w:val="16"/>
          <w:szCs w:val="16"/>
        </w:rPr>
        <w:softHyphen/>
        <w:t>но, что расположение маслора-диатора под фюзеляжем (за 5-м шпангоутом) в специально спрофилированном туннеле снижает его лобовое сопротив</w:t>
      </w:r>
      <w:r w:rsidRPr="00D03F3E">
        <w:rPr>
          <w:rFonts w:ascii="Times New Roman" w:hAnsi="Times New Roman"/>
          <w:color w:val="000000" w:themeColor="text1"/>
          <w:sz w:val="16"/>
          <w:szCs w:val="16"/>
        </w:rPr>
        <w:softHyphen/>
        <w:t>ление в 2 раза и обеспечива</w:t>
      </w:r>
      <w:r w:rsidRPr="00D03F3E">
        <w:rPr>
          <w:rFonts w:ascii="Times New Roman" w:hAnsi="Times New Roman"/>
          <w:color w:val="000000" w:themeColor="text1"/>
          <w:sz w:val="16"/>
          <w:szCs w:val="16"/>
        </w:rPr>
        <w:softHyphen/>
        <w:t>ет расход воздуха через ради</w:t>
      </w:r>
      <w:r w:rsidRPr="00D03F3E">
        <w:rPr>
          <w:rFonts w:ascii="Times New Roman" w:hAnsi="Times New Roman"/>
          <w:color w:val="000000" w:themeColor="text1"/>
          <w:sz w:val="16"/>
          <w:szCs w:val="16"/>
        </w:rPr>
        <w:softHyphen/>
        <w:t>атор на 25-30% больший, чем при серийном варианте. Кроме того, для устранения преждевременного срыва обте</w:t>
      </w:r>
      <w:r w:rsidRPr="00D03F3E">
        <w:rPr>
          <w:rFonts w:ascii="Times New Roman" w:hAnsi="Times New Roman"/>
          <w:color w:val="000000" w:themeColor="text1"/>
          <w:sz w:val="16"/>
          <w:szCs w:val="16"/>
        </w:rPr>
        <w:softHyphen/>
        <w:t>кания с центроплана и улуч</w:t>
      </w:r>
      <w:r w:rsidRPr="00D03F3E">
        <w:rPr>
          <w:rFonts w:ascii="Times New Roman" w:hAnsi="Times New Roman"/>
          <w:color w:val="000000" w:themeColor="text1"/>
          <w:sz w:val="16"/>
          <w:szCs w:val="16"/>
        </w:rPr>
        <w:softHyphen/>
        <w:t>шения маневренных качеств самолета было рекомендовано изменить конструкцию боковых створок капота, восстановить ранее принятый при проекти</w:t>
      </w:r>
      <w:r w:rsidRPr="00D03F3E">
        <w:rPr>
          <w:rFonts w:ascii="Times New Roman" w:hAnsi="Times New Roman"/>
          <w:color w:val="000000" w:themeColor="text1"/>
          <w:sz w:val="16"/>
          <w:szCs w:val="16"/>
        </w:rPr>
        <w:softHyphen/>
        <w:t>ровании профиль NАСА-230 в центроплане путем спрямления носка и улучшить сопряжение крыла с фюзеляжем увеличе</w:t>
      </w:r>
      <w:r w:rsidRPr="00D03F3E">
        <w:rPr>
          <w:rFonts w:ascii="Times New Roman" w:hAnsi="Times New Roman"/>
          <w:color w:val="000000" w:themeColor="text1"/>
          <w:sz w:val="16"/>
          <w:szCs w:val="16"/>
        </w:rPr>
        <w:softHyphen/>
        <w:t>нием зализа. При изменении створок капота необходимо было увеличить расстояние между створками и верхней поверхностью крыла. Посколь</w:t>
      </w:r>
      <w:r w:rsidRPr="00D03F3E">
        <w:rPr>
          <w:rFonts w:ascii="Times New Roman" w:hAnsi="Times New Roman"/>
          <w:color w:val="000000" w:themeColor="text1"/>
          <w:sz w:val="16"/>
          <w:szCs w:val="16"/>
        </w:rPr>
        <w:softHyphen/>
        <w:t>ку эти изменения требовали больших переделок, весной 1943 года их оставили на будущее. В течение 1943 года ОКБ получи</w:t>
      </w:r>
      <w:r w:rsidRPr="00D03F3E">
        <w:rPr>
          <w:rFonts w:ascii="Times New Roman" w:hAnsi="Times New Roman"/>
          <w:color w:val="000000" w:themeColor="text1"/>
          <w:sz w:val="16"/>
          <w:szCs w:val="16"/>
        </w:rPr>
        <w:softHyphen/>
        <w:t>ло дополнительные «посылы» для улуч</w:t>
      </w:r>
      <w:r w:rsidRPr="00D03F3E">
        <w:rPr>
          <w:rFonts w:ascii="Times New Roman" w:hAnsi="Times New Roman"/>
          <w:color w:val="000000" w:themeColor="text1"/>
          <w:sz w:val="16"/>
          <w:szCs w:val="16"/>
        </w:rPr>
        <w:softHyphen/>
        <w:t>шения конструкции. Так, при испыта</w:t>
      </w:r>
      <w:r w:rsidRPr="00D03F3E">
        <w:rPr>
          <w:rFonts w:ascii="Times New Roman" w:hAnsi="Times New Roman"/>
          <w:color w:val="000000" w:themeColor="text1"/>
          <w:sz w:val="16"/>
          <w:szCs w:val="16"/>
        </w:rPr>
        <w:softHyphen/>
        <w:t>ниях Ла-5ФН в ЛИИ и НИИ ВВС, а также и при войсковых испытаниях на фронте было отмечено, что тепло</w:t>
      </w:r>
      <w:r w:rsidRPr="00D03F3E">
        <w:rPr>
          <w:rFonts w:ascii="Times New Roman" w:hAnsi="Times New Roman"/>
          <w:color w:val="000000" w:themeColor="text1"/>
          <w:sz w:val="16"/>
          <w:szCs w:val="16"/>
        </w:rPr>
        <w:softHyphen/>
        <w:t>вой режим мотора М-82ФН заметно ниже, благодаря испарению топлива непосредственно в цилиндрах, по срав</w:t>
      </w:r>
      <w:r w:rsidRPr="00D03F3E">
        <w:rPr>
          <w:rFonts w:ascii="Times New Roman" w:hAnsi="Times New Roman"/>
          <w:color w:val="000000" w:themeColor="text1"/>
          <w:sz w:val="16"/>
          <w:szCs w:val="16"/>
        </w:rPr>
        <w:softHyphen/>
        <w:t>нению с М-82Ф, а также и предельно допустимыми температурами головок и масла. Боковые створки на Ла-5ФН летчиками в полетах даже летом по</w:t>
      </w:r>
      <w:r w:rsidRPr="00D03F3E">
        <w:rPr>
          <w:rFonts w:ascii="Times New Roman" w:hAnsi="Times New Roman"/>
          <w:color w:val="000000" w:themeColor="text1"/>
          <w:sz w:val="16"/>
          <w:szCs w:val="16"/>
        </w:rPr>
        <w:softHyphen/>
        <w:t>чти не открывались. Естественным выводом из этого стало решение уменьшить эти боковые створки, од</w:t>
      </w:r>
      <w:r w:rsidRPr="00D03F3E">
        <w:rPr>
          <w:rFonts w:ascii="Times New Roman" w:hAnsi="Times New Roman"/>
          <w:color w:val="000000" w:themeColor="text1"/>
          <w:sz w:val="16"/>
          <w:szCs w:val="16"/>
        </w:rPr>
        <w:softHyphen/>
        <w:t>новременно отодвинув их от поверх</w:t>
      </w:r>
      <w:r w:rsidRPr="00D03F3E">
        <w:rPr>
          <w:rFonts w:ascii="Times New Roman" w:hAnsi="Times New Roman"/>
          <w:color w:val="000000" w:themeColor="text1"/>
          <w:sz w:val="16"/>
          <w:szCs w:val="16"/>
        </w:rPr>
        <w:softHyphen/>
        <w:t>ности крыла. Критерием уменьшения стала предельно допустимая темпе</w:t>
      </w:r>
      <w:r w:rsidRPr="00D03F3E">
        <w:rPr>
          <w:rFonts w:ascii="Times New Roman" w:hAnsi="Times New Roman"/>
          <w:color w:val="000000" w:themeColor="text1"/>
          <w:sz w:val="16"/>
          <w:szCs w:val="16"/>
        </w:rPr>
        <w:softHyphen/>
        <w:t>ратура головок цилиндров - 250 °С. Вместо сдвоенных и строенных вых</w:t>
      </w:r>
      <w:r w:rsidRPr="00D03F3E">
        <w:rPr>
          <w:rFonts w:ascii="Times New Roman" w:hAnsi="Times New Roman"/>
          <w:color w:val="000000" w:themeColor="text1"/>
          <w:sz w:val="16"/>
          <w:szCs w:val="16"/>
        </w:rPr>
        <w:softHyphen/>
        <w:t>лопных патрубков были применены индивидуальные - на каждый цилиндр свой патрубок. Патрубки выходили по 7 с каждой стороны. Таким образом, наряду с улучше</w:t>
      </w:r>
      <w:r w:rsidRPr="00D03F3E">
        <w:rPr>
          <w:rFonts w:ascii="Times New Roman" w:hAnsi="Times New Roman"/>
          <w:color w:val="000000" w:themeColor="text1"/>
          <w:sz w:val="16"/>
          <w:szCs w:val="16"/>
        </w:rPr>
        <w:softHyphen/>
        <w:t>нием аэродинамики были выбраны и все остающиеся резервы ВМГ: сни</w:t>
      </w:r>
      <w:r w:rsidRPr="00D03F3E">
        <w:rPr>
          <w:rFonts w:ascii="Times New Roman" w:hAnsi="Times New Roman"/>
          <w:color w:val="000000" w:themeColor="text1"/>
          <w:sz w:val="16"/>
          <w:szCs w:val="16"/>
        </w:rPr>
        <w:softHyphen/>
        <w:t>жен расход воздуха на охлаждение мотора и уменьшены до минимума потери мощности на выхлопе. Кроме этого, был установлен винт ВИШ-105 с лопастями В-4, имеющими новый «махоустойчивый» профиль и повы</w:t>
      </w:r>
      <w:r w:rsidRPr="00D03F3E">
        <w:rPr>
          <w:rFonts w:ascii="Times New Roman" w:hAnsi="Times New Roman"/>
          <w:color w:val="000000" w:themeColor="text1"/>
          <w:sz w:val="16"/>
          <w:szCs w:val="16"/>
        </w:rPr>
        <w:softHyphen/>
        <w:t>шенный КПД. Наконец, по требованию летчиков вместо одного всасывающего патруб</w:t>
      </w:r>
      <w:r w:rsidRPr="00D03F3E">
        <w:rPr>
          <w:rFonts w:ascii="Times New Roman" w:hAnsi="Times New Roman"/>
          <w:color w:val="000000" w:themeColor="text1"/>
          <w:sz w:val="16"/>
          <w:szCs w:val="16"/>
        </w:rPr>
        <w:softHyphen/>
        <w:t>ка сверху капота, мешающего обзору, были установлены два всасывающих патрубка в носках центроплана, хотя это мероприятие и повышало потери давления на всасывании. В таком виде самолет «ЗБ» (т.е. вооруженнный тремя новыми 20 мм синхронными пушками Б-20), или «эта</w:t>
      </w:r>
      <w:r w:rsidRPr="00D03F3E">
        <w:rPr>
          <w:rFonts w:ascii="Times New Roman" w:hAnsi="Times New Roman"/>
          <w:color w:val="000000" w:themeColor="text1"/>
          <w:sz w:val="16"/>
          <w:szCs w:val="16"/>
        </w:rPr>
        <w:softHyphen/>
        <w:t>лон 1944 года» 15 февраля 1944 года поступил в НИИ ВВС, где показал пре</w:t>
      </w:r>
      <w:r w:rsidRPr="00D03F3E">
        <w:rPr>
          <w:rFonts w:ascii="Times New Roman" w:hAnsi="Times New Roman"/>
          <w:color w:val="000000" w:themeColor="text1"/>
          <w:sz w:val="16"/>
          <w:szCs w:val="16"/>
        </w:rPr>
        <w:softHyphen/>
        <w:t>красные летные характеристики: мак</w:t>
      </w:r>
      <w:r w:rsidRPr="00D03F3E">
        <w:rPr>
          <w:rFonts w:ascii="Times New Roman" w:hAnsi="Times New Roman"/>
          <w:color w:val="000000" w:themeColor="text1"/>
          <w:sz w:val="16"/>
          <w:szCs w:val="16"/>
        </w:rPr>
        <w:softHyphen/>
        <w:t>симальную скорость у земли на но</w:t>
      </w:r>
      <w:r w:rsidRPr="00D03F3E">
        <w:rPr>
          <w:rFonts w:ascii="Times New Roman" w:hAnsi="Times New Roman"/>
          <w:color w:val="000000" w:themeColor="text1"/>
          <w:sz w:val="16"/>
          <w:szCs w:val="16"/>
        </w:rPr>
        <w:softHyphen/>
        <w:t>минале - 597 км/ч, на 2-й границе высотности 6000 м - 680 км/ч, время набора 5000 м - 4,45 мин. (10714).</w:t>
      </w:r>
    </w:p>
    <w:p w14:paraId="50B538A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4B6756" w14:textId="77777777" w:rsidR="002036A8" w:rsidRPr="00D03F3E" w:rsidRDefault="002036A8"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С начала 1943 г. завод № 21 уже готовился перейти на выпуск модернизированного Ла-5 с М-82ФНВ. Постановление ГКО № 2727 от 10 января 1943 г. «О плане производ</w:t>
      </w:r>
      <w:r w:rsidRPr="00D03F3E">
        <w:rPr>
          <w:rFonts w:ascii="Times New Roman" w:cs="Times New Roman"/>
          <w:color w:val="000000" w:themeColor="text1"/>
          <w:spacing w:val="0"/>
        </w:rPr>
        <w:softHyphen/>
        <w:t xml:space="preserve">ства самолётов и моторов в январе месяце и </w:t>
      </w:r>
      <w:r w:rsidRPr="00D03F3E">
        <w:rPr>
          <w:rFonts w:ascii="Times New Roman" w:cs="Times New Roman"/>
          <w:color w:val="000000" w:themeColor="text1"/>
          <w:spacing w:val="0"/>
          <w:lang w:val="en-US"/>
        </w:rPr>
        <w:t>l</w:t>
      </w:r>
      <w:r w:rsidRPr="00D03F3E">
        <w:rPr>
          <w:rFonts w:ascii="Times New Roman" w:cs="Times New Roman"/>
          <w:color w:val="000000" w:themeColor="text1"/>
          <w:spacing w:val="0"/>
        </w:rPr>
        <w:t>-м квартале 1943 года» считало важней</w:t>
      </w:r>
      <w:r w:rsidRPr="00D03F3E">
        <w:rPr>
          <w:rFonts w:ascii="Times New Roman" w:cs="Times New Roman"/>
          <w:color w:val="000000" w:themeColor="text1"/>
          <w:spacing w:val="0"/>
        </w:rPr>
        <w:softHyphen/>
        <w:t>шей задачей завода № 21 в I квартале — осуществить перевод всех самолётов Ла-5 с М-82 на постоянный форсаж и начать выпуск первых серий Ла-5 облегченной конструк</w:t>
      </w:r>
      <w:r w:rsidRPr="00D03F3E">
        <w:rPr>
          <w:rFonts w:ascii="Times New Roman" w:cs="Times New Roman"/>
          <w:color w:val="000000" w:themeColor="text1"/>
          <w:spacing w:val="0"/>
        </w:rPr>
        <w:softHyphen/>
        <w:t>ции с М-82Ф-НВ (форсированными с насосами непосредственного впрыска) (15813).</w:t>
      </w:r>
    </w:p>
    <w:p w14:paraId="0EC83413" w14:textId="77777777" w:rsidR="002036A8" w:rsidRPr="00D03F3E" w:rsidRDefault="002036A8" w:rsidP="00D03F3E">
      <w:pPr>
        <w:pStyle w:val="27"/>
        <w:shd w:val="clear" w:color="auto" w:fill="auto"/>
        <w:spacing w:after="0" w:line="240" w:lineRule="auto"/>
        <w:ind w:firstLine="0"/>
        <w:rPr>
          <w:rFonts w:ascii="Times New Roman" w:cs="Times New Roman"/>
          <w:color w:val="000000" w:themeColor="text1"/>
          <w:spacing w:val="0"/>
        </w:rPr>
      </w:pPr>
    </w:p>
    <w:p w14:paraId="31826A9C"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К началу 1943 года огневая мощь «Фокке-Вульфа» была рекордной для истребителей, воевавших на восточном фронте. Боекомплект MG-151/20 с ленточным питанием состоял из 250 снарядов, пушки MGFF с барабанным магазином – из 55 снарядов, а пулемета МG-17 – из 1000 патронов.</w:t>
      </w:r>
    </w:p>
    <w:p w14:paraId="7340B4DE"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Кроме высокой огневой мощи FW 190А-3 отличался неплохой пассивной защитой. Цельнометаллический планер «Фокке-Вульфа» сам по себе имел более высокую боевую живучесть, чем смешанная или деревянная конструкция советских истребителей. Кроме того, бензобаки немецкой машины были компактно размещены в фюзеляже под кабиной, а значит они обладали меньшей площадью поражаемой поверхности, чем плоские крыльевые бензобаки «лавочкиных» и «яков».</w:t>
      </w:r>
    </w:p>
    <w:p w14:paraId="14678C75"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Помимо бронеспинки толщиной 8 мм пилота сзади-сверху защищал 12-миллиметровый бронезаголовник, а спереди – 57-миллиметровое наклонное бронестекло, площадь которого была вдвое больше, чем на Як-1, Як-9 и Ла-5. За бронеспинкой стояла дополнительная пятимиллиметровая бронеперегородка, состоящая из отдельных бронеплиток. Маслобак и кольцевой маслорадиатор, размещенные между блоком цилиндров двигателя и вентилятором, прикрывали два броневых кольца: переднее, более узкое, толщиной 5 мм, и заднее, трехмиллиметровое.</w:t>
      </w:r>
    </w:p>
    <w:p w14:paraId="638415E1"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Относительно тяжелый мотор, мощное вооружение и более центнера брони в конструкции сделали взлетную массу FW 190А-3 весьма высокой – 3800 кг. Столь же высокой получилась и удельная нагрузка на площадь – 208 кг/кв.м, что отрицательно сказалось на маневренности. Согласно отчету об испытаниях в НИИ ВВС трофейного FW 190, минимальное время виража немецкого истребителя на высоте 2500 м без применения щитков составляло 29 секунд, а с выпущенными щитками – 26.</w:t>
      </w:r>
    </w:p>
    <w:p w14:paraId="5D484D7A"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Возможно, эти данные слегка занижены, поскольку испытывалась не новая машина, к тому же совершившая вынужденную посадку, но все же они не оставляют сомнений в том, что на виражах «Фокке-Вульф» вел себя хуже «Мессершмитта» и всех советских истребителей, включая даже ЛаГГ-3.</w:t>
      </w:r>
    </w:p>
    <w:p w14:paraId="39D11B03"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Неважную горизонтальную маневренность FW 190A-3 и тенденцию к сваливанию на виражах также отмечали англичане, которые в 1942 году провели у себя испытания трофейной машины. Правда, FW 190 за счет высокой эффективности элеронов продемонстрировал хорошую скорость крена, позволявшую летчику быстро делать бочки и вводить самолет в вираж.</w:t>
      </w:r>
    </w:p>
    <w:p w14:paraId="260605D4"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По энерговооруженности «Фокке-Вульф» также проигрывал Ла-5Ф и Ла-5ФН, но превосходил все истребители Яковлева, за исключением Як-3 и Як-9У. На одну лошадиную силу мощности двигателя у него приходилось 2,38 кг взлетного веса. Максимальная скорость FW 190А-3/А-4 равнялась 560 км/ч. на высоте одного километра и 630 км/ч. на шести километрах.</w:t>
      </w:r>
    </w:p>
    <w:p w14:paraId="501A5149"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Согласно немецким даным, минутный «чрезвычайный форсаж» позволял повысить эти значения до 590 и 660 км/ч. Правда, к данным цифрам надо относиться скептически, поскольку из-за невысоких разгонных характеристик «Фокке-Вульфа» (от 0,7 до 0,95 максимальной скорости он разгонялся в горизонтальном полете более минуты), достичь таких показателей в боевых условиях было нереально. До высот 3000–3500 метров Ла-5 мог догнать и перегнать «Фокке-Вульф», однако на бОльших высотах мощность АШ-82 истребителя начинала снижаться и «немец» вырывался вперед.</w:t>
      </w:r>
    </w:p>
    <w:p w14:paraId="1CAD2AFF"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Хуже для тяжелого «немца» обстояли дела со скороподъемностью. По этому показателю он на высотах до 3500 м уступал всем нашим истребителям, выпускавшимся в 1943 году, за исключением ЛаГГ-3. Особенно сильным было отставание от Ла-5ФН, который сохранял превосходство на вертикалях примерно до 5000 метров.</w:t>
      </w:r>
    </w:p>
    <w:p w14:paraId="3A574B6F"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FW 190 за счет своего веса и неплохой аэродинамики быстрее, чем наши истребители, разгонялся на пикировании. Благодаря этому его пилот, имея запас высоты, мог выйти из боя и оторваться от противника. Но с другой стороны «Фокке-Вульф» не мог на выходе из пике столь же резко, как Ла-5, «ломать траекторию», то есть немецкому летчику приходилось раньше начинать выводить машину, чтобы не врезаться в землю.</w:t>
      </w:r>
    </w:p>
    <w:p w14:paraId="41F5B026"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Подытоживая, можно сделать вывод, что на малых и средних высотах летные характеристики советских истребителей образца 1943 г. теоретически позволяли им на равных драться с «Фокке-Вульфами», однако на стороне пилотов FW 190 было превосходство в вооружении, защищенности и удобстве управления силовой установкой. Серьезным недостатком ранних «Фокке-Вульфов», так же, как и «лавочкиных», являлась жара в кабине, которая в летние месяцы достигала 45 градусов (19178).</w:t>
      </w:r>
    </w:p>
    <w:p w14:paraId="09737EF2"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p>
    <w:p w14:paraId="2ED9B4E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года началась проработка варианта Ла-5 под 2000-сильный мотор М-71 и 12 февраля вышел соответствующий приказ НКАП. Документом предписывалось создать самолет- истребитель с максимальной скоростью у земли 590 км/ч, а на высоте 6000 м - 670 км/ч. Время набора высоты 5000 м задавалось 4,8 минуты. Вооружение - два орудия ШВАК с боезапасом 170 патронов. Первый экземпляр самолета следовало сдать заказчику к 1 апреля, а второй - к 15 апреля того же года. Весной этого же года на Ла-5 № 39210204 установили новый звездообразный двигатель М-71Ф мощностью 2250 л.с. Использование этого мотора на различных типах самолетов, как на истребителях, так и на бомбардировщиках все время сопровождалось неудачами. Хотя двигатель и прошел 50-часовые стендовые испытания, в полете и у М-71, и у его форсированной модификации М-71Ф постоянно что-то ломалось. Не исключением стал и Ла-5. Хотя мотор М-71Ф не только вылез за обводы капотов прежней силовой установки, но и утяжелил истребитель, его большая мощность сделала свое дело. Летные испытания, проведенные в ЛИИ с 28 апреля по 4 июня 1943 года, показали, что максимальная скорость истребителя возросла до 685 км/ч на высоте 5500 м. В то же время скороподъемность машины практически не изменилась.</w:t>
      </w:r>
    </w:p>
    <w:p w14:paraId="70FEA59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Чтобы выяснить пути улучшения характеристик машины, ее исследовали в натурной аэродинамической трубе ЦАГИ Т-101. Вывод специалистов </w:t>
      </w:r>
      <w:r w:rsidRPr="00D03F3E">
        <w:rPr>
          <w:rFonts w:ascii="Times New Roman" w:hAnsi="Times New Roman"/>
          <w:color w:val="000000" w:themeColor="text1"/>
          <w:sz w:val="16"/>
          <w:szCs w:val="16"/>
        </w:rPr>
        <w:lastRenderedPageBreak/>
        <w:t>аэрогидродинамического института был оптимистичным - улучшение аэродинамики самолета, особенно капотирования мотора, позволит довести максимальную скорость до 720 км/ч. Но доводка Ла-5 и двигателя М-71 затянулась. В итоге самолет оказался в разряде экспериментальных.</w:t>
      </w:r>
    </w:p>
    <w:p w14:paraId="742456B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Проектировался, но так и не был закончен истребитель со звездообразным мотором М-90 взлетной мощностью 1750 л.с. (12032).</w:t>
      </w:r>
    </w:p>
    <w:p w14:paraId="3120A7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CC18B7" w14:textId="77777777" w:rsidR="00BD4344" w:rsidRPr="00D03F3E" w:rsidRDefault="00BD434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началась проработка варианта истребителя Ла-5 под мотор М-71. Приказ НКАП требовал сдать первый экземпляр самолета к 1 апреля, а второй — к 15 апреля. Весной на истребитель Ла-5 № 39210204 установили двигатель М-71Ф. Хотя мотор не только «вылез» за обводы капотов прежней силовой установки, но и утяжелил истребитель, его большая мощность сделала свое дело. Летные испытания, проведенные в ЛИИ с 28 апреля по 4 июня 1943 г., показали, что максимальная скорость истребителя возросла до 685 км/ч на высоте 5500 м. В то же время скороподъемность машины практически не изменилась. Чтобы выяснить пути улучшения характеристик машины, ее исследовали в аэродинамической трубе Т-101. Вывод ученых был оптимистичным — улучшение аэродинамики самолета, особенно капотирования мотора, позволит довести максимальную скорость до 720 км/ч. Но доводка двигателя М-71 затянулась и самолет оказался в разряде экспериментальных, его передали в ЦАГИ. Полученный опыт использовался при создании самолета Ла-5 М-82ФН № 0206, ставшего прототипом истребителя Ла-7 (19727).</w:t>
      </w:r>
    </w:p>
    <w:p w14:paraId="4CDD1206" w14:textId="77777777" w:rsidR="00BD4344" w:rsidRPr="00D03F3E" w:rsidRDefault="00BD4344" w:rsidP="00D03F3E">
      <w:pPr>
        <w:spacing w:after="0" w:line="240" w:lineRule="auto"/>
        <w:jc w:val="both"/>
        <w:rPr>
          <w:rFonts w:ascii="Times New Roman" w:hAnsi="Times New Roman"/>
          <w:color w:val="000000" w:themeColor="text1"/>
          <w:sz w:val="16"/>
          <w:szCs w:val="16"/>
        </w:rPr>
      </w:pPr>
    </w:p>
    <w:p w14:paraId="58095F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года главной целью завода № 31 было сократить массу серийного самолета до 2950 кг, подняв при этом максимальную скорость у земли до 526 км/ч, а на оперативной высоте до 590 км/ч. Облегченный самолет пустили в серию без статичных и летных испытаний. Его массу уменьшили, уменьшив толщину некоторых деталей, используя облегчающие отверстия, а также уменьшив запас прочности фюзеляжа. В передней части фюзеляжа толщину обшивки уменьшили с 9,5 до 7 мм, облегчили каркас капота, два маслобака заменили на один. С самолета сняли узлы для крепления подвесных топливных баков, у внутренних топливных баков уменьшили толщину стенок. Использование новых тросиков управления газом, а также ряд других изменений в конструкции позволили в общей сложности облегчить самолет на 252-283 кг. С другой стороны переделка воздухозаборников водяного и масляного радиаторов, герметизация противопожарной переборки, установка обтекателей на выхлопные патрубки и доработка форсированного двигателя М-105ПФ (на двигатель поставили усиленный коленвал) добавили к массе самолета 55 кг. В результате массу не удалось понизить больше чем до 2962 кг. Серийные самолеты часто весили на 9% больше, опытных машин. Эту проблему часто обсуждали в НКАП (11749).</w:t>
      </w:r>
    </w:p>
    <w:p w14:paraId="7A9F8E7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2AA88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главной задачей завода № 31 оставалось изготовление ЛаГГ-3 с полетным весом 2950 кг (на 100 кг больше требований предыдущего года) и максимальной скоростью у земли 526 км/ч, а на второй границе высотности двигателя - 590 км/ч. Облегченный самолет запустили в серию без статических и летных испытаний эталона, а вес буквально "выскребали" по крупицам, зачастую ослабляя силовые элементы. Уже в ходе производства истребитель пришлось дорабатывать для обеспечения требуемых запасов прочности и необходимой центровки.</w:t>
      </w:r>
    </w:p>
    <w:p w14:paraId="3D902FC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Снижение толщины обшивки передней части фюзеляжа с 9,5 до 7 мм, облегчение каркаса капотов мотора, замена двух маслобаков одним, отказ от консольных бензобаков и уменьшение толщины протектора оставшихся трех баков, замена проводки управления газом мотора и другие, более мелкие, изменения позволили сэкономить до 252 - 283 кг. В то же время аэродинамические улучшения (в частности, изменение тоннелей масло- и водорадиаторов, герметизация противопожарной перегородки и выхлопных патрубков с установкой на последние обтекателей) и возросший вес серийных двигателей М-105ПФ утяжелили машину на 55 кг. В итоге переступить рубеж полетного веса в 2962 кг так и не удалось.</w:t>
      </w:r>
    </w:p>
    <w:p w14:paraId="5F853B2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серийных истребителей разброс полетного веса доходил до 9%. Вопрос этот нередко обсуждался в наркомате, и дело кончилось тем, что в июле 1943 г. вышел приказ "О соблюдении весовой дисциплины самолетов", касавшийся всех заводов.</w:t>
      </w:r>
    </w:p>
    <w:p w14:paraId="153C50C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Сложнейшей проблемой для отечественной промышленности было обеспечение самолетов радиооборудованием. Возможность справиться с ней появилась лишь в 1943 г., когда с марта на всех ЛаГГ-3 стали устанавливать приемники, а на каждом пятом самолете - комплектные приемо-передающие радиостанции РСИ-4. Часть машин выпустили в варианте ближнего разведчика с фотоаппаратом АФА-1 в хвостовой части фюзеляжа. С середины 1943 г. состав вооружения дополнили вторым пулеметом БС. На последних сериях винт ВИШ-61П заменили на ВИШ-105СВ с более широкими лопастями. При этом кок стал немного шире и приобрел более плоскую форму.</w:t>
      </w:r>
    </w:p>
    <w:p w14:paraId="45F34F1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заводе № 31 продолжали пытаться усовершенствовать мотоустановку с целью повышения тяговооруженности истребителя. Работали над возможной установкой двигателей М-107 и М-106, но из этого ничего не получилось. В 1943 г. Горбунов предпринял последнюю попытку существенно улучшить характеристики ЛаГГ-3. Машину под обозначением "105" с мотором М-105ПФ предъявили на государственные испытания в октябре 1943 г. Первое, что бросалось в глаза, - отсутствие гаргрота за кабиной летчика. При вооружении, включавшем пушку ШВАК и пулемет БС с боезапасом соответственно 160 и 200 патронов, удалось довести полетный вес до 2818 кг, а максимальную скорость - до 612 км/ч (11983).</w:t>
      </w:r>
    </w:p>
    <w:p w14:paraId="222ED23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4286A7"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В начале 1943 года на двигатель М-82 поставили аппаратуру для непосредственного впрыска топлива в цилиндры. Это сделало его работу более устойчивой при перегрузках, а главное – позволило повысить взлетную мощность на 150 л.с. при увеличении массы всего на 30 кг. Разумеется, новый мотор тут же установили на Ла-5. К индексам двигателя и истребителя добавились буквы «ФН», что означало «форсированный с непосредственным впрыском». В апреле 1944 года М-82ФН в честь его главного конструктора А.Д. Шевцова переименовали в АШ-82ФН.</w:t>
      </w:r>
    </w:p>
    <w:p w14:paraId="0834A13E"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На Ла-5ФН усовершенствовали систему выхлопа, установив вместо двух выхлопных коллекторов отдельные патрубки для каждого цилиндра. Размер воздухозаборника двигателя был слегка увеличен. Масса машины составляла 3290 кг. Удельная нагрузка на площадь – 188 кг, удельная нагрузка на мощность на десятиминутном форсажном режиме работы двигателя – 1,78 кг/л.с., на номинальном – 2,02 кг/л.с.</w:t>
      </w:r>
    </w:p>
    <w:p w14:paraId="661A82A4"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Таким образом, Ла-5ФН даже на номинальном режиме превзошел по энерговооруженности Bf 109G-2 – лучший на тот момент истребитель Рейха по данному показателю. Это не могло не отразиться на летных характеристиках. На «номинале» Ла-5ФН опережал «Густава» у земли на 10–15 км/ч, а на форсаже – почти на 50 км/ч. С увеличением высоты это преимущество постепенно уменьшалось, а примерно на 6000 метров – переходило к «Мессершмитту».</w:t>
      </w:r>
    </w:p>
    <w:p w14:paraId="2212B37C"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На форсаже Ла-5ФН впервые с начала войны превзошел «худого» и в скороподъемности, правда, только до высоты 1500 метров, а далее, опять-таки, преимущество перехватывал враг. Тем не менее, Ла-5ФН являлся первым советским истребителем, который мог в широком диапазоне высот драться на равных с современной ему версией «Мессершмитта».</w:t>
      </w:r>
    </w:p>
    <w:p w14:paraId="427C50B9"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Еще более достойно Ла-5ФН смотрелся на фоне потяжелевшего за счет усиленного вооружения Bf 109G-6. Его он превосходил в скороподъемности на малых высотах даже на номинальном режиме, и это превосходство сохранялось за «Лавочкиным» вплоть до 3000 метров. Аналогичная картина была и по скорости.</w:t>
      </w:r>
    </w:p>
    <w:p w14:paraId="36319749"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В общем, Ла-5ФН оказался весьма удачной машиной, но значение этого фактора для общей обстановки на фронтах в 1943 году, к сожалению, было невелико. Ведь из-за дефицита моторов М-82ФН, которые медленно и трудно внедрялись в производство, до конца года авиазаводы смогли выпустить всего-навсего 429 таких самолетов или около 3% от общего объема выпуска истребителей. За тот же период Ла-5 и Ла-5Ф было построено 4619 штук, то есть в 11 раз больше, а безнадежно устаревших ЛаГГ-3 – в 2,5 раза больше.</w:t>
      </w:r>
    </w:p>
    <w:p w14:paraId="27858956"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Одновременно с появлением на фронте первых Ла-5 немцы ввели в бой против советских ВВС свой новый истребитель с мотором воздушного охлаждения – «Фокке-Вульф» FW 190. Этот самолет, спроектированный авиаконструктором Куртом Танком в 1939 году и запущенный в серию в 1941-м, представлял собой цельнометаллический свободнонесущий низкоплан с двухрядным 14-цилиндровым звездообразным мотором BMW-801.</w:t>
      </w:r>
    </w:p>
    <w:p w14:paraId="48F27C76"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Первой модификацией «Фокке-Вульфа», попавшей на восточный фронт, был FW 190A-3. На нем стоял мотор BMW-801D-2 с двухскоростным нагнетателем и непосредственным впрыском. Взлетная мощность 1700 л.с. (по другим данным – 1800 л.с.), номинальная – 1590 л.с. на высоте 700 м и 1360 л.с. – на высоте 5200 м. На кратковременном «чрезвычайном режиме» мощность на одну минуту можно было повысить до 1820 л.с. на низких высотах и до 1490 л.с. на 6000 м.</w:t>
      </w:r>
    </w:p>
    <w:p w14:paraId="199D9B01"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Очень важным достоинством BMW-801 было наличие так называемого центрального поста управления двигателем Kommandogerat. Это устройство в автоматическом режиме обеспечивало регулировку всех параметров работы мотора в зависимости от положения сектора газа. Автомат устанавливал давление наддува, состав топливо-воздушной смеси и выставлял шаг винта.</w:t>
      </w:r>
    </w:p>
    <w:p w14:paraId="4E502A90"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На истребителях Лавочкина летчик был вынужден выполнять все эти действия вручную, а кроме того – вручную регулировать температуру двигателя с помощью лобовых жалюзи, заслонки маслорадиатора и боковых створок капота. Чтобы установить нужный режим работы винтомоторной группы, ему приходилось делать до пяти скоординированных последовательных движений, тогда как пилоту «Фокке-Вульфа» достаточно было передвинуть рычаг комплексного управления двигателем.</w:t>
      </w:r>
    </w:p>
    <w:p w14:paraId="747DAECD"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В результате пилоты Ла-5 и Ла-5ФН, дабы не отвлекаться от ведения боя, обычно заранее выставляли ВМГ своих истребителей на некий «промежуточный» режим, не позволявший им достичь наивысших характеристик, но зато не грозящий перегревом и отказом мотора. Это необходимо учитывать при сопоставлении полученных в полигонных условиях летно-технических данных советских и немецких машин.</w:t>
      </w:r>
    </w:p>
    <w:p w14:paraId="14A7DC2C"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FW 190А-3 обладал исключительно сильным для своего времени вооружением, состоявшим из двух синхронных пулеметов МG-17 перед кабиной, двух синхронных пушек MG-151/20 в корневой части крыла и двух авиапушек MGFF во внешних частях крыла, стрелявших вне диска вращения винта. Масса секундного залпа достигала 5,45 кг, то есть в три с лишним раза больше, чем у Bf 109G-2 или Як-9Д и вдвое больше, чем у Ла-5ФН (19178).</w:t>
      </w:r>
    </w:p>
    <w:p w14:paraId="06B63478"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p>
    <w:p w14:paraId="170780B7" w14:textId="77777777" w:rsidR="002036A8" w:rsidRPr="00D03F3E" w:rsidRDefault="002036A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начала 1943 года началась разработка нового 14-цилиндрового мотора М-83 со взлётной мощностью 1900 л.с. Для него разрабатывалась бесступенчатая (тогда го</w:t>
      </w:r>
      <w:r w:rsidRPr="00D03F3E">
        <w:rPr>
          <w:rFonts w:ascii="Times New Roman" w:hAnsi="Times New Roman"/>
          <w:color w:val="000000" w:themeColor="text1"/>
          <w:sz w:val="16"/>
          <w:szCs w:val="16"/>
        </w:rPr>
        <w:softHyphen/>
        <w:t xml:space="preserve">ворили — «многоскоростная») роликовая передача к нагнетателю с передаточным числом в пределах 6,3-9,2, причём нагнетатель ставился впереди между носком </w:t>
      </w:r>
      <w:r w:rsidRPr="00D03F3E">
        <w:rPr>
          <w:rFonts w:ascii="Times New Roman" w:hAnsi="Times New Roman"/>
          <w:color w:val="000000" w:themeColor="text1"/>
          <w:sz w:val="16"/>
          <w:szCs w:val="16"/>
        </w:rPr>
        <w:lastRenderedPageBreak/>
        <w:t>редуктора и средним картером и снабжался вентилятором дополнительного обдува. Целью этих пе</w:t>
      </w:r>
      <w:r w:rsidRPr="00D03F3E">
        <w:rPr>
          <w:rFonts w:ascii="Times New Roman" w:hAnsi="Times New Roman"/>
          <w:color w:val="000000" w:themeColor="text1"/>
          <w:sz w:val="16"/>
          <w:szCs w:val="16"/>
        </w:rPr>
        <w:softHyphen/>
        <w:t xml:space="preserve">ределок являлось повысить мощность и высотность мотора за счёт лучшего использования скоростного напора и повышения КПД нагнетателя (до </w:t>
      </w:r>
      <w:r w:rsidRPr="00D03F3E">
        <w:rPr>
          <w:rFonts w:ascii="Times New Roman" w:hAnsi="Times New Roman"/>
          <w:color w:val="000000" w:themeColor="text1"/>
          <w:sz w:val="16"/>
          <w:szCs w:val="16"/>
          <w:lang w:val="en-US"/>
        </w:rPr>
        <w:t>h</w:t>
      </w:r>
      <w:r w:rsidRPr="00D03F3E">
        <w:rPr>
          <w:rFonts w:ascii="Times New Roman" w:hAnsi="Times New Roman"/>
          <w:color w:val="000000" w:themeColor="text1"/>
          <w:sz w:val="16"/>
          <w:szCs w:val="16"/>
        </w:rPr>
        <w:t>=0,64) за счёт пониженной скорости вращения крыльчаток. Кроме того, М-83 отличался от М-82 конструкцией го</w:t>
      </w:r>
      <w:r w:rsidRPr="00D03F3E">
        <w:rPr>
          <w:rFonts w:ascii="Times New Roman" w:hAnsi="Times New Roman"/>
          <w:color w:val="000000" w:themeColor="text1"/>
          <w:sz w:val="16"/>
          <w:szCs w:val="16"/>
        </w:rPr>
        <w:softHyphen/>
        <w:t>ловок цилиндров, передней части коленвала, вала винта и носка картера.</w:t>
      </w:r>
    </w:p>
    <w:p w14:paraId="15E1AAE6" w14:textId="77777777" w:rsidR="002036A8" w:rsidRPr="00D03F3E" w:rsidRDefault="002036A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Одновременно разрабатывался и улучшенный мотор М-82ФНА. От серийного М-82ФН он отличался двухскоростным нагнетателем с улучшенным КПД, и измененными дета</w:t>
      </w:r>
      <w:r w:rsidRPr="00D03F3E">
        <w:rPr>
          <w:rFonts w:ascii="Times New Roman" w:hAnsi="Times New Roman"/>
          <w:color w:val="000000" w:themeColor="text1"/>
          <w:sz w:val="16"/>
          <w:szCs w:val="16"/>
        </w:rPr>
        <w:softHyphen/>
        <w:t>лями: передний корпус, крыльчатка, диффузор и другие детали, а также улучшенный вход.</w:t>
      </w:r>
    </w:p>
    <w:p w14:paraId="0D65F8CC" w14:textId="77777777" w:rsidR="002036A8" w:rsidRPr="00D03F3E" w:rsidRDefault="002036A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к концу года стало ясно, что бесступенчатая передача нагнетателя для М-83 со</w:t>
      </w:r>
      <w:r w:rsidRPr="00D03F3E">
        <w:rPr>
          <w:rFonts w:ascii="Times New Roman" w:hAnsi="Times New Roman"/>
          <w:color w:val="000000" w:themeColor="text1"/>
          <w:sz w:val="16"/>
          <w:szCs w:val="16"/>
        </w:rPr>
        <w:softHyphen/>
        <w:t>здана не будет, и на него решили поставить нагнетатель, разработанный для М-82ФНА. В таком виде М-83 3 декабря 1943 г. впервые предъявили на 50-часовое совместное ис</w:t>
      </w:r>
      <w:r w:rsidRPr="00D03F3E">
        <w:rPr>
          <w:rFonts w:ascii="Times New Roman" w:hAnsi="Times New Roman"/>
          <w:color w:val="000000" w:themeColor="text1"/>
          <w:sz w:val="16"/>
          <w:szCs w:val="16"/>
        </w:rPr>
        <w:softHyphen/>
        <w:t>пытание. Забегая вперед, отметим, что М-83 доводили потом в течение всего 1944 г. (слабым местом оказалась крыльчатка нагнетателя), и лишь к началу 1945 г. подготови</w:t>
      </w:r>
      <w:r w:rsidRPr="00D03F3E">
        <w:rPr>
          <w:rFonts w:ascii="Times New Roman" w:hAnsi="Times New Roman"/>
          <w:color w:val="000000" w:themeColor="text1"/>
          <w:sz w:val="16"/>
          <w:szCs w:val="16"/>
        </w:rPr>
        <w:softHyphen/>
        <w:t>ли к запуску в серию, которую, однако, так практически и не развернули (15829).</w:t>
      </w:r>
    </w:p>
    <w:p w14:paraId="1C066947" w14:textId="77777777" w:rsidR="002036A8" w:rsidRPr="00D03F3E" w:rsidRDefault="002036A8" w:rsidP="00D03F3E">
      <w:pPr>
        <w:spacing w:after="0" w:line="240" w:lineRule="auto"/>
        <w:jc w:val="both"/>
        <w:rPr>
          <w:rFonts w:ascii="Times New Roman" w:hAnsi="Times New Roman"/>
          <w:color w:val="000000" w:themeColor="text1"/>
          <w:sz w:val="16"/>
          <w:szCs w:val="16"/>
        </w:rPr>
      </w:pPr>
    </w:p>
    <w:p w14:paraId="3D0180F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начала 1943 года началась разработка нового 14-цилиндрового мотора М-83 со взлетной мощностью 1900 л.с. Для него разрабатывалась бесступенчатая (тогда говорили - «многоскоростная») роликовая передача к нагнетателю с передаточным числом в пределах 6,3-9,2, причем нагнетатель ставился впереди между носком редуктора и средним картером и был снабжен вентилятором дополнительного обду</w:t>
      </w:r>
      <w:r w:rsidRPr="00D03F3E">
        <w:rPr>
          <w:rFonts w:ascii="Times New Roman" w:hAnsi="Times New Roman"/>
          <w:color w:val="000000" w:themeColor="text1"/>
          <w:sz w:val="16"/>
          <w:szCs w:val="16"/>
        </w:rPr>
        <w:softHyphen/>
        <w:t>ва. Целью этих переделок было повы</w:t>
      </w:r>
      <w:r w:rsidRPr="00D03F3E">
        <w:rPr>
          <w:rFonts w:ascii="Times New Roman" w:hAnsi="Times New Roman"/>
          <w:color w:val="000000" w:themeColor="text1"/>
          <w:sz w:val="16"/>
          <w:szCs w:val="16"/>
        </w:rPr>
        <w:softHyphen/>
        <w:t>сить мощность и высотность мотора за счет лучшего использования ско</w:t>
      </w:r>
      <w:r w:rsidRPr="00D03F3E">
        <w:rPr>
          <w:rFonts w:ascii="Times New Roman" w:hAnsi="Times New Roman"/>
          <w:color w:val="000000" w:themeColor="text1"/>
          <w:sz w:val="16"/>
          <w:szCs w:val="16"/>
        </w:rPr>
        <w:softHyphen/>
        <w:t>ростного напора и повышения КПД нагнетателя (до п=0,64) за счет по</w:t>
      </w:r>
      <w:r w:rsidRPr="00D03F3E">
        <w:rPr>
          <w:rFonts w:ascii="Times New Roman" w:hAnsi="Times New Roman"/>
          <w:color w:val="000000" w:themeColor="text1"/>
          <w:sz w:val="16"/>
          <w:szCs w:val="16"/>
        </w:rPr>
        <w:softHyphen/>
        <w:t>ниженной скорости вращения крыль</w:t>
      </w:r>
      <w:r w:rsidRPr="00D03F3E">
        <w:rPr>
          <w:rFonts w:ascii="Times New Roman" w:hAnsi="Times New Roman"/>
          <w:color w:val="000000" w:themeColor="text1"/>
          <w:sz w:val="16"/>
          <w:szCs w:val="16"/>
        </w:rPr>
        <w:softHyphen/>
        <w:t>чаток. Кроме того, М-83 отличался от М-82 конструкцией головок цилинд</w:t>
      </w:r>
      <w:r w:rsidRPr="00D03F3E">
        <w:rPr>
          <w:rFonts w:ascii="Times New Roman" w:hAnsi="Times New Roman"/>
          <w:color w:val="000000" w:themeColor="text1"/>
          <w:sz w:val="16"/>
          <w:szCs w:val="16"/>
        </w:rPr>
        <w:softHyphen/>
        <w:t>ров, передней части коленвала, вала винта и носка картера. В том же 1943-м году разрабаты</w:t>
      </w:r>
      <w:r w:rsidRPr="00D03F3E">
        <w:rPr>
          <w:rFonts w:ascii="Times New Roman" w:hAnsi="Times New Roman"/>
          <w:color w:val="000000" w:themeColor="text1"/>
          <w:sz w:val="16"/>
          <w:szCs w:val="16"/>
        </w:rPr>
        <w:softHyphen/>
        <w:t>вался и улучшенный мотор М-82ФНА. От серийного М-82ФН он отличался двухскоростным нагнетателем с улуч</w:t>
      </w:r>
      <w:r w:rsidRPr="00D03F3E">
        <w:rPr>
          <w:rFonts w:ascii="Times New Roman" w:hAnsi="Times New Roman"/>
          <w:color w:val="000000" w:themeColor="text1"/>
          <w:sz w:val="16"/>
          <w:szCs w:val="16"/>
        </w:rPr>
        <w:softHyphen/>
        <w:t>шенным КПД, имеющим измененные детали: передний корпус, крыльчатку, диффузор и другие детали, а также улучшенный вход. Однако к концу года стало ясно, что бесступенчатая передача нагне</w:t>
      </w:r>
      <w:r w:rsidRPr="00D03F3E">
        <w:rPr>
          <w:rFonts w:ascii="Times New Roman" w:hAnsi="Times New Roman"/>
          <w:color w:val="000000" w:themeColor="text1"/>
          <w:sz w:val="16"/>
          <w:szCs w:val="16"/>
        </w:rPr>
        <w:softHyphen/>
        <w:t>тателя для М-83 создана не будет, и на него было решено поставить на</w:t>
      </w:r>
      <w:r w:rsidRPr="00D03F3E">
        <w:rPr>
          <w:rFonts w:ascii="Times New Roman" w:hAnsi="Times New Roman"/>
          <w:color w:val="000000" w:themeColor="text1"/>
          <w:sz w:val="16"/>
          <w:szCs w:val="16"/>
        </w:rPr>
        <w:softHyphen/>
        <w:t>гнетатель, разработанный для М-82ФНА. В таком виде М-83 3 декаб</w:t>
      </w:r>
      <w:r w:rsidRPr="00D03F3E">
        <w:rPr>
          <w:rFonts w:ascii="Times New Roman" w:hAnsi="Times New Roman"/>
          <w:color w:val="000000" w:themeColor="text1"/>
          <w:sz w:val="16"/>
          <w:szCs w:val="16"/>
        </w:rPr>
        <w:softHyphen/>
        <w:t>ря 1943 года был впервые предъяв</w:t>
      </w:r>
      <w:r w:rsidRPr="00D03F3E">
        <w:rPr>
          <w:rFonts w:ascii="Times New Roman" w:hAnsi="Times New Roman"/>
          <w:color w:val="000000" w:themeColor="text1"/>
          <w:sz w:val="16"/>
          <w:szCs w:val="16"/>
        </w:rPr>
        <w:softHyphen/>
        <w:t>лен на 50-часовое совместное испы</w:t>
      </w:r>
      <w:r w:rsidRPr="00D03F3E">
        <w:rPr>
          <w:rFonts w:ascii="Times New Roman" w:hAnsi="Times New Roman"/>
          <w:color w:val="000000" w:themeColor="text1"/>
          <w:sz w:val="16"/>
          <w:szCs w:val="16"/>
        </w:rPr>
        <w:softHyphen/>
        <w:t>тание. Забегая вперед, отметим, что мотор М-83 доводился потом в тече</w:t>
      </w:r>
      <w:r w:rsidRPr="00D03F3E">
        <w:rPr>
          <w:rFonts w:ascii="Times New Roman" w:hAnsi="Times New Roman"/>
          <w:color w:val="000000" w:themeColor="text1"/>
          <w:sz w:val="16"/>
          <w:szCs w:val="16"/>
        </w:rPr>
        <w:softHyphen/>
        <w:t>ние всего 1944 года (слабым местом оказалась крыльчатка нагнетателя), и лишь к началу 1945 года был подго</w:t>
      </w:r>
      <w:r w:rsidRPr="00D03F3E">
        <w:rPr>
          <w:rFonts w:ascii="Times New Roman" w:hAnsi="Times New Roman"/>
          <w:color w:val="000000" w:themeColor="text1"/>
          <w:sz w:val="16"/>
          <w:szCs w:val="16"/>
        </w:rPr>
        <w:softHyphen/>
        <w:t>товлен к запуску в серийное произ</w:t>
      </w:r>
      <w:r w:rsidRPr="00D03F3E">
        <w:rPr>
          <w:rFonts w:ascii="Times New Roman" w:hAnsi="Times New Roman"/>
          <w:color w:val="000000" w:themeColor="text1"/>
          <w:sz w:val="16"/>
          <w:szCs w:val="16"/>
        </w:rPr>
        <w:softHyphen/>
        <w:t>водство, которое, однако, так практи</w:t>
      </w:r>
      <w:r w:rsidRPr="00D03F3E">
        <w:rPr>
          <w:rFonts w:ascii="Times New Roman" w:hAnsi="Times New Roman"/>
          <w:color w:val="000000" w:themeColor="text1"/>
          <w:sz w:val="16"/>
          <w:szCs w:val="16"/>
        </w:rPr>
        <w:softHyphen/>
        <w:t>чески и не было развернуто. В результате этого серийный М-82ФН в 1944-м году не претерпел сколь-нибудь серьезных изменений по сравнению с 1943-м годом, хотя в декабре 1943 года он и был предъяв</w:t>
      </w:r>
      <w:r w:rsidRPr="00D03F3E">
        <w:rPr>
          <w:rFonts w:ascii="Times New Roman" w:hAnsi="Times New Roman"/>
          <w:color w:val="000000" w:themeColor="text1"/>
          <w:sz w:val="16"/>
          <w:szCs w:val="16"/>
        </w:rPr>
        <w:softHyphen/>
        <w:t>лен заводом №19 на 150-часовые испытания:</w:t>
      </w:r>
    </w:p>
    <w:p w14:paraId="7DBE4C9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проведения опытных работ по улучшению конструкции и увеличению механической прочнос</w:t>
      </w:r>
      <w:r w:rsidRPr="00D03F3E">
        <w:rPr>
          <w:rFonts w:ascii="Times New Roman" w:hAnsi="Times New Roman"/>
          <w:color w:val="000000" w:themeColor="text1"/>
          <w:sz w:val="16"/>
          <w:szCs w:val="16"/>
        </w:rPr>
        <w:softHyphen/>
        <w:t>ти отдельных узлов и деталей мотора М-82ФН, нами подготовлен и предъяв</w:t>
      </w:r>
      <w:r w:rsidRPr="00D03F3E">
        <w:rPr>
          <w:rFonts w:ascii="Times New Roman" w:hAnsi="Times New Roman"/>
          <w:color w:val="000000" w:themeColor="text1"/>
          <w:sz w:val="16"/>
          <w:szCs w:val="16"/>
        </w:rPr>
        <w:softHyphen/>
        <w:t>ляется на совместное испытание мо</w:t>
      </w:r>
      <w:r w:rsidRPr="00D03F3E">
        <w:rPr>
          <w:rFonts w:ascii="Times New Roman" w:hAnsi="Times New Roman"/>
          <w:color w:val="000000" w:themeColor="text1"/>
          <w:sz w:val="16"/>
          <w:szCs w:val="16"/>
        </w:rPr>
        <w:softHyphen/>
        <w:t>тор М-82ФН № 8211970 со 150 ча</w:t>
      </w:r>
      <w:r w:rsidRPr="00D03F3E">
        <w:rPr>
          <w:rFonts w:ascii="Times New Roman" w:hAnsi="Times New Roman"/>
          <w:color w:val="000000" w:themeColor="text1"/>
          <w:sz w:val="16"/>
          <w:szCs w:val="16"/>
        </w:rPr>
        <w:softHyphen/>
        <w:t>совым ресурсом.</w:t>
      </w:r>
    </w:p>
    <w:p w14:paraId="088D1F2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Конструктивные отличия этого мо</w:t>
      </w:r>
      <w:r w:rsidRPr="00D03F3E">
        <w:rPr>
          <w:rFonts w:ascii="Times New Roman" w:hAnsi="Times New Roman"/>
          <w:color w:val="000000" w:themeColor="text1"/>
          <w:sz w:val="16"/>
          <w:szCs w:val="16"/>
        </w:rPr>
        <w:softHyphen/>
        <w:t>тора следующие:</w:t>
      </w:r>
    </w:p>
    <w:p w14:paraId="28F14DB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Усилены гильзы цилиндров.</w:t>
      </w:r>
    </w:p>
    <w:p w14:paraId="4C3F864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Проведены улучшения в клапа</w:t>
      </w:r>
      <w:r w:rsidRPr="00D03F3E">
        <w:rPr>
          <w:rFonts w:ascii="Times New Roman" w:hAnsi="Times New Roman"/>
          <w:color w:val="000000" w:themeColor="text1"/>
          <w:sz w:val="16"/>
          <w:szCs w:val="16"/>
        </w:rPr>
        <w:softHyphen/>
        <w:t>на впуска и выпуска.</w:t>
      </w:r>
    </w:p>
    <w:p w14:paraId="3C0F23F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Изменена конструкция крепле</w:t>
      </w:r>
      <w:r w:rsidRPr="00D03F3E">
        <w:rPr>
          <w:rFonts w:ascii="Times New Roman" w:hAnsi="Times New Roman"/>
          <w:color w:val="000000" w:themeColor="text1"/>
          <w:sz w:val="16"/>
          <w:szCs w:val="16"/>
        </w:rPr>
        <w:softHyphen/>
        <w:t>ния кожухов тяг на жесткую для луч</w:t>
      </w:r>
      <w:r w:rsidRPr="00D03F3E">
        <w:rPr>
          <w:rFonts w:ascii="Times New Roman" w:hAnsi="Times New Roman"/>
          <w:color w:val="000000" w:themeColor="text1"/>
          <w:sz w:val="16"/>
          <w:szCs w:val="16"/>
        </w:rPr>
        <w:softHyphen/>
        <w:t>шего уплотнения.</w:t>
      </w:r>
    </w:p>
    <w:p w14:paraId="2BE484B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Коленчатый вал имеет плаваю</w:t>
      </w:r>
      <w:r w:rsidRPr="00D03F3E">
        <w:rPr>
          <w:rFonts w:ascii="Times New Roman" w:hAnsi="Times New Roman"/>
          <w:color w:val="000000" w:themeColor="text1"/>
          <w:sz w:val="16"/>
          <w:szCs w:val="16"/>
        </w:rPr>
        <w:softHyphen/>
        <w:t>щие втулки заднего противовеса.</w:t>
      </w:r>
    </w:p>
    <w:p w14:paraId="78C4383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Изменена передача к регулято</w:t>
      </w:r>
      <w:r w:rsidRPr="00D03F3E">
        <w:rPr>
          <w:rFonts w:ascii="Times New Roman" w:hAnsi="Times New Roman"/>
          <w:color w:val="000000" w:themeColor="text1"/>
          <w:sz w:val="16"/>
          <w:szCs w:val="16"/>
        </w:rPr>
        <w:softHyphen/>
        <w:t>ру Р-7 (с 0,88 на 1,023).</w:t>
      </w:r>
    </w:p>
    <w:p w14:paraId="1AADB11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Увеличены откачивающие кана</w:t>
      </w:r>
      <w:r w:rsidRPr="00D03F3E">
        <w:rPr>
          <w:rFonts w:ascii="Times New Roman" w:hAnsi="Times New Roman"/>
          <w:color w:val="000000" w:themeColor="text1"/>
          <w:sz w:val="16"/>
          <w:szCs w:val="16"/>
        </w:rPr>
        <w:softHyphen/>
        <w:t>лы в задней крышке и заднем корпу</w:t>
      </w:r>
      <w:r w:rsidRPr="00D03F3E">
        <w:rPr>
          <w:rFonts w:ascii="Times New Roman" w:hAnsi="Times New Roman"/>
          <w:color w:val="000000" w:themeColor="text1"/>
          <w:sz w:val="16"/>
          <w:szCs w:val="16"/>
        </w:rPr>
        <w:softHyphen/>
        <w:t>се нагнетателя» (10714).</w:t>
      </w:r>
    </w:p>
    <w:p w14:paraId="146F4C7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D56945" w14:textId="77777777" w:rsidR="002036A8" w:rsidRPr="00D03F3E" w:rsidRDefault="002036A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Н. Н. Поликарпов командировал Суханова с проектом кольцеплана в Москву. После рассмотрения проекта в ЦАГИ принято решение о проведении аэродинамических исследований моделей самолета-кольцеплана в аэродинамической лаборатории МАИ. В течение 1943 г. научно-исследовательская работа с аэродинамическими моделями была успешно завершена. С приоритетом от 1942 г. М. В. Суханову выдано авторское свидетельство на изобретение самолета короткого взлета и посадки с кольцевым крылом.</w:t>
      </w:r>
    </w:p>
    <w:p w14:paraId="72342F17" w14:textId="77777777" w:rsidR="002036A8" w:rsidRPr="00D03F3E" w:rsidRDefault="002036A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Технические данные «Кольцеплана»: взлетная масса 2500 кг, мощность двигателя М-82А 1600 л.с, диаметр кольцевого крыла 3 м, несущая площадь крыла 10,5 кв.м. Хорда пилонов крыла 1,1 м, диаметр соосных винтов 3 м. Максимальная расчетная скорость 740 км/ч. Скорость на высоте 3000 м — 640 км/ч. Хвостовое оперение — нормальной схемы, элероны установлены на пилонах, связывающих фюзеляж с кольцевым крылом. Шасси — трехстоечное, стояночный угол 30°. Основные стойки шасси убирались в крыло (15541).</w:t>
      </w:r>
    </w:p>
    <w:p w14:paraId="56FF79F1" w14:textId="77777777" w:rsidR="002036A8" w:rsidRPr="00D03F3E" w:rsidRDefault="002036A8" w:rsidP="00D03F3E">
      <w:pPr>
        <w:spacing w:after="0" w:line="240" w:lineRule="auto"/>
        <w:jc w:val="both"/>
        <w:rPr>
          <w:rFonts w:ascii="Times New Roman" w:hAnsi="Times New Roman"/>
          <w:color w:val="000000" w:themeColor="text1"/>
          <w:sz w:val="16"/>
          <w:szCs w:val="16"/>
        </w:rPr>
      </w:pPr>
    </w:p>
    <w:p w14:paraId="21F604A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Н.Н.П. разработал проект мотопланера МП на базе БДП-2 под два М-11Ф, смонтированных на центроплане (94,111).</w:t>
      </w:r>
    </w:p>
    <w:p w14:paraId="761DE01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2AFFF6"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В начале 1943 г. был испытан Ю-87Д-1, тоже доставленный из-под Сталинграда. Перед войной наша делегация не проявила интереса и не стала закупать Ю-87, считая его устаревшим. Однако пикирующие “юнкерсы” нанесли немало ущерба нашим наземным войскам и в массированных бомбежках городов — мирному населению. Модификацию “Д” немцы начали применять на восточном фронте в сорок втором. Она отличалась от ранее известной модели “В” усиленными конструкцией и бронезащитой экипажа, а также более мощным двигателем. Хорошо подготовленные экипажи могли и на тихоходных “юнкерсах” точно поражать цели с пикирования, а бомбовая нагрузка 1500 кг чуть ли не вдвое превосходила обычную нагрузку советского пикировщика Пе-2.</w:t>
      </w:r>
    </w:p>
    <w:p w14:paraId="53AA7B53"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Но испытания показали, что некоторое увеличение скорости, усиление оборонительного вооружения и бронирования не могли обезопасить эти самолеты от атак истребителей. Максимальная скорость на средней высоте с наружной подвеской бомбы в 500 кг была всего 382 км/ч. Поэтому немцы применяли “юнкерсы” лишь под сильным истребительным прикрытием.</w:t>
      </w:r>
    </w:p>
    <w:p w14:paraId="4E49FBD7"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Специалистам института удалось ознакомиться и с противотанковой моделью “юнкерса”. Переоборудование состояло в снятии бомбодержателей, тормозных решеток, неподвижных пулеметов и установке под крыльями 37-мм зенитных пушек “Рейнметалл”. В последнем варианте заметно ухудшилась маневренность, а максимальная скорость снизилась на 50–60 км/ч относительно обычных вариантов.</w:t>
      </w:r>
    </w:p>
    <w:p w14:paraId="074F3509"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Вместе с противотанковым Ю-87 советским войскам под Брянском удалось захватить в плен и немецкого летчика-испытателя, участвовавшего в войсковых испытаниях этого самолета. Из допроса пленного, в котором участвовали инженеры НИИ капитаны А. Розанов и А. Аронов, выяснилось, что в феврале 1943 г. немцы вооружили партию из 25 Ю-87 и направили на советско-германский фронт.</w:t>
      </w:r>
    </w:p>
    <w:p w14:paraId="04B24A27" w14:textId="77777777" w:rsidR="002E6516" w:rsidRPr="00D03F3E"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Немецкий летчик-испытатель Ганс Тренкман отличался высокой технической подготовкой и солидным летным стажем. Чувствовалось, что в Рехлине тщательно отбирают кандидатов в испытатели. Впечатляющими были оценки Тренкмана новых Ме-109, Ю-88, ФВ-190 (19179).</w:t>
      </w:r>
    </w:p>
    <w:p w14:paraId="46D37044" w14:textId="77777777" w:rsidR="002E6516" w:rsidRPr="00D03F3E" w:rsidRDefault="002E6516" w:rsidP="00D03F3E">
      <w:pPr>
        <w:shd w:val="clear" w:color="auto" w:fill="FFFFFF"/>
        <w:spacing w:after="0" w:line="240" w:lineRule="auto"/>
        <w:jc w:val="both"/>
        <w:textAlignment w:val="baseline"/>
        <w:rPr>
          <w:rFonts w:ascii="Times New Roman" w:hAnsi="Times New Roman"/>
          <w:color w:val="000000" w:themeColor="text1"/>
          <w:sz w:val="16"/>
          <w:szCs w:val="16"/>
        </w:rPr>
      </w:pPr>
    </w:p>
    <w:p w14:paraId="3886C016" w14:textId="77777777" w:rsidR="002E6516" w:rsidRPr="00D03F3E" w:rsidRDefault="002E65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shd w:val="clear" w:color="auto" w:fill="FFFFFF"/>
        </w:rPr>
        <w:t>В начале 1943 года Первые Ю-52 поступили в авиацию НКАП ещё. Они осуществляли срочную переброску различных комплектующих с одного завода на другой. За годы войны ведомственная авиация сильно разрослась. В апреле 1947 года у министерства имелось шесть Ю-52, два небольших двухмоторных FW 58 (ФВ-58) и один маленький двухместный самолёт Клемм К1-35. Затем парк «юнкерсов» увеличился, частично за счёт передачи техники из ГВФ и ВВС. К 1 октября того же года в наличии были десять Ю-52, пять Си-204, «бюккер» неизвестного типа и скоростной связной Мессершмитт Bf 108 «Тайфун». С 1948 года и здесь начался процесс постепенного списания трофейной техники. В том году пошли на слом «бюккер» и три Си-204 (один из них после аварии) (19686).</w:t>
      </w:r>
    </w:p>
    <w:p w14:paraId="2483EE9A" w14:textId="77777777" w:rsidR="002E6516" w:rsidRPr="00D03F3E" w:rsidRDefault="002E6516" w:rsidP="00D03F3E">
      <w:pPr>
        <w:spacing w:after="0" w:line="240" w:lineRule="auto"/>
        <w:jc w:val="both"/>
        <w:rPr>
          <w:rFonts w:ascii="Times New Roman" w:hAnsi="Times New Roman"/>
          <w:color w:val="000000" w:themeColor="text1"/>
          <w:sz w:val="16"/>
          <w:szCs w:val="16"/>
        </w:rPr>
      </w:pPr>
    </w:p>
    <w:p w14:paraId="74653EEB"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Антонов был переведен началь</w:t>
      </w:r>
      <w:r w:rsidRPr="00D03F3E">
        <w:rPr>
          <w:rFonts w:ascii="Times New Roman" w:hAnsi="Times New Roman"/>
          <w:color w:val="000000" w:themeColor="text1"/>
          <w:sz w:val="16"/>
          <w:szCs w:val="16"/>
        </w:rPr>
        <w:softHyphen/>
        <w:t>ником филиала конструкторского бюро А.С. Яковлева на авиационном заводе № 153 в Новосибирске, а все работы по планеру принял на себя Москалёв, который впоследствии и вел серию. Всего было построено около 400 планеров А-7.</w:t>
      </w:r>
    </w:p>
    <w:p w14:paraId="6B2BA751"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Планер А-7 предназначался для перевозки 1 пилота и 6 десантников с полным снаряжением, или 700 кг гру</w:t>
      </w:r>
      <w:r w:rsidRPr="00D03F3E">
        <w:rPr>
          <w:rFonts w:ascii="Times New Roman" w:hAnsi="Times New Roman"/>
          <w:color w:val="000000" w:themeColor="text1"/>
          <w:sz w:val="16"/>
          <w:szCs w:val="16"/>
        </w:rPr>
        <w:softHyphen/>
        <w:t>за (в перегруз — до 10ОО кг). Планер был свободноне- сущим монопланом с верхним расположением крыла и классическим хвостовым оперением. Конструкция была деревянной, максимально упрощенной, рас</w:t>
      </w:r>
      <w:r w:rsidRPr="00D03F3E">
        <w:rPr>
          <w:rFonts w:ascii="Times New Roman" w:hAnsi="Times New Roman"/>
          <w:color w:val="000000" w:themeColor="text1"/>
          <w:sz w:val="16"/>
          <w:szCs w:val="16"/>
        </w:rPr>
        <w:softHyphen/>
        <w:t>считанной на применение неквалифицированного труда. Металл применялся только в высоконагружен- ных частях, в деталях шасси и в крепеже. Применялись также плексиглас и полотно.</w:t>
      </w:r>
    </w:p>
    <w:p w14:paraId="04BEC8A3"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Фюзеляж имел коробча</w:t>
      </w:r>
      <w:r w:rsidRPr="00D03F3E">
        <w:rPr>
          <w:rFonts w:ascii="Times New Roman" w:hAnsi="Times New Roman"/>
          <w:color w:val="000000" w:themeColor="text1"/>
          <w:sz w:val="16"/>
          <w:szCs w:val="16"/>
        </w:rPr>
        <w:softHyphen/>
        <w:t>тое сечение со скругленными углами и килеватостью внизу. В вершине килеватости уста</w:t>
      </w:r>
      <w:r w:rsidRPr="00D03F3E">
        <w:rPr>
          <w:rFonts w:ascii="Times New Roman" w:hAnsi="Times New Roman"/>
          <w:color w:val="000000" w:themeColor="text1"/>
          <w:sz w:val="16"/>
          <w:szCs w:val="16"/>
        </w:rPr>
        <w:softHyphen/>
        <w:t>навливалась мощная дере</w:t>
      </w:r>
      <w:r w:rsidRPr="00D03F3E">
        <w:rPr>
          <w:rFonts w:ascii="Times New Roman" w:hAnsi="Times New Roman"/>
          <w:color w:val="000000" w:themeColor="text1"/>
          <w:sz w:val="16"/>
          <w:szCs w:val="16"/>
        </w:rPr>
        <w:softHyphen/>
        <w:t>вянная посадочная лыжа (без амортизации). Эта лыжа была главным силовым элементом в конструкции фюзеляжа — к ней крепились шпангоуты и грузовой пол кабины. На</w:t>
      </w:r>
      <w:r w:rsidRPr="00D03F3E">
        <w:rPr>
          <w:rFonts w:ascii="Times New Roman" w:hAnsi="Times New Roman"/>
          <w:color w:val="000000" w:themeColor="text1"/>
          <w:sz w:val="16"/>
          <w:szCs w:val="16"/>
        </w:rPr>
        <w:softHyphen/>
        <w:t>бор фюзеляжа выполнялся из шпангоутов, сделанных из реек и фанеры, продольных деревянных стрингеров и фа</w:t>
      </w:r>
      <w:r w:rsidRPr="00D03F3E">
        <w:rPr>
          <w:rFonts w:ascii="Times New Roman" w:hAnsi="Times New Roman"/>
          <w:color w:val="000000" w:themeColor="text1"/>
          <w:sz w:val="16"/>
          <w:szCs w:val="16"/>
        </w:rPr>
        <w:softHyphen/>
        <w:t>нерной обшивки. Толщина обшивки уменьшалась по на</w:t>
      </w:r>
      <w:r w:rsidRPr="00D03F3E">
        <w:rPr>
          <w:rFonts w:ascii="Times New Roman" w:hAnsi="Times New Roman"/>
          <w:color w:val="000000" w:themeColor="text1"/>
          <w:sz w:val="16"/>
          <w:szCs w:val="16"/>
        </w:rPr>
        <w:softHyphen/>
        <w:t>правлению к хвосту.</w:t>
      </w:r>
    </w:p>
    <w:p w14:paraId="2623D295"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шпангоутами 1—5 оборудована кабина пилота. Кресло пилота делалось из фанеры, на приборной до</w:t>
      </w:r>
      <w:r w:rsidRPr="00D03F3E">
        <w:rPr>
          <w:rFonts w:ascii="Times New Roman" w:hAnsi="Times New Roman"/>
          <w:color w:val="000000" w:themeColor="text1"/>
          <w:sz w:val="16"/>
          <w:szCs w:val="16"/>
        </w:rPr>
        <w:softHyphen/>
        <w:t>ске устанавливали минимум приооров: указатель скоро</w:t>
      </w:r>
      <w:r w:rsidRPr="00D03F3E">
        <w:rPr>
          <w:rFonts w:ascii="Times New Roman" w:hAnsi="Times New Roman"/>
          <w:color w:val="000000" w:themeColor="text1"/>
          <w:sz w:val="16"/>
          <w:szCs w:val="16"/>
        </w:rPr>
        <w:softHyphen/>
        <w:t>сти, указатель поворота, вы</w:t>
      </w:r>
      <w:r w:rsidRPr="00D03F3E">
        <w:rPr>
          <w:rFonts w:ascii="Times New Roman" w:hAnsi="Times New Roman"/>
          <w:color w:val="000000" w:themeColor="text1"/>
          <w:sz w:val="16"/>
          <w:szCs w:val="16"/>
        </w:rPr>
        <w:softHyphen/>
        <w:t>сотомер двухстрелочный (на 12 км), часы и магнитный компас КИ-10. Органы управления были классическими — ручка и педали. На левом борту кабины, на щитке, устанавливались штурвальчик управления триммером руля высоты и штурвал тросовой лебедки управления посадочными щитками. Рычаг раскрытия буксировочного замка на</w:t>
      </w:r>
      <w:r w:rsidRPr="00D03F3E">
        <w:rPr>
          <w:rFonts w:ascii="Times New Roman" w:hAnsi="Times New Roman"/>
          <w:color w:val="000000" w:themeColor="text1"/>
          <w:sz w:val="16"/>
          <w:szCs w:val="16"/>
        </w:rPr>
        <w:softHyphen/>
        <w:t>ходился под приборной доской. Над кабиной, на мач</w:t>
      </w:r>
      <w:r w:rsidRPr="00D03F3E">
        <w:rPr>
          <w:rFonts w:ascii="Times New Roman" w:hAnsi="Times New Roman"/>
          <w:color w:val="000000" w:themeColor="text1"/>
          <w:sz w:val="16"/>
          <w:szCs w:val="16"/>
        </w:rPr>
        <w:softHyphen/>
        <w:t>те высотой 750 мм, крепилась трубка ПВД, а на пра</w:t>
      </w:r>
      <w:r w:rsidRPr="00D03F3E">
        <w:rPr>
          <w:rFonts w:ascii="Times New Roman" w:hAnsi="Times New Roman"/>
          <w:color w:val="000000" w:themeColor="text1"/>
          <w:sz w:val="16"/>
          <w:szCs w:val="16"/>
        </w:rPr>
        <w:softHyphen/>
        <w:t>вом борту — трубка Вентури, для привода указателя поворота. На некоторых планерах трубка ПВД распо</w:t>
      </w:r>
      <w:r w:rsidRPr="00D03F3E">
        <w:rPr>
          <w:rFonts w:ascii="Times New Roman" w:hAnsi="Times New Roman"/>
          <w:color w:val="000000" w:themeColor="text1"/>
          <w:sz w:val="16"/>
          <w:szCs w:val="16"/>
        </w:rPr>
        <w:softHyphen/>
        <w:t>лагалась на правом крыле. На правом борту кабины крепился сигнальный пистолет с комплектом цветных ракет, с помощью которых подавались сигналы поса</w:t>
      </w:r>
      <w:r w:rsidRPr="00D03F3E">
        <w:rPr>
          <w:rFonts w:ascii="Times New Roman" w:hAnsi="Times New Roman"/>
          <w:color w:val="000000" w:themeColor="text1"/>
          <w:sz w:val="16"/>
          <w:szCs w:val="16"/>
        </w:rPr>
        <w:softHyphen/>
        <w:t>дочной команде на земле.</w:t>
      </w:r>
    </w:p>
    <w:p w14:paraId="47526EE7"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Грузовая кабина располагалась между 5-м и 15-м шпангоутами. Она имела деревянный пол, разорван</w:t>
      </w:r>
      <w:r w:rsidRPr="00D03F3E">
        <w:rPr>
          <w:rFonts w:ascii="Times New Roman" w:hAnsi="Times New Roman"/>
          <w:color w:val="000000" w:themeColor="text1"/>
          <w:sz w:val="16"/>
          <w:szCs w:val="16"/>
        </w:rPr>
        <w:softHyphen/>
        <w:t>ный в районе шасси. Откидные скамейки для шести десантников располагались в шахматном порядке — 4 по бортам и две в центре, по обеим сторонам от ходового винта шасси. Ходовой винт делил грузовую кабину на две части. Это было крайне неудобно. По</w:t>
      </w:r>
      <w:r w:rsidRPr="00D03F3E">
        <w:rPr>
          <w:rFonts w:ascii="Times New Roman" w:hAnsi="Times New Roman"/>
          <w:color w:val="000000" w:themeColor="text1"/>
          <w:sz w:val="16"/>
          <w:szCs w:val="16"/>
        </w:rPr>
        <w:softHyphen/>
        <w:t>этому для загрузки в переднюю часть кабины сдела</w:t>
      </w:r>
      <w:r w:rsidRPr="00D03F3E">
        <w:rPr>
          <w:rFonts w:ascii="Times New Roman" w:hAnsi="Times New Roman"/>
          <w:color w:val="000000" w:themeColor="text1"/>
          <w:sz w:val="16"/>
          <w:szCs w:val="16"/>
        </w:rPr>
        <w:softHyphen/>
        <w:t xml:space="preserve">на дверь в левом борту, а для загрузки в хвостовую часть — в правом. В кабине </w:t>
      </w:r>
      <w:r w:rsidRPr="00D03F3E">
        <w:rPr>
          <w:rFonts w:ascii="Times New Roman" w:hAnsi="Times New Roman"/>
          <w:color w:val="000000" w:themeColor="text1"/>
          <w:sz w:val="16"/>
          <w:szCs w:val="16"/>
        </w:rPr>
        <w:lastRenderedPageBreak/>
        <w:t>было очень тесно. Ска</w:t>
      </w:r>
      <w:r w:rsidRPr="00D03F3E">
        <w:rPr>
          <w:rFonts w:ascii="Times New Roman" w:hAnsi="Times New Roman"/>
          <w:color w:val="000000" w:themeColor="text1"/>
          <w:sz w:val="16"/>
          <w:szCs w:val="16"/>
        </w:rPr>
        <w:softHyphen/>
        <w:t>мейки перекрывали проемы дверей. Поэтому их сделали откидными, и только откинув (или сняв) их, можно было открыть (или снять) двери. Почему такое конструкторское решение пропустили военные — не</w:t>
      </w:r>
      <w:r w:rsidRPr="00D03F3E">
        <w:rPr>
          <w:rFonts w:ascii="Times New Roman" w:hAnsi="Times New Roman"/>
          <w:color w:val="000000" w:themeColor="text1"/>
          <w:sz w:val="16"/>
          <w:szCs w:val="16"/>
        </w:rPr>
        <w:softHyphen/>
        <w:t>понятно, ведь в случае жесткой посадки фюзеляж мог деформироваться, сиденья могло заклинить, и тогда открыть двери и покинуть планер становилось невоз</w:t>
      </w:r>
      <w:r w:rsidRPr="00D03F3E">
        <w:rPr>
          <w:rFonts w:ascii="Times New Roman" w:hAnsi="Times New Roman"/>
          <w:color w:val="000000" w:themeColor="text1"/>
          <w:sz w:val="16"/>
          <w:szCs w:val="16"/>
        </w:rPr>
        <w:softHyphen/>
        <w:t>можно. Аварийные люки отсутствовали. Пол грузовой кабины не был ровным, он имел прогиб в середине, что также создавало неудобства в грузовых опера</w:t>
      </w:r>
      <w:r w:rsidRPr="00D03F3E">
        <w:rPr>
          <w:rFonts w:ascii="Times New Roman" w:hAnsi="Times New Roman"/>
          <w:color w:val="000000" w:themeColor="text1"/>
          <w:sz w:val="16"/>
          <w:szCs w:val="16"/>
        </w:rPr>
        <w:softHyphen/>
        <w:t>циях. И наконец, нишу для уборки основного колеса невозможно было изолировать от грузовой кабины, ведь ходовой винт и подкосы шасси заходили в каби</w:t>
      </w:r>
      <w:r w:rsidRPr="00D03F3E">
        <w:rPr>
          <w:rFonts w:ascii="Times New Roman" w:hAnsi="Times New Roman"/>
          <w:color w:val="000000" w:themeColor="text1"/>
          <w:sz w:val="16"/>
          <w:szCs w:val="16"/>
        </w:rPr>
        <w:softHyphen/>
        <w:t>ну. В результате в кабине гуляли сильные сквозняки в течение всего полета. Это было особенно противно при полетах (особенно длительных) зимой. Для осве</w:t>
      </w:r>
      <w:r w:rsidRPr="00D03F3E">
        <w:rPr>
          <w:rFonts w:ascii="Times New Roman" w:hAnsi="Times New Roman"/>
          <w:color w:val="000000" w:themeColor="text1"/>
          <w:sz w:val="16"/>
          <w:szCs w:val="16"/>
        </w:rPr>
        <w:softHyphen/>
        <w:t>щения кабины служили иллюминаторы. На некоторых планерах они были сделаны открывающимися, чтобы десантники могли вести огонь в воздухе из личного оружия. Для этой же цели служили два иллюминатора в полу.</w:t>
      </w:r>
    </w:p>
    <w:p w14:paraId="4075666A"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Посадочные приспособления планера состояли из посадочной лыжи, колесного шасси и хвостового костыля. Шасси ферменного типа могло убираться в полете. Каждая стойка имела колесо размером 400 х 150 мм, которое крепилось на треугольную траверсу. Траверса могла поворачиваться на шарнирах, закре</w:t>
      </w:r>
      <w:r w:rsidRPr="00D03F3E">
        <w:rPr>
          <w:rFonts w:ascii="Times New Roman" w:hAnsi="Times New Roman"/>
          <w:color w:val="000000" w:themeColor="text1"/>
          <w:sz w:val="16"/>
          <w:szCs w:val="16"/>
        </w:rPr>
        <w:softHyphen/>
        <w:t>пленных на борту фюзеляжа. Ось колеса переходила в шток, проходящий через амортизатор, имеющий резиновые пластины для поглощения ударов. Амор</w:t>
      </w:r>
      <w:r w:rsidRPr="00D03F3E">
        <w:rPr>
          <w:rFonts w:ascii="Times New Roman" w:hAnsi="Times New Roman"/>
          <w:color w:val="000000" w:themeColor="text1"/>
          <w:sz w:val="16"/>
          <w:szCs w:val="16"/>
        </w:rPr>
        <w:softHyphen/>
        <w:t>тизатор неподвижно закреплен на траверсе. В месте пересечения оси и штока сделан шарнир, к которому присоединен подкос. Два подкоса (от обеих стоек) сходились в плоскости симметрии планера и крепи</w:t>
      </w:r>
      <w:r w:rsidRPr="00D03F3E">
        <w:rPr>
          <w:rFonts w:ascii="Times New Roman" w:hAnsi="Times New Roman"/>
          <w:color w:val="000000" w:themeColor="text1"/>
          <w:sz w:val="16"/>
          <w:szCs w:val="16"/>
        </w:rPr>
        <w:softHyphen/>
        <w:t>лись с помощью шарниров на ходовой гайке. Ходовой винт установлен вертикально в грузовой кабине, от пола до потолка. Пилот (или кто-либо из десантни</w:t>
      </w:r>
      <w:r w:rsidRPr="00D03F3E">
        <w:rPr>
          <w:rFonts w:ascii="Times New Roman" w:hAnsi="Times New Roman"/>
          <w:color w:val="000000" w:themeColor="text1"/>
          <w:sz w:val="16"/>
          <w:szCs w:val="16"/>
        </w:rPr>
        <w:softHyphen/>
        <w:t>ков), вращая маховик, приводил во вращение ходо</w:t>
      </w:r>
      <w:r w:rsidRPr="00D03F3E">
        <w:rPr>
          <w:rFonts w:ascii="Times New Roman" w:hAnsi="Times New Roman"/>
          <w:color w:val="000000" w:themeColor="text1"/>
          <w:sz w:val="16"/>
          <w:szCs w:val="16"/>
        </w:rPr>
        <w:softHyphen/>
        <w:t>вой винт, в результате чего гайка приходила в движе</w:t>
      </w:r>
      <w:r w:rsidRPr="00D03F3E">
        <w:rPr>
          <w:rFonts w:ascii="Times New Roman" w:hAnsi="Times New Roman"/>
          <w:color w:val="000000" w:themeColor="text1"/>
          <w:sz w:val="16"/>
          <w:szCs w:val="16"/>
        </w:rPr>
        <w:softHyphen/>
        <w:t>ние. При движении гайки вверх происходила уборка шасси, а при движении вниз — выпуск. Колеса убира</w:t>
      </w:r>
      <w:r w:rsidRPr="00D03F3E">
        <w:rPr>
          <w:rFonts w:ascii="Times New Roman" w:hAnsi="Times New Roman"/>
          <w:color w:val="000000" w:themeColor="text1"/>
          <w:sz w:val="16"/>
          <w:szCs w:val="16"/>
        </w:rPr>
        <w:softHyphen/>
        <w:t>лись в ниши, оборудованные под полом кабины. При этом пришлось разорвать обшивку (в нижней части фюзеляжа) и грузовой пол, что ослабило конструк</w:t>
      </w:r>
      <w:r w:rsidRPr="00D03F3E">
        <w:rPr>
          <w:rFonts w:ascii="Times New Roman" w:hAnsi="Times New Roman"/>
          <w:color w:val="000000" w:themeColor="text1"/>
          <w:sz w:val="16"/>
          <w:szCs w:val="16"/>
        </w:rPr>
        <w:softHyphen/>
        <w:t>цию. О том, что винт и подкосы перегораживают ка</w:t>
      </w:r>
      <w:r w:rsidRPr="00D03F3E">
        <w:rPr>
          <w:rFonts w:ascii="Times New Roman" w:hAnsi="Times New Roman"/>
          <w:color w:val="000000" w:themeColor="text1"/>
          <w:sz w:val="16"/>
          <w:szCs w:val="16"/>
        </w:rPr>
        <w:softHyphen/>
        <w:t>бину, уже говорилось. Конечно, уборка шасси умень</w:t>
      </w:r>
      <w:r w:rsidRPr="00D03F3E">
        <w:rPr>
          <w:rFonts w:ascii="Times New Roman" w:hAnsi="Times New Roman"/>
          <w:color w:val="000000" w:themeColor="text1"/>
          <w:sz w:val="16"/>
          <w:szCs w:val="16"/>
        </w:rPr>
        <w:softHyphen/>
        <w:t>шала сопротивление и позволяла экономить бензин на буксировщике, но чего больше в этом конструктор</w:t>
      </w:r>
      <w:r w:rsidRPr="00D03F3E">
        <w:rPr>
          <w:rFonts w:ascii="Times New Roman" w:hAnsi="Times New Roman"/>
          <w:color w:val="000000" w:themeColor="text1"/>
          <w:sz w:val="16"/>
          <w:szCs w:val="16"/>
        </w:rPr>
        <w:softHyphen/>
        <w:t>ском решении — плюсов или минусов, нужно еще по</w:t>
      </w:r>
      <w:r w:rsidRPr="00D03F3E">
        <w:rPr>
          <w:rFonts w:ascii="Times New Roman" w:hAnsi="Times New Roman"/>
          <w:color w:val="000000" w:themeColor="text1"/>
          <w:sz w:val="16"/>
          <w:szCs w:val="16"/>
        </w:rPr>
        <w:softHyphen/>
        <w:t>смотреть. На хвосте фюзеляжа установлен костыль с рессорной амортизацией. Костыль закрыт довольно крупным обтекателем.</w:t>
      </w:r>
    </w:p>
    <w:p w14:paraId="72E6C9D2"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Крыло большого удлинения имело профиль Р-111 с относительной толщиной 18%. Угол установки кры</w:t>
      </w:r>
      <w:r w:rsidRPr="00D03F3E">
        <w:rPr>
          <w:rFonts w:ascii="Times New Roman" w:hAnsi="Times New Roman"/>
          <w:color w:val="000000" w:themeColor="text1"/>
          <w:sz w:val="16"/>
          <w:szCs w:val="16"/>
        </w:rPr>
        <w:softHyphen/>
        <w:t>ла +20°, угол поперечного V отъемных частей +30°. Крыло состояло из небольшого центроплана прямо</w:t>
      </w:r>
      <w:r w:rsidRPr="00D03F3E">
        <w:rPr>
          <w:rFonts w:ascii="Times New Roman" w:hAnsi="Times New Roman"/>
          <w:color w:val="000000" w:themeColor="text1"/>
          <w:sz w:val="16"/>
          <w:szCs w:val="16"/>
        </w:rPr>
        <w:softHyphen/>
        <w:t>угольной формы и двух ОЧК трапециевидной формы с эллиптическими законцовками. Центроплан полно</w:t>
      </w:r>
      <w:r w:rsidRPr="00D03F3E">
        <w:rPr>
          <w:rFonts w:ascii="Times New Roman" w:hAnsi="Times New Roman"/>
          <w:color w:val="000000" w:themeColor="text1"/>
          <w:sz w:val="16"/>
          <w:szCs w:val="16"/>
        </w:rPr>
        <w:softHyphen/>
        <w:t>стью зашивался фанерой. На передней кромке, сле</w:t>
      </w:r>
      <w:r w:rsidRPr="00D03F3E">
        <w:rPr>
          <w:rFonts w:ascii="Times New Roman" w:hAnsi="Times New Roman"/>
          <w:color w:val="000000" w:themeColor="text1"/>
          <w:sz w:val="16"/>
          <w:szCs w:val="16"/>
        </w:rPr>
        <w:softHyphen/>
        <w:t>ва, установлена посадочная фара. ОЧК зашивались фанерой от передней кромки до первого лонжерона. Далее обшивка — полотняная. На задней кромке кры</w:t>
      </w:r>
      <w:r w:rsidRPr="00D03F3E">
        <w:rPr>
          <w:rFonts w:ascii="Times New Roman" w:hAnsi="Times New Roman"/>
          <w:color w:val="000000" w:themeColor="text1"/>
          <w:sz w:val="16"/>
          <w:szCs w:val="16"/>
        </w:rPr>
        <w:softHyphen/>
        <w:t>ла размещены посадочные щитки и элероны. Щитки имели жесткую обшивку из фанеры, а элероны — фа</w:t>
      </w:r>
      <w:r w:rsidRPr="00D03F3E">
        <w:rPr>
          <w:rFonts w:ascii="Times New Roman" w:hAnsi="Times New Roman"/>
          <w:color w:val="000000" w:themeColor="text1"/>
          <w:sz w:val="16"/>
          <w:szCs w:val="16"/>
        </w:rPr>
        <w:softHyphen/>
        <w:t>нерную обшивку в передней части (до лонжерона), а далее — полотно. Элероны, типа Фрайз, имели ве</w:t>
      </w:r>
      <w:r w:rsidRPr="00D03F3E">
        <w:rPr>
          <w:rFonts w:ascii="Times New Roman" w:hAnsi="Times New Roman"/>
          <w:color w:val="000000" w:themeColor="text1"/>
          <w:sz w:val="16"/>
          <w:szCs w:val="16"/>
        </w:rPr>
        <w:softHyphen/>
        <w:t>совую и аэродинамическую компенсацию. Каждый элерон был разделен на две секции. Интересно, что относительная часть хорды, занимаемая элероном, заметно возрастает в направлении от фюзеляжа к законцовке. Для чего так сделано, я не знаю, но могу предположить, что так боролись с риверсом элеронов на узком и длинном крыле. На правом элероне уста</w:t>
      </w:r>
      <w:r w:rsidRPr="00D03F3E">
        <w:rPr>
          <w:rFonts w:ascii="Times New Roman" w:hAnsi="Times New Roman"/>
          <w:color w:val="000000" w:themeColor="text1"/>
          <w:sz w:val="16"/>
          <w:szCs w:val="16"/>
        </w:rPr>
        <w:softHyphen/>
        <w:t>новлен триммер. Интерцепторы устанавливались на верхней поверхности крыла, но в дальнейшем, для упрощения производства, от них отказались.</w:t>
      </w:r>
    </w:p>
    <w:p w14:paraId="1AD96AE9"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Хвостовое оперение планера имеет классическую свободнонесущую конструкцию и состоит из киля, сделанного заодно с фюзеляжем, и стабилизатора. Киль и стабилизатор имеют довольно толстый сим</w:t>
      </w:r>
      <w:r w:rsidRPr="00D03F3E">
        <w:rPr>
          <w:rFonts w:ascii="Times New Roman" w:hAnsi="Times New Roman"/>
          <w:color w:val="000000" w:themeColor="text1"/>
          <w:sz w:val="16"/>
          <w:szCs w:val="16"/>
        </w:rPr>
        <w:softHyphen/>
        <w:t>метричный профиль. Место стыка киля и стабилиза</w:t>
      </w:r>
      <w:r w:rsidRPr="00D03F3E">
        <w:rPr>
          <w:rFonts w:ascii="Times New Roman" w:hAnsi="Times New Roman"/>
          <w:color w:val="000000" w:themeColor="text1"/>
          <w:sz w:val="16"/>
          <w:szCs w:val="16"/>
        </w:rPr>
        <w:softHyphen/>
        <w:t>тора с фюзеляжем закрыто выколоткой из алюминия. Киль и стабилизатор обшивались фанерой. Руль на</w:t>
      </w:r>
      <w:r w:rsidRPr="00D03F3E">
        <w:rPr>
          <w:rFonts w:ascii="Times New Roman" w:hAnsi="Times New Roman"/>
          <w:color w:val="000000" w:themeColor="text1"/>
          <w:sz w:val="16"/>
          <w:szCs w:val="16"/>
        </w:rPr>
        <w:softHyphen/>
        <w:t>правления имеет роговую компенсацию. Передняя часть руля, до лонжерона, зашивалась фанерой. На некоторых планерах противофлаттерный груз кре</w:t>
      </w:r>
      <w:r w:rsidRPr="00D03F3E">
        <w:rPr>
          <w:rFonts w:ascii="Times New Roman" w:hAnsi="Times New Roman"/>
          <w:color w:val="000000" w:themeColor="text1"/>
          <w:sz w:val="16"/>
          <w:szCs w:val="16"/>
        </w:rPr>
        <w:softHyphen/>
        <w:t>пился на кронштейне, но затем его установили вну</w:t>
      </w:r>
      <w:r w:rsidRPr="00D03F3E">
        <w:rPr>
          <w:rFonts w:ascii="Times New Roman" w:hAnsi="Times New Roman"/>
          <w:color w:val="000000" w:themeColor="text1"/>
          <w:sz w:val="16"/>
          <w:szCs w:val="16"/>
        </w:rPr>
        <w:softHyphen/>
        <w:t>три роговой компенсации. На задней кромке РН уста</w:t>
      </w:r>
      <w:r w:rsidRPr="00D03F3E">
        <w:rPr>
          <w:rFonts w:ascii="Times New Roman" w:hAnsi="Times New Roman"/>
          <w:color w:val="000000" w:themeColor="text1"/>
          <w:sz w:val="16"/>
          <w:szCs w:val="16"/>
        </w:rPr>
        <w:softHyphen/>
        <w:t>новлена регулировочная поверхность, переставлять которую можно было на земле. Руль высоты состоял из двух частей и по конструкции был аналогичен эле</w:t>
      </w:r>
      <w:r w:rsidRPr="00D03F3E">
        <w:rPr>
          <w:rFonts w:ascii="Times New Roman" w:hAnsi="Times New Roman"/>
          <w:color w:val="000000" w:themeColor="text1"/>
          <w:sz w:val="16"/>
          <w:szCs w:val="16"/>
        </w:rPr>
        <w:softHyphen/>
        <w:t>ронам. На задней кромке РВ установлены триммеры. Проводка управления — тросовая.</w:t>
      </w:r>
    </w:p>
    <w:p w14:paraId="21E73C98"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Электрооборудование состояло из аккумулятора, бортовых аэронавигационных огней (БАНО) на кры</w:t>
      </w:r>
      <w:r w:rsidRPr="00D03F3E">
        <w:rPr>
          <w:rFonts w:ascii="Times New Roman" w:hAnsi="Times New Roman"/>
          <w:color w:val="000000" w:themeColor="text1"/>
          <w:sz w:val="16"/>
          <w:szCs w:val="16"/>
        </w:rPr>
        <w:softHyphen/>
        <w:t>льях, посадочной фары и лампочек для освещения пилотской и грузовой кабин. Пилот имел фонарик для подачи сигналов буксировщику, так как радиостан</w:t>
      </w:r>
      <w:r w:rsidRPr="00D03F3E">
        <w:rPr>
          <w:rFonts w:ascii="Times New Roman" w:hAnsi="Times New Roman"/>
          <w:color w:val="000000" w:themeColor="text1"/>
          <w:sz w:val="16"/>
          <w:szCs w:val="16"/>
        </w:rPr>
        <w:softHyphen/>
        <w:t>ция или телефон отсутствовали. Планер продувался насквозь не только из-за щелей в фонаре и дверях, но главным образом из-за наличия больших проемов в районе размещения шасси. Основные данные плане</w:t>
      </w:r>
      <w:r w:rsidRPr="00D03F3E">
        <w:rPr>
          <w:rFonts w:ascii="Times New Roman" w:hAnsi="Times New Roman"/>
          <w:color w:val="000000" w:themeColor="text1"/>
          <w:sz w:val="16"/>
          <w:szCs w:val="16"/>
        </w:rPr>
        <w:softHyphen/>
        <w:t>ра А-7 и его аналогов приведены в таблице</w:t>
      </w:r>
    </w:p>
    <w:p w14:paraId="3F0C65CA"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ДАННЫЕ ПЛАНЕРА А-7 И ЕГО ЗАРУБЕЖНЫХ АНАЛОГОВ</w:t>
      </w:r>
    </w:p>
    <w:tbl>
      <w:tblPr>
        <w:tblW w:w="0" w:type="auto"/>
        <w:tblInd w:w="-18" w:type="dxa"/>
        <w:tblLayout w:type="fixed"/>
        <w:tblCellMar>
          <w:left w:w="10" w:type="dxa"/>
          <w:right w:w="10" w:type="dxa"/>
        </w:tblCellMar>
        <w:tblLook w:val="0000" w:firstRow="0" w:lastRow="0" w:firstColumn="0" w:lastColumn="0" w:noHBand="0" w:noVBand="0"/>
      </w:tblPr>
      <w:tblGrid>
        <w:gridCol w:w="3755"/>
        <w:gridCol w:w="1530"/>
        <w:gridCol w:w="2070"/>
        <w:gridCol w:w="2275"/>
      </w:tblGrid>
      <w:tr w:rsidR="00860B4B" w:rsidRPr="00D03F3E" w14:paraId="5C6695F7" w14:textId="77777777" w:rsidTr="009D1CFD">
        <w:trPr>
          <w:trHeight w:val="839"/>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59A9D6AA"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Типы планеров Характеристики</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639D2141"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Антонов, А-7</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1E11B13A"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Сепега! А1гсга« Ид, Но*$риг Мк. II</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27C8C627"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81.1.0Ш8 АксгаП Согрогайоп, ХСО-7</w:t>
            </w:r>
          </w:p>
        </w:tc>
      </w:tr>
      <w:tr w:rsidR="00860B4B" w:rsidRPr="00D03F3E" w14:paraId="23B48965" w14:textId="77777777" w:rsidTr="009D1CFD">
        <w:trPr>
          <w:trHeight w:val="274"/>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66940FBA"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Страна</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592C3B18"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СССР</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10E3F079"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Великобритания</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138D02E3"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США</w:t>
            </w:r>
          </w:p>
        </w:tc>
      </w:tr>
      <w:tr w:rsidR="00860B4B" w:rsidRPr="00D03F3E" w14:paraId="16EC3AD6" w14:textId="77777777" w:rsidTr="009D1CFD">
        <w:trPr>
          <w:trHeight w:val="241"/>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6007B3BE"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Дата первого вылета</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228767E0"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02.09.1941</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3FA8CCC6"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04.11.1940</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49C49DF2"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11.1942</w:t>
            </w:r>
          </w:p>
        </w:tc>
      </w:tr>
      <w:tr w:rsidR="00860B4B" w:rsidRPr="00D03F3E" w14:paraId="13F40680" w14:textId="77777777" w:rsidTr="009D1CFD">
        <w:trPr>
          <w:trHeight w:val="266"/>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7F99E91F"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Общее число построенных планеров, шт.</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4E91521B"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400</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3807BBC9"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997</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1BBBF007"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3AB13D91" w14:textId="77777777" w:rsidTr="009D1CFD">
        <w:trPr>
          <w:trHeight w:val="248"/>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13AA1AB2"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м</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7FCEC8FF"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10,54</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3B01D087"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12,1</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4FA9A87A"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10,97</w:t>
            </w:r>
          </w:p>
        </w:tc>
      </w:tr>
      <w:tr w:rsidR="00860B4B" w:rsidRPr="00D03F3E" w14:paraId="1EA9C9BB" w14:textId="77777777" w:rsidTr="009D1CFD">
        <w:trPr>
          <w:trHeight w:val="277"/>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3C93B712"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Размах крыла, м</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09E30DC0"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66933AEA"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15,21</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39481DBE"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24,38</w:t>
            </w:r>
          </w:p>
        </w:tc>
      </w:tr>
      <w:tr w:rsidR="00860B4B" w:rsidRPr="00D03F3E" w14:paraId="08E6D702" w14:textId="77777777" w:rsidTr="009D1CFD">
        <w:trPr>
          <w:trHeight w:val="227"/>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72ACDE40"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Высота, м</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6CD73CDA" w14:textId="77777777" w:rsidR="009D1CFD" w:rsidRPr="00D03F3E" w:rsidRDefault="009D1CFD" w:rsidP="00D03F3E">
            <w:pPr>
              <w:spacing w:after="0" w:line="240" w:lineRule="auto"/>
              <w:jc w:val="both"/>
              <w:rPr>
                <w:rFonts w:ascii="Times New Roman" w:hAnsi="Times New Roman"/>
                <w:color w:val="000000" w:themeColor="text1"/>
                <w:sz w:val="16"/>
                <w:szCs w:val="16"/>
              </w:rPr>
            </w:pP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18465DED"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5E8E01C5" w14:textId="77777777" w:rsidR="009D1CFD" w:rsidRPr="00D03F3E" w:rsidRDefault="009D1CFD" w:rsidP="00D03F3E">
            <w:pPr>
              <w:spacing w:after="0" w:line="240" w:lineRule="auto"/>
              <w:jc w:val="both"/>
              <w:rPr>
                <w:rFonts w:ascii="Times New Roman" w:hAnsi="Times New Roman"/>
                <w:color w:val="000000" w:themeColor="text1"/>
                <w:sz w:val="16"/>
                <w:szCs w:val="16"/>
              </w:rPr>
            </w:pPr>
          </w:p>
        </w:tc>
      </w:tr>
      <w:tr w:rsidR="00860B4B" w:rsidRPr="00D03F3E" w14:paraId="69D38913" w14:textId="77777777" w:rsidTr="009D1CFD">
        <w:trPr>
          <w:trHeight w:val="274"/>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1AD3258C"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крыла, кв. М</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315419B7"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026B619E"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25,2</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6C8C9F98"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55,7</w:t>
            </w:r>
          </w:p>
        </w:tc>
      </w:tr>
      <w:tr w:rsidR="00860B4B" w:rsidRPr="00D03F3E" w14:paraId="6980D0BC" w14:textId="77777777" w:rsidTr="009D1CFD">
        <w:trPr>
          <w:trHeight w:val="248"/>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733E7C3C"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пустого планера, кг</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3F30FDF0"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955</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558AA8A4"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796</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43748E38"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2268</w:t>
            </w:r>
          </w:p>
        </w:tc>
      </w:tr>
      <w:tr w:rsidR="00860B4B" w:rsidRPr="00D03F3E" w14:paraId="4A04E2D2" w14:textId="77777777" w:rsidTr="009D1CFD">
        <w:trPr>
          <w:trHeight w:val="263"/>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0DD4A6B3"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взлетный, нормальный, кг</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320BD1CF"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1760</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0A7CAF32"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1648</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6C59BF18"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3175</w:t>
            </w:r>
          </w:p>
        </w:tc>
      </w:tr>
      <w:tr w:rsidR="00860B4B" w:rsidRPr="00D03F3E" w14:paraId="7590F0D4" w14:textId="77777777" w:rsidTr="009D1CFD">
        <w:trPr>
          <w:trHeight w:val="252"/>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387E69BB"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взлетный, перегрузочный, кг</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64AB03CC"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1875</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0FBD9349" w14:textId="77777777" w:rsidR="009D1CFD" w:rsidRPr="00D03F3E" w:rsidRDefault="009D1CFD" w:rsidP="00D03F3E">
            <w:pPr>
              <w:spacing w:after="0" w:line="240" w:lineRule="auto"/>
              <w:jc w:val="both"/>
              <w:rPr>
                <w:rFonts w:ascii="Times New Roman" w:hAnsi="Times New Roman"/>
                <w:color w:val="000000" w:themeColor="text1"/>
                <w:sz w:val="16"/>
                <w:szCs w:val="16"/>
              </w:rPr>
            </w:pP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76C819C1" w14:textId="77777777" w:rsidR="009D1CFD" w:rsidRPr="00D03F3E" w:rsidRDefault="009D1CFD" w:rsidP="00D03F3E">
            <w:pPr>
              <w:spacing w:after="0" w:line="240" w:lineRule="auto"/>
              <w:jc w:val="both"/>
              <w:rPr>
                <w:rFonts w:ascii="Times New Roman" w:hAnsi="Times New Roman"/>
                <w:color w:val="000000" w:themeColor="text1"/>
                <w:sz w:val="16"/>
                <w:szCs w:val="16"/>
              </w:rPr>
            </w:pPr>
          </w:p>
        </w:tc>
      </w:tr>
      <w:tr w:rsidR="00860B4B" w:rsidRPr="00D03F3E" w14:paraId="79B110E3" w14:textId="77777777" w:rsidTr="009D1CFD">
        <w:trPr>
          <w:trHeight w:val="266"/>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5473EEA0"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Нагрузка на крыло, кг/кв. М</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7E964278"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75,8</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6580E755"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65,39</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1D379DE5"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w:t>
            </w:r>
          </w:p>
        </w:tc>
      </w:tr>
      <w:tr w:rsidR="00860B4B" w:rsidRPr="00D03F3E" w14:paraId="6E02BD7E" w14:textId="77777777" w:rsidTr="009D1CFD">
        <w:trPr>
          <w:trHeight w:val="248"/>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18E1C53C"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 пилоты + десантники</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28585083"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5F157087"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548ADB0F"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w:t>
            </w:r>
          </w:p>
        </w:tc>
      </w:tr>
      <w:tr w:rsidR="00860B4B" w:rsidRPr="00D03F3E" w14:paraId="5052CA21" w14:textId="77777777" w:rsidTr="009D1CFD">
        <w:trPr>
          <w:trHeight w:val="259"/>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7A2C6BF4"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Скорость предельная, км/ч</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1536601C"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6211DE5F"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240</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628CD84C" w14:textId="77777777" w:rsidR="009D1CFD" w:rsidRPr="00D03F3E" w:rsidRDefault="009D1CFD" w:rsidP="00D03F3E">
            <w:pPr>
              <w:spacing w:after="0" w:line="240" w:lineRule="auto"/>
              <w:jc w:val="both"/>
              <w:rPr>
                <w:rFonts w:ascii="Times New Roman" w:hAnsi="Times New Roman"/>
                <w:color w:val="000000" w:themeColor="text1"/>
                <w:sz w:val="16"/>
                <w:szCs w:val="16"/>
              </w:rPr>
            </w:pPr>
          </w:p>
        </w:tc>
      </w:tr>
      <w:tr w:rsidR="00860B4B" w:rsidRPr="00D03F3E" w14:paraId="0C9886A7" w14:textId="77777777" w:rsidTr="009D1CFD">
        <w:trPr>
          <w:trHeight w:val="256"/>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13212AC2"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скорость буксировки, км/ч</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7A7214FD"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059C16D0"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209</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5023E86D"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w:t>
            </w:r>
          </w:p>
        </w:tc>
      </w:tr>
      <w:tr w:rsidR="00860B4B" w:rsidRPr="00D03F3E" w14:paraId="056FD5B4" w14:textId="77777777" w:rsidTr="009D1CFD">
        <w:trPr>
          <w:trHeight w:val="256"/>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52725B1B"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Скорость взлетная, км/ч</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081DFB9F"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105</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014AA9F4" w14:textId="77777777" w:rsidR="009D1CFD" w:rsidRPr="00D03F3E" w:rsidRDefault="009D1CFD" w:rsidP="00D03F3E">
            <w:pPr>
              <w:spacing w:after="0" w:line="240" w:lineRule="auto"/>
              <w:jc w:val="both"/>
              <w:rPr>
                <w:rFonts w:ascii="Times New Roman" w:hAnsi="Times New Roman"/>
                <w:color w:val="000000" w:themeColor="text1"/>
                <w:sz w:val="16"/>
                <w:szCs w:val="16"/>
              </w:rPr>
            </w:pP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2866A90B" w14:textId="77777777" w:rsidR="009D1CFD" w:rsidRPr="00D03F3E" w:rsidRDefault="009D1CFD" w:rsidP="00D03F3E">
            <w:pPr>
              <w:spacing w:after="0" w:line="240" w:lineRule="auto"/>
              <w:jc w:val="both"/>
              <w:rPr>
                <w:rFonts w:ascii="Times New Roman" w:hAnsi="Times New Roman"/>
                <w:color w:val="000000" w:themeColor="text1"/>
                <w:sz w:val="16"/>
                <w:szCs w:val="16"/>
              </w:rPr>
            </w:pPr>
          </w:p>
        </w:tc>
      </w:tr>
      <w:tr w:rsidR="00860B4B" w:rsidRPr="00D03F3E" w14:paraId="4A344F29" w14:textId="77777777" w:rsidTr="009D1CFD">
        <w:trPr>
          <w:trHeight w:val="252"/>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2E661D0A"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Скорость посадочная, км/ч</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1E74E522"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0587190B"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2AD861FF"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3A3C5072" w14:textId="77777777" w:rsidTr="009D1CFD">
        <w:trPr>
          <w:trHeight w:val="281"/>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53CDC015"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аэродинамическое качество</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174EC23E"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437E8B7B"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68B9C80C" w14:textId="77777777" w:rsidR="009D1CFD" w:rsidRPr="00D03F3E" w:rsidRDefault="009D1CFD" w:rsidP="00D03F3E">
            <w:pPr>
              <w:spacing w:after="0" w:line="240" w:lineRule="auto"/>
              <w:jc w:val="both"/>
              <w:rPr>
                <w:rFonts w:ascii="Times New Roman" w:hAnsi="Times New Roman"/>
                <w:color w:val="000000" w:themeColor="text1"/>
                <w:sz w:val="16"/>
                <w:szCs w:val="16"/>
              </w:rPr>
            </w:pPr>
          </w:p>
        </w:tc>
      </w:tr>
    </w:tbl>
    <w:p w14:paraId="36E70852"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(12300).</w:t>
      </w:r>
    </w:p>
    <w:p w14:paraId="583702A3" w14:textId="77777777" w:rsidR="009D1CFD" w:rsidRPr="00D03F3E" w:rsidRDefault="009D1CFD" w:rsidP="00D03F3E">
      <w:pPr>
        <w:spacing w:after="0" w:line="240" w:lineRule="auto"/>
        <w:jc w:val="both"/>
        <w:rPr>
          <w:rFonts w:ascii="Times New Roman" w:hAnsi="Times New Roman"/>
          <w:color w:val="000000" w:themeColor="text1"/>
          <w:sz w:val="16"/>
          <w:szCs w:val="16"/>
        </w:rPr>
      </w:pPr>
    </w:p>
    <w:p w14:paraId="516D00A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собирались выставить М-12 на 100-часовые совместные испытания, но они не состоялись. Разрабатывался под руководством М.А. Коссова в кон</w:t>
      </w:r>
      <w:r w:rsidRPr="00D03F3E">
        <w:rPr>
          <w:rFonts w:ascii="Times New Roman" w:hAnsi="Times New Roman"/>
          <w:color w:val="000000" w:themeColor="text1"/>
          <w:sz w:val="16"/>
          <w:szCs w:val="16"/>
        </w:rPr>
        <w:softHyphen/>
        <w:t>структорском бюро завода № 154 в Андижане. Двигатель включал в себя часть деталей и узлов серийного М-11Д и МГ-11. По сравнению с М-И новый мотор был существенно форсирован по оборотам и степени сжатия. В 1942 г. изготовили два опытных образца: один с головками ци</w:t>
      </w:r>
      <w:r w:rsidRPr="00D03F3E">
        <w:rPr>
          <w:rFonts w:ascii="Times New Roman" w:hAnsi="Times New Roman"/>
          <w:color w:val="000000" w:themeColor="text1"/>
          <w:sz w:val="16"/>
          <w:szCs w:val="16"/>
        </w:rPr>
        <w:softHyphen/>
        <w:t>линдров по типу М-11, другой — с головками, похожими на американский Райт «Циклон». Оба с сентября 1942 г. проходили заводские испытания.Доводка велась весь 1943 г. В том же году М-12 испытывали на биплане У-2. В марте 1944 г. проводили госи</w:t>
      </w:r>
      <w:r w:rsidRPr="00D03F3E">
        <w:rPr>
          <w:rFonts w:ascii="Times New Roman" w:hAnsi="Times New Roman"/>
          <w:color w:val="000000" w:themeColor="text1"/>
          <w:sz w:val="16"/>
          <w:szCs w:val="16"/>
        </w:rPr>
        <w:softHyphen/>
        <w:t>спытания на стенде, прерванные из-за поломки через 30 ч. Всего изготовили 6-7 опытных экземпляров, включая два, собранных в июле 1944 г. на заводе № 41 в Москве из деталей, привезенных из Ан</w:t>
      </w:r>
      <w:r w:rsidRPr="00D03F3E">
        <w:rPr>
          <w:rFonts w:ascii="Times New Roman" w:hAnsi="Times New Roman"/>
          <w:color w:val="000000" w:themeColor="text1"/>
          <w:sz w:val="16"/>
          <w:szCs w:val="16"/>
        </w:rPr>
        <w:softHyphen/>
        <w:t>дижана. Работы по М-12 Коссова велись до осени 1944 г. Впоследствии узлы М-12 скомбинировали с цилиндровой группой двигателя М-ИД, по</w:t>
      </w:r>
      <w:r w:rsidRPr="00D03F3E">
        <w:rPr>
          <w:rFonts w:ascii="Times New Roman" w:hAnsi="Times New Roman"/>
          <w:color w:val="000000" w:themeColor="text1"/>
          <w:sz w:val="16"/>
          <w:szCs w:val="16"/>
        </w:rPr>
        <w:softHyphen/>
        <w:t>лучив М-11ФР.</w:t>
      </w:r>
    </w:p>
    <w:p w14:paraId="5DBFE86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Характеристики:</w:t>
      </w:r>
    </w:p>
    <w:p w14:paraId="2643A56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5-цилиндровый, звездообразный, воздушного охлаждения, четырех</w:t>
      </w:r>
      <w:r w:rsidRPr="00D03F3E">
        <w:rPr>
          <w:rFonts w:ascii="Times New Roman" w:hAnsi="Times New Roman"/>
          <w:color w:val="000000" w:themeColor="text1"/>
          <w:sz w:val="16"/>
          <w:szCs w:val="16"/>
        </w:rPr>
        <w:softHyphen/>
        <w:t>тактный, безредукторный, без наддува;</w:t>
      </w:r>
    </w:p>
    <w:p w14:paraId="0C2D9FD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объем 8,6 л;</w:t>
      </w:r>
    </w:p>
    <w:p w14:paraId="4D5A984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диаметр цилиндра/ход поршня 125/140 мм;</w:t>
      </w:r>
    </w:p>
    <w:p w14:paraId="2790E86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степень сжатия 6,2;</w:t>
      </w:r>
    </w:p>
    <w:p w14:paraId="7D31C1D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мощность 190/200 мм;</w:t>
      </w:r>
    </w:p>
    <w:p w14:paraId="78E634F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вес (с головками типа М-11) 215 кг, вес по заданию 165-170 кг. Мотор М-12 устанавливался на единичных экземплярах самолетов У-2 и УТ-1 (11852).</w:t>
      </w:r>
    </w:p>
    <w:p w14:paraId="3289C15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CA0A14" w14:textId="77777777" w:rsidR="00BD4344" w:rsidRPr="00D03F3E" w:rsidRDefault="00BD434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года реверсивный винт ВИШ-105Р-2, который С. Ш. Бас-Дубов и Г. М. Заславский разработали и изготовили на заводе № 467 в 1942, испытали на истребителе ЛаГГ-3 и в аэродинамической трубе Т-104. Доводка винта затянулась и его проверили на самолете Як-9В только в 1946 г. (19727).</w:t>
      </w:r>
    </w:p>
    <w:p w14:paraId="06F19050" w14:textId="77777777" w:rsidR="00BD4344" w:rsidRPr="00D03F3E" w:rsidRDefault="00BD4344" w:rsidP="00D03F3E">
      <w:pPr>
        <w:spacing w:after="0" w:line="240" w:lineRule="auto"/>
        <w:jc w:val="both"/>
        <w:rPr>
          <w:rFonts w:ascii="Times New Roman" w:hAnsi="Times New Roman"/>
          <w:color w:val="000000" w:themeColor="text1"/>
          <w:sz w:val="16"/>
          <w:szCs w:val="16"/>
        </w:rPr>
      </w:pPr>
    </w:p>
    <w:p w14:paraId="7C3A07E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года по заданию главного управления вооружения гвардейских минометных частей Красной Армии в СКБ при заводе “Компрессор” под руководством главного конструктора Владимира Бармина на базе ранее созданных боевых пусковых установок “Катюша” были разработаны две модификации 40-зарядных зенитных установок, предназначенных для стрельбы реактивными снарядами М-8 по пикирующим и низколетящим самолетам противника (10109).</w:t>
      </w:r>
    </w:p>
    <w:p w14:paraId="594D332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AF648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в КБ-24 спецотде</w:t>
      </w:r>
      <w:r w:rsidRPr="00D03F3E">
        <w:rPr>
          <w:rFonts w:ascii="Times New Roman" w:hAnsi="Times New Roman"/>
          <w:color w:val="000000" w:themeColor="text1"/>
          <w:sz w:val="16"/>
          <w:szCs w:val="16"/>
        </w:rPr>
        <w:softHyphen/>
        <w:t>ла НКВД СССР на казанском мотор</w:t>
      </w:r>
      <w:r w:rsidRPr="00D03F3E">
        <w:rPr>
          <w:rFonts w:ascii="Times New Roman" w:hAnsi="Times New Roman"/>
          <w:color w:val="000000" w:themeColor="text1"/>
          <w:sz w:val="16"/>
          <w:szCs w:val="16"/>
        </w:rPr>
        <w:softHyphen/>
        <w:t>ном заводе № 16 НКАП СССР под руководством В.П.Глушко был создан авиационный однокамерный ЖРД-ус-коритель РД-1, предназначенный для кратковременного улучшения летно-тактических характеристик боевых са</w:t>
      </w:r>
      <w:r w:rsidRPr="00D03F3E">
        <w:rPr>
          <w:rFonts w:ascii="Times New Roman" w:hAnsi="Times New Roman"/>
          <w:color w:val="000000" w:themeColor="text1"/>
          <w:sz w:val="16"/>
          <w:szCs w:val="16"/>
        </w:rPr>
        <w:softHyphen/>
        <w:t>молетов с поршневыми двигателями. Кроме того, велись разработки двух</w:t>
      </w:r>
      <w:r w:rsidRPr="00D03F3E">
        <w:rPr>
          <w:rFonts w:ascii="Times New Roman" w:hAnsi="Times New Roman"/>
          <w:color w:val="000000" w:themeColor="text1"/>
          <w:sz w:val="16"/>
          <w:szCs w:val="16"/>
        </w:rPr>
        <w:softHyphen/>
        <w:t>камерного ЖРД - РД-2 и трехкамер-ного - РД-3 (10668). Параллельно с ними, в группе №5 под руководством С.П.Королева, раз</w:t>
      </w:r>
      <w:r w:rsidRPr="00D03F3E">
        <w:rPr>
          <w:rFonts w:ascii="Times New Roman" w:hAnsi="Times New Roman"/>
          <w:color w:val="000000" w:themeColor="text1"/>
          <w:sz w:val="16"/>
          <w:szCs w:val="16"/>
        </w:rPr>
        <w:softHyphen/>
        <w:t>рабатывался проект реактивной уста</w:t>
      </w:r>
      <w:r w:rsidRPr="00D03F3E">
        <w:rPr>
          <w:rFonts w:ascii="Times New Roman" w:hAnsi="Times New Roman"/>
          <w:color w:val="000000" w:themeColor="text1"/>
          <w:sz w:val="16"/>
          <w:szCs w:val="16"/>
        </w:rPr>
        <w:softHyphen/>
        <w:t>новки РУ-1 для проведения летных испытаний РД-1 на самолете Пе-2, ко</w:t>
      </w:r>
      <w:r w:rsidRPr="00D03F3E">
        <w:rPr>
          <w:rFonts w:ascii="Times New Roman" w:hAnsi="Times New Roman"/>
          <w:color w:val="000000" w:themeColor="text1"/>
          <w:sz w:val="16"/>
          <w:szCs w:val="16"/>
        </w:rPr>
        <w:softHyphen/>
        <w:t>торые начались в августе 1943г. Пер</w:t>
      </w:r>
      <w:r w:rsidRPr="00D03F3E">
        <w:rPr>
          <w:rFonts w:ascii="Times New Roman" w:hAnsi="Times New Roman"/>
          <w:color w:val="000000" w:themeColor="text1"/>
          <w:sz w:val="16"/>
          <w:szCs w:val="16"/>
        </w:rPr>
        <w:softHyphen/>
        <w:t>вый полет с включением РУ-1 на высо</w:t>
      </w:r>
      <w:r w:rsidRPr="00D03F3E">
        <w:rPr>
          <w:rFonts w:ascii="Times New Roman" w:hAnsi="Times New Roman"/>
          <w:color w:val="000000" w:themeColor="text1"/>
          <w:sz w:val="16"/>
          <w:szCs w:val="16"/>
        </w:rPr>
        <w:softHyphen/>
        <w:t>те 2760 м состоялся 1 октября 1943 г. (10668).</w:t>
      </w:r>
    </w:p>
    <w:p w14:paraId="40AFC22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B8B787" w14:textId="77777777" w:rsidR="00BD4344" w:rsidRPr="00D03F3E" w:rsidRDefault="00BD4344"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начале 1943 г. КБ-2 В.П. Глушко в основном заверши ло работу по созданию авиационного ЖРД РД-1 с тягой 300 кгс и удель ным расходом топлива 90 кг/мин.</w:t>
      </w:r>
    </w:p>
    <w:p w14:paraId="16658099" w14:textId="77777777" w:rsidR="00BD4344" w:rsidRPr="00D03F3E" w:rsidRDefault="00BD4344" w:rsidP="00D03F3E">
      <w:pPr>
        <w:pStyle w:val="ae"/>
        <w:shd w:val="clear" w:color="auto" w:fill="FFFFFF"/>
        <w:spacing w:before="0" w:after="0"/>
        <w:jc w:val="both"/>
        <w:rPr>
          <w:color w:val="000000" w:themeColor="text1"/>
          <w:sz w:val="16"/>
          <w:szCs w:val="16"/>
        </w:rPr>
      </w:pPr>
      <w:r w:rsidRPr="00D03F3E">
        <w:rPr>
          <w:color w:val="000000" w:themeColor="text1"/>
          <w:sz w:val="16"/>
          <w:szCs w:val="16"/>
        </w:rPr>
        <w:t>Двигатель выполнялся по однокамерной схеме с насос ной подачей в камеру сгорания топливных компонентов —азотной кислоты и керосина. Основное назначение двигателя РД-1 — кратковременное увеличение скоростных и высотных данных, а также улучшение взлетных характеристик боевых самолетов с поршневыми двигателями. Предусматривалась возможность объединения двигателей РД-1 в многокамерную «связку» с тягой до 1200 кгс.</w:t>
      </w:r>
    </w:p>
    <w:p w14:paraId="4F033D28" w14:textId="77777777" w:rsidR="00BD4344" w:rsidRPr="00D03F3E" w:rsidRDefault="00BD4344" w:rsidP="00D03F3E">
      <w:pPr>
        <w:pStyle w:val="ae"/>
        <w:shd w:val="clear" w:color="auto" w:fill="FFFFFF"/>
        <w:spacing w:before="0" w:after="0"/>
        <w:jc w:val="both"/>
        <w:rPr>
          <w:color w:val="000000" w:themeColor="text1"/>
          <w:sz w:val="16"/>
          <w:szCs w:val="16"/>
        </w:rPr>
      </w:pPr>
      <w:r w:rsidRPr="00D03F3E">
        <w:rPr>
          <w:color w:val="000000" w:themeColor="text1"/>
          <w:sz w:val="16"/>
          <w:szCs w:val="16"/>
        </w:rPr>
        <w:t>Одновременно с созданием и испытаниями двигателей РД-1 в КБ-2 В.П. Глушко под руководством его заместите ля С. П. Королева был разработан проект реактивной уста новки РУ-1 с целью испытания и отработки реактивного двигателя РД-1 в полетных условиях на серийном двухмо торном фронтовом бомбардировщике Пе-2 (19586).</w:t>
      </w:r>
    </w:p>
    <w:p w14:paraId="4A4DFDA0" w14:textId="77777777" w:rsidR="00BD4344" w:rsidRPr="00D03F3E" w:rsidRDefault="00BD4344" w:rsidP="00D03F3E">
      <w:pPr>
        <w:pStyle w:val="ae"/>
        <w:shd w:val="clear" w:color="auto" w:fill="FFFFFF"/>
        <w:spacing w:before="0" w:after="0"/>
        <w:jc w:val="both"/>
        <w:rPr>
          <w:color w:val="000000" w:themeColor="text1"/>
          <w:sz w:val="16"/>
          <w:szCs w:val="16"/>
        </w:rPr>
      </w:pPr>
    </w:p>
    <w:p w14:paraId="2D07B1A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ОКБ В.П.Глушко в основном завершило работу над созданием авиационного ЖРД-ускорителя РД-1 с тягой 300 кгс и удельным расходом 90 кг/мин. Можно было объединять в многокамерную связку с тягой до 1200 кгс. С.П.К. работал в В.П.Г. и разработал свой ускоритель РУ-1 для Пе-2, базирующийся на РД-1. Масса 1050 кг, рост скорости - 108 км/час (173,411).</w:t>
      </w:r>
    </w:p>
    <w:p w14:paraId="1B3714E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2AD05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ОКБ главного конструктора В.П. Глушко, работавшего в составе спецотдела № 4 НКВД на казанском авиамоторном заводе № 16, в основном завершило создание авиационного жидкостного реактивного двигателя РД-1 с тягой 300 кгс и удельным расходом топлива 90 кг/мин. Однокамерный ЖРД с насосной подачей в камеру сгорания работал на азотной кислоте и керосине. Основным назначением двигателя РД-1 было кратковременное увеличение скоростных и высотных данных, а также улучшение взлетных характеристик боевых самолетов с поршневыми двигателями. Предусматривалась возможность объединения двигателей РД-1 в многокамерную "связку" с тягой до 1200 кгс (12042).</w:t>
      </w:r>
    </w:p>
    <w:p w14:paraId="248695C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2DECA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начала 1943 в серию запустили прибор "свой-чужой" (384,223).</w:t>
      </w:r>
    </w:p>
    <w:p w14:paraId="2EDBD2C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32D50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года аварийно-ремонтная контора, созданная на месте завода металлоконструкций на выпуск 12000 тонн металлоконструкций в год для нужд строительства заводов НКАП в Жуковском, созданного в феврале 1939 и эвакуированного в Каменск-Уральский, переименована в завод № 1 треста № 41. В марте 1943 года директором назначен Семенов А.Г. В ноябре 1943 года завод № 1 треста № 41 переименован в завод № 11. В мае 1944 года директором завода № 11 назначен Толмазов Н.Н.</w:t>
      </w:r>
    </w:p>
    <w:p w14:paraId="3323E74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Жуковский Московской области</w:t>
      </w:r>
    </w:p>
    <w:p w14:paraId="036C784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Производственный профиль – изготовление авиационной техники и аэродромного оборудования. В декабре 1944 года директором завода назначен Нестеров В.А. (9729).</w:t>
      </w:r>
    </w:p>
    <w:p w14:paraId="734FA57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8CC1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 (11982).</w:t>
      </w:r>
    </w:p>
    <w:p w14:paraId="1FDD514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847CD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года ВЦСПС с единодушного одобрения всех центральных комитетов профсоюзов принял решение о сдаче бюджетных остатков от 1942 года на строительство танковых колонн и самолетных соединений. Президиумом ЦК союза на эту цель было передано 5 миллионов 275 тысяч рублей (11764).</w:t>
      </w:r>
    </w:p>
    <w:p w14:paraId="5DB53E3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2060C2" w14:textId="77777777" w:rsidR="00BD4344" w:rsidRPr="00D03F3E" w:rsidRDefault="00BD434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ОКБ-16 возглавил Нудельман, а 37-мм пушка вскоре получила обозначение НС-37 (Нудельман-Суранов). В первой половине года «ЛаГГи» с такими орудиями проходили очередные войсковые испытания в составе 21-го, 188-го и 253-го ИАП 3-й воздушной армии Калининского фронта. В целом результаты оказались весьма скромными, а два наиболее удач</w:t>
      </w:r>
      <w:r w:rsidRPr="00D03F3E">
        <w:rPr>
          <w:rFonts w:ascii="Times New Roman" w:hAnsi="Times New Roman"/>
          <w:color w:val="000000" w:themeColor="text1"/>
          <w:sz w:val="16"/>
          <w:szCs w:val="16"/>
        </w:rPr>
        <w:softHyphen/>
        <w:t>ных воздушных боя провел летчик 253-го полка Кулемин.</w:t>
      </w:r>
    </w:p>
    <w:p w14:paraId="2E2C9C5D" w14:textId="77777777" w:rsidR="00BD4344" w:rsidRPr="00D03F3E" w:rsidRDefault="00BD434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Первый из них состоялся 28 января 1943 г. В тот день летчик отправился на перехват враже</w:t>
      </w:r>
      <w:r w:rsidRPr="00D03F3E">
        <w:rPr>
          <w:rFonts w:ascii="Times New Roman" w:hAnsi="Times New Roman"/>
          <w:color w:val="000000" w:themeColor="text1"/>
          <w:sz w:val="16"/>
          <w:szCs w:val="16"/>
        </w:rPr>
        <w:softHyphen/>
        <w:t>ского разведчика, шедшего на высоте 6000 м. В ходе первой атаки он обстрелял самолет из БС, а во второй выпустил два 37-мм снаряда. Не</w:t>
      </w:r>
      <w:r w:rsidRPr="00D03F3E">
        <w:rPr>
          <w:rFonts w:ascii="Times New Roman" w:hAnsi="Times New Roman"/>
          <w:color w:val="000000" w:themeColor="text1"/>
          <w:sz w:val="16"/>
          <w:szCs w:val="16"/>
        </w:rPr>
        <w:softHyphen/>
        <w:t>мецкая машина перешла в беспорядочное паде</w:t>
      </w:r>
      <w:r w:rsidRPr="00D03F3E">
        <w:rPr>
          <w:rFonts w:ascii="Times New Roman" w:hAnsi="Times New Roman"/>
          <w:color w:val="000000" w:themeColor="text1"/>
          <w:sz w:val="16"/>
          <w:szCs w:val="16"/>
        </w:rPr>
        <w:softHyphen/>
        <w:t>ние и упала в лес. У Кулемина на обратном пути по неизвестной причине взорвался один снаряд в ленте, но ему удалось совершить благополуч</w:t>
      </w:r>
      <w:r w:rsidRPr="00D03F3E">
        <w:rPr>
          <w:rFonts w:ascii="Times New Roman" w:hAnsi="Times New Roman"/>
          <w:color w:val="000000" w:themeColor="text1"/>
          <w:sz w:val="16"/>
          <w:szCs w:val="16"/>
        </w:rPr>
        <w:softHyphen/>
        <w:t xml:space="preserve">ную вынужденную посадку на лесной опушке. Летчику записали сбитый </w:t>
      </w:r>
      <w:r w:rsidRPr="00D03F3E">
        <w:rPr>
          <w:rFonts w:ascii="Times New Roman" w:hAnsi="Times New Roman"/>
          <w:color w:val="000000" w:themeColor="text1"/>
          <w:sz w:val="16"/>
          <w:szCs w:val="16"/>
          <w:lang w:val="en-US"/>
        </w:rPr>
        <w:t>Ju</w:t>
      </w:r>
      <w:r w:rsidRPr="00D03F3E">
        <w:rPr>
          <w:rFonts w:ascii="Times New Roman" w:hAnsi="Times New Roman"/>
          <w:color w:val="000000" w:themeColor="text1"/>
          <w:sz w:val="16"/>
          <w:szCs w:val="16"/>
        </w:rPr>
        <w:t xml:space="preserve"> 88, немцы же при</w:t>
      </w:r>
      <w:r w:rsidRPr="00D03F3E">
        <w:rPr>
          <w:rFonts w:ascii="Times New Roman" w:hAnsi="Times New Roman"/>
          <w:color w:val="000000" w:themeColor="text1"/>
          <w:sz w:val="16"/>
          <w:szCs w:val="16"/>
        </w:rPr>
        <w:softHyphen/>
        <w:t xml:space="preserve">знали потерю в этом районе </w:t>
      </w:r>
      <w:r w:rsidRPr="00D03F3E">
        <w:rPr>
          <w:rFonts w:ascii="Times New Roman" w:hAnsi="Times New Roman"/>
          <w:color w:val="000000" w:themeColor="text1"/>
          <w:sz w:val="16"/>
          <w:szCs w:val="16"/>
          <w:lang w:val="en-US"/>
        </w:rPr>
        <w:t>Do</w:t>
      </w:r>
      <w:r w:rsidRPr="00D03F3E">
        <w:rPr>
          <w:rFonts w:ascii="Times New Roman" w:hAnsi="Times New Roman"/>
          <w:color w:val="000000" w:themeColor="text1"/>
          <w:sz w:val="16"/>
          <w:szCs w:val="16"/>
        </w:rPr>
        <w:t xml:space="preserve"> 217Е.</w:t>
      </w:r>
    </w:p>
    <w:p w14:paraId="007763DF" w14:textId="77777777" w:rsidR="00BD4344" w:rsidRPr="00D03F3E" w:rsidRDefault="00BD434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Второй бой произошел утром 28 мая. Куле</w:t>
      </w:r>
      <w:r w:rsidRPr="00D03F3E">
        <w:rPr>
          <w:rFonts w:ascii="Times New Roman" w:hAnsi="Times New Roman"/>
          <w:color w:val="000000" w:themeColor="text1"/>
          <w:sz w:val="16"/>
          <w:szCs w:val="16"/>
        </w:rPr>
        <w:softHyphen/>
        <w:t>мин в паре с мл. л-том Тимофеевым перехвати</w:t>
      </w:r>
      <w:r w:rsidRPr="00D03F3E">
        <w:rPr>
          <w:rFonts w:ascii="Times New Roman" w:hAnsi="Times New Roman"/>
          <w:color w:val="000000" w:themeColor="text1"/>
          <w:sz w:val="16"/>
          <w:szCs w:val="16"/>
        </w:rPr>
        <w:softHyphen/>
        <w:t xml:space="preserve">ли разведчик </w:t>
      </w:r>
      <w:r w:rsidRPr="00D03F3E">
        <w:rPr>
          <w:rFonts w:ascii="Times New Roman" w:hAnsi="Times New Roman"/>
          <w:color w:val="000000" w:themeColor="text1"/>
          <w:sz w:val="16"/>
          <w:szCs w:val="16"/>
          <w:lang w:val="en-US"/>
        </w:rPr>
        <w:t>Ju</w:t>
      </w:r>
      <w:r w:rsidRPr="00D03F3E">
        <w:rPr>
          <w:rFonts w:ascii="Times New Roman" w:hAnsi="Times New Roman"/>
          <w:color w:val="000000" w:themeColor="text1"/>
          <w:sz w:val="16"/>
          <w:szCs w:val="16"/>
        </w:rPr>
        <w:t xml:space="preserve"> 88</w:t>
      </w:r>
      <w:r w:rsidRPr="00D03F3E">
        <w:rPr>
          <w:rFonts w:ascii="Times New Roman" w:hAnsi="Times New Roman"/>
          <w:color w:val="000000" w:themeColor="text1"/>
          <w:sz w:val="16"/>
          <w:szCs w:val="16"/>
          <w:lang w:val="en-US"/>
        </w:rPr>
        <w:t>D</w:t>
      </w:r>
      <w:r w:rsidRPr="00D03F3E">
        <w:rPr>
          <w:rFonts w:ascii="Times New Roman" w:hAnsi="Times New Roman"/>
          <w:color w:val="000000" w:themeColor="text1"/>
          <w:sz w:val="16"/>
          <w:szCs w:val="16"/>
        </w:rPr>
        <w:t>-1, который находился на высоте 7000 м. Атаку они построили снизу-сзади, с двух сторон, открыв огонь по обоим моторам с дистанции 150 м. Левый двига</w:t>
      </w:r>
      <w:r w:rsidRPr="00D03F3E">
        <w:rPr>
          <w:rFonts w:ascii="Times New Roman" w:hAnsi="Times New Roman"/>
          <w:color w:val="000000" w:themeColor="text1"/>
          <w:sz w:val="16"/>
          <w:szCs w:val="16"/>
        </w:rPr>
        <w:softHyphen/>
        <w:t>тель задымил. Из-за малого остатка топли</w:t>
      </w:r>
      <w:r w:rsidRPr="00D03F3E">
        <w:rPr>
          <w:rFonts w:ascii="Times New Roman" w:hAnsi="Times New Roman"/>
          <w:color w:val="000000" w:themeColor="text1"/>
          <w:sz w:val="16"/>
          <w:szCs w:val="16"/>
        </w:rPr>
        <w:softHyphen/>
        <w:t>ва Тимофееву пришлось выйти из боя, а Кулемин выполнил еще две атаки, в том числе обстрелял из пушки правый мотор и кабину экипажа. Дымящий «Юнкере» ушел со снижением в сторону леса, и Кулемин до</w:t>
      </w:r>
      <w:r w:rsidRPr="00D03F3E">
        <w:rPr>
          <w:rFonts w:ascii="Times New Roman" w:hAnsi="Times New Roman"/>
          <w:color w:val="000000" w:themeColor="text1"/>
          <w:sz w:val="16"/>
          <w:szCs w:val="16"/>
        </w:rPr>
        <w:softHyphen/>
        <w:t>ложил о его сбитии. На самом деле раненый немецкий экипаж смог дотянуть на повреж</w:t>
      </w:r>
      <w:r w:rsidRPr="00D03F3E">
        <w:rPr>
          <w:rFonts w:ascii="Times New Roman" w:hAnsi="Times New Roman"/>
          <w:color w:val="000000" w:themeColor="text1"/>
          <w:sz w:val="16"/>
          <w:szCs w:val="16"/>
        </w:rPr>
        <w:softHyphen/>
        <w:t>денной машине до своего аэродрома, но ее затем списали.</w:t>
      </w:r>
    </w:p>
    <w:p w14:paraId="7F3F0B72" w14:textId="77777777" w:rsidR="00BD4344" w:rsidRPr="00D03F3E" w:rsidRDefault="00BD434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видим, самолеты противника уда</w:t>
      </w:r>
      <w:r w:rsidRPr="00D03F3E">
        <w:rPr>
          <w:rFonts w:ascii="Times New Roman" w:hAnsi="Times New Roman"/>
          <w:color w:val="000000" w:themeColor="text1"/>
          <w:sz w:val="16"/>
          <w:szCs w:val="16"/>
        </w:rPr>
        <w:softHyphen/>
        <w:t>валось сбить, но в отличие от оптимистиче</w:t>
      </w:r>
      <w:r w:rsidRPr="00D03F3E">
        <w:rPr>
          <w:rFonts w:ascii="Times New Roman" w:hAnsi="Times New Roman"/>
          <w:color w:val="000000" w:themeColor="text1"/>
          <w:sz w:val="16"/>
          <w:szCs w:val="16"/>
        </w:rPr>
        <w:softHyphen/>
        <w:t>ских утверждений отчетов предыдущих ис</w:t>
      </w:r>
      <w:r w:rsidRPr="00D03F3E">
        <w:rPr>
          <w:rFonts w:ascii="Times New Roman" w:hAnsi="Times New Roman"/>
          <w:color w:val="000000" w:themeColor="text1"/>
          <w:sz w:val="16"/>
          <w:szCs w:val="16"/>
        </w:rPr>
        <w:softHyphen/>
        <w:t>пытаний, те не разламывались в воздухе при попадании даже нескольких 37-мм снарядов (19106).</w:t>
      </w:r>
    </w:p>
    <w:p w14:paraId="30A6FF6A" w14:textId="77777777" w:rsidR="00BD4344" w:rsidRPr="00D03F3E" w:rsidRDefault="00BD434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11 мая 1943 г. на танковом полигоне НИИ Бронетехники в Кубинке провели опытные стрельбы Ил-2 и ЛаГГ-3, оснащенных НС-37, по трофейному танку </w:t>
      </w:r>
      <w:r w:rsidRPr="00D03F3E">
        <w:rPr>
          <w:rFonts w:ascii="Times New Roman" w:hAnsi="Times New Roman"/>
          <w:color w:val="000000" w:themeColor="text1"/>
          <w:sz w:val="16"/>
          <w:szCs w:val="16"/>
          <w:lang w:val="en-US"/>
        </w:rPr>
        <w:t>Pz</w:t>
      </w:r>
      <w:r w:rsidRPr="00D03F3E">
        <w:rPr>
          <w:rFonts w:ascii="Times New Roman" w:hAnsi="Times New Roman"/>
          <w:color w:val="000000" w:themeColor="text1"/>
          <w:sz w:val="16"/>
          <w:szCs w:val="16"/>
        </w:rPr>
        <w:t xml:space="preserve"> VI </w:t>
      </w:r>
      <w:r w:rsidRPr="00D03F3E">
        <w:rPr>
          <w:rFonts w:ascii="Times New Roman" w:hAnsi="Times New Roman"/>
          <w:color w:val="000000" w:themeColor="text1"/>
          <w:sz w:val="16"/>
          <w:szCs w:val="16"/>
          <w:lang w:val="en-US"/>
        </w:rPr>
        <w:t>Tiger</w:t>
      </w:r>
      <w:r w:rsidRPr="00D03F3E">
        <w:rPr>
          <w:rFonts w:ascii="Times New Roman" w:hAnsi="Times New Roman"/>
          <w:color w:val="000000" w:themeColor="text1"/>
          <w:sz w:val="16"/>
          <w:szCs w:val="16"/>
        </w:rPr>
        <w:t>. На «ЛаГГе» к-н А.В. Кусакин совершил два полета, от</w:t>
      </w:r>
      <w:r w:rsidRPr="00D03F3E">
        <w:rPr>
          <w:rFonts w:ascii="Times New Roman" w:hAnsi="Times New Roman"/>
          <w:color w:val="000000" w:themeColor="text1"/>
          <w:sz w:val="16"/>
          <w:szCs w:val="16"/>
        </w:rPr>
        <w:softHyphen/>
        <w:t>стреляв 68 снарядов. Он добился всего че</w:t>
      </w:r>
      <w:r w:rsidRPr="00D03F3E">
        <w:rPr>
          <w:rFonts w:ascii="Times New Roman" w:hAnsi="Times New Roman"/>
          <w:color w:val="000000" w:themeColor="text1"/>
          <w:sz w:val="16"/>
          <w:szCs w:val="16"/>
        </w:rPr>
        <w:softHyphen/>
        <w:t>тырех попаданий, два из которых признали зачетными: один снаряд угодил в гусеницу, а другой пробил 28-мм бронекрышу башни. Огонь велся с пикирования при угле 40-50° и с дистанции от 300 до 600 м. Стало ясно, что если даже опытный летчик-испытатель в по</w:t>
      </w:r>
      <w:r w:rsidRPr="00D03F3E">
        <w:rPr>
          <w:rFonts w:ascii="Times New Roman" w:hAnsi="Times New Roman"/>
          <w:color w:val="000000" w:themeColor="text1"/>
          <w:sz w:val="16"/>
          <w:szCs w:val="16"/>
        </w:rPr>
        <w:softHyphen/>
        <w:t>лигонных условиях добился весьма скром</w:t>
      </w:r>
      <w:r w:rsidRPr="00D03F3E">
        <w:rPr>
          <w:rFonts w:ascii="Times New Roman" w:hAnsi="Times New Roman"/>
          <w:color w:val="000000" w:themeColor="text1"/>
          <w:sz w:val="16"/>
          <w:szCs w:val="16"/>
        </w:rPr>
        <w:softHyphen/>
        <w:t>ных результатов, то эффективность боевой работы фронтового пилота среднего уровня при активном противодействии ПВО про</w:t>
      </w:r>
      <w:r w:rsidRPr="00D03F3E">
        <w:rPr>
          <w:rFonts w:ascii="Times New Roman" w:hAnsi="Times New Roman"/>
          <w:color w:val="000000" w:themeColor="text1"/>
          <w:sz w:val="16"/>
          <w:szCs w:val="16"/>
        </w:rPr>
        <w:softHyphen/>
        <w:t>тивника будет стремиться к нулю (19106).</w:t>
      </w:r>
    </w:p>
    <w:p w14:paraId="11A15336" w14:textId="77777777" w:rsidR="00BD4344" w:rsidRPr="00D03F3E" w:rsidRDefault="00BD4344" w:rsidP="00D03F3E">
      <w:pPr>
        <w:spacing w:after="0" w:line="240" w:lineRule="auto"/>
        <w:jc w:val="both"/>
        <w:rPr>
          <w:rFonts w:ascii="Times New Roman" w:hAnsi="Times New Roman"/>
          <w:color w:val="000000" w:themeColor="text1"/>
          <w:sz w:val="16"/>
          <w:szCs w:val="16"/>
        </w:rPr>
      </w:pPr>
    </w:p>
    <w:p w14:paraId="7501FFF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в производство поступил реактивный снаряд М-8 модели 3-0052мч с усиленным двигателем. Между тем он не стал летать дальше своего прототипа - просто длину двигателя нарастили, чтобы до</w:t>
      </w:r>
      <w:r w:rsidRPr="00D03F3E">
        <w:rPr>
          <w:rFonts w:ascii="Times New Roman" w:hAnsi="Times New Roman"/>
          <w:color w:val="000000" w:themeColor="text1"/>
          <w:sz w:val="16"/>
          <w:szCs w:val="16"/>
        </w:rPr>
        <w:softHyphen/>
        <w:t>вести дальность стрельбы до показателей 1941 г. при условии снаряжания двигателей пироксилино-селитренным порохом. При этом заказчик постоянно выдвигал для НИИ-3 фантастические требования к характери</w:t>
      </w:r>
      <w:r w:rsidRPr="00D03F3E">
        <w:rPr>
          <w:rFonts w:ascii="Times New Roman" w:hAnsi="Times New Roman"/>
          <w:color w:val="000000" w:themeColor="text1"/>
          <w:sz w:val="16"/>
          <w:szCs w:val="16"/>
        </w:rPr>
        <w:softHyphen/>
        <w:t>стикам боеприпасов. К примеру, переход на новые модели должен был проходить с минимальными затратами для механических заводов - при новой рецептуре пороха диаметр критического сечения сопла должен ос</w:t>
      </w:r>
      <w:r w:rsidRPr="00D03F3E">
        <w:rPr>
          <w:rFonts w:ascii="Times New Roman" w:hAnsi="Times New Roman"/>
          <w:color w:val="000000" w:themeColor="text1"/>
          <w:sz w:val="16"/>
          <w:szCs w:val="16"/>
        </w:rPr>
        <w:softHyphen/>
        <w:t>таваться тем же, но РЗ должен гореть устойчиво и обеспечивать снаряду максимальный импульс тяги. А изменения габаритов снарядов не долж</w:t>
      </w:r>
      <w:r w:rsidRPr="00D03F3E">
        <w:rPr>
          <w:rFonts w:ascii="Times New Roman" w:hAnsi="Times New Roman"/>
          <w:color w:val="000000" w:themeColor="text1"/>
          <w:sz w:val="16"/>
          <w:szCs w:val="16"/>
        </w:rPr>
        <w:softHyphen/>
        <w:t>ны отражаться на их баллистике...Между тем возврат к производству нитроглицериновых порохов мог увеличить дальность стрельбы снарядами М-8 с удлиненным корпусом двигателя предыдущей модели. Однако, перспектива очередного изме</w:t>
      </w:r>
      <w:r w:rsidRPr="00D03F3E">
        <w:rPr>
          <w:rFonts w:ascii="Times New Roman" w:hAnsi="Times New Roman"/>
          <w:color w:val="000000" w:themeColor="text1"/>
          <w:sz w:val="16"/>
          <w:szCs w:val="16"/>
        </w:rPr>
        <w:softHyphen/>
        <w:t>нения баллистики и таблиц стрельбы руководство ГМЧ не устраивала. Решив, что «лучше похуже, зато подешевле», заказчик согласился с уменьшением коэффициента наполнения двигателей, и вместо семи-шашечного РЗ рецептуры Н силовая установка РС получила пятиша-шечный - из пороха рецептуры НМ2 военного времени (11402).</w:t>
      </w:r>
    </w:p>
    <w:p w14:paraId="68C51C7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E1DF90" w14:textId="77777777" w:rsidR="00097269" w:rsidRPr="00D03F3E" w:rsidRDefault="000972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года были завершены работы по нормализованной установки для стрельбы снарядами калибра 132 мм с возможностью монтажа метательной установки на различных типах доработанных шасси.</w:t>
      </w:r>
    </w:p>
    <w:p w14:paraId="304A8B74" w14:textId="77777777" w:rsidR="00097269" w:rsidRPr="00D03F3E" w:rsidRDefault="000972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Нормализованные установки имели ряд преимуществ по сравнению с установками прежних выпусков:</w:t>
      </w:r>
    </w:p>
    <w:p w14:paraId="36D4A999" w14:textId="77777777" w:rsidR="00097269" w:rsidRPr="00D03F3E" w:rsidRDefault="000972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увеличение сектора обстрела на 20%;</w:t>
      </w:r>
    </w:p>
    <w:p w14:paraId="177B1EDD" w14:textId="77777777" w:rsidR="00097269" w:rsidRPr="00D03F3E" w:rsidRDefault="000972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уменьшение усилий на рукоятках механизмов наведения в полтора-два раза;</w:t>
      </w:r>
    </w:p>
    <w:p w14:paraId="695BB450" w14:textId="77777777" w:rsidR="00097269" w:rsidRPr="00D03F3E" w:rsidRDefault="000972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увеличение скорости вертикальной наводки в два раза;</w:t>
      </w:r>
    </w:p>
    <w:p w14:paraId="7E214B75" w14:textId="77777777" w:rsidR="00097269" w:rsidRPr="00D03F3E" w:rsidRDefault="000972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уменьшены усилия на рукоятках подъемного и поворотного механизмов;</w:t>
      </w:r>
    </w:p>
    <w:p w14:paraId="5E58C502" w14:textId="77777777" w:rsidR="00097269" w:rsidRPr="00D03F3E" w:rsidRDefault="000972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увеличение живучести установки за счет задней стенки кабины бензобака и бензопровода;</w:t>
      </w:r>
    </w:p>
    <w:p w14:paraId="0E8AC129" w14:textId="77777777" w:rsidR="00097269" w:rsidRPr="00D03F3E" w:rsidRDefault="000972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увеличение устойчивости установки в походном положении введением опорного кронштейна для рассредоточения нагрузки на лонжероны автомашины;</w:t>
      </w:r>
    </w:p>
    <w:p w14:paraId="7C20F6CA" w14:textId="77777777" w:rsidR="00097269" w:rsidRPr="00D03F3E" w:rsidRDefault="000972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увеличение эксплуатационной надежности агрегата (упрощение опорной балки, заднего моста и т.д.);</w:t>
      </w:r>
    </w:p>
    <w:p w14:paraId="17A8ACBB" w14:textId="77777777" w:rsidR="00097269" w:rsidRPr="00D03F3E" w:rsidRDefault="000972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значительное сокращение объема сварочных работ, механической обработки, исключение гибки стержней фермы;</w:t>
      </w:r>
    </w:p>
    <w:p w14:paraId="3CF73376" w14:textId="77777777" w:rsidR="00097269" w:rsidRPr="00D03F3E" w:rsidRDefault="000972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уменьшение веса установки на 250 кг, несмотря на введение брони на заднюю стенку кабины (для предохранения расчета от поражения осколками ракетной камеры в случае ее разрыва на направляющей) и бензобак;</w:t>
      </w:r>
    </w:p>
    <w:p w14:paraId="727E122D" w14:textId="77777777" w:rsidR="00097269" w:rsidRPr="00D03F3E" w:rsidRDefault="000972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сокращение производственного времени на изготовление установки за счет сборки метательной установки отдельно от шасси автомашины и монтажа установки на шасси автомашины с помощью крепежных хомутов, что позволило ликвидировать сверление отверстий в лонжеронах;</w:t>
      </w:r>
    </w:p>
    <w:p w14:paraId="698C4028" w14:textId="77777777" w:rsidR="00097269" w:rsidRPr="00D03F3E" w:rsidRDefault="000972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сокращение в несколько раз времени простаивания автомашин, поступающих на завод под монтаж установки;</w:t>
      </w:r>
    </w:p>
    <w:p w14:paraId="44862974" w14:textId="77777777" w:rsidR="00097269" w:rsidRPr="00D03F3E" w:rsidRDefault="000972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сокращение количества типоразмеров крепежа с 206 до 96, а также количества наименований деталей: в поворотной раме с 56 до 29, в ферме с 43 до 29, в опорной раме с 15 до 4 и т.д.</w:t>
      </w:r>
    </w:p>
    <w:p w14:paraId="69F128B2" w14:textId="77777777" w:rsidR="00097269" w:rsidRPr="00D03F3E" w:rsidRDefault="000972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Установка была принята на вооружение и с 1943 года являлась основным видом установки для стрельбы реактивными снарядами калибра 132 мм (15981).</w:t>
      </w:r>
    </w:p>
    <w:p w14:paraId="63B32188" w14:textId="77777777" w:rsidR="00097269" w:rsidRPr="00D03F3E" w:rsidRDefault="00097269" w:rsidP="00D03F3E">
      <w:pPr>
        <w:spacing w:after="0" w:line="240" w:lineRule="auto"/>
        <w:jc w:val="both"/>
        <w:rPr>
          <w:rFonts w:ascii="Times New Roman" w:hAnsi="Times New Roman"/>
          <w:color w:val="000000" w:themeColor="text1"/>
          <w:sz w:val="16"/>
          <w:szCs w:val="16"/>
        </w:rPr>
      </w:pPr>
    </w:p>
    <w:p w14:paraId="6A1A5BAF" w14:textId="77777777" w:rsidR="00097269" w:rsidRPr="00D03F3E" w:rsidRDefault="000972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в СКВ завода №733 НКМВ конструкторской группой А. Н. Васильева на основе установки, разработанной в ПРМ-6, была создана более совершенная 8-зарядная горно-вьючная пусковая установка. Она была принята на вооружение и рекомендована для серийного производства (15796).</w:t>
      </w:r>
    </w:p>
    <w:p w14:paraId="103C3D64" w14:textId="77777777" w:rsidR="00097269" w:rsidRPr="00D03F3E" w:rsidRDefault="00097269" w:rsidP="00D03F3E">
      <w:pPr>
        <w:spacing w:after="0" w:line="240" w:lineRule="auto"/>
        <w:jc w:val="both"/>
        <w:rPr>
          <w:rFonts w:ascii="Times New Roman" w:hAnsi="Times New Roman"/>
          <w:color w:val="000000" w:themeColor="text1"/>
          <w:sz w:val="16"/>
          <w:szCs w:val="16"/>
        </w:rPr>
      </w:pPr>
    </w:p>
    <w:p w14:paraId="720BDF9F" w14:textId="77777777" w:rsidR="00097269" w:rsidRPr="00D03F3E" w:rsidRDefault="00097269"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года по заданию главного управления вооружения гвардейских минометных частей Красной Армии в СКБ при заводе “Компрессор” под руководством главного конструктора Владимира Бармина на базе ранее созданных боевых пусковых установок “Катюша” были разработаны две модификации 40-зарядных зенитных установок, предназначенных для стрельбы реактивными снарядами М-8 по пикирующим и низколетящим самолетам противника (10109).</w:t>
      </w:r>
    </w:p>
    <w:p w14:paraId="4C8EBCBD" w14:textId="77777777" w:rsidR="00097269" w:rsidRPr="00D03F3E" w:rsidRDefault="00097269"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EB80BE" w14:textId="77777777" w:rsidR="00097269" w:rsidRPr="00D03F3E" w:rsidRDefault="000972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года месячный план завода № 67 включал в себя примерно следующее: 12,5 тысячи корпусов МАБ-250; 25 тысяч корпусов ФАБ-100; 600 тысяч противотанковых бомб ПТАБ-2,5-1,5 (15794).</w:t>
      </w:r>
    </w:p>
    <w:p w14:paraId="57B6C9F2" w14:textId="77777777" w:rsidR="00097269" w:rsidRPr="00D03F3E" w:rsidRDefault="00097269" w:rsidP="00D03F3E">
      <w:pPr>
        <w:spacing w:after="0" w:line="240" w:lineRule="auto"/>
        <w:jc w:val="both"/>
        <w:rPr>
          <w:rFonts w:ascii="Times New Roman" w:hAnsi="Times New Roman"/>
          <w:color w:val="000000" w:themeColor="text1"/>
          <w:sz w:val="16"/>
          <w:szCs w:val="16"/>
        </w:rPr>
      </w:pPr>
    </w:p>
    <w:p w14:paraId="1A6E29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МТУ ВМФ разработало ТТЗ на акустические мины АМД-А, АМД-АУ (второй тип с усилением) и индукционно-акустическую мину И.А. 20.7.1944 Нарком ВМФ отдал приказ №0591, согласно которому испытания всех новых типов мин должны были состояться в период 15.8-15.10.1944 на Каспийском море. В конечном итоге одобрение получила конструкция И.А., на базе которой разработали новые мины АМД-2-500 и АМД-2-1000. Их приняли на вооружение в начале 1945 г., но в боях использовать не успели. Та же судьба постигла электроакустический взрыватель "Краб", который мог монтироваться на мине АМГ-1, существенно улучшая ее ТТХ (12002).</w:t>
      </w:r>
    </w:p>
    <w:p w14:paraId="0F350C6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EE0CF3" w14:textId="77777777" w:rsidR="00BD4335" w:rsidRPr="00D03F3E" w:rsidRDefault="00BD4335" w:rsidP="00D03F3E">
      <w:pPr>
        <w:pStyle w:val="ae"/>
        <w:shd w:val="clear" w:color="auto" w:fill="FFFFFF"/>
        <w:spacing w:before="0" w:after="0"/>
        <w:jc w:val="both"/>
        <w:textAlignment w:val="baseline"/>
        <w:rPr>
          <w:color w:val="0070C0"/>
          <w:sz w:val="16"/>
          <w:szCs w:val="16"/>
        </w:rPr>
      </w:pPr>
      <w:r w:rsidRPr="00D03F3E">
        <w:rPr>
          <w:color w:val="0070C0"/>
          <w:sz w:val="16"/>
          <w:szCs w:val="16"/>
        </w:rPr>
        <w:t>В начале 1943 года сотрудники СКБ завода «Компрессор» приступили к разработке пусковых установок со спиральными направляющими, которые должны были радикально повысить кучность за счёт придания снаряду вращения. Они получили индексы соответственно применяемым калибрам: М-8-СН и М-13-СН.</w:t>
      </w:r>
    </w:p>
    <w:p w14:paraId="7E7396BF" w14:textId="77777777" w:rsidR="00BD4335" w:rsidRPr="00D03F3E" w:rsidRDefault="00BD4335" w:rsidP="00D03F3E">
      <w:pPr>
        <w:pStyle w:val="ae"/>
        <w:shd w:val="clear" w:color="auto" w:fill="FFFFFF"/>
        <w:spacing w:before="0" w:after="0"/>
        <w:jc w:val="both"/>
        <w:textAlignment w:val="baseline"/>
        <w:rPr>
          <w:color w:val="0070C0"/>
          <w:sz w:val="16"/>
          <w:szCs w:val="16"/>
        </w:rPr>
      </w:pPr>
      <w:r w:rsidRPr="00D03F3E">
        <w:rPr>
          <w:color w:val="0070C0"/>
          <w:sz w:val="16"/>
          <w:szCs w:val="16"/>
        </w:rPr>
        <w:t>Хотя сама по себе идея была не нова, к началу работ не было ни теории, ни достаточного опыта создания подобных систем. Поэтому инженерам пришлось не только впервые в мире проектировать боевые установки со спиральными направляющими, но и решать принципиальные вопросы: определять их рациональную длину, отыскивать оптимальный угол закрутки, изучать кинематику движения снаряда и т. п.</w:t>
      </w:r>
    </w:p>
    <w:p w14:paraId="336B20BD" w14:textId="77777777" w:rsidR="00BD4335" w:rsidRPr="00D03F3E" w:rsidRDefault="00BD4335" w:rsidP="00D03F3E">
      <w:pPr>
        <w:pStyle w:val="ae"/>
        <w:shd w:val="clear" w:color="auto" w:fill="FFFFFF"/>
        <w:spacing w:before="0" w:after="0"/>
        <w:jc w:val="both"/>
        <w:textAlignment w:val="baseline"/>
        <w:rPr>
          <w:color w:val="0070C0"/>
          <w:sz w:val="16"/>
          <w:szCs w:val="16"/>
        </w:rPr>
      </w:pPr>
      <w:r w:rsidRPr="00D03F3E">
        <w:rPr>
          <w:color w:val="0070C0"/>
          <w:sz w:val="16"/>
          <w:szCs w:val="16"/>
        </w:rPr>
        <w:t>К середине 1944 года были спроектированы и изготовлены опытные направляющие для пуска снарядов М-8, М-13, М-13-ДД, М-13-УК, М-20 и М-31. Полигонные испытания, проводившиеся в августе-сентябре, показали, что стрельба из созданных направляющих безопасна, а полёт снарядов правильный. Наименьшее рассеивание обеспечивалось при использовании М-20 и направляющей длиной 3 м с крутизной 120° на погонный метр, для снаряда М-13 — длиной 5 м с крутизной 80° на погонный метр.</w:t>
      </w:r>
    </w:p>
    <w:p w14:paraId="2FD3B62C" w14:textId="77777777" w:rsidR="00BD4335" w:rsidRPr="00D03F3E" w:rsidRDefault="00BD4335" w:rsidP="00D03F3E">
      <w:pPr>
        <w:pStyle w:val="ae"/>
        <w:shd w:val="clear" w:color="auto" w:fill="FFFFFF"/>
        <w:spacing w:before="0" w:after="0"/>
        <w:jc w:val="both"/>
        <w:textAlignment w:val="baseline"/>
        <w:rPr>
          <w:color w:val="0070C0"/>
          <w:sz w:val="16"/>
          <w:szCs w:val="16"/>
        </w:rPr>
      </w:pPr>
      <w:r w:rsidRPr="00D03F3E">
        <w:rPr>
          <w:color w:val="0070C0"/>
          <w:sz w:val="16"/>
          <w:szCs w:val="16"/>
        </w:rPr>
        <w:t>В апреле 1945 года были представлены готовые машины со спиральными направляющими. При опытных стрельбах в начале мая было показано, что установки М-13-СН улучшают кучность падения снарядов М-13, М-13-ДД и М-20 в среднем в полтора-три раза. Промышленность получила заказ на изготовление ста пусковых установок, началось формирований новых воинских подразделений, принимавших на вооружение М-13-СН, однако участия в боевых действиях они принять не успели.</w:t>
      </w:r>
    </w:p>
    <w:p w14:paraId="680082B5" w14:textId="77777777" w:rsidR="00BD4335" w:rsidRPr="00D03F3E" w:rsidRDefault="00BD4335" w:rsidP="00D03F3E">
      <w:pPr>
        <w:pStyle w:val="ae"/>
        <w:shd w:val="clear" w:color="auto" w:fill="FFFFFF"/>
        <w:spacing w:before="0" w:after="0"/>
        <w:jc w:val="both"/>
        <w:textAlignment w:val="baseline"/>
        <w:rPr>
          <w:color w:val="0070C0"/>
          <w:sz w:val="16"/>
          <w:szCs w:val="16"/>
        </w:rPr>
      </w:pPr>
      <w:r w:rsidRPr="00D03F3E">
        <w:rPr>
          <w:color w:val="0070C0"/>
          <w:sz w:val="16"/>
          <w:szCs w:val="16"/>
        </w:rPr>
        <w:t>После окончания Великой Отечественной войны работы над реактивными установками были продолжены и направлены на их дальнейшее совершенствование при продолжавшейся эксплуатации серийных машин. Самыми долговечными из них оказались боевые машины М-13, известные сегодня как БМ-13 или «Катюши» (19941).</w:t>
      </w:r>
    </w:p>
    <w:p w14:paraId="76A359F4" w14:textId="77777777" w:rsidR="00BD4335" w:rsidRPr="00D03F3E" w:rsidRDefault="00BD4335" w:rsidP="00D03F3E">
      <w:pPr>
        <w:shd w:val="clear" w:color="auto" w:fill="FFFFFF"/>
        <w:spacing w:after="0" w:line="240" w:lineRule="auto"/>
        <w:jc w:val="both"/>
        <w:rPr>
          <w:rFonts w:ascii="Times New Roman" w:hAnsi="Times New Roman"/>
          <w:color w:val="0070C0"/>
          <w:sz w:val="16"/>
          <w:szCs w:val="16"/>
        </w:rPr>
      </w:pPr>
    </w:p>
    <w:p w14:paraId="73BEDDAC" w14:textId="77777777" w:rsidR="00BD4335" w:rsidRPr="00D03F3E" w:rsidRDefault="00BD4335" w:rsidP="00D03F3E">
      <w:pPr>
        <w:pStyle w:val="ae"/>
        <w:shd w:val="clear" w:color="auto" w:fill="FFFFFF"/>
        <w:spacing w:before="0" w:after="0"/>
        <w:jc w:val="both"/>
        <w:rPr>
          <w:color w:val="0070C0"/>
          <w:sz w:val="16"/>
          <w:szCs w:val="16"/>
        </w:rPr>
      </w:pPr>
      <w:r w:rsidRPr="00D03F3E">
        <w:rPr>
          <w:color w:val="0070C0"/>
          <w:sz w:val="16"/>
          <w:szCs w:val="16"/>
        </w:rPr>
        <w:t>В начале 1943 года специалисты СКБ провели работы по созданию установок с нормализованной метательной установкой установки М-13 на доработанных шасси грузовых автомобилей Chevrolet и ЗИС-6. В течение января – мая 1943 года был изготовлен опытный образец на доработанном шасси грузового автомобиля Chevrolet и проведены его полигонные испытания. Установки были приняты на вооружение Красной Армии. Однако, из-за наличия в достаточном количестве шасси этих марок в серийное производство они не пошли (21476).</w:t>
      </w:r>
    </w:p>
    <w:p w14:paraId="7C4B0F62" w14:textId="77777777" w:rsidR="00BD4335" w:rsidRPr="00D03F3E" w:rsidRDefault="00BD4335" w:rsidP="00D03F3E">
      <w:pPr>
        <w:pStyle w:val="ae"/>
        <w:shd w:val="clear" w:color="auto" w:fill="FFFFFF"/>
        <w:spacing w:before="0" w:after="0"/>
        <w:jc w:val="both"/>
        <w:rPr>
          <w:color w:val="0070C0"/>
          <w:sz w:val="16"/>
          <w:szCs w:val="16"/>
        </w:rPr>
      </w:pPr>
    </w:p>
    <w:p w14:paraId="0129B9CB"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38C943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245DB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Начало 1943 г. в нашей боеприпасной промышленности прошло под знаком «катушечного сна</w:t>
      </w:r>
      <w:r w:rsidRPr="00D03F3E">
        <w:rPr>
          <w:rFonts w:ascii="Times New Roman" w:hAnsi="Times New Roman"/>
          <w:color w:val="000000" w:themeColor="text1"/>
          <w:sz w:val="16"/>
          <w:szCs w:val="16"/>
        </w:rPr>
        <w:softHyphen/>
        <w:t>ряда». Владимир Никанорович Кладинов, ветеран завода № 179, так вспоминал об этом:</w:t>
      </w:r>
    </w:p>
    <w:p w14:paraId="3A2CE8E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«Впервые я увидел эти «катушки» (первые подкалиберные снаряды калибра 45 - 85-мм военного времени имели «катушеч</w:t>
      </w:r>
      <w:r w:rsidRPr="00D03F3E">
        <w:rPr>
          <w:rFonts w:ascii="Times New Roman" w:hAnsi="Times New Roman"/>
          <w:color w:val="000000" w:themeColor="text1"/>
          <w:sz w:val="16"/>
          <w:szCs w:val="16"/>
        </w:rPr>
        <w:softHyphen/>
        <w:t>ную форму — М.С.) в сорок втором. Но тогда мы выпустили их совсем мало. Ну, может, с полтысячи штук, может — тыся</w:t>
      </w:r>
      <w:r w:rsidRPr="00D03F3E">
        <w:rPr>
          <w:rFonts w:ascii="Times New Roman" w:hAnsi="Times New Roman"/>
          <w:color w:val="000000" w:themeColor="text1"/>
          <w:sz w:val="16"/>
          <w:szCs w:val="16"/>
        </w:rPr>
        <w:softHyphen/>
        <w:t>чу... Зато весной 1943-го словно с цепи все сорвались... Катуш</w:t>
      </w:r>
      <w:r w:rsidRPr="00D03F3E">
        <w:rPr>
          <w:rFonts w:ascii="Times New Roman" w:hAnsi="Times New Roman"/>
          <w:color w:val="000000" w:themeColor="text1"/>
          <w:sz w:val="16"/>
          <w:szCs w:val="16"/>
        </w:rPr>
        <w:softHyphen/>
        <w:t>ки стали называть продуктом номер один, за их сверхнорма</w:t>
      </w:r>
      <w:r w:rsidRPr="00D03F3E">
        <w:rPr>
          <w:rFonts w:ascii="Times New Roman" w:hAnsi="Times New Roman"/>
          <w:color w:val="000000" w:themeColor="text1"/>
          <w:sz w:val="16"/>
          <w:szCs w:val="16"/>
        </w:rPr>
        <w:softHyphen/>
        <w:t>тивное изготовление давали премию американским яичным по</w:t>
      </w:r>
      <w:r w:rsidRPr="00D03F3E">
        <w:rPr>
          <w:rFonts w:ascii="Times New Roman" w:hAnsi="Times New Roman"/>
          <w:color w:val="000000" w:themeColor="text1"/>
          <w:sz w:val="16"/>
          <w:szCs w:val="16"/>
        </w:rPr>
        <w:softHyphen/>
        <w:t>рошком, комбижиром... Наш участок забурлил... Больше всего шло маленьких «катушек», для «сорокапяти». «Семидесяти-шести» было намного меньше... Да у нас их особо и не любили. Сердечники у них толще, запрессовываются в очко хуже, усилий требуют больше... «Сорокапяти» делать было проще.</w:t>
      </w:r>
    </w:p>
    <w:p w14:paraId="67F016E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нас говорили, что этими «катушками» сорокопятка может даже «Тигра» пробить запросто...» (11135).</w:t>
      </w:r>
    </w:p>
    <w:p w14:paraId="00AB50B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456509" w14:textId="77777777" w:rsidR="00BD4344" w:rsidRPr="00D03F3E" w:rsidRDefault="00BD4344" w:rsidP="00D03F3E">
      <w:pPr>
        <w:pStyle w:val="ae"/>
        <w:spacing w:before="0" w:after="0"/>
        <w:jc w:val="both"/>
        <w:textAlignment w:val="baseline"/>
        <w:rPr>
          <w:iCs/>
          <w:color w:val="000000" w:themeColor="text1"/>
          <w:sz w:val="16"/>
          <w:szCs w:val="16"/>
        </w:rPr>
      </w:pPr>
      <w:r w:rsidRPr="00D03F3E">
        <w:rPr>
          <w:iCs/>
          <w:color w:val="000000" w:themeColor="text1"/>
          <w:sz w:val="16"/>
          <w:szCs w:val="16"/>
          <w:bdr w:val="none" w:sz="0" w:space="0" w:color="auto" w:frame="1"/>
        </w:rPr>
        <w:t>В начале 1943 года на АНИОП были доставлены с Украинского фронта детали и сборки немецкого трофейного образца ручного противотанкового гранатомета.</w:t>
      </w:r>
    </w:p>
    <w:p w14:paraId="4C41E635" w14:textId="77777777" w:rsidR="00BD4344" w:rsidRPr="00D03F3E" w:rsidRDefault="00BD4344" w:rsidP="00D03F3E">
      <w:pPr>
        <w:pStyle w:val="ae"/>
        <w:spacing w:before="0" w:after="0"/>
        <w:jc w:val="both"/>
        <w:textAlignment w:val="baseline"/>
        <w:rPr>
          <w:iCs/>
          <w:color w:val="000000" w:themeColor="text1"/>
          <w:sz w:val="16"/>
          <w:szCs w:val="16"/>
        </w:rPr>
      </w:pPr>
      <w:r w:rsidRPr="00D03F3E">
        <w:rPr>
          <w:iCs/>
          <w:color w:val="000000" w:themeColor="text1"/>
          <w:sz w:val="16"/>
          <w:szCs w:val="16"/>
          <w:bdr w:val="none" w:sz="0" w:space="0" w:color="auto" w:frame="1"/>
        </w:rPr>
        <w:t>Вместе с указанными деталями и сборками гранатомета к нему имелось несколько кумулятивных гранат. При некомплектности сборки трофейного гранатомета собрать его для изучения и проверить стрельбой не представлялось возможным. К тому же этот вид ручного гранатомета в информационных материалах не освещался и его боевая эффективность неизвестна.</w:t>
      </w:r>
    </w:p>
    <w:p w14:paraId="17295FB0" w14:textId="77777777" w:rsidR="00BD4344" w:rsidRPr="00D03F3E" w:rsidRDefault="00BD4344" w:rsidP="00D03F3E">
      <w:pPr>
        <w:pStyle w:val="ae"/>
        <w:spacing w:before="0" w:after="0"/>
        <w:jc w:val="both"/>
        <w:textAlignment w:val="baseline"/>
        <w:rPr>
          <w:iCs/>
          <w:color w:val="000000" w:themeColor="text1"/>
          <w:sz w:val="16"/>
          <w:szCs w:val="16"/>
        </w:rPr>
      </w:pPr>
      <w:r w:rsidRPr="00D03F3E">
        <w:rPr>
          <w:iCs/>
          <w:color w:val="000000" w:themeColor="text1"/>
          <w:sz w:val="16"/>
          <w:szCs w:val="16"/>
          <w:bdr w:val="none" w:sz="0" w:space="0" w:color="auto" w:frame="1"/>
        </w:rPr>
        <w:t>В целях подробного изучения данного трофейного образца на предмет использования полученного материала в системе отечественного вооружения, АНИОП-ом на основе доставленных деталей был разработан технический проект и изготовлен опытный образец подобного гранатомета. При изготовлении опытного образца были использованы приклад и затвор от ружья типа «Бердан».</w:t>
      </w:r>
    </w:p>
    <w:p w14:paraId="2948B403" w14:textId="77777777" w:rsidR="00BD4344" w:rsidRPr="00D03F3E" w:rsidRDefault="00BD4344" w:rsidP="00D03F3E">
      <w:pPr>
        <w:pStyle w:val="ae"/>
        <w:spacing w:before="0" w:after="0"/>
        <w:jc w:val="both"/>
        <w:textAlignment w:val="baseline"/>
        <w:rPr>
          <w:iCs/>
          <w:color w:val="000000" w:themeColor="text1"/>
          <w:sz w:val="16"/>
          <w:szCs w:val="16"/>
        </w:rPr>
      </w:pPr>
      <w:r w:rsidRPr="00D03F3E">
        <w:rPr>
          <w:iCs/>
          <w:color w:val="000000" w:themeColor="text1"/>
          <w:sz w:val="16"/>
          <w:szCs w:val="16"/>
          <w:bdr w:val="none" w:sz="0" w:space="0" w:color="auto" w:frame="1"/>
        </w:rPr>
        <w:t>Имевшиеся на АНИОП-е несколько штук трофейных гранат к немецкому образцу гранатомета были использованы для их изучения в отношении снаряжения, поэтому для проведения испытания опытного образца стрельбой необходимо было изготовить гранаты заново. Вследствие загруженности механической мастерской АНИОП-а другими работами, гранаты изготовить не представилось возможным, изготовленный образец гранатомета стрельбой не испытан</w:t>
      </w:r>
      <w:r w:rsidRPr="00D03F3E">
        <w:rPr>
          <w:iCs/>
          <w:color w:val="000000" w:themeColor="text1"/>
          <w:sz w:val="16"/>
          <w:szCs w:val="16"/>
        </w:rPr>
        <w:t>» (18987).</w:t>
      </w:r>
    </w:p>
    <w:p w14:paraId="652E9F18" w14:textId="77777777" w:rsidR="00BD4344" w:rsidRPr="00D03F3E" w:rsidRDefault="00BD4344" w:rsidP="00D03F3E">
      <w:pPr>
        <w:pStyle w:val="ae"/>
        <w:spacing w:before="0" w:after="0"/>
        <w:jc w:val="both"/>
        <w:textAlignment w:val="baseline"/>
        <w:rPr>
          <w:iCs/>
          <w:color w:val="000000" w:themeColor="text1"/>
          <w:sz w:val="16"/>
          <w:szCs w:val="16"/>
        </w:rPr>
      </w:pPr>
    </w:p>
    <w:p w14:paraId="489A4AEA" w14:textId="77777777" w:rsidR="00AD5F7E" w:rsidRPr="00D03F3E" w:rsidRDefault="00AD5F7E"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начале 1943 года (информации о точной дате нет) началась работа над проектом КБ завода №9 во главе с Ф.Ф. Петровым. Этот проект стал продолжением работ над семейством буксируемых орудий на лафетах 122-мм гаубицы М-30 и 152-мм гаубицы-пушки МЛ-20, начатых осенью 1942 года, когда коллектив конструкторов ещё работал в КБ завода №8. На лафет М-30 предлагалось наложить с соответствующими переделками стволы следующих систем:</w:t>
      </w:r>
    </w:p>
    <w:p w14:paraId="6238BBC3" w14:textId="77777777" w:rsidR="00AD5F7E" w:rsidRPr="00D03F3E" w:rsidRDefault="00AD5F7E"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107-мм пушки обр.1910/30 гг (ЗИК-30);</w:t>
      </w:r>
    </w:p>
    <w:p w14:paraId="35880FFE" w14:textId="77777777" w:rsidR="00AD5F7E" w:rsidRPr="00D03F3E" w:rsidRDefault="00AD5F7E"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107-мм пушки М-60 (9С-1);</w:t>
      </w:r>
    </w:p>
    <w:p w14:paraId="3FDA492F" w14:textId="77777777" w:rsidR="00AD5F7E" w:rsidRPr="00D03F3E" w:rsidRDefault="00AD5F7E"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122-м корпусной пушки А-19 (Д-2);</w:t>
      </w:r>
    </w:p>
    <w:p w14:paraId="3436559C" w14:textId="77777777" w:rsidR="00AD5F7E" w:rsidRPr="00D03F3E" w:rsidRDefault="00AD5F7E"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152-мм гаубицы М-10 (Д-1).</w:t>
      </w:r>
    </w:p>
    <w:p w14:paraId="237F0ABB" w14:textId="77777777" w:rsidR="00AD5F7E" w:rsidRPr="00D03F3E" w:rsidRDefault="00AD5F7E" w:rsidP="00D03F3E">
      <w:pPr>
        <w:pStyle w:val="ae"/>
        <w:shd w:val="clear" w:color="auto" w:fill="FFFFFF"/>
        <w:spacing w:before="0" w:after="0"/>
        <w:jc w:val="both"/>
        <w:rPr>
          <w:color w:val="000000" w:themeColor="text1"/>
          <w:sz w:val="16"/>
          <w:szCs w:val="16"/>
        </w:rPr>
      </w:pPr>
      <w:r w:rsidRPr="00D03F3E">
        <w:rPr>
          <w:color w:val="000000" w:themeColor="text1"/>
          <w:sz w:val="16"/>
          <w:szCs w:val="16"/>
        </w:rPr>
        <w:t>Из этого списка 9С-1 и Д-2 были построены и испытаны, а Д-1 была принята на вооружение РККА и долгое время использовалась в разных точках земного шара. Похожую на Д-2 систему — М-5 — сделало КБ завода №172. Обе эти системы в серию не пошли, но итоги работы над Д-2 не прошли даром: идея установки орудия на лафет М-30 оказалась удачной, позже такая конструкция использовалась при создании знаменитой танковой пушки Д-25Т.</w:t>
      </w:r>
    </w:p>
    <w:p w14:paraId="5BCB5F3B" w14:textId="77777777" w:rsidR="00AD5F7E" w:rsidRPr="00D03F3E" w:rsidRDefault="00AD5F7E" w:rsidP="00D03F3E">
      <w:pPr>
        <w:pStyle w:val="ae"/>
        <w:shd w:val="clear" w:color="auto" w:fill="FFFFFF"/>
        <w:spacing w:before="0" w:after="0"/>
        <w:jc w:val="both"/>
        <w:rPr>
          <w:color w:val="000000" w:themeColor="text1"/>
          <w:sz w:val="16"/>
          <w:szCs w:val="16"/>
        </w:rPr>
      </w:pPr>
      <w:r w:rsidRPr="00D03F3E">
        <w:rPr>
          <w:color w:val="000000" w:themeColor="text1"/>
          <w:sz w:val="16"/>
          <w:szCs w:val="16"/>
        </w:rPr>
        <w:t>Что же касается систем калибра 107 мм, то их развитие зашло в тупик. Что, впрочем, не помешало разработать проект самоходной установки с таким орудием.</w:t>
      </w:r>
    </w:p>
    <w:p w14:paraId="24113639" w14:textId="77777777" w:rsidR="00AD5F7E" w:rsidRPr="00D03F3E" w:rsidRDefault="00AD5F7E" w:rsidP="00D03F3E">
      <w:pPr>
        <w:pStyle w:val="ae"/>
        <w:shd w:val="clear" w:color="auto" w:fill="FFFFFF"/>
        <w:spacing w:before="0" w:after="0"/>
        <w:jc w:val="both"/>
        <w:rPr>
          <w:color w:val="000000" w:themeColor="text1"/>
          <w:sz w:val="16"/>
          <w:szCs w:val="16"/>
        </w:rPr>
      </w:pPr>
      <w:r w:rsidRPr="00D03F3E">
        <w:rPr>
          <w:color w:val="000000" w:themeColor="text1"/>
          <w:sz w:val="16"/>
          <w:szCs w:val="16"/>
        </w:rPr>
        <w:t>До наших дней не сохранилось ни документов, ни даже обозначения этой системы. Чаще всего её называют У-34, но такой индекс не соответствует действительности. Фактически это та же самая СУ-122, облик которой окончательно сформировался лишь в декабре 1942 года. Вероятнее всего, проект датирован началом 1943 года. Его появление напрямую связано с попыткой унификации различных систем на одном лафете. Какая именно система — ЗИК-30 или 9С-1 — использовалась для наложения неизвестно.</w:t>
      </w:r>
    </w:p>
    <w:p w14:paraId="4359EFBD" w14:textId="77777777" w:rsidR="00AD5F7E" w:rsidRPr="00D03F3E" w:rsidRDefault="00AD5F7E" w:rsidP="00D03F3E">
      <w:pPr>
        <w:pStyle w:val="ae"/>
        <w:shd w:val="clear" w:color="auto" w:fill="FFFFFF"/>
        <w:spacing w:before="0" w:after="0"/>
        <w:jc w:val="both"/>
        <w:rPr>
          <w:color w:val="000000" w:themeColor="text1"/>
          <w:sz w:val="16"/>
          <w:szCs w:val="16"/>
        </w:rPr>
      </w:pPr>
      <w:r w:rsidRPr="00D03F3E">
        <w:rPr>
          <w:color w:val="000000" w:themeColor="text1"/>
          <w:sz w:val="16"/>
          <w:szCs w:val="16"/>
        </w:rPr>
        <w:lastRenderedPageBreak/>
        <w:t xml:space="preserve">Правда, к тому моменту звезда пушек калибра 107 мм уже закатилась, да и над СУ-122 в её исходном виде сгустились тучи. Дело в том, что САУ оказалась чересчур тесной, поэтому с конца января 1943 года началось обсуждение проекта СУ-35М или </w:t>
      </w:r>
      <w:hyperlink r:id="rId43" w:history="1">
        <w:r w:rsidRPr="00D03F3E">
          <w:rPr>
            <w:rStyle w:val="a5"/>
            <w:color w:val="000000" w:themeColor="text1"/>
            <w:sz w:val="16"/>
            <w:szCs w:val="16"/>
          </w:rPr>
          <w:t>СУ-122М</w:t>
        </w:r>
      </w:hyperlink>
      <w:r w:rsidRPr="00D03F3E">
        <w:rPr>
          <w:color w:val="000000" w:themeColor="text1"/>
          <w:sz w:val="16"/>
          <w:szCs w:val="16"/>
        </w:rPr>
        <w:t>. Вместо качающейся части М-30 на эту машину ставилась система Д-11, в которую вписать 107-мм ствол было уже сложнее. Неудивительно, что безымянный проект, являвшийся инициативной разработкой, быстро ушёл в небытие, практически не оставив за собой никаких следов (17704).</w:t>
      </w:r>
    </w:p>
    <w:p w14:paraId="6C4F06FD" w14:textId="77777777" w:rsidR="00AD5F7E" w:rsidRPr="00D03F3E" w:rsidRDefault="00AD5F7E" w:rsidP="00D03F3E">
      <w:pPr>
        <w:spacing w:after="0" w:line="240" w:lineRule="auto"/>
        <w:jc w:val="both"/>
        <w:rPr>
          <w:rFonts w:ascii="Times New Roman" w:hAnsi="Times New Roman"/>
          <w:color w:val="000000" w:themeColor="text1"/>
          <w:sz w:val="16"/>
          <w:szCs w:val="16"/>
        </w:rPr>
      </w:pPr>
    </w:p>
    <w:p w14:paraId="2ECC163E"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Начало 1943 г. РАСЧЕТ ПОТРЕБНОСТИ В ОСНОВНЫХ ПРОДУКТАХ ПИТАНИЯ НА 1943 ГОД ПО УПРАВЛЕНИЮ РАБОЧЕГО СНАБЖЕНИЯ КОМБИНАТА № 179 НКБ</w:t>
      </w:r>
    </w:p>
    <w:p w14:paraId="667E0597"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овощам установлена норма 60 килограмм на душу населения в год, но так как практика предприятий общественного питания УРСа показала, что этого количества овощей недостаточно для построения нормального меню, в условиях карточного снабжения по остальным продуктам, норма увеличена нами до 80 килограммов в год. По молоку принята норма потребления 72 литра в год на человека (т.е. ежедневно по стакану молока на душу населения). При указанном выше контингенте и нормах потребления годовая потребность в продуктах составит: крупяные культуры — 1 260 тонн, картофель - 10 000 тонн, овощи - 6 300 тонн, мясо-рыба - 1 500 тонн, молоко — 4 600 тонн, жиры — 407 тонн.</w:t>
      </w:r>
    </w:p>
    <w:p w14:paraId="0BA94D1F"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 Потребность в продуктах исчислена в чистом виде, и, таким образом, при определении источников покрытия по всем видам продуктов особо должны быть учтены все виды потерь, неизбежные при доставке, переработке и хранении соответствующих продуктов. При исчислении потребности в мясе и в молоке необходимо учесть перекрытие дефицита по жирам, не перекрываемого централизованными фондами, а именно: по мясу исходя из установленного коэффициента НКТ СССР за 1 кг жиров 4 кг мяса и по молоку из расчета 25 кг молока вместо 1 кг жиров, покрытием 65 тонн жиров, с заменой их мясом в количестве 180 тонн, молоком в количестве 500 тонн.</w:t>
      </w:r>
    </w:p>
    <w:p w14:paraId="79005AE0"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планово-экономического отдела УРСК-179 Первушин</w:t>
      </w:r>
    </w:p>
    <w:p w14:paraId="1DAB418F"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ГАНО. Ф. П-4. Оп. 7. Д. 506. Л. 91-91об. Подлинник.</w:t>
      </w:r>
    </w:p>
    <w:p w14:paraId="4DFEB9EE" w14:textId="77777777" w:rsidR="009D1CFD" w:rsidRPr="00D03F3E" w:rsidRDefault="009D1C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Подпись-автограф (12193).</w:t>
      </w:r>
    </w:p>
    <w:p w14:paraId="402FB508" w14:textId="77777777" w:rsidR="009D1CFD" w:rsidRPr="00D03F3E" w:rsidRDefault="009D1CFD" w:rsidP="00D03F3E">
      <w:pPr>
        <w:spacing w:after="0" w:line="240" w:lineRule="auto"/>
        <w:jc w:val="both"/>
        <w:rPr>
          <w:rFonts w:ascii="Times New Roman" w:hAnsi="Times New Roman"/>
          <w:color w:val="000000" w:themeColor="text1"/>
          <w:sz w:val="16"/>
          <w:szCs w:val="16"/>
        </w:rPr>
      </w:pPr>
    </w:p>
    <w:p w14:paraId="0140B80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началу 1943 г. ГБТУ РККА пересмотрело систему во</w:t>
      </w:r>
      <w:r w:rsidRPr="00D03F3E">
        <w:rPr>
          <w:rFonts w:ascii="Times New Roman" w:hAnsi="Times New Roman"/>
          <w:color w:val="000000" w:themeColor="text1"/>
          <w:sz w:val="16"/>
          <w:szCs w:val="16"/>
        </w:rPr>
        <w:softHyphen/>
        <w:t>оружений, касаемо места в ней иностранных танков, в ре</w:t>
      </w:r>
      <w:r w:rsidRPr="00D03F3E">
        <w:rPr>
          <w:rFonts w:ascii="Times New Roman" w:hAnsi="Times New Roman"/>
          <w:color w:val="000000" w:themeColor="text1"/>
          <w:sz w:val="16"/>
          <w:szCs w:val="16"/>
        </w:rPr>
        <w:softHyphen/>
        <w:t>зультате чего были сделаны следующие выводы:</w:t>
      </w:r>
    </w:p>
    <w:p w14:paraId="2AE04F9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танках для бронетанковых войск РККА для летней кампании 1943 года:</w:t>
      </w:r>
    </w:p>
    <w:p w14:paraId="7A59268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По танкам производства Британии и Канады:</w:t>
      </w:r>
    </w:p>
    <w:p w14:paraId="4928A90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Заказ легкого пехотного танка Мк-3 «Валентайн» с уси</w:t>
      </w:r>
      <w:r w:rsidRPr="00D03F3E">
        <w:rPr>
          <w:rFonts w:ascii="Times New Roman" w:hAnsi="Times New Roman"/>
          <w:color w:val="000000" w:themeColor="text1"/>
          <w:sz w:val="16"/>
          <w:szCs w:val="16"/>
        </w:rPr>
        <w:softHyphen/>
        <w:t>ленным вооружением продлить дополнительно на 2000 шт.</w:t>
      </w:r>
    </w:p>
    <w:p w14:paraId="37E963C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От крейсерского танка Мк-6«Тетрарх» отказаться.</w:t>
      </w:r>
    </w:p>
    <w:p w14:paraId="0FA6D61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Средний пехотный танк Мк-2 «Матильда» дополучить до общего кол-ва 1000 шт согласно текущего протокола. Оставшиеся танки получать вооружением 76-мм пушки. В дальнейшем заказ танка данного типа прекратить.</w:t>
      </w:r>
    </w:p>
    <w:p w14:paraId="0E70EF2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Получение тяжелого пехотного танка Мк-4 «Чер</w:t>
      </w:r>
      <w:r w:rsidRPr="00D03F3E">
        <w:rPr>
          <w:rFonts w:ascii="Times New Roman" w:hAnsi="Times New Roman"/>
          <w:color w:val="000000" w:themeColor="text1"/>
          <w:sz w:val="16"/>
          <w:szCs w:val="16"/>
        </w:rPr>
        <w:softHyphen/>
        <w:t>чилль» для тяжелых танковых полков вести в количестве со</w:t>
      </w:r>
      <w:r w:rsidRPr="00D03F3E">
        <w:rPr>
          <w:rFonts w:ascii="Times New Roman" w:hAnsi="Times New Roman"/>
          <w:color w:val="000000" w:themeColor="text1"/>
          <w:sz w:val="16"/>
          <w:szCs w:val="16"/>
        </w:rPr>
        <w:softHyphen/>
        <w:t>гласно текущему протоколу.</w:t>
      </w:r>
    </w:p>
    <w:p w14:paraId="1D94669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Бронированный транспортер пехоты и оружия «Уни</w:t>
      </w:r>
      <w:r w:rsidRPr="00D03F3E">
        <w:rPr>
          <w:rFonts w:ascii="Times New Roman" w:hAnsi="Times New Roman"/>
          <w:color w:val="000000" w:themeColor="text1"/>
          <w:sz w:val="16"/>
          <w:szCs w:val="16"/>
        </w:rPr>
        <w:softHyphen/>
        <w:t>версал» получить в количестве не менее 500 шт. с 13,5-мм противотанковым ружьем «Бойс».</w:t>
      </w:r>
    </w:p>
    <w:p w14:paraId="613189F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танкам производства США:</w:t>
      </w:r>
    </w:p>
    <w:p w14:paraId="4487EA3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Американские легкие танки М-ЗЛ «Стюарт» дополу</w:t>
      </w:r>
      <w:r w:rsidRPr="00D03F3E">
        <w:rPr>
          <w:rFonts w:ascii="Times New Roman" w:hAnsi="Times New Roman"/>
          <w:color w:val="000000" w:themeColor="text1"/>
          <w:sz w:val="16"/>
          <w:szCs w:val="16"/>
        </w:rPr>
        <w:softHyphen/>
        <w:t>чить до общего числа 1200 шт. текущего протокола. В даль</w:t>
      </w:r>
      <w:r w:rsidRPr="00D03F3E">
        <w:rPr>
          <w:rFonts w:ascii="Times New Roman" w:hAnsi="Times New Roman"/>
          <w:color w:val="000000" w:themeColor="text1"/>
          <w:sz w:val="16"/>
          <w:szCs w:val="16"/>
        </w:rPr>
        <w:softHyphen/>
        <w:t>нейшем заказ танков данного типа прекратить.</w:t>
      </w:r>
    </w:p>
    <w:p w14:paraId="2D31B72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Американский легкий танк М-5Л. От заказа отка</w:t>
      </w:r>
      <w:r w:rsidRPr="00D03F3E">
        <w:rPr>
          <w:rFonts w:ascii="Times New Roman" w:hAnsi="Times New Roman"/>
          <w:color w:val="000000" w:themeColor="text1"/>
          <w:sz w:val="16"/>
          <w:szCs w:val="16"/>
        </w:rPr>
        <w:softHyphen/>
        <w:t>заться в виду отсутствия преимуществ перед М-ЗЛ.</w:t>
      </w:r>
    </w:p>
    <w:p w14:paraId="674CCF6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Средние танки М-ЗС «Грант» получить из расчета 1000 шт. текущего протокола. В 1943 г. рассмотреть вопрос замены их поставкой новых средних танков М4С с дизелън. двигателем и улучшенной броневой защитой в количестве не менее 1000шт.</w:t>
      </w:r>
    </w:p>
    <w:p w14:paraId="08BC7F2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Включить в перечень поставок легкую противотанковую самоходную установку СУ-57в количестве не менее 500 шт...»</w:t>
      </w:r>
    </w:p>
    <w:p w14:paraId="4266B68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в начале 1943 г., ожидая большого стол</w:t>
      </w:r>
      <w:r w:rsidRPr="00D03F3E">
        <w:rPr>
          <w:rFonts w:ascii="Times New Roman" w:hAnsi="Times New Roman"/>
          <w:color w:val="000000" w:themeColor="text1"/>
          <w:sz w:val="16"/>
          <w:szCs w:val="16"/>
        </w:rPr>
        <w:softHyphen/>
        <w:t>кновения с массам немецких танков, советская сторона на</w:t>
      </w:r>
      <w:r w:rsidRPr="00D03F3E">
        <w:rPr>
          <w:rFonts w:ascii="Times New Roman" w:hAnsi="Times New Roman"/>
          <w:color w:val="000000" w:themeColor="text1"/>
          <w:sz w:val="16"/>
          <w:szCs w:val="16"/>
        </w:rPr>
        <w:softHyphen/>
        <w:t>чала отказываться от получения легких быстроходных тан</w:t>
      </w:r>
      <w:r w:rsidRPr="00D03F3E">
        <w:rPr>
          <w:rFonts w:ascii="Times New Roman" w:hAnsi="Times New Roman"/>
          <w:color w:val="000000" w:themeColor="text1"/>
          <w:sz w:val="16"/>
          <w:szCs w:val="16"/>
        </w:rPr>
        <w:softHyphen/>
        <w:t>ков, предпочитая им пусть более тихоходные, но хорошо забронированные пехотные и средние. Заказ же танка «ма-тильда» прекращался, поскольку Великобритания прекра</w:t>
      </w:r>
      <w:r w:rsidRPr="00D03F3E">
        <w:rPr>
          <w:rFonts w:ascii="Times New Roman" w:hAnsi="Times New Roman"/>
          <w:color w:val="000000" w:themeColor="text1"/>
          <w:sz w:val="16"/>
          <w:szCs w:val="16"/>
        </w:rPr>
        <w:softHyphen/>
        <w:t>щала серийный выпуск указанной машины в пользу «уни</w:t>
      </w:r>
      <w:r w:rsidRPr="00D03F3E">
        <w:rPr>
          <w:rFonts w:ascii="Times New Roman" w:hAnsi="Times New Roman"/>
          <w:color w:val="000000" w:themeColor="text1"/>
          <w:sz w:val="16"/>
          <w:szCs w:val="16"/>
        </w:rPr>
        <w:softHyphen/>
        <w:t>версальных» танков типа «Кромвелл».</w:t>
      </w:r>
    </w:p>
    <w:p w14:paraId="7974940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Танки Мк IV «Черчилль» пока еще устраивали совет</w:t>
      </w:r>
      <w:r w:rsidRPr="00D03F3E">
        <w:rPr>
          <w:rFonts w:ascii="Times New Roman" w:hAnsi="Times New Roman"/>
          <w:color w:val="000000" w:themeColor="text1"/>
          <w:sz w:val="16"/>
          <w:szCs w:val="16"/>
        </w:rPr>
        <w:softHyphen/>
        <w:t>ские танковые войска, так как их бронирование было очень мощным, а вооружение усиливалось.</w:t>
      </w:r>
    </w:p>
    <w:p w14:paraId="085FEBF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«Валентайн» был первой любовью советской ар</w:t>
      </w:r>
      <w:r w:rsidRPr="00D03F3E">
        <w:rPr>
          <w:rFonts w:ascii="Times New Roman" w:hAnsi="Times New Roman"/>
          <w:color w:val="000000" w:themeColor="text1"/>
          <w:sz w:val="16"/>
          <w:szCs w:val="16"/>
        </w:rPr>
        <w:softHyphen/>
        <w:t>мии, которая, как известно «не ржавеет». Возможно, именно поэтому его заказ продолжался и на 1943 и на 1944 г. и лишь прекращение его производства остановило отгрузку в СССР, несмотря на недовыполненный британ</w:t>
      </w:r>
      <w:r w:rsidRPr="00D03F3E">
        <w:rPr>
          <w:rFonts w:ascii="Times New Roman" w:hAnsi="Times New Roman"/>
          <w:color w:val="000000" w:themeColor="text1"/>
          <w:sz w:val="16"/>
          <w:szCs w:val="16"/>
        </w:rPr>
        <w:softHyphen/>
        <w:t>ской стороной заказ на 1944г.</w:t>
      </w:r>
    </w:p>
    <w:p w14:paraId="62EB724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Впрочем, танки, поступающие в 1943-1944 гг., — очень отличались от своих старших собратьев. Их бронирование улучшилось, а главное — они были вооружены уже не сла</w:t>
      </w:r>
      <w:r w:rsidRPr="00D03F3E">
        <w:rPr>
          <w:rFonts w:ascii="Times New Roman" w:hAnsi="Times New Roman"/>
          <w:color w:val="000000" w:themeColor="text1"/>
          <w:sz w:val="16"/>
          <w:szCs w:val="16"/>
        </w:rPr>
        <w:softHyphen/>
        <w:t>бенькой 4'0-мм пушечкой, к которой в 1941—1942 гг. главным дефицитом были осколочные фанаты, а более мощной 57-мм пушкой и таким образом этот танк стал напоминать советскую предвоенную мечту об идеальном легком танке, которая должна была реализоваться в машине Т-50-2. Именно «Валентайны» оказались наиболее действенными танками во время боев в городах. Их подвижность и малые размеры помогали уберегаться от гранат «фауст-патронов» на улицах, а 57-мм пушка делала даже кирпичные стены сла</w:t>
      </w:r>
      <w:r w:rsidRPr="00D03F3E">
        <w:rPr>
          <w:rFonts w:ascii="Times New Roman" w:hAnsi="Times New Roman"/>
          <w:color w:val="000000" w:themeColor="text1"/>
          <w:sz w:val="16"/>
          <w:szCs w:val="16"/>
        </w:rPr>
        <w:softHyphen/>
        <w:t>бой защитой для немецких гренадеров. Единственным недо</w:t>
      </w:r>
      <w:r w:rsidRPr="00D03F3E">
        <w:rPr>
          <w:rFonts w:ascii="Times New Roman" w:hAnsi="Times New Roman"/>
          <w:color w:val="000000" w:themeColor="text1"/>
          <w:sz w:val="16"/>
          <w:szCs w:val="16"/>
        </w:rPr>
        <w:softHyphen/>
        <w:t>статком танка отмечался недостаточный угол возвышения оружия для ведения огня по верхним этажам зданий (11135).</w:t>
      </w:r>
    </w:p>
    <w:p w14:paraId="7D8B5BE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5114B7" w14:textId="77777777" w:rsidR="00AD5F7E" w:rsidRPr="00D03F3E" w:rsidRDefault="00AD5F7E"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начале 1943 года Красная армия могла получить от союзников ещё большую «неожиданность», чем Valentine IX. Англичане всерьёз собирались отправлять в СССР крейсерские танки Crusader III. 36 танков этого типа планировалось поставить в апреле 1943 года конвоем JW-55. Следующими конвоями JW-56 и JW-57 предполагалось выслать еще 421 танк. Это было похоже на «спихивание» в СССР машин, которые заменялись в английской армии американскими Sherman II, Sherman III и Sherman V. Вершинин в письме от 11 марта 1943 года выступил против такого щедрого «подарка», назвав Crusader III современной машиной, но со слабой бронёй. Ещё одним недостатком был назван бензиновый двигатель Liberty. «Крестовый поход» в Красную армию окончился, так толком и не начавшись (17709).</w:t>
      </w:r>
    </w:p>
    <w:p w14:paraId="4F94970F" w14:textId="77777777" w:rsidR="00AD5F7E" w:rsidRPr="00D03F3E" w:rsidRDefault="00AD5F7E" w:rsidP="00D03F3E">
      <w:pPr>
        <w:spacing w:after="0" w:line="240" w:lineRule="auto"/>
        <w:jc w:val="both"/>
        <w:rPr>
          <w:rFonts w:ascii="Times New Roman" w:hAnsi="Times New Roman"/>
          <w:color w:val="000000" w:themeColor="text1"/>
          <w:sz w:val="16"/>
          <w:szCs w:val="16"/>
        </w:rPr>
      </w:pPr>
    </w:p>
    <w:p w14:paraId="1273E77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выпуском Т-34 занимались лишь Уральский танковый завод № 183 им. Коминтерна и Горьковский завод № 112 «Красное Сормово». Сталинградский тракторный завод осенью прекратил отгрузку танков указанного типа, и потому вместо него выпуск Т-34 был спешно освоен на Челябинском Кировском заводе (параллельно с КВ-1С), Уральском заводе тяжелого «машиностроения (УЗТМ) и Омском заводе № 174. Понятно, что качество выпускаемой в начале 1943 г. .разными заводами продукции было различным. Наиболее добротными считались танки Т-34 выпуска завода №183 головного предприятия по Т-34, а наиболее плохим - завода № 112. Это было объяснимо, т.к. завод № 112, начавший производство Т-34 в июле 1941 г, относился прежде к Наркомсудпрому и находился в то время с другими танкостро</w:t>
      </w:r>
      <w:r w:rsidRPr="00D03F3E">
        <w:rPr>
          <w:rFonts w:ascii="Times New Roman" w:hAnsi="Times New Roman"/>
          <w:color w:val="000000" w:themeColor="text1"/>
          <w:sz w:val="16"/>
          <w:szCs w:val="16"/>
        </w:rPr>
        <w:softHyphen/>
        <w:t>ительными предприятиями не в совсем равных условиях. В самом деле, заводы № 183 и ЧКЗ с довоенных времен зани-йались производством средних и тяжелых танков. УЗТМ же с 1941 г. выработал неплохой опыт по изготовлению бронекорпусов и башен Т-34. Завод же 112, хоть и являлся старейшим предприятием танкостроения (именно на нем в 1920 г. появился легендарный «Борец За Свободу Тов. Ле</w:t>
      </w:r>
      <w:r w:rsidRPr="00D03F3E">
        <w:rPr>
          <w:rFonts w:ascii="Times New Roman" w:hAnsi="Times New Roman"/>
          <w:color w:val="000000" w:themeColor="text1"/>
          <w:sz w:val="16"/>
          <w:szCs w:val="16"/>
        </w:rPr>
        <w:softHyphen/>
        <w:t>нин»), но опыта современного танкостроения не имел. Правда, здесь производились бронекатера и подводные лодки и все необходимое для выпуска танков (броня, дви</w:t>
      </w:r>
      <w:r w:rsidRPr="00D03F3E">
        <w:rPr>
          <w:rFonts w:ascii="Times New Roman" w:hAnsi="Times New Roman"/>
          <w:color w:val="000000" w:themeColor="text1"/>
          <w:sz w:val="16"/>
          <w:szCs w:val="16"/>
        </w:rPr>
        <w:softHyphen/>
        <w:t>гательный участок, трансмиссионный участок, участок во</w:t>
      </w:r>
      <w:r w:rsidRPr="00D03F3E">
        <w:rPr>
          <w:rFonts w:ascii="Times New Roman" w:hAnsi="Times New Roman"/>
          <w:color w:val="000000" w:themeColor="text1"/>
          <w:sz w:val="16"/>
          <w:szCs w:val="16"/>
        </w:rPr>
        <w:softHyphen/>
        <w:t>оружения) вроде бы имелось, но цельносварной средний танк с броней 45-мм — сначала это казалось невозможным. Тем не менее осенью 1941 г. первый Т-34 вышел с Сормов</w:t>
      </w:r>
      <w:r w:rsidRPr="00D03F3E">
        <w:rPr>
          <w:rFonts w:ascii="Times New Roman" w:hAnsi="Times New Roman"/>
          <w:color w:val="000000" w:themeColor="text1"/>
          <w:sz w:val="16"/>
          <w:szCs w:val="16"/>
        </w:rPr>
        <w:softHyphen/>
        <w:t>ского завода, а к концу 1941 г. выпуск танков здесь пошел довольно ритмично (11135).</w:t>
      </w:r>
    </w:p>
    <w:p w14:paraId="038402A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Правда, почти весь 1942 г. на заводе стояли в производ</w:t>
      </w:r>
      <w:r w:rsidRPr="00D03F3E">
        <w:rPr>
          <w:rFonts w:ascii="Times New Roman" w:hAnsi="Times New Roman"/>
          <w:color w:val="000000" w:themeColor="text1"/>
          <w:sz w:val="16"/>
          <w:szCs w:val="16"/>
        </w:rPr>
        <w:softHyphen/>
        <w:t>стве лишь танки, укомплектованные бензомоторами М-17Т и М-17Ф. Возможно, осознание того, что завод № 112 производит продукцию «второго сорта», налагало и соответствующее отношение к нему снабженцев. Завод по</w:t>
      </w:r>
      <w:r w:rsidRPr="00D03F3E">
        <w:rPr>
          <w:rFonts w:ascii="Times New Roman" w:hAnsi="Times New Roman"/>
          <w:color w:val="000000" w:themeColor="text1"/>
          <w:sz w:val="16"/>
          <w:szCs w:val="16"/>
        </w:rPr>
        <w:softHyphen/>
        <w:t>лучал все материалы и комплектующие позднее, чем дру</w:t>
      </w:r>
      <w:r w:rsidRPr="00D03F3E">
        <w:rPr>
          <w:rFonts w:ascii="Times New Roman" w:hAnsi="Times New Roman"/>
          <w:color w:val="000000" w:themeColor="text1"/>
          <w:sz w:val="16"/>
          <w:szCs w:val="16"/>
        </w:rPr>
        <w:softHyphen/>
        <w:t>гие, а подчас еще и худшего качества, а суточная програм</w:t>
      </w:r>
      <w:r w:rsidRPr="00D03F3E">
        <w:rPr>
          <w:rFonts w:ascii="Times New Roman" w:hAnsi="Times New Roman"/>
          <w:color w:val="000000" w:themeColor="text1"/>
          <w:sz w:val="16"/>
          <w:szCs w:val="16"/>
        </w:rPr>
        <w:softHyphen/>
        <w:t>ма выпуска танков постоянно увеличивалась. Даже к нача</w:t>
      </w:r>
      <w:r w:rsidRPr="00D03F3E">
        <w:rPr>
          <w:rFonts w:ascii="Times New Roman" w:hAnsi="Times New Roman"/>
          <w:color w:val="000000" w:themeColor="text1"/>
          <w:sz w:val="16"/>
          <w:szCs w:val="16"/>
        </w:rPr>
        <w:softHyphen/>
        <w:t>лу 1943-го на заводе еще не было ни одного сварочного по</w:t>
      </w:r>
      <w:r w:rsidRPr="00D03F3E">
        <w:rPr>
          <w:rFonts w:ascii="Times New Roman" w:hAnsi="Times New Roman"/>
          <w:color w:val="000000" w:themeColor="text1"/>
          <w:sz w:val="16"/>
          <w:szCs w:val="16"/>
        </w:rPr>
        <w:softHyphen/>
        <w:t>луавтомата, литейный участок был переоборудован для крупномасштабного литья башен лишь к лету 1943 г. Имел место большой дефицит подготовленных кадров.</w:t>
      </w:r>
    </w:p>
    <w:p w14:paraId="7A6741A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Поэтому в течение 1942 г. количество и качество танков Т-34, выпущенных заводом «Красное Сормово», оставляло желать лучшего:</w:t>
      </w:r>
    </w:p>
    <w:p w14:paraId="664F3E5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«Танки завода №112 отличаются небрежной сборкой... Сварные швы различной толщины, в ряде случаем излишне буг</w:t>
      </w:r>
      <w:r w:rsidRPr="00D03F3E">
        <w:rPr>
          <w:rFonts w:ascii="Times New Roman" w:hAnsi="Times New Roman"/>
          <w:color w:val="000000" w:themeColor="text1"/>
          <w:sz w:val="16"/>
          <w:szCs w:val="16"/>
        </w:rPr>
        <w:softHyphen/>
        <w:t>ристые, прерывистые...</w:t>
      </w:r>
    </w:p>
    <w:p w14:paraId="0918A91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Многие танки предъявляются не укомплектованные ТПУ-3 и аккумуляторными батареями...</w:t>
      </w:r>
    </w:p>
    <w:p w14:paraId="121BA46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осмотренные танки имеют один общий недостаток — большое усилие на маховике поворотного механизма...</w:t>
      </w:r>
    </w:p>
    <w:p w14:paraId="497E12F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длительных маршах, в топливной системе танка воз</w:t>
      </w:r>
      <w:r w:rsidRPr="00D03F3E">
        <w:rPr>
          <w:rFonts w:ascii="Times New Roman" w:hAnsi="Times New Roman"/>
          <w:color w:val="000000" w:themeColor="text1"/>
          <w:sz w:val="16"/>
          <w:szCs w:val="16"/>
        </w:rPr>
        <w:softHyphen/>
        <w:t>можно появление течи бензина и его самовоспламенения...-»</w:t>
      </w:r>
    </w:p>
    <w:p w14:paraId="04A9DBD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низкое качество танков руководство завода постоян</w:t>
      </w:r>
      <w:r w:rsidRPr="00D03F3E">
        <w:rPr>
          <w:rFonts w:ascii="Times New Roman" w:hAnsi="Times New Roman"/>
          <w:color w:val="000000" w:themeColor="text1"/>
          <w:sz w:val="16"/>
          <w:szCs w:val="16"/>
        </w:rPr>
        <w:softHyphen/>
        <w:t>но получало «пилюли» от И. Зальцмана, а порой и от Вер</w:t>
      </w:r>
      <w:r w:rsidRPr="00D03F3E">
        <w:rPr>
          <w:rFonts w:ascii="Times New Roman" w:hAnsi="Times New Roman"/>
          <w:color w:val="000000" w:themeColor="text1"/>
          <w:sz w:val="16"/>
          <w:szCs w:val="16"/>
        </w:rPr>
        <w:softHyphen/>
        <w:t>ховного, который в письме В. Малышеву, отправленном в июне 1943 г., писал: «... и в заключение, товарищ Малышев, очень хочется надеяться, что вам наконец удастся что-то сделать с «сормовским уродом», на котором боятся воевать наши танкисты...» (11135).</w:t>
      </w:r>
    </w:p>
    <w:p w14:paraId="03632EE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0B3A6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был изготовлен и испытан макет экранированного корпуса Т-43 в натуральную вели</w:t>
      </w:r>
      <w:r w:rsidRPr="00D03F3E">
        <w:rPr>
          <w:rFonts w:ascii="Times New Roman" w:hAnsi="Times New Roman"/>
          <w:color w:val="000000" w:themeColor="text1"/>
          <w:sz w:val="16"/>
          <w:szCs w:val="16"/>
        </w:rPr>
        <w:softHyphen/>
        <w:t>чину и показал хорошие результаты. Решением этого вопроса занималась особая группа со</w:t>
      </w:r>
      <w:r w:rsidRPr="00D03F3E">
        <w:rPr>
          <w:rFonts w:ascii="Times New Roman" w:hAnsi="Times New Roman"/>
          <w:color w:val="000000" w:themeColor="text1"/>
          <w:sz w:val="16"/>
          <w:szCs w:val="16"/>
        </w:rPr>
        <w:softHyphen/>
        <w:t>трудников НИИ-48 и завода № 112 под общим руководст</w:t>
      </w:r>
      <w:r w:rsidRPr="00D03F3E">
        <w:rPr>
          <w:rFonts w:ascii="Times New Roman" w:hAnsi="Times New Roman"/>
          <w:color w:val="000000" w:themeColor="text1"/>
          <w:sz w:val="16"/>
          <w:szCs w:val="16"/>
        </w:rPr>
        <w:softHyphen/>
        <w:t>вом инженера-полковника И. Бурцева. В ходе выполнения работ была разработана схема экра</w:t>
      </w:r>
      <w:r w:rsidRPr="00D03F3E">
        <w:rPr>
          <w:rFonts w:ascii="Times New Roman" w:hAnsi="Times New Roman"/>
          <w:color w:val="000000" w:themeColor="text1"/>
          <w:sz w:val="16"/>
          <w:szCs w:val="16"/>
        </w:rPr>
        <w:softHyphen/>
        <w:t>нировки 10- и 16-мм броневыми листами высокой твердос</w:t>
      </w:r>
      <w:r w:rsidRPr="00D03F3E">
        <w:rPr>
          <w:rFonts w:ascii="Times New Roman" w:hAnsi="Times New Roman"/>
          <w:color w:val="000000" w:themeColor="text1"/>
          <w:sz w:val="16"/>
          <w:szCs w:val="16"/>
        </w:rPr>
        <w:softHyphen/>
        <w:t>ти, причем лобовая часть танка была свободна от экранов, а борта и корма корпуса и башни защищались наклонно уста</w:t>
      </w:r>
      <w:r w:rsidRPr="00D03F3E">
        <w:rPr>
          <w:rFonts w:ascii="Times New Roman" w:hAnsi="Times New Roman"/>
          <w:color w:val="000000" w:themeColor="text1"/>
          <w:sz w:val="16"/>
          <w:szCs w:val="16"/>
        </w:rPr>
        <w:softHyphen/>
        <w:t>новленными листами брони (над т.н. «надкрылками» или «подкрылками» корпуса) и листами брони, свисавшими за пределами ходовой части (защита вертикальных бортов кор</w:t>
      </w:r>
      <w:r w:rsidRPr="00D03F3E">
        <w:rPr>
          <w:rFonts w:ascii="Times New Roman" w:hAnsi="Times New Roman"/>
          <w:color w:val="000000" w:themeColor="text1"/>
          <w:sz w:val="16"/>
          <w:szCs w:val="16"/>
        </w:rPr>
        <w:softHyphen/>
        <w:t xml:space="preserve">пуса). Экран планировалось устанавливать на расстоянии 70 — 150 мм от основной брони. Кроме того, уголковым </w:t>
      </w:r>
      <w:r w:rsidRPr="00D03F3E">
        <w:rPr>
          <w:rFonts w:ascii="Times New Roman" w:hAnsi="Times New Roman"/>
          <w:color w:val="000000" w:themeColor="text1"/>
          <w:sz w:val="16"/>
          <w:szCs w:val="16"/>
        </w:rPr>
        <w:lastRenderedPageBreak/>
        <w:t>экра</w:t>
      </w:r>
      <w:r w:rsidRPr="00D03F3E">
        <w:rPr>
          <w:rFonts w:ascii="Times New Roman" w:hAnsi="Times New Roman"/>
          <w:color w:val="000000" w:themeColor="text1"/>
          <w:sz w:val="16"/>
          <w:szCs w:val="16"/>
        </w:rPr>
        <w:softHyphen/>
        <w:t>ном была защищена также балка носа Т-34, пробивавшаяся бронебойным 37-мм и 50-мм снарядом. Подобное экрани</w:t>
      </w:r>
      <w:r w:rsidRPr="00D03F3E">
        <w:rPr>
          <w:rFonts w:ascii="Times New Roman" w:hAnsi="Times New Roman"/>
          <w:color w:val="000000" w:themeColor="text1"/>
          <w:sz w:val="16"/>
          <w:szCs w:val="16"/>
        </w:rPr>
        <w:softHyphen/>
        <w:t>рование увеличивало массу Т-34 на 3—3,5 т. Но экранированные в опытном по</w:t>
      </w:r>
      <w:r w:rsidRPr="00D03F3E">
        <w:rPr>
          <w:rFonts w:ascii="Times New Roman" w:hAnsi="Times New Roman"/>
          <w:color w:val="000000" w:themeColor="text1"/>
          <w:sz w:val="16"/>
          <w:szCs w:val="16"/>
        </w:rPr>
        <w:softHyphen/>
        <w:t>рядке танки, брошенные в бой, встретили совершенно но</w:t>
      </w:r>
      <w:r w:rsidRPr="00D03F3E">
        <w:rPr>
          <w:rFonts w:ascii="Times New Roman" w:hAnsi="Times New Roman"/>
          <w:color w:val="000000" w:themeColor="text1"/>
          <w:sz w:val="16"/>
          <w:szCs w:val="16"/>
        </w:rPr>
        <w:softHyphen/>
        <w:t>вые противотанковые орудия - 75-мм РаК40, против кото</w:t>
      </w:r>
      <w:r w:rsidRPr="00D03F3E">
        <w:rPr>
          <w:rFonts w:ascii="Times New Roman" w:hAnsi="Times New Roman"/>
          <w:color w:val="000000" w:themeColor="text1"/>
          <w:sz w:val="16"/>
          <w:szCs w:val="16"/>
        </w:rPr>
        <w:softHyphen/>
        <w:t>рых экраны оказались неэффективными. Указанные ору</w:t>
      </w:r>
      <w:r w:rsidRPr="00D03F3E">
        <w:rPr>
          <w:rFonts w:ascii="Times New Roman" w:hAnsi="Times New Roman"/>
          <w:color w:val="000000" w:themeColor="text1"/>
          <w:sz w:val="16"/>
          <w:szCs w:val="16"/>
        </w:rPr>
        <w:softHyphen/>
        <w:t>дия вели огонь бронебойными снарядами, которые сбива</w:t>
      </w:r>
      <w:r w:rsidRPr="00D03F3E">
        <w:rPr>
          <w:rFonts w:ascii="Times New Roman" w:hAnsi="Times New Roman"/>
          <w:color w:val="000000" w:themeColor="text1"/>
          <w:sz w:val="16"/>
          <w:szCs w:val="16"/>
        </w:rPr>
        <w:softHyphen/>
        <w:t>ли экраны и пробивали даже лобовую броню танка, прежде практически неуязвимую от огня 37-мм и 50-мм противо</w:t>
      </w:r>
      <w:r w:rsidRPr="00D03F3E">
        <w:rPr>
          <w:rFonts w:ascii="Times New Roman" w:hAnsi="Times New Roman"/>
          <w:color w:val="000000" w:themeColor="text1"/>
          <w:sz w:val="16"/>
          <w:szCs w:val="16"/>
        </w:rPr>
        <w:softHyphen/>
        <w:t>танковых пушек (11135).</w:t>
      </w:r>
    </w:p>
    <w:p w14:paraId="3CCD074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9D9BB8" w14:textId="77777777" w:rsidR="00AD5F7E" w:rsidRPr="00D03F3E" w:rsidRDefault="00AD5F7E" w:rsidP="00D03F3E">
      <w:pPr>
        <w:pStyle w:val="ae"/>
        <w:spacing w:before="0" w:after="0"/>
        <w:jc w:val="both"/>
        <w:textAlignment w:val="baseline"/>
        <w:rPr>
          <w:color w:val="000000" w:themeColor="text1"/>
          <w:sz w:val="16"/>
          <w:szCs w:val="16"/>
        </w:rPr>
      </w:pPr>
      <w:r w:rsidRPr="00D03F3E">
        <w:rPr>
          <w:iCs/>
          <w:color w:val="000000" w:themeColor="text1"/>
          <w:sz w:val="16"/>
          <w:szCs w:val="16"/>
          <w:bdr w:val="none" w:sz="0" w:space="0" w:color="auto" w:frame="1"/>
        </w:rPr>
        <w:t xml:space="preserve">В начале 1943 года руководство Главного бронетанкового управления Красной армии (ГБТУ КА) и Народного комиссариата танковой промышленности (НКТП) сошлось во мнении, что время </w:t>
      </w:r>
      <w:hyperlink r:id="rId44" w:history="1">
        <w:r w:rsidRPr="00D03F3E">
          <w:rPr>
            <w:rStyle w:val="a5"/>
            <w:bCs/>
            <w:iCs/>
            <w:color w:val="000000" w:themeColor="text1"/>
            <w:sz w:val="16"/>
            <w:szCs w:val="16"/>
            <w:u w:val="none"/>
            <w:bdr w:val="none" w:sz="0" w:space="0" w:color="auto" w:frame="1"/>
          </w:rPr>
          <w:t>КВ-1с</w:t>
        </w:r>
      </w:hyperlink>
      <w:r w:rsidRPr="00D03F3E">
        <w:rPr>
          <w:iCs/>
          <w:color w:val="000000" w:themeColor="text1"/>
          <w:sz w:val="16"/>
          <w:szCs w:val="16"/>
          <w:bdr w:val="none" w:sz="0" w:space="0" w:color="auto" w:frame="1"/>
        </w:rPr>
        <w:t xml:space="preserve"> подходит к концу. Вместо него в Челябинске должны были строить тяжёлые танки </w:t>
      </w:r>
      <w:hyperlink r:id="rId45" w:history="1">
        <w:r w:rsidRPr="00D03F3E">
          <w:rPr>
            <w:rStyle w:val="a5"/>
            <w:bCs/>
            <w:iCs/>
            <w:color w:val="000000" w:themeColor="text1"/>
            <w:sz w:val="16"/>
            <w:szCs w:val="16"/>
            <w:u w:val="none"/>
            <w:bdr w:val="none" w:sz="0" w:space="0" w:color="auto" w:frame="1"/>
          </w:rPr>
          <w:t>ИС-1 (233)</w:t>
        </w:r>
      </w:hyperlink>
      <w:r w:rsidRPr="00D03F3E">
        <w:rPr>
          <w:iCs/>
          <w:color w:val="000000" w:themeColor="text1"/>
          <w:sz w:val="16"/>
          <w:szCs w:val="16"/>
          <w:bdr w:val="none" w:sz="0" w:space="0" w:color="auto" w:frame="1"/>
        </w:rPr>
        <w:t xml:space="preserve">, которые являлись дальнейшим развитием </w:t>
      </w:r>
      <w:hyperlink r:id="rId46" w:history="1">
        <w:r w:rsidRPr="00D03F3E">
          <w:rPr>
            <w:rStyle w:val="a5"/>
            <w:bCs/>
            <w:iCs/>
            <w:color w:val="000000" w:themeColor="text1"/>
            <w:sz w:val="16"/>
            <w:szCs w:val="16"/>
            <w:u w:val="none"/>
            <w:bdr w:val="none" w:sz="0" w:space="0" w:color="auto" w:frame="1"/>
          </w:rPr>
          <w:t>КВ-13</w:t>
        </w:r>
      </w:hyperlink>
      <w:r w:rsidRPr="00D03F3E">
        <w:rPr>
          <w:iCs/>
          <w:color w:val="000000" w:themeColor="text1"/>
          <w:sz w:val="16"/>
          <w:szCs w:val="16"/>
          <w:bdr w:val="none" w:sz="0" w:space="0" w:color="auto" w:frame="1"/>
        </w:rPr>
        <w:t xml:space="preserve">. При той же огневой мощи они были более защищёнными и подвижными. Но опытный ИС-1 оказался слишком «сырым» и страдал от низкого качества сборки. Кроме того, в апреле 1943 года </w:t>
      </w:r>
      <w:hyperlink r:id="rId47" w:history="1">
        <w:r w:rsidRPr="00D03F3E">
          <w:rPr>
            <w:rStyle w:val="a5"/>
            <w:bCs/>
            <w:iCs/>
            <w:color w:val="000000" w:themeColor="text1"/>
            <w:sz w:val="16"/>
            <w:szCs w:val="16"/>
            <w:u w:val="none"/>
            <w:bdr w:val="none" w:sz="0" w:space="0" w:color="auto" w:frame="1"/>
          </w:rPr>
          <w:t>был испытан обстрелом</w:t>
        </w:r>
      </w:hyperlink>
      <w:r w:rsidRPr="00D03F3E">
        <w:rPr>
          <w:iCs/>
          <w:color w:val="000000" w:themeColor="text1"/>
          <w:sz w:val="16"/>
          <w:szCs w:val="16"/>
          <w:bdr w:val="none" w:sz="0" w:space="0" w:color="auto" w:frame="1"/>
        </w:rPr>
        <w:t xml:space="preserve"> трофейный немецкий тяжёлый танк Pz.Kpfw.TigerAusf.E. Выяснилось, что Красной армии срочно требуется танк с вооружением в виде 85 мм пушки. Так на свет появился </w:t>
      </w:r>
      <w:r w:rsidRPr="00D03F3E">
        <w:rPr>
          <w:bCs/>
          <w:iCs/>
          <w:color w:val="000000" w:themeColor="text1"/>
          <w:sz w:val="16"/>
          <w:szCs w:val="16"/>
          <w:bdr w:val="none" w:sz="0" w:space="0" w:color="auto" w:frame="1"/>
        </w:rPr>
        <w:t>КВ-85</w:t>
      </w:r>
      <w:r w:rsidRPr="00D03F3E">
        <w:rPr>
          <w:iCs/>
          <w:color w:val="000000" w:themeColor="text1"/>
          <w:sz w:val="16"/>
          <w:szCs w:val="16"/>
          <w:bdr w:val="none" w:sz="0" w:space="0" w:color="auto" w:frame="1"/>
        </w:rPr>
        <w:t>, последняя серийная машина из семейства танков КВ (17710).</w:t>
      </w:r>
    </w:p>
    <w:p w14:paraId="596BA2A8" w14:textId="77777777" w:rsidR="00AD5F7E" w:rsidRPr="00D03F3E" w:rsidRDefault="00AD5F7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14BE57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ожидалось изготовление новой версии танка КВ-13, в которой должны были быть искоре</w:t>
      </w:r>
      <w:r w:rsidRPr="00D03F3E">
        <w:rPr>
          <w:rFonts w:ascii="Times New Roman" w:hAnsi="Times New Roman"/>
          <w:color w:val="000000" w:themeColor="text1"/>
          <w:sz w:val="16"/>
          <w:szCs w:val="16"/>
        </w:rPr>
        <w:softHyphen/>
        <w:t>нены все недостатки конструкции, отмеченные при испы</w:t>
      </w:r>
      <w:r w:rsidRPr="00D03F3E">
        <w:rPr>
          <w:rFonts w:ascii="Times New Roman" w:hAnsi="Times New Roman"/>
          <w:color w:val="000000" w:themeColor="text1"/>
          <w:sz w:val="16"/>
          <w:szCs w:val="16"/>
        </w:rPr>
        <w:softHyphen/>
        <w:t>тании первого образца (11135).</w:t>
      </w:r>
    </w:p>
    <w:p w14:paraId="27ADF4C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94FA4B" w14:textId="77777777" w:rsidR="00097269" w:rsidRPr="00D03F3E" w:rsidRDefault="00097269"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С начала 1943 года ЧКЗ перешел к изготов</w:t>
      </w:r>
      <w:r w:rsidRPr="00D03F3E">
        <w:rPr>
          <w:rFonts w:ascii="Times New Roman" w:cs="Times New Roman"/>
          <w:color w:val="000000" w:themeColor="text1"/>
          <w:spacing w:val="0"/>
        </w:rPr>
        <w:softHyphen/>
        <w:t xml:space="preserve">лению КВ-8С, имевших и корпус, и башню от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в январе сдали семь таких машин, и еще три - в феврале, после чего их произ</w:t>
      </w:r>
      <w:r w:rsidRPr="00D03F3E">
        <w:rPr>
          <w:rFonts w:ascii="Times New Roman" w:cs="Times New Roman"/>
          <w:color w:val="000000" w:themeColor="text1"/>
          <w:spacing w:val="0"/>
        </w:rPr>
        <w:softHyphen/>
        <w:t xml:space="preserve">водство было прекращено. Помимо башни от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эти машины были вооружены бо</w:t>
      </w:r>
      <w:r w:rsidRPr="00D03F3E">
        <w:rPr>
          <w:rFonts w:ascii="Times New Roman" w:cs="Times New Roman"/>
          <w:color w:val="000000" w:themeColor="text1"/>
          <w:spacing w:val="0"/>
        </w:rPr>
        <w:softHyphen/>
        <w:t>лее совершенным огнеметом АТО-42 вме</w:t>
      </w:r>
      <w:r w:rsidRPr="00D03F3E">
        <w:rPr>
          <w:rFonts w:ascii="Times New Roman" w:cs="Times New Roman"/>
          <w:color w:val="000000" w:themeColor="text1"/>
          <w:spacing w:val="0"/>
        </w:rPr>
        <w:softHyphen/>
        <w:t>сто АТО-41. Эти последние 10 машин КВ-8С были изготовлены на средства, собранные учащимися ФЗО и ремесленных училищ. Та</w:t>
      </w:r>
      <w:r w:rsidRPr="00D03F3E">
        <w:rPr>
          <w:rFonts w:ascii="Times New Roman" w:cs="Times New Roman"/>
          <w:color w:val="000000" w:themeColor="text1"/>
          <w:spacing w:val="0"/>
        </w:rPr>
        <w:softHyphen/>
        <w:t>ким образом, общий выпуск огнеметных тан</w:t>
      </w:r>
      <w:r w:rsidRPr="00D03F3E">
        <w:rPr>
          <w:rFonts w:ascii="Times New Roman" w:cs="Times New Roman"/>
          <w:color w:val="000000" w:themeColor="text1"/>
          <w:spacing w:val="0"/>
        </w:rPr>
        <w:softHyphen/>
        <w:t>ков КВ-8С за 1942-1943 год составил 35 штук.</w:t>
      </w:r>
    </w:p>
    <w:p w14:paraId="0952F454" w14:textId="77777777" w:rsidR="00097269" w:rsidRPr="00D03F3E" w:rsidRDefault="00097269"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Огнеметные танки КВ-8С поступали на вооружение отдельных огнеметных тан</w:t>
      </w:r>
      <w:r w:rsidRPr="00D03F3E">
        <w:rPr>
          <w:rFonts w:ascii="Times New Roman" w:cs="Times New Roman"/>
          <w:color w:val="000000" w:themeColor="text1"/>
          <w:spacing w:val="0"/>
        </w:rPr>
        <w:softHyphen/>
        <w:t>ковых батальонов, которых было сформи</w:t>
      </w:r>
      <w:r w:rsidRPr="00D03F3E">
        <w:rPr>
          <w:rFonts w:ascii="Times New Roman" w:cs="Times New Roman"/>
          <w:color w:val="000000" w:themeColor="text1"/>
          <w:spacing w:val="0"/>
        </w:rPr>
        <w:softHyphen/>
        <w:t>ровано 19: с 500 по 517 и 519-й. Часть из них имела в своем составе только КВ-8/КВ-8С (16 машин), а часть была смешанной - 20 КВ-8/КВ-8С, девять огнеметных ТО-34 и два линейных Т-34. Кроме того, в сентябре 1942 года была сформирована 235-я огнемет- но-танковая бригада, в состав которой вошло два смешанных батальона (508 и 509) и один на КВ-8/КВ-8С (509-й). Бригада была на</w:t>
      </w:r>
      <w:r w:rsidRPr="00D03F3E">
        <w:rPr>
          <w:rFonts w:ascii="Times New Roman" w:cs="Times New Roman"/>
          <w:color w:val="000000" w:themeColor="text1"/>
          <w:spacing w:val="0"/>
        </w:rPr>
        <w:softHyphen/>
        <w:t>правлена на Сталинградский фронт, где при</w:t>
      </w:r>
      <w:r w:rsidRPr="00D03F3E">
        <w:rPr>
          <w:rFonts w:ascii="Times New Roman" w:cs="Times New Roman"/>
          <w:color w:val="000000" w:themeColor="text1"/>
          <w:spacing w:val="0"/>
        </w:rPr>
        <w:softHyphen/>
        <w:t>нимала участие в боях по окружению армии Паулюса. 14 декабря 1942 года ее перебро</w:t>
      </w:r>
      <w:r w:rsidRPr="00D03F3E">
        <w:rPr>
          <w:rFonts w:ascii="Times New Roman" w:cs="Times New Roman"/>
          <w:color w:val="000000" w:themeColor="text1"/>
          <w:spacing w:val="0"/>
        </w:rPr>
        <w:softHyphen/>
        <w:t>сили в состав опергруппы генерала Захарова для отражения немецких попыток пробиться к окруженной под Сталинградом группиров</w:t>
      </w:r>
      <w:r w:rsidRPr="00D03F3E">
        <w:rPr>
          <w:rFonts w:ascii="Times New Roman" w:cs="Times New Roman"/>
          <w:color w:val="000000" w:themeColor="text1"/>
          <w:spacing w:val="0"/>
        </w:rPr>
        <w:softHyphen/>
        <w:t>ке. Здесь впервые были использованы в боях КВ-8С, причем 14 декабря рота таких машин под прикрытием тумана подошла к группе немецких танков и из огнеметов сожгла три машины. 19 ноября экипаж одного из них под командованием лейтенанта М. Верхотурова у населенных пунктов Верхне-Кумский и Заготский уничтожил танк, автомашину с пушкой и до 25 солдат. 7 февраля 1943 года 235-я огнеметная тан</w:t>
      </w:r>
      <w:r w:rsidRPr="00D03F3E">
        <w:rPr>
          <w:rFonts w:ascii="Times New Roman" w:cs="Times New Roman"/>
          <w:color w:val="000000" w:themeColor="text1"/>
          <w:spacing w:val="0"/>
        </w:rPr>
        <w:softHyphen/>
        <w:t>ковая бригада была преобразована в 31-ю гвардейскую. Именно в ее состав весной по</w:t>
      </w:r>
      <w:r w:rsidRPr="00D03F3E">
        <w:rPr>
          <w:rFonts w:ascii="Times New Roman" w:cs="Times New Roman"/>
          <w:color w:val="000000" w:themeColor="text1"/>
          <w:spacing w:val="0"/>
        </w:rPr>
        <w:softHyphen/>
        <w:t>ступили последние 10 КВ-8С из состава тан</w:t>
      </w:r>
      <w:r w:rsidRPr="00D03F3E">
        <w:rPr>
          <w:rFonts w:ascii="Times New Roman" w:cs="Times New Roman"/>
          <w:color w:val="000000" w:themeColor="text1"/>
          <w:spacing w:val="0"/>
        </w:rPr>
        <w:softHyphen/>
        <w:t>ковой колонны «Трудовые резервы фронту». С сентября 1943-го и до конца года бригада участвовала в боях на Юго-Западном, а затем на 4-м Украинском фронтах</w:t>
      </w:r>
    </w:p>
    <w:p w14:paraId="4E73EF44" w14:textId="77777777" w:rsidR="00097269" w:rsidRPr="00D03F3E" w:rsidRDefault="00097269" w:rsidP="00D03F3E">
      <w:pPr>
        <w:spacing w:after="0" w:line="240" w:lineRule="auto"/>
        <w:jc w:val="both"/>
        <w:rPr>
          <w:rFonts w:ascii="Times New Roman" w:hAnsi="Times New Roman"/>
          <w:color w:val="000000" w:themeColor="text1"/>
          <w:sz w:val="16"/>
          <w:szCs w:val="16"/>
        </w:rPr>
      </w:pPr>
    </w:p>
    <w:p w14:paraId="50AED8BF" w14:textId="77777777" w:rsidR="00AD5F7E" w:rsidRPr="00D03F3E" w:rsidRDefault="00AD5F7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начале 1943 из-за необходимости скорой постановки на конвейер легких танков Т-80 внешний облик Т-70 менялся не слишком сильно. Главным отличием стала новая бронировка маски. Ее разработали еще в июле 1942 года, но по разным причинам появилась она в производстве только в декабре 1942 года. Между тем, даже с производством текущей модели существовал ряд проблем. Начиная с октября 1942 года ГАЗ систематически срывал план выпуска танков. Например, в ноябре вместо 650 было сдано всего 320 Т-70Б, а в декабре вместо 700 удалось принять лишь 510 штук. Отчасти это было связано с запуском модернизированной ходовой части, но имелись и более глубокие проблемы. Главной из них был высокий уровень брака по литым деталям, особенно это касалось блоков двигателей и траков. Брак по блокам моторов в декабре составил 75,5%. Именно это и стало главным лимитирующим фактором (17695).</w:t>
      </w:r>
    </w:p>
    <w:p w14:paraId="5EBDF771" w14:textId="77777777" w:rsidR="00AD5F7E" w:rsidRPr="00D03F3E" w:rsidRDefault="00AD5F7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8CAA502" w14:textId="77777777" w:rsidR="00AD5F7E" w:rsidRPr="00D03F3E" w:rsidRDefault="00AD5F7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самом начале 1943 года был вновь поднят вопрос о перевооружении Т-37 и Т-38. Дело в том, что на Дальневосточном фронте к 1 июля 1941 года находилось 288 Т-37 и 155 Т-38. Небольшая часть этих танков осенью-зимой 1941 года отправилась с дальневосточными частями на запад, но большинство плавающих танков осталось на месте постоянной дислокации.</w:t>
      </w:r>
    </w:p>
    <w:p w14:paraId="51291A56" w14:textId="77777777" w:rsidR="00AD5F7E" w:rsidRPr="00D03F3E" w:rsidRDefault="00AD5F7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Идея поднять огневую мощь танков-разведчиков была материально подкреплена тем, что после прекращения производства Т-60 остался задел по пушкам ТНШ. В качестве исполнителя задания по перевооружению был назначен ремзавод №105, до 1941 года носивший название «Государственный авторемонтный завод № 105 имени Л. М. Кагановича» в Хабаровске. Это предприятие, после войны занимавшееся машиностроением, кстати, существует до сих пор и носит имя ПАО «Дальэнергомаш» (17660).</w:t>
      </w:r>
    </w:p>
    <w:p w14:paraId="30E44290" w14:textId="77777777" w:rsidR="00AD5F7E" w:rsidRPr="00D03F3E" w:rsidRDefault="00AD5F7E" w:rsidP="00D03F3E">
      <w:pPr>
        <w:spacing w:after="0" w:line="240" w:lineRule="auto"/>
        <w:jc w:val="both"/>
        <w:rPr>
          <w:rFonts w:ascii="Times New Roman" w:hAnsi="Times New Roman"/>
          <w:color w:val="000000" w:themeColor="text1"/>
          <w:sz w:val="16"/>
          <w:szCs w:val="16"/>
        </w:rPr>
      </w:pPr>
    </w:p>
    <w:p w14:paraId="3FDA68A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началу 1943 г. положение с танковыми двигателями для легких танков было чуть лучше. Несмотря на то что карбюраторный двигатель ГАЗ-202 танка Т-60 работал в перенапряженном режиме, он также был близок к инфаркту. Проблемы с дви</w:t>
      </w:r>
      <w:r w:rsidRPr="00D03F3E">
        <w:rPr>
          <w:rFonts w:ascii="Times New Roman" w:hAnsi="Times New Roman"/>
          <w:color w:val="000000" w:themeColor="text1"/>
          <w:sz w:val="16"/>
          <w:szCs w:val="16"/>
        </w:rPr>
        <w:softHyphen/>
        <w:t>гателем не позволяли усилить бронирование и его вооруже</w:t>
      </w:r>
      <w:r w:rsidRPr="00D03F3E">
        <w:rPr>
          <w:rFonts w:ascii="Times New Roman" w:hAnsi="Times New Roman"/>
          <w:color w:val="000000" w:themeColor="text1"/>
          <w:sz w:val="16"/>
          <w:szCs w:val="16"/>
        </w:rPr>
        <w:softHyphen/>
        <w:t>ние Т-60. Но переход в 1942 г. на выпуск танка Т-70, содер</w:t>
      </w:r>
      <w:r w:rsidRPr="00D03F3E">
        <w:rPr>
          <w:rFonts w:ascii="Times New Roman" w:hAnsi="Times New Roman"/>
          <w:color w:val="000000" w:themeColor="text1"/>
          <w:sz w:val="16"/>
          <w:szCs w:val="16"/>
        </w:rPr>
        <w:softHyphen/>
        <w:t>жащего двухдвигательный агрегат ГАЗ-203, снял указанные проблемы практически полностью, так как развивал мощ</w:t>
      </w:r>
      <w:r w:rsidRPr="00D03F3E">
        <w:rPr>
          <w:rFonts w:ascii="Times New Roman" w:hAnsi="Times New Roman"/>
          <w:color w:val="000000" w:themeColor="text1"/>
          <w:sz w:val="16"/>
          <w:szCs w:val="16"/>
        </w:rPr>
        <w:softHyphen/>
        <w:t>ность 130-140 л.с. при массе танка до 10 т. Правда, первое время (до сентября 1942 г.) качество его изготовления еще временами хромало, но к началу 1943 г. он был прекрасно от</w:t>
      </w:r>
      <w:r w:rsidRPr="00D03F3E">
        <w:rPr>
          <w:rFonts w:ascii="Times New Roman" w:hAnsi="Times New Roman"/>
          <w:color w:val="000000" w:themeColor="text1"/>
          <w:sz w:val="16"/>
          <w:szCs w:val="16"/>
        </w:rPr>
        <w:softHyphen/>
        <w:t>работан и его надежность стала великолепной (11135).</w:t>
      </w:r>
    </w:p>
    <w:p w14:paraId="38EE90E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3B03B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начале 1943 г. разгорелась дискуссия по поводу существенного повышения боевой эффективности тяжелых танков. Столкнулись две позиции: </w:t>
      </w:r>
    </w:p>
    <w:p w14:paraId="7A0AEDC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1)установить на КВ-85 пушку Грабина калибра 100 мм; </w:t>
      </w:r>
    </w:p>
    <w:p w14:paraId="1050EB2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2)создать новый танк с использованием узлов КВ-1С; Т-34, повышенной маневренности, с рациональным бронированием. Вооружить его пушкой калибра 122 мм. </w:t>
      </w:r>
    </w:p>
    <w:p w14:paraId="0B58D99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Первый вариант поддерживали нарком танкостроения Зальцман, начальник КБ Н.Л. Духов, главный инженер ЧКЗ (Челябинский Кировский завод) С.Н. Махонин, Грабин. Последний полагал, что его 100-мм пушка легко могла быть установлена на КВ-85. Она имела вдвое большую скорострельность, на 100 м/сек большую начальную скорость снаряда и обеспечивала при равной со 122-мм пушкой дальности стрельбы повышение боевой эффективности танка. Наконец, пушка калибра 100 мм имела унитарное заряжение, а 122-мм - раздельное. Кроме того, установка 100-мм пушки на КВ-85 позволила бы обеспечить выпуск нового тяжелого танка в самые короткие сроки и при обеспечении требуемой безотказности машины. Все же победило второе направление, поддержанное заместителем Председателя СНК СССР Малышевым и главным конструктором Котиным. Пришлось вновь преодолевать трудности создания новой машины (11224).</w:t>
      </w:r>
    </w:p>
    <w:p w14:paraId="6AA0E4E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794FD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в связи с отсутст</w:t>
      </w:r>
      <w:r w:rsidRPr="00D03F3E">
        <w:rPr>
          <w:rFonts w:ascii="Times New Roman" w:hAnsi="Times New Roman"/>
          <w:color w:val="000000" w:themeColor="text1"/>
          <w:sz w:val="16"/>
          <w:szCs w:val="16"/>
        </w:rPr>
        <w:softHyphen/>
        <w:t>вием форсированных двигателей ГАЗ-80 и невозможностью установки в моторно-трансмиссионное отделе</w:t>
      </w:r>
      <w:r w:rsidRPr="00D03F3E">
        <w:rPr>
          <w:rFonts w:ascii="Times New Roman" w:hAnsi="Times New Roman"/>
          <w:color w:val="000000" w:themeColor="text1"/>
          <w:sz w:val="16"/>
          <w:szCs w:val="16"/>
        </w:rPr>
        <w:softHyphen/>
        <w:t>ние машин СУ-ИТ-45 и СУ-ИТ-76 силовой установки танка Т-70 (по размерам), потребовалась переработка компоновки их мотор</w:t>
      </w:r>
      <w:r w:rsidRPr="00D03F3E">
        <w:rPr>
          <w:rFonts w:ascii="Times New Roman" w:hAnsi="Times New Roman"/>
          <w:color w:val="000000" w:themeColor="text1"/>
          <w:sz w:val="16"/>
          <w:szCs w:val="16"/>
        </w:rPr>
        <w:softHyphen/>
        <w:t>ных отделений и коробки передач. Кроме того, ожидалось, что вскоре завод "Двигатель Революции" или Ярославский автозавод вот-вот освоят выпуск дизелей В-4 или "744", которые были так необходимы для установки в легкие танки, самоход</w:t>
      </w:r>
      <w:r w:rsidRPr="00D03F3E">
        <w:rPr>
          <w:rFonts w:ascii="Times New Roman" w:hAnsi="Times New Roman"/>
          <w:color w:val="000000" w:themeColor="text1"/>
          <w:sz w:val="16"/>
          <w:szCs w:val="16"/>
        </w:rPr>
        <w:softHyphen/>
        <w:t>ные установки и артиллерийские тягачи. Использование этих дизелей мощностью 150 - 250 л.с. (ПО - 184 кВт) позволило бы увеличить бро</w:t>
      </w:r>
      <w:r w:rsidRPr="00D03F3E">
        <w:rPr>
          <w:rFonts w:ascii="Times New Roman" w:hAnsi="Times New Roman"/>
          <w:color w:val="000000" w:themeColor="text1"/>
          <w:sz w:val="16"/>
          <w:szCs w:val="16"/>
        </w:rPr>
        <w:softHyphen/>
        <w:t>невую защиту самоходных установок и довести толщину броневых ли</w:t>
      </w:r>
      <w:r w:rsidRPr="00D03F3E">
        <w:rPr>
          <w:rFonts w:ascii="Times New Roman" w:hAnsi="Times New Roman"/>
          <w:color w:val="000000" w:themeColor="text1"/>
          <w:sz w:val="16"/>
          <w:szCs w:val="16"/>
        </w:rPr>
        <w:softHyphen/>
        <w:t>стов до 25 - 45 мм. Однако производство указанных дизелей не было ос</w:t>
      </w:r>
      <w:r w:rsidRPr="00D03F3E">
        <w:rPr>
          <w:rFonts w:ascii="Times New Roman" w:hAnsi="Times New Roman"/>
          <w:color w:val="000000" w:themeColor="text1"/>
          <w:sz w:val="16"/>
          <w:szCs w:val="16"/>
        </w:rPr>
        <w:softHyphen/>
        <w:t>воено промышленностью, поэтому проекты установок, перерабатывав</w:t>
      </w:r>
      <w:r w:rsidRPr="00D03F3E">
        <w:rPr>
          <w:rFonts w:ascii="Times New Roman" w:hAnsi="Times New Roman"/>
          <w:color w:val="000000" w:themeColor="text1"/>
          <w:sz w:val="16"/>
          <w:szCs w:val="16"/>
        </w:rPr>
        <w:softHyphen/>
        <w:t>шиеся под различные силовые установки, так и не были выполнены в срок. При переработке конструкции самоходной установки СУ-ИТ-76 по рекомендации В.Г. Грабина были предприняты попытки усиления во</w:t>
      </w:r>
      <w:r w:rsidRPr="00D03F3E">
        <w:rPr>
          <w:rFonts w:ascii="Times New Roman" w:hAnsi="Times New Roman"/>
          <w:color w:val="000000" w:themeColor="text1"/>
          <w:sz w:val="16"/>
          <w:szCs w:val="16"/>
        </w:rPr>
        <w:softHyphen/>
        <w:t>оружения за счет установки в боевую машину 57-мм пушки ЗИС-2. Од</w:t>
      </w:r>
      <w:r w:rsidRPr="00D03F3E">
        <w:rPr>
          <w:rFonts w:ascii="Times New Roman" w:hAnsi="Times New Roman"/>
          <w:color w:val="000000" w:themeColor="text1"/>
          <w:sz w:val="16"/>
          <w:szCs w:val="16"/>
        </w:rPr>
        <w:softHyphen/>
        <w:t>нако расчеты показали, что простой заменой ствола в новой самоходной установке не обойтись, требовалось изменить конструкцию карданной рамки. Поэтому изготовление опытной самоходной установки было приостановлено. Изготовленный броневой корпус машины осенью 1943 г. был передан московскому филиалу НИИ-48, где использовался для испытаний трофейных бронебойных боеприпасов (10703).</w:t>
      </w:r>
    </w:p>
    <w:p w14:paraId="7DF915F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CB9DC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в конструктор</w:t>
      </w:r>
      <w:r w:rsidRPr="00D03F3E">
        <w:rPr>
          <w:rFonts w:ascii="Times New Roman" w:hAnsi="Times New Roman"/>
          <w:color w:val="000000" w:themeColor="text1"/>
          <w:sz w:val="16"/>
          <w:szCs w:val="16"/>
        </w:rPr>
        <w:softHyphen/>
        <w:t>ском бюро УЗТМ под руководством Л.И. Горлицкого была разработана Самоходная установка СУ-122М. Машина являлась модернизированным образцом установки СУ-122, ведущим инженером был Н.В. Курин. В апреле 1943 г. был изготовлен опытный образец установки, который в мае того же года прошел завод</w:t>
      </w:r>
      <w:r w:rsidRPr="00D03F3E">
        <w:rPr>
          <w:rFonts w:ascii="Times New Roman" w:hAnsi="Times New Roman"/>
          <w:color w:val="000000" w:themeColor="text1"/>
          <w:sz w:val="16"/>
          <w:szCs w:val="16"/>
        </w:rPr>
        <w:softHyphen/>
        <w:t>ские испытания, а в июне 1943 г. - Государственные испытания на по</w:t>
      </w:r>
      <w:r w:rsidRPr="00D03F3E">
        <w:rPr>
          <w:rFonts w:ascii="Times New Roman" w:hAnsi="Times New Roman"/>
          <w:color w:val="000000" w:themeColor="text1"/>
          <w:sz w:val="16"/>
          <w:szCs w:val="16"/>
        </w:rPr>
        <w:softHyphen/>
        <w:t>лигоне НКВ под Нижним Тагилом. На вооружение установка СУ-122М не принималась (10703).</w:t>
      </w:r>
    </w:p>
    <w:p w14:paraId="3970FCC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9DAF6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в соответствии с правительственным заданием ОКБ завода № 9 и ЦАКБ НКВ вели ОКР по установке в тяжелый танк 152-мм гау</w:t>
      </w:r>
      <w:r w:rsidRPr="00D03F3E">
        <w:rPr>
          <w:rFonts w:ascii="Times New Roman" w:hAnsi="Times New Roman"/>
          <w:color w:val="000000" w:themeColor="text1"/>
          <w:sz w:val="16"/>
          <w:szCs w:val="16"/>
        </w:rPr>
        <w:softHyphen/>
        <w:t>бицы. Так, ОКБ завода № 9 на базе полевой 152-мм гаубицы Д-1 разра</w:t>
      </w:r>
      <w:r w:rsidRPr="00D03F3E">
        <w:rPr>
          <w:rFonts w:ascii="Times New Roman" w:hAnsi="Times New Roman"/>
          <w:color w:val="000000" w:themeColor="text1"/>
          <w:sz w:val="16"/>
          <w:szCs w:val="16"/>
        </w:rPr>
        <w:softHyphen/>
        <w:t>ботало 152-мм танковую гаубицу Д-15. Однако проект установки в тан</w:t>
      </w:r>
      <w:r w:rsidRPr="00D03F3E">
        <w:rPr>
          <w:rFonts w:ascii="Times New Roman" w:hAnsi="Times New Roman"/>
          <w:color w:val="000000" w:themeColor="text1"/>
          <w:sz w:val="16"/>
          <w:szCs w:val="16"/>
        </w:rPr>
        <w:softHyphen/>
        <w:t>ковой башне 152-мм гаубицы Д-15 не был реализован в металле, по</w:t>
      </w:r>
      <w:r w:rsidRPr="00D03F3E">
        <w:rPr>
          <w:rFonts w:ascii="Times New Roman" w:hAnsi="Times New Roman"/>
          <w:color w:val="000000" w:themeColor="text1"/>
          <w:sz w:val="16"/>
          <w:szCs w:val="16"/>
        </w:rPr>
        <w:softHyphen/>
        <w:t>скольку эти работы в ОКБ завода № 9 и ЦАКБ НКВ были прекращены приказом НКВ в октябре 1943 г. Причиной явилось принятие в серийное производство самоходных установок ИСУ-152, вооруженных 152-мм пушкой-гаубицей МЛ-20С (10703).</w:t>
      </w:r>
    </w:p>
    <w:p w14:paraId="425E4E0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E4D71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в соответствии с правительственным заданием ОКБ завода № 9 и ЦАКБ НКВ вели ОКР по установке в тяжелый танк 152-мм гау</w:t>
      </w:r>
      <w:r w:rsidRPr="00D03F3E">
        <w:rPr>
          <w:rFonts w:ascii="Times New Roman" w:hAnsi="Times New Roman"/>
          <w:color w:val="000000" w:themeColor="text1"/>
          <w:sz w:val="16"/>
          <w:szCs w:val="16"/>
        </w:rPr>
        <w:softHyphen/>
        <w:t>бицы. Так, ОКБ завода № 9 на базе полевой 152-мм гаубицы Д-1 разра</w:t>
      </w:r>
      <w:r w:rsidRPr="00D03F3E">
        <w:rPr>
          <w:rFonts w:ascii="Times New Roman" w:hAnsi="Times New Roman"/>
          <w:color w:val="000000" w:themeColor="text1"/>
          <w:sz w:val="16"/>
          <w:szCs w:val="16"/>
        </w:rPr>
        <w:softHyphen/>
        <w:t>ботало 152-мм танковую гаубицу Д-15. Однако проект установки в тан</w:t>
      </w:r>
      <w:r w:rsidRPr="00D03F3E">
        <w:rPr>
          <w:rFonts w:ascii="Times New Roman" w:hAnsi="Times New Roman"/>
          <w:color w:val="000000" w:themeColor="text1"/>
          <w:sz w:val="16"/>
          <w:szCs w:val="16"/>
        </w:rPr>
        <w:softHyphen/>
        <w:t>ковой башне 152-мм гаубицы Д-15 не был реализован в металле, по</w:t>
      </w:r>
      <w:r w:rsidRPr="00D03F3E">
        <w:rPr>
          <w:rFonts w:ascii="Times New Roman" w:hAnsi="Times New Roman"/>
          <w:color w:val="000000" w:themeColor="text1"/>
          <w:sz w:val="16"/>
          <w:szCs w:val="16"/>
        </w:rPr>
        <w:softHyphen/>
        <w:t>скольку эти работы в ОКБ завода № 9 и ЦАКБ НКВ были прекращены приказом НКВ в октябре 1943 г. Причиной явилось принятие в серийное производство самоходных установок ИСУ-152, вооруженных 152-мм пушкой-гаубицей МЛ-20С (10703).</w:t>
      </w:r>
    </w:p>
    <w:p w14:paraId="041D223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B6780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года на Софринском полигоне проходили испытания САУ-152 их снаряды массой 50 кг проламывали броню «тигров», срывали орудийные башни, а при попадании рядом опрокидывали их. В этот же период на полигоне проходили испытания танка ИС-1, а осенью 1943 года танк ИС-2, вооружённый 122 мм пушкой. Стрельба по вражескому трофейному танку с расстояния 1,5 км велась в присутствии Маршала Советского Союза К.Е.Ворошилова, конструктора танка Н.Л.Духова и конструктора пушки Ф.Ф.Петрова. Выпущенные снаряды «прошивали» вражеский танк насквозь, пробивая броню и всю начинку танка (12071).</w:t>
      </w:r>
    </w:p>
    <w:p w14:paraId="2F27EC3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9E49C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не дала ожидаемых результатов попытка создания открытой самоходной установки с 45-мм противотанковой пушкой М-42 (10703).</w:t>
      </w:r>
    </w:p>
    <w:p w14:paraId="3880656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BEF6A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выяснилось, что с производством форсированных двигателей типа ЗИС-80 имеются трудности, а двухдвигательный агрегат ГАЗ-203, стоявший в танке Т-70, никак не встает в отведенное ему место. Требовалось перепроектировать моторное отделение и КПП (5742, 14). Правда, ожидалось, что вскоре завод “Двигатель Революции” или Ярославкий завод вот-вот освоят выпуск дизелей В-3, или № 744 которые остро требовались для оснащения легких танков, САУ и арттяга-чей. Применение дизеля мощностью 150-250 л.с. при 1700-1800 об/мин, позволило бы увеличить до 45-25-мм толщину броневой защиты САУ. Но новые дизели освоены не были, так как в 1941-42 гг. эти заводы были серьезно повреждены при налете немецкой авиации, а также испытывали острую нехватку квалифицированных кадров. Не началось еще и производство в СССР по лицензии американских дизелей мощностью 110-160 л.с. Поэтому понятно, что проект СУ-ИТ-76, неоднократно перерабатывавшийся под разные дизель-моторы, в срок закончен не был (5742, 14). Кроме того, захват под Ленинградом и испытания нового немецкого танка “Тигр”, потребовал от проектировщиков предусмотреть усиление вооружения САУ. По рекомендации нач. ЦАКБ В.Грабина в машину вписали самоходную 57-мм пушку С-1-57 с баллистикой ЗИС-2. Расчеты показали, что простой заменой ствола в новой САУ не обойтись. Требовалось изменить конструкцию карданной рамки. Поэтому изготовление опытной САУ в очередной раз приостановили вплоть до устранения отмеченных недостатков и согласования сроков, а бронекорпус несостоявшегося истребителя танков осенью 1943 г. был передан московскому филиалу НИИ-48, где применялся в конце войны преимущественно в качестве цели для испытаний новых трофейных бронебойных боеприпасов (5742, 14).</w:t>
      </w:r>
    </w:p>
    <w:p w14:paraId="29098DD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93E9F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Танк Т-80 с 45-мм пушкой ВТ-43 был разработан совместными уси</w:t>
      </w:r>
      <w:r w:rsidRPr="00D03F3E">
        <w:rPr>
          <w:rFonts w:ascii="Times New Roman" w:hAnsi="Times New Roman"/>
          <w:color w:val="000000" w:themeColor="text1"/>
          <w:sz w:val="16"/>
          <w:szCs w:val="16"/>
        </w:rPr>
        <w:softHyphen/>
        <w:t>лиями КБ завода № 40 и ОКБ № 172. Был изготовлен опытный образец машины. На вооружение танк Т-80 с пушкой ВТ-43 не принимался и в серийном производстве не состоял (10703).</w:t>
      </w:r>
    </w:p>
    <w:p w14:paraId="3B82A52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06CADF" w14:textId="77777777" w:rsidR="00BD4344" w:rsidRPr="00D03F3E" w:rsidRDefault="00BD434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года завод № 38 отказался от доработки проектов МК, мотивируя это загруженностью «в связи с освоением самоходных установок СУ-76» (18626).</w:t>
      </w:r>
    </w:p>
    <w:p w14:paraId="05A1909A" w14:textId="77777777" w:rsidR="00BD4344" w:rsidRPr="00D03F3E" w:rsidRDefault="00BD4344" w:rsidP="00D03F3E">
      <w:pPr>
        <w:spacing w:after="0" w:line="240" w:lineRule="auto"/>
        <w:jc w:val="both"/>
        <w:rPr>
          <w:rFonts w:ascii="Times New Roman" w:hAnsi="Times New Roman"/>
          <w:color w:val="000000" w:themeColor="text1"/>
          <w:sz w:val="16"/>
          <w:szCs w:val="16"/>
        </w:rPr>
      </w:pPr>
    </w:p>
    <w:p w14:paraId="22351147" w14:textId="77777777" w:rsidR="00AD5F7E" w:rsidRPr="00D03F3E" w:rsidRDefault="00AD5F7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на НИАП (ст. Ржевка) про</w:t>
      </w:r>
      <w:r w:rsidRPr="00D03F3E">
        <w:rPr>
          <w:rFonts w:ascii="Times New Roman" w:hAnsi="Times New Roman"/>
          <w:color w:val="000000" w:themeColor="text1"/>
          <w:sz w:val="16"/>
          <w:szCs w:val="16"/>
        </w:rPr>
        <w:softHyphen/>
        <w:t>вели всесторонние испытания опытных образ</w:t>
      </w:r>
      <w:r w:rsidRPr="00D03F3E">
        <w:rPr>
          <w:rFonts w:ascii="Times New Roman" w:hAnsi="Times New Roman"/>
          <w:color w:val="000000" w:themeColor="text1"/>
          <w:sz w:val="16"/>
          <w:szCs w:val="16"/>
        </w:rPr>
        <w:softHyphen/>
        <w:t>цов. Однако дальнейшие работы по 160-мм миномету были свернуты из-за невозможно</w:t>
      </w:r>
      <w:r w:rsidRPr="00D03F3E">
        <w:rPr>
          <w:rFonts w:ascii="Times New Roman" w:hAnsi="Times New Roman"/>
          <w:color w:val="000000" w:themeColor="text1"/>
          <w:sz w:val="16"/>
          <w:szCs w:val="16"/>
        </w:rPr>
        <w:softHyphen/>
        <w:t>сти организации его серийного производства вследствие загрузки завода «Большевик» за</w:t>
      </w:r>
      <w:r w:rsidRPr="00D03F3E">
        <w:rPr>
          <w:rFonts w:ascii="Times New Roman" w:hAnsi="Times New Roman"/>
          <w:color w:val="000000" w:themeColor="text1"/>
          <w:sz w:val="16"/>
          <w:szCs w:val="16"/>
        </w:rPr>
        <w:softHyphen/>
        <w:t>казами Ленинградского фронта по изготовле</w:t>
      </w:r>
      <w:r w:rsidRPr="00D03F3E">
        <w:rPr>
          <w:rFonts w:ascii="Times New Roman" w:hAnsi="Times New Roman"/>
          <w:color w:val="000000" w:themeColor="text1"/>
          <w:sz w:val="16"/>
          <w:szCs w:val="16"/>
        </w:rPr>
        <w:softHyphen/>
        <w:t>нию и ремонту полевой и морской артилле</w:t>
      </w:r>
      <w:r w:rsidRPr="00D03F3E">
        <w:rPr>
          <w:rFonts w:ascii="Times New Roman" w:hAnsi="Times New Roman"/>
          <w:color w:val="000000" w:themeColor="text1"/>
          <w:sz w:val="16"/>
          <w:szCs w:val="16"/>
        </w:rPr>
        <w:softHyphen/>
        <w:t>рии. Не был реализован в металле и проект 240-мм миномета конструкции завода №7 (17748).</w:t>
      </w:r>
    </w:p>
    <w:p w14:paraId="68E4A682" w14:textId="77777777" w:rsidR="00AD5F7E" w:rsidRPr="00D03F3E" w:rsidRDefault="00AD5F7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6D4C1A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на ЗИС построили деревянный полноразмерный макет БТР с индексом ТБ-42 на 14 мест для бойцов с одним ДТ. Масса 8500 кг оказалась слишком тяжелой для шасси ЗИС-42 и двигателя 80 нр. Танкисты проявили интерес и заказали три опытных образца к 15 июня 1943. ЗИС отказался от проекта (9624).</w:t>
      </w:r>
    </w:p>
    <w:p w14:paraId="4B1560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13E59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отчетах начала 1943 г. отмечалось следующее: «Броневая зашита новых американских средних танков, несмотря на большую толщину (55-60 мм) отличается не</w:t>
      </w:r>
      <w:r w:rsidRPr="00D03F3E">
        <w:rPr>
          <w:rFonts w:ascii="Times New Roman" w:hAnsi="Times New Roman"/>
          <w:color w:val="000000" w:themeColor="text1"/>
          <w:sz w:val="16"/>
          <w:szCs w:val="16"/>
        </w:rPr>
        <w:softHyphen/>
        <w:t>достаточной прочностью. Так, при испытаниях обстрелом на Гороховецком полигоне была пробита 45-мм остроголо</w:t>
      </w:r>
      <w:r w:rsidRPr="00D03F3E">
        <w:rPr>
          <w:rFonts w:ascii="Times New Roman" w:hAnsi="Times New Roman"/>
          <w:color w:val="000000" w:themeColor="text1"/>
          <w:sz w:val="16"/>
          <w:szCs w:val="16"/>
        </w:rPr>
        <w:softHyphen/>
        <w:t>вым бронебойным снарядом с дистанции 400 м, тогда как значение ПТП при данной толщине брони для 45-мм снаряда составляет всего 1'50-200м...</w:t>
      </w:r>
    </w:p>
    <w:p w14:paraId="2C5C85A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обстрел бортов танка из ПТРД патронами с вольфрамовым сердечником показал, что она может быть пробита уже с дистанции 500-100м...» (11135).</w:t>
      </w:r>
    </w:p>
    <w:p w14:paraId="7480852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Отзывы из войск также говорили о недостаточной проч</w:t>
      </w:r>
      <w:r w:rsidRPr="00D03F3E">
        <w:rPr>
          <w:rFonts w:ascii="Times New Roman" w:hAnsi="Times New Roman"/>
          <w:color w:val="000000" w:themeColor="text1"/>
          <w:sz w:val="16"/>
          <w:szCs w:val="16"/>
        </w:rPr>
        <w:softHyphen/>
        <w:t>ности бортовой брони корпуса и башни М4А2. При обстре</w:t>
      </w:r>
      <w:r w:rsidRPr="00D03F3E">
        <w:rPr>
          <w:rFonts w:ascii="Times New Roman" w:hAnsi="Times New Roman"/>
          <w:color w:val="000000" w:themeColor="text1"/>
          <w:sz w:val="16"/>
          <w:szCs w:val="16"/>
        </w:rPr>
        <w:softHyphen/>
        <w:t>ле танков даже осколочными боеприпасами случались отко</w:t>
      </w:r>
      <w:r w:rsidRPr="00D03F3E">
        <w:rPr>
          <w:rFonts w:ascii="Times New Roman" w:hAnsi="Times New Roman"/>
          <w:color w:val="000000" w:themeColor="text1"/>
          <w:sz w:val="16"/>
          <w:szCs w:val="16"/>
        </w:rPr>
        <w:softHyphen/>
        <w:t>лы мелких осколков (окалины) с внутренней стороны бро</w:t>
      </w:r>
      <w:r w:rsidRPr="00D03F3E">
        <w:rPr>
          <w:rFonts w:ascii="Times New Roman" w:hAnsi="Times New Roman"/>
          <w:color w:val="000000" w:themeColor="text1"/>
          <w:sz w:val="16"/>
          <w:szCs w:val="16"/>
        </w:rPr>
        <w:softHyphen/>
        <w:t>ни. Дефект не был повсеместным, но о нем, равно как и о недостаточной прочности броневой защиты Американская сторона была извещена уже в апреле-мае 1943 г. Возможно, именно эти дефекты приостановили отгрузку М4А2 для РККА весной-летом 1943 г., так как танки, поставляемые с конца ноября 1943 г., уже имели значительно более высокое качество броневой защиты, которая уже не уступала по ка</w:t>
      </w:r>
      <w:r w:rsidRPr="00D03F3E">
        <w:rPr>
          <w:rFonts w:ascii="Times New Roman" w:hAnsi="Times New Roman"/>
          <w:color w:val="000000" w:themeColor="text1"/>
          <w:sz w:val="16"/>
          <w:szCs w:val="16"/>
        </w:rPr>
        <w:softHyphen/>
        <w:t>честву советской. Кроме того, для защиты с воздуха осенью 1943 г. практически на всех «Шерманах» устанавливались зенитные 7,62-мм и 12,7-мм пулеметы «Браунинг».</w:t>
      </w:r>
    </w:p>
    <w:p w14:paraId="0180099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американские танки поступали в состав отдельных танковых полков общевойсковых армий (здесь по штату находились, как правило, 21 танк, из которых 11 - М4А2 и 10 — «Валентайн IX»), танковых и механизированных кор</w:t>
      </w:r>
      <w:r w:rsidRPr="00D03F3E">
        <w:rPr>
          <w:rFonts w:ascii="Times New Roman" w:hAnsi="Times New Roman"/>
          <w:color w:val="000000" w:themeColor="text1"/>
          <w:sz w:val="16"/>
          <w:szCs w:val="16"/>
        </w:rPr>
        <w:softHyphen/>
        <w:t>пусов (например, 3 гвардейский Сталинградский механи</w:t>
      </w:r>
      <w:r w:rsidRPr="00D03F3E">
        <w:rPr>
          <w:rFonts w:ascii="Times New Roman" w:hAnsi="Times New Roman"/>
          <w:color w:val="000000" w:themeColor="text1"/>
          <w:sz w:val="16"/>
          <w:szCs w:val="16"/>
        </w:rPr>
        <w:softHyphen/>
        <w:t>зированный корпус, действовавший в составе 3-го Бело</w:t>
      </w:r>
      <w:r w:rsidRPr="00D03F3E">
        <w:rPr>
          <w:rFonts w:ascii="Times New Roman" w:hAnsi="Times New Roman"/>
          <w:color w:val="000000" w:themeColor="text1"/>
          <w:sz w:val="16"/>
          <w:szCs w:val="16"/>
        </w:rPr>
        <w:softHyphen/>
        <w:t>русского фронта, на 22 июня 1944 г. имел 196 танков, из ко</w:t>
      </w:r>
      <w:r w:rsidRPr="00D03F3E">
        <w:rPr>
          <w:rFonts w:ascii="Times New Roman" w:hAnsi="Times New Roman"/>
          <w:color w:val="000000" w:themeColor="text1"/>
          <w:sz w:val="16"/>
          <w:szCs w:val="16"/>
        </w:rPr>
        <w:softHyphen/>
        <w:t>торых 110 М4А2, 70 «Валентайн IX», 16 Т-34) и их наиболее массовые поставки начались с весны 1944 г. Причем тен</w:t>
      </w:r>
      <w:r w:rsidRPr="00D03F3E">
        <w:rPr>
          <w:rFonts w:ascii="Times New Roman" w:hAnsi="Times New Roman"/>
          <w:color w:val="000000" w:themeColor="text1"/>
          <w:sz w:val="16"/>
          <w:szCs w:val="16"/>
        </w:rPr>
        <w:softHyphen/>
        <w:t>денция оснащения мехкорпусов лендлизовской техникой оказалась весьма устойчивой. Так, 3-й гвардейский танко</w:t>
      </w:r>
      <w:r w:rsidRPr="00D03F3E">
        <w:rPr>
          <w:rFonts w:ascii="Times New Roman" w:hAnsi="Times New Roman"/>
          <w:color w:val="000000" w:themeColor="text1"/>
          <w:sz w:val="16"/>
          <w:szCs w:val="16"/>
        </w:rPr>
        <w:softHyphen/>
        <w:t>вый корпус (1-й Прибалтийский фронт) также был осна</w:t>
      </w:r>
      <w:r w:rsidRPr="00D03F3E">
        <w:rPr>
          <w:rFonts w:ascii="Times New Roman" w:hAnsi="Times New Roman"/>
          <w:color w:val="000000" w:themeColor="text1"/>
          <w:sz w:val="16"/>
          <w:szCs w:val="16"/>
        </w:rPr>
        <w:softHyphen/>
        <w:t>щен танками американского и английского производства и к 15 августа 1944 г. имел 99 М4А2 и 23 «Валентайн IX» (11135).</w:t>
      </w:r>
    </w:p>
    <w:p w14:paraId="27FC041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35252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в ходе прорыва блокады Ленинграда в ру</w:t>
      </w:r>
      <w:r w:rsidRPr="00D03F3E">
        <w:rPr>
          <w:rFonts w:ascii="Times New Roman" w:hAnsi="Times New Roman"/>
          <w:color w:val="000000" w:themeColor="text1"/>
          <w:sz w:val="16"/>
          <w:szCs w:val="16"/>
        </w:rPr>
        <w:softHyphen/>
        <w:t>ки советских войск попал новый немецкий тяжелый танк «Тигр». И первые испытания его обстрелом из основных ти</w:t>
      </w:r>
      <w:r w:rsidRPr="00D03F3E">
        <w:rPr>
          <w:rFonts w:ascii="Times New Roman" w:hAnsi="Times New Roman"/>
          <w:color w:val="000000" w:themeColor="text1"/>
          <w:sz w:val="16"/>
          <w:szCs w:val="16"/>
        </w:rPr>
        <w:softHyphen/>
        <w:t>пов орудий противотанковой артиллерии были неутешитель</w:t>
      </w:r>
      <w:r w:rsidRPr="00D03F3E">
        <w:rPr>
          <w:rFonts w:ascii="Times New Roman" w:hAnsi="Times New Roman"/>
          <w:color w:val="000000" w:themeColor="text1"/>
          <w:sz w:val="16"/>
          <w:szCs w:val="16"/>
        </w:rPr>
        <w:softHyphen/>
        <w:t>ны. Так, в телефонограмме Д.Ф. Устинову от 19 февраля 1943 г. говорилось: «Броневой корпус немецкого тяжелого тан</w:t>
      </w:r>
      <w:r w:rsidRPr="00D03F3E">
        <w:rPr>
          <w:rFonts w:ascii="Times New Roman" w:hAnsi="Times New Roman"/>
          <w:color w:val="000000" w:themeColor="text1"/>
          <w:sz w:val="16"/>
          <w:szCs w:val="16"/>
        </w:rPr>
        <w:softHyphen/>
        <w:t>ка «Тигр» (лоб. броня - 101мм, борт, корма — 82мм) с дистан</w:t>
      </w:r>
      <w:r w:rsidRPr="00D03F3E">
        <w:rPr>
          <w:rFonts w:ascii="Times New Roman" w:hAnsi="Times New Roman"/>
          <w:color w:val="000000" w:themeColor="text1"/>
          <w:sz w:val="16"/>
          <w:szCs w:val="16"/>
        </w:rPr>
        <w:softHyphen/>
        <w:t>ции 400—600 м, несмотря на неоднократные попытки, не был пробит бронебойным снарядом противотанковых орудий, со</w:t>
      </w:r>
      <w:r w:rsidRPr="00D03F3E">
        <w:rPr>
          <w:rFonts w:ascii="Times New Roman" w:hAnsi="Times New Roman"/>
          <w:color w:val="000000" w:themeColor="text1"/>
          <w:sz w:val="16"/>
          <w:szCs w:val="16"/>
        </w:rPr>
        <w:softHyphen/>
        <w:t>стоящих на вооружении Красной армии... Опыт обстрела тан</w:t>
      </w:r>
      <w:r w:rsidRPr="00D03F3E">
        <w:rPr>
          <w:rFonts w:ascii="Times New Roman" w:hAnsi="Times New Roman"/>
          <w:color w:val="000000" w:themeColor="text1"/>
          <w:sz w:val="16"/>
          <w:szCs w:val="16"/>
        </w:rPr>
        <w:softHyphen/>
        <w:t>ка КБ (лоб. броня 105-мм, борт — 75—90мм) позволяет предпо</w:t>
      </w:r>
      <w:r w:rsidRPr="00D03F3E">
        <w:rPr>
          <w:rFonts w:ascii="Times New Roman" w:hAnsi="Times New Roman"/>
          <w:color w:val="000000" w:themeColor="text1"/>
          <w:sz w:val="16"/>
          <w:szCs w:val="16"/>
        </w:rPr>
        <w:softHyphen/>
        <w:t>ложить, что борт, броня танка «Тигр» будет пробита снаря</w:t>
      </w:r>
      <w:r w:rsidRPr="00D03F3E">
        <w:rPr>
          <w:rFonts w:ascii="Times New Roman" w:hAnsi="Times New Roman"/>
          <w:color w:val="000000" w:themeColor="text1"/>
          <w:sz w:val="16"/>
          <w:szCs w:val="16"/>
        </w:rPr>
        <w:softHyphen/>
        <w:t>дами 57-мм ЛТП обр. 41 г., 85-мм ЗП обр. 39 г., 107-мм ДП обр. 1940 г., а также 57-мм англ. ПТПобр. 1941 г. с дистанции 400—600 м., лоб. броня указанного танка должна пробиваться бронебойными снарядами калибра 85-мм и 107-мм с дистанции 300-500м, а также 57-мм с дистанции 150-300м...»</w:t>
      </w:r>
    </w:p>
    <w:p w14:paraId="33DFC6E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интересом отреагировали наши танкостроители и на значительно расширившийся парк немецких САУ, с которы</w:t>
      </w:r>
      <w:r w:rsidRPr="00D03F3E">
        <w:rPr>
          <w:rFonts w:ascii="Times New Roman" w:hAnsi="Times New Roman"/>
          <w:color w:val="000000" w:themeColor="text1"/>
          <w:sz w:val="16"/>
          <w:szCs w:val="16"/>
        </w:rPr>
        <w:softHyphen/>
        <w:t xml:space="preserve">ми удалось познакомиться в ходе Сталинградской битвы и весенних боев 1943 г. Теперь в вермахте отмечались не только короткоствольные штурмовые орудия на шасси </w:t>
      </w:r>
      <w:r w:rsidRPr="00D03F3E">
        <w:rPr>
          <w:rFonts w:ascii="Times New Roman" w:hAnsi="Times New Roman"/>
          <w:color w:val="000000" w:themeColor="text1"/>
          <w:sz w:val="16"/>
          <w:szCs w:val="16"/>
          <w:lang w:val="en-US"/>
        </w:rPr>
        <w:t>PzKpfwIII</w:t>
      </w:r>
      <w:r w:rsidRPr="00D03F3E">
        <w:rPr>
          <w:rFonts w:ascii="Times New Roman" w:hAnsi="Times New Roman"/>
          <w:color w:val="000000" w:themeColor="text1"/>
          <w:sz w:val="16"/>
          <w:szCs w:val="16"/>
        </w:rPr>
        <w:t xml:space="preserve"> и легкие противотанковые пушки на шасси устаревших </w:t>
      </w:r>
      <w:r w:rsidRPr="00D03F3E">
        <w:rPr>
          <w:rFonts w:ascii="Times New Roman" w:hAnsi="Times New Roman"/>
          <w:color w:val="000000" w:themeColor="text1"/>
          <w:sz w:val="16"/>
          <w:szCs w:val="16"/>
          <w:lang w:val="en-US"/>
        </w:rPr>
        <w:t>PzKpfwI</w:t>
      </w:r>
      <w:r w:rsidRPr="00D03F3E">
        <w:rPr>
          <w:rFonts w:ascii="Times New Roman" w:hAnsi="Times New Roman"/>
          <w:color w:val="000000" w:themeColor="text1"/>
          <w:sz w:val="16"/>
          <w:szCs w:val="16"/>
        </w:rPr>
        <w:t>. Немецкая самоходная артиллерия на танковом шасси глазами техуправления НКВ теперь выглядела так:</w:t>
      </w:r>
    </w:p>
    <w:p w14:paraId="2ADECA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75-мм штурмовая пушка (короткоствольная) на шас</w:t>
      </w:r>
      <w:r w:rsidRPr="00D03F3E">
        <w:rPr>
          <w:rFonts w:ascii="Times New Roman" w:hAnsi="Times New Roman"/>
          <w:color w:val="000000" w:themeColor="text1"/>
          <w:sz w:val="16"/>
          <w:szCs w:val="16"/>
        </w:rPr>
        <w:softHyphen/>
        <w:t>си танка Т-3 (</w:t>
      </w:r>
      <w:r w:rsidRPr="00D03F3E">
        <w:rPr>
          <w:rFonts w:ascii="Times New Roman" w:hAnsi="Times New Roman"/>
          <w:color w:val="000000" w:themeColor="text1"/>
          <w:sz w:val="16"/>
          <w:szCs w:val="16"/>
          <w:lang w:val="en-US"/>
        </w:rPr>
        <w:t>Artsturm</w:t>
      </w:r>
      <w:r w:rsidRPr="00D03F3E">
        <w:rPr>
          <w:rFonts w:ascii="Times New Roman" w:hAnsi="Times New Roman"/>
          <w:color w:val="000000" w:themeColor="text1"/>
          <w:sz w:val="16"/>
          <w:szCs w:val="16"/>
        </w:rPr>
        <w:t>). Бронирование круговое аналогично среднему танку Т-3, вооружение 75-мм короткоствольная танковая пушка танка Т-4 и оборонительный ручной пуле</w:t>
      </w:r>
      <w:r w:rsidRPr="00D03F3E">
        <w:rPr>
          <w:rFonts w:ascii="Times New Roman" w:hAnsi="Times New Roman"/>
          <w:color w:val="000000" w:themeColor="text1"/>
          <w:sz w:val="16"/>
          <w:szCs w:val="16"/>
        </w:rPr>
        <w:softHyphen/>
        <w:t>мет. Назначение — огневое и броневое сопровождение пехоты при атаке оборонительных полос.</w:t>
      </w:r>
    </w:p>
    <w:p w14:paraId="400B574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76,2-мм противотанковая пушка обр. 36 или 75-мм противотанковая пушка обр. 40 на шасси легкого танка Т-2. Бронирование ограниченное противопульное. Назначе</w:t>
      </w:r>
      <w:r w:rsidRPr="00D03F3E">
        <w:rPr>
          <w:rFonts w:ascii="Times New Roman" w:hAnsi="Times New Roman"/>
          <w:color w:val="000000" w:themeColor="text1"/>
          <w:sz w:val="16"/>
          <w:szCs w:val="16"/>
        </w:rPr>
        <w:softHyphen/>
        <w:t>ние — маневренная оборона против танков. Ведение огня с места из засад и из-за укрытий.</w:t>
      </w:r>
    </w:p>
    <w:p w14:paraId="0E1FCE3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76,2-мм противотанковая пушка ограниченного про-тивопулъного бронирования на шасси легкого танка «Прага» Т-38. По устройству и назначению подобна предыдущей, от</w:t>
      </w:r>
      <w:r w:rsidRPr="00D03F3E">
        <w:rPr>
          <w:rFonts w:ascii="Times New Roman" w:hAnsi="Times New Roman"/>
          <w:color w:val="000000" w:themeColor="text1"/>
          <w:sz w:val="16"/>
          <w:szCs w:val="16"/>
        </w:rPr>
        <w:softHyphen/>
        <w:t>личается наличием оборонительного пулемета.</w:t>
      </w:r>
    </w:p>
    <w:p w14:paraId="753600F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75-мм тяжелая противотанковая пушка в полностью забронированном корпусе. По устройству подобна СУ «</w:t>
      </w:r>
      <w:r w:rsidRPr="00D03F3E">
        <w:rPr>
          <w:rFonts w:ascii="Times New Roman" w:hAnsi="Times New Roman"/>
          <w:color w:val="000000" w:themeColor="text1"/>
          <w:sz w:val="16"/>
          <w:szCs w:val="16"/>
          <w:lang w:val="en-US"/>
        </w:rPr>
        <w:t>Artsturm</w:t>
      </w:r>
      <w:r w:rsidRPr="00D03F3E">
        <w:rPr>
          <w:rFonts w:ascii="Times New Roman" w:hAnsi="Times New Roman"/>
          <w:color w:val="000000" w:themeColor="text1"/>
          <w:sz w:val="16"/>
          <w:szCs w:val="16"/>
        </w:rPr>
        <w:t>», но имеет вооружение 75-мм танков, пушку обр. 40. Назначение — огневое сопровождение и усиление про</w:t>
      </w:r>
      <w:r w:rsidRPr="00D03F3E">
        <w:rPr>
          <w:rFonts w:ascii="Times New Roman" w:hAnsi="Times New Roman"/>
          <w:color w:val="000000" w:themeColor="text1"/>
          <w:sz w:val="16"/>
          <w:szCs w:val="16"/>
        </w:rPr>
        <w:softHyphen/>
        <w:t>тивотанковых способностей танковых частей. Борьба с тан</w:t>
      </w:r>
      <w:r w:rsidRPr="00D03F3E">
        <w:rPr>
          <w:rFonts w:ascii="Times New Roman" w:hAnsi="Times New Roman"/>
          <w:color w:val="000000" w:themeColor="text1"/>
          <w:sz w:val="16"/>
          <w:szCs w:val="16"/>
        </w:rPr>
        <w:softHyphen/>
        <w:t>ками и противотанковыми орудиями входе наступления.</w:t>
      </w:r>
    </w:p>
    <w:p w14:paraId="33D01BC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5.128-мм тяжелая противотанковая пушка на шасси спе</w:t>
      </w:r>
      <w:r w:rsidRPr="00D03F3E">
        <w:rPr>
          <w:rFonts w:ascii="Times New Roman" w:hAnsi="Times New Roman"/>
          <w:color w:val="000000" w:themeColor="text1"/>
          <w:sz w:val="16"/>
          <w:szCs w:val="16"/>
        </w:rPr>
        <w:softHyphen/>
        <w:t>циальной постройки. Вооружение — 128мм противотанковая пушка обр. 41 и пулемет, бронирование — частичное. Назначе</w:t>
      </w:r>
      <w:r w:rsidRPr="00D03F3E">
        <w:rPr>
          <w:rFonts w:ascii="Times New Roman" w:hAnsi="Times New Roman"/>
          <w:color w:val="000000" w:themeColor="text1"/>
          <w:sz w:val="16"/>
          <w:szCs w:val="16"/>
        </w:rPr>
        <w:softHyphen/>
        <w:t>ние — артиллерийские части резерва главного командования. Дальняя борьба с тяжелыми танками и огневыми точками. Выведение танков командиров частей и соединений.</w:t>
      </w:r>
    </w:p>
    <w:p w14:paraId="51C5D0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6.150-мм тяжелое штурмовое орудие в полностью забро</w:t>
      </w:r>
      <w:r w:rsidRPr="00D03F3E">
        <w:rPr>
          <w:rFonts w:ascii="Times New Roman" w:hAnsi="Times New Roman"/>
          <w:color w:val="000000" w:themeColor="text1"/>
          <w:sz w:val="16"/>
          <w:szCs w:val="16"/>
        </w:rPr>
        <w:softHyphen/>
        <w:t>нированном корпусе на шасси среднего танка Т-3. По устрой</w:t>
      </w:r>
      <w:r w:rsidRPr="00D03F3E">
        <w:rPr>
          <w:rFonts w:ascii="Times New Roman" w:hAnsi="Times New Roman"/>
          <w:color w:val="000000" w:themeColor="text1"/>
          <w:sz w:val="16"/>
          <w:szCs w:val="16"/>
        </w:rPr>
        <w:softHyphen/>
        <w:t>ству подобно СУ«</w:t>
      </w:r>
      <w:r w:rsidRPr="00D03F3E">
        <w:rPr>
          <w:rFonts w:ascii="Times New Roman" w:hAnsi="Times New Roman"/>
          <w:color w:val="000000" w:themeColor="text1"/>
          <w:sz w:val="16"/>
          <w:szCs w:val="16"/>
          <w:lang w:val="en-US"/>
        </w:rPr>
        <w:t>Artsturm</w:t>
      </w:r>
      <w:r w:rsidRPr="00D03F3E">
        <w:rPr>
          <w:rFonts w:ascii="Times New Roman" w:hAnsi="Times New Roman"/>
          <w:color w:val="000000" w:themeColor="text1"/>
          <w:sz w:val="16"/>
          <w:szCs w:val="16"/>
        </w:rPr>
        <w:t>», но имеет вооружение 150-мм тяжелое пехотное орудие и оборонительный пулемет в шаро</w:t>
      </w:r>
      <w:r w:rsidRPr="00D03F3E">
        <w:rPr>
          <w:rFonts w:ascii="Times New Roman" w:hAnsi="Times New Roman"/>
          <w:color w:val="000000" w:themeColor="text1"/>
          <w:sz w:val="16"/>
          <w:szCs w:val="16"/>
        </w:rPr>
        <w:softHyphen/>
        <w:t>вом яблоке лобового листа. Назначение — качественное ар</w:t>
      </w:r>
      <w:r w:rsidRPr="00D03F3E">
        <w:rPr>
          <w:rFonts w:ascii="Times New Roman" w:hAnsi="Times New Roman"/>
          <w:color w:val="000000" w:themeColor="text1"/>
          <w:sz w:val="16"/>
          <w:szCs w:val="16"/>
        </w:rPr>
        <w:softHyphen/>
        <w:t>тиллерийское усиление пехотных частей, уничтожение дол</w:t>
      </w:r>
      <w:r w:rsidRPr="00D03F3E">
        <w:rPr>
          <w:rFonts w:ascii="Times New Roman" w:hAnsi="Times New Roman"/>
          <w:color w:val="000000" w:themeColor="text1"/>
          <w:sz w:val="16"/>
          <w:szCs w:val="16"/>
        </w:rPr>
        <w:softHyphen/>
        <w:t>говременных огневых точек.</w:t>
      </w:r>
    </w:p>
    <w:p w14:paraId="2CDA7FA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20-мм зенитная автоматическая пушка на шасси лег</w:t>
      </w:r>
      <w:r w:rsidRPr="00D03F3E">
        <w:rPr>
          <w:rFonts w:ascii="Times New Roman" w:hAnsi="Times New Roman"/>
          <w:color w:val="000000" w:themeColor="text1"/>
          <w:sz w:val="16"/>
          <w:szCs w:val="16"/>
        </w:rPr>
        <w:softHyphen/>
        <w:t>кого .танка Т-1. По устройству аналогична устаревшей 47-мм СУ на шасси танка Т-1, но вместо 47-мм противотан</w:t>
      </w:r>
      <w:r w:rsidRPr="00D03F3E">
        <w:rPr>
          <w:rFonts w:ascii="Times New Roman" w:hAnsi="Times New Roman"/>
          <w:color w:val="000000" w:themeColor="text1"/>
          <w:sz w:val="16"/>
          <w:szCs w:val="16"/>
        </w:rPr>
        <w:softHyphen/>
        <w:t>кового орудия вооружена 20-мм пушкой типа «Эрликон».</w:t>
      </w:r>
    </w:p>
    <w:p w14:paraId="555F11A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Поразвед. информации в Германии заканчивается разра</w:t>
      </w:r>
      <w:r w:rsidRPr="00D03F3E">
        <w:rPr>
          <w:rFonts w:ascii="Times New Roman" w:hAnsi="Times New Roman"/>
          <w:color w:val="000000" w:themeColor="text1"/>
          <w:sz w:val="16"/>
          <w:szCs w:val="16"/>
        </w:rPr>
        <w:softHyphen/>
        <w:t>ботка 88-мм самоходной пушки обр. 1941 на шасси танка Т-4».</w:t>
      </w:r>
    </w:p>
    <w:p w14:paraId="3B34855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Внимательное изучение парка немецких САУ пред</w:t>
      </w:r>
      <w:r w:rsidRPr="00D03F3E">
        <w:rPr>
          <w:rFonts w:ascii="Times New Roman" w:hAnsi="Times New Roman"/>
          <w:color w:val="000000" w:themeColor="text1"/>
          <w:sz w:val="16"/>
          <w:szCs w:val="16"/>
        </w:rPr>
        <w:softHyphen/>
        <w:t>ставителями НКВ показало, что: «Новое вооружение не</w:t>
      </w:r>
      <w:r w:rsidRPr="00D03F3E">
        <w:rPr>
          <w:rFonts w:ascii="Times New Roman" w:hAnsi="Times New Roman"/>
          <w:color w:val="000000" w:themeColor="text1"/>
          <w:sz w:val="16"/>
          <w:szCs w:val="16"/>
        </w:rPr>
        <w:softHyphen/>
        <w:t>мецких танков и принятие на вооружение новых образцов самоходов показывает, что главной целью немецких войск становятся советские танки... Меж тем перевооружение немецкой фашистской армии новыми образцами танков ставит вопрос борьбы с ними на первое место, так как Красная Армия не имеет в настоящее время эффективных средств борьбы с ними на средней и большой дальности...»</w:t>
      </w:r>
    </w:p>
    <w:p w14:paraId="68ED10E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все же наибольшее внимание в КА уделялось борьбе с танками «тигр» и Р</w:t>
      </w:r>
      <w:r w:rsidRPr="00D03F3E">
        <w:rPr>
          <w:rFonts w:ascii="Times New Roman" w:hAnsi="Times New Roman"/>
          <w:color w:val="000000" w:themeColor="text1"/>
          <w:sz w:val="16"/>
          <w:szCs w:val="16"/>
          <w:lang w:val="en-US"/>
        </w:rPr>
        <w:t>zKpfwIVAusfF</w:t>
      </w:r>
      <w:r w:rsidRPr="00D03F3E">
        <w:rPr>
          <w:rFonts w:ascii="Times New Roman" w:hAnsi="Times New Roman"/>
          <w:color w:val="000000" w:themeColor="text1"/>
          <w:sz w:val="16"/>
          <w:szCs w:val="16"/>
        </w:rPr>
        <w:t>2-</w:t>
      </w:r>
      <w:r w:rsidRPr="00D03F3E">
        <w:rPr>
          <w:rFonts w:ascii="Times New Roman" w:hAnsi="Times New Roman"/>
          <w:color w:val="000000" w:themeColor="text1"/>
          <w:sz w:val="16"/>
          <w:szCs w:val="16"/>
          <w:lang w:val="en-US"/>
        </w:rPr>
        <w:t>G</w:t>
      </w:r>
      <w:r w:rsidRPr="00D03F3E">
        <w:rPr>
          <w:rFonts w:ascii="Times New Roman" w:hAnsi="Times New Roman"/>
          <w:color w:val="000000" w:themeColor="text1"/>
          <w:sz w:val="16"/>
          <w:szCs w:val="16"/>
        </w:rPr>
        <w:t xml:space="preserve"> (который в то время также был отнесен командованием КА к «тяжелым»), захва</w:t>
      </w:r>
      <w:r w:rsidRPr="00D03F3E">
        <w:rPr>
          <w:rFonts w:ascii="Times New Roman" w:hAnsi="Times New Roman"/>
          <w:color w:val="000000" w:themeColor="text1"/>
          <w:sz w:val="16"/>
          <w:szCs w:val="16"/>
        </w:rPr>
        <w:softHyphen/>
        <w:t>ченными в ходе боев начала 1943 г. Их обстрел показал, что и для бронебойных снарядов калибра 45 мм и 76 мм «шкура» немецкого «тифа» и «лоб» его меньших братьев оказались тоже очень прочными. Так, 45-мм противотанковая пушка обр. 1942 г. оставляла в бортах «тигра» и лобовой части Р</w:t>
      </w:r>
      <w:r w:rsidRPr="00D03F3E">
        <w:rPr>
          <w:rFonts w:ascii="Times New Roman" w:hAnsi="Times New Roman"/>
          <w:color w:val="000000" w:themeColor="text1"/>
          <w:sz w:val="16"/>
          <w:szCs w:val="16"/>
          <w:lang w:val="en-US"/>
        </w:rPr>
        <w:t>zKpfwIVAusfF</w:t>
      </w:r>
      <w:r w:rsidRPr="00D03F3E">
        <w:rPr>
          <w:rFonts w:ascii="Times New Roman" w:hAnsi="Times New Roman"/>
          <w:color w:val="000000" w:themeColor="text1"/>
          <w:sz w:val="16"/>
          <w:szCs w:val="16"/>
        </w:rPr>
        <w:t>2-</w:t>
      </w:r>
      <w:r w:rsidRPr="00D03F3E">
        <w:rPr>
          <w:rFonts w:ascii="Times New Roman" w:hAnsi="Times New Roman"/>
          <w:color w:val="000000" w:themeColor="text1"/>
          <w:sz w:val="16"/>
          <w:szCs w:val="16"/>
          <w:lang w:val="en-US"/>
        </w:rPr>
        <w:t>G</w:t>
      </w:r>
      <w:r w:rsidRPr="00D03F3E">
        <w:rPr>
          <w:rFonts w:ascii="Times New Roman" w:hAnsi="Times New Roman"/>
          <w:color w:val="000000" w:themeColor="text1"/>
          <w:sz w:val="16"/>
          <w:szCs w:val="16"/>
        </w:rPr>
        <w:t xml:space="preserve"> только шрамы глубиной до 50—60 мм. Из трех попаданюгуказанным орудием в нижний бортовой лист «тигра» (толщиной 62 мм) с дистанции </w:t>
      </w:r>
      <w:r w:rsidRPr="00D03F3E">
        <w:rPr>
          <w:rFonts w:ascii="Times New Roman" w:hAnsi="Times New Roman"/>
          <w:color w:val="000000" w:themeColor="text1"/>
          <w:sz w:val="16"/>
          <w:szCs w:val="16"/>
        </w:rPr>
        <w:lastRenderedPageBreak/>
        <w:t>200 м в нем лишь однажды образовалась кондиционная пробоина сна</w:t>
      </w:r>
      <w:r w:rsidRPr="00D03F3E">
        <w:rPr>
          <w:rFonts w:ascii="Times New Roman" w:hAnsi="Times New Roman"/>
          <w:color w:val="000000" w:themeColor="text1"/>
          <w:sz w:val="16"/>
          <w:szCs w:val="16"/>
        </w:rPr>
        <w:softHyphen/>
        <w:t>рядом БР-240СП. Дивизионная 76,2-мм пушка была не в со</w:t>
      </w:r>
      <w:r w:rsidRPr="00D03F3E">
        <w:rPr>
          <w:rFonts w:ascii="Times New Roman" w:hAnsi="Times New Roman"/>
          <w:color w:val="000000" w:themeColor="text1"/>
          <w:sz w:val="16"/>
          <w:szCs w:val="16"/>
        </w:rPr>
        <w:softHyphen/>
        <w:t>стоянии пробить 82-мм бортовой лист даже снарядом БР-350Б с дистанции 250—300 м, хотя цельность тыльной поверхности броневого листа была нарушена.</w:t>
      </w:r>
    </w:p>
    <w:p w14:paraId="69AD8E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Обстрел 100-мм брони из 85-мм пушки обр. 1939 г. так</w:t>
      </w:r>
      <w:r w:rsidRPr="00D03F3E">
        <w:rPr>
          <w:rFonts w:ascii="Times New Roman" w:hAnsi="Times New Roman"/>
          <w:color w:val="000000" w:themeColor="text1"/>
          <w:sz w:val="16"/>
          <w:szCs w:val="16"/>
        </w:rPr>
        <w:softHyphen/>
        <w:t>же дал не вполне удовлетворительный результат, так как, несмотря на ожидания испытателей, бронебойный охолощенный снаряд, выпущенный на стенде с эквивалентного расстояния 500 м под углом около 30°, застрял в 100-мм ли</w:t>
      </w:r>
      <w:r w:rsidRPr="00D03F3E">
        <w:rPr>
          <w:rFonts w:ascii="Times New Roman" w:hAnsi="Times New Roman"/>
          <w:color w:val="000000" w:themeColor="text1"/>
          <w:sz w:val="16"/>
          <w:szCs w:val="16"/>
        </w:rPr>
        <w:softHyphen/>
        <w:t>сте лба подбашенной коробки «тигра». Впрочем, при де</w:t>
      </w:r>
      <w:r w:rsidRPr="00D03F3E">
        <w:rPr>
          <w:rFonts w:ascii="Times New Roman" w:hAnsi="Times New Roman"/>
          <w:color w:val="000000" w:themeColor="text1"/>
          <w:sz w:val="16"/>
          <w:szCs w:val="16"/>
        </w:rPr>
        <w:softHyphen/>
        <w:t>тальных исследованиях этот итог оказался закономерным. Ведь при обстреле брони «тигра», отличавшейся высокой поверхностной твердостью, 85-мм бронебойный снаряд массой 9,2 кг, имея начальную скорость 792 м/с, мог про</w:t>
      </w:r>
      <w:r w:rsidRPr="00D03F3E">
        <w:rPr>
          <w:rFonts w:ascii="Times New Roman" w:hAnsi="Times New Roman"/>
          <w:color w:val="000000" w:themeColor="text1"/>
          <w:sz w:val="16"/>
          <w:szCs w:val="16"/>
        </w:rPr>
        <w:softHyphen/>
        <w:t>бить на дистанции 500 м под углом встречи броневой лист толщиной лишь до 91 мм, а на дистанции 1000м эта толщи</w:t>
      </w:r>
      <w:r w:rsidRPr="00D03F3E">
        <w:rPr>
          <w:rFonts w:ascii="Times New Roman" w:hAnsi="Times New Roman"/>
          <w:color w:val="000000" w:themeColor="text1"/>
          <w:sz w:val="16"/>
          <w:szCs w:val="16"/>
        </w:rPr>
        <w:softHyphen/>
        <w:t>на составляла не более 86 мм, или соответственно 105 мм и 100 мм при попадании строго по нормали.</w:t>
      </w:r>
    </w:p>
    <w:p w14:paraId="4244CEB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Разработанные в 1941 г. 57-мм противотанковая и танко</w:t>
      </w:r>
      <w:r w:rsidRPr="00D03F3E">
        <w:rPr>
          <w:rFonts w:ascii="Times New Roman" w:hAnsi="Times New Roman"/>
          <w:color w:val="000000" w:themeColor="text1"/>
          <w:sz w:val="16"/>
          <w:szCs w:val="16"/>
        </w:rPr>
        <w:softHyphen/>
        <w:t>вая пушки ОКБ № 92 также оказались бесполезными для пробития лба «тигра» на дальности 500 м. Кроме того, 57-мм бронебойные снаряды орудия ЗИС-2 еще не вполне удовле</w:t>
      </w:r>
      <w:r w:rsidRPr="00D03F3E">
        <w:rPr>
          <w:rFonts w:ascii="Times New Roman" w:hAnsi="Times New Roman"/>
          <w:color w:val="000000" w:themeColor="text1"/>
          <w:sz w:val="16"/>
          <w:szCs w:val="16"/>
        </w:rPr>
        <w:softHyphen/>
        <w:t>творительно работали по поверхностно упрочненной броне толщиной более 60 мм при попадании под углом свыше 25°, и недостаточно хорошо пробивали 82-мм бортовую броню «тигра». Но быстрых альтернатив найдено не было (11417).</w:t>
      </w:r>
    </w:p>
    <w:p w14:paraId="64BB065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F00D5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броневик БА-64Б вместо задних ведущих колес, по предложению инженера С. С. Строева оснастили цепным лыжно-гусеничным движителем, идею которого выдвинул выдающийся отечественный инженер и изобретатель С. С. Неждановский, получивший 31 aвrycra 1925 г. патент на изобретение такого движителя. Сегодня разработанная Неждановским конструкция признана наиболее удачным движителем для легковых снегоходных машин. Полугусеничный броневик БА-643 уверенно шел по снежной целине, преодолевая подъемы 18°. Однако недостаточно высокие показатели базовой модели применительно к использованию такого гусеничного хода не позволили продолжать опытные работы (12098).</w:t>
      </w:r>
    </w:p>
    <w:p w14:paraId="153D214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330DCA" w14:textId="77777777" w:rsidR="00CB765D" w:rsidRPr="00D03F3E" w:rsidRDefault="00CB765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вместо задних ведущих колес БА-64 , по предложению инженера С. С. Строева оснастили цепным лыжно-гусеничным движителем (патент 31 августа 1925 г на изобретение инженера и изобретателя С. С. Неждановского) (15649).</w:t>
      </w:r>
    </w:p>
    <w:p w14:paraId="72A4EC86" w14:textId="77777777" w:rsidR="00CB765D" w:rsidRPr="00D03F3E" w:rsidRDefault="00CB765D" w:rsidP="00D03F3E">
      <w:pPr>
        <w:spacing w:after="0" w:line="240" w:lineRule="auto"/>
        <w:jc w:val="both"/>
        <w:rPr>
          <w:rFonts w:ascii="Times New Roman" w:hAnsi="Times New Roman"/>
          <w:color w:val="000000" w:themeColor="text1"/>
          <w:sz w:val="16"/>
          <w:szCs w:val="16"/>
        </w:rPr>
      </w:pPr>
    </w:p>
    <w:p w14:paraId="3C12D155" w14:textId="77777777" w:rsidR="00CB765D" w:rsidRPr="00D03F3E" w:rsidRDefault="00CB765D"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года были построены два опытных образца бронеавтомобиля БА-64 для движения по железной дороге. Один из них (вариант Выксунского завода) имел сменные железнодорожные колеса, другой вариант БА-64Г (вариант Горьковского автозавода) – откидные железнодорожные колеса малого диаметра (15218).</w:t>
      </w:r>
    </w:p>
    <w:p w14:paraId="38F57F13" w14:textId="77777777" w:rsidR="00CB765D" w:rsidRPr="00D03F3E" w:rsidRDefault="00CB765D" w:rsidP="00D03F3E">
      <w:pPr>
        <w:widowControl w:val="0"/>
        <w:spacing w:after="0" w:line="240" w:lineRule="auto"/>
        <w:jc w:val="both"/>
        <w:rPr>
          <w:rFonts w:ascii="Times New Roman" w:hAnsi="Times New Roman"/>
          <w:color w:val="000000" w:themeColor="text1"/>
          <w:sz w:val="16"/>
          <w:szCs w:val="16"/>
        </w:rPr>
      </w:pPr>
    </w:p>
    <w:p w14:paraId="26AEE546" w14:textId="77777777" w:rsidR="00FA6BDE" w:rsidRPr="00D03F3E" w:rsidRDefault="00FA6BDE" w:rsidP="00D03F3E">
      <w:pPr>
        <w:pStyle w:val="article-renderblock"/>
        <w:spacing w:before="0" w:beforeAutospacing="0" w:after="0" w:afterAutospacing="0"/>
        <w:jc w:val="both"/>
        <w:rPr>
          <w:color w:val="0070C0"/>
          <w:sz w:val="16"/>
          <w:szCs w:val="16"/>
        </w:rPr>
      </w:pPr>
      <w:r w:rsidRPr="00D03F3E">
        <w:rPr>
          <w:color w:val="0070C0"/>
          <w:sz w:val="16"/>
          <w:szCs w:val="16"/>
        </w:rPr>
        <w:t>В начале 1943 года появились требования на модернизацию будущего ГАЗ-67Б, где значилось и повышение мощности мотора. Тогда эта машина рассматривалась как тягач не 45-мм противотанковой пушки, а 76-мм дивизионной пушки ЗИС-3. Ее же, до появления Dodge WC-51, таскал и Willys MB. Повышения мощности так и не случилось (21327).</w:t>
      </w:r>
    </w:p>
    <w:p w14:paraId="1E9E7610" w14:textId="77777777" w:rsidR="00FA6BDE" w:rsidRPr="00D03F3E" w:rsidRDefault="00FA6BDE" w:rsidP="00D03F3E">
      <w:pPr>
        <w:pStyle w:val="1151"/>
        <w:shd w:val="clear" w:color="auto" w:fill="auto"/>
        <w:spacing w:before="0" w:line="240" w:lineRule="auto"/>
        <w:rPr>
          <w:rStyle w:val="790"/>
          <w:rFonts w:ascii="Times New Roman" w:hAnsi="Times New Roman" w:cs="Times New Roman"/>
          <w:color w:val="0070C0"/>
          <w:sz w:val="16"/>
          <w:szCs w:val="16"/>
          <w:lang w:val="ru-RU"/>
        </w:rPr>
      </w:pPr>
    </w:p>
    <w:p w14:paraId="3D18C389" w14:textId="77777777" w:rsidR="00CB765D" w:rsidRPr="00D03F3E" w:rsidRDefault="00CB765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специалистами СКБ НКСП в инициативном порядке под руководством ведущего конструктора В.Д. Чижова был разработан и испытан в морских условиях макет комбинированной индукционно-акустической донной мины. На основании результатов испытаний нарком судостроительной промышленности И.И. Носенко и нарком ВМФ Н.Г. Кузнецов совместным приказом от 2 февраля 1943 г. возложили на СКБ разработку и изготовление опытных образцов мины «ИА», объявив этот заказ «фронтовым». В целях ускорения разработки и проведения морских испытаний группа специалистов СКБ была командирована в г. Баку, где, собственно, и была разработана мина «ИА», и изготовлено 5 опытных образцов, полностью удовлетворяющих требованиям Минно-торпедного управления ВМФ. При прохождении над миной кораблей, в том числе размагниченных и даже деревянных, но с неразмагниченным двигателем, от акустических колебаний, излучаемых кораблем, срабатывал акустический канал, а от магнитного поля корабля срабатывал индукционный канал и замыкал цепь запала. Мины «ИА» весом 500 или 1000 кг (отличавшихся только зарядной камерой, содержащей 330–700 кг взрывчатого вещества соответственно), спускались на парашюте с самолета, устанавливались с торпедных катеров, или с подводных лодок, причем «ИА-1000» можно было устанавливать непосредственно из их торпедных аппаратов (15736).</w:t>
      </w:r>
    </w:p>
    <w:p w14:paraId="7A122B1E" w14:textId="77777777" w:rsidR="00CB765D" w:rsidRPr="00D03F3E" w:rsidRDefault="00CB765D" w:rsidP="00D03F3E">
      <w:pPr>
        <w:spacing w:after="0" w:line="240" w:lineRule="auto"/>
        <w:jc w:val="both"/>
        <w:rPr>
          <w:rFonts w:ascii="Times New Roman" w:hAnsi="Times New Roman"/>
          <w:color w:val="000000" w:themeColor="text1"/>
          <w:sz w:val="16"/>
          <w:szCs w:val="16"/>
        </w:rPr>
      </w:pPr>
    </w:p>
    <w:p w14:paraId="260D21A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тех</w:t>
      </w:r>
      <w:r w:rsidRPr="00D03F3E">
        <w:rPr>
          <w:rFonts w:ascii="Times New Roman" w:hAnsi="Times New Roman"/>
          <w:color w:val="000000" w:themeColor="text1"/>
          <w:sz w:val="16"/>
          <w:szCs w:val="16"/>
        </w:rPr>
        <w:softHyphen/>
        <w:t>нический проект 607 подводного транспорта был утвержден и в ЦКБ-18 начали выпуск рабо</w:t>
      </w:r>
      <w:r w:rsidRPr="00D03F3E">
        <w:rPr>
          <w:rFonts w:ascii="Times New Roman" w:hAnsi="Times New Roman"/>
          <w:color w:val="000000" w:themeColor="text1"/>
          <w:sz w:val="16"/>
          <w:szCs w:val="16"/>
        </w:rPr>
        <w:softHyphen/>
        <w:t>чих чертежей. Вскоре Я. Е. Евграфовым был представлен вари</w:t>
      </w:r>
      <w:r w:rsidRPr="00D03F3E">
        <w:rPr>
          <w:rFonts w:ascii="Times New Roman" w:hAnsi="Times New Roman"/>
          <w:color w:val="000000" w:themeColor="text1"/>
          <w:sz w:val="16"/>
          <w:szCs w:val="16"/>
        </w:rPr>
        <w:softHyphen/>
        <w:t>ант переделки лодки VI серии в подводный транспорт. Рабо</w:t>
      </w:r>
      <w:r w:rsidRPr="00D03F3E">
        <w:rPr>
          <w:rFonts w:ascii="Times New Roman" w:hAnsi="Times New Roman"/>
          <w:color w:val="000000" w:themeColor="text1"/>
          <w:sz w:val="16"/>
          <w:szCs w:val="16"/>
        </w:rPr>
        <w:softHyphen/>
        <w:t>ты по пр. 607 прекратили в 1944 г. с изменением военной обстановки (3898).</w:t>
      </w:r>
    </w:p>
    <w:p w14:paraId="60CFB73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391E5" w14:textId="77777777" w:rsidR="00C84258" w:rsidRPr="00D03F3E" w:rsidRDefault="00C84258" w:rsidP="00D03F3E">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была подготовлена справка:</w:t>
      </w:r>
    </w:p>
    <w:p w14:paraId="52F0AF6B" w14:textId="77777777" w:rsidR="00C84258" w:rsidRPr="00D03F3E" w:rsidRDefault="00C84258" w:rsidP="00D03F3E">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 развитии Красноярского завода №399 </w:t>
      </w:r>
    </w:p>
    <w:p w14:paraId="768682A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докладной записки Красноярского крайкома ВКП (б) в ЦК ВКП (б)</w:t>
      </w:r>
    </w:p>
    <w:p w14:paraId="214FE26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Красноярск [1943 г.]</w:t>
      </w:r>
    </w:p>
    <w:p w14:paraId="10ADE5E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Совершенно секретно</w:t>
      </w:r>
    </w:p>
    <w:p w14:paraId="7A5ACB1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color w:val="000000" w:themeColor="text1"/>
          <w:sz w:val="16"/>
          <w:szCs w:val="16"/>
        </w:rPr>
        <w:t xml:space="preserve">Секретарю Центрального комитета ВКП (б) </w:t>
      </w:r>
      <w:r w:rsidRPr="00D03F3E">
        <w:rPr>
          <w:rFonts w:ascii="Times New Roman" w:hAnsi="Times New Roman"/>
          <w:iCs/>
          <w:color w:val="000000" w:themeColor="text1"/>
          <w:sz w:val="16"/>
          <w:szCs w:val="16"/>
        </w:rPr>
        <w:t>товарищу Маленкову</w:t>
      </w:r>
    </w:p>
    <w:p w14:paraId="082E970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color w:val="000000" w:themeColor="text1"/>
          <w:sz w:val="16"/>
          <w:szCs w:val="16"/>
        </w:rPr>
        <w:t xml:space="preserve">копия: Народному комиссару судостроительной промышленности СССР </w:t>
      </w:r>
      <w:r w:rsidRPr="00D03F3E">
        <w:rPr>
          <w:rFonts w:ascii="Times New Roman" w:hAnsi="Times New Roman"/>
          <w:iCs/>
          <w:color w:val="000000" w:themeColor="text1"/>
          <w:sz w:val="16"/>
          <w:szCs w:val="16"/>
        </w:rPr>
        <w:t>товарищу Носенко</w:t>
      </w:r>
    </w:p>
    <w:p w14:paraId="7E641D96" w14:textId="77777777" w:rsidR="00C84258" w:rsidRPr="00D03F3E" w:rsidRDefault="00C84258" w:rsidP="00D03F3E">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сентябре 1942 года Наркомсудпром принял от Наркомлеса Союза ССР Красноярскую судоверфь и переименовал ее в завод №399. До начала войны верфь выпускала в год до 50 единиц мелких речных буксирных и пассажирских катеров. В III-м квартале 1942 года производственные площади и часть оборудования были переданы Наркомлесом эвакуированному в Красноярск Онежскому заводу, а верфь передана на площадку законсервированного с 1936 г. строительства новой верфи. Основной контингент квалифицированных рабочих был взят в армию. Никаких мер по окончанию строительства новой верфи принято не было.</w:t>
      </w:r>
    </w:p>
    <w:p w14:paraId="61CFF8F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Решениями Государственного комитета обороны от 13/VIII-1941 года и 4/XII-1941 года на верфь было возложено строительство морских катеров- охотников типа «МО-IV» в количестве 15 единиц и 10 единиц катеров- тральщиков типа «МСВ-38-Б». Из них подлежало сдачи в 3-м квартале 1942 года «МО-IV» – 4 един[иц] и «МСВ-38-Б» – 6 [единиц], в IV-м квартале 1942 г. «МО-IV» – 8 един[иц] и «МСВ-38-Б» – 4 [единицы].</w:t>
      </w:r>
    </w:p>
    <w:p w14:paraId="028F87D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Обеспеченность программы 1942 года производственными мощностями представлялась в следующем виде: </w:t>
      </w:r>
    </w:p>
    <w:p w14:paraId="575AB744" w14:textId="77777777" w:rsidR="00C84258" w:rsidRPr="00D03F3E" w:rsidRDefault="00C84258" w:rsidP="00D03F3E">
      <w:pPr>
        <w:widowControl w:val="0"/>
        <w:tabs>
          <w:tab w:val="left" w:pos="1788"/>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Производственные площади:</w:t>
      </w:r>
    </w:p>
    <w:tbl>
      <w:tblPr>
        <w:tblW w:w="0" w:type="auto"/>
        <w:tblInd w:w="5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5" w:type="dxa"/>
          <w:right w:w="55" w:type="dxa"/>
        </w:tblCellMar>
        <w:tblLook w:val="0000" w:firstRow="0" w:lastRow="0" w:firstColumn="0" w:lastColumn="0" w:noHBand="0" w:noVBand="0"/>
      </w:tblPr>
      <w:tblGrid>
        <w:gridCol w:w="3212"/>
        <w:gridCol w:w="3212"/>
        <w:gridCol w:w="3163"/>
      </w:tblGrid>
      <w:tr w:rsidR="00860B4B" w:rsidRPr="00D03F3E" w14:paraId="7D77AB1F" w14:textId="77777777">
        <w:tc>
          <w:tcPr>
            <w:tcW w:w="3212" w:type="dxa"/>
            <w:tcBorders>
              <w:top w:val="single" w:sz="12" w:space="0" w:color="auto"/>
            </w:tcBorders>
          </w:tcPr>
          <w:p w14:paraId="4E359115"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Наименование цехов</w:t>
            </w:r>
          </w:p>
        </w:tc>
        <w:tc>
          <w:tcPr>
            <w:tcW w:w="3212" w:type="dxa"/>
            <w:tcBorders>
              <w:top w:val="single" w:sz="12" w:space="0" w:color="auto"/>
            </w:tcBorders>
          </w:tcPr>
          <w:p w14:paraId="780BBA40"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Потребная площадь</w:t>
            </w:r>
          </w:p>
        </w:tc>
        <w:tc>
          <w:tcPr>
            <w:tcW w:w="3163" w:type="dxa"/>
            <w:tcBorders>
              <w:top w:val="single" w:sz="12" w:space="0" w:color="auto"/>
            </w:tcBorders>
          </w:tcPr>
          <w:p w14:paraId="74F53177"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Наличие</w:t>
            </w:r>
          </w:p>
        </w:tc>
      </w:tr>
      <w:tr w:rsidR="00860B4B" w:rsidRPr="00D03F3E" w14:paraId="1131C52A" w14:textId="77777777">
        <w:tc>
          <w:tcPr>
            <w:tcW w:w="3212" w:type="dxa"/>
          </w:tcPr>
          <w:p w14:paraId="72ECBF11"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Катеросборочный</w:t>
            </w:r>
          </w:p>
        </w:tc>
        <w:tc>
          <w:tcPr>
            <w:tcW w:w="3212" w:type="dxa"/>
          </w:tcPr>
          <w:p w14:paraId="7F6AE449"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2800 кв. м</w:t>
            </w:r>
          </w:p>
        </w:tc>
        <w:tc>
          <w:tcPr>
            <w:tcW w:w="3163" w:type="dxa"/>
          </w:tcPr>
          <w:p w14:paraId="42C4C120"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1130 кв. м</w:t>
            </w:r>
          </w:p>
        </w:tc>
      </w:tr>
      <w:tr w:rsidR="00860B4B" w:rsidRPr="00D03F3E" w14:paraId="50303C22" w14:textId="77777777">
        <w:tc>
          <w:tcPr>
            <w:tcW w:w="3212" w:type="dxa"/>
          </w:tcPr>
          <w:p w14:paraId="3D659C3F"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Кузнечно-пресервый</w:t>
            </w:r>
          </w:p>
        </w:tc>
        <w:tc>
          <w:tcPr>
            <w:tcW w:w="3212" w:type="dxa"/>
          </w:tcPr>
          <w:p w14:paraId="7E27FB5E"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740</w:t>
            </w:r>
          </w:p>
        </w:tc>
        <w:tc>
          <w:tcPr>
            <w:tcW w:w="3163" w:type="dxa"/>
          </w:tcPr>
          <w:p w14:paraId="5EE34739"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w:t>
            </w:r>
          </w:p>
        </w:tc>
      </w:tr>
      <w:tr w:rsidR="00860B4B" w:rsidRPr="00D03F3E" w14:paraId="2BD9C9FD" w14:textId="77777777">
        <w:tc>
          <w:tcPr>
            <w:tcW w:w="3212" w:type="dxa"/>
          </w:tcPr>
          <w:p w14:paraId="657FC9CD"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Чугунно-литейный</w:t>
            </w:r>
          </w:p>
        </w:tc>
        <w:tc>
          <w:tcPr>
            <w:tcW w:w="3212" w:type="dxa"/>
          </w:tcPr>
          <w:p w14:paraId="726DBB6D"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tc>
        <w:tc>
          <w:tcPr>
            <w:tcW w:w="3163" w:type="dxa"/>
          </w:tcPr>
          <w:p w14:paraId="76BC2B65"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w:t>
            </w:r>
          </w:p>
        </w:tc>
      </w:tr>
      <w:tr w:rsidR="00860B4B" w:rsidRPr="00D03F3E" w14:paraId="0065E9B7" w14:textId="77777777">
        <w:tc>
          <w:tcPr>
            <w:tcW w:w="3212" w:type="dxa"/>
          </w:tcPr>
          <w:p w14:paraId="5D26B1F8"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Трубомедницкий</w:t>
            </w:r>
          </w:p>
        </w:tc>
        <w:tc>
          <w:tcPr>
            <w:tcW w:w="3212" w:type="dxa"/>
          </w:tcPr>
          <w:p w14:paraId="308666BD"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tc>
        <w:tc>
          <w:tcPr>
            <w:tcW w:w="3163" w:type="dxa"/>
          </w:tcPr>
          <w:p w14:paraId="2F202CDD"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w:t>
            </w:r>
          </w:p>
        </w:tc>
      </w:tr>
      <w:tr w:rsidR="00860B4B" w:rsidRPr="00D03F3E" w14:paraId="759C73B3" w14:textId="77777777">
        <w:tc>
          <w:tcPr>
            <w:tcW w:w="3212" w:type="dxa"/>
          </w:tcPr>
          <w:p w14:paraId="60C3B345"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Механический</w:t>
            </w:r>
          </w:p>
        </w:tc>
        <w:tc>
          <w:tcPr>
            <w:tcW w:w="3212" w:type="dxa"/>
          </w:tcPr>
          <w:p w14:paraId="4EC15B33"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740</w:t>
            </w:r>
          </w:p>
        </w:tc>
        <w:tc>
          <w:tcPr>
            <w:tcW w:w="3163" w:type="dxa"/>
          </w:tcPr>
          <w:p w14:paraId="6AD4826D"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740</w:t>
            </w:r>
          </w:p>
        </w:tc>
      </w:tr>
      <w:tr w:rsidR="00860B4B" w:rsidRPr="00D03F3E" w14:paraId="73CC1E93" w14:textId="77777777">
        <w:tc>
          <w:tcPr>
            <w:tcW w:w="3212" w:type="dxa"/>
            <w:tcBorders>
              <w:bottom w:val="single" w:sz="12" w:space="0" w:color="auto"/>
            </w:tcBorders>
          </w:tcPr>
          <w:p w14:paraId="0E0F8DA5"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Деревообделочный</w:t>
            </w:r>
          </w:p>
        </w:tc>
        <w:tc>
          <w:tcPr>
            <w:tcW w:w="3212" w:type="dxa"/>
            <w:tcBorders>
              <w:bottom w:val="single" w:sz="12" w:space="0" w:color="auto"/>
            </w:tcBorders>
          </w:tcPr>
          <w:p w14:paraId="05B9B0E9"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w:t>
            </w:r>
          </w:p>
        </w:tc>
        <w:tc>
          <w:tcPr>
            <w:tcW w:w="3163" w:type="dxa"/>
            <w:tcBorders>
              <w:bottom w:val="single" w:sz="12" w:space="0" w:color="auto"/>
            </w:tcBorders>
          </w:tcPr>
          <w:p w14:paraId="3FC49670"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1200</w:t>
            </w:r>
          </w:p>
        </w:tc>
      </w:tr>
    </w:tbl>
    <w:p w14:paraId="78BDF013" w14:textId="77777777" w:rsidR="00C84258" w:rsidRPr="00D03F3E" w:rsidRDefault="00C84258" w:rsidP="00D03F3E">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Оборудование</w:t>
      </w:r>
    </w:p>
    <w:tbl>
      <w:tblPr>
        <w:tblW w:w="0" w:type="auto"/>
        <w:tblInd w:w="5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5" w:type="dxa"/>
          <w:right w:w="55" w:type="dxa"/>
        </w:tblCellMar>
        <w:tblLook w:val="0000" w:firstRow="0" w:lastRow="0" w:firstColumn="0" w:lastColumn="0" w:noHBand="0" w:noVBand="0"/>
      </w:tblPr>
      <w:tblGrid>
        <w:gridCol w:w="4260"/>
        <w:gridCol w:w="2790"/>
        <w:gridCol w:w="2589"/>
      </w:tblGrid>
      <w:tr w:rsidR="00860B4B" w:rsidRPr="00D03F3E" w14:paraId="6FDED44E" w14:textId="77777777">
        <w:tc>
          <w:tcPr>
            <w:tcW w:w="4260" w:type="dxa"/>
            <w:tcBorders>
              <w:top w:val="single" w:sz="12" w:space="0" w:color="auto"/>
            </w:tcBorders>
          </w:tcPr>
          <w:p w14:paraId="29B000B7"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оборудования</w:t>
            </w:r>
          </w:p>
        </w:tc>
        <w:tc>
          <w:tcPr>
            <w:tcW w:w="2790" w:type="dxa"/>
            <w:tcBorders>
              <w:top w:val="single" w:sz="12" w:space="0" w:color="auto"/>
            </w:tcBorders>
          </w:tcPr>
          <w:p w14:paraId="6018310A"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Потреб.</w:t>
            </w:r>
          </w:p>
        </w:tc>
        <w:tc>
          <w:tcPr>
            <w:tcW w:w="2589" w:type="dxa"/>
            <w:tcBorders>
              <w:top w:val="single" w:sz="12" w:space="0" w:color="auto"/>
            </w:tcBorders>
          </w:tcPr>
          <w:p w14:paraId="1B1E2E31"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Наличие</w:t>
            </w:r>
          </w:p>
        </w:tc>
      </w:tr>
      <w:tr w:rsidR="00860B4B" w:rsidRPr="00D03F3E" w14:paraId="1CE95A64" w14:textId="77777777">
        <w:tc>
          <w:tcPr>
            <w:tcW w:w="4260" w:type="dxa"/>
          </w:tcPr>
          <w:p w14:paraId="5283B19D"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Металлорежущие станки</w:t>
            </w:r>
          </w:p>
        </w:tc>
        <w:tc>
          <w:tcPr>
            <w:tcW w:w="2790" w:type="dxa"/>
          </w:tcPr>
          <w:p w14:paraId="2141C8DA"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w:t>
            </w:r>
          </w:p>
        </w:tc>
        <w:tc>
          <w:tcPr>
            <w:tcW w:w="2589" w:type="dxa"/>
          </w:tcPr>
          <w:p w14:paraId="73C30D7D"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tc>
      </w:tr>
      <w:tr w:rsidR="00860B4B" w:rsidRPr="00D03F3E" w14:paraId="365D8AEE" w14:textId="77777777">
        <w:tc>
          <w:tcPr>
            <w:tcW w:w="4260" w:type="dxa"/>
          </w:tcPr>
          <w:p w14:paraId="3F3D6A0C"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Деревообделочные станки</w:t>
            </w:r>
          </w:p>
        </w:tc>
        <w:tc>
          <w:tcPr>
            <w:tcW w:w="2790" w:type="dxa"/>
          </w:tcPr>
          <w:p w14:paraId="321A1F48"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c>
          <w:tcPr>
            <w:tcW w:w="2589" w:type="dxa"/>
          </w:tcPr>
          <w:p w14:paraId="2F2EED97"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tc>
      </w:tr>
      <w:tr w:rsidR="00860B4B" w:rsidRPr="00D03F3E" w14:paraId="20E412D9" w14:textId="77777777">
        <w:tc>
          <w:tcPr>
            <w:tcW w:w="4260" w:type="dxa"/>
          </w:tcPr>
          <w:p w14:paraId="3DA79478"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Кузнечно-прессовое оборудование </w:t>
            </w:r>
          </w:p>
        </w:tc>
        <w:tc>
          <w:tcPr>
            <w:tcW w:w="2790" w:type="dxa"/>
          </w:tcPr>
          <w:p w14:paraId="60F7886C"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tc>
        <w:tc>
          <w:tcPr>
            <w:tcW w:w="2589" w:type="dxa"/>
          </w:tcPr>
          <w:p w14:paraId="1339865B"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r>
      <w:tr w:rsidR="00860B4B" w:rsidRPr="00D03F3E" w14:paraId="57EFD106" w14:textId="77777777">
        <w:tc>
          <w:tcPr>
            <w:tcW w:w="4260" w:type="dxa"/>
          </w:tcPr>
          <w:p w14:paraId="68B3D4BD"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Вагранка</w:t>
            </w:r>
          </w:p>
        </w:tc>
        <w:tc>
          <w:tcPr>
            <w:tcW w:w="2790" w:type="dxa"/>
          </w:tcPr>
          <w:p w14:paraId="55F5428E"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2589" w:type="dxa"/>
          </w:tcPr>
          <w:p w14:paraId="3D073101"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w:t>
            </w:r>
          </w:p>
        </w:tc>
      </w:tr>
      <w:tr w:rsidR="00860B4B" w:rsidRPr="00D03F3E" w14:paraId="5935A9F8" w14:textId="77777777">
        <w:tc>
          <w:tcPr>
            <w:tcW w:w="4260" w:type="dxa"/>
            <w:tcBorders>
              <w:bottom w:val="single" w:sz="12" w:space="0" w:color="auto"/>
            </w:tcBorders>
          </w:tcPr>
          <w:p w14:paraId="2632AEF8"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Печь для цветного литья</w:t>
            </w:r>
          </w:p>
        </w:tc>
        <w:tc>
          <w:tcPr>
            <w:tcW w:w="2790" w:type="dxa"/>
            <w:tcBorders>
              <w:bottom w:val="single" w:sz="12" w:space="0" w:color="auto"/>
            </w:tcBorders>
          </w:tcPr>
          <w:p w14:paraId="016F2721"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2589" w:type="dxa"/>
            <w:tcBorders>
              <w:bottom w:val="single" w:sz="12" w:space="0" w:color="auto"/>
            </w:tcBorders>
          </w:tcPr>
          <w:p w14:paraId="203CD7F6" w14:textId="77777777" w:rsidR="00C84258" w:rsidRPr="00D03F3E"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w:t>
            </w:r>
          </w:p>
        </w:tc>
      </w:tr>
    </w:tbl>
    <w:p w14:paraId="7AC67DD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Рабочая сила.</w:t>
      </w:r>
    </w:p>
    <w:p w14:paraId="2BD7D66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Обеспеченность плана рабочей силой составляла в начале года 12% и в IV квартале – 26%. Причем средний разряд квалификации имеющейся рабочей силы 2,5 вместо 5,2 по плану.</w:t>
      </w:r>
    </w:p>
    <w:p w14:paraId="12486FE8" w14:textId="77777777" w:rsidR="00C84258" w:rsidRPr="00D03F3E" w:rsidRDefault="00C84258" w:rsidP="00D03F3E">
      <w:pPr>
        <w:widowControl w:val="0"/>
        <w:tabs>
          <w:tab w:val="left" w:pos="114"/>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Материально-техническое обеспечение.</w:t>
      </w:r>
    </w:p>
    <w:p w14:paraId="7FF9C5E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Поступление материалов по плану 1942 года практически началось в третьем квартале 1942 года, а основными видами материалов и судового оборудования выпуск судов не обеспечен до сего времени. Так, для выпуска катеров-тральщиков «МСВ-38-Б» до сего времени не имеется: двигателей «ЗИС-5», гребных винтов, двигателей «Л/6-2», гребных валов, генераторов «ПН-28-5», якорей «Холла», цветного литья, листовой латуни, масляных радиаторов и друг[ого]. Выпуск катеров «МО-IV» также до сего времени не обеспечен оборудованием валопроводов, гребными винтами, электрооборудованием и друг.</w:t>
      </w:r>
    </w:p>
    <w:p w14:paraId="2C296E8E" w14:textId="77777777" w:rsidR="00C84258" w:rsidRPr="00D03F3E" w:rsidRDefault="00C84258" w:rsidP="00D03F3E">
      <w:pPr>
        <w:widowControl w:val="0"/>
        <w:tabs>
          <w:tab w:val="left" w:pos="114"/>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Произведенные монтажные работы (фундаменты) приходится переделывать, потому что вместо требующихся по проекту моторов «ГАМ» в декабре заводу присланы моторы «Поккорд».</w:t>
      </w:r>
    </w:p>
    <w:p w14:paraId="4C831660" w14:textId="77777777" w:rsidR="00C84258" w:rsidRPr="00D03F3E" w:rsidRDefault="00C84258" w:rsidP="00D03F3E">
      <w:pPr>
        <w:widowControl w:val="0"/>
        <w:tabs>
          <w:tab w:val="left" w:pos="114"/>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Вместо укрепления верфи и оказания ей необходимой помощи Наркомлес СССР сделал все, чтобы избавиться от этого предприятия и освободиться от ответственности за срыв плана Государственного Комитета Обороны.</w:t>
      </w:r>
    </w:p>
    <w:p w14:paraId="5BFE4414" w14:textId="77777777" w:rsidR="00C84258" w:rsidRPr="00D03F3E" w:rsidRDefault="00C84258" w:rsidP="00D03F3E">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существующих производственных возможностях верфи удалось в 1942 году заложить 4 единицы катеров-охотников «МО-IV» и 6 единиц тральщиков «МСВ-38-</w:t>
      </w:r>
      <w:r w:rsidRPr="00D03F3E">
        <w:rPr>
          <w:rFonts w:ascii="Times New Roman" w:hAnsi="Times New Roman"/>
          <w:color w:val="000000" w:themeColor="text1"/>
          <w:sz w:val="16"/>
          <w:szCs w:val="16"/>
        </w:rPr>
        <w:lastRenderedPageBreak/>
        <w:t>Б». Готовность судов на 1/I-1943 г. составляет «МО-IV» – 38-42%, «МСВ-38-Б» – 14%-23%.</w:t>
      </w:r>
    </w:p>
    <w:p w14:paraId="44869FFD" w14:textId="77777777" w:rsidR="00C84258" w:rsidRPr="00D03F3E" w:rsidRDefault="00C84258" w:rsidP="00D03F3E">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Приняв от Наркомлеса верфь, Наркомсудпром наметил ряд совершенно правильных и неотложных мероприятий. На место была прислана бригада 2-го Государственного проектного института, составившая проект реконструкции завода.</w:t>
      </w:r>
    </w:p>
    <w:p w14:paraId="7BB475E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Зам[еститель] наркома тов. Каплун телеграммой директору завода и крайкому ВКП (б) сообщил, что в ноябре на завод будет прислано 300 чел[овек] квалифицированных рабочих-судостроителей. Фактически же в ноябре-декабре на завод прислан ряд руководящих инженерно-технических работников.</w:t>
      </w:r>
    </w:p>
    <w:p w14:paraId="551B828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к сожалению, дальше этого дела укрепление завода №399 не пошло. Никаких практических мер по выполнению плана реконструкции не принято. Обещанные 300 чел[овек] квалифицированных рабочих не присланы. План на 1943 год приспособляется к существующим производственным возможностям. Возможности же эти, по сути дела, ограничиваются строительством небольшого количества судовых корпусов и для законченного судостроения требуют большой кооперации с другими предприятиями.</w:t>
      </w:r>
    </w:p>
    <w:p w14:paraId="1B6B084D" w14:textId="77777777" w:rsidR="00C84258" w:rsidRPr="00D03F3E" w:rsidRDefault="00C84258" w:rsidP="00D03F3E">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Таким образом, реконструкция и развитие завода №399 откладывается на неопределенное время, без серьезных на то оснований. Между тем по заявлению работников НКПС необходимое заводу №399 оборудование в Наркомате имеется и может быть ему выделено. Потребность [в] строительных материалах, в основном, обеспечивается местными ресурсами. В связи с окончанием в 1-м квартале 1943 г. строительства Красноярского гидролизного завода </w:t>
      </w:r>
      <w:r w:rsidRPr="00D03F3E">
        <w:rPr>
          <w:rFonts w:ascii="Times New Roman" w:hAnsi="Times New Roman"/>
          <w:iCs/>
          <w:color w:val="000000" w:themeColor="text1"/>
          <w:sz w:val="16"/>
          <w:szCs w:val="16"/>
        </w:rPr>
        <w:t>ЕНЛАГ НКВД</w:t>
      </w:r>
      <w:r w:rsidRPr="00D03F3E">
        <w:rPr>
          <w:rFonts w:ascii="Times New Roman" w:hAnsi="Times New Roman"/>
          <w:color w:val="000000" w:themeColor="text1"/>
          <w:sz w:val="16"/>
          <w:szCs w:val="16"/>
        </w:rPr>
        <w:t xml:space="preserve"> имеет возможность осуществить строительные работы.</w:t>
      </w:r>
    </w:p>
    <w:p w14:paraId="742A3F98" w14:textId="77777777" w:rsidR="00C84258" w:rsidRPr="00D03F3E" w:rsidRDefault="00C84258" w:rsidP="00D03F3E">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военного судостроения, необходимость развития завода №399 в мощную судостроительную базу диктуется нуждами народного хозяйства Красноярского края. Енисейское речное пароходство имеет совершенно недостаточные возможности (Судоремзавод) для пополнения своего флота новыми судами. Наличный же флот уже в настоящее время не справляется со все возрастающим грузооборотом в Енисейском водном бассейне. Рост лесной, рыбной и полиметаллической промышленности края (Норильск), особенно в северных районах, также требует большого количества речных судов. Учитывая все эти обстоятельства, крайком ВКП (б) считает совершенно необходимым и неотложным делом проведение следующих мероприятий:</w:t>
      </w:r>
    </w:p>
    <w:p w14:paraId="13D6B15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 1943 г. провести реконструкцию и расширение завода №399 в соответствии с планом военного судостроения и удовлетворением растущих потребностей в судах Енисейского пароходства.</w:t>
      </w:r>
    </w:p>
    <w:p w14:paraId="2E5D371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Путем переброски других заводов создать основной костяк квалифицированных кадров рабочих-судостроителей (250-300 чел[овек]).</w:t>
      </w:r>
    </w:p>
    <w:p w14:paraId="4917057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 кратчайший срок обеспечить материалом и оборудованием строящиеся военные суда, что даст возможность закончить их и освободить стапеля для закладки новых.</w:t>
      </w:r>
    </w:p>
    <w:p w14:paraId="133A2C42" w14:textId="77777777" w:rsidR="00C84258" w:rsidRPr="00D03F3E" w:rsidRDefault="00C84258" w:rsidP="00D03F3E">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Придавая поднятому вопросу большое значение, крайком ВКП (б) просит Вас одобрить предлагаемые мероприятия и поручить НКПС принять необходимые меры к их осуществлению.</w:t>
      </w:r>
    </w:p>
    <w:p w14:paraId="39C09B05" w14:textId="77777777" w:rsidR="00C84258" w:rsidRPr="00D03F3E" w:rsidRDefault="00C84258" w:rsidP="00D03F3E">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Секретарь крайкома ВКП (б) подпись И. Голубев</w:t>
      </w:r>
    </w:p>
    <w:p w14:paraId="2D07EDC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ГАКК. Ф.П-26. Оп.4. Д.1.Л.14-17. Подлинник. Машинопись (11836).</w:t>
      </w:r>
    </w:p>
    <w:p w14:paraId="2438BDE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DA6159"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67D554A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1E0CF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группа английских специалистов посетила ГШАП. Задавали вопросы М.Смильскому, Ф.Тюленеву, А.Бородину, капитану И.Докукину (на счету которого было 15 танков, 110 автомашин, 7 самолетов - погиб 8 июля 1943 под Курском). Были и показательные стрельбы РС. Получилось хорошо, а пушки били еще точнее. Назвали Ил-2 hedgehoppers, отметили простоту конструкции и надежность шасси. Хвалили бронекорпус (124,34).</w:t>
      </w:r>
    </w:p>
    <w:p w14:paraId="61E37E2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6C4B4D"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в испытательный центр в Рехлине поступили три Ю87Э-3, главной особенностью которых являлась установка под крылом двух 37-мм пушек ВК 3.7 с бо</w:t>
      </w:r>
      <w:r w:rsidRPr="00D03F3E">
        <w:rPr>
          <w:rFonts w:ascii="Times New Roman" w:hAnsi="Times New Roman"/>
          <w:color w:val="000000" w:themeColor="text1"/>
          <w:sz w:val="16"/>
          <w:szCs w:val="16"/>
        </w:rPr>
        <w:softHyphen/>
        <w:t>екомплектом по 12 снарядов. Крыльевые пулеметы и бомбовое вооружение отсут</w:t>
      </w:r>
      <w:r w:rsidRPr="00D03F3E">
        <w:rPr>
          <w:rFonts w:ascii="Times New Roman" w:hAnsi="Times New Roman"/>
          <w:color w:val="000000" w:themeColor="text1"/>
          <w:sz w:val="16"/>
          <w:szCs w:val="16"/>
        </w:rPr>
        <w:softHyphen/>
        <w:t>ствовали. Бронирование самолета было ослаблено. В отличие от стандартного Ю870-3 на противотанковом «юнкерсе» отсутствовало бронирование стрелка, цен- тропланных бензобаков и водорадиатора. Зато толщина задней бронеспинки летчика была увеличена до 20 мм. В остальном бронирование машины осталось без из</w:t>
      </w:r>
      <w:r w:rsidRPr="00D03F3E">
        <w:rPr>
          <w:rFonts w:ascii="Times New Roman" w:hAnsi="Times New Roman"/>
          <w:color w:val="000000" w:themeColor="text1"/>
          <w:sz w:val="16"/>
          <w:szCs w:val="16"/>
        </w:rPr>
        <w:softHyphen/>
        <w:t>менений. Штурмовик получил обозначение Ю87С-1.</w:t>
      </w:r>
    </w:p>
    <w:p w14:paraId="2891C9B4"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испытаниях Ю87С-1 показал себя медлительным и очень неповоротливым, что делало машину идеальной мишенью для истребителей. Максимальная ско</w:t>
      </w:r>
      <w:r w:rsidRPr="00D03F3E">
        <w:rPr>
          <w:rFonts w:ascii="Times New Roman" w:hAnsi="Times New Roman"/>
          <w:color w:val="000000" w:themeColor="text1"/>
          <w:sz w:val="16"/>
          <w:szCs w:val="16"/>
        </w:rPr>
        <w:softHyphen/>
        <w:t>рость самолета снизилась на 30-40 км/ч. Ю870-1 уже не пикировал (хотя на про</w:t>
      </w:r>
      <w:r w:rsidRPr="00D03F3E">
        <w:rPr>
          <w:rFonts w:ascii="Times New Roman" w:hAnsi="Times New Roman"/>
          <w:color w:val="000000" w:themeColor="text1"/>
          <w:sz w:val="16"/>
          <w:szCs w:val="16"/>
        </w:rPr>
        <w:softHyphen/>
        <w:t>ходивших испытания опытных машинах имелись тормозные щитки), атака целей производилась с планирования под углами не более 10-12°. Кроме этого, по пока</w:t>
      </w:r>
      <w:r w:rsidRPr="00D03F3E">
        <w:rPr>
          <w:rFonts w:ascii="Times New Roman" w:hAnsi="Times New Roman"/>
          <w:color w:val="000000" w:themeColor="text1"/>
          <w:sz w:val="16"/>
          <w:szCs w:val="16"/>
        </w:rPr>
        <w:softHyphen/>
        <w:t>заниям пленных немецких летчиков ввод в планирование был затруднительным. Затруднительным было и прицеливание вследствие плохой путевой устойчивости самолета, обусловленной аэродинамиче</w:t>
      </w:r>
      <w:r w:rsidRPr="00D03F3E">
        <w:rPr>
          <w:rFonts w:ascii="Times New Roman" w:hAnsi="Times New Roman"/>
          <w:color w:val="000000" w:themeColor="text1"/>
          <w:sz w:val="16"/>
          <w:szCs w:val="16"/>
        </w:rPr>
        <w:softHyphen/>
        <w:t>ским влиянием пушечных установок, боль</w:t>
      </w:r>
      <w:r w:rsidRPr="00D03F3E">
        <w:rPr>
          <w:rFonts w:ascii="Times New Roman" w:hAnsi="Times New Roman"/>
          <w:color w:val="000000" w:themeColor="text1"/>
          <w:sz w:val="16"/>
          <w:szCs w:val="16"/>
        </w:rPr>
        <w:softHyphen/>
        <w:t>шими разнесенными массами (вес одной пушки с лафетом без магазина и снарядов составлял 473 кг).</w:t>
      </w:r>
    </w:p>
    <w:p w14:paraId="7BF3B443"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Пушки ВК 3.7 имели довольно невы</w:t>
      </w:r>
      <w:r w:rsidRPr="00D03F3E">
        <w:rPr>
          <w:rFonts w:ascii="Times New Roman" w:hAnsi="Times New Roman"/>
          <w:color w:val="000000" w:themeColor="text1"/>
          <w:sz w:val="16"/>
          <w:szCs w:val="16"/>
        </w:rPr>
        <w:softHyphen/>
        <w:t>сокую скорострельность и низкую надеж</w:t>
      </w:r>
      <w:r w:rsidRPr="00D03F3E">
        <w:rPr>
          <w:rFonts w:ascii="Times New Roman" w:hAnsi="Times New Roman"/>
          <w:color w:val="000000" w:themeColor="text1"/>
          <w:sz w:val="16"/>
          <w:szCs w:val="16"/>
        </w:rPr>
        <w:softHyphen/>
        <w:t>ность автоматики. По немецким данным пушка имела скорострельность до 70 вы</w:t>
      </w:r>
      <w:r w:rsidRPr="00D03F3E">
        <w:rPr>
          <w:rFonts w:ascii="Times New Roman" w:hAnsi="Times New Roman"/>
          <w:color w:val="000000" w:themeColor="text1"/>
          <w:sz w:val="16"/>
          <w:szCs w:val="16"/>
        </w:rPr>
        <w:softHyphen/>
        <w:t>стрелов в минуту. Однако по данным НИИ ВВС КА вследствие недоведенности авто</w:t>
      </w:r>
      <w:r w:rsidRPr="00D03F3E">
        <w:rPr>
          <w:rFonts w:ascii="Times New Roman" w:hAnsi="Times New Roman"/>
          <w:color w:val="000000" w:themeColor="text1"/>
          <w:sz w:val="16"/>
          <w:szCs w:val="16"/>
        </w:rPr>
        <w:softHyphen/>
        <w:t>матики пушки ее боевая скорострельность ограничивалась в среднем одним выстре</w:t>
      </w:r>
      <w:r w:rsidRPr="00D03F3E">
        <w:rPr>
          <w:rFonts w:ascii="Times New Roman" w:hAnsi="Times New Roman"/>
          <w:color w:val="000000" w:themeColor="text1"/>
          <w:sz w:val="16"/>
          <w:szCs w:val="16"/>
        </w:rPr>
        <w:softHyphen/>
        <w:t>лом в две секунды. Низкая же практическая скорострельность самих пушек приводила к весьма ограниченному числу выстрелов (не более двух) в одной атаке.</w:t>
      </w:r>
    </w:p>
    <w:p w14:paraId="4F575F2E"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Положение усугублялось еще и силь</w:t>
      </w:r>
      <w:r w:rsidRPr="00D03F3E">
        <w:rPr>
          <w:rFonts w:ascii="Times New Roman" w:hAnsi="Times New Roman"/>
          <w:color w:val="000000" w:themeColor="text1"/>
          <w:sz w:val="16"/>
          <w:szCs w:val="16"/>
        </w:rPr>
        <w:softHyphen/>
        <w:t>ной отдачей пушек при стрельбе в воздухе и спецификой размещения их на машине. Вследствие этих причин штурмовик испы</w:t>
      </w:r>
      <w:r w:rsidRPr="00D03F3E">
        <w:rPr>
          <w:rFonts w:ascii="Times New Roman" w:hAnsi="Times New Roman"/>
          <w:color w:val="000000" w:themeColor="text1"/>
          <w:sz w:val="16"/>
          <w:szCs w:val="16"/>
        </w:rPr>
        <w:softHyphen/>
        <w:t>тывал сильный пикирующий момент, воз</w:t>
      </w:r>
      <w:r w:rsidRPr="00D03F3E">
        <w:rPr>
          <w:rFonts w:ascii="Times New Roman" w:hAnsi="Times New Roman"/>
          <w:color w:val="000000" w:themeColor="text1"/>
          <w:sz w:val="16"/>
          <w:szCs w:val="16"/>
        </w:rPr>
        <w:softHyphen/>
        <w:t>никала раскачка самолета в продольной плоскости при стрельбе в воздухе. Удер</w:t>
      </w:r>
      <w:r w:rsidRPr="00D03F3E">
        <w:rPr>
          <w:rFonts w:ascii="Times New Roman" w:hAnsi="Times New Roman"/>
          <w:color w:val="000000" w:themeColor="text1"/>
          <w:sz w:val="16"/>
          <w:szCs w:val="16"/>
        </w:rPr>
        <w:softHyphen/>
        <w:t>живание линии визирования на цели во время стрельбы по наземным целям и ввод поправок в прицеливание было задачей практически невыполнимой. Поэтому при</w:t>
      </w:r>
      <w:r w:rsidRPr="00D03F3E">
        <w:rPr>
          <w:rFonts w:ascii="Times New Roman" w:hAnsi="Times New Roman"/>
          <w:color w:val="000000" w:themeColor="text1"/>
          <w:sz w:val="16"/>
          <w:szCs w:val="16"/>
        </w:rPr>
        <w:softHyphen/>
        <w:t>цельным мог быть только первый выстрел.</w:t>
      </w:r>
    </w:p>
    <w:p w14:paraId="65EB56D4"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Специальный подкалиберный снаряд к ВК 3.7, имея при стрельбе в воздухе на</w:t>
      </w:r>
      <w:r w:rsidRPr="00D03F3E">
        <w:rPr>
          <w:rFonts w:ascii="Times New Roman" w:hAnsi="Times New Roman"/>
          <w:color w:val="000000" w:themeColor="text1"/>
          <w:sz w:val="16"/>
          <w:szCs w:val="16"/>
        </w:rPr>
        <w:softHyphen/>
        <w:t>чальную скорость около 1170 м/с (по дан</w:t>
      </w:r>
      <w:r w:rsidRPr="00D03F3E">
        <w:rPr>
          <w:rFonts w:ascii="Times New Roman" w:hAnsi="Times New Roman"/>
          <w:color w:val="000000" w:themeColor="text1"/>
          <w:sz w:val="16"/>
          <w:szCs w:val="16"/>
        </w:rPr>
        <w:softHyphen/>
        <w:t>ным НИИ ВВС КА), с дистанции до 400 м мог пробить броню толщиной до 52 мм при угле встречи 0°. А вот стандартный бро</w:t>
      </w:r>
      <w:r w:rsidRPr="00D03F3E">
        <w:rPr>
          <w:rFonts w:ascii="Times New Roman" w:hAnsi="Times New Roman"/>
          <w:color w:val="000000" w:themeColor="text1"/>
          <w:sz w:val="16"/>
          <w:szCs w:val="16"/>
        </w:rPr>
        <w:softHyphen/>
        <w:t>небойный снаряд из боекомплекта к этой пушке таким результатом похвастаться не мог - с 400 м при угле встречи 0° снаряд пробивал только 40-мм броню и «трид</w:t>
      </w:r>
      <w:r w:rsidRPr="00D03F3E">
        <w:rPr>
          <w:rFonts w:ascii="Times New Roman" w:hAnsi="Times New Roman"/>
          <w:color w:val="000000" w:themeColor="text1"/>
          <w:sz w:val="16"/>
          <w:szCs w:val="16"/>
        </w:rPr>
        <w:softHyphen/>
        <w:t>цатьчетверки» всех типов не поражались при атаках с любого направления!</w:t>
      </w:r>
    </w:p>
    <w:p w14:paraId="106EEB2B"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Подкалиберный снаряд мог пробить броню башни Т-34-76 только при стрельбе с дистанции не более 180 м, а бортовую 40-мм броню - не более 400 м. Однако время ведения эффективной стрельбы составляло 1,3 сек и 4,4 с, соответствен</w:t>
      </w:r>
      <w:r w:rsidRPr="00D03F3E">
        <w:rPr>
          <w:rFonts w:ascii="Times New Roman" w:hAnsi="Times New Roman"/>
          <w:color w:val="000000" w:themeColor="text1"/>
          <w:sz w:val="16"/>
          <w:szCs w:val="16"/>
        </w:rPr>
        <w:softHyphen/>
        <w:t>но (минимально допустимая высота для маневра на выводе 15-20 м, дистанция прекращения огня около 90 м). То есть, «эффективным» при поражении башни мог быть лишь один снаряд, а при поражении борта - максимум два снаряда, что, как известно, недостаточно для надежного вы</w:t>
      </w:r>
      <w:r w:rsidRPr="00D03F3E">
        <w:rPr>
          <w:rFonts w:ascii="Times New Roman" w:hAnsi="Times New Roman"/>
          <w:color w:val="000000" w:themeColor="text1"/>
          <w:sz w:val="16"/>
          <w:szCs w:val="16"/>
        </w:rPr>
        <w:softHyphen/>
        <w:t>ведения танка из строя.</w:t>
      </w:r>
    </w:p>
    <w:p w14:paraId="0A409688"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Поражение танка Т-34-85, имевшего усиленное бронирование, при атаке с боку не обеспечивалось при любых дистанциях стрельбы. При атаке сзади поражение Т-34-85 было возможным только в случае попадания снаряда в заднюю часть башни с дистанций до 400 м. Попадания в над- моторную броню и крышу башни «трид</w:t>
      </w:r>
      <w:r w:rsidRPr="00D03F3E">
        <w:rPr>
          <w:rFonts w:ascii="Times New Roman" w:hAnsi="Times New Roman"/>
          <w:color w:val="000000" w:themeColor="text1"/>
          <w:sz w:val="16"/>
          <w:szCs w:val="16"/>
        </w:rPr>
        <w:softHyphen/>
        <w:t>цатьчетверок» с любых дистанций давали сплошные рикошеты.</w:t>
      </w:r>
    </w:p>
    <w:p w14:paraId="6ADBA4F0"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Оценки показывают, что для гаранти</w:t>
      </w:r>
      <w:r w:rsidRPr="00D03F3E">
        <w:rPr>
          <w:rFonts w:ascii="Times New Roman" w:hAnsi="Times New Roman"/>
          <w:color w:val="000000" w:themeColor="text1"/>
          <w:sz w:val="16"/>
          <w:szCs w:val="16"/>
        </w:rPr>
        <w:softHyphen/>
        <w:t>рованного поражения советской «трид</w:t>
      </w:r>
      <w:r w:rsidRPr="00D03F3E">
        <w:rPr>
          <w:rFonts w:ascii="Times New Roman" w:hAnsi="Times New Roman"/>
          <w:color w:val="000000" w:themeColor="text1"/>
          <w:sz w:val="16"/>
          <w:szCs w:val="16"/>
        </w:rPr>
        <w:softHyphen/>
        <w:t>цатьчетверки» на поле боя требовался наряд сил в полсотни Ю870...</w:t>
      </w:r>
    </w:p>
    <w:p w14:paraId="07537A9C"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 есть, успешное применение пушеч</w:t>
      </w:r>
      <w:r w:rsidRPr="00D03F3E">
        <w:rPr>
          <w:rFonts w:ascii="Times New Roman" w:hAnsi="Times New Roman"/>
          <w:color w:val="000000" w:themeColor="text1"/>
          <w:sz w:val="16"/>
          <w:szCs w:val="16"/>
        </w:rPr>
        <w:softHyphen/>
        <w:t>ного Ю870 на поле боя было возможным лишь в руках высококлассного пилота и только в условиях слабого зенитного и ис</w:t>
      </w:r>
      <w:r w:rsidRPr="00D03F3E">
        <w:rPr>
          <w:rFonts w:ascii="Times New Roman" w:hAnsi="Times New Roman"/>
          <w:color w:val="000000" w:themeColor="text1"/>
          <w:sz w:val="16"/>
          <w:szCs w:val="16"/>
        </w:rPr>
        <w:softHyphen/>
        <w:t>требительного противодействия.</w:t>
      </w:r>
    </w:p>
    <w:p w14:paraId="28936A0C"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целый «букет» недостат</w:t>
      </w:r>
      <w:r w:rsidRPr="00D03F3E">
        <w:rPr>
          <w:rFonts w:ascii="Times New Roman" w:hAnsi="Times New Roman"/>
          <w:color w:val="000000" w:themeColor="text1"/>
          <w:sz w:val="16"/>
          <w:szCs w:val="16"/>
        </w:rPr>
        <w:softHyphen/>
        <w:t>ков 870-1, испытания были признаны успешными, и был сделан вывод о целе</w:t>
      </w:r>
      <w:r w:rsidRPr="00D03F3E">
        <w:rPr>
          <w:rFonts w:ascii="Times New Roman" w:hAnsi="Times New Roman"/>
          <w:color w:val="000000" w:themeColor="text1"/>
          <w:sz w:val="16"/>
          <w:szCs w:val="16"/>
        </w:rPr>
        <w:softHyphen/>
        <w:t>сообразности его боевого использования.</w:t>
      </w:r>
    </w:p>
    <w:p w14:paraId="3A580AC1"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завершения испытаний с пушечных «юнкерсов» сняли бомбодер</w:t>
      </w:r>
      <w:r w:rsidRPr="00D03F3E">
        <w:rPr>
          <w:rFonts w:ascii="Times New Roman" w:hAnsi="Times New Roman"/>
          <w:color w:val="000000" w:themeColor="text1"/>
          <w:sz w:val="16"/>
          <w:szCs w:val="16"/>
        </w:rPr>
        <w:softHyphen/>
        <w:t>жатели, и для проведения войсковых испытаний на фронте, сформировали специальную противотанковую группу «РапгегуегзисНзкоттапйо» во главе с гауптманом Штеппом (12728).</w:t>
      </w:r>
    </w:p>
    <w:p w14:paraId="5EA15106" w14:textId="77777777" w:rsidR="002F5AD4" w:rsidRPr="00D03F3E" w:rsidRDefault="002F5AD4" w:rsidP="00D03F3E">
      <w:pPr>
        <w:spacing w:after="0" w:line="240" w:lineRule="auto"/>
        <w:jc w:val="both"/>
        <w:rPr>
          <w:rFonts w:ascii="Times New Roman" w:hAnsi="Times New Roman"/>
          <w:color w:val="000000" w:themeColor="text1"/>
          <w:sz w:val="16"/>
          <w:szCs w:val="16"/>
        </w:rPr>
      </w:pPr>
    </w:p>
    <w:p w14:paraId="6DAE34E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штурман полярной авиации Валентин Иванович Аккуратов добился перевода в действующую армию. Его прибытие в 45-ю авиадивизию АДД совпало с возвращением в боевой строй самолета АНТ-42 "дублер". Аккуратов много раз летал штурманом на этом самолете, который обычно использовали в качестве самолета-осветителя, то есть самолета, летящего впереди основного соединения бомбардировщиков: "Нелегко было нам обнаруживать цели, тем более, ночью. Не случайно же в состав экипажа самолета-осветителя вводили наиболее опытных штурманов, которые всегда точно выходили на цель и развешивали над ней "люстры" из десятков стокилограммовых бомб. На их свет и выходили бомбардировщики с фугасными и термитными бомбами.</w:t>
      </w:r>
    </w:p>
    <w:p w14:paraId="4F2FBCE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Что только не делал противник, пытаясь укрыть от нас свои объекты! Если до Курской битвы, заслышав издалека гул моторов наших машин, он открывал плотный огонь и включал десятки прожекторов (а это и помогало нам выйти на цель!), то теперь нацисты таились до тех пор, пока на цель не обрушивались контрольные бомбы. Тут-то нервы у гитлеровцев не выдерживали, и они открывали беспорядочную пальбу. А осветитель, убедившись, что цель найдена, ходил над нею, увертываясь от прожекторов и зенитных снарядов и методично, в строго назначенное время вывешивал до сорока светящихся бомб - этого вполне хватало для обеспечения работы всех бомбардировщиков. А после операции экипаж осветителя должен был проверить результаты бомбежки и сфотографировать объект, обработанный летчиками.</w:t>
      </w:r>
    </w:p>
    <w:p w14:paraId="756F056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остальные самолеты находились в зоне огня полторы - две минуты, то осветитель висел над целью до 45 мин. Я покривил бы душой, если бы взялся утверждать, что экипажи встречали штурмана-осветите- ля с энтузиазмом. Что таить, один такой полет приравнивался к 10-15 "обычным" боевым. Но подобные задания у нас считались почетными, и пилоты гордились ими как признанием их высокой подготовки и доблести.</w:t>
      </w:r>
    </w:p>
    <w:p w14:paraId="3F2EC9D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Опытные, обстрелянные летчики привыкали к зенитному огню и уверенно маневрировали среди разрывов снарядов. Но когда противник вдруг прекращал стрельбу, а прожекторы начинали особо яро охотиться за нашими машинами, становилось тревожно - ясно, что в бой вступали истребители противника. Уходя от них, пилоты бросали тяжелые машины то в пикирование, при котором в барабанные перепонки впивалась дикая боль, то в сумасшедшие боевые развороты, когда казалось, вот-вот оторвется крыло или хвост. Невероятно, но тридцатитонный бомбардировщик, вибрируя и дрожа от резких эволюций, стрельбы своих пушек и пулеметов, выдерживал все эти нагрузки и ускользал в спасительный мрак.</w:t>
      </w:r>
    </w:p>
    <w:p w14:paraId="0102D29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Страшную, но захватывающую картину представлял со стороны бой с истребителями противника, подкрадывавшимися к нам с хвоста. Огонь скорострельных пушек и крупнокалиберных пулеметов заставлял нацистских летчиков отступить либо срезал хищника.</w:t>
      </w:r>
    </w:p>
    <w:p w14:paraId="6454CFC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в короткие летние ночи, возвращаясь домой, мы обычно забирались на солидную высоту и, включив автопилот, наблюдали за попытками летчиков Люфтваффе настигнуть нас. Как правило, на высоте 8-8,5 тыс. м они срывались в штопор - сказывалась разреженность атмосферы. В те времена мы и понятия не имели о высотных скафандрах, без которых в наши дни немыс- в годы войны под лим полет на больших высотах. Нас выруча- маскировочными сетями ли утепленные комбинезоны и те же кислородные маски, но любое движение сбивало дыхание, сразу же темнело в глазах, наступала апатия. Впрочем, и фашистским летчикам было не легче, и мы иной раз, заметив их машины, спорили, на какой высоте "свалится" та или иная.</w:t>
      </w:r>
    </w:p>
    <w:p w14:paraId="24B2F91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Кстати, уходили мы на высоту еще и потому, что огонь малокалиберной артиллерии, сопровождавший нас до линии фронта, там был неэффективен, а крупнокалиберные батареи мы обходили стороной.</w:t>
      </w:r>
    </w:p>
    <w:p w14:paraId="010B458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этом случае мы надевали кислородные маски. В кабине такая же температура, что и за бортом, то есть -20°С, а то и все -40°С. Когда же мы забирались на 7 тыс. м, термометр показывал -55°С. Маски, и без того неудобные, быстро обрастали сосульками, которые приходилось постоянно обламывать, чтобы не мешали дышать, а это отвлекало от наблюдения за обстановкой в воздухе. Кроме того, штурману и второму пилоту приходилось то и дело окликать стрелков, чтобы те не заснули навеки от кислородного голодания, сидя поодиночке в тесных кабинах".</w:t>
      </w:r>
    </w:p>
    <w:p w14:paraId="2876C87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Забегая вперед, то есть задолго до окончания полной истории создания Пе-8, приведем несколько выдержек дневниковых записей Валентина Ивановича Аккуратова за 1943 год.</w:t>
      </w:r>
    </w:p>
    <w:p w14:paraId="6FF4A20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Сегодня ходили на Кенигсберг. Прорвались нормально, но в 100 км от объекта неожиданно встретили фронт циклона. С высоты 7 тыс. м снизились над целью до 500 м, но облачность не пробили. По- видимому, она простиралась до земли, а калибр наших бомб не позволял бросать их ниже 500 м, поскольку был риск попасть под свои же осколки. Зенитный огонь был слабым, истребители в такую погоду не летали, и мы ушли на запасную цель, где и отбомбились. Все самолеты вернулись на базу.</w:t>
      </w:r>
    </w:p>
    <w:p w14:paraId="16F9632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Получили задание вновь бомбить военные объекты Кенигсберга. Циклон прошел. Очень интересен огонь крупнокалиберных зениток. Цель поражена. Полет занял 9 ч. 20 мин. Вернулись без потерь.</w:t>
      </w:r>
    </w:p>
    <w:p w14:paraId="785E18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14-15 апреля. Бомбили объекты в Данциге - порт и заводы. Много прожекторов, значит, в воздухе находились их истребители. Дважды попадали в лучи прожекторов, и нашим стрелкам - подшассийным и башенным - пришлось немало поработать, отражая атаки противника. Все самолеты вернулись на базу. Летали около 10 ч, из них 6 ч на высоте 6 тыс.м.</w:t>
      </w:r>
    </w:p>
    <w:p w14:paraId="4CD903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20 апреля. Бомбили военные объекты и скопления войск в Тильзите. Море огня, взрывы эшелонов с боеприпасами, огненные трассы зенитных автоматов, ослепительные лучи прожекторов - все это напоминает описание ада у Данте. Все самолеты вернулись на базы. </w:t>
      </w:r>
    </w:p>
    <w:p w14:paraId="3C5D62F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Продолжаем уничтожать военные объекты в Восточной Пруссии. Сегодня бомбили Инстербург. Налет был массированным, кроме нашей дивизии, нель обрабатывало около 200 средних бомбардировщиков. От многочисленных пожаров внизу стало светло, как днем, - отчетливо просматривалась станция с пылающими эшелонами, улицы, заводы. Запах гари проникал даже в самолет... На базу не вернулся один бомбардировщик.</w:t>
      </w:r>
    </w:p>
    <w:p w14:paraId="65AAA5F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Сегодня опять ходили на Кенигсберг. Наш самолет, по прозвищу "Борода", хоть и не серийный, но быстроходнее и легче остальных, пришел на 20 мин раньше товарищей, чтобы обнаружить цель и развесить над нею осветительные бомбы на парашютах.</w:t>
      </w:r>
    </w:p>
    <w:p w14:paraId="5EAD3DA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После налета на Кенигсберг были атакованы группой истребителей. Отстреливаясь, ушли в облака, куда они сунуться не рискнули, видимо, опасаясь столкнуться друг с другом. Уже на подходе к линии фронта, снижаясь в облаках, неожиданно напоролись на сильный заградительный огонь. Вырвались, резко меняя курсы и высоту, но все же получили несколько осколочных пробоин. Обидно за книгу - эпос "Калевала", которую урывками читал на обратном пути, - осколки снаряда пробили ее в нескольких местах, а один, пронзив том, содрал у меня кожу со лба и расцарапал шлемофон (эту книгу, списанную из дивизионной библиотеки, я храню по сей день - как- никак. но она спасла мне жизнь).</w:t>
      </w:r>
    </w:p>
    <w:p w14:paraId="372342D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Ходили на Брест - там разведка обнаружила скопление танков и тяжелой артиллерии. Очевидно, фрицы не ожидали появления здесь нашей дальней авиации - зенитки и прожекторы бездействовали. После массированного налета эшелоны превратились в месиво огня и дыма, которое мы, уходя, видели за 120-140 км.</w:t>
      </w:r>
    </w:p>
    <w:p w14:paraId="5EC78EF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5, 10, 12 мая. Все ночи напролет громим эшелоны на железнодорожных узлах. Не нужно быть стратегом, чтобы по расположению целей понять, что готовится очередное грандиозное наступление. И тщетно фашисты пытаются замаскировать свою технику - мы находим ее в любых условиях.</w:t>
      </w:r>
    </w:p>
    <w:p w14:paraId="28C46C4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секрет прост - противник сам наводил нас на цели. Однажды в ясную, но безлунную ночь, идя над вражеской территорией, мы заметили на черном бархате затаившейся земли вспыхивающие огни. Присмотревшись, поняли, что вспышки соответствуют знакам азбуки Морзе. То были свето- маяки, установленные у крупных населенных пунктов и у естественных ориентиров. Каждый маяк давал вспышки из двух определенных букв, которые менялись раз в десять дней. Перенеся эти данные на карту, наши штурманы быстро и точно выводили свои корабли на заданную цель. Помогали нам чужие огни и при возвращении, особенно на подбитой машине, когда штурманы </w:t>
      </w:r>
    </w:p>
    <w:p w14:paraId="127BA64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каждым боевым вылетом росло наше мастерство и понимание тактики врага. К примеру, если год назад мы с опаской думали о том, как бы не встретить над целью аэростаты заграждения, то теперь, отбомбившись, искали их, чтобы сжечь огнем тяжелых пулеметов. Ведь эти аэростаты представляли для нас серьезную угрозу, - обычно спаренные, они поднимали стальной трос на 6 тыс. м. Невидимые в ночи, да еше увешанные электромагнитными дистанционными минами, они были для нас куда опаснее зенитной артиллерии: Вот почему наши стрелки столь беспощадно разделывались с их серебристыми тушами.</w:t>
      </w:r>
    </w:p>
    <w:p w14:paraId="2CA5F51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успехе боевого вылета огромную роль играло знание штурманами фактической погоды над территорией врага. В частности, необходимо было иметь представление о нижней границе облачности над целью. Однако карты, которые мы получали от синоптиков, были прогностическими, расчетными. До войны было иначе - сводки погоды поступали к синоптикам со всей Европы, и их прогнозы были более или менее точными. С войной поступление такой информации прекратилось. А положение усугублялось тем, что погода над оккупированной нацистами Европой формировалась под воздействием воздушных масс, движущихся с запада и северо-запада (со стороны Бельгии, Голландии и Норвегии, захваченных гитлеровцами еще в 1940 году). Поэтому доразведку погоды пришлось возложить на экипаж самолета-осветителя. Выйдя на цель за полчаса до появления основной массы бомбардировщиков, он передавал на базу сводку, а та сообщала ее штурманам машин, идущих на цель с интервалом в 5-Ю мин. Выпускать разведчика раньше было нежелательно, так как в этом случае терялся фактор внезапности и противник успевал привести в готовность противовоздушную оборону.</w:t>
      </w:r>
    </w:p>
    <w:p w14:paraId="75B929C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и здесь нам помогала самоуверенность нацистов. Дело в том, что их аэродромные станции методически передавали для летчиков Люфтваффе сводки погоды на ультракоротких волнах по международному метеокоду. А его отлично знали летчики полярной авиации, работавшие до войны на разведке ледовой обстановки в Арктике. Хотя дальность действия этих радиостанций была небольшой, но это не мешало нам получать полную картину погоды над целью" (12025).</w:t>
      </w:r>
    </w:p>
    <w:p w14:paraId="5B84CC1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96D166" w14:textId="77777777" w:rsidR="00B51AAB" w:rsidRPr="00D03F3E" w:rsidRDefault="00B51AA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начале 1943 г. эскадрильи коррек</w:t>
      </w:r>
      <w:r w:rsidRPr="00D03F3E">
        <w:rPr>
          <w:rFonts w:ascii="Times New Roman" w:cs="Times New Roman"/>
          <w:color w:val="000000" w:themeColor="text1"/>
          <w:spacing w:val="0"/>
        </w:rPr>
        <w:softHyphen/>
        <w:t>тировочно-разведывательной авиации были сведены в корректировочно-раз</w:t>
      </w:r>
      <w:r w:rsidRPr="00D03F3E">
        <w:rPr>
          <w:rFonts w:ascii="Times New Roman" w:cs="Times New Roman"/>
          <w:color w:val="000000" w:themeColor="text1"/>
          <w:spacing w:val="0"/>
        </w:rPr>
        <w:softHyphen/>
        <w:t>ведывательные авиаполки (по три эска</w:t>
      </w:r>
      <w:r w:rsidRPr="00D03F3E">
        <w:rPr>
          <w:rFonts w:ascii="Times New Roman" w:cs="Times New Roman"/>
          <w:color w:val="000000" w:themeColor="text1"/>
          <w:spacing w:val="0"/>
        </w:rPr>
        <w:softHyphen/>
        <w:t>дрильи в каждом) (15762).</w:t>
      </w:r>
    </w:p>
    <w:p w14:paraId="04EBE244" w14:textId="77777777" w:rsidR="00B51AAB" w:rsidRPr="00D03F3E" w:rsidRDefault="00B51AAB" w:rsidP="00D03F3E">
      <w:pPr>
        <w:pStyle w:val="27"/>
        <w:shd w:val="clear" w:color="auto" w:fill="auto"/>
        <w:spacing w:after="0" w:line="240" w:lineRule="auto"/>
        <w:ind w:firstLine="0"/>
        <w:rPr>
          <w:rFonts w:ascii="Times New Roman" w:cs="Times New Roman"/>
          <w:color w:val="000000" w:themeColor="text1"/>
          <w:spacing w:val="0"/>
        </w:rPr>
      </w:pPr>
    </w:p>
    <w:p w14:paraId="6854049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СССР начал получать через Иран Спитфайры V и всего поставили 143 (173,255).</w:t>
      </w:r>
    </w:p>
    <w:p w14:paraId="7A42314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68A79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нечеловеческие усилия всего советского народа, и в ча</w:t>
      </w:r>
      <w:r w:rsidRPr="00D03F3E">
        <w:rPr>
          <w:rFonts w:ascii="Times New Roman" w:hAnsi="Times New Roman"/>
          <w:color w:val="000000" w:themeColor="text1"/>
          <w:sz w:val="16"/>
          <w:szCs w:val="16"/>
        </w:rPr>
        <w:softHyphen/>
        <w:t>стности танкостроителей, предпринятые в 1942 г. в СССР, привели к тому, что в Красной Армии были уже не только танковые бригады и отдельные танковые кор</w:t>
      </w:r>
      <w:r w:rsidRPr="00D03F3E">
        <w:rPr>
          <w:rFonts w:ascii="Times New Roman" w:hAnsi="Times New Roman"/>
          <w:color w:val="000000" w:themeColor="text1"/>
          <w:sz w:val="16"/>
          <w:szCs w:val="16"/>
        </w:rPr>
        <w:softHyphen/>
        <w:t>пуса, но уже были сформированы две танковые армии, 24 танковых и 8 механизированных корпусов, а также боль</w:t>
      </w:r>
      <w:r w:rsidRPr="00D03F3E">
        <w:rPr>
          <w:rFonts w:ascii="Times New Roman" w:hAnsi="Times New Roman"/>
          <w:color w:val="000000" w:themeColor="text1"/>
          <w:sz w:val="16"/>
          <w:szCs w:val="16"/>
        </w:rPr>
        <w:softHyphen/>
        <w:t>шое количество танковых бригад, полков и батальонов, предназначенных для совместных действий с пехотой.</w:t>
      </w:r>
    </w:p>
    <w:p w14:paraId="41F2140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Начавшаяся программа массового строительства само-ходно-артиллерийских установок привела к тому, что остро требовалось штатное расписание по комплектованию САУ пехоты и танковых войск. Уже упоминалось, что ввиду проблем с выпуском СУ-76 принятый в конце 1942 г. штат № 08/158, предусматривавший формирование САП в со</w:t>
      </w:r>
      <w:r w:rsidRPr="00D03F3E">
        <w:rPr>
          <w:rFonts w:ascii="Times New Roman" w:hAnsi="Times New Roman"/>
          <w:color w:val="000000" w:themeColor="text1"/>
          <w:sz w:val="16"/>
          <w:szCs w:val="16"/>
        </w:rPr>
        <w:softHyphen/>
        <w:t>ставе 307 чел. и 25 САУ - 17 СУ-76 и 8 СУ-122, был пере</w:t>
      </w:r>
      <w:r w:rsidRPr="00D03F3E">
        <w:rPr>
          <w:rFonts w:ascii="Times New Roman" w:hAnsi="Times New Roman"/>
          <w:color w:val="000000" w:themeColor="text1"/>
          <w:sz w:val="16"/>
          <w:szCs w:val="16"/>
        </w:rPr>
        <w:softHyphen/>
        <w:t>смотрен. С января 1943 г. вводился штат № 08/191, предусматривавший состав самоходно-артиллерийского полка из пяти батарей, каждая по 4 орудия, в том числе 12 СУ-122 и 8 СУ-76 при общей численности 289 человек.</w:t>
      </w:r>
    </w:p>
    <w:p w14:paraId="7EF68DD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Тогда же для усиления огневой мощи танкового корпу</w:t>
      </w:r>
      <w:r w:rsidRPr="00D03F3E">
        <w:rPr>
          <w:rFonts w:ascii="Times New Roman" w:hAnsi="Times New Roman"/>
          <w:color w:val="000000" w:themeColor="text1"/>
          <w:sz w:val="16"/>
          <w:szCs w:val="16"/>
        </w:rPr>
        <w:softHyphen/>
        <w:t>са, крайне необходимой в наступлении, в его штат был включен и самоходно-артиллерийский полк, сформиро</w:t>
      </w:r>
      <w:r w:rsidRPr="00D03F3E">
        <w:rPr>
          <w:rFonts w:ascii="Times New Roman" w:hAnsi="Times New Roman"/>
          <w:color w:val="000000" w:themeColor="text1"/>
          <w:sz w:val="16"/>
          <w:szCs w:val="16"/>
        </w:rPr>
        <w:softHyphen/>
        <w:t>ванный по штату № 08/158 или же № 08/191.</w:t>
      </w:r>
    </w:p>
    <w:p w14:paraId="53ACF16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Также уже говорилось, что весной 1943 г. самоходная ар</w:t>
      </w:r>
      <w:r w:rsidRPr="00D03F3E">
        <w:rPr>
          <w:rFonts w:ascii="Times New Roman" w:hAnsi="Times New Roman"/>
          <w:color w:val="000000" w:themeColor="text1"/>
          <w:sz w:val="16"/>
          <w:szCs w:val="16"/>
        </w:rPr>
        <w:softHyphen/>
        <w:t>тиллерия была передана танковым войскам, и тогда же в Красной Армии начали формировать тяжелые самоходно-артиллерийские полки резерва Верховного главнокомандо</w:t>
      </w:r>
      <w:r w:rsidRPr="00D03F3E">
        <w:rPr>
          <w:rFonts w:ascii="Times New Roman" w:hAnsi="Times New Roman"/>
          <w:color w:val="000000" w:themeColor="text1"/>
          <w:sz w:val="16"/>
          <w:szCs w:val="16"/>
        </w:rPr>
        <w:softHyphen/>
        <w:t>вания на СУ-152, для которых был разработан штат № 08/218 (361 человек, 12 СУ-152). Предполагалось, что тяжелые САП РВГК будут применяться для качественного усиления танко</w:t>
      </w:r>
      <w:r w:rsidRPr="00D03F3E">
        <w:rPr>
          <w:rFonts w:ascii="Times New Roman" w:hAnsi="Times New Roman"/>
          <w:color w:val="000000" w:themeColor="text1"/>
          <w:sz w:val="16"/>
          <w:szCs w:val="16"/>
        </w:rPr>
        <w:softHyphen/>
        <w:t>вых и пехотных частей и соединений на главных направлени</w:t>
      </w:r>
      <w:r w:rsidRPr="00D03F3E">
        <w:rPr>
          <w:rFonts w:ascii="Times New Roman" w:hAnsi="Times New Roman"/>
          <w:color w:val="000000" w:themeColor="text1"/>
          <w:sz w:val="16"/>
          <w:szCs w:val="16"/>
        </w:rPr>
        <w:softHyphen/>
        <w:t>ях в качестве артиллерии усиления. Самоходные установки должны были применяться преимущественно для ведения огня с закрытых позиций, в особо ответственные моменты переводя их непосредственно в боевые порядки войск для сокрушения вражеских укреплений, срыва наступления тан</w:t>
      </w:r>
      <w:r w:rsidRPr="00D03F3E">
        <w:rPr>
          <w:rFonts w:ascii="Times New Roman" w:hAnsi="Times New Roman"/>
          <w:color w:val="000000" w:themeColor="text1"/>
          <w:sz w:val="16"/>
          <w:szCs w:val="16"/>
        </w:rPr>
        <w:softHyphen/>
        <w:t>ков противника и борьбы с подходящими резервами.</w:t>
      </w:r>
    </w:p>
    <w:p w14:paraId="2CB7184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Первое применение боевых и учебных самоходно-ар-тиллерийских полков смешанного типа, сформированных по штатам № 08/158 и 08/191, выявило большие организа</w:t>
      </w:r>
      <w:r w:rsidRPr="00D03F3E">
        <w:rPr>
          <w:rFonts w:ascii="Times New Roman" w:hAnsi="Times New Roman"/>
          <w:color w:val="000000" w:themeColor="text1"/>
          <w:sz w:val="16"/>
          <w:szCs w:val="16"/>
        </w:rPr>
        <w:softHyphen/>
        <w:t>ционные недостатки. Поскольку в полках имелись САУ различных типов не только по вооружению, но и по типам применяемых ГСМ, создавались большие трудности орга</w:t>
      </w:r>
      <w:r w:rsidRPr="00D03F3E">
        <w:rPr>
          <w:rFonts w:ascii="Times New Roman" w:hAnsi="Times New Roman"/>
          <w:color w:val="000000" w:themeColor="text1"/>
          <w:sz w:val="16"/>
          <w:szCs w:val="16"/>
        </w:rPr>
        <w:softHyphen/>
        <w:t>низации похода и боя, при проведении ремонта. Для устра</w:t>
      </w:r>
      <w:r w:rsidRPr="00D03F3E">
        <w:rPr>
          <w:rFonts w:ascii="Times New Roman" w:hAnsi="Times New Roman"/>
          <w:color w:val="000000" w:themeColor="text1"/>
          <w:sz w:val="16"/>
          <w:szCs w:val="16"/>
        </w:rPr>
        <w:softHyphen/>
        <w:t xml:space="preserve">нения этих недостатков требовалось комплектование САП однотипной матчастью, что </w:t>
      </w:r>
      <w:r w:rsidRPr="00D03F3E">
        <w:rPr>
          <w:rFonts w:ascii="Times New Roman" w:hAnsi="Times New Roman"/>
          <w:color w:val="000000" w:themeColor="text1"/>
          <w:sz w:val="16"/>
          <w:szCs w:val="16"/>
        </w:rPr>
        <w:lastRenderedPageBreak/>
        <w:t>начали выполнять с апреля 1943 г. Теперь полки, получающие на вооружение СУ-122, формировались по штату № 010/453 (255 чел, 16 СУ-122 и 1 Т-34), самоходно-артиллерийские полки СУ-76 формиро</w:t>
      </w:r>
      <w:r w:rsidRPr="00D03F3E">
        <w:rPr>
          <w:rFonts w:ascii="Times New Roman" w:hAnsi="Times New Roman"/>
          <w:color w:val="000000" w:themeColor="text1"/>
          <w:sz w:val="16"/>
          <w:szCs w:val="16"/>
        </w:rPr>
        <w:softHyphen/>
        <w:t>вались по штату № 010/456 (253 человека и 21 САУ или 20 САУ и танк Т-70) и состояли из пяти батарей, а также под</w:t>
      </w:r>
      <w:r w:rsidRPr="00D03F3E">
        <w:rPr>
          <w:rFonts w:ascii="Times New Roman" w:hAnsi="Times New Roman"/>
          <w:color w:val="000000" w:themeColor="text1"/>
          <w:sz w:val="16"/>
          <w:szCs w:val="16"/>
        </w:rPr>
        <w:softHyphen/>
        <w:t>разделения обеспечения. Тяжелые же САП РВГК перево</w:t>
      </w:r>
      <w:r w:rsidRPr="00D03F3E">
        <w:rPr>
          <w:rFonts w:ascii="Times New Roman" w:hAnsi="Times New Roman"/>
          <w:color w:val="000000" w:themeColor="text1"/>
          <w:sz w:val="16"/>
          <w:szCs w:val="16"/>
        </w:rPr>
        <w:softHyphen/>
        <w:t>дились на штат № 010/454, отличавшийся от предыдущего добавлением танка КВ-1С для командира полка и легкого бронеавтомобиля разведки и связи (11417).</w:t>
      </w:r>
    </w:p>
    <w:p w14:paraId="072C07C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344EC4" w14:textId="77777777" w:rsidR="00097269"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54BE8261" w14:textId="77777777" w:rsidR="00097269" w:rsidRPr="00D03F3E" w:rsidRDefault="00097269"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9CA087" w14:textId="77777777" w:rsidR="00097269" w:rsidRPr="00D03F3E" w:rsidRDefault="000972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года ВЦСПС с единодушного одобрения всех центральных комитетов профсоюзов принял решение о сдаче бюджетных остатков от 1942 года на строительство танковых колонн и самолетных соединений.</w:t>
      </w:r>
    </w:p>
    <w:p w14:paraId="32C713FD" w14:textId="77777777" w:rsidR="00097269" w:rsidRPr="00D03F3E" w:rsidRDefault="000972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Президиумом ЦК союза на эту цель было передано 5 миллионов 275 тысяч рублей (15496).</w:t>
      </w:r>
    </w:p>
    <w:p w14:paraId="1A56AC8D" w14:textId="77777777" w:rsidR="00097269" w:rsidRPr="00D03F3E" w:rsidRDefault="00097269" w:rsidP="00D03F3E">
      <w:pPr>
        <w:spacing w:after="0" w:line="240" w:lineRule="auto"/>
        <w:jc w:val="both"/>
        <w:rPr>
          <w:rFonts w:ascii="Times New Roman" w:hAnsi="Times New Roman"/>
          <w:color w:val="000000" w:themeColor="text1"/>
          <w:sz w:val="16"/>
          <w:szCs w:val="16"/>
        </w:rPr>
      </w:pPr>
    </w:p>
    <w:p w14:paraId="0A265652"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7BCA4AF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F60F29" w14:textId="77777777" w:rsidR="00FA6BDE" w:rsidRPr="00D03F3E" w:rsidRDefault="00FA6BDE" w:rsidP="00D03F3E">
      <w:pPr>
        <w:pStyle w:val="1151"/>
        <w:shd w:val="clear" w:color="auto" w:fill="auto"/>
        <w:spacing w:before="0" w:line="240" w:lineRule="auto"/>
        <w:rPr>
          <w:rFonts w:ascii="Times New Roman" w:hAnsi="Times New Roman" w:cs="Times New Roman"/>
          <w:color w:val="0070C0"/>
          <w:sz w:val="16"/>
          <w:szCs w:val="16"/>
        </w:rPr>
      </w:pPr>
      <w:r w:rsidRPr="00D03F3E">
        <w:rPr>
          <w:rFonts w:ascii="Times New Roman" w:hAnsi="Times New Roman" w:cs="Times New Roman"/>
          <w:color w:val="0070C0"/>
          <w:sz w:val="16"/>
          <w:szCs w:val="16"/>
        </w:rPr>
        <w:t xml:space="preserve">В начале 1943 года Мессершмитт снова попытался муссировать идею ответного удара по Америке. Но теперь Гитлер заявил, что демонстративная акция лишь «усилит волю народа противника к сопротивлению». Разработка атомной бомбы затормозилась, и в мае на фирму по телетайпу пришел приказ о прекращении работ по Ме264. </w:t>
      </w:r>
      <w:r w:rsidRPr="00D03F3E">
        <w:rPr>
          <w:rFonts w:ascii="Times New Roman" w:hAnsi="Times New Roman" w:cs="Times New Roman"/>
          <w:color w:val="0070C0"/>
          <w:sz w:val="16"/>
          <w:szCs w:val="16"/>
          <w:lang w:val="ru-RU"/>
        </w:rPr>
        <w:t>8</w:t>
      </w:r>
      <w:r w:rsidRPr="00D03F3E">
        <w:rPr>
          <w:rFonts w:ascii="Times New Roman" w:hAnsi="Times New Roman" w:cs="Times New Roman"/>
          <w:color w:val="0070C0"/>
          <w:sz w:val="16"/>
          <w:szCs w:val="16"/>
        </w:rPr>
        <w:t xml:space="preserve"> июня Гитлер лично распорядился делать модификацию Ме264 для поддержки действий подводного флота, но 10-го числа ведавший снабжением Люфтваффе генерал Мильх своим приказом перевел самолет в разряд экспериментальных, что автоматически лишало его госфинансирования и крайне затрудняло запланированную модернизацию первой машины: Me264V1 поставили на доработку 11 августа 1943 года, а облетан с новыми звездообразными моторами BMW801 он был только 16 апреля 1944 года</w:t>
      </w:r>
      <w:r w:rsidRPr="00D03F3E">
        <w:rPr>
          <w:rFonts w:ascii="Times New Roman" w:hAnsi="Times New Roman" w:cs="Times New Roman"/>
          <w:color w:val="0070C0"/>
          <w:sz w:val="16"/>
          <w:szCs w:val="16"/>
          <w:lang w:val="ru-RU"/>
        </w:rPr>
        <w:t xml:space="preserve"> (22883)</w:t>
      </w:r>
      <w:r w:rsidRPr="00D03F3E">
        <w:rPr>
          <w:rFonts w:ascii="Times New Roman" w:hAnsi="Times New Roman" w:cs="Times New Roman"/>
          <w:color w:val="0070C0"/>
          <w:sz w:val="16"/>
          <w:szCs w:val="16"/>
        </w:rPr>
        <w:t>.</w:t>
      </w:r>
    </w:p>
    <w:p w14:paraId="6EB04F57" w14:textId="77777777" w:rsidR="00FA6BDE" w:rsidRPr="00D03F3E" w:rsidRDefault="00FA6BDE" w:rsidP="00D03F3E">
      <w:pPr>
        <w:pStyle w:val="1151"/>
        <w:shd w:val="clear" w:color="auto" w:fill="auto"/>
        <w:spacing w:before="0" w:line="240" w:lineRule="auto"/>
        <w:rPr>
          <w:rFonts w:ascii="Times New Roman" w:hAnsi="Times New Roman" w:cs="Times New Roman"/>
          <w:color w:val="0070C0"/>
          <w:sz w:val="16"/>
          <w:szCs w:val="16"/>
        </w:rPr>
      </w:pPr>
    </w:p>
    <w:p w14:paraId="7CE0A653" w14:textId="77777777" w:rsidR="00FA6BDE" w:rsidRPr="00D03F3E" w:rsidRDefault="00FA6BDE" w:rsidP="00D03F3E">
      <w:pPr>
        <w:pStyle w:val="1151"/>
        <w:shd w:val="clear" w:color="auto" w:fill="auto"/>
        <w:spacing w:before="0" w:line="240" w:lineRule="auto"/>
        <w:rPr>
          <w:rFonts w:ascii="Times New Roman" w:hAnsi="Times New Roman" w:cs="Times New Roman"/>
          <w:color w:val="0070C0"/>
          <w:sz w:val="16"/>
          <w:szCs w:val="16"/>
        </w:rPr>
      </w:pPr>
      <w:r w:rsidRPr="00D03F3E">
        <w:rPr>
          <w:rFonts w:ascii="Times New Roman" w:hAnsi="Times New Roman" w:cs="Times New Roman"/>
          <w:color w:val="0070C0"/>
          <w:sz w:val="16"/>
          <w:szCs w:val="16"/>
          <w:lang w:val="ru-RU"/>
        </w:rPr>
        <w:t xml:space="preserve">В </w:t>
      </w:r>
      <w:r w:rsidRPr="00D03F3E">
        <w:rPr>
          <w:rFonts w:ascii="Times New Roman" w:hAnsi="Times New Roman" w:cs="Times New Roman"/>
          <w:color w:val="0070C0"/>
          <w:sz w:val="16"/>
          <w:szCs w:val="16"/>
        </w:rPr>
        <w:t>начале 1943 г. в серию пошел дальний разведчик Bf-110G-3. Он получил одну фотокамеру Rb 50/30 или Rb 70/30, пушки при этом снимались, под консолями крыла подвешивались два 300-л бака. Существовал вариант Bf-110G-3/R3, когда четыре носовых пулемета MG-17 заменялись двумя пушками MK-108</w:t>
      </w:r>
      <w:r w:rsidRPr="00D03F3E">
        <w:rPr>
          <w:rFonts w:ascii="Times New Roman" w:hAnsi="Times New Roman" w:cs="Times New Roman"/>
          <w:color w:val="0070C0"/>
          <w:sz w:val="16"/>
          <w:szCs w:val="16"/>
          <w:lang w:val="ru-RU"/>
        </w:rPr>
        <w:t xml:space="preserve"> (22894)</w:t>
      </w:r>
      <w:r w:rsidRPr="00D03F3E">
        <w:rPr>
          <w:rFonts w:ascii="Times New Roman" w:hAnsi="Times New Roman" w:cs="Times New Roman"/>
          <w:color w:val="0070C0"/>
          <w:sz w:val="16"/>
          <w:szCs w:val="16"/>
        </w:rPr>
        <w:t>.</w:t>
      </w:r>
    </w:p>
    <w:p w14:paraId="5159C9BE" w14:textId="77777777" w:rsidR="00FA6BDE" w:rsidRPr="00D03F3E" w:rsidRDefault="00FA6BDE" w:rsidP="00D03F3E">
      <w:pPr>
        <w:pStyle w:val="1151"/>
        <w:shd w:val="clear" w:color="auto" w:fill="auto"/>
        <w:spacing w:before="0" w:line="240" w:lineRule="auto"/>
        <w:rPr>
          <w:rFonts w:ascii="Times New Roman" w:hAnsi="Times New Roman" w:cs="Times New Roman"/>
          <w:color w:val="0070C0"/>
          <w:sz w:val="16"/>
          <w:szCs w:val="16"/>
        </w:rPr>
      </w:pPr>
    </w:p>
    <w:p w14:paraId="1AAC1638" w14:textId="77777777" w:rsidR="00E834AC" w:rsidRPr="00D03F3E" w:rsidRDefault="00E834AC" w:rsidP="00D03F3E">
      <w:pPr>
        <w:pStyle w:val="book"/>
        <w:ind w:firstLine="0"/>
        <w:jc w:val="both"/>
        <w:rPr>
          <w:color w:val="000000" w:themeColor="text1"/>
          <w:sz w:val="16"/>
          <w:szCs w:val="16"/>
        </w:rPr>
      </w:pPr>
      <w:r w:rsidRPr="00D03F3E">
        <w:rPr>
          <w:color w:val="000000" w:themeColor="text1"/>
          <w:sz w:val="16"/>
          <w:szCs w:val="16"/>
        </w:rPr>
        <w:t>С начала 1943 г. бомбардировщики Do-217, базировавшиеся на аэродроме близ Марселя, начали применять воздушные торпеды по наземным целям на Мальте, а также по английским конвоям. Воздушными торпедами «Фриц-Х» было потоплено несколько торговых судов и конвойных кораблей. Но звездным часом «Фрица» стало потопление «Ромы» (15225).</w:t>
      </w:r>
    </w:p>
    <w:p w14:paraId="56DD264D" w14:textId="77777777" w:rsidR="00E834AC" w:rsidRPr="00D03F3E" w:rsidRDefault="00E834AC" w:rsidP="00D03F3E">
      <w:pPr>
        <w:pStyle w:val="book"/>
        <w:ind w:firstLine="0"/>
        <w:jc w:val="both"/>
        <w:rPr>
          <w:color w:val="000000" w:themeColor="text1"/>
          <w:sz w:val="16"/>
          <w:szCs w:val="16"/>
        </w:rPr>
      </w:pPr>
    </w:p>
    <w:p w14:paraId="7D134E81" w14:textId="77777777" w:rsidR="00E834AC" w:rsidRPr="00D03F3E" w:rsidRDefault="00E834A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началу 1943 года была закончена проработка конструкции ракеты и двигательной установки, но надежной системы наведения не было. Ее пришлось разрабатывать самостоятельно конструкторам Вассерфаля. В ее основе была система наведения по радиолучу. Наземный радиолокато засвечивал цель, а бортовое оборудование ракеты управляло рулями таким образом, чтобы продольная ось ракеты оставалась параллельна радиолучу. Однако немцам не удалось добиться надежной работы электроники, хотя сама идея была революционной (15139).</w:t>
      </w:r>
    </w:p>
    <w:p w14:paraId="68B7B8B3" w14:textId="77777777" w:rsidR="00E834AC" w:rsidRPr="00D03F3E" w:rsidRDefault="00E834AC" w:rsidP="00D03F3E">
      <w:pPr>
        <w:spacing w:after="0" w:line="240" w:lineRule="auto"/>
        <w:jc w:val="both"/>
        <w:rPr>
          <w:rFonts w:ascii="Times New Roman" w:hAnsi="Times New Roman"/>
          <w:color w:val="000000" w:themeColor="text1"/>
          <w:sz w:val="16"/>
          <w:szCs w:val="16"/>
        </w:rPr>
      </w:pPr>
    </w:p>
    <w:p w14:paraId="6B35A56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шесть Ме 163Ва1, оснащенных двумя пушками МВ 151 калибра 30 мм поступили в 16-ю испытательную команду E.Kdo.16, которая сначала базировалась в Пенемюнде, а затем в Бад-Цвишенане, отрабатывая тактику боевого применения (3973,21).</w:t>
      </w:r>
    </w:p>
    <w:p w14:paraId="0416923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F349B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года испытания вертолета Ра 223 продолжились. Их целью было исследование работы Ра 223 на ре</w:t>
      </w:r>
      <w:r w:rsidRPr="00D03F3E">
        <w:rPr>
          <w:rFonts w:ascii="Times New Roman" w:hAnsi="Times New Roman"/>
          <w:color w:val="000000" w:themeColor="text1"/>
          <w:sz w:val="16"/>
          <w:szCs w:val="16"/>
        </w:rPr>
        <w:softHyphen/>
        <w:t>жиме авторотации. В одном из полетов впервые на втулке несущего винта вер</w:t>
      </w:r>
      <w:r w:rsidRPr="00D03F3E">
        <w:rPr>
          <w:rFonts w:ascii="Times New Roman" w:hAnsi="Times New Roman"/>
          <w:color w:val="000000" w:themeColor="text1"/>
          <w:sz w:val="16"/>
          <w:szCs w:val="16"/>
        </w:rPr>
        <w:softHyphen/>
        <w:t>толета была установлена кинокамера для регистрации махового движения ло</w:t>
      </w:r>
      <w:r w:rsidRPr="00D03F3E">
        <w:rPr>
          <w:rFonts w:ascii="Times New Roman" w:hAnsi="Times New Roman"/>
          <w:color w:val="000000" w:themeColor="text1"/>
          <w:sz w:val="16"/>
          <w:szCs w:val="16"/>
        </w:rPr>
        <w:softHyphen/>
        <w:t>пастей и вторая кинокамера - на при</w:t>
      </w:r>
      <w:r w:rsidRPr="00D03F3E">
        <w:rPr>
          <w:rFonts w:ascii="Times New Roman" w:hAnsi="Times New Roman"/>
          <w:color w:val="000000" w:themeColor="text1"/>
          <w:sz w:val="16"/>
          <w:szCs w:val="16"/>
        </w:rPr>
        <w:softHyphen/>
        <w:t>борной доске. Полет, к несчастью, закончился катастрофой, повлекшей за собой гибель инженера-испытателя Гейнца Бара. Выполнив автоматичес</w:t>
      </w:r>
      <w:r w:rsidRPr="00D03F3E">
        <w:rPr>
          <w:rFonts w:ascii="Times New Roman" w:hAnsi="Times New Roman"/>
          <w:color w:val="000000" w:themeColor="text1"/>
          <w:sz w:val="16"/>
          <w:szCs w:val="16"/>
        </w:rPr>
        <w:softHyphen/>
        <w:t>кие переходы на режиме самовраще</w:t>
      </w:r>
      <w:r w:rsidRPr="00D03F3E">
        <w:rPr>
          <w:rFonts w:ascii="Times New Roman" w:hAnsi="Times New Roman"/>
          <w:color w:val="000000" w:themeColor="text1"/>
          <w:sz w:val="16"/>
          <w:szCs w:val="16"/>
        </w:rPr>
        <w:softHyphen/>
        <w:t>ния при скоростях 40, 60, 80 и 100 км/ч, пилот попытался произвести пе</w:t>
      </w:r>
      <w:r w:rsidRPr="00D03F3E">
        <w:rPr>
          <w:rFonts w:ascii="Times New Roman" w:hAnsi="Times New Roman"/>
          <w:color w:val="000000" w:themeColor="text1"/>
          <w:sz w:val="16"/>
          <w:szCs w:val="16"/>
        </w:rPr>
        <w:softHyphen/>
        <w:t>реход при скорости 140 км/ч на высо</w:t>
      </w:r>
      <w:r w:rsidRPr="00D03F3E">
        <w:rPr>
          <w:rFonts w:ascii="Times New Roman" w:hAnsi="Times New Roman"/>
          <w:color w:val="000000" w:themeColor="text1"/>
          <w:sz w:val="16"/>
          <w:szCs w:val="16"/>
        </w:rPr>
        <w:softHyphen/>
        <w:t>те 1500 м. Однако маневр не удался: вертолет из-за разрушения правого пилона начал падать. Карл Боде поки</w:t>
      </w:r>
      <w:r w:rsidRPr="00D03F3E">
        <w:rPr>
          <w:rFonts w:ascii="Times New Roman" w:hAnsi="Times New Roman"/>
          <w:color w:val="000000" w:themeColor="text1"/>
          <w:sz w:val="16"/>
          <w:szCs w:val="16"/>
        </w:rPr>
        <w:softHyphen/>
        <w:t>нул вертолет на парашюте, когда ап</w:t>
      </w:r>
      <w:r w:rsidRPr="00D03F3E">
        <w:rPr>
          <w:rFonts w:ascii="Times New Roman" w:hAnsi="Times New Roman"/>
          <w:color w:val="000000" w:themeColor="text1"/>
          <w:sz w:val="16"/>
          <w:szCs w:val="16"/>
        </w:rPr>
        <w:softHyphen/>
        <w:t>парат потерял 700 м высоты, а инже</w:t>
      </w:r>
      <w:r w:rsidRPr="00D03F3E">
        <w:rPr>
          <w:rFonts w:ascii="Times New Roman" w:hAnsi="Times New Roman"/>
          <w:color w:val="000000" w:themeColor="text1"/>
          <w:sz w:val="16"/>
          <w:szCs w:val="16"/>
        </w:rPr>
        <w:softHyphen/>
        <w:t>нер-испытатель не смог выбраться из кабины (11401).</w:t>
      </w:r>
    </w:p>
    <w:p w14:paraId="40603BF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E8383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года Геббельс был вынужден признать: «Из-за войны на Востоке мы значительно лишились превосходства в воздухе над Европой и теперь, по меньшей мере в этом отношении, сдались на милость англичан» (11688).</w:t>
      </w:r>
    </w:p>
    <w:p w14:paraId="55C22BA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11F8B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начала 1943 Zbrojovka в Чехословакии наладила выпуск 78 мм РС (8-см Sprenggranate) - доработанных российских РС-82. РС у немцев были на вооружении с 1936. Снаряды М-8 и М-13 были захвачены в марта 1942. У немецкого 8-см Spr было косонаправленное оперение (2 гр), что улучшило кучность и 6 шашек чешского пороха вместо 5. В 1942 сделали и пусковую на 24 РС на базе полугусеничного БТР Sd Kfz 4/1 Maultier, в котором возили еще один боекомплект. Армия отказалась и в небольших количествах использовались СС. В 1941 и 1942 было разработано еще два поколения РС и 21 и 30 см, применявшиеся с августа 1942 в наземных войсках и в авиации на FW-190 A-4/R-6 и копировались в СССР после войны, а в 1943 - и 15 см на базе М-13 (3815).</w:t>
      </w:r>
    </w:p>
    <w:p w14:paraId="6D805EA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BBE709"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739B314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BEC8D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начала 1943 г. по апрель 1944 г., когда совершил первый полет самолет Ил-10 АМ-42, Су-6 М-71Ф являлся лучшим советским бронированным штурмовиком. Надо полагать, что при наличии крупнока</w:t>
      </w:r>
      <w:r w:rsidRPr="00D03F3E">
        <w:rPr>
          <w:rFonts w:ascii="Times New Roman" w:hAnsi="Times New Roman"/>
          <w:color w:val="000000" w:themeColor="text1"/>
          <w:sz w:val="16"/>
          <w:szCs w:val="16"/>
        </w:rPr>
        <w:softHyphen/>
        <w:t>либерного пушечного вооружения он мог бы стать по-настоящему эффективным (5011).</w:t>
      </w:r>
    </w:p>
    <w:p w14:paraId="692AA0D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682FD2"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EFF401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4B748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зимы и весны 1943-го в ОКБ параллельно разрабатывались сразу два варианта новой машины: штурмовик-бомбардировщик с дальностью полета около 1100 км и разведчик-корректировщик с несколько меньшими полетной массой и дальностью полета, но с более мощным радиосвязным оборудованием. В остальном оба самолета различий практически не имели.</w:t>
      </w:r>
    </w:p>
    <w:p w14:paraId="56C2FAC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целью быстрейшего запуска нового штурмовика в серийное производство его компоновочная схема, площадь крыла и конструктивные решения многих узлов и агрегатов остались такими же, как и на Ил-2 АМ-38Ф, но по многим своим геометрическим параметрам (длина фюзеляжа, площади оперения, рулей и т. д.) и конструкции новая машина являлась совершенно новым самолетом.</w:t>
      </w:r>
    </w:p>
    <w:p w14:paraId="111C39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сравнению с Ил-2 АМ-38Ф Ил-8-й, также как и упоминавшийся выше Ил-2М АМ-42, имел несколько большие размеры.</w:t>
      </w:r>
    </w:p>
    <w:p w14:paraId="02C68D5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Внешняя аэродинамика штурмовика Ил-8, в сравнении с Ил-2, была улучшена: масляный радиатор поместили рядом с водяным в воздушном канале, который был выполнен по типу самолета Ил-2, всасывающий патрубок мотора на новом штурмовике расположили на левом борту фюзеляжа.</w:t>
      </w:r>
    </w:p>
    <w:p w14:paraId="1629B4C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целью повышения продольной устойчивости и улучшения управляемости крыло самолета было смещено назад. Было введено взлетное положение щитков.</w:t>
      </w:r>
    </w:p>
    <w:p w14:paraId="5908EC2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Бронирование Ил-8-го было усилено. Мотор с агрегатами, водяной и масляный радиатор прикрывались броней толщиной 4 и б мм.</w:t>
      </w:r>
    </w:p>
    <w:p w14:paraId="46590F1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Кабина пилота имела броню толщиной 4, б, 7 и 8 мм. Со стороны задней полусферы летчик защищался бронеплитой толщиной 8 мм, а спереди - 62-мм прозрачным бронестеклом. Сверху на фонаре кабины пилота устанавливались бронелисты толщиной б и 8 мм.</w:t>
      </w:r>
    </w:p>
    <w:p w14:paraId="61A53E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Штурман-стрелок, в отличие от Ил-2, был полностью забронирован. С боков его защищали бронелисты толщиной 5 и б мм, а со стороны задней полусферы - 12-мм бронеплита площадью 1,07 м2. Общий вес металлической брони на штурмовике (без узлов крепления) составил 1110 кг.</w:t>
      </w:r>
    </w:p>
    <w:p w14:paraId="1B55B75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Снизу фюзеляжа для входа в кабину штурмана-стрелка был сделан люк. Лонжероны крыла нового штурмовика были металлические, обшивка - дюралюминовая.</w:t>
      </w:r>
    </w:p>
    <w:p w14:paraId="4268859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Хвостовая часть на первом экземпляре нового штурмовика выполнялась деревянной, а на втором - металлической.</w:t>
      </w:r>
    </w:p>
    <w:p w14:paraId="3ED9AFA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Стрелково-пушечное вооружение первого экземпляра Ил-8 состояло из двух пушек ВЯ с боезапасом по 150 снарядов на ствол и двух пулеметов ШКАС, имевших боекомплект на 1500 патронов.</w:t>
      </w:r>
    </w:p>
    <w:p w14:paraId="40352DB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втором экземпляре Ил-8 устанавливалось металлическое крыло с двумя пулеметами ШКАС и двумя пушками НС-37.</w:t>
      </w:r>
    </w:p>
    <w:p w14:paraId="5327328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Новый штурмовик отличался в лучшую сторону от обычного Ил-2 АМ-38Ф еще и правильным размещением пушек на самолете. Последние устанавливались на Ил-8-м ближе к оси самолета на том месте, где на Ил-2 размещались пулеметы ШКАС.</w:t>
      </w:r>
    </w:p>
    <w:p w14:paraId="21CA1A3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Пулеметы же, наоборот, ставились там, где обычно устанавливались пушки. Сами же пушки целиком размещались в крыле штурмовика.</w:t>
      </w:r>
    </w:p>
    <w:p w14:paraId="615D950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центроплане крыла Ил-8 АМ-42 располагались 4 бомбоотсека, размеры которых допускали размещение внутри самолета 600 кг нормального бомбового груза. При этом мелкие авиабомбы укладывались в эти отсеки на створки бомболюков как в бункера.</w:t>
      </w:r>
    </w:p>
    <w:p w14:paraId="5E2A81C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сбрасывания бомб створки люков закрывались с помощью пружин. Два наружных держателя позволяли подвешивать бомбы массой от 50 до 500 кг.</w:t>
      </w:r>
    </w:p>
    <w:p w14:paraId="1FC1D2D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Бомбовая нагрузка нового штурмовика в перегрузочном варианте на внутренних и наружных держателях достигала 1000 кг. То есть, была такой же как и у основного </w:t>
      </w:r>
      <w:r w:rsidRPr="00D03F3E">
        <w:rPr>
          <w:rFonts w:ascii="Times New Roman" w:hAnsi="Times New Roman"/>
          <w:color w:val="000000" w:themeColor="text1"/>
          <w:sz w:val="16"/>
          <w:szCs w:val="16"/>
        </w:rPr>
        <w:lastRenderedPageBreak/>
        <w:t>фронтового бомбардировщика ВВС КА того времени Пе-2, но при существенно лучшей броневой защите.</w:t>
      </w:r>
    </w:p>
    <w:p w14:paraId="69C32FC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Нормальная же бомбовая нагрузка самолета Ил-8 в варианте с пушками НС-37 ограничивалась 400 кг, в перегрузку - 1000 кг (две бомбы ФАБ-500).</w:t>
      </w:r>
    </w:p>
    <w:p w14:paraId="000C56F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Оборонительное вооружение самолетов состояло из пулемета УБК (три магазина по 50 патронов) на турели ВУ-8 с увеличенными углами обстрела (вверх - 48°, вниз с бортов -13°, вправо - 60°,влево - 65°).</w:t>
      </w:r>
    </w:p>
    <w:p w14:paraId="7471C0C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на втором экземпляре Ил-8 для защиты нижней задней полусферы в хвостовой части машины устанавливалась оборонительная кассетная установка ДАГ-10 с десятью авиационными гранатами АГ-2, управление сбросом которых осуществлялось как из кабины летчика, так и из кабины стрелка.</w:t>
      </w:r>
    </w:p>
    <w:p w14:paraId="4AFDC48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Авиационная граната АГ-2 была разработана еще в 1937-38 гг. А.Ф.Турахиным и представляла собой малоразмерную авиабомбу, разрывающуюся в воздухе. Граната АГ-2, выпадая из кассетного держателя, задевала выступом крышки парашютной коробки косынку колодца, выбрасывала тормозной парашют и через три секунды, отстав от самолета, взрывалась перед атакующим самолетом противника. По замыслу конструктора, внезапно возникающее перед самолетом противника черное облако дыма и плотная завеса из осколков должны были заставить его отказаться от атаки (9649).</w:t>
      </w:r>
    </w:p>
    <w:p w14:paraId="046A1B2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9FACE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Зимой 1942-1943-го построили три опытных "Пегаса", под номерами 01, 02, 03. Отличия эти машины имели минимальные, в частности, на №02 и №03 несколько укоротили нос фюзеляжа.</w:t>
      </w:r>
    </w:p>
    <w:p w14:paraId="09B8498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Летные испытания выявили, что "Пегас" не столь уж прост в управлении, в полете наблюдалось продольное раскачивание при установленном наружном вооружении и тряска хвоста на некоторых режимах, носовая часть затрудняла обзор вперед-вниз при заходе на цель (9653).</w:t>
      </w:r>
    </w:p>
    <w:p w14:paraId="7DE9510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D7427A"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2F1E2BB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8107B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Зимой 1943 г. из ворот Челябинского Кировского завода выехали два новых тяже</w:t>
      </w:r>
      <w:r w:rsidRPr="00D03F3E">
        <w:rPr>
          <w:rFonts w:ascii="Times New Roman" w:hAnsi="Times New Roman"/>
          <w:color w:val="000000" w:themeColor="text1"/>
          <w:sz w:val="16"/>
          <w:szCs w:val="16"/>
        </w:rPr>
        <w:softHyphen/>
        <w:t>лых танка, один из которых удивительным образом напо</w:t>
      </w:r>
      <w:r w:rsidRPr="00D03F3E">
        <w:rPr>
          <w:rFonts w:ascii="Times New Roman" w:hAnsi="Times New Roman"/>
          <w:color w:val="000000" w:themeColor="text1"/>
          <w:sz w:val="16"/>
          <w:szCs w:val="16"/>
        </w:rPr>
        <w:softHyphen/>
        <w:t>минал КВ-9 годичной давности. Собственно, он нес баш</w:t>
      </w:r>
      <w:r w:rsidRPr="00D03F3E">
        <w:rPr>
          <w:rFonts w:ascii="Times New Roman" w:hAnsi="Times New Roman"/>
          <w:color w:val="000000" w:themeColor="text1"/>
          <w:sz w:val="16"/>
          <w:szCs w:val="16"/>
        </w:rPr>
        <w:softHyphen/>
        <w:t>ню как раз от КВ-9, но ходовая часть и корпус были ины</w:t>
      </w:r>
      <w:r w:rsidRPr="00D03F3E">
        <w:rPr>
          <w:rFonts w:ascii="Times New Roman" w:hAnsi="Times New Roman"/>
          <w:color w:val="000000" w:themeColor="text1"/>
          <w:sz w:val="16"/>
          <w:szCs w:val="16"/>
        </w:rPr>
        <w:softHyphen/>
        <w:t>ми. Это бьш опытный образец второго варианта танка ИС, несший заводской индекс «Объект 234». Вполне понятно, что его вооружение в виде штурмовой танковой пушки У-11 сохранилось от тана КВ-9 без изменений. Интерес к этому танку в начале 1943 г. бьл подогрет тем, что для 122-мм гаубицы М-30 уже бьш разработан и в начале года принят на вооружение бронебойный кумуля</w:t>
      </w:r>
      <w:r w:rsidRPr="00D03F3E">
        <w:rPr>
          <w:rFonts w:ascii="Times New Roman" w:hAnsi="Times New Roman"/>
          <w:color w:val="000000" w:themeColor="text1"/>
          <w:sz w:val="16"/>
          <w:szCs w:val="16"/>
        </w:rPr>
        <w:softHyphen/>
        <w:t>тивный (тогда писали «бронепрожигающий») снаряд, пронзавший более 100 мм брони (по нормали зафиксиро</w:t>
      </w:r>
      <w:r w:rsidRPr="00D03F3E">
        <w:rPr>
          <w:rFonts w:ascii="Times New Roman" w:hAnsi="Times New Roman"/>
          <w:color w:val="000000" w:themeColor="text1"/>
          <w:sz w:val="16"/>
          <w:szCs w:val="16"/>
        </w:rPr>
        <w:softHyphen/>
        <w:t>ван случай пробития листа толщиной 140 мм). Немудрено, что на него было обращено особо пристальное внимание, как на потенциального «укротителя «тигров» (11217).</w:t>
      </w:r>
    </w:p>
    <w:p w14:paraId="7812D73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D66479"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0CD9183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8236B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Зимой 1942-1943 общее улучшение обстановки благоприятно сказалось на потерях "пешек". Противник был морально подавлен, система ПВО его войск и объектов нарушена. В результате части 2-го бомбардировочного авиакорпуса (бак), сражавшиеся в районе Сталинграда, несли в среднем примерно в 4,4 раза меньшие потери, чем раньше (3542).</w:t>
      </w:r>
    </w:p>
    <w:p w14:paraId="417AE52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B6B43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Зимой 1942-43 в 195 армейском смешанном АП 3 Ударной армии Калининского фронта с По-2 применяли РС-82. Прицеливались по нижнему краю крыла. На машинах также стояли ДА-1 или MG-15 и 26-мм сигнальные ракетницы и бомбы. Летали парами. Первый - бомбил, второй поражал РС ЗА. За ночь успевали сделать 5-6 вылетов (4194).</w:t>
      </w:r>
    </w:p>
    <w:p w14:paraId="562C2C5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AD222C"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804F0C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954F9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февралю 1943 г. группа конструкторов под руководством Н.И.Гельперина закончила изготовление боеприпасов, а также разработала специальную подвесную и подъемную системы (7453).</w:t>
      </w:r>
    </w:p>
    <w:p w14:paraId="7B1A48A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F30837" w14:textId="77777777" w:rsidR="00FA6BDE" w:rsidRPr="00D03F3E" w:rsidRDefault="00FA6BDE"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18F1C38" w14:textId="77777777" w:rsidR="00FA6BDE" w:rsidRPr="00D03F3E" w:rsidRDefault="00FA6BDE"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9B2392" w14:textId="77777777" w:rsidR="00FA6BDE" w:rsidRPr="00D03F3E" w:rsidRDefault="00FA6BDE" w:rsidP="00D03F3E">
      <w:pPr>
        <w:pStyle w:val="1151"/>
        <w:shd w:val="clear" w:color="auto" w:fill="auto"/>
        <w:spacing w:before="0" w:line="240" w:lineRule="auto"/>
        <w:rPr>
          <w:rFonts w:ascii="Times New Roman" w:hAnsi="Times New Roman" w:cs="Times New Roman"/>
          <w:color w:val="0070C0"/>
          <w:sz w:val="16"/>
          <w:szCs w:val="16"/>
        </w:rPr>
      </w:pPr>
      <w:r w:rsidRPr="00D03F3E">
        <w:rPr>
          <w:rStyle w:val="790"/>
          <w:rFonts w:ascii="Times New Roman" w:hAnsi="Times New Roman" w:cs="Times New Roman"/>
          <w:color w:val="0070C0"/>
          <w:sz w:val="16"/>
          <w:szCs w:val="16"/>
        </w:rPr>
        <w:t>Ближе к февралю 1943 года выявилась весьма существенная проблема, связанная с орудийной установкой</w:t>
      </w:r>
      <w:r w:rsidRPr="00D03F3E">
        <w:rPr>
          <w:rStyle w:val="790"/>
          <w:rFonts w:ascii="Times New Roman" w:hAnsi="Times New Roman" w:cs="Times New Roman"/>
          <w:color w:val="0070C0"/>
          <w:sz w:val="16"/>
          <w:szCs w:val="16"/>
          <w:lang w:val="ru-RU"/>
        </w:rPr>
        <w:t xml:space="preserve"> Су-122</w:t>
      </w:r>
      <w:r w:rsidRPr="00D03F3E">
        <w:rPr>
          <w:rStyle w:val="790"/>
          <w:rFonts w:ascii="Times New Roman" w:hAnsi="Times New Roman" w:cs="Times New Roman"/>
          <w:color w:val="0070C0"/>
          <w:sz w:val="16"/>
          <w:szCs w:val="16"/>
        </w:rPr>
        <w:t>. Причиной непри</w:t>
      </w:r>
      <w:r w:rsidRPr="00D03F3E">
        <w:rPr>
          <w:rStyle w:val="790"/>
          <w:rFonts w:ascii="Times New Roman" w:hAnsi="Times New Roman" w:cs="Times New Roman"/>
          <w:color w:val="0070C0"/>
          <w:sz w:val="16"/>
          <w:szCs w:val="16"/>
        </w:rPr>
        <w:softHyphen/>
        <w:t>ятностей стала конструкция стопора по- походному. Выяснилось, что принятая в про</w:t>
      </w:r>
      <w:r w:rsidRPr="00D03F3E">
        <w:rPr>
          <w:rStyle w:val="790"/>
          <w:rFonts w:ascii="Times New Roman" w:hAnsi="Times New Roman" w:cs="Times New Roman"/>
          <w:color w:val="0070C0"/>
          <w:sz w:val="16"/>
          <w:szCs w:val="16"/>
        </w:rPr>
        <w:softHyphen/>
        <w:t>изводство конструкция во время маршей часто ломалась по месту сварки. Связано это оказалось с тем, что детали приходили в сбо</w:t>
      </w:r>
      <w:r w:rsidRPr="00D03F3E">
        <w:rPr>
          <w:rStyle w:val="790"/>
          <w:rFonts w:ascii="Times New Roman" w:hAnsi="Times New Roman" w:cs="Times New Roman"/>
          <w:color w:val="0070C0"/>
          <w:sz w:val="16"/>
          <w:szCs w:val="16"/>
        </w:rPr>
        <w:softHyphen/>
        <w:t>рочные цеха без термообработки. Всего подобную конструкцию получили 73 уста</w:t>
      </w:r>
      <w:r w:rsidRPr="00D03F3E">
        <w:rPr>
          <w:rStyle w:val="790"/>
          <w:rFonts w:ascii="Times New Roman" w:hAnsi="Times New Roman" w:cs="Times New Roman"/>
          <w:color w:val="0070C0"/>
          <w:sz w:val="16"/>
          <w:szCs w:val="16"/>
        </w:rPr>
        <w:softHyphen/>
        <w:t>новки. Детали изготавливали заново, терми</w:t>
      </w:r>
      <w:r w:rsidRPr="00D03F3E">
        <w:rPr>
          <w:rStyle w:val="790"/>
          <w:rFonts w:ascii="Times New Roman" w:hAnsi="Times New Roman" w:cs="Times New Roman"/>
          <w:color w:val="0070C0"/>
          <w:sz w:val="16"/>
          <w:szCs w:val="16"/>
        </w:rPr>
        <w:softHyphen/>
        <w:t>чески обработанными, испытания дали удов</w:t>
      </w:r>
      <w:r w:rsidRPr="00D03F3E">
        <w:rPr>
          <w:rStyle w:val="790"/>
          <w:rFonts w:ascii="Times New Roman" w:hAnsi="Times New Roman" w:cs="Times New Roman"/>
          <w:color w:val="0070C0"/>
          <w:sz w:val="16"/>
          <w:szCs w:val="16"/>
        </w:rPr>
        <w:softHyphen/>
        <w:t>летворительные результаты. Также на срочно собранном техническом совещании было принято решение провести испытания про</w:t>
      </w:r>
      <w:r w:rsidRPr="00D03F3E">
        <w:rPr>
          <w:rStyle w:val="790"/>
          <w:rFonts w:ascii="Times New Roman" w:hAnsi="Times New Roman" w:cs="Times New Roman"/>
          <w:color w:val="0070C0"/>
          <w:sz w:val="16"/>
          <w:szCs w:val="16"/>
        </w:rPr>
        <w:softHyphen/>
        <w:t>бегом 10 машин, из которых пять имели сто</w:t>
      </w:r>
      <w:r w:rsidRPr="00D03F3E">
        <w:rPr>
          <w:rStyle w:val="790"/>
          <w:rFonts w:ascii="Times New Roman" w:hAnsi="Times New Roman" w:cs="Times New Roman"/>
          <w:color w:val="0070C0"/>
          <w:sz w:val="16"/>
          <w:szCs w:val="16"/>
        </w:rPr>
        <w:softHyphen/>
        <w:t>поры крепления по-походному, а остальные пять не имели. Выяснилось, что крепления ломались, при этом система оставалась рабо</w:t>
      </w:r>
      <w:r w:rsidRPr="00D03F3E">
        <w:rPr>
          <w:rStyle w:val="790"/>
          <w:rFonts w:ascii="Times New Roman" w:hAnsi="Times New Roman" w:cs="Times New Roman"/>
          <w:color w:val="0070C0"/>
          <w:sz w:val="16"/>
          <w:szCs w:val="16"/>
        </w:rPr>
        <w:softHyphen/>
        <w:t>тоспособной после 100 километров пробега. После проведенных испытаний на УЗТМ был проведен конкурс на новый стопор. По его итогам были отобрано три конструкции. Наи</w:t>
      </w:r>
      <w:r w:rsidRPr="00D03F3E">
        <w:rPr>
          <w:rStyle w:val="790"/>
          <w:rFonts w:ascii="Times New Roman" w:hAnsi="Times New Roman" w:cs="Times New Roman"/>
          <w:color w:val="0070C0"/>
          <w:sz w:val="16"/>
          <w:szCs w:val="16"/>
        </w:rPr>
        <w:softHyphen/>
        <w:t>лучшие результаты показал стопор, пред</w:t>
      </w:r>
      <w:r w:rsidRPr="00D03F3E">
        <w:rPr>
          <w:rStyle w:val="790"/>
          <w:rFonts w:ascii="Times New Roman" w:hAnsi="Times New Roman" w:cs="Times New Roman"/>
          <w:color w:val="0070C0"/>
          <w:sz w:val="16"/>
          <w:szCs w:val="16"/>
        </w:rPr>
        <w:softHyphen/>
        <w:t>ставлявший собой два крюка, которые крепи</w:t>
      </w:r>
      <w:r w:rsidRPr="00D03F3E">
        <w:rPr>
          <w:rStyle w:val="790"/>
          <w:rFonts w:ascii="Times New Roman" w:hAnsi="Times New Roman" w:cs="Times New Roman"/>
          <w:color w:val="0070C0"/>
          <w:sz w:val="16"/>
          <w:szCs w:val="16"/>
        </w:rPr>
        <w:softHyphen/>
        <w:t>лись за приливы задней цапфенной обоймы люльки.</w:t>
      </w:r>
    </w:p>
    <w:p w14:paraId="78B05CE5" w14:textId="77777777" w:rsidR="00FA6BDE" w:rsidRPr="00D03F3E" w:rsidRDefault="00FA6BDE" w:rsidP="00D03F3E">
      <w:pPr>
        <w:pStyle w:val="1151"/>
        <w:shd w:val="clear" w:color="auto" w:fill="auto"/>
        <w:spacing w:before="0" w:line="240" w:lineRule="auto"/>
        <w:rPr>
          <w:rStyle w:val="790"/>
          <w:rFonts w:ascii="Times New Roman" w:hAnsi="Times New Roman" w:cs="Times New Roman"/>
          <w:color w:val="0070C0"/>
          <w:sz w:val="16"/>
          <w:szCs w:val="16"/>
        </w:rPr>
      </w:pPr>
      <w:r w:rsidRPr="00D03F3E">
        <w:rPr>
          <w:rStyle w:val="790"/>
          <w:rFonts w:ascii="Times New Roman" w:hAnsi="Times New Roman" w:cs="Times New Roman"/>
          <w:color w:val="0070C0"/>
          <w:sz w:val="16"/>
          <w:szCs w:val="16"/>
        </w:rPr>
        <w:t>Победившая конструкция, которую при</w:t>
      </w:r>
      <w:r w:rsidRPr="00D03F3E">
        <w:rPr>
          <w:rStyle w:val="790"/>
          <w:rFonts w:ascii="Times New Roman" w:hAnsi="Times New Roman" w:cs="Times New Roman"/>
          <w:color w:val="0070C0"/>
          <w:sz w:val="16"/>
          <w:szCs w:val="16"/>
        </w:rPr>
        <w:softHyphen/>
        <w:t>меняли в феврале-марте 1943 года, также оказалась временным решением. Полностью она проблему не решала, поэтому в середине марта 1943 года появился новый, оконча</w:t>
      </w:r>
      <w:r w:rsidRPr="00D03F3E">
        <w:rPr>
          <w:rStyle w:val="790"/>
          <w:rFonts w:ascii="Times New Roman" w:hAnsi="Times New Roman" w:cs="Times New Roman"/>
          <w:color w:val="0070C0"/>
          <w:sz w:val="16"/>
          <w:szCs w:val="16"/>
        </w:rPr>
        <w:softHyphen/>
        <w:t>тельный вариант стопора по-походному. Он представлял собой штырь конической формы, вставлявшийся в отверстие, находив</w:t>
      </w:r>
      <w:r w:rsidRPr="00D03F3E">
        <w:rPr>
          <w:rStyle w:val="790"/>
          <w:rFonts w:ascii="Times New Roman" w:hAnsi="Times New Roman" w:cs="Times New Roman"/>
          <w:color w:val="0070C0"/>
          <w:sz w:val="16"/>
          <w:szCs w:val="16"/>
        </w:rPr>
        <w:softHyphen/>
        <w:t>шееся в верхней части подвижной брониров</w:t>
      </w:r>
      <w:r w:rsidRPr="00D03F3E">
        <w:rPr>
          <w:rStyle w:val="790"/>
          <w:rFonts w:ascii="Times New Roman" w:hAnsi="Times New Roman" w:cs="Times New Roman"/>
          <w:color w:val="0070C0"/>
          <w:sz w:val="16"/>
          <w:szCs w:val="16"/>
        </w:rPr>
        <w:softHyphen/>
        <w:t>ки орудия. Отверстие прикрыли наваркой круглой формы. Данная конструкция стопора была введена на СУ-35 с конца марта 1943 года. Впрочем, еще с начала серийного про</w:t>
      </w:r>
      <w:r w:rsidRPr="00D03F3E">
        <w:rPr>
          <w:rStyle w:val="790"/>
          <w:rFonts w:ascii="Times New Roman" w:hAnsi="Times New Roman" w:cs="Times New Roman"/>
          <w:color w:val="0070C0"/>
          <w:sz w:val="16"/>
          <w:szCs w:val="16"/>
        </w:rPr>
        <w:softHyphen/>
        <w:t>изводства имелись два элемента, которые вносили во внешний вид однотипных машин некоторое разнообразие. Первым была подвижная бронировка артиллерийской системы М-30. Для обеспечения уравнове</w:t>
      </w:r>
      <w:r w:rsidRPr="00D03F3E">
        <w:rPr>
          <w:rStyle w:val="790"/>
          <w:rFonts w:ascii="Times New Roman" w:hAnsi="Times New Roman" w:cs="Times New Roman"/>
          <w:color w:val="0070C0"/>
          <w:sz w:val="16"/>
          <w:szCs w:val="16"/>
        </w:rPr>
        <w:softHyphen/>
        <w:t>шивания системы на передний лист брони</w:t>
      </w:r>
      <w:r w:rsidRPr="00D03F3E">
        <w:rPr>
          <w:rStyle w:val="790"/>
          <w:rFonts w:ascii="Times New Roman" w:hAnsi="Times New Roman" w:cs="Times New Roman"/>
          <w:color w:val="0070C0"/>
          <w:sz w:val="16"/>
          <w:szCs w:val="16"/>
        </w:rPr>
        <w:softHyphen/>
        <w:t>ровки нередко наваривали по 1-2 листа, в качестве балласта. Их некоторые исследова</w:t>
      </w:r>
      <w:r w:rsidRPr="00D03F3E">
        <w:rPr>
          <w:rStyle w:val="790"/>
          <w:rFonts w:ascii="Times New Roman" w:hAnsi="Times New Roman" w:cs="Times New Roman"/>
          <w:color w:val="0070C0"/>
          <w:sz w:val="16"/>
          <w:szCs w:val="16"/>
        </w:rPr>
        <w:softHyphen/>
        <w:t>тели ошибочно идентифицируют как допол</w:t>
      </w:r>
      <w:r w:rsidRPr="00D03F3E">
        <w:rPr>
          <w:rStyle w:val="790"/>
          <w:rFonts w:ascii="Times New Roman" w:hAnsi="Times New Roman" w:cs="Times New Roman"/>
          <w:color w:val="0070C0"/>
          <w:sz w:val="16"/>
          <w:szCs w:val="16"/>
        </w:rPr>
        <w:softHyphen/>
        <w:t>нительное бронирование. Вторым «гуляю</w:t>
      </w:r>
      <w:r w:rsidRPr="00D03F3E">
        <w:rPr>
          <w:rStyle w:val="790"/>
          <w:rFonts w:ascii="Times New Roman" w:hAnsi="Times New Roman" w:cs="Times New Roman"/>
          <w:color w:val="0070C0"/>
          <w:sz w:val="16"/>
          <w:szCs w:val="16"/>
        </w:rPr>
        <w:softHyphen/>
        <w:t>щим» элементом были опорные катки ходо</w:t>
      </w:r>
      <w:r w:rsidRPr="00D03F3E">
        <w:rPr>
          <w:rStyle w:val="790"/>
          <w:rFonts w:ascii="Times New Roman" w:hAnsi="Times New Roman" w:cs="Times New Roman"/>
          <w:color w:val="0070C0"/>
          <w:sz w:val="16"/>
          <w:szCs w:val="16"/>
        </w:rPr>
        <w:softHyphen/>
        <w:t>вой части, точнее, их резиновые бандажи (грузошины). Большинство бандажей опор</w:t>
      </w:r>
      <w:r w:rsidRPr="00D03F3E">
        <w:rPr>
          <w:rStyle w:val="790"/>
          <w:rFonts w:ascii="Times New Roman" w:hAnsi="Times New Roman" w:cs="Times New Roman"/>
          <w:color w:val="0070C0"/>
          <w:sz w:val="16"/>
          <w:szCs w:val="16"/>
        </w:rPr>
        <w:softHyphen/>
        <w:t>ных катков имели перфорацию, но не имели «протектора» на беговой поверхности. Тем не менее, такие бандажи попадаются часто, при этом обычно их не более 1-2 на машину</w:t>
      </w:r>
      <w:r w:rsidRPr="00D03F3E">
        <w:rPr>
          <w:rStyle w:val="790"/>
          <w:rFonts w:ascii="Times New Roman" w:hAnsi="Times New Roman" w:cs="Times New Roman"/>
          <w:color w:val="0070C0"/>
          <w:sz w:val="16"/>
          <w:szCs w:val="16"/>
          <w:lang w:val="ru-RU"/>
        </w:rPr>
        <w:t xml:space="preserve"> (19892)</w:t>
      </w:r>
      <w:r w:rsidRPr="00D03F3E">
        <w:rPr>
          <w:rStyle w:val="790"/>
          <w:rFonts w:ascii="Times New Roman" w:hAnsi="Times New Roman" w:cs="Times New Roman"/>
          <w:color w:val="0070C0"/>
          <w:sz w:val="16"/>
          <w:szCs w:val="16"/>
        </w:rPr>
        <w:t>.</w:t>
      </w:r>
    </w:p>
    <w:p w14:paraId="20E8BAA0" w14:textId="77777777" w:rsidR="00FA6BDE" w:rsidRPr="00D03F3E" w:rsidRDefault="00FA6BDE" w:rsidP="00D03F3E">
      <w:pPr>
        <w:pStyle w:val="1151"/>
        <w:shd w:val="clear" w:color="auto" w:fill="auto"/>
        <w:spacing w:before="0" w:line="240" w:lineRule="auto"/>
        <w:rPr>
          <w:rFonts w:ascii="Times New Roman" w:hAnsi="Times New Roman" w:cs="Times New Roman"/>
          <w:color w:val="0070C0"/>
          <w:sz w:val="16"/>
          <w:szCs w:val="16"/>
        </w:rPr>
      </w:pPr>
    </w:p>
    <w:p w14:paraId="3A6182B0"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9DF677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92002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 февра</w:t>
      </w:r>
      <w:r w:rsidRPr="00D03F3E">
        <w:rPr>
          <w:rFonts w:ascii="Times New Roman" w:hAnsi="Times New Roman"/>
          <w:color w:val="000000" w:themeColor="text1"/>
          <w:sz w:val="16"/>
          <w:szCs w:val="16"/>
        </w:rPr>
        <w:softHyphen/>
        <w:t>ля 1943 все основные производители "Илов" - 1-й, 18-й и 30-й авиазаводы - полнос</w:t>
      </w:r>
      <w:r w:rsidRPr="00D03F3E">
        <w:rPr>
          <w:rFonts w:ascii="Times New Roman" w:hAnsi="Times New Roman"/>
          <w:color w:val="000000" w:themeColor="text1"/>
          <w:sz w:val="16"/>
          <w:szCs w:val="16"/>
        </w:rPr>
        <w:softHyphen/>
        <w:t>тью перешли на выпуск Ил-2 с АМ-38Ф (6467).</w:t>
      </w:r>
    </w:p>
    <w:p w14:paraId="6E1D890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Установка на Ил-2 форсированного мотора с большей мощностью увеличи</w:t>
      </w:r>
      <w:r w:rsidRPr="00D03F3E">
        <w:rPr>
          <w:rFonts w:ascii="Times New Roman" w:hAnsi="Times New Roman"/>
          <w:color w:val="000000" w:themeColor="text1"/>
          <w:sz w:val="16"/>
          <w:szCs w:val="16"/>
        </w:rPr>
        <w:softHyphen/>
        <w:t>ла максимальную скорость и скороподъ</w:t>
      </w:r>
      <w:r w:rsidRPr="00D03F3E">
        <w:rPr>
          <w:rFonts w:ascii="Times New Roman" w:hAnsi="Times New Roman"/>
          <w:color w:val="000000" w:themeColor="text1"/>
          <w:sz w:val="16"/>
          <w:szCs w:val="16"/>
        </w:rPr>
        <w:softHyphen/>
        <w:t>емность самолета у земли, одновремен</w:t>
      </w:r>
      <w:r w:rsidRPr="00D03F3E">
        <w:rPr>
          <w:rFonts w:ascii="Times New Roman" w:hAnsi="Times New Roman"/>
          <w:color w:val="000000" w:themeColor="text1"/>
          <w:sz w:val="16"/>
          <w:szCs w:val="16"/>
        </w:rPr>
        <w:softHyphen/>
        <w:t>но уменьшив (за счет меньшей высот</w:t>
      </w:r>
      <w:r w:rsidRPr="00D03F3E">
        <w:rPr>
          <w:rFonts w:ascii="Times New Roman" w:hAnsi="Times New Roman"/>
          <w:color w:val="000000" w:themeColor="text1"/>
          <w:sz w:val="16"/>
          <w:szCs w:val="16"/>
        </w:rPr>
        <w:softHyphen/>
        <w:t>ности мотора) максимальную скорость полета на высоте. Взлетные свойства модифицированного двухместного штур</w:t>
      </w:r>
      <w:r w:rsidRPr="00D03F3E">
        <w:rPr>
          <w:rFonts w:ascii="Times New Roman" w:hAnsi="Times New Roman"/>
          <w:color w:val="000000" w:themeColor="text1"/>
          <w:sz w:val="16"/>
          <w:szCs w:val="16"/>
        </w:rPr>
        <w:softHyphen/>
        <w:t>мовика существенно возросли и при бомбовой нагрузке в 400 кг практически оказались равными взлетным свойствам одноместного "Ила" с нефорсирован</w:t>
      </w:r>
      <w:r w:rsidRPr="00D03F3E">
        <w:rPr>
          <w:rFonts w:ascii="Times New Roman" w:hAnsi="Times New Roman"/>
          <w:color w:val="000000" w:themeColor="text1"/>
          <w:sz w:val="16"/>
          <w:szCs w:val="16"/>
        </w:rPr>
        <w:softHyphen/>
        <w:t>ным мотором.</w:t>
      </w:r>
    </w:p>
    <w:p w14:paraId="7E1F953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Улучшение взлетных свойств двухме</w:t>
      </w:r>
      <w:r w:rsidRPr="00D03F3E">
        <w:rPr>
          <w:rFonts w:ascii="Times New Roman" w:hAnsi="Times New Roman"/>
          <w:color w:val="000000" w:themeColor="text1"/>
          <w:sz w:val="16"/>
          <w:szCs w:val="16"/>
        </w:rPr>
        <w:softHyphen/>
        <w:t>стного Ил-2 с АМ-38ф позволило уве</w:t>
      </w:r>
      <w:r w:rsidRPr="00D03F3E">
        <w:rPr>
          <w:rFonts w:ascii="Times New Roman" w:hAnsi="Times New Roman"/>
          <w:color w:val="000000" w:themeColor="text1"/>
          <w:sz w:val="16"/>
          <w:szCs w:val="16"/>
        </w:rPr>
        <w:softHyphen/>
        <w:t>личить нормальную боевую нагрузку штурмовика почти до уровня одномест</w:t>
      </w:r>
      <w:r w:rsidRPr="00D03F3E">
        <w:rPr>
          <w:rFonts w:ascii="Times New Roman" w:hAnsi="Times New Roman"/>
          <w:color w:val="000000" w:themeColor="text1"/>
          <w:sz w:val="16"/>
          <w:szCs w:val="16"/>
        </w:rPr>
        <w:softHyphen/>
        <w:t>ного "Ила" (6467).</w:t>
      </w:r>
    </w:p>
    <w:p w14:paraId="1CACECA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FF6BA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февраля 1943 макетной комиссии был предъявлен макет ГК и ВМГ с М-105ПД для Пе-2ВИ (2475,19).</w:t>
      </w:r>
    </w:p>
    <w:p w14:paraId="51D1CD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BAB83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1943 состоялась объединенная научно-техническая конференция ЦАГИ, ЦИАМ, ОКБ и заводов (323,101).</w:t>
      </w:r>
    </w:p>
    <w:p w14:paraId="2E3A95F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96DE4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 февраля 1943 А.С.Я стал работать в Москве зам. ГК А.С.Я. (7483).</w:t>
      </w:r>
    </w:p>
    <w:p w14:paraId="6ED8EA5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A38C3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февраля 1943 на И-220-1 усилили центроплан и провели ряд других доработок (5669).</w:t>
      </w:r>
    </w:p>
    <w:p w14:paraId="2747B84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757DDF"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февраля</w:t>
      </w:r>
      <w:r w:rsidRPr="00D03F3E">
        <w:rPr>
          <w:rFonts w:ascii="Times New Roman" w:hAnsi="Times New Roman"/>
          <w:color w:val="000000" w:themeColor="text1"/>
          <w:sz w:val="16"/>
          <w:szCs w:val="16"/>
        </w:rPr>
        <w:t xml:space="preserve"> в 1943 году закончился ремонт самолета </w:t>
      </w:r>
      <w:hyperlink r:id="rId48" w:tgtFrame="_blank" w:history="1">
        <w:r w:rsidRPr="00D03F3E">
          <w:rPr>
            <w:rFonts w:ascii="Times New Roman" w:hAnsi="Times New Roman"/>
            <w:color w:val="000000" w:themeColor="text1"/>
            <w:sz w:val="16"/>
            <w:szCs w:val="16"/>
          </w:rPr>
          <w:t xml:space="preserve">«И-220» («МиГ-11»), </w:t>
        </w:r>
      </w:hyperlink>
      <w:r w:rsidRPr="00D03F3E">
        <w:rPr>
          <w:rFonts w:ascii="Times New Roman" w:hAnsi="Times New Roman"/>
          <w:color w:val="000000" w:themeColor="text1"/>
          <w:sz w:val="16"/>
          <w:szCs w:val="16"/>
        </w:rPr>
        <w:t>на машине 8 января 1943года установили новый двигатель «АМ-38Ф», усилили центроплан и провели ряд других доработок (15027).</w:t>
      </w:r>
    </w:p>
    <w:p w14:paraId="076A9414" w14:textId="77777777" w:rsidR="00533942" w:rsidRPr="00D03F3E" w:rsidRDefault="00533942" w:rsidP="00D03F3E">
      <w:pPr>
        <w:spacing w:after="0" w:line="240" w:lineRule="auto"/>
        <w:jc w:val="both"/>
        <w:rPr>
          <w:rFonts w:ascii="Times New Roman" w:hAnsi="Times New Roman"/>
          <w:color w:val="000000" w:themeColor="text1"/>
          <w:sz w:val="16"/>
          <w:szCs w:val="16"/>
        </w:rPr>
      </w:pPr>
    </w:p>
    <w:p w14:paraId="1EBF825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февраля 1943 года вышло распоряжение СНК за № 2177-рс и 5 февраля 1943 года вышел приказа НКАП за № 67, согласно которым на месте филиала завода № 95 был организован самостоятельный металлургический завод, которому был присвоен № 65. В 1943 году завод 3 65 освоил серийный выпуск проволоки из алюминиевых сплавов и свыше 15 наименований кузнечных штампованных стальных изделий.</w:t>
      </w:r>
    </w:p>
    <w:p w14:paraId="33F8B4A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решению ГКО от 21 февраля 1944 года за № 522с и приказу НКАП за № 178 от 9 марта 1944 года на завод № 65 возложена задача по организации производства гильз для авиационных заводов. С апреля 1944 года завод приступил к выпуску этой продукции.</w:t>
      </w:r>
    </w:p>
    <w:p w14:paraId="67372B1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Для удовлетворения самолетных и моторных заводов трубами, профилями и прутками из алюминиевых сплавов приказом НКАП за № 595 от 5 сентября 1945 года </w:t>
      </w:r>
      <w:r w:rsidRPr="00D03F3E">
        <w:rPr>
          <w:rFonts w:ascii="Times New Roman" w:hAnsi="Times New Roman"/>
          <w:color w:val="000000" w:themeColor="text1"/>
          <w:sz w:val="16"/>
          <w:szCs w:val="16"/>
        </w:rPr>
        <w:lastRenderedPageBreak/>
        <w:t>заводу № 65 было поручено организовать производство этих полуфабрикатов.</w:t>
      </w:r>
    </w:p>
    <w:p w14:paraId="4A7D8CB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основании приказа МАП № 289 от 13 мая 1946 года завод приступил к восстановлению прокатного производства.</w:t>
      </w:r>
    </w:p>
    <w:p w14:paraId="4D8D180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МАП за 3 96 от 21 февраля 1955 года при заводе № 65 организовано ОКБ-65 на которое возложена разработка новых технологических процессов производства деталей и полуфабрикатов и создание новой техники для заводов авиапромышленности. 11 августа 1961 года ЦК КПСС и СМ вынесли постановление за № 728-304 об организации ВНИИ технологии легких и специальных сплавов (ВНИИТЛиСС) с опытным заводом на базе ОКБ-65 и завода № 65.</w:t>
      </w:r>
    </w:p>
    <w:p w14:paraId="38DEED6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Начальником филиала завода № 95 с января по 23 декабря 1942 года был И.В. Селихов 23 декабря 1942 года приказом НКАП за № 134-ок директором филиала завода № 95 был назначен Румянцев Б.Ф.</w:t>
      </w:r>
    </w:p>
    <w:p w14:paraId="5B4658B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реорганизации филиала в самостоятельный завод № 65 директором завода № 95 был назначен Румянцев Б.Ф.</w:t>
      </w:r>
    </w:p>
    <w:p w14:paraId="34C7401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Приказом НКАП № 254/к от 22 марта 1944 года на должность директора завода назначен Коваль Б.А.</w:t>
      </w:r>
    </w:p>
    <w:p w14:paraId="5AF1E49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0CDAED2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45C83CB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2DCE32F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Москва, Кунцево, ул. Горбунова, д. 20 (9894).</w:t>
      </w:r>
    </w:p>
    <w:p w14:paraId="5A86ED1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41D19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 февраля 1943 г. по распоряжению СНК СССР № 2177рс от 1.02.1943 г. и по приказу НКАП № 67с от 5.02.1943 г. на базе филиала завода № 95 НКАП был образован Завод № 65 НКАП, МАП, МособлСНХ, Завод легких сплавов /ст. Кунцево, пос. Сетунь Московской обл./. Введен в эксплуатацию в 1943 г. В 1944 г. был в 9ГУ. В 1947 г. - в ведении МАП. В соответствии с пост. СМ СССР № 713-342 от 26.06.1957 г. передан в ведение СНХ РСФСР.</w:t>
      </w:r>
    </w:p>
    <w:p w14:paraId="49123F9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ГКО № 5226 от 21.02.1944 г. на заводе организовано производство штамповок авиамоторных цилиндров. В 1946 г. заводу поставлен трофейный гидропресс мощностью 10 тыс. т.</w:t>
      </w:r>
    </w:p>
    <w:p w14:paraId="5C1F0E8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1961 г. на базе ОКБ-65 и завода № 65 МособлСНХ образовался ВИЛС.</w:t>
      </w:r>
    </w:p>
    <w:p w14:paraId="2E7D162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(1943 г.-)- Румянцев, (-03.1944-04.1946 г.-)- Б.А. Коваль.</w:t>
      </w:r>
    </w:p>
    <w:p w14:paraId="0FC6B59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авторазливочные (АРС) и переносные разливочные станции (ПРС-2) (11982).</w:t>
      </w:r>
    </w:p>
    <w:p w14:paraId="55317E9B" w14:textId="77777777" w:rsidR="00533942" w:rsidRPr="00D03F3E" w:rsidRDefault="00533942"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D2D9D9"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1FC35F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B03B2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февраля 1943 г. Ж. Котин писал о КВ-13: «В настоящее время можно говорить, что нами практически решен вопрос по созданию на</w:t>
      </w:r>
      <w:r w:rsidRPr="00D03F3E">
        <w:rPr>
          <w:rFonts w:ascii="Times New Roman" w:hAnsi="Times New Roman"/>
          <w:color w:val="000000" w:themeColor="text1"/>
          <w:sz w:val="16"/>
          <w:szCs w:val="16"/>
        </w:rPr>
        <w:softHyphen/>
        <w:t>дежно забронированного от всех видов противотанковой ар</w:t>
      </w:r>
      <w:r w:rsidRPr="00D03F3E">
        <w:rPr>
          <w:rFonts w:ascii="Times New Roman" w:hAnsi="Times New Roman"/>
          <w:color w:val="000000" w:themeColor="text1"/>
          <w:sz w:val="16"/>
          <w:szCs w:val="16"/>
        </w:rPr>
        <w:softHyphen/>
        <w:t>тиллерии танка с умеренной массой... который имеет подвиж</w:t>
      </w:r>
      <w:r w:rsidRPr="00D03F3E">
        <w:rPr>
          <w:rFonts w:ascii="Times New Roman" w:hAnsi="Times New Roman"/>
          <w:color w:val="000000" w:themeColor="text1"/>
          <w:sz w:val="16"/>
          <w:szCs w:val="16"/>
        </w:rPr>
        <w:softHyphen/>
        <w:t>ность на поле боя не хуже, чем средний танк Т-34...» (10782).</w:t>
      </w:r>
    </w:p>
    <w:p w14:paraId="1AD9ED8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7A543F" w14:textId="77777777" w:rsidR="00FB1AC8" w:rsidRPr="00D03F3E"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По состоянию на 1 февраля 1943 года завод № 100 отчитался о том, что все узлы и агрегаты для КВ-13 второго варианта были готовы. Основным тормозящим фактором стало отсутствие корпуса и башни. В качестве поставщика выступал Уральский завод тяжёлого машиностроения (УЗТМ), где на тот момент существовали свои проблемы, связанные с производством Т-34 и </w:t>
      </w:r>
      <w:hyperlink r:id="rId49" w:history="1">
        <w:r w:rsidRPr="00D03F3E">
          <w:rPr>
            <w:rFonts w:ascii="Times New Roman" w:eastAsia="Times New Roman" w:hAnsi="Times New Roman"/>
            <w:color w:val="000000" w:themeColor="text1"/>
            <w:sz w:val="16"/>
            <w:szCs w:val="16"/>
            <w:lang w:eastAsia="ru-RU"/>
          </w:rPr>
          <w:t>СУ-35 (СУ-122)</w:t>
        </w:r>
      </w:hyperlink>
      <w:r w:rsidRPr="00D03F3E">
        <w:rPr>
          <w:rFonts w:ascii="Times New Roman" w:eastAsia="Times New Roman" w:hAnsi="Times New Roman"/>
          <w:color w:val="000000" w:themeColor="text1"/>
          <w:sz w:val="16"/>
          <w:szCs w:val="16"/>
          <w:lang w:eastAsia="ru-RU"/>
        </w:rPr>
        <w:t>. Между тем работы не стояли на месте — и в конструкцию КВ-13 внесли некоторые изменения. Для начала в работу взяли второй вариант КПП, который практически не отличался от коробки передач КВ-1с. Тем самым была проведена унификация, что упрощало (в случае успешных испытаний) запуск танка в серию.</w:t>
      </w:r>
    </w:p>
    <w:p w14:paraId="30FEC68F" w14:textId="77777777" w:rsidR="00FB1AC8" w:rsidRPr="00D03F3E"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Не менее важным изменением стала новая конструкция командирской башенки, и она также оказалась напрямую связана с КВ-1с. Недовольство командирской башенкой привело к тому, что подготовили аж три варианта её замены. Первый представлял собой улучшенную башенку по эскизному проекту КВ-13 второго варианта. В качестве альтернативы СКБ-2 ЧКЗ разработало командирскую башенку со смотровыми приборами по типу Т-34 и без верхнего люка.</w:t>
      </w:r>
    </w:p>
    <w:p w14:paraId="39143557" w14:textId="77777777" w:rsidR="00FB1AC8" w:rsidRPr="00D03F3E"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Наконец, по настоянию помощника начальника 6-го отдела инженера-майора Пестова разработали третью башенку. Родилась она из эскизного наброска, где была изображена башенка с пятью смотровыми приборами и двухстворчатым люком. Люк сделали вращающимся, причём в одной из створок установили перископический прибор MK-IV. В данном случае это название означало не «смотровой прибор Vickers MK-IV», а «перископический смотровой прибор с английского танка MK-IV», то есть с Churchill. Именно этот вариант и выбрали как основной. К концу января 1943 года были утверждены рабочие чертежи башенки. Испытывать опытный её образец решили на КВ-13. К тому моменту строилось две машины — базовая (233) и гаубичная (234).</w:t>
      </w:r>
    </w:p>
    <w:p w14:paraId="574F18D4" w14:textId="77777777" w:rsidR="00FB1AC8" w:rsidRPr="00D03F3E"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Простой по теме КВ-13 имел место и в феврале 1943 года. Причина была та же: корпусов и башен из Свердловска не поступило. Для ускорения работ Зальцману пришлось привлечь административный ресурс. 23 февраля он передал письмо с предложением о скорейшем изготовлении двух опытных образцов танка. Нарком танковой промышленности рассчитывал в случае удачных испытаний запустить серийное производство КВ-13, заменив им КВ-1с. Сталин предложение одобрил: на следующий день было подписано постановление ГКО №2943 «Об изготовлении опытных образцов танков “ИС”». Более индекс КВ-13 не использовался (17688).</w:t>
      </w:r>
    </w:p>
    <w:p w14:paraId="10786F22" w14:textId="77777777" w:rsidR="00FB1AC8" w:rsidRPr="00D03F3E" w:rsidRDefault="00FB1AC8" w:rsidP="00D03F3E">
      <w:pPr>
        <w:spacing w:after="0" w:line="240" w:lineRule="auto"/>
        <w:jc w:val="both"/>
        <w:rPr>
          <w:rFonts w:ascii="Times New Roman" w:hAnsi="Times New Roman"/>
          <w:color w:val="000000" w:themeColor="text1"/>
          <w:sz w:val="16"/>
          <w:szCs w:val="16"/>
        </w:rPr>
      </w:pPr>
    </w:p>
    <w:p w14:paraId="774C3753" w14:textId="77777777" w:rsidR="00522761" w:rsidRPr="00D03F3E" w:rsidRDefault="005227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февраля 1943 года машина Т-43 прошла 710 км, при этом старший военпред на заводе №183 отмечал, что в январе завод доработкой и устранением дефектов не занимался. При этом пунктов замечаний набралось куда больше — 24 штуки. Довольно много замечаний набралось по обслуживанию машины. Хватало и конструктивных недостатков. Смотровой люк механика-водителя не обеспечивал достаточной обзорности. Кроме того, у машины нашлись противники в ГБТУ КА — одним из них был П.К. Ворошилов, приёмный сын </w:t>
      </w:r>
      <w:hyperlink r:id="rId50" w:history="1">
        <w:r w:rsidRPr="00D03F3E">
          <w:rPr>
            <w:rStyle w:val="a5"/>
            <w:rFonts w:ascii="Times New Roman" w:hAnsi="Times New Roman"/>
            <w:color w:val="000000" w:themeColor="text1"/>
            <w:sz w:val="16"/>
            <w:szCs w:val="16"/>
            <w:u w:val="none"/>
          </w:rPr>
          <w:t>К.Е. Ворошилова</w:t>
        </w:r>
      </w:hyperlink>
      <w:r w:rsidRPr="00D03F3E">
        <w:rPr>
          <w:rFonts w:ascii="Times New Roman" w:hAnsi="Times New Roman"/>
          <w:color w:val="000000" w:themeColor="text1"/>
          <w:sz w:val="16"/>
          <w:szCs w:val="16"/>
        </w:rPr>
        <w:t>, сделавший немало для развития отечественного танкостроения. Пётр Климентьевич не был против машины в целом, но справедливо указывал на её недостатки. Во-первых, даже в доработанном виде конструкция командирской башенки всё равно была не совсем удачной. Во-вторых, само по себе размещение командира за орудием считалось им не самой удачной идей. Решением проблемы Ворошилов считал расширение башенного погона до 1600 мм (18420).</w:t>
      </w:r>
    </w:p>
    <w:p w14:paraId="41F37266" w14:textId="77777777" w:rsidR="00522761" w:rsidRPr="00D03F3E" w:rsidRDefault="00522761" w:rsidP="00D03F3E">
      <w:pPr>
        <w:spacing w:after="0" w:line="240" w:lineRule="auto"/>
        <w:jc w:val="both"/>
        <w:rPr>
          <w:rFonts w:ascii="Times New Roman" w:hAnsi="Times New Roman"/>
          <w:color w:val="000000" w:themeColor="text1"/>
          <w:sz w:val="16"/>
          <w:szCs w:val="16"/>
        </w:rPr>
      </w:pPr>
    </w:p>
    <w:p w14:paraId="337887A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февраля 1943 г. вышел ПРИКАЗ НАЧАЛЬНИКА ИНЖЕНЕРНЫХ ВОЙСК И НАЧАЛЬНИКА ГБТУ О ПРОВЕДЕНИИ ИСПЫТАНИЙ ПРОТИВОТАНКОВЫХ ЗИМНИХ ПРЕПЯТСТВИЙ №29</w:t>
      </w:r>
    </w:p>
    <w:p w14:paraId="31F8C7E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301A495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выбора рациональных типов противотанковых зимних препятствий провести на полиго</w:t>
      </w:r>
      <w:r w:rsidRPr="00D03F3E">
        <w:rPr>
          <w:rFonts w:ascii="Times New Roman" w:hAnsi="Times New Roman"/>
          <w:color w:val="000000" w:themeColor="text1"/>
          <w:sz w:val="16"/>
          <w:szCs w:val="16"/>
        </w:rPr>
        <w:softHyphen/>
        <w:t>не ГБТУ (Кубинка) с 9 февраля по 11 февраля сего года испытания:</w:t>
      </w:r>
    </w:p>
    <w:p w14:paraId="7B7BF5E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деревянных надолбов во льду, вызывающих при наезде на них танков разрушение льда;</w:t>
      </w:r>
    </w:p>
    <w:p w14:paraId="5D9494D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деревянных тетраэдров.</w:t>
      </w:r>
    </w:p>
    <w:p w14:paraId="281E45A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вести по прилагаемым программам, утвержденным инженерным комитетом Красной Армии.</w:t>
      </w:r>
    </w:p>
    <w:p w14:paraId="2C622FA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CB887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проведений испытаний назначаю комиссию в составе: председатель комиссии — полковник Квятковский (МЗО); зам. председателя — инженер-полковник Барыков (полигон ГБТУ). Членов:</w:t>
      </w:r>
    </w:p>
    <w:p w14:paraId="143F12C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инженер-майор Иванов (полигон ГБТУ);</w:t>
      </w:r>
    </w:p>
    <w:p w14:paraId="52C1069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военинженер 2 ранга Никольский (инженерный комитет КА); ст. инженер Зеленин (инженерный комитет КА); ст. инженер Коновалихин (инженерный комитет КА); военинженер 3 ранга Дубинский (отдел изобретений ГВИУ КА).</w:t>
      </w:r>
    </w:p>
    <w:p w14:paraId="5226603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2546E36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Подготовка объектов испытаний: изготовление и установка надолб, установка тетраэдров воз</w:t>
      </w:r>
      <w:r w:rsidRPr="00D03F3E">
        <w:rPr>
          <w:rFonts w:ascii="Times New Roman" w:hAnsi="Times New Roman"/>
          <w:color w:val="000000" w:themeColor="text1"/>
          <w:sz w:val="16"/>
          <w:szCs w:val="16"/>
        </w:rPr>
        <w:softHyphen/>
        <w:t>лагается на начальника инженерных войск МВО.</w:t>
      </w:r>
    </w:p>
    <w:p w14:paraId="2B8E6E5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Проведение самих испытаний (выделение танков с экипажами и материальной частью) на начальника полигона ГБТУ.</w:t>
      </w:r>
    </w:p>
    <w:p w14:paraId="122CA30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Акт комиссии представить для утверждения 12.02.1943 г.</w:t>
      </w:r>
    </w:p>
    <w:p w14:paraId="5576203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 начальника инженерных войск КА генерал-майор инженерных войск К. Назаров</w:t>
      </w:r>
    </w:p>
    <w:p w14:paraId="2FBE1F4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Заместитель начальника Главного бронетанкового управления КА</w:t>
      </w:r>
    </w:p>
    <w:p w14:paraId="2BC24C4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генерал-майор технических войск Лебедев</w:t>
      </w:r>
    </w:p>
    <w:p w14:paraId="57F4C15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11355а. Д. 352а. Л. 7. Копия (11403).</w:t>
      </w:r>
    </w:p>
    <w:p w14:paraId="63AB05D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0D03D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февраля 1943 г. СООБЩЕНИЕ ЗАМЕСТИТЕЛЯ ПРЕДСЕДАТЕЛЯ В/О «ТЕХНОЭКСПОРТ» НАЧАЛЬНИКУ 3-го ОТДЕЛА ГАВТУ КА О ДЕФЕКТАХ ГРУЗОВЫХ МАШИН №123/40</w:t>
      </w:r>
    </w:p>
    <w:p w14:paraId="155A3CE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Сообщаю, что согласно сообщения английского военного министерства, отправленные в СССР грузовые автомашины Форд модель ШОТ-б — 3 тонн и \УОТ-8 — 1,5 тонн могут иметь следующие дефекты: отвинчиваются гайки и болты фланцев шарнирных соединений карданных валов. Этот дефект происходит вследствие того, что головки болтов не стопорятся, а гайки стопорятся так, что незастопоренные болты могут выворачиваться.</w:t>
      </w:r>
    </w:p>
    <w:p w14:paraId="41DF614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Приложение</w:t>
      </w:r>
      <w:r w:rsidRPr="00D03F3E">
        <w:rPr>
          <w:rFonts w:ascii="Times New Roman" w:hAnsi="Times New Roman"/>
          <w:color w:val="000000" w:themeColor="text1"/>
          <w:sz w:val="16"/>
          <w:szCs w:val="16"/>
          <w:vertAlign w:val="superscript"/>
        </w:rPr>
        <w:t>1</w:t>
      </w:r>
      <w:r w:rsidRPr="00D03F3E">
        <w:rPr>
          <w:rFonts w:ascii="Times New Roman" w:hAnsi="Times New Roman"/>
          <w:color w:val="000000" w:themeColor="text1"/>
          <w:sz w:val="16"/>
          <w:szCs w:val="16"/>
        </w:rPr>
        <w:t>: копия письма английского военного министерства на английском языке.</w:t>
      </w:r>
    </w:p>
    <w:p w14:paraId="31A3C83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Заместитель председателя в/о «Техноэкспорт»</w:t>
      </w:r>
    </w:p>
    <w:p w14:paraId="7343F31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Леденев</w:t>
      </w:r>
    </w:p>
    <w:p w14:paraId="10D28E4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41. Оп. 11593. Д. 108. Л. 4. Подлинник (11403).</w:t>
      </w:r>
    </w:p>
    <w:p w14:paraId="78A9259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14E07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февраля 1943 вышло Постановление ГКО № 2808 Об образовании Главного управления энергетических систем Юга.РГАНИР, Фонд ГКО, д. 85, лл. 69 (11012).</w:t>
      </w:r>
    </w:p>
    <w:p w14:paraId="17F4D6F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E81E2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февраля 1943 вышло Распоряжение ГКО № 2809. О передаче одного локомобиля в Подмосковный угольный бассейн.РГАНИР, Фонд ГКО, д. 85, лл. 70 (11012).</w:t>
      </w:r>
    </w:p>
    <w:p w14:paraId="31DA404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E173E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февраля 1943 вышло Постановление ГКО № 2810 О плане снабжения углем на февраль месяц 1943 г.РГАНИР, Фонд ГКО, д. 85, лл. 71-73 (11012).</w:t>
      </w:r>
    </w:p>
    <w:p w14:paraId="102966E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5C6B0E"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февраля 1943 вышло Постановление ГКО № 2811 О переформировании железнодорожных бригад по единой типовой структуре и утверждении штатной численности железнодорожных войск. (7078, 74-75).</w:t>
      </w:r>
    </w:p>
    <w:p w14:paraId="3783BD19"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FA26B9"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февраля 1943 вышло Постановление ГКО № 2812 О сборе трофейного имущества на фронтах и обеспечении его хранения. (7078, 76-78).</w:t>
      </w:r>
    </w:p>
    <w:p w14:paraId="3EAC5B5A"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3964D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февраля 1943 За период с 1 ноября 1942 г. в Ленинграде отремонтировано 78 кораблей, достроено и сдано флоту 11. Начат аварийно-боевой ремонт ПЛ Щ-307, законченный адмиралтейцами 23 марта 1943 г (10671).</w:t>
      </w:r>
    </w:p>
    <w:p w14:paraId="35DF2B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98B180"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75DE4D5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492A1D"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4DE186F5"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 февраля войска Юго-Западного, Южного, Северо-Кавказского, Воронежского, Ленинградского и Волховского фронтов вели наступательные бои на прежних направлениях.</w:t>
      </w:r>
    </w:p>
    <w:p w14:paraId="6003388C"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Донского фронта закончили ликвидацию группы немецко-фашистских войск, окружённых западнее центральной части Сталинграда. Севернее Сталинграда наши части продолжали истреблять сопротивляющихся гитлеровцев. Уничтожено свыше 900 немецких солдат и офицеров. Взяты пленные и захвачены многочисленные трофеи.</w:t>
      </w:r>
    </w:p>
    <w:p w14:paraId="769D4100"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Южного фронта отбивали контратаки противника и продвигались вперёд. Н-ское соединение заняло три укреплённых немцами населённых пункта. Захвачены танкетка, 3 орудия, шестиствольный миномёт и другие трофеи. На другом участке наши подразделения отразили две контратаки противника. Уничтожено два взвода немецких автоматчиков, подбито и сожжено 4 вражеских танка.</w:t>
      </w:r>
    </w:p>
    <w:p w14:paraId="09D39DA8"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продолжали успешное наступление и выбили немцев из ряда населённых пунктов. На поле боя осталось более 200 вражеских трупов. Захвачены 3 орудия, 7 противотанковых ружей, 2 миномёта, 18 пулемётов, склад боеприпасов и другие трофеи. Наши танкисты, прорвавшись в тыл противника, разгромили подходивший к линии фронта немецкий маршевый батальон.</w:t>
      </w:r>
    </w:p>
    <w:p w14:paraId="1653E4DD"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Воронежа наши войска продолжали наступление, а частью сил уничтожали остатки окружённых немецких и венгерских дивизий. В районе юго-восточнее Касторное бойцы Н-ского соединения разбили одну из окружённых групп противника. Уничтожено много вражеских солдат и офицеров и взято 1.750 пленных. На другом участке огнём нашей артиллерии разбиты бронепоезд и два паровоза противника.</w:t>
      </w:r>
    </w:p>
    <w:p w14:paraId="2B7FB9EB"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Северо-Кавказского фронта продолжали успешно развивать наступление и заняли ряд населённых пунктов. На одном участке наши танкисты и мотопехота проникли в тыл противника и разгромили немецкую колонну. Уничтожено 3 самоходных орудия, 18 автомашин с боеприпасами, 7 вездеходов и 25 мотоциклов. На другом участке гвардейцы-кавалеристы в ночной атаке изрубили до роты немецкой пехоты и освободили несколько населённых пунктов. Захвачены большие склады боеприпасов.</w:t>
      </w:r>
    </w:p>
    <w:p w14:paraId="5E0C38B9"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Закавказского фронта, овладев районным центром Белореченская, захватили 150 вагонов с военным имуществом, склады с боеприпасами и снаряжением. На другом участке наши части вышли на шоссейную дорогу у крупного населённогопункта и отрезали немцам путь к отступлению. По предварительным данным,захвачено свыше 200 автомашин, 190 мотоциклов, 20 пулемётов, большой гурт скота и другие трофеи. Взято в плен 180 солдат и офицеров противника.</w:t>
      </w:r>
    </w:p>
    <w:p w14:paraId="15E8EE92"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Курской области, внезапно напал на немецкий гарнизон. Советские патриоты истребили до 100 вражеских солдат и офицеров. Остатки разбитого гарнизона разбежались. Захвачено 10 пулемётов, 64 винтовки и много патронов.</w:t>
      </w:r>
    </w:p>
    <w:p w14:paraId="241516F4"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Краснодарском крае, в бою с немецко-фашистскими оккупантами истребили 90 гитлеровцев.</w:t>
      </w:r>
    </w:p>
    <w:p w14:paraId="581E6628"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заливают кровью временно захваченные города и села Украины. В конце декабря в городе Глухове, Сумской области, и в окрестных сёлах немцы произвели массовые аресты мирных жителей. В застенки гестапо былоброшено около тысячи человек. Гитлеровские палачи подвергли арестованных чудовищным пыткам — им выкручивали и ломали руки, жгли волосы, прижигали тело раскалённым железом. После многодневных пыток и издевательств фашистские изверги вывезли арестованных за город и расстреляли.» (15027).</w:t>
      </w:r>
    </w:p>
    <w:p w14:paraId="2141EC5E" w14:textId="77777777" w:rsidR="00533942" w:rsidRPr="00D03F3E" w:rsidRDefault="00533942" w:rsidP="00D03F3E">
      <w:pPr>
        <w:spacing w:after="0" w:line="240" w:lineRule="auto"/>
        <w:jc w:val="both"/>
        <w:rPr>
          <w:rFonts w:ascii="Times New Roman" w:hAnsi="Times New Roman"/>
          <w:color w:val="000000" w:themeColor="text1"/>
          <w:sz w:val="16"/>
          <w:szCs w:val="16"/>
        </w:rPr>
      </w:pPr>
    </w:p>
    <w:p w14:paraId="791591D6"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4B88A7B7"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в результате стремительной атаки овладели городом и крупной железнодорожной станцией Сватово.</w:t>
      </w:r>
    </w:p>
    <w:p w14:paraId="549703C0"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Воронежского фронта овладели районными центрами Советский, Ястребовка и железнодорожной станцией Кшень.</w:t>
      </w:r>
    </w:p>
    <w:p w14:paraId="4077C8A6"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Южного фронта овладели районным центром Мечетинская, крупным населённым пунктом Зерновой и железнодорожной станцией Верблюд.</w:t>
      </w:r>
    </w:p>
    <w:p w14:paraId="4E59515C"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Северо-Кавказского фронта овладели районным центром Выселки, крупной станцией Фастовецкая и другими населёнными пунктами.</w:t>
      </w:r>
    </w:p>
    <w:p w14:paraId="53931415"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Закавказском фронте наши войска заняли районный центр и железнодорожную станцию Усть-Лабинская.</w:t>
      </w:r>
    </w:p>
    <w:p w14:paraId="4C76456A"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корабли в Баренцевом море потопили транспорт противника водоизмещением 8 тысяч тонн.</w:t>
      </w:r>
    </w:p>
    <w:p w14:paraId="7051E0E7"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января частями нашей авиации на различных участках фронта уничтожено или повреждено 10 немецких танков, свыше 70 автомашин с войсками и грузами, подавлен огонь 5 артиллерийских батарей, разбит железнодорожный состав, взорван склад боеприпасов, рассеяно и частью уничтожено до батальона пехоты противника.</w:t>
      </w:r>
    </w:p>
    <w:p w14:paraId="102DDF41"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Донского фронта севернее Сталинграда продолжали истреблять сопротивляющихся гитлеровцев. Нашими частями в течение дня уничтожено свыше</w:t>
      </w:r>
    </w:p>
    <w:p w14:paraId="4ADA724A"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 немецких солдат и офицеров. Количество пленных растёт с каждым часом и во много раз превышает число убитых. Захвачены также большие трофеи, которые подсчитываются.</w:t>
      </w:r>
    </w:p>
    <w:p w14:paraId="395F6B22"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Южного фронта, преодолевая сопротивление противника, продолжали наступление. На позиции Н-ской части немцы бросили в контратаку до двух батальонов пехоты с танками и бронемашинами. Наши артиллеристы и бронебойщики подбили 2 танка, 7 бронемашин и истребили много гитлеровцев. Преследуя противника, наши бойцы овладели крупным населённым пунктом.</w:t>
      </w:r>
    </w:p>
    <w:p w14:paraId="1C9DC08F"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вели наступательные бои и заняли несколько населённых пунктов. Н-ская часть после упорного боя овладела узлом вражеской обороны и уничтожила до 400 немецких солдат и офицеров. Захвачены 7 орудий, 16 пулемётов, 2 миномёта, 6 противотанковых ружей и артиллерийский склад. На другом участке наши бойцы отбили контратаку противника и сожгли 3 немецких танка.</w:t>
      </w:r>
    </w:p>
    <w:p w14:paraId="6AF0F32E"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Воронежа наши войска развивали успешное наступление, продвинулись вперёд и заняли ряд населённых пунктов. Н-ская часть окружила и почти полностью уничтожила немецкий полк. Захвачено 600 пленных, 150 автомашин и 15 орудий.</w:t>
      </w:r>
    </w:p>
    <w:p w14:paraId="38AE259F"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Северо-Кавказского фронта вели наступательные бои. Противник пытался задержать продвижение советских подразделений на одном из укреплённых рубежей. Огневым налётом артиллерии и миномётов сопротивление немцев было сломлено.Уничтожено 3 танка и 40 автомашин. На другом участке бойцы Н-ской части разгромили до двух рот немцев, уничтожили 2 бронемашины, 3 самоходных орудия и овладели двумя населёнными пунктами. Захвачены трофеи и пленные.</w:t>
      </w:r>
    </w:p>
    <w:p w14:paraId="0BE60C9F"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Закавказского фронта с боями продвигались вперёд и заняли несколько населённых пунктов. Бойцы Н-ской части за два дня боёв захватили у немцев 12 танков, 5 танкеток, 40 орудий, свыше 200 автомашин, 100 километров телефонного кабеля и 5 складов боеприпасов. Взяты пленные.</w:t>
      </w:r>
    </w:p>
    <w:p w14:paraId="137EEAA9"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«Смерть немецким оккупантам», действующий в Орловскойобласти, разгромил немецкий гарнизон в населённом пункте. Группы партизан незаметно пробрались к деревне и бесшумно сняли охрану. Разделавшись с часовыми, советские патриоты ворвались в дома, занятые немцами, и истребили несколько десятков солдат и офицеров. Партизаны отряда имени Ворошилова на шоссейных дорогах уничтожили 46 немцев. Захвачены миномёт, несколько ящиков мин, винтовкии патроны.</w:t>
      </w:r>
    </w:p>
    <w:p w14:paraId="06FD0008"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Ниже публикуется акт о грабежах и насилиях немецко-фашистских мерзавцев в селе Корицкое, Воронежской области: «За шесть месяцев своего хозяйничанья немцы дочиста разграбили колхоз и до нитки обобрали всех колхозников. По неполным подсчётам, фашистские грабители забрали 150 лошадей, 75 коров, 800 свиней, более 100 овец, много домашней птицы и разного имущества колхозников. Немцы заставляли крестьян работать днём и ночью, душили их непосильными поборами. Каждый день они выдумывали всё новые и новые повинности. В этом акте невозможно перечислить все злодеяния немецко-фашистских собак. В самые тяжёлые дни немецкой </w:t>
      </w:r>
      <w:r w:rsidRPr="00D03F3E">
        <w:rPr>
          <w:rFonts w:ascii="Times New Roman" w:hAnsi="Times New Roman"/>
          <w:color w:val="000000" w:themeColor="text1"/>
          <w:sz w:val="16"/>
          <w:szCs w:val="16"/>
        </w:rPr>
        <w:lastRenderedPageBreak/>
        <w:t>оккупации колхозники крепко верили, что скоро всем этим злодеяниям фашистов наступит конец, знали, что придёт Красная Армия и освободит нас от фашистского ига. Мы не сидели сложа руки, а всеми силами и средствами вредили немцам». Акт подписали жители села Корицкое: Ф.Черненко, Ф.Мельник, М.Черненко и другие.».</w:t>
      </w:r>
    </w:p>
    <w:p w14:paraId="32F6F3F2"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46F957DE"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город Сватово.</w:t>
      </w:r>
    </w:p>
    <w:p w14:paraId="66ACA807" w14:textId="77777777" w:rsidR="00533942" w:rsidRPr="00D03F3E" w:rsidRDefault="00533942" w:rsidP="00D03F3E">
      <w:pPr>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rPr>
        <w:t xml:space="preserve">«Наши войска в результате стремительной атаки овладели городом и крупной железнодорожной станцией Сватово.» </w:t>
      </w:r>
      <w:r w:rsidRPr="00D03F3E">
        <w:rPr>
          <w:rFonts w:ascii="Times New Roman" w:hAnsi="Times New Roman"/>
          <w:color w:val="000000" w:themeColor="text1"/>
          <w:sz w:val="16"/>
          <w:szCs w:val="16"/>
          <w:lang w:val="en-US"/>
        </w:rPr>
        <w:t>(15027).</w:t>
      </w:r>
    </w:p>
    <w:p w14:paraId="08B70038" w14:textId="77777777" w:rsidR="00533942" w:rsidRPr="00D03F3E" w:rsidRDefault="00533942" w:rsidP="00D03F3E">
      <w:pPr>
        <w:spacing w:after="0" w:line="240" w:lineRule="auto"/>
        <w:jc w:val="both"/>
        <w:rPr>
          <w:rFonts w:ascii="Times New Roman" w:hAnsi="Times New Roman"/>
          <w:color w:val="000000" w:themeColor="text1"/>
          <w:sz w:val="16"/>
          <w:szCs w:val="16"/>
          <w:lang w:val="en-US"/>
        </w:rPr>
      </w:pPr>
    </w:p>
    <w:p w14:paraId="6F90187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February 1, 1943: German troops of Heeresgruppe Mitte (von Kluge) evacuate Demjansk (3819).</w:t>
      </w:r>
    </w:p>
    <w:p w14:paraId="060883C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FB503D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февраля 1943 Группа Центр оставила Демьянск (3919).</w:t>
      </w:r>
    </w:p>
    <w:p w14:paraId="2E61746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BB3B5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февраля 1943 г. приказом НКО была введена в действие "Инструкция по управлению, наведению и оповещению авиации по радио" (8687).</w:t>
      </w:r>
    </w:p>
    <w:p w14:paraId="08E0E4C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B594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 по 15 февраля 1943 состоялся переход на новую форму с погонами (511).</w:t>
      </w:r>
    </w:p>
    <w:p w14:paraId="6F0F46D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1DC3D5"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февраля 1943 в бункере Растенбург Гитлер провел совещание с немецким командованием, обвинив генералов в некомпетентности и нелояльности (4962).</w:t>
      </w:r>
    </w:p>
    <w:p w14:paraId="68EE837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374CB2"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61860CE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AAA5C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февраля 1943 г. было принято специальное постановление ВЦСПС “Об усилении борьбы профсоюзных организаций с расхищением и разбазариванием продовольственных и промышленных товаров”, где отмечалось: “За время войны в торговых , снабженческо-сбытовых и производственных организациях значительно возросли хищение и разбазаривание продовольственных и промышленных товаров, злоупотребление с продовольственными и промтоварными карточками, обмеривание, обвешивание и обсчет покупателей... В результате этого значительная часть товаров, выделяемых государством для снабжения рабочих и служащих, не доходит до потребителя и попадает в руки воров и спекулянтов”. Организованный массовый контроль за работой торговой сети и предприятий массового питания не давал ожидаемого эффекта, поскольку общественные контролеры нередко за небольшие продуктовые подачки закрывали глаза на незаконное перераспределение продуктов. Проведение облав на перекупщиков также давало слабый эффект, что констатировалось как официальными органами, так и гражданами. Рабочий Горьковского автозавода А.Е. Савин писал в Президиум Верховного Совета СССР: “Блюстители порядка – милиция – увязла в своем бессилии по борьбе со спекуляцией. Спекулянты-перекупщики орудуют вовсю, вгоняя невыносимые цены на продукты разных видов, тем самым восседают как пауки на спину рабочего и сосут его, кто как может”. “Торговля с рук” оставалась неистребимой, независимо от попыток властей бороться с ней. Именно поэтому власти пытались, помимо административных мер, использовать экономические. Так, активное внедрение государственной коммерческой торговли с 1944 г. сопровождалось падением цен на колхозном рынке в 1944-1945 гг. более чем вдвое. Другим направлением государственной политики, призванной смягчить обострившуюся продовольственную проблему, явилось расширение сети индивидуального и коллективного огородничества и подсобных хозяйств при предприятиях и учреждениях. В регионах получила распространение встречная продажа промышленных и хозяйственных товаров колхозам, колхозникам и единоличникам, продающим сельскохозяйственные продукты на рынках городов по удешевленным ценам. Государство стремилось регулировать денежные доходы населения как с помощью налогов, так и ограничивая заработную плату, внедряя систему займов и лотерей (11121).</w:t>
      </w:r>
    </w:p>
    <w:p w14:paraId="23A6C0A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3975CC"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6A68F69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C9C74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февраля 1943</w:t>
      </w:r>
    </w:p>
    <w:p w14:paraId="72EE5A8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СТРОГО СЕКРЕТНОЕ И ЛИЧНОЕ ПОСЛАНИЕ ОТ ПРЕМЬЕР-МИНИСТРА г-на УИНСТОНА ЧЕРЧИЛЛЯ г-ну СТАЛИНУ</w:t>
      </w:r>
    </w:p>
    <w:p w14:paraId="3D151E8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 Благодарю Вас за Вашу телеграмму о Турции. Я встретился со всеми главными турками в Адане 30 января и имел с ними длительные и самые дружеские беседы </w:t>
      </w:r>
      <w:r w:rsidRPr="00D03F3E">
        <w:rPr>
          <w:rFonts w:ascii="Times New Roman" w:hAnsi="Times New Roman"/>
          <w:color w:val="000000" w:themeColor="text1"/>
          <w:sz w:val="16"/>
          <w:szCs w:val="16"/>
          <w:vertAlign w:val="superscript"/>
        </w:rPr>
        <w:t>35</w:t>
      </w:r>
      <w:r w:rsidRPr="00D03F3E">
        <w:rPr>
          <w:rFonts w:ascii="Times New Roman" w:hAnsi="Times New Roman"/>
          <w:color w:val="000000" w:themeColor="text1"/>
          <w:sz w:val="16"/>
          <w:szCs w:val="16"/>
        </w:rPr>
        <w:t>. Нет сомнений в том, что они значительно пошли нам обоим навстречу, а также в том, что их собственная информация из Германии убеждает их в плохом положении там. Первая задача состоит в том, чтобы снабдить их современным оружием, которого мы пока могли выделить лишь небольшое количество. Я сделал все возможное, чтобы отправлять все, что они могут перевезти по Таврской железной дороге, которая является единственной подходящей дорогой, а также дать им взаймы несколько пароходов для перевозки более значительного количества снабжения из Египта. Я даю им также некоторое количество германского вооружения, захваченного нами в пустыне. Мы создаем в Анкаре смешанную англо-турецкую военную комиссию для того, чтобы улучшить коммуникации для перевозки военных материалов. Мы составляем совместные планы оказания им помощи, если они подвергнутся нападению со стороны Германии или Болгарии.</w:t>
      </w:r>
    </w:p>
    <w:p w14:paraId="6E400CC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Я не просил о каком-либо точном политическом обязательстве или обещании относительно их вступления в войну на нашей стороне, но, по моему мнению, они сделают это до конца этого года. Вероятно, до этого путем широкого толкования нейтралитета, подобно тому, как это делали Соединенные Штаты до вступления в войну, они разрешат нам воспользоваться их аэродромами для заправки самолетов горючим в целях осуществления налетов британских и американских бомбардировщиков на нефтяные источники Плоешти, которые имеют жизненно важное значение для Германии, в особенности теперь, когда Ваши армии вернули Майкоп. Я повторяю, что я не просил и не получил определенного политического обязательства и сообщил им, что они могут так и заявить. Тем не менее их встреча со мной, их позиция в целом и совместное коммюнике, текст которого я направляю Вам по телеграфу, вовлекают их более открыто, чем раньше, в антигитлеровскую систему, и именно так это будет воспринято всем миром.</w:t>
      </w:r>
    </w:p>
    <w:p w14:paraId="2A365C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Они, конечно, озабочены тем положением, в котором они окажутся после войны, ввиду большой силы Советского Союза. Я сообщил им, что, на основании моего опыта, Союз Советских Социалистических Республик никогда не нарушал ни обязательств, ни договоров, что сейчас для них настало время заключить выгодное соглашение и что самое надежное место для Турции — это место возле победителей, как воюющей страны, за столом мирной конференции. Все это я сказал, исходя из наших общих интересов, в соответствии с нашим союзом, и я надеюсь, что Вы это одобрите. Я уверен, что они откликнулись бы на любой дружеский жест со стороны Союза Советских Социалистических Республик. Я был бы весьма рад получить Ваше искреннее мнение по всем этим вопросам. Я установил очень тесные личные отношения с ними, в особенности с Президентом Иненю.</w:t>
      </w:r>
    </w:p>
    <w:p w14:paraId="0291D9C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В Вашей недавней телеграмме, которую Вы послали Президенту Рузвельту, Вы спрашивали относительно замедления операций союзников в Северной Африке. Что касается британской 8-й армии, то с тех пор мы заняли Триполи и Зуара и надеемся в скором времени вступить значительными силами в Тунис и изгнать противника с позиций Марета и Габеса. Очищение и восстановление порта в Триполи идет полным ходом. Но в настоящее время линии наших коммуникаций простираются До Бенгази и отчасти даже до Каира, имея протяженность до 1600 миль. Наша 1-я армия, подкрепленная значительными соединениями американских вооруженных сил, подтягивает свои тылы и, как только это будет возможно, перейдет в наступление совместно с 8-й армией. Дождливая погода является серьезным фактором, так же как и коммуникации, которые, как железнодорожные, так и шоссейные, весьма немногочисленны и протяженность которых составляет 500 миль. Однако я надеюсь, что противник будет полностью уничтожен или изгнан с африканского побережья к концу апреля, а возможно, и раньше. Согласно моей собственной оценке, основывающейся на достоверной информации, 5-я германская танковая армия в Тунисе имеет 80 000 немцев и вместе с ними от 25 000 до 30 000 итальянцев, состоящих на довольствии. Роммель располагает 150000 немцев и итальянцев, состоящих на довольствии, из которых, возможно, лишь 40 000 составляют боевые части, но они плохо вооружены. Уничтожение этих сил является нашей непосредственной задачей.</w:t>
      </w:r>
    </w:p>
    <w:p w14:paraId="305D0DA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 отвечу Вам позже на Ваши совершенно справедливые вопросы, направленные мне и Президенту, относительно конкретных операций, о которых принято решение в Касабланке.</w:t>
      </w:r>
    </w:p>
    <w:p w14:paraId="7CE0748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Примите, пожалуйста, мои поздравления по случаю капитуляции фельдмаршала Паулюса и по случаю конца 6-й германской армии. Это, действительно, изумительная победа (7430).</w:t>
      </w:r>
    </w:p>
    <w:p w14:paraId="49E3B29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4635D3"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038BAEA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E16CDF" w14:textId="77777777" w:rsidR="00BA4E45" w:rsidRPr="00D03F3E" w:rsidRDefault="00BA4E4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февраля 1943 The Messerschmitt Bf 109 аса Эриха Paczia - вероятно , уже мертвого - сталкивается с B-17F Flying Fortress All-American над Тунисом , отрезая бомбардировщику левый стабилизатор и оставляя хвостовую секцию, соединенной с остальной частью самолета лишь несколькими лонжеронами и узкой полосой алюминиевой обшивки. Несмотря на повреждения, пилот B-17F лейтенант Кендрик Брэгга, блашлрллучно приземляется в Бискра, Алжир, без ущерба для тех, кто на борту. All-American ремонтируется и позже возвращается в строй (20376).</w:t>
      </w:r>
    </w:p>
    <w:p w14:paraId="2E1A893E" w14:textId="77777777" w:rsidR="00BA4E45" w:rsidRPr="00D03F3E" w:rsidRDefault="00BA4E45" w:rsidP="00D03F3E">
      <w:pPr>
        <w:spacing w:after="0" w:line="240" w:lineRule="auto"/>
        <w:jc w:val="both"/>
        <w:rPr>
          <w:rFonts w:ascii="Times New Roman" w:hAnsi="Times New Roman"/>
          <w:color w:val="0070C0"/>
          <w:sz w:val="16"/>
          <w:szCs w:val="16"/>
        </w:rPr>
      </w:pPr>
    </w:p>
    <w:p w14:paraId="20B71B3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февраля 1943 У.Черчиль прибыл в Каир (2262).</w:t>
      </w:r>
    </w:p>
    <w:p w14:paraId="2B9B3CA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72DDA8"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февраля</w:t>
      </w:r>
      <w:r w:rsidRPr="00D03F3E">
        <w:rPr>
          <w:rFonts w:ascii="Times New Roman" w:hAnsi="Times New Roman"/>
          <w:color w:val="000000" w:themeColor="text1"/>
          <w:sz w:val="16"/>
          <w:szCs w:val="16"/>
        </w:rPr>
        <w:t xml:space="preserve"> в 1943 году в бункере Растенбург Адольф Гитлер проводит совещание с немецким командованием, обвиняя генералов в некомпетентности и нелояльности (15027).</w:t>
      </w:r>
    </w:p>
    <w:p w14:paraId="3AAE7410" w14:textId="77777777" w:rsidR="00533942" w:rsidRPr="00D03F3E" w:rsidRDefault="00533942" w:rsidP="00D03F3E">
      <w:pPr>
        <w:spacing w:after="0" w:line="240" w:lineRule="auto"/>
        <w:jc w:val="both"/>
        <w:rPr>
          <w:rFonts w:ascii="Times New Roman" w:hAnsi="Times New Roman"/>
          <w:color w:val="000000" w:themeColor="text1"/>
          <w:sz w:val="16"/>
          <w:szCs w:val="16"/>
        </w:rPr>
      </w:pPr>
    </w:p>
    <w:p w14:paraId="51A7515E" w14:textId="77777777" w:rsidR="00533942" w:rsidRPr="00D03F3E" w:rsidRDefault="005339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февраля</w:t>
      </w:r>
      <w:r w:rsidRPr="00D03F3E">
        <w:rPr>
          <w:rFonts w:ascii="Times New Roman" w:hAnsi="Times New Roman"/>
          <w:color w:val="000000" w:themeColor="text1"/>
          <w:sz w:val="16"/>
          <w:szCs w:val="16"/>
        </w:rPr>
        <w:t xml:space="preserve"> в 1943 году началась эвакуация японских войск с острова Гуадаканал</w:t>
      </w:r>
    </w:p>
    <w:p w14:paraId="1AE96EE6" w14:textId="77777777" w:rsidR="00533942" w:rsidRPr="00D03F3E" w:rsidRDefault="00533942" w:rsidP="00D03F3E">
      <w:pPr>
        <w:spacing w:after="0" w:line="240" w:lineRule="auto"/>
        <w:jc w:val="both"/>
        <w:rPr>
          <w:rFonts w:ascii="Times New Roman" w:hAnsi="Times New Roman"/>
          <w:color w:val="000000" w:themeColor="text1"/>
          <w:sz w:val="16"/>
          <w:szCs w:val="16"/>
        </w:rPr>
      </w:pPr>
    </w:p>
    <w:p w14:paraId="085028A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 по 19 февраля 1943 японцы эвакуировались с Гвадалканала (2262).</w:t>
      </w:r>
    </w:p>
    <w:p w14:paraId="0635346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279501"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38C157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1F4DD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февраля 1943 на Ер-2 2М-30Б на заводах 134 и 500 был выполнен только часовой контрольный полет из-за отсутствия погоды (1458,30).</w:t>
      </w:r>
    </w:p>
    <w:p w14:paraId="3BFB11D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E951C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февраля 1943 у К.А.Груздева было летное происшествие на Аэрокобре N АН628 (751,10).</w:t>
      </w:r>
    </w:p>
    <w:p w14:paraId="76F341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19D9D5"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3C6AE2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13C5B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февраля 1943 года вышло РАСПОРЯЖЕНИЕ НАЧАЛЬНИКА УБП БТ и МВ КА КОМАНДИРУ 34-го ОТДЕЛЬНОГО УЧЕБНОГО ТАНКОВОГО ПОЛКА О ПРОВЕДЕНИИ ИСПЫТАНИЙ ТАНКОВ</w:t>
      </w:r>
    </w:p>
    <w:p w14:paraId="3993E1A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Существующие нормы расхода горючего на танки Т-70 и Т-60 нереальны, для определения рас</w:t>
      </w:r>
      <w:r w:rsidRPr="00D03F3E">
        <w:rPr>
          <w:rFonts w:ascii="Times New Roman" w:hAnsi="Times New Roman"/>
          <w:color w:val="000000" w:themeColor="text1"/>
          <w:sz w:val="16"/>
          <w:szCs w:val="16"/>
        </w:rPr>
        <w:softHyphen/>
        <w:t>хода горючего и установления норм провести испытание расхода горючего на танках Т-70 и Т-60 в вверенном Вам полку, для чего Вам создать комиссию под Вашим председательством.</w:t>
      </w:r>
    </w:p>
    <w:p w14:paraId="7943BE8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производства испытания выделить по два танка каждой марки, танки должны бать вполне исправные и отрегулированные.</w:t>
      </w:r>
    </w:p>
    <w:p w14:paraId="36F0D6C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провести на разной местности на разных режимах работы мотора.</w:t>
      </w:r>
    </w:p>
    <w:p w14:paraId="506C377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Материалы испытания с выводами комиссии представить в УБП БТ и МВ КА к 10 февраля 1943 года.</w:t>
      </w:r>
    </w:p>
    <w:p w14:paraId="6299437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УБП БТ и МВ КА генерал-майор Кривошеий</w:t>
      </w:r>
    </w:p>
    <w:p w14:paraId="2CBD5D7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11351. Д. 185. Л. 4. Копия (11403).</w:t>
      </w:r>
    </w:p>
    <w:p w14:paraId="77B8153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11ED0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февраля 1943 г. была подготовлена ДОКЛАДНАЯ ЗАПИСКА КОМАНДУЮЩЕГО БТ и МВ ЗАПАДНОГО ФРОНТА НАЧАЛЬНИКУ УРТ ГБТУ КА О ПЛАНЕ РЕМОНТА ТАНКОВ</w:t>
      </w:r>
    </w:p>
    <w:p w14:paraId="06BE81C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Утвержденный УРТ план ремонта танков для Западного фронта не реален, а поэтому и не может быть выполнен.</w:t>
      </w:r>
    </w:p>
    <w:p w14:paraId="55867D1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 настоящее время на Западном фронте имеется налицо 1423 танка, из них: КБ — 147, Т-34 — 308, Т-60-70 — 587, иномарок — 202, прочих — 179, требуют среднего ремонта 137 танков, из них: КВ — 24, Т-34 - 28, Т-60-70 - 50, иномарок - 26 и прочих - 9.</w:t>
      </w:r>
    </w:p>
    <w:p w14:paraId="237A09F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плану же нужно отремонтировать 570 танков, из них: КВ — 70, Т-34 — 150, Т-60-70 — 230, ино</w:t>
      </w:r>
      <w:r w:rsidRPr="00D03F3E">
        <w:rPr>
          <w:rFonts w:ascii="Times New Roman" w:hAnsi="Times New Roman"/>
          <w:color w:val="000000" w:themeColor="text1"/>
          <w:sz w:val="16"/>
          <w:szCs w:val="16"/>
        </w:rPr>
        <w:softHyphen/>
        <w:t>марок — 80, прочих — 40.</w:t>
      </w:r>
    </w:p>
    <w:p w14:paraId="1BDC1E9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Учитывая вероятный выход танков из строя, на февраль месяц запланировано отремонтировать 256 танков, из них: прочих — 10, КВ — 36, Т-34 — 118, Т-30-40-60-70 — 85, иномарок — 7. Иномарки для фронта ремонтирует 82 рембаза ГБТУ КА. Производственные возможности фронта больше, но рассчитывать на получение ремфонда танков на армейские ПРБ с других фронтов нельзя.</w:t>
      </w:r>
    </w:p>
    <w:p w14:paraId="668D8D7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производственный план всех ремпредприятий включено изготовление запасных частей и инструмента и ремонт агрегатов. Указывать сумму, на которую изготовляются запасные части, не представляется возможным, так как ни в БТУ фронта, ни в армиях нет прейскурантов.</w:t>
      </w:r>
    </w:p>
    <w:p w14:paraId="5F792AE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Ввиду вышеизложенного прошу пересмотреть спущенный Вами план ремонта, а также обеспе</w:t>
      </w:r>
      <w:r w:rsidRPr="00D03F3E">
        <w:rPr>
          <w:rFonts w:ascii="Times New Roman" w:hAnsi="Times New Roman"/>
          <w:color w:val="000000" w:themeColor="text1"/>
          <w:sz w:val="16"/>
          <w:szCs w:val="16"/>
        </w:rPr>
        <w:softHyphen/>
        <w:t>чить фронт и армии прейскурантами.</w:t>
      </w:r>
    </w:p>
    <w:p w14:paraId="466FD8D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 командующего БТ и МВ Западного фронта генерал-майор танковых войск Иванин</w:t>
      </w:r>
    </w:p>
    <w:p w14:paraId="4BDF037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РЭО БТ и МВ Западного фронта инженер-полковник Кевлев</w:t>
      </w:r>
    </w:p>
    <w:p w14:paraId="459548D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11371. Д. 24 Л. 8. Подлинник (11403).</w:t>
      </w:r>
    </w:p>
    <w:p w14:paraId="0B17708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452637"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февраля 1943 вышло Постановление ГКО № 2813 Об освобождении т. Трудова Т.Ф. от обязанностей уполномоченного ГОКО по лесозаготовкам по Новосибирской области и о назначении уполномоченным ГОКО по лесозаготовкам по Новосибирской области т. Тараскевича Г.М. (7078, 79).</w:t>
      </w:r>
    </w:p>
    <w:p w14:paraId="00D7DBC9"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174C4A"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февраля 1943 вышло Постановление ГКО № 2814 Об организации междугородней связи НКЭС. (7078, 80-81, 82-86).</w:t>
      </w:r>
    </w:p>
    <w:p w14:paraId="3CD69B69"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14D926"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февраля 1943 вышло Постановление ГКО № 2815 О восстановлении Сталинградского узла и железнодорожных линий Сталинград-Тихорецкая и Сталинград-Лихая. (7078, 87).</w:t>
      </w:r>
    </w:p>
    <w:p w14:paraId="0ADB3DA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D9080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февраля 1943 вышло Постановление ГКО № 2816 Об утверждении плана отпуска вещевого имущества для Красной Армии на февраль 1943 г.РГАНИР, Фонд ГКО, д. 85, лл. 88, 89-94 (11012).</w:t>
      </w:r>
    </w:p>
    <w:p w14:paraId="7C15147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BFB82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февраля 1943 вышло Постановление ГКО № 2817 Об отпуске производственных, госпитальных и фуражных пайков для Красной Армии, Военно-Морского Флота и войск НКВД СССР в феврале 1943 г.РГАНИР, Фонд ГКО, д. 85, лл. 95-96, 97-98 (11012).</w:t>
      </w:r>
    </w:p>
    <w:p w14:paraId="0907B72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0A6C53"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2EA6A1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F5E30E"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051467FB"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 февраля войска Юго-Западного, Южного, Северо-Кавказского, Закавказского, Воронежского, Ленинградского и Волховского фронтов вели наступательные бои на прежних направлениях.</w:t>
      </w:r>
    </w:p>
    <w:p w14:paraId="7AE5BE21"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Донского фронта истребляли разрозненные группы гитлеровцев, оказывающих сопротивление севернее Сталинграда. После артиллерийского обстрела, опорных пунктов противника бойцы Н-ской части заняли ряд вражеских дзотов и блиндажей. Захвачены пленные.</w:t>
      </w:r>
    </w:p>
    <w:p w14:paraId="5ABBEFCC"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Южного фронта вели наступательные бои. В районе Мечетинской немцы упорно сопротивлялись, пытаясь задержать наши части. Сопротивление гитлеровцев на этом участке сломлено, и они отступают под ударами наших войск. Советские бойцы заняли несколько укреплённых населённых пунктов, захватили 3 танка и другие трофеи.</w:t>
      </w:r>
    </w:p>
    <w:p w14:paraId="76EB5007"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продолжали наступление. На одном участке противник, отступая, оставил на поле боя свыше 300 трудов своих солдат и офицеров. Бойцы Н-ской части заняли населённый пункт и захватили 13 пулемётов, 5 миномётов, склад с продовольствием и много боеприпасов.</w:t>
      </w:r>
    </w:p>
    <w:p w14:paraId="3C6A2477"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Воронежа наши войска продолжали успешное наступление и овладели рядом населённых пунктов. Н-ская часть окружила и целиком пленила немецкий батальон. Наши танкисты, преследуя отступающего противника, уничтожили 13 орудий, 21 автомашину и взяли в плен 129 немецких солдат и офицеров. На другом участке захвачено 15 орудий, 150 автомашин и другое военное имущество. Взято вплен 450 солдат и офицеров противника.</w:t>
      </w:r>
    </w:p>
    <w:p w14:paraId="4F05AFE3"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Северо-Кавказского фронта успешно продвигались вперёд. Части Н-ского соединения захватили 38 немецких танков, 270 автомашин, 196 вагонов с боеприпасами, продовольствием, медикаментами и различным военным имуществом. На другом участке наши бойцы, овладев населённым пунктом, взяли трофеи, в числе которых 3 танка, 13 автомашин, 4 вагона со снарядами, 6 вагонов с авиабомбами, эшелон с продовольствием и 700 голов рогатого скота.</w:t>
      </w:r>
    </w:p>
    <w:p w14:paraId="28397C52"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Могилёвской области, за две недели пустил под откос 14 воинских эшелонов. В результате крушений убито и ранено много гитлеровцев. Кроме того, советские патриоты взорвали 10 мостов, сожгли и разбили 42 автомашины. Партизаны захватили орудие, 144 винтовки, 120 снарядов, 10 тысяч патронов и много различного военного имущества.</w:t>
      </w:r>
    </w:p>
    <w:p w14:paraId="40631BFF"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солдат 17 полка 9 венгерской пехотной дивизии Митро Рудаш сообщил: «24 января по приказу командира 164 полка 57 немецкой пехотной дивизии подполковника Ленца в селе Кочетовка расстреляны 49 венгерских офицеров, пытавшихся сдаться в плен».</w:t>
      </w:r>
    </w:p>
    <w:p w14:paraId="3535E70B"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изгнания немцев из села Кочетовка заявление Рудаша было проверено. Оно полностью подтвердилось. Трупы расстрелянных гитлеровцами венгерских офицеров найдены. Фамилии и звания убитых выясняются.</w:t>
      </w:r>
    </w:p>
    <w:p w14:paraId="6FED6FED"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селеИстобное, Воронежской области: «Много мук и страданий перенесли мы, находясь под немецким ярмом. Ворвавшись в село, немецкие разбойники в первый же день расстреляли 18 мирных жителей. Вслед за этим начались грабежи, продолжавшиеся до последнего дня оккупации. Немцы забрали у нас 260 коров, мелкий скот, всю домашнюю птицу, весь хлеб, личные вещи, обувь и одежду. Палачи расстрелял иколхозника Тимофея Крепишина, его дочь и внука, а старую мать Крепишина сожгли живьём. Перед отступлением фашистские изверги согнали на скотный двор колхоза «Память Ленина» группу стариков и женщин и забросали их гранатами. Много колхозников погибло. Всего гитлеровцы в нашем селе замучили насмерть 56 жителейи насильно угнали 80 колхозниц на каторжные работы в Германию». Акт подписали жители села Истобное: Н.Аксёнов, А.Ватутин, С.Зубарёв, П.Захарова, М.Семёнова.» (15028).</w:t>
      </w:r>
    </w:p>
    <w:p w14:paraId="02EBDCA0" w14:textId="77777777" w:rsidR="00E13E41" w:rsidRPr="00D03F3E" w:rsidRDefault="00E13E41" w:rsidP="00D03F3E">
      <w:pPr>
        <w:spacing w:after="0" w:line="240" w:lineRule="auto"/>
        <w:jc w:val="both"/>
        <w:rPr>
          <w:rFonts w:ascii="Times New Roman" w:hAnsi="Times New Roman"/>
          <w:color w:val="000000" w:themeColor="text1"/>
          <w:sz w:val="16"/>
          <w:szCs w:val="16"/>
        </w:rPr>
      </w:pPr>
    </w:p>
    <w:p w14:paraId="2D7B8D9D"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77F48F4F"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Донского фронта полностью закончили ликвидацию немецко-фашистскихвойск, окружённых в районе Сталинграда. 2 февраля раздавлен последний очаг сопротивления противника в районе севернее Сталинграда. Историческое сражениепод Сталинградом закончилось полной победой наших войск.</w:t>
      </w:r>
    </w:p>
    <w:p w14:paraId="7C2AC148"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Сватово наши войска овладели районными центрами Покровское и Нижняя Дуванка.</w:t>
      </w:r>
    </w:p>
    <w:p w14:paraId="0F45E377"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Тихорецк наши войска, продолжая развивать наступление, овладели районными центрами Павловская, Ново-Леушковская, Кореновская.</w:t>
      </w:r>
    </w:p>
    <w:p w14:paraId="07340CE6"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остальных участках фронта наши войска продолжали вести наступательные бои на прежних направлениях и заняли ряд населённых пунктов.</w:t>
      </w:r>
    </w:p>
    <w:p w14:paraId="72DF7DA9"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корабли в Баренцевом море потопили транспорт противника водоизмещением в 12 тысяч тонн.</w:t>
      </w:r>
    </w:p>
    <w:p w14:paraId="02E4BFBF"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февраля частями нашей авиации на различных участках фронта уничтожено или повреждено до 200 немецких автомашин с войсками и грузами, подавлен огонь 5 артиллерийских батарей, рассеяно и частью уничтожено до двух батальонов пехоты противника.</w:t>
      </w:r>
    </w:p>
    <w:p w14:paraId="1C9CC5E6"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Южного фронта, отражая контратаки гитлеровцев, продолжали продвигаться вперёд. Бойцы Н-ского соединения выбили противника из ряда населённых пунктов и нанесла ему большие потери. Только в районе одного населённого пункта подсчитано свыше 300 трупов немецких солдат и офицеров. На другом участке противник силами пехоты и танков дважды переходил в контратаки, пытаясь вернуть потерянные позиции. В результате боя немцы потеряли 4 танка и, не добившись никакого успеха, отступили.</w:t>
      </w:r>
    </w:p>
    <w:p w14:paraId="4560D549"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в районе Сватово вели успешные наступательные операции. В боях за один крупный населенный пункт нашими частями уничтожено 28 немецких танков, 22 орудия и много автомашин. Сбито также 4 самолёта противника. Захвачено 6 полевых орудий, 3 самоходные пушки, 35 автомашин и 2 склада с боеприпасами. На другом участке наши танкисты истребили 200 немецких солдат и офицеров и взяли 120 пленных. Захвачено 2 танка, 10 автомашин с грузом и другие трофеи.</w:t>
      </w:r>
    </w:p>
    <w:p w14:paraId="2EE31C00"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Воронежа наши войска успешно продвигались вперёд.</w:t>
      </w:r>
    </w:p>
    <w:p w14:paraId="59B5F49B"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Часть, которой командует тов. Ефимов, разбила немецкий пехотный полк. 300 вражеских солдат и офицеров сдались в плен. На другом участке бойцами Н-ского соединения в течение дня взято в плен свыше 500 солдат и офицеров противника. Захвачены большие трофеи.</w:t>
      </w:r>
    </w:p>
    <w:p w14:paraId="3475B886"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Северо-Кавказского фронта, преодолевая сопротивление противника, продолжали наступление. В течение дня части Н-ского соединения заняли 6 населённых пунктов. Ожесточённый бой произошёл около одного сильно укреплённого немцами опорного пункта. Советские бойцы сковали вражеский гарнизон боями с фронта. В это время другие наши подразделения обошли противника и атаковали его с флангов и тыла. Немецкий гарнизон почти полностью уничтожен. Захвачены склады с боеприпасами, снаряжением и продовольствием. На другом участке подвижной отряд Н-ской части вышел в тыл противнику и захватил немецкую артиллерийскую батарею, 12 пулемётов, 4 миномёта и склад с минами.</w:t>
      </w:r>
    </w:p>
    <w:p w14:paraId="2334BAD5"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Смоленской области, за неделю пустил под откос 5 воинских эшелонов противника. Разбито 2 паровоза, 41 вагон и 13 платформ. Разрушено 950 метров железнодорожного пути. Другой отряд смоленских партизан напал на немецкий обоз, следовавший к линии фронта. Партизаны сожгли 8 бочек с бензином, захватили 23 лошади и несколько тысяч патронов.</w:t>
      </w:r>
    </w:p>
    <w:p w14:paraId="38F0422A"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селе Солдатское, Воронежской области: «Гитлеровцы забрали весь урожай колхозов имениЛенина и имени Будённого, ограбили колхозников и обрекли их на голодную смерть. Фашистские бандиты разорили жителей окрестных сёл и согнали всех колхозников в село Солдатское. Около 11 тысяч человек, среди которых было много женщин идетей, ютились в конюшнях, сараях и землянках. Немцы морили их голодом и никуда не выпускали. Через некоторое время гитлеровцы погнали измученных и ослабевши хлюдей дальше на запад. Больных и обессилевших от голода фашистские изверги пристреливали в дороге. Гитлеровские палачи повесили в селе 11 пленных красноармейцев и расстреляли Ольгу Анцупову — 30 лет, Анну Пальчикову — 25 лет, Ольгу Попову — 35 лет, Фёдора Зыкова — 70 лет и других жителей. Отступая из села, немцы сожгли общественные здания и 30 домов колхозников». Акт подписали И.Золотухин, И.Мочнев, М.Попов, председатель сельсовета Емельянов.».</w:t>
      </w:r>
    </w:p>
    <w:p w14:paraId="7427155A"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1A6B2492"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полностью закончили ликвидацию немецко-фашистских войск,окруженных в районе Сталинграда.</w:t>
      </w:r>
    </w:p>
    <w:p w14:paraId="1B66A6B8"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«Сегодня, 2 февраля, войска Донского фронта полностью закончили ликвидацию немецко-фашистских войск, окружённых в районе Сталинграда. Наши войска сломили сопротивление противника, окружённого севернее Сталинграда, и вынудили его сложить оружие. Раздавлен последний очаг сопротивления противника в районе Сталинграда. 2 февраля 1943 года историческое сражение под Сталинградом закончилось полной победой наших войск.</w:t>
      </w:r>
    </w:p>
    <w:p w14:paraId="4C16A4BA"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последние два дня количество пленных увеличилось на 45.000, а всего за время боёв с 10 января по 2 февраля наши войска взяли в плен 91.000 немецкихсолдат и офицеров.</w:t>
      </w:r>
    </w:p>
    <w:p w14:paraId="1BBA6324"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февраля нашими войсками взят в плен командир 11 армейского корпуса, командующий группой немецких войск, окружённых севернее Сталинграда, генерал-полковник Штреккер и его начальник штаба полковник генштаба Гельмут Росскурт.</w:t>
      </w:r>
    </w:p>
    <w:p w14:paraId="587A2150"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1 и 2 февраля взяты в плен следующие генералы немецкой армии: 1) командир 8 армейского корпуса генерал-полковник Вальтер Гейтц, 2) командир 76 пехотной дивизии генерал-лейтенант фон Роденбург, 3) командир 113 пехотной дивизии генерал-лейтенант фон Зикст Армин, 4) командир 24 танковой дивизии генерал-лейтенант фон Ленски, 5) командир 389 пехотной дивизии генерал-майор Мартин Лятман, 6) командующий группой немецких войск, окружённой западнее центральной части Сталинграда, генерал-майор Раске, 7) генерал-майор Магнос.</w:t>
      </w:r>
    </w:p>
    <w:p w14:paraId="605CCD9B"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Взяты также в плен личный адъютант генерал-фельдмаршала Паулюса полковник Адам, командир 14 танковой дивизии полковник Людвиг, командир 227 пехотногополка 100 пехотной дивизии полковник Франц Найбеккер, командир 2 миномётного полка полковник Фридрих Найер, командир 29 артиллерийского полка 29 мотодивизии полковник Гюнтер Краг, начальник штаба 8 армейского корпуса полковник Шнитцер, начальник артиллерии 1 кавалерийской дивизии румын полковник Мальтополь, командир 13 сапёрного полка 8 армейского корпуса полковник Шилленг, начальник штаба 76 пехотного полка полковник Белогулат, командир 48 отдельного полка связи полковник Каренецкий, командир 51 артиллерийского полка 376 пехотной дивизии полковник Шварц, командир 134 пехотного полка 44 пехотной дивизии полковник Бойе, командир 376 артиллерийского полка полковник Фур, командир 576 пехотного полка 376 пехотной дивизии полковник Шитезенф, командир 37 артиллерийского полка полковник Вольт, командир 134 артиллерийского полка 44 пехотной дивизии полковник Босартур, командир 536 пехотного полка 376 пехотной дивизии полковник Шлезингер, командир 627 артиллерийского полка полковник Беренек, командир 767 пехотного полка полковник Штейдле, начальник штаба 14 танковой дивизии полковник фон Вольт, начальник штаба 76 пехотной дивизии полковник Бридгульт, командир 54 пехотного полка полковник Лебер, полковник врач Кайзер, командир 523 пехотного полка 297 пехотной дивизии полковник Ганс Либау и многие другие.</w:t>
      </w:r>
    </w:p>
    <w:p w14:paraId="6348A174"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нашими войсками в боях под Сталинградом взято в плен 24 генерала и более 2.500 офицеров.</w:t>
      </w:r>
    </w:p>
    <w:p w14:paraId="7466B96D"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время генерального наступления против окружённых войск противника, с 10 января по 2 февраля, по неполным данным, наши войска взяли следующие трофеи: самолётов — 750, танков — 1.550, орудий — 6.700, миномётов — 1.462, пулемётов —8.135, винтовок — 90.000, автомашин — 61.102, мотоциклов:—7.369, тягачей, тракторов, транспортёров.— 480, радиостанций — 320, бронепоездов — 3, паровозов— 56, вагонов — 1.125, складов с боеприпасами и вооружением — 235 и большое количество другого военного имущества. Подсчёт трофеев продолжается.</w:t>
      </w:r>
    </w:p>
    <w:p w14:paraId="23E48615"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Таков исход одного из самых крупных сражений в истории войн.» (15028).</w:t>
      </w:r>
    </w:p>
    <w:p w14:paraId="10F8944C" w14:textId="77777777" w:rsidR="00E13E41" w:rsidRPr="00D03F3E" w:rsidRDefault="00E13E41" w:rsidP="00D03F3E">
      <w:pPr>
        <w:spacing w:after="0" w:line="240" w:lineRule="auto"/>
        <w:jc w:val="both"/>
        <w:rPr>
          <w:rFonts w:ascii="Times New Roman" w:hAnsi="Times New Roman"/>
          <w:color w:val="000000" w:themeColor="text1"/>
          <w:sz w:val="16"/>
          <w:szCs w:val="16"/>
        </w:rPr>
      </w:pPr>
    </w:p>
    <w:p w14:paraId="2B5DD1B8" w14:textId="77777777" w:rsidR="00E13E41" w:rsidRPr="00D03F3E" w:rsidRDefault="00E13E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 февраля</w:t>
      </w:r>
      <w:r w:rsidRPr="00D03F3E">
        <w:rPr>
          <w:rFonts w:ascii="Times New Roman" w:hAnsi="Times New Roman"/>
          <w:color w:val="000000" w:themeColor="text1"/>
          <w:sz w:val="16"/>
          <w:szCs w:val="16"/>
        </w:rPr>
        <w:t xml:space="preserve"> в 1943 году завершилась Воронежско-Касторненская операция: советские войска разгромили 11 дивизий воронежско-касторненской группировки немцев, продвинулись на 120 км. Капитулировала северная группа войск 6-й немецкой армии. Войска Донского фронта закончили операцию «Кольцо». Завершилась наступательная операция советских войск в Сталинградской битве: действовавшая на сталинградском направлении группировка противника была разгромлена. Началась Харьковская наступательная операция войск Воронежского (генерал-полковник Ф.И.Голиков) и Юго-Западного (генерал-полковник Н.Ф.Ватутин) фронтов, продолжавшаяся до 3 марта. Войска Брянского фронта начали наступление на Малоархангельск и Фатеж. Начало рейда партизанского соединения С.А.Ковпака через Ровенскую, Житомирскую и Киевскую области. Завершён 25 мая (15028).</w:t>
      </w:r>
    </w:p>
    <w:p w14:paraId="49435CD4" w14:textId="77777777" w:rsidR="00E13E41" w:rsidRPr="00D03F3E" w:rsidRDefault="00E13E41" w:rsidP="00D03F3E">
      <w:pPr>
        <w:spacing w:after="0" w:line="240" w:lineRule="auto"/>
        <w:jc w:val="both"/>
        <w:rPr>
          <w:rFonts w:ascii="Times New Roman" w:hAnsi="Times New Roman"/>
          <w:color w:val="000000" w:themeColor="text1"/>
          <w:sz w:val="16"/>
          <w:szCs w:val="16"/>
        </w:rPr>
      </w:pPr>
    </w:p>
    <w:p w14:paraId="384D1AD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февраля 1943 г. за успешные действия 47-й полк на Ту-2 переименовали в 47-й гвардейский, и 17 февраля в Монино состоялось торжественное вручение ему гвардейского знамени.</w:t>
      </w:r>
    </w:p>
    <w:p w14:paraId="010A89B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Первый Ту-2 полк потерял 14 марта. Экипаж майора В.Ф. Столярова снимал позиции немцев под Старой Руссой. Он сообщил на базу: "Задание выполнено, возвращаемся". Но на обратном пути к аэродрому Выползово машину перехватили шесть вражеских истребителей FW 190. Некоторые авторы утверждают, что среди немецких летчиков был известный ас Вальтер Новотны. После неоднократных атак Ту-2 загорелся. Столяров приказал всем покинуть машину, а сам пытался сбить пламя. Но спастись на парашюте смог только штурман Хабеев, пилот и оба стрелка погибли вместе с самолетом. Штурман через два дня вышел к линии фронта, где его встретили советские саперы.</w:t>
      </w:r>
    </w:p>
    <w:p w14:paraId="0C50DC8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Позднее три оставшихся Ту-2 разместили на аэродроме Андреаполь. Они летали в основном на съемку железнодорожных узлов. Экипаж А. Дрыгина слетал к порту Пярну и привез важную информацию о разгрузке войск и военной техники. К маю 1943 г. три самолета 47-го полка налетали больше часов, чем все машины 132-го. В мае 47-й гвардейский полк пополнили десятью Ту-2, переданными из последнего. Их тоже оснастили фотоаппаратурой.</w:t>
      </w:r>
    </w:p>
    <w:p w14:paraId="1529451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Новые потери самолетов последовали в ходе Орловско-Брянской операции. Три машины были сбиты в июле и одна в августе. За неделю до начала Курской битвы летчик А. Дрыгин проводил фотосъемку порта в Пярну. Над целью его обстреляла зенитная артиллерия. Близким разрывом поразило один из моторов. На одном </w:t>
      </w:r>
      <w:r w:rsidRPr="00D03F3E">
        <w:rPr>
          <w:rFonts w:ascii="Times New Roman" w:hAnsi="Times New Roman"/>
          <w:color w:val="000000" w:themeColor="text1"/>
          <w:sz w:val="16"/>
          <w:szCs w:val="16"/>
        </w:rPr>
        <w:lastRenderedPageBreak/>
        <w:t>двигателе пилот протянул около 500 км и совершил вынужденную посадку с убранным шасси уже на нейтральной полосе между позициями советских и немецких войск. Экипаж забрал отснятые кассеты и ушел к своим. Самолет, чтобы тот не достался противнику, расстреляла артиллерия. К концу осени 1943 г. в полку осталось шесть боеспособных Ту-2.</w:t>
      </w:r>
    </w:p>
    <w:p w14:paraId="6B4B859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Войсковые испытания Ту-2 в качестве разведчика завершились в ноябре 1943 г. К этому времени хорошо зарекомендовавший себя самолет вновь запустили в серийное производство. Но строил Ту-2 уже другой завод, да и машина стала несколько иной (11988).</w:t>
      </w:r>
    </w:p>
    <w:p w14:paraId="4B50BCF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6E66D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2 февраля 1943 (с 23 ноября 1942) немцы под Сталинградом потеряли 1057 самолетов, включая 590 захваченных на земле (315,36).</w:t>
      </w:r>
    </w:p>
    <w:p w14:paraId="6D6CEDE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F0551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February 2 1943 Last elements of German Sixth Army surrender at Stalingrad; Russian spearheads push energetically toward Rostov, Kharkov, and Kursk (1037).</w:t>
      </w:r>
    </w:p>
    <w:p w14:paraId="4CFC616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93108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февраля 1943 остатки 6А в Сталинграде сдались (1037).</w:t>
      </w:r>
    </w:p>
    <w:p w14:paraId="3923DC8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D0060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C 10 января по 2 февраля 1943 в плен попало 91000 немецких солдат и офицеров (3186).</w:t>
      </w:r>
    </w:p>
    <w:p w14:paraId="5A8506D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64A2C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Germany was strangely ambivalent in the field of transport aviation. The Luftwaffe never consolidated the management of transport under a single chief, and the standard Ju-52 transport fleet not only was used for airlift but provided a substantial proportion of the aircraft employed in Luftwaffe training programs. In operations that proceeded according to schedule, Luftwaffe air transport machinery worked well, as was demonstrated in the employment of air-dropped and air-landed troops in Norway and the Netherlands in 1940 and in the capture of Crete in the spring of 1941. By the winter of 1942-1943, however, German air transport forces were exhausted in a futile effort to resupply the besieged ground armies at Stalingrad (now Volgograd) (1115).</w:t>
      </w:r>
    </w:p>
    <w:p w14:paraId="7BC56E0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01A01A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At the outset of the war the Soviet Union probably intended to make extensive use of elite airborne troops, but these forces were soon destroyed in ground battles, and such transport aircraft as remained were usually employed in resupplying guerrilla forces. One of the chief missions of the ADD was to fly nocturnal supply drops to partisan troops in forward areas (1115).</w:t>
      </w:r>
    </w:p>
    <w:p w14:paraId="60BEC6C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1DC88F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C 2 февраля по 3 марта 1943 была Харьковская наступательная операция и продвинулись на 100-260 км, освободив Харьков 16 февраля 1943 (2443,251).</w:t>
      </w:r>
    </w:p>
    <w:p w14:paraId="547F99A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35F29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февраля 1943 в СССР учреждена медаль “Партизан Отечественной войны” (4962).</w:t>
      </w:r>
    </w:p>
    <w:p w14:paraId="36A90FD5"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D12AF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февраля 1943 была учреждена медаль Партизану ВОВ (2989).</w:t>
      </w:r>
    </w:p>
    <w:p w14:paraId="0969C4E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B3D232"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293A0C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8CD41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февраля 1943 закончились гос. испытания двухместного Ил-2 N 1112 с двигателем АМ-38Ф мощностью 1700 л. с., проводимые с 17 декабря (462,24).</w:t>
      </w:r>
    </w:p>
    <w:p w14:paraId="19B1DE6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AE2A6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фев</w:t>
      </w:r>
      <w:r w:rsidRPr="00D03F3E">
        <w:rPr>
          <w:rFonts w:ascii="Times New Roman" w:hAnsi="Times New Roman"/>
          <w:color w:val="000000" w:themeColor="text1"/>
          <w:sz w:val="16"/>
          <w:szCs w:val="16"/>
        </w:rPr>
        <w:softHyphen/>
        <w:t>раля 1943 г. выш</w:t>
      </w:r>
      <w:r w:rsidRPr="00D03F3E">
        <w:rPr>
          <w:rFonts w:ascii="Times New Roman" w:hAnsi="Times New Roman"/>
          <w:color w:val="000000" w:themeColor="text1"/>
          <w:sz w:val="16"/>
          <w:szCs w:val="16"/>
        </w:rPr>
        <w:softHyphen/>
        <w:t>ло Постановление ГКО № 2819 от 03.02.43 г., согласно которому количе</w:t>
      </w:r>
      <w:r w:rsidRPr="00D03F3E">
        <w:rPr>
          <w:rFonts w:ascii="Times New Roman" w:hAnsi="Times New Roman"/>
          <w:color w:val="000000" w:themeColor="text1"/>
          <w:sz w:val="16"/>
          <w:szCs w:val="16"/>
        </w:rPr>
        <w:softHyphen/>
        <w:t>ство неисправной авиатехники в строе</w:t>
      </w:r>
      <w:r w:rsidRPr="00D03F3E">
        <w:rPr>
          <w:rFonts w:ascii="Times New Roman" w:hAnsi="Times New Roman"/>
          <w:color w:val="000000" w:themeColor="text1"/>
          <w:sz w:val="16"/>
          <w:szCs w:val="16"/>
        </w:rPr>
        <w:softHyphen/>
        <w:t>вых частях в ВВС КА отныне не должно было превышать 15%. Этим же поста</w:t>
      </w:r>
      <w:r w:rsidRPr="00D03F3E">
        <w:rPr>
          <w:rFonts w:ascii="Times New Roman" w:hAnsi="Times New Roman"/>
          <w:color w:val="000000" w:themeColor="text1"/>
          <w:sz w:val="16"/>
          <w:szCs w:val="16"/>
        </w:rPr>
        <w:softHyphen/>
        <w:t>новлением при Управлении ИАС ВВС КА было создано Управление полевого ре</w:t>
      </w:r>
      <w:r w:rsidRPr="00D03F3E">
        <w:rPr>
          <w:rFonts w:ascii="Times New Roman" w:hAnsi="Times New Roman"/>
          <w:color w:val="000000" w:themeColor="text1"/>
          <w:sz w:val="16"/>
          <w:szCs w:val="16"/>
        </w:rPr>
        <w:softHyphen/>
        <w:t>монта и Управление капитально-восста</w:t>
      </w:r>
      <w:r w:rsidRPr="00D03F3E">
        <w:rPr>
          <w:rFonts w:ascii="Times New Roman" w:hAnsi="Times New Roman"/>
          <w:color w:val="000000" w:themeColor="text1"/>
          <w:sz w:val="16"/>
          <w:szCs w:val="16"/>
        </w:rPr>
        <w:softHyphen/>
        <w:t>новительного ремонта, а в воздушных ар</w:t>
      </w:r>
      <w:r w:rsidRPr="00D03F3E">
        <w:rPr>
          <w:rFonts w:ascii="Times New Roman" w:hAnsi="Times New Roman"/>
          <w:color w:val="000000" w:themeColor="text1"/>
          <w:sz w:val="16"/>
          <w:szCs w:val="16"/>
        </w:rPr>
        <w:softHyphen/>
        <w:t>миях и округах - Отделы полевого ремонта (6467).</w:t>
      </w:r>
    </w:p>
    <w:p w14:paraId="4F9C829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4B7D6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февраля 1943 вышло Постановление ГКО № 2819 О мероприятиях по обеспечению ремонта самолетов и авиационных моторов.РГАНИР, Фонд ГКО, д. 85, лл. 100-104, 105-169 (11012).</w:t>
      </w:r>
    </w:p>
    <w:p w14:paraId="6517A7D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8FF7B8"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91F224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733F8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февраля 1943 г. было принято решение о подготовке серийного производства штурмовой 76-мм САУ поддержки на трофейном шасси (9695). Дело в том, что в январе - феврале 1943 года начали происходить массовые аварии трансмиссии, принятых на вооружение СУ-76 (СУ-12). Причиной этих аварий была параллельная установка двух спаренных двигателей, работавших на общий вал, что приводило к возникновению резонансных крутильных колебаний. Дефект был сочтен конструкционным, и для его ликвидации требовалось много времени. Таким образом, в феврале 1943 года большая часть СУ-76 (СУ-12) требовала ремонта и не могла использоваться для ведения боев. Красная Армия оказалась лишенной наиболее необходимых 76-мм самоходных дивизионных орудий. Срочно необходимо было найти временное решение по изготовлению самоходных 76-мм орудий к летней кампании 1943 года. И тут предложение Каштанова о перевооружении СГ-122 76-мм дивизионной пушкой пришлось как нельзя кстати. Кроме того, по донесениям трофейных служб после окончания Сталинградской битвы на ремонтные предприятия Наркомата танковой промышленности (НКТП)и НKB было доставлено более 300 немецких танков и САУ.</w:t>
      </w:r>
    </w:p>
    <w:p w14:paraId="425A202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Конструкторский коллектив Каштанова был переведен в Свердловск, на территорию эвакуированного завода № 37, и приказом по НКТП был преобразован в конструкторское бюро и начал доработку проекта СГ-122. Времени было мало, так как опытный образец САУ должен был быть готов к 1 марта. Поэтому чертежи многих узлов изготавливали уже "задним числом", обмеряя опытный образец.</w:t>
      </w:r>
    </w:p>
    <w:p w14:paraId="16902B6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отличие от ранее изготовленных самоходных гаубиц рубка в новой САУ получила наклонные борта, что повышало их прочность. Первоначально планировалось установить в боевом отделении САУ 76,2-мм пушку ЗИС-3 на станке, укрепленном к полу, но такая установка не обеспечивала надежной защиты орудийной амбразуры от пуль и осколков, так как при подъеме и повороте орудия в щите неизменно образовывались щели.</w:t>
      </w:r>
    </w:p>
    <w:p w14:paraId="33DE8B0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эта проблема была разрешена установкой вместо 76-мм дивизионной пушки специального самоходного 76,2-мм орудия С-1. Это орудие было спроектировано на базе конструкции танковой пушки Ф-34 и было очень дешевым. Оно разрабатывалось для легких опытных САУ завода ГАЗ. От Ф-34 новая пушка отличалась наличием карданной рамки, позволявшей устанавливать его непосредственно в лобовой лист корпуса и освобождавшей полезный объем в боевом отделении (9695).</w:t>
      </w:r>
    </w:p>
    <w:p w14:paraId="7B8764C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310D3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февраля 1943 г. было принято решение о подготовке серийного производства штурмовой 76-мм САУ поддержки на трофейном шасси. Конструкторский коллектив Каштанова был переведен в Свердловск, на территорию эвакуированного завода № 37, и приказом по Наркомату тяжелой промышленности преобразован в конструкторское бюро и начал доработку проекта СГ-122. Времени было мало, так как опытный образец САУ должен был быть готов к 1 марта (12687).</w:t>
      </w:r>
    </w:p>
    <w:p w14:paraId="38D4CD60"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56D79FE9" w14:textId="77777777" w:rsidR="00601E3D" w:rsidRPr="00D03F3E" w:rsidRDefault="00601E3D" w:rsidP="00D03F3E">
      <w:pPr>
        <w:pStyle w:val="book"/>
        <w:ind w:firstLine="0"/>
        <w:jc w:val="both"/>
        <w:rPr>
          <w:color w:val="000000" w:themeColor="text1"/>
          <w:sz w:val="16"/>
          <w:szCs w:val="16"/>
        </w:rPr>
      </w:pPr>
      <w:r w:rsidRPr="00D03F3E">
        <w:rPr>
          <w:color w:val="000000" w:themeColor="text1"/>
          <w:sz w:val="16"/>
          <w:szCs w:val="16"/>
        </w:rPr>
        <w:t>3 февраля 1943 г. было принято решение о подготовке серийного производства штурмовой 76-мм САУ поддержки на трофейном шасси.</w:t>
      </w:r>
    </w:p>
    <w:p w14:paraId="291E84CA" w14:textId="77777777" w:rsidR="00601E3D" w:rsidRPr="00D03F3E" w:rsidRDefault="00601E3D" w:rsidP="00D03F3E">
      <w:pPr>
        <w:pStyle w:val="book"/>
        <w:ind w:firstLine="0"/>
        <w:jc w:val="both"/>
        <w:rPr>
          <w:color w:val="000000" w:themeColor="text1"/>
          <w:sz w:val="16"/>
          <w:szCs w:val="16"/>
        </w:rPr>
      </w:pPr>
      <w:r w:rsidRPr="00D03F3E">
        <w:rPr>
          <w:color w:val="000000" w:themeColor="text1"/>
          <w:sz w:val="16"/>
          <w:szCs w:val="16"/>
        </w:rPr>
        <w:t>Конструкторский коллектив Каштанова был переведен в Свердловск, на территорию эвакуированного завода № 37, и приказом по Наркомату тяжелой промышленности преобразован в конструкторское бюро и начал доработку проекта СГ-122. Времени было мало, так как опытный образец САУ должен был быть готов к 1 марта. Поэтому приняли решение использовать 76,2-мм пушку С-1. Эта пушка была разработана под руководством В.Г. Грабина и предназначалась для установки в САУ. От танковой пушки Ф-34 она отличалась наличием рамки с цапфами, которые вставлялись в подцапфенники лобовой брони корпуса (15225).</w:t>
      </w:r>
    </w:p>
    <w:p w14:paraId="12D8F661" w14:textId="77777777" w:rsidR="00601E3D" w:rsidRPr="00D03F3E" w:rsidRDefault="00601E3D" w:rsidP="00D03F3E">
      <w:pPr>
        <w:pStyle w:val="book"/>
        <w:ind w:firstLine="0"/>
        <w:jc w:val="both"/>
        <w:rPr>
          <w:color w:val="000000" w:themeColor="text1"/>
          <w:sz w:val="16"/>
          <w:szCs w:val="16"/>
        </w:rPr>
      </w:pPr>
    </w:p>
    <w:p w14:paraId="2870952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февраля 1943 вышло Распоряжение ГКО № 2818. О производстве бронемаски и броневой рамы для 76 мм пушки.РГАНИР, Фонд ГКО, д. 85, лл. 99 (11012).</w:t>
      </w:r>
    </w:p>
    <w:p w14:paraId="021779B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A585A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февраля 1943 г. главный конструктор ГАЗа А. А. Липгарт на совещании конструкторов автомобильных заводов и предприятий-смежников докладывал о ходе работ над легковой моделью ГАЗ-20 и грузовыми ГАЗ-51 (колесная формула 4X2), ГАЗ-63 (4X4), ГАЗ-33 (6X6). Первый опытный образец ГАЗ-20 был готов 6 ноября 1944 г. Из ворот завода его вывел на первые испытания сам А. А. Липгарт. Дизельным грузовикам в послевоенные годы предстояло стать основной продукцией ЯАЗа. В ноябре 1944 г. в США выехала большая группа специалистов для размещения заказов на оборудование моторного цеха. До 1946 г. они получили 350 станков (12098).</w:t>
      </w:r>
    </w:p>
    <w:p w14:paraId="3E050A2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8046EC" w14:textId="77777777" w:rsidR="0053494B" w:rsidRPr="00D03F3E" w:rsidRDefault="0053494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3-8 февраля 1943 Народным комиссариатом сред</w:t>
      </w:r>
      <w:r w:rsidRPr="00D03F3E">
        <w:rPr>
          <w:rFonts w:ascii="Times New Roman" w:hAnsi="Times New Roman"/>
          <w:color w:val="0070C0"/>
          <w:sz w:val="16"/>
          <w:szCs w:val="16"/>
        </w:rPr>
        <w:softHyphen/>
        <w:t>него машиностроения было проведено совещание конструкторов автомобильных и смежных заводов. Обсуждались два вопроса: сопоставление кон</w:t>
      </w:r>
      <w:r w:rsidRPr="00D03F3E">
        <w:rPr>
          <w:rFonts w:ascii="Times New Roman" w:hAnsi="Times New Roman"/>
          <w:color w:val="0070C0"/>
          <w:sz w:val="16"/>
          <w:szCs w:val="16"/>
        </w:rPr>
        <w:softHyphen/>
        <w:t>струкций импортируемых и трофейных автомобилей и их узлов с отечественными и анализ их преиму</w:t>
      </w:r>
      <w:r w:rsidRPr="00D03F3E">
        <w:rPr>
          <w:rFonts w:ascii="Times New Roman" w:hAnsi="Times New Roman"/>
          <w:color w:val="0070C0"/>
          <w:sz w:val="16"/>
          <w:szCs w:val="16"/>
        </w:rPr>
        <w:softHyphen/>
        <w:t>ществ (докладчики А.А. Душкевич и Б.В. Фиттер- ман); состояние разработки на заводах новых конст</w:t>
      </w:r>
      <w:r w:rsidRPr="00D03F3E">
        <w:rPr>
          <w:rFonts w:ascii="Times New Roman" w:hAnsi="Times New Roman"/>
          <w:color w:val="0070C0"/>
          <w:sz w:val="16"/>
          <w:szCs w:val="16"/>
        </w:rPr>
        <w:softHyphen/>
        <w:t>рукций автомобилей.</w:t>
      </w:r>
    </w:p>
    <w:p w14:paraId="0C2D88CE" w14:textId="77777777" w:rsidR="0053494B" w:rsidRPr="00D03F3E" w:rsidRDefault="0053494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совещании был определен типаж автомоби</w:t>
      </w:r>
      <w:r w:rsidRPr="00D03F3E">
        <w:rPr>
          <w:rFonts w:ascii="Times New Roman" w:hAnsi="Times New Roman"/>
          <w:color w:val="0070C0"/>
          <w:sz w:val="16"/>
          <w:szCs w:val="16"/>
        </w:rPr>
        <w:softHyphen/>
        <w:t>лей, планируемых для производства. В тематичес</w:t>
      </w:r>
      <w:r w:rsidRPr="00D03F3E">
        <w:rPr>
          <w:rFonts w:ascii="Times New Roman" w:hAnsi="Times New Roman"/>
          <w:color w:val="0070C0"/>
          <w:sz w:val="16"/>
          <w:szCs w:val="16"/>
        </w:rPr>
        <w:softHyphen/>
        <w:t>кий план института на 1943 г. включаются работы по легковым автомобилям. НАМИ получает также зада</w:t>
      </w:r>
      <w:r w:rsidRPr="00D03F3E">
        <w:rPr>
          <w:rFonts w:ascii="Times New Roman" w:hAnsi="Times New Roman"/>
          <w:color w:val="0070C0"/>
          <w:sz w:val="16"/>
          <w:szCs w:val="16"/>
        </w:rPr>
        <w:softHyphen/>
        <w:t>ние оказать помощь заводам по выпуску рессор для грузовых автомобилей на опытном заводе. Для этого в институт поступает гидравлический тарировочный пресс-стенд «Эйвери» (22518).</w:t>
      </w:r>
    </w:p>
    <w:p w14:paraId="49E5FBBC" w14:textId="77777777" w:rsidR="0053494B" w:rsidRPr="00D03F3E" w:rsidRDefault="0053494B" w:rsidP="00D03F3E">
      <w:pPr>
        <w:spacing w:after="0" w:line="240" w:lineRule="auto"/>
        <w:jc w:val="both"/>
        <w:rPr>
          <w:rFonts w:ascii="Times New Roman" w:hAnsi="Times New Roman"/>
          <w:color w:val="0070C0"/>
          <w:sz w:val="16"/>
          <w:szCs w:val="16"/>
        </w:rPr>
      </w:pPr>
    </w:p>
    <w:p w14:paraId="626414C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3 февраля 1943, в Москве, в Наркомсредмаше, проходило совещание, на котором Андрей Липгарт доложил о ходе разработок новых машин и обстоятельно обрисовал все будущие модели, среди которых был и легковой ГАЗ-25. “Родина” — таково было рабочее название автомобиля.</w:t>
      </w:r>
    </w:p>
    <w:p w14:paraId="347EB5A5"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возвращения Липгарта из Москвы работы по ГАЗ-25 развернулись с новой силой. Общую компоновку машины поручили вычерчивать группе под руководством Бориса Кирсанова. Ведущим конструктором по кузову назначили Александра Кириллова. Контролировали их работу первый заместитель Липгарта А. Кригер (по шасси и двигателю) и Юрий Сорочкин (по кузову). Последний подключил к созданию форм машины талантливого художника–графика с великолепным пространственным воображением — Вениамина Самойлова, который в последствии и создал окончательный вариант рисунка Победы. По его эскизам были сделаны гипсовые модели будущего автомобиля в масштабе 1:5 (по другим данным — 1:4), а по самой удачной модели — макет из красного дерева в натуральную величину. Вениамин Самойлов переосмыслил кузов немецкого Kapitan’a и создал обтекаемую конструкцию без выступающих крыльев, с утопленными фарами. Задние двери навешивались, как у Опеля, на задних стойках. Увы, автор рисунков так и не увидел Победы — его жизнь трагически оборвалась вскоре после того, как был готов последний эскиз (12286).</w:t>
      </w:r>
    </w:p>
    <w:p w14:paraId="7C0B451E"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5767895B" w14:textId="77777777" w:rsidR="00522761" w:rsidRPr="00D03F3E" w:rsidRDefault="005227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февраля 1943 года в Москве в Наркомсредмаше состоялось совещание, на котором Андрей Липгарт доложил о ходе разработок новых машин, в том числе и легкового ГАЗ-25, позднее переименованного в ГАЗ М20.</w:t>
      </w:r>
    </w:p>
    <w:p w14:paraId="3A0D52D5" w14:textId="77777777" w:rsidR="00522761" w:rsidRPr="00D03F3E" w:rsidRDefault="005227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Ведущим конструктором по кузову назначили Александра Кириллова. Компоновку машины поручили вычерчивать группе под руководством Бориса Кирсанова. Контролировали их работу первый заместитель Липгарта А. Кригер (по шасси и двигателю) и Юрий Сорочкин (по кузову). Последний подключил к созданию форм машины талантливого художника-графика с великолепным пространственным воображением – Вениамина Самойлова, который впоследствии и создал окончательный вариант рисунка формы Победы. За ее основу решили взять кузов немецкого Opel Kapitan образца 1938 года.</w:t>
      </w:r>
    </w:p>
    <w:p w14:paraId="2C2F8900" w14:textId="77777777" w:rsidR="00522761" w:rsidRPr="00D03F3E" w:rsidRDefault="005227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изготовления первых машин обнаружился редкий оптический эффект: при взгляде на переднее крыло с определенных ракурсов казалось, что крыло вогнуто. Этот эффект возникал из-за того, что большой участок крыла имел кривизну постоянного радиуса.</w:t>
      </w:r>
    </w:p>
    <w:p w14:paraId="36A793C0" w14:textId="77777777" w:rsidR="00522761" w:rsidRPr="00D03F3E" w:rsidRDefault="005227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Некоторые элементы кузова приходилось штамповать по частям, а потом сваривать воедино. Заводы не располагали технологиями штамповки сложных поверхностей. Но, несмотря на все сложности, в ноябре 1944 года главный конструктор лично сел за руль опытного образца и вывел его на испытания.</w:t>
      </w:r>
    </w:p>
    <w:p w14:paraId="55DC02EB" w14:textId="77777777" w:rsidR="00522761" w:rsidRPr="00D03F3E" w:rsidRDefault="005227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первого автомобиля был шестицилиндровый двигатель, задние двери открывались вперед, а передние и задние крылья были раскроены таким образом, что по бортам машины проходили две щели, разделявшие кузовные элементы. Спереди крыло не вплотную прилегало к передней двери, а контур задней двери не доходил до колесной арки. Все это мешало восприятию боковины машины.</w:t>
      </w:r>
    </w:p>
    <w:p w14:paraId="7468C6DD" w14:textId="77777777" w:rsidR="00522761" w:rsidRPr="00D03F3E" w:rsidRDefault="005227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не менее, Победа выглядела очень динамично и современно, и стильный наклон стекол усиливал этот эффект. Да и с точки зрения аэродинамики кузов был разработан идеально. Но больше такой тип кузова в советском автомобилестроении не применялся.</w:t>
      </w:r>
    </w:p>
    <w:p w14:paraId="72A1EFCA" w14:textId="77777777" w:rsidR="00522761" w:rsidRPr="00D03F3E" w:rsidRDefault="005227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концов Победа была продумана чрезвычайно основательно. Все формы ее оказались не только красивыми, но и практичными. ГАЗ М20 стал первым отечественным автомобилем с несущим кузовом и первым в мире серийным автомобилем с кузовом «бескрылой» формы.</w:t>
      </w:r>
    </w:p>
    <w:p w14:paraId="4978FA9D" w14:textId="77777777" w:rsidR="00522761" w:rsidRPr="00D03F3E" w:rsidRDefault="005227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Обилие хромированных деталей придавало автомобилю элегантный и солидный вид. В техническом отношении машина была полна новинок, облегчающих жизнь водителю. Появились электрические указатели поворота и стоп-сигналы, а также отопитель и звуковые сигналы высокого и низкого тона.</w:t>
      </w:r>
    </w:p>
    <w:p w14:paraId="413337F8" w14:textId="77777777" w:rsidR="00522761" w:rsidRPr="00D03F3E" w:rsidRDefault="005227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Впервые в Победе был предусмотрен багажник. Автомобиль имел комфортный и просторный салон, в котором свободно располагались 5 человек. Машина имела независимую подвеску передних колес и гидравлический привод тормозов. Выбор двигателя стоял между шестицилиндровым ГАЗ 11 и его четырехцилиндровой версией. Производство шестерок было хорошо отлажено, а четверка была компактнее, легче и потребляла меньше топлива. Но, не придя к окончательному варианту, последнее слово оставили за Вождем (18294).</w:t>
      </w:r>
    </w:p>
    <w:p w14:paraId="64F70440" w14:textId="77777777" w:rsidR="00522761" w:rsidRPr="00D03F3E" w:rsidRDefault="00522761" w:rsidP="00D03F3E">
      <w:pPr>
        <w:spacing w:after="0" w:line="240" w:lineRule="auto"/>
        <w:jc w:val="both"/>
        <w:rPr>
          <w:rFonts w:ascii="Times New Roman" w:hAnsi="Times New Roman"/>
          <w:color w:val="000000" w:themeColor="text1"/>
          <w:sz w:val="16"/>
          <w:szCs w:val="16"/>
        </w:rPr>
      </w:pPr>
    </w:p>
    <w:p w14:paraId="736AFF5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февраля 1943 вышло Постановление ГКО № 2820 О строительстве железнодорожного моста через реку Неву в районе города Шлиссельбурга. (7078, 170-171).</w:t>
      </w:r>
    </w:p>
    <w:p w14:paraId="6AD187C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522CAB"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0288541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0EEA7F"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2E46E971"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3 февраля войска Юго-Западного, Южного, Северо-Кавказского, Закавказского, Воронежского, Ленинградского и Волховского фронтов вели наступательные бои на прежних направлениях.</w:t>
      </w:r>
    </w:p>
    <w:p w14:paraId="7176680B"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Южном фронте части Н-ского соединения в результате ожесточённых боёв выбили немцев из трёх населённых пунктов. Противник предпринял контратаку, но был отброшен с большими для него потерями. Подбито и сожжено 6 немецких танков. На другом участке наши подразделения заняли сильно укреплённый опорный пункт противника и захватили 7 пулемётов, 4 противотанковых ружья, несколько десятков автоматов и склад боеприпасов.</w:t>
      </w:r>
    </w:p>
    <w:p w14:paraId="66825F96"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вели успешные наступательные бои. Бойцы Н-ской части во взаимодействии с танкистами овладели тремя населёнными пунктами и продолжали теснить противника. Части гвардейского соединения в упорных боях сломили сопротивление немцев, продвинулись вперёд и заняли десять населённых пунктов. Захвачено 26 орудий, 30 автомашин, 6 тягачей, 3 радиостанции и склад с боеприпасами, взято в плен 60 немецких солдат и офицеров. Уничтожено до батальона немецкой пехоты, 27 орудий, 8 миномётов и 21 автомашина.</w:t>
      </w:r>
    </w:p>
    <w:p w14:paraId="3299E56B"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совершили налёт на ворошиловградский аэродром и уничтожили 15 немецких самолётов. Кроме того, в воздушных боях сбито 8 самолётов противника.</w:t>
      </w:r>
    </w:p>
    <w:p w14:paraId="5503113D"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Воронежа наши войска продолжали наступление. На одном участке немцы перешли в контратаку. Советские бойцы стремительным ударом опрокинули противникаи овладели двумя крупными населёнными пунктами. Части Н-ского соединения выбили гитлеровцев из трёх населённых пунктов. Взяты трофеи, в числе которых 12 орудий, 27 пулемётов, 6 миномётов, 18 автомашин с боеприпасами и склад с военным имуществом.</w:t>
      </w:r>
    </w:p>
    <w:p w14:paraId="71B9230E"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Северо-Кавказского фронта, преодолевая сопротивление противника, продвигались вперёд. В боях за один населённый пункт наши бойцы разгромили две роты вражеской пехоты и подбили 4 танка. Захвачены 2 орудия, 8 пулемётов, 5 миномётов и склад мин. На другом участке гвардейцы-кавалеристы атаковали немецкий обоз. Захвачено 20 автомашин и 27 повозок с военными грузами.</w:t>
      </w:r>
    </w:p>
    <w:p w14:paraId="6682BE61"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Калининской области, совершил ночной налёт на немецкий гарнизон, разгромил комендатуру и истребил 26 гитлеровцев. Несколько дней спустя партизаны этого же отряда в двухчасовом бою уничтожили 30 немецких солдат. Группа калининских партизан пустила под откос воинский эшелон немцев. Разбиты паровоз и 4 платформы. Много вагонов и платформ повреждено.</w:t>
      </w:r>
    </w:p>
    <w:p w14:paraId="40CE7777"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на хуторе Ермохинский, Сталинградской области: «Гитлеровцы разграбили все богатства колхоза, отняли у населения 770 голов скота, 350 пудов хлеба, много продуктов и разных ценных вещей. Немцы разгромили и уничтожили школу, избу-читальню, амбулаторию, аптеку и ветеринарный пункт. Убытки, причинённые колхозу и колхозникам, достигают нескольких миллионов рублей. Фашистские душегубы расстреляли 10 местных жителей: Гавриила Слесарева—15 лет, Татьяну Антонову — 25 лет, Ивана Никулина —57 лет, Федосью Гусеву — 54 лет, Семёна Полякова — 65 лет и других. Перед отступлением немцы сожгли все общественные здания и 16 домов колхозников». Акт подписали: председатель сельсовета Прохоров, учитель Буков, колхозники И.Пильщиков, Е.Камышанова, Е.Аверкин и другие.» (15029).</w:t>
      </w:r>
    </w:p>
    <w:p w14:paraId="4BC9DD1B" w14:textId="77777777" w:rsidR="00601E3D" w:rsidRPr="00D03F3E" w:rsidRDefault="00601E3D" w:rsidP="00D03F3E">
      <w:pPr>
        <w:spacing w:after="0" w:line="240" w:lineRule="auto"/>
        <w:jc w:val="both"/>
        <w:rPr>
          <w:rFonts w:ascii="Times New Roman" w:hAnsi="Times New Roman"/>
          <w:color w:val="000000" w:themeColor="text1"/>
          <w:sz w:val="16"/>
          <w:szCs w:val="16"/>
        </w:rPr>
      </w:pPr>
    </w:p>
    <w:p w14:paraId="1A343C96"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61050FEC"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февраля в районе севернее Курска наши войска овладели железнодорожными станциями Золотухино и Возы, перерезав таким образом железнодорожную линию между Курском и Орлом.</w:t>
      </w:r>
    </w:p>
    <w:p w14:paraId="1A40AAE0"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Украине наши войска овладели городом и крупным железнодорожным узлом Красный Лиман, железнодорожным узлом Купянск, а также городом и железнодорожной станцией Кременная, городом и железнодорожной станцией Рубежное, городом Пролетарск.</w:t>
      </w:r>
    </w:p>
    <w:p w14:paraId="3DE81A8F"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Ростова-на-Дону наши войска в результате стремительного наступления овладели городом и крупным железнодорожным узлом Кущевская, а также заняли районные центры — Кагальницкая, Ленинградская, Крыловская.</w:t>
      </w:r>
    </w:p>
    <w:p w14:paraId="0C4FA8DC"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остальных участках фронта наши войска вели бои на прежних направлениях.</w:t>
      </w:r>
    </w:p>
    <w:p w14:paraId="670DA948"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корабли в Баренцевом море потопили транспорт противника водоизмещением в10 тысяч тонн.</w:t>
      </w:r>
    </w:p>
    <w:p w14:paraId="12241330"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февраля частями нашей авиации на различных участках фронта уничтожено или повреждено до 200 немецких автомашин с войсками и грузами, подавлен огонь 8 артиллерийских батарей, взорвано 2 склада боеприпасов, рассеяно и частью уничтожено до батальона пехоты противника.</w:t>
      </w:r>
    </w:p>
    <w:p w14:paraId="0D00DEB9"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Южного фронта, преодолевая упорное сопротивление противника, продвигались вперёд. Автоматчики Н-ской части на 10 танках ворвались в крупный населённый пункт и в результате ожесточённого боя овладели им. На подступах и на улицах населённого пункта остались сотни вражеских трупов. Захвачены трофеи и пленные. На другом участке части Н-ского соединения заняли несколько населенных пунктов. Захвачено 3 немецких танка, 2 самоходных орудия, 27 пулемётов, 3 склада боеприпасов и другие трофеи.</w:t>
      </w:r>
    </w:p>
    <w:p w14:paraId="756D2137"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Сватово наши части заняли ряд населённых пунктов. Истреблено до 800 гитлеровцев, уничтожено 5 немецких танков, 2 бронемашины и 24 орудия. Захвачены 17 орудий, склад с боеприпасами, 60 автомашин, 11 радиостанций, элеватор с зерном и другие трофеи. Нашими лётчиками в воздушных боях сбито 10 немецких самолётов.</w:t>
      </w:r>
    </w:p>
    <w:p w14:paraId="76A03C27"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Западнее Воронежа наши войска продолжали наступление. Северо-восточнее Горшечной советские части уничтожали окружённую группу противника. Захвачено 600 пленных. Взяты трофеи: 100 автомашин, 20 мотоциклов, 300 лошадей, 200 повозок и много различного оружия. На другом участке наши подразделения отбили контратаку противника и, преследуя отступающих гитлеровцев, истребили свыше 400 вражеских солдат и офицеров. Захвачено 650 пленных.</w:t>
      </w:r>
    </w:p>
    <w:p w14:paraId="7C30AA10"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Северо-Кавказского фронта продолжали наступление. Части Н-ского соединения, продвигаясь вперёд, разгромили батальон немецкой пехоты и эскадрон конницы. Захвачено 4 танка, 15 орудий, 21 пулемёт, 11 противотанковых ружей и 22 автомашины с боеприпасами и имуществом, награбленным гитлеровцами у местных жителей, на другом участке советские кавалеристы выбили немцев из двух крупных населённых пунктов и захватили большие трофеи.</w:t>
      </w:r>
    </w:p>
    <w:p w14:paraId="71F9186D"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днях на одном из участков Центрального фронта с боем вышла из тыла врага кавалерийская группа под командованием полковника Курсакова. Прорвавшись в конце ноября в тыл врага, кавгруппа перехватила ответственную железнодорожную магистраль, парализовала всякое движение по этой дороге и в течение ряда дней сбоями её удерживала. Позднее, выполняя приказ командования, кавгруппа вошла в глубокий тыл врага, громила вражеские гарнизоны, взрывала мосты и железнодорожные линии, разрушала средства связи, всячески дезорганизуя этим тылы врага.</w:t>
      </w:r>
    </w:p>
    <w:p w14:paraId="7C2B0E19"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боях при прорыве и за период 40-дневного рейда по тылам врага кавгруппа уничтожила 6 самолётов, свыше 40 танков, 46 орудий, 40 станковых и ручных пулемётов, 300 автомашин и мотоциклов и большое количество других военных материалов. За это же время кавгруппа уничтожила 8 немецких гарнизонов и истребила до 4.000 солдат и офицеров противника.</w:t>
      </w:r>
    </w:p>
    <w:p w14:paraId="1AC8C2B4"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Выполнив задание командования, кавгруппа вышла из тыла врага и соединилась с частями Красной Армии.</w:t>
      </w:r>
    </w:p>
    <w:p w14:paraId="22E24357"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января немцы направили против отряда ленинградских партизан карательную экспедицию. Советские патриоты, своевременно узнав намерения противника, сами атаковали гитлеровцев и нанесли им большой урон. Партизаны другого отряда пустили под откос железнодорожный эшелон противника с войсками и боевой техникой.».</w:t>
      </w:r>
    </w:p>
    <w:p w14:paraId="5D3E332D"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363E25A2"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города Красный Лиман, Кущевская, железнодорожный узел Купянск и железнодорожные станции Золотухино, Возы.</w:t>
      </w:r>
    </w:p>
    <w:p w14:paraId="09367AFE"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февраля в районе севернее Курска наши войска овладели железнодорожнымистанциями Золотухино и Возы, перерезав таким образом железнодорожную линию между Курском и Орлом.</w:t>
      </w:r>
    </w:p>
    <w:p w14:paraId="0A190C29"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Украине наши войска овладели городом и крупным железнодорожным узлом Красный Лиман, а также железнодорожным узлом Купянск.</w:t>
      </w:r>
    </w:p>
    <w:p w14:paraId="7DF448F9"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Ростова-на-Дону наши войска в результате стремительного наступления овладели городом и крупным железнодорожным узлом Кущевская.» (15029).</w:t>
      </w:r>
    </w:p>
    <w:p w14:paraId="1FA06E9F" w14:textId="77777777" w:rsidR="00601E3D" w:rsidRPr="00D03F3E" w:rsidRDefault="00601E3D" w:rsidP="00D03F3E">
      <w:pPr>
        <w:spacing w:after="0" w:line="240" w:lineRule="auto"/>
        <w:jc w:val="both"/>
        <w:rPr>
          <w:rFonts w:ascii="Times New Roman" w:hAnsi="Times New Roman"/>
          <w:color w:val="000000" w:themeColor="text1"/>
          <w:sz w:val="16"/>
          <w:szCs w:val="16"/>
        </w:rPr>
      </w:pPr>
    </w:p>
    <w:p w14:paraId="68C08E7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февраля 1943 командующий ВВС представил итоговый доклад по действиям авиации в Сталинградской битве на имя И.В.С. Именно здесь был сделан вывод, что для борьбы с транспортной авиацией лучшим средством является истребительная и штурмовая и было предложено создавать специальные подразделения, освобожденные от решения других задач. Здесь же было предложено отказаться от смешанных полков. Была поставлена задача создания нового фронтового бомбардировщика для замены Пе-2 с радиусом всего 450 км (340,109).</w:t>
      </w:r>
    </w:p>
    <w:p w14:paraId="3E26811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330D9E"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февраля 1943 советские войска освободили Купянск (4962).</w:t>
      </w:r>
    </w:p>
    <w:p w14:paraId="4F9E646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7F975F"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февраля 1943 г. был подготовлен ПЛАН РАБОТЫ ТЕХНИЧЕСКОГО КЛАССА ТАНКОВОГО УПРАВЛЕНИЯ ГБТУ КА НА I КВАРТАЛ 1943 г.</w:t>
      </w:r>
    </w:p>
    <w:tbl>
      <w:tblPr>
        <w:tblW w:w="0" w:type="auto"/>
        <w:tblInd w:w="40" w:type="dxa"/>
        <w:tblLayout w:type="fixed"/>
        <w:tblCellMar>
          <w:left w:w="40" w:type="dxa"/>
          <w:right w:w="40" w:type="dxa"/>
        </w:tblCellMar>
        <w:tblLook w:val="0000" w:firstRow="0" w:lastRow="0" w:firstColumn="0" w:lastColumn="0" w:noHBand="0" w:noVBand="0"/>
      </w:tblPr>
      <w:tblGrid>
        <w:gridCol w:w="422"/>
        <w:gridCol w:w="6442"/>
        <w:gridCol w:w="1200"/>
        <w:gridCol w:w="1286"/>
      </w:tblGrid>
      <w:tr w:rsidR="00860B4B" w:rsidRPr="00D03F3E" w14:paraId="709E78D2" w14:textId="77777777" w:rsidTr="00AC5101">
        <w:trPr>
          <w:trHeight w:val="384"/>
        </w:trPr>
        <w:tc>
          <w:tcPr>
            <w:tcW w:w="422" w:type="dxa"/>
            <w:tcBorders>
              <w:top w:val="single" w:sz="6" w:space="0" w:color="auto"/>
              <w:left w:val="single" w:sz="6" w:space="0" w:color="auto"/>
              <w:bottom w:val="single" w:sz="6" w:space="0" w:color="auto"/>
              <w:right w:val="single" w:sz="6" w:space="0" w:color="auto"/>
            </w:tcBorders>
          </w:tcPr>
          <w:p w14:paraId="5BDECEF5"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п/п</w:t>
            </w:r>
          </w:p>
          <w:p w14:paraId="0DB676BB"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42" w:type="dxa"/>
            <w:tcBorders>
              <w:top w:val="single" w:sz="6" w:space="0" w:color="auto"/>
              <w:left w:val="single" w:sz="6" w:space="0" w:color="auto"/>
              <w:bottom w:val="single" w:sz="6" w:space="0" w:color="auto"/>
              <w:right w:val="single" w:sz="6" w:space="0" w:color="auto"/>
            </w:tcBorders>
          </w:tcPr>
          <w:p w14:paraId="2BF5A2BA"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Наименование работы</w:t>
            </w:r>
          </w:p>
          <w:p w14:paraId="0970754B"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3A5068CE"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Срок</w:t>
            </w:r>
          </w:p>
          <w:p w14:paraId="39D18745"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363F3324"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Кто выполняет</w:t>
            </w:r>
          </w:p>
          <w:p w14:paraId="3199B416"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56E76B0" w14:textId="77777777" w:rsidTr="00AC5101">
        <w:trPr>
          <w:trHeight w:val="451"/>
        </w:trPr>
        <w:tc>
          <w:tcPr>
            <w:tcW w:w="422" w:type="dxa"/>
            <w:tcBorders>
              <w:top w:val="single" w:sz="6" w:space="0" w:color="auto"/>
              <w:left w:val="single" w:sz="6" w:space="0" w:color="auto"/>
              <w:bottom w:val="single" w:sz="6" w:space="0" w:color="auto"/>
              <w:right w:val="single" w:sz="6" w:space="0" w:color="auto"/>
            </w:tcBorders>
          </w:tcPr>
          <w:p w14:paraId="0A8DFF69"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048C2103"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42" w:type="dxa"/>
            <w:tcBorders>
              <w:top w:val="single" w:sz="6" w:space="0" w:color="auto"/>
              <w:left w:val="single" w:sz="6" w:space="0" w:color="auto"/>
              <w:bottom w:val="single" w:sz="6" w:space="0" w:color="auto"/>
              <w:right w:val="single" w:sz="6" w:space="0" w:color="auto"/>
            </w:tcBorders>
          </w:tcPr>
          <w:p w14:paraId="0EDB169B"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 «Сравнительная оценка боевых качеств отечественных, импортных и тро</w:t>
            </w:r>
            <w:r w:rsidRPr="00D03F3E">
              <w:rPr>
                <w:rFonts w:ascii="Times New Roman" w:hAnsi="Times New Roman"/>
                <w:color w:val="000000" w:themeColor="text1"/>
                <w:sz w:val="16"/>
                <w:szCs w:val="16"/>
              </w:rPr>
              <w:softHyphen/>
              <w:t>фейных танков»</w:t>
            </w:r>
          </w:p>
          <w:p w14:paraId="05FEF9BA"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21BEF7A4"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15.02.1943г.</w:t>
            </w:r>
          </w:p>
          <w:p w14:paraId="362F025B"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447A243E"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Ковалев</w:t>
            </w:r>
          </w:p>
          <w:p w14:paraId="1CCD276E"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65C9CE7" w14:textId="77777777" w:rsidTr="00AC5101">
        <w:trPr>
          <w:trHeight w:val="442"/>
        </w:trPr>
        <w:tc>
          <w:tcPr>
            <w:tcW w:w="422" w:type="dxa"/>
            <w:tcBorders>
              <w:top w:val="single" w:sz="6" w:space="0" w:color="auto"/>
              <w:left w:val="single" w:sz="6" w:space="0" w:color="auto"/>
              <w:bottom w:val="single" w:sz="6" w:space="0" w:color="auto"/>
              <w:right w:val="single" w:sz="6" w:space="0" w:color="auto"/>
            </w:tcBorders>
          </w:tcPr>
          <w:p w14:paraId="79CBFB9A"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21802F98"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42" w:type="dxa"/>
            <w:tcBorders>
              <w:top w:val="single" w:sz="6" w:space="0" w:color="auto"/>
              <w:left w:val="single" w:sz="6" w:space="0" w:color="auto"/>
              <w:bottom w:val="single" w:sz="6" w:space="0" w:color="auto"/>
              <w:right w:val="single" w:sz="6" w:space="0" w:color="auto"/>
            </w:tcBorders>
          </w:tcPr>
          <w:p w14:paraId="4DAE9C61"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 «Сравнительная оценка боевых качеств в танковых и противотанковых артиллерийских средствах: отечественных, импортных и трофейных»</w:t>
            </w:r>
          </w:p>
          <w:p w14:paraId="3EB21DFD"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52354A33"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28.02.1943 г.</w:t>
            </w:r>
          </w:p>
          <w:p w14:paraId="616C77D1"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93D7F58"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Ненароков</w:t>
            </w:r>
          </w:p>
          <w:p w14:paraId="674B1474"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5B929BE" w14:textId="77777777" w:rsidTr="00AC5101">
        <w:trPr>
          <w:trHeight w:val="451"/>
        </w:trPr>
        <w:tc>
          <w:tcPr>
            <w:tcW w:w="422" w:type="dxa"/>
            <w:tcBorders>
              <w:top w:val="single" w:sz="6" w:space="0" w:color="auto"/>
              <w:left w:val="single" w:sz="6" w:space="0" w:color="auto"/>
              <w:bottom w:val="single" w:sz="6" w:space="0" w:color="auto"/>
              <w:right w:val="single" w:sz="6" w:space="0" w:color="auto"/>
            </w:tcBorders>
          </w:tcPr>
          <w:p w14:paraId="69FC1FEF"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086201BF"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42" w:type="dxa"/>
            <w:tcBorders>
              <w:top w:val="single" w:sz="6" w:space="0" w:color="auto"/>
              <w:left w:val="single" w:sz="6" w:space="0" w:color="auto"/>
              <w:bottom w:val="single" w:sz="6" w:space="0" w:color="auto"/>
              <w:right w:val="single" w:sz="6" w:space="0" w:color="auto"/>
            </w:tcBorders>
          </w:tcPr>
          <w:p w14:paraId="32E9C1C5"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 о новом механизме поворота танков КВ-1с и Т-34</w:t>
            </w:r>
          </w:p>
          <w:p w14:paraId="4CBB840C"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50C5A643"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5.03.1943г.</w:t>
            </w:r>
          </w:p>
          <w:p w14:paraId="49883361"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0927DE51"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Ворошилов</w:t>
            </w:r>
          </w:p>
          <w:p w14:paraId="5988873E"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003C56F" w14:textId="77777777" w:rsidTr="00AC5101">
        <w:trPr>
          <w:trHeight w:val="451"/>
        </w:trPr>
        <w:tc>
          <w:tcPr>
            <w:tcW w:w="422" w:type="dxa"/>
            <w:tcBorders>
              <w:top w:val="single" w:sz="6" w:space="0" w:color="auto"/>
              <w:left w:val="single" w:sz="6" w:space="0" w:color="auto"/>
              <w:bottom w:val="single" w:sz="6" w:space="0" w:color="auto"/>
              <w:right w:val="single" w:sz="6" w:space="0" w:color="auto"/>
            </w:tcBorders>
          </w:tcPr>
          <w:p w14:paraId="0B833E29"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44F46018"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42" w:type="dxa"/>
            <w:tcBorders>
              <w:top w:val="single" w:sz="6" w:space="0" w:color="auto"/>
              <w:left w:val="single" w:sz="6" w:space="0" w:color="auto"/>
              <w:bottom w:val="single" w:sz="6" w:space="0" w:color="auto"/>
              <w:right w:val="single" w:sz="6" w:space="0" w:color="auto"/>
            </w:tcBorders>
          </w:tcPr>
          <w:p w14:paraId="6E175135"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 «Сравнительная оценка танковых моторов, отечественных, импортных и трофейных танков»</w:t>
            </w:r>
          </w:p>
          <w:p w14:paraId="0F934BF4"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20D5801F"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15.03.1943г.</w:t>
            </w:r>
          </w:p>
          <w:p w14:paraId="39A0ECBE"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DA719CD"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Лаврушенков</w:t>
            </w:r>
          </w:p>
          <w:p w14:paraId="3E95B313"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F75048C" w14:textId="77777777" w:rsidTr="00AC5101">
        <w:trPr>
          <w:trHeight w:val="461"/>
        </w:trPr>
        <w:tc>
          <w:tcPr>
            <w:tcW w:w="422" w:type="dxa"/>
            <w:tcBorders>
              <w:top w:val="single" w:sz="6" w:space="0" w:color="auto"/>
              <w:left w:val="single" w:sz="6" w:space="0" w:color="auto"/>
              <w:bottom w:val="single" w:sz="6" w:space="0" w:color="auto"/>
              <w:right w:val="single" w:sz="6" w:space="0" w:color="auto"/>
            </w:tcBorders>
          </w:tcPr>
          <w:p w14:paraId="7BB9EB84"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p w14:paraId="268D3000"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42" w:type="dxa"/>
            <w:tcBorders>
              <w:top w:val="single" w:sz="6" w:space="0" w:color="auto"/>
              <w:left w:val="single" w:sz="6" w:space="0" w:color="auto"/>
              <w:bottom w:val="single" w:sz="6" w:space="0" w:color="auto"/>
              <w:right w:val="single" w:sz="6" w:space="0" w:color="auto"/>
            </w:tcBorders>
          </w:tcPr>
          <w:p w14:paraId="11772C05"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Сравнительная оценка боевых качеств брони, отечественных, импортных и трофей</w:t>
            </w:r>
            <w:r w:rsidRPr="00D03F3E">
              <w:rPr>
                <w:rFonts w:ascii="Times New Roman" w:hAnsi="Times New Roman"/>
                <w:color w:val="000000" w:themeColor="text1"/>
                <w:sz w:val="16"/>
                <w:szCs w:val="16"/>
              </w:rPr>
              <w:softHyphen/>
              <w:t>ных танков</w:t>
            </w:r>
          </w:p>
          <w:p w14:paraId="23E08240"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76F1A132"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15.04.1943г.</w:t>
            </w:r>
          </w:p>
          <w:p w14:paraId="2EC1F41A"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1BE4383"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Бурцев</w:t>
            </w:r>
          </w:p>
          <w:p w14:paraId="5B30F006"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BBEDF31" w14:textId="77777777" w:rsidTr="00AC5101">
        <w:trPr>
          <w:trHeight w:val="442"/>
        </w:trPr>
        <w:tc>
          <w:tcPr>
            <w:tcW w:w="422" w:type="dxa"/>
            <w:tcBorders>
              <w:top w:val="single" w:sz="6" w:space="0" w:color="auto"/>
              <w:left w:val="single" w:sz="6" w:space="0" w:color="auto"/>
              <w:bottom w:val="single" w:sz="6" w:space="0" w:color="auto"/>
              <w:right w:val="single" w:sz="6" w:space="0" w:color="auto"/>
            </w:tcBorders>
          </w:tcPr>
          <w:p w14:paraId="473C5E0E"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p w14:paraId="71F107D7"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42" w:type="dxa"/>
            <w:tcBorders>
              <w:top w:val="single" w:sz="6" w:space="0" w:color="auto"/>
              <w:left w:val="single" w:sz="6" w:space="0" w:color="auto"/>
              <w:bottom w:val="single" w:sz="6" w:space="0" w:color="auto"/>
              <w:right w:val="single" w:sz="6" w:space="0" w:color="auto"/>
            </w:tcBorders>
          </w:tcPr>
          <w:p w14:paraId="46C6AB41"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Сравнительные данные по электрорадиооборудованию отечественных, импортных и трофейных танков</w:t>
            </w:r>
          </w:p>
          <w:p w14:paraId="4EA4C909"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22C131BE"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15.04.1943г.</w:t>
            </w:r>
          </w:p>
          <w:p w14:paraId="689E06D6"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1791E28"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Иванов</w:t>
            </w:r>
          </w:p>
          <w:p w14:paraId="6E8692E9"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A67B0D5" w14:textId="77777777" w:rsidTr="00AC5101">
        <w:trPr>
          <w:trHeight w:val="451"/>
        </w:trPr>
        <w:tc>
          <w:tcPr>
            <w:tcW w:w="422" w:type="dxa"/>
            <w:tcBorders>
              <w:top w:val="single" w:sz="6" w:space="0" w:color="auto"/>
              <w:left w:val="single" w:sz="6" w:space="0" w:color="auto"/>
              <w:bottom w:val="single" w:sz="6" w:space="0" w:color="auto"/>
              <w:right w:val="single" w:sz="6" w:space="0" w:color="auto"/>
            </w:tcBorders>
          </w:tcPr>
          <w:p w14:paraId="24854008"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p w14:paraId="26F63598"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42" w:type="dxa"/>
            <w:tcBorders>
              <w:top w:val="single" w:sz="6" w:space="0" w:color="auto"/>
              <w:left w:val="single" w:sz="6" w:space="0" w:color="auto"/>
              <w:bottom w:val="single" w:sz="6" w:space="0" w:color="auto"/>
              <w:right w:val="single" w:sz="6" w:space="0" w:color="auto"/>
            </w:tcBorders>
          </w:tcPr>
          <w:p w14:paraId="4E72D505"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Сравнительные данные качеств приборов наблюдения отечественных, импортных и трофейных танков</w:t>
            </w:r>
          </w:p>
          <w:p w14:paraId="266301A0"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3F4224AD"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28.04.1943г.</w:t>
            </w:r>
          </w:p>
          <w:p w14:paraId="6785DA9C"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52083BE"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Моргулис</w:t>
            </w:r>
          </w:p>
          <w:p w14:paraId="1B6AC72C"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E74DB03" w14:textId="77777777" w:rsidTr="00AC5101">
        <w:trPr>
          <w:trHeight w:val="451"/>
        </w:trPr>
        <w:tc>
          <w:tcPr>
            <w:tcW w:w="422" w:type="dxa"/>
            <w:tcBorders>
              <w:top w:val="single" w:sz="6" w:space="0" w:color="auto"/>
              <w:left w:val="single" w:sz="6" w:space="0" w:color="auto"/>
              <w:bottom w:val="single" w:sz="6" w:space="0" w:color="auto"/>
              <w:right w:val="single" w:sz="6" w:space="0" w:color="auto"/>
            </w:tcBorders>
          </w:tcPr>
          <w:p w14:paraId="26F7D105"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p w14:paraId="0C1A670A"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42" w:type="dxa"/>
            <w:tcBorders>
              <w:top w:val="single" w:sz="6" w:space="0" w:color="auto"/>
              <w:left w:val="single" w:sz="6" w:space="0" w:color="auto"/>
              <w:bottom w:val="single" w:sz="6" w:space="0" w:color="auto"/>
              <w:right w:val="single" w:sz="6" w:space="0" w:color="auto"/>
            </w:tcBorders>
          </w:tcPr>
          <w:p w14:paraId="6BEFA347"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данные боевых качеств американского танка М-4</w:t>
            </w:r>
          </w:p>
          <w:p w14:paraId="6357C0EB"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3890E764"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09B003"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0B21DE8"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Морозов</w:t>
            </w:r>
          </w:p>
          <w:p w14:paraId="5C323DAC"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31F6A66" w14:textId="77777777" w:rsidTr="00AC5101">
        <w:trPr>
          <w:trHeight w:val="451"/>
        </w:trPr>
        <w:tc>
          <w:tcPr>
            <w:tcW w:w="422" w:type="dxa"/>
            <w:tcBorders>
              <w:top w:val="single" w:sz="6" w:space="0" w:color="auto"/>
              <w:left w:val="single" w:sz="6" w:space="0" w:color="auto"/>
              <w:bottom w:val="single" w:sz="6" w:space="0" w:color="auto"/>
              <w:right w:val="single" w:sz="6" w:space="0" w:color="auto"/>
            </w:tcBorders>
          </w:tcPr>
          <w:p w14:paraId="3402A84E"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p w14:paraId="64FF843D"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42" w:type="dxa"/>
            <w:tcBorders>
              <w:top w:val="single" w:sz="6" w:space="0" w:color="auto"/>
              <w:left w:val="single" w:sz="6" w:space="0" w:color="auto"/>
              <w:bottom w:val="single" w:sz="6" w:space="0" w:color="auto"/>
              <w:right w:val="single" w:sz="6" w:space="0" w:color="auto"/>
            </w:tcBorders>
          </w:tcPr>
          <w:p w14:paraId="3980F213"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данные боевых качеств отечественных танков</w:t>
            </w:r>
          </w:p>
          <w:p w14:paraId="22D39B8B"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2B02F8C4"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0E45CE"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3A98B811"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Ворошилов</w:t>
            </w:r>
          </w:p>
          <w:p w14:paraId="0FDA41EA"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AD29ACC" w14:textId="77777777" w:rsidTr="00AC5101">
        <w:trPr>
          <w:trHeight w:val="470"/>
        </w:trPr>
        <w:tc>
          <w:tcPr>
            <w:tcW w:w="422" w:type="dxa"/>
            <w:tcBorders>
              <w:top w:val="single" w:sz="6" w:space="0" w:color="auto"/>
              <w:left w:val="single" w:sz="6" w:space="0" w:color="auto"/>
              <w:bottom w:val="single" w:sz="6" w:space="0" w:color="auto"/>
              <w:right w:val="single" w:sz="6" w:space="0" w:color="auto"/>
            </w:tcBorders>
          </w:tcPr>
          <w:p w14:paraId="2741B455"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p w14:paraId="1EAFDC39"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42" w:type="dxa"/>
            <w:tcBorders>
              <w:top w:val="single" w:sz="6" w:space="0" w:color="auto"/>
              <w:left w:val="single" w:sz="6" w:space="0" w:color="auto"/>
              <w:bottom w:val="single" w:sz="6" w:space="0" w:color="auto"/>
              <w:right w:val="single" w:sz="6" w:space="0" w:color="auto"/>
            </w:tcBorders>
          </w:tcPr>
          <w:p w14:paraId="5BA04B26"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 применения огнеметных танков на фронтах отечественной войны и их боевые качества</w:t>
            </w:r>
          </w:p>
          <w:p w14:paraId="2F6FE5D8"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72D15EAA"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299FBC"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08E1D26E"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Симонов</w:t>
            </w:r>
          </w:p>
          <w:p w14:paraId="5A528559"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C895A6D"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6 отдела ТУ ГБТУ КА инженер-подполковник Ковалев</w:t>
      </w:r>
    </w:p>
    <w:p w14:paraId="6C5EEB06"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11355а. Д. 352а. Л. 27. Подлинник (11403).</w:t>
      </w:r>
    </w:p>
    <w:p w14:paraId="106B46E2" w14:textId="77777777" w:rsidR="00AC5101" w:rsidRPr="00D03F3E"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8B0FC2" w14:textId="77777777" w:rsidR="00AC5101" w:rsidRPr="00D03F3E" w:rsidRDefault="00AC510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 февраля 1943 после обучения воинских команд, 1433 и 1434 полки, в составе которых имелись как СУ-76 (СУ-12), так и СУ-122 (У-35) прибыли на Волховской фронт, где в это время шли бои по деблокаде Ленинграда (6205, 14).</w:t>
      </w:r>
    </w:p>
    <w:p w14:paraId="37E88681" w14:textId="77777777" w:rsidR="00AC5101" w:rsidRPr="00D03F3E" w:rsidRDefault="00AC510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Первые боевые испытания длились недолго - всего десять дней, в ходе которых была отработана наиболее удачная тактика поддержки наступающих пехотных и танковых подразделений. Тактика заключалась в том, что самоходы, двигаясь позади наступающих пехотных цепей, или танков на расстоянии 300-600 м, подавляли огнем с остановок обнаруженные огневые точки, а после прорыва линии обороны, охраняли наступающие порядки от контратак вражеских танков (6205, 14).</w:t>
      </w:r>
    </w:p>
    <w:p w14:paraId="6E7CD49C" w14:textId="77777777" w:rsidR="00AC5101" w:rsidRPr="00D03F3E" w:rsidRDefault="00AC510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Стрелять с закрытых позиций самоходам приходилось очень редко, так как в условиях неподвижного фронта войска вполне обходились имевшейся в наличии более дешевой дивизионной артиллерией (6205, 14). По завершении первых десяти дней войсковых будней, заводские команды были большей частью сменены фронтовыми экипажами (6205, 14).</w:t>
      </w:r>
    </w:p>
    <w:p w14:paraId="45F54508" w14:textId="77777777" w:rsidR="00AC5101" w:rsidRPr="00D03F3E" w:rsidRDefault="00AC510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660E2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февраля 1943 г. вышел ПРИКАЗ № 093 О СБОРЕ И ВЫВОЗЕ ТРОФЕЙНОГО ИМУЩЕСТВА И ОБЕСПЕЧЕНИИ ЕГО ХРАНЕНИЯ</w:t>
      </w:r>
    </w:p>
    <w:p w14:paraId="7F3A14F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постановления Государственного Комитета Обороны № 2812-е от 1 февраля 1943 г. о сборе трофейного имущества на фронтах и обеспечении его хранения приказываю:</w:t>
      </w:r>
    </w:p>
    <w:p w14:paraId="7242E1B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Военным советам Воронежского, Брянского и Северо-Кавказского фронтов обязать начальников тыла и начальников родов войск и служб всех степеней под их личную ответственность принять все меры к точному выполнению указанного постановления ГОКО № 2812-е, использовав для этого все имеющиеся в их распоряжении силы и средства.</w:t>
      </w:r>
    </w:p>
    <w:p w14:paraId="0ADA9DF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Армейские трофейные роты, сформированные на основании постановле ния ГОКО № 1481-е от 23 марта 1942 г. использовать для сбора, учета и охраны вооружения, имущества, продфуража и металлолома в войсковом тылу.</w:t>
      </w:r>
    </w:p>
    <w:p w14:paraId="7FEB27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Сбор вооружения и имущества ротам производить, следуя непосредственно за передовыми частями наступающих войск.</w:t>
      </w:r>
    </w:p>
    <w:p w14:paraId="7B5B507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3. Формируемые Главным управлением формирования и укомплектования войск Красной Армии для Воронежского, Брянского и Северо-Кавказского фронтов армейские трофейные батальоны использовать для сбора, учета, охраны и вывоза вооружения, имущества, продфуража и металлолома из армейского тыла, а также для вывоза на армейские склады и станционные сборные пункты вооружения и имущества, собранных трофейными ротами в войсковом тылу.</w:t>
      </w:r>
    </w:p>
    <w:p w14:paraId="792A68C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Формируемые военными советами фронтов трофейные бригады и батальоны, на основании директивы начальника Главного управления формирования и укомплектования войск Красной Армии генерал-полковника т. Щаденко за № 037 от 17 января 1943 года, укомплектовать за счет личного состава и технических средств, выделяемых начальником инженерных войск Красной Армии из числа строительных колонн, трофейные фронтовые бригады для Воронежского, Брянского и Северо-Кавказского фронтов, используя их для сбора, учета, эвакуации в тыл страны и сверхтабельного неиспользуемого фронтами, а также требующего заводского ремонта и негодного вооружения, имущества и металлолома.</w:t>
      </w:r>
    </w:p>
    <w:p w14:paraId="6B017C4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Трудармейцев строительных колонн, выделенных в фронтовые трофейные бригады, довольствовать продуктами питания по норме № 2.</w:t>
      </w:r>
    </w:p>
    <w:p w14:paraId="330939E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Оплату содержания трудармейцев производить за счет средств, получаемых от реализации металлолома, руководствуясь при этом утвержденной инструкцией от 20 январь 1943 г. Председателем Центральной Комиссии при ГОКО т. Шверником и Маршалом Советского Союза т. Буденным.</w:t>
      </w:r>
    </w:p>
    <w:p w14:paraId="03FF673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Привлекаемых Воронежским, Брянским и Северо-Кавказским фронтами граждан, в порядке трудовой обязанности (постановление ГОКО № 2812-е от 1 февраля 1943 года), довольствовать по норме № 3.* Конский состав довольствовать по нормам, установленным для обозных лошадей.</w:t>
      </w:r>
    </w:p>
    <w:p w14:paraId="7826FB4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Выделенные начальником Главного бронетанкового управления Красной Армии Воронежскому, Брянскому и Северо-Кавказскому фронтам эвакороты использовать для эвакуации средних и тяжелых танков, требующих заводского ремонта и восстановления на заводах Народного комиссариата танковой промышленности.</w:t>
      </w:r>
    </w:p>
    <w:p w14:paraId="0A828DE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Трофейные бригады и батальоны с прикомандированными эвакоротами Главного бронетанкового управления Красной Армии подчинить соответственно начальникам трофейных отделов Воронежского, Брянского и Северо-Кавказского фронтов и входящих в их состав армий и содержать до окончания сбора трофейного и отечественного вооружения и имущества из армейских и фронтовых районов.</w:t>
      </w:r>
    </w:p>
    <w:p w14:paraId="4D8B099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Во всех освобожденных от противника населенных пунктах организовать из резерва среднего и старшего командного и начальствующего состава комендантские посты, которым вменить в обязанность привлечение в порядке трудовой обязанности граждан и транспортных средств для сбора, охраны и вывоза трофеев, находящихся на территории населенных пунктов, на близлежащей местности и у частных лиц.</w:t>
      </w:r>
    </w:p>
    <w:p w14:paraId="69FCFAC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Учет и охрану трофейного вооружения и имущества возложить на красноармейцев тыловых частей и проверенных граждан, которых вооружить трофейным оружием и обеспечить необходимыми боеприпасами.</w:t>
      </w:r>
    </w:p>
    <w:p w14:paraId="292D218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Для ремонта в полевых условиях трофейных автомашин, тракторов, танков и другой техники начальникам родов войск и служб за счет фронтовых и армейских ремонтных средств сформировать полевые ремонтные бригады.</w:t>
      </w:r>
    </w:p>
    <w:p w14:paraId="436BCFD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Категорически запретить частям и соединениям самовольное использование автомашин, собранных на полях сражений. Все собранные автомашины сдавать только по указаниям начальников автомобильных управлений, отделов фронтов и армий.</w:t>
      </w:r>
    </w:p>
    <w:p w14:paraId="1A126EB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Каждому фронту и армии определить пути эвакуации, железнодорожные станции и пункты сбора трофейного вооружения и имущества, обеспечив ихнеобходимой охраной. Пункты сбора трофейного вооружения, в целях удобной выгрузки и погрузки, устанавливать вблизи рокадных дорог.</w:t>
      </w:r>
    </w:p>
    <w:p w14:paraId="502E07A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вывоза трофейного вооружения и имущества с бывших полей сражений и подвоза его к пунктам сбора использовать автогужтранспорт, проходящий порожняком.</w:t>
      </w:r>
    </w:p>
    <w:p w14:paraId="10E8226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Собранное имущество отправлять в центральные склады, базы и арсеналы НКО, а также на заводы промышленности только по указанию начальников родов войск и служб.</w:t>
      </w:r>
    </w:p>
    <w:p w14:paraId="347BAA1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За хищение и разбазаривание трофейного вооружения, имущества и продовольствия расхитителей и их соучастников, а также командиров подраз-</w:t>
      </w:r>
    </w:p>
    <w:p w14:paraId="073A3AA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Военным советам фронтов и армий пункт 8 постановления Государственного Комитета Обороны № 2812-е от 1 февраля 1943 г. объявить всему начальствующему составу до младшего сержанта включительно.</w:t>
      </w:r>
    </w:p>
    <w:p w14:paraId="5FE91F3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Начальствующий и рядовой состав, а равно привлеченных к трудовой обязанности граждан, сумевших добиться отличных показателей в деле сбора и вывоза трофеев, премировать, а особо отличившихся представлять к правительственным наградам.</w:t>
      </w:r>
    </w:p>
    <w:p w14:paraId="0D6049B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О ходе сбора трофеев доносить мне через штаб тыла Красной Армии каждые пять дней по состоянию на 1, 5, 10, 15, 20 и 25-е числа каждого месяца.</w:t>
      </w:r>
    </w:p>
    <w:p w14:paraId="41F7DFA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Формирование трофейных бригад и батальонов закончить к 15 февраля 1943 года.</w:t>
      </w:r>
    </w:p>
    <w:p w14:paraId="5D4C913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Заместитель Народного комиссара обороны генерал-полковник интендантской службы А. ХРУЛЕВ </w:t>
      </w:r>
      <w:r w:rsidRPr="00D03F3E">
        <w:rPr>
          <w:rFonts w:ascii="Times New Roman" w:hAnsi="Times New Roman"/>
          <w:color w:val="000000" w:themeColor="text1"/>
          <w:sz w:val="16"/>
          <w:szCs w:val="16"/>
        </w:rPr>
        <w:t>(9844).</w:t>
      </w:r>
    </w:p>
    <w:p w14:paraId="5D6AD81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F1F680"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февраля 1943 вечером тральщик «Скумбрия» покинул Геленджик и взял курс в Цемесскую бухту. На борту старшим был флагманский артиллерист бригады старший лейтенант Г.В.Терновский. Командиром «Скумбрии» был главный старшина В.Жолудов, в прошлом рыбак, хорошо знавший район плавания и хорошо ориентирующийся по едва заметным береговым огням. Выйдя к точке развертывания, катер лег в дрейф, поджидая отряд высадки (десантников) под командованием капитан-лейтенанта Н.Сипягина.</w:t>
      </w:r>
    </w:p>
    <w:p w14:paraId="6B8A7326"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«Скумбрии» все было готово к открытию огня. По огневой мощи скромный сторожевой катер равнялся шести армейским боевым машинам с грозными «катюшами». Только в одном залпе - 96 реактивных снарядов. А боезапаса на катере было на пять таких залпов.</w:t>
      </w:r>
    </w:p>
    <w:p w14:paraId="3970732A"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назначенное время после мощной артиллерийской подготовки с катеров началась высадка десанта. От мыса Любви, который был наиболее сильно укрепленным, потянулись синие нити трасс от пулеметов и пунктирные строчки трассирующих снарядов от грохочущей немецкой автоматической пушки. После обнаружения цели наступила очередь применения реактивного оружия.</w:t>
      </w:r>
    </w:p>
    <w:p w14:paraId="29FEDD90"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Командир «Скумбрии» сам встал за штурвал и развернул катер на боевой курс бортом к цели. Залп! И темноту февральского неба над бухтой озарили огненные полосы реактивных снарядов. Мыс Любви покрылся сплошным всплеском ярких огненных султанов. На берегу стало светло как днем. Казалось, горела сама земля.</w:t>
      </w:r>
    </w:p>
    <w:p w14:paraId="3186A5D8"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Вслед за «Скумбрией» огонь из реактивных установок открыли и катера. В ярком зареве пожаров было видно, как приближаются к поселку десантники, высадившиеся на берег. Там уже начался отчаянный бой. Чтобы найти объект для очередного залпа, катера подошли ближе к берегу, чтобы обрушить на огневые точки врага всю реактивную мощь.</w:t>
      </w:r>
    </w:p>
    <w:p w14:paraId="159522B8"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Последние залпы «Скумбрии» накрыли восточную окраину Станички, откуда били немецкие шестиствольные минометы.</w:t>
      </w:r>
    </w:p>
    <w:p w14:paraId="156198C1"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Успеху десанта во многом способствовала огневая поддержка реактивных установок. В записке, переданной майором Ц.Куниковым командиру отряда высадки капитан-лейтенанту Сипягину говорилось: «Доложить лично Горшкову, передайте на КП начштаба Свердлову - такое отличное нововведение в морском десанте будет всегда иметь успех».</w:t>
      </w:r>
    </w:p>
    <w:p w14:paraId="5C2DE885"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языке официальных боевых донесений это выглядело так: «В 01 ч. 10 мин. береговая артиллерия Новороссийской военно-морской базы, выстрелив за 10 минут 1512 снарядов калибром от 100 до 152 мм, перенесла огонь в глубину расположения противника. СКА № 084 пошел к пристани Рыбзавода, а к мысу Любви подошла «Скумбрия» и залпом 84 РС подавила огневые точки противника.</w:t>
      </w:r>
    </w:p>
    <w:p w14:paraId="683E304C"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общей сложности за ночь было выпущено около 280 РС (15985).</w:t>
      </w:r>
    </w:p>
    <w:p w14:paraId="34CFC8B9" w14:textId="77777777" w:rsidR="00601E3D" w:rsidRPr="00D03F3E" w:rsidRDefault="00601E3D" w:rsidP="00D03F3E">
      <w:pPr>
        <w:spacing w:after="0" w:line="240" w:lineRule="auto"/>
        <w:jc w:val="both"/>
        <w:rPr>
          <w:rFonts w:ascii="Times New Roman" w:hAnsi="Times New Roman"/>
          <w:color w:val="000000" w:themeColor="text1"/>
          <w:sz w:val="16"/>
          <w:szCs w:val="16"/>
        </w:rPr>
      </w:pPr>
    </w:p>
    <w:p w14:paraId="22543760"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13DD335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0880A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февраля 1943 Финляндия за спиной Германии начала мирные переговоры с СССР (4962).</w:t>
      </w:r>
    </w:p>
    <w:p w14:paraId="693C68E6"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911E6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февраля 1943 финны начали переговоры с CССР (2100).</w:t>
      </w:r>
    </w:p>
    <w:p w14:paraId="5348A0B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49C4D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февраля 1943 в ставке Маннергейма в Миккели встретились президент Рюти и др. деятели “узкого” кабинета и пришли к выводу, что необходимо выводить страну из войны. Решили начать переговоры со “старой” границы (4210,15).</w:t>
      </w:r>
    </w:p>
    <w:p w14:paraId="3D11A02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3A0AE0"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15C0263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87DD76"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февраля</w:t>
      </w:r>
      <w:r w:rsidRPr="00D03F3E">
        <w:rPr>
          <w:rFonts w:ascii="Times New Roman" w:hAnsi="Times New Roman"/>
          <w:color w:val="000000" w:themeColor="text1"/>
          <w:sz w:val="16"/>
          <w:szCs w:val="16"/>
        </w:rPr>
        <w:t xml:space="preserve"> в 1943 году состоялся первый полет многоцелевого истребителя </w:t>
      </w:r>
      <w:hyperlink r:id="rId51" w:tgtFrame="_blank" w:history="1">
        <w:r w:rsidRPr="00D03F3E">
          <w:rPr>
            <w:rFonts w:ascii="Times New Roman" w:hAnsi="Times New Roman"/>
            <w:color w:val="000000" w:themeColor="text1"/>
            <w:sz w:val="16"/>
            <w:szCs w:val="16"/>
          </w:rPr>
          <w:t xml:space="preserve">«P-51A» («North American» «P-51A» «Mustang»), </w:t>
        </w:r>
      </w:hyperlink>
      <w:r w:rsidRPr="00D03F3E">
        <w:rPr>
          <w:rFonts w:ascii="Times New Roman" w:hAnsi="Times New Roman"/>
          <w:color w:val="000000" w:themeColor="text1"/>
          <w:sz w:val="16"/>
          <w:szCs w:val="16"/>
        </w:rPr>
        <w:t>первые поставки начались в марте. За период с марта по май 1943 года было поставлено 310 «Mustang», оснащенных двигателем «Allison» (15029).</w:t>
      </w:r>
    </w:p>
    <w:p w14:paraId="0247AF8B" w14:textId="77777777" w:rsidR="00601E3D" w:rsidRPr="00D03F3E" w:rsidRDefault="00601E3D" w:rsidP="00D03F3E">
      <w:pPr>
        <w:spacing w:after="0" w:line="240" w:lineRule="auto"/>
        <w:jc w:val="both"/>
        <w:rPr>
          <w:rFonts w:ascii="Times New Roman" w:hAnsi="Times New Roman"/>
          <w:color w:val="000000" w:themeColor="text1"/>
          <w:sz w:val="16"/>
          <w:szCs w:val="16"/>
        </w:rPr>
      </w:pPr>
    </w:p>
    <w:p w14:paraId="22AA8170" w14:textId="77777777" w:rsidR="00B67870" w:rsidRPr="00D03F3E" w:rsidRDefault="00B6787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февраля 1944 во время сбития британского бомбардировщика Halifax немецкий ас ночного истребителя Райнхольд Наке сам сбит и погиб от огня стрелков Halifax. Первый из трех или четырех лучших асов ночных истребителей Германии, умерших в течение месяца, его счет составляет 44, когда его сбивают (20376).</w:t>
      </w:r>
    </w:p>
    <w:p w14:paraId="02346741" w14:textId="77777777" w:rsidR="00B67870" w:rsidRPr="00D03F3E" w:rsidRDefault="00B67870" w:rsidP="00D03F3E">
      <w:pPr>
        <w:spacing w:after="0" w:line="240" w:lineRule="auto"/>
        <w:jc w:val="both"/>
        <w:rPr>
          <w:rFonts w:ascii="Times New Roman" w:hAnsi="Times New Roman"/>
          <w:color w:val="0070C0"/>
          <w:sz w:val="16"/>
          <w:szCs w:val="16"/>
        </w:rPr>
      </w:pPr>
    </w:p>
    <w:p w14:paraId="2F69D99E" w14:textId="77777777" w:rsidR="00B67870" w:rsidRPr="00D03F3E" w:rsidRDefault="00B6787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3–4 февраля (ночь) 1943 263 британских бомбардировщика атакуют Гамбург, Германия; 16 сбиты, в основном ночными истребителями Messerschmitt Bf 110 из Nachtjagdgeschwader 1 (20376).</w:t>
      </w:r>
    </w:p>
    <w:p w14:paraId="0ACE544D" w14:textId="77777777" w:rsidR="00B67870" w:rsidRPr="00D03F3E" w:rsidRDefault="00B67870" w:rsidP="00D03F3E">
      <w:pPr>
        <w:spacing w:after="0" w:line="240" w:lineRule="auto"/>
        <w:jc w:val="both"/>
        <w:rPr>
          <w:rFonts w:ascii="Times New Roman" w:hAnsi="Times New Roman"/>
          <w:color w:val="0070C0"/>
          <w:sz w:val="16"/>
          <w:szCs w:val="16"/>
        </w:rPr>
      </w:pPr>
    </w:p>
    <w:p w14:paraId="1326196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3 февраля 1943 в Германии был объявлен трехдневный траур по погибшим под Сталинградом (2246,1).</w:t>
      </w:r>
    </w:p>
    <w:p w14:paraId="37A936D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A9F6AD"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февраля</w:t>
      </w:r>
      <w:r w:rsidRPr="00D03F3E">
        <w:rPr>
          <w:rFonts w:ascii="Times New Roman" w:hAnsi="Times New Roman"/>
          <w:color w:val="000000" w:themeColor="text1"/>
          <w:sz w:val="16"/>
          <w:szCs w:val="16"/>
        </w:rPr>
        <w:t xml:space="preserve"> в 1943 году (3–6 февраля) траур в Германии по случаю капитуляции 6-й армии (15029).</w:t>
      </w:r>
    </w:p>
    <w:p w14:paraId="20692E81" w14:textId="77777777" w:rsidR="00601E3D" w:rsidRPr="00D03F3E" w:rsidRDefault="00601E3D" w:rsidP="00D03F3E">
      <w:pPr>
        <w:spacing w:after="0" w:line="240" w:lineRule="auto"/>
        <w:jc w:val="both"/>
        <w:rPr>
          <w:rFonts w:ascii="Times New Roman" w:hAnsi="Times New Roman"/>
          <w:color w:val="000000" w:themeColor="text1"/>
          <w:sz w:val="16"/>
          <w:szCs w:val="16"/>
        </w:rPr>
      </w:pPr>
    </w:p>
    <w:p w14:paraId="7E29D4D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февраля 1943 в лондонском метро во время немецкого авианалета задохнулись из-за давки 173 человека (4962).</w:t>
      </w:r>
    </w:p>
    <w:p w14:paraId="25D63A7B"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8E518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февраля 1943 в американской армии запрещено употребление сильных алкогольных напитков (4962).</w:t>
      </w:r>
    </w:p>
    <w:p w14:paraId="3CDAA7DF"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66EB35"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февраля</w:t>
      </w:r>
      <w:r w:rsidRPr="00D03F3E">
        <w:rPr>
          <w:rFonts w:ascii="Times New Roman" w:hAnsi="Times New Roman"/>
          <w:color w:val="000000" w:themeColor="text1"/>
          <w:sz w:val="16"/>
          <w:szCs w:val="16"/>
        </w:rPr>
        <w:t xml:space="preserve"> в 1943 году британский войсковой транспорт Dorchester затонул после торпедной атаки германской субмарины. 673 жертвы (15029).</w:t>
      </w:r>
    </w:p>
    <w:p w14:paraId="265A17E3" w14:textId="77777777" w:rsidR="00601E3D" w:rsidRPr="00D03F3E" w:rsidRDefault="00601E3D" w:rsidP="00D03F3E">
      <w:pPr>
        <w:spacing w:after="0" w:line="240" w:lineRule="auto"/>
        <w:jc w:val="both"/>
        <w:rPr>
          <w:rFonts w:ascii="Times New Roman" w:hAnsi="Times New Roman"/>
          <w:color w:val="000000" w:themeColor="text1"/>
          <w:sz w:val="16"/>
          <w:szCs w:val="16"/>
        </w:rPr>
      </w:pPr>
    </w:p>
    <w:p w14:paraId="69532BD1"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февраля</w:t>
      </w:r>
      <w:r w:rsidRPr="00D03F3E">
        <w:rPr>
          <w:rFonts w:ascii="Times New Roman" w:hAnsi="Times New Roman"/>
          <w:color w:val="000000" w:themeColor="text1"/>
          <w:sz w:val="16"/>
          <w:szCs w:val="16"/>
        </w:rPr>
        <w:t xml:space="preserve"> в 1943 году на созванном К.Маннергеймом совещании с участием президента Рюти принимается решение начать мероприятия по заключению сепаратного мира и выходу Финляндии из войны. Однако, общественное мнение не готово признать потери территории после Зимней войны. Последуют убеждающие бомбежки Хельсинки, активность США, уговоривших Сталина остаться в границах на 1941-й год и давивших на финских ультра ("Мы будем сражаться до конца и после конца"), отставка Рюти и избрание президентом Маннергейма. 28 апреля 1944 И.С.Сталин отдает приказ о наступлении на Финляндию, против 15 дивизий и 6 бригад в Карелии разворачивается 4 общевойсковые, 2 воздушные армии, 91 корабль и 350 катеров, 3 бригады морской пехоты и 530 самолетов морской авиации. Имея 10-кратное превосходство в танках и самолетах советские войска тем не менее не могут прорваться на поставленные рубежи и 29 августа переходят к обороне. 3 сентября Маннергейм предлагает, и Сталин принимает перемирие, по которому финны немедленно разворачиваются против немецких войск, и атакуют их на всей территории Финляндии, и с тяжелыми потерями (неск. тысяч убитых с обеих сторон) очищают страну (15029).</w:t>
      </w:r>
    </w:p>
    <w:p w14:paraId="36C4CE4A" w14:textId="77777777" w:rsidR="00601E3D" w:rsidRPr="00D03F3E" w:rsidRDefault="00601E3D" w:rsidP="00D03F3E">
      <w:pPr>
        <w:spacing w:after="0" w:line="240" w:lineRule="auto"/>
        <w:jc w:val="both"/>
        <w:rPr>
          <w:rFonts w:ascii="Times New Roman" w:hAnsi="Times New Roman"/>
          <w:color w:val="000000" w:themeColor="text1"/>
          <w:sz w:val="16"/>
          <w:szCs w:val="16"/>
        </w:rPr>
      </w:pPr>
    </w:p>
    <w:p w14:paraId="372AACCC"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7B33E59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FD0AF6"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4 февраля 1943 г. самолёт «Пегас» N° 01 официально поступил на государственные испытания. Испытания проводились силами 3-го отдела НИИ ВВС. Ведущим инженером по самолёту был назначен инженер-майор П.Т. Аброщенко, ведущим лётчиком - подполковник </w:t>
      </w:r>
      <w:r w:rsidRPr="00D03F3E">
        <w:rPr>
          <w:rStyle w:val="9pt0"/>
          <w:rFonts w:ascii="Times New Roman" w:eastAsia="Arial Unicode MS" w:hAnsi="Times New Roman" w:cs="Times New Roman"/>
          <w:b w:val="0"/>
          <w:color w:val="000000" w:themeColor="text1"/>
          <w:sz w:val="16"/>
          <w:szCs w:val="16"/>
        </w:rPr>
        <w:t>В</w:t>
      </w:r>
      <w:r w:rsidRPr="00D03F3E">
        <w:rPr>
          <w:rFonts w:ascii="Times New Roman" w:hAnsi="Times New Roman"/>
          <w:color w:val="000000" w:themeColor="text1"/>
          <w:sz w:val="16"/>
          <w:szCs w:val="16"/>
        </w:rPr>
        <w:t>.И. Жданов, проводивший и заводские испытания самолёта.</w:t>
      </w:r>
    </w:p>
    <w:p w14:paraId="569A3F21"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Style w:val="9pt"/>
          <w:rFonts w:ascii="Times New Roman" w:hAnsi="Times New Roman" w:cs="Times New Roman"/>
          <w:b w:val="0"/>
          <w:i w:val="0"/>
          <w:color w:val="000000" w:themeColor="text1"/>
          <w:sz w:val="16"/>
          <w:szCs w:val="16"/>
        </w:rPr>
        <w:t>Кроме того, самолёт облетали: помощник начальника НИИ ВВС по лётной</w:t>
      </w:r>
      <w:r w:rsidRPr="00D03F3E">
        <w:rPr>
          <w:rStyle w:val="ArialNarrow105pt"/>
          <w:rFonts w:ascii="Times New Roman" w:hAnsi="Times New Roman" w:cs="Times New Roman"/>
          <w:b w:val="0"/>
          <w:color w:val="000000" w:themeColor="text1"/>
          <w:sz w:val="16"/>
          <w:szCs w:val="16"/>
        </w:rPr>
        <w:t xml:space="preserve"> части</w:t>
      </w:r>
      <w:r w:rsidRPr="00D03F3E">
        <w:rPr>
          <w:rStyle w:val="9pt"/>
          <w:rFonts w:ascii="Times New Roman" w:hAnsi="Times New Roman" w:cs="Times New Roman"/>
          <w:b w:val="0"/>
          <w:i w:val="0"/>
          <w:color w:val="000000" w:themeColor="text1"/>
          <w:sz w:val="16"/>
          <w:szCs w:val="16"/>
        </w:rPr>
        <w:t xml:space="preserve"> пол</w:t>
      </w:r>
      <w:r w:rsidRPr="00D03F3E">
        <w:rPr>
          <w:rStyle w:val="9pt"/>
          <w:rFonts w:ascii="Times New Roman" w:hAnsi="Times New Roman" w:cs="Times New Roman"/>
          <w:b w:val="0"/>
          <w:i w:val="0"/>
          <w:color w:val="000000" w:themeColor="text1"/>
          <w:sz w:val="16"/>
          <w:szCs w:val="16"/>
        </w:rPr>
        <w:softHyphen/>
        <w:t>ковник</w:t>
      </w:r>
      <w:r w:rsidRPr="00D03F3E">
        <w:rPr>
          <w:rFonts w:ascii="Times New Roman" w:hAnsi="Times New Roman"/>
          <w:color w:val="000000" w:themeColor="text1"/>
          <w:sz w:val="16"/>
          <w:szCs w:val="16"/>
        </w:rPr>
        <w:t xml:space="preserve"> А.</w:t>
      </w:r>
      <w:r w:rsidRPr="00D03F3E">
        <w:rPr>
          <w:rStyle w:val="9pt"/>
          <w:rFonts w:ascii="Times New Roman" w:hAnsi="Times New Roman" w:cs="Times New Roman"/>
          <w:b w:val="0"/>
          <w:i w:val="0"/>
          <w:color w:val="000000" w:themeColor="text1"/>
          <w:sz w:val="16"/>
          <w:szCs w:val="16"/>
        </w:rPr>
        <w:t xml:space="preserve">И. Кабанов, помощник начальника 3-го отдела по лётной работе подполковник </w:t>
      </w:r>
      <w:r w:rsidRPr="00D03F3E">
        <w:rPr>
          <w:rStyle w:val="9pt0"/>
          <w:rFonts w:ascii="Times New Roman" w:eastAsia="Arial Unicode MS" w:hAnsi="Times New Roman" w:cs="Times New Roman"/>
          <w:b w:val="0"/>
          <w:color w:val="000000" w:themeColor="text1"/>
          <w:sz w:val="16"/>
          <w:szCs w:val="16"/>
        </w:rPr>
        <w:t>В</w:t>
      </w:r>
      <w:r w:rsidRPr="00D03F3E">
        <w:rPr>
          <w:rFonts w:ascii="Times New Roman" w:hAnsi="Times New Roman"/>
          <w:color w:val="000000" w:themeColor="text1"/>
          <w:sz w:val="16"/>
          <w:szCs w:val="16"/>
        </w:rPr>
        <w:t>.И. Хомяков, полковник П.М. Стефановский, подполковники К.А. Калилец, Г.А. Ашитков, | инженер-майор А.В. Синельников, майоры А.К. Долгов, М.А. Нюхтиков, В.В. Лисицин, М.П. Субботин, капитан А.Г. Кубышкин.</w:t>
      </w:r>
    </w:p>
    <w:p w14:paraId="7674C4EE"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испытаний планировалось определить лётно-тактические данные самолёта, их соответствие тактико-техническим требованиям (ТТТ) к самолёту-штурмовику и условия боевого применения при стрельбе по наземной цели, а также дать оценку стрелковому, бомбардировочному и ракетному вооружению.</w:t>
      </w:r>
    </w:p>
    <w:p w14:paraId="78B3C689"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отчётных материалах по результатам испытаний особо отмечалось, что самолёт строился без ТТТ от ВВС КА, без предъявления эскизного проекта, макета и аэродинамических продувок модели самолёта. Полных статических испытаний и динамических испытаний са- гмолёт не проходил. Заключения ЦАГИ о прочности самолёта и его соответствие классу (штурмовика в НИИ ВВС не предъявлялось.</w:t>
      </w:r>
    </w:p>
    <w:p w14:paraId="23D45B26"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Полёты по программе государственных испытаний начались 5 февраля, но 28 февраля они были прерваны: в ходе полётов были выявлены многочисленные производственные и конструктивные дефекты. К тому же на заводе № 288 в Омске завершились работы по отладке и доводке подвесной системы с пушками ВЯ и проведены полигонные испытания бронекабины. Было решено доработать самолёт, устранить выявленные недостатки, и за- ~вм испытать его с пушечным вооружением и с бомбовой нагрузкой в 500 кг.</w:t>
      </w:r>
    </w:p>
    <w:p w14:paraId="24B99181"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Надо сказать, что впечатление лётчиков-испытателей о «Пегасе» было крайне удручающим. В очередной сводке в Управление опытного строительства ГУ ИАС ВВС по опытным работам красноречиво указывалось, что «Пегас» № 01 в предъявленном виде для использования на фронте не пригоден - «хорошая мишень для зенитной артиллерии». Не может лететь на одном моторе. Прицельная стрельба из пуле</w:t>
      </w:r>
      <w:r w:rsidRPr="00D03F3E">
        <w:rPr>
          <w:rFonts w:ascii="Times New Roman" w:hAnsi="Times New Roman"/>
          <w:color w:val="000000" w:themeColor="text1"/>
          <w:sz w:val="16"/>
          <w:szCs w:val="16"/>
        </w:rPr>
        <w:softHyphen/>
        <w:t>мёта («сильно задирает нос») и бомбометание («нет бомбового прицела») почти невозможны. Ставилось под сомнение при</w:t>
      </w:r>
      <w:r w:rsidRPr="00D03F3E">
        <w:rPr>
          <w:rFonts w:ascii="Times New Roman" w:hAnsi="Times New Roman"/>
          <w:color w:val="000000" w:themeColor="text1"/>
          <w:sz w:val="16"/>
          <w:szCs w:val="16"/>
        </w:rPr>
        <w:softHyphen/>
        <w:t>менение на самолёте пушек ка</w:t>
      </w:r>
      <w:r w:rsidRPr="00D03F3E">
        <w:rPr>
          <w:rFonts w:ascii="Times New Roman" w:hAnsi="Times New Roman"/>
          <w:color w:val="000000" w:themeColor="text1"/>
          <w:sz w:val="16"/>
          <w:szCs w:val="16"/>
        </w:rPr>
        <w:softHyphen/>
        <w:t>либра 23 мм и 37 мм (16846).</w:t>
      </w:r>
    </w:p>
    <w:p w14:paraId="7E0FCD63" w14:textId="77777777" w:rsidR="00601E3D" w:rsidRPr="00D03F3E" w:rsidRDefault="00601E3D" w:rsidP="00D03F3E">
      <w:pPr>
        <w:spacing w:after="0" w:line="240" w:lineRule="auto"/>
        <w:jc w:val="both"/>
        <w:rPr>
          <w:rFonts w:ascii="Times New Roman" w:hAnsi="Times New Roman"/>
          <w:color w:val="000000" w:themeColor="text1"/>
          <w:sz w:val="16"/>
          <w:szCs w:val="16"/>
        </w:rPr>
      </w:pPr>
    </w:p>
    <w:p w14:paraId="3F4752C4" w14:textId="77777777" w:rsidR="00FB1AC8" w:rsidRPr="00D03F3E" w:rsidRDefault="00FB1AC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1943 года первый опытный «Пегас» № 01 официально поступил на государственные испытания. Испытания проводились силами 3-го отдела НИИ ВВС.</w:t>
      </w:r>
    </w:p>
    <w:p w14:paraId="2E3EF029" w14:textId="77777777" w:rsidR="00FB1AC8" w:rsidRPr="00D03F3E" w:rsidRDefault="00FB1AC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предъявлялся в варианте штурмовика (2 пушки ВЯ с боекомплектом по 80 снарядов на ствол) и легкого бомбардировщика (500 кг бомб). Полетный вес достигал 2150 и 2320 кг соответственно.</w:t>
      </w:r>
    </w:p>
    <w:p w14:paraId="3F902F42" w14:textId="77777777" w:rsidR="00FB1AC8" w:rsidRPr="00D03F3E" w:rsidRDefault="00FB1AC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варианте штурмовика максимальная скорость у земли составила 172 км/ч. Высоту 1000 м самолет набирал за 7,7 мин. Вираж на 1000 м выполнялся за 39–41 с. Практический потолок не превышал 2620 м.</w:t>
      </w:r>
    </w:p>
    <w:p w14:paraId="1971D311" w14:textId="77777777" w:rsidR="00FB1AC8" w:rsidRPr="00D03F3E" w:rsidRDefault="00FB1AC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Впечатление летчиков-испытателей о самолете «Пегас» было крайне удручающим. Отмечалось, что самолет «Пегас» № 01 в предъявленном виде для использования на фронте не пригоден – «хорошая мишень для зенитной артиллерии». Не может лететь на одном моторе. Прицельная стрельба из пулемета («сильно задирает нос») и бомбометание («нет бомбового прицела») почти невозможны. При стрельбе из пушек ВЯ даже короткими очередями самолет испытывал такую тряску, что летчик не мог удерживать линию визирования на цели. Прицельность стрельбы из пушек нарушалась. После первой очереди поймать цель снова в прицел трудно, поэтому вести стрельбу по одной и той же цели невозможно.</w:t>
      </w:r>
    </w:p>
    <w:p w14:paraId="3EBAEFB8" w14:textId="77777777" w:rsidR="00FB1AC8" w:rsidRPr="00D03F3E" w:rsidRDefault="00FB1AC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Констатировалось, что по технике пилотирования самолет недоступен «массовому летному составу, из-за малого диапазона скорости (20–25 км/ч) между максимальной и эволютивной», недостаточной боковой устойчивости и крутой глиссады планирования.</w:t>
      </w:r>
    </w:p>
    <w:p w14:paraId="248B36B2" w14:textId="77777777" w:rsidR="00FB1AC8" w:rsidRPr="00D03F3E" w:rsidRDefault="00FB1AC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заключении акта по результатам испытаний указывалось, что самолет «Пегас» «государственные испытания не выдержал». Предлагалось «испытанный экземпляр самолета оставить в НИИ ВВС и использовать как макет для полигона», а оставшиеся четыре опытных самолета, «заканчивающихся постройкой на заводе № 288, передать в один из запасных авиаполков для использования в качестве мишеней в целях тренировок в стрельбе по наземным целям» (17490).</w:t>
      </w:r>
    </w:p>
    <w:p w14:paraId="0BBDFDC5" w14:textId="77777777" w:rsidR="00FB1AC8" w:rsidRPr="00D03F3E" w:rsidRDefault="00FB1AC8" w:rsidP="00D03F3E">
      <w:pPr>
        <w:spacing w:after="0" w:line="240" w:lineRule="auto"/>
        <w:jc w:val="both"/>
        <w:rPr>
          <w:rFonts w:ascii="Times New Roman" w:eastAsia="Times New Roman" w:hAnsi="Times New Roman"/>
          <w:color w:val="000000" w:themeColor="text1"/>
          <w:sz w:val="16"/>
          <w:szCs w:val="16"/>
          <w:lang w:eastAsia="ru-RU"/>
        </w:rPr>
      </w:pPr>
    </w:p>
    <w:p w14:paraId="12BD1D66" w14:textId="77777777" w:rsidR="00FB1AC8" w:rsidRPr="00D03F3E" w:rsidRDefault="00FB1AC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4 февраля 1943 г. самолет «Пегас» № 01 официально поступил на государственные испытания в НИИ ВВС. Ис</w:t>
      </w:r>
      <w:r w:rsidRPr="00D03F3E">
        <w:rPr>
          <w:color w:val="000000" w:themeColor="text1"/>
          <w:sz w:val="16"/>
          <w:szCs w:val="16"/>
        </w:rPr>
        <w:softHyphen/>
        <w:t>пытания проводились силами 3-го отдела НИИ ВВС. Ведущим инженером по самолету был назначен инженер-майор П. Т. Аброщенко, ведущим летчи</w:t>
      </w:r>
      <w:r w:rsidRPr="00D03F3E">
        <w:rPr>
          <w:color w:val="000000" w:themeColor="text1"/>
          <w:sz w:val="16"/>
          <w:szCs w:val="16"/>
        </w:rPr>
        <w:softHyphen/>
        <w:t>ком — подполковник В. И. Жданов, проводивший заводские испытания самолета.</w:t>
      </w:r>
    </w:p>
    <w:p w14:paraId="7C1D99AF" w14:textId="77777777" w:rsidR="00FB1AC8" w:rsidRPr="00D03F3E" w:rsidRDefault="00FB1AC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Кроме того, самолет облетали: помощник на</w:t>
      </w:r>
      <w:r w:rsidRPr="00D03F3E">
        <w:rPr>
          <w:color w:val="000000" w:themeColor="text1"/>
          <w:sz w:val="16"/>
          <w:szCs w:val="16"/>
        </w:rPr>
        <w:softHyphen/>
        <w:t>чальника НИИ ВВС по летной части полковник А. И. Кабанов, помощник начальника 3-го отдела по летной работе подполковник В. И. Хомяков, полков</w:t>
      </w:r>
      <w:r w:rsidRPr="00D03F3E">
        <w:rPr>
          <w:color w:val="000000" w:themeColor="text1"/>
          <w:sz w:val="16"/>
          <w:szCs w:val="16"/>
        </w:rPr>
        <w:softHyphen/>
        <w:t>ник П. М. Стефановский, подполковники К. А. Кали- лец, Г. А. Ашитков, инженер-майор А. В. Синельни ков, майоры А. К. Долгов, М. А. Нюхтиков, В. В. Лиси- цин, М. П. Субботин, капитан А. Г. Кубышкин.</w:t>
      </w:r>
    </w:p>
    <w:p w14:paraId="169DC14B" w14:textId="77777777" w:rsidR="00FB1AC8" w:rsidRPr="00D03F3E" w:rsidRDefault="00FB1AC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испытаний планировалось определить летно-тактические данные самолета, их соответ</w:t>
      </w:r>
      <w:r w:rsidRPr="00D03F3E">
        <w:rPr>
          <w:color w:val="000000" w:themeColor="text1"/>
          <w:sz w:val="16"/>
          <w:szCs w:val="16"/>
        </w:rPr>
        <w:softHyphen/>
        <w:t>ствие тактико-техническим требованиям к самоле</w:t>
      </w:r>
      <w:r w:rsidRPr="00D03F3E">
        <w:rPr>
          <w:color w:val="000000" w:themeColor="text1"/>
          <w:sz w:val="16"/>
          <w:szCs w:val="16"/>
        </w:rPr>
        <w:softHyphen/>
        <w:t>ту-штурмовику и условия боевого применения при стрельбе по наземной цели, а также дать оценку стрелковому, бомбардировочному и ракетному во</w:t>
      </w:r>
      <w:r w:rsidRPr="00D03F3E">
        <w:rPr>
          <w:color w:val="000000" w:themeColor="text1"/>
          <w:sz w:val="16"/>
          <w:szCs w:val="16"/>
        </w:rPr>
        <w:softHyphen/>
        <w:t>оружению.</w:t>
      </w:r>
    </w:p>
    <w:p w14:paraId="3D0D1152" w14:textId="77777777" w:rsidR="00FB1AC8" w:rsidRPr="00D03F3E" w:rsidRDefault="00FB1AC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отчетных материалах по результатам испыта</w:t>
      </w:r>
      <w:r w:rsidRPr="00D03F3E">
        <w:rPr>
          <w:color w:val="000000" w:themeColor="text1"/>
          <w:sz w:val="16"/>
          <w:szCs w:val="16"/>
        </w:rPr>
        <w:softHyphen/>
        <w:t>ний особо отмечалось, что самолет строился без ТТТ от ВВС КА, без предъявления эскизного про</w:t>
      </w:r>
      <w:r w:rsidRPr="00D03F3E">
        <w:rPr>
          <w:color w:val="000000" w:themeColor="text1"/>
          <w:sz w:val="16"/>
          <w:szCs w:val="16"/>
        </w:rPr>
        <w:softHyphen/>
        <w:t>екта, макета и аэродинамических продувок модели самолета. Полных статических испытаний и дина</w:t>
      </w:r>
      <w:r w:rsidRPr="00D03F3E">
        <w:rPr>
          <w:color w:val="000000" w:themeColor="text1"/>
          <w:sz w:val="16"/>
          <w:szCs w:val="16"/>
        </w:rPr>
        <w:softHyphen/>
        <w:t>мических испытаний самолет не проходил. Заклю</w:t>
      </w:r>
      <w:r w:rsidRPr="00D03F3E">
        <w:rPr>
          <w:color w:val="000000" w:themeColor="text1"/>
          <w:sz w:val="16"/>
          <w:szCs w:val="16"/>
        </w:rPr>
        <w:softHyphen/>
        <w:t>чения ЦАГИ о прочности самолета и его соответ</w:t>
      </w:r>
      <w:r w:rsidRPr="00D03F3E">
        <w:rPr>
          <w:color w:val="000000" w:themeColor="text1"/>
          <w:sz w:val="16"/>
          <w:szCs w:val="16"/>
        </w:rPr>
        <w:softHyphen/>
        <w:t>ствие классу штурмовика в НИИ ВВС не предъяв</w:t>
      </w:r>
      <w:r w:rsidRPr="00D03F3E">
        <w:rPr>
          <w:color w:val="000000" w:themeColor="text1"/>
          <w:sz w:val="16"/>
          <w:szCs w:val="16"/>
        </w:rPr>
        <w:softHyphen/>
        <w:t>лялось.</w:t>
      </w:r>
    </w:p>
    <w:p w14:paraId="395E3DAC" w14:textId="77777777" w:rsidR="00FB1AC8" w:rsidRPr="00D03F3E" w:rsidRDefault="00FB1AC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Полеты по программе государственных испыта</w:t>
      </w:r>
      <w:r w:rsidRPr="00D03F3E">
        <w:rPr>
          <w:color w:val="000000" w:themeColor="text1"/>
          <w:sz w:val="16"/>
          <w:szCs w:val="16"/>
        </w:rPr>
        <w:softHyphen/>
        <w:t>ний начались 5 февраля, но 28 февраля они были прерваны. Дело в том, что в ходе полетов были вы</w:t>
      </w:r>
      <w:r w:rsidRPr="00D03F3E">
        <w:rPr>
          <w:color w:val="000000" w:themeColor="text1"/>
          <w:sz w:val="16"/>
          <w:szCs w:val="16"/>
        </w:rPr>
        <w:softHyphen/>
        <w:t>явлены многочисленные производственные и кон</w:t>
      </w:r>
      <w:r w:rsidRPr="00D03F3E">
        <w:rPr>
          <w:color w:val="000000" w:themeColor="text1"/>
          <w:sz w:val="16"/>
          <w:szCs w:val="16"/>
        </w:rPr>
        <w:softHyphen/>
        <w:t>структивные дефекты самолета. К тому же на заво</w:t>
      </w:r>
      <w:r w:rsidRPr="00D03F3E">
        <w:rPr>
          <w:color w:val="000000" w:themeColor="text1"/>
          <w:sz w:val="16"/>
          <w:szCs w:val="16"/>
        </w:rPr>
        <w:softHyphen/>
        <w:t>де № 288 в Омске завершились работы по отладке и доводке подвесной системы с пушками ВЯ и про</w:t>
      </w:r>
      <w:r w:rsidRPr="00D03F3E">
        <w:rPr>
          <w:color w:val="000000" w:themeColor="text1"/>
          <w:sz w:val="16"/>
          <w:szCs w:val="16"/>
        </w:rPr>
        <w:softHyphen/>
        <w:t>ведены полигонные испытания бронекабины. Было решено доработать самолет, устранить выявленные недостатки, и затем испытать его с пушечным воо</w:t>
      </w:r>
      <w:r w:rsidRPr="00D03F3E">
        <w:rPr>
          <w:color w:val="000000" w:themeColor="text1"/>
          <w:sz w:val="16"/>
          <w:szCs w:val="16"/>
        </w:rPr>
        <w:softHyphen/>
        <w:t>ружением и с бомбовой нагрузкой в 500 кг.</w:t>
      </w:r>
    </w:p>
    <w:p w14:paraId="6F70C2E1" w14:textId="77777777" w:rsidR="00FB1AC8" w:rsidRPr="00D03F3E" w:rsidRDefault="00FB1AC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Надо сказать, впечатление летчиков-испытате</w:t>
      </w:r>
      <w:r w:rsidRPr="00D03F3E">
        <w:rPr>
          <w:color w:val="000000" w:themeColor="text1"/>
          <w:sz w:val="16"/>
          <w:szCs w:val="16"/>
        </w:rPr>
        <w:softHyphen/>
        <w:t>лей о самолете «Пегас» было крайне удручающим.</w:t>
      </w:r>
    </w:p>
    <w:p w14:paraId="53F111F2" w14:textId="77777777" w:rsidR="00FB1AC8" w:rsidRPr="00D03F3E" w:rsidRDefault="00FB1AC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очередной сводке в Управление опытного стро</w:t>
      </w:r>
      <w:r w:rsidRPr="00D03F3E">
        <w:rPr>
          <w:color w:val="000000" w:themeColor="text1"/>
          <w:sz w:val="16"/>
          <w:szCs w:val="16"/>
        </w:rPr>
        <w:softHyphen/>
        <w:t>ительства ГУ ИАС ВВС по опытным работам крас</w:t>
      </w:r>
      <w:r w:rsidRPr="00D03F3E">
        <w:rPr>
          <w:color w:val="000000" w:themeColor="text1"/>
          <w:sz w:val="16"/>
          <w:szCs w:val="16"/>
        </w:rPr>
        <w:softHyphen/>
        <w:t>норечиво указывалось, что самолет «Пегас» № 01 в предъявленном виде для использования на фрон</w:t>
      </w:r>
      <w:r w:rsidRPr="00D03F3E">
        <w:rPr>
          <w:color w:val="000000" w:themeColor="text1"/>
          <w:sz w:val="16"/>
          <w:szCs w:val="16"/>
        </w:rPr>
        <w:softHyphen/>
        <w:t>те не пригоден — «хорошая мишень для зенитной артиллерии». Не может лететь на одном моторе. Прицельная стрельба из пулемета («сильно зади</w:t>
      </w:r>
      <w:r w:rsidRPr="00D03F3E">
        <w:rPr>
          <w:color w:val="000000" w:themeColor="text1"/>
          <w:sz w:val="16"/>
          <w:szCs w:val="16"/>
        </w:rPr>
        <w:softHyphen/>
        <w:t>рает нос») и бомбометание («нет бомбового при</w:t>
      </w:r>
      <w:r w:rsidRPr="00D03F3E">
        <w:rPr>
          <w:color w:val="000000" w:themeColor="text1"/>
          <w:sz w:val="16"/>
          <w:szCs w:val="16"/>
        </w:rPr>
        <w:softHyphen/>
        <w:t>цела») почти невозможна. Ставилось под сомнение применение на самолете пушек калибра 23 и 37 мм (большая отдача при стрельбе) (17500).</w:t>
      </w:r>
    </w:p>
    <w:p w14:paraId="624A5371" w14:textId="77777777" w:rsidR="00FB1AC8" w:rsidRPr="00D03F3E" w:rsidRDefault="00FB1AC8" w:rsidP="00D03F3E">
      <w:pPr>
        <w:spacing w:after="0" w:line="240" w:lineRule="auto"/>
        <w:jc w:val="both"/>
        <w:rPr>
          <w:rFonts w:ascii="Times New Roman" w:eastAsia="Times New Roman" w:hAnsi="Times New Roman"/>
          <w:color w:val="000000" w:themeColor="text1"/>
          <w:sz w:val="16"/>
          <w:szCs w:val="16"/>
          <w:lang w:eastAsia="ru-RU"/>
        </w:rPr>
      </w:pPr>
    </w:p>
    <w:p w14:paraId="587010C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1943 на аэродроме з-да № 126 в Комсомльске состоялась передача эскадрильи самолетов Дальневосточный чекист 444 дбап 53ад. В тот же день перелетели на аэродром Хурба чтобы лететь на Хабаровск-Куйбышевка-Чита-Красноярск-Омск-Свердловск-Москва. Официально вручали в Хабаровске (5217, 12).</w:t>
      </w:r>
    </w:p>
    <w:p w14:paraId="5E40B6B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AED0E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1943 состоялось совещание у Зама. НКАП А.И.Кузнецова по вопросу о колесах для Ил-4. были ГК завода 240 С.В.И. и 219 Флеров. и др.</w:t>
      </w:r>
    </w:p>
    <w:p w14:paraId="1490941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2 ГУ НКАП Сысоева и директора завода 286 Клементьева обеспечить немедленный выпуск на заводе усиленных колес из электрона размером 1000х350.</w:t>
      </w:r>
    </w:p>
    <w:p w14:paraId="098D36E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Обязать 2 ГУ и директора завода 219 Жихарева выпускать с 1 марта 1943 колеса из электрона размером 1000х350, усиленные, в количествах, обеспечивающих выпуск самолетов на заводе 23.</w:t>
      </w:r>
    </w:p>
    <w:p w14:paraId="098016E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3. Обязать 2 ГУ, ГК завода 289 и дир. завода 219 изготовить к 1 апреля 10 комплектов силуминовых колес размером 1100х400 с воздушными колодочными тормозами." (1775,7).</w:t>
      </w:r>
    </w:p>
    <w:p w14:paraId="11FAA33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54108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1943 на Ер-2 2М-30Б на заводах 134 и 500 был выполнен полет с весом 16000 кг для определения разбега, скороподъемности и потолка. Задание выполнили и налетали 2:30 (1458,30).</w:t>
      </w:r>
    </w:p>
    <w:p w14:paraId="4F0BEB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53BE9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1943 Н.Н.П. писал И.В.С. с заявкой на серию И-185 М-71 (228,172). Н.Н.П. писал о 685 км/ч, хотя на самом деле - 700 (389,86). То же по дальности 800 км, хотя на самом деле - 900 км (2495):</w:t>
      </w:r>
    </w:p>
    <w:p w14:paraId="02C47D3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"Дорогой И.В.,</w:t>
      </w:r>
    </w:p>
    <w:p w14:paraId="47040A8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Три года напряженной работы нашего конструкторского коллектива позволили создать истребитель И-185 М-71. ныне он прошел уже три гос. испытания в НИИ ВВС, показал скорость у земли 600 км/час и на 6150 - 680 км/час и имеет также резервы дальнейшего повышения летных данных.</w:t>
      </w:r>
    </w:p>
    <w:p w14:paraId="0113F62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И-185 М-71 ждет Вашего решения о запуске в серийное производство..." (2495,27).</w:t>
      </w:r>
    </w:p>
    <w:p w14:paraId="75D7B16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Будем счастливы помочь нашей Советской Родине и Вам, нашему Вождю и Верховному Главнокомандующему, в эти великие исторические дни своим скромным трудом." (2863,104).</w:t>
      </w:r>
    </w:p>
    <w:p w14:paraId="6EBD97D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769C7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1943 г. на имя И.В.Сталина обратил</w:t>
      </w:r>
      <w:r w:rsidRPr="00D03F3E">
        <w:rPr>
          <w:rFonts w:ascii="Times New Roman" w:hAnsi="Times New Roman"/>
          <w:color w:val="000000" w:themeColor="text1"/>
          <w:sz w:val="16"/>
          <w:szCs w:val="16"/>
        </w:rPr>
        <w:softHyphen/>
        <w:t xml:space="preserve">ся Н.Н.Поликарпов. Свое послание он заключил словами: </w:t>
      </w:r>
      <w:r w:rsidRPr="00D03F3E">
        <w:rPr>
          <w:rFonts w:ascii="Times New Roman" w:hAnsi="Times New Roman"/>
          <w:iCs/>
          <w:color w:val="000000" w:themeColor="text1"/>
          <w:sz w:val="16"/>
          <w:szCs w:val="16"/>
        </w:rPr>
        <w:t>«И-185 М-71 ждет Вашего решения о запуске в серийное производство»</w:t>
      </w:r>
      <w:r w:rsidRPr="00D03F3E">
        <w:rPr>
          <w:rFonts w:ascii="Times New Roman" w:hAnsi="Times New Roman"/>
          <w:color w:val="000000" w:themeColor="text1"/>
          <w:sz w:val="16"/>
          <w:szCs w:val="16"/>
        </w:rPr>
        <w:t xml:space="preserve"> (9979).</w:t>
      </w:r>
    </w:p>
    <w:p w14:paraId="335D9C8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4BE24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1943 г. Н.Н.П. написал письмо Сталину:</w:t>
      </w:r>
    </w:p>
    <w:p w14:paraId="5F33BC5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«Три года напряженной работы нашего конструктор</w:t>
      </w:r>
      <w:r w:rsidRPr="00D03F3E">
        <w:rPr>
          <w:rFonts w:ascii="Times New Roman" w:hAnsi="Times New Roman"/>
          <w:color w:val="000000" w:themeColor="text1"/>
          <w:sz w:val="16"/>
          <w:szCs w:val="16"/>
        </w:rPr>
        <w:softHyphen/>
        <w:t>ского коллектива позволили создать истребитель И185-М71. Ныне он прошел уже три госиспытания в НИИ ВВС, показал скорость у земли 600 км/час, скорость на высоте 6150 м - 680 км/час и имеет также резервы даль</w:t>
      </w:r>
      <w:r w:rsidRPr="00D03F3E">
        <w:rPr>
          <w:rFonts w:ascii="Times New Roman" w:hAnsi="Times New Roman"/>
          <w:color w:val="000000" w:themeColor="text1"/>
          <w:sz w:val="16"/>
          <w:szCs w:val="16"/>
        </w:rPr>
        <w:softHyphen/>
        <w:t>нейшего повышения летных данных. И185-М71 ждет Вашего решения о запуске в серийное производство.</w:t>
      </w:r>
    </w:p>
    <w:p w14:paraId="5ECC4E0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Будем счастливы помочь нашей Советской Родине и Вам, нашему вождю и Верховному Главнокомандующе</w:t>
      </w:r>
      <w:r w:rsidRPr="00D03F3E">
        <w:rPr>
          <w:rFonts w:ascii="Times New Roman" w:hAnsi="Times New Roman"/>
          <w:color w:val="000000" w:themeColor="text1"/>
          <w:sz w:val="16"/>
          <w:szCs w:val="16"/>
        </w:rPr>
        <w:softHyphen/>
        <w:t>му, в эти великие исторические дни своим скромным трудом» (10667).</w:t>
      </w:r>
    </w:p>
    <w:p w14:paraId="5EDB7F1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A7C045" w14:textId="77777777" w:rsidR="00FB1AC8" w:rsidRPr="00D03F3E"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4 февраля 1943 г. Поликарпов написал письмо с предложением о немедленном запуске самолета И-185 М-71, который по его утверждению трижды прошел испытания в НИИ ВВС, в серию. Однако на деле полностью положенную программу самолет не выполнил ни разу. По этому вопросу Сталин вызвал Наркома авиапромышленности Шахурина и его зама по опытному самолетостроению А.С. Яковлева, который об этом вспоминает в своей книге "Цель жизни" так:</w:t>
      </w:r>
    </w:p>
    <w:p w14:paraId="2F87D6E8" w14:textId="77777777" w:rsidR="00FB1AC8" w:rsidRPr="00D03F3E"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"Сталин прочел вслух письмо конструктора Н. Н. Поликарпова, в котором тот докладывал о новом быстроходном истребителе, проходившем заводские испытания и показавшем большую скорость.</w:t>
      </w:r>
    </w:p>
    <w:p w14:paraId="094C52D5" w14:textId="77777777" w:rsidR="00FB1AC8" w:rsidRPr="00D03F3E"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Он спросил:</w:t>
      </w:r>
    </w:p>
    <w:p w14:paraId="501272F8" w14:textId="77777777" w:rsidR="00FB1AC8" w:rsidRPr="00D03F3E"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Что знаете об этой машине?</w:t>
      </w:r>
    </w:p>
    <w:p w14:paraId="6ED179C5" w14:textId="77777777" w:rsidR="00FB1AC8" w:rsidRPr="00D03F3E"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Я отвечаю:</w:t>
      </w:r>
    </w:p>
    <w:p w14:paraId="7539670F" w14:textId="77777777" w:rsidR="00FB1AC8" w:rsidRPr="00D03F3E"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Хорошая машина, скорость действительно большая.</w:t>
      </w:r>
    </w:p>
    <w:p w14:paraId="3633AB40" w14:textId="77777777" w:rsidR="00FB1AC8" w:rsidRPr="00D03F3E"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Сталин сразу же:</w:t>
      </w:r>
    </w:p>
    <w:p w14:paraId="773D9961" w14:textId="77777777" w:rsidR="00FB1AC8" w:rsidRPr="00D03F3E"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Вы бросьте свою корпоративную мораль. Не хотите обидеть конструктора - хорошо отзываетесь! Как беспристрастно?</w:t>
      </w:r>
    </w:p>
    <w:p w14:paraId="113203FE" w14:textId="77777777" w:rsidR="00FB1AC8" w:rsidRPr="00D03F3E"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Мы с наркомом постарались объективно оценить машину и дать ей возможно более исчерпывающую характеристику. Но так как самолет прошел только часть заводских летных испытаний, дать окончательное заключение было невозможно.</w:t>
      </w:r>
    </w:p>
    <w:p w14:paraId="46CFF486" w14:textId="77777777" w:rsidR="00FB1AC8" w:rsidRPr="00D03F3E"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Между прочим, Сталин заинтересовался дальностью полета этого истребителя, заметив, что одна скорость без необходимой дальности еще мало о чем говорит. Мы назвали цифру дальности.</w:t>
      </w:r>
    </w:p>
    <w:p w14:paraId="32E49CEF" w14:textId="77777777" w:rsidR="00FB1AC8" w:rsidRPr="00D03F3E"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Проверено в полете?</w:t>
      </w:r>
    </w:p>
    <w:p w14:paraId="07655804" w14:textId="77777777" w:rsidR="00FB1AC8" w:rsidRPr="00D03F3E"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Нет, дальность еще не проверена в полете. Это расчетные данные.</w:t>
      </w:r>
    </w:p>
    <w:p w14:paraId="55EE471A" w14:textId="77777777" w:rsidR="00FB1AC8" w:rsidRPr="00D03F3E"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Я словам не верю. Сперва проверьте в полете дальность, а потом будем решать, как быть с этой машиной. Сейчас решать рано.</w:t>
      </w:r>
    </w:p>
    <w:p w14:paraId="312A8C62" w14:textId="77777777" w:rsidR="00FB1AC8" w:rsidRPr="00D03F3E"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 отложил письмо Поликарпова в сторону".</w:t>
      </w:r>
    </w:p>
    <w:p w14:paraId="48586092" w14:textId="77777777" w:rsidR="00FB1AC8" w:rsidRPr="00D03F3E"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Между тем, дальности И-185 придавалось первостепенное значение, причем дальности скоростной - не на крейсерской скорости, на которой самолет может пройти теоретически наибольшее расстояние, а на 90% от максимальной, где километровый расход топлива не самый маленький.</w:t>
      </w:r>
    </w:p>
    <w:p w14:paraId="017D9A22" w14:textId="77777777" w:rsidR="00FB1AC8" w:rsidRPr="00D03F3E"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Но почему этим так интересовались в отношении И-185 и командование ВВС, и лично Верховный Главнокомандующий и Председатель Государственного Комитета Обороны Сталин? (17737).</w:t>
      </w:r>
    </w:p>
    <w:p w14:paraId="4A8EBCB4" w14:textId="77777777" w:rsidR="00FB1AC8" w:rsidRPr="00D03F3E" w:rsidRDefault="00FB1AC8" w:rsidP="00D03F3E">
      <w:pPr>
        <w:pStyle w:val="12a"/>
        <w:shd w:val="clear" w:color="auto" w:fill="auto"/>
        <w:spacing w:after="0" w:line="240" w:lineRule="auto"/>
        <w:jc w:val="both"/>
        <w:rPr>
          <w:color w:val="000000" w:themeColor="text1"/>
          <w:sz w:val="16"/>
          <w:szCs w:val="16"/>
        </w:rPr>
      </w:pPr>
    </w:p>
    <w:p w14:paraId="60EA21A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февраля 1943 г. был построен первый прототип Як-</w:t>
      </w:r>
      <w:r w:rsidR="00FB1AC8" w:rsidRPr="00D03F3E">
        <w:rPr>
          <w:rFonts w:ascii="Times New Roman" w:hAnsi="Times New Roman"/>
          <w:color w:val="000000" w:themeColor="text1"/>
          <w:sz w:val="16"/>
          <w:szCs w:val="16"/>
        </w:rPr>
        <w:t>1</w:t>
      </w:r>
      <w:r w:rsidRPr="00D03F3E">
        <w:rPr>
          <w:rFonts w:ascii="Times New Roman" w:hAnsi="Times New Roman"/>
          <w:color w:val="000000" w:themeColor="text1"/>
          <w:sz w:val="16"/>
          <w:szCs w:val="16"/>
        </w:rPr>
        <w:t>M с мотором М-105ПФ, который отличался от серийного Як-1, прежде всего, новым крылом меньшего размаха (9,2 м) и меньшей плошали (14,83 м2). Применение металлических лонжеронов крыла, уменьшение запаса топлива (установкой двух бензобаков в крыле и одного, расходного, в фюзеляже вместо четырех крыльевых бензобаков), уменьшение площади хвостового оперения и другие конструктивные мероприятия уменьшили полетный вес на 230 кг. Улучшение внешних форм и туннеля водо- радиатора (он стал более утоплен в фюзеляж, в связи с чем в стандартную ферму Як-1 в районе третьей рамы пришлось внести изменения для его крепления), перенос маслорадиатора в центральную часть крыла, использование индивидуальных на каждый цилиндр мотора реактивных выхлопных патрубков способствовали уменьшению аэродинамического сопротивления и увеличению максимальной скорости.</w:t>
      </w:r>
    </w:p>
    <w:p w14:paraId="1118F36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Як-1M успешно прошел заводские (с 28 февраля по 7 июня 1943 г.) и государственные (с 7 июня по 4 июля 1943 г.) испытания. К этому времени, основываясь на результатах испытаний мотора М-106, ОКБ Як-1 МДублер А.С. Яковлева выдвинуло предложение по дальнейшему форсированию мощности мотора М-Ю5ПФ путем увеличения наддува с 1050 до 1100 мм рт.ст. При этом номинальная мощность мотора на первой скорости нагнетателя становилась 1310 л.с. на высоте 200 м (против 1260 л.с. на высоте 700 м), а на второй скорости нагнетателя - 1240 л.с. на высоте 2100 м (против 1180 л.с. на высоте 2700 м).</w:t>
      </w:r>
    </w:p>
    <w:p w14:paraId="053FA9E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Разрешение на повышение наддува было получено от КБ В.Я. Климова, правда, только для первой скорости нагнетателя. С таким усеченным форсированием мощности мотора М-105ПФ Як-1М прошел 21-22 июля 1943 г. дополнительные испытания в НИИ ВВС с целью проверки возможности увеличения мощности с существующими устройствами охлаждения и снятия летных характеристик. К сожалению конструкторов, установленные на Як-1М водо- и маслора- диаторы оказались недостаточно эффективны. Для поиска дополнительных мер по улучшению обводов и работы устройств охлаждения самолет был отправлен в ЦАГИ, где в августе 1943 г. продувался в аэродинамической трубе.</w:t>
      </w:r>
    </w:p>
    <w:p w14:paraId="76663F8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основе результатов продувок 17 сентября 1943 г. был выпушен второй прототип Як-IM, или "Дублер", как его иногда называли. Помимо форсированного мотора, переведенного на повышенный наддув во всем диапазоне высот и получившего обозначение ВК-105ПФ2, на самолет был установлен винт ВИШ-105СВ-01, новые водо- и масло- радиаторы с увеличенными, по сравнению с первым экземпляром, площадями охлаждающих поверхностей (на 7 и 8,83 м2 соответственно). Вооружение усилили за счет установки двух синхронных пулеметов УБ, а мотор-пушку заменили опытной облегченной пушкой LUA-20M. Обшивка хвостовой части фюзеляжа стала полностью фанерной (тол- шиной 2 мм). Козырек фонаря выполнили беспереплетным. Ввели также многочисленные эксплуатационные улучшения. Вес конструкции "Дублера", по сравнению с Як-1, уменьшился на 250 кг.</w:t>
      </w:r>
    </w:p>
    <w:p w14:paraId="4B9F65B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Дублер успешно прошел заводские (с 20 по 30 сентября 1943 г.) и государственные (с 6 по 15 октября) испытания. Сравнительные испытания и учебные воздушные бои показали, что новый истребитель не уступает ни одному из истребителей воюющих на Восточном фронте сторон в скорости (кроме Ла-5ФН на форсаже), а также в скороподъемности и в вертикальном маневре до высоты 5000 м. Постановлением ГКО от 26 октября 1943 г. Як-IM был переименован в Як-3 и под этим обозначением запущен в серийное производство (12048).</w:t>
      </w:r>
    </w:p>
    <w:p w14:paraId="3D0D471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6D06A3"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4 февраля</w:t>
      </w:r>
      <w:r w:rsidRPr="00D03F3E">
        <w:rPr>
          <w:rFonts w:ascii="Times New Roman" w:hAnsi="Times New Roman"/>
          <w:color w:val="000000" w:themeColor="text1"/>
          <w:sz w:val="16"/>
          <w:szCs w:val="16"/>
        </w:rPr>
        <w:t xml:space="preserve"> в 1943 году в КБ Болховитинова образовано подразделение по разработке ЖРД (КБД - конструкторское бюро двигателей). Руководителем был назначен А.М.Исаев. В штате состояли также: М.Мельников, К.Лоскутова, Е.Дмитриева, О.Штин (15030).</w:t>
      </w:r>
    </w:p>
    <w:p w14:paraId="0EA4676C" w14:textId="77777777" w:rsidR="00601E3D" w:rsidRPr="00D03F3E" w:rsidRDefault="00601E3D" w:rsidP="00D03F3E">
      <w:pPr>
        <w:spacing w:after="0" w:line="240" w:lineRule="auto"/>
        <w:jc w:val="both"/>
        <w:rPr>
          <w:rFonts w:ascii="Times New Roman" w:hAnsi="Times New Roman"/>
          <w:color w:val="000000" w:themeColor="text1"/>
          <w:sz w:val="16"/>
          <w:szCs w:val="16"/>
        </w:rPr>
      </w:pPr>
    </w:p>
    <w:p w14:paraId="5420434B" w14:textId="77777777" w:rsidR="00522761" w:rsidRPr="00D03F3E" w:rsidRDefault="005227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4 февраля 1943. приказом Болховитинова Исаев был назначен руководителем КБ-Д. С этого времени ведет отчет КБ Исаева. 25.05.43. возвращение из эвакуации. 21.06. Исаев назначен начальником отдела двигателей в количестве 27 человек. В 02.44. завод Болховитинова включен в состав РНИИ, точнее в НИИ-1, после снятия Костикова. Сам Болховитинов стал научным руководителем института.  30.05.44. приказом НКАП поручено Глушко, Исаеву и Душкину построить и предъявить на гос. испытания двигатели для самолетов. 10.44. у Исаева закончены гос. испытания РД-1. 24.01-09.03.45 ЛКИ 7-го экземпляра «БИ» с РД-1. Это последний этап работы над «БИ». В 05-06.45. закончены заводские испытания двигателя РД-1М, у которого ресурс был доведен до 1-го часа, с числом включений не менее 10. После отработки РД-1 Исаев пришел к выводу, что ЖРД не для авиации, где требуется большой ресурс и многоразовые включения. ЖРД должен быть одноразовым, нерегулируемым, простым и дешевым в изготовлении. Использоваться в различных ракетах и, конечно, без ТНА, а только с вытеснительной системой подачи. Исаев </w:t>
      </w:r>
      <w:r w:rsidRPr="00D03F3E">
        <w:rPr>
          <w:rFonts w:ascii="Times New Roman" w:hAnsi="Times New Roman"/>
          <w:color w:val="000000" w:themeColor="text1"/>
          <w:sz w:val="16"/>
          <w:szCs w:val="16"/>
        </w:rPr>
        <w:lastRenderedPageBreak/>
        <w:t xml:space="preserve">разуверился в ТНА, после работ с двигателем Душкина. В начале </w:t>
      </w:r>
      <w:smartTag w:uri="urn:schemas-microsoft-com:office:smarttags" w:element="metricconverter">
        <w:smartTagPr>
          <w:attr w:name="ProductID" w:val="45 г"/>
        </w:smartTagPr>
        <w:r w:rsidRPr="00D03F3E">
          <w:rPr>
            <w:rFonts w:ascii="Times New Roman" w:hAnsi="Times New Roman"/>
            <w:color w:val="000000" w:themeColor="text1"/>
            <w:sz w:val="16"/>
            <w:szCs w:val="16"/>
          </w:rPr>
          <w:t>45 г</w:t>
        </w:r>
      </w:smartTag>
      <w:r w:rsidRPr="00D03F3E">
        <w:rPr>
          <w:rFonts w:ascii="Times New Roman" w:hAnsi="Times New Roman"/>
          <w:color w:val="000000" w:themeColor="text1"/>
          <w:sz w:val="16"/>
          <w:szCs w:val="16"/>
        </w:rPr>
        <w:t>. приступили к разработке двигателей серии «У» /упрощенный/.  Исаев в своей единственной книге «Первые шаги к космическим двигателям» пишет, что это был, конечно, не двигатель, а просто КС. КС задумали делать из листовой стали, а не точеную из болванки, как в РД-1. КС впервые имела плоскую головку. Не все сразу получалось, но были уверены, что находятся на правильном пути. Приближалось окончание войны и специалистов направляли  для изучения достижений Германии в области реактивной техники. Одной из первых была направлена группа Исаева (19590).</w:t>
      </w:r>
    </w:p>
    <w:p w14:paraId="74C282C3" w14:textId="77777777" w:rsidR="00522761" w:rsidRPr="00D03F3E" w:rsidRDefault="00522761" w:rsidP="00D03F3E">
      <w:pPr>
        <w:spacing w:after="0" w:line="240" w:lineRule="auto"/>
        <w:jc w:val="both"/>
        <w:rPr>
          <w:rFonts w:ascii="Times New Roman" w:hAnsi="Times New Roman"/>
          <w:color w:val="000000" w:themeColor="text1"/>
          <w:sz w:val="16"/>
          <w:szCs w:val="16"/>
        </w:rPr>
      </w:pPr>
    </w:p>
    <w:p w14:paraId="0D0CAB75" w14:textId="77777777" w:rsidR="00B67870" w:rsidRPr="00D03F3E" w:rsidRDefault="00B6787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 февраля 1943 - В КБ Болховитинова образовано подразделение по разработке ЖРД (КБД — конструкторское бюро двигателей). Руководителем был назначен А.М. Исаев. В штате состояли также: М. Мельников, К. Лоскутова, Е. Дмитриева, О. Штин (22634).</w:t>
      </w:r>
    </w:p>
    <w:p w14:paraId="3A1A6399" w14:textId="77777777" w:rsidR="00B67870" w:rsidRPr="00D03F3E" w:rsidRDefault="00B67870" w:rsidP="00D03F3E">
      <w:pPr>
        <w:spacing w:after="0" w:line="240" w:lineRule="auto"/>
        <w:jc w:val="both"/>
        <w:rPr>
          <w:rFonts w:ascii="Times New Roman" w:hAnsi="Times New Roman"/>
          <w:color w:val="0070C0"/>
          <w:sz w:val="16"/>
          <w:szCs w:val="16"/>
        </w:rPr>
      </w:pPr>
    </w:p>
    <w:p w14:paraId="651F6FF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1943 г. по приказу № 69с/06 производственные корпуса завода (ГС Завод № 49 НКАП / г. Балашиха Московской обл. ш. Энтузиастов, 19-й км;  г.Уфа Сталинский район/), эвакуированого в Уфу, переданы во временное пользование заводу № 219 НКАП.</w:t>
      </w:r>
    </w:p>
    <w:p w14:paraId="0217642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1.01.1945 г. завод № 49 влит в состав завода № 150 НКАП (приказ НКАП № 9с от 16.01.1945 г.). Помещения и площади завода в Уфе переданы Уфимскому авторемонтному заводу НК автомобильного транспорта РСФСР (приказ № 1 Юс от 21.03.1945 г.) и Наркомзему Башкирской АССР (приказ № 118с от 26.03.1945 г.).</w:t>
      </w:r>
    </w:p>
    <w:p w14:paraId="5668C9B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(1941 г.)- Волошенко, (-08.1942-09.1943 г.-)- Антипов (11982).</w:t>
      </w:r>
    </w:p>
    <w:p w14:paraId="0D100E4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00E0F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4 февраля 1943 г. по приказу № 69с/06 от производственные корпуса эвакуированного из Балашихи завода № 49 НКАП переданы во временное пользование заводу № 219 </w:t>
      </w:r>
      <w:r w:rsidRPr="00D03F3E">
        <w:rPr>
          <w:rFonts w:ascii="Times New Roman" w:hAnsi="Times New Roman"/>
          <w:color w:val="000000" w:themeColor="text1"/>
          <w:sz w:val="16"/>
          <w:szCs w:val="16"/>
          <w:lang w:val="en-US"/>
        </w:rPr>
        <w:t>HKAII</w:t>
      </w:r>
      <w:r w:rsidRPr="00D03F3E">
        <w:rPr>
          <w:rFonts w:ascii="Times New Roman" w:hAnsi="Times New Roman"/>
          <w:color w:val="000000" w:themeColor="text1"/>
          <w:sz w:val="16"/>
          <w:szCs w:val="16"/>
        </w:rPr>
        <w:t xml:space="preserve"> (11982).</w:t>
      </w:r>
    </w:p>
    <w:p w14:paraId="08C2FA1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FFF03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1943 5 ГУ НКАП при письме 13 отдела НИИ ВВС от 3 февраля N 0048 получены ТТТ на опытный образец упрощенной электрогидравлической системы автоматов для телемеханических самолетов (РТУ) (1977,225).</w:t>
      </w:r>
    </w:p>
    <w:p w14:paraId="07AFFF0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D738C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1943 Нач. штаба НИИ ВУВС Иващенко писал в Секретариат НКАП письмо N ф/0103 в сопровождении карточки по испытаниям С-2 N 17326 с кабинами конструкции Бакшаева для включения в Альбом самолетов (1783,194).</w:t>
      </w:r>
    </w:p>
    <w:p w14:paraId="2CA951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A5B276"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DBC605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C8ACA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1943 г. была подготовлена СПРАВКА 5-го ОТДЕЛА ТУ ГБТУ КА О НАЛИЧИИ ИМПОРТНЫХ ТАНКОВ И БРОНЕМАШИН ПО СОСТОЯНИЮ НА 4 ФЕВРАЛЯ 1943 г. № 1148701</w:t>
      </w:r>
    </w:p>
    <w:tbl>
      <w:tblPr>
        <w:tblW w:w="0" w:type="auto"/>
        <w:tblInd w:w="40" w:type="dxa"/>
        <w:tblLayout w:type="fixed"/>
        <w:tblCellMar>
          <w:left w:w="40" w:type="dxa"/>
          <w:right w:w="40" w:type="dxa"/>
        </w:tblCellMar>
        <w:tblLook w:val="0000" w:firstRow="0" w:lastRow="0" w:firstColumn="0" w:lastColumn="0" w:noHBand="0" w:noVBand="0"/>
      </w:tblPr>
      <w:tblGrid>
        <w:gridCol w:w="1382"/>
        <w:gridCol w:w="10"/>
        <w:gridCol w:w="1507"/>
        <w:gridCol w:w="10"/>
        <w:gridCol w:w="1497"/>
        <w:gridCol w:w="10"/>
        <w:gridCol w:w="1498"/>
        <w:gridCol w:w="1507"/>
        <w:gridCol w:w="10"/>
        <w:gridCol w:w="1516"/>
        <w:gridCol w:w="10"/>
      </w:tblGrid>
      <w:tr w:rsidR="00860B4B" w:rsidRPr="00D03F3E" w14:paraId="64D68914" w14:textId="77777777">
        <w:trPr>
          <w:gridAfter w:val="1"/>
          <w:wAfter w:w="9" w:type="dxa"/>
          <w:trHeight w:val="384"/>
        </w:trPr>
        <w:tc>
          <w:tcPr>
            <w:tcW w:w="1392" w:type="dxa"/>
            <w:gridSpan w:val="2"/>
            <w:tcBorders>
              <w:top w:val="single" w:sz="6" w:space="0" w:color="auto"/>
              <w:left w:val="single" w:sz="6" w:space="0" w:color="auto"/>
              <w:bottom w:val="single" w:sz="6" w:space="0" w:color="auto"/>
              <w:right w:val="single" w:sz="6" w:space="0" w:color="auto"/>
            </w:tcBorders>
          </w:tcPr>
          <w:p w14:paraId="0394E56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316CA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3D20DF3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пути</w:t>
            </w:r>
          </w:p>
          <w:p w14:paraId="311EFC9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0CCD40F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Остаток в портах</w:t>
            </w:r>
          </w:p>
          <w:p w14:paraId="394307B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B8C079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Остаток в отделах приемки</w:t>
            </w:r>
          </w:p>
          <w:p w14:paraId="260B2AD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1576E91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Резерв ГБТУ КА в г. Горьком</w:t>
            </w:r>
          </w:p>
          <w:p w14:paraId="0DD9350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60D347C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Резерв ГБТУ КА в г. Баку</w:t>
            </w:r>
          </w:p>
          <w:p w14:paraId="24762E2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150DCA3" w14:textId="77777777">
        <w:trPr>
          <w:gridAfter w:val="1"/>
          <w:wAfter w:w="9" w:type="dxa"/>
          <w:trHeight w:val="230"/>
        </w:trPr>
        <w:tc>
          <w:tcPr>
            <w:tcW w:w="1392" w:type="dxa"/>
            <w:gridSpan w:val="2"/>
            <w:tcBorders>
              <w:top w:val="single" w:sz="6" w:space="0" w:color="auto"/>
              <w:left w:val="single" w:sz="6" w:space="0" w:color="auto"/>
              <w:bottom w:val="single" w:sz="6" w:space="0" w:color="auto"/>
              <w:right w:val="single" w:sz="6" w:space="0" w:color="auto"/>
            </w:tcBorders>
          </w:tcPr>
          <w:p w14:paraId="1555B37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«Черчилль»</w:t>
            </w:r>
          </w:p>
          <w:p w14:paraId="13D27EA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0D5081E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94B3E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37C703E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p w14:paraId="68EDA45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FC654E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B3FDB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218CFD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EB134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215025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BB5FA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E4A5637" w14:textId="77777777">
        <w:trPr>
          <w:gridAfter w:val="1"/>
          <w:wAfter w:w="9" w:type="dxa"/>
          <w:trHeight w:val="230"/>
        </w:trPr>
        <w:tc>
          <w:tcPr>
            <w:tcW w:w="1392" w:type="dxa"/>
            <w:gridSpan w:val="2"/>
            <w:tcBorders>
              <w:top w:val="single" w:sz="6" w:space="0" w:color="auto"/>
              <w:left w:val="single" w:sz="6" w:space="0" w:color="auto"/>
              <w:bottom w:val="single" w:sz="6" w:space="0" w:color="auto"/>
              <w:right w:val="single" w:sz="6" w:space="0" w:color="auto"/>
            </w:tcBorders>
          </w:tcPr>
          <w:p w14:paraId="362D2CB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МК-2</w:t>
            </w:r>
          </w:p>
          <w:p w14:paraId="7E181CB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7E13D02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p w14:paraId="592589A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101E1CD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w:t>
            </w:r>
          </w:p>
          <w:p w14:paraId="6E4529C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E61015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p w14:paraId="1A7E955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5351AB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12/13</w:t>
            </w:r>
          </w:p>
          <w:p w14:paraId="614F3AC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378E724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C3F2E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75B7100" w14:textId="77777777">
        <w:trPr>
          <w:gridAfter w:val="1"/>
          <w:wAfter w:w="9" w:type="dxa"/>
          <w:trHeight w:val="230"/>
        </w:trPr>
        <w:tc>
          <w:tcPr>
            <w:tcW w:w="1392" w:type="dxa"/>
            <w:gridSpan w:val="2"/>
            <w:tcBorders>
              <w:top w:val="single" w:sz="6" w:space="0" w:color="auto"/>
              <w:left w:val="single" w:sz="6" w:space="0" w:color="auto"/>
              <w:bottom w:val="single" w:sz="6" w:space="0" w:color="auto"/>
              <w:right w:val="single" w:sz="6" w:space="0" w:color="auto"/>
            </w:tcBorders>
          </w:tcPr>
          <w:p w14:paraId="34DA752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МК-3</w:t>
            </w:r>
          </w:p>
          <w:p w14:paraId="3BCCB4F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3747BEE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p w14:paraId="5674575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4847D59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w:t>
            </w:r>
          </w:p>
          <w:p w14:paraId="06D9B6A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9420D3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p w14:paraId="26021FA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A84D1E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8/6</w:t>
            </w:r>
          </w:p>
          <w:p w14:paraId="1475B0B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0209F50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w:t>
            </w:r>
          </w:p>
          <w:p w14:paraId="5309505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7D2615D" w14:textId="77777777">
        <w:trPr>
          <w:gridAfter w:val="1"/>
          <w:wAfter w:w="9" w:type="dxa"/>
          <w:trHeight w:val="221"/>
        </w:trPr>
        <w:tc>
          <w:tcPr>
            <w:tcW w:w="1392" w:type="dxa"/>
            <w:gridSpan w:val="2"/>
            <w:tcBorders>
              <w:top w:val="single" w:sz="6" w:space="0" w:color="auto"/>
              <w:left w:val="single" w:sz="6" w:space="0" w:color="auto"/>
              <w:bottom w:val="single" w:sz="6" w:space="0" w:color="auto"/>
              <w:right w:val="single" w:sz="6" w:space="0" w:color="auto"/>
            </w:tcBorders>
          </w:tcPr>
          <w:p w14:paraId="7A0AC63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М4А2</w:t>
            </w:r>
          </w:p>
          <w:p w14:paraId="0A64300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4093985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p w14:paraId="79474D7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3F73B99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5A42E0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686774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3F9B4D4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43F0EFF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15/8</w:t>
            </w:r>
          </w:p>
          <w:p w14:paraId="0D31C52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4964F90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p w14:paraId="41B3550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067477E" w14:textId="77777777">
        <w:trPr>
          <w:gridAfter w:val="1"/>
          <w:wAfter w:w="9" w:type="dxa"/>
          <w:trHeight w:val="230"/>
        </w:trPr>
        <w:tc>
          <w:tcPr>
            <w:tcW w:w="1392" w:type="dxa"/>
            <w:gridSpan w:val="2"/>
            <w:tcBorders>
              <w:top w:val="single" w:sz="6" w:space="0" w:color="auto"/>
              <w:left w:val="single" w:sz="6" w:space="0" w:color="auto"/>
              <w:bottom w:val="single" w:sz="6" w:space="0" w:color="auto"/>
              <w:right w:val="single" w:sz="6" w:space="0" w:color="auto"/>
            </w:tcBorders>
          </w:tcPr>
          <w:p w14:paraId="7CEDE28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МЗср.</w:t>
            </w:r>
          </w:p>
          <w:p w14:paraId="4D17782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1868813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74</w:t>
            </w:r>
          </w:p>
          <w:p w14:paraId="7C315AF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0C7C977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w:t>
            </w:r>
          </w:p>
          <w:p w14:paraId="22CB9E4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884C34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1844ED7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275794C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11/26</w:t>
            </w:r>
          </w:p>
          <w:p w14:paraId="65F34AE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418CFA4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w:t>
            </w:r>
          </w:p>
          <w:p w14:paraId="586B1DE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907EE08" w14:textId="77777777">
        <w:trPr>
          <w:gridAfter w:val="1"/>
          <w:wAfter w:w="9" w:type="dxa"/>
          <w:trHeight w:val="230"/>
        </w:trPr>
        <w:tc>
          <w:tcPr>
            <w:tcW w:w="1392" w:type="dxa"/>
            <w:gridSpan w:val="2"/>
            <w:tcBorders>
              <w:top w:val="single" w:sz="6" w:space="0" w:color="auto"/>
              <w:left w:val="single" w:sz="6" w:space="0" w:color="auto"/>
              <w:bottom w:val="single" w:sz="6" w:space="0" w:color="auto"/>
              <w:right w:val="single" w:sz="6" w:space="0" w:color="auto"/>
            </w:tcBorders>
          </w:tcPr>
          <w:p w14:paraId="352E6A1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МЗ лег.</w:t>
            </w:r>
          </w:p>
          <w:p w14:paraId="50A7D7F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52158EC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w:t>
            </w:r>
          </w:p>
          <w:p w14:paraId="2014276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4038D84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5FCE4CF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86CC2B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w:t>
            </w:r>
          </w:p>
          <w:p w14:paraId="4F774F9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2F34E43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1/17</w:t>
            </w:r>
          </w:p>
          <w:p w14:paraId="1B22F63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274C10E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p w14:paraId="2C30D92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403DDCB" w14:textId="77777777">
        <w:trPr>
          <w:gridAfter w:val="1"/>
          <w:wAfter w:w="9" w:type="dxa"/>
          <w:trHeight w:val="250"/>
        </w:trPr>
        <w:tc>
          <w:tcPr>
            <w:tcW w:w="1392" w:type="dxa"/>
            <w:gridSpan w:val="2"/>
            <w:tcBorders>
              <w:top w:val="single" w:sz="6" w:space="0" w:color="auto"/>
              <w:left w:val="single" w:sz="6" w:space="0" w:color="auto"/>
              <w:bottom w:val="single" w:sz="6" w:space="0" w:color="auto"/>
              <w:right w:val="single" w:sz="6" w:space="0" w:color="auto"/>
            </w:tcBorders>
          </w:tcPr>
          <w:p w14:paraId="7043979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танков</w:t>
            </w:r>
          </w:p>
          <w:p w14:paraId="6C1AC71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5A55357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158</w:t>
            </w:r>
          </w:p>
          <w:p w14:paraId="11F019C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4319A61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191</w:t>
            </w:r>
          </w:p>
          <w:p w14:paraId="4A0555B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9B5F80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74</w:t>
            </w:r>
          </w:p>
          <w:p w14:paraId="64F9781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517FF53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117</w:t>
            </w:r>
          </w:p>
          <w:p w14:paraId="34F0604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04A98CD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71</w:t>
            </w:r>
          </w:p>
          <w:p w14:paraId="778BA9F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A26D3F1" w14:textId="77777777">
        <w:trPr>
          <w:trHeight w:val="230"/>
        </w:trPr>
        <w:tc>
          <w:tcPr>
            <w:tcW w:w="1382" w:type="dxa"/>
            <w:tcBorders>
              <w:top w:val="single" w:sz="6" w:space="0" w:color="auto"/>
              <w:left w:val="single" w:sz="6" w:space="0" w:color="auto"/>
              <w:bottom w:val="single" w:sz="6" w:space="0" w:color="auto"/>
              <w:right w:val="single" w:sz="6" w:space="0" w:color="auto"/>
            </w:tcBorders>
          </w:tcPr>
          <w:p w14:paraId="63607AC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Брен</w:t>
            </w:r>
          </w:p>
          <w:p w14:paraId="0754044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3D360B8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w:t>
            </w:r>
          </w:p>
          <w:p w14:paraId="5D647EF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7368F7B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108</w:t>
            </w:r>
          </w:p>
          <w:p w14:paraId="1CF51E9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02A2AC4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5B795C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5EF8D9E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28/8</w:t>
            </w:r>
          </w:p>
          <w:p w14:paraId="0BCCDDD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4D6685C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w:t>
            </w:r>
          </w:p>
          <w:p w14:paraId="7126D78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9D9805C" w14:textId="77777777">
        <w:trPr>
          <w:trHeight w:val="230"/>
        </w:trPr>
        <w:tc>
          <w:tcPr>
            <w:tcW w:w="1382" w:type="dxa"/>
            <w:tcBorders>
              <w:top w:val="single" w:sz="6" w:space="0" w:color="auto"/>
              <w:left w:val="single" w:sz="6" w:space="0" w:color="auto"/>
              <w:bottom w:val="single" w:sz="6" w:space="0" w:color="auto"/>
              <w:right w:val="single" w:sz="6" w:space="0" w:color="auto"/>
            </w:tcBorders>
          </w:tcPr>
          <w:p w14:paraId="3E9DC17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М-2</w:t>
            </w:r>
          </w:p>
          <w:p w14:paraId="4513778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16DE321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p w14:paraId="65347C5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2992E33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p w14:paraId="03242F2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1E324B3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A7BE7C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4E779EA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w:t>
            </w:r>
          </w:p>
          <w:p w14:paraId="5E0D381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3C2DADA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w:t>
            </w:r>
          </w:p>
          <w:p w14:paraId="3F6B138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EA1BD6C" w14:textId="77777777">
        <w:trPr>
          <w:trHeight w:val="250"/>
        </w:trPr>
        <w:tc>
          <w:tcPr>
            <w:tcW w:w="1382" w:type="dxa"/>
            <w:tcBorders>
              <w:top w:val="single" w:sz="6" w:space="0" w:color="auto"/>
              <w:left w:val="single" w:sz="6" w:space="0" w:color="auto"/>
              <w:bottom w:val="single" w:sz="6" w:space="0" w:color="auto"/>
              <w:right w:val="single" w:sz="6" w:space="0" w:color="auto"/>
            </w:tcBorders>
          </w:tcPr>
          <w:p w14:paraId="781DFA1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МЗА</w:t>
            </w:r>
          </w:p>
          <w:p w14:paraId="31117A0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06829D9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p>
          <w:p w14:paraId="5BE4247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5A5799B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w:t>
            </w:r>
          </w:p>
          <w:p w14:paraId="6DB0A29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2C5AAC5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932B1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01E94A9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6DDEEA3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1BCBAFF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78/1</w:t>
            </w:r>
          </w:p>
          <w:p w14:paraId="7029CCC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DEC848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 знаменателем показаны танки неукомплектованные и требующие ремонта.</w:t>
      </w:r>
    </w:p>
    <w:p w14:paraId="25A4A33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5 отдела ТУ ГБТУ КА инженер-майор Морозов</w:t>
      </w:r>
    </w:p>
    <w:p w14:paraId="3815E76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1677. Л. 16. Подлинник (11403).</w:t>
      </w:r>
    </w:p>
    <w:p w14:paraId="3B5BD26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A4A8A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1943 г. был подготовлен ПРИКАЗ НАЧАЛЬНИКА ГБТУ КА О РАЗБОРКЕ НА ЗАПАСНЫЕ ЧАСТИ СПИСАННЫХ ТАНКОВ № 1</w:t>
      </w:r>
    </w:p>
    <w:p w14:paraId="63E67DE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Отправляемые с фронтов на металлургические заводы танки, получившие большие поврежде</w:t>
      </w:r>
      <w:r w:rsidRPr="00D03F3E">
        <w:rPr>
          <w:rFonts w:ascii="Times New Roman" w:hAnsi="Times New Roman"/>
          <w:color w:val="000000" w:themeColor="text1"/>
          <w:sz w:val="16"/>
          <w:szCs w:val="16"/>
        </w:rPr>
        <w:softHyphen/>
        <w:t>ния и непригодные к восстановлению, имеют целый ряд исправных деталей, которые могут быть использованы как запасные части при ремонте танков в войсках и на заводах ГБТУ КА.</w:t>
      </w:r>
    </w:p>
    <w:p w14:paraId="1C782CE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организации сбора и использования исправных агрегатов, узлов и деталей от этих тан</w:t>
      </w:r>
      <w:r w:rsidRPr="00D03F3E">
        <w:rPr>
          <w:rFonts w:ascii="Times New Roman" w:hAnsi="Times New Roman"/>
          <w:color w:val="000000" w:themeColor="text1"/>
          <w:sz w:val="16"/>
          <w:szCs w:val="16"/>
        </w:rPr>
        <w:softHyphen/>
        <w:t>ков ПРИКАЗЫВАЮ:</w:t>
      </w:r>
    </w:p>
    <w:p w14:paraId="49607A8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Начальнику управления ремонта и танков ГБТУ КА организовать разделку танков, поступаю</w:t>
      </w:r>
      <w:r w:rsidRPr="00D03F3E">
        <w:rPr>
          <w:rFonts w:ascii="Times New Roman" w:hAnsi="Times New Roman"/>
          <w:color w:val="000000" w:themeColor="text1"/>
          <w:sz w:val="16"/>
          <w:szCs w:val="16"/>
        </w:rPr>
        <w:softHyphen/>
        <w:t>щих на заводы Наркомчермета, на запасные части.</w:t>
      </w:r>
    </w:p>
    <w:p w14:paraId="1549859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Разделку организовать непосредственно в местах сосредоточения материальной части, для чего выделить из своих ресурсов специальные бригады слесарей демонтажников, обеспечив их необходимым инструментом, приспособлениями, материальными и квалифицированными руково</w:t>
      </w:r>
      <w:r w:rsidRPr="00D03F3E">
        <w:rPr>
          <w:rFonts w:ascii="Times New Roman" w:hAnsi="Times New Roman"/>
          <w:color w:val="000000" w:themeColor="text1"/>
          <w:sz w:val="16"/>
          <w:szCs w:val="16"/>
        </w:rPr>
        <w:softHyphen/>
        <w:t>дителями из числа инженерно-технического состава.</w:t>
      </w:r>
    </w:p>
    <w:p w14:paraId="409748C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Детали и агрегаты танков, отобранные бригадами, направлять на реставрационный завод УРТ ГБТУ КА, где и организовать окончательную рассортировку деталей, ремонт их и направление для использования по назначению.</w:t>
      </w:r>
    </w:p>
    <w:p w14:paraId="06CEC57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Организацию и отправление бригад на заводы произвести по прилагаемому плану.</w:t>
      </w:r>
    </w:p>
    <w:p w14:paraId="457B412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Заместитель начальника ГБТУ КА генерал-майор технических войск Лебедев</w:t>
      </w:r>
    </w:p>
    <w:p w14:paraId="247F287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11377. Д. 2. Л. 1. Подлинник (11403).</w:t>
      </w:r>
    </w:p>
    <w:p w14:paraId="3D4153D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3B73A6"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1943 года вышел приказ № 45/112сс НКБ</w:t>
      </w:r>
    </w:p>
    <w:p w14:paraId="19D04E6B"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Постановлением ГОКО от 30 января 1943 года № 2796сс:</w:t>
      </w:r>
    </w:p>
    <w:p w14:paraId="675D31AA"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Передать из системы НКБ в систему НКМВ:</w:t>
      </w:r>
    </w:p>
    <w:p w14:paraId="7D473BF1"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67</w:t>
      </w:r>
    </w:p>
    <w:p w14:paraId="30D3900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ГСКБ-47</w:t>
      </w:r>
    </w:p>
    <w:p w14:paraId="3F4A142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КБ-35 (5801, 82-83).</w:t>
      </w:r>
    </w:p>
    <w:p w14:paraId="17F4A079"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BCF62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1943 вышло Постановление ГКО № 2821 О развитии сырьевой базы алюминиевой и магниевой промышленности.РГАНИР, Фонд ГКО, д. 86, лл. 1-12, 13-32 (11012).</w:t>
      </w:r>
    </w:p>
    <w:p w14:paraId="523D33B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F556F0"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2F14E0C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00C102"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4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6AF94DD4"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4 февраля наши войска вели наступательные бои на прежних направлениях.</w:t>
      </w:r>
    </w:p>
    <w:p w14:paraId="792BB1A0"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Наши войска южнее Ростова-на-Дону, преодолевая упорное сопротивление и отражая контратаки противника, продолжали наступление. В районе Кущевской Н-ская часть разгромила до батальона немецкой мотопехоты и уничтожила 10 вражеских танков. На другом участке группа немецких автоматчиков при поддержке танков </w:t>
      </w:r>
      <w:r w:rsidRPr="00D03F3E">
        <w:rPr>
          <w:rFonts w:ascii="Times New Roman" w:hAnsi="Times New Roman"/>
          <w:color w:val="000000" w:themeColor="text1"/>
          <w:sz w:val="16"/>
          <w:szCs w:val="16"/>
        </w:rPr>
        <w:lastRenderedPageBreak/>
        <w:t>пыталась прорваться через боевые порядки наших подразделений. Наши бойцы ружейно-пулемётным огнём истребили до 100 немецких автоматчиков и из противотанкового ружья подожгли два танка противника.</w:t>
      </w:r>
    </w:p>
    <w:p w14:paraId="1C4A51D2"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в районе Красного Лимана продолжали наступление. Части Н-ского соединения в результате ожесточённого боя овладели шестью сильно укреплёнными противником населёнными пунктами. Только в борьбе за один из этих населённых пунктов уничтожено до 300 немецких солдат и офицеров, подбито 4 танка, 7 танкеток, 3 бронемашины и захвачено несколько орудий.</w:t>
      </w:r>
    </w:p>
    <w:p w14:paraId="6A31A128"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Воронежа Н-ская часть выбила немцев из двух крупных населённых пунктов. Наши бойцы захватили 5 орудий, 12 пулемётов, 2 миномёта, радиостанцию и артиллерийский склад. На одном участке наши автоматчики под командованием лейтенанта Зольвича обстреляли вражескую колонну численностью до 600 человек, направлявшуюся к населённому пункту Алексеевка. Гитлеровцы отошли и повернули в сторону другой деревни. Когда они подошли к этой деревне, другая группа наших бойцов встретила немцев пулемётным огнём. Среди гитлеровцев началась паника. В результате короткой схватки захвачено в плен свыше 300 солдат и офицеров противника.</w:t>
      </w:r>
    </w:p>
    <w:p w14:paraId="0D005A65"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Крыму, за два месяца боевых действий истребил более 200 вражеских солдат и офицеров. Советские патриоты уничтожили 4 грузовых автомашины и пустили под откос немецкий воинский эшелон. Разбиты паровоз, 4 теплушки с солдатами и 19 платформ с разной военной техникой.</w:t>
      </w:r>
    </w:p>
    <w:p w14:paraId="61988684"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на Украине, в середине января месяца пустил под откос воинский эшелон противника. Разбиты паровоз и 16 вагонов сбоеприпасами. Кроме того, полностью уничтожена немецкая охрана эшелона.</w:t>
      </w:r>
    </w:p>
    <w:p w14:paraId="336D6E24"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кровавых злодеяниях немецко-фашистских мерзавцев в городе Сальск, Ростовской области: «Гитлеровские бандиты и убийцы залили кровью улицы Сальска, разорили наш город. Каждый день фашистские людоеды расстреливали десятки мирных жителей. У кирпичного завода № 1 обнаружено 30 котлованов, наполненных трупами расстрелянных. По неполным данным, немцы замучили насмерть и убили свыше 3 тысяч мирных жителей города. Фашистские палачи расстреляли врача Дубинскую, слесаря депо Ганина, председателя колхоза Гласко, сапожника Филоненко, бухгалтера детсада Рудневу и её 80-летнюю мать, гражданку Бойко с двумя малолетними детьми и многих других. Кроме того, в городе обнаружены трупы зверски замученных немцами пленных красноармейцев и командиров. Отступая из города, фашистские бандиты сожгли поликлинику, две больницы, пять школ, вокзал, электростанцию, клуб железнодорожников и много жилых домов. Только быстрое наступление Красной Армии спасло город от полного разрушения». Акт подписали: председатель исполкома Сальского районного Совета депутатов трудящихся Д.Шестерко, врач Е.Лекаркина, учительница Е.Узлова, колхозник Рева, рабочий Донцов, служащий Проскурин, домохозяйка Щеглова, колхозник Сытник и другие.</w:t>
      </w:r>
    </w:p>
    <w:p w14:paraId="08271C0B"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января из пункта формирования отправилась на один из участков советско-германского фронта чехословацкая воинская часть, сформированная из чехословацких граждан, находившихся на советской территории к моменту вероломного нападения гитлеровской Германии на СССР. Чехословацкой воинской частью командует полковник Свобода.» (15030).</w:t>
      </w:r>
    </w:p>
    <w:p w14:paraId="5F6B97FA" w14:textId="77777777" w:rsidR="00601E3D" w:rsidRPr="00D03F3E" w:rsidRDefault="00601E3D" w:rsidP="00D03F3E">
      <w:pPr>
        <w:spacing w:after="0" w:line="240" w:lineRule="auto"/>
        <w:jc w:val="both"/>
        <w:rPr>
          <w:rFonts w:ascii="Times New Roman" w:hAnsi="Times New Roman"/>
          <w:color w:val="000000" w:themeColor="text1"/>
          <w:sz w:val="16"/>
          <w:szCs w:val="16"/>
        </w:rPr>
      </w:pPr>
    </w:p>
    <w:p w14:paraId="3DB244B0"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4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7B01D8DE"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Украине наши войска в результате решительной атаки овладели городом Кулянск, а также заняли районные центры — Двуречная, Боровая.</w:t>
      </w:r>
    </w:p>
    <w:p w14:paraId="10E9C10D"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Восточнее Курска наши войска заняли город и железнодорожную станцию Щигры, город Тим, районный центр и железнодорожную станцию Черемисиново, районный центр и железнодорожную станцию Колпны.</w:t>
      </w:r>
    </w:p>
    <w:p w14:paraId="729FC1B2"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Роcтова-на-Дону наши войска овладели районным центром и крупным железнодорожным узлом Старо-Минская, районным центром и железнодорожной станцией Каневская.</w:t>
      </w:r>
    </w:p>
    <w:p w14:paraId="75D6CFC8"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остальных участках фронта наши войска продолжали вести бои на прежних направлениях.</w:t>
      </w:r>
    </w:p>
    <w:p w14:paraId="4CEE3141"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февраля частями нашей авиации на различных участках фронта уничтожено или повреждено до 100 немецких автомашин с войсками и грузами, подавлен огонь 4 артиллерийских батарей, рассеяно и частью уничтожено до батальона пехоты противника.</w:t>
      </w:r>
    </w:p>
    <w:p w14:paraId="68E45F5B"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Ростова-на-Дону наши войска продолжали успешное наступление. На одном из рубежей северо-западнее Мечетинской противник создал мощную оборонительную линию. Немцы построили многочисленные дзоты, окопы, установили проволочные заграждения и густо минировали подходы. Советские части мощным ударом артиллерии, танков, пехоты и кавалерии прорвали вражескую оборону и проникли в расположение противника. Занято несколько сильно укреплённых населённых пунктов. Немцы отступили, оставив сотни трупов своих солдат и офицеров и много разбитой техники. Нашими частями захвачены трофеи и пленные.</w:t>
      </w:r>
    </w:p>
    <w:p w14:paraId="1C2B109C"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Красного Лимана Н-ское гвардейское соединение, ломая сопротивление противника, овладело несколькими населёнными пунктами. Только около одного из этих населённых пунктов подсчитано до 300 трупов немецких солдат и офицеров. Захвачены 2 танка, 6 орудий, 19 пулемётов, 2 склада с боеприпасами и другие трофеи. На другом участке отражена контратака танков и пехоты противника. Истреблено до роты гитлеровцев и подбито 9 немецких танков.</w:t>
      </w:r>
    </w:p>
    <w:p w14:paraId="3B28EF63"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Купянска противник создал на берегу реки сильно укреплённый рубеж обороны. Наши части обошли город с юга и севера b ворвались на городские окраины. В результате ожесточённых уличных боёв наши бойцы истребили 1.400 солдат и офицеров противника. Захвачены 15 танков, 34 орудия, 130 пулемётов, 43 миномёта, 1.900 винтовок, 12 транспортов, 2 склада с мукой и другие трофеи.</w:t>
      </w:r>
    </w:p>
    <w:p w14:paraId="2C748414"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Воронежа наши войска продолжали успешное наступление. Части Н-ского соединения уничтожили до полка немецкой пехоты. Взяты трофеи: 16 орудий, 18 пулемётов, 17 радиостанций, 6 тысяч снарядов, 4 тысячи ручных гранат и много другого военного имущества. Против наступающей части, где командиром тов. Голосов, немцы бросили в контратаку 15 танков. Наши подразделения подбили и сожгли 7 вражеских танков и, продвигаясь вперёд, овладели крупным населённым пунктом. Ружейно-пулемётным огнём сбито 5 немецких самолётов.</w:t>
      </w:r>
    </w:p>
    <w:p w14:paraId="0CFBC850"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насилиях и издевательствах немецко-венгерских мерзавцев над жителями деревни Юдино, Воронежской области: «Немцы и их венгерские подручные ограбили и разорили всё население нашей деревни. Грабители отняли у крестьян продовольствие и ценные вещи, выбросили из домов на улицу всех жителей и превратили многие избы в конюшни. В домах поставили лошадей, а колхозники с семьями и маленькими детьми жили под открытым небом или в землянках. Фашистские захватчики всячески унижали достоинство советских людей и издевались над ними. Комендант выдал всем жителями номера и обязал каждого носить на рукаве повязку с присвоенным ему номером. За появление на улице без повязки с номером оккупанты зверски избивали и штрафовали. Гитлеровцы гоняли всех жителей за 10 километров от деревни на строительство укреплений и заставляли работать с раннего утра до поздней ночи. За' опоздание на работу немцы ввели порку плетьми. Отступая под ударами Красной Армии, бандиты сожгли 70 домов колхозников. Многих мужчин и женщин они насильно угнали на фашистскую каторгу в Германию». Акт подписали: майор Кичанов, старший лейтенант Сироткин и жители деревни Юдино Красноштанова, Тимченко и другие.</w:t>
      </w:r>
    </w:p>
    <w:p w14:paraId="32405EC2"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Французские патриоты, объединённые в отряды свободных стрелков, усиливают борьбу против немецких оккупантов. В Париже на одной из площадей группа свободных стрелков бросила несколько гранат в немецкий отряд. Убито и ранено много гитлеровцев. В Кот-д'Ор свободные стрелки уничтожили 5 немецких гарнизонов и захватили склад с автоматами и патронами. В районе Сен-Жермен-де-Фоссе пущен под откос немецкий товарный поезд.».</w:t>
      </w:r>
    </w:p>
    <w:p w14:paraId="6A800D11"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4D824826"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Наши трофеи и потери противника западнее Воронежа.</w:t>
      </w:r>
    </w:p>
    <w:p w14:paraId="1A16C721"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известно из сообщения Совинформбюро от 30 января, нашими войсками в результате боёв 27—29 января западнее Воронежа была окружена крупная группа противника. За последние дни нашими частями эта группа противника была разобщена и подвергается уничтожению. Все попытки окружённых частей противника прорвать кольцо наших войск потерпели крах.</w:t>
      </w:r>
    </w:p>
    <w:p w14:paraId="76E1F0FC"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боёв с 30 января по 4 февраля наши войска из состава окружённой группировки противника уничтожили свыше 5.000 и взяли в плен 13.000 солдат и офицеров.</w:t>
      </w:r>
    </w:p>
    <w:p w14:paraId="54E6F5FF"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следовательно, за время наступления наших войск западнее Воронежа с 27января по 4 февраля взято в плен 27.000 солдат и офицеров противника.</w:t>
      </w:r>
    </w:p>
    <w:p w14:paraId="3B781A9E"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февраля взяты в плен командир 3 армейского корпуса венгров генерал-майор Штомм, начальник артиллерии этого корпуса генерал артиллерии Дешин и начальник оперативного отдела штаба корпуса майор генерального штаба Чато.</w:t>
      </w:r>
    </w:p>
    <w:p w14:paraId="09A1F738"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время боёв с 27 января по 4 февраля на этом участке фронта нашими войсками, по неполным данным, взяты следующие трофеи: танков — 143, орудий разного калибра — 516, миномётов — 149, пулемётов — 582, винтовок — 12.000, снарядов — 310.000, патронов — 400.000, радиостанций — 64, автомашин — 2.361, мотоциклов — 447, железнодорожных эшелонов — 32, складов разных — 122.</w:t>
      </w:r>
    </w:p>
    <w:p w14:paraId="2595CE53"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это же время противник потерял только убитыми свыше 17.000 солдат и офицеров.».</w:t>
      </w:r>
    </w:p>
    <w:p w14:paraId="7F191BB8"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 Наши войска заняли города Купянск, Щигры, Тим.</w:t>
      </w:r>
    </w:p>
    <w:p w14:paraId="01494C52"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Украине наши войска в результате решительной атаки овладели городом Купянск.</w:t>
      </w:r>
    </w:p>
    <w:p w14:paraId="74019D9C"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Восточнее Курска наши войска заняли город и железнодорожную станцию Щигры и город Тим.» (15030).</w:t>
      </w:r>
    </w:p>
    <w:p w14:paraId="7D084FDF" w14:textId="77777777" w:rsidR="00601E3D" w:rsidRPr="00D03F3E" w:rsidRDefault="00601E3D" w:rsidP="00D03F3E">
      <w:pPr>
        <w:spacing w:after="0" w:line="240" w:lineRule="auto"/>
        <w:jc w:val="both"/>
        <w:rPr>
          <w:rFonts w:ascii="Times New Roman" w:hAnsi="Times New Roman"/>
          <w:color w:val="000000" w:themeColor="text1"/>
          <w:sz w:val="16"/>
          <w:szCs w:val="16"/>
        </w:rPr>
      </w:pPr>
    </w:p>
    <w:p w14:paraId="42ED2076"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4 февраля</w:t>
      </w:r>
      <w:r w:rsidRPr="00D03F3E">
        <w:rPr>
          <w:rFonts w:ascii="Times New Roman" w:hAnsi="Times New Roman"/>
          <w:color w:val="000000" w:themeColor="text1"/>
          <w:sz w:val="16"/>
          <w:szCs w:val="16"/>
        </w:rPr>
        <w:t xml:space="preserve"> в 1943 году силами Черноморского флота (вице-адмирал Ф.С.Октябрьский) юго-западнее Новороссийска в районе Станички высажен морской десант под командованием майора Ц.Л.Куникова. Захваченный плацдарм, расширенный к 10 февраля до площади в 28 кв. км, впоследствии был назван «Малой землей». В течение нескольких суток корабли доставили сюда почти 17 тысяч человек. Сконцентрированные здесь силы в дальнейшем сыграли важную роль в освобождении Новороссийска (15030).</w:t>
      </w:r>
    </w:p>
    <w:p w14:paraId="1E0331DA" w14:textId="77777777" w:rsidR="00601E3D" w:rsidRPr="00D03F3E" w:rsidRDefault="00601E3D" w:rsidP="00D03F3E">
      <w:pPr>
        <w:spacing w:after="0" w:line="240" w:lineRule="auto"/>
        <w:jc w:val="both"/>
        <w:rPr>
          <w:rFonts w:ascii="Times New Roman" w:hAnsi="Times New Roman"/>
          <w:color w:val="000000" w:themeColor="text1"/>
          <w:sz w:val="16"/>
          <w:szCs w:val="16"/>
        </w:rPr>
      </w:pPr>
    </w:p>
    <w:p w14:paraId="7B9C29A5"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lastRenderedPageBreak/>
        <w:t>4 февраля</w:t>
      </w:r>
      <w:r w:rsidRPr="00D03F3E">
        <w:rPr>
          <w:rFonts w:ascii="Times New Roman" w:hAnsi="Times New Roman"/>
          <w:color w:val="000000" w:themeColor="text1"/>
          <w:sz w:val="16"/>
          <w:szCs w:val="16"/>
        </w:rPr>
        <w:t xml:space="preserve"> в 1943 году у населённого пункта Южная Озерейка, к северу от Новоросийска, с катеров Черноморского флота был высажен десант: 255 бригада морской пехоты и 563 танковый батальон ( всего было запланировано высадить три бригады , но из за погодных условий и сильного артиллерийского огня противника удалось высадить только часть десанта). Одновременно с Южно-Озерейским десантом , был проведён отвлекающий десант - батальон морской пехоты под командованием Ц.Л.Куникова высадился близ посёлка Станичка на западном берегу Цемесской бухты. Отвлекающему десанту суждено было стать основным.. (15030).</w:t>
      </w:r>
    </w:p>
    <w:p w14:paraId="30F69AA6" w14:textId="77777777" w:rsidR="00601E3D" w:rsidRPr="00D03F3E" w:rsidRDefault="00601E3D" w:rsidP="00D03F3E">
      <w:pPr>
        <w:spacing w:after="0" w:line="240" w:lineRule="auto"/>
        <w:jc w:val="both"/>
        <w:rPr>
          <w:rFonts w:ascii="Times New Roman" w:hAnsi="Times New Roman"/>
          <w:color w:val="000000" w:themeColor="text1"/>
          <w:sz w:val="16"/>
          <w:szCs w:val="16"/>
        </w:rPr>
      </w:pPr>
    </w:p>
    <w:p w14:paraId="7F97A7F2"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1943 морской десант майора Ц. Куникова захватил плацдарм на побережье Цемесской бухты, названный позже “Малой Землей” (4962).</w:t>
      </w:r>
    </w:p>
    <w:p w14:paraId="7812E05A"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35DD3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1943 был высажен десант моряков под Новороссийском (2989) в районе рыбацкого поселка Станичка под командованием Ц.Л.Кунникова. Потом усилили войсками 18 армии (340,116).</w:t>
      </w:r>
    </w:p>
    <w:p w14:paraId="3873B4C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EB52E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4 по 9 февраля 1943 была высадка десанта в районе Станичка, Южная Озерейка. </w:t>
      </w:r>
    </w:p>
    <w:p w14:paraId="63D7E6C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целях освобождения Новороссийска и Таманского п-ова ЧФ была подготовлена десантная операция для содействия войскам 47-й армии Северо-Кавказского фронта. Для ее проведения было выделено более 60 кораблей и судов. Высадку десанта с воздуха обеспечивала авиационная группа (137 самолетов ВВС ЧФ и 30 самолетов 5-й воздушной армии). Общее руководство операцией осуществлял командующий Черноморской группой войск Закавказского фронта генерал-лейтенант И. Е. Петров, командование морской частью операции — командующий ЧФ вице-адмирал Ф. С. Октябрьский. </w:t>
      </w:r>
    </w:p>
    <w:p w14:paraId="6CBDDE2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Основной десант в районе Южной Озерейки из-за сильного шторма и интенсивного огня противника высадить полностью не удалось. Высаженная на берег часть десанта (1427 человек и 16 танков) с ходу захватила Южную Озерейку и начала продвигаться в глубь вражеской обороны. Отрезанная от берега, в течение двух суток эта группа вела ожесточенные бои с превосходящими силами противника, затем прорвалась из окружения и вышла в район Станички, занятый к тому времени вспомогательным десантом. </w:t>
      </w:r>
    </w:p>
    <w:p w14:paraId="4B0040E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Высадка демонстративного (вспомогательного) десанта (командир отряда особого назначения майор Ц. Л. Куников, заместитель по политической части старший лейтенант Н. В. Старшинов, начальник штаба майор Ф. Е. Котанов) проходила в более благоприятных условиях. В ночь на 4.2 после артиллерийской подготовки береговой артиллерии Новороссийской ВМБ добровольцы отряда неожиданно для врага высадились в районе Станички (западный берег Цемесской бухты) и смелой атакой заняли небольшой плацдарм. В рукопашном бою куниковцы захватили у противника 4 орудия и открыли из них огонь. В течение ночи на занятый участок берега высадились еще две группы десантников (всего около 900 человек). Плацдарм, названный впоследствии Малой землей, был расширен до 4 км по фронту и 2,5 км в глубину. Учитывая создавшуюся обстановку, было решено высадку основных сил десанта произвести в районе Станички. </w:t>
      </w:r>
    </w:p>
    <w:p w14:paraId="63C7BE4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За несколько ночей на плацдарм высадились 83-я, 255-я бригады морской пехоты и 165-я стрелковая бригада, истребительно-противотанковый полк и другие части. К 10.2 на плацдарме находились до 17 тыс. бойцов и офицеров, он был расширен до 30 кв. км. Были освобождены населенные пункты Мысхако и Алёксина, южные кварталы Новороссийска. В дальнейшем на плацдарм [322] были высажены 4 стрелковые бригады 18-й армии и 5 партизанских отрядов. </w:t>
      </w:r>
    </w:p>
    <w:p w14:paraId="00DC99F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неоднократные попытки противника ликвидировать плацдарм, защитники Малой земли устояли. Этот плацдарм сыграл важную роль в проведении Новороссийской операции 1943 и в окончательном освобождении Новороссийска (11712).</w:t>
      </w:r>
    </w:p>
    <w:p w14:paraId="2A0C6F1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0E28E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February 4, 1943: Soviet army troops and marines achieve a landing neart the Black Sea port of Novorossisk (3819).</w:t>
      </w:r>
    </w:p>
    <w:p w14:paraId="4C434A8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C8F8FF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1943 был новороссийский десант (3819).</w:t>
      </w:r>
    </w:p>
    <w:p w14:paraId="3A92A59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E64CF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1943 обстрел с берега около Новороссийска погубил №122, а спустя четыре дня от прямого попадания снаряда у Суджукской косы сгорел севший накануне на мель №86, экипаж которого удалось спасти (6002).</w:t>
      </w:r>
    </w:p>
    <w:p w14:paraId="6C22AC4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378A1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1943 г. вышел ПРИКАЗ № 0101 ОБ УТОЧНЕНИИ РЕЖИМА И БЕЗОПАСНОСТИ ПОЛЕТА СВОЕЙ АВИАЦИИ НАД ТЕРРИТОРИЕЙ СССР</w:t>
      </w:r>
    </w:p>
    <w:p w14:paraId="32B86E3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дальнейшего упорядочения полетов своей авиации над территорией Союза ССР и обеспечения надлежащей безопасности при этих полетах, а также в целях создания условий, облегчающих ориентировку в воздушной обстановке для органов и средств ПВО территории страны, приказываю:</w:t>
      </w:r>
    </w:p>
    <w:p w14:paraId="6869FF9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Отменить, как неоправдавшие себя мероприятия, указанные в пунктах 4, 5, 8, 9 и 10 приказа НКО 1942 г. № 0184Л</w:t>
      </w:r>
    </w:p>
    <w:p w14:paraId="458001A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Вместо указанного в пункте втором приказа № 0184 порядка обеспечения полета своей авиации установить нижеследующий порядок:</w:t>
      </w:r>
    </w:p>
    <w:p w14:paraId="5ACB3DE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предварительную заявку на полет, с указанием маршрута по населенным пунктам через каждые 200—300 км, давать оперативному дежурному фронта, армии, корпусного, дивизионного района (зоны) ПВО не позднее чем за 1 час до взлета, с обязательным последующим сообщением фактического времени вылета самолета с аэродрома. Об отмене или переносе намеченного вылета сообщать заблаговременно, но ни в коем случае не позже часа, намеченного для вылета.</w:t>
      </w:r>
    </w:p>
    <w:p w14:paraId="42138F0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Переданную предварительную заявку на полет и не подтвержденную фактическим вылетом самолета считать недействительной и не давать гарантии безопасности полета;</w:t>
      </w:r>
    </w:p>
    <w:p w14:paraId="0362E8E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для переговоров по обеспечению безопасности полетов своей авиации авиадиспетчерам фронта, армии, корпусного, дивизионного района (зоны) ПВО пользоваться паролем “Воздух”;</w:t>
      </w:r>
    </w:p>
    <w:p w14:paraId="048D5B8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оперативный дежурный фронта, армии, корпусного, дивизионного района (зоны) ПВО, получив предварительную заявку на полет, оповещает об этом через дежурного авиадиспетчера только свои части ПВО, через которые проходит маршрут полета, с последующим сообщением фактического времени вылета самолета с аэродрома как своим частям, так и оперативным дежурным соседних районов (зон) ПВО по трассе полета.</w:t>
      </w:r>
    </w:p>
    <w:p w14:paraId="3DFC343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маршрут полета проходит через два и несколько районов (зон) ПВО, то фактическое время вылета самолета обязательно сообщается и оперативному дежурному Штаба войск ПВО территории страны.</w:t>
      </w:r>
    </w:p>
    <w:p w14:paraId="0F6AE47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Установить запретные зоны и зоны с особым режимом полетов своей авиации (кроме истребительной авиации ПВО), перечень которых разослать особым приложением.</w:t>
      </w:r>
    </w:p>
    <w:p w14:paraId="12CC5B1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Раннее установленные запретные зоны с особым режимом полетов отменить.</w:t>
      </w:r>
    </w:p>
    <w:p w14:paraId="44CF465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Впредь устанавливать запретные зоны и зоны с особым режимом полетов только с разрешения Штаба ВВС Красной Армии и Штаба ПВО территории страны.</w:t>
      </w:r>
    </w:p>
    <w:p w14:paraId="5ECB42C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Перечень запретных зон и зон, где устанавливается особый режим полета своей авиации, рассылается войскам особым порядком штабами ВВС Красной Армии и ПВО территории страны.*</w:t>
      </w:r>
    </w:p>
    <w:p w14:paraId="36CE138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Заместитель Народного комиссара обороны ГРОМАДИН</w:t>
      </w:r>
    </w:p>
    <w:p w14:paraId="1ACFFB3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Заместитель Народного комиссара обороны НОВИКОВ </w:t>
      </w:r>
      <w:r w:rsidRPr="00D03F3E">
        <w:rPr>
          <w:rFonts w:ascii="Times New Roman" w:hAnsi="Times New Roman"/>
          <w:color w:val="000000" w:themeColor="text1"/>
          <w:sz w:val="16"/>
          <w:szCs w:val="16"/>
        </w:rPr>
        <w:t>(9844).</w:t>
      </w:r>
    </w:p>
    <w:p w14:paraId="37E4FFF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3B724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1943 вышло Постановление ГКО № 2822 О введении персональных воинских званий инженерно-техническому, юридическому и административному составу Красной Армии. (7079, 33-34).</w:t>
      </w:r>
    </w:p>
    <w:p w14:paraId="6E9CE53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114DE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1943 постановлением ГКО были введены персональные воинские звания итр и юридическому составу КА. В армии появился и административный состав (3398,58).</w:t>
      </w:r>
    </w:p>
    <w:p w14:paraId="76E5C33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7F3FAA"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4 февраля</w:t>
      </w:r>
      <w:r w:rsidRPr="00D03F3E">
        <w:rPr>
          <w:rFonts w:ascii="Times New Roman" w:hAnsi="Times New Roman"/>
          <w:color w:val="000000" w:themeColor="text1"/>
          <w:sz w:val="16"/>
          <w:szCs w:val="16"/>
        </w:rPr>
        <w:t xml:space="preserve"> в 1943 году завершилась Северо-Кавказская операция: советские войска продвинулись на 200-600 км, освободили Чечено-Ингушскую, Северо-Осетинскую и Кабардино-Балкарскую АССР, Ставропольский край, часть Ростовской области и Краснодарского края (15030).</w:t>
      </w:r>
    </w:p>
    <w:p w14:paraId="17BA5492" w14:textId="77777777" w:rsidR="00601E3D" w:rsidRPr="00D03F3E" w:rsidRDefault="00601E3D" w:rsidP="00D03F3E">
      <w:pPr>
        <w:spacing w:after="0" w:line="240" w:lineRule="auto"/>
        <w:jc w:val="both"/>
        <w:rPr>
          <w:rFonts w:ascii="Times New Roman" w:hAnsi="Times New Roman"/>
          <w:color w:val="000000" w:themeColor="text1"/>
          <w:sz w:val="16"/>
          <w:szCs w:val="16"/>
        </w:rPr>
      </w:pPr>
    </w:p>
    <w:p w14:paraId="624B2986"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4 февраля</w:t>
      </w:r>
      <w:r w:rsidRPr="00D03F3E">
        <w:rPr>
          <w:rFonts w:ascii="Times New Roman" w:hAnsi="Times New Roman"/>
          <w:color w:val="000000" w:themeColor="text1"/>
          <w:sz w:val="16"/>
          <w:szCs w:val="16"/>
        </w:rPr>
        <w:t xml:space="preserve"> в 1943 году постановлением ГКО введены персональные воинские звания инженерно-техническому и юридическому составу Красной Армии, Этим постановлением вводилась и новая категория военнослужащих, в которую включались лица, выполняющие организационную и мобилизационную работу—административный состав. Для них устанавливались звания от младшего лейтенанта до полковника административной службы (15030).</w:t>
      </w:r>
    </w:p>
    <w:p w14:paraId="7884D444" w14:textId="77777777" w:rsidR="00601E3D" w:rsidRPr="00D03F3E" w:rsidRDefault="00601E3D" w:rsidP="00D03F3E">
      <w:pPr>
        <w:spacing w:after="0" w:line="240" w:lineRule="auto"/>
        <w:jc w:val="both"/>
        <w:rPr>
          <w:rFonts w:ascii="Times New Roman" w:hAnsi="Times New Roman"/>
          <w:color w:val="000000" w:themeColor="text1"/>
          <w:sz w:val="16"/>
          <w:szCs w:val="16"/>
        </w:rPr>
      </w:pPr>
    </w:p>
    <w:p w14:paraId="1AD025B3"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3E42F43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9F673A"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4 февраля</w:t>
      </w:r>
      <w:r w:rsidRPr="00D03F3E">
        <w:rPr>
          <w:rFonts w:ascii="Times New Roman" w:hAnsi="Times New Roman"/>
          <w:color w:val="000000" w:themeColor="text1"/>
          <w:sz w:val="16"/>
          <w:szCs w:val="16"/>
        </w:rPr>
        <w:t xml:space="preserve"> в 1943 году в Филтоне состоялся первый полет опытного, ещё без вооружения, тактического бомбардировщика </w:t>
      </w:r>
      <w:hyperlink r:id="rId52" w:tgtFrame="_blank" w:history="1">
        <w:r w:rsidRPr="00D03F3E">
          <w:rPr>
            <w:rFonts w:ascii="Times New Roman" w:hAnsi="Times New Roman"/>
            <w:color w:val="000000" w:themeColor="text1"/>
            <w:sz w:val="16"/>
            <w:szCs w:val="16"/>
          </w:rPr>
          <w:t xml:space="preserve">«Buckingham» «Тип 163» </w:t>
        </w:r>
      </w:hyperlink>
      <w:r w:rsidRPr="00D03F3E">
        <w:rPr>
          <w:rFonts w:ascii="Times New Roman" w:hAnsi="Times New Roman"/>
          <w:color w:val="000000" w:themeColor="text1"/>
          <w:sz w:val="16"/>
          <w:szCs w:val="16"/>
        </w:rPr>
        <w:t>фирмы «Bristol». Первый опытный самолет, как и третий и четвертый, был оснащен двигателями «Бристоль» «Центаурус IV» мощностью 2400 л.с, но первый серийный "Бакингэм", поднявшийся в небо 12 февраля 1944 г. получил двигатели «Центаурус VII» и «Центаурус XI» той же мощности, но со значительно сниженной высотностью (15030).</w:t>
      </w:r>
    </w:p>
    <w:p w14:paraId="6347EAF8" w14:textId="77777777" w:rsidR="00601E3D" w:rsidRPr="00D03F3E" w:rsidRDefault="00601E3D" w:rsidP="00D03F3E">
      <w:pPr>
        <w:spacing w:after="0" w:line="240" w:lineRule="auto"/>
        <w:jc w:val="both"/>
        <w:rPr>
          <w:rFonts w:ascii="Times New Roman" w:hAnsi="Times New Roman"/>
          <w:color w:val="000000" w:themeColor="text1"/>
          <w:sz w:val="16"/>
          <w:szCs w:val="16"/>
        </w:rPr>
      </w:pPr>
    </w:p>
    <w:p w14:paraId="2065B544" w14:textId="77777777" w:rsidR="00602EFA" w:rsidRPr="00D03F3E" w:rsidRDefault="00602EF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 февраля1943 первый полет Бристоль Бэкингем (20376).</w:t>
      </w:r>
    </w:p>
    <w:p w14:paraId="78E7BBCE" w14:textId="77777777" w:rsidR="00602EFA" w:rsidRPr="00D03F3E" w:rsidRDefault="00602EFA" w:rsidP="00D03F3E">
      <w:pPr>
        <w:spacing w:after="0" w:line="240" w:lineRule="auto"/>
        <w:jc w:val="both"/>
        <w:rPr>
          <w:rFonts w:ascii="Times New Roman" w:hAnsi="Times New Roman"/>
          <w:color w:val="0070C0"/>
          <w:sz w:val="16"/>
          <w:szCs w:val="16"/>
        </w:rPr>
      </w:pPr>
    </w:p>
    <w:p w14:paraId="6D1CC053" w14:textId="77777777" w:rsidR="00602EFA" w:rsidRPr="00D03F3E" w:rsidRDefault="00602EF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4 февраля 1943 года — первый полёт среднего бомбардировщика Bristol Type 163 Buckingham.</w:t>
      </w:r>
    </w:p>
    <w:p w14:paraId="030B1EFA" w14:textId="77777777" w:rsidR="00602EFA" w:rsidRPr="00D03F3E" w:rsidRDefault="00602EF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Разрабатывался для замены лёгкого бомбардировщика Bristol Blenheim. Но Type 163 «проиграл» ещё до своего первого полёта — Королевские ВВС выбрали de Havilland Mosquito. Первоначальный план в 1200 самолётов был сокращён до 300 машин, из которых реально успеют сделать лишь 119.</w:t>
      </w:r>
    </w:p>
    <w:p w14:paraId="5CB002CF" w14:textId="77777777" w:rsidR="00602EFA" w:rsidRPr="00D03F3E" w:rsidRDefault="00602EF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Хотя двухмоторный Buckingham и обладал приличным оборонительным вооружением и хорошей скоростью, но командование британских ВВС уже не видело в нём необходимости — война подходила к концу и в Европе отлично справлялись Mosquito (ночью) и бомбардировщики США (днём).</w:t>
      </w:r>
    </w:p>
    <w:p w14:paraId="67689C8F" w14:textId="77777777" w:rsidR="00602EFA" w:rsidRPr="00D03F3E" w:rsidRDefault="00602EF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Были планы использовать Type 163 Buckingham на Тихоокеанском театре военных действий. В итоге из 119 самолётов лишь меньше половины выпустили в варианте бомбардировщика. Остальные — переделали под военные транспортники. После окончания войны большинство Bristol Type 163 Buckingham будет списано, имея налёт лишь в несколько часов (22300).</w:t>
      </w:r>
    </w:p>
    <w:p w14:paraId="334B173B" w14:textId="77777777" w:rsidR="00602EFA" w:rsidRPr="00D03F3E" w:rsidRDefault="00602EFA" w:rsidP="00D03F3E">
      <w:pPr>
        <w:spacing w:after="0" w:line="240" w:lineRule="auto"/>
        <w:jc w:val="both"/>
        <w:rPr>
          <w:rFonts w:ascii="Times New Roman" w:hAnsi="Times New Roman"/>
          <w:color w:val="0070C0"/>
          <w:sz w:val="16"/>
          <w:szCs w:val="16"/>
        </w:rPr>
      </w:pPr>
    </w:p>
    <w:p w14:paraId="27059DC3" w14:textId="77777777" w:rsidR="00602EFA" w:rsidRPr="00D03F3E" w:rsidRDefault="00602EF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 февраля 1943 Директива Касабланки предписывает Королевским военно-воздушным силам и военно-воздушным силам Соединенных Штатов осуществить «постепенное разрушение и дезорганизацию немецкой военной, промышленной и экономической системы и подрыв морального духа немецкого народа до такой степени, что их способность оказывать вооруженное сопротивление ьыла фатально ослаблена". Он также устанавливает приоритеты бомбардировок, в частности, включая немецкие судостроительные верфи и нефтяные заводы, а также немецкую авиационную промышленность и транспортную систему.</w:t>
      </w:r>
    </w:p>
    <w:p w14:paraId="1D820008" w14:textId="77777777" w:rsidR="00602EFA" w:rsidRPr="00D03F3E" w:rsidRDefault="00602EFA" w:rsidP="00D03F3E">
      <w:pPr>
        <w:spacing w:after="0" w:line="240" w:lineRule="auto"/>
        <w:jc w:val="both"/>
        <w:rPr>
          <w:rFonts w:ascii="Times New Roman" w:hAnsi="Times New Roman"/>
          <w:color w:val="0070C0"/>
          <w:sz w:val="16"/>
          <w:szCs w:val="16"/>
        </w:rPr>
      </w:pPr>
    </w:p>
    <w:p w14:paraId="590E1032"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1943 Уинстон Черчилль принял английский военный парад в Триполи (Ливия) (4962).</w:t>
      </w:r>
    </w:p>
    <w:p w14:paraId="0B9041C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38538C"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3E9FD0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9D916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февраля 1943 г. самолет Пегас поступил на госиспытания (9649).</w:t>
      </w:r>
    </w:p>
    <w:p w14:paraId="11DEC57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49A1BF"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февраля 1943 начались полёты Пегаса по программе государственных испытаний, но 28 февраля они были прерваны: в ходе полётов были выявлены многочисленные производственные и конструктивные дефекты. К тому же на заводе № 288 в Омске завершились работы по отладке и доводке подвесной системы с пушками ВЯ и проведены полигонные испытания бронекабины. Было решено доработать самолёт, устранить выявленные недостатки, и за- ~вм испытать его с пушечным вооружением и с бомбовой нагрузкой в 500 кг.</w:t>
      </w:r>
    </w:p>
    <w:p w14:paraId="65CEF579" w14:textId="77777777" w:rsidR="00601E3D" w:rsidRPr="00D03F3E" w:rsidRDefault="00601E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Надо сказать, что впечатление лётчиков-испытателей о «Пегасе» было крайне удручающим. В очередной сводке в Управление опытного строительства ГУ ИАС ВВС по опытным работам красноречиво указывалось, что «Пегас» № 01 в предъявленном виде для использования на фронте не пригоден - «хорошая мишень для зенитной артиллерии». Не может лететь на одном моторе. Прицельная стрельба из пуле</w:t>
      </w:r>
      <w:r w:rsidRPr="00D03F3E">
        <w:rPr>
          <w:rFonts w:ascii="Times New Roman" w:hAnsi="Times New Roman"/>
          <w:color w:val="000000" w:themeColor="text1"/>
          <w:sz w:val="16"/>
          <w:szCs w:val="16"/>
        </w:rPr>
        <w:softHyphen/>
        <w:t>мёта («сильно задирает нос») и бомбометание («нет бомбового прицела») почти невозможны. Ставилось под сомнение при</w:t>
      </w:r>
      <w:r w:rsidRPr="00D03F3E">
        <w:rPr>
          <w:rFonts w:ascii="Times New Roman" w:hAnsi="Times New Roman"/>
          <w:color w:val="000000" w:themeColor="text1"/>
          <w:sz w:val="16"/>
          <w:szCs w:val="16"/>
        </w:rPr>
        <w:softHyphen/>
        <w:t>менение на самолёте пушек ка</w:t>
      </w:r>
      <w:r w:rsidRPr="00D03F3E">
        <w:rPr>
          <w:rFonts w:ascii="Times New Roman" w:hAnsi="Times New Roman"/>
          <w:color w:val="000000" w:themeColor="text1"/>
          <w:sz w:val="16"/>
          <w:szCs w:val="16"/>
        </w:rPr>
        <w:softHyphen/>
        <w:t>либра 23 мм и 37 мм (6846).</w:t>
      </w:r>
    </w:p>
    <w:p w14:paraId="4FAC2209" w14:textId="77777777" w:rsidR="00601E3D" w:rsidRPr="00D03F3E" w:rsidRDefault="00601E3D" w:rsidP="00D03F3E">
      <w:pPr>
        <w:spacing w:after="0" w:line="240" w:lineRule="auto"/>
        <w:jc w:val="both"/>
        <w:rPr>
          <w:rFonts w:ascii="Times New Roman" w:hAnsi="Times New Roman"/>
          <w:color w:val="000000" w:themeColor="text1"/>
          <w:sz w:val="16"/>
          <w:szCs w:val="16"/>
        </w:rPr>
      </w:pPr>
    </w:p>
    <w:p w14:paraId="19A28F82" w14:textId="77777777" w:rsidR="0008034E" w:rsidRPr="00D03F3E" w:rsidRDefault="000803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5 февраля 1943 начались полеты по программе государственных испыта</w:t>
      </w:r>
      <w:r w:rsidRPr="00D03F3E">
        <w:rPr>
          <w:color w:val="000000" w:themeColor="text1"/>
          <w:sz w:val="16"/>
          <w:szCs w:val="16"/>
        </w:rPr>
        <w:softHyphen/>
        <w:t>ний«Пегас» № 01, но 28 февраля они были прерваны. Дело в том, что в ходе полетов были вы</w:t>
      </w:r>
      <w:r w:rsidRPr="00D03F3E">
        <w:rPr>
          <w:color w:val="000000" w:themeColor="text1"/>
          <w:sz w:val="16"/>
          <w:szCs w:val="16"/>
        </w:rPr>
        <w:softHyphen/>
        <w:t>явлены многочисленные производственные и кон</w:t>
      </w:r>
      <w:r w:rsidRPr="00D03F3E">
        <w:rPr>
          <w:color w:val="000000" w:themeColor="text1"/>
          <w:sz w:val="16"/>
          <w:szCs w:val="16"/>
        </w:rPr>
        <w:softHyphen/>
        <w:t>структивные дефекты самолета. К тому же на заво</w:t>
      </w:r>
      <w:r w:rsidRPr="00D03F3E">
        <w:rPr>
          <w:color w:val="000000" w:themeColor="text1"/>
          <w:sz w:val="16"/>
          <w:szCs w:val="16"/>
        </w:rPr>
        <w:softHyphen/>
        <w:t>де № 288 в Омске завершились работы по отладке и доводке подвесной системы с пушками ВЯ и про</w:t>
      </w:r>
      <w:r w:rsidRPr="00D03F3E">
        <w:rPr>
          <w:color w:val="000000" w:themeColor="text1"/>
          <w:sz w:val="16"/>
          <w:szCs w:val="16"/>
        </w:rPr>
        <w:softHyphen/>
        <w:t>ведены полигонные испытания бронекабины. Было решено доработать самолет, устранить выявленные недостатки, и затем испытать его с пушечным воо</w:t>
      </w:r>
      <w:r w:rsidRPr="00D03F3E">
        <w:rPr>
          <w:color w:val="000000" w:themeColor="text1"/>
          <w:sz w:val="16"/>
          <w:szCs w:val="16"/>
        </w:rPr>
        <w:softHyphen/>
        <w:t>ружением и с бомбовой нагрузкой в 500 кг.</w:t>
      </w:r>
    </w:p>
    <w:p w14:paraId="0C6838B5" w14:textId="77777777" w:rsidR="0008034E" w:rsidRPr="00D03F3E" w:rsidRDefault="000803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4 февраля 1943 г. самолет «Пегас» № 01 официально поступил на государственные испытания в НИИ ВВС. Ис</w:t>
      </w:r>
      <w:r w:rsidRPr="00D03F3E">
        <w:rPr>
          <w:color w:val="000000" w:themeColor="text1"/>
          <w:sz w:val="16"/>
          <w:szCs w:val="16"/>
        </w:rPr>
        <w:softHyphen/>
        <w:t>пытания проводились силами 3-го отдела НИИ ВВС. Ведущим инженером по самолету был назначен инженер-майор П. Т. Аброщенко, ведущим летчи</w:t>
      </w:r>
      <w:r w:rsidRPr="00D03F3E">
        <w:rPr>
          <w:color w:val="000000" w:themeColor="text1"/>
          <w:sz w:val="16"/>
          <w:szCs w:val="16"/>
        </w:rPr>
        <w:softHyphen/>
        <w:t>ком — подполковник В. И. Жданов, проводивший заводские испытания самолета.</w:t>
      </w:r>
    </w:p>
    <w:p w14:paraId="1554405D" w14:textId="77777777" w:rsidR="0008034E" w:rsidRPr="00D03F3E" w:rsidRDefault="000803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Кроме того, самолет облетали: помощник на</w:t>
      </w:r>
      <w:r w:rsidRPr="00D03F3E">
        <w:rPr>
          <w:color w:val="000000" w:themeColor="text1"/>
          <w:sz w:val="16"/>
          <w:szCs w:val="16"/>
        </w:rPr>
        <w:softHyphen/>
        <w:t>чальника НИИ ВВС по летной части полковник А. И. Кабанов, помощник начальника 3-го отдела по летной работе подполковник В. И. Хомяков, полков</w:t>
      </w:r>
      <w:r w:rsidRPr="00D03F3E">
        <w:rPr>
          <w:color w:val="000000" w:themeColor="text1"/>
          <w:sz w:val="16"/>
          <w:szCs w:val="16"/>
        </w:rPr>
        <w:softHyphen/>
        <w:t>ник П. М. Стефановский, подполковники К. А. Кали- лец, Г. А. Ашитков, инженер-майор А. В. Синельни ков, майоры А. К. Долгов, М. А. Нюхтиков, В. В. Лиси- цин, М. П. Субботин, капитан А. Г. Кубышкин.</w:t>
      </w:r>
    </w:p>
    <w:p w14:paraId="5C35E3A2" w14:textId="77777777" w:rsidR="0008034E" w:rsidRPr="00D03F3E" w:rsidRDefault="000803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испытаний планировалось определить летно-тактические данные самолета, их соответ</w:t>
      </w:r>
      <w:r w:rsidRPr="00D03F3E">
        <w:rPr>
          <w:color w:val="000000" w:themeColor="text1"/>
          <w:sz w:val="16"/>
          <w:szCs w:val="16"/>
        </w:rPr>
        <w:softHyphen/>
        <w:t>ствие тактико-техническим требованиям к самоле</w:t>
      </w:r>
      <w:r w:rsidRPr="00D03F3E">
        <w:rPr>
          <w:color w:val="000000" w:themeColor="text1"/>
          <w:sz w:val="16"/>
          <w:szCs w:val="16"/>
        </w:rPr>
        <w:softHyphen/>
        <w:t>ту-штурмовику и условия боевого применения при стрельбе по наземной цели, а также дать оценку стрелковому, бомбардировочному и ракетному во</w:t>
      </w:r>
      <w:r w:rsidRPr="00D03F3E">
        <w:rPr>
          <w:color w:val="000000" w:themeColor="text1"/>
          <w:sz w:val="16"/>
          <w:szCs w:val="16"/>
        </w:rPr>
        <w:softHyphen/>
        <w:t>оружению.</w:t>
      </w:r>
    </w:p>
    <w:p w14:paraId="1A6AB25E" w14:textId="77777777" w:rsidR="0008034E" w:rsidRPr="00D03F3E" w:rsidRDefault="000803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отчетных материалах по результатам испыта</w:t>
      </w:r>
      <w:r w:rsidRPr="00D03F3E">
        <w:rPr>
          <w:color w:val="000000" w:themeColor="text1"/>
          <w:sz w:val="16"/>
          <w:szCs w:val="16"/>
        </w:rPr>
        <w:softHyphen/>
        <w:t>ний особо отмечалось, что самолет строился без ТТТ от ВВС КА, без предъявления эскизного про</w:t>
      </w:r>
      <w:r w:rsidRPr="00D03F3E">
        <w:rPr>
          <w:color w:val="000000" w:themeColor="text1"/>
          <w:sz w:val="16"/>
          <w:szCs w:val="16"/>
        </w:rPr>
        <w:softHyphen/>
        <w:t>екта, макета и аэродинамических продувок модели самолета. Полных статических испытаний и дина</w:t>
      </w:r>
      <w:r w:rsidRPr="00D03F3E">
        <w:rPr>
          <w:color w:val="000000" w:themeColor="text1"/>
          <w:sz w:val="16"/>
          <w:szCs w:val="16"/>
        </w:rPr>
        <w:softHyphen/>
        <w:t>мических испытаний самолет не проходил. Заклю</w:t>
      </w:r>
      <w:r w:rsidRPr="00D03F3E">
        <w:rPr>
          <w:color w:val="000000" w:themeColor="text1"/>
          <w:sz w:val="16"/>
          <w:szCs w:val="16"/>
        </w:rPr>
        <w:softHyphen/>
        <w:t>чения ЦАГИ о прочности самолета и его соответ</w:t>
      </w:r>
      <w:r w:rsidRPr="00D03F3E">
        <w:rPr>
          <w:color w:val="000000" w:themeColor="text1"/>
          <w:sz w:val="16"/>
          <w:szCs w:val="16"/>
        </w:rPr>
        <w:softHyphen/>
        <w:t>ствие классу штурмовика в НИИ ВВС не предъяв</w:t>
      </w:r>
      <w:r w:rsidRPr="00D03F3E">
        <w:rPr>
          <w:color w:val="000000" w:themeColor="text1"/>
          <w:sz w:val="16"/>
          <w:szCs w:val="16"/>
        </w:rPr>
        <w:softHyphen/>
        <w:t>лялось.</w:t>
      </w:r>
    </w:p>
    <w:p w14:paraId="0A4984F0" w14:textId="77777777" w:rsidR="0008034E" w:rsidRPr="00D03F3E" w:rsidRDefault="000803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Надо сказать, впечатление летчиков-испытате</w:t>
      </w:r>
      <w:r w:rsidRPr="00D03F3E">
        <w:rPr>
          <w:color w:val="000000" w:themeColor="text1"/>
          <w:sz w:val="16"/>
          <w:szCs w:val="16"/>
        </w:rPr>
        <w:softHyphen/>
        <w:t>лей о самолете «Пегас» было крайне удручающим.</w:t>
      </w:r>
    </w:p>
    <w:p w14:paraId="417D94EC" w14:textId="77777777" w:rsidR="0008034E" w:rsidRPr="00D03F3E" w:rsidRDefault="000803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очередной сводке в Управление опытного стро</w:t>
      </w:r>
      <w:r w:rsidRPr="00D03F3E">
        <w:rPr>
          <w:color w:val="000000" w:themeColor="text1"/>
          <w:sz w:val="16"/>
          <w:szCs w:val="16"/>
        </w:rPr>
        <w:softHyphen/>
        <w:t>ительства ГУ ИАС ВВС по опытным работам крас</w:t>
      </w:r>
      <w:r w:rsidRPr="00D03F3E">
        <w:rPr>
          <w:color w:val="000000" w:themeColor="text1"/>
          <w:sz w:val="16"/>
          <w:szCs w:val="16"/>
        </w:rPr>
        <w:softHyphen/>
        <w:t>норечиво указывалось, что самолет «Пегас» № 01 в предъявленном виде для использования на фрон</w:t>
      </w:r>
      <w:r w:rsidRPr="00D03F3E">
        <w:rPr>
          <w:color w:val="000000" w:themeColor="text1"/>
          <w:sz w:val="16"/>
          <w:szCs w:val="16"/>
        </w:rPr>
        <w:softHyphen/>
        <w:t>те не пригоден — «хорошая мишень для зенитной артиллерии». Не может лететь на одном моторе. Прицельная стрельба из пулемета («сильно зади</w:t>
      </w:r>
      <w:r w:rsidRPr="00D03F3E">
        <w:rPr>
          <w:color w:val="000000" w:themeColor="text1"/>
          <w:sz w:val="16"/>
          <w:szCs w:val="16"/>
        </w:rPr>
        <w:softHyphen/>
        <w:t>рает нос») и бомбометание («нет бомбового при</w:t>
      </w:r>
      <w:r w:rsidRPr="00D03F3E">
        <w:rPr>
          <w:color w:val="000000" w:themeColor="text1"/>
          <w:sz w:val="16"/>
          <w:szCs w:val="16"/>
        </w:rPr>
        <w:softHyphen/>
        <w:t>цела») почти невозможна. Ставилось под сомнение применение на самолете пушек калибра 23 и 37 мм (большая отдача при стрельбе) (17500).</w:t>
      </w:r>
    </w:p>
    <w:p w14:paraId="09C7023F" w14:textId="77777777" w:rsidR="0008034E" w:rsidRPr="00D03F3E" w:rsidRDefault="0008034E" w:rsidP="00D03F3E">
      <w:pPr>
        <w:spacing w:after="0" w:line="240" w:lineRule="auto"/>
        <w:jc w:val="both"/>
        <w:rPr>
          <w:rFonts w:ascii="Times New Roman" w:eastAsia="Times New Roman" w:hAnsi="Times New Roman"/>
          <w:color w:val="000000" w:themeColor="text1"/>
          <w:sz w:val="16"/>
          <w:szCs w:val="16"/>
          <w:lang w:eastAsia="ru-RU"/>
        </w:rPr>
      </w:pPr>
    </w:p>
    <w:p w14:paraId="32ADDC9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февраля 1943 г. на завод № 22 поступило аисьмо:</w:t>
      </w:r>
    </w:p>
    <w:p w14:paraId="52F36A8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«Мы, штурманы, полтора года воевали на Пе-2 и пишем, что турель Торопова делает нашу работу почти невозможной. Затруднена посадка в кабину, мешает патронный ящик, за который цепляются лямки парашюта, и он раскрывается. Очень трудно работать с бомбовым прицелом. Затруднен обзор из кабины, из-за уменьшения боковых окон. Турельная дуга имеет острый выступ, о который штурман разбивает голову и цепляется парашютными лямками. Верхний люк летчика уменьшился, так что невозможно выпрыгнуть с парашютом. Пулеметная установка отказывает из-за длинного рукава питания и электромотора подачи патронов. Стрельба с большими углами почти невозможна из-за тесноты кабины. Желаем установки ФТ» (12049).</w:t>
      </w:r>
    </w:p>
    <w:p w14:paraId="5F4BDF8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CAB68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февраля 1942 согласно журнала наблюдения за проектированием, постройкой и испытаниями МиГ-5 2АМ-37 и 2М-82 на 2 экз. ДИС (МиГ-5) с М-82 был произведен 2-й вылет (25 мин.) с целью проверки работы ВМГ (990,8).</w:t>
      </w:r>
    </w:p>
    <w:p w14:paraId="07CA12C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3ED76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февраля 1943 Тер-Маркарян подписал письмо НКАП А.И.Ш. по вопросу установки М-106 на Як-9 и писал, что потребуется больший радиатор и существенные переделки. дал график производства (2519,71).</w:t>
      </w:r>
    </w:p>
    <w:p w14:paraId="7BDB2B7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2051E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февраля 1943 ГИ завода 292 писал А.И.Ш. Докладную записку о постановке М-106 1 ск. на Як-1 и писал, что потребуются большие и существенные переделки. Дал график производства (2519,71).</w:t>
      </w:r>
    </w:p>
    <w:p w14:paraId="4CF399C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5F7FB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февраля 1943 Дир. завода 81 Филимончук писал Зам. НКАП Воронину письмо N 336 о том, что не может выполнить заказ ГУЗ ВВ по перевооружению А-20 Бостон и установке на них доп. бензобаков. Сделал 2 машины для ИА ПВО и делает 3-й. Завод перегружен работами по срочным фронтовым заказам по перевооружению Б-4 и Б-20, а также сборкой и ремонтом ДБ-3Ф и ремонтом Пе-2 и Пе-3 (1767,35).</w:t>
      </w:r>
    </w:p>
    <w:p w14:paraId="42B2BB0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BE2D4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февраля 1943 на Ер-2 2М-30Б на заводах 134 и 500 был выполнен полет Москва - Казань - Москва и прошли за 4:15 (крейсерская 378 км/час), а потом за 0:45 летали на полигон в Ногинск (1458,30).</w:t>
      </w:r>
    </w:p>
    <w:p w14:paraId="63DBAA9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2BA29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5 февраля по 18 марта 1943 были сданы в производство чертежи реактивного перехватчика Костикова (1458,40).</w:t>
      </w:r>
    </w:p>
    <w:p w14:paraId="0E08745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64C59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февраля 1943 Зам. Нач. ЛИИ, Нач. ЦАГИ и Нач. ЦИАМ писали для НКАП А.И.Ш. Справку о постановке мотора М-106 с односкоростным нагнетателем на Як-1 и Як-9 на основе проведенных в ЛИИ летных испытаний. Писали, что потребуются переделки, а прирост скорости будет 10-25 км/час. Считали целесообразным немедленное внедрение в серию увеличенных радиаторов в расчете под М-106 с двухскоростным нагнетателем (2519,73).</w:t>
      </w:r>
    </w:p>
    <w:p w14:paraId="35FDE9D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015DE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февраля 1943 вышел приказ НКАП № 67с:</w:t>
      </w:r>
    </w:p>
    <w:p w14:paraId="747B93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исполнение распоряжения СНК от 1 февраля 1943 № 2177рс ф-л з-да 95 преобразовать в самостоятельный з-д и присвоить ему № 65.</w:t>
      </w:r>
    </w:p>
    <w:p w14:paraId="43D46F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Дементьев (1700, 148).</w:t>
      </w:r>
    </w:p>
    <w:p w14:paraId="47BDE22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9A4A4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5 февраля 1943 года вышел приказа НКАП за № 67 во исполнение распоряжения СНК за № 2177-рс от 1 февраля 1943 года, согласно которому на месте филиала завода № 95 был организован самостоятельный металлургический завод, которому был присвоен № 65. В 1943 году завод № 65 освоил серийный выпуск проволоки </w:t>
      </w:r>
      <w:r w:rsidRPr="00D03F3E">
        <w:rPr>
          <w:rFonts w:ascii="Times New Roman" w:hAnsi="Times New Roman"/>
          <w:color w:val="000000" w:themeColor="text1"/>
          <w:sz w:val="16"/>
          <w:szCs w:val="16"/>
        </w:rPr>
        <w:lastRenderedPageBreak/>
        <w:t>из алюминиевых сплавов и свыше 15 наименований кузнечных штампованных стальных изделий.</w:t>
      </w:r>
    </w:p>
    <w:p w14:paraId="6C1FC07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решению ГКО от 21 февраля 1944 года за № 522с и приказу НКАП за № 178 от 9 марта 1944 года на завод № 65 возложена задача по организации производства гильз для авиационных заводов. С апреля 1944 года завод приступил к выпуску этой продукции.</w:t>
      </w:r>
    </w:p>
    <w:p w14:paraId="19282E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удовлетворения самолетных и моторных заводов трубами, профилями и прутками из алюминиевых сплавов приказом НКАП за № 595 от 5 сентября 1945 года заводу № 65 было поручено организовать производство этих полуфабрикатов.</w:t>
      </w:r>
    </w:p>
    <w:p w14:paraId="3581AD7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основании приказа МАП № 289 от 13 мая 1946 года завод приступил к восстановлению прокатного производства.</w:t>
      </w:r>
    </w:p>
    <w:p w14:paraId="4AE7FAD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МАП за 3 96 от 21 февраля 1955 года при заводе № 65 организовано ОКБ-65 на которое возложена разработка новых технологических процессов производства деталей и полуфабрикатов и создание новой техники для заводов авиапромышленности. 11 августа 1961 года ЦК КПСС и СМ вынесли постановление за № 728-304 об организации ВНИИ технологии легких и специальных сплавов (ВНИИТЛиСС) с опытным заводом на базе ОКБ-65 и завода № 65.</w:t>
      </w:r>
    </w:p>
    <w:p w14:paraId="408E7FF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Начальником филиала завода № 95 с января по 23 декабря 1942 года был И.В. Селихов 23 декабря 1942 года приказом НКАП за № 134-ок директором филиала завода № 95 был назначен Румянцев Б.Ф.</w:t>
      </w:r>
    </w:p>
    <w:p w14:paraId="35D0F91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реорганизации филиала в самостоятельный завод № 65 директором завода № 95 был назначен Румянцев Б.Ф.</w:t>
      </w:r>
    </w:p>
    <w:p w14:paraId="2CF165B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Приказом НКАП № 254/к от 22 марта 1944 года на должность директора завода назначен Коваль Б.А.</w:t>
      </w:r>
    </w:p>
    <w:p w14:paraId="43D8D0D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6FD07F0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2CA60ED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79949CD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Москва, Кунцево, ул. Горбунова, д. 20 (9894).</w:t>
      </w:r>
    </w:p>
    <w:p w14:paraId="555176D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48D978"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52CB8F6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4884A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февраля 1943 г. вышел ПРИКАЗ ВЕРХОВНОГО КОМАНДОВАНИЯ ГЕРМАНСКОЙ АРМИИ ПО ОБОБЩЕНИЮ ОПЫТА БОРЬБЫ С СОВЕТСКИМИ ТАНКАМИ № 1550</w:t>
      </w:r>
    </w:p>
    <w:p w14:paraId="0716FE80"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Характеристика немецких противотанковых средств и боеприпасов</w:t>
      </w:r>
    </w:p>
    <w:p w14:paraId="182E2E9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Советские танки</w:t>
      </w:r>
    </w:p>
    <w:p w14:paraId="3EBD681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Оценка советских танков.</w:t>
      </w:r>
    </w:p>
    <w:p w14:paraId="034FE88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Труднопоражаемыми танками являются: средний Т-34 (26 тонн), тяжелый КВ-1 (44 тонны), КВ-1 (усиленный), КВ-1 вып. 1942 г. (броня 120 мм), КВ-2 (52 тонны). Легкие танки Т-26 и БТ устарелой конструкции. Танки Т-40 и Т-60 имеют слабую броню.</w:t>
      </w:r>
    </w:p>
    <w:p w14:paraId="2B98E55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Устойчивость русских танков от средств ПТО заключается не столько в толщине брони, сколько в углах расположения бронировки лобовой части танка (см. п.4 угол встречи). Танк Т-34 имеет высо кую проходимость по местности и для борьбы с ним необходимы особые меры, прежде всего исполь</w:t>
      </w:r>
      <w:r w:rsidRPr="00D03F3E">
        <w:rPr>
          <w:rFonts w:ascii="Times New Roman" w:hAnsi="Times New Roman"/>
          <w:color w:val="000000" w:themeColor="text1"/>
          <w:sz w:val="16"/>
          <w:szCs w:val="16"/>
        </w:rPr>
        <w:softHyphen/>
        <w:t>зование танко-недоступной местности.</w:t>
      </w:r>
    </w:p>
    <w:p w14:paraId="23A2904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Значение танковой разведки, (устав 469/2А),</w:t>
      </w:r>
    </w:p>
    <w:p w14:paraId="2E85A63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Танковая разведка является основой всех мероприятий борьбы против танков противника. Для уничтожения танков с мощной броней момент открытия огня, точка прицеливания, вид боеприпасов зависит от типа танка (см. устав 469/За (таблица стрельбы по танкам).</w:t>
      </w:r>
    </w:p>
    <w:p w14:paraId="5846958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Тактика русских танков.</w:t>
      </w:r>
    </w:p>
    <w:p w14:paraId="26E4089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русских существует два вида боевого использования танков:</w:t>
      </w:r>
    </w:p>
    <w:p w14:paraId="152A051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Использование танков как бронированного орудия (особенно на открытой местности). Огонь открывается с дистанции 1500 м.</w:t>
      </w:r>
    </w:p>
    <w:p w14:paraId="0812D9D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Контрмероприятия:</w:t>
      </w:r>
    </w:p>
    <w:p w14:paraId="563CD33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Нецелесообразно открывать огонь из легкого и среднего орудия ПТО; штурмового орудия, танка Т-3 и Т-4 (75-мм пушки Л/43). Уничтожать танки с этой дистанции целесообразно только 88-мм зенитными орудиями, арторудиями, тяжелыми орудиями ПТО, (только 75-мм орудиями ПТО обр. 1941 г. и орудиями калибра 7,62 см 36 не больше как с дистанции 1300 м).</w:t>
      </w:r>
    </w:p>
    <w:p w14:paraId="767EEBD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Пехота, а также ее тяжелое оружие, если танки открывают на 1500 м огонь, должны оставаться в окопах, хорошо маскироваться и прекратить всякое движение.</w:t>
      </w:r>
    </w:p>
    <w:p w14:paraId="7E29BC2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Танковая атака (поддержка наступления пехоты).</w:t>
      </w:r>
    </w:p>
    <w:p w14:paraId="22239DC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Ввиду недостаточного оборудования русских танковых соединений средствами связи атакую</w:t>
      </w:r>
      <w:r w:rsidRPr="00D03F3E">
        <w:rPr>
          <w:rFonts w:ascii="Times New Roman" w:hAnsi="Times New Roman"/>
          <w:color w:val="000000" w:themeColor="text1"/>
          <w:sz w:val="16"/>
          <w:szCs w:val="16"/>
        </w:rPr>
        <w:softHyphen/>
        <w:t>щие танки действуют, следуя примеру головных танков.</w:t>
      </w:r>
    </w:p>
    <w:p w14:paraId="4B698A8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Контрмероприятия: уничтожать в первую очередь головные танки с тем, чтобы лишить соедине</w:t>
      </w:r>
      <w:r w:rsidRPr="00D03F3E">
        <w:rPr>
          <w:rFonts w:ascii="Times New Roman" w:hAnsi="Times New Roman"/>
          <w:color w:val="000000" w:themeColor="text1"/>
          <w:sz w:val="16"/>
          <w:szCs w:val="16"/>
        </w:rPr>
        <w:softHyphen/>
        <w:t>ния управления.</w:t>
      </w:r>
    </w:p>
    <w:p w14:paraId="2AF43AB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Немецкая пехота пропускает вперед русские танки.</w:t>
      </w:r>
    </w:p>
    <w:p w14:paraId="767CE72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Пехота, которая поддерживает танки, следует непосредственно за танками. Контрмероприятия: основная задача всех видов оружия, поддерживающих пехоту: отделить пехоту противника от танков путем открытия огня по пехоте противника.</w:t>
      </w:r>
    </w:p>
    <w:p w14:paraId="30BD96B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Танковая атака проводится путем последовательного выдвижения от рубежа к рубежу.</w:t>
      </w:r>
    </w:p>
    <w:p w14:paraId="744CD85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Контрмероприятия: как правило, во время атаки возможно использование противотанковых укрытий, смена огневых позиций средств ПТО, плановое отражение атаки танков путем использо</w:t>
      </w:r>
      <w:r w:rsidRPr="00D03F3E">
        <w:rPr>
          <w:rFonts w:ascii="Times New Roman" w:hAnsi="Times New Roman"/>
          <w:color w:val="000000" w:themeColor="text1"/>
          <w:sz w:val="16"/>
          <w:szCs w:val="16"/>
        </w:rPr>
        <w:softHyphen/>
        <w:t>вания средств ближнего боя.</w:t>
      </w:r>
    </w:p>
    <w:p w14:paraId="4314F30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III. Тактические контрмероприятия</w:t>
      </w:r>
    </w:p>
    <w:p w14:paraId="15BC109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Слабое действие легких и средних орудий ПТО вынуждает вопреки прежним установкам сознательно отказываясь от стрельбы с предельных дистанций, использовать эти орудия для вне</w:t>
      </w:r>
      <w:r w:rsidRPr="00D03F3E">
        <w:rPr>
          <w:rFonts w:ascii="Times New Roman" w:hAnsi="Times New Roman"/>
          <w:color w:val="000000" w:themeColor="text1"/>
          <w:sz w:val="16"/>
          <w:szCs w:val="16"/>
        </w:rPr>
        <w:softHyphen/>
        <w:t>запного открытия огня из-за укрытий, с обратных скатов по бортам и корме танков. Непрерывное наблюдение за всей местностью, на которой могут появиться танки противника, обеспечивает сво</w:t>
      </w:r>
      <w:r w:rsidRPr="00D03F3E">
        <w:rPr>
          <w:rFonts w:ascii="Times New Roman" w:hAnsi="Times New Roman"/>
          <w:color w:val="000000" w:themeColor="text1"/>
          <w:sz w:val="16"/>
          <w:szCs w:val="16"/>
        </w:rPr>
        <w:softHyphen/>
        <w:t>евременное оповещение прислуги орудий ПТО.</w:t>
      </w:r>
    </w:p>
    <w:p w14:paraId="6AD60BE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Такой способ использования орудий ПТО показал, что совершенно воспрепятствовать прорыву танков в расположение пехоты невозможно. Для усиленного отражения атаки танков противника весьма важно, чтобы орудие ПТО открывали огонь из засады с ближних дистанций. Опасность для орудий ПТО быть преждевременно обнаруженными, расстрелянными или раздавленными гораздо меньше, чем для танков, которые едва ли могут успеть повернуться своей трудно пробиваемой лобо</w:t>
      </w:r>
      <w:r w:rsidRPr="00D03F3E">
        <w:rPr>
          <w:rFonts w:ascii="Times New Roman" w:hAnsi="Times New Roman"/>
          <w:color w:val="000000" w:themeColor="text1"/>
          <w:sz w:val="16"/>
          <w:szCs w:val="16"/>
        </w:rPr>
        <w:softHyphen/>
        <w:t>вой броней в сторону орудий ПТО (Т-34, КВ-1).</w:t>
      </w:r>
    </w:p>
    <w:p w14:paraId="3094B2C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Правильный выбор огневых позиций орудий ПТО на обратных скатах или на закрытой местно</w:t>
      </w:r>
      <w:r w:rsidRPr="00D03F3E">
        <w:rPr>
          <w:rFonts w:ascii="Times New Roman" w:hAnsi="Times New Roman"/>
          <w:color w:val="000000" w:themeColor="text1"/>
          <w:sz w:val="16"/>
          <w:szCs w:val="16"/>
        </w:rPr>
        <w:softHyphen/>
        <w:t>сти исключает возможность поражения от орудий сопровождения и поддерживающей артиллерии во время огневого боя орудий ПТО и танков. В предполье обязательно иметь непрерывное наблюдение.</w:t>
      </w:r>
    </w:p>
    <w:p w14:paraId="539C60B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Взаимная огневая поддержка нескольких орудий ПТО повышает шансы на успех. Для борьбы с танками противника следует использовать орудия кинжального действия, которые при наличии атаки танков совершенно не открывают огня по танкам.</w:t>
      </w:r>
    </w:p>
    <w:p w14:paraId="31379BE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Стойкая пехота пропускает через себя танки противника, продолжая вести бой:</w:t>
      </w:r>
    </w:p>
    <w:p w14:paraId="3D63FE8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При обороне: укрываясь в глубоких, узких, хорошо замаскированных щелях.</w:t>
      </w:r>
    </w:p>
    <w:p w14:paraId="40292BB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При наступлении: используя укрытия, а в необходимых случаях в последний момент отклоня</w:t>
      </w:r>
      <w:r w:rsidRPr="00D03F3E">
        <w:rPr>
          <w:rFonts w:ascii="Times New Roman" w:hAnsi="Times New Roman"/>
          <w:color w:val="000000" w:themeColor="text1"/>
          <w:sz w:val="16"/>
          <w:szCs w:val="16"/>
        </w:rPr>
        <w:softHyphen/>
        <w:t>ясь от направления движения танков, попадая в мертвое пространство вооружения танков.</w:t>
      </w:r>
    </w:p>
    <w:p w14:paraId="067E995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Для самообороны орудий ПТО необходимо постоянно обозревать впереди лежащую мест</w:t>
      </w:r>
      <w:r w:rsidRPr="00D03F3E">
        <w:rPr>
          <w:rFonts w:ascii="Times New Roman" w:hAnsi="Times New Roman"/>
          <w:color w:val="000000" w:themeColor="text1"/>
          <w:sz w:val="16"/>
          <w:szCs w:val="16"/>
        </w:rPr>
        <w:softHyphen/>
        <w:t>ность (инструкция об использовании в танко-истребительных войсках от 2.12.1941 г.).</w:t>
      </w:r>
    </w:p>
    <w:p w14:paraId="41CD8F9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IV. Уничтожение танков в ближнем бою</w:t>
      </w:r>
    </w:p>
    <w:p w14:paraId="060AB72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(Устав 489/4 «Предварительные указания по уничтожению танков в ближнем бою»).</w:t>
      </w:r>
    </w:p>
    <w:p w14:paraId="6420189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Применение вспомогательных средств борьбы с танками в ближнем бою (Т-мины, дымовые шашки, ручные гранаты, бутылки с зажигательной жидкостью и т.д.) обусловлено необходимостью. Однако эти средства в руках опытного и храброго солдата приводят к успеху даже в борьбе с тяжелыми танками.</w:t>
      </w:r>
    </w:p>
    <w:p w14:paraId="3E5C747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Рекомендуется вести борьбу с танками следующими методами ближнего боя:</w:t>
      </w:r>
    </w:p>
    <w:p w14:paraId="7BED76C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Ружейная, бронебойная граната обр. 1940 г.</w:t>
      </w:r>
    </w:p>
    <w:p w14:paraId="5FF2F0A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Эта граната пробивает с дистанции 50-100 м броню толщиной в 70-60 мм и является основным противотанковым средством перед передовой линией.</w:t>
      </w:r>
    </w:p>
    <w:p w14:paraId="06065B2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Метательные дымообразующие средства:</w:t>
      </w:r>
    </w:p>
    <w:p w14:paraId="3CE4D5D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Бутылки с жидким дымообразующим веществом. Вес 250 г.</w:t>
      </w:r>
    </w:p>
    <w:p w14:paraId="31ED7D8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Дымообразующее вещество применяется для ослепления водителя и стрелка и раздражающе действует на весь экипаж танка.</w:t>
      </w:r>
    </w:p>
    <w:p w14:paraId="7EF5F37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Противотанковые заряды:</w:t>
      </w:r>
    </w:p>
    <w:p w14:paraId="3C892DD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Противотанковые заряды прикрепляются человеком на остановившийся или медленно движу</w:t>
      </w:r>
      <w:r w:rsidRPr="00D03F3E">
        <w:rPr>
          <w:rFonts w:ascii="Times New Roman" w:hAnsi="Times New Roman"/>
          <w:color w:val="000000" w:themeColor="text1"/>
          <w:sz w:val="16"/>
          <w:szCs w:val="16"/>
        </w:rPr>
        <w:softHyphen/>
        <w:t>щийся танк. Заряд удерживается на танке при помощи магнита или при помощи цепочки с крючком. Вес заряда 3,3 кг. Пробивная сила 140 мм.</w:t>
      </w:r>
    </w:p>
    <w:p w14:paraId="75B13BD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Перевела: интендант 3 ранга Копытина</w:t>
      </w:r>
    </w:p>
    <w:p w14:paraId="2B51AF0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11353. Д. 425. Л. 23-25 с об. Копия.</w:t>
      </w:r>
    </w:p>
    <w:p w14:paraId="77B4663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переводе документе надпись: «Разведотделу штаба БТ и МВ: 1) размножить и дать всем фронтам, училищам, акаде</w:t>
      </w:r>
      <w:r w:rsidRPr="00D03F3E">
        <w:rPr>
          <w:rFonts w:ascii="Times New Roman" w:hAnsi="Times New Roman"/>
          <w:color w:val="000000" w:themeColor="text1"/>
          <w:sz w:val="16"/>
          <w:szCs w:val="16"/>
        </w:rPr>
        <w:softHyphen/>
        <w:t>мии, КУКС;, 2) ознакомить ГУФ и БП».</w:t>
      </w:r>
    </w:p>
    <w:p w14:paraId="5EC1976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Основная слабость русских танков: плохие условия для обозревания. Эту слабость орудия ПТО должны использовать для открытия внезапного огня по танкам из ближних дистанций (11403).</w:t>
      </w:r>
    </w:p>
    <w:p w14:paraId="43D950F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03B65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февраля 1943 г. вышла ДОКЛАДНАЯ ЗАПИСКА ЗАМЕСТИТЕЛЯ НАЧАЛЬНИКА ГБТУ КА ЗАМЕСТИТЕЛЮ ПРЕДСЕДАТЕЛЯ ГКО МОЛОТОВУ В СВЯЗИ С ПРЕКРАЩЕНИЕМ ПРОИЗВОДСТВА ТАНКОВ Т-60 №1149128</w:t>
      </w:r>
    </w:p>
    <w:p w14:paraId="40774B0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Докладываю, что в связи с прекращением производства танков Т-60 на заводах промышленности остались неиспользованными 229 бронекорпусов.</w:t>
      </w:r>
    </w:p>
    <w:p w14:paraId="3B860517"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их базе в декабре 1942 года были изготовлены опытные образцы десантных бронесаней и испытаны буксировкой за танком Т-34.</w:t>
      </w:r>
    </w:p>
    <w:p w14:paraId="1F7E210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показали положительные результаты. Было установлено, что танк Т-34 может букси</w:t>
      </w:r>
      <w:r w:rsidRPr="00D03F3E">
        <w:rPr>
          <w:rFonts w:ascii="Times New Roman" w:hAnsi="Times New Roman"/>
          <w:color w:val="000000" w:themeColor="text1"/>
          <w:sz w:val="16"/>
          <w:szCs w:val="16"/>
        </w:rPr>
        <w:softHyphen/>
        <w:t>ровать по целине и проселку двое десантных бронесаней.</w:t>
      </w:r>
    </w:p>
    <w:p w14:paraId="44C5723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Десантные бронесани могут быть использованы для перевозки 10 бойцов с полным вооружени</w:t>
      </w:r>
      <w:r w:rsidRPr="00D03F3E">
        <w:rPr>
          <w:rFonts w:ascii="Times New Roman" w:hAnsi="Times New Roman"/>
          <w:color w:val="000000" w:themeColor="text1"/>
          <w:sz w:val="16"/>
          <w:szCs w:val="16"/>
        </w:rPr>
        <w:softHyphen/>
        <w:t>ем или для транспортировки боеприпасов и горюче-смазочных материалов.</w:t>
      </w:r>
    </w:p>
    <w:p w14:paraId="65BC7B8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проверки их в боевых условиях ГБТУ заказало автозаводу им. Молотова десантные бронеса</w:t>
      </w:r>
      <w:r w:rsidRPr="00D03F3E">
        <w:rPr>
          <w:rFonts w:ascii="Times New Roman" w:hAnsi="Times New Roman"/>
          <w:color w:val="000000" w:themeColor="text1"/>
          <w:sz w:val="16"/>
          <w:szCs w:val="16"/>
        </w:rPr>
        <w:softHyphen/>
        <w:t>ни в количестве 200 штук, переделанные из корпусов танка Т-60.</w:t>
      </w:r>
    </w:p>
    <w:p w14:paraId="0ADCD7E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Объем работы по переделке небольшой: под корпус делаются деревянные полозья, в заднем листе брони делается люк для посадки и выхода бойцов, по бортам сделаны амбразуры для стрельбы из автоматов, впереди сделано упряжное приспособление, а сзади буксирные крюки.</w:t>
      </w:r>
    </w:p>
    <w:p w14:paraId="55542A5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Первая партия готовых десантных бронесаней в количестве 35 штук отправлена по просьбе т. Катукова в 1-ю танковую армию.</w:t>
      </w:r>
    </w:p>
    <w:p w14:paraId="18E9088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Остальные десантные бронесани также по просьбе фронтов будут отправлены Западному, Северо-Западному и Калининскому фронтам.</w:t>
      </w:r>
    </w:p>
    <w:p w14:paraId="3EF8CA0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Результаты боевого применения десантных бронесаней будут доложены дополнительно.</w:t>
      </w:r>
    </w:p>
    <w:p w14:paraId="696A7395"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Заместитель начальника ГБТУ КА генерал-майор технических войск Лебедев</w:t>
      </w:r>
    </w:p>
    <w:p w14:paraId="33E1188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танкового управления ГБТУ КА инженер-полковник Афонин</w:t>
      </w:r>
    </w:p>
    <w:p w14:paraId="5D78025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1660. Л. 50. Копия (11403).</w:t>
      </w:r>
    </w:p>
    <w:p w14:paraId="5FFE75A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F494C2"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февраля 1943 вышло Распоряжение ГКО № 2823 [О добыче торфа в Чувашской АССР.] (7079, 35).</w:t>
      </w:r>
    </w:p>
    <w:p w14:paraId="24FBB171"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D3032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февраля 1943 вышло Распоряжение ГКО № 2824. Об изготовлении и установке прямоточного котла среднего давления на Красногорской ТЭЦ Свердловэнерго.РГАНИР, Фонд ГКО, д. 86, лл. 36 (11012).</w:t>
      </w:r>
    </w:p>
    <w:p w14:paraId="482CFDD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12A83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февраля 1943 вышло Постановление ГКО № 2825 Об ужесточении контроля ГКО за деятельностью наркоматов и главных управлений при СНК СССР в вопросах производства вооружения и боеприпасов и поставок для НКВ и НКБ.РГАНИР, Фонд ГКО, д. 86, лл. 37-38 (11012).</w:t>
      </w:r>
    </w:p>
    <w:p w14:paraId="43CC765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E59798"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23F55DF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21911D"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7DC8BF9A"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5 февраля наши войска вели наступательные бои на прежних направлениях.</w:t>
      </w:r>
    </w:p>
    <w:p w14:paraId="196B6E62"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Ростова-на-Дону наши войска, преодолевая сопротивление противника, продолжали продвигаться вперёд. Н-ская часть в двухчасовом бою разгромила батальон немецкой пехоты и уничтожила 3 вражеских танка. На другом участке наши подвижные отряды заняли крупный населённый пункт. Захвачено 2 бронемашины, 4 орудия, из них 2 тяжёлых, склад с продовольствием и вещевой склад. Взяты пленные.</w:t>
      </w:r>
    </w:p>
    <w:p w14:paraId="49766DC2"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Красного Лимана наши войска продолжали наступление. Бойцы Н-скойчасти сломили сопротивление гитлеровцев и заняли несколько населённых пунктов. На другом участке немцы подтянули резервы и бросили в бой крупные силы танков и до двух полков пехоты. Наши части при поддержке авиации нанесли противнику тяжёлый удар, отбросили его и продвинулись вперёд. Уничтожено 18 танков и до 500 немецких солдат и офицеров. Советские лётчики в воздушных боях сбили 8 самолётов противника.</w:t>
      </w:r>
    </w:p>
    <w:p w14:paraId="5F5D823E"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Купянска Н-ская часть в бою за один выгодный рубеж уничтожила до двух рот немецкой пехоты, 3 танка и артиллерийскую батарею. Взяты пленные и трофеи.</w:t>
      </w:r>
    </w:p>
    <w:p w14:paraId="215A6B67"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Восточнее Курска наши войска продолжали вести успешное наступление. Части Н-ского соединения за два дня взяли в плен 1.485 солдат и офицеров противника. Захвачены трофеи: орудий — 54, миномётов — 52, пулемётов — 75, радиостанций —6, складов разных — 28 и много различных военных материалов. На других участках наши части, ломая сопротивление противника, овладели рядом населённых пунктов.</w:t>
      </w:r>
    </w:p>
    <w:p w14:paraId="24D710F5"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Закавказском фронте наши войска вели наступательные бои. На одном участке советские танкисты прорвались в глубину вражеской обороны и истребили до батальона немецкой пехоты. Части Н-ского соединения в последних боях захватили 19 немецких танков, 68 орудий, из них 48 крупного калибра, 30 тягачей, 149 автомашин, 446 велосипедов, склад боеприпасов и 2 склада с продовольствием.</w:t>
      </w:r>
    </w:p>
    <w:p w14:paraId="69B245DE"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Орловской области, пустил под откос немецкий железнодорожный эшелон с артиллерией и автомашинами. Разбиты паровоз, 2 вагона и 8 платформ. В результате крушения убито 20 немецких солдат. Партизаны другого отряда в конце января внезапно атаковали немецкий гарнизон в одном населённом пункте. В завязавшемся бою советские патриоты истребили 40 гитлеровцев и захватили 2 пулемёта, 15 винтовок я 10 тысяч патронов.</w:t>
      </w:r>
    </w:p>
    <w:p w14:paraId="772F3EB2"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военных тюрьмах и солдатских концентрационных лагерях Германии и оккупированных ею стран в настоящее время находится много тысяч немецких солдат. В военной тюрьме Торгау на Эльбе насчитывается свыше 3 тысяч заключённых. В Грауденце в тюрьму ежемесячно прибывает около тысячи немецких солдат, осуждённых военными судами. Это преимущественно солдаты из войсковых частей, действующих на советско-германском фронте. Большинство из них осуждено «за разложение армии», «за восхваление вооружённых сил противника», «за проявление малодушия на поле боя и утерюоружия», «за самоувечье» и т. д.» (15031).</w:t>
      </w:r>
    </w:p>
    <w:p w14:paraId="6A8525D4" w14:textId="77777777" w:rsidR="00767A8D" w:rsidRPr="00D03F3E" w:rsidRDefault="00767A8D" w:rsidP="00D03F3E">
      <w:pPr>
        <w:spacing w:after="0" w:line="240" w:lineRule="auto"/>
        <w:jc w:val="both"/>
        <w:rPr>
          <w:rFonts w:ascii="Times New Roman" w:hAnsi="Times New Roman"/>
          <w:color w:val="000000" w:themeColor="text1"/>
          <w:sz w:val="16"/>
          <w:szCs w:val="16"/>
        </w:rPr>
      </w:pPr>
    </w:p>
    <w:p w14:paraId="110916E7"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24C04A13"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февраля наши войска после упорных боёв овладели городом и железнодорожной станцией Старый Оскол. Окружённый гарнизон противника уничтожен и частично пленён. Юго-западнее Старого Оскола наши войска заняли районные центры Боброво-Дворское, Скородное.</w:t>
      </w:r>
    </w:p>
    <w:p w14:paraId="7FE6908B"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Украине наши войска овладели городом и железнодорожной станцией Изюм, а также заняли районный центр и железнодорожную станцию Великий Бурлун, районный центр и железнодорожную станцию Яма, районный центр Ольховатка.</w:t>
      </w:r>
    </w:p>
    <w:p w14:paraId="4B4415F0"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остальных участках фронта наши войска продолжали вести бои на прежних направлениях.</w:t>
      </w:r>
    </w:p>
    <w:p w14:paraId="0E0A7254"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частями нашей авиации на различных участках фронта уничтожено или повреждено 10 немецких танков, до 150 автомашин с войсками и грузами, взорвано 3 склада боеприпасов, разбит железнодорожный эшелон, рассеяно и частью уничтожено до батальона пехоты противника.</w:t>
      </w:r>
    </w:p>
    <w:p w14:paraId="41D0C7B3"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Ростова-на-Дону наши войска, преодолевая сопротивление противника, продвигались вперёд. Н-ская кавалерийская часть захватила 2 паровоза, 300 вагонов, 150 автомашин, 3 танкетки, 100 мотоциклов и 2 продовольственных склада. При взятии станции Крыловская наши бойцы захватили многочисленные трофеи, в том числе железнодорожный эшелон с танками и эшелон с продовольствием. На другом участке наши подразделения, продвигаясь вперёд, заняли несколько населённых пунктов, уничтожили 400 гитлеровцев, 4 танка, 3 танкетки и захватили 175 пленных.</w:t>
      </w:r>
    </w:p>
    <w:p w14:paraId="0189E6F0"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Купянска наши войска продвигались вперёд и заняли несколько населённых пунктов. Захвачено 8 тяжёлых орудий и два склада с зерном. На другом участке бойцы Н-ской гвардейской части захватили 6 немецких танков, 3 бронемашины, 20 автомашин, 3 паровоза и 45 вагонов.</w:t>
      </w:r>
    </w:p>
    <w:p w14:paraId="226D2E8D"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Восточнее Курска наши войска продолжали успешное наступление. В бою за один населённый пункт Н-ская часть разгромила венгерский пехотный полк. На поле боя остались сотни вражеских трупов. На другом участке майор Сычевой с группой автоматчиков зашёл в тыл противнику, укрепившемуся в деревне. Внезапно атакованные нашими автоматчиками немцы бежали, бросив 30 орудий, много пулемётов, винтовок и боеприпасов.</w:t>
      </w:r>
    </w:p>
    <w:p w14:paraId="519F94E4"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Несколько отрядов смоленских партизан за время с 15 по 27 января пустили под откос 15 эшелонов противника. Разбито 13 паровозов и до 200 вагонов. За это же время советские патриоты взорвали 6 мостов, подорвали в нескольких местах железнодорожные пути и вырезали 17 километров телефонно-телеграфной линии связи.</w:t>
      </w:r>
    </w:p>
    <w:p w14:paraId="721FC09C"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Пленный командир 297 немецкой пехотной дивизии генерал-майор Мориц Дреббер заявил: «Наступление русских, закончившееся окружением немецких войск, невозможно было сдержать. Сталинград съел все наши резервы. 10 января началось решающее наступление русских против наших войск, окружённых у Сталинграда. Положение с каждым днём становилось более критическим. Русские со всех сторон сбивали наши части с линии обороны и теснили их на восток. 25 января утром после сильной артиллерийской подготовки орудий всех калибров русская пехота при поддержке танков пошла в атаку. Русские танки прорвали левый фланг и вместе с отрядами пехоты и группами автоматчиков на танках ворвались в глубину обороны, расчленили части дивизии. Командир артиллерийского полка полковник Фохт со своим штабом попал в плен. Командир 523 полка 297 дивизии был отрезан со своим полком и сдался. Русские танки начали обстреливать из орудий и пулемётов дом, в котором находился штаб дивизии. Опасность была очень велика. Я принял решение и вместе состатками дивизии сдался в плен. Так закончила своё </w:t>
      </w:r>
      <w:r w:rsidRPr="00D03F3E">
        <w:rPr>
          <w:rFonts w:ascii="Times New Roman" w:hAnsi="Times New Roman"/>
          <w:color w:val="000000" w:themeColor="text1"/>
          <w:sz w:val="16"/>
          <w:szCs w:val="16"/>
        </w:rPr>
        <w:lastRenderedPageBreak/>
        <w:t>существование 297 пехотная немецкая дивизия. Вслед за ней прекратили существование многие другие дивизии, окружённые в районе Сталинграда. О наших потерях говорить не приходится. Эти потери колоссальны. Мы потеряли всё, что у нас было».</w:t>
      </w:r>
    </w:p>
    <w:p w14:paraId="472D17A8"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деревне Пасеково, Воронежской области: «Отступая под ударами Красной Армии, немцы учинили в деревне чудовищное злодеяние. Гитлеровские бандиты вытаскивали из погребов и подвалов прятавшихся там жителей и расстреливали их. Палачи убили И.Колесникова, Н.Колесникову вместе с её шестилетней дочерью, И.Задорожного и многих других. Фашистские изверги подожгли дом колхозницы Бутовой. Когда она кинулась тушить пожар, убийцы застрелили её». Акт подписали: старший лейтенант А.Леонтьев, гвардии красноармейцы Ф.Сахнов, Д.Калинин, жители деревни Пасеково В. Ахременко, Е.Задорожная и другие.».</w:t>
      </w:r>
    </w:p>
    <w:p w14:paraId="27F172F5"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74D3DC32"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города Старый Оскол, Изюм.</w:t>
      </w:r>
    </w:p>
    <w:p w14:paraId="7EB35708"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5 февраля наши войска после упорного боя овладели городом и железнодорожной станцией Старый Оскол. Окружённый гарнизон противника уничтожени частично пленён.</w:t>
      </w:r>
    </w:p>
    <w:p w14:paraId="411ECB43"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 Украине наши войска овладели городом и железнодорожной станцией Изюм.» (15031).</w:t>
      </w:r>
    </w:p>
    <w:p w14:paraId="55689ED5" w14:textId="77777777" w:rsidR="00767A8D" w:rsidRPr="00D03F3E" w:rsidRDefault="00767A8D" w:rsidP="00D03F3E">
      <w:pPr>
        <w:spacing w:after="0" w:line="240" w:lineRule="auto"/>
        <w:jc w:val="both"/>
        <w:rPr>
          <w:rFonts w:ascii="Times New Roman" w:hAnsi="Times New Roman"/>
          <w:color w:val="000000" w:themeColor="text1"/>
          <w:sz w:val="16"/>
          <w:szCs w:val="16"/>
        </w:rPr>
      </w:pPr>
    </w:p>
    <w:p w14:paraId="29A234E3"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февраля</w:t>
      </w:r>
      <w:r w:rsidRPr="00D03F3E">
        <w:rPr>
          <w:rFonts w:ascii="Times New Roman" w:hAnsi="Times New Roman"/>
          <w:color w:val="000000" w:themeColor="text1"/>
          <w:sz w:val="16"/>
          <w:szCs w:val="16"/>
        </w:rPr>
        <w:t xml:space="preserve"> в 1943 году соединения 3-й танковой армии Воронежского фронта, обходя Харьков с юга, вышли к реке Северский Донец в районе Чугуева. Германское командование начало отводить войска харьковской группировки с рубежа реки Северский Донец к Харькову (15031).</w:t>
      </w:r>
    </w:p>
    <w:p w14:paraId="4ED3A455" w14:textId="77777777" w:rsidR="00767A8D" w:rsidRPr="00D03F3E" w:rsidRDefault="00767A8D" w:rsidP="00D03F3E">
      <w:pPr>
        <w:spacing w:after="0" w:line="240" w:lineRule="auto"/>
        <w:jc w:val="both"/>
        <w:rPr>
          <w:rFonts w:ascii="Times New Roman" w:hAnsi="Times New Roman"/>
          <w:color w:val="000000" w:themeColor="text1"/>
          <w:sz w:val="16"/>
          <w:szCs w:val="16"/>
        </w:rPr>
      </w:pPr>
    </w:p>
    <w:p w14:paraId="28542FBD"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февраля</w:t>
      </w:r>
      <w:r w:rsidRPr="00D03F3E">
        <w:rPr>
          <w:rFonts w:ascii="Times New Roman" w:hAnsi="Times New Roman"/>
          <w:color w:val="000000" w:themeColor="text1"/>
          <w:sz w:val="16"/>
          <w:szCs w:val="16"/>
        </w:rPr>
        <w:t xml:space="preserve"> в 1943 году советские войска достигают Азовского моря в районе Ейска, отрезая фашистские войска на Кавказе (15031).</w:t>
      </w:r>
    </w:p>
    <w:p w14:paraId="40B83DDA" w14:textId="77777777" w:rsidR="00767A8D" w:rsidRPr="00D03F3E" w:rsidRDefault="00767A8D" w:rsidP="00D03F3E">
      <w:pPr>
        <w:spacing w:after="0" w:line="240" w:lineRule="auto"/>
        <w:jc w:val="both"/>
        <w:rPr>
          <w:rFonts w:ascii="Times New Roman" w:hAnsi="Times New Roman"/>
          <w:color w:val="000000" w:themeColor="text1"/>
          <w:sz w:val="16"/>
          <w:szCs w:val="16"/>
        </w:rPr>
      </w:pPr>
    </w:p>
    <w:p w14:paraId="7729A604" w14:textId="77777777" w:rsidR="00767A8D" w:rsidRPr="00D03F3E" w:rsidRDefault="00767A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февраля</w:t>
      </w:r>
      <w:r w:rsidRPr="00D03F3E">
        <w:rPr>
          <w:rFonts w:ascii="Times New Roman" w:hAnsi="Times New Roman"/>
          <w:color w:val="000000" w:themeColor="text1"/>
          <w:sz w:val="16"/>
          <w:szCs w:val="16"/>
        </w:rPr>
        <w:t xml:space="preserve"> в 1943 году директива Ставки ВГК о преобразовании Донского фронта в Центральный фронт (15031).</w:t>
      </w:r>
    </w:p>
    <w:p w14:paraId="13D2CEC8" w14:textId="77777777" w:rsidR="00767A8D" w:rsidRPr="00D03F3E" w:rsidRDefault="00767A8D" w:rsidP="00D03F3E">
      <w:pPr>
        <w:spacing w:after="0" w:line="240" w:lineRule="auto"/>
        <w:jc w:val="both"/>
        <w:rPr>
          <w:rFonts w:ascii="Times New Roman" w:hAnsi="Times New Roman"/>
          <w:color w:val="000000" w:themeColor="text1"/>
          <w:sz w:val="16"/>
          <w:szCs w:val="16"/>
        </w:rPr>
      </w:pPr>
    </w:p>
    <w:p w14:paraId="195394B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5 февраля 1943 г. группа Ил-2 299-й </w:t>
      </w:r>
      <w:r w:rsidRPr="00D03F3E">
        <w:rPr>
          <w:rFonts w:ascii="Times New Roman" w:hAnsi="Times New Roman"/>
          <w:iCs/>
          <w:color w:val="000000" w:themeColor="text1"/>
          <w:sz w:val="16"/>
          <w:szCs w:val="16"/>
        </w:rPr>
        <w:t>шад</w:t>
      </w:r>
      <w:r w:rsidRPr="00D03F3E">
        <w:rPr>
          <w:rFonts w:ascii="Times New Roman" w:hAnsi="Times New Roman"/>
          <w:color w:val="000000" w:themeColor="text1"/>
          <w:sz w:val="16"/>
          <w:szCs w:val="16"/>
        </w:rPr>
        <w:t xml:space="preserve"> 15-й ВА, вследствие нехватки ис</w:t>
      </w:r>
      <w:r w:rsidRPr="00D03F3E">
        <w:rPr>
          <w:rFonts w:ascii="Times New Roman" w:hAnsi="Times New Roman"/>
          <w:color w:val="000000" w:themeColor="text1"/>
          <w:sz w:val="16"/>
          <w:szCs w:val="16"/>
        </w:rPr>
        <w:softHyphen/>
        <w:t>требителей, была послана в район г. Ливны на прикрытие (!) боевых порядков наземных войск от ударов немецкой бомбардировочной авиации. После окончания патрулирования, при уходе от линии фронта лейтенант Кальчик отстал от группы и был атакован со стороны задней полусферы одним Bf109. Видя, что "Мессершмитт" догоняет его на боль</w:t>
      </w:r>
      <w:r w:rsidRPr="00D03F3E">
        <w:rPr>
          <w:rFonts w:ascii="Times New Roman" w:hAnsi="Times New Roman"/>
          <w:color w:val="000000" w:themeColor="text1"/>
          <w:sz w:val="16"/>
          <w:szCs w:val="16"/>
        </w:rPr>
        <w:softHyphen/>
        <w:t>шой скорости, лейтенант убрал газ и довернул штурмовик вправо. Bf109 выс</w:t>
      </w:r>
      <w:r w:rsidRPr="00D03F3E">
        <w:rPr>
          <w:rFonts w:ascii="Times New Roman" w:hAnsi="Times New Roman"/>
          <w:color w:val="000000" w:themeColor="text1"/>
          <w:sz w:val="16"/>
          <w:szCs w:val="16"/>
        </w:rPr>
        <w:softHyphen/>
        <w:t>кочил из-под левой плоскости вверх. Лейтенант Кальчик довернул свой "Ил" и дал по противнику пушечную очередь - объятый пламенем "худой" врезался в землю. В это время "ильюшин" был атакован слева сзади еще одним "мессершмиттом". Когда противник сблизил</w:t>
      </w:r>
      <w:r w:rsidRPr="00D03F3E">
        <w:rPr>
          <w:rFonts w:ascii="Times New Roman" w:hAnsi="Times New Roman"/>
          <w:color w:val="000000" w:themeColor="text1"/>
          <w:sz w:val="16"/>
          <w:szCs w:val="16"/>
        </w:rPr>
        <w:softHyphen/>
        <w:t>ся с Ил-2 на дистанцию открытия огня, л-т Кальчик повторил тот же маневр, но с доворотом самолета влево. В резуль</w:t>
      </w:r>
      <w:r w:rsidRPr="00D03F3E">
        <w:rPr>
          <w:rFonts w:ascii="Times New Roman" w:hAnsi="Times New Roman"/>
          <w:color w:val="000000" w:themeColor="text1"/>
          <w:sz w:val="16"/>
          <w:szCs w:val="16"/>
        </w:rPr>
        <w:softHyphen/>
        <w:t>тате "мессер" выскочил вперед Ил-2 из-под правой плоскости. От пушечной оче</w:t>
      </w:r>
      <w:r w:rsidRPr="00D03F3E">
        <w:rPr>
          <w:rFonts w:ascii="Times New Roman" w:hAnsi="Times New Roman"/>
          <w:color w:val="000000" w:themeColor="text1"/>
          <w:sz w:val="16"/>
          <w:szCs w:val="16"/>
        </w:rPr>
        <w:softHyphen/>
        <w:t>реди Bf109 буквально развалился на части и упал на землю. Свидетелем это</w:t>
      </w:r>
      <w:r w:rsidRPr="00D03F3E">
        <w:rPr>
          <w:rFonts w:ascii="Times New Roman" w:hAnsi="Times New Roman"/>
          <w:color w:val="000000" w:themeColor="text1"/>
          <w:sz w:val="16"/>
          <w:szCs w:val="16"/>
        </w:rPr>
        <w:softHyphen/>
        <w:t>го воздушного боя стал командующий 15-й ВА генерал-майор И.Г.Пятыхин. По окончании боя генерал немедленно по</w:t>
      </w:r>
      <w:r w:rsidRPr="00D03F3E">
        <w:rPr>
          <w:rFonts w:ascii="Times New Roman" w:hAnsi="Times New Roman"/>
          <w:color w:val="000000" w:themeColor="text1"/>
          <w:sz w:val="16"/>
          <w:szCs w:val="16"/>
        </w:rPr>
        <w:softHyphen/>
        <w:t xml:space="preserve">слал командиру 299-й </w:t>
      </w:r>
      <w:r w:rsidRPr="00D03F3E">
        <w:rPr>
          <w:rFonts w:ascii="Times New Roman" w:hAnsi="Times New Roman"/>
          <w:iCs/>
          <w:color w:val="000000" w:themeColor="text1"/>
          <w:sz w:val="16"/>
          <w:szCs w:val="16"/>
        </w:rPr>
        <w:t>шад</w:t>
      </w:r>
      <w:r w:rsidRPr="00D03F3E">
        <w:rPr>
          <w:rFonts w:ascii="Times New Roman" w:hAnsi="Times New Roman"/>
          <w:color w:val="000000" w:themeColor="text1"/>
          <w:sz w:val="16"/>
          <w:szCs w:val="16"/>
        </w:rPr>
        <w:t xml:space="preserve"> п-ку И.В.Крупскому телеграмму: </w:t>
      </w:r>
      <w:r w:rsidRPr="00D03F3E">
        <w:rPr>
          <w:rFonts w:ascii="Times New Roman" w:hAnsi="Times New Roman"/>
          <w:iCs/>
          <w:color w:val="000000" w:themeColor="text1"/>
          <w:sz w:val="16"/>
          <w:szCs w:val="16"/>
        </w:rPr>
        <w:t>"За мужество в воздушном бою в районе Ливны летчи</w:t>
      </w:r>
      <w:r w:rsidRPr="00D03F3E">
        <w:rPr>
          <w:rFonts w:ascii="Times New Roman" w:hAnsi="Times New Roman"/>
          <w:iCs/>
          <w:color w:val="000000" w:themeColor="text1"/>
          <w:sz w:val="16"/>
          <w:szCs w:val="16"/>
        </w:rPr>
        <w:softHyphen/>
        <w:t>ка-штурмовика, сбившего два Me-109, награждаю орденом Красного Знамени. Сообщите фамилию героя".</w:t>
      </w:r>
      <w:r w:rsidRPr="00D03F3E">
        <w:rPr>
          <w:rFonts w:ascii="Times New Roman" w:hAnsi="Times New Roman"/>
          <w:color w:val="000000" w:themeColor="text1"/>
          <w:sz w:val="16"/>
          <w:szCs w:val="16"/>
        </w:rPr>
        <w:t xml:space="preserve"> Вечером этого же дня лейтенанту Кальчику был вручен орден (6467).</w:t>
      </w:r>
    </w:p>
    <w:p w14:paraId="367D03F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0D687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5 февраля по 13 апреля 1943 132 ОБАП воевал на Ту-2 М-82 на Юго-Западном фронте, которые использовались как в качестве бомбардировщиков, так и разведчиков. Это рассматривалось как продолжение войсковых испытаний (1835,22).</w:t>
      </w:r>
    </w:p>
    <w:p w14:paraId="1E6D088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EDDDF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февраля 1943 вышла директива наркома ВМФ Н.К.Кузнецова N 1893 о действиях ВВС и авиации в целях изоляции окруженного противника (2120).</w:t>
      </w:r>
    </w:p>
    <w:p w14:paraId="5B69374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7A83D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февраля 7 И-15бис сбросили 14 яшиков с боеприпасами новороссийскому десанту. 6 февраля грузы десанту сбрасывали 4 И-15бис. 8 февраля 3 И-15бис летали на снабжение крымских партизан (12014).</w:t>
      </w:r>
    </w:p>
    <w:p w14:paraId="6D21DD1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2CE9A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февраля 1943 семь И-15бис сбросили 14 ящиков с боеприпасами де</w:t>
      </w:r>
      <w:r w:rsidRPr="00D03F3E">
        <w:rPr>
          <w:rFonts w:ascii="Times New Roman" w:hAnsi="Times New Roman"/>
          <w:color w:val="000000" w:themeColor="text1"/>
          <w:sz w:val="16"/>
          <w:szCs w:val="16"/>
        </w:rPr>
        <w:softHyphen/>
        <w:t>санту под Новороссийском. 6 февраля ту</w:t>
      </w:r>
      <w:r w:rsidRPr="00D03F3E">
        <w:rPr>
          <w:rFonts w:ascii="Times New Roman" w:hAnsi="Times New Roman"/>
          <w:color w:val="000000" w:themeColor="text1"/>
          <w:sz w:val="16"/>
          <w:szCs w:val="16"/>
        </w:rPr>
        <w:softHyphen/>
        <w:t>да же с грузом летали четыре «биса». Два дня спустя три И-15бис совершили вылет на снабжение крымских партизан (12294).</w:t>
      </w:r>
    </w:p>
    <w:p w14:paraId="210D2542"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105B0A2E" w14:textId="77777777" w:rsidR="00C84258" w:rsidRPr="00D03F3E"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февраля 1943 года приказом начальника автобронетанковых войск Ленинградского фронта мотовагон МВБ-2 № 02 передали в 14-й ОДБП 23-й армии, занимавшей оборону на Карельском перешейке. По одним данным, помимо МБВ-2, в состав дивизиона входили бронепоезда "Стремительный" и "Стойкий". По другим, название "Стремительный" получил мотоброневагон, а второго бронепоезда в дивизионе не было. "Стойкий" прежде именовался бронепоездом № 30 Краснознаменного Балтийского флота, и команда его была укомплектована военными моряками, из которых сформировали и экипаж мотоброневагона. Командиром его стал капитан А.Доценко. В 1943 году была осуществлена еще одна модернизация МБВ-2 - на нем установили 76мм пушки Ф-34. В таком виде он принимал участие в боевых действиях с осени 1943 года, в том числе в операции по снятию блокады Ленинграда в январе 1944 года, а затем в составе артгруппы 142-й стрелковой дивизии - в Выборгской операции. Переданный в оперативное подчинение 2-й ударной армии мотоброневагон вел бои за Нарву, обеспечивая огневую поддержку войск и прикрывая таллинский порт и железнодорожную станцию (9634).</w:t>
      </w:r>
    </w:p>
    <w:p w14:paraId="0FA238D7" w14:textId="77777777" w:rsidR="00C84258" w:rsidRPr="00D03F3E"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p>
    <w:p w14:paraId="5D6B577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февраля 1943 советские войска достигли Азовского моря в районе Ейска, отрезав фашистские войска на Кавказе (4962).</w:t>
      </w:r>
    </w:p>
    <w:p w14:paraId="7A063A87"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003AE3"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0FDFFB6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BC1ED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февраля 1943 совершил первый полет второй прототип Кингкобры ХР-63 (1020).</w:t>
      </w:r>
    </w:p>
    <w:p w14:paraId="31F907E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B23B22"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февраля</w:t>
      </w:r>
      <w:r w:rsidRPr="00D03F3E">
        <w:rPr>
          <w:rFonts w:ascii="Times New Roman" w:hAnsi="Times New Roman"/>
          <w:color w:val="000000" w:themeColor="text1"/>
          <w:sz w:val="16"/>
          <w:szCs w:val="16"/>
        </w:rPr>
        <w:t xml:space="preserve"> в 1943 году впервые взлетел английский многоцелевой бомбардировщик -патрульный самолет </w:t>
      </w:r>
      <w:hyperlink r:id="rId53" w:tgtFrame="_blank" w:history="1">
        <w:r w:rsidRPr="00D03F3E">
          <w:rPr>
            <w:rFonts w:ascii="Times New Roman" w:hAnsi="Times New Roman"/>
            <w:color w:val="000000" w:themeColor="text1"/>
            <w:sz w:val="16"/>
            <w:szCs w:val="16"/>
          </w:rPr>
          <w:t xml:space="preserve">«Vickers Warwick». </w:t>
        </w:r>
      </w:hyperlink>
    </w:p>
    <w:p w14:paraId="059362FE" w14:textId="77777777" w:rsidR="00225569" w:rsidRPr="00D03F3E" w:rsidRDefault="00225569" w:rsidP="00D03F3E">
      <w:pPr>
        <w:spacing w:after="0" w:line="240" w:lineRule="auto"/>
        <w:jc w:val="both"/>
        <w:rPr>
          <w:rFonts w:ascii="Times New Roman" w:hAnsi="Times New Roman"/>
          <w:color w:val="000000" w:themeColor="text1"/>
          <w:sz w:val="16"/>
          <w:szCs w:val="16"/>
        </w:rPr>
      </w:pPr>
    </w:p>
    <w:p w14:paraId="0249635F"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февраля</w:t>
      </w:r>
      <w:r w:rsidRPr="00D03F3E">
        <w:rPr>
          <w:rFonts w:ascii="Times New Roman" w:hAnsi="Times New Roman"/>
          <w:color w:val="000000" w:themeColor="text1"/>
          <w:sz w:val="16"/>
          <w:szCs w:val="16"/>
        </w:rPr>
        <w:t xml:space="preserve"> в 1943 году реорганизация Муссолини правительства Италии. Уволено большинство министров (15031).</w:t>
      </w:r>
    </w:p>
    <w:p w14:paraId="5475F6B9" w14:textId="77777777" w:rsidR="00225569" w:rsidRPr="00D03F3E" w:rsidRDefault="00225569" w:rsidP="00D03F3E">
      <w:pPr>
        <w:spacing w:after="0" w:line="240" w:lineRule="auto"/>
        <w:jc w:val="both"/>
        <w:rPr>
          <w:rFonts w:ascii="Times New Roman" w:hAnsi="Times New Roman"/>
          <w:color w:val="000000" w:themeColor="text1"/>
          <w:sz w:val="16"/>
          <w:szCs w:val="16"/>
        </w:rPr>
      </w:pPr>
    </w:p>
    <w:p w14:paraId="4C86EE6D"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февраля</w:t>
      </w:r>
      <w:r w:rsidRPr="00D03F3E">
        <w:rPr>
          <w:rFonts w:ascii="Times New Roman" w:hAnsi="Times New Roman"/>
          <w:color w:val="000000" w:themeColor="text1"/>
          <w:sz w:val="16"/>
          <w:szCs w:val="16"/>
        </w:rPr>
        <w:t xml:space="preserve"> в 1943 году ожесточенные бои китайских и японских войск за Наньчан (15031).</w:t>
      </w:r>
    </w:p>
    <w:p w14:paraId="6F75A68F" w14:textId="77777777" w:rsidR="00225569" w:rsidRPr="00D03F3E" w:rsidRDefault="00225569" w:rsidP="00D03F3E">
      <w:pPr>
        <w:spacing w:after="0" w:line="240" w:lineRule="auto"/>
        <w:jc w:val="both"/>
        <w:rPr>
          <w:rFonts w:ascii="Times New Roman" w:hAnsi="Times New Roman"/>
          <w:color w:val="000000" w:themeColor="text1"/>
          <w:sz w:val="16"/>
          <w:szCs w:val="16"/>
        </w:rPr>
      </w:pPr>
    </w:p>
    <w:p w14:paraId="0F83A96C"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907563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8489B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вышел приказ НКАП N 71с:</w:t>
      </w:r>
    </w:p>
    <w:p w14:paraId="2CA3779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Директору завода 219 Жихареву изготовить силуминовые колеса размером 1100х400 мм с воздушными колодочными тормозами по чертежам ГК Флерова с количестве 10 комплектов к 1 апреля 1943.</w:t>
      </w:r>
    </w:p>
    <w:p w14:paraId="162E997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Параллельно изготовить оснастку для серийного изготовления этих колес.</w:t>
      </w:r>
    </w:p>
    <w:p w14:paraId="14C349D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Директору завода 23 Иосилович и ГК С.В.И. установить указанные колеса на 5-ти Ил-4 к 10 апреля и сдать их в АДД для войсковых испытаний.</w:t>
      </w:r>
    </w:p>
    <w:p w14:paraId="22F5B4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Отчет о войсковых испытаниях колес представить мен не позднее 15 мая 1943 (1700,183).</w:t>
      </w:r>
    </w:p>
    <w:p w14:paraId="471486F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8B446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вышел приказ НКАП N 72с:</w:t>
      </w:r>
    </w:p>
    <w:p w14:paraId="6ECC92A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обеспечения полной идентичности самолетов Ил-4, изготавливаемых на заводах 23, 126 и 39, а также с целью обеспечения взаимозаменяемости агрегатов и основных узлов этих самолетов:</w:t>
      </w:r>
    </w:p>
    <w:p w14:paraId="39235CD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Ведущим заводом по самолету Ил-4 считать завод 23, как завод, который по своей территориальной расположенности имеет возможность обеспечить быструю отработку, испытание и утверждение всех изменения по самолету Ил-4 (1700,189).</w:t>
      </w:r>
    </w:p>
    <w:p w14:paraId="1CADC9A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1CBBF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вышел приказ НКАП N 73с:</w:t>
      </w:r>
    </w:p>
    <w:p w14:paraId="3363DF7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директора завода 39 Абрамова построить по чертежам ГК С.В.И., с необходимыми частями для статиспытаний, 2 опытных самолета Ил-6 (модификация Ил-4) с М-90 и выпустить их на заводские летные испытания: 1-й - 1-го июня 1943, 2-й 1-го июля 1943.</w:t>
      </w:r>
    </w:p>
    <w:p w14:paraId="19802E2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Ведущим заводом по Ил-6 определить завод 39</w:t>
      </w:r>
    </w:p>
    <w:p w14:paraId="657631F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Директору завода 39 части, построенные для статиспытаний, направить в Москву на завод 240 для проведения стат. испытаний не позднее 1 мая 1943 (1700,195).</w:t>
      </w:r>
    </w:p>
    <w:p w14:paraId="02673D8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B110E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в субботу на Ер-2 2М-30Б на заводах 134 и 500 состоялся второй полет по маршруту Москва - Казань - Москва. Через 1:20 - прервали из-за зятяжеления правого винта. 7 летали у земли и сделали 11 полетов для тренировки летчиков НИИ ВВС (Нюхтиков, Жданов, Ашатков, Холод) из-за погоды (1458,11).</w:t>
      </w:r>
    </w:p>
    <w:p w14:paraId="1CE16C9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FE06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года закончились эксплуатационные испытания самолета Пе-8 4М-30Б №42038 в 45-й дивизии АДД, которые проходили по программе опытной эксплуатации с 6 ноября 1942 года. За этот период было выполнено 35 полетов, из них два полета на боевое задание. За время опытно-боевой эксплуатации по причинам различных дефектов было заменено три двигателя М-30Б. Основные дефекты двигателей были в основном производственно-технологического характера, сопровождавшиеся поломками элементов и агрегатов двигателя. На основе испытаний была дана удовлетворительная оценка работе М-30Б на Пе-8. В заключении к акту по испытаниям отмечалось: "В процессе эксплуатации М-ЗОБ на самолете Пе-8 работал удовлетворительно на всем диапазоне высот до 9000 м.</w:t>
      </w:r>
    </w:p>
    <w:p w14:paraId="6F21B44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Двигатели могут быть рекомендованы в серийное производство для самолета Пе-8. Устранить все дефекты, выявленные в опытной эксплуатации" (7685).</w:t>
      </w:r>
    </w:p>
    <w:p w14:paraId="7B0ECDB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F75E2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в Кратово закончили гос. испытания Пе-8 (ТБ-7) с дизелем М-30Б и винтом ВИШ-24 N 42038, которые начались в ноябре 1942 (1103,103).</w:t>
      </w:r>
    </w:p>
    <w:p w14:paraId="09E46C5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1E165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закончилась опытная эксплуатация М-30Б на Пе-8 (ТБ-7) N 42038 22 завода в 45 АД ДД, которая велась с 6 ноября 1942 (995,1).</w:t>
      </w:r>
    </w:p>
    <w:p w14:paraId="6C4BB6F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B67171"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6 февраля</w:t>
      </w:r>
      <w:r w:rsidRPr="00D03F3E">
        <w:rPr>
          <w:rFonts w:ascii="Times New Roman" w:hAnsi="Times New Roman"/>
          <w:color w:val="000000" w:themeColor="text1"/>
          <w:sz w:val="16"/>
          <w:szCs w:val="16"/>
        </w:rPr>
        <w:t xml:space="preserve"> в 1943 году завершились (начались 6 ноября 1942 года) испытания по программе опытной эксплуатации транспортного самолета особого назначения </w:t>
      </w:r>
      <w:hyperlink r:id="rId54" w:tgtFrame="_blank" w:history="1">
        <w:r w:rsidRPr="00D03F3E">
          <w:rPr>
            <w:rFonts w:ascii="Times New Roman" w:hAnsi="Times New Roman"/>
            <w:color w:val="000000" w:themeColor="text1"/>
            <w:sz w:val="16"/>
            <w:szCs w:val="16"/>
          </w:rPr>
          <w:t xml:space="preserve">«ПЕ-8ОН». </w:t>
        </w:r>
      </w:hyperlink>
      <w:r w:rsidRPr="00D03F3E">
        <w:rPr>
          <w:rFonts w:ascii="Times New Roman" w:hAnsi="Times New Roman"/>
          <w:color w:val="000000" w:themeColor="text1"/>
          <w:sz w:val="16"/>
          <w:szCs w:val="16"/>
        </w:rPr>
        <w:t xml:space="preserve">Возможность использовать дальний бомбардировщик </w:t>
      </w:r>
      <w:hyperlink r:id="rId55" w:tgtFrame="_blank" w:history="1">
        <w:r w:rsidRPr="00D03F3E">
          <w:rPr>
            <w:rFonts w:ascii="Times New Roman" w:hAnsi="Times New Roman"/>
            <w:color w:val="000000" w:themeColor="text1"/>
            <w:sz w:val="16"/>
            <w:szCs w:val="16"/>
          </w:rPr>
          <w:t xml:space="preserve">«Пе-8» </w:t>
        </w:r>
      </w:hyperlink>
      <w:r w:rsidRPr="00D03F3E">
        <w:rPr>
          <w:rFonts w:ascii="Times New Roman" w:hAnsi="Times New Roman"/>
          <w:color w:val="000000" w:themeColor="text1"/>
          <w:sz w:val="16"/>
          <w:szCs w:val="16"/>
        </w:rPr>
        <w:t>для трансокеанских перелетов была успешно доказана в мае 1942, когда советская правительственная делегация была доставлена в США на борту этого самолета, после чего он благополучно вернулся в Москву. Возможно, что один из двух построенных «Пе-8 ОН» был использован для полета И.Сталина в Тегеран на знаменитую конференцию глав союзных держав. «ТБ-7» («Пе-8 ОН» выпуска 1944 года были с дизелями «М-30Б». Первые две машины были выпущены в варианте самолетов предназначенных для специальных пассажирских перевозок – «Пе-8ОН». После полета Молотова на стандартном «ТБ-7», полагая, что длительные перелеты потребуется совершать и в последующие годы войны было предложено проработать вариант переоборудования «ТБ-7» в пассажирский самолет на 12-14 человек, использовав для этого фюзеляж и бомбовой отсек в центроплане, сохранив в то же время мощное оборонительное вооружение базовой машины. В ОКБ с интересом отнеслись к новой работе, ведь шел 1943 год, середина воины, а тут дают задание на почти пассажирскую машину. Разместить в нужном количестве нормальные пассажирские кресла в довольно узком фюзеляже не представлялось возможным, и ОКБ предложило вместо металлических скамеек, имевшихся в отсеке за центропланом, установить вдоль бортов два мягких дивана, позволявших с достаточным комфортом разместить шесть пассажиров. В середине центроплана - между его лонжеронами, там где устанавливались бомбодержатели для «ФАБ 100», разместили еще два мягких дивана, а над ними, две откидные полки, расположив их вдоль фюзеляжа по типу мягких железнодорожных вагонов. На нижних диванах могли удобно размещаться четыре пассажира. Все металлические элементы конструкции и выступающие части обоих помещении должны были покрываться звукоизолирующими материалами и обтягиваться отделочной тканью (15032).</w:t>
      </w:r>
    </w:p>
    <w:p w14:paraId="052AC02A" w14:textId="77777777" w:rsidR="00E53102" w:rsidRPr="00D03F3E" w:rsidRDefault="00E53102" w:rsidP="00D03F3E">
      <w:pPr>
        <w:spacing w:after="0" w:line="240" w:lineRule="auto"/>
        <w:jc w:val="both"/>
        <w:rPr>
          <w:rFonts w:ascii="Times New Roman" w:hAnsi="Times New Roman"/>
          <w:color w:val="000000" w:themeColor="text1"/>
          <w:sz w:val="16"/>
          <w:szCs w:val="16"/>
        </w:rPr>
      </w:pPr>
    </w:p>
    <w:p w14:paraId="541AC30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Ли Лисачев закончил испытания по опытной эксплуатации М-30Б на Пе-8 (ТБ-7) N 42038 22 завода в 45 АД ДД, которые проходили с 6 ноября 1942.</w:t>
      </w:r>
    </w:p>
    <w:p w14:paraId="21B7DC9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16 февраля 1943 Командующий АДД гл Головин утвердил Акт по результатам </w:t>
      </w:r>
    </w:p>
    <w:p w14:paraId="2596AE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 Исполнители:</w:t>
      </w:r>
    </w:p>
    <w:p w14:paraId="20A7B0D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си 45 АД ДД и/м Ануров</w:t>
      </w:r>
    </w:p>
    <w:p w14:paraId="5C379E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 к-р эск. 45 АД ДД м Лисачев</w:t>
      </w:r>
    </w:p>
    <w:p w14:paraId="5CBD7EB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 НИИ ВВС и/м Шибаев</w:t>
      </w:r>
    </w:p>
    <w:p w14:paraId="6CB3316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 и эск. И/к Андреев</w:t>
      </w:r>
    </w:p>
    <w:p w14:paraId="317B57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Результат испытаний:</w:t>
      </w:r>
    </w:p>
    <w:p w14:paraId="63D6833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 Пе-8 с 4хМ-30Б № 42038 22 завода прибыл на испытания в 45 АД ДД 6 ноября 1942. Испытание закончено 6 февраля 1943. В качестве охлаждающей жидкости исп. Антифриз, масло МЗС и МС, горючее тракторный керосин. Было выполнено 35 полетов, из них 2 для выполнения боевых задач. За время опытно-боевой эксплоатации по причинам различных дефектов было заменено три мотора (№№ 375, 371, 365).</w:t>
      </w:r>
    </w:p>
    <w:p w14:paraId="37747D7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 № 375 - поломка коренной опоры кулачкового вала выхлопа правого блока</w:t>
      </w:r>
    </w:p>
    <w:p w14:paraId="0AFD353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 № 371 - разрушение уплотнительных колец и прогара шестого поршня правого блока</w:t>
      </w:r>
    </w:p>
    <w:p w14:paraId="2EEE43D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 № 365 - падение давления масла в магистрали (трещина в алюминиевой заглушке третьей мотылевой шайбы коленчатого вала)</w:t>
      </w:r>
    </w:p>
    <w:p w14:paraId="05AC401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Другиме основные дефекты мотором М-30Б:</w:t>
      </w:r>
    </w:p>
    <w:p w14:paraId="3C231DF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трещины в головке топливного насоса ТН-2 мотора № 367</w:t>
      </w:r>
    </w:p>
    <w:p w14:paraId="2A41CA1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поломка четырех пружин плунжеров этого же мотора</w:t>
      </w:r>
    </w:p>
    <w:p w14:paraId="38F214F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продавливание шарика и пружинки обратного клапана штуцера заправки масляной магистрали при запрпвке маслом (мотор № 389)</w:t>
      </w:r>
    </w:p>
    <w:p w14:paraId="3A1B2E4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поломка рессоры привода топливной помпы на моторе № 362</w:t>
      </w:r>
    </w:p>
    <w:p w14:paraId="3FCC59B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Общий вес самолета - 22761 кг</w:t>
      </w:r>
    </w:p>
    <w:p w14:paraId="1D9B03E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Полетный вес: 28000, 31000, 34000.</w:t>
      </w:r>
    </w:p>
    <w:p w14:paraId="5EF235E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Заключение:</w:t>
      </w:r>
    </w:p>
    <w:p w14:paraId="0D0B79A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 процессе опытной эксплоатации моторы М-30Б на с-те Пе-8 работали удовлетворительно на всем диапазоне высот до 9000 м. Моторы могут быть рекомендованы в серийное производство для самолета Пе-8</w:t>
      </w:r>
    </w:p>
    <w:p w14:paraId="0C45AF4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...устранить все дефекты, выявленные в опытной эксплоатации и указанные в выводах настоящего отчета</w:t>
      </w:r>
    </w:p>
    <w:p w14:paraId="686189C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Ги АДД гм иас </w:t>
      </w:r>
    </w:p>
    <w:p w14:paraId="00EED15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 45 АД ДД п Лебедев (995,1)</w:t>
      </w:r>
    </w:p>
    <w:p w14:paraId="64E0AAE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0831CA"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76ACC3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29AF99"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6 февраля</w:t>
      </w:r>
      <w:r w:rsidRPr="00D03F3E">
        <w:rPr>
          <w:rFonts w:ascii="Times New Roman" w:hAnsi="Times New Roman"/>
          <w:color w:val="000000" w:themeColor="text1"/>
          <w:sz w:val="16"/>
          <w:szCs w:val="16"/>
        </w:rPr>
        <w:t xml:space="preserve"> в 1943 году Образовано ОАО "Юргинский машиностроительный завод". ОАО "Юргинский машиностроительный завод" является градообразующим предприятием, строительство которого было начато во время ВОВ. 6 февраля 1943 года машиностроительный завод вступил в строй действующих предприятий. Сегодня ОАО "Юрмаш" - это предприятие, состоящие из комплекса заводов с полным производственным циклом - от выплавки стали до выпуска готовых машин. На предприятии разработаны и доведены до серийного производства артиллерийские системы, оборудование ракетно-космических стартов, подъемно-транспортная техника, маслоотжимные агрегаты различной модификации, погрузчики-экскаваторы, шахтное оборудование и другие изделия производственно-технического назначения (15032).</w:t>
      </w:r>
    </w:p>
    <w:p w14:paraId="45427B51" w14:textId="77777777" w:rsidR="00E53102" w:rsidRPr="00D03F3E" w:rsidRDefault="00E53102" w:rsidP="00D03F3E">
      <w:pPr>
        <w:spacing w:after="0" w:line="240" w:lineRule="auto"/>
        <w:jc w:val="both"/>
        <w:rPr>
          <w:rFonts w:ascii="Times New Roman" w:hAnsi="Times New Roman"/>
          <w:color w:val="000000" w:themeColor="text1"/>
          <w:sz w:val="16"/>
          <w:szCs w:val="16"/>
        </w:rPr>
      </w:pPr>
    </w:p>
    <w:p w14:paraId="22819A2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вышло Постановление ГКО № 2826 О строительстве артиллерийского завода № 75 НКВ.РГАНИР, Фонд ГКО, д. 86, лл. 35-43, 44-50 (11012).</w:t>
      </w:r>
    </w:p>
    <w:p w14:paraId="6102DDA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FEE8B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вышло Постановление ГКО № 2827 О плане комплектной сдачи боеприпасов на февраль 1943 года.РГАНИР, Фонд ГКО, д. 86, лл. 51-55, 56-66 (11012).</w:t>
      </w:r>
    </w:p>
    <w:p w14:paraId="5F32E7D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F5B6E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вышло Постановление ГКО № 2828 О плане производства и поставок артиллерийского и стрелкового вооружения и военных приборов на февраль месяц 1943 г.РГАНИР, Фонд ГКО, д. 86, лл. 67-78, 79-87 (11012).</w:t>
      </w:r>
    </w:p>
    <w:p w14:paraId="7377209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2A758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вышло Постановление ГКО № 2829 О плане производства минометов на февраль месяц 1043 года.РГАНИР, Фонд ГКО, д. 86, лл. 88-94, 95-114 (11012).</w:t>
      </w:r>
    </w:p>
    <w:p w14:paraId="43EAD3A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C71FF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вышло Постановление ГКО № 2830 О плане производства и поставок пулеметов-пистолетов Шпагина в феврале 1943 года.РГАНИР, Фонд ГКО, д. 86, лл. 115-119, 120-126 (11012).</w:t>
      </w:r>
    </w:p>
    <w:p w14:paraId="4C22F0B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79AB7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вышло Постановление ГКО № 2831 О т. Штыкове.РГАНИР, Фонд ГКО, д. 86, лл. 127 (11012).</w:t>
      </w:r>
    </w:p>
    <w:p w14:paraId="1DB2FDC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BE41C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вышло Постановление ГКО № 2832 О плане производства важнейших химикатов на февраль 1943 г. для боеприпасов и народного хозяйства.РГАНИР, Фонд ГКО, д. 86, лл. 128-131 (11012).</w:t>
      </w:r>
    </w:p>
    <w:p w14:paraId="7BEF9AD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13C84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вышло Постановление ГКО № 2833 Об особых мерах обеспечения бесперебойной работы пороховых заводов.РГАНИР, Фонд ГКО, д. 86, лл. 132-136, 137-144 (11012).</w:t>
      </w:r>
    </w:p>
    <w:p w14:paraId="3BF8139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14EEC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вышло Постановление ГКО № 2834 О добыче нефти и выработке нефтепродуктов в феврале 1943 года.РГАНИР, Фонд ГКО, д. 86, лл. 145-148, 149-</w:t>
      </w:r>
      <w:r w:rsidRPr="00D03F3E">
        <w:rPr>
          <w:rFonts w:ascii="Times New Roman" w:hAnsi="Times New Roman"/>
          <w:color w:val="000000" w:themeColor="text1"/>
          <w:sz w:val="16"/>
          <w:szCs w:val="16"/>
        </w:rPr>
        <w:lastRenderedPageBreak/>
        <w:t>150 (11012).</w:t>
      </w:r>
    </w:p>
    <w:p w14:paraId="391967D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B08BC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вышло Постановление ГКО № 2835 О плане добычи угля и сланцев на февраль 1943 г.РГАНИР, Фонд ГКО, д. 86, лл. 151-153, 154-155 (11012).</w:t>
      </w:r>
    </w:p>
    <w:p w14:paraId="75EE21E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96D2D6"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вышло Постановление ГКО № 2836 О монтаже агрегатов № 5 и 6 Волховской гидроэлектростанции. (7079, 156-158,159).</w:t>
      </w:r>
    </w:p>
    <w:p w14:paraId="74233FC5"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525537"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пущен в строй Челябинский металлургический комбинат (4962).</w:t>
      </w:r>
    </w:p>
    <w:p w14:paraId="7C9BE124"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190AD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было закончено строительство Челябинского меткомбината (1348,201).</w:t>
      </w:r>
    </w:p>
    <w:p w14:paraId="72C13E7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85E75E"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6 февраля</w:t>
      </w:r>
      <w:r w:rsidRPr="00D03F3E">
        <w:rPr>
          <w:rFonts w:ascii="Times New Roman" w:hAnsi="Times New Roman"/>
          <w:color w:val="000000" w:themeColor="text1"/>
          <w:sz w:val="16"/>
          <w:szCs w:val="16"/>
        </w:rPr>
        <w:t xml:space="preserve"> в 1943 году завершение строительства первой очереди Челябинского металлургического комбината (15032).</w:t>
      </w:r>
    </w:p>
    <w:p w14:paraId="7E0A0265" w14:textId="77777777" w:rsidR="00E53102" w:rsidRPr="00D03F3E" w:rsidRDefault="00E53102" w:rsidP="00D03F3E">
      <w:pPr>
        <w:spacing w:after="0" w:line="240" w:lineRule="auto"/>
        <w:jc w:val="both"/>
        <w:rPr>
          <w:rFonts w:ascii="Times New Roman" w:hAnsi="Times New Roman"/>
          <w:color w:val="000000" w:themeColor="text1"/>
          <w:sz w:val="16"/>
          <w:szCs w:val="16"/>
        </w:rPr>
      </w:pPr>
    </w:p>
    <w:p w14:paraId="610AE9A1"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7AB1B8F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113EF6"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6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23A92070"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6 февраля наши войска вели наступательные бои на прежних направлениях.</w:t>
      </w:r>
    </w:p>
    <w:p w14:paraId="2A4E1D97"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Ростова-на-Дону наши войска заняли ряд опорных пунктов противника. Н-ская моторизованная часть стремительно ворвалась на одну железнодорожную станцию и захватила немецкий воинский эшелон с танками, автомашинами, боеприпасами и снаряжением. На другом участке наши подразделения овладели двумя крупными населёнными пунктами. Уничтожено две роты немецкой пехоты. Захвачены пленные и трофеи.</w:t>
      </w:r>
    </w:p>
    <w:p w14:paraId="11D1E67A"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Красного Лимана наши войска вели наступательные операции.</w:t>
      </w:r>
    </w:p>
    <w:p w14:paraId="3C8387C6"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боях за один крупный населенный пункт разгромлен немецкий пехотный батальон. Захвачено 4 танка, 7 орудий, 4 миномёта, 16 пулемётов, 25 автомашин и другое военное имущество. Истреблено свыше 200 вражеских солдат и офицеров. Взято в плен 115 немцев. Наши подвижные отряды, действующие во вражеском тылу, истребили три немецких гарнизона в крупных населённых пунктах и захватили автоколонну противника с горючим и продовольствием.</w:t>
      </w:r>
    </w:p>
    <w:p w14:paraId="1CFC8C47"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Восточнее Курска наши войска вели наступательные бои. Части Н-ского соединения овладели рядом населённых пунктов и захватили до 300 пленных. Окружённый в городе Старый Оскол гарнизон противника за последние дни несколько раз предпринимал отчаянные попытки вырваться из города. Наши части отбили все атаки гитлеровцев и нанесли им тяжёлые потери. Вчера нашими частями окружённый гарнизон противника был уничтожен и частично пленён.</w:t>
      </w:r>
    </w:p>
    <w:p w14:paraId="1F9E2F00"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Витебской области, за две недели пустил под откос 2 эшелона с войсками противника и 3 состава с вооружением и боеприпасами. Группа партизан другого отряда организовала в конце января крушение эшелона с военными грузами. Выведены из строя паровоз и 20 вагонов. Движение на этом участке железной дороги было прервано.</w:t>
      </w:r>
    </w:p>
    <w:p w14:paraId="127DD71D"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командир 277 полка 83 немецкой пехотной дивизии, бывший начальник немецкого гарнизона города Великие Луки, подполковник фон Засс заявил: «Осаждённый немецкий гарнизон в городе Великие Луки полностью уничтожен. Остатки гарнизона сложили оружие. В городе были большие склады боеприпасов и продовольствия, но в ходе наступления русские разрезали город на несколько частей, между которыми отсутствовала какая бы то ни было связь. Командир 83 дивизии генерал Шерер от имени Гитлера ежедневно повторял нам один и тот же приказ: «Держитесь до последнего человека». При этом Щерер уверял, что на помощь гарнизону идут крупные силы. Однако помощь так и не пришла. Желая приободрить упавших духом солдат, Шерер приказал наградить железным крестом второго классавсех солдат гарнизона, а унтер-офицеров — железными крестами первого класса. Мне лично на самолёте доставили рыцарский крест. Эти награды не вызвали энтузиазма. Напротив, солдаты были крайне возмущены, что их заставляют бессмысленно жертвовать своей жизнью. Убедившись, что мы обречены на гибель, я со своим штабом, под давлением солдат, сдался в плен. Вместе со мной сдались 56 офицеров».</w:t>
      </w:r>
    </w:p>
    <w:p w14:paraId="00B22B49"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югославских партизан проникла на нефтяные промыслы в Буяновице близ Загреба и истребила немецкую охрану. Партизаны с помощью инженеров взорвали промышленные сооружения и уничтожили всё оборудование нефтепромыслов.» (15032).</w:t>
      </w:r>
    </w:p>
    <w:p w14:paraId="4E334864" w14:textId="77777777" w:rsidR="00225569" w:rsidRPr="00D03F3E" w:rsidRDefault="00225569" w:rsidP="00D03F3E">
      <w:pPr>
        <w:spacing w:after="0" w:line="240" w:lineRule="auto"/>
        <w:jc w:val="both"/>
        <w:rPr>
          <w:rFonts w:ascii="Times New Roman" w:hAnsi="Times New Roman"/>
          <w:color w:val="000000" w:themeColor="text1"/>
          <w:sz w:val="16"/>
          <w:szCs w:val="16"/>
        </w:rPr>
      </w:pPr>
    </w:p>
    <w:p w14:paraId="206CF900"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6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0F993DAF"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на Украине наши войска в результате ожесточённых боёв овладели городом и железнодорожной станцией Лисичанск, городом и железнодорожной станцией Барвенково, городом и железнодорожной станцией Баланлея.</w:t>
      </w:r>
    </w:p>
    <w:p w14:paraId="04E01D66"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Ростова-на-Дону наши войска после упорного боя овладели городом и железнодорожным узлом Батайск и крупным населённым пунктом Койсуг.</w:t>
      </w:r>
    </w:p>
    <w:p w14:paraId="24D475B9"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продолжая успешно развивать наступления, вышли на побережье Азовского моря и заняли город и порт Ейск. Наши войска южнее и юго-восточнее Ейска заняли районный центр Ново-Минская, крупные населённые пункты Ясенка, Копанская, Привольная, Чепегинская, Переяславская.</w:t>
      </w:r>
    </w:p>
    <w:p w14:paraId="05B4FF5F"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и юго-западнее Старого Оскола наши войска заняли районные центры Больше-Троицкое, Велико-Михайловка, Мантурово.</w:t>
      </w:r>
    </w:p>
    <w:p w14:paraId="0BB585BB"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продолжали вести бои на прежних направлениях.</w:t>
      </w:r>
    </w:p>
    <w:p w14:paraId="4DD7FC79"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февраля частями нашей авиации на различных участках фронта уничтожено или повреждено 8 немецких танков, до 200 автомашин с войсками и грузами, подавлен огонь 6 артиллерийских батарей, взорвано 6 складов боеприпасов, рассеяно и частью уничтожено до батальона пехоты противника.</w:t>
      </w:r>
    </w:p>
    <w:p w14:paraId="71FD87DE"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Ростова-на-Дону наши войска вели успешное наступление и заняли ряд населённых пунктов. Захвачены большие трофеи и пленные. В районе одного из населённых пунктов бойцы Н-ской части уничтожили до двух рот немецкой пехоты и захватили 19 орудий, 33 пулемёта, 112 автомашин с различными грузами, 72 мотоцикла, 7 складов с боеприпасами и продовольствием.</w:t>
      </w:r>
    </w:p>
    <w:p w14:paraId="26524EA7"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Части Н-ского соединения, овладев городом и железнодорожной станцией Изюм, развивали наступление и заняли ряд населённых пунктов. В районе одного из этих населённых пунктов наши бойцы разгромили полк немецкой пехоты, спешно брошенный противником на помощь своим разбитым частям. Захвачены 5 танков, в том числе 4 тяжёлых, 7 орудий, самоходная пушка и 48 автомашин.</w:t>
      </w:r>
    </w:p>
    <w:p w14:paraId="3EA03203"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Купянска части Н-ского гвардейского соединения в упорных боях станками и пехотой противника выбили гитлеровцев из нескольких населённых пунктов. Подбито и сожжено 4 танка, 2 бронемашины, уничтожено 35 автомашин с вражескими войсками. На одном участке немцы предприняли контратаку, но были отброшены, оставив на поле боя свыше 300 трупов своих солдат и офицеров.</w:t>
      </w:r>
    </w:p>
    <w:p w14:paraId="22AB72A9"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Восточнее Курска наши войска продолжали успешное наступление и освободили от немецко-фашистских захватчиков много населённых пунктов. Бойцы Н-ской части захватили у немцев 3 танка, 27 орудий, 13 миномётов, 43 пулемёта, 3 склада с военным имуществом и другие трофеи. В районе одного села немцы построили ряд дзотов и противотанковых препятствий. Наши танкисты по просёлочным дорогам обошли это село, а затем с запада атаковали гитлеровцев. Уничтожено более 200 немецких солдат и офицеров и 11 противотанковых орудий. Взяты пленные.</w:t>
      </w:r>
    </w:p>
    <w:p w14:paraId="265A8182"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«Смерть фашизму», действующего в Смоленской области, устроили засады на дороге, по которой проходил немецкий кавалерийский полк. Советские патриоты близко подпустили немцев и открыли по ним ружейно-пулемётный огонь. Десятки гитлеровцев были убиты, а остальные повернули обратно. В это время партизаны-пулемётчики перекрёстным огнём обрушились на отступавших немцев. На дороге осталось свыше 100 убитых немецких солдат и офицеров.</w:t>
      </w:r>
    </w:p>
    <w:p w14:paraId="79270FF8"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житомирской немецкой полиции подполковник Эмлер писал 18 декабря 1942 года командиру 586 немецкого пехотного полка Вальтеру Домаршу: «...Я уже несколько дней нахожусь на Украине. Здесь тревожное оживление. Партизаны почти каждый день появляются то здесь, то там. Мы ведём довольно сильные бои с ними и уже понесли очень большие потери. Только вчера я потерял 6 офицеров и около 50 солдат из роты, которая вела бой в одном районе...».</w:t>
      </w:r>
    </w:p>
    <w:p w14:paraId="6A9CA2B0"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немецко-венгерских мерзавцев в селе Екатериновка, Воронежской области: «Как только немцы и венгры заняли наше село, для советских граждан началась бесправная и беспросветная жизнь. Бандиты ограбили всех жителей и выселили из домов. Каждый житель под страхом смерти должен был носить повязку с номером. Оккупанты заставляли всех мужчин и женщин работать на очистке дорог по 16—18 часов в сутки. Невыход на работу карался смертью. За малейшее опоздание пороли плетьми. Фашисты разгромили нашу школу, в которой обучалось 420 детей. Учительниц они заставили работать на солдатской кухне, таскать воду, мыть посуду и стирать солдатам бельё. Изверги замучили и убили учительницу Екатерину Комгорову, расстреляли Анастасию Пилипенко, Евдокию Прорешную, Николая Прохорова, Андрея Голоскова и других жителей села». Акт подписали: председатель сельсовета 3.Прокофьев, колхозники Е.Ковалёва, С.Прохоров, С.Прорешный, Е.Олемская, учительницы Н.Попова, М.Красовская, Р.Яковлева и другие жители села.».</w:t>
      </w:r>
    </w:p>
    <w:p w14:paraId="161A350C"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0671D18C"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города Лисичанск, Барвенково, Балаклея, Батайск,Ейск.</w:t>
      </w:r>
    </w:p>
    <w:p w14:paraId="5780A693"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на Украине наши войска в результате ожесточённых боёв овладели городом и железнодорожной станцией Лисичанск, городом и железнодорожной станцией Барвенково, городом и железнодорожной станцией Балаклея.</w:t>
      </w:r>
    </w:p>
    <w:p w14:paraId="7D833083"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Ростова-на-Дону наши войска после упорного боя овладели городом и железнодорожным узлом Батайск.</w:t>
      </w:r>
    </w:p>
    <w:p w14:paraId="2CE90D00"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продолжая успешно развивать наступление, вышли на побережье Азовского моря и заняли город и порт Ейск.» (15032).</w:t>
      </w:r>
    </w:p>
    <w:p w14:paraId="03A472C6" w14:textId="77777777" w:rsidR="00225569" w:rsidRPr="00D03F3E" w:rsidRDefault="00225569" w:rsidP="00D03F3E">
      <w:pPr>
        <w:spacing w:after="0" w:line="240" w:lineRule="auto"/>
        <w:jc w:val="both"/>
        <w:rPr>
          <w:rFonts w:ascii="Times New Roman" w:hAnsi="Times New Roman"/>
          <w:color w:val="000000" w:themeColor="text1"/>
          <w:sz w:val="16"/>
          <w:szCs w:val="16"/>
        </w:rPr>
      </w:pPr>
    </w:p>
    <w:p w14:paraId="56D3CB21" w14:textId="77777777" w:rsidR="00225569" w:rsidRPr="00D03F3E" w:rsidRDefault="0022556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6 февраля</w:t>
      </w:r>
      <w:r w:rsidRPr="00D03F3E">
        <w:rPr>
          <w:rFonts w:ascii="Times New Roman" w:hAnsi="Times New Roman"/>
          <w:color w:val="000000" w:themeColor="text1"/>
          <w:sz w:val="16"/>
          <w:szCs w:val="16"/>
        </w:rPr>
        <w:t xml:space="preserve"> в 1943 году директива Ставки ВГК Северо-Западному фронту о подготовке наступательной операции с целью ликвидации демянского плацдарма вермахта (15032).</w:t>
      </w:r>
    </w:p>
    <w:p w14:paraId="1624897B" w14:textId="77777777" w:rsidR="00225569" w:rsidRPr="00D03F3E" w:rsidRDefault="00225569" w:rsidP="00D03F3E">
      <w:pPr>
        <w:spacing w:after="0" w:line="240" w:lineRule="auto"/>
        <w:jc w:val="both"/>
        <w:rPr>
          <w:rFonts w:ascii="Times New Roman" w:hAnsi="Times New Roman"/>
          <w:color w:val="000000" w:themeColor="text1"/>
          <w:sz w:val="16"/>
          <w:szCs w:val="16"/>
        </w:rPr>
      </w:pPr>
    </w:p>
    <w:p w14:paraId="12BAFB05"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Гитлер дал приказ немецким армиям Манштейна отступать к реке Миус (4962).</w:t>
      </w:r>
    </w:p>
    <w:p w14:paraId="2A3C9F4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B7EE1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February 6. 1943 The Red Army reaches the Sea of Azov, cutting off German Army Group (1052).</w:t>
      </w:r>
    </w:p>
    <w:p w14:paraId="1535CD2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C0B770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КА вышла к Азовскому морю у Ейска (2262), отрезав германскую группировку (1052) А (2262).</w:t>
      </w:r>
    </w:p>
    <w:p w14:paraId="6EE2340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F33E1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г. вышел ПРИКАЗ № 0105 О ПОРЯДКЕ АДРЕСОВАНИЯ КОРРЕСПОНДЕНЦИИ В КРАСНОЙ АРМИИ И ПРАВИЛАХ СНОШЕНИЙ ВОЙСКОВЫХ ЧАСТЕЙ И СОЕДИНЕНИЙ С ГРАЖДАНСКИМИ ОРГАНИЗАЦИЯМИ И ЧАСТНЫМИ ЛИЦАМИ</w:t>
      </w:r>
    </w:p>
    <w:p w14:paraId="6CA11BA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Существующая система адресования секретной корреспонденции с указанием пунктов дислокации, а также простой корреспонденции по номерам полевых почтовых станций и условным номерам частей не обеспечивает в должной мере скрытности дислокации войск и вместе с тем усложняет и замедляет доставку корреспонденции адресатам.</w:t>
      </w:r>
    </w:p>
    <w:p w14:paraId="7BAF54F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Установленный порядок сношений войсковых частей и соединений с гражданскими организациями и частными лицами, по действительному наименованию частей, дает возможность сосредоточивать в этих организациях сведения о дислокации войск.</w:t>
      </w:r>
    </w:p>
    <w:p w14:paraId="105AC26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целью скрыть истинные наименования частей и соединений Красной Армии, а также для обеспечения большей секретности дислокации войск и упорядочения адресования корреспонденции</w:t>
      </w:r>
    </w:p>
    <w:p w14:paraId="04E1827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приказываю:</w:t>
      </w:r>
    </w:p>
    <w:p w14:paraId="5A57429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Установить для всех частей и соединений Красной Армии номера полевых почт, которые должны являться официальным наименованием части и соединения для сношений с гражданскими организациями и частными лицами, а также постоянным несменяемым адресом для направления простой корреспонденции как служебной, так и военнослужащим.</w:t>
      </w:r>
    </w:p>
    <w:p w14:paraId="60A32EA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Организационному управлению Генерального штаба к 15 февраля с. г. присвоить централизованным порядком всем отдельным частям, соединениям и учреждениям действующей армии, а также всем строевым частям и соединениям, дислоцируемым на территории военных округов, номера полевых почт.</w:t>
      </w:r>
    </w:p>
    <w:p w14:paraId="6F4221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Вновь формируемым частям и соединениям номера полевых почт присваивать одновременно с отдачей директивы о формировании.</w:t>
      </w:r>
    </w:p>
    <w:p w14:paraId="57063B4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последующем назначение или изменение номеров полевых почт производить только централизованным порядком Организационным управлением Генерального штаба.</w:t>
      </w:r>
    </w:p>
    <w:p w14:paraId="251C2A6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Учреждениям и заведениям Красной Армии, постоянно дислоцируемым на территории военных округов, номера полевых почт не присваивать. При всех видах сношений и переписки эти учреждения и заведения называются по их действительным наименованиям.</w:t>
      </w:r>
    </w:p>
    <w:p w14:paraId="449423B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С момента получения номера полевой почты запретить командирам частей, соединений и учреждений вести переписку с гражданскими организациями и частными лицами по действительному наименованию части. Для этой цели пользоваться номером полевой почты, как официальным наименованием части, имеющим юридическую силу.</w:t>
      </w:r>
    </w:p>
    <w:p w14:paraId="022BCD7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При секретной переписке, а также при личном общении военнослужащих и должностных лиц, части, соединения и учреждения называть только по действительным наименованиям.</w:t>
      </w:r>
    </w:p>
    <w:p w14:paraId="65765D3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Во всех отдельных частях, соединениях и учреждениях, которым будут присвоены номера полевых почт, помимо штампов и печатей по действительному наименованию, иметь штампы и печати по номерам полевых почт.</w:t>
      </w:r>
    </w:p>
    <w:p w14:paraId="08E2108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Изготовление штампов и печатей производить в соответствии с приказом НКО № 155 1942 г.*</w:t>
      </w:r>
    </w:p>
    <w:p w14:paraId="63A0A87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Штабам фронтов, армий, дивизий и бригад штампы и печати изготовить централизованно распоряжением Генерального штаба.</w:t>
      </w:r>
    </w:p>
    <w:p w14:paraId="256CAC0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Секретную и совершенно секретную корреспонденцию адресовать и направлять в соответствии с прилагаемой Инструкцией.</w:t>
      </w:r>
    </w:p>
    <w:p w14:paraId="550FB8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Начальнику Канцелярии НКО обеспечить прием всей секретной и совершенно секретной корреспонденции, направляемой главными и центральными управлениями НКО, штабами фронтов, округов, отдельными частями и соединениями, ее сортировку и направление адресатам.</w:t>
      </w:r>
    </w:p>
    <w:p w14:paraId="5723C09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 этим реорганизовать отдел почтовой связи Канцелярии НКО, укрепив его командным составом.</w:t>
      </w:r>
    </w:p>
    <w:p w14:paraId="11A005C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Начальнику Главного управления связи Красной Армии к 1 марта с. г. разработать в соответствии с настоящим приказом инструкцию по работе пунктов сбора донесений штабов фронтов и армий. Совместно с Народным комиссариатом связи и Народным комиссариатом внутренних дел определить взаимоотношения фельдсвязи НКВД, спецсвязи НКС со штабами частей и соединений по приему и направлению секретной корреспонденции в Красную Армию.</w:t>
      </w:r>
    </w:p>
    <w:p w14:paraId="430B2B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Адресование простой служебной корреспонденции, воинских грузов по железной дороге и водным путем, а также всех почтовых отправлений военнослужащим производить исключительно по номерам полевых почт. При адресовании и направлении корреспонденции строго руководствоваться прилагаемой Инструкцией.</w:t>
      </w:r>
    </w:p>
    <w:p w14:paraId="1E9605D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Существующие полевые почтовые станции и полевые почтовые агентства частей и соединений реорганизовать в военно-почтовые станции, возложив на них функции по приему, выдаче и пересылке всех видов несекретных почтовых отправлений для полевых почт частей и соединений.</w:t>
      </w:r>
    </w:p>
    <w:p w14:paraId="7C6A41E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Начальнику Оргштатного управления Главупраформа совместно с Организационным управлением Генерального штаба и Главным управлением связи Красной Армии пересмотреть штатное расписание обеспеченности частей и соединений Красной Армии органами и учреждениями военно-полевой почты и упорядочить штаты для всех военно-полевых почтовых станций.</w:t>
      </w:r>
    </w:p>
    <w:p w14:paraId="136FE5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всех частях, которым будут назначены номера полевых почт, распоряжением командиров частей выделить войсковых почтальонов.</w:t>
      </w:r>
    </w:p>
    <w:p w14:paraId="46C47FE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Переход на новую систему адресования корреспонденции произвести с 1 апреля с. г.</w:t>
      </w:r>
    </w:p>
    <w:p w14:paraId="7B6C567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времени с 1 апреля по 15 мая с. г. корреспонденцию, адресованную по старой системе, т. е. по номерам ППС и условным номерам частей, от граждан и учреждений принимать и направлять в закрытых пост-пакетах до военно-почтовых баз.</w:t>
      </w:r>
    </w:p>
    <w:p w14:paraId="063D723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Приказ НКО 1942 г. № 0679 отменить.</w:t>
      </w:r>
    </w:p>
    <w:p w14:paraId="7E52716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Заместитель Народного комиссара обороны генерал армии ВАСИЛЕВСКИЙ </w:t>
      </w:r>
      <w:r w:rsidRPr="00D03F3E">
        <w:rPr>
          <w:rFonts w:ascii="Times New Roman" w:hAnsi="Times New Roman"/>
          <w:color w:val="000000" w:themeColor="text1"/>
          <w:sz w:val="16"/>
          <w:szCs w:val="16"/>
        </w:rPr>
        <w:t>(9844).</w:t>
      </w:r>
    </w:p>
    <w:p w14:paraId="3BD47D3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D38A74"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0B73733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16B34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1943 года было отправлено:</w:t>
      </w:r>
    </w:p>
    <w:p w14:paraId="6CE7B50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ПОСЛАНИЕ ОТ ПРЕМЬЕРА СТАЛИНА ПРЕМЬЕР-МИНИСТРУ г. УИНСТОНУ ЧЕРЧИЛЛЮ</w:t>
      </w:r>
    </w:p>
    <w:p w14:paraId="1017D2E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 3 февраля я получил Ваши послания по турецкому вопросу. Благодарю Вас за информацию, которую Вы дали по вопросу о переговорах с турецкими руководителями в Адане.</w:t>
      </w:r>
    </w:p>
    <w:p w14:paraId="7D021B1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По поводу Вашего заявления о том, что турки откликнулись бы на любой дружеский жест со стороны Советского Союза, я считаю уместным напомнить, что с нашей стороны по отношению к Турции как за несколько месяцев до начала советско-германской войны, так и после начала этой войны был сделан ряд заявлений, дружественный характер которых известен Британскому Правительству. Турки не реагировали на эти шаги, опасаясь, видимо, разгневать немцев. Можно предположить, что предлагаемый Вами жест встретит со стороны турок такой же прием.</w:t>
      </w:r>
    </w:p>
    <w:p w14:paraId="54D720C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Международное положение Турции остается довольно щекотливым. С одной стороны, Турция связана с СССР договором о дружбе и нейтралитете и с Великобританией — договором о взаимопомощи для сопротивления агрессии, а с другой стороны, она связана с Германией договором о дружбе, заключенным за три дня до нападения Германии на СССР. Мне не известно, как Турция думает в теперешних условиях совместить выполнение своих обязательств перед СССР и Великобританией с ее обязательствами перед Германией. Впрочем, если турки хотят сделать свои отношения с СССР более дружественными и тесными, пусть заявят об этом. Советский Союз в этом случае готов пойти навстречу туркам.</w:t>
      </w:r>
    </w:p>
    <w:p w14:paraId="5C10FB8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 моей стороны, разумеется, не будет возражений против Вашего заявления, что по вопросу об англо-турецкой встрече я получал от Вас информацию, хотя я не могу ее назвать полной</w:t>
      </w:r>
    </w:p>
    <w:p w14:paraId="128D912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Желаю всяческих успехов в предстоящем наступлении 1-й.и 8-й британских армий и американских войск в Северной Африке и скорого изгнания германо-итальянских войск с африканского побережья.</w:t>
      </w:r>
    </w:p>
    <w:p w14:paraId="5C075B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Примите мою благодарность за дружеское поздравление по случаю сдачи фельдмаршала Паулюса и успешного завершения ликвидации окруженных под Сталинградом вражеских войск (7430).</w:t>
      </w:r>
    </w:p>
    <w:p w14:paraId="21432E1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4BEB6B" w14:textId="77777777" w:rsidR="00225569"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60933126" w14:textId="77777777" w:rsidR="00225569" w:rsidRPr="00D03F3E" w:rsidRDefault="00225569"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D17160" w14:textId="771F12BF" w:rsidR="00E53102" w:rsidRPr="00D03F3E" w:rsidRDefault="00E53102"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bCs/>
          <w:color w:val="000000" w:themeColor="text1"/>
          <w:sz w:val="16"/>
          <w:szCs w:val="16"/>
        </w:rPr>
        <w:t>6 февраля</w:t>
      </w:r>
      <w:r w:rsidRPr="00D03F3E">
        <w:rPr>
          <w:rFonts w:ascii="Times New Roman" w:hAnsi="Times New Roman"/>
          <w:color w:val="000000" w:themeColor="text1"/>
          <w:sz w:val="16"/>
          <w:szCs w:val="16"/>
        </w:rPr>
        <w:t xml:space="preserve"> в 1943 году на аэродроме Уорти Даун под Винчестером впервые поднялся в воздух английский торпедоносец «Supermarine» «322» «Dumbo», пилот Джэффри Куилл. Новое имя самолёта прижилось и практически заменило официальный индекс тип "322". Но торпедоносец "Супермарин" тип "322" так и не дождался серии. Из-за применения изменяемого в полете с помощью лебедки угла атаки крыла, оказался слишком сложным в пилотировании для строевых пилотов</w:t>
      </w:r>
      <w:r w:rsidR="00C0268F" w:rsidRPr="00D03F3E">
        <w:rPr>
          <w:rFonts w:ascii="Times New Roman" w:hAnsi="Times New Roman"/>
          <w:color w:val="000000" w:themeColor="text1"/>
          <w:sz w:val="16"/>
          <w:szCs w:val="16"/>
        </w:rPr>
        <w:t xml:space="preserve"> (22632).</w:t>
      </w:r>
    </w:p>
    <w:p w14:paraId="42F718F0" w14:textId="77777777" w:rsidR="00E53102" w:rsidRPr="00D03F3E" w:rsidRDefault="00E53102" w:rsidP="00D03F3E">
      <w:pPr>
        <w:spacing w:after="0" w:line="240" w:lineRule="auto"/>
        <w:jc w:val="both"/>
        <w:rPr>
          <w:rFonts w:ascii="Times New Roman" w:hAnsi="Times New Roman"/>
          <w:bCs/>
          <w:color w:val="000000" w:themeColor="text1"/>
          <w:sz w:val="16"/>
          <w:szCs w:val="16"/>
        </w:rPr>
      </w:pPr>
    </w:p>
    <w:p w14:paraId="1C847759"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lastRenderedPageBreak/>
        <w:t>6 февраля</w:t>
      </w:r>
      <w:r w:rsidRPr="00D03F3E">
        <w:rPr>
          <w:rFonts w:ascii="Times New Roman" w:hAnsi="Times New Roman"/>
          <w:color w:val="000000" w:themeColor="text1"/>
          <w:sz w:val="16"/>
          <w:szCs w:val="16"/>
        </w:rPr>
        <w:t xml:space="preserve"> в 1943 году Министерство Авиации (Air Ministry) выдало «Supermarine» спецификацию «F.1/43» на одноместный истребитель с фюзеляжем по типу </w:t>
      </w:r>
      <w:hyperlink r:id="rId56" w:tgtFrame="_blank" w:history="1">
        <w:r w:rsidRPr="00D03F3E">
          <w:rPr>
            <w:rFonts w:ascii="Times New Roman" w:hAnsi="Times New Roman"/>
            <w:color w:val="000000" w:themeColor="text1"/>
            <w:sz w:val="16"/>
            <w:szCs w:val="16"/>
          </w:rPr>
          <w:t xml:space="preserve">«Spitfire» «F.VIII» </w:t>
        </w:r>
      </w:hyperlink>
      <w:r w:rsidRPr="00D03F3E">
        <w:rPr>
          <w:rFonts w:ascii="Times New Roman" w:hAnsi="Times New Roman"/>
          <w:color w:val="000000" w:themeColor="text1"/>
          <w:sz w:val="16"/>
          <w:szCs w:val="16"/>
        </w:rPr>
        <w:t>и крылом «Type 371». Требовалось также, чтобы крыло могло без модифицирования быть установленным на «Spitfire» «F.21», и, по возможности иметь " конструкцию, допускающую без значительных переделок установку узла складывания для возможного использования впоследствии Авиацией Флота (Fleet Air Arm)". Другие требования включали: использование соосных пропеллеров; доведение обьема топлива на борту до 149 галлонов (667 л) и еще приблизительно 60 галлонов (272 л) должно размещаться в подвесных баках; вооружение должно состоять из четырех двадцатимиллиметровых пушек «Hispano Mark V». Выбор двигателя был ограничен «Rolls-Royce» «Merlin 16 S.M». и «Griffon 16 S.M» той же фирмы, причем угол обзора из кабины вперед в любом случае не должен был быть менее 8°, а фонарь должен был обеспечивать круговой обзор и сдвигаться назад. За рамки экспериментов истребитель "Спайтфул" на вышел, но стал прототипом палубного истребителя «Supermarine Seafang» (15032).</w:t>
      </w:r>
    </w:p>
    <w:p w14:paraId="20E341BD" w14:textId="77777777" w:rsidR="00E53102" w:rsidRPr="00D03F3E" w:rsidRDefault="00E53102" w:rsidP="00D03F3E">
      <w:pPr>
        <w:spacing w:after="0" w:line="240" w:lineRule="auto"/>
        <w:jc w:val="both"/>
        <w:rPr>
          <w:rFonts w:ascii="Times New Roman" w:hAnsi="Times New Roman"/>
          <w:color w:val="000000" w:themeColor="text1"/>
          <w:sz w:val="16"/>
          <w:szCs w:val="16"/>
        </w:rPr>
      </w:pPr>
    </w:p>
    <w:p w14:paraId="1778AC2A" w14:textId="77777777" w:rsidR="00C0268F" w:rsidRPr="00D03F3E" w:rsidRDefault="00C0268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6–15 февраля 1945 Прибрежное командование Королевских ВВС и командование противолодочной обороны ВВС США проводят операцию «Гондола» над Бискайским заливом, чтобы проверить теорию о том, что каждая немецкая подводная лодка, проходящая через запретный район, может быть атакована самолетами союзников хотя бы один раз, если они летают в достаточном количестве днем и ночью. Общий налет самолетов двух команд за время операции составляет 2260 часов (20376).</w:t>
      </w:r>
    </w:p>
    <w:p w14:paraId="0B718228" w14:textId="77777777" w:rsidR="00C0268F" w:rsidRPr="00D03F3E" w:rsidRDefault="00C0268F" w:rsidP="00D03F3E">
      <w:pPr>
        <w:spacing w:after="0" w:line="240" w:lineRule="auto"/>
        <w:jc w:val="both"/>
        <w:rPr>
          <w:rFonts w:ascii="Times New Roman" w:hAnsi="Times New Roman"/>
          <w:color w:val="0070C0"/>
          <w:sz w:val="16"/>
          <w:szCs w:val="16"/>
        </w:rPr>
      </w:pPr>
    </w:p>
    <w:p w14:paraId="495DB02C"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6 февраля</w:t>
      </w:r>
      <w:r w:rsidRPr="00D03F3E">
        <w:rPr>
          <w:rFonts w:ascii="Times New Roman" w:hAnsi="Times New Roman"/>
          <w:color w:val="000000" w:themeColor="text1"/>
          <w:sz w:val="16"/>
          <w:szCs w:val="16"/>
        </w:rPr>
        <w:t xml:space="preserve"> в 1943 году Адольф Гитлер дает приказ немецким армиям Манштейна отступать к реке Миус (15032).</w:t>
      </w:r>
    </w:p>
    <w:p w14:paraId="2A3C70E3" w14:textId="77777777" w:rsidR="00E53102" w:rsidRPr="00D03F3E" w:rsidRDefault="00E53102" w:rsidP="00D03F3E">
      <w:pPr>
        <w:spacing w:after="0" w:line="240" w:lineRule="auto"/>
        <w:jc w:val="both"/>
        <w:rPr>
          <w:rFonts w:ascii="Times New Roman" w:hAnsi="Times New Roman"/>
          <w:color w:val="000000" w:themeColor="text1"/>
          <w:sz w:val="16"/>
          <w:szCs w:val="16"/>
        </w:rPr>
      </w:pPr>
    </w:p>
    <w:p w14:paraId="6BC37354" w14:textId="77777777" w:rsidR="00225569" w:rsidRPr="00D03F3E" w:rsidRDefault="00225569"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6 февраля 1943 в Германии </w:t>
      </w:r>
      <w:r w:rsidR="00E53102" w:rsidRPr="00D03F3E">
        <w:rPr>
          <w:rFonts w:ascii="Times New Roman" w:hAnsi="Times New Roman"/>
          <w:color w:val="000000" w:themeColor="text1"/>
          <w:sz w:val="16"/>
          <w:szCs w:val="16"/>
        </w:rPr>
        <w:t>закончился</w:t>
      </w:r>
      <w:r w:rsidRPr="00D03F3E">
        <w:rPr>
          <w:rFonts w:ascii="Times New Roman" w:hAnsi="Times New Roman"/>
          <w:color w:val="000000" w:themeColor="text1"/>
          <w:sz w:val="16"/>
          <w:szCs w:val="16"/>
        </w:rPr>
        <w:t xml:space="preserve"> 3-дневный траур по солдатам, погибшим под Сталинградом (4962).</w:t>
      </w:r>
    </w:p>
    <w:p w14:paraId="442C4691" w14:textId="77777777" w:rsidR="00225569" w:rsidRPr="00D03F3E" w:rsidRDefault="00225569"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9BF5A0"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72AE9D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5AD57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фев</w:t>
      </w:r>
      <w:r w:rsidRPr="00D03F3E">
        <w:rPr>
          <w:rFonts w:ascii="Times New Roman" w:hAnsi="Times New Roman"/>
          <w:color w:val="000000" w:themeColor="text1"/>
          <w:sz w:val="16"/>
          <w:szCs w:val="16"/>
        </w:rPr>
        <w:softHyphen/>
        <w:t>раля 1943 г. состояние самолетного парка ВВС КА стало предметом специ</w:t>
      </w:r>
      <w:r w:rsidRPr="00D03F3E">
        <w:rPr>
          <w:rFonts w:ascii="Times New Roman" w:hAnsi="Times New Roman"/>
          <w:color w:val="000000" w:themeColor="text1"/>
          <w:sz w:val="16"/>
          <w:szCs w:val="16"/>
        </w:rPr>
        <w:softHyphen/>
        <w:t>ального обсуждения Государственным Комитетом обороны. В результате выш</w:t>
      </w:r>
      <w:r w:rsidRPr="00D03F3E">
        <w:rPr>
          <w:rFonts w:ascii="Times New Roman" w:hAnsi="Times New Roman"/>
          <w:color w:val="000000" w:themeColor="text1"/>
          <w:sz w:val="16"/>
          <w:szCs w:val="16"/>
        </w:rPr>
        <w:softHyphen/>
        <w:t>ло Постановление ГКО № 2819 от 03.02.43 г., согласно которому количе</w:t>
      </w:r>
      <w:r w:rsidRPr="00D03F3E">
        <w:rPr>
          <w:rFonts w:ascii="Times New Roman" w:hAnsi="Times New Roman"/>
          <w:color w:val="000000" w:themeColor="text1"/>
          <w:sz w:val="16"/>
          <w:szCs w:val="16"/>
        </w:rPr>
        <w:softHyphen/>
        <w:t>ство неисправной авиатехники в строе</w:t>
      </w:r>
      <w:r w:rsidRPr="00D03F3E">
        <w:rPr>
          <w:rFonts w:ascii="Times New Roman" w:hAnsi="Times New Roman"/>
          <w:color w:val="000000" w:themeColor="text1"/>
          <w:sz w:val="16"/>
          <w:szCs w:val="16"/>
        </w:rPr>
        <w:softHyphen/>
        <w:t>вых частях в ВВС КА отныне не должно было превышать 15%. Этим же поста</w:t>
      </w:r>
      <w:r w:rsidRPr="00D03F3E">
        <w:rPr>
          <w:rFonts w:ascii="Times New Roman" w:hAnsi="Times New Roman"/>
          <w:color w:val="000000" w:themeColor="text1"/>
          <w:sz w:val="16"/>
          <w:szCs w:val="16"/>
        </w:rPr>
        <w:softHyphen/>
        <w:t>новлением при Управлении ИАС ВВС КА было создано Управление полевого ре</w:t>
      </w:r>
      <w:r w:rsidRPr="00D03F3E">
        <w:rPr>
          <w:rFonts w:ascii="Times New Roman" w:hAnsi="Times New Roman"/>
          <w:color w:val="000000" w:themeColor="text1"/>
          <w:sz w:val="16"/>
          <w:szCs w:val="16"/>
        </w:rPr>
        <w:softHyphen/>
        <w:t>монта и Управление капитально-восста</w:t>
      </w:r>
      <w:r w:rsidRPr="00D03F3E">
        <w:rPr>
          <w:rFonts w:ascii="Times New Roman" w:hAnsi="Times New Roman"/>
          <w:color w:val="000000" w:themeColor="text1"/>
          <w:sz w:val="16"/>
          <w:szCs w:val="16"/>
        </w:rPr>
        <w:softHyphen/>
        <w:t>новительного ремонта, а в воздушных ар</w:t>
      </w:r>
      <w:r w:rsidRPr="00D03F3E">
        <w:rPr>
          <w:rFonts w:ascii="Times New Roman" w:hAnsi="Times New Roman"/>
          <w:color w:val="000000" w:themeColor="text1"/>
          <w:sz w:val="16"/>
          <w:szCs w:val="16"/>
        </w:rPr>
        <w:softHyphen/>
        <w:t>миях и округах - Отделы полевого ремонта (6467).</w:t>
      </w:r>
    </w:p>
    <w:p w14:paraId="7BBC450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B198C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февраля 1943 г. создали эскизный проект И-187. Преследовалась цель дальнейшего повышения летных и боевых качеств самолета. В докладной записке к проекту Николай Николаевич так характеризовал ос</w:t>
      </w:r>
      <w:r w:rsidRPr="00D03F3E">
        <w:rPr>
          <w:rFonts w:ascii="Times New Roman" w:hAnsi="Times New Roman"/>
          <w:color w:val="000000" w:themeColor="text1"/>
          <w:sz w:val="16"/>
          <w:szCs w:val="16"/>
        </w:rPr>
        <w:softHyphen/>
        <w:t>новные направления, по которым производилось совер</w:t>
      </w:r>
      <w:r w:rsidRPr="00D03F3E">
        <w:rPr>
          <w:rFonts w:ascii="Times New Roman" w:hAnsi="Times New Roman"/>
          <w:color w:val="000000" w:themeColor="text1"/>
          <w:sz w:val="16"/>
          <w:szCs w:val="16"/>
        </w:rPr>
        <w:softHyphen/>
        <w:t>шенствование машины:</w:t>
      </w:r>
    </w:p>
    <w:p w14:paraId="383EE5C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Прежде всего нами было обращено самое серьез</w:t>
      </w:r>
      <w:r w:rsidRPr="00D03F3E">
        <w:rPr>
          <w:rFonts w:ascii="Times New Roman" w:hAnsi="Times New Roman"/>
          <w:color w:val="000000" w:themeColor="text1"/>
          <w:sz w:val="16"/>
          <w:szCs w:val="16"/>
        </w:rPr>
        <w:softHyphen/>
        <w:t>ное внимание на дальнейшее облегчение самолета путем пересмотра конструкции и винтомоторной группы. Су</w:t>
      </w:r>
      <w:r w:rsidRPr="00D03F3E">
        <w:rPr>
          <w:rFonts w:ascii="Times New Roman" w:hAnsi="Times New Roman"/>
          <w:color w:val="000000" w:themeColor="text1"/>
          <w:sz w:val="16"/>
          <w:szCs w:val="16"/>
        </w:rPr>
        <w:softHyphen/>
        <w:t>дя по теоретической центровке, нам кажется, что с двумя пушками И187-М71 можно уложить в вес, очень близ</w:t>
      </w:r>
      <w:r w:rsidRPr="00D03F3E">
        <w:rPr>
          <w:rFonts w:ascii="Times New Roman" w:hAnsi="Times New Roman"/>
          <w:color w:val="000000" w:themeColor="text1"/>
          <w:sz w:val="16"/>
          <w:szCs w:val="16"/>
        </w:rPr>
        <w:softHyphen/>
        <w:t>кий к 3300 кг, а с 4 пушками - к 3400 кг. Это не является нашим голым утверждением, а основано нами на тща</w:t>
      </w:r>
      <w:r w:rsidRPr="00D03F3E">
        <w:rPr>
          <w:rFonts w:ascii="Times New Roman" w:hAnsi="Times New Roman"/>
          <w:color w:val="000000" w:themeColor="text1"/>
          <w:sz w:val="16"/>
          <w:szCs w:val="16"/>
        </w:rPr>
        <w:softHyphen/>
        <w:t>тельном теоретическом анализе всех деталей самолета...</w:t>
      </w:r>
    </w:p>
    <w:p w14:paraId="6001FB2E"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Вторым вопросом, разрешаемым в проекте, явля</w:t>
      </w:r>
      <w:r w:rsidRPr="00D03F3E">
        <w:rPr>
          <w:rFonts w:ascii="Times New Roman" w:hAnsi="Times New Roman"/>
          <w:color w:val="000000" w:themeColor="text1"/>
          <w:sz w:val="16"/>
          <w:szCs w:val="16"/>
        </w:rPr>
        <w:softHyphen/>
        <w:t>ется повышение летных данных самолета. Это достига</w:t>
      </w:r>
      <w:r w:rsidRPr="00D03F3E">
        <w:rPr>
          <w:rFonts w:ascii="Times New Roman" w:hAnsi="Times New Roman"/>
          <w:color w:val="000000" w:themeColor="text1"/>
          <w:sz w:val="16"/>
          <w:szCs w:val="16"/>
        </w:rPr>
        <w:softHyphen/>
        <w:t>ется в проекте улучшением аэродинамики самолета (лучшая форма капота мотора, лучшая форма фонаря, уборка маслорадиаторов в крыло, применение реактив-но-эжекционных выхлопных патрубков и т.д.). С дру</w:t>
      </w:r>
      <w:r w:rsidRPr="00D03F3E">
        <w:rPr>
          <w:rFonts w:ascii="Times New Roman" w:hAnsi="Times New Roman"/>
          <w:color w:val="000000" w:themeColor="text1"/>
          <w:sz w:val="16"/>
          <w:szCs w:val="16"/>
        </w:rPr>
        <w:softHyphen/>
        <w:t>гой стороны, нами был исследован вопрос с получением лучшего к.п.д. винта путем подбора редукции мотора М-71 (9/16) и путем установки модификации мотора М-71, а именно М-71Ф.</w:t>
      </w:r>
    </w:p>
    <w:p w14:paraId="470DEAA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Эти два крупных мероприятия вместе со значитель</w:t>
      </w:r>
      <w:r w:rsidRPr="00D03F3E">
        <w:rPr>
          <w:rFonts w:ascii="Times New Roman" w:hAnsi="Times New Roman"/>
          <w:color w:val="000000" w:themeColor="text1"/>
          <w:sz w:val="16"/>
          <w:szCs w:val="16"/>
        </w:rPr>
        <w:softHyphen/>
        <w:t>ным снижением веса самолета дают возможность значительно повысить скорость, скороподъемность и пото</w:t>
      </w:r>
      <w:r w:rsidRPr="00D03F3E">
        <w:rPr>
          <w:rFonts w:ascii="Times New Roman" w:hAnsi="Times New Roman"/>
          <w:color w:val="000000" w:themeColor="text1"/>
          <w:sz w:val="16"/>
          <w:szCs w:val="16"/>
        </w:rPr>
        <w:softHyphen/>
        <w:t>лок самолета, доводя скорость на высоте 6000-6200 м близко к поставленному немцами рекорду скорости (правда, у земли) (очевидно, Поликарпов имел в виду рекорды 30 марта и 26 апреля 1939 г. на базе 3 км: 746,604 км/ч и 755,138 км/ч).</w:t>
      </w:r>
    </w:p>
    <w:p w14:paraId="7BEEF0EF"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Улучшение боевых качеств самолета предусматри</w:t>
      </w:r>
      <w:r w:rsidRPr="00D03F3E">
        <w:rPr>
          <w:rFonts w:ascii="Times New Roman" w:hAnsi="Times New Roman"/>
          <w:color w:val="000000" w:themeColor="text1"/>
          <w:sz w:val="16"/>
          <w:szCs w:val="16"/>
        </w:rPr>
        <w:softHyphen/>
        <w:t>вается в проекте постановкой вместо 3-х пушек у само</w:t>
      </w:r>
      <w:r w:rsidRPr="00D03F3E">
        <w:rPr>
          <w:rFonts w:ascii="Times New Roman" w:hAnsi="Times New Roman"/>
          <w:color w:val="000000" w:themeColor="text1"/>
          <w:sz w:val="16"/>
          <w:szCs w:val="16"/>
        </w:rPr>
        <w:softHyphen/>
        <w:t>лета И185-М71 - четырех пушек: двух синхронных 20 мм на фюзеляже и двух крыльевых 20 мм вне зоны, оме-таемой винтом. При общем запасе снарядов 640 шт. та</w:t>
      </w:r>
      <w:r w:rsidRPr="00D03F3E">
        <w:rPr>
          <w:rFonts w:ascii="Times New Roman" w:hAnsi="Times New Roman"/>
          <w:color w:val="000000" w:themeColor="text1"/>
          <w:sz w:val="16"/>
          <w:szCs w:val="16"/>
        </w:rPr>
        <w:softHyphen/>
        <w:t>кое оружие явится грозным для врага. Для улучшения обзора нами ставится на И187-М71 фонарь типа «Аэро</w:t>
      </w:r>
      <w:r w:rsidRPr="00D03F3E">
        <w:rPr>
          <w:rFonts w:ascii="Times New Roman" w:hAnsi="Times New Roman"/>
          <w:color w:val="000000" w:themeColor="text1"/>
          <w:sz w:val="16"/>
          <w:szCs w:val="16"/>
        </w:rPr>
        <w:softHyphen/>
        <w:t>кобра», обеспечивающий хороший обзор назад.</w:t>
      </w:r>
    </w:p>
    <w:p w14:paraId="189E07D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Что касается моторов, то мы постарались так ском</w:t>
      </w:r>
      <w:r w:rsidRPr="00D03F3E">
        <w:rPr>
          <w:rFonts w:ascii="Times New Roman" w:hAnsi="Times New Roman"/>
          <w:color w:val="000000" w:themeColor="text1"/>
          <w:sz w:val="16"/>
          <w:szCs w:val="16"/>
        </w:rPr>
        <w:softHyphen/>
        <w:t>поновать самолет И187, что при постановке моторов М71 и М90 будет меняться только моторная установка, в то время как самолет вплоть до 1-й рамы фюзеляжа и все вооружение остается одним и тем же. Такое решение сильно облегчает серийное производство самолетов И187 под эти два мотора.</w:t>
      </w:r>
    </w:p>
    <w:p w14:paraId="019FCF9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Исходя из изложенного, мы полагаем, что предлага</w:t>
      </w:r>
      <w:r w:rsidRPr="00D03F3E">
        <w:rPr>
          <w:rFonts w:ascii="Times New Roman" w:hAnsi="Times New Roman"/>
          <w:color w:val="000000" w:themeColor="text1"/>
          <w:sz w:val="16"/>
          <w:szCs w:val="16"/>
        </w:rPr>
        <w:softHyphen/>
        <w:t>емый проект разрешает задачу дальнейшей модификации самолета И187-М71 с наименьшими переделками самолета».</w:t>
      </w:r>
    </w:p>
    <w:p w14:paraId="6AEBEA29"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Смысл последней фразы заключался в том, что По</w:t>
      </w:r>
      <w:r w:rsidRPr="00D03F3E">
        <w:rPr>
          <w:rFonts w:ascii="Times New Roman" w:hAnsi="Times New Roman"/>
          <w:color w:val="000000" w:themeColor="text1"/>
          <w:sz w:val="16"/>
          <w:szCs w:val="16"/>
        </w:rPr>
        <w:softHyphen/>
        <w:t>ликарпов заранее предусматривал возможность уста</w:t>
      </w:r>
      <w:r w:rsidRPr="00D03F3E">
        <w:rPr>
          <w:rFonts w:ascii="Times New Roman" w:hAnsi="Times New Roman"/>
          <w:color w:val="000000" w:themeColor="text1"/>
          <w:sz w:val="16"/>
          <w:szCs w:val="16"/>
        </w:rPr>
        <w:softHyphen/>
        <w:t>новки на самолете еще более мощных двигателей воздушного охлаждения - трехрядных звезд типа М-95 и им подобных.</w:t>
      </w:r>
    </w:p>
    <w:p w14:paraId="77830EF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Отличительной особенностью И-187 являлся ориги</w:t>
      </w:r>
      <w:r w:rsidRPr="00D03F3E">
        <w:rPr>
          <w:rFonts w:ascii="Times New Roman" w:hAnsi="Times New Roman"/>
          <w:color w:val="000000" w:themeColor="text1"/>
          <w:sz w:val="16"/>
          <w:szCs w:val="16"/>
        </w:rPr>
        <w:softHyphen/>
        <w:t>нальный капот, не встречавшийся в мировой практике -с наклонными профилированными створками-жалюзи, отклоняемыми в направлении потока. Этим обеспечи</w:t>
      </w:r>
      <w:r w:rsidRPr="00D03F3E">
        <w:rPr>
          <w:rFonts w:ascii="Times New Roman" w:hAnsi="Times New Roman"/>
          <w:color w:val="000000" w:themeColor="text1"/>
          <w:sz w:val="16"/>
          <w:szCs w:val="16"/>
        </w:rPr>
        <w:softHyphen/>
        <w:t>валось оптимальное сочетание хорошего обтекания и охлаждения двигателя.</w:t>
      </w:r>
    </w:p>
    <w:p w14:paraId="79E2310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сравнению с И-185 самолет имел каплевидной формы фонарь кабины с плоским козырьком из броне</w:t>
      </w:r>
      <w:r w:rsidRPr="00D03F3E">
        <w:rPr>
          <w:rFonts w:ascii="Times New Roman" w:hAnsi="Times New Roman"/>
          <w:color w:val="000000" w:themeColor="text1"/>
          <w:sz w:val="16"/>
          <w:szCs w:val="16"/>
        </w:rPr>
        <w:softHyphen/>
        <w:t>стекла и пониженный за кабиной фюзеляж.</w:t>
      </w:r>
    </w:p>
    <w:p w14:paraId="757F0FB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Предполагалось, что полетный вес И-187 будет рав</w:t>
      </w:r>
      <w:r w:rsidRPr="00D03F3E">
        <w:rPr>
          <w:rFonts w:ascii="Times New Roman" w:hAnsi="Times New Roman"/>
          <w:color w:val="000000" w:themeColor="text1"/>
          <w:sz w:val="16"/>
          <w:szCs w:val="16"/>
        </w:rPr>
        <w:softHyphen/>
        <w:t>ным 3315 кг с двумя пушками и 3432 кг - с четырьмя. С винтом АВ-5-118А самолет мог набирать высоту 5000 м за 4 мин и развить максимальную скорость 710-718 км/ч. Отметим, что у летных данных машины практичес</w:t>
      </w:r>
      <w:r w:rsidRPr="00D03F3E">
        <w:rPr>
          <w:rFonts w:ascii="Times New Roman" w:hAnsi="Times New Roman"/>
          <w:color w:val="000000" w:themeColor="text1"/>
          <w:sz w:val="16"/>
          <w:szCs w:val="16"/>
        </w:rPr>
        <w:softHyphen/>
        <w:t>ки отсутствовал характерный провал на графике скорости в промежутке между границами высотности мотора. Это имело большое значение в воздушных боях: немцы умело использовали такой недостаток наших машин и зачастую добивались победы (10667).</w:t>
      </w:r>
    </w:p>
    <w:p w14:paraId="268BA2C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F13D8E"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22D35B7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678BE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февраля 1943 года завершились работы над САУ 152-мм КВ-14. Поскольку откат у гаубицы-пушки МП-20 был слишком велик, орудие пришлось разместить не в башне, как у КВ-2, а в неподвижной рубке. Гаубица МЛ-20 имела начальную скорость снаряда 600 м/с и на дистанции 2000 метров пробивала броню толщиной свыше 100 мм. Бронирование маски пушки достигало 120 мм, лобовой части корпуса - 70, а бортов - 60 мм. Скорострельность орудия из-за использования поршневого затвора и раздельного заряжания составляла всего 2 выстрела в минуту. Угол поворота орудия 12°, угол возвышения +18° и угол склонения -5°. Масса бронебойного снаряда этого орудия - 48,78 кг, осколочно-фугасного - 43,5 кг. Приборы прицеливания состояли из панорамного прицела для стрельбы с закрытых позиций и телескопического СТ-10 - для стрельбы прямой наводкой. Дальность прямого выстрела - 700 метров. На самоходку также устанавливались пять призматических смотровых приборов в крыше рубки, кроме того, имелось смотровое окно механика-водителя, закрытое стеклоблоком и броневой крышкой с прорезь. Новые САУ комплектовались радиостанциями 10-РК-26, а также внутренним переговорным устройством ТПУ-3. Для выпуска самоходных установок использовали шасси танка КВ-1с, который в то время еще стоял на конвейере. Хотя КВ-14 создавали прежде всего для поддержки пехоты, была предусмотрена возможность использовать машину и в качестве истребителя танков. (3862).</w:t>
      </w:r>
    </w:p>
    <w:p w14:paraId="1C6F5AA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F4F5C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февраля 1943 г. установка КВ-14 (Объект-236) успешно про</w:t>
      </w:r>
      <w:r w:rsidRPr="00D03F3E">
        <w:rPr>
          <w:rFonts w:ascii="Times New Roman" w:hAnsi="Times New Roman"/>
          <w:color w:val="000000" w:themeColor="text1"/>
          <w:sz w:val="16"/>
          <w:szCs w:val="16"/>
        </w:rPr>
        <w:softHyphen/>
        <w:t>шла испытания на Чебаркульском полигоне и постановлением ГКО от 14 февраля 1943 г. была принята на вооружение РККА. Серийное про</w:t>
      </w:r>
      <w:r w:rsidRPr="00D03F3E">
        <w:rPr>
          <w:rFonts w:ascii="Times New Roman" w:hAnsi="Times New Roman"/>
          <w:color w:val="000000" w:themeColor="text1"/>
          <w:sz w:val="16"/>
          <w:szCs w:val="16"/>
        </w:rPr>
        <w:softHyphen/>
        <w:t>изводство самоходной установки СУ-152 осуществлялось с февраля до декабря 1943 г. Всего было выпущено 670 машин. Самоходная установ</w:t>
      </w:r>
      <w:r w:rsidRPr="00D03F3E">
        <w:rPr>
          <w:rFonts w:ascii="Times New Roman" w:hAnsi="Times New Roman"/>
          <w:color w:val="000000" w:themeColor="text1"/>
          <w:sz w:val="16"/>
          <w:szCs w:val="16"/>
        </w:rPr>
        <w:softHyphen/>
        <w:t>ка СУ-152 получила широкую известность во время Курской битвы ле</w:t>
      </w:r>
      <w:r w:rsidRPr="00D03F3E">
        <w:rPr>
          <w:rFonts w:ascii="Times New Roman" w:hAnsi="Times New Roman"/>
          <w:color w:val="000000" w:themeColor="text1"/>
          <w:sz w:val="16"/>
          <w:szCs w:val="16"/>
        </w:rPr>
        <w:softHyphen/>
        <w:t>том 1943 г., когда она использовалась как мощное противотанковое средство для уничтожения немецких танков Т-У "Пантера" и Т-У1 "Тигр-1" (10703).</w:t>
      </w:r>
    </w:p>
    <w:p w14:paraId="2E84E573"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633BD4"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февраля 1943 г. установка КВ-14 ("Объект 236") успешно про</w:t>
      </w:r>
      <w:r w:rsidRPr="00D03F3E">
        <w:rPr>
          <w:rFonts w:ascii="Times New Roman" w:hAnsi="Times New Roman"/>
          <w:color w:val="000000" w:themeColor="text1"/>
          <w:sz w:val="16"/>
          <w:szCs w:val="16"/>
        </w:rPr>
        <w:softHyphen/>
        <w:t>шла испытания на Чебаркульском полигоне и постановлением ГКО от 14 февраля 1943 г. была принята на вооружение РККА. Серийное про</w:t>
      </w:r>
      <w:r w:rsidRPr="00D03F3E">
        <w:rPr>
          <w:rFonts w:ascii="Times New Roman" w:hAnsi="Times New Roman"/>
          <w:color w:val="000000" w:themeColor="text1"/>
          <w:sz w:val="16"/>
          <w:szCs w:val="16"/>
        </w:rPr>
        <w:softHyphen/>
        <w:t>изводство самоходной установки СУ-152 осуществлялось с февраля до декабря 1943 г. Всего было выпущено 670 машин. Самоходная установ</w:t>
      </w:r>
      <w:r w:rsidRPr="00D03F3E">
        <w:rPr>
          <w:rFonts w:ascii="Times New Roman" w:hAnsi="Times New Roman"/>
          <w:color w:val="000000" w:themeColor="text1"/>
          <w:sz w:val="16"/>
          <w:szCs w:val="16"/>
        </w:rPr>
        <w:softHyphen/>
        <w:t>ка СУ-152 получила широкую известность во время Курской битвы ле</w:t>
      </w:r>
      <w:r w:rsidRPr="00D03F3E">
        <w:rPr>
          <w:rFonts w:ascii="Times New Roman" w:hAnsi="Times New Roman"/>
          <w:color w:val="000000" w:themeColor="text1"/>
          <w:sz w:val="16"/>
          <w:szCs w:val="16"/>
        </w:rPr>
        <w:softHyphen/>
        <w:t>том 1943 г., когда она использовалась как мощное противотанковое средство для уничтожения немецких танков Т-У "Пантера" и Т-У1 "Тигр-1" (10703).</w:t>
      </w:r>
    </w:p>
    <w:p w14:paraId="68FAFFB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3014AD" w14:textId="77777777" w:rsidR="00E56A12" w:rsidRPr="00D03F3E" w:rsidRDefault="00E56A12" w:rsidP="00D03F3E">
      <w:pPr>
        <w:pStyle w:val="a3"/>
        <w:rPr>
          <w:color w:val="000000" w:themeColor="text1"/>
          <w:lang w:val="ru-RU"/>
        </w:rPr>
      </w:pPr>
      <w:r w:rsidRPr="00D03F3E">
        <w:rPr>
          <w:color w:val="000000" w:themeColor="text1"/>
          <w:lang w:val="ru-RU"/>
        </w:rPr>
        <w:t>В начале февраля 1943 опытный образец КВ-14 ждали полигонные испытания.</w:t>
      </w:r>
    </w:p>
    <w:p w14:paraId="4F95EF7D" w14:textId="77777777" w:rsidR="00E56A12" w:rsidRPr="00D03F3E" w:rsidRDefault="00E56A12" w:rsidP="00D03F3E">
      <w:pPr>
        <w:pStyle w:val="a3"/>
        <w:rPr>
          <w:color w:val="000000" w:themeColor="text1"/>
          <w:lang w:val="ru-RU"/>
        </w:rPr>
      </w:pPr>
      <w:r w:rsidRPr="00D03F3E">
        <w:rPr>
          <w:color w:val="000000" w:themeColor="text1"/>
          <w:lang w:val="ru-RU"/>
        </w:rPr>
        <w:t xml:space="preserve">Согласно программе испытаний, </w:t>
      </w:r>
      <w:r w:rsidRPr="00D03F3E">
        <w:rPr>
          <w:color w:val="000000" w:themeColor="text1"/>
        </w:rPr>
        <w:t>KB</w:t>
      </w:r>
      <w:r w:rsidRPr="00D03F3E">
        <w:rPr>
          <w:color w:val="000000" w:themeColor="text1"/>
          <w:lang w:val="ru-RU"/>
        </w:rPr>
        <w:t>-14 должен был пройти в об</w:t>
      </w:r>
      <w:r w:rsidRPr="00D03F3E">
        <w:rPr>
          <w:color w:val="000000" w:themeColor="text1"/>
          <w:lang w:val="ru-RU"/>
        </w:rPr>
        <w:softHyphen/>
        <w:t>щей сложности 200 километров, кроме того, из МЛ-20 планировалось произвести 296 выстрелов. Испытания проходили на Чебаркульском полигоне, собственно говоря, путь из Челябинска до полигона, а за</w:t>
      </w:r>
      <w:r w:rsidRPr="00D03F3E">
        <w:rPr>
          <w:color w:val="000000" w:themeColor="text1"/>
          <w:lang w:val="ru-RU"/>
        </w:rPr>
        <w:softHyphen/>
        <w:t>тем обратно и был ходовыми испытаниями. 200 километров, впрочем, пройти не удалось, потому что путь на полигон занял 85 километров, а обратно — 88 километров.</w:t>
      </w:r>
    </w:p>
    <w:p w14:paraId="4611628E" w14:textId="77777777" w:rsidR="00E56A12" w:rsidRPr="00D03F3E" w:rsidRDefault="00E56A12" w:rsidP="00D03F3E">
      <w:pPr>
        <w:pStyle w:val="a3"/>
        <w:rPr>
          <w:color w:val="000000" w:themeColor="text1"/>
          <w:lang w:val="ru-RU"/>
        </w:rPr>
      </w:pPr>
      <w:r w:rsidRPr="00D03F3E">
        <w:rPr>
          <w:color w:val="000000" w:themeColor="text1"/>
          <w:lang w:val="ru-RU"/>
        </w:rPr>
        <w:t>Путь на полигон проходил в очень суровых условиях. Мало того, что шоссе замело снегом, так еще и температура за бортом составляла —42 градуса. Ко всему прочему, в топливе оказалась вода, что приводи</w:t>
      </w:r>
      <w:r w:rsidRPr="00D03F3E">
        <w:rPr>
          <w:color w:val="000000" w:themeColor="text1"/>
          <w:lang w:val="ru-RU"/>
        </w:rPr>
        <w:softHyphen/>
        <w:t xml:space="preserve">ло к частым остановкам двигателя. В результате 85 километров </w:t>
      </w:r>
      <w:r w:rsidRPr="00D03F3E">
        <w:rPr>
          <w:color w:val="000000" w:themeColor="text1"/>
        </w:rPr>
        <w:t>KB</w:t>
      </w:r>
      <w:r w:rsidRPr="00D03F3E">
        <w:rPr>
          <w:color w:val="000000" w:themeColor="text1"/>
          <w:lang w:val="ru-RU"/>
        </w:rPr>
        <w:t>-14 прошел за 13 часов.</w:t>
      </w:r>
    </w:p>
    <w:p w14:paraId="23FEC924"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Стрельбы проходили по сокращенной программе: вместо 296 вы</w:t>
      </w:r>
      <w:r w:rsidRPr="00D03F3E">
        <w:rPr>
          <w:rFonts w:ascii="Times New Roman" w:hAnsi="Times New Roman"/>
          <w:color w:val="000000" w:themeColor="text1"/>
          <w:sz w:val="16"/>
          <w:szCs w:val="16"/>
        </w:rPr>
        <w:softHyphen/>
        <w:t>стрелов было произведено 234, из них 100 усиленными зарядами. По итогам стрельбы на прочность деформаций на орудии и установочных деталях обнаружено не было.</w:t>
      </w:r>
    </w:p>
    <w:p w14:paraId="00771E9B" w14:textId="77777777" w:rsidR="00E56A12" w:rsidRPr="00D03F3E" w:rsidRDefault="00E56A12" w:rsidP="00D03F3E">
      <w:pPr>
        <w:pStyle w:val="a3"/>
        <w:rPr>
          <w:color w:val="000000" w:themeColor="text1"/>
          <w:lang w:val="ru-RU"/>
        </w:rPr>
      </w:pPr>
      <w:r w:rsidRPr="00D03F3E">
        <w:rPr>
          <w:color w:val="000000" w:themeColor="text1"/>
          <w:lang w:val="ru-RU"/>
        </w:rPr>
        <w:t>В ходе испытаний на скорострельность при использовании укла</w:t>
      </w:r>
      <w:r w:rsidRPr="00D03F3E">
        <w:rPr>
          <w:color w:val="000000" w:themeColor="text1"/>
          <w:lang w:val="ru-RU"/>
        </w:rPr>
        <w:softHyphen/>
        <w:t>док первой очереди удалось добиться среднего результата 2,8 выстрела в минуту. Это было ниже требований, но вполне неплохо для орудия столь высокого калибра. Стрельба велась при закрытых люках и рабо</w:t>
      </w:r>
      <w:r w:rsidRPr="00D03F3E">
        <w:rPr>
          <w:color w:val="000000" w:themeColor="text1"/>
          <w:lang w:val="ru-RU"/>
        </w:rPr>
        <w:softHyphen/>
        <w:t>тающем моторе. Время перезарядки, в зависимости от используемой укладки, варьировалось от 16 до 30 секунд. В ходе стрельбы происходил откат САУ на дистанцию от 70 до 250 мм, а оседание задней части или подъем передней части составляли от 10 до 80 мм. Также в программу испытаний входила стрельба с коротких остановок. Была произведе</w:t>
      </w:r>
      <w:r w:rsidRPr="00D03F3E">
        <w:rPr>
          <w:color w:val="000000" w:themeColor="text1"/>
          <w:lang w:val="ru-RU"/>
        </w:rPr>
        <w:softHyphen/>
        <w:t>на серия стрельб с остановок на дистанциях 800, 600, 400 и 200 метров. После каждой остановки проходила серия из пяти выстрелов. Куч</w:t>
      </w:r>
      <w:r w:rsidRPr="00D03F3E">
        <w:rPr>
          <w:color w:val="000000" w:themeColor="text1"/>
          <w:lang w:val="ru-RU"/>
        </w:rPr>
        <w:softHyphen/>
        <w:t>ность по итогам стрельб оказалась на приемлемом уровне, особенно для САУ, предназначенной для борьбы с вражескими укреплениями. Стоит принять во внимание и тот факт, что машина была опытной и не все узлы на тот момент отработали до надлежащего уровня.</w:t>
      </w:r>
    </w:p>
    <w:p w14:paraId="74DDE072" w14:textId="77777777" w:rsidR="00E56A12" w:rsidRPr="00D03F3E" w:rsidRDefault="00E56A12" w:rsidP="00D03F3E">
      <w:pPr>
        <w:pStyle w:val="a3"/>
        <w:rPr>
          <w:color w:val="000000" w:themeColor="text1"/>
          <w:lang w:val="ru-RU"/>
        </w:rPr>
      </w:pPr>
      <w:r w:rsidRPr="00D03F3E">
        <w:rPr>
          <w:color w:val="000000" w:themeColor="text1"/>
          <w:lang w:val="ru-RU"/>
        </w:rPr>
        <w:t xml:space="preserve">По окончании огневых испытаний </w:t>
      </w:r>
      <w:r w:rsidRPr="00D03F3E">
        <w:rPr>
          <w:color w:val="000000" w:themeColor="text1"/>
        </w:rPr>
        <w:t>KB</w:t>
      </w:r>
      <w:r w:rsidRPr="00D03F3E">
        <w:rPr>
          <w:color w:val="000000" w:themeColor="text1"/>
          <w:lang w:val="ru-RU"/>
        </w:rPr>
        <w:t>-14 двинулся по направлению в Челябинск. За бортом были вполне приемлемые для начала января — 16 градусов. Как и в прошлый раз, шоссе оказалось засыпанным сне</w:t>
      </w:r>
      <w:r w:rsidRPr="00D03F3E">
        <w:rPr>
          <w:color w:val="000000" w:themeColor="text1"/>
          <w:lang w:val="ru-RU"/>
        </w:rPr>
        <w:softHyphen/>
        <w:t>гом, что вызвало повышенный расход топлива — 4 кг на 1 километр. Тем не менее 88 километров пути машина в обратном направлении преодо</w:t>
      </w:r>
      <w:r w:rsidRPr="00D03F3E">
        <w:rPr>
          <w:color w:val="000000" w:themeColor="text1"/>
          <w:lang w:val="ru-RU"/>
        </w:rPr>
        <w:softHyphen/>
        <w:t>лела куда быстрее — за 6,8 часа. При этом эксплуатационная скорость до</w:t>
      </w:r>
      <w:r w:rsidRPr="00D03F3E">
        <w:rPr>
          <w:color w:val="000000" w:themeColor="text1"/>
          <w:lang w:val="ru-RU"/>
        </w:rPr>
        <w:softHyphen/>
        <w:t>стигала 13 км/ч, техническая и чистого движения — 20 км/ч. Отказов уз</w:t>
      </w:r>
      <w:r w:rsidRPr="00D03F3E">
        <w:rPr>
          <w:color w:val="000000" w:themeColor="text1"/>
          <w:lang w:val="ru-RU"/>
        </w:rPr>
        <w:softHyphen/>
        <w:t xml:space="preserve">лов моторной и трансмиссионной групп в ходе обоих пробегов не было. В порядке оказалось и крепление орудия в походном положении. Пробег до полигона и обратно зачли без специальных испытаний, поскольку по ходовой части САУ соответствовала </w:t>
      </w:r>
      <w:r w:rsidRPr="00D03F3E">
        <w:rPr>
          <w:color w:val="000000" w:themeColor="text1"/>
        </w:rPr>
        <w:t>KB</w:t>
      </w:r>
      <w:r w:rsidRPr="00D03F3E">
        <w:rPr>
          <w:color w:val="000000" w:themeColor="text1"/>
          <w:lang w:val="ru-RU"/>
        </w:rPr>
        <w:t>-1 С. В общей сложности весь ис</w:t>
      </w:r>
      <w:r w:rsidRPr="00D03F3E">
        <w:rPr>
          <w:color w:val="000000" w:themeColor="text1"/>
          <w:lang w:val="ru-RU"/>
        </w:rPr>
        <w:softHyphen/>
        <w:t>пытательный цикл занял 5 дней — с 1 по 5 февраля 1943 года.</w:t>
      </w:r>
    </w:p>
    <w:p w14:paraId="7EF861D5" w14:textId="77777777" w:rsidR="00E56A12" w:rsidRPr="00D03F3E" w:rsidRDefault="00E56A12" w:rsidP="00D03F3E">
      <w:pPr>
        <w:pStyle w:val="a3"/>
        <w:rPr>
          <w:color w:val="000000" w:themeColor="text1"/>
          <w:lang w:val="ru-RU"/>
        </w:rPr>
      </w:pPr>
      <w:r w:rsidRPr="00D03F3E">
        <w:rPr>
          <w:color w:val="000000" w:themeColor="text1"/>
          <w:lang w:val="ru-RU"/>
        </w:rPr>
        <w:t>По результатам проведенных испытаний комиссия, возглавляе</w:t>
      </w:r>
      <w:r w:rsidRPr="00D03F3E">
        <w:rPr>
          <w:color w:val="000000" w:themeColor="text1"/>
          <w:lang w:val="ru-RU"/>
        </w:rPr>
        <w:softHyphen/>
        <w:t>мая начальником Артиллерийского комитета ГАУ КА В.И. Хохловым (к тому моменту уже в звании генерал-лейтенанта), пришла к следую</w:t>
      </w:r>
      <w:r w:rsidRPr="00D03F3E">
        <w:rPr>
          <w:color w:val="000000" w:themeColor="text1"/>
          <w:lang w:val="ru-RU"/>
        </w:rPr>
        <w:softHyphen/>
        <w:t>щим выводам и замечаниям:</w:t>
      </w:r>
    </w:p>
    <w:p w14:paraId="19CE2DD4"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«Представленный на испытания опытный образец 152-мм самоход</w:t>
      </w:r>
      <w:r w:rsidRPr="00D03F3E">
        <w:rPr>
          <w:rStyle w:val="Bodytext145"/>
          <w:i w:val="0"/>
          <w:iCs w:val="0"/>
          <w:color w:val="000000" w:themeColor="text1"/>
          <w:sz w:val="16"/>
          <w:szCs w:val="16"/>
        </w:rPr>
        <w:softHyphen/>
        <w:t>ной установки тактико-техническим требованиям соответствует, за исключением скорострельности, максимальное значение которой, при использовании снарядов и гильз из ближайшей укладки и при наивыгод</w:t>
      </w:r>
      <w:r w:rsidRPr="00D03F3E">
        <w:rPr>
          <w:rStyle w:val="Bodytext145"/>
          <w:i w:val="0"/>
          <w:iCs w:val="0"/>
          <w:color w:val="000000" w:themeColor="text1"/>
          <w:sz w:val="16"/>
          <w:szCs w:val="16"/>
        </w:rPr>
        <w:softHyphen/>
        <w:t>нейшем положении орудия, в 3-й серии из 10 выстрелов, получено равным 2,8 выстрела в минуту, вместо 3—4 выстрелов в минуту, требуемых ТТТ.</w:t>
      </w:r>
    </w:p>
    <w:p w14:paraId="15C0E4D3"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С уменьшением орудийного расчета до 4-х человек следует согласиться, так как внешнюю связь по рации можно возложить на командира орудия.</w:t>
      </w:r>
    </w:p>
    <w:p w14:paraId="24173F15"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Кучность боя самоходной установки, полученная как в результате спе</w:t>
      </w:r>
      <w:r w:rsidRPr="00D03F3E">
        <w:rPr>
          <w:rStyle w:val="Bodytext145"/>
          <w:i w:val="0"/>
          <w:iCs w:val="0"/>
          <w:color w:val="000000" w:themeColor="text1"/>
          <w:sz w:val="16"/>
          <w:szCs w:val="16"/>
        </w:rPr>
        <w:softHyphen/>
        <w:t>циального ее определения, так и при стрельбе с коротких остановок при требовании обеспечения скорострельности — вполне удовлетворительная.</w:t>
      </w:r>
    </w:p>
    <w:p w14:paraId="2ADBC699"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Прочность установочных деталей пушки, всех ее механизмов, корпуса самохода и его агрегатов, как на стрельбе, так и в походе вполне надеж</w:t>
      </w:r>
      <w:r w:rsidRPr="00D03F3E">
        <w:rPr>
          <w:rStyle w:val="Bodytext145"/>
          <w:i w:val="0"/>
          <w:iCs w:val="0"/>
          <w:color w:val="000000" w:themeColor="text1"/>
          <w:sz w:val="16"/>
          <w:szCs w:val="16"/>
        </w:rPr>
        <w:softHyphen/>
        <w:t>ная. Проверка размеченных агрегатов никаких деформаций не обнаружила.</w:t>
      </w:r>
    </w:p>
    <w:p w14:paraId="4C5E9760"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Устойчивость самохода при стрельбе из пушки удовлетворительная: смещение самохода назад, в преобладающем большинстве случаев, возвратимое, отрыва гусениц от грунта не наблюдалось.</w:t>
      </w:r>
    </w:p>
    <w:p w14:paraId="63E215C4"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Сбиваемость наводки незначительна и наблюдалась только в гори</w:t>
      </w:r>
      <w:r w:rsidRPr="00D03F3E">
        <w:rPr>
          <w:rStyle w:val="Bodytext145"/>
          <w:i w:val="0"/>
          <w:iCs w:val="0"/>
          <w:color w:val="000000" w:themeColor="text1"/>
          <w:sz w:val="16"/>
          <w:szCs w:val="16"/>
        </w:rPr>
        <w:softHyphen/>
        <w:t>зонтальной плоскости до 2-х тысячных делений угломера. Сбиваемость установок прицела отсутствовала.</w:t>
      </w:r>
    </w:p>
    <w:p w14:paraId="7369DC83"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 xml:space="preserve">Ходовые качества самоходной установки не отличаются от ходовых качеств танка </w:t>
      </w:r>
      <w:r w:rsidRPr="00D03F3E">
        <w:rPr>
          <w:rStyle w:val="Bodytext145"/>
          <w:i w:val="0"/>
          <w:iCs w:val="0"/>
          <w:color w:val="000000" w:themeColor="text1"/>
          <w:sz w:val="16"/>
          <w:szCs w:val="16"/>
          <w:lang w:val="en-US"/>
        </w:rPr>
        <w:t>KB</w:t>
      </w:r>
      <w:r w:rsidRPr="00D03F3E">
        <w:rPr>
          <w:rStyle w:val="Bodytext145"/>
          <w:i w:val="0"/>
          <w:iCs w:val="0"/>
          <w:color w:val="000000" w:themeColor="text1"/>
          <w:sz w:val="16"/>
          <w:szCs w:val="16"/>
        </w:rPr>
        <w:t>- 1с.</w:t>
      </w:r>
    </w:p>
    <w:p w14:paraId="3F3D8567"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Обслуживание пушки, как при подготовке ее к стрельбе, так и во вре</w:t>
      </w:r>
      <w:r w:rsidRPr="00D03F3E">
        <w:rPr>
          <w:rStyle w:val="Bodytext145"/>
          <w:i w:val="0"/>
          <w:iCs w:val="0"/>
          <w:color w:val="000000" w:themeColor="text1"/>
          <w:sz w:val="16"/>
          <w:szCs w:val="16"/>
        </w:rPr>
        <w:softHyphen/>
        <w:t>мя стрельбы, — удовлетворительное.</w:t>
      </w:r>
    </w:p>
    <w:p w14:paraId="363384FA"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Style w:val="Bodytext145"/>
          <w:rFonts w:ascii="Times New Roman" w:hAnsi="Times New Roman"/>
          <w:iCs/>
          <w:color w:val="000000" w:themeColor="text1"/>
          <w:sz w:val="16"/>
          <w:szCs w:val="16"/>
        </w:rPr>
        <w:t>Доступ к агрегатам самохода и пушки, как при профилактических ос</w:t>
      </w:r>
      <w:r w:rsidRPr="00D03F3E">
        <w:rPr>
          <w:rStyle w:val="Bodytext145"/>
          <w:rFonts w:ascii="Times New Roman" w:hAnsi="Times New Roman"/>
          <w:iCs/>
          <w:color w:val="000000" w:themeColor="text1"/>
          <w:sz w:val="16"/>
          <w:szCs w:val="16"/>
        </w:rPr>
        <w:softHyphen/>
        <w:t>мотрах, так и на остановках во время похода обеспечен.</w:t>
      </w:r>
    </w:p>
    <w:p w14:paraId="71814C60"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Прицельные приспособления расположены удобно.</w:t>
      </w:r>
    </w:p>
    <w:p w14:paraId="085BEBC0"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Style w:val="Bodytext145"/>
          <w:rFonts w:ascii="Times New Roman" w:hAnsi="Times New Roman"/>
          <w:iCs/>
          <w:color w:val="000000" w:themeColor="text1"/>
          <w:sz w:val="16"/>
          <w:szCs w:val="16"/>
        </w:rPr>
        <w:t>Конструктивно 152-мм самоходная установка выполнена вполне удачно. Объемная крыша боевого отделения и конструкция бронезащиты позволяет вести сборку пушки и самохода самостоятельно монтируя в в последнем окончательно собранную пушку со всеми агрегатами. Пушка вполне уравно</w:t>
      </w:r>
      <w:r w:rsidRPr="00D03F3E">
        <w:rPr>
          <w:rStyle w:val="Bodytext145"/>
          <w:rFonts w:ascii="Times New Roman" w:hAnsi="Times New Roman"/>
          <w:iCs/>
          <w:color w:val="000000" w:themeColor="text1"/>
          <w:sz w:val="16"/>
          <w:szCs w:val="16"/>
        </w:rPr>
        <w:softHyphen/>
        <w:t>вешена: усилия на маховиках механизмов наведения небольшие.</w:t>
      </w:r>
    </w:p>
    <w:p w14:paraId="496FD561" w14:textId="77777777" w:rsidR="00E56A12" w:rsidRPr="00D03F3E" w:rsidRDefault="00E56A12" w:rsidP="00D03F3E">
      <w:pPr>
        <w:pStyle w:val="Tablecaption1"/>
        <w:shd w:val="clear" w:color="auto" w:fill="auto"/>
        <w:spacing w:line="240" w:lineRule="auto"/>
        <w:jc w:val="both"/>
        <w:rPr>
          <w:i w:val="0"/>
          <w:color w:val="000000" w:themeColor="text1"/>
          <w:sz w:val="16"/>
          <w:szCs w:val="16"/>
        </w:rPr>
      </w:pPr>
      <w:r w:rsidRPr="00D03F3E">
        <w:rPr>
          <w:rStyle w:val="Bodytext145"/>
          <w:i w:val="0"/>
          <w:iCs w:val="0"/>
          <w:color w:val="000000" w:themeColor="text1"/>
          <w:sz w:val="16"/>
          <w:szCs w:val="16"/>
        </w:rPr>
        <w:t>Амбразура боевого отделения при прямой наводке защищена надежно при всех углах возвышения и горизонтального наведения. Освещение бое</w:t>
      </w:r>
      <w:r w:rsidRPr="00D03F3E">
        <w:rPr>
          <w:rStyle w:val="Tablecaption0"/>
          <w:i w:val="0"/>
          <w:iCs w:val="0"/>
          <w:color w:val="000000" w:themeColor="text1"/>
          <w:sz w:val="16"/>
          <w:szCs w:val="16"/>
        </w:rPr>
        <w:t>вого отделения, отделения управления вполне достаточно. Приборами на</w:t>
      </w:r>
      <w:r w:rsidRPr="00D03F3E">
        <w:rPr>
          <w:rStyle w:val="Tablecaption0"/>
          <w:i w:val="0"/>
          <w:iCs w:val="0"/>
          <w:color w:val="000000" w:themeColor="text1"/>
          <w:sz w:val="16"/>
          <w:szCs w:val="16"/>
        </w:rPr>
        <w:softHyphen/>
        <w:t>блюдения и средствами связи, как внешней, так и внутренней, командир орудия обеспечен. ЗИП, как пушки, так и самохода — разработан и вози</w:t>
      </w:r>
      <w:r w:rsidRPr="00D03F3E">
        <w:rPr>
          <w:rStyle w:val="Tablecaption0"/>
          <w:i w:val="0"/>
          <w:iCs w:val="0"/>
          <w:color w:val="000000" w:themeColor="text1"/>
          <w:sz w:val="16"/>
          <w:szCs w:val="16"/>
        </w:rPr>
        <w:softHyphen/>
        <w:t>мый комплект его опытному образцу придан.</w:t>
      </w:r>
    </w:p>
    <w:p w14:paraId="6259BFA8" w14:textId="77777777" w:rsidR="00E56A12" w:rsidRPr="00D03F3E" w:rsidRDefault="00E56A12" w:rsidP="00D03F3E">
      <w:pPr>
        <w:pStyle w:val="Tablecaption1"/>
        <w:shd w:val="clear" w:color="auto" w:fill="auto"/>
        <w:spacing w:line="240" w:lineRule="auto"/>
        <w:jc w:val="both"/>
        <w:rPr>
          <w:i w:val="0"/>
          <w:color w:val="000000" w:themeColor="text1"/>
          <w:sz w:val="16"/>
          <w:szCs w:val="16"/>
        </w:rPr>
      </w:pPr>
      <w:r w:rsidRPr="00D03F3E">
        <w:rPr>
          <w:rStyle w:val="Tablecaption0"/>
          <w:i w:val="0"/>
          <w:iCs w:val="0"/>
          <w:color w:val="000000" w:themeColor="text1"/>
          <w:sz w:val="16"/>
          <w:szCs w:val="16"/>
        </w:rPr>
        <w:t>Загрузка боекомплекта в самоход через люк в борту — удобна.</w:t>
      </w:r>
    </w:p>
    <w:p w14:paraId="281A6C92"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VI. Перечень конструктивных недостатков</w:t>
      </w:r>
    </w:p>
    <w:p w14:paraId="18C3DD08"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А. Подлежащие внесению в первую серию самоходных установок. В результате проведенных испытаний стрельбой и пробегом выявлена необходимость внесения в конструкцию самоходной установки следующих изменений:</w:t>
      </w:r>
    </w:p>
    <w:p w14:paraId="2D033407" w14:textId="77777777" w:rsidR="00E56A12" w:rsidRPr="00D03F3E" w:rsidRDefault="00E56A12" w:rsidP="00D03F3E">
      <w:pPr>
        <w:pStyle w:val="Bodytext141"/>
        <w:shd w:val="clear" w:color="auto" w:fill="auto"/>
        <w:tabs>
          <w:tab w:val="left" w:pos="2042"/>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1. Устранить упор гильзы в казенный срез казенника при вклады</w:t>
      </w:r>
      <w:r w:rsidRPr="00D03F3E">
        <w:rPr>
          <w:rStyle w:val="Bodytext145"/>
          <w:i w:val="0"/>
          <w:iCs w:val="0"/>
          <w:color w:val="000000" w:themeColor="text1"/>
          <w:sz w:val="16"/>
          <w:szCs w:val="16"/>
        </w:rPr>
        <w:softHyphen/>
        <w:t>вании ее с лотка в канал ствола.</w:t>
      </w:r>
    </w:p>
    <w:p w14:paraId="6EEFCC41" w14:textId="77777777" w:rsidR="00E56A12" w:rsidRPr="00D03F3E" w:rsidRDefault="00E56A12" w:rsidP="00D03F3E">
      <w:pPr>
        <w:pStyle w:val="Bodytext141"/>
        <w:shd w:val="clear" w:color="auto" w:fill="auto"/>
        <w:tabs>
          <w:tab w:val="left" w:pos="2075"/>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2. Облегчить снимания с верхних полок снарядных этажерок.</w:t>
      </w:r>
    </w:p>
    <w:p w14:paraId="007BC00B" w14:textId="77777777" w:rsidR="00E56A12" w:rsidRPr="00D03F3E" w:rsidRDefault="00E56A12" w:rsidP="00D03F3E">
      <w:pPr>
        <w:pStyle w:val="Bodytext141"/>
        <w:shd w:val="clear" w:color="auto" w:fill="auto"/>
        <w:tabs>
          <w:tab w:val="left" w:pos="2085"/>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3. Установить целик перед водителем для грубого наведения са</w:t>
      </w:r>
      <w:r w:rsidRPr="00D03F3E">
        <w:rPr>
          <w:rStyle w:val="Bodytext145"/>
          <w:i w:val="0"/>
          <w:iCs w:val="0"/>
          <w:color w:val="000000" w:themeColor="text1"/>
          <w:sz w:val="16"/>
          <w:szCs w:val="16"/>
        </w:rPr>
        <w:softHyphen/>
        <w:t>мохода на цель.</w:t>
      </w:r>
    </w:p>
    <w:p w14:paraId="2683252A" w14:textId="77777777" w:rsidR="00E56A12" w:rsidRPr="00D03F3E" w:rsidRDefault="00E56A12" w:rsidP="00D03F3E">
      <w:pPr>
        <w:pStyle w:val="Bodytext141"/>
        <w:shd w:val="clear" w:color="auto" w:fill="auto"/>
        <w:tabs>
          <w:tab w:val="left" w:pos="2056"/>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4. Установить комплектацию пушки освещением прицела прибо</w:t>
      </w:r>
      <w:r w:rsidRPr="00D03F3E">
        <w:rPr>
          <w:rStyle w:val="Bodytext145"/>
          <w:i w:val="0"/>
          <w:iCs w:val="0"/>
          <w:color w:val="000000" w:themeColor="text1"/>
          <w:sz w:val="16"/>
          <w:szCs w:val="16"/>
        </w:rPr>
        <w:softHyphen/>
        <w:t>ром типа «Луч».</w:t>
      </w:r>
    </w:p>
    <w:p w14:paraId="10357475" w14:textId="77777777" w:rsidR="00E56A12" w:rsidRPr="00D03F3E" w:rsidRDefault="00E56A12" w:rsidP="00D03F3E">
      <w:pPr>
        <w:pStyle w:val="Bodytext141"/>
        <w:shd w:val="clear" w:color="auto" w:fill="auto"/>
        <w:tabs>
          <w:tab w:val="left" w:pos="2104"/>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5. Переместить крепление поворотного механизма, мешающее работе водителя.</w:t>
      </w:r>
    </w:p>
    <w:p w14:paraId="6DC17452" w14:textId="77777777" w:rsidR="00E56A12" w:rsidRPr="00D03F3E" w:rsidRDefault="00E56A12" w:rsidP="00D03F3E">
      <w:pPr>
        <w:pStyle w:val="Bodytext141"/>
        <w:shd w:val="clear" w:color="auto" w:fill="auto"/>
        <w:tabs>
          <w:tab w:val="left" w:pos="2080"/>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6. Ввести в орудийный комплект ЗИПа пушки ручной винтовой экстрактор (в количестве 1 шт.) для экстрактирования раз</w:t>
      </w:r>
      <w:r w:rsidRPr="00D03F3E">
        <w:rPr>
          <w:rStyle w:val="Bodytext145"/>
          <w:i w:val="0"/>
          <w:iCs w:val="0"/>
          <w:color w:val="000000" w:themeColor="text1"/>
          <w:sz w:val="16"/>
          <w:szCs w:val="16"/>
        </w:rPr>
        <w:softHyphen/>
        <w:t>дутых гильз без выхода из самохода.</w:t>
      </w:r>
    </w:p>
    <w:p w14:paraId="31985EBF" w14:textId="77777777" w:rsidR="00E56A12" w:rsidRPr="00D03F3E" w:rsidRDefault="00E56A12" w:rsidP="00D03F3E">
      <w:pPr>
        <w:pStyle w:val="Bodytext141"/>
        <w:shd w:val="clear" w:color="auto" w:fill="auto"/>
        <w:tabs>
          <w:tab w:val="left" w:pos="2051"/>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7. Ввести ступеньку для удобства входа и выхода из боевого от</w:t>
      </w:r>
      <w:r w:rsidRPr="00D03F3E">
        <w:rPr>
          <w:rStyle w:val="Bodytext145"/>
          <w:i w:val="0"/>
          <w:iCs w:val="0"/>
          <w:color w:val="000000" w:themeColor="text1"/>
          <w:sz w:val="16"/>
          <w:szCs w:val="16"/>
        </w:rPr>
        <w:softHyphen/>
        <w:t>деления.</w:t>
      </w:r>
    </w:p>
    <w:p w14:paraId="3D77854D" w14:textId="77777777" w:rsidR="00E56A12" w:rsidRPr="00D03F3E" w:rsidRDefault="00E56A12" w:rsidP="00D03F3E">
      <w:pPr>
        <w:pStyle w:val="Bodytext141"/>
        <w:shd w:val="clear" w:color="auto" w:fill="auto"/>
        <w:tabs>
          <w:tab w:val="left" w:pos="2056"/>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8. Ввести ограждение арматуры масляного бака от повреждения при вынимании снарядов из этажерки.</w:t>
      </w:r>
    </w:p>
    <w:p w14:paraId="2D41B27E" w14:textId="77777777" w:rsidR="00E56A12" w:rsidRPr="00D03F3E" w:rsidRDefault="00E56A12" w:rsidP="00D03F3E">
      <w:pPr>
        <w:pStyle w:val="Bodytext141"/>
        <w:shd w:val="clear" w:color="auto" w:fill="auto"/>
        <w:tabs>
          <w:tab w:val="left" w:pos="2133"/>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9. Пересмотреть размещение в боевом отделении предметов артиллерийского ЗИПа (панорама, экстракторы, ключи для установки трубок, пробойник и прочее) в направлении их рас</w:t>
      </w:r>
      <w:r w:rsidRPr="00D03F3E">
        <w:rPr>
          <w:rStyle w:val="Bodytext145"/>
          <w:i w:val="0"/>
          <w:iCs w:val="0"/>
          <w:color w:val="000000" w:themeColor="text1"/>
          <w:sz w:val="16"/>
          <w:szCs w:val="16"/>
        </w:rPr>
        <w:softHyphen/>
        <w:t>положения в непосредственной близости от того из лиц ору</w:t>
      </w:r>
      <w:r w:rsidRPr="00D03F3E">
        <w:rPr>
          <w:rStyle w:val="Bodytext145"/>
          <w:i w:val="0"/>
          <w:iCs w:val="0"/>
          <w:color w:val="000000" w:themeColor="text1"/>
          <w:sz w:val="16"/>
          <w:szCs w:val="16"/>
        </w:rPr>
        <w:softHyphen/>
        <w:t>дийного расчета, кому приходится ими пользоваться в боевой обстановке.</w:t>
      </w:r>
    </w:p>
    <w:p w14:paraId="4C69453E"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Б. Подлежащих проектной доработке.</w:t>
      </w:r>
    </w:p>
    <w:p w14:paraId="7D924193"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1. Обеспечить большие удобства обслуживания пушки в бою и по</w:t>
      </w:r>
      <w:r w:rsidRPr="00D03F3E">
        <w:rPr>
          <w:rStyle w:val="Bodytext145"/>
          <w:i w:val="0"/>
          <w:iCs w:val="0"/>
          <w:color w:val="000000" w:themeColor="text1"/>
          <w:sz w:val="16"/>
          <w:szCs w:val="16"/>
        </w:rPr>
        <w:softHyphen/>
        <w:t>вышение скорострельности. Комиссия находит возможным ре</w:t>
      </w:r>
      <w:r w:rsidRPr="00D03F3E">
        <w:rPr>
          <w:rStyle w:val="Bodytext145"/>
          <w:i w:val="0"/>
          <w:iCs w:val="0"/>
          <w:color w:val="000000" w:themeColor="text1"/>
          <w:sz w:val="16"/>
          <w:szCs w:val="16"/>
        </w:rPr>
        <w:softHyphen/>
        <w:t>комендовать для этого следующие направления работ:</w:t>
      </w:r>
    </w:p>
    <w:p w14:paraId="6EEA8D60" w14:textId="77777777" w:rsidR="00E56A12" w:rsidRPr="00D03F3E" w:rsidRDefault="00E56A12" w:rsidP="00D03F3E">
      <w:pPr>
        <w:pStyle w:val="Bodytext141"/>
        <w:shd w:val="clear" w:color="auto" w:fill="auto"/>
        <w:tabs>
          <w:tab w:val="left" w:pos="2090"/>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а) Задние бортовые листы башни разнести по наибольшему га</w:t>
      </w:r>
      <w:r w:rsidRPr="00D03F3E">
        <w:rPr>
          <w:rStyle w:val="Bodytext145"/>
          <w:i w:val="0"/>
          <w:iCs w:val="0"/>
          <w:color w:val="000000" w:themeColor="text1"/>
          <w:sz w:val="16"/>
          <w:szCs w:val="16"/>
        </w:rPr>
        <w:softHyphen/>
        <w:t>бариту передних листов.</w:t>
      </w:r>
    </w:p>
    <w:p w14:paraId="373E8826" w14:textId="77777777" w:rsidR="00E56A12" w:rsidRPr="00D03F3E" w:rsidRDefault="00E56A12" w:rsidP="00D03F3E">
      <w:pPr>
        <w:pStyle w:val="Bodytext141"/>
        <w:shd w:val="clear" w:color="auto" w:fill="auto"/>
        <w:tabs>
          <w:tab w:val="left" w:pos="2090"/>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б) Укладку всех снарядов предусмотреть по левому заднему бортовому листу башни, удлинив для этого задние листы за счет передних.</w:t>
      </w:r>
    </w:p>
    <w:p w14:paraId="74F9DF69"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Style w:val="Bodytext145"/>
          <w:rFonts w:ascii="Times New Roman" w:hAnsi="Times New Roman"/>
          <w:iCs/>
          <w:color w:val="000000" w:themeColor="text1"/>
          <w:sz w:val="16"/>
          <w:szCs w:val="16"/>
        </w:rPr>
        <w:t>в) Укладку гильз предусмотреть в правой части боевого отде</w:t>
      </w:r>
      <w:r w:rsidRPr="00D03F3E">
        <w:rPr>
          <w:rStyle w:val="Bodytext145"/>
          <w:rFonts w:ascii="Times New Roman" w:hAnsi="Times New Roman"/>
          <w:iCs/>
          <w:color w:val="000000" w:themeColor="text1"/>
          <w:sz w:val="16"/>
          <w:szCs w:val="16"/>
        </w:rPr>
        <w:softHyphen/>
        <w:t>ления, с целью возможности возложить заряжание гильзами на замкового.</w:t>
      </w:r>
    </w:p>
    <w:p w14:paraId="30FCB588" w14:textId="77777777" w:rsidR="00E56A12" w:rsidRPr="00D03F3E" w:rsidRDefault="00E56A12" w:rsidP="00D03F3E">
      <w:pPr>
        <w:pStyle w:val="Bodytext141"/>
        <w:shd w:val="clear" w:color="auto" w:fill="auto"/>
        <w:tabs>
          <w:tab w:val="left" w:pos="4550"/>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г) Запроектировать пушку с клиновым затвором.</w:t>
      </w:r>
    </w:p>
    <w:p w14:paraId="69CCFBF1" w14:textId="77777777" w:rsidR="00E56A12" w:rsidRPr="00D03F3E" w:rsidRDefault="00E56A12" w:rsidP="00D03F3E">
      <w:pPr>
        <w:pStyle w:val="Bodytext141"/>
        <w:shd w:val="clear" w:color="auto" w:fill="auto"/>
        <w:tabs>
          <w:tab w:val="left" w:pos="4627"/>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д) Пересмотреть размещение топливных и масляных баков внутри боевого отделения в связи с изменением габаритов башни и расположения боекомплекта.</w:t>
      </w:r>
    </w:p>
    <w:p w14:paraId="77EA4F13"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Габариты баков при необходимости изменить, отказав</w:t>
      </w:r>
      <w:r w:rsidRPr="00D03F3E">
        <w:rPr>
          <w:rStyle w:val="Bodytext145"/>
          <w:i w:val="0"/>
          <w:iCs w:val="0"/>
          <w:color w:val="000000" w:themeColor="text1"/>
          <w:sz w:val="16"/>
          <w:szCs w:val="16"/>
        </w:rPr>
        <w:softHyphen/>
        <w:t>шись от использования серийных.</w:t>
      </w:r>
    </w:p>
    <w:p w14:paraId="72E875C6" w14:textId="77777777" w:rsidR="00E56A12" w:rsidRPr="00D03F3E" w:rsidRDefault="00E56A12" w:rsidP="00D03F3E">
      <w:pPr>
        <w:pStyle w:val="Bodytext141"/>
        <w:shd w:val="clear" w:color="auto" w:fill="auto"/>
        <w:tabs>
          <w:tab w:val="left" w:pos="4321"/>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2. Переместить коробку поворотного механизма вправо для улуч</w:t>
      </w:r>
      <w:r w:rsidRPr="00D03F3E">
        <w:rPr>
          <w:rStyle w:val="Bodytext145"/>
          <w:i w:val="0"/>
          <w:iCs w:val="0"/>
          <w:color w:val="000000" w:themeColor="text1"/>
          <w:sz w:val="16"/>
          <w:szCs w:val="16"/>
        </w:rPr>
        <w:softHyphen/>
        <w:t>шения условий работы водителя.</w:t>
      </w:r>
    </w:p>
    <w:p w14:paraId="5AFB2018" w14:textId="77777777" w:rsidR="00E56A12" w:rsidRPr="00D03F3E" w:rsidRDefault="00E56A12" w:rsidP="00D03F3E">
      <w:pPr>
        <w:pStyle w:val="Bodytext141"/>
        <w:shd w:val="clear" w:color="auto" w:fill="auto"/>
        <w:tabs>
          <w:tab w:val="left" w:pos="4335"/>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3. Заменить бортовые фрикционы на планетарный механизм по</w:t>
      </w:r>
      <w:r w:rsidRPr="00D03F3E">
        <w:rPr>
          <w:rStyle w:val="Bodytext145"/>
          <w:i w:val="0"/>
          <w:iCs w:val="0"/>
          <w:color w:val="000000" w:themeColor="text1"/>
          <w:sz w:val="16"/>
          <w:szCs w:val="16"/>
        </w:rPr>
        <w:softHyphen/>
        <w:t>ворота.</w:t>
      </w:r>
    </w:p>
    <w:p w14:paraId="6F0B1999" w14:textId="77777777" w:rsidR="00E56A12" w:rsidRPr="00D03F3E" w:rsidRDefault="00E56A12" w:rsidP="00D03F3E">
      <w:pPr>
        <w:pStyle w:val="Bodytext141"/>
        <w:shd w:val="clear" w:color="auto" w:fill="auto"/>
        <w:tabs>
          <w:tab w:val="left" w:pos="4335"/>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 xml:space="preserve">4. При изготовлении корпуса и башни танка </w:t>
      </w:r>
      <w:r w:rsidRPr="00D03F3E">
        <w:rPr>
          <w:rStyle w:val="Bodytext145"/>
          <w:i w:val="0"/>
          <w:iCs w:val="0"/>
          <w:color w:val="000000" w:themeColor="text1"/>
          <w:sz w:val="16"/>
          <w:szCs w:val="16"/>
          <w:lang w:val="en-US"/>
        </w:rPr>
        <w:t>KB</w:t>
      </w:r>
      <w:r w:rsidRPr="00D03F3E">
        <w:rPr>
          <w:rStyle w:val="Bodytext145"/>
          <w:i w:val="0"/>
          <w:iCs w:val="0"/>
          <w:color w:val="000000" w:themeColor="text1"/>
          <w:sz w:val="16"/>
          <w:szCs w:val="16"/>
        </w:rPr>
        <w:t>- 1с из брони вы</w:t>
      </w:r>
      <w:r w:rsidRPr="00D03F3E">
        <w:rPr>
          <w:rStyle w:val="Bodytext145"/>
          <w:i w:val="0"/>
          <w:iCs w:val="0"/>
          <w:color w:val="000000" w:themeColor="text1"/>
          <w:sz w:val="16"/>
          <w:szCs w:val="16"/>
        </w:rPr>
        <w:softHyphen/>
        <w:t>сокой твердости и при замене в нем зеркальных смотровых приборов приборами МК-4 или Т-80, ввести эти изменения и в чертежи самоходной установки.</w:t>
      </w:r>
    </w:p>
    <w:p w14:paraId="17E1FD78" w14:textId="77777777" w:rsidR="00E56A12" w:rsidRPr="00D03F3E" w:rsidRDefault="00E56A12" w:rsidP="00D03F3E">
      <w:pPr>
        <w:pStyle w:val="Bodytext141"/>
        <w:shd w:val="clear" w:color="auto" w:fill="auto"/>
        <w:tabs>
          <w:tab w:val="left" w:pos="4354"/>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5. Внести в чертежи самоходной установки все изменения, не</w:t>
      </w:r>
      <w:r w:rsidRPr="00D03F3E">
        <w:rPr>
          <w:rStyle w:val="Bodytext145"/>
          <w:i w:val="0"/>
          <w:iCs w:val="0"/>
          <w:color w:val="000000" w:themeColor="text1"/>
          <w:sz w:val="16"/>
          <w:szCs w:val="16"/>
        </w:rPr>
        <w:softHyphen/>
        <w:t>обходимость которых будет выявлена в процессе изготовления и испытания самоходных установок первой серии.</w:t>
      </w:r>
    </w:p>
    <w:p w14:paraId="53C593DF" w14:textId="77777777" w:rsidR="00E56A12" w:rsidRPr="00D03F3E" w:rsidRDefault="00E56A12"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VII. Заключение</w:t>
      </w:r>
    </w:p>
    <w:p w14:paraId="5DC6C374"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Style w:val="Bodytext145"/>
          <w:rFonts w:ascii="Times New Roman" w:hAnsi="Times New Roman"/>
          <w:iCs/>
          <w:color w:val="000000" w:themeColor="text1"/>
          <w:sz w:val="16"/>
          <w:szCs w:val="16"/>
        </w:rPr>
        <w:t xml:space="preserve">1. Опытный образец самоходной артиллерийской установки со 152-мм гаубицей-пушкой обр. 1937 года на базе танка </w:t>
      </w:r>
      <w:r w:rsidRPr="00D03F3E">
        <w:rPr>
          <w:rStyle w:val="Bodytext145"/>
          <w:rFonts w:ascii="Times New Roman" w:hAnsi="Times New Roman"/>
          <w:iCs/>
          <w:color w:val="000000" w:themeColor="text1"/>
          <w:sz w:val="16"/>
          <w:szCs w:val="16"/>
          <w:lang w:val="en-US"/>
        </w:rPr>
        <w:t>KB</w:t>
      </w:r>
      <w:r w:rsidRPr="00D03F3E">
        <w:rPr>
          <w:rStyle w:val="Bodytext145"/>
          <w:rFonts w:ascii="Times New Roman" w:hAnsi="Times New Roman"/>
          <w:iCs/>
          <w:color w:val="000000" w:themeColor="text1"/>
          <w:sz w:val="16"/>
          <w:szCs w:val="16"/>
        </w:rPr>
        <w:t>-1С, разработанный конструкторами Кировского завода Нарком- танкопрома и заводов №172 и №9 Наркомата вооружения и изготовленный по артиллерийской части заводом №172 им Молотова НКВ, а по самоходной части Кировским заводом НКТП, требованиям по выполнению задач, возлагаемых на этот тип самоходной артиллерии, удовлетворяет и полигон</w:t>
      </w:r>
      <w:r w:rsidRPr="00D03F3E">
        <w:rPr>
          <w:rStyle w:val="Bodytext145"/>
          <w:rFonts w:ascii="Times New Roman" w:hAnsi="Times New Roman"/>
          <w:iCs/>
          <w:color w:val="000000" w:themeColor="text1"/>
          <w:sz w:val="16"/>
          <w:szCs w:val="16"/>
        </w:rPr>
        <w:softHyphen/>
        <w:t>ные испытания выдержал</w:t>
      </w:r>
    </w:p>
    <w:p w14:paraId="2D451322" w14:textId="77777777" w:rsidR="00E56A12" w:rsidRPr="00D03F3E" w:rsidRDefault="00E56A12" w:rsidP="00D03F3E">
      <w:pPr>
        <w:pStyle w:val="Bodytext141"/>
        <w:shd w:val="clear" w:color="auto" w:fill="auto"/>
        <w:tabs>
          <w:tab w:val="left" w:pos="1158"/>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2. Рекомендовать эту самоходную артиллерийскую установку</w:t>
      </w:r>
      <w:r w:rsidRPr="00D03F3E">
        <w:rPr>
          <w:rStyle w:val="Bodytext14Tahoma"/>
          <w:rFonts w:ascii="Times New Roman" w:hAnsi="Times New Roman" w:cs="Times New Roman"/>
          <w:i w:val="0"/>
          <w:iCs w:val="0"/>
          <w:color w:val="000000" w:themeColor="text1"/>
        </w:rPr>
        <w:t xml:space="preserve"> Ночные испытания </w:t>
      </w:r>
      <w:r w:rsidRPr="00D03F3E">
        <w:rPr>
          <w:rStyle w:val="Bodytext145"/>
          <w:i w:val="0"/>
          <w:iCs w:val="0"/>
          <w:color w:val="000000" w:themeColor="text1"/>
          <w:sz w:val="16"/>
          <w:szCs w:val="16"/>
        </w:rPr>
        <w:t>к принятию на вооружение артиллерии Красной Армии и не-</w:t>
      </w:r>
      <w:r w:rsidRPr="00D03F3E">
        <w:rPr>
          <w:rStyle w:val="Bodytext14Tahoma"/>
          <w:rFonts w:ascii="Times New Roman" w:hAnsi="Times New Roman" w:cs="Times New Roman"/>
          <w:i w:val="0"/>
          <w:iCs w:val="0"/>
          <w:color w:val="000000" w:themeColor="text1"/>
        </w:rPr>
        <w:t xml:space="preserve"> стрельбой (ЦАМО) </w:t>
      </w:r>
      <w:r w:rsidRPr="00D03F3E">
        <w:rPr>
          <w:rStyle w:val="Bodytext145"/>
          <w:i w:val="0"/>
          <w:iCs w:val="0"/>
          <w:color w:val="000000" w:themeColor="text1"/>
          <w:sz w:val="16"/>
          <w:szCs w:val="16"/>
        </w:rPr>
        <w:t>медленному запуску в серийное производство с введением из</w:t>
      </w:r>
      <w:r w:rsidRPr="00D03F3E">
        <w:rPr>
          <w:rStyle w:val="Bodytext145"/>
          <w:i w:val="0"/>
          <w:iCs w:val="0"/>
          <w:color w:val="000000" w:themeColor="text1"/>
          <w:sz w:val="16"/>
          <w:szCs w:val="16"/>
        </w:rPr>
        <w:softHyphen/>
        <w:t>менений по пункту А раздела VI настоящего отчета.</w:t>
      </w:r>
    </w:p>
    <w:p w14:paraId="4DFBB899" w14:textId="77777777" w:rsidR="00E56A12" w:rsidRPr="00D03F3E" w:rsidRDefault="00E56A12" w:rsidP="00D03F3E">
      <w:pPr>
        <w:pStyle w:val="Bodytext141"/>
        <w:shd w:val="clear" w:color="auto" w:fill="auto"/>
        <w:tabs>
          <w:tab w:val="left" w:pos="1154"/>
        </w:tabs>
        <w:spacing w:line="240" w:lineRule="auto"/>
        <w:ind w:firstLine="0"/>
        <w:jc w:val="both"/>
        <w:rPr>
          <w:rStyle w:val="Bodytext145"/>
          <w:i w:val="0"/>
          <w:iCs w:val="0"/>
          <w:color w:val="000000" w:themeColor="text1"/>
          <w:sz w:val="16"/>
          <w:szCs w:val="16"/>
        </w:rPr>
      </w:pPr>
      <w:r w:rsidRPr="00D03F3E">
        <w:rPr>
          <w:rStyle w:val="Bodytext145"/>
          <w:i w:val="0"/>
          <w:iCs w:val="0"/>
          <w:color w:val="000000" w:themeColor="text1"/>
          <w:sz w:val="16"/>
          <w:szCs w:val="16"/>
        </w:rPr>
        <w:t>3. Считать целесообразным поручить Кировскому заводу Нар- комтанкопрома и заводам №172 и №9 Наркомата Вооржения разработать проект самоходной установки с изменениями по пункту Б раздела VI настоящего отчета, представив его на рассмотрения Артиллерийского Комитета к 15 марта сего года» (17484).</w:t>
      </w:r>
    </w:p>
    <w:p w14:paraId="4CE596BB" w14:textId="77777777" w:rsidR="00E56A12" w:rsidRPr="00D03F3E" w:rsidRDefault="00E56A12" w:rsidP="00D03F3E">
      <w:pPr>
        <w:pStyle w:val="Bodytext141"/>
        <w:shd w:val="clear" w:color="auto" w:fill="auto"/>
        <w:tabs>
          <w:tab w:val="left" w:pos="1154"/>
        </w:tabs>
        <w:spacing w:line="240" w:lineRule="auto"/>
        <w:ind w:firstLine="0"/>
        <w:jc w:val="both"/>
        <w:rPr>
          <w:i w:val="0"/>
          <w:color w:val="000000" w:themeColor="text1"/>
          <w:sz w:val="16"/>
          <w:szCs w:val="16"/>
        </w:rPr>
      </w:pPr>
    </w:p>
    <w:p w14:paraId="1ED452E9" w14:textId="77777777" w:rsidR="00B86F70" w:rsidRPr="00D03F3E" w:rsidRDefault="00B86F70" w:rsidP="00D03F3E">
      <w:pPr>
        <w:pStyle w:val="ae"/>
        <w:spacing w:before="0" w:after="0"/>
        <w:jc w:val="both"/>
        <w:textAlignment w:val="baseline"/>
        <w:rPr>
          <w:color w:val="000000" w:themeColor="text1"/>
          <w:sz w:val="16"/>
          <w:szCs w:val="16"/>
        </w:rPr>
      </w:pPr>
      <w:r w:rsidRPr="00D03F3E">
        <w:rPr>
          <w:color w:val="000000" w:themeColor="text1"/>
          <w:sz w:val="16"/>
          <w:szCs w:val="16"/>
        </w:rPr>
        <w:t xml:space="preserve">В начале февраля 1943 года под Сталинградом оказалась захвачена немецкая тяжёлая самоходная установка </w:t>
      </w:r>
      <w:hyperlink r:id="rId57" w:history="1">
        <w:r w:rsidRPr="00D03F3E">
          <w:rPr>
            <w:rStyle w:val="a5"/>
            <w:bCs/>
            <w:iCs/>
            <w:color w:val="000000" w:themeColor="text1"/>
            <w:sz w:val="16"/>
            <w:szCs w:val="16"/>
            <w:bdr w:val="none" w:sz="0" w:space="0" w:color="auto" w:frame="1"/>
          </w:rPr>
          <w:t>Pz.Sfl.V</w:t>
        </w:r>
      </w:hyperlink>
      <w:r w:rsidRPr="00D03F3E">
        <w:rPr>
          <w:color w:val="000000" w:themeColor="text1"/>
          <w:sz w:val="16"/>
          <w:szCs w:val="16"/>
        </w:rPr>
        <w:t xml:space="preserve">, созданная на базе тяжёлого танка </w:t>
      </w:r>
      <w:hyperlink r:id="rId58" w:history="1">
        <w:r w:rsidRPr="00D03F3E">
          <w:rPr>
            <w:rStyle w:val="a5"/>
            <w:bCs/>
            <w:iCs/>
            <w:color w:val="000000" w:themeColor="text1"/>
            <w:sz w:val="16"/>
            <w:szCs w:val="16"/>
            <w:bdr w:val="none" w:sz="0" w:space="0" w:color="auto" w:frame="1"/>
          </w:rPr>
          <w:t>VK 30.01(H)</w:t>
        </w:r>
      </w:hyperlink>
      <w:r w:rsidRPr="00D03F3E">
        <w:rPr>
          <w:color w:val="000000" w:themeColor="text1"/>
          <w:sz w:val="16"/>
          <w:szCs w:val="16"/>
        </w:rPr>
        <w:t>. В марте 1943 года специалисты НИБТ Полигона в Кубинке составили краткое описание трофейной САУ. В конце описания они предложили установить на шасси КВ-1 орудие А-19, создав, таким образом, аналог немецкой машины (17716).</w:t>
      </w:r>
    </w:p>
    <w:p w14:paraId="527D795A" w14:textId="77777777" w:rsidR="00B86F70" w:rsidRPr="00D03F3E" w:rsidRDefault="00B86F70" w:rsidP="00D03F3E">
      <w:pPr>
        <w:spacing w:after="0" w:line="240" w:lineRule="auto"/>
        <w:jc w:val="both"/>
        <w:rPr>
          <w:rFonts w:ascii="Times New Roman" w:hAnsi="Times New Roman"/>
          <w:color w:val="000000" w:themeColor="text1"/>
          <w:sz w:val="16"/>
          <w:szCs w:val="16"/>
        </w:rPr>
      </w:pPr>
    </w:p>
    <w:p w14:paraId="32A56131"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0D8E531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158AD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начале февраля 1943 г. 132-го отдельный бомбардировочный полк на Ту-2 перебросили на Юго-Западный фронт. 18 машин перебазировались на временный </w:t>
      </w:r>
      <w:r w:rsidRPr="00D03F3E">
        <w:rPr>
          <w:rFonts w:ascii="Times New Roman" w:hAnsi="Times New Roman"/>
          <w:color w:val="000000" w:themeColor="text1"/>
          <w:sz w:val="16"/>
          <w:szCs w:val="16"/>
        </w:rPr>
        <w:lastRenderedPageBreak/>
        <w:t>аэродром Кошары в 50 км южнее Миллерова. С 12 февраля полк совершил оттуда 39 вылетов на бомбометание. Здесь уже Ту-2 не поручали атаку войск у линии фронта. Используя большие дальность полета и бомбовую нагрузку, чем Пе-2, новые самолеты специализировались на налетах на железнодорожные узлы и аэродромы. Целями стали Запорожье, Днепропетровск, Дебальцево, Красноармейск, Синельниково, Ясиноватская. К сожалению, распутица препятствовала подвозу бомб крупных калибров. Пришлось перейти на преимущественное использование ФАБ-100. Позже нашли брошенный немцами при отступлении склад боеприпасов. Там обнаружились и авиабомбы. После некоторой переделки их удалось приспособить к советским бомбодержателям. Такие бомбы сбрасывали на Днепропетровск и Донецк (11988).</w:t>
      </w:r>
    </w:p>
    <w:p w14:paraId="5D7C47E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налетах на аэродромы бомбы мелких калибров были даже предпочтительнее. При атаке на аэродром в Запорожье использовали ФАБ-100, сброшенные на стоянки самолетов с высоты 400 м. По советским данным, при этом сожгли и вывели из строя 18 вражеских машин.</w:t>
      </w:r>
    </w:p>
    <w:p w14:paraId="03DE3A3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этого, Ту-2 стали применять как дальние разведчики. Они совершили семь одиночных полетов по разным маршрутам.</w:t>
      </w:r>
    </w:p>
    <w:p w14:paraId="7F6B06C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одном случае новый бомбардировщик очень ярко продемонстрировал свою высокую обороноспособность. 20 февраля 1943 г. на подходе к цели Ту-2 встретили три двухмоторных истребителя Мессершмитт Bf 110. Один из них пошел навстречу бомбардировщику лейтенанта Жувака и открыл огонь с дистанции 500 - 600 м, но промахнулся. Жувак немного выждал, поймал врага в прицел и с 300 м начал стрелять из носовых пулеметов, а затем дал две очереди из пушек. Сбитый "мессершмитт" повалился вниз, два других не приняли боя и ушли в облака.</w:t>
      </w:r>
    </w:p>
    <w:p w14:paraId="47F0A54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"Ложкой дегтя", образно говоря, для личного состава полка стала недостаточная надежность моторов М-82. Барахлили карбюраторы и магнето, быстро выходили из строя свечи зажигания, встречались поломки нагнетателей. Перед каждым вылетом требовалось тщательно проверять двигатели, восстанавливать регулировку карбюраторов. За время испытаний имели место 16 случаев полного или частичного отказа моторов в воздухе и 12 случаев, когда это происходило на земле непосредственно перед вылетом. Из-за этого летчикам пришлось совершить 11 вынужденных посадок, в том числе три - с убранным шасси. При вынужденных посадках было разбито пять самолетов, которые списали. По разным причинам техническому составу потребовалось сменить 17 моторов.</w:t>
      </w:r>
    </w:p>
    <w:p w14:paraId="7600DD9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Два Ту-2 разбились в катастрофах на своей территории. На долю непосредственно противника можно отнести лишь два самолета, не вернувшихся с боевых заданий по невыясненным причинам.</w:t>
      </w:r>
    </w:p>
    <w:p w14:paraId="1A4108E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 полк за время войсковых испытаний потерял девять бомбардировщиков в основном по небоевым причинам.</w:t>
      </w:r>
    </w:p>
    <w:p w14:paraId="4BFF37E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16 марта 1943 г. в 132-м полку осталось 14 Ту-2. Восемь из них требовали замены одного или обоих моторов. Еще пять находились в разных местах после вынужденных посадок. Для компенсации потерь полк получил три новых Ту-2, но это не могло в полной мере восстановить его боеспособность. 13 апреля полк отозвали с фронта и отправили на переформирование в Йошкар- Олу. Десять исправных машин вместе с экипажами передали 47-му гвардейскому дальнеразведывательно- му полку.</w:t>
      </w:r>
    </w:p>
    <w:p w14:paraId="19102BF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этом войсковые испытания бомбардировщика завершились. Но деятельностью 132-го полка боевое применение Ту-2, построенных в Омске, далеко не исчерпывалось. Всего на фронт попали 63 машины (11988).</w:t>
      </w:r>
    </w:p>
    <w:p w14:paraId="1C72E85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2E3DEB" w14:textId="52EF56D2" w:rsidR="00C0268F" w:rsidRPr="00D03F3E" w:rsidRDefault="00C0268F" w:rsidP="00D03F3E">
      <w:pPr>
        <w:shd w:val="clear" w:color="auto" w:fill="FFFFFF"/>
        <w:spacing w:after="0" w:line="240" w:lineRule="auto"/>
        <w:jc w:val="both"/>
        <w:rPr>
          <w:rFonts w:ascii="Times New Roman" w:hAnsi="Times New Roman"/>
          <w:color w:val="0070C0"/>
          <w:sz w:val="16"/>
          <w:szCs w:val="16"/>
        </w:rPr>
      </w:pPr>
      <w:r w:rsidRPr="00D03F3E">
        <w:rPr>
          <w:rFonts w:ascii="Times New Roman" w:eastAsia="Times New Roman" w:hAnsi="Times New Roman"/>
          <w:color w:val="0070C0"/>
          <w:sz w:val="16"/>
          <w:szCs w:val="16"/>
        </w:rPr>
        <w:t>В начале февраля 1943 г. состояние самолетного парка ВВС РККА стало предметом специального обсуждения Государственным Комитетом обороны. В результате вышло Постановление ГКО № 2819 от 03.02.43 г., согласно которому количество неисправной авиатехники в строевых частях в ВВС не должно было превышать 15%. Этим же постановлением при Управлении ИАС ВВС было создано Управление полевого ремонта и Управление капитально-восста</w:t>
      </w:r>
      <w:r w:rsidRPr="00D03F3E">
        <w:rPr>
          <w:rFonts w:ascii="Times New Roman" w:eastAsia="Times New Roman" w:hAnsi="Times New Roman"/>
          <w:color w:val="0070C0"/>
          <w:sz w:val="16"/>
          <w:szCs w:val="16"/>
        </w:rPr>
        <w:softHyphen/>
        <w:t>новительного ремонта, а в воздушных армиях и округах - Отделы полевого ремонта (20186).</w:t>
      </w:r>
    </w:p>
    <w:p w14:paraId="2F0A4EF7" w14:textId="77777777" w:rsidR="00C0268F" w:rsidRPr="00D03F3E" w:rsidRDefault="00C0268F" w:rsidP="00D03F3E">
      <w:pPr>
        <w:shd w:val="clear" w:color="auto" w:fill="FFFFFF"/>
        <w:spacing w:after="0" w:line="240" w:lineRule="auto"/>
        <w:jc w:val="both"/>
        <w:rPr>
          <w:rFonts w:ascii="Times New Roman" w:eastAsia="Times New Roman" w:hAnsi="Times New Roman"/>
          <w:color w:val="0070C0"/>
          <w:sz w:val="16"/>
          <w:szCs w:val="16"/>
        </w:rPr>
      </w:pPr>
    </w:p>
    <w:p w14:paraId="7F48FE84"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2E58F9C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73097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вышло Постановление ГКО № 2841 О развертывании строительства самолетов Ил-2 с АМ-38ф в варианте корректировщика и формировании корректировочных эскадрилий.РГАНИР, Фонд ГКО, д. 87, лл. 84-85 (11012).</w:t>
      </w:r>
    </w:p>
    <w:p w14:paraId="263E8FE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B5BBAF" w14:textId="77777777" w:rsidR="00C0268F" w:rsidRPr="00D03F3E" w:rsidRDefault="00C0268F" w:rsidP="00D03F3E">
      <w:pPr>
        <w:pStyle w:val="36"/>
        <w:shd w:val="clear" w:color="auto" w:fill="auto"/>
        <w:spacing w:after="0" w:line="240" w:lineRule="auto"/>
        <w:jc w:val="both"/>
        <w:rPr>
          <w:rFonts w:ascii="Times New Roman" w:cs="Times New Roman"/>
          <w:color w:val="0070C0"/>
          <w:spacing w:val="0"/>
          <w:sz w:val="16"/>
          <w:szCs w:val="16"/>
        </w:rPr>
      </w:pPr>
      <w:r w:rsidRPr="00D03F3E">
        <w:rPr>
          <w:rFonts w:ascii="Times New Roman" w:cs="Times New Roman"/>
          <w:color w:val="0070C0"/>
          <w:spacing w:val="0"/>
          <w:sz w:val="16"/>
          <w:szCs w:val="16"/>
        </w:rPr>
        <w:t>7 февраля 1943 г. ГКО обязал Ильюшина</w:t>
      </w:r>
      <w:r w:rsidRPr="00D03F3E">
        <w:rPr>
          <w:rStyle w:val="1pt3"/>
          <w:rFonts w:ascii="Times New Roman" w:hAnsi="Times New Roman" w:cs="Times New Roman"/>
          <w:color w:val="0070C0"/>
          <w:spacing w:val="0"/>
          <w:sz w:val="16"/>
          <w:szCs w:val="16"/>
        </w:rPr>
        <w:t xml:space="preserve"> </w:t>
      </w:r>
      <w:r w:rsidRPr="00D03F3E">
        <w:rPr>
          <w:rStyle w:val="1pt3"/>
          <w:rFonts w:ascii="Times New Roman" w:hAnsi="Times New Roman" w:cs="Times New Roman"/>
          <w:i w:val="0"/>
          <w:iCs w:val="0"/>
          <w:color w:val="0070C0"/>
          <w:spacing w:val="0"/>
          <w:sz w:val="16"/>
          <w:szCs w:val="16"/>
        </w:rPr>
        <w:t>«приспособить суще</w:t>
      </w:r>
      <w:r w:rsidRPr="00D03F3E">
        <w:rPr>
          <w:rStyle w:val="1pt3"/>
          <w:rFonts w:ascii="Times New Roman" w:hAnsi="Times New Roman" w:cs="Times New Roman"/>
          <w:i w:val="0"/>
          <w:iCs w:val="0"/>
          <w:color w:val="0070C0"/>
          <w:spacing w:val="0"/>
          <w:sz w:val="16"/>
          <w:szCs w:val="16"/>
        </w:rPr>
        <w:softHyphen/>
        <w:t>ствующий двухместный самолет Ил-2 с АМ-38ф»</w:t>
      </w:r>
      <w:r w:rsidRPr="00D03F3E">
        <w:rPr>
          <w:rFonts w:ascii="Times New Roman" w:cs="Times New Roman"/>
          <w:color w:val="0070C0"/>
          <w:spacing w:val="0"/>
          <w:sz w:val="16"/>
          <w:szCs w:val="16"/>
        </w:rPr>
        <w:t xml:space="preserve"> для ведения разведки и корректировки артогня (19854).</w:t>
      </w:r>
    </w:p>
    <w:p w14:paraId="63EE1C09" w14:textId="77777777" w:rsidR="00C0268F" w:rsidRPr="00D03F3E" w:rsidRDefault="00C0268F" w:rsidP="00D03F3E">
      <w:pPr>
        <w:pStyle w:val="36"/>
        <w:shd w:val="clear" w:color="auto" w:fill="auto"/>
        <w:spacing w:after="0" w:line="240" w:lineRule="auto"/>
        <w:jc w:val="both"/>
        <w:rPr>
          <w:rFonts w:ascii="Times New Roman" w:cs="Times New Roman"/>
          <w:color w:val="0070C0"/>
          <w:spacing w:val="0"/>
          <w:sz w:val="16"/>
          <w:szCs w:val="16"/>
        </w:rPr>
      </w:pPr>
    </w:p>
    <w:p w14:paraId="4922F51F" w14:textId="77777777" w:rsidR="00481C91" w:rsidRPr="00D03F3E" w:rsidRDefault="00481C9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вышло Постановление ГКО № 2841 О развертывании строительства самолетов Ил-2 с АМ-38ф в варианте корректировщика и формировании корректировочных эскадрилий</w:t>
      </w:r>
    </w:p>
    <w:p w14:paraId="5D227130" w14:textId="77777777" w:rsidR="00481C91" w:rsidRPr="00D03F3E" w:rsidRDefault="00481C91"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Государственный Комитет Обороны постановляет:</w:t>
      </w:r>
    </w:p>
    <w:p w14:paraId="0D5D30DB" w14:textId="77777777" w:rsidR="00481C91" w:rsidRPr="00D03F3E" w:rsidRDefault="00481C91" w:rsidP="00D03F3E">
      <w:pPr>
        <w:pStyle w:val="47"/>
        <w:shd w:val="clear" w:color="auto" w:fill="auto"/>
        <w:tabs>
          <w:tab w:val="left" w:pos="1043"/>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1. Для обеспечения стрельбы артиллерии на предельных даль</w:t>
      </w:r>
      <w:r w:rsidRPr="00D03F3E">
        <w:rPr>
          <w:rFonts w:ascii="Times New Roman" w:hAnsi="Times New Roman" w:cs="Times New Roman"/>
          <w:color w:val="000000" w:themeColor="text1"/>
          <w:sz w:val="16"/>
          <w:szCs w:val="16"/>
        </w:rPr>
        <w:softHyphen/>
        <w:t>ностях сформировать в системе разведки артиллерии корректировоч</w:t>
      </w:r>
      <w:r w:rsidRPr="00D03F3E">
        <w:rPr>
          <w:rFonts w:ascii="Times New Roman" w:hAnsi="Times New Roman" w:cs="Times New Roman"/>
          <w:color w:val="000000" w:themeColor="text1"/>
          <w:sz w:val="16"/>
          <w:szCs w:val="16"/>
        </w:rPr>
        <w:softHyphen/>
        <w:t>ные эскадрильи в следующие сроки:</w:t>
      </w:r>
    </w:p>
    <w:p w14:paraId="4B28030C" w14:textId="77777777" w:rsidR="00481C91" w:rsidRPr="00D03F3E" w:rsidRDefault="00481C91" w:rsidP="00D03F3E">
      <w:pPr>
        <w:pStyle w:val="47"/>
        <w:shd w:val="clear" w:color="auto" w:fill="auto"/>
        <w:tabs>
          <w:tab w:val="left" w:pos="1608"/>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 марте 1943 года - 2 эскадрильи</w:t>
      </w:r>
    </w:p>
    <w:p w14:paraId="5909B3C2" w14:textId="77777777" w:rsidR="00481C91" w:rsidRPr="00D03F3E" w:rsidRDefault="00E319F0" w:rsidP="00D03F3E">
      <w:pPr>
        <w:tabs>
          <w:tab w:val="left" w:pos="1615"/>
          <w:tab w:val="right" w:pos="4674"/>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fldChar w:fldCharType="begin"/>
      </w:r>
      <w:r w:rsidR="00481C91" w:rsidRPr="00D03F3E">
        <w:rPr>
          <w:rFonts w:ascii="Times New Roman" w:hAnsi="Times New Roman"/>
          <w:color w:val="000000" w:themeColor="text1"/>
          <w:sz w:val="16"/>
          <w:szCs w:val="16"/>
        </w:rPr>
        <w:instrText xml:space="preserve"> TOC \o "1-3" \h \z </w:instrText>
      </w:r>
      <w:r w:rsidRPr="00D03F3E">
        <w:rPr>
          <w:rFonts w:ascii="Times New Roman" w:hAnsi="Times New Roman"/>
          <w:color w:val="000000" w:themeColor="text1"/>
          <w:sz w:val="16"/>
          <w:szCs w:val="16"/>
        </w:rPr>
        <w:fldChar w:fldCharType="separate"/>
      </w:r>
      <w:r w:rsidR="00481C91" w:rsidRPr="00D03F3E">
        <w:rPr>
          <w:rFonts w:ascii="Times New Roman" w:hAnsi="Times New Roman"/>
          <w:color w:val="000000" w:themeColor="text1"/>
          <w:sz w:val="16"/>
          <w:szCs w:val="16"/>
        </w:rPr>
        <w:t>в апреле 1943 года</w:t>
      </w:r>
      <w:r w:rsidR="00481C91" w:rsidRPr="00D03F3E">
        <w:rPr>
          <w:rFonts w:ascii="Times New Roman" w:hAnsi="Times New Roman"/>
          <w:color w:val="000000" w:themeColor="text1"/>
          <w:sz w:val="16"/>
          <w:szCs w:val="16"/>
        </w:rPr>
        <w:tab/>
        <w:t>5</w:t>
      </w:r>
    </w:p>
    <w:p w14:paraId="6441EF7E" w14:textId="77777777" w:rsidR="00481C91" w:rsidRPr="00D03F3E" w:rsidRDefault="00481C91" w:rsidP="00D03F3E">
      <w:pPr>
        <w:tabs>
          <w:tab w:val="left" w:pos="4488"/>
          <w:tab w:val="right" w:pos="539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 мае 1943 года</w:t>
      </w:r>
      <w:r w:rsidRPr="00D03F3E">
        <w:rPr>
          <w:rFonts w:ascii="Times New Roman" w:hAnsi="Times New Roman"/>
          <w:color w:val="000000" w:themeColor="text1"/>
          <w:sz w:val="16"/>
          <w:szCs w:val="16"/>
        </w:rPr>
        <w:tab/>
      </w:r>
      <w:r w:rsidRPr="00D03F3E">
        <w:rPr>
          <w:rStyle w:val="MicrosoftSansSerif95pt"/>
          <w:rFonts w:ascii="Times New Roman" w:hAnsi="Times New Roman" w:cs="Times New Roman"/>
          <w:color w:val="000000" w:themeColor="text1"/>
          <w:sz w:val="16"/>
          <w:szCs w:val="16"/>
        </w:rPr>
        <w:t>8</w:t>
      </w:r>
    </w:p>
    <w:p w14:paraId="508DA2B1" w14:textId="77777777" w:rsidR="00481C91" w:rsidRPr="00D03F3E" w:rsidRDefault="00481C91" w:rsidP="00D03F3E">
      <w:pPr>
        <w:tabs>
          <w:tab w:val="left" w:pos="1615"/>
          <w:tab w:val="left" w:pos="4495"/>
          <w:tab w:val="right" w:pos="539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года</w:t>
      </w:r>
      <w:r w:rsidRPr="00D03F3E">
        <w:rPr>
          <w:rFonts w:ascii="Times New Roman" w:hAnsi="Times New Roman"/>
          <w:color w:val="000000" w:themeColor="text1"/>
          <w:sz w:val="16"/>
          <w:szCs w:val="16"/>
        </w:rPr>
        <w:tab/>
        <w:t>5</w:t>
      </w:r>
      <w:r w:rsidRPr="00D03F3E">
        <w:rPr>
          <w:rFonts w:ascii="Times New Roman" w:hAnsi="Times New Roman"/>
          <w:color w:val="000000" w:themeColor="text1"/>
          <w:sz w:val="16"/>
          <w:szCs w:val="16"/>
        </w:rPr>
        <w:tab/>
        <w:t>"</w:t>
      </w:r>
    </w:p>
    <w:p w14:paraId="64A74C0C" w14:textId="77777777" w:rsidR="00481C91" w:rsidRPr="00D03F3E" w:rsidRDefault="00481C91" w:rsidP="00D03F3E">
      <w:pPr>
        <w:tabs>
          <w:tab w:val="left" w:pos="1615"/>
          <w:tab w:val="left" w:pos="4495"/>
          <w:tab w:val="right" w:pos="539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июле 1943 года</w:t>
      </w:r>
      <w:r w:rsidRPr="00D03F3E">
        <w:rPr>
          <w:rFonts w:ascii="Times New Roman" w:hAnsi="Times New Roman"/>
          <w:color w:val="000000" w:themeColor="text1"/>
          <w:sz w:val="16"/>
          <w:szCs w:val="16"/>
        </w:rPr>
        <w:tab/>
        <w:t>8</w:t>
      </w:r>
      <w:r w:rsidRPr="00D03F3E">
        <w:rPr>
          <w:rFonts w:ascii="Times New Roman" w:hAnsi="Times New Roman"/>
          <w:color w:val="000000" w:themeColor="text1"/>
          <w:sz w:val="16"/>
          <w:szCs w:val="16"/>
        </w:rPr>
        <w:tab/>
        <w:t>"</w:t>
      </w:r>
    </w:p>
    <w:p w14:paraId="011D49D8" w14:textId="77777777" w:rsidR="00481C91" w:rsidRPr="00D03F3E" w:rsidRDefault="00481C91" w:rsidP="00D03F3E">
      <w:pPr>
        <w:tabs>
          <w:tab w:val="left" w:pos="1615"/>
          <w:tab w:val="left" w:pos="4495"/>
          <w:tab w:val="right" w:pos="539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августе 1943 года</w:t>
      </w:r>
      <w:r w:rsidRPr="00D03F3E">
        <w:rPr>
          <w:rFonts w:ascii="Times New Roman" w:hAnsi="Times New Roman"/>
          <w:color w:val="000000" w:themeColor="text1"/>
          <w:sz w:val="16"/>
          <w:szCs w:val="16"/>
        </w:rPr>
        <w:tab/>
        <w:t>5</w:t>
      </w:r>
      <w:r w:rsidRPr="00D03F3E">
        <w:rPr>
          <w:rFonts w:ascii="Times New Roman" w:hAnsi="Times New Roman"/>
          <w:color w:val="000000" w:themeColor="text1"/>
          <w:sz w:val="16"/>
          <w:szCs w:val="16"/>
        </w:rPr>
        <w:tab/>
        <w:t>"</w:t>
      </w:r>
    </w:p>
    <w:p w14:paraId="5BA6A302" w14:textId="77777777" w:rsidR="00481C91" w:rsidRPr="00D03F3E" w:rsidRDefault="00481C91" w:rsidP="00D03F3E">
      <w:pPr>
        <w:tabs>
          <w:tab w:val="left" w:pos="1615"/>
          <w:tab w:val="left" w:pos="4495"/>
          <w:tab w:val="right" w:pos="539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сентябре 1943 года</w:t>
      </w:r>
      <w:r w:rsidRPr="00D03F3E">
        <w:rPr>
          <w:rFonts w:ascii="Times New Roman" w:hAnsi="Times New Roman"/>
          <w:color w:val="000000" w:themeColor="text1"/>
          <w:sz w:val="16"/>
          <w:szCs w:val="16"/>
        </w:rPr>
        <w:tab/>
        <w:t>4</w:t>
      </w:r>
      <w:r w:rsidRPr="00D03F3E">
        <w:rPr>
          <w:rFonts w:ascii="Times New Roman" w:hAnsi="Times New Roman"/>
          <w:color w:val="000000" w:themeColor="text1"/>
          <w:sz w:val="16"/>
          <w:szCs w:val="16"/>
        </w:rPr>
        <w:tab/>
        <w:t>"</w:t>
      </w:r>
      <w:r w:rsidR="00E319F0" w:rsidRPr="00D03F3E">
        <w:rPr>
          <w:rFonts w:ascii="Times New Roman" w:hAnsi="Times New Roman"/>
          <w:color w:val="000000" w:themeColor="text1"/>
          <w:sz w:val="16"/>
          <w:szCs w:val="16"/>
        </w:rPr>
        <w:fldChar w:fldCharType="end"/>
      </w:r>
    </w:p>
    <w:p w14:paraId="22C85EC5" w14:textId="77777777" w:rsidR="00481C91" w:rsidRPr="00D03F3E" w:rsidRDefault="00481C91"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Все эскадрильи подчинить в оперативном отношении непосред</w:t>
      </w:r>
      <w:r w:rsidRPr="00D03F3E">
        <w:rPr>
          <w:rFonts w:ascii="Times New Roman" w:hAnsi="Times New Roman" w:cs="Times New Roman"/>
          <w:color w:val="000000" w:themeColor="text1"/>
          <w:sz w:val="16"/>
          <w:szCs w:val="16"/>
        </w:rPr>
        <w:softHyphen/>
        <w:t>ственно Командующему Артиллерией Краской Армии.</w:t>
      </w:r>
    </w:p>
    <w:p w14:paraId="7BE85EBD" w14:textId="77777777" w:rsidR="00481C91" w:rsidRPr="00D03F3E" w:rsidRDefault="00481C91" w:rsidP="00D03F3E">
      <w:pPr>
        <w:pStyle w:val="47"/>
        <w:shd w:val="clear" w:color="auto" w:fill="auto"/>
        <w:tabs>
          <w:tab w:val="left" w:pos="1050"/>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2. Обязать НКАП (тов.Шахурина А.И.) и главного конструкто</w:t>
      </w:r>
      <w:r w:rsidRPr="00D03F3E">
        <w:rPr>
          <w:rFonts w:ascii="Times New Roman" w:hAnsi="Times New Roman" w:cs="Times New Roman"/>
          <w:color w:val="000000" w:themeColor="text1"/>
          <w:sz w:val="16"/>
          <w:szCs w:val="16"/>
        </w:rPr>
        <w:softHyphen/>
        <w:t>ра самолета Ил-2 (тов.Ильюаина С.В.) до окончательной отработки самолета копректирсв-дика приспособить с/лествуюший двухместный самолет лл-2 с АИ-38ф, установив рацию РСБ и йотоустановку.</w:t>
      </w:r>
    </w:p>
    <w:p w14:paraId="1C877B30" w14:textId="77777777" w:rsidR="00481C91" w:rsidRPr="00D03F3E" w:rsidRDefault="00481C91"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Выпуск самолетов произвести в следующие сроки:</w:t>
      </w:r>
    </w:p>
    <w:p w14:paraId="148DA41A" w14:textId="77777777" w:rsidR="00481C91" w:rsidRPr="00D03F3E" w:rsidRDefault="00481C91" w:rsidP="00D03F3E">
      <w:pPr>
        <w:pStyle w:val="47"/>
        <w:shd w:val="clear" w:color="auto" w:fill="auto"/>
        <w:tabs>
          <w:tab w:val="left" w:pos="3925"/>
          <w:tab w:val="left" w:pos="4390"/>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 феврале 1943 года</w:t>
      </w:r>
      <w:r w:rsidRPr="00D03F3E">
        <w:rPr>
          <w:rFonts w:ascii="Times New Roman" w:hAnsi="Times New Roman" w:cs="Times New Roman"/>
          <w:color w:val="000000" w:themeColor="text1"/>
          <w:sz w:val="16"/>
          <w:szCs w:val="16"/>
        </w:rPr>
        <w:tab/>
        <w:t>-</w:t>
      </w:r>
      <w:r w:rsidRPr="00D03F3E">
        <w:rPr>
          <w:rFonts w:ascii="Times New Roman" w:hAnsi="Times New Roman" w:cs="Times New Roman"/>
          <w:color w:val="000000" w:themeColor="text1"/>
          <w:sz w:val="16"/>
          <w:szCs w:val="16"/>
        </w:rPr>
        <w:tab/>
        <w:t>10 самолетов,</w:t>
      </w:r>
    </w:p>
    <w:p w14:paraId="18DD2DBF" w14:textId="77777777" w:rsidR="00481C91" w:rsidRPr="00D03F3E" w:rsidRDefault="00481C91" w:rsidP="00D03F3E">
      <w:pPr>
        <w:pStyle w:val="47"/>
        <w:shd w:val="clear" w:color="auto" w:fill="auto"/>
        <w:tabs>
          <w:tab w:val="left" w:pos="3925"/>
          <w:tab w:val="left" w:pos="4390"/>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 марте 1943 года</w:t>
      </w:r>
      <w:r w:rsidRPr="00D03F3E">
        <w:rPr>
          <w:rFonts w:ascii="Times New Roman" w:hAnsi="Times New Roman" w:cs="Times New Roman"/>
          <w:color w:val="000000" w:themeColor="text1"/>
          <w:sz w:val="16"/>
          <w:szCs w:val="16"/>
        </w:rPr>
        <w:tab/>
        <w:t>-</w:t>
      </w:r>
      <w:r w:rsidRPr="00D03F3E">
        <w:rPr>
          <w:rFonts w:ascii="Times New Roman" w:hAnsi="Times New Roman" w:cs="Times New Roman"/>
          <w:color w:val="000000" w:themeColor="text1"/>
          <w:sz w:val="16"/>
          <w:szCs w:val="16"/>
        </w:rPr>
        <w:tab/>
        <w:t>40 самолетов,</w:t>
      </w:r>
    </w:p>
    <w:p w14:paraId="7830C9FB" w14:textId="77777777" w:rsidR="00481C91" w:rsidRPr="00D03F3E" w:rsidRDefault="00481C91" w:rsidP="00D03F3E">
      <w:pPr>
        <w:pStyle w:val="47"/>
        <w:shd w:val="clear" w:color="auto" w:fill="auto"/>
        <w:tabs>
          <w:tab w:val="left" w:pos="3925"/>
          <w:tab w:val="left" w:pos="4390"/>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 апреле</w:t>
      </w:r>
      <w:r w:rsidRPr="00D03F3E">
        <w:rPr>
          <w:rStyle w:val="Candara12pt-1pt"/>
          <w:rFonts w:ascii="Times New Roman" w:hAnsi="Times New Roman" w:cs="Times New Roman"/>
          <w:color w:val="000000" w:themeColor="text1"/>
          <w:spacing w:val="0"/>
          <w:sz w:val="16"/>
          <w:szCs w:val="16"/>
        </w:rPr>
        <w:t xml:space="preserve"> 1943</w:t>
      </w:r>
      <w:r w:rsidRPr="00D03F3E">
        <w:rPr>
          <w:rFonts w:ascii="Times New Roman" w:hAnsi="Times New Roman" w:cs="Times New Roman"/>
          <w:color w:val="000000" w:themeColor="text1"/>
          <w:sz w:val="16"/>
          <w:szCs w:val="16"/>
        </w:rPr>
        <w:t xml:space="preserve"> года</w:t>
      </w:r>
      <w:r w:rsidRPr="00D03F3E">
        <w:rPr>
          <w:rFonts w:ascii="Times New Roman" w:hAnsi="Times New Roman" w:cs="Times New Roman"/>
          <w:color w:val="000000" w:themeColor="text1"/>
          <w:sz w:val="16"/>
          <w:szCs w:val="16"/>
        </w:rPr>
        <w:tab/>
        <w:t>-</w:t>
      </w:r>
      <w:r w:rsidRPr="00D03F3E">
        <w:rPr>
          <w:rFonts w:ascii="Times New Roman" w:hAnsi="Times New Roman" w:cs="Times New Roman"/>
          <w:color w:val="000000" w:themeColor="text1"/>
          <w:sz w:val="16"/>
          <w:szCs w:val="16"/>
        </w:rPr>
        <w:tab/>
        <w:t>50 самолетов,</w:t>
      </w:r>
    </w:p>
    <w:p w14:paraId="02C19AF9" w14:textId="77777777" w:rsidR="00481C91" w:rsidRPr="00D03F3E" w:rsidRDefault="00481C91" w:rsidP="00D03F3E">
      <w:pPr>
        <w:pStyle w:val="47"/>
        <w:shd w:val="clear" w:color="auto" w:fill="auto"/>
        <w:tabs>
          <w:tab w:val="left" w:pos="3933"/>
          <w:tab w:val="left" w:pos="4398"/>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 мае 194о года</w:t>
      </w:r>
      <w:r w:rsidRPr="00D03F3E">
        <w:rPr>
          <w:rFonts w:ascii="Times New Roman" w:hAnsi="Times New Roman" w:cs="Times New Roman"/>
          <w:color w:val="000000" w:themeColor="text1"/>
          <w:sz w:val="16"/>
          <w:szCs w:val="16"/>
        </w:rPr>
        <w:tab/>
        <w:t>-</w:t>
      </w:r>
      <w:r w:rsidRPr="00D03F3E">
        <w:rPr>
          <w:rFonts w:ascii="Times New Roman" w:hAnsi="Times New Roman" w:cs="Times New Roman"/>
          <w:color w:val="000000" w:themeColor="text1"/>
          <w:sz w:val="16"/>
          <w:szCs w:val="16"/>
        </w:rPr>
        <w:tab/>
        <w:t>50 самолетов,</w:t>
      </w:r>
    </w:p>
    <w:p w14:paraId="5862EE70" w14:textId="77777777" w:rsidR="00481C91" w:rsidRPr="00D03F3E" w:rsidRDefault="00481C91" w:rsidP="00D03F3E">
      <w:pPr>
        <w:pStyle w:val="47"/>
        <w:shd w:val="clear" w:color="auto" w:fill="auto"/>
        <w:tabs>
          <w:tab w:val="left" w:pos="3933"/>
          <w:tab w:val="left" w:pos="4398"/>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 июне 1943 года</w:t>
      </w:r>
      <w:r w:rsidRPr="00D03F3E">
        <w:rPr>
          <w:rFonts w:ascii="Times New Roman" w:hAnsi="Times New Roman" w:cs="Times New Roman"/>
          <w:color w:val="000000" w:themeColor="text1"/>
          <w:sz w:val="16"/>
          <w:szCs w:val="16"/>
        </w:rPr>
        <w:tab/>
        <w:t>-</w:t>
      </w:r>
      <w:r w:rsidRPr="00D03F3E">
        <w:rPr>
          <w:rFonts w:ascii="Times New Roman" w:hAnsi="Times New Roman" w:cs="Times New Roman"/>
          <w:color w:val="000000" w:themeColor="text1"/>
          <w:sz w:val="16"/>
          <w:szCs w:val="16"/>
        </w:rPr>
        <w:tab/>
        <w:t>50 самолетов,</w:t>
      </w:r>
    </w:p>
    <w:p w14:paraId="6662306E" w14:textId="77777777" w:rsidR="00481C91" w:rsidRPr="00D03F3E" w:rsidRDefault="00481C91" w:rsidP="00D03F3E">
      <w:pPr>
        <w:pStyle w:val="47"/>
        <w:shd w:val="clear" w:color="auto" w:fill="auto"/>
        <w:tabs>
          <w:tab w:val="left" w:pos="1065"/>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3. Обязать НКАП (тсв.Шахурина А.И.) и главного конструкто</w:t>
      </w:r>
      <w:r w:rsidRPr="00D03F3E">
        <w:rPr>
          <w:rFonts w:ascii="Times New Roman" w:hAnsi="Times New Roman" w:cs="Times New Roman"/>
          <w:color w:val="000000" w:themeColor="text1"/>
          <w:sz w:val="16"/>
          <w:szCs w:val="16"/>
        </w:rPr>
        <w:softHyphen/>
        <w:t>ра самолета Ил-2 (тов.Ильюшина С.В.) предусмотреть в модифици</w:t>
      </w:r>
      <w:r w:rsidRPr="00D03F3E">
        <w:rPr>
          <w:rFonts w:ascii="Times New Roman" w:hAnsi="Times New Roman" w:cs="Times New Roman"/>
          <w:color w:val="000000" w:themeColor="text1"/>
          <w:sz w:val="16"/>
          <w:szCs w:val="16"/>
        </w:rPr>
        <w:softHyphen/>
        <w:t>руемом, на основании постановления Государственного Комитета Обо</w:t>
      </w:r>
      <w:r w:rsidRPr="00D03F3E">
        <w:rPr>
          <w:rFonts w:ascii="Times New Roman" w:hAnsi="Times New Roman" w:cs="Times New Roman"/>
          <w:color w:val="000000" w:themeColor="text1"/>
          <w:sz w:val="16"/>
          <w:szCs w:val="16"/>
        </w:rPr>
        <w:softHyphen/>
        <w:t xml:space="preserve">роны от 25.1/. 1942 года за Я? 2347сс, самолете Ил-2 с </w:t>
      </w:r>
      <w:r w:rsidRPr="00D03F3E">
        <w:rPr>
          <w:rFonts w:ascii="Times New Roman" w:hAnsi="Times New Roman" w:cs="Times New Roman"/>
          <w:color w:val="000000" w:themeColor="text1"/>
          <w:sz w:val="16"/>
          <w:szCs w:val="16"/>
          <w:lang w:val="en-US"/>
        </w:rPr>
        <w:t>ALI</w:t>
      </w:r>
      <w:r w:rsidRPr="00D03F3E">
        <w:rPr>
          <w:rFonts w:ascii="Times New Roman" w:hAnsi="Times New Roman" w:cs="Times New Roman"/>
          <w:color w:val="000000" w:themeColor="text1"/>
          <w:sz w:val="16"/>
          <w:szCs w:val="16"/>
        </w:rPr>
        <w:t>-384 установку:</w:t>
      </w:r>
    </w:p>
    <w:p w14:paraId="5FE8D276" w14:textId="77777777" w:rsidR="00481C91" w:rsidRPr="00D03F3E" w:rsidRDefault="00481C91" w:rsidP="00D03F3E">
      <w:pPr>
        <w:pStyle w:val="47"/>
        <w:shd w:val="clear" w:color="auto" w:fill="auto"/>
        <w:tabs>
          <w:tab w:val="left" w:pos="1065"/>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а) радиостанции типа РСЕ и СПУ:</w:t>
      </w:r>
    </w:p>
    <w:p w14:paraId="01DEE54B" w14:textId="77777777" w:rsidR="00481C91" w:rsidRPr="00D03F3E" w:rsidRDefault="00481C91" w:rsidP="00D03F3E">
      <w:pPr>
        <w:pStyle w:val="47"/>
        <w:shd w:val="clear" w:color="auto" w:fill="auto"/>
        <w:tabs>
          <w:tab w:val="left" w:pos="1058"/>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б) фотоаппарат типа АЗА-1;</w:t>
      </w:r>
    </w:p>
    <w:p w14:paraId="5F0F1B5A" w14:textId="77777777" w:rsidR="00481C91" w:rsidRPr="00D03F3E" w:rsidRDefault="00481C91" w:rsidP="00D03F3E">
      <w:pPr>
        <w:pStyle w:val="47"/>
        <w:shd w:val="clear" w:color="auto" w:fill="auto"/>
        <w:tabs>
          <w:tab w:val="left" w:pos="1065"/>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 навигационные приборы.</w:t>
      </w:r>
    </w:p>
    <w:p w14:paraId="619932DF" w14:textId="77777777" w:rsidR="00481C91" w:rsidRPr="00D03F3E" w:rsidRDefault="00481C91" w:rsidP="00D03F3E">
      <w:pPr>
        <w:pStyle w:val="47"/>
        <w:shd w:val="clear" w:color="auto" w:fill="auto"/>
        <w:spacing w:line="240" w:lineRule="auto"/>
        <w:ind w:firstLine="0"/>
        <w:jc w:val="both"/>
        <w:rPr>
          <w:rStyle w:val="16"/>
          <w:rFonts w:ascii="Times New Roman" w:hAnsi="Times New Roman" w:cs="Times New Roman"/>
          <w:color w:val="000000" w:themeColor="text1"/>
          <w:spacing w:val="0"/>
          <w:u w:val="none"/>
        </w:rPr>
      </w:pPr>
      <w:r w:rsidRPr="00D03F3E">
        <w:rPr>
          <w:rStyle w:val="16"/>
          <w:rFonts w:ascii="Times New Roman" w:hAnsi="Times New Roman" w:cs="Times New Roman"/>
          <w:color w:val="000000" w:themeColor="text1"/>
          <w:spacing w:val="0"/>
          <w:u w:val="none"/>
        </w:rPr>
        <w:t>Опытный образец самолета-корректировщика выпустить и подговить к испытаниям 15 марта 1943 года</w:t>
      </w:r>
    </w:p>
    <w:p w14:paraId="4D418A6D" w14:textId="77777777" w:rsidR="00481C91" w:rsidRPr="00D03F3E" w:rsidRDefault="00481C91" w:rsidP="00D03F3E">
      <w:pPr>
        <w:pStyle w:val="27"/>
        <w:shd w:val="clear" w:color="auto" w:fill="auto"/>
        <w:tabs>
          <w:tab w:val="left" w:pos="97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4. Организацию эскадрильи иметь в составе:</w:t>
      </w:r>
    </w:p>
    <w:p w14:paraId="66684346" w14:textId="77777777" w:rsidR="00481C91" w:rsidRPr="00D03F3E" w:rsidRDefault="00481C9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5 самолетов-корректировщиков и одного самолета связи типа У-2.</w:t>
      </w:r>
    </w:p>
    <w:p w14:paraId="48E9BFCD" w14:textId="77777777" w:rsidR="00481C91" w:rsidRPr="00D03F3E" w:rsidRDefault="00481C91" w:rsidP="00D03F3E">
      <w:pPr>
        <w:pStyle w:val="27"/>
        <w:shd w:val="clear" w:color="auto" w:fill="auto"/>
        <w:tabs>
          <w:tab w:val="left" w:pos="958"/>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5. Возложить формирование эскадрилий, боевую подготовку летно-технического состава на ВВС КА (тов.Новикова).</w:t>
      </w:r>
    </w:p>
    <w:p w14:paraId="4A70007A" w14:textId="77777777" w:rsidR="00481C91" w:rsidRPr="00D03F3E" w:rsidRDefault="00481C91" w:rsidP="00D03F3E">
      <w:pPr>
        <w:pStyle w:val="27"/>
        <w:shd w:val="clear" w:color="auto" w:fill="auto"/>
        <w:tabs>
          <w:tab w:val="left" w:pos="958"/>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6. Начальникам Главных Управлений НКО обеспечить формируе</w:t>
      </w:r>
      <w:r w:rsidRPr="00D03F3E">
        <w:rPr>
          <w:rFonts w:ascii="Times New Roman" w:cs="Times New Roman"/>
          <w:color w:val="000000" w:themeColor="text1"/>
          <w:spacing w:val="0"/>
        </w:rPr>
        <w:softHyphen/>
        <w:t>мые корректировочные эскадрильи положенным по штату и табелям вооружением, транспортом и имуществом (19380).</w:t>
      </w:r>
    </w:p>
    <w:p w14:paraId="45CF1C77" w14:textId="77777777" w:rsidR="00481C91" w:rsidRPr="00D03F3E" w:rsidRDefault="00481C91" w:rsidP="00D03F3E">
      <w:pPr>
        <w:spacing w:after="0" w:line="240" w:lineRule="auto"/>
        <w:jc w:val="both"/>
        <w:rPr>
          <w:rFonts w:ascii="Times New Roman" w:hAnsi="Times New Roman"/>
          <w:color w:val="000000" w:themeColor="text1"/>
          <w:sz w:val="16"/>
          <w:szCs w:val="16"/>
        </w:rPr>
      </w:pPr>
    </w:p>
    <w:p w14:paraId="3583DA6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вышло Постановление ГКО N 2841 о развертывании строительства Ил-2 АМ-38Ф в варианте корректировщика (с выпуском в апреле 50 самолетов).</w:t>
      </w:r>
    </w:p>
    <w:p w14:paraId="1E5E346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было постановление ГКО N 2841сс от 7 февраля 1943 о выпуске самолетов Ил-2 в варианте корректировщика (1689,65).</w:t>
      </w:r>
    </w:p>
    <w:p w14:paraId="1F0C1EF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было выпущено 65 самолетов Ил-2 в этом варианте (491).</w:t>
      </w:r>
    </w:p>
    <w:p w14:paraId="2F0DC12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B6D41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г. ГКО своим Постанов</w:t>
      </w:r>
      <w:r w:rsidRPr="00D03F3E">
        <w:rPr>
          <w:rFonts w:ascii="Times New Roman" w:hAnsi="Times New Roman"/>
          <w:color w:val="000000" w:themeColor="text1"/>
          <w:sz w:val="16"/>
          <w:szCs w:val="16"/>
        </w:rPr>
        <w:softHyphen/>
        <w:t xml:space="preserve">лением № 2841 обязал Ильюшина </w:t>
      </w:r>
      <w:r w:rsidRPr="00D03F3E">
        <w:rPr>
          <w:rFonts w:ascii="Times New Roman" w:hAnsi="Times New Roman"/>
          <w:iCs/>
          <w:color w:val="000000" w:themeColor="text1"/>
          <w:sz w:val="16"/>
          <w:szCs w:val="16"/>
        </w:rPr>
        <w:t>"...до окончательной отработки самолета-корректировщика приспособить суще</w:t>
      </w:r>
      <w:r w:rsidRPr="00D03F3E">
        <w:rPr>
          <w:rFonts w:ascii="Times New Roman" w:hAnsi="Times New Roman"/>
          <w:iCs/>
          <w:color w:val="000000" w:themeColor="text1"/>
          <w:sz w:val="16"/>
          <w:szCs w:val="16"/>
        </w:rPr>
        <w:softHyphen/>
        <w:t>ствующий двухместный самолет Ил-2 с АМ-38ф, установив радиостанцию РСБ и фотоустановку"</w:t>
      </w:r>
      <w:r w:rsidRPr="00D03F3E">
        <w:rPr>
          <w:rFonts w:ascii="Times New Roman" w:hAnsi="Times New Roman"/>
          <w:color w:val="000000" w:themeColor="text1"/>
          <w:sz w:val="16"/>
          <w:szCs w:val="16"/>
        </w:rPr>
        <w:t xml:space="preserve"> (6467).</w:t>
      </w:r>
    </w:p>
    <w:p w14:paraId="29F2A2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514B9D" w14:textId="77777777" w:rsidR="00E53102" w:rsidRPr="00D03F3E" w:rsidRDefault="00E53102" w:rsidP="00D03F3E">
      <w:pPr>
        <w:pStyle w:val="45"/>
        <w:shd w:val="clear" w:color="auto" w:fill="auto"/>
        <w:spacing w:before="0" w:line="240" w:lineRule="auto"/>
        <w:jc w:val="both"/>
        <w:rPr>
          <w:rFonts w:ascii="Times New Roman" w:cs="Times New Roman"/>
          <w:color w:val="000000" w:themeColor="text1"/>
          <w:sz w:val="16"/>
          <w:szCs w:val="16"/>
        </w:rPr>
      </w:pPr>
      <w:r w:rsidRPr="00D03F3E">
        <w:rPr>
          <w:rStyle w:val="4f0"/>
          <w:rFonts w:ascii="Times New Roman" w:hAnsi="Times New Roman" w:cs="Times New Roman"/>
          <w:i w:val="0"/>
          <w:color w:val="000000" w:themeColor="text1"/>
          <w:sz w:val="16"/>
          <w:szCs w:val="16"/>
        </w:rPr>
        <w:t>7 февраля 1943 г. ГКО своим Поста</w:t>
      </w:r>
      <w:r w:rsidRPr="00D03F3E">
        <w:rPr>
          <w:rStyle w:val="4f0"/>
          <w:rFonts w:ascii="Times New Roman" w:hAnsi="Times New Roman" w:cs="Times New Roman"/>
          <w:i w:val="0"/>
          <w:color w:val="000000" w:themeColor="text1"/>
          <w:sz w:val="16"/>
          <w:szCs w:val="16"/>
        </w:rPr>
        <w:softHyphen/>
        <w:t xml:space="preserve">новлением №2841 обязал Ильюшина </w:t>
      </w:r>
      <w:r w:rsidRPr="00D03F3E">
        <w:rPr>
          <w:rFonts w:ascii="Times New Roman" w:cs="Times New Roman"/>
          <w:color w:val="000000" w:themeColor="text1"/>
          <w:sz w:val="16"/>
          <w:szCs w:val="16"/>
        </w:rPr>
        <w:t>«...до окончательной отработки само</w:t>
      </w:r>
      <w:r w:rsidRPr="00D03F3E">
        <w:rPr>
          <w:rFonts w:ascii="Times New Roman" w:cs="Times New Roman"/>
          <w:color w:val="000000" w:themeColor="text1"/>
          <w:sz w:val="16"/>
          <w:szCs w:val="16"/>
        </w:rPr>
        <w:softHyphen/>
        <w:t>лета-корректировщика приспособить существующий двухместный самолет Ил-2 с АМ-38ф, установив радиостан</w:t>
      </w:r>
      <w:r w:rsidRPr="00D03F3E">
        <w:rPr>
          <w:rFonts w:ascii="Times New Roman" w:cs="Times New Roman"/>
          <w:color w:val="000000" w:themeColor="text1"/>
          <w:sz w:val="16"/>
          <w:szCs w:val="16"/>
        </w:rPr>
        <w:softHyphen/>
        <w:t>цию РСБ и фотоустановку» (15762).</w:t>
      </w:r>
    </w:p>
    <w:p w14:paraId="35CE9F93" w14:textId="77777777" w:rsidR="00E53102" w:rsidRPr="00D03F3E" w:rsidRDefault="00E53102" w:rsidP="00D03F3E">
      <w:pPr>
        <w:spacing w:after="0" w:line="240" w:lineRule="auto"/>
        <w:jc w:val="both"/>
        <w:rPr>
          <w:rFonts w:ascii="Times New Roman" w:hAnsi="Times New Roman"/>
          <w:color w:val="000000" w:themeColor="text1"/>
          <w:sz w:val="16"/>
          <w:szCs w:val="16"/>
        </w:rPr>
      </w:pPr>
    </w:p>
    <w:p w14:paraId="52CCA69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г. вышло постановление ГКО, согласно которому на заводе № 240 к 15 марта 1943 г. должны были изготовить на базе серий</w:t>
      </w:r>
      <w:r w:rsidRPr="00D03F3E">
        <w:rPr>
          <w:rFonts w:ascii="Times New Roman" w:hAnsi="Times New Roman"/>
          <w:color w:val="000000" w:themeColor="text1"/>
          <w:sz w:val="16"/>
          <w:szCs w:val="16"/>
        </w:rPr>
        <w:softHyphen/>
        <w:t>ного Ил-2КР опытный образец двухмес</w:t>
      </w:r>
      <w:r w:rsidRPr="00D03F3E">
        <w:rPr>
          <w:rFonts w:ascii="Times New Roman" w:hAnsi="Times New Roman"/>
          <w:color w:val="000000" w:themeColor="text1"/>
          <w:sz w:val="16"/>
          <w:szCs w:val="16"/>
        </w:rPr>
        <w:softHyphen/>
        <w:t>тного бронированного разведчика и кор</w:t>
      </w:r>
      <w:r w:rsidRPr="00D03F3E">
        <w:rPr>
          <w:rFonts w:ascii="Times New Roman" w:hAnsi="Times New Roman"/>
          <w:color w:val="000000" w:themeColor="text1"/>
          <w:sz w:val="16"/>
          <w:szCs w:val="16"/>
        </w:rPr>
        <w:softHyphen/>
        <w:t>ректировщика артиллерийского огня с двигателем АМ-42. Известно, что такой самолет испытывался в мае 1943 г., но неудачно (10680).</w:t>
      </w:r>
    </w:p>
    <w:p w14:paraId="101ECC3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8C1A2B"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г. вышло Поста</w:t>
      </w:r>
      <w:r w:rsidRPr="00D03F3E">
        <w:rPr>
          <w:rFonts w:ascii="Times New Roman" w:hAnsi="Times New Roman"/>
          <w:color w:val="000000" w:themeColor="text1"/>
          <w:sz w:val="16"/>
          <w:szCs w:val="16"/>
        </w:rPr>
        <w:softHyphen/>
        <w:t>новление ГОКО, согласно которому ОКБ С. В. Ильюшин и завод № 240 должны были построить опытный са</w:t>
      </w:r>
      <w:r w:rsidRPr="00D03F3E">
        <w:rPr>
          <w:rFonts w:ascii="Times New Roman" w:hAnsi="Times New Roman"/>
          <w:color w:val="000000" w:themeColor="text1"/>
          <w:sz w:val="16"/>
          <w:szCs w:val="16"/>
        </w:rPr>
        <w:softHyphen/>
        <w:t>молет-разведчик и корректировщик артиллерийского огня Ил-2 с АМ-42 и одновременно приспособить для этой цели серийный Ил-2 с АМ-38ф. Как следует из документов, по сво</w:t>
      </w:r>
      <w:r w:rsidRPr="00D03F3E">
        <w:rPr>
          <w:rFonts w:ascii="Times New Roman" w:hAnsi="Times New Roman"/>
          <w:color w:val="000000" w:themeColor="text1"/>
          <w:sz w:val="16"/>
          <w:szCs w:val="16"/>
        </w:rPr>
        <w:softHyphen/>
        <w:t>им конструктивным решениям "сле</w:t>
      </w:r>
      <w:r w:rsidRPr="00D03F3E">
        <w:rPr>
          <w:rFonts w:ascii="Times New Roman" w:hAnsi="Times New Roman"/>
          <w:color w:val="000000" w:themeColor="text1"/>
          <w:sz w:val="16"/>
          <w:szCs w:val="16"/>
        </w:rPr>
        <w:softHyphen/>
        <w:t>допыт" с мотором АМ-42 в целом по</w:t>
      </w:r>
      <w:r w:rsidRPr="00D03F3E">
        <w:rPr>
          <w:rFonts w:ascii="Times New Roman" w:hAnsi="Times New Roman"/>
          <w:color w:val="000000" w:themeColor="text1"/>
          <w:sz w:val="16"/>
          <w:szCs w:val="16"/>
        </w:rPr>
        <w:softHyphen/>
        <w:t>вторял самолет Ил-2М.</w:t>
      </w:r>
    </w:p>
    <w:p w14:paraId="01D4971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 А. А. Микулина и опытное производство 24-го завода, получив официальное указание на разработ</w:t>
      </w:r>
      <w:r w:rsidRPr="00D03F3E">
        <w:rPr>
          <w:rFonts w:ascii="Times New Roman" w:hAnsi="Times New Roman"/>
          <w:color w:val="000000" w:themeColor="text1"/>
          <w:sz w:val="16"/>
          <w:szCs w:val="16"/>
        </w:rPr>
        <w:softHyphen/>
        <w:t>ку нового мотора, в срочном поряд</w:t>
      </w:r>
      <w:r w:rsidRPr="00D03F3E">
        <w:rPr>
          <w:rFonts w:ascii="Times New Roman" w:hAnsi="Times New Roman"/>
          <w:color w:val="000000" w:themeColor="text1"/>
          <w:sz w:val="16"/>
          <w:szCs w:val="16"/>
        </w:rPr>
        <w:softHyphen/>
        <w:t>ке приступили к изготовлению дета</w:t>
      </w:r>
      <w:r w:rsidRPr="00D03F3E">
        <w:rPr>
          <w:rFonts w:ascii="Times New Roman" w:hAnsi="Times New Roman"/>
          <w:color w:val="000000" w:themeColor="text1"/>
          <w:sz w:val="16"/>
          <w:szCs w:val="16"/>
        </w:rPr>
        <w:softHyphen/>
        <w:t>лей для 5 моторов. Уже через 30 суток первый АМ-42-Й "выкатили" на заводские испытания, в ходе которых были получены весьма обнадежива</w:t>
      </w:r>
      <w:r w:rsidRPr="00D03F3E">
        <w:rPr>
          <w:rFonts w:ascii="Times New Roman" w:hAnsi="Times New Roman"/>
          <w:color w:val="000000" w:themeColor="text1"/>
          <w:sz w:val="16"/>
          <w:szCs w:val="16"/>
        </w:rPr>
        <w:softHyphen/>
        <w:t>ющие результаты. На взлетном ре</w:t>
      </w:r>
      <w:r w:rsidRPr="00D03F3E">
        <w:rPr>
          <w:rFonts w:ascii="Times New Roman" w:hAnsi="Times New Roman"/>
          <w:color w:val="000000" w:themeColor="text1"/>
          <w:sz w:val="16"/>
          <w:szCs w:val="16"/>
        </w:rPr>
        <w:softHyphen/>
        <w:t>жиме мотор развил мощность 1978 л.с., что было почти на четыре сотни "лошадей" больше, чем "вы</w:t>
      </w:r>
      <w:r w:rsidRPr="00D03F3E">
        <w:rPr>
          <w:rFonts w:ascii="Times New Roman" w:hAnsi="Times New Roman"/>
          <w:color w:val="000000" w:themeColor="text1"/>
          <w:sz w:val="16"/>
          <w:szCs w:val="16"/>
        </w:rPr>
        <w:softHyphen/>
        <w:t>давал" серийный АМ-38. На номи</w:t>
      </w:r>
      <w:r w:rsidRPr="00D03F3E">
        <w:rPr>
          <w:rFonts w:ascii="Times New Roman" w:hAnsi="Times New Roman"/>
          <w:color w:val="000000" w:themeColor="text1"/>
          <w:sz w:val="16"/>
          <w:szCs w:val="16"/>
        </w:rPr>
        <w:softHyphen/>
        <w:t>нальном режиме АМ-42 показал мощность 1762 л.с.</w:t>
      </w:r>
    </w:p>
    <w:p w14:paraId="53B56BC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Разработка мотора в столь сжа</w:t>
      </w:r>
      <w:r w:rsidRPr="00D03F3E">
        <w:rPr>
          <w:rFonts w:ascii="Times New Roman" w:hAnsi="Times New Roman"/>
          <w:color w:val="000000" w:themeColor="text1"/>
          <w:sz w:val="16"/>
          <w:szCs w:val="16"/>
        </w:rPr>
        <w:softHyphen/>
        <w:t>тые сроки не могла не сказаться на его качестве: требовалась тщатель</w:t>
      </w:r>
      <w:r w:rsidRPr="00D03F3E">
        <w:rPr>
          <w:rFonts w:ascii="Times New Roman" w:hAnsi="Times New Roman"/>
          <w:color w:val="000000" w:themeColor="text1"/>
          <w:sz w:val="16"/>
          <w:szCs w:val="16"/>
        </w:rPr>
        <w:softHyphen/>
        <w:t>ная доводка всех агрегатов и узлов. Только в мае 1943 г. АМ-42 удов</w:t>
      </w:r>
      <w:r w:rsidRPr="00D03F3E">
        <w:rPr>
          <w:rFonts w:ascii="Times New Roman" w:hAnsi="Times New Roman"/>
          <w:color w:val="000000" w:themeColor="text1"/>
          <w:sz w:val="16"/>
          <w:szCs w:val="16"/>
        </w:rPr>
        <w:softHyphen/>
        <w:t>летворительно прошел совместные 50-часовые испытания. В ходе испы</w:t>
      </w:r>
      <w:r w:rsidRPr="00D03F3E">
        <w:rPr>
          <w:rFonts w:ascii="Times New Roman" w:hAnsi="Times New Roman"/>
          <w:color w:val="000000" w:themeColor="text1"/>
          <w:sz w:val="16"/>
          <w:szCs w:val="16"/>
        </w:rPr>
        <w:softHyphen/>
        <w:t>таний была получена мощность 1940 л.с. на взлетном, и 1766 л.с. -на номинальном режимах.</w:t>
      </w:r>
    </w:p>
    <w:p w14:paraId="71F3A481"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выводах комиссии отмечалось, что мотор АМ-42 испытания прошел удовлетворительно и является "совре</w:t>
      </w:r>
      <w:r w:rsidRPr="00D03F3E">
        <w:rPr>
          <w:rFonts w:ascii="Times New Roman" w:hAnsi="Times New Roman"/>
          <w:color w:val="000000" w:themeColor="text1"/>
          <w:sz w:val="16"/>
          <w:szCs w:val="16"/>
        </w:rPr>
        <w:softHyphen/>
        <w:t>менным мотором, ценным для штур</w:t>
      </w:r>
      <w:r w:rsidRPr="00D03F3E">
        <w:rPr>
          <w:rFonts w:ascii="Times New Roman" w:hAnsi="Times New Roman"/>
          <w:color w:val="000000" w:themeColor="text1"/>
          <w:sz w:val="16"/>
          <w:szCs w:val="16"/>
        </w:rPr>
        <w:softHyphen/>
        <w:t>мовой авиации". Наряду с этим, Глав</w:t>
      </w:r>
      <w:r w:rsidRPr="00D03F3E">
        <w:rPr>
          <w:rFonts w:ascii="Times New Roman" w:hAnsi="Times New Roman"/>
          <w:color w:val="000000" w:themeColor="text1"/>
          <w:sz w:val="16"/>
          <w:szCs w:val="16"/>
        </w:rPr>
        <w:softHyphen/>
        <w:t>ному конструктору А. А. Микулину и директору завода № 24 М. С. Жез-лову вменялось в обязанность "...в кратчайшие сроки устранить выявлен</w:t>
      </w:r>
      <w:r w:rsidRPr="00D03F3E">
        <w:rPr>
          <w:rFonts w:ascii="Times New Roman" w:hAnsi="Times New Roman"/>
          <w:color w:val="000000" w:themeColor="text1"/>
          <w:sz w:val="16"/>
          <w:szCs w:val="16"/>
        </w:rPr>
        <w:softHyphen/>
        <w:t>ные конструктивные недостатки и де</w:t>
      </w:r>
      <w:r w:rsidRPr="00D03F3E">
        <w:rPr>
          <w:rFonts w:ascii="Times New Roman" w:hAnsi="Times New Roman"/>
          <w:color w:val="000000" w:themeColor="text1"/>
          <w:sz w:val="16"/>
          <w:szCs w:val="16"/>
        </w:rPr>
        <w:softHyphen/>
        <w:t>фекты мотора, проверить работу мотора на самолетах Ил-2М, отра</w:t>
      </w:r>
      <w:r w:rsidRPr="00D03F3E">
        <w:rPr>
          <w:rFonts w:ascii="Times New Roman" w:hAnsi="Times New Roman"/>
          <w:color w:val="000000" w:themeColor="text1"/>
          <w:sz w:val="16"/>
          <w:szCs w:val="16"/>
        </w:rPr>
        <w:softHyphen/>
        <w:t>ботать ВМГ самолета и предъявить самолет в НИИ ВВС на специаль</w:t>
      </w:r>
      <w:r w:rsidRPr="00D03F3E">
        <w:rPr>
          <w:rFonts w:ascii="Times New Roman" w:hAnsi="Times New Roman"/>
          <w:color w:val="000000" w:themeColor="text1"/>
          <w:sz w:val="16"/>
          <w:szCs w:val="16"/>
        </w:rPr>
        <w:softHyphen/>
        <w:t>ные летные испытания мотора в те</w:t>
      </w:r>
      <w:r w:rsidRPr="00D03F3E">
        <w:rPr>
          <w:rFonts w:ascii="Times New Roman" w:hAnsi="Times New Roman"/>
          <w:color w:val="000000" w:themeColor="text1"/>
          <w:sz w:val="16"/>
          <w:szCs w:val="16"/>
        </w:rPr>
        <w:softHyphen/>
        <w:t>чение 50 часов".</w:t>
      </w:r>
    </w:p>
    <w:p w14:paraId="2AFACE1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Известно, что С. В. Ильюшин пы</w:t>
      </w:r>
      <w:r w:rsidRPr="00D03F3E">
        <w:rPr>
          <w:rFonts w:ascii="Times New Roman" w:hAnsi="Times New Roman"/>
          <w:color w:val="000000" w:themeColor="text1"/>
          <w:sz w:val="16"/>
          <w:szCs w:val="16"/>
        </w:rPr>
        <w:softHyphen/>
        <w:t>тался убедить руководство НКАП па</w:t>
      </w:r>
      <w:r w:rsidRPr="00D03F3E">
        <w:rPr>
          <w:rFonts w:ascii="Times New Roman" w:hAnsi="Times New Roman"/>
          <w:color w:val="000000" w:themeColor="text1"/>
          <w:sz w:val="16"/>
          <w:szCs w:val="16"/>
        </w:rPr>
        <w:softHyphen/>
        <w:t>раллельно с постройкой опытного са</w:t>
      </w:r>
      <w:r w:rsidRPr="00D03F3E">
        <w:rPr>
          <w:rFonts w:ascii="Times New Roman" w:hAnsi="Times New Roman"/>
          <w:color w:val="000000" w:themeColor="text1"/>
          <w:sz w:val="16"/>
          <w:szCs w:val="16"/>
        </w:rPr>
        <w:softHyphen/>
        <w:t>молета Ил-2М АМ-42 развернуть ра</w:t>
      </w:r>
      <w:r w:rsidRPr="00D03F3E">
        <w:rPr>
          <w:rFonts w:ascii="Times New Roman" w:hAnsi="Times New Roman"/>
          <w:color w:val="000000" w:themeColor="text1"/>
          <w:sz w:val="16"/>
          <w:szCs w:val="16"/>
        </w:rPr>
        <w:softHyphen/>
        <w:t>боты по налаживанию его серийно</w:t>
      </w:r>
      <w:r w:rsidRPr="00D03F3E">
        <w:rPr>
          <w:rFonts w:ascii="Times New Roman" w:hAnsi="Times New Roman"/>
          <w:color w:val="000000" w:themeColor="text1"/>
          <w:sz w:val="16"/>
          <w:szCs w:val="16"/>
        </w:rPr>
        <w:softHyphen/>
        <w:t>го выпуска на московском авиаза</w:t>
      </w:r>
      <w:r w:rsidRPr="00D03F3E">
        <w:rPr>
          <w:rFonts w:ascii="Times New Roman" w:hAnsi="Times New Roman"/>
          <w:color w:val="000000" w:themeColor="text1"/>
          <w:sz w:val="16"/>
          <w:szCs w:val="16"/>
        </w:rPr>
        <w:softHyphen/>
        <w:t>воде № 30. Им даже был заготов</w:t>
      </w:r>
      <w:r w:rsidRPr="00D03F3E">
        <w:rPr>
          <w:rFonts w:ascii="Times New Roman" w:hAnsi="Times New Roman"/>
          <w:color w:val="000000" w:themeColor="text1"/>
          <w:sz w:val="16"/>
          <w:szCs w:val="16"/>
        </w:rPr>
        <w:softHyphen/>
        <w:t>лен проект приказа и 18 января 1943 г. подан наркому для рассмотрения. Однако А. И. Шахурин решил не рис</w:t>
      </w:r>
      <w:r w:rsidRPr="00D03F3E">
        <w:rPr>
          <w:rFonts w:ascii="Times New Roman" w:hAnsi="Times New Roman"/>
          <w:color w:val="000000" w:themeColor="text1"/>
          <w:sz w:val="16"/>
          <w:szCs w:val="16"/>
        </w:rPr>
        <w:softHyphen/>
        <w:t>ковать (11426).</w:t>
      </w:r>
    </w:p>
    <w:p w14:paraId="72C1317A"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940F7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г. вышло Постановление ГКО, согласно которому ОКБ Ильюшина и завод № 240 должны были построить разведчик и корректировщик артиллерийского огня Ил-2 с АМ-42 и одновременно приспособить для этой цели серийный Ил-2 с АМ-38ф.</w:t>
      </w:r>
    </w:p>
    <w:p w14:paraId="6321B1F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следует из документов, по своим конструктивным решениям "следопыт" с АМ-42 в целом повторял самолет Ил-2М (12020).</w:t>
      </w:r>
    </w:p>
    <w:p w14:paraId="1EB59FC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BEAA72" w14:textId="77777777" w:rsidR="006C66B5" w:rsidRPr="00D03F3E" w:rsidRDefault="006C66B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вышло Постановление ГКО № 2841. О развертывании строительства самолетов Ил-2 с АМ-38ф в варианте корректировщика и формировании корректировочных эскадрилий.Д.87 Лл. 84-85</w:t>
      </w:r>
    </w:p>
    <w:p w14:paraId="059DB082" w14:textId="77777777" w:rsidR="006C66B5" w:rsidRPr="00D03F3E" w:rsidRDefault="001C4165" w:rsidP="00D03F3E">
      <w:pPr>
        <w:spacing w:after="0" w:line="240" w:lineRule="auto"/>
        <w:jc w:val="both"/>
        <w:rPr>
          <w:rFonts w:ascii="Times New Roman" w:hAnsi="Times New Roman"/>
          <w:color w:val="000000" w:themeColor="text1"/>
          <w:sz w:val="16"/>
          <w:szCs w:val="16"/>
        </w:rPr>
      </w:pPr>
      <w:hyperlink r:id="rId59" w:tgtFrame="_blank" w:history="1">
        <w:r w:rsidR="006C66B5" w:rsidRPr="00D03F3E">
          <w:rPr>
            <w:rFonts w:ascii="Times New Roman" w:hAnsi="Times New Roman"/>
            <w:color w:val="000000" w:themeColor="text1"/>
            <w:sz w:val="16"/>
            <w:szCs w:val="16"/>
          </w:rPr>
          <w:t xml:space="preserve">« О развертывании строительства самолетов «Ил-2» с «АМ-38ф» в варианте корректировщика и формировании корректировочных эскадрилий» </w:t>
        </w:r>
      </w:hyperlink>
      <w:r w:rsidR="006C66B5" w:rsidRPr="00D03F3E">
        <w:rPr>
          <w:rFonts w:ascii="Times New Roman" w:hAnsi="Times New Roman"/>
          <w:color w:val="000000" w:themeColor="text1"/>
          <w:sz w:val="16"/>
          <w:szCs w:val="16"/>
        </w:rPr>
        <w:t xml:space="preserve">Постановлением № 2841 обязал Ильюшина "...до окончательной отработки самолета-корректировщика приспособить существующий двухместный самолет «Ил-2» с «АМ-38ф», установив радиостанцию РСБ и фотоустановку". В марте 1943 г. «Ил-2» - корректировщик-разведчик был построен. У «Ил-2КР» полностью сохранилась конструкция и вооружение серийного двухместного "Ила" с «АМ-38ф». Изменения были внесены только в состав оборудования, в топливную систему и в схему бронирования. Радиостанцию «РСИ-4» заменили на более мощную «РСБ-3бис» с большей дальностью действия, которую разместили в средней части фонаря кабины экипажа непосредственно за бронеспинкой пилота над уменьшенным по высоте задним бензобаком. Для фиксации результатов разведки в хвостовой части фюзеляжа установили фотоаппарат «АФА-И» (допускалась установка «АФА-ИМ»). Внешне самолеты </w:t>
      </w:r>
      <w:hyperlink r:id="rId60" w:tgtFrame="_blank" w:history="1">
        <w:r w:rsidR="006C66B5" w:rsidRPr="00D03F3E">
          <w:rPr>
            <w:rFonts w:ascii="Times New Roman" w:hAnsi="Times New Roman"/>
            <w:color w:val="000000" w:themeColor="text1"/>
            <w:sz w:val="16"/>
            <w:szCs w:val="16"/>
          </w:rPr>
          <w:t xml:space="preserve">«Ил-2КР» </w:t>
        </w:r>
      </w:hyperlink>
      <w:r w:rsidR="006C66B5" w:rsidRPr="00D03F3E">
        <w:rPr>
          <w:rFonts w:ascii="Times New Roman" w:hAnsi="Times New Roman"/>
          <w:color w:val="000000" w:themeColor="text1"/>
          <w:sz w:val="16"/>
          <w:szCs w:val="16"/>
        </w:rPr>
        <w:t>отличались от серийных «Ил-2» лишь наличием радиоантенны, установленной на переднем неподвижном козырьке фонаря кабины пилота (15033).</w:t>
      </w:r>
    </w:p>
    <w:p w14:paraId="0D891D95" w14:textId="77777777" w:rsidR="006C66B5" w:rsidRPr="00D03F3E" w:rsidRDefault="006C66B5" w:rsidP="00D03F3E">
      <w:pPr>
        <w:spacing w:after="0" w:line="240" w:lineRule="auto"/>
        <w:jc w:val="both"/>
        <w:rPr>
          <w:rStyle w:val="ucoz-forum-post"/>
          <w:rFonts w:ascii="Times New Roman" w:eastAsia="Times New Roman" w:hAnsi="Times New Roman"/>
          <w:color w:val="000000" w:themeColor="text1"/>
          <w:sz w:val="16"/>
          <w:szCs w:val="16"/>
        </w:rPr>
      </w:pPr>
      <w:r w:rsidRPr="00D03F3E">
        <w:rPr>
          <w:rStyle w:val="ucoz-forum-post"/>
          <w:rFonts w:ascii="Times New Roman" w:eastAsia="Times New Roman" w:hAnsi="Times New Roman"/>
          <w:color w:val="000000" w:themeColor="text1"/>
          <w:sz w:val="16"/>
          <w:szCs w:val="16"/>
        </w:rPr>
        <w:t>Постановление Государственного Комитета Обороны.</w:t>
      </w:r>
    </w:p>
    <w:p w14:paraId="60409300" w14:textId="77777777" w:rsidR="006C66B5" w:rsidRPr="00D03F3E" w:rsidRDefault="006C66B5" w:rsidP="00D03F3E">
      <w:pPr>
        <w:spacing w:after="0" w:line="240" w:lineRule="auto"/>
        <w:jc w:val="both"/>
        <w:rPr>
          <w:rStyle w:val="ucoz-forum-post"/>
          <w:rFonts w:ascii="Times New Roman" w:eastAsia="Times New Roman" w:hAnsi="Times New Roman"/>
          <w:color w:val="000000" w:themeColor="text1"/>
          <w:sz w:val="16"/>
          <w:szCs w:val="16"/>
        </w:rPr>
      </w:pPr>
      <w:r w:rsidRPr="00D03F3E">
        <w:rPr>
          <w:rStyle w:val="ucoz-forum-post"/>
          <w:rFonts w:ascii="Times New Roman" w:eastAsia="Times New Roman" w:hAnsi="Times New Roman"/>
          <w:color w:val="000000" w:themeColor="text1"/>
          <w:sz w:val="16"/>
          <w:szCs w:val="16"/>
        </w:rPr>
        <w:t>№ 2841 « О развертывании строительства самолетов Ил-2 с АМ-38ф в варианте корректировщика и формировании корректировочных эскадрилий». ГКО своим Постановлением № 2841 обязал Ильюшина "...до окончательной отработки самолета-корректировщика приспособить существующий двухместный самолет Ил-2 с АМ-38ф, установив радиостанцию РСБ и фотоустановку". В марте 1943 г. Ил-2 - корректировщик-разведчик был построен. У Ил-2КР полностью сохранилась конструкция и вооружение серийного двухместного "Ила" с АМ-38ф. Изменения были внесены только в состав оборудования, в топливную систему и в схему бронирования. Радиостанцию РСИ-4 заменили на более мощную РСБ-3бис с большей дальностью действия, которую разместили в средней части фонаря кабины экипажа непосредственно за бронеспинкой пилота над уменьшенным по высоте задним бензобаком. Для фиксации результатов разведки в хвостовой части фюзеляжа установили фотоаппарат АФА-И (допускалась установка АФА-ИМ). Внешне самолеты Ил-2КР отличались от серийных Ил-2 лишь наличием радиоантенны, установленной на переднем неподвижном козырьке фонаря кабины пилота (15033).</w:t>
      </w:r>
    </w:p>
    <w:p w14:paraId="285457D8" w14:textId="77777777" w:rsidR="006C66B5" w:rsidRPr="00D03F3E" w:rsidRDefault="006C66B5" w:rsidP="00D03F3E">
      <w:pPr>
        <w:spacing w:after="0" w:line="240" w:lineRule="auto"/>
        <w:jc w:val="both"/>
        <w:rPr>
          <w:rStyle w:val="ucoz-forum-post"/>
          <w:rFonts w:ascii="Times New Roman" w:eastAsia="Times New Roman" w:hAnsi="Times New Roman"/>
          <w:color w:val="000000" w:themeColor="text1"/>
          <w:sz w:val="16"/>
          <w:szCs w:val="16"/>
        </w:rPr>
      </w:pPr>
    </w:p>
    <w:p w14:paraId="46BAC213" w14:textId="77777777" w:rsidR="0008034E" w:rsidRPr="00D03F3E" w:rsidRDefault="000803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года вышло постановление ГКО № 2841 сс, согласно которому ОКБ и завод № 240 (С. В. Ильюшин) должны были построить и к 15 марта предъявить на государственные испытания Ил-2 с АМ-42 в варианте разведчика и корректировщика артиллерийского огня и одновременно приспособить для этой цели серийный Ил-2 с АМ-38ф.</w:t>
      </w:r>
    </w:p>
    <w:p w14:paraId="05B42D1F" w14:textId="77777777" w:rsidR="0008034E" w:rsidRPr="00D03F3E" w:rsidRDefault="000803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следует из документов, по своим конструктивным решениям «следопыт» с мотором АМ-42 в целом повторял самолет Ил-2М (17490).</w:t>
      </w:r>
    </w:p>
    <w:p w14:paraId="6C33A60C" w14:textId="77777777" w:rsidR="0008034E" w:rsidRPr="00D03F3E" w:rsidRDefault="0008034E" w:rsidP="00D03F3E">
      <w:pPr>
        <w:spacing w:after="0" w:line="240" w:lineRule="auto"/>
        <w:jc w:val="both"/>
        <w:rPr>
          <w:rFonts w:ascii="Times New Roman" w:hAnsi="Times New Roman"/>
          <w:color w:val="000000" w:themeColor="text1"/>
          <w:sz w:val="16"/>
          <w:szCs w:val="16"/>
        </w:rPr>
      </w:pPr>
    </w:p>
    <w:p w14:paraId="1476058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П.Воронин подготовил для НКАП А.И.Ш. Докладную записку О постановке мотора М-106 на Як-1 завода 292 и Як-9 завода 153. Предупреждал, что снизится выпуск из-за необходимости нового радиатора и предлагал не ставить на Як-9, чтобы скорее перейти на него с Як-7 (2519,51).</w:t>
      </w:r>
    </w:p>
    <w:p w14:paraId="0EBE1C7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573C67"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7 февраля</w:t>
      </w:r>
      <w:r w:rsidRPr="00D03F3E">
        <w:rPr>
          <w:rFonts w:ascii="Times New Roman" w:hAnsi="Times New Roman"/>
          <w:color w:val="000000" w:themeColor="text1"/>
          <w:sz w:val="16"/>
          <w:szCs w:val="16"/>
        </w:rPr>
        <w:t xml:space="preserve"> в 1943 году на Саратовском авиазаводе освоено серийное производство </w:t>
      </w:r>
      <w:hyperlink r:id="rId61" w:tgtFrame="_blank" w:history="1">
        <w:r w:rsidRPr="00D03F3E">
          <w:rPr>
            <w:rFonts w:ascii="Times New Roman" w:hAnsi="Times New Roman"/>
            <w:color w:val="000000" w:themeColor="text1"/>
            <w:sz w:val="16"/>
            <w:szCs w:val="16"/>
          </w:rPr>
          <w:t xml:space="preserve">«Як-1М» (15033). </w:t>
        </w:r>
      </w:hyperlink>
    </w:p>
    <w:p w14:paraId="63B50B37" w14:textId="77777777" w:rsidR="001C3EED" w:rsidRPr="00D03F3E" w:rsidRDefault="001C3EED" w:rsidP="00D03F3E">
      <w:pPr>
        <w:spacing w:after="0" w:line="240" w:lineRule="auto"/>
        <w:jc w:val="both"/>
        <w:rPr>
          <w:rFonts w:ascii="Times New Roman" w:hAnsi="Times New Roman"/>
          <w:color w:val="000000" w:themeColor="text1"/>
          <w:sz w:val="16"/>
          <w:szCs w:val="16"/>
        </w:rPr>
      </w:pPr>
    </w:p>
    <w:p w14:paraId="337C27F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возобновили полеты на И-220 первом. Они в основном были направлены на отработку шасси, так как поначалу оно не хотело убираться (5669).</w:t>
      </w:r>
    </w:p>
    <w:p w14:paraId="3D168A5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C63AB8"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г. возобновились полеты на первом опытном экземпляре И—220, которые в основ</w:t>
      </w:r>
      <w:r w:rsidRPr="00D03F3E">
        <w:rPr>
          <w:rFonts w:ascii="Times New Roman" w:hAnsi="Times New Roman"/>
          <w:color w:val="000000" w:themeColor="text1"/>
          <w:sz w:val="16"/>
          <w:szCs w:val="16"/>
        </w:rPr>
        <w:softHyphen/>
        <w:t>ном имели целью отработку шасси, поначалу не же</w:t>
      </w:r>
      <w:r w:rsidRPr="00D03F3E">
        <w:rPr>
          <w:rFonts w:ascii="Times New Roman" w:hAnsi="Times New Roman"/>
          <w:color w:val="000000" w:themeColor="text1"/>
          <w:sz w:val="16"/>
          <w:szCs w:val="16"/>
        </w:rPr>
        <w:softHyphen/>
        <w:t>лавшего убираться (9984).</w:t>
      </w:r>
    </w:p>
    <w:p w14:paraId="63C77C22"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F215A4"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03526F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25C63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7 февраля 1943 были успешно закончены испытания первого Су-152 и она была принята на вооружение. До начала марта изготовили первую партию в 35 машин, которые стали поступать на вооружение ТСАП из 12 Су-152 и одного КВ-1С (4411,14) на Чебаркульском полигоне (7437, 18).</w:t>
      </w:r>
    </w:p>
    <w:p w14:paraId="0E3169E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B84817"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7 февраля 1943 (вместо 16 января, как это было указано в распоряжении наркома танковой промышленности И.М. Зальцмана), ввиду загруженности завода №100 другими опытными работами, монтаж новой планетарной трансмоссии на КВ-7, которую разработал коллектив Московского машино</w:t>
      </w:r>
      <w:r w:rsidRPr="00D03F3E">
        <w:rPr>
          <w:rFonts w:ascii="Times New Roman" w:hAnsi="Times New Roman"/>
          <w:color w:val="000000" w:themeColor="text1"/>
          <w:sz w:val="16"/>
          <w:szCs w:val="16"/>
        </w:rPr>
        <w:softHyphen/>
        <w:t>строительного института им. Баумана под руководством Г. И. Зайчи</w:t>
      </w:r>
      <w:r w:rsidRPr="00D03F3E">
        <w:rPr>
          <w:rFonts w:ascii="Times New Roman" w:hAnsi="Times New Roman"/>
          <w:color w:val="000000" w:themeColor="text1"/>
          <w:sz w:val="16"/>
          <w:szCs w:val="16"/>
        </w:rPr>
        <w:softHyphen/>
        <w:t xml:space="preserve">ка затянулся. Не исключено, что уже на этом этапе затягивание было сознательным, поскольку с 19 ноября 1942 года на </w:t>
      </w:r>
      <w:r w:rsidRPr="00D03F3E">
        <w:rPr>
          <w:rFonts w:ascii="Times New Roman" w:hAnsi="Times New Roman"/>
          <w:color w:val="000000" w:themeColor="text1"/>
          <w:sz w:val="16"/>
          <w:szCs w:val="16"/>
          <w:lang w:val="en-US"/>
        </w:rPr>
        <w:t>KB</w:t>
      </w:r>
      <w:r w:rsidRPr="00D03F3E">
        <w:rPr>
          <w:rFonts w:ascii="Times New Roman" w:hAnsi="Times New Roman"/>
          <w:color w:val="000000" w:themeColor="text1"/>
          <w:sz w:val="16"/>
          <w:szCs w:val="16"/>
        </w:rPr>
        <w:t>-1С №15002 испытывалась другая трансмиссия — конструкции инженера-полковника А.И. Благонравова.</w:t>
      </w:r>
    </w:p>
    <w:p w14:paraId="70B26249"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Первые же километры испытаний выявили низкое качество сбор</w:t>
      </w:r>
      <w:r w:rsidRPr="00D03F3E">
        <w:rPr>
          <w:rFonts w:ascii="Times New Roman" w:hAnsi="Times New Roman"/>
          <w:color w:val="000000" w:themeColor="text1"/>
          <w:sz w:val="16"/>
          <w:szCs w:val="16"/>
        </w:rPr>
        <w:softHyphen/>
        <w:t>ки планетарной трансмиссии. Были заменены все бронзовые кольца на стальные, а шарикоподшипники управления на каленые ролики с иголками. Кроме того, пришлось устранять течь масла, а ферродо тормозов заменили на чугунные колодки. После устранения дефектов трансмиссию вновь установили в КВ-7, после чего он к 4 марта прошел без проблем 545 километров (17484).</w:t>
      </w:r>
    </w:p>
    <w:p w14:paraId="067172C0" w14:textId="77777777" w:rsidR="00E56A12" w:rsidRPr="00D03F3E" w:rsidRDefault="00E56A12" w:rsidP="00D03F3E">
      <w:pPr>
        <w:spacing w:after="0" w:line="240" w:lineRule="auto"/>
        <w:jc w:val="both"/>
        <w:rPr>
          <w:rFonts w:ascii="Times New Roman" w:hAnsi="Times New Roman"/>
          <w:color w:val="000000" w:themeColor="text1"/>
          <w:sz w:val="16"/>
          <w:szCs w:val="16"/>
        </w:rPr>
      </w:pPr>
    </w:p>
    <w:p w14:paraId="494BD656"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7 февраля 1943 г. были закончены испытания опытного образца самоходной установки КВ-14, которые успешно прошли на Чебаркульском полигоне и Постановлением ГКО от 14 февраля 1943 г. образец КВ-14 под индексом СУ-152 был принят на вооружение и поставлен на серийное производство. До начала марта того же года была изготовлена первая партия установок в количестве 35 машин, ко</w:t>
      </w:r>
      <w:r w:rsidRPr="00D03F3E">
        <w:rPr>
          <w:rFonts w:ascii="Times New Roman" w:hAnsi="Times New Roman"/>
          <w:color w:val="000000" w:themeColor="text1"/>
          <w:sz w:val="16"/>
          <w:szCs w:val="16"/>
        </w:rPr>
        <w:softHyphen/>
        <w:t>торые были отправлены на формирование тяжелых самоходно-артил</w:t>
      </w:r>
      <w:r w:rsidRPr="00D03F3E">
        <w:rPr>
          <w:rFonts w:ascii="Times New Roman" w:hAnsi="Times New Roman"/>
          <w:color w:val="000000" w:themeColor="text1"/>
          <w:sz w:val="16"/>
          <w:szCs w:val="16"/>
        </w:rPr>
        <w:softHyphen/>
        <w:t>лерийских полков (ТСАП). Впервые новые боевые машины были ис</w:t>
      </w:r>
      <w:r w:rsidRPr="00D03F3E">
        <w:rPr>
          <w:rFonts w:ascii="Times New Roman" w:hAnsi="Times New Roman"/>
          <w:color w:val="000000" w:themeColor="text1"/>
          <w:sz w:val="16"/>
          <w:szCs w:val="16"/>
        </w:rPr>
        <w:softHyphen/>
        <w:t>пользованы в боях на Курской дуге. Серийное производство самоход</w:t>
      </w:r>
      <w:r w:rsidRPr="00D03F3E">
        <w:rPr>
          <w:rFonts w:ascii="Times New Roman" w:hAnsi="Times New Roman"/>
          <w:color w:val="000000" w:themeColor="text1"/>
          <w:sz w:val="16"/>
          <w:szCs w:val="16"/>
        </w:rPr>
        <w:softHyphen/>
        <w:t>ных установок СУ-152 продолжалось до декабря 1943 г. - до снятия с производства танка КВ-1 С (10703).</w:t>
      </w:r>
    </w:p>
    <w:p w14:paraId="7D6A8FF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22A2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 7 февраля 1943 года закончились начатые 24 января 1943 испытания САУ КВ-14 (объект 236), которая своим ходом ушла на Чебаркульский артиллерийский полигон, расположенный в 107 км от Челябинска. Испытания прошли вполне успешно. Постановлением ГКО от 14 февраля 1943 года образец КВ-14 приняли на вооружение и поставили на серийное производство. В апреле 1943 года ГКО постановил КВ-14 впредь именовать СУ-152. </w:t>
      </w:r>
    </w:p>
    <w:p w14:paraId="57B618E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Самоходная установка СУ-152 относилась к типу полностью бронированных самоходных установок с передним расположением боевой рубки. Боевое отделение и отделение управления были совмещены. Механик-водитель занимал место слева впереди в отделении управления, за ним — наводчик, за наводчиком — заряжающий. Справа от орудия впереди размещался командир машины, за ним — замковый. Для наблюдения за полем боя использовались перископ ПТК-4, обеспечивавший круговой обзор, и пять приз-менных зеркальных смотровых приборов, установленных на крыше рубки и крышках левого и кормового люков. В крышке правого люка имелся лючок для сигнализации. Механик-водитель вел наблюдение за полем боя через лючок со стеклоблоком, закрываемый броневой крышкой со смотровой щелью. </w:t>
      </w:r>
      <w:r w:rsidRPr="00D03F3E">
        <w:rPr>
          <w:rFonts w:ascii="Times New Roman" w:hAnsi="Times New Roman"/>
          <w:color w:val="000000" w:themeColor="text1"/>
          <w:sz w:val="16"/>
          <w:szCs w:val="16"/>
        </w:rPr>
        <w:lastRenderedPageBreak/>
        <w:t xml:space="preserve">Посадка экипажа производилась через два люка: круглый, расположенный в передней части крыши справа, и прямоугольный двухстворчатый люк, расположенный в кормовой части крыши и кормовом листе рубки. В днище корпуса в боевом отделении был предусмотрен аварийный люк. </w:t>
      </w:r>
    </w:p>
    <w:p w14:paraId="7FE7538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Корпус и рубка установки были сварены из броневых катаных листов толщиной 20, 30, 60 и 70 мм. Маска пушки имела толщину 60 мм. Зазор между подвижной бронировкой орудия и верхним лобовым листом корпуса машины защищался броневым прикрытием. Лобовой, скуловые, бортовые и кормовой броневые листы рубки, а также лобовые листы корпуса отличались рациональными углами наклона. Борта корпуса — вертикальные. В правом нижнем бортовом листе корпуса в боевом отделении располагался люк для загрузки боеприпасов с откидной броневой крышкой. Для стрельбы из личного оружия в лобовом и кормовом листах рубки имелись бойницы, закрывавшиеся броневыми пробками. Крыша броневой рубки — съемная, состояла из двух частей. С передним, скуловыми, боковыми и кормовым листами рубки листы крыши соединялись с помощью болтов. В передней части крыши рубки, помимо двух люков и отверстия под смотровой прибор, имелись два отверстия (справа) для установки командирской панорамы и антенного ввода, прикрытого броневым стаканом, и сзади справа — лючок, закрывавшийся откидной броневой крышкой, для доступа к заправочным горловинам топливных баков, расположенных в боевом отделении. Отверстия под смотровые приборы в крыше рубки и крышках люков имели броневое прикрытие. Вентиляция боевого отделения осуществлялась за счет тяги воздуха, создававшейся работающим двигателем при открытых шиберах в моторной перегородке. </w:t>
      </w:r>
    </w:p>
    <w:p w14:paraId="687C3F8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Кормовая часть корпуса состояла из двух броневых листов (верхнего и нижнего) закругленной формы. В средней части верхний лист перекрывал нижний, образуя тем самым карман для выхода охлаждающего воздуха из МТО самоходной установки. Для защиты от попадания посторонних предметов карман закрывался проволочной сеткой. Крыша МТО состояла из двух съемных броневых листов, крепившихся к корпусу САУ болтами. Первый лист крыши в центральной части имел люк для доступа к двигателю, закрывавшийся броневой крышкой. В центре крышки в выпуклой ее части находилось отверстие, предназначавшееся для заливки воды в систему охлаждения двигателя. Вдоль бортов корпуса имелись два прямоугольных отверстия для доступа охлаждающего воздуха к двигателю, закрывавшиеся сверху защитными сетками. В задней части листа были выполнены два отверстия для прохода выхлопных труб, над которыми устанавливались броневые кожуха. Задний лист крыши оборудовался двумя круглыми люками с откидными броневыми крышками для доступа к узлам и агрегатам трансмиссии. Днище корпуса было сварено из двух броневых листов и имело люки и отверстия, закрываемые броневыми крышками. В амбразуре лобового листа рубки в рамке устанавливалась 152-мм гаубица-пушка МЛ-20 обр. 1937 г. Орудие снабжалось поршневым затвором с инерционным предохранителем и щелевым дульным тормозом. Длина ствола составляла 28,8 калибра, высота линии огня — 1800 мм. В конструкции противооткатных устройств использовались гидравлический тормоз отката и гидропневматический накатник. Подъемный и поворотный механизмы секторного типа обеспечивали углы вертикальной наводки от -5° до +18°, горизонтальной — в секторе 12°. Телескопические прицелы СТ-10 или КТ-5 использовались при стрельбе прямой наводкой, а панорама Герца — при стрельбе с закрытых огневых позиций. Для стрельбы ночью шкалы прицела и панорамы, а также прицельная и орудийная стрелки оснащались специальной подсветкой. Дальность стрельбы прямой наводкой составляла 3800 м, наибольшая — 6200 м. Скорострельность пушки-гаубицы достигала 2 выстр./мин. Для облегчения заряжания орудия имелся откидной лоток, который обеспечивал устранение задевания ведущего пояска снаряда за срез трубы ствола. </w:t>
      </w:r>
    </w:p>
    <w:p w14:paraId="019EF87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боекомплект входили 20 выстрелов раздельного гильзового заряжания. Для стрельбы использовались осколочно-фугасная дальнобойная стальная пушечная граната ОФ-540, бетонобойный гаубичный снаряд Г-530, осколочно-фугасная дальнобойная стальная гаубичная граната ОФ-530, осколочная дальнобойная гаубичная граната из сталистого чугуна О-530А, бронебойно-трассирующий снаряд БР-540 и фугасный морской полубронебойный снаряд. Кроме того, могли использоваться пушечные бетонобойные снаряды Г-545 массой 56 кг и фугасные стальные пушечные гранаты старого образца Ф-542 и Ф-542Ш. Дополнительно в боевом отделении укладывались два 7,62-мм пистолета-пулемета ППШ с боекомплектом 1278 патронов (18 дисков) и 25 гранат Ф-1, позднее боекомплект к ППШ был увеличен до 1562 патронов (22 диска). В моторно-трансмиссионном отделении вдоль продольной оси корпуса устанавливался двенадцатицилиндровый V-образный четырехтактный дизель В-2К мощностью 600 л.с. Пуск двигателя осуществлялся с помощью электростартера СТ-700 мощностью 15 л.с. или сжатого воздуха из двух воздушных баллонов емкостью 5 л каждый. Емкость основных топливных баков составляла 600 — 615 л. При установке запасных наружных баков запас возимого топлива увеличивался на 360 л. Запас хода установки по шоссе на основных баках достигал 330 км. </w:t>
      </w:r>
    </w:p>
    <w:p w14:paraId="4AADAFF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состав трансмиссии входили многодисковый главный фрикцион сухого трения, четырехступенчатая коробка передач с демультипликатором, обеспечивавшая восемь передач переднего и две передачи заднего хода, два многодисковых бортовых фрикциона с плавающими ленточными тормозами и два бортовых планетарных редуктора. Состав гусеничного движителя — 12 сдвоенных опорных катков (диаметром 600 мм), шесть поддерживающих катков, два направляющих колеса с механизмами натяжения гусениц и два ведущих колеса кормового расположения со съемными зубчатыми венцами. Зацепление — цевочное. Подвеска — индивидуальная торсионная, с ограничителями хода опорных катков. Опорные и поддерживающие катки, а также направляющие колеса были выполнены цельнометаллическими, без резиновой амортизации. Ширина штампованного трака гусеницы равнялась 608 мм. </w:t>
      </w:r>
    </w:p>
    <w:p w14:paraId="044450F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машине устанавливалась радиостанция 9Р или ЮР (ЮРК-26) с умформерами РУ-75В и РУ-11Б, для внутренней связи служило танковое переговорное устройство ТПУ-4БИС (11638).</w:t>
      </w:r>
    </w:p>
    <w:p w14:paraId="4BE264C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3FF7D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вышло Постановление ГКО № 2837 О мерах неотложной помощи черной металлургии. (7080, 1-7).</w:t>
      </w:r>
    </w:p>
    <w:p w14:paraId="7C149227"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37DD3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вышло Постановление ГКО № 2838 О плане распределения нефтепродуктов на февраль 1943 г.РГАНИР, Фонд ГКО, д. 87, лл. 8-9, 10-27 (11012).</w:t>
      </w:r>
    </w:p>
    <w:p w14:paraId="462DD14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C1A1B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вышло Постановление ГКО № 2839 О плане распределения угля на февраль 1943 года.РГАНИР, Фонд ГКО, д. 87, лл. 28-29, 30-53 (11012).</w:t>
      </w:r>
    </w:p>
    <w:p w14:paraId="2D67153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A6EB3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вышло Постановление ГКО № 2840 О плане распределения электроэнергии на февраль 1943 г.РГАНИР, Фонд ГКО, д. 87, лл. 54-55, 56-83 (11012).</w:t>
      </w:r>
    </w:p>
    <w:p w14:paraId="2C99F12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C50EA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вышло Постановление ГКО № 2841 О развертывании строительства самолетов Ил-2 с АМ-38ф в варианте корректировщика и формировании корректировочных эскадрилий.РГАНИР, Фонд ГКО, д. 87, лл. 84-85 (11012).</w:t>
      </w:r>
    </w:p>
    <w:p w14:paraId="2AD0F4D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4CB3F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вышло Постановление ГКО № 2842 О тов. Савкове Н.Н.РГАНИР, Фонд ГКО, д. 87, лл. 86 (11012).</w:t>
      </w:r>
    </w:p>
    <w:p w14:paraId="72A0F3D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B7EC5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вышло Постановление ГКО № 2843 О т.т. Щелаковском А.В. и Боброве Е.В.РГАНИР, Фонд ГКО, д. 87, лл. 87 (11012).</w:t>
      </w:r>
    </w:p>
    <w:p w14:paraId="61F22F5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0F6B8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вышло Постановление ГКО № 2844 О тов. Пронине М.М.РГАНИР, Фонд ГКО, д. 87, лл. 88 (11012).</w:t>
      </w:r>
    </w:p>
    <w:p w14:paraId="219E1AF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7CB97D"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вышло Постановление ГКО № 2845 О восстановлении керосинопровода Грозный-Армавир-Тихорецк.РГАНИР, Фонд ГКО, д. 87, лл. 89-91 (11012).</w:t>
      </w:r>
    </w:p>
    <w:p w14:paraId="50E4C8C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64D81"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вышло Постановление ГКО № 2846 Об утверждении трех переходящих Красных знамен Главного управления трудовых резервов и ЦК ВЛКСМ и об изменении размеров денежных премий ремесленным, железнодорожным училищам и школам ФЗО - победителям Всесоюзного социалистического соревнования. (7080, 92).</w:t>
      </w:r>
    </w:p>
    <w:p w14:paraId="4B08534F"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70EADF"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7 февраля</w:t>
      </w:r>
      <w:r w:rsidRPr="00D03F3E">
        <w:rPr>
          <w:rFonts w:ascii="Times New Roman" w:hAnsi="Times New Roman"/>
          <w:color w:val="000000" w:themeColor="text1"/>
          <w:sz w:val="16"/>
          <w:szCs w:val="16"/>
        </w:rPr>
        <w:t xml:space="preserve"> в 1943 году окончено строительство первой очереди Челябинского металлургического комбината (начато в апреле 1942 г.) (15033).</w:t>
      </w:r>
    </w:p>
    <w:p w14:paraId="1BEF3971" w14:textId="77777777" w:rsidR="001C3EED" w:rsidRPr="00D03F3E" w:rsidRDefault="001C3EED" w:rsidP="00D03F3E">
      <w:pPr>
        <w:spacing w:after="0" w:line="240" w:lineRule="auto"/>
        <w:jc w:val="both"/>
        <w:rPr>
          <w:rFonts w:ascii="Times New Roman" w:hAnsi="Times New Roman"/>
          <w:color w:val="000000" w:themeColor="text1"/>
          <w:sz w:val="16"/>
          <w:szCs w:val="16"/>
        </w:rPr>
      </w:pPr>
    </w:p>
    <w:p w14:paraId="437B6204" w14:textId="77777777" w:rsidR="00824B92" w:rsidRPr="00D03F3E"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7–12 февраля 1943 на Научно-исследовательском полигоне стрелковых вооружений Главного артиллерийского управления (НИПСВО ГАУ КА) в подмосковном Щурово соостоялся второй этап сравнительных испытаний стальных шлемов отечественного и немецкого производства. Испытанию подвергались СШ-40, сделанные из сталей марок И-1 и И-2, а также трофейные немецкие шлемы.</w:t>
      </w:r>
    </w:p>
    <w:p w14:paraId="6F6C159B" w14:textId="77777777" w:rsidR="00824B92" w:rsidRPr="00D03F3E"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На втором этапе, на полигоне, стреляли из винтовки уже полноценным зарядом той же пулей на дистанциях 800, 900 и 1000 метров, обстреливали из ППШ боевыми патронами с дистанции 115 метров, из ТТ с дистанции 65 метров. Под конец испытаний подрывали 82-мм миномётные мины на расстоянии двух метров.</w:t>
      </w:r>
    </w:p>
    <w:p w14:paraId="2085D991" w14:textId="77777777" w:rsidR="00824B92" w:rsidRPr="00D03F3E"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Обстрел в тире и на полигоне вёлся по незакреплённым корпусам шлемов без подтулейного устройства с трёх сторон: лобовой, боковой и затылочной части. Зачёту в тире подлежали только попадания в определённую область шлема, не засчитывались касательные попадания, попадания ближе 20 мм от предыдущего или от заклёпки/отверстия для вентиляции. На полигоне требования к засчитанным попаданиям были мягче, из-за более приближенных к реальности условиям.</w:t>
      </w:r>
    </w:p>
    <w:p w14:paraId="49F845B3" w14:textId="77777777" w:rsidR="00824B92" w:rsidRPr="00D03F3E"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Глубина вмятин у шлемов, выдержавших испытания, замерялась, результаты фиксировались в двух журналах параллельной записи, вдобавок в тире завода №700 дополнительно фиксировалась скорость каждого выстрела патроном с приведённым зарядом. Такие достаточно жёсткие условия испытаний позволили объективно оценить качество продукции завода №700 в сравнении с немецкими касками.</w:t>
      </w:r>
    </w:p>
    <w:p w14:paraId="5496BC71" w14:textId="77777777" w:rsidR="00824B92" w:rsidRPr="00D03F3E"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На испытания было подано СШ-40 из стали 36СГН 620 штук, из стали 36СГ – 298 штук, немецких шлемов 270 штук. Кроме этих шлемов, наравне с ними были испытаны опытные СШ-40, изготовленные по новой технологии однопереходного штампования: из стали 36СГН 100 шлемов, из 36СГ – 60 шлемов. Часть СШ-40 была сделана с утолщёнными стенками. Задач у испытаний было несколько, решали целый спектр вопросов:</w:t>
      </w:r>
    </w:p>
    <w:p w14:paraId="35C821C7" w14:textId="77777777" w:rsidR="00824B92" w:rsidRPr="00D03F3E"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Соответствуют ли штатные шлемы СШ-40 техническим условиям?</w:t>
      </w:r>
    </w:p>
    <w:p w14:paraId="59C4AA41" w14:textId="77777777" w:rsidR="00824B92" w:rsidRPr="00D03F3E"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lastRenderedPageBreak/>
        <w:t>Какова сравнительная пулестойкость сталей 36СГН и 36СГ?</w:t>
      </w:r>
    </w:p>
    <w:p w14:paraId="68C46D15" w14:textId="77777777" w:rsidR="00824B92" w:rsidRPr="00D03F3E"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Каковы преимущества и недостатки у шлемов с увеличенной толщиной стенок по сравнению со штатными (1,14–1,22 мм против 1,20–1,38 мм)?</w:t>
      </w:r>
    </w:p>
    <w:p w14:paraId="5299A6EE" w14:textId="77777777" w:rsidR="00824B92" w:rsidRPr="00D03F3E"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Какова сравнительная пулестойкость отечественных и немецких шлемов?</w:t>
      </w:r>
    </w:p>
    <w:p w14:paraId="6BA5CC4E" w14:textId="77777777" w:rsidR="00824B92" w:rsidRPr="00D03F3E"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Достаточно ли отработаны технические условия на производство шлемов из стали 36СГ и можно ли их утвердить, как постоянные?</w:t>
      </w:r>
    </w:p>
    <w:p w14:paraId="529BAFFD" w14:textId="77777777" w:rsidR="00824B92" w:rsidRPr="00D03F3E"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После проведения испытания оказалось, что штатные шлемы СШ-40 из стали 36СГН полностью удовлетворяют техническим условиям, как военного, так и довоенного времени, при этом отмечалось, что ТУ военного времени в части отбора процента шлемов из партии для проб следует отменить и вернуть довоенные, так как это </w:t>
      </w:r>
      <w:r w:rsidRPr="00D03F3E">
        <w:rPr>
          <w:rFonts w:ascii="Times New Roman" w:eastAsia="Times New Roman" w:hAnsi="Times New Roman"/>
          <w:iCs/>
          <w:color w:val="000000" w:themeColor="text1"/>
          <w:sz w:val="16"/>
          <w:szCs w:val="16"/>
          <w:lang w:eastAsia="ru-RU"/>
        </w:rPr>
        <w:t>«является менее надёжным критерием для оценки качеств шлемов»</w:t>
      </w:r>
      <w:r w:rsidRPr="00D03F3E">
        <w:rPr>
          <w:rFonts w:ascii="Times New Roman" w:eastAsia="Times New Roman" w:hAnsi="Times New Roman"/>
          <w:color w:val="000000" w:themeColor="text1"/>
          <w:sz w:val="16"/>
          <w:szCs w:val="16"/>
          <w:lang w:eastAsia="ru-RU"/>
        </w:rPr>
        <w:t>.</w:t>
      </w:r>
    </w:p>
    <w:p w14:paraId="39BB6D3A" w14:textId="77777777" w:rsidR="00824B92" w:rsidRPr="00D03F3E"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процесс обстрела было получено попаданий: из винтовки приведённым зарядом – 990, из винтовки нормальным зарядом – 462, из револьвера – 171, из ППШ – 811, из ТТ – 552.</w:t>
      </w:r>
    </w:p>
    <w:p w14:paraId="665A2E9F" w14:textId="77777777" w:rsidR="00824B92" w:rsidRPr="00D03F3E"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Обстрел показал, что сталь 36СГ почти равноценна стали 36СГН и обеспечивает пулестойкость, требуемую по действующим ТУ. Комиссия сочла возможным применение единых ТУ на стали 36СГ и 36СГН. Решили, что сталь 36СГ возможно допустить к валовому производству наравне с 36СГН. Технологию изготовления СШ-40 на заводе №700 (операции штамповки, термообработки) комиссия сочла правильной.</w:t>
      </w:r>
    </w:p>
    <w:p w14:paraId="2CBB80D3" w14:textId="77777777" w:rsidR="00824B92" w:rsidRPr="00D03F3E"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Отмечалось, что толщина стенок значительно влияет на пулестойкость, и шлемы с увеличенной толщиной стенок обладают лучшей пулестойкостью. Поэтому рекомендовалось установить минимальную толщину заготовки в 1,20 мм, а максимальную в 1,41 мм. Это соответствовало повышению среднего веса корпуса СШ-40 2-го роста на 55 граммов.</w:t>
      </w:r>
    </w:p>
    <w:p w14:paraId="3049EA2E" w14:textId="77777777" w:rsidR="00824B92" w:rsidRPr="00D03F3E"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Было установлено, что пулестойкость шлемов отечественного производства значительно выше пулестойкости трофейных шлемов при всех видах испытаний обстрелом. Это объяснили значительным преимуществом конструкции корпуса СШ-40, у которого в отличие от германских шлемов единственным ослабленным местом назывался радиальный переход от козырька к лобной стенке корпуса (полоска шириной 8–10 мм). У немецких касок ослабленных зон оказалось значительно больше, что хорошо было видно по местам пробитий.</w:t>
      </w:r>
    </w:p>
    <w:p w14:paraId="1EA9C426" w14:textId="77777777" w:rsidR="00824B92" w:rsidRPr="00D03F3E"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При обстрелах из винтовок на дистанции 800 метров пулей образца 1908 года у советских касок было 7,7–10% пробитий, а у немецких порядка 34,5% (с учётом всех попаданий, как зачётных, так и нет). При стрельбе из ППШ немецкие каски были пробиты в 41,4%, а советские в 11,5–11,7%. ТТ дал 38,8% пробитий у немецких шлемов против 12,4–13,0% у советских, «наган» дал 29,0% пробитий у немецких касок…</w:t>
      </w:r>
    </w:p>
    <w:p w14:paraId="71D6ACAF" w14:textId="77777777" w:rsidR="00824B92" w:rsidRPr="00D03F3E"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заключении комиссия посчитала, что необходимо продолжить поиски более пулестойких марок стали, заниматься усовершенствованием технологии производства шлемов и доводить конфигурацию стального шлема для повышения пулестойкости, а кроме того, улучшить конструкцию подтулейного устройства. Нам же остаётся констатировать: несмотря на то, что отбор немецких касок нельзя назвать идеальным, результаты сравнения оказались в пользу советских стальных шлемов (17495).</w:t>
      </w:r>
    </w:p>
    <w:p w14:paraId="53ABAF55" w14:textId="77777777" w:rsidR="00824B92" w:rsidRPr="00D03F3E" w:rsidRDefault="00824B92" w:rsidP="00D03F3E">
      <w:pPr>
        <w:spacing w:after="0" w:line="240" w:lineRule="auto"/>
        <w:jc w:val="both"/>
        <w:rPr>
          <w:rFonts w:ascii="Times New Roman" w:eastAsia="Times New Roman" w:hAnsi="Times New Roman"/>
          <w:color w:val="000000" w:themeColor="text1"/>
          <w:sz w:val="16"/>
          <w:szCs w:val="16"/>
          <w:lang w:eastAsia="ru-RU"/>
        </w:rPr>
      </w:pPr>
    </w:p>
    <w:p w14:paraId="7C723029" w14:textId="77777777" w:rsidR="00C84258" w:rsidRPr="00D03F3E"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7 февраля 1943 коллектив Челябметаллургстроя рапортовал Государственному Комитету Обороны о завершении строительства и сдаче в эксплуатацию первой очереди металлургического гиганта. Как пишется в официальной истории, "даже в мирное время "на всем готовом" столь грандиозные работы в такой короткий срок не производились". В реальности же первая эксплуатационная плавка в электрометаллургическом цехе на одной единственной печи (про домны указано выше) произошла лишь 19 апреля 1943 года. Затем еще несколько месяцев понадобилось на отладку процесса. Остальные 4 печи (в цехе их было пять) были запущены с большим трудом лишь к декабрю 1943 года. </w:t>
      </w:r>
    </w:p>
    <w:p w14:paraId="43AE7E65" w14:textId="77777777" w:rsidR="00C84258" w:rsidRPr="00D03F3E"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Прокатный стан "800" выдал первый прокат 19 июня 1943 года, реально же он был запущен только в конце 1943 года, а прокатный стан "350" начал нормально работать лишь в первой половине 1944 года. Впрочем, официально завод считался запущенным, и посему его ударные строители с осени 1943 года приступили к сооружению второй очереди предприятия. В начале 1944 года в строй вошла ТЭЦ. На начало 1945 года, когда завод нормально заработал в рамках плановых мощностей, в составе ЧМК находились:</w:t>
      </w:r>
    </w:p>
    <w:p w14:paraId="1833B8F1" w14:textId="77777777" w:rsidR="00C84258" w:rsidRPr="00D03F3E"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пять электрометаллургических печей (по 30 тонн каждая);</w:t>
      </w:r>
    </w:p>
    <w:p w14:paraId="134ABDA3" w14:textId="77777777" w:rsidR="00C84258" w:rsidRPr="00D03F3E"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две доменных печи общей мощностью до 600 тыс. тонн чугуна;</w:t>
      </w:r>
    </w:p>
    <w:p w14:paraId="3559BFA7" w14:textId="77777777" w:rsidR="00C84258" w:rsidRPr="00D03F3E"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два прокатных стана ("350" и "800");</w:t>
      </w:r>
    </w:p>
    <w:p w14:paraId="4F1A2E4D" w14:textId="77777777" w:rsidR="00C84258" w:rsidRPr="00D03F3E"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ТЭЦ (электротурбина на 25 тыс. кВтч);</w:t>
      </w:r>
    </w:p>
    <w:p w14:paraId="3A6F2880" w14:textId="77777777" w:rsidR="00C84258" w:rsidRPr="00D03F3E"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- 2 коксовые батареи.</w:t>
      </w:r>
    </w:p>
    <w:p w14:paraId="557178E3" w14:textId="77777777" w:rsidR="00C84258" w:rsidRPr="00D03F3E"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Предприятие выпускало шарикоподшипниковую сталь, углеродистую, легированную инструментальную, жаропрочную марки стали. Прокатные станы выпускали круглые и квадратные профили от 30 до 180 мм. Крупнейшим потребителем этой стали и проката был Челябинский тракторный завод. Несмотря на то, что необходимость строительства ЧМК диктовалась нуждами армии, производственные успехи комбината - в силу того, что запущен он был под самый конец войны - сыграли не очень большую роль для советской военной промышленности. И, как следствие, реальный «вклад» комбината в победу был очень скромен. С весны 1943 года по май 1945 года (т.е. за два года) комбинат выплавил лишь 145 тыс. тонн стали, с апреля 1944 года по май 1945 года выдал лишь 300 тыс. тонн чугуна и прокатал с июня 1943 года по май 1945 года 105 тыс. тонн проката. </w:t>
      </w:r>
    </w:p>
    <w:p w14:paraId="7D3773C1" w14:textId="77777777" w:rsidR="00C84258" w:rsidRPr="00D03F3E"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Хотя предприятие строилось почти целиком на базе эвакуированных производственных мощностей, есть сведения, что некоторое важное оборудование поставлялось странами Антанты. В частности, в ТЭЦ были установлены электрогенераторы из США. Общая стоимость строительства ЧМК, несмотря на рабский труд зэков и трудармейцев составила на начало 1945 года 497 млн. рублей, что было весьма большой суммой (11572).</w:t>
      </w:r>
    </w:p>
    <w:p w14:paraId="5360A467" w14:textId="77777777" w:rsidR="00C84258" w:rsidRPr="00D03F3E"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p>
    <w:p w14:paraId="3D8FF5D5"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56D6D43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98ABD6"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7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1E04E066"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7 февраля наши войска вели наступательные бои на прежних направлениях.</w:t>
      </w:r>
    </w:p>
    <w:p w14:paraId="3C21709D"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Ростова-на-Дону наши войска, сломив сопротивление крупных сил противника, овладели рядом населённых пунктов и вышли на ближние подступы к городу Батайск. Советские танкисты и мотопехота при поддержке артиллерии и авиации заняли Койсуг и ночью ворвались в Батайск. В результате упорных боёв,очищая от гитлеровцев улицу за улицей, дом за домом, наши бойцы вчера полностью овладели городом и железнодорожным узлом Батайск. Противник понёс тяжёлыепотери. Наши части захватили большие трофеи.</w:t>
      </w:r>
    </w:p>
    <w:p w14:paraId="69E9FC6B"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Купянска наши войска продолжали наступательные операции. На одном участке противник спешно подбросил резервы и предпринял несколько контратак. Гвардейцы Н-ского соединения отбили все контратаки гитлеровцев. Уничтожено до 500 немецких солдат и офицеров и подбито 6 вражеских танков. Захвачено в плен 80 немецких солдат. Преследуя противника, наши бойцы овладели двумя крупными населёнными пунктами.</w:t>
      </w:r>
    </w:p>
    <w:p w14:paraId="5085765A"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Восточнее Курска наши войска в ходе упорных боёв очистили от гитлеровцев ряд населённых пунктов. В районе одного опорного пункта захвачено 6 орудий, 2 миномёта, большое количество автоматов и пулемётов. Взяты пленные.</w:t>
      </w:r>
    </w:p>
    <w:p w14:paraId="2B1A4099"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воздушных боях советские лётчики сбили 8 немецких самолётов.</w:t>
      </w:r>
    </w:p>
    <w:p w14:paraId="292D089F"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украинских партизан на днях совершил внезапный налёт на немецкий гарнизон, расположенный в крупном населённом пункте. В ожесточённом бою партизаны истребили более 200 вражеских солдат и офицеров. В конце января партизаны этого отряда пустили под откос немецкий железнодорожный эшелон.Уничтожены паровоз, 8 платформ с автомашинами и 3 платформы со смазочными материалами.</w:t>
      </w:r>
    </w:p>
    <w:p w14:paraId="3FB089D6"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рождественские дни наместник Гитлера на Украине, палач украинского народанемец Эрих Жох направил письмо к солдатам, уроженцам Восточной Пруссии, находящимся на советско-немецком фронте. Это письмо недавно было найдено среди трофейных документов. Гитлеровский сатрап сулит немецким солдатам после войны всевозможные блага и золотые горы. Он обещает им в качестве военной добычи плодородные земли и богатства Украины. Кох пишет: «На огромных просторахУкраины, которой я по поручению фюрера управляю... имеется пространство для всех солдат. Здесь имеется место для каждого, кто хочет. Вы знаете о неизмеримых богатствах этой страны... Вы можете мне поверить, что я вытяну из Украины последнее, чтобы только обеспечивать вас и ваших родных». Напрасно Эрих Кох беспокоится насчёт богатств Украины. Его планам никогда не суждено сбыться. Внашей стране действительно найдётся по два-три аршина земли для каждого немецко-фашистского захватчика. Только в окрестностях Сталинграда эту норму уже получили сотни тысяч убитых гитлеровцев. Немецко-фашистские оккупанты, посягнувшие на свободу, честь и независимость Советской Украины, и их бандитский атаман Эрих Кох получат ту же норму и ничуть не больше.</w:t>
      </w:r>
    </w:p>
    <w:p w14:paraId="72A4BAEB"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бойцов и командиров Красной Армии составила акт о зверствах немецко-фашистских мерзавцев в селе Русское-Тростянка, Воронежской области. В акте говорится: «Немецкие захватчики разграбили и уничтожили три колхозные свинофермы, отняли у колхозников 32 коровы, 100 телят, 500 овец и всё зерно. Бандиты подвергли крестьян диким издевательствам и насилиям. 65-летнего колхозника Куксова немцы избили плетьми, надругались над колхозницей Дарьей Л., убили Петра Бражникова, Филиппа Ампилова, Ксению Лохину, Петра Уварова, Антона Часовникова, Федосью Часовни-кову и других мирных жителей села Русское-Тростянка» (15033).</w:t>
      </w:r>
    </w:p>
    <w:p w14:paraId="34A3C3F4" w14:textId="77777777" w:rsidR="00E53102" w:rsidRPr="00D03F3E" w:rsidRDefault="00E53102" w:rsidP="00D03F3E">
      <w:pPr>
        <w:spacing w:after="0" w:line="240" w:lineRule="auto"/>
        <w:jc w:val="both"/>
        <w:rPr>
          <w:rFonts w:ascii="Times New Roman" w:hAnsi="Times New Roman"/>
          <w:color w:val="000000" w:themeColor="text1"/>
          <w:sz w:val="16"/>
          <w:szCs w:val="16"/>
        </w:rPr>
      </w:pPr>
    </w:p>
    <w:p w14:paraId="09A147C7"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7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0B4B527F"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севернее Курска наши войска в результате стремительного наступления овладели городом Фатеж, перерезав шоссейную дорогу Курск—Орел.</w:t>
      </w:r>
    </w:p>
    <w:p w14:paraId="63A88443"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Белгорода наши войска, продолжая развивать наступление, заняли районный центр и железнодорожную станцию Гостищево и перерезала железную дорогуБелгород—Курск.</w:t>
      </w:r>
    </w:p>
    <w:p w14:paraId="52E6EC09"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На Украине наши войска овладели городом и железнодорожным узлом Краматорская, районным центром и железнодорожной станцией Савинцы, районным центром Петровская, крупными населёнными пунктами Чепель, Протопопова, Червоный Шахтёр, Грушеваха.</w:t>
      </w:r>
    </w:p>
    <w:p w14:paraId="7FF9EC1C"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Ростова-на-Дону наши войска в результате решительной атаки овладели городом и железнодорожной станцией Азов, а также заняли крупный населённый пункт Кагальник. Юго-восточнее Ростова-на-Дону нашими частями занят крупный населённый пункт Ольгинская.</w:t>
      </w:r>
    </w:p>
    <w:p w14:paraId="31E3DC05"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бои на прежних направлениях.</w:t>
      </w:r>
    </w:p>
    <w:p w14:paraId="0D7C6A63"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31 января по 6 февраля включительно, в воздушных боях и на аэродромах противника уничтожено 149 немецких самолётов. Наши потери за этоже время — 93 самолёта.</w:t>
      </w:r>
    </w:p>
    <w:p w14:paraId="7909FEC6"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февраля частями нашей авиации на различных участках фронта уничтожено или повреждено более 100 автомашин с войсками и грузами, подавлен огонь 9 артиллерийских батарей, взорвано 2 склада боеприпасов, рассеяно и частью уничтожено до роты пехоты противника.</w:t>
      </w:r>
    </w:p>
    <w:p w14:paraId="0F7FF595"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Ростова-на-Дону наши войска вели успешное наступление. Н-ское соединение овладело рядом сильно укреплённых узлов обороны противника. Нашибойцы уничтожили моторизованный отряд немцев и захватили 10 автомашин и 4 противотанковых орудия. На другом участке советские танкисты переправились через водный рубеж и заняли три населённых пункта. Захвачены трофеи и пленные.</w:t>
      </w:r>
    </w:p>
    <w:p w14:paraId="3AFD0E26"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Барвенкова наши войска вели успешные наступательные бои. Отбив несколько контратак противника, советские части продвинулись вперёд и заняли ряд населённых пунктов. Только в районе одного населённого пункта захвачено 12 орудий, из них 4 тяжёлого калибра, 31 пулемёт, 9 миномётов, 2 склада с боеприпасами и 3 продовольственных склада. Танкисты Н-ской части уничтожили 6 немецких танков, 3 самоходных орудия и до батальона немецкой пехоты.</w:t>
      </w:r>
    </w:p>
    <w:p w14:paraId="1914AA6A"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Купянска наши войска, преодолевая упорное сопротивление противника,продвигались вперёд. Советские танки и мотопехота внезапным налётом овладели важным населённым пунктом. Вражеский гарнизон полностью истреблён. Захвачено много трофеев и пленные. Бойцы Н-ской части в ожесточённом бою истребили до 400 гитлеровцев и овладели несколькими населёнными пунктами. Захвачены 2 танка, 7 орудий, 19 пулемётов, склад с зерном, 2 вещевых склада и радиостанция.</w:t>
      </w:r>
    </w:p>
    <w:p w14:paraId="48DA597B"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Старого Оскола наши войска вели наступательные бои. Подразделения Н-ской части овладели двумя сильно укреплёнными населёнными пунктами. В боях за эти населённые пункты разгромлен батальон немецкой пехоты. Сожжено и подбито 6танков и 2 бронемашины. Взяты трофеи и пленные.</w:t>
      </w:r>
    </w:p>
    <w:p w14:paraId="7BA7ADA1"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наши войска, овладев рядом населённых пунктов, перерезали шоссе Орёл — Курск. На одном участке немцы, пытаясь задержать продвижение советских частей, предприняли контратаку. Ударами с флангов наши бойцы разгромили гитлеровцев. Уничтожено до 300 и взято в плен 280 немецких солдат и офицеров. На другом участке бойцы Н-ской части захватили 2 орудия, 42 автомашиныс различными военными грузами и обоз с боеприпасами противника.</w:t>
      </w:r>
    </w:p>
    <w:p w14:paraId="6ABCF38B"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Ленинградской области, совершил смелыйналёт на немецкие учреждения в городе Н. Группа партизан сняла часовых и взорвала здание городской комендатуры. Все находившиеся в здании гитлеровцы, в том числе старшие штабные офицеры, убиты.</w:t>
      </w:r>
    </w:p>
    <w:p w14:paraId="6DD817A6"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из участков Юго-Западного фронта сдалась в плен группа солдат 304 немецкой пехотной дивизии. Пленные Карл Сима, Эрнст Шмидт, Рудольф Фрауендорф и другие рассказали: «В декабре наша дивизия выехала из Франции по маршруту Бельгия — Голландия — Дрезден — Краков — Днепропетровск — Ростов — Лихая. В дороге офицеры нам говорили, что Сталинград окружён немецкими войсками и его падение ожидается со дня на день. В Лихой мы узнали, что в Сталинграде окруженыне русские войска, а немецкие. Настроение солдат резко снизилось. В первых же боях на Восточном фронте наша дивизия попала в мешок и понесла очень большиепотери. 573 и 574 полки разгромлены. Каждый пытался на свой риск и страх выбраться из окружения. Отступая, командование бросало раненых на произвол судьбы, и они замерзали. Оставшиеся в живых солдаты боятся снова попасть в окружение и очень нервничают».</w:t>
      </w:r>
    </w:p>
    <w:p w14:paraId="16103AB0"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селе Солоти, Курской области: «Немецкие оккупанты разорили колхозников, разграбили и сожгли колхозное имущество. Гитлеровцы отняли у колхозников 80 голов скота, сожгли колхозные постройки и 13 жилых домов. Жители села подвергались бесчисленным издевательствам, их избивали, подвергали пыткам. Фашистские палачи убили 70-летнего старика Г.Шеховцова, колхозниц Евдокию Бабенко, Анну Бабенко и ещё семь мирных граждан». Акт подписали: жители села Н.Духин, О.Устинникова, И.Шеховцов, А.Сергеева, А.Винокурова.».</w:t>
      </w:r>
    </w:p>
    <w:p w14:paraId="07A81D53"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5779B325"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города Фатеж, Краматорская, Азов, районный центр и железнодорожную станцию Гостищево.</w:t>
      </w:r>
    </w:p>
    <w:p w14:paraId="72DA82E8"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севернее Курска наши войска в результате стремительногонаступления овладели городом Фатеж, перерезав шоссейную дорогу Курск—Орел.</w:t>
      </w:r>
    </w:p>
    <w:p w14:paraId="43DCF0C6"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Белгорода наши войска, продолжая развивать наступление, занялирайонный центр и железнодорожную станцию Гостищево и перерезали железную дорогу Белгород—Курск.</w:t>
      </w:r>
    </w:p>
    <w:p w14:paraId="0E0DA464"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Украине наши войска овладели городом и железнодорожным узлом Краматорская.</w:t>
      </w:r>
    </w:p>
    <w:p w14:paraId="3C68363E"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Ростова-на-Дону наши войска в результате решительной атаки овладели городом и железнодорожной станцией Азов, ликвидировав тем самым последний очаг сопротивления противника на левом берегу реки Дон.» (15033).</w:t>
      </w:r>
    </w:p>
    <w:p w14:paraId="04F5BEEB" w14:textId="77777777" w:rsidR="00E53102" w:rsidRPr="00D03F3E" w:rsidRDefault="00E53102" w:rsidP="00D03F3E">
      <w:pPr>
        <w:spacing w:after="0" w:line="240" w:lineRule="auto"/>
        <w:jc w:val="both"/>
        <w:rPr>
          <w:rFonts w:ascii="Times New Roman" w:hAnsi="Times New Roman"/>
          <w:color w:val="000000" w:themeColor="text1"/>
          <w:sz w:val="16"/>
          <w:szCs w:val="16"/>
        </w:rPr>
      </w:pPr>
    </w:p>
    <w:p w14:paraId="62AA0167"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советские войска освободили Азов (4962).</w:t>
      </w:r>
    </w:p>
    <w:p w14:paraId="2F04C9E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C3461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освободили Азов (2989).</w:t>
      </w:r>
    </w:p>
    <w:p w14:paraId="0F64B4A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732B6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освободили Белгород (2070,85).</w:t>
      </w:r>
    </w:p>
    <w:p w14:paraId="4E550C3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C2BF93"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5D3C2E3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C5B63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по вновь построенному трехсотметровому мосту в Ленинград прибыл первый поезд с продовольствием (3398,63).</w:t>
      </w:r>
    </w:p>
    <w:p w14:paraId="03EC4BB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20E533" w14:textId="77777777" w:rsidR="00E53102" w:rsidRPr="00D03F3E" w:rsidRDefault="00E5310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7 февраля</w:t>
      </w:r>
      <w:r w:rsidRPr="00D03F3E">
        <w:rPr>
          <w:rFonts w:ascii="Times New Roman" w:hAnsi="Times New Roman"/>
          <w:color w:val="000000" w:themeColor="text1"/>
          <w:sz w:val="16"/>
          <w:szCs w:val="16"/>
        </w:rPr>
        <w:t xml:space="preserve"> в 1943 году по трехсотметровому низководному мосту через Неву, построенному воинами-железнодорожниками всего за 10 суток, паровозная бригада машиниста И.Пироженко провела первый поезд с продовольствием с "Большой Земли"от сибиряков и уральцев для блокадного Ленинграда. Поезд этот пришел на Финляндский вокзал по "Дороге победы" - железнодорожной ветке, проложенной в том самом месте, где войска Ленинградского и Волховского фронтов прорвали блокаду 18 января 1943 года. Паровоз ЭУ 708-64 установлен как памятник на платформе вокзала станции «Волховстрой-1» (15033).</w:t>
      </w:r>
    </w:p>
    <w:p w14:paraId="5805A0D4" w14:textId="77777777" w:rsidR="00E53102" w:rsidRPr="00D03F3E" w:rsidRDefault="00E53102" w:rsidP="00D03F3E">
      <w:pPr>
        <w:spacing w:after="0" w:line="240" w:lineRule="auto"/>
        <w:jc w:val="both"/>
        <w:rPr>
          <w:rFonts w:ascii="Times New Roman" w:hAnsi="Times New Roman"/>
          <w:color w:val="000000" w:themeColor="text1"/>
          <w:sz w:val="16"/>
          <w:szCs w:val="16"/>
        </w:rPr>
      </w:pPr>
    </w:p>
    <w:p w14:paraId="6AF7D3E8"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408964E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F0512C"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1943 японцы эвакуировались из Гвадалканала (2246,1).</w:t>
      </w:r>
    </w:p>
    <w:p w14:paraId="2B66F6BA"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140D3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February 07 1943 Shoes enter rationed status in the US (1242).</w:t>
      </w:r>
    </w:p>
    <w:p w14:paraId="244BFA68"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1D2323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7 февраля 1943 в США были введены карточки на обувь (1242).</w:t>
      </w:r>
    </w:p>
    <w:p w14:paraId="47DC1D13"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54403C"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553131E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558C7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февраля 1943 вышел НТЖ ВВС N 023 о принятии на снабжение ВВС универсальных ухватов Ил-2 для подвески химприборов, которые 17 января 1943 были испытаны в НИИ АВ. Испытания оказались недостаточно тщательными и ухваты потом сняли (1779,228).</w:t>
      </w:r>
    </w:p>
    <w:p w14:paraId="7BFBA27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9500F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февраля 1943 г. конструктор П.О.С. представил эскизный проект высотного истребителя с мотором М-71 ф с двумя ТК-3 и гермокабиной, также создаваемого на базе штурмовика Су-6.</w:t>
      </w:r>
    </w:p>
    <w:p w14:paraId="12527A5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Новый истребитель Сухого предназначался для борьбы с бомбардировщиками и разведчиками противника на высоте 9000-10000 метров. Вооружение состояло из двух неподвижные батарей, включающих по одной пушке ШВАК с боезапасом 110 снарядов на каждую и одному 12,7-мм пулемету с боезапасом 130 патронов.</w:t>
      </w:r>
    </w:p>
    <w:p w14:paraId="012D270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Бронирование для высотного самолета было относительно сильным - 107 кг.</w:t>
      </w:r>
    </w:p>
    <w:p w14:paraId="3C3E872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Взлетный вес составлял 4524 кг. Длина самолета равнялась 9.24 метрам, площадь крыла - 26.0 M-'.</w:t>
      </w:r>
    </w:p>
    <w:p w14:paraId="45D33CE1"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Влетная мощность мотора равнялась 2200 л.с., номинальная - 1900 л.с. Удельная нагрузка на крыло составляла 175 кг/м2, удельная нагрузка на взлетную мощность - 2,05 кг/ л.с. Удельная мощность на площадь крыла - 84,6 л.с./м2.</w:t>
      </w:r>
    </w:p>
    <w:p w14:paraId="53D3700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Летные данные ожидались относительно высокие. Практический потолок 12150 метров. Максимальна скорость у земли 520 км/ч (на форсаже - 546 км/ч); на высоте 5000 метров - 600 км/ч; на высоте 8300 метров - 634км/ч; на высоте 12000 метров - 553 км/ч.</w:t>
      </w:r>
    </w:p>
    <w:p w14:paraId="717CE89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высоты 5000 метров ~ 5.3 минут; высоты 8000 метров - 10,3 минут. Ожидаемая скоростная дальность полета - 1100-1150 км.</w:t>
      </w:r>
    </w:p>
    <w:p w14:paraId="5FF50B2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Конструкцию самолет имел смешанную. Крыло, центроплан и оперение металлические, фюзеляж деревянный. Обшивка рулей и элеронов полотняная. Крыло двухлонжерон-ное, с работающей обшивкой. Фюзеляж - монокок, обшивка из березового шпона. За кабиной летчика дополнительный бензобак и два ТК-3. Заднее </w:t>
      </w:r>
      <w:r w:rsidRPr="00D03F3E">
        <w:rPr>
          <w:rFonts w:ascii="Times New Roman" w:hAnsi="Times New Roman"/>
          <w:color w:val="000000" w:themeColor="text1"/>
          <w:sz w:val="16"/>
          <w:szCs w:val="16"/>
        </w:rPr>
        <w:lastRenderedPageBreak/>
        <w:t>днище - бронесталь толщиной 12 мм. Гермокабина компрессорно-вентиляционного типа. Винт АВ-9-118 четырехлопастный, диаметром 3,2 метров.</w:t>
      </w:r>
    </w:p>
    <w:p w14:paraId="56BAC17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отзыве НИИ ВВС на эскизный проект отмечалось, что летные данные не полностью отвечают требованиям, проект разработан неудовлетворительно и не в полном объеме. Конструкторам предлагалось уменьшить площадь крыла, увеличить боезапас на пушки до 300 снарядов, а на пулеметы - до 350 патронов (6406).</w:t>
      </w:r>
    </w:p>
    <w:p w14:paraId="559C152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E4FBE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февраля 1943 вышел приказ НКАП и НК Нефтепром N 78с/51с:</w:t>
      </w:r>
    </w:p>
    <w:p w14:paraId="6EA061E5"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Постановлением ГОКО N 03 от 30 января 1943 передать завод N 7 Оргавиапрома НКАП НКнефтепром" (1699,40).</w:t>
      </w:r>
    </w:p>
    <w:p w14:paraId="19D8890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0C93C0"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348D02E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B5C6DE"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февраля 1943 года вышел приказ № 136сс НКБ</w:t>
      </w:r>
    </w:p>
    <w:p w14:paraId="789AEFC9"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Постановления ГКО № ГОКО-2829сс от 6 февраля 1943 года:</w:t>
      </w:r>
    </w:p>
    <w:p w14:paraId="6AEDFA9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Обеспечить поставку в феврале 1943 года мин и зарядов для испытания минометом, заводам производящим их в следующих количествах: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4428"/>
      </w:tblGrid>
      <w:tr w:rsidR="00860B4B" w:rsidRPr="00D03F3E" w14:paraId="02B6DF30" w14:textId="77777777">
        <w:tc>
          <w:tcPr>
            <w:tcW w:w="1872" w:type="dxa"/>
          </w:tcPr>
          <w:p w14:paraId="46B437F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НКМВ</w:t>
            </w:r>
          </w:p>
        </w:tc>
        <w:tc>
          <w:tcPr>
            <w:tcW w:w="4428" w:type="dxa"/>
          </w:tcPr>
          <w:p w14:paraId="0AD40455"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748 Кузнецк Пензенской обл.</w:t>
            </w:r>
          </w:p>
        </w:tc>
      </w:tr>
      <w:tr w:rsidR="00860B4B" w:rsidRPr="00D03F3E" w14:paraId="5D964263" w14:textId="77777777">
        <w:tc>
          <w:tcPr>
            <w:tcW w:w="1872" w:type="dxa"/>
          </w:tcPr>
          <w:p w14:paraId="3C9CF1A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НКМВ</w:t>
            </w:r>
          </w:p>
        </w:tc>
        <w:tc>
          <w:tcPr>
            <w:tcW w:w="4428" w:type="dxa"/>
          </w:tcPr>
          <w:p w14:paraId="6BEF7CDE"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708 им. Сталина Ташкент</w:t>
            </w:r>
          </w:p>
        </w:tc>
      </w:tr>
      <w:tr w:rsidR="00860B4B" w:rsidRPr="00D03F3E" w14:paraId="54F97C81" w14:textId="77777777">
        <w:tc>
          <w:tcPr>
            <w:tcW w:w="1872" w:type="dxa"/>
          </w:tcPr>
          <w:p w14:paraId="687DC5FA"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НКМВ</w:t>
            </w:r>
          </w:p>
        </w:tc>
        <w:tc>
          <w:tcPr>
            <w:tcW w:w="4428" w:type="dxa"/>
          </w:tcPr>
          <w:p w14:paraId="3C20E4E2"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763 Киров</w:t>
            </w:r>
          </w:p>
        </w:tc>
      </w:tr>
      <w:tr w:rsidR="00860B4B" w:rsidRPr="00D03F3E" w14:paraId="709BB589" w14:textId="77777777">
        <w:tc>
          <w:tcPr>
            <w:tcW w:w="1872" w:type="dxa"/>
          </w:tcPr>
          <w:p w14:paraId="022A48DE"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НКМВ</w:t>
            </w:r>
          </w:p>
        </w:tc>
        <w:tc>
          <w:tcPr>
            <w:tcW w:w="4428" w:type="dxa"/>
          </w:tcPr>
          <w:p w14:paraId="2B3A249F"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815 Шадринск</w:t>
            </w:r>
          </w:p>
        </w:tc>
      </w:tr>
      <w:tr w:rsidR="00860B4B" w:rsidRPr="00D03F3E" w14:paraId="2DD8DF66" w14:textId="77777777">
        <w:tc>
          <w:tcPr>
            <w:tcW w:w="1872" w:type="dxa"/>
          </w:tcPr>
          <w:p w14:paraId="20904E72"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НКНП</w:t>
            </w:r>
          </w:p>
        </w:tc>
        <w:tc>
          <w:tcPr>
            <w:tcW w:w="4428" w:type="dxa"/>
          </w:tcPr>
          <w:p w14:paraId="5B1E20B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им. Кирова Баку</w:t>
            </w:r>
          </w:p>
        </w:tc>
      </w:tr>
      <w:tr w:rsidR="00860B4B" w:rsidRPr="00D03F3E" w14:paraId="6FED73B1" w14:textId="77777777">
        <w:tc>
          <w:tcPr>
            <w:tcW w:w="1872" w:type="dxa"/>
          </w:tcPr>
          <w:p w14:paraId="73FF0F4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НКТМ</w:t>
            </w:r>
          </w:p>
        </w:tc>
        <w:tc>
          <w:tcPr>
            <w:tcW w:w="4428" w:type="dxa"/>
          </w:tcPr>
          <w:p w14:paraId="1AF97AE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“Красный Профинтерн” Красноярск</w:t>
            </w:r>
          </w:p>
        </w:tc>
      </w:tr>
      <w:tr w:rsidR="00860B4B" w:rsidRPr="00D03F3E" w14:paraId="1E6F0802" w14:textId="77777777">
        <w:tc>
          <w:tcPr>
            <w:tcW w:w="1872" w:type="dxa"/>
          </w:tcPr>
          <w:p w14:paraId="037C43D7"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НКАвтомобильного транспорта ГрузССР</w:t>
            </w:r>
          </w:p>
        </w:tc>
        <w:tc>
          <w:tcPr>
            <w:tcW w:w="4428" w:type="dxa"/>
          </w:tcPr>
          <w:p w14:paraId="5143505E"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Авторемзавод Тбилиси</w:t>
            </w:r>
          </w:p>
        </w:tc>
      </w:tr>
      <w:tr w:rsidR="00860B4B" w:rsidRPr="00D03F3E" w14:paraId="60C2693C" w14:textId="77777777">
        <w:tc>
          <w:tcPr>
            <w:tcW w:w="1872" w:type="dxa"/>
          </w:tcPr>
          <w:p w14:paraId="2492F0BF"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НКМВ</w:t>
            </w:r>
          </w:p>
        </w:tc>
        <w:tc>
          <w:tcPr>
            <w:tcW w:w="4428" w:type="dxa"/>
          </w:tcPr>
          <w:p w14:paraId="342A95D2"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702 им. Ворошилова Ташкент</w:t>
            </w:r>
          </w:p>
        </w:tc>
      </w:tr>
      <w:tr w:rsidR="00860B4B" w:rsidRPr="00D03F3E" w14:paraId="60C4E87A" w14:textId="77777777">
        <w:tc>
          <w:tcPr>
            <w:tcW w:w="1872" w:type="dxa"/>
          </w:tcPr>
          <w:p w14:paraId="1D4C1BB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НКМВ</w:t>
            </w:r>
          </w:p>
        </w:tc>
        <w:tc>
          <w:tcPr>
            <w:tcW w:w="4428" w:type="dxa"/>
          </w:tcPr>
          <w:p w14:paraId="0BD0B53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707 Курган</w:t>
            </w:r>
          </w:p>
        </w:tc>
      </w:tr>
      <w:tr w:rsidR="00860B4B" w:rsidRPr="00D03F3E" w14:paraId="41CD023B" w14:textId="77777777">
        <w:tc>
          <w:tcPr>
            <w:tcW w:w="1872" w:type="dxa"/>
          </w:tcPr>
          <w:p w14:paraId="7D1786EE"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НКМВ</w:t>
            </w:r>
          </w:p>
        </w:tc>
        <w:tc>
          <w:tcPr>
            <w:tcW w:w="4428" w:type="dxa"/>
          </w:tcPr>
          <w:p w14:paraId="0AA046E9"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740 Пенза</w:t>
            </w:r>
          </w:p>
        </w:tc>
      </w:tr>
      <w:tr w:rsidR="00860B4B" w:rsidRPr="00D03F3E" w14:paraId="0EDA5585" w14:textId="77777777">
        <w:tc>
          <w:tcPr>
            <w:tcW w:w="1872" w:type="dxa"/>
          </w:tcPr>
          <w:p w14:paraId="70DB640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НКМВ</w:t>
            </w:r>
          </w:p>
        </w:tc>
        <w:tc>
          <w:tcPr>
            <w:tcW w:w="4428" w:type="dxa"/>
          </w:tcPr>
          <w:p w14:paraId="2B985AA6"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743 Иваново</w:t>
            </w:r>
          </w:p>
        </w:tc>
      </w:tr>
      <w:tr w:rsidR="00860B4B" w:rsidRPr="00D03F3E" w14:paraId="3F66A316" w14:textId="77777777">
        <w:tc>
          <w:tcPr>
            <w:tcW w:w="1872" w:type="dxa"/>
          </w:tcPr>
          <w:p w14:paraId="690F802B"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НКМВ</w:t>
            </w:r>
          </w:p>
        </w:tc>
        <w:tc>
          <w:tcPr>
            <w:tcW w:w="4428" w:type="dxa"/>
          </w:tcPr>
          <w:p w14:paraId="12B4DBF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760 Свердловск</w:t>
            </w:r>
          </w:p>
        </w:tc>
      </w:tr>
      <w:tr w:rsidR="00860B4B" w:rsidRPr="00D03F3E" w14:paraId="0FC3F937" w14:textId="77777777">
        <w:tc>
          <w:tcPr>
            <w:tcW w:w="1872" w:type="dxa"/>
          </w:tcPr>
          <w:p w14:paraId="5F8B6A77"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НКМВ</w:t>
            </w:r>
          </w:p>
        </w:tc>
        <w:tc>
          <w:tcPr>
            <w:tcW w:w="4428" w:type="dxa"/>
          </w:tcPr>
          <w:p w14:paraId="02805184"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808 Рыбинск</w:t>
            </w:r>
          </w:p>
        </w:tc>
      </w:tr>
      <w:tr w:rsidR="00860B4B" w:rsidRPr="00D03F3E" w14:paraId="53795B77" w14:textId="77777777">
        <w:tc>
          <w:tcPr>
            <w:tcW w:w="1872" w:type="dxa"/>
          </w:tcPr>
          <w:p w14:paraId="6C3C78AA"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НКМВ</w:t>
            </w:r>
          </w:p>
        </w:tc>
        <w:tc>
          <w:tcPr>
            <w:tcW w:w="4428" w:type="dxa"/>
          </w:tcPr>
          <w:p w14:paraId="66EDFFC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819 Коломна</w:t>
            </w:r>
          </w:p>
        </w:tc>
      </w:tr>
      <w:tr w:rsidR="00860B4B" w:rsidRPr="00D03F3E" w14:paraId="70FE83F1" w14:textId="77777777">
        <w:tc>
          <w:tcPr>
            <w:tcW w:w="1872" w:type="dxa"/>
          </w:tcPr>
          <w:p w14:paraId="71B6C197"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НКСМ</w:t>
            </w:r>
          </w:p>
        </w:tc>
        <w:tc>
          <w:tcPr>
            <w:tcW w:w="4428" w:type="dxa"/>
          </w:tcPr>
          <w:p w14:paraId="0B2DA42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им. Сталина Москва</w:t>
            </w:r>
          </w:p>
        </w:tc>
      </w:tr>
      <w:tr w:rsidR="00860B4B" w:rsidRPr="00D03F3E" w14:paraId="676DBC8C" w14:textId="77777777">
        <w:tc>
          <w:tcPr>
            <w:tcW w:w="1872" w:type="dxa"/>
          </w:tcPr>
          <w:p w14:paraId="6F189B5A"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НКПС</w:t>
            </w:r>
          </w:p>
        </w:tc>
        <w:tc>
          <w:tcPr>
            <w:tcW w:w="4428" w:type="dxa"/>
          </w:tcPr>
          <w:p w14:paraId="1E0CADA1"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Паровозоремонтный завод Красноярск</w:t>
            </w:r>
          </w:p>
        </w:tc>
      </w:tr>
      <w:tr w:rsidR="00860B4B" w:rsidRPr="00D03F3E" w14:paraId="5C08BEAC" w14:textId="77777777">
        <w:tc>
          <w:tcPr>
            <w:tcW w:w="1872" w:type="dxa"/>
          </w:tcPr>
          <w:p w14:paraId="77E7368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НКПС</w:t>
            </w:r>
          </w:p>
        </w:tc>
        <w:tc>
          <w:tcPr>
            <w:tcW w:w="4428" w:type="dxa"/>
          </w:tcPr>
          <w:p w14:paraId="7C22BF1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Машиностроительный завод Ковров</w:t>
            </w:r>
          </w:p>
        </w:tc>
      </w:tr>
      <w:tr w:rsidR="00860B4B" w:rsidRPr="00D03F3E" w14:paraId="04D37697" w14:textId="77777777">
        <w:tc>
          <w:tcPr>
            <w:tcW w:w="1872" w:type="dxa"/>
          </w:tcPr>
          <w:p w14:paraId="5687C20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НКПС</w:t>
            </w:r>
          </w:p>
        </w:tc>
        <w:tc>
          <w:tcPr>
            <w:tcW w:w="4428" w:type="dxa"/>
          </w:tcPr>
          <w:p w14:paraId="312C1FFA"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Паровозоремонтный завод Тбилиси</w:t>
            </w:r>
          </w:p>
        </w:tc>
      </w:tr>
      <w:tr w:rsidR="00860B4B" w:rsidRPr="00D03F3E" w14:paraId="5A4C973A" w14:textId="77777777">
        <w:tc>
          <w:tcPr>
            <w:tcW w:w="1872" w:type="dxa"/>
          </w:tcPr>
          <w:p w14:paraId="3F793E3F"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НКТМ</w:t>
            </w:r>
          </w:p>
        </w:tc>
        <w:tc>
          <w:tcPr>
            <w:tcW w:w="4428" w:type="dxa"/>
          </w:tcPr>
          <w:p w14:paraId="2955C3F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им. Куйбышева Иркутск</w:t>
            </w:r>
          </w:p>
        </w:tc>
      </w:tr>
      <w:tr w:rsidR="00860B4B" w:rsidRPr="00D03F3E" w14:paraId="63CF87D1" w14:textId="77777777">
        <w:tc>
          <w:tcPr>
            <w:tcW w:w="1872" w:type="dxa"/>
          </w:tcPr>
          <w:p w14:paraId="47526F8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НКМВ</w:t>
            </w:r>
          </w:p>
        </w:tc>
        <w:tc>
          <w:tcPr>
            <w:tcW w:w="4428" w:type="dxa"/>
          </w:tcPr>
          <w:p w14:paraId="408C5CC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718 Горький</w:t>
            </w:r>
          </w:p>
        </w:tc>
      </w:tr>
      <w:tr w:rsidR="00860B4B" w:rsidRPr="00D03F3E" w14:paraId="07FADDBD" w14:textId="77777777">
        <w:tc>
          <w:tcPr>
            <w:tcW w:w="1872" w:type="dxa"/>
          </w:tcPr>
          <w:p w14:paraId="2B9A5B1B"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НКМВ</w:t>
            </w:r>
          </w:p>
        </w:tc>
        <w:tc>
          <w:tcPr>
            <w:tcW w:w="4428" w:type="dxa"/>
          </w:tcPr>
          <w:p w14:paraId="5BA5F027"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720 им. Калинина Москва</w:t>
            </w:r>
          </w:p>
        </w:tc>
      </w:tr>
      <w:tr w:rsidR="00860B4B" w:rsidRPr="00D03F3E" w14:paraId="224D5A15" w14:textId="77777777">
        <w:tc>
          <w:tcPr>
            <w:tcW w:w="1872" w:type="dxa"/>
          </w:tcPr>
          <w:p w14:paraId="3E195FC5"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НКМВ</w:t>
            </w:r>
          </w:p>
        </w:tc>
        <w:tc>
          <w:tcPr>
            <w:tcW w:w="4428" w:type="dxa"/>
          </w:tcPr>
          <w:p w14:paraId="6E7BE6A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724 им. Фрунзе Чирчик</w:t>
            </w:r>
          </w:p>
        </w:tc>
      </w:tr>
      <w:tr w:rsidR="00860B4B" w:rsidRPr="00D03F3E" w14:paraId="54A65B87" w14:textId="77777777">
        <w:tc>
          <w:tcPr>
            <w:tcW w:w="1872" w:type="dxa"/>
          </w:tcPr>
          <w:p w14:paraId="0C85AC6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НКМВ</w:t>
            </w:r>
          </w:p>
        </w:tc>
        <w:tc>
          <w:tcPr>
            <w:tcW w:w="4428" w:type="dxa"/>
          </w:tcPr>
          <w:p w14:paraId="7F32A30E"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726 Свердловск</w:t>
            </w:r>
          </w:p>
        </w:tc>
      </w:tr>
      <w:tr w:rsidR="00860B4B" w:rsidRPr="00D03F3E" w14:paraId="6E220559" w14:textId="77777777">
        <w:tc>
          <w:tcPr>
            <w:tcW w:w="1872" w:type="dxa"/>
          </w:tcPr>
          <w:p w14:paraId="0D12253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НКМВ</w:t>
            </w:r>
          </w:p>
        </w:tc>
        <w:tc>
          <w:tcPr>
            <w:tcW w:w="4428" w:type="dxa"/>
          </w:tcPr>
          <w:p w14:paraId="0C2B247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746 Москва</w:t>
            </w:r>
          </w:p>
        </w:tc>
      </w:tr>
      <w:tr w:rsidR="00860B4B" w:rsidRPr="00D03F3E" w14:paraId="2653994A" w14:textId="77777777">
        <w:tc>
          <w:tcPr>
            <w:tcW w:w="1872" w:type="dxa"/>
          </w:tcPr>
          <w:p w14:paraId="2A3422AA"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НКВ</w:t>
            </w:r>
          </w:p>
        </w:tc>
        <w:tc>
          <w:tcPr>
            <w:tcW w:w="4428" w:type="dxa"/>
          </w:tcPr>
          <w:p w14:paraId="2D22AD0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4 Красноярск</w:t>
            </w:r>
          </w:p>
        </w:tc>
      </w:tr>
      <w:tr w:rsidR="00860B4B" w:rsidRPr="00D03F3E" w14:paraId="1015DCA9" w14:textId="77777777">
        <w:tc>
          <w:tcPr>
            <w:tcW w:w="1872" w:type="dxa"/>
          </w:tcPr>
          <w:p w14:paraId="702C7FE0"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НКВ</w:t>
            </w:r>
          </w:p>
        </w:tc>
        <w:tc>
          <w:tcPr>
            <w:tcW w:w="4428" w:type="dxa"/>
          </w:tcPr>
          <w:p w14:paraId="7632A5F7"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535 Тула</w:t>
            </w:r>
          </w:p>
        </w:tc>
      </w:tr>
      <w:tr w:rsidR="00860B4B" w:rsidRPr="00D03F3E" w14:paraId="24A3A477" w14:textId="77777777">
        <w:tc>
          <w:tcPr>
            <w:tcW w:w="1872" w:type="dxa"/>
          </w:tcPr>
          <w:p w14:paraId="31BEF079"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НКВ</w:t>
            </w:r>
          </w:p>
        </w:tc>
        <w:tc>
          <w:tcPr>
            <w:tcW w:w="4428" w:type="dxa"/>
          </w:tcPr>
          <w:p w14:paraId="051C2AD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106 Хабаровск</w:t>
            </w:r>
          </w:p>
        </w:tc>
      </w:tr>
      <w:tr w:rsidR="00860B4B" w:rsidRPr="00D03F3E" w14:paraId="4B483473" w14:textId="77777777">
        <w:tc>
          <w:tcPr>
            <w:tcW w:w="1872" w:type="dxa"/>
          </w:tcPr>
          <w:p w14:paraId="34E92B7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НКПС</w:t>
            </w:r>
          </w:p>
        </w:tc>
        <w:tc>
          <w:tcPr>
            <w:tcW w:w="4428" w:type="dxa"/>
          </w:tcPr>
          <w:p w14:paraId="703563F2"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Паровозоремонтный завод Улан-Удэ</w:t>
            </w:r>
          </w:p>
        </w:tc>
      </w:tr>
      <w:tr w:rsidR="00860B4B" w:rsidRPr="00D03F3E" w14:paraId="1584C4ED" w14:textId="77777777">
        <w:tc>
          <w:tcPr>
            <w:tcW w:w="1872" w:type="dxa"/>
          </w:tcPr>
          <w:p w14:paraId="2C10EB3B"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НКТМ</w:t>
            </w:r>
          </w:p>
        </w:tc>
        <w:tc>
          <w:tcPr>
            <w:tcW w:w="4428" w:type="dxa"/>
          </w:tcPr>
          <w:p w14:paraId="201D0CE7"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“Коммунист” Маркс</w:t>
            </w:r>
          </w:p>
        </w:tc>
      </w:tr>
      <w:tr w:rsidR="00860B4B" w:rsidRPr="00D03F3E" w14:paraId="1B14E63E" w14:textId="77777777">
        <w:tc>
          <w:tcPr>
            <w:tcW w:w="1872" w:type="dxa"/>
          </w:tcPr>
          <w:p w14:paraId="218364C2"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НКЭП</w:t>
            </w:r>
          </w:p>
        </w:tc>
        <w:tc>
          <w:tcPr>
            <w:tcW w:w="4428" w:type="dxa"/>
          </w:tcPr>
          <w:p w14:paraId="48BD23D8"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“Динамо” Москва</w:t>
            </w:r>
          </w:p>
        </w:tc>
      </w:tr>
    </w:tbl>
    <w:p w14:paraId="0BD1AB06"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(5812, 5).</w:t>
      </w:r>
    </w:p>
    <w:p w14:paraId="059AB82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96B79C"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февраля 1943 г. на совещании ГБТУ был рассмотрен этот эскизный проект вооружения танка ракетами преподавателя кафедры артиллерии ВАММ им. Сталина инженер-полковника Александрова. ТАРС •представляла собой четыре ракетных орудия, каждое из которых имело две 132-мм осколочно-фугасных ракеты (М-13). Орудия устанавливались по бортам танка на наклонных броневых листах корпуса. Управление огнем осуществлялось с помощью специального щитка, устанавливавшегося справа от механика-водителя. Наводка на цель должна была осуществляться корпусом танка с помощью смотрового прибора механика-водителя с нанесенной сеткой и мушкой, а также маятникового угломера, показывающего в градусах угол, возвы</w:t>
      </w:r>
      <w:r w:rsidRPr="00D03F3E">
        <w:rPr>
          <w:rFonts w:ascii="Times New Roman" w:hAnsi="Times New Roman"/>
          <w:color w:val="000000" w:themeColor="text1"/>
          <w:sz w:val="16"/>
          <w:szCs w:val="16"/>
        </w:rPr>
        <w:softHyphen/>
        <w:t>шения корпуса танка и соответственно угол возвышения ракетных орудий. Стрельба могла производиться как одиночными выстрелами, так и залпами - от 2 до 8 выстрелов. Дальнейшая судьба данного эскиз</w:t>
      </w:r>
      <w:r w:rsidRPr="00D03F3E">
        <w:rPr>
          <w:rFonts w:ascii="Times New Roman" w:hAnsi="Times New Roman"/>
          <w:color w:val="000000" w:themeColor="text1"/>
          <w:sz w:val="16"/>
          <w:szCs w:val="16"/>
        </w:rPr>
        <w:softHyphen/>
        <w:t>ного проекта пока остается неизвестной. На практике такая установка ТАРС была реализована на опытном тяжелом танке КВ-1К (10703).</w:t>
      </w:r>
    </w:p>
    <w:p w14:paraId="000EAB8D" w14:textId="77777777" w:rsidR="00C84258" w:rsidRPr="00D03F3E"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D7E576" w14:textId="77777777" w:rsidR="001C3EED" w:rsidRPr="00D03F3E" w:rsidRDefault="001C3EED" w:rsidP="00D03F3E">
      <w:pPr>
        <w:pStyle w:val="ae"/>
        <w:shd w:val="clear" w:color="auto" w:fill="FFFFFF"/>
        <w:spacing w:before="0" w:after="0"/>
        <w:jc w:val="both"/>
        <w:rPr>
          <w:color w:val="000000" w:themeColor="text1"/>
          <w:sz w:val="16"/>
          <w:szCs w:val="16"/>
        </w:rPr>
      </w:pPr>
      <w:r w:rsidRPr="00D03F3E">
        <w:rPr>
          <w:color w:val="000000" w:themeColor="text1"/>
          <w:sz w:val="16"/>
          <w:szCs w:val="16"/>
        </w:rPr>
        <w:t>8 февраля 1943 года был издан приказ №012 по 12-му отдельному учебному танковому полку о зачислении экипажей. Восьмой машиной в списке идёт танк… «За Родину», серийный номер 220–2, командиром которого назначили лейтенанта В. В. Струкова. Достоверно известно, что 17 подбитых танков 124-й танковой бригады удалось эвакуировать. Судя по всему, среди них оказался и М-220–2, отремонтированный зимой 1942 года на заводе №371. В ходе ремонта танк получил обычный двигатель В-2К с серийным номером 1193–03. Как боевая машина этот танк уже не годился, но в качестве «учебной парты» для танкистов прослужил до 1944 года (15224).</w:t>
      </w:r>
    </w:p>
    <w:p w14:paraId="6E8AC445" w14:textId="77777777" w:rsidR="001C3EED" w:rsidRPr="00D03F3E" w:rsidRDefault="001C3EED" w:rsidP="00D03F3E">
      <w:pPr>
        <w:pStyle w:val="ae"/>
        <w:shd w:val="clear" w:color="auto" w:fill="FFFFFF"/>
        <w:spacing w:before="0" w:after="0"/>
        <w:jc w:val="both"/>
        <w:rPr>
          <w:color w:val="000000" w:themeColor="text1"/>
          <w:sz w:val="16"/>
          <w:szCs w:val="16"/>
        </w:rPr>
      </w:pPr>
    </w:p>
    <w:p w14:paraId="5C9881D4"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февраля 1943 вышло Постановление ГКО № 2847 О производстве 76 мм осколочных снарядов из сталистого чугуна по новой технологии.РГАНИР, Фонд ГКО, д. 87, лл. 93 (11012).</w:t>
      </w:r>
    </w:p>
    <w:p w14:paraId="61B9781B"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4198B3"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февраля 1943 вышло Распоряжение ГКО № 2848 О восстановлении Борисоглебского вагоноремонтного завода НКПС. (7080, 94).</w:t>
      </w:r>
    </w:p>
    <w:p w14:paraId="268BCC4B"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2914BD"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февраля 1943 вышло Распоряжение ГКО № 2849 О восстановлении Мичуринского паровозоремонтного завода НКПС. (7080, 95).</w:t>
      </w:r>
    </w:p>
    <w:p w14:paraId="2F0D790B"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E9616E"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февраля 1943 вышло Постановление ГКО № 2850 О мероприятиях по обеспечению жилищного строительства в Подмосковном угольном бассейне.РГАНИР, Фонд ГКО, д. 87, лл. 96-102, 103-118 (11012).</w:t>
      </w:r>
    </w:p>
    <w:p w14:paraId="3E4B88E9"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D02536"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февраля 1943 вышло Постановление ГКО № 2851 Об общем плане погрузки народнохозяйственных и воинских грузов на февраль 1943 года. (7080, 119).</w:t>
      </w:r>
    </w:p>
    <w:p w14:paraId="36308F44"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F4E6E9"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февраля 1943 вышло Постановление ГКО № 2852 О плане перевозок по железнодорожному и водному транспорту на февраль 1943 года. (7081, 1-3,4-155).</w:t>
      </w:r>
    </w:p>
    <w:p w14:paraId="714B7639"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035307" w14:textId="77777777" w:rsidR="00C8425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55952A2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7F08B0"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8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627D1EB4"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8 февраля наши войска вели наступательные бои на прежних направлениях.</w:t>
      </w:r>
    </w:p>
    <w:p w14:paraId="750FC644"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Ростова-на-Дону немцы пытались вернуть потерянные ими накануне позиции. Наши бойцы встретили врага мощным миномётным и пулемётным огнём. Противник был отброшен, оставив на поле боя много трупов своих солдат и офицеров.</w:t>
      </w:r>
    </w:p>
    <w:p w14:paraId="79360799"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Краматорской наши войска вели наступательные бои. Гвардейцы-танкистыв упорных боях за один крупный населённый пункт сожгли и подбили 11 немецких танков. Захвачены многочисленные трофеи. На другом участке группа советских танков, прорвавшись в тыл противника, разгромила колонну немецкой пехоты.</w:t>
      </w:r>
    </w:p>
    <w:p w14:paraId="28CE842D"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Западнее Купянска части Н-ского соединения в бою с противником истребили более 200 немецких солдат и офицеров, уничтожили 4 танка и 3 орудия. Захвачены 45 автомашин, склад боеприпасов и много оружия. На другом участке наши подразделения ночью ворвались в большой населённый пункт, в уличных боях истребили до роты немецкой пехоты и овладели этим населённым пунктом. Захвачено 3 танка, 3 противотанковых орудия и 16 пулемётов. Взяты пленные.</w:t>
      </w:r>
    </w:p>
    <w:p w14:paraId="15B1751D"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наши войска продолжали наступление и освободили ряд населённых пунктов. Уничтожено свыше 400 немецких солдат и офицеров. Захвачены22 танка, 33 орудия, 42 пулемёта, 30 миномётов, 20 автомашин, 4 радиостанции,10.000 снарядов, много патронов и другие трофеи.</w:t>
      </w:r>
    </w:p>
    <w:p w14:paraId="53E686F1"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Курской области, совершил несколько налётов на гарнизоны противника и истребил 130 гитлеровцев. Группа партизан этого отряда неделю тому назад пустила под откос 3 немецких воинских эшелона. Разбито 2 паровоза, 4 платформы и 12 вагонов. Партизаны другого отряда в нескольких местах взорвали железнодорожный путь и вырезали 5 километров телефонно-телеграфных проводов.</w:t>
      </w:r>
    </w:p>
    <w:p w14:paraId="4DD3A83D"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командир 37 полка итальянской дивизии «Равенна» полковник Джованни Колдини заявил: «Мои подразделения находились в обороне и были расположены в мощных укреплениях. Начав наступление, русские танки прорвали и смяли нашу оборону. Мы очутились в чрезвычайно тяжёлом положении. На правом фланге полка находились части 298 немецкой дивизии. Немцы не оказали моему потрёпанному полку никакой поддержки. Тогда я принял решение отступить, но русские отрезали всепути отхода, и остатки полка вместе с штабом попали в плен». В заключение полковник Колдини сообщил, что «немцы много писали о новом электрическом пулемёте. Но такого пулемёта в природе нет. Это сплошная выдумка. Вся возня ишумиха, поднятая вокруг несуществующего «электрического пулемёта», затеяна в целях пропаганды».</w:t>
      </w:r>
    </w:p>
    <w:p w14:paraId="4BE9FA16"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селе Репьевка, Воронежской области: «Гитлеровцы устроили в нашем селе кровавую бойню.Фашистские палачи повесили колхозника Воронкова, убили колхозников Тихона Волвенкина, Петра Токарского, Ольгу Лакарину и многих других. Всего, фашистские душегубы убили и замучили насмерть 220 мирных жителей. Немецкие солдаты иофицеры ограбили и разорили семь колхозов сельсовета, угнали 1.500 голов скота и забрали много колхозного имущества. Отступая под ударами Красной Армии, немцы сожгли 2 школы, библиотеку, кинотеатр, больницу и родильный дом». Акт подписали: председатель сельсовета Е.Нефедченко, жители села Репьевка К.Фабрицкая, Е.Терениченко, Ф.Щербакова.» (15034).</w:t>
      </w:r>
    </w:p>
    <w:p w14:paraId="6A2BF43B" w14:textId="77777777" w:rsidR="001C3EED" w:rsidRPr="00D03F3E" w:rsidRDefault="001C3EED" w:rsidP="00D03F3E">
      <w:pPr>
        <w:spacing w:after="0" w:line="240" w:lineRule="auto"/>
        <w:jc w:val="both"/>
        <w:rPr>
          <w:rFonts w:ascii="Times New Roman" w:hAnsi="Times New Roman"/>
          <w:color w:val="000000" w:themeColor="text1"/>
          <w:sz w:val="16"/>
          <w:szCs w:val="16"/>
        </w:rPr>
      </w:pPr>
    </w:p>
    <w:p w14:paraId="33457E42"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8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0C09895D"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февраля наши войска, в результате стремительного наступления, овладели городом Курен.</w:t>
      </w:r>
    </w:p>
    <w:p w14:paraId="64E77107"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Северо-восточнее Белгорода наши войска после упорного боя овладели городом Короча и рядом крупных населённых пунктов.</w:t>
      </w:r>
    </w:p>
    <w:p w14:paraId="1DE7F4E2"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Северо-Кавказского фронта овладели районным центром и железнодорожной станцией Старо-Щербиновская, районными центрами Александровна, Ейское укрепление, Камышеватская, крупными населёнными пунктами Новокорсунская, Дядьковская, Шабельская, Глафировка, Николаевна, Должанка, железнодорожнымистанциями Платнировская, Пластуновская.</w:t>
      </w:r>
    </w:p>
    <w:p w14:paraId="66AA45AF"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бои на прежних направлениях.</w:t>
      </w:r>
    </w:p>
    <w:p w14:paraId="2D4044A2"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февраля частями нашей авиации на различных участках фронта уничтожено или повреждено до 150 автомашин с войсками и грузами, подавлен огонь 4 артиллерийских батарей, взорвано 2 склада боеприпасов, рассеяно и частью уничтожено до батальона пехоты противника.</w:t>
      </w:r>
    </w:p>
    <w:p w14:paraId="1595D093"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Ростова-на-Дону наши войска, отбивая контратаки противника, продолжали наступление. Восточнее города. Ростова-на-Дону передовые пехотные подразделения ворвались в одну крупную станицу и очищают её от гитлеровцев. На другом участке Н-ская кавалерийская часть внезапным налётом овладела сильно укреплённым узлом вражеской обороны. Захвачены трофеи и пленные.</w:t>
      </w:r>
    </w:p>
    <w:p w14:paraId="2F6F4316"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Краматорской наши войска продолжали наступление. Н-ская моторизованная часть уничтожила более 300 гитлеровцев и заняла несколько населённых пунктов. Захвачены 7 орудий, 19 пулемётов, радиостанция и 32 автомашины с военным имуществом. На другом участке наши артиллеристы и бронебойщики уничтожили 7 немецких танков и рассеяли батальон вражеской пехоты.</w:t>
      </w:r>
    </w:p>
    <w:p w14:paraId="5A6D78DC"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Изюма на одном рубеже обороны противник пытался задержать наступление советских частей. Наши подвижные отряды проникли в тылы врага и дезорганизовали его оборону. Гитлеровцы поспешно отступили. Нашими бойцами захвачены 11 орудий, 2 танка, 18 противотанковых ружей, 34 пулемёта, 3 склада боеприпасов и другие трофеи.</w:t>
      </w:r>
    </w:p>
    <w:p w14:paraId="34C26FE8"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наши войска продолжали успешное наступление. В боях за день взято в плен более 1.000 солдат и офицеров противника. Захвачены трофеи: 2 танка, 5 орудий, 26 автомашин, 12 мотоциклов, склад с боеприпасами и продовольствием и много другого военного имущества. Отступая, немцы не только бросают своих раненых на произвол судьбы, но и уничтожают их. В селе Тимирязеве гитлеровцы взорвали госпиталь, в котором находилось 27 раненых немецких солдат и офицеров.</w:t>
      </w:r>
    </w:p>
    <w:p w14:paraId="224BE4E9"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на Украине, совершили внезапный налёт на железнодорожную станцию, занятую немцами. Советские патриоты уничтожили 3 паровоза и 11 платформ с военными грузами. Группа партизан этого отряда огнём из пехотного оружия сбила немецкий самолёт. Партизаны другого отряда в течение нескольких часов вели ожесточённый бой с немецким гарнизоном в большом селе. Истреблено более 100 гитлеровцев, взорваны склад боеприпасов и дом, в котором находились 7 немецких офицеров. Захвачены трофеи: 5 пулемётов, 61 винтовка, миномёт и несколько ящиков мин.</w:t>
      </w:r>
    </w:p>
    <w:p w14:paraId="54997903"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селе Татарино, Воронежской области: «До прихода немецких бандитов колхозники села Татарине жили зажиточно и культурно. Гитлеровцы ограбили население до нитки, разрушили и сожгли школу, клуб, родильный дом, медпункт, общественные постройки колхоза и много домов колхозников. Немцы также сожгли церковь. Фашистские палачи расстреляли жителей села Анастасию Сапрыкину, Марфу Шаприну — мать четырёх детейи Ксению Сапрыкину». Акт подписали: капитан Г.Виницкий, майор В.Алпасийский ижители села И.Сапрыкина, А.Чернышёв, А.Чунин, А.Коренков, И.Гончаренко.».</w:t>
      </w:r>
    </w:p>
    <w:p w14:paraId="1EC4550A"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6CFF1827"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города Курск, Короча.</w:t>
      </w:r>
    </w:p>
    <w:p w14:paraId="114E80DD"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февраля войска генерал-майора тов. Черняховского И.Д., в результатестремительного наступления, овладели городом Курск. Первыми ворвались в Курск части полковника тов. Бушина А.М., полковника тов. Гусева И.А. и подполковникатов. Перекальского С.Н. Взятию города Курска содействовали охватывающим ударомс северо-запада части полковника тов. Голосова Д.Н. и полковника тов. Шкрылева Т.К.</w:t>
      </w:r>
    </w:p>
    <w:p w14:paraId="0BB258F5"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Взяты большие трофеи, которые подсчитываются.</w:t>
      </w:r>
    </w:p>
    <w:p w14:paraId="540B6B18" w14:textId="77777777" w:rsidR="001C3EED" w:rsidRPr="00D03F3E" w:rsidRDefault="001C3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Северо-восточнее Белгорода наши войска после упорного боя овладели городом Короча.» (15034).</w:t>
      </w:r>
    </w:p>
    <w:p w14:paraId="55186B7B" w14:textId="77777777" w:rsidR="001C3EED" w:rsidRPr="00D03F3E" w:rsidRDefault="001C3EED" w:rsidP="00D03F3E">
      <w:pPr>
        <w:spacing w:after="0" w:line="240" w:lineRule="auto"/>
        <w:jc w:val="both"/>
        <w:rPr>
          <w:rFonts w:ascii="Times New Roman" w:hAnsi="Times New Roman"/>
          <w:color w:val="000000" w:themeColor="text1"/>
          <w:sz w:val="16"/>
          <w:szCs w:val="16"/>
        </w:rPr>
      </w:pPr>
    </w:p>
    <w:p w14:paraId="24E03FE0"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февраля 1943 Пе-8 (ТБ-7) загрузили 4.5 т листовок и вечером полковник С.С.Шугак вылетел из Кратово для разбрасывания над немцами, окруженными под Сталинградом (1103,109).</w:t>
      </w:r>
    </w:p>
    <w:p w14:paraId="49FF4752"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5FF18C"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февраля 1943 советские войска освободили от фашистов Курск (4962).</w:t>
      </w:r>
    </w:p>
    <w:p w14:paraId="38C2831E" w14:textId="77777777" w:rsidR="00C84258" w:rsidRPr="00D03F3E"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2CE80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February 8 1943 Russians capture Kursk (1037).</w:t>
      </w:r>
    </w:p>
    <w:p w14:paraId="6ACDE4A6"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7C9B687"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 xml:space="preserve">8 </w:t>
      </w:r>
      <w:r w:rsidRPr="00D03F3E">
        <w:rPr>
          <w:rFonts w:ascii="Times New Roman" w:hAnsi="Times New Roman"/>
          <w:color w:val="000000" w:themeColor="text1"/>
          <w:sz w:val="16"/>
          <w:szCs w:val="16"/>
        </w:rPr>
        <w:t>февраля</w:t>
      </w:r>
      <w:r w:rsidRPr="00D03F3E">
        <w:rPr>
          <w:rFonts w:ascii="Times New Roman" w:hAnsi="Times New Roman"/>
          <w:color w:val="000000" w:themeColor="text1"/>
          <w:sz w:val="16"/>
          <w:szCs w:val="16"/>
          <w:lang w:val="en-US"/>
        </w:rPr>
        <w:t xml:space="preserve"> 1943 </w:t>
      </w:r>
      <w:r w:rsidRPr="00D03F3E">
        <w:rPr>
          <w:rFonts w:ascii="Times New Roman" w:hAnsi="Times New Roman"/>
          <w:color w:val="000000" w:themeColor="text1"/>
          <w:sz w:val="16"/>
          <w:szCs w:val="16"/>
        </w:rPr>
        <w:t>освободилиКурск</w:t>
      </w:r>
      <w:r w:rsidRPr="00D03F3E">
        <w:rPr>
          <w:rFonts w:ascii="Times New Roman" w:hAnsi="Times New Roman"/>
          <w:color w:val="000000" w:themeColor="text1"/>
          <w:sz w:val="16"/>
          <w:szCs w:val="16"/>
          <w:lang w:val="en-US"/>
        </w:rPr>
        <w:t xml:space="preserve"> (1037).</w:t>
      </w:r>
    </w:p>
    <w:p w14:paraId="106C4D8F" w14:textId="77777777" w:rsidR="00C84258" w:rsidRPr="00D03F3E"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5E82BC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56E57B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B6BC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был подписан акт по результатам испытаний в НИИ ВВС самолета Ил-2 N 1122 и там отмечалась недостаточная дальность радиосвязи (1862).</w:t>
      </w:r>
    </w:p>
    <w:p w14:paraId="495A96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56EA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П.Дементьев письмом N 35/565 строго предупредил директора завода 153 Романова о том, что им не выполнено постановление ГКО N ГОКО-2727сс от 10 января и приказ НКАП N 18сс от 14 января о поставке для школ ВВС КА 40 Як-7 учебных с двойным управлением и требовал в феврале - 50 и в марте - 80 (2519).</w:t>
      </w:r>
    </w:p>
    <w:p w14:paraId="28671A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6550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во вторник на Ер-2 2М-30Б на заводах 134 и 500 состоялся полет в районе аэродрома на определение расхода горючего. Задание не выполнили, т.к. через 1:20 по радио потребовали вернуться из-за воздушной тревоги. Летал Холод и заметил повышение температуры воды правого мотора. После посадки 7-10 минут рулил и из-за отсутствия воды сжег мотор (1458,11).</w:t>
      </w:r>
    </w:p>
    <w:p w14:paraId="47D6B1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649C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Балакирев писал Нач. НИИ ВВС Данилину письмо N 385:</w:t>
      </w:r>
    </w:p>
    <w:p w14:paraId="38C442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вопросу: опытной тематики по телемеханическим самолетам</w:t>
      </w:r>
    </w:p>
    <w:p w14:paraId="5C2C41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февраля 1943 5 ГУ НКАП при письме 13 отдела НИИ ВВС от 3 февраля N 0048 получены ТТТ на опытный образец упрощенной электрогидравлической системы автоматов для телемеханических самолетов (РТУ).</w:t>
      </w:r>
    </w:p>
    <w:p w14:paraId="28EB9D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Как явствует из присланного материала, НИИ ВВС предлагает передать указанную тему на разработку в ОКБ завода 379. Необходимо поставить Вас в известность, что ОКБ завода 379, как самостоятельная организация, мною ликвидировано. Но независимо от существования ОКБ завода 379, выдвигаемая 13 отделом НИИ ВВС </w:t>
      </w:r>
      <w:r w:rsidRPr="00D03F3E">
        <w:rPr>
          <w:rFonts w:ascii="Times New Roman" w:hAnsi="Times New Roman"/>
          <w:color w:val="000000" w:themeColor="text1"/>
          <w:sz w:val="16"/>
          <w:szCs w:val="16"/>
        </w:rPr>
        <w:lastRenderedPageBreak/>
        <w:t>тема не может быть принята к разработке в системе 5 ГУ. Причиной, побуждающей отказать Вам в приеме темы РУТ, как и организационной перестройки ОКБ завода 379 является неактуальность тематики по телемеханическим самолетам, а отсюда и нерациональность дальнейшей загрузки персонала бывшего ОКБ завода 379 этими работами, при одновременном недостатке высококвалифицированных ИТР на серийных заводах Главка, обеспечивающих запросы фронта.</w:t>
      </w:r>
    </w:p>
    <w:p w14:paraId="720E28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Заключение о неактуальности вопроса создания и отработки боевых образцов телемеханического самолетов необходимо из практического использования ВВС итогов работ, полученных в результате отработки Ваших заказов 1940-1942 гг. "Беркут" и "Кондор".</w:t>
      </w:r>
    </w:p>
    <w:p w14:paraId="242392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Вам известно, аппаратура по этим заказам потребовавшая для своей разработки и изготовления значительных финансовых вложений гос. средств, загрузки в течение ряда лет производственных мощностей наших заводов и большого количества высококвалифицированных работников, в настоящее время законсервирована и несмотря на 100% готовность, не предполагается быть использована в боевых операциях КА против немецких захватчиков. Дальнейшее вложение гос. средств в работы, не имеющие практического использования, считаю в настоящий момент, недопустимым. При точ, что ТТТ на заказ РУТ не содержат каких-либо новых принципиальных моментов, не проверенных в заказах Беркут и Кондор, а разработка упрощенной схемы без практической боевой проверки основной темы, не рациональна.</w:t>
      </w:r>
    </w:p>
    <w:p w14:paraId="03AD9F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силу изложенного, данная тема также не может служить базой для дальнейшего развития технической культуры автоматизации управления самолетом, сохранения развития и роста конструкторских и исследовательских кадров приборостроительных заводов." (1977,225).</w:t>
      </w:r>
    </w:p>
    <w:p w14:paraId="36D46D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810D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г. по приказу № 79с был вновь образован завод № 487 НКАП в Тушино (или р-н ст. Товарная- Бутырская) путем преобразования в самостоятельный завод филиала завода № 481 НКАП (Завод № 487 НКАП, МАП /г. Тушино Московской обл. (или р-н ст. Товарная-Бутырская)/). Производство РО-82, кассет для гранат ЛАГ-20, химприборов ВАП-100, ампулометов.</w:t>
      </w:r>
    </w:p>
    <w:p w14:paraId="07DF49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конца 1943 г. началось перепрофилирование производства. Сначала было задано освоение выпуска нормалей и арматуры. Затем в соответствии с пост. ГКО № 4922с от 11.01.1944 г. и приказом № 23 с от 14.01.1944 г. была оговорена организация производства дизельной аппаратуры (топливных насосов ТН-12) для завода № 500 и планировалось сформировать филиал ОКБ завода № 500 с правами Серийного КБ по насосам (начальник- П.Ф. Ларкин). В связи с этим завод № 487 передан из 2ГУ в 4ГУ НКАП, производство вооружения передано на завод № 455 НКАП. Под новую тематику на завод переведено около 600 специалистов с заводов № 132, 33,266 и 306.</w:t>
      </w:r>
    </w:p>
    <w:p w14:paraId="1C0DC5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приказам № 171с от 8.03.1944 г. и № 206сс от 21.03.1944 г. завод № 487 НКАП со всеми кадрами, оборудованием и сооружениями вместе с ОКБ-487 влит в состав завода № 315. Его территория числилась как площадка № 2 завода № 315.</w:t>
      </w:r>
    </w:p>
    <w:p w14:paraId="574D8F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1945 г. на площадку завода № 487 НКАП (площадка № 2 завода № 315 НКАП) переведен завод № 476 НКАП.</w:t>
      </w:r>
    </w:p>
    <w:p w14:paraId="557CF9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приказом МАГ1 № 171с от 8.03.1949 г. завод № 487 объединен с заводом № 315 МАП.</w:t>
      </w:r>
    </w:p>
    <w:p w14:paraId="36729072" w14:textId="77777777" w:rsidR="00587ADC"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(02-10.1943 г.-)- Э.И. Озарский, (-01-03.1944 г.)- Давыдов.</w:t>
      </w:r>
    </w:p>
    <w:p w14:paraId="641C45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 завода № 487 НКАП гл. конструктора И.П. Шебанова, ОКБ-487 НКАП</w:t>
      </w:r>
    </w:p>
    <w:p w14:paraId="2BB066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КБ И.П. Шебанова, которое до эвакуации базировалось на заводе № 487 НКАП, было эвакуировано и работало на территории завода № 454 НКАП в Куйбышеве (как ОКБ-454 НКАП). По приказу № 272с от 6.05.1943 г. ОКБ-454 из Куйбышева переведено на вновь образованный завод № 487 НКАП и переименовано в ОКБ-487 НКАП.</w:t>
      </w:r>
    </w:p>
    <w:p w14:paraId="29689A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по стрелковым установкам с УБТ для Пе-8 (10.1943 г.). С середины 1945 г. основной работой стали установки вооружения для Ту-4. По приказу № 298с от 13.07.1945 г. шли работы по заданиям ОКБ-ИО НКАП.</w:t>
      </w:r>
    </w:p>
    <w:p w14:paraId="2CF3D1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приказам № 171с от 8.03.1944 г. и № 206сс от 21.03.1944 г. ОКБ-487 вместе с заводом № 487 НКАП со всеми кадрами, оборудованием и сооружениями влито в состав завода № 315. В 01.1945 г. ОКБ-487 - в 7ГУ.</w:t>
      </w:r>
    </w:p>
    <w:p w14:paraId="20C122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Работа ОКБ была признана руководством малоэффективной (за 1942-45 г. создана только одна серийная установка- ТУМ-5 для Ер-2). По приказу № 447сс от 14.11.1945 г. в целях укрупнения конструкторских организаций основная часть личного состава (142 чел.), оборудования и материальных ценностей ОКБ-487 гл. конструктора И.П. Шебанова влита в состав объединенного ОКБ-43 НКАП, этим же приказом из ОКБ-487 НКАП в помощь вновь образованному заводу № 25 НКАП переведено 50 чел. ИТР и рабочих, занятых работами по агрегатам вооружения Ту-4. И.П. Шебанов назначен замом И.И. Торопова (11982).</w:t>
      </w:r>
    </w:p>
    <w:p w14:paraId="2C4B3F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E1132F"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9 февраля 1943 главный инже</w:t>
      </w:r>
      <w:r w:rsidRPr="00D03F3E">
        <w:rPr>
          <w:rFonts w:ascii="Times New Roman" w:cs="Times New Roman"/>
          <w:color w:val="000000" w:themeColor="text1"/>
          <w:spacing w:val="0"/>
        </w:rPr>
        <w:softHyphen/>
        <w:t>нер ВВС КА генерал-лейтенант А.К. Репин утвердил Отчет по испытаниям перепроектированной ЦКБ-22 ПТАБ-1,5, которые шли с 15 января 1943 г. на НИПАВ.</w:t>
      </w:r>
    </w:p>
    <w:p w14:paraId="1EA9DDF9"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Ответственным по испытаниям, как и прежде, был назначен инженер-майор Дьячков. Промышленность представлял конструктор бомбы и взрывателя к ней И.А. Ларионов. Летную часть программы испытаний выполнил летчик-испытатель полигона капитан А.В. Кусакин. Испытания были проведены в течение всего одного дня 24 января.</w:t>
      </w:r>
    </w:p>
    <w:p w14:paraId="75B56282"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Цель испытаний - проверить эффек</w:t>
      </w:r>
      <w:r w:rsidRPr="00D03F3E">
        <w:rPr>
          <w:rFonts w:ascii="Times New Roman" w:cs="Times New Roman"/>
          <w:color w:val="000000" w:themeColor="text1"/>
          <w:spacing w:val="0"/>
        </w:rPr>
        <w:softHyphen/>
        <w:t>тивность действия бомб этого типа по тан</w:t>
      </w:r>
      <w:r w:rsidRPr="00D03F3E">
        <w:rPr>
          <w:rFonts w:ascii="Times New Roman" w:cs="Times New Roman"/>
          <w:color w:val="000000" w:themeColor="text1"/>
          <w:spacing w:val="0"/>
        </w:rPr>
        <w:softHyphen/>
        <w:t>кам, их безотказность в действии, а также определить рациональную укладку бомб в штатные кассеты мелких бомб штурмовиков и бомбардировщиков.</w:t>
      </w:r>
    </w:p>
    <w:p w14:paraId="4A911940"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Основные изменения в конструкции бомбы сводились к следующему. Длину и диаметр ПТАБ-1,5 привели в соответствие с габаритами штатной бомбы калибра 2,5 кг. Длина бомбы находилась в пре</w:t>
      </w:r>
      <w:r w:rsidRPr="00D03F3E">
        <w:rPr>
          <w:rFonts w:ascii="Times New Roman" w:cs="Times New Roman"/>
          <w:color w:val="000000" w:themeColor="text1"/>
          <w:spacing w:val="0"/>
        </w:rPr>
        <w:softHyphen/>
        <w:t>делах 355-360 мм, диаметр корпуса - 61-65 мм, размах оперения - 65 мм. Диа</w:t>
      </w:r>
      <w:r w:rsidRPr="00D03F3E">
        <w:rPr>
          <w:rFonts w:ascii="Times New Roman" w:cs="Times New Roman"/>
          <w:color w:val="000000" w:themeColor="text1"/>
          <w:spacing w:val="0"/>
        </w:rPr>
        <w:softHyphen/>
        <w:t>метр ветрянки уменьшили с 70 до 58 мм, и изменили форму детонаторной шашки.</w:t>
      </w:r>
    </w:p>
    <w:p w14:paraId="3B828830"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Корпус ПТАБ-1,5 изготав</w:t>
      </w:r>
      <w:r w:rsidRPr="00D03F3E">
        <w:rPr>
          <w:rFonts w:ascii="Times New Roman" w:cs="Times New Roman"/>
          <w:color w:val="000000" w:themeColor="text1"/>
          <w:spacing w:val="0"/>
        </w:rPr>
        <w:softHyphen/>
        <w:t>ливался из жести и состо</w:t>
      </w:r>
      <w:r w:rsidRPr="00D03F3E">
        <w:rPr>
          <w:rFonts w:ascii="Times New Roman" w:cs="Times New Roman"/>
          <w:color w:val="000000" w:themeColor="text1"/>
          <w:spacing w:val="0"/>
        </w:rPr>
        <w:softHyphen/>
        <w:t>ял из жесткого цилиндра и штампованной сфериче</w:t>
      </w:r>
      <w:r w:rsidRPr="00D03F3E">
        <w:rPr>
          <w:rFonts w:ascii="Times New Roman" w:cs="Times New Roman"/>
          <w:color w:val="000000" w:themeColor="text1"/>
          <w:spacing w:val="0"/>
        </w:rPr>
        <w:softHyphen/>
        <w:t>ской головки. Кумулятивная выемка бомбы была кониче</w:t>
      </w:r>
      <w:r w:rsidRPr="00D03F3E">
        <w:rPr>
          <w:rFonts w:ascii="Times New Roman" w:cs="Times New Roman"/>
          <w:color w:val="000000" w:themeColor="text1"/>
          <w:spacing w:val="0"/>
        </w:rPr>
        <w:softHyphen/>
        <w:t>ской формы с диаметром у основания 56 мм при вы</w:t>
      </w:r>
      <w:r w:rsidRPr="00D03F3E">
        <w:rPr>
          <w:rFonts w:ascii="Times New Roman" w:cs="Times New Roman"/>
          <w:color w:val="000000" w:themeColor="text1"/>
          <w:spacing w:val="0"/>
        </w:rPr>
        <w:softHyphen/>
        <w:t>соте 32 мм, то есть фактор кумуляции (отношение вы</w:t>
      </w:r>
      <w:r w:rsidRPr="00D03F3E">
        <w:rPr>
          <w:rFonts w:ascii="Times New Roman" w:cs="Times New Roman"/>
          <w:color w:val="000000" w:themeColor="text1"/>
          <w:spacing w:val="0"/>
        </w:rPr>
        <w:softHyphen/>
        <w:t>соты конуса к его диаметру у основания) равнялся 0,57. Толщина металлической об</w:t>
      </w:r>
      <w:r w:rsidRPr="00D03F3E">
        <w:rPr>
          <w:rFonts w:ascii="Times New Roman" w:cs="Times New Roman"/>
          <w:color w:val="000000" w:themeColor="text1"/>
          <w:spacing w:val="0"/>
        </w:rPr>
        <w:softHyphen/>
        <w:t>лицовки кумулятивной вы</w:t>
      </w:r>
      <w:r w:rsidRPr="00D03F3E">
        <w:rPr>
          <w:rFonts w:ascii="Times New Roman" w:cs="Times New Roman"/>
          <w:color w:val="000000" w:themeColor="text1"/>
          <w:spacing w:val="0"/>
        </w:rPr>
        <w:softHyphen/>
        <w:t>емки была всего 1 мм. Для увеличения осколочного действия на цилиндриче</w:t>
      </w:r>
      <w:r w:rsidRPr="00D03F3E">
        <w:rPr>
          <w:rFonts w:ascii="Times New Roman" w:cs="Times New Roman"/>
          <w:color w:val="000000" w:themeColor="text1"/>
          <w:spacing w:val="0"/>
        </w:rPr>
        <w:softHyphen/>
        <w:t>скую часть бомбы дополни</w:t>
      </w:r>
      <w:r w:rsidRPr="00D03F3E">
        <w:rPr>
          <w:rFonts w:ascii="Times New Roman" w:cs="Times New Roman"/>
          <w:color w:val="000000" w:themeColor="text1"/>
          <w:spacing w:val="0"/>
        </w:rPr>
        <w:softHyphen/>
        <w:t>тельно надевалась стальная 1,5-мм «рубашка». Вес не окончательно снаряженной бомбы (без взрывателя) со</w:t>
      </w:r>
      <w:r w:rsidRPr="00D03F3E">
        <w:rPr>
          <w:rFonts w:ascii="Times New Roman" w:cs="Times New Roman"/>
          <w:color w:val="000000" w:themeColor="text1"/>
          <w:spacing w:val="0"/>
        </w:rPr>
        <w:softHyphen/>
        <w:t>ставлял 1,170 кг.</w:t>
      </w:r>
    </w:p>
    <w:p w14:paraId="19AF6E69"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Бомба снаряжалась мощным взрывчатым ве</w:t>
      </w:r>
      <w:r w:rsidRPr="00D03F3E">
        <w:rPr>
          <w:rFonts w:ascii="Times New Roman" w:cs="Times New Roman"/>
          <w:color w:val="000000" w:themeColor="text1"/>
          <w:spacing w:val="0"/>
        </w:rPr>
        <w:softHyphen/>
        <w:t>ществом типа ТГА (вес - 640 г). Это была смесь тротила (50%) и гексогена (40%) с добавлением 10% алюминиевой пудры. Алю</w:t>
      </w:r>
      <w:r w:rsidRPr="00D03F3E">
        <w:rPr>
          <w:rFonts w:ascii="Times New Roman" w:cs="Times New Roman"/>
          <w:color w:val="000000" w:themeColor="text1"/>
          <w:spacing w:val="0"/>
        </w:rPr>
        <w:softHyphen/>
        <w:t>миний добавлялся с целью усиления зажигательных свойств кумулятивной струи. Во всяком случае, так в то время считали.</w:t>
      </w:r>
    </w:p>
    <w:p w14:paraId="7A2B64DE"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Загрузка бомб в штатные кассеты мел</w:t>
      </w:r>
      <w:r w:rsidRPr="00D03F3E">
        <w:rPr>
          <w:rFonts w:ascii="Times New Roman" w:cs="Times New Roman"/>
          <w:color w:val="000000" w:themeColor="text1"/>
          <w:spacing w:val="0"/>
        </w:rPr>
        <w:softHyphen/>
        <w:t>ких бомб самолета Ил-2 (КМБ и КМБ-2) по</w:t>
      </w:r>
      <w:r w:rsidRPr="00D03F3E">
        <w:rPr>
          <w:rFonts w:ascii="Times New Roman" w:cs="Times New Roman"/>
          <w:color w:val="000000" w:themeColor="text1"/>
          <w:spacing w:val="0"/>
        </w:rPr>
        <w:softHyphen/>
        <w:t>казала, что в них можно было уложить 68 и 70 бомб, соответственно. То есть полная за</w:t>
      </w:r>
      <w:r w:rsidRPr="00D03F3E">
        <w:rPr>
          <w:rFonts w:ascii="Times New Roman" w:cs="Times New Roman"/>
          <w:color w:val="000000" w:themeColor="text1"/>
          <w:spacing w:val="0"/>
        </w:rPr>
        <w:softHyphen/>
        <w:t>грузка самолета Ил-2 бомбами этого типа составляла 272-280 штук, что равнялось 325-340 кг. Это количество сочли вполне достаточным для эффективного боевого применения самолета.</w:t>
      </w:r>
    </w:p>
    <w:p w14:paraId="6DC997B9"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кассету бомбардировщика Пе-2 (КМБ-Пе-2), умещалось только 51 ПТАБ-1,5 или 102 бомбы на самолет (всего 125 кг). Явно мало для такой большой машины.</w:t>
      </w:r>
    </w:p>
    <w:p w14:paraId="69CE96CE"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Специалисты полигона отметили, что габаритные размеры бомб - диаметры бомбы и цилиндра стабилизатора, а также размах стабилизатора, выходят за пределы технических требований на 1 -4 мм. Кроме того, конструктором бомбы не был отрабо</w:t>
      </w:r>
      <w:r w:rsidRPr="00D03F3E">
        <w:rPr>
          <w:rFonts w:ascii="Times New Roman" w:cs="Times New Roman"/>
          <w:color w:val="000000" w:themeColor="text1"/>
          <w:spacing w:val="0"/>
        </w:rPr>
        <w:softHyphen/>
        <w:t>тан способ надежной контровки ветрянки взрывателя. Все это не давало гарантии безопасной эксплуатации боеприпаса в войсках.</w:t>
      </w:r>
    </w:p>
    <w:p w14:paraId="357C4DC1"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Для определения эффективности ПТАБ-1,5 было подорвано 14 бомб непо</w:t>
      </w:r>
      <w:r w:rsidRPr="00D03F3E">
        <w:rPr>
          <w:rFonts w:ascii="Times New Roman" w:cs="Times New Roman"/>
          <w:color w:val="000000" w:themeColor="text1"/>
          <w:spacing w:val="0"/>
        </w:rPr>
        <w:softHyphen/>
        <w:t>средственно на броне немецкого штурмо</w:t>
      </w:r>
      <w:r w:rsidRPr="00D03F3E">
        <w:rPr>
          <w:rFonts w:ascii="Times New Roman" w:cs="Times New Roman"/>
          <w:color w:val="000000" w:themeColor="text1"/>
          <w:spacing w:val="0"/>
        </w:rPr>
        <w:softHyphen/>
        <w:t>вого орудия 81иС III. Подрывы выполнялись под углами 90,45,30,15 и 0 градусов к по</w:t>
      </w:r>
      <w:r w:rsidRPr="00D03F3E">
        <w:rPr>
          <w:rFonts w:ascii="Times New Roman" w:cs="Times New Roman"/>
          <w:color w:val="000000" w:themeColor="text1"/>
          <w:spacing w:val="0"/>
        </w:rPr>
        <w:softHyphen/>
        <w:t>верхности брони. Перед подрывом с целью имитации удара о броню танка головная часть бомбы деформировалась.</w:t>
      </w:r>
    </w:p>
    <w:p w14:paraId="7CBFB4AF"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Эффект от подрывов ПТАБ-1,5 пре</w:t>
      </w:r>
      <w:r w:rsidRPr="00D03F3E">
        <w:rPr>
          <w:rFonts w:ascii="Times New Roman" w:cs="Times New Roman"/>
          <w:color w:val="000000" w:themeColor="text1"/>
          <w:spacing w:val="0"/>
        </w:rPr>
        <w:softHyphen/>
        <w:t>взошел все ожидания. В диапазоне углов встречи (угол между нормалью к броне и осью бомбы) от 0 до 60° кумулятивная струя бомбы легко пробивала броню толщиной 50 мм, а при больших углах - 30 мм. При</w:t>
      </w:r>
      <w:r w:rsidRPr="00D03F3E">
        <w:rPr>
          <w:rFonts w:ascii="Times New Roman" w:cs="Times New Roman"/>
          <w:color w:val="000000" w:themeColor="text1"/>
          <w:spacing w:val="0"/>
        </w:rPr>
        <w:softHyphen/>
        <w:t>чем, если поражение 50-мм брони име</w:t>
      </w:r>
      <w:r w:rsidRPr="00D03F3E">
        <w:rPr>
          <w:rFonts w:ascii="Times New Roman" w:cs="Times New Roman"/>
          <w:color w:val="000000" w:themeColor="text1"/>
          <w:spacing w:val="0"/>
        </w:rPr>
        <w:softHyphen/>
        <w:t>ло вид отверстия с входным диаметром 30-35 мм, то пробитие 30-мм брони со</w:t>
      </w:r>
      <w:r w:rsidRPr="00D03F3E">
        <w:rPr>
          <w:rFonts w:ascii="Times New Roman" w:cs="Times New Roman"/>
          <w:color w:val="000000" w:themeColor="text1"/>
          <w:spacing w:val="0"/>
        </w:rPr>
        <w:softHyphen/>
        <w:t>провождалось широкими проломами. При подрыве ПТАБ-1,5 под углом встречи 60° была пробита броня толщиной 52 мм и вы</w:t>
      </w:r>
      <w:r w:rsidRPr="00D03F3E">
        <w:rPr>
          <w:rFonts w:ascii="Times New Roman" w:cs="Times New Roman"/>
          <w:color w:val="000000" w:themeColor="text1"/>
          <w:spacing w:val="0"/>
        </w:rPr>
        <w:softHyphen/>
        <w:t>бит кусок бортовой 30-мм брони размерами 200x300 мм. Практически во всех случаях пробитие брони сопровождалось отколом брони вокруг выходного отверстия.</w:t>
      </w:r>
    </w:p>
    <w:p w14:paraId="61839A07"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Бомбометание в воздухе выполнялось с самолета Ил-2 с горизонтального по</w:t>
      </w:r>
      <w:r w:rsidRPr="00D03F3E">
        <w:rPr>
          <w:rFonts w:ascii="Times New Roman" w:hAnsi="Times New Roman"/>
          <w:color w:val="000000" w:themeColor="text1"/>
          <w:sz w:val="16"/>
          <w:szCs w:val="16"/>
        </w:rPr>
        <w:softHyphen/>
        <w:t>лета на скорости 280 км/ч с высот 50 м и 75-100 м. Из четырех кассет две были при</w:t>
      </w:r>
      <w:r w:rsidRPr="00D03F3E">
        <w:rPr>
          <w:rFonts w:ascii="Times New Roman" w:hAnsi="Times New Roman"/>
          <w:color w:val="000000" w:themeColor="text1"/>
          <w:sz w:val="16"/>
          <w:szCs w:val="16"/>
        </w:rPr>
        <w:softHyphen/>
        <w:t>менены одиночно и две серией с интер</w:t>
      </w:r>
      <w:r w:rsidRPr="00D03F3E">
        <w:rPr>
          <w:rFonts w:ascii="Times New Roman" w:hAnsi="Times New Roman"/>
          <w:color w:val="000000" w:themeColor="text1"/>
          <w:sz w:val="16"/>
          <w:szCs w:val="16"/>
        </w:rPr>
        <w:softHyphen/>
        <w:t>валом 0,25 с. Бомбы укладывались вниз головной частью, ветрянки не контрились.</w:t>
      </w:r>
    </w:p>
    <w:p w14:paraId="10B8F382"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Бомбили все ту же трофейную самоходку 51иС III. С высоты 50 м было сброшено 43, а с высоты 75-100 м -185 бомб. Все бомбы падали устойчиво и сработали нормально, отказов не было. Минимальная высота, эбеспечивающая выравнивание бомбы до встречи с поверхностью брони танка и без- зтказность ее действия была установлена завной 70 м.</w:t>
      </w:r>
    </w:p>
    <w:p w14:paraId="22628A76"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Несмотря на то, что не было получено ми одного попадания в танк, специалисты НИП АВ сделали положительные выводы .13 результатов испытаний ПТАБ-1,5 и ре</w:t>
      </w:r>
      <w:r w:rsidRPr="00D03F3E">
        <w:rPr>
          <w:rFonts w:ascii="Times New Roman" w:cs="Times New Roman"/>
          <w:color w:val="000000" w:themeColor="text1"/>
          <w:spacing w:val="0"/>
        </w:rPr>
        <w:softHyphen/>
        <w:t>комендовали бомбу «для принятия на во</w:t>
      </w:r>
      <w:r w:rsidRPr="00D03F3E">
        <w:rPr>
          <w:rFonts w:ascii="Times New Roman" w:cs="Times New Roman"/>
          <w:color w:val="000000" w:themeColor="text1"/>
          <w:spacing w:val="0"/>
        </w:rPr>
        <w:softHyphen/>
        <w:t>оружение ВВС КА как бомбы специального -назначения». При этом до запуска валовой партии от ЦКБ-22 требовалось обеспе</w:t>
      </w:r>
      <w:r w:rsidRPr="00D03F3E">
        <w:rPr>
          <w:rFonts w:ascii="Times New Roman" w:cs="Times New Roman"/>
          <w:color w:val="000000" w:themeColor="text1"/>
          <w:spacing w:val="0"/>
        </w:rPr>
        <w:softHyphen/>
        <w:t>чить полное соответствие бомб этого типа ТУ-5-40 и отработку контровки взрывате</w:t>
      </w:r>
      <w:r w:rsidRPr="00D03F3E">
        <w:rPr>
          <w:rFonts w:ascii="Times New Roman" w:cs="Times New Roman"/>
          <w:color w:val="000000" w:themeColor="text1"/>
          <w:spacing w:val="0"/>
        </w:rPr>
        <w:softHyphen/>
        <w:t>ля. Кроме того, предлагалось «от 1-й се- р.-и партию бомб... подать на НИП АВ на • онтрольные испытания в количестве не менее 800 шт.».</w:t>
      </w:r>
    </w:p>
    <w:p w14:paraId="3966883D"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Кроме инженер-майора Дьячкова заключение по результатам испытаний ТГАБ-1,5 подписали: начальник 3-го отде- -ения опытного отдела НИП АВ майор Гал</w:t>
      </w:r>
      <w:r w:rsidRPr="00D03F3E">
        <w:rPr>
          <w:rFonts w:ascii="Times New Roman" w:cs="Times New Roman"/>
          <w:color w:val="000000" w:themeColor="text1"/>
          <w:spacing w:val="0"/>
        </w:rPr>
        <w:softHyphen/>
        <w:t>кин, начальник опытного отдела подполков</w:t>
      </w:r>
      <w:r w:rsidRPr="00D03F3E">
        <w:rPr>
          <w:rFonts w:ascii="Times New Roman" w:cs="Times New Roman"/>
          <w:color w:val="000000" w:themeColor="text1"/>
          <w:spacing w:val="0"/>
        </w:rPr>
        <w:softHyphen/>
        <w:t>ник Фомин и начальник полигона полковник Лобачев.</w:t>
      </w:r>
    </w:p>
    <w:p w14:paraId="2D856EEB"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ходе доработки бомбы под требования массового производства и эксплуатации в войсках она получила другое обозна</w:t>
      </w:r>
      <w:r w:rsidRPr="00D03F3E">
        <w:rPr>
          <w:rFonts w:ascii="Times New Roman" w:cs="Times New Roman"/>
          <w:color w:val="000000" w:themeColor="text1"/>
          <w:spacing w:val="0"/>
        </w:rPr>
        <w:softHyphen/>
        <w:t>чение-ПТАБ-2,5-1,5.</w:t>
      </w:r>
    </w:p>
    <w:p w14:paraId="72FCF047"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 этому времени в ЦКБ-22 был отра</w:t>
      </w:r>
      <w:r w:rsidRPr="00D03F3E">
        <w:rPr>
          <w:rFonts w:ascii="Times New Roman" w:cs="Times New Roman"/>
          <w:color w:val="000000" w:themeColor="text1"/>
          <w:spacing w:val="0"/>
        </w:rPr>
        <w:softHyphen/>
        <w:t>ботан более надежный донный взрыватель АД-А мгновенного действия. Предохрани</w:t>
      </w:r>
      <w:r w:rsidRPr="00D03F3E">
        <w:rPr>
          <w:rFonts w:ascii="Times New Roman" w:cs="Times New Roman"/>
          <w:color w:val="000000" w:themeColor="text1"/>
          <w:spacing w:val="0"/>
        </w:rPr>
        <w:softHyphen/>
        <w:t>тельный механизм включал крыльчатку, П-образную чеку и предохранительную пру</w:t>
      </w:r>
      <w:r w:rsidRPr="00D03F3E">
        <w:rPr>
          <w:rFonts w:ascii="Times New Roman" w:cs="Times New Roman"/>
          <w:color w:val="000000" w:themeColor="text1"/>
          <w:spacing w:val="0"/>
        </w:rPr>
        <w:softHyphen/>
        <w:t>жину. Чека фиксировала крыльчатку и обе</w:t>
      </w:r>
      <w:r w:rsidRPr="00D03F3E">
        <w:rPr>
          <w:rFonts w:ascii="Times New Roman" w:cs="Times New Roman"/>
          <w:color w:val="000000" w:themeColor="text1"/>
          <w:spacing w:val="0"/>
        </w:rPr>
        <w:softHyphen/>
        <w:t xml:space="preserve">спечивала безопасность взрывателя. При укладке бомбы в кассеты цилиндрический стабилизатор бомбы закрывался крышкой с </w:t>
      </w:r>
      <w:r w:rsidRPr="00D03F3E">
        <w:rPr>
          <w:rStyle w:val="ArialNarrow-1pt"/>
          <w:rFonts w:ascii="Times New Roman" w:hAnsi="Times New Roman" w:cs="Times New Roman"/>
          <w:b w:val="0"/>
          <w:color w:val="000000" w:themeColor="text1"/>
          <w:spacing w:val="0"/>
          <w:sz w:val="16"/>
          <w:szCs w:val="16"/>
        </w:rPr>
        <w:t>П</w:t>
      </w:r>
      <w:r w:rsidRPr="00D03F3E">
        <w:rPr>
          <w:rFonts w:ascii="Times New Roman" w:cs="Times New Roman"/>
          <w:color w:val="000000" w:themeColor="text1"/>
          <w:spacing w:val="0"/>
        </w:rPr>
        <w:t>-образной предохранительной чекой. По</w:t>
      </w:r>
      <w:r w:rsidRPr="00D03F3E">
        <w:rPr>
          <w:rFonts w:ascii="Times New Roman" w:cs="Times New Roman"/>
          <w:color w:val="000000" w:themeColor="text1"/>
          <w:spacing w:val="0"/>
        </w:rPr>
        <w:softHyphen/>
        <w:t>сле сброса бомбы крышку срывало потоком воздуха, крыльчатка начинала вращаться и после определенного числа оборотов от</w:t>
      </w:r>
      <w:r w:rsidRPr="00D03F3E">
        <w:rPr>
          <w:rFonts w:ascii="Times New Roman" w:cs="Times New Roman"/>
          <w:color w:val="000000" w:themeColor="text1"/>
          <w:spacing w:val="0"/>
        </w:rPr>
        <w:softHyphen/>
        <w:t xml:space="preserve">делялась от бомбы, освобождая ударник. Взрыватель вставал на боевой взвод. При </w:t>
      </w:r>
      <w:r w:rsidRPr="00D03F3E">
        <w:rPr>
          <w:rFonts w:ascii="Times New Roman" w:cs="Times New Roman"/>
          <w:color w:val="000000" w:themeColor="text1"/>
          <w:spacing w:val="0"/>
        </w:rPr>
        <w:lastRenderedPageBreak/>
        <w:t>соударении бомбы с преградой ударник перемещался, сжимал предохранительную пружину и накалывал жалом капсюль-дето</w:t>
      </w:r>
      <w:r w:rsidRPr="00D03F3E">
        <w:rPr>
          <w:rFonts w:ascii="Times New Roman" w:cs="Times New Roman"/>
          <w:color w:val="000000" w:themeColor="text1"/>
          <w:spacing w:val="0"/>
        </w:rPr>
        <w:softHyphen/>
        <w:t>натор. Взрывной импульс инициировал дей</w:t>
      </w:r>
      <w:r w:rsidRPr="00D03F3E">
        <w:rPr>
          <w:rFonts w:ascii="Times New Roman" w:cs="Times New Roman"/>
          <w:color w:val="000000" w:themeColor="text1"/>
          <w:spacing w:val="0"/>
        </w:rPr>
        <w:softHyphen/>
        <w:t>ствие промежуточного детонатора, который затем вызывал детонацию взрывчатого ве</w:t>
      </w:r>
      <w:r w:rsidRPr="00D03F3E">
        <w:rPr>
          <w:rFonts w:ascii="Times New Roman" w:cs="Times New Roman"/>
          <w:color w:val="000000" w:themeColor="text1"/>
          <w:spacing w:val="0"/>
        </w:rPr>
        <w:softHyphen/>
        <w:t>щества бомбы.</w:t>
      </w:r>
    </w:p>
    <w:p w14:paraId="6C9ADBDC"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Помимо своего прямого назначения, взрыватель АД-А использовался еще и для крепления стабилизатора бомбы к корпусу самой бомбы (12739).</w:t>
      </w:r>
    </w:p>
    <w:p w14:paraId="0BF181BC"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p>
    <w:p w14:paraId="4B0AB1AF" w14:textId="77777777" w:rsidR="00AF3D10" w:rsidRPr="00D03F3E" w:rsidRDefault="00AF3D10"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9 февраля 1943 главный инженер ВВС КА генерал-лейтенант А. К. Репин ут</w:t>
      </w:r>
      <w:r w:rsidRPr="00D03F3E">
        <w:rPr>
          <w:color w:val="000000" w:themeColor="text1"/>
          <w:sz w:val="16"/>
          <w:szCs w:val="16"/>
        </w:rPr>
        <w:softHyphen/>
        <w:t>вердил Отчет по полигонным испытаниям ПТАБ-1,5 перепроектированную в ЦКБ-22 в авральном порядке под тем же индексом и с взрывателем АВ-108-3, которую предъявили на НИП АВ 15 января 1943 г.</w:t>
      </w:r>
    </w:p>
    <w:p w14:paraId="744F5CBD" w14:textId="77777777" w:rsidR="00AF3D10" w:rsidRPr="00D03F3E" w:rsidRDefault="00AF3D10"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Ответственным по испытаниям, как и прежде, был назначен ведущий инженер 3-го отделения опытного отдела НИП АВ инженер-майор Дьячков. Промышленность представлял конструктор бом</w:t>
      </w:r>
      <w:r w:rsidRPr="00D03F3E">
        <w:rPr>
          <w:color w:val="000000" w:themeColor="text1"/>
          <w:sz w:val="16"/>
          <w:szCs w:val="16"/>
        </w:rPr>
        <w:softHyphen/>
        <w:t>бы и взрывателя к ней старший инженер ЦКБ-22 И. А. Ларионов. Летную часть программы испыта</w:t>
      </w:r>
      <w:r w:rsidRPr="00D03F3E">
        <w:rPr>
          <w:color w:val="000000" w:themeColor="text1"/>
          <w:sz w:val="16"/>
          <w:szCs w:val="16"/>
        </w:rPr>
        <w:softHyphen/>
        <w:t>ний выполнил летчик-испытатель полигона капитан А. В. Кусакин. Испытания были проведены в течение всего одного дня: 24 января.</w:t>
      </w:r>
    </w:p>
    <w:p w14:paraId="23A5BA85" w14:textId="77777777" w:rsidR="00AF3D10" w:rsidRPr="00D03F3E" w:rsidRDefault="00AF3D10"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Цель испытаний — проверить эффективность действия бомб этого типа по танкам, их безотказ ность в действии, а также определить рациональ</w:t>
      </w:r>
      <w:r w:rsidRPr="00D03F3E">
        <w:rPr>
          <w:color w:val="000000" w:themeColor="text1"/>
          <w:sz w:val="16"/>
          <w:szCs w:val="16"/>
        </w:rPr>
        <w:softHyphen/>
        <w:t>ную укладку бомб в штатные кассеты мелких бомб штурмовиков и бомбардировщиков.</w:t>
      </w:r>
    </w:p>
    <w:p w14:paraId="27F13D89" w14:textId="77777777" w:rsidR="00AF3D10" w:rsidRPr="00D03F3E" w:rsidRDefault="00AF3D10"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Основные изменения в конструкции бомбы сво</w:t>
      </w:r>
      <w:r w:rsidRPr="00D03F3E">
        <w:rPr>
          <w:color w:val="000000" w:themeColor="text1"/>
          <w:sz w:val="16"/>
          <w:szCs w:val="16"/>
        </w:rPr>
        <w:softHyphen/>
        <w:t>дились к следующему. Длину и диаметр ПТАБ-1,5 привели в соответствие с габаритами штатной бом</w:t>
      </w:r>
      <w:r w:rsidRPr="00D03F3E">
        <w:rPr>
          <w:color w:val="000000" w:themeColor="text1"/>
          <w:sz w:val="16"/>
          <w:szCs w:val="16"/>
        </w:rPr>
        <w:softHyphen/>
        <w:t>бы калибра 2,5 кг. Длина бомбы находилась в пре</w:t>
      </w:r>
      <w:r w:rsidRPr="00D03F3E">
        <w:rPr>
          <w:color w:val="000000" w:themeColor="text1"/>
          <w:sz w:val="16"/>
          <w:szCs w:val="16"/>
        </w:rPr>
        <w:softHyphen/>
        <w:t>делах 355—360 мм, диаметр корпуса — 61—65 мм, размах оперения — 65 мм. Диаметр ветрянки уменьшили с 70 до 58 мм. Изменили форму дето- наторной шашки. Корпус ПТАБ-1,5 изготавливался из жести и состоял из жесткого цилиндра и штам</w:t>
      </w:r>
      <w:r w:rsidRPr="00D03F3E">
        <w:rPr>
          <w:color w:val="000000" w:themeColor="text1"/>
          <w:sz w:val="16"/>
          <w:szCs w:val="16"/>
        </w:rPr>
        <w:softHyphen/>
        <w:t>пованной сферической головки. Кумулятивная вы</w:t>
      </w:r>
      <w:r w:rsidRPr="00D03F3E">
        <w:rPr>
          <w:color w:val="000000" w:themeColor="text1"/>
          <w:sz w:val="16"/>
          <w:szCs w:val="16"/>
        </w:rPr>
        <w:softHyphen/>
        <w:t>емка бомбы была конической формы с диаметром у основания 56 мм при высоте 32 мм, то есть фак</w:t>
      </w:r>
      <w:r w:rsidRPr="00D03F3E">
        <w:rPr>
          <w:color w:val="000000" w:themeColor="text1"/>
          <w:sz w:val="16"/>
          <w:szCs w:val="16"/>
        </w:rPr>
        <w:softHyphen/>
        <w:t>тор кумуляции (отношение высоты конуса к его диаметру у основания) равнялся 0,57. Толщина металлической облицовки кумулятивной выемки была всего 1 мм. Для увеличения осколочного дей</w:t>
      </w:r>
      <w:r w:rsidRPr="00D03F3E">
        <w:rPr>
          <w:color w:val="000000" w:themeColor="text1"/>
          <w:sz w:val="16"/>
          <w:szCs w:val="16"/>
        </w:rPr>
        <w:softHyphen/>
        <w:t>ствия на цилиндрическую часть бомбы дополни</w:t>
      </w:r>
      <w:r w:rsidRPr="00D03F3E">
        <w:rPr>
          <w:color w:val="000000" w:themeColor="text1"/>
          <w:sz w:val="16"/>
          <w:szCs w:val="16"/>
        </w:rPr>
        <w:softHyphen/>
        <w:t>тельно надевалась стальная 1,5-мм «рубашка». Вес не окончательно снаряженной (без взрывателя) бомбы составлял 1,170 кг.</w:t>
      </w:r>
    </w:p>
    <w:p w14:paraId="6CD2739A" w14:textId="77777777" w:rsidR="00AF3D10" w:rsidRPr="00D03F3E" w:rsidRDefault="00AF3D10"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Бомба снаряжалась мощным взрывчатым веще</w:t>
      </w:r>
      <w:r w:rsidRPr="00D03F3E">
        <w:rPr>
          <w:color w:val="000000" w:themeColor="text1"/>
          <w:sz w:val="16"/>
          <w:szCs w:val="16"/>
        </w:rPr>
        <w:softHyphen/>
        <w:t>ством типа ТГА (вес — 0,640 кг) — смесь тротила (50%) и гексогена (40%) с добавлением 10% алюми</w:t>
      </w:r>
      <w:r w:rsidRPr="00D03F3E">
        <w:rPr>
          <w:color w:val="000000" w:themeColor="text1"/>
          <w:sz w:val="16"/>
          <w:szCs w:val="16"/>
        </w:rPr>
        <w:softHyphen/>
        <w:t>ниевой пудры. Алюминий добавлялся с целью уси</w:t>
      </w:r>
      <w:r w:rsidRPr="00D03F3E">
        <w:rPr>
          <w:color w:val="000000" w:themeColor="text1"/>
          <w:sz w:val="16"/>
          <w:szCs w:val="16"/>
        </w:rPr>
        <w:softHyphen/>
        <w:t>ления зажигательных свойств кумулятивной струи. Во всяком случае, так в то время считали.</w:t>
      </w:r>
    </w:p>
    <w:p w14:paraId="60A9DC0C" w14:textId="77777777" w:rsidR="00AF3D10" w:rsidRPr="00D03F3E" w:rsidRDefault="00AF3D10"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Загрузка бомб в штатные кассеты мелких бомб самолета Ил-2 — КМБ и КМБ-2 — показала, что в них можно было уложить 68 и 70 бомб соответ</w:t>
      </w:r>
      <w:r w:rsidRPr="00D03F3E">
        <w:rPr>
          <w:color w:val="000000" w:themeColor="text1"/>
          <w:sz w:val="16"/>
          <w:szCs w:val="16"/>
        </w:rPr>
        <w:softHyphen/>
        <w:t>ственно. То есть полная загрузка самолета Ил-2 бомбами этого типа составляла 272—280 штук — 325—340 кг. Это количество сочли вполне доста</w:t>
      </w:r>
      <w:r w:rsidRPr="00D03F3E">
        <w:rPr>
          <w:color w:val="000000" w:themeColor="text1"/>
          <w:sz w:val="16"/>
          <w:szCs w:val="16"/>
        </w:rPr>
        <w:softHyphen/>
        <w:t>точным для эффективного боевого применения бомб.</w:t>
      </w:r>
    </w:p>
    <w:p w14:paraId="6F6B90FF" w14:textId="77777777" w:rsidR="00AF3D10" w:rsidRPr="00D03F3E" w:rsidRDefault="00AF3D10"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кассету бомбардировщика Пе-2 — КМБ-Пе-2 — умещалась только 51 ПТАБ-1,5 или 102 бомбы на самолет (всего 125 кг). Этого было явно мало для такой большой машины, как «пешка».</w:t>
      </w:r>
    </w:p>
    <w:p w14:paraId="0CA68246" w14:textId="77777777" w:rsidR="00AF3D10" w:rsidRPr="00D03F3E" w:rsidRDefault="00AF3D10"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Специалисты полигона отметили, что габарит</w:t>
      </w:r>
      <w:r w:rsidRPr="00D03F3E">
        <w:rPr>
          <w:color w:val="000000" w:themeColor="text1"/>
          <w:sz w:val="16"/>
          <w:szCs w:val="16"/>
        </w:rPr>
        <w:softHyphen/>
        <w:t>ные размеры бомб — диаметры бомбы и цилиндра стабилизатора, а также размах стабилизатора — выходят за пределы ТУ-5-40 на 1—4 мм. Кроме того, конструктором бомбы не был отработан способ на</w:t>
      </w:r>
      <w:r w:rsidRPr="00D03F3E">
        <w:rPr>
          <w:color w:val="000000" w:themeColor="text1"/>
          <w:sz w:val="16"/>
          <w:szCs w:val="16"/>
        </w:rPr>
        <w:softHyphen/>
        <w:t>дежной контровки ветрянки взрывателя АВ-108-3.</w:t>
      </w:r>
    </w:p>
    <w:p w14:paraId="6AE05FD0" w14:textId="77777777" w:rsidR="00AF3D10" w:rsidRPr="00D03F3E" w:rsidRDefault="00AF3D10"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Все это не давало гарантии безопасной эксплуата</w:t>
      </w:r>
      <w:r w:rsidRPr="00D03F3E">
        <w:rPr>
          <w:color w:val="000000" w:themeColor="text1"/>
          <w:sz w:val="16"/>
          <w:szCs w:val="16"/>
        </w:rPr>
        <w:softHyphen/>
        <w:t>ции боеприпаса в войсках.</w:t>
      </w:r>
    </w:p>
    <w:p w14:paraId="3CC8AB18" w14:textId="77777777" w:rsidR="00AF3D10" w:rsidRPr="00D03F3E" w:rsidRDefault="00AF3D1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определения эффективности ПТАБ-1,5 бы</w:t>
      </w:r>
      <w:r w:rsidRPr="00D03F3E">
        <w:rPr>
          <w:rFonts w:ascii="Times New Roman" w:hAnsi="Times New Roman"/>
          <w:color w:val="000000" w:themeColor="text1"/>
          <w:sz w:val="16"/>
          <w:szCs w:val="16"/>
        </w:rPr>
        <w:softHyphen/>
        <w:t xml:space="preserve">ло подорвано 14 бомб непосредственно на броне немецкого штурмового орудия </w:t>
      </w:r>
      <w:r w:rsidRPr="00D03F3E">
        <w:rPr>
          <w:rFonts w:ascii="Times New Roman" w:hAnsi="Times New Roman"/>
          <w:color w:val="000000" w:themeColor="text1"/>
          <w:sz w:val="16"/>
          <w:szCs w:val="16"/>
          <w:lang w:val="en-US"/>
        </w:rPr>
        <w:t>StuG</w:t>
      </w:r>
      <w:r w:rsidRPr="00D03F3E">
        <w:rPr>
          <w:rFonts w:ascii="Times New Roman" w:hAnsi="Times New Roman"/>
          <w:color w:val="000000" w:themeColor="text1"/>
          <w:sz w:val="16"/>
          <w:szCs w:val="16"/>
        </w:rPr>
        <w:t xml:space="preserve"> III толщиной 16, 30 и 52 мм. Подрывы выполнялись под углом 90, 45, 30, 15 и 0 градусов к поверхности брони. Перед подрывом с целью имитации удара о бро</w:t>
      </w:r>
      <w:r w:rsidRPr="00D03F3E">
        <w:rPr>
          <w:rFonts w:ascii="Times New Roman" w:hAnsi="Times New Roman"/>
          <w:color w:val="000000" w:themeColor="text1"/>
          <w:sz w:val="16"/>
          <w:szCs w:val="16"/>
        </w:rPr>
        <w:softHyphen/>
        <w:t>ню танка головная часть бомбы деформирова</w:t>
      </w:r>
      <w:r w:rsidRPr="00D03F3E">
        <w:rPr>
          <w:rFonts w:ascii="Times New Roman" w:hAnsi="Times New Roman"/>
          <w:color w:val="000000" w:themeColor="text1"/>
          <w:sz w:val="16"/>
          <w:szCs w:val="16"/>
        </w:rPr>
        <w:softHyphen/>
        <w:t>лась.</w:t>
      </w:r>
    </w:p>
    <w:p w14:paraId="79588D5C" w14:textId="77777777" w:rsidR="00AF3D10" w:rsidRPr="00D03F3E" w:rsidRDefault="00AF3D10"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Эффект от подрывов ПТАБ-1,5 превзошел все ожидания. В диапазоне углов встречи (угол между нормалью к броне и осью бомбы) от 0 до 60° ку</w:t>
      </w:r>
      <w:r w:rsidRPr="00D03F3E">
        <w:rPr>
          <w:color w:val="000000" w:themeColor="text1"/>
          <w:sz w:val="16"/>
          <w:szCs w:val="16"/>
        </w:rPr>
        <w:softHyphen/>
        <w:t>мулятивная струя бомбы легко пробивала броню толщиной 50 мм, а при больших углах — 30 мм. Причем если поражение 50-мм брони имело вид отверстия с входным диаметром 30—35 мм, то пробитие 30-мм брони сопровождалось широки</w:t>
      </w:r>
      <w:r w:rsidRPr="00D03F3E">
        <w:rPr>
          <w:color w:val="000000" w:themeColor="text1"/>
          <w:sz w:val="16"/>
          <w:szCs w:val="16"/>
        </w:rPr>
        <w:softHyphen/>
        <w:t>ми проломами. При подрыве ПТАБ-1,5 под углом встречи 60° была пробита броня толщиной 52 мм и выломан кусок бортовой 30-мм брони размером 200x300 мм. Практически во всех случаях пробитие брони сопровождалось отколом брони вокруг вы</w:t>
      </w:r>
      <w:r w:rsidRPr="00D03F3E">
        <w:rPr>
          <w:color w:val="000000" w:themeColor="text1"/>
          <w:sz w:val="16"/>
          <w:szCs w:val="16"/>
        </w:rPr>
        <w:softHyphen/>
        <w:t>ходного отверстия.</w:t>
      </w:r>
    </w:p>
    <w:p w14:paraId="5533F3DD" w14:textId="77777777" w:rsidR="00AF3D10" w:rsidRPr="00D03F3E" w:rsidRDefault="00AF3D10"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Бомбометание в воздухе выполнялось с само</w:t>
      </w:r>
      <w:r w:rsidRPr="00D03F3E">
        <w:rPr>
          <w:color w:val="000000" w:themeColor="text1"/>
          <w:sz w:val="16"/>
          <w:szCs w:val="16"/>
        </w:rPr>
        <w:softHyphen/>
        <w:t>лета Ил-2 с горизонтального полета на скорости 280 км/ч с высоты 50 и 75—100 м. Из 4 кассет 2 бы</w:t>
      </w:r>
      <w:r w:rsidRPr="00D03F3E">
        <w:rPr>
          <w:color w:val="000000" w:themeColor="text1"/>
          <w:sz w:val="16"/>
          <w:szCs w:val="16"/>
        </w:rPr>
        <w:softHyphen/>
        <w:t>ли применены одиночно и 2 серией с интервалом 0,25 сек. Бомбы укладывались вниз головной ча</w:t>
      </w:r>
      <w:r w:rsidRPr="00D03F3E">
        <w:rPr>
          <w:color w:val="000000" w:themeColor="text1"/>
          <w:sz w:val="16"/>
          <w:szCs w:val="16"/>
        </w:rPr>
        <w:softHyphen/>
        <w:t>стью, ветрянки не контрились.</w:t>
      </w:r>
    </w:p>
    <w:p w14:paraId="451F3F6D" w14:textId="77777777" w:rsidR="00AF3D10" w:rsidRPr="00D03F3E" w:rsidRDefault="00AF3D10"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Бомбили все ту же трофейную самоходку — </w:t>
      </w:r>
      <w:r w:rsidRPr="00D03F3E">
        <w:rPr>
          <w:color w:val="000000" w:themeColor="text1"/>
          <w:sz w:val="16"/>
          <w:szCs w:val="16"/>
          <w:lang w:val="en-US"/>
        </w:rPr>
        <w:t>StuG</w:t>
      </w:r>
      <w:r w:rsidRPr="00D03F3E">
        <w:rPr>
          <w:color w:val="000000" w:themeColor="text1"/>
          <w:sz w:val="16"/>
          <w:szCs w:val="16"/>
        </w:rPr>
        <w:t xml:space="preserve"> III. С высоты 50 м было сброшено 43, а с высо</w:t>
      </w:r>
      <w:r w:rsidRPr="00D03F3E">
        <w:rPr>
          <w:color w:val="000000" w:themeColor="text1"/>
          <w:sz w:val="16"/>
          <w:szCs w:val="16"/>
        </w:rPr>
        <w:softHyphen/>
        <w:t>ты 75—100 м — 185 бомб. Все бомбы падали устой</w:t>
      </w:r>
      <w:r w:rsidRPr="00D03F3E">
        <w:rPr>
          <w:color w:val="000000" w:themeColor="text1"/>
          <w:sz w:val="16"/>
          <w:szCs w:val="16"/>
        </w:rPr>
        <w:softHyphen/>
        <w:t>чиво и подействовали нормально, отказов не было. Минимальная высота, обеспечивающая выравнива</w:t>
      </w:r>
      <w:r w:rsidRPr="00D03F3E">
        <w:rPr>
          <w:color w:val="000000" w:themeColor="text1"/>
          <w:sz w:val="16"/>
          <w:szCs w:val="16"/>
        </w:rPr>
        <w:softHyphen/>
        <w:t>ние бомбы до встречи с поверхностью брони тан</w:t>
      </w:r>
      <w:r w:rsidRPr="00D03F3E">
        <w:rPr>
          <w:color w:val="000000" w:themeColor="text1"/>
          <w:sz w:val="16"/>
          <w:szCs w:val="16"/>
        </w:rPr>
        <w:softHyphen/>
        <w:t>ка и безотказность ее действия, была установлена равной 70 м.</w:t>
      </w:r>
    </w:p>
    <w:p w14:paraId="5AD0FFC7" w14:textId="77777777" w:rsidR="00AF3D10" w:rsidRPr="00D03F3E" w:rsidRDefault="00AF3D10"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Несмотря на то что не было получено ни одно</w:t>
      </w:r>
      <w:r w:rsidRPr="00D03F3E">
        <w:rPr>
          <w:color w:val="000000" w:themeColor="text1"/>
          <w:sz w:val="16"/>
          <w:szCs w:val="16"/>
        </w:rPr>
        <w:softHyphen/>
        <w:t>го попадания в танк, специалисты НИП АВ сделали положительные выводы из результатов испытаний ПТАБ-1,5 и рекомендовали бомбу «для принятия на вооружение ВВС КА как бомбы специального назначения». При этом до запуска валовой партии от ЦКБ-22 требовалось обеспечить полное соот</w:t>
      </w:r>
      <w:r w:rsidRPr="00D03F3E">
        <w:rPr>
          <w:color w:val="000000" w:themeColor="text1"/>
          <w:sz w:val="16"/>
          <w:szCs w:val="16"/>
        </w:rPr>
        <w:softHyphen/>
        <w:t>ветствие бомб этого типа ТУ-5-40 и отработку кон- тровки взрывателя. Кроме того, предлагалось «от 1-й серии партию бомб /.../ подать на НИП АВ на контрольные испытания в количестве не менее 800 шт.».</w:t>
      </w:r>
    </w:p>
    <w:p w14:paraId="1EF16490" w14:textId="77777777" w:rsidR="00AF3D10" w:rsidRPr="00D03F3E" w:rsidRDefault="00AF3D10"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Помимо инженера-майора Дьячкова заключе</w:t>
      </w:r>
      <w:r w:rsidRPr="00D03F3E">
        <w:rPr>
          <w:color w:val="000000" w:themeColor="text1"/>
          <w:sz w:val="16"/>
          <w:szCs w:val="16"/>
        </w:rPr>
        <w:softHyphen/>
        <w:t>ние по результатам испытаний ПТАБ-1,5 подписали начальник 3-го отделения опытного отдела НИП АВ майор Галкин, начальник опытного отдела подпол</w:t>
      </w:r>
      <w:r w:rsidRPr="00D03F3E">
        <w:rPr>
          <w:color w:val="000000" w:themeColor="text1"/>
          <w:sz w:val="16"/>
          <w:szCs w:val="16"/>
        </w:rPr>
        <w:softHyphen/>
        <w:t>ковник Фомин и начальник полигона полковник Лобачев.</w:t>
      </w:r>
    </w:p>
    <w:p w14:paraId="2DABB80A" w14:textId="77777777" w:rsidR="00AF3D10" w:rsidRPr="00D03F3E" w:rsidRDefault="00AF3D10"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доработки бомбы под требования мас</w:t>
      </w:r>
      <w:r w:rsidRPr="00D03F3E">
        <w:rPr>
          <w:color w:val="000000" w:themeColor="text1"/>
          <w:sz w:val="16"/>
          <w:szCs w:val="16"/>
        </w:rPr>
        <w:softHyphen/>
        <w:t>сового производства и эксплуатации в войсках она получила другое обозначение — ПТАБ-2,5-1,5.</w:t>
      </w:r>
    </w:p>
    <w:p w14:paraId="2FC0154D" w14:textId="77777777" w:rsidR="00AF3D10" w:rsidRPr="00D03F3E" w:rsidRDefault="00AF3D10"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 этому времени в ЦКБ-22 был отработан более надежный донный взрыватель: АД-А мгновенного действия. Предохранительный механизм включал крыльчатку, П-образную чеку, предохранительную пружину. Чека фиксировала крыльчатку и обе</w:t>
      </w:r>
      <w:r w:rsidRPr="00D03F3E">
        <w:rPr>
          <w:color w:val="000000" w:themeColor="text1"/>
          <w:sz w:val="16"/>
          <w:szCs w:val="16"/>
        </w:rPr>
        <w:softHyphen/>
        <w:t>спечивала безопасность взрывателя. При укладке бомбы в кассеты цилиндрический стабилизатор бомбы закрывался крышкой с П-образной предо</w:t>
      </w:r>
      <w:r w:rsidRPr="00D03F3E">
        <w:rPr>
          <w:color w:val="000000" w:themeColor="text1"/>
          <w:sz w:val="16"/>
          <w:szCs w:val="16"/>
        </w:rPr>
        <w:softHyphen/>
        <w:t>хранительной чекой. После сброса бомбы крышку срывало потоком воздуха, крыльчатка начинала вращаться и после определенного числа оборотов отделялась от бомбы, освобождая ударник. Взры</w:t>
      </w:r>
      <w:r w:rsidRPr="00D03F3E">
        <w:rPr>
          <w:color w:val="000000" w:themeColor="text1"/>
          <w:sz w:val="16"/>
          <w:szCs w:val="16"/>
        </w:rPr>
        <w:softHyphen/>
        <w:t>ватель вставал на боевой взвод. При соударении бомбы с преградой ударник перемещался, сжимал предохранительную пружину и накалывал жалом капсюль-детонатор. Взрывной импульс иницииро</w:t>
      </w:r>
      <w:r w:rsidRPr="00D03F3E">
        <w:rPr>
          <w:color w:val="000000" w:themeColor="text1"/>
          <w:sz w:val="16"/>
          <w:szCs w:val="16"/>
        </w:rPr>
        <w:softHyphen/>
        <w:t>вал действие промежуточного детонатора, который затем вызывал детонацию взрывчатого вещества бомбы.</w:t>
      </w:r>
    </w:p>
    <w:p w14:paraId="76FDF141" w14:textId="77777777" w:rsidR="00AF3D10" w:rsidRPr="00D03F3E" w:rsidRDefault="00AF3D10"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Помимо своего прямого назначения, взрыва</w:t>
      </w:r>
      <w:r w:rsidRPr="00D03F3E">
        <w:rPr>
          <w:color w:val="000000" w:themeColor="text1"/>
          <w:sz w:val="16"/>
          <w:szCs w:val="16"/>
        </w:rPr>
        <w:softHyphen/>
        <w:t>тель АД-А использовался еще и для крепления ста</w:t>
      </w:r>
      <w:r w:rsidRPr="00D03F3E">
        <w:rPr>
          <w:color w:val="000000" w:themeColor="text1"/>
          <w:sz w:val="16"/>
          <w:szCs w:val="16"/>
        </w:rPr>
        <w:softHyphen/>
        <w:t>билизатора бомбы к корпусу самой бомбы (17500).</w:t>
      </w:r>
    </w:p>
    <w:p w14:paraId="071D32FE" w14:textId="77777777" w:rsidR="00AF3D10" w:rsidRPr="00D03F3E" w:rsidRDefault="00AF3D10" w:rsidP="00D03F3E">
      <w:pPr>
        <w:spacing w:after="0" w:line="240" w:lineRule="auto"/>
        <w:jc w:val="both"/>
        <w:rPr>
          <w:rFonts w:ascii="Times New Roman" w:eastAsia="Times New Roman" w:hAnsi="Times New Roman"/>
          <w:color w:val="000000" w:themeColor="text1"/>
          <w:sz w:val="16"/>
          <w:szCs w:val="16"/>
          <w:lang w:eastAsia="ru-RU"/>
        </w:rPr>
      </w:pPr>
    </w:p>
    <w:p w14:paraId="0639EEC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778AEE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F0C318" w14:textId="77777777" w:rsidR="00E56A12" w:rsidRPr="00D03F3E" w:rsidRDefault="00E56A1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вышло Постановление ГКО № 2859 О плане производства танков, артиллерийских самоходных установок и танковых дизелей в феврале 1943 года.РГАНИР, Фонд ГКО, д. 89, лл. 8-9 (11012).</w:t>
      </w:r>
    </w:p>
    <w:p w14:paraId="5A794343" w14:textId="77777777" w:rsidR="00E56A12" w:rsidRPr="00D03F3E" w:rsidRDefault="00E56A1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164F7B" w14:textId="77777777" w:rsidR="00E56A12" w:rsidRPr="00D03F3E" w:rsidRDefault="00E56A1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г. Постановлением ГКО №2859 танк КВ-14 («Объект 236»), или самоход СУ-14 (не путать с довоенной САУ конструкции П.Н. Сячинтова — С.А. Гинзбурга), был принят на воору</w:t>
      </w:r>
      <w:r w:rsidRPr="00D03F3E">
        <w:rPr>
          <w:rFonts w:ascii="Times New Roman" w:hAnsi="Times New Roman"/>
          <w:color w:val="000000" w:themeColor="text1"/>
          <w:sz w:val="16"/>
          <w:szCs w:val="16"/>
        </w:rPr>
        <w:softHyphen/>
        <w:t>жение Красной Армии под индексом СУ-152 (11417).</w:t>
      </w:r>
    </w:p>
    <w:p w14:paraId="67F42255" w14:textId="77777777" w:rsidR="00E56A12" w:rsidRPr="00D03F3E" w:rsidRDefault="00E56A12"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D61270" w14:textId="77777777" w:rsidR="00E56A12" w:rsidRPr="00D03F3E" w:rsidRDefault="00E56A1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г. в соответствии с постановлением ГКО № 2859 по чертежам опытного образца было начато cepийное производство СУ-14 (6001,20).</w:t>
      </w:r>
    </w:p>
    <w:p w14:paraId="7E8E1A51" w14:textId="77777777" w:rsidR="00E56A12" w:rsidRPr="00D03F3E" w:rsidRDefault="00E56A1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948824" w14:textId="77777777" w:rsidR="00E56A12" w:rsidRPr="00D03F3E" w:rsidRDefault="00E56A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года Сталин подписал постановление ГКО №2859сс «О плане производства танков, артиллерий</w:t>
      </w:r>
      <w:r w:rsidRPr="00D03F3E">
        <w:rPr>
          <w:rFonts w:ascii="Times New Roman" w:hAnsi="Times New Roman"/>
          <w:color w:val="000000" w:themeColor="text1"/>
          <w:sz w:val="16"/>
          <w:szCs w:val="16"/>
        </w:rPr>
        <w:softHyphen/>
        <w:t xml:space="preserve">ских самоходных установок и танковых дизелей в феврале 1943 года». Среди выпускаемых за февраль боевых машин значилось и 30 </w:t>
      </w:r>
      <w:r w:rsidRPr="00D03F3E">
        <w:rPr>
          <w:rFonts w:ascii="Times New Roman" w:hAnsi="Times New Roman"/>
          <w:color w:val="000000" w:themeColor="text1"/>
          <w:sz w:val="16"/>
          <w:szCs w:val="16"/>
          <w:lang w:val="en-US"/>
        </w:rPr>
        <w:t>KB</w:t>
      </w:r>
      <w:r w:rsidRPr="00D03F3E">
        <w:rPr>
          <w:rFonts w:ascii="Times New Roman" w:hAnsi="Times New Roman"/>
          <w:color w:val="000000" w:themeColor="text1"/>
          <w:sz w:val="16"/>
          <w:szCs w:val="16"/>
        </w:rPr>
        <w:t>-14 (17484).</w:t>
      </w:r>
    </w:p>
    <w:p w14:paraId="5937AA83" w14:textId="77777777" w:rsidR="00E56A12" w:rsidRPr="00D03F3E" w:rsidRDefault="00E56A12" w:rsidP="00D03F3E">
      <w:pPr>
        <w:spacing w:after="0" w:line="240" w:lineRule="auto"/>
        <w:jc w:val="both"/>
        <w:rPr>
          <w:rFonts w:ascii="Times New Roman" w:hAnsi="Times New Roman"/>
          <w:color w:val="000000" w:themeColor="text1"/>
          <w:sz w:val="16"/>
          <w:szCs w:val="16"/>
        </w:rPr>
      </w:pPr>
    </w:p>
    <w:p w14:paraId="479550D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г. была подготовлена ДОКЛАДНАЯ ЗАПИСКА СТАРШЕГО ВОЕНПРЕДА НАЧАЛЬНИКУ УС ГАВТУ КА О СБОРКЕ ИМПОРТНЫХ АВТОМОБИЛЕЙ НА АВТОЗАВОДЕ им. МОЛОТОВА</w:t>
      </w:r>
    </w:p>
    <w:p w14:paraId="464AF52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Постановлением СНК СССР № 59-23сс от 18.01.1943 г. и приказом НКСМ № 29сс от 20.01.1943 г. автозавод им. Молотова обязан сдать НКО в I квартале 1943 г. 7000 импортных автомобилей, в том числе 1250 в январе, с доведением суточного темпа сборки к концу января до 100 машин в сутки.</w:t>
      </w:r>
    </w:p>
    <w:p w14:paraId="44AB1F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СНК СССР и приказ НКСМ об увеличении сборки импортных автомобилей заводом не выполнены. За январь месяц сдано НКО импортных автомобилей: «Форд» — 28, «Шевроле» - 4x2 — 380, «Шевроле» - 4x4 — 204, всего 612 автомобилей вместо 1250 машин, при остатке комплектных узлов для сборки на 718 машин. Суточный темп сборки к концу января не превышал 20-25 автомобилей в сутки. Изданный для выполнения постановления СНК СССР приказ директора завода т. Лившиц не обеспечи</w:t>
      </w:r>
      <w:r w:rsidRPr="00D03F3E">
        <w:rPr>
          <w:rFonts w:ascii="Times New Roman" w:hAnsi="Times New Roman"/>
          <w:color w:val="000000" w:themeColor="text1"/>
          <w:sz w:val="16"/>
          <w:szCs w:val="16"/>
        </w:rPr>
        <w:softHyphen/>
        <w:t>вает требуемых мероприятий и по существу является формальной отпиской. Утвержденный этим прика</w:t>
      </w:r>
      <w:r w:rsidRPr="00D03F3E">
        <w:rPr>
          <w:rFonts w:ascii="Times New Roman" w:hAnsi="Times New Roman"/>
          <w:color w:val="000000" w:themeColor="text1"/>
          <w:sz w:val="16"/>
          <w:szCs w:val="16"/>
        </w:rPr>
        <w:softHyphen/>
        <w:t>зом план мероприятий предусматривает сборку машин иномарок на конвейере М-1 при одновременной сборке автомобилей БА-64, что практически трудно осуществимо. Начальник сборочного цеха Троицкий считает это мероприятие практически не выполнимым и ничего не делает для его осуществления, не</w:t>
      </w:r>
      <w:r w:rsidRPr="00D03F3E">
        <w:rPr>
          <w:rFonts w:ascii="Times New Roman" w:hAnsi="Times New Roman"/>
          <w:color w:val="000000" w:themeColor="text1"/>
          <w:sz w:val="16"/>
          <w:szCs w:val="16"/>
        </w:rPr>
        <w:softHyphen/>
        <w:t>смотря на приказ директора. Сборка импортных машин на конвейере М-1 не начата. Намечено также увеличение выпуска импортных автомобилей за счет переноса конвейера, установленного на дефектной площадке под открытым небом, в ново-кузовной корпус. Это мероприятие явно нецелесообразно, пото</w:t>
      </w:r>
      <w:r w:rsidRPr="00D03F3E">
        <w:rPr>
          <w:rFonts w:ascii="Times New Roman" w:hAnsi="Times New Roman"/>
          <w:color w:val="000000" w:themeColor="text1"/>
          <w:sz w:val="16"/>
          <w:szCs w:val="16"/>
        </w:rPr>
        <w:softHyphen/>
        <w:t>му что весной можно будет производить сборку машин иномарок на этом конвейере.</w:t>
      </w:r>
    </w:p>
    <w:p w14:paraId="73F483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Монтаж конвейера в ново-кузовном корпусе ведется такими темпами, что конвейер никак не может быть окончен к 15.02.1943 г. как намечено по приказу директора.</w:t>
      </w:r>
    </w:p>
    <w:p w14:paraId="065C9C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утвержденный приказом директора от 27.01.1943 г. план мероприятий по выпу</w:t>
      </w:r>
      <w:r w:rsidRPr="00D03F3E">
        <w:rPr>
          <w:rFonts w:ascii="Times New Roman" w:hAnsi="Times New Roman"/>
          <w:color w:val="000000" w:themeColor="text1"/>
          <w:sz w:val="16"/>
          <w:szCs w:val="16"/>
        </w:rPr>
        <w:softHyphen/>
        <w:t>ску импортных автомобилей и темп их осуществления не могут обеспечить выпуска 7000 автомоби</w:t>
      </w:r>
      <w:r w:rsidRPr="00D03F3E">
        <w:rPr>
          <w:rFonts w:ascii="Times New Roman" w:hAnsi="Times New Roman"/>
          <w:color w:val="000000" w:themeColor="text1"/>
          <w:sz w:val="16"/>
          <w:szCs w:val="16"/>
        </w:rPr>
        <w:softHyphen/>
        <w:t>лей иномарок в I квартале 1943 г., постановление СНК СССР находится под угрозой срыва.</w:t>
      </w:r>
    </w:p>
    <w:p w14:paraId="29DC4C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Основная причина плохой работы завода по сборке импортных автомобилей заключается в отсутствии должного внимания со стороны директора и управления </w:t>
      </w:r>
      <w:r w:rsidRPr="00D03F3E">
        <w:rPr>
          <w:rFonts w:ascii="Times New Roman" w:hAnsi="Times New Roman"/>
          <w:color w:val="000000" w:themeColor="text1"/>
          <w:sz w:val="16"/>
          <w:szCs w:val="16"/>
        </w:rPr>
        <w:lastRenderedPageBreak/>
        <w:t>производством завода.</w:t>
      </w:r>
    </w:p>
    <w:p w14:paraId="03798FB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Часто сборка импорта прекращалась, потому что железнодорожный цех завода не подавал сво</w:t>
      </w:r>
      <w:r w:rsidRPr="00D03F3E">
        <w:rPr>
          <w:rFonts w:ascii="Times New Roman" w:hAnsi="Times New Roman"/>
          <w:color w:val="000000" w:themeColor="text1"/>
          <w:sz w:val="16"/>
          <w:szCs w:val="16"/>
        </w:rPr>
        <w:softHyphen/>
        <w:t>евременно узлы для сборки, считая своей первоочередной задачей выгрузку вагонов НКПС, за про</w:t>
      </w:r>
      <w:r w:rsidRPr="00D03F3E">
        <w:rPr>
          <w:rFonts w:ascii="Times New Roman" w:hAnsi="Times New Roman"/>
          <w:color w:val="000000" w:themeColor="text1"/>
          <w:sz w:val="16"/>
          <w:szCs w:val="16"/>
        </w:rPr>
        <w:softHyphen/>
        <w:t>стой которых он несет материальную ответственность.</w:t>
      </w:r>
    </w:p>
    <w:p w14:paraId="698BF0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Работа газогенераторного конвейера, на котором идет сейчас сборка импортных машин, орга</w:t>
      </w:r>
      <w:r w:rsidRPr="00D03F3E">
        <w:rPr>
          <w:rFonts w:ascii="Times New Roman" w:hAnsi="Times New Roman"/>
          <w:color w:val="000000" w:themeColor="text1"/>
          <w:sz w:val="16"/>
          <w:szCs w:val="16"/>
        </w:rPr>
        <w:softHyphen/>
        <w:t>низована плохо. Часто бывают случаи простоя конвейера, потому что на машине нет бензокраника, трубки и т.д., которые были поломаны, утеряны при распаковке ящиков или не досланы фирмой.</w:t>
      </w:r>
    </w:p>
    <w:p w14:paraId="388E54A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Частый переход с одной марки машины на другую, при работе на одном конвейере вызывает простои, связанные с подготовкой рабочих мест. Плохой сорт горючего отнимает много времени на заводку мотора, при этом после кратковременного опробования мотор глушится, и машина букси</w:t>
      </w:r>
      <w:r w:rsidRPr="00D03F3E">
        <w:rPr>
          <w:rFonts w:ascii="Times New Roman" w:hAnsi="Times New Roman"/>
          <w:color w:val="000000" w:themeColor="text1"/>
          <w:sz w:val="16"/>
          <w:szCs w:val="16"/>
        </w:rPr>
        <w:softHyphen/>
        <w:t>руется в отдел сбыта. В результате чего при выдаче машин воинским частям из отдела сбыта обнару</w:t>
      </w:r>
      <w:r w:rsidRPr="00D03F3E">
        <w:rPr>
          <w:rFonts w:ascii="Times New Roman" w:hAnsi="Times New Roman"/>
          <w:color w:val="000000" w:themeColor="text1"/>
          <w:sz w:val="16"/>
          <w:szCs w:val="16"/>
        </w:rPr>
        <w:softHyphen/>
        <w:t>живаются дефекты сборки, не выявленные на конвейере. В связи с выделением автозаводу по поста</w:t>
      </w:r>
      <w:r w:rsidRPr="00D03F3E">
        <w:rPr>
          <w:rFonts w:ascii="Times New Roman" w:hAnsi="Times New Roman"/>
          <w:color w:val="000000" w:themeColor="text1"/>
          <w:sz w:val="16"/>
          <w:szCs w:val="16"/>
        </w:rPr>
        <w:softHyphen/>
        <w:t>новлению СНК СССР фондов бензина на сборку и испытание импортных автомобилей необходимо категорически запретить заводу отгонку импортных машин в отдел сбыта на буксире.</w:t>
      </w:r>
    </w:p>
    <w:p w14:paraId="4752314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моему требованию завод обещает перейти на самоход только с 10 февраля, но это на словах, а на деле часто бывает наоборот. Поэтому считаю необходимым вмешательство НКСМ.</w:t>
      </w:r>
    </w:p>
    <w:p w14:paraId="373879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отдельных случаях выполнение программы по танкам и броневикам идет за счет ухудшения экс</w:t>
      </w:r>
      <w:r w:rsidRPr="00D03F3E">
        <w:rPr>
          <w:rFonts w:ascii="Times New Roman" w:hAnsi="Times New Roman"/>
          <w:color w:val="000000" w:themeColor="text1"/>
          <w:sz w:val="16"/>
          <w:szCs w:val="16"/>
        </w:rPr>
        <w:softHyphen/>
        <w:t>плуатационных качеств импортных автомобилей. Летом 1942 г. по Вашему разрешению было выпуще</w:t>
      </w:r>
      <w:r w:rsidRPr="00D03F3E">
        <w:rPr>
          <w:rFonts w:ascii="Times New Roman" w:hAnsi="Times New Roman"/>
          <w:color w:val="000000" w:themeColor="text1"/>
          <w:sz w:val="16"/>
          <w:szCs w:val="16"/>
        </w:rPr>
        <w:softHyphen/>
        <w:t>но 600 автомобилей «Форд» с отечественными аккумуляторами, кроме этого, из запасных частей нами было передано заводу 200 аккумуляторов «Форд», таким образом, на заводе создан фонд аккумуляторов «Форд» около 800 шт. В конце января 1943 г. обнаружилось, что на заводе нет совсем задела импортных аккумуляторов и директор завода (по заявлению начальника сборочного цеха) издал распоряжение при</w:t>
      </w:r>
      <w:r w:rsidRPr="00D03F3E">
        <w:rPr>
          <w:rFonts w:ascii="Times New Roman" w:hAnsi="Times New Roman"/>
          <w:color w:val="000000" w:themeColor="text1"/>
          <w:sz w:val="16"/>
          <w:szCs w:val="16"/>
        </w:rPr>
        <w:softHyphen/>
        <w:t>нять еще 500 автомобилей «Форд» с аккумуляторами ГАЗ СТ-80, автомобиля ГАЗ-АА, 110 таких машин уже находится в отделе сбыта. По заявлению главного инженера завода т. Власова 300 импортных акку</w:t>
      </w:r>
      <w:r w:rsidRPr="00D03F3E">
        <w:rPr>
          <w:rFonts w:ascii="Times New Roman" w:hAnsi="Times New Roman"/>
          <w:color w:val="000000" w:themeColor="text1"/>
          <w:sz w:val="16"/>
          <w:szCs w:val="16"/>
        </w:rPr>
        <w:softHyphen/>
        <w:t>муляторов были поставлены на танки. Постановка аккумулятора ГАЗ СТ-80 емкостью 80 ампер часов вместо аккумулятора «Форд» емкостью 120 ампер часов снижает эксплуатационные качества машин «Форд», особенно в условиях зимы. Такую замену аккумуляторов «Форд» аккумуляторами СТ-80 завод делает, не имея на это согласия конструкторского отдела завода.</w:t>
      </w:r>
    </w:p>
    <w:p w14:paraId="0C9483B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 военпред ГАВТУ КА инженер-майор Куроптев</w:t>
      </w:r>
    </w:p>
    <w:p w14:paraId="388E777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11593. Д. 10. Л. 9-10. Подлинник (11403).</w:t>
      </w:r>
    </w:p>
    <w:p w14:paraId="4C893A7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93B5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г. вышел ПРИКАЗ НАЧАЛЬНИКА ТАНКОВОГО УПРАВЛЕНИЯ ГБТУ КА О НЕТОЧНОСТЯХ В ДОНЕСЕНИЯХ ОБ ОТГРУЗКЕ ЭШЕЛОНОВ №8</w:t>
      </w:r>
    </w:p>
    <w:p w14:paraId="08A10F4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последнее время имеют место случаи со стороны районных инженеров и старших военпредов ГБТУ КА на танковых заводах преждевременных донесений об отгрузке эшелонов с танками.</w:t>
      </w:r>
    </w:p>
    <w:p w14:paraId="25D482A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 военпред на Кировском заводе инженер-подполковник т. Петров 4.02.1943 г. доложил по «ВЧ» об отгрузке эшелона №18775.</w:t>
      </w:r>
    </w:p>
    <w:p w14:paraId="64A5AC7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Районный инженер на Уралмашзаводе инженер-подполковник т. Зухер при передаче оператив</w:t>
      </w:r>
      <w:r w:rsidRPr="00D03F3E">
        <w:rPr>
          <w:rFonts w:ascii="Times New Roman" w:hAnsi="Times New Roman"/>
          <w:color w:val="000000" w:themeColor="text1"/>
          <w:sz w:val="16"/>
          <w:szCs w:val="16"/>
        </w:rPr>
        <w:softHyphen/>
        <w:t>ной сводки также доложил, что эшелон № 18406 погружен и будет отправлен 1.02.1943 г. и показал его по сводке отгруженным.</w:t>
      </w:r>
    </w:p>
    <w:p w14:paraId="42D642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проверке мною установлено, что эшелон №18775 был погружен только 5.02.1943г., а эшелон №18406 на 6.00 3.02.1943 г. находился еще на заводе.</w:t>
      </w:r>
    </w:p>
    <w:p w14:paraId="30D419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ПРИКАЗЫВАЮ:</w:t>
      </w:r>
    </w:p>
    <w:p w14:paraId="53F49B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Старшим военпредам ГБТУ КА на танковых заводах выделить из личного состава военной приемки ответственное лицо за погрузку и отправку эшелонов с завода и сдачи их железной дороге на главную магистраль маршрута и только после этого докладывать по «ВЧ» об отправке эшелона и списании его в число отгруженных.</w:t>
      </w:r>
    </w:p>
    <w:p w14:paraId="69F013A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За неточное донесение об отгрузке вышеуказанных эшелонов с танками ст. военпреду инже</w:t>
      </w:r>
      <w:r w:rsidRPr="00D03F3E">
        <w:rPr>
          <w:rFonts w:ascii="Times New Roman" w:hAnsi="Times New Roman"/>
          <w:color w:val="000000" w:themeColor="text1"/>
          <w:sz w:val="16"/>
          <w:szCs w:val="16"/>
        </w:rPr>
        <w:softHyphen/>
        <w:t>нер-подполковнику т. Петрову и райинженеру инженер-подполковнику т. Зухер объявляю личное предупреждение.</w:t>
      </w:r>
    </w:p>
    <w:p w14:paraId="3A2E15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Предупреждаю всех военпредов на танковых заводах, что впредь за неточное донесение об отгрузке эшелонов с танками буду принимать более суровые меры наказания.</w:t>
      </w:r>
    </w:p>
    <w:p w14:paraId="14EC6B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танкового управления ГБТУ КА инженер-полковник Афонин</w:t>
      </w:r>
    </w:p>
    <w:p w14:paraId="4CF14E4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11355а. Д. 352а. Л. 9. Копия (11403).</w:t>
      </w:r>
    </w:p>
    <w:p w14:paraId="6054BE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17644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г. Спецсообщение начальника УНКВД по Воронежской области Голубева Кобулову «О хозяйственной характеристике г. Воронежа после освобождения его от немцев»</w:t>
      </w:r>
    </w:p>
    <w:p w14:paraId="526DD81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освобождения г. Воронежа от немецких оккупантов нашим аппара­том проведено предварительное обсле­дование промышленных предприятий, служебных и культурных зданий, учеб­ных заведений, жилого фонда и комму­нального хозяйства города. В результате этой проверки установлено:</w:t>
      </w:r>
    </w:p>
    <w:p w14:paraId="5B08F42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Состояние союзной промышленности</w:t>
      </w:r>
    </w:p>
    <w:p w14:paraId="018C572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Промышленные предприятия, рас­положенные на левом берегу реки Воронеж, значительно сохранились. Боль­шинство площадей этих заводов могут быть использованы для организации новых предприятий или восстановления заводов с прежними профилями. На­пример:</w:t>
      </w:r>
    </w:p>
    <w:p w14:paraId="7FF8A08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Бывший завод №18 НКАП (послед­нее время завод по ремонту самолетов №450), подвергался неоднократной бомбежке с воздуха и минометному ар­тиллерийскому обстрелу из города. В ре­зультате сгорели: главная контора заво­да, лаборатория аэродинамическая, цех №3 - деталей, №4 - фюзеляжный, №18 - оперение самолетов, №6 - крыльевой, №19 - центропланный, №22 - дерево­обделочный, №11 - холодной штампов­ки, № 12 - малярный, 95-летняя станция, один ангар и маслогрейка. Все эти цеха не могут быть восстановлены в полном объеме, но при известных затратах могут быть приспособлены для разных произ­водственных целей.</w:t>
      </w:r>
    </w:p>
    <w:p w14:paraId="00342735"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Цех №1 - механический, №34, №9 -механический, №4 - механический сильно разрушены при бомбежке и мо­гут быть восстановлены при больших за­тратах.</w:t>
      </w:r>
    </w:p>
    <w:p w14:paraId="6BD0BD25"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Цех №50 - ремонтный – разрушены бытовые помещения с западной сторо­ны, в остальном цел. 2 ангара побиты только стекла в окнах. Новое здание ЛНС (недостроенное), от бомбежки почти не пострадало и может быть быстро восста­новлено при небольших затратах; ком­прессорная, кислородная, электроцех и склады химикатов совершенно не по­страдали. Нужно вставить стекла и зда­ния могут быть использованы.</w:t>
      </w:r>
    </w:p>
    <w:p w14:paraId="41F52AA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Цеха №5 и 16 (баковый и прожектор­ный) требуется вставить только стекла и могут быть использованы.</w:t>
      </w:r>
    </w:p>
    <w:p w14:paraId="75732F3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Цех №8 - механический при незначи­тельных затратах на установление и ре­монт дверей и окон может быть исполь­зован.</w:t>
      </w:r>
    </w:p>
    <w:p w14:paraId="5EE6972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Корпус 10-го склада - 2-й этаж напо­ловину разрушен, первый же этаж при незначительных затратах может быть ис­пользован для производственных целей.</w:t>
      </w:r>
    </w:p>
    <w:p w14:paraId="4F40EAD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35-й цех - литейный - артиллерий­ским огнем пробита в нескольких мес­тах крыша, нет стекол и рам, может быть отремонтирован и использован.</w:t>
      </w:r>
    </w:p>
    <w:p w14:paraId="087EEF4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Цех №7 - основной - самолетосборочный, крыша в 10 местах пробита снаря­дами и минами, западная стена в 18 ме­стах пробита снарядами. В общем, цех сохранился процентов на 70.</w:t>
      </w:r>
    </w:p>
    <w:p w14:paraId="08ADA20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Цеха №20 - инструментальный, №21 - приспособлений и №22 - механиче­ский - крыши целы, выбиты только стек­ла и рамы, могут быть использованы для производственных целей.</w:t>
      </w:r>
    </w:p>
    <w:p w14:paraId="082E95D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Термический цех сохранился и даже целы печи. Второй цех - слесарно-сварочный значительно пострадал от бом­бежки, но также поддается восстановлению.</w:t>
      </w:r>
    </w:p>
    <w:p w14:paraId="7E37B0D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10-й цех - оцинковки, от бомбежки пострадал незначительно, может быть скоро восстановлен.</w:t>
      </w:r>
    </w:p>
    <w:p w14:paraId="3987665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Заводские железнодорожные пути и стрелки в полной исправности и готовы к эксплуатации.</w:t>
      </w:r>
    </w:p>
    <w:p w14:paraId="1A6D1F5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Заводской аэродром полностью со­хранился - целы все бетонированные взлетные посадочные полосы, стоянки, рулежные дорожки, кое-где имеются не­большие пробоины авиабомбами, что быстро можно ликвидировать. Аэро­дром может быть использован в ближай­шее время для военных целей. Цел так­же аэродромный гараж за исключением выбитых стекол. На аэродромном бен­зохранилище подорваны только верхние люки, емкости полностью целы и могут быть использованы для слива горючего. Аппаратура снята и вывезена.</w:t>
      </w:r>
    </w:p>
    <w:p w14:paraId="67585EB7"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Сохранившихся площадей завода № 450 НКАП при сравнительно незна­чительных затратах вполне достаточно для восстановления ремонтносамолетного завода, а при капиталовложении и восстановлении ряда разрушенных частично корпусов заводская площадь может быть с успехом использована для размещения нового завода.</w:t>
      </w:r>
    </w:p>
    <w:p w14:paraId="443673F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Завод СК-2 подвергся сильной бом­бежке с воздуха и артиллерийскому об­стрелу, поэтому все корпуса значитель­но пострадали. Многие из них не могут быть восстановлены и подлежат сносу, отдельные можно восстановить и ис­пользовать для производственных целей другого профиля.</w:t>
      </w:r>
    </w:p>
    <w:p w14:paraId="780B8A44"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Вообще как завод СК вряд ли может быть восстановлен.</w:t>
      </w:r>
    </w:p>
    <w:p w14:paraId="6DC4541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обоих этих смежных заводах со­хранились подземные и надземные коммуникации, большое количество воздушных трубопроводов, особенно на СК-2, разных строительных материалов и железа. Все это при рациональном ис­пользовании может с успехом быть ис­пользовано на восстановительных ра­ботах.</w:t>
      </w:r>
    </w:p>
    <w:p w14:paraId="1FDB5DF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на заводе №450 имеются строительные материалы - 30 вагонов цемента, мела 5 вагонов, алебастра - 2 вагона, огнеупорного кирпича - 10 ва­гонов.</w:t>
      </w:r>
    </w:p>
    <w:p w14:paraId="3DB06B3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 левом берегу имелись недостроенные и находящиеся в стадии началь­ного строительства: завод №511 шин­ный, нефтегаз и сажевый.</w:t>
      </w:r>
    </w:p>
    <w:p w14:paraId="340E672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№511 строительством был поч­ти полностью закончен, но с начала во­йны не оборудовался и был приспосо­блен под мастерские по ремонту танков. При наступлении на город немцев под­вергался Воронеж бомбежке с воздуха, некоторые цеха незначительно постра­дали, а в основном вся площадь заво­да может быть использована для завода прежнего профиля или других профи­лей.</w:t>
      </w:r>
    </w:p>
    <w:p w14:paraId="2797861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Заводы нефтегаз и сажевый находи­лись в стадии строительства - недостроены. Частично подвергались бомбежке, разрушены, тем не менее площади этих заводов могут быть использованы под промышленные цели.</w:t>
      </w:r>
    </w:p>
    <w:p w14:paraId="7B006BD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4) ВОГРЭС. На основании постанов­ления ГКО все четыре котла и уцелев­шее оборудование подлежат демонтажу и вывозке на Восток. Эта работа прово­дится уже с конца декабря месяца, от­гружено всего 130 вагонов. Областными организациями возбуждено ходатайство перед наркоматом электростанций об оставлении одного котла, имея в виду использовать его для создания энергети­ческой базы для Воронежа. Само здание ВОГРЭС разрушено от прямых попада­ний авиабомб и артиллерийского огня, частично подорванная нами турбина 24 тысяч киловатт огнем артиллерии и авиабомбами полностью уничтожена.</w:t>
      </w:r>
    </w:p>
    <w:p w14:paraId="5A36BDA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Жилой фонд, социально-культурные учреждения всей группы заводов, рас­положенных на левом берегу Воронежа, также подверглись разрушению. Осо­бенно разрушены здания, расположен­ные на переднем крае нашей обороны, т.е. вблизи от реки Воронеж. Во многих жилых домах, особенно завода № 18, сгорели полы и потолки, сами же ске­леты целы.</w:t>
      </w:r>
    </w:p>
    <w:p w14:paraId="0116645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Значительное количество жилого фонда завода №18, особенно СК-2, рас­положенного вдали от артиллерийского минометного огня противника, полно­стью сохранилось, за исключением выбитых стекол. На левом берегу жилой фонд, принадлежащий частным лицам, тоже сохранился, если не считать отдель­ные разрушения домов, расположенных на переднем крае нашей обороны.</w:t>
      </w:r>
    </w:p>
    <w:p w14:paraId="5314520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Вообще левый берег является наиболее благоприятным в смысле ускоренных темпов восстановления города.</w:t>
      </w:r>
    </w:p>
    <w:p w14:paraId="4D9C542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состоянии производственных зда­ний, заводов, жилого фонда и слу­жебных помещений в городе Воронеже можно судить только по внешнему ос­мотру этих сооружений, так как раз­минирование и вообще осмотр их ми­нерами еще не производился.</w:t>
      </w:r>
    </w:p>
    <w:p w14:paraId="0156220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Внешним осмотром установлено:</w:t>
      </w:r>
    </w:p>
    <w:p w14:paraId="60646505"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Бывший завод НКАП № 16 (в послед­нее время завод №444 по ремонту ави­амоторов) подвергся разрушению, глав­ным образом, авиабомбежкой в период наступления немцев на город. Главный корпус завода сохранился полностью, за исключением крыши, разбитых фонарей и стекол. Сохранились также полностью другие корпуса завода: котельная, терми­ческий цех и другие. Жилищный фонд этого завода почти весь полностью со­хранился, за исключением выбитых рам и стекол. Особенно хорошо выглядят дома, находящиеся на территории заво­да. Взорвано здание главной конторы за­вода немцами в период выхода из Воро­нежа. Площади этого завода могут быть с успехом восстановлены относительно при небольших затратах. Подъездные пути, дороги полностью сохранились.</w:t>
      </w:r>
    </w:p>
    <w:p w14:paraId="0684620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Мотостроительный завод имени И.В. Сталина в период наступления нем­цев на Воронеж подвергался бомбежке с воздуха. Разрушено частично несколько зданий завода, но в основном они пред­ставляют собой сооружения, могущие быть восстановленными в ближайшее время. Так, например: главный корпус этого завода сохранился полностью, вы­биты лишь стекла в крыше и окнах.</w:t>
      </w:r>
    </w:p>
    <w:p w14:paraId="1FB1C3D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Машиностроительный завод име­ни В.И. Ленина подвергся сильной бом­бежке немецкой авиации и почти пол­ностью разрушен и сгорел.</w:t>
      </w:r>
    </w:p>
    <w:p w14:paraId="01B20CE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Завод имени М.И. Калинина - машиностроительный, также подвергся разрушению при авиабомбежке, но в основном сохранился. Так, например, целы совершенно бытовые помещения, контора завода и другие подсобные зда­ния. У главного корпуса разрушена кры­ша, нет рам и окон. Все бетонные устои и перекрытия сохранились и так как раз­рушения произошли без пожаров внеш­не заметно не деформировали. Завод безусловно поддается восстановлению.</w:t>
      </w:r>
    </w:p>
    <w:p w14:paraId="26A4F96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Машиностроительный завод имени Коминтерна почти полностью сохранил­ся, если не считать выбитые стекла, рамы и частично разрушенные крыши. Кроме того на заводе имеется большое количе­ство металлолома, завезенного для про­изводственных целей, готового чугуна в чушках. Завод может быть восстановлен в довольно непродолжительные сроки.</w:t>
      </w:r>
    </w:p>
    <w:p w14:paraId="2201440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Завод «Электросигнал» - радиопри­емников, находящийся по соседству с заводом имени Коминтерна, значитель­но пострадал от авиабомбежки, главный корпус этого завода сохранился, другие корпуса несмотря на разрушения подда­ются восстановлению.</w:t>
      </w:r>
    </w:p>
    <w:p w14:paraId="259ACBC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Сгорели и уничтожены авиабомбеж­кой такие предприятия как Госшвейфабрика, завод безалкогольных напитков, холодильник № 1, маслозавод, кордная фабрика, кондитерская фабрика, мясо­комбинат, винзавод, мельзавод № 8 и ряд других предприятий местной, легкой и пищевой промышленности. Многие из этих предприятий совершенно не под­даются восстановлению, а некоторые из них могут быть использованы или при­способлены для разных производствен­ных целей.</w:t>
      </w:r>
    </w:p>
    <w:p w14:paraId="3E8977D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Состояние коммунальных предприятий</w:t>
      </w:r>
    </w:p>
    <w:p w14:paraId="3AC6B94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ВОГРЭС город Воронеж на пра­вом берегу имел электростанцию ГЭС № 1 на 3000 киловатт. При отступлении из города нами были произведены незна­чительные разрушения этой станции, а часть оборудования спрятали в землю.</w:t>
      </w:r>
    </w:p>
    <w:p w14:paraId="74BE107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выходе немцев из города станция была подорвана, турбина, генераторы совершенно выведены из строя, котлы также были взорваны. При осмотре спе­циалистами установлено, что котлы мо­гут быть восстановлены в самое ближай­шее время. Уже после подрыва станция была немцами сильно заминирована, при разминировании имелись жертвы.</w:t>
      </w:r>
    </w:p>
    <w:p w14:paraId="3A8B5A6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решению руководящих органи­заций предполагается станцию вос­становить, что возможно при условии получения турбины и генератора.</w:t>
      </w:r>
    </w:p>
    <w:p w14:paraId="0F174CD4"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Более реальной возможностью полу­чения электроэнергии является восста­новление линии высокого напряжения, идущей от ВОГРЭС в город Липецк. Ли­пецкая электростанция в состоянии дать городу Воронежу в данное время от од­ной до полутора тысяч киловатт элек­троэнергии. Линия восстанавливается, но чрезвычайно медленно.</w:t>
      </w:r>
    </w:p>
    <w:p w14:paraId="0BEB11B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Водопровода сейчас город совершен­но не имеет. При отходе наших частей были проведены незначительные раз­рушения на водонасосной станции, шахтах, подъемах и т.д. Одним словом, водопровод был выведен из строя на­столько, чтобы не было возможности его восстановить на протяжении несколь­ких месяцев. Немцам его восстановить не удалось. В данное время никакой яс­ности с получением воды городом не имеется. Вся сеть водоснабжения город­ских зданий в большинстве разрушена вместе с разрушением зданий. Внешним осмотром установлено, что подземное хозяйство водопровода сохранилось, тем не менее тщательную проверку его про­водить невозможно, так как колодцы за­минированы. Таким образом на продол­жительное время способом возможного водоснабжения города мог бы являться только подвоз воды транспортом из реки Воронеж. Однако и эта возможность ис­ключается, принимая во внимание, что река Воронеж являлась местом боев, где много брошено и осталось под снегом трупов убитых, тем более пользование водой станет совершенно невозможным с потеплением.</w:t>
      </w:r>
    </w:p>
    <w:p w14:paraId="54139C3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Трамвай. Трамвайный парк, находя­щийся в гараже, сохранился по меньшей мере на 80%. Остальной подвижный со­став, находящийся на линиях или разбит или сожжен. Рельсовое хозяйство сохра­нилось на большинстве направлений. Пока установить количество сохранив­шихся путей не представляется возмож­ным в связи с закрытием их снежным покровом. Подвесные линии немцами все сняты и вывезены.</w:t>
      </w:r>
    </w:p>
    <w:p w14:paraId="0F5D5BD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Бани - все сгорели или разбиты, со­хранилась лишь одна баня, которую при небольших усилиях можно будет эксплуатировать, если будет пущен во­допровод.</w:t>
      </w:r>
    </w:p>
    <w:p w14:paraId="0B997A90"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Культурные учреждения города поч­ти все уничтожены, так, например об­ластной драматический театр разрушен прямым попаданием авиабомбы, все кинотеатры сгорели и разрушены, все рабочие клубы и театры тоже в значи­тельной степени разрушены и сгорели, взорвано при отходе немцами здание дворца пионеров, сожжен государствен­ный музей революции и ряд других му­зеев, имеющих общесоюзное истори­ческое значение. Школы сохранились только на окраинах, но все нуждаются в восстановительных работах.</w:t>
      </w:r>
    </w:p>
    <w:p w14:paraId="19FF9AE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многих ВУЗов в городе относитель­но сохранились только здания меди­цинского и педагогического институтов, которые будут восстанавливаться для занятия их областными и городскими руководящими организациями. Круп­нейшее здание в городе - Воронежский государственный университет взорван немцами при отступлении. Сгорели при бомбежках: химико-технологический институт, сельхозинститут, институт коллоидной химии, подвергся частич­ному разрушению Авиаинститут.</w:t>
      </w:r>
    </w:p>
    <w:p w14:paraId="7DE6CA1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Состояние подъездных путей и дорог</w:t>
      </w:r>
    </w:p>
    <w:p w14:paraId="19E4A2D7"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Два железобетонных моста, свя­зывающих город через реку Воронеж, полностью разрушены. Без восстановления их в ближайшее время, т.е. до по­ловодья, создается серьезная угроза пол­ной изоляции друг от друга двух частей города, по крайней мере на весь период половодья, т.е. до возможного восста­новления легких переправ и понтонных мостов.</w:t>
      </w:r>
    </w:p>
    <w:p w14:paraId="7347BF9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Подъездные пути к городу с западной стороны сохранились. Дороги и мосты на более дальних подступах к городу значительно разрушены при бомбеж­ках и при отступлении немецких войск. Нет сомнения, что нужны будут большие восстановительные работы всех этих до­рог. Особенно плохи подъездные пути сейчас, так как они проведены произ­вольно на подъемах к городу и с таянием снега будут непроезжими.</w:t>
      </w:r>
    </w:p>
    <w:p w14:paraId="228DC12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Состояние ж.-д. путей. На станции Воронеж-2 м.д. ж.-д. путевое хозяйство сохранилось, а частично поврежденные пути уже исправлены ж.-д. войсками, перегон между станциями Воронеж-2 и Воронеж-1 на 4 февраля восстановлен. На перегоне Семилуки - Подклетное мост через реку Дон разрушен, разрушены два промежуточных устоя и три метал­лических фермы, производится техни­ческая разведка. Восстановление моста задерживается по следующим причинам: временное восстановление не разреша­ет вопроса эксплуатации дороги, так как высокий подъем воды весной и ледоход на высоком горизонте разрушит такое восстановление, а восстановить капи­тально до весенних вод вряд ли удастся. Окончательное разрешение и выбор варианта восстановления выясняются у на­чальника Управления военно-восстано­вительных работ фронта.</w:t>
      </w:r>
    </w:p>
    <w:p w14:paraId="333798C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Состояние хозяйства станции Воро­неж-2 выглядит следующим образом: здание осмотрщиков вагонов сохрани­лось и требует только текущего ремон­та, здание вагонного депо повреждено пожаром, стены целы, требуются капи­тальные затраты, кузнечный цех требует только текущего ремонта. Здание котель­ной требует текущего ремонта. Депо со­хранилось, но есть некоторые поврежде­ния, которые могут быть ликвидированы без особых затрат. Депо будет пущено в ближайшее время. Водоснабжение стан­ции еще не выяснено в связи с заминированием. Склады сожжены, здание по­ликлиники разрушено и все хозяйства уничтожены. Здание станции и пасса­жирский павильон разрушены и восста­новлению не поддадутся.</w:t>
      </w:r>
    </w:p>
    <w:p w14:paraId="76EC2F07"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Судя по разрушениям крупнейших зданий города, в его центральной части видимым пожаром с левого берега на­кануне выхода немцев из города, а так­же массовому заминированию больших и малых зданий, надо считать безусловно установленным:</w:t>
      </w:r>
    </w:p>
    <w:p w14:paraId="5DD5169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Немцы давно готовились к сдаче го­рода и давно тщательно разрабатывали план его уничтожения.</w:t>
      </w:r>
    </w:p>
    <w:p w14:paraId="52D103E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Этим планом было предусмотрено не вообще сжечь город, а уничтожить его главнейшие здания, занимавшиеся ру­ководящими партийно-советскими ор­ганизациями, здания высших учебных заведений, культурных учреждений и предприятий.</w:t>
      </w:r>
    </w:p>
    <w:p w14:paraId="378FE60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Подтверждением изложенных выводов являются следующие факты:</w:t>
      </w:r>
    </w:p>
    <w:p w14:paraId="2679437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при входе наших частей в город, к его центральной части взорвалось огром­ное здание Обкома ВКП(б) и Облиспол­кома, превратившееся в груду развалин. По объяснению специалистов для взры­ва такого здания потребовалось не менее 4-6 тонн взрывчатых веществ сильного действия. Для выполнения такого взры­ва нужно было разработать и технически обосновать расчеты и в точности их осу­ществить;</w:t>
      </w:r>
    </w:p>
    <w:p w14:paraId="151EBFD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таким же образом было взорва­но крупнейшее старинное здание Во­ронежского Государственного Универси­тета (бывший Кадетский корпус);</w:t>
      </w:r>
    </w:p>
    <w:p w14:paraId="57B1919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проведения взрыва этого здания также потребовалось не меньше, а может быть даже и большее количество взрыв­чатых веществ и достаточно серьезные технические обоснования;</w:t>
      </w:r>
    </w:p>
    <w:p w14:paraId="522C01F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взорвано таким же образом здание, занимаемое Дворцом пионеров (бывшее здание Облисполкома);</w:t>
      </w:r>
    </w:p>
    <w:p w14:paraId="7D54109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взорваны при выходе здания главной конторы завода № 16 и мельзавода № 8/с;</w:t>
      </w:r>
    </w:p>
    <w:p w14:paraId="1D0E0D2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работой воинских частей по разми­нированию установлено, что немцы при отходе из города Воронежа заминиро­вали очень большое количество жилых и служебных зданий города. Пока уста­навливается, что заминирование прове­дено небольшими зарядами, но в боль­шом количестве штук, при чем разными «сюрпризами». Например: Воронежская тюрьма №1, которая занималась немец­ким комендантом, заминирована боль­шим количеством мин, которые были разложены в разных местах среди мусора, домашней мебели, в служебной обста­новке и т.д. В результате еще неполного разминирования из тюрьмы извлечено 230 мин. В ходе разминирования совер­шенно неожиданно в служебном здании над въездными воротами, которые, кста­ти, уже однажды взорвались и частично горели, получился взрыв, и здание до­полнительно обрушилось. Надо пола­гать, что в данном случае действовала заложенная мина затяжного действия. Обнаружено 115 мин в доме по Старо-Московской дом №28.</w:t>
      </w:r>
    </w:p>
    <w:p w14:paraId="3F1AB0E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одном из складов на станции Воро­неж-1 обнаружено 1400 штук мин, кото­рые были подготовлены к взрыву путем «сюрприза». Шнурок от взрывателя был протянут к дверям, минерами это было обнаружено и взрыв предотвращен.</w:t>
      </w:r>
    </w:p>
    <w:p w14:paraId="7E00BEA4"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протяжении десяти дней имелось до 17 случаев подрыва на минах мине­ров, командного состава и гражданского населения, проникающего в дома.</w:t>
      </w:r>
    </w:p>
    <w:p w14:paraId="7D9E930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заминирования зданий немцы при отходе разбросали много мин на­жимного действия по дорогам и улицам.</w:t>
      </w:r>
    </w:p>
    <w:p w14:paraId="477BAB0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Следует сказать, что о размерах зами­нирования и степени угроз в будущем, мы не имеем полного представления, но судя по тому, что мины обнаруживают­ся во всех частях города, на всех дорогах, городских постовых, в больших и малых зданиях, надо полагать, что заминирова­ние города последнее время было прове­дено немцами в массовом масштабе.</w:t>
      </w:r>
    </w:p>
    <w:p w14:paraId="6E5D98B0"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мы располагаем данными о том, что немцы еще в августе и сентябре месяцах 1942 года проводили заминиро­вание города. В этом случае надо ждать, что мины, расположенные по улицам под асфальтом и в мостовых сработают при движении по городу после таяния снега.</w:t>
      </w:r>
    </w:p>
    <w:p w14:paraId="17B7940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10 дней работающими на разминировании изъято на дорогах и в домах 580 противотанковых мин и 810 противопехотных. Ими не обнаружено мин замедленного действия, но факты неожиданного взрыва в тюрьме, самоза­горание в двух зданиях показывают, что заряды замедленного действия в городе имеются.</w:t>
      </w:r>
    </w:p>
    <w:p w14:paraId="78B655D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Городские руководящие организации, часть хозяйственных, коммунальных и торговых организаций, переместились в город, пока что занимаются, главным об­разом, примитивным восстановлением служебных помещений и жилых домов. Начатую работу нельзя считать сколь­ко-нибудь серьезным мероприятием по восстановлению и освоению города (12158).</w:t>
      </w:r>
    </w:p>
    <w:p w14:paraId="0608D528"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1BE6194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года вышел приказ № 92с НКТП</w:t>
      </w:r>
    </w:p>
    <w:p w14:paraId="65657A8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обеспечения возрастающего выпуска танков танковыми дизелями, ГОКО своим постановлением № 2760с от 18 января 1943 года обязал передать НКТП завод № 26 НКАП (Рыбинск) для организации на нем производства танковых дизелей В-2.</w:t>
      </w:r>
    </w:p>
    <w:p w14:paraId="011AB24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Присвоить бывшему заводу № 26 НКАП № 74 НКТП (6130, 292).</w:t>
      </w:r>
    </w:p>
    <w:p w14:paraId="78357BA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D64C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вышло Распоряжение ГКО № 2853. О мерах по удовлетворению увеличенной потребности в дровах заводов № 178 и 176 НКТП.РГАНИР, Фонд ГКО, д. 89, лл. 1-2 (11012).</w:t>
      </w:r>
    </w:p>
    <w:p w14:paraId="563B05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31C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вышло Распоряжение ГКО № 2854. О производстве в I кв. 1943 г. запчастей для паровозов Главторфа НКЭС на заводах НКТП и других наркоматов.РГАНИР, Фонд ГКО, д. 89, лл. 3 (11012).</w:t>
      </w:r>
    </w:p>
    <w:p w14:paraId="5C7435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285F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вышло Распоряжение ГКО № 2855. О срочном вывозе 3500 т литейного чугуна с Первомайского завода по разнарядке НКСМ.РГАНИР, Фонд ГКО, д. 89, лл. 4 (11012).</w:t>
      </w:r>
    </w:p>
    <w:p w14:paraId="34D64A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FFB3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вышло Распоряжение ГКО № 2856. О поставках в феврале 1943 г. резиновых изделий на ГАЗ для обеспечения выпуска танков.РГАНИР, Фонд ГКО, д. 89, лл. 5 (11012).</w:t>
      </w:r>
    </w:p>
    <w:p w14:paraId="3B9F7F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DBE4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вышло Распоряжение ГКО № 2857. Об отгрузке в феврале 1943 г. сырья и электродов на ГАЗ для обеспечения производства танков Т-70.РГАНИР, Фонд ГКО, д. 89, лл. 6 (11012).</w:t>
      </w:r>
    </w:p>
    <w:p w14:paraId="3EE0D8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CD59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вышло Распоряжение ГКО № 2858. О поставках на ГАЗ для комплектации танков в феврале 1943 г. радиостанций, аэротермометров, ручных огнетушителей.РГАНИР, Фонд ГКО, д. 89, лл. 7 (11012).</w:t>
      </w:r>
    </w:p>
    <w:p w14:paraId="2AFC75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2B2A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вышло Распоряжение ГКО № 2860. О поставке на ГАЗ торфа для обеспечения выпуска танков в феврале 1943 г.РГАНИР, Фонд ГКО, д. 89, лл. 10 (11012).</w:t>
      </w:r>
    </w:p>
    <w:p w14:paraId="3D190C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EE250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вышло Распоряжение ГКО № 2861 [Об отводе НКВД лесосечного фонда для заготовки 15 тыс. куб. м древесины в Куйбышевской обл.] (7082, 11).</w:t>
      </w:r>
    </w:p>
    <w:p w14:paraId="3F1067B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68E6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вышло Распоряжение ГКО № 2862. Об уменьшении задания по мобилизации населения Тамбовской обл. на торфоразработки.РГАНИР, Фонд ГКО, д. 89, лл. 12 (11012).</w:t>
      </w:r>
    </w:p>
    <w:p w14:paraId="1A5313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1B51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вышло Постановление ГКО № 2864 О расширении рудной базы комбината "Южуралникель" Наркомцветмета и о дальнейшем улучшении работы этого комбината.РГАНИР, Фонд ГКО, д. 89, лл. 14-19, 20 (11012).</w:t>
      </w:r>
    </w:p>
    <w:p w14:paraId="331526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5FD7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вышло Постановление ГКО № 2865 О прямоточном котле высокого давления ТЭЦ Горьковского автозавода им. Молотова.РГАНИР, Фонд ГКО, д. 89, лл. 21 (11012).</w:t>
      </w:r>
    </w:p>
    <w:p w14:paraId="70E0B0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E5DD1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6B5FC7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6B9A85"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9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3F13CA0A"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9 февраля наши войска вели наступательные бои на прежних направлениях.</w:t>
      </w:r>
    </w:p>
    <w:p w14:paraId="753AC6C8"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Ростова-на-Дону наши войска продолжали наступление. Бойцы Н-ской части отбили контратаку немцев и, продвигаясь вперёд, овладели сильно укреплёнными позициями противника. На поле боя осталось свыше З00 вражеских трупов. Уничтожено 4 немецких танка и 2 самоходных орудия.</w:t>
      </w:r>
    </w:p>
    <w:p w14:paraId="6AE8EF19"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Краматорской наши части, преодолевая сопротивление противника, заняли ряд населённых пунктов. Советские танкисты подбили и сожгли 5 немецких танков и уничтожили 20 автомашин с вражеской пехотой.</w:t>
      </w:r>
    </w:p>
    <w:p w14:paraId="05298972"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Купянска части Н-ского соединения вели наступательные бои и заняли несколько населённых пунктов. В бою за один из этих населённых пунктов наши бойцы разгромили батальон немецкой пехоты и захватили 8 противотанковых орудий,13 пулемётов, 18 автомашин, радиостанцию и обоз с военным имуществом.</w:t>
      </w:r>
    </w:p>
    <w:p w14:paraId="258A9B87"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железнодорожной станции Гостищево бойцы Н-ской части, сломив сопротивление немцев, продвинулись вперёд и овладели рядом опорных пунктов. Истреблено до 400 вражеских солдат и офицеров. Подбито 5 немецких танков и 11 орудий.</w:t>
      </w:r>
    </w:p>
    <w:p w14:paraId="517D5DF6"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Курска наши войска продолжали успешное наступление. Части Н-ского соединения уничтожили до батальона немецкой пехоты. Захвачены танк, 19 орудий, 29 пулемётов, 28 автомашин, 3 тягача, склад с горючим и склад с боеприпасами.</w:t>
      </w:r>
    </w:p>
    <w:p w14:paraId="518A90FD"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городе Фатеж наши войска разбили два сводных немецких батальона, полицейские отряды и другие тыловые части противника. Захвачены большие трофеи, которые подсчитываются.</w:t>
      </w:r>
    </w:p>
    <w:p w14:paraId="4BE925F5"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«Проза», действующий в Ростовской области, разгромил немецкий гарнизон в одной крупной станиц. Овладев станицей, советские патриоты удержали её до подхода частей Красной Армии. Партизаны захватили склад кожевенного сырья, 105 центнеров шерсти, 1.700 тонн зерна, 200 лошадей, 4 автомашины с боеприпасами, 25 исправных тракторов и тягачей.</w:t>
      </w:r>
    </w:p>
    <w:p w14:paraId="4A61FEFF"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Пленные солдаты 7 немецкой авиаполевой дивизии Ганс Фронер, Генрих Вольф и Рудольф Киссель рассказали: «7-я авиаполевая дивизия сформирована осенью прошлого года. В ней собраны солдаты аэродромной службы. В декабре месяце дивизия была переброшена на советско-германский фронт. Солдатам говорили, что дивизия будет находиться в резерве. Однако мы поняли, что дела немецких войск плохи, если командование вынуждено бросать на фронт в качестве пехоты солдат из воздушных сил, проходивших специальное обучение. В первых же боях дивизия потеряла 60 процентов личного состава и сейчас уже небоеспособна. Оставшиеся в живых солдаты устали от многочисленных переходов. Нам отдавали один за другим приказы: «Держитесь». Но русские отбрасывали нас всё дальше и дальше на запад. Все солдаты сейчас хотят только одного — быстрее и подальше отступить, оторваться от русских и получить возможность хотя бы несколько дней отдохнуть».</w:t>
      </w:r>
    </w:p>
    <w:p w14:paraId="2C80520E"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деревне Ушакове, Орловской области: «Гитлеровские бандиты учинили кровавые злодеяния в деревне Ушаково. Они бросили в тюрьму председателя колхоза имени Максима Горького С.Ушакова, учителя Д.Карлова, две неделя морили их голодом, а потомз верски убили. Под Новый год немецкие власти выселили всех жителей из домов и в лютый мороз выгнали в открытое поле. Крестьянам запретили брать с собой какие-либо продукты и вещи. Чтобы спасти своих детей от голодной смерти, 47 женщин вернулись в деревню за хлебом. Фашистские головорезы схватили всех матерей и убили, а трупы их облили бензином и сожгли». Акт подписали: Л.Ушаков, А.Ушакова, А.Ушаков, Н.Ушакова, П.Ушакова.» (15035).</w:t>
      </w:r>
    </w:p>
    <w:p w14:paraId="51D8BF9F" w14:textId="77777777" w:rsidR="00587ADC" w:rsidRPr="00D03F3E" w:rsidRDefault="00587ADC" w:rsidP="00D03F3E">
      <w:pPr>
        <w:spacing w:after="0" w:line="240" w:lineRule="auto"/>
        <w:jc w:val="both"/>
        <w:rPr>
          <w:rFonts w:ascii="Times New Roman" w:hAnsi="Times New Roman"/>
          <w:color w:val="000000" w:themeColor="text1"/>
          <w:sz w:val="16"/>
          <w:szCs w:val="16"/>
        </w:rPr>
      </w:pPr>
    </w:p>
    <w:p w14:paraId="033C1D1E"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9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3435C005"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наши войска в результате упорного боя овладели городом и крупным железнодорожным узлом Белгород, а также городом Шебекино.</w:t>
      </w:r>
    </w:p>
    <w:p w14:paraId="0D145B89"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наши войска овладели районным центром и крупной железнодорожной станцией Поныри.</w:t>
      </w:r>
    </w:p>
    <w:p w14:paraId="61084779"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Курска наши войска заняли районный центр и железнодорожную станцию Солнцево, районный центр Медвенское и ряд крупных населённых пунктов.</w:t>
      </w:r>
    </w:p>
    <w:p w14:paraId="15AAC959"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бои на прежних направлениях.</w:t>
      </w:r>
    </w:p>
    <w:p w14:paraId="53FB0D62"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Ростова-на-Дону наши войска вели ожесточённые бои с упорно обороняющимися частями противника.</w:t>
      </w:r>
    </w:p>
    <w:p w14:paraId="613D4F54"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Немцы неоднократными контратаками танков и пехоты пытались восстановить потерянные ими позиции. Наши части не только отбили все контратаки гитлеровцев, но и, сломив оборону противника, продвигались вперёд. В районе Батайска части Н-ского соединения захватили 40 танков, 2 эшелона с автомашинами и самоходными пушками, большие склады продовольствия и различного военного имущества.</w:t>
      </w:r>
    </w:p>
    <w:p w14:paraId="0819247B"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из участков Юго-Западного фронта бойцы Н-ской части овладели вражеским аэродромом и захватили 30 немецких бомбардировщиков. В боях за аэродром истреблено до 400 гитлеровцев, уничтожено 15 танков и 8 орудий. Подразделения другой нашей части, продвигаясь вперёд, захватили 3 орудия, 11 автомашин, склад с военным имуществом и боеприпасами.</w:t>
      </w:r>
    </w:p>
    <w:p w14:paraId="479949CA"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Краматорской наши войска продвигались вперёд, отбивая ожесточённые контратаки противника. Немцы пытаются задержать наступление советских частей, бросая в бой крупные силы танков. Наши части решительными контрударами опрокидывают гитлеровцев, истребляют живую силу врага и уничтожают его технику. На одном участке немецкая моторизованная пехота при поддержке нескольких десятков танков перешла в контратаку. Наши бойцы отбили контратаку и отбросили противника с большими для него потерями. На другом участке подразделения Н-скойчасти уничтожили 3 танка и до 300 немецких солдат и офицеров.</w:t>
      </w:r>
    </w:p>
    <w:p w14:paraId="5EB0B2AE"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Балаклеи части Н-ского соединения успешно продвигались вперёд и заняли ряд населённых пунктов. В городе Балаклея наши бойцы захватили 6 складов с продовольствием, склад с оружием, склад с обмундированием, 70 автомашин и много другого военного имущества.</w:t>
      </w:r>
    </w:p>
    <w:p w14:paraId="3BC3B76B"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Курска наши войска продолжали успешные наступательные операции. Части Н-ского соединения овладели многими крупными населёнными пунктами. Бойцы Н-ской стрелковой части в бою с противником захватили 4 танка, 13 орудий, 500 винтовок, 12 тысяч снарядов, 35 автомашин и другие трофеи. Взято в плен 300 немецких солдат и офицеров.</w:t>
      </w:r>
    </w:p>
    <w:p w14:paraId="5E606786"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Краснодарском крае, за последние дни в боях с противником истребили 110 немецких солдат и офицеров и взорвали склад с боеприпасами. Советские патриоты захватили 4 орудия, 30 автомашин, 8 мотоциклов и 3 станковых пулемёта.</w:t>
      </w:r>
    </w:p>
    <w:p w14:paraId="33706FD9"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крымских партизан в конце января месяца пустил под откос 2 немецких воинских эшелона. В результате крушения разбито 2 паровоза и 30 вагонов с живой силой и грузами. Группа партизан 30 января на шоссейной дороге уничтожила 2 мотоцикла с немецкими связистами.</w:t>
      </w:r>
    </w:p>
    <w:p w14:paraId="7B7FAE72"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командир 38 пехотного полка итальянской дивизии «Равенна» полковник Марио Бланки сообщил: «Когда началось наступление русских, я получил приказ —любой ценой удерживать позиции и не отступать ни на шаг. Артиллерийский и миномётный огонь русских наносил нам тяжёлые потери. За два дня в полку, насчитывавшем около 3 тысяч человек, осталось только 300. Остальные были убиты, ранены или сдались в плен. Связь между частями была нарушена. Я решил отступить. На путях движения был полнейший беспорядок. Части перемешались. Штабы и солдаты безостановочно в панике бежали. Восстановить порядок в разгромленных частях уже было невозможно. Еще в пути солдаты, чтобы легче было бежать, побросали своё вооружение. Дальше сопротивляться было невозможно, и мы все — офицеры и солдаты— сдались в плен русским».</w:t>
      </w:r>
    </w:p>
    <w:p w14:paraId="6C544AB7"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78C33FB2"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города Белгород, Шебекино (15035).</w:t>
      </w:r>
    </w:p>
    <w:p w14:paraId="756F7B2F" w14:textId="77777777" w:rsidR="00587ADC" w:rsidRPr="00D03F3E" w:rsidRDefault="00587ADC" w:rsidP="00D03F3E">
      <w:pPr>
        <w:spacing w:after="0" w:line="240" w:lineRule="auto"/>
        <w:jc w:val="both"/>
        <w:rPr>
          <w:rFonts w:ascii="Times New Roman" w:hAnsi="Times New Roman"/>
          <w:color w:val="000000" w:themeColor="text1"/>
          <w:sz w:val="16"/>
          <w:szCs w:val="16"/>
        </w:rPr>
      </w:pPr>
    </w:p>
    <w:p w14:paraId="50D5AD17"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войска генерал-лейтенанта тов. Москаленко К.С - в результате упорного боя овладели городом и крупным железнодорожным узлом Белгород, а также городом Шебекино. Первыми ворвались в Белгород части генерал-майора тов. Меньшикова М.И. и полковника тов. Костицына А.С. Захвачены трофеи и пленные.» (15035).</w:t>
      </w:r>
    </w:p>
    <w:p w14:paraId="305E1E4D" w14:textId="77777777" w:rsidR="00587ADC" w:rsidRPr="00D03F3E" w:rsidRDefault="00587ADC" w:rsidP="00D03F3E">
      <w:pPr>
        <w:spacing w:after="0" w:line="240" w:lineRule="auto"/>
        <w:jc w:val="both"/>
        <w:rPr>
          <w:rFonts w:ascii="Times New Roman" w:hAnsi="Times New Roman"/>
          <w:color w:val="000000" w:themeColor="text1"/>
          <w:sz w:val="16"/>
          <w:szCs w:val="16"/>
        </w:rPr>
      </w:pPr>
    </w:p>
    <w:p w14:paraId="25BD4C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года Новиков писал письмо N 500014сс И.В.Сталину:</w:t>
      </w:r>
    </w:p>
    <w:p w14:paraId="6A359D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Докладываю выводы сделанные на основе опыта боевой работы нашей авиации на юге в период разгрома румынской армии на Юго-Западном фронте и разгрома окруженного противника под Сталинградом.</w:t>
      </w:r>
    </w:p>
    <w:p w14:paraId="25DC32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При прорыве наиболее целесообразно использовать авиацию следующим образом: в период артподготовки авиацию освободить от действия по переднему краю и дать ей задачу бить по штабам и узлам связи с тем, чтобы нарушить управление.</w:t>
      </w:r>
    </w:p>
    <w:p w14:paraId="0B9A64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атаки, т.е. с того момента, как пехота поднимется в атаку, все силы авиации должны обрушиться на артиллерию и минометы с тем, чтобы обеспечить продвижение своей пехоты.</w:t>
      </w:r>
    </w:p>
    <w:p w14:paraId="3D1110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действия по подходящим резервам противника на поле боя - надо обязательно иметь авиационный резерв до 1/4 всех сил.</w:t>
      </w:r>
    </w:p>
    <w:p w14:paraId="52C23B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Обработка артиллерии и минометов и действия по боевым порядкам противника на поле боя должны быть непрерывными в течение 2-3 часов, т.е. до прорыва линии обороны нашей пехотой на глубину минимум 3-5 км.</w:t>
      </w:r>
    </w:p>
    <w:p w14:paraId="008183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дальнейшем авиация должна обеспечить прорвавшуюся пехоту от возможных контратак противника с флангов и не допустить подхода резервов противника к полю боя.</w:t>
      </w:r>
    </w:p>
    <w:p w14:paraId="03A1C3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Подвижные группы (мехкорпуса или танковые корпуса), введенные в прорыв, должны обеспечиваться штурмовыми и истребительными авиачастями, приданными непосредственно им, т.е. группам (МК или ТК), причем в каждой группе или корпусе, которому придается авиация, должен быть представитель авиации с рацией для вызова авиации на поле боя по радио распоряжением командира группы или командира корпуса, которому временно придана авиация.</w:t>
      </w:r>
    </w:p>
    <w:p w14:paraId="6FD4B2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этот период ввода в прорыв подвижных групп, когда авиация децентрализуется у старшего авиационного начальника во фронте, должен быть обязательно резерв не меньше 1/3 всех сил, которым командующий фронтом может усиливать авиационное воздействие по противнику на том участке фронта, где будет вызываться обстановкой.</w:t>
      </w:r>
    </w:p>
    <w:p w14:paraId="4DCB11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в подготовительный период и в период прорыва обороны противника, до момента ввода в прорыв подвижных групп для развития успеха, управление авиацией и действия ее должны быть жестко централизованы и наоборот, в период ввода в прорыв подвижных частей, действия авиации и ее управление должны быть децентрализованы, но с таким расчетом, чтобы можно было авиационному начальнику быстро нацелить все силы авиации на тот или иной участок фронта, в зависимости от обстановки.</w:t>
      </w:r>
    </w:p>
    <w:p w14:paraId="02629E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Боевой порядок бомбардировщиков над целью, при непосредственном воздействии по противнику, должен состоять из замкнутого круга, истребители прикрывающие бомбардировщиков должны находиться - одна группа в центре и выше боевого порядка (круга) бомбардировщиков, а другая группа должна находиться на внешней стороне замкнутого круга бомбардировщиков и на одной высоте с ними. Такой боевой порядок наиболее надежно обеспечивает наших бомбардировщиков от потерь.</w:t>
      </w:r>
    </w:p>
    <w:p w14:paraId="1C6CEF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атаке такого боевого порядка истребитель противника откуда бы он не заходил, сам подвергается опасности быть атакованным или нашими истребителями или же бомбардировщиком следующим сзади того самолета бомбардировщика, который подвергается атаке истребителем противника.</w:t>
      </w:r>
    </w:p>
    <w:p w14:paraId="1A21F1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Такой боевой порядок обеспечивает индивидуальное прицеливание экипажу, а следовательно дает наибольший эффект бомбометания.</w:t>
      </w:r>
    </w:p>
    <w:p w14:paraId="233D17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Бомбометание производится по одной-две бомбы. Сделав 2-3 круга и более (в зависимости от воздушной обстановки, бомбардировщики собираются и строятся в </w:t>
      </w:r>
      <w:r w:rsidRPr="00D03F3E">
        <w:rPr>
          <w:rFonts w:ascii="Times New Roman" w:hAnsi="Times New Roman"/>
          <w:color w:val="000000" w:themeColor="text1"/>
          <w:sz w:val="16"/>
          <w:szCs w:val="16"/>
        </w:rPr>
        <w:lastRenderedPageBreak/>
        <w:t>походный порядок звенья в кильватере (звено, за звеном) или же девятка клином, плотнее смыкаются и в случае прорыва к ним истребителей противника, отражают его массированным огнем. Подход к цели совершается в тех же походных порядках, как и уход от цели.</w:t>
      </w:r>
    </w:p>
    <w:p w14:paraId="79B4A8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Такой способ действия полностью оправдал себя и наши бомбардировщики на Донском и Сталинградском фронтах понесли очень незначительные потери, причем преимущественно от огня ЗА.</w:t>
      </w:r>
    </w:p>
    <w:p w14:paraId="22A610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От прикрытия войск на поле боя способом патрулирования безусловно надо отказаться и прибегать к нему лишь в самом крайнем случае, когда не было возможности организовать прикрытие войск способом дежурства истребителей на передовых аэродромах и вызываемых для выполнения боевой задачи по радио или же вылетающих по зрячему.</w:t>
      </w:r>
    </w:p>
    <w:p w14:paraId="57CF67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Последний способ дает то преимущество, что при минимальной затрате сил истребителей, всегда имеешь возможность сосредоточить их для отражения воздушного противника на поле боя значительно больше, чем при способе прикрытия патрулирования. Этот способ примененный нами на Донском фронте оправдал себя.</w:t>
      </w:r>
    </w:p>
    <w:p w14:paraId="4AC93D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Начинать сосредоточение авиации в район действия не за 3-5 дней, как это часто бывает, а минимум за 10-15 дней с тем, чтобы дать возможность авиачастям изучить обстановку, район предстоящих действий и цели, отработать взаимодействие с наземными частями и взаимодействие между родами авиации.</w:t>
      </w:r>
    </w:p>
    <w:p w14:paraId="253BCA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Создавая количественный перевес над противником в соотношении авиации на фронте перед началом операции, исходить из наиболее оправдавшей себя следующей авиационной группировки - не менее 50% истребителей по отношению ко всему боевому составу и остальные 50% должны быть штурмовики и дневные бомбардировщики.</w:t>
      </w:r>
    </w:p>
    <w:p w14:paraId="01E0C9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До начала операции необходимо создавать резерв самолетов для пополнения авиачастей в ходе операции и для восстановления вышедших из строя самолетов и моторов завозить в ремонтные органы ВВС фронта ходовые запасные части.</w:t>
      </w:r>
    </w:p>
    <w:p w14:paraId="2798A3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Опытом подтверждается, что в резерве нужно иметь не менее 25-35% исправных резервных самолетов на каждые 100 действующих самолетов, сосредоточенных на данную операцию, и ходовых запасных частей надо иметь из расчета один комплект на пять самолетов и моторов.</w:t>
      </w:r>
    </w:p>
    <w:p w14:paraId="25B466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Для борьбы с транспортной авиацией лучшим средством являются истребители и штурмовики. Для выполнения этой задачи необходимо выделять специально части, освободив их от выполнения других боевых задач. Организовать засады на маршрутах полета транспортных самолетов, расставить на этих маршрутах рации наведения, которые вызывают непосредственно с аэродрома дежурные части штурмовиков и истребителей, имеющих задачу на уничтожение транспортных самолетов. При наличии во фронте станций Рус, обязательно их использовать как подсобное средство для нахождения транспортных самолетов противника в воздухе.</w:t>
      </w:r>
    </w:p>
    <w:p w14:paraId="14DA48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Наличие в каждой наземной армии своего смешанного авиаполка излишне и ведет только к распылению сил. Для того, чтобы поддерживать существование полков армий, надо их пополнять, на что требуется сейчас минимум 500 самолетов истребителей. Если армия решает во фронте основную задачу, то все равно 10 истребителей смешанного полка не в состоянии обеспечить ее действия, приходится привлекать для этого фронтовую авиацию, если же армия действует на второстепенном направлении, то истребители там просто не нужны.</w:t>
      </w:r>
    </w:p>
    <w:p w14:paraId="152132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Целесообразно смешанные авиаполки ликвидировать в наземных армиях, взамен их оставить в армиях эскадрильи связи на У-2 в составе 12 самолетов. Летный состав и самолеты истребительных эскадрилий и смешанных полков, обратить на пополнение истребительных авиадивизий и корпусов.</w:t>
      </w:r>
    </w:p>
    <w:p w14:paraId="3595E6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Бомбардировочные полки на Пе-2 сделать в составе 32 самолетов, лучше иметь в дивизии два полка по 32 самолета, чем 3 полка по 20 самолетов. Практически полк в 20 самолетов не облегчает управление, а только затрудняет, так как для него надо давать, так же как и для полка в 32 самолета, и средства связи и заправочные средства, а самое главное заключается в том, что полк в 20 самолетов очень мало живет как боевая единица.</w:t>
      </w:r>
    </w:p>
    <w:p w14:paraId="52B909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Организацию смешанных авиакорпусов лучше иметь в составе: две истребительных дивизии и одна штурмовая или бомбардировочная дивизия. При такой организации одна истребительная дивизия взаимодействует с бомбардировщиками или штурмовиками, а другая остается исключительно для воздушного боя. Когда требуется обстановкой создать на том или ином участке корпуса может до двух полков взять из дивизии, взаимодействующей с бомбардировочной дивизией. Организация смешанного корпуса из двух дивизий одной истребительной и одной штурмовой хуже потому, что очень часто приходится посылать истребителей корпуса на поле боя для противодействия бомбардировщикам противника, а свои бомбардировщики или штурмовики корпуса вынуждены сидеть на аэродромах из-за отсутствия истребителей для прикрытия или посылаться в бой без прикрытия.</w:t>
      </w:r>
    </w:p>
    <w:p w14:paraId="1FAB92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Установить как правило базирование полка на одном аэродроме, что упрощает управление и значительно ускоряет подъем его воздух.</w:t>
      </w:r>
    </w:p>
    <w:p w14:paraId="14252A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Обязательно иметь в составе Воздушных армий свои зенитные средства для прикрытия аэродромов. Это мероприятие даст возможность освободить истребителей от прикрытия своих авиабаз. Зенитный полк может прикрыть два-три аэродрома, в армии же передовых аэродромов как правило не бывает больше 10, поэтому целесообразно включить в каждую Воздушную армию три зенитных полка.</w:t>
      </w:r>
    </w:p>
    <w:p w14:paraId="70D25A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руководства зенитными частями и организации ПВО на аэродромах ввести должность заместителя командующего Воздушной армии по ПВО.</w:t>
      </w:r>
    </w:p>
    <w:p w14:paraId="50F043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Наш дневной бомбардировщик Пе-2 имеет очень небольшой практический радиус действия - максимально 450 км. Поэтому при координации действиями авиации на двух-трех фронтах нет возможности бомбардировочную авиацию, базирующуюся на аэродромах одного фронта, из-за малого радиуса действия, использовать на участках другого фронта, а если обстановка вынуждает все же использовать, то приходится прибегать к сложной переброске бомбардировочной авиации на аэродром того фронта, где требуется ее применение.</w:t>
      </w:r>
    </w:p>
    <w:p w14:paraId="2C5A77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Необходимо иметь в армии бомбардировщик с практическим радиусом минимум 700-800 км, с экипажем 4 человека и схемой вооружения минимум на 4 огневые точки - вперед, назад, вверх и вниз. При наличии такого бомбардировщика не будет частой необходимости в маневре с переброской бомбардировщиков с одних аэродромов на другие. Этот сложный маневр, заменяется более простым, т.е. маневром радиуса действия самолета. Таким самолетом может служить бомбардировщик типа ТУ-2.</w:t>
      </w:r>
    </w:p>
    <w:p w14:paraId="25B733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В целях дальнейшей разгрузки летчика от излишней работы в воздухе, не нужной для боя, необходимо как можно быстрее перейти на автоматическое управление винтом и заслонками радиатора и на автоматическое переключение с первой скорости на вторую. Технически эта проблема разрешена и вполне может быть освоена нашей авиапромышленностью не только в опытных образцах, но и в серийном производстве.</w:t>
      </w:r>
    </w:p>
    <w:p w14:paraId="004D4F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В целях облегчения ориентировки нашим истребителям и штурмовикам днем в сложных метеоусловиях и правильного выхода их в район действия, необходимо днем при помощи ракет шашек цветного дыма прокладывать на земле маршруты полетов. Нами использовались для этой цели захваченные у немцев ракеты и дымовые шашки. Это мероприятие в значительной степени облегчило применение нашей авиации на поле боя в сложных метеоусловиях и предупредило многих летчиков от потери ориентировки.</w:t>
      </w:r>
    </w:p>
    <w:p w14:paraId="30E8D2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Осмотр результатов действия нашей авиации по аэродромам противника подтверждает, что наилучшее поражение и уничтожение истребителей и бомбардировщиков с применением пушечно-пулеметного огня и огня РС и очень ничтожная часть поражается авиабомбами.</w:t>
      </w:r>
    </w:p>
    <w:p w14:paraId="6EEC16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Поэтому необходимо установить, как правило, для уничтожения материальной части самолетов противника на аэродромах применять штурмовые атаки штурмовиков и истребителей, а в случае бомбометания, использовать для этого осколочные бомбы, а фугасные бомбы применять только в том случае, если требуется испортить летное поле (1780,81).</w:t>
      </w:r>
    </w:p>
    <w:p w14:paraId="7231E4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0E21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February 9, 1943: The Red Army recaptures Belgorod (3819).</w:t>
      </w:r>
    </w:p>
    <w:p w14:paraId="5C3092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E636A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в ходе Воронежско-харьковской операции ВФ (Ф.И.Голиков) освободил Белгород (3398,67).</w:t>
      </w:r>
    </w:p>
    <w:p w14:paraId="56F8F7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C9B6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советские войска освободили Белгород (4962).</w:t>
      </w:r>
    </w:p>
    <w:p w14:paraId="52529B0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1248DD"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9 февраля</w:t>
      </w:r>
      <w:r w:rsidRPr="00D03F3E">
        <w:rPr>
          <w:rFonts w:ascii="Times New Roman" w:hAnsi="Times New Roman"/>
          <w:color w:val="000000" w:themeColor="text1"/>
          <w:sz w:val="16"/>
          <w:szCs w:val="16"/>
        </w:rPr>
        <w:t xml:space="preserve"> в 1943 году после короткой артиллерийской подготовки войска Северо-Кавказского фронта (генерал-лейтенант И.И.Масленников) перешли в наступление. С северо-востока по левому берегу реки Протока на Славянскую и Троицкую 58-ая армия наносила удар в левый фланг немецкой 17 полевой армии под командованием генерал-полковника Ричарда Руоффа, из состава которой здесь оборонялись 49-ый горно-стрелковый корпус (2 немецкие дивизии, 1 румынская). В центре позиций 17-ой армии, справа от Протоки, оборонялся 5-ый армейский корпус (3 немецкие, 5 румынских дивизий), против них наступали части 9-ой армии Северо-Кавказского фронта. В ходе дальнейшего наступления, проходившего в тяжелых условиях, советские войска вышли к Таманскому полуострову, но были остановлены на хорошо подготовленном рубеже «Голубая линия», который обороняла 17-я немецко-фашистская армия (16 дивизий) (15035).</w:t>
      </w:r>
    </w:p>
    <w:p w14:paraId="468220A6" w14:textId="77777777" w:rsidR="00587ADC" w:rsidRPr="00D03F3E" w:rsidRDefault="00587ADC" w:rsidP="00D03F3E">
      <w:pPr>
        <w:spacing w:after="0" w:line="240" w:lineRule="auto"/>
        <w:jc w:val="both"/>
        <w:rPr>
          <w:rFonts w:ascii="Times New Roman" w:hAnsi="Times New Roman"/>
          <w:color w:val="000000" w:themeColor="text1"/>
          <w:sz w:val="16"/>
          <w:szCs w:val="16"/>
        </w:rPr>
      </w:pPr>
    </w:p>
    <w:p w14:paraId="092B5C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C 9 февраля по 16 марта 1943 состоялась Краснодарская операция - Часть битвы за Кавказ, освободили Краснодар и продвинулись на 60-70 км (2438,329) СКФ (И.И.Масленников) (3398,66).</w:t>
      </w:r>
    </w:p>
    <w:p w14:paraId="5F844B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прорыва сухопутными войсками обороны противника фронтовая авиация наносила удары по военно-морским базам и портам 7-8% самолетовылетов, а флотская - 92-93% (518,186).</w:t>
      </w:r>
    </w:p>
    <w:p w14:paraId="71470D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Краснодарско-Новороссийской операции действовали 4 и 5ВА, ВВС ЧМФ и часть сил АДД и поэтому требовалась организация их взаимодействия (518,292).</w:t>
      </w:r>
    </w:p>
    <w:p w14:paraId="4DE34C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F707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9 по 12 февраля 1943 авиация успешно поддерживала войска, штурмовавшие укрепления на реке Луга. Удары б и ш дополняли огонь артиллерии. Особенно отличились ш под командованием Макарова и Корчагина (430,181).</w:t>
      </w:r>
    </w:p>
    <w:p w14:paraId="56D92C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813E4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9 февраля 1943г. был подготовлен ПЛАН ПРОИЗВОДСТВА УЧЕБНЫХ КИНОФИЛЬМОВ НА 1943 г.</w:t>
      </w:r>
    </w:p>
    <w:tbl>
      <w:tblPr>
        <w:tblW w:w="0" w:type="auto"/>
        <w:tblInd w:w="40" w:type="dxa"/>
        <w:tblLayout w:type="fixed"/>
        <w:tblCellMar>
          <w:left w:w="40" w:type="dxa"/>
          <w:right w:w="40" w:type="dxa"/>
        </w:tblCellMar>
        <w:tblLook w:val="0000" w:firstRow="0" w:lastRow="0" w:firstColumn="0" w:lastColumn="0" w:noHBand="0" w:noVBand="0"/>
      </w:tblPr>
      <w:tblGrid>
        <w:gridCol w:w="422"/>
        <w:gridCol w:w="5414"/>
        <w:gridCol w:w="1181"/>
        <w:gridCol w:w="1171"/>
        <w:gridCol w:w="1190"/>
      </w:tblGrid>
      <w:tr w:rsidR="00860B4B" w:rsidRPr="00D03F3E" w14:paraId="756B7A24" w14:textId="77777777">
        <w:trPr>
          <w:trHeight w:val="384"/>
        </w:trPr>
        <w:tc>
          <w:tcPr>
            <w:tcW w:w="422" w:type="dxa"/>
            <w:tcBorders>
              <w:top w:val="single" w:sz="6" w:space="0" w:color="auto"/>
              <w:left w:val="single" w:sz="6" w:space="0" w:color="auto"/>
              <w:bottom w:val="single" w:sz="6" w:space="0" w:color="auto"/>
              <w:right w:val="single" w:sz="6" w:space="0" w:color="auto"/>
            </w:tcBorders>
          </w:tcPr>
          <w:p w14:paraId="4D3EE1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п/п</w:t>
            </w:r>
          </w:p>
          <w:p w14:paraId="005F4A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62B4CCD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Наименование кинофильма</w:t>
            </w:r>
          </w:p>
          <w:p w14:paraId="4D22518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89DB97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 метров</w:t>
            </w:r>
          </w:p>
          <w:p w14:paraId="15E046B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805E7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 экземпляров</w:t>
            </w:r>
          </w:p>
          <w:p w14:paraId="759A469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A93D6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Общий метраж</w:t>
            </w:r>
          </w:p>
          <w:p w14:paraId="548B0C8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C691477"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3739A9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3A2DEE7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0F21342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Танковый взвод в бою</w:t>
            </w:r>
          </w:p>
          <w:p w14:paraId="07DB74F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9241B8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1200</w:t>
            </w:r>
          </w:p>
          <w:p w14:paraId="4940C9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56E151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p w14:paraId="7B2B3E7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508166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132000</w:t>
            </w:r>
          </w:p>
          <w:p w14:paraId="62511A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D794D78" w14:textId="77777777">
        <w:trPr>
          <w:trHeight w:val="221"/>
        </w:trPr>
        <w:tc>
          <w:tcPr>
            <w:tcW w:w="422" w:type="dxa"/>
            <w:tcBorders>
              <w:top w:val="single" w:sz="6" w:space="0" w:color="auto"/>
              <w:left w:val="single" w:sz="6" w:space="0" w:color="auto"/>
              <w:bottom w:val="single" w:sz="6" w:space="0" w:color="auto"/>
              <w:right w:val="single" w:sz="6" w:space="0" w:color="auto"/>
            </w:tcBorders>
          </w:tcPr>
          <w:p w14:paraId="464305C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14426A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530B18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Танковый взвод в разведке</w:t>
            </w:r>
          </w:p>
          <w:p w14:paraId="6BBE5D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11B50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1200</w:t>
            </w:r>
          </w:p>
          <w:p w14:paraId="0FF18B5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07BEB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w:t>
            </w:r>
          </w:p>
          <w:p w14:paraId="6D0600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A3CC89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13200</w:t>
            </w:r>
          </w:p>
          <w:p w14:paraId="28E828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03EA107"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619DF37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03914A3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77D7CA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Боевые приемы танкового взвода и роты</w:t>
            </w:r>
          </w:p>
          <w:p w14:paraId="2C8F29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B4468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900</w:t>
            </w:r>
          </w:p>
          <w:p w14:paraId="5A7868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858DA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w:t>
            </w:r>
          </w:p>
          <w:p w14:paraId="63B71DE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30234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99000</w:t>
            </w:r>
          </w:p>
          <w:p w14:paraId="06AAC47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9E64346"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5DB47E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70546E3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72154E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Управление огнем танка и танкового взвода в бою</w:t>
            </w:r>
          </w:p>
          <w:p w14:paraId="367953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773860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w:t>
            </w:r>
          </w:p>
          <w:p w14:paraId="55E92A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CFF5C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w:t>
            </w:r>
          </w:p>
          <w:p w14:paraId="1B9774F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C6F21F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66000</w:t>
            </w:r>
          </w:p>
          <w:p w14:paraId="6E75D7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6B47078"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51AFAB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p w14:paraId="5B44A42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735AF2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Правила стрельбы из танкового оружия</w:t>
            </w:r>
          </w:p>
          <w:p w14:paraId="031B627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C9C02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w:t>
            </w:r>
          </w:p>
          <w:p w14:paraId="181FBC8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491814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w:t>
            </w:r>
          </w:p>
          <w:p w14:paraId="2D197E0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6038D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66000</w:t>
            </w:r>
          </w:p>
          <w:p w14:paraId="11578C7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7874C3E" w14:textId="77777777">
        <w:trPr>
          <w:trHeight w:val="221"/>
        </w:trPr>
        <w:tc>
          <w:tcPr>
            <w:tcW w:w="422" w:type="dxa"/>
            <w:tcBorders>
              <w:top w:val="single" w:sz="6" w:space="0" w:color="auto"/>
              <w:left w:val="single" w:sz="6" w:space="0" w:color="auto"/>
              <w:bottom w:val="single" w:sz="6" w:space="0" w:color="auto"/>
              <w:right w:val="single" w:sz="6" w:space="0" w:color="auto"/>
            </w:tcBorders>
          </w:tcPr>
          <w:p w14:paraId="334B91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p w14:paraId="750B30D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495CCAF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Устройство и применение огнемета</w:t>
            </w:r>
          </w:p>
          <w:p w14:paraId="07E36E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B1204C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w:t>
            </w:r>
          </w:p>
          <w:p w14:paraId="3D4D30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539A8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w:t>
            </w:r>
          </w:p>
          <w:p w14:paraId="1FFD97E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EB8A29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15000</w:t>
            </w:r>
          </w:p>
          <w:p w14:paraId="6C42BE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66B1C01"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7C84DC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p w14:paraId="1018D0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22FC6D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Устройство и работа минного трала ПТ-3</w:t>
            </w:r>
          </w:p>
          <w:p w14:paraId="490172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78749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w:t>
            </w:r>
          </w:p>
          <w:p w14:paraId="7C2047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D754A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w:t>
            </w:r>
          </w:p>
          <w:p w14:paraId="17C1DC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33CB2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66000</w:t>
            </w:r>
          </w:p>
          <w:p w14:paraId="4A92A2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BB749F2"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061E43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p w14:paraId="521EEFC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07E13B0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Устройство и работа гидростабилизаторов</w:t>
            </w:r>
          </w:p>
          <w:p w14:paraId="66A222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51579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w:t>
            </w:r>
          </w:p>
          <w:p w14:paraId="53F47EF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5B70D1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p w14:paraId="3A7EED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266300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36000</w:t>
            </w:r>
          </w:p>
          <w:p w14:paraId="154E66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BD1F2FB"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419CCF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p w14:paraId="37BF6B8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458C08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Устройство танковой радиостанции</w:t>
            </w:r>
          </w:p>
          <w:p w14:paraId="28302C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B3AA8B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900</w:t>
            </w:r>
          </w:p>
          <w:p w14:paraId="746882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854DE3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w:t>
            </w:r>
          </w:p>
          <w:p w14:paraId="1ADCCC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39493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99000</w:t>
            </w:r>
          </w:p>
          <w:p w14:paraId="15FB11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1F4524A"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2063778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p w14:paraId="22EC4E0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5E7B3F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Т-34, регулировка основных агрегатов, уход и обслуживание</w:t>
            </w:r>
          </w:p>
          <w:p w14:paraId="394ACD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5BC51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900</w:t>
            </w:r>
          </w:p>
          <w:p w14:paraId="248797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0CB90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w:t>
            </w:r>
          </w:p>
          <w:p w14:paraId="1C66A1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85B248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72000</w:t>
            </w:r>
          </w:p>
          <w:p w14:paraId="4B95EE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019BC1C" w14:textId="77777777">
        <w:trPr>
          <w:trHeight w:val="221"/>
        </w:trPr>
        <w:tc>
          <w:tcPr>
            <w:tcW w:w="422" w:type="dxa"/>
            <w:tcBorders>
              <w:top w:val="single" w:sz="6" w:space="0" w:color="auto"/>
              <w:left w:val="single" w:sz="6" w:space="0" w:color="auto"/>
              <w:bottom w:val="single" w:sz="6" w:space="0" w:color="auto"/>
              <w:right w:val="single" w:sz="6" w:space="0" w:color="auto"/>
            </w:tcBorders>
          </w:tcPr>
          <w:p w14:paraId="2505B4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p w14:paraId="66F047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2AEE3BF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 же танка КВ</w:t>
            </w:r>
          </w:p>
          <w:p w14:paraId="108008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ADE09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900</w:t>
            </w:r>
          </w:p>
          <w:p w14:paraId="532C82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DA4C7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p w14:paraId="6591DEC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81D95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54000</w:t>
            </w:r>
          </w:p>
          <w:p w14:paraId="11F286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82EC1C9"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1652509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6EEAA9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3B77EB0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 же танка М-3 средний</w:t>
            </w:r>
          </w:p>
          <w:p w14:paraId="028147B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4A9D4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900</w:t>
            </w:r>
          </w:p>
          <w:p w14:paraId="724497D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C8178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p w14:paraId="1DFE9A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B752A7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54000</w:t>
            </w:r>
          </w:p>
          <w:p w14:paraId="68EA1B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01FEE23"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34CD419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w:t>
            </w:r>
          </w:p>
          <w:p w14:paraId="415B1F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5FC692A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 же танка МК-2 (Матильда)</w:t>
            </w:r>
          </w:p>
          <w:p w14:paraId="5FF3E93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B464B0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900</w:t>
            </w:r>
          </w:p>
          <w:p w14:paraId="42B83A6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0A587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p w14:paraId="595917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9EF0A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54000</w:t>
            </w:r>
          </w:p>
          <w:p w14:paraId="7277FC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72A8FFC" w14:textId="77777777">
        <w:trPr>
          <w:trHeight w:val="221"/>
        </w:trPr>
        <w:tc>
          <w:tcPr>
            <w:tcW w:w="422" w:type="dxa"/>
            <w:tcBorders>
              <w:top w:val="single" w:sz="6" w:space="0" w:color="auto"/>
              <w:left w:val="single" w:sz="6" w:space="0" w:color="auto"/>
              <w:bottom w:val="single" w:sz="6" w:space="0" w:color="auto"/>
              <w:right w:val="single" w:sz="6" w:space="0" w:color="auto"/>
            </w:tcBorders>
          </w:tcPr>
          <w:p w14:paraId="63FF6A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w:t>
            </w:r>
          </w:p>
          <w:p w14:paraId="58A8ED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63A5D3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 же танка МК-4 (Черчилль)</w:t>
            </w:r>
          </w:p>
          <w:p w14:paraId="6BA57A3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64E6C8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900</w:t>
            </w:r>
          </w:p>
          <w:p w14:paraId="49A5EA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D1D70B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p w14:paraId="6D790DE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816CA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54000</w:t>
            </w:r>
          </w:p>
          <w:p w14:paraId="7D6B445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9CA311E"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56E2751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p w14:paraId="48B3A6B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2F0F716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 же танка М-3 легкий</w:t>
            </w:r>
          </w:p>
          <w:p w14:paraId="7E7E5BB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091CA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900</w:t>
            </w:r>
          </w:p>
          <w:p w14:paraId="040732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33439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p w14:paraId="25911C6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AFBAC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54000</w:t>
            </w:r>
          </w:p>
          <w:p w14:paraId="3414B7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A36EEE9"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7CCAFB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w:t>
            </w:r>
          </w:p>
          <w:p w14:paraId="12189E8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5586992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 же танка МК-3 (Валентина)</w:t>
            </w:r>
          </w:p>
          <w:p w14:paraId="27AE4D8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4E0FE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900</w:t>
            </w:r>
          </w:p>
          <w:p w14:paraId="2682C3E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1A3704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p w14:paraId="7617466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5F5E6B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54000</w:t>
            </w:r>
          </w:p>
          <w:p w14:paraId="75A0F0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FEC5B37"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687832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p w14:paraId="6626873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6F1DB0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 же танка Т-70</w:t>
            </w:r>
          </w:p>
          <w:p w14:paraId="610829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125B89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w:t>
            </w:r>
          </w:p>
          <w:p w14:paraId="6F27E4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86D6D0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w:t>
            </w:r>
          </w:p>
          <w:p w14:paraId="48FD964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37A82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39000</w:t>
            </w:r>
          </w:p>
          <w:p w14:paraId="4DFD77D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C5E7A73" w14:textId="77777777">
        <w:trPr>
          <w:trHeight w:val="422"/>
        </w:trPr>
        <w:tc>
          <w:tcPr>
            <w:tcW w:w="422" w:type="dxa"/>
            <w:tcBorders>
              <w:top w:val="single" w:sz="6" w:space="0" w:color="auto"/>
              <w:left w:val="single" w:sz="6" w:space="0" w:color="auto"/>
              <w:bottom w:val="single" w:sz="6" w:space="0" w:color="auto"/>
              <w:right w:val="single" w:sz="6" w:space="0" w:color="auto"/>
            </w:tcBorders>
          </w:tcPr>
          <w:p w14:paraId="7973FF1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p w14:paraId="720E9C8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3596D7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Техническая и боевая характеристика бронированных машин (танков и бронеавтомобилей) различных армий</w:t>
            </w:r>
          </w:p>
          <w:p w14:paraId="76DE02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E0B7C7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1200</w:t>
            </w:r>
          </w:p>
          <w:p w14:paraId="59B203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D2BB0D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w:t>
            </w:r>
          </w:p>
          <w:p w14:paraId="302BD4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C8580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132000</w:t>
            </w:r>
          </w:p>
          <w:p w14:paraId="48B114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8AB9E60"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5F8C71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p w14:paraId="29F118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214EFB4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Устройство и работа планетарных трансмиссий</w:t>
            </w:r>
          </w:p>
          <w:p w14:paraId="6E0AACD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A96342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900</w:t>
            </w:r>
          </w:p>
          <w:p w14:paraId="5F5AEFD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EAEFB3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p w14:paraId="59E95C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89FD7E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54000</w:t>
            </w:r>
          </w:p>
          <w:p w14:paraId="572A9B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22A4A75"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0AE777D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6CEDE2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7D08D0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Вождение танков в зимних условиях</w:t>
            </w:r>
          </w:p>
          <w:p w14:paraId="56242D4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4E96FF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p w14:paraId="4A79C7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CEEFDD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w:t>
            </w:r>
          </w:p>
          <w:p w14:paraId="378DC6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517276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140000</w:t>
            </w:r>
          </w:p>
          <w:p w14:paraId="7450932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5D1E21E" w14:textId="77777777">
        <w:trPr>
          <w:trHeight w:val="250"/>
        </w:trPr>
        <w:tc>
          <w:tcPr>
            <w:tcW w:w="422" w:type="dxa"/>
            <w:tcBorders>
              <w:top w:val="single" w:sz="6" w:space="0" w:color="auto"/>
              <w:left w:val="single" w:sz="6" w:space="0" w:color="auto"/>
              <w:bottom w:val="single" w:sz="6" w:space="0" w:color="auto"/>
              <w:right w:val="single" w:sz="6" w:space="0" w:color="auto"/>
            </w:tcBorders>
          </w:tcPr>
          <w:p w14:paraId="3B775E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6289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783478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w:t>
            </w:r>
          </w:p>
          <w:p w14:paraId="0FFA17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856C96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22300</w:t>
            </w:r>
          </w:p>
          <w:p w14:paraId="047A0C0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92D24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1625</w:t>
            </w:r>
          </w:p>
          <w:p w14:paraId="33CD75B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C2AE4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1652000</w:t>
            </w:r>
          </w:p>
          <w:p w14:paraId="448CBA3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FDC93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Заместитель командующего бронетанковыми и механизированными войсками КА</w:t>
      </w:r>
    </w:p>
    <w:p w14:paraId="0C23F5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генерал-лейтенант танковых войск Коробков</w:t>
      </w:r>
    </w:p>
    <w:p w14:paraId="5A7C69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Член военного совета БТ и МВ КА генерал-лейтенант танковых войск Бирюков</w:t>
      </w:r>
    </w:p>
    <w:p w14:paraId="71F4EB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11351. Д. 136. Л. 49-50. Подлинник (11403).</w:t>
      </w:r>
    </w:p>
    <w:p w14:paraId="5BECB6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20C1A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3AB310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9AFAA1"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9 февраля</w:t>
      </w:r>
      <w:r w:rsidRPr="00D03F3E">
        <w:rPr>
          <w:rFonts w:ascii="Times New Roman" w:hAnsi="Times New Roman"/>
          <w:color w:val="000000" w:themeColor="text1"/>
          <w:sz w:val="16"/>
          <w:szCs w:val="16"/>
        </w:rPr>
        <w:t xml:space="preserve"> в 1943 году немецкими фашистами казнены руководители подпольной комсомольской организации "Молодая гвардия" Олег Кошевой, Любовь Шевцова и др (15035).</w:t>
      </w:r>
    </w:p>
    <w:p w14:paraId="0E8DAE22" w14:textId="77777777" w:rsidR="00587ADC" w:rsidRPr="00D03F3E" w:rsidRDefault="00587ADC" w:rsidP="00D03F3E">
      <w:pPr>
        <w:spacing w:after="0" w:line="240" w:lineRule="auto"/>
        <w:jc w:val="both"/>
        <w:rPr>
          <w:rFonts w:ascii="Times New Roman" w:hAnsi="Times New Roman"/>
          <w:color w:val="000000" w:themeColor="text1"/>
          <w:sz w:val="16"/>
          <w:szCs w:val="16"/>
        </w:rPr>
      </w:pPr>
    </w:p>
    <w:p w14:paraId="6C5E18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г. вышел УКАЗ ПРЕЗИДИУМА ВЕРХОВНОГО СОВЕТА.СССР О ЗВАНИЯХ НАЧАЛЬСТВУЮЩЕГО СОСТАВА ОРГАНОВ НКВД И МИЛИЦИИ</w:t>
      </w:r>
    </w:p>
    <w:p w14:paraId="70D763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частичное изменение пункта 4 “Положения о прохождении службы начальствующим составом Главного управления государственной безопасности НКВД СССР”, утвержденного Постановлением ЦИК и СНК СССР от 16 октября 1935 г., и пункта 4 “Положения о прохождении службы начальствующим составом Рабоче-Крестьянской милиции НКВД СССР”, утвержденного Постановлением ЦИК и СНК СССР от 3 июля 1936 г., установить для начальствующего состава органов Народного комиссариата внутренних дел и Рабоче-Крестьянской милиции следующие специальные звания:</w:t>
      </w:r>
    </w:p>
    <w:p w14:paraId="12200F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Для начсостава органов НКВД</w:t>
      </w:r>
    </w:p>
    <w:p w14:paraId="730EBD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Высший начсостав</w:t>
      </w:r>
    </w:p>
    <w:p w14:paraId="1799F3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Генеральный комиссар государственной безопасности. Комиссар государственной безопасности I ранга. Комиссар государственной безопасности II ранга. Комиссар государственной безопасности III ранга. Комиссар государственной безопасности.</w:t>
      </w:r>
    </w:p>
    <w:p w14:paraId="081EBE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Старший начсостав</w:t>
      </w:r>
    </w:p>
    <w:p w14:paraId="1E8208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Полковник государственной безопасности. Подполковник государственной безопасности.</w:t>
      </w:r>
    </w:p>
    <w:p w14:paraId="7D7EEE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Майор государственной безопасности.</w:t>
      </w:r>
    </w:p>
    <w:p w14:paraId="098D78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Средний начсостав</w:t>
      </w:r>
    </w:p>
    <w:p w14:paraId="1356B8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Капитан государственной безопасности. Старший лейтенант государственной безопасности. Лейтенант государственной безопасности. Младший лейтенант государственной безопасности.</w:t>
      </w:r>
    </w:p>
    <w:p w14:paraId="00FD5D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Младший начсостав</w:t>
      </w:r>
    </w:p>
    <w:p w14:paraId="12F14D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Старшина специальной службы. Старший сержант специальной службы. Сержант специальной службы. Младший сержант специальной службы.</w:t>
      </w:r>
    </w:p>
    <w:p w14:paraId="4E3081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 Для начсостава милиции</w:t>
      </w:r>
    </w:p>
    <w:p w14:paraId="35D5DC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Высший начсостав</w:t>
      </w:r>
    </w:p>
    <w:p w14:paraId="686ECF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Комиссар милиции I ранга. Комиссар милиции II ранга. Комиссар милиции III ранга.</w:t>
      </w:r>
    </w:p>
    <w:p w14:paraId="7E28A0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Старший начсостав</w:t>
      </w:r>
    </w:p>
    <w:p w14:paraId="77ADEB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Полковник милиции. Подполковник милиции. Майор милиции.</w:t>
      </w:r>
    </w:p>
    <w:p w14:paraId="661E76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Средний начсостав</w:t>
      </w:r>
    </w:p>
    <w:p w14:paraId="39C1BC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Капитан милиции. Старший лейтенант милиции. Лейтенант милиции. Младший лейтенант милиции.</w:t>
      </w:r>
    </w:p>
    <w:p w14:paraId="587C40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Младший начсостав</w:t>
      </w:r>
    </w:p>
    <w:p w14:paraId="31C456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Старшина милиции. Старший сержант милиции. Сержант милиции. Младший сержант милиции. Ефрейтор милиции.</w:t>
      </w:r>
    </w:p>
    <w:p w14:paraId="542CF1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lastRenderedPageBreak/>
        <w:t>Председатель Президиума Верховного Совета СССР М. КАЛИНИН</w:t>
      </w:r>
    </w:p>
    <w:p w14:paraId="5B377E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Секретарь Президиума Верховного Совета СССР А. ГОРКИН</w:t>
      </w:r>
    </w:p>
    <w:p w14:paraId="7AF717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 Кремль (9844).</w:t>
      </w:r>
    </w:p>
    <w:p w14:paraId="7453AD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4136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г. вышел УКАЗ ПРЕЗИДИУМА ВЕРХОВНОГО СОВЕТА СССР О ВВЕДЕНИИ НОВЫХ ЗНАКОВ РАЗЛИЧИЯ ДЛЯ ЛИЧНОГО СОСТАВА ОРГАНОВ И ВОЙСК НКВД</w:t>
      </w:r>
    </w:p>
    <w:p w14:paraId="65D955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Удовлетворить ходатайство Народного комиссариата внутренних дел СССР и ввести, взамен существующих, новые знаки различия — погоны для личного состава органов и войск НКВД.</w:t>
      </w:r>
    </w:p>
    <w:p w14:paraId="5DA054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Утвердить образцы и описание новых знаков различия личного состава органов и войск НКВД.</w:t>
      </w:r>
    </w:p>
    <w:p w14:paraId="6ACFB9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Народному комиссару внутренних дел СССР установить сроки перехода на новые знаки различия и внести необходимые изменения в форму одежды личного состава органов и войск НКВД.</w:t>
      </w:r>
    </w:p>
    <w:p w14:paraId="3DF97F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Председатель Президиума Верховного Совета СССР М. КАЛИНИН</w:t>
      </w:r>
    </w:p>
    <w:p w14:paraId="278FFE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Секретарь Президиума Верховного Совета СССР А. ГОРКИН</w:t>
      </w:r>
    </w:p>
    <w:p w14:paraId="5A12B8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 Кремль (9844).</w:t>
      </w:r>
    </w:p>
    <w:p w14:paraId="1B3DF1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67A3C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вышло Распоряжение ГКО № 2863 [О мобилизации возчиков с лошадьми в Московской, Ивановской и Кировской обл. и выделении кормов лошадям.] (7082, 13).</w:t>
      </w:r>
    </w:p>
    <w:p w14:paraId="4D02098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34D89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в Краснодоне фашистами казнены руководители “Молодой гвардии” (4962).</w:t>
      </w:r>
    </w:p>
    <w:p w14:paraId="2065CA1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066E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был казнен О.Кошевой - молодогвардеец (3481).</w:t>
      </w:r>
    </w:p>
    <w:p w14:paraId="1DC753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EA3B4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6EEFF5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B91E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в Вашингтоне было подписано соглашение между СССР и США о взаимной помощи во время войны и сотрудничестве в послевоенные годы (1348,246).</w:t>
      </w:r>
    </w:p>
    <w:p w14:paraId="06CFEF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1537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Премьер-министр Великобритании У.Ч. направил главе советского правительства И.В.С. послание, в котором от себя лично и от имени Президента Ф.Д.Р. сообщил, что открытие второго фронта в Европе откладывается до лета 1943 (3186).</w:t>
      </w:r>
    </w:p>
    <w:p w14:paraId="32F94F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638A6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У. Черчилль уведомил Сталина о переносе открытия “второго фронта” на лето (4962).</w:t>
      </w:r>
    </w:p>
    <w:p w14:paraId="02C12D9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FEDF15"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9 февраля</w:t>
      </w:r>
      <w:r w:rsidRPr="00D03F3E">
        <w:rPr>
          <w:rFonts w:ascii="Times New Roman" w:hAnsi="Times New Roman"/>
          <w:color w:val="000000" w:themeColor="text1"/>
          <w:sz w:val="16"/>
          <w:szCs w:val="16"/>
        </w:rPr>
        <w:t xml:space="preserve"> в 1943 году в послании И.В.Сталину У.Черчилль сообщил о подготовке открытия второго фронта в Европе в августе-сентябре 1943 г (15035).</w:t>
      </w:r>
    </w:p>
    <w:p w14:paraId="17C111AF" w14:textId="77777777" w:rsidR="00587ADC" w:rsidRPr="00D03F3E" w:rsidRDefault="00587ADC" w:rsidP="00D03F3E">
      <w:pPr>
        <w:spacing w:after="0" w:line="240" w:lineRule="auto"/>
        <w:jc w:val="both"/>
        <w:rPr>
          <w:rFonts w:ascii="Times New Roman" w:hAnsi="Times New Roman"/>
          <w:color w:val="000000" w:themeColor="text1"/>
          <w:sz w:val="16"/>
          <w:szCs w:val="16"/>
        </w:rPr>
      </w:pPr>
    </w:p>
    <w:p w14:paraId="64D0240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200285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ABE466" w14:textId="77777777" w:rsidR="00CE7989" w:rsidRPr="00D03F3E" w:rsidRDefault="00CE79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9 февраля 1943 вскоре после взлета из Уэст-Палм-Бич, Флорида, для полета в Северную Африку через Азорские острова, грузовой самолет C-87 Liberator Express ВВС США начинает испытывать сильную вибрацию. Пилот разворачивается и пытается вылететь в Майами, штат Флорида, для аварийной посадки, но за 10 миль (16 км) от Майами вибрация становится настолько сильной, что он приказывает экипажу покинуть самолет, спрыгнув в Атлантический океан, где приземляются шесть из них. Позже были спасены восемь человек. На автопилоте беспилотный C-87 затем набирает высоту, пролетает 1300 миль (2100 км) через Флориду и Мексиканский залив до Сарагосы, Мексика, за 4,5 часа и делает круги над Сарагосой еще два часа, прежде чем врезаться в гору (20376).</w:t>
      </w:r>
    </w:p>
    <w:p w14:paraId="0E65FACB" w14:textId="77777777" w:rsidR="00CE7989" w:rsidRPr="00D03F3E" w:rsidRDefault="00CE7989" w:rsidP="00D03F3E">
      <w:pPr>
        <w:spacing w:after="0" w:line="240" w:lineRule="auto"/>
        <w:jc w:val="both"/>
        <w:rPr>
          <w:rFonts w:ascii="Times New Roman" w:hAnsi="Times New Roman"/>
          <w:color w:val="0070C0"/>
          <w:sz w:val="16"/>
          <w:szCs w:val="16"/>
        </w:rPr>
      </w:pPr>
    </w:p>
    <w:p w14:paraId="1BBC9D8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в США минимальная продолжительность рабочей недели поднята с 40 до 48 часов (4962).</w:t>
      </w:r>
    </w:p>
    <w:p w14:paraId="2DF490D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64B26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после 6-месячных боев американские войска выбили японцев с Соломоновых островов (4962).</w:t>
      </w:r>
    </w:p>
    <w:p w14:paraId="241C619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D8F80E" w14:textId="77777777" w:rsidR="00587ADC" w:rsidRPr="00D03F3E" w:rsidRDefault="00587A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1943 японцы. Оборонявшие Гуадалканал, прекратили сопротивление (3907,241).</w:t>
      </w:r>
    </w:p>
    <w:p w14:paraId="71B12A3E" w14:textId="77777777" w:rsidR="00587ADC" w:rsidRPr="00D03F3E" w:rsidRDefault="00587A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AE81CA"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9 февраля</w:t>
      </w:r>
      <w:r w:rsidRPr="00D03F3E">
        <w:rPr>
          <w:rFonts w:ascii="Times New Roman" w:hAnsi="Times New Roman"/>
          <w:color w:val="000000" w:themeColor="text1"/>
          <w:sz w:val="16"/>
          <w:szCs w:val="16"/>
        </w:rPr>
        <w:t xml:space="preserve"> в 1943 году командир «Индийского легиона» Бозе и его адъютант Хабид Хасан уходят в море из Киля на подводной лодке кригсмарине «У-190». Во время рандеву в Индийском океане Бозе и Хасан пересаживаются на борт японской подлодки, которая переправляет их в Сингапур (15035).</w:t>
      </w:r>
    </w:p>
    <w:p w14:paraId="25B5E033" w14:textId="77777777" w:rsidR="00587ADC" w:rsidRPr="00D03F3E" w:rsidRDefault="00587ADC" w:rsidP="00D03F3E">
      <w:pPr>
        <w:spacing w:after="0" w:line="240" w:lineRule="auto"/>
        <w:jc w:val="both"/>
        <w:rPr>
          <w:rFonts w:ascii="Times New Roman" w:hAnsi="Times New Roman"/>
          <w:color w:val="000000" w:themeColor="text1"/>
          <w:sz w:val="16"/>
          <w:szCs w:val="16"/>
        </w:rPr>
      </w:pPr>
    </w:p>
    <w:p w14:paraId="4D66D8B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7D95F7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C1E4DF" w14:textId="77777777" w:rsidR="00CE7989" w:rsidRPr="00D03F3E" w:rsidRDefault="00CE7989"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Style w:val="5f1"/>
          <w:rFonts w:eastAsia="Arial Narrow"/>
          <w:color w:val="0070C0"/>
          <w:sz w:val="16"/>
          <w:szCs w:val="16"/>
        </w:rPr>
        <w:t>10 февраля 1943 на имя Мален</w:t>
      </w:r>
      <w:r w:rsidRPr="00D03F3E">
        <w:rPr>
          <w:rStyle w:val="5f1"/>
          <w:rFonts w:eastAsia="Arial Narrow"/>
          <w:color w:val="0070C0"/>
          <w:sz w:val="16"/>
          <w:szCs w:val="16"/>
        </w:rPr>
        <w:softHyphen/>
        <w:t>кова «ушел» доклад Репина</w:t>
      </w:r>
      <w:r w:rsidRPr="00D03F3E">
        <w:rPr>
          <w:rStyle w:val="800"/>
          <w:rFonts w:ascii="Times New Roman" w:hAnsi="Times New Roman" w:cs="Times New Roman"/>
          <w:i w:val="0"/>
          <w:iCs w:val="0"/>
          <w:color w:val="0070C0"/>
          <w:w w:val="100"/>
          <w:sz w:val="16"/>
          <w:szCs w:val="16"/>
        </w:rPr>
        <w:t xml:space="preserve"> «по вопросу испы</w:t>
      </w:r>
      <w:r w:rsidRPr="00D03F3E">
        <w:rPr>
          <w:rStyle w:val="800"/>
          <w:rFonts w:ascii="Times New Roman" w:hAnsi="Times New Roman" w:cs="Times New Roman"/>
          <w:i w:val="0"/>
          <w:iCs w:val="0"/>
          <w:color w:val="0070C0"/>
          <w:w w:val="100"/>
          <w:sz w:val="16"/>
          <w:szCs w:val="16"/>
        </w:rPr>
        <w:softHyphen/>
        <w:t>тания 4-х задних стрелковых установок под пулемет УБТ на самолете Ил-2, проведенных в НИП АВ в январе 1943 г.»</w:t>
      </w:r>
    </w:p>
    <w:p w14:paraId="0A761902" w14:textId="77777777" w:rsidR="00CE7989" w:rsidRPr="00D03F3E" w:rsidRDefault="00CE7989" w:rsidP="00D03F3E">
      <w:pPr>
        <w:pStyle w:val="28"/>
        <w:shd w:val="clear" w:color="auto" w:fill="auto"/>
        <w:spacing w:before="0" w:line="240" w:lineRule="auto"/>
        <w:jc w:val="both"/>
        <w:rPr>
          <w:rFonts w:ascii="Times New Roman" w:hAnsi="Times New Roman" w:cs="Times New Roman"/>
          <w:color w:val="0070C0"/>
          <w:sz w:val="16"/>
          <w:szCs w:val="16"/>
        </w:rPr>
      </w:pPr>
      <w:r w:rsidRPr="00D03F3E">
        <w:rPr>
          <w:rStyle w:val="2750"/>
          <w:rFonts w:ascii="Times New Roman" w:hAnsi="Times New Roman" w:cs="Times New Roman"/>
          <w:i w:val="0"/>
          <w:iCs w:val="0"/>
          <w:color w:val="0070C0"/>
          <w:w w:val="100"/>
          <w:sz w:val="16"/>
          <w:szCs w:val="16"/>
        </w:rPr>
        <w:t>В нем Репин писал:</w:t>
      </w:r>
      <w:r w:rsidRPr="00D03F3E">
        <w:rPr>
          <w:rFonts w:ascii="Times New Roman" w:hAnsi="Times New Roman" w:cs="Times New Roman"/>
          <w:color w:val="0070C0"/>
          <w:sz w:val="16"/>
          <w:szCs w:val="16"/>
        </w:rPr>
        <w:t xml:space="preserve"> «Из предъявленных установок испытания выдержали: модернизи</w:t>
      </w:r>
      <w:r w:rsidRPr="00D03F3E">
        <w:rPr>
          <w:rFonts w:ascii="Times New Roman" w:hAnsi="Times New Roman" w:cs="Times New Roman"/>
          <w:color w:val="0070C0"/>
          <w:sz w:val="16"/>
          <w:szCs w:val="16"/>
        </w:rPr>
        <w:softHyphen/>
        <w:t>рованная установка завода № 32 НКАП (кон</w:t>
      </w:r>
      <w:r w:rsidRPr="00D03F3E">
        <w:rPr>
          <w:rFonts w:ascii="Times New Roman" w:hAnsi="Times New Roman" w:cs="Times New Roman"/>
          <w:color w:val="0070C0"/>
          <w:sz w:val="16"/>
          <w:szCs w:val="16"/>
        </w:rPr>
        <w:softHyphen/>
        <w:t>структор Торопов) и завода № 481 НКАП (кон</w:t>
      </w:r>
      <w:r w:rsidRPr="00D03F3E">
        <w:rPr>
          <w:rFonts w:ascii="Times New Roman" w:hAnsi="Times New Roman" w:cs="Times New Roman"/>
          <w:color w:val="0070C0"/>
          <w:sz w:val="16"/>
          <w:szCs w:val="16"/>
        </w:rPr>
        <w:softHyphen/>
        <w:t>структор Павлов).</w:t>
      </w:r>
    </w:p>
    <w:p w14:paraId="6FAA0B9C" w14:textId="77777777" w:rsidR="00CE7989" w:rsidRPr="00D03F3E" w:rsidRDefault="00CE7989"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Установка завода № 43 и серийная уста</w:t>
      </w:r>
      <w:r w:rsidRPr="00D03F3E">
        <w:rPr>
          <w:rFonts w:ascii="Times New Roman" w:hAnsi="Times New Roman"/>
          <w:color w:val="0070C0"/>
          <w:sz w:val="16"/>
          <w:szCs w:val="16"/>
        </w:rPr>
        <w:softHyphen/>
        <w:t>новка конструктора Торопова испытания не выдержали по причине малых углов обстрела и ненадежной работы. Полигон в своем за</w:t>
      </w:r>
      <w:r w:rsidRPr="00D03F3E">
        <w:rPr>
          <w:rFonts w:ascii="Times New Roman" w:hAnsi="Times New Roman"/>
          <w:color w:val="0070C0"/>
          <w:sz w:val="16"/>
          <w:szCs w:val="16"/>
        </w:rPr>
        <w:softHyphen/>
        <w:t>ключении рекомендует установку т. Павлова, которая имеет преимущества в сравнении с модернизированной установкой конструктора Торопова в более свободном маневрировании и простоте изготовления. Мною принято ре</w:t>
      </w:r>
      <w:r w:rsidRPr="00D03F3E">
        <w:rPr>
          <w:rFonts w:ascii="Times New Roman" w:hAnsi="Times New Roman"/>
          <w:color w:val="0070C0"/>
          <w:sz w:val="16"/>
          <w:szCs w:val="16"/>
        </w:rPr>
        <w:softHyphen/>
        <w:t>шение в серийное производство запустить модернизированную установку конструкции Торопова по следующим соображениям. /.../ Из всех предъявленных на испытания ни одна из них полностью не удовлетворяет требова</w:t>
      </w:r>
      <w:r w:rsidRPr="00D03F3E">
        <w:rPr>
          <w:rFonts w:ascii="Times New Roman" w:hAnsi="Times New Roman"/>
          <w:color w:val="0070C0"/>
          <w:sz w:val="16"/>
          <w:szCs w:val="16"/>
        </w:rPr>
        <w:softHyphen/>
        <w:t>ниям ВВС - недостаточные углы обстрела, тяжелы в управлении. /.../ Установка Павлова, хотя и имеет некоторые преимущества, но на техническом совещании в НКАП совместно с ГУ ВВС установлено, что в производстве сложно осуществить соосность каркаса экрана с фюзеляжем самолета. Кроме того, при запуске ее в серийное производство потребуется новая оснастка, разработка технологии и период ос</w:t>
      </w:r>
      <w:r w:rsidRPr="00D03F3E">
        <w:rPr>
          <w:rFonts w:ascii="Times New Roman" w:hAnsi="Times New Roman"/>
          <w:color w:val="0070C0"/>
          <w:sz w:val="16"/>
          <w:szCs w:val="16"/>
        </w:rPr>
        <w:softHyphen/>
        <w:t>воения. Все это приведет к задержке выхода установки на 4-6 месяцев, причем полностью задача не будет решена.</w:t>
      </w:r>
    </w:p>
    <w:p w14:paraId="698C4E1D" w14:textId="77777777" w:rsidR="00CE7989" w:rsidRPr="00D03F3E" w:rsidRDefault="00CE7989" w:rsidP="00D03F3E">
      <w:pPr>
        <w:pStyle w:val="28"/>
        <w:shd w:val="clear" w:color="auto" w:fill="auto"/>
        <w:spacing w:before="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Модернизированная установка Торопова в основном обеспечивает защиту задней по</w:t>
      </w:r>
      <w:r w:rsidRPr="00D03F3E">
        <w:rPr>
          <w:rFonts w:ascii="Times New Roman" w:hAnsi="Times New Roman" w:cs="Times New Roman"/>
          <w:color w:val="0070C0"/>
          <w:sz w:val="16"/>
          <w:szCs w:val="16"/>
        </w:rPr>
        <w:softHyphen/>
        <w:t>лусферы самолета Ил-2 лучше, чем установка Павлова. Основные агрегаты установки Торо- пова освоены серийным производством и поэ</w:t>
      </w:r>
      <w:r w:rsidRPr="00D03F3E">
        <w:rPr>
          <w:rFonts w:ascii="Times New Roman" w:hAnsi="Times New Roman" w:cs="Times New Roman"/>
          <w:color w:val="0070C0"/>
          <w:sz w:val="16"/>
          <w:szCs w:val="16"/>
        </w:rPr>
        <w:softHyphen/>
        <w:t>тому переход на массовый выпуск этих уста</w:t>
      </w:r>
      <w:r w:rsidRPr="00D03F3E">
        <w:rPr>
          <w:rFonts w:ascii="Times New Roman" w:hAnsi="Times New Roman" w:cs="Times New Roman"/>
          <w:color w:val="0070C0"/>
          <w:sz w:val="16"/>
          <w:szCs w:val="16"/>
        </w:rPr>
        <w:softHyphen/>
        <w:t>новок не требует перестройки технологиче</w:t>
      </w:r>
      <w:r w:rsidRPr="00D03F3E">
        <w:rPr>
          <w:rFonts w:ascii="Times New Roman" w:hAnsi="Times New Roman" w:cs="Times New Roman"/>
          <w:color w:val="0070C0"/>
          <w:sz w:val="16"/>
          <w:szCs w:val="16"/>
        </w:rPr>
        <w:softHyphen/>
        <w:t>ского процесса».</w:t>
      </w:r>
    </w:p>
    <w:p w14:paraId="469DA4D9" w14:textId="77777777" w:rsidR="00CE7989" w:rsidRPr="00D03F3E" w:rsidRDefault="00CE7989"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Далее Репин переводил «стрелки» на НКАП, обращая внимание Маленкова на то обстоятельство, что</w:t>
      </w:r>
      <w:r w:rsidRPr="00D03F3E">
        <w:rPr>
          <w:rStyle w:val="800"/>
          <w:rFonts w:ascii="Times New Roman" w:hAnsi="Times New Roman" w:cs="Times New Roman"/>
          <w:i w:val="0"/>
          <w:iCs w:val="0"/>
          <w:color w:val="0070C0"/>
          <w:w w:val="100"/>
          <w:sz w:val="16"/>
          <w:szCs w:val="16"/>
        </w:rPr>
        <w:t xml:space="preserve"> «и эту установку НКАП в производство еще не запустил, а лишь ведет подготовку, которая может продлиться до 3-х недель».</w:t>
      </w:r>
      <w:r w:rsidRPr="00D03F3E">
        <w:rPr>
          <w:rFonts w:ascii="Times New Roman" w:hAnsi="Times New Roman" w:cs="Times New Roman"/>
          <w:color w:val="0070C0"/>
          <w:sz w:val="16"/>
          <w:szCs w:val="16"/>
        </w:rPr>
        <w:t xml:space="preserve"> В заключение он просил Маленкова дать указания НКАП о форсировании запуска в серийное производство модернизирован</w:t>
      </w:r>
      <w:r w:rsidRPr="00D03F3E">
        <w:rPr>
          <w:rFonts w:ascii="Times New Roman" w:hAnsi="Times New Roman" w:cs="Times New Roman"/>
          <w:color w:val="0070C0"/>
          <w:sz w:val="16"/>
          <w:szCs w:val="16"/>
        </w:rPr>
        <w:softHyphen/>
        <w:t>ной установки конструкции Торопова. В итоге, Маленков решил не рисковать, и вопрос был решен в пользу улучшенного варианта ВУБ-3.</w:t>
      </w:r>
    </w:p>
    <w:p w14:paraId="28C9EB68" w14:textId="77777777" w:rsidR="00CE7989" w:rsidRPr="00D03F3E" w:rsidRDefault="00CE7989"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Между тем установка УБШ конструкции Шебанова (завод №454) показала в ходе ис</w:t>
      </w:r>
      <w:r w:rsidRPr="00D03F3E">
        <w:rPr>
          <w:rFonts w:ascii="Times New Roman" w:hAnsi="Times New Roman" w:cs="Times New Roman"/>
          <w:color w:val="0070C0"/>
          <w:sz w:val="16"/>
          <w:szCs w:val="16"/>
        </w:rPr>
        <w:softHyphen/>
        <w:t>пытаний значительно лучшие результаты по сравнению с установками заводов №43, 481 и модернизированной ВУБ-3. По диапазону прицельных углов стрельбы из пулемета, ма</w:t>
      </w:r>
      <w:r w:rsidRPr="00D03F3E">
        <w:rPr>
          <w:rFonts w:ascii="Times New Roman" w:hAnsi="Times New Roman" w:cs="Times New Roman"/>
          <w:color w:val="0070C0"/>
          <w:sz w:val="16"/>
          <w:szCs w:val="16"/>
        </w:rPr>
        <w:softHyphen/>
        <w:t>невренности в бою, легкости и удобству при</w:t>
      </w:r>
      <w:r w:rsidRPr="00D03F3E">
        <w:rPr>
          <w:rFonts w:ascii="Times New Roman" w:hAnsi="Times New Roman" w:cs="Times New Roman"/>
          <w:color w:val="0070C0"/>
          <w:sz w:val="16"/>
          <w:szCs w:val="16"/>
        </w:rPr>
        <w:softHyphen/>
        <w:t>целивания она имела явное преимущество перед остальными «конкурентами».</w:t>
      </w:r>
    </w:p>
    <w:p w14:paraId="6558AEB3" w14:textId="77777777" w:rsidR="00CE7989" w:rsidRPr="00D03F3E" w:rsidRDefault="00CE7989"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Перенос огня с борта на борт осуществ</w:t>
      </w:r>
      <w:r w:rsidRPr="00D03F3E">
        <w:rPr>
          <w:rFonts w:ascii="Times New Roman" w:hAnsi="Times New Roman" w:cs="Times New Roman"/>
          <w:color w:val="0070C0"/>
          <w:sz w:val="16"/>
          <w:szCs w:val="16"/>
        </w:rPr>
        <w:softHyphen/>
        <w:t>лялся всего</w:t>
      </w:r>
      <w:r w:rsidRPr="00D03F3E">
        <w:rPr>
          <w:rStyle w:val="800"/>
          <w:rFonts w:ascii="Times New Roman" w:hAnsi="Times New Roman" w:cs="Times New Roman"/>
          <w:i w:val="0"/>
          <w:iCs w:val="0"/>
          <w:color w:val="0070C0"/>
          <w:w w:val="100"/>
          <w:sz w:val="16"/>
          <w:szCs w:val="16"/>
        </w:rPr>
        <w:t xml:space="preserve"> «за 1-2 секунды и без затруд</w:t>
      </w:r>
      <w:r w:rsidRPr="00D03F3E">
        <w:rPr>
          <w:rStyle w:val="800"/>
          <w:rFonts w:ascii="Times New Roman" w:hAnsi="Times New Roman" w:cs="Times New Roman"/>
          <w:i w:val="0"/>
          <w:iCs w:val="0"/>
          <w:color w:val="0070C0"/>
          <w:w w:val="100"/>
          <w:sz w:val="16"/>
          <w:szCs w:val="16"/>
        </w:rPr>
        <w:softHyphen/>
        <w:t>нений».</w:t>
      </w:r>
      <w:r w:rsidRPr="00D03F3E">
        <w:rPr>
          <w:rFonts w:ascii="Times New Roman" w:hAnsi="Times New Roman" w:cs="Times New Roman"/>
          <w:color w:val="0070C0"/>
          <w:sz w:val="16"/>
          <w:szCs w:val="16"/>
        </w:rPr>
        <w:t xml:space="preserve"> Размещение и крепление запасных магазинов в кабине самолета и к пулемету оценивалось как весьма удачное. Кроме того, </w:t>
      </w:r>
      <w:r w:rsidRPr="00D03F3E">
        <w:rPr>
          <w:rStyle w:val="800"/>
          <w:rFonts w:ascii="Times New Roman" w:hAnsi="Times New Roman" w:cs="Times New Roman"/>
          <w:i w:val="0"/>
          <w:iCs w:val="0"/>
          <w:color w:val="0070C0"/>
          <w:w w:val="100"/>
          <w:sz w:val="16"/>
          <w:szCs w:val="16"/>
        </w:rPr>
        <w:t>«благодаря движению ручки перезарядки в вер</w:t>
      </w:r>
      <w:r w:rsidRPr="00D03F3E">
        <w:rPr>
          <w:rStyle w:val="800"/>
          <w:rFonts w:ascii="Times New Roman" w:hAnsi="Times New Roman" w:cs="Times New Roman"/>
          <w:i w:val="0"/>
          <w:iCs w:val="0"/>
          <w:color w:val="0070C0"/>
          <w:w w:val="100"/>
          <w:sz w:val="16"/>
          <w:szCs w:val="16"/>
        </w:rPr>
        <w:softHyphen/>
        <w:t>тикальной плоскости, перезарядка пулемета удобна и не требует при нормальной работе пулемета особых усилий».</w:t>
      </w:r>
      <w:r w:rsidRPr="00D03F3E">
        <w:rPr>
          <w:rFonts w:ascii="Times New Roman" w:hAnsi="Times New Roman" w:cs="Times New Roman"/>
          <w:color w:val="0070C0"/>
          <w:sz w:val="16"/>
          <w:szCs w:val="16"/>
        </w:rPr>
        <w:t xml:space="preserve"> На замену магазина и зарядку пулемета в воздухе у подготовлен</w:t>
      </w:r>
      <w:r w:rsidRPr="00D03F3E">
        <w:rPr>
          <w:rFonts w:ascii="Times New Roman" w:hAnsi="Times New Roman" w:cs="Times New Roman"/>
          <w:color w:val="0070C0"/>
          <w:sz w:val="16"/>
          <w:szCs w:val="16"/>
        </w:rPr>
        <w:softHyphen/>
        <w:t>ного воздушного стрелка уходило не более 20-30 с, что считалось вполне приемлемым для условий воздушного боя с истребителем противника. Вибрация установки при стрельбе оказалась</w:t>
      </w:r>
      <w:r w:rsidRPr="00D03F3E">
        <w:rPr>
          <w:rStyle w:val="800"/>
          <w:rFonts w:ascii="Times New Roman" w:hAnsi="Times New Roman" w:cs="Times New Roman"/>
          <w:i w:val="0"/>
          <w:iCs w:val="0"/>
          <w:color w:val="0070C0"/>
          <w:w w:val="100"/>
          <w:sz w:val="16"/>
          <w:szCs w:val="16"/>
        </w:rPr>
        <w:t xml:space="preserve"> «в пределах нормы»</w:t>
      </w:r>
      <w:r w:rsidRPr="00D03F3E">
        <w:rPr>
          <w:rFonts w:ascii="Times New Roman" w:hAnsi="Times New Roman" w:cs="Times New Roman"/>
          <w:color w:val="0070C0"/>
          <w:sz w:val="16"/>
          <w:szCs w:val="16"/>
        </w:rPr>
        <w:t xml:space="preserve"> и не мешала вести прицельный огонь. Повышенная вибра</w:t>
      </w:r>
      <w:r w:rsidRPr="00D03F3E">
        <w:rPr>
          <w:rFonts w:ascii="Times New Roman" w:hAnsi="Times New Roman" w:cs="Times New Roman"/>
          <w:color w:val="0070C0"/>
          <w:sz w:val="16"/>
          <w:szCs w:val="16"/>
        </w:rPr>
        <w:softHyphen/>
        <w:t>ция, затруднявшая прицельную стрельбу, от</w:t>
      </w:r>
      <w:r w:rsidRPr="00D03F3E">
        <w:rPr>
          <w:rFonts w:ascii="Times New Roman" w:hAnsi="Times New Roman" w:cs="Times New Roman"/>
          <w:color w:val="0070C0"/>
          <w:sz w:val="16"/>
          <w:szCs w:val="16"/>
        </w:rPr>
        <w:softHyphen/>
        <w:t>мечалась лишь при стрельбе на максимальных углах возвышения.</w:t>
      </w:r>
    </w:p>
    <w:p w14:paraId="1632F287" w14:textId="77777777" w:rsidR="00CE7989" w:rsidRPr="00D03F3E" w:rsidRDefault="00CE7989"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На подготовку к первому выстрелу (уста</w:t>
      </w:r>
      <w:r w:rsidRPr="00D03F3E">
        <w:rPr>
          <w:rFonts w:ascii="Times New Roman" w:hAnsi="Times New Roman" w:cs="Times New Roman"/>
          <w:color w:val="0070C0"/>
          <w:sz w:val="16"/>
          <w:szCs w:val="16"/>
        </w:rPr>
        <w:softHyphen/>
        <w:t>новка патронного ящика и зарядка пулемета перед боевым вылетом) на УБШ затрачива</w:t>
      </w:r>
      <w:r w:rsidRPr="00D03F3E">
        <w:rPr>
          <w:rFonts w:ascii="Times New Roman" w:hAnsi="Times New Roman" w:cs="Times New Roman"/>
          <w:color w:val="0070C0"/>
          <w:sz w:val="16"/>
          <w:szCs w:val="16"/>
        </w:rPr>
        <w:softHyphen/>
        <w:t>лось, соответственно, в 10, 7 и 6 раз меньше времени, чем на установках заводов №32, 43 и 481.</w:t>
      </w:r>
    </w:p>
    <w:p w14:paraId="3B8EF54B" w14:textId="77777777" w:rsidR="00CE7989" w:rsidRPr="00D03F3E" w:rsidRDefault="00CE7989"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При отстреле 2545 патронов было за</w:t>
      </w:r>
      <w:r w:rsidRPr="00D03F3E">
        <w:rPr>
          <w:rFonts w:ascii="Times New Roman" w:hAnsi="Times New Roman" w:cs="Times New Roman"/>
          <w:color w:val="0070C0"/>
          <w:sz w:val="16"/>
          <w:szCs w:val="16"/>
        </w:rPr>
        <w:softHyphen/>
        <w:t>фиксировано десять задержек в стрельбе, из которых только одна - по причине дефекта установки. Из-за низкого качества сварки на 595-м выстреле произошла поломка переход</w:t>
      </w:r>
      <w:r w:rsidRPr="00D03F3E">
        <w:rPr>
          <w:rFonts w:ascii="Times New Roman" w:hAnsi="Times New Roman" w:cs="Times New Roman"/>
          <w:color w:val="0070C0"/>
          <w:sz w:val="16"/>
          <w:szCs w:val="16"/>
        </w:rPr>
        <w:softHyphen/>
        <w:t>ной горловины от магазина к приемнику пу</w:t>
      </w:r>
      <w:r w:rsidRPr="00D03F3E">
        <w:rPr>
          <w:rFonts w:ascii="Times New Roman" w:hAnsi="Times New Roman" w:cs="Times New Roman"/>
          <w:color w:val="0070C0"/>
          <w:sz w:val="16"/>
          <w:szCs w:val="16"/>
        </w:rPr>
        <w:softHyphen/>
        <w:t>лемета и верхней перемычки магазина. После устранения этого дефекта</w:t>
      </w:r>
      <w:r w:rsidRPr="00D03F3E">
        <w:rPr>
          <w:rStyle w:val="800"/>
          <w:rFonts w:ascii="Times New Roman" w:hAnsi="Times New Roman" w:cs="Times New Roman"/>
          <w:i w:val="0"/>
          <w:iCs w:val="0"/>
          <w:color w:val="0070C0"/>
          <w:w w:val="100"/>
          <w:sz w:val="16"/>
          <w:szCs w:val="16"/>
        </w:rPr>
        <w:t xml:space="preserve"> «при дальнейших стрельбах на земле и в воздухе /.../никаких по</w:t>
      </w:r>
      <w:r w:rsidRPr="00D03F3E">
        <w:rPr>
          <w:rStyle w:val="800"/>
          <w:rFonts w:ascii="Times New Roman" w:hAnsi="Times New Roman" w:cs="Times New Roman"/>
          <w:i w:val="0"/>
          <w:iCs w:val="0"/>
          <w:color w:val="0070C0"/>
          <w:w w:val="100"/>
          <w:sz w:val="16"/>
          <w:szCs w:val="16"/>
        </w:rPr>
        <w:softHyphen/>
        <w:t>ломок в установке не обнаружено».</w:t>
      </w:r>
      <w:r w:rsidRPr="00D03F3E">
        <w:rPr>
          <w:rFonts w:ascii="Times New Roman" w:hAnsi="Times New Roman" w:cs="Times New Roman"/>
          <w:color w:val="0070C0"/>
          <w:sz w:val="16"/>
          <w:szCs w:val="16"/>
        </w:rPr>
        <w:t xml:space="preserve"> По надеж</w:t>
      </w:r>
      <w:r w:rsidRPr="00D03F3E">
        <w:rPr>
          <w:rFonts w:ascii="Times New Roman" w:hAnsi="Times New Roman" w:cs="Times New Roman"/>
          <w:color w:val="0070C0"/>
          <w:sz w:val="16"/>
          <w:szCs w:val="16"/>
        </w:rPr>
        <w:softHyphen/>
        <w:t>ности УБШ примерно в 2,5 раза превосходила улучшенный вариант ВУБ-3, в 3 раза - уста</w:t>
      </w:r>
      <w:r w:rsidRPr="00D03F3E">
        <w:rPr>
          <w:rFonts w:ascii="Times New Roman" w:hAnsi="Times New Roman" w:cs="Times New Roman"/>
          <w:color w:val="0070C0"/>
          <w:sz w:val="16"/>
          <w:szCs w:val="16"/>
        </w:rPr>
        <w:softHyphen/>
        <w:t>новку завода №481 и более чем в 7 раз - за</w:t>
      </w:r>
      <w:r w:rsidRPr="00D03F3E">
        <w:rPr>
          <w:rFonts w:ascii="Times New Roman" w:hAnsi="Times New Roman" w:cs="Times New Roman"/>
          <w:color w:val="0070C0"/>
          <w:sz w:val="16"/>
          <w:szCs w:val="16"/>
        </w:rPr>
        <w:softHyphen/>
        <w:t>вода №43.</w:t>
      </w:r>
    </w:p>
    <w:p w14:paraId="76650653" w14:textId="77777777" w:rsidR="00CE7989" w:rsidRPr="00D03F3E" w:rsidRDefault="00CE7989"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lastRenderedPageBreak/>
        <w:t>Стрельба в воздухе велась короткими (по 3-5 патронов) и длинными (по 15-20 патро</w:t>
      </w:r>
      <w:r w:rsidRPr="00D03F3E">
        <w:rPr>
          <w:rFonts w:ascii="Times New Roman" w:hAnsi="Times New Roman" w:cs="Times New Roman"/>
          <w:color w:val="0070C0"/>
          <w:sz w:val="16"/>
          <w:szCs w:val="16"/>
        </w:rPr>
        <w:softHyphen/>
        <w:t>нов) очередями при всех возможных поло</w:t>
      </w:r>
      <w:r w:rsidRPr="00D03F3E">
        <w:rPr>
          <w:rFonts w:ascii="Times New Roman" w:hAnsi="Times New Roman" w:cs="Times New Roman"/>
          <w:color w:val="0070C0"/>
          <w:sz w:val="16"/>
          <w:szCs w:val="16"/>
        </w:rPr>
        <w:softHyphen/>
        <w:t>жениях установки, как при горизонтальном полете, так и на виражах. Задержек в стрельбе установки не было. Отмечалось, что размер боекомплекта к пулемету УБТ на УБШ</w:t>
      </w:r>
      <w:r w:rsidRPr="00D03F3E">
        <w:rPr>
          <w:rStyle w:val="800"/>
          <w:rFonts w:ascii="Times New Roman" w:hAnsi="Times New Roman" w:cs="Times New Roman"/>
          <w:i w:val="0"/>
          <w:iCs w:val="0"/>
          <w:color w:val="0070C0"/>
          <w:w w:val="100"/>
          <w:sz w:val="16"/>
          <w:szCs w:val="16"/>
        </w:rPr>
        <w:t xml:space="preserve"> «не ли</w:t>
      </w:r>
      <w:r w:rsidRPr="00D03F3E">
        <w:rPr>
          <w:rStyle w:val="800"/>
          <w:rFonts w:ascii="Times New Roman" w:hAnsi="Times New Roman" w:cs="Times New Roman"/>
          <w:i w:val="0"/>
          <w:iCs w:val="0"/>
          <w:color w:val="0070C0"/>
          <w:w w:val="100"/>
          <w:sz w:val="16"/>
          <w:szCs w:val="16"/>
        </w:rPr>
        <w:softHyphen/>
        <w:t>митируется установкой, как это имеет место для ВУБ-3».</w:t>
      </w:r>
      <w:r w:rsidRPr="00D03F3E">
        <w:rPr>
          <w:rFonts w:ascii="Times New Roman" w:hAnsi="Times New Roman" w:cs="Times New Roman"/>
          <w:color w:val="0070C0"/>
          <w:sz w:val="16"/>
          <w:szCs w:val="16"/>
        </w:rPr>
        <w:t xml:space="preserve"> Монтаж этой установки не требо</w:t>
      </w:r>
      <w:r w:rsidRPr="00D03F3E">
        <w:rPr>
          <w:rFonts w:ascii="Times New Roman" w:hAnsi="Times New Roman" w:cs="Times New Roman"/>
          <w:color w:val="0070C0"/>
          <w:sz w:val="16"/>
          <w:szCs w:val="16"/>
        </w:rPr>
        <w:softHyphen/>
        <w:t>вал каких-либо переделок самолета и мог вы</w:t>
      </w:r>
      <w:r w:rsidRPr="00D03F3E">
        <w:rPr>
          <w:rFonts w:ascii="Times New Roman" w:hAnsi="Times New Roman" w:cs="Times New Roman"/>
          <w:color w:val="0070C0"/>
          <w:sz w:val="16"/>
          <w:szCs w:val="16"/>
        </w:rPr>
        <w:softHyphen/>
        <w:t>полняться силами технического состава в ча</w:t>
      </w:r>
      <w:r w:rsidRPr="00D03F3E">
        <w:rPr>
          <w:rFonts w:ascii="Times New Roman" w:hAnsi="Times New Roman" w:cs="Times New Roman"/>
          <w:color w:val="0070C0"/>
          <w:sz w:val="16"/>
          <w:szCs w:val="16"/>
        </w:rPr>
        <w:softHyphen/>
        <w:t>стях вместо серийной ВУБ-3. Для увеличения обстреливаемого диапазона углов в горизон</w:t>
      </w:r>
      <w:r w:rsidRPr="00D03F3E">
        <w:rPr>
          <w:rFonts w:ascii="Times New Roman" w:hAnsi="Times New Roman" w:cs="Times New Roman"/>
          <w:color w:val="0070C0"/>
          <w:sz w:val="16"/>
          <w:szCs w:val="16"/>
        </w:rPr>
        <w:softHyphen/>
        <w:t>тальной плоскости в левой части серийного экрана стрелка сделали вырез. Установка УБШ на Ил-2 занимала меньше времени, чем ВУБ-3. При этом никаких регулировок после монтажа не требовалось.</w:t>
      </w:r>
    </w:p>
    <w:p w14:paraId="1CB09451" w14:textId="77777777" w:rsidR="00CE7989" w:rsidRPr="00D03F3E" w:rsidRDefault="00CE7989"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Конструктивно несовершенным элемен</w:t>
      </w:r>
      <w:r w:rsidRPr="00D03F3E">
        <w:rPr>
          <w:rFonts w:ascii="Times New Roman" w:hAnsi="Times New Roman" w:cs="Times New Roman"/>
          <w:color w:val="0070C0"/>
          <w:sz w:val="16"/>
          <w:szCs w:val="16"/>
        </w:rPr>
        <w:softHyphen/>
        <w:t>том УБШ оказался мешок для сбора стреляных гильз и звеньев:</w:t>
      </w:r>
    </w:p>
    <w:p w14:paraId="3D36AC23" w14:textId="77777777" w:rsidR="00CE7989" w:rsidRPr="00D03F3E" w:rsidRDefault="00CE7989" w:rsidP="00D03F3E">
      <w:pPr>
        <w:pStyle w:val="28"/>
        <w:shd w:val="clear" w:color="auto" w:fill="auto"/>
        <w:spacing w:before="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«а) вмещает 2,5 боекомплекта при нали</w:t>
      </w:r>
      <w:r w:rsidRPr="00D03F3E">
        <w:rPr>
          <w:rFonts w:ascii="Times New Roman" w:hAnsi="Times New Roman" w:cs="Times New Roman"/>
          <w:color w:val="0070C0"/>
          <w:sz w:val="16"/>
          <w:szCs w:val="16"/>
        </w:rPr>
        <w:softHyphen/>
        <w:t>чии 4-х боекомплектов патрон;</w:t>
      </w:r>
    </w:p>
    <w:p w14:paraId="757683D8" w14:textId="77777777" w:rsidR="00CE7989" w:rsidRPr="00D03F3E" w:rsidRDefault="00CE7989" w:rsidP="00D03F3E">
      <w:pPr>
        <w:pStyle w:val="28"/>
        <w:shd w:val="clear" w:color="auto" w:fill="auto"/>
        <w:spacing w:before="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б) снятие и установка затруднены из-за несовершенства крепления».</w:t>
      </w:r>
    </w:p>
    <w:p w14:paraId="5EACDA19" w14:textId="77777777" w:rsidR="00CE7989" w:rsidRPr="00D03F3E" w:rsidRDefault="00CE7989"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Но этот недостаток не сочли критичным, особенно по сравнению с серийной ВУБ-3 и вариантами заводов №32 и 481, у которых ем</w:t>
      </w:r>
      <w:r w:rsidRPr="00D03F3E">
        <w:rPr>
          <w:rFonts w:ascii="Times New Roman" w:hAnsi="Times New Roman" w:cs="Times New Roman"/>
          <w:color w:val="0070C0"/>
          <w:sz w:val="16"/>
          <w:szCs w:val="16"/>
        </w:rPr>
        <w:softHyphen/>
        <w:t>кости мешка хватало только для одной трети боекомплекта.</w:t>
      </w:r>
    </w:p>
    <w:p w14:paraId="2837C8D3" w14:textId="77777777" w:rsidR="00CE7989" w:rsidRPr="00D03F3E" w:rsidRDefault="00CE7989"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В производстве УБШ оказалась простой и не требовала</w:t>
      </w:r>
      <w:r w:rsidRPr="00D03F3E">
        <w:rPr>
          <w:rStyle w:val="800"/>
          <w:rFonts w:ascii="Times New Roman" w:hAnsi="Times New Roman" w:cs="Times New Roman"/>
          <w:i w:val="0"/>
          <w:iCs w:val="0"/>
          <w:color w:val="0070C0"/>
          <w:w w:val="100"/>
          <w:sz w:val="16"/>
          <w:szCs w:val="16"/>
        </w:rPr>
        <w:t xml:space="preserve"> «затраты квалифицирован</w:t>
      </w:r>
      <w:r w:rsidRPr="00D03F3E">
        <w:rPr>
          <w:rStyle w:val="800"/>
          <w:rFonts w:ascii="Times New Roman" w:hAnsi="Times New Roman" w:cs="Times New Roman"/>
          <w:i w:val="0"/>
          <w:iCs w:val="0"/>
          <w:color w:val="0070C0"/>
          <w:w w:val="100"/>
          <w:sz w:val="16"/>
          <w:szCs w:val="16"/>
        </w:rPr>
        <w:softHyphen/>
        <w:t xml:space="preserve">ной рабочей силы и точности производства». </w:t>
      </w:r>
      <w:r w:rsidRPr="00D03F3E">
        <w:rPr>
          <w:rFonts w:ascii="Times New Roman" w:hAnsi="Times New Roman" w:cs="Times New Roman"/>
          <w:color w:val="0070C0"/>
          <w:sz w:val="16"/>
          <w:szCs w:val="16"/>
        </w:rPr>
        <w:t>Такие установки могли выпускаться</w:t>
      </w:r>
      <w:r w:rsidRPr="00D03F3E">
        <w:rPr>
          <w:rStyle w:val="800"/>
          <w:rFonts w:ascii="Times New Roman" w:hAnsi="Times New Roman" w:cs="Times New Roman"/>
          <w:i w:val="0"/>
          <w:iCs w:val="0"/>
          <w:color w:val="0070C0"/>
          <w:w w:val="100"/>
          <w:sz w:val="16"/>
          <w:szCs w:val="16"/>
        </w:rPr>
        <w:t xml:space="preserve"> «заводом с гораздо меньшим станочным парком, чем ВУБ-3».</w:t>
      </w:r>
      <w:r w:rsidRPr="00D03F3E">
        <w:rPr>
          <w:rFonts w:ascii="Times New Roman" w:hAnsi="Times New Roman" w:cs="Times New Roman"/>
          <w:color w:val="0070C0"/>
          <w:sz w:val="16"/>
          <w:szCs w:val="16"/>
        </w:rPr>
        <w:t xml:space="preserve"> УБШ имела 262 детали, из которых большая часть уже находились в производстве и изготавливались, что важно, из малоугле</w:t>
      </w:r>
      <w:r w:rsidRPr="00D03F3E">
        <w:rPr>
          <w:rFonts w:ascii="Times New Roman" w:hAnsi="Times New Roman" w:cs="Times New Roman"/>
          <w:color w:val="0070C0"/>
          <w:sz w:val="16"/>
          <w:szCs w:val="16"/>
        </w:rPr>
        <w:softHyphen/>
        <w:t>родистой стали. Отсутствие электромоторов, электроподтяга и других механизмов упро</w:t>
      </w:r>
      <w:r w:rsidRPr="00D03F3E">
        <w:rPr>
          <w:rFonts w:ascii="Times New Roman" w:hAnsi="Times New Roman" w:cs="Times New Roman"/>
          <w:color w:val="0070C0"/>
          <w:sz w:val="16"/>
          <w:szCs w:val="16"/>
        </w:rPr>
        <w:softHyphen/>
        <w:t>щало монтаж, регулировку и эксплуатацию установки. Наличие ленточного магазина де</w:t>
      </w:r>
      <w:r w:rsidRPr="00D03F3E">
        <w:rPr>
          <w:rFonts w:ascii="Times New Roman" w:hAnsi="Times New Roman" w:cs="Times New Roman"/>
          <w:color w:val="0070C0"/>
          <w:sz w:val="16"/>
          <w:szCs w:val="16"/>
        </w:rPr>
        <w:softHyphen/>
        <w:t>лало</w:t>
      </w:r>
      <w:r w:rsidRPr="00D03F3E">
        <w:rPr>
          <w:rStyle w:val="800"/>
          <w:rFonts w:ascii="Times New Roman" w:hAnsi="Times New Roman" w:cs="Times New Roman"/>
          <w:i w:val="0"/>
          <w:iCs w:val="0"/>
          <w:color w:val="0070C0"/>
          <w:w w:val="100"/>
          <w:sz w:val="16"/>
          <w:szCs w:val="16"/>
        </w:rPr>
        <w:t xml:space="preserve"> «УБШ по простоте конструкции и изго</w:t>
      </w:r>
      <w:r w:rsidRPr="00D03F3E">
        <w:rPr>
          <w:rStyle w:val="800"/>
          <w:rFonts w:ascii="Times New Roman" w:hAnsi="Times New Roman" w:cs="Times New Roman"/>
          <w:i w:val="0"/>
          <w:iCs w:val="0"/>
          <w:color w:val="0070C0"/>
          <w:w w:val="100"/>
          <w:sz w:val="16"/>
          <w:szCs w:val="16"/>
        </w:rPr>
        <w:softHyphen/>
        <w:t>товления проще установок заводов № 43 и № 481, прошедших ранее испытания».</w:t>
      </w:r>
      <w:r w:rsidRPr="00D03F3E">
        <w:rPr>
          <w:rFonts w:ascii="Times New Roman" w:hAnsi="Times New Roman" w:cs="Times New Roman"/>
          <w:color w:val="0070C0"/>
          <w:sz w:val="16"/>
          <w:szCs w:val="16"/>
        </w:rPr>
        <w:t xml:space="preserve"> В отчете НИП АВ ВВС по полигонным испытаниям УБШ отмечалось, что установка испытания выдер</w:t>
      </w:r>
      <w:r w:rsidRPr="00D03F3E">
        <w:rPr>
          <w:rFonts w:ascii="Times New Roman" w:hAnsi="Times New Roman" w:cs="Times New Roman"/>
          <w:color w:val="0070C0"/>
          <w:sz w:val="16"/>
          <w:szCs w:val="16"/>
        </w:rPr>
        <w:softHyphen/>
        <w:t>жала и рекомендовалась для внедрения на все вновь выпускаемые серийные Ил-2.</w:t>
      </w:r>
    </w:p>
    <w:p w14:paraId="7F201506" w14:textId="77777777" w:rsidR="00CE7989" w:rsidRPr="00D03F3E" w:rsidRDefault="00CE7989"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Учитывая результаты испытаний устано</w:t>
      </w:r>
      <w:r w:rsidRPr="00D03F3E">
        <w:rPr>
          <w:rFonts w:ascii="Times New Roman" w:hAnsi="Times New Roman" w:cs="Times New Roman"/>
          <w:color w:val="0070C0"/>
          <w:sz w:val="16"/>
          <w:szCs w:val="16"/>
        </w:rPr>
        <w:softHyphen/>
        <w:t>вок заводов №32, 43, 481, 454 и технические риски, связанные с заменой в серии ВУБ-3, сначала решили изготовить небольшую пар</w:t>
      </w:r>
      <w:r w:rsidRPr="00D03F3E">
        <w:rPr>
          <w:rFonts w:ascii="Times New Roman" w:hAnsi="Times New Roman" w:cs="Times New Roman"/>
          <w:color w:val="0070C0"/>
          <w:sz w:val="16"/>
          <w:szCs w:val="16"/>
        </w:rPr>
        <w:softHyphen/>
        <w:t>тию из 20-30 установок УБШ для проведе</w:t>
      </w:r>
      <w:r w:rsidRPr="00D03F3E">
        <w:rPr>
          <w:rFonts w:ascii="Times New Roman" w:hAnsi="Times New Roman" w:cs="Times New Roman"/>
          <w:color w:val="0070C0"/>
          <w:sz w:val="16"/>
          <w:szCs w:val="16"/>
        </w:rPr>
        <w:softHyphen/>
        <w:t>ния войсковых испытаний в условиях фронта. Окончательное решение в пользу улучшен</w:t>
      </w:r>
      <w:r w:rsidRPr="00D03F3E">
        <w:rPr>
          <w:rFonts w:ascii="Times New Roman" w:hAnsi="Times New Roman" w:cs="Times New Roman"/>
          <w:color w:val="0070C0"/>
          <w:sz w:val="16"/>
          <w:szCs w:val="16"/>
        </w:rPr>
        <w:softHyphen/>
        <w:t>ного варианта ВУБ-3 или УБШ предполагалось принять по итогам их боевого применения (19879).</w:t>
      </w:r>
    </w:p>
    <w:p w14:paraId="0CD3873C" w14:textId="77777777" w:rsidR="00CE7989" w:rsidRPr="00D03F3E" w:rsidRDefault="00CE7989" w:rsidP="00D03F3E">
      <w:pPr>
        <w:pStyle w:val="11c"/>
        <w:shd w:val="clear" w:color="auto" w:fill="auto"/>
        <w:spacing w:after="0" w:line="240" w:lineRule="auto"/>
        <w:jc w:val="both"/>
        <w:rPr>
          <w:rFonts w:ascii="Times New Roman" w:hAnsi="Times New Roman" w:cs="Times New Roman"/>
          <w:color w:val="0070C0"/>
          <w:sz w:val="16"/>
          <w:szCs w:val="16"/>
        </w:rPr>
      </w:pPr>
    </w:p>
    <w:p w14:paraId="7D4584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февраля 1943 из Хабаровска в Москву направилась эскадрилья самолетов Дальневосточный чекист, переданная 4 феврал 444 дбап 53ад на аэродроме з-да № 126 в Комсомльске и еще раз - торжественно - в Хабаровске. Должны были лететь Хабаровск-Куйбышевка-Чита-Красноярск-Омск-Свердловск-Москва. В первый же день разбился л А.А.Акиншин со ш, т.к. сломалась тяга РВ. На этапе Куйбышевка-Чита из-за неисправности мотора разбился Ил-4 млл П.И.Трифонова. 8 Ил-4 дошли до Москвы 15 марта (5217, 12).</w:t>
      </w:r>
    </w:p>
    <w:p w14:paraId="6F0784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6E52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февраля 1943 первый полет выполнил Пе-2 А.И.Путилова с М-105ПД в рамках работы на Пе-2ВИ. Нагнетатели работали неустойчиво и второй Пе-2ВИ решили сделать с М-105ПФ, но затем переоборудовали под высотные моторы. Деревянные консоли заказывали на стороне и это вызывало задержки. Первый полет Пе-2ВИ состоялся только 30 апреля 1943 (2475,19).</w:t>
      </w:r>
    </w:p>
    <w:p w14:paraId="3962F3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2EBE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февраля 1943 Нач. 1 отд. 3У ГРУ КА Алешин писал письмо N 235498 НКАП с информацией по германским самолетам Ю-88 серия А-4, А-5 и ФВ-190 (1780,88).</w:t>
      </w:r>
    </w:p>
    <w:p w14:paraId="303C2C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8C48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февраля 1943 ГК С.А.Л. писал письмо N 26/367 НКАП А.И.Ш.:</w:t>
      </w:r>
    </w:p>
    <w:p w14:paraId="13B66B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Вашего разрешения организовать в Москве для моих работ по модификации Ла-5 опытную базу-филиал.</w:t>
      </w:r>
    </w:p>
    <w:p w14:paraId="584702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Организация такой базы крайне необходима по следующим соображениям:</w:t>
      </w:r>
    </w:p>
    <w:p w14:paraId="3744B6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настоящее время работы по модификации самолета сводятся к</w:t>
      </w:r>
    </w:p>
    <w:p w14:paraId="622639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доработке установки М-82ФНВ</w:t>
      </w:r>
    </w:p>
    <w:p w14:paraId="6F67B2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к установке ТК-3</w:t>
      </w:r>
    </w:p>
    <w:p w14:paraId="783FEE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 установке М-71</w:t>
      </w:r>
    </w:p>
    <w:p w14:paraId="479FEF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Реализация перечисленных работ требует квалифицированных конструкторов, разгруженных от текущей деятельности завода. При переезде в Тбилиси и обратно была растеряна большая часть конструкторского коллектива, и сейчас для опытных работ приходится отрывать людей из серии, вообще говоря достаточно технически отсталых и мало привычных к настоящей конструкторской работе.</w:t>
      </w:r>
    </w:p>
    <w:p w14:paraId="5DAE88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Ваш приказ о передаче мне конструкторов с других заводов не реализован и одним из препятствий является большой жилищный кризис в Горьком.</w:t>
      </w:r>
    </w:p>
    <w:p w14:paraId="0BAD9A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Отработка ТК и решение ряда других вопросов требует теснейшего контакта с нашими институтами.</w:t>
      </w:r>
    </w:p>
    <w:p w14:paraId="1E1F24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различному поводу в институтах Москвы находится на испытании много машин (в настоящее время - до 8) и я практически вынужден содержать здесь штат людей для обслуживания и доводки машин. Люди эти не имеют рабочего места, разбросаны, практически не приносят пользы.</w:t>
      </w:r>
    </w:p>
    <w:p w14:paraId="2BBE13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Считаю возможным отметить, что в Москве имеются коллективы, занятые решением задач значительно менее важных или даже явно безнадежных.</w:t>
      </w:r>
    </w:p>
    <w:p w14:paraId="3601B8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основании изложенного прошу передать в мое распоряжение завод 241 (ст. Быково), где я мог бы организовать коллектив и небольшую базу, переведя из Горького лишь несколько чел. руководящего состава.</w:t>
      </w:r>
    </w:p>
    <w:p w14:paraId="7B215E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241 имеет аэродром и удобно расположен в смысле близости его к ЦАГИ и ЛИИ." (2519,174).</w:t>
      </w:r>
    </w:p>
    <w:p w14:paraId="4A3629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F0AB8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DF0FB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FCF7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февраля 1943 года На основании Постановления СНК № 146-48сс и решения Военсовета ДВ фронта и НКБ в декабре 1942 года приступили к проектированию снаряжательного завода.</w:t>
      </w:r>
    </w:p>
    <w:p w14:paraId="43AB26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Постановлению Правительства завод должен был быть пущен в эксплуатацию к 1 июля 1943 года.</w:t>
      </w:r>
    </w:p>
    <w:p w14:paraId="1803C7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Сроки ввода были не выполнены (10218).</w:t>
      </w:r>
    </w:p>
    <w:p w14:paraId="640B27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F9BA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февраля 1943 вышло Постановление ГКО № 2866 О восстановлении бронекорпусов танков Т-34, вышедших из строя.РГАНИР, Фонд ГКО, д. 89, лл. 22-25 (11012).</w:t>
      </w:r>
    </w:p>
    <w:p w14:paraId="796605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FE976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февраля 1943 г. была подготовлена ДОКЛАДНАЯ ЗАПИСКА СТАРШЕГО ВОЕНПРЕДА ГБТУ КА ЗАМЕСТИТЕЛЮ НАЧАЛЬНИКА ТУ ГБТУ КА ПО НЕИСПРАВНОСТЯМ КОРОБОК ПЕРЕДАЧ №27</w:t>
      </w:r>
    </w:p>
    <w:p w14:paraId="17028A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рекламации, поступившие на ГАЗ им. Молотова от завода №38 за последнее время по двигателю 202, были о недоброкачественности работы коробок передач на СУ-12.</w:t>
      </w:r>
    </w:p>
    <w:p w14:paraId="578E12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выяснения причин выезжал начальник ОТК завода т. Майборода, и несколько позднее с бригадой конструкторов главный конструктор завода ГАЗ им. Молотова т. Липгарт.</w:t>
      </w:r>
    </w:p>
    <w:p w14:paraId="0072CA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Протоколом совещания на заводе №38 от 28.01.1943 г. установлено, что все претензии завода на недостаточную прочность коробок двигателя 202 были не основательны.</w:t>
      </w:r>
    </w:p>
    <w:p w14:paraId="4EDC413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Поломка коробок происходила по трем причинам:</w:t>
      </w:r>
    </w:p>
    <w:p w14:paraId="72BED4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Недопустимое смещение оси главной передачи относительно оси двигателя (в результате небрежной сборки на заводе №38).</w:t>
      </w:r>
    </w:p>
    <w:p w14:paraId="1DDD435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Грубое насильственное включение и переключение (врубание) передач на высоких оборотах двигате</w:t>
      </w:r>
      <w:r w:rsidRPr="00D03F3E">
        <w:rPr>
          <w:rFonts w:ascii="Times New Roman" w:hAnsi="Times New Roman"/>
          <w:color w:val="000000" w:themeColor="text1"/>
          <w:sz w:val="16"/>
          <w:szCs w:val="16"/>
        </w:rPr>
        <w:softHyphen/>
        <w:t>ля, из-за неправильной регулировке акселератора и неудачной конструкции управления акселератором.</w:t>
      </w:r>
    </w:p>
    <w:p w14:paraId="4C6E425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Попадание в коробки посторонних предметов при вскрытии их на заводе №38.</w:t>
      </w:r>
    </w:p>
    <w:p w14:paraId="3CF3F19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Причиной претензии завода №38 на отказ включения или выключения задней передачи, как установлено, явилось то обстоятельство, что нормально применяемая заводом им. Молотова обработ</w:t>
      </w:r>
      <w:r w:rsidRPr="00D03F3E">
        <w:rPr>
          <w:rFonts w:ascii="Times New Roman" w:hAnsi="Times New Roman"/>
          <w:color w:val="000000" w:themeColor="text1"/>
          <w:sz w:val="16"/>
          <w:szCs w:val="16"/>
        </w:rPr>
        <w:softHyphen/>
        <w:t>ка втулки вилки заднего хода и стержня оказалась не достаточно чистой при сцеплении управления конструкции СУ-12, в то время как ГАЗом с аналогичными коробками только в январе выпущено 2000 автомобилей и все коробки работали нормально.</w:t>
      </w:r>
    </w:p>
    <w:p w14:paraId="75886D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Требования завода приняты ГАЗом, иных рекламаций на двигатель 202 от завода не поступало, кроме выявленных нескольких моторов с забитыми венчиками маховика от неправильного включения стартера.</w:t>
      </w:r>
    </w:p>
    <w:p w14:paraId="0DD5D9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моторами по этим узлам введен жесткий контроль ОТК и военной приемки.</w:t>
      </w:r>
    </w:p>
    <w:p w14:paraId="6017E58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нормальной работы коробки передач на СУ-12 необходимо соблюдение следующих требо</w:t>
      </w:r>
      <w:r w:rsidRPr="00D03F3E">
        <w:rPr>
          <w:rFonts w:ascii="Times New Roman" w:hAnsi="Times New Roman"/>
          <w:color w:val="000000" w:themeColor="text1"/>
          <w:sz w:val="16"/>
          <w:szCs w:val="16"/>
        </w:rPr>
        <w:softHyphen/>
        <w:t>ваний завода №38:</w:t>
      </w:r>
    </w:p>
    <w:p w14:paraId="0FCD04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Выдержка соосности двигателя в пределах 0,5 мм.</w:t>
      </w:r>
    </w:p>
    <w:p w14:paraId="473CD12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Тщательная регулировка синхронности управления сцеплением.</w:t>
      </w:r>
    </w:p>
    <w:p w14:paraId="0330D2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Тщательная регулировка тяг управления дроссельной заслонками обоих карбюраторов, обе</w:t>
      </w:r>
      <w:r w:rsidRPr="00D03F3E">
        <w:rPr>
          <w:rFonts w:ascii="Times New Roman" w:hAnsi="Times New Roman"/>
          <w:color w:val="000000" w:themeColor="text1"/>
          <w:sz w:val="16"/>
          <w:szCs w:val="16"/>
        </w:rPr>
        <w:softHyphen/>
        <w:t>спечивающих малые обороты двигателя при сбрасывании педали газа.</w:t>
      </w:r>
    </w:p>
    <w:p w14:paraId="0301E8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Правильное функционирование механизма одновременного управления двумя коробками, обеспечивающие синхронное включение и переключение передач.</w:t>
      </w:r>
    </w:p>
    <w:p w14:paraId="7B4D36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копия письма зам. гл. конструктора т. Астрова на 4 листах — адресату</w:t>
      </w:r>
      <w:r w:rsidRPr="00D03F3E">
        <w:rPr>
          <w:rFonts w:ascii="Times New Roman" w:hAnsi="Times New Roman"/>
          <w:color w:val="000000" w:themeColor="text1"/>
          <w:sz w:val="16"/>
          <w:szCs w:val="16"/>
          <w:vertAlign w:val="superscript"/>
        </w:rPr>
        <w:t>1</w:t>
      </w:r>
      <w:r w:rsidRPr="00D03F3E">
        <w:rPr>
          <w:rFonts w:ascii="Times New Roman" w:hAnsi="Times New Roman"/>
          <w:color w:val="000000" w:themeColor="text1"/>
          <w:sz w:val="16"/>
          <w:szCs w:val="16"/>
        </w:rPr>
        <w:t>.</w:t>
      </w:r>
    </w:p>
    <w:p w14:paraId="5C3298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 военпред ГБТУ КА инженер-подполковник Окунев</w:t>
      </w:r>
    </w:p>
    <w:p w14:paraId="1C127F8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ЦАМО. Ф. 38. Оп. 11369. Д. 11. Л. 82. Подлинник (11403).</w:t>
      </w:r>
    </w:p>
    <w:p w14:paraId="0CB374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83626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февраля 1943 г. вышло ПОСТАНОВЛЕНИЕ СНК СССР ОБ УТВЕРЖДЕНИИ ТИПОВ И РАЗМЕРОВ АВТОМОБИЛЬНЫХ ШИН ДЛЯ ПРОИЗВОДСТВА НА МОСКОВСКОМ ШИННОМ ЗАВОДЕ НАРКОМРЕЗИНПРОМА №144-47</w:t>
      </w:r>
    </w:p>
    <w:p w14:paraId="5A63151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 Народных комиссаров Союза ССР ПОСТАНОВЛЯЕТ:</w:t>
      </w:r>
    </w:p>
    <w:p w14:paraId="262CB6A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Утвердить для производства на Московском шинном заводе Наркомрезинпрома, приобретаемом в США, следующие размеры и типы автомобильных шин:</w:t>
      </w:r>
    </w:p>
    <w:p w14:paraId="1C67C6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автомобильные шины размера 9.00-20 с протектором повышенной проходимости (вездеход) для 3-тонного автомобиля марки ЗИС-5;</w:t>
      </w:r>
    </w:p>
    <w:p w14:paraId="544992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автомобильные шины размера 6.50-20 с протектором повышенной проходимости (вездеход) для полуторатонного автомобиля марки ГАЗ-АА.</w:t>
      </w:r>
    </w:p>
    <w:p w14:paraId="258ED9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председателя совета народных комиссаров СССР В. Молотов</w:t>
      </w:r>
    </w:p>
    <w:p w14:paraId="744C9DE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Управляющий Делами совета народных комиссаров СССР Я. Чадаев</w:t>
      </w:r>
    </w:p>
    <w:p w14:paraId="3A5200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41. Оп. 11584 Д. 747. Л. 40. Копия (11403).</w:t>
      </w:r>
    </w:p>
    <w:p w14:paraId="76E661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4410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февраля 1943 вышло Постановление ГКО № 2867 О демонтаже и отправке из Ленинграда оборудования для электростанции Чебаркульского завода № 701 НКЧМ.РГАНИР, Фонд ГКО, д. 89, лл. 26 (11012).</w:t>
      </w:r>
    </w:p>
    <w:p w14:paraId="712F77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1ABC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февраля 1943 вышло Постановление ГКО № 2868 Об окончании строительства Новосибирского завода тяжелых станков и крупных гидропрессов Наркомстанкостроения.РГАНИР, Фонд ГКО, д. 89, лл. 27-40, 41-67 (11012).</w:t>
      </w:r>
    </w:p>
    <w:p w14:paraId="2DB350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1DE2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февраля 1943 вышло Распоряжение ГКО № 2869. О запрещении НКНП использовать зеленое масло для технологических нуж РГАНИР, Фонд ГКО, д. РГАНИР, Фонд ГКО, д. 89, лл. 68 (11012).</w:t>
      </w:r>
    </w:p>
    <w:p w14:paraId="3C8A6B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3EC9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февраля 1943 На ПЛ Щ-318 адмиралтейцами начата установка механизмов на амортизаторы; закончена 31 марта (10671).</w:t>
      </w:r>
    </w:p>
    <w:p w14:paraId="74D78F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9DA2BF" w14:textId="77777777" w:rsidR="00587ADC"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6793FBF" w14:textId="77777777" w:rsidR="00587ADC" w:rsidRPr="00D03F3E" w:rsidRDefault="00587ADC"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8F4B5E"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10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484B2BD7"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10 февраля наши войска вели наступательные бои на прежних направлениях.</w:t>
      </w:r>
    </w:p>
    <w:p w14:paraId="06DDB704"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Ростова-на-Дону наши войска вели наступательные бои. Части Н-ского соединения уничтожили до 400 вражеских солдат и офицеров. Огневыми налётами нашей артиллерии, подавлен огонь нескольких артиллерийских и миномётных батарей противника, а также взорвано два крупных склада боеприпасов.</w:t>
      </w:r>
    </w:p>
    <w:p w14:paraId="02C2DB1D"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Краматорской части Н-ского соединения после упорных боёв заняли ряд населённых пунктов. Противник подтянул резервы и оказывает ожесточённое сопротивление, пытаясь задержать наступление советских войск. Отбивая вражеские контратаки, части Н-ского соединения истребили свыше 1.200 немецких солдат и офицеров и сожгли 24 танка. Кроме того, огнём артиллерии подбито 7 танков, 2 бронемашины и уничтожено до двух рот пехоты противника.</w:t>
      </w:r>
    </w:p>
    <w:p w14:paraId="085CA607"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Советская авиация совершила налёт на немецкий аэродром в городе Сталино и уничтожила 20 вражеских самолётов. В воздушных боях сбито 2 самолёта противника.</w:t>
      </w:r>
    </w:p>
    <w:p w14:paraId="655A20C0"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наши войска продолжали наступательные операции. Бойцы части под командованием тов. Баранова очистили от гитлеровцев крупный населённый пункт. Захвачены большие трофеи. На другом участке часть, где командиром тов. Старцев, штурмовала укреплённый узел обороны немцев. В результате упорного боя противник был смят и опрокинут. Наши бойцы, преследуя гитлеровцев, овладели 4 населёнными пунктами. В боях за эти населённые пункты уничтожено 2 немецких танка, 3 миномёта и до 300 солдат и офицеров противника. Захвачено 3 орудия, 22 пулемёта, 250 винтовок, 3 миномёта, 3 радиостанции, 42 ящика снарядов и более 40тысяч патронов.</w:t>
      </w:r>
    </w:p>
    <w:p w14:paraId="4DA75E26"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Полесской области, истребил 180 гитлеровцев. Партизаны взорвали 44 моста на шоссейных дорогах и вырезали 35 километров телефонно-телеграфных проводов.</w:t>
      </w:r>
    </w:p>
    <w:p w14:paraId="28D3C4C1"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Латвийской ССР, в бою с немецким подразделением уничтожил 97 гитлеровцев. Захвачены трофеи и документы.</w:t>
      </w:r>
    </w:p>
    <w:p w14:paraId="5F2FD7A2"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венгерский солдат Андраш Пинтер рассказал: «После разгрома русскими 9 венгерской пехотной дивизии немцы перестали доверять венграм. Венгерские офицеры, начиная с командира батальона и выше, фактически отстранены от командных, должностей и заменены немцами. Венгерские офицеры только номинально числятся командирами, но они лишены каких бы то ни было прав и не могут ничего сделать без ведома и разрешения приставленных к ним немцев. Немецкое командование в первую очередь снабжает немецких солдат, часто за счёт продовольствия, предназначенного для венгерских солдат. Это ещё более обостряет вражду между немцами и венграми. Чувствуя, что нам не по пути с немцами, мы с группой солдат в количестве 50 человек сдались в плен русским».</w:t>
      </w:r>
    </w:p>
    <w:p w14:paraId="4970528B"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селе Россоши, Воронежской области: «С того дня, как немцы и их венгерские прислужники ворвались в село, для нас началась тяжёлая, невыносимая жизнь. Во всём сельсовете, нет ни одного человека, которого бы немецко-венгерские оккупанты не избили или не оскорбили. Бандиты убили многих жителей, отняли у крестьян всё имущество, сожгли 25 домов колхозников, среднюю школу и три начальные школы, больницу, родильный дом, баню, почту и другие общественные здания. Наше село стало неузнаваемым. Гитлеровцы разрушили и изгадили его. Доблестная Красная Армия спасла нас от фашистской неволи. Мы надеемся, что наши бойцы и командиры отомстят гитлеровским убийцам за наши мучения и очистят советскую землю о тфашистской мрази». Акт подписали: председатель Россошанского сельсовета Токманов, колхозницы Анна Валвенкова, Татьяна Терехова, Елена Батищева.» (15036).</w:t>
      </w:r>
    </w:p>
    <w:p w14:paraId="751B7F86" w14:textId="77777777" w:rsidR="00587ADC" w:rsidRPr="00D03F3E" w:rsidRDefault="00587ADC" w:rsidP="00D03F3E">
      <w:pPr>
        <w:spacing w:after="0" w:line="240" w:lineRule="auto"/>
        <w:jc w:val="both"/>
        <w:rPr>
          <w:rFonts w:ascii="Times New Roman" w:hAnsi="Times New Roman"/>
          <w:color w:val="000000" w:themeColor="text1"/>
          <w:sz w:val="16"/>
          <w:szCs w:val="16"/>
        </w:rPr>
      </w:pPr>
    </w:p>
    <w:p w14:paraId="3AF84080"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10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60CF3C0D"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февраля на Украине наши войска в результате упорных боёв овладели городом и железнодорожной станцией Волчанск, городом и железнодорожной станцией Чугуев, районным центром Печенеги, крупным населённым пунктом и железнодорожной станцией Белый Колодезь.</w:t>
      </w:r>
    </w:p>
    <w:p w14:paraId="093F987E"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побережье Азовского моря наши войска заняли районный центр и железнодорожную станцию Приморско-Ахтарская. Побережье Азовского моря на участкеот устья реки Дон до Приморско-Ахтарская полностью очищено от противника.</w:t>
      </w:r>
    </w:p>
    <w:p w14:paraId="67C9BE1D"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бои на прежних направлениях.</w:t>
      </w:r>
    </w:p>
    <w:p w14:paraId="418F3C0C"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февраля частями нашей авиации на различных участках фронта уничтожено или повреждено 10 немецких танков, до 120 автомашин с войсками и грузами, подавлен огонь 7 артиллерийских батарей, разбиты 3 железнодорожных эшелона, рассеяно и частью уничтожено до батальона пехоты противника.</w:t>
      </w:r>
    </w:p>
    <w:p w14:paraId="2EFF6636"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Ростова-на-Дону наши войска вели ожесточённые бои с противником. На одном участке Н-ская часть разгромила батальон вражеской мотопехоты, захватила трофеи и пленных. Подбито и сожжено 7 немецких танков. Бойцы другой нашей стрелковой части вышли на линию железной дороги Новочеркасск — Ростов и ведут бои с упорно обороняющимся противником.</w:t>
      </w:r>
    </w:p>
    <w:p w14:paraId="1700F4E5"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Краматорской наши войска вели наступательные бои. На одном участке при отражении контратак противника подбиты 9 танков, бронемашина и истреблено свыше 400 немецких солдат и офицеров. На другом участке наша моторизованная часть овладела пятью населёнными пунктами и захватила большие трофеи.</w:t>
      </w:r>
    </w:p>
    <w:p w14:paraId="1ABFAF6A"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Курска наши войска продолжали успешное наступление. Части Н-ского соединения, преследуя отступающего противника, заняли ряд населённых пунктов. По дополнительным данным, в районе города Тим бойцами Н-ской части захвачено 101 орудие, 33 миномёта, 72 пулемёта, 1.900 винтовок, 95 автоматов, 259 автомашин, 68 тысяч артиллерийских снарядов, 240 тысяч патронов, 85 километров телефонного кабеля и 17 разных складов. Взяты пленные.</w:t>
      </w:r>
    </w:p>
    <w:p w14:paraId="46B92E27"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наши войска вели наступательные бои и заняли несколько населённых пунктов. На ряде участков противник артиллерийским огнём и контратаками безуспешно пытался задержать продвижение наших частей. Все контратаки гитлеровцев отбиты. На станции Поныри нашими бойцами захвачены 18.000 авиабомб, склады с боеприпасами и другим военным имуществом.</w:t>
      </w:r>
    </w:p>
    <w:p w14:paraId="492C744C"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одном из районов Смоленской области, в конце января месяца вели бои с крупной карательной экспедицией гитлеровцев. Немцы бросили против партизан два батальона лыжников и подразделение эсэсовцев. В течение четырёх дней советские патриоты истребили более 300 вражеских солдат и офицеров и вынудили карателей отступить. Другой отряд смоленских партизан пустил под откос воинский эшелон противника. Разбиты паровоз и 10 вагонов с боеприпасами. Убито несколько солдат из охраны, сопровождавшей эшелон.</w:t>
      </w:r>
    </w:p>
    <w:p w14:paraId="49765130"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Гитлеровцы устроили кровавую резню в станице Рязанская, Краснодарского края. Фашистские мерзавцы расстреляли председателя колхоза «Путь Ильича» Федосью Лоричеву, колхозника Сергея Симоненко и его жену Наталью Симоненко, бригадира колхоза «Пламя революции» Гавриила Беланова и многих других мирных жителей. Всего немецко-фашистские оккупанты убили свыше 200 жителей станицы. Перед отступлением немцы намеревались сжечь станицу, но быстрое наступление КраснойАрмии сорвало их разбойничьи замыслы.</w:t>
      </w:r>
    </w:p>
    <w:p w14:paraId="5B158683"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Берлинское и будапештское радио 10 февраля распространяли следующее сообщение: «В районе Курска начались ожесточённые бои. Советское командование бросило несколько соединений к предместьям города Курска, но германским войскам удалось остановить их продвижение». Берлинские мошенники и их венгерские </w:t>
      </w:r>
      <w:r w:rsidRPr="00D03F3E">
        <w:rPr>
          <w:rFonts w:ascii="Times New Roman" w:hAnsi="Times New Roman"/>
          <w:color w:val="000000" w:themeColor="text1"/>
          <w:sz w:val="16"/>
          <w:szCs w:val="16"/>
        </w:rPr>
        <w:lastRenderedPageBreak/>
        <w:t>прислужники лгут без зазрения совести. Еще 8 февраля бои в предместьях Курска, а также в его окрестностях закончились полной победой частей Красной Армии и тяжёлым поражением немцев. Советские войска выбили немецко-фашистских захватчиков из Курска, заняли город и успешно продвигаются дальше на запад.</w:t>
      </w:r>
    </w:p>
    <w:p w14:paraId="63D634E4"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гитлеровцев имеются серьёзные основания скрывать от немецкого народа вести о положении дел на советско-немецком фронте. Окружение и ликвидация немецко-фашистских войск в районе Сталинграда произвели угнетающее впечатление на население Германии. Гитлеровские заправилы боятся сказать правду о новых крупных поражениях немецких войск на советско-германском фронте и без удержу лгут. Однако, как известно, на лжи далеко не уедешь.».</w:t>
      </w:r>
    </w:p>
    <w:p w14:paraId="2BB7FED9"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4CB89383"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города Волчанск и Чугуев.</w:t>
      </w:r>
    </w:p>
    <w:p w14:paraId="5FFFE9C5"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февраля на Украине наши войска в результате упорных боёв овладели городом и железнодорожной станцией Волчанск, городом и железнодорожной станцией Чугуев.».</w:t>
      </w:r>
    </w:p>
    <w:p w14:paraId="77B81AF5"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1943 году в системе Наркомата боеприпасов в городе Арсеньеве (Приморский край) основан машиностроительный завод “Аскольд” (1943). Завод был основан в военное время с целью выпуска боеприпасов для нужд фронта. После окончания Великой Отечественной войны, в 1946 г. предприятие было перепрофилировано на производство судовой запорно-регулирующей арматуры и передано Министерству судостроительной промышленности. В 1959 г., одновременно с увеличением объемов и расширением номенклатуры производства судовой арматуры, заводу было поручено освоение навигационных гирокомпасных систем. Уже в 1960 г. было начато их серийное изготовление. 25 июня 1966 г. Указом Президиума Верховного Совета СССР за выдающиеся заслуги в создании и производстве новой техники завод был награжден орденом Трудового Красного Знамени. С 1992 г. завод действует как многопрофильное машиностроительное предприятие с акционерной формой собственности (ОАО “Аскольд”). Сегодня “Аскольд” изготавливает: навигационные гирокомпасные системы “Курс–4М” и запасные части к ним, в том числе чувствительные элементы; судовую, нефтегазовую, пожарную и общепромышленную запорно-регулирующую арматуру высокого и низкого давления; навесные и прицепные сельскохозяйственные агрегаты; продукцию для предприятий топливно-энергетического комплекса, в том числе линейную и сцепную арматуру всех типоразмеров для воздушных линий электропередач; потребительские товары (15036).</w:t>
      </w:r>
    </w:p>
    <w:p w14:paraId="6CEF1486" w14:textId="77777777" w:rsidR="00587ADC" w:rsidRPr="00D03F3E" w:rsidRDefault="00587ADC" w:rsidP="00D03F3E">
      <w:pPr>
        <w:spacing w:after="0" w:line="240" w:lineRule="auto"/>
        <w:jc w:val="both"/>
        <w:rPr>
          <w:rFonts w:ascii="Times New Roman" w:hAnsi="Times New Roman"/>
          <w:color w:val="000000" w:themeColor="text1"/>
          <w:sz w:val="16"/>
          <w:szCs w:val="16"/>
        </w:rPr>
      </w:pPr>
    </w:p>
    <w:p w14:paraId="2AF34BB2"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10 февраля</w:t>
      </w:r>
      <w:r w:rsidRPr="00D03F3E">
        <w:rPr>
          <w:rFonts w:ascii="Times New Roman" w:hAnsi="Times New Roman"/>
          <w:color w:val="000000" w:themeColor="text1"/>
          <w:sz w:val="16"/>
          <w:szCs w:val="16"/>
        </w:rPr>
        <w:t xml:space="preserve"> в 1943 году Адольф Гитлер посетил немецкие войска в Запорожье. В это время советские войска пытались прорваться к городу и находились в 10-15 км от него (15036).</w:t>
      </w:r>
    </w:p>
    <w:p w14:paraId="52ABBE9C" w14:textId="77777777" w:rsidR="00587ADC" w:rsidRPr="00D03F3E" w:rsidRDefault="00587ADC" w:rsidP="00D03F3E">
      <w:pPr>
        <w:spacing w:after="0" w:line="240" w:lineRule="auto"/>
        <w:jc w:val="both"/>
        <w:rPr>
          <w:rFonts w:ascii="Times New Roman" w:hAnsi="Times New Roman"/>
          <w:color w:val="000000" w:themeColor="text1"/>
          <w:sz w:val="16"/>
          <w:szCs w:val="16"/>
        </w:rPr>
      </w:pPr>
    </w:p>
    <w:p w14:paraId="21BC436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4E73CE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DD4CAC" w14:textId="77777777" w:rsidR="005F1C83" w:rsidRPr="00D03F3E" w:rsidRDefault="005F1C8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10 февраля 1943 B-24D Liberator противолодочного командования ВВС США топит немецкую подводную лодку, по - видимому, U-519 , в северной части Атлантического океана - первую подводную лодку, потопленную командованием (20376).</w:t>
      </w:r>
    </w:p>
    <w:p w14:paraId="07D330A3" w14:textId="77777777" w:rsidR="005F1C83" w:rsidRPr="00D03F3E" w:rsidRDefault="005F1C83" w:rsidP="00D03F3E">
      <w:pPr>
        <w:spacing w:after="0" w:line="240" w:lineRule="auto"/>
        <w:jc w:val="both"/>
        <w:rPr>
          <w:rFonts w:ascii="Times New Roman" w:hAnsi="Times New Roman"/>
          <w:color w:val="0070C0"/>
          <w:sz w:val="16"/>
          <w:szCs w:val="16"/>
        </w:rPr>
      </w:pPr>
    </w:p>
    <w:p w14:paraId="4BBB0C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февраля 1943 в СА бримтанские войска вышли на границу Туниса (3907,241).</w:t>
      </w:r>
    </w:p>
    <w:p w14:paraId="61DA0E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5A7E0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февраля 1943 в Алжире разработана программа освобождения от колониализма - “Манифест алжирского народа” (4962).</w:t>
      </w:r>
    </w:p>
    <w:p w14:paraId="7BA213A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D80B1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февраля 1943 Махатма Ганди начал трехнедельную голодовку протеста против колониализма (4962).</w:t>
      </w:r>
    </w:p>
    <w:p w14:paraId="622D3D2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8FE0E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36B4C3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B0A8E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первой декаде февраля 1943 начались было летные испытания, но дело не залади</w:t>
      </w:r>
      <w:r w:rsidRPr="00D03F3E">
        <w:rPr>
          <w:rFonts w:ascii="Times New Roman" w:hAnsi="Times New Roman"/>
          <w:color w:val="000000" w:themeColor="text1"/>
          <w:sz w:val="16"/>
          <w:szCs w:val="16"/>
        </w:rPr>
        <w:softHyphen/>
        <w:t>лось: то плохо работал НБ-ЗУ, то — за</w:t>
      </w:r>
      <w:r w:rsidRPr="00D03F3E">
        <w:rPr>
          <w:rFonts w:ascii="Times New Roman" w:hAnsi="Times New Roman"/>
          <w:color w:val="000000" w:themeColor="text1"/>
          <w:sz w:val="16"/>
          <w:szCs w:val="16"/>
        </w:rPr>
        <w:softHyphen/>
        <w:t>жигание. А в конце месяца снова произошел гидроудар. Одновременно строился и второй Ла-5 с М-82ФНВ - «Дублер». Конст</w:t>
      </w:r>
      <w:r w:rsidRPr="00D03F3E">
        <w:rPr>
          <w:rFonts w:ascii="Times New Roman" w:hAnsi="Times New Roman"/>
          <w:color w:val="000000" w:themeColor="text1"/>
          <w:sz w:val="16"/>
          <w:szCs w:val="16"/>
        </w:rPr>
        <w:softHyphen/>
        <w:t>руктивно он отличался от первого: на нем стояли металлические лонжеро</w:t>
      </w:r>
      <w:r w:rsidRPr="00D03F3E">
        <w:rPr>
          <w:rFonts w:ascii="Times New Roman" w:hAnsi="Times New Roman"/>
          <w:color w:val="000000" w:themeColor="text1"/>
          <w:sz w:val="16"/>
          <w:szCs w:val="16"/>
        </w:rPr>
        <w:softHyphen/>
        <w:t>ны крыла вместо деревянных, что об</w:t>
      </w:r>
      <w:r w:rsidRPr="00D03F3E">
        <w:rPr>
          <w:rFonts w:ascii="Times New Roman" w:hAnsi="Times New Roman"/>
          <w:color w:val="000000" w:themeColor="text1"/>
          <w:sz w:val="16"/>
          <w:szCs w:val="16"/>
        </w:rPr>
        <w:softHyphen/>
        <w:t>легчило машину, новый улучшенный по рекомендации ЦАГИ всасывающий патрубок, а вместо серийного выхлоп</w:t>
      </w:r>
      <w:r w:rsidRPr="00D03F3E">
        <w:rPr>
          <w:rFonts w:ascii="Times New Roman" w:hAnsi="Times New Roman"/>
          <w:color w:val="000000" w:themeColor="text1"/>
          <w:sz w:val="16"/>
          <w:szCs w:val="16"/>
        </w:rPr>
        <w:softHyphen/>
        <w:t>ного коллектора - сдвоенные и стро</w:t>
      </w:r>
      <w:r w:rsidRPr="00D03F3E">
        <w:rPr>
          <w:rFonts w:ascii="Times New Roman" w:hAnsi="Times New Roman"/>
          <w:color w:val="000000" w:themeColor="text1"/>
          <w:sz w:val="16"/>
          <w:szCs w:val="16"/>
        </w:rPr>
        <w:softHyphen/>
        <w:t>енные индивидуальные выхлопные пат</w:t>
      </w:r>
      <w:r w:rsidRPr="00D03F3E">
        <w:rPr>
          <w:rFonts w:ascii="Times New Roman" w:hAnsi="Times New Roman"/>
          <w:color w:val="000000" w:themeColor="text1"/>
          <w:sz w:val="16"/>
          <w:szCs w:val="16"/>
        </w:rPr>
        <w:softHyphen/>
        <w:t>рубки, которые снизили потери ско</w:t>
      </w:r>
      <w:r w:rsidRPr="00D03F3E">
        <w:rPr>
          <w:rFonts w:ascii="Times New Roman" w:hAnsi="Times New Roman"/>
          <w:color w:val="000000" w:themeColor="text1"/>
          <w:sz w:val="16"/>
          <w:szCs w:val="16"/>
        </w:rPr>
        <w:softHyphen/>
        <w:t>ростного напора на всасывании и противодавление на выхлопе. После</w:t>
      </w:r>
      <w:r w:rsidRPr="00D03F3E">
        <w:rPr>
          <w:rFonts w:ascii="Times New Roman" w:hAnsi="Times New Roman"/>
          <w:color w:val="000000" w:themeColor="text1"/>
          <w:sz w:val="16"/>
          <w:szCs w:val="16"/>
        </w:rPr>
        <w:softHyphen/>
        <w:t>днее мероприятие было откликом на исследования падения мощности ВМГ, проведенные заводом №19 в октяб</w:t>
      </w:r>
      <w:r w:rsidRPr="00D03F3E">
        <w:rPr>
          <w:rFonts w:ascii="Times New Roman" w:hAnsi="Times New Roman"/>
          <w:color w:val="000000" w:themeColor="text1"/>
          <w:sz w:val="16"/>
          <w:szCs w:val="16"/>
        </w:rPr>
        <w:softHyphen/>
        <w:t>ре-декабре 1942 года. В них было констатировано, что серийный выхлоп</w:t>
      </w:r>
      <w:r w:rsidRPr="00D03F3E">
        <w:rPr>
          <w:rFonts w:ascii="Times New Roman" w:hAnsi="Times New Roman"/>
          <w:color w:val="000000" w:themeColor="text1"/>
          <w:sz w:val="16"/>
          <w:szCs w:val="16"/>
        </w:rPr>
        <w:softHyphen/>
        <w:t>ной коллектор Ла-5 «съедает» 1,5-3%, а на режиме взлета — до 5% мощ</w:t>
      </w:r>
      <w:r w:rsidRPr="00D03F3E">
        <w:rPr>
          <w:rFonts w:ascii="Times New Roman" w:hAnsi="Times New Roman"/>
          <w:color w:val="000000" w:themeColor="text1"/>
          <w:sz w:val="16"/>
          <w:szCs w:val="16"/>
        </w:rPr>
        <w:softHyphen/>
        <w:t>ности. «Дублер» быстро догнал по готовности 1-й экземпляр, а потом и обо</w:t>
      </w:r>
      <w:r w:rsidRPr="00D03F3E">
        <w:rPr>
          <w:rFonts w:ascii="Times New Roman" w:hAnsi="Times New Roman"/>
          <w:color w:val="000000" w:themeColor="text1"/>
          <w:sz w:val="16"/>
          <w:szCs w:val="16"/>
        </w:rPr>
        <w:softHyphen/>
        <w:t>гнал его. 22-24 марта 1943 года лет</w:t>
      </w:r>
      <w:r w:rsidRPr="00D03F3E">
        <w:rPr>
          <w:rFonts w:ascii="Times New Roman" w:hAnsi="Times New Roman"/>
          <w:color w:val="000000" w:themeColor="text1"/>
          <w:sz w:val="16"/>
          <w:szCs w:val="16"/>
        </w:rPr>
        <w:softHyphen/>
        <w:t>чик-испытатель майор Г.А. Мищенко провел краткие заводские испытания «Дублера». Результат был тот, кото</w:t>
      </w:r>
      <w:r w:rsidRPr="00D03F3E">
        <w:rPr>
          <w:rFonts w:ascii="Times New Roman" w:hAnsi="Times New Roman"/>
          <w:color w:val="000000" w:themeColor="text1"/>
          <w:sz w:val="16"/>
          <w:szCs w:val="16"/>
        </w:rPr>
        <w:softHyphen/>
        <w:t>рого все ждали: максимальная ско</w:t>
      </w:r>
      <w:r w:rsidRPr="00D03F3E">
        <w:rPr>
          <w:rFonts w:ascii="Times New Roman" w:hAnsi="Times New Roman"/>
          <w:color w:val="000000" w:themeColor="text1"/>
          <w:sz w:val="16"/>
          <w:szCs w:val="16"/>
        </w:rPr>
        <w:softHyphen/>
        <w:t>рость у земли на номинале - 563, на форсаже - 598 км/ч, на 2-й границе высотности 6000 м - 650 км/ч. Сроч</w:t>
      </w:r>
      <w:r w:rsidRPr="00D03F3E">
        <w:rPr>
          <w:rFonts w:ascii="Times New Roman" w:hAnsi="Times New Roman"/>
          <w:color w:val="000000" w:themeColor="text1"/>
          <w:sz w:val="16"/>
          <w:szCs w:val="16"/>
        </w:rPr>
        <w:softHyphen/>
        <w:t>но в Горький был командирован от НИИ ВВС летчик-испытатель-инженер А.И. Никашин, который с 3 по 20 ап</w:t>
      </w:r>
      <w:r w:rsidRPr="00D03F3E">
        <w:rPr>
          <w:rFonts w:ascii="Times New Roman" w:hAnsi="Times New Roman"/>
          <w:color w:val="000000" w:themeColor="text1"/>
          <w:sz w:val="16"/>
          <w:szCs w:val="16"/>
        </w:rPr>
        <w:softHyphen/>
        <w:t>реля провел контрольные испытания и подтвердил полученные ранее циф</w:t>
      </w:r>
      <w:r w:rsidRPr="00D03F3E">
        <w:rPr>
          <w:rFonts w:ascii="Times New Roman" w:hAnsi="Times New Roman"/>
          <w:color w:val="000000" w:themeColor="text1"/>
          <w:sz w:val="16"/>
          <w:szCs w:val="16"/>
        </w:rPr>
        <w:softHyphen/>
        <w:t>ры: максимальная скорость у земли на номинале - 562 и на форсаже -595 км/ч, на 2-й границе высотности 6300 м - 648 км/ч, время набора 5000 м - 4,7 мин. Эти данные позволили А.И. Шахурину отказаться и от производства И-185, и от производства М-71, тем более что 5 апреля 1943 года другой опытный И-185 с М-71 потерпел ка</w:t>
      </w:r>
      <w:r w:rsidRPr="00D03F3E">
        <w:rPr>
          <w:rFonts w:ascii="Times New Roman" w:hAnsi="Times New Roman"/>
          <w:color w:val="000000" w:themeColor="text1"/>
          <w:sz w:val="16"/>
          <w:szCs w:val="16"/>
        </w:rPr>
        <w:softHyphen/>
        <w:t>тастрофу из-за отказа мотора при посадке - засорился жиклер карбю</w:t>
      </w:r>
      <w:r w:rsidRPr="00D03F3E">
        <w:rPr>
          <w:rFonts w:ascii="Times New Roman" w:hAnsi="Times New Roman"/>
          <w:color w:val="000000" w:themeColor="text1"/>
          <w:sz w:val="16"/>
          <w:szCs w:val="16"/>
        </w:rPr>
        <w:softHyphen/>
        <w:t>ратора (погиб летчик-испытатель В.А. Степанченок). И хотя в 1943 году те</w:t>
      </w:r>
      <w:r w:rsidRPr="00D03F3E">
        <w:rPr>
          <w:rFonts w:ascii="Times New Roman" w:hAnsi="Times New Roman"/>
          <w:color w:val="000000" w:themeColor="text1"/>
          <w:sz w:val="16"/>
          <w:szCs w:val="16"/>
        </w:rPr>
        <w:softHyphen/>
        <w:t>перь уже ОКБ Лавочкина построило модификацию Ла-5 с форсированным М-71Ф, работы по этой машине про</w:t>
      </w:r>
      <w:r w:rsidRPr="00D03F3E">
        <w:rPr>
          <w:rFonts w:ascii="Times New Roman" w:hAnsi="Times New Roman"/>
          <w:color w:val="000000" w:themeColor="text1"/>
          <w:sz w:val="16"/>
          <w:szCs w:val="16"/>
        </w:rPr>
        <w:softHyphen/>
        <w:t>ходили неспешно и в 1944 году пре</w:t>
      </w:r>
      <w:r w:rsidRPr="00D03F3E">
        <w:rPr>
          <w:rFonts w:ascii="Times New Roman" w:hAnsi="Times New Roman"/>
          <w:color w:val="000000" w:themeColor="text1"/>
          <w:sz w:val="16"/>
          <w:szCs w:val="16"/>
        </w:rPr>
        <w:softHyphen/>
        <w:t>кратились вовсе (10705).</w:t>
      </w:r>
    </w:p>
    <w:p w14:paraId="474BB28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0CC95F" w14:textId="77777777" w:rsidR="00587ADC" w:rsidRPr="00D03F3E" w:rsidRDefault="00587ADC"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первой декаде февраля 1943 начались было лётные ис</w:t>
      </w:r>
      <w:r w:rsidRPr="00D03F3E">
        <w:rPr>
          <w:rFonts w:ascii="Times New Roman" w:cs="Times New Roman"/>
          <w:color w:val="000000" w:themeColor="text1"/>
          <w:spacing w:val="0"/>
        </w:rPr>
        <w:softHyphen/>
        <w:t>пытания облегченного Ла-5, который оснастили мотором М-82ФНВ, но дело не заладилось: то плохо работал НБ-ЗУ, то — зажигание. А в конце месяца снова произошел гидроудар (15813).</w:t>
      </w:r>
    </w:p>
    <w:p w14:paraId="0B9623AC" w14:textId="77777777" w:rsidR="00587ADC" w:rsidRPr="00D03F3E" w:rsidRDefault="00587ADC" w:rsidP="00D03F3E">
      <w:pPr>
        <w:pStyle w:val="27"/>
        <w:shd w:val="clear" w:color="auto" w:fill="auto"/>
        <w:spacing w:after="0" w:line="240" w:lineRule="auto"/>
        <w:ind w:firstLine="0"/>
        <w:rPr>
          <w:rFonts w:ascii="Times New Roman" w:cs="Times New Roman"/>
          <w:color w:val="000000" w:themeColor="text1"/>
          <w:spacing w:val="0"/>
        </w:rPr>
      </w:pPr>
    </w:p>
    <w:p w14:paraId="19E32F04"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3B8F62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BEDA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1943 вышел приказ НКАП N 89сс во исполнение постановления ГКО N 7 февраля 1943 N 2841:</w:t>
      </w:r>
    </w:p>
    <w:p w14:paraId="62DF3B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ГК самолета Ил-2 С.В.И. до окончательной отработки самолета-корректировщика приспособить существующий 2-х местный самолет Ил-2 с АМ-38Ф, установив рацию РСБ и фотоустановку.</w:t>
      </w:r>
    </w:p>
    <w:p w14:paraId="28EC61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Нач. 10 ГУ Тарасевичу и директорам заводов 1 Третьякову и 30 Шапиро произвести выпуск самолетов Ил-2 - корректировщиков по чертежам ГК С.В.И. с установкой рации РСБ и фотоустановкой в следующие сроки: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860B4B" w:rsidRPr="00D03F3E" w14:paraId="3D52C864" w14:textId="77777777">
        <w:tc>
          <w:tcPr>
            <w:tcW w:w="2254" w:type="dxa"/>
          </w:tcPr>
          <w:p w14:paraId="0F7625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27D2C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заводе 1</w:t>
            </w:r>
          </w:p>
        </w:tc>
        <w:tc>
          <w:tcPr>
            <w:tcW w:w="2254" w:type="dxa"/>
          </w:tcPr>
          <w:p w14:paraId="57178B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заводе 30</w:t>
            </w:r>
          </w:p>
        </w:tc>
      </w:tr>
      <w:tr w:rsidR="00860B4B" w:rsidRPr="00D03F3E" w14:paraId="495F3638" w14:textId="77777777">
        <w:tc>
          <w:tcPr>
            <w:tcW w:w="2254" w:type="dxa"/>
          </w:tcPr>
          <w:p w14:paraId="2BDE88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w:t>
            </w:r>
          </w:p>
        </w:tc>
        <w:tc>
          <w:tcPr>
            <w:tcW w:w="2254" w:type="dxa"/>
          </w:tcPr>
          <w:p w14:paraId="1324D7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254" w:type="dxa"/>
          </w:tcPr>
          <w:p w14:paraId="076F06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r>
      <w:tr w:rsidR="00860B4B" w:rsidRPr="00D03F3E" w14:paraId="40035666" w14:textId="77777777">
        <w:tc>
          <w:tcPr>
            <w:tcW w:w="2254" w:type="dxa"/>
          </w:tcPr>
          <w:p w14:paraId="64AFDE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w:t>
            </w:r>
          </w:p>
        </w:tc>
        <w:tc>
          <w:tcPr>
            <w:tcW w:w="2254" w:type="dxa"/>
          </w:tcPr>
          <w:p w14:paraId="49F224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c>
          <w:tcPr>
            <w:tcW w:w="2254" w:type="dxa"/>
          </w:tcPr>
          <w:p w14:paraId="69821F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r>
      <w:tr w:rsidR="00860B4B" w:rsidRPr="00D03F3E" w14:paraId="00965509" w14:textId="77777777">
        <w:tc>
          <w:tcPr>
            <w:tcW w:w="2254" w:type="dxa"/>
          </w:tcPr>
          <w:p w14:paraId="5B165F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w:t>
            </w:r>
          </w:p>
        </w:tc>
        <w:tc>
          <w:tcPr>
            <w:tcW w:w="2254" w:type="dxa"/>
          </w:tcPr>
          <w:p w14:paraId="0464E4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tc>
        <w:tc>
          <w:tcPr>
            <w:tcW w:w="2254" w:type="dxa"/>
          </w:tcPr>
          <w:p w14:paraId="2DAA7D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tc>
      </w:tr>
      <w:tr w:rsidR="00860B4B" w:rsidRPr="00D03F3E" w14:paraId="75FAE574" w14:textId="77777777">
        <w:tc>
          <w:tcPr>
            <w:tcW w:w="2254" w:type="dxa"/>
          </w:tcPr>
          <w:p w14:paraId="2248EE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w:t>
            </w:r>
          </w:p>
        </w:tc>
        <w:tc>
          <w:tcPr>
            <w:tcW w:w="2254" w:type="dxa"/>
          </w:tcPr>
          <w:p w14:paraId="62E3E9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tc>
        <w:tc>
          <w:tcPr>
            <w:tcW w:w="2254" w:type="dxa"/>
          </w:tcPr>
          <w:p w14:paraId="5C7E57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tc>
      </w:tr>
      <w:tr w:rsidR="00860B4B" w:rsidRPr="00D03F3E" w14:paraId="6D5F1C08" w14:textId="77777777">
        <w:tc>
          <w:tcPr>
            <w:tcW w:w="2254" w:type="dxa"/>
          </w:tcPr>
          <w:p w14:paraId="354183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w:t>
            </w:r>
          </w:p>
        </w:tc>
        <w:tc>
          <w:tcPr>
            <w:tcW w:w="2254" w:type="dxa"/>
          </w:tcPr>
          <w:p w14:paraId="2D6883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tc>
        <w:tc>
          <w:tcPr>
            <w:tcW w:w="2254" w:type="dxa"/>
          </w:tcPr>
          <w:p w14:paraId="1D8E0B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tc>
      </w:tr>
    </w:tbl>
    <w:p w14:paraId="74C354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ГК С.В.И. предусмотреть в модифицируемом на основании постановления ГКО от 25 сентября 1942 N 2347сс (приказ НКАП N 732 от 29 сентября 1942) самолете Ил-2 с АМ-38Ф установку:</w:t>
      </w:r>
    </w:p>
    <w:p w14:paraId="04A078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радиостанции типа РСБ и СПУ</w:t>
      </w:r>
    </w:p>
    <w:p w14:paraId="1B340E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фотоаппарат АФА-1</w:t>
      </w:r>
    </w:p>
    <w:p w14:paraId="37248B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навигационные приборы</w:t>
      </w:r>
    </w:p>
    <w:p w14:paraId="100E0F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Опытный образец самолета-корректировщика выпустить и подготовить к испытаниям 15 марта 1943 (1699,196).</w:t>
      </w:r>
    </w:p>
    <w:p w14:paraId="067A99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699480" w14:textId="77777777" w:rsidR="00170B5B" w:rsidRPr="00D03F3E" w:rsidRDefault="00170B5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До 11 февраля 1943 продолжались пспытания одного из наиболее доведенных по вооружению самолетов Ил-2 (зав. № 301379) с 2 37-мм пушками 11П, который официально был принят для прохождения полигонных испытаний в НИП АВ ВВС 26 января 1943 г., но отчет по результатам испытаний был утвержден главным инженером ВВС КА генерал-лейтенантом А. К. Репиным только 2 апреля. На следующий день материалы отчета были направлены в заинтересо</w:t>
      </w:r>
      <w:r w:rsidRPr="00D03F3E">
        <w:rPr>
          <w:color w:val="000000" w:themeColor="text1"/>
          <w:sz w:val="16"/>
          <w:szCs w:val="16"/>
        </w:rPr>
        <w:softHyphen/>
        <w:t>ванные организации: начальнику 7-го ГУ НКАП, на</w:t>
      </w:r>
      <w:r w:rsidRPr="00D03F3E">
        <w:rPr>
          <w:color w:val="000000" w:themeColor="text1"/>
          <w:sz w:val="16"/>
          <w:szCs w:val="16"/>
        </w:rPr>
        <w:softHyphen/>
        <w:t>чальнику ГУЗ ВВС, главным конструкторам ОКБ-16 и ОКБ-240, директорам и военпредам заводов № 18 и № 30, в Технический совет НКВ.</w:t>
      </w:r>
    </w:p>
    <w:p w14:paraId="7572B0FD" w14:textId="77777777" w:rsidR="00170B5B" w:rsidRPr="00D03F3E" w:rsidRDefault="00170B5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Самолет испытывался специалистами 1-го отдела полигона под руководством инженер-пол</w:t>
      </w:r>
      <w:r w:rsidRPr="00D03F3E">
        <w:rPr>
          <w:color w:val="000000" w:themeColor="text1"/>
          <w:sz w:val="16"/>
          <w:szCs w:val="16"/>
        </w:rPr>
        <w:softHyphen/>
        <w:t>ковника Филиппова. Ведущим инженером по ис</w:t>
      </w:r>
      <w:r w:rsidRPr="00D03F3E">
        <w:rPr>
          <w:color w:val="000000" w:themeColor="text1"/>
          <w:sz w:val="16"/>
          <w:szCs w:val="16"/>
        </w:rPr>
        <w:softHyphen/>
        <w:t>пытаниям был назначен инженер-майор С. В. Не</w:t>
      </w:r>
      <w:r w:rsidRPr="00D03F3E">
        <w:rPr>
          <w:color w:val="000000" w:themeColor="text1"/>
          <w:sz w:val="16"/>
          <w:szCs w:val="16"/>
        </w:rPr>
        <w:softHyphen/>
        <w:t>смеянов, помощником ведущего инженера — старший техник-лейтенант А. Г. Губин, ведущим летчиком — майор Н. И. Звонарев. От промыш</w:t>
      </w:r>
      <w:r w:rsidRPr="00D03F3E">
        <w:rPr>
          <w:color w:val="000000" w:themeColor="text1"/>
          <w:sz w:val="16"/>
          <w:szCs w:val="16"/>
        </w:rPr>
        <w:softHyphen/>
        <w:t>ленности в испытаниях участвовали: начальник ОКБ-16 А. Э. Нудельман, начальник сборочного цеха ОКБ-16 Д. Ф. Исаков, конструктор ОКБ-240 С. А.</w:t>
      </w:r>
    </w:p>
    <w:p w14:paraId="4BFCC67B" w14:textId="77777777" w:rsidR="00170B5B" w:rsidRPr="00D03F3E" w:rsidRDefault="00170B5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 самолете были установлены пушки 11П зав. № 558 (левая) и № 547 (правая), изготовленные за</w:t>
      </w:r>
      <w:r w:rsidRPr="00D03F3E">
        <w:rPr>
          <w:color w:val="000000" w:themeColor="text1"/>
          <w:sz w:val="16"/>
          <w:szCs w:val="16"/>
        </w:rPr>
        <w:softHyphen/>
        <w:t>водом № 74 НКВ. Боекомплект к пушкам включал 110 снарядов, стрелковый прицел — ВВ-1, лента — рассыпное звено. Управление огнем пневматиче</w:t>
      </w:r>
      <w:r w:rsidRPr="00D03F3E">
        <w:rPr>
          <w:color w:val="000000" w:themeColor="text1"/>
          <w:sz w:val="16"/>
          <w:szCs w:val="16"/>
        </w:rPr>
        <w:softHyphen/>
        <w:t>ское с механическим дублером от гашетки, рас</w:t>
      </w:r>
      <w:r w:rsidRPr="00D03F3E">
        <w:rPr>
          <w:color w:val="000000" w:themeColor="text1"/>
          <w:sz w:val="16"/>
          <w:szCs w:val="16"/>
        </w:rPr>
        <w:softHyphen/>
        <w:t xml:space="preserve">положенной на ручке управления </w:t>
      </w:r>
      <w:r w:rsidRPr="00D03F3E">
        <w:rPr>
          <w:color w:val="000000" w:themeColor="text1"/>
          <w:sz w:val="16"/>
          <w:szCs w:val="16"/>
        </w:rPr>
        <w:lastRenderedPageBreak/>
        <w:t>самолетом. При отклонении гашетки на 10—12 мм работает пнев- моспуск. При дальнейшем ее отклонении включа</w:t>
      </w:r>
      <w:r w:rsidRPr="00D03F3E">
        <w:rPr>
          <w:color w:val="000000" w:themeColor="text1"/>
          <w:sz w:val="16"/>
          <w:szCs w:val="16"/>
        </w:rPr>
        <w:softHyphen/>
        <w:t>ется механический спуск. Стрельба одновременная. Перезарядка пушек — пневматическая от баллона с воздухом под давлением 150 атм. через понижа</w:t>
      </w:r>
      <w:r w:rsidRPr="00D03F3E">
        <w:rPr>
          <w:color w:val="000000" w:themeColor="text1"/>
          <w:sz w:val="16"/>
          <w:szCs w:val="16"/>
        </w:rPr>
        <w:softHyphen/>
        <w:t>ющий редуктор до 35 атм.</w:t>
      </w:r>
    </w:p>
    <w:p w14:paraId="3B573E2A" w14:textId="77777777" w:rsidR="00170B5B" w:rsidRPr="00D03F3E" w:rsidRDefault="00170B5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Пушки крепились на 2 точках. Сила отдачи при стрельбе воспринималась передним креплением. Регулировка установки производилась наружными втулками заднего крепления. Гильзы и звенья не собирались и выбрасывались наружу.</w:t>
      </w:r>
    </w:p>
    <w:p w14:paraId="1CF8B72A" w14:textId="77777777" w:rsidR="00170B5B" w:rsidRPr="00D03F3E" w:rsidRDefault="00170B5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испытаний проверялась прочность кре</w:t>
      </w:r>
      <w:r w:rsidRPr="00D03F3E">
        <w:rPr>
          <w:color w:val="000000" w:themeColor="text1"/>
          <w:sz w:val="16"/>
          <w:szCs w:val="16"/>
        </w:rPr>
        <w:softHyphen/>
        <w:t>пления пушек и проводилась оценка влияния стрельбы из пушек на материальную часть само</w:t>
      </w:r>
      <w:r w:rsidRPr="00D03F3E">
        <w:rPr>
          <w:color w:val="000000" w:themeColor="text1"/>
          <w:sz w:val="16"/>
          <w:szCs w:val="16"/>
        </w:rPr>
        <w:softHyphen/>
        <w:t>лета. Стрельба велась на земле и в воздухе по на</w:t>
      </w:r>
      <w:r w:rsidRPr="00D03F3E">
        <w:rPr>
          <w:color w:val="000000" w:themeColor="text1"/>
          <w:sz w:val="16"/>
          <w:szCs w:val="16"/>
        </w:rPr>
        <w:softHyphen/>
        <w:t>земным целям одиночными выстрелами и очере</w:t>
      </w:r>
      <w:r w:rsidRPr="00D03F3E">
        <w:rPr>
          <w:color w:val="000000" w:themeColor="text1"/>
          <w:sz w:val="16"/>
          <w:szCs w:val="16"/>
        </w:rPr>
        <w:softHyphen/>
        <w:t>дями. При стрельбах определялась работа автома</w:t>
      </w:r>
      <w:r w:rsidRPr="00D03F3E">
        <w:rPr>
          <w:color w:val="000000" w:themeColor="text1"/>
          <w:sz w:val="16"/>
          <w:szCs w:val="16"/>
        </w:rPr>
        <w:softHyphen/>
        <w:t>тики пушек «на земле и в воздухе при различных режимах полета самолета», а также «рассеивание и возможность ведения прицельной стрельбы как при одной, так и при двух работающих пуш</w:t>
      </w:r>
      <w:r w:rsidRPr="00D03F3E">
        <w:rPr>
          <w:color w:val="000000" w:themeColor="text1"/>
          <w:sz w:val="16"/>
          <w:szCs w:val="16"/>
        </w:rPr>
        <w:softHyphen/>
        <w:t>ках». Кроме того, оценивались эксплуатационные характеристики пушек и их установок в полете и удобство действия ими как на земле, так и в воз</w:t>
      </w:r>
      <w:r w:rsidRPr="00D03F3E">
        <w:rPr>
          <w:color w:val="000000" w:themeColor="text1"/>
          <w:sz w:val="16"/>
          <w:szCs w:val="16"/>
        </w:rPr>
        <w:softHyphen/>
        <w:t>духе: «постановка, снятие, зарядка, разрядка, чистка, перезарядка, устранение задержек и при</w:t>
      </w:r>
      <w:r w:rsidRPr="00D03F3E">
        <w:rPr>
          <w:color w:val="000000" w:themeColor="text1"/>
          <w:sz w:val="16"/>
          <w:szCs w:val="16"/>
        </w:rPr>
        <w:softHyphen/>
        <w:t>стрелка».</w:t>
      </w:r>
    </w:p>
    <w:p w14:paraId="0C977AF0" w14:textId="77777777" w:rsidR="00170B5B" w:rsidRPr="00D03F3E" w:rsidRDefault="00170B5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9 полетах было выполнено 720 выстрелов. Боекомплект к пушкам полностью был отстрелян только в одном полете. Еще 596 выстрелов было сделано на земле. При стрельбах в общей сложно</w:t>
      </w:r>
      <w:r w:rsidRPr="00D03F3E">
        <w:rPr>
          <w:color w:val="000000" w:themeColor="text1"/>
          <w:sz w:val="16"/>
          <w:szCs w:val="16"/>
        </w:rPr>
        <w:softHyphen/>
        <w:t>сти произошло 23 задержки, в том числе 12 — по вине автоматики, 5 — по вине звена, еще 5 — по вине установки, 1 — по неустановленным причи</w:t>
      </w:r>
      <w:r w:rsidRPr="00D03F3E">
        <w:rPr>
          <w:color w:val="000000" w:themeColor="text1"/>
          <w:sz w:val="16"/>
          <w:szCs w:val="16"/>
        </w:rPr>
        <w:softHyphen/>
        <w:t>нам. Из этого числа 5 задержек оказались неустра</w:t>
      </w:r>
      <w:r w:rsidRPr="00D03F3E">
        <w:rPr>
          <w:color w:val="000000" w:themeColor="text1"/>
          <w:sz w:val="16"/>
          <w:szCs w:val="16"/>
        </w:rPr>
        <w:softHyphen/>
        <w:t>нимыми в воздухе. Произошло 3 поломки, замени</w:t>
      </w:r>
      <w:r w:rsidRPr="00D03F3E">
        <w:rPr>
          <w:color w:val="000000" w:themeColor="text1"/>
          <w:sz w:val="16"/>
          <w:szCs w:val="16"/>
        </w:rPr>
        <w:softHyphen/>
        <w:t>ли 4 детали. Причем почти все задержки и поломки произошли на пушке зав. № 547, которая дала 1,5% отказов в работе. После замены деталей и устране</w:t>
      </w:r>
      <w:r w:rsidRPr="00D03F3E">
        <w:rPr>
          <w:color w:val="000000" w:themeColor="text1"/>
          <w:sz w:val="16"/>
          <w:szCs w:val="16"/>
        </w:rPr>
        <w:softHyphen/>
        <w:t>ния дефектов пушка работала вполне удовлетвори</w:t>
      </w:r>
      <w:r w:rsidRPr="00D03F3E">
        <w:rPr>
          <w:color w:val="000000" w:themeColor="text1"/>
          <w:sz w:val="16"/>
          <w:szCs w:val="16"/>
        </w:rPr>
        <w:softHyphen/>
        <w:t>тельно, показав 0,15% задержек, столько же, сколь</w:t>
      </w:r>
      <w:r w:rsidRPr="00D03F3E">
        <w:rPr>
          <w:color w:val="000000" w:themeColor="text1"/>
          <w:sz w:val="16"/>
          <w:szCs w:val="16"/>
        </w:rPr>
        <w:softHyphen/>
        <w:t>ко и пушка зав. № 558.</w:t>
      </w:r>
    </w:p>
    <w:p w14:paraId="2A53F0E7" w14:textId="77777777" w:rsidR="00170B5B" w:rsidRPr="00D03F3E" w:rsidRDefault="00170B5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Стрельба в воздухе производилась при гори</w:t>
      </w:r>
      <w:r w:rsidRPr="00D03F3E">
        <w:rPr>
          <w:color w:val="000000" w:themeColor="text1"/>
          <w:sz w:val="16"/>
          <w:szCs w:val="16"/>
        </w:rPr>
        <w:softHyphen/>
        <w:t>зонтальном полете и с пикирования с 500 м под углом 30—40° и виражей — короткими очередями по 3—5 выстрелов.</w:t>
      </w:r>
    </w:p>
    <w:p w14:paraId="714D8BBB" w14:textId="77777777" w:rsidR="00170B5B" w:rsidRPr="00D03F3E" w:rsidRDefault="00170B5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Средний темп стрельбы «пушек серийного изго</w:t>
      </w:r>
      <w:r w:rsidRPr="00D03F3E">
        <w:rPr>
          <w:color w:val="000000" w:themeColor="text1"/>
          <w:sz w:val="16"/>
          <w:szCs w:val="16"/>
        </w:rPr>
        <w:softHyphen/>
        <w:t>товления» оказался ниже на 35 выстр./мин по срав</w:t>
      </w:r>
      <w:r w:rsidRPr="00D03F3E">
        <w:rPr>
          <w:color w:val="000000" w:themeColor="text1"/>
          <w:sz w:val="16"/>
          <w:szCs w:val="16"/>
        </w:rPr>
        <w:softHyphen/>
        <w:t>нению с результатом, показанным опытной пушкой 11П, «испытанной в НИП АВ (исх. 0319 от 23.9.42)». От ОКБ-16 и завода № 74 НКВ требовалось поднять темп стрельбы до 292 выстр./мин.</w:t>
      </w:r>
    </w:p>
    <w:p w14:paraId="46F67F84" w14:textId="77777777" w:rsidR="00170B5B" w:rsidRPr="00D03F3E" w:rsidRDefault="00170B5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заключению ведущего летчика-испытате</w:t>
      </w:r>
      <w:r w:rsidRPr="00D03F3E">
        <w:rPr>
          <w:color w:val="000000" w:themeColor="text1"/>
          <w:sz w:val="16"/>
          <w:szCs w:val="16"/>
        </w:rPr>
        <w:softHyphen/>
        <w:t>ля майора Н. И. Звонарева от 17 февраля 1943 г., «отдача на самолет не отличается от отдачи при стрельбе из пушек ОКБ-15». Отказ одной из пушек «уводит сильно самолет при стрельбе в сторону работающей пушки». При этом «ногой парировать можно, но прицельную стрельбу с прицелом ВВ-1 вести очень трудно, особенно тяжело будет для мо</w:t>
      </w:r>
      <w:r w:rsidRPr="00D03F3E">
        <w:rPr>
          <w:color w:val="000000" w:themeColor="text1"/>
          <w:sz w:val="16"/>
          <w:szCs w:val="16"/>
        </w:rPr>
        <w:softHyphen/>
        <w:t>лодого не натренированного летного состава».</w:t>
      </w:r>
    </w:p>
    <w:p w14:paraId="7986CB15" w14:textId="77777777" w:rsidR="00170B5B" w:rsidRPr="00D03F3E" w:rsidRDefault="00170B5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Звонарев считал, что «для самолета Ил-2, воору</w:t>
      </w:r>
      <w:r w:rsidRPr="00D03F3E">
        <w:rPr>
          <w:color w:val="000000" w:themeColor="text1"/>
          <w:sz w:val="16"/>
          <w:szCs w:val="16"/>
        </w:rPr>
        <w:softHyphen/>
        <w:t>женного пушками 37 мм, целесообразно поставить прицел ПБП-1б, где не требуется совмещать точки прицеливания». Боекомплект 55 снарядов на каж</w:t>
      </w:r>
      <w:r w:rsidRPr="00D03F3E">
        <w:rPr>
          <w:color w:val="000000" w:themeColor="text1"/>
          <w:sz w:val="16"/>
          <w:szCs w:val="16"/>
        </w:rPr>
        <w:softHyphen/>
        <w:t>дую пушку был вполне достаточным. Предлагалось «просить главного конструктора убрать пушки в крыло, возможность есть полная». Кроме того, «гашетки пневмоперезарядки необходимо перене</w:t>
      </w:r>
      <w:r w:rsidRPr="00D03F3E">
        <w:rPr>
          <w:color w:val="000000" w:themeColor="text1"/>
          <w:sz w:val="16"/>
          <w:szCs w:val="16"/>
        </w:rPr>
        <w:softHyphen/>
        <w:t>сти на левую сторону, так как на небольших высо</w:t>
      </w:r>
      <w:r w:rsidRPr="00D03F3E">
        <w:rPr>
          <w:color w:val="000000" w:themeColor="text1"/>
          <w:sz w:val="16"/>
          <w:szCs w:val="16"/>
        </w:rPr>
        <w:softHyphen/>
        <w:t>тах при стрельбе и отказах молодой летный состав не сможет перезарядить пушки (при перезарядке пушек летчик был вынужден брать штурвал в ле</w:t>
      </w:r>
      <w:r w:rsidRPr="00D03F3E">
        <w:rPr>
          <w:color w:val="000000" w:themeColor="text1"/>
          <w:sz w:val="16"/>
          <w:szCs w:val="16"/>
        </w:rPr>
        <w:softHyphen/>
        <w:t>вую руку. —</w:t>
      </w:r>
      <w:r w:rsidRPr="00D03F3E">
        <w:rPr>
          <w:rStyle w:val="BodytextItalic"/>
          <w:color w:val="000000" w:themeColor="text1"/>
          <w:sz w:val="16"/>
          <w:szCs w:val="16"/>
        </w:rPr>
        <w:t xml:space="preserve"> Авт.)».</w:t>
      </w:r>
    </w:p>
    <w:p w14:paraId="4329E68E" w14:textId="77777777" w:rsidR="00170B5B" w:rsidRPr="00D03F3E" w:rsidRDefault="00170B5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выводах отчета по испытаниям указывалось, что «применение 37-мм пушек под плоскостями Ил-2 возможно. Самолет допускает пилотирова</w:t>
      </w:r>
      <w:r w:rsidRPr="00D03F3E">
        <w:rPr>
          <w:color w:val="000000" w:themeColor="text1"/>
          <w:sz w:val="16"/>
          <w:szCs w:val="16"/>
        </w:rPr>
        <w:softHyphen/>
        <w:t>ние на всех режимах полета и ведение прицель</w:t>
      </w:r>
      <w:r w:rsidRPr="00D03F3E">
        <w:rPr>
          <w:color w:val="000000" w:themeColor="text1"/>
          <w:sz w:val="16"/>
          <w:szCs w:val="16"/>
        </w:rPr>
        <w:softHyphen/>
        <w:t>ной стрельбы с пикирования и бреющего полета. Производство стрельбы наиболее целесообразно очередями по 3—4 выстрела, так как при боль</w:t>
      </w:r>
      <w:r w:rsidRPr="00D03F3E">
        <w:rPr>
          <w:color w:val="000000" w:themeColor="text1"/>
          <w:sz w:val="16"/>
          <w:szCs w:val="16"/>
        </w:rPr>
        <w:softHyphen/>
        <w:t>ших очередях самолет сбивается с точки прице</w:t>
      </w:r>
      <w:r w:rsidRPr="00D03F3E">
        <w:rPr>
          <w:color w:val="000000" w:themeColor="text1"/>
          <w:sz w:val="16"/>
          <w:szCs w:val="16"/>
        </w:rPr>
        <w:softHyphen/>
        <w:t>ливания, вследствие неодновременной стрельбы пушек. Прицельную стрельбу из одной крыльевой пушки вести нельзя, так как сбивается линия при</w:t>
      </w:r>
      <w:r w:rsidRPr="00D03F3E">
        <w:rPr>
          <w:color w:val="000000" w:themeColor="text1"/>
          <w:sz w:val="16"/>
          <w:szCs w:val="16"/>
        </w:rPr>
        <w:softHyphen/>
        <w:t>целивания. /.../ Управление огнем обеспечивает работу пушек и в эксплуатации удобно, но требует устранения растяжки тросов спуска. /.../ Питание пушек из патронного ящика не отлажено, что при</w:t>
      </w:r>
      <w:r w:rsidRPr="00D03F3E">
        <w:rPr>
          <w:color w:val="000000" w:themeColor="text1"/>
          <w:sz w:val="16"/>
          <w:szCs w:val="16"/>
        </w:rPr>
        <w:softHyphen/>
        <w:t>водит к задержкам — заклинению ленты в рукаве питания, выпадению патронов из ленты и раннему съему звена с патрона. Недостатком является отсут</w:t>
      </w:r>
      <w:r w:rsidRPr="00D03F3E">
        <w:rPr>
          <w:color w:val="000000" w:themeColor="text1"/>
          <w:sz w:val="16"/>
          <w:szCs w:val="16"/>
        </w:rPr>
        <w:softHyphen/>
        <w:t>ствие сбора гильз и звеньев. /.../ Кольцевой визир ВВ-1 не обеспечивает ведение прицельной стрель</w:t>
      </w:r>
      <w:r w:rsidRPr="00D03F3E">
        <w:rPr>
          <w:color w:val="000000" w:themeColor="text1"/>
          <w:sz w:val="16"/>
          <w:szCs w:val="16"/>
        </w:rPr>
        <w:softHyphen/>
        <w:t>бы ночью. Необходимо установить светящиеся ви</w:t>
      </w:r>
      <w:r w:rsidRPr="00D03F3E">
        <w:rPr>
          <w:color w:val="000000" w:themeColor="text1"/>
          <w:sz w:val="16"/>
          <w:szCs w:val="16"/>
        </w:rPr>
        <w:softHyphen/>
        <w:t>зирные точки или поставить прицел ПБП-1б».</w:t>
      </w:r>
    </w:p>
    <w:p w14:paraId="397EAE3A" w14:textId="77777777" w:rsidR="00170B5B" w:rsidRPr="00D03F3E" w:rsidRDefault="00170B5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мнению технического состава, «эксплуатация пушек на самолете удобна, за исключением некото</w:t>
      </w:r>
      <w:r w:rsidRPr="00D03F3E">
        <w:rPr>
          <w:color w:val="000000" w:themeColor="text1"/>
          <w:sz w:val="16"/>
          <w:szCs w:val="16"/>
        </w:rPr>
        <w:softHyphen/>
        <w:t>рых неудобств, возникающих при разрядке пушка</w:t>
      </w:r>
      <w:r w:rsidRPr="00D03F3E">
        <w:rPr>
          <w:color w:val="000000" w:themeColor="text1"/>
          <w:sz w:val="16"/>
          <w:szCs w:val="16"/>
        </w:rPr>
        <w:softHyphen/>
        <w:t>ми из-за неудобного подхода к приемникам пушек». Обтекатели пушек необходимо было упрочнить: «На самолете Ил-2 зав. № 301379 обтекатели изго</w:t>
      </w:r>
      <w:r w:rsidRPr="00D03F3E">
        <w:rPr>
          <w:color w:val="000000" w:themeColor="text1"/>
          <w:sz w:val="16"/>
          <w:szCs w:val="16"/>
        </w:rPr>
        <w:softHyphen/>
        <w:t>товлены плохо, заклепки болтаются и выскакивают, в ходе испытаний наблюдалось срезание заклепок и один случай открывания переднего замка право</w:t>
      </w:r>
      <w:r w:rsidRPr="00D03F3E">
        <w:rPr>
          <w:color w:val="000000" w:themeColor="text1"/>
          <w:sz w:val="16"/>
          <w:szCs w:val="16"/>
        </w:rPr>
        <w:softHyphen/>
        <w:t>го обтекателя в полете. Отсутствие контровки гаек кронштейнов заднего переднего крепления пушки приводит к тому, что части при стрельбе отходят, пришлось их подтягивать».</w:t>
      </w:r>
    </w:p>
    <w:p w14:paraId="4BEEBC57" w14:textId="77777777" w:rsidR="00170B5B" w:rsidRPr="00D03F3E" w:rsidRDefault="00170B5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серийном выпуске «установок под пуш</w:t>
      </w:r>
      <w:r w:rsidRPr="00D03F3E">
        <w:rPr>
          <w:color w:val="000000" w:themeColor="text1"/>
          <w:sz w:val="16"/>
          <w:szCs w:val="16"/>
        </w:rPr>
        <w:softHyphen/>
        <w:t>ки 37 мм ОКБ-16 на самолете Ил-2» требовалось «обеспечить удобную разрядку пушек и сбор гильз и звеньев».</w:t>
      </w:r>
    </w:p>
    <w:p w14:paraId="20BC2435" w14:textId="77777777" w:rsidR="00170B5B" w:rsidRPr="00D03F3E" w:rsidRDefault="00170B5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Заключение по результатам испытаний гласило, что установка пушек 11П на самолете Ил-2 поли</w:t>
      </w:r>
      <w:r w:rsidRPr="00D03F3E">
        <w:rPr>
          <w:color w:val="000000" w:themeColor="text1"/>
          <w:sz w:val="16"/>
          <w:szCs w:val="16"/>
        </w:rPr>
        <w:softHyphen/>
        <w:t>гонные испытания выдержала. Заводы № 30 НКАП и № 74 НКВ должны были в кратчайший срок устра</w:t>
      </w:r>
      <w:r w:rsidRPr="00D03F3E">
        <w:rPr>
          <w:color w:val="000000" w:themeColor="text1"/>
          <w:sz w:val="16"/>
          <w:szCs w:val="16"/>
        </w:rPr>
        <w:softHyphen/>
        <w:t>нить выявленные при испытаниях дефекты и не</w:t>
      </w:r>
      <w:r w:rsidRPr="00D03F3E">
        <w:rPr>
          <w:color w:val="000000" w:themeColor="text1"/>
          <w:sz w:val="16"/>
          <w:szCs w:val="16"/>
        </w:rPr>
        <w:softHyphen/>
        <w:t>достатки. Считалось целесообразным проведение отстрела серийных 37-мм пушек ОКБ-16 «на живу</w:t>
      </w:r>
      <w:r w:rsidRPr="00D03F3E">
        <w:rPr>
          <w:color w:val="000000" w:themeColor="text1"/>
          <w:sz w:val="16"/>
          <w:szCs w:val="16"/>
        </w:rPr>
        <w:softHyphen/>
        <w:t>честь в связи с выявленной при данных испытаниях недостаточной живучести основных деталей». Од</w:t>
      </w:r>
      <w:r w:rsidRPr="00D03F3E">
        <w:rPr>
          <w:color w:val="000000" w:themeColor="text1"/>
          <w:sz w:val="16"/>
          <w:szCs w:val="16"/>
        </w:rPr>
        <w:softHyphen/>
        <w:t>новременно требовалось «испытать на живучесть установку под пушку 37 мм, так как живучесть при испытаниях не установлена».</w:t>
      </w:r>
    </w:p>
    <w:p w14:paraId="6CC5CD7B" w14:textId="77777777" w:rsidR="00170B5B" w:rsidRPr="00D03F3E" w:rsidRDefault="00170B5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Заключение подписали: начальник 1-го отделе</w:t>
      </w:r>
      <w:r w:rsidRPr="00D03F3E">
        <w:rPr>
          <w:color w:val="000000" w:themeColor="text1"/>
          <w:sz w:val="16"/>
          <w:szCs w:val="16"/>
        </w:rPr>
        <w:softHyphen/>
        <w:t>ния опытного отдела НИП АВ инженер-полковник Филиппов, ведущий инженер 1-го отделения инже</w:t>
      </w:r>
      <w:r w:rsidRPr="00D03F3E">
        <w:rPr>
          <w:color w:val="000000" w:themeColor="text1"/>
          <w:sz w:val="16"/>
          <w:szCs w:val="16"/>
        </w:rPr>
        <w:softHyphen/>
        <w:t>нер-майор Несмеянов, начальник опытного отдела НИП АВ подполковник Фомин, начальник НИП АВ инженер-полковник Лобачев (17500).</w:t>
      </w:r>
    </w:p>
    <w:p w14:paraId="7B68EBC7" w14:textId="77777777" w:rsidR="00170B5B" w:rsidRPr="00D03F3E" w:rsidRDefault="00170B5B" w:rsidP="00D03F3E">
      <w:pPr>
        <w:pStyle w:val="12a"/>
        <w:shd w:val="clear" w:color="auto" w:fill="auto"/>
        <w:spacing w:after="0" w:line="240" w:lineRule="auto"/>
        <w:jc w:val="both"/>
        <w:rPr>
          <w:color w:val="000000" w:themeColor="text1"/>
          <w:sz w:val="16"/>
          <w:szCs w:val="16"/>
        </w:rPr>
      </w:pPr>
    </w:p>
    <w:p w14:paraId="032A3A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1943 А.И.Шахурин и А.С.Я. были вызваны в Кремль по поводу истребителей сопровождения для Ил-4 и Ил-2 в ходе дневных полетов. А.А.Новиков предложил 3 истребителя на 2 штурмовика. А.И.Шахурин - много, не хватит (74,271).</w:t>
      </w:r>
    </w:p>
    <w:p w14:paraId="061297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45AF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1943 закончились гос. испытания Як-9, проводимые с 25 января 1943(65,113).</w:t>
      </w:r>
    </w:p>
    <w:p w14:paraId="166484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3431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в НИИ ВВС закончились государственные испытания Як-9М-106-1ск (зав. № 2391, завода N°115), которые шли с 27 января. Ведущими на этом этапе были инженер А.Т. Степанец и летчик В.И. Хомяков.</w:t>
      </w:r>
    </w:p>
    <w:p w14:paraId="524FCA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показали, что при возросшем до 3050 кг взлетном весе максимальная скорость истребителя увеличилась незначительно, а взлетно-посадочные данные и скороподъемность заметно ухудшились. За время испытаний мотор М-106-1ск наработал 19 часов 25 минут, в том числе в воздухе 15 часов 52 минуты. Всего за время эксплуатации двигатель наработал 23 часа 35 минут, причем на топливах с октановыми числами 94,8 и 97,8. Основным недостатком двигателя М-106-ICK была невозможность использования номинальных оборотов - 2700 об/мин, вследствие выбивания масла через суфлер. Выявленные дефекты двигателя делали невозможной эксплуатацию машины в строевых частях.</w:t>
      </w:r>
    </w:p>
    <w:p w14:paraId="5A27D4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"Акте по результатам государственных испытаний..." ведущий летчик Хомяков отметил:</w:t>
      </w:r>
    </w:p>
    <w:p w14:paraId="4511F2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технике пилотирования &lt;...&gt; Як-9 М-106-ICK ничем не отличается от серийных самолетов Як-9 М-105ПФ, за исключением увеличенной горизонтальной скорости, улучшения скороподъемности и сокращения времени разбега.</w:t>
      </w:r>
    </w:p>
    <w:p w14:paraId="5C8190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Работа мотора на 2600 об/мин удовлетворительная, на 2700 об/мин мотор работает грубо и трясет с выхлопами черного дыма. Температурный режим охлаждающей жидкости на 2600 об/мин с полностью открытой заслонкой радиатора не обеспечивает возможности набора высоты на режиме наивыгоднейшей скороподъемности; температура воды достигает 105° при температуре наружного воздуха 15-20°. В горизонтальном полете с заслонками радиаторов, установленных по потоку, температура воды может находиться на верхнем пределе. Замена штурвала Р-7 на сектор сокращает время для переключения винта на любые обороты и, поэтому, должна быть произведена на всех самолетах Як.</w:t>
      </w:r>
    </w:p>
    <w:p w14:paraId="719F11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Воздушный "бой", проведенный на Як-9 с М-106-ICK с пятиточечным Me-l09G-2 на высотах от 2000 до 4500 м, показал, что Як-9 имел значительное преимущество при маневрировании в горизонтальной плоскости. На высотах до 3000 м он имел преимущество перед Me-109G-2 на вертикалях. На горке и боевом развороте Як-9 всегда оказывался выше "мессершмитта". Скорости пикирования были почти равны.</w:t>
      </w:r>
    </w:p>
    <w:p w14:paraId="7E6983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высотах от 3000 до 4500 м самолеты Як-9 и Me-109G-2 имеют практически одинаковую маневренность в вертикальной плоскости.</w:t>
      </w:r>
    </w:p>
    <w:p w14:paraId="30F370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ходе боя установлено, что пилотировать Me-109G-2 значительно тяжелее, чем Як-9, поэтому Як-9 имел больше возможностей навязать выгодный ему маневр в бою. </w:t>
      </w:r>
    </w:p>
    <w:p w14:paraId="061C7F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Обзор задней полусферы на Me-109G-2 был значительно хуже, чем на Як-9. Этот недостаток Me-109G-2 приводил к излишним эволюциям в воздушном бою и утомлял летчика, ухудшая его положение по отношению к противнику.</w:t>
      </w:r>
    </w:p>
    <w:p w14:paraId="0E655F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итоге НИИ ВВС рекомендовал НКАП к 1 апреля 1943 года довести винто-моторную группу Як-9 до состояния нормальной эксплуатации. Но это пожелание так и не реализовали, и Як-9М-106-1ск остался в единственном экземпляре (12046).</w:t>
      </w:r>
    </w:p>
    <w:p w14:paraId="621AE8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478A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1943 л В.И.Хомяков и ви А.Т.Степанец закончили гос. испытания Як-9 М-106-1ск, которые шли с 27 января 1943 (65,113).</w:t>
      </w:r>
    </w:p>
    <w:p w14:paraId="7C874B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68F565"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11 февраля</w:t>
      </w:r>
      <w:r w:rsidRPr="00D03F3E">
        <w:rPr>
          <w:rFonts w:ascii="Times New Roman" w:hAnsi="Times New Roman"/>
          <w:color w:val="000000" w:themeColor="text1"/>
          <w:sz w:val="16"/>
          <w:szCs w:val="16"/>
        </w:rPr>
        <w:t xml:space="preserve"> в 1943 году завершились (начались 27 января) госиспытания (летчик В.И.Хомяков, ведущий инженер А.Т.Степанец) самолета </w:t>
      </w:r>
      <w:hyperlink r:id="rId62" w:tgtFrame="_blank" w:history="1">
        <w:r w:rsidRPr="00D03F3E">
          <w:rPr>
            <w:rFonts w:ascii="Times New Roman" w:hAnsi="Times New Roman"/>
            <w:color w:val="000000" w:themeColor="text1"/>
            <w:sz w:val="16"/>
            <w:szCs w:val="16"/>
          </w:rPr>
          <w:t xml:space="preserve">«Як-9 М-106» (15037). </w:t>
        </w:r>
      </w:hyperlink>
    </w:p>
    <w:p w14:paraId="6E9B1A00" w14:textId="77777777" w:rsidR="00172CEA" w:rsidRPr="00D03F3E" w:rsidRDefault="00172CEA" w:rsidP="00D03F3E">
      <w:pPr>
        <w:spacing w:after="0" w:line="240" w:lineRule="auto"/>
        <w:jc w:val="both"/>
        <w:rPr>
          <w:rFonts w:ascii="Times New Roman" w:hAnsi="Times New Roman"/>
          <w:color w:val="000000" w:themeColor="text1"/>
          <w:sz w:val="16"/>
          <w:szCs w:val="16"/>
        </w:rPr>
      </w:pPr>
    </w:p>
    <w:p w14:paraId="4F416B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1943 вышел приказ НКАП N 87 "О пересмотре и присвоении классов ли": (929,116).</w:t>
      </w:r>
    </w:p>
    <w:p w14:paraId="1BB313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2 в 1 Г.М.Шиянова (ЛИИ), А.Н.Грацианского (23), А.И.Емельянова (ЛИИ).</w:t>
      </w:r>
    </w:p>
    <w:p w14:paraId="3FEEC6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сохранить:</w:t>
      </w:r>
    </w:p>
    <w:p w14:paraId="46316D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Я.Г.Паули (166).</w:t>
      </w:r>
    </w:p>
    <w:p w14:paraId="713103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Л.А.Юнгмейстер (81), Н.С.Рыбко (ЛИИ), М.Л.Галлай (929,116).</w:t>
      </w:r>
    </w:p>
    <w:p w14:paraId="00709F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A3A37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FC35F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236C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11 февраля 1943 г. все изготовленные СГ-122, хранившиеся на территории завода, приказом по НКВ были переданы в распоряжение начальника бронетанкового управления для формирования учебных танко-самоходных подразделений. Предполагавшийся на 1943 год заказ на 122-мм самоходные гаубицы заводу № 592 был отменен (9695).</w:t>
      </w:r>
    </w:p>
    <w:p w14:paraId="0B152C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597495" w14:textId="77777777" w:rsidR="00172CEA" w:rsidRPr="00D03F3E" w:rsidRDefault="00172CEA" w:rsidP="00D03F3E">
      <w:pPr>
        <w:pStyle w:val="book"/>
        <w:ind w:firstLine="0"/>
        <w:jc w:val="both"/>
        <w:rPr>
          <w:color w:val="000000" w:themeColor="text1"/>
          <w:sz w:val="16"/>
          <w:szCs w:val="16"/>
        </w:rPr>
      </w:pPr>
      <w:r w:rsidRPr="00D03F3E">
        <w:rPr>
          <w:color w:val="000000" w:themeColor="text1"/>
          <w:sz w:val="16"/>
          <w:szCs w:val="16"/>
        </w:rPr>
        <w:t>11 февраля 1943 г. все изготовленные СГ-122, хранившиеся на территории завода, приказом по Наркомату вооружений были переданы в распоряжение начальника бронетанкового управления для формирования учебных танко-самоходных подразделений. Предполагавшийся на 1943 год заказ на 122-мм самоходные гаубицы заводу № 592 был отменен (15225).</w:t>
      </w:r>
    </w:p>
    <w:p w14:paraId="70DA4D8B" w14:textId="77777777" w:rsidR="00172CEA" w:rsidRPr="00D03F3E" w:rsidRDefault="00172CEA" w:rsidP="00D03F3E">
      <w:pPr>
        <w:pStyle w:val="book"/>
        <w:ind w:firstLine="0"/>
        <w:jc w:val="both"/>
        <w:rPr>
          <w:color w:val="000000" w:themeColor="text1"/>
          <w:sz w:val="16"/>
          <w:szCs w:val="16"/>
        </w:rPr>
      </w:pPr>
    </w:p>
    <w:p w14:paraId="01DDD06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1943 г. все изготовленные СГ-122, хранившиеся на территории завода 592, приказом по Наркомату вооружений были переданы в распоряжение начальника бронетанкового управления для формирования учебных танко-самоходных подразделений.</w:t>
      </w:r>
    </w:p>
    <w:p w14:paraId="3590991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доработки проекта завод № 592 изготовил два улучшенных варианта СГ-122, отличавшихся типом примененного шасси (штурмового орудия и танка Pz. Kpfw III), которые имели ряд отличий от прототипа. По отчету завода № 592 за 1942 год всего было изготовлено десять СГ-122, (при плане на год 63 машины), причем одна на шасси Pz. Ill, а остальные — на шасси StuG III (12687).</w:t>
      </w:r>
    </w:p>
    <w:p w14:paraId="074EF95C"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7BC0E04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1943 г. была подготовлена ДОКЛАДНАЯ ЗАПИСКА НАЧАЛЬНИКА УПРАВЛЕНИЯ СНАБЖЕНИЯ И РЕЗЕРВОВ АВТОМАШИН ГАВТУ КА НАРКОМУ СРЕДНЕГО МАШИНОСТРОЕНИЯ СССР АКОПОВУ ОБ ИСПОЛЬЗОВАНИИ НА АВТОЗАВОДЕ им. МОЛОТОВА ОБОРОТНОГО ФОНДА ИМПОРТНЫХ АККУМУЛЯТОРОВ № 1189327</w:t>
      </w:r>
    </w:p>
    <w:p w14:paraId="316954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Докладываю, что в июле месяце 1942 г. для обеспечения бесперебойной сборки и сдачи импорт</w:t>
      </w:r>
      <w:r w:rsidRPr="00D03F3E">
        <w:rPr>
          <w:rFonts w:ascii="Times New Roman" w:hAnsi="Times New Roman"/>
          <w:color w:val="000000" w:themeColor="text1"/>
          <w:sz w:val="16"/>
          <w:szCs w:val="16"/>
        </w:rPr>
        <w:softHyphen/>
        <w:t>ных автомашин на автозаводе им. Молотова был создан оборотный фонд импортных аккумуляторов в количестве 800 штук.</w:t>
      </w:r>
    </w:p>
    <w:p w14:paraId="30E014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имеющимся сведениям, этот фонд израсходован для других целей и завод с января 1943 г. снова не имеет задела готовых аккумуляторов.</w:t>
      </w:r>
    </w:p>
    <w:p w14:paraId="1F74E5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настоящее время дирекция завода без уведомления и разрешения ГАВТУ КА устанавливает на импортные автомашины отечественные аккумуляторы СТ-80, не получив согласия на эту замену и со стороны своего конструкторского отдела.</w:t>
      </w:r>
    </w:p>
    <w:p w14:paraId="628E0B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Понижение запаса емкости на 34% снижает эксплуатационные качества импортных автомашин, особенно в условиях зимы, поэтому управление снабжения ГАВТУ КА категорически возражает про</w:t>
      </w:r>
      <w:r w:rsidRPr="00D03F3E">
        <w:rPr>
          <w:rFonts w:ascii="Times New Roman" w:hAnsi="Times New Roman"/>
          <w:color w:val="000000" w:themeColor="text1"/>
          <w:sz w:val="16"/>
          <w:szCs w:val="16"/>
        </w:rPr>
        <w:softHyphen/>
        <w:t>тив практикуемой заводом замены.</w:t>
      </w:r>
    </w:p>
    <w:p w14:paraId="7E61B4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Вашего распоряжение заводу им. Молотова:</w:t>
      </w:r>
    </w:p>
    <w:p w14:paraId="0547FA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Прекратить установку на импортные автомашины отечественных аккумуляторов.</w:t>
      </w:r>
    </w:p>
    <w:p w14:paraId="356C85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Запретить использовать импортные аккумуляторные батареи не по прямому назначения. Кроме того, прошу потребовать от завода отчета, куда он израсходовал имевшийся у него фонд импорт</w:t>
      </w:r>
      <w:r w:rsidRPr="00D03F3E">
        <w:rPr>
          <w:rFonts w:ascii="Times New Roman" w:hAnsi="Times New Roman"/>
          <w:color w:val="000000" w:themeColor="text1"/>
          <w:sz w:val="16"/>
          <w:szCs w:val="16"/>
        </w:rPr>
        <w:softHyphen/>
        <w:t>ных аккумуляторов в количестве 800 штук, и копию этого отчета прислать в управление снабжения.</w:t>
      </w:r>
    </w:p>
    <w:p w14:paraId="1F43A39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управления снабжения и резервов автомашин ГАВТУ КА</w:t>
      </w:r>
    </w:p>
    <w:p w14:paraId="00E865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генерал-майор технических войск Тягунов</w:t>
      </w:r>
    </w:p>
    <w:p w14:paraId="6E7A55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11593. Д. 10. Л. 18. Копия (11403).</w:t>
      </w:r>
    </w:p>
    <w:p w14:paraId="6637B9E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E2D5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1943 г. была подготовлена ДОКЛАДНАЯ ЗАПИСКА НАЧАЛЬНИКА УС ГАВТУ НАРОДНОМУ КОМИССАРУ СРЕДНЕГО МАШИНОСТРОЕНИЯ СССР О СБОРКЕ ИМПОРТНЫХ АВТОМАШИН № 1189326</w:t>
      </w:r>
    </w:p>
    <w:p w14:paraId="531694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Докладываю, что Постановление СНК СССР № 59-23сс от 18 января 1943 г. и Ваш приказ за № 29 от 20 января 1943 г. об увеличении сборки импортных автомашин автозавод им. Молотова не выполняет.</w:t>
      </w:r>
    </w:p>
    <w:p w14:paraId="2445F9D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Вместо 1250 импортных автомашин, которые завод был обязан собрать в январе месяце 1943 года, собрано всего 612 автомашин.</w:t>
      </w:r>
    </w:p>
    <w:p w14:paraId="2B8F9A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Темп сборки в конце января месяца 1943 г. не превышал 20-25 машин в день, в то время как завод указанными постановлением и приказом обязывался довести к этому времени сборку до 100 автомо</w:t>
      </w:r>
      <w:r w:rsidRPr="00D03F3E">
        <w:rPr>
          <w:rFonts w:ascii="Times New Roman" w:hAnsi="Times New Roman"/>
          <w:color w:val="000000" w:themeColor="text1"/>
          <w:sz w:val="16"/>
          <w:szCs w:val="16"/>
        </w:rPr>
        <w:softHyphen/>
        <w:t>билей в сутки. Такое же положение со сборкой остается и в феврале месяце.</w:t>
      </w:r>
    </w:p>
    <w:p w14:paraId="3F33A7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 директора завода т. Лившица, изданный для выполнения постановления СНК и Вашего приказа, не обеспечивает требуемых мероприятий и сдача в первом квартале 1943 г. 7000 импортных машин НКО стоит под угрозой невыполнения.</w:t>
      </w:r>
    </w:p>
    <w:p w14:paraId="3BAA2C4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Основной причиной неудовлетворительной работы завода следует считать отсутствие должного внимания со стороны директора и управления производством завода к вопросу сборки импортных машин.</w:t>
      </w:r>
    </w:p>
    <w:p w14:paraId="0A7278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основании изложенного прошу Ваших соответствующих распоряжений автозаводу им. Молотова.</w:t>
      </w:r>
    </w:p>
    <w:p w14:paraId="649574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УС ГАВТУ КА генерал-майор технических войск Тягунов</w:t>
      </w:r>
    </w:p>
    <w:p w14:paraId="54B2E88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11593. Д. 10. Л. 17. Копия (11403).</w:t>
      </w:r>
    </w:p>
    <w:p w14:paraId="6E908E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BB0C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1943 вышло Постановление ГКО № 2870 О ремонте танков. РГАНИР, Фонд ГКО, д. 89, лл. 69 (11012).</w:t>
      </w:r>
    </w:p>
    <w:p w14:paraId="34CCF6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1497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1943 вышло Распоряжение ГКО № 2871. Об изменении плана лесозаготовок для Московской и Рязанской обл.РГАНИР, Фонд ГКО, д. 89, лл. 70 (11012).</w:t>
      </w:r>
    </w:p>
    <w:p w14:paraId="4EF356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49DC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1943 вышло Распоряжение ГКО № 2872. О мерах по ускорению работы по урану. РГАНИР, Фонд ГКО, д. 89, лл. 71-72 (11012).</w:t>
      </w:r>
    </w:p>
    <w:p w14:paraId="74ACDF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FD06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1943 года - Распоряжение ГКО об организации работ по урану определило руководителями работ по урановой проблеме М.Г. Первухина и С.В. Кафтанова. Научное руководство проблемы было возложено на И.В. Курчатова (10549).</w:t>
      </w:r>
    </w:p>
    <w:p w14:paraId="53DCC6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AACC4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1943 г. начались работы по созданию в СССР ядерного оружия. Государственный комитет обороны принял постановление о начале работ по созданию в СССР ядерного оружия. Уже через два дня для этих целей в Москве была создана лаборатория № 2 (ЛИПАН) во главе с И.В.Курчатовым (6395).</w:t>
      </w:r>
    </w:p>
    <w:p w14:paraId="4E6C11F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FA1D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1943 после письма Г.Флерова И.В.С. и информации немецкого физика К.Фукса о работах над АБ в США вышло решение ГКО о создании Лаборатории измерительных приборов N 2, возглавить которую поручили И.В.Курчатову (2465).</w:t>
      </w:r>
    </w:p>
    <w:p w14:paraId="705713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92F16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1943 вышло Постановление ГКО № 2873 Об обеспечении транспортными средствами Совнаркома Украинской ССР. (7082, 73).</w:t>
      </w:r>
    </w:p>
    <w:p w14:paraId="3B4404B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75A37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1943 вышло Постановление ГКО № 2874 [О возврате до 15 марта 3500 цистерн на железные дороги Кавказа.] (7082, 74).</w:t>
      </w:r>
    </w:p>
    <w:p w14:paraId="2B0CF4E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1C389B"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11 февраля</w:t>
      </w:r>
      <w:r w:rsidRPr="00D03F3E">
        <w:rPr>
          <w:rFonts w:ascii="Times New Roman" w:hAnsi="Times New Roman"/>
          <w:color w:val="000000" w:themeColor="text1"/>
          <w:sz w:val="16"/>
          <w:szCs w:val="16"/>
        </w:rPr>
        <w:t xml:space="preserve"> в 1943 году ГКО принял постановление об организации работ по использованию атомной энергии в военных целях. Курирование атомной проблемы по линии ГКО было возложено на В.М.Молотова. Его заместителем, ответственным за вопросы обеспечения военных и ученых разведывательной информацией, назначен Л.П.Берия. Научное руководство проблемой возложено на И.В.Курчатова. Оперативное руководство и оказание повседневной помощи поручено М.Г.Первухину (заместитель председателя СНК СССР) и С.В.Кафтанову (председатель Комитета по делам высшей школы). В Москве во главе с И.В.Курчатовым создается специальный научный центр — Лаборатория № 2 (Лаборатория измерительных приборов Академии Наук СССР, Институт атомной энергии имени И.В.Курчатова, Российский научный центр «Курчатовский институт») (15037).</w:t>
      </w:r>
    </w:p>
    <w:p w14:paraId="74B4615B" w14:textId="77777777" w:rsidR="00587ADC" w:rsidRPr="00D03F3E" w:rsidRDefault="00587ADC" w:rsidP="00D03F3E">
      <w:pPr>
        <w:spacing w:after="0" w:line="240" w:lineRule="auto"/>
        <w:jc w:val="both"/>
        <w:rPr>
          <w:rFonts w:ascii="Times New Roman" w:hAnsi="Times New Roman"/>
          <w:color w:val="000000" w:themeColor="text1"/>
          <w:sz w:val="16"/>
          <w:szCs w:val="16"/>
        </w:rPr>
      </w:pPr>
    </w:p>
    <w:p w14:paraId="4707D219"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11 февраля</w:t>
      </w:r>
      <w:r w:rsidRPr="00D03F3E">
        <w:rPr>
          <w:rFonts w:ascii="Times New Roman" w:hAnsi="Times New Roman"/>
          <w:color w:val="000000" w:themeColor="text1"/>
          <w:sz w:val="16"/>
          <w:szCs w:val="16"/>
        </w:rPr>
        <w:t xml:space="preserve"> в 1943 году образовано ЦНИИ "Гидроприбор". История ЦНИИ "Гидроприбор" началась 11 февраля 1943 года, когда в Ленинграде был создан Научно-исследовательский минно-торпедно-тральный институт № 400, в состав которого вошли ЦКБ-36, ЦКБ-39 и опытный завод № 231, бывшие преемниками созданного в 1918 году «Остехбюро», и имевшие к тому времени более чем двадцатилетний опыт работы в области морского подводного оружия. ЦНИИ «Гидроприбор» является головным предприятием страны в области разработки морского подводного оружия (МПО). Результатом 55-летней научно-исследовательской и опытно-конструкторской деятельности института стали десятки образцов МПО, многие из которых опережали зарубежные образцы на десятилетия, а некоторые и сегодня не имеют зарубежных аналогов. Около 95% образцов МПО, состоящих сегодня на вооружении ВМФ России, было разработано и сдано флоту коллективом института или под его научным руководством. Первыми директорами института были А.М. Борушко, К.В. Грудницкий и Р.В. Исаков. Свое нынешнее название ЦНИИ "Гидроприбор" получил в 1969 году. Сегодня в институте трудятся около полутора тысяч ученых, инженеров, конструкторов, рабочих высокой квалификации, в том числе один член-корреспондент академии наук, 5 докторов и 89 кандидатов наук. Он располагает уникальным лабораторно-стендовым испытательным оборудованием, опытовыми судами, опытным производством, способным выпускать самую сложную наукоемкую технику. ЦНИИ "Гидроприбор" в последние годы значительно расширил сферу своей деятельности за счет разработки и поставки новой для себя сложной наукоемкой продукции военного, гражданского и двойного назначения. Среди новых направлений деятельности в интересах ВМФ - разработка совместно с ЦНИИ "Морфизприбор" перспективной вертолетной опускаемой </w:t>
      </w:r>
      <w:r w:rsidRPr="00D03F3E">
        <w:rPr>
          <w:rFonts w:ascii="Times New Roman" w:hAnsi="Times New Roman"/>
          <w:color w:val="000000" w:themeColor="text1"/>
          <w:sz w:val="16"/>
          <w:szCs w:val="16"/>
        </w:rPr>
        <w:lastRenderedPageBreak/>
        <w:t>ГАС, а также подводных систем наблюдения (в том числе авиационных радиогидроакустических буев). Институт занимается созданием систем и средств для изучения и освоения Мирового океана, обеспечения судоходства и жизнедеятельности флота, подводно-технических и водолазных работ, экологии и мониторинга водной среды, нефтегазодобычи и контроля газопроводов, городского хозяйства и др. Значительное место в разработках занимают необитаемые поисковые, осмотровые и рабочие подводные аппараты различного назначения (15037).</w:t>
      </w:r>
    </w:p>
    <w:p w14:paraId="1213F49B" w14:textId="77777777" w:rsidR="00587ADC" w:rsidRPr="00D03F3E" w:rsidRDefault="00587ADC" w:rsidP="00D03F3E">
      <w:pPr>
        <w:spacing w:after="0" w:line="240" w:lineRule="auto"/>
        <w:jc w:val="both"/>
        <w:rPr>
          <w:rFonts w:ascii="Times New Roman" w:hAnsi="Times New Roman"/>
          <w:color w:val="000000" w:themeColor="text1"/>
          <w:sz w:val="16"/>
          <w:szCs w:val="16"/>
        </w:rPr>
      </w:pPr>
    </w:p>
    <w:p w14:paraId="229BAAE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48F792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B6FA10"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11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72A41073"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11 февраля наши войска вели наступательные бои на прежних направлениях.</w:t>
      </w:r>
    </w:p>
    <w:p w14:paraId="1B180769"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Ростова-на-Дону наши войска, преодолевая сопротивление противника, продвигались вперёд. На одном участке немцы бросили в контратаку два пехотных полка, поддержанных танками и артиллерией. Бойцы Н-ского соединения отбили контратаку гитлеровцев и заняли ряд сильно укреплённых рубежей противника.</w:t>
      </w:r>
    </w:p>
    <w:p w14:paraId="03E115E6"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Краматорской наши войска вели наступательные бои. Части Н-ского соединения отразили три контратаки пехоты и танков противника, продвинулись вперёд и овладели несколькими населёнными пунктами. На поле боя остались сотни вражеских трупов. На другом участке огнём нашей противотанковой артиллерии и бронебойщиков подбито и сожжено 11 немецких танков.</w:t>
      </w:r>
    </w:p>
    <w:p w14:paraId="6D11C85B"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наши войска успешно продвигались вперёд и заняли ряд населённых пунктов. Бойцами Н-ской части захвачено 7 орудий, 19 пулемётов и 12 автомашин с боеприпасами.</w:t>
      </w:r>
    </w:p>
    <w:p w14:paraId="5E4046EA"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Курска советские танкисты уничтожили несколько подразделений гитлеровцев. Экипаж танка в составе старшего лейтенанта тов. Вахмистрова, старшего механика-водителя т. Манакова, радиста т. Скуднова и артиллериста т. Кузинова на полном ходу врезался в колонну немцев. Огнём и гусеницами танкисты истребили свыше роты немецкой пехоты, уничтожили 18 противотанковых орудий и до 100 повозок с военными грузами противника.</w:t>
      </w:r>
    </w:p>
    <w:p w14:paraId="62ED6296"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Понырей наши войска за два дня боёв захватили у противника 14 орудий, 2 танкетки, 9 миномётов, 22 пулемёта и другие трофеи, Н-ская часть, продвигаясь вперёд, уничтожила до 600 немецких солдат и офицеров. Захвачены трофеи: 4 зенитных орудия с тягачами, 50 тысяч патронов, 60 повозок с грузом и другое военное имущество.</w:t>
      </w:r>
    </w:p>
    <w:p w14:paraId="47EBFDB1"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Украины, совершил ночной налёт на немецкий гарнизон, расположенный в районном центре. Советские патриоты истребили несколько десятков гитлеровцев и сожгли два склада немецко-фашистских оккупантов.</w:t>
      </w:r>
    </w:p>
    <w:p w14:paraId="43704A0A"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Другой отряд украинских партизан разгромил немецкий гарнизон и захватил несколько складов с зерном, награбленным гитлеровцами у крестьян. Партизаны роздали населению 700 тонн зерна.</w:t>
      </w:r>
    </w:p>
    <w:p w14:paraId="45D53A33"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патриоты ведут ожесточённые бои против немецко-итальянских оккупантов. Близ Теслича партизаны отбили все вражеские атаки. У Дрвента патриоты захватили миномёт, 5 пулемётов, 22 тысячи патронов и много другого военного имущества. В районе Врполя группа партизан взорвала 4 немецких танка и истребила свыше 50 гитлеровцев. В Словении партизаны захватили укреплённый пункт противника и полностью истребили находившийся в нём итальянский гарнизон (15037).</w:t>
      </w:r>
    </w:p>
    <w:p w14:paraId="202684D4" w14:textId="77777777" w:rsidR="00587ADC" w:rsidRPr="00D03F3E" w:rsidRDefault="00587ADC" w:rsidP="00D03F3E">
      <w:pPr>
        <w:spacing w:after="0" w:line="240" w:lineRule="auto"/>
        <w:jc w:val="both"/>
        <w:rPr>
          <w:rFonts w:ascii="Times New Roman" w:hAnsi="Times New Roman"/>
          <w:color w:val="000000" w:themeColor="text1"/>
          <w:sz w:val="16"/>
          <w:szCs w:val="16"/>
        </w:rPr>
      </w:pPr>
    </w:p>
    <w:p w14:paraId="00C28BBE"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11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42779984"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на Украине наши войска в результате решительной атаки овладели городом и железнодорожным узлом Лозовая.</w:t>
      </w:r>
    </w:p>
    <w:p w14:paraId="01493E37"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южнее Чугуев наши войска овладели рядом крупных населённых пунктов, в том числе рабочим посёлком Андреевна, железнодорожной станцией Беляевка.</w:t>
      </w:r>
    </w:p>
    <w:p w14:paraId="71E47A13"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Северо-восточнее Новочеркасска наши войска, продолжая наступление, овладели многими населёнными пунктами, в том числе крупными населёнными пунктами —Мечетной, Зайцевка, Керчик, Мелиховская, железнодорожной станцией Богураев.</w:t>
      </w:r>
    </w:p>
    <w:p w14:paraId="652C30A6"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бои на прежних направлениях.</w:t>
      </w:r>
    </w:p>
    <w:p w14:paraId="6B533E86"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февраля частями нашей авиации на различных участках фронта уничтожено или повреждено до 200 немецких автомашин с войсками и грузами, подавлен огонь 15 артиллерийских батарей, разбит железнодорожный эшелон, рассеяно и частью уничтожено до двух батальонов пехоты противника.</w:t>
      </w:r>
    </w:p>
    <w:p w14:paraId="73927BEF"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Ростова-на-Дону наши войска вели упорные бои с противником. Немцы силами танков и пехоты оказывают отчаянное сопротивление, но под натиском наших бойцов вынуждены оставлять одну позицию за другой. На одном участке наши подразделения в ожесточённом бою нанесли гитлеровцам большой урон и захватили 7 орудий, 18 автомашин, склад боеприпасов и другие трофеи. На другом участке отбито несколько контратак противника. Подбито и сожжено 3 немецких танка.</w:t>
      </w:r>
    </w:p>
    <w:p w14:paraId="55A97755"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Краматорской наши войска вели наступательные бои. Противник, подбросив на этот участок крупные силы мотопехоты и танков, пытается задержать наступление советских войск. Наши бойцы отбили многочисленные контратаки гитлеровцев. Многие подразделения немцев поголовно уничтожены. На небольшомучастке истреблено свыше 600 вражеских солдат и офицеров. Уничтожено 6 танков, 4 орудия, 4 миномётных батареи, разрушено до 30 дзотов.</w:t>
      </w:r>
    </w:p>
    <w:p w14:paraId="6153ED4A"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совершили налёт на аэродром противника и уничтожили на земле 28 немецких самолётов. В воздушных боях сбито 13 самолётов противника.</w:t>
      </w:r>
    </w:p>
    <w:p w14:paraId="6BC321EC"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Волчанска наши войска продвигались вперёд и заняли несколько населённых пунктов. Бойцы Н-ской части разгромили батальон немецкой пехоты и захватили 6 противотанковых орудий, 14 пулемётов, 41 автомат, склад с зерном и склад боеприпасов. По дополнительным данным, в районе Белгород нашими частями захвачены трофеи, в числе которых один самолёт, 10 танков, 17 паровозов, 8 железнодорожных эшелонов, из них 2 эшелона с боеприпасами, 10 складов с боеприпасами. Взято в плен до 1.000 солдат и офицеров противника.</w:t>
      </w:r>
    </w:p>
    <w:p w14:paraId="37F9461C"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наши войска продолжали наступление. Бойцы Н-ской части выбили немцев из сильно укреплённых позиций и захватили большие трофеи. Уничтожен немецкий бронепоезд. На другом участке наши подразделения отбили контратаку немцев и уничтожили до 200 вражеских солдат и офицеров, 8 танков и 5 орудий.</w:t>
      </w:r>
    </w:p>
    <w:p w14:paraId="71035EE2"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Ленинградской области, взорвал склад боеприпасов противника. Советские патриоты совершили налёты на фашистские волостные управы и уничтожили 160 немецких солдат и офицеров. Захвачены большие трофеи. В течение месяца партизаны этого отряда пустили под откос 7 немецких воинских эшелонов. В результате крушений разбито 7 паровозов и 64 вагона.</w:t>
      </w:r>
    </w:p>
    <w:p w14:paraId="295C0594"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Накануне бегства из станицы Белореченская, Краснодарского края, гитлеровцы учинили кровавую расправу над мирным населением. На берегу реки Белая немцы расстреляли более 100 мирных жителей станицы. В числе убитых — работница маслозавода Прасковья Степкина, рабочий Букарев, колхозница Ксения Молдавская и другие. Фашистские мерзавцы загнали в сарай и сожгли живьём группу советских военнопленных и мирных жителей. Немецкие бандиты сожгли 34 дома железнодорожников, среднюю школу, клуб, амбулаторию, родильный дом, детский сад, ясли, электростанцию и много других зданий станицы.</w:t>
      </w:r>
    </w:p>
    <w:p w14:paraId="4A4ED3CF"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Французские патриоты ведут самоотверженную борьбу с немецко-фашистскими оккупантами. В Лилле вольные стрелки бросили бомбу в ресторан немецких офицеров. В результате взрыва убито и ранено 23 гитлеровца. В Карвэне вольные стрелки убили на посту трёх немецких солдат. В Париже патриоты проникли в немецкийгараж, облили бензином автомашины, а затем подожгли гараж. В столовые в то время, когда в них обедали немецкие солдаты, были брошены гранаты. Среди гитлеровцев насчитывается много убитых и раненых.».</w:t>
      </w:r>
    </w:p>
    <w:p w14:paraId="4D208C42"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74B19491"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овладели городом Лозовая.</w:t>
      </w:r>
    </w:p>
    <w:p w14:paraId="5B9D81A6" w14:textId="77777777" w:rsidR="00587ADC" w:rsidRPr="00D03F3E" w:rsidRDefault="00587A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на Украине наши войска в результате решительной атаки овладели городом и железнодорожным узлом Лозовая. Первыми ворвались в город частигенерал-майора тов. Кулагина И.Я. Взяты трофеи.» (15037).</w:t>
      </w:r>
    </w:p>
    <w:p w14:paraId="4483AAA0" w14:textId="77777777" w:rsidR="00587ADC" w:rsidRPr="00D03F3E" w:rsidRDefault="00587ADC" w:rsidP="00D03F3E">
      <w:pPr>
        <w:spacing w:after="0" w:line="240" w:lineRule="auto"/>
        <w:jc w:val="both"/>
        <w:rPr>
          <w:rFonts w:ascii="Times New Roman" w:hAnsi="Times New Roman"/>
          <w:color w:val="000000" w:themeColor="text1"/>
          <w:sz w:val="16"/>
          <w:szCs w:val="16"/>
        </w:rPr>
      </w:pPr>
    </w:p>
    <w:p w14:paraId="0A35967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1943 советские войска освободили Краснодар (4962).</w:t>
      </w:r>
    </w:p>
    <w:p w14:paraId="44DB157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D48C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1943 г. была подготовлена СПРАВКА НАЧАЛЬНИКА ОРГОТДЕЛА ГУАДС КА В ШТАБ ГАВТУ КА О СОСТОЯНИИ АВТОТРАНСПОРТНЫХ ЧАСТЕЙ ЗАБАЙКАЛЬСКОГО И ДАЛЬНЕВОСТОЧНОГО ФРОНТОВ ПО СОСТОЯНИЮ НА 10.01.1943 г. № 757500</w:t>
      </w:r>
    </w:p>
    <w:p w14:paraId="2C0D52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Дальневосточный фронт.</w:t>
      </w:r>
    </w:p>
    <w:p w14:paraId="163001F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Автобатальонов — 16</w:t>
      </w:r>
    </w:p>
    <w:p w14:paraId="4AC7030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Общее количество бортовых автомашин — 1674</w:t>
      </w:r>
    </w:p>
    <w:p w14:paraId="4FCB9E7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Наливных автомашин — 418</w:t>
      </w:r>
    </w:p>
    <w:p w14:paraId="518A6E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Мастерских типа А — 45</w:t>
      </w:r>
    </w:p>
    <w:p w14:paraId="46AFC5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Мастерских типа Б — 12</w:t>
      </w:r>
    </w:p>
    <w:p w14:paraId="6032CD9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Прочих - 82</w:t>
      </w:r>
    </w:p>
    <w:p w14:paraId="1806B1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 приказом по ДВФ от 14.12.1942 г. №0607 автотранспортные батальоны из подчине</w:t>
      </w:r>
      <w:r w:rsidRPr="00D03F3E">
        <w:rPr>
          <w:rFonts w:ascii="Times New Roman" w:hAnsi="Times New Roman"/>
          <w:color w:val="000000" w:themeColor="text1"/>
          <w:sz w:val="16"/>
          <w:szCs w:val="16"/>
        </w:rPr>
        <w:softHyphen/>
        <w:t>ния УАДС фронта вышли и подчинены автомобильному управлению.</w:t>
      </w:r>
    </w:p>
    <w:p w14:paraId="53C85E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Забайкальский фронт.</w:t>
      </w:r>
    </w:p>
    <w:p w14:paraId="48D563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Автобатальонов — 13</w:t>
      </w:r>
    </w:p>
    <w:p w14:paraId="3D485EE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Общее количество бортовых автомашин — 1795</w:t>
      </w:r>
    </w:p>
    <w:p w14:paraId="1C6C7D3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Цистерн — 84</w:t>
      </w:r>
    </w:p>
    <w:p w14:paraId="090C3F3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Летучек типа А — 43</w:t>
      </w:r>
    </w:p>
    <w:p w14:paraId="35E0BB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Летучек типа Б — 13</w:t>
      </w:r>
    </w:p>
    <w:p w14:paraId="097C63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Прочих — 45</w:t>
      </w:r>
    </w:p>
    <w:p w14:paraId="04035E1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1.01.1943 года в Забайкальском фронте значилось 4 автобатальона цистерн с общим количе</w:t>
      </w:r>
      <w:r w:rsidRPr="00D03F3E">
        <w:rPr>
          <w:rFonts w:ascii="Times New Roman" w:hAnsi="Times New Roman"/>
          <w:color w:val="000000" w:themeColor="text1"/>
          <w:sz w:val="16"/>
          <w:szCs w:val="16"/>
        </w:rPr>
        <w:softHyphen/>
        <w:t>ством наливных машин 557.</w:t>
      </w:r>
    </w:p>
    <w:p w14:paraId="103D00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основании приказа №00261 от 30.12.1942 г. часть автоцистерн передана на формирование авторот.</w:t>
      </w:r>
    </w:p>
    <w:p w14:paraId="0F587D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Донесение о количестве переданных автоцистерн не поступило.</w:t>
      </w:r>
    </w:p>
    <w:p w14:paraId="50CEB57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орготдела ГУАДС КА полковник Павлов</w:t>
      </w:r>
    </w:p>
    <w:p w14:paraId="2513D3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41. Оп. 11584. Д. 534. Л. 74. Подлинник (11403).</w:t>
      </w:r>
    </w:p>
    <w:p w14:paraId="04B8A1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1C3A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1943 г. вышел ПРИКАЗ № 0118/053 ОБ ОБЕСПЕЧЕНИИ БЕСПЕРЕБОЙНОЙ СВЯЗИ СТАВКИ ВЕРХОВНОГО ГЛАВНОКОМАНДОВАНИЯ СО ШТАБАМИ ФРОНТОВ И АРМИЙ</w:t>
      </w:r>
    </w:p>
    <w:p w14:paraId="6806E5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Постановлением Государственного Комитета Обороны № ГОКО 2804-сс от 30.1. 1943 г. работы по строительству, восстановлению, эксплуатации и охране всех магистральных линий с цепями, занятыми под правительственную “ВЧ” связь Ставки Верховного Главнокомандования со штабами фронтов и армий, возложены на НКВД СССР.</w:t>
      </w:r>
    </w:p>
    <w:p w14:paraId="6BA2A5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обеспечения “ВЧ” связи в распоряжение НКВД СССР передаются из НКО сформированные части связи.</w:t>
      </w:r>
    </w:p>
    <w:p w14:paraId="59BE87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Придавая исключительное значение вопросу обеспечения бесперебойной связью Ставки Верховного Главнокомандования со штабами фронтов и армий,</w:t>
      </w:r>
    </w:p>
    <w:p w14:paraId="7D6318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приказываем:</w:t>
      </w:r>
    </w:p>
    <w:p w14:paraId="5DA9C5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Начальникам управлений связи фронтов передать в распоряжение НКВД СССР основные магистральные линии с проводами для правительственной “ВЧ” связи Ставки Верховного Главнокомандования со штабами фронтов и армий.</w:t>
      </w:r>
    </w:p>
    <w:p w14:paraId="551B0C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Начальникам управлений связи фронтов к 15 февраля 1943 г. привести в исправное в техническом отношении состояние все линии и провода, используемые для правительственной “ВЧ” связи, согласно прилагаемого при этом плана (приложение № 1).*</w:t>
      </w:r>
    </w:p>
    <w:p w14:paraId="09CB0B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приведения линии “ВЧ” связи в исправное состояние привлекать части связи, предназначенные для передачи НКВД СССР, и части связи, уже находящиеся в оперативном подчинении НКВД.</w:t>
      </w:r>
    </w:p>
    <w:p w14:paraId="4D76CB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Представителям фронтов, НКВД и ИКС передачу линий оформить актом, который составляется на основании осмотра линии.</w:t>
      </w:r>
    </w:p>
    <w:p w14:paraId="616CB7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Акты утверждаются начальником Управления связи фронта и представителями НКВД и НКС на фронтах.*</w:t>
      </w:r>
    </w:p>
    <w:p w14:paraId="22C474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Снабжение передаваемых НКВД строительных и эксплуатационных рот экспломатериалами**, инструментом, а также проволокой, крючьями, изоляторами и т. д. из наличия на фронтах и складах до 1 апреля 1943 г. оставить за Главным управлением связи Красной Армии. После этого срока передать НКВД все запасы проволоки и арматуры, предназначенные для “ВЧ” связи.</w:t>
      </w:r>
    </w:p>
    <w:p w14:paraId="65ABF3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Начальникам связи фронтов при перемене дислокации штабов фронтов и армий для организации с ними правительственной “ВЧ” связи предоставлять в распоряжение НКВД качественные провода как НКС, так и НКО.</w:t>
      </w:r>
    </w:p>
    <w:p w14:paraId="10B39B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при перемещении штабов окажется на этом направлении только одна цепь, то последняя передается в ведение НКВД, но с обязательным уплотнением (одновременно телеграфирование и телефонирование) ее для нужд войскового штаба.</w:t>
      </w:r>
    </w:p>
    <w:p w14:paraId="556008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случае отсутствия проводов (на освобождаемой территории) части связи НКВД обязаны восстанавливать, подвешивать провода или строить линии заново своим попечением.</w:t>
      </w:r>
    </w:p>
    <w:p w14:paraId="602C98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строительстве и восстановлении линии частями связи НКО последние обязаны по заявке НКВД оставлять “верхнее место” для цепи правительственной “ВЧ” связи.</w:t>
      </w:r>
    </w:p>
    <w:p w14:paraId="29E2FE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При совместном использовании существующих линий для правительственной “ВЧ” связи и телеграфно-телефонной связи НКО и НКС эксплуатация и охрана этих линий возлагается на части связи НКВД. Эксплуатация проводов, принадлежащих ЙКО и НКС, производится силами и средствами владельца проводов с участием частей связи НКВД.</w:t>
      </w:r>
    </w:p>
    <w:p w14:paraId="04382D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На вновь построенных линиях НКВД для “ВЧ” связи управления связи фронтов и армий имеют право производить дополнительную подвеску 4-х проводов при соблюдении технических условий. Технический досмотр и исправление повреждений всех проводов на таких линиях возлагается на НКВД.</w:t>
      </w:r>
    </w:p>
    <w:p w14:paraId="7A3F3A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В тех случаях, когда одну и ту же линию намечено использовать для правительственной “ВЧ” связи и телеграфно-телефонных связей НКО и НКС, восстановительные работы или постройка новых линий производятся совместно НКВД, НКО и НКС по договоренности в каждом отдельном случае.</w:t>
      </w:r>
    </w:p>
    <w:p w14:paraId="66C531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Расследование и определение участка повреждения на магистральных линиях правительственной “ВЧ” связи до штаба фронта производится станционным персоналом НКСвязи и отдела правительственной связи НКВД, а на линиях от штаба фронта до штаба армии — техническим персоналом узлов НКО.</w:t>
      </w:r>
    </w:p>
    <w:p w14:paraId="36164D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Установить, что при повреждении нескольких проводов расследование ведется в первую очередь проводов правительственной “ВЧ” связи.</w:t>
      </w:r>
    </w:p>
    <w:p w14:paraId="109DFD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Порядок расследования и устранения повреждений устанавливается инструкцией, издаваемой НКВД, НКО и НКС.</w:t>
      </w:r>
    </w:p>
    <w:p w14:paraId="180821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Установить, что летний ремонт линий с правительственными проводами от Москвы до штабов фронтов производится силами и средствами НКС совместно с частями связи НКВД.</w:t>
      </w:r>
    </w:p>
    <w:p w14:paraId="0B0AD0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Провода правительственной связи ремонтируются силами и средствами НКВД.</w:t>
      </w:r>
    </w:p>
    <w:p w14:paraId="38F90F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Весь трофейный 4-жильный кабель типа ППК части Красной Армии согласно Постановления ГОКО № 2804-сс от 30 января обязаны передавать НКВД для правительственной “ВЧ” связи.</w:t>
      </w:r>
    </w:p>
    <w:p w14:paraId="45D1C9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 xml:space="preserve">Зам. Народного комиссара обороны и Зам. Народного комиссара внутренних дел СССР комиссар государственной безопасности I ранга МЕРКУЛОВ </w:t>
      </w:r>
    </w:p>
    <w:p w14:paraId="1C2551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Народный комиссар связи СССР генерал-лейтенант войск связи ПЕРЕСЫПКИН</w:t>
      </w:r>
    </w:p>
    <w:p w14:paraId="5EAA74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33810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D03F3E">
        <w:rPr>
          <w:rFonts w:ascii="Times New Roman" w:hAnsi="Times New Roman"/>
          <w:i/>
          <w:iCs/>
          <w:color w:val="000000" w:themeColor="text1"/>
          <w:sz w:val="16"/>
          <w:szCs w:val="16"/>
        </w:rPr>
        <w:t>За</w:t>
      </w:r>
      <w:r w:rsidRPr="00D03F3E">
        <w:rPr>
          <w:rFonts w:ascii="Times New Roman" w:hAnsi="Times New Roman"/>
          <w:i/>
          <w:iCs/>
          <w:color w:val="000000" w:themeColor="text1"/>
          <w:sz w:val="16"/>
          <w:szCs w:val="16"/>
          <w:lang w:val="en-US"/>
        </w:rPr>
        <w:t xml:space="preserve"> </w:t>
      </w:r>
      <w:r w:rsidRPr="00D03F3E">
        <w:rPr>
          <w:rFonts w:ascii="Times New Roman" w:hAnsi="Times New Roman"/>
          <w:i/>
          <w:iCs/>
          <w:color w:val="000000" w:themeColor="text1"/>
          <w:sz w:val="16"/>
          <w:szCs w:val="16"/>
        </w:rPr>
        <w:t>рубежом</w:t>
      </w:r>
      <w:r w:rsidRPr="00D03F3E">
        <w:rPr>
          <w:rFonts w:ascii="Times New Roman" w:hAnsi="Times New Roman"/>
          <w:i/>
          <w:iCs/>
          <w:color w:val="000000" w:themeColor="text1"/>
          <w:sz w:val="16"/>
          <w:szCs w:val="16"/>
          <w:lang w:val="en-US"/>
        </w:rPr>
        <w:t>:</w:t>
      </w:r>
    </w:p>
    <w:p w14:paraId="6EE99C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132B3B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February 11 1943 The Vought F4U Corsair was flown on a combat mission for the first time when 12 planes of VMF-124 based on Guadalcanal escorted a PB2Y Dumbo to Vella Lavella to pick up downed pilots. The flight was uneventful. Its first combat action came 2 days later when pilots from the same squadron ran into air opposition while escorting PB4Ys of VP-51 on a daylight strike against enemy shipping in the Kahili area of Bougainville (1090).</w:t>
      </w:r>
    </w:p>
    <w:p w14:paraId="7C8875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A0D83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1943 началось боевое использование первых 12 Vought F4U Corsair (1090).</w:t>
      </w:r>
    </w:p>
    <w:p w14:paraId="137CB7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A500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February 11 1943 A contract was issued to the Ryan Aeronautical Corporation for the XFR-1 fighter. This aircraft incorporated a conventional reciprocating engine for use in normal operations and the turbojet for use as a booster during takeoffs and maximum performance flights. Development and production were handled on a crash basis to equip escort carrier squadrons at the earliest possible date. However, numerous bugs were encountered which prevented the FR-1's assignment to combat (1090).</w:t>
      </w:r>
    </w:p>
    <w:p w14:paraId="7F0984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150FC71" w14:textId="77777777" w:rsidR="005F1C83" w:rsidRPr="00D03F3E" w:rsidRDefault="005F1C83"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11 февраля 1943 г. военное ведомство выдало фирме «Дуглас» заказ, который предусматривал проектирование реактивной модификации самолета ХВ-42 и строительство двух его опытных образцов. Однако было оговорено, что контракт на 13 предсерийных ХВ-42, на которые уже было выделено финансирование, аннулируется, а деньги перенаправляются на новую тематику (23003).</w:t>
      </w:r>
    </w:p>
    <w:p w14:paraId="0AF14469" w14:textId="77777777" w:rsidR="005F1C83" w:rsidRPr="00D03F3E" w:rsidRDefault="005F1C83" w:rsidP="00D03F3E">
      <w:pPr>
        <w:pStyle w:val="11c"/>
        <w:shd w:val="clear" w:color="auto" w:fill="auto"/>
        <w:spacing w:after="0" w:line="240" w:lineRule="auto"/>
        <w:jc w:val="both"/>
        <w:rPr>
          <w:rFonts w:ascii="Times New Roman" w:hAnsi="Times New Roman" w:cs="Times New Roman"/>
          <w:color w:val="0070C0"/>
          <w:sz w:val="16"/>
          <w:szCs w:val="16"/>
        </w:rPr>
      </w:pPr>
    </w:p>
    <w:p w14:paraId="2B267C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1943 был выдан контракт на постройку истребителя с комбинированной двигательной установкой XFR-1 (1090).</w:t>
      </w:r>
    </w:p>
    <w:p w14:paraId="7E73FF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26A6AA"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3CD499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1D49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февраля 1943 в НИПАВ завершились испытания вооружения на Як-9Т с НС-37, начатые 10 января 1943 (65,116).</w:t>
      </w:r>
    </w:p>
    <w:p w14:paraId="55A15E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AE5681" w14:textId="77777777" w:rsidR="002A2DB1" w:rsidRPr="00D03F3E" w:rsidRDefault="002A2DB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12 февраля 1943 на НИП АВ ВВС закончились начатые 10 января и были продолжены с 15 февраля по 4 марта 1943 г. полигонные и летные ис</w:t>
      </w:r>
      <w:r w:rsidRPr="00D03F3E">
        <w:rPr>
          <w:color w:val="000000" w:themeColor="text1"/>
          <w:sz w:val="16"/>
          <w:szCs w:val="16"/>
        </w:rPr>
        <w:softHyphen/>
        <w:t>пытания Як-9т с пушкой МП-37 (моторный вариант пушки 11П) в НИИ ВВС. Акты по результатам испытаний глав</w:t>
      </w:r>
      <w:r w:rsidRPr="00D03F3E">
        <w:rPr>
          <w:color w:val="000000" w:themeColor="text1"/>
          <w:sz w:val="16"/>
          <w:szCs w:val="16"/>
        </w:rPr>
        <w:softHyphen/>
        <w:t>ный инженер ВВС генерал-лейтенант А. К. Репин утвердил соответственно 19 февраля и 21 марта 1943 г.</w:t>
      </w:r>
    </w:p>
    <w:p w14:paraId="7D394D3B" w14:textId="77777777" w:rsidR="002A2DB1" w:rsidRPr="00D03F3E" w:rsidRDefault="002A2DB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 НИИ АВ самолет испытывали инженер-ка</w:t>
      </w:r>
      <w:r w:rsidRPr="00D03F3E">
        <w:rPr>
          <w:color w:val="000000" w:themeColor="text1"/>
          <w:sz w:val="16"/>
          <w:szCs w:val="16"/>
        </w:rPr>
        <w:softHyphen/>
        <w:t>питан В. М. Монич и летчик-испытатель капитан А. В. Кусакин, от НИИ ВВС — инженер-капитан А. Т. Степанец, инженер-майор Л. И. Лось и лет</w:t>
      </w:r>
      <w:r w:rsidRPr="00D03F3E">
        <w:rPr>
          <w:color w:val="000000" w:themeColor="text1"/>
          <w:sz w:val="16"/>
          <w:szCs w:val="16"/>
        </w:rPr>
        <w:softHyphen/>
        <w:t>чик-испытатель майор В. И. Хомяков.</w:t>
      </w:r>
    </w:p>
    <w:p w14:paraId="1A54BD62" w14:textId="77777777" w:rsidR="002A2DB1" w:rsidRPr="00D03F3E" w:rsidRDefault="002A2DB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общей сложности по программе испытаний на Як-9т было выполнено 34 полета с суммарным на</w:t>
      </w:r>
      <w:r w:rsidRPr="00D03F3E">
        <w:rPr>
          <w:color w:val="000000" w:themeColor="text1"/>
          <w:sz w:val="16"/>
          <w:szCs w:val="16"/>
        </w:rPr>
        <w:softHyphen/>
        <w:t>летом 16 ч 21 мин, в том числе 19 полетов (6 ч) — в НИИ АВ и 15 полетов (10 ч 21 мин) — в НИИ ВВС.</w:t>
      </w:r>
    </w:p>
    <w:p w14:paraId="3FF21046" w14:textId="77777777" w:rsidR="002A2DB1" w:rsidRPr="00D03F3E" w:rsidRDefault="002A2DB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и на ЛаГГ-3, пушка МП-37 располагалась в развале блока цилиндров мотора для стрельбы через полый вал редуктора и втулку винта. Ствол выступал из кока винта на 160 мм. Установка пу</w:t>
      </w:r>
      <w:r w:rsidRPr="00D03F3E">
        <w:rPr>
          <w:color w:val="000000" w:themeColor="text1"/>
          <w:sz w:val="16"/>
          <w:szCs w:val="16"/>
        </w:rPr>
        <w:softHyphen/>
        <w:t>лемета УБС оставалась без изменений. Емкость па</w:t>
      </w:r>
      <w:r w:rsidRPr="00D03F3E">
        <w:rPr>
          <w:color w:val="000000" w:themeColor="text1"/>
          <w:sz w:val="16"/>
          <w:szCs w:val="16"/>
        </w:rPr>
        <w:softHyphen/>
        <w:t xml:space="preserve">тронных ящиков составляла: 30—32 снаряда для пушки и 200—220 патронов для </w:t>
      </w:r>
      <w:r w:rsidRPr="00D03F3E">
        <w:rPr>
          <w:color w:val="000000" w:themeColor="text1"/>
          <w:sz w:val="16"/>
          <w:szCs w:val="16"/>
        </w:rPr>
        <w:lastRenderedPageBreak/>
        <w:t>пулемета. Питание пушки от рассыпной ленты из металлических зве</w:t>
      </w:r>
      <w:r w:rsidRPr="00D03F3E">
        <w:rPr>
          <w:color w:val="000000" w:themeColor="text1"/>
          <w:sz w:val="16"/>
          <w:szCs w:val="16"/>
        </w:rPr>
        <w:softHyphen/>
        <w:t>ньев. Гильзы и звенья собирались в отсеке под пуш</w:t>
      </w:r>
      <w:r w:rsidRPr="00D03F3E">
        <w:rPr>
          <w:color w:val="000000" w:themeColor="text1"/>
          <w:sz w:val="16"/>
          <w:szCs w:val="16"/>
        </w:rPr>
        <w:softHyphen/>
        <w:t>кой. Перезарядка пушки пневматическая. Управле</w:t>
      </w:r>
      <w:r w:rsidRPr="00D03F3E">
        <w:rPr>
          <w:color w:val="000000" w:themeColor="text1"/>
          <w:sz w:val="16"/>
          <w:szCs w:val="16"/>
        </w:rPr>
        <w:softHyphen/>
        <w:t>ние огнем — электропневматическое при помощи кнопки, расположенной на ручке управления. При</w:t>
      </w:r>
      <w:r w:rsidRPr="00D03F3E">
        <w:rPr>
          <w:color w:val="000000" w:themeColor="text1"/>
          <w:sz w:val="16"/>
          <w:szCs w:val="16"/>
        </w:rPr>
        <w:softHyphen/>
        <w:t>целивание при стрельбе выполнялось при помощи механического кольцевого прицела внутри каби</w:t>
      </w:r>
      <w:r w:rsidRPr="00D03F3E">
        <w:rPr>
          <w:color w:val="000000" w:themeColor="text1"/>
          <w:sz w:val="16"/>
          <w:szCs w:val="16"/>
        </w:rPr>
        <w:softHyphen/>
        <w:t>ны летчика и мушки на фюзеляже перед броне- козырьком. Для стрельбы по наземным целям на передней кромке крыла имелись метки, которые обеспечивали постоянство ввода самолета в пики</w:t>
      </w:r>
      <w:r w:rsidRPr="00D03F3E">
        <w:rPr>
          <w:color w:val="000000" w:themeColor="text1"/>
          <w:sz w:val="16"/>
          <w:szCs w:val="16"/>
        </w:rPr>
        <w:softHyphen/>
        <w:t>рование и необходимую дистанцию для открытия огня.</w:t>
      </w:r>
    </w:p>
    <w:p w14:paraId="446725B2" w14:textId="77777777" w:rsidR="002A2DB1" w:rsidRPr="00D03F3E" w:rsidRDefault="002A2DB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Установка достаточно габаритной и тяжелой пушки МП-37 (вес пушки с установкой — 182,2 кг, вес боекомплекта — 52,8 кг) с большой силой от</w:t>
      </w:r>
      <w:r w:rsidRPr="00D03F3E">
        <w:rPr>
          <w:color w:val="000000" w:themeColor="text1"/>
          <w:sz w:val="16"/>
          <w:szCs w:val="16"/>
        </w:rPr>
        <w:softHyphen/>
        <w:t>дачи (по данным НИИ АВ, около 5500 кг) потребо</w:t>
      </w:r>
      <w:r w:rsidRPr="00D03F3E">
        <w:rPr>
          <w:color w:val="000000" w:themeColor="text1"/>
          <w:sz w:val="16"/>
          <w:szCs w:val="16"/>
        </w:rPr>
        <w:softHyphen/>
        <w:t>вала внесения в конструкцию Як-9т ряда серьезных изменений. Был усилен силовой каркас фюзеляжа в его передней части. Для сохранения центров</w:t>
      </w:r>
      <w:r w:rsidRPr="00D03F3E">
        <w:rPr>
          <w:color w:val="000000" w:themeColor="text1"/>
          <w:sz w:val="16"/>
          <w:szCs w:val="16"/>
        </w:rPr>
        <w:softHyphen/>
        <w:t>ки в допустимых пределах кабина летчика была сдвинута назад на 400 мм (как это было сделано на Як-7-37). Вес пустого самолета возрос до 2298 кг. Полетный вес при запасе топлива 330 кг составил 3025 кг.</w:t>
      </w:r>
    </w:p>
    <w:p w14:paraId="441DF674" w14:textId="77777777" w:rsidR="002A2DB1" w:rsidRPr="00D03F3E" w:rsidRDefault="002A2DB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После всех доработок обзор летчику вперед- вниз, что было важно при взлете и посадке, ухуд</w:t>
      </w:r>
      <w:r w:rsidRPr="00D03F3E">
        <w:rPr>
          <w:color w:val="000000" w:themeColor="text1"/>
          <w:sz w:val="16"/>
          <w:szCs w:val="16"/>
        </w:rPr>
        <w:softHyphen/>
        <w:t>шился, но полученное при этом некоторое смеще</w:t>
      </w:r>
      <w:r w:rsidRPr="00D03F3E">
        <w:rPr>
          <w:color w:val="000000" w:themeColor="text1"/>
          <w:sz w:val="16"/>
          <w:szCs w:val="16"/>
        </w:rPr>
        <w:softHyphen/>
        <w:t>ние назад центровки уменьшило моменты инерции самолета. По сравнению с обычными «девятками» Як-9т стал менее инертным, что позволяло летчи</w:t>
      </w:r>
      <w:r w:rsidRPr="00D03F3E">
        <w:rPr>
          <w:color w:val="000000" w:themeColor="text1"/>
          <w:sz w:val="16"/>
          <w:szCs w:val="16"/>
        </w:rPr>
        <w:softHyphen/>
        <w:t>ку эффективно маневрировать в воздушном бою с противником.</w:t>
      </w:r>
    </w:p>
    <w:p w14:paraId="4C84A358" w14:textId="77777777" w:rsidR="002A2DB1" w:rsidRPr="00D03F3E" w:rsidRDefault="002A2DB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Максимальная скорость у земли составила 533 км/ч, на высоте 3930 м — 597 км/ч, на 5000 м — 585 км/ч. Время подъема на высоту 5000 м — 5,5 мин. Время виража на высоте 1000 м — 19 сек (ра</w:t>
      </w:r>
      <w:r w:rsidRPr="00D03F3E">
        <w:rPr>
          <w:color w:val="000000" w:themeColor="text1"/>
          <w:sz w:val="16"/>
          <w:szCs w:val="16"/>
        </w:rPr>
        <w:softHyphen/>
        <w:t>диус виража 305 м). Набор высоты за боевой разво</w:t>
      </w:r>
      <w:r w:rsidRPr="00D03F3E">
        <w:rPr>
          <w:color w:val="000000" w:themeColor="text1"/>
          <w:sz w:val="16"/>
          <w:szCs w:val="16"/>
        </w:rPr>
        <w:softHyphen/>
        <w:t>рот с высоты 1000 м не превышал 1100 м.</w:t>
      </w:r>
    </w:p>
    <w:p w14:paraId="177B53B1" w14:textId="77777777" w:rsidR="002A2DB1" w:rsidRPr="00D03F3E" w:rsidRDefault="002A2DB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По мнению летчиков-испытателей, Як-9т по своим летно-пилотажным данным стоял на уровне двухбачного самолета Як-9, несколько уступая ему в вертикальном маневре и намного превосходя по мощности огня При сравнении с пятиточечным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 «тан</w:t>
      </w:r>
      <w:r w:rsidRPr="00D03F3E">
        <w:rPr>
          <w:color w:val="000000" w:themeColor="text1"/>
          <w:sz w:val="16"/>
          <w:szCs w:val="16"/>
        </w:rPr>
        <w:softHyphen/>
        <w:t>ковый» Як-9т имел преимущество в горизонтальной скорости до высоты 4600 м. На высоте 4600 м ско</w:t>
      </w:r>
      <w:r w:rsidRPr="00D03F3E">
        <w:rPr>
          <w:color w:val="000000" w:themeColor="text1"/>
          <w:sz w:val="16"/>
          <w:szCs w:val="16"/>
        </w:rPr>
        <w:softHyphen/>
        <w:t xml:space="preserve">рости были одинаковыми, а выше преимущество переходило к «Мессершмитту». По горизонтальной маневренности Як-9т имел явное преимущество перед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 до высоты 5000 м за счет меньших радиуса и времени виража. На вертикальном ма</w:t>
      </w:r>
      <w:r w:rsidRPr="00D03F3E">
        <w:rPr>
          <w:color w:val="000000" w:themeColor="text1"/>
          <w:sz w:val="16"/>
          <w:szCs w:val="16"/>
        </w:rPr>
        <w:softHyphen/>
        <w:t>невре превосходство Як-9т сохранялось до высо</w:t>
      </w:r>
      <w:r w:rsidRPr="00D03F3E">
        <w:rPr>
          <w:color w:val="000000" w:themeColor="text1"/>
          <w:sz w:val="16"/>
          <w:szCs w:val="16"/>
        </w:rPr>
        <w:softHyphen/>
        <w:t xml:space="preserve">ты 3000 м, на высотах 3000—4500 м возможности самолетов были одинаковы, а выше преимущество переходило к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w:t>
      </w:r>
    </w:p>
    <w:p w14:paraId="71467647" w14:textId="77777777" w:rsidR="002A2DB1" w:rsidRPr="00D03F3E" w:rsidRDefault="002A2DB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известно, немецкий истребитель имел тя</w:t>
      </w:r>
      <w:r w:rsidRPr="00D03F3E">
        <w:rPr>
          <w:color w:val="000000" w:themeColor="text1"/>
          <w:sz w:val="16"/>
          <w:szCs w:val="16"/>
        </w:rPr>
        <w:softHyphen/>
        <w:t>желое управление и при перетягивании ручки сва</w:t>
      </w:r>
      <w:r w:rsidRPr="00D03F3E">
        <w:rPr>
          <w:color w:val="000000" w:themeColor="text1"/>
          <w:sz w:val="16"/>
          <w:szCs w:val="16"/>
        </w:rPr>
        <w:softHyphen/>
        <w:t>ливался в штопор. На пикировании он несколько уходил от Як-9т, однако на выходе из пикирова</w:t>
      </w:r>
      <w:r w:rsidRPr="00D03F3E">
        <w:rPr>
          <w:color w:val="000000" w:themeColor="text1"/>
          <w:sz w:val="16"/>
          <w:szCs w:val="16"/>
        </w:rPr>
        <w:softHyphen/>
        <w:t>ния требовал от летчика очень больших усилий, и поэтому вывод получался не энергичным, с рас</w:t>
      </w:r>
      <w:r w:rsidRPr="00D03F3E">
        <w:rPr>
          <w:color w:val="000000" w:themeColor="text1"/>
          <w:sz w:val="16"/>
          <w:szCs w:val="16"/>
        </w:rPr>
        <w:softHyphen/>
        <w:t>тянутой по времени и пространству траектори</w:t>
      </w:r>
      <w:r w:rsidRPr="00D03F3E">
        <w:rPr>
          <w:color w:val="000000" w:themeColor="text1"/>
          <w:sz w:val="16"/>
          <w:szCs w:val="16"/>
        </w:rPr>
        <w:softHyphen/>
        <w:t xml:space="preserve">ей. Эти обстоятельства позволяли летчику Як-9т уверенно атаковать «мессер» за счет упреждения на выходе из пикирования и на горке. К тому же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 имел плохой обзор задней полусферы, что повышало шансы Як-9т на победу в воздуш</w:t>
      </w:r>
      <w:r w:rsidRPr="00D03F3E">
        <w:rPr>
          <w:color w:val="000000" w:themeColor="text1"/>
          <w:sz w:val="16"/>
          <w:szCs w:val="16"/>
        </w:rPr>
        <w:softHyphen/>
        <w:t>ном бою.</w:t>
      </w:r>
    </w:p>
    <w:p w14:paraId="37347ED9" w14:textId="77777777" w:rsidR="002A2DB1" w:rsidRPr="00D03F3E" w:rsidRDefault="002A2DB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Наиболее выгодными дистанциями стрель</w:t>
      </w:r>
      <w:r w:rsidRPr="00D03F3E">
        <w:rPr>
          <w:color w:val="000000" w:themeColor="text1"/>
          <w:sz w:val="16"/>
          <w:szCs w:val="16"/>
        </w:rPr>
        <w:softHyphen/>
        <w:t>бы из пушки МП-37 считались 400—100 м — при действии по истребителям и 600—500 м — по бомбардировщикам. По плотному строю бомбар</w:t>
      </w:r>
      <w:r w:rsidRPr="00D03F3E">
        <w:rPr>
          <w:color w:val="000000" w:themeColor="text1"/>
          <w:sz w:val="16"/>
          <w:szCs w:val="16"/>
        </w:rPr>
        <w:softHyphen/>
        <w:t>дировщиков допускалась стрельба с дистанции 1000—1200 м с использованием осколочно-зажига- тельных снарядов с самоликвидацией.</w:t>
      </w:r>
    </w:p>
    <w:p w14:paraId="73F32AD0" w14:textId="77777777" w:rsidR="002A2DB1" w:rsidRPr="00D03F3E" w:rsidRDefault="002A2DB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Отмечалось, что схема вооружения Як-9т — пушка МП-37 калибра 37 мм и пулемет УБС — весьма выгодна в тактическом плане, так как одно попадание осколочно-зажигательного снаряда в самолет приводило к его полному разрушению, а наличие эффективного бронебойного снаряда позволяло наносить результативные удары по лег</w:t>
      </w:r>
      <w:r w:rsidRPr="00D03F3E">
        <w:rPr>
          <w:color w:val="000000" w:themeColor="text1"/>
          <w:sz w:val="16"/>
          <w:szCs w:val="16"/>
        </w:rPr>
        <w:softHyphen/>
        <w:t>ким и средним танкам противника. Возможность атаки танков под углом пикирования 40—50° обе</w:t>
      </w:r>
      <w:r w:rsidRPr="00D03F3E">
        <w:rPr>
          <w:color w:val="000000" w:themeColor="text1"/>
          <w:sz w:val="16"/>
          <w:szCs w:val="16"/>
        </w:rPr>
        <w:softHyphen/>
        <w:t>спечивала наилучшие условия для поражения тан</w:t>
      </w:r>
      <w:r w:rsidRPr="00D03F3E">
        <w:rPr>
          <w:color w:val="000000" w:themeColor="text1"/>
          <w:sz w:val="16"/>
          <w:szCs w:val="16"/>
        </w:rPr>
        <w:softHyphen/>
        <w:t>ков в горизонтальную броню (надмоторная броня и крыша башни) толщиной до 30 мм. При этом дис</w:t>
      </w:r>
      <w:r w:rsidRPr="00D03F3E">
        <w:rPr>
          <w:color w:val="000000" w:themeColor="text1"/>
          <w:sz w:val="16"/>
          <w:szCs w:val="16"/>
        </w:rPr>
        <w:softHyphen/>
        <w:t>танция прекращения стрельбы вполне обеспечива</w:t>
      </w:r>
      <w:r w:rsidRPr="00D03F3E">
        <w:rPr>
          <w:color w:val="000000" w:themeColor="text1"/>
          <w:sz w:val="16"/>
          <w:szCs w:val="16"/>
        </w:rPr>
        <w:softHyphen/>
        <w:t>ла безопасный вывод из пикирования.</w:t>
      </w:r>
    </w:p>
    <w:p w14:paraId="52BE618D" w14:textId="77777777" w:rsidR="002A2DB1" w:rsidRPr="00D03F3E" w:rsidRDefault="002A2DB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Однако при стрельбе из МП-37 на скоростях менее 300—350 км/ч по прибору из-за сильной отдачи пушки самолет раскачивался. Прицельным получался только первый выстрел, а все последу</w:t>
      </w:r>
      <w:r w:rsidRPr="00D03F3E">
        <w:rPr>
          <w:color w:val="000000" w:themeColor="text1"/>
          <w:sz w:val="16"/>
          <w:szCs w:val="16"/>
        </w:rPr>
        <w:softHyphen/>
        <w:t>ющие снаряды разбрасывались. Самолет сбивался с линии прицеливания, опуская нос, что вызывало недолеты при стрельбе по наземным целям и сни</w:t>
      </w:r>
      <w:r w:rsidRPr="00D03F3E">
        <w:rPr>
          <w:color w:val="000000" w:themeColor="text1"/>
          <w:sz w:val="16"/>
          <w:szCs w:val="16"/>
        </w:rPr>
        <w:softHyphen/>
        <w:t>жение трассы — при стрельбе по воздушным це</w:t>
      </w:r>
      <w:r w:rsidRPr="00D03F3E">
        <w:rPr>
          <w:color w:val="000000" w:themeColor="text1"/>
          <w:sz w:val="16"/>
          <w:szCs w:val="16"/>
        </w:rPr>
        <w:softHyphen/>
        <w:t>лям. Для продолжения стрельбы необходимо было восстанавливать прицеливание.</w:t>
      </w:r>
    </w:p>
    <w:p w14:paraId="6CB13EF4" w14:textId="77777777" w:rsidR="002A2DB1" w:rsidRPr="00D03F3E" w:rsidRDefault="002A2DB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этом с увеличением скорости полета и уменьшением длины очереди сила отдачи пушки в меньшей степени оказывала влияние на устойчи</w:t>
      </w:r>
      <w:r w:rsidRPr="00D03F3E">
        <w:rPr>
          <w:color w:val="000000" w:themeColor="text1"/>
          <w:sz w:val="16"/>
          <w:szCs w:val="16"/>
        </w:rPr>
        <w:softHyphen/>
        <w:t>вость полета самолета.</w:t>
      </w:r>
    </w:p>
    <w:p w14:paraId="66C90396" w14:textId="77777777" w:rsidR="002A2DB1" w:rsidRPr="00D03F3E" w:rsidRDefault="002A2DB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Учитывая ограниченность бое</w:t>
      </w:r>
      <w:r w:rsidRPr="00D03F3E">
        <w:rPr>
          <w:color w:val="000000" w:themeColor="text1"/>
          <w:sz w:val="16"/>
          <w:szCs w:val="16"/>
        </w:rPr>
        <w:softHyphen/>
        <w:t>комплекта, стрельбу из пушки МП-37 рекомендовалось вести только ко</w:t>
      </w:r>
      <w:r w:rsidRPr="00D03F3E">
        <w:rPr>
          <w:color w:val="000000" w:themeColor="text1"/>
          <w:sz w:val="16"/>
          <w:szCs w:val="16"/>
        </w:rPr>
        <w:softHyphen/>
        <w:t>роткими очередями по 1—2, макси</w:t>
      </w:r>
      <w:r w:rsidRPr="00D03F3E">
        <w:rPr>
          <w:color w:val="000000" w:themeColor="text1"/>
          <w:sz w:val="16"/>
          <w:szCs w:val="16"/>
        </w:rPr>
        <w:softHyphen/>
        <w:t>мум 3 снаряда, при скоростях, близ</w:t>
      </w:r>
      <w:r w:rsidRPr="00D03F3E">
        <w:rPr>
          <w:color w:val="000000" w:themeColor="text1"/>
          <w:sz w:val="16"/>
          <w:szCs w:val="16"/>
        </w:rPr>
        <w:softHyphen/>
        <w:t>ких к максимальной скорости полета. В свою очередь, это условие предъ</w:t>
      </w:r>
      <w:r w:rsidRPr="00D03F3E">
        <w:rPr>
          <w:color w:val="000000" w:themeColor="text1"/>
          <w:sz w:val="16"/>
          <w:szCs w:val="16"/>
        </w:rPr>
        <w:softHyphen/>
        <w:t>являло весьма жесткие требования к уровню летной и стрелковой подго</w:t>
      </w:r>
      <w:r w:rsidRPr="00D03F3E">
        <w:rPr>
          <w:color w:val="000000" w:themeColor="text1"/>
          <w:sz w:val="16"/>
          <w:szCs w:val="16"/>
        </w:rPr>
        <w:softHyphen/>
        <w:t>товки летного состава, летающего на Як-9т. Летчик должен быть своего ро</w:t>
      </w:r>
      <w:r w:rsidRPr="00D03F3E">
        <w:rPr>
          <w:color w:val="000000" w:themeColor="text1"/>
          <w:sz w:val="16"/>
          <w:szCs w:val="16"/>
        </w:rPr>
        <w:softHyphen/>
        <w:t>да воздушным снайпером и мастер</w:t>
      </w:r>
      <w:r w:rsidRPr="00D03F3E">
        <w:rPr>
          <w:color w:val="000000" w:themeColor="text1"/>
          <w:sz w:val="16"/>
          <w:szCs w:val="16"/>
        </w:rPr>
        <w:softHyphen/>
        <w:t>ски владеть техникой пилотирования самолетом.</w:t>
      </w:r>
    </w:p>
    <w:p w14:paraId="489B6F87" w14:textId="77777777" w:rsidR="002A2DB1" w:rsidRPr="00D03F3E" w:rsidRDefault="002A2DB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Обращалось внимание на необ</w:t>
      </w:r>
      <w:r w:rsidRPr="00D03F3E">
        <w:rPr>
          <w:color w:val="000000" w:themeColor="text1"/>
          <w:sz w:val="16"/>
          <w:szCs w:val="16"/>
        </w:rPr>
        <w:softHyphen/>
        <w:t>ходимость обеспечения повышенно</w:t>
      </w:r>
      <w:r w:rsidRPr="00D03F3E">
        <w:rPr>
          <w:color w:val="000000" w:themeColor="text1"/>
          <w:sz w:val="16"/>
          <w:szCs w:val="16"/>
        </w:rPr>
        <w:softHyphen/>
        <w:t>го качества производственного ис</w:t>
      </w:r>
      <w:r w:rsidRPr="00D03F3E">
        <w:rPr>
          <w:color w:val="000000" w:themeColor="text1"/>
          <w:sz w:val="16"/>
          <w:szCs w:val="16"/>
        </w:rPr>
        <w:softHyphen/>
        <w:t>полнения самолетов Як-9т с пушкой МП-37, в первую очередь — качества монтажных работ, так как большая отдача при стрельбе приводила к на</w:t>
      </w:r>
      <w:r w:rsidRPr="00D03F3E">
        <w:rPr>
          <w:color w:val="000000" w:themeColor="text1"/>
          <w:sz w:val="16"/>
          <w:szCs w:val="16"/>
        </w:rPr>
        <w:softHyphen/>
        <w:t>рушению соединений трубопроводов, появлению трещин и разрушению от</w:t>
      </w:r>
      <w:r w:rsidRPr="00D03F3E">
        <w:rPr>
          <w:color w:val="000000" w:themeColor="text1"/>
          <w:sz w:val="16"/>
          <w:szCs w:val="16"/>
        </w:rPr>
        <w:softHyphen/>
        <w:t>дельных деталей.</w:t>
      </w:r>
    </w:p>
    <w:p w14:paraId="0E126650" w14:textId="77777777" w:rsidR="002A2DB1" w:rsidRPr="00D03F3E" w:rsidRDefault="002A2DB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Несмотря на выявленные в хо</w:t>
      </w:r>
      <w:r w:rsidRPr="00D03F3E">
        <w:rPr>
          <w:color w:val="000000" w:themeColor="text1"/>
          <w:sz w:val="16"/>
          <w:szCs w:val="16"/>
        </w:rPr>
        <w:softHyphen/>
        <w:t>де испытаний недостатки установки пушки МП-37 на самолет Як-9т, был сделан вывод, что самолет «испыта</w:t>
      </w:r>
      <w:r w:rsidRPr="00D03F3E">
        <w:rPr>
          <w:color w:val="000000" w:themeColor="text1"/>
          <w:sz w:val="16"/>
          <w:szCs w:val="16"/>
        </w:rPr>
        <w:softHyphen/>
        <w:t>ния выдержал удовлетворительно». Рекомендовалась его массовая серия.</w:t>
      </w:r>
    </w:p>
    <w:p w14:paraId="72EBBD7D" w14:textId="77777777" w:rsidR="002A2DB1" w:rsidRPr="00D03F3E" w:rsidRDefault="002A2DB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Отметим, что в НИИ АВ в то время изучалась эффективность стрельбы из пушки МП-37 с самолета Як-9т на дальности 1000—1200 м по наземным щитам-мишеням с изображенными на них различными самолетами в на</w:t>
      </w:r>
      <w:r w:rsidRPr="00D03F3E">
        <w:rPr>
          <w:color w:val="000000" w:themeColor="text1"/>
          <w:sz w:val="16"/>
          <w:szCs w:val="16"/>
        </w:rPr>
        <w:softHyphen/>
        <w:t>туральную величину под ракурсами 0/4—1/4.</w:t>
      </w:r>
    </w:p>
    <w:p w14:paraId="58D1479D" w14:textId="77777777" w:rsidR="002A2DB1" w:rsidRPr="00D03F3E" w:rsidRDefault="002A2DB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этих условиях стрельбы лет</w:t>
      </w:r>
      <w:r w:rsidRPr="00D03F3E">
        <w:rPr>
          <w:color w:val="000000" w:themeColor="text1"/>
          <w:sz w:val="16"/>
          <w:szCs w:val="16"/>
        </w:rPr>
        <w:softHyphen/>
        <w:t>чик с отличной техникой пилотирова</w:t>
      </w:r>
      <w:r w:rsidRPr="00D03F3E">
        <w:rPr>
          <w:color w:val="000000" w:themeColor="text1"/>
          <w:sz w:val="16"/>
          <w:szCs w:val="16"/>
        </w:rPr>
        <w:softHyphen/>
        <w:t>ния и стрелковой подготовкой (майор Звонарев) имел 8% попаданий в фи</w:t>
      </w:r>
      <w:r w:rsidRPr="00D03F3E">
        <w:rPr>
          <w:color w:val="000000" w:themeColor="text1"/>
          <w:sz w:val="16"/>
          <w:szCs w:val="16"/>
        </w:rPr>
        <w:softHyphen/>
        <w:t>гуру самолета, а летчики со средней подготовкой — всего 1,7%.</w:t>
      </w:r>
    </w:p>
    <w:p w14:paraId="6FB53EC1" w14:textId="77777777" w:rsidR="002A2DB1" w:rsidRPr="00D03F3E" w:rsidRDefault="002A2DB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На основании математической обработки данных опытов в НИИ АВ были сделаны следующие выводы Для одного попадания в бомбардировщик средних размеров (5—10 м </w:t>
      </w:r>
      <w:r w:rsidRPr="00D03F3E">
        <w:rPr>
          <w:color w:val="000000" w:themeColor="text1"/>
          <w:sz w:val="16"/>
          <w:szCs w:val="16"/>
          <w:vertAlign w:val="superscript"/>
        </w:rPr>
        <w:t>2</w:t>
      </w:r>
      <w:r w:rsidRPr="00D03F3E">
        <w:rPr>
          <w:color w:val="000000" w:themeColor="text1"/>
          <w:sz w:val="16"/>
          <w:szCs w:val="16"/>
        </w:rPr>
        <w:t xml:space="preserve"> — Ме 210, </w:t>
      </w:r>
      <w:r w:rsidRPr="00D03F3E">
        <w:rPr>
          <w:color w:val="000000" w:themeColor="text1"/>
          <w:sz w:val="16"/>
          <w:szCs w:val="16"/>
          <w:lang w:val="en-US"/>
        </w:rPr>
        <w:t>Ju</w:t>
      </w:r>
      <w:r w:rsidRPr="00D03F3E">
        <w:rPr>
          <w:color w:val="000000" w:themeColor="text1"/>
          <w:sz w:val="16"/>
          <w:szCs w:val="16"/>
        </w:rPr>
        <w:t>88</w:t>
      </w:r>
      <w:r w:rsidRPr="00D03F3E">
        <w:rPr>
          <w:color w:val="000000" w:themeColor="text1"/>
          <w:sz w:val="16"/>
          <w:szCs w:val="16"/>
          <w:lang w:val="en-US"/>
        </w:rPr>
        <w:t>A</w:t>
      </w:r>
      <w:r w:rsidRPr="00D03F3E">
        <w:rPr>
          <w:color w:val="000000" w:themeColor="text1"/>
          <w:sz w:val="16"/>
          <w:szCs w:val="16"/>
        </w:rPr>
        <w:t xml:space="preserve">, </w:t>
      </w:r>
      <w:r w:rsidRPr="00D03F3E">
        <w:rPr>
          <w:color w:val="000000" w:themeColor="text1"/>
          <w:sz w:val="16"/>
          <w:szCs w:val="16"/>
          <w:lang w:val="en-US"/>
        </w:rPr>
        <w:t>Ju</w:t>
      </w:r>
      <w:r w:rsidRPr="00D03F3E">
        <w:rPr>
          <w:color w:val="000000" w:themeColor="text1"/>
          <w:sz w:val="16"/>
          <w:szCs w:val="16"/>
        </w:rPr>
        <w:t>87</w:t>
      </w:r>
      <w:r w:rsidRPr="00D03F3E">
        <w:rPr>
          <w:color w:val="000000" w:themeColor="text1"/>
          <w:sz w:val="16"/>
          <w:szCs w:val="16"/>
          <w:lang w:val="en-US"/>
        </w:rPr>
        <w:t>B</w:t>
      </w:r>
      <w:r w:rsidRPr="00D03F3E">
        <w:rPr>
          <w:color w:val="000000" w:themeColor="text1"/>
          <w:sz w:val="16"/>
          <w:szCs w:val="16"/>
        </w:rPr>
        <w:t>), на</w:t>
      </w:r>
      <w:r w:rsidRPr="00D03F3E">
        <w:rPr>
          <w:color w:val="000000" w:themeColor="text1"/>
          <w:sz w:val="16"/>
          <w:szCs w:val="16"/>
        </w:rPr>
        <w:softHyphen/>
        <w:t>ходящийся на земле при стрельбе на дальностях 1000—1200 м и при ракурсе 0/4—1/4 квалифици</w:t>
      </w:r>
      <w:r w:rsidRPr="00D03F3E">
        <w:rPr>
          <w:color w:val="000000" w:themeColor="text1"/>
          <w:sz w:val="16"/>
          <w:szCs w:val="16"/>
        </w:rPr>
        <w:softHyphen/>
        <w:t>рованному летчику необходимо произвести около 25 выстрелов, а со средней квалификацией — око</w:t>
      </w:r>
      <w:r w:rsidRPr="00D03F3E">
        <w:rPr>
          <w:color w:val="000000" w:themeColor="text1"/>
          <w:sz w:val="16"/>
          <w:szCs w:val="16"/>
        </w:rPr>
        <w:softHyphen/>
        <w:t>ло 60 выстрелов.</w:t>
      </w:r>
    </w:p>
    <w:p w14:paraId="17356176" w14:textId="77777777" w:rsidR="002A2DB1" w:rsidRPr="00D03F3E" w:rsidRDefault="002A2DB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стрельбе по летящему самолету для по</w:t>
      </w:r>
      <w:r w:rsidRPr="00D03F3E">
        <w:rPr>
          <w:color w:val="000000" w:themeColor="text1"/>
          <w:sz w:val="16"/>
          <w:szCs w:val="16"/>
        </w:rPr>
        <w:softHyphen/>
        <w:t>падания в него на дальностях 1000—1200 м при ракурсе 0/4—1/4 квалифицированному летчику требуется израсходовать около 60 снарядов, а лет</w:t>
      </w:r>
      <w:r w:rsidRPr="00D03F3E">
        <w:rPr>
          <w:color w:val="000000" w:themeColor="text1"/>
          <w:sz w:val="16"/>
          <w:szCs w:val="16"/>
        </w:rPr>
        <w:softHyphen/>
        <w:t>чику со средней подготовкой — около 130 сна</w:t>
      </w:r>
      <w:r w:rsidRPr="00D03F3E">
        <w:rPr>
          <w:color w:val="000000" w:themeColor="text1"/>
          <w:sz w:val="16"/>
          <w:szCs w:val="16"/>
        </w:rPr>
        <w:softHyphen/>
        <w:t>рядов.</w:t>
      </w:r>
    </w:p>
    <w:p w14:paraId="75E89C58" w14:textId="77777777" w:rsidR="002A2DB1" w:rsidRPr="00D03F3E" w:rsidRDefault="002A2DB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этим причинам для летчиков со средней стрелковой подготовкой, то есть строевых летчи</w:t>
      </w:r>
      <w:r w:rsidRPr="00D03F3E">
        <w:rPr>
          <w:color w:val="000000" w:themeColor="text1"/>
          <w:sz w:val="16"/>
          <w:szCs w:val="16"/>
        </w:rPr>
        <w:softHyphen/>
        <w:t>ков, дальностями действительного огня являются 600—400 м при стрельбе по бомбардировщику и 400—100 м — по истребителю. На этих дально</w:t>
      </w:r>
      <w:r w:rsidRPr="00D03F3E">
        <w:rPr>
          <w:color w:val="000000" w:themeColor="text1"/>
          <w:sz w:val="16"/>
          <w:szCs w:val="16"/>
        </w:rPr>
        <w:softHyphen/>
        <w:t>стях стрельбы обеспечивались вполне приемлемые вероятности попадания хотя бы одним снарядом при израсходовании одного боекомплекта в пуш</w:t>
      </w:r>
      <w:r w:rsidRPr="00D03F3E">
        <w:rPr>
          <w:color w:val="000000" w:themeColor="text1"/>
          <w:sz w:val="16"/>
          <w:szCs w:val="16"/>
        </w:rPr>
        <w:softHyphen/>
        <w:t>ке МП-37.</w:t>
      </w:r>
    </w:p>
    <w:p w14:paraId="77C2C9D0" w14:textId="77777777" w:rsidR="002A2DB1" w:rsidRPr="00D03F3E" w:rsidRDefault="002A2DB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Ко времени окончания испытаний противо</w:t>
      </w:r>
      <w:r w:rsidRPr="00D03F3E">
        <w:rPr>
          <w:color w:val="000000" w:themeColor="text1"/>
          <w:sz w:val="16"/>
          <w:szCs w:val="16"/>
        </w:rPr>
        <w:softHyphen/>
        <w:t xml:space="preserve">танковых вариантов Як-9т и Ил-2 с пушками Ш-37 и 11П стало известно о применении противником на фронте тяжелых танков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VI</w:t>
      </w:r>
      <w:r w:rsidRPr="00D03F3E">
        <w:rPr>
          <w:color w:val="000000" w:themeColor="text1"/>
          <w:sz w:val="16"/>
          <w:szCs w:val="16"/>
        </w:rPr>
        <w:t xml:space="preserve"> «Тигр». От Главно</w:t>
      </w:r>
      <w:r w:rsidRPr="00D03F3E">
        <w:rPr>
          <w:color w:val="000000" w:themeColor="text1"/>
          <w:sz w:val="16"/>
          <w:szCs w:val="16"/>
        </w:rPr>
        <w:softHyphen/>
        <w:t>го разведывательного управления Генерального штаба Красной Армии получены сведения о по</w:t>
      </w:r>
      <w:r w:rsidRPr="00D03F3E">
        <w:rPr>
          <w:color w:val="000000" w:themeColor="text1"/>
          <w:sz w:val="16"/>
          <w:szCs w:val="16"/>
        </w:rPr>
        <w:softHyphen/>
        <w:t xml:space="preserve">ступлении на вооружение немецкой армии новых образцов бронетехники — танков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V</w:t>
      </w:r>
      <w:r w:rsidRPr="00D03F3E">
        <w:rPr>
          <w:color w:val="000000" w:themeColor="text1"/>
          <w:sz w:val="16"/>
          <w:szCs w:val="16"/>
        </w:rPr>
        <w:t xml:space="preserve"> «Пантера» и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IV</w:t>
      </w:r>
      <w:r w:rsidRPr="00D03F3E">
        <w:rPr>
          <w:color w:val="000000" w:themeColor="text1"/>
          <w:sz w:val="16"/>
          <w:szCs w:val="16"/>
        </w:rPr>
        <w:t>/</w:t>
      </w:r>
      <w:r w:rsidRPr="00D03F3E">
        <w:rPr>
          <w:color w:val="000000" w:themeColor="text1"/>
          <w:sz w:val="16"/>
          <w:szCs w:val="16"/>
          <w:lang w:val="en-US"/>
        </w:rPr>
        <w:t>H</w:t>
      </w:r>
      <w:r w:rsidRPr="00D03F3E">
        <w:rPr>
          <w:color w:val="000000" w:themeColor="text1"/>
          <w:sz w:val="16"/>
          <w:szCs w:val="16"/>
        </w:rPr>
        <w:t xml:space="preserve">, а также штурмового орудия </w:t>
      </w:r>
      <w:r w:rsidRPr="00D03F3E">
        <w:rPr>
          <w:color w:val="000000" w:themeColor="text1"/>
          <w:sz w:val="16"/>
          <w:szCs w:val="16"/>
          <w:lang w:val="en-US"/>
        </w:rPr>
        <w:t>Jgd</w:t>
      </w:r>
      <w:r w:rsidRPr="00D03F3E">
        <w:rPr>
          <w:color w:val="000000" w:themeColor="text1"/>
          <w:sz w:val="16"/>
          <w:szCs w:val="16"/>
        </w:rPr>
        <w:t xml:space="preserve"> </w:t>
      </w:r>
      <w:r w:rsidRPr="00D03F3E">
        <w:rPr>
          <w:color w:val="000000" w:themeColor="text1"/>
          <w:sz w:val="16"/>
          <w:szCs w:val="16"/>
          <w:lang w:val="en-US"/>
        </w:rPr>
        <w:t>Pz</w:t>
      </w:r>
      <w:r w:rsidRPr="00D03F3E">
        <w:rPr>
          <w:color w:val="000000" w:themeColor="text1"/>
          <w:sz w:val="16"/>
          <w:szCs w:val="16"/>
        </w:rPr>
        <w:t xml:space="preserve"> </w:t>
      </w:r>
      <w:r w:rsidRPr="00D03F3E">
        <w:rPr>
          <w:color w:val="000000" w:themeColor="text1"/>
          <w:sz w:val="16"/>
          <w:szCs w:val="16"/>
          <w:lang w:val="en-US"/>
        </w:rPr>
        <w:t>Tiger</w:t>
      </w:r>
      <w:r w:rsidRPr="00D03F3E">
        <w:rPr>
          <w:color w:val="000000" w:themeColor="text1"/>
          <w:sz w:val="16"/>
          <w:szCs w:val="16"/>
        </w:rPr>
        <w:t xml:space="preserve"> (</w:t>
      </w:r>
      <w:r w:rsidRPr="00D03F3E">
        <w:rPr>
          <w:color w:val="000000" w:themeColor="text1"/>
          <w:sz w:val="16"/>
          <w:szCs w:val="16"/>
          <w:lang w:val="en-US"/>
        </w:rPr>
        <w:t>P</w:t>
      </w:r>
      <w:r w:rsidRPr="00D03F3E">
        <w:rPr>
          <w:color w:val="000000" w:themeColor="text1"/>
          <w:sz w:val="16"/>
          <w:szCs w:val="16"/>
        </w:rPr>
        <w:t>) «Фердинанд». Все они имели усиленную бро</w:t>
      </w:r>
      <w:r w:rsidRPr="00D03F3E">
        <w:rPr>
          <w:color w:val="000000" w:themeColor="text1"/>
          <w:sz w:val="16"/>
          <w:szCs w:val="16"/>
        </w:rPr>
        <w:softHyphen/>
        <w:t>невую защиту и мощное вооружение. Массовое появление этих танков на фронте ожидалось ле</w:t>
      </w:r>
      <w:r w:rsidRPr="00D03F3E">
        <w:rPr>
          <w:color w:val="000000" w:themeColor="text1"/>
          <w:sz w:val="16"/>
          <w:szCs w:val="16"/>
        </w:rPr>
        <w:softHyphen/>
        <w:t>том 1943 г. Вопрос о резком повышении противо</w:t>
      </w:r>
      <w:r w:rsidRPr="00D03F3E">
        <w:rPr>
          <w:color w:val="000000" w:themeColor="text1"/>
          <w:sz w:val="16"/>
          <w:szCs w:val="16"/>
        </w:rPr>
        <w:softHyphen/>
        <w:t>танковых возможностей ВВС КА встал со всей остротой.</w:t>
      </w:r>
    </w:p>
    <w:p w14:paraId="06C5157F" w14:textId="77777777" w:rsidR="002A2DB1" w:rsidRPr="00D03F3E" w:rsidRDefault="002A2DB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 учетом этого ГКО принимает решение в поль</w:t>
      </w:r>
      <w:r w:rsidRPr="00D03F3E">
        <w:rPr>
          <w:color w:val="000000" w:themeColor="text1"/>
          <w:sz w:val="16"/>
          <w:szCs w:val="16"/>
        </w:rPr>
        <w:softHyphen/>
        <w:t>зу массового производства пушки 11 П. С этими пушками серийно решили выпускать двухместный Ил-2 (завод № 30 в Москве) и «танковый» вариант истребителя Як-9т (завод № 153 в Новосибирске) (17500).</w:t>
      </w:r>
    </w:p>
    <w:p w14:paraId="51D65006" w14:textId="77777777" w:rsidR="002A2DB1" w:rsidRPr="00D03F3E" w:rsidRDefault="002A2DB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5C8DA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февраля 1943 вышел приказ НКАП N 93 о мероприятиях по улучшению ЛТД Ла-5 и решили поставить М-71 и сделать в 2 экз. (930,23).</w:t>
      </w:r>
    </w:p>
    <w:p w14:paraId="2570AF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улучшения ЛТД самолета Ла-5 приказываю:</w:t>
      </w:r>
    </w:p>
    <w:p w14:paraId="6F0A10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Дир. Завода № 21 Агаджанову и ГК С.А.Л. спроектировать и построить модифицированный с-т Ла-5 с мотором М-71 в двух экз.</w:t>
      </w:r>
    </w:p>
    <w:p w14:paraId="702BBF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должен иметь следующие ЛТД:</w:t>
      </w:r>
    </w:p>
    <w:p w14:paraId="596D16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Скорость макс. у земли</w:t>
      </w:r>
      <w:r w:rsidRPr="00D03F3E">
        <w:rPr>
          <w:rFonts w:ascii="Times New Roman" w:hAnsi="Times New Roman"/>
          <w:color w:val="000000" w:themeColor="text1"/>
          <w:sz w:val="16"/>
          <w:szCs w:val="16"/>
        </w:rPr>
        <w:tab/>
        <w:t>590 км/час</w:t>
      </w:r>
    </w:p>
    <w:p w14:paraId="48F769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Скрость макс. на высоте 6000 м </w:t>
      </w:r>
      <w:r w:rsidRPr="00D03F3E">
        <w:rPr>
          <w:rFonts w:ascii="Times New Roman" w:hAnsi="Times New Roman"/>
          <w:color w:val="000000" w:themeColor="text1"/>
          <w:sz w:val="16"/>
          <w:szCs w:val="16"/>
        </w:rPr>
        <w:tab/>
        <w:t>670 км/час</w:t>
      </w:r>
    </w:p>
    <w:p w14:paraId="569A07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Скороподъемность на 5000 м</w:t>
      </w:r>
      <w:r w:rsidRPr="00D03F3E">
        <w:rPr>
          <w:rFonts w:ascii="Times New Roman" w:hAnsi="Times New Roman"/>
          <w:color w:val="000000" w:themeColor="text1"/>
          <w:sz w:val="16"/>
          <w:szCs w:val="16"/>
        </w:rPr>
        <w:tab/>
        <w:t>4,8 мин.</w:t>
      </w:r>
    </w:p>
    <w:p w14:paraId="6E3067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2хШВАК с б/з 170 шт. снарядов</w:t>
      </w:r>
    </w:p>
    <w:p w14:paraId="51F4BD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выпустить на летные испытания:</w:t>
      </w:r>
    </w:p>
    <w:p w14:paraId="3504FF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1-й</w:t>
      </w:r>
      <w:r w:rsidRPr="00D03F3E">
        <w:rPr>
          <w:rFonts w:ascii="Times New Roman" w:hAnsi="Times New Roman"/>
          <w:color w:val="000000" w:themeColor="text1"/>
          <w:sz w:val="16"/>
          <w:szCs w:val="16"/>
        </w:rPr>
        <w:tab/>
        <w:t>1 августа 1943</w:t>
      </w:r>
    </w:p>
    <w:p w14:paraId="1BC9B2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2-й</w:t>
      </w:r>
      <w:r w:rsidRPr="00D03F3E">
        <w:rPr>
          <w:rFonts w:ascii="Times New Roman" w:hAnsi="Times New Roman"/>
          <w:color w:val="000000" w:themeColor="text1"/>
          <w:sz w:val="16"/>
          <w:szCs w:val="16"/>
        </w:rPr>
        <w:tab/>
        <w:t>15 августа 1943</w:t>
      </w:r>
    </w:p>
    <w:p w14:paraId="23DD47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Директ. з-да № 19 т. Солдатову отгрузить заводу № 21 моторы М-71 в количестве 3-х шт., в след. Сроки:</w:t>
      </w:r>
    </w:p>
    <w:p w14:paraId="7B0347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мотор</w:t>
      </w:r>
      <w:r w:rsidRPr="00D03F3E">
        <w:rPr>
          <w:rFonts w:ascii="Times New Roman" w:hAnsi="Times New Roman"/>
          <w:color w:val="000000" w:themeColor="text1"/>
          <w:sz w:val="16"/>
          <w:szCs w:val="16"/>
        </w:rPr>
        <w:tab/>
        <w:t>15 февраля 1943</w:t>
      </w:r>
    </w:p>
    <w:p w14:paraId="47E85B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мотора</w:t>
      </w:r>
      <w:r w:rsidRPr="00D03F3E">
        <w:rPr>
          <w:rFonts w:ascii="Times New Roman" w:hAnsi="Times New Roman"/>
          <w:color w:val="000000" w:themeColor="text1"/>
          <w:sz w:val="16"/>
          <w:szCs w:val="16"/>
        </w:rPr>
        <w:tab/>
        <w:t>25 февраля 1943</w:t>
      </w:r>
    </w:p>
    <w:p w14:paraId="3813A6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Нач. финансового отдела НКАП т. Фгалину И.Е. выделить для проведения работ 2000000 руб. из ассигнований на опытно-конструкторские работы</w:t>
      </w:r>
    </w:p>
    <w:p w14:paraId="64F46F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Подписал А.И.Ш. (930,23).</w:t>
      </w:r>
    </w:p>
    <w:p w14:paraId="10701D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Визы: А.С.Я. и С.А.Л.</w:t>
      </w:r>
    </w:p>
    <w:p w14:paraId="3820D2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Таблица 3. Характеристики Ла-5Ф, выпущенных заводом № 21 с января по апрель 1943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860B4B" w:rsidRPr="00D03F3E" w14:paraId="48A91CDA" w14:textId="77777777">
        <w:tc>
          <w:tcPr>
            <w:tcW w:w="2242" w:type="dxa"/>
            <w:tcBorders>
              <w:top w:val="single" w:sz="12" w:space="0" w:color="auto"/>
            </w:tcBorders>
          </w:tcPr>
          <w:p w14:paraId="5E4446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Месяц выпуска</w:t>
            </w:r>
          </w:p>
        </w:tc>
        <w:tc>
          <w:tcPr>
            <w:tcW w:w="2242" w:type="dxa"/>
            <w:tcBorders>
              <w:top w:val="single" w:sz="12" w:space="0" w:color="auto"/>
            </w:tcBorders>
          </w:tcPr>
          <w:p w14:paraId="7C4284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январь</w:t>
            </w:r>
          </w:p>
        </w:tc>
        <w:tc>
          <w:tcPr>
            <w:tcW w:w="2242" w:type="dxa"/>
            <w:tcBorders>
              <w:top w:val="single" w:sz="12" w:space="0" w:color="auto"/>
            </w:tcBorders>
          </w:tcPr>
          <w:p w14:paraId="1ED3A5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февраль</w:t>
            </w:r>
          </w:p>
        </w:tc>
        <w:tc>
          <w:tcPr>
            <w:tcW w:w="2242" w:type="dxa"/>
            <w:tcBorders>
              <w:top w:val="single" w:sz="12" w:space="0" w:color="auto"/>
            </w:tcBorders>
          </w:tcPr>
          <w:p w14:paraId="387967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март</w:t>
            </w:r>
          </w:p>
        </w:tc>
        <w:tc>
          <w:tcPr>
            <w:tcW w:w="2242" w:type="dxa"/>
            <w:tcBorders>
              <w:top w:val="single" w:sz="12" w:space="0" w:color="auto"/>
            </w:tcBorders>
          </w:tcPr>
          <w:p w14:paraId="248620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апрель</w:t>
            </w:r>
          </w:p>
        </w:tc>
      </w:tr>
      <w:tr w:rsidR="00860B4B" w:rsidRPr="00D03F3E" w14:paraId="48F104B2" w14:textId="77777777">
        <w:tc>
          <w:tcPr>
            <w:tcW w:w="2242" w:type="dxa"/>
          </w:tcPr>
          <w:p w14:paraId="1AC4B6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Взлетный вес, кг</w:t>
            </w:r>
          </w:p>
        </w:tc>
        <w:tc>
          <w:tcPr>
            <w:tcW w:w="2242" w:type="dxa"/>
          </w:tcPr>
          <w:p w14:paraId="07948E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3240</w:t>
            </w:r>
          </w:p>
        </w:tc>
        <w:tc>
          <w:tcPr>
            <w:tcW w:w="2242" w:type="dxa"/>
          </w:tcPr>
          <w:p w14:paraId="693590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3224</w:t>
            </w:r>
          </w:p>
        </w:tc>
        <w:tc>
          <w:tcPr>
            <w:tcW w:w="2242" w:type="dxa"/>
          </w:tcPr>
          <w:p w14:paraId="46E8F7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3208</w:t>
            </w:r>
          </w:p>
        </w:tc>
        <w:tc>
          <w:tcPr>
            <w:tcW w:w="2242" w:type="dxa"/>
          </w:tcPr>
          <w:p w14:paraId="725F31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3235</w:t>
            </w:r>
          </w:p>
        </w:tc>
      </w:tr>
      <w:tr w:rsidR="00860B4B" w:rsidRPr="00D03F3E" w14:paraId="64171515" w14:textId="77777777">
        <w:tc>
          <w:tcPr>
            <w:tcW w:w="2242" w:type="dxa"/>
          </w:tcPr>
          <w:p w14:paraId="614DED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Скорость макс., км/час</w:t>
            </w:r>
          </w:p>
        </w:tc>
        <w:tc>
          <w:tcPr>
            <w:tcW w:w="2242" w:type="dxa"/>
          </w:tcPr>
          <w:p w14:paraId="05904F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C48D8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61AB24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D91F9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B528098" w14:textId="77777777">
        <w:tc>
          <w:tcPr>
            <w:tcW w:w="2242" w:type="dxa"/>
          </w:tcPr>
          <w:p w14:paraId="6490B3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земли</w:t>
            </w:r>
          </w:p>
        </w:tc>
        <w:tc>
          <w:tcPr>
            <w:tcW w:w="2242" w:type="dxa"/>
          </w:tcPr>
          <w:p w14:paraId="1E3D4C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563</w:t>
            </w:r>
          </w:p>
        </w:tc>
        <w:tc>
          <w:tcPr>
            <w:tcW w:w="2242" w:type="dxa"/>
          </w:tcPr>
          <w:p w14:paraId="30B35F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550</w:t>
            </w:r>
          </w:p>
        </w:tc>
        <w:tc>
          <w:tcPr>
            <w:tcW w:w="2242" w:type="dxa"/>
          </w:tcPr>
          <w:p w14:paraId="6C6511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555</w:t>
            </w:r>
          </w:p>
        </w:tc>
        <w:tc>
          <w:tcPr>
            <w:tcW w:w="2242" w:type="dxa"/>
          </w:tcPr>
          <w:p w14:paraId="7C4B99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557</w:t>
            </w:r>
          </w:p>
        </w:tc>
      </w:tr>
      <w:tr w:rsidR="00860B4B" w:rsidRPr="00D03F3E" w14:paraId="53A7DF08" w14:textId="77777777">
        <w:tc>
          <w:tcPr>
            <w:tcW w:w="2242" w:type="dxa"/>
          </w:tcPr>
          <w:p w14:paraId="271C3A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высоте 5000 м</w:t>
            </w:r>
          </w:p>
        </w:tc>
        <w:tc>
          <w:tcPr>
            <w:tcW w:w="2242" w:type="dxa"/>
          </w:tcPr>
          <w:p w14:paraId="0109E1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556</w:t>
            </w:r>
          </w:p>
        </w:tc>
        <w:tc>
          <w:tcPr>
            <w:tcW w:w="2242" w:type="dxa"/>
          </w:tcPr>
          <w:p w14:paraId="7324BE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579</w:t>
            </w:r>
          </w:p>
        </w:tc>
        <w:tc>
          <w:tcPr>
            <w:tcW w:w="2242" w:type="dxa"/>
          </w:tcPr>
          <w:p w14:paraId="63BCC8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546</w:t>
            </w:r>
          </w:p>
        </w:tc>
        <w:tc>
          <w:tcPr>
            <w:tcW w:w="2242" w:type="dxa"/>
          </w:tcPr>
          <w:p w14:paraId="5C6617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572</w:t>
            </w:r>
          </w:p>
        </w:tc>
      </w:tr>
      <w:tr w:rsidR="00860B4B" w:rsidRPr="00D03F3E" w14:paraId="583B910B" w14:textId="77777777">
        <w:tc>
          <w:tcPr>
            <w:tcW w:w="2242" w:type="dxa"/>
          </w:tcPr>
          <w:p w14:paraId="6A2407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Время набора высоты 5000 м, мин</w:t>
            </w:r>
          </w:p>
        </w:tc>
        <w:tc>
          <w:tcPr>
            <w:tcW w:w="2242" w:type="dxa"/>
          </w:tcPr>
          <w:p w14:paraId="034C31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w:t>
            </w:r>
          </w:p>
        </w:tc>
        <w:tc>
          <w:tcPr>
            <w:tcW w:w="2242" w:type="dxa"/>
          </w:tcPr>
          <w:p w14:paraId="1D1E14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242" w:type="dxa"/>
          </w:tcPr>
          <w:p w14:paraId="26028C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w:t>
            </w:r>
          </w:p>
        </w:tc>
        <w:tc>
          <w:tcPr>
            <w:tcW w:w="2242" w:type="dxa"/>
          </w:tcPr>
          <w:p w14:paraId="4AE1EC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r>
      <w:tr w:rsidR="00860B4B" w:rsidRPr="00D03F3E" w14:paraId="7FDE93EA" w14:textId="77777777">
        <w:tc>
          <w:tcPr>
            <w:tcW w:w="2242" w:type="dxa"/>
          </w:tcPr>
          <w:p w14:paraId="00382D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w:t>
            </w:r>
          </w:p>
        </w:tc>
        <w:tc>
          <w:tcPr>
            <w:tcW w:w="2242" w:type="dxa"/>
          </w:tcPr>
          <w:p w14:paraId="0647FD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1хШВАК</w:t>
            </w:r>
          </w:p>
        </w:tc>
        <w:tc>
          <w:tcPr>
            <w:tcW w:w="2242" w:type="dxa"/>
          </w:tcPr>
          <w:p w14:paraId="12D3F3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2хШВАК</w:t>
            </w:r>
          </w:p>
        </w:tc>
        <w:tc>
          <w:tcPr>
            <w:tcW w:w="2242" w:type="dxa"/>
          </w:tcPr>
          <w:p w14:paraId="68280D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242" w:type="dxa"/>
          </w:tcPr>
          <w:p w14:paraId="638EFF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2хШВАК</w:t>
            </w:r>
          </w:p>
        </w:tc>
      </w:tr>
      <w:tr w:rsidR="00860B4B" w:rsidRPr="00D03F3E" w14:paraId="6C344AFC" w14:textId="77777777">
        <w:tc>
          <w:tcPr>
            <w:tcW w:w="2242" w:type="dxa"/>
            <w:tcBorders>
              <w:bottom w:val="single" w:sz="12" w:space="0" w:color="auto"/>
            </w:tcBorders>
          </w:tcPr>
          <w:p w14:paraId="18DD6C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019ED5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1хБС</w:t>
            </w:r>
          </w:p>
        </w:tc>
        <w:tc>
          <w:tcPr>
            <w:tcW w:w="2242" w:type="dxa"/>
            <w:tcBorders>
              <w:bottom w:val="single" w:sz="12" w:space="0" w:color="auto"/>
            </w:tcBorders>
          </w:tcPr>
          <w:p w14:paraId="4568F9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674AEF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40CBF9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2D2D99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(12032).</w:t>
      </w:r>
    </w:p>
    <w:p w14:paraId="49765C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D7F5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февраля 1943 вышел приказ НКАП. Документом предписывалось создать самолет- истребитель с максимальной скоростью у земли 590 км/ч, а на высоте 6000 м - 670 км/ч. Время набора высоты 5000 м задавалось 4,8 минуты. Вооружение - два орудия ШВАК с боезапасом 170 патронов. Первый экземпляр самолета следовало сдать заказчику к 1 апреля, а второй - к 15 апреля того же года. Весной этого же года на Ла-5 № 39210204 установили новый звездообразный двигатель М-71Ф мощностью 2250 л.с. Использование этого мотора на различных типах самолетов, как на истребителях, так и на бомбардировщиках все время сопровождалось неудачами. Хотя двигатель и прошел 50-часовые стендовые испытания, в полете и у М-71, и у его форсированной модификации М-71Ф постоянно что-то ломалось. Не исключением стал и Ла-5. Хотя мотор М-71Ф не только вылез за обводы капотов прежней силовой установки, но и утяжелил истребитель, его большая мощность сделала свое дело. Летные испытания, проведенные в ЛИИ с 28 апреля по 4 июня 1943 года, показали, что максимальная скорость истребителя возросла до 685 км/ч на высоте 5500 м. В то же время скороподъемность машины практически не изменилась.</w:t>
      </w:r>
    </w:p>
    <w:p w14:paraId="63FC62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Чтобы выяснить пути улучшения характеристик машины, ее исследовали в натурной аэродинамической трубе ЦАГИ Т-101. Вывод специалистов аэрогидродинамического института был оптимистичным - улучшение аэродинамики самолета, особенно капотирования мотора, позволит довести максимальную скорость до 720 км/ч. Но доводка Ла-5 и двигателя М-71 затянулась. В итоге самолет оказался в разряде экспериментальных.</w:t>
      </w:r>
    </w:p>
    <w:p w14:paraId="645044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Проектировался, но так и не был закончен истребитель со звездообразным мотором М-90 взлетной мощностью 1750 л.с. (12032).</w:t>
      </w:r>
    </w:p>
    <w:p w14:paraId="765AF3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4BE2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февраля 1943 истребитель И-211 передали на заводские испытания (5485,32).</w:t>
      </w:r>
    </w:p>
    <w:p w14:paraId="6C3D0C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13DB09"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12 февраля</w:t>
      </w:r>
      <w:r w:rsidRPr="00D03F3E">
        <w:rPr>
          <w:rFonts w:ascii="Times New Roman" w:hAnsi="Times New Roman"/>
          <w:color w:val="000000" w:themeColor="text1"/>
          <w:sz w:val="16"/>
          <w:szCs w:val="16"/>
        </w:rPr>
        <w:t xml:space="preserve"> в 1943 году истребитель </w:t>
      </w:r>
      <w:hyperlink r:id="rId63" w:tgtFrame="_blank" w:history="1">
        <w:r w:rsidRPr="00D03F3E">
          <w:rPr>
            <w:rFonts w:ascii="Times New Roman" w:hAnsi="Times New Roman"/>
            <w:color w:val="000000" w:themeColor="text1"/>
            <w:sz w:val="16"/>
            <w:szCs w:val="16"/>
          </w:rPr>
          <w:t xml:space="preserve">«И-211» </w:t>
        </w:r>
      </w:hyperlink>
      <w:r w:rsidRPr="00D03F3E">
        <w:rPr>
          <w:rFonts w:ascii="Times New Roman" w:hAnsi="Times New Roman"/>
          <w:color w:val="000000" w:themeColor="text1"/>
          <w:sz w:val="16"/>
          <w:szCs w:val="16"/>
        </w:rPr>
        <w:t>передали на заводские испытания. Первый вылет выполнил 24 февраля 1943 г. летчик-испытатель В.Н.Савкин. Максимальная скорость полета, полученная в процессе испытаний, составила 670 км/ч. Высоту 5000 м самолет набирал за 4 мин. В I квартале 1944 г. закончились заводские испытания истребителя И-211, после чего работы по нему свернули. В I квартале 1943 г. для ВВС планировалось построить 10 самолетов «МиГ-9Е» (15038).</w:t>
      </w:r>
    </w:p>
    <w:p w14:paraId="7DC6F641" w14:textId="77777777" w:rsidR="00172CEA" w:rsidRPr="00D03F3E" w:rsidRDefault="00172CEA" w:rsidP="00D03F3E">
      <w:pPr>
        <w:spacing w:after="0" w:line="240" w:lineRule="auto"/>
        <w:jc w:val="both"/>
        <w:rPr>
          <w:rFonts w:ascii="Times New Roman" w:hAnsi="Times New Roman"/>
          <w:color w:val="000000" w:themeColor="text1"/>
          <w:sz w:val="16"/>
          <w:szCs w:val="16"/>
        </w:rPr>
      </w:pPr>
    </w:p>
    <w:p w14:paraId="54E223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февраля 1943 вышел приказ НКАП N 90/96с о передаче завода 36 в Рыбинске в НКтанкопром (1647,49).</w:t>
      </w:r>
    </w:p>
    <w:p w14:paraId="028864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8C3D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февраля 1943 вышел приказ НКАП и НКТП № 90.96:</w:t>
      </w:r>
    </w:p>
    <w:p w14:paraId="300E4E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 организации танковых дизелей на заводе № 36 НКАП в Рыбинске.</w:t>
      </w:r>
    </w:p>
    <w:p w14:paraId="2FE55E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постановлением ГКО от 18 января 1943 № 2760с:</w:t>
      </w:r>
    </w:p>
    <w:p w14:paraId="0D62BB0F"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Передать НКТП з-д 36 НКАП в Рыбинске со всеми зданиями, сооружениями, оборудованием и жилплощадью по состоянию на 1 января 1943, освободив его от ремонта авиамоторов.</w:t>
      </w:r>
    </w:p>
    <w:p w14:paraId="1FAEDF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Шахурин, Степанов (1699, 202).</w:t>
      </w:r>
    </w:p>
    <w:p w14:paraId="12C7D6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82803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февраля 1943 года вышел приказ № 90/96с НКАП и НКТП</w:t>
      </w:r>
    </w:p>
    <w:p w14:paraId="047E672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постановлением ГКО от 18 января 1943 года за № 2760с:</w:t>
      </w:r>
    </w:p>
    <w:p w14:paraId="0047DF1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Передать НКТП завод № 36 НКАП в Рыбинске, освободив его от ремонта авиамоторов (6130, 310).</w:t>
      </w:r>
    </w:p>
    <w:p w14:paraId="6047523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2A23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февраля 1943 г. по приказу № 90/96с завод № 26 в Рыбинске (в Северном поселке) в соответствии с пост. ГКО № 1284сс и по приказам НКАП № 144сс от 21.02.1942 г. и от 5.03.1942 г. образован новый Рыбинский ГС завод № 36 в ЗГУ НКАП (ГС завод № 36 НКАП, МАП, ГКАТ, Щербаковский ГС завод и/я 20, Рыбинское предприятие п/я 20, Рыбинский моторостроительный завод (РМЗ) МАП, Рыбинское ПКО, ПО моторостроения, Андроповское ПО моторостроения, Рыбинское МПО МАП, АООТ, ОАО «Рыбинские моторы» (РМ) /152903  г. Рыбинск Ярославской обл. пр. Ленина, 163 тел. 24-31-00,24-36-00/ /Московское представительство: 123373  г. Москва ул. Василия Петушкова, 27 тел. 949-33-00/ /НПО «Сатурн»: 152903  г. Рыбинск Ярославской обл. пр. Ленина, 163 тел. 29-61-00/) подлежал передаче в НКТП для организации производства танковых дизелей, однако приказом № 175сс/161сс от 20.03.1943 г. передача была отменена (11982).</w:t>
      </w:r>
    </w:p>
    <w:p w14:paraId="0AAAA3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50CB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февраля 1943 года по приказу НКАП за № 91с из ЛИИ была передана лаборатория самолетного оборудования в организованный НИСО (9426).</w:t>
      </w:r>
    </w:p>
    <w:p w14:paraId="69A3D2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C1A4CA"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3BDBC0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856BB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февраля 1943 года вышел приказ № 158сс НКБ</w:t>
      </w:r>
    </w:p>
    <w:p w14:paraId="31820B9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Постановления СНК от 10 февраля 1943 года за № 146-48сс:</w:t>
      </w:r>
    </w:p>
    <w:p w14:paraId="650498D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Организовать к 1 июля 1943 года в Приморском крае в районе станции Даубихе на территории переданного в распоряжение Дальневосточного фронта завода № 267 Наркомвооружения снаряжательный завод боеприпасов ……………..(5811, 49-50).</w:t>
      </w:r>
    </w:p>
    <w:p w14:paraId="7C6783C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3690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февраля 1943 г. был подготовлен ЗАПРОС НАЧАЛЬНИКА ШТАБА БТ и МВ КА НАЧАЛЬНИКУ ГЛАВНОГО ВОЕННО-ХИМИЧЕСКОГО УПРАВЛЕНИЯ КА О ПРИМЕНЕНИИ ПРОТИВНИКОМ ХИМИЧЕСКИХ РУЧНЫХ ГРАНАТ В КАЧЕСТВЕ СРЕДСТВ БОРЬБЫ С ТАНКАМИ №1101510</w:t>
      </w:r>
    </w:p>
    <w:p w14:paraId="0A58352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последнее время из донесений разведывательных отделов штабов БТМВ Волховского, Западного и других фронтов поступают сведения о наличии в войсках немецкой армии нескольких типов ручных гранат с различными отравляющими и ослепляющими веществами, применяемых как средство борьбы с танками на близких дистанциях. Так, например:</w:t>
      </w:r>
    </w:p>
    <w:p w14:paraId="74FBF4E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Из опроса пленных, захваченных на Брянском фронте, выявлено, что на вооружении команд истребителей танков находятся ручные гранаты с химической жидкостью, которая при разбрызги</w:t>
      </w:r>
      <w:r w:rsidRPr="00D03F3E">
        <w:rPr>
          <w:rFonts w:ascii="Times New Roman" w:hAnsi="Times New Roman"/>
          <w:color w:val="000000" w:themeColor="text1"/>
          <w:sz w:val="16"/>
          <w:szCs w:val="16"/>
        </w:rPr>
        <w:softHyphen/>
        <w:t>вании выделяет сильно зловонный запах.</w:t>
      </w:r>
    </w:p>
    <w:p w14:paraId="00EE422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Войсками Западного фронта захвачена стеклянная граната с веществом, выделяющим зловон</w:t>
      </w:r>
      <w:r w:rsidRPr="00D03F3E">
        <w:rPr>
          <w:rFonts w:ascii="Times New Roman" w:hAnsi="Times New Roman"/>
          <w:color w:val="000000" w:themeColor="text1"/>
          <w:sz w:val="16"/>
          <w:szCs w:val="16"/>
        </w:rPr>
        <w:softHyphen/>
        <w:t>ный запах. Граната предназначена для борьбы с танками.</w:t>
      </w:r>
    </w:p>
    <w:p w14:paraId="4F6D2A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 донесениях штаба Волховского фронта за периоде 15.01-31.01.1943 г. отмечается применение противником в качестве средств борьбы с нашими танками так называемых «ослепляющих шашек», представляющих собой стеклянную колбу емкостью 250 см</w:t>
      </w:r>
      <w:r w:rsidRPr="00D03F3E">
        <w:rPr>
          <w:rFonts w:ascii="Times New Roman" w:hAnsi="Times New Roman"/>
          <w:color w:val="000000" w:themeColor="text1"/>
          <w:sz w:val="16"/>
          <w:szCs w:val="16"/>
          <w:vertAlign w:val="superscript"/>
        </w:rPr>
        <w:t>3</w:t>
      </w:r>
      <w:r w:rsidRPr="00D03F3E">
        <w:rPr>
          <w:rFonts w:ascii="Times New Roman" w:hAnsi="Times New Roman"/>
          <w:color w:val="000000" w:themeColor="text1"/>
          <w:sz w:val="16"/>
          <w:szCs w:val="16"/>
        </w:rPr>
        <w:t>, наполненную тяжелой дымящейся кис</w:t>
      </w:r>
      <w:r w:rsidRPr="00D03F3E">
        <w:rPr>
          <w:rFonts w:ascii="Times New Roman" w:hAnsi="Times New Roman"/>
          <w:color w:val="000000" w:themeColor="text1"/>
          <w:sz w:val="16"/>
          <w:szCs w:val="16"/>
        </w:rPr>
        <w:softHyphen/>
        <w:t>лотой (типа хлоросульфатовой).</w:t>
      </w:r>
    </w:p>
    <w:p w14:paraId="2A0F3F9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Колба поверху запаяна цементной пробкой и содержится при носке в картонном футляре. При броске из футляра вытягивают за шнурок крышку с колбой, затем, взяв колбу в руку, удаляют крыш</w:t>
      </w:r>
      <w:r w:rsidRPr="00D03F3E">
        <w:rPr>
          <w:rFonts w:ascii="Times New Roman" w:hAnsi="Times New Roman"/>
          <w:color w:val="000000" w:themeColor="text1"/>
          <w:sz w:val="16"/>
          <w:szCs w:val="16"/>
        </w:rPr>
        <w:softHyphen/>
        <w:t>ку, а колбу с силой бросают в цель (смотровые щели, оптику и т.п.).</w:t>
      </w:r>
    </w:p>
    <w:p w14:paraId="2606FEE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Находящаяся в колбе кислота сильно дымит в течение 10-15 минут, жидкость хорошо прилипает к корпусу танка.</w:t>
      </w:r>
    </w:p>
    <w:p w14:paraId="756E0A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донесении указывается, что дым, выделяемый жидкостью при испарении, безвреден для дыха</w:t>
      </w:r>
      <w:r w:rsidRPr="00D03F3E">
        <w:rPr>
          <w:rFonts w:ascii="Times New Roman" w:hAnsi="Times New Roman"/>
          <w:color w:val="000000" w:themeColor="text1"/>
          <w:sz w:val="16"/>
          <w:szCs w:val="16"/>
        </w:rPr>
        <w:softHyphen/>
        <w:t>тельных органов.</w:t>
      </w:r>
    </w:p>
    <w:p w14:paraId="19A647F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сообщить, имеются ли у Вас какие-либо другие данные о применении химических руч</w:t>
      </w:r>
      <w:r w:rsidRPr="00D03F3E">
        <w:rPr>
          <w:rFonts w:ascii="Times New Roman" w:hAnsi="Times New Roman"/>
          <w:color w:val="000000" w:themeColor="text1"/>
          <w:sz w:val="16"/>
          <w:szCs w:val="16"/>
        </w:rPr>
        <w:softHyphen/>
        <w:t>ных гранат в качестве средств борьбы с танками, рекомендуемые Вами меры борьбы и предосторож</w:t>
      </w:r>
      <w:r w:rsidRPr="00D03F3E">
        <w:rPr>
          <w:rFonts w:ascii="Times New Roman" w:hAnsi="Times New Roman"/>
          <w:color w:val="000000" w:themeColor="text1"/>
          <w:sz w:val="16"/>
          <w:szCs w:val="16"/>
        </w:rPr>
        <w:softHyphen/>
        <w:t>ности для танковых экипажей и другие соображения по существу вопросов</w:t>
      </w:r>
      <w:r w:rsidRPr="00D03F3E">
        <w:rPr>
          <w:rFonts w:ascii="Times New Roman" w:hAnsi="Times New Roman"/>
          <w:color w:val="000000" w:themeColor="text1"/>
          <w:sz w:val="16"/>
          <w:szCs w:val="16"/>
          <w:vertAlign w:val="superscript"/>
        </w:rPr>
        <w:t>1</w:t>
      </w:r>
      <w:r w:rsidRPr="00D03F3E">
        <w:rPr>
          <w:rFonts w:ascii="Times New Roman" w:hAnsi="Times New Roman"/>
          <w:color w:val="000000" w:themeColor="text1"/>
          <w:sz w:val="16"/>
          <w:szCs w:val="16"/>
        </w:rPr>
        <w:t>.</w:t>
      </w:r>
    </w:p>
    <w:p w14:paraId="1B22CF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штаба БТ и МВ КА полковник Заев</w:t>
      </w:r>
    </w:p>
    <w:p w14:paraId="218231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11353. Д. 412. Л. 5. Копия (11403).</w:t>
      </w:r>
    </w:p>
    <w:p w14:paraId="1AA7CE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9C4B3E" w14:textId="77777777" w:rsidR="007D28EE" w:rsidRPr="00D03F3E" w:rsidRDefault="007D28E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12 февраля 1943 Липгарт отправил в Народный комиссариат среднего машиностроения (НКСМ) письмо, в котором изложил свой взгляд на истинные причины проблем. По его мнению, дело было отнюдь не в коробках передач. Причиной главный конструктор ГАЗ им. Молотова назвал то, что коробки передач в принципе не предназначались для использования в схеме с параллельным расположением моторов. На грузовиках ГАЗ ММ, которые выпустили на ГАЗ в то же самое время, не было ни единого случая поломки КПП, схожего с теми, что происходили на СУ-12 (17699).</w:t>
      </w:r>
    </w:p>
    <w:p w14:paraId="30FF4F48" w14:textId="77777777" w:rsidR="007D28EE" w:rsidRPr="00D03F3E" w:rsidRDefault="007D28E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D915B1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февраля 1943 вышло Постановление ГКО № 2875 О поставке торфа заводам Наркомтанкопрома и Наркомчермета в Свердловской области и Свердловской ГЭС Наркомэлектростанций в I полугодии 1943 г. (7082, 75-75об.).</w:t>
      </w:r>
    </w:p>
    <w:p w14:paraId="5C615F3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8DDE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февраля 1943 вышло Распоряжение ГКО № 2876. О мерах обеспечения поставок топлива для электростанций горьковской системы, в особенности в связи с нуждами танкового производства.РГАНИР, Фонд ГКО, д. 89, лл. 76 (11012).</w:t>
      </w:r>
    </w:p>
    <w:p w14:paraId="438D61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EB332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февраля 1943 вышло Постановление ГКО № 2877 О производстве и поставке Наркомобороны, Наркомвоенморфлоту и войскам НКВД СССР средств инженерного вооружения в I квартале 1943 г. (7082, 77-79,80-116).</w:t>
      </w:r>
    </w:p>
    <w:p w14:paraId="571722E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A3FF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февраля 1943 вышло постановление ГКО о начале работ по созданию в СССР атомного оружия. Общее руководство осуществлял В.М.М. Проблему сделали приоритетной и для разведки НКВД. Вскоре организовали Лабораторию N 2 (ЛИПАН) во главе с И.В.Курчатовым. Одновременно в НКВД создали группу С, которой руководил П.А.Судоплатов - сбор информации и ее использование в стране (3398,70).</w:t>
      </w:r>
    </w:p>
    <w:p w14:paraId="079328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7601A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512B25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4425C3"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12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74699BA7"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12 февраля наши войска вели наступательные бои на прежних направлениях.</w:t>
      </w:r>
    </w:p>
    <w:p w14:paraId="12855294"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Ростова-на-Дону наши войска вели наступательные операции. На одном участке бойцы Н-ской стрелковой части при мощной поддержке артиллерии выбили немцев из сильно укреплённых позиций. Разрушено много дзотов и блиндажей. Захвачены 3 танка, 8 орудий, 15 пулемётов и склад с боеприпасами.Северо-восточнее Новочеркасска наши части заняли ряд крупных населённых пунктов. Взяты трофеи и пленные.</w:t>
      </w:r>
    </w:p>
    <w:p w14:paraId="1FBDA373"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Краматорской наши войска отбивали контратаки танков и пехоты противника. На одном участке в ожесточённом бою разгромлен отряд немецкой моторизованной пехоты, усиленный танками. На поле боя осталось до 400 вражеских трупов, 9 сгоревших немецких танков, 2 бронемашины и 11 автомашин.</w:t>
      </w:r>
    </w:p>
    <w:p w14:paraId="493448A5"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Чугуев—Лозовая наши войска вели наступление и перерезали важнейшие пути сообщения противника. Немцы, пытаясь задержать продвижение советских войск, ввели в бой эсэсовские части. Стремительными ударами наши бойцы нанесли врагу огромный урон и вынудили его поспешно отступить. Захваченные в плен солдаты полка СС «Дейч-ланд» дивизии «Рейх» сообщили, что они до последнего времени находились во Франции. 14 января их погрузили в вагоны и срочно перебросили в Харьков. В первом же бою роты полка потеряли убитыми по 60—70 человек каждая. Из 60 танков, приданных дивизии, осталось всего лишь 25.</w:t>
      </w:r>
    </w:p>
    <w:p w14:paraId="75D3C1EC"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участке наши кавалеристы истребили две роты гитлеровцев и захватили 5 орудий, 28 автомашин, много пулемётов, автоматов и винтовок. Н-ское танковое подразделение уничтожило 7 немецких танков и 18 орудий. Захвачены пленные.</w:t>
      </w:r>
    </w:p>
    <w:p w14:paraId="57C36EB9"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Курска наши части продвигались вперёд и заняли несколько населённых пунктов. Разведывательный отряд Н-ской части ночью проник в тыл противника и разгромил немецкий батальон, расположившийся в населённом пункте. Разведчики взорвали артиллерийский склад и сожгли 18 автомашин с различными военными грузами.</w:t>
      </w:r>
    </w:p>
    <w:p w14:paraId="7F7B8FF0"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одном из районов Орловской области, в январе месяце пустили под откос 4 воинских эшелона противника. Разбито 4 паровоза, 8 вагонов, 17 платформ с боевой техникой и боеприпасами. Другой отряд орловских партизан разгромил немецкий гарнизон в одном населённом пункте. Убито 60 гитлеровцев, захвачен гурт скота, отобранного немцами у крестьян для отправки вГерманию.</w:t>
      </w:r>
    </w:p>
    <w:p w14:paraId="424DD722"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Бежавшие из Германии с фашистской каторги В.Татаринова и Т.Панковрассказывают: «В июне 1942 года нас вместе с другими жителями деревни Ново-Каронино, Курской области, насильно увезли в Германию. Там мы были загнаны в обнесённый колючей проволокой лагерь для военнопленных. С нами обращались хуже, чем со скотиной. Каждая фашистская гадина измывалась над нами. Нас заставляли работать по 16—18 часов в сутки и морили голодом. Трудно передать словами, как велика была наша радость, когда, вырвавшись из немецкой каторги и пробравшись на родину, мы встретили в своей деревне Красную Армию. Теперь мы навсегда избавлены от фашистского ига».</w:t>
      </w:r>
    </w:p>
    <w:p w14:paraId="3F431163"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последнее время значительно возросла активность партизан в Прикарпатской Руси. Один партизанский отряд организовал крушение трёх немецких железнодорожных эшелонов с войсками и боеприпасами. Партизаны другого отряда захватили членов немецко-венгерской комиссии по «вербовке» рабочих для германской промышленности. Эта комиссия насильно угоняла трудоспособное население в Германию. Партизаны уничтожили членов комиссии и сопровождавшую их охрану.» (15038).</w:t>
      </w:r>
    </w:p>
    <w:p w14:paraId="0AFEDB3C" w14:textId="77777777" w:rsidR="00172CEA" w:rsidRPr="00D03F3E" w:rsidRDefault="00172CEA" w:rsidP="00D03F3E">
      <w:pPr>
        <w:spacing w:after="0" w:line="240" w:lineRule="auto"/>
        <w:jc w:val="both"/>
        <w:rPr>
          <w:rFonts w:ascii="Times New Roman" w:hAnsi="Times New Roman"/>
          <w:color w:val="000000" w:themeColor="text1"/>
          <w:sz w:val="16"/>
          <w:szCs w:val="16"/>
        </w:rPr>
      </w:pPr>
    </w:p>
    <w:p w14:paraId="6E2D3F39"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12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58DF50E9"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февраля на Кубани наши войска в результате решительной атаки овладели городом Краснодар, а также заняли районный центр и железнодорожный узел Тимашевская, районные центры и железнодорожные станции Роговская, Динская, Новотитаровская, районный центр Тохтамукай.</w:t>
      </w:r>
    </w:p>
    <w:p w14:paraId="0A2FE75E"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продолжая развивать наступление, овладели городом Шахты и районным центром Кривянская.</w:t>
      </w:r>
    </w:p>
    <w:p w14:paraId="6ACBCA20"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Украине наши войска в результате стремительного наступления овладели городом и крупным железнодорожным узлом Красноармейское, перерезав тзм самым важнейшую железнодорожную коммуникацию противника.</w:t>
      </w:r>
    </w:p>
    <w:p w14:paraId="27162AAF"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Украине наши войска заняли также город Ворошиловск.</w:t>
      </w:r>
    </w:p>
    <w:p w14:paraId="18703532"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бои на прежних направлениях.</w:t>
      </w:r>
    </w:p>
    <w:p w14:paraId="23B58CCB"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февраля частями нашей авиации на различных участках фронта уничтожено или повреждено 8 немецких танков, до 250 автомашин с войсками и грузами, подавлен огонь 20 артиллерийских батарей, взорваны 3 склада боеприпасов и склад горючего, рассеяно и частью уничтожено до батальона пехоты противника.</w:t>
      </w:r>
    </w:p>
    <w:p w14:paraId="06E7021E"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Ростова-на-Дону наши войска вели бои с упорно сопротивляющимися частями противника. На одном участке наши бойцы отбили пять контратак немецкойпехоты и танков. В результате боя подбито и сожжено 7 немецких танков. На другом участке танк под командованием гвардии лейтенанта Поршикова наскочил на вражескую танковую засаду. Наши танкисты смело вступили в бой с 14 немецкими танками и подбили 4 танка противника.</w:t>
      </w:r>
    </w:p>
    <w:p w14:paraId="6748FF7B"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Северном Кавказе в воздушных боях и огнём нашей зенитной артиллерии вчера уничтожен 31 немецкий самолет. В районе Краснодара огнём зенитной артиллерии было сбито 2 немецких самолёта, лётчики с которых спустились на парашютах и взяты в плен. По показаниям пленных немецких лётчиков, они входят в состав эскадры пикирующих бомбардировщиков, на днях переброшенной из Туниса на советско-германский фронт.</w:t>
      </w:r>
    </w:p>
    <w:p w14:paraId="767DEF91"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Краматорской наши войска вели наступательные бои и заняли ряд опорных пунктов противника, в том числе две железнодорожные станции. На одном участке немцы значительными силами танков и мотопехоты пытались контратаковать наши позиции. В результате боя подбито 13 немецких танков. Противник понёс тяжёлые потери в живой силе и отступил, бросив на поле боя несколько орудий и десятки автомашин.</w:t>
      </w:r>
    </w:p>
    <w:p w14:paraId="585C7E5E"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Лозовой наши войска продолжали вести успешное наступление. Бойцы Н-ской части, отбивая контратаки противника, продвинулись вперёд и заняли ряд населённых пунктов. Захвачены артиллерийская батарея, 2 шестиствольных миномёта, 13 пулемётов и две радиостанции. На другом участке разгромлен батальон немецкой пехоты и захвачены большие трофеи.</w:t>
      </w:r>
    </w:p>
    <w:p w14:paraId="6F68BD2E"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Белгорода наши части, развивая наступление, выбили противника из нескольких крупных населённых пунктов. В боях за один из этих населённых пунктов захвачены 4 тяжёлых орудия, 103 ручных и станковых пулемета, 500 винтовок и другие трофеи. Взято в плен свыше 1.000 солдат и офицеров противника.</w:t>
      </w:r>
    </w:p>
    <w:p w14:paraId="202E702B"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Н-ская часть в четырёхдневных ожесточённых боях истребила до 2.000 немецких солдат и офицеров. Захвачены большие трофеи, в том числе 50 орудий, 158 пулемётов, 50 миномётов, 860 винтовок, 150 лошадей и много различного военного имущества.</w:t>
      </w:r>
    </w:p>
    <w:p w14:paraId="3091EF2C"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одном из районов Минской области, в январе месяце пустили под откос 11 воинских эшелонов противника. Разбито 8 паровозов и 129 вагонов. В боях против немецких оккупантов советские патриоты захватили 6 орудий, 25 пулемётов, 18 автоматов, 296 винтовок и 50 тысяч патронов. Отбито унемцев 2.436 голов рогатого скота и около двух тысяч тонн зерна, подготовленного для отправки в Германию.</w:t>
      </w:r>
    </w:p>
    <w:p w14:paraId="699144BF"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Отступая под ударами наших войск, немцы сжигают населённые пункты и зверски истребляют мирное население. В деревне Александровка, Орловской области, гитлеровцы сожгли 27 домов колхозников. Огнём уничтожено всё имущество колхозников. Чудовищное злодеяние учинили немцы в деревне Утаковка, той же области. Фашистские мерзавцы пригнали к школе 40 колхозниц, выстроили их в одну шеренгу и всех расстреляли.»2</w:t>
      </w:r>
    </w:p>
    <w:p w14:paraId="05074475" w14:textId="77777777" w:rsidR="00172CEA" w:rsidRPr="00D03F3E" w:rsidRDefault="00172CEA" w:rsidP="00D03F3E">
      <w:pPr>
        <w:spacing w:after="0" w:line="240" w:lineRule="auto"/>
        <w:jc w:val="both"/>
        <w:rPr>
          <w:rFonts w:ascii="Times New Roman" w:hAnsi="Times New Roman"/>
          <w:color w:val="000000" w:themeColor="text1"/>
          <w:sz w:val="16"/>
          <w:szCs w:val="16"/>
        </w:rPr>
      </w:pPr>
    </w:p>
    <w:p w14:paraId="02D9F3A8"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12 февраля</w:t>
      </w:r>
      <w:r w:rsidRPr="00D03F3E">
        <w:rPr>
          <w:rFonts w:ascii="Times New Roman" w:hAnsi="Times New Roman"/>
          <w:color w:val="000000" w:themeColor="text1"/>
          <w:sz w:val="16"/>
          <w:szCs w:val="16"/>
        </w:rPr>
        <w:t xml:space="preserve"> в 1943 году началось наступление войск Брянского фронта с целью разгрома орловской группировки немцев и дальнейшего наступления в общем направлении на Брянск. Противник начал отвод войск на Таманский полуостров, одновременно нанёс ряд контрударов (поддержанных авиацией) по войскам 9-й и 58-й армий Северо-Кавказского фронта (15038).</w:t>
      </w:r>
    </w:p>
    <w:p w14:paraId="7E651B84" w14:textId="77777777" w:rsidR="00172CEA" w:rsidRPr="00D03F3E" w:rsidRDefault="00172CEA" w:rsidP="00D03F3E">
      <w:pPr>
        <w:spacing w:after="0" w:line="240" w:lineRule="auto"/>
        <w:jc w:val="both"/>
        <w:rPr>
          <w:rFonts w:ascii="Times New Roman" w:hAnsi="Times New Roman"/>
          <w:color w:val="000000" w:themeColor="text1"/>
          <w:sz w:val="16"/>
          <w:szCs w:val="16"/>
        </w:rPr>
      </w:pPr>
    </w:p>
    <w:p w14:paraId="07DD8C99"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12 февраля</w:t>
      </w:r>
      <w:r w:rsidRPr="00D03F3E">
        <w:rPr>
          <w:rFonts w:ascii="Times New Roman" w:hAnsi="Times New Roman"/>
          <w:color w:val="000000" w:themeColor="text1"/>
          <w:sz w:val="16"/>
          <w:szCs w:val="16"/>
        </w:rPr>
        <w:t xml:space="preserve"> в 1943 году неудачная попытка войск Юго-Западного фронта освободить Дебальцево (15038).</w:t>
      </w:r>
    </w:p>
    <w:p w14:paraId="59677484" w14:textId="77777777" w:rsidR="00172CEA" w:rsidRPr="00D03F3E" w:rsidRDefault="00172CEA" w:rsidP="00D03F3E">
      <w:pPr>
        <w:spacing w:after="0" w:line="240" w:lineRule="auto"/>
        <w:jc w:val="both"/>
        <w:rPr>
          <w:rFonts w:ascii="Times New Roman" w:hAnsi="Times New Roman"/>
          <w:color w:val="000000" w:themeColor="text1"/>
          <w:sz w:val="16"/>
          <w:szCs w:val="16"/>
        </w:rPr>
      </w:pPr>
    </w:p>
    <w:p w14:paraId="70EDC8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12 февраля 1943 132-го отдельный бомбардировочный полк на Ту-2 совершил оттуда 39 вылетов на бомбометание. Здесь уже Ту-2 не поручали атаку войск у линии фронта. Используя большие дальность полета и бомбовую нагрузку, чем Пе-2, новые самолеты специализировались на налетах на железнодорожные узлы и аэродромы. Целями стали Запорожье, Днепропетровск, Дебальцево, Красноармейск, Синельниково, Ясиноватская. К сожалению, распутица препятствовала подвозу бомб крупных калибров. Пришлось перейти на преимущественное использование ФАБ-100. Позже нашли брошенный немцами при отступлении склад боеприпасов. Там обнаружились и авиабомбы. После некоторой переделки их удалось приспособить к советским бомбодержателям. Такие бомбы сбрасывали на Днепропетровск и Донецк.</w:t>
      </w:r>
    </w:p>
    <w:p w14:paraId="6D3FA9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При налетах на аэродромы бомбы мелких калибров были даже предпочтительнее. При атаке на аэродром в Запорожье использовали ФАБ-100, сброшенные на стоянки </w:t>
      </w:r>
      <w:r w:rsidRPr="00D03F3E">
        <w:rPr>
          <w:rFonts w:ascii="Times New Roman" w:hAnsi="Times New Roman"/>
          <w:color w:val="000000" w:themeColor="text1"/>
          <w:sz w:val="16"/>
          <w:szCs w:val="16"/>
        </w:rPr>
        <w:lastRenderedPageBreak/>
        <w:t>самолетов с высоты 400 м. По советским данным, при этом сожгли и вывели из строя 18 вражеских машин.</w:t>
      </w:r>
    </w:p>
    <w:p w14:paraId="3E47AD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этого, Ту-2 стали применять как дальние разведчики. Они совершили семь одиночных полетов по разным маршрутам.</w:t>
      </w:r>
    </w:p>
    <w:p w14:paraId="5EE568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одном случае новый бомбардировщик очень ярко продемонстрировал свою высокую обороноспособность. 20 февраля 1943 г. на подходе к цели Ту-2 встретили три двухмоторных истребителя Мессершмитт Bf 110. Один из них пошел навстречу бомбардировщику лейтенанта Жувака и открыл огонь с дистанции 500 - 600 м, но промахнулся. Жувак немного выждал, поймал врага в прицел и с 300 м начал стрелять из носовых пулеметов, а затем дал две очереди из пушек. Сбитый "мессершмитт" повалился вниз, два других не приняли боя и ушли в облака.</w:t>
      </w:r>
    </w:p>
    <w:p w14:paraId="21F33E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"Ложкой дегтя", образно говоря, для личного состава полка стала недостаточная надежность моторов М-82. Барахлили карбюраторы и магнето, быстро выходили из строя свечи зажигания, встречались поломки нагнетателей. Перед каждым вылетом требовалось тщательно проверять двигатели, восстанавливать регулировку карбюраторов. За время испытаний имели место 16 случаев полного или частичного отказа моторов в воздухе и 12 случаев, когда это происходило на земле непосредственно перед вылетом. Из-за этого летчикам пришлось совершить 11 вынужденных посадок, в том числе три - с убранным шасси. При вынужденных посадках было разбито пять самолетов, которые списали. По разным причинам техническому составу потребовалось сменить 17 моторов.</w:t>
      </w:r>
    </w:p>
    <w:p w14:paraId="0BAA97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Два Ту-2 разбились в катастрофах на своей территории. На долю непосредственно противника можно отнести лишь два самолета, не вернувшихся с боевых заданий по невыясненным причинам.</w:t>
      </w:r>
    </w:p>
    <w:p w14:paraId="2A7736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 полк за время войсковых испытаний потерял девять бомбардировщиков в основном по небоевым причинам.</w:t>
      </w:r>
    </w:p>
    <w:p w14:paraId="3A84D8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16 марта 1943 г. в 132-м полку осталось 14 Ту-2. Восемь из них требовали замены одного или обоих моторов. Еще пять находились в разных местах после вынужденных посадок. Для компенсации потерь полк получил три новых Ту-2, но это не могло в полной мере восстановить его боеспособность. 13 апреля полк отозвали с фронта и отправили на переформирование в Йошкар- Олу. Десять исправных машин вместе с экипажами передали 47-му гвардейскому дальнеразведывательно- му полку.</w:t>
      </w:r>
    </w:p>
    <w:p w14:paraId="156641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rPr>
        <w:t>На этом войсковые испытания бомбардировщика завершились. Но деятельностью 132-го полка боевое применение Ту-2, построенных в Омске, далеко не исчерпывалось. Всегонафронтпопали</w:t>
      </w:r>
      <w:r w:rsidRPr="00D03F3E">
        <w:rPr>
          <w:rFonts w:ascii="Times New Roman" w:hAnsi="Times New Roman"/>
          <w:color w:val="000000" w:themeColor="text1"/>
          <w:sz w:val="16"/>
          <w:szCs w:val="16"/>
          <w:lang w:val="en-US"/>
        </w:rPr>
        <w:t xml:space="preserve"> 63 </w:t>
      </w:r>
      <w:r w:rsidRPr="00D03F3E">
        <w:rPr>
          <w:rFonts w:ascii="Times New Roman" w:hAnsi="Times New Roman"/>
          <w:color w:val="000000" w:themeColor="text1"/>
          <w:sz w:val="16"/>
          <w:szCs w:val="16"/>
        </w:rPr>
        <w:t>машины</w:t>
      </w:r>
      <w:r w:rsidRPr="00D03F3E">
        <w:rPr>
          <w:rFonts w:ascii="Times New Roman" w:hAnsi="Times New Roman"/>
          <w:color w:val="000000" w:themeColor="text1"/>
          <w:sz w:val="16"/>
          <w:szCs w:val="16"/>
          <w:lang w:val="en-US"/>
        </w:rPr>
        <w:t xml:space="preserve"> (11988).</w:t>
      </w:r>
    </w:p>
    <w:p w14:paraId="0EF99D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916F0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February 12, 1943: German troops of Heeresgruppe A (von Weichs) evacuate Krasnodar and reach the defensive positions in the Kuban bridgehead (3819).</w:t>
      </w:r>
    </w:p>
    <w:p w14:paraId="2004C2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1B89B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февраля 1943 освободили Краснодар и потом вышли к Таманскому п/о, но были остановлены на Голубой линии 17А (16 дивизий) (3398,67).</w:t>
      </w:r>
    </w:p>
    <w:p w14:paraId="523378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9F43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февраля 1943 года во время одного из боев по прорыву блокады Ленинграда три "тигра" 1-й роты 502-го тяжелого танкового батальона уничтожили 10 KB. При этом немцы потерь не имели. (3862).</w:t>
      </w:r>
    </w:p>
    <w:p w14:paraId="47EA09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71007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222B9B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F9D9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февраля 1943 года было получено:</w:t>
      </w:r>
    </w:p>
    <w:p w14:paraId="750B16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D03F3E">
        <w:rPr>
          <w:rFonts w:ascii="Times New Roman" w:hAnsi="Times New Roman"/>
          <w:color w:val="000000" w:themeColor="text1"/>
          <w:sz w:val="16"/>
          <w:szCs w:val="16"/>
        </w:rPr>
        <w:t>СТРОГО СЕКРЕТНОЕ И ЛИЧНОЕ ПОСЛАНИЕ ОТ ПРЕМЬЕР-МИНИСТРА г-на УИНСТОНА ЧЕРЧИЛЛЯ г-ну СТАЛИНУ</w:t>
      </w:r>
      <w:r w:rsidRPr="00D03F3E">
        <w:rPr>
          <w:rFonts w:ascii="Times New Roman" w:hAnsi="Times New Roman"/>
          <w:color w:val="000000" w:themeColor="text1"/>
          <w:sz w:val="16"/>
          <w:szCs w:val="16"/>
          <w:vertAlign w:val="superscript"/>
        </w:rPr>
        <w:t>22</w:t>
      </w:r>
    </w:p>
    <w:p w14:paraId="4562C5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Ваше послание от 30 января. Я совещался теперь с Президентом, и вопрос был передан в штабы стран по ту и другую сторону океана. Я уполномочен дать следующий наш совместный ответ:</w:t>
      </w:r>
    </w:p>
    <w:p w14:paraId="795147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a) В Восточном Тунисе находится четверть миллиона немцев и итальянцев. Мы надеемся уничтожить или изгнать их оттуда в течение апреля, если не раньше.</w:t>
      </w:r>
    </w:p>
    <w:p w14:paraId="3E296C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Когда это будет сделано, мы намерены в июле или раньше, если окажется возможным, захватить Сицилию с целью очистить Средиземное море, способствовать краху Италии с вытекающими отсюда последствиями в отношении Греции и Югославии и измотать германские военно-воздушные силы. За этим непосредственно должна последовать операция в восточной части Средиземного моря, вероятно против Додеканезских островов.</w:t>
      </w:r>
    </w:p>
    <w:p w14:paraId="563368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c) Эта операция потребует использования всего тоннажа и всех десантных средств, которые мы сможем собрать на Средиземном море, а также всех войск, которые мы сможем подготовить для десантных операций к этому времени, и масштаб операции будет порядка трех или четырех сот тысяч человек. Мы будем развивать до пределов любой успех, как только будут развернуты порты и базы высадки десантов.</w:t>
      </w:r>
    </w:p>
    <w:p w14:paraId="0D4E09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d) Мы также энергично ведем приготовления, до пределов наших ресурсов, к операции форсирования Канала в августе, в которой будут участвовать британские части и части Соединенных Штатов. Тоннаж и наступательные десантные средства здесь будут также лимитирующими факторами. Если операция будет отложена вследствие погоды или по другим причинам, то она будет подготовлена с участием более крупных сил на сентябрь. Сроки этого наступления должны, конечно, зависеть от состояния оборонительных возможностей, которыми будут располагать в это время немцы по ту сторону Канала.</w:t>
      </w:r>
    </w:p>
    <w:p w14:paraId="05E050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e) Обе операции будут происходить при поддержке весьма крупных военно-воздушных сил Соединенных Штатов и Великобритании, причем в операции по форсированию Канала будут участвовать все военно-воздушные силы британской метрополии. Все эти операции потребуют крайнего напряжения судовых ресурсов Великобритании и Соединенных Штатов.</w:t>
      </w:r>
    </w:p>
    <w:p w14:paraId="097637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f) Президент и я дали указания нашему Объединенному Штабу </w:t>
      </w:r>
      <w:r w:rsidRPr="00D03F3E">
        <w:rPr>
          <w:rFonts w:ascii="Times New Roman" w:hAnsi="Times New Roman"/>
          <w:color w:val="000000" w:themeColor="text1"/>
          <w:sz w:val="16"/>
          <w:szCs w:val="16"/>
          <w:vertAlign w:val="superscript"/>
        </w:rPr>
        <w:t>24</w:t>
      </w:r>
      <w:r w:rsidRPr="00D03F3E">
        <w:rPr>
          <w:rFonts w:ascii="Times New Roman" w:hAnsi="Times New Roman"/>
          <w:color w:val="000000" w:themeColor="text1"/>
          <w:sz w:val="16"/>
          <w:szCs w:val="16"/>
        </w:rPr>
        <w:t xml:space="preserve"> о необходимости предельной быстроты и об усилении атак до крайних пределов человеческих и материальных возможностей (7430).</w:t>
      </w:r>
    </w:p>
    <w:p w14:paraId="173FD2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73DF7E" w14:textId="77777777" w:rsidR="00172CEA"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2651A07E" w14:textId="77777777" w:rsidR="00172CEA" w:rsidRPr="00D03F3E" w:rsidRDefault="00172CEA"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86D2B3"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12 февраля</w:t>
      </w:r>
      <w:r w:rsidRPr="00D03F3E">
        <w:rPr>
          <w:rFonts w:ascii="Times New Roman" w:hAnsi="Times New Roman"/>
          <w:color w:val="000000" w:themeColor="text1"/>
          <w:sz w:val="16"/>
          <w:szCs w:val="16"/>
        </w:rPr>
        <w:t xml:space="preserve"> в 1943 году по секретному германо-испанскому протоколу Испания обязалась использовать закупленное в Германии оружие для отражения возможного англо-американского вторжения (15038).</w:t>
      </w:r>
    </w:p>
    <w:p w14:paraId="634DD718" w14:textId="77777777" w:rsidR="00172CEA" w:rsidRPr="00D03F3E" w:rsidRDefault="00172CEA" w:rsidP="00D03F3E">
      <w:pPr>
        <w:spacing w:after="0" w:line="240" w:lineRule="auto"/>
        <w:jc w:val="both"/>
        <w:rPr>
          <w:rFonts w:ascii="Times New Roman" w:hAnsi="Times New Roman"/>
          <w:color w:val="000000" w:themeColor="text1"/>
          <w:sz w:val="16"/>
          <w:szCs w:val="16"/>
        </w:rPr>
      </w:pPr>
    </w:p>
    <w:p w14:paraId="3C41AB28"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12 февраля</w:t>
      </w:r>
      <w:r w:rsidRPr="00D03F3E">
        <w:rPr>
          <w:rFonts w:ascii="Times New Roman" w:hAnsi="Times New Roman"/>
          <w:color w:val="000000" w:themeColor="text1"/>
          <w:sz w:val="16"/>
          <w:szCs w:val="16"/>
        </w:rPr>
        <w:t xml:space="preserve"> в 1943 году на кукурузном поле рождается вулкан Пари Кутин (Мексика), который к в 1946 достигнет высоты 518 м (15038).</w:t>
      </w:r>
    </w:p>
    <w:p w14:paraId="3E4FE58A" w14:textId="77777777" w:rsidR="00172CEA" w:rsidRPr="00D03F3E" w:rsidRDefault="00172CEA" w:rsidP="00D03F3E">
      <w:pPr>
        <w:spacing w:after="0" w:line="240" w:lineRule="auto"/>
        <w:jc w:val="both"/>
        <w:rPr>
          <w:rFonts w:ascii="Times New Roman" w:hAnsi="Times New Roman"/>
          <w:color w:val="000000" w:themeColor="text1"/>
          <w:sz w:val="16"/>
          <w:szCs w:val="16"/>
        </w:rPr>
      </w:pPr>
    </w:p>
    <w:p w14:paraId="1A25A7F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31A977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59B8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февраля 1943 года зам. наркома авиапрома В.П. Кузнецов писал письмо Шахурину.</w:t>
      </w:r>
    </w:p>
    <w:p w14:paraId="05FC42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приказом по НКАП от 6.IV.1942 г. за N 415с силами ЦАГИ, ЦИАМ и ЛИИ НКАП проведены исследования, проектирование, изготовление и летные испытания воздушных фильтров-пылеуловителей для самолетов Як-1, Як-7, Лагг-3 и Ил-2.</w:t>
      </w:r>
    </w:p>
    <w:p w14:paraId="398D88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летных испытаний воздушные фильтры были рекомендованы для постановки на серийные самолеты Як-1, Як-7, Лагг-3, Ил-2.</w:t>
      </w:r>
    </w:p>
    <w:p w14:paraId="05AFBB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до сих пор воздушные фильтры на серийные самолеты (кроме Ил-2) не ставятся, подготовка к серийному изготовлению их не ведется и, главные конструктора-самолетчики интереса к воздушным фильтрам не проявляют.</w:t>
      </w:r>
    </w:p>
    <w:p w14:paraId="41C305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ЛИИ проведены работы по улучшению воздушных фильтров конструкции Путилова для самолета Пе-2, но медленное изготовление их на заводе N 81, задержало окончание летных испытаний.</w:t>
      </w:r>
    </w:p>
    <w:p w14:paraId="71B6DB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Установленные на самолете Ил-4 воздушные фильтры конструкции ЦАГИ также еще не испытаны (самолет находится в НИИ ВВС).</w:t>
      </w:r>
    </w:p>
    <w:p w14:paraId="0F076C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того, чтобы обеспечить серийные самолеты к весне 1943 года воздушными фильтрами-пылеуловителями, необходимо заставить самолетные заводы в ближайшее время подготовить производство воздушных фильтров к серийному изготовлению.</w:t>
      </w:r>
    </w:p>
    <w:p w14:paraId="2AEA2E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противном случае при эксплуатации самолетов на пыльных аэродромах опять появятся дефекты в винтомоторной группе самолета, благодаря попаданию пыли в мотор (1458,162).</w:t>
      </w:r>
    </w:p>
    <w:p w14:paraId="750097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C39F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февраля 1943 г. нарком А.И.Шахурин подписал приказ № 94:</w:t>
      </w:r>
    </w:p>
    <w:p w14:paraId="15C3DA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повышения высотности самолета ДВБ-102 с моторами М-71 и герметическими кабинами приказываю:</w:t>
      </w:r>
    </w:p>
    <w:p w14:paraId="159655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Директору завода № 288 тов. Кутепову и Главному конструктору тов. Мясищеву установить на самолете ДВБ-102 с моторами М-71 компрессоры типа ТК-3 и кабинные нагнетатели, и начать испытания &lt;...&gt; 15 мая 1943 года.</w:t>
      </w:r>
    </w:p>
    <w:p w14:paraId="435FD4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Директору завода № 19 тов. Солдатову и Главному конструктору тов. Швецову подготовить 3 мотора М-71 со сроком подачи их заводу № 288 к 5 апреля 1943 года.</w:t>
      </w:r>
    </w:p>
    <w:p w14:paraId="4E6583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Начальнику ЦИАМ тов. Поликовскому разработать проект кабинного нагнетателя и передать для изготовления на завод № 20 не позднее 25 февраля 1943 года.</w:t>
      </w:r>
    </w:p>
    <w:p w14:paraId="2762B7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Директору завода № 20 тов. Ивайкину и Главному конструктору тов. Тарасову изготовить по чертежам ЦИАМ три комплекта кабинных нагнетателей и передать их заводу № 288 в сроки:</w:t>
      </w:r>
    </w:p>
    <w:p w14:paraId="113551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один комплект к 15 апреля 1943 года,</w:t>
      </w:r>
    </w:p>
    <w:p w14:paraId="4587C4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два комплекта к 1 мая 1943 года." (3337).</w:t>
      </w:r>
    </w:p>
    <w:p w14:paraId="0483A6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92A5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13 февраля 1943 года нарком А.И. Шахурин подпи</w:t>
      </w:r>
      <w:r w:rsidRPr="00D03F3E">
        <w:rPr>
          <w:rFonts w:ascii="Times New Roman" w:hAnsi="Times New Roman"/>
          <w:color w:val="000000" w:themeColor="text1"/>
          <w:sz w:val="16"/>
          <w:szCs w:val="16"/>
        </w:rPr>
        <w:softHyphen/>
        <w:t>сал приказ № 94, в котором говорилось:</w:t>
      </w:r>
    </w:p>
    <w:p w14:paraId="19D9F2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повышения высотности самолета ДВБ-102 с моторами М-71 и герметическими кабинами ПРИКАЗЫ</w:t>
      </w:r>
      <w:r w:rsidRPr="00D03F3E">
        <w:rPr>
          <w:rFonts w:ascii="Times New Roman" w:hAnsi="Times New Roman"/>
          <w:color w:val="000000" w:themeColor="text1"/>
          <w:sz w:val="16"/>
          <w:szCs w:val="16"/>
        </w:rPr>
        <w:softHyphen/>
        <w:t>ВАЮ:</w:t>
      </w:r>
    </w:p>
    <w:p w14:paraId="5933FE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Директору завода № 288 тов. Кутепову и Главному конструктору тов. Мясищеву установить на самолете ДВБ-102 с моторами М-71 компрессоры типа ТК-3 и кабинные нагнетатели, и начать испытания &lt;...&gt; 15 мая 1943 года.</w:t>
      </w:r>
    </w:p>
    <w:p w14:paraId="3AC4D0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Директору завода №19 тов. Солдатовуи Главному конструктору тов. Швецову подготовить 3 мотора М-71 со сроком подачи их заводу № 288 к 5 апреля 1943 года.</w:t>
      </w:r>
    </w:p>
    <w:p w14:paraId="2B90FF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Начальнику ЦИАМ тов. Поликовскому разработать проект кабинного нагнетателя и передать для изготовле</w:t>
      </w:r>
      <w:r w:rsidRPr="00D03F3E">
        <w:rPr>
          <w:rFonts w:ascii="Times New Roman" w:hAnsi="Times New Roman"/>
          <w:color w:val="000000" w:themeColor="text1"/>
          <w:sz w:val="16"/>
          <w:szCs w:val="16"/>
        </w:rPr>
        <w:softHyphen/>
        <w:t>ния на завод № 20 не позднее 25 февраля 1943 года.</w:t>
      </w:r>
    </w:p>
    <w:p w14:paraId="74AF49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Директору завода № 20 тов. Ивайкину и Главному конструктору тов. Тарасову изготовить по чертежам ЦИАМ три комплекта кабинных нагнетателей и передать их заво</w:t>
      </w:r>
      <w:r w:rsidRPr="00D03F3E">
        <w:rPr>
          <w:rFonts w:ascii="Times New Roman" w:hAnsi="Times New Roman"/>
          <w:color w:val="000000" w:themeColor="text1"/>
          <w:sz w:val="16"/>
          <w:szCs w:val="16"/>
        </w:rPr>
        <w:softHyphen/>
        <w:t>ду № 288 в сроки:</w:t>
      </w:r>
    </w:p>
    <w:p w14:paraId="039BFA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один комплект к 15 апреля 1943 года,</w:t>
      </w:r>
    </w:p>
    <w:p w14:paraId="11F1264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два комплекта к 1 мая 1943 года».</w:t>
      </w:r>
    </w:p>
    <w:p w14:paraId="6B560D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Спустя 8 дней Шахурин подписал приказ № 106, которым начальнику ЦИАМ предписывалось провести сборку турбокомпрессоров ТК-3 и передать их для мон</w:t>
      </w:r>
      <w:r w:rsidRPr="00D03F3E">
        <w:rPr>
          <w:rFonts w:ascii="Times New Roman" w:hAnsi="Times New Roman"/>
          <w:color w:val="000000" w:themeColor="text1"/>
          <w:sz w:val="16"/>
          <w:szCs w:val="16"/>
        </w:rPr>
        <w:softHyphen/>
        <w:t>тажа на ДВБ-102 к 20 апреля 1943 г. (11446).</w:t>
      </w:r>
    </w:p>
    <w:p w14:paraId="5F5CE2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5F49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февраля 1943 года нарком А.И. Шахурин подписал приказ № 94, в котором говорилось:</w:t>
      </w:r>
    </w:p>
    <w:p w14:paraId="278DAE5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повышения высотности самолета ДВБ-102 с моторами М-71 и герметическими кабинами ПРИКАЗЫ</w:t>
      </w:r>
      <w:r w:rsidRPr="00D03F3E">
        <w:rPr>
          <w:rFonts w:ascii="Times New Roman" w:hAnsi="Times New Roman"/>
          <w:color w:val="000000" w:themeColor="text1"/>
          <w:sz w:val="16"/>
          <w:szCs w:val="16"/>
        </w:rPr>
        <w:softHyphen/>
        <w:t>ВАЮ:</w:t>
      </w:r>
    </w:p>
    <w:p w14:paraId="0166966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Директору завода № 288 тов. Кутепову и Главному конструктору тов. Мясищеву установить на самолете ДВБ-102 с моторами М-71 компрессоры типа ТК-3 и ка-бинные нагнетатели, и начать испытания &lt;...&gt; 15 мая 1943 года.</w:t>
      </w:r>
    </w:p>
    <w:p w14:paraId="57A5A4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Директору завода №19 тов. Солдатову и Главному конструктору тов. Швецову подготовить 3 мотора М-71 со сроком подачи их заводу № 288 к 5 апреля 1943 года.</w:t>
      </w:r>
    </w:p>
    <w:p w14:paraId="089FA3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Начальнику ЦИАМ тов. Поликовскому разработать проект кабинного нагнетателя и передать для изготовле</w:t>
      </w:r>
      <w:r w:rsidRPr="00D03F3E">
        <w:rPr>
          <w:rFonts w:ascii="Times New Roman" w:hAnsi="Times New Roman"/>
          <w:color w:val="000000" w:themeColor="text1"/>
          <w:sz w:val="16"/>
          <w:szCs w:val="16"/>
        </w:rPr>
        <w:softHyphen/>
        <w:t>ния на завод № 20 не позднее 25 февраля 1943 года.</w:t>
      </w:r>
    </w:p>
    <w:p w14:paraId="6F3D688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Директору завода № 20 тов. Ивайкину и Главному конструктору тов. Тарасову изготовить по чертежам ЦИАМ три комплекта кабинных нагнетателей и пере</w:t>
      </w:r>
      <w:r w:rsidRPr="00D03F3E">
        <w:rPr>
          <w:rFonts w:ascii="Times New Roman" w:hAnsi="Times New Roman"/>
          <w:color w:val="000000" w:themeColor="text1"/>
          <w:sz w:val="16"/>
          <w:szCs w:val="16"/>
        </w:rPr>
        <w:softHyphen/>
        <w:t>дать их заводу № 288 в сроки:</w:t>
      </w:r>
    </w:p>
    <w:p w14:paraId="21DF02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один комплект к 15 апреля 1943 года,</w:t>
      </w:r>
    </w:p>
    <w:p w14:paraId="036E74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два комплекта к 1 мая 1943 года» (10745,238).</w:t>
      </w:r>
    </w:p>
    <w:p w14:paraId="3F8215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6DDC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февраля 1943 года Приказом НКАП № 92с на заводе № 219 было создано ОКБ по проектированию авиаколес и тормозных устройств к ним.</w:t>
      </w:r>
    </w:p>
    <w:p w14:paraId="1DC238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Приказом НКАП № 113 от 15 марта 1946 года ОКБ было выделено из состава завода № 219 в самостоятельный завод № 279, которому выделена от завода территория.</w:t>
      </w:r>
    </w:p>
    <w:p w14:paraId="3F0191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Директора:</w:t>
      </w:r>
    </w:p>
    <w:p w14:paraId="3A4938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Вержинский Ю.И. – с мая 1937 года по октябрь 1937 года</w:t>
      </w:r>
    </w:p>
    <w:p w14:paraId="25F903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Калинин А.А. – с октября 1937 года по январь 1938 года</w:t>
      </w:r>
    </w:p>
    <w:p w14:paraId="5CF8B9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Першин В.Г. – с января 1938 года по апрель 1941 года</w:t>
      </w:r>
    </w:p>
    <w:p w14:paraId="4D0011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Жихарев И.А. – с апреля 1941 года по март 1951 года</w:t>
      </w:r>
    </w:p>
    <w:p w14:paraId="16A0EC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Лысов П.Н. – с марта 1951 года.</w:t>
      </w:r>
    </w:p>
    <w:p w14:paraId="36A2B6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 П. Лысов</w:t>
      </w:r>
    </w:p>
    <w:p w14:paraId="1B33C6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Балашиха, ст. Горенки или Москва, шоссе Энтузиастов 20-й км, дер. Горенки</w:t>
      </w:r>
    </w:p>
    <w:p w14:paraId="2C50E5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Производственный профиль завода – литейно-механический завод по производству крупногабаритного цветного фасонного литья из алюминиевых и магниевых сплавов и авиаколес с управлением (9840).</w:t>
      </w:r>
    </w:p>
    <w:p w14:paraId="366FCA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C5468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202FEA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5596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13-15 февраля 1943 самоходки СУ-76 (СУ-12), так и СУ-122 (У-35) на Волховском фронте включились в плановые бои, в районе Смердыни (6205, 14). Однако к моменту начала этих боев большинство СУ-76 уже вышли из строя, причиной которого были поломки коробок передач и главных валов, которые не выдержали условий фронтовой эксплуатации. Но в то время это еще не вызвало опасений. Казалось, что на поверхности лежит самое простое решение - усилить конструкцию валов, что легко было выполнено. Но такие “усиленные” машины начали выходить из строя даже чаще, чем прежние. Стало понятно, что машины обладают глобальным конструктивным дефектом (6205, 14).</w:t>
      </w:r>
    </w:p>
    <w:p w14:paraId="136DB4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B083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13—15 февраля 1943 около Смердыни п завершении первых десяти дней войсковых будней заводские команды были большей частью сменены фронтовыми экипажами и самоходки включились в плановые бои.</w:t>
      </w:r>
    </w:p>
    <w:p w14:paraId="78B7A2B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образцовое выполнение заданий командования Уралмашзаводу и бригаде специалистов была объявлена благодарность. Водитель-испытатель завода Болдырев, участвовавший в боевой операции, был награжден меда</w:t>
      </w:r>
      <w:r w:rsidRPr="00D03F3E">
        <w:rPr>
          <w:rFonts w:ascii="Times New Roman" w:hAnsi="Times New Roman"/>
          <w:color w:val="000000" w:themeColor="text1"/>
          <w:sz w:val="16"/>
          <w:szCs w:val="16"/>
        </w:rPr>
        <w:softHyphen/>
        <w:t>лью «За боевые заслуги».</w:t>
      </w:r>
    </w:p>
    <w:p w14:paraId="37EB1D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Активно применявшиеся СУ-122 вызвали массу поло</w:t>
      </w:r>
      <w:r w:rsidRPr="00D03F3E">
        <w:rPr>
          <w:rFonts w:ascii="Times New Roman" w:hAnsi="Times New Roman"/>
          <w:color w:val="000000" w:themeColor="text1"/>
          <w:sz w:val="16"/>
          <w:szCs w:val="16"/>
        </w:rPr>
        <w:softHyphen/>
        <w:t>жительных отзывов, однако опыт войсковой эксплуатации выявил множество пожеланий к совершенствованию уст</w:t>
      </w:r>
      <w:r w:rsidRPr="00D03F3E">
        <w:rPr>
          <w:rFonts w:ascii="Times New Roman" w:hAnsi="Times New Roman"/>
          <w:color w:val="000000" w:themeColor="text1"/>
          <w:sz w:val="16"/>
          <w:szCs w:val="16"/>
        </w:rPr>
        <w:softHyphen/>
        <w:t>ройства САУ. Во-первых, большой размер казенной части орудия М-30 и значительная длина отката усугубляли тес</w:t>
      </w:r>
      <w:r w:rsidRPr="00D03F3E">
        <w:rPr>
          <w:rFonts w:ascii="Times New Roman" w:hAnsi="Times New Roman"/>
          <w:color w:val="000000" w:themeColor="text1"/>
          <w:sz w:val="16"/>
          <w:szCs w:val="16"/>
        </w:rPr>
        <w:softHyphen/>
        <w:t>ноту боевого отделения и не позволяли увеличить бое</w:t>
      </w:r>
      <w:r w:rsidRPr="00D03F3E">
        <w:rPr>
          <w:rFonts w:ascii="Times New Roman" w:hAnsi="Times New Roman"/>
          <w:color w:val="000000" w:themeColor="text1"/>
          <w:sz w:val="16"/>
          <w:szCs w:val="16"/>
        </w:rPr>
        <w:softHyphen/>
        <w:t>комплект, который для боя считался недостаточным (28-30 выстрелов у первых СУ-122).</w:t>
      </w:r>
    </w:p>
    <w:p w14:paraId="51CF06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СУ-76 в этом отношении повезло значительно меньше. Практически все легкие САУ обоих полков в ходе боевых действий на разное время выходили из строя, при</w:t>
      </w:r>
      <w:r w:rsidRPr="00D03F3E">
        <w:rPr>
          <w:rFonts w:ascii="Times New Roman" w:hAnsi="Times New Roman"/>
          <w:color w:val="000000" w:themeColor="text1"/>
          <w:sz w:val="16"/>
          <w:szCs w:val="16"/>
        </w:rPr>
        <w:softHyphen/>
        <w:t>чем вследствие одной и той же причины — поломок КПП и главных валов, которые не выдерживали эксплуатации в условиях глубокого снега.</w:t>
      </w:r>
    </w:p>
    <w:p w14:paraId="0E49C60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комиссии НКТП инженер-полковник С.А. Гинзбург высказал предположение, что все машины имеют какой-то конструктивный дефект. Выпуск СУ-76 требовалось остановить.</w:t>
      </w:r>
    </w:p>
    <w:p w14:paraId="3F3E03A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решение привело к тому, что запланированные для участия в летней кампании 30 создаваемых САП могли ос</w:t>
      </w:r>
      <w:r w:rsidRPr="00D03F3E">
        <w:rPr>
          <w:rFonts w:ascii="Times New Roman" w:hAnsi="Times New Roman"/>
          <w:color w:val="000000" w:themeColor="text1"/>
          <w:sz w:val="16"/>
          <w:szCs w:val="16"/>
        </w:rPr>
        <w:softHyphen/>
        <w:t>таться без материальной части.</w:t>
      </w:r>
    </w:p>
    <w:p w14:paraId="491E2D9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этих условиях предложение завода № 592 о развора-чивании серийного производства СУ-122 на шасси тро</w:t>
      </w:r>
      <w:r w:rsidRPr="00D03F3E">
        <w:rPr>
          <w:rFonts w:ascii="Times New Roman" w:hAnsi="Times New Roman"/>
          <w:color w:val="000000" w:themeColor="text1"/>
          <w:sz w:val="16"/>
          <w:szCs w:val="16"/>
        </w:rPr>
        <w:softHyphen/>
        <w:t>фейного 20-тонного танка не требовалось, тогда как вы</w:t>
      </w:r>
      <w:r w:rsidRPr="00D03F3E">
        <w:rPr>
          <w:rFonts w:ascii="Times New Roman" w:hAnsi="Times New Roman"/>
          <w:color w:val="000000" w:themeColor="text1"/>
          <w:sz w:val="16"/>
          <w:szCs w:val="16"/>
        </w:rPr>
        <w:softHyphen/>
        <w:t>пуск СУ-76 был под угрозой срыва. Поэтому КБ заводов № 592 (НКВ) и № 37 (НКТП) было дано задание спешно перепроектировать СГ-122 (Т-Ш) в штурмовую САУ, во</w:t>
      </w:r>
      <w:r w:rsidRPr="00D03F3E">
        <w:rPr>
          <w:rFonts w:ascii="Times New Roman" w:hAnsi="Times New Roman"/>
          <w:color w:val="000000" w:themeColor="text1"/>
          <w:sz w:val="16"/>
          <w:szCs w:val="16"/>
        </w:rPr>
        <w:softHyphen/>
        <w:t>оруженную 76,2-мм пушкой.</w:t>
      </w:r>
    </w:p>
    <w:p w14:paraId="25C744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поскольку реально удельный выпуск СУ-122 превышал таковой же для машин класса СУ-76 (ко</w:t>
      </w:r>
      <w:r w:rsidRPr="00D03F3E">
        <w:rPr>
          <w:rFonts w:ascii="Times New Roman" w:hAnsi="Times New Roman"/>
          <w:color w:val="000000" w:themeColor="text1"/>
          <w:sz w:val="16"/>
          <w:szCs w:val="16"/>
        </w:rPr>
        <w:softHyphen/>
        <w:t>торые обладали дефектом), штат № 08/158 был пересмотрен. Теперь САП должен был состоять из пяти батарей, каж</w:t>
      </w:r>
      <w:r w:rsidRPr="00D03F3E">
        <w:rPr>
          <w:rFonts w:ascii="Times New Roman" w:hAnsi="Times New Roman"/>
          <w:color w:val="000000" w:themeColor="text1"/>
          <w:sz w:val="16"/>
          <w:szCs w:val="16"/>
        </w:rPr>
        <w:softHyphen/>
        <w:t>дая по 4 орудия, в том числе 3 батареи — СУ-122 и 2 СУ-76 при общей численности 289 человек. Такая организация бы</w:t>
      </w:r>
      <w:r w:rsidRPr="00D03F3E">
        <w:rPr>
          <w:rFonts w:ascii="Times New Roman" w:hAnsi="Times New Roman"/>
          <w:color w:val="000000" w:themeColor="text1"/>
          <w:sz w:val="16"/>
          <w:szCs w:val="16"/>
        </w:rPr>
        <w:softHyphen/>
        <w:t>ла закреплена за штатом № 08/191, принятым в начале 1943 г. Так как выяснилось, что для грамотной эксплуатации САУ не пригодны «чистые танкисты», впрочем, как и спе</w:t>
      </w:r>
      <w:r w:rsidRPr="00D03F3E">
        <w:rPr>
          <w:rFonts w:ascii="Times New Roman" w:hAnsi="Times New Roman"/>
          <w:color w:val="000000" w:themeColor="text1"/>
          <w:sz w:val="16"/>
          <w:szCs w:val="16"/>
        </w:rPr>
        <w:softHyphen/>
        <w:t>циалисты по буксируемой артиллерии, то на одно из важ</w:t>
      </w:r>
      <w:r w:rsidRPr="00D03F3E">
        <w:rPr>
          <w:rFonts w:ascii="Times New Roman" w:hAnsi="Times New Roman"/>
          <w:color w:val="000000" w:themeColor="text1"/>
          <w:sz w:val="16"/>
          <w:szCs w:val="16"/>
        </w:rPr>
        <w:softHyphen/>
        <w:t>нейших мест всплыл вопрос обучения личного состава. По</w:t>
      </w:r>
      <w:r w:rsidRPr="00D03F3E">
        <w:rPr>
          <w:rFonts w:ascii="Times New Roman" w:hAnsi="Times New Roman"/>
          <w:color w:val="000000" w:themeColor="text1"/>
          <w:sz w:val="16"/>
          <w:szCs w:val="16"/>
        </w:rPr>
        <w:softHyphen/>
        <w:t>этому еще до готовности «линейных САУ» в пос. Клязьма Московской области был открыт учебный центр самоход</w:t>
      </w:r>
      <w:r w:rsidRPr="00D03F3E">
        <w:rPr>
          <w:rFonts w:ascii="Times New Roman" w:hAnsi="Times New Roman"/>
          <w:color w:val="000000" w:themeColor="text1"/>
          <w:sz w:val="16"/>
          <w:szCs w:val="16"/>
        </w:rPr>
        <w:softHyphen/>
        <w:t>ной артиллерии № 1, куда в феврале 1943 г. поступили ма</w:t>
      </w:r>
      <w:r w:rsidRPr="00D03F3E">
        <w:rPr>
          <w:rFonts w:ascii="Times New Roman" w:hAnsi="Times New Roman"/>
          <w:color w:val="000000" w:themeColor="text1"/>
          <w:sz w:val="16"/>
          <w:szCs w:val="16"/>
        </w:rPr>
        <w:softHyphen/>
        <w:t>шины СУ-122(А) и трофейные САУ. Центр был подчинен управлению формирований главного управления команду</w:t>
      </w:r>
      <w:r w:rsidRPr="00D03F3E">
        <w:rPr>
          <w:rFonts w:ascii="Times New Roman" w:hAnsi="Times New Roman"/>
          <w:color w:val="000000" w:themeColor="text1"/>
          <w:sz w:val="16"/>
          <w:szCs w:val="16"/>
        </w:rPr>
        <w:softHyphen/>
        <w:t>ющего артиллерией Красной Армии до осени 1943 г. Кроме того, в ходе зимне-весенней эксплуатации САП их командование столкнулось с массой непредвиденных трудностей, связанных со снабжением и ремонтом самоход-но-артиллерийских частей. Так, например, если бензин еще был в распоряжении начальника артиллерии фронта, в под</w:t>
      </w:r>
      <w:r w:rsidRPr="00D03F3E">
        <w:rPr>
          <w:rFonts w:ascii="Times New Roman" w:hAnsi="Times New Roman"/>
          <w:color w:val="000000" w:themeColor="text1"/>
          <w:sz w:val="16"/>
          <w:szCs w:val="16"/>
        </w:rPr>
        <w:softHyphen/>
        <w:t>чинении которого были указанные САУ, то дизельное топли</w:t>
      </w:r>
      <w:r w:rsidRPr="00D03F3E">
        <w:rPr>
          <w:rFonts w:ascii="Times New Roman" w:hAnsi="Times New Roman"/>
          <w:color w:val="000000" w:themeColor="text1"/>
          <w:sz w:val="16"/>
          <w:szCs w:val="16"/>
        </w:rPr>
        <w:softHyphen/>
        <w:t>во уже относилось в его хозяйстве к фантастике.</w:t>
      </w:r>
    </w:p>
    <w:p w14:paraId="68991C9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Еще большие проблемы представляла эвакуация и ре</w:t>
      </w:r>
      <w:r w:rsidRPr="00D03F3E">
        <w:rPr>
          <w:rFonts w:ascii="Times New Roman" w:hAnsi="Times New Roman"/>
          <w:color w:val="000000" w:themeColor="text1"/>
          <w:sz w:val="16"/>
          <w:szCs w:val="16"/>
        </w:rPr>
        <w:softHyphen/>
        <w:t>монт подбитых и вышедших из строя машин, так как если на данном участке фронта не было танковых частей, то ор</w:t>
      </w:r>
      <w:r w:rsidRPr="00D03F3E">
        <w:rPr>
          <w:rFonts w:ascii="Times New Roman" w:hAnsi="Times New Roman"/>
          <w:color w:val="000000" w:themeColor="text1"/>
          <w:sz w:val="16"/>
          <w:szCs w:val="16"/>
        </w:rPr>
        <w:softHyphen/>
        <w:t>ганизовать эвакуацию и ремонт было крайне непросто и сопряжено с невыполнимыми проблемами. Поэтому с ап</w:t>
      </w:r>
      <w:r w:rsidRPr="00D03F3E">
        <w:rPr>
          <w:rFonts w:ascii="Times New Roman" w:hAnsi="Times New Roman"/>
          <w:color w:val="000000" w:themeColor="text1"/>
          <w:sz w:val="16"/>
          <w:szCs w:val="16"/>
        </w:rPr>
        <w:softHyphen/>
        <w:t>реля 1943 г. самоходная артиллерия, как род войск, была переподчинена командующему бронетанковыми и механи</w:t>
      </w:r>
      <w:r w:rsidRPr="00D03F3E">
        <w:rPr>
          <w:rFonts w:ascii="Times New Roman" w:hAnsi="Times New Roman"/>
          <w:color w:val="000000" w:themeColor="text1"/>
          <w:sz w:val="16"/>
          <w:szCs w:val="16"/>
        </w:rPr>
        <w:softHyphen/>
        <w:t>зированными войсками Красной Армии (11417).</w:t>
      </w:r>
    </w:p>
    <w:p w14:paraId="54EB4EA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366A6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февраля 1943 вышло Распоряжение ГКО № 2878 [О продлении до 1 апреля срока работы 1 тыс. рабочих и служащих, мобилизованных из Московской обл. для обеспечения торфом Шатурской электростанции.] (7082, 117).</w:t>
      </w:r>
    </w:p>
    <w:p w14:paraId="5C9C377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09F3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февраля 1943 вышло Распоряжение ГКО № 2879. О мерах по выполнению НКЭП плана производства щелочных аккумуляторов и гальванических батарей.РГАНИР, Фонд ГКО, д. 89, лл. 118-122, 123-125 (11012).</w:t>
      </w:r>
    </w:p>
    <w:p w14:paraId="48D62D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94F4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февраля 1943 вышло Распоряжение ГКО № 2881. О разрешении НКТП изготовлять броневое литье в I кв. 1943 г. для Т-34 из стали марки МЗ-2 (8с).РГАНИР, Фонд ГКО, д. 89, лл. 130 (11012).</w:t>
      </w:r>
    </w:p>
    <w:p w14:paraId="7C65A9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2F9F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февраля 1943 вышло Постановление ГКО № 2882 Об использовании кислого гудрона завода № 16 Наркомнефти для электростанций Ярэнерго.РГАНИР, Фонд ГКО, д. 89, лл. 131-132 (11012).</w:t>
      </w:r>
    </w:p>
    <w:p w14:paraId="3506A1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69E2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14 февраля 1943 г. распоряжением Совета Народных Комиссаров СССР был создан Московский филиал Государственного института по проектированию алюминиевых, магниевых и электродных заводов "Гипроалюминий". Приказом Министерства цветной металлургии СССР от 20 апреля 1954 г. филиал объединен с Гипровольфрамредметом в ГСПИ-1 (12102).</w:t>
      </w:r>
    </w:p>
    <w:p w14:paraId="2B2ACC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F0BAC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653933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69BCF0"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13 ФЕВРАЛЯ 1943 УТРЕННЕЕ СООБЩЕНИЕ Совинформбюро:</w:t>
      </w:r>
    </w:p>
    <w:p w14:paraId="19823D40"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13 февраля наши войска вели наступательные бои на прежних направлениях.</w:t>
      </w:r>
    </w:p>
    <w:p w14:paraId="34746F9B"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Северо-восточнее Новочеркасска наши войска продолжали успешное наступление и заняли ряд населённых пунктов. Немцы, выбитые из укреплений на берегу СеверногоДонца, пытались удержаться на промежуточных рубежах. Стремительными ударами нашибойцы опрокинули гитлеровцев и отбросили их на запад. Н-ская часть в ожесточённых боях с противником истребила до 400 гитлеровцев. Захвачены 8орудий, 3 миномёта, 19 пулемётов и другие трофеи. На другом участке окружены иистреблены две роты немецкой пехоты. Взяты пленные.</w:t>
      </w:r>
    </w:p>
    <w:p w14:paraId="71EA5F5A"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Красноармейского наши войска вели наступательные бои. Н-ская часть вбою за один населённый пункт уничтожила до батальона немецкой пехоты и подбила12 танков противника. На другом участке наши бойцы захватили укреплённые позициигитлеровцев. Противник несколько раз переходил в контратаки, но успеха недобился. На поле боя осталось более 300 вражеских трупов и 3 сгоревших немецкихтанка.</w:t>
      </w:r>
    </w:p>
    <w:p w14:paraId="4758FBED"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Чугуева наши войска продолжали наступление. Н-ское танковоеподразделение, сломив оборону противника, овладело двумя крупными населённымипунктами. На другом участке окружена и в результате двухдневных боёв истребленаодна немецкая часть. На поле боя осталось до 800 вражеских трупов. Взятыпленные. Захвачены трофеи, в том числе 17 орудий, много пулемётов, автоматов ивинтовок.</w:t>
      </w:r>
    </w:p>
    <w:p w14:paraId="3BC5933B"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бойцы Н-ской части отбили несколько контратак немецкой пехотыи нанесли противнику большие потери. На другом участке наши подразделенияразгромили крупный отряд гитлеровцев и, преследуя их, заняли населённый пункт.Захвачены склады с продовольствием и обмундированием.</w:t>
      </w:r>
    </w:p>
    <w:p w14:paraId="25AE19FF"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Витебской области, вначале февраля месяца вёл ожесточённые бои с крупным карательным отрядомнемецко-фашистских захватчиков. Советские патриоты истребили более 200гитлеровцев. Группа партизан другого отряда, действующего в Вилейской области,пустила под откос железнодорожный эшелон противника. Разбиты паровоз и 8вагонов. При крушении убито 33 гитлеровца. Движение поездов на этом участке былоприостановлено на несколько дней.</w:t>
      </w:r>
    </w:p>
    <w:p w14:paraId="23282421"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Недавно захвачена в плен группа офицеров 82 немецкой пехотной дивизии.Пленный обер-лейтенант Людвиг Мюллер, начальник разведывательного отдела 82дивизии, сообщил: «Поражение немецких войск под Сталинградом и на другихучастках фронта произвело ошеломляющее впечатление. В газетах сейчас сталиписать о выравнивании и сокращении линии фронта. Но мы-то знаем, что значит «сокращение линии фронта». Наша дивизия была разбита буквально за два дня. Натретий день боёв во всей дивизии осталось не больше 1.000 солдат. Русские прорвали нашу линию обороны и двинулись вперёд с такой быстротой, что мы дажеопомниться не успели. Командир дивизии убежал на машине, и я его больше невидел».</w:t>
      </w:r>
    </w:p>
    <w:p w14:paraId="55FECD52"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Немецко-венгерские мерзавцы устроили в селе Марки, Воронежской области,кровавое побоище. Гитлеровцы хватали советских граждан и после долгих издевательств убивали их. Гитлеровские изверги замучили и расстреляли в этомселе больше 100 мирных жителей (15039).</w:t>
      </w:r>
    </w:p>
    <w:p w14:paraId="2B1799A2" w14:textId="77777777" w:rsidR="00172CEA" w:rsidRPr="00D03F3E" w:rsidRDefault="00172CEA" w:rsidP="00D03F3E">
      <w:pPr>
        <w:spacing w:after="0" w:line="240" w:lineRule="auto"/>
        <w:jc w:val="both"/>
        <w:rPr>
          <w:rFonts w:ascii="Times New Roman" w:hAnsi="Times New Roman"/>
          <w:color w:val="000000" w:themeColor="text1"/>
          <w:sz w:val="16"/>
          <w:szCs w:val="16"/>
        </w:rPr>
      </w:pPr>
    </w:p>
    <w:p w14:paraId="436DA355"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13 ФЕВРАЛЯ 1943 ВЕЧЕРНЕЕ СООБЩЕНИЕ Совинформбюро:</w:t>
      </w:r>
    </w:p>
    <w:p w14:paraId="601FD8A8"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февраля наши войска в результате решительной атаки овладели городомНовочеркасск.</w:t>
      </w:r>
    </w:p>
    <w:p w14:paraId="40C78AA2"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продолжая развивать наступление, овладели городом и крупнымжелезнодорожным узлом Лихая, городом и железнодорожной станцией Зверево.</w:t>
      </w:r>
    </w:p>
    <w:p w14:paraId="421E4E61"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также город Новошахтинск.</w:t>
      </w:r>
    </w:p>
    <w:p w14:paraId="1FB1BDCD"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Украине наши войска в результате упорного боя овладели городом и железнодорожной станцией Золочев, а также заняли районный центр Липцы, крупные населённые пункты Казачья Лопань, Рогань, Каменная Яруга, Тарановка.</w:t>
      </w:r>
    </w:p>
    <w:p w14:paraId="00CB1DCB"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бои на прежних направлениях.</w:t>
      </w:r>
    </w:p>
    <w:p w14:paraId="0B42B0B1"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февраля частями нашей авиации на различных участках фронта уничтожено или повреждено до 300 автомашин с войсками и грузами, подавлен огонь 4артиллерийских батарей, взорваны склад боеприпасов и склад горючего, рассеяно и частью уничтожено до двух батальонов пехоты противника.</w:t>
      </w:r>
    </w:p>
    <w:p w14:paraId="188135C5"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Шахт наши войска развивали успешное наступление. Немцы, отступив из города, пытались на другом рубеже организовать оборону. Наши части сломили сопротивление пехоты противника и овладели многими крупными населёнными пунктами. Захвачены большие трофеи, которые подсчитываются. Наши зенитчики сбили4 немецких самолёта.</w:t>
      </w:r>
    </w:p>
    <w:p w14:paraId="2FF87FC7"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Ворошиловска наши части, преодолевая сопротивление противника, продвигались вперёд. По неполным данным, уничтожено свыше 1.200 немецких солдат и офицеров. Захвачены 5 танков, 2 бронемашины, 19 орудий, 5 противотанковых ружей, 70 автомашин, 80 повозок, 200 лошадей с упряжью, 7 паровозов, 2железнодорожных состава с заводским оборудованием и другие трофеи.</w:t>
      </w:r>
    </w:p>
    <w:p w14:paraId="6B4AAFC6"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Красноармейского наши войска вели ожесточённые бои с упорно сопротивляющимися частями противника. Немцы силами пехоты и танков предприняли ряд контратак, пытаясь вернуть потерянные позиции. Все контратаки гитлеровцев отбиты с большими для них потерями. Бойцы Н-ской части в боях за одну железнодорожную станцию уничтожили 15 немецких танков, 6 бронемашин и захватили8 паровозов и 2 бронемашины. На другом участке отряд противника численностью до500 человек при поддержке 14 танков атаковал Н-ское подразделение. Наши артиллеристы и бронебойщики с открытых позиций сожгли и подбили 5 вражескихтанков. Истреблено до 300 гитлеровцев. Противник предпринял ещё несколькобезуспешных контратак и, оставив на поле боя много трупов, а также 6 подбитыхтанков, беспорядочно отступил.</w:t>
      </w:r>
    </w:p>
    <w:p w14:paraId="2B462326"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станции Лозовая нашими частями, по предварительным данным, захваченысклады с инженерным имуществом, склад с боеприпасами, склад с продовольствием,склад с мукой и зерном, 9 паровозов, 120 автомашин, 300 мотоциклов и другиетрофеи, которые подсчитываются.</w:t>
      </w:r>
    </w:p>
    <w:p w14:paraId="3CBF2D5D"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Чугуева наши войска продолжали наступление и овладели рядомнаселённых пунктов. Разгромлена 320 немецкая пехотная дивизия. Только запоследние два дня части этой дивизии потеряли убитыми 3.500 солдат и офицеров.Захвачено 20 орудий, 200 автомашин и до 500 подвод с грузами.</w:t>
      </w:r>
    </w:p>
    <w:p w14:paraId="0D3C2A58"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одном из районов Могилёвской области,совершили несколько налётов на немецкие гарнизоны. Истреблено. 150 гитлеровцев.Партизаны этого отряда в январе месяце пустили под откос 7 железнодорожныхэшелонов противника.</w:t>
      </w:r>
    </w:p>
    <w:p w14:paraId="5831387A"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Полесской области, вянваре месяце пустил под откос 11 вражеских эшелонов.</w:t>
      </w:r>
    </w:p>
    <w:p w14:paraId="7350773C"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захвачена в плен большая группа солдат 227 немецкойгренадерской дивизии. Пленные солдаты 366 полка этой дивизии Иоганн Гоннер,Бернгард Дикман, ефрейтор Эрнст Фиц, обер-ефрейтор Вилли Вранд и другиерассказали: «Артиллерийский огонь русских опустошил многие наши подразделения.Командиры батальонов передавали по радио один за другим приказы — удерживатьпозиции во что бы то ни стало. Однако русские танки прорвали линию обороны. Заними пошла пехота.</w:t>
      </w:r>
    </w:p>
    <w:p w14:paraId="70FB2D9C"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Русские ворвались в наши траншеи, и все находившиеся в них немецкие солдатыбез предварительного сговора, как по команде, подняли руки»,</w:t>
      </w:r>
    </w:p>
    <w:p w14:paraId="6F119A67"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хуторе Старая Станица, Ростовской области, гитлеровские мерзавцы сожглиживьём 18 пленных красноармейцев, колхозницу Прасковью Шинкарёву и её двухдетей. За день до прихода частей Красной Армии немцы подожгли хутор. Огнёмуничтожены 147 домов колхозников, школа, клуб, амбары в все другие хозяйственныепостройки.</w:t>
      </w:r>
    </w:p>
    <w:p w14:paraId="115D4E71"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В ПОСЛЕДНИЙ ЧАС</w:t>
      </w:r>
    </w:p>
    <w:p w14:paraId="4397039E"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НАШИ ВОЙСКА ЗАНЯЛИ ГОРОДА НОВОЧЕРКАССК, ЛИХАЯ, ЗВЕРЕВО, НОВОШАХТИНСК,ЗОЛОЧЕВ</w:t>
      </w:r>
    </w:p>
    <w:p w14:paraId="13729194"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13 февраля наши войска в результате решительной атаки овладели городомНОВОЧЕРКАССК, Первыми ворвались в город части генерал-майора тов. УТВЕНКО А. И.и полковника тов. СЕРЕГИНА И. Ф. из соединения генерал-майора тов. ЧАНЧИБАДЗЕ П.Г.</w:t>
      </w:r>
    </w:p>
    <w:p w14:paraId="2D4791B1"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Войска генерал-майора тов. ШЛЕМИНА И. Т., продолжая развивать наступление,овладели городом и крупной железнодорожной станцией ЗВЕРЕВО.</w:t>
      </w:r>
    </w:p>
    <w:p w14:paraId="2DACEC3F"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также город НОВОШАХТИНСК. 3, На Украине наши войска врезультате упорного боя овладели городом и железнодорожной станцией ЗОЛОЧЕВ (15039).</w:t>
      </w:r>
    </w:p>
    <w:p w14:paraId="5DF00886" w14:textId="77777777" w:rsidR="00172CEA" w:rsidRPr="00D03F3E" w:rsidRDefault="00172CEA" w:rsidP="00D03F3E">
      <w:pPr>
        <w:spacing w:after="0" w:line="240" w:lineRule="auto"/>
        <w:jc w:val="both"/>
        <w:rPr>
          <w:rFonts w:ascii="Times New Roman" w:hAnsi="Times New Roman"/>
          <w:color w:val="000000" w:themeColor="text1"/>
          <w:sz w:val="16"/>
          <w:szCs w:val="16"/>
        </w:rPr>
      </w:pPr>
    </w:p>
    <w:p w14:paraId="5C83DC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февраля 1943 г. 4 И-15бис 62-го иап в 17.48 местного времени обнаружили вражескую подводную лодку в районе Геленджика (координаты: ш=44°20', д=38°18'). С высоты 100 м на лодку были сброшены 16 ФАБ-50 и 12 АО-25. По донесениям летчиков, они наблюдали на месте погружения лодки воздушный пузырь и обширное масляное пятно. Возможно лодка получила повреждения и сообщила о нападении, так как на следующий день немецкие истребители выследили площадку базирования "бисов" и атаковали ее (12014).</w:t>
      </w:r>
    </w:p>
    <w:p w14:paraId="49A114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94321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февраля 1943 г. четыре И-15бис 62-го иап обнаружили вражескую подводную лодку в районе Геленджика. С высоты 100 м на неё были сброше</w:t>
      </w:r>
      <w:r w:rsidRPr="00D03F3E">
        <w:rPr>
          <w:rFonts w:ascii="Times New Roman" w:hAnsi="Times New Roman"/>
          <w:color w:val="000000" w:themeColor="text1"/>
          <w:sz w:val="16"/>
          <w:szCs w:val="16"/>
        </w:rPr>
        <w:softHyphen/>
        <w:t>ны 16 бомб ФАБ-50 и 12 АО-25. По до</w:t>
      </w:r>
      <w:r w:rsidRPr="00D03F3E">
        <w:rPr>
          <w:rFonts w:ascii="Times New Roman" w:hAnsi="Times New Roman"/>
          <w:color w:val="000000" w:themeColor="text1"/>
          <w:sz w:val="16"/>
          <w:szCs w:val="16"/>
        </w:rPr>
        <w:softHyphen/>
        <w:t>несениям лётчиков, они наблюдали на месте погружения подлодки воздушный пузырь и обширное масляное пятно. По немецким источникам, это была субма</w:t>
      </w:r>
      <w:r w:rsidRPr="00D03F3E">
        <w:rPr>
          <w:rFonts w:ascii="Times New Roman" w:hAnsi="Times New Roman"/>
          <w:color w:val="000000" w:themeColor="text1"/>
          <w:sz w:val="16"/>
          <w:szCs w:val="16"/>
        </w:rPr>
        <w:softHyphen/>
        <w:t>рина 1М9. Подводники зафиксировали два близких попадания и незначительные повреждения. Возможно, с лодки позже сообщили на базу о нападении, так как на следующий день немецкие истребители в ответ выследили площадку базирования «бисов» и атаковали её (12294).</w:t>
      </w:r>
    </w:p>
    <w:p w14:paraId="2752D368"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2F850C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февраля 1943 вышло Постановление ГКО № 2880 О формировании авиакорпусов резерва Ставки Верховного Главнокомандования.РГАНИР, Фонд ГКО, д. 89, лл. 126-129 (11012).</w:t>
      </w:r>
    </w:p>
    <w:p w14:paraId="1E4ED4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2C56D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февраля 1943 советские войска освободили Новочеркасск (4962).</w:t>
      </w:r>
    </w:p>
    <w:p w14:paraId="2D0B7A8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32753C" w14:textId="0AEEDA8D" w:rsidR="005F1C83" w:rsidRPr="00D03F3E" w:rsidRDefault="005F1C83"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D03F3E">
        <w:rPr>
          <w:rFonts w:ascii="Times New Roman" w:hAnsi="Times New Roman"/>
          <w:i/>
          <w:iCs/>
          <w:color w:val="000000" w:themeColor="text1"/>
          <w:sz w:val="16"/>
          <w:szCs w:val="16"/>
        </w:rPr>
        <w:t>За рубежом:</w:t>
      </w:r>
    </w:p>
    <w:p w14:paraId="20F4C2C9" w14:textId="77777777" w:rsidR="005F1C83" w:rsidRPr="00D03F3E" w:rsidRDefault="005F1C83"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84316BD" w14:textId="77777777" w:rsidR="005F1C83" w:rsidRPr="00D03F3E" w:rsidRDefault="005F1C8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13 февраля 1943 был первый боевой вылет Vought F4U Corsair, когда базирующаяся на Гуадалканале эскадрилья истребителей морской пехоты 124 (VMF-124) сопровождает бомбардировщики B-24 Liberator ВВС США во время налета на аэродром Кахили на Бугенвиле. Они не встречают вражеских самолетов (20376).</w:t>
      </w:r>
    </w:p>
    <w:p w14:paraId="10CBF707" w14:textId="77777777" w:rsidR="005F1C83" w:rsidRPr="00D03F3E" w:rsidRDefault="005F1C83" w:rsidP="00D03F3E">
      <w:pPr>
        <w:spacing w:after="0" w:line="240" w:lineRule="auto"/>
        <w:jc w:val="both"/>
        <w:rPr>
          <w:rFonts w:ascii="Times New Roman" w:hAnsi="Times New Roman"/>
          <w:color w:val="0070C0"/>
          <w:sz w:val="16"/>
          <w:szCs w:val="16"/>
        </w:rPr>
      </w:pPr>
    </w:p>
    <w:p w14:paraId="2C6938E8" w14:textId="75C851BD"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5BB8F3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5999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Нач. 3У ГРУ Хлопов писал письмо N 235534 Зам. НКАП А.С.Я. с сообщением для использования и оценки обобщенных сведений по японским машинам (1780,91).</w:t>
      </w:r>
    </w:p>
    <w:p w14:paraId="456FF6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B5A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вышло Постановление ГКО № 2893 Об изготовлении и боевом применении 5-тонных фугасных авиабомб конструкции профессора т. Гельперина.РГАНИР, Фонд ГКО, д. 89, лл. 187-188 (11012).</w:t>
      </w:r>
    </w:p>
    <w:p w14:paraId="2CDBBE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3AA557" w14:textId="77777777" w:rsidR="0036504D" w:rsidRPr="00D03F3E" w:rsidRDefault="003650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вышло Постановление ГКО № 2893 Об изготовлении и боевом применении 5-тонных фугасных авиабомб конструкции профессора т. Гельперина</w:t>
      </w:r>
    </w:p>
    <w:p w14:paraId="35E59B46" w14:textId="77777777" w:rsidR="0036504D" w:rsidRPr="00D03F3E" w:rsidRDefault="0036504D"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Государственный комитет Обороны постановляет:</w:t>
      </w:r>
    </w:p>
    <w:p w14:paraId="4482ADC3" w14:textId="77777777" w:rsidR="0036504D" w:rsidRPr="00D03F3E" w:rsidRDefault="0036504D" w:rsidP="00D03F3E">
      <w:pPr>
        <w:pStyle w:val="27"/>
        <w:shd w:val="clear" w:color="auto" w:fill="auto"/>
        <w:tabs>
          <w:tab w:val="left" w:pos="171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1. Обязать Управление Промкоопервцин при СНК </w:t>
      </w:r>
      <w:r w:rsidRPr="00D03F3E">
        <w:rPr>
          <w:rFonts w:ascii="Times New Roman" w:cs="Times New Roman"/>
          <w:color w:val="000000" w:themeColor="text1"/>
          <w:spacing w:val="0"/>
          <w:lang w:val="en-US"/>
        </w:rPr>
        <w:t>PC</w:t>
      </w:r>
      <w:r w:rsidRPr="00D03F3E">
        <w:rPr>
          <w:rFonts w:ascii="Times New Roman" w:cs="Times New Roman"/>
          <w:color w:val="000000" w:themeColor="text1"/>
          <w:spacing w:val="0"/>
        </w:rPr>
        <w:t>Ф</w:t>
      </w:r>
      <w:r w:rsidRPr="00D03F3E">
        <w:rPr>
          <w:rFonts w:ascii="Times New Roman" w:cs="Times New Roman"/>
          <w:color w:val="000000" w:themeColor="text1"/>
          <w:spacing w:val="0"/>
          <w:lang w:val="en-US"/>
        </w:rPr>
        <w:t>CP</w:t>
      </w:r>
      <w:r w:rsidRPr="00D03F3E">
        <w:rPr>
          <w:rFonts w:ascii="Times New Roman" w:cs="Times New Roman"/>
          <w:color w:val="000000" w:themeColor="text1"/>
          <w:spacing w:val="0"/>
        </w:rPr>
        <w:t xml:space="preserve"> (т.Кравчука) и директоре завода Котлотопстрой т..королева изготовить по чертежам КБ-35 НКБ</w:t>
      </w:r>
      <w:r w:rsidRPr="00D03F3E">
        <w:rPr>
          <w:rStyle w:val="8pt2"/>
          <w:rFonts w:ascii="Times New Roman" w:hAnsi="Times New Roman" w:cs="Times New Roman"/>
          <w:color w:val="000000" w:themeColor="text1"/>
          <w:spacing w:val="0"/>
          <w:sz w:val="16"/>
          <w:szCs w:val="16"/>
        </w:rPr>
        <w:t>15</w:t>
      </w:r>
      <w:r w:rsidRPr="00D03F3E">
        <w:rPr>
          <w:rFonts w:ascii="Times New Roman" w:cs="Times New Roman"/>
          <w:color w:val="000000" w:themeColor="text1"/>
          <w:spacing w:val="0"/>
        </w:rPr>
        <w:t xml:space="preserve"> штук корпусов 5-тонных фугасных авиабомб и четыре комплек</w:t>
      </w:r>
      <w:r w:rsidRPr="00D03F3E">
        <w:rPr>
          <w:rFonts w:ascii="Times New Roman" w:cs="Times New Roman"/>
          <w:color w:val="000000" w:themeColor="text1"/>
          <w:spacing w:val="0"/>
        </w:rPr>
        <w:softHyphen/>
        <w:t>те подвесных и сбрасывающих приспособлений к самолету Не-8 в следующие сроки;</w:t>
      </w:r>
    </w:p>
    <w:p w14:paraId="6450E9CE" w14:textId="77777777" w:rsidR="0036504D" w:rsidRPr="00D03F3E" w:rsidRDefault="0036504D"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пять корпусов и один комплект подвесного и сбра</w:t>
      </w:r>
      <w:r w:rsidRPr="00D03F3E">
        <w:rPr>
          <w:rFonts w:ascii="Times New Roman" w:cs="Times New Roman"/>
          <w:color w:val="000000" w:themeColor="text1"/>
          <w:spacing w:val="0"/>
        </w:rPr>
        <w:softHyphen/>
        <w:t>сывающего приспособления к 15 марта 1943 года;</w:t>
      </w:r>
    </w:p>
    <w:p w14:paraId="0F26671F" w14:textId="77777777" w:rsidR="0036504D" w:rsidRPr="00D03F3E" w:rsidRDefault="0036504D"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десять корпусов и три комплекта подвесных и сбра</w:t>
      </w:r>
      <w:r w:rsidRPr="00D03F3E">
        <w:rPr>
          <w:rFonts w:ascii="Times New Roman" w:cs="Times New Roman"/>
          <w:color w:val="000000" w:themeColor="text1"/>
          <w:spacing w:val="0"/>
        </w:rPr>
        <w:softHyphen/>
        <w:t>сывающих приспособлений к 5 апреля 1943 годэ.</w:t>
      </w:r>
    </w:p>
    <w:p w14:paraId="4F4EB739" w14:textId="77777777" w:rsidR="0036504D" w:rsidRPr="00D03F3E" w:rsidRDefault="0036504D" w:rsidP="00D03F3E">
      <w:pPr>
        <w:pStyle w:val="27"/>
        <w:shd w:val="clear" w:color="auto" w:fill="auto"/>
        <w:tabs>
          <w:tab w:val="left" w:pos="1725"/>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2. Обязать Каркомчермет (т.Тевосяна) и директора завода "Серп и молот" т.Ильина к 15 марта с.г. отлить и обработать 15 штук стальных головок к 5-тонным фуга</w:t>
      </w:r>
      <w:r w:rsidRPr="00D03F3E">
        <w:rPr>
          <w:rFonts w:ascii="Times New Roman" w:cs="Times New Roman"/>
          <w:color w:val="000000" w:themeColor="text1"/>
          <w:spacing w:val="0"/>
        </w:rPr>
        <w:softHyphen/>
        <w:t>сным авиабомбэм.</w:t>
      </w:r>
    </w:p>
    <w:p w14:paraId="19D7F0EF" w14:textId="77777777" w:rsidR="0036504D" w:rsidRPr="00D03F3E" w:rsidRDefault="0036504D" w:rsidP="00D03F3E">
      <w:pPr>
        <w:pStyle w:val="27"/>
        <w:shd w:val="clear" w:color="auto" w:fill="auto"/>
        <w:tabs>
          <w:tab w:val="left" w:pos="1725"/>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3. Обязать Наркомзем СССР (т.Венедиктова) о недель</w:t>
      </w:r>
      <w:r w:rsidRPr="00D03F3E">
        <w:rPr>
          <w:rFonts w:ascii="Times New Roman" w:cs="Times New Roman"/>
          <w:color w:val="000000" w:themeColor="text1"/>
          <w:spacing w:val="0"/>
        </w:rPr>
        <w:softHyphen/>
        <w:t>ный срок передать КБ-35 НКБ механические мастерские (Москве, Верхняя Масловка) для организации опытной ба</w:t>
      </w:r>
      <w:r w:rsidRPr="00D03F3E">
        <w:rPr>
          <w:rFonts w:ascii="Times New Roman" w:cs="Times New Roman"/>
          <w:color w:val="000000" w:themeColor="text1"/>
          <w:spacing w:val="0"/>
        </w:rPr>
        <w:softHyphen/>
        <w:t>зы по разработке специальных авиабомб. Передачу произ</w:t>
      </w:r>
      <w:r w:rsidRPr="00D03F3E">
        <w:rPr>
          <w:rFonts w:ascii="Times New Roman" w:cs="Times New Roman"/>
          <w:color w:val="000000" w:themeColor="text1"/>
          <w:spacing w:val="0"/>
        </w:rPr>
        <w:softHyphen/>
        <w:t xml:space="preserve">вести по балансу на 1 января </w:t>
      </w:r>
      <w:r w:rsidRPr="00D03F3E">
        <w:rPr>
          <w:rStyle w:val="1pt"/>
          <w:rFonts w:ascii="Times New Roman" w:cs="Times New Roman"/>
          <w:color w:val="000000" w:themeColor="text1"/>
          <w:spacing w:val="0"/>
          <w:sz w:val="16"/>
          <w:szCs w:val="16"/>
        </w:rPr>
        <w:t>с.г.</w:t>
      </w:r>
    </w:p>
    <w:p w14:paraId="0C42B188" w14:textId="77777777" w:rsidR="0036504D" w:rsidRPr="00D03F3E" w:rsidRDefault="0036504D"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4. Обязать Наркомбоеприпасов (т.Ванниксва; обеспе</w:t>
      </w:r>
      <w:r w:rsidRPr="00D03F3E">
        <w:rPr>
          <w:rFonts w:ascii="Times New Roman" w:hAnsi="Times New Roman" w:cs="Times New Roman"/>
          <w:color w:val="000000" w:themeColor="text1"/>
          <w:sz w:val="16"/>
          <w:szCs w:val="16"/>
        </w:rPr>
        <w:softHyphen/>
        <w:t xml:space="preserve">чить снаряжение для АДД Красной Армии 20 штук 5-тонных </w:t>
      </w:r>
      <w:r w:rsidRPr="00D03F3E">
        <w:rPr>
          <w:rStyle w:val="16"/>
          <w:rFonts w:ascii="Times New Roman" w:hAnsi="Times New Roman" w:cs="Times New Roman"/>
          <w:color w:val="000000" w:themeColor="text1"/>
          <w:spacing w:val="0"/>
          <w:u w:val="none"/>
        </w:rPr>
        <w:t>фугасных авиабомб КБ</w:t>
      </w:r>
      <w:r w:rsidRPr="00D03F3E">
        <w:rPr>
          <w:rFonts w:ascii="Times New Roman" w:hAnsi="Times New Roman" w:cs="Times New Roman"/>
          <w:color w:val="000000" w:themeColor="text1"/>
          <w:sz w:val="16"/>
          <w:szCs w:val="16"/>
        </w:rPr>
        <w:t xml:space="preserve">-35 </w:t>
      </w:r>
      <w:r w:rsidRPr="00D03F3E">
        <w:rPr>
          <w:rStyle w:val="16"/>
          <w:rFonts w:ascii="Times New Roman" w:hAnsi="Times New Roman" w:cs="Times New Roman"/>
          <w:color w:val="000000" w:themeColor="text1"/>
          <w:spacing w:val="0"/>
          <w:u w:val="none"/>
        </w:rPr>
        <w:t xml:space="preserve">смесью </w:t>
      </w:r>
      <w:r w:rsidRPr="00D03F3E">
        <w:rPr>
          <w:rStyle w:val="16"/>
          <w:rFonts w:ascii="Times New Roman" w:hAnsi="Times New Roman" w:cs="Times New Roman"/>
          <w:color w:val="000000" w:themeColor="text1"/>
          <w:spacing w:val="0"/>
          <w:u w:val="none"/>
          <w:lang w:val="en-US"/>
        </w:rPr>
        <w:t>T</w:t>
      </w:r>
      <w:r w:rsidRPr="00D03F3E">
        <w:rPr>
          <w:rStyle w:val="16"/>
          <w:rFonts w:ascii="Times New Roman" w:hAnsi="Times New Roman" w:cs="Times New Roman"/>
          <w:color w:val="000000" w:themeColor="text1"/>
          <w:spacing w:val="0"/>
          <w:u w:val="none"/>
        </w:rPr>
        <w:t>Г</w:t>
      </w:r>
      <w:r w:rsidRPr="00D03F3E">
        <w:rPr>
          <w:rStyle w:val="16"/>
          <w:rFonts w:ascii="Times New Roman" w:hAnsi="Times New Roman" w:cs="Times New Roman"/>
          <w:color w:val="000000" w:themeColor="text1"/>
          <w:spacing w:val="0"/>
          <w:u w:val="none"/>
          <w:lang w:val="en-US"/>
        </w:rPr>
        <w:t>A</w:t>
      </w:r>
      <w:r w:rsidRPr="00D03F3E">
        <w:rPr>
          <w:rStyle w:val="16"/>
          <w:rFonts w:ascii="Times New Roman" w:hAnsi="Times New Roman" w:cs="Times New Roman"/>
          <w:color w:val="000000" w:themeColor="text1"/>
          <w:spacing w:val="0"/>
          <w:u w:val="none"/>
        </w:rPr>
        <w:t xml:space="preserve"> в следующие сроки:</w:t>
      </w:r>
      <w:r w:rsidRPr="00D03F3E">
        <w:rPr>
          <w:rFonts w:ascii="Times New Roman" w:hAnsi="Times New Roman" w:cs="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5 штук к 25 февраля </w:t>
      </w:r>
      <w:r w:rsidRPr="00D03F3E">
        <w:rPr>
          <w:rStyle w:val="2pt0"/>
          <w:rFonts w:ascii="Times New Roman" w:hAnsi="Times New Roman" w:cs="Times New Roman"/>
          <w:color w:val="000000" w:themeColor="text1"/>
          <w:spacing w:val="0"/>
          <w:sz w:val="16"/>
          <w:szCs w:val="16"/>
        </w:rPr>
        <w:t>с.г.,</w:t>
      </w:r>
      <w:r w:rsidRPr="00D03F3E">
        <w:rPr>
          <w:rFonts w:ascii="Times New Roman" w:hAnsi="Times New Roman" w:cs="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5 штук </w:t>
      </w:r>
      <w:r w:rsidRPr="00D03F3E">
        <w:rPr>
          <w:rFonts w:ascii="Times New Roman" w:hAnsi="Times New Roman" w:cs="Times New Roman"/>
          <w:color w:val="000000" w:themeColor="text1"/>
          <w:sz w:val="16"/>
          <w:szCs w:val="16"/>
        </w:rPr>
        <w:t xml:space="preserve">к 1 </w:t>
      </w:r>
      <w:r w:rsidRPr="00D03F3E">
        <w:rPr>
          <w:rStyle w:val="16"/>
          <w:rFonts w:ascii="Times New Roman" w:hAnsi="Times New Roman" w:cs="Times New Roman"/>
          <w:color w:val="000000" w:themeColor="text1"/>
          <w:spacing w:val="0"/>
          <w:u w:val="none"/>
        </w:rPr>
        <w:t xml:space="preserve">апреля </w:t>
      </w:r>
      <w:r w:rsidRPr="00D03F3E">
        <w:rPr>
          <w:rStyle w:val="2pt0"/>
          <w:rFonts w:ascii="Times New Roman" w:hAnsi="Times New Roman" w:cs="Times New Roman"/>
          <w:color w:val="000000" w:themeColor="text1"/>
          <w:spacing w:val="0"/>
          <w:sz w:val="16"/>
          <w:szCs w:val="16"/>
        </w:rPr>
        <w:t xml:space="preserve">с.г., </w:t>
      </w:r>
      <w:r w:rsidRPr="00D03F3E">
        <w:rPr>
          <w:rStyle w:val="16"/>
          <w:rFonts w:ascii="Times New Roman" w:hAnsi="Times New Roman" w:cs="Times New Roman"/>
          <w:color w:val="000000" w:themeColor="text1"/>
          <w:spacing w:val="0"/>
          <w:u w:val="none"/>
        </w:rPr>
        <w:t xml:space="preserve">10 штук к 20 апреля </w:t>
      </w:r>
      <w:r w:rsidRPr="00D03F3E">
        <w:rPr>
          <w:rStyle w:val="2pt0"/>
          <w:rFonts w:ascii="Times New Roman" w:hAnsi="Times New Roman" w:cs="Times New Roman"/>
          <w:color w:val="000000" w:themeColor="text1"/>
          <w:spacing w:val="0"/>
          <w:sz w:val="16"/>
          <w:szCs w:val="16"/>
        </w:rPr>
        <w:t>с.г.</w:t>
      </w:r>
    </w:p>
    <w:p w14:paraId="75A1646D" w14:textId="77777777" w:rsidR="0036504D" w:rsidRPr="00D03F3E" w:rsidRDefault="0036504D" w:rsidP="00D03F3E">
      <w:pPr>
        <w:pStyle w:val="7f"/>
        <w:shd w:val="clear" w:color="auto" w:fill="auto"/>
        <w:tabs>
          <w:tab w:val="left" w:pos="978"/>
        </w:tabs>
        <w:spacing w:before="0" w:line="240" w:lineRule="auto"/>
        <w:jc w:val="both"/>
        <w:rPr>
          <w:rFonts w:ascii="Times New Roman" w:hAnsi="Times New Roman" w:cs="Times New Roman"/>
          <w:color w:val="000000" w:themeColor="text1"/>
          <w:sz w:val="16"/>
          <w:szCs w:val="16"/>
        </w:rPr>
      </w:pPr>
      <w:r w:rsidRPr="00D03F3E">
        <w:rPr>
          <w:rStyle w:val="16"/>
          <w:rFonts w:ascii="Times New Roman" w:hAnsi="Times New Roman" w:cs="Times New Roman"/>
          <w:color w:val="000000" w:themeColor="text1"/>
          <w:spacing w:val="0"/>
          <w:u w:val="none"/>
        </w:rPr>
        <w:t>5. Общее техническое руководство по изготовлению,</w:t>
      </w:r>
      <w:r w:rsidRPr="00D03F3E">
        <w:rPr>
          <w:rFonts w:ascii="Times New Roman" w:hAnsi="Times New Roman" w:cs="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сборке и</w:t>
      </w:r>
      <w:r w:rsidRPr="00D03F3E">
        <w:rPr>
          <w:rFonts w:ascii="Times New Roman" w:hAnsi="Times New Roman" w:cs="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монтажу бомб возложить на начальника КБ</w:t>
      </w:r>
      <w:r w:rsidRPr="00D03F3E">
        <w:rPr>
          <w:rFonts w:ascii="Times New Roman" w:hAnsi="Times New Roman" w:cs="Times New Roman"/>
          <w:color w:val="000000" w:themeColor="text1"/>
          <w:sz w:val="16"/>
          <w:szCs w:val="16"/>
        </w:rPr>
        <w:t>-35 т.</w:t>
      </w:r>
      <w:r w:rsidRPr="00D03F3E">
        <w:rPr>
          <w:rStyle w:val="16"/>
          <w:rFonts w:ascii="Times New Roman" w:hAnsi="Times New Roman" w:cs="Times New Roman"/>
          <w:color w:val="000000" w:themeColor="text1"/>
          <w:spacing w:val="0"/>
          <w:u w:val="none"/>
        </w:rPr>
        <w:t xml:space="preserve">Гельперина </w:t>
      </w:r>
      <w:r w:rsidRPr="00D03F3E">
        <w:rPr>
          <w:rFonts w:ascii="Times New Roman" w:hAnsi="Times New Roman" w:cs="Times New Roman"/>
          <w:color w:val="000000" w:themeColor="text1"/>
          <w:sz w:val="16"/>
          <w:szCs w:val="16"/>
        </w:rPr>
        <w:t>.</w:t>
      </w:r>
    </w:p>
    <w:p w14:paraId="4B96A860" w14:textId="77777777" w:rsidR="0036504D" w:rsidRPr="00D03F3E" w:rsidRDefault="0036504D" w:rsidP="00D03F3E">
      <w:pPr>
        <w:pStyle w:val="7f"/>
        <w:shd w:val="clear" w:color="auto" w:fill="auto"/>
        <w:tabs>
          <w:tab w:val="left" w:pos="970"/>
        </w:tabs>
        <w:spacing w:before="0" w:line="240" w:lineRule="auto"/>
        <w:jc w:val="both"/>
        <w:rPr>
          <w:rFonts w:ascii="Times New Roman" w:hAnsi="Times New Roman" w:cs="Times New Roman"/>
          <w:color w:val="000000" w:themeColor="text1"/>
          <w:sz w:val="16"/>
          <w:szCs w:val="16"/>
        </w:rPr>
      </w:pPr>
      <w:r w:rsidRPr="00D03F3E">
        <w:rPr>
          <w:rStyle w:val="16"/>
          <w:rFonts w:ascii="Times New Roman" w:hAnsi="Times New Roman" w:cs="Times New Roman"/>
          <w:color w:val="000000" w:themeColor="text1"/>
          <w:spacing w:val="0"/>
          <w:u w:val="none"/>
        </w:rPr>
        <w:t xml:space="preserve">6. Обязать </w:t>
      </w:r>
      <w:r w:rsidRPr="00D03F3E">
        <w:rPr>
          <w:rFonts w:ascii="Times New Roman" w:hAnsi="Times New Roman" w:cs="Times New Roman"/>
          <w:color w:val="000000" w:themeColor="text1"/>
          <w:sz w:val="16"/>
          <w:szCs w:val="16"/>
        </w:rPr>
        <w:t xml:space="preserve">авиацию </w:t>
      </w:r>
      <w:r w:rsidRPr="00D03F3E">
        <w:rPr>
          <w:rStyle w:val="16"/>
          <w:rFonts w:ascii="Times New Roman" w:hAnsi="Times New Roman" w:cs="Times New Roman"/>
          <w:color w:val="000000" w:themeColor="text1"/>
          <w:spacing w:val="0"/>
          <w:u w:val="none"/>
        </w:rPr>
        <w:t>дальнего действия (т.Голованова}</w:t>
      </w:r>
      <w:r w:rsidRPr="00D03F3E">
        <w:rPr>
          <w:rFonts w:ascii="Times New Roman" w:hAnsi="Times New Roman" w:cs="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организовать боевое применение первых пяти штук 5-тонных</w:t>
      </w:r>
      <w:r w:rsidRPr="00D03F3E">
        <w:rPr>
          <w:rFonts w:ascii="Times New Roman" w:hAnsi="Times New Roman" w:cs="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авиабомб </w:t>
      </w:r>
      <w:r w:rsidRPr="00D03F3E">
        <w:rPr>
          <w:rFonts w:ascii="Times New Roman" w:hAnsi="Times New Roman" w:cs="Times New Roman"/>
          <w:color w:val="000000" w:themeColor="text1"/>
          <w:sz w:val="16"/>
          <w:szCs w:val="16"/>
        </w:rPr>
        <w:t xml:space="preserve">и </w:t>
      </w:r>
      <w:r w:rsidRPr="00D03F3E">
        <w:rPr>
          <w:rStyle w:val="16"/>
          <w:rFonts w:ascii="Times New Roman" w:hAnsi="Times New Roman" w:cs="Times New Roman"/>
          <w:color w:val="000000" w:themeColor="text1"/>
          <w:spacing w:val="0"/>
          <w:u w:val="none"/>
        </w:rPr>
        <w:t xml:space="preserve">эффективность </w:t>
      </w:r>
      <w:r w:rsidRPr="00D03F3E">
        <w:rPr>
          <w:rFonts w:ascii="Times New Roman" w:hAnsi="Times New Roman" w:cs="Times New Roman"/>
          <w:color w:val="000000" w:themeColor="text1"/>
          <w:sz w:val="16"/>
          <w:szCs w:val="16"/>
        </w:rPr>
        <w:t xml:space="preserve">их </w:t>
      </w:r>
      <w:r w:rsidRPr="00D03F3E">
        <w:rPr>
          <w:rStyle w:val="16"/>
          <w:rFonts w:ascii="Times New Roman" w:hAnsi="Times New Roman" w:cs="Times New Roman"/>
          <w:color w:val="000000" w:themeColor="text1"/>
          <w:spacing w:val="0"/>
          <w:u w:val="none"/>
        </w:rPr>
        <w:t xml:space="preserve">действия доложить ГОКО </w:t>
      </w:r>
      <w:r w:rsidRPr="00D03F3E">
        <w:rPr>
          <w:rFonts w:ascii="Times New Roman" w:hAnsi="Times New Roman" w:cs="Times New Roman"/>
          <w:color w:val="000000" w:themeColor="text1"/>
          <w:sz w:val="16"/>
          <w:szCs w:val="16"/>
        </w:rPr>
        <w:t xml:space="preserve">к </w:t>
      </w:r>
      <w:r w:rsidRPr="00D03F3E">
        <w:rPr>
          <w:rStyle w:val="16"/>
          <w:rFonts w:ascii="Times New Roman" w:hAnsi="Times New Roman" w:cs="Times New Roman"/>
          <w:color w:val="000000" w:themeColor="text1"/>
          <w:spacing w:val="0"/>
          <w:u w:val="none"/>
        </w:rPr>
        <w:t>25</w:t>
      </w:r>
      <w:r w:rsidRPr="00D03F3E">
        <w:rPr>
          <w:rFonts w:ascii="Times New Roman" w:hAnsi="Times New Roman" w:cs="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марта 1943 года </w:t>
      </w:r>
      <w:r w:rsidRPr="00D03F3E">
        <w:rPr>
          <w:rFonts w:ascii="Times New Roman" w:hAnsi="Times New Roman" w:cs="Times New Roman"/>
          <w:color w:val="000000" w:themeColor="text1"/>
          <w:sz w:val="16"/>
          <w:szCs w:val="16"/>
        </w:rPr>
        <w:t>(19381).</w:t>
      </w:r>
    </w:p>
    <w:p w14:paraId="6DC65199" w14:textId="77777777" w:rsidR="0036504D" w:rsidRPr="00D03F3E" w:rsidRDefault="0036504D"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355BE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вышло Постановление ГКО № 2896 Об организации производства авиационных свечей с керамическими изоляторами. (7082, 193-195,196-202).</w:t>
      </w:r>
    </w:p>
    <w:p w14:paraId="5613C0E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DC2D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1943г. распоряжением СНК был создан Московский филиал «Гипроалюминия». По пр. МЦМ от 20.04.1954г. филиал объединен с Гипровольфрамредметом в ГСПИ-1.</w:t>
      </w:r>
    </w:p>
    <w:p w14:paraId="6FD870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Занимался проектированием новых, реконструкцией и расширением действующих предприятий алюминиево- магниевой, электродной, твердосплавной промышленности, промышленности вторичных цветных металлов.</w:t>
      </w:r>
      <w:r w:rsidRPr="00D03F3E">
        <w:rPr>
          <w:rFonts w:ascii="Times New Roman" w:hAnsi="Times New Roman"/>
          <w:color w:val="000000" w:themeColor="text1"/>
          <w:sz w:val="16"/>
          <w:szCs w:val="16"/>
          <w:vertAlign w:val="superscript"/>
        </w:rPr>
        <w:t xml:space="preserve">137 </w:t>
      </w:r>
      <w:r w:rsidRPr="00D03F3E">
        <w:rPr>
          <w:rFonts w:ascii="Times New Roman" w:hAnsi="Times New Roman"/>
          <w:color w:val="000000" w:themeColor="text1"/>
          <w:sz w:val="16"/>
          <w:szCs w:val="16"/>
        </w:rPr>
        <w:t>Уральский филиал «Гипроалюмииия», Уральский научно-исследовательский и проектный институт алюминиевой промышленности («Уралалюминий»)</w:t>
      </w:r>
    </w:p>
    <w:p w14:paraId="5D55F4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1955г. образован Уральский филиал «Гипроалюминия» для модернизации и развития заводов Уральского региона. Далее он преобразован в самостоятельный «Уралалюминий».</w:t>
      </w:r>
    </w:p>
    <w:p w14:paraId="459687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начала 1970-х г. институт являлся генпроектировщиком Уральского и Богословского алюминиевых заводов.</w:t>
      </w:r>
    </w:p>
    <w:p w14:paraId="3AE0B5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11.1992г. институт преобразован в ОАО (11982).</w:t>
      </w:r>
    </w:p>
    <w:p w14:paraId="5995F5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05560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0CC14B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874B0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вышло Постановление ГКО № 2886 О плане производства и поставки передвижных мастерских типов А, Б и ААРМ на февраль-март 1943 г. (7082, 138-139,140-153).</w:t>
      </w:r>
    </w:p>
    <w:p w14:paraId="57560FC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A917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года Государственный Комитет Обороны принял КВ-14 на вооружение под обозначением СУ-152. (3862).</w:t>
      </w:r>
    </w:p>
    <w:p w14:paraId="40FB00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2B60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г. Постановлением ГКО образец КВ-14 под индексом СУ-152 был принят на вооружение и поставлен на серийное производство. До начала марта того же года была изготовлена первая партия установок в количестве 35 машин, ко</w:t>
      </w:r>
      <w:r w:rsidRPr="00D03F3E">
        <w:rPr>
          <w:rFonts w:ascii="Times New Roman" w:hAnsi="Times New Roman"/>
          <w:color w:val="000000" w:themeColor="text1"/>
          <w:sz w:val="16"/>
          <w:szCs w:val="16"/>
        </w:rPr>
        <w:softHyphen/>
        <w:t>торые были отправлены на формирование тяжелых самоходно-артил</w:t>
      </w:r>
      <w:r w:rsidRPr="00D03F3E">
        <w:rPr>
          <w:rFonts w:ascii="Times New Roman" w:hAnsi="Times New Roman"/>
          <w:color w:val="000000" w:themeColor="text1"/>
          <w:sz w:val="16"/>
          <w:szCs w:val="16"/>
        </w:rPr>
        <w:softHyphen/>
        <w:t>лерийских полков (ТСАП). Впервые новые боевые машины были ис</w:t>
      </w:r>
      <w:r w:rsidRPr="00D03F3E">
        <w:rPr>
          <w:rFonts w:ascii="Times New Roman" w:hAnsi="Times New Roman"/>
          <w:color w:val="000000" w:themeColor="text1"/>
          <w:sz w:val="16"/>
          <w:szCs w:val="16"/>
        </w:rPr>
        <w:softHyphen/>
        <w:t>пользованы в боях на Курской дуге. Серийное производство самоход</w:t>
      </w:r>
      <w:r w:rsidRPr="00D03F3E">
        <w:rPr>
          <w:rFonts w:ascii="Times New Roman" w:hAnsi="Times New Roman"/>
          <w:color w:val="000000" w:themeColor="text1"/>
          <w:sz w:val="16"/>
          <w:szCs w:val="16"/>
        </w:rPr>
        <w:softHyphen/>
        <w:t>ных установок СУ-152 продолжалось до декабря 1943 г. - до снятия с производства танка КВ-1 С (10703).</w:t>
      </w:r>
    </w:p>
    <w:p w14:paraId="324D47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C21B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г. постановлением ГКО установка КВ-14 (Объект-236) была принята на вооружение РККА. Серийное про</w:t>
      </w:r>
      <w:r w:rsidRPr="00D03F3E">
        <w:rPr>
          <w:rFonts w:ascii="Times New Roman" w:hAnsi="Times New Roman"/>
          <w:color w:val="000000" w:themeColor="text1"/>
          <w:sz w:val="16"/>
          <w:szCs w:val="16"/>
        </w:rPr>
        <w:softHyphen/>
        <w:t>изводство самоходной установки СУ-152 осуществлялось с февраля до декабря 1943 г. Всего было выпущено 670 машин. Самоходная установ</w:t>
      </w:r>
      <w:r w:rsidRPr="00D03F3E">
        <w:rPr>
          <w:rFonts w:ascii="Times New Roman" w:hAnsi="Times New Roman"/>
          <w:color w:val="000000" w:themeColor="text1"/>
          <w:sz w:val="16"/>
          <w:szCs w:val="16"/>
        </w:rPr>
        <w:softHyphen/>
        <w:t>ка СУ-152 получила широкую известность во время Курской битвы ле</w:t>
      </w:r>
      <w:r w:rsidRPr="00D03F3E">
        <w:rPr>
          <w:rFonts w:ascii="Times New Roman" w:hAnsi="Times New Roman"/>
          <w:color w:val="000000" w:themeColor="text1"/>
          <w:sz w:val="16"/>
          <w:szCs w:val="16"/>
        </w:rPr>
        <w:softHyphen/>
        <w:t>том 1943 г., когда она использовалась как мощное противотанковое средство для уничтожения немецких танков Т-У "Пантера" и Т-У1 "Тигр-1" (10703).</w:t>
      </w:r>
    </w:p>
    <w:p w14:paraId="0694653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FCB2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г. установка КВ-14 ("Объект 236") была принята на вооружение РККА. Серийное про</w:t>
      </w:r>
      <w:r w:rsidRPr="00D03F3E">
        <w:rPr>
          <w:rFonts w:ascii="Times New Roman" w:hAnsi="Times New Roman"/>
          <w:color w:val="000000" w:themeColor="text1"/>
          <w:sz w:val="16"/>
          <w:szCs w:val="16"/>
        </w:rPr>
        <w:softHyphen/>
        <w:t>изводство самоходной установки СУ-152 осуществлялось с февраля до декабря 1943 г. Всего было выпущено 670 машин. Самоходная установ</w:t>
      </w:r>
      <w:r w:rsidRPr="00D03F3E">
        <w:rPr>
          <w:rFonts w:ascii="Times New Roman" w:hAnsi="Times New Roman"/>
          <w:color w:val="000000" w:themeColor="text1"/>
          <w:sz w:val="16"/>
          <w:szCs w:val="16"/>
        </w:rPr>
        <w:softHyphen/>
        <w:t>ка СУ-152 получила широкую известность во время Курской битвы ле</w:t>
      </w:r>
      <w:r w:rsidRPr="00D03F3E">
        <w:rPr>
          <w:rFonts w:ascii="Times New Roman" w:hAnsi="Times New Roman"/>
          <w:color w:val="000000" w:themeColor="text1"/>
          <w:sz w:val="16"/>
          <w:szCs w:val="16"/>
        </w:rPr>
        <w:softHyphen/>
        <w:t>том 1943 г., когда она использовалась как мощное противотанковое средство для уничтожения немецких танков Т-У "Пантера" и Т-У1 "Тигр-1" (10703).</w:t>
      </w:r>
    </w:p>
    <w:p w14:paraId="4A621E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2DA2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вышло Постановление ГКО № 2883 О производстве артиллерийских самоходных установок СУ-14, танков КВ-1с и бронекорпусов к ним в феврале и марте 1943 г.РГАНИР, Фонд ГКО, д. 89, лл. 133-135 (11012).</w:t>
      </w:r>
    </w:p>
    <w:p w14:paraId="3EBC50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723E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14 февраля 1943 года Постановлением ГКО образец КВ-14 приняли на вооружение и поставили на серийное производство. В апреле 1943 года ГКО постановил КВ-14 впредь именовать СУ-152. </w:t>
      </w:r>
    </w:p>
    <w:p w14:paraId="0EC709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Самоходная установка СУ-152 относилась к типу полностью бронированных самоходных установок с передним расположением боевой рубки. Боевое отделение и отделение управления были совмещены. Механик-водитель занимал место слева впереди в отделении управления, за ним — наводчик, за наводчиком — заряжающий. Справа от орудия впереди размещался командир машины, за ним — замковый. Для наблюдения за полем боя использовались перископ ПТК-4, обеспечивавший круговой обзор, и пять приз-менных зеркальных смотровых приборов, установленных на крыше рубки и крышках левого и кормового люков. В крышке правого люка имелся лючок для сигнализации. Механик-водитель вел наблюдение за полем боя через лючок со стеклоблоком, закрываемый броневой крышкой со смотровой щелью. Посадка экипажа производилась через два люка: круглый, расположенный в передней части крыши справа, и прямоугольный двухстворчатый люк, расположенный в кормовой части крыши и кормовом листе рубки. В днище корпуса в боевом отделении был предусмотрен аварийный люк. </w:t>
      </w:r>
    </w:p>
    <w:p w14:paraId="04BDA6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Корпус и рубка установки были сварены из броневых катаных листов толщиной 20, 30, 60 и 70 мм. Маска пушки имела толщину 60 мм. Зазор между подвижной бронировкой орудия и верхним лобовым листом корпуса машины защищался броневым прикрытием. Лобовой, скуловые, бортовые и кормовой броневые листы рубки, а также лобовые листы корпуса отличались рациональными углами наклона. Борта корпуса — вертикальные. В правом нижнем бортовом листе корпуса в боевом отделении располагался люк для загрузки боеприпасов с откидной броневой крышкой. Для стрельбы из личного оружия в лобовом и кормовом листах рубки имелись бойницы, закрывавшиеся броневыми пробками. Крыша броневой рубки — съемная, состояла из двух частей. С передним, скуловыми, боковыми и кормовым листами рубки листы крыши соединялись с помощью болтов. В передней части крыши рубки, помимо двух люков и отверстия под смотровой прибор, имелись два </w:t>
      </w:r>
      <w:r w:rsidRPr="00D03F3E">
        <w:rPr>
          <w:rFonts w:ascii="Times New Roman" w:hAnsi="Times New Roman"/>
          <w:color w:val="000000" w:themeColor="text1"/>
          <w:sz w:val="16"/>
          <w:szCs w:val="16"/>
        </w:rPr>
        <w:lastRenderedPageBreak/>
        <w:t xml:space="preserve">отверстия (справа) для установки командирской панорамы и антенного ввода, прикрытого броневым стаканом, и сзади справа — лючок, закрывавшийся откидной броневой крышкой, для доступа к заправочным горловинам топливных баков, расположенных в боевом отделении. Отверстия под смотровые приборы в крыше рубки и крышках люков имели броневое прикрытие. Вентиляция боевого отделения осуществлялась за счет тяги воздуха, создававшейся работающим двигателем при открытых шиберах в моторной перегородке. </w:t>
      </w:r>
    </w:p>
    <w:p w14:paraId="7ABB4E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Кормовая часть корпуса состояла из двух броневых листов (верхнего и нижнего) закругленной формы. В средней части верхний лист перекрывал нижний, образуя тем самым карман для выхода охлаждающего воздуха из МТО самоходной установки. Для защиты от попадания посторонних предметов карман закрывался проволочной сеткой. Крыша МТО состояла из двух съемных броневых листов, крепившихся к корпусу САУ болтами. Первый лист крыши в центральной части имел люк для доступа к двигателю, закрывавшийся броневой крышкой. В центре крышки в выпуклой ее части находилось отверстие, предназначавшееся для заливки воды в систему охлаждения двигателя. Вдоль бортов корпуса имелись два прямоугольных отверстия для доступа охлаждающего воздуха к двигателю, закрывавшиеся сверху защитными сетками. В задней части листа были выполнены два отверстия для прохода выхлопных труб, над которыми устанавливались броневые кожуха. Задний лист крыши оборудовался двумя круглыми люками с откидными броневыми крышками для доступа к узлам и агрегатам трансмиссии. Днище корпуса было сварено из двух броневых листов и имело люки и отверстия, закрываемые броневыми крышками. В амбразуре лобового листа рубки в рамке устанавливалась 152-мм гаубица-пушка МЛ-20 обр. 1937 г. Орудие снабжалось поршневым затвором с инерционным предохранителем и щелевым дульным тормозом. Длина ствола составляла 28,8 калибра, высота линии огня — 1800 мм. В конструкции противооткатных устройств использовались гидравлический тормоз отката и гидропневматический накатник. Подъемный и поворотный механизмы секторного типа обеспечивали углы вертикальной наводки от -5° до +18°, горизонтальной — в секторе 12°. Телескопические прицелы СТ-10 или КТ-5 использовались при стрельбе прямой наводкой, а панорама Герца — при стрельбе с закрытых огневых позиций. Для стрельбы ночью шкалы прицела и панорамы, а также прицельная и орудийная стрелки оснащались специальной подсветкой. Дальность стрельбы прямой наводкой составляла 3800 м, наибольшая — 6200 м. Скорострельность пушки-гаубицы достигала 2 выстр./мин. Для облегчения заряжания орудия имелся откидной лоток, который обеспечивал устранение задевания ведущего пояска снаряда за срез трубы ствола. </w:t>
      </w:r>
    </w:p>
    <w:p w14:paraId="7EC1B5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боекомплект входили 20 выстрелов раздельного гильзового заряжания. Для стрельбы использовались осколочно-фугасная дальнобойная стальная пушечная граната ОФ-540, бетонобойный гаубичный снаряд Г-530, осколочно-фугасная дальнобойная стальная гаубичная граната ОФ-530, осколочная дальнобойная гаубичная граната из сталистого чугуна О-530А, бронебойно-трассирующий снаряд БР-540 и фугасный морской полубронебойный снаряд. Кроме того, могли использоваться пушечные бетонобойные снаряды Г-545 массой 56 кг и фугасные стальные пушечные гранаты старого образца Ф-542 и Ф-542Ш. Дополнительно в боевом отделении укладывались два 7,62-мм пистолета-пулемета ППШ с боекомплектом 1278 патронов (18 дисков) и 25 гранат Ф-1, позднее боекомплект к ППШ был увеличен до 1562 патронов (22 диска). В моторно-трансмиссионном отделении вдоль продольной оси корпуса устанавливался двенадцатицилиндровый V-образный четырехтактный дизель В-2К мощностью 600 л.с. Пуск двигателя осуществлялся с помощью электростартера СТ-700 мощностью 15 л.с. или сжатого воздуха из двух воздушных баллонов емкостью 5 л каждый. Емкость основных топливных баков составляла 600 — 615 л. При установке запасных наружных баков запас возимого топлива увеличивался на 360 л. Запас хода установки по шоссе на основных баках достигал 330 км. </w:t>
      </w:r>
    </w:p>
    <w:p w14:paraId="6855B7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состав трансмиссии входили многодисковый главный фрикцион сухого трения, четырехступенчатая коробка передач с демультипликатором, обеспечивавшая восемь передач переднего и две передачи заднего хода, два многодисковых бортовых фрикциона с плавающими ленточными тормозами и два бортовых планетарных редуктора. Состав гусеничного движителя — 12 сдвоенных опорных катков (диаметром 600 мм), шесть поддерживающих катков, два направляющих колеса с механизмами натяжения гусениц и два ведущих колеса кормового расположения со съемными зубчатыми венцами. Зацепление — цевочное. Подвеска — индивидуальная торсионная, с ограничителями хода опорных катков. Опорные и поддерживающие катки, а также направляющие колеса были выполнены цельнометаллическими, без резиновой амортизации. Ширина штампованного трака гусеницы равнялась 608 мм. </w:t>
      </w:r>
    </w:p>
    <w:p w14:paraId="3B6E54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машине устанавливалась радиостанция 9Р или ЮР (ЮРК-26) с умформерами РУ-75В и РУ-11Б, для внутренней связи служило танковое переговорное устройство ТПУ-4БИС (11638).</w:t>
      </w:r>
    </w:p>
    <w:p w14:paraId="129CC9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FD4A9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после проведения ускоренных полигонных испытаний, САУ «Объект 236» - как СУ-152 приняли на вооружение. Ее серийное произ</w:t>
      </w:r>
      <w:r w:rsidRPr="00D03F3E">
        <w:rPr>
          <w:rFonts w:ascii="Times New Roman" w:hAnsi="Times New Roman"/>
          <w:color w:val="000000" w:themeColor="text1"/>
          <w:sz w:val="16"/>
          <w:szCs w:val="16"/>
        </w:rPr>
        <w:softHyphen/>
        <w:t>водство параллельно с базовым танком про</w:t>
      </w:r>
      <w:r w:rsidRPr="00D03F3E">
        <w:rPr>
          <w:rFonts w:ascii="Times New Roman" w:hAnsi="Times New Roman"/>
          <w:color w:val="000000" w:themeColor="text1"/>
          <w:sz w:val="16"/>
          <w:szCs w:val="16"/>
        </w:rPr>
        <w:softHyphen/>
        <w:t>должалось до декабря 1943 г. С марта 1943 г. было сформировано несколько тяжелых самоходно-артиллерийских полков — ТСАП, успешно участвовавших в боях. СУ-152 пре</w:t>
      </w:r>
      <w:r w:rsidRPr="00D03F3E">
        <w:rPr>
          <w:rFonts w:ascii="Times New Roman" w:hAnsi="Times New Roman"/>
          <w:color w:val="000000" w:themeColor="text1"/>
          <w:sz w:val="16"/>
          <w:szCs w:val="16"/>
        </w:rPr>
        <w:softHyphen/>
        <w:t>красно зарекомендовали себя в борьбе с новыми немецкими танками «Тигр» и «Пан</w:t>
      </w:r>
      <w:r w:rsidRPr="00D03F3E">
        <w:rPr>
          <w:rFonts w:ascii="Times New Roman" w:hAnsi="Times New Roman"/>
          <w:color w:val="000000" w:themeColor="text1"/>
          <w:sz w:val="16"/>
          <w:szCs w:val="16"/>
        </w:rPr>
        <w:softHyphen/>
        <w:t>тера». Прицельная дальность стрельбы САУ достигала 6200 м при максимальной дально</w:t>
      </w:r>
      <w:r w:rsidRPr="00D03F3E">
        <w:rPr>
          <w:rFonts w:ascii="Times New Roman" w:hAnsi="Times New Roman"/>
          <w:color w:val="000000" w:themeColor="text1"/>
          <w:sz w:val="16"/>
          <w:szCs w:val="16"/>
        </w:rPr>
        <w:softHyphen/>
        <w:t>сти 13 км, а прямой наводкой — 3800 м.</w:t>
      </w:r>
    </w:p>
    <w:p w14:paraId="47229935" w14:textId="77777777" w:rsidR="00AC5101" w:rsidRPr="00D03F3E" w:rsidRDefault="00AC5101" w:rsidP="00D03F3E">
      <w:pPr>
        <w:pStyle w:val="a3"/>
        <w:rPr>
          <w:color w:val="000000" w:themeColor="text1"/>
          <w:lang w:val="ru-RU"/>
        </w:rPr>
      </w:pPr>
      <w:r w:rsidRPr="00D03F3E">
        <w:rPr>
          <w:color w:val="000000" w:themeColor="text1"/>
          <w:lang w:val="ru-RU"/>
        </w:rPr>
        <w:t>В каждом ТСАП насчитывалось 12 само</w:t>
      </w:r>
      <w:r w:rsidRPr="00D03F3E">
        <w:rPr>
          <w:color w:val="000000" w:themeColor="text1"/>
          <w:lang w:val="ru-RU"/>
        </w:rPr>
        <w:softHyphen/>
        <w:t>ходных установок (по мере освоения и расши</w:t>
      </w:r>
      <w:r w:rsidRPr="00D03F3E">
        <w:rPr>
          <w:color w:val="000000" w:themeColor="text1"/>
          <w:lang w:val="ru-RU"/>
        </w:rPr>
        <w:softHyphen/>
        <w:t>рения производства тяжелых САУ их количе</w:t>
      </w:r>
      <w:r w:rsidRPr="00D03F3E">
        <w:rPr>
          <w:color w:val="000000" w:themeColor="text1"/>
          <w:lang w:val="ru-RU"/>
        </w:rPr>
        <w:softHyphen/>
        <w:t>ство в ТСАП увеличилось до 21 шт.). К одному из первых ТСАП в 1943 г. прикомандировали конструктора завода В.С. Старовойтова (впо</w:t>
      </w:r>
      <w:r w:rsidRPr="00D03F3E">
        <w:rPr>
          <w:color w:val="000000" w:themeColor="text1"/>
          <w:lang w:val="ru-RU"/>
        </w:rPr>
        <w:softHyphen/>
        <w:t>следствии — директора ВНИИтрансмаш). В его обязанности входило оказывать помощь артиллеристам в изучении материальной части, вести учет всех замечаний и пожеланий, касающихся функционирования машины, и пересылать эти сведения на завод. Непо</w:t>
      </w:r>
      <w:r w:rsidRPr="00D03F3E">
        <w:rPr>
          <w:color w:val="000000" w:themeColor="text1"/>
          <w:lang w:val="ru-RU"/>
        </w:rPr>
        <w:softHyphen/>
        <w:t>средственно в боевых действиях Старовойтов участия не принимал (12617).</w:t>
      </w:r>
    </w:p>
    <w:p w14:paraId="155C5BC0" w14:textId="77777777" w:rsidR="00AC5101" w:rsidRPr="00D03F3E" w:rsidRDefault="00AC5101" w:rsidP="00D03F3E">
      <w:pPr>
        <w:pStyle w:val="a3"/>
        <w:rPr>
          <w:color w:val="000000" w:themeColor="text1"/>
          <w:lang w:val="ru-RU"/>
        </w:rPr>
      </w:pPr>
    </w:p>
    <w:p w14:paraId="133891E5" w14:textId="77777777" w:rsidR="00863AF1" w:rsidRPr="00D03F3E" w:rsidRDefault="00863AF1" w:rsidP="00D03F3E">
      <w:pPr>
        <w:pStyle w:val="a3"/>
        <w:rPr>
          <w:color w:val="000000" w:themeColor="text1"/>
          <w:lang w:val="ru-RU"/>
        </w:rPr>
      </w:pPr>
      <w:r w:rsidRPr="00D03F3E">
        <w:rPr>
          <w:color w:val="000000" w:themeColor="text1"/>
          <w:lang w:val="ru-RU"/>
        </w:rPr>
        <w:t>14 февраля 1943 Сталин подписал по</w:t>
      </w:r>
      <w:r w:rsidRPr="00D03F3E">
        <w:rPr>
          <w:color w:val="000000" w:themeColor="text1"/>
          <w:lang w:val="ru-RU"/>
        </w:rPr>
        <w:softHyphen/>
        <w:t xml:space="preserve">становление ГКО №2883сс «О производстве артиллерийских самоходных установок СУ-14, танков </w:t>
      </w:r>
      <w:r w:rsidRPr="00D03F3E">
        <w:rPr>
          <w:color w:val="000000" w:themeColor="text1"/>
        </w:rPr>
        <w:t>KB</w:t>
      </w:r>
      <w:r w:rsidRPr="00D03F3E">
        <w:rPr>
          <w:color w:val="000000" w:themeColor="text1"/>
          <w:lang w:val="ru-RU"/>
        </w:rPr>
        <w:t>-1с и бронекорпусов к ним в феврале и марте 1943 года». Именно с этой даты берется точка отсчета рождения СУ-152:</w:t>
      </w:r>
    </w:p>
    <w:p w14:paraId="7C41BA0E" w14:textId="77777777" w:rsidR="00863AF1" w:rsidRPr="00D03F3E" w:rsidRDefault="00863AF1"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«В целях выполнения Постановления ГОКО №2859сс от 9 февра</w:t>
      </w:r>
      <w:r w:rsidRPr="00D03F3E">
        <w:rPr>
          <w:rStyle w:val="Bodytext145"/>
          <w:i w:val="0"/>
          <w:iCs w:val="0"/>
          <w:color w:val="000000" w:themeColor="text1"/>
          <w:sz w:val="16"/>
          <w:szCs w:val="16"/>
        </w:rPr>
        <w:softHyphen/>
        <w:t>ля 1943 года в части производства 152-мм артиллерийских самоходных установок СУ-14 в феврале 1943 года, а также для обеспечения их произ</w:t>
      </w:r>
      <w:r w:rsidRPr="00D03F3E">
        <w:rPr>
          <w:rStyle w:val="Bodytext145"/>
          <w:i w:val="0"/>
          <w:iCs w:val="0"/>
          <w:color w:val="000000" w:themeColor="text1"/>
          <w:sz w:val="16"/>
          <w:szCs w:val="16"/>
        </w:rPr>
        <w:softHyphen/>
        <w:t>водства в марте 1943 года Государственный Комитет Обороны поста</w:t>
      </w:r>
      <w:r w:rsidRPr="00D03F3E">
        <w:rPr>
          <w:rStyle w:val="Bodytext145"/>
          <w:i w:val="0"/>
          <w:iCs w:val="0"/>
          <w:color w:val="000000" w:themeColor="text1"/>
          <w:sz w:val="16"/>
          <w:szCs w:val="16"/>
        </w:rPr>
        <w:softHyphen/>
        <w:t>новляет:</w:t>
      </w:r>
    </w:p>
    <w:p w14:paraId="008BB050" w14:textId="77777777" w:rsidR="00863AF1" w:rsidRPr="00D03F3E" w:rsidRDefault="00863AF1"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1. Обязать Наркомтанкопром (т. Зальцмана), директора Кировского завода т. Длугач и директора завода №200 т. Щербакова:</w:t>
      </w:r>
    </w:p>
    <w:p w14:paraId="09F79F0B" w14:textId="77777777" w:rsidR="00863AF1" w:rsidRPr="00D03F3E" w:rsidRDefault="00863AF1" w:rsidP="00D03F3E">
      <w:pPr>
        <w:pStyle w:val="Bodytext141"/>
        <w:shd w:val="clear" w:color="auto" w:fill="auto"/>
        <w:tabs>
          <w:tab w:val="left" w:pos="863"/>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а) немедленно приступить к серийному изготовлению 152-мм ар</w:t>
      </w:r>
      <w:r w:rsidRPr="00D03F3E">
        <w:rPr>
          <w:rStyle w:val="Bodytext145"/>
          <w:i w:val="0"/>
          <w:iCs w:val="0"/>
          <w:color w:val="000000" w:themeColor="text1"/>
          <w:sz w:val="16"/>
          <w:szCs w:val="16"/>
        </w:rPr>
        <w:softHyphen/>
        <w:t>тиллерийских установок СУ-14 и бронекорпусов к ним по черте</w:t>
      </w:r>
      <w:r w:rsidRPr="00D03F3E">
        <w:rPr>
          <w:rStyle w:val="Bodytext145"/>
          <w:i w:val="0"/>
          <w:iCs w:val="0"/>
          <w:color w:val="000000" w:themeColor="text1"/>
          <w:sz w:val="16"/>
          <w:szCs w:val="16"/>
        </w:rPr>
        <w:softHyphen/>
        <w:t>жу опытного образца, переданного 30 января 1943 года Государ</w:t>
      </w:r>
      <w:r w:rsidRPr="00D03F3E">
        <w:rPr>
          <w:rStyle w:val="Bodytext145"/>
          <w:i w:val="0"/>
          <w:iCs w:val="0"/>
          <w:color w:val="000000" w:themeColor="text1"/>
          <w:sz w:val="16"/>
          <w:szCs w:val="16"/>
        </w:rPr>
        <w:softHyphen/>
        <w:t>ственной комиссии для испытания, с учетом замечаний последней в отчете об испытаниях от 7февраля сего года.</w:t>
      </w:r>
    </w:p>
    <w:p w14:paraId="7B9D2264" w14:textId="77777777" w:rsidR="00863AF1" w:rsidRPr="00D03F3E" w:rsidRDefault="00863AF1" w:rsidP="00D03F3E">
      <w:pPr>
        <w:spacing w:after="0" w:line="240" w:lineRule="auto"/>
        <w:jc w:val="both"/>
        <w:rPr>
          <w:rStyle w:val="Bodytext145"/>
          <w:rFonts w:ascii="Times New Roman" w:hAnsi="Times New Roman"/>
          <w:iCs/>
          <w:color w:val="000000" w:themeColor="text1"/>
          <w:sz w:val="16"/>
          <w:szCs w:val="16"/>
        </w:rPr>
      </w:pPr>
      <w:r w:rsidRPr="00D03F3E">
        <w:rPr>
          <w:rStyle w:val="Bodytext145"/>
          <w:rFonts w:ascii="Times New Roman" w:hAnsi="Times New Roman"/>
          <w:iCs/>
          <w:color w:val="000000" w:themeColor="text1"/>
          <w:sz w:val="16"/>
          <w:szCs w:val="16"/>
        </w:rPr>
        <w:t>б) обеспечить изготовление на Кировском заводе самоходных уста</w:t>
      </w:r>
      <w:r w:rsidRPr="00D03F3E">
        <w:rPr>
          <w:rStyle w:val="Bodytext145"/>
          <w:rFonts w:ascii="Times New Roman" w:hAnsi="Times New Roman"/>
          <w:iCs/>
          <w:color w:val="000000" w:themeColor="text1"/>
          <w:sz w:val="16"/>
          <w:szCs w:val="16"/>
        </w:rPr>
        <w:softHyphen/>
        <w:t xml:space="preserve">новок СУ-14 и танков </w:t>
      </w:r>
      <w:r w:rsidRPr="00D03F3E">
        <w:rPr>
          <w:rStyle w:val="Bodytext145"/>
          <w:rFonts w:ascii="Times New Roman" w:hAnsi="Times New Roman"/>
          <w:iCs/>
          <w:color w:val="000000" w:themeColor="text1"/>
          <w:sz w:val="16"/>
          <w:szCs w:val="16"/>
          <w:lang w:val="en-US"/>
        </w:rPr>
        <w:t>KB</w:t>
      </w:r>
      <w:r w:rsidRPr="00D03F3E">
        <w:rPr>
          <w:rStyle w:val="Bodytext145"/>
          <w:rFonts w:ascii="Times New Roman" w:hAnsi="Times New Roman"/>
          <w:iCs/>
          <w:color w:val="000000" w:themeColor="text1"/>
          <w:sz w:val="16"/>
          <w:szCs w:val="16"/>
        </w:rPr>
        <w:t>- 1с в феврале 1943 года в соответствии</w:t>
      </w:r>
    </w:p>
    <w:p w14:paraId="563D40EA" w14:textId="77777777" w:rsidR="00863AF1" w:rsidRPr="00D03F3E" w:rsidRDefault="00863AF1"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2. Постановлением ГОКО №2859сс от 9 февраля 1943 года и в марте 1943 года в частичное изменение Постановления ГОКО №2693сс от 4 января 1943 года в следующих количествах:</w:t>
      </w:r>
    </w:p>
    <w:p w14:paraId="06F02681" w14:textId="77777777" w:rsidR="00863AF1" w:rsidRPr="00D03F3E" w:rsidRDefault="00863AF1"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(в штуках)</w:t>
      </w:r>
    </w:p>
    <w:p w14:paraId="4601E001" w14:textId="77777777" w:rsidR="00863AF1" w:rsidRPr="00D03F3E" w:rsidRDefault="00863AF1" w:rsidP="00D03F3E">
      <w:pPr>
        <w:pStyle w:val="Bodytext141"/>
        <w:shd w:val="clear" w:color="auto" w:fill="auto"/>
        <w:tabs>
          <w:tab w:val="left" w:pos="5155"/>
          <w:tab w:val="left" w:pos="6643"/>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Февраль 1943 г. Март 1943 г. самоходных установок СУ-14</w:t>
      </w:r>
      <w:r w:rsidRPr="00D03F3E">
        <w:rPr>
          <w:rStyle w:val="Bodytext145"/>
          <w:i w:val="0"/>
          <w:iCs w:val="0"/>
          <w:color w:val="000000" w:themeColor="text1"/>
          <w:sz w:val="16"/>
          <w:szCs w:val="16"/>
        </w:rPr>
        <w:tab/>
        <w:t>30</w:t>
      </w:r>
      <w:r w:rsidRPr="00D03F3E">
        <w:rPr>
          <w:rStyle w:val="Bodytext145"/>
          <w:i w:val="0"/>
          <w:iCs w:val="0"/>
          <w:color w:val="000000" w:themeColor="text1"/>
          <w:sz w:val="16"/>
          <w:szCs w:val="16"/>
        </w:rPr>
        <w:tab/>
        <w:t>75</w:t>
      </w:r>
    </w:p>
    <w:p w14:paraId="50FB6898" w14:textId="77777777" w:rsidR="00863AF1" w:rsidRPr="00D03F3E" w:rsidRDefault="00863AF1" w:rsidP="00D03F3E">
      <w:pPr>
        <w:pStyle w:val="Bodytext141"/>
        <w:shd w:val="clear" w:color="auto" w:fill="auto"/>
        <w:tabs>
          <w:tab w:val="left" w:pos="5189"/>
          <w:tab w:val="left" w:pos="6619"/>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 xml:space="preserve">танков </w:t>
      </w:r>
      <w:r w:rsidRPr="00D03F3E">
        <w:rPr>
          <w:rStyle w:val="Bodytext145"/>
          <w:i w:val="0"/>
          <w:iCs w:val="0"/>
          <w:color w:val="000000" w:themeColor="text1"/>
          <w:sz w:val="16"/>
          <w:szCs w:val="16"/>
          <w:lang w:val="en-US"/>
        </w:rPr>
        <w:t>KB</w:t>
      </w:r>
      <w:r w:rsidRPr="00D03F3E">
        <w:rPr>
          <w:rStyle w:val="Bodytext145"/>
          <w:i w:val="0"/>
          <w:iCs w:val="0"/>
          <w:color w:val="000000" w:themeColor="text1"/>
          <w:sz w:val="16"/>
          <w:szCs w:val="16"/>
        </w:rPr>
        <w:t>- 1с</w:t>
      </w:r>
      <w:r w:rsidRPr="00D03F3E">
        <w:rPr>
          <w:rStyle w:val="Bodytext145"/>
          <w:i w:val="0"/>
          <w:iCs w:val="0"/>
          <w:color w:val="000000" w:themeColor="text1"/>
          <w:sz w:val="16"/>
          <w:szCs w:val="16"/>
        </w:rPr>
        <w:tab/>
        <w:t>75</w:t>
      </w:r>
      <w:r w:rsidRPr="00D03F3E">
        <w:rPr>
          <w:rStyle w:val="Bodytext145"/>
          <w:i w:val="0"/>
          <w:iCs w:val="0"/>
          <w:color w:val="000000" w:themeColor="text1"/>
          <w:sz w:val="16"/>
          <w:szCs w:val="16"/>
        </w:rPr>
        <w:tab/>
        <w:t>50</w:t>
      </w:r>
    </w:p>
    <w:p w14:paraId="57E86E14" w14:textId="77777777" w:rsidR="00863AF1" w:rsidRPr="00D03F3E" w:rsidRDefault="00863AF1"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 xml:space="preserve">а также изготовить в феврале и марте 1943 года на заводе №200 бронекорпуса для самоходных установок СУ-14 и танков </w:t>
      </w:r>
      <w:r w:rsidRPr="00D03F3E">
        <w:rPr>
          <w:rStyle w:val="Bodytext145"/>
          <w:i w:val="0"/>
          <w:iCs w:val="0"/>
          <w:color w:val="000000" w:themeColor="text1"/>
          <w:sz w:val="16"/>
          <w:szCs w:val="16"/>
          <w:lang w:val="en-US"/>
        </w:rPr>
        <w:t>KB</w:t>
      </w:r>
      <w:r w:rsidRPr="00D03F3E">
        <w:rPr>
          <w:rStyle w:val="Bodytext145"/>
          <w:i w:val="0"/>
          <w:iCs w:val="0"/>
          <w:color w:val="000000" w:themeColor="text1"/>
          <w:sz w:val="16"/>
          <w:szCs w:val="16"/>
        </w:rPr>
        <w:t>-1с:</w:t>
      </w:r>
    </w:p>
    <w:p w14:paraId="0AD3CD76" w14:textId="77777777" w:rsidR="00863AF1" w:rsidRPr="00D03F3E" w:rsidRDefault="00863AF1"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(в штуках)</w:t>
      </w:r>
    </w:p>
    <w:p w14:paraId="7A7DD353" w14:textId="77777777" w:rsidR="00863AF1" w:rsidRPr="00D03F3E" w:rsidRDefault="00863AF1" w:rsidP="00D03F3E">
      <w:pPr>
        <w:pStyle w:val="Bodytext141"/>
        <w:shd w:val="clear" w:color="auto" w:fill="auto"/>
        <w:tabs>
          <w:tab w:val="left" w:pos="5160"/>
          <w:tab w:val="left" w:pos="6643"/>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Февраль 1943 г. Март 1943 г. бронекорпусов СУ-14</w:t>
      </w:r>
      <w:r w:rsidRPr="00D03F3E">
        <w:rPr>
          <w:rStyle w:val="Bodytext145"/>
          <w:i w:val="0"/>
          <w:iCs w:val="0"/>
          <w:color w:val="000000" w:themeColor="text1"/>
          <w:sz w:val="16"/>
          <w:szCs w:val="16"/>
        </w:rPr>
        <w:tab/>
        <w:t>35</w:t>
      </w:r>
      <w:r w:rsidRPr="00D03F3E">
        <w:rPr>
          <w:rStyle w:val="Bodytext145"/>
          <w:i w:val="0"/>
          <w:iCs w:val="0"/>
          <w:color w:val="000000" w:themeColor="text1"/>
          <w:sz w:val="16"/>
          <w:szCs w:val="16"/>
        </w:rPr>
        <w:tab/>
        <w:t>100</w:t>
      </w:r>
    </w:p>
    <w:p w14:paraId="4820FE7A" w14:textId="77777777" w:rsidR="00863AF1" w:rsidRPr="00D03F3E" w:rsidRDefault="00863AF1" w:rsidP="00D03F3E">
      <w:pPr>
        <w:pStyle w:val="Bodytext141"/>
        <w:shd w:val="clear" w:color="auto" w:fill="auto"/>
        <w:tabs>
          <w:tab w:val="left" w:pos="5189"/>
          <w:tab w:val="left" w:pos="6624"/>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 xml:space="preserve">бронекорпусов </w:t>
      </w:r>
      <w:r w:rsidRPr="00D03F3E">
        <w:rPr>
          <w:rStyle w:val="Bodytext145"/>
          <w:i w:val="0"/>
          <w:iCs w:val="0"/>
          <w:color w:val="000000" w:themeColor="text1"/>
          <w:sz w:val="16"/>
          <w:szCs w:val="16"/>
          <w:lang w:val="en-US"/>
        </w:rPr>
        <w:t>KB</w:t>
      </w:r>
      <w:r w:rsidRPr="00D03F3E">
        <w:rPr>
          <w:rStyle w:val="Bodytext145"/>
          <w:i w:val="0"/>
          <w:iCs w:val="0"/>
          <w:color w:val="000000" w:themeColor="text1"/>
          <w:sz w:val="16"/>
          <w:szCs w:val="16"/>
        </w:rPr>
        <w:t>- 1с</w:t>
      </w:r>
      <w:r w:rsidRPr="00D03F3E">
        <w:rPr>
          <w:rStyle w:val="Bodytext145"/>
          <w:i w:val="0"/>
          <w:iCs w:val="0"/>
          <w:color w:val="000000" w:themeColor="text1"/>
          <w:sz w:val="16"/>
          <w:szCs w:val="16"/>
        </w:rPr>
        <w:tab/>
        <w:t>75</w:t>
      </w:r>
      <w:r w:rsidRPr="00D03F3E">
        <w:rPr>
          <w:rStyle w:val="Bodytext145"/>
          <w:i w:val="0"/>
          <w:iCs w:val="0"/>
          <w:color w:val="000000" w:themeColor="text1"/>
          <w:sz w:val="16"/>
          <w:szCs w:val="16"/>
        </w:rPr>
        <w:tab/>
        <w:t>40</w:t>
      </w:r>
    </w:p>
    <w:p w14:paraId="34CF7ABE" w14:textId="77777777" w:rsidR="00863AF1" w:rsidRPr="00D03F3E" w:rsidRDefault="00863AF1" w:rsidP="00D03F3E">
      <w:pPr>
        <w:spacing w:after="0" w:line="240" w:lineRule="auto"/>
        <w:jc w:val="both"/>
        <w:rPr>
          <w:rStyle w:val="Bodytext145"/>
          <w:rFonts w:ascii="Times New Roman" w:hAnsi="Times New Roman"/>
          <w:iCs/>
          <w:color w:val="000000" w:themeColor="text1"/>
          <w:sz w:val="16"/>
          <w:szCs w:val="16"/>
        </w:rPr>
      </w:pPr>
      <w:r w:rsidRPr="00D03F3E">
        <w:rPr>
          <w:rStyle w:val="Bodytext145"/>
          <w:rFonts w:ascii="Times New Roman" w:hAnsi="Times New Roman"/>
          <w:iCs/>
          <w:color w:val="000000" w:themeColor="text1"/>
          <w:sz w:val="16"/>
          <w:szCs w:val="16"/>
        </w:rPr>
        <w:t>2. Обязать ГАУ Красной Армии (т. Яковлева) к 20 марта 1943 года утвердить чертежи и технические условия на артиллерийские самоходные установки СУ-14 с устранением дефектов, которые будут выявлены в феврале и марте 1943 года при изготовлении первой партии</w:t>
      </w:r>
    </w:p>
    <w:p w14:paraId="16A49E7F" w14:textId="77777777" w:rsidR="00863AF1" w:rsidRPr="00D03F3E" w:rsidRDefault="00863AF1"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а) поставлять Кировскому заводу Наркомтанкопрома для артил</w:t>
      </w:r>
      <w:r w:rsidRPr="00D03F3E">
        <w:rPr>
          <w:rStyle w:val="Bodytext145"/>
          <w:i w:val="0"/>
          <w:iCs w:val="0"/>
          <w:color w:val="000000" w:themeColor="text1"/>
          <w:sz w:val="16"/>
          <w:szCs w:val="16"/>
        </w:rPr>
        <w:softHyphen/>
        <w:t>лерийской самоходной установки СУ-14 пушки МЛ-20 с рамкой, подъемным и поворотным механизмами (с завода №172) и оптику (с завода №69) (в соответствии с поставкой для опытного образ</w:t>
      </w:r>
      <w:r w:rsidRPr="00D03F3E">
        <w:rPr>
          <w:rStyle w:val="Bodytext145"/>
          <w:i w:val="0"/>
          <w:iCs w:val="0"/>
          <w:color w:val="000000" w:themeColor="text1"/>
          <w:sz w:val="16"/>
          <w:szCs w:val="16"/>
        </w:rPr>
        <w:softHyphen/>
        <w:t>ца СУ-14) в следующих количествах:</w:t>
      </w:r>
    </w:p>
    <w:tbl>
      <w:tblPr>
        <w:tblW w:w="0" w:type="auto"/>
        <w:tblLayout w:type="fixed"/>
        <w:tblCellMar>
          <w:left w:w="0" w:type="dxa"/>
          <w:right w:w="0" w:type="dxa"/>
        </w:tblCellMar>
        <w:tblLook w:val="0000" w:firstRow="0" w:lastRow="0" w:firstColumn="0" w:lastColumn="0" w:noHBand="0" w:noVBand="0"/>
      </w:tblPr>
      <w:tblGrid>
        <w:gridCol w:w="1008"/>
        <w:gridCol w:w="902"/>
        <w:gridCol w:w="1162"/>
        <w:gridCol w:w="955"/>
        <w:gridCol w:w="1037"/>
        <w:gridCol w:w="1358"/>
      </w:tblGrid>
      <w:tr w:rsidR="00860B4B" w:rsidRPr="00D03F3E" w14:paraId="6B9D7C12" w14:textId="77777777" w:rsidTr="00863AF1">
        <w:trPr>
          <w:trHeight w:val="686"/>
        </w:trPr>
        <w:tc>
          <w:tcPr>
            <w:tcW w:w="1008" w:type="dxa"/>
            <w:tcBorders>
              <w:top w:val="single" w:sz="4" w:space="0" w:color="auto"/>
              <w:left w:val="nil"/>
              <w:bottom w:val="single" w:sz="4" w:space="0" w:color="auto"/>
              <w:right w:val="nil"/>
            </w:tcBorders>
            <w:shd w:val="clear" w:color="auto" w:fill="FFFFFF"/>
          </w:tcPr>
          <w:p w14:paraId="44612EF3" w14:textId="77777777" w:rsidR="00863AF1" w:rsidRPr="00D03F3E" w:rsidRDefault="00863AF1" w:rsidP="00D03F3E">
            <w:pPr>
              <w:spacing w:after="0" w:line="240" w:lineRule="auto"/>
              <w:jc w:val="both"/>
              <w:rPr>
                <w:rFonts w:ascii="Times New Roman" w:hAnsi="Times New Roman"/>
                <w:color w:val="000000" w:themeColor="text1"/>
                <w:sz w:val="16"/>
                <w:szCs w:val="16"/>
              </w:rPr>
            </w:pPr>
          </w:p>
        </w:tc>
        <w:tc>
          <w:tcPr>
            <w:tcW w:w="902" w:type="dxa"/>
            <w:tcBorders>
              <w:top w:val="single" w:sz="4" w:space="0" w:color="auto"/>
              <w:left w:val="nil"/>
              <w:bottom w:val="single" w:sz="4" w:space="0" w:color="auto"/>
              <w:right w:val="nil"/>
            </w:tcBorders>
            <w:shd w:val="clear" w:color="auto" w:fill="FFFFFF"/>
          </w:tcPr>
          <w:p w14:paraId="5F52FEAF" w14:textId="77777777" w:rsidR="00863AF1" w:rsidRPr="00D03F3E" w:rsidRDefault="00863AF1" w:rsidP="00D03F3E">
            <w:pPr>
              <w:pStyle w:val="Bodytext311"/>
              <w:shd w:val="clear" w:color="auto" w:fill="auto"/>
              <w:spacing w:line="240" w:lineRule="auto"/>
              <w:rPr>
                <w:b w:val="0"/>
                <w:color w:val="000000" w:themeColor="text1"/>
                <w:sz w:val="16"/>
                <w:szCs w:val="16"/>
              </w:rPr>
            </w:pPr>
            <w:r w:rsidRPr="00D03F3E">
              <w:rPr>
                <w:rStyle w:val="Bodytext310"/>
                <w:b w:val="0"/>
                <w:color w:val="000000" w:themeColor="text1"/>
                <w:sz w:val="16"/>
                <w:szCs w:val="16"/>
              </w:rPr>
              <w:t>Всего</w:t>
            </w:r>
          </w:p>
        </w:tc>
        <w:tc>
          <w:tcPr>
            <w:tcW w:w="1162" w:type="dxa"/>
            <w:tcBorders>
              <w:top w:val="single" w:sz="4" w:space="0" w:color="auto"/>
              <w:left w:val="nil"/>
              <w:bottom w:val="single" w:sz="4" w:space="0" w:color="auto"/>
              <w:right w:val="nil"/>
            </w:tcBorders>
            <w:shd w:val="clear" w:color="auto" w:fill="FFFFFF"/>
          </w:tcPr>
          <w:p w14:paraId="0E017AAF" w14:textId="77777777" w:rsidR="00863AF1" w:rsidRPr="00D03F3E" w:rsidRDefault="00863AF1" w:rsidP="00D03F3E">
            <w:pPr>
              <w:pStyle w:val="Bodytext311"/>
              <w:shd w:val="clear" w:color="auto" w:fill="auto"/>
              <w:spacing w:line="240" w:lineRule="auto"/>
              <w:rPr>
                <w:b w:val="0"/>
                <w:color w:val="000000" w:themeColor="text1"/>
                <w:sz w:val="16"/>
                <w:szCs w:val="16"/>
              </w:rPr>
            </w:pPr>
            <w:r w:rsidRPr="00D03F3E">
              <w:rPr>
                <w:rStyle w:val="Bodytext310"/>
                <w:b w:val="0"/>
                <w:color w:val="000000" w:themeColor="text1"/>
                <w:sz w:val="16"/>
                <w:szCs w:val="16"/>
              </w:rPr>
              <w:t>С 1-го по 10-е число</w:t>
            </w:r>
          </w:p>
        </w:tc>
        <w:tc>
          <w:tcPr>
            <w:tcW w:w="955" w:type="dxa"/>
            <w:tcBorders>
              <w:top w:val="single" w:sz="4" w:space="0" w:color="auto"/>
              <w:left w:val="nil"/>
              <w:bottom w:val="single" w:sz="4" w:space="0" w:color="auto"/>
              <w:right w:val="nil"/>
            </w:tcBorders>
            <w:shd w:val="clear" w:color="auto" w:fill="FFFFFF"/>
          </w:tcPr>
          <w:p w14:paraId="69CC4FC2" w14:textId="77777777" w:rsidR="00863AF1" w:rsidRPr="00D03F3E" w:rsidRDefault="00863AF1" w:rsidP="00D03F3E">
            <w:pPr>
              <w:pStyle w:val="Bodytext311"/>
              <w:shd w:val="clear" w:color="auto" w:fill="auto"/>
              <w:spacing w:line="240" w:lineRule="auto"/>
              <w:rPr>
                <w:b w:val="0"/>
                <w:color w:val="000000" w:themeColor="text1"/>
                <w:sz w:val="16"/>
                <w:szCs w:val="16"/>
              </w:rPr>
            </w:pPr>
            <w:r w:rsidRPr="00D03F3E">
              <w:rPr>
                <w:rStyle w:val="Bodytext310"/>
                <w:b w:val="0"/>
                <w:color w:val="000000" w:themeColor="text1"/>
                <w:sz w:val="16"/>
                <w:szCs w:val="16"/>
              </w:rPr>
              <w:t>С 10-ю по 15-е число</w:t>
            </w:r>
          </w:p>
        </w:tc>
        <w:tc>
          <w:tcPr>
            <w:tcW w:w="1037" w:type="dxa"/>
            <w:tcBorders>
              <w:top w:val="single" w:sz="4" w:space="0" w:color="auto"/>
              <w:left w:val="nil"/>
              <w:bottom w:val="single" w:sz="4" w:space="0" w:color="auto"/>
              <w:right w:val="nil"/>
            </w:tcBorders>
            <w:shd w:val="clear" w:color="auto" w:fill="FFFFFF"/>
          </w:tcPr>
          <w:p w14:paraId="5E1CAA8E" w14:textId="77777777" w:rsidR="00863AF1" w:rsidRPr="00D03F3E" w:rsidRDefault="00863AF1" w:rsidP="00D03F3E">
            <w:pPr>
              <w:pStyle w:val="Bodytext311"/>
              <w:shd w:val="clear" w:color="auto" w:fill="auto"/>
              <w:spacing w:line="240" w:lineRule="auto"/>
              <w:rPr>
                <w:b w:val="0"/>
                <w:color w:val="000000" w:themeColor="text1"/>
                <w:sz w:val="16"/>
                <w:szCs w:val="16"/>
              </w:rPr>
            </w:pPr>
            <w:r w:rsidRPr="00D03F3E">
              <w:rPr>
                <w:rStyle w:val="Bodytext310"/>
                <w:b w:val="0"/>
                <w:color w:val="000000" w:themeColor="text1"/>
                <w:sz w:val="16"/>
                <w:szCs w:val="16"/>
              </w:rPr>
              <w:t>С 15-го по 20-е число</w:t>
            </w:r>
          </w:p>
        </w:tc>
        <w:tc>
          <w:tcPr>
            <w:tcW w:w="1358" w:type="dxa"/>
            <w:tcBorders>
              <w:top w:val="single" w:sz="4" w:space="0" w:color="auto"/>
              <w:left w:val="nil"/>
              <w:bottom w:val="single" w:sz="4" w:space="0" w:color="auto"/>
              <w:right w:val="nil"/>
            </w:tcBorders>
            <w:shd w:val="clear" w:color="auto" w:fill="FFFFFF"/>
          </w:tcPr>
          <w:p w14:paraId="0CC7E4B4" w14:textId="77777777" w:rsidR="00863AF1" w:rsidRPr="00D03F3E" w:rsidRDefault="00863AF1" w:rsidP="00D03F3E">
            <w:pPr>
              <w:pStyle w:val="Bodytext311"/>
              <w:shd w:val="clear" w:color="auto" w:fill="auto"/>
              <w:spacing w:line="240" w:lineRule="auto"/>
              <w:rPr>
                <w:b w:val="0"/>
                <w:color w:val="000000" w:themeColor="text1"/>
                <w:sz w:val="16"/>
                <w:szCs w:val="16"/>
              </w:rPr>
            </w:pPr>
            <w:r w:rsidRPr="00D03F3E">
              <w:rPr>
                <w:rStyle w:val="Bodytext310"/>
                <w:b w:val="0"/>
                <w:color w:val="000000" w:themeColor="text1"/>
                <w:sz w:val="16"/>
                <w:szCs w:val="16"/>
              </w:rPr>
              <w:t>С 20-го по 28-31-е число</w:t>
            </w:r>
          </w:p>
        </w:tc>
      </w:tr>
      <w:tr w:rsidR="00860B4B" w:rsidRPr="00D03F3E" w14:paraId="12818C5B" w14:textId="77777777" w:rsidTr="00863AF1">
        <w:trPr>
          <w:trHeight w:val="341"/>
        </w:trPr>
        <w:tc>
          <w:tcPr>
            <w:tcW w:w="1008" w:type="dxa"/>
            <w:tcBorders>
              <w:top w:val="single" w:sz="4" w:space="0" w:color="auto"/>
              <w:left w:val="nil"/>
              <w:bottom w:val="single" w:sz="4" w:space="0" w:color="auto"/>
              <w:right w:val="nil"/>
            </w:tcBorders>
            <w:shd w:val="clear" w:color="auto" w:fill="FFFFFF"/>
          </w:tcPr>
          <w:p w14:paraId="13AD9E9A" w14:textId="77777777" w:rsidR="00863AF1" w:rsidRPr="00D03F3E" w:rsidRDefault="00863AF1" w:rsidP="00D03F3E">
            <w:pPr>
              <w:pStyle w:val="Bodytext41"/>
              <w:shd w:val="clear" w:color="auto" w:fill="auto"/>
              <w:spacing w:before="0" w:after="0" w:line="240" w:lineRule="auto"/>
              <w:jc w:val="both"/>
              <w:rPr>
                <w:b w:val="0"/>
                <w:i w:val="0"/>
                <w:color w:val="000000" w:themeColor="text1"/>
              </w:rPr>
            </w:pPr>
            <w:r w:rsidRPr="00D03F3E">
              <w:rPr>
                <w:rStyle w:val="Bodytext47"/>
                <w:bCs/>
                <w:iCs/>
                <w:color w:val="000000" w:themeColor="text1"/>
              </w:rPr>
              <w:t>Февраль</w:t>
            </w:r>
          </w:p>
        </w:tc>
        <w:tc>
          <w:tcPr>
            <w:tcW w:w="902" w:type="dxa"/>
            <w:tcBorders>
              <w:top w:val="single" w:sz="4" w:space="0" w:color="auto"/>
              <w:left w:val="nil"/>
              <w:bottom w:val="single" w:sz="4" w:space="0" w:color="auto"/>
              <w:right w:val="nil"/>
            </w:tcBorders>
            <w:shd w:val="clear" w:color="auto" w:fill="FFFFFF"/>
          </w:tcPr>
          <w:p w14:paraId="06AA2854" w14:textId="77777777" w:rsidR="00863AF1" w:rsidRPr="00D03F3E" w:rsidRDefault="00863AF1" w:rsidP="00D03F3E">
            <w:pPr>
              <w:pStyle w:val="Bodytext41"/>
              <w:shd w:val="clear" w:color="auto" w:fill="auto"/>
              <w:spacing w:before="0" w:after="0" w:line="240" w:lineRule="auto"/>
              <w:jc w:val="both"/>
              <w:rPr>
                <w:b w:val="0"/>
                <w:i w:val="0"/>
                <w:color w:val="000000" w:themeColor="text1"/>
              </w:rPr>
            </w:pPr>
            <w:r w:rsidRPr="00D03F3E">
              <w:rPr>
                <w:rStyle w:val="Bodytext47"/>
                <w:bCs/>
                <w:iCs/>
                <w:color w:val="000000" w:themeColor="text1"/>
              </w:rPr>
              <w:t>50</w:t>
            </w:r>
          </w:p>
        </w:tc>
        <w:tc>
          <w:tcPr>
            <w:tcW w:w="1162" w:type="dxa"/>
            <w:tcBorders>
              <w:top w:val="single" w:sz="4" w:space="0" w:color="auto"/>
              <w:left w:val="nil"/>
              <w:bottom w:val="single" w:sz="4" w:space="0" w:color="auto"/>
              <w:right w:val="nil"/>
            </w:tcBorders>
            <w:shd w:val="clear" w:color="auto" w:fill="FFFFFF"/>
          </w:tcPr>
          <w:p w14:paraId="48D9E2B3" w14:textId="77777777" w:rsidR="00863AF1" w:rsidRPr="00D03F3E" w:rsidRDefault="00863AF1" w:rsidP="00D03F3E">
            <w:pPr>
              <w:pStyle w:val="Bodytext390"/>
              <w:shd w:val="clear" w:color="auto" w:fill="auto"/>
              <w:spacing w:line="240" w:lineRule="auto"/>
              <w:jc w:val="both"/>
              <w:rPr>
                <w:color w:val="000000" w:themeColor="text1"/>
                <w:sz w:val="16"/>
                <w:szCs w:val="16"/>
              </w:rPr>
            </w:pPr>
            <w:r w:rsidRPr="00D03F3E">
              <w:rPr>
                <w:noProof w:val="0"/>
                <w:color w:val="000000" w:themeColor="text1"/>
                <w:sz w:val="16"/>
                <w:szCs w:val="16"/>
              </w:rPr>
              <w:t>-</w:t>
            </w:r>
          </w:p>
        </w:tc>
        <w:tc>
          <w:tcPr>
            <w:tcW w:w="955" w:type="dxa"/>
            <w:tcBorders>
              <w:top w:val="single" w:sz="4" w:space="0" w:color="auto"/>
              <w:left w:val="nil"/>
              <w:bottom w:val="single" w:sz="4" w:space="0" w:color="auto"/>
              <w:right w:val="nil"/>
            </w:tcBorders>
            <w:shd w:val="clear" w:color="auto" w:fill="FFFFFF"/>
          </w:tcPr>
          <w:p w14:paraId="69DAD21A" w14:textId="77777777" w:rsidR="00863AF1" w:rsidRPr="00D03F3E" w:rsidRDefault="00863AF1" w:rsidP="00D03F3E">
            <w:pPr>
              <w:pStyle w:val="Bodytext311"/>
              <w:shd w:val="clear" w:color="auto" w:fill="auto"/>
              <w:spacing w:line="240" w:lineRule="auto"/>
              <w:rPr>
                <w:b w:val="0"/>
                <w:color w:val="000000" w:themeColor="text1"/>
                <w:sz w:val="16"/>
                <w:szCs w:val="16"/>
              </w:rPr>
            </w:pPr>
            <w:r w:rsidRPr="00D03F3E">
              <w:rPr>
                <w:rStyle w:val="Bodytext310"/>
                <w:b w:val="0"/>
                <w:color w:val="000000" w:themeColor="text1"/>
                <w:sz w:val="16"/>
                <w:szCs w:val="16"/>
              </w:rPr>
              <w:t>5</w:t>
            </w:r>
          </w:p>
        </w:tc>
        <w:tc>
          <w:tcPr>
            <w:tcW w:w="1037" w:type="dxa"/>
            <w:tcBorders>
              <w:top w:val="single" w:sz="4" w:space="0" w:color="auto"/>
              <w:left w:val="nil"/>
              <w:bottom w:val="single" w:sz="4" w:space="0" w:color="auto"/>
              <w:right w:val="nil"/>
            </w:tcBorders>
            <w:shd w:val="clear" w:color="auto" w:fill="FFFFFF"/>
          </w:tcPr>
          <w:p w14:paraId="0ABB30ED" w14:textId="77777777" w:rsidR="00863AF1" w:rsidRPr="00D03F3E" w:rsidRDefault="00863AF1" w:rsidP="00D03F3E">
            <w:pPr>
              <w:pStyle w:val="Bodytext41"/>
              <w:shd w:val="clear" w:color="auto" w:fill="auto"/>
              <w:spacing w:before="0" w:after="0" w:line="240" w:lineRule="auto"/>
              <w:jc w:val="both"/>
              <w:rPr>
                <w:b w:val="0"/>
                <w:i w:val="0"/>
                <w:color w:val="000000" w:themeColor="text1"/>
              </w:rPr>
            </w:pPr>
            <w:r w:rsidRPr="00D03F3E">
              <w:rPr>
                <w:rStyle w:val="Bodytext47"/>
                <w:bCs/>
                <w:iCs/>
                <w:color w:val="000000" w:themeColor="text1"/>
              </w:rPr>
              <w:t>15</w:t>
            </w:r>
          </w:p>
        </w:tc>
        <w:tc>
          <w:tcPr>
            <w:tcW w:w="1358" w:type="dxa"/>
            <w:tcBorders>
              <w:top w:val="single" w:sz="4" w:space="0" w:color="auto"/>
              <w:left w:val="nil"/>
              <w:bottom w:val="single" w:sz="4" w:space="0" w:color="auto"/>
              <w:right w:val="nil"/>
            </w:tcBorders>
            <w:shd w:val="clear" w:color="auto" w:fill="FFFFFF"/>
          </w:tcPr>
          <w:p w14:paraId="4A50A2C7" w14:textId="77777777" w:rsidR="00863AF1" w:rsidRPr="00D03F3E" w:rsidRDefault="00863AF1" w:rsidP="00D03F3E">
            <w:pPr>
              <w:pStyle w:val="Bodytext41"/>
              <w:shd w:val="clear" w:color="auto" w:fill="auto"/>
              <w:spacing w:before="0" w:after="0" w:line="240" w:lineRule="auto"/>
              <w:jc w:val="both"/>
              <w:rPr>
                <w:b w:val="0"/>
                <w:i w:val="0"/>
                <w:color w:val="000000" w:themeColor="text1"/>
              </w:rPr>
            </w:pPr>
            <w:r w:rsidRPr="00D03F3E">
              <w:rPr>
                <w:rStyle w:val="Bodytext47"/>
                <w:bCs/>
                <w:iCs/>
                <w:color w:val="000000" w:themeColor="text1"/>
              </w:rPr>
              <w:t>30</w:t>
            </w:r>
          </w:p>
        </w:tc>
      </w:tr>
      <w:tr w:rsidR="00860B4B" w:rsidRPr="00D03F3E" w14:paraId="33560D04" w14:textId="77777777" w:rsidTr="00863AF1">
        <w:trPr>
          <w:trHeight w:val="298"/>
        </w:trPr>
        <w:tc>
          <w:tcPr>
            <w:tcW w:w="1008" w:type="dxa"/>
            <w:tcBorders>
              <w:top w:val="single" w:sz="4" w:space="0" w:color="auto"/>
              <w:left w:val="nil"/>
              <w:bottom w:val="single" w:sz="4" w:space="0" w:color="auto"/>
              <w:right w:val="nil"/>
            </w:tcBorders>
            <w:shd w:val="clear" w:color="auto" w:fill="FFFFFF"/>
          </w:tcPr>
          <w:p w14:paraId="0EF22D4B" w14:textId="77777777" w:rsidR="00863AF1" w:rsidRPr="00D03F3E" w:rsidRDefault="00863AF1" w:rsidP="00D03F3E">
            <w:pPr>
              <w:pStyle w:val="Bodytext41"/>
              <w:shd w:val="clear" w:color="auto" w:fill="auto"/>
              <w:spacing w:before="0" w:after="0" w:line="240" w:lineRule="auto"/>
              <w:jc w:val="both"/>
              <w:rPr>
                <w:b w:val="0"/>
                <w:i w:val="0"/>
                <w:color w:val="000000" w:themeColor="text1"/>
              </w:rPr>
            </w:pPr>
            <w:r w:rsidRPr="00D03F3E">
              <w:rPr>
                <w:rStyle w:val="Bodytext47"/>
                <w:bCs/>
                <w:iCs/>
                <w:color w:val="000000" w:themeColor="text1"/>
              </w:rPr>
              <w:t>Март</w:t>
            </w:r>
          </w:p>
        </w:tc>
        <w:tc>
          <w:tcPr>
            <w:tcW w:w="902" w:type="dxa"/>
            <w:tcBorders>
              <w:top w:val="single" w:sz="4" w:space="0" w:color="auto"/>
              <w:left w:val="nil"/>
              <w:bottom w:val="single" w:sz="4" w:space="0" w:color="auto"/>
              <w:right w:val="nil"/>
            </w:tcBorders>
            <w:shd w:val="clear" w:color="auto" w:fill="FFFFFF"/>
          </w:tcPr>
          <w:p w14:paraId="7BC04C7E" w14:textId="77777777" w:rsidR="00863AF1" w:rsidRPr="00D03F3E" w:rsidRDefault="00863AF1" w:rsidP="00D03F3E">
            <w:pPr>
              <w:pStyle w:val="Bodytext41"/>
              <w:shd w:val="clear" w:color="auto" w:fill="auto"/>
              <w:spacing w:before="0" w:after="0" w:line="240" w:lineRule="auto"/>
              <w:jc w:val="both"/>
              <w:rPr>
                <w:b w:val="0"/>
                <w:i w:val="0"/>
                <w:color w:val="000000" w:themeColor="text1"/>
              </w:rPr>
            </w:pPr>
            <w:r w:rsidRPr="00D03F3E">
              <w:rPr>
                <w:rStyle w:val="Bodytext47"/>
                <w:bCs/>
                <w:iCs/>
                <w:color w:val="000000" w:themeColor="text1"/>
              </w:rPr>
              <w:t>75</w:t>
            </w:r>
          </w:p>
        </w:tc>
        <w:tc>
          <w:tcPr>
            <w:tcW w:w="1162" w:type="dxa"/>
            <w:tcBorders>
              <w:top w:val="single" w:sz="4" w:space="0" w:color="auto"/>
              <w:left w:val="nil"/>
              <w:bottom w:val="single" w:sz="4" w:space="0" w:color="auto"/>
              <w:right w:val="nil"/>
            </w:tcBorders>
            <w:shd w:val="clear" w:color="auto" w:fill="FFFFFF"/>
          </w:tcPr>
          <w:p w14:paraId="1B436B19" w14:textId="77777777" w:rsidR="00863AF1" w:rsidRPr="00D03F3E" w:rsidRDefault="00863AF1" w:rsidP="00D03F3E">
            <w:pPr>
              <w:pStyle w:val="Bodytext41"/>
              <w:shd w:val="clear" w:color="auto" w:fill="auto"/>
              <w:spacing w:before="0" w:after="0" w:line="240" w:lineRule="auto"/>
              <w:jc w:val="both"/>
              <w:rPr>
                <w:b w:val="0"/>
                <w:i w:val="0"/>
                <w:color w:val="000000" w:themeColor="text1"/>
              </w:rPr>
            </w:pPr>
            <w:r w:rsidRPr="00D03F3E">
              <w:rPr>
                <w:rStyle w:val="Bodytext47"/>
                <w:bCs/>
                <w:iCs/>
                <w:color w:val="000000" w:themeColor="text1"/>
              </w:rPr>
              <w:t>25</w:t>
            </w:r>
          </w:p>
        </w:tc>
        <w:tc>
          <w:tcPr>
            <w:tcW w:w="955" w:type="dxa"/>
            <w:tcBorders>
              <w:top w:val="single" w:sz="4" w:space="0" w:color="auto"/>
              <w:left w:val="nil"/>
              <w:bottom w:val="single" w:sz="4" w:space="0" w:color="auto"/>
              <w:right w:val="nil"/>
            </w:tcBorders>
            <w:shd w:val="clear" w:color="auto" w:fill="FFFFFF"/>
          </w:tcPr>
          <w:p w14:paraId="04705229" w14:textId="77777777" w:rsidR="00863AF1" w:rsidRPr="00D03F3E" w:rsidRDefault="00863AF1" w:rsidP="00D03F3E">
            <w:pPr>
              <w:pStyle w:val="Bodytext41"/>
              <w:shd w:val="clear" w:color="auto" w:fill="auto"/>
              <w:spacing w:before="0" w:after="0" w:line="240" w:lineRule="auto"/>
              <w:jc w:val="both"/>
              <w:rPr>
                <w:b w:val="0"/>
                <w:i w:val="0"/>
                <w:color w:val="000000" w:themeColor="text1"/>
              </w:rPr>
            </w:pPr>
            <w:r w:rsidRPr="00D03F3E">
              <w:rPr>
                <w:rStyle w:val="Bodytext47"/>
                <w:bCs/>
                <w:iCs/>
                <w:color w:val="000000" w:themeColor="text1"/>
              </w:rPr>
              <w:t>12</w:t>
            </w:r>
          </w:p>
        </w:tc>
        <w:tc>
          <w:tcPr>
            <w:tcW w:w="1037" w:type="dxa"/>
            <w:tcBorders>
              <w:top w:val="single" w:sz="4" w:space="0" w:color="auto"/>
              <w:left w:val="nil"/>
              <w:bottom w:val="single" w:sz="4" w:space="0" w:color="auto"/>
              <w:right w:val="nil"/>
            </w:tcBorders>
            <w:shd w:val="clear" w:color="auto" w:fill="FFFFFF"/>
          </w:tcPr>
          <w:p w14:paraId="640CAB96" w14:textId="77777777" w:rsidR="00863AF1" w:rsidRPr="00D03F3E" w:rsidRDefault="00863AF1" w:rsidP="00D03F3E">
            <w:pPr>
              <w:pStyle w:val="Bodytext41"/>
              <w:shd w:val="clear" w:color="auto" w:fill="auto"/>
              <w:spacing w:before="0" w:after="0" w:line="240" w:lineRule="auto"/>
              <w:jc w:val="both"/>
              <w:rPr>
                <w:b w:val="0"/>
                <w:i w:val="0"/>
                <w:color w:val="000000" w:themeColor="text1"/>
              </w:rPr>
            </w:pPr>
            <w:r w:rsidRPr="00D03F3E">
              <w:rPr>
                <w:rStyle w:val="Bodytext47"/>
                <w:bCs/>
                <w:iCs/>
                <w:color w:val="000000" w:themeColor="text1"/>
              </w:rPr>
              <w:t>13</w:t>
            </w:r>
          </w:p>
        </w:tc>
        <w:tc>
          <w:tcPr>
            <w:tcW w:w="1358" w:type="dxa"/>
            <w:tcBorders>
              <w:top w:val="single" w:sz="4" w:space="0" w:color="auto"/>
              <w:left w:val="nil"/>
              <w:bottom w:val="single" w:sz="4" w:space="0" w:color="auto"/>
              <w:right w:val="nil"/>
            </w:tcBorders>
            <w:shd w:val="clear" w:color="auto" w:fill="FFFFFF"/>
          </w:tcPr>
          <w:p w14:paraId="551F7847" w14:textId="77777777" w:rsidR="00863AF1" w:rsidRPr="00D03F3E" w:rsidRDefault="00863AF1" w:rsidP="00D03F3E">
            <w:pPr>
              <w:pStyle w:val="Bodytext41"/>
              <w:shd w:val="clear" w:color="auto" w:fill="auto"/>
              <w:spacing w:before="0" w:after="0" w:line="240" w:lineRule="auto"/>
              <w:jc w:val="both"/>
              <w:rPr>
                <w:b w:val="0"/>
                <w:i w:val="0"/>
                <w:color w:val="000000" w:themeColor="text1"/>
              </w:rPr>
            </w:pPr>
            <w:r w:rsidRPr="00D03F3E">
              <w:rPr>
                <w:rStyle w:val="Bodytext47"/>
                <w:bCs/>
                <w:iCs/>
                <w:color w:val="000000" w:themeColor="text1"/>
              </w:rPr>
              <w:t>25</w:t>
            </w:r>
          </w:p>
        </w:tc>
      </w:tr>
    </w:tbl>
    <w:p w14:paraId="073E2866" w14:textId="77777777" w:rsidR="00863AF1" w:rsidRPr="00D03F3E" w:rsidRDefault="00863AF1" w:rsidP="00D03F3E">
      <w:pPr>
        <w:pStyle w:val="Bodytext141"/>
        <w:shd w:val="clear" w:color="auto" w:fill="auto"/>
        <w:tabs>
          <w:tab w:val="left" w:pos="3303"/>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б) изготовление рамок в феврале 1943 года производить на заво</w:t>
      </w:r>
      <w:r w:rsidRPr="00D03F3E">
        <w:rPr>
          <w:rStyle w:val="Bodytext145"/>
          <w:i w:val="0"/>
          <w:iCs w:val="0"/>
          <w:color w:val="000000" w:themeColor="text1"/>
          <w:sz w:val="16"/>
          <w:szCs w:val="16"/>
        </w:rPr>
        <w:softHyphen/>
        <w:t>де №172 НКВ в количествах, обеспечивающих поставку пушек МЛ-20 Кировскому заводу;</w:t>
      </w:r>
    </w:p>
    <w:p w14:paraId="76A091A4" w14:textId="77777777" w:rsidR="00863AF1" w:rsidRPr="00D03F3E" w:rsidRDefault="00863AF1" w:rsidP="00D03F3E">
      <w:pPr>
        <w:pStyle w:val="Bodytext141"/>
        <w:shd w:val="clear" w:color="auto" w:fill="auto"/>
        <w:tabs>
          <w:tab w:val="left" w:pos="1335"/>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в) прикомандировать на февраль и март 1943 года к Кировскому за</w:t>
      </w:r>
      <w:r w:rsidRPr="00D03F3E">
        <w:rPr>
          <w:rStyle w:val="Bodytext145"/>
          <w:i w:val="0"/>
          <w:iCs w:val="0"/>
          <w:color w:val="000000" w:themeColor="text1"/>
          <w:sz w:val="16"/>
          <w:szCs w:val="16"/>
        </w:rPr>
        <w:softHyphen/>
        <w:t>воду группу в 10—15 конструкторов и монтажников по установке пушек МЛ-20.</w:t>
      </w:r>
    </w:p>
    <w:p w14:paraId="09003073" w14:textId="77777777" w:rsidR="00863AF1" w:rsidRPr="00D03F3E" w:rsidRDefault="00863AF1" w:rsidP="00D03F3E">
      <w:pPr>
        <w:pStyle w:val="Bodytext141"/>
        <w:shd w:val="clear" w:color="auto" w:fill="auto"/>
        <w:spacing w:line="240" w:lineRule="auto"/>
        <w:ind w:firstLine="0"/>
        <w:jc w:val="both"/>
        <w:rPr>
          <w:rStyle w:val="Bodytext145"/>
          <w:i w:val="0"/>
          <w:iCs w:val="0"/>
          <w:color w:val="000000" w:themeColor="text1"/>
          <w:sz w:val="16"/>
          <w:szCs w:val="16"/>
        </w:rPr>
      </w:pPr>
      <w:r w:rsidRPr="00D03F3E">
        <w:rPr>
          <w:rStyle w:val="Bodytext145"/>
          <w:i w:val="0"/>
          <w:iCs w:val="0"/>
          <w:color w:val="000000" w:themeColor="text1"/>
          <w:sz w:val="16"/>
          <w:szCs w:val="16"/>
        </w:rPr>
        <w:t>4. Обязать Наркомтанкопром (т. Зальцмана) произвести отливку на заводе №40 Наркомтанкопрома в феврале 1943 года опытной пар</w:t>
      </w:r>
      <w:r w:rsidRPr="00D03F3E">
        <w:rPr>
          <w:rStyle w:val="Bodytext145"/>
          <w:i w:val="0"/>
          <w:iCs w:val="0"/>
          <w:color w:val="000000" w:themeColor="text1"/>
          <w:sz w:val="16"/>
          <w:szCs w:val="16"/>
        </w:rPr>
        <w:softHyphen/>
        <w:t xml:space="preserve">тии рамок к пушке </w:t>
      </w:r>
      <w:r w:rsidRPr="00D03F3E">
        <w:rPr>
          <w:rStyle w:val="Bodytext145"/>
          <w:i w:val="0"/>
          <w:iCs w:val="0"/>
          <w:color w:val="000000" w:themeColor="text1"/>
          <w:sz w:val="16"/>
          <w:szCs w:val="16"/>
          <w:lang w:val="en-US"/>
        </w:rPr>
        <w:t>MJ</w:t>
      </w:r>
      <w:r w:rsidRPr="00D03F3E">
        <w:rPr>
          <w:rStyle w:val="Bodytext145"/>
          <w:i w:val="0"/>
          <w:iCs w:val="0"/>
          <w:color w:val="000000" w:themeColor="text1"/>
          <w:sz w:val="16"/>
          <w:szCs w:val="16"/>
        </w:rPr>
        <w:t>1-20 из бессемеровской стали и поставить ее заводу №172 к 22 февраля 1943 года</w:t>
      </w:r>
    </w:p>
    <w:p w14:paraId="674F6698" w14:textId="77777777" w:rsidR="00863AF1" w:rsidRPr="00D03F3E" w:rsidRDefault="00863AF1" w:rsidP="00D03F3E">
      <w:pPr>
        <w:pStyle w:val="Bodytext141"/>
        <w:shd w:val="clear" w:color="auto" w:fill="auto"/>
        <w:tabs>
          <w:tab w:val="left" w:pos="578"/>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5. Обязать Наркомвооружения (т. Устинова) совместно с ГАУ КА (т. Яковлевым) провести в феврале 1943 года испытание рамки из бессемеровской стали и решить вопрос о возможности ее исполь</w:t>
      </w:r>
      <w:r w:rsidRPr="00D03F3E">
        <w:rPr>
          <w:rStyle w:val="Bodytext145"/>
          <w:i w:val="0"/>
          <w:iCs w:val="0"/>
          <w:color w:val="000000" w:themeColor="text1"/>
          <w:sz w:val="16"/>
          <w:szCs w:val="16"/>
        </w:rPr>
        <w:softHyphen/>
        <w:t>зования в пушке МЛ-20 для артиллерийской самоходной установки СУ-14.</w:t>
      </w:r>
    </w:p>
    <w:p w14:paraId="6C1FC59C" w14:textId="77777777" w:rsidR="00863AF1" w:rsidRPr="00D03F3E" w:rsidRDefault="00863AF1" w:rsidP="00D03F3E">
      <w:pPr>
        <w:pStyle w:val="Bodytext141"/>
        <w:shd w:val="clear" w:color="auto" w:fill="auto"/>
        <w:tabs>
          <w:tab w:val="left" w:pos="526"/>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6. Обязать Наркомтанкопром (т. Зальцмана), при установлении Нар</w:t>
      </w:r>
      <w:r w:rsidRPr="00D03F3E">
        <w:rPr>
          <w:rStyle w:val="Bodytext145"/>
          <w:i w:val="0"/>
          <w:iCs w:val="0"/>
          <w:color w:val="000000" w:themeColor="text1"/>
          <w:sz w:val="16"/>
          <w:szCs w:val="16"/>
        </w:rPr>
        <w:softHyphen/>
        <w:t>коматом вооружения и ГАУ КА возможности изготовления рам</w:t>
      </w:r>
      <w:r w:rsidRPr="00D03F3E">
        <w:rPr>
          <w:rStyle w:val="Bodytext145"/>
          <w:i w:val="0"/>
          <w:iCs w:val="0"/>
          <w:color w:val="000000" w:themeColor="text1"/>
          <w:sz w:val="16"/>
          <w:szCs w:val="16"/>
        </w:rPr>
        <w:softHyphen/>
        <w:t>ки МЛ-20 из бессемеровской стали, обеспечить в марте и апреле 1943 года ее отливку на заводе №40 Наркомтанкопрома и поставку заводу №172 Наркомвооружения в количествах, обеспечивающих программу производства пушек МЛ-20 для выпуска артиллерийских установок СУ-14 на Кировском заводе Наркомтанкопрома.</w:t>
      </w:r>
    </w:p>
    <w:p w14:paraId="19ECDD32" w14:textId="77777777" w:rsidR="00863AF1" w:rsidRPr="00D03F3E" w:rsidRDefault="00863AF1"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Дальнейшее изготовление отливок рамок к пушке МЛ-20 из бес</w:t>
      </w:r>
      <w:r w:rsidRPr="00D03F3E">
        <w:rPr>
          <w:rStyle w:val="Bodytext145"/>
          <w:i w:val="0"/>
          <w:iCs w:val="0"/>
          <w:color w:val="000000" w:themeColor="text1"/>
          <w:sz w:val="16"/>
          <w:szCs w:val="16"/>
        </w:rPr>
        <w:softHyphen/>
        <w:t>семеровской стали производить на заводах Наркомвооружения.</w:t>
      </w:r>
    </w:p>
    <w:p w14:paraId="2EEE93D1" w14:textId="77777777" w:rsidR="00863AF1" w:rsidRPr="00D03F3E" w:rsidRDefault="00863AF1"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lastRenderedPageBreak/>
        <w:t>При невозможности использования рамок к пушке МЛ-20 из бес</w:t>
      </w:r>
      <w:r w:rsidRPr="00D03F3E">
        <w:rPr>
          <w:rStyle w:val="Bodytext145"/>
          <w:i w:val="0"/>
          <w:iCs w:val="0"/>
          <w:color w:val="000000" w:themeColor="text1"/>
          <w:sz w:val="16"/>
          <w:szCs w:val="16"/>
        </w:rPr>
        <w:softHyphen/>
        <w:t>семеровской стали производство их с марта 1943 года обеспечить из спецстали на заводах Наркомвооружения» ( 77484).</w:t>
      </w:r>
    </w:p>
    <w:p w14:paraId="11A98BCD" w14:textId="77777777" w:rsidR="00863AF1" w:rsidRPr="00D03F3E" w:rsidRDefault="00863AF1" w:rsidP="00D03F3E">
      <w:pPr>
        <w:spacing w:after="0" w:line="240" w:lineRule="auto"/>
        <w:jc w:val="both"/>
        <w:rPr>
          <w:rStyle w:val="Bodytext145"/>
          <w:rFonts w:ascii="Times New Roman" w:hAnsi="Times New Roman"/>
          <w:iCs/>
          <w:color w:val="000000" w:themeColor="text1"/>
          <w:sz w:val="16"/>
          <w:szCs w:val="16"/>
        </w:rPr>
      </w:pPr>
    </w:p>
    <w:p w14:paraId="3064E6E7" w14:textId="77777777" w:rsidR="007D28EE" w:rsidRPr="00D03F3E" w:rsidRDefault="007D28E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14 февраля 1943 года Сталин подписал постановление ГКО №2883сс «О производстве артиллерийских самоходных установок СУ-14, танков КВ-1с и бронекорпусов к ним в феврале и марте 1943 года». Согласно этому документу, в феврале планировалось выпустить 30 КВ-14, а в марте – 75 штук. Позже с заводом был заключен договор, согласно которому стоимость одной самоходной установки устанавливалась на уровне 265 тысяч рублей. Из-за недопоставок различных узлов и агрегатов за февраль 1943 года вместо 30 КВ-14 было выпущено всего 15 машин. Вместо 75 машин за март предстояло сдать 90 машин, из них 15 – в счет февральского «долга». Сдавались машины в поистине авральных условиях: по состоянию на 28 марта, было принято всего 23 КВ-14, производство стопорилось из-за отсутствия траков. С помощью поистине героических усилий план в 90 машин удалось выполнить за оставшиеся 3 дня. Надо сказать, что подобные производственные драмы были для ЧКЗ характерны. С учетом того, что завод строил сразу три типа машин (Т-34, КВ-1с и КВ-14), подобная ситуация не выглядит странной.</w:t>
      </w:r>
    </w:p>
    <w:p w14:paraId="29FB04EF" w14:textId="77777777" w:rsidR="007D28EE" w:rsidRPr="00D03F3E" w:rsidRDefault="007D28E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Имели место неизбежные недоработки по отдельным агрегатам. Поставляемые для сборки рамки орудийной системы нередко имели дефекты, связанные с размерами, что вызывало необходимость дополнительно подгонять их под бронировку, а на это тратилось дополнительное время. Кроме того, нередко происходили накладки с поставками орудийного ЗИПа (комплекта запасных частей, инструментов и принадлежностей), поступавшего вместе с системами МЛ-20С с завода №172.</w:t>
      </w:r>
    </w:p>
    <w:p w14:paraId="1DF91693" w14:textId="77777777" w:rsidR="007D28EE" w:rsidRPr="00D03F3E" w:rsidRDefault="007D28E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Как уже упоминалось, первые КВ-14 комплектовались прицелами Т-9, позже замененными на Т-10, которые позже переименовали в СТ-10. Высказывались пожелания заменить СТ-10 на другой прицел, не имевший «колена», но дальше опытных работ эта тема не продвинулась (17696).</w:t>
      </w:r>
    </w:p>
    <w:p w14:paraId="77E3BF65" w14:textId="77777777" w:rsidR="007D28EE" w:rsidRPr="00D03F3E" w:rsidRDefault="007D28E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8EBC3CE" w14:textId="77777777" w:rsidR="00E20571" w:rsidRPr="00D03F3E" w:rsidRDefault="00E20571"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14 февраля 1943 года СУ-14 приняли на вооружение Красной Армии, а с апреля 1943 года ее стали именовать СУ-152. Первые самоходки сдали в феврале 1943 года, а дебют их состоялся в июле 1943 года на Курской дуге. Как раз там машина и получила прозвище "Зверобой", в честь машины из 1529 САП. Следует сразу отметить, что СУ-152, аналогично САУ 212, создавалась как тяжелый "штурмовик", у нее в боекомплекте даже не было бронебойных снарядов. Ввели его только в конце лета 1943 года. Так уж сложилось, что МЛ-20 оказалась "противотанковой". Из нее прямой наводкой огонь вели еще летом 1941 года (20289).</w:t>
      </w:r>
    </w:p>
    <w:p w14:paraId="37C3B284" w14:textId="77777777" w:rsidR="00E20571" w:rsidRPr="00D03F3E" w:rsidRDefault="00E20571" w:rsidP="00D03F3E">
      <w:pPr>
        <w:shd w:val="clear" w:color="auto" w:fill="FFFFFF"/>
        <w:spacing w:after="0" w:line="240" w:lineRule="auto"/>
        <w:jc w:val="both"/>
        <w:rPr>
          <w:rFonts w:ascii="Times New Roman" w:eastAsia="Times New Roman" w:hAnsi="Times New Roman"/>
          <w:color w:val="0070C0"/>
          <w:sz w:val="16"/>
          <w:szCs w:val="16"/>
          <w:lang w:eastAsia="ru-RU"/>
        </w:rPr>
      </w:pPr>
    </w:p>
    <w:p w14:paraId="77327628" w14:textId="77777777" w:rsidR="007D28EE" w:rsidRPr="00D03F3E" w:rsidRDefault="007D28E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14 февраля 1943 года, одновременно с принятием на вооружение КВ-14, Сталин подписал постановление ГКО №2889 «О сформировании тяжелых самоходных артиллерийских полков РГК». Согласно документу, формировалось 16 тяжелых самоходных артиллерийских полков (ТСАП), из них в феврале 1, к 25 марта 5, к 25 апреля 5 и к 25 мая еще 5. ТСАП по штату № 08/175 имел общую численностью 310 человек, в каждый полк входило по 12 СУ-152. Впрочем, фактически формировались полки по иному штату — № 010/454, принятому в апреле 1943 года. Согласно ему, помимо 12 СУ-152 в ТСАП стал входить командирский КВ-1с, а также 1 </w:t>
      </w:r>
      <w:hyperlink r:id="rId64" w:history="1">
        <w:r w:rsidRPr="00D03F3E">
          <w:rPr>
            <w:rFonts w:ascii="Times New Roman" w:eastAsia="Times New Roman" w:hAnsi="Times New Roman"/>
            <w:color w:val="000000" w:themeColor="text1"/>
            <w:sz w:val="16"/>
            <w:szCs w:val="16"/>
            <w:lang w:eastAsia="ru-RU"/>
          </w:rPr>
          <w:t>бронеавтомобиль</w:t>
        </w:r>
      </w:hyperlink>
      <w:r w:rsidRPr="00D03F3E">
        <w:rPr>
          <w:rFonts w:ascii="Times New Roman" w:eastAsia="Times New Roman" w:hAnsi="Times New Roman"/>
          <w:color w:val="000000" w:themeColor="text1"/>
          <w:sz w:val="16"/>
          <w:szCs w:val="16"/>
          <w:lang w:eastAsia="ru-RU"/>
        </w:rPr>
        <w:t xml:space="preserve"> БА-64. Внутри полка самоходные установки распределялись между 6 батареями, по 2 машины в каждой (17696).</w:t>
      </w:r>
    </w:p>
    <w:p w14:paraId="65EBCF18" w14:textId="77777777" w:rsidR="007D28EE" w:rsidRPr="00D03F3E" w:rsidRDefault="007D28E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274C195" w14:textId="77777777" w:rsidR="007D28EE" w:rsidRPr="00D03F3E" w:rsidRDefault="007D28EE" w:rsidP="00D03F3E">
      <w:pPr>
        <w:pStyle w:val="ae"/>
        <w:spacing w:before="0" w:after="0"/>
        <w:jc w:val="both"/>
        <w:textAlignment w:val="baseline"/>
        <w:rPr>
          <w:color w:val="000000" w:themeColor="text1"/>
          <w:sz w:val="16"/>
          <w:szCs w:val="16"/>
        </w:rPr>
      </w:pPr>
      <w:r w:rsidRPr="00D03F3E">
        <w:rPr>
          <w:iCs/>
          <w:color w:val="000000" w:themeColor="text1"/>
          <w:sz w:val="16"/>
          <w:szCs w:val="16"/>
          <w:bdr w:val="none" w:sz="0" w:space="0" w:color="auto" w:frame="1"/>
        </w:rPr>
        <w:t xml:space="preserve">14 февраля 1943 года принятая на вооружение самоходная установка </w:t>
      </w:r>
      <w:hyperlink r:id="rId65" w:history="1">
        <w:r w:rsidRPr="00D03F3E">
          <w:rPr>
            <w:rStyle w:val="a5"/>
            <w:bCs/>
            <w:iCs/>
            <w:color w:val="000000" w:themeColor="text1"/>
            <w:sz w:val="16"/>
            <w:szCs w:val="16"/>
            <w:bdr w:val="none" w:sz="0" w:space="0" w:color="auto" w:frame="1"/>
          </w:rPr>
          <w:t>КВ-14 (СУ-152)</w:t>
        </w:r>
      </w:hyperlink>
      <w:r w:rsidRPr="00D03F3E">
        <w:rPr>
          <w:iCs/>
          <w:color w:val="000000" w:themeColor="text1"/>
          <w:sz w:val="16"/>
          <w:szCs w:val="16"/>
          <w:bdr w:val="none" w:sz="0" w:space="0" w:color="auto" w:frame="1"/>
        </w:rPr>
        <w:t xml:space="preserve"> создавалась прежде всего как средство борьбы с вражескими укреплениями. Тем не менее первое же боевое применение этой машины свелось к борьбе с немецкими танками. Уже весной 1943 года начались работы по созданию на базе СУ-152 самоходных установок, для которых борьба с немецкими тяжёлыми танками должна была стать приоритетной задачей. Хотя ни один из этих проектов не дошёл до стадии изготовления в металле, именно с них началась история ИСУ-122 (17716).</w:t>
      </w:r>
    </w:p>
    <w:p w14:paraId="74334040" w14:textId="77777777" w:rsidR="007D28EE" w:rsidRPr="00D03F3E" w:rsidRDefault="007D28EE" w:rsidP="00D03F3E">
      <w:pPr>
        <w:pStyle w:val="12a"/>
        <w:shd w:val="clear" w:color="auto" w:fill="auto"/>
        <w:spacing w:after="0" w:line="240" w:lineRule="auto"/>
        <w:jc w:val="both"/>
        <w:rPr>
          <w:color w:val="000000" w:themeColor="text1"/>
          <w:sz w:val="16"/>
          <w:szCs w:val="16"/>
        </w:rPr>
      </w:pPr>
    </w:p>
    <w:p w14:paraId="6D34D0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г. вышел приказ Наркомата среднего машиностроения: "В соответствии с решением Государственного Комитета Обороны переименовать Миасский автомоторный завод им. И.В.Сталина в "Миасский автомобильный завод им. И.В.Сталина" и в 1944 году начать производство грузовых автомобилей ЗИС-5В". Это означало, что на Урале появился самостоятельный завод, не являющийся более филиалом МосЗИСа (11687).</w:t>
      </w:r>
    </w:p>
    <w:p w14:paraId="1E265B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8985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вышло Постановление ГКО № 2884 О тов. Чуянове А.С. (освободить от обязанностей члена Военного Совета)РГАНИР, Фонд ГКО, д. 89, лл. 136 (11012).</w:t>
      </w:r>
    </w:p>
    <w:p w14:paraId="76CF47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E9D7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вышло Постановление ГКО № 2885 Об отпуске НКВМФ стрелкового вооружения в I квартале 1943 г.РГАНИР, Фонд ГКО, д. 89, лл. 137 (11012).</w:t>
      </w:r>
    </w:p>
    <w:p w14:paraId="0DECAC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903D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вышло Постановление ГКО № 2887 О формировании отдельных ремонтно-восстановительных батальонов и подвижных ремонтных баз по ремонту танков. РГАНИР, Фонд ГКО, д. 89, лл. 154-155, 156-160 (11012).</w:t>
      </w:r>
    </w:p>
    <w:p w14:paraId="77A33A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FEB5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вышло Постановление ГКО № 2888 О мероприятиях по обеспечению строительства завода № 40 Наркомтанкопрома.РГАНИР, Фонд ГКО, д. 89, лл. 161-167, 168-177 (11012).</w:t>
      </w:r>
    </w:p>
    <w:p w14:paraId="057524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1619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вышло Постановление ГКО № 2891 О производстве 20 мм осколочно-зажигательно-трассирующих снарядов.РГАНИР, Фонд ГКО, д. 89, лл. 185 (11012).</w:t>
      </w:r>
    </w:p>
    <w:p w14:paraId="3CE68E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E559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вышло Распоряжение ГКО № 2892. Об отгрузке Михайловскому содовому заводу НКХП 50 трехтонных автомашин с запасными частями.РГАНИР, Фонд ГКО, д. 89, лл. 186 (11012).</w:t>
      </w:r>
    </w:p>
    <w:p w14:paraId="409716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471C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вышло Постановление ГКО № 2894 О т.т. Веденееве Б.Е. и Спирине С.А.РГАНИР, Фонд ГКО, д. 89, лл. 189 (11012).</w:t>
      </w:r>
    </w:p>
    <w:p w14:paraId="661263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808A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вышло Постановление ГКО № 2895 О восстановлении завода № 91 Наркомхимпрома в г. Сталинграде.РГАНИР, Фонд ГКО, д. 89, лл. 190-192 (11012).</w:t>
      </w:r>
    </w:p>
    <w:p w14:paraId="604A8E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3FF8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г. В соответствии с пост. ГКО № 2895 завод № 91 НКХП (Завод № 91 НКТП, НКОП, НКХП, завод № 3 ВХТОП, п/я 5, Сталинградский, Волгоградский химический завод им. С.М. Кирова, Волгоградское ордена Ленина и ордена Октябрьской революции ПО «Химпром» им. С.М. Кирова, Волгоградское АООТ (ВАООТ), ОАО (ВОАО) «Химпром» /г. Сталинград;  г. Волгоград/ /400057  г. Волгоград ул. Промысловая, 23 тел. (8442) 45-19-39/) восстановлен на прежнем месте. В соответствии с пост. ГКО № 4202 от 26.09.1943 г. начато восстановление 2-й очереди завода. Имел наименование «п/я 5».</w:t>
      </w:r>
    </w:p>
    <w:p w14:paraId="5C23A8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иприта с 1933 г. в цехе № 2 (мощность - 11.000 т. в год). Перед войной велась реконструкция производства, цех находился на консервации. С началом войны производство иприта возобновилось, в 1941-42 г. выпущено 6.000 т. (мощности существовали до 1950 г.). Производство фосгена в цехе № 1 с 1934 г. до 1941 г.</w:t>
      </w:r>
    </w:p>
    <w:p w14:paraId="5F0932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 промплощадке «М» («маргариновой») в 1937 г. был заложен завод по снаряжению химических боеприпасов. Снаряжение - в цехе № 11 в 1943-45 г. (мощности существовали до 1957 г.). С 1946 г. велось строительство цеха и работа опытной установки по выпуску зарина. 4.09.1954 г. вышло постановление СМ СССР о развитии на заводе мобилизационных мощностей по производству ОВ. Затем по 1970-е  г. в цехе № 22- производство опытных партий зарина, зомана (с 1967 г.), </w:t>
      </w:r>
      <w:r w:rsidRPr="00D03F3E">
        <w:rPr>
          <w:rFonts w:ascii="Times New Roman" w:hAnsi="Times New Roman"/>
          <w:color w:val="000000" w:themeColor="text1"/>
          <w:sz w:val="16"/>
          <w:szCs w:val="16"/>
          <w:lang w:val="en-US"/>
        </w:rPr>
        <w:t>V</w:t>
      </w:r>
      <w:r w:rsidRPr="00D03F3E">
        <w:rPr>
          <w:rFonts w:ascii="Times New Roman" w:hAnsi="Times New Roman"/>
          <w:color w:val="000000" w:themeColor="text1"/>
          <w:sz w:val="16"/>
          <w:szCs w:val="16"/>
        </w:rPr>
        <w:t xml:space="preserve">-газа (цех разрушен в 1975 г.). Первая опытная установка по выпуску </w:t>
      </w:r>
      <w:r w:rsidRPr="00D03F3E">
        <w:rPr>
          <w:rFonts w:ascii="Times New Roman" w:hAnsi="Times New Roman"/>
          <w:color w:val="000000" w:themeColor="text1"/>
          <w:sz w:val="16"/>
          <w:szCs w:val="16"/>
          <w:lang w:val="en-US"/>
        </w:rPr>
        <w:t>V</w:t>
      </w:r>
      <w:r w:rsidRPr="00D03F3E">
        <w:rPr>
          <w:rFonts w:ascii="Times New Roman" w:hAnsi="Times New Roman"/>
          <w:color w:val="000000" w:themeColor="text1"/>
          <w:sz w:val="16"/>
          <w:szCs w:val="16"/>
        </w:rPr>
        <w:t xml:space="preserve">-газа создана в соответствии с пост. СМ от 18.07.1959 г. В соответствии с пост. СМ от 9.05.1952 г. предусматривалось создание на площадке «М» мощностей по выпуску 2.000 т. зарина в год (по существу, нового завода). С 1959 г. - производство зарина в цехе № 30. Цех № 60 - снаряжение бомб ОХАБ-250, снарядов АХС-85, АХС-122, </w:t>
      </w:r>
      <w:r w:rsidRPr="00D03F3E">
        <w:rPr>
          <w:rFonts w:ascii="Times New Roman" w:hAnsi="Times New Roman"/>
          <w:color w:val="000000" w:themeColor="text1"/>
          <w:sz w:val="16"/>
          <w:szCs w:val="16"/>
          <w:lang w:val="en-US"/>
        </w:rPr>
        <w:t>PC</w:t>
      </w:r>
      <w:r w:rsidRPr="00D03F3E">
        <w:rPr>
          <w:rFonts w:ascii="Times New Roman" w:hAnsi="Times New Roman"/>
          <w:color w:val="000000" w:themeColor="text1"/>
          <w:sz w:val="16"/>
          <w:szCs w:val="16"/>
        </w:rPr>
        <w:t xml:space="preserve"> МС-14. Вскоре цеха № 30 и 60 объединены в единый цех № 34. В 1981 г. проведена реконструкция снаряжательного цеха № 34 (эксплуатировался до 1987 г., но на 1995 г. мощности существовали).</w:t>
      </w:r>
    </w:p>
    <w:p w14:paraId="7EE64E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годы войны при заводе действовала ЦЗЛ. В 1942 г. - производство самовоспламеняющейся зажигательной жидкости КС и снаряжение ею зажигательных гранат (бутылок).</w:t>
      </w:r>
      <w:r w:rsidRPr="00D03F3E">
        <w:rPr>
          <w:rFonts w:ascii="Times New Roman" w:hAnsi="Times New Roman"/>
          <w:color w:val="000000" w:themeColor="text1"/>
          <w:sz w:val="16"/>
          <w:szCs w:val="16"/>
          <w:vertAlign w:val="superscript"/>
        </w:rPr>
        <w:t>56</w:t>
      </w:r>
    </w:p>
    <w:p w14:paraId="646DC6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завод по решению ГКО № 7692 от 6.03.1945 г. было вывезено из Германии оборудование по производству иприта, табуна и зарина.</w:t>
      </w:r>
    </w:p>
    <w:p w14:paraId="6261A9E5" w14:textId="77777777" w:rsidR="00DB6725" w:rsidRPr="00D03F3E" w:rsidRDefault="00DB6725" w:rsidP="00D03F3E">
      <w:pPr>
        <w:widowControl w:val="0"/>
        <w:tabs>
          <w:tab w:val="left" w:pos="8746"/>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первой половине 1960-х  г. велись работы по выпуску и испытаниям химической БЧ для БР 9К52 «Луна-М». Имелся опытный цех по производству психотропных </w:t>
      </w:r>
      <w:r w:rsidRPr="00D03F3E">
        <w:rPr>
          <w:rFonts w:ascii="Times New Roman" w:hAnsi="Times New Roman"/>
          <w:color w:val="000000" w:themeColor="text1"/>
          <w:sz w:val="16"/>
          <w:szCs w:val="16"/>
          <w:lang w:val="en-US"/>
        </w:rPr>
        <w:t>OB</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vertAlign w:val="superscript"/>
        </w:rPr>
        <w:t>71</w:t>
      </w:r>
      <w:r w:rsidRPr="00D03F3E">
        <w:rPr>
          <w:rFonts w:ascii="Times New Roman" w:hAnsi="Times New Roman"/>
          <w:color w:val="000000" w:themeColor="text1"/>
          <w:sz w:val="16"/>
          <w:szCs w:val="16"/>
          <w:vertAlign w:val="superscript"/>
        </w:rPr>
        <w:tab/>
        <w:t>г</w:t>
      </w:r>
    </w:p>
    <w:p w14:paraId="57BFAA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2.09.1952 г. при Сталинградском химзаводе организована постоянная проектная группа института «Гипрохлор». С 1.10.1956 г. группа преобразована в Сталинградский филиал института, далее - «Гипросинтез».</w:t>
      </w:r>
    </w:p>
    <w:p w14:paraId="6F0786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Производство хлористого кальция, хлората натрия, бензилового спирта, каустической соды, метиленхлорида, карбида кальция, эмульсионного ПВХ, </w:t>
      </w:r>
      <w:r w:rsidRPr="00D03F3E">
        <w:rPr>
          <w:rFonts w:ascii="Times New Roman" w:hAnsi="Times New Roman"/>
          <w:color w:val="000000" w:themeColor="text1"/>
          <w:sz w:val="16"/>
          <w:szCs w:val="16"/>
          <w:lang w:val="en-US"/>
        </w:rPr>
        <w:t>CMC</w:t>
      </w:r>
      <w:r w:rsidRPr="00D03F3E">
        <w:rPr>
          <w:rFonts w:ascii="Times New Roman" w:hAnsi="Times New Roman"/>
          <w:color w:val="000000" w:themeColor="text1"/>
          <w:sz w:val="16"/>
          <w:szCs w:val="16"/>
        </w:rPr>
        <w:t>, антипиренов (2003 г.).</w:t>
      </w:r>
    </w:p>
    <w:p w14:paraId="0EBC36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 администрации Кировского р-на  г. Волгограда № 166 от 16.07.1992 г. предприятие получило название Волгоградское ордена Ленина и ордена Октябрьской революции ПО «Химпром» им. С.М. Кирова. 14.02.1994 г. предприятие преобразовано в Волгоградское АООТ «Химпром» (свидетельство о регистрации № 804 выдано администрацией Кировского р-на  г. Волгограда), 17.07.1998 г. - в ОАО (свидетельство № 465). По Указу Президента РФ № 1009 от 4.08.2004 г. вошло в число стратегических оборонных предприятий. Входил в группу «Ренова» (2007 г.).</w:t>
      </w:r>
    </w:p>
    <w:p w14:paraId="657524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Приказом по предприятию № 959к от 20.04.2004 г. в составе ОАО организовано Управление внутреннего аудита (УВА). В 2004 г. пущена итальянская линия по </w:t>
      </w:r>
      <w:r w:rsidRPr="00D03F3E">
        <w:rPr>
          <w:rFonts w:ascii="Times New Roman" w:hAnsi="Times New Roman"/>
          <w:color w:val="000000" w:themeColor="text1"/>
          <w:sz w:val="16"/>
          <w:szCs w:val="16"/>
        </w:rPr>
        <w:lastRenderedPageBreak/>
        <w:t>производству аэрозольных препаратов. Выпускались моющие и дезинфицирующие средства, инсектициды. Производство химических средств защиты растений. Выпускалось (2000-е) более 120 наименований продукции.</w:t>
      </w:r>
    </w:p>
    <w:p w14:paraId="59FE33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03.2007 г. завершена демилитаризация производства, мобилизационные мощности ликвидированы.</w:t>
      </w:r>
      <w:r w:rsidRPr="00D03F3E">
        <w:rPr>
          <w:rFonts w:ascii="Times New Roman" w:hAnsi="Times New Roman"/>
          <w:color w:val="000000" w:themeColor="text1"/>
          <w:sz w:val="16"/>
          <w:szCs w:val="16"/>
          <w:vertAlign w:val="superscript"/>
        </w:rPr>
        <w:t>1</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vertAlign w:val="superscript"/>
        </w:rPr>
        <w:t>1104 07</w:t>
      </w:r>
      <w:r w:rsidRPr="00D03F3E">
        <w:rPr>
          <w:rFonts w:ascii="Times New Roman" w:hAnsi="Times New Roman"/>
          <w:color w:val="000000" w:themeColor="text1"/>
          <w:sz w:val="16"/>
          <w:szCs w:val="16"/>
        </w:rPr>
        <w:t xml:space="preserve"> В 2007 г. планировалось на площадке предприятия построить магниевый завод. 29.04.2009 г. на предприятии введена процедура наблюдения.</w:t>
      </w:r>
    </w:p>
    <w:p w14:paraId="08124D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(1943 г.)- 480 чел., (1944 г.)- 1300 чел., (2006 г.)- 6587 чел.</w:t>
      </w:r>
    </w:p>
    <w:p w14:paraId="413F30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(-12.1936-8.07.1937 г.)- Я.Л. Соломонов, (8.07.1937 г.-&gt; С.З. Трофимов, (29.07-10.10.1938 г.)- Н.А. Зорин, (15.12.1938-41 г.)- М.К. Гонобоблев, (1941-48 г.)- А.И. Уфлянд, (1948-59 г.)- В.Д. Беляев, (1959-62 г.)- П.В. Вершинин. Гендиректор (-1984-04.2003 г.)- Л. Кутянин. И.О. гендиректора (04.2003-03,2004 г.)- Е. Кисиль. Гендиректор (03-11.2004 г.)- А. Козлов; временный гендиректор (01.2005 г.-)- Д.В. Осипов; (07.2005-07 г.-)- С.Ю. Лосев. Временный управляющий (04.2009 г.-)- Р.Ю. Обсков.</w:t>
      </w:r>
    </w:p>
    <w:p w14:paraId="30374A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1-й зам. гендиректора (2004 г.)- Д. Шурупов, (11.2004 г.-)- Д.В. Осипов. Зам. директора, гендиректора (2.01- 14.07.1937 г.)- Д.Э. Каганер, (2003 г.)- А. Митрофанов; по производству- С. Сергеев. Помощник директора по найму и увольнению (13.02.1938 г.-)- А.П. Шепотиленко.</w:t>
      </w:r>
    </w:p>
    <w:p w14:paraId="542C15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по стратегическому развитию (2007 г.)-  Г. Радковский.</w:t>
      </w:r>
    </w:p>
    <w:p w14:paraId="3A320E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(29.11.1938-41 г.)- А.И. Уфлянд, (1941-47 г.)- М.Н. Мачулкин.</w:t>
      </w:r>
      <w:r w:rsidRPr="00D03F3E">
        <w:rPr>
          <w:rFonts w:ascii="Times New Roman" w:hAnsi="Times New Roman"/>
          <w:color w:val="000000" w:themeColor="text1"/>
          <w:sz w:val="16"/>
          <w:szCs w:val="16"/>
          <w:vertAlign w:val="superscript"/>
        </w:rPr>
        <w:t>71</w:t>
      </w:r>
    </w:p>
    <w:p w14:paraId="2D676F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УВА (2006 г.)- Е.Н. Завирохина.</w:t>
      </w:r>
    </w:p>
    <w:p w14:paraId="74202E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УВА (2006 г.)- Е.А. Борисова.</w:t>
      </w:r>
    </w:p>
    <w:p w14:paraId="119FA8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Комендант (1934-37 г.-)-  Г. Г. Рабченя.</w:t>
      </w:r>
    </w:p>
    <w:p w14:paraId="34FD49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w:t>
      </w:r>
      <w:r w:rsidRPr="00D03F3E">
        <w:rPr>
          <w:rFonts w:ascii="Times New Roman" w:hAnsi="Times New Roman"/>
          <w:color w:val="000000" w:themeColor="text1"/>
          <w:sz w:val="16"/>
          <w:szCs w:val="16"/>
        </w:rPr>
        <w:t xml:space="preserve"> сода каустическая, смолы: ЕП-6602, карбид кальция, поливинилхлорид, едкий натр, трихлорэтилен, хлорат натрия, метиленхлорид, хлорная известь, хлороформ (2006); бытовая химия (</w:t>
      </w:r>
      <w:r w:rsidRPr="00D03F3E">
        <w:rPr>
          <w:rFonts w:ascii="Times New Roman" w:hAnsi="Times New Roman"/>
          <w:color w:val="000000" w:themeColor="text1"/>
          <w:sz w:val="16"/>
          <w:szCs w:val="16"/>
          <w:lang w:val="en-US"/>
        </w:rPr>
        <w:t>CMC</w:t>
      </w:r>
      <w:r w:rsidRPr="00D03F3E">
        <w:rPr>
          <w:rFonts w:ascii="Times New Roman" w:hAnsi="Times New Roman"/>
          <w:color w:val="000000" w:themeColor="text1"/>
          <w:sz w:val="16"/>
          <w:szCs w:val="16"/>
        </w:rPr>
        <w:t xml:space="preserve"> «Пальмира», «Белизна», БИО-</w:t>
      </w:r>
      <w:r w:rsidRPr="00D03F3E">
        <w:rPr>
          <w:rFonts w:ascii="Times New Roman" w:hAnsi="Times New Roman"/>
          <w:color w:val="000000" w:themeColor="text1"/>
          <w:sz w:val="16"/>
          <w:szCs w:val="16"/>
          <w:lang w:val="en-US"/>
        </w:rPr>
        <w:t>V</w:t>
      </w:r>
      <w:r w:rsidRPr="00D03F3E">
        <w:rPr>
          <w:rFonts w:ascii="Times New Roman" w:hAnsi="Times New Roman"/>
          <w:color w:val="000000" w:themeColor="text1"/>
          <w:sz w:val="16"/>
          <w:szCs w:val="16"/>
        </w:rPr>
        <w:t>, растворители) (2006) (11982).</w:t>
      </w:r>
    </w:p>
    <w:p w14:paraId="73EF94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196A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вышло Постановление ГКО № 2897 О материально-техническом обеспечении патронных заводов Наркомвооружения в феврале и марте 1943 г.РГАНИР, Фонд ГКО, д. 89, лл. 203-206, 207-213 (11012).</w:t>
      </w:r>
    </w:p>
    <w:p w14:paraId="6F22F4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1209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вышло Постановление ГКО № 2898 О мероприятиях по обеспечению строительства коллоксилинового производства на заводе № 850 Наркомбоеприпасов (гор. Стерлитамак.).РГАНИР, Фонд ГКО, д. 89, лл. 214-216, 217-223 (11012).</w:t>
      </w:r>
    </w:p>
    <w:p w14:paraId="6DFC01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DEEB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вышло Постановление ГКО № 2900 Об особых мерах по увеличению выпуска 76 мм и 122 мм снарядов, 82 мм и 120 мм мин.РГАНИР, Фонд ГКО, д. 90, лл. 1-7, 8-120 (11012).</w:t>
      </w:r>
    </w:p>
    <w:p w14:paraId="3E010E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93F8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вышло Постановление ГКО № 2901 О восстановлении мощного телеграфно-телефонного радиоцентра Наркомсвязи (объект № 8 (1)).РГАНИР, Фонд ГКО, д. 90, лл. 121-123, 124-127 (11012).</w:t>
      </w:r>
    </w:p>
    <w:p w14:paraId="4CABF6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1D84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вышло Постановление ГКО № 2902 О мероприятиях по обеспечению бесперебойной работы коксохимической промышленности, наращению мощностей по производству кокса и толуола и по увеличению добычи коксующихся углей в 1943 году.РГАНИР, Фонд ГКО, д. 90, лл. 128-154, 155-242 (11012).</w:t>
      </w:r>
    </w:p>
    <w:p w14:paraId="13793A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D90C4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г. ГКО принял постановление «О строительстве импортных нефтеперерабатывающих заводов». Заводы должны были быть построены в Красноводске и Орске, где уже велись работы, ориентированные на использование эвакуированного оборудования, а также в Куйбышеве и Гурьеве. Им были присвоены номера: завод №228 в Орске, №431 в Красно­водске, №441 в Гурьеве и №443 в Куй­бышеве.Основным поставщиком стала американская фирма «Баджер» (Е.В. Badger and Sons Co). Поставки оборудования от фирмы «Баджер» шли через Советскую закупочную комиссию в США.Через фирму «Баджер» оборудова­ние в СССР поставляли и другие американские компании: Gibbs-HLU, Ingersall-Rnd, Buffalo Lasoline Motor, General Electric и др.Основой нефтеперерабатывающих заводов в Гурьеве и Орске должны бы­ли стать установки каталитического крекинга «Гудри», а заводов в Куйбы­шеве и Красноводске — солярового крекинга «Винклер-Кох» и атмосферно-вакуумные трубчатки.Наиболее современными из них бы­ли установки «Гудри».Первая заводская установка системы «Гудри» была построена в США в 1936 г., а в 1941 г. было уже 14 таких ус­тановок. Периодический процесс «Гудри» был усовершенствован в непрерыв­ный, получивший название «термофорная система». Начиная с 1942 г. и до июня 1944 г. в США было построено 10 каталитических установок термофорной системы и находилось в процессе строительства еще шесть. В январе 1943 г. впервые была введена в эксплу­атацию установка каталитического кре­кинга системы «Флюид» (с подвижным катализатором). До июня 1943 г. в США было введено в эксплуатацию 26 уста­новок этого типа. Себестоимость одной установки «Флюид» в США составляла около 6 млн долл. Так что на момент начала строитель­ства «Гудри» были технологией семи­летней, а на момент окончания — десятилетней давности.Финансирование разработки новых технологий в значительной мере взяло на себя правительство США. Руководитель администрации по делам нефти г-н. Икес признал, что «с началом вой­ны и до конца 1944 г. капиталовложе­ния в производство стооктанового бензина составили 760 млн долл. Из этой суммы частные компании вложили 550 млн долл. и государство — 210 млн долл».Первоначально планировалось пустить в эксплуатацию завод №443 в Куйбышеве к 1 декабря 1944 г. (11475).</w:t>
      </w:r>
    </w:p>
    <w:p w14:paraId="1DB99A4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74604106" w14:textId="77777777" w:rsidR="00AC5101" w:rsidRPr="00D03F3E" w:rsidRDefault="00AC5101" w:rsidP="00D03F3E">
      <w:pPr>
        <w:pStyle w:val="ae"/>
        <w:shd w:val="clear" w:color="auto" w:fill="FFFFFF"/>
        <w:spacing w:before="0" w:after="0"/>
        <w:jc w:val="both"/>
        <w:rPr>
          <w:color w:val="000000" w:themeColor="text1"/>
          <w:sz w:val="16"/>
          <w:szCs w:val="16"/>
        </w:rPr>
      </w:pPr>
      <w:r w:rsidRPr="00D03F3E">
        <w:rPr>
          <w:color w:val="000000" w:themeColor="text1"/>
          <w:sz w:val="16"/>
          <w:szCs w:val="16"/>
        </w:rPr>
        <w:t>14 февраля 1943г № 459 Приказом наркома миномётного вооружения Г.И.Паршина за ранее созданным НИИ-5 сохраняются работы только по приборам времени. Эта дата и считается днём рождения НИИЧаспрома. Своё настоящее название институт получил в мае 1944 года.</w:t>
      </w:r>
    </w:p>
    <w:p w14:paraId="2BAB7BF7" w14:textId="77777777" w:rsidR="00AC5101" w:rsidRPr="00D03F3E" w:rsidRDefault="00AC5101" w:rsidP="00D03F3E">
      <w:pPr>
        <w:pStyle w:val="ae"/>
        <w:shd w:val="clear" w:color="auto" w:fill="FFFFFF"/>
        <w:spacing w:before="0" w:after="0"/>
        <w:jc w:val="both"/>
        <w:rPr>
          <w:color w:val="000000" w:themeColor="text1"/>
          <w:sz w:val="16"/>
          <w:szCs w:val="16"/>
        </w:rPr>
      </w:pPr>
      <w:r w:rsidRPr="00D03F3E">
        <w:rPr>
          <w:color w:val="000000" w:themeColor="text1"/>
          <w:sz w:val="16"/>
          <w:szCs w:val="16"/>
        </w:rPr>
        <w:t>С января 1944 года институт располагается на территории 2ЧЗ. В структуре института имелись часовой и технологический отделы, а также отделы станкостроения и стандартизации. Предусматривалось создание также физико-технической, химической и металловедческой лаборатории. К концу 1944 года в институте работало 110 чел. (12237).</w:t>
      </w:r>
    </w:p>
    <w:p w14:paraId="6CBF8513" w14:textId="77777777" w:rsidR="00AC5101" w:rsidRPr="00D03F3E" w:rsidRDefault="00AC5101" w:rsidP="00D03F3E">
      <w:pPr>
        <w:pStyle w:val="ae"/>
        <w:shd w:val="clear" w:color="auto" w:fill="FFFFFF"/>
        <w:spacing w:before="0" w:after="0"/>
        <w:jc w:val="both"/>
        <w:rPr>
          <w:color w:val="000000" w:themeColor="text1"/>
          <w:sz w:val="16"/>
          <w:szCs w:val="16"/>
        </w:rPr>
      </w:pPr>
    </w:p>
    <w:p w14:paraId="0A611BA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4A6E58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4975EC"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14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4B3D82C6"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14 февраля наши войска вели наступательные бои на прежних направлениях.</w:t>
      </w:r>
    </w:p>
    <w:p w14:paraId="11CECDEF"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Новочеркасска наши войска продолжали наступление и заняли несколько населённых пунктов. Бойцы Н-ской части выбили немцев из сильно укреплённого узла обороны и захватили 6 орудий, 17 пулемётов, 4 миномёта и много боеприпасов.</w:t>
      </w:r>
    </w:p>
    <w:p w14:paraId="45BF01CC"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Шахт наши части с боями продвигались вперёд. Захвачены трофеи, в том числе 3 паровоза, 72 вагона, 28 автомашин и 4 склада боеприпасов. Взяты пленные. Бойцы Н-ской части истребили более роты немецкой пехоты и сожгли 2 танка противника.</w:t>
      </w:r>
    </w:p>
    <w:p w14:paraId="4BB4BCE2"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Красноармейского наши части вели наступательные бои. Противник предпринял несколько контратак, но был отброшен с большими для него потерями. Только на одном участке разбит батальон немецкой моторизованной пехоты. На поле боя осталось до 400 вражеских трупов и 2 сгоревших танка.</w:t>
      </w:r>
    </w:p>
    <w:p w14:paraId="6FBF18C5"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Лозовой наши части заняли населённый пункт, в боях за который подбили и сожгли 5 немецких танков. Захвачены 3 танка, 4 орудия и автомашина с радиостанцией. На другом участке бойцы Н-ской части захватили 7 орудий, 22 автомашины, 10 тонн колючей проволоки, 19 платформ с рельсами и шпалами, 21 вагон с углём и 100 товарных вагонов с разными грузами.</w:t>
      </w:r>
    </w:p>
    <w:p w14:paraId="11262246"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Чугуева наши войска, преодолевая упорное сопротивление противника, продолжали продвигаться вперёд. Н-ская подвижная часть заняла несколько населённых пунктов. Наши бойцы истребили до батальона немцев, подбили и сожгли 29 вражеских танков. На другом участке наши подразделения овладели рядом населённых пунктов и захватили большие трофеи.</w:t>
      </w:r>
    </w:p>
    <w:p w14:paraId="7EFD8FB3"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Калининской области, подвергся нападению немецкой карательной экспедиции. Гитлеровцы, имевшие большойчисленный перевес, стремились окружить и уничтожить партизан. Советские патриоты, действуя по лесным дорогам и на лыжах, уничтожили 90 и ранили свыше100 немецких солдат и офицеров. Немецко-фашистские каратели отступили, не добившись никакого результата. Группа партизан другого отряда пустила под откос немецкий эшелон, следовавший к линии фронта. В результате крушения разбиты 2 паровоза, 8 вагонов и 8 платформ с военными грузами.</w:t>
      </w:r>
    </w:p>
    <w:p w14:paraId="607EAFAD"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Немецкое командование упорно скрывает поражение немецких войск на Северном Кавказе и по-прежнему распространяет глупые басни о якобы преднамеренном и давно задуманном «сокращении линии фронта на Кавказе». Показания немецких военнопленных разоблачают эти шитые белыми нитками увёртки немецкого командования. Захваченный в плен унтер-офицер 7 роты 93 моторизованного полка 13 немецкой танковой дивизии Гейнц Махлит рассказал: «Перед нашей дивизией была поставлена задача — занять город Орджоникидзе. Предполагалось, что там дивизия перезимует. Когда началось наступление русских, офицеры неоднократно говорили,что мы должны во что бы то ни стало отстоять позиции, чтобы весной продолжать поход на Грозный и Баку».</w:t>
      </w:r>
    </w:p>
    <w:p w14:paraId="77265E2E"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солдат 13 роты 204 полка 97 немецкой пехотной дивизии Рудольф Мютусообщил: «Наша дивизия должна была прорваться к Туапсе, захватить его и обеспечить себе зимние квартиры в этом городе. Туапсе не удалось взять. После этого было объявлено, что зимовать будем в городе Майкопе. Совершенно неожиданнодело приняло другой оборот. Русские лишили нас зимних квартир на Кавказе».</w:t>
      </w:r>
    </w:p>
    <w:p w14:paraId="15F7FEDA"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Пленный унтер-офицер 6 роты 667 полка 370 немецкой пехотной дивизии Фридрих Лобак показал: «Всё лето офицеры твердили, что в ближайшее время мы дойдём до Ирана. Однако мы застряли и не могли продвигаться дальше. Осенью дивизия получила приказ высшего командования: немедленно приступить к сооружению крепкойи надёжной обороны. Приказ был зачитан всем солдатам. В нём говорилось, что до весны мы останемся на Кавказе, что зима эта будет более благоприятна, чем зима прошлого года. Натиск русских явился для нас полной неожиданностью. Мы не думали, что русские способны наступать» (15040).</w:t>
      </w:r>
    </w:p>
    <w:p w14:paraId="65F8B9A6" w14:textId="77777777" w:rsidR="00172CEA" w:rsidRPr="00D03F3E" w:rsidRDefault="00172CEA" w:rsidP="00D03F3E">
      <w:pPr>
        <w:spacing w:after="0" w:line="240" w:lineRule="auto"/>
        <w:jc w:val="both"/>
        <w:rPr>
          <w:rFonts w:ascii="Times New Roman" w:hAnsi="Times New Roman"/>
          <w:color w:val="000000" w:themeColor="text1"/>
          <w:sz w:val="16"/>
          <w:szCs w:val="16"/>
        </w:rPr>
      </w:pPr>
    </w:p>
    <w:p w14:paraId="11F707F3"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14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4CF8A54E"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войска Южного фронта, сломив упорное сопротивление противника овладели городом Ростов-на-Дону.</w:t>
      </w:r>
    </w:p>
    <w:p w14:paraId="79EA8BBB"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после ожесточённых боёв овладели городами Ворошиловград (Украина), Красный Сулин (Ростовская область).</w:t>
      </w:r>
    </w:p>
    <w:p w14:paraId="35FF8270"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бои на прежних направлениях.</w:t>
      </w:r>
    </w:p>
    <w:p w14:paraId="263BE61F"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7 по 13 февраля включительно, в воздушных боях и на аэродромах противника уничтожено 243 немецких самолёта. Наши потери за это же время 101 самолёт.</w:t>
      </w:r>
    </w:p>
    <w:p w14:paraId="62F7E829"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период с 1 по 12 февраля нашими кораблями и авиацией в Баренцевом море потоплены шесть транспортов и один сторожевой корабль противника.</w:t>
      </w:r>
    </w:p>
    <w:p w14:paraId="5B924FE0"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февраля частями нашей авиации на различных участках фронта уничтожено или повреждено до 200 немецких автомашин с войсками и грузами, подавлен огонь 5 артиллерийских батарей, взорван. склад боеприпасов и склад горючего, разбит железнодорожный эшелон противника.</w:t>
      </w:r>
    </w:p>
    <w:p w14:paraId="170F1C32"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Лихой наши войска продолжали успешное наступление и заняли ряд населённых пунктов. В бою за один из этих населённых пунктов захвачено 2 орудия,5 миномётов, 8 противотанковых ружей и 22 пулемёта. На другом участке наши бойцы заняли шахту и два населённых пункта. Захвачены 14 автомашин, склад боеприпасов и склад продовольствия.</w:t>
      </w:r>
    </w:p>
    <w:p w14:paraId="39B95925"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Ворошиловска наши войска успешно продвигались вперёд. В боях спротивником уничтожено до батальона немецкой пехоты. Захвачены большие трофеи, которые подсчитываются.</w:t>
      </w:r>
    </w:p>
    <w:p w14:paraId="169DB603"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Красноармейского наши войска вели наступательные бои. В боях за город Красноармейское нашими частями уничтожено до 2 тысяч немецких солдат и офицеров. Захвачены большие трофеи, в том числе 20 орудий разного калибра, эшелон с 20 танками, 10 эшелонов с разным военным имуществом, 600 автомашин и несколько складов. Н-ская часть стремительным ударом выбила гитлеровцев из крупного населённого пункта. Взято в плен 200 солдат и офицеров противника.</w:t>
      </w:r>
    </w:p>
    <w:p w14:paraId="3B5C5533"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Чугуева наши войска, отражая контратаки противника, продвигались вперёд. Бойцы Н-ской части уничтожили 7 танков, и свыше роты немецкой пехоты. На другом участке гитлеровцы предприняли контратаку, пытаясь вновь овладеть одним населённым пунктом, имеющим важное значение. Советские бойцы подпустили врага на близкое расстояние, а затем открыли огонь из всех видов оружия. Оставив на поле боя до 300 трупов и 3 сгоревших танка, немцы беспорядочно отступили.</w:t>
      </w:r>
    </w:p>
    <w:p w14:paraId="603D63A3"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Фатежа наши части разгромили вражеский гарнизон, оборонявший один населённый пункт, и взяли в плен 160 немецких солдат и офицеров. Захвачены трофеи. Части Н-ского соединения продвинулись вперёд и заняли нескольк онаселённых пунктов. Отбивая контратаки противника, наши бойцы уничтожили две роты гитлеровцев и подбили 4 немецких танка.</w:t>
      </w:r>
    </w:p>
    <w:p w14:paraId="2E244373"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имени Тараса Григорьевича Шевченко, действующий в Сумскойобласти, внезапно напал на немецкий гарнизон. Партизаны истребили 93 вражескихсолдата и офицера. Захвачены трофеи: 2 пулемёта, 60 винтовок, 15 лошадей и 10 тысяч патронов. Другой отряд украинских партизан вел бой с превосходящими силами противника. Советские патриоты истребили до 100 гитлеровцев и взяли в плен 40 немецких солдат.</w:t>
      </w:r>
    </w:p>
    <w:p w14:paraId="403C6772"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станице Романовской, Ростовской области, немецко-фашистские мерзавцы подвергли советских граждан диким пыткам и истязаниям — ломали руки, выкалывал иглаза. Жители освобождённой теперь от гитлеровцев станицы рассказали о мужественном поведении советских патриотов. Когда фашистские бандиты повели на расстрел Валентина Тюхова, он крикнул во весь голос: «Да здравствует наша Советская Родина!» Советский служащий Кожанов перед, казнью крикнул в лицо палачам: «Близок час расплаты! Красная Армия отомстит вам, фашистские гады, за всё, что вы наделали на нашей земле».</w:t>
      </w:r>
    </w:p>
    <w:p w14:paraId="685963FE"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Патриоты Югославии ведут ожесточённые бои с немецко-итальянскими оккупантами. В Айдовеке партизаны разбили итальянский гарнизон и захватили 70 пленных. На участке Рисовац—Горня Сухая партизаны в трёхдневных боях истребили до 400 гитлеровцев. В районе Плитвице взорвано 6 немецких танков. У Майки и Чапле партизаны ведут бои по уничтожению окружённой группы немцев.».</w:t>
      </w:r>
    </w:p>
    <w:p w14:paraId="485DF079"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56DF2CB2"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Войска южного фронта заняли Ростов-на-Дону</w:t>
      </w:r>
    </w:p>
    <w:p w14:paraId="4AC2813B"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Южного фронта под командованием генерал-полковника тов. Малиновского Р.Я. в течение нескольких дней вели ожесточённые бои за город Ростов-на-Дону. Сегодня, 14 февраля, сломив упорное сопротивление противника, наши войскаовладели городом Ростов-на-Дону.</w:t>
      </w:r>
    </w:p>
    <w:p w14:paraId="22E482BC"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боях за Ростов отличились войска генерал-лейтенанта тов. Герасименко В.Ф. Первыми ворвались в город части подполковника тов. Ковалева, подполковника тов.Сиванкова, полковника тов. Дряхлова, майора тов. Дубровина. Обходом с западазанятию города содействовали части подполковника тов. Шапкина и майора тов. Ходос.».</w:t>
      </w:r>
    </w:p>
    <w:p w14:paraId="33783905"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 Войска юго-западного фронта заняли города Ворошиловград и Красныйсулин</w:t>
      </w:r>
    </w:p>
    <w:p w14:paraId="26303CAD"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Юго-Западного фронта под командованием генерала армии тов. Ватутина Н.Ф. после ожесточённых боёв овладели городами Ворошиловград (Украина), Красный Сулин (Ростовская область).» (15040).</w:t>
      </w:r>
    </w:p>
    <w:p w14:paraId="239473BE" w14:textId="77777777" w:rsidR="00172CEA" w:rsidRPr="00D03F3E" w:rsidRDefault="00172CEA" w:rsidP="00D03F3E">
      <w:pPr>
        <w:spacing w:after="0" w:line="240" w:lineRule="auto"/>
        <w:jc w:val="both"/>
        <w:rPr>
          <w:rFonts w:ascii="Times New Roman" w:hAnsi="Times New Roman"/>
          <w:color w:val="000000" w:themeColor="text1"/>
          <w:sz w:val="16"/>
          <w:szCs w:val="16"/>
        </w:rPr>
      </w:pPr>
    </w:p>
    <w:p w14:paraId="11291106" w14:textId="77777777" w:rsidR="00172CEA" w:rsidRPr="00D03F3E" w:rsidRDefault="00172C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14 февраля</w:t>
      </w:r>
      <w:r w:rsidRPr="00D03F3E">
        <w:rPr>
          <w:rFonts w:ascii="Times New Roman" w:hAnsi="Times New Roman"/>
          <w:color w:val="000000" w:themeColor="text1"/>
          <w:sz w:val="16"/>
          <w:szCs w:val="16"/>
        </w:rPr>
        <w:t xml:space="preserve"> в 1943 году на Волховском фронте в районе Смердыни в ходе частной операции 54-й армии в бою впервые применены самоходные артустановки СУ-122 (из состава 1433 и 1434 го САП) (15040).</w:t>
      </w:r>
    </w:p>
    <w:p w14:paraId="6F7ED437" w14:textId="77777777" w:rsidR="00172CEA" w:rsidRPr="00D03F3E" w:rsidRDefault="00172CEA" w:rsidP="00D03F3E">
      <w:pPr>
        <w:spacing w:after="0" w:line="240" w:lineRule="auto"/>
        <w:jc w:val="both"/>
        <w:rPr>
          <w:rFonts w:ascii="Times New Roman" w:hAnsi="Times New Roman"/>
          <w:color w:val="000000" w:themeColor="text1"/>
          <w:sz w:val="16"/>
          <w:szCs w:val="16"/>
        </w:rPr>
      </w:pPr>
    </w:p>
    <w:p w14:paraId="6FA035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14-15 февраля 1943 г. в частной операции 54-й армии в районе Смердыни первые полки САУ 1433 и 1434 приняли первый бой. В ходе боев (продолжавшихся 4-6 дней) полки разрушили 47 дзотов, подавили 5 минометных батарей, уничтожили 14 противотанковых орудий и от 19 до 28 автомобилей, сожгли 4 склада боеприпасов. Полностью оправдалась в первых боях и рекомендованная ОГК НКТП тактика применения самоходных орудий, состоявшая в том, что они, двигаясь на удалении 400-600 м позади атакующих танков, должны были уничтожать обнаруженные огневые точки, преимущественно огнем с места, при необходимости отражая контратаки врага, подобно обычной гаубичной артиллерии.</w:t>
      </w:r>
    </w:p>
    <w:p w14:paraId="70296D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первых фронтовых испытаниях СУ-122 приняла участие бригада Уралмашзавода во главе с Л.Горлицким. Руководил испытаниями новых боевых машин начальник ОГК НКТП С.Гинзбург. За образцовое выполнение заданий командования, Уралмашзаводу и бригаде специалистов НКТП была объявлена благодарность в приказе. Водитель-испытатель завода Болдырев, участвовавший в боевых операциях, был награжден медалью "За боевые заслуги".</w:t>
      </w:r>
    </w:p>
    <w:p w14:paraId="0049F1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работу по созданию СУ-122 заместитель главного конструктора "Уралмашзавода" (начальник Особой Конструкторской Группы САУ) Л. Горлицкий и ведущий инженер Н. Курин были награждены орденами Красной Звезды. Кроме того, оба были удостоены Сталинской премии за создание новых видов вооружения в 1942 г (4017).</w:t>
      </w:r>
    </w:p>
    <w:p w14:paraId="2FC3A5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B0269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первые самоходно-артиллерийские полки (1433 и 1434) в частной операции 54-й армии в районе Смердыни. В итоге операции (4-6 дней боев) эти два полка разрушили 47 дзотов, подавили 5 минометных батарей, уничтожили 14 противотанковых орудий, сожгли 4 склада боеприпасов. В ходе обучения и боевых действий была разработана тактика применения самоходной артиллерии, сохранившаяся затем до конца войны. Она состояла в том, что САУ, двигаясь за танками на расстоянии 400-600 м, входили в прорванную танками полосу обороны противника и уничтожали оставшиеся там вражеские танки или укрепленные точки и окончательно расчищали путь пехоте. Во время боев на Волховском фронте в некоторых операциях принимали участие заводские водители-испытатели. В частности, за успешное выполнение отдельного задания на поле боя водитель-испытатель Уралмашзавода Болдырев был награжден медалью "За боевые заслуги" (9636).</w:t>
      </w:r>
    </w:p>
    <w:p w14:paraId="23C46A7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4134E5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г. в тактической операции 54 й армии в районе Смердыни уралмашевские самоходки приняли боевое крещение. Наступающие части Волховского фронта встретили на переднем крае сильно укрепленную оборону противника. А прорвав передний край, пехота столкнулась с чрезвычайной насыщенностью оборонительной полосы инженерными сооружениями и огневыми точками. На небольшом участ ке вклинивания инженеры на считали до ста различных сооружений. Волховский фронт стал хорошим уроком для создателей боевых машин. С одной стороны, СУ 122 показали отличную проходимость, хотя и приме нялись в лесисто болотистой местности. Но и недостатки у них тоже выявились. На протяжении двух месяцев уралмашевские конструкторы Л.И.Горлицкий и А.Г.Усенко вели наблюдение за работой своих самоходок. Это дало возможность внести в их конструкцию ряд полезных новшеств. Общая конструкция са моходки значительно улучшилась, ее боевое отделение стало более удобным и лучше приспособленным для ведения боя. Одно время вместе с конструкторами и ремонтниками Уралмаша на фронте был и директор завода Б.Г.Музруков (11300).</w:t>
      </w:r>
    </w:p>
    <w:p w14:paraId="256812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A5E79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советские войска освободили Ворошиловград (Луганск) и Ростов на Дону (4962).</w:t>
      </w:r>
    </w:p>
    <w:p w14:paraId="0BB155C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34A4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February 14, 1943: German troops of Heeresgruppe Don (von Manstein) evacuate Rostov and withdraw to the old Mius line. In Tunisia, 5.Panzerarmee (von Arnim) forces the retreat of the US 2nd Corps (Fredenhall) in the battle of Kasserine Pass (3819).</w:t>
      </w:r>
    </w:p>
    <w:p w14:paraId="579DBA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90558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был освобожден Ростов (1037).</w:t>
      </w:r>
    </w:p>
    <w:p w14:paraId="3D16EC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8C5F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освободили Ростов на Дону (2070,84) и Харьков (3907,241).</w:t>
      </w:r>
    </w:p>
    <w:p w14:paraId="2B31A6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BE21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вышло Постановление ГКО № 2889 О сформировании тяжелых самоходных артиллерийских полков РГК.РГАНИР, Фонд ГКО, д. 89, лл. 178-181 (11012).</w:t>
      </w:r>
    </w:p>
    <w:p w14:paraId="5B0759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F0135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rPr>
        <w:t xml:space="preserve">14 февраля 1943 вышло Постановление ГКО № 2890 [Об установлении персональных воинских званий для интендантского, медицинского, ветеринарного, административного и юридического состава ВМФ.] </w:t>
      </w:r>
      <w:r w:rsidRPr="00D03F3E">
        <w:rPr>
          <w:rFonts w:ascii="Times New Roman" w:hAnsi="Times New Roman"/>
          <w:color w:val="000000" w:themeColor="text1"/>
          <w:sz w:val="16"/>
          <w:szCs w:val="16"/>
          <w:lang w:val="en-US"/>
        </w:rPr>
        <w:t>(7082, 182-184).</w:t>
      </w:r>
    </w:p>
    <w:p w14:paraId="6C223B8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78539FB5"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D03F3E">
        <w:rPr>
          <w:rFonts w:ascii="Times New Roman" w:hAnsi="Times New Roman"/>
          <w:i/>
          <w:iCs/>
          <w:color w:val="000000" w:themeColor="text1"/>
          <w:sz w:val="16"/>
          <w:szCs w:val="16"/>
        </w:rPr>
        <w:t>За</w:t>
      </w:r>
      <w:r w:rsidRPr="00D03F3E">
        <w:rPr>
          <w:rFonts w:ascii="Times New Roman" w:hAnsi="Times New Roman"/>
          <w:i/>
          <w:iCs/>
          <w:color w:val="000000" w:themeColor="text1"/>
          <w:sz w:val="16"/>
          <w:szCs w:val="16"/>
          <w:lang w:val="en-US"/>
        </w:rPr>
        <w:t xml:space="preserve"> </w:t>
      </w:r>
      <w:r w:rsidRPr="00D03F3E">
        <w:rPr>
          <w:rFonts w:ascii="Times New Roman" w:hAnsi="Times New Roman"/>
          <w:i/>
          <w:iCs/>
          <w:color w:val="000000" w:themeColor="text1"/>
          <w:sz w:val="16"/>
          <w:szCs w:val="16"/>
        </w:rPr>
        <w:t>рубежом</w:t>
      </w:r>
      <w:r w:rsidRPr="00D03F3E">
        <w:rPr>
          <w:rFonts w:ascii="Times New Roman" w:hAnsi="Times New Roman"/>
          <w:i/>
          <w:iCs/>
          <w:color w:val="000000" w:themeColor="text1"/>
          <w:sz w:val="16"/>
          <w:szCs w:val="16"/>
          <w:lang w:val="en-US"/>
        </w:rPr>
        <w:t>:</w:t>
      </w:r>
    </w:p>
    <w:p w14:paraId="3B22DC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31408BA9"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14 февраля 1944 происходит первое боевое действие F4U Corsair, когда 50 истребителей A6M Zero Императорского флота Японии атакуют группировку американских бомбардировщиков и истребителей их сопровождения. В ходе того, что американцы называют «резней в День святого Валентина», японцы сбили два Корсара Корпуса морской пехоты США и восемь самолетов ВВС США - два P-40 четыре P-38 и два B-24 в обмен на три потерянных (20376).</w:t>
      </w:r>
    </w:p>
    <w:p w14:paraId="143AA7F7" w14:textId="77777777" w:rsidR="00E20571" w:rsidRPr="00D03F3E" w:rsidRDefault="00E20571" w:rsidP="00D03F3E">
      <w:pPr>
        <w:spacing w:after="0" w:line="240" w:lineRule="auto"/>
        <w:jc w:val="both"/>
        <w:rPr>
          <w:rFonts w:ascii="Times New Roman" w:hAnsi="Times New Roman"/>
          <w:color w:val="0070C0"/>
          <w:sz w:val="16"/>
          <w:szCs w:val="16"/>
        </w:rPr>
      </w:pPr>
    </w:p>
    <w:p w14:paraId="4383AD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February 14 1943 Germans launch spoiling offensive against United States 2d Corps in Tunisia; Russians capture Rostov (1037).</w:t>
      </w:r>
    </w:p>
    <w:p w14:paraId="2D9468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1876C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началось наступление немецких войск против американских в Тунисе (1037).</w:t>
      </w:r>
    </w:p>
    <w:p w14:paraId="33492E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85ECAD" w14:textId="77777777" w:rsidR="005F7079" w:rsidRPr="00D03F3E" w:rsidRDefault="005F707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14 февраля</w:t>
      </w:r>
      <w:r w:rsidRPr="00D03F3E">
        <w:rPr>
          <w:rFonts w:ascii="Times New Roman" w:hAnsi="Times New Roman"/>
          <w:color w:val="000000" w:themeColor="text1"/>
          <w:sz w:val="16"/>
          <w:szCs w:val="16"/>
        </w:rPr>
        <w:t xml:space="preserve"> в 1943 году диверсионно-штурмовой отряд гауптмана фон Кёнена захватывает сильно укрепленные позиции американцев под Сиди-боу-Сидом. В результате стремительной операции захвачено в плен 700 американцев (15040).</w:t>
      </w:r>
    </w:p>
    <w:p w14:paraId="41D578B9" w14:textId="77777777" w:rsidR="005F7079" w:rsidRPr="00D03F3E" w:rsidRDefault="005F7079" w:rsidP="00D03F3E">
      <w:pPr>
        <w:spacing w:after="0" w:line="240" w:lineRule="auto"/>
        <w:jc w:val="both"/>
        <w:rPr>
          <w:rFonts w:ascii="Times New Roman" w:hAnsi="Times New Roman"/>
          <w:color w:val="000000" w:themeColor="text1"/>
          <w:sz w:val="16"/>
          <w:szCs w:val="16"/>
        </w:rPr>
      </w:pPr>
    </w:p>
    <w:p w14:paraId="35851CD0" w14:textId="77777777" w:rsidR="005F7079" w:rsidRPr="00D03F3E" w:rsidRDefault="005F707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14 февраля</w:t>
      </w:r>
      <w:r w:rsidRPr="00D03F3E">
        <w:rPr>
          <w:rFonts w:ascii="Times New Roman" w:hAnsi="Times New Roman"/>
          <w:color w:val="000000" w:themeColor="text1"/>
          <w:sz w:val="16"/>
          <w:szCs w:val="16"/>
        </w:rPr>
        <w:t xml:space="preserve"> в 1943 году (14–23 февраля) контрудар немецких войск в Южном Тунисе (в районе Макнаси). Немецким войскам удалось отбросить американские части от Кассеринского перевала (15040).</w:t>
      </w:r>
    </w:p>
    <w:p w14:paraId="4EAF159A" w14:textId="77777777" w:rsidR="005F7079" w:rsidRPr="00D03F3E" w:rsidRDefault="005F7079" w:rsidP="00D03F3E">
      <w:pPr>
        <w:spacing w:after="0" w:line="240" w:lineRule="auto"/>
        <w:jc w:val="both"/>
        <w:rPr>
          <w:rFonts w:ascii="Times New Roman" w:hAnsi="Times New Roman"/>
          <w:color w:val="000000" w:themeColor="text1"/>
          <w:sz w:val="16"/>
          <w:szCs w:val="16"/>
        </w:rPr>
      </w:pPr>
    </w:p>
    <w:p w14:paraId="2DDC9E12" w14:textId="77777777" w:rsidR="005F7079" w:rsidRPr="00D03F3E" w:rsidRDefault="005F707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14 февраля</w:t>
      </w:r>
      <w:r w:rsidRPr="00D03F3E">
        <w:rPr>
          <w:rFonts w:ascii="Times New Roman" w:hAnsi="Times New Roman"/>
          <w:color w:val="000000" w:themeColor="text1"/>
          <w:sz w:val="16"/>
          <w:szCs w:val="16"/>
        </w:rPr>
        <w:t xml:space="preserve"> в 1943 году германо-итальянские войска прорвали обороны американских частей на перевале Кассерин в Тунисе (15040).</w:t>
      </w:r>
    </w:p>
    <w:p w14:paraId="03A8EC50" w14:textId="77777777" w:rsidR="005F7079" w:rsidRPr="00D03F3E" w:rsidRDefault="005F7079" w:rsidP="00D03F3E">
      <w:pPr>
        <w:spacing w:after="0" w:line="240" w:lineRule="auto"/>
        <w:jc w:val="both"/>
        <w:rPr>
          <w:rFonts w:ascii="Times New Roman" w:hAnsi="Times New Roman"/>
          <w:color w:val="000000" w:themeColor="text1"/>
          <w:sz w:val="16"/>
          <w:szCs w:val="16"/>
        </w:rPr>
      </w:pPr>
    </w:p>
    <w:p w14:paraId="027E6F6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в Средиземном море итальянцами потоплен первый канадский корабль “Луйсбург” (4962).</w:t>
      </w:r>
    </w:p>
    <w:p w14:paraId="4783F6E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A35F13" w14:textId="77777777" w:rsidR="005F7079" w:rsidRPr="00D03F3E" w:rsidRDefault="005F707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14 февраля</w:t>
      </w:r>
      <w:r w:rsidRPr="00D03F3E">
        <w:rPr>
          <w:rFonts w:ascii="Times New Roman" w:hAnsi="Times New Roman"/>
          <w:color w:val="000000" w:themeColor="text1"/>
          <w:sz w:val="16"/>
          <w:szCs w:val="16"/>
        </w:rPr>
        <w:t xml:space="preserve"> в 1943 году заключено германо-турецкое соглашение о предоставлении Турции кредита на сумму 100 млн. рейхсмарок (15040).</w:t>
      </w:r>
    </w:p>
    <w:p w14:paraId="12832902" w14:textId="77777777" w:rsidR="005F7079" w:rsidRPr="00D03F3E" w:rsidRDefault="005F7079" w:rsidP="00D03F3E">
      <w:pPr>
        <w:spacing w:after="0" w:line="240" w:lineRule="auto"/>
        <w:jc w:val="both"/>
        <w:rPr>
          <w:rFonts w:ascii="Times New Roman" w:hAnsi="Times New Roman"/>
          <w:color w:val="000000" w:themeColor="text1"/>
          <w:sz w:val="16"/>
          <w:szCs w:val="16"/>
        </w:rPr>
      </w:pPr>
    </w:p>
    <w:p w14:paraId="4CC8E1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1943 британские и гурхские подразделения отправились из Импхалы в Бирму для выполнения диверсионного задания и операция шла до 14 апреля (3907,241).</w:t>
      </w:r>
    </w:p>
    <w:p w14:paraId="5186B3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A675D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8039C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87CF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15 февраля по 4 марта 1943 в НИИ ВВС л В.И.Хомяков, ви А.Т.Степанец и и по вооружению Л.И.Лось испытывали Як-9Т с НС-37 (65,116).</w:t>
      </w:r>
    </w:p>
    <w:p w14:paraId="2E3C0D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E063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марта 1943 по июнь 1945 на 153 строили Як-9Т и всего выпустили 2748 (65,116).</w:t>
      </w:r>
    </w:p>
    <w:p w14:paraId="4B4547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CC99A1" w14:textId="77777777" w:rsidR="007D28EE" w:rsidRPr="00D03F3E" w:rsidRDefault="007D28E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 15 февраля по 4 марта 1943 г. в НИИ ВВС продолжтились полигонные и летные ис</w:t>
      </w:r>
      <w:r w:rsidRPr="00D03F3E">
        <w:rPr>
          <w:color w:val="000000" w:themeColor="text1"/>
          <w:sz w:val="16"/>
          <w:szCs w:val="16"/>
        </w:rPr>
        <w:softHyphen/>
        <w:t>пытания Як-9т с пушкой МП-37 (моторный вариант пушки 11П), которые сначала проходили на НИП АВ ВВС с 10 января по 12 февраля. Акты по результатам испытаний глав</w:t>
      </w:r>
      <w:r w:rsidRPr="00D03F3E">
        <w:rPr>
          <w:color w:val="000000" w:themeColor="text1"/>
          <w:sz w:val="16"/>
          <w:szCs w:val="16"/>
        </w:rPr>
        <w:softHyphen/>
        <w:t>ный инженер ВВС генерал-лейтенант А. К. Репин утвердил соответственно 19 февраля и 21 марта 1943 г.</w:t>
      </w:r>
    </w:p>
    <w:p w14:paraId="332E94B9" w14:textId="77777777" w:rsidR="007D28EE" w:rsidRPr="00D03F3E" w:rsidRDefault="007D28E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 НИИ АВ самолет испытывали инженер-ка</w:t>
      </w:r>
      <w:r w:rsidRPr="00D03F3E">
        <w:rPr>
          <w:color w:val="000000" w:themeColor="text1"/>
          <w:sz w:val="16"/>
          <w:szCs w:val="16"/>
        </w:rPr>
        <w:softHyphen/>
        <w:t>питан В. М. Монич и летчик-испытатель капитан А. В. Кусакин, от НИИ ВВС — инженер-капитан А. Т. Степанец, инженер-майор Л. И. Лось и лет</w:t>
      </w:r>
      <w:r w:rsidRPr="00D03F3E">
        <w:rPr>
          <w:color w:val="000000" w:themeColor="text1"/>
          <w:sz w:val="16"/>
          <w:szCs w:val="16"/>
        </w:rPr>
        <w:softHyphen/>
        <w:t>чик-испытатель майор В. И. Хомяков.</w:t>
      </w:r>
    </w:p>
    <w:p w14:paraId="1D0C51E1" w14:textId="77777777" w:rsidR="007D28EE" w:rsidRPr="00D03F3E" w:rsidRDefault="007D28E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общей сложности по программе испытаний на Як-9т было выполнено 34 полета с суммарным на</w:t>
      </w:r>
      <w:r w:rsidRPr="00D03F3E">
        <w:rPr>
          <w:color w:val="000000" w:themeColor="text1"/>
          <w:sz w:val="16"/>
          <w:szCs w:val="16"/>
        </w:rPr>
        <w:softHyphen/>
        <w:t>летом 16 ч 21 мин, в том числе 19 полетов (6 ч) — в НИИ АВ и 15 полетов (10 ч 21 мин) — в НИИ ВВС.</w:t>
      </w:r>
    </w:p>
    <w:p w14:paraId="7CADE1F4" w14:textId="77777777" w:rsidR="007D28EE" w:rsidRPr="00D03F3E" w:rsidRDefault="007D28E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и на ЛаГГ-3, пушка МП-37 располагалась в развале блока цилиндров мотора для стрельбы через полый вал редуктора и втулку винта. Ствол выступал из кока винта на 160 мм. Установка пу</w:t>
      </w:r>
      <w:r w:rsidRPr="00D03F3E">
        <w:rPr>
          <w:color w:val="000000" w:themeColor="text1"/>
          <w:sz w:val="16"/>
          <w:szCs w:val="16"/>
        </w:rPr>
        <w:softHyphen/>
        <w:t>лемета УБС оставалась без изменений. Емкость па</w:t>
      </w:r>
      <w:r w:rsidRPr="00D03F3E">
        <w:rPr>
          <w:color w:val="000000" w:themeColor="text1"/>
          <w:sz w:val="16"/>
          <w:szCs w:val="16"/>
        </w:rPr>
        <w:softHyphen/>
        <w:t>тронных ящиков составляла: 30—32 снаряда для пушки и 200—220 патронов для пулемета. Питание пушки от рассыпной ленты из металлических зве</w:t>
      </w:r>
      <w:r w:rsidRPr="00D03F3E">
        <w:rPr>
          <w:color w:val="000000" w:themeColor="text1"/>
          <w:sz w:val="16"/>
          <w:szCs w:val="16"/>
        </w:rPr>
        <w:softHyphen/>
        <w:t>ньев. Гильзы и звенья собирались в отсеке под пуш</w:t>
      </w:r>
      <w:r w:rsidRPr="00D03F3E">
        <w:rPr>
          <w:color w:val="000000" w:themeColor="text1"/>
          <w:sz w:val="16"/>
          <w:szCs w:val="16"/>
        </w:rPr>
        <w:softHyphen/>
        <w:t>кой. Перезарядка пушки пневматическая. Управле</w:t>
      </w:r>
      <w:r w:rsidRPr="00D03F3E">
        <w:rPr>
          <w:color w:val="000000" w:themeColor="text1"/>
          <w:sz w:val="16"/>
          <w:szCs w:val="16"/>
        </w:rPr>
        <w:softHyphen/>
        <w:t>ние огнем — электропневматическое при помощи кнопки, расположенной на ручке управления. При</w:t>
      </w:r>
      <w:r w:rsidRPr="00D03F3E">
        <w:rPr>
          <w:color w:val="000000" w:themeColor="text1"/>
          <w:sz w:val="16"/>
          <w:szCs w:val="16"/>
        </w:rPr>
        <w:softHyphen/>
        <w:t>целивание при стрельбе выполнялось при помощи механического кольцевого прицела внутри каби</w:t>
      </w:r>
      <w:r w:rsidRPr="00D03F3E">
        <w:rPr>
          <w:color w:val="000000" w:themeColor="text1"/>
          <w:sz w:val="16"/>
          <w:szCs w:val="16"/>
        </w:rPr>
        <w:softHyphen/>
        <w:t>ны летчика и мушки на фюзеляже перед броне- козырьком. Для стрельбы по наземным целям на передней кромке крыла имелись метки, которые обеспечивали постоянство ввода самолета в пики</w:t>
      </w:r>
      <w:r w:rsidRPr="00D03F3E">
        <w:rPr>
          <w:color w:val="000000" w:themeColor="text1"/>
          <w:sz w:val="16"/>
          <w:szCs w:val="16"/>
        </w:rPr>
        <w:softHyphen/>
        <w:t>рование и необходимую дистанцию для открытия огня.</w:t>
      </w:r>
    </w:p>
    <w:p w14:paraId="35C236D7" w14:textId="77777777" w:rsidR="007D28EE" w:rsidRPr="00D03F3E" w:rsidRDefault="007D28E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Установка достаточно габаритной и тяжелой пушки МП-37 (вес пушки с установкой — 182,2 кг, вес боекомплекта — 52,8 кг) с большой силой от</w:t>
      </w:r>
      <w:r w:rsidRPr="00D03F3E">
        <w:rPr>
          <w:color w:val="000000" w:themeColor="text1"/>
          <w:sz w:val="16"/>
          <w:szCs w:val="16"/>
        </w:rPr>
        <w:softHyphen/>
        <w:t>дачи (по данным НИИ АВ, около 5500 кг) потребо</w:t>
      </w:r>
      <w:r w:rsidRPr="00D03F3E">
        <w:rPr>
          <w:color w:val="000000" w:themeColor="text1"/>
          <w:sz w:val="16"/>
          <w:szCs w:val="16"/>
        </w:rPr>
        <w:softHyphen/>
        <w:t>вала внесения в конструкцию Як-9т ряда серьезных изменений. Был усилен силовой каркас фюзеляжа в его передней части. Для сохранения центров</w:t>
      </w:r>
      <w:r w:rsidRPr="00D03F3E">
        <w:rPr>
          <w:color w:val="000000" w:themeColor="text1"/>
          <w:sz w:val="16"/>
          <w:szCs w:val="16"/>
        </w:rPr>
        <w:softHyphen/>
        <w:t>ки в допустимых пределах кабина летчика была сдвинута назад на 400 мм (как это было сделано на Як-7-37). Вес пустого самолета возрос до 2298 кг. Полетный вес при запасе топлива 330 кг составил 3025 кг.</w:t>
      </w:r>
    </w:p>
    <w:p w14:paraId="76BEB0D7" w14:textId="77777777" w:rsidR="007D28EE" w:rsidRPr="00D03F3E" w:rsidRDefault="007D28E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После всех доработок обзор летчику вперед- вниз, что было важно при взлете и посадке, ухуд</w:t>
      </w:r>
      <w:r w:rsidRPr="00D03F3E">
        <w:rPr>
          <w:color w:val="000000" w:themeColor="text1"/>
          <w:sz w:val="16"/>
          <w:szCs w:val="16"/>
        </w:rPr>
        <w:softHyphen/>
        <w:t>шился, но полученное при этом некоторое смеще</w:t>
      </w:r>
      <w:r w:rsidRPr="00D03F3E">
        <w:rPr>
          <w:color w:val="000000" w:themeColor="text1"/>
          <w:sz w:val="16"/>
          <w:szCs w:val="16"/>
        </w:rPr>
        <w:softHyphen/>
        <w:t>ние назад центровки уменьшило моменты инерции самолета. По сравнению с обычными «девятками» Як-9т стал менее инертным, что позволяло летчи</w:t>
      </w:r>
      <w:r w:rsidRPr="00D03F3E">
        <w:rPr>
          <w:color w:val="000000" w:themeColor="text1"/>
          <w:sz w:val="16"/>
          <w:szCs w:val="16"/>
        </w:rPr>
        <w:softHyphen/>
        <w:t>ку эффективно маневрировать в воздушном бою с противником.</w:t>
      </w:r>
    </w:p>
    <w:p w14:paraId="0C93270A" w14:textId="77777777" w:rsidR="007D28EE" w:rsidRPr="00D03F3E" w:rsidRDefault="007D28E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Максимальная скорость у земли составила 533 км/ч, на высоте 3930 м — 597 км/ч, на 5000 м — 585 км/ч. Время подъема на высоту 5000 м — 5,5 мин. Время виража на высоте 1000 м — 19 сек (ра</w:t>
      </w:r>
      <w:r w:rsidRPr="00D03F3E">
        <w:rPr>
          <w:color w:val="000000" w:themeColor="text1"/>
          <w:sz w:val="16"/>
          <w:szCs w:val="16"/>
        </w:rPr>
        <w:softHyphen/>
        <w:t>диус виража 305 м). Набор высоты за боевой разво</w:t>
      </w:r>
      <w:r w:rsidRPr="00D03F3E">
        <w:rPr>
          <w:color w:val="000000" w:themeColor="text1"/>
          <w:sz w:val="16"/>
          <w:szCs w:val="16"/>
        </w:rPr>
        <w:softHyphen/>
        <w:t>рот с высоты 1000 м не превышал 1100 м.</w:t>
      </w:r>
    </w:p>
    <w:p w14:paraId="044D52B9" w14:textId="77777777" w:rsidR="007D28EE" w:rsidRPr="00D03F3E" w:rsidRDefault="007D28E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По мнению летчиков-испытателей, Як-9т по своим летно-пилотажным данным стоял на уровне двухбачного самолета Як-9, несколько уступая ему в вертикальном маневре и намного превосходя по мощности огня При сравнении с пятиточечным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 «тан</w:t>
      </w:r>
      <w:r w:rsidRPr="00D03F3E">
        <w:rPr>
          <w:color w:val="000000" w:themeColor="text1"/>
          <w:sz w:val="16"/>
          <w:szCs w:val="16"/>
        </w:rPr>
        <w:softHyphen/>
        <w:t>ковый» Як-9т имел преимущество в горизонтальной скорости до высоты 4600 м. На высоте 4600 м ско</w:t>
      </w:r>
      <w:r w:rsidRPr="00D03F3E">
        <w:rPr>
          <w:color w:val="000000" w:themeColor="text1"/>
          <w:sz w:val="16"/>
          <w:szCs w:val="16"/>
        </w:rPr>
        <w:softHyphen/>
        <w:t xml:space="preserve">рости были одинаковыми, а выше преимущество переходило к «Мессершмитту». По горизонтальной маневренности Як-9т имел явное преимущество перед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 до высоты 5000 м за счет меньших радиуса и времени виража. На вертикальном ма</w:t>
      </w:r>
      <w:r w:rsidRPr="00D03F3E">
        <w:rPr>
          <w:color w:val="000000" w:themeColor="text1"/>
          <w:sz w:val="16"/>
          <w:szCs w:val="16"/>
        </w:rPr>
        <w:softHyphen/>
        <w:t>невре превосходство Як-9т сохранялось до высо</w:t>
      </w:r>
      <w:r w:rsidRPr="00D03F3E">
        <w:rPr>
          <w:color w:val="000000" w:themeColor="text1"/>
          <w:sz w:val="16"/>
          <w:szCs w:val="16"/>
        </w:rPr>
        <w:softHyphen/>
        <w:t xml:space="preserve">ты 3000 м, на высотах 3000—4500 м возможности самолетов были одинаковы, а выше преимущество переходило к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w:t>
      </w:r>
    </w:p>
    <w:p w14:paraId="256B3D81" w14:textId="77777777" w:rsidR="007D28EE" w:rsidRPr="00D03F3E" w:rsidRDefault="007D28E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известно, немецкий истребитель имел тя</w:t>
      </w:r>
      <w:r w:rsidRPr="00D03F3E">
        <w:rPr>
          <w:color w:val="000000" w:themeColor="text1"/>
          <w:sz w:val="16"/>
          <w:szCs w:val="16"/>
        </w:rPr>
        <w:softHyphen/>
        <w:t>желое управление и при перетягивании ручки сва</w:t>
      </w:r>
      <w:r w:rsidRPr="00D03F3E">
        <w:rPr>
          <w:color w:val="000000" w:themeColor="text1"/>
          <w:sz w:val="16"/>
          <w:szCs w:val="16"/>
        </w:rPr>
        <w:softHyphen/>
        <w:t>ливался в штопор. На пикировании он несколько уходил от Як-9т, однако на выходе из пикирова</w:t>
      </w:r>
      <w:r w:rsidRPr="00D03F3E">
        <w:rPr>
          <w:color w:val="000000" w:themeColor="text1"/>
          <w:sz w:val="16"/>
          <w:szCs w:val="16"/>
        </w:rPr>
        <w:softHyphen/>
        <w:t>ния требовал от летчика очень больших усилий, и поэтому вывод получался не энергичным, с рас</w:t>
      </w:r>
      <w:r w:rsidRPr="00D03F3E">
        <w:rPr>
          <w:color w:val="000000" w:themeColor="text1"/>
          <w:sz w:val="16"/>
          <w:szCs w:val="16"/>
        </w:rPr>
        <w:softHyphen/>
        <w:t>тянутой по времени и пространству траектори</w:t>
      </w:r>
      <w:r w:rsidRPr="00D03F3E">
        <w:rPr>
          <w:color w:val="000000" w:themeColor="text1"/>
          <w:sz w:val="16"/>
          <w:szCs w:val="16"/>
        </w:rPr>
        <w:softHyphen/>
        <w:t xml:space="preserve">ей. Эти обстоятельства позволяли летчику Як-9т уверенно атаковать «мессер» за счет упреждения на выходе из пикирования и на горке. К тому же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 имел плохой обзор задней полусферы, что повышало шансы Як-9т на победу в воздуш</w:t>
      </w:r>
      <w:r w:rsidRPr="00D03F3E">
        <w:rPr>
          <w:color w:val="000000" w:themeColor="text1"/>
          <w:sz w:val="16"/>
          <w:szCs w:val="16"/>
        </w:rPr>
        <w:softHyphen/>
        <w:t>ном бою.</w:t>
      </w:r>
    </w:p>
    <w:p w14:paraId="1E233D7B" w14:textId="77777777" w:rsidR="007D28EE" w:rsidRPr="00D03F3E" w:rsidRDefault="007D28E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Наиболее выгодными дистанциями стрель</w:t>
      </w:r>
      <w:r w:rsidRPr="00D03F3E">
        <w:rPr>
          <w:color w:val="000000" w:themeColor="text1"/>
          <w:sz w:val="16"/>
          <w:szCs w:val="16"/>
        </w:rPr>
        <w:softHyphen/>
        <w:t>бы из пушки МП-37 считались 400—100 м — при действии по истребителям и 600—500 м — по бомбардировщикам. По плотному строю бомбар</w:t>
      </w:r>
      <w:r w:rsidRPr="00D03F3E">
        <w:rPr>
          <w:color w:val="000000" w:themeColor="text1"/>
          <w:sz w:val="16"/>
          <w:szCs w:val="16"/>
        </w:rPr>
        <w:softHyphen/>
        <w:t>дировщиков допускалась стрельба с дистанции 1000—1200 м с использованием осколочно-зажига- тельных снарядов с самоликвидацией.</w:t>
      </w:r>
    </w:p>
    <w:p w14:paraId="48FA5354" w14:textId="77777777" w:rsidR="007D28EE" w:rsidRPr="00D03F3E" w:rsidRDefault="007D28E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Отмечалось, что схема вооружения Як-9т — пушка МП-37 калибра 37 мм и пулемет УБС — весьма выгодна в тактическом плане, так как одно попадание осколочно-зажигательного снаряда в самолет приводило к его полному разрушению, а наличие эффективного бронебойного снаряда позволяло наносить результативные удары по лег</w:t>
      </w:r>
      <w:r w:rsidRPr="00D03F3E">
        <w:rPr>
          <w:color w:val="000000" w:themeColor="text1"/>
          <w:sz w:val="16"/>
          <w:szCs w:val="16"/>
        </w:rPr>
        <w:softHyphen/>
        <w:t>ким и средним танкам противника. Возможность атаки танков под углом пикирования 40—50° обе</w:t>
      </w:r>
      <w:r w:rsidRPr="00D03F3E">
        <w:rPr>
          <w:color w:val="000000" w:themeColor="text1"/>
          <w:sz w:val="16"/>
          <w:szCs w:val="16"/>
        </w:rPr>
        <w:softHyphen/>
        <w:t>спечивала наилучшие условия для поражения тан</w:t>
      </w:r>
      <w:r w:rsidRPr="00D03F3E">
        <w:rPr>
          <w:color w:val="000000" w:themeColor="text1"/>
          <w:sz w:val="16"/>
          <w:szCs w:val="16"/>
        </w:rPr>
        <w:softHyphen/>
        <w:t>ков в горизонтальную броню (надмоторная броня и крыша башни) толщиной до 30 мм. При этом дис</w:t>
      </w:r>
      <w:r w:rsidRPr="00D03F3E">
        <w:rPr>
          <w:color w:val="000000" w:themeColor="text1"/>
          <w:sz w:val="16"/>
          <w:szCs w:val="16"/>
        </w:rPr>
        <w:softHyphen/>
        <w:t>танция прекращения стрельбы вполне обеспечива</w:t>
      </w:r>
      <w:r w:rsidRPr="00D03F3E">
        <w:rPr>
          <w:color w:val="000000" w:themeColor="text1"/>
          <w:sz w:val="16"/>
          <w:szCs w:val="16"/>
        </w:rPr>
        <w:softHyphen/>
        <w:t>ла безопасный вывод из пикирования.</w:t>
      </w:r>
    </w:p>
    <w:p w14:paraId="465B8778" w14:textId="77777777" w:rsidR="007D28EE" w:rsidRPr="00D03F3E" w:rsidRDefault="007D28E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Однако при стрельбе из МП-37 на скоростях менее 300—350 км/ч по прибору из-за сильной отдачи пушки самолет раскачивался. Прицельным получался только первый выстрел, а все последу</w:t>
      </w:r>
      <w:r w:rsidRPr="00D03F3E">
        <w:rPr>
          <w:color w:val="000000" w:themeColor="text1"/>
          <w:sz w:val="16"/>
          <w:szCs w:val="16"/>
        </w:rPr>
        <w:softHyphen/>
        <w:t>ющие снаряды разбрасывались. Самолет сбивался с линии прицеливания, опуская нос, что вызывало недолеты при стрельбе по наземным целям и сни</w:t>
      </w:r>
      <w:r w:rsidRPr="00D03F3E">
        <w:rPr>
          <w:color w:val="000000" w:themeColor="text1"/>
          <w:sz w:val="16"/>
          <w:szCs w:val="16"/>
        </w:rPr>
        <w:softHyphen/>
        <w:t>жение трассы — при стрельбе по воздушным це</w:t>
      </w:r>
      <w:r w:rsidRPr="00D03F3E">
        <w:rPr>
          <w:color w:val="000000" w:themeColor="text1"/>
          <w:sz w:val="16"/>
          <w:szCs w:val="16"/>
        </w:rPr>
        <w:softHyphen/>
        <w:t>лям. Для продолжения стрельбы необходимо было восстанавливать прицеливание.</w:t>
      </w:r>
    </w:p>
    <w:p w14:paraId="4068EB26" w14:textId="77777777" w:rsidR="007D28EE" w:rsidRPr="00D03F3E" w:rsidRDefault="007D28E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этом с увеличением скорости полета и уменьшением длины очереди сила отдачи пушки в меньшей степени оказывала влияние на устойчи</w:t>
      </w:r>
      <w:r w:rsidRPr="00D03F3E">
        <w:rPr>
          <w:color w:val="000000" w:themeColor="text1"/>
          <w:sz w:val="16"/>
          <w:szCs w:val="16"/>
        </w:rPr>
        <w:softHyphen/>
        <w:t>вость полета самолета.</w:t>
      </w:r>
    </w:p>
    <w:p w14:paraId="1411E181" w14:textId="77777777" w:rsidR="007D28EE" w:rsidRPr="00D03F3E" w:rsidRDefault="007D28E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Учитывая ограниченность бое</w:t>
      </w:r>
      <w:r w:rsidRPr="00D03F3E">
        <w:rPr>
          <w:color w:val="000000" w:themeColor="text1"/>
          <w:sz w:val="16"/>
          <w:szCs w:val="16"/>
        </w:rPr>
        <w:softHyphen/>
        <w:t>комплекта, стрельбу из пушки МП-37 рекомендовалось вести только ко</w:t>
      </w:r>
      <w:r w:rsidRPr="00D03F3E">
        <w:rPr>
          <w:color w:val="000000" w:themeColor="text1"/>
          <w:sz w:val="16"/>
          <w:szCs w:val="16"/>
        </w:rPr>
        <w:softHyphen/>
        <w:t>роткими очередями по 1—2, макси</w:t>
      </w:r>
      <w:r w:rsidRPr="00D03F3E">
        <w:rPr>
          <w:color w:val="000000" w:themeColor="text1"/>
          <w:sz w:val="16"/>
          <w:szCs w:val="16"/>
        </w:rPr>
        <w:softHyphen/>
        <w:t>мум 3 снаряда, при скоростях, близ</w:t>
      </w:r>
      <w:r w:rsidRPr="00D03F3E">
        <w:rPr>
          <w:color w:val="000000" w:themeColor="text1"/>
          <w:sz w:val="16"/>
          <w:szCs w:val="16"/>
        </w:rPr>
        <w:softHyphen/>
        <w:t>ких к максимальной скорости полета. В свою очередь, это условие предъ</w:t>
      </w:r>
      <w:r w:rsidRPr="00D03F3E">
        <w:rPr>
          <w:color w:val="000000" w:themeColor="text1"/>
          <w:sz w:val="16"/>
          <w:szCs w:val="16"/>
        </w:rPr>
        <w:softHyphen/>
        <w:t>являло весьма жесткие требования к уровню летной и стрелковой подго</w:t>
      </w:r>
      <w:r w:rsidRPr="00D03F3E">
        <w:rPr>
          <w:color w:val="000000" w:themeColor="text1"/>
          <w:sz w:val="16"/>
          <w:szCs w:val="16"/>
        </w:rPr>
        <w:softHyphen/>
        <w:t>товки летного состава, летающего на Як-9т. Летчик должен быть своего ро</w:t>
      </w:r>
      <w:r w:rsidRPr="00D03F3E">
        <w:rPr>
          <w:color w:val="000000" w:themeColor="text1"/>
          <w:sz w:val="16"/>
          <w:szCs w:val="16"/>
        </w:rPr>
        <w:softHyphen/>
        <w:t>да воздушным снайпером и мастер</w:t>
      </w:r>
      <w:r w:rsidRPr="00D03F3E">
        <w:rPr>
          <w:color w:val="000000" w:themeColor="text1"/>
          <w:sz w:val="16"/>
          <w:szCs w:val="16"/>
        </w:rPr>
        <w:softHyphen/>
        <w:t>ски владеть техникой пилотирования самолетом.</w:t>
      </w:r>
    </w:p>
    <w:p w14:paraId="0D04DD65" w14:textId="77777777" w:rsidR="007D28EE" w:rsidRPr="00D03F3E" w:rsidRDefault="007D28E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Обращалось внимание на необ</w:t>
      </w:r>
      <w:r w:rsidRPr="00D03F3E">
        <w:rPr>
          <w:color w:val="000000" w:themeColor="text1"/>
          <w:sz w:val="16"/>
          <w:szCs w:val="16"/>
        </w:rPr>
        <w:softHyphen/>
        <w:t>ходимость обеспечения повышенно</w:t>
      </w:r>
      <w:r w:rsidRPr="00D03F3E">
        <w:rPr>
          <w:color w:val="000000" w:themeColor="text1"/>
          <w:sz w:val="16"/>
          <w:szCs w:val="16"/>
        </w:rPr>
        <w:softHyphen/>
        <w:t>го качества производственного ис</w:t>
      </w:r>
      <w:r w:rsidRPr="00D03F3E">
        <w:rPr>
          <w:color w:val="000000" w:themeColor="text1"/>
          <w:sz w:val="16"/>
          <w:szCs w:val="16"/>
        </w:rPr>
        <w:softHyphen/>
        <w:t>полнения самолетов Як-9т с пушкой МП-37, в первую очередь — качества монтажных работ, так как большая отдача при стрельбе приводила к на</w:t>
      </w:r>
      <w:r w:rsidRPr="00D03F3E">
        <w:rPr>
          <w:color w:val="000000" w:themeColor="text1"/>
          <w:sz w:val="16"/>
          <w:szCs w:val="16"/>
        </w:rPr>
        <w:softHyphen/>
        <w:t>рушению соединений трубопроводов, появлению трещин и разрушению от</w:t>
      </w:r>
      <w:r w:rsidRPr="00D03F3E">
        <w:rPr>
          <w:color w:val="000000" w:themeColor="text1"/>
          <w:sz w:val="16"/>
          <w:szCs w:val="16"/>
        </w:rPr>
        <w:softHyphen/>
        <w:t>дельных деталей.</w:t>
      </w:r>
    </w:p>
    <w:p w14:paraId="0EAE22C4" w14:textId="77777777" w:rsidR="007D28EE" w:rsidRPr="00D03F3E" w:rsidRDefault="007D28E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Несмотря на выявленные в хо</w:t>
      </w:r>
      <w:r w:rsidRPr="00D03F3E">
        <w:rPr>
          <w:color w:val="000000" w:themeColor="text1"/>
          <w:sz w:val="16"/>
          <w:szCs w:val="16"/>
        </w:rPr>
        <w:softHyphen/>
        <w:t>де испытаний недостатки установки пушки МП-37 на самолет Як-9т, был сделан вывод, что самолет «испыта</w:t>
      </w:r>
      <w:r w:rsidRPr="00D03F3E">
        <w:rPr>
          <w:color w:val="000000" w:themeColor="text1"/>
          <w:sz w:val="16"/>
          <w:szCs w:val="16"/>
        </w:rPr>
        <w:softHyphen/>
        <w:t>ния выдержал удовлетворительно». Рекомендовалась его массовая серия.</w:t>
      </w:r>
    </w:p>
    <w:p w14:paraId="49788016" w14:textId="77777777" w:rsidR="007D28EE" w:rsidRPr="00D03F3E" w:rsidRDefault="007D28E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Отметим, что в НИИ АВ в то время изучалась эффективность стрельбы из пушки МП-37 с самолета Як-9т на дальности 1000—1200 м по наземным щитам-мишеням с изображенными на них различными самолетами в на</w:t>
      </w:r>
      <w:r w:rsidRPr="00D03F3E">
        <w:rPr>
          <w:color w:val="000000" w:themeColor="text1"/>
          <w:sz w:val="16"/>
          <w:szCs w:val="16"/>
        </w:rPr>
        <w:softHyphen/>
        <w:t>туральную величину под ракурсами 0/4—1/4.</w:t>
      </w:r>
    </w:p>
    <w:p w14:paraId="2ED69F64" w14:textId="77777777" w:rsidR="007D28EE" w:rsidRPr="00D03F3E" w:rsidRDefault="007D28E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этих условиях стрельбы лет</w:t>
      </w:r>
      <w:r w:rsidRPr="00D03F3E">
        <w:rPr>
          <w:color w:val="000000" w:themeColor="text1"/>
          <w:sz w:val="16"/>
          <w:szCs w:val="16"/>
        </w:rPr>
        <w:softHyphen/>
        <w:t>чик с отличной техникой пилотирова</w:t>
      </w:r>
      <w:r w:rsidRPr="00D03F3E">
        <w:rPr>
          <w:color w:val="000000" w:themeColor="text1"/>
          <w:sz w:val="16"/>
          <w:szCs w:val="16"/>
        </w:rPr>
        <w:softHyphen/>
        <w:t>ния и стрелковой подготовкой (майор Звонарев) имел 8% попаданий в фи</w:t>
      </w:r>
      <w:r w:rsidRPr="00D03F3E">
        <w:rPr>
          <w:color w:val="000000" w:themeColor="text1"/>
          <w:sz w:val="16"/>
          <w:szCs w:val="16"/>
        </w:rPr>
        <w:softHyphen/>
        <w:t>гуру самолета, а летчики со средней подготовкой — всего 1,7%.</w:t>
      </w:r>
    </w:p>
    <w:p w14:paraId="7AAD792B" w14:textId="77777777" w:rsidR="007D28EE" w:rsidRPr="00D03F3E" w:rsidRDefault="007D28E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На основании математической обработки данных опытов в НИИ АВ были сделаны следующие выводы Для одного попадания в бомбардировщик средних размеров (5—10 м </w:t>
      </w:r>
      <w:r w:rsidRPr="00D03F3E">
        <w:rPr>
          <w:color w:val="000000" w:themeColor="text1"/>
          <w:sz w:val="16"/>
          <w:szCs w:val="16"/>
          <w:vertAlign w:val="superscript"/>
        </w:rPr>
        <w:t>2</w:t>
      </w:r>
      <w:r w:rsidRPr="00D03F3E">
        <w:rPr>
          <w:color w:val="000000" w:themeColor="text1"/>
          <w:sz w:val="16"/>
          <w:szCs w:val="16"/>
        </w:rPr>
        <w:t xml:space="preserve"> — Ме 210, </w:t>
      </w:r>
      <w:r w:rsidRPr="00D03F3E">
        <w:rPr>
          <w:color w:val="000000" w:themeColor="text1"/>
          <w:sz w:val="16"/>
          <w:szCs w:val="16"/>
          <w:lang w:val="en-US"/>
        </w:rPr>
        <w:t>Ju</w:t>
      </w:r>
      <w:r w:rsidRPr="00D03F3E">
        <w:rPr>
          <w:color w:val="000000" w:themeColor="text1"/>
          <w:sz w:val="16"/>
          <w:szCs w:val="16"/>
        </w:rPr>
        <w:t>88</w:t>
      </w:r>
      <w:r w:rsidRPr="00D03F3E">
        <w:rPr>
          <w:color w:val="000000" w:themeColor="text1"/>
          <w:sz w:val="16"/>
          <w:szCs w:val="16"/>
          <w:lang w:val="en-US"/>
        </w:rPr>
        <w:t>A</w:t>
      </w:r>
      <w:r w:rsidRPr="00D03F3E">
        <w:rPr>
          <w:color w:val="000000" w:themeColor="text1"/>
          <w:sz w:val="16"/>
          <w:szCs w:val="16"/>
        </w:rPr>
        <w:t xml:space="preserve">, </w:t>
      </w:r>
      <w:r w:rsidRPr="00D03F3E">
        <w:rPr>
          <w:color w:val="000000" w:themeColor="text1"/>
          <w:sz w:val="16"/>
          <w:szCs w:val="16"/>
          <w:lang w:val="en-US"/>
        </w:rPr>
        <w:t>Ju</w:t>
      </w:r>
      <w:r w:rsidRPr="00D03F3E">
        <w:rPr>
          <w:color w:val="000000" w:themeColor="text1"/>
          <w:sz w:val="16"/>
          <w:szCs w:val="16"/>
        </w:rPr>
        <w:t>87</w:t>
      </w:r>
      <w:r w:rsidRPr="00D03F3E">
        <w:rPr>
          <w:color w:val="000000" w:themeColor="text1"/>
          <w:sz w:val="16"/>
          <w:szCs w:val="16"/>
          <w:lang w:val="en-US"/>
        </w:rPr>
        <w:t>B</w:t>
      </w:r>
      <w:r w:rsidRPr="00D03F3E">
        <w:rPr>
          <w:color w:val="000000" w:themeColor="text1"/>
          <w:sz w:val="16"/>
          <w:szCs w:val="16"/>
        </w:rPr>
        <w:t>), на</w:t>
      </w:r>
      <w:r w:rsidRPr="00D03F3E">
        <w:rPr>
          <w:color w:val="000000" w:themeColor="text1"/>
          <w:sz w:val="16"/>
          <w:szCs w:val="16"/>
        </w:rPr>
        <w:softHyphen/>
        <w:t>ходящийся на земле при стрельбе на дальностях 1000—1200 м и при ракурсе 0/4—1/4 квалифици</w:t>
      </w:r>
      <w:r w:rsidRPr="00D03F3E">
        <w:rPr>
          <w:color w:val="000000" w:themeColor="text1"/>
          <w:sz w:val="16"/>
          <w:szCs w:val="16"/>
        </w:rPr>
        <w:softHyphen/>
        <w:t>рованному летчику необходимо произвести около 25 выстрелов, а со средней квалификацией — око</w:t>
      </w:r>
      <w:r w:rsidRPr="00D03F3E">
        <w:rPr>
          <w:color w:val="000000" w:themeColor="text1"/>
          <w:sz w:val="16"/>
          <w:szCs w:val="16"/>
        </w:rPr>
        <w:softHyphen/>
        <w:t>ло 60 выстрелов.</w:t>
      </w:r>
    </w:p>
    <w:p w14:paraId="6C0E6F83" w14:textId="77777777" w:rsidR="007D28EE" w:rsidRPr="00D03F3E" w:rsidRDefault="007D28E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стрельбе по летящему самолету для по</w:t>
      </w:r>
      <w:r w:rsidRPr="00D03F3E">
        <w:rPr>
          <w:color w:val="000000" w:themeColor="text1"/>
          <w:sz w:val="16"/>
          <w:szCs w:val="16"/>
        </w:rPr>
        <w:softHyphen/>
        <w:t>падания в него на дальностях 1000—1200 м при ракурсе 0/4—1/4 квалифицированному летчику требуется израсходовать около 60 снарядов, а лет</w:t>
      </w:r>
      <w:r w:rsidRPr="00D03F3E">
        <w:rPr>
          <w:color w:val="000000" w:themeColor="text1"/>
          <w:sz w:val="16"/>
          <w:szCs w:val="16"/>
        </w:rPr>
        <w:softHyphen/>
        <w:t>чику со средней подготовкой — около 130 сна</w:t>
      </w:r>
      <w:r w:rsidRPr="00D03F3E">
        <w:rPr>
          <w:color w:val="000000" w:themeColor="text1"/>
          <w:sz w:val="16"/>
          <w:szCs w:val="16"/>
        </w:rPr>
        <w:softHyphen/>
        <w:t>рядов.</w:t>
      </w:r>
    </w:p>
    <w:p w14:paraId="00D8EF67" w14:textId="77777777" w:rsidR="007D28EE" w:rsidRPr="00D03F3E" w:rsidRDefault="007D28E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этим причинам для летчиков со средней стрелковой подготовкой, то есть строевых летчи</w:t>
      </w:r>
      <w:r w:rsidRPr="00D03F3E">
        <w:rPr>
          <w:color w:val="000000" w:themeColor="text1"/>
          <w:sz w:val="16"/>
          <w:szCs w:val="16"/>
        </w:rPr>
        <w:softHyphen/>
        <w:t>ков, дальностями действительного огня являются 600—400 м при стрельбе по бомбардировщику и 400—100 м — по истребителю. На этих дально</w:t>
      </w:r>
      <w:r w:rsidRPr="00D03F3E">
        <w:rPr>
          <w:color w:val="000000" w:themeColor="text1"/>
          <w:sz w:val="16"/>
          <w:szCs w:val="16"/>
        </w:rPr>
        <w:softHyphen/>
        <w:t>стях стрельбы обеспечивались вполне приемлемые вероятности попадания хотя бы одним снарядом при израсходовании одного боекомплекта в пуш</w:t>
      </w:r>
      <w:r w:rsidRPr="00D03F3E">
        <w:rPr>
          <w:color w:val="000000" w:themeColor="text1"/>
          <w:sz w:val="16"/>
          <w:szCs w:val="16"/>
        </w:rPr>
        <w:softHyphen/>
        <w:t>ке МП-37.</w:t>
      </w:r>
    </w:p>
    <w:p w14:paraId="1D64EACF" w14:textId="77777777" w:rsidR="007D28EE" w:rsidRPr="00D03F3E" w:rsidRDefault="007D28E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Ко времени окончания испытаний противо</w:t>
      </w:r>
      <w:r w:rsidRPr="00D03F3E">
        <w:rPr>
          <w:color w:val="000000" w:themeColor="text1"/>
          <w:sz w:val="16"/>
          <w:szCs w:val="16"/>
        </w:rPr>
        <w:softHyphen/>
        <w:t xml:space="preserve">танковых вариантов Як-9т и Ил-2 с пушками Ш-37 и 11П стало известно о применении противником на фронте тяжелых танков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VI</w:t>
      </w:r>
      <w:r w:rsidRPr="00D03F3E">
        <w:rPr>
          <w:color w:val="000000" w:themeColor="text1"/>
          <w:sz w:val="16"/>
          <w:szCs w:val="16"/>
        </w:rPr>
        <w:t xml:space="preserve"> «Тигр». От Главно</w:t>
      </w:r>
      <w:r w:rsidRPr="00D03F3E">
        <w:rPr>
          <w:color w:val="000000" w:themeColor="text1"/>
          <w:sz w:val="16"/>
          <w:szCs w:val="16"/>
        </w:rPr>
        <w:softHyphen/>
        <w:t>го разведывательного управления Генерального штаба Красной Армии получены сведения о по</w:t>
      </w:r>
      <w:r w:rsidRPr="00D03F3E">
        <w:rPr>
          <w:color w:val="000000" w:themeColor="text1"/>
          <w:sz w:val="16"/>
          <w:szCs w:val="16"/>
        </w:rPr>
        <w:softHyphen/>
        <w:t xml:space="preserve">ступлении на вооружение немецкой армии новых образцов бронетехники — танков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V</w:t>
      </w:r>
      <w:r w:rsidRPr="00D03F3E">
        <w:rPr>
          <w:color w:val="000000" w:themeColor="text1"/>
          <w:sz w:val="16"/>
          <w:szCs w:val="16"/>
        </w:rPr>
        <w:t xml:space="preserve"> «Пантера» и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IV</w:t>
      </w:r>
      <w:r w:rsidRPr="00D03F3E">
        <w:rPr>
          <w:color w:val="000000" w:themeColor="text1"/>
          <w:sz w:val="16"/>
          <w:szCs w:val="16"/>
        </w:rPr>
        <w:t>/</w:t>
      </w:r>
      <w:r w:rsidRPr="00D03F3E">
        <w:rPr>
          <w:color w:val="000000" w:themeColor="text1"/>
          <w:sz w:val="16"/>
          <w:szCs w:val="16"/>
          <w:lang w:val="en-US"/>
        </w:rPr>
        <w:t>H</w:t>
      </w:r>
      <w:r w:rsidRPr="00D03F3E">
        <w:rPr>
          <w:color w:val="000000" w:themeColor="text1"/>
          <w:sz w:val="16"/>
          <w:szCs w:val="16"/>
        </w:rPr>
        <w:t xml:space="preserve">, а также штурмового орудия </w:t>
      </w:r>
      <w:r w:rsidRPr="00D03F3E">
        <w:rPr>
          <w:color w:val="000000" w:themeColor="text1"/>
          <w:sz w:val="16"/>
          <w:szCs w:val="16"/>
          <w:lang w:val="en-US"/>
        </w:rPr>
        <w:t>Jgd</w:t>
      </w:r>
      <w:r w:rsidRPr="00D03F3E">
        <w:rPr>
          <w:color w:val="000000" w:themeColor="text1"/>
          <w:sz w:val="16"/>
          <w:szCs w:val="16"/>
        </w:rPr>
        <w:t xml:space="preserve"> </w:t>
      </w:r>
      <w:r w:rsidRPr="00D03F3E">
        <w:rPr>
          <w:color w:val="000000" w:themeColor="text1"/>
          <w:sz w:val="16"/>
          <w:szCs w:val="16"/>
          <w:lang w:val="en-US"/>
        </w:rPr>
        <w:t>Pz</w:t>
      </w:r>
      <w:r w:rsidRPr="00D03F3E">
        <w:rPr>
          <w:color w:val="000000" w:themeColor="text1"/>
          <w:sz w:val="16"/>
          <w:szCs w:val="16"/>
        </w:rPr>
        <w:t xml:space="preserve"> </w:t>
      </w:r>
      <w:r w:rsidRPr="00D03F3E">
        <w:rPr>
          <w:color w:val="000000" w:themeColor="text1"/>
          <w:sz w:val="16"/>
          <w:szCs w:val="16"/>
          <w:lang w:val="en-US"/>
        </w:rPr>
        <w:t>Tiger</w:t>
      </w:r>
      <w:r w:rsidRPr="00D03F3E">
        <w:rPr>
          <w:color w:val="000000" w:themeColor="text1"/>
          <w:sz w:val="16"/>
          <w:szCs w:val="16"/>
        </w:rPr>
        <w:t xml:space="preserve"> (</w:t>
      </w:r>
      <w:r w:rsidRPr="00D03F3E">
        <w:rPr>
          <w:color w:val="000000" w:themeColor="text1"/>
          <w:sz w:val="16"/>
          <w:szCs w:val="16"/>
          <w:lang w:val="en-US"/>
        </w:rPr>
        <w:t>P</w:t>
      </w:r>
      <w:r w:rsidRPr="00D03F3E">
        <w:rPr>
          <w:color w:val="000000" w:themeColor="text1"/>
          <w:sz w:val="16"/>
          <w:szCs w:val="16"/>
        </w:rPr>
        <w:t>) «Фердинанд». Все они имели усиленную бро</w:t>
      </w:r>
      <w:r w:rsidRPr="00D03F3E">
        <w:rPr>
          <w:color w:val="000000" w:themeColor="text1"/>
          <w:sz w:val="16"/>
          <w:szCs w:val="16"/>
        </w:rPr>
        <w:softHyphen/>
        <w:t>невую защиту и мощное вооружение. Массовое появление этих танков на фронте ожидалось ле</w:t>
      </w:r>
      <w:r w:rsidRPr="00D03F3E">
        <w:rPr>
          <w:color w:val="000000" w:themeColor="text1"/>
          <w:sz w:val="16"/>
          <w:szCs w:val="16"/>
        </w:rPr>
        <w:softHyphen/>
        <w:t>том 1943 г. Вопрос о резком повышении противо</w:t>
      </w:r>
      <w:r w:rsidRPr="00D03F3E">
        <w:rPr>
          <w:color w:val="000000" w:themeColor="text1"/>
          <w:sz w:val="16"/>
          <w:szCs w:val="16"/>
        </w:rPr>
        <w:softHyphen/>
        <w:t>танковых возможностей ВВС КА встал со всей остротой.</w:t>
      </w:r>
    </w:p>
    <w:p w14:paraId="4390B701" w14:textId="77777777" w:rsidR="007D28EE" w:rsidRPr="00D03F3E" w:rsidRDefault="007D28E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 учетом этого ГКО принимает решение в поль</w:t>
      </w:r>
      <w:r w:rsidRPr="00D03F3E">
        <w:rPr>
          <w:color w:val="000000" w:themeColor="text1"/>
          <w:sz w:val="16"/>
          <w:szCs w:val="16"/>
        </w:rPr>
        <w:softHyphen/>
        <w:t>зу массового производства пушки 11 П. С этими пушками серийно решили выпускать двухместный Ил-2 (завод № 30 в Москве) и «танковый» вариант истребителя Як-9т (завод № 153 в Новосибирске) (17500).</w:t>
      </w:r>
    </w:p>
    <w:p w14:paraId="21C9825C" w14:textId="77777777" w:rsidR="007D28EE" w:rsidRPr="00D03F3E" w:rsidRDefault="007D28E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A9ACF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февраля 1943 в ОКБ А.С.Я. был построен первый Як-1М с М-105ПФ (198,54).</w:t>
      </w:r>
    </w:p>
    <w:p w14:paraId="300D9D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другим данным - с М-106, а на М-105ПФ заменили в марте 1943 (1059,20).</w:t>
      </w:r>
    </w:p>
    <w:p w14:paraId="155463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8A4FFD"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15 февраля</w:t>
      </w:r>
      <w:r w:rsidRPr="00D03F3E">
        <w:rPr>
          <w:rFonts w:ascii="Times New Roman" w:hAnsi="Times New Roman"/>
          <w:color w:val="000000" w:themeColor="text1"/>
          <w:sz w:val="16"/>
          <w:szCs w:val="16"/>
        </w:rPr>
        <w:t xml:space="preserve"> в 1943 году построен первый экземпляр истребителя </w:t>
      </w:r>
      <w:hyperlink r:id="rId66" w:tgtFrame="_blank" w:history="1">
        <w:r w:rsidRPr="00D03F3E">
          <w:rPr>
            <w:rFonts w:ascii="Times New Roman" w:hAnsi="Times New Roman"/>
            <w:color w:val="000000" w:themeColor="text1"/>
            <w:sz w:val="16"/>
            <w:szCs w:val="16"/>
          </w:rPr>
          <w:t xml:space="preserve">«Як-1М» </w:t>
        </w:r>
      </w:hyperlink>
      <w:r w:rsidRPr="00D03F3E">
        <w:rPr>
          <w:rFonts w:ascii="Times New Roman" w:hAnsi="Times New Roman"/>
          <w:color w:val="000000" w:themeColor="text1"/>
          <w:sz w:val="16"/>
          <w:szCs w:val="16"/>
        </w:rPr>
        <w:t>("москит") с мотором «М-105ПФ», ОКБ Яковлева. Самолёт отличался от серийного «Як-1» прежде всего новым крылом меньшего размаха (9,2 м) и меньшей площади (14,83 м ). Применение металлических лонжеронов крыла, установка вместо четырёх бензобаков двух в крыле и одного, расходного, в фюзеляже и, таким образом, уменьшение запаса топлива, уменьшение площади хвостового оперения и другие конструктивные мероприятия уменьшили полётный вес на 230 кг. Улучшение внешних форм и туннеля водорадиатора (он стал более утоплен в фюзеляж, в связи с чем в стандартную форму «Як-1» в районе третьей рамы пришлось внести изменения для его крепления), перенос маслорадиатора в центральную часть крыла, использование индивидуальных на каждый цилиндр мотора реактивных выхлопных патрубков способствовали уменьшению аэродинамического сопротивления и увеличению максимальной скорости (15041).</w:t>
      </w:r>
    </w:p>
    <w:p w14:paraId="122B9566" w14:textId="77777777" w:rsidR="00984084" w:rsidRPr="00D03F3E" w:rsidRDefault="00984084" w:rsidP="00D03F3E">
      <w:pPr>
        <w:spacing w:after="0" w:line="240" w:lineRule="auto"/>
        <w:jc w:val="both"/>
        <w:rPr>
          <w:rFonts w:ascii="Times New Roman" w:hAnsi="Times New Roman"/>
          <w:color w:val="000000" w:themeColor="text1"/>
          <w:sz w:val="16"/>
          <w:szCs w:val="16"/>
        </w:rPr>
      </w:pPr>
    </w:p>
    <w:p w14:paraId="2D0F2087" w14:textId="77777777" w:rsidR="001966EB" w:rsidRPr="00D03F3E" w:rsidRDefault="001966E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февраля 1943 г. был построен опытный самолет Як-1M, который отличался от серийного истребителя Як-1, прежде всего, новым крылом меньшего размаха и меньшей площади. Применение металлических лонжеронов крыла, уменьшение запаса топлива, площади хвостового оперения и другие конструктивные мероприятия снизили полетный вес на 230 кг. Улучшение внешних форм и туннеля водорадиатора, перенос маслорадиатора в центральную часть крыла, использование индивидуальных на каждый цилиндр мотора реактивных выхлопных патрубков способствовали уменьшению аэродинамического сопротивления и увеличению максимальной скорости. К 4 июля 1943 г. самолет прошел заводские и государственные испытания. Разрешение на повышение наддува было получено от КБ В. Я. Климова, правда, только для первой скорости нагнетателя. С таким усеченным форсированием мощности мотора М-105ПФ Як-1М прошел 21—22 июля 1943 г. дополнительные испытания в НИИ ВВС с целью проверки возможности увеличения мощности с существующими устройствами охлаждения и снятия летных характеристик. К сожалению водо- и маслорадиаторы оказались недостаточно эффективны. Для поиска дополнительных мер по улучшению обводов и работы устройств охлаждения самолет был отправлен в ЦАГИ, где в августе 1943 г. продувался в аэродинамической трубе (19727).</w:t>
      </w:r>
    </w:p>
    <w:p w14:paraId="385FB6E8" w14:textId="77777777" w:rsidR="001966EB" w:rsidRPr="00D03F3E" w:rsidRDefault="001966EB" w:rsidP="00D03F3E">
      <w:pPr>
        <w:spacing w:after="0" w:line="240" w:lineRule="auto"/>
        <w:jc w:val="both"/>
        <w:rPr>
          <w:rFonts w:ascii="Times New Roman" w:hAnsi="Times New Roman"/>
          <w:color w:val="000000" w:themeColor="text1"/>
          <w:sz w:val="16"/>
          <w:szCs w:val="16"/>
        </w:rPr>
      </w:pPr>
    </w:p>
    <w:p w14:paraId="4AF8B0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15 февраля 1943 года в полном соответствии с постановлением ГКО и приказом наркома авиапромышленности изготовили Як-1М, но обещанный мотор так и не появился, и вместо него пришлось использовать испытанный в боях М-105ПФ. Правда, ожидать от него существенного улучшения летных данных не приходилось, и тогда А.С. Яковлев направил В.Я. Климову запрос о возможности форсирования двига- щитка основных теля путем увеличения наддува, на что глав- опор шасси ный конструктор двигателя ответил:</w:t>
      </w:r>
    </w:p>
    <w:p w14:paraId="418F97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Ваш запрос &lt;...&gt; сообщаю: на основании испытаний моторов М-106, наддув на первой скорости &lt;...&gt; М-105ПФ может быть поднят до 1100мм.</w:t>
      </w:r>
    </w:p>
    <w:p w14:paraId="3CAEC9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на второй скорости из-за свойств топлива (из-за недостаточных антидетонационных свойств бензина 4Б-78) наддув следует поставить 1050 мм с нормальным допуском.</w:t>
      </w:r>
    </w:p>
    <w:p w14:paraId="1874A0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возможности работы на разных наддувах нами спроектировано, испытано и облетано дополнительное устройство к регулятору наддува..." (12047).</w:t>
      </w:r>
    </w:p>
    <w:p w14:paraId="4D3170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Так была решена важнейшая задача на пути создания будущего Як-3 - увеличение мощности двигателя, реализованное в М-105ПФ2 (ВК-105ПФ2). Сразу следует оговориться, что инициатива Яковлева самым благоприятным образом отразилась на летных данных не только самолетов ОКБ-115, но и на истребителях С.АЛавочкина и бомбардировщиках В.М. Петлякова.- </w:t>
      </w:r>
    </w:p>
    <w:p w14:paraId="7CBD96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Сравнительные данные моторов ВК-105ПФ и ВК-105ПФ2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860B4B" w:rsidRPr="00D03F3E" w14:paraId="799E5BDA" w14:textId="77777777">
        <w:tc>
          <w:tcPr>
            <w:tcW w:w="1868" w:type="dxa"/>
            <w:tcBorders>
              <w:top w:val="single" w:sz="12" w:space="0" w:color="auto"/>
            </w:tcBorders>
          </w:tcPr>
          <w:p w14:paraId="1042FE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753873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ВК-105ПФ</w:t>
            </w:r>
          </w:p>
        </w:tc>
        <w:tc>
          <w:tcPr>
            <w:tcW w:w="1868" w:type="dxa"/>
            <w:tcBorders>
              <w:top w:val="single" w:sz="12" w:space="0" w:color="auto"/>
            </w:tcBorders>
          </w:tcPr>
          <w:p w14:paraId="11A747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ВК-105ПФ2</w:t>
            </w:r>
          </w:p>
        </w:tc>
        <w:tc>
          <w:tcPr>
            <w:tcW w:w="1868" w:type="dxa"/>
            <w:tcBorders>
              <w:top w:val="single" w:sz="12" w:space="0" w:color="auto"/>
            </w:tcBorders>
          </w:tcPr>
          <w:p w14:paraId="5977CE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М-106П</w:t>
            </w:r>
          </w:p>
        </w:tc>
        <w:tc>
          <w:tcPr>
            <w:tcW w:w="1868" w:type="dxa"/>
            <w:tcBorders>
              <w:top w:val="single" w:sz="12" w:space="0" w:color="auto"/>
            </w:tcBorders>
          </w:tcPr>
          <w:p w14:paraId="644301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ВК-107А</w:t>
            </w:r>
          </w:p>
        </w:tc>
      </w:tr>
      <w:tr w:rsidR="00860B4B" w:rsidRPr="00D03F3E" w14:paraId="316919E8" w14:textId="77777777">
        <w:tc>
          <w:tcPr>
            <w:tcW w:w="1868" w:type="dxa"/>
          </w:tcPr>
          <w:p w14:paraId="4B36A2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Взлетная мощность, л.с.</w:t>
            </w:r>
          </w:p>
        </w:tc>
        <w:tc>
          <w:tcPr>
            <w:tcW w:w="1868" w:type="dxa"/>
          </w:tcPr>
          <w:p w14:paraId="0A1035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1210</w:t>
            </w:r>
          </w:p>
        </w:tc>
        <w:tc>
          <w:tcPr>
            <w:tcW w:w="1868" w:type="dxa"/>
          </w:tcPr>
          <w:p w14:paraId="2ADFE9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1290</w:t>
            </w:r>
          </w:p>
        </w:tc>
        <w:tc>
          <w:tcPr>
            <w:tcW w:w="1868" w:type="dxa"/>
          </w:tcPr>
          <w:p w14:paraId="6B09DF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1250</w:t>
            </w:r>
          </w:p>
        </w:tc>
        <w:tc>
          <w:tcPr>
            <w:tcW w:w="1868" w:type="dxa"/>
          </w:tcPr>
          <w:p w14:paraId="74D884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1650</w:t>
            </w:r>
          </w:p>
        </w:tc>
      </w:tr>
      <w:tr w:rsidR="00860B4B" w:rsidRPr="00D03F3E" w14:paraId="45436A0F" w14:textId="77777777">
        <w:tc>
          <w:tcPr>
            <w:tcW w:w="1868" w:type="dxa"/>
          </w:tcPr>
          <w:p w14:paraId="2813AB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Высотность, м:</w:t>
            </w:r>
          </w:p>
        </w:tc>
        <w:tc>
          <w:tcPr>
            <w:tcW w:w="1868" w:type="dxa"/>
          </w:tcPr>
          <w:p w14:paraId="15AC0A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700</w:t>
            </w:r>
          </w:p>
        </w:tc>
        <w:tc>
          <w:tcPr>
            <w:tcW w:w="1868" w:type="dxa"/>
          </w:tcPr>
          <w:p w14:paraId="0429B6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w:t>
            </w:r>
          </w:p>
        </w:tc>
        <w:tc>
          <w:tcPr>
            <w:tcW w:w="1868" w:type="dxa"/>
          </w:tcPr>
          <w:p w14:paraId="4F3D9E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1200</w:t>
            </w:r>
          </w:p>
        </w:tc>
        <w:tc>
          <w:tcPr>
            <w:tcW w:w="1868" w:type="dxa"/>
          </w:tcPr>
          <w:p w14:paraId="0A06E3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2B4BA00" w14:textId="77777777">
        <w:tc>
          <w:tcPr>
            <w:tcW w:w="1868" w:type="dxa"/>
          </w:tcPr>
          <w:p w14:paraId="4648A6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1-й границе скорости нагнетателя на 2-й границе скорости нагнетателя</w:t>
            </w:r>
          </w:p>
        </w:tc>
        <w:tc>
          <w:tcPr>
            <w:tcW w:w="1868" w:type="dxa"/>
          </w:tcPr>
          <w:p w14:paraId="6C34E3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2700</w:t>
            </w:r>
          </w:p>
        </w:tc>
        <w:tc>
          <w:tcPr>
            <w:tcW w:w="1868" w:type="dxa"/>
          </w:tcPr>
          <w:p w14:paraId="440DCF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2100</w:t>
            </w:r>
          </w:p>
        </w:tc>
        <w:tc>
          <w:tcPr>
            <w:tcW w:w="1868" w:type="dxa"/>
          </w:tcPr>
          <w:p w14:paraId="60D053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2400</w:t>
            </w:r>
          </w:p>
        </w:tc>
        <w:tc>
          <w:tcPr>
            <w:tcW w:w="1868" w:type="dxa"/>
          </w:tcPr>
          <w:p w14:paraId="331A4A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3800</w:t>
            </w:r>
          </w:p>
        </w:tc>
      </w:tr>
      <w:tr w:rsidR="00860B4B" w:rsidRPr="00D03F3E" w14:paraId="6CE573B3" w14:textId="77777777">
        <w:tc>
          <w:tcPr>
            <w:tcW w:w="1868" w:type="dxa"/>
          </w:tcPr>
          <w:p w14:paraId="3A503A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Высотная номинальная мощность, л.е.:</w:t>
            </w:r>
          </w:p>
        </w:tc>
        <w:tc>
          <w:tcPr>
            <w:tcW w:w="1868" w:type="dxa"/>
          </w:tcPr>
          <w:p w14:paraId="32DF9E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1260</w:t>
            </w:r>
          </w:p>
        </w:tc>
        <w:tc>
          <w:tcPr>
            <w:tcW w:w="1868" w:type="dxa"/>
          </w:tcPr>
          <w:p w14:paraId="47BD5D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1310</w:t>
            </w:r>
          </w:p>
        </w:tc>
        <w:tc>
          <w:tcPr>
            <w:tcW w:w="1868" w:type="dxa"/>
          </w:tcPr>
          <w:p w14:paraId="46C1D9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5B572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1550</w:t>
            </w:r>
          </w:p>
        </w:tc>
      </w:tr>
      <w:tr w:rsidR="00860B4B" w:rsidRPr="00D03F3E" w14:paraId="02C08916" w14:textId="77777777">
        <w:tc>
          <w:tcPr>
            <w:tcW w:w="1868" w:type="dxa"/>
          </w:tcPr>
          <w:p w14:paraId="39949A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1-й границе скорости нагнетателя на 2-й границе скорости нагнетателя</w:t>
            </w:r>
          </w:p>
        </w:tc>
        <w:tc>
          <w:tcPr>
            <w:tcW w:w="1868" w:type="dxa"/>
          </w:tcPr>
          <w:p w14:paraId="14F63A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1180</w:t>
            </w:r>
          </w:p>
        </w:tc>
        <w:tc>
          <w:tcPr>
            <w:tcW w:w="1868" w:type="dxa"/>
          </w:tcPr>
          <w:p w14:paraId="453D31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1240</w:t>
            </w:r>
          </w:p>
        </w:tc>
        <w:tc>
          <w:tcPr>
            <w:tcW w:w="1868" w:type="dxa"/>
          </w:tcPr>
          <w:p w14:paraId="57A51B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1350</w:t>
            </w:r>
          </w:p>
        </w:tc>
        <w:tc>
          <w:tcPr>
            <w:tcW w:w="1868" w:type="dxa"/>
          </w:tcPr>
          <w:p w14:paraId="740F1C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1450</w:t>
            </w:r>
          </w:p>
        </w:tc>
      </w:tr>
      <w:tr w:rsidR="00860B4B" w:rsidRPr="00D03F3E" w14:paraId="70B3A5FF" w14:textId="77777777">
        <w:tc>
          <w:tcPr>
            <w:tcW w:w="1868" w:type="dxa"/>
          </w:tcPr>
          <w:p w14:paraId="2F57CE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Давление наддува за нагнетателем на 1 -й и 2-й скорости нагнетателя, мм рт. ст.</w:t>
            </w:r>
          </w:p>
        </w:tc>
        <w:tc>
          <w:tcPr>
            <w:tcW w:w="1868" w:type="dxa"/>
          </w:tcPr>
          <w:p w14:paraId="569470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1080</w:t>
            </w:r>
          </w:p>
        </w:tc>
        <w:tc>
          <w:tcPr>
            <w:tcW w:w="1868" w:type="dxa"/>
          </w:tcPr>
          <w:p w14:paraId="17A117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1100</w:t>
            </w:r>
          </w:p>
        </w:tc>
        <w:tc>
          <w:tcPr>
            <w:tcW w:w="1868" w:type="dxa"/>
          </w:tcPr>
          <w:p w14:paraId="1A15A5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1100</w:t>
            </w:r>
          </w:p>
        </w:tc>
        <w:tc>
          <w:tcPr>
            <w:tcW w:w="1868" w:type="dxa"/>
          </w:tcPr>
          <w:p w14:paraId="4B6805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2CBCC487" w14:textId="77777777">
        <w:tc>
          <w:tcPr>
            <w:tcW w:w="1868" w:type="dxa"/>
          </w:tcPr>
          <w:p w14:paraId="36F412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Обороты двигателя на 1-й и 2-й скорости нагнетателя, об/мин</w:t>
            </w:r>
          </w:p>
        </w:tc>
        <w:tc>
          <w:tcPr>
            <w:tcW w:w="1868" w:type="dxa"/>
          </w:tcPr>
          <w:p w14:paraId="4C7BB9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2700</w:t>
            </w:r>
          </w:p>
        </w:tc>
        <w:tc>
          <w:tcPr>
            <w:tcW w:w="1868" w:type="dxa"/>
          </w:tcPr>
          <w:p w14:paraId="418380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2700</w:t>
            </w:r>
          </w:p>
        </w:tc>
        <w:tc>
          <w:tcPr>
            <w:tcW w:w="1868" w:type="dxa"/>
          </w:tcPr>
          <w:p w14:paraId="6CEA51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744240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3200</w:t>
            </w:r>
          </w:p>
        </w:tc>
      </w:tr>
      <w:tr w:rsidR="00860B4B" w:rsidRPr="00D03F3E" w14:paraId="4A30B88B" w14:textId="77777777">
        <w:tc>
          <w:tcPr>
            <w:tcW w:w="1868" w:type="dxa"/>
          </w:tcPr>
          <w:p w14:paraId="60CC30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Сухой вес, кг</w:t>
            </w:r>
          </w:p>
        </w:tc>
        <w:tc>
          <w:tcPr>
            <w:tcW w:w="1868" w:type="dxa"/>
          </w:tcPr>
          <w:p w14:paraId="147181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600-620</w:t>
            </w:r>
          </w:p>
        </w:tc>
        <w:tc>
          <w:tcPr>
            <w:tcW w:w="1868" w:type="dxa"/>
          </w:tcPr>
          <w:p w14:paraId="61889B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0CBB6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21E29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760</w:t>
            </w:r>
          </w:p>
        </w:tc>
      </w:tr>
      <w:tr w:rsidR="00860B4B" w:rsidRPr="00D03F3E" w14:paraId="00DA8144" w14:textId="77777777">
        <w:tc>
          <w:tcPr>
            <w:tcW w:w="1868" w:type="dxa"/>
            <w:tcBorders>
              <w:bottom w:val="single" w:sz="12" w:space="0" w:color="auto"/>
            </w:tcBorders>
          </w:tcPr>
          <w:p w14:paraId="4A2494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Удельный вес, кг/л.с.</w:t>
            </w:r>
          </w:p>
        </w:tc>
        <w:tc>
          <w:tcPr>
            <w:tcW w:w="1868" w:type="dxa"/>
            <w:tcBorders>
              <w:bottom w:val="single" w:sz="12" w:space="0" w:color="auto"/>
            </w:tcBorders>
          </w:tcPr>
          <w:p w14:paraId="78590A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0,5-0,517</w:t>
            </w:r>
          </w:p>
        </w:tc>
        <w:tc>
          <w:tcPr>
            <w:tcW w:w="1868" w:type="dxa"/>
            <w:tcBorders>
              <w:bottom w:val="single" w:sz="12" w:space="0" w:color="auto"/>
            </w:tcBorders>
          </w:tcPr>
          <w:p w14:paraId="0B0274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782B51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30D1EF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0,461</w:t>
            </w:r>
          </w:p>
        </w:tc>
      </w:tr>
    </w:tbl>
    <w:p w14:paraId="599DB3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(12047).</w:t>
      </w:r>
    </w:p>
    <w:p w14:paraId="11F50B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BFB5B0" w14:textId="77777777" w:rsidR="001966EB" w:rsidRPr="00D03F3E"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15 февраля 1943 г.</w:t>
      </w:r>
    </w:p>
    <w:p w14:paraId="55A9C833" w14:textId="77777777" w:rsidR="001966EB" w:rsidRPr="00D03F3E"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Докладная записка главного конструктора завода № 477 Г.М. Бериева директору завода № 477 И.Я. Рехтману</w:t>
      </w:r>
    </w:p>
    <w:p w14:paraId="6D722D42" w14:textId="77777777" w:rsidR="001966EB" w:rsidRPr="00D03F3E"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г. Москва 15 февраля 1943 г.</w:t>
      </w:r>
    </w:p>
    <w:p w14:paraId="503F3563" w14:textId="77777777" w:rsidR="001966EB" w:rsidRPr="00D03F3E"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секретно</w:t>
      </w:r>
    </w:p>
    <w:p w14:paraId="23EFECE9" w14:textId="77777777" w:rsidR="001966EB" w:rsidRPr="00D03F3E"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Вчера, 14 февраля, я был на докладе по опытной машине в ЦК ВКП (б) у тов. Маленкова.</w:t>
      </w:r>
    </w:p>
    <w:p w14:paraId="4660673C" w14:textId="77777777" w:rsidR="001966EB" w:rsidRPr="00D03F3E"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Присутствовали тов. Шахурин, тов. Дементьев, Григорян и Будников.</w:t>
      </w:r>
    </w:p>
    <w:p w14:paraId="7B65324C" w14:textId="77777777" w:rsidR="001966EB" w:rsidRPr="00D03F3E"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Тов. Маленков подробно ознакомился с проектом машины ЛЛ-143, расспросил о ходе ее проектирования и ходе строительства, а также результатах макетной комиссии.</w:t>
      </w:r>
    </w:p>
    <w:p w14:paraId="74479514" w14:textId="77777777" w:rsidR="001966EB" w:rsidRPr="00D03F3E"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Тов. Шахурин заявил, что моторами М-71ф НКАП может обеспечить как опытные машины ЛЛ-143, так и серийные.</w:t>
      </w:r>
    </w:p>
    <w:p w14:paraId="792F09B0" w14:textId="77777777" w:rsidR="001966EB" w:rsidRPr="00D03F3E"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Тов. Маленков в результате ознакомления с проектом машины сказал, что со всеми материалами по данной машине нужно будет ознакомить лично тов. Сталина.</w:t>
      </w:r>
    </w:p>
    <w:p w14:paraId="1C9394A8" w14:textId="77777777" w:rsidR="001966EB" w:rsidRPr="00D03F3E"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В связи с создавшейся обстановкой приходится еще на некоторое время задержаться в Москве до вынесения правительственного решения по строительству машины ЛЛ-143.</w:t>
      </w:r>
    </w:p>
    <w:p w14:paraId="64BAC446" w14:textId="77777777" w:rsidR="001966EB" w:rsidRPr="00D03F3E"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На днях был у тов. Тарасевича, информировал его о положении дел. Тов. Тарасевич также просмотрел проект приказа по Наркомату, который я подготовил, и одобрил его. В проекте приказа я отразил вопросы, касающиеся подачи нам моторов М-71ф, материалов для строительства машины, перевода 20 конструкторов с зав[ода] № 31 и временном командировании с завода № 86 200 человек рабочих и ИТР, обеспечении их постельными принадлежностями и о выделении в текущем квартале 20 импортных станков.</w:t>
      </w:r>
    </w:p>
    <w:p w14:paraId="6C08AA10" w14:textId="77777777" w:rsidR="001966EB" w:rsidRPr="00D03F3E"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Объем серийной программы определяется в размере 20 машин на 1944 год. По вопросу винтов для Бе-4 были задержки в оформлении технической документации. Я ездил на завод и в ВВС ВМФ, и с обеими сторонами договорился об отсылке нам винтов. Тов. Заславский обещал выслать своего представителя на наш завод для отгонки винта на стенде и на машинах. Литаржевскому я поручил отправку винтов пассажирским поездом или багажом. На днях приехал в Москву Коломенский, по эти делам я его также информировал.</w:t>
      </w:r>
    </w:p>
    <w:p w14:paraId="23711296" w14:textId="77777777" w:rsidR="001966EB" w:rsidRPr="00D03F3E"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По рациям я договорился с ВВС ВМФ (заместителем нач[альника] тыла инженер-полковником Яхневичем), что будем мы на самолет в дальнейшем ставить сухопутные станции РСР, идущие в серию.</w:t>
      </w:r>
    </w:p>
    <w:p w14:paraId="43E2D830" w14:textId="77777777" w:rsidR="001966EB" w:rsidRPr="00D03F3E"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Он обещал прислать на завод и в Главк официальное подтверждение по данному вопросу.</w:t>
      </w:r>
    </w:p>
    <w:p w14:paraId="708C7F27" w14:textId="77777777" w:rsidR="001966EB" w:rsidRPr="00D03F3E"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Главный конструктор завода подпись2</w:t>
      </w:r>
    </w:p>
    <w:p w14:paraId="58F6F394" w14:textId="77777777" w:rsidR="001966EB" w:rsidRPr="00D03F3E"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КГКУ «ГАКК». Ф.Р-1341. Оп. 4. Д. 155. Л. 6, 6об. Подлинник. Рукопись (19799).</w:t>
      </w:r>
    </w:p>
    <w:p w14:paraId="14EB4AB6" w14:textId="77777777" w:rsidR="001966EB" w:rsidRPr="00D03F3E"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219DE8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15 февра</w:t>
      </w:r>
      <w:r w:rsidRPr="00D03F3E">
        <w:rPr>
          <w:rFonts w:ascii="Times New Roman" w:hAnsi="Times New Roman"/>
          <w:color w:val="000000" w:themeColor="text1"/>
          <w:sz w:val="16"/>
          <w:szCs w:val="16"/>
        </w:rPr>
        <w:softHyphen/>
        <w:t>ля по 15 марта 1943 года на в ВИАМ на установке «Хинан-Фруде» была проведена проверка еще 6-ти моторов М-82БП последней серии. Результаты были аналогичные. В связи с началом выпуска мотора М-82Ф с НВ, интерес к доводке АК-82БП постепенно угас. Возможно, история карбюраторного М-82 так бы и за</w:t>
      </w:r>
      <w:r w:rsidRPr="00D03F3E">
        <w:rPr>
          <w:rFonts w:ascii="Times New Roman" w:hAnsi="Times New Roman"/>
          <w:color w:val="000000" w:themeColor="text1"/>
          <w:sz w:val="16"/>
          <w:szCs w:val="16"/>
        </w:rPr>
        <w:softHyphen/>
        <w:t>кончилась, если бы о нем снова не вспомнили осенью 1943 года. В ок</w:t>
      </w:r>
      <w:r w:rsidRPr="00D03F3E">
        <w:rPr>
          <w:rFonts w:ascii="Times New Roman" w:hAnsi="Times New Roman"/>
          <w:color w:val="000000" w:themeColor="text1"/>
          <w:sz w:val="16"/>
          <w:szCs w:val="16"/>
        </w:rPr>
        <w:softHyphen/>
        <w:t>тябре Сталин поставил перед НКАП и ВВС задачу увеличить дальность по</w:t>
      </w:r>
      <w:r w:rsidRPr="00D03F3E">
        <w:rPr>
          <w:rFonts w:ascii="Times New Roman" w:hAnsi="Times New Roman"/>
          <w:color w:val="000000" w:themeColor="text1"/>
          <w:sz w:val="16"/>
          <w:szCs w:val="16"/>
        </w:rPr>
        <w:softHyphen/>
        <w:t>лета истребителей (10705).</w:t>
      </w:r>
    </w:p>
    <w:p w14:paraId="41F5314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6F92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февраля 1943 на Ер-2 2М-30Б на заводах 134 и 500 состоялся контрольный полет для опробования смененного правого мотора продолжительностью 0:40. НИИ ВВС потребовал заменить сливные краны и отказался от полетов. Испытания Пе-8 с М-30 уже закончились и было выполнено 36 полетов, в т.ч. 2 по заданию АДД (1458,11).</w:t>
      </w:r>
    </w:p>
    <w:p w14:paraId="314419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81F7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февраля 1943 на вооружение КА была принята бомба ФАБ-5000НГ профессора Н.И.Гальперина. Он вместе с изобретателем пеницилина был единственным, награжденным гос. премией в течение войны. Бомба была снаряжена взрывчаткой ТГА, включающей 50% тротила, 35% гексогена и 10% алюминиевой пудры и поэтому собирались изготовить только 48 бомб, включая 11 для испытаний (1103,116).</w:t>
      </w:r>
    </w:p>
    <w:p w14:paraId="40FE7D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16BF0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9AA9E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940D0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февраля 1943 г. из РАПОРТА ДИРЕКТОРА ЗАВОДА № 69 ИМЕНИ ЛЕНИНА А.С. КОТЛЯРА, ПАРТОРГА ЦК ВКП(б) НА ЗАВОДЕ Я.С. ГИЦЕЛЯ СЕКРЕТАРЮ НОВОСИБИРСКОГО ОБКОМА ВКП(б) М.В. КУЛАГИНУ</w:t>
      </w:r>
    </w:p>
    <w:p w14:paraId="17C3D800"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Успешно закончив производственный 1942 год, коллектив особого завода № 69 имени Ленина поставил перед собой задачу - в новом 1943 году дать фронту еще больше вооружения и еще лучшего качества, тем самым обеспечить нашей доблестной Красной Армии полную победу над проклятым гитлеризмом. С первых же дней января месяца текущего года коллектив завода еще шире развернул социалистическое соревнование на основе применения все новых и новых форм социалистического труда в условиях военного времени. В результате этого мы имеем полное выполнение взятых на себя социалистических обязательств. За работу января месяца завод имени Ленина в седьмой раз получил переходящее Красное знамя ЦК ВКП(б) в соревновании Наркомата вооружения. План января месяца заводом выполнен на 103,3 % и задание Государственного Комитета Обороны — на 124,2 %, дав комплектность 100%. В ответ на прорыв нашей доблестной Красной Армией блокады Ленинграда коллектив трудящихся немедленно встал на стахановскую вахту имени «Недели помощи Ленинграду», имея задачей в оставшиеся пять дней января дать еще больше приборов вооружения. В результате этого завод задание обкома ВКП(б) перевыполнил, дал дополнительно: приборов для тяжелых батарей на 86,2 %; для артиллерийских полков - на 61,2 %; для противотанковых батарей — на 29,2 %; для минометных батарей - на 68,8 %; для зенитных батарей - на 57,8 %. Взяв на себя обязательства к 25[-й] годовщине Красной Армии выполнить двухмесячный план ГКО, завод к 23 февраля, в день славной годовщины Красной Армии имеет выполнение по товарному выпуску на 109,9 %. Вся установленная заводу номенклатура изготовлена, предъявлена и находится на приемке у заказчика. Трудящимися завода собрано на строительство авиаэскадрильи «ЗА РОДИНУ» 850,0 тысяч рублей. Сбор средств и облигаций продолжается.</w:t>
      </w:r>
    </w:p>
    <w:p w14:paraId="4F423C6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результате развернувшегося нового движения по вкладу сверхплановой продукции в «фонд победы имени Сталина» завод на сегодняшний день насчитывает 1 000 человек вкладчиков, которые своим перевыполнением норм дали сверхплановой продукции на 500,0 тысяч рублей. </w:t>
      </w:r>
    </w:p>
    <w:p w14:paraId="3B145BC4"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особого завода № 69 имени Ленина Котляр</w:t>
      </w:r>
    </w:p>
    <w:p w14:paraId="17113CF5"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Парторг ЦК ВКП(б) секретарь парткома особого завода № 69 имени Ленина Гицель</w:t>
      </w:r>
    </w:p>
    <w:p w14:paraId="0B5C32D0"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завкома Колесников</w:t>
      </w:r>
    </w:p>
    <w:p w14:paraId="6B1604B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ГАНО. Ф. П-4. Оп. 7. Д. 531. Л. 13. Подлинник.</w:t>
      </w:r>
    </w:p>
    <w:p w14:paraId="46BEDDC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Подписи-автографы. Документ составлен на бланке завода, в левом верхнем углу штамп н дата: «15 февраля 1943 г.». Документ составлен в 4 экз. Отправлен 25 февраля 1943 г. (12193).</w:t>
      </w:r>
    </w:p>
    <w:p w14:paraId="23500A12"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509F0D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февраля 1943 г. начальник Отдела Главного Конструктора НКТП С.Гинзбург докладывал наркому о том, что "... завод № 37 начал изготовление опытного образца 76-мм самоходной штурмовой пушки С-1..." (9695).</w:t>
      </w:r>
    </w:p>
    <w:p w14:paraId="00C3EA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0682B0" w14:textId="77777777" w:rsidR="00EE3E3B" w:rsidRPr="00D03F3E" w:rsidRDefault="00EE3E3B" w:rsidP="00D03F3E">
      <w:pPr>
        <w:pStyle w:val="book"/>
        <w:ind w:firstLine="0"/>
        <w:jc w:val="both"/>
        <w:rPr>
          <w:color w:val="000000" w:themeColor="text1"/>
          <w:sz w:val="16"/>
          <w:szCs w:val="16"/>
        </w:rPr>
      </w:pPr>
      <w:r w:rsidRPr="00D03F3E">
        <w:rPr>
          <w:color w:val="000000" w:themeColor="text1"/>
          <w:sz w:val="16"/>
          <w:szCs w:val="16"/>
        </w:rPr>
        <w:t>15 февраля 1943 г. начальник Отдела Главного конструктора Наркомата тяжелого машиностроения С. Гинзбург докладывал наркому о том, что «завод № 37 начал изготовление опытного образца 76-мм самоходной штурмовой пушки С-1» (15225).</w:t>
      </w:r>
    </w:p>
    <w:p w14:paraId="4FD08144" w14:textId="77777777" w:rsidR="00EE3E3B" w:rsidRPr="00D03F3E" w:rsidRDefault="00EE3E3B" w:rsidP="00D03F3E">
      <w:pPr>
        <w:pStyle w:val="book"/>
        <w:ind w:firstLine="0"/>
        <w:jc w:val="both"/>
        <w:rPr>
          <w:color w:val="000000" w:themeColor="text1"/>
          <w:sz w:val="16"/>
          <w:szCs w:val="16"/>
        </w:rPr>
      </w:pPr>
    </w:p>
    <w:p w14:paraId="0CFBDF4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февраля 1943 г. начальник Отдела Главного конструктора Наркомата тяжелого машиностроения С. Гинзбург докладывал наркому о том, что «завод № 37 начал изготовление опытного образца 76-мм самоходной штурмовой пушки С-1», а 6 марта опытный образец новой САУ вышел на заводские испытания. Испытания проходили в окрестностях Свердловска пробегом по дорогам и снежной целине с застопоренным и расстопоренным орудием.</w:t>
      </w:r>
    </w:p>
    <w:p w14:paraId="35B25F65"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Поэтому приняли решение использовать 76,2-мм пушку С-1. Эта пушка была разработана под руководством В.Г. Грабина и предназначалась для установки в САУ От танковой пушки Ф-34 она отличалась наличием рамки с цапфами, которые вставлялись в подцапфенники лобовой брони корпуса (12687).</w:t>
      </w:r>
    </w:p>
    <w:p w14:paraId="1702780A"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54C3E3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февраля 1943 г. начальник Отдела Главного Конст</w:t>
      </w:r>
      <w:r w:rsidRPr="00D03F3E">
        <w:rPr>
          <w:rFonts w:ascii="Times New Roman" w:hAnsi="Times New Roman"/>
          <w:color w:val="000000" w:themeColor="text1"/>
          <w:sz w:val="16"/>
          <w:szCs w:val="16"/>
        </w:rPr>
        <w:softHyphen/>
        <w:t>руктора НКТП С.Гинзбург докладывал наркому о том, что «... завод № 37 начал изготовление опытного образца 76-мм самоходной штурмовой пушки С-1...». А 6 марта опытный образец новой САУ уже вышел на испытания.</w:t>
      </w:r>
    </w:p>
    <w:p w14:paraId="79E8B9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проводились в окрестностях г. Свердловска пробегом по дорогам и снежной целине с застопоренным и расстопоренным оружием. Несмотря на жестокие погод</w:t>
      </w:r>
      <w:r w:rsidRPr="00D03F3E">
        <w:rPr>
          <w:rFonts w:ascii="Times New Roman" w:hAnsi="Times New Roman"/>
          <w:color w:val="000000" w:themeColor="text1"/>
          <w:sz w:val="16"/>
          <w:szCs w:val="16"/>
        </w:rPr>
        <w:softHyphen/>
        <w:t>ные условия (днем оттепель, а ночью мороз, доходящий до 35°С), машина проявила себя хорошо, и только поломка нескольких зубьев ведущего колеса немного омрачила на</w:t>
      </w:r>
      <w:r w:rsidRPr="00D03F3E">
        <w:rPr>
          <w:rFonts w:ascii="Times New Roman" w:hAnsi="Times New Roman"/>
          <w:color w:val="000000" w:themeColor="text1"/>
          <w:sz w:val="16"/>
          <w:szCs w:val="16"/>
        </w:rPr>
        <w:softHyphen/>
        <w:t>строение танкостроителей.</w:t>
      </w:r>
    </w:p>
    <w:p w14:paraId="7024A4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не менее результаты испытаний были признаны удачными, и 21 марта 1943 г. САУ была рекомендована для принятия на вооружение под индексом СУ С-1, СУ-76(С-1), а производство СУ-76(СУ-12) остановлено.</w:t>
      </w:r>
    </w:p>
    <w:p w14:paraId="48DA03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Первые пять серийных СУ С-1 были отправлены в учебный самоходно-артиллерийский полк в пос. Клязьма 3 апреля 1943 г. Следующие — в учебный самоходно-ар-</w:t>
      </w:r>
      <w:r w:rsidRPr="00D03F3E">
        <w:rPr>
          <w:rFonts w:ascii="Times New Roman" w:hAnsi="Times New Roman"/>
          <w:color w:val="000000" w:themeColor="text1"/>
          <w:sz w:val="16"/>
          <w:szCs w:val="16"/>
        </w:rPr>
        <w:lastRenderedPageBreak/>
        <w:t>тиллерийский дивизион в пригородах Свердловска. За месяц службы машины «накатали» от 500 до 720 км и со</w:t>
      </w:r>
      <w:r w:rsidRPr="00D03F3E">
        <w:rPr>
          <w:rFonts w:ascii="Times New Roman" w:hAnsi="Times New Roman"/>
          <w:color w:val="000000" w:themeColor="text1"/>
          <w:sz w:val="16"/>
          <w:szCs w:val="16"/>
        </w:rPr>
        <w:softHyphen/>
        <w:t>действовали в обучении более 150 будущих самоходчиков.</w:t>
      </w:r>
    </w:p>
    <w:p w14:paraId="6ED1C35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Отзывы о машине были неплохими, и только трудность запуска двигателя на морозе (для быстрого запуска, по воспоминанию ветеранов, порой приходилось заливать в карбюраторы горящий бензин) отмечалась всеми техни</w:t>
      </w:r>
      <w:r w:rsidRPr="00D03F3E">
        <w:rPr>
          <w:rFonts w:ascii="Times New Roman" w:hAnsi="Times New Roman"/>
          <w:color w:val="000000" w:themeColor="text1"/>
          <w:sz w:val="16"/>
          <w:szCs w:val="16"/>
        </w:rPr>
        <w:softHyphen/>
        <w:t>ками, как «недостаток первой важности».</w:t>
      </w:r>
    </w:p>
    <w:p w14:paraId="003FCC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временем по уточненным чертежам завод начал из</w:t>
      </w:r>
      <w:r w:rsidRPr="00D03F3E">
        <w:rPr>
          <w:rFonts w:ascii="Times New Roman" w:hAnsi="Times New Roman"/>
          <w:color w:val="000000" w:themeColor="text1"/>
          <w:sz w:val="16"/>
          <w:szCs w:val="16"/>
        </w:rPr>
        <w:softHyphen/>
        <w:t>готовление «фронтовой» серии из 20 САУ, которые, впро</w:t>
      </w:r>
      <w:r w:rsidRPr="00D03F3E">
        <w:rPr>
          <w:rFonts w:ascii="Times New Roman" w:hAnsi="Times New Roman"/>
          <w:color w:val="000000" w:themeColor="text1"/>
          <w:sz w:val="16"/>
          <w:szCs w:val="16"/>
        </w:rPr>
        <w:softHyphen/>
        <w:t>чем, также частично попали в учебные подразделения. Лишь с апреля 1943 г. СУ-76(С-1) начали поступать в войска.</w:t>
      </w:r>
    </w:p>
    <w:p w14:paraId="2AA679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Первые самоходки имели «спартанский» вид, но до</w:t>
      </w:r>
      <w:r w:rsidRPr="00D03F3E">
        <w:rPr>
          <w:rFonts w:ascii="Times New Roman" w:hAnsi="Times New Roman"/>
          <w:color w:val="000000" w:themeColor="text1"/>
          <w:sz w:val="16"/>
          <w:szCs w:val="16"/>
        </w:rPr>
        <w:softHyphen/>
        <w:t>вольно хорошую внешнюю отделку. Их боевая рубка была сварена из бронеплит толщиной 35 мм в лобовой части и 20 мм или 15 мм в бортах и корме. Крыша боевой рубки вы</w:t>
      </w:r>
      <w:r w:rsidRPr="00D03F3E">
        <w:rPr>
          <w:rFonts w:ascii="Times New Roman" w:hAnsi="Times New Roman"/>
          <w:color w:val="000000" w:themeColor="text1"/>
          <w:sz w:val="16"/>
          <w:szCs w:val="16"/>
        </w:rPr>
        <w:softHyphen/>
        <w:t>краивалась из цельного листа и крепилась болтами. Это об</w:t>
      </w:r>
      <w:r w:rsidRPr="00D03F3E">
        <w:rPr>
          <w:rFonts w:ascii="Times New Roman" w:hAnsi="Times New Roman"/>
          <w:color w:val="000000" w:themeColor="text1"/>
          <w:sz w:val="16"/>
          <w:szCs w:val="16"/>
        </w:rPr>
        <w:softHyphen/>
        <w:t>легчало доступ в боевое отделение САУ для проведения ре</w:t>
      </w:r>
      <w:r w:rsidRPr="00D03F3E">
        <w:rPr>
          <w:rFonts w:ascii="Times New Roman" w:hAnsi="Times New Roman"/>
          <w:color w:val="000000" w:themeColor="text1"/>
          <w:sz w:val="16"/>
          <w:szCs w:val="16"/>
        </w:rPr>
        <w:softHyphen/>
        <w:t>монта, но после боев лета 1943 г. на многих САУ крыша бы</w:t>
      </w:r>
      <w:r w:rsidRPr="00D03F3E">
        <w:rPr>
          <w:rFonts w:ascii="Times New Roman" w:hAnsi="Times New Roman"/>
          <w:color w:val="000000" w:themeColor="text1"/>
          <w:sz w:val="16"/>
          <w:szCs w:val="16"/>
        </w:rPr>
        <w:softHyphen/>
        <w:t>ла демонтирована для улучшения вентиляции (11417).</w:t>
      </w:r>
    </w:p>
    <w:p w14:paraId="4F8805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3934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15 февраля 1943 г. на ММЗ организовали рекламационное бюро [5.93]. ММЗ к этому времени был вполне укомплектован основ</w:t>
      </w:r>
      <w:r w:rsidRPr="00D03F3E">
        <w:rPr>
          <w:rFonts w:ascii="Times New Roman" w:hAnsi="Times New Roman"/>
          <w:color w:val="000000" w:themeColor="text1"/>
          <w:sz w:val="16"/>
          <w:szCs w:val="16"/>
        </w:rPr>
        <w:softHyphen/>
        <w:t>ными кадрами (табл. 28) [5.94].</w:t>
      </w:r>
    </w:p>
    <w:p w14:paraId="1D8FB7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Благодаря столь высокой укомплектованности кадрами, на ММЗ, несмотря на интенсивную работу, удавалось ремонтиро</w:t>
      </w:r>
      <w:r w:rsidRPr="00D03F3E">
        <w:rPr>
          <w:rFonts w:ascii="Times New Roman" w:hAnsi="Times New Roman"/>
          <w:color w:val="000000" w:themeColor="text1"/>
          <w:sz w:val="16"/>
          <w:szCs w:val="16"/>
        </w:rPr>
        <w:softHyphen/>
        <w:t>вать производственные помещения, что способствовало улучше</w:t>
      </w:r>
      <w:r w:rsidRPr="00D03F3E">
        <w:rPr>
          <w:rFonts w:ascii="Times New Roman" w:hAnsi="Times New Roman"/>
          <w:color w:val="000000" w:themeColor="text1"/>
          <w:sz w:val="16"/>
          <w:szCs w:val="16"/>
        </w:rPr>
        <w:softHyphen/>
        <w:t>нию условий труда.</w:t>
      </w:r>
    </w:p>
    <w:p w14:paraId="2D7EF02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Состав кадров ММЗ, 1943 г.</w:t>
      </w:r>
    </w:p>
    <w:p w14:paraId="79D0F0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Таблица 28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784"/>
        <w:gridCol w:w="1190"/>
        <w:gridCol w:w="1200"/>
        <w:gridCol w:w="1210"/>
      </w:tblGrid>
      <w:tr w:rsidR="00860B4B" w:rsidRPr="00D03F3E" w14:paraId="5351BAF4" w14:textId="77777777">
        <w:trPr>
          <w:trHeight w:val="326"/>
        </w:trPr>
        <w:tc>
          <w:tcPr>
            <w:tcW w:w="2784" w:type="dxa"/>
            <w:tcBorders>
              <w:top w:val="single" w:sz="12" w:space="0" w:color="auto"/>
            </w:tcBorders>
          </w:tcPr>
          <w:p w14:paraId="5F9E85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8476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12" w:space="0" w:color="auto"/>
            </w:tcBorders>
          </w:tcPr>
          <w:p w14:paraId="77B520E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плановая</w:t>
            </w:r>
          </w:p>
          <w:p w14:paraId="7ABB8E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12" w:space="0" w:color="auto"/>
            </w:tcBorders>
          </w:tcPr>
          <w:p w14:paraId="084AACA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реальная</w:t>
            </w:r>
          </w:p>
          <w:p w14:paraId="33CEDE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12" w:space="0" w:color="auto"/>
            </w:tcBorders>
          </w:tcPr>
          <w:p w14:paraId="224957E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2BCE2B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941B111" w14:textId="77777777">
        <w:trPr>
          <w:trHeight w:val="682"/>
        </w:trPr>
        <w:tc>
          <w:tcPr>
            <w:tcW w:w="2784" w:type="dxa"/>
          </w:tcPr>
          <w:p w14:paraId="017DF8E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Рабочие</w:t>
            </w:r>
          </w:p>
          <w:p w14:paraId="58C1D2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Производственные рабочие</w:t>
            </w:r>
          </w:p>
          <w:p w14:paraId="1EB7BD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Ученики рабочих</w:t>
            </w:r>
          </w:p>
          <w:p w14:paraId="09F543B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213456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w:t>
            </w:r>
          </w:p>
          <w:p w14:paraId="6FEBC4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984</w:t>
            </w:r>
          </w:p>
          <w:p w14:paraId="42E387D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w:t>
            </w:r>
          </w:p>
          <w:p w14:paraId="2DE023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AC9FBE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1900</w:t>
            </w:r>
          </w:p>
          <w:p w14:paraId="01D1F9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923</w:t>
            </w:r>
          </w:p>
          <w:p w14:paraId="6F56E3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111</w:t>
            </w:r>
          </w:p>
          <w:p w14:paraId="736788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65F463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95,0</w:t>
            </w:r>
          </w:p>
          <w:p w14:paraId="6BA7121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93,8</w:t>
            </w:r>
          </w:p>
          <w:p w14:paraId="036DAD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74,0</w:t>
            </w:r>
          </w:p>
          <w:p w14:paraId="21B1B3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2AF11A4" w14:textId="77777777">
        <w:trPr>
          <w:trHeight w:val="394"/>
        </w:trPr>
        <w:tc>
          <w:tcPr>
            <w:tcW w:w="2784" w:type="dxa"/>
          </w:tcPr>
          <w:p w14:paraId="28329D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ИТР</w:t>
            </w:r>
          </w:p>
          <w:p w14:paraId="38C8D7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Служащие</w:t>
            </w:r>
          </w:p>
          <w:p w14:paraId="0C051A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3ADEFFE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p w14:paraId="180B17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p w14:paraId="7CA2D4D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DCC16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289</w:t>
            </w:r>
          </w:p>
          <w:p w14:paraId="6995351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91</w:t>
            </w:r>
          </w:p>
          <w:p w14:paraId="1C23487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109EE5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96,3</w:t>
            </w:r>
          </w:p>
          <w:p w14:paraId="3ADCFF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91,0</w:t>
            </w:r>
          </w:p>
          <w:p w14:paraId="4B51F8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1A55B74" w14:textId="77777777">
        <w:trPr>
          <w:trHeight w:val="269"/>
        </w:trPr>
        <w:tc>
          <w:tcPr>
            <w:tcW w:w="2784" w:type="dxa"/>
          </w:tcPr>
          <w:p w14:paraId="314483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Пожарные</w:t>
            </w:r>
          </w:p>
          <w:p w14:paraId="2C7534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275D375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p w14:paraId="3E20F9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215FE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w:t>
            </w:r>
          </w:p>
          <w:p w14:paraId="70C384B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17C65D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52,0</w:t>
            </w:r>
          </w:p>
          <w:p w14:paraId="2FFB2AC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E42E395" w14:textId="77777777">
        <w:trPr>
          <w:trHeight w:val="442"/>
        </w:trPr>
        <w:tc>
          <w:tcPr>
            <w:tcW w:w="2784" w:type="dxa"/>
            <w:tcBorders>
              <w:bottom w:val="single" w:sz="12" w:space="0" w:color="auto"/>
            </w:tcBorders>
          </w:tcPr>
          <w:p w14:paraId="4FB243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p w14:paraId="04CE1E0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bottom w:val="single" w:sz="12" w:space="0" w:color="auto"/>
            </w:tcBorders>
          </w:tcPr>
          <w:p w14:paraId="72638A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3559</w:t>
            </w:r>
          </w:p>
          <w:p w14:paraId="6FB5D5D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bottom w:val="single" w:sz="12" w:space="0" w:color="auto"/>
            </w:tcBorders>
          </w:tcPr>
          <w:p w14:paraId="2DD8B3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3327</w:t>
            </w:r>
          </w:p>
          <w:p w14:paraId="6D5CCAB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bottom w:val="single" w:sz="12" w:space="0" w:color="auto"/>
            </w:tcBorders>
          </w:tcPr>
          <w:p w14:paraId="1BDA6E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93,4</w:t>
            </w:r>
          </w:p>
          <w:p w14:paraId="25D3ED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721B1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(11429).</w:t>
      </w:r>
    </w:p>
    <w:p w14:paraId="62AB39C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D47D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февраля 1943 вышло распоряжение ГКО о создании в системе АН Лаборатории N 2 во главе с И.В.Курчатовым (1566,213).</w:t>
      </w:r>
    </w:p>
    <w:p w14:paraId="3BCC76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FAC9E6"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15 февраля</w:t>
      </w:r>
      <w:r w:rsidRPr="00D03F3E">
        <w:rPr>
          <w:rFonts w:ascii="Times New Roman" w:hAnsi="Times New Roman"/>
          <w:color w:val="000000" w:themeColor="text1"/>
          <w:sz w:val="16"/>
          <w:szCs w:val="16"/>
        </w:rPr>
        <w:t xml:space="preserve"> в 1943 году было принято решение ГКО о создании единого научного центра - Лаборатории №2 Академии Наук СССР в целях раскрытия путей овладения энергией деления ядер урана и возможности военного применения этой энергии. Руководителем, отвечающим за создание ядерного оружия, был назначен И.В.Курчатов (15041).</w:t>
      </w:r>
    </w:p>
    <w:p w14:paraId="09203CB2" w14:textId="77777777" w:rsidR="00EE3E3B" w:rsidRPr="00D03F3E" w:rsidRDefault="00EE3E3B" w:rsidP="00D03F3E">
      <w:pPr>
        <w:spacing w:after="0" w:line="240" w:lineRule="auto"/>
        <w:jc w:val="both"/>
        <w:rPr>
          <w:rFonts w:ascii="Times New Roman" w:hAnsi="Times New Roman"/>
          <w:color w:val="000000" w:themeColor="text1"/>
          <w:sz w:val="16"/>
          <w:szCs w:val="16"/>
        </w:rPr>
      </w:pPr>
    </w:p>
    <w:p w14:paraId="34C53E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февраля 1943 вышло Постановление ГКО № 2904 О плане ремонта боевых кораблей, вспомогательных судов и оборудования береговых установок Военно-Морского Флота в 1943 г. и в I квартале 1943 года.РГАНИР, Фонд ГКО, д. 91, лл. 5-8, 9-29 (11012).</w:t>
      </w:r>
    </w:p>
    <w:p w14:paraId="0E0412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4D5E0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2C1CEA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607799"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15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4BD91321"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15 февраля наши войска вели наступательные бои на прежних направлениях.</w:t>
      </w:r>
    </w:p>
    <w:p w14:paraId="61BFBE37"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Лихой наши войска успешно продвигались вперёд. В боях за один крупный населённый пункт части Н-ского соединения подбили и сожгли 26 немецких танков. Захвачено 9 паровозов и 150 вагонов с разными военными грузами. На другом участке наши бойцы захватили 7 орудий, 15 немецких танков, 68 автомашин,7 паровозов, 400 вагонов, склад зерна и 3 склада лесоматериалов.</w:t>
      </w:r>
    </w:p>
    <w:p w14:paraId="13F12D08"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Ворошиловска наши части с боями продвигались вперёд и заняли ряд населённых пунктов. В ожесточённых боях уничтожено 5 танков и до батальона немецкой пехоты.</w:t>
      </w:r>
    </w:p>
    <w:p w14:paraId="265958B6"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Чугуева наши войска вели упорные наступательные бои. Противник, стремясь задержать продвижение советских войск, бросает в бой свои отборные части, в том числе эсэсовские дивизии, недавно прибывшие из Франции. Наши части преодолевают сопротивление врага и наносят ему большой урон в живой силе и технике. За три дня боёв частями Н-ского соединения сожжено и подбито 62 немецких танка и уничтожено свыше 1.200 солдат и офицеров противника. На другом участке гитлеровцы бросили в контратаку 15 танков. Наши бойцы уничтожили 11 вражеских машин, а остальные 4 немецких танка быстро скрылись.</w:t>
      </w:r>
    </w:p>
    <w:p w14:paraId="4CACF890"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Золочева наши войска, продолжая наступление, овладели одним населённым пунктом. Немцы предприняли несколько контратак, пытаясь вернуть утерянный ими рубеж обороны. Бойцы Н-ской части отбили все контратаки противникаи нанесли ему большие потери.</w:t>
      </w:r>
    </w:p>
    <w:p w14:paraId="22C879DE"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Курска наши войска продолжали наступление. Части Н-ского соединения овладели крупным населённым пунктом, в бою за который уничтожили до 200 немецких солдат и офицеров. Захвачено 12 орудий, 15 автомашин и 3 тягача.</w:t>
      </w:r>
    </w:p>
    <w:p w14:paraId="7FF7ED0C"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одном из районов Ростовской области, взорвали немецкий железнодорожный эшелон с боеприпасами. В бою против немецких захватчиков партизанский отряд истребил 50 гитлеровцев и захватил 3 мотоцикла, 46 винтовок, 3 тысячи патронов, 8 повозок, 10 лошадей, свыше тысячи голов рогатого скота и большой склад с зерном. Другой отряд ростовских партизан напал на немецкий гарнизон в одном селе и истребил находившихся в нём гитлеровцев. Захвачены трофеи: 5 автоматов, 40 винтовок, 4 тысячи патронов, 65 биноклей, 80 лошадей и два склада с продовольствием.</w:t>
      </w:r>
    </w:p>
    <w:p w14:paraId="654DD66D"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освобождённом от противника хуторе Ново-Максимовском внимание наших бойцов привлекли два каменных здания с наглухо заделанными кирпичом окнами и заколоченными дверьми. Внутри этих зданий обнаружено 60 полуразложившихся трупови 16 находящихся на грани смерти красноармейцев. Как было установлено, немецко-фашистские мерзавцы, захватив в плен группу раненых красноармейцев, заживо замуровали их. Люди умирали медленной мучительной смертью. Приход Красной Армии спас оставшихся в живых красноармейцев от неминуемой гибели.» (15041).</w:t>
      </w:r>
    </w:p>
    <w:p w14:paraId="7627F12E" w14:textId="77777777" w:rsidR="00EE3E3B" w:rsidRPr="00D03F3E" w:rsidRDefault="00EE3E3B" w:rsidP="00D03F3E">
      <w:pPr>
        <w:spacing w:after="0" w:line="240" w:lineRule="auto"/>
        <w:jc w:val="both"/>
        <w:rPr>
          <w:rFonts w:ascii="Times New Roman" w:hAnsi="Times New Roman"/>
          <w:color w:val="000000" w:themeColor="text1"/>
          <w:sz w:val="16"/>
          <w:szCs w:val="16"/>
        </w:rPr>
      </w:pPr>
    </w:p>
    <w:p w14:paraId="755C6CE4"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15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75CA5857"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февраля на Украине наши войска овладели городом Краснодон, районным центром Успенка, крупной железнодорожной станцией Лутугино, железнодорожной станцией Верхне-Дуванная.</w:t>
      </w:r>
    </w:p>
    <w:p w14:paraId="6EAC0900"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Ростовской области наши войска заняли районный центр Родионово-Несветайское, крупные населённые пункты Кутейниково, Большие Салы.</w:t>
      </w:r>
    </w:p>
    <w:p w14:paraId="58E22788"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Орловской области наши войска овладели районным центром Дросково и другими населёнными пунктами.</w:t>
      </w:r>
    </w:p>
    <w:p w14:paraId="771360D9"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бои на прежних направлениях.</w:t>
      </w:r>
    </w:p>
    <w:p w14:paraId="3D7759DF"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кораблями в Баренцевом море потоплены два транспорта противника общим водоизмещением в 19 тысяч тонн.</w:t>
      </w:r>
    </w:p>
    <w:p w14:paraId="26BF8F5D"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частями нашей авиации на различных участках фронта уничтожено или повреждено до 100 автомашин с войсками и грузами, подавлен огонь 8артиллерийских батарей и взорвано 2 склада боеприпасов противника.</w:t>
      </w:r>
    </w:p>
    <w:p w14:paraId="1DEBA3FA"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Красного Сулина наши войска с боями продвигались вперёд и освободили от немецких захватчиков 30 населённых пунктов. На одном из аэродромов захвачено 2 исправных немецких самолёта. Бойцы Н-ской части истребили до батальона немецкой пехоты, уничтожили 4 танка и захватили 6 орудий, 2 миномёта и 28 автомашин с боеприпасами.</w:t>
      </w:r>
    </w:p>
    <w:p w14:paraId="73FE6258"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Ворошиловска наши войска продолжали наступление. Н-ская часть выбила противника из крупного населённого пункта и истребила 200 гитлеровцев. Захвачены трофеи, в том числе 12 орудий, 31 автомашина, склад боеприпасов и склад с вооружением.</w:t>
      </w:r>
    </w:p>
    <w:p w14:paraId="010FB07A"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Красноармейского наши войска вели упорные наступательные бои. Противник предпринял несколько контратак, которые были отбиты с большими для него потерями. Бойцы Н-ской части захватили 18 паровозов, 500 разных вагонов, 1.500 автомашин, 100 мотоциклов, продовольственный склад и другие трофеи. На другом участке пехота противника, поддержанная танками, перешла в контратаку. Артиллеристы батареи, где командиром лейтенант Костров, выкатили орудия на открытую позицию и прямой наводкой подбили 7 немецких танков и 2 бронемашины.</w:t>
      </w:r>
    </w:p>
    <w:p w14:paraId="51F1D804"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Неувядаемой славой покрыли себя гвардейцы подразделения тов. Грецуна. Захватив ряд укреплённых точек противника, они отбили несколько ожесточённых атак гитлеровцев. Тогда фашисты, контратакуя с фронта, бросили 26 танков с автоматчиками на фланг, где оборонялся взвод под командованием заместителя командира подразделения по политчасти тов. Полякова. Обстановка до крайности осложнилась, но 17 наших гвардейцев смело встретили врага. В первые же минуты боя было подожжено в немецких танков. В неравном бою семнадцать наших гвардейцев погибли, но боевую задачу выполнили с честью. Они не пропустили ни одного вражеского танка и тем дали возможность своей части развить успех и отбросить гитлеровцев.</w:t>
      </w:r>
    </w:p>
    <w:p w14:paraId="45F8E4ED"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Чугуева наши войска вели напряжённые наступательные бои. Части Н-ского соединения отбили следовавшие одна за другой три контратаки эсэсовцев. На поле боя остались сотни вражеских трупов и 6 подбитых немецких танков. На другом участке наши танкисты, разгромив колонну пехоты противника, захватили 17орудий, 100 автомашин и другие трофеи.</w:t>
      </w:r>
    </w:p>
    <w:p w14:paraId="7873245F"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Английская газета «Дейли экспресс» опубликовала следующее сообщение своего стокгольмского корреспондента: «С русского фронта снято несколько германских эсэсовских дивизий. Некоторые лица считают, что в общем снято 40 дивизий... Эти части направляются в Германию и в оккупированные страны».</w:t>
      </w:r>
    </w:p>
    <w:p w14:paraId="74474D44"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утверждение корреспондента «Дейли экспресс» прямо противоположно действительности. Советское Информбюро 31 января 1943 года сообщило, что немецкое командование в дополнение к ранее переброшенным с Запада войскам с конца ноября перебросило с Запада на советско-немецкий фронт ещё 19 пехотных и 3 танковых дивизии, в том числе 11 дивизий были переброшены из Германии и 11дивизий — из Франции, Бельгии и Норвегии. Кроме того, 9 немецких дивизий находились в пути с Запада на советско-немецкий фронт. За время, истекшее с 31 января, 6 из этих 9 немецких дивизий уже выявлены в боях на советско-немецком фронте. Вот номера и названия дивизий, прибывших из Франции на советско-немецкийфронт после 31 января сего года: 711, 335, 257 и 333 пехотные дивизии, танковые дивизии СС «Рейх» и «Адольф Гитлер». Советские войска нанесли этим немецким соединениям серьёзный урон и захватили пленных из состава всех этих дивизий.</w:t>
      </w:r>
    </w:p>
    <w:p w14:paraId="6E6C142C"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Немецкое командование, стремясь поправить свои дела на советско-немецкомфронте, вынуждено снимать из Франции и других оккупированных стран дивизии и посылать их на Восток. Газета же «Дейли экспресс», выступая с утверждениями, не имеющими ничего общего с действительностью, вольно или невольно вводит в заблуждение общественное мнение.» (15041).</w:t>
      </w:r>
    </w:p>
    <w:p w14:paraId="434EE088" w14:textId="77777777" w:rsidR="00EE3E3B" w:rsidRPr="00D03F3E" w:rsidRDefault="00EE3E3B" w:rsidP="00D03F3E">
      <w:pPr>
        <w:spacing w:after="0" w:line="240" w:lineRule="auto"/>
        <w:jc w:val="both"/>
        <w:rPr>
          <w:rFonts w:ascii="Times New Roman" w:hAnsi="Times New Roman"/>
          <w:color w:val="000000" w:themeColor="text1"/>
          <w:sz w:val="16"/>
          <w:szCs w:val="16"/>
        </w:rPr>
      </w:pPr>
    </w:p>
    <w:p w14:paraId="4408A7AF"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15 февраля</w:t>
      </w:r>
      <w:r w:rsidRPr="00D03F3E">
        <w:rPr>
          <w:rFonts w:ascii="Times New Roman" w:hAnsi="Times New Roman"/>
          <w:color w:val="000000" w:themeColor="text1"/>
          <w:sz w:val="16"/>
          <w:szCs w:val="16"/>
        </w:rPr>
        <w:t xml:space="preserve"> в 1943 году началась Демянская наступательная операция (кодовое наименование «Полярная звезда») войск Северо-Западного фронта (Маршал Советского Союза С.К.Тимошенко), продолжавшаяся до 28 февраля. Ставка ВГК создала на базе упразднённого Донского фронта Центральный. Авиация Балтийского флота нанесла бомбовые удары по транспортам и портовым сооружениям противника в Таллинне и Хельсинки (15041).</w:t>
      </w:r>
    </w:p>
    <w:p w14:paraId="1B15BC18" w14:textId="77777777" w:rsidR="00EE3E3B" w:rsidRPr="00D03F3E" w:rsidRDefault="00EE3E3B" w:rsidP="00D03F3E">
      <w:pPr>
        <w:spacing w:after="0" w:line="240" w:lineRule="auto"/>
        <w:jc w:val="both"/>
        <w:rPr>
          <w:rFonts w:ascii="Times New Roman" w:hAnsi="Times New Roman"/>
          <w:color w:val="000000" w:themeColor="text1"/>
          <w:sz w:val="16"/>
          <w:szCs w:val="16"/>
        </w:rPr>
      </w:pPr>
    </w:p>
    <w:p w14:paraId="2BDD9E31"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15 февраля</w:t>
      </w:r>
      <w:r w:rsidRPr="00D03F3E">
        <w:rPr>
          <w:rFonts w:ascii="Times New Roman" w:hAnsi="Times New Roman"/>
          <w:color w:val="000000" w:themeColor="text1"/>
          <w:sz w:val="16"/>
          <w:szCs w:val="16"/>
        </w:rPr>
        <w:t xml:space="preserve"> в 1943 году на основании постановления Государственного комитета обороны приказом по НКВД СССР были созданы войска правительственной связи. В 1991 г. Указом Президента Российской Федерации было образовано Федеральное агентство правительственной связи и информации при Президенте Российской Федерации (ФАПСИ) с возложение на него всех функций по дальнейшему развитию и совершенствованию правительственной и иных видов специальной связи (15041).</w:t>
      </w:r>
    </w:p>
    <w:p w14:paraId="700A7D7D" w14:textId="77777777" w:rsidR="00EE3E3B" w:rsidRPr="00D03F3E" w:rsidRDefault="00EE3E3B" w:rsidP="00D03F3E">
      <w:pPr>
        <w:spacing w:after="0" w:line="240" w:lineRule="auto"/>
        <w:jc w:val="both"/>
        <w:rPr>
          <w:rFonts w:ascii="Times New Roman" w:hAnsi="Times New Roman"/>
          <w:color w:val="000000" w:themeColor="text1"/>
          <w:sz w:val="16"/>
          <w:szCs w:val="16"/>
        </w:rPr>
      </w:pPr>
    </w:p>
    <w:p w14:paraId="5D7D0D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февраля 1943 из шести ШАП сформированного 9-го смешанного авиакорпуса генерала О.Толстикова только 672 ШАП имел опыт боевых действий (137,33).</w:t>
      </w:r>
    </w:p>
    <w:p w14:paraId="217754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FFDA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февраля 1943 г. вышел ПРИКАЗ № 0128 О РЕЗУЛЬТАТАХ ИНСПЕКТОРСКОЙ ПОВЕРКИ КРАСНОЯРСКОЙ ВОЗДУШНОЙ ТРАССЫ И МЕРОПРИЯТИЯХ ПО УЛУЧШЕНИЮ РАБОТЫ ТРАССЫ</w:t>
      </w:r>
    </w:p>
    <w:p w14:paraId="677DE5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Поверкой состояния восточной трассы установлено, что воздушная трасса, имея в своем составе достаточно опытный летный и технический состав, сумела в трудных условиях дальнего Севера развернуть работу и обеспечить перегонку первых партий импортных самолетов.</w:t>
      </w:r>
    </w:p>
    <w:p w14:paraId="63E1E1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ввиду слабого руководства со стороны управления трассы, допущен целый ряд серьезных недостатков, существенно снижающих качество работы:</w:t>
      </w:r>
    </w:p>
    <w:p w14:paraId="6B9ED8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Начальник воздушной трассы полковник Мазурук слабо руководит работой своего штаба, не использует должным образом своих заместителей, а последние, не умея найти в работе своего места, теряют лицо руководителей и подменяют собой командиров полков и летчиков-лидеров.</w:t>
      </w:r>
    </w:p>
    <w:p w14:paraId="47E828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Зам. начальника трассы по летной подготовке полковник Дмитриев не руководит подготовкой и тренировкой летных кадров, а с момента прибытия находится на аэродроме Якутск, занимаясь приемом и выпуском самолетов с этого аэродрома.</w:t>
      </w:r>
    </w:p>
    <w:p w14:paraId="30664B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Инспектора трассы превращены в простых инструкторов и летчиков-пе-регонщиков.</w:t>
      </w:r>
    </w:p>
    <w:p w14:paraId="5F6D61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Штаб трассы не сколочен и своей работой не обеспечивает проведение в жизнь мероприятий начальника трассы. Одна из причин аварийности — недостаточное знание матчасти и правил эксплуатации. Учеба летного и технического состава штабом не организована.</w:t>
      </w:r>
    </w:p>
    <w:p w14:paraId="025564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Инженерно-авиационная служба на трассе не организована. Руководящий инженерный состав вместо руководства всеми аэродромами трассы сидит длительное время на отдельных аэродромах, подменяя инженеров полков.</w:t>
      </w:r>
    </w:p>
    <w:p w14:paraId="20FF6B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Зам. начальника трассы по МТО подполковник Иванов работает плохо. Службу тыла не организует, в авиабазах не бывает, материально-технической обеспеченности полков не знает.</w:t>
      </w:r>
    </w:p>
    <w:p w14:paraId="01BED9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Воинская дисциплина в частях трассы на низком уровне.</w:t>
      </w:r>
    </w:p>
    <w:p w14:paraId="11BDA4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по политчасти т. Антонов, штаб и политотдел совершенно не занимаются анализом причин нарушений дисциплины. Зам. командира 5 ПАП по политчасти Скорецкий пьянствует, занимается всякого рода хозяйственной работой, а воспитательную работу в своей части не ведет.</w:t>
      </w:r>
    </w:p>
    <w:p w14:paraId="335A3B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Вопросами изучения причин аварийности и предотвращения летно-тех-нических происшествий в полках и управлении трассы занимаются неудовлетворительно. Летные происшествия своевременно не расследуются и выводы по ним летному составу не доводятся. Истинные причины происшествий не вскрываются.</w:t>
      </w:r>
    </w:p>
    <w:p w14:paraId="279FD9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улучшения работы трассы и уменьшения аварийности приказываю:</w:t>
      </w:r>
    </w:p>
    <w:p w14:paraId="3A6A8F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Ответственность и руководство участком трассы Фербенкс — (искл.) Уэлькаль и работой 1-го авиаполка возложить на начальника военной приемки полковника Мачина, подчинив его в оперативном отношении начальнику Красноярской трассы.</w:t>
      </w:r>
    </w:p>
    <w:p w14:paraId="25077D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Красноярской воздушной трассой именовать участок Уэлькаль — Красноярск.</w:t>
      </w:r>
    </w:p>
    <w:p w14:paraId="2B6452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Командировки личного состава управления Красноярской трассы в США прекратить и впредь производить только с разрешения заместителя командующего ВВС Красной Армии генерал-лейтенанта авиации т. Астахова.</w:t>
      </w:r>
    </w:p>
    <w:p w14:paraId="42BA51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Начальнику Главного управления формирования и боевой подготовки ВВС, начальнику Управления кадров ВВС для Красноярской трассы выделить:</w:t>
      </w:r>
    </w:p>
    <w:p w14:paraId="00D091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2 самолета Як-7 для летной тренировки и поверки техники пилотирования летчиков истребителей трассы;</w:t>
      </w:r>
    </w:p>
    <w:p w14:paraId="5C684D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все необходимые руководящие приказы, инструкции, наставления, формы учета и отчетности;</w:t>
      </w:r>
    </w:p>
    <w:p w14:paraId="2860E3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 одному самолету типа У-2 или Р-5 на каждый аэродром трассы;</w:t>
      </w:r>
    </w:p>
    <w:p w14:paraId="28170D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доукомплектовать личным составом части трассы согласно штатов.</w:t>
      </w:r>
    </w:p>
    <w:p w14:paraId="177EB6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Заместителю командующего ВВС Красной Армии генерал-лейтенанту авиации т. Астахову обеспечить выполнение организационных мероприятий, связанных с дополнительным оборудованием запасных аэродромов, улучшение работы инженерно-аэродромной службы, службы связи, тыла и других вопросов, изложенных в материале Инспекции,</w:t>
      </w:r>
    </w:p>
    <w:p w14:paraId="733613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Начальнику трассы полковнику Мазурук объявляю выговор и предупреждаю, если на трассе не будет в течение месяца наведен должный порядок, будете сняты с должности и снижены в военном звании.</w:t>
      </w:r>
    </w:p>
    <w:p w14:paraId="7C8408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Отстранить от занимаемых должностей, как не справившихся с выполнением возложенных на них задач:</w:t>
      </w:r>
    </w:p>
    <w:p w14:paraId="70376E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заместителя начальника трассы по летной подготовке полковника Дмитриева и назначить с понижением.</w:t>
      </w:r>
    </w:p>
    <w:p w14:paraId="19A7CE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заместителя начальника трассы по МТО подполковника Иванова и назначить с понижением.</w:t>
      </w:r>
    </w:p>
    <w:p w14:paraId="55AA9C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Снять с должности командира авиаэскадрильи 3 АП майора Подгорного за систематическую пьянку и потерю авторитета среди личного состава, назначив его с понижением в должности до командира звена и снизить в звании до капитана.</w:t>
      </w:r>
    </w:p>
    <w:p w14:paraId="0D3D39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Командира авиаэскадрильи 2 АП капитана Смелинского, разбившего по недисциплинированности два самолета — от занимаемой должности отстранить и предать суду военного трибунала.</w:t>
      </w:r>
    </w:p>
    <w:p w14:paraId="00CC54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Зам. начальника трассы т. Антонову и зам. командира по политчасти 5 ПАП тов. СкорецкомуА. за плохое и недобросовестное выполнение своих служебных обязанностей объявляю выговор.</w:t>
      </w:r>
    </w:p>
    <w:p w14:paraId="39E20D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Назначить заместителем начальника трассы по МТО подполковника Гончарова Д. Д.</w:t>
      </w:r>
    </w:p>
    <w:p w14:paraId="302D54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 объявить личному составу трассы до командира эскадрильи включительно.</w:t>
      </w:r>
    </w:p>
    <w:p w14:paraId="560F85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Зам. Народного комиссара обороны генерал-полковник авиации НОВИКОВ </w:t>
      </w:r>
      <w:r w:rsidRPr="00D03F3E">
        <w:rPr>
          <w:rFonts w:ascii="Times New Roman" w:hAnsi="Times New Roman"/>
          <w:color w:val="000000" w:themeColor="text1"/>
          <w:sz w:val="16"/>
          <w:szCs w:val="16"/>
        </w:rPr>
        <w:t>(9844).</w:t>
      </w:r>
    </w:p>
    <w:p w14:paraId="2C8AC2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5A91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февраля 1943 СЗФ (С.К.Тимошенко) начал Демянскую операцию (Полярная звезда). В ходе боев, завершившихся 28 февраля 1943 ликвидировали Демянский плацдарм, занимаемый 16А (3398,75).</w:t>
      </w:r>
    </w:p>
    <w:p w14:paraId="47985F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92DA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15 февраля 1943 на ВМФ ввели погоны (2989).</w:t>
      </w:r>
    </w:p>
    <w:p w14:paraId="0BCBC5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6F5F27"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15 февраля</w:t>
      </w:r>
      <w:r w:rsidRPr="00D03F3E">
        <w:rPr>
          <w:rFonts w:ascii="Times New Roman" w:hAnsi="Times New Roman"/>
          <w:color w:val="000000" w:themeColor="text1"/>
          <w:sz w:val="16"/>
          <w:szCs w:val="16"/>
        </w:rPr>
        <w:t xml:space="preserve"> в 1943 году в составе войск вермахта на Восточном фронте насчитывается 136,6 тысяч «хиви» - добровольных помошников (в том числе 102,7 тысяч бывших советских военнопленных и 33,9 тысяч мобилизованных на советских территориях гражданских лиц), а количество «хиви» в люфтваффе составляет 11,3 тысяч человек (15041).</w:t>
      </w:r>
    </w:p>
    <w:p w14:paraId="02A21850" w14:textId="77777777" w:rsidR="00EE3E3B" w:rsidRPr="00D03F3E" w:rsidRDefault="00EE3E3B" w:rsidP="00D03F3E">
      <w:pPr>
        <w:spacing w:after="0" w:line="240" w:lineRule="auto"/>
        <w:jc w:val="both"/>
        <w:rPr>
          <w:rFonts w:ascii="Times New Roman" w:hAnsi="Times New Roman"/>
          <w:color w:val="000000" w:themeColor="text1"/>
          <w:sz w:val="16"/>
          <w:szCs w:val="16"/>
        </w:rPr>
      </w:pPr>
    </w:p>
    <w:p w14:paraId="1F8B70E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437839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3BED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февраля 1943 вышло Распоряжение ГКО № 2903. О взаимном обмене опытом между СССР и США по производству синтетических каучуков, их применению в автомашинах и других резиновых изделиях.РГАНИР, Фонд ГКО, д. 91, лл. 1-4 (11012).</w:t>
      </w:r>
    </w:p>
    <w:p w14:paraId="7425A5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436332" w14:textId="77777777" w:rsidR="00EE3E3B"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2B41687B" w14:textId="77777777" w:rsidR="00EE3E3B" w:rsidRPr="00D03F3E" w:rsidRDefault="00EE3E3B"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2C92E2"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15 февраля 1944 конвой JW 53 отправляется из Лох-Эве, Шотландия , в Кольский залив в Советском Союзе . Его сопровождает британский авианосец HMS Dasher, который должен вернуться через два дня из-за повреждений, нанесенных во время плохой погоды. Ни один авианосец не сопровождает арктический конвой до февраля 1944 года (29376).</w:t>
      </w:r>
    </w:p>
    <w:p w14:paraId="350BD14D" w14:textId="77777777" w:rsidR="00E20571" w:rsidRPr="00D03F3E" w:rsidRDefault="00E20571" w:rsidP="00D03F3E">
      <w:pPr>
        <w:spacing w:after="0" w:line="240" w:lineRule="auto"/>
        <w:jc w:val="both"/>
        <w:rPr>
          <w:rFonts w:ascii="Times New Roman" w:hAnsi="Times New Roman"/>
          <w:color w:val="0070C0"/>
          <w:sz w:val="16"/>
          <w:szCs w:val="16"/>
        </w:rPr>
      </w:pPr>
    </w:p>
    <w:p w14:paraId="0751FF11"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15 февраля</w:t>
      </w:r>
      <w:r w:rsidRPr="00D03F3E">
        <w:rPr>
          <w:rFonts w:ascii="Times New Roman" w:hAnsi="Times New Roman"/>
          <w:color w:val="000000" w:themeColor="text1"/>
          <w:sz w:val="16"/>
          <w:szCs w:val="16"/>
        </w:rPr>
        <w:t xml:space="preserve"> в 1943 году крейсер Саванна вместе с эсминцем «Эберле» крейсер перехватил блокадрпрорыватель «Кота Къянди» (15041).</w:t>
      </w:r>
    </w:p>
    <w:p w14:paraId="6FB2F47B" w14:textId="77777777" w:rsidR="00EE3E3B" w:rsidRPr="00D03F3E" w:rsidRDefault="00EE3E3B" w:rsidP="00D03F3E">
      <w:pPr>
        <w:spacing w:after="0" w:line="240" w:lineRule="auto"/>
        <w:jc w:val="both"/>
        <w:rPr>
          <w:rFonts w:ascii="Times New Roman" w:hAnsi="Times New Roman"/>
          <w:color w:val="000000" w:themeColor="text1"/>
          <w:sz w:val="16"/>
          <w:szCs w:val="16"/>
        </w:rPr>
      </w:pPr>
    </w:p>
    <w:p w14:paraId="3F5A1390" w14:textId="77777777" w:rsidR="00EE3E3B" w:rsidRPr="00D03F3E" w:rsidRDefault="00EE3E3B"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15 февраля</w:t>
      </w:r>
      <w:r w:rsidRPr="00D03F3E">
        <w:rPr>
          <w:rFonts w:ascii="Times New Roman" w:hAnsi="Times New Roman"/>
          <w:color w:val="000000" w:themeColor="text1"/>
          <w:sz w:val="16"/>
          <w:szCs w:val="16"/>
        </w:rPr>
        <w:t xml:space="preserve"> в 1943 году рейхсминистр пропаганды Й.Геббельс подписал инструкцию, воспрещающую избегать в пропаганде, рассчитанной на народы СССР, любых дискриминирующих их высказываний и ни в коем случае не упоминать о колонизаторских планах Германии (15041).</w:t>
      </w:r>
    </w:p>
    <w:p w14:paraId="7DAD3EF8" w14:textId="77777777" w:rsidR="00EE3E3B" w:rsidRPr="00D03F3E" w:rsidRDefault="00EE3E3B" w:rsidP="00D03F3E">
      <w:pPr>
        <w:spacing w:after="0" w:line="240" w:lineRule="auto"/>
        <w:jc w:val="both"/>
        <w:rPr>
          <w:rFonts w:ascii="Times New Roman" w:hAnsi="Times New Roman"/>
          <w:color w:val="000000" w:themeColor="text1"/>
          <w:sz w:val="16"/>
          <w:szCs w:val="16"/>
        </w:rPr>
      </w:pPr>
    </w:p>
    <w:p w14:paraId="7A55B11E"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478C4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0461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февраля 1943 г. Як-9П поступил в НИИ ВВС с Научно- исследовательского полигона авиационного вооружения (НИИПАВ) Чтобы всесторонне испытать Як-9Т, хватило 15 полетов, затянувшихся на полтора месяца. Ведущими по машине на этапе государственных испытаний были инженер А.Г. Степанец и летчик В.И. Хомяков. Облетал истребитель летчик А.Г. Кубышкин.</w:t>
      </w:r>
    </w:p>
    <w:p w14:paraId="0B1032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мнению обоих пилотов, техника пилотирования, максимальная горизонтальная и вертикальная скорости Як-9Т практически ни чем не отличались от серийного Як-9. Стрельба же из 37-мм орудия сопровождалась сильной отдачей и раскачивала самолет на скоростях менее 350 км/ч. Прицельный огонь можно было вести только при одном- двух первых выстрелах, последующие же снаряды рассеивались, и, чем длиннее была очередь, тем ниже точность стрельбы. Поэтому огонь рекомендовалось вести очередями, расходуя не больше двух-трех патронов.</w:t>
      </w:r>
    </w:p>
    <w:p w14:paraId="07801C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стрельбе по наземным целям самолет пикировал устойчиво, но стрелять следовало очередями, не более трех - пяти выстрелов, иначе отмечался большой разброс снарядов. Заход на цель рекомендовалось делать на скорости 300-320 км/ч и высоте 700-800 м с разворотом на 40-45 градусов. При подходе к цели требовалось совмещать ее с меткой, нанесенной на кромке крыла, и, как только они совпадут, энергично со снижением довернуть самолет на цель, стреляя с дистанции 1000-500 м. При выполнении этого маневра угол пикирования составлял 30-35°, а выводить истребитель в горизонтальный полет следовало с высоты 300-200 м с трехкратной перегрузкой.</w:t>
      </w:r>
    </w:p>
    <w:p w14:paraId="58C2DA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Малый боезапас вынуждал летчика вести только прицельную стрельбу, но кольцевой прицел не обеспечивал этого. Таким образом, стрельба по наземным целям была, своего рода, искусством и каждый пилот Як-9Т имел свои приемы и "реперные" точки на планере истребителя, чтобы поражать противника первыми снарядами. Как выразился А.Г. Кубышкин: "Летчик, летающий на самолете Як-9Т, должен быть своего рода воздушным снайпером и бить врага наверняка - с первого выстрела". К тому же, при стрельбе из ствола пушки наблюдался сильный выброс огня, что очень ограничивало использование Як-9Т ночью, ослепляя летчика.</w:t>
      </w:r>
    </w:p>
    <w:p w14:paraId="463C9E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Специалисты НИИ ВВС отмечали, что "Як-9, вооруженный пушкой ОКБ-16 калибра 37 мм (НС-37), при стрельбе по бомбардировщикам, автоколоннам, зенитным точкам, аэродромам противника и другим целям, а также в воздушном бою с истребителями покажет хорошие результаты. Необходимо доработать самоликвидаторы снарядов, так чтобы они взрывались на дистанции не 3000 м, как сейчас, а на 1000 м.......</w:t>
      </w:r>
    </w:p>
    <w:p w14:paraId="1E9B49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государственных испытаний провели два воздушных боя Як-9Т с трофейным "трехточечным" (без подкрыльных пушек) Me-109G-2 на высотах от 2000 м до 5000 м. Маневренность Як-9Т в горизонтальной плоскости оказалась значительно выше, чем у "мессершмитта". На высотах до 5000 м "як" заходил в хвост "неприятелю" через два виража.</w:t>
      </w:r>
    </w:p>
    <w:p w14:paraId="464CBD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вертикалях до высоты 3000 м Як-9Т имел преимущество перед Me-109G-2. Выполняя боевой разворот или горку, "як" оказывался выше его. На пикировании же наш истребитель несколько отставал от "мессершмитта", но при выходе в горизонтальный полет "садился ему на хвост". На высотах от 3000 до 4500 м поведение обеих машин было идентично, но выше преимущество в вертикальном маневре переходило к "немцу".</w:t>
      </w:r>
    </w:p>
    <w:p w14:paraId="0921CB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преимуществам Як-9Т следует отнести лучший обзор задней полусферы и меньшую инертность машины, что позволяло летчику в воздушном бою более расчетливо и энергично маневрировать, упреждая действия пилота "мессершмитта".</w:t>
      </w:r>
    </w:p>
    <w:p w14:paraId="708A0F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Наивыгоднейшей считалась атака бомбардировщиков противника при ракурсе 0/4; дальность открытия огня - 400-100 м. Максимальная дальность прицельной стрельбы из 37 мм пушки не должна была превышать 600 м. В отдельных случаях, при встречах с большими группами бомбардировщиков, можно было открывать огонь из 37 мм пушки и с больших дистанций 1000- 1200 м для нарушения строя и нанесения морального воздействия на противника.</w:t>
      </w:r>
    </w:p>
    <w:p w14:paraId="7B8DEF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атаках бомбардировщиков и разведчиков сзади, целесообразно с дальности 500-600 м короткими очередями из пулемета или пушки сковать огонь стрелков, а на дальности 100-200 м открывать огонь на поражение.</w:t>
      </w:r>
    </w:p>
    <w:p w14:paraId="0F22AC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лобовых атаках огонь на поражение из 37 мм пушек нужно было открывать на дальности 500-600 м, при этом скорость должна быть около 350 км/ч (видимо, по прибору).</w:t>
      </w:r>
    </w:p>
    <w:p w14:paraId="402D51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Атаку сомкнутого строя самолетов выгоднее производить по их створу, что повышало вероятность поражения противника (12042).</w:t>
      </w:r>
    </w:p>
    <w:p w14:paraId="258AF3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9B34AE"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340D3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0B0C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1943 Директор и ГК завода 240 С.В.И. направил Нач. 7 ГУ НКАП с письмом N 14/180с доклад об основной деятельности завода 240 за 1942 год:</w:t>
      </w:r>
    </w:p>
    <w:p w14:paraId="67EF97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Вступительная часть.</w:t>
      </w:r>
    </w:p>
    <w:p w14:paraId="6D8227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Выполнение работ по утвержденным темам и объектам опытного самолетостроения, на конец 1941 и начало 1942 производилось особым КБ, находившимся в эвакуации в г. Куйбышеве.</w:t>
      </w:r>
    </w:p>
    <w:p w14:paraId="352CCE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реэвакуации ОКБ вошло 1 мая 1942 в состав завода 240 на основании приказа НКАП N 304 от 21 апреля 1942 вследствие назначения ГК ОКБ С.В.И. директором завода 240.</w:t>
      </w:r>
    </w:p>
    <w:p w14:paraId="12F1B2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Деятельность завода 240 за период с 1 января 1942 по 30 апреля 1940 под руководством ГК Ермолаева исключена, т.о. все показатели работы завода 240 за 1942 отражены по деятельности ОКБ НКАП до 1 мая 1942 и на заводе 240 после 1 мая 1942.</w:t>
      </w:r>
    </w:p>
    <w:p w14:paraId="5D49D6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показатели работы завода 240 для сопоставления с показателями 1942 относятся также к деятельности по ОКБ завода 39 и ОКБ НКАП.</w:t>
      </w:r>
    </w:p>
    <w:p w14:paraId="74B104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Производство</w:t>
      </w:r>
    </w:p>
    <w:p w14:paraId="4611F8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 1 кв. 1942 утвержденного тематического плана не было и ОКБ занималось выполнением работ по запросам фонда и серийного производства, заменой материалов, доводками по установке М-82 на самолет Ил-4, а также оказанием тех. помощи заводам 1, 18, 23 и 30, внедряющим в серию самолеты Ил-2 и Ил-4.</w:t>
      </w:r>
    </w:p>
    <w:p w14:paraId="3A7AF4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Во 2 кв. кроме работ по проектированию и установке мотора М-82 на Ил-4 развернулась работа по проектированию одноместного бронированного штурмовика с 2-АМ-38 и по проектированию установки М-250 на самолет Ил-2. Вследствие неподачи М-250, работы по проектированию установки М-250 были приостановлены и больше в 1942 не возобновлялись.</w:t>
      </w:r>
    </w:p>
    <w:p w14:paraId="19FEDF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Проектирование БШ с 2хАМ-38 продолжалось с 20 апреля по 16 сентября 1942. Имея техническую готовность по проектированию 75%, по изготовлению макета 80% и модели 100% работа была прекращена вследствие изменения темы с 2-х моторного на одномоторный штурмовик с АМ-42.</w:t>
      </w:r>
    </w:p>
    <w:p w14:paraId="61D886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года обе эти работы были списаны с незавершенного производства как прекращенные.</w:t>
      </w:r>
    </w:p>
    <w:p w14:paraId="4A9BB1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Техническая готовность к установке М-82 на Ил-4 на 1 января 1943 составила 100%.</w:t>
      </w:r>
    </w:p>
    <w:p w14:paraId="51F4B9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Дополнительные работы, не предусмотренные планом:</w:t>
      </w:r>
    </w:p>
    <w:p w14:paraId="347149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поставлена нижняя люковая установка и</w:t>
      </w:r>
    </w:p>
    <w:p w14:paraId="7928C5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механизм установки щитков на взлетный угол.</w:t>
      </w:r>
    </w:p>
    <w:p w14:paraId="2C1BF7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увеличение емкости бензобаков.</w:t>
      </w:r>
    </w:p>
    <w:p w14:paraId="47FBBE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5. Работа по модификации ДБ Ил-4 под М-71 была утверждена в плане 4 кв. с тех. готовностью 65% Проектирование этой темы было закончено в рекордно короткий срок - 2 месяца. Изготовлен макет и принят макетной комиссией.</w:t>
      </w:r>
    </w:p>
    <w:p w14:paraId="1FD131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...отсутствие достаточных мощностей и квалифицированных кадров на нашем заводе не дали возможности строить самолеты на своем производстве. Постройку его пришлось производить на заводе 23. В данный момент имеется решение строить самолет под М-90 и на заводе 39 в Иркутске. Поэтому производятся работы по проектированию металлических крыльев и носиков вместо деревянных. Срок постройки отодвинут...</w:t>
      </w:r>
    </w:p>
    <w:p w14:paraId="3765CB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Работы по модификации Ил-2 под АМ-42 в 2-х местном варианте в проектировании на 1 января 1943 закончены и техническая готовность 2-х экз. составляет 20.5% вместо 20% по плану.</w:t>
      </w:r>
    </w:p>
    <w:p w14:paraId="574A52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95725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1-й экз. самолета Ил-4 в высотном варианте закончен в срок и сдан на летные испытания 20 декабря 1942.</w:t>
      </w:r>
    </w:p>
    <w:p w14:paraId="7F4519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Установка бронированного капота произведена на Ил-2 с М-82 и закончена в срок.</w:t>
      </w:r>
    </w:p>
    <w:p w14:paraId="18EC4F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Кроме того завод был занят выполнением отдельных заданий фронта и целого ряда приказов НКАП сверх плана:</w:t>
      </w:r>
    </w:p>
    <w:p w14:paraId="3CBB34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Разработка чертежей под монтаж УТБ-1 на Ил-4 по приказу N 247/0015сс от 4 апреля 1942.</w:t>
      </w:r>
    </w:p>
    <w:p w14:paraId="74E5E9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Проектирование деревянной консоли вместо металлической на самолете Ил-4.</w:t>
      </w:r>
    </w:p>
    <w:p w14:paraId="334645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Проектирование фильтров пылеуловителей на Ил-2 и Ил-4 по приказу N 415сс от 2 июня 1942.</w:t>
      </w:r>
    </w:p>
    <w:p w14:paraId="29E2EB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Проектирование удлиненной части фюзеляжа Ил-2 по приказу N 598 от 7 июля 1942.</w:t>
      </w:r>
    </w:p>
    <w:p w14:paraId="0168B3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Замена кассет КМБ-2 непосредственной загрузкой в отсеки по приказу НКАП N 665/036сс от 29 августа 1942.</w:t>
      </w:r>
    </w:p>
    <w:p w14:paraId="28BAEB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Проектирование установки пушки 11-П на Ил-2 по приказу N 834c от 11 ноября 1942.</w:t>
      </w:r>
    </w:p>
    <w:p w14:paraId="25EA4C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Проектирование задней пулеметной установки с пулеметом ШКАС (полевой вариант) по приказу N 722 от 24 сентября 1942.</w:t>
      </w:r>
    </w:p>
    <w:p w14:paraId="287626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Установка пушки ВЯ 14.5 мм на Ил-2 по приказу N 842 от 17 ноября 1942 (2212,64).</w:t>
      </w:r>
    </w:p>
    <w:p w14:paraId="57C0FB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7E31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1943 снова решили создать опытный завод и КБ А.А.Микулина (74,274).</w:t>
      </w:r>
    </w:p>
    <w:p w14:paraId="014036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другим данным - 18 февраля 1943 (1333,15).</w:t>
      </w:r>
    </w:p>
    <w:p w14:paraId="177500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B3BA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1943 С.В.И. писал письмо НКАП А.И.Ш. (копия ГК завода 120 Флерову):</w:t>
      </w:r>
    </w:p>
    <w:p w14:paraId="50022A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Вашего приказа от 24 октября 1942 N 803сс ГК Флеров д.б. произвести усиление электронных колес размером 1000х350, устраняющие дефекты в этих колесах, выявленные в массовой эксплуатации.</w:t>
      </w:r>
    </w:p>
    <w:p w14:paraId="7E1586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Чертежи, разработанные т. Флеровым по усилению этого колеса были, как указано в приказе, завизированы мною и утверждены Нач. 7 ГУ Шишкиным 10 ноября 1942.</w:t>
      </w:r>
    </w:p>
    <w:p w14:paraId="1AD7B3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Усиление колеса 1000х350 делалось именно потому, что это усиление предназначается на электронные колеса, т.к. изготовление этих колес из силумина влечет за собой общее снижение прочности указанных колес и в этом случае колеса совершенно не годны для эксплуатации на Ил-4.</w:t>
      </w:r>
    </w:p>
    <w:p w14:paraId="5FFBEB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не менее ГК Флеров запустил в производство эти колеса не из электрона, а из силумина и т.о. самолеты Ил-4 по-прежнему летают на колесах с дефектами, с массовом выходом из строя в эксплуатации.</w:t>
      </w:r>
    </w:p>
    <w:p w14:paraId="5E7E1D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Вас дать указание ГК Флерову о немедленном запуске усиленных электронных колес в серийное производство на всех заводах, на которых строят колеса 1000х350." (1775,5).</w:t>
      </w:r>
    </w:p>
    <w:p w14:paraId="274DB3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FAA8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1943 года А. Репин писал письмо N 606778с А.И.Шахурину, подписанное 14 февраля.</w:t>
      </w:r>
    </w:p>
    <w:p w14:paraId="2D2BFB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Проверкой трофейного самолета Ме-109 Г-2 (вооруженного 3-мя пушками 20 мм и 2 пулеметами 7,92 мм) в НИИ ВВС установлено, что последний обладает следующими максимальными скоростями по высотам: скорость у земли - 505 км/час; на высоте 3000 м - 586 км/час и на высоте 7000 м - 650 км/час.</w:t>
      </w:r>
    </w:p>
    <w:p w14:paraId="0B575F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Сравнение летных данных самолета Ме-109 Г-2 с отечественными истребителями, по максимальным скоростям, показывает, что самолеты Як-1, Як-7 и Як-9 с М-105ПФ имеют преимущество над самолетом Ме-109 Г-2 от земли только до высоты 1750 м, облегченный Ла-5 с М-82 - до высоты 2500 м, Ла-5 с М-82 НВ до высоты 2750 м, Як-1 и Як-9 с М-106П с односкоростным нагнетателем - до 4500 м. Выше - преимущество остается за самолетом Ме-109 Г-2.</w:t>
      </w:r>
    </w:p>
    <w:p w14:paraId="31F4B2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Отставание самолета Ме-109 Г-2 на низких высотах может быть уменьшено, а его преимущество на больших высотах может быть увеличено за счет снятия двух подкрыльных пушек.</w:t>
      </w:r>
    </w:p>
    <w:p w14:paraId="136B64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поднятия максимальных скоростей отечественных истребителей на высотах от 5000 м и выше, считаю необходимым, кроме проводящихся работ по оборудованию самолета Ла-5 с М-82 НВ с турбокомпрессорами ТК-3, развернуть работы по постройке самолета Як-9 с М-106П с двухступенчатым нагнетателем и турбомуфтой, для чего прошу Ваших распоряжений:</w:t>
      </w:r>
    </w:p>
    <w:p w14:paraId="19FAEC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Заводу N 26, совместно с ЦИАМ, отработать в кратчайший срок мотор М-106П с двухступенчатым нагнетателем и турбомуфтой.</w:t>
      </w:r>
    </w:p>
    <w:p w14:paraId="4A5FE7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Гл. конструктору Яковлеву установить мотор М-106П с двухступенчатым нагнетателем на самолет Як-9 и провести его летное испытание в жесткие сроки.</w:t>
      </w:r>
    </w:p>
    <w:p w14:paraId="5C4434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Также прошу Ваших распоряжений заводу N 26 о всемерном ускорении работ по доводке мотора М-106П с двухскоростным нагнетателем, что предусмотрено постановлением ГОКО N 2346сс от 25 сентября 1942 г.</w:t>
      </w:r>
    </w:p>
    <w:p w14:paraId="3FA923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принятых Вами решениях и установленных сроках выполнения работ, прошу поставить меня в известность (1778).</w:t>
      </w:r>
    </w:p>
    <w:p w14:paraId="56CEB5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03B3A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1943 г. в Кремле обсуждали Положение дел с созданием советских высотных истребителей. Вечером этого дня сюда были вызваны нарком авиа</w:t>
      </w:r>
      <w:r w:rsidRPr="00D03F3E">
        <w:rPr>
          <w:rFonts w:ascii="Times New Roman" w:hAnsi="Times New Roman"/>
          <w:color w:val="000000" w:themeColor="text1"/>
          <w:sz w:val="16"/>
          <w:szCs w:val="16"/>
        </w:rPr>
        <w:softHyphen/>
        <w:t>промышленности и его заместитель по опытному са</w:t>
      </w:r>
      <w:r w:rsidRPr="00D03F3E">
        <w:rPr>
          <w:rFonts w:ascii="Times New Roman" w:hAnsi="Times New Roman"/>
          <w:color w:val="000000" w:themeColor="text1"/>
          <w:sz w:val="16"/>
          <w:szCs w:val="16"/>
        </w:rPr>
        <w:softHyphen/>
        <w:t>молетостроению А.С.Яковлев. В кабинете Сталина уже находились Молотов, Маленков, Берия и неко</w:t>
      </w:r>
      <w:r w:rsidRPr="00D03F3E">
        <w:rPr>
          <w:rFonts w:ascii="Times New Roman" w:hAnsi="Times New Roman"/>
          <w:color w:val="000000" w:themeColor="text1"/>
          <w:sz w:val="16"/>
          <w:szCs w:val="16"/>
        </w:rPr>
        <w:softHyphen/>
        <w:t>торые другие члены ГКО. Заслушав присутствующих, Сталин предложил руководству авиапрома выбрать наиболее перспек</w:t>
      </w:r>
      <w:r w:rsidRPr="00D03F3E">
        <w:rPr>
          <w:rFonts w:ascii="Times New Roman" w:hAnsi="Times New Roman"/>
          <w:color w:val="000000" w:themeColor="text1"/>
          <w:sz w:val="16"/>
          <w:szCs w:val="16"/>
        </w:rPr>
        <w:softHyphen/>
        <w:t>тивные работы, которые в ближайшее время можно довести до воплощения в боевой высотный истребитель ПВО. Ровно через десять дней вышло постанов</w:t>
      </w:r>
      <w:r w:rsidRPr="00D03F3E">
        <w:rPr>
          <w:rFonts w:ascii="Times New Roman" w:hAnsi="Times New Roman"/>
          <w:color w:val="000000" w:themeColor="text1"/>
          <w:sz w:val="16"/>
          <w:szCs w:val="16"/>
        </w:rPr>
        <w:softHyphen/>
        <w:t>ление правительства, касающееся дальнейших работ ОКБ Микояна (9984).</w:t>
      </w:r>
    </w:p>
    <w:p w14:paraId="501097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8028E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1943 г. письмо Поликарпова обсуждалось в Кремле. На совещании присутствовали А.И.Шахурин, А.С.Яковлев. Спустя годы, Яковлев так напишет об этом в своей книге «Рассказы авиаконструктора»:</w:t>
      </w:r>
    </w:p>
    <w:p w14:paraId="7AAD71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«...Сталин прочел вслух письмо конструктора Н.Н.Поликарпова, в котором тот докладывал о новом быстроходном истребителе, проходившем заводские ис</w:t>
      </w:r>
      <w:r w:rsidRPr="00D03F3E">
        <w:rPr>
          <w:rFonts w:ascii="Times New Roman" w:hAnsi="Times New Roman"/>
          <w:color w:val="000000" w:themeColor="text1"/>
          <w:sz w:val="16"/>
          <w:szCs w:val="16"/>
        </w:rPr>
        <w:softHyphen/>
        <w:t>пытания и показавшем большую скорость.</w:t>
      </w:r>
    </w:p>
    <w:p w14:paraId="6AF25C3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Он спросил:</w:t>
      </w:r>
    </w:p>
    <w:p w14:paraId="6EC8BF7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Что вы знаете об этой машине? Я отвечаю:</w:t>
      </w:r>
    </w:p>
    <w:p w14:paraId="2665FA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Хорошая машина, скорость действительно боль</w:t>
      </w:r>
      <w:r w:rsidRPr="00D03F3E">
        <w:rPr>
          <w:rFonts w:ascii="Times New Roman" w:hAnsi="Times New Roman"/>
          <w:color w:val="000000" w:themeColor="text1"/>
          <w:sz w:val="16"/>
          <w:szCs w:val="16"/>
        </w:rPr>
        <w:softHyphen/>
        <w:t>шая.</w:t>
      </w:r>
    </w:p>
    <w:p w14:paraId="313837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Сталин сразу же:</w:t>
      </w:r>
    </w:p>
    <w:p w14:paraId="54BC89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Вы бросьте свою корпоративную мораль. Не хоти</w:t>
      </w:r>
      <w:r w:rsidRPr="00D03F3E">
        <w:rPr>
          <w:rFonts w:ascii="Times New Roman" w:hAnsi="Times New Roman"/>
          <w:color w:val="000000" w:themeColor="text1"/>
          <w:sz w:val="16"/>
          <w:szCs w:val="16"/>
        </w:rPr>
        <w:softHyphen/>
        <w:t>те обидеть конструктора - хорошо отзываетесь! Как бес</w:t>
      </w:r>
      <w:r w:rsidRPr="00D03F3E">
        <w:rPr>
          <w:rFonts w:ascii="Times New Roman" w:hAnsi="Times New Roman"/>
          <w:color w:val="000000" w:themeColor="text1"/>
          <w:sz w:val="16"/>
          <w:szCs w:val="16"/>
        </w:rPr>
        <w:softHyphen/>
        <w:t>пристрастно?</w:t>
      </w:r>
    </w:p>
    <w:p w14:paraId="6001CE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Мы с наркомом постарались объективно оценить машину и дать ей возможно более исчерпывающую ха</w:t>
      </w:r>
      <w:r w:rsidRPr="00D03F3E">
        <w:rPr>
          <w:rFonts w:ascii="Times New Roman" w:hAnsi="Times New Roman"/>
          <w:color w:val="000000" w:themeColor="text1"/>
          <w:sz w:val="16"/>
          <w:szCs w:val="16"/>
        </w:rPr>
        <w:softHyphen/>
        <w:t>рактеристику. Но так как самолет прошел только часть заводских летных испытаний, дать окончательное за</w:t>
      </w:r>
      <w:r w:rsidRPr="00D03F3E">
        <w:rPr>
          <w:rFonts w:ascii="Times New Roman" w:hAnsi="Times New Roman"/>
          <w:color w:val="000000" w:themeColor="text1"/>
          <w:sz w:val="16"/>
          <w:szCs w:val="16"/>
        </w:rPr>
        <w:softHyphen/>
        <w:t>ключение было невозможно. Между прочим, Сталин заинтересовался дальностью полета этого истребителя, заметив, что одна скорость без необходимой дальности мало о чем говорит. Мы на</w:t>
      </w:r>
      <w:r w:rsidRPr="00D03F3E">
        <w:rPr>
          <w:rFonts w:ascii="Times New Roman" w:hAnsi="Times New Roman"/>
          <w:color w:val="000000" w:themeColor="text1"/>
          <w:sz w:val="16"/>
          <w:szCs w:val="16"/>
        </w:rPr>
        <w:softHyphen/>
        <w:t>звали цифру дальности.</w:t>
      </w:r>
    </w:p>
    <w:p w14:paraId="406D678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Проверено в полете?</w:t>
      </w:r>
    </w:p>
    <w:p w14:paraId="40291C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Нет, дальность еще не проверена в полете. Это рас</w:t>
      </w:r>
      <w:r w:rsidRPr="00D03F3E">
        <w:rPr>
          <w:rFonts w:ascii="Times New Roman" w:hAnsi="Times New Roman"/>
          <w:color w:val="000000" w:themeColor="text1"/>
          <w:sz w:val="16"/>
          <w:szCs w:val="16"/>
        </w:rPr>
        <w:softHyphen/>
        <w:t>четные данные.</w:t>
      </w:r>
    </w:p>
    <w:p w14:paraId="04497D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Я словам не верю. Сперва проверьте в полете даль</w:t>
      </w:r>
      <w:r w:rsidRPr="00D03F3E">
        <w:rPr>
          <w:rFonts w:ascii="Times New Roman" w:hAnsi="Times New Roman"/>
          <w:color w:val="000000" w:themeColor="text1"/>
          <w:sz w:val="16"/>
          <w:szCs w:val="16"/>
        </w:rPr>
        <w:softHyphen/>
        <w:t>ность, а потом будем решать, как быть с этой машиной. Сейчас решать рано.</w:t>
      </w:r>
    </w:p>
    <w:p w14:paraId="125FCF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отложил письмо Поликарпова в сторону» (10667).</w:t>
      </w:r>
    </w:p>
    <w:p w14:paraId="00ADBF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9325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1943 в ЦК ВКП(б) было обсуждение положения с И-185 (228,173). Обсуждали письмо Н.Н.П. от 4 февраля 1943 (2495,33).</w:t>
      </w:r>
    </w:p>
    <w:p w14:paraId="3C0454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другим данным, обсуждали письмо-доклад и А.С.Я. и А.И.Ш. сказали И.В.С., что дальность не проверена и является расчетной. И.В.С. отложил письмо Н.Н.П. в сторону." (2863,105).</w:t>
      </w:r>
    </w:p>
    <w:p w14:paraId="0D3364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B402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1943 Командующий АДД гл Головин утвердил Акт по результатам опытной эксплуатации М-30Б на Пе-8 (ТБ-7) N 42038 22 завода 45 АД ДД, которые проводились с 6 ноября 1942 по 6 февраля 1943. Ли Лисачев (995,1).</w:t>
      </w:r>
    </w:p>
    <w:p w14:paraId="1FD5EA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 Исполнители:</w:t>
      </w:r>
    </w:p>
    <w:p w14:paraId="6C94EE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си 45 АД ДД и/м Ануров</w:t>
      </w:r>
    </w:p>
    <w:p w14:paraId="28909F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 к-р эск. 45 АД ДД м Лисачев</w:t>
      </w:r>
    </w:p>
    <w:p w14:paraId="4F4A34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 НИИ ВВС и/м Шибаев</w:t>
      </w:r>
    </w:p>
    <w:p w14:paraId="6CBE4A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ви и эск. И/к Андреев</w:t>
      </w:r>
    </w:p>
    <w:p w14:paraId="5B3538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Результат испытаний:</w:t>
      </w:r>
    </w:p>
    <w:p w14:paraId="23D5A4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 Пе-8 с 4хМ-30Б № 42038 22 завода прибыл на испытания в 45 АД ДД 6 ноября 1942. Испытание закончено 6 февраля 1943. В качестве охлаждающей жидкости исп. Антифриз, масло МЗС и МС, горючее тракторный керосин. Было выполнено 35 полетов, из них 2 для выполнения боевых задач. За время опытно-боевой эксплоатации по причинам различных дефектов было заменено три мотора (№№ 375, 371, 365).</w:t>
      </w:r>
    </w:p>
    <w:p w14:paraId="5616A7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 № 375 - поломка коренной опоры кулачкового вала выхлопа правого блока</w:t>
      </w:r>
    </w:p>
    <w:p w14:paraId="3E329F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 № 371 - разрушение уплотнительных колец и прогара шестого поршня правого блока</w:t>
      </w:r>
    </w:p>
    <w:p w14:paraId="37249A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 № 365 - падение давления масла в магистрали (трещина в алюминиевой заглушке третьей мотылевой шайбы коленчатого вала)</w:t>
      </w:r>
    </w:p>
    <w:p w14:paraId="123E3A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Другиме основные дефекты мотором М-30Б:</w:t>
      </w:r>
    </w:p>
    <w:p w14:paraId="784501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трещины в головке топливного насоса ТН-2 мотора № 367</w:t>
      </w:r>
    </w:p>
    <w:p w14:paraId="0A66A8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поломка четырех пружин плунжеров этого же мотора</w:t>
      </w:r>
    </w:p>
    <w:p w14:paraId="1F6874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продавливание шарика и пружинки обратного клапана штуцера заправки масляной магистрали при запрпвке маслом (мотор № 389)</w:t>
      </w:r>
    </w:p>
    <w:p w14:paraId="05374F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поломка рессоры привода топливной помпы на моторе № 362</w:t>
      </w:r>
    </w:p>
    <w:p w14:paraId="35E3C6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Общий вес самолета - 22761 кг</w:t>
      </w:r>
    </w:p>
    <w:p w14:paraId="7E4161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Полетный вес: 28000, 31000, 34000.</w:t>
      </w:r>
    </w:p>
    <w:p w14:paraId="2D3514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Заключение:</w:t>
      </w:r>
    </w:p>
    <w:p w14:paraId="686BD7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 процессе опытной эксплоатации моторы М-30Б на с-те Пе-8 работали удовлетворительно на всем диапазоне высот до 9000 м. Моторы могут быть рекомендованы в серийное производство для самолета Пе-8</w:t>
      </w:r>
    </w:p>
    <w:p w14:paraId="0C3D4A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...устранить все дефекты, выявленные в опытной эксплоатации и указанные в выводах настоящего отчета</w:t>
      </w:r>
    </w:p>
    <w:p w14:paraId="265C53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Ги АДД гм иас </w:t>
      </w:r>
    </w:p>
    <w:p w14:paraId="3F048E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 45 АД ДД п Лебедев (995,1)</w:t>
      </w:r>
    </w:p>
    <w:p w14:paraId="2CE79A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24D16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3B8178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059A95" w14:textId="77777777" w:rsidR="00863AF1" w:rsidRPr="00D03F3E" w:rsidRDefault="00863AF1" w:rsidP="00D03F3E">
      <w:pPr>
        <w:pStyle w:val="a3"/>
        <w:rPr>
          <w:color w:val="000000" w:themeColor="text1"/>
          <w:lang w:val="ru-RU"/>
        </w:rPr>
      </w:pPr>
      <w:r w:rsidRPr="00D03F3E">
        <w:rPr>
          <w:color w:val="000000" w:themeColor="text1"/>
          <w:lang w:val="ru-RU"/>
        </w:rPr>
        <w:t>16 февраля 1943 года приказом НКВ №08сс работы по программе изготов</w:t>
      </w:r>
      <w:r w:rsidRPr="00D03F3E">
        <w:rPr>
          <w:color w:val="000000" w:themeColor="text1"/>
          <w:lang w:val="ru-RU"/>
        </w:rPr>
        <w:softHyphen/>
        <w:t>ления рамки орудия КВ-14 из бессемеровской стали поручались заво</w:t>
      </w:r>
      <w:r w:rsidRPr="00D03F3E">
        <w:rPr>
          <w:color w:val="000000" w:themeColor="text1"/>
          <w:lang w:val="ru-RU"/>
        </w:rPr>
        <w:softHyphen/>
        <w:t>ду №40 НКТП (г. Мытищи), в который в начале 1943 года был преоб</w:t>
      </w:r>
      <w:r w:rsidRPr="00D03F3E">
        <w:rPr>
          <w:color w:val="000000" w:themeColor="text1"/>
          <w:lang w:val="ru-RU"/>
        </w:rPr>
        <w:softHyphen/>
        <w:t>разован завод №592 НКВ. Предприятию, впрочем, в тот момент было отнюдь не до рамок: на его мощностях шла подготовка к производству легких танков Т-80. По состоянию на 27 февраля завод получил конструкторскую документацию на рамку, но ввиду отсутствия кокса, чу</w:t>
      </w:r>
      <w:r w:rsidRPr="00D03F3E">
        <w:rPr>
          <w:color w:val="000000" w:themeColor="text1"/>
          <w:lang w:val="ru-RU"/>
        </w:rPr>
        <w:softHyphen/>
        <w:t>гуна и формовочного песка задерживал изготовление опытных образ</w:t>
      </w:r>
      <w:r w:rsidRPr="00D03F3E">
        <w:rPr>
          <w:color w:val="000000" w:themeColor="text1"/>
          <w:lang w:val="ru-RU"/>
        </w:rPr>
        <w:softHyphen/>
        <w:t>цов. Первые две рамки завод смог сдать на испытания только 27 марта, причем они оказались настолько низкого качества изготовления, что даже не были допущены до испытаний. Соответствующие требовани</w:t>
      </w:r>
      <w:r w:rsidRPr="00D03F3E">
        <w:rPr>
          <w:color w:val="000000" w:themeColor="text1"/>
          <w:lang w:val="ru-RU"/>
        </w:rPr>
        <w:softHyphen/>
        <w:t>ям рамки завод №172 получил лишь к концу мая, причем на испыта</w:t>
      </w:r>
      <w:r w:rsidRPr="00D03F3E">
        <w:rPr>
          <w:color w:val="000000" w:themeColor="text1"/>
          <w:lang w:val="ru-RU"/>
        </w:rPr>
        <w:softHyphen/>
        <w:t xml:space="preserve">ния допустили одну из двух рамок. Были проведены испытания, в ходе которых система </w:t>
      </w:r>
      <w:r w:rsidRPr="00D03F3E">
        <w:rPr>
          <w:color w:val="000000" w:themeColor="text1"/>
        </w:rPr>
        <w:t>MJI</w:t>
      </w:r>
      <w:r w:rsidRPr="00D03F3E">
        <w:rPr>
          <w:color w:val="000000" w:themeColor="text1"/>
          <w:lang w:val="ru-RU"/>
        </w:rPr>
        <w:t>-20</w:t>
      </w:r>
      <w:r w:rsidRPr="00D03F3E">
        <w:rPr>
          <w:color w:val="000000" w:themeColor="text1"/>
        </w:rPr>
        <w:t>C</w:t>
      </w:r>
      <w:r w:rsidRPr="00D03F3E">
        <w:rPr>
          <w:color w:val="000000" w:themeColor="text1"/>
          <w:lang w:val="ru-RU"/>
        </w:rPr>
        <w:t>, установленная на рамке из бессемеровской стали, произвела 200 выстрелов. Испытания показали, что деформаций рамки по итогам стрельб не обнаружилось, тем самым идею изготовле</w:t>
      </w:r>
      <w:r w:rsidRPr="00D03F3E">
        <w:rPr>
          <w:color w:val="000000" w:themeColor="text1"/>
          <w:lang w:val="ru-RU"/>
        </w:rPr>
        <w:softHyphen/>
        <w:t>ния детали из бессемеровской стали признали удачной (17484).</w:t>
      </w:r>
    </w:p>
    <w:p w14:paraId="7F083518" w14:textId="77777777" w:rsidR="00863AF1" w:rsidRPr="00D03F3E" w:rsidRDefault="00863AF1" w:rsidP="00D03F3E">
      <w:pPr>
        <w:pStyle w:val="a3"/>
        <w:rPr>
          <w:color w:val="000000" w:themeColor="text1"/>
          <w:lang w:val="ru-RU"/>
        </w:rPr>
      </w:pPr>
    </w:p>
    <w:p w14:paraId="78E9DA5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1943 г. был ЗАПРОС ГОСУДАРСТВЕННОЙ ПЛАНОВОЙ КОМИССИИ ПРИ СНК СССР ЗАМЕСТИТЕЛЮ НАЧАЛЬНИКА ГАБТУ КА ПО ВОПРОСУ ЭКОНОМИИ АЛЮМИНИЯ № 1019</w:t>
      </w:r>
    </w:p>
    <w:p w14:paraId="3E6B43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СНК СССР от 20.11.1942 г. за №1853-866с «Об экономии алюминия» обязывало:</w:t>
      </w:r>
    </w:p>
    <w:p w14:paraId="34113E7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Наркомсредмаш совместно с ГАБТУ КА провести к 1 января 1943 г. испытания деталей мото</w:t>
      </w:r>
      <w:r w:rsidRPr="00D03F3E">
        <w:rPr>
          <w:rFonts w:ascii="Times New Roman" w:hAnsi="Times New Roman"/>
          <w:color w:val="000000" w:themeColor="text1"/>
          <w:sz w:val="16"/>
          <w:szCs w:val="16"/>
        </w:rPr>
        <w:softHyphen/>
        <w:t>цикла М-72, изготовленных из черных металлов взамен алюминия, согласно приложению №2 к постановлению.</w:t>
      </w:r>
    </w:p>
    <w:p w14:paraId="149608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Наркомтанкопром совместно с ГАБТУ провести к 1 февраля 1943 г. испытание деталей танков КВ и Т-34, изготовленных из черных металлов взамен алюминиевых сплавов, согласно приложению №4 к постановлению.</w:t>
      </w:r>
    </w:p>
    <w:p w14:paraId="5AC4F2A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сообщить Ваше заключение по результатам испытаний деталей, указанных в приложени</w:t>
      </w:r>
      <w:r w:rsidRPr="00D03F3E">
        <w:rPr>
          <w:rFonts w:ascii="Times New Roman" w:hAnsi="Times New Roman"/>
          <w:color w:val="000000" w:themeColor="text1"/>
          <w:sz w:val="16"/>
          <w:szCs w:val="16"/>
        </w:rPr>
        <w:softHyphen/>
        <w:t>ях №2 и №4 к постановлению.</w:t>
      </w:r>
    </w:p>
    <w:p w14:paraId="509EBD8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председателя Госплана при СНК СССР Кузнецов</w:t>
      </w:r>
    </w:p>
    <w:p w14:paraId="74D8AB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И 358. Д. 93а. Л. 27. Копия (11403).</w:t>
      </w:r>
    </w:p>
    <w:p w14:paraId="3737F25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59C1B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1943 вышло [Справка о выдаче мандата Кагановичу л. М № 2905 - уполномоченному ГКО по восстановлению железных дорог между Москвой и Донбассом.] (7083, 30).</w:t>
      </w:r>
    </w:p>
    <w:p w14:paraId="26693A7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F5791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3D3363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805179"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16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10C282F3"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16 февраля наши войска вели наступательные бои на прежних направлениях.</w:t>
      </w:r>
    </w:p>
    <w:p w14:paraId="11265EA6"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Шахт наши войска успешно продвигались вперёд и овладели 20 населёнными пунктами. Противник пытается задержаться на промежуточных рубежах, однако советские части срывают планы гитлеровцев, громят их и отбрасывают назапад. В бою за один населённый пункт уничтожен батальон немецкой мотопехоты. Захвачено 30 автомашин, 11 противотанковых орудий, много пулемётов и автоматов.</w:t>
      </w:r>
    </w:p>
    <w:p w14:paraId="0809CCE4"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Лихой наши части вели наступательные бои и заняли ряд населённых пунктов. Захвачены 44 немецких танка, 233 грузовых и 65 легковых автомашин, 150 вагонов, 21 паровоз, склад взрывчатых веществ, склад боеприпасов, склад запасных частей и склад с инженерным имуществом.</w:t>
      </w:r>
    </w:p>
    <w:p w14:paraId="7B05FE59"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Ворошиловска Н-ская часть истребила до 400 немецких солдат и офицеров и захватила 2 самоходных орудия, 3 миномёта и 13 пулемётов. На другом участке противник бросил против наших подразделений большую группу пехоты инесколько танков. Советские бойцы встретили немцев ураганным огнём. Оставив на поле боя 3 подбитых танка и 120 трупов, гитлеровцы отступили.</w:t>
      </w:r>
    </w:p>
    <w:p w14:paraId="2FFB8D07"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Чугуева наши войска вели наступательные бои. Бойцы Н-ской части ворвались во вражеский узел обороны и захватили пленных и трофеи. На другом участке наши подразделения, продвигаясь вперед, отразили несколько контратак противника и уничтожили 11 танков и до 300 немецких автоматчиков.</w:t>
      </w:r>
    </w:p>
    <w:p w14:paraId="605E0036"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одном из районов Курской области, за последнее время уничтожили на аэродромах 14 немецких самолётов и пустили под откос 7 эшелонов противника.</w:t>
      </w:r>
    </w:p>
    <w:p w14:paraId="113AFA13"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партизан отряда «За Родину», действующего в одном из районов Карело-Финской ССР, внезапно напала на вражеский гарнизон и истребила 35 солдати офицера противника. Взорваны орудие, склад боеприпасов и разрушена прожекторная установка. Другая группа партизан истребила 75 белофиннов, сожгла 3 казармы и вывела из строя 2 дальнобойных орудия.</w:t>
      </w:r>
    </w:p>
    <w:p w14:paraId="1E98784E"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Германское информационное бюро сообщило: «В ходе планомерного передвижения для сокращения линии фронта эвакуирован город Краснодар». В связи с этими нелепыми и глупыми выкрутасами изолгавшихся гитлеровцев очень уместно вспомнить,что писали немцы в августе прошлого года, когда они захватили Краснодар. Захлебываясь от восторга, берлинское радио 10 августа 1942 г. вещало на весь мир: «На Восточном фронте за последние 24 часа произошли события, которые окажут решающее влияние на исход войны. Советам нанесён новый сокрушительный удар, последствия которого до сих пор еще не могут быть по-настоящему оценены. Германские войска захватили Краснодар и Моздок. Потеря этих двух крупнейших промышленных городов окажет огромное влияние на общее военное положение».</w:t>
      </w:r>
    </w:p>
    <w:p w14:paraId="5A4C1429"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полгода назад гитлеровцы утверждали, что захват Краснодара окажет «решающее влияние на исход войны». Кто же им поверит сегодня, что ради «сокращения линии фронта» они добровольно эвакуируют город, который, по их заявлениям, имеет такое большое военное значение. Уместно также вспомнить, что еще совсем недавно немцы хвастали, будто Германия уже добывает нефть в Майкопе. Немецкие газеты и радио широко рекламировали созданное в Берлине «Общество по переработке кавказского табака» и другие бандитские организации. Гитлеровцы рассчитывали всерьёз и надолго обосноваться на Кавказе и Кубани. Но оказалось, что сие от них не зависит.» (15042).</w:t>
      </w:r>
    </w:p>
    <w:p w14:paraId="33AE6234" w14:textId="77777777" w:rsidR="00984084" w:rsidRPr="00D03F3E" w:rsidRDefault="00984084" w:rsidP="00D03F3E">
      <w:pPr>
        <w:spacing w:after="0" w:line="240" w:lineRule="auto"/>
        <w:jc w:val="both"/>
        <w:rPr>
          <w:rFonts w:ascii="Times New Roman" w:hAnsi="Times New Roman"/>
          <w:color w:val="000000" w:themeColor="text1"/>
          <w:sz w:val="16"/>
          <w:szCs w:val="16"/>
        </w:rPr>
      </w:pPr>
    </w:p>
    <w:p w14:paraId="43FA41A7"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16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72B5788F"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наши войска после решительного штурма, перешедшего потом в ожесточённые уличные бои, овладели городом Харьковом.</w:t>
      </w:r>
    </w:p>
    <w:p w14:paraId="36DEFE6F"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Ростовской области нашими войсками заняты районные центры Большекрепинская, Чалтырь, крупные населённые пункты Генеральский Мост, Султан-Салы, Крым, Недвиговка, Синявка.</w:t>
      </w:r>
    </w:p>
    <w:p w14:paraId="23D3C52A"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бои на прежних направлениях.</w:t>
      </w:r>
    </w:p>
    <w:p w14:paraId="0E3F91C3"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февраля частями нашей авиации на различных участках фронта уничтожено или повреждено до 100 автомашин с войсками и грузами, подавлен огонь 20 батарей полевой и зенитной артиллерия, взорвано 6 складов боеприпасов противника.</w:t>
      </w:r>
    </w:p>
    <w:p w14:paraId="37C78D7A"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Западнее Новошахтинска наши войска продвигались вперёд и заняли ряд населённых пунктов. В Новошахтинске наши бойцы захватили немецкий бронепоезд, 6 танков, 4 бронемашины, 9 орудий, 35 вагонов с военными грузами и склад боеприпасов. На другом участке нашими частями захвачено у противника 59 танков, 11 самоходных орудий, около 400 автомашин, 177 вагонов с боеприпасами, снаряжением и военным имуществом. Взято в плен свыше 1.500 немецких солдат иофицеров.</w:t>
      </w:r>
    </w:p>
    <w:p w14:paraId="7D8B5E87"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Красного Сулина наши части продолжали наступление и заняли 30 населенных пунктов. В районе одного населённого пункта Н-ская часть захватила 3 немецких самоходных пушки, бронемашину, 60 автомашин, свыше 200 винтовок и склад боеприпасов. На поле боя осталось много вражеских трупов.</w:t>
      </w:r>
    </w:p>
    <w:p w14:paraId="66B65FBF"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Красноармейского наши войска вели наступательные бои. Н-ская часть в результате упорных боёв очистила от гитлеровцев один крупный населённый пункт. Уничтожено до 400 немецких солдат и офицеров. Захвачено 7 орудий и 8 миномётов. На другом участке наши бойцы, отражая вражескую контратаку, истребили до батальона гитлеровцев и сожгли 5 немецких танков.</w:t>
      </w:r>
    </w:p>
    <w:p w14:paraId="7D840237"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Харькова наши войска продолжали вести наступательные бои. Противник оказывает отчаянное сопротивление. Советские части мощными ударами взломали вражескую оборону и уничтожают живую силу и технику гитлеровцев. Только на одном участке наши бойцы в ожесточённом бою уничтожила 43 немецких танка и батальон вражеской, пехоты. На другом участке советские подразделения овладели рядом укреплений, противника и неудержимо продвигаются вперёд.</w:t>
      </w:r>
    </w:p>
    <w:p w14:paraId="4C560465"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витебских партизан совершила внезапный налёт на гарнизон противника и истребила 49 гитлеровцев. Остальные немцы побросали оружие и разбежались. Партизаны другого отряда пустили под откос 2 немецких воинских эшелона. Разбиты паровоз, 5 вагонов с солдатами и офицерами, 4 платформы с автомашинами и цистернами с горючим.</w:t>
      </w:r>
    </w:p>
    <w:p w14:paraId="1AF37FD2"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адъютант командира 82 немецкой пехотной дивизии капитан Теодор Циглер заявил: «В официальных сводках немецкого командования говорится, что немецкие войска планомерно отступают с Кавказа и Дона в целях сокращения зимней линии обороны. Эти сообщения не могут обмануть нас, офицеров, находящихся на Востоке. Уже в прошлом году некоторые старшие офицеры нашей дивизии расценили зимнее отступление немецких войск как грозное предостережение. Сейчас эти офицеры окончательно утратили всякую надежду на победу Германии. Вот уже третий месяц германская армия отступает. Теперь уже ни о какой победе Германии не может бытьи речи. Весь вопрос сводится сейчас к тому, как долго Германия ещё сможет обороняться».</w:t>
      </w:r>
    </w:p>
    <w:p w14:paraId="0A7B48B3"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Немецкое информационное бюро 13 февраля передало следующее сообщение:«Многочисленные контратаки германских и союзных войск, закончившиеся местами значительным территориальным выигрышем на Южном участке фронта, позволяют сделать вывод, говоря весьма осторожно, о несомненном улучшении общего положения на фронте». Через день, 15 февраля, главная ставка Гитлера разъяснила, что это за территориальные выигрыши, которых добилась немецкая армия на Южном участке фронта. В сообщении ставки Гитлера говорится: «В ходе планомерных операций германские войска, действуя в точности по намеченному плану, оставили города Ростов и Ворошиловград».</w:t>
      </w:r>
    </w:p>
    <w:p w14:paraId="36A0B15A"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Подобная галиматья, которую передаёт немецкое командование, как нельзя лучше свидетельствует о явном замешательстве в лагере гитлеровцев. Потеря немецкими войсками важнейших стратегических позиций, какими являются города Ростов и Ворошиловград, по объяснению гитлеровцев, произошла по «точно намеченномуплану». Законно задать вопрос: с чего это гитлеровцы вдруг воспылали желанием покинуть города, в боях за которые пролито так много немецкой крови? Разумеется, немцы ушли из Ростова и Ворошиловграда не по плану немецкого командования.Красная Армия вышибла немецко-фашистских захватчиков из этих городов и, преследуя по пятам, гонит их на запад. Завтра немецкому командованию, наверное, придётся сообщить, что «немецкие войска, действуя в точности по намеченному плану, оставили город Харьков»?!».</w:t>
      </w:r>
    </w:p>
    <w:p w14:paraId="4DC0979F"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70858500"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Харьков.</w:t>
      </w:r>
    </w:p>
    <w:p w14:paraId="4D4C53D3"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наши войска после решительного штурма, перешедшего потом в ожесточённые уличные бои, овладели городом Харьковом.</w:t>
      </w:r>
    </w:p>
    <w:p w14:paraId="0438A531"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боях за Харьков наши войска разгромили немецкий корпус «СС» в составе двухтанковых дивизий «Адольф Гитлер» и «Райх» и мотодивизии «Великая Германия», а также ряд немецких пехотных дивизий и специальных частей.</w:t>
      </w:r>
    </w:p>
    <w:p w14:paraId="0C25EC9F"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Операция по освобождению Харькова и разгрому противника в этом районе осуществлена силами группы войск под командованием генерал-полковника тов. Голикова Ф.И.</w:t>
      </w:r>
    </w:p>
    <w:p w14:paraId="25F33C7F"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боях за Харьков отличились соединения генерал-лейтенанта тов. Маскаленко К.С, генерал-лейтенанта тов. Рыбалко П.С, генерал-лейтенанта тов. Казакова М.И.и генерал-майора тов. Соколова С.В.</w:t>
      </w:r>
    </w:p>
    <w:p w14:paraId="7F649878"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Первыми ворвались в Харьков части генерал-майора тов. Зайцева Г.М., полковника тов. Костицына А.С, генерал-майора тов. Мартиросяна С.С.» (15042).</w:t>
      </w:r>
    </w:p>
    <w:p w14:paraId="513A269C" w14:textId="77777777" w:rsidR="00984084" w:rsidRPr="00D03F3E" w:rsidRDefault="00984084" w:rsidP="00D03F3E">
      <w:pPr>
        <w:spacing w:after="0" w:line="240" w:lineRule="auto"/>
        <w:jc w:val="both"/>
        <w:rPr>
          <w:rFonts w:ascii="Times New Roman" w:hAnsi="Times New Roman"/>
          <w:color w:val="000000" w:themeColor="text1"/>
          <w:sz w:val="16"/>
          <w:szCs w:val="16"/>
        </w:rPr>
      </w:pPr>
    </w:p>
    <w:p w14:paraId="3EE801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February 16 1943 Russians capture Kharkov (1037).</w:t>
      </w:r>
    </w:p>
    <w:p w14:paraId="6592E7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BAE4C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1943 советские войска освободили Харьков (4962).</w:t>
      </w:r>
    </w:p>
    <w:p w14:paraId="4FE7EB8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4290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1943 советские войска (ВФ - Ф.И.Голиков) освободили Харьков (1037) и Ворошиловград (2262).</w:t>
      </w:r>
    </w:p>
    <w:p w14:paraId="07B5FE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003ED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1943 советские войска освободили Харьков, и начали движение на Полтаву и Днепропетровск, войска Воронежского фронта 8 февраля освободили Курск. Во всех этих операциях активную роль играли танковые части, причем не только бригады, но и танковые корпуса. При этом действовали они в условиях многоснежной зимы, что тоже накладывало свой отпечаток на применение танковых частей. При этом во многих частях присутствовали представители ГБТУ КА, которые наблюдали за эксплуатацией и боевыми качествами матчасти.</w:t>
      </w:r>
    </w:p>
    <w:p w14:paraId="6077283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Например, вот какие выводы содержались в докладе о боях 16-го танкового корпуса 2-й танковой армии за период февраль-март 1943 года.</w:t>
      </w:r>
    </w:p>
    <w:p w14:paraId="564F116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Корпус выгрузился 25 января 1943 года, имея в своем составе 142 танка - 90 Т-34 и 52 Т-70, и действовал на Центральном фронте с 25 января по 1 апреля 1943 года. Сложные погодные условия - снег до 1,5 м, температура от -10 до -20 градусов в феврале и от -5 до +5 градусов марте. В конце марта 1943 года имел в своем составе 8 танков Т-34 и отошел северо-восточнее Фатежа для укомплектования.</w:t>
      </w:r>
    </w:p>
    <w:p w14:paraId="325BC8E7"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Оборонительные средства противника состояли из артиллерии, главным образом самоходной, иногда использовалась авиация. В отдельных случаях, например в районе Литиж, в дополнение к указанному, немцы вели огонь из орудий, установленных на площадках бронепоездов.</w:t>
      </w:r>
    </w:p>
    <w:p w14:paraId="0637250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Техническое состояние после 500-километрового марша: Исправно: 55 танков (28 Т-34); Неисправно - 87 танков (62 Т-34). Основные причины неисправностей танков (61%) - тяжелые условия марша, небрежность производства и отсутствие надлежащего контроля за качеством изготовления.</w:t>
      </w:r>
    </w:p>
    <w:p w14:paraId="0C935E1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Большое число случаев выхода из строя прокладок головки блока цилиндров двигателя В-2, что являлось следствием не только производственных, но и конструктивных недостатков.</w:t>
      </w:r>
    </w:p>
    <w:p w14:paraId="0C8DAA8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Меньший процент выхода из строя танков Т-70 объясняется тем, что они совершали марши в более легких условиях, по дорогам вслед за Т-34.</w:t>
      </w:r>
    </w:p>
    <w:p w14:paraId="31D4589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боев в районе Полозов- ка-Дерюгино - Березовец - Устожа - Литиж со стороны 16-го танкового корпуса использовалось 38 Т-34 и 25 Т-70. Из этого количества было потеряно:</w:t>
      </w:r>
    </w:p>
    <w:p w14:paraId="3A572DE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Подбито артогнем - 17 (10 Т-34) или 35%;</w:t>
      </w:r>
    </w:p>
    <w:p w14:paraId="3D891F0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Сгорело от артогня - 13 (6 Т-34) или 27%;</w:t>
      </w:r>
    </w:p>
    <w:p w14:paraId="50794D0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Подорвано на минах — 4 (2 Т-34) или 8%;.</w:t>
      </w:r>
    </w:p>
    <w:p w14:paraId="588BEEF0"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Разбито авиабомбами - 5 (2 Т-34) или 10%;</w:t>
      </w:r>
    </w:p>
    <w:p w14:paraId="0B5A434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Застряло в реках и оврагах - 10(10 Т-34) или 20%. ,</w:t>
      </w:r>
    </w:p>
    <w:p w14:paraId="20D3EFA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из числа участвовавших в боях 38 Т-34 было потеряно 30, что составляет 79%.</w:t>
      </w:r>
    </w:p>
    <w:p w14:paraId="7D9ECDD5"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Выйдя в район боевых действий с большими техническими потерями корпус вел бой небольшими группами танков, количество которых не превышало 15-20 штук. Действия велись против противотанковой артиллерии и небольших групп немецких танков.</w:t>
      </w:r>
    </w:p>
    <w:p w14:paraId="504B6C9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Литиж Т-34, сломив сопротивление противника, не смогли развить успех по причине отсутствия дополнительной материальной части, а выдвижение исправных боевых машин задерживалось по причине отсутствия горючего и боеприпасов. Отправкой отдельных танков для пополнения действующих частей развить успех не удалось, это приводило только к ненужным потерям. Обстановка осложнялась тем, что из-за бездорожья и отсутствия в корпусе транспортных средств на гусеничном ходу танки, отправляемые для пополнения на передовые позиции, нагружались горючим и боеприпасами, что не позволяло сразу вводить их в бой. Воспользовавшись заминкой в наступлении корпуса, немцы подтянули резервы и стали переходить в контратаки, которые в районе Севска привели к тому, что немцы создали угрозу тылу корпуса. В результате, не выполнив поставленной задачи, 16-й танковый корпус был выведен в резерв.</w:t>
      </w:r>
    </w:p>
    <w:p w14:paraId="78920C1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Неправильное применение танков командованием корпуса привело к увеличению потерь. Систематические налеты немецкой авиации во время боев как правило отсутствовали, и носили лишь эпизодический характер.</w:t>
      </w:r>
    </w:p>
    <w:p w14:paraId="15E788E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Танки Т-34 действовали на наиболее труднопроходимых участках местности, и первыми вступали в бой с артиллерией противника. Танки Т-70 действовали во втором эшелоне, и выполняли частные задачи. При этом 10 танков т-34 (33% потерь) застряли, что являлось «следствием неточности указаний маршрута танков со стороны штаба, и потерей ориентировки экипажами во время движения танков на поле боя. Кроме того, по опыту боевого применения и эксплуатации Т-34 16-го танкового корпуса в феврале-марте 1943 года в были сделаны следующие выводы:</w:t>
      </w:r>
    </w:p>
    <w:p w14:paraId="6E7BF42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«Обзорность танков. Обзорность Т-34 безусловно должна быть улучшена как за счет конструктивных изменений, так и за счет повышения качества смотровых приборов. Из-за неудовлетворительной обзорности имеется следующее:</w:t>
      </w:r>
    </w:p>
    <w:p w14:paraId="2451C3F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Большое количество снарядных попаданий в танк от артиллерии противника по причине того, что экипаж не обнаружив быстро, откуда ведется огонь, не смог своевременно или подавить эти огневые средства, или уйти от их огня.</w:t>
      </w:r>
    </w:p>
    <w:p w14:paraId="6FD7F89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Наличие фактов, когда танки идут в бой до сближения с противником с открытыми люками командира и водителя; выход командира из танка на поле боя для обзора местноста вследствие потери ориентировки; застревание танков в непроходимых оврагах и реках.</w:t>
      </w:r>
    </w:p>
    <w:p w14:paraId="4B69214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Связь между танками. Дать оценку работы приборов связи и их использования на основе боевых действий 16-го танкового корпуса не представляется возможным из-за:</w:t>
      </w:r>
    </w:p>
    <w:p w14:paraId="1B2EB26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Отсутствия одновременных боевых действий больших групп танков.</w:t>
      </w:r>
    </w:p>
    <w:p w14:paraId="697E0A4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Отсутствия на большинстве танков, участвовавших в боях, радиостанций.</w:t>
      </w:r>
    </w:p>
    <w:p w14:paraId="235E2EB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заявлению экипажей Т-34, при наличии радиостанций имеются случаи поломок штырей антенн при поворотах башен.</w:t>
      </w:r>
    </w:p>
    <w:p w14:paraId="6F33479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Скорострельность и меткость вооружения.</w:t>
      </w:r>
    </w:p>
    <w:p w14:paraId="1D4F857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Пушка, установленная на Т-34, является мощным огневым средством в борьбе с самоходной артиллерией противника. Например, попадание снаряда из Т-34 выводит из строя артиллерию САУ (на фото в документе изображена разбитая САУ «Мардер»).</w:t>
      </w:r>
    </w:p>
    <w:p w14:paraId="0EC0E774"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Низкая скорострельность и меткость вооружения Т-34 вследствие трудности работы с поворотным и подъемными механизмами и неудовлетворительной видимости из танка приводило к большому количеству выхода из строя танков от артогня противника и большому количеству снарядных попаданий в танк.</w:t>
      </w:r>
    </w:p>
    <w:p w14:paraId="197BF4D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Отсутствие защиты погона башни приводило к заклиниванию башни, как от попадания осколков, так и снарядов. Вследствие этого такой мощный танк, как Т-34, резко снижает свои боевые качества. Необходимо обязательно ввести защиту погона.</w:t>
      </w:r>
    </w:p>
    <w:p w14:paraId="436D3360"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Обеспечение ГСМ и боеприпасами. Из-за отсутствия в корпусе транспортных средств на гусеничном ходу, доставка ГСМ и боеприпасов на передовую линию производилась на самих танках - на танк грузили бочки с ГСМ и ящики с боеприпасами. Во время марша имели продолжительные остановки из-за отсутствия своевременного подвоза ГСМ по причине зимнего бездорожья. Командование корпуса не приняло должных мер к подготовке дорог на пути движения корпуса для обеспечения планового подвоза ГСМ автотранспортом.</w:t>
      </w:r>
    </w:p>
    <w:p w14:paraId="4F58BE1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Заправка машин горючим, как правило, производится ведрами, что занимает много времени. Необходимо обеспечить танковые части ручными насосами «Альвейер» для ускорения процесса заправки машин на передовых позициях.</w:t>
      </w:r>
    </w:p>
    <w:p w14:paraId="1A817ED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Снабжение корпуса необходимыми сортами масел было неудовлетворительным. В корпусе, в условиях зимы, отсутствовали зимние масла для танковых двигателей. Вследствие этого приходилось работать на летнем сорте масла.</w:t>
      </w:r>
    </w:p>
    <w:p w14:paraId="74EC4CC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Особенности зимней эксплуатации. Необеспеченность корпуса средствами обогрева и отсутствие антифризов приводило к тому, что двигатели танков все время прогревались. При прогреве двигателей после совершения последними марша к моменту выхода на исходные позиции имеют большое количество проработанных моточасов. Установить в беседах с экипажами точные цифры проработанных моточасов не представилось возможным. Имеющиеся записи являются ориентировочными и далеко не точными. Для более точного учета проработанных моточасов следует ставить на танки счетчик мотооборотов по типу американского М-4.</w:t>
      </w:r>
    </w:p>
    <w:p w14:paraId="284986F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Общее количество и качество проведенных ремонтов.</w:t>
      </w:r>
    </w:p>
    <w:p w14:paraId="27CB9F8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Общее количество ремонтов соответствует количеству технических неисправностей машин в корпусе Характер ремонта — смена агрегатов и деталей. Вследствие отсутствия запасных частей, восстановление одного танка происходило за счет снятия агрегатов с другого. Ремою в большинстве случаев производился силами экипажа. Часть машин ремонтировали средствами ПРБ корпуса. Полученные повреждения от артогня, разрушения на минах и авиабомбами: Т-34, за исключением отдельных машин, могут быть восстановлены на рембазах НКО и НКТП. Т-70, получающие аналогичные повреждения, в большинстве случаев восстановлены быть не могут и подлежат переплавке в металлолом.</w:t>
      </w:r>
    </w:p>
    <w:p w14:paraId="49B2CF4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Средства и способы эвакуации. 16-й танковый корпус не имеет в своем составе ни одного тягача или трактора для буксировки аварийных танков. Буксировка, как правило, производилась танками. В корпусе числится 16 тракторов С-65, но все они не на ходу и требуют ремонта.</w:t>
      </w:r>
    </w:p>
    <w:p w14:paraId="6BC7F36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Выводы. В. отношении матчас- ти следует в первую очередь указать на необходимость увеличения прочности и надежности в работе агрегатов и механизмов. Из 90 Т.-34 после 500-километрового марша вышло из строя 62, или 69%.</w:t>
      </w:r>
    </w:p>
    <w:p w14:paraId="70D25B6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 47 Т-34 из 62 имеют технические неисправности двигателей, что составляет 76% от обше- го количества технически неисправных танков» (12217).</w:t>
      </w:r>
    </w:p>
    <w:p w14:paraId="5108C732"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58CEA81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0B13A6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DD66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1943 года</w:t>
      </w:r>
    </w:p>
    <w:p w14:paraId="47A780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СТРОГО СЕКРЕТНОЕ И ЛИЧНОЕ ПОСЛАНИЕ ОТ ПРЕМЬЕРА СТАЛИНА ПРЕЗИДЕНТУ г. РУЗВЕЛЬТУ</w:t>
      </w:r>
    </w:p>
    <w:p w14:paraId="7FF5FE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февраля я получил от г. Черчилля послание с дополнительной информацией о решениях, принятых Вами и г. Черчиллем в Касабланке. Ввиду того, что, по сообщению г. Черчилля, его послание является общим ответом, выражающим также и Ваше мнение, не могу не высказать Вам некоторых соображений, о которых я сообщил одновременно и г. Черчиллю.</w:t>
      </w:r>
    </w:p>
    <w:p w14:paraId="1B355E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указанного послания видно, что раньше намечавшиеся на февраль сроки окончания военных операций в Тунисе теперь откладываются на апрель. Не надо много доказывать, как нежелательна эта оттяжка операций против немцев и итальянцев. Именно в данный момент, когда советским войскам еще удается поддерживать свое широкое наступление, активность англо-американских войск в Северной Африке настоятельно необходима. Одновременность нажима на Гитлера с нашего фронта и с вашей стороны в Тунисе имела бы большое положительное значение для нашего общего дела и создала бы весьма серьезные затруднения для Гитлера и Муссолини. Тогда ускорились бы и намечаемые Вами операции в Сицилии и в восточной части Средиземного моря.</w:t>
      </w:r>
    </w:p>
    <w:p w14:paraId="6979CD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Что касается открытия второго фронта в Европе, в частности во Франции, то оно, как видно из Вашего сообщения, намечается только на август — сентябрь. Мне кажется, однако, что нынешняя ситуация требует того, чтобы эти сроки были максимально сокращены и чтобы второй фронт на Западе был открыт значительно раньше указанного срока. Для того чтобы не дать врагу оправиться, по-моему, весьма важно, чтобы удар с Запада не откладывался на вторую половину года, а был бы нанесен еще весной или в начале лета.</w:t>
      </w:r>
    </w:p>
    <w:p w14:paraId="00E08A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имеющимся у нас достоверным сведениям, немцы за период времени с конца декабря, когда действия англо-американских сил в Тунисе почему-то приостановились, перебросили из Франции, Бельгии, Голландии и самой Германии на советско-германский фронт 27 дивизий, в том числе 5 танковых дивизий. Таким образом, вместо помощи Советскому Союзу путем отвлечения германских сил с советско-германского фронта получилось облегчение для Гитлера, который ввиду ослабления англо-американских операций в Тунисе получил возможность перебросить дополнительные свои войска против русских.</w:t>
      </w:r>
    </w:p>
    <w:p w14:paraId="411AFE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это говорит за то, что, чем раньше мы совместно используем создавшиеся в гитлеровском стане затруднения на фронте, тем больше оснований рассчитывать на разгром Гитлера в скором времени. Если не учесть всего этого сейчас и не использовать нынешний момент в наших общих интересах, то может случиться так, что, получив передышку и собрав силы, немцы смогут оправиться. Для нас с Вами ясно, что не следовало бы допустить подобный нежелательный просчет (7430).</w:t>
      </w:r>
    </w:p>
    <w:p w14:paraId="439274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9B77DD"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16 февраля</w:t>
      </w:r>
      <w:r w:rsidRPr="00D03F3E">
        <w:rPr>
          <w:rFonts w:ascii="Times New Roman" w:hAnsi="Times New Roman"/>
          <w:color w:val="000000" w:themeColor="text1"/>
          <w:sz w:val="16"/>
          <w:szCs w:val="16"/>
        </w:rPr>
        <w:t xml:space="preserve"> в 1943 году послания И.В.Сталина президенту США Ф.Рузвельту и премьер-министру Великобритании У.Черчиллю о необходимости повысить активность действий англо-американских войск в Северной Африке (15042).</w:t>
      </w:r>
    </w:p>
    <w:p w14:paraId="3B525119" w14:textId="77777777" w:rsidR="00984084" w:rsidRPr="00D03F3E" w:rsidRDefault="00984084" w:rsidP="00D03F3E">
      <w:pPr>
        <w:spacing w:after="0" w:line="240" w:lineRule="auto"/>
        <w:jc w:val="both"/>
        <w:rPr>
          <w:rFonts w:ascii="Times New Roman" w:hAnsi="Times New Roman"/>
          <w:color w:val="000000" w:themeColor="text1"/>
          <w:sz w:val="16"/>
          <w:szCs w:val="16"/>
        </w:rPr>
      </w:pPr>
    </w:p>
    <w:p w14:paraId="5FFDF09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2C02C5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568C5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1943 в вишистской Франции введена обязательная двухлетняя трудовая повинность для граждан 20-23 лет (4962).</w:t>
      </w:r>
    </w:p>
    <w:p w14:paraId="70526F6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895436"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16 февраля</w:t>
      </w:r>
      <w:r w:rsidRPr="00D03F3E">
        <w:rPr>
          <w:rFonts w:ascii="Times New Roman" w:hAnsi="Times New Roman"/>
          <w:color w:val="000000" w:themeColor="text1"/>
          <w:sz w:val="16"/>
          <w:szCs w:val="16"/>
        </w:rPr>
        <w:t xml:space="preserve"> в 1943 году во Франции введен Закон о трудовой повинности, предусматривающий также отправку контингентов рабочей силы в Германию (15042).</w:t>
      </w:r>
    </w:p>
    <w:p w14:paraId="20704FB2" w14:textId="77777777" w:rsidR="00984084" w:rsidRPr="00D03F3E" w:rsidRDefault="00984084" w:rsidP="00D03F3E">
      <w:pPr>
        <w:spacing w:after="0" w:line="240" w:lineRule="auto"/>
        <w:jc w:val="both"/>
        <w:rPr>
          <w:rFonts w:ascii="Times New Roman" w:hAnsi="Times New Roman"/>
          <w:color w:val="000000" w:themeColor="text1"/>
          <w:sz w:val="16"/>
          <w:szCs w:val="16"/>
        </w:rPr>
      </w:pPr>
    </w:p>
    <w:p w14:paraId="0FAE1C5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1943 итальянские антифашисты начали передачи радио “Рисоржи”, призывая к восстанию против Муссолини (4962).</w:t>
      </w:r>
    </w:p>
    <w:p w14:paraId="2582ADD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5408B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1943 на фасадах мюнхенских зданий появились надписи "Долой Гитлера Да здравствует свобода", сделанные группой студентов "Белая роза", вскоре расстрелянных (4962).</w:t>
      </w:r>
    </w:p>
    <w:p w14:paraId="2FDE443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ECE5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1943 на фасадах зданий в Мюнхене появились надписи "Долой Гитлера. Да здравствует свобода". Группу студентов Белая роза арестовали уже 18 и 22 казнили (3266,83).</w:t>
      </w:r>
    </w:p>
    <w:p w14:paraId="272C42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0C79D5"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lastRenderedPageBreak/>
        <w:t>16 февраля</w:t>
      </w:r>
      <w:r w:rsidRPr="00D03F3E">
        <w:rPr>
          <w:rFonts w:ascii="Times New Roman" w:hAnsi="Times New Roman"/>
          <w:color w:val="000000" w:themeColor="text1"/>
          <w:sz w:val="16"/>
          <w:szCs w:val="16"/>
        </w:rPr>
        <w:t xml:space="preserve"> в 1943 году на фасадах мюнхенских зданий появляются надписи: "Долой Гитлера! Да здравствует свобода!", сделанные группой студентов "Белая роза". 18 февраля они будут схвачены, а 22-го казнены (15042).</w:t>
      </w:r>
    </w:p>
    <w:p w14:paraId="41AAD0C6" w14:textId="77777777" w:rsidR="00984084" w:rsidRPr="00D03F3E" w:rsidRDefault="00984084" w:rsidP="00D03F3E">
      <w:pPr>
        <w:spacing w:after="0" w:line="240" w:lineRule="auto"/>
        <w:jc w:val="both"/>
        <w:rPr>
          <w:rFonts w:ascii="Times New Roman" w:hAnsi="Times New Roman"/>
          <w:color w:val="000000" w:themeColor="text1"/>
          <w:sz w:val="16"/>
          <w:szCs w:val="16"/>
        </w:rPr>
      </w:pPr>
    </w:p>
    <w:p w14:paraId="511801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February 16 1943 Vemork heavy water plant destroyed in Norway (1052).</w:t>
      </w:r>
    </w:p>
    <w:p w14:paraId="20EE9B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CE0EB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1943 в Норвегии был уничтожен завод тяжелой воды, работающий на Германию (1052).</w:t>
      </w:r>
    </w:p>
    <w:p w14:paraId="5BC018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7825A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1943 звезда американского бейсбола Джо Ди Маджио отправился добровольцем в армию (4962).</w:t>
      </w:r>
    </w:p>
    <w:p w14:paraId="634AA634" w14:textId="77777777" w:rsidR="00AC5101" w:rsidRPr="00D03F3E" w:rsidRDefault="00AC5101"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D70E01" w14:textId="77777777" w:rsidR="00AC5101"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72411287" w14:textId="77777777" w:rsidR="00AC5101" w:rsidRPr="00D03F3E" w:rsidRDefault="00AC5101"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70C0E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февраля 1943 г. из ПОСТАНОВЛЕНИЯ БЮРО НОВОСИБИРСКОГО ОБКОМА ВКП(б) «О МЕРАХ ПО ВЫПОЛНЕНИЮ ПОСТАНОВЛЕНИЯ ГКО О ПРОИЗВОДСТВЕ ЖЕЛЕЗОБЕТОННЫХ АВИАБОМБ»</w:t>
      </w:r>
    </w:p>
    <w:p w14:paraId="11A51B2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Особая папка</w:t>
      </w:r>
    </w:p>
    <w:p w14:paraId="060ED08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обеспечения выполнения постановления ГО КО о производстве железобетонных авиабомб бюро обкома ВКП(б) ПОСТАНОВЛЯЕТ:</w:t>
      </w:r>
    </w:p>
    <w:p w14:paraId="01638BF7"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управляющего строймонтажтрестом № 1 НКБ т. Курицына:</w:t>
      </w:r>
    </w:p>
    <w:p w14:paraId="62FD34E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немедленно, в ударном порядке, развернуть работы по реконструкции и строительству объектов, необходимых для производства железобетонных бомб, сосредоточить на этих объектах требуемое количество рабочей силы и технических средств треста и обеспечить сдачу в эксплуатацию: 19-го объекта комбината № 179, цеха сборного железобетона и арматурного цеха — к 25 февраля, камерных сушилок литейного цеха комбината № 179 — к 1 марта, цеха сборки и доделочных операций, автоклавного цеха № 3 - к 10 марта ...</w:t>
      </w:r>
    </w:p>
    <w:p w14:paraId="26E4832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укрепить аппарат завода по производству железобетонных бомб инженерно-техническими и хозяйственными кадрами, перевести из аппарата треста и строительных контор не менее 25 человек инженеров и техников для работы в качестве начальников цехов, конструкторов и технологов;</w:t>
      </w:r>
    </w:p>
    <w:p w14:paraId="278740D0"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отобрать из числа строителей рабочих и служащих 400 человек для работы в производственных цехах завода по производству авиабомб и организовать их ускоренное обучение по специальностям, требующимся на производстве. Подготовить жилую площадь и все необходимые бытовые условия для приема 600 человек рабочих, мобилизуемых на производство железобетонных авиабомб Наркоматом обороны, согласно постановлению ГОКО от 30 января 1943 года;</w:t>
      </w:r>
    </w:p>
    <w:p w14:paraId="0ACE2B6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принять решительные меры к реализации всех фондов материально-технического снабжения, выделенных постановлением ГОКО от 30 января 1943 года для обеспечения производства железобетонных бомб. Установить, что все работы по обеспечению материально-технического снабжения, набору и расселению рабочей силы, обеспечению пуска объектов в намеченные сроки по заводу авиабомб выполняются аппаратом треста;</w:t>
      </w:r>
    </w:p>
    <w:p w14:paraId="2263DEF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немедленно развернуть массовый выпуск железобетонных авиабомб на имеющихся в тресте площадях и оборудовании;</w:t>
      </w:r>
    </w:p>
    <w:p w14:paraId="6C6D8DA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 одновременно в срочном порядке вести все работы по изготовлению опытной партии железобетонных авиабомб по методу завода, обеспечить выпуск первой партии к 25 февраля, провести испытания и о результатах доложить обкому ВКП(б).</w:t>
      </w:r>
    </w:p>
    <w:p w14:paraId="41E1584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Предупредить т. Курицына, что за дальнейшее промедление с развертыванием производства железобетонных авиабомб, невыполнение установленных сроков строительных работ и непринятие самых решительных мер, обеспечивающих выполнение февральского задания ГОКО по выпуску ФАБ-100, он будет привлечен к строжайшей ответственности.</w:t>
      </w:r>
    </w:p>
    <w:p w14:paraId="7D037BD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Обязать директора комбината № 179 т. Клавсуть: обеспечить отливку чугунных форм для ФАБ-100 по 15 штук ежесуточно и закончить все задание (420 штук) к 15 марта 1943 года, а также обеспечить механическую обработку чугунных форм по 8 штук ежесуточно, начиная с 20 февраля 1943 года; не позднее 15 марта изготовить и сдать стройтресту 40 штук станков для намотки арматуры. Впредь до изготовления намоточных станков передать стройтресту во временное пользование 10 токарных станков из числа неиспользуемых и непригодных для производства снарядов; немедленно организовать производство металлических деталей для железобетонных авиабомб ФАБ-100 на площадях н оборудовании вспомогательных цехов комбината.</w:t>
      </w:r>
    </w:p>
    <w:p w14:paraId="09B208B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Тов. Парфенову - директору завода Ук 65 обеспечить механическую обработку чугунных форм для ФАБ-100 по 7 штук ежесуточно, начиная с 18 февраля, из литья комбината № 179.</w:t>
      </w:r>
    </w:p>
    <w:p w14:paraId="0E04739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Обязать ГСПИ-4 - тт. Скотникова и Долотова выдать все проекты по производству ФАБ-100 и ФАБ-250 комплектно к 1 марта 1943 года, в том числе по цеху сборного железобетона, арматурному цеху и ограде завода к 22 февраля, по цеху сборки и доделочных операций - к 25 февраля и по 3-му автоклавному цеху - к 26 февраля 1943 года.</w:t>
      </w:r>
    </w:p>
    <w:p w14:paraId="5BD393B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В соответствии с постановлением ГОКО поручить уполномоченному Госплана т. Финикову и отраслевым отделам обкома ВКП(б) в семидневный срок выявить на заводах неиспользуемое, незагруженное оборудование для передачи его на производство авиабомб с последующим оформлением в Совнаркоме СССР (согласно прилагаемому списку).</w:t>
      </w:r>
    </w:p>
    <w:p w14:paraId="5ED7ADB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Директору Искитимского цементного завода т. Арсентьеву обеспечить изготовление и поставку стройтресту № 1 НКБ цемента марки «600» в первую очередь перед всеми другими потребителями в соответствии с фондом, выделяемым на производство железобетонных авиабомб.</w:t>
      </w:r>
    </w:p>
    <w:p w14:paraId="133079E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Обязать директора завода № 635 т. Сависина обеспечить к 10 марта подготовку к снаряжению железобетонных авиабомб.</w:t>
      </w:r>
    </w:p>
    <w:p w14:paraId="45C1A21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Обязать облторготдел полностью и своевременно отоваривать все фонды как по основному, так и по дополнительному питанию и по промтоварному снабжению, установленному ГОКО для рабочих, занятых на производстве авиабомб.</w:t>
      </w:r>
    </w:p>
    <w:p w14:paraId="3074C41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Поручить облисполкому рассмотреть вопрос о передаче заводу авиабомб одной фермы Черепанове кого совхоза.</w:t>
      </w:r>
    </w:p>
    <w:p w14:paraId="0A92AD5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Обязать Новосибирский горком ВКП(б) — т. Яковлева и секретаря Кировского райкома ВКП(б) т. Петровичева оказывать всемерную помощь стройтресту № 1 и комбинату № 179 в обеспечении производства железобетонных авиабомб, установить ежедневный контроль за производством работ, связанных с выполнением плана ГОКО по ФАБ-100 и ФАБ-250.</w:t>
      </w:r>
    </w:p>
    <w:p w14:paraId="3810FBC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Контроль за выполнением настоящего постановления возложить на секретаря обкома ВКЩб) по строительству и стройматериалам т. Благирева и по промышленности боеприпасов т. Вороничева.</w:t>
      </w:r>
    </w:p>
    <w:p w14:paraId="7E9725C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Секретарь Новосибирского обкома ВКЩб) Кулагин</w:t>
      </w:r>
    </w:p>
    <w:p w14:paraId="079231F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ГАНО. Ф. П-4. Оп. 33. Д. 736. Л. 15-20. Подлинник.</w:t>
      </w:r>
    </w:p>
    <w:p w14:paraId="0E94B55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Подпись-автограф М.В. Кулагина красными чернилами. Внизу под документом две подписи-росчерка и дата: «18.11.43».</w:t>
      </w:r>
    </w:p>
    <w:p w14:paraId="79FCA84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к п.9 протокола № 390(12193).</w:t>
      </w:r>
    </w:p>
    <w:p w14:paraId="6CD1CE44"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47E2F26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687927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EBCA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февраля 1943 года была подготовлена справка:</w:t>
      </w:r>
    </w:p>
    <w:p w14:paraId="12D230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НКВ вновь организованы заводы №№ 9 и 75 (9269).</w:t>
      </w:r>
    </w:p>
    <w:p w14:paraId="249A17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78F4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февраля 1943 вышло Распоряжение ГКО № 2906. Об изготовлении деталей боевых установок М-13.РГАНИР, Фонд ГКО, д. 91, лл. 31 (11012).</w:t>
      </w:r>
    </w:p>
    <w:p w14:paraId="2953CD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FF01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февраля 1943 вышло Распоряжение ГКО № 2908. Об установке локомобиля на Косинской бумажной фабрике Кировской обл.РГАНИР, Фонд ГКО, д. 91, лл. 42 (11012).</w:t>
      </w:r>
    </w:p>
    <w:p w14:paraId="67EF94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267F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февраля 1943 вышло Распоряжение ГКО № 2909. О распределении и сроках ввода в действие локомобилей на предприятиях некоторых наркоматов.РГАНИР, Фонд ГКО, д. 91, лл. 43-44 (11012).</w:t>
      </w:r>
    </w:p>
    <w:p w14:paraId="78F5E0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BD5AF6" w14:textId="77777777" w:rsidR="00620080" w:rsidRPr="00D03F3E" w:rsidRDefault="0062008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февраля 1943 года директором завода № 112 был подписан приказа по заводу «Красное Сормово» о строительстве самоходной модели катера А-4 Алексеева (19678).</w:t>
      </w:r>
    </w:p>
    <w:p w14:paraId="7A573E0B" w14:textId="77777777" w:rsidR="00620080" w:rsidRPr="00D03F3E" w:rsidRDefault="00620080" w:rsidP="00D03F3E">
      <w:pPr>
        <w:spacing w:after="0" w:line="240" w:lineRule="auto"/>
        <w:jc w:val="both"/>
        <w:rPr>
          <w:rFonts w:ascii="Times New Roman" w:hAnsi="Times New Roman"/>
          <w:color w:val="000000" w:themeColor="text1"/>
          <w:sz w:val="16"/>
          <w:szCs w:val="16"/>
        </w:rPr>
      </w:pPr>
    </w:p>
    <w:p w14:paraId="7FF4326A" w14:textId="77777777" w:rsidR="00984084"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563F079D" w14:textId="77777777" w:rsidR="00984084" w:rsidRPr="00D03F3E" w:rsidRDefault="0098408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13FCA8"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17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58D0A514"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17 февраля наши войска вели наступательные бои на прежних направлениях.</w:t>
      </w:r>
    </w:p>
    <w:p w14:paraId="5759C742"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Западнее Харькова наши войска преследовали остатки разгромленных немецко-фашистских войск. Среди трофейных документов, захваченных в Харькове, найдены приказы немецкого командования, требующие от харьковского гарнизона во что бы то ни стало отстоять город. Немцы предполагали, что основной удар последует с </w:t>
      </w:r>
      <w:r w:rsidRPr="00D03F3E">
        <w:rPr>
          <w:rFonts w:ascii="Times New Roman" w:hAnsi="Times New Roman"/>
          <w:color w:val="000000" w:themeColor="text1"/>
          <w:sz w:val="16"/>
          <w:szCs w:val="16"/>
        </w:rPr>
        <w:lastRenderedPageBreak/>
        <w:t>востока, и сосредоточили здесь большое количество мотопехоты и танков. Совершенно неожиданно для противника советские войска нанесли удар с севера и прорвались на окраины города. В это же время наши части сломили вражескую оборону на других участках, и после ожесточённых уличных боёв Харьков вновь стал советским. В районе Харькова уничтожено большое количество живой силыи техники противника. Захвачено много различных складов, вооружения и транспортных средств, которые подсчитываются.</w:t>
      </w:r>
    </w:p>
    <w:p w14:paraId="2A3E0465"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наши войска продолжали успешное наступление. Противник оказывает упорное сопротивление, но под ударами советских частей оставляет один населённый пункт за другим, неся при этом тяжёлые потери. Только на улицах одного населённого пункта подсчитано до 200 трупов гитлеровцев. Захвачены 2 самоходных орудия, 11 пулемётов, 3 миномёта и склад боеприпасов. Надругом участке наши танкисты подбили 3 немецких танка, рассеяли и в значительной части истребили большую колонну пехоты противника.</w:t>
      </w:r>
    </w:p>
    <w:p w14:paraId="283B733B"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Красноармейского наши войска вели наступательные бои. Гитлеровцы пытаются любой ценой задержать продвижение наших частей. Бойцы Н-ской части отбили контратаку противника и истребили до 400 гитлеровцев. Подбито 6 немецких танков. На другом участке наша моторизованная часть разгромила роту вражеской пехоты, уничтожила 4 немецких танка и 15 автомашин с грузами.</w:t>
      </w:r>
    </w:p>
    <w:p w14:paraId="0BC05E6D"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наши войска вели успешные наступательные бои. Части Н-ского соединения сломили сопротивление немцев, продвинулись вперёд и заняли ряд населённых пунктов. Наши бойцы в крупном населённом пункте окружили и уничтожили немецкий гарнизон, отказавшийся сдаться в плен. Истреблено более 600 гитлеровцев. Захвачены трофеи и пленные.</w:t>
      </w:r>
    </w:p>
    <w:p w14:paraId="6DF333B7"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воздушных боях, огнём зенитной артиллерии и наземных войск Волховского фронта в течение одного дня сбито 14 немецких самолётов.</w:t>
      </w:r>
    </w:p>
    <w:p w14:paraId="2613F58F"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одном из районов Смоленской области, в боях против немецких захватчиков истребили 106 вражеских солдат и офицеров. Другой отряд смоленских партизан за месяц пустил под откос 8 немецких воинских эшелонов с боевой техникой и живой силой.</w:t>
      </w:r>
    </w:p>
    <w:p w14:paraId="66C02F03"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селе Гнилое, Курской области, немецко-фашистские мерзавцы расстреляли 180 мирных жителей. Палачи вырезали целые семьи. Зверски были убиты семья Гусаихиных— из 11 человек, семья Поповых — из 5 человек, Бобровских— из 4 человек, Сычёвых— из 4 человек и другие.» (15043).</w:t>
      </w:r>
    </w:p>
    <w:p w14:paraId="75D86B8A" w14:textId="77777777" w:rsidR="00984084" w:rsidRPr="00D03F3E" w:rsidRDefault="00984084" w:rsidP="00D03F3E">
      <w:pPr>
        <w:spacing w:after="0" w:line="240" w:lineRule="auto"/>
        <w:jc w:val="both"/>
        <w:rPr>
          <w:rFonts w:ascii="Times New Roman" w:hAnsi="Times New Roman"/>
          <w:color w:val="000000" w:themeColor="text1"/>
          <w:sz w:val="16"/>
          <w:szCs w:val="16"/>
        </w:rPr>
      </w:pPr>
    </w:p>
    <w:p w14:paraId="0AA28B17"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17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18BEB1DF"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февраля на Украине наши войска в результате упорных боёв овладели городом и железнодорожным узлом Славянском, а также заняли города Ровеньки, Свердловск, Богодухов, Змиев, районные центры Алексеевское, Славяносербск.</w:t>
      </w:r>
    </w:p>
    <w:p w14:paraId="66BA7A8C"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Курской области наши войска, продолжая развивать наступление, заняли город Грайворон.</w:t>
      </w:r>
    </w:p>
    <w:p w14:paraId="1AFC3217"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бои на прежних направлениях.</w:t>
      </w:r>
    </w:p>
    <w:p w14:paraId="581A5F0A"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Харькова наши войска продолжали успешное наступление и наносили удары по остаткам разгромленных немецких частей. Н-ское соединение за три дня боёв уничтожило 70 немецких танков, 11 самоходных орудий, много транспортёров и автомашин. Бойцы одной нашей части захватили самолёт, 9 танков, 16 аэросаней и несколько десятков автомашин. Путь отступления гитлеровцев усеян трупами вражеских солдат и офицеров, а также брошенным немцами тяжёлым и лёгким оружием.</w:t>
      </w:r>
    </w:p>
    <w:p w14:paraId="06BCF5CD"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наши войска вели успешное наступление. Противник оказывает отчаянное сопротивление, однако бои неизменно заканчиваются победой наших войск. Части Н-ского соединения, продвигаясь вперёд, заняли 11 населённых пунктов и уничтожили до 2.000 немецких солдат и офицеров. Взято много пленных. Уничтожено 23 танка, 18 орудий, из них 2 самоходных, 30 пулемётов, 28 миномётови 5 бронемашин. Захвачены 12 орудий, 2 танка, 46 пулемётов, 28 автомашин, штабной автобус и другие трофеи.</w:t>
      </w:r>
    </w:p>
    <w:p w14:paraId="1A2E73EB"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Краматорской наши бойцы в результате упорных боёв с мотопехотой и танками противника истребили свыше батальона гитлеровцев и заняли три крупных населённых пункта. Захвачены пленные. На другом участке нашими гвардейцами захвачено у противника 78 самолётов, 17 моторов, 20 орудий, 1.300 винтовок, 50 тысяч патронов, 8 разных, складов и два элеватора с зерном.</w:t>
      </w:r>
    </w:p>
    <w:p w14:paraId="0321CBED"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Грайворона наши войска продвигались вперёд. Особенно упорные бои происходили за один крупный населённый пункт. Противник здесь неоднократно переходил в контратаки. Наши бойцы измотали гитлеровцев, а потом решительной атакой, закончившейся рукопашной схваткой, выбили немцев из этого опорного пункта. Истреблено более 400 вражеских солдат и офицеров.</w:t>
      </w:r>
    </w:p>
    <w:p w14:paraId="4298F680"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Фатежа наши войска, переправившись через водный рубеж, ворвались в крупный населённый пункт и после упорных боёв овладели им. Подбито и сожжено 8 немецких танков и истреблено более двух рот гитлеровцев.</w:t>
      </w:r>
    </w:p>
    <w:p w14:paraId="01355736"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наши войска продолжали наступление и заняли ряд населённыхпунктов. Под ударами наших частей войска противника отступают с большими для них потерями. Только на одном участке за два дня истреблено до 1.000 немецких солдат и офицеров. Захвачено 10 орудий разного калибра, два склада с боеприпасами и другим военным имуществом.</w:t>
      </w:r>
    </w:p>
    <w:p w14:paraId="765F5A67"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«За тихий Дон», действующего в одном из районов Ростовской области, активно помогают наступающим частям Красной Армии громить немецко-фашистских захватчиков. Партизаны скрытыми путями вывели во фланг противника два наших пехотных батальона. Внезапно атаковав немцев, красноармейцы совместно с партизанами заняли два населённых пункта, имеющих важное значение. Партизаны другого отряда вели бой с отступающими разрозненными группами противника и уничтожили 90 гитлеровцев.</w:t>
      </w:r>
    </w:p>
    <w:p w14:paraId="431C0C91"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Германское информационное бюро передаёт: «В районе Ворошиловграда полностьюз авершено начатое накануне окружение советской группировки. Германские танковые силы, замкнувшие кольцо, начали её уничтожение». Это сообщение гитлеровцев лживо от начала до конца. Советские войска, овладев Ворошиловградом, продолжают преследовать разбитые части немецко-фашистских войск. Фронт уже далеко отодвинут от города. Немецкие войска отступают и несут большие потери в людях и технике. Где уж им в этом районе окружать советские войска. Гитлеровцы сочиняют лживые басни о мнимых успехах немецко-фашистских войск не случайно. Подобными жульническими приёмами они пытаются смягчить гнетущее впечатление, которое произвели в Германии вести о ряде крупных поражений' немецких войск на советско-немецком фронте.».</w:t>
      </w:r>
    </w:p>
    <w:p w14:paraId="261AF251"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72CEC685"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города Славянск, Ровеньки, Свердловск, Богодухов, Змиев, Грайворон.</w:t>
      </w:r>
    </w:p>
    <w:p w14:paraId="01A2C5E5"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февраля на Украине наши войска в результате упорных боёв овладелигородом и железнодорожным узлом Славянском, а также заняли города Ровеньки, Свердловск, Богодухов, Змиев.</w:t>
      </w:r>
    </w:p>
    <w:p w14:paraId="5C8E931E"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Курской области наши войска, продолжая развивать наступление, занялигород Грайворон.» (15043).</w:t>
      </w:r>
    </w:p>
    <w:p w14:paraId="64AED730" w14:textId="77777777" w:rsidR="00984084" w:rsidRPr="00D03F3E" w:rsidRDefault="00984084" w:rsidP="00D03F3E">
      <w:pPr>
        <w:spacing w:after="0" w:line="240" w:lineRule="auto"/>
        <w:jc w:val="both"/>
        <w:rPr>
          <w:rFonts w:ascii="Times New Roman" w:hAnsi="Times New Roman"/>
          <w:color w:val="000000" w:themeColor="text1"/>
          <w:sz w:val="16"/>
          <w:szCs w:val="16"/>
        </w:rPr>
      </w:pPr>
    </w:p>
    <w:p w14:paraId="22824A52"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17 февраля</w:t>
      </w:r>
      <w:r w:rsidRPr="00D03F3E">
        <w:rPr>
          <w:rFonts w:ascii="Times New Roman" w:hAnsi="Times New Roman"/>
          <w:color w:val="000000" w:themeColor="text1"/>
          <w:sz w:val="16"/>
          <w:szCs w:val="16"/>
        </w:rPr>
        <w:t xml:space="preserve"> в 1943 году 6-я и 1-я гвардейская армии Юго-Западного фронта вышли на подступы к Днепропетровску и Синельниково. Войска Южного фронта достигли рубежа реки Миус (15043).</w:t>
      </w:r>
    </w:p>
    <w:p w14:paraId="7B69E541" w14:textId="77777777" w:rsidR="00984084" w:rsidRPr="00D03F3E" w:rsidRDefault="00984084" w:rsidP="00D03F3E">
      <w:pPr>
        <w:spacing w:after="0" w:line="240" w:lineRule="auto"/>
        <w:jc w:val="both"/>
        <w:rPr>
          <w:rFonts w:ascii="Times New Roman" w:hAnsi="Times New Roman"/>
          <w:color w:val="000000" w:themeColor="text1"/>
          <w:sz w:val="16"/>
          <w:szCs w:val="16"/>
        </w:rPr>
      </w:pPr>
    </w:p>
    <w:p w14:paraId="288CFB0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438724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9687E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февраля 1943 вышло Постановление ГКО № 2907 Об обеспечении г. Ленинграда и Ленинградской области дровами и деловой древесиной и проведении сплава по области в навигацию 1943 года. (7083, 32-37,38-41).</w:t>
      </w:r>
    </w:p>
    <w:p w14:paraId="53E8128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1B1FE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февраля 1943 в СССР расстрелян бывший лидер Федерации Еврейских союзов Виктор Альтер (4962).</w:t>
      </w:r>
    </w:p>
    <w:p w14:paraId="70A2D0F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3809A5"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4DD6DE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21B880" w14:textId="77777777" w:rsidR="00984084" w:rsidRPr="00D03F3E" w:rsidRDefault="00984084"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февраля 1943 в Penemunde Фау-2 достигла высоты 192 км (2990).</w:t>
      </w:r>
    </w:p>
    <w:p w14:paraId="73AFD998" w14:textId="77777777" w:rsidR="00984084" w:rsidRPr="00D03F3E" w:rsidRDefault="00984084"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3B86EB" w14:textId="77777777" w:rsidR="00984084" w:rsidRPr="00D03F3E" w:rsidRDefault="00984084"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февраля 1943 года работники «Пенемюнде» запустили одну «А-4» вертикально вверх, чтобы узнать ее «потолок». Ракета достигла высоты 192 км (по другим источникам – 196,5 км), преодолев таким образом незримую границу космоса и став первым космическим аппаратом, созданным на Земле (11688).</w:t>
      </w:r>
    </w:p>
    <w:p w14:paraId="52B3B206" w14:textId="77777777" w:rsidR="00984084" w:rsidRPr="00D03F3E" w:rsidRDefault="0098408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C1630D"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17 февраля</w:t>
      </w:r>
      <w:r w:rsidRPr="00D03F3E">
        <w:rPr>
          <w:rFonts w:ascii="Times New Roman" w:hAnsi="Times New Roman"/>
          <w:color w:val="000000" w:themeColor="text1"/>
          <w:sz w:val="16"/>
          <w:szCs w:val="16"/>
        </w:rPr>
        <w:t xml:space="preserve"> в 1943 году с немецкого ракетного полигона Пенемюнде осуществлен испытательный пуск баллистической ракеты "V-2" (15043).</w:t>
      </w:r>
    </w:p>
    <w:p w14:paraId="6001BF84" w14:textId="77777777" w:rsidR="00984084" w:rsidRPr="00D03F3E" w:rsidRDefault="00984084" w:rsidP="00D03F3E">
      <w:pPr>
        <w:spacing w:after="0" w:line="240" w:lineRule="auto"/>
        <w:jc w:val="both"/>
        <w:rPr>
          <w:rFonts w:ascii="Times New Roman" w:hAnsi="Times New Roman"/>
          <w:color w:val="000000" w:themeColor="text1"/>
          <w:sz w:val="16"/>
          <w:szCs w:val="16"/>
        </w:rPr>
      </w:pPr>
    </w:p>
    <w:p w14:paraId="3E1D03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February 17, 1943: German troops evacuate Demjansk. In Tunisia, the advance by 5.Panzerarmee (von Arnim) beyond Kasserine Pass is suspended (3819).</w:t>
      </w:r>
    </w:p>
    <w:p w14:paraId="7A2E12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495A2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февраля 1943 германские войска оставили Демянск. В Тунисе было остановлено наступление 5ТА (фон Арним) (3819).</w:t>
      </w:r>
    </w:p>
    <w:p w14:paraId="0B8679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5D10F1"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17 февраля 1943 самолет седьмого военно-воздушного флота США во время фотографической разведки обнаруживает большую базу японских гидросамолетов в Бутаритари на атолле Тарава (20376).</w:t>
      </w:r>
    </w:p>
    <w:p w14:paraId="455FA872" w14:textId="77777777" w:rsidR="00E20571" w:rsidRPr="00D03F3E" w:rsidRDefault="00E20571" w:rsidP="00D03F3E">
      <w:pPr>
        <w:spacing w:after="0" w:line="240" w:lineRule="auto"/>
        <w:jc w:val="both"/>
        <w:rPr>
          <w:rFonts w:ascii="Times New Roman" w:hAnsi="Times New Roman"/>
          <w:color w:val="0070C0"/>
          <w:sz w:val="16"/>
          <w:szCs w:val="16"/>
        </w:rPr>
      </w:pPr>
    </w:p>
    <w:p w14:paraId="40EF641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3AE06C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6DB842"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18 февраля 1943 г.</w:t>
      </w:r>
    </w:p>
    <w:p w14:paraId="7D42796A"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Из приказа по заводу № 18 о проведении серийных испытаний самолета Ил-2</w:t>
      </w:r>
    </w:p>
    <w:p w14:paraId="7A38D59C"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18 февраля 1943 г.</w:t>
      </w:r>
    </w:p>
    <w:p w14:paraId="7167B67B"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Согласно договора между заводом и ГУЗ ВВС КА на 1943 г. с 1 марта по 1 апреля на заводе проводятся серийные испытания самолета Ил-2 под общим руководством старшего военного представителя на заводе.</w:t>
      </w:r>
    </w:p>
    <w:p w14:paraId="32D093C8"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связи с этим приказываю:</w:t>
      </w:r>
    </w:p>
    <w:p w14:paraId="06C22651"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w:t>
      </w:r>
    </w:p>
    <w:p w14:paraId="6144AFEA"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Серийные испытания самолета проводятся на заводе специальной комиссией, назначенной старшим военпредом ГУЗ ВВС КА на заводе, по программе, приложенной к договору.</w:t>
      </w:r>
    </w:p>
    <w:p w14:paraId="231D9095"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w:t>
      </w:r>
    </w:p>
    <w:p w14:paraId="40405F2C"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Ответственным за организацию и обеспечение проведения испытаний от завода назначаю главного инженера завода т. Вострова.</w:t>
      </w:r>
    </w:p>
    <w:p w14:paraId="008FF9EC"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w:t>
      </w:r>
    </w:p>
    <w:p w14:paraId="2E738B88"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Для серийных испытаний выделяется самолет, полностью отработанный в ЛИС завода и сданный заказчику.</w:t>
      </w:r>
    </w:p>
    <w:p w14:paraId="21BCAE1C"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w:t>
      </w:r>
    </w:p>
    <w:p w14:paraId="5E703502"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Нач/альнику/ цеха № 7 т. Еленевич совместно с начальником ОТК завода т. Бобровым обеспечить проведение взвешивания и обмера самолета в цехе № 7 согласно программы серийных испытаний; а также тарировку и приведение в порядок макетов бомб и весового хозяйства.</w:t>
      </w:r>
    </w:p>
    <w:p w14:paraId="11AE8534"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w:t>
      </w:r>
    </w:p>
    <w:p w14:paraId="6F38D43C"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 первому требованию ведущего инженера по испытаниям нач/альнику/ цеха ЛИС т. Маковецкому обеспечивать всем необходимым для проведения наземных и летных испытаний самолета по программе серийных испытаний...</w:t>
      </w:r>
    </w:p>
    <w:p w14:paraId="7232F269"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§7.</w:t>
      </w:r>
    </w:p>
    <w:p w14:paraId="278AA6A6"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 просьбе старшего военпреда для работы в комиссии выделить следующих работников завода, освободив их на время испытаний от основной работы:</w:t>
      </w:r>
    </w:p>
    <w:p w14:paraId="0D27F591"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нач/альника/ группы ВМГ СКО т. Соболева; нач/альника/ техбюро ОЭР т. Козлова, нач/альника/ группы прочности СКО т. Победоносцева, ст. техника по испытаниям т. Артюшина, летчика-испытателя майора т. Рыкова.</w:t>
      </w:r>
    </w:p>
    <w:p w14:paraId="5104652F"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§8.</w:t>
      </w:r>
    </w:p>
    <w:p w14:paraId="30AAAE0B"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Для обеспечения проведения испытаний выделить следующих работников завода: бортмеханик Хлынов с бригадой, мастер по приборам Юрлов.</w:t>
      </w:r>
    </w:p>
    <w:p w14:paraId="1EE39A0A"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Директор завода</w:t>
      </w:r>
      <w:r w:rsidRPr="00D03F3E">
        <w:rPr>
          <w:rFonts w:ascii="Times New Roman" w:hAnsi="Times New Roman"/>
          <w:color w:val="0070C0"/>
          <w:sz w:val="16"/>
          <w:szCs w:val="16"/>
        </w:rPr>
        <w:tab/>
        <w:t>Белянский</w:t>
      </w:r>
    </w:p>
    <w:p w14:paraId="1C993465"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ГАСО. Ф. P-3454. On. 1. Д. 25. Л. 29-29об. Подлинник (20917).</w:t>
      </w:r>
    </w:p>
    <w:p w14:paraId="3C7BDA76" w14:textId="77777777" w:rsidR="00E20571" w:rsidRPr="00D03F3E" w:rsidRDefault="00E20571" w:rsidP="00D03F3E">
      <w:pPr>
        <w:spacing w:after="0" w:line="240" w:lineRule="auto"/>
        <w:jc w:val="both"/>
        <w:rPr>
          <w:rFonts w:ascii="Times New Roman" w:hAnsi="Times New Roman"/>
          <w:color w:val="0070C0"/>
          <w:sz w:val="16"/>
          <w:szCs w:val="16"/>
        </w:rPr>
      </w:pPr>
    </w:p>
    <w:p w14:paraId="4EB8CEC7"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18 февраля</w:t>
      </w:r>
      <w:r w:rsidRPr="00D03F3E">
        <w:rPr>
          <w:rFonts w:ascii="Times New Roman" w:hAnsi="Times New Roman"/>
          <w:color w:val="000000" w:themeColor="text1"/>
          <w:sz w:val="16"/>
          <w:szCs w:val="16"/>
        </w:rPr>
        <w:t xml:space="preserve"> в 1943 году согласно постановлению ГКО № 2914 « О выпуске на Новосибирском заводе № 153 самолетов «Як-9» с увеличенной дальностью» все самолеты «Як-9», в том числе «Як-9Т», должны были с 1 марта 1943 года выпускаться в варианте дальнего истребителя с запасом горючего 480 кг. Такая заправка в начальной стадии полета приводила к ухудшению летных характеристик, особенно скороподъемности и маневренности в вертикальной плоскости. Поэтому «Як-9Т» продолжали выпускаться с 330 кг горючего и полетной массой 3025 кг. «Як-9Т» (танковый) с двигателем «М-105ПФ», винтом «ВИШ-105СВ» диаметром 3,0 м и мощным пушечным вооружением. Вооружение «Як-9Т» состояло из мотор-пушки «ОКБ-16 11П-37» (впоследствии названной «НС-37») калибра 37 мм и одного синхронного пулемета «УБС». Общая масса вооружения 315,5 кг против 168,3 кг у двухбачного «Як-9,» вооруженного одной пушкой «ШВАК» и одним пулеметом «УБС» (15044).</w:t>
      </w:r>
    </w:p>
    <w:p w14:paraId="22E177A5" w14:textId="77777777" w:rsidR="00984084" w:rsidRPr="00D03F3E" w:rsidRDefault="00984084" w:rsidP="00D03F3E">
      <w:pPr>
        <w:spacing w:after="0" w:line="240" w:lineRule="auto"/>
        <w:jc w:val="both"/>
        <w:rPr>
          <w:rFonts w:ascii="Times New Roman" w:hAnsi="Times New Roman"/>
          <w:color w:val="000000" w:themeColor="text1"/>
          <w:sz w:val="16"/>
          <w:szCs w:val="16"/>
        </w:rPr>
      </w:pPr>
    </w:p>
    <w:p w14:paraId="3EB7B6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ГКО постановлением N 2916 в целях обеспечения опытных, конструкторских и экспериментальных работ ГК проф. А.А.М. по авиамоторам и по использованию энергии выхлопных газов авиадвигателей, а также для постановки серийного производства авиационных турбоагрегатов обязал НКАП организовать опытный завод проф. А.А.М. с КБ (1707,58).</w:t>
      </w:r>
    </w:p>
    <w:p w14:paraId="28D2EA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постановлению ГКО от 18 февраля 1943 N 2916сс доводка и летные испытания ТК, производимые ЦИАМ совместно с заводами 240 и 21 на самолетах Ил-4 и Ла-5, должны быть закончены к 15 апреля с.г. (1783,59).</w:t>
      </w:r>
    </w:p>
    <w:p w14:paraId="3E8979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1572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было образовано ОКБ А.А.М. (2668).</w:t>
      </w:r>
    </w:p>
    <w:p w14:paraId="40E1CF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E547F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вышло Постановление ГКО № 2916 Об организации опытного завода № 300 Наркомата авиационной промышленности СССР. (7083, 66-70,71-84).</w:t>
      </w:r>
    </w:p>
    <w:p w14:paraId="4405C6F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AEA01D" w14:textId="77777777" w:rsidR="003C730B" w:rsidRPr="00D03F3E" w:rsidRDefault="003C73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вышло Постановление ГКО № 2916 Об организации опытного завода № 300 Наркомата авиационной промышленности СССР</w:t>
      </w:r>
    </w:p>
    <w:p w14:paraId="42413CB8" w14:textId="77777777" w:rsidR="003C730B" w:rsidRPr="00D03F3E" w:rsidRDefault="003C730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целях обеспечения опытных, конструкторских и экспериментальных работ Главного конструктора, профес</w:t>
      </w:r>
      <w:r w:rsidRPr="00D03F3E">
        <w:rPr>
          <w:rFonts w:ascii="Times New Roman" w:cs="Times New Roman"/>
          <w:color w:val="000000" w:themeColor="text1"/>
          <w:spacing w:val="0"/>
        </w:rPr>
        <w:softHyphen/>
        <w:t>соре Микулина А. А. по авиационным моторам и по исполь</w:t>
      </w:r>
      <w:r w:rsidRPr="00D03F3E">
        <w:rPr>
          <w:rFonts w:ascii="Times New Roman" w:cs="Times New Roman"/>
          <w:color w:val="000000" w:themeColor="text1"/>
          <w:spacing w:val="0"/>
        </w:rPr>
        <w:softHyphen/>
        <w:t>зованию энергии выхлопных газоз авиадвигателей, а так</w:t>
      </w:r>
      <w:r w:rsidRPr="00D03F3E">
        <w:rPr>
          <w:rFonts w:ascii="Times New Roman" w:cs="Times New Roman"/>
          <w:color w:val="000000" w:themeColor="text1"/>
          <w:spacing w:val="0"/>
        </w:rPr>
        <w:softHyphen/>
        <w:t>ие для пост8нозкк серийного производства авиационных турбоагрегатов, Государственный комитет Обороны поста</w:t>
      </w:r>
      <w:r w:rsidRPr="00D03F3E">
        <w:rPr>
          <w:rFonts w:ascii="Times New Roman" w:cs="Times New Roman"/>
          <w:color w:val="000000" w:themeColor="text1"/>
          <w:spacing w:val="0"/>
        </w:rPr>
        <w:softHyphen/>
        <w:t>новляет:</w:t>
      </w:r>
    </w:p>
    <w:p w14:paraId="5BC343EC" w14:textId="77777777" w:rsidR="003C730B" w:rsidRPr="00D03F3E" w:rsidRDefault="003C730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1. Организовать опытный завод профессора Никули</w:t>
      </w:r>
      <w:r w:rsidRPr="00D03F3E">
        <w:rPr>
          <w:rFonts w:ascii="Times New Roman" w:cs="Times New Roman"/>
          <w:color w:val="000000" w:themeColor="text1"/>
          <w:spacing w:val="0"/>
        </w:rPr>
        <w:softHyphen/>
      </w:r>
      <w:r w:rsidRPr="00D03F3E">
        <w:rPr>
          <w:rStyle w:val="1pt"/>
          <w:rFonts w:ascii="Times New Roman" w:cs="Times New Roman"/>
          <w:color w:val="000000" w:themeColor="text1"/>
          <w:spacing w:val="0"/>
          <w:sz w:val="16"/>
          <w:szCs w:val="16"/>
        </w:rPr>
        <w:t>на А.А.,</w:t>
      </w:r>
      <w:r w:rsidRPr="00D03F3E">
        <w:rPr>
          <w:rFonts w:ascii="Times New Roman" w:cs="Times New Roman"/>
          <w:color w:val="000000" w:themeColor="text1"/>
          <w:spacing w:val="0"/>
        </w:rPr>
        <w:t xml:space="preserve"> с конструкторским бюро, лабораториями, испыта</w:t>
      </w:r>
      <w:r w:rsidRPr="00D03F3E">
        <w:rPr>
          <w:rFonts w:ascii="Times New Roman" w:cs="Times New Roman"/>
          <w:color w:val="000000" w:themeColor="text1"/>
          <w:spacing w:val="0"/>
        </w:rPr>
        <w:softHyphen/>
        <w:t>тельными установками, производственными и вспомогатель</w:t>
      </w:r>
      <w:r w:rsidRPr="00D03F3E">
        <w:rPr>
          <w:rFonts w:ascii="Times New Roman" w:cs="Times New Roman"/>
          <w:color w:val="000000" w:themeColor="text1"/>
          <w:spacing w:val="0"/>
        </w:rPr>
        <w:softHyphen/>
        <w:t>ными цехами.</w:t>
      </w:r>
    </w:p>
    <w:p w14:paraId="6D118FD8" w14:textId="77777777" w:rsidR="003C730B" w:rsidRPr="00D03F3E" w:rsidRDefault="003C730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Для этой цели передать опытному заводу т Микулина все производственные, подсобные, вспомогательные и жиль: помещения, транспорт, оборудование, жилой фонд и кадры завода № 8 треста "Оргавиапром". Передачу произвести в декадный срок по балансу на 1 января 1943 года.</w:t>
      </w:r>
    </w:p>
    <w:p w14:paraId="55C84CE0" w14:textId="77777777" w:rsidR="003C730B" w:rsidRPr="00D03F3E" w:rsidRDefault="003C730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После окончания государственного испытания мотора АМ-42 перевести на этот завод</w:t>
      </w:r>
      <w:r w:rsidRPr="00D03F3E">
        <w:rPr>
          <w:rStyle w:val="TrebuchetMS8pt"/>
          <w:rFonts w:ascii="Times New Roman" w:hAnsi="Times New Roman" w:cs="Times New Roman"/>
          <w:color w:val="000000" w:themeColor="text1"/>
        </w:rPr>
        <w:t xml:space="preserve"> Опытно</w:t>
      </w:r>
      <w:r w:rsidRPr="00D03F3E">
        <w:rPr>
          <w:rFonts w:ascii="Times New Roman" w:cs="Times New Roman"/>
          <w:color w:val="000000" w:themeColor="text1"/>
          <w:spacing w:val="0"/>
        </w:rPr>
        <w:t xml:space="preserve">-конструкторское </w:t>
      </w:r>
      <w:r w:rsidRPr="00D03F3E">
        <w:rPr>
          <w:rStyle w:val="1pt"/>
          <w:rFonts w:ascii="Times New Roman" w:cs="Times New Roman"/>
          <w:color w:val="000000" w:themeColor="text1"/>
          <w:spacing w:val="0"/>
          <w:sz w:val="16"/>
          <w:szCs w:val="16"/>
        </w:rPr>
        <w:t>бю</w:t>
      </w:r>
      <w:r w:rsidRPr="00D03F3E">
        <w:rPr>
          <w:rStyle w:val="1pt"/>
          <w:rFonts w:ascii="Times New Roman" w:cs="Times New Roman"/>
          <w:color w:val="000000" w:themeColor="text1"/>
          <w:spacing w:val="0"/>
          <w:sz w:val="16"/>
          <w:szCs w:val="16"/>
        </w:rPr>
        <w:softHyphen/>
      </w:r>
      <w:r w:rsidRPr="00D03F3E">
        <w:rPr>
          <w:rFonts w:ascii="Times New Roman" w:cs="Times New Roman"/>
          <w:color w:val="000000" w:themeColor="text1"/>
          <w:spacing w:val="0"/>
        </w:rPr>
        <w:t>ро завода №</w:t>
      </w:r>
      <w:r w:rsidRPr="00D03F3E">
        <w:rPr>
          <w:rStyle w:val="TimesNewRoman105pt"/>
          <w:rFonts w:eastAsia="Gungsuh"/>
          <w:color w:val="000000" w:themeColor="text1"/>
          <w:sz w:val="16"/>
          <w:szCs w:val="16"/>
        </w:rPr>
        <w:t xml:space="preserve"> 24</w:t>
      </w:r>
      <w:r w:rsidRPr="00D03F3E">
        <w:rPr>
          <w:rFonts w:ascii="Times New Roman" w:cs="Times New Roman"/>
          <w:color w:val="000000" w:themeColor="text1"/>
          <w:spacing w:val="0"/>
        </w:rPr>
        <w:t xml:space="preserve"> с конструкторами, инвентарем, производ</w:t>
      </w:r>
      <w:r w:rsidRPr="00D03F3E">
        <w:rPr>
          <w:rFonts w:ascii="Times New Roman" w:cs="Times New Roman"/>
          <w:color w:val="000000" w:themeColor="text1"/>
          <w:spacing w:val="0"/>
        </w:rPr>
        <w:softHyphen/>
        <w:t xml:space="preserve">ственным оборудованием и частью лабораторного имуществе сохранив не заводах № 24 и 45 филиалы ОКБ, подчиненные главному конструктору Никулину </w:t>
      </w:r>
      <w:r w:rsidRPr="00D03F3E">
        <w:rPr>
          <w:rStyle w:val="1pt"/>
          <w:rFonts w:ascii="Times New Roman" w:cs="Times New Roman"/>
          <w:color w:val="000000" w:themeColor="text1"/>
          <w:spacing w:val="0"/>
          <w:sz w:val="16"/>
          <w:szCs w:val="16"/>
        </w:rPr>
        <w:t>А.А.</w:t>
      </w:r>
      <w:r w:rsidRPr="00D03F3E">
        <w:rPr>
          <w:rFonts w:ascii="Times New Roman" w:cs="Times New Roman"/>
          <w:color w:val="000000" w:themeColor="text1"/>
          <w:spacing w:val="0"/>
        </w:rPr>
        <w:t xml:space="preserve"> со штатом, лаборато</w:t>
      </w:r>
      <w:r w:rsidRPr="00D03F3E">
        <w:rPr>
          <w:rFonts w:ascii="Times New Roman" w:cs="Times New Roman"/>
          <w:color w:val="000000" w:themeColor="text1"/>
          <w:spacing w:val="0"/>
        </w:rPr>
        <w:softHyphen/>
        <w:t>рным и испытательным оборудованием.</w:t>
      </w:r>
    </w:p>
    <w:p w14:paraId="003A0D83" w14:textId="77777777" w:rsidR="003C730B" w:rsidRPr="00D03F3E" w:rsidRDefault="003C730B" w:rsidP="00D03F3E">
      <w:pPr>
        <w:pStyle w:val="6c"/>
        <w:shd w:val="clear" w:color="auto" w:fill="auto"/>
        <w:spacing w:before="0" w:line="240" w:lineRule="auto"/>
        <w:jc w:val="both"/>
        <w:rPr>
          <w:rFonts w:ascii="Times New Roman" w:hAnsi="Times New Roman" w:cs="Times New Roman"/>
          <w:color w:val="000000" w:themeColor="text1"/>
        </w:rPr>
      </w:pPr>
      <w:r w:rsidRPr="00D03F3E">
        <w:rPr>
          <w:rStyle w:val="16"/>
          <w:rFonts w:ascii="Times New Roman" w:hAnsi="Times New Roman" w:cs="Times New Roman"/>
          <w:color w:val="000000" w:themeColor="text1"/>
          <w:spacing w:val="0"/>
          <w:u w:val="none"/>
        </w:rPr>
        <w:t>филиалы ОКБ на заводах №№ 24 и 45, возглавляемые за</w:t>
      </w:r>
      <w:r w:rsidRPr="00D03F3E">
        <w:rPr>
          <w:rStyle w:val="16"/>
          <w:rFonts w:ascii="Times New Roman" w:hAnsi="Times New Roman" w:cs="Times New Roman"/>
          <w:color w:val="000000" w:themeColor="text1"/>
          <w:spacing w:val="0"/>
          <w:u w:val="none"/>
        </w:rPr>
        <w:softHyphen/>
        <w:t>местителями главного конструктора, сохранить в об"еме</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полностью обеспечивающем текущую помощь серийному произ</w:t>
      </w:r>
      <w:r w:rsidRPr="00D03F3E">
        <w:rPr>
          <w:rStyle w:val="16"/>
          <w:rFonts w:ascii="Times New Roman" w:hAnsi="Times New Roman" w:cs="Times New Roman"/>
          <w:color w:val="000000" w:themeColor="text1"/>
          <w:spacing w:val="0"/>
          <w:u w:val="none"/>
        </w:rPr>
        <w:softHyphen/>
        <w:t>водству, а такке проведение опытных работ по заменителям</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и устранению дефектов серийного производства.</w:t>
      </w:r>
    </w:p>
    <w:p w14:paraId="4E250FCA" w14:textId="77777777" w:rsidR="003C730B" w:rsidRPr="00D03F3E" w:rsidRDefault="003C730B" w:rsidP="00D03F3E">
      <w:pPr>
        <w:pStyle w:val="6c"/>
        <w:shd w:val="clear" w:color="auto" w:fill="auto"/>
        <w:tabs>
          <w:tab w:val="left" w:pos="998"/>
        </w:tabs>
        <w:spacing w:before="0" w:line="240" w:lineRule="auto"/>
        <w:jc w:val="both"/>
        <w:rPr>
          <w:rFonts w:ascii="Times New Roman" w:hAnsi="Times New Roman" w:cs="Times New Roman"/>
          <w:color w:val="000000" w:themeColor="text1"/>
        </w:rPr>
      </w:pPr>
      <w:r w:rsidRPr="00D03F3E">
        <w:rPr>
          <w:rStyle w:val="16"/>
          <w:rFonts w:ascii="Times New Roman" w:hAnsi="Times New Roman" w:cs="Times New Roman"/>
          <w:color w:val="000000" w:themeColor="text1"/>
          <w:spacing w:val="0"/>
          <w:u w:val="none"/>
        </w:rPr>
        <w:t xml:space="preserve">2. Опытному заводу профессора Микулина </w:t>
      </w:r>
      <w:r w:rsidRPr="00D03F3E">
        <w:rPr>
          <w:rStyle w:val="1pt"/>
          <w:rFonts w:ascii="Times New Roman" w:hAnsi="Times New Roman" w:cs="Times New Roman"/>
          <w:color w:val="000000" w:themeColor="text1"/>
          <w:spacing w:val="0"/>
          <w:sz w:val="16"/>
          <w:szCs w:val="16"/>
        </w:rPr>
        <w:t>А.А.</w:t>
      </w:r>
      <w:r w:rsidRPr="00D03F3E">
        <w:rPr>
          <w:rStyle w:val="16"/>
          <w:rFonts w:ascii="Times New Roman" w:hAnsi="Times New Roman" w:cs="Times New Roman"/>
          <w:color w:val="000000" w:themeColor="text1"/>
          <w:spacing w:val="0"/>
          <w:u w:val="none"/>
        </w:rPr>
        <w:t xml:space="preserve"> присво</w:t>
      </w:r>
      <w:r w:rsidRPr="00D03F3E">
        <w:rPr>
          <w:rStyle w:val="16"/>
          <w:rFonts w:ascii="Times New Roman" w:hAnsi="Times New Roman" w:cs="Times New Roman"/>
          <w:color w:val="000000" w:themeColor="text1"/>
          <w:spacing w:val="0"/>
          <w:u w:val="none"/>
        </w:rPr>
        <w:softHyphen/>
        <w:t>ить № 300 с отнесением его к звводам первой категории</w:t>
      </w:r>
    </w:p>
    <w:p w14:paraId="7EDB90DF" w14:textId="77777777" w:rsidR="003C730B" w:rsidRPr="00D03F3E" w:rsidRDefault="003C730B" w:rsidP="00D03F3E">
      <w:pPr>
        <w:pStyle w:val="6c"/>
        <w:shd w:val="clear" w:color="auto" w:fill="auto"/>
        <w:tabs>
          <w:tab w:val="left" w:pos="1005"/>
        </w:tabs>
        <w:spacing w:before="0" w:line="240" w:lineRule="auto"/>
        <w:jc w:val="both"/>
        <w:rPr>
          <w:rFonts w:ascii="Times New Roman" w:hAnsi="Times New Roman" w:cs="Times New Roman"/>
          <w:color w:val="000000" w:themeColor="text1"/>
        </w:rPr>
      </w:pPr>
      <w:r w:rsidRPr="00D03F3E">
        <w:rPr>
          <w:rStyle w:val="16"/>
          <w:rFonts w:ascii="Times New Roman" w:hAnsi="Times New Roman" w:cs="Times New Roman"/>
          <w:color w:val="000000" w:themeColor="text1"/>
          <w:spacing w:val="0"/>
          <w:u w:val="none"/>
        </w:rPr>
        <w:t>3. Обязать Главного конструктора Микулина А. А. обеспечить на заводе № 300:</w:t>
      </w:r>
    </w:p>
    <w:p w14:paraId="4851B718" w14:textId="77777777" w:rsidR="003C730B" w:rsidRPr="00D03F3E" w:rsidRDefault="003C730B" w:rsidP="00D03F3E">
      <w:pPr>
        <w:pStyle w:val="6c"/>
        <w:shd w:val="clear" w:color="auto" w:fill="auto"/>
        <w:tabs>
          <w:tab w:val="left" w:pos="990"/>
        </w:tabs>
        <w:spacing w:before="0" w:line="240" w:lineRule="auto"/>
        <w:jc w:val="both"/>
        <w:rPr>
          <w:rStyle w:val="16"/>
          <w:rFonts w:ascii="Times New Roman" w:hAnsi="Times New Roman" w:cs="Times New Roman"/>
          <w:color w:val="000000" w:themeColor="text1"/>
          <w:spacing w:val="0"/>
          <w:u w:val="none"/>
        </w:rPr>
      </w:pPr>
      <w:r w:rsidRPr="00D03F3E">
        <w:rPr>
          <w:rStyle w:val="16"/>
          <w:rFonts w:ascii="Times New Roman" w:hAnsi="Times New Roman" w:cs="Times New Roman"/>
          <w:color w:val="000000" w:themeColor="text1"/>
          <w:spacing w:val="0"/>
          <w:u w:val="none"/>
        </w:rPr>
        <w:t>а) Изготовление и пред"явление на совместные 50 ч</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испытания в октябре 1943 года мотора АМ-43-Т.Р. (с турбореактором)</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со следующей характеристикой:</w:t>
      </w:r>
    </w:p>
    <w:p w14:paraId="01E9E5C5" w14:textId="77777777" w:rsidR="003C730B" w:rsidRPr="00D03F3E" w:rsidRDefault="003C730B" w:rsidP="00D03F3E">
      <w:pPr>
        <w:pStyle w:val="6c"/>
        <w:shd w:val="clear" w:color="auto" w:fill="auto"/>
        <w:tabs>
          <w:tab w:val="left" w:pos="990"/>
        </w:tabs>
        <w:spacing w:before="0" w:line="240" w:lineRule="auto"/>
        <w:jc w:val="both"/>
        <w:rPr>
          <w:rStyle w:val="1pt"/>
          <w:rFonts w:ascii="Times New Roman" w:hAnsi="Times New Roman" w:cs="Times New Roman"/>
          <w:color w:val="000000" w:themeColor="text1"/>
          <w:spacing w:val="0"/>
          <w:sz w:val="16"/>
          <w:szCs w:val="16"/>
        </w:rPr>
      </w:pPr>
      <w:r w:rsidRPr="00D03F3E">
        <w:rPr>
          <w:rStyle w:val="16"/>
          <w:rFonts w:ascii="Times New Roman" w:hAnsi="Times New Roman" w:cs="Times New Roman"/>
          <w:color w:val="000000" w:themeColor="text1"/>
          <w:spacing w:val="0"/>
          <w:u w:val="none"/>
        </w:rPr>
        <w:t>Мощность на</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 xml:space="preserve">грэнице 1-ой высотности 200С метр. </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 xml:space="preserve">2500 </w:t>
      </w:r>
      <w:r w:rsidRPr="00D03F3E">
        <w:rPr>
          <w:rStyle w:val="1pt"/>
          <w:rFonts w:ascii="Times New Roman" w:hAnsi="Times New Roman" w:cs="Times New Roman"/>
          <w:color w:val="000000" w:themeColor="text1"/>
          <w:spacing w:val="0"/>
          <w:sz w:val="16"/>
          <w:szCs w:val="16"/>
        </w:rPr>
        <w:t>л.с</w:t>
      </w:r>
    </w:p>
    <w:p w14:paraId="05206613" w14:textId="77777777" w:rsidR="003C730B" w:rsidRPr="00D03F3E" w:rsidRDefault="003C730B" w:rsidP="00D03F3E">
      <w:pPr>
        <w:pStyle w:val="6c"/>
        <w:shd w:val="clear" w:color="auto" w:fill="auto"/>
        <w:tabs>
          <w:tab w:val="left" w:pos="990"/>
        </w:tabs>
        <w:spacing w:before="0" w:line="240" w:lineRule="auto"/>
        <w:jc w:val="both"/>
        <w:rPr>
          <w:rStyle w:val="1pt"/>
          <w:rFonts w:ascii="Times New Roman" w:hAnsi="Times New Roman" w:cs="Times New Roman"/>
          <w:color w:val="000000" w:themeColor="text1"/>
          <w:spacing w:val="0"/>
          <w:sz w:val="16"/>
          <w:szCs w:val="16"/>
        </w:rPr>
      </w:pPr>
      <w:r w:rsidRPr="00D03F3E">
        <w:rPr>
          <w:rStyle w:val="16"/>
          <w:rFonts w:ascii="Times New Roman" w:hAnsi="Times New Roman" w:cs="Times New Roman"/>
          <w:color w:val="000000" w:themeColor="text1"/>
          <w:spacing w:val="0"/>
          <w:u w:val="none"/>
        </w:rPr>
        <w:t xml:space="preserve">Номинал на высоте 5000 метр. </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 xml:space="preserve">2000 </w:t>
      </w:r>
      <w:r w:rsidRPr="00D03F3E">
        <w:rPr>
          <w:rStyle w:val="1pt"/>
          <w:rFonts w:ascii="Times New Roman" w:hAnsi="Times New Roman" w:cs="Times New Roman"/>
          <w:color w:val="000000" w:themeColor="text1"/>
          <w:spacing w:val="0"/>
          <w:sz w:val="16"/>
          <w:szCs w:val="16"/>
        </w:rPr>
        <w:t>л.с.</w:t>
      </w:r>
    </w:p>
    <w:p w14:paraId="46F8A086" w14:textId="77777777" w:rsidR="003C730B" w:rsidRPr="00D03F3E" w:rsidRDefault="003C730B" w:rsidP="00D03F3E">
      <w:pPr>
        <w:pStyle w:val="6c"/>
        <w:shd w:val="clear" w:color="auto" w:fill="auto"/>
        <w:tabs>
          <w:tab w:val="left" w:pos="990"/>
        </w:tabs>
        <w:spacing w:before="0" w:line="240" w:lineRule="auto"/>
        <w:jc w:val="both"/>
        <w:rPr>
          <w:rFonts w:ascii="Times New Roman" w:hAnsi="Times New Roman" w:cs="Times New Roman"/>
          <w:color w:val="000000" w:themeColor="text1"/>
        </w:rPr>
      </w:pPr>
      <w:r w:rsidRPr="00D03F3E">
        <w:rPr>
          <w:rStyle w:val="16"/>
          <w:rFonts w:ascii="Times New Roman" w:hAnsi="Times New Roman" w:cs="Times New Roman"/>
          <w:color w:val="000000" w:themeColor="text1"/>
          <w:spacing w:val="0"/>
          <w:u w:val="none"/>
        </w:rPr>
        <w:t>На этом речшме достиг</w:t>
      </w:r>
      <w:r w:rsidRPr="00D03F3E">
        <w:rPr>
          <w:rStyle w:val="16"/>
          <w:rFonts w:ascii="Times New Roman" w:hAnsi="Times New Roman" w:cs="Times New Roman"/>
          <w:color w:val="000000" w:themeColor="text1"/>
          <w:spacing w:val="0"/>
          <w:u w:val="none"/>
        </w:rPr>
        <w:softHyphen/>
        <w:t>нуть до 20% экономии горючего.</w:t>
      </w:r>
    </w:p>
    <w:p w14:paraId="4B33194C" w14:textId="77777777" w:rsidR="003C730B" w:rsidRPr="00D03F3E" w:rsidRDefault="003C730B" w:rsidP="00D03F3E">
      <w:pPr>
        <w:pStyle w:val="6c"/>
        <w:shd w:val="clear" w:color="auto" w:fill="auto"/>
        <w:spacing w:before="0" w:line="240" w:lineRule="auto"/>
        <w:jc w:val="both"/>
        <w:rPr>
          <w:rFonts w:ascii="Times New Roman" w:hAnsi="Times New Roman" w:cs="Times New Roman"/>
          <w:color w:val="000000" w:themeColor="text1"/>
        </w:rPr>
      </w:pPr>
      <w:r w:rsidRPr="00D03F3E">
        <w:rPr>
          <w:rStyle w:val="16"/>
          <w:rFonts w:ascii="Times New Roman" w:hAnsi="Times New Roman" w:cs="Times New Roman"/>
          <w:color w:val="000000" w:themeColor="text1"/>
          <w:spacing w:val="0"/>
          <w:u w:val="none"/>
        </w:rPr>
        <w:t>Для осуществления этой задачи директору завода №</w:t>
      </w:r>
      <w:r w:rsidRPr="00D03F3E">
        <w:rPr>
          <w:rStyle w:val="Garamond95pt"/>
          <w:rFonts w:ascii="Times New Roman" w:hAnsi="Times New Roman" w:cs="Times New Roman"/>
          <w:color w:val="000000" w:themeColor="text1"/>
          <w:sz w:val="16"/>
          <w:szCs w:val="16"/>
        </w:rPr>
        <w:t xml:space="preserve"> 24I </w:t>
      </w:r>
      <w:r w:rsidRPr="00D03F3E">
        <w:rPr>
          <w:rFonts w:ascii="Times New Roman" w:hAnsi="Times New Roman" w:cs="Times New Roman"/>
          <w:color w:val="000000" w:themeColor="text1"/>
        </w:rPr>
        <w:t>т.</w:t>
      </w:r>
      <w:r w:rsidRPr="00D03F3E">
        <w:rPr>
          <w:rStyle w:val="16"/>
          <w:rFonts w:ascii="Times New Roman" w:hAnsi="Times New Roman" w:cs="Times New Roman"/>
          <w:color w:val="000000" w:themeColor="text1"/>
          <w:spacing w:val="0"/>
          <w:u w:val="none"/>
        </w:rPr>
        <w:t xml:space="preserve">Козлову </w:t>
      </w:r>
      <w:r w:rsidRPr="00D03F3E">
        <w:rPr>
          <w:rStyle w:val="1pt"/>
          <w:rFonts w:ascii="Times New Roman" w:hAnsi="Times New Roman" w:cs="Times New Roman"/>
          <w:color w:val="000000" w:themeColor="text1"/>
          <w:spacing w:val="0"/>
          <w:sz w:val="16"/>
          <w:szCs w:val="16"/>
        </w:rPr>
        <w:t>Ы,С.</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 xml:space="preserve">передать заводу № </w:t>
      </w:r>
      <w:r w:rsidRPr="00D03F3E">
        <w:rPr>
          <w:rStyle w:val="5f2"/>
          <w:rFonts w:ascii="Times New Roman" w:hAnsi="Times New Roman" w:cs="Times New Roman"/>
          <w:color w:val="000000" w:themeColor="text1"/>
        </w:rPr>
        <w:t>300</w:t>
      </w:r>
      <w:r w:rsidRPr="00D03F3E">
        <w:rPr>
          <w:rStyle w:val="16"/>
          <w:rFonts w:ascii="Times New Roman" w:hAnsi="Times New Roman" w:cs="Times New Roman"/>
          <w:color w:val="000000" w:themeColor="text1"/>
          <w:spacing w:val="0"/>
          <w:u w:val="none"/>
        </w:rPr>
        <w:t xml:space="preserve"> в марте - 5 моторов АМ</w:t>
      </w:r>
      <w:r w:rsidRPr="00D03F3E">
        <w:rPr>
          <w:rStyle w:val="5f2"/>
          <w:rFonts w:ascii="Times New Roman" w:hAnsi="Times New Roman" w:cs="Times New Roman"/>
          <w:color w:val="000000" w:themeColor="text1"/>
        </w:rPr>
        <w:t>-38Ф</w:t>
      </w:r>
      <w:r w:rsidRPr="00D03F3E">
        <w:rPr>
          <w:rStyle w:val="16"/>
          <w:rFonts w:ascii="Times New Roman" w:hAnsi="Times New Roman" w:cs="Times New Roman"/>
          <w:color w:val="000000" w:themeColor="text1"/>
          <w:spacing w:val="0"/>
          <w:u w:val="none"/>
        </w:rPr>
        <w:t xml:space="preserve"> </w:t>
      </w:r>
      <w:r w:rsidRPr="00D03F3E">
        <w:rPr>
          <w:rFonts w:ascii="Times New Roman" w:hAnsi="Times New Roman" w:cs="Times New Roman"/>
          <w:color w:val="000000" w:themeColor="text1"/>
        </w:rPr>
        <w:t xml:space="preserve">и </w:t>
      </w:r>
      <w:r w:rsidRPr="00D03F3E">
        <w:rPr>
          <w:rStyle w:val="16"/>
          <w:rFonts w:ascii="Times New Roman" w:hAnsi="Times New Roman" w:cs="Times New Roman"/>
          <w:color w:val="000000" w:themeColor="text1"/>
          <w:spacing w:val="0"/>
          <w:u w:val="none"/>
        </w:rPr>
        <w:t xml:space="preserve">в апреле </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10 моторов АМ</w:t>
      </w:r>
      <w:r w:rsidRPr="00D03F3E">
        <w:rPr>
          <w:rFonts w:ascii="Times New Roman" w:hAnsi="Times New Roman" w:cs="Times New Roman"/>
          <w:color w:val="000000" w:themeColor="text1"/>
        </w:rPr>
        <w:t xml:space="preserve">-42, </w:t>
      </w:r>
      <w:r w:rsidRPr="00D03F3E">
        <w:rPr>
          <w:rStyle w:val="16"/>
          <w:rFonts w:ascii="Times New Roman" w:hAnsi="Times New Roman" w:cs="Times New Roman"/>
          <w:color w:val="000000" w:themeColor="text1"/>
          <w:spacing w:val="0"/>
          <w:u w:val="none"/>
        </w:rPr>
        <w:t xml:space="preserve">зачислив </w:t>
      </w:r>
      <w:r w:rsidRPr="00D03F3E">
        <w:rPr>
          <w:rFonts w:ascii="Times New Roman" w:hAnsi="Times New Roman" w:cs="Times New Roman"/>
          <w:color w:val="000000" w:themeColor="text1"/>
        </w:rPr>
        <w:t xml:space="preserve">их </w:t>
      </w:r>
      <w:r w:rsidRPr="00D03F3E">
        <w:rPr>
          <w:rStyle w:val="16"/>
          <w:rFonts w:ascii="Times New Roman" w:hAnsi="Times New Roman" w:cs="Times New Roman"/>
          <w:color w:val="000000" w:themeColor="text1"/>
          <w:spacing w:val="0"/>
          <w:u w:val="none"/>
        </w:rPr>
        <w:t>в счет</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графика</w:t>
      </w:r>
      <w:r w:rsidRPr="00D03F3E">
        <w:rPr>
          <w:rFonts w:ascii="Times New Roman" w:hAnsi="Times New Roman" w:cs="Times New Roman"/>
          <w:color w:val="000000" w:themeColor="text1"/>
        </w:rPr>
        <w:t>.</w:t>
      </w:r>
    </w:p>
    <w:p w14:paraId="025E675C" w14:textId="77777777" w:rsidR="003C730B" w:rsidRPr="00D03F3E" w:rsidRDefault="003C730B" w:rsidP="00D03F3E">
      <w:pPr>
        <w:pStyle w:val="6c"/>
        <w:shd w:val="clear" w:color="auto" w:fill="auto"/>
        <w:tabs>
          <w:tab w:val="left" w:pos="990"/>
        </w:tabs>
        <w:spacing w:before="0" w:line="240" w:lineRule="auto"/>
        <w:jc w:val="both"/>
        <w:rPr>
          <w:rFonts w:ascii="Times New Roman" w:hAnsi="Times New Roman" w:cs="Times New Roman"/>
          <w:color w:val="000000" w:themeColor="text1"/>
        </w:rPr>
      </w:pPr>
      <w:r w:rsidRPr="00D03F3E">
        <w:rPr>
          <w:rStyle w:val="16"/>
          <w:rFonts w:ascii="Times New Roman" w:hAnsi="Times New Roman" w:cs="Times New Roman"/>
          <w:color w:val="000000" w:themeColor="text1"/>
          <w:spacing w:val="0"/>
          <w:u w:val="none"/>
        </w:rPr>
        <w:t xml:space="preserve">б) Проведение всех опытных работ, связанных с дальнейшей модификацией и развитием моторов типа </w:t>
      </w:r>
      <w:r w:rsidRPr="00D03F3E">
        <w:rPr>
          <w:rStyle w:val="16"/>
          <w:rFonts w:ascii="Times New Roman" w:hAnsi="Times New Roman" w:cs="Times New Roman"/>
          <w:color w:val="000000" w:themeColor="text1"/>
          <w:spacing w:val="0"/>
          <w:u w:val="none"/>
          <w:lang w:val="en-US"/>
        </w:rPr>
        <w:t>AM</w:t>
      </w:r>
      <w:r w:rsidRPr="00D03F3E">
        <w:rPr>
          <w:rStyle w:val="16"/>
          <w:rFonts w:ascii="Times New Roman" w:hAnsi="Times New Roman" w:cs="Times New Roman"/>
          <w:color w:val="000000" w:themeColor="text1"/>
          <w:spacing w:val="0"/>
          <w:u w:val="none"/>
        </w:rPr>
        <w:t>, с последующим внедрением проверенных образцов в серийное произ</w:t>
      </w:r>
      <w:r w:rsidRPr="00D03F3E">
        <w:rPr>
          <w:rStyle w:val="16"/>
          <w:rFonts w:ascii="Times New Roman" w:hAnsi="Times New Roman" w:cs="Times New Roman"/>
          <w:color w:val="000000" w:themeColor="text1"/>
          <w:spacing w:val="0"/>
          <w:u w:val="none"/>
        </w:rPr>
        <w:softHyphen/>
        <w:t xml:space="preserve">водство на заводе № 24 </w:t>
      </w:r>
      <w:r w:rsidRPr="00D03F3E">
        <w:rPr>
          <w:rFonts w:ascii="Times New Roman" w:hAnsi="Times New Roman" w:cs="Times New Roman"/>
          <w:color w:val="000000" w:themeColor="text1"/>
        </w:rPr>
        <w:t xml:space="preserve">и </w:t>
      </w:r>
      <w:r w:rsidRPr="00D03F3E">
        <w:rPr>
          <w:rStyle w:val="16"/>
          <w:rFonts w:ascii="Times New Roman" w:hAnsi="Times New Roman" w:cs="Times New Roman"/>
          <w:color w:val="000000" w:themeColor="text1"/>
          <w:spacing w:val="0"/>
          <w:u w:val="none"/>
        </w:rPr>
        <w:t xml:space="preserve">№ </w:t>
      </w:r>
      <w:r w:rsidRPr="00D03F3E">
        <w:rPr>
          <w:rFonts w:ascii="Times New Roman" w:hAnsi="Times New Roman" w:cs="Times New Roman"/>
          <w:color w:val="000000" w:themeColor="text1"/>
        </w:rPr>
        <w:t>45.</w:t>
      </w:r>
    </w:p>
    <w:p w14:paraId="7AAFD35D" w14:textId="77777777" w:rsidR="003C730B" w:rsidRPr="00D03F3E" w:rsidRDefault="003C730B" w:rsidP="00D03F3E">
      <w:pPr>
        <w:pStyle w:val="6c"/>
        <w:shd w:val="clear" w:color="auto" w:fill="auto"/>
        <w:tabs>
          <w:tab w:val="left" w:pos="983"/>
        </w:tabs>
        <w:spacing w:before="0" w:line="240" w:lineRule="auto"/>
        <w:jc w:val="both"/>
        <w:rPr>
          <w:rFonts w:ascii="Times New Roman" w:hAnsi="Times New Roman" w:cs="Times New Roman"/>
          <w:color w:val="000000" w:themeColor="text1"/>
        </w:rPr>
      </w:pPr>
      <w:r w:rsidRPr="00D03F3E">
        <w:rPr>
          <w:rStyle w:val="16"/>
          <w:rFonts w:ascii="Times New Roman" w:hAnsi="Times New Roman" w:cs="Times New Roman"/>
          <w:color w:val="000000" w:themeColor="text1"/>
          <w:spacing w:val="0"/>
          <w:u w:val="none"/>
        </w:rPr>
        <w:t>в) Проведение опытных работ, связанных с доводкой</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 xml:space="preserve">существующих </w:t>
      </w:r>
      <w:r w:rsidRPr="00D03F3E">
        <w:rPr>
          <w:rFonts w:ascii="Times New Roman" w:hAnsi="Times New Roman" w:cs="Times New Roman"/>
          <w:color w:val="000000" w:themeColor="text1"/>
        </w:rPr>
        <w:t xml:space="preserve">и </w:t>
      </w:r>
      <w:r w:rsidRPr="00D03F3E">
        <w:rPr>
          <w:rStyle w:val="16"/>
          <w:rFonts w:ascii="Times New Roman" w:hAnsi="Times New Roman" w:cs="Times New Roman"/>
          <w:color w:val="000000" w:themeColor="text1"/>
          <w:spacing w:val="0"/>
          <w:u w:val="none"/>
        </w:rPr>
        <w:t>разработкой новых образцов турбокомпрес</w:t>
      </w:r>
      <w:r w:rsidRPr="00D03F3E">
        <w:rPr>
          <w:rStyle w:val="16"/>
          <w:rFonts w:ascii="Times New Roman" w:hAnsi="Times New Roman" w:cs="Times New Roman"/>
          <w:color w:val="000000" w:themeColor="text1"/>
          <w:spacing w:val="0"/>
          <w:u w:val="none"/>
        </w:rPr>
        <w:softHyphen/>
        <w:t xml:space="preserve">соров </w:t>
      </w:r>
      <w:r w:rsidRPr="00D03F3E">
        <w:rPr>
          <w:rFonts w:ascii="Times New Roman" w:hAnsi="Times New Roman" w:cs="Times New Roman"/>
          <w:color w:val="000000" w:themeColor="text1"/>
        </w:rPr>
        <w:t xml:space="preserve">и </w:t>
      </w:r>
      <w:r w:rsidRPr="00D03F3E">
        <w:rPr>
          <w:rStyle w:val="16"/>
          <w:rFonts w:ascii="Times New Roman" w:hAnsi="Times New Roman" w:cs="Times New Roman"/>
          <w:color w:val="000000" w:themeColor="text1"/>
          <w:spacing w:val="0"/>
          <w:u w:val="none"/>
        </w:rPr>
        <w:t>турбореакторов.</w:t>
      </w:r>
    </w:p>
    <w:p w14:paraId="464C97AA" w14:textId="77777777" w:rsidR="003C730B" w:rsidRPr="00D03F3E" w:rsidRDefault="003C730B" w:rsidP="00D03F3E">
      <w:pPr>
        <w:pStyle w:val="6c"/>
        <w:shd w:val="clear" w:color="auto" w:fill="auto"/>
        <w:tabs>
          <w:tab w:val="left" w:pos="998"/>
        </w:tabs>
        <w:spacing w:before="0" w:line="240" w:lineRule="auto"/>
        <w:jc w:val="both"/>
        <w:rPr>
          <w:rFonts w:ascii="Times New Roman" w:hAnsi="Times New Roman" w:cs="Times New Roman"/>
          <w:color w:val="000000" w:themeColor="text1"/>
        </w:rPr>
      </w:pPr>
      <w:r w:rsidRPr="00D03F3E">
        <w:rPr>
          <w:rStyle w:val="16"/>
          <w:rFonts w:ascii="Times New Roman" w:hAnsi="Times New Roman" w:cs="Times New Roman"/>
          <w:color w:val="000000" w:themeColor="text1"/>
          <w:spacing w:val="0"/>
          <w:u w:val="none"/>
        </w:rPr>
        <w:t>г) Изготовление нужного количества образцов турбо</w:t>
      </w:r>
      <w:r w:rsidRPr="00D03F3E">
        <w:rPr>
          <w:rStyle w:val="16"/>
          <w:rFonts w:ascii="Times New Roman" w:hAnsi="Times New Roman" w:cs="Times New Roman"/>
          <w:color w:val="000000" w:themeColor="text1"/>
          <w:spacing w:val="0"/>
          <w:u w:val="none"/>
        </w:rPr>
        <w:softHyphen/>
        <w:t xml:space="preserve">агрегатов </w:t>
      </w:r>
      <w:r w:rsidRPr="00D03F3E">
        <w:rPr>
          <w:rFonts w:ascii="Times New Roman" w:hAnsi="Times New Roman" w:cs="Times New Roman"/>
          <w:color w:val="000000" w:themeColor="text1"/>
        </w:rPr>
        <w:t xml:space="preserve">для </w:t>
      </w:r>
      <w:r w:rsidRPr="00D03F3E">
        <w:rPr>
          <w:rStyle w:val="16"/>
          <w:rFonts w:ascii="Times New Roman" w:hAnsi="Times New Roman" w:cs="Times New Roman"/>
          <w:color w:val="000000" w:themeColor="text1"/>
          <w:spacing w:val="0"/>
          <w:u w:val="none"/>
        </w:rPr>
        <w:t xml:space="preserve">проведения </w:t>
      </w:r>
      <w:r w:rsidRPr="00D03F3E">
        <w:rPr>
          <w:rFonts w:ascii="Times New Roman" w:hAnsi="Times New Roman" w:cs="Times New Roman"/>
          <w:color w:val="000000" w:themeColor="text1"/>
        </w:rPr>
        <w:t xml:space="preserve">их </w:t>
      </w:r>
      <w:r w:rsidRPr="00D03F3E">
        <w:rPr>
          <w:rStyle w:val="16"/>
          <w:rFonts w:ascii="Times New Roman" w:hAnsi="Times New Roman" w:cs="Times New Roman"/>
          <w:color w:val="000000" w:themeColor="text1"/>
          <w:spacing w:val="0"/>
          <w:u w:val="none"/>
        </w:rPr>
        <w:t>заводских, государственных и</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 xml:space="preserve">войсковых </w:t>
      </w:r>
      <w:r w:rsidRPr="00D03F3E">
        <w:rPr>
          <w:rFonts w:ascii="Times New Roman" w:hAnsi="Times New Roman" w:cs="Times New Roman"/>
          <w:color w:val="000000" w:themeColor="text1"/>
        </w:rPr>
        <w:t>испытаний.</w:t>
      </w:r>
    </w:p>
    <w:p w14:paraId="03632F80" w14:textId="77777777" w:rsidR="003C730B" w:rsidRPr="00D03F3E" w:rsidRDefault="003C730B" w:rsidP="00D03F3E">
      <w:pPr>
        <w:pStyle w:val="6c"/>
        <w:shd w:val="clear" w:color="auto" w:fill="auto"/>
        <w:tabs>
          <w:tab w:val="left" w:pos="983"/>
        </w:tabs>
        <w:spacing w:before="0" w:line="240" w:lineRule="auto"/>
        <w:jc w:val="both"/>
        <w:rPr>
          <w:rFonts w:ascii="Times New Roman" w:hAnsi="Times New Roman" w:cs="Times New Roman"/>
          <w:color w:val="000000" w:themeColor="text1"/>
        </w:rPr>
      </w:pPr>
      <w:r w:rsidRPr="00D03F3E">
        <w:rPr>
          <w:rFonts w:ascii="Times New Roman" w:hAnsi="Times New Roman" w:cs="Times New Roman"/>
          <w:color w:val="000000" w:themeColor="text1"/>
        </w:rPr>
        <w:t xml:space="preserve">д) </w:t>
      </w:r>
      <w:r w:rsidRPr="00D03F3E">
        <w:rPr>
          <w:rStyle w:val="16"/>
          <w:rFonts w:ascii="Times New Roman" w:hAnsi="Times New Roman" w:cs="Times New Roman"/>
          <w:color w:val="000000" w:themeColor="text1"/>
          <w:spacing w:val="0"/>
          <w:u w:val="none"/>
        </w:rPr>
        <w:t>Постановку серийного производства, турбокомпрес</w:t>
      </w:r>
      <w:r w:rsidRPr="00D03F3E">
        <w:rPr>
          <w:rStyle w:val="16"/>
          <w:rFonts w:ascii="Times New Roman" w:hAnsi="Times New Roman" w:cs="Times New Roman"/>
          <w:color w:val="000000" w:themeColor="text1"/>
          <w:spacing w:val="0"/>
          <w:u w:val="none"/>
        </w:rPr>
        <w:softHyphen/>
        <w:t xml:space="preserve">соров </w:t>
      </w:r>
      <w:r w:rsidRPr="00D03F3E">
        <w:rPr>
          <w:rFonts w:ascii="Times New Roman" w:hAnsi="Times New Roman" w:cs="Times New Roman"/>
          <w:color w:val="000000" w:themeColor="text1"/>
        </w:rPr>
        <w:t xml:space="preserve">и </w:t>
      </w:r>
      <w:r w:rsidRPr="00D03F3E">
        <w:rPr>
          <w:rStyle w:val="16"/>
          <w:rFonts w:ascii="Times New Roman" w:hAnsi="Times New Roman" w:cs="Times New Roman"/>
          <w:color w:val="000000" w:themeColor="text1"/>
          <w:spacing w:val="0"/>
          <w:u w:val="none"/>
        </w:rPr>
        <w:t>турбореактороз, обеспечивающего выпуск в третьем</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 xml:space="preserve">квартале до </w:t>
      </w:r>
      <w:r w:rsidRPr="00D03F3E">
        <w:rPr>
          <w:rStyle w:val="5f2"/>
          <w:rFonts w:ascii="Times New Roman" w:hAnsi="Times New Roman" w:cs="Times New Roman"/>
          <w:color w:val="000000" w:themeColor="text1"/>
        </w:rPr>
        <w:t>100</w:t>
      </w:r>
      <w:r w:rsidRPr="00D03F3E">
        <w:rPr>
          <w:rStyle w:val="16"/>
          <w:rFonts w:ascii="Times New Roman" w:hAnsi="Times New Roman" w:cs="Times New Roman"/>
          <w:color w:val="000000" w:themeColor="text1"/>
          <w:spacing w:val="0"/>
          <w:u w:val="none"/>
        </w:rPr>
        <w:t xml:space="preserve"> шт. в месяц и в 1У квартале до </w:t>
      </w:r>
      <w:r w:rsidRPr="00D03F3E">
        <w:rPr>
          <w:rStyle w:val="-1pt"/>
          <w:rFonts w:ascii="Times New Roman" w:hAnsi="Times New Roman" w:cs="Times New Roman"/>
          <w:color w:val="000000" w:themeColor="text1"/>
          <w:spacing w:val="0"/>
          <w:sz w:val="16"/>
          <w:szCs w:val="16"/>
        </w:rPr>
        <w:t>2,00</w:t>
      </w:r>
      <w:r w:rsidRPr="00D03F3E">
        <w:rPr>
          <w:rStyle w:val="16"/>
          <w:rFonts w:ascii="Times New Roman" w:hAnsi="Times New Roman" w:cs="Times New Roman"/>
          <w:color w:val="000000" w:themeColor="text1"/>
          <w:spacing w:val="0"/>
          <w:u w:val="none"/>
        </w:rPr>
        <w:t xml:space="preserve"> шт. в месяц.</w:t>
      </w:r>
    </w:p>
    <w:p w14:paraId="0F21F3B5" w14:textId="77777777" w:rsidR="003C730B" w:rsidRPr="00D03F3E" w:rsidRDefault="003C730B" w:rsidP="00D03F3E">
      <w:pPr>
        <w:pStyle w:val="6c"/>
        <w:shd w:val="clear" w:color="auto" w:fill="auto"/>
        <w:tabs>
          <w:tab w:val="left" w:pos="1005"/>
        </w:tabs>
        <w:spacing w:before="0" w:line="240" w:lineRule="auto"/>
        <w:jc w:val="both"/>
        <w:rPr>
          <w:rFonts w:ascii="Times New Roman" w:hAnsi="Times New Roman" w:cs="Times New Roman"/>
          <w:color w:val="000000" w:themeColor="text1"/>
        </w:rPr>
      </w:pPr>
      <w:r w:rsidRPr="00D03F3E">
        <w:rPr>
          <w:rStyle w:val="16"/>
          <w:rFonts w:ascii="Times New Roman" w:hAnsi="Times New Roman" w:cs="Times New Roman"/>
          <w:color w:val="000000" w:themeColor="text1"/>
          <w:spacing w:val="0"/>
          <w:u w:val="none"/>
        </w:rPr>
        <w:t>е) За счет резервов оборудования сохранить на заводе</w:t>
      </w:r>
      <w:r w:rsidRPr="00D03F3E">
        <w:rPr>
          <w:rFonts w:ascii="Times New Roman" w:hAnsi="Times New Roman" w:cs="Times New Roman"/>
          <w:color w:val="000000" w:themeColor="text1"/>
        </w:rPr>
        <w:t xml:space="preserve"> </w:t>
      </w:r>
      <w:r w:rsidRPr="00D03F3E">
        <w:rPr>
          <w:rStyle w:val="5f2"/>
          <w:rFonts w:ascii="Times New Roman" w:hAnsi="Times New Roman" w:cs="Times New Roman"/>
          <w:color w:val="000000" w:themeColor="text1"/>
        </w:rPr>
        <w:t>№ 300</w:t>
      </w:r>
      <w:r w:rsidRPr="00D03F3E">
        <w:rPr>
          <w:rStyle w:val="16"/>
          <w:rFonts w:ascii="Times New Roman" w:hAnsi="Times New Roman" w:cs="Times New Roman"/>
          <w:color w:val="000000" w:themeColor="text1"/>
          <w:spacing w:val="0"/>
          <w:u w:val="none"/>
        </w:rPr>
        <w:t xml:space="preserve"> производство станков типа "Питлер" в об"еме установленным для полного развертывания производственной программы</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по турбокомпрессорам.</w:t>
      </w:r>
    </w:p>
    <w:p w14:paraId="248F0EB1" w14:textId="77777777" w:rsidR="003C730B" w:rsidRPr="00D03F3E" w:rsidRDefault="003C730B" w:rsidP="00D03F3E">
      <w:pPr>
        <w:tabs>
          <w:tab w:val="left" w:pos="995"/>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4. Обязать Наркомавиапром:</w:t>
      </w:r>
    </w:p>
    <w:p w14:paraId="1F336F06" w14:textId="77777777" w:rsidR="003C730B" w:rsidRPr="00D03F3E" w:rsidRDefault="003C730B" w:rsidP="00D03F3E">
      <w:pPr>
        <w:tabs>
          <w:tab w:val="left" w:pos="1000"/>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а) заместителя Народного Комиссара т.Тарасова В.И.</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укомплектовать завод необходимой рабсилой с доведением чис</w:t>
      </w:r>
      <w:r w:rsidRPr="00D03F3E">
        <w:rPr>
          <w:rStyle w:val="16"/>
          <w:rFonts w:ascii="Times New Roman" w:hAnsi="Times New Roman" w:cs="Times New Roman"/>
          <w:color w:val="000000" w:themeColor="text1"/>
          <w:spacing w:val="0"/>
          <w:u w:val="none"/>
        </w:rPr>
        <w:softHyphen/>
        <w:t>ла рабочих в 1У квартале до 2000 человек, а также в декад</w:t>
      </w:r>
      <w:r w:rsidRPr="00D03F3E">
        <w:rPr>
          <w:rStyle w:val="16"/>
          <w:rFonts w:ascii="Times New Roman" w:hAnsi="Times New Roman" w:cs="Times New Roman"/>
          <w:color w:val="000000" w:themeColor="text1"/>
          <w:spacing w:val="0"/>
          <w:u w:val="none"/>
        </w:rPr>
        <w:softHyphen/>
        <w:t>ный срок перевести на завод №</w:t>
      </w:r>
      <w:r w:rsidRPr="00D03F3E">
        <w:rPr>
          <w:rStyle w:val="CordiaUPC165pt-1pt"/>
          <w:rFonts w:ascii="Times New Roman" w:hAnsi="Times New Roman" w:cs="Times New Roman"/>
          <w:color w:val="000000" w:themeColor="text1"/>
          <w:spacing w:val="0"/>
          <w:sz w:val="16"/>
          <w:szCs w:val="16"/>
        </w:rPr>
        <w:t xml:space="preserve"> 300</w:t>
      </w:r>
      <w:r w:rsidRPr="00D03F3E">
        <w:rPr>
          <w:rStyle w:val="16"/>
          <w:rFonts w:ascii="Times New Roman" w:hAnsi="Times New Roman" w:cs="Times New Roman"/>
          <w:color w:val="000000" w:themeColor="text1"/>
          <w:spacing w:val="0"/>
          <w:u w:val="none"/>
        </w:rPr>
        <w:t xml:space="preserve"> с заводов</w:t>
      </w:r>
      <w:r w:rsidRPr="00D03F3E">
        <w:rPr>
          <w:rStyle w:val="CordiaUPC165pt-1pt"/>
          <w:rFonts w:ascii="Times New Roman" w:hAnsi="Times New Roman" w:cs="Times New Roman"/>
          <w:color w:val="000000" w:themeColor="text1"/>
          <w:spacing w:val="0"/>
          <w:sz w:val="16"/>
          <w:szCs w:val="16"/>
        </w:rPr>
        <w:t xml:space="preserve"> №№</w:t>
      </w:r>
      <w:r w:rsidRPr="00D03F3E">
        <w:rPr>
          <w:rStyle w:val="16"/>
          <w:rFonts w:ascii="Times New Roman" w:hAnsi="Times New Roman" w:cs="Times New Roman"/>
          <w:color w:val="000000" w:themeColor="text1"/>
          <w:spacing w:val="0"/>
          <w:u w:val="none"/>
        </w:rPr>
        <w:t xml:space="preserve"> 45, 24 и дру</w:t>
      </w:r>
      <w:r w:rsidRPr="00D03F3E">
        <w:rPr>
          <w:rStyle w:val="16"/>
          <w:rFonts w:ascii="Times New Roman" w:hAnsi="Times New Roman" w:cs="Times New Roman"/>
          <w:color w:val="000000" w:themeColor="text1"/>
          <w:spacing w:val="0"/>
          <w:u w:val="none"/>
        </w:rPr>
        <w:softHyphen/>
        <w:t>гих предприятий НКАП бывших сотрудников ОКБ профессора Ми</w:t>
      </w:r>
      <w:r w:rsidRPr="00D03F3E">
        <w:rPr>
          <w:rStyle w:val="16"/>
          <w:rFonts w:ascii="Times New Roman" w:hAnsi="Times New Roman" w:cs="Times New Roman"/>
          <w:color w:val="000000" w:themeColor="text1"/>
          <w:spacing w:val="0"/>
          <w:u w:val="none"/>
        </w:rPr>
        <w:softHyphen/>
        <w:t>кулина, согласно приложению № 1;</w:t>
      </w:r>
    </w:p>
    <w:p w14:paraId="1337010A" w14:textId="77777777" w:rsidR="003C730B" w:rsidRPr="00D03F3E" w:rsidRDefault="003C730B" w:rsidP="00D03F3E">
      <w:pPr>
        <w:tabs>
          <w:tab w:val="left" w:pos="993"/>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б) заместителя Народного Комиссаре т.Сандлера С.М.</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доукомплектовать завод № З00 металлорежущим оборудованием</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в количестве 25 единиц в 1 квартале, согласно приложению</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 2, и 100 одиниц не позднее 1 июня 1943 года, согласно</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приложению № 3.</w:t>
      </w:r>
    </w:p>
    <w:p w14:paraId="402F9787" w14:textId="77777777" w:rsidR="003C730B" w:rsidRPr="00D03F3E" w:rsidRDefault="003C730B" w:rsidP="00D03F3E">
      <w:pPr>
        <w:tabs>
          <w:tab w:val="left" w:pos="1000"/>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lastRenderedPageBreak/>
        <w:t>5. Обязать Нэркомвнешторг т.Микояна А.И. выделить заводу № 300 из поступлений по импорту в 1 квартале с.г. по ра</w:t>
      </w:r>
      <w:r w:rsidRPr="00D03F3E">
        <w:rPr>
          <w:rStyle w:val="16"/>
          <w:rFonts w:ascii="Times New Roman" w:hAnsi="Times New Roman" w:cs="Times New Roman"/>
          <w:color w:val="000000" w:themeColor="text1"/>
          <w:spacing w:val="0"/>
          <w:u w:val="none"/>
        </w:rPr>
        <w:softHyphen/>
        <w:t>нее поданной заявке НКАП лабораторное оборудование и инструмент, согласно приложению № 4, и 25 единиц металлорежущих</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станков, согласно приложению № 5, а во 2 кввртале, но не</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позднее 1 июня 1943 года, выделить еще 50 единиц металло</w:t>
      </w:r>
      <w:r w:rsidRPr="00D03F3E">
        <w:rPr>
          <w:rStyle w:val="16"/>
          <w:rFonts w:ascii="Times New Roman" w:hAnsi="Times New Roman" w:cs="Times New Roman"/>
          <w:color w:val="000000" w:themeColor="text1"/>
          <w:spacing w:val="0"/>
          <w:u w:val="none"/>
        </w:rPr>
        <w:softHyphen/>
        <w:t>режущих станков по списку, согласно приложению № 6.</w:t>
      </w:r>
    </w:p>
    <w:p w14:paraId="7CD4E709" w14:textId="77777777" w:rsidR="003C730B" w:rsidRPr="00D03F3E" w:rsidRDefault="003C730B" w:rsidP="00D03F3E">
      <w:pPr>
        <w:tabs>
          <w:tab w:val="left" w:pos="978"/>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6. Главным конструктором и ответственным руководителем</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завода № 300 назначить профоссора Микулина А. А. с оставлением его главным конструктором заводов 24 и 45 и семьи мо</w:t>
      </w:r>
      <w:r w:rsidRPr="00D03F3E">
        <w:rPr>
          <w:rStyle w:val="16"/>
          <w:rFonts w:ascii="Times New Roman" w:hAnsi="Times New Roman" w:cs="Times New Roman"/>
          <w:color w:val="000000" w:themeColor="text1"/>
          <w:spacing w:val="0"/>
          <w:u w:val="none"/>
        </w:rPr>
        <w:softHyphen/>
        <w:t xml:space="preserve">торов </w:t>
      </w:r>
      <w:r w:rsidRPr="00D03F3E">
        <w:rPr>
          <w:rStyle w:val="16"/>
          <w:rFonts w:ascii="Times New Roman" w:hAnsi="Times New Roman" w:cs="Times New Roman"/>
          <w:color w:val="000000" w:themeColor="text1"/>
          <w:spacing w:val="0"/>
          <w:u w:val="none"/>
          <w:lang w:val="en-US"/>
        </w:rPr>
        <w:t>AM</w:t>
      </w:r>
      <w:r w:rsidRPr="00D03F3E">
        <w:rPr>
          <w:rStyle w:val="16"/>
          <w:rFonts w:ascii="Times New Roman" w:hAnsi="Times New Roman" w:cs="Times New Roman"/>
          <w:color w:val="000000" w:themeColor="text1"/>
          <w:spacing w:val="0"/>
          <w:u w:val="none"/>
        </w:rPr>
        <w:t>.</w:t>
      </w:r>
    </w:p>
    <w:p w14:paraId="0EB0520A" w14:textId="77777777" w:rsidR="003C730B" w:rsidRPr="00D03F3E" w:rsidRDefault="003C730B" w:rsidP="00D03F3E">
      <w:pPr>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Директором завода № 300, непосредственно подчиненным</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ответственному руководителю завода Микулину А.А., назначить</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тов.Тихомирнова Г.А.</w:t>
      </w:r>
    </w:p>
    <w:p w14:paraId="1D47F039" w14:textId="77777777" w:rsidR="003C730B" w:rsidRPr="00D03F3E" w:rsidRDefault="003C730B" w:rsidP="00D03F3E">
      <w:pPr>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Заместителем главного конструктора завода № 300 по конструкторской части и начальником конструкторского бюро завда № 300 назначить тов.Туманского С.К.</w:t>
      </w:r>
    </w:p>
    <w:p w14:paraId="6BD78316" w14:textId="77777777" w:rsidR="003C730B" w:rsidRPr="00D03F3E" w:rsidRDefault="003C730B" w:rsidP="00D03F3E">
      <w:pPr>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Заместителем глазного конструкторе завода № 300 по на</w:t>
      </w:r>
      <w:r w:rsidRPr="00D03F3E">
        <w:rPr>
          <w:rStyle w:val="16"/>
          <w:rFonts w:ascii="Times New Roman" w:hAnsi="Times New Roman" w:cs="Times New Roman"/>
          <w:color w:val="000000" w:themeColor="text1"/>
          <w:spacing w:val="0"/>
          <w:u w:val="none"/>
        </w:rPr>
        <w:softHyphen/>
        <w:t>учно-теоретической части назначить профессора Стечкина Б.С.</w:t>
      </w:r>
    </w:p>
    <w:p w14:paraId="45CCCEAA" w14:textId="77777777" w:rsidR="003C730B" w:rsidRPr="00D03F3E" w:rsidRDefault="003C73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D212A58" w14:textId="77777777" w:rsidR="003C730B" w:rsidRPr="00D03F3E" w:rsidRDefault="003C730B" w:rsidP="00D03F3E">
      <w:pPr>
        <w:pStyle w:val="6c"/>
        <w:shd w:val="clear" w:color="auto" w:fill="auto"/>
        <w:tabs>
          <w:tab w:val="left" w:pos="958"/>
        </w:tabs>
        <w:spacing w:before="0" w:line="240" w:lineRule="auto"/>
        <w:jc w:val="both"/>
        <w:rPr>
          <w:rFonts w:ascii="Times New Roman" w:hAnsi="Times New Roman" w:cs="Times New Roman"/>
          <w:color w:val="000000" w:themeColor="text1"/>
        </w:rPr>
      </w:pPr>
      <w:r w:rsidRPr="00D03F3E">
        <w:rPr>
          <w:rStyle w:val="16"/>
          <w:rFonts w:ascii="Times New Roman" w:hAnsi="Times New Roman" w:cs="Times New Roman"/>
          <w:color w:val="000000" w:themeColor="text1"/>
          <w:spacing w:val="0"/>
          <w:u w:val="none"/>
        </w:rPr>
        <w:t>б) 300 тыс.рублей на премирование работников, отли</w:t>
      </w:r>
      <w:r w:rsidRPr="00D03F3E">
        <w:rPr>
          <w:rStyle w:val="16"/>
          <w:rFonts w:ascii="Times New Roman" w:hAnsi="Times New Roman" w:cs="Times New Roman"/>
          <w:color w:val="000000" w:themeColor="text1"/>
          <w:spacing w:val="0"/>
          <w:u w:val="none"/>
        </w:rPr>
        <w:softHyphen/>
        <w:t xml:space="preserve">чившихся </w:t>
      </w:r>
      <w:r w:rsidRPr="00D03F3E">
        <w:rPr>
          <w:rFonts w:ascii="Times New Roman" w:hAnsi="Times New Roman" w:cs="Times New Roman"/>
          <w:color w:val="000000" w:themeColor="text1"/>
        </w:rPr>
        <w:t xml:space="preserve">при </w:t>
      </w:r>
      <w:r w:rsidRPr="00D03F3E">
        <w:rPr>
          <w:rStyle w:val="16"/>
          <w:rFonts w:ascii="Times New Roman" w:hAnsi="Times New Roman" w:cs="Times New Roman"/>
          <w:color w:val="000000" w:themeColor="text1"/>
          <w:spacing w:val="0"/>
          <w:u w:val="none"/>
        </w:rPr>
        <w:t>организации завода № 300;</w:t>
      </w:r>
    </w:p>
    <w:p w14:paraId="5C6262F6" w14:textId="77777777" w:rsidR="003C730B" w:rsidRPr="00D03F3E" w:rsidRDefault="003C730B" w:rsidP="00D03F3E">
      <w:pPr>
        <w:pStyle w:val="6c"/>
        <w:shd w:val="clear" w:color="auto" w:fill="auto"/>
        <w:tabs>
          <w:tab w:val="left" w:pos="950"/>
        </w:tabs>
        <w:spacing w:before="0" w:line="240" w:lineRule="auto"/>
        <w:jc w:val="both"/>
        <w:rPr>
          <w:rFonts w:ascii="Times New Roman" w:hAnsi="Times New Roman" w:cs="Times New Roman"/>
          <w:color w:val="000000" w:themeColor="text1"/>
        </w:rPr>
      </w:pPr>
      <w:r w:rsidRPr="00D03F3E">
        <w:rPr>
          <w:rStyle w:val="16"/>
          <w:rFonts w:ascii="Times New Roman" w:hAnsi="Times New Roman" w:cs="Times New Roman"/>
          <w:color w:val="000000" w:themeColor="text1"/>
          <w:spacing w:val="0"/>
          <w:u w:val="none"/>
        </w:rPr>
        <w:t>в) полтора миллиона рублей не премирование конструк</w:t>
      </w:r>
      <w:r w:rsidRPr="00D03F3E">
        <w:rPr>
          <w:rStyle w:val="16"/>
          <w:rFonts w:ascii="Times New Roman" w:hAnsi="Times New Roman" w:cs="Times New Roman"/>
          <w:color w:val="000000" w:themeColor="text1"/>
          <w:spacing w:val="0"/>
          <w:u w:val="none"/>
        </w:rPr>
        <w:softHyphen/>
      </w:r>
      <w:r w:rsidRPr="00D03F3E">
        <w:rPr>
          <w:rFonts w:ascii="Times New Roman" w:hAnsi="Times New Roman" w:cs="Times New Roman"/>
          <w:color w:val="000000" w:themeColor="text1"/>
        </w:rPr>
        <w:t xml:space="preserve">торов и работников </w:t>
      </w:r>
      <w:r w:rsidRPr="00D03F3E">
        <w:rPr>
          <w:rStyle w:val="16"/>
          <w:rFonts w:ascii="Times New Roman" w:hAnsi="Times New Roman" w:cs="Times New Roman"/>
          <w:color w:val="000000" w:themeColor="text1"/>
          <w:spacing w:val="0"/>
          <w:u w:val="none"/>
        </w:rPr>
        <w:t>завода №</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ЗО0 за создание к проведение</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госиспытаний мотора АМ-43 ТР</w:t>
      </w:r>
      <w:r w:rsidRPr="00D03F3E">
        <w:rPr>
          <w:rFonts w:ascii="Times New Roman" w:hAnsi="Times New Roman" w:cs="Times New Roman"/>
          <w:color w:val="000000" w:themeColor="text1"/>
        </w:rPr>
        <w:t>;</w:t>
      </w:r>
    </w:p>
    <w:p w14:paraId="457B4DE9" w14:textId="77777777" w:rsidR="003C730B" w:rsidRPr="00D03F3E" w:rsidRDefault="003C730B" w:rsidP="00D03F3E">
      <w:pPr>
        <w:pStyle w:val="6c"/>
        <w:shd w:val="clear" w:color="auto" w:fill="auto"/>
        <w:tabs>
          <w:tab w:val="left" w:pos="958"/>
        </w:tabs>
        <w:spacing w:before="0" w:line="240" w:lineRule="auto"/>
        <w:jc w:val="both"/>
        <w:rPr>
          <w:rFonts w:ascii="Times New Roman" w:hAnsi="Times New Roman" w:cs="Times New Roman"/>
          <w:color w:val="000000" w:themeColor="text1"/>
        </w:rPr>
      </w:pPr>
      <w:r w:rsidRPr="00D03F3E">
        <w:rPr>
          <w:rStyle w:val="115pt2pt"/>
          <w:rFonts w:eastAsia="Gungsuh"/>
          <w:b w:val="0"/>
          <w:color w:val="000000" w:themeColor="text1"/>
          <w:spacing w:val="0"/>
          <w:sz w:val="16"/>
          <w:szCs w:val="16"/>
        </w:rPr>
        <w:t xml:space="preserve">г) </w:t>
      </w:r>
      <w:r w:rsidRPr="00D03F3E">
        <w:rPr>
          <w:rStyle w:val="16"/>
          <w:rFonts w:ascii="Times New Roman" w:hAnsi="Times New Roman" w:cs="Times New Roman"/>
          <w:color w:val="000000" w:themeColor="text1"/>
          <w:spacing w:val="0"/>
          <w:u w:val="none"/>
        </w:rPr>
        <w:t xml:space="preserve">500 </w:t>
      </w:r>
      <w:r w:rsidRPr="00D03F3E">
        <w:rPr>
          <w:rFonts w:ascii="Times New Roman" w:hAnsi="Times New Roman" w:cs="Times New Roman"/>
          <w:color w:val="000000" w:themeColor="text1"/>
        </w:rPr>
        <w:t xml:space="preserve">тысяч </w:t>
      </w:r>
      <w:r w:rsidRPr="00D03F3E">
        <w:rPr>
          <w:rStyle w:val="16"/>
          <w:rFonts w:ascii="Times New Roman" w:hAnsi="Times New Roman" w:cs="Times New Roman"/>
          <w:color w:val="000000" w:themeColor="text1"/>
          <w:spacing w:val="0"/>
          <w:u w:val="none"/>
        </w:rPr>
        <w:t>рублей на премирование за постановку се</w:t>
      </w:r>
      <w:r w:rsidRPr="00D03F3E">
        <w:rPr>
          <w:rStyle w:val="16"/>
          <w:rFonts w:ascii="Times New Roman" w:hAnsi="Times New Roman" w:cs="Times New Roman"/>
          <w:color w:val="000000" w:themeColor="text1"/>
          <w:spacing w:val="0"/>
          <w:u w:val="none"/>
        </w:rPr>
        <w:softHyphen/>
        <w:t xml:space="preserve">рийного производства </w:t>
      </w:r>
      <w:r w:rsidRPr="00D03F3E">
        <w:rPr>
          <w:rFonts w:ascii="Times New Roman" w:hAnsi="Times New Roman" w:cs="Times New Roman"/>
          <w:color w:val="000000" w:themeColor="text1"/>
        </w:rPr>
        <w:t>Т.К.</w:t>
      </w:r>
    </w:p>
    <w:p w14:paraId="2668B59E" w14:textId="77777777" w:rsidR="003C730B" w:rsidRPr="00D03F3E" w:rsidRDefault="003C730B" w:rsidP="00D03F3E">
      <w:pPr>
        <w:pStyle w:val="6c"/>
        <w:shd w:val="clear" w:color="auto" w:fill="auto"/>
        <w:tabs>
          <w:tab w:val="left" w:pos="1070"/>
        </w:tabs>
        <w:spacing w:before="0" w:line="240" w:lineRule="auto"/>
        <w:jc w:val="both"/>
        <w:rPr>
          <w:rFonts w:ascii="Times New Roman" w:hAnsi="Times New Roman" w:cs="Times New Roman"/>
          <w:color w:val="000000" w:themeColor="text1"/>
        </w:rPr>
      </w:pPr>
      <w:r w:rsidRPr="00D03F3E">
        <w:rPr>
          <w:rStyle w:val="16"/>
          <w:rFonts w:ascii="Times New Roman" w:hAnsi="Times New Roman" w:cs="Times New Roman"/>
          <w:color w:val="000000" w:themeColor="text1"/>
          <w:spacing w:val="0"/>
          <w:u w:val="none"/>
        </w:rPr>
        <w:t>12. Обязать Глазное управление трудовых резервов</w:t>
      </w:r>
      <w:r w:rsidRPr="00D03F3E">
        <w:rPr>
          <w:rFonts w:ascii="Times New Roman" w:hAnsi="Times New Roman" w:cs="Times New Roman"/>
          <w:color w:val="000000" w:themeColor="text1"/>
        </w:rPr>
        <w:t xml:space="preserve"> т.Москатова, </w:t>
      </w:r>
      <w:r w:rsidRPr="00D03F3E">
        <w:rPr>
          <w:rStyle w:val="16"/>
          <w:rFonts w:ascii="Times New Roman" w:hAnsi="Times New Roman" w:cs="Times New Roman"/>
          <w:color w:val="000000" w:themeColor="text1"/>
          <w:spacing w:val="0"/>
          <w:u w:val="none"/>
        </w:rPr>
        <w:t xml:space="preserve">передать </w:t>
      </w:r>
      <w:r w:rsidRPr="00D03F3E">
        <w:rPr>
          <w:rFonts w:ascii="Times New Roman" w:hAnsi="Times New Roman" w:cs="Times New Roman"/>
          <w:color w:val="000000" w:themeColor="text1"/>
        </w:rPr>
        <w:t xml:space="preserve">в </w:t>
      </w:r>
      <w:r w:rsidRPr="00D03F3E">
        <w:rPr>
          <w:rStyle w:val="16"/>
          <w:rFonts w:ascii="Times New Roman" w:hAnsi="Times New Roman" w:cs="Times New Roman"/>
          <w:color w:val="000000" w:themeColor="text1"/>
          <w:spacing w:val="0"/>
          <w:u w:val="none"/>
        </w:rPr>
        <w:t xml:space="preserve">1 квартале </w:t>
      </w:r>
      <w:r w:rsidRPr="00D03F3E">
        <w:rPr>
          <w:rStyle w:val="2pt0"/>
          <w:rFonts w:ascii="Times New Roman" w:hAnsi="Times New Roman" w:cs="Times New Roman"/>
          <w:color w:val="000000" w:themeColor="text1"/>
          <w:spacing w:val="0"/>
          <w:sz w:val="16"/>
          <w:szCs w:val="16"/>
        </w:rPr>
        <w:t>с.г.</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заводу №</w:t>
      </w:r>
      <w:r w:rsidRPr="00D03F3E">
        <w:rPr>
          <w:rFonts w:ascii="Times New Roman" w:hAnsi="Times New Roman" w:cs="Times New Roman"/>
          <w:color w:val="000000" w:themeColor="text1"/>
        </w:rPr>
        <w:t xml:space="preserve"> ЗО0 </w:t>
      </w:r>
      <w:r w:rsidRPr="00D03F3E">
        <w:rPr>
          <w:rStyle w:val="16"/>
          <w:rFonts w:ascii="Times New Roman" w:hAnsi="Times New Roman" w:cs="Times New Roman"/>
          <w:color w:val="000000" w:themeColor="text1"/>
          <w:spacing w:val="0"/>
          <w:u w:val="none"/>
        </w:rPr>
        <w:t xml:space="preserve">100 </w:t>
      </w:r>
      <w:r w:rsidRPr="00D03F3E">
        <w:rPr>
          <w:rFonts w:ascii="Times New Roman" w:hAnsi="Times New Roman" w:cs="Times New Roman"/>
          <w:color w:val="000000" w:themeColor="text1"/>
        </w:rPr>
        <w:t xml:space="preserve">человек </w:t>
      </w:r>
      <w:r w:rsidRPr="00D03F3E">
        <w:rPr>
          <w:rStyle w:val="16"/>
          <w:rFonts w:ascii="Times New Roman" w:hAnsi="Times New Roman" w:cs="Times New Roman"/>
          <w:color w:val="000000" w:themeColor="text1"/>
          <w:spacing w:val="0"/>
          <w:u w:val="none"/>
        </w:rPr>
        <w:t>рабочих, окончивших ремесленные училища и шко</w:t>
      </w:r>
      <w:r w:rsidRPr="00D03F3E">
        <w:rPr>
          <w:rStyle w:val="16"/>
          <w:rFonts w:ascii="Times New Roman" w:hAnsi="Times New Roman" w:cs="Times New Roman"/>
          <w:color w:val="000000" w:themeColor="text1"/>
          <w:spacing w:val="0"/>
          <w:u w:val="none"/>
        </w:rPr>
        <w:softHyphen/>
      </w:r>
      <w:r w:rsidRPr="00D03F3E">
        <w:rPr>
          <w:rFonts w:ascii="Times New Roman" w:hAnsi="Times New Roman" w:cs="Times New Roman"/>
          <w:color w:val="000000" w:themeColor="text1"/>
        </w:rPr>
        <w:t>лы ФЗО.</w:t>
      </w:r>
    </w:p>
    <w:p w14:paraId="1A0C3D4D" w14:textId="77777777" w:rsidR="003C730B" w:rsidRPr="00D03F3E" w:rsidRDefault="003C730B" w:rsidP="00D03F3E">
      <w:pPr>
        <w:pStyle w:val="6c"/>
        <w:shd w:val="clear" w:color="auto" w:fill="auto"/>
        <w:tabs>
          <w:tab w:val="left" w:pos="1065"/>
        </w:tabs>
        <w:spacing w:before="0" w:line="240" w:lineRule="auto"/>
        <w:jc w:val="both"/>
        <w:rPr>
          <w:rFonts w:ascii="Times New Roman" w:hAnsi="Times New Roman" w:cs="Times New Roman"/>
          <w:color w:val="000000" w:themeColor="text1"/>
        </w:rPr>
      </w:pPr>
      <w:r w:rsidRPr="00D03F3E">
        <w:rPr>
          <w:rStyle w:val="16"/>
          <w:rFonts w:ascii="Times New Roman" w:hAnsi="Times New Roman" w:cs="Times New Roman"/>
          <w:color w:val="000000" w:themeColor="text1"/>
          <w:spacing w:val="0"/>
          <w:u w:val="none"/>
        </w:rPr>
        <w:t xml:space="preserve">13. Обязать НКО </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 xml:space="preserve">тов.Щаденко выделить для завода № 300 </w:t>
      </w:r>
      <w:r w:rsidRPr="00D03F3E">
        <w:rPr>
          <w:rFonts w:ascii="Times New Roman" w:hAnsi="Times New Roman" w:cs="Times New Roman"/>
          <w:color w:val="000000" w:themeColor="text1"/>
        </w:rPr>
        <w:t xml:space="preserve">по согласование </w:t>
      </w:r>
      <w:r w:rsidRPr="00D03F3E">
        <w:rPr>
          <w:rStyle w:val="16"/>
          <w:rFonts w:ascii="Times New Roman" w:hAnsi="Times New Roman" w:cs="Times New Roman"/>
          <w:color w:val="000000" w:themeColor="text1"/>
          <w:spacing w:val="0"/>
          <w:u w:val="none"/>
        </w:rPr>
        <w:t xml:space="preserve">с </w:t>
      </w:r>
      <w:r w:rsidRPr="00D03F3E">
        <w:rPr>
          <w:rFonts w:ascii="Times New Roman" w:hAnsi="Times New Roman" w:cs="Times New Roman"/>
          <w:color w:val="000000" w:themeColor="text1"/>
        </w:rPr>
        <w:t>т.</w:t>
      </w:r>
      <w:r w:rsidRPr="00D03F3E">
        <w:rPr>
          <w:rStyle w:val="16"/>
          <w:rFonts w:ascii="Times New Roman" w:hAnsi="Times New Roman" w:cs="Times New Roman"/>
          <w:color w:val="000000" w:themeColor="text1"/>
          <w:spacing w:val="0"/>
          <w:u w:val="none"/>
        </w:rPr>
        <w:t>Никулиным кадры квалифицирован</w:t>
      </w:r>
      <w:r w:rsidRPr="00D03F3E">
        <w:rPr>
          <w:rStyle w:val="16"/>
          <w:rFonts w:ascii="Times New Roman" w:hAnsi="Times New Roman" w:cs="Times New Roman"/>
          <w:color w:val="000000" w:themeColor="text1"/>
          <w:spacing w:val="0"/>
          <w:u w:val="none"/>
        </w:rPr>
        <w:softHyphen/>
      </w:r>
      <w:r w:rsidRPr="00D03F3E">
        <w:rPr>
          <w:rFonts w:ascii="Times New Roman" w:hAnsi="Times New Roman" w:cs="Times New Roman"/>
          <w:color w:val="000000" w:themeColor="text1"/>
        </w:rPr>
        <w:t xml:space="preserve">ных рабочих из </w:t>
      </w:r>
      <w:r w:rsidRPr="00D03F3E">
        <w:rPr>
          <w:rStyle w:val="16"/>
          <w:rFonts w:ascii="Times New Roman" w:hAnsi="Times New Roman" w:cs="Times New Roman"/>
          <w:color w:val="000000" w:themeColor="text1"/>
          <w:spacing w:val="0"/>
          <w:u w:val="none"/>
        </w:rPr>
        <w:t>контингента освобожденных от воинской служ</w:t>
      </w:r>
      <w:r w:rsidRPr="00D03F3E">
        <w:rPr>
          <w:rStyle w:val="16"/>
          <w:rFonts w:ascii="Times New Roman" w:hAnsi="Times New Roman" w:cs="Times New Roman"/>
          <w:color w:val="000000" w:themeColor="text1"/>
          <w:spacing w:val="0"/>
          <w:u w:val="none"/>
        </w:rPr>
        <w:softHyphen/>
        <w:t xml:space="preserve">бы </w:t>
      </w:r>
      <w:r w:rsidRPr="00D03F3E">
        <w:rPr>
          <w:rFonts w:ascii="Times New Roman" w:hAnsi="Times New Roman" w:cs="Times New Roman"/>
          <w:color w:val="000000" w:themeColor="text1"/>
        </w:rPr>
        <w:t>бойцов РККА.</w:t>
      </w:r>
    </w:p>
    <w:p w14:paraId="629870B6" w14:textId="77777777" w:rsidR="003C730B" w:rsidRPr="00D03F3E" w:rsidRDefault="003C730B" w:rsidP="00D03F3E">
      <w:pPr>
        <w:pStyle w:val="6c"/>
        <w:shd w:val="clear" w:color="auto" w:fill="auto"/>
        <w:tabs>
          <w:tab w:val="left" w:pos="1093"/>
        </w:tabs>
        <w:spacing w:before="0" w:line="240" w:lineRule="auto"/>
        <w:jc w:val="both"/>
        <w:rPr>
          <w:rFonts w:ascii="Times New Roman" w:hAnsi="Times New Roman" w:cs="Times New Roman"/>
          <w:color w:val="000000" w:themeColor="text1"/>
        </w:rPr>
      </w:pPr>
      <w:r w:rsidRPr="00D03F3E">
        <w:rPr>
          <w:rFonts w:ascii="Times New Roman" w:hAnsi="Times New Roman" w:cs="Times New Roman"/>
          <w:color w:val="000000" w:themeColor="text1"/>
        </w:rPr>
        <w:t xml:space="preserve">14. Обязать </w:t>
      </w:r>
      <w:r w:rsidRPr="00D03F3E">
        <w:rPr>
          <w:rStyle w:val="16"/>
          <w:rFonts w:ascii="Times New Roman" w:hAnsi="Times New Roman" w:cs="Times New Roman"/>
          <w:color w:val="000000" w:themeColor="text1"/>
          <w:spacing w:val="0"/>
          <w:u w:val="none"/>
        </w:rPr>
        <w:t>начальника Управления строительства Двор-</w:t>
      </w:r>
      <w:r w:rsidRPr="00D03F3E">
        <w:rPr>
          <w:rFonts w:ascii="Times New Roman" w:hAnsi="Times New Roman" w:cs="Times New Roman"/>
          <w:color w:val="000000" w:themeColor="text1"/>
        </w:rPr>
        <w:t xml:space="preserve"> ца Советов тов.Прокофьева </w:t>
      </w:r>
      <w:r w:rsidRPr="00D03F3E">
        <w:rPr>
          <w:rStyle w:val="16"/>
          <w:rFonts w:ascii="Times New Roman" w:hAnsi="Times New Roman" w:cs="Times New Roman"/>
          <w:color w:val="000000" w:themeColor="text1"/>
          <w:spacing w:val="0"/>
          <w:u w:val="none"/>
        </w:rPr>
        <w:t>передать заводу № 300</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имеющийся</w:t>
      </w:r>
      <w:r w:rsidRPr="00D03F3E">
        <w:rPr>
          <w:rFonts w:ascii="Times New Roman" w:hAnsi="Times New Roman" w:cs="Times New Roman"/>
          <w:color w:val="000000" w:themeColor="text1"/>
        </w:rPr>
        <w:t xml:space="preserve"> причал и причальный кран </w:t>
      </w:r>
      <w:r w:rsidRPr="00D03F3E">
        <w:rPr>
          <w:rStyle w:val="16"/>
          <w:rFonts w:ascii="Times New Roman" w:hAnsi="Times New Roman" w:cs="Times New Roman"/>
          <w:color w:val="000000" w:themeColor="text1"/>
          <w:spacing w:val="0"/>
          <w:u w:val="none"/>
        </w:rPr>
        <w:t>на Москве-реке, расположенный у</w:t>
      </w:r>
      <w:r w:rsidRPr="00D03F3E">
        <w:rPr>
          <w:rFonts w:ascii="Times New Roman" w:hAnsi="Times New Roman" w:cs="Times New Roman"/>
          <w:color w:val="000000" w:themeColor="text1"/>
        </w:rPr>
        <w:t xml:space="preserve"> территории завода.</w:t>
      </w:r>
    </w:p>
    <w:p w14:paraId="0D28E9BC" w14:textId="77777777" w:rsidR="003C730B" w:rsidRPr="00D03F3E" w:rsidRDefault="003C730B" w:rsidP="00D03F3E">
      <w:pPr>
        <w:pStyle w:val="6c"/>
        <w:shd w:val="clear" w:color="auto" w:fill="auto"/>
        <w:tabs>
          <w:tab w:val="left" w:pos="1085"/>
        </w:tabs>
        <w:spacing w:before="0" w:line="240" w:lineRule="auto"/>
        <w:jc w:val="both"/>
        <w:rPr>
          <w:rFonts w:ascii="Times New Roman" w:hAnsi="Times New Roman" w:cs="Times New Roman"/>
          <w:color w:val="000000" w:themeColor="text1"/>
        </w:rPr>
      </w:pPr>
      <w:r w:rsidRPr="00D03F3E">
        <w:rPr>
          <w:rFonts w:ascii="Times New Roman" w:hAnsi="Times New Roman" w:cs="Times New Roman"/>
          <w:color w:val="000000" w:themeColor="text1"/>
        </w:rPr>
        <w:t xml:space="preserve">15. Обязать НКПС </w:t>
      </w:r>
      <w:r w:rsidRPr="00D03F3E">
        <w:rPr>
          <w:rStyle w:val="16"/>
          <w:rFonts w:ascii="Times New Roman" w:hAnsi="Times New Roman" w:cs="Times New Roman"/>
          <w:color w:val="000000" w:themeColor="text1"/>
          <w:spacing w:val="0"/>
          <w:u w:val="none"/>
        </w:rPr>
        <w:t>-тов. Хрулева выделить заводу № 300</w:t>
      </w:r>
      <w:r w:rsidRPr="00D03F3E">
        <w:rPr>
          <w:rFonts w:ascii="Times New Roman" w:hAnsi="Times New Roman" w:cs="Times New Roman"/>
          <w:color w:val="000000" w:themeColor="text1"/>
        </w:rPr>
        <w:t xml:space="preserve"> необходимое количество </w:t>
      </w:r>
      <w:r w:rsidRPr="00D03F3E">
        <w:rPr>
          <w:rStyle w:val="16"/>
          <w:rFonts w:ascii="Times New Roman" w:hAnsi="Times New Roman" w:cs="Times New Roman"/>
          <w:color w:val="000000" w:themeColor="text1"/>
          <w:spacing w:val="0"/>
          <w:u w:val="none"/>
        </w:rPr>
        <w:t>вагонов для переброски оборудова</w:t>
      </w:r>
      <w:r w:rsidRPr="00D03F3E">
        <w:rPr>
          <w:rStyle w:val="16"/>
          <w:rFonts w:ascii="Times New Roman" w:hAnsi="Times New Roman" w:cs="Times New Roman"/>
          <w:color w:val="000000" w:themeColor="text1"/>
          <w:spacing w:val="0"/>
          <w:u w:val="none"/>
        </w:rPr>
        <w:softHyphen/>
      </w:r>
      <w:r w:rsidRPr="00D03F3E">
        <w:rPr>
          <w:rFonts w:ascii="Times New Roman" w:hAnsi="Times New Roman" w:cs="Times New Roman"/>
          <w:color w:val="000000" w:themeColor="text1"/>
        </w:rPr>
        <w:t xml:space="preserve">ния ОКБ из города Куйбышева и </w:t>
      </w:r>
      <w:r w:rsidRPr="00D03F3E">
        <w:rPr>
          <w:rStyle w:val="16"/>
          <w:rFonts w:ascii="Times New Roman" w:hAnsi="Times New Roman" w:cs="Times New Roman"/>
          <w:color w:val="000000" w:themeColor="text1"/>
          <w:spacing w:val="0"/>
          <w:u w:val="none"/>
        </w:rPr>
        <w:t>обеспечить первоочередную</w:t>
      </w:r>
      <w:r w:rsidRPr="00D03F3E">
        <w:rPr>
          <w:rFonts w:ascii="Times New Roman" w:hAnsi="Times New Roman" w:cs="Times New Roman"/>
          <w:color w:val="000000" w:themeColor="text1"/>
        </w:rPr>
        <w:t xml:space="preserve"> достазку грузов для </w:t>
      </w:r>
      <w:r w:rsidRPr="00D03F3E">
        <w:rPr>
          <w:rStyle w:val="16"/>
          <w:rFonts w:ascii="Times New Roman" w:hAnsi="Times New Roman" w:cs="Times New Roman"/>
          <w:color w:val="000000" w:themeColor="text1"/>
          <w:spacing w:val="0"/>
          <w:u w:val="none"/>
        </w:rPr>
        <w:t>зввода № 300.</w:t>
      </w:r>
    </w:p>
    <w:p w14:paraId="759B8F2F" w14:textId="77777777" w:rsidR="003C730B" w:rsidRPr="00D03F3E" w:rsidRDefault="003C73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Утвердить </w:t>
      </w:r>
      <w:r w:rsidRPr="00D03F3E">
        <w:rPr>
          <w:rStyle w:val="16"/>
          <w:rFonts w:ascii="Times New Roman" w:hAnsi="Times New Roman" w:cs="Times New Roman"/>
          <w:color w:val="000000" w:themeColor="text1"/>
          <w:spacing w:val="0"/>
          <w:u w:val="none"/>
        </w:rPr>
        <w:t xml:space="preserve">мероприятия по организации завода № 300 в соответствии с приложением № 7 </w:t>
      </w:r>
      <w:r w:rsidRPr="00D03F3E">
        <w:rPr>
          <w:rFonts w:ascii="Times New Roman" w:hAnsi="Times New Roman"/>
          <w:color w:val="000000" w:themeColor="text1"/>
          <w:sz w:val="16"/>
          <w:szCs w:val="16"/>
        </w:rPr>
        <w:t>(19383).</w:t>
      </w:r>
    </w:p>
    <w:p w14:paraId="6BD0FF9F" w14:textId="77777777" w:rsidR="003C730B" w:rsidRPr="00D03F3E" w:rsidRDefault="003C730B"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EB7936" w14:textId="77777777" w:rsidR="004A45BE" w:rsidRPr="00D03F3E" w:rsidRDefault="004A45BE"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18 февраля 1943 г. вышло поста</w:t>
      </w:r>
      <w:r w:rsidRPr="00D03F3E">
        <w:rPr>
          <w:rFonts w:ascii="Times New Roman" w:hAnsi="Times New Roman" w:cs="Times New Roman"/>
          <w:color w:val="000000" w:themeColor="text1"/>
          <w:sz w:val="16"/>
          <w:szCs w:val="16"/>
        </w:rPr>
        <w:softHyphen/>
        <w:t>новление ГОКО о разработке М-43. Согласно заданию, завод №300 должен был не позже октября 1943 г. построить и предъявить на совместные 50-часовые испытания мотор М-43. Однако за</w:t>
      </w:r>
      <w:r w:rsidRPr="00D03F3E">
        <w:rPr>
          <w:rFonts w:ascii="Times New Roman" w:hAnsi="Times New Roman" w:cs="Times New Roman"/>
          <w:color w:val="000000" w:themeColor="text1"/>
          <w:sz w:val="16"/>
          <w:szCs w:val="16"/>
        </w:rPr>
        <w:softHyphen/>
        <w:t>вод №300 эту работу «завалил». В итоге постройку мотора передали СКБ завода №24, которым руководил М.Р Флисский.</w:t>
      </w:r>
    </w:p>
    <w:p w14:paraId="2395EF99" w14:textId="77777777" w:rsidR="004A45BE" w:rsidRPr="00D03F3E" w:rsidRDefault="004A45BE"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Первый опытный экземпляр мотора М-43 был построен только в сентябре 1944 г. и «встал» на 50-часовые испы</w:t>
      </w:r>
      <w:r w:rsidRPr="00D03F3E">
        <w:rPr>
          <w:rFonts w:ascii="Times New Roman" w:hAnsi="Times New Roman" w:cs="Times New Roman"/>
          <w:color w:val="000000" w:themeColor="text1"/>
          <w:sz w:val="16"/>
          <w:szCs w:val="16"/>
        </w:rPr>
        <w:softHyphen/>
        <w:t>тания. Почти сразу же С.В. Ильюшин вышел с инициативой включить в план опытного самолетостроения на 1945 г. штурмовик-бомбардировщик и легкий штурмовик с мотором М-43. Первый являлся модификацией опытного тяже</w:t>
      </w:r>
      <w:r w:rsidRPr="00D03F3E">
        <w:rPr>
          <w:rFonts w:ascii="Times New Roman" w:hAnsi="Times New Roman" w:cs="Times New Roman"/>
          <w:color w:val="000000" w:themeColor="text1"/>
          <w:sz w:val="16"/>
          <w:szCs w:val="16"/>
        </w:rPr>
        <w:softHyphen/>
        <w:t>лого штурмовика Ил-8 АМ-42, который в это время находился в стадии доводки для передачи на заводские летные ис</w:t>
      </w:r>
      <w:r w:rsidRPr="00D03F3E">
        <w:rPr>
          <w:rFonts w:ascii="Times New Roman" w:hAnsi="Times New Roman" w:cs="Times New Roman"/>
          <w:color w:val="000000" w:themeColor="text1"/>
          <w:sz w:val="16"/>
          <w:szCs w:val="16"/>
        </w:rPr>
        <w:softHyphen/>
        <w:t>пытания, а второй - считался глубокой модернизацией серийного штурмовика Ил-10 АМ-42 с более высокой полетной скоростью и маневренностью в верти</w:t>
      </w:r>
      <w:r w:rsidRPr="00D03F3E">
        <w:rPr>
          <w:rFonts w:ascii="Times New Roman" w:hAnsi="Times New Roman" w:cs="Times New Roman"/>
          <w:color w:val="000000" w:themeColor="text1"/>
          <w:sz w:val="16"/>
          <w:szCs w:val="16"/>
        </w:rPr>
        <w:softHyphen/>
        <w:t>кальной плоскости (17469).</w:t>
      </w:r>
    </w:p>
    <w:p w14:paraId="4A159866" w14:textId="77777777" w:rsidR="004A45BE" w:rsidRPr="00D03F3E" w:rsidRDefault="004A45BE"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p>
    <w:p w14:paraId="39845666" w14:textId="77777777" w:rsidR="007D28EE" w:rsidRPr="00D03F3E" w:rsidRDefault="007D28EE" w:rsidP="00D03F3E">
      <w:pPr>
        <w:spacing w:after="0" w:line="240" w:lineRule="auto"/>
        <w:jc w:val="both"/>
        <w:rPr>
          <w:rFonts w:ascii="Times New Roman" w:hAnsi="Times New Roman"/>
          <w:color w:val="000000" w:themeColor="text1"/>
          <w:sz w:val="16"/>
          <w:szCs w:val="16"/>
        </w:rPr>
      </w:pPr>
      <w:r w:rsidRPr="00D03F3E">
        <w:rPr>
          <w:rStyle w:val="5f1"/>
          <w:rFonts w:eastAsiaTheme="minorHAnsi"/>
          <w:color w:val="000000" w:themeColor="text1"/>
          <w:sz w:val="16"/>
          <w:szCs w:val="16"/>
        </w:rPr>
        <w:t>18 февраля 1943 г. вышло постановлению ГКО № 2916 сс о разработке мотора АМ-43. Согласно заданию, завод № 300 должен был не позже октября 1943 года построить и предъявить на совместные 50 -часовые испытания мотор М-43. Однако завод № 300 эту работу «завалил». В итоге постройку мотора передали СКБ завода № 24, которым руководил М Р. Флисский.</w:t>
      </w:r>
    </w:p>
    <w:p w14:paraId="24F35CA0" w14:textId="77777777" w:rsidR="007D28EE" w:rsidRPr="00D03F3E" w:rsidRDefault="007D28EE" w:rsidP="00D03F3E">
      <w:pPr>
        <w:spacing w:after="0" w:line="240" w:lineRule="auto"/>
        <w:jc w:val="both"/>
        <w:rPr>
          <w:rFonts w:ascii="Times New Roman" w:hAnsi="Times New Roman"/>
          <w:color w:val="000000" w:themeColor="text1"/>
          <w:sz w:val="16"/>
          <w:szCs w:val="16"/>
        </w:rPr>
      </w:pPr>
      <w:r w:rsidRPr="00D03F3E">
        <w:rPr>
          <w:rStyle w:val="5f1"/>
          <w:rFonts w:eastAsiaTheme="minorHAnsi"/>
          <w:color w:val="000000" w:themeColor="text1"/>
          <w:sz w:val="16"/>
          <w:szCs w:val="16"/>
        </w:rPr>
        <w:t>Первый опытный экземпляр мотора М-43 был построен только в сентябре 1944 года и «встал» на 50 -часовые испытания. Почти сразу же С. В. Ильюшин вышел с инициативой включить в план опытного самолетостроения на 1945 год штурмовик-бомбардировщик и легкий штурмовик с мотором М-43. Первый являлся модификацией опытного тяжелого штурмовика Ил-8 № 1 АМ-42, который в это время находился в стадии доводки для передачи на заводские летные испытания, а второй - считался глубокой модернизацией серийного штурмовика Ил-10 АМ-42 с более высокой полетной скоростью и маневренностью в вертикальной плоскости.</w:t>
      </w:r>
    </w:p>
    <w:p w14:paraId="27352A3D" w14:textId="77777777" w:rsidR="007D28EE" w:rsidRPr="00D03F3E" w:rsidRDefault="007D28EE" w:rsidP="00D03F3E">
      <w:pPr>
        <w:spacing w:after="0" w:line="240" w:lineRule="auto"/>
        <w:jc w:val="both"/>
        <w:rPr>
          <w:rFonts w:ascii="Times New Roman" w:hAnsi="Times New Roman"/>
          <w:color w:val="000000" w:themeColor="text1"/>
          <w:sz w:val="16"/>
          <w:szCs w:val="16"/>
        </w:rPr>
      </w:pPr>
      <w:r w:rsidRPr="00D03F3E">
        <w:rPr>
          <w:rStyle w:val="5f1"/>
          <w:rFonts w:eastAsiaTheme="minorHAnsi"/>
          <w:color w:val="000000" w:themeColor="text1"/>
          <w:sz w:val="16"/>
          <w:szCs w:val="16"/>
        </w:rPr>
        <w:t>Предложение сочли дельным, и в ноябре оба самолета официально включили в план со сроком предъявления на государственные испытания в 3-м квартале 1945 года.</w:t>
      </w:r>
    </w:p>
    <w:p w14:paraId="3DA21DE8" w14:textId="77777777" w:rsidR="007D28EE" w:rsidRPr="00D03F3E" w:rsidRDefault="007D28EE" w:rsidP="00D03F3E">
      <w:pPr>
        <w:spacing w:after="0" w:line="240" w:lineRule="auto"/>
        <w:jc w:val="both"/>
        <w:rPr>
          <w:rFonts w:ascii="Times New Roman" w:hAnsi="Times New Roman"/>
          <w:color w:val="000000" w:themeColor="text1"/>
          <w:sz w:val="16"/>
          <w:szCs w:val="16"/>
        </w:rPr>
      </w:pPr>
      <w:r w:rsidRPr="00D03F3E">
        <w:rPr>
          <w:rStyle w:val="5f1"/>
          <w:rFonts w:eastAsiaTheme="minorHAnsi"/>
          <w:color w:val="000000" w:themeColor="text1"/>
          <w:sz w:val="16"/>
          <w:szCs w:val="16"/>
        </w:rPr>
        <w:t>По этому поводу начальник 1-го управления ГК НИИ ВВС генерал -майор Сафронов сетовал, что «отсутствие мотор -пушки для моторов «АМ» не дает возможности предусмотреть в плане на 1945 год создание нового типа штурмовика с установкой пушки для стрельбы через редуктор», за счет чего резко повысить эффективность огня.</w:t>
      </w:r>
    </w:p>
    <w:p w14:paraId="0F622C85" w14:textId="77777777" w:rsidR="007D28EE" w:rsidRPr="00D03F3E" w:rsidRDefault="007D28EE" w:rsidP="00D03F3E">
      <w:pPr>
        <w:spacing w:after="0" w:line="240" w:lineRule="auto"/>
        <w:jc w:val="both"/>
        <w:rPr>
          <w:rFonts w:ascii="Times New Roman" w:hAnsi="Times New Roman"/>
          <w:color w:val="000000" w:themeColor="text1"/>
          <w:sz w:val="16"/>
          <w:szCs w:val="16"/>
        </w:rPr>
      </w:pPr>
      <w:r w:rsidRPr="00D03F3E">
        <w:rPr>
          <w:rStyle w:val="5f1"/>
          <w:rFonts w:eastAsiaTheme="minorHAnsi"/>
          <w:color w:val="000000" w:themeColor="text1"/>
          <w:sz w:val="16"/>
          <w:szCs w:val="16"/>
        </w:rPr>
        <w:t>По расчетам, при полетном весе 7400 кг максимальная скорость Ил-8 с М-43 могла составить 520 км/ч на высоте 2000 м и 485 км/ч у земли. Вертикальная скорость до высоты 1500 м - не хуже 9,0 м/с. Время подъема на 3000 м - 6,4 мин. Скоростная дальность полета (на скорости 0,9</w:t>
      </w:r>
      <w:r w:rsidRPr="00D03F3E">
        <w:rPr>
          <w:rStyle w:val="5f1"/>
          <w:rFonts w:eastAsiaTheme="minorHAnsi"/>
          <w:color w:val="000000" w:themeColor="text1"/>
          <w:sz w:val="16"/>
          <w:szCs w:val="16"/>
          <w:lang w:val="en-US"/>
        </w:rPr>
        <w:t>V</w:t>
      </w:r>
      <w:r w:rsidRPr="00D03F3E">
        <w:rPr>
          <w:rStyle w:val="5f1"/>
          <w:rFonts w:eastAsiaTheme="minorHAnsi"/>
          <w:color w:val="000000" w:themeColor="text1"/>
          <w:sz w:val="16"/>
          <w:szCs w:val="16"/>
          <w:vertAlign w:val="subscript"/>
          <w:lang w:val="en-US"/>
        </w:rPr>
        <w:t>max</w:t>
      </w:r>
      <w:r w:rsidRPr="00D03F3E">
        <w:rPr>
          <w:rStyle w:val="5f1"/>
          <w:rFonts w:eastAsiaTheme="minorHAnsi"/>
          <w:color w:val="000000" w:themeColor="text1"/>
          <w:sz w:val="16"/>
          <w:szCs w:val="16"/>
        </w:rPr>
        <w:t>) достигала 850 км. Потолок - 6900 м.</w:t>
      </w:r>
    </w:p>
    <w:p w14:paraId="4452989F" w14:textId="77777777" w:rsidR="007D28EE" w:rsidRPr="00D03F3E" w:rsidRDefault="007D28EE" w:rsidP="00D03F3E">
      <w:pPr>
        <w:spacing w:after="0" w:line="240" w:lineRule="auto"/>
        <w:jc w:val="both"/>
        <w:rPr>
          <w:rFonts w:ascii="Times New Roman" w:hAnsi="Times New Roman"/>
          <w:color w:val="000000" w:themeColor="text1"/>
          <w:sz w:val="16"/>
          <w:szCs w:val="16"/>
        </w:rPr>
      </w:pPr>
      <w:r w:rsidRPr="00D03F3E">
        <w:rPr>
          <w:rStyle w:val="5f1"/>
          <w:rFonts w:eastAsiaTheme="minorHAnsi"/>
          <w:color w:val="000000" w:themeColor="text1"/>
          <w:sz w:val="16"/>
          <w:szCs w:val="16"/>
        </w:rPr>
        <w:t>Вооружение предполагалось в двух вариантах. Первый вариант включал 2 пушки калибра 23 мм (300 патронов) и 4 пулемета калибра 7,62 мм (2000 патронов) для стрельбы вперед, пушка калибра 20 мм для стрельбы назад-вверх (150 патронов), 800 кг бомб (1000 кг в перегрузку). Второй вариант: 2 пушки калибра 37 мм (90 патронов) и 2 пулемета калибра 7,62 мм (1500 патронов) для стрельбы вперед, пушка калибра 20 мм для стрельбы назад-вверх (150 патронов), 600 кг бомб (800 кг в перегрузку).</w:t>
      </w:r>
    </w:p>
    <w:p w14:paraId="2FB5EF58" w14:textId="77777777" w:rsidR="007D28EE" w:rsidRPr="00D03F3E" w:rsidRDefault="007D28EE" w:rsidP="00D03F3E">
      <w:pPr>
        <w:spacing w:after="0" w:line="240" w:lineRule="auto"/>
        <w:jc w:val="both"/>
        <w:rPr>
          <w:rFonts w:ascii="Times New Roman" w:hAnsi="Times New Roman"/>
          <w:color w:val="000000" w:themeColor="text1"/>
          <w:sz w:val="16"/>
          <w:szCs w:val="16"/>
        </w:rPr>
      </w:pPr>
      <w:r w:rsidRPr="00D03F3E">
        <w:rPr>
          <w:rStyle w:val="5f1"/>
          <w:rFonts w:eastAsiaTheme="minorHAnsi"/>
          <w:color w:val="000000" w:themeColor="text1"/>
          <w:sz w:val="16"/>
          <w:szCs w:val="16"/>
        </w:rPr>
        <w:t>То есть летные данные «восьмерки» с «сорок третьим» мотором вполне дотягивались до уровня серийной «десятки» с АМ-42, но при этом самолет имел более мощное бронирование и бомбардировочное вооружение.</w:t>
      </w:r>
    </w:p>
    <w:p w14:paraId="71ABC5CD" w14:textId="77777777" w:rsidR="007D28EE" w:rsidRPr="00D03F3E" w:rsidRDefault="007D28EE" w:rsidP="00D03F3E">
      <w:pPr>
        <w:spacing w:after="0" w:line="240" w:lineRule="auto"/>
        <w:jc w:val="both"/>
        <w:rPr>
          <w:rFonts w:ascii="Times New Roman" w:hAnsi="Times New Roman"/>
          <w:color w:val="000000" w:themeColor="text1"/>
          <w:sz w:val="16"/>
          <w:szCs w:val="16"/>
        </w:rPr>
      </w:pPr>
      <w:r w:rsidRPr="00D03F3E">
        <w:rPr>
          <w:rStyle w:val="5f1"/>
          <w:rFonts w:eastAsiaTheme="minorHAnsi"/>
          <w:color w:val="000000" w:themeColor="text1"/>
          <w:sz w:val="16"/>
          <w:szCs w:val="16"/>
        </w:rPr>
        <w:t>Летные данные модернизированного штурмовика Ил-10 - заводское обозначение Ил-16 - с мотором М-43 получались заметно лучше.</w:t>
      </w:r>
    </w:p>
    <w:p w14:paraId="65D04A92" w14:textId="77777777" w:rsidR="007D28EE" w:rsidRPr="00D03F3E" w:rsidRDefault="007D28EE" w:rsidP="00D03F3E">
      <w:pPr>
        <w:spacing w:after="0" w:line="240" w:lineRule="auto"/>
        <w:jc w:val="both"/>
        <w:rPr>
          <w:rFonts w:ascii="Times New Roman" w:hAnsi="Times New Roman"/>
          <w:color w:val="000000" w:themeColor="text1"/>
          <w:sz w:val="16"/>
          <w:szCs w:val="16"/>
        </w:rPr>
      </w:pPr>
      <w:r w:rsidRPr="00D03F3E">
        <w:rPr>
          <w:rStyle w:val="5f1"/>
          <w:rFonts w:eastAsiaTheme="minorHAnsi"/>
          <w:color w:val="000000" w:themeColor="text1"/>
          <w:sz w:val="16"/>
          <w:szCs w:val="16"/>
        </w:rPr>
        <w:t>Получалось, что при полетном весе 5400 кг максимальная скорость и скороподъемность Ил-16 у земли составят 560 км/ч и 15,7 м/с, на высоте 3400 м - 630 км/ч и 13,5 м/с соответственно. Время подъема на высоту 4000 м - 4,6 мин. Разбег - 340 м. Посадочная скорость - 141 км/ч. Дальность полета (500 кг топлива и 200 кг бомб) на высоте 1000 м и скорости 400 км/ч - 836 км (2 ч 05 мин).</w:t>
      </w:r>
    </w:p>
    <w:p w14:paraId="02C9C20C" w14:textId="77777777" w:rsidR="007D28EE" w:rsidRPr="00D03F3E" w:rsidRDefault="007D28EE" w:rsidP="00D03F3E">
      <w:pPr>
        <w:spacing w:after="0" w:line="240" w:lineRule="auto"/>
        <w:jc w:val="both"/>
        <w:rPr>
          <w:rFonts w:ascii="Times New Roman" w:hAnsi="Times New Roman"/>
          <w:color w:val="000000" w:themeColor="text1"/>
          <w:sz w:val="16"/>
          <w:szCs w:val="16"/>
        </w:rPr>
      </w:pPr>
      <w:r w:rsidRPr="00D03F3E">
        <w:rPr>
          <w:rStyle w:val="5f1"/>
          <w:rFonts w:eastAsiaTheme="minorHAnsi"/>
          <w:color w:val="000000" w:themeColor="text1"/>
          <w:sz w:val="16"/>
          <w:szCs w:val="16"/>
        </w:rPr>
        <w:t>По составу и вариантам стрелково-пушечного вооружения самолет ничем не отличался от штурмовика-бомбардировщика, но бомбовое вооружение было слабее: с пушками калибра 23 мм - 400 кг бомб (в перегрузку 500 кг), с пушками калибра 37 мм - 200 кг (в перегрузку 300 кг).</w:t>
      </w:r>
    </w:p>
    <w:p w14:paraId="1125F545" w14:textId="77777777" w:rsidR="007D28EE" w:rsidRPr="00D03F3E" w:rsidRDefault="007D28EE" w:rsidP="00D03F3E">
      <w:pPr>
        <w:spacing w:after="0" w:line="240" w:lineRule="auto"/>
        <w:jc w:val="both"/>
        <w:rPr>
          <w:rFonts w:ascii="Times New Roman" w:hAnsi="Times New Roman"/>
          <w:color w:val="000000" w:themeColor="text1"/>
          <w:sz w:val="16"/>
          <w:szCs w:val="16"/>
        </w:rPr>
      </w:pPr>
      <w:r w:rsidRPr="00D03F3E">
        <w:rPr>
          <w:rStyle w:val="5f1"/>
          <w:rFonts w:eastAsiaTheme="minorHAnsi"/>
          <w:color w:val="000000" w:themeColor="text1"/>
          <w:sz w:val="16"/>
          <w:szCs w:val="16"/>
        </w:rPr>
        <w:t>Какие-либо данные о постройке Ил-8 М-43 пока не обнаружены. По всей видимости, самолет не строился. Дело в том, что после получения результатов государственных испытаний опытного экземпляра Ил-8 АМ-42 в мае 1945 года военные отказались от принятия его на вооружение ВВС КА. Как следствие, проект «восьмерки» с мотором М-43 утрачивал актуальность (17490).</w:t>
      </w:r>
    </w:p>
    <w:p w14:paraId="783F004D" w14:textId="77777777" w:rsidR="007D28EE" w:rsidRPr="00D03F3E" w:rsidRDefault="007D28EE" w:rsidP="00D03F3E">
      <w:pPr>
        <w:spacing w:after="0" w:line="240" w:lineRule="auto"/>
        <w:jc w:val="both"/>
        <w:rPr>
          <w:rFonts w:ascii="Times New Roman" w:hAnsi="Times New Roman"/>
          <w:color w:val="000000" w:themeColor="text1"/>
          <w:sz w:val="16"/>
          <w:szCs w:val="16"/>
        </w:rPr>
      </w:pPr>
    </w:p>
    <w:p w14:paraId="23FB8F9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г. было образовано моторостроительное ОКБ А.А.Микулина (6395).</w:t>
      </w:r>
    </w:p>
    <w:p w14:paraId="04BFA8C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BAEB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года по предложению гл. конструктора Микулина А.А. постановлением ГОКО за № 291сс во главе опытного завода № 300 поставлен гл. конструктор и ответственный руководитель с подчинением ему директора завода (8951).</w:t>
      </w:r>
    </w:p>
    <w:p w14:paraId="68DE0E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F11B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года Постановлением ГОКО за № 2916сс и 25 февраля 1943 года приказом НКАП за № 118сс на базе бывш. Инструментального завода № 8 треста “Оргавиапром был организован Опытный завод № 300.</w:t>
      </w:r>
    </w:p>
    <w:p w14:paraId="21AD95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ГКО были поставлены перед вновь созданным заводом следующие задачи:</w:t>
      </w:r>
    </w:p>
    <w:p w14:paraId="1B4564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модификация моторов АМ с передачей модифицированных образцов в серийное производство на другие заводы Министерства;</w:t>
      </w:r>
    </w:p>
    <w:p w14:paraId="5033C8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доводка существующих, разработка и изготовление новых образцов турбомеханизмов;</w:t>
      </w:r>
    </w:p>
    <w:p w14:paraId="6DA7F1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серийное производство турбомеханизмов.</w:t>
      </w:r>
    </w:p>
    <w:p w14:paraId="5ED8EC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Ответственным руководителем был назначен Микулин А.А.</w:t>
      </w:r>
    </w:p>
    <w:p w14:paraId="42FC83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1946 году заводу была поручена разработка конструкций, постройка, доводка и испытание опытных образцов мощных воздушно-реактивных двигателей.</w:t>
      </w:r>
    </w:p>
    <w:p w14:paraId="6C456A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Ответственные руководители завода:</w:t>
      </w:r>
    </w:p>
    <w:p w14:paraId="3E1668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Микулин А.А. – с февраля 1943 по 20 января 1955 года</w:t>
      </w:r>
    </w:p>
    <w:p w14:paraId="7CA7CA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Туманский С.К. – с 20 января 1955 года</w:t>
      </w:r>
    </w:p>
    <w:p w14:paraId="4C196B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Директора</w:t>
      </w:r>
    </w:p>
    <w:p w14:paraId="0632B3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Тихомиров Г.А. – с февраля 1943 г. до 12 января 1944 года</w:t>
      </w:r>
    </w:p>
    <w:p w14:paraId="620D1C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Навроцкий И.Г. – с 13 января 1944 года по 7 февраля 1948 года</w:t>
      </w:r>
    </w:p>
    <w:p w14:paraId="2C1974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Завитаев А.А. – с 7 февраля 1948 года по 17 января 1952 года</w:t>
      </w:r>
    </w:p>
    <w:p w14:paraId="679AE6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Томашевский А.А. – с 17 января 1952 года</w:t>
      </w:r>
    </w:p>
    <w:p w14:paraId="3C85C8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внедрении двигателя АМ-3 в серийное производство на заводе № 16 (приказ МАП № 804сс/ов от 11 июля 1952 года) на указанном заводе было организовано самостоятельное КБ.</w:t>
      </w:r>
    </w:p>
    <w:p w14:paraId="736C69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внедрении двигателя АМ-5 в серийное производство на заводе № 500 (приказ МАП за № 50сс от 19 сентября 1953 года) на указанном заводе была организована конструкторская группа, как филиал КБ завода № 300.</w:t>
      </w:r>
    </w:p>
    <w:p w14:paraId="212B37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При внедрении двигателя РД-9 в серийное производство на заводе № 26 (приказ МАП № 662сс от 25 октября 1954 года) на указанном заводе была организована </w:t>
      </w:r>
      <w:r w:rsidRPr="00D03F3E">
        <w:rPr>
          <w:rFonts w:ascii="Times New Roman" w:hAnsi="Times New Roman"/>
          <w:color w:val="000000" w:themeColor="text1"/>
          <w:sz w:val="16"/>
          <w:szCs w:val="16"/>
        </w:rPr>
        <w:lastRenderedPageBreak/>
        <w:t>конструкторская группа, как филиал КБ завода № 300. В январе 1956 года на заводе № 26 было организовано самостоятельное КБ (приказ № 628сс от 26 января 1955 года).</w:t>
      </w:r>
    </w:p>
    <w:p w14:paraId="11EE98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внедрении двигателя Р11-300 в серийное производство на заводе № 500 (приказ МАП за № 156сс от 19 апреля 1957 года) на указанном заводе было организовано самостоятельное КБ.</w:t>
      </w:r>
    </w:p>
    <w:p w14:paraId="095295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Москва, Лужнецкая наб., д. 2/4, п/я 2480</w:t>
      </w:r>
    </w:p>
    <w:p w14:paraId="402FE5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1943 года по 1950 год при заводе № 45 находилась испытательная станция завода № 300 (9601).</w:t>
      </w:r>
    </w:p>
    <w:p w14:paraId="087DDF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F8A6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г. в соответствии с постановлением ГОКО № 2916сс и приказом НКАП № 118сс от 25.02.1943 г. на базе завода № 8 ОАП НКАП в 8ГУ образован Государственный опытный завод № 300 МАП с ОКБ по ТРД для обеспечения опытно-конструкторских работ гл. конструктора А.А. Микулина. Сюда перешел основной конструкторский коллектив и оборудование ОКБ-24. На заводе № 24 оставлен филиал завода № 300 для помощи серийному производству. Микулин оставлен одновременно гл. конструктором заводов № 24 и № 45.</w:t>
      </w:r>
    </w:p>
    <w:p w14:paraId="610F27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первые послевоенные годы- работы по моторам АМ-39ФН2, АМ-39ФК. Работы по ускорителю «УС» (Б.С. Стечкин).</w:t>
      </w:r>
    </w:p>
    <w:p w14:paraId="1D69D2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479сс от 23.07.1946 г. при заводе № 45 образован филиал завода № 300 для организации производства АМТКРД-01 и АМТКРД-02.</w:t>
      </w:r>
    </w:p>
    <w:p w14:paraId="7FCBC2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ОКБ-300 последовательно выделилось 6 ОКБ: ОКБ-2-300, ОКБ-3-300, ОКБ-4-300.</w:t>
      </w:r>
    </w:p>
    <w:p w14:paraId="46F659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1966 г. ОКБ-300 переименовано в ММЗ «Союз», в 1981 г. образовано НПО «Союз». В 1967 г. имело наименование «предприятие- п/я» А-3492. В 1996 г. АМНТК "Союз" вошёл в ВПК "МАПО".</w:t>
      </w:r>
    </w:p>
    <w:p w14:paraId="73D47A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(2002 г.): малоразмерные короткоресурсные Р95-300, Р125-300; двигатели для легких деловых самолетов Р123-300, Р124-300, Р126-300, Р127-300, ВК-21; модернизация Р79.</w:t>
      </w:r>
    </w:p>
    <w:p w14:paraId="396EB1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66A962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(1943-55 г.)- А.А. Микулин {1895-1985 г.}, (1955-56 г.)- С.К. Туманский {1901-73 г.}. Ген. Конструктор (1956-73 г.)- С.К.Туманский, (1973-87 г.)- О.Ф. Фаворский {1929 г.-}, (1987-2000 г.)- В.К. Кобченко, (2001-02 г.-)- В.А. Белоусов. Ген. Конструктор по ГТП (2002 г.)- М.П. Симонов.</w:t>
      </w:r>
    </w:p>
    <w:p w14:paraId="0B3635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Ответственный руководитель (1943-55 г.)- А.А. Микулин. Гендиректор (1973-87 г.)- О.Ф. Фаворский {1929 г.-}, (1995-98 г.)- В.К. Кобченко, (1998-2000 г.)- О.А. Оганян, (2000-01 г.)- М.П. Симонов, (2002 г.)- М.О. Окроян.</w:t>
      </w:r>
    </w:p>
    <w:p w14:paraId="39AA9D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1-й зам. гендиректора (2002 г.)- Р.А. Антонян. Зам. гендиректора: по надежности, сертификации и лицензированию (2002 г.)- А.Ф. Жирнов; по маркетингу (2002 г.)- Ю.М. Малыгин.</w:t>
      </w:r>
    </w:p>
    <w:p w14:paraId="616E30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Гл. конструкторы: (-2000-02 г.-)- Е.А. Фомин; по малоразмерным двигателям (2002 г.)- Ю.П. Ротмистров. И.О. Гл. конструктора (1955 г.)- Г.Л. Лившиц (Р15-300). </w:t>
      </w:r>
    </w:p>
    <w:p w14:paraId="5B3691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Зам. Гл. конструктора: по конструкторской части (1943 г.-)- С.К. Туманский; по научно-технической части (02.1943-1955 г.)- Б.С. Стечкин; (1953-56 г.)- В.Н. Сорокин, (-1969 г.)- Ф.В. Шухов, (2000 г.)- А.Ф. Жирнов. </w:t>
      </w:r>
    </w:p>
    <w:p w14:paraId="578B1E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КБ (1943 г.-)- С.К. Туманский.</w:t>
      </w:r>
    </w:p>
    <w:p w14:paraId="0F1FF5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завода (1943-09.1944 г.-)- Г.А. Тихомиров, (-02.1945-08.1946 г.-)- И.Г. Навроцкий.</w:t>
      </w:r>
    </w:p>
    <w:p w14:paraId="581211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Создано: ПД: АМ-40ФК; ТРД: АМ-ТКРД-01 (1948), АМ-ТРД-02 (1949), АМ-3 (1952), АМ-5 (1953), РД-9Б (1954), Р11-300, Р27-300 (1967), Р27Ф2-300, РД-15-16, РД-16-17, РУ19-300 (1961), Р-53, Р-73, Р79-300 (1984-92)- 12, Р-126-300, Р-119-300, ТВ-0-100, ТВД-116, ТВ128-300; КР7-300 (1964), КР-15, РДК-300 для БПЛА (1982); ЖРД: Р201-300 (С5.33) для УР Х-22 (1964), Р209-300 для мишени КРМ на базе КСР-2, модули силовых установок Р203-300 и Р204-300 (для космических ЛА типа "ИС" и "УС"); термоэмиссионная ЯЭУ «Тополь» (1960-69); турбохолодильная установка ТХМ.69 </w:t>
      </w:r>
    </w:p>
    <w:p w14:paraId="4838C0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ОКБ-300 НКАП, Государственный опытный завод № 300 НКАП, МАП, ММЗ "Союз", А-3492, А-3803, МНПО "Союз", Авиамоторный научно-технический комплекс (АМНТК) «Союз», ОАО «АМНТК «Союз»</w:t>
      </w:r>
    </w:p>
    <w:p w14:paraId="444DB7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119270 г. Москва Лужнецкая наб., 2/4 тел. 242-28-62</w:t>
      </w:r>
    </w:p>
    <w:p w14:paraId="748BA2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ОКБ-2-300 МАП</w:t>
      </w:r>
    </w:p>
    <w:p w14:paraId="2BE1A1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(1960-е г.)- К.Р. Хачатуров.</w:t>
      </w:r>
    </w:p>
    <w:p w14:paraId="09FFAC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Создано: Р-11Ф2С-300.</w:t>
      </w:r>
    </w:p>
    <w:p w14:paraId="3089F4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ОКБ-3-300 МАП</w:t>
      </w:r>
    </w:p>
    <w:p w14:paraId="37872C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Уфа</w:t>
      </w:r>
    </w:p>
    <w:p w14:paraId="57D261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Приказом ГКАТ от 30.12.1963 г. ОКБ-26 передано заводу № 300 и переименовано в ОКБ-3-300. См. ОКБ-26 МАП.</w:t>
      </w:r>
    </w:p>
    <w:p w14:paraId="3D00AA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по двигателю КР21-26 (1964 г.).</w:t>
      </w:r>
    </w:p>
    <w:p w14:paraId="5D88CE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ОКБ-4-300 МАП, Тураевское машиностроительное КБ (ТМКБ) «Союз», ОАО «ТМКБ «Союз»</w:t>
      </w:r>
    </w:p>
    <w:p w14:paraId="64602D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140080 г. Лыткарино Московской обл. тел. 555-02-81</w:t>
      </w:r>
    </w:p>
    <w:p w14:paraId="58CECC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Образовано по приказу ГКАТ № 280 от 1.08.1964 г. как ОКБ-4-300. В 1972 г. сюда переведена группа конструкторов во главе с И.Б. Левановым из ОКБ-670 для продолжения работ по ПВРД. В 1978 г. эта группа выделилась в КБ «Пламя» при НИИТП МОМ. В 1972 г. КБ передана производственно-экспериментальная база КБ «Красная звезда» в Тураево.</w:t>
      </w:r>
    </w:p>
    <w:p w14:paraId="109720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1994 г.- ОАО «ТМКБ «Союз». По решению правительства № 22-р от 9.01.2004 г. вошло в перечень стратегических предприятий.</w:t>
      </w:r>
    </w:p>
    <w:p w14:paraId="10D891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Разработка и производство ЖРД малой тяги для космических аппаратов, ПВРД для крылатых ракет, форсажной камеры и сопла для РД-33 (1973 г.). Сюда переданы из ОКБ-52 работы по ядерной энергоустановке «Топаз» (испытана в 1987 г.).</w:t>
      </w:r>
    </w:p>
    <w:p w14:paraId="5F4A19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(2002 г.): ЖРД малой тяги; силовые установки КА; ПВРД, малоэмиссионные камеры сгорания СПВРД и ГПВРД; форсажные камеры ВРД.</w:t>
      </w:r>
    </w:p>
    <w:p w14:paraId="38C8B7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(1964-83 г.)- В.Г. Степанов, (-1998-2002 г.-)- Г.В. Комиссаров.</w:t>
      </w:r>
    </w:p>
    <w:p w14:paraId="073E24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конструктора (1970-е)- И.Б. Леванов, (2002 г.)- Б.П. Лысенко, (2002 г.)- И.И. Костенко.</w:t>
      </w:r>
    </w:p>
    <w:p w14:paraId="7615D2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Гендиректор (-1998-2002 г.-)- Г.В. Комиссаров.</w:t>
      </w:r>
    </w:p>
    <w:p w14:paraId="3E4A29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гендиректора (2002 г.)- И.В. Земнухов.</w:t>
      </w:r>
    </w:p>
    <w:p w14:paraId="3E2954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совета директоров (2002 г.)- В.М. Петренко.</w:t>
      </w:r>
    </w:p>
    <w:p w14:paraId="52900F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Работали: (середина 1960-х г.)- Ф.В. Шухов, (1972-78 г.)- И.Б. Леванов.</w:t>
      </w:r>
    </w:p>
    <w:p w14:paraId="7B9D6B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Создано: ЖРД: 210 для КА «Полет»; ПВРД: 3Д80, 3Д81, 3Д82 и 3Д83 для КР 3М80 комплекса «Москит», 31ДПК (ПВРД-52, 1977) для Х-31 (10776).</w:t>
      </w:r>
    </w:p>
    <w:p w14:paraId="6143B6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B1A9DA"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18 февраля</w:t>
      </w:r>
      <w:r w:rsidRPr="00D03F3E">
        <w:rPr>
          <w:rFonts w:ascii="Times New Roman" w:hAnsi="Times New Roman"/>
          <w:color w:val="000000" w:themeColor="text1"/>
          <w:sz w:val="16"/>
          <w:szCs w:val="16"/>
        </w:rPr>
        <w:t xml:space="preserve"> в 1943 году образовано моторостроительное ОКБ А.А.Микулина (ныне ОАО "Авиамоторный НТК "Союз"). Официальной датой образования государственного опытного завод № 300 ныне - ОАО "Авиамоторный НТК "Союз" считается 18 февраля 1943 г. Предприятие специализируется на расчетных и экспериментальных исследованиях в области газодинамики, термодинамики и прочности; проектировании, испытании и доводке газотурбинных двигателей, энергетических газотурбинных установок, агрегатов турбонаддува; разработке высокоэффективных компрессоров для нужд сельского хозяйства; программном обеспечении САПР. Основателем и первым руководителем НТК стал академик А.А.Микулин. В 1943 г. на базе КБ образовался "Завод № 300 МАП", нынешний АМНТК "Союз". Заместителем А.А.Микулина по науке был академик Б.Стечкин, разработавший теоретические основы газотурбинных двигателей, а по конструкторским работам - академик С.Туманский, руководивший ОКБ после Микулина более 18 лет. Завод сотрудничал с Мясищевым, Туполевым, Ильюшиным, Антоновым, Яковлевым, Сухим и многими другими конструкторами. В 1940-1950-х годах на предприятии были созданы самые мощные для тех лет турбореактивные двигатели «АМ-3» для бомбардировщика «Ту-16», а следовательно, и для первого реактивного пассажирского «Ту-104»; первый отечественный двигатель с осевым компрессором, форсажной камерой и регулируемым соплом, который использовался на первом отечественном сверхзвуковом истребителе «МИГ-19», а также моторы для «МиГ-21», истребителя-перехватчика СУ-15, многоцелевых самолетов «ЯК-28», штурмовиков «СУ-25», высотных разведчиков «Як-25РВ». «МиГ-25» с двигателем Р15Б-300 установил 28 мировых рекордов скорости, высоты и скороподъемности, некоторые из которых не побиты до сих пор. На двигателях "Союза" летают «Як-30», «Як-32», «Ан-24», «Ан-26», «Ан-28», «Ан-30». С 1960-х годов началась работа над двигателями для самолетов вертикального взлета и посадки (СВВП). Первым таким двигателем был оснащен палубный штурмовик «Як-38». Затем пришла очередь «Р79В-300» для первого в мире сверхзвукового самолета вертикального взлета и посадки «ЯК-141». Здесь же был создан единственный в мире двигатель с форсажем для самолета с вертикальным взлетом, подобного которому до сих пор нет нигде в мире. Здесь разрабатывались жидкостные ракетные и прямоточные двигатели, космическая термоэмиссионная ядерная энергетическая установка. На АМНТК "Союз" был создан первый короткоресурсный малоразмерный двигатель для крылатых ракет, в этой области предприятие и сейчас является лидером. Кроме того, НТК разработал турбохолодильную машину с оригинальным термодинамическим циклом, получившим за рубежом название "Русский цикл". Всего здесь создано 19 базовых турбореактивных двигателей в 44 модификациях, многие из которых эксплуатируются по 20-30 лет. Машины фирм Ильюшина, Микояна, Сухого, Туполева, Яковлева имеют моторы, созданные в АМНТК "Союз". На них установлено около 100 мировых рекордов скорости, скороподъемности и грузоподъемности, в том числе рекорд высоты - 37650 метров. Текущие проекты НТК представлены малоразмерным краткоресурсным ДТРД «РДК-300» и его модификациями; ДТРДФ «Р-79В» для СВВП «Як-141»; ДТРД «Р126-300» для региональных и административных самолетов. На предприятии создан двигатель «Р-145», полностью соответствующий требованиям, предъявляемым к самолетам пятого поколения. Вместе с французской "Снекма" и американской "Дженерал Электрик" АМНТК "Союз" участвует в создании сверхзвукового административного самолета большой дальности, для которого создал двигатель «ВК-</w:t>
      </w:r>
      <w:r w:rsidRPr="00D03F3E">
        <w:rPr>
          <w:rFonts w:ascii="Times New Roman" w:hAnsi="Times New Roman"/>
          <w:color w:val="000000" w:themeColor="text1"/>
          <w:sz w:val="16"/>
          <w:szCs w:val="16"/>
        </w:rPr>
        <w:lastRenderedPageBreak/>
        <w:t>21». Также фирма занимается разработками и в иных направлениях: счетчики расхода газа, разработки для измерения потока нефти по количеству и качеству, уникальные холодильные установки и др (15044).</w:t>
      </w:r>
    </w:p>
    <w:p w14:paraId="23CDFC8B" w14:textId="77777777" w:rsidR="00984084" w:rsidRPr="00D03F3E" w:rsidRDefault="00984084" w:rsidP="00D03F3E">
      <w:pPr>
        <w:spacing w:after="0" w:line="240" w:lineRule="auto"/>
        <w:jc w:val="both"/>
        <w:rPr>
          <w:rFonts w:ascii="Times New Roman" w:hAnsi="Times New Roman"/>
          <w:color w:val="000000" w:themeColor="text1"/>
          <w:sz w:val="16"/>
          <w:szCs w:val="16"/>
        </w:rPr>
      </w:pPr>
    </w:p>
    <w:p w14:paraId="305E2D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г. в соответствии с пост. ГКО № 2916сс и приказом НКАП № 118сс от 25.02.1943г. на базе вновь образованного в Москве завода № 8 ОАП НКАП, переданного со всем оборудованием и помещениями в 8ГУ образован опытный завод № 300 НКАП с ОКБ для обеспечения ОКР гл. конструктора А.А. Микулина (11982).</w:t>
      </w:r>
    </w:p>
    <w:p w14:paraId="27F6DD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A30B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вышло постановление ГКО поручившее все Як-9, включая Як-9Т делать в варианте ДИ с запасом горючего 480 кг (65,115).</w:t>
      </w:r>
    </w:p>
    <w:p w14:paraId="3E026B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E677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вышло постановление ГКО N 2914 "О выпуске в Новосибирске на заводе 153 самолетов Як-9 с увеличенной дальностью" (930,179).</w:t>
      </w:r>
    </w:p>
    <w:p w14:paraId="0D951F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D67F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вышло Постановление ГКО № 2914 О выпуске на Новосибирском заводе № 153 самолетов Як-9 с увеличенной дальностью.РГАНИР, Фонд ГКО, д. 91, лл. 63 (11012).</w:t>
      </w:r>
    </w:p>
    <w:p w14:paraId="3BEA5D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1ADBE0" w14:textId="77777777" w:rsidR="009B6B91" w:rsidRPr="00D03F3E" w:rsidRDefault="009B6B9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вышло Постановление ГКО № 2914 О выпуске на Новосибирском заводе № 153 самолетов Як-9 с увеличенной дальностью</w:t>
      </w:r>
    </w:p>
    <w:p w14:paraId="0671ED68" w14:textId="77777777" w:rsidR="009B6B91" w:rsidRPr="00D03F3E" w:rsidRDefault="009B6B9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Государственный Комитет Обороны постановляет:</w:t>
      </w:r>
    </w:p>
    <w:p w14:paraId="5BAD57C4" w14:textId="77777777" w:rsidR="009B6B91" w:rsidRPr="00D03F3E" w:rsidRDefault="009B6B9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Наркомавиапром - т.Шахурина и т.Яковлева и директора Новосибирского завода № 153 - т.Романова из</w:t>
      </w:r>
      <w:r w:rsidRPr="00D03F3E">
        <w:rPr>
          <w:rFonts w:ascii="Times New Roman" w:hAnsi="Times New Roman"/>
          <w:color w:val="000000" w:themeColor="text1"/>
          <w:sz w:val="16"/>
          <w:szCs w:val="16"/>
        </w:rPr>
        <w:softHyphen/>
        <w:t>готавливать и выпускать с 1-го марта 1943 года все само</w:t>
      </w:r>
      <w:r w:rsidRPr="00D03F3E">
        <w:rPr>
          <w:rFonts w:ascii="Times New Roman" w:hAnsi="Times New Roman"/>
          <w:color w:val="000000" w:themeColor="text1"/>
          <w:sz w:val="16"/>
          <w:szCs w:val="16"/>
        </w:rPr>
        <w:softHyphen/>
        <w:t>леты Як-9 в варианте дальнего истребителя.</w:t>
      </w:r>
    </w:p>
    <w:p w14:paraId="240CE1C2" w14:textId="77777777" w:rsidR="009B6B91" w:rsidRPr="00D03F3E" w:rsidRDefault="009B6B9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должен иметь четыре бака общей емкостью - 480 кг вместо двух баков емкостью - 320 кг, устанавлива</w:t>
      </w:r>
      <w:r w:rsidRPr="00D03F3E">
        <w:rPr>
          <w:rFonts w:ascii="Times New Roman" w:hAnsi="Times New Roman"/>
          <w:color w:val="000000" w:themeColor="text1"/>
          <w:sz w:val="16"/>
          <w:szCs w:val="16"/>
        </w:rPr>
        <w:softHyphen/>
        <w:t>емых в настоящее время.</w:t>
      </w:r>
    </w:p>
    <w:p w14:paraId="1D3D8401" w14:textId="77777777" w:rsidR="009B6B91" w:rsidRPr="00D03F3E" w:rsidRDefault="009B6B9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полета на высоте 1000 метров при скорос</w:t>
      </w:r>
      <w:r w:rsidRPr="00D03F3E">
        <w:rPr>
          <w:rFonts w:ascii="Times New Roman" w:hAnsi="Times New Roman"/>
          <w:color w:val="000000" w:themeColor="text1"/>
          <w:sz w:val="16"/>
          <w:szCs w:val="16"/>
        </w:rPr>
        <w:softHyphen/>
        <w:t>ти 360 км в час и 2250 оборотах мотора должна составлять 1200 километров (19382).</w:t>
      </w:r>
    </w:p>
    <w:p w14:paraId="5BFDDA80" w14:textId="77777777" w:rsidR="00655592" w:rsidRPr="00D03F3E" w:rsidRDefault="0065559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B44C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18 февраля 1943 292 завод сделал 47 Як-1 М-106, но из-за неполадок с мотором ни один из них не удалось отправить не только в войска, но и в НИИ ВВС (65,69).</w:t>
      </w:r>
    </w:p>
    <w:p w14:paraId="03F7CD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882B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вышло постановлению ГКО N 2915, согласно которому 19 апреля 1943 было утверждено новое "Положение о НИИ ГУ ИАС ВВС СА (753).</w:t>
      </w:r>
    </w:p>
    <w:p w14:paraId="06E909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Видно было по НИИ, так как считается, что 18 февраля 1943 было образовано Моторостроительное ОКБ А.А.Микулина (274).</w:t>
      </w:r>
    </w:p>
    <w:p w14:paraId="352194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другим данным - 16 февраля</w:t>
      </w:r>
    </w:p>
    <w:p w14:paraId="6440AC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20910D"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г. вышло постановление ГКО, в соответствии с которым проводились совместно ЦИАМ и заводами № 21 и № 240 доводка и лётные испытания Ла-5 и Ил-4 с ТК-3 и ТКМ (15830).</w:t>
      </w:r>
    </w:p>
    <w:p w14:paraId="1C69547A" w14:textId="77777777" w:rsidR="00984084" w:rsidRPr="00D03F3E" w:rsidRDefault="00984084" w:rsidP="00D03F3E">
      <w:pPr>
        <w:spacing w:after="0" w:line="240" w:lineRule="auto"/>
        <w:jc w:val="both"/>
        <w:rPr>
          <w:rFonts w:ascii="Times New Roman" w:hAnsi="Times New Roman"/>
          <w:color w:val="000000" w:themeColor="text1"/>
          <w:sz w:val="16"/>
          <w:szCs w:val="16"/>
        </w:rPr>
      </w:pPr>
    </w:p>
    <w:p w14:paraId="0FDA7B0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вышло Постановление ГКО № 2915 О создании в системе ВВС Красной Армии научно-исследовательского института специальных служб и научно-испытательного института авиационного вооружения. (7083, 64-65).</w:t>
      </w:r>
    </w:p>
    <w:p w14:paraId="4BAD8F0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56070B"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6B590D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6BE0A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года вышел приказ № 189с НКБ</w:t>
      </w:r>
    </w:p>
    <w:p w14:paraId="0F955AE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распоряжением СНК № 3107-рс от 13 февраля 1943 года:</w:t>
      </w:r>
    </w:p>
    <w:p w14:paraId="6FCE192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Принять от Наркомнефти Сумгаитский тротиловый завод и присвоить ему № 514, подчинив 1 Гл. Управлению (5810, 60).</w:t>
      </w:r>
    </w:p>
    <w:p w14:paraId="50A7CBF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4820F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г. был подготовлен СПРАВКА НАЧАЛЬНИКА 4-го ОТДЕЛА УПРАВЛЕНИЯ БРОНЕПОЕЗДОВ И БРОНЕМАШИН ГБТУ КА О ПРОИЗВОДСТВЕННЫХ МОЩНОСТЯХ МОТОЦИКЛЕТНЫХ ЗАВОДОВ НА НОЯБРЬ 1942 г.</w:t>
      </w:r>
    </w:p>
    <w:p w14:paraId="7A2474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 1942 г. и перспективы развития (Постановление ГОКО № 1456с от 16.03.1942 г.)</w:t>
      </w:r>
    </w:p>
    <w:tbl>
      <w:tblPr>
        <w:tblW w:w="0" w:type="auto"/>
        <w:tblInd w:w="40" w:type="dxa"/>
        <w:tblLayout w:type="fixed"/>
        <w:tblCellMar>
          <w:left w:w="40" w:type="dxa"/>
          <w:right w:w="40" w:type="dxa"/>
        </w:tblCellMar>
        <w:tblLook w:val="0000" w:firstRow="0" w:lastRow="0" w:firstColumn="0" w:lastColumn="0" w:noHBand="0" w:noVBand="0"/>
      </w:tblPr>
      <w:tblGrid>
        <w:gridCol w:w="1210"/>
        <w:gridCol w:w="1901"/>
        <w:gridCol w:w="1315"/>
        <w:gridCol w:w="1315"/>
        <w:gridCol w:w="1853"/>
        <w:gridCol w:w="1862"/>
      </w:tblGrid>
      <w:tr w:rsidR="00860B4B" w:rsidRPr="00D03F3E" w14:paraId="37B4ED87" w14:textId="77777777">
        <w:trPr>
          <w:trHeight w:val="442"/>
        </w:trPr>
        <w:tc>
          <w:tcPr>
            <w:tcW w:w="1210" w:type="dxa"/>
            <w:tcBorders>
              <w:top w:val="single" w:sz="6" w:space="0" w:color="auto"/>
              <w:left w:val="single" w:sz="6" w:space="0" w:color="auto"/>
              <w:bottom w:val="single" w:sz="6" w:space="0" w:color="auto"/>
              <w:right w:val="single" w:sz="6" w:space="0" w:color="auto"/>
            </w:tcBorders>
          </w:tcPr>
          <w:p w14:paraId="6386C5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Наименование заводов</w:t>
            </w:r>
          </w:p>
          <w:p w14:paraId="44636B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01" w:type="dxa"/>
            <w:tcBorders>
              <w:top w:val="single" w:sz="6" w:space="0" w:color="auto"/>
              <w:left w:val="single" w:sz="6" w:space="0" w:color="auto"/>
              <w:bottom w:val="single" w:sz="6" w:space="0" w:color="auto"/>
              <w:right w:val="single" w:sz="6" w:space="0" w:color="auto"/>
            </w:tcBorders>
          </w:tcPr>
          <w:p w14:paraId="3531A0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Выпускаемые изделия</w:t>
            </w:r>
          </w:p>
          <w:p w14:paraId="4BF74E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6988C3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 выпуска на 1942г. в шт.</w:t>
            </w:r>
          </w:p>
          <w:p w14:paraId="3ECE5FA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E3790B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Фактически изго</w:t>
            </w:r>
            <w:r w:rsidRPr="00D03F3E">
              <w:rPr>
                <w:rFonts w:ascii="Times New Roman" w:hAnsi="Times New Roman"/>
                <w:color w:val="000000" w:themeColor="text1"/>
                <w:sz w:val="16"/>
                <w:szCs w:val="16"/>
              </w:rPr>
              <w:softHyphen/>
              <w:t>товлено</w:t>
            </w:r>
          </w:p>
          <w:p w14:paraId="04B84FB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2DD619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Проектные мощности заводов в шт.</w:t>
            </w:r>
          </w:p>
          <w:p w14:paraId="099D72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62" w:type="dxa"/>
            <w:tcBorders>
              <w:top w:val="single" w:sz="6" w:space="0" w:color="auto"/>
              <w:left w:val="single" w:sz="6" w:space="0" w:color="auto"/>
              <w:bottom w:val="single" w:sz="6" w:space="0" w:color="auto"/>
              <w:right w:val="single" w:sz="6" w:space="0" w:color="auto"/>
            </w:tcBorders>
          </w:tcPr>
          <w:p w14:paraId="784850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Срок освоения проектных мощностей</w:t>
            </w:r>
          </w:p>
          <w:p w14:paraId="09525C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6F5D588" w14:textId="77777777">
        <w:trPr>
          <w:trHeight w:val="470"/>
        </w:trPr>
        <w:tc>
          <w:tcPr>
            <w:tcW w:w="1210" w:type="dxa"/>
            <w:tcBorders>
              <w:top w:val="single" w:sz="6" w:space="0" w:color="auto"/>
              <w:left w:val="single" w:sz="6" w:space="0" w:color="auto"/>
              <w:bottom w:val="single" w:sz="6" w:space="0" w:color="auto"/>
              <w:right w:val="single" w:sz="6" w:space="0" w:color="auto"/>
            </w:tcBorders>
          </w:tcPr>
          <w:p w14:paraId="330934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Горьковский</w:t>
            </w:r>
          </w:p>
          <w:p w14:paraId="03265D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01" w:type="dxa"/>
            <w:tcBorders>
              <w:top w:val="single" w:sz="6" w:space="0" w:color="auto"/>
              <w:left w:val="single" w:sz="6" w:space="0" w:color="auto"/>
              <w:bottom w:val="single" w:sz="6" w:space="0" w:color="auto"/>
              <w:right w:val="single" w:sz="6" w:space="0" w:color="auto"/>
            </w:tcBorders>
          </w:tcPr>
          <w:p w14:paraId="71E8960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Мотоциклы М-72 с коляской</w:t>
            </w:r>
          </w:p>
          <w:p w14:paraId="02D052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CF04B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5000</w:t>
            </w:r>
          </w:p>
          <w:p w14:paraId="7990169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27BF03E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1268</w:t>
            </w:r>
          </w:p>
          <w:p w14:paraId="660464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5180BD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15000</w:t>
            </w:r>
          </w:p>
          <w:p w14:paraId="52F81D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62" w:type="dxa"/>
            <w:tcBorders>
              <w:top w:val="single" w:sz="6" w:space="0" w:color="auto"/>
              <w:left w:val="single" w:sz="6" w:space="0" w:color="auto"/>
              <w:bottom w:val="single" w:sz="6" w:space="0" w:color="auto"/>
              <w:right w:val="single" w:sz="6" w:space="0" w:color="auto"/>
            </w:tcBorders>
          </w:tcPr>
          <w:p w14:paraId="137DCD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апрель 1 943 г.</w:t>
            </w:r>
          </w:p>
          <w:p w14:paraId="5C348C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761CD93" w14:textId="77777777">
        <w:trPr>
          <w:trHeight w:val="470"/>
        </w:trPr>
        <w:tc>
          <w:tcPr>
            <w:tcW w:w="1210" w:type="dxa"/>
            <w:tcBorders>
              <w:top w:val="single" w:sz="6" w:space="0" w:color="auto"/>
              <w:left w:val="single" w:sz="6" w:space="0" w:color="auto"/>
              <w:bottom w:val="single" w:sz="6" w:space="0" w:color="auto"/>
              <w:right w:val="single" w:sz="6" w:space="0" w:color="auto"/>
            </w:tcBorders>
          </w:tcPr>
          <w:p w14:paraId="000DB18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Ирбитский</w:t>
            </w:r>
          </w:p>
          <w:p w14:paraId="286049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01" w:type="dxa"/>
            <w:tcBorders>
              <w:top w:val="single" w:sz="6" w:space="0" w:color="auto"/>
              <w:left w:val="single" w:sz="6" w:space="0" w:color="auto"/>
              <w:bottom w:val="single" w:sz="6" w:space="0" w:color="auto"/>
              <w:right w:val="single" w:sz="6" w:space="0" w:color="auto"/>
            </w:tcBorders>
          </w:tcPr>
          <w:p w14:paraId="10FD36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Мотоциклы М-72 с коляской</w:t>
            </w:r>
          </w:p>
          <w:p w14:paraId="5D18880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11284C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5000</w:t>
            </w:r>
          </w:p>
          <w:p w14:paraId="520760D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01BAB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1573</w:t>
            </w:r>
          </w:p>
          <w:p w14:paraId="408262E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6518AF9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15000</w:t>
            </w:r>
          </w:p>
          <w:p w14:paraId="7F1588F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62" w:type="dxa"/>
            <w:tcBorders>
              <w:top w:val="single" w:sz="6" w:space="0" w:color="auto"/>
              <w:left w:val="single" w:sz="6" w:space="0" w:color="auto"/>
              <w:bottom w:val="single" w:sz="6" w:space="0" w:color="auto"/>
              <w:right w:val="single" w:sz="6" w:space="0" w:color="auto"/>
            </w:tcBorders>
          </w:tcPr>
          <w:p w14:paraId="7833C29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апрель 1943 г.</w:t>
            </w:r>
          </w:p>
          <w:p w14:paraId="74BD25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8859DEB" w14:textId="77777777">
        <w:trPr>
          <w:trHeight w:val="480"/>
        </w:trPr>
        <w:tc>
          <w:tcPr>
            <w:tcW w:w="1210" w:type="dxa"/>
            <w:tcBorders>
              <w:top w:val="single" w:sz="6" w:space="0" w:color="auto"/>
              <w:left w:val="single" w:sz="6" w:space="0" w:color="auto"/>
              <w:bottom w:val="single" w:sz="6" w:space="0" w:color="auto"/>
              <w:right w:val="single" w:sz="6" w:space="0" w:color="auto"/>
            </w:tcBorders>
          </w:tcPr>
          <w:p w14:paraId="1E184ED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Тюменский</w:t>
            </w:r>
          </w:p>
          <w:p w14:paraId="2595E1D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01" w:type="dxa"/>
            <w:tcBorders>
              <w:top w:val="single" w:sz="6" w:space="0" w:color="auto"/>
              <w:left w:val="single" w:sz="6" w:space="0" w:color="auto"/>
              <w:bottom w:val="single" w:sz="6" w:space="0" w:color="auto"/>
              <w:right w:val="single" w:sz="6" w:space="0" w:color="auto"/>
            </w:tcBorders>
          </w:tcPr>
          <w:p w14:paraId="02064E2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Мотоциклы М-72 с коляской</w:t>
            </w:r>
          </w:p>
          <w:p w14:paraId="46F1CF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45C50D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p w14:paraId="339965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1EDC99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187</w:t>
            </w:r>
          </w:p>
          <w:p w14:paraId="0FEB069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466992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6000</w:t>
            </w:r>
          </w:p>
          <w:p w14:paraId="5B2212F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62" w:type="dxa"/>
            <w:tcBorders>
              <w:top w:val="single" w:sz="6" w:space="0" w:color="auto"/>
              <w:left w:val="single" w:sz="6" w:space="0" w:color="auto"/>
              <w:bottom w:val="single" w:sz="6" w:space="0" w:color="auto"/>
              <w:right w:val="single" w:sz="6" w:space="0" w:color="auto"/>
            </w:tcBorders>
          </w:tcPr>
          <w:p w14:paraId="453E8B9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июнь 1943 г.</w:t>
            </w:r>
          </w:p>
          <w:p w14:paraId="0B7EBF8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D300DF3" w14:textId="77777777">
        <w:trPr>
          <w:trHeight w:val="298"/>
        </w:trPr>
        <w:tc>
          <w:tcPr>
            <w:tcW w:w="1210" w:type="dxa"/>
            <w:tcBorders>
              <w:top w:val="single" w:sz="6" w:space="0" w:color="auto"/>
              <w:left w:val="single" w:sz="6" w:space="0" w:color="auto"/>
              <w:bottom w:val="single" w:sz="6" w:space="0" w:color="auto"/>
              <w:right w:val="single" w:sz="6" w:space="0" w:color="auto"/>
            </w:tcBorders>
          </w:tcPr>
          <w:p w14:paraId="590802F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6743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01" w:type="dxa"/>
            <w:tcBorders>
              <w:top w:val="single" w:sz="6" w:space="0" w:color="auto"/>
              <w:left w:val="single" w:sz="6" w:space="0" w:color="auto"/>
              <w:bottom w:val="single" w:sz="6" w:space="0" w:color="auto"/>
              <w:right w:val="single" w:sz="6" w:space="0" w:color="auto"/>
            </w:tcBorders>
          </w:tcPr>
          <w:p w14:paraId="4B90C52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w:t>
            </w:r>
          </w:p>
          <w:p w14:paraId="0BE8CFC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7D78A2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11000</w:t>
            </w:r>
          </w:p>
          <w:p w14:paraId="17FADC0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DD6C7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3028</w:t>
            </w:r>
          </w:p>
          <w:p w14:paraId="03B597A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68888B0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36000</w:t>
            </w:r>
          </w:p>
          <w:p w14:paraId="594B95A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62" w:type="dxa"/>
            <w:tcBorders>
              <w:top w:val="single" w:sz="6" w:space="0" w:color="auto"/>
              <w:left w:val="single" w:sz="6" w:space="0" w:color="auto"/>
              <w:bottom w:val="single" w:sz="6" w:space="0" w:color="auto"/>
              <w:right w:val="single" w:sz="6" w:space="0" w:color="auto"/>
            </w:tcBorders>
          </w:tcPr>
          <w:p w14:paraId="43B9851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3346C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793F73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Горьковский мотозавод.</w:t>
      </w:r>
    </w:p>
    <w:p w14:paraId="727F23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состоянию на 21.11.1942 г. Горьковский мотозавод укомплектован оборудованием и оснаст</w:t>
      </w:r>
      <w:r w:rsidRPr="00D03F3E">
        <w:rPr>
          <w:rFonts w:ascii="Times New Roman" w:hAnsi="Times New Roman"/>
          <w:color w:val="000000" w:themeColor="text1"/>
          <w:sz w:val="16"/>
          <w:szCs w:val="16"/>
        </w:rPr>
        <w:softHyphen/>
        <w:t>кой в следующем количестве:</w:t>
      </w:r>
    </w:p>
    <w:p w14:paraId="128CC21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Оборудование:</w:t>
      </w:r>
    </w:p>
    <w:p w14:paraId="3CFDDD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1)требуется для выпуска 15 000 мотоциклов - 626 станков;</w:t>
      </w:r>
    </w:p>
    <w:p w14:paraId="72204FC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2)имеется в наличии - 352 станка;</w:t>
      </w:r>
    </w:p>
    <w:p w14:paraId="5CA17FF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недостает - 274 станка.</w:t>
      </w:r>
    </w:p>
    <w:p w14:paraId="3AB6747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 Оснащение:</w:t>
      </w:r>
    </w:p>
    <w:p w14:paraId="049E64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1)требуется (приспособлений, инструмента, штампов) - 2026 единиц;</w:t>
      </w:r>
    </w:p>
    <w:p w14:paraId="4B8449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2)имеется - 1546 единиц;</w:t>
      </w:r>
    </w:p>
    <w:p w14:paraId="2D16734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3)недостает - 479 единиц.</w:t>
      </w:r>
    </w:p>
    <w:p w14:paraId="51514FD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1942 году Горьковский мотозавод освоил изготовление деталей экипажной части М-72. Полностью освоил изготовление деталей коробки перемены передач. Освоил изготовление деталей мотора, за исключением кривошипного механизма.</w:t>
      </w:r>
    </w:p>
    <w:p w14:paraId="3771F9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Горьковский мотозавод может выпускать 350-400 мотоциклов при следующей ему помощи:</w:t>
      </w:r>
    </w:p>
    <w:p w14:paraId="2A6F15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доукомплектовать завод 158 станками;</w:t>
      </w:r>
    </w:p>
    <w:p w14:paraId="029F21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доукомплектовать завод 479 единицами оснастки;</w:t>
      </w:r>
    </w:p>
    <w:p w14:paraId="2DC8B64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доукомплектовать рабочей силой.</w:t>
      </w:r>
    </w:p>
    <w:p w14:paraId="0806AA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(Данные на ноябрь месяц 1942 г.).</w:t>
      </w:r>
    </w:p>
    <w:p w14:paraId="02D90A3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Ирбитский мотозавод имеет 621 станок, которые обеспечивают без учета некоторой неком</w:t>
      </w:r>
      <w:r w:rsidRPr="00D03F3E">
        <w:rPr>
          <w:rFonts w:ascii="Times New Roman" w:hAnsi="Times New Roman"/>
          <w:color w:val="000000" w:themeColor="text1"/>
          <w:sz w:val="16"/>
          <w:szCs w:val="16"/>
        </w:rPr>
        <w:softHyphen/>
        <w:t>плектности оборудования выпуск в год моторов — 20000, коробок передач — 20000 и экипажной части на 13 000 мотоциклов М-72.</w:t>
      </w:r>
    </w:p>
    <w:p w14:paraId="5B6A977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Учитывая некомплектность оборудования, узкие места по оборудованию могут обеспечить:</w:t>
      </w:r>
    </w:p>
    <w:p w14:paraId="2341406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а)поршней 160 шт. вдень</w:t>
      </w:r>
    </w:p>
    <w:p w14:paraId="19511C5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поршневых колец 300 шт. в день</w:t>
      </w:r>
    </w:p>
    <w:p w14:paraId="57B91C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клапанов 160 шт.</w:t>
      </w:r>
    </w:p>
    <w:p w14:paraId="739203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распред. валиков 35 шт.</w:t>
      </w:r>
    </w:p>
    <w:p w14:paraId="438C77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кривошипн. механизмов 50 шт. е)коробок пер. смены передач 50 шт. ж)ступиц колеса 176 шт. з) ступиц колеса 22 000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13"/>
        <w:gridCol w:w="682"/>
        <w:gridCol w:w="1402"/>
      </w:tblGrid>
      <w:tr w:rsidR="00860B4B" w:rsidRPr="00D03F3E" w14:paraId="7D372ADA" w14:textId="77777777">
        <w:trPr>
          <w:trHeight w:val="240"/>
        </w:trPr>
        <w:tc>
          <w:tcPr>
            <w:tcW w:w="413" w:type="dxa"/>
            <w:tcBorders>
              <w:top w:val="single" w:sz="12" w:space="0" w:color="auto"/>
            </w:tcBorders>
          </w:tcPr>
          <w:p w14:paraId="7EE15C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w:t>
            </w:r>
          </w:p>
          <w:p w14:paraId="26B9685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12" w:space="0" w:color="auto"/>
            </w:tcBorders>
          </w:tcPr>
          <w:p w14:paraId="31E3E8E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w:t>
            </w:r>
          </w:p>
          <w:p w14:paraId="0F6BD5D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12" w:space="0" w:color="auto"/>
            </w:tcBorders>
          </w:tcPr>
          <w:p w14:paraId="36F687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мотоциклов;</w:t>
            </w:r>
          </w:p>
          <w:p w14:paraId="2AAE567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EC4DB03" w14:textId="77777777">
        <w:trPr>
          <w:trHeight w:val="230"/>
        </w:trPr>
        <w:tc>
          <w:tcPr>
            <w:tcW w:w="413" w:type="dxa"/>
          </w:tcPr>
          <w:p w14:paraId="4873EC6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w:t>
            </w:r>
          </w:p>
          <w:p w14:paraId="2241D58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52AA9F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50</w:t>
            </w:r>
          </w:p>
          <w:p w14:paraId="76A74FB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0BAAD99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мотоциклов;</w:t>
            </w:r>
          </w:p>
          <w:p w14:paraId="3469ED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EED5C9D" w14:textId="77777777">
        <w:trPr>
          <w:trHeight w:val="240"/>
        </w:trPr>
        <w:tc>
          <w:tcPr>
            <w:tcW w:w="413" w:type="dxa"/>
          </w:tcPr>
          <w:p w14:paraId="4112D91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на</w:t>
            </w:r>
          </w:p>
          <w:p w14:paraId="0B1ED00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382038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p w14:paraId="47338F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2016A5F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мотоциклов;</w:t>
            </w:r>
          </w:p>
          <w:p w14:paraId="1FEA69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81D5E88" w14:textId="77777777">
        <w:trPr>
          <w:trHeight w:val="240"/>
        </w:trPr>
        <w:tc>
          <w:tcPr>
            <w:tcW w:w="413" w:type="dxa"/>
          </w:tcPr>
          <w:p w14:paraId="7306FE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w:t>
            </w:r>
          </w:p>
          <w:p w14:paraId="6E6BC8E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38086D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p w14:paraId="3662E6F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0B42BE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мотоциклов;</w:t>
            </w:r>
          </w:p>
          <w:p w14:paraId="1AA0DBC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6A27725" w14:textId="77777777">
        <w:trPr>
          <w:trHeight w:val="240"/>
        </w:trPr>
        <w:tc>
          <w:tcPr>
            <w:tcW w:w="413" w:type="dxa"/>
          </w:tcPr>
          <w:p w14:paraId="09C042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w:t>
            </w:r>
          </w:p>
          <w:p w14:paraId="2FB3B5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1C4157D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p w14:paraId="11D3057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678612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мотоциклов;</w:t>
            </w:r>
          </w:p>
          <w:p w14:paraId="1D8587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A04DF72" w14:textId="77777777">
        <w:trPr>
          <w:trHeight w:val="240"/>
        </w:trPr>
        <w:tc>
          <w:tcPr>
            <w:tcW w:w="413" w:type="dxa"/>
          </w:tcPr>
          <w:p w14:paraId="41C198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w:t>
            </w:r>
          </w:p>
          <w:p w14:paraId="3B06A9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0993F2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p w14:paraId="0BD158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792E7A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мотоциклов;</w:t>
            </w:r>
          </w:p>
          <w:p w14:paraId="071D4C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B77620E" w14:textId="77777777">
        <w:trPr>
          <w:trHeight w:val="230"/>
        </w:trPr>
        <w:tc>
          <w:tcPr>
            <w:tcW w:w="413" w:type="dxa"/>
          </w:tcPr>
          <w:p w14:paraId="77FCD8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w:t>
            </w:r>
          </w:p>
          <w:p w14:paraId="39FB466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77C963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w:t>
            </w:r>
          </w:p>
          <w:p w14:paraId="03ED47F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40EF0AE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мотоцикла;</w:t>
            </w:r>
          </w:p>
          <w:p w14:paraId="2D8111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941AD97" w14:textId="77777777">
        <w:trPr>
          <w:trHeight w:val="240"/>
        </w:trPr>
        <w:tc>
          <w:tcPr>
            <w:tcW w:w="413" w:type="dxa"/>
            <w:tcBorders>
              <w:bottom w:val="single" w:sz="12" w:space="0" w:color="auto"/>
            </w:tcBorders>
          </w:tcPr>
          <w:p w14:paraId="3DF9A0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w:t>
            </w:r>
          </w:p>
          <w:p w14:paraId="2C8E700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bottom w:val="single" w:sz="12" w:space="0" w:color="auto"/>
            </w:tcBorders>
          </w:tcPr>
          <w:p w14:paraId="6F6C216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w:t>
            </w:r>
          </w:p>
          <w:p w14:paraId="224AE92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bottom w:val="single" w:sz="12" w:space="0" w:color="auto"/>
            </w:tcBorders>
          </w:tcPr>
          <w:p w14:paraId="2EDF4A9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мотоциклов.</w:t>
            </w:r>
          </w:p>
          <w:p w14:paraId="473C8ED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7AD7C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наличное оборудование обеспечивает производство не менее 50 мотоциклов в день, так как участки с меньшим числом деталей могут быть усилены за счет участков, имеющих избыточное оборудование.</w:t>
      </w:r>
    </w:p>
    <w:p w14:paraId="05A07E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оборудование моторного цеха коробки передач увеличить на 18 станков, то завод может производить 1300 моторов и коробок в месяц.</w:t>
      </w:r>
    </w:p>
    <w:p w14:paraId="791757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декабря завод имел 650 человек производственных рабочих. На производство одного мото</w:t>
      </w:r>
      <w:r w:rsidRPr="00D03F3E">
        <w:rPr>
          <w:rFonts w:ascii="Times New Roman" w:hAnsi="Times New Roman"/>
          <w:color w:val="000000" w:themeColor="text1"/>
          <w:sz w:val="16"/>
          <w:szCs w:val="16"/>
        </w:rPr>
        <w:softHyphen/>
        <w:t>цикла требуется 348 человек. Отсюда производственная мощность завода по рабочей силе составля</w:t>
      </w:r>
      <w:r w:rsidRPr="00D03F3E">
        <w:rPr>
          <w:rFonts w:ascii="Times New Roman" w:hAnsi="Times New Roman"/>
          <w:color w:val="000000" w:themeColor="text1"/>
          <w:sz w:val="16"/>
          <w:szCs w:val="16"/>
        </w:rPr>
        <w:softHyphen/>
        <w:t>ла 6500 мотоциклов в год.</w:t>
      </w:r>
    </w:p>
    <w:p w14:paraId="0F7661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Оборудование и рабочая сила заводом полностью не используется. Постоянные перебои в снабжении деталями смежников и подаче нефти для питания дизелей и отопления термического и литейного цехов вызывают простои рабочей силы и оборудования. Завод работает не равномерно, а рывками, в результате дисциплина труда подрывается.</w:t>
      </w:r>
    </w:p>
    <w:p w14:paraId="4B8A6DD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Почти весь декабрь 1942 г. и до 8 января 1943 г. завод стоял из-за отсутствия электроэнергии. Строительство ТЭЦ задерживается и в лучшем случае может начать работать с мая месяца 1943 г., а то и позднее. Немедленно и эффективно можно разрешить проблему энергоснабжения завода за счет работы дизелей, установленных на заводе «Автоприцеп».</w:t>
      </w:r>
    </w:p>
    <w:p w14:paraId="18A3B8D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этого необходимо часть дизелей передать мотозаводу и обеспечить их топливом. Автоприцеп имеет дизеля 100 сил; 300 сил; 400 сил и 600 сил. Всего — 1400 сил.</w:t>
      </w:r>
    </w:p>
    <w:p w14:paraId="5BF7597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обеспечить топливом имеющиеся дизеля, и бесперебойно получать энергию от локомоби</w:t>
      </w:r>
      <w:r w:rsidRPr="00D03F3E">
        <w:rPr>
          <w:rFonts w:ascii="Times New Roman" w:hAnsi="Times New Roman"/>
          <w:color w:val="000000" w:themeColor="text1"/>
          <w:sz w:val="16"/>
          <w:szCs w:val="16"/>
        </w:rPr>
        <w:softHyphen/>
        <w:t>ля, имеющегося на заводе, тогда Ирбитский мотозавод электроэнергией будет обеспечен.</w:t>
      </w:r>
    </w:p>
    <w:p w14:paraId="3B2EFA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Тюменский мотозавод.</w:t>
      </w:r>
    </w:p>
    <w:p w14:paraId="143F63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наличию оборудования завод в состоянии выпускать до 350 мотоциклов АМ-600 в месяц. Для нормальной работы заводу необходимо, чтобы Тюменская электростанция давала заводу ежемесяч</w:t>
      </w:r>
      <w:r w:rsidRPr="00D03F3E">
        <w:rPr>
          <w:rFonts w:ascii="Times New Roman" w:hAnsi="Times New Roman"/>
          <w:color w:val="000000" w:themeColor="text1"/>
          <w:sz w:val="16"/>
          <w:szCs w:val="16"/>
        </w:rPr>
        <w:softHyphen/>
        <w:t>но не менее 600-700 кВт. электроэнергии. По состоянию на 1 ноября 1942 года завод имел рабочих 515 человек.</w:t>
      </w:r>
    </w:p>
    <w:p w14:paraId="5ECD0B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причины плохой работы мотоциклетных заводов в 1942 г. и январе-феврале 1943 года:</w:t>
      </w:r>
    </w:p>
    <w:p w14:paraId="7B2D80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Недопустимо медленные темпы восстановления мотоциклетных заводов на новых пунктах размещения и неудачный выбор их.</w:t>
      </w:r>
    </w:p>
    <w:p w14:paraId="1BA126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Наркомсредмаш по настоящему не занимался производством мотоциклов и не оказывал долж</w:t>
      </w:r>
      <w:r w:rsidRPr="00D03F3E">
        <w:rPr>
          <w:rFonts w:ascii="Times New Roman" w:hAnsi="Times New Roman"/>
          <w:color w:val="000000" w:themeColor="text1"/>
          <w:sz w:val="16"/>
          <w:szCs w:val="16"/>
        </w:rPr>
        <w:softHyphen/>
        <w:t>ной помощи заводам.</w:t>
      </w:r>
    </w:p>
    <w:p w14:paraId="105B66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 мотозаводах до сих пор не созданы заготовительные цеха (кузнечные и литейные и инстру</w:t>
      </w:r>
      <w:r w:rsidRPr="00D03F3E">
        <w:rPr>
          <w:rFonts w:ascii="Times New Roman" w:hAnsi="Times New Roman"/>
          <w:color w:val="000000" w:themeColor="text1"/>
          <w:sz w:val="16"/>
          <w:szCs w:val="16"/>
        </w:rPr>
        <w:softHyphen/>
        <w:t>ментальные) , в результате чего мотозаводы поставлены в полную зависимость от поставок деталей заводов смежников.</w:t>
      </w:r>
    </w:p>
    <w:p w14:paraId="1D85E9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Директора заводов ЗИС, ГАЗ, Красная Этна и завод №37 не выполнили постановления ГОКО и сорвали план выпуска мотоциклов в 1942 году.</w:t>
      </w:r>
    </w:p>
    <w:p w14:paraId="355E9C9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постановления ГОКО от 16.03.1942 г. за №1456с о восстановлении мотоциклет</w:t>
      </w:r>
      <w:r w:rsidRPr="00D03F3E">
        <w:rPr>
          <w:rFonts w:ascii="Times New Roman" w:hAnsi="Times New Roman"/>
          <w:color w:val="000000" w:themeColor="text1"/>
          <w:sz w:val="16"/>
          <w:szCs w:val="16"/>
        </w:rPr>
        <w:softHyphen/>
        <w:t>ного производства Наркомсредмаш в 1942 году издал пять приказов и ни один из них полностью не выполнен.</w:t>
      </w:r>
    </w:p>
    <w:p w14:paraId="09A963A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Необеспеченность Ирбитского и Тюменского мотозаводов электроэнергией.</w:t>
      </w:r>
    </w:p>
    <w:p w14:paraId="4260FC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4 отдела управления бронепоездов и бронемашин ГБТУ КА инженер-майор Апарин</w:t>
      </w:r>
    </w:p>
    <w:p w14:paraId="1DD5A7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11358. Д. 939. Л. 28-29. Подлинник (11403).</w:t>
      </w:r>
    </w:p>
    <w:p w14:paraId="287D8D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A1A6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вышло Постановление ГКО № 2910 О мерах по завозу в I квартале 1943 года горючего и масел для весенних сельскохозяйственных работ.РГАНИР, Фонд ГКО, д. 91, лл. 45-52, 53-59 (11012).</w:t>
      </w:r>
    </w:p>
    <w:p w14:paraId="1B7E32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5D9D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вышло Распоряжение ГКО № 2912. О продлении до 15 апреля срока работы 800 рабочих и служащих Москвы, мобилизованных для помощи Мосэнерго в погрузке топлива.РГАНИР, Фонд ГКО, д. 91, лл. 61 (11012).</w:t>
      </w:r>
    </w:p>
    <w:p w14:paraId="4975E1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4720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вышло Распоряжение ГКО № 2913. О возврате НКЭС 2 узкоколейных паровозов Наркомлесу.РГАНИР, Фонд ГКО, д. 91, лл. 62 (11012).</w:t>
      </w:r>
    </w:p>
    <w:p w14:paraId="25B720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5EF4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18-19 февраля 1943 Адмиралтейцы заложили 4-й МБК. На головном корабле шла установка артиллерийских башен, минометов и пулеметов. На 2-м монтировали валопровод, якорный шпиль и рулевую машину, на 3-м собирали корпус. В корпусном цехе обрабатывался металл еще для двух МБК. В то же время шла усиленная построй-ка шести БМО. Адмиралтейцы ремонтировали десять ПЛ (К-51, К-52, М-77, М-90 и др.), четыре БК (бортовые номера -101, 102, 324, 325) и три ТК (бортовые номера 61, 31, типа СМ-4). На постройке БМО трудились 80 краснофлотцев из состава команд крейсеров (10671).</w:t>
      </w:r>
    </w:p>
    <w:p w14:paraId="3ECC2F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391214"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3A7764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4CF28B"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18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5001806F"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18 февраля наши войска вели наступательные бои на прежних направлениях.</w:t>
      </w:r>
    </w:p>
    <w:p w14:paraId="64A8F62B"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 юго-западнее Ворошиловграда наши войска продолжали успешное наступление и заняли ряд населённых пунктов. В боях с противником Н-ская гвардейская часть уничтожила 20 немецких танков, 2 бронемашины и истребила до 600 немецких солдат и офицере. Захвачены трофеи и пленные.</w:t>
      </w:r>
    </w:p>
    <w:p w14:paraId="40F8B347"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Краматорской наши войска вели наступательные бои. Против Н-ского подразделения немцы бросили в контратаку большое количество пехоты и 17 танков.Наши бойцы отбили контратаку гитлеровцев, сожгли 2 танка и истребили более 200 немецких солдат и офицеров. На другом участке наши части внезапным ударом выбили немцев из населённого пункта и захватили 4 орудия и 7 миномётов. Взято в плен 120 солдат и офицеров противника.</w:t>
      </w:r>
    </w:p>
    <w:p w14:paraId="2002749A"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Недалеко от Харькова наши танкисты, овладев железнодорожной станцией, захватили у противника 150 паровозов, 14 железнодорожных эшелонов с грузами, в том числе 75 вагонов со снарядами и авиабомбами, 4 тяжёлых танка и другие трофеи.</w:t>
      </w:r>
    </w:p>
    <w:p w14:paraId="193FE834"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Змиева наши войска продолжали наступление. В бою за один населённый пункт подразделения Н-ской части разгромили батальон немецкой пехоты и захватили бронемашину, 2 самоходных орудия, 7 противотанковых ружей, 15 пулемётов и другие трофеи.</w:t>
      </w:r>
    </w:p>
    <w:p w14:paraId="43BBC578"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наши части с боями продвигались вперёд. Советские танкисты ворвались в населённый пункт и разгромили вражеский гарнизон. Истреблено более100 немецких солдат и офицеров, уничтожено 5 орудий и 13 автомашин. Захвачены трофеи и пленные.</w:t>
      </w:r>
    </w:p>
    <w:p w14:paraId="15935760"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Украины, с 3 по 8 февраля совершил несколько внезапных налётов на вражеские гарнизоны и истребил до 400 немецко-фашистских захватчиков. Советские патриоты захватили 3 пулемёта, 210 винтовок, 15 пистолетов и несколько складов с продовольствием. Партизаны роздали населению много зерна, награбленного гитлеровцами у крестьян. Освобождено несколько сот рабочих и колхозников, которых немцы пытались насильно увезти на каторжные работы в Германию.</w:t>
      </w:r>
    </w:p>
    <w:p w14:paraId="508BBBFD"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захваченной в Краснодаре немецкой почте обнаружено много писем немецких солдат и офицеров. Обер-ефрейтор Маттиас Янсен пишет: «...Можете мне поверить,что такого печального Нового года я еще никогда не встречал. В этот самый вечер мы отступали. Отступление было для нас нелёгким. Многие из моих товарищей уже никогда больше не встретят Новый год. Мы все потеряли солдатский вид, так как последние дни были ужасны...» Солдат Зигфрид Биркман пишет своему брату Эвальду: «Мы продолжаем отходить с Кавказа и уже прошли 340 километров. Почему так случилось, никто не знает. Некоторые говорят, что отступление вызвано какими-то высшими соображениями. Мне известно только одно соображение — я маленький человек и не обязан всё знать: думаю, что русские хотят тут устроить второй сталинградский котёл».</w:t>
      </w:r>
    </w:p>
    <w:p w14:paraId="1BB7C901"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Немецко-фашистские мерзавцы сровняли с землёй хутор Курджипский, Краснодарского края. Накануне отступления немецкий офицер собрал всех жителей и приказал им под угрозой расстрела за полчаса освободить хутор. Все бросились в квартиры взять детей и необходимые вещи. Гитлеровцы тотчас же открыли стрельбу </w:t>
      </w:r>
      <w:r w:rsidRPr="00D03F3E">
        <w:rPr>
          <w:rFonts w:ascii="Times New Roman" w:hAnsi="Times New Roman"/>
          <w:color w:val="000000" w:themeColor="text1"/>
          <w:sz w:val="16"/>
          <w:szCs w:val="16"/>
        </w:rPr>
        <w:lastRenderedPageBreak/>
        <w:t>из автоматов и начали поджигать дома. Много жителей убито и ранено. Уцелевших жителей хутора гитлеровцы погнали в тыл. Части Красной Армии, отрезавшие немцам пути отхода, освободили советских граждан от фашистского рабства.» (15044).</w:t>
      </w:r>
    </w:p>
    <w:p w14:paraId="74A6FB02" w14:textId="77777777" w:rsidR="00984084" w:rsidRPr="00D03F3E" w:rsidRDefault="00984084" w:rsidP="00D03F3E">
      <w:pPr>
        <w:spacing w:after="0" w:line="240" w:lineRule="auto"/>
        <w:jc w:val="both"/>
        <w:rPr>
          <w:rFonts w:ascii="Times New Roman" w:hAnsi="Times New Roman"/>
          <w:color w:val="000000" w:themeColor="text1"/>
          <w:sz w:val="16"/>
          <w:szCs w:val="16"/>
        </w:rPr>
      </w:pPr>
    </w:p>
    <w:p w14:paraId="44F87F27"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18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0C32C5BA"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в Орловской области наши войска овладели районным центром и железнодорожной станцией Залегощь, крупными населёнными пунктами Покровское, Верхняя Сосна.</w:t>
      </w:r>
    </w:p>
    <w:p w14:paraId="12D819C9"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войска, продолжая развивать наступление, заняли ряд населённых пунктов, в том числе районный центр Матвеев Курган.</w:t>
      </w:r>
    </w:p>
    <w:p w14:paraId="0761E3C1"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Краснодара наши войска заняли районный центр и железнодорожную станцию Северская, крупные населённые пункты Старовеличковская, Смоленская, Азовская.</w:t>
      </w:r>
    </w:p>
    <w:p w14:paraId="516B0B46"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бои на прежних направлениях.</w:t>
      </w:r>
    </w:p>
    <w:p w14:paraId="129C640F"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февраля частями нашей авиации на различных участках фронта уничтожено или повреждено более 100 автомашин с войсками и грузами, подавлен огонь 20 артиллерийских батарей, взорвано 2 склада боеприпасов, рассеяно и частью уничтожено до батальона пехоты противника.</w:t>
      </w:r>
    </w:p>
    <w:p w14:paraId="14B74EF2"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Новошахтинска наши войска продолжали успешное наступление и заняли 60 населённых пунктов. Противнику нанесены тяжёлые потери. Только одно наше механизированное соединение уничтожило свыше 1.000 и взяло в плен 1.500 немецких солдат и офицеров. Стремясь остановить продвижение наших войск, немцы спешно формируют новые части и соединения. Серьёзные потери наши войска нанесли одной немецкой пехотной дивизии, в большей своей части укомплектованной ранеными солдатами и офицерами, досрочно выписанными из лазаретов, а также солдатами команд таганрогского и других аэродромов.</w:t>
      </w:r>
    </w:p>
    <w:p w14:paraId="575C55EE"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наши войска успешно продвигались вперёд и овладели рядом населённых пунктов. Части Н-ского соединения в ожесточённых бояхс противником подбили и сожгли 10 вражеских танков и 2 бронемашины. Захвачены 37 автомашин, 7 миномётов и другие трофеи.</w:t>
      </w:r>
    </w:p>
    <w:p w14:paraId="0C597843"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Краматорской наши войска продолжали наступление. На одном участке советские подразделения продвинулись вперёд и истребили до 400 немецких солдат и офицеров. На другом участке отражена контратака пехоты и танков противника. В городе Славянске наши, бойцы захватили 2 склада с горючим, склад с обмундированием, склад с боеприпасами и много различного военного имущества.</w:t>
      </w:r>
    </w:p>
    <w:p w14:paraId="5F674BEC"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наши войска веди наступательные бои. Подвижная группа Н-ского соединения прорвалась в тылы противника, продвинулась вперёд на 15—20 километров и захватила несколько населённых пунктов. На другом участке Н-ская часть за два дня боёв уничтожила до 500 и захватила в плен 30 немецких солдат и офицеров. Захвачены трофеи, в числе которых 18 орудий, 50 пулемётов, 400 винтовок и автоматов, 2 танкетки, 34 автомашины и радиостанций.</w:t>
      </w:r>
    </w:p>
    <w:p w14:paraId="18D895AC"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Партизанские отряды имена Тойво Антикайнена и имени Чапаева, действующие в одном из районов Карело-Финской ССР, внезапно напали на гарнизон белофиннов. Сняв часовых, партизаны бесшумно ворвались в населённый пункт. В результате боя гарнизон противника был разгромлен. Советские патриоты истребили более 100 вражеских солдат и офицеров, уничтожили 2 пушки, дальнобойное орудие, взорвали 2 склада боеприпасов и сожгли продовольственный склад.</w:t>
      </w:r>
    </w:p>
    <w:p w14:paraId="47F2A167"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командир 44 немецкой пехотной дивизии генерал-лейтенант Дюбуа заявил:«Я был взят в плен на командном пункте 131 пехотного полка вместе с подполковником Вальтером и другими офицерами. Борьба за Сталинград длилась слишком долго, и у нас не хватило резервов. Мы предполагали, что русские будут зимой наступать. Но никто, конечно, не думал, что Красная Армия сможет окружить и разбить одну из самых сильных немецких армий. Разгром и уничтожение 6-й армии— это большая трагедия. В прошлом году, после отступления немецких войск из-под Москвы, у нас тоже было очень подавленное настроение. Положение под Сталинградом— это несравненно более тяжёлый удар, который скажется на ходе военных действий. Когда я принял 44 дивизию, она насчитывала около 17 тысяч человек. При мне четыре раза прибывали значительные пополнения. Перед окружением дивизия насчитывала до 13 тысяч человек. Все они либо пали в сражениях, либо взяты в плен».</w:t>
      </w:r>
    </w:p>
    <w:p w14:paraId="4226D5EB"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Весть о том, что Красная Армия 16 февраля заняла город Харьков, обошла весь мир и проникла в самые отдалённые уголки земного шара. Это известие передавало большинство радиостанций мира, его напечатали газеты почти всех стран. Только немецкое командование еще не сообщило о занятии Харькова советскими войсками. Гитлеровские очковтиратели продолжают сочинять сказки о боях, которые якобы всё еще происходят в Харькове. Германское информационное бюро в ночь на 18 февраля, например, сообщает, что «ожесточённые уличные бои в Харькове продолжаются и сейчас. Большая часть города охвачена огнём. Другие части города тоже совершенно непроходимы для обеих сторон...» Всё это сообщение гитлеровцев является вздором чистейшей воды. В освобождённом Харькове сейчас нет никаких боёв. Наступающие части Красной Армии оставили позади себя Харьков и продвигаются вперёд.</w:t>
      </w:r>
    </w:p>
    <w:p w14:paraId="66E9689E"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Потерявшие голову гитлеровцы не решаются сказать правду. Они боятся ошеломить немецкий народ, еще не оправившийся от последних ударов, и хотят исподволь подготовить его к мысли о потери Харькова. Вот для чего Берлину понадобились легенды о «непроходимых улицах» и о продолжающихся якобы в Харькове уличных боях.» (15044).</w:t>
      </w:r>
    </w:p>
    <w:p w14:paraId="235F63D8" w14:textId="77777777" w:rsidR="00984084" w:rsidRPr="00D03F3E" w:rsidRDefault="00984084" w:rsidP="00D03F3E">
      <w:pPr>
        <w:spacing w:after="0" w:line="240" w:lineRule="auto"/>
        <w:jc w:val="both"/>
        <w:rPr>
          <w:rFonts w:ascii="Times New Roman" w:hAnsi="Times New Roman"/>
          <w:color w:val="000000" w:themeColor="text1"/>
          <w:sz w:val="16"/>
          <w:szCs w:val="16"/>
        </w:rPr>
      </w:pPr>
    </w:p>
    <w:p w14:paraId="1D86254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вышло Постановление ГКО № 2911 [О комиссии ГКО по делам армий и дивизий, оставшихся под Сталинградом после ликвидации Донского фронта.] (7083, 60).</w:t>
      </w:r>
    </w:p>
    <w:p w14:paraId="3E508CB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3297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1943 г. вышло ДОКЛАДНАЯ ЗАПИСКА ЗАМЕСТИТЕЛЯ КОМАНДУЮЩЕГО БТ и МВ КА ЗАМЕСТИТЕЛЮ ПРЕДСЕДАТЕЛЯ ГКО МОЛОТОВУ О БОЕВОМ ПРИМЕНЕНИИ ПРОТИВОТАНКОВЫХ ТРАЛОВ К ТАНКАМ Т-34 № 1148958</w:t>
      </w:r>
    </w:p>
    <w:p w14:paraId="36ECE4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Докладываю, что по боевому применению противотанковых тралов к танкам Т-34 получены донесения следующего содержания:</w:t>
      </w:r>
    </w:p>
    <w:p w14:paraId="3918FB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Сталинграда тралы применялись в составе 16-й гвардейской танковой бригады при прорыве оборонительной полосы противника.</w:t>
      </w:r>
    </w:p>
    <w:p w14:paraId="0E7EBFA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города Воронеж применялись в составе 86-й танковой бригады.</w:t>
      </w:r>
    </w:p>
    <w:p w14:paraId="2F8C424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Северо-Западным фронтом тралы применялись в частях 11-й и 53-й армий.</w:t>
      </w:r>
    </w:p>
    <w:p w14:paraId="32D6EC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всех случаях противоминные тралы свою задачу выполнили, подорвав мины противника.</w:t>
      </w:r>
    </w:p>
    <w:p w14:paraId="7A2FE43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Суммируя опыт прорыва оборонительной полосы противника в среднем течении Дона, заме</w:t>
      </w:r>
      <w:r w:rsidRPr="00D03F3E">
        <w:rPr>
          <w:rFonts w:ascii="Times New Roman" w:hAnsi="Times New Roman"/>
          <w:color w:val="000000" w:themeColor="text1"/>
          <w:sz w:val="16"/>
          <w:szCs w:val="16"/>
        </w:rPr>
        <w:softHyphen/>
        <w:t>ститель командующего фронтом по БТ и МБ генерал-майор т. Радкевич в своем докладе указывает, что тралы необходимы войскам не только для обеспечения прорыва, но и для обеспечения движения главных сил, вводимых в прорыв, а также для обеспечения продвижения артиллерии, средств под</w:t>
      </w:r>
      <w:r w:rsidRPr="00D03F3E">
        <w:rPr>
          <w:rFonts w:ascii="Times New Roman" w:hAnsi="Times New Roman"/>
          <w:color w:val="000000" w:themeColor="text1"/>
          <w:sz w:val="16"/>
          <w:szCs w:val="16"/>
        </w:rPr>
        <w:softHyphen/>
        <w:t>воза боепитания и других моторизованных подразделений через взломанную полосу обороны.</w:t>
      </w:r>
    </w:p>
    <w:p w14:paraId="1A524E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распоряжению ГОКО №2740 от 14.01.1943 г. изготовлены 30 комплектов тралов, из которых 20 штук направляются Брянскому и 10 штук Западному фронтам.</w:t>
      </w:r>
    </w:p>
    <w:p w14:paraId="629C186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настоящее время имеются запросы фронтов на 100 тралов.</w:t>
      </w:r>
    </w:p>
    <w:p w14:paraId="1961864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Воронежскому фронту — 30 штук,</w:t>
      </w:r>
    </w:p>
    <w:p w14:paraId="4D684D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Брянскому фронту — 40 штук,</w:t>
      </w:r>
    </w:p>
    <w:p w14:paraId="356277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Западному фронту — 30 штук.</w:t>
      </w:r>
    </w:p>
    <w:p w14:paraId="1D93E9C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Следовательно, для обеспечения заявок фронтов не хватает 70 тралов.</w:t>
      </w:r>
    </w:p>
    <w:p w14:paraId="4E7D2B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основании изучения опыта по боевому применению тралов первой партии и отзыва частей счи</w:t>
      </w:r>
      <w:r w:rsidRPr="00D03F3E">
        <w:rPr>
          <w:rFonts w:ascii="Times New Roman" w:hAnsi="Times New Roman"/>
          <w:color w:val="000000" w:themeColor="text1"/>
          <w:sz w:val="16"/>
          <w:szCs w:val="16"/>
        </w:rPr>
        <w:softHyphen/>
        <w:t>таю, что тралы оправдывают свое назначение и могут выполнять задачи по созданию проходов в мин</w:t>
      </w:r>
      <w:r w:rsidRPr="00D03F3E">
        <w:rPr>
          <w:rFonts w:ascii="Times New Roman" w:hAnsi="Times New Roman"/>
          <w:color w:val="000000" w:themeColor="text1"/>
          <w:sz w:val="16"/>
          <w:szCs w:val="16"/>
        </w:rPr>
        <w:softHyphen/>
        <w:t>ных полях и обеспечивать движение танков через минные поля. Особенно это важно для Воронежского, Брянского и Западного фронтов, где оборона противника усилена мощными минными полями.</w:t>
      </w:r>
    </w:p>
    <w:p w14:paraId="32FC7E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Ваших указаний об организации производства противоминных танковых тралов ПТ-3 по чер</w:t>
      </w:r>
      <w:r w:rsidRPr="00D03F3E">
        <w:rPr>
          <w:rFonts w:ascii="Times New Roman" w:hAnsi="Times New Roman"/>
          <w:color w:val="000000" w:themeColor="text1"/>
          <w:sz w:val="16"/>
          <w:szCs w:val="16"/>
        </w:rPr>
        <w:softHyphen/>
        <w:t>тежам и тех. условиям, утвержденным ГБТУ КА, в количестве 50 штук ежемесячно, начиная с марта с.г.</w:t>
      </w:r>
    </w:p>
    <w:p w14:paraId="1B7C19D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командующего бронетанковыми и механизированными войсками КА генерал-лейтенант танковых войск Коробков</w:t>
      </w:r>
    </w:p>
    <w:p w14:paraId="02F8A0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Член военного совета генерал-лейтенант танковых войск Бирюков</w:t>
      </w:r>
    </w:p>
    <w:p w14:paraId="172B92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1380. Л. 20. Копия (11403).</w:t>
      </w:r>
    </w:p>
    <w:p w14:paraId="7D8FE1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D4ADD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611CD2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C0FBC9" w14:textId="77777777" w:rsidR="00984084" w:rsidRPr="00D03F3E" w:rsidRDefault="009840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18 февраля</w:t>
      </w:r>
      <w:r w:rsidRPr="00D03F3E">
        <w:rPr>
          <w:rFonts w:ascii="Times New Roman" w:hAnsi="Times New Roman"/>
          <w:color w:val="000000" w:themeColor="text1"/>
          <w:sz w:val="16"/>
          <w:szCs w:val="16"/>
        </w:rPr>
        <w:t xml:space="preserve"> в 1943 году второй опытный стратегический бомбардировщик </w:t>
      </w:r>
      <w:hyperlink r:id="rId67" w:tgtFrame="_blank" w:history="1">
        <w:r w:rsidRPr="00D03F3E">
          <w:rPr>
            <w:rFonts w:ascii="Times New Roman" w:hAnsi="Times New Roman"/>
            <w:color w:val="000000" w:themeColor="text1"/>
            <w:sz w:val="16"/>
            <w:szCs w:val="16"/>
          </w:rPr>
          <w:t xml:space="preserve">«ХВ-29» «Superfortress» </w:t>
        </w:r>
      </w:hyperlink>
      <w:r w:rsidRPr="00D03F3E">
        <w:rPr>
          <w:rFonts w:ascii="Times New Roman" w:hAnsi="Times New Roman"/>
          <w:color w:val="000000" w:themeColor="text1"/>
          <w:sz w:val="16"/>
          <w:szCs w:val="16"/>
        </w:rPr>
        <w:t>вновь поднялся в воздух под управлением лётчика-испытателя фирмы «Боинг» "Эдди" Аллена. После восьми минут полёта произошло возгорание одного из двигателей. Аллен решил возвратиться на «Boeing Field». Но конструкция крыла не выдержала высокой температуры и разрушилась. В результате самолёт, не долетев до аэродрома, рухнул на завод мясных консервов «Frye Meat Packing Plant». В этой катастрофе погиб весь экипаж самолёта включая "Эдди" Аллена и 18 рабочих завода. Впоследствии один из построенных на пожертвования рабочих завода «Boeing» в Уичите «В-29» получил имя "Eddie Allen" (15044).</w:t>
      </w:r>
    </w:p>
    <w:p w14:paraId="6B88083D" w14:textId="77777777" w:rsidR="00984084" w:rsidRPr="00D03F3E" w:rsidRDefault="00984084" w:rsidP="00D03F3E">
      <w:pPr>
        <w:spacing w:after="0" w:line="240" w:lineRule="auto"/>
        <w:jc w:val="both"/>
        <w:rPr>
          <w:rFonts w:ascii="Times New Roman" w:hAnsi="Times New Roman"/>
          <w:color w:val="000000" w:themeColor="text1"/>
          <w:sz w:val="16"/>
          <w:szCs w:val="16"/>
        </w:rPr>
      </w:pPr>
    </w:p>
    <w:p w14:paraId="5CB0EB2B" w14:textId="77777777" w:rsidR="00984084" w:rsidRPr="00D03F3E" w:rsidRDefault="00984084"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разбили второй ХВ-29 - из-за пожара врезались в здание (1051,17).</w:t>
      </w:r>
    </w:p>
    <w:p w14:paraId="0A3AB6C1" w14:textId="77777777" w:rsidR="00984084" w:rsidRPr="00D03F3E" w:rsidRDefault="00984084"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81AD55" w14:textId="77777777" w:rsidR="00984084" w:rsidRPr="00D03F3E" w:rsidRDefault="00984084" w:rsidP="00D03F3E">
      <w:pPr>
        <w:pStyle w:val="95"/>
        <w:shd w:val="clear" w:color="auto" w:fill="auto"/>
        <w:spacing w:after="0" w:line="240" w:lineRule="auto"/>
        <w:ind w:firstLine="0"/>
        <w:jc w:val="both"/>
        <w:rPr>
          <w:color w:val="000000" w:themeColor="text1"/>
          <w:sz w:val="16"/>
          <w:szCs w:val="16"/>
        </w:rPr>
      </w:pPr>
      <w:r w:rsidRPr="00D03F3E">
        <w:rPr>
          <w:color w:val="000000" w:themeColor="text1"/>
          <w:sz w:val="16"/>
          <w:szCs w:val="16"/>
        </w:rPr>
        <w:t>18 февраля 1943 года, вскоре после взлета произошла трагедия. Огонь со вспыхнувшего двигателя перекинул</w:t>
      </w:r>
      <w:r w:rsidRPr="00D03F3E">
        <w:rPr>
          <w:color w:val="000000" w:themeColor="text1"/>
          <w:sz w:val="16"/>
          <w:szCs w:val="16"/>
        </w:rPr>
        <w:softHyphen/>
        <w:t>ся на крыло, и второй прототип Б-29 разрушился в воздухе, унеся жизни экипажа вместе с Эдди Алленом и 18 рабочих завода мясных консервов, ока</w:t>
      </w:r>
      <w:r w:rsidRPr="00D03F3E">
        <w:rPr>
          <w:color w:val="000000" w:themeColor="text1"/>
          <w:sz w:val="16"/>
          <w:szCs w:val="16"/>
        </w:rPr>
        <w:softHyphen/>
        <w:t xml:space="preserve">завшихся на его пути.Всего изготовили три прототипа, включая </w:t>
      </w:r>
      <w:r w:rsidRPr="00D03F3E">
        <w:rPr>
          <w:color w:val="000000" w:themeColor="text1"/>
          <w:sz w:val="16"/>
          <w:szCs w:val="16"/>
        </w:rPr>
        <w:lastRenderedPageBreak/>
        <w:t>планер для статических испытаний. Правительственная комиссия под предсе</w:t>
      </w:r>
      <w:r w:rsidRPr="00D03F3E">
        <w:rPr>
          <w:color w:val="000000" w:themeColor="text1"/>
          <w:sz w:val="16"/>
          <w:szCs w:val="16"/>
        </w:rPr>
        <w:softHyphen/>
        <w:t>дательством сенатора Гарри Трумэна, зани</w:t>
      </w:r>
      <w:r w:rsidRPr="00D03F3E">
        <w:rPr>
          <w:color w:val="000000" w:themeColor="text1"/>
          <w:sz w:val="16"/>
          <w:szCs w:val="16"/>
        </w:rPr>
        <w:softHyphen/>
        <w:t>мавшаяся расследованием трагедии, пришла к выводу, что ее причиной стали некондици</w:t>
      </w:r>
      <w:r w:rsidRPr="00D03F3E">
        <w:rPr>
          <w:color w:val="000000" w:themeColor="text1"/>
          <w:sz w:val="16"/>
          <w:szCs w:val="16"/>
        </w:rPr>
        <w:softHyphen/>
        <w:t>онные двигатели, собранные в спешке под нажимом командования Воздушных сил (12292).</w:t>
      </w:r>
    </w:p>
    <w:p w14:paraId="4EE35797" w14:textId="77777777" w:rsidR="00984084" w:rsidRPr="00D03F3E" w:rsidRDefault="00984084" w:rsidP="00D03F3E">
      <w:pPr>
        <w:pStyle w:val="95"/>
        <w:shd w:val="clear" w:color="auto" w:fill="auto"/>
        <w:spacing w:after="0" w:line="240" w:lineRule="auto"/>
        <w:ind w:firstLine="0"/>
        <w:jc w:val="both"/>
        <w:rPr>
          <w:color w:val="000000" w:themeColor="text1"/>
          <w:sz w:val="16"/>
          <w:szCs w:val="16"/>
        </w:rPr>
      </w:pPr>
    </w:p>
    <w:p w14:paraId="3F380493"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18 февраля 1943 второй серийный тяжелый бомбардировщик Boeing B-29 Superfortress загорелся в воздухе и врезался в здание к северу от Boeing Field в Сиэтле, штат Вашингтон, в результате чего погибли все десять находившихся на борту самолета, в том числе знаменитый летчик-испытатель Boeing Эдмунд «Эдди» Аллен и 19 или 20 человек на земле (20376).</w:t>
      </w:r>
    </w:p>
    <w:p w14:paraId="6314511E" w14:textId="77777777" w:rsidR="00E20571" w:rsidRPr="00D03F3E" w:rsidRDefault="00E20571" w:rsidP="00D03F3E">
      <w:pPr>
        <w:spacing w:after="0" w:line="240" w:lineRule="auto"/>
        <w:jc w:val="both"/>
        <w:rPr>
          <w:rFonts w:ascii="Times New Roman" w:hAnsi="Times New Roman"/>
          <w:color w:val="0070C0"/>
          <w:sz w:val="16"/>
          <w:szCs w:val="16"/>
        </w:rPr>
      </w:pPr>
    </w:p>
    <w:p w14:paraId="1CE01AA9"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18 февраля 1943 - Катастрофа ХВ-29. Второй опытный стратегический бомбардировщик ХВ-29 Superfortress вновь поднялся в воздух под управлением лётчика-испытателя фирмы «Боинг» "Эдди" Аллена. После восьми минут полёта произошло возгорание одного из двигателей. Аллен решил возвратиться на Boeing Field. Но конструкция крыла не выдержала высокой температуры и разрушилась. В результате самолёт, не долетев до аэродрома, рухнул на завод мясных консервов Frye Meat Packing Plant. В этой катастрофе погиб весь экипаж самолёта включая "Эдди" Аллена и 18 рабочих завода. Впоследствии один из построенных на пожертвования рабочих завода Boeing в Уичите В-29 получил имя "Eddie Allen" (22594).</w:t>
      </w:r>
    </w:p>
    <w:p w14:paraId="5C6B9305" w14:textId="77777777" w:rsidR="00E20571" w:rsidRPr="00D03F3E" w:rsidRDefault="00E20571" w:rsidP="00D03F3E">
      <w:pPr>
        <w:spacing w:after="0" w:line="240" w:lineRule="auto"/>
        <w:jc w:val="both"/>
        <w:rPr>
          <w:rFonts w:ascii="Times New Roman" w:hAnsi="Times New Roman"/>
          <w:color w:val="0070C0"/>
          <w:sz w:val="16"/>
          <w:szCs w:val="16"/>
        </w:rPr>
      </w:pPr>
    </w:p>
    <w:p w14:paraId="02A4212A" w14:textId="77777777" w:rsidR="00984084" w:rsidRPr="00D03F3E" w:rsidRDefault="00984084"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February 18, 1943 - Construction begins at Oak Ridge on buildings for Y-12, the electromagnetic U-235 separation plant (1039).</w:t>
      </w:r>
    </w:p>
    <w:p w14:paraId="6D98EB8C" w14:textId="77777777" w:rsidR="00984084" w:rsidRPr="00D03F3E" w:rsidRDefault="00984084"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E9148E8" w14:textId="77777777" w:rsidR="00984084" w:rsidRPr="00D03F3E" w:rsidRDefault="00984084"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в Оук Ридже началось строительство завода по разделению изотопов урана (1039).</w:t>
      </w:r>
    </w:p>
    <w:p w14:paraId="46A6BE2E" w14:textId="77777777" w:rsidR="00984084" w:rsidRPr="00D03F3E" w:rsidRDefault="00984084"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DAB2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February 18, 1943: In the wake of the Stalingrad disaster Dr. Goebbels, speaking before an enthuiastic audience of soldiers and civilians, announces the implementation of "total war" which, for the first time, mandates the employment of German women in the war effort (3819).</w:t>
      </w:r>
    </w:p>
    <w:p w14:paraId="320425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399D5CD"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18 февраля 1943 японская авиация в последний раз совершает налет на Амчитку на Алеутских островах (20376).</w:t>
      </w:r>
    </w:p>
    <w:p w14:paraId="4FABFBEE" w14:textId="77777777" w:rsidR="00E20571" w:rsidRPr="00D03F3E" w:rsidRDefault="00E20571" w:rsidP="00D03F3E">
      <w:pPr>
        <w:spacing w:after="0" w:line="240" w:lineRule="auto"/>
        <w:jc w:val="both"/>
        <w:rPr>
          <w:rFonts w:ascii="Times New Roman" w:hAnsi="Times New Roman"/>
          <w:color w:val="0070C0"/>
          <w:sz w:val="16"/>
          <w:szCs w:val="16"/>
        </w:rPr>
      </w:pPr>
    </w:p>
    <w:p w14:paraId="642B1C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Геббельс произнес речь о "тотальной войне"</w:t>
      </w:r>
    </w:p>
    <w:p w14:paraId="64F959E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FA6F9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министр пропаганды Германии Й. Геббельс, выступая в берлинском Дворце спорта, призвал немецкий народ к “тотальной войне” (4962).</w:t>
      </w:r>
    </w:p>
    <w:p w14:paraId="3E9900E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C4651A" w14:textId="77777777" w:rsidR="00984084" w:rsidRPr="00D03F3E" w:rsidRDefault="00984084"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bCs/>
          <w:color w:val="000000" w:themeColor="text1"/>
          <w:sz w:val="16"/>
          <w:szCs w:val="16"/>
        </w:rPr>
        <w:t>18 февраля</w:t>
      </w:r>
      <w:r w:rsidRPr="00D03F3E">
        <w:rPr>
          <w:rFonts w:ascii="Times New Roman" w:hAnsi="Times New Roman"/>
          <w:color w:val="000000" w:themeColor="text1"/>
          <w:sz w:val="16"/>
          <w:szCs w:val="16"/>
        </w:rPr>
        <w:t xml:space="preserve"> в 1943 году министр пропаганды Й.Геббельс выступая в берлинском дворце спорта призвал к "Тотальной войне (15044).</w:t>
      </w:r>
    </w:p>
    <w:p w14:paraId="1F675F5A" w14:textId="77777777" w:rsidR="00984084" w:rsidRPr="00D03F3E" w:rsidRDefault="00984084" w:rsidP="00D03F3E">
      <w:pPr>
        <w:spacing w:after="0" w:line="240" w:lineRule="auto"/>
        <w:jc w:val="both"/>
        <w:rPr>
          <w:rFonts w:ascii="Times New Roman" w:hAnsi="Times New Roman"/>
          <w:bCs/>
          <w:color w:val="000000" w:themeColor="text1"/>
          <w:sz w:val="16"/>
          <w:szCs w:val="16"/>
        </w:rPr>
      </w:pPr>
    </w:p>
    <w:p w14:paraId="5BC1CF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February 18 1943 Nazis arrest 'White Rose' leaders in Munich (1050).</w:t>
      </w:r>
    </w:p>
    <w:p w14:paraId="353F1F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1B7A7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нацисты арестовали лидеров группы Белая Роза в Мюнхене (1050).</w:t>
      </w:r>
    </w:p>
    <w:p w14:paraId="0D9637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EB73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1943 г. правительство США объявляет Саудовскую Аравию "страной, имеющей жизненно важное значение для обороны США", и распространяют на нее действие закона о ленд-лизе. В соответствии с этим решением Ибн Сауд получает 99 млн. долларов, что снимает все его финансовые проблемы (3871).</w:t>
      </w:r>
    </w:p>
    <w:p w14:paraId="21C3AC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BC41C5" w14:textId="77777777" w:rsidR="00357519" w:rsidRPr="00D03F3E" w:rsidRDefault="00357519"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53341C06" w14:textId="77777777" w:rsidR="00357519" w:rsidRPr="00D03F3E" w:rsidRDefault="00357519"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23FCE1"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19 февраля и 21 марта 1943 г. глав</w:t>
      </w:r>
      <w:r w:rsidRPr="00D03F3E">
        <w:rPr>
          <w:color w:val="000000" w:themeColor="text1"/>
          <w:sz w:val="16"/>
          <w:szCs w:val="16"/>
        </w:rPr>
        <w:softHyphen/>
        <w:t xml:space="preserve">ный инженер ВВС генерал-лейтенант А. К. Репин утвердил Акты по результатам полигонных и летных испытаний Як-9т с пушкой МП-37 (моторный вариант пушки 11П), которые сначала проходили на НИП АВ ВВС с 10 января по 12 февраля, а с 15 февраля по 4 марта 1943 г. в НИИ ВВС. </w:t>
      </w:r>
    </w:p>
    <w:p w14:paraId="2CA91064"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 НИИ АВ самолет испытывали инженер-ка</w:t>
      </w:r>
      <w:r w:rsidRPr="00D03F3E">
        <w:rPr>
          <w:color w:val="000000" w:themeColor="text1"/>
          <w:sz w:val="16"/>
          <w:szCs w:val="16"/>
        </w:rPr>
        <w:softHyphen/>
        <w:t>питан В. М. Монич и летчик-испытатель капитан А. В. Кусакин, от НИИ ВВС — инженер-капитан А. Т. Степанец, инженер-майор Л. И. Лось и лет</w:t>
      </w:r>
      <w:r w:rsidRPr="00D03F3E">
        <w:rPr>
          <w:color w:val="000000" w:themeColor="text1"/>
          <w:sz w:val="16"/>
          <w:szCs w:val="16"/>
        </w:rPr>
        <w:softHyphen/>
        <w:t>чик-испытатель майор В. И. Хомяков.</w:t>
      </w:r>
    </w:p>
    <w:p w14:paraId="6CE69F32"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общей сложности по программе испытаний на Як-9т было выполнено 34 полета с суммарным на</w:t>
      </w:r>
      <w:r w:rsidRPr="00D03F3E">
        <w:rPr>
          <w:color w:val="000000" w:themeColor="text1"/>
          <w:sz w:val="16"/>
          <w:szCs w:val="16"/>
        </w:rPr>
        <w:softHyphen/>
        <w:t>летом 16 ч 21 мин, в том числе 19 полетов (6 ч) — в НИИ АВ и 15 полетов (10 ч 21 мин) — в НИИ ВВС.</w:t>
      </w:r>
    </w:p>
    <w:p w14:paraId="66763D51"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и на ЛаГГ-3, пушка МП-37 располагалась в развале блока цилиндров мотора для стрельбы через полый вал редуктора и втулку винта. Ствол выступал из кока винта на 160 мм. Установка пу</w:t>
      </w:r>
      <w:r w:rsidRPr="00D03F3E">
        <w:rPr>
          <w:color w:val="000000" w:themeColor="text1"/>
          <w:sz w:val="16"/>
          <w:szCs w:val="16"/>
        </w:rPr>
        <w:softHyphen/>
        <w:t>лемета УБС оставалась без изменений. Емкость па</w:t>
      </w:r>
      <w:r w:rsidRPr="00D03F3E">
        <w:rPr>
          <w:color w:val="000000" w:themeColor="text1"/>
          <w:sz w:val="16"/>
          <w:szCs w:val="16"/>
        </w:rPr>
        <w:softHyphen/>
        <w:t>тронных ящиков составляла: 30—32 снаряда для пушки и 200—220 патронов для пулемета. Питание пушки от рассыпной ленты из металлических зве</w:t>
      </w:r>
      <w:r w:rsidRPr="00D03F3E">
        <w:rPr>
          <w:color w:val="000000" w:themeColor="text1"/>
          <w:sz w:val="16"/>
          <w:szCs w:val="16"/>
        </w:rPr>
        <w:softHyphen/>
        <w:t>ньев. Гильзы и звенья собирались в отсеке под пуш</w:t>
      </w:r>
      <w:r w:rsidRPr="00D03F3E">
        <w:rPr>
          <w:color w:val="000000" w:themeColor="text1"/>
          <w:sz w:val="16"/>
          <w:szCs w:val="16"/>
        </w:rPr>
        <w:softHyphen/>
        <w:t>кой. Перезарядка пушки пневматическая. Управле</w:t>
      </w:r>
      <w:r w:rsidRPr="00D03F3E">
        <w:rPr>
          <w:color w:val="000000" w:themeColor="text1"/>
          <w:sz w:val="16"/>
          <w:szCs w:val="16"/>
        </w:rPr>
        <w:softHyphen/>
        <w:t>ние огнем — электропневматическое при помощи кнопки, расположенной на ручке управления. При</w:t>
      </w:r>
      <w:r w:rsidRPr="00D03F3E">
        <w:rPr>
          <w:color w:val="000000" w:themeColor="text1"/>
          <w:sz w:val="16"/>
          <w:szCs w:val="16"/>
        </w:rPr>
        <w:softHyphen/>
        <w:t>целивание при стрельбе выполнялось при помощи механического кольцевого прицела внутри каби</w:t>
      </w:r>
      <w:r w:rsidRPr="00D03F3E">
        <w:rPr>
          <w:color w:val="000000" w:themeColor="text1"/>
          <w:sz w:val="16"/>
          <w:szCs w:val="16"/>
        </w:rPr>
        <w:softHyphen/>
        <w:t>ны летчика и мушки на фюзеляже перед броне- козырьком. Для стрельбы по наземным целям на передней кромке крыла имелись метки, которые обеспечивали постоянство ввода самолета в пики</w:t>
      </w:r>
      <w:r w:rsidRPr="00D03F3E">
        <w:rPr>
          <w:color w:val="000000" w:themeColor="text1"/>
          <w:sz w:val="16"/>
          <w:szCs w:val="16"/>
        </w:rPr>
        <w:softHyphen/>
        <w:t>рование и необходимую дистанцию для открытия огня.</w:t>
      </w:r>
    </w:p>
    <w:p w14:paraId="611B4BE1"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Установка достаточно габаритной и тяжелой пушки МП-37 (вес пушки с установкой — 182,2 кг, вес боекомплекта — 52,8 кг) с большой силой от</w:t>
      </w:r>
      <w:r w:rsidRPr="00D03F3E">
        <w:rPr>
          <w:color w:val="000000" w:themeColor="text1"/>
          <w:sz w:val="16"/>
          <w:szCs w:val="16"/>
        </w:rPr>
        <w:softHyphen/>
        <w:t>дачи (по данным НИИ АВ, около 5500 кг) потребо</w:t>
      </w:r>
      <w:r w:rsidRPr="00D03F3E">
        <w:rPr>
          <w:color w:val="000000" w:themeColor="text1"/>
          <w:sz w:val="16"/>
          <w:szCs w:val="16"/>
        </w:rPr>
        <w:softHyphen/>
        <w:t>вала внесения в конструкцию Як-9т ряда серьезных изменений. Был усилен силовой каркас фюзеляжа в его передней части. Для сохранения центров</w:t>
      </w:r>
      <w:r w:rsidRPr="00D03F3E">
        <w:rPr>
          <w:color w:val="000000" w:themeColor="text1"/>
          <w:sz w:val="16"/>
          <w:szCs w:val="16"/>
        </w:rPr>
        <w:softHyphen/>
        <w:t>ки в допустимых пределах кабина летчика была сдвинута назад на 400 мм (как это было сделано на Як-7-37). Вес пустого самолета возрос до 2298 кг. Полетный вес при запасе топлива 330 кг составил 3025 кг.</w:t>
      </w:r>
    </w:p>
    <w:p w14:paraId="6F3ACF73"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После всех доработок обзор летчику вперед- вниз, что было важно при взлете и посадке, ухуд</w:t>
      </w:r>
      <w:r w:rsidRPr="00D03F3E">
        <w:rPr>
          <w:color w:val="000000" w:themeColor="text1"/>
          <w:sz w:val="16"/>
          <w:szCs w:val="16"/>
        </w:rPr>
        <w:softHyphen/>
        <w:t>шился, но полученное при этом некоторое смеще</w:t>
      </w:r>
      <w:r w:rsidRPr="00D03F3E">
        <w:rPr>
          <w:color w:val="000000" w:themeColor="text1"/>
          <w:sz w:val="16"/>
          <w:szCs w:val="16"/>
        </w:rPr>
        <w:softHyphen/>
        <w:t>ние назад центровки уменьшило моменты инерции самолета. По сравнению с обычными «девятками» Як-9т стал менее инертным, что позволяло летчи</w:t>
      </w:r>
      <w:r w:rsidRPr="00D03F3E">
        <w:rPr>
          <w:color w:val="000000" w:themeColor="text1"/>
          <w:sz w:val="16"/>
          <w:szCs w:val="16"/>
        </w:rPr>
        <w:softHyphen/>
        <w:t>ку эффективно маневрировать в воздушном бою с противником.</w:t>
      </w:r>
    </w:p>
    <w:p w14:paraId="3E357161"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Максимальная скорость у земли составила 533 км/ч, на высоте 3930 м — 597 км/ч, на 5000 м — 585 км/ч. Время подъема на высоту 5000 м — 5,5 мин. Время виража на высоте 1000 м — 19 сек (ра</w:t>
      </w:r>
      <w:r w:rsidRPr="00D03F3E">
        <w:rPr>
          <w:color w:val="000000" w:themeColor="text1"/>
          <w:sz w:val="16"/>
          <w:szCs w:val="16"/>
        </w:rPr>
        <w:softHyphen/>
        <w:t>диус виража 305 м). Набор высоты за боевой разво</w:t>
      </w:r>
      <w:r w:rsidRPr="00D03F3E">
        <w:rPr>
          <w:color w:val="000000" w:themeColor="text1"/>
          <w:sz w:val="16"/>
          <w:szCs w:val="16"/>
        </w:rPr>
        <w:softHyphen/>
        <w:t>рот с высоты 1000 м не превышал 1100 м.</w:t>
      </w:r>
    </w:p>
    <w:p w14:paraId="234B60CB"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По мнению летчиков-испытателей, Як-9т по своим летно-пилотажным данным стоял на уровне двухбачного самолета Як-9, несколько уступая ему в вертикальном маневре и намного превосходя по мощности огня При сравнении с пятиточечным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 «тан</w:t>
      </w:r>
      <w:r w:rsidRPr="00D03F3E">
        <w:rPr>
          <w:color w:val="000000" w:themeColor="text1"/>
          <w:sz w:val="16"/>
          <w:szCs w:val="16"/>
        </w:rPr>
        <w:softHyphen/>
        <w:t>ковый» Як-9т имел преимущество в горизонтальной скорости до высоты 4600 м. На высоте 4600 м ско</w:t>
      </w:r>
      <w:r w:rsidRPr="00D03F3E">
        <w:rPr>
          <w:color w:val="000000" w:themeColor="text1"/>
          <w:sz w:val="16"/>
          <w:szCs w:val="16"/>
        </w:rPr>
        <w:softHyphen/>
        <w:t xml:space="preserve">рости были одинаковыми, а выше преимущество переходило к «Мессершмитту». По горизонтальной маневренности Як-9т имел явное преимущество перед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 до высоты 5000 м за счет меньших радиуса и времени виража. На вертикальном ма</w:t>
      </w:r>
      <w:r w:rsidRPr="00D03F3E">
        <w:rPr>
          <w:color w:val="000000" w:themeColor="text1"/>
          <w:sz w:val="16"/>
          <w:szCs w:val="16"/>
        </w:rPr>
        <w:softHyphen/>
        <w:t>невре превосходство Як-9т сохранялось до высо</w:t>
      </w:r>
      <w:r w:rsidRPr="00D03F3E">
        <w:rPr>
          <w:color w:val="000000" w:themeColor="text1"/>
          <w:sz w:val="16"/>
          <w:szCs w:val="16"/>
        </w:rPr>
        <w:softHyphen/>
        <w:t xml:space="preserve">ты 3000 м, на высотах 3000—4500 м возможности самолетов были одинаковы, а выше преимущество переходило к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w:t>
      </w:r>
    </w:p>
    <w:p w14:paraId="1DCD1B53"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известно, немецкий истребитель имел тя</w:t>
      </w:r>
      <w:r w:rsidRPr="00D03F3E">
        <w:rPr>
          <w:color w:val="000000" w:themeColor="text1"/>
          <w:sz w:val="16"/>
          <w:szCs w:val="16"/>
        </w:rPr>
        <w:softHyphen/>
        <w:t>желое управление и при перетягивании ручки сва</w:t>
      </w:r>
      <w:r w:rsidRPr="00D03F3E">
        <w:rPr>
          <w:color w:val="000000" w:themeColor="text1"/>
          <w:sz w:val="16"/>
          <w:szCs w:val="16"/>
        </w:rPr>
        <w:softHyphen/>
        <w:t>ливался в штопор. На пикировании он несколько уходил от Як-9т, однако на выходе из пикирова</w:t>
      </w:r>
      <w:r w:rsidRPr="00D03F3E">
        <w:rPr>
          <w:color w:val="000000" w:themeColor="text1"/>
          <w:sz w:val="16"/>
          <w:szCs w:val="16"/>
        </w:rPr>
        <w:softHyphen/>
        <w:t>ния требовал от летчика очень больших усилий, и поэтому вывод получался не энергичным, с рас</w:t>
      </w:r>
      <w:r w:rsidRPr="00D03F3E">
        <w:rPr>
          <w:color w:val="000000" w:themeColor="text1"/>
          <w:sz w:val="16"/>
          <w:szCs w:val="16"/>
        </w:rPr>
        <w:softHyphen/>
        <w:t>тянутой по времени и пространству траектори</w:t>
      </w:r>
      <w:r w:rsidRPr="00D03F3E">
        <w:rPr>
          <w:color w:val="000000" w:themeColor="text1"/>
          <w:sz w:val="16"/>
          <w:szCs w:val="16"/>
        </w:rPr>
        <w:softHyphen/>
        <w:t xml:space="preserve">ей. Эти обстоятельства позволяли летчику Як-9т уверенно атаковать «мессер» за счет упреждения на выходе из пикирования и на горке. К тому же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 имел плохой обзор задней полусферы, что повышало шансы Як-9т на победу в воздуш</w:t>
      </w:r>
      <w:r w:rsidRPr="00D03F3E">
        <w:rPr>
          <w:color w:val="000000" w:themeColor="text1"/>
          <w:sz w:val="16"/>
          <w:szCs w:val="16"/>
        </w:rPr>
        <w:softHyphen/>
        <w:t>ном бою.</w:t>
      </w:r>
    </w:p>
    <w:p w14:paraId="609DEEE1"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Наиболее выгодными дистанциями стрель</w:t>
      </w:r>
      <w:r w:rsidRPr="00D03F3E">
        <w:rPr>
          <w:color w:val="000000" w:themeColor="text1"/>
          <w:sz w:val="16"/>
          <w:szCs w:val="16"/>
        </w:rPr>
        <w:softHyphen/>
        <w:t>бы из пушки МП-37 считались 400—100 м — при действии по истребителям и 600—500 м — по бомбардировщикам. По плотному строю бомбар</w:t>
      </w:r>
      <w:r w:rsidRPr="00D03F3E">
        <w:rPr>
          <w:color w:val="000000" w:themeColor="text1"/>
          <w:sz w:val="16"/>
          <w:szCs w:val="16"/>
        </w:rPr>
        <w:softHyphen/>
        <w:t>дировщиков допускалась стрельба с дистанции 1000—1200 м с использованием осколочно-зажига- тельных снарядов с самоликвидацией.</w:t>
      </w:r>
    </w:p>
    <w:p w14:paraId="25E222A1"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Отмечалось, что схема вооружения Як-9т — пушка МП-37 калибра 37 мм и пулемет УБС — весьма выгодна в тактическом плане, так как одно попадание осколочно-зажигательного снаряда в самолет приводило к его полному разрушению, а наличие эффективного бронебойного снаряда позволяло наносить результативные удары по лег</w:t>
      </w:r>
      <w:r w:rsidRPr="00D03F3E">
        <w:rPr>
          <w:color w:val="000000" w:themeColor="text1"/>
          <w:sz w:val="16"/>
          <w:szCs w:val="16"/>
        </w:rPr>
        <w:softHyphen/>
        <w:t>ким и средним танкам противника. Возможность атаки танков под углом пикирования 40—50° обе</w:t>
      </w:r>
      <w:r w:rsidRPr="00D03F3E">
        <w:rPr>
          <w:color w:val="000000" w:themeColor="text1"/>
          <w:sz w:val="16"/>
          <w:szCs w:val="16"/>
        </w:rPr>
        <w:softHyphen/>
        <w:t>спечивала наилучшие условия для поражения тан</w:t>
      </w:r>
      <w:r w:rsidRPr="00D03F3E">
        <w:rPr>
          <w:color w:val="000000" w:themeColor="text1"/>
          <w:sz w:val="16"/>
          <w:szCs w:val="16"/>
        </w:rPr>
        <w:softHyphen/>
        <w:t>ков в горизонтальную броню (надмоторная броня и крыша башни) толщиной до 30 мм. При этом дис</w:t>
      </w:r>
      <w:r w:rsidRPr="00D03F3E">
        <w:rPr>
          <w:color w:val="000000" w:themeColor="text1"/>
          <w:sz w:val="16"/>
          <w:szCs w:val="16"/>
        </w:rPr>
        <w:softHyphen/>
        <w:t>танция прекращения стрельбы вполне обеспечива</w:t>
      </w:r>
      <w:r w:rsidRPr="00D03F3E">
        <w:rPr>
          <w:color w:val="000000" w:themeColor="text1"/>
          <w:sz w:val="16"/>
          <w:szCs w:val="16"/>
        </w:rPr>
        <w:softHyphen/>
        <w:t>ла безопасный вывод из пикирования.</w:t>
      </w:r>
    </w:p>
    <w:p w14:paraId="6F573BC0"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Однако при стрельбе из МП-37 на скоростях менее 300—350 км/ч по прибору из-за сильной отдачи пушки самолет раскачивался. Прицельным получался только первый выстрел, а все последу</w:t>
      </w:r>
      <w:r w:rsidRPr="00D03F3E">
        <w:rPr>
          <w:color w:val="000000" w:themeColor="text1"/>
          <w:sz w:val="16"/>
          <w:szCs w:val="16"/>
        </w:rPr>
        <w:softHyphen/>
        <w:t>ющие снаряды разбрасывались. Самолет сбивался с линии прицеливания, опуская нос, что вызывало недолеты при стрельбе по наземным целям и сни</w:t>
      </w:r>
      <w:r w:rsidRPr="00D03F3E">
        <w:rPr>
          <w:color w:val="000000" w:themeColor="text1"/>
          <w:sz w:val="16"/>
          <w:szCs w:val="16"/>
        </w:rPr>
        <w:softHyphen/>
        <w:t>жение трассы — при стрельбе по воздушным це</w:t>
      </w:r>
      <w:r w:rsidRPr="00D03F3E">
        <w:rPr>
          <w:color w:val="000000" w:themeColor="text1"/>
          <w:sz w:val="16"/>
          <w:szCs w:val="16"/>
        </w:rPr>
        <w:softHyphen/>
        <w:t>лям. Для продолжения стрельбы необходимо было восстанавливать прицеливание.</w:t>
      </w:r>
    </w:p>
    <w:p w14:paraId="009C169C"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этом с увеличением скорости полета и уменьшением длины очереди сила отдачи пушки в меньшей степени оказывала влияние на устойчи</w:t>
      </w:r>
      <w:r w:rsidRPr="00D03F3E">
        <w:rPr>
          <w:color w:val="000000" w:themeColor="text1"/>
          <w:sz w:val="16"/>
          <w:szCs w:val="16"/>
        </w:rPr>
        <w:softHyphen/>
        <w:t>вость полета самолета.</w:t>
      </w:r>
    </w:p>
    <w:p w14:paraId="7F1C1AD6"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Учитывая ограниченность бое</w:t>
      </w:r>
      <w:r w:rsidRPr="00D03F3E">
        <w:rPr>
          <w:color w:val="000000" w:themeColor="text1"/>
          <w:sz w:val="16"/>
          <w:szCs w:val="16"/>
        </w:rPr>
        <w:softHyphen/>
        <w:t>комплекта, стрельбу из пушки МП-37 рекомендовалось вести только ко</w:t>
      </w:r>
      <w:r w:rsidRPr="00D03F3E">
        <w:rPr>
          <w:color w:val="000000" w:themeColor="text1"/>
          <w:sz w:val="16"/>
          <w:szCs w:val="16"/>
        </w:rPr>
        <w:softHyphen/>
        <w:t>роткими очередями по 1—2, макси</w:t>
      </w:r>
      <w:r w:rsidRPr="00D03F3E">
        <w:rPr>
          <w:color w:val="000000" w:themeColor="text1"/>
          <w:sz w:val="16"/>
          <w:szCs w:val="16"/>
        </w:rPr>
        <w:softHyphen/>
        <w:t>мум 3 снаряда, при скоростях, близ</w:t>
      </w:r>
      <w:r w:rsidRPr="00D03F3E">
        <w:rPr>
          <w:color w:val="000000" w:themeColor="text1"/>
          <w:sz w:val="16"/>
          <w:szCs w:val="16"/>
        </w:rPr>
        <w:softHyphen/>
        <w:t>ких к максимальной скорости полета. В свою очередь, это условие предъ</w:t>
      </w:r>
      <w:r w:rsidRPr="00D03F3E">
        <w:rPr>
          <w:color w:val="000000" w:themeColor="text1"/>
          <w:sz w:val="16"/>
          <w:szCs w:val="16"/>
        </w:rPr>
        <w:softHyphen/>
        <w:t>являло весьма жесткие требования к уровню летной и стрелковой подго</w:t>
      </w:r>
      <w:r w:rsidRPr="00D03F3E">
        <w:rPr>
          <w:color w:val="000000" w:themeColor="text1"/>
          <w:sz w:val="16"/>
          <w:szCs w:val="16"/>
        </w:rPr>
        <w:softHyphen/>
        <w:t>товки летного состава, летающего на Як-9т. Летчик должен быть своего ро</w:t>
      </w:r>
      <w:r w:rsidRPr="00D03F3E">
        <w:rPr>
          <w:color w:val="000000" w:themeColor="text1"/>
          <w:sz w:val="16"/>
          <w:szCs w:val="16"/>
        </w:rPr>
        <w:softHyphen/>
        <w:t>да воздушным снайпером и мастер</w:t>
      </w:r>
      <w:r w:rsidRPr="00D03F3E">
        <w:rPr>
          <w:color w:val="000000" w:themeColor="text1"/>
          <w:sz w:val="16"/>
          <w:szCs w:val="16"/>
        </w:rPr>
        <w:softHyphen/>
        <w:t>ски владеть техникой пилотирования самолетом.</w:t>
      </w:r>
    </w:p>
    <w:p w14:paraId="743E7E79"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Обращалось внимание на необ</w:t>
      </w:r>
      <w:r w:rsidRPr="00D03F3E">
        <w:rPr>
          <w:color w:val="000000" w:themeColor="text1"/>
          <w:sz w:val="16"/>
          <w:szCs w:val="16"/>
        </w:rPr>
        <w:softHyphen/>
        <w:t>ходимость обеспечения повышенно</w:t>
      </w:r>
      <w:r w:rsidRPr="00D03F3E">
        <w:rPr>
          <w:color w:val="000000" w:themeColor="text1"/>
          <w:sz w:val="16"/>
          <w:szCs w:val="16"/>
        </w:rPr>
        <w:softHyphen/>
        <w:t>го качества производственного ис</w:t>
      </w:r>
      <w:r w:rsidRPr="00D03F3E">
        <w:rPr>
          <w:color w:val="000000" w:themeColor="text1"/>
          <w:sz w:val="16"/>
          <w:szCs w:val="16"/>
        </w:rPr>
        <w:softHyphen/>
        <w:t>полнения самолетов Як-9т с пушкой МП-37, в первую очередь — качества монтажных работ, так как большая отдача при стрельбе приводила к на</w:t>
      </w:r>
      <w:r w:rsidRPr="00D03F3E">
        <w:rPr>
          <w:color w:val="000000" w:themeColor="text1"/>
          <w:sz w:val="16"/>
          <w:szCs w:val="16"/>
        </w:rPr>
        <w:softHyphen/>
        <w:t>рушению соединений трубопроводов, появлению трещин и разрушению от</w:t>
      </w:r>
      <w:r w:rsidRPr="00D03F3E">
        <w:rPr>
          <w:color w:val="000000" w:themeColor="text1"/>
          <w:sz w:val="16"/>
          <w:szCs w:val="16"/>
        </w:rPr>
        <w:softHyphen/>
        <w:t>дельных деталей.</w:t>
      </w:r>
    </w:p>
    <w:p w14:paraId="1C86E191"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Несмотря на выявленные в хо</w:t>
      </w:r>
      <w:r w:rsidRPr="00D03F3E">
        <w:rPr>
          <w:color w:val="000000" w:themeColor="text1"/>
          <w:sz w:val="16"/>
          <w:szCs w:val="16"/>
        </w:rPr>
        <w:softHyphen/>
        <w:t>де испытаний недостатки установки пушки МП-37 на самолет Як-9т, был сделан вывод, что самолет «испыта</w:t>
      </w:r>
      <w:r w:rsidRPr="00D03F3E">
        <w:rPr>
          <w:color w:val="000000" w:themeColor="text1"/>
          <w:sz w:val="16"/>
          <w:szCs w:val="16"/>
        </w:rPr>
        <w:softHyphen/>
        <w:t>ния выдержал удовлетворительно». Рекомендовалась его массовая серия.</w:t>
      </w:r>
    </w:p>
    <w:p w14:paraId="7D884A05"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Отметим, что в НИИ АВ в то время изучалась эффективность стрельбы из пушки МП-37 с самолета Як-9т на дальности 1000—1200 м по наземным щитам-мишеням с изображенными на них различными самолетами в на</w:t>
      </w:r>
      <w:r w:rsidRPr="00D03F3E">
        <w:rPr>
          <w:color w:val="000000" w:themeColor="text1"/>
          <w:sz w:val="16"/>
          <w:szCs w:val="16"/>
        </w:rPr>
        <w:softHyphen/>
        <w:t>туральную величину под ракурсами 0/4—1/4.</w:t>
      </w:r>
    </w:p>
    <w:p w14:paraId="708C938E"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этих условиях стрельбы лет</w:t>
      </w:r>
      <w:r w:rsidRPr="00D03F3E">
        <w:rPr>
          <w:color w:val="000000" w:themeColor="text1"/>
          <w:sz w:val="16"/>
          <w:szCs w:val="16"/>
        </w:rPr>
        <w:softHyphen/>
        <w:t>чик с отличной техникой пилотирова</w:t>
      </w:r>
      <w:r w:rsidRPr="00D03F3E">
        <w:rPr>
          <w:color w:val="000000" w:themeColor="text1"/>
          <w:sz w:val="16"/>
          <w:szCs w:val="16"/>
        </w:rPr>
        <w:softHyphen/>
        <w:t>ния и стрелковой подготовкой (майор Звонарев) имел 8% попаданий в фи</w:t>
      </w:r>
      <w:r w:rsidRPr="00D03F3E">
        <w:rPr>
          <w:color w:val="000000" w:themeColor="text1"/>
          <w:sz w:val="16"/>
          <w:szCs w:val="16"/>
        </w:rPr>
        <w:softHyphen/>
        <w:t>гуру самолета, а летчики со средней подготовкой — всего 1,7%.</w:t>
      </w:r>
    </w:p>
    <w:p w14:paraId="5C05A499"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На основании математической обработки данных опытов в НИИ АВ были сделаны следующие выводы Для одного попадания в бомбардировщик средних размеров (5—10 м </w:t>
      </w:r>
      <w:r w:rsidRPr="00D03F3E">
        <w:rPr>
          <w:color w:val="000000" w:themeColor="text1"/>
          <w:sz w:val="16"/>
          <w:szCs w:val="16"/>
          <w:vertAlign w:val="superscript"/>
        </w:rPr>
        <w:t>2</w:t>
      </w:r>
      <w:r w:rsidRPr="00D03F3E">
        <w:rPr>
          <w:color w:val="000000" w:themeColor="text1"/>
          <w:sz w:val="16"/>
          <w:szCs w:val="16"/>
        </w:rPr>
        <w:t xml:space="preserve"> — Ме 210, </w:t>
      </w:r>
      <w:r w:rsidRPr="00D03F3E">
        <w:rPr>
          <w:color w:val="000000" w:themeColor="text1"/>
          <w:sz w:val="16"/>
          <w:szCs w:val="16"/>
          <w:lang w:val="en-US"/>
        </w:rPr>
        <w:t>Ju</w:t>
      </w:r>
      <w:r w:rsidRPr="00D03F3E">
        <w:rPr>
          <w:color w:val="000000" w:themeColor="text1"/>
          <w:sz w:val="16"/>
          <w:szCs w:val="16"/>
        </w:rPr>
        <w:t>88</w:t>
      </w:r>
      <w:r w:rsidRPr="00D03F3E">
        <w:rPr>
          <w:color w:val="000000" w:themeColor="text1"/>
          <w:sz w:val="16"/>
          <w:szCs w:val="16"/>
          <w:lang w:val="en-US"/>
        </w:rPr>
        <w:t>A</w:t>
      </w:r>
      <w:r w:rsidRPr="00D03F3E">
        <w:rPr>
          <w:color w:val="000000" w:themeColor="text1"/>
          <w:sz w:val="16"/>
          <w:szCs w:val="16"/>
        </w:rPr>
        <w:t xml:space="preserve">, </w:t>
      </w:r>
      <w:r w:rsidRPr="00D03F3E">
        <w:rPr>
          <w:color w:val="000000" w:themeColor="text1"/>
          <w:sz w:val="16"/>
          <w:szCs w:val="16"/>
          <w:lang w:val="en-US"/>
        </w:rPr>
        <w:t>Ju</w:t>
      </w:r>
      <w:r w:rsidRPr="00D03F3E">
        <w:rPr>
          <w:color w:val="000000" w:themeColor="text1"/>
          <w:sz w:val="16"/>
          <w:szCs w:val="16"/>
        </w:rPr>
        <w:t>87</w:t>
      </w:r>
      <w:r w:rsidRPr="00D03F3E">
        <w:rPr>
          <w:color w:val="000000" w:themeColor="text1"/>
          <w:sz w:val="16"/>
          <w:szCs w:val="16"/>
          <w:lang w:val="en-US"/>
        </w:rPr>
        <w:t>B</w:t>
      </w:r>
      <w:r w:rsidRPr="00D03F3E">
        <w:rPr>
          <w:color w:val="000000" w:themeColor="text1"/>
          <w:sz w:val="16"/>
          <w:szCs w:val="16"/>
        </w:rPr>
        <w:t>), на</w:t>
      </w:r>
      <w:r w:rsidRPr="00D03F3E">
        <w:rPr>
          <w:color w:val="000000" w:themeColor="text1"/>
          <w:sz w:val="16"/>
          <w:szCs w:val="16"/>
        </w:rPr>
        <w:softHyphen/>
        <w:t>ходящийся на земле при стрельбе на дальностях 1000—1200 м и при ракурсе 0/4—1/4 квалифици</w:t>
      </w:r>
      <w:r w:rsidRPr="00D03F3E">
        <w:rPr>
          <w:color w:val="000000" w:themeColor="text1"/>
          <w:sz w:val="16"/>
          <w:szCs w:val="16"/>
        </w:rPr>
        <w:softHyphen/>
        <w:t>рованному летчику необходимо произвести около 25 выстрелов, а со средней квалификацией — око</w:t>
      </w:r>
      <w:r w:rsidRPr="00D03F3E">
        <w:rPr>
          <w:color w:val="000000" w:themeColor="text1"/>
          <w:sz w:val="16"/>
          <w:szCs w:val="16"/>
        </w:rPr>
        <w:softHyphen/>
        <w:t>ло 60 выстрелов.</w:t>
      </w:r>
    </w:p>
    <w:p w14:paraId="5F885EB7"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стрельбе по летящему самолету для по</w:t>
      </w:r>
      <w:r w:rsidRPr="00D03F3E">
        <w:rPr>
          <w:color w:val="000000" w:themeColor="text1"/>
          <w:sz w:val="16"/>
          <w:szCs w:val="16"/>
        </w:rPr>
        <w:softHyphen/>
        <w:t>падания в него на дальностях 1000—1200 м при ракурсе 0/4—1/4 квалифицированному летчику требуется израсходовать около 60 снарядов, а лет</w:t>
      </w:r>
      <w:r w:rsidRPr="00D03F3E">
        <w:rPr>
          <w:color w:val="000000" w:themeColor="text1"/>
          <w:sz w:val="16"/>
          <w:szCs w:val="16"/>
        </w:rPr>
        <w:softHyphen/>
        <w:t>чику со средней подготовкой — около 130 сна</w:t>
      </w:r>
      <w:r w:rsidRPr="00D03F3E">
        <w:rPr>
          <w:color w:val="000000" w:themeColor="text1"/>
          <w:sz w:val="16"/>
          <w:szCs w:val="16"/>
        </w:rPr>
        <w:softHyphen/>
        <w:t>рядов.</w:t>
      </w:r>
    </w:p>
    <w:p w14:paraId="0DA68A38"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этим причинам для летчиков со средней стрелковой подготовкой, то есть строевых летчи</w:t>
      </w:r>
      <w:r w:rsidRPr="00D03F3E">
        <w:rPr>
          <w:color w:val="000000" w:themeColor="text1"/>
          <w:sz w:val="16"/>
          <w:szCs w:val="16"/>
        </w:rPr>
        <w:softHyphen/>
        <w:t>ков, дальностями действительного огня являются 600—400 м при стрельбе по бомбардировщику и 400—100 м — по истребителю. На этих дально</w:t>
      </w:r>
      <w:r w:rsidRPr="00D03F3E">
        <w:rPr>
          <w:color w:val="000000" w:themeColor="text1"/>
          <w:sz w:val="16"/>
          <w:szCs w:val="16"/>
        </w:rPr>
        <w:softHyphen/>
        <w:t>стях стрельбы обеспечивались вполне приемлемые вероятности попадания хотя бы одним снарядом при израсходовании одного боекомплекта в пуш</w:t>
      </w:r>
      <w:r w:rsidRPr="00D03F3E">
        <w:rPr>
          <w:color w:val="000000" w:themeColor="text1"/>
          <w:sz w:val="16"/>
          <w:szCs w:val="16"/>
        </w:rPr>
        <w:softHyphen/>
        <w:t>ке МП-37.</w:t>
      </w:r>
    </w:p>
    <w:p w14:paraId="491143DC"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Ко времени окончания испытаний противо</w:t>
      </w:r>
      <w:r w:rsidRPr="00D03F3E">
        <w:rPr>
          <w:color w:val="000000" w:themeColor="text1"/>
          <w:sz w:val="16"/>
          <w:szCs w:val="16"/>
        </w:rPr>
        <w:softHyphen/>
        <w:t xml:space="preserve">танковых вариантов Як-9т и Ил-2 с пушками Ш-37 и 11П стало известно о применении противником на фронте тяжелых танков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VI</w:t>
      </w:r>
      <w:r w:rsidRPr="00D03F3E">
        <w:rPr>
          <w:color w:val="000000" w:themeColor="text1"/>
          <w:sz w:val="16"/>
          <w:szCs w:val="16"/>
        </w:rPr>
        <w:t xml:space="preserve"> «Тигр». От Главно</w:t>
      </w:r>
      <w:r w:rsidRPr="00D03F3E">
        <w:rPr>
          <w:color w:val="000000" w:themeColor="text1"/>
          <w:sz w:val="16"/>
          <w:szCs w:val="16"/>
        </w:rPr>
        <w:softHyphen/>
        <w:t>го разведывательного управления Генерального штаба Красной Армии получены сведения о по</w:t>
      </w:r>
      <w:r w:rsidRPr="00D03F3E">
        <w:rPr>
          <w:color w:val="000000" w:themeColor="text1"/>
          <w:sz w:val="16"/>
          <w:szCs w:val="16"/>
        </w:rPr>
        <w:softHyphen/>
        <w:t xml:space="preserve">ступлении на вооружение немецкой армии новых образцов бронетехники — танков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V</w:t>
      </w:r>
      <w:r w:rsidRPr="00D03F3E">
        <w:rPr>
          <w:color w:val="000000" w:themeColor="text1"/>
          <w:sz w:val="16"/>
          <w:szCs w:val="16"/>
        </w:rPr>
        <w:t xml:space="preserve"> «Пантера» и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IV</w:t>
      </w:r>
      <w:r w:rsidRPr="00D03F3E">
        <w:rPr>
          <w:color w:val="000000" w:themeColor="text1"/>
          <w:sz w:val="16"/>
          <w:szCs w:val="16"/>
        </w:rPr>
        <w:t>/</w:t>
      </w:r>
      <w:r w:rsidRPr="00D03F3E">
        <w:rPr>
          <w:color w:val="000000" w:themeColor="text1"/>
          <w:sz w:val="16"/>
          <w:szCs w:val="16"/>
          <w:lang w:val="en-US"/>
        </w:rPr>
        <w:t>H</w:t>
      </w:r>
      <w:r w:rsidRPr="00D03F3E">
        <w:rPr>
          <w:color w:val="000000" w:themeColor="text1"/>
          <w:sz w:val="16"/>
          <w:szCs w:val="16"/>
        </w:rPr>
        <w:t xml:space="preserve">, а также штурмового орудия </w:t>
      </w:r>
      <w:r w:rsidRPr="00D03F3E">
        <w:rPr>
          <w:color w:val="000000" w:themeColor="text1"/>
          <w:sz w:val="16"/>
          <w:szCs w:val="16"/>
          <w:lang w:val="en-US"/>
        </w:rPr>
        <w:t>Jgd</w:t>
      </w:r>
      <w:r w:rsidRPr="00D03F3E">
        <w:rPr>
          <w:color w:val="000000" w:themeColor="text1"/>
          <w:sz w:val="16"/>
          <w:szCs w:val="16"/>
        </w:rPr>
        <w:t xml:space="preserve"> </w:t>
      </w:r>
      <w:r w:rsidRPr="00D03F3E">
        <w:rPr>
          <w:color w:val="000000" w:themeColor="text1"/>
          <w:sz w:val="16"/>
          <w:szCs w:val="16"/>
          <w:lang w:val="en-US"/>
        </w:rPr>
        <w:t>Pz</w:t>
      </w:r>
      <w:r w:rsidRPr="00D03F3E">
        <w:rPr>
          <w:color w:val="000000" w:themeColor="text1"/>
          <w:sz w:val="16"/>
          <w:szCs w:val="16"/>
        </w:rPr>
        <w:t xml:space="preserve"> </w:t>
      </w:r>
      <w:r w:rsidRPr="00D03F3E">
        <w:rPr>
          <w:color w:val="000000" w:themeColor="text1"/>
          <w:sz w:val="16"/>
          <w:szCs w:val="16"/>
          <w:lang w:val="en-US"/>
        </w:rPr>
        <w:t>Tiger</w:t>
      </w:r>
      <w:r w:rsidRPr="00D03F3E">
        <w:rPr>
          <w:color w:val="000000" w:themeColor="text1"/>
          <w:sz w:val="16"/>
          <w:szCs w:val="16"/>
        </w:rPr>
        <w:t xml:space="preserve"> (</w:t>
      </w:r>
      <w:r w:rsidRPr="00D03F3E">
        <w:rPr>
          <w:color w:val="000000" w:themeColor="text1"/>
          <w:sz w:val="16"/>
          <w:szCs w:val="16"/>
          <w:lang w:val="en-US"/>
        </w:rPr>
        <w:t>P</w:t>
      </w:r>
      <w:r w:rsidRPr="00D03F3E">
        <w:rPr>
          <w:color w:val="000000" w:themeColor="text1"/>
          <w:sz w:val="16"/>
          <w:szCs w:val="16"/>
        </w:rPr>
        <w:t>) «Фердинанд». Все они имели усиленную бро</w:t>
      </w:r>
      <w:r w:rsidRPr="00D03F3E">
        <w:rPr>
          <w:color w:val="000000" w:themeColor="text1"/>
          <w:sz w:val="16"/>
          <w:szCs w:val="16"/>
        </w:rPr>
        <w:softHyphen/>
        <w:t>невую защиту и мощное вооружение. Массовое появление этих танков на фронте ожидалось ле</w:t>
      </w:r>
      <w:r w:rsidRPr="00D03F3E">
        <w:rPr>
          <w:color w:val="000000" w:themeColor="text1"/>
          <w:sz w:val="16"/>
          <w:szCs w:val="16"/>
        </w:rPr>
        <w:softHyphen/>
        <w:t>том 1943 г. Вопрос о резком повышении противо</w:t>
      </w:r>
      <w:r w:rsidRPr="00D03F3E">
        <w:rPr>
          <w:color w:val="000000" w:themeColor="text1"/>
          <w:sz w:val="16"/>
          <w:szCs w:val="16"/>
        </w:rPr>
        <w:softHyphen/>
        <w:t>танковых возможностей ВВС КА встал со всей остротой.</w:t>
      </w:r>
    </w:p>
    <w:p w14:paraId="36652DA2"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 учетом этого ГКО принимает решение в поль</w:t>
      </w:r>
      <w:r w:rsidRPr="00D03F3E">
        <w:rPr>
          <w:color w:val="000000" w:themeColor="text1"/>
          <w:sz w:val="16"/>
          <w:szCs w:val="16"/>
        </w:rPr>
        <w:softHyphen/>
        <w:t>зу массового производства пушки 11 П. С этими пушками серийно решили выпускать двухместный Ил-2 (завод № 30 в Москве) и «танковый» вариант истребителя Як-9т (завод № 153 в Новосибирске) (17500).</w:t>
      </w:r>
    </w:p>
    <w:p w14:paraId="62946A1B" w14:textId="77777777" w:rsidR="00357519" w:rsidRPr="00D03F3E" w:rsidRDefault="0035751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2B767D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0118BC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07B9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февраля 1943 года четыре 45-мм ПТ пушки М-6 прибыли на Гороховецкий полигон для прохождения полигонных испытаний (3861).</w:t>
      </w:r>
    </w:p>
    <w:p w14:paraId="1C75C2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ACB2B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февраля 1943 г. четыре 45-мм противотанковых пушки М-6 прибыли на Гороховецкий полигон (под г. Горький) для прохождения полигонных испытаний. С 12 по 23 марта 1943 г. эти четыре пушки прошли войсковые испытания в Московском военном округе. По результатам полигонных и войсковых испытаний М-6 была рекомендована к принятию на вооружение. Однако начальство предпочло другую 45-мм противотанковую пушку — М-42.</w:t>
      </w:r>
    </w:p>
    <w:p w14:paraId="385126C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 45-мм противотанковой пушки М-6 был разработан в КБ завода № 172, где работали вольнонаемные инженеры. Это была совершенно новая система, не имевшая взаимозаменяемости с пушкой 53К, кроме полуавтоматики и колес. Баллистика и боеприпасы были тождественны пушке М-42 (12705).</w:t>
      </w:r>
    </w:p>
    <w:p w14:paraId="1C489D8C"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28D0B8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февраля 1943 г. в телефонограмме Д. Усти</w:t>
      </w:r>
      <w:r w:rsidRPr="00D03F3E">
        <w:rPr>
          <w:rFonts w:ascii="Times New Roman" w:hAnsi="Times New Roman"/>
          <w:color w:val="000000" w:themeColor="text1"/>
          <w:sz w:val="16"/>
          <w:szCs w:val="16"/>
        </w:rPr>
        <w:softHyphen/>
        <w:t>нову от говорилось: «Броневой корпус не</w:t>
      </w:r>
      <w:r w:rsidRPr="00D03F3E">
        <w:rPr>
          <w:rFonts w:ascii="Times New Roman" w:hAnsi="Times New Roman"/>
          <w:color w:val="000000" w:themeColor="text1"/>
          <w:sz w:val="16"/>
          <w:szCs w:val="16"/>
        </w:rPr>
        <w:softHyphen/>
        <w:t>мецкого тяжелого танка «Тигр» (лоб. броня — 101 мм, борт, корма — 82 мм) с дистанции 400-600 м, несмотря на неодно</w:t>
      </w:r>
      <w:r w:rsidRPr="00D03F3E">
        <w:rPr>
          <w:rFonts w:ascii="Times New Roman" w:hAnsi="Times New Roman"/>
          <w:color w:val="000000" w:themeColor="text1"/>
          <w:sz w:val="16"/>
          <w:szCs w:val="16"/>
        </w:rPr>
        <w:softHyphen/>
        <w:t>кратные попытки, не был пробит бронебойными снарядами противотанковых орудий, состоящих на вооружении Красной армии... Опыт обстрела танка КВ обр. 1941 г. (лоб. броня 105-мм, борт — 75—90мм) позволяет предположить, что борт, броня танка «Тигр» будет пробита снарядами 57-мм ПТП обр. 41 г., 85-мм ЗПобр. 39г., 107-мм ППобр. 1940 г., а также 57-мм англ. ПТП обр. 1941 г. с дистанции 400-600 т., лоб. бро</w:t>
      </w:r>
      <w:r w:rsidRPr="00D03F3E">
        <w:rPr>
          <w:rFonts w:ascii="Times New Roman" w:hAnsi="Times New Roman"/>
          <w:color w:val="000000" w:themeColor="text1"/>
          <w:sz w:val="16"/>
          <w:szCs w:val="16"/>
        </w:rPr>
        <w:softHyphen/>
        <w:t>ня указанного танка должна пробиваться бронебойными снаря</w:t>
      </w:r>
      <w:r w:rsidRPr="00D03F3E">
        <w:rPr>
          <w:rFonts w:ascii="Times New Roman" w:hAnsi="Times New Roman"/>
          <w:color w:val="000000" w:themeColor="text1"/>
          <w:sz w:val="16"/>
          <w:szCs w:val="16"/>
        </w:rPr>
        <w:softHyphen/>
        <w:t>дами калибра 85-мм и 107-мм с дистанции 300-500м.</w:t>
      </w:r>
    </w:p>
    <w:p w14:paraId="6A4CCD7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вас провести испытания обстрелом корпуса танка «Тигр» из орудий указанного типа, а также спешно организовать испытания корпуса указанного танка новыми типами противотанковых снарядов для 45-мм, 76-мм и 122-мм орудий... Федоренко» (11135).</w:t>
      </w:r>
    </w:p>
    <w:p w14:paraId="1F72D95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07F4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февраля 1943 г. в телефонограмме Д.Ф. Устинову говорилось: «Броневой корпус немецкого тяжелого тан</w:t>
      </w:r>
      <w:r w:rsidRPr="00D03F3E">
        <w:rPr>
          <w:rFonts w:ascii="Times New Roman" w:hAnsi="Times New Roman"/>
          <w:color w:val="000000" w:themeColor="text1"/>
          <w:sz w:val="16"/>
          <w:szCs w:val="16"/>
        </w:rPr>
        <w:softHyphen/>
        <w:t>ка «Тигр» (лоб. броня - 101мм, борт, корма — 82мм) с дистан</w:t>
      </w:r>
      <w:r w:rsidRPr="00D03F3E">
        <w:rPr>
          <w:rFonts w:ascii="Times New Roman" w:hAnsi="Times New Roman"/>
          <w:color w:val="000000" w:themeColor="text1"/>
          <w:sz w:val="16"/>
          <w:szCs w:val="16"/>
        </w:rPr>
        <w:softHyphen/>
        <w:t>ции 400—600 м, несмотря на неоднократные попытки, не был пробит бронебойным снарядом противотанковых орудий, со</w:t>
      </w:r>
      <w:r w:rsidRPr="00D03F3E">
        <w:rPr>
          <w:rFonts w:ascii="Times New Roman" w:hAnsi="Times New Roman"/>
          <w:color w:val="000000" w:themeColor="text1"/>
          <w:sz w:val="16"/>
          <w:szCs w:val="16"/>
        </w:rPr>
        <w:softHyphen/>
        <w:t>стоящих на вооружении Красной армии... Опыт обстрела тан</w:t>
      </w:r>
      <w:r w:rsidRPr="00D03F3E">
        <w:rPr>
          <w:rFonts w:ascii="Times New Roman" w:hAnsi="Times New Roman"/>
          <w:color w:val="000000" w:themeColor="text1"/>
          <w:sz w:val="16"/>
          <w:szCs w:val="16"/>
        </w:rPr>
        <w:softHyphen/>
        <w:t>ка КБ (лоб. броня 105-мм, борт — 75—90мм) позволяет предпо</w:t>
      </w:r>
      <w:r w:rsidRPr="00D03F3E">
        <w:rPr>
          <w:rFonts w:ascii="Times New Roman" w:hAnsi="Times New Roman"/>
          <w:color w:val="000000" w:themeColor="text1"/>
          <w:sz w:val="16"/>
          <w:szCs w:val="16"/>
        </w:rPr>
        <w:softHyphen/>
        <w:t>ложить, что борт, броня танка «Тигр» будет пробита снаря</w:t>
      </w:r>
      <w:r w:rsidRPr="00D03F3E">
        <w:rPr>
          <w:rFonts w:ascii="Times New Roman" w:hAnsi="Times New Roman"/>
          <w:color w:val="000000" w:themeColor="text1"/>
          <w:sz w:val="16"/>
          <w:szCs w:val="16"/>
        </w:rPr>
        <w:softHyphen/>
        <w:t>дами 57-мм ЛТП обр. 41 г., 85-мм ЗП обр. 39 г., 107-мм ДП обр. 1940 г., а также 57-мм англ. ПТПобр. 1941 г. с дистанции 400—600 м., лоб. броня указанного танка должна пробиваться бронебойными снарядами калибра 85-мм и 107-мм с дистанции 300-500м, а также 57-мм с дистанции 150-300м...» (11417)/</w:t>
      </w:r>
    </w:p>
    <w:p w14:paraId="102D91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43CED8" w14:textId="77777777" w:rsidR="00357519" w:rsidRPr="00D03F3E" w:rsidRDefault="0035751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19 февраля 1942 года на завод №92 ушло письмо за подписью маршала Кулика с указанием установить к 1 мая 1941 года на танк КВ-2 опытный образец нового орудия. Танк заводу отгрузили ещё раньше – 29 января. В то же время, на второй образец Т-220 всё же решили попробовать поставить Ф-42, для чего на завод №92 должна была отправиться его башня (17642).</w:t>
      </w:r>
    </w:p>
    <w:p w14:paraId="27631295" w14:textId="77777777" w:rsidR="00357519" w:rsidRPr="00D03F3E" w:rsidRDefault="00357519" w:rsidP="00D03F3E">
      <w:pPr>
        <w:spacing w:after="0" w:line="240" w:lineRule="auto"/>
        <w:jc w:val="both"/>
        <w:rPr>
          <w:rFonts w:ascii="Times New Roman" w:eastAsia="Times New Roman" w:hAnsi="Times New Roman"/>
          <w:color w:val="000000" w:themeColor="text1"/>
          <w:sz w:val="16"/>
          <w:szCs w:val="16"/>
          <w:lang w:eastAsia="ru-RU"/>
        </w:rPr>
      </w:pPr>
    </w:p>
    <w:p w14:paraId="1ECC9700"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февраля 1943 года в соответствии с постановлением СНК № 184-67с было создано Главное управление ремонта танков (ГУРТ). Его появление было вызвано изменением стратегической обстановки на советско-германском фронте. До осени 1942 года боевые действия складывались для наших войск чаще всего неудачно. Поэтому в большинстве случаев противник захватывал ту территорию, на которой велись бои. Оставшаяся на поле боя ремонтопригодная бронетехника советских войск попадала в основном в руки врага. Лишь небольшая доля повреждённых машин эвакуировалась в тыл для ремонта. Только после перелома в ходе войны в результате Сталинградской битвы появилась потенциальная возможность восстанавливать большую часть поврежденной бронетехники. После зимнего наступления советских войск на контролируемой Красной Армией территории оказалось огромное количество подбитых танков, которые в принципе можно было восстановить. Однако это породило новую проблему: войсковых ремонтных средств не хватало для проведения необходимых работ.</w:t>
      </w:r>
    </w:p>
    <w:p w14:paraId="29C9AFA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того, чтобы разгрузить армейских ремонтников от наиболее сложных видов ремонта, передоверив его работникам НКТП, было создано ГУРТ. Возможно, идею создания ГУРТа подал В. А. Малышев. В этот период бывший нарком активно занимался проблемами ремонта танков. В дневнике Н. И. Бирюкова сохранились сообщения о ряде заседаний на эту тему, проводимых под его председательством. К сожалению, из него не понятно, под какой эгидой опальный бывший нарком проводил эти заседания (можно предположить, что они проходили с санкции ГКО или СНК), и кто в них участвовал.</w:t>
      </w:r>
    </w:p>
    <w:p w14:paraId="396516B4"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ГУРТ первоначально включало в себя три ремонтных управления - Саратовское, Воронежское и Ростовское. Для формирования ремонтных баз НКТП требовалось 5000 рабочих, которых ему должен был передать НКО из числа военнослужащих старших возрастов и ограниченно годных к военной службе.</w:t>
      </w:r>
    </w:p>
    <w:p w14:paraId="7624BA3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в состав главка было включено несколько заводов, производящих запасные части для нужд ремонтников. Производство запчастей на основных заводах НКТП всегда считалось делом второстепенным. По этой причине план по запчастям часто не выполнялся. Кроме того, в новых условиях производство запчастей надо было увеличить, так как потребности в них в связи с изменившейся стратегической ситуацией резко возросли. Опыт подсказывал, что до тех пор, пока производство запчастей будет оставаться вспомогательным производством на крупных танковых заводах, оно всегда будет сталкиваться с недостатком внимания, и за его счёт будут постоянно решаться те или иные затруднения на основном производстве. Поэтому было решено включить в состав ГУРТ НКТП ряд машиностроительных заводов, которые предназначались исключительно для производства запчастей. Некоторые из них когда-то уже входили в состав НКТП, и теперь вновь туда возвращались (12290).</w:t>
      </w:r>
    </w:p>
    <w:p w14:paraId="7A091DCE"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4AC966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февраля 1943 вышло Распоряжение ГКО № 2917. Об отгрузке пиломатериалов НКСМ для автомобильных заводов.РГАНИР, Фонд ГКО, д. 91, лл. 85 (11012).</w:t>
      </w:r>
    </w:p>
    <w:p w14:paraId="2B7B1B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D8E05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7237A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1D1F29"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19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43414721"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19 февраля наши войска вели наступательные бои на прежних направлениях.</w:t>
      </w:r>
    </w:p>
    <w:p w14:paraId="3A5291A8"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войска с боями продвигались вперёд. Наши части выбили гитлеровцев ещё из ряда населённых пунктов. Пленные немецкие солдаты и офицеры сообщили, что в последних боях разгромлена 403 немецкая охранная дивизия, укомплектованная полицейскими и жандармами и недавно введённая в действие. Остатки разбитых частей дивизии в беспорядке отступают под ударами наших войск.</w:t>
      </w:r>
    </w:p>
    <w:p w14:paraId="0CAABD9D"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Ровеньков наши части продолжали наступление и заняли несколько населённых пунктов. В бою за один из рабочих посёлков захвачено 7 орудий, 5 крупнокалиберных пулемётов, 7 тягачей, 15 повозок с грузами и 17 автомашин. На другом участке окружены и уничтожены две роты вражеской пехоты.</w:t>
      </w:r>
    </w:p>
    <w:p w14:paraId="0D38F2E0"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Краматорской на одном участке гитлеровцы предприняли контратаку, но были отброшены с большими для них потерями. На поле боя осталось 6 сгоревших немецких танков и до 200 вражеских трупов.</w:t>
      </w:r>
    </w:p>
    <w:p w14:paraId="5CCA2FC0"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Западнее Харькова, на участке Н-ской части, гитлеровцы бросили в контратаку остатки двух пехотных полков, поддержанных 20 танками. Огнём из пехотного оружия советские бойцы сковали гитлеровцев и заставили их залечь. В это время два наших моторизованных подразделения ударили по противнику с флангов и тыла. Потеряв убитыми до 300 солдат и офицеров, немцы быстро отступили. Захвачено 7 танков, 4 самоходных орудия, 12 пулемётов, 2 шестиствольных миномёта и 19 автомашин с боеприпасами. Взяты пленные.</w:t>
      </w:r>
    </w:p>
    <w:p w14:paraId="5396B150"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части Н-ского соединения заняли 10 населённых пунктов и захватили 8 орудий, 20 мотоциклов, 170 велосипедов, 2 склада боеприпасов и другое военное имущество.</w:t>
      </w:r>
    </w:p>
    <w:p w14:paraId="571D3EBA"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украинских партизан, взаимодействуя с наступающими частями КраснойАрмии, устроил засаду на шоссейной дороге. Ружейно-пулемётным огнём партизаны истребили до 200 гитлеровцев, в беспорядке отступавших под ударами советских войск. На другой шоссейной дороге партизаны этого же отряда захватили 235 лошадей, 130 винтовок, несколько пулемётов и миномётов.</w:t>
      </w:r>
    </w:p>
    <w:p w14:paraId="17FC384B"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Отступая через деревню Новоселовка, Курской области, немецко-фашистские мерзавцы ограбили мирное население. Всё, что нельзя было унести с собой, мародёры портили и приводили в негодность. Группа гитлеровцев ворвалась в дом колхозника Дмитрия Серенко, схватила его 15-летнего сына и учинила над ним зверскую расправу. Бандиты подожгли дом колхозницы Евдокии Лелиной. Когда колхозница и её дочь Зоя выбежали из горящего дома, фашистские изверги расстреляли их из автоматов.</w:t>
      </w:r>
    </w:p>
    <w:p w14:paraId="42085D1A"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Французские вольные стрелки в Шалон-сюр-Саон организовали крушение воинского эшелона с немецкими солдатами, направлявшегося на советско-немецкий фронт. Крушение произошло на полной скорости. Убито более 250 гитлеровцев. Количество раненых немецких солдат и офицеров в несколько раз превышает число убитых.» (15045).</w:t>
      </w:r>
    </w:p>
    <w:p w14:paraId="55E88FB4" w14:textId="77777777" w:rsidR="00E12800" w:rsidRPr="00D03F3E" w:rsidRDefault="00E12800" w:rsidP="00D03F3E">
      <w:pPr>
        <w:spacing w:after="0" w:line="240" w:lineRule="auto"/>
        <w:jc w:val="both"/>
        <w:rPr>
          <w:rFonts w:ascii="Times New Roman" w:hAnsi="Times New Roman"/>
          <w:color w:val="000000" w:themeColor="text1"/>
          <w:sz w:val="16"/>
          <w:szCs w:val="16"/>
        </w:rPr>
      </w:pPr>
    </w:p>
    <w:p w14:paraId="55DDBD63"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19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36B7665E"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февраля наши войска, продолжая развивать наступление западнее и юго-западнее Харькова, овладели городом и железнодорожной станцией Люботин, городом и железнодорожной станцией Мерефа, крупными населёнными пунктами Ольшаны, Пересечная, Песочин, Высокий, Комаровка, Покотиловка. В Курской области наши войска овладели городом и железнодорожной станцией Обоянь.</w:t>
      </w:r>
    </w:p>
    <w:p w14:paraId="34DEF11A"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Краснодара наши войска заняли районный центр Поповическая, крупные населённые пункты — Гривенская, Новониколаевская, Андреевская, Нововеличковская.</w:t>
      </w:r>
    </w:p>
    <w:p w14:paraId="67D43AD3"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бои на прежних направлениях.</w:t>
      </w:r>
    </w:p>
    <w:p w14:paraId="53E19C53"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февраля частями нашей авиации на различных участках фронта уничтожено или повреждено до 200 автомашин с войсками и грузами, подавлен огонь 15 артиллерийских и 8 миномётных батарей, взорвано 5 складов боеприпасов противника.</w:t>
      </w:r>
    </w:p>
    <w:p w14:paraId="1136F6AB"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войска продолжали наступление и заняли ряд населённых пунктов. Н-ская часть форсировала водный рубеж и, сломив сопротивление немцев, овладела укреплённым узлом вражеской обороны. На поле боя осталось свыше 200 вражеских трупов. Захвачены самоходное орудие, 2 танка, 13 автомашин, радиостанция и несколько десятков пленных.</w:t>
      </w:r>
    </w:p>
    <w:p w14:paraId="04A1C1C9"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Красноармейского наши войска вели упорные бои с противником. Бойцы Н-ской части, отбив несколько контратак гитлеровцев, продвинулись вперёд и заняли укреплённые вражеские позиции. В этом бою немцы потеряли убитыми 300 солдат и офицеров. Подбито и сожжено 4 немецких танка.</w:t>
      </w:r>
    </w:p>
    <w:p w14:paraId="4C93F052"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Грайворона наши войска продолжали наступление и заняли несколько населённых пунктов. В ожесточённом бою с противником бойцы Н-ской части уничтожили остатки двух немецких полков, оборонявшихся в населённом пункте. В уличных боях истреблено до 600 гитлеровцев. Подбито и сожжено 8 танков и 15 автомашин. Захвачено 2 танка, 4 орудия, 23 автомашины, 7 цистерн с горючим и 2 крупных склада с боеприпасами. На другом участке уничтожено до батальона немецкой пехоты и захвачено в плен 300 солдат и офицеров противника.</w:t>
      </w:r>
    </w:p>
    <w:p w14:paraId="62774B62"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Курска наши части продолжали теснить противника. Немцы срочно подтягивают на этот участок фронта резервы. Установлено, что в последних боях участвовали подразделения 327 немецкой пехотной дивизии, прибывшие на днях из Лиона (Франция). Бойцы Н-ской части заняли сильно укреплённый населённый пункт, истребив при этом до 200 гитлеровцев. Захвачены 2 орудия, 13 пулемётов и большой склад боеприпасов.</w:t>
      </w:r>
    </w:p>
    <w:p w14:paraId="1593E764"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Фатежа наши части вели наступательные бои. Н-ская часть, продвигаясь вперёд, истребила свыше 400 и взяла в плен до 100 немецких солдат и офицеров. Захвачено 8 орудий, 6 складов с зерном и разным военным имуществом. На другом участке наши бойцы взяли в плен 60 немецких солдат и офицеров. Захвачено 2 танкетки, 18 орудий, 50 пулемётов, 100 автоматов, 300 винтовок, 34 автомашины, 10 мотоциклов, 30 лошадей, 100 повозок, 5 продовольственных и вещевых складов.</w:t>
      </w:r>
    </w:p>
    <w:p w14:paraId="6620934F"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«Мститель», действующий в одном из районов Краснодарского края, заминировал в нескольких местах железнодорожный путь. На установленных партизанами минах подорвались два немецких воинских эшелона.</w:t>
      </w:r>
    </w:p>
    <w:p w14:paraId="0AC02F72"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унтер-офицер 10 роты 70 полка, 111 немецкой пехотной дивизии Отто Бауэр рассказал: «Когда мы под напором русских начали отступать с Кавказа, командир батальона заявил, что мы выровним линию фронта и остановимся в районе Георгиевска. Вскоре, однако, положение изменилось. Командир полка майор Никкель на второй день отступления объявил себя больным и на легковой машине уехал. Русские нас преследовали и перехватили все наши коммуникации. На третий день у нас началась паника». Пленные унтер-офицер и ефрейтор 2 роты 50 полка той же дивизии Вилли Лемке и Гергард Грюнер сообщили: «Раньше мы сломя голову рвались вперёд и дорогой ценой платили за каждый город, за каждую станицу. Теперь длятого, чтобы уйти отсюда или, как у нас говорят, «оторваться от противника», мы несём не менее тяжёлые потери. Наша дивизия во время отступления обескровлена. В ротах осталось по 20 — 30 человек. Большое количество солдат убито или ранено. Многие оказались в плену».</w:t>
      </w:r>
    </w:p>
    <w:p w14:paraId="09E8D18E"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Жители освобождённого частями Красной Армии села Спицевское, Ставропольскогокрая, рассказали о чудовищной расправе немецких бандитов над мирными советскимигражданами. За время своего пребывания в селе Спицевском гитлеровцы замучили иубили 168 стариков, женщин и детей. Немцы заставляли жителей села рыть могилу,затем загоняли их партиями по 20 человек в яму и убивали.».</w:t>
      </w:r>
    </w:p>
    <w:p w14:paraId="43BBDD59"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192771FB"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города Люботин, Мерефа, Обоянь.</w:t>
      </w:r>
    </w:p>
    <w:p w14:paraId="194C6B13"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февраля наши войска, продолжая развивать наступление западнее и юго-западнее Харькова, овладели городом и железнодорожной станцией Люботин, городом и железнодорожной станцией Мерефа.</w:t>
      </w:r>
    </w:p>
    <w:p w14:paraId="23B476EB"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Курской области наши войска в результате решительной атаки овладелигородом и железнодорожной станцией Обоянь. Окружённый гарнизон противникауничтожен и частично пленён. Железная дорога и шоссе Курск—Харьков полностью очищены от противника.» (15045).</w:t>
      </w:r>
    </w:p>
    <w:p w14:paraId="5D42E5FE" w14:textId="77777777" w:rsidR="00E12800" w:rsidRPr="00D03F3E" w:rsidRDefault="00E12800" w:rsidP="00D03F3E">
      <w:pPr>
        <w:spacing w:after="0" w:line="240" w:lineRule="auto"/>
        <w:jc w:val="both"/>
        <w:rPr>
          <w:rFonts w:ascii="Times New Roman" w:hAnsi="Times New Roman"/>
          <w:color w:val="000000" w:themeColor="text1"/>
          <w:sz w:val="16"/>
          <w:szCs w:val="16"/>
        </w:rPr>
      </w:pPr>
    </w:p>
    <w:p w14:paraId="6A7E2C32"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19 февраля</w:t>
      </w:r>
      <w:r w:rsidRPr="00D03F3E">
        <w:rPr>
          <w:rFonts w:ascii="Times New Roman" w:hAnsi="Times New Roman"/>
          <w:color w:val="000000" w:themeColor="text1"/>
          <w:sz w:val="16"/>
          <w:szCs w:val="16"/>
        </w:rPr>
        <w:t xml:space="preserve"> в 1943 году завершилось наступление войск Ленинградского и Волховского фронтов на мгинском направлении (территориальных успехов не имело). Завершилась Ворошиловградская операция: немецкие войска были отброшены на 120-250 км, освобождена северная часть Донбасса. Завершилась Ростовская операция: войска Южного фронта продвинулись на 300-450 км, освободили большую часть Ростовской области, нанесли существенное поражение группе армий «Дон» и частям 1-й танковой армии группы армий «А», но отрезать пути отхода противника с Северного Кавказа не смогли (15045).</w:t>
      </w:r>
    </w:p>
    <w:p w14:paraId="05725BB9" w14:textId="77777777" w:rsidR="00E12800" w:rsidRPr="00D03F3E" w:rsidRDefault="00E12800" w:rsidP="00D03F3E">
      <w:pPr>
        <w:spacing w:after="0" w:line="240" w:lineRule="auto"/>
        <w:jc w:val="both"/>
        <w:rPr>
          <w:rFonts w:ascii="Times New Roman" w:hAnsi="Times New Roman"/>
          <w:color w:val="000000" w:themeColor="text1"/>
          <w:sz w:val="16"/>
          <w:szCs w:val="16"/>
        </w:rPr>
      </w:pPr>
    </w:p>
    <w:p w14:paraId="0F358E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февраля 1943 немцы крупными силами нанесли два удара из районов северо-западнее Краснодара и южнее Красноармейского по правому крылу Ю-ЗФ. К марту вынудили нас отойти за Северный Донец и там остановили (340,112).</w:t>
      </w:r>
    </w:p>
    <w:p w14:paraId="14B0D9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90EC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19-21 февраля 1943 немцы начали контрнаступление в направлении Харькова (1037).</w:t>
      </w:r>
    </w:p>
    <w:p w14:paraId="55CDF1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B761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19-21 февраля 1943 немцы начали контрнаступление в направлении Харькова (1037).</w:t>
      </w:r>
    </w:p>
    <w:p w14:paraId="0E1C5C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0BF39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февраля 1943 Гитлер посетил фельдмаршала Манштейна в его штабе в Запорожье, пообещав вскоре задействовать новое секретное “чудо-оружие” (4962).</w:t>
      </w:r>
    </w:p>
    <w:p w14:paraId="728BE63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0C36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февраля 1943 г. чет</w:t>
      </w:r>
      <w:r w:rsidRPr="00D03F3E">
        <w:rPr>
          <w:rFonts w:ascii="Times New Roman" w:hAnsi="Times New Roman"/>
          <w:color w:val="000000" w:themeColor="text1"/>
          <w:sz w:val="16"/>
          <w:szCs w:val="16"/>
        </w:rPr>
        <w:softHyphen/>
        <w:t>верка финских ДБ-3 участвовала в на</w:t>
      </w:r>
      <w:r w:rsidRPr="00D03F3E">
        <w:rPr>
          <w:rFonts w:ascii="Times New Roman" w:hAnsi="Times New Roman"/>
          <w:color w:val="000000" w:themeColor="text1"/>
          <w:sz w:val="16"/>
          <w:szCs w:val="16"/>
        </w:rPr>
        <w:softHyphen/>
        <w:t>лете на аэродром Сегежа. На обратном пути в ненастную погоду машины заблу</w:t>
      </w:r>
      <w:r w:rsidRPr="00D03F3E">
        <w:rPr>
          <w:rFonts w:ascii="Times New Roman" w:hAnsi="Times New Roman"/>
          <w:color w:val="000000" w:themeColor="text1"/>
          <w:sz w:val="16"/>
          <w:szCs w:val="16"/>
        </w:rPr>
        <w:softHyphen/>
        <w:t>дились и совершили вынужденные по</w:t>
      </w:r>
      <w:r w:rsidRPr="00D03F3E">
        <w:rPr>
          <w:rFonts w:ascii="Times New Roman" w:hAnsi="Times New Roman"/>
          <w:color w:val="000000" w:themeColor="text1"/>
          <w:sz w:val="16"/>
          <w:szCs w:val="16"/>
        </w:rPr>
        <w:softHyphen/>
        <w:t>садки в разных местах. Одна из них за</w:t>
      </w:r>
      <w:r w:rsidRPr="00D03F3E">
        <w:rPr>
          <w:rFonts w:ascii="Times New Roman" w:hAnsi="Times New Roman"/>
          <w:color w:val="000000" w:themeColor="text1"/>
          <w:sz w:val="16"/>
          <w:szCs w:val="16"/>
        </w:rPr>
        <w:softHyphen/>
        <w:t>кончилась катастрофой (10734,87).</w:t>
      </w:r>
    </w:p>
    <w:p w14:paraId="7B8B41B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6425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19 февраля 1943 г. соединение Ковпака в ходе очередного рейда остановилось на кратковременный отдых в селе Великий Стыдин Ровенской области. На тот момент насыщенность автоматическим стрелковым оружием у ковпаковцев была очень высокой, причем в первую очередь - за счет ручных пулеметов. На вооружении, кроме советских, были трофейные немецкие, чешские, венгерские, итальянские, польские и даже бельгийские пулеметы, всего около трехсот, то есть в среднем один пулемет на пятерых бойцов. Вскоре оказалось, что село находится прямо на трассе регулярных полетов немецкой транспортной авиации. В первый же день стоянки при пролете над селом на небольшой высоте транспортного Ju 52/3m по нему открыли частую, хотя и бессистемную ружейно-пулеметную стрельбу. “Юнкере” все же получил повреждения и сел на вынужденную, подломив шасси, у деревни Холоневичи. Экипажу удалось скрыться, а самолет моментально разграбили местные жители. Выехавшей на санях к месту посадки специальной диверсионной группе осталось только сжечь аварийную машину с серийным номером 0136. После этого случая в соединении были созданы специальные дежурные группы пулеметчиков, которые сменялись каждые два часа, размечены секторы наблюдения и ведения </w:t>
      </w:r>
      <w:r w:rsidRPr="00D03F3E">
        <w:rPr>
          <w:rFonts w:ascii="Times New Roman" w:hAnsi="Times New Roman"/>
          <w:color w:val="000000" w:themeColor="text1"/>
          <w:sz w:val="16"/>
          <w:szCs w:val="16"/>
        </w:rPr>
        <w:lastRenderedPageBreak/>
        <w:t>огня (9974).</w:t>
      </w:r>
    </w:p>
    <w:p w14:paraId="250ED9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B9C688"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19 февраля</w:t>
      </w:r>
      <w:r w:rsidRPr="00D03F3E">
        <w:rPr>
          <w:rFonts w:ascii="Times New Roman" w:hAnsi="Times New Roman"/>
          <w:color w:val="000000" w:themeColor="text1"/>
          <w:sz w:val="16"/>
          <w:szCs w:val="16"/>
        </w:rPr>
        <w:t xml:space="preserve"> в 1943 году Адольф Гитлер посещает фельдмаршала Манштейна в его штабе в Запорожье, обещая вскоре задействовать новое секретное "чудо-оружие" (15045).</w:t>
      </w:r>
    </w:p>
    <w:p w14:paraId="03022581" w14:textId="77777777" w:rsidR="00E12800" w:rsidRPr="00D03F3E" w:rsidRDefault="00E12800" w:rsidP="00D03F3E">
      <w:pPr>
        <w:spacing w:after="0" w:line="240" w:lineRule="auto"/>
        <w:jc w:val="both"/>
        <w:rPr>
          <w:rFonts w:ascii="Times New Roman" w:hAnsi="Times New Roman"/>
          <w:color w:val="000000" w:themeColor="text1"/>
          <w:sz w:val="16"/>
          <w:szCs w:val="16"/>
        </w:rPr>
      </w:pPr>
    </w:p>
    <w:p w14:paraId="04656E07"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19 февраля</w:t>
      </w:r>
      <w:r w:rsidRPr="00D03F3E">
        <w:rPr>
          <w:rFonts w:ascii="Times New Roman" w:hAnsi="Times New Roman"/>
          <w:color w:val="000000" w:themeColor="text1"/>
          <w:sz w:val="16"/>
          <w:szCs w:val="16"/>
        </w:rPr>
        <w:t xml:space="preserve"> в 1943 году начало контрнаступления немецких войск под Павлоградом (15045).</w:t>
      </w:r>
    </w:p>
    <w:p w14:paraId="423AC3CF" w14:textId="77777777" w:rsidR="00E12800" w:rsidRPr="00D03F3E" w:rsidRDefault="00E12800" w:rsidP="00D03F3E">
      <w:pPr>
        <w:spacing w:after="0" w:line="240" w:lineRule="auto"/>
        <w:jc w:val="both"/>
        <w:rPr>
          <w:rFonts w:ascii="Times New Roman" w:hAnsi="Times New Roman"/>
          <w:color w:val="000000" w:themeColor="text1"/>
          <w:sz w:val="16"/>
          <w:szCs w:val="16"/>
        </w:rPr>
      </w:pPr>
    </w:p>
    <w:p w14:paraId="6376AEAF" w14:textId="77777777" w:rsidR="00620080" w:rsidRPr="00D03F3E" w:rsidRDefault="00620080"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5B185FF7" w14:textId="77777777" w:rsidR="00620080" w:rsidRPr="00D03F3E" w:rsidRDefault="00620080"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267240" w14:textId="77777777" w:rsidR="00620080" w:rsidRPr="00D03F3E" w:rsidRDefault="00620080" w:rsidP="00D03F3E">
      <w:pPr>
        <w:pStyle w:val="rteright"/>
        <w:spacing w:before="0" w:beforeAutospacing="0" w:after="0" w:afterAutospacing="0"/>
        <w:jc w:val="both"/>
        <w:rPr>
          <w:color w:val="000000" w:themeColor="text1"/>
          <w:sz w:val="16"/>
          <w:szCs w:val="16"/>
        </w:rPr>
      </w:pPr>
      <w:r w:rsidRPr="00D03F3E">
        <w:rPr>
          <w:color w:val="000000" w:themeColor="text1"/>
          <w:sz w:val="16"/>
          <w:szCs w:val="16"/>
        </w:rPr>
        <w:t>Не позднее 19 февраля 1943 г.[</w:t>
      </w:r>
      <w:bookmarkStart w:id="9" w:name="_ftnref1"/>
      <w:r w:rsidR="00E319F0" w:rsidRPr="00D03F3E">
        <w:rPr>
          <w:color w:val="000000" w:themeColor="text1"/>
          <w:sz w:val="16"/>
          <w:szCs w:val="16"/>
          <w:vertAlign w:val="superscript"/>
        </w:rPr>
        <w:fldChar w:fldCharType="begin"/>
      </w:r>
      <w:r w:rsidRPr="00D03F3E">
        <w:rPr>
          <w:color w:val="000000" w:themeColor="text1"/>
          <w:sz w:val="16"/>
          <w:szCs w:val="16"/>
          <w:vertAlign w:val="superscript"/>
        </w:rPr>
        <w:instrText xml:space="preserve"> HYPERLINK "http://istmat.info/node/62257" \l "_ftnref2" </w:instrText>
      </w:r>
      <w:r w:rsidR="00E319F0" w:rsidRPr="00D03F3E">
        <w:rPr>
          <w:color w:val="000000" w:themeColor="text1"/>
          <w:sz w:val="16"/>
          <w:szCs w:val="16"/>
          <w:vertAlign w:val="superscript"/>
        </w:rPr>
        <w:fldChar w:fldCharType="separate"/>
      </w:r>
      <w:r w:rsidRPr="00D03F3E">
        <w:rPr>
          <w:rStyle w:val="a5"/>
          <w:color w:val="000000" w:themeColor="text1"/>
          <w:sz w:val="16"/>
          <w:szCs w:val="16"/>
          <w:vertAlign w:val="superscript"/>
        </w:rPr>
        <w:t>*</w:t>
      </w:r>
      <w:r w:rsidR="00E319F0" w:rsidRPr="00D03F3E">
        <w:rPr>
          <w:color w:val="000000" w:themeColor="text1"/>
          <w:sz w:val="16"/>
          <w:szCs w:val="16"/>
          <w:vertAlign w:val="superscript"/>
        </w:rPr>
        <w:fldChar w:fldCharType="end"/>
      </w:r>
      <w:bookmarkEnd w:id="9"/>
      <w:r w:rsidRPr="00D03F3E">
        <w:rPr>
          <w:color w:val="000000" w:themeColor="text1"/>
          <w:sz w:val="16"/>
          <w:szCs w:val="16"/>
        </w:rPr>
        <w:t>]</w:t>
      </w:r>
    </w:p>
    <w:p w14:paraId="4AF9F431" w14:textId="77777777" w:rsidR="00620080" w:rsidRPr="00D03F3E" w:rsidRDefault="00620080" w:rsidP="00D03F3E">
      <w:pPr>
        <w:pStyle w:val="rteright"/>
        <w:spacing w:before="0" w:beforeAutospacing="0" w:after="0" w:afterAutospacing="0"/>
        <w:jc w:val="both"/>
        <w:rPr>
          <w:color w:val="000000" w:themeColor="text1"/>
          <w:sz w:val="16"/>
          <w:szCs w:val="16"/>
        </w:rPr>
      </w:pPr>
      <w:r w:rsidRPr="00D03F3E">
        <w:rPr>
          <w:color w:val="000000" w:themeColor="text1"/>
          <w:sz w:val="16"/>
          <w:szCs w:val="16"/>
        </w:rPr>
        <w:t>Секретно[</w:t>
      </w:r>
      <w:bookmarkStart w:id="10" w:name="_ftnref3"/>
      <w:r w:rsidR="00E319F0" w:rsidRPr="00D03F3E">
        <w:rPr>
          <w:color w:val="000000" w:themeColor="text1"/>
          <w:sz w:val="16"/>
          <w:szCs w:val="16"/>
          <w:vertAlign w:val="superscript"/>
        </w:rPr>
        <w:fldChar w:fldCharType="begin"/>
      </w:r>
      <w:r w:rsidRPr="00D03F3E">
        <w:rPr>
          <w:color w:val="000000" w:themeColor="text1"/>
          <w:sz w:val="16"/>
          <w:szCs w:val="16"/>
          <w:vertAlign w:val="superscript"/>
        </w:rPr>
        <w:instrText xml:space="preserve"> HYPERLINK "http://istmat.info/node/62257" \l "_ftnref4" </w:instrText>
      </w:r>
      <w:r w:rsidR="00E319F0" w:rsidRPr="00D03F3E">
        <w:rPr>
          <w:color w:val="000000" w:themeColor="text1"/>
          <w:sz w:val="16"/>
          <w:szCs w:val="16"/>
          <w:vertAlign w:val="superscript"/>
        </w:rPr>
        <w:fldChar w:fldCharType="separate"/>
      </w:r>
      <w:r w:rsidRPr="00D03F3E">
        <w:rPr>
          <w:rStyle w:val="a5"/>
          <w:color w:val="000000" w:themeColor="text1"/>
          <w:sz w:val="16"/>
          <w:szCs w:val="16"/>
          <w:vertAlign w:val="superscript"/>
        </w:rPr>
        <w:t>**</w:t>
      </w:r>
      <w:r w:rsidR="00E319F0" w:rsidRPr="00D03F3E">
        <w:rPr>
          <w:color w:val="000000" w:themeColor="text1"/>
          <w:sz w:val="16"/>
          <w:szCs w:val="16"/>
          <w:vertAlign w:val="superscript"/>
        </w:rPr>
        <w:fldChar w:fldCharType="end"/>
      </w:r>
      <w:bookmarkEnd w:id="10"/>
      <w:r w:rsidRPr="00D03F3E">
        <w:rPr>
          <w:color w:val="000000" w:themeColor="text1"/>
          <w:sz w:val="16"/>
          <w:szCs w:val="16"/>
        </w:rPr>
        <w:t>]</w:t>
      </w:r>
    </w:p>
    <w:p w14:paraId="7219C7B3" w14:textId="77777777" w:rsidR="00620080" w:rsidRPr="00D03F3E" w:rsidRDefault="00620080" w:rsidP="00D03F3E">
      <w:pPr>
        <w:pStyle w:val="rtecenter"/>
        <w:spacing w:before="0" w:beforeAutospacing="0" w:after="0" w:afterAutospacing="0"/>
        <w:jc w:val="both"/>
        <w:rPr>
          <w:color w:val="000000" w:themeColor="text1"/>
          <w:sz w:val="16"/>
          <w:szCs w:val="16"/>
        </w:rPr>
      </w:pPr>
      <w:r w:rsidRPr="00D03F3E">
        <w:rPr>
          <w:color w:val="000000" w:themeColor="text1"/>
          <w:sz w:val="16"/>
          <w:szCs w:val="16"/>
        </w:rPr>
        <w:t>НАЧАЛЬНИКУ УНХУ при ГОСПЛАНЕ СССР</w:t>
      </w:r>
    </w:p>
    <w:p w14:paraId="620F1E4E" w14:textId="77777777" w:rsidR="00620080" w:rsidRPr="00D03F3E" w:rsidRDefault="00620080" w:rsidP="00D03F3E">
      <w:pPr>
        <w:pStyle w:val="rteright"/>
        <w:spacing w:before="0" w:beforeAutospacing="0" w:after="0" w:afterAutospacing="0"/>
        <w:jc w:val="both"/>
        <w:rPr>
          <w:color w:val="000000" w:themeColor="text1"/>
          <w:sz w:val="16"/>
          <w:szCs w:val="16"/>
        </w:rPr>
      </w:pPr>
      <w:r w:rsidRPr="00D03F3E">
        <w:rPr>
          <w:color w:val="000000" w:themeColor="text1"/>
          <w:sz w:val="16"/>
          <w:szCs w:val="16"/>
        </w:rPr>
        <w:t>тов. СТАРОВСКОМУ В.Н.</w:t>
      </w:r>
    </w:p>
    <w:p w14:paraId="790A6EF9" w14:textId="77777777" w:rsidR="00620080" w:rsidRPr="00D03F3E" w:rsidRDefault="00620080"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По решению Правительства СССР в составе НКФ СССР создана группа денежного обращения со специальными заданиями. Начальник группы — профессор Дьяченко В. П.</w:t>
      </w:r>
    </w:p>
    <w:p w14:paraId="20504217" w14:textId="77777777" w:rsidR="00620080" w:rsidRPr="00D03F3E" w:rsidRDefault="00620080" w:rsidP="00D03F3E">
      <w:pPr>
        <w:pStyle w:val="rtejustify"/>
        <w:spacing w:before="0" w:beforeAutospacing="0" w:after="0" w:afterAutospacing="0"/>
        <w:jc w:val="both"/>
        <w:rPr>
          <w:color w:val="000000" w:themeColor="text1"/>
          <w:sz w:val="16"/>
          <w:szCs w:val="16"/>
        </w:rPr>
      </w:pPr>
      <w:r w:rsidRPr="00D03F3E">
        <w:rPr>
          <w:color w:val="000000" w:themeColor="text1"/>
          <w:sz w:val="16"/>
          <w:szCs w:val="16"/>
        </w:rPr>
        <w:t>Прошу Вас предоставить вышеназванной группе право использования материалов УНХУ по вопросам товарооборота, заготовительных, отпускных и розничных цен, валовой и товарной продукции, себестоимости, оборотных средств, заработной платы, бюджетов рабочих, служащих, ИТР и колхозников, а также оказать содействие группе в разработке указанных материалов.</w:t>
      </w:r>
    </w:p>
    <w:p w14:paraId="42043B1B" w14:textId="77777777" w:rsidR="00620080" w:rsidRPr="00D03F3E" w:rsidRDefault="00620080" w:rsidP="00D03F3E">
      <w:pPr>
        <w:pStyle w:val="ae"/>
        <w:spacing w:before="0" w:after="0"/>
        <w:jc w:val="both"/>
        <w:rPr>
          <w:color w:val="000000" w:themeColor="text1"/>
          <w:sz w:val="16"/>
          <w:szCs w:val="16"/>
        </w:rPr>
      </w:pPr>
      <w:r w:rsidRPr="00D03F3E">
        <w:rPr>
          <w:color w:val="000000" w:themeColor="text1"/>
          <w:sz w:val="16"/>
          <w:szCs w:val="16"/>
        </w:rPr>
        <w:t>Перечень материалов, необходимых для работы группы денежного обращения, прилагается.</w:t>
      </w:r>
    </w:p>
    <w:p w14:paraId="375C50FA" w14:textId="77777777" w:rsidR="00620080" w:rsidRPr="00D03F3E" w:rsidRDefault="00620080" w:rsidP="00D03F3E">
      <w:pPr>
        <w:pStyle w:val="rteright"/>
        <w:spacing w:before="0" w:beforeAutospacing="0" w:after="0" w:afterAutospacing="0"/>
        <w:jc w:val="both"/>
        <w:rPr>
          <w:color w:val="000000" w:themeColor="text1"/>
          <w:sz w:val="16"/>
          <w:szCs w:val="16"/>
        </w:rPr>
      </w:pPr>
      <w:r w:rsidRPr="00D03F3E">
        <w:rPr>
          <w:color w:val="000000" w:themeColor="text1"/>
          <w:sz w:val="16"/>
          <w:szCs w:val="16"/>
        </w:rPr>
        <w:t>Народный комиссар финансов Союза ССР</w:t>
      </w:r>
    </w:p>
    <w:p w14:paraId="6B9B5C50" w14:textId="77777777" w:rsidR="00620080" w:rsidRPr="00D03F3E" w:rsidRDefault="00620080" w:rsidP="00D03F3E">
      <w:pPr>
        <w:pStyle w:val="rteright"/>
        <w:spacing w:before="0" w:beforeAutospacing="0" w:after="0" w:afterAutospacing="0"/>
        <w:jc w:val="both"/>
        <w:rPr>
          <w:color w:val="000000" w:themeColor="text1"/>
          <w:sz w:val="16"/>
          <w:szCs w:val="16"/>
        </w:rPr>
      </w:pPr>
      <w:r w:rsidRPr="00D03F3E">
        <w:rPr>
          <w:color w:val="000000" w:themeColor="text1"/>
          <w:sz w:val="16"/>
          <w:szCs w:val="16"/>
        </w:rPr>
        <w:t>(А. Зверев)</w:t>
      </w:r>
    </w:p>
    <w:p w14:paraId="42314C91" w14:textId="77777777" w:rsidR="00620080" w:rsidRPr="00D03F3E" w:rsidRDefault="00620080" w:rsidP="00D03F3E">
      <w:pPr>
        <w:pStyle w:val="rtejustify"/>
        <w:spacing w:before="0" w:beforeAutospacing="0" w:after="0" w:afterAutospacing="0"/>
        <w:jc w:val="both"/>
        <w:rPr>
          <w:i/>
          <w:iCs/>
          <w:color w:val="000000" w:themeColor="text1"/>
          <w:sz w:val="16"/>
          <w:szCs w:val="16"/>
        </w:rPr>
      </w:pPr>
      <w:r w:rsidRPr="00D03F3E">
        <w:rPr>
          <w:color w:val="000000" w:themeColor="text1"/>
          <w:sz w:val="16"/>
          <w:szCs w:val="16"/>
        </w:rPr>
        <w:t>[</w:t>
      </w:r>
      <w:bookmarkStart w:id="11" w:name="_ftnref2"/>
      <w:r w:rsidR="00E319F0" w:rsidRPr="00D03F3E">
        <w:rPr>
          <w:color w:val="000000" w:themeColor="text1"/>
          <w:sz w:val="16"/>
          <w:szCs w:val="16"/>
          <w:vertAlign w:val="superscript"/>
        </w:rPr>
        <w:fldChar w:fldCharType="begin"/>
      </w:r>
      <w:r w:rsidRPr="00D03F3E">
        <w:rPr>
          <w:color w:val="000000" w:themeColor="text1"/>
          <w:sz w:val="16"/>
          <w:szCs w:val="16"/>
          <w:vertAlign w:val="superscript"/>
        </w:rPr>
        <w:instrText xml:space="preserve"> HYPERLINK "http://istmat.info/node/62257" \l "_ftnref1" </w:instrText>
      </w:r>
      <w:r w:rsidR="00E319F0" w:rsidRPr="00D03F3E">
        <w:rPr>
          <w:color w:val="000000" w:themeColor="text1"/>
          <w:sz w:val="16"/>
          <w:szCs w:val="16"/>
          <w:vertAlign w:val="superscript"/>
        </w:rPr>
        <w:fldChar w:fldCharType="separate"/>
      </w:r>
      <w:r w:rsidRPr="00D03F3E">
        <w:rPr>
          <w:rStyle w:val="a5"/>
          <w:color w:val="000000" w:themeColor="text1"/>
          <w:sz w:val="16"/>
          <w:szCs w:val="16"/>
          <w:vertAlign w:val="superscript"/>
        </w:rPr>
        <w:t>*</w:t>
      </w:r>
      <w:r w:rsidR="00E319F0" w:rsidRPr="00D03F3E">
        <w:rPr>
          <w:color w:val="000000" w:themeColor="text1"/>
          <w:sz w:val="16"/>
          <w:szCs w:val="16"/>
          <w:vertAlign w:val="superscript"/>
        </w:rPr>
        <w:fldChar w:fldCharType="end"/>
      </w:r>
      <w:bookmarkEnd w:id="11"/>
      <w:r w:rsidRPr="00D03F3E">
        <w:rPr>
          <w:color w:val="000000" w:themeColor="text1"/>
          <w:sz w:val="16"/>
          <w:szCs w:val="16"/>
        </w:rPr>
        <w:t>]</w:t>
      </w:r>
      <w:r w:rsidRPr="00D03F3E">
        <w:rPr>
          <w:i/>
          <w:iCs/>
          <w:color w:val="000000" w:themeColor="text1"/>
          <w:sz w:val="16"/>
          <w:szCs w:val="16"/>
        </w:rPr>
        <w:t> </w:t>
      </w:r>
      <w:r w:rsidRPr="00D03F3E">
        <w:rPr>
          <w:rStyle w:val="af0"/>
          <w:i w:val="0"/>
          <w:iCs w:val="0"/>
          <w:color w:val="000000" w:themeColor="text1"/>
          <w:sz w:val="16"/>
          <w:szCs w:val="16"/>
        </w:rPr>
        <w:t>Датируется по времени получения записки В.П. Дьяченко, о котором свидетельствуют соответствующая помета и подпись получателя в левом нижнем углу документа.</w:t>
      </w:r>
    </w:p>
    <w:p w14:paraId="785338E7" w14:textId="77777777" w:rsidR="00620080" w:rsidRPr="00D03F3E" w:rsidRDefault="00620080" w:rsidP="00D03F3E">
      <w:pPr>
        <w:pStyle w:val="rtejustify"/>
        <w:spacing w:before="0" w:beforeAutospacing="0" w:after="0" w:afterAutospacing="0"/>
        <w:jc w:val="both"/>
        <w:rPr>
          <w:i/>
          <w:iCs/>
          <w:color w:val="000000" w:themeColor="text1"/>
          <w:sz w:val="16"/>
          <w:szCs w:val="16"/>
        </w:rPr>
      </w:pPr>
      <w:r w:rsidRPr="00D03F3E">
        <w:rPr>
          <w:color w:val="000000" w:themeColor="text1"/>
          <w:sz w:val="16"/>
          <w:szCs w:val="16"/>
        </w:rPr>
        <w:t>[</w:t>
      </w:r>
      <w:hyperlink r:id="rId68" w:anchor="_ftnref3" w:history="1">
        <w:r w:rsidRPr="00D03F3E">
          <w:rPr>
            <w:rStyle w:val="a5"/>
            <w:color w:val="000000" w:themeColor="text1"/>
            <w:sz w:val="16"/>
            <w:szCs w:val="16"/>
            <w:vertAlign w:val="superscript"/>
          </w:rPr>
          <w:t>**</w:t>
        </w:r>
      </w:hyperlink>
      <w:r w:rsidRPr="00D03F3E">
        <w:rPr>
          <w:color w:val="000000" w:themeColor="text1"/>
          <w:sz w:val="16"/>
          <w:szCs w:val="16"/>
        </w:rPr>
        <w:t>]</w:t>
      </w:r>
      <w:r w:rsidRPr="00D03F3E">
        <w:rPr>
          <w:i/>
          <w:iCs/>
          <w:color w:val="000000" w:themeColor="text1"/>
          <w:sz w:val="16"/>
          <w:szCs w:val="16"/>
        </w:rPr>
        <w:t> </w:t>
      </w:r>
      <w:r w:rsidRPr="00D03F3E">
        <w:rPr>
          <w:rStyle w:val="af0"/>
          <w:i w:val="0"/>
          <w:iCs w:val="0"/>
          <w:color w:val="000000" w:themeColor="text1"/>
          <w:sz w:val="16"/>
          <w:szCs w:val="16"/>
        </w:rPr>
        <w:t>Эта помета, включая подчеркивание, сделана на машинописной копии от руки (19660).</w:t>
      </w:r>
    </w:p>
    <w:p w14:paraId="2BBAFB24" w14:textId="77777777" w:rsidR="00620080" w:rsidRPr="00D03F3E" w:rsidRDefault="00620080" w:rsidP="00D03F3E">
      <w:pPr>
        <w:spacing w:after="0" w:line="240" w:lineRule="auto"/>
        <w:jc w:val="both"/>
        <w:rPr>
          <w:rFonts w:ascii="Times New Roman" w:hAnsi="Times New Roman"/>
          <w:color w:val="000000" w:themeColor="text1"/>
          <w:sz w:val="16"/>
          <w:szCs w:val="16"/>
        </w:rPr>
      </w:pPr>
    </w:p>
    <w:p w14:paraId="3F416C6B" w14:textId="77777777" w:rsidR="00E12800"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4BE924A1" w14:textId="77777777" w:rsidR="00E12800" w:rsidRPr="00D03F3E" w:rsidRDefault="00E12800"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D7837C" w14:textId="77777777" w:rsidR="00E20571" w:rsidRPr="00D03F3E" w:rsidRDefault="00E2057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19 февраля 1943 начальник военно - морских операций адмирал Эрнест Дж Кинг возлагает ответственность за разработку вертолета на департамент военно - морского флота в рамках береговой охраны Соединенных Штатов (20376).</w:t>
      </w:r>
    </w:p>
    <w:p w14:paraId="66DBE285" w14:textId="77777777" w:rsidR="00E20571" w:rsidRPr="00D03F3E" w:rsidRDefault="00E20571" w:rsidP="00D03F3E">
      <w:pPr>
        <w:spacing w:after="0" w:line="240" w:lineRule="auto"/>
        <w:jc w:val="both"/>
        <w:rPr>
          <w:rFonts w:ascii="Times New Roman" w:hAnsi="Times New Roman"/>
          <w:color w:val="0070C0"/>
          <w:sz w:val="16"/>
          <w:szCs w:val="16"/>
        </w:rPr>
      </w:pPr>
    </w:p>
    <w:p w14:paraId="4A2F1392"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19 февраля</w:t>
      </w:r>
      <w:r w:rsidRPr="00D03F3E">
        <w:rPr>
          <w:rFonts w:ascii="Times New Roman" w:hAnsi="Times New Roman"/>
          <w:color w:val="000000" w:themeColor="text1"/>
          <w:sz w:val="16"/>
          <w:szCs w:val="16"/>
        </w:rPr>
        <w:t xml:space="preserve"> в 1943 году министр пропаганды Й.Геббельс выступая в берлинском дворце спорта призвал к "Тотальной войне" (15045).</w:t>
      </w:r>
    </w:p>
    <w:p w14:paraId="0B0EB523" w14:textId="77777777" w:rsidR="00E12800" w:rsidRPr="00D03F3E" w:rsidRDefault="00E12800" w:rsidP="00D03F3E">
      <w:pPr>
        <w:spacing w:after="0" w:line="240" w:lineRule="auto"/>
        <w:jc w:val="both"/>
        <w:rPr>
          <w:rFonts w:ascii="Times New Roman" w:hAnsi="Times New Roman"/>
          <w:color w:val="000000" w:themeColor="text1"/>
          <w:sz w:val="16"/>
          <w:szCs w:val="16"/>
        </w:rPr>
      </w:pPr>
    </w:p>
    <w:p w14:paraId="4E47C52C"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19 февраля</w:t>
      </w:r>
      <w:r w:rsidRPr="00D03F3E">
        <w:rPr>
          <w:rFonts w:ascii="Times New Roman" w:hAnsi="Times New Roman"/>
          <w:color w:val="000000" w:themeColor="text1"/>
          <w:sz w:val="16"/>
          <w:szCs w:val="16"/>
        </w:rPr>
        <w:t xml:space="preserve"> в 1943 году в беседе с послом Японии в Германии Х.Осимой фон Риббентроп настаивал на объявлении Японией войны СССР (15045).</w:t>
      </w:r>
    </w:p>
    <w:p w14:paraId="32641170" w14:textId="77777777" w:rsidR="00E12800" w:rsidRPr="00D03F3E" w:rsidRDefault="00E12800" w:rsidP="00D03F3E">
      <w:pPr>
        <w:spacing w:after="0" w:line="240" w:lineRule="auto"/>
        <w:jc w:val="both"/>
        <w:rPr>
          <w:rFonts w:ascii="Times New Roman" w:hAnsi="Times New Roman"/>
          <w:color w:val="000000" w:themeColor="text1"/>
          <w:sz w:val="16"/>
          <w:szCs w:val="16"/>
        </w:rPr>
      </w:pPr>
    </w:p>
    <w:p w14:paraId="43FDB11B"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19 февраля</w:t>
      </w:r>
      <w:r w:rsidRPr="00D03F3E">
        <w:rPr>
          <w:rFonts w:ascii="Times New Roman" w:hAnsi="Times New Roman"/>
          <w:color w:val="000000" w:themeColor="text1"/>
          <w:sz w:val="16"/>
          <w:szCs w:val="16"/>
        </w:rPr>
        <w:t xml:space="preserve"> в 1943 году американский флот сорвал попытку японцев доставить подкрепление на остров Атту (Алеутская гряда) (15045).</w:t>
      </w:r>
    </w:p>
    <w:p w14:paraId="76803438" w14:textId="77777777" w:rsidR="00E12800" w:rsidRPr="00D03F3E" w:rsidRDefault="00E12800" w:rsidP="00D03F3E">
      <w:pPr>
        <w:spacing w:after="0" w:line="240" w:lineRule="auto"/>
        <w:jc w:val="both"/>
        <w:rPr>
          <w:rFonts w:ascii="Times New Roman" w:hAnsi="Times New Roman"/>
          <w:color w:val="000000" w:themeColor="text1"/>
          <w:sz w:val="16"/>
          <w:szCs w:val="16"/>
        </w:rPr>
      </w:pPr>
    </w:p>
    <w:p w14:paraId="2F60394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19818E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E09EE8" w14:textId="77777777" w:rsidR="00237B30" w:rsidRPr="00D03F3E" w:rsidRDefault="00237B30" w:rsidP="00D03F3E">
      <w:pPr>
        <w:spacing w:after="0" w:line="240" w:lineRule="auto"/>
        <w:jc w:val="both"/>
        <w:rPr>
          <w:rFonts w:ascii="Times New Roman" w:hAnsi="Times New Roman"/>
          <w:color w:val="0070C0"/>
          <w:sz w:val="16"/>
          <w:szCs w:val="16"/>
          <w:lang w:eastAsia="ru-RU" w:bidi="ru-RU"/>
        </w:rPr>
      </w:pPr>
      <w:r w:rsidRPr="00D03F3E">
        <w:rPr>
          <w:rFonts w:ascii="Times New Roman" w:hAnsi="Times New Roman"/>
          <w:color w:val="0070C0"/>
          <w:sz w:val="16"/>
          <w:szCs w:val="16"/>
          <w:lang w:eastAsia="ru-RU" w:bidi="ru-RU"/>
        </w:rPr>
        <w:t>20 фев</w:t>
      </w:r>
      <w:r w:rsidRPr="00D03F3E">
        <w:rPr>
          <w:rFonts w:ascii="Times New Roman" w:hAnsi="Times New Roman"/>
          <w:color w:val="0070C0"/>
          <w:sz w:val="16"/>
          <w:szCs w:val="16"/>
          <w:lang w:eastAsia="ru-RU" w:bidi="ru-RU"/>
        </w:rPr>
        <w:softHyphen/>
        <w:t>раля 1943 г. в ходе второго этапа войсковых испытаний на подходе к цели Ту-2 встре</w:t>
      </w:r>
      <w:r w:rsidRPr="00D03F3E">
        <w:rPr>
          <w:rFonts w:ascii="Times New Roman" w:hAnsi="Times New Roman"/>
          <w:color w:val="0070C0"/>
          <w:sz w:val="16"/>
          <w:szCs w:val="16"/>
          <w:lang w:eastAsia="ru-RU" w:bidi="ru-RU"/>
        </w:rPr>
        <w:softHyphen/>
        <w:t>тили три двухмоторных истребителя Мес</w:t>
      </w:r>
      <w:r w:rsidRPr="00D03F3E">
        <w:rPr>
          <w:rFonts w:ascii="Times New Roman" w:hAnsi="Times New Roman"/>
          <w:color w:val="0070C0"/>
          <w:sz w:val="16"/>
          <w:szCs w:val="16"/>
          <w:lang w:eastAsia="ru-RU" w:bidi="ru-RU"/>
        </w:rPr>
        <w:softHyphen/>
        <w:t xml:space="preserve">сершмитт </w:t>
      </w:r>
      <w:r w:rsidRPr="00D03F3E">
        <w:rPr>
          <w:rFonts w:ascii="Times New Roman" w:hAnsi="Times New Roman"/>
          <w:color w:val="0070C0"/>
          <w:sz w:val="16"/>
          <w:szCs w:val="16"/>
          <w:lang w:val="en-US" w:bidi="en-US"/>
        </w:rPr>
        <w:t>Bf</w:t>
      </w:r>
      <w:r w:rsidRPr="00D03F3E">
        <w:rPr>
          <w:rFonts w:ascii="Times New Roman" w:hAnsi="Times New Roman"/>
          <w:color w:val="0070C0"/>
          <w:sz w:val="16"/>
          <w:szCs w:val="16"/>
          <w:lang w:bidi="en-US"/>
        </w:rPr>
        <w:t xml:space="preserve"> </w:t>
      </w:r>
      <w:r w:rsidRPr="00D03F3E">
        <w:rPr>
          <w:rFonts w:ascii="Times New Roman" w:hAnsi="Times New Roman"/>
          <w:color w:val="0070C0"/>
          <w:sz w:val="16"/>
          <w:szCs w:val="16"/>
          <w:lang w:eastAsia="ru-RU" w:bidi="ru-RU"/>
        </w:rPr>
        <w:t>110. Один из них пошел на</w:t>
      </w:r>
      <w:r w:rsidRPr="00D03F3E">
        <w:rPr>
          <w:rFonts w:ascii="Times New Roman" w:hAnsi="Times New Roman"/>
          <w:color w:val="0070C0"/>
          <w:sz w:val="16"/>
          <w:szCs w:val="16"/>
          <w:lang w:eastAsia="ru-RU" w:bidi="ru-RU"/>
        </w:rPr>
        <w:softHyphen/>
        <w:t>встречу бомбардировщику лейтенанта Жувака и открыл огонь с дистанции 500</w:t>
      </w:r>
      <w:r w:rsidRPr="00D03F3E">
        <w:rPr>
          <w:rFonts w:ascii="Times New Roman" w:hAnsi="Times New Roman"/>
          <w:color w:val="0070C0"/>
          <w:sz w:val="16"/>
          <w:szCs w:val="16"/>
          <w:lang w:eastAsia="ru-RU" w:bidi="ru-RU"/>
        </w:rPr>
        <w:softHyphen/>
        <w:t>600 м, но промахнулся. Жувак немного выждал, поймал врага в прицел и с 300 м начал стрелять из носовых пулеметов, а затем дал две очереди из пушек. Сби</w:t>
      </w:r>
      <w:r w:rsidRPr="00D03F3E">
        <w:rPr>
          <w:rFonts w:ascii="Times New Roman" w:hAnsi="Times New Roman"/>
          <w:color w:val="0070C0"/>
          <w:sz w:val="16"/>
          <w:szCs w:val="16"/>
          <w:lang w:eastAsia="ru-RU" w:bidi="ru-RU"/>
        </w:rPr>
        <w:softHyphen/>
        <w:t>тый «мессершмитт» повалился вниз, два других не приняли боя и ушли в облака (21060).</w:t>
      </w:r>
    </w:p>
    <w:p w14:paraId="5D3D0B76" w14:textId="77777777" w:rsidR="00237B30" w:rsidRPr="00D03F3E" w:rsidRDefault="00237B30" w:rsidP="00D03F3E">
      <w:pPr>
        <w:spacing w:after="0" w:line="240" w:lineRule="auto"/>
        <w:jc w:val="both"/>
        <w:rPr>
          <w:rFonts w:ascii="Times New Roman" w:hAnsi="Times New Roman"/>
          <w:color w:val="0070C0"/>
          <w:sz w:val="16"/>
          <w:szCs w:val="16"/>
          <w:lang w:eastAsia="ru-RU" w:bidi="ru-RU"/>
        </w:rPr>
      </w:pPr>
    </w:p>
    <w:p w14:paraId="1A575C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февраля 1943 согласно записи в журнале наблюдения за проектированием, постройкой и испытаниями МиГ-5 2АМ-37 и 2М-82 с 10 по 20 февраля 1943 полеты 2 экз. ДИС (МиГ-5) с М-82 не производились из-за ненормальной работы карбюратора БП (990,8).</w:t>
      </w:r>
    </w:p>
    <w:p w14:paraId="249686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C08D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февраля 1943 ГИ ВВС г-л ИАС Репин писал письмо N 006833с НКАП А.ИШ. "О самолетах Як-1 и Як-9 с М-106П и о том, что дефекты мотора не дают возможности нормальной эксплуатации. Просил устранить дефекты и направить на гос. испытания (1778,132).</w:t>
      </w:r>
    </w:p>
    <w:p w14:paraId="1F1175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1857C6" w14:textId="77777777" w:rsidR="00237B30" w:rsidRPr="00D03F3E" w:rsidRDefault="00237B3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20 февраля 1943 писал Шахурину по поводу Як-1М: «…дефекты мотора (М-106) не дают возможности нормальной эксплуатации…», и требовал дополнительных испытаний двигателя.</w:t>
      </w:r>
    </w:p>
    <w:p w14:paraId="61EC0066" w14:textId="77777777" w:rsidR="00237B30" w:rsidRPr="00D03F3E" w:rsidRDefault="00237B30" w:rsidP="00D03F3E">
      <w:pPr>
        <w:spacing w:after="0" w:line="240" w:lineRule="auto"/>
        <w:jc w:val="both"/>
        <w:rPr>
          <w:rFonts w:ascii="Times New Roman" w:hAnsi="Times New Roman"/>
          <w:color w:val="0070C0"/>
          <w:sz w:val="16"/>
          <w:szCs w:val="16"/>
          <w:lang w:eastAsia="ru-RU" w:bidi="ru-RU"/>
        </w:rPr>
      </w:pPr>
      <w:r w:rsidRPr="00D03F3E">
        <w:rPr>
          <w:rFonts w:ascii="Times New Roman" w:hAnsi="Times New Roman"/>
          <w:color w:val="0070C0"/>
          <w:sz w:val="16"/>
          <w:szCs w:val="16"/>
        </w:rPr>
        <w:t>Специалисты ЛИИ, ЦАГИ и ЦИАМ пытались возражать: дело в системе охлаждения, но повторные стендовые испытания выявили дефекты и самого М-106. В мае его выпуск был остановлен, а 300 серийных двигателей списали.</w:t>
      </w:r>
    </w:p>
    <w:p w14:paraId="35D82F1C" w14:textId="77777777" w:rsidR="00237B30" w:rsidRPr="00D03F3E" w:rsidRDefault="00237B3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Саратовский авиазавод построил 47 серийных Як-1 с М-106, но военные не приняли ни одного (22751).</w:t>
      </w:r>
    </w:p>
    <w:p w14:paraId="419407C9" w14:textId="77777777" w:rsidR="00237B30" w:rsidRPr="00D03F3E" w:rsidRDefault="00237B30" w:rsidP="00D03F3E">
      <w:pPr>
        <w:spacing w:after="0" w:line="240" w:lineRule="auto"/>
        <w:jc w:val="both"/>
        <w:rPr>
          <w:rFonts w:ascii="Times New Roman" w:hAnsi="Times New Roman"/>
          <w:color w:val="0070C0"/>
          <w:sz w:val="16"/>
          <w:szCs w:val="16"/>
          <w:lang w:eastAsia="ru-RU" w:bidi="ru-RU"/>
        </w:rPr>
      </w:pPr>
    </w:p>
    <w:p w14:paraId="7BC5015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FD048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8312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февраля 1943 года была подготовлена справка:</w:t>
      </w:r>
    </w:p>
    <w:p w14:paraId="3371B5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8 НКВ – Свердловск</w:t>
      </w:r>
    </w:p>
    <w:p w14:paraId="2C5539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Заводы №№ 66 и 385 – Златоуст</w:t>
      </w:r>
    </w:p>
    <w:p w14:paraId="5C86D0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621 НКВ – Кокчетав КазССР (9269).</w:t>
      </w:r>
    </w:p>
    <w:p w14:paraId="3AE925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45B7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февраля 1943 вышло Постановление ГКО № 2918 Справка: постановление изъято, подлинник отослан Молотову В.М. 20 февраля 1943 г.РГАНИР, Фонд ГКО, д. 91, лл. 86 (11012).</w:t>
      </w:r>
    </w:p>
    <w:p w14:paraId="16A341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0689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февраля 1943 вышло Распоряжение ГКО № 2919. О мероприятиях по улучшению электроснабжения предприятий гор. Архангельска.РГАНИР, Фонд ГКО, д. 91, лл. 87 (11012).</w:t>
      </w:r>
    </w:p>
    <w:p w14:paraId="65D2C6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134DC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февраля 1943 вышло Распоряжение ГКО № 2921 [О запрещении партийным, советским, военным организациям мобилизовывать грузовой автотранспорт НКстроя, занятый на строительстве танковых заводов.] (7083, 90).</w:t>
      </w:r>
    </w:p>
    <w:p w14:paraId="199B2FF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8B25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20 февраля по 5 марта 1943 на ледовом полигоне в районе Шепелевского маяка полным успехом завершились испытания самоликвидатора мины АМГ-1. В предверии минирования фарватеров следовало ожидать, что большинство мин упадет на лед, но в том, что новая мина АМГ-1 способна пробить лед и остаться после этого в исправном состоянии были определенные сомнения. Кроме того, была нужна гарантия, что не пробившие лед мины не останутся лежать, демаскируя тем самым место постановки. В кратчайшие сроки в условиях блокадного города мастерскими Научно-исследовательского минно-торпедного института было сконструирован и изготовлен самоликвидатор (9965).</w:t>
      </w:r>
    </w:p>
    <w:p w14:paraId="022261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06083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0E75E8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5A8CC6"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20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18D77F5E"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20 февраля наши войска вели наступательные бои на прежних направлениях.</w:t>
      </w:r>
    </w:p>
    <w:p w14:paraId="1E3E0128"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части Н-ского соединения заняли три сильно укреплённых противником населённых пункта. В боях за этот оборонительный рубеж уничтожено более 200 немецких солдат и офицеров, 13 танков и 5 бронемашин. Захвачено 18 автомашин с инженерным имуществом.</w:t>
      </w:r>
    </w:p>
    <w:p w14:paraId="4BBF245C"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Западнее Ровеньков наши войска вели успешные наступательные бои. Н-ская моторизованная часть в результате ожесточённого боя овладела крупным населённым пунктом. Захвачено 14 орудий, 19 пулемётов и несколько складов боеприпасов. На другом участке наши бойцы, отбивая контратаки гитлеровцев, подбили и сожгли 8 немецких танков и истребили до роты пехоты противника.</w:t>
      </w:r>
    </w:p>
    <w:p w14:paraId="7EE2CC89"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Харькова наши войска продолжали наступление. В районе Люботина уничтожено до полка немецкой пехоты, 16 танков, 150 автомашин и 13 самоходных орудий. На другом участке наши танкисты уничтожили 9 немецких танков, 39 автомашин и 8 противотанковых орудий. Захвачены трофеи, в числе которых 4 тяжёлых орудия.</w:t>
      </w:r>
    </w:p>
    <w:p w14:paraId="5DCDB248"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наши части отбивали контратаки гитлеровцев, а частью сил продвигались вперёд. Н-ская часть в ночном бою истребила до 300 немецких солдати офицеров. Захвачено 12 миномётов, 16 пулемётов, много винтовок и 3 радиостанции. На другом участке немцы контратаковали наше подразделение. Пулемётчик младший сержант тов. Шлюхин пробрался во фланг противнику, внезапно открыл огонь и истребил несколько десятков немецких солдат и офицеров. Остальные гитлеровцы беспорядочно отступили.</w:t>
      </w:r>
    </w:p>
    <w:p w14:paraId="373D6094"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Краснодара наши войска заняли ряд крупных населённых пунктов. Противник, стремясь задержать продвижение советских частей, соорудил новые линии обороны и установил минные поля. Стремительной атакой советские бойцы прорвали вражескую линию обороны и продвигаются вперёд. Наши лётчики в воздушных бояхсбили 9 немецких самолётов.</w:t>
      </w:r>
    </w:p>
    <w:p w14:paraId="48AEE13C"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Орловской области, пустил под откос немецкий воинский эшелон. Разбиты паровоз, 4 вагона с живой силой и 7платформ с орудиями и автомашинами. Другой отряд орловских партизан в ожесточённом бою истребил до 100 вражеских солдат и офицеров. Партизанами захвачены большие трофеи.</w:t>
      </w:r>
    </w:p>
    <w:p w14:paraId="7803A1F8"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солдат 166 немецкого маршевого батальона Эрих Фунфаш рассказал: «Наш маршевый батальон был укомплектован солдатами, отозванными из различных частей, находившихся во Франции. 14 января мы выехали поездом в Варшаву. Оттуда батальон был переброшен в Курск. По прибытии на место нам зачитали приказ командования о том, что Курск сильно укреплён и ни при каких условиях не должен быть оставлен. Однако на второй или на третий день началась паника. Оказалось, что русские прорвали оборону. Брошены были все склады и имущество. Многие солдаты батальон аразбежались и оказались в плену».</w:t>
      </w:r>
    </w:p>
    <w:p w14:paraId="3E69ABDE"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Жители станицы Тверская, Краснодарского края, сообщили подробности расправы немецко-фашистских людоедов над семьёй колхозника Багдасара Шабаряна. Группа немецких солдат ворвалась в дом Шабаряна и потребовала молока. Гарпина Шабарян заявила, что у неё осталось немного молока для детей и она его не может отдать. Озверелые бандиты расстреляли всю семью: Багдасара Шабаряна — 80 лет, Гарпину Шабарян — 70 лет, Арута Шабаряна — 47 лет, малолетних детей Аршака, Валентина и Владимира. Гитлеровцы расстреляли семью Шабаряна на глазах всех жителей станицы.» (15046).</w:t>
      </w:r>
    </w:p>
    <w:p w14:paraId="76F33864" w14:textId="77777777" w:rsidR="00E12800" w:rsidRPr="00D03F3E" w:rsidRDefault="00E12800" w:rsidP="00D03F3E">
      <w:pPr>
        <w:spacing w:after="0" w:line="240" w:lineRule="auto"/>
        <w:jc w:val="both"/>
        <w:rPr>
          <w:rFonts w:ascii="Times New Roman" w:hAnsi="Times New Roman"/>
          <w:color w:val="000000" w:themeColor="text1"/>
          <w:sz w:val="16"/>
          <w:szCs w:val="16"/>
        </w:rPr>
      </w:pPr>
    </w:p>
    <w:p w14:paraId="6BC73EE0"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20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55C3FC9A"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февраля на Украине в результате стремительного наступления войска Юго-Западного фронта заняли город и железнодорожный узел Красноград, город и железнодорожный узел Павлоград, а также овладели районным центром и железнодорожной станцией Кегичевка, районным центром и железнодорожной станцией Сахновщина, районным центром и железнодорожной станцией Перещепино.</w:t>
      </w:r>
    </w:p>
    <w:p w14:paraId="5ABE8912"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Курской области наши войска заняли железнодорожный узел Готня, районныйцентр и железнодорожную станцию Томаровка, районные центры Борисовна, Ивня, Красная Яруга.</w:t>
      </w:r>
    </w:p>
    <w:p w14:paraId="5A9D4B4F"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Ростовской области наши войска заняли районный центр Куйбышево и ряд других населённых пунктов.</w:t>
      </w:r>
    </w:p>
    <w:p w14:paraId="5F5EF262"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Краснодара наши войска овладели районным центром Марьянская, крупными населёнными пунктами Новомышастовская, Ильская, Львовская.</w:t>
      </w:r>
    </w:p>
    <w:p w14:paraId="58858DE4"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бои на прежних направлениях.</w:t>
      </w:r>
    </w:p>
    <w:p w14:paraId="16A13A13"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февраля частями нашей авиации на различных участках фронта уничтожено или повреждено до 100 немецких автомашин с войсками и грузами, подавлен огонь 10 артиллерийских батарей, взорван склад боеприпасов, потоплен транспорт противника водоизмещением в 4.000 тонн.</w:t>
      </w:r>
    </w:p>
    <w:p w14:paraId="423DA100"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войска вели наступательные бои и заняли ряд населённых пунктов. В районе Ростова, по неполным данным, нашими войсками захвачено у противника 108 танков, 31 орудие, до 600 автомашин, 48 паровозов, 19 мотовозов, 3.984 железнодорожных вагона, в том числе 106 вагонов с боеприпасами, 21 вагон с кабелем и электрооборудованием, 39 вагонов с хлебом, 16 вагонов с консервами, много вагонов с мотоциклами, велосипедами, автомоторами и другим военным имуществом и снаряжением. На аэродромах захвачено 15 исправных и 180 неисправных немецких самолётов.</w:t>
      </w:r>
    </w:p>
    <w:p w14:paraId="51565C62"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наши войска продолжали наступление и заняли несколько населённых пунктов. Гитлеровцы бросают в бой большое количество танков и мотопехоты. Наши части отбили все контратаки противника и нанесли ему большие потери. Бойцы Н-ской части, продвигаясь вперёд, истребили до 400 немецких солдати офицеров, уничтожили 7 танков и 23 автомашины противника. Захвачены трофеи. Наводчик зенитного орудия т. Степкевич сбил 2 немецких самолёта.</w:t>
      </w:r>
    </w:p>
    <w:p w14:paraId="7922FE34"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Ровеньков наши части вели наступательные бои. В одном крупном населённом пункте захвачены у противника 26 танков, 9 паровозов, 180 автомашин и много другого военного имущества.</w:t>
      </w:r>
    </w:p>
    <w:p w14:paraId="4E7F1297"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западнее Люботина наши войска продолжали наступление. Противник оказывал сильное огневое сопротивление и неоднократно переходил в контратаки. На одном участке бойцы Н-ской части при мощной поддержке артиллерии выбили немцев из сильно укреплённых позиций. Уничтожено 14 орудий и два склада боеприпасов. На другом участке наши моторизованные части с боями продвигались вперёд, заняли несколько населённых пунктов и захватили большие трофеи.</w:t>
      </w:r>
    </w:p>
    <w:p w14:paraId="7BF914E0"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Курска на одном участке батальон немецкой пехоты при поддержке 6 танков перешел в контратаку. Бойцы части, где командиром тов. Бушин, сожгли 4 немецких танка и в рукопашной схватке истребили много вражеских солдат и офицеров.</w:t>
      </w:r>
    </w:p>
    <w:p w14:paraId="1DA2D667"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Украины, совершил успешный налёт на крупный населённый пункт, занятый немцами. Партизаны истребили 70 гитлеровцев, взорвали два склада боеприпасов, захватили 1.200 центнеров зерна и роздали его местным жителям. Группа партизан организовала крушение 3 железнодорожных эшелонов противника, следовавших с живой силой, автомашинами и боеприпасами. Уничтожено 3 паровоза и 53 вагона. Во время крушений убито и ранено много гитлеровцев.</w:t>
      </w:r>
    </w:p>
    <w:p w14:paraId="0B07FF2B"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капрал 1 батареи 1 горно-артиллерийского дивизиона 2 румынской горнострелковой дивизии Георге Белтеке рассказал: «Когда мы достигли селения Баксан, офицеры нам говорили, что пройдут какие-нибудь две-три недели, и война окончится. Капитан Агапий собрал нашу батарею и сказал: «Немецкие войска уже взяли город Сталинград, осталось только захватить Тбилиси и Баку, и румыны поедут к себе на родину». Полковник Някшу во всеуслышание хвастал, что орудия его дивизиона через несколько дней будут обстреливать Баку. Однако на деле всё оказалось иначе. Русские нанесли нам непоправимый удар. Наша дивизия потеряла 75 процентов личного состава. Убит также и полковник Някшу, хваставший, что его подразделения первые ворвутся в Баку. Наши офицеры размякли и растерялись. Во время отступления взаимоотношения между румынами и немцами ещё больше обострились. Германские генералы стараются спасти немецкие войска, а румынские части оставляют на разгром и уничтожение. В Черкесске немцы бросили нас на произвол судьбы, а сами удрали. В этом городе возле каждого дома валялись трупы убитых румын. Наша батарея в полном составе, со всей материальной частью, со всем вооружением сдалась в плен».</w:t>
      </w:r>
    </w:p>
    <w:p w14:paraId="4CD4CE9D"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Гитлеровские людоеды глумились над колхозниками станицы Советская, Ставропольского края. Гитлеровцы арестовали большую группу мирных жителей и бросили в застенок гестапо, где их зверски мучили. В результате стремительного удара части Красной Армии овладели станицей, освободили всех советских граждан и спасли их от смерти.».</w:t>
      </w:r>
    </w:p>
    <w:p w14:paraId="1B074D81"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023519FF"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города Красноград и Павлоград.</w:t>
      </w:r>
    </w:p>
    <w:p w14:paraId="4A32EDBB"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февраля на Украине в результате стремительного наступления войска Юго-Западного фронта заняли город и железнодорожный узел Красноград, город ижелезнодорожный узел Павлоград.» (15046).</w:t>
      </w:r>
    </w:p>
    <w:p w14:paraId="1ED6EB37" w14:textId="77777777" w:rsidR="00E12800" w:rsidRPr="00D03F3E" w:rsidRDefault="00E12800" w:rsidP="00D03F3E">
      <w:pPr>
        <w:spacing w:after="0" w:line="240" w:lineRule="auto"/>
        <w:jc w:val="both"/>
        <w:rPr>
          <w:rFonts w:ascii="Times New Roman" w:hAnsi="Times New Roman"/>
          <w:color w:val="000000" w:themeColor="text1"/>
          <w:sz w:val="16"/>
          <w:szCs w:val="16"/>
        </w:rPr>
      </w:pPr>
    </w:p>
    <w:p w14:paraId="0BF7382F" w14:textId="77777777" w:rsidR="00237B30" w:rsidRPr="00D03F3E" w:rsidRDefault="00237B30" w:rsidP="00D03F3E">
      <w:pPr>
        <w:pStyle w:val="36"/>
        <w:shd w:val="clear" w:color="auto" w:fill="auto"/>
        <w:spacing w:after="0" w:line="240" w:lineRule="auto"/>
        <w:jc w:val="both"/>
        <w:rPr>
          <w:rFonts w:ascii="Times New Roman" w:cs="Times New Roman"/>
          <w:color w:val="0070C0"/>
          <w:spacing w:val="0"/>
          <w:sz w:val="16"/>
          <w:szCs w:val="16"/>
        </w:rPr>
      </w:pPr>
      <w:r w:rsidRPr="00D03F3E">
        <w:rPr>
          <w:rFonts w:ascii="Times New Roman" w:cs="Times New Roman"/>
          <w:color w:val="0070C0"/>
          <w:spacing w:val="0"/>
          <w:sz w:val="16"/>
          <w:szCs w:val="16"/>
        </w:rPr>
        <w:t>20 февраля 1943 г. шестерку «Илов» 874-го ШАП при возвращении с задания атаковали шесть немецких истребителей, заметив которые, штурмовики своевременно перестроились в «круг». Правда, летчик одного «Ила» несколько замешкался, его машину с ходу повредили, и он вышел из боя. Оставшиеся 12 минут отбивались, а затем, благодаря подходу советских истребителей, оторвались от врага и пошли к своему аэродрому. На маршруте их повторно атаковал противник. «Илы» вновь встали в «круг» и 21 минуту успешно держали оборону. Впустую израсходовав боеприпасы, немцы ушли. Но это было еще не все. Когда штурмовики при</w:t>
      </w:r>
      <w:r w:rsidRPr="00D03F3E">
        <w:rPr>
          <w:rFonts w:ascii="Times New Roman" w:cs="Times New Roman"/>
          <w:color w:val="0070C0"/>
          <w:spacing w:val="0"/>
          <w:sz w:val="16"/>
          <w:szCs w:val="16"/>
        </w:rPr>
        <w:softHyphen/>
        <w:t xml:space="preserve">близились к своему аэродрому, разделаться с ними попытались два </w:t>
      </w:r>
      <w:r w:rsidRPr="00D03F3E">
        <w:rPr>
          <w:rFonts w:ascii="Times New Roman" w:cs="Times New Roman"/>
          <w:color w:val="0070C0"/>
          <w:spacing w:val="0"/>
          <w:sz w:val="16"/>
          <w:szCs w:val="16"/>
          <w:lang w:val="en-US"/>
        </w:rPr>
        <w:t>FW</w:t>
      </w:r>
      <w:r w:rsidRPr="00D03F3E">
        <w:rPr>
          <w:rFonts w:ascii="Times New Roman" w:cs="Times New Roman"/>
          <w:color w:val="0070C0"/>
          <w:spacing w:val="0"/>
          <w:sz w:val="16"/>
          <w:szCs w:val="16"/>
        </w:rPr>
        <w:t xml:space="preserve"> 190, но и они успеха не добились. В конечном итоге «Илы» благополучно вернулись на аэродром (19854).</w:t>
      </w:r>
    </w:p>
    <w:p w14:paraId="26331368" w14:textId="77777777" w:rsidR="00237B30" w:rsidRPr="00D03F3E" w:rsidRDefault="00237B30" w:rsidP="00D03F3E">
      <w:pPr>
        <w:pStyle w:val="36"/>
        <w:shd w:val="clear" w:color="auto" w:fill="auto"/>
        <w:spacing w:after="0" w:line="240" w:lineRule="auto"/>
        <w:jc w:val="both"/>
        <w:rPr>
          <w:rFonts w:ascii="Times New Roman" w:cs="Times New Roman"/>
          <w:color w:val="0070C0"/>
          <w:spacing w:val="0"/>
          <w:sz w:val="16"/>
          <w:szCs w:val="16"/>
        </w:rPr>
      </w:pPr>
    </w:p>
    <w:p w14:paraId="360A64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февраля 1943 г. на подходе к цели Ту-2 132-го отдельного бомбардировочного полка встретили три двухмоторных истребителя Мессершмитт Bf 110. Один из них пошел навстречу бомбардировщику лейтенанта Жувака и открыл огонь с дистанции 500 - 600 м, но промахнулся. Жувак немного выждал, поймал врага в прицел и с 300 м начал стрелять из носовых пулеметов, а затем дал две очереди из пушек. Сбитый "мессершмитт" повалился вниз, два других не приняли боя и ушли в облака.</w:t>
      </w:r>
    </w:p>
    <w:p w14:paraId="47ABA8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"Ложкой дегтя", образно говоря, для личного состава полка стала недостаточная надежность моторов М-82. Барахлили карбюраторы и магнето, быстро выходили из строя свечи зажигания, встречались поломки нагнетателей. Перед каждым вылетом требовалось тщательно проверять двигатели, восстанавливать регулировку карбюраторов. За время испытаний имели место 16 случаев полного или частичного отказа моторов в воздухе и 12 случаев, когда это происходило на земле непосредственно перед вылетом. Из-за этого летчикам пришлось совершить 11 вынужденных посадок, в том числе три - с убранным шасси. При вынужденных посадках было разбито пять самолетов, которые списали. По разным причинам техническому составу потребовалось сменить 17 моторов.</w:t>
      </w:r>
    </w:p>
    <w:p w14:paraId="1F690F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Два Ту-2 разбились в катастрофах на своей территории. На долю непосредственно противника можно отнести лишь два самолета, не вернувшихся с боевых заданий </w:t>
      </w:r>
      <w:r w:rsidRPr="00D03F3E">
        <w:rPr>
          <w:rFonts w:ascii="Times New Roman" w:hAnsi="Times New Roman"/>
          <w:color w:val="000000" w:themeColor="text1"/>
          <w:sz w:val="16"/>
          <w:szCs w:val="16"/>
        </w:rPr>
        <w:lastRenderedPageBreak/>
        <w:t>по невыясненным причинам.</w:t>
      </w:r>
    </w:p>
    <w:p w14:paraId="1C78FA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 полк за время войсковых испытаний потерял девять бомбардировщиков в основном по небоевым причинам.</w:t>
      </w:r>
    </w:p>
    <w:p w14:paraId="683AA4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16 марта 1943 г. в 132-м полку осталось 14 Ту-2. Восемь из них требовали замены одного или обоих моторов. Еще пять находились в разных местах после вынужденных посадок. Для компенсации потерь полк получил три новых Ту-2, но это не могло в полной мере восстановить его боеспособность. 13 апреля полк отозвали с фронта и отправили на переформирование в Йошкар- Олу. Десять исправных машин вместе с экипажами передали 47-му гвардейскому дальнеразведывательно- му полку.</w:t>
      </w:r>
    </w:p>
    <w:p w14:paraId="2CC693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этом войсковые испытания бомбардировщика завершились. Но деятельностью 132-го полка боевое применение Ту-2, построенных в Омске, далеко не исчерпывалось. Всего на фронт попали 63 машины (11988).</w:t>
      </w:r>
    </w:p>
    <w:p w14:paraId="5924DB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6E1429" w14:textId="77777777" w:rsidR="00237B30" w:rsidRPr="00D03F3E" w:rsidRDefault="00237B30" w:rsidP="00D03F3E">
      <w:pPr>
        <w:spacing w:after="0" w:line="240" w:lineRule="auto"/>
        <w:jc w:val="both"/>
        <w:rPr>
          <w:rFonts w:ascii="Times New Roman" w:hAnsi="Times New Roman"/>
          <w:color w:val="0070C0"/>
          <w:sz w:val="16"/>
          <w:szCs w:val="16"/>
          <w:shd w:val="clear" w:color="auto" w:fill="FFFFFF"/>
        </w:rPr>
      </w:pPr>
      <w:r w:rsidRPr="00D03F3E">
        <w:rPr>
          <w:rFonts w:ascii="Times New Roman" w:hAnsi="Times New Roman"/>
          <w:color w:val="0070C0"/>
          <w:sz w:val="16"/>
          <w:szCs w:val="16"/>
          <w:shd w:val="clear" w:color="auto" w:fill="FFFFFF"/>
        </w:rPr>
        <w:t>20 февраля 1943 командующий Черноморским флотом вице-адмирал Ф. С. Октябрьский утвердил предложение штаба об атаке судов противника в Камыш-Буруне, а в качестве брандера надлежало использовать торпедный катер типа Г-5. Управлять же им предполагалось с гидросамолета МБР-2.</w:t>
      </w:r>
    </w:p>
    <w:p w14:paraId="04085F83" w14:textId="77777777" w:rsidR="00237B30" w:rsidRPr="00D03F3E" w:rsidRDefault="00237B30" w:rsidP="00D03F3E">
      <w:pPr>
        <w:spacing w:after="0" w:line="240" w:lineRule="auto"/>
        <w:jc w:val="both"/>
        <w:rPr>
          <w:rFonts w:ascii="Times New Roman" w:hAnsi="Times New Roman"/>
          <w:color w:val="0070C0"/>
          <w:sz w:val="16"/>
          <w:szCs w:val="16"/>
          <w:lang w:eastAsia="ru-RU" w:bidi="ru-RU"/>
        </w:rPr>
      </w:pPr>
      <w:r w:rsidRPr="00D03F3E">
        <w:rPr>
          <w:rFonts w:ascii="Times New Roman" w:hAnsi="Times New Roman"/>
          <w:color w:val="0070C0"/>
          <w:sz w:val="16"/>
          <w:szCs w:val="16"/>
          <w:shd w:val="clear" w:color="auto" w:fill="FFFFFF"/>
        </w:rPr>
        <w:t>22 февраля в 19 час. 45 мин торпедный катер ТКА-61 (он же ВУ-61) в сопровождении двух катеров Г-5 — № 13 и № 9 вышли из Геленджика и взяли курс на Камыш-Бурун. Но в 5 час. 10 мин 23 февраля они вернулись в базу. Операция была сорвана, так как самолет наведения в 1 час 05 мин разбился в районе сухопутного аэродрома у Гелинджика, весь экипаж, включая оператора наведения, погиб (22290).</w:t>
      </w:r>
    </w:p>
    <w:p w14:paraId="5044C662" w14:textId="77777777" w:rsidR="00237B30" w:rsidRPr="00D03F3E" w:rsidRDefault="00237B30" w:rsidP="00D03F3E">
      <w:pPr>
        <w:spacing w:after="0" w:line="240" w:lineRule="auto"/>
        <w:jc w:val="both"/>
        <w:rPr>
          <w:rFonts w:ascii="Times New Roman" w:hAnsi="Times New Roman"/>
          <w:color w:val="0070C0"/>
          <w:sz w:val="16"/>
          <w:szCs w:val="16"/>
          <w:lang w:eastAsia="ru-RU" w:bidi="ru-RU"/>
        </w:rPr>
      </w:pPr>
    </w:p>
    <w:p w14:paraId="76182EE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февраля 1943 года 1435-го самоходно-артиллерийский полк, командиром которого назначили майора Г. М. Остапенко, получил приказ о погрузке на железнодорожные платформы и отправке на фронт. Спустя четыре дня часть разгрузилась на станции Дабужа, а к 3 марта сосредоточилась в населенном пункте Макиаки, где перешла в распоряжение 9-го танкового корпуса 10-й армии Западного фронта.</w:t>
      </w:r>
    </w:p>
    <w:p w14:paraId="18CD5F3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этому времени в составе 1435-го самоходно-артиллерийского полка числилось 9 СУ-76 (СУ-12), из которых три машины находились в ремонте, и 12 СГ-122. Из числа последних боеспособными были только восемь: у одной самоходки оказался разбит фрикцион (предназначалась для сдачи на рембазу 10-й армии из-за отсутствия запчастей), у другой — обрыв шатуна, еще на двух вышли из строя опорные катки и ремень вентилятора.</w:t>
      </w:r>
    </w:p>
    <w:p w14:paraId="19CB8DE4"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семь СУ-76 и семь СГ-122 из состава 1435-го самоходно-артиллерийского полка сосредоточились в районе населенного пункта Крестьянская гора с задачей поддержать атаку 248-й танковой бригады 9-го танкового корпуса по овладению деревней Нижняя Акимовка.</w:t>
      </w:r>
    </w:p>
    <w:p w14:paraId="310F186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Атака началась в 10.45 6 марта 1943 года после артподготовки. В ходе боя самоходки израсходовали 91 снаряд калибра 76 мм и 185 -122-мм, уничтожив три противотанковых орудия, два пулемётных гнезда, один танк и разрушив пять ДЗОТов. Свои потери составили две сгоревших и три подбитых самоходки.</w:t>
      </w:r>
    </w:p>
    <w:p w14:paraId="2B28FB1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марта атаки Нижней Акимовки возобновились. При поддержке самоходок полка наша пехота и танки заняли деревню. В ходе боя огнем полка было уничтожено: машиной лейтенанта Савченко — два противотанковых орудия, две автомашины, три пулеметных гнезда; машиной лейтенанта Коваль — три ДЗОТа и два пулеметных гнезда; машиной лейтенанта Ягудина — два ДЗОТа, подавлена артбатарея противника; машиной лейтенанта Кондапушова — ДЗОТ, два противотанковых орудия, две пулеметных точки и два танка. Всего самоходки израсходовали 211 снаряд калибра 76-мм и 530 — 122-мм. В ходе боя сгорело три СУ-76 и оказалось подбито четыре СУ-76 и две СГ-122 (№№ 1025 и 1016).</w:t>
      </w:r>
    </w:p>
    <w:p w14:paraId="5E34A37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марта 1943 года 1435-й самоходно-артиллерийский полк совместно 248-й танковой бригадой и 444-м стрелковым полком вели бой за овладение Верхней Акимовкой. В течение дня батарея полка уничтожила противотанковое орудие и две пулеметных точки, а СГ-122 лейтенанта Коваля и наводчика Юрина подавила два орудия, разбила четыре ДЗОТа, автомашину и четыре пулеметных точки. Всего самоходки израсходовали 40 76-мм и 150 — 122-мм снарядов.</w:t>
      </w:r>
    </w:p>
    <w:p w14:paraId="2470532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марта 1943 года семь машин 1435-го полка — три СУ-76 и четыре СГ-122 — совместно с 11-м гвардейским стрелковым полком и 248-й танковой бригадой участвовали в бою за две высоты у деревни Ясенок. В течение дня огнем противника было разбито и сгорело пять самоходок, две вернулись с незначительными повреждениями.</w:t>
      </w:r>
    </w:p>
    <w:p w14:paraId="043355E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следующий день из-за отсутствия исправной матчасти полк отвели в Зимницу. В течение следующей недели он занимался эвакуацией на станцию Пробуждение машин, разбитых и сгоревших в предыдущих боях, и предназначенных для отправки на СПАМ и в ремонт. Также были окончательно составлены акты на списание безвозвратно потерянных самоходок — одной СУ-76 и трех СГ-122 (№№ 1009, 1003, 1020).</w:t>
      </w:r>
    </w:p>
    <w:p w14:paraId="4073BBD0"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года полк отвели на новое место для пополнения матчасти, и в начале апреля он получил на вооружение СУ-76 и СУ-122 (на базе танка Т-34), а в октябре 1943 года «пересел» на СУ-85.</w:t>
      </w:r>
    </w:p>
    <w:p w14:paraId="32F8F12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Что касается боевого использования СГ-122 то, несмотря на высокую огневую мощь, эффективность их применения оказалась невысокой. Основной причиной этого было слабое знание экипажами матчасти трофейных самоходок StuG III, на базе которых изготавливались СГ-122.</w:t>
      </w:r>
    </w:p>
    <w:p w14:paraId="13494AA7"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Например, в общем выводе по использованию этих машин говорилось, что «плохо подготовленные водители для машины Т-3, сложной в эксплуатации, быстро выведут её из строя, что имело место при эксплуатации в 1435 САП СГ-122, укомплектованного малоподготовленными водителями и потерявшего на марше и в бою по техническим причинам до 50 % машин».</w:t>
      </w:r>
    </w:p>
    <w:p w14:paraId="7DC1B37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Дальнейшая же судьба отправленных в ремонт со станции Пробуждение СГ-122, а также машин, находившихся в учебном центре самоходной артиллерии автору неизвестна (12688).</w:t>
      </w:r>
    </w:p>
    <w:p w14:paraId="0B0E00E5"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33451A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февраля 1943 г. командующий Черноморским флотом вице-адмирал Ф.С.Октябрьский утвердил предложение штаба об атаке судов и плавсредств противника в Камыш-Буруне. В качестве “плавучей бомбы” собирались использовать ТКА типа Г-5 №61. Управлять им предполагалось с гидросамолета типа МБР-2, соответствующее распоряжение получил командующий ВВС флота (6002).</w:t>
      </w:r>
    </w:p>
    <w:p w14:paraId="7D297F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03B98E" w14:textId="77777777" w:rsidR="00E12800" w:rsidRPr="00D03F3E" w:rsidRDefault="00E128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февраля 1943 командующий Черноморским флотом вице-адмирал Ф.С. Октябрьский утвердил предложение штаба об атаке судов противника в Камыш-Буруне, а в качестве брандера надлежало использовать торпедный катер типа Г-5. Управлять же им предполагалось с гидросамолета МБР-2. 22 февраля в 19 ч. 45 мин. торпедный катер ТКА-61 (он же ВУ-61) в сопровождении двух катеров Г-5 — № 13 и № 9 — вышли из Геленджика и взяли курс на Камыш-Бурун. Но в 5 ч. 10 мин. 23 февраля они вернулись в базу. Операция была сорвана, так как самолет наведения в 1 час 05 мин. разбился в районе сухопутного аэродрома у Геленджика, весь экипаж, включая оператора наведения, погиб (15117).</w:t>
      </w:r>
    </w:p>
    <w:p w14:paraId="75F24770" w14:textId="77777777" w:rsidR="00E12800" w:rsidRPr="00D03F3E" w:rsidRDefault="00E12800" w:rsidP="00D03F3E">
      <w:pPr>
        <w:spacing w:after="0" w:line="240" w:lineRule="auto"/>
        <w:jc w:val="both"/>
        <w:rPr>
          <w:rFonts w:ascii="Times New Roman" w:hAnsi="Times New Roman"/>
          <w:color w:val="000000" w:themeColor="text1"/>
          <w:sz w:val="16"/>
          <w:szCs w:val="16"/>
        </w:rPr>
      </w:pPr>
    </w:p>
    <w:p w14:paraId="6AAB7F2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503927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AC2AE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февраля 1943 вышло Постановление ГКО № 2920 О мероприятиях по восстановлению и подготовке гидротехнических сооружений Карагандинского водохранилища к весеннему паводку 1943 г. (7083, 88-89).</w:t>
      </w:r>
    </w:p>
    <w:p w14:paraId="56F74AA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F85F0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февраля 1943 вышло Распоряжение ГКО № 2922 [О строительстве в бухте Новгородская и в заливе Славянский на Дальнем Востоке по одному деревянному причалу, дноуглубительных и других работах для подхода морских судов.] (7083, 91).</w:t>
      </w:r>
    </w:p>
    <w:p w14:paraId="3E6298B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8A548A"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40DA0F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99DAAB" w14:textId="77777777" w:rsidR="000D299E" w:rsidRPr="00D03F3E" w:rsidRDefault="000D29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20 февраля</w:t>
      </w:r>
      <w:r w:rsidRPr="00D03F3E">
        <w:rPr>
          <w:rFonts w:ascii="Times New Roman" w:hAnsi="Times New Roman"/>
          <w:color w:val="000000" w:themeColor="text1"/>
          <w:sz w:val="16"/>
          <w:szCs w:val="16"/>
        </w:rPr>
        <w:t xml:space="preserve"> в 1943 году разбился второй опытный </w:t>
      </w:r>
      <w:hyperlink r:id="rId69" w:tgtFrame="_blank" w:history="1">
        <w:r w:rsidRPr="00D03F3E">
          <w:rPr>
            <w:rFonts w:ascii="Times New Roman" w:hAnsi="Times New Roman"/>
            <w:color w:val="000000" w:themeColor="text1"/>
            <w:sz w:val="16"/>
            <w:szCs w:val="16"/>
          </w:rPr>
          <w:t xml:space="preserve">«Файрбрэнд» «DD810». </w:t>
        </w:r>
      </w:hyperlink>
      <w:r w:rsidRPr="00D03F3E">
        <w:rPr>
          <w:rFonts w:ascii="Times New Roman" w:hAnsi="Times New Roman"/>
          <w:color w:val="000000" w:themeColor="text1"/>
          <w:sz w:val="16"/>
          <w:szCs w:val="16"/>
        </w:rPr>
        <w:t>Летчик-испытатель Артур Томпсон производил очередной испытательный полет, и вдруг произошел разрыв трубки маслопровода, двигатель заклинило, а масло залило всю носовую часть фюзеляжа и фонарь кабины. Пытаясь совершить заход на аварийную посадку, пилот, само собой, не смог уклониться от столкновения с полуторадюймовым (3,2 см) тросом подвесного транспортера на заводе фирмы «Earle's Cement Company» в миле от аэродрома. Этот импровизированный аэрофинишер на мгновение остановил самолет, потом трос порвался и со страшной силой стегнул по фюзеляжу за пилотской кабиной. К счастью, управление не было потеряно, и пилот сумел дотянуть машину до аэродрома. Сам Томпсон не пострадал, а вот самолет, как казалось, превратился в груду металлолома. «DD810» списали, но это не было концом для данного аппарата. Машину восстановили, внеся в ее конструкцию значительные изменения, и, под регистрационным номером NV636, она стала прототипом модификации «Firebrand» «TF Mk II» (15046).</w:t>
      </w:r>
    </w:p>
    <w:p w14:paraId="116676EA" w14:textId="77777777" w:rsidR="000D299E" w:rsidRPr="00D03F3E" w:rsidRDefault="000D299E" w:rsidP="00D03F3E">
      <w:pPr>
        <w:spacing w:after="0" w:line="240" w:lineRule="auto"/>
        <w:jc w:val="both"/>
        <w:rPr>
          <w:rFonts w:ascii="Times New Roman" w:hAnsi="Times New Roman"/>
          <w:color w:val="000000" w:themeColor="text1"/>
          <w:sz w:val="16"/>
          <w:szCs w:val="16"/>
        </w:rPr>
      </w:pPr>
    </w:p>
    <w:p w14:paraId="267CABD7" w14:textId="77777777" w:rsidR="00237B30" w:rsidRPr="00D03F3E" w:rsidRDefault="00237B3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20 февраля 1943 г. завод «Норт Америкен» в Инглвуде сдал первый из заказанных 50 серийный PBJ-1C, а последний был принят ВМС США 19 апреля. Первый морской «Митчелл» почти не отличался от обычного В-25С с двигателями Райт R-2600-13 «Дуплекс Циклон» по 1700 сил на взлете и 1500 — на высоте 2040 м. С одновременной подвеской в фюзеляже и бомб, и дополнительных баков он имел дальность более 2000 км. Ударное вооружение включало бомбы калибра от 907 до 45 кг (в том числе бронебойные общим весом до 2360 кг). В носовой кабине штурмана был подвижный пулемет М-2 калибра 12,7 мм, еще два таких пулемета крепились жестко. Верхнюю полусферу защищала спаренная турель «Бендикс», но нижней установкой пришлось пожертвовать — на ее месте поставили опускаемый купол с антенной локатора AN/APS-2 «Джордж» (23002).</w:t>
      </w:r>
    </w:p>
    <w:p w14:paraId="17D91D51" w14:textId="77777777" w:rsidR="00237B30" w:rsidRPr="00D03F3E" w:rsidRDefault="00237B30" w:rsidP="00D03F3E">
      <w:pPr>
        <w:spacing w:after="0" w:line="240" w:lineRule="auto"/>
        <w:jc w:val="both"/>
        <w:rPr>
          <w:rFonts w:ascii="Times New Roman" w:hAnsi="Times New Roman"/>
          <w:color w:val="0070C0"/>
          <w:sz w:val="16"/>
          <w:szCs w:val="16"/>
          <w:shd w:val="clear" w:color="auto" w:fill="FFFFFF"/>
        </w:rPr>
      </w:pPr>
    </w:p>
    <w:p w14:paraId="22ECA9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February 20, 1943: The Afrikakorps halts further offensive operations in Tunisia and withdraws to the Mareth line (3819).</w:t>
      </w:r>
    </w:p>
    <w:p w14:paraId="6C3354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83AF7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февраля 1943 немцы прорвались в Кассеринге (2262).</w:t>
      </w:r>
    </w:p>
    <w:p w14:paraId="59430B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14C5F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3FC45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12F5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февраля 1943 Н.Н.П. подписал эскизный проект модификаций И-185: И-187 М-71 (М-71Ф) и И-188 М-90 (2495,27).</w:t>
      </w:r>
    </w:p>
    <w:p w14:paraId="3251D1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D1451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02547C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3C82A5"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726CF352"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21 февраля наши войска вели наступательные бои на прежних направлениях.</w:t>
      </w:r>
    </w:p>
    <w:p w14:paraId="58BF799D"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войска продолжали вести наступление и овладели рядом населённых пунктов. Бойцы Н-ской части разгромили батальон немецкой пехоты и захватили 6 орудий, 15 пулемётов и 23 автомашины. На другом участке наши танкисты проникли в тыл противника и напали на вражескую колонну. На поле боя осталось более 100 убитых немецких солдат и офицеров.</w:t>
      </w:r>
    </w:p>
    <w:p w14:paraId="44A95A5F"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наши части продвинулись вперёд и заняли несколько населённых пунктов. Захвачено 5 орудий, 2 танка, истреблено до 200 вражеских солдат и офицеров.</w:t>
      </w:r>
    </w:p>
    <w:p w14:paraId="2FFCBC4A"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Красноармейского наши части отбивали контратаки противника. В результате боя уничтожено свыше 600 немецких солдат и офицеров. Огнём артиллериии бронебойщиков подбито и сожжено 14 немецких танков.</w:t>
      </w:r>
    </w:p>
    <w:p w14:paraId="0DD02B31"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Краснограда наши войска вели наступательные бои и заняли несколько населённых пунктов. В бою за один из этих населённых пунктов уничтожено до 400 гитлеровцев и сожжено 3 немецких танка. Захвачены 4 транспортёра, 30 автомашин с боеприпасами, 5 противотанковых пушек, свыше 300 винтовок и автоматов, большой склад с зерном.</w:t>
      </w:r>
    </w:p>
    <w:p w14:paraId="0615B525"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наши войска, преодолевая упорное сопротивление противника, продвигались вперёд. Бойцы Н-ской части подбили 7 танков и уничтожили до роты гитлеровцев. Захвачены трофеи и пленные. На другом участке 150 вражеских автоматчиков вклинились в наши боевые порядки и овладели населённым пунктом. Советские подразделения окружили немецких автоматчиков и полностью их истребили.</w:t>
      </w:r>
    </w:p>
    <w:p w14:paraId="09D304B7"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Краснодара наши части, продолжая наступление, овладели районным центром Марьянская. В боях за этот населённый пункт немцы потеряли только убитыми более 200 солдат и офицеров. Советские бронебойщики подбили 7 и сожгли 3 немецких танка. Кроме того, уничтожено 6 бронемашин. Захвачено 7 миномётов, 300 автомашин, 20 тягачей и 10 тысяч мин.</w:t>
      </w:r>
    </w:p>
    <w:p w14:paraId="7F68A3C3"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Ленинградской области, подвергся нападению крупной немецкой карательной экспедиции. Немцев было в пять раз больше, чем партизан. Тем не менее, советские патриоты отбили атаки противника. Оставив на поле боя более 170 трупов своих солдат и офицеров, каратели поспешно отступили. Партизаны захватили трофеи.</w:t>
      </w:r>
    </w:p>
    <w:p w14:paraId="6C5F7463"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ограбили всех крестьян деревни Сычёвка, Орловскойобласти. Гитлеровские бандиты расстреляли больного колхозника Ивана Щетинина, 70-летнюю колхозницу Карлову и других жителей. У колхозника Семёна Сухаленцева немецкие солдаты стащили с ног валенки и зверски избили его. Отступая и здеревни, гитлеровцы сожгли школу и 17 домов колхозников.</w:t>
      </w:r>
    </w:p>
    <w:p w14:paraId="2500E03E"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Югославии после упорных боёв с итальянскими оккупантами заняли город Прозор. В боях за этот город патриоты истребили свыше 1.000 итальянских солдат и офицеров. Партизаны захватили 6 орудий, 5 танков, 97 пулемётов, 500 винтовок, большое количество боеприпасов и различного военного имущества.» (15047).</w:t>
      </w:r>
    </w:p>
    <w:p w14:paraId="2DA7821E" w14:textId="77777777" w:rsidR="00175C2A" w:rsidRPr="00D03F3E" w:rsidRDefault="00175C2A" w:rsidP="00D03F3E">
      <w:pPr>
        <w:spacing w:after="0" w:line="240" w:lineRule="auto"/>
        <w:jc w:val="both"/>
        <w:rPr>
          <w:rFonts w:ascii="Times New Roman" w:hAnsi="Times New Roman"/>
          <w:color w:val="000000" w:themeColor="text1"/>
          <w:sz w:val="16"/>
          <w:szCs w:val="16"/>
        </w:rPr>
      </w:pPr>
    </w:p>
    <w:p w14:paraId="0E377957"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0136BA2D"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февраля наши войска в Донбассе овладели городом и железнодорожной станцией Боково-Антрацит, а также заняли крупные населённые пункты Верхний и НижнийНагольчик, Дьяково и ряд других населённых пунктов.</w:t>
      </w:r>
    </w:p>
    <w:p w14:paraId="2B911356"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бои на прежних направлениях. За истекшую неделю, с 14 по 20 февраля включительно, в воздушных боях и на аэродромах противника уничтожено 276 немецких самолётов. Наши потери за это же время 101 самолёт.</w:t>
      </w:r>
    </w:p>
    <w:p w14:paraId="779F8C8D"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февраля частями нашей авиации на различных участках фронта уничтожено или повреждено до 200 немецких автомашин с войсками и грузами, подавлен огонь 8 артиллерийских и 15 миномётных батарей противника.</w:t>
      </w:r>
    </w:p>
    <w:p w14:paraId="3EDFFF69"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войска, преодолевая упорное сопротивление противника, продолжали наступление. Н-ская часть внезапным ударом выбила немцев из сильно укреплённого узла обороны. На поле боя осталось более 300 вражеских трупов. Уничтожено 2 немецких танка, захвачены 16 пулемётов, 180 винтовок и другие трофеи.</w:t>
      </w:r>
    </w:p>
    <w:p w14:paraId="32563CE2"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юго-западнее Ворошиловграда наши части, продолжая наступление, продвинулись вперёд и. заняли ряд населенных пунктов. В бою за один из этих населённых пунктов истреблено до батальона немецкой пехоты. Захвачены 3 танка, 8 орудий, 22 пулемёта и другие трофеи.</w:t>
      </w:r>
    </w:p>
    <w:p w14:paraId="316A667F"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Краматорской наши войска вели наступательные бои и частью сил отбивали контратаки противника. На одном участке немцы сосредоточили большое количество танков и пытаются любой ценой вернуть потерянные позиции. Бои носят крайне ожесточённый характер. Наши бойцы отбили контратаки противника и нанесли ему тяжёлый урон в живой- силе и технике. В районе одного рабочего посёлка артиллеристы и бронебойщики Н-ской части подбили 7 немецких танков и уничтожили 16 автомашин с мотопехотой. На другом участке наши бойцы уничтожили 11 танков, 2 бронемашины и истребили свыше 300 немецких автоматчиков.</w:t>
      </w:r>
    </w:p>
    <w:p w14:paraId="59EAD90C"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Н-ская часть в ожесточённом бою истребила до 200 немецких солдат и офицеров, подбила и сожгла 3 вражеских танка. На другом участке наши танки и моторизованная пехота вышли в тыл противника и внезапно атаковали немцев, расположившихся в одном населённом пункте. Советские бойцы истребили роту гитлеровцев. Захвачены 4 противотанковых орудия, 12 автомашин, 2 склада с боеприпасами, вещевой склад и 30 повозок с различным грузом.</w:t>
      </w:r>
    </w:p>
    <w:p w14:paraId="21958311"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Краснодара наши войска, преодолевая упорное сопротивление противника, заняли несколько населённых пунктов. В районе железнодорожной станции Ильская советские части захватили 67 пулемётов, 2 тысячи винтовок, 12 тысяч снарядов, 200 тысяч винтовочных патронов, 6 паровозов, 110 вагонов и 40 автомашин. Взято в плен 200 немецких солдат и офицеров.</w:t>
      </w:r>
    </w:p>
    <w:p w14:paraId="7FD1F79E"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с 9 на 10 февраля наша авиация бомбила казармы противника в одном городе Орловской области. Воспользовавшись паникой, возникшей среди солдат немецкого гарнизона, отряд орловских партизан проник на железнодорожную станциюи уничтожил воинский эшелон, подготовленный к отправке. Взорвано 3 вагона со снарядами, 3 платформы с танками и 2 платформы с автомашинами. Другой отряд орловских партизан пустил под откос эшелон противника. В результате крушения повреждено 40 орудий и 20 танков.</w:t>
      </w:r>
    </w:p>
    <w:p w14:paraId="35155D70"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Тяжёлые муки и страдания испытали жители города Харькова, находившиеся 16 месяцев в фашистской неволе. Гитлеровцы разграбили город. Тысячи людей умерли от голода, болезней и от рук немецких палачей. После взрыва в штабе немецкой дивизии, во время которого погиб немецкий генерал, палачи арестовали свыше двух тысяч мирных жителей Харькова в качестве заложников. Только за один день гитлеровцы расстреляли 250 человек и повесили десятки людей на балконах, на фонарных столбах и на деревьях. Отступая, гитлеровцы уничтожили лучшие здания города, не имеющие военного значения. Бандиты сожгли медицинский институт, Харьковский университет, Дворец пионеров, гостиницы «Спартак» и«Интернациональная» и другие общественные и культурные здания. Немцы пытались насильно угнать в тыл всё трудоспособное население. Полицейские хватали людей на улицах, в домах и волокли на вокзал. Тех, кто сопротивлялся, расстреливали на месте.» (15047).</w:t>
      </w:r>
    </w:p>
    <w:p w14:paraId="0FAE610A" w14:textId="77777777" w:rsidR="00175C2A" w:rsidRPr="00D03F3E" w:rsidRDefault="00175C2A" w:rsidP="00D03F3E">
      <w:pPr>
        <w:spacing w:after="0" w:line="240" w:lineRule="auto"/>
        <w:jc w:val="both"/>
        <w:rPr>
          <w:rFonts w:ascii="Times New Roman" w:hAnsi="Times New Roman"/>
          <w:color w:val="000000" w:themeColor="text1"/>
          <w:sz w:val="16"/>
          <w:szCs w:val="16"/>
        </w:rPr>
      </w:pPr>
    </w:p>
    <w:p w14:paraId="2FCD7D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lang w:val="en-US"/>
        </w:rPr>
        <w:t>February</w:t>
      </w:r>
      <w:r w:rsidRPr="00D03F3E">
        <w:rPr>
          <w:rFonts w:ascii="Times New Roman" w:hAnsi="Times New Roman"/>
          <w:color w:val="000000" w:themeColor="text1"/>
          <w:sz w:val="16"/>
          <w:szCs w:val="16"/>
        </w:rPr>
        <w:t xml:space="preserve"> 21 (по другим данным - 19 февраля - 2070,87) 1943 </w:t>
      </w:r>
      <w:r w:rsidRPr="00D03F3E">
        <w:rPr>
          <w:rFonts w:ascii="Times New Roman" w:hAnsi="Times New Roman"/>
          <w:color w:val="000000" w:themeColor="text1"/>
          <w:sz w:val="16"/>
          <w:szCs w:val="16"/>
          <w:lang w:val="en-US"/>
        </w:rPr>
        <w:t>GermanslaunchcounteroffensivetowardKharkov</w:t>
      </w:r>
      <w:r w:rsidRPr="00D03F3E">
        <w:rPr>
          <w:rFonts w:ascii="Times New Roman" w:hAnsi="Times New Roman"/>
          <w:color w:val="000000" w:themeColor="text1"/>
          <w:sz w:val="16"/>
          <w:szCs w:val="16"/>
        </w:rPr>
        <w:t xml:space="preserve"> (1037).</w:t>
      </w:r>
    </w:p>
    <w:p w14:paraId="7960BC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1FF0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февраля 1943 следующий пролетающий транспортник напоролся на плотный и хорошо организованный зенитный огонь соединения Ковпака. Самолет сразу загорелся и упал на околице села Костополь. Все находившиеся на его борту погибли. В обломках машины, кроме тел четырех членов экипажа, партизаны обнаружили трупы трех старших немецких офицеров - полковника-артиллериста, и двух майоров - танкиста и кавалериста. Кроме того, партизанам досталась полетная карта и много ценной документации, в том числе и журнал боевых действий штаба 3-го немецкого танкового корпуса с 29 января по 30 июня 1942 г. По документам удалось выяснить, что новенький Ju 52 постройки января 1943 г. (серийный номер 3371) 19 февраля вылетел из Винницы по маршруту Перекоп-Днепропетровск-Полтава-Запорожье-Винница, имея на борту офицеров штаба 3-го ТК (9974).</w:t>
      </w:r>
    </w:p>
    <w:p w14:paraId="5767A1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A20E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21 и 24 февраля 1943 нашим летчикам удалось выставить 12 мин у Таллинна и 10 у Хельсинки. Из-за тяжелых погодных условий в восьми случаях «Ильюшины» не дошли до цели и сбросили мины у запасных объектов ( в т.ч. шесть в проливе Бьеркезунд и одна у Котки). Во всех случаях использовались мины АМГ-1, поскольку из-за наличия ледяного покрова использовать неконтактные мины не представлялось возможным. Углубление мин устанавливалось на 3 м, что соответствовало осадке достаточно крупного судна. Не обошлось и без потерь - вылетевший вечером 22 февраля ДБ-3Б в Углово не вернулся. Пропал без вести экипаж замполита полка майора Бушихина, воевавшего на фронте с первого дня войны и пользовавшегося законным уважением подчиненных (9965).</w:t>
      </w:r>
    </w:p>
    <w:p w14:paraId="0D0322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5B17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21 и 24 февраля 1943 нашим летчикам удалось выставить 14 мин у Таллина и 11 у Хельсинки. Из-за тяжелых погодных условий в восьми случаях "ильюшины" не дошли до цели и сбросили мины у запасных объектов (в т.ч. 6 в проливе Бьерке-зунд и 1 у Котки). Во всех случаях использовались мины АМГ-1, поскольку из-за наличия ледяного покрова использовать неконтактные мины не представлялось возможным. Углубление мин устанавливалось на 3 метра, что соответствовало осадке достаточно крупного судна. Не обошлось и без потерь - вылетевший вечером 22 февраля ДБ-ЗБ в Углово не вернулся. Пропал без вести экипаж замполита полка майора Бушихина, воевавшего на фронте с первого дня войны и пользовавшегося законным уважением подчиненных.</w:t>
      </w:r>
    </w:p>
    <w:p w14:paraId="5D97A0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марта выполнение плана минных постановок возобновилось. На этот раз в интервале с 16 по 26 марта удалось выставить 51 мину. 31 приводнилась в районе Таллина, 18 - между полуостровом Порккала Удд и Хельсинки, две были сброшены аварийно. Фактически в каждой ночной постановке принимал участие весь исправный состав полка. Главную задачу выполняли 5-7 Ил-4, которые, вылетая одиночным порядком, успевали в течение ночи совершить по два вылета. В каждом случае самолет брал по одной АМГ-1 (лишь один раз - 26 марта - были сброшены 6 А-1-4, причем впервые "ильюшины" поднимали по две такие мины), сбросить которую следовало с высоты 250-300 м. Огонь зениток на такой высоте был бы смертелен, поэтому в каждом случае приходилось тщательно планировать боевые курсы и корректировать их с изменением группировки ПВО противника.</w:t>
      </w:r>
    </w:p>
    <w:p w14:paraId="1CFA2B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ДБ-ЗБ и СБ, как правило, использовались в составе отвлекающих сил Таким же одиночным порядком в течение ночи они бомбили Таллин или Хельсинки, отвлекая на себя огонь зенитных средств и маскируя постановку мин. Не редко для этих же целей привлекались МБРы. Новых потерь удалось избежать, хотя 24 марта один из "илов" серьезно пострадал при вынужденной посадке. Поскольку на следующий день на подходах к Таллину подорвался и затонул германский пароход "Бунгсберг" (1504 брт), общий итог оказался в нашу пользу. 14 апреля на другой АМГ в районе острова Аэгна подорвался сетевой заградитель "NT 14" (бывший ледокольный буксир "Симеон": 110 брт). Из 21 немецкого моряка спаслось лишь двое. Впрочем, если учесть, что успехи были достигнуты применением морально устаревших контактных мин, они оказались скорее случайными, чем закономерными. Еще в самом начале наших минных постановок немцы развернули в Таллинской бухте корабельные дозоры, укомплектованные тральщиками 31-й флотилии и сторожевыми катерами флотилии охраны побережья "Остланд". Пролет каждого самолета и места сброса мин тщательно фиксировались, а днем тральщики тралили фарватеры в отмеченных местах. Районы, находившиеся за пределами сети фарватеров, тралились по остаточному принципу, а, как правило, просто закрывались для плаванья При такой организации подрывы происходили только тогда, когда корабли по какой-то причине выходили за пределы контролируемой сети фарватеров, а сброс мин в этой точке не замечался (12002).</w:t>
      </w:r>
    </w:p>
    <w:p w14:paraId="4451DD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A57A7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4E573C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B73491"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февраля</w:t>
      </w:r>
      <w:r w:rsidRPr="00D03F3E">
        <w:rPr>
          <w:rFonts w:ascii="Times New Roman" w:hAnsi="Times New Roman"/>
          <w:color w:val="000000" w:themeColor="text1"/>
          <w:sz w:val="16"/>
          <w:szCs w:val="16"/>
        </w:rPr>
        <w:t xml:space="preserve"> в 1943 году король Великобритании Георг VI наградил Сталинград «мечом чести», который был впоследствии вручен У.Черчиллем И.В.Сталину на Тегеранской конференции (15047).</w:t>
      </w:r>
    </w:p>
    <w:p w14:paraId="26684CE9" w14:textId="77777777" w:rsidR="00175C2A" w:rsidRPr="00D03F3E" w:rsidRDefault="00175C2A" w:rsidP="00D03F3E">
      <w:pPr>
        <w:spacing w:after="0" w:line="240" w:lineRule="auto"/>
        <w:jc w:val="both"/>
        <w:rPr>
          <w:rFonts w:ascii="Times New Roman" w:hAnsi="Times New Roman"/>
          <w:color w:val="000000" w:themeColor="text1"/>
          <w:sz w:val="16"/>
          <w:szCs w:val="16"/>
        </w:rPr>
      </w:pPr>
    </w:p>
    <w:p w14:paraId="0A5B3C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февраля 1943 король Георг 6 объявил о том. Что преподносит меч чести Сталинграду и меч был передан на Тегеранской конференции (3907,241).</w:t>
      </w:r>
    </w:p>
    <w:p w14:paraId="693BE4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AC60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февраля 1943 союзные войска в СА перешли под командование Д.Эйзенхауэра (3907,241).</w:t>
      </w:r>
    </w:p>
    <w:p w14:paraId="24F22D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D05BA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февраля 1943 в Мюнхене фашистами казенны лидеры студенческой антифашистской организации “Белая Роза” (4962).</w:t>
      </w:r>
    </w:p>
    <w:p w14:paraId="4959333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0FAB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February 21 1943 1 November 1943 Advance up the Solomons Chain 1943 In a series of amphibious operations, directly and indirectly supported by Marine Corps, Navy and Army units of Aircraft, South Pacific, and Aircraft, Solomons, Central Pacific Forces moved from Guadalcanal up the Solomon Islands towards the Japanese naval base at Rabaul. Beginning with the unopposed landing in the Russells (21 Feb), these forces leapfrogged through the islands establishing bases and airfields as they went. Moving into Segi of the New Georgia Group (21 June), through Rendova, Onaivisi, Wickham Anchorage, Kiriwini and Woodlark (30 June), Viru (2 July), Zanana (2 July), Rice Anchorage (5 July), Vella Lavella (15 Aug), Arundel (27 Aug), and Treasury Islands (27 Oct), they reached Bougainville where landings on Cape Torokina were additionally supported by carrier air strikes (1, 2 Nov) on the Buka-Bonis airfields (1090).</w:t>
      </w:r>
    </w:p>
    <w:p w14:paraId="3A2260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3EF1A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февраля 1943 закончилась операция на Гвадвлканале (1090).</w:t>
      </w:r>
    </w:p>
    <w:p w14:paraId="16D7BB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3B16E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февраля 1943 по всей Индии проведена массовая молитва за здоровье Махатмы Ганди, проводившего голодовку в английской тюрьме (4962).</w:t>
      </w:r>
    </w:p>
    <w:p w14:paraId="0EEB7AE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D6027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7F28C1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86EB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февраля 1943 года вышло постановление ГКО за № 8063сс, в соответствиии с которым завод № 45 перешел на изготовление форсированного мотора АМ-38Ф, а 1 июня 1943 года выпуск моторов АМ-38 заводом полностью прекращен. С марта 1944 года завод параллельно с выпуском моторов АМ-38Ф включил в производство изготовление деталей и агрегатов дизеля АЧ-30Б. С сентября 1945 года выпуск моторов АМ-38Ф с производства снят и оставлен в производстве только дизель-мотор АЧ-30Б</w:t>
      </w:r>
    </w:p>
    <w:p w14:paraId="27F920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Москва, Мейеровский пр., 14 (территория Б, В), территория А – Ткацкая ул.</w:t>
      </w:r>
    </w:p>
    <w:p w14:paraId="1B6DF6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Производственный профиль – моторный (9829).</w:t>
      </w:r>
    </w:p>
    <w:p w14:paraId="648B0C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75C0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февраля 1943 вышел приказ НКАП N 106с по самолету 102 с М-71 ТК-3 (1824).</w:t>
      </w:r>
    </w:p>
    <w:p w14:paraId="515E2E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 предписал начальнику ЦИАМ провести сборку турбокомпрессоров ТК-3 и передать их для монтажа на ДВБ-102 к 20 апреля 1943 г. (3337).</w:t>
      </w:r>
    </w:p>
    <w:p w14:paraId="25195C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FB81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февраля 1943 на заводе № 124 разбился Пе-2 № 9/162, о котором известно только то, что самолет, в виду крупных поломок, восстановлению не подлежит. До этого еще одна авария произошла с машиной 19/81, которая полностью сгорела в Столбищенском районе. Дополняет эту грустную картину аварийный акт от 24 апреля 1943 г. о разрушении машины № 17/166, при взлете сошедшей со взлетной полосы и, после резкого торможения, разрушившейся (12049).</w:t>
      </w:r>
    </w:p>
    <w:p w14:paraId="43AFD5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A1D1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февраля 1943 вышел приказ НКАП N 109 "О выпуске в Новосибирске на заводе 153 самолетов Як-9 с увеличенной дальностью" в исполнение постановления ГКО от 18 февраля N 2914 и с 1 марта было поручено все выпускать в данном варианте (1200 км) (930,179).</w:t>
      </w:r>
    </w:p>
    <w:p w14:paraId="19E39F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Зам. НКАП т. Воронину и т. А.С.Я., дир. Завода № 153 т. Романову изготавливать и выпускать с 1 марта 1943 все самолеты Як-9 в варианте дальнего истребителя.</w:t>
      </w:r>
    </w:p>
    <w:p w14:paraId="4C688C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должен иметь 4 бака общей емкостью 480 кг вместо двух баков емкостью 320 кг, устанавливаемых в настоящее время.</w:t>
      </w:r>
    </w:p>
    <w:p w14:paraId="61F3B9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полета на всоте 1000 м при скорости 360 км/час и 2250 об/мин должна составлять 1200 км и не менее (930,179).</w:t>
      </w:r>
    </w:p>
    <w:p w14:paraId="5E2781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Подписал А.И.Ш.</w:t>
      </w:r>
    </w:p>
    <w:p w14:paraId="2C9A79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4307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февраля 1943 вышло Постановление ГКО № 2929 Вопросы Наркомавиапрома.РГАНИР, Фонд ГКО, д. 91, лл. 119-123 (11012).</w:t>
      </w:r>
    </w:p>
    <w:p w14:paraId="4F708F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873A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728A78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2BAFF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февраля 1943 вышло Постановление ГКО № 2923 О перевозке военнообязанных, мобилизуемых в среднеазиатских республиках для работы в промышленности, строительстве железных дорог и промышленных предприятий. (7083, 92).</w:t>
      </w:r>
    </w:p>
    <w:p w14:paraId="380B31B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7FD5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февраля 1943 вышло Постановление ГКО № 2924 Об обеспечении топливом куйбышевских электростанций на период весеннего паводка 1943 г.РГАНИР, Фонд ГКО, д. 91, лл. 93-94 (11012).</w:t>
      </w:r>
    </w:p>
    <w:p w14:paraId="632713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2929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февраля 1943 вышло Постановление ГКО № 2925 О восстановлении угольных шахт Донбасса.РГАНИР, Фонд ГКО, д. 91, лл. 95-100, 101-107 (11012).</w:t>
      </w:r>
    </w:p>
    <w:p w14:paraId="5F1DC9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BB29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февраля 1943 вышло Постановление ГКО № 2926 Об организации ремонта танков, находящихся в районах Сталинграда, Воронежа и Дона.РГАНИР, Фонд ГКО, д. 91, лл. 108-116 (11012).</w:t>
      </w:r>
    </w:p>
    <w:p w14:paraId="6B2294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AA450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февраля 1943 года ГКО принял постановление № 2926сс, дававшее ГУРТ право первоочередной перевозки грузов (РГАСПИ. Ф. 644. Оп. 1. Д. 91. Л. 108-116). Это постановление даже разрешало использовать для нужд ГУРТ транспортную авиацию.</w:t>
      </w:r>
    </w:p>
    <w:p w14:paraId="27273354"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Первоначально ГУРТ возглавил первый заместитель наркома танковой промышленности А. А. Горегляд. Тем самым ГУРТ пытались создать благоприятные условия для деятельности, так как Горегляд пользовался большим влиянием, занимаясь материально-техническим снабжением НКТП. Он был одним из самых авторитетных и опытных руководителей танковой промышленности. Поэтому можно было надеяться, что заводы и ремонтные базы ГУРТ получат все необходимое для работы. Кроме того, как первый заместитель наркома, А. А. Горегляд мог премировать работников других заводов системы НКТП за выполнение плана поставок запчастей для ГУРТ, чем он как минимум один раз воспользовался, выделив деньги некоторым работникам Кировского завода, завода № 183 и другим. В конце 1943 года начальником ГУРТ стал генерал-майор инженерно-танковой службы Ф. С. Белогорлов.</w:t>
      </w:r>
    </w:p>
    <w:p w14:paraId="25E8D4D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Возможно, ГБТУ полагало, что создание ГУРТ НКТП стало вторжением в сферу его компетенции, и в силу этого относилось к ГУРТ негативно. Во всяком случае, заместитель командующего бронетанковыми и механизированными войсками по политчасти Н. И. Бирюков записал в своём дневнике под заголовком «план работы на ноябрь 1943 г.» в качестве двадцать шестого пункта: «добиться ликвидации ГУРТа». Видимо, усилия ГБТУ не пропали даром, так как в 1944 году ГУРТ был ликвидирован (12290).</w:t>
      </w:r>
    </w:p>
    <w:p w14:paraId="70390B59"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577542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февраля 1943 вышло Постановление ГКО № 2927 О строительстве трубопровода Махачкала-Астрахань-Урбах-Саратов.РГАНИР, Фонд ГКО, д. 91, лл. 117 (11012).</w:t>
      </w:r>
    </w:p>
    <w:p w14:paraId="488DBA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4807E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февраля 1943 вышло Постановление ГКО № 2928 [Об отгрузке топлива, металла, материалов, обеспечении электроэнергией и перевозками грузов по железным дорогам для производства танков, автомобилей и шарикоподшипников.] (7083, 118).</w:t>
      </w:r>
    </w:p>
    <w:p w14:paraId="66634C6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7618E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6FA735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C43306"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22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0DE6581B"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22 февраля наши войска вели наступательные бои на прежних направлениях.</w:t>
      </w:r>
    </w:p>
    <w:p w14:paraId="58CEBF13"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войска продолжали наступление. Н-ская часть в ожесточённом бою уничтожила до 200 немецких солдат и офицеров. Захвачено 2 танка, 3 орудия, 140 винтовок и 5 противотанковых ружей. На другом участке советская моторизованная пехота выбила гитлеровцев из двух населённых пунктов. Захвачены трофеи и пленные.</w:t>
      </w:r>
    </w:p>
    <w:p w14:paraId="0E852FBF"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наши войска вели наступательные бои и заняли несколько населённых пунктов. На одном участке противник предпринял ряд контратак, пытаясь вернуть утерянные позиции. Бойцы Н-ской части отбили все контратаки гитлеровцев. На поле боя осталось 6 подбитых вражеских танков, 15 автомашин и 5 противотанковых орудий с механической тягой.</w:t>
      </w:r>
    </w:p>
    <w:p w14:paraId="26855ED2"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Красноармейского наши части отражали ожесточённые контратаки противника. На одном участке немецким танкам удалось вклиниться в расположение наших подразделений. Огневыми налётами наших артиллеристов было подбито и сожжено 12 немецких танков. Остальные танки противника пытались отойти, но нарвались на танковую засаду. Потеряв ещё 5 танков, немцы отступили на исходные позиции.</w:t>
      </w:r>
    </w:p>
    <w:p w14:paraId="65936D1D"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наши войска вели наступательные бои. Противник спешно подтягивает новые части и бросает их в бой. Отражая вражеские контратаки, подразделения Н-ской части уничтожили до 800 немецких солдат и офицеров. На другом участке советские подвижные отряды заняли несколько населённых пунктов и оседлали шоссейную дорогу, имеющую важное тактическое значение.</w:t>
      </w:r>
    </w:p>
    <w:p w14:paraId="63CDCEAB"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Краснодара части Н-ского соединения продвигались вперёд и заняли несколько населённых пунктов. Захвачено 6 орудий, 17 пулемётов, 30 автомашин, 600 повозок с лошадьми и грузами, два вещевых и два продовольственных склада. Взято в плен 150 немецких солдат и офицеров.</w:t>
      </w:r>
    </w:p>
    <w:p w14:paraId="697E6DDB"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Несколько партизанских отрядов, действующих в одном из районов Витебскойобласти, с 5 по 11 февраля вели ожесточённые бои с численно превосходящими силами немцев. Гитлеровцы бросили против партизан крупные воинские части. Советские патриоты, действуя небольшими отрядами, с флангов и тыла наносили внезапные удары врагу. За шесть дней боёв истреблено до двух батальонов немецкой пехоты.</w:t>
      </w:r>
    </w:p>
    <w:p w14:paraId="32494E70"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Жители посёлка Малиновка, Харьковской области, составили акт о зверствах немецко-фашистских мерзавцев. В акте говорится: «Шестнадцать месяцев прожили мы под пятой немецких оккупантов. Немцы ограбили всех жителей посёлка и разорили колхозное хозяйство. За это время гитлеровские бандиты насильно угнали из Малиновки в немецкое рабство более 800 человек. Бежавшие с гитлеровской каторги рассказывают о трагической судьбе наших детей, братьев и сестёр, попавших в фашистскую неволю. Их бьют, истязают, морят голодом и изводят непосильным трудом. Незадолго перед отступлением из Малиновки немецкие солдаты ночью начали обходить дома и вызывали на улицу всех мужчин якобы для работы. Всех, кто выходил, гитлеровцы немедленно расстреливали. Так были расстреляны колхозники Илья Чепель, Николай Загребельный, Иван Юдин, Егор Перепелица, Фёдор Шуга, Григорий Касьянов, Иван Щербина и многие другие. Мы составили настоящий акт для того, чтобы рассказать бойцам и командирам Красной Армии и всему советскому народу об этих зверствах оголтелых немецких бандитов. Призываем всех советских людей беспощадно мстить гнусному и подлому врагу» (15048).</w:t>
      </w:r>
    </w:p>
    <w:p w14:paraId="4152FD66" w14:textId="77777777" w:rsidR="00175C2A" w:rsidRPr="00D03F3E" w:rsidRDefault="00175C2A" w:rsidP="00D03F3E">
      <w:pPr>
        <w:spacing w:after="0" w:line="240" w:lineRule="auto"/>
        <w:jc w:val="both"/>
        <w:rPr>
          <w:rFonts w:ascii="Times New Roman" w:hAnsi="Times New Roman"/>
          <w:color w:val="000000" w:themeColor="text1"/>
          <w:sz w:val="16"/>
          <w:szCs w:val="16"/>
        </w:rPr>
      </w:pPr>
    </w:p>
    <w:p w14:paraId="27CFFC4F"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22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710F3CC3"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февраля на Украине наши войска овладели городом Тростянец, районным центром Большая Писаревка и заняли ряд населённых пунктов.</w:t>
      </w:r>
    </w:p>
    <w:p w14:paraId="709AEB6A"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войска заняли крупные населённые пункты Холмская, Ахтырская, Черноерковская и другие.</w:t>
      </w:r>
    </w:p>
    <w:p w14:paraId="024634FA"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бои на прежних направлениях.</w:t>
      </w:r>
    </w:p>
    <w:p w14:paraId="5A6B0AD9"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февраля частями нашей авиации на различных участках фронта уничтожено или повреждено до 100 немецких автомашин с войсками и грузами, подавлен огонь 5 артиллерийских батарей, взорваны 2 склада боеприпасов и склад с горючим, потоплен немецкий транспорт водоизмещением в 6.000 тонн и повреждён сторожевой корабль противника.</w:t>
      </w:r>
    </w:p>
    <w:p w14:paraId="578C113B"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войска продолжали наступательные бои. Н-ская часть истребила до 300 гитлеровцев и захватила артиллерийскую батарею, 9 миномётов и много боеприпасов. Бронебойщики подразделения, где командиром младший лейтенант Комерный, подбили и сожгли 6 немецких танков.</w:t>
      </w:r>
    </w:p>
    <w:p w14:paraId="337DF294"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наши войска, продвигаясь вперёд, заняли несколько населённых пунктов. В бою за один из этих населённых пунктов советские подразделения окружили и истребили более 200 немецких солдат и офицеров. Кроме того, разгромлена рота гитлеровцев, спешившая на помощь осаждённому гарнизону. Захвачено 30 автомашин с различными грузами, много автоматов, винтовок и боеприпасов. На другом участке разведывательный отряд уничтожил немецкий обоз с боеприпасами и продовольствием.</w:t>
      </w:r>
    </w:p>
    <w:p w14:paraId="01CFF20F"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Красноармейского наши части отбивали ожесточённые контратаки танков и мотопехоты противника. На одном участке советские танкисты уничтожили 9 немецких танков, 2 бронемашины, 8 противотанковых орудий и 12 автомашин с пехотой. Части Н-ского соединения за три дня боёв с противником подбили и сожгли до 70 немецких танков.</w:t>
      </w:r>
    </w:p>
    <w:p w14:paraId="2185D835"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Курска наши войска продолжали вести наступательные бои. На одном участке немецкая пехота при поддержке 18 танков перешла в контратаку. Бойцы части, которой командует тов. Гусев, отбросили гитлеровцев на исходные позиции. В этом бою противник понёс большие потери в живой силе. Подбито 7 вражеских танков. На другом участке советские подразделения овладели несколькими населёнными пунктами и захватили трофеи и пленных.</w:t>
      </w:r>
    </w:p>
    <w:p w14:paraId="26C429EC"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партизан отряда, действующего в одном из районов Сумской области, ворвалась на железнодорожную станцию и истребила 38 немецких охранников. Партизаны взорвали стрелки и вывели из строя бронепоезд противника, подготовленный к отправке на фронт. Партизаны Черниговской области в первой половине февраля разгромили две карательные экспедиции гитлеровцев. Убито свыше 100 карателей. Захвачено 10 пулемётов, 42 винтовки, миномёт, много автоматов и большое количество боеприпасов.</w:t>
      </w:r>
    </w:p>
    <w:p w14:paraId="4E8903D9"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Пленные солдаты 572 полка 302 немецкой пехотной дивизии Клеменс Витка и Рейнольд Григорацкий рассказали: «302 дивизия была спешно сформирована в декабре во Франции, в провинции Руан. В эту дивизию влились целые подразделения из других соединений оккупационных войск. Например, каждая рота 332 пехотнойдивизии выделила для 302 дивизии по одному взводу. 1 января 1943 года мы выехали на фронт. Всех молодых немецких солдат, находящихся во Франции, сейчас отправляют в Россию. Их заменяют пожилые резервисты, мобилизованные в Германии.Во Франции мы смотрели кинообозрения. На экране показывали сплошные успехи и победы немецкой армии. Здесь, на фронте, всё выглядит наоборот. Еще за десятки километров от фронта мы встретили жалкие группы разбитых отступающих частей.Оборванные, грязные и потерявшие воинский вид солдаты напутствовали нас такими словами: «Русский сделает вам капут». Сразу многие из нас пали духом. Первые же бои подтвердили эти предсказания. Наш полк за неделю был разбит русскими».</w:t>
      </w:r>
    </w:p>
    <w:p w14:paraId="79656FC0"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Накануне отступления из посёлка Хмелевский, Курской области, немцы сожгли свыше 30 домов. Немецко-фашистские мерзавцы забросали гранатами погреба, вкоторых укрывались жители. Убито много женщин и детей, скрывавшихся в погребах.» (15048).</w:t>
      </w:r>
    </w:p>
    <w:p w14:paraId="437D0360" w14:textId="77777777" w:rsidR="00175C2A" w:rsidRPr="00D03F3E" w:rsidRDefault="00175C2A" w:rsidP="00D03F3E">
      <w:pPr>
        <w:spacing w:after="0" w:line="240" w:lineRule="auto"/>
        <w:jc w:val="both"/>
        <w:rPr>
          <w:rFonts w:ascii="Times New Roman" w:hAnsi="Times New Roman"/>
          <w:color w:val="000000" w:themeColor="text1"/>
          <w:sz w:val="16"/>
          <w:szCs w:val="16"/>
        </w:rPr>
      </w:pPr>
    </w:p>
    <w:p w14:paraId="2DF73FA2"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22 февраля</w:t>
      </w:r>
      <w:r w:rsidRPr="00D03F3E">
        <w:rPr>
          <w:rFonts w:ascii="Times New Roman" w:hAnsi="Times New Roman"/>
          <w:color w:val="000000" w:themeColor="text1"/>
          <w:sz w:val="16"/>
          <w:szCs w:val="16"/>
        </w:rPr>
        <w:t xml:space="preserve"> в 1943 году пять танковых дивизий Манштейна наносят удар с юга по увлекшейся наступлением и недопустимо растянувшим коммуникации Воронежскому и Юго-Западному фронтам. Нанеся неожиданное тяжелейшее поражение советским войскам (только под Харьковым потери - до 40 тысяч человек и 300 танков, впрочем у немцев - около 12 тысяч потерь) немцы повторно захватывают Харьков, Белгород. К концу марта начинается чудовищная рапутица, неожиданная уже для Манштейна, 48 танковый корпус и танковый корпус СС вязнут в грязи. Кроме того на фронт прибывает со значительным подкреплением Г.Жуков (15048).</w:t>
      </w:r>
    </w:p>
    <w:p w14:paraId="015107D1" w14:textId="77777777" w:rsidR="00175C2A" w:rsidRPr="00D03F3E" w:rsidRDefault="00175C2A" w:rsidP="00D03F3E">
      <w:pPr>
        <w:spacing w:after="0" w:line="240" w:lineRule="auto"/>
        <w:jc w:val="both"/>
        <w:rPr>
          <w:rFonts w:ascii="Times New Roman" w:hAnsi="Times New Roman"/>
          <w:color w:val="000000" w:themeColor="text1"/>
          <w:sz w:val="16"/>
          <w:szCs w:val="16"/>
        </w:rPr>
      </w:pPr>
    </w:p>
    <w:p w14:paraId="1CA587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22 февраля 1943 в воздушном бою погиб ли 2хГММ (один из первых двух) гла Г.П.Кравченко (438,865).</w:t>
      </w:r>
    </w:p>
    <w:p w14:paraId="1559DF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ECDC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February 22, 1943: Beginning of of a counterattack by forces of Heeresgruppe Mitte (von Kluge) in the area between the Dnepr and Donets (3819).</w:t>
      </w:r>
    </w:p>
    <w:p w14:paraId="20DC0A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49139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февраля 1943 началось контрнаступление Группы Центр (фон Клюге) между Днепром и Донцом (3819).</w:t>
      </w:r>
    </w:p>
    <w:p w14:paraId="426894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0863D6"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февраля 1943 в 19 ч. 45 мин. торпедный катер ТКА-61 (он же ВУ-61) в сопровождении двух катеров Г-5 — № 13 и № 9 — вышли из Геленджика и взяли курс на Камыш-Бурун. Но в 5 ч. 10 мин. 23 февраля они вернулись в базу. Операция была сорвана, так как самолет наведения в 1 час 05 мин. разбился в районе сухопутного аэродрома у Геленджика, весь экипаж, включая оператора наведения, погиб (15117).</w:t>
      </w:r>
    </w:p>
    <w:p w14:paraId="79EAEBCB" w14:textId="77777777" w:rsidR="00175C2A" w:rsidRPr="00D03F3E" w:rsidRDefault="00175C2A" w:rsidP="00D03F3E">
      <w:pPr>
        <w:spacing w:after="0" w:line="240" w:lineRule="auto"/>
        <w:jc w:val="both"/>
        <w:rPr>
          <w:rFonts w:ascii="Times New Roman" w:hAnsi="Times New Roman"/>
          <w:color w:val="000000" w:themeColor="text1"/>
          <w:sz w:val="16"/>
          <w:szCs w:val="16"/>
        </w:rPr>
      </w:pPr>
    </w:p>
    <w:p w14:paraId="4464CFE5"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22 февраля</w:t>
      </w:r>
      <w:r w:rsidRPr="00D03F3E">
        <w:rPr>
          <w:rFonts w:ascii="Times New Roman" w:hAnsi="Times New Roman"/>
          <w:color w:val="000000" w:themeColor="text1"/>
          <w:sz w:val="16"/>
          <w:szCs w:val="16"/>
        </w:rPr>
        <w:t xml:space="preserve"> в 1943 году после дезертирства из состава Русской Национальной Народной Армии 130 солдат ее командующий – бывший майор советской армии В.Ф.Гиль-Родионов отстранен от должности, а сама армия расформирована германским командованием (15048).</w:t>
      </w:r>
    </w:p>
    <w:p w14:paraId="6A88557D" w14:textId="77777777" w:rsidR="00175C2A" w:rsidRPr="00D03F3E" w:rsidRDefault="00175C2A" w:rsidP="00D03F3E">
      <w:pPr>
        <w:spacing w:after="0" w:line="240" w:lineRule="auto"/>
        <w:jc w:val="both"/>
        <w:rPr>
          <w:rFonts w:ascii="Times New Roman" w:hAnsi="Times New Roman"/>
          <w:color w:val="000000" w:themeColor="text1"/>
          <w:sz w:val="16"/>
          <w:szCs w:val="16"/>
        </w:rPr>
      </w:pPr>
    </w:p>
    <w:p w14:paraId="0B4479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февраля 1943 в 19:45 61-й в сопровождении двух других “Гэ-пятых” с номерами 13 и 91 вышли из Геленджика и взяли курс на Камыш-Бурун. Но уже в 05:10 следующего дня они вновь вернулись в базу. Причиной срыва набега стала катастрофа самолета наведения, который в 01:15 упал и разбился в районе сухопутного аэродрома у Геленджика. Экипаж, включая оператора наведения,погиб (6002).</w:t>
      </w:r>
    </w:p>
    <w:p w14:paraId="5CEF21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11D00D" w14:textId="77777777" w:rsidR="00237B30" w:rsidRPr="00D03F3E" w:rsidRDefault="00237B30" w:rsidP="00D03F3E">
      <w:pPr>
        <w:spacing w:after="0" w:line="240" w:lineRule="auto"/>
        <w:jc w:val="both"/>
        <w:rPr>
          <w:rFonts w:ascii="Times New Roman" w:hAnsi="Times New Roman"/>
          <w:color w:val="0070C0"/>
          <w:sz w:val="16"/>
          <w:szCs w:val="16"/>
          <w:lang w:eastAsia="ru-RU" w:bidi="ru-RU"/>
        </w:rPr>
      </w:pPr>
      <w:r w:rsidRPr="00D03F3E">
        <w:rPr>
          <w:rFonts w:ascii="Times New Roman" w:hAnsi="Times New Roman"/>
          <w:color w:val="0070C0"/>
          <w:sz w:val="16"/>
          <w:szCs w:val="16"/>
          <w:shd w:val="clear" w:color="auto" w:fill="FFFFFF"/>
        </w:rPr>
        <w:t>22 февраля в 19 час. 45 мин торпедный катер ТКА-61 (он же ВУ-61), который предполагалось использовать в качестве брандера под управлением с гидросамолета МБР-2, в сопровождении двух катеров Г-5 — № 13 и № 9 вышли из Геленджика и взяли курс на Камыш-Бурун. Но в 5 час. 10 мин 23 февраля они вернулись в базу. Операция была сорвана, так как самолет наведения в 1 час 05 мин разбился в районе сухопутного аэродрома у Гелинджика, весь экипаж, включая оператора наведения, погиб (22290).</w:t>
      </w:r>
    </w:p>
    <w:p w14:paraId="486764A7" w14:textId="77777777" w:rsidR="00237B30" w:rsidRPr="00D03F3E" w:rsidRDefault="00237B30" w:rsidP="00D03F3E">
      <w:pPr>
        <w:spacing w:after="0" w:line="240" w:lineRule="auto"/>
        <w:jc w:val="both"/>
        <w:rPr>
          <w:rFonts w:ascii="Times New Roman" w:hAnsi="Times New Roman"/>
          <w:color w:val="0070C0"/>
          <w:sz w:val="16"/>
          <w:szCs w:val="16"/>
          <w:lang w:eastAsia="ru-RU" w:bidi="ru-RU"/>
        </w:rPr>
      </w:pPr>
    </w:p>
    <w:p w14:paraId="5CE99A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февраля 1943 г. вышел ПРИКАЗ № 0047 О ПОДГОТОВКЕ АЭРОДРОМОВ ДЛЯ РАБОТЫ АВИАЦИИ В ПЕРИОД ВЕСЕННЕЙ РАСПУТИЦЫ</w:t>
      </w:r>
    </w:p>
    <w:p w14:paraId="08DE63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Считаю важнейшей задачей фронтов, округов и армий — обеспечение бесперебойной работы авиации в период весенней распутицы 1943 года. Приказываю:</w:t>
      </w:r>
    </w:p>
    <w:p w14:paraId="568F17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Подготовку аэродромов для работы авиации в весенний период 1943 года проводить путем очистки от снега (до грунта) взлетно-посадочных полос размером 1200 * 200 метров и рулежных дорожек, с устройством надежного ограждения очищенных полос от поступления талых вод с остальной части летного поля.</w:t>
      </w:r>
    </w:p>
    <w:p w14:paraId="4A7525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Выбор и подготовку аэродромов для весенней эксплуатации проводить в соответствии с Инструкцией УАС ВВС КА.</w:t>
      </w:r>
    </w:p>
    <w:p w14:paraId="0B295A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Для подготовки аэродромов и подъездных путей к ним распоряжением командующих фронтов, армий и округов выделить необходимые транспортные средства и рабочую силу из расчета подготовки для бесперебойной работы авиации следующего количества аэродромов:</w:t>
      </w:r>
    </w:p>
    <w:tbl>
      <w:tblPr>
        <w:tblW w:w="0" w:type="auto"/>
        <w:tblInd w:w="3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2391"/>
        <w:gridCol w:w="3587"/>
        <w:gridCol w:w="1055"/>
      </w:tblGrid>
      <w:tr w:rsidR="00860B4B" w:rsidRPr="00D03F3E" w14:paraId="352FCC57" w14:textId="77777777">
        <w:trPr>
          <w:trHeight w:val="255"/>
        </w:trPr>
        <w:tc>
          <w:tcPr>
            <w:tcW w:w="2391" w:type="dxa"/>
          </w:tcPr>
          <w:p w14:paraId="4C8E52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Карельский фронт:</w:t>
            </w:r>
          </w:p>
        </w:tc>
        <w:tc>
          <w:tcPr>
            <w:tcW w:w="3587" w:type="dxa"/>
          </w:tcPr>
          <w:p w14:paraId="0AFFF0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7-я воздушная армия</w:t>
            </w:r>
          </w:p>
        </w:tc>
        <w:tc>
          <w:tcPr>
            <w:tcW w:w="1055" w:type="dxa"/>
          </w:tcPr>
          <w:p w14:paraId="17B5D1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r>
      <w:tr w:rsidR="00860B4B" w:rsidRPr="00D03F3E" w14:paraId="60E325B5" w14:textId="77777777">
        <w:trPr>
          <w:trHeight w:val="255"/>
        </w:trPr>
        <w:tc>
          <w:tcPr>
            <w:tcW w:w="2391" w:type="dxa"/>
          </w:tcPr>
          <w:p w14:paraId="05BEF0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p w14:paraId="092163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tc>
        <w:tc>
          <w:tcPr>
            <w:tcW w:w="3587" w:type="dxa"/>
          </w:tcPr>
          <w:p w14:paraId="60FA61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 авиац. ПВО ТС</w:t>
            </w:r>
          </w:p>
        </w:tc>
        <w:tc>
          <w:tcPr>
            <w:tcW w:w="1055" w:type="dxa"/>
          </w:tcPr>
          <w:p w14:paraId="006940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r>
      <w:tr w:rsidR="00860B4B" w:rsidRPr="00D03F3E" w14:paraId="2C494A29" w14:textId="77777777">
        <w:trPr>
          <w:trHeight w:val="240"/>
        </w:trPr>
        <w:tc>
          <w:tcPr>
            <w:tcW w:w="2391" w:type="dxa"/>
          </w:tcPr>
          <w:p w14:paraId="052A6A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7-я отд. </w:t>
            </w:r>
            <w:r w:rsidR="00C81444" w:rsidRPr="00D03F3E">
              <w:rPr>
                <w:rFonts w:ascii="Times New Roman" w:hAnsi="Times New Roman"/>
                <w:i/>
                <w:color w:val="000000" w:themeColor="text1"/>
                <w:sz w:val="16"/>
                <w:szCs w:val="16"/>
              </w:rPr>
              <w:t>Армия:</w:t>
            </w:r>
          </w:p>
        </w:tc>
        <w:tc>
          <w:tcPr>
            <w:tcW w:w="3587" w:type="dxa"/>
          </w:tcPr>
          <w:p w14:paraId="47340A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257-я смешан, авиадивизия</w:t>
            </w:r>
          </w:p>
        </w:tc>
        <w:tc>
          <w:tcPr>
            <w:tcW w:w="1055" w:type="dxa"/>
          </w:tcPr>
          <w:p w14:paraId="327778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r>
      <w:tr w:rsidR="00860B4B" w:rsidRPr="00D03F3E" w14:paraId="43723712" w14:textId="77777777">
        <w:trPr>
          <w:trHeight w:val="240"/>
        </w:trPr>
        <w:tc>
          <w:tcPr>
            <w:tcW w:w="2391" w:type="dxa"/>
          </w:tcPr>
          <w:p w14:paraId="12AEC0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Ленинград, фронт:</w:t>
            </w:r>
          </w:p>
        </w:tc>
        <w:tc>
          <w:tcPr>
            <w:tcW w:w="3587" w:type="dxa"/>
          </w:tcPr>
          <w:p w14:paraId="550DF6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13-я воздушная армия</w:t>
            </w:r>
          </w:p>
        </w:tc>
        <w:tc>
          <w:tcPr>
            <w:tcW w:w="1055" w:type="dxa"/>
          </w:tcPr>
          <w:p w14:paraId="13ABDE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r>
      <w:tr w:rsidR="00860B4B" w:rsidRPr="00D03F3E" w14:paraId="47FFCB47" w14:textId="77777777">
        <w:trPr>
          <w:trHeight w:val="240"/>
        </w:trPr>
        <w:tc>
          <w:tcPr>
            <w:tcW w:w="2391" w:type="dxa"/>
          </w:tcPr>
          <w:p w14:paraId="0FB776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Волховский фронт:</w:t>
            </w:r>
          </w:p>
        </w:tc>
        <w:tc>
          <w:tcPr>
            <w:tcW w:w="3587" w:type="dxa"/>
          </w:tcPr>
          <w:p w14:paraId="0C5062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14-я воздушная армия</w:t>
            </w:r>
          </w:p>
        </w:tc>
        <w:tc>
          <w:tcPr>
            <w:tcW w:w="1055" w:type="dxa"/>
          </w:tcPr>
          <w:p w14:paraId="02E937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tc>
      </w:tr>
      <w:tr w:rsidR="00860B4B" w:rsidRPr="00D03F3E" w14:paraId="5C0E91F1" w14:textId="77777777">
        <w:trPr>
          <w:trHeight w:val="240"/>
        </w:trPr>
        <w:tc>
          <w:tcPr>
            <w:tcW w:w="2391" w:type="dxa"/>
          </w:tcPr>
          <w:p w14:paraId="3B2640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 фронт:</w:t>
            </w:r>
          </w:p>
        </w:tc>
        <w:tc>
          <w:tcPr>
            <w:tcW w:w="3587" w:type="dxa"/>
          </w:tcPr>
          <w:p w14:paraId="458954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6-я воздушная армия</w:t>
            </w:r>
          </w:p>
        </w:tc>
        <w:tc>
          <w:tcPr>
            <w:tcW w:w="1055" w:type="dxa"/>
          </w:tcPr>
          <w:p w14:paraId="408226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tc>
      </w:tr>
      <w:tr w:rsidR="00860B4B" w:rsidRPr="00D03F3E" w14:paraId="259C68DB" w14:textId="77777777">
        <w:trPr>
          <w:trHeight w:val="240"/>
        </w:trPr>
        <w:tc>
          <w:tcPr>
            <w:tcW w:w="2391" w:type="dxa"/>
          </w:tcPr>
          <w:p w14:paraId="3601C1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p w14:paraId="7C732F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tc>
        <w:tc>
          <w:tcPr>
            <w:tcW w:w="3587" w:type="dxa"/>
          </w:tcPr>
          <w:p w14:paraId="69EA98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 авиац. ПВО ТС</w:t>
            </w:r>
          </w:p>
        </w:tc>
        <w:tc>
          <w:tcPr>
            <w:tcW w:w="1055" w:type="dxa"/>
          </w:tcPr>
          <w:p w14:paraId="67EA61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r>
      <w:tr w:rsidR="00860B4B" w:rsidRPr="00D03F3E" w14:paraId="21376AB7" w14:textId="77777777">
        <w:trPr>
          <w:trHeight w:val="240"/>
        </w:trPr>
        <w:tc>
          <w:tcPr>
            <w:tcW w:w="2391" w:type="dxa"/>
          </w:tcPr>
          <w:p w14:paraId="7C6F72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Калининский фронт:</w:t>
            </w:r>
          </w:p>
        </w:tc>
        <w:tc>
          <w:tcPr>
            <w:tcW w:w="3587" w:type="dxa"/>
          </w:tcPr>
          <w:p w14:paraId="5A93E2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3-я воздушная армия</w:t>
            </w:r>
          </w:p>
        </w:tc>
        <w:tc>
          <w:tcPr>
            <w:tcW w:w="1055" w:type="dxa"/>
          </w:tcPr>
          <w:p w14:paraId="766F26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r>
      <w:tr w:rsidR="00860B4B" w:rsidRPr="00D03F3E" w14:paraId="3B98DD9C" w14:textId="77777777">
        <w:trPr>
          <w:trHeight w:val="255"/>
        </w:trPr>
        <w:tc>
          <w:tcPr>
            <w:tcW w:w="2391" w:type="dxa"/>
          </w:tcPr>
          <w:p w14:paraId="6605A7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Западный фронт:</w:t>
            </w:r>
          </w:p>
        </w:tc>
        <w:tc>
          <w:tcPr>
            <w:tcW w:w="3587" w:type="dxa"/>
          </w:tcPr>
          <w:p w14:paraId="0208FB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1-я воздушная армия</w:t>
            </w:r>
          </w:p>
        </w:tc>
        <w:tc>
          <w:tcPr>
            <w:tcW w:w="1055" w:type="dxa"/>
          </w:tcPr>
          <w:p w14:paraId="2D9EAE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tc>
      </w:tr>
      <w:tr w:rsidR="00860B4B" w:rsidRPr="00D03F3E" w14:paraId="4F99D781" w14:textId="77777777">
        <w:trPr>
          <w:trHeight w:val="240"/>
        </w:trPr>
        <w:tc>
          <w:tcPr>
            <w:tcW w:w="2391" w:type="dxa"/>
          </w:tcPr>
          <w:p w14:paraId="727A7F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p w14:paraId="607031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tc>
        <w:tc>
          <w:tcPr>
            <w:tcW w:w="3587" w:type="dxa"/>
          </w:tcPr>
          <w:p w14:paraId="4B2CF2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 авиац. ПВО ТС</w:t>
            </w:r>
          </w:p>
        </w:tc>
        <w:tc>
          <w:tcPr>
            <w:tcW w:w="1055" w:type="dxa"/>
          </w:tcPr>
          <w:p w14:paraId="164E29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r>
      <w:tr w:rsidR="00860B4B" w:rsidRPr="00D03F3E" w14:paraId="6FFE977D" w14:textId="77777777">
        <w:trPr>
          <w:trHeight w:val="240"/>
        </w:trPr>
        <w:tc>
          <w:tcPr>
            <w:tcW w:w="2391" w:type="dxa"/>
          </w:tcPr>
          <w:p w14:paraId="5BED53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Брянский фронт:</w:t>
            </w:r>
          </w:p>
        </w:tc>
        <w:tc>
          <w:tcPr>
            <w:tcW w:w="3587" w:type="dxa"/>
          </w:tcPr>
          <w:p w14:paraId="3AB55E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15-я воздушная армия</w:t>
            </w:r>
          </w:p>
        </w:tc>
        <w:tc>
          <w:tcPr>
            <w:tcW w:w="1055" w:type="dxa"/>
          </w:tcPr>
          <w:p w14:paraId="5AFB26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r>
      <w:tr w:rsidR="00860B4B" w:rsidRPr="00D03F3E" w14:paraId="3F9FCDBD" w14:textId="77777777">
        <w:trPr>
          <w:trHeight w:val="255"/>
        </w:trPr>
        <w:tc>
          <w:tcPr>
            <w:tcW w:w="2391" w:type="dxa"/>
          </w:tcPr>
          <w:p w14:paraId="150679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p w14:paraId="346EA9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tc>
        <w:tc>
          <w:tcPr>
            <w:tcW w:w="3587" w:type="dxa"/>
          </w:tcPr>
          <w:p w14:paraId="145C8F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16-я воздушная армия</w:t>
            </w:r>
          </w:p>
        </w:tc>
        <w:tc>
          <w:tcPr>
            <w:tcW w:w="1055" w:type="dxa"/>
          </w:tcPr>
          <w:p w14:paraId="3DF6C9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tc>
      </w:tr>
      <w:tr w:rsidR="00860B4B" w:rsidRPr="00D03F3E" w14:paraId="26D4DF79" w14:textId="77777777">
        <w:trPr>
          <w:trHeight w:val="240"/>
        </w:trPr>
        <w:tc>
          <w:tcPr>
            <w:tcW w:w="2391" w:type="dxa"/>
          </w:tcPr>
          <w:p w14:paraId="70A4B4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Воронежский фронт:</w:t>
            </w:r>
          </w:p>
        </w:tc>
        <w:tc>
          <w:tcPr>
            <w:tcW w:w="3587" w:type="dxa"/>
          </w:tcPr>
          <w:p w14:paraId="79ACD7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2-я воздушная армия</w:t>
            </w:r>
          </w:p>
        </w:tc>
        <w:tc>
          <w:tcPr>
            <w:tcW w:w="1055" w:type="dxa"/>
          </w:tcPr>
          <w:p w14:paraId="76CCB8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tc>
      </w:tr>
      <w:tr w:rsidR="00860B4B" w:rsidRPr="00D03F3E" w14:paraId="087EFC14" w14:textId="77777777">
        <w:trPr>
          <w:trHeight w:val="240"/>
        </w:trPr>
        <w:tc>
          <w:tcPr>
            <w:tcW w:w="2391" w:type="dxa"/>
          </w:tcPr>
          <w:p w14:paraId="4F8DE1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p w14:paraId="11195B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tc>
        <w:tc>
          <w:tcPr>
            <w:tcW w:w="3587" w:type="dxa"/>
          </w:tcPr>
          <w:p w14:paraId="14E9B9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 авиац. ПВО ТС</w:t>
            </w:r>
          </w:p>
        </w:tc>
        <w:tc>
          <w:tcPr>
            <w:tcW w:w="1055" w:type="dxa"/>
          </w:tcPr>
          <w:p w14:paraId="657D06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r>
      <w:tr w:rsidR="00860B4B" w:rsidRPr="00D03F3E" w14:paraId="2173D92A" w14:textId="77777777">
        <w:trPr>
          <w:trHeight w:val="240"/>
        </w:trPr>
        <w:tc>
          <w:tcPr>
            <w:tcW w:w="2391" w:type="dxa"/>
          </w:tcPr>
          <w:p w14:paraId="0A9940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Юго-Западный фронт:</w:t>
            </w:r>
          </w:p>
        </w:tc>
        <w:tc>
          <w:tcPr>
            <w:tcW w:w="3587" w:type="dxa"/>
          </w:tcPr>
          <w:p w14:paraId="343F6E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17-я воздушная армия</w:t>
            </w:r>
          </w:p>
        </w:tc>
        <w:tc>
          <w:tcPr>
            <w:tcW w:w="1055" w:type="dxa"/>
          </w:tcPr>
          <w:p w14:paraId="0074F1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tc>
      </w:tr>
      <w:tr w:rsidR="00860B4B" w:rsidRPr="00D03F3E" w14:paraId="65FD2DE8" w14:textId="77777777">
        <w:trPr>
          <w:trHeight w:val="240"/>
        </w:trPr>
        <w:tc>
          <w:tcPr>
            <w:tcW w:w="2391" w:type="dxa"/>
          </w:tcPr>
          <w:p w14:paraId="745EF5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p w14:paraId="7A0995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tc>
        <w:tc>
          <w:tcPr>
            <w:tcW w:w="3587" w:type="dxa"/>
          </w:tcPr>
          <w:p w14:paraId="5CBE07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 авиац. ПВО ТС</w:t>
            </w:r>
          </w:p>
        </w:tc>
        <w:tc>
          <w:tcPr>
            <w:tcW w:w="1055" w:type="dxa"/>
          </w:tcPr>
          <w:p w14:paraId="014598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r>
      <w:tr w:rsidR="00860B4B" w:rsidRPr="00D03F3E" w14:paraId="78CDD7C6" w14:textId="77777777">
        <w:trPr>
          <w:trHeight w:val="240"/>
        </w:trPr>
        <w:tc>
          <w:tcPr>
            <w:tcW w:w="2391" w:type="dxa"/>
          </w:tcPr>
          <w:p w14:paraId="3CD6F9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Южный фронт</w:t>
            </w:r>
          </w:p>
        </w:tc>
        <w:tc>
          <w:tcPr>
            <w:tcW w:w="3587" w:type="dxa"/>
          </w:tcPr>
          <w:p w14:paraId="1E3AB8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8-я воздушная армия</w:t>
            </w:r>
          </w:p>
        </w:tc>
        <w:tc>
          <w:tcPr>
            <w:tcW w:w="1055" w:type="dxa"/>
          </w:tcPr>
          <w:p w14:paraId="4DCE27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r>
      <w:tr w:rsidR="00860B4B" w:rsidRPr="00D03F3E" w14:paraId="05F400F5" w14:textId="77777777">
        <w:trPr>
          <w:trHeight w:val="240"/>
        </w:trPr>
        <w:tc>
          <w:tcPr>
            <w:tcW w:w="2391" w:type="dxa"/>
          </w:tcPr>
          <w:p w14:paraId="0BDBC0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p w14:paraId="086DA0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tc>
        <w:tc>
          <w:tcPr>
            <w:tcW w:w="3587" w:type="dxa"/>
          </w:tcPr>
          <w:p w14:paraId="70BE5C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 авиац. ПВО ТС</w:t>
            </w:r>
          </w:p>
        </w:tc>
        <w:tc>
          <w:tcPr>
            <w:tcW w:w="1055" w:type="dxa"/>
          </w:tcPr>
          <w:p w14:paraId="51F02C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r>
      <w:tr w:rsidR="00860B4B" w:rsidRPr="00D03F3E" w14:paraId="682BBDF6" w14:textId="77777777">
        <w:trPr>
          <w:trHeight w:val="240"/>
        </w:trPr>
        <w:tc>
          <w:tcPr>
            <w:tcW w:w="2391" w:type="dxa"/>
          </w:tcPr>
          <w:p w14:paraId="7CD55E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p w14:paraId="20A536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tc>
        <w:tc>
          <w:tcPr>
            <w:tcW w:w="3587" w:type="dxa"/>
          </w:tcPr>
          <w:p w14:paraId="7D24D9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Авиация ДД</w:t>
            </w:r>
          </w:p>
        </w:tc>
        <w:tc>
          <w:tcPr>
            <w:tcW w:w="1055" w:type="dxa"/>
          </w:tcPr>
          <w:p w14:paraId="09B7B8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r>
      <w:tr w:rsidR="00860B4B" w:rsidRPr="00D03F3E" w14:paraId="33F7AFF5" w14:textId="77777777">
        <w:trPr>
          <w:trHeight w:val="240"/>
        </w:trPr>
        <w:tc>
          <w:tcPr>
            <w:tcW w:w="2391" w:type="dxa"/>
          </w:tcPr>
          <w:p w14:paraId="71236A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Северо-Кавказ. фронт:</w:t>
            </w:r>
          </w:p>
        </w:tc>
        <w:tc>
          <w:tcPr>
            <w:tcW w:w="3587" w:type="dxa"/>
          </w:tcPr>
          <w:p w14:paraId="76B2B1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4-я воздушная армия</w:t>
            </w:r>
          </w:p>
        </w:tc>
        <w:tc>
          <w:tcPr>
            <w:tcW w:w="1055" w:type="dxa"/>
          </w:tcPr>
          <w:p w14:paraId="404F0E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w:t>
            </w:r>
          </w:p>
        </w:tc>
      </w:tr>
      <w:tr w:rsidR="00860B4B" w:rsidRPr="00D03F3E" w14:paraId="685C2F86" w14:textId="77777777">
        <w:trPr>
          <w:trHeight w:val="240"/>
        </w:trPr>
        <w:tc>
          <w:tcPr>
            <w:tcW w:w="2391" w:type="dxa"/>
          </w:tcPr>
          <w:p w14:paraId="402609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p w14:paraId="0E48F4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tc>
        <w:tc>
          <w:tcPr>
            <w:tcW w:w="3587" w:type="dxa"/>
          </w:tcPr>
          <w:p w14:paraId="1FD9F9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5-я воздушная армия</w:t>
            </w:r>
          </w:p>
        </w:tc>
        <w:tc>
          <w:tcPr>
            <w:tcW w:w="1055" w:type="dxa"/>
          </w:tcPr>
          <w:p w14:paraId="0852B7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tc>
      </w:tr>
      <w:tr w:rsidR="00860B4B" w:rsidRPr="00D03F3E" w14:paraId="2AFE7C3B" w14:textId="77777777">
        <w:trPr>
          <w:trHeight w:val="240"/>
        </w:trPr>
        <w:tc>
          <w:tcPr>
            <w:tcW w:w="2391" w:type="dxa"/>
          </w:tcPr>
          <w:p w14:paraId="339807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АрхВО:</w:t>
            </w:r>
          </w:p>
        </w:tc>
        <w:tc>
          <w:tcPr>
            <w:tcW w:w="3587" w:type="dxa"/>
          </w:tcPr>
          <w:p w14:paraId="6A7092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ВВС округа</w:t>
            </w:r>
          </w:p>
        </w:tc>
        <w:tc>
          <w:tcPr>
            <w:tcW w:w="1055" w:type="dxa"/>
          </w:tcPr>
          <w:p w14:paraId="7BA2AE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tc>
      </w:tr>
      <w:tr w:rsidR="00860B4B" w:rsidRPr="00D03F3E" w14:paraId="1F312BDF" w14:textId="77777777">
        <w:trPr>
          <w:trHeight w:val="240"/>
        </w:trPr>
        <w:tc>
          <w:tcPr>
            <w:tcW w:w="2391" w:type="dxa"/>
          </w:tcPr>
          <w:p w14:paraId="7FF0BA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p w14:paraId="5126FD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tc>
        <w:tc>
          <w:tcPr>
            <w:tcW w:w="3587" w:type="dxa"/>
          </w:tcPr>
          <w:p w14:paraId="5FCF4B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 авиац. ПВО ТС</w:t>
            </w:r>
          </w:p>
        </w:tc>
        <w:tc>
          <w:tcPr>
            <w:tcW w:w="1055" w:type="dxa"/>
          </w:tcPr>
          <w:p w14:paraId="2E8AD5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r>
      <w:tr w:rsidR="00860B4B" w:rsidRPr="00D03F3E" w14:paraId="732075D7" w14:textId="77777777">
        <w:trPr>
          <w:trHeight w:val="255"/>
        </w:trPr>
        <w:tc>
          <w:tcPr>
            <w:tcW w:w="2391" w:type="dxa"/>
          </w:tcPr>
          <w:p w14:paraId="3C6CC2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МВО:</w:t>
            </w:r>
          </w:p>
        </w:tc>
        <w:tc>
          <w:tcPr>
            <w:tcW w:w="3587" w:type="dxa"/>
          </w:tcPr>
          <w:p w14:paraId="33800C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ВВС округа</w:t>
            </w:r>
          </w:p>
        </w:tc>
        <w:tc>
          <w:tcPr>
            <w:tcW w:w="1055" w:type="dxa"/>
          </w:tcPr>
          <w:p w14:paraId="5271CF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w:t>
            </w:r>
          </w:p>
        </w:tc>
      </w:tr>
      <w:tr w:rsidR="00860B4B" w:rsidRPr="00D03F3E" w14:paraId="2441EF48" w14:textId="77777777">
        <w:trPr>
          <w:trHeight w:val="225"/>
        </w:trPr>
        <w:tc>
          <w:tcPr>
            <w:tcW w:w="2391" w:type="dxa"/>
          </w:tcPr>
          <w:p w14:paraId="3F55B6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p w14:paraId="564E41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tc>
        <w:tc>
          <w:tcPr>
            <w:tcW w:w="3587" w:type="dxa"/>
          </w:tcPr>
          <w:p w14:paraId="1342E4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авиация ПВО ТС</w:t>
            </w:r>
          </w:p>
        </w:tc>
        <w:tc>
          <w:tcPr>
            <w:tcW w:w="1055" w:type="dxa"/>
          </w:tcPr>
          <w:p w14:paraId="084D9B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r>
      <w:tr w:rsidR="00860B4B" w:rsidRPr="00D03F3E" w14:paraId="2298C39D" w14:textId="77777777">
        <w:trPr>
          <w:trHeight w:val="240"/>
        </w:trPr>
        <w:tc>
          <w:tcPr>
            <w:tcW w:w="2391" w:type="dxa"/>
          </w:tcPr>
          <w:p w14:paraId="108561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p w14:paraId="67F70B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tc>
        <w:tc>
          <w:tcPr>
            <w:tcW w:w="3587" w:type="dxa"/>
          </w:tcPr>
          <w:p w14:paraId="0B831D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авиация ДД</w:t>
            </w:r>
          </w:p>
        </w:tc>
        <w:tc>
          <w:tcPr>
            <w:tcW w:w="1055" w:type="dxa"/>
          </w:tcPr>
          <w:p w14:paraId="40128C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tc>
      </w:tr>
      <w:tr w:rsidR="00860B4B" w:rsidRPr="00D03F3E" w14:paraId="45863D05" w14:textId="77777777">
        <w:trPr>
          <w:trHeight w:val="255"/>
        </w:trPr>
        <w:tc>
          <w:tcPr>
            <w:tcW w:w="2391" w:type="dxa"/>
          </w:tcPr>
          <w:p w14:paraId="59951E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ПриВО</w:t>
            </w:r>
          </w:p>
        </w:tc>
        <w:tc>
          <w:tcPr>
            <w:tcW w:w="3587" w:type="dxa"/>
          </w:tcPr>
          <w:p w14:paraId="48ADAA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ВВС округа</w:t>
            </w:r>
          </w:p>
        </w:tc>
        <w:tc>
          <w:tcPr>
            <w:tcW w:w="1055" w:type="dxa"/>
          </w:tcPr>
          <w:p w14:paraId="497917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w:t>
            </w:r>
          </w:p>
        </w:tc>
      </w:tr>
      <w:tr w:rsidR="00860B4B" w:rsidRPr="00D03F3E" w14:paraId="63B6380C" w14:textId="77777777">
        <w:trPr>
          <w:trHeight w:val="240"/>
        </w:trPr>
        <w:tc>
          <w:tcPr>
            <w:tcW w:w="2391" w:type="dxa"/>
          </w:tcPr>
          <w:p w14:paraId="49DFCE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p w14:paraId="29F904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tc>
        <w:tc>
          <w:tcPr>
            <w:tcW w:w="3587" w:type="dxa"/>
          </w:tcPr>
          <w:p w14:paraId="513487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авиация ПВО ТС</w:t>
            </w:r>
          </w:p>
        </w:tc>
        <w:tc>
          <w:tcPr>
            <w:tcW w:w="1055" w:type="dxa"/>
          </w:tcPr>
          <w:p w14:paraId="674BD8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r>
      <w:tr w:rsidR="00860B4B" w:rsidRPr="00D03F3E" w14:paraId="1540EE66" w14:textId="77777777">
        <w:trPr>
          <w:trHeight w:val="255"/>
        </w:trPr>
        <w:tc>
          <w:tcPr>
            <w:tcW w:w="2391" w:type="dxa"/>
          </w:tcPr>
          <w:p w14:paraId="60910D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p w14:paraId="37ADE2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tc>
        <w:tc>
          <w:tcPr>
            <w:tcW w:w="3587" w:type="dxa"/>
          </w:tcPr>
          <w:p w14:paraId="24DAB0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авиация ДД</w:t>
            </w:r>
          </w:p>
        </w:tc>
        <w:tc>
          <w:tcPr>
            <w:tcW w:w="1055" w:type="dxa"/>
          </w:tcPr>
          <w:p w14:paraId="74A912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r>
      <w:tr w:rsidR="00860B4B" w:rsidRPr="00D03F3E" w14:paraId="6796B6AB" w14:textId="77777777">
        <w:trPr>
          <w:trHeight w:val="255"/>
        </w:trPr>
        <w:tc>
          <w:tcPr>
            <w:tcW w:w="2391" w:type="dxa"/>
          </w:tcPr>
          <w:p w14:paraId="77067D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УрВО:</w:t>
            </w:r>
          </w:p>
        </w:tc>
        <w:tc>
          <w:tcPr>
            <w:tcW w:w="3587" w:type="dxa"/>
          </w:tcPr>
          <w:p w14:paraId="4F13C9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ВВС округа</w:t>
            </w:r>
          </w:p>
        </w:tc>
        <w:tc>
          <w:tcPr>
            <w:tcW w:w="1055" w:type="dxa"/>
          </w:tcPr>
          <w:p w14:paraId="452CED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tc>
      </w:tr>
      <w:tr w:rsidR="00860B4B" w:rsidRPr="00D03F3E" w14:paraId="21FEDD08" w14:textId="77777777">
        <w:trPr>
          <w:trHeight w:val="255"/>
        </w:trPr>
        <w:tc>
          <w:tcPr>
            <w:tcW w:w="2391" w:type="dxa"/>
          </w:tcPr>
          <w:p w14:paraId="1BEAB9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ЮжУрВО:</w:t>
            </w:r>
          </w:p>
        </w:tc>
        <w:tc>
          <w:tcPr>
            <w:tcW w:w="3587" w:type="dxa"/>
          </w:tcPr>
          <w:p w14:paraId="16CB10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ВВС округа</w:t>
            </w:r>
          </w:p>
        </w:tc>
        <w:tc>
          <w:tcPr>
            <w:tcW w:w="1055" w:type="dxa"/>
          </w:tcPr>
          <w:p w14:paraId="07534E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tc>
      </w:tr>
      <w:tr w:rsidR="00860B4B" w:rsidRPr="00D03F3E" w14:paraId="03241E9A" w14:textId="77777777">
        <w:trPr>
          <w:trHeight w:val="240"/>
        </w:trPr>
        <w:tc>
          <w:tcPr>
            <w:tcW w:w="2391" w:type="dxa"/>
          </w:tcPr>
          <w:p w14:paraId="497231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СибВО:</w:t>
            </w:r>
          </w:p>
        </w:tc>
        <w:tc>
          <w:tcPr>
            <w:tcW w:w="3587" w:type="dxa"/>
          </w:tcPr>
          <w:p w14:paraId="3CE6D0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ВВС округа</w:t>
            </w:r>
          </w:p>
        </w:tc>
        <w:tc>
          <w:tcPr>
            <w:tcW w:w="1055" w:type="dxa"/>
          </w:tcPr>
          <w:p w14:paraId="7DD583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r>
      <w:tr w:rsidR="00860B4B" w:rsidRPr="00D03F3E" w14:paraId="55CEAAD7" w14:textId="77777777">
        <w:trPr>
          <w:trHeight w:val="255"/>
        </w:trPr>
        <w:tc>
          <w:tcPr>
            <w:tcW w:w="2391" w:type="dxa"/>
          </w:tcPr>
          <w:p w14:paraId="1BB6A8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Забайкальский фронт:</w:t>
            </w:r>
          </w:p>
        </w:tc>
        <w:tc>
          <w:tcPr>
            <w:tcW w:w="3587" w:type="dxa"/>
          </w:tcPr>
          <w:p w14:paraId="497B61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12-я воздушная армия</w:t>
            </w:r>
          </w:p>
        </w:tc>
        <w:tc>
          <w:tcPr>
            <w:tcW w:w="1055" w:type="dxa"/>
          </w:tcPr>
          <w:p w14:paraId="1D5EB8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tc>
      </w:tr>
      <w:tr w:rsidR="00860B4B" w:rsidRPr="00D03F3E" w14:paraId="3C69501A" w14:textId="77777777">
        <w:trPr>
          <w:trHeight w:val="240"/>
        </w:trPr>
        <w:tc>
          <w:tcPr>
            <w:tcW w:w="2391" w:type="dxa"/>
          </w:tcPr>
          <w:p w14:paraId="747CDA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Дальневост. фронт:</w:t>
            </w:r>
          </w:p>
        </w:tc>
        <w:tc>
          <w:tcPr>
            <w:tcW w:w="3587" w:type="dxa"/>
          </w:tcPr>
          <w:p w14:paraId="74CA51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ВВС фронта и ИА ПВО ТС</w:t>
            </w:r>
          </w:p>
        </w:tc>
        <w:tc>
          <w:tcPr>
            <w:tcW w:w="1055" w:type="dxa"/>
          </w:tcPr>
          <w:p w14:paraId="10B2F4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w:t>
            </w:r>
          </w:p>
        </w:tc>
      </w:tr>
    </w:tbl>
    <w:p w14:paraId="2F32D2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Указанное количество аэродромов не должно уменьшаться в ходе продвижения наших войск на Запад.</w:t>
      </w:r>
    </w:p>
    <w:p w14:paraId="4BC84F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Очистку аэродромов от снега закончить:</w:t>
      </w:r>
    </w:p>
    <w:p w14:paraId="5E99CF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Северо-Кавказский фронт — к 1.03.43 г.</w:t>
      </w:r>
    </w:p>
    <w:p w14:paraId="4DB169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Карельский фронт — к 1.04.43 г. и остальным фронтам и округам — к 20 марта 1943 г.</w:t>
      </w:r>
    </w:p>
    <w:p w14:paraId="2A1BC3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Непосредственную ответственность за подготовку аэродромов для бесперебойной работы с них авиации в весеннюю распутицу возложить на командующих воздушными армиями, ВВС округов, АДД и ИА ПВО ТС.</w:t>
      </w:r>
    </w:p>
    <w:p w14:paraId="06373A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Командующему ВВС Красной Армии и командующим АДД и ИА ПВО ТС в период с 25 февраля по 30 марта с. г. осуществить проверку настоящего приказа.</w:t>
      </w:r>
    </w:p>
    <w:p w14:paraId="0FC75D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Начальнику УСГ Красной Армии обеспечить мероприятия по подготовке аэродромов для работы весной выделением необходимого количества горючих и смазочных материалов по заявкам начальника тыла ВВС Красной Армии.</w:t>
      </w:r>
    </w:p>
    <w:p w14:paraId="6E541A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О ходе подготовки аэродромов к весне, начиная с 1 марта, ежедневно доносить по телеграфу командующему ВВС Красной Армии и командующим АДД и ИА ПВО ТС.</w:t>
      </w:r>
    </w:p>
    <w:p w14:paraId="2B9A1E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Народный комиссар обороны СССР И. СТАЛИН </w:t>
      </w:r>
      <w:r w:rsidRPr="00D03F3E">
        <w:rPr>
          <w:rFonts w:ascii="Times New Roman" w:hAnsi="Times New Roman"/>
          <w:color w:val="000000" w:themeColor="text1"/>
          <w:sz w:val="16"/>
          <w:szCs w:val="16"/>
        </w:rPr>
        <w:t>(9844).</w:t>
      </w:r>
    </w:p>
    <w:p w14:paraId="5286D4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9B400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73F52F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CC8FAB" w14:textId="77777777" w:rsidR="00237B30" w:rsidRPr="00D03F3E" w:rsidRDefault="00237B3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22 февраля 1943 г.</w:t>
      </w:r>
    </w:p>
    <w:p w14:paraId="42B03643" w14:textId="77777777" w:rsidR="00237B30" w:rsidRPr="00D03F3E" w:rsidRDefault="00237B3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Циркуляр НКВД СССР № 69 о разрешении принимать от заключенных личные средства на постройку танков и самолетов для Красной Армии</w:t>
      </w:r>
    </w:p>
    <w:p w14:paraId="7D1E8972" w14:textId="77777777" w:rsidR="00237B30" w:rsidRPr="00D03F3E" w:rsidRDefault="00237B3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22 февраля 1943 г.</w:t>
      </w:r>
    </w:p>
    <w:p w14:paraId="178BCF4E" w14:textId="77777777" w:rsidR="00237B30" w:rsidRPr="00D03F3E" w:rsidRDefault="00237B3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Совершенно секретно</w:t>
      </w:r>
    </w:p>
    <w:p w14:paraId="699CA499" w14:textId="77777777" w:rsidR="00237B30" w:rsidRPr="00D03F3E" w:rsidRDefault="00237B3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Наркомам внутренних дел республик</w:t>
      </w:r>
    </w:p>
    <w:p w14:paraId="39636370" w14:textId="77777777" w:rsidR="00237B30" w:rsidRPr="00D03F3E" w:rsidRDefault="00237B3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Начальникам УНКВД краев и областей</w:t>
      </w:r>
    </w:p>
    <w:p w14:paraId="34EAA212" w14:textId="77777777" w:rsidR="00237B30" w:rsidRPr="00D03F3E" w:rsidRDefault="00237B3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Начальникам исправительно-трудовых лагерей НКВД</w:t>
      </w:r>
    </w:p>
    <w:p w14:paraId="285852F9" w14:textId="77777777" w:rsidR="00237B30" w:rsidRPr="00D03F3E" w:rsidRDefault="00237B3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связи с поступающими с мест запросами о возможности приема от заключенных их личных средств на постройку танков и самолетов для Красной Армии —</w:t>
      </w:r>
    </w:p>
    <w:p w14:paraId="5F73EA67" w14:textId="77777777" w:rsidR="00237B30" w:rsidRPr="00D03F3E" w:rsidRDefault="00237B3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ПРЕДЛАГАЕТСЯ:</w:t>
      </w:r>
    </w:p>
    <w:p w14:paraId="7CF46A59" w14:textId="77777777" w:rsidR="00237B30" w:rsidRPr="00D03F3E" w:rsidRDefault="00237B3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Не препятствовать приему от заключенных их личных средств (как наличных денег, так и с личных счетов) для строительства вооружения и боевого оснащения Красной Армии.</w:t>
      </w:r>
    </w:p>
    <w:p w14:paraId="47A0DEFA" w14:textId="77777777" w:rsidR="00237B30" w:rsidRPr="00D03F3E" w:rsidRDefault="00237B3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Собранные средства зачислять на текущий счет колонии, лагеря, с последующим перечислением на соответствующие текущие счета по назначению.</w:t>
      </w:r>
    </w:p>
    <w:p w14:paraId="01970666" w14:textId="77777777" w:rsidR="00237B30" w:rsidRPr="00D03F3E" w:rsidRDefault="00237B3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Заместитель народного комиссара внутренних дел Союза ССР комиссар госбезопасности 2 ранга</w:t>
      </w:r>
      <w:r w:rsidRPr="00D03F3E">
        <w:rPr>
          <w:rFonts w:ascii="Times New Roman" w:hAnsi="Times New Roman"/>
          <w:color w:val="0070C0"/>
          <w:sz w:val="16"/>
          <w:szCs w:val="16"/>
        </w:rPr>
        <w:tab/>
        <w:t>Круглов</w:t>
      </w:r>
    </w:p>
    <w:p w14:paraId="19DD27E9" w14:textId="77777777" w:rsidR="00237B30" w:rsidRPr="00D03F3E" w:rsidRDefault="00237B3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ГА</w:t>
      </w:r>
      <w:r w:rsidRPr="00D03F3E">
        <w:rPr>
          <w:rFonts w:ascii="Times New Roman" w:hAnsi="Times New Roman"/>
          <w:color w:val="0070C0"/>
          <w:sz w:val="16"/>
          <w:szCs w:val="16"/>
          <w:lang w:val="en-US"/>
        </w:rPr>
        <w:t xml:space="preserve"> </w:t>
      </w:r>
      <w:r w:rsidRPr="00D03F3E">
        <w:rPr>
          <w:rFonts w:ascii="Times New Roman" w:hAnsi="Times New Roman"/>
          <w:color w:val="0070C0"/>
          <w:sz w:val="16"/>
          <w:szCs w:val="16"/>
        </w:rPr>
        <w:t>РФ</w:t>
      </w:r>
      <w:r w:rsidRPr="00D03F3E">
        <w:rPr>
          <w:rFonts w:ascii="Times New Roman" w:hAnsi="Times New Roman"/>
          <w:color w:val="0070C0"/>
          <w:sz w:val="16"/>
          <w:szCs w:val="16"/>
          <w:lang w:val="en-US"/>
        </w:rPr>
        <w:t xml:space="preserve">. </w:t>
      </w:r>
      <w:r w:rsidRPr="00D03F3E">
        <w:rPr>
          <w:rFonts w:ascii="Times New Roman" w:hAnsi="Times New Roman"/>
          <w:color w:val="0070C0"/>
          <w:sz w:val="16"/>
          <w:szCs w:val="16"/>
        </w:rPr>
        <w:t>Ф</w:t>
      </w:r>
      <w:r w:rsidRPr="00D03F3E">
        <w:rPr>
          <w:rFonts w:ascii="Times New Roman" w:hAnsi="Times New Roman"/>
          <w:color w:val="0070C0"/>
          <w:sz w:val="16"/>
          <w:szCs w:val="16"/>
          <w:lang w:val="en-US"/>
        </w:rPr>
        <w:t xml:space="preserve">. P-9401. On. la. </w:t>
      </w:r>
      <w:r w:rsidRPr="00D03F3E">
        <w:rPr>
          <w:rFonts w:ascii="Times New Roman" w:hAnsi="Times New Roman"/>
          <w:color w:val="0070C0"/>
          <w:sz w:val="16"/>
          <w:szCs w:val="16"/>
        </w:rPr>
        <w:t>Д. 152. Л. 60. Ротаторный экз. (20748).</w:t>
      </w:r>
    </w:p>
    <w:p w14:paraId="5450D99B" w14:textId="77777777" w:rsidR="00237B30" w:rsidRPr="00D03F3E" w:rsidRDefault="00237B30" w:rsidP="00D03F3E">
      <w:pPr>
        <w:spacing w:after="0" w:line="240" w:lineRule="auto"/>
        <w:jc w:val="both"/>
        <w:rPr>
          <w:rFonts w:ascii="Times New Roman" w:hAnsi="Times New Roman"/>
          <w:color w:val="0070C0"/>
          <w:sz w:val="16"/>
          <w:szCs w:val="16"/>
        </w:rPr>
      </w:pPr>
    </w:p>
    <w:p w14:paraId="201FC6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февраля 1943 ЦК ВКП(б) и СНК приняли решение вновь сократить тиражи всех газет и журналов на 10% и была пересмотрена их периодичность (512,292).</w:t>
      </w:r>
    </w:p>
    <w:p w14:paraId="7E04D3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2FB81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33B62C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E4D4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февраля 1943 года</w:t>
      </w:r>
    </w:p>
    <w:p w14:paraId="5BC5DD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 РУЗВЕЛЬТ И. В. СТАЛИНУ*</w:t>
      </w:r>
    </w:p>
    <w:p w14:paraId="50CD58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СЕКРЕТНО И ЛИЧНО</w:t>
      </w:r>
    </w:p>
    <w:p w14:paraId="70BC70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ответ на Ваше послание от 16 февраля, в котором Вы изложили некоторые соображения, переданные Вами г-ну Черчиллю в ответ на его послание от 12 февраля на Ваше имя, я хочу сообщить, что я разделяю Ваше сожаление о том, что усилия союзников в Северной Африке не развивались в соответствии с планом. Они были прерваны неожиданными сильными дождями, которые весьма затруднили перевозку по дорогам как снабжения, так и войск, направлявшихся на линию фронта из наших портов выгрузки. Эти дожди сделали поля и горы непроходимыми.</w:t>
      </w:r>
    </w:p>
    <w:p w14:paraId="0828EA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 вполне сознаю неблагоприятные последствия, которые эта задержка будет иметь для общих усилий союзников, и я принимаю все возможные меры для того, чтобы начать успешные наступательные действия против вооруженных сил держав оси в Африке в возможно ближайший момент с целью завершить их уничтожение.</w:t>
      </w:r>
    </w:p>
    <w:p w14:paraId="24B293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Большая разбросанность транспортных средств Америки в настоящее время хорошо Вам известна, и я могу Вас заверить в том, что прилагаются все усилия к тому, чтобы увеличить наши транспортные ресурсы.</w:t>
      </w:r>
    </w:p>
    <w:p w14:paraId="71CAA5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 понимаю, насколько важно предпринять военные усилия на континенте Европы в ближайший подходящий момент времени в целях уменьшения сопротивления держав оси Вашей героической армии. Вы можете быть уверены в том, что после успеха в Северной Африке, как только наши максимальные усилия смогут обеспечить нам транспортные средства, американские военные усилия будут распространены на европейский континент.</w:t>
      </w:r>
    </w:p>
    <w:p w14:paraId="064885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Мы желаем Вашей героической армии дальнейших успехов, которые вдохновляют нас всех (7430).</w:t>
      </w:r>
    </w:p>
    <w:p w14:paraId="272B68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5B523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156E0F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67B74C"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22 февраля</w:t>
      </w:r>
      <w:r w:rsidRPr="00D03F3E">
        <w:rPr>
          <w:rFonts w:ascii="Times New Roman" w:hAnsi="Times New Roman"/>
          <w:color w:val="000000" w:themeColor="text1"/>
          <w:sz w:val="16"/>
          <w:szCs w:val="16"/>
        </w:rPr>
        <w:t xml:space="preserve"> в 1943 году транспортно-десантный планер </w:t>
      </w:r>
      <w:hyperlink r:id="rId70" w:tgtFrame="_blank" w:history="1">
        <w:r w:rsidRPr="00D03F3E">
          <w:rPr>
            <w:rFonts w:ascii="Times New Roman" w:hAnsi="Times New Roman"/>
            <w:color w:val="000000" w:themeColor="text1"/>
            <w:sz w:val="16"/>
            <w:szCs w:val="16"/>
          </w:rPr>
          <w:t xml:space="preserve">«Costruzioni Aeronautiche Taliedo» «TM.2» </w:t>
        </w:r>
      </w:hyperlink>
      <w:r w:rsidRPr="00D03F3E">
        <w:rPr>
          <w:rFonts w:ascii="Times New Roman" w:hAnsi="Times New Roman"/>
          <w:color w:val="000000" w:themeColor="text1"/>
          <w:sz w:val="16"/>
          <w:szCs w:val="16"/>
        </w:rPr>
        <w:t>совершил первый полет (15048).</w:t>
      </w:r>
    </w:p>
    <w:p w14:paraId="37EFB168" w14:textId="77777777" w:rsidR="00175C2A" w:rsidRPr="00D03F3E" w:rsidRDefault="00175C2A" w:rsidP="00D03F3E">
      <w:pPr>
        <w:spacing w:after="0" w:line="240" w:lineRule="auto"/>
        <w:jc w:val="both"/>
        <w:rPr>
          <w:rFonts w:ascii="Times New Roman" w:hAnsi="Times New Roman"/>
          <w:color w:val="000000" w:themeColor="text1"/>
          <w:sz w:val="16"/>
          <w:szCs w:val="16"/>
        </w:rPr>
      </w:pPr>
    </w:p>
    <w:p w14:paraId="6357EF49" w14:textId="77777777" w:rsidR="00237B30" w:rsidRPr="00D03F3E" w:rsidRDefault="00237B3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22 февраля 1943 летающая лодка </w:t>
      </w:r>
      <w:r w:rsidRPr="00D03F3E">
        <w:rPr>
          <w:rFonts w:ascii="Times New Roman" w:hAnsi="Times New Roman"/>
          <w:color w:val="0070C0"/>
          <w:sz w:val="16"/>
          <w:szCs w:val="16"/>
          <w:lang w:val="en-US"/>
        </w:rPr>
        <w:t>Boeing</w:t>
      </w:r>
      <w:r w:rsidRPr="00D03F3E">
        <w:rPr>
          <w:rFonts w:ascii="Times New Roman" w:hAnsi="Times New Roman"/>
          <w:color w:val="0070C0"/>
          <w:sz w:val="16"/>
          <w:szCs w:val="16"/>
        </w:rPr>
        <w:t xml:space="preserve"> 314</w:t>
      </w:r>
      <w:r w:rsidRPr="00D03F3E">
        <w:rPr>
          <w:rFonts w:ascii="Times New Roman" w:hAnsi="Times New Roman"/>
          <w:color w:val="0070C0"/>
          <w:sz w:val="16"/>
          <w:szCs w:val="16"/>
          <w:lang w:val="en-US"/>
        </w:rPr>
        <w:t>A</w:t>
      </w:r>
      <w:r w:rsidRPr="00D03F3E">
        <w:rPr>
          <w:rFonts w:ascii="Times New Roman" w:hAnsi="Times New Roman"/>
          <w:color w:val="0070C0"/>
          <w:sz w:val="16"/>
          <w:szCs w:val="16"/>
        </w:rPr>
        <w:t xml:space="preserve"> </w:t>
      </w:r>
      <w:r w:rsidRPr="00D03F3E">
        <w:rPr>
          <w:rFonts w:ascii="Times New Roman" w:hAnsi="Times New Roman"/>
          <w:color w:val="0070C0"/>
          <w:sz w:val="16"/>
          <w:szCs w:val="16"/>
          <w:lang w:val="en-US"/>
        </w:rPr>
        <w:t>Clipper</w:t>
      </w:r>
      <w:r w:rsidRPr="00D03F3E">
        <w:rPr>
          <w:rFonts w:ascii="Times New Roman" w:hAnsi="Times New Roman"/>
          <w:color w:val="0070C0"/>
          <w:sz w:val="16"/>
          <w:szCs w:val="16"/>
        </w:rPr>
        <w:t xml:space="preserve"> компании </w:t>
      </w:r>
      <w:r w:rsidRPr="00D03F3E">
        <w:rPr>
          <w:rFonts w:ascii="Times New Roman" w:hAnsi="Times New Roman"/>
          <w:color w:val="0070C0"/>
          <w:sz w:val="16"/>
          <w:szCs w:val="16"/>
          <w:lang w:val="en-US"/>
        </w:rPr>
        <w:t>Pan</w:t>
      </w:r>
      <w:r w:rsidRPr="00D03F3E">
        <w:rPr>
          <w:rFonts w:ascii="Times New Roman" w:hAnsi="Times New Roman"/>
          <w:color w:val="0070C0"/>
          <w:sz w:val="16"/>
          <w:szCs w:val="16"/>
        </w:rPr>
        <w:t xml:space="preserve"> </w:t>
      </w:r>
      <w:r w:rsidRPr="00D03F3E">
        <w:rPr>
          <w:rFonts w:ascii="Times New Roman" w:hAnsi="Times New Roman"/>
          <w:color w:val="0070C0"/>
          <w:sz w:val="16"/>
          <w:szCs w:val="16"/>
          <w:lang w:val="en-US"/>
        </w:rPr>
        <w:t>American</w:t>
      </w:r>
      <w:r w:rsidRPr="00D03F3E">
        <w:rPr>
          <w:rFonts w:ascii="Times New Roman" w:hAnsi="Times New Roman"/>
          <w:color w:val="0070C0"/>
          <w:sz w:val="16"/>
          <w:szCs w:val="16"/>
        </w:rPr>
        <w:t xml:space="preserve"> </w:t>
      </w:r>
      <w:r w:rsidRPr="00D03F3E">
        <w:rPr>
          <w:rFonts w:ascii="Times New Roman" w:hAnsi="Times New Roman"/>
          <w:color w:val="0070C0"/>
          <w:sz w:val="16"/>
          <w:szCs w:val="16"/>
          <w:lang w:val="en-US"/>
        </w:rPr>
        <w:t>Airways</w:t>
      </w:r>
      <w:r w:rsidRPr="00D03F3E">
        <w:rPr>
          <w:rFonts w:ascii="Times New Roman" w:hAnsi="Times New Roman"/>
          <w:color w:val="0070C0"/>
          <w:sz w:val="16"/>
          <w:szCs w:val="16"/>
        </w:rPr>
        <w:t xml:space="preserve"> (регистрация </w:t>
      </w:r>
      <w:r w:rsidRPr="00D03F3E">
        <w:rPr>
          <w:rFonts w:ascii="Times New Roman" w:hAnsi="Times New Roman"/>
          <w:color w:val="0070C0"/>
          <w:sz w:val="16"/>
          <w:szCs w:val="16"/>
          <w:lang w:val="en-US"/>
        </w:rPr>
        <w:t>NC</w:t>
      </w:r>
      <w:r w:rsidRPr="00D03F3E">
        <w:rPr>
          <w:rFonts w:ascii="Times New Roman" w:hAnsi="Times New Roman"/>
          <w:color w:val="0070C0"/>
          <w:sz w:val="16"/>
          <w:szCs w:val="16"/>
        </w:rPr>
        <w:t xml:space="preserve">18603), выполнявшая рейс </w:t>
      </w:r>
      <w:r w:rsidRPr="00D03F3E">
        <w:rPr>
          <w:rFonts w:ascii="Times New Roman" w:hAnsi="Times New Roman"/>
          <w:color w:val="0070C0"/>
          <w:sz w:val="16"/>
          <w:szCs w:val="16"/>
          <w:lang w:val="en-US"/>
        </w:rPr>
        <w:t>United</w:t>
      </w:r>
      <w:r w:rsidRPr="00D03F3E">
        <w:rPr>
          <w:rFonts w:ascii="Times New Roman" w:hAnsi="Times New Roman"/>
          <w:color w:val="0070C0"/>
          <w:sz w:val="16"/>
          <w:szCs w:val="16"/>
        </w:rPr>
        <w:t xml:space="preserve"> </w:t>
      </w:r>
      <w:r w:rsidRPr="00D03F3E">
        <w:rPr>
          <w:rFonts w:ascii="Times New Roman" w:hAnsi="Times New Roman"/>
          <w:color w:val="0070C0"/>
          <w:sz w:val="16"/>
          <w:szCs w:val="16"/>
          <w:lang w:val="en-US"/>
        </w:rPr>
        <w:t>Service</w:t>
      </w:r>
      <w:r w:rsidRPr="00D03F3E">
        <w:rPr>
          <w:rFonts w:ascii="Times New Roman" w:hAnsi="Times New Roman"/>
          <w:color w:val="0070C0"/>
          <w:sz w:val="16"/>
          <w:szCs w:val="16"/>
        </w:rPr>
        <w:t xml:space="preserve"> </w:t>
      </w:r>
      <w:r w:rsidRPr="00D03F3E">
        <w:rPr>
          <w:rFonts w:ascii="Times New Roman" w:hAnsi="Times New Roman"/>
          <w:color w:val="0070C0"/>
          <w:sz w:val="16"/>
          <w:szCs w:val="16"/>
          <w:lang w:val="en-US"/>
        </w:rPr>
        <w:t>Organizations</w:t>
      </w:r>
      <w:r w:rsidRPr="00D03F3E">
        <w:rPr>
          <w:rFonts w:ascii="Times New Roman" w:hAnsi="Times New Roman"/>
          <w:color w:val="0070C0"/>
          <w:sz w:val="16"/>
          <w:szCs w:val="16"/>
        </w:rPr>
        <w:t>, терпит крушение возле Лиссабона, Португалия , когда его левое крыло ударяется о воду во время посадки в Лиссабоне. Двадцать пять из 39 человек на борту погибают, в том числе американский писатель, журналист и военный корреспондент Бен Робертсон и американская певица и актриса русского происхождения Тамара Драсин. Также в самолете находится американская актриса Джейн Фроман, которая поменялась местами с Драсин и выжила с серьезными травмами (20376).</w:t>
      </w:r>
    </w:p>
    <w:p w14:paraId="3F83B410" w14:textId="77777777" w:rsidR="00237B30" w:rsidRPr="00D03F3E" w:rsidRDefault="00237B30" w:rsidP="00D03F3E">
      <w:pPr>
        <w:spacing w:after="0" w:line="240" w:lineRule="auto"/>
        <w:jc w:val="both"/>
        <w:rPr>
          <w:rFonts w:ascii="Times New Roman" w:hAnsi="Times New Roman"/>
          <w:color w:val="0070C0"/>
          <w:sz w:val="16"/>
          <w:szCs w:val="16"/>
        </w:rPr>
      </w:pPr>
    </w:p>
    <w:p w14:paraId="0175B19C"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22 февраля</w:t>
      </w:r>
      <w:r w:rsidRPr="00D03F3E">
        <w:rPr>
          <w:rFonts w:ascii="Times New Roman" w:hAnsi="Times New Roman"/>
          <w:color w:val="000000" w:themeColor="text1"/>
          <w:sz w:val="16"/>
          <w:szCs w:val="16"/>
        </w:rPr>
        <w:t xml:space="preserve"> в 1943 году заявление главы правительства Виши Лаваля об отправке новых контингентов французских рабочих в гитлеровскую Германию (15048).</w:t>
      </w:r>
    </w:p>
    <w:p w14:paraId="1B2B6472" w14:textId="77777777" w:rsidR="00175C2A" w:rsidRPr="00D03F3E" w:rsidRDefault="00175C2A" w:rsidP="00D03F3E">
      <w:pPr>
        <w:spacing w:after="0" w:line="240" w:lineRule="auto"/>
        <w:jc w:val="both"/>
        <w:rPr>
          <w:rFonts w:ascii="Times New Roman" w:hAnsi="Times New Roman"/>
          <w:color w:val="000000" w:themeColor="text1"/>
          <w:sz w:val="16"/>
          <w:szCs w:val="16"/>
        </w:rPr>
      </w:pPr>
    </w:p>
    <w:p w14:paraId="6AB93AC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февраля 1943 правительство Болгарии приняло решение депортировать евреев страны в концлагерь Треблинка (4962).</w:t>
      </w:r>
    </w:p>
    <w:p w14:paraId="5F11206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14D67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февраля 1943 возле Лиссабона разбился американский самолет, погибли 39 человек, в том числе певица Тамара Сванн (4962).</w:t>
      </w:r>
    </w:p>
    <w:p w14:paraId="4D73DB1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A9992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3564B6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CD22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февраля 1943 П.М.Стефановский совершил аварию на Як-9 с М-107А (1775,36). По П.М.С. это был Як-9У цельнометаллической конструкции с выхлопными патрубками и между цилиндрами в специальных кожухах. Кожух прохудился и начался пожар. Мотор остановился. Потом врезался в вертикально вкопанный рельс. Лечили до 18 августа 1943 (2921,247).</w:t>
      </w:r>
    </w:p>
    <w:p w14:paraId="1F9FA5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9B72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февраля 1943 года в небе подмосковного г. Щелково Федрови, прилетев на аэродром Чкаловская, с ходу выполнил километраж и произвел посадку. Следом машину предстояло облетать летчику-испытателю НИИ ВВС П.М. Стефановскому. В 16 часов Як-9 ушел в очередной полет и не вернулся. Эпизод, связанный с тяжелейшей аварией, случившейся через 20 минут после вылета, достаточно подробно описан Петром Михайловичем в его воспоминаниях "Триста неизвестных". Летчик получил сильнейшие травмы и надолго выбыл из строя, и поэтому в акте расследования трагедии, прошедшего по горячим следам, нередко встречается слово "видимо".</w:t>
      </w:r>
    </w:p>
    <w:p w14:paraId="489072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Впрочем, обратимся к документу. Як-9 с мотором М-107А построили на опытном заводе 27 декабря 1942 г. В том роковом вылете его полетный вес составил 3100 кг при запасе топлива 350 кг. На 16-й минуте полета при снятии площадки (определение максимальной скорости) на высоте 2000 м "обрезал" мотор и появилась тряска с последующими выбросами дыма из под капота.</w:t>
      </w:r>
    </w:p>
    <w:p w14:paraId="687EAF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это время машина находилась над аэродромом ГВФ "Набережная", располагавшимся на окраине Щелково. Сегодня от этого аэродрома сохранилось лишь одно название, но в те годы там не смолкал гул авиационных моторов.</w:t>
      </w:r>
    </w:p>
    <w:p w14:paraId="5F0E31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Видимо, при подходе к границе аэродрома летчик, заметив высоковольтную линию, проходившую по границе летного поля, решил пройти под проводами с убранным шасси, но задел левой консолью крыла за снежный бугор. В результате, опытный истребитель, перевернувшись через крыло, превратился в груду обломков.</w:t>
      </w:r>
    </w:p>
    <w:p w14:paraId="3E8D18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Расследование показало, что в полете загорелась тепловая изоляция водо-масляной системы, пропитанная маслом, выбрасывавшимся из суфлера. Однако авария не </w:t>
      </w:r>
      <w:r w:rsidRPr="00D03F3E">
        <w:rPr>
          <w:rFonts w:ascii="Times New Roman" w:hAnsi="Times New Roman"/>
          <w:color w:val="000000" w:themeColor="text1"/>
          <w:sz w:val="16"/>
          <w:szCs w:val="16"/>
        </w:rPr>
        <w:lastRenderedPageBreak/>
        <w:t>стала поводом для прекращения работ над новым истребителем с очень мощным мотором М-107А (12046).</w:t>
      </w:r>
    </w:p>
    <w:p w14:paraId="45F282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78EC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февраля 1943 г. Федрови получил на самолете Як-9 с М-107А максимальную скорость у земли 590 км/ч и на высоте 5800 м - 680 км/ч. Он внес предложение срочно установить в марте на 10-15 истребителей Як-9 моторы М-107А для проведения войсковых испытаний. Однако к этому времени опытный истребитель был потерян в результате аварии. О том как это произошло вспоминал летчик-испытатель НИИ ВВС П.М.Стефановский:</w:t>
      </w:r>
    </w:p>
    <w:p w14:paraId="511DDF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двадцать пятую годовщину Красной Армии и Военно-Морского Флота на аэродром в Чкаловскую прилетел инженер-летчик завода генерал-майор П.Я.Федрови. С ходу выполнив на мерной базе НИИ километраж, он произвел посадку для дозаправки и осмотра самолета. Мы с Пашей Федрови, старые сослуживцы по НИИ, встретились как братья.</w:t>
      </w:r>
    </w:p>
    <w:p w14:paraId="020D71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Будь добр, Петр Михайлович, дай команду, чтобы меня накормили - с утра во рту маковой росинки не было. - Наш Федрови всегда откровенен. - А пока я буду обедать, облетай самолет и дай заключение по его поведению. Александр Сергеевич очень просил.</w:t>
      </w:r>
    </w:p>
    <w:p w14:paraId="58D5BE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Заводской механик, приехавший поездом, и другие члены экипажа осмотрели и подготовили машину к полету. Самолет легко оторвался и взлетел. Набрав высоту тысяча метров, я начал выполнять горизонтальную площадку через аэродром в сторону Щелково, чтобы определить максимальную скорость, машина все быстрее мчалась вперед. Взглянув на капот, заметил, что в его щелях появился дымок, затем вспыхнуло пламя. Загорелся мотор.</w:t>
      </w:r>
    </w:p>
    <w:p w14:paraId="1AF308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того, чтобы дотянуть до аэродрома, не хватит высоты. Прыгать с парашютом? Но ведь самолет находится над самым центром города. Там люди. Решаю садиться, спланировав на окраину, где виднеется заснеженная площадка. Правда, ее пересекает электролиния высокого напряжения. Авось перетяну..</w:t>
      </w:r>
    </w:p>
    <w:p w14:paraId="789A67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черт! Самолет снижается гораздо быстрее, чем рассчитывал. Придется нырнуть под провода. Но тогда станет больше положенной скорость планирования. Ничего не поделаешь, другого выхода нет. Подход к земле усложнен четырьмя препятствиями: двумя столбами, поддерживающими проводами и землей. Не зацепить бы за что-нибудь. Скорость-то 300 километров в час.</w:t>
      </w:r>
    </w:p>
    <w:p w14:paraId="567ABD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Размышления внезапно прервал сильный удар...”.</w:t>
      </w:r>
    </w:p>
    <w:p w14:paraId="3DD456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Отчет штаба НИИ ВВС более лаконичен. Согласно этому документу, на 35-й минуте после старта при выполнении площадки на малой высоте, внезапно началась тряска мотора, из которого пошел дым. Летчик вынужден был совершить посадку, не дотянув до границы аэродрома “Набережная”. В результате самолет оказался полностью разбит, а получивший ранение П.М.Стефановский был отправлен в Кремлевскую больницу. Расследование причин аварии показало, что она произошла из-за того, что выброшенное из двигателя масло нарушило теплоизоляцию и произошло обгорание наружного коллектора и проводов зажигания.</w:t>
      </w:r>
    </w:p>
    <w:p w14:paraId="160F27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Почти семь месяцев провел в госпитале П.М.Стефановский. И примерно столько же времени прошло до того времени, когда следующий истребитель Як-9 с мотором М-107А поступил на официальные испытания...(4537).</w:t>
      </w:r>
    </w:p>
    <w:p w14:paraId="5E5950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7101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февраля 1943 г. у земли Як-9 с М-107А развил скорость 590 км/ч, на высоте 5800 м - 680 км/ч, т.е. показал характеристики, близкие к И-185, но при более слабом вооружении. Для участия в испытаниях «Яка» из НИИ ВВС при</w:t>
      </w:r>
      <w:r w:rsidRPr="00D03F3E">
        <w:rPr>
          <w:rFonts w:ascii="Times New Roman" w:hAnsi="Times New Roman"/>
          <w:color w:val="000000" w:themeColor="text1"/>
          <w:sz w:val="16"/>
          <w:szCs w:val="16"/>
        </w:rPr>
        <w:softHyphen/>
        <w:t>был П.М.Стефановский. 25 февраля 1943 г. он разогнал машину до максимальной скорости на мерной базе. Вдруг загорелся и заглох мотор. При посадке с останов</w:t>
      </w:r>
      <w:r w:rsidRPr="00D03F3E">
        <w:rPr>
          <w:rFonts w:ascii="Times New Roman" w:hAnsi="Times New Roman"/>
          <w:color w:val="000000" w:themeColor="text1"/>
          <w:sz w:val="16"/>
          <w:szCs w:val="16"/>
        </w:rPr>
        <w:softHyphen/>
        <w:t>ленным двигателем Стефановский зацепился за прово</w:t>
      </w:r>
      <w:r w:rsidRPr="00D03F3E">
        <w:rPr>
          <w:rFonts w:ascii="Times New Roman" w:hAnsi="Times New Roman"/>
          <w:color w:val="000000" w:themeColor="text1"/>
          <w:sz w:val="16"/>
          <w:szCs w:val="16"/>
        </w:rPr>
        <w:softHyphen/>
        <w:t>да, самолет был разбит, летчик остался жив, но провел около полугода в госпитале. Расследование причины аварии показало, что М-107А имеет серьезные дефекты. Его серийное производство прекратили, ОКБ В.Я.Климова вновь занялось доводкой мотора. И лишь спустя почти год и мотор М-107А, и са</w:t>
      </w:r>
      <w:r w:rsidRPr="00D03F3E">
        <w:rPr>
          <w:rFonts w:ascii="Times New Roman" w:hAnsi="Times New Roman"/>
          <w:color w:val="000000" w:themeColor="text1"/>
          <w:sz w:val="16"/>
          <w:szCs w:val="16"/>
        </w:rPr>
        <w:softHyphen/>
        <w:t>молеты с ним появились на вооружении (10667).</w:t>
      </w:r>
    </w:p>
    <w:p w14:paraId="414ED4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44ED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февраля 1943 г. опытная машина Як-7 М-107А была потеряна в аварии. В конце полета при выполнении площадки на малой высоте внезапно затрясся мотор, пошел дым. Летчик П.М. Стефановский был вынужден совершить посадку, не дотянув до границы аэродрома "Набережная". В результате самолет оказался полностью разбит, а пилот получил ранение. Расследование причин аварии показало: выброшенное из двигателя масло нарушило теплоизоляцию, вызвав обгорание наружного коллектора и проводов зажигания (9025).</w:t>
      </w:r>
    </w:p>
    <w:p w14:paraId="574E4A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8913F4"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23 февраля 1943 г. в ходе испытательного полета опытного истребителя Як-7 с мотором М-107А была полу</w:t>
      </w:r>
      <w:r w:rsidRPr="00D03F3E">
        <w:rPr>
          <w:color w:val="000000" w:themeColor="text1"/>
          <w:sz w:val="16"/>
          <w:szCs w:val="16"/>
        </w:rPr>
        <w:softHyphen/>
        <w:t>чена максимальная скорость 590 км/ч — у земли, и 680 км/ч — на высоте 5800 м, что ставило «семер</w:t>
      </w:r>
      <w:r w:rsidRPr="00D03F3E">
        <w:rPr>
          <w:color w:val="000000" w:themeColor="text1"/>
          <w:sz w:val="16"/>
          <w:szCs w:val="16"/>
        </w:rPr>
        <w:softHyphen/>
        <w:t>ку» на уровень опытного И-185 М-71 и выше немец</w:t>
      </w:r>
      <w:r w:rsidRPr="00D03F3E">
        <w:rPr>
          <w:color w:val="000000" w:themeColor="text1"/>
          <w:sz w:val="16"/>
          <w:szCs w:val="16"/>
        </w:rPr>
        <w:softHyphen/>
        <w:t xml:space="preserve">ких истребителей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 xml:space="preserve">-2 и </w:t>
      </w:r>
      <w:r w:rsidRPr="00D03F3E">
        <w:rPr>
          <w:color w:val="000000" w:themeColor="text1"/>
          <w:sz w:val="16"/>
          <w:szCs w:val="16"/>
          <w:lang w:val="en-US"/>
        </w:rPr>
        <w:t>Fw</w:t>
      </w:r>
      <w:r w:rsidRPr="00D03F3E">
        <w:rPr>
          <w:color w:val="000000" w:themeColor="text1"/>
          <w:sz w:val="16"/>
          <w:szCs w:val="16"/>
        </w:rPr>
        <w:t>190</w:t>
      </w:r>
      <w:r w:rsidRPr="00D03F3E">
        <w:rPr>
          <w:color w:val="000000" w:themeColor="text1"/>
          <w:sz w:val="16"/>
          <w:szCs w:val="16"/>
          <w:lang w:val="en-US"/>
        </w:rPr>
        <w:t>A</w:t>
      </w:r>
      <w:r w:rsidRPr="00D03F3E">
        <w:rPr>
          <w:color w:val="000000" w:themeColor="text1"/>
          <w:sz w:val="16"/>
          <w:szCs w:val="16"/>
        </w:rPr>
        <w:t>.</w:t>
      </w:r>
    </w:p>
    <w:p w14:paraId="32CF5CDF"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Этим не преминул воспользоваться А. С. Яков</w:t>
      </w:r>
      <w:r w:rsidRPr="00D03F3E">
        <w:rPr>
          <w:color w:val="000000" w:themeColor="text1"/>
          <w:sz w:val="16"/>
          <w:szCs w:val="16"/>
        </w:rPr>
        <w:softHyphen/>
        <w:t>лев. Несмотря на то что достигнутый результат повторить не удалось (25 февраля из-за пожара в воздухе и последующей остановки мотора Як-7 М-107А был разбит, а летчик-испытатель П. М. Стефановский попал в госпиталь), Яковлев предпринял попытку организовать выпуск войсковой серии са</w:t>
      </w:r>
      <w:r w:rsidRPr="00D03F3E">
        <w:rPr>
          <w:color w:val="000000" w:themeColor="text1"/>
          <w:sz w:val="16"/>
          <w:szCs w:val="16"/>
        </w:rPr>
        <w:softHyphen/>
        <w:t>молета Як-9 с М-107А.</w:t>
      </w:r>
    </w:p>
    <w:p w14:paraId="582A99C6"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его просьбе помощник начальника Инспек</w:t>
      </w:r>
      <w:r w:rsidRPr="00D03F3E">
        <w:rPr>
          <w:color w:val="000000" w:themeColor="text1"/>
          <w:sz w:val="16"/>
          <w:szCs w:val="16"/>
        </w:rPr>
        <w:softHyphen/>
        <w:t>ции ВВС КА и по совместительству шеф-пилот заво</w:t>
      </w:r>
      <w:r w:rsidRPr="00D03F3E">
        <w:rPr>
          <w:color w:val="000000" w:themeColor="text1"/>
          <w:sz w:val="16"/>
          <w:szCs w:val="16"/>
        </w:rPr>
        <w:softHyphen/>
        <w:t>да № 115 летчик-испытатель П. Я. Федрови 4 марта обратился к наркому авиационной промышленно</w:t>
      </w:r>
      <w:r w:rsidRPr="00D03F3E">
        <w:rPr>
          <w:color w:val="000000" w:themeColor="text1"/>
          <w:sz w:val="16"/>
          <w:szCs w:val="16"/>
        </w:rPr>
        <w:softHyphen/>
        <w:t>сти А. И. Шахурину с предложением срочно устано</w:t>
      </w:r>
      <w:r w:rsidRPr="00D03F3E">
        <w:rPr>
          <w:color w:val="000000" w:themeColor="text1"/>
          <w:sz w:val="16"/>
          <w:szCs w:val="16"/>
        </w:rPr>
        <w:softHyphen/>
        <w:t>вить «в марте с.г. на 10—15 самолетов Як-9 моторы М-107А» и провести их войсковые испытания на фронте.</w:t>
      </w:r>
    </w:p>
    <w:p w14:paraId="755A14B2" w14:textId="77777777" w:rsidR="00357519" w:rsidRPr="00D03F3E" w:rsidRDefault="0035751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Одновременно Яковлев направил Шахурину письмо, в котором настаивал на скорейшем нача</w:t>
      </w:r>
      <w:r w:rsidRPr="00D03F3E">
        <w:rPr>
          <w:color w:val="000000" w:themeColor="text1"/>
          <w:sz w:val="16"/>
          <w:szCs w:val="16"/>
        </w:rPr>
        <w:softHyphen/>
        <w:t>ле серийного производства «истребителей И-185, а также самолетов Як с моторами М-107-А». По его мнению, эти истребители со скоростью 570— 590 км/ч у земли и 680 км/ч на высоте 6000 м «должны обеспечить безусловное превосходство над возможными модификациями улучшенных ис</w:t>
      </w:r>
      <w:r w:rsidRPr="00D03F3E">
        <w:rPr>
          <w:color w:val="000000" w:themeColor="text1"/>
          <w:sz w:val="16"/>
          <w:szCs w:val="16"/>
        </w:rPr>
        <w:softHyphen/>
        <w:t>требителей противника». Учитывая серьезность создавшегося положения с истребительными само</w:t>
      </w:r>
      <w:r w:rsidRPr="00D03F3E">
        <w:rPr>
          <w:color w:val="000000" w:themeColor="text1"/>
          <w:sz w:val="16"/>
          <w:szCs w:val="16"/>
        </w:rPr>
        <w:softHyphen/>
        <w:t>летами, Яковлев считал необходимым «немедленно доложить этот вопрос Государственному Комитету Обороны».</w:t>
      </w:r>
    </w:p>
    <w:p w14:paraId="1BD8F3B7" w14:textId="77777777" w:rsidR="00357519" w:rsidRPr="00D03F3E" w:rsidRDefault="00357519" w:rsidP="00D03F3E">
      <w:pPr>
        <w:spacing w:after="0" w:line="240" w:lineRule="auto"/>
        <w:jc w:val="both"/>
        <w:rPr>
          <w:rFonts w:ascii="Times New Roman" w:hAnsi="Times New Roman"/>
          <w:color w:val="000000" w:themeColor="text1"/>
          <w:sz w:val="16"/>
          <w:szCs w:val="16"/>
        </w:rPr>
      </w:pPr>
    </w:p>
    <w:p w14:paraId="6D0A817A"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23 февраля</w:t>
      </w:r>
      <w:r w:rsidRPr="00D03F3E">
        <w:rPr>
          <w:rFonts w:ascii="Times New Roman" w:hAnsi="Times New Roman"/>
          <w:color w:val="000000" w:themeColor="text1"/>
          <w:sz w:val="16"/>
          <w:szCs w:val="16"/>
        </w:rPr>
        <w:t xml:space="preserve"> в 1943 году первый полёт истребителя с тяжёлой пушкой </w:t>
      </w:r>
      <w:hyperlink r:id="rId71" w:tgtFrame="_blank" w:history="1">
        <w:r w:rsidRPr="00D03F3E">
          <w:rPr>
            <w:rFonts w:ascii="Times New Roman" w:hAnsi="Times New Roman"/>
            <w:color w:val="000000" w:themeColor="text1"/>
            <w:sz w:val="16"/>
            <w:szCs w:val="16"/>
          </w:rPr>
          <w:t xml:space="preserve">«ИТП» («М-2»), </w:t>
        </w:r>
      </w:hyperlink>
      <w:r w:rsidRPr="00D03F3E">
        <w:rPr>
          <w:rFonts w:ascii="Times New Roman" w:hAnsi="Times New Roman"/>
          <w:color w:val="000000" w:themeColor="text1"/>
          <w:sz w:val="16"/>
          <w:szCs w:val="16"/>
        </w:rPr>
        <w:t>ОКБ Поликарпова. На самолёте, построенном в Новосибирске в 1942 г. были установлены мотор «АМ-37» и три синхронных пушки ШВАК. В декабре его передали в Москву, где мотор «АМ-37» был заменен на более мощный мотор «АМ-39» (1800 л. с.), а на основных стойках установили колеса меньших размеров (650x200 вместо 700x220 мм). В ходе испытаний на номинальном режиме была получена максимальная скорость полёта у земли - 540 км/ч и на первой расчётной высоте 2500 м - 570 км/ч. На форсажном режиме, соответственно 600 и 650 км/ч (15049).</w:t>
      </w:r>
    </w:p>
    <w:p w14:paraId="471628E5" w14:textId="77777777" w:rsidR="00175C2A" w:rsidRPr="00D03F3E" w:rsidRDefault="00175C2A" w:rsidP="00D03F3E">
      <w:pPr>
        <w:spacing w:after="0" w:line="240" w:lineRule="auto"/>
        <w:jc w:val="both"/>
        <w:rPr>
          <w:rFonts w:ascii="Times New Roman" w:hAnsi="Times New Roman"/>
          <w:color w:val="000000" w:themeColor="text1"/>
          <w:sz w:val="16"/>
          <w:szCs w:val="16"/>
        </w:rPr>
      </w:pPr>
    </w:p>
    <w:p w14:paraId="382BB1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февраля 1943 вышло Постановление ГКО № 2930 Об увеличении выпуска аэрофотоаппаратов для ВВС КА и ВВС ВМФ.РГАНИР, Фонд ГКО, д. 91, лл. 124-126, 127-130 (11012).</w:t>
      </w:r>
    </w:p>
    <w:p w14:paraId="7F468E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C8C05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февраля 1943 г. выпустили первую партию РЗ к РС на заводе №850, который запустили в эксплуатацию через 15 месяцев после начала строительства (11402).</w:t>
      </w:r>
    </w:p>
    <w:p w14:paraId="4087B6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7BBCB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7303C3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6351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февраля 1943 г. южноуральский завод выпустил первые партии зарядов для M-13 и М-8 и всего за время войны изготовил до 10% зарядов. Ракетные пороха и заряды перестали быть узким местом в обеспечении потребностей фронта реактивными снарядами всех калибров (11209).</w:t>
      </w:r>
    </w:p>
    <w:p w14:paraId="672CAA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872B39"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23 февраля</w:t>
      </w:r>
      <w:r w:rsidRPr="00D03F3E">
        <w:rPr>
          <w:rFonts w:ascii="Times New Roman" w:hAnsi="Times New Roman"/>
          <w:color w:val="000000" w:themeColor="text1"/>
          <w:sz w:val="16"/>
          <w:szCs w:val="16"/>
        </w:rPr>
        <w:t xml:space="preserve"> в 1943 году день образования ФГУП "Производственное объединение "Авангард". Официальной датой основания ФГУП "ПО "Авангард" считается 23 февраля 1943 г. История предприятия берет начало в 1941-1943 гг., когда был построен Стерлитамакский завод по производству порохов. В 1948-1958 г.г. была проведена реконструкция завода, расширена номенклатура основной и гражданской продукции: освоено производство линкруста, бризола (1956 г.), присадки ЦИАТИМ (1960 -1968 г.г.) и др.; в 1975 г. было освоено производство ряда изделий на синтетическом глицерине, выпускаемом Стерлитамакским химическим заводом (ныне АО "КАУСТИК"). С 1991 г. завод реорганизован как АО "Авангард". Сейчас Стерлитамакское производственное объединение "Авангард" по выпуску промышленной взрывчатых веществ и продукции производственно-технического назначения включает в себя 5 основных производств: по выпуску пластмасс (с 1943 г.), коллоксилина (1953 г.), резинотехнических изделий (1959 г.), пластификаторов (1965 г.), лакокрасок (1972 г.) (15049).</w:t>
      </w:r>
    </w:p>
    <w:p w14:paraId="5791F9E1" w14:textId="77777777" w:rsidR="00175C2A" w:rsidRPr="00D03F3E" w:rsidRDefault="00175C2A" w:rsidP="00D03F3E">
      <w:pPr>
        <w:spacing w:after="0" w:line="240" w:lineRule="auto"/>
        <w:jc w:val="both"/>
        <w:rPr>
          <w:rFonts w:ascii="Times New Roman" w:hAnsi="Times New Roman"/>
          <w:color w:val="000000" w:themeColor="text1"/>
          <w:sz w:val="16"/>
          <w:szCs w:val="16"/>
        </w:rPr>
      </w:pPr>
    </w:p>
    <w:p w14:paraId="162C14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февраля 1943 вышло Постановление ГКО № 2931 О среднесуточной подаче порожних вагонов Кузнецкому, Магнитогорскому и Ново-Тагильскому металлургическим заводам Наркомчермета.РГАНИР, Фонд ГКО, д. 91, лл. 131, 132 (11012).</w:t>
      </w:r>
    </w:p>
    <w:p w14:paraId="341055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BC43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февраля 1943 вышло Постановление ГКО № 2932 Об объявлении выговора зам. наркома НКТП Горегляду А.А. и главному инженеру Кировского завода в Челябинске Махонину С.Н. - за перерасход электроэнергии.РГАНИР, Фонд ГКО, д. 91, лл. 133 (11012).</w:t>
      </w:r>
    </w:p>
    <w:p w14:paraId="5E6A01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C456D6" w14:textId="77777777" w:rsidR="00175C2A"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февраля 1943 вышло Постановление ГКО № 2933 О восстановлении производства танков и тракторов на СТЗ.РГАНИР, Фонд ГКО, д. 91, лл. 134 (11012).</w:t>
      </w:r>
    </w:p>
    <w:p w14:paraId="3E440CBC" w14:textId="77777777" w:rsidR="00175C2A" w:rsidRPr="00D03F3E" w:rsidRDefault="00175C2A"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A95C97" w14:textId="77777777" w:rsidR="00175C2A"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февраля 1943 вышло:</w:t>
      </w:r>
    </w:p>
    <w:p w14:paraId="2351F3F5" w14:textId="77777777" w:rsidR="00175C2A"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ГОСУДАРСТВЕННОГО КОМИТЕТА ОБОРОНЫ</w:t>
      </w:r>
    </w:p>
    <w:p w14:paraId="1A08D573" w14:textId="77777777" w:rsidR="00175C2A"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февраля 1943 г. № 2933с</w:t>
      </w:r>
    </w:p>
    <w:p w14:paraId="5FF14F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восстановлении производства танков и тракторов на СТЗ.</w:t>
      </w:r>
    </w:p>
    <w:p w14:paraId="477B40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частичное изменение Постановления ЦК ВКП(б) и СНК СССР от 23.1-43 г. № 87-33с, Государственный Комитет Обороны ПОСТАНОВЛЯЕТ:</w:t>
      </w:r>
    </w:p>
    <w:p w14:paraId="5E782C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Сохранить Сталинградский тракторный завод в системе Наркомтанкопрома.</w:t>
      </w:r>
    </w:p>
    <w:p w14:paraId="434982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Обязать Наркомтанкопром - т.Зальцмана:</w:t>
      </w:r>
    </w:p>
    <w:p w14:paraId="76160A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немедленно приступить к организации на Сталинградском тракторном заводе ремонта танков Т-34 и дизелей, а также к производству запчастей и агрегатов к танкам Т-34 и дизелям В-2 с тем, чтобы через 3-4 месяца наладить на СТЗ изготовление танков Т-34;</w:t>
      </w:r>
    </w:p>
    <w:p w14:paraId="46AF97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восстановить производство бронекорпусов танков Т-34 на заводе № 264 в Сталинграде для обеспечения выпуска танков Т-34 на СТЗ;</w:t>
      </w:r>
    </w:p>
    <w:p w14:paraId="594FEC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 10-дневный срок представить в ГОКО мероприятия по восстановлению производства танков Т-34, дизелей В-2 и тракторов на Сталинградском тракторном заводе.</w:t>
      </w:r>
    </w:p>
    <w:p w14:paraId="6A36E9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Государственного Комитета Обороны И.СТАЛИН (11813).</w:t>
      </w:r>
    </w:p>
    <w:p w14:paraId="57ACD3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470A70" w14:textId="77777777" w:rsidR="00AC5101" w:rsidRPr="00D03F3E" w:rsidRDefault="00AC5101" w:rsidP="00D03F3E">
      <w:pPr>
        <w:pStyle w:val="a3"/>
        <w:rPr>
          <w:color w:val="000000" w:themeColor="text1"/>
          <w:lang w:val="ru-RU"/>
        </w:rPr>
      </w:pPr>
      <w:r w:rsidRPr="00D03F3E">
        <w:rPr>
          <w:color w:val="000000" w:themeColor="text1"/>
          <w:lang w:val="ru-RU"/>
        </w:rPr>
        <w:t>23 февраля 1943 года выходит постановление ГКО № 2933сс о восстановлении СТЗ. Ещё одно постановление ГКО предписывало передать обратно СТЗ и заводу № 264 работавших ранее на нём рабочих и ИТР. 22 апреля вышло постановление ГКО № 3230с «О восстановлении Сталинградского тракторного завода и завода № 264 наркомтанкопрома», в котором устанавливалось три этапа ввода в строй завода: до 1 мая 1943 года восстановить цеха для ремонта танков дизелей, до 1 октября 1943 года восстановить и пустить цеха танкового и дизельного производства, до 1 апреля 1944 года восстановить цеха для производства тракторов (12290).</w:t>
      </w:r>
    </w:p>
    <w:p w14:paraId="6C683AC9" w14:textId="77777777" w:rsidR="00AC5101" w:rsidRPr="00D03F3E" w:rsidRDefault="00AC5101" w:rsidP="00D03F3E">
      <w:pPr>
        <w:pStyle w:val="a3"/>
        <w:rPr>
          <w:color w:val="000000" w:themeColor="text1"/>
          <w:lang w:val="ru-RU"/>
        </w:rPr>
      </w:pPr>
    </w:p>
    <w:p w14:paraId="75A411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февраля 1943 вышло Постановление ГКО № 2934 Об угледобыче и шахтном строительстве по Печорскому каменноугольному бассейну в 1943 году.РГАНИР, Фонд ГКО, д. 91, лл. 135-137, 138-147 (11012).</w:t>
      </w:r>
    </w:p>
    <w:p w14:paraId="324140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444F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23 февраля 1943, на 10–й день освобождения Ростова на Дону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33BC13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5150FA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2A9525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36CE7C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2A9856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313BDC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609805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43116A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2C4AD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5440B8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EF497E"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23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63E34D33"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23 февраля наши войска вели наступательные бои на прежних направлениях.</w:t>
      </w:r>
    </w:p>
    <w:p w14:paraId="221582FB"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бойцы Н-ской части в ожесточённом бою истребили 150 немецких автоматчиков и уничтожили 2 танка, самоходное орудие и 20 автомашин противника. Захвачены трофеи, в числе которых 18 пулемётов, более 100 автоматов и много боеприпасов.</w:t>
      </w:r>
    </w:p>
    <w:p w14:paraId="2E4EAEC7"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Краматорской наши войска вели наступательные бои. Бойцы Н-ской части в районе одного рабочего посёлка разгромили вражеский мотопехотный батальон и подбили 8 немецких танков. На другом участке наши подразделения внезапным налётом овладели крупным населённым пунктом. Оказавший сопротивление немецкий гарнизон полностью уничтожен. Захвачены трофеи.</w:t>
      </w:r>
    </w:p>
    <w:p w14:paraId="1B93C8BC"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Грайворона наши войска вели успешное наступление и заняли несколько населённых пунктов. В боях за один из этих населённых пунктов уничтожено до полка немецкой пехоты. Захвачены склад боеприпасов, вещевые и продовольственные склады противника.</w:t>
      </w:r>
    </w:p>
    <w:p w14:paraId="0F888FDE"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наши части овладели рядом сильно укреплённых населённых пунктов. Уничтожено свыше 600 немецких солдат и офицеров. Взяты пленные. На другом участке советские подразделения прорвались в тыл противника и, создав угрозу окружения, вынудили немцев к отступлению. Гитлеровцы бросили материальную часть и поспешно отошли.</w:t>
      </w:r>
    </w:p>
    <w:p w14:paraId="0503FAA3"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войска с боями продвигались вперёд и заняли несколько населённых пунктов. Захвачены большие трофеи. Только бойцами Н-ской части захвачены 18 орудий и большой склад боеприпасов противника.</w:t>
      </w:r>
    </w:p>
    <w:p w14:paraId="04B30188"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наши лётчики в течение дня в воздушных боях сбили12 вражеских самолётов. Кроме того, огнём зенитной артиллерии уничтожено ещё 3 немецких самолёта.</w:t>
      </w:r>
    </w:p>
    <w:p w14:paraId="624E685D"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калининских партизан в бою против численно превосходящих сил противника уничтожил до 200 немецко-фашистских оккупантов. Партизаны другого отряда ночью совершили внезапный налёт на железнодорожный разъезд. Разрушены все железнодорожные сооружения, взорвано два моста и в нескольких местах подорваны железнодорожные пути.</w:t>
      </w:r>
    </w:p>
    <w:p w14:paraId="7506AD32"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Гитлеровские людоеды замучили насмерть десятки мирных жителей села Белолуцк, Ворошиловградской области. Фашистские палачи расстреляли врача Федосью Дубинскую, учительницу Марию Чернышёву, колхозника Ивана Ярового, его жену, дочь, невестку и её двух малолетних детей и многих других жителей. Немцы сожгли свыше 120 домов колхозников, уничтожили библиотеку, разграбили всё оборудование больницы. Перед отступлением из села гитлеровские негодяи загнали в церковь и заперли в ней стариков, женщин и детей, всего около 90 человек. Бандиты сделали все приготовления к взрыву церкви. Части Красной Армии, ворвавшиеся со всех сторон в село, помешали немецким извергам привести в исполнение злодейский замысел.» (15049).</w:t>
      </w:r>
    </w:p>
    <w:p w14:paraId="1C2F4935" w14:textId="77777777" w:rsidR="00175C2A" w:rsidRPr="00D03F3E" w:rsidRDefault="00175C2A" w:rsidP="00D03F3E">
      <w:pPr>
        <w:spacing w:after="0" w:line="240" w:lineRule="auto"/>
        <w:jc w:val="both"/>
        <w:rPr>
          <w:rFonts w:ascii="Times New Roman" w:hAnsi="Times New Roman"/>
          <w:color w:val="000000" w:themeColor="text1"/>
          <w:sz w:val="16"/>
          <w:szCs w:val="16"/>
        </w:rPr>
      </w:pPr>
    </w:p>
    <w:p w14:paraId="5D183B69"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23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05AC1E17"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февраля на Украине наши войска, продолжая наступление, заняли города Сумы, Ахтырка, Лебедин, а также овладели районным центром и железнодорожной станцией Краснополье, крупными населёнными пунктами и железнодорожными станциями Нижняя Сыроватка, Верхняя Сыроватка, Боромля.</w:t>
      </w:r>
    </w:p>
    <w:p w14:paraId="370AFDE5"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Курской области наши войска после упорного боя заняли город и железнодорожную станцию Малоархангельск.</w:t>
      </w:r>
    </w:p>
    <w:p w14:paraId="3BBB141B"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бои на прежних направлениях.</w:t>
      </w:r>
    </w:p>
    <w:p w14:paraId="12FF2874"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кораблями в Баренцевом море потоплен транспорт противника водоизмещением в 8.000 тонн.</w:t>
      </w:r>
    </w:p>
    <w:p w14:paraId="61BF990B"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февраля частями нашей авиации на различных участках фронта уничтожено или повреждено до 200 немецких автомашин с войсками и грузами, подавлен огонь 9 артиллерийских и 6 миномётных батарей, рассеяно и частью уничтожено до батальона пехоты противника.</w:t>
      </w:r>
    </w:p>
    <w:p w14:paraId="0E5F2FF6"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Западнее Ростова-на-Дону наши войска вели наступательные бои. Подразделения Н-ской части ворвались в расположение противника и после рукопашной схватки заняли укреплённый населённый пункт. На поле боя осталось до 200 вражеских трупов. Захвачены 4 орудия, 16 пулемётов, 5 миномётов и другие трофеи.</w:t>
      </w:r>
    </w:p>
    <w:p w14:paraId="74BFB898"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наши войска продолжали наступление. Преодолев упорное сопротивление противника, части Н-ского соединения продвинулись вперёд и овладели несколькими населёнными пунктами. При взятии одного пункта уничтожено180 немецких солдат и офицеров. Захвачены 2 орудия, 3 транспортёра, 11 пулемётов, склад вооружения и склад боеприпасов.</w:t>
      </w:r>
    </w:p>
    <w:p w14:paraId="7A19A350"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Красноармейского наши войска отражали ожесточённые контратаки противника. Немцы сосредоточили в этом районе крупные силы танков и мотопехоты и предпринимают отчаянные попытки вернуть важные коммуникации. Наши части сдерживают натиск гитлеровцев и наносят им большой урон. Только в течение дня подбито и сожжено 30 немецких танков и уничтожено до 100 автомашин с войсками противника.</w:t>
      </w:r>
    </w:p>
    <w:p w14:paraId="449B3D42"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подступах к городу Лебедин бойцы Н-ской части блокировали сильно укреплённый опорный пункт противника. Отказавшийся сдаться немецкий гарнизон уничтожен. После ожесточённого боя наши войска овладели городом Лебедин. На другом участке наши подвижные отряды уничтожили до 400 гитлеровцев. Захвачено 68 автомашин и много повозок с боеприпасами и различными грузами. Бойцы Н-ской части, овладев одним населённым пунктом, захватили 3 немецких танка, 5 орудий, 35 автомашин, 70.000 авиабомб, 6.000 снарядов и 50 тысяч патронов.</w:t>
      </w:r>
    </w:p>
    <w:p w14:paraId="1289D6EF"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наши войска вели наступательные бои. В район Малоархангельска немцы перебросили крупные силы и пытались любой ценой удержать в своих руках этот важный пункт. Советские части сломили сопротивление гитлеровцев и утром 23 февраля овладели городом, а также железнодорожной станцией Малоархангельск. Противник понёс тяжёлые потери в живой силе и технике.</w:t>
      </w:r>
    </w:p>
    <w:p w14:paraId="4D074D04"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одном из районов Украины, обстреляли немецкий воинский эшелон и уничтожили паровозную бригаду. Поезд без управления проскочил станцию и на большой скорости столкнулся с встречным эшелоном. В результате столкновения поездов оба состава разбиты. Партизанский отряд, действующий в другом районе Украины, совершил внезапный налёт на немецкий концентрационный лагерь, в котором находились заключённые советские граждане. Партизаны уничтожили охрану лагеря и освободили всех заключённых.</w:t>
      </w:r>
    </w:p>
    <w:p w14:paraId="2C226327"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величайшим подъёмом встретили трудящиеся Советского Союза приказ Верховного Главнокомандующего товарища Сталина о 25-й годовщине Красной Армии. На массовых митингах и собраниях рабочие и колхозники, советская интеллигенция — весь советский народ горячо приветствуют великого полководца Красной Армии товарища Сталина. Трудящиеся шлют слова любви и привета бойцам, командирам и политработникам, покрывшим неувядаемой, славой боевое знамя Красной Армии и заложившим прочный фундамент для победы над немецко-фашистскими захватчиками.</w:t>
      </w:r>
    </w:p>
    <w:p w14:paraId="3E429AB2"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Московском инструментальном заводе в цехе, где начальником цеха тов. Белявский, рабочие коллективно читали приказ. С особой радостью были встречены слова товарища Сталина о том, что «началось массовое изгнание врага из Советскойстраны». Слесарь Суворов, недавно награждённый орденом Трудового Красного Знамени, сказал: «Трудящиеся нашей страны без устали выпускают грозное оружие для нашей доблестной Красной Армии. Товарищ Сталин высоко оценил работу наших предприятий. Будем и впредь работать с удесятерённой энергией. Сделаем всё длятого, чтобы ускорить окончательный разгром гитлеровских полчищ».</w:t>
      </w:r>
    </w:p>
    <w:p w14:paraId="1C357C1A"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Рабочие предприятий Подольска, ознакомившись с приказом товарища Сталина, заявили: «Победы Красной Армии воодушевляют нас на трудовые подвиги во славу Родины. Слова товарища Сталина о том, что борьба с немецкими захватчиками еще не кончена, что она только развёртывается и разгорается, обязывают нас работать ещё лучше, чтобы дать Красной Армии больше танков, самолётов, оружия и боеприпасов».</w:t>
      </w:r>
    </w:p>
    <w:p w14:paraId="4AE6B854"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городе Иванове в цехах завода, где директором тов. Лебедев, состоялись многолюдные митинги. Этот завод в январе завоевал переходящее Красное Знамя ВЦСПС и Наркомлегпрома, а в феврале выполнил месячный план на 109,8 процента. Участники митинга — рабочие и работницы — поклялись ещё больше усилить помощь фронту.».</w:t>
      </w:r>
    </w:p>
    <w:p w14:paraId="103A41EA"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25FF67DB"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города Сумы, Ахтырка, Лебедин, Малоархангельск.</w:t>
      </w:r>
    </w:p>
    <w:p w14:paraId="523FF8BA"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февраля на Украине наши войска, продолжая наступление, заняли города Сумы, Ахтырка, Лебедин.</w:t>
      </w:r>
    </w:p>
    <w:p w14:paraId="7B35CBF0" w14:textId="77777777" w:rsidR="00175C2A" w:rsidRPr="00D03F3E" w:rsidRDefault="00175C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Курской области наши войска после упорного боя заняли город ижелезнодорожную станцию Малоархангельск.» (15049).</w:t>
      </w:r>
    </w:p>
    <w:p w14:paraId="59DDA442" w14:textId="77777777" w:rsidR="00175C2A" w:rsidRPr="00D03F3E" w:rsidRDefault="00175C2A" w:rsidP="00D03F3E">
      <w:pPr>
        <w:spacing w:after="0" w:line="240" w:lineRule="auto"/>
        <w:jc w:val="both"/>
        <w:rPr>
          <w:rFonts w:ascii="Times New Roman" w:hAnsi="Times New Roman"/>
          <w:color w:val="000000" w:themeColor="text1"/>
          <w:sz w:val="16"/>
          <w:szCs w:val="16"/>
        </w:rPr>
      </w:pPr>
    </w:p>
    <w:p w14:paraId="26F34B60" w14:textId="77777777" w:rsidR="000A78BA" w:rsidRPr="00D03F3E" w:rsidRDefault="000A78B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23 февраля</w:t>
      </w:r>
      <w:r w:rsidRPr="00D03F3E">
        <w:rPr>
          <w:rFonts w:ascii="Times New Roman" w:hAnsi="Times New Roman"/>
          <w:color w:val="000000" w:themeColor="text1"/>
          <w:sz w:val="16"/>
          <w:szCs w:val="16"/>
        </w:rPr>
        <w:t xml:space="preserve"> в 1943 году немецкие войска заняли Павлоград (15049).</w:t>
      </w:r>
    </w:p>
    <w:p w14:paraId="5E9F5BB8" w14:textId="77777777" w:rsidR="000A78BA" w:rsidRPr="00D03F3E" w:rsidRDefault="000A78BA" w:rsidP="00D03F3E">
      <w:pPr>
        <w:spacing w:after="0" w:line="240" w:lineRule="auto"/>
        <w:jc w:val="both"/>
        <w:rPr>
          <w:rFonts w:ascii="Times New Roman" w:hAnsi="Times New Roman"/>
          <w:color w:val="000000" w:themeColor="text1"/>
          <w:sz w:val="16"/>
          <w:szCs w:val="16"/>
        </w:rPr>
      </w:pPr>
    </w:p>
    <w:p w14:paraId="228E846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февраля 1943 в воздушном бою погиб русский генерал, дважды герой Советского Союза Григорий Кравченко (4962).</w:t>
      </w:r>
    </w:p>
    <w:p w14:paraId="50792B3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7CD798" w14:textId="77777777" w:rsidR="000A78BA" w:rsidRPr="00D03F3E" w:rsidRDefault="000A78B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23 февраля</w:t>
      </w:r>
      <w:r w:rsidRPr="00D03F3E">
        <w:rPr>
          <w:rFonts w:ascii="Times New Roman" w:hAnsi="Times New Roman"/>
          <w:color w:val="000000" w:themeColor="text1"/>
          <w:sz w:val="16"/>
          <w:szCs w:val="16"/>
        </w:rPr>
        <w:t xml:space="preserve"> в 1943 году рядовой Александр Матросов, воспитанник детского дома, закрывает амбразуру вражеского дзота своим телом (15049).</w:t>
      </w:r>
    </w:p>
    <w:p w14:paraId="7767B589" w14:textId="77777777" w:rsidR="000A78BA" w:rsidRPr="00D03F3E" w:rsidRDefault="000A78BA" w:rsidP="00D03F3E">
      <w:pPr>
        <w:spacing w:after="0" w:line="240" w:lineRule="auto"/>
        <w:jc w:val="both"/>
        <w:rPr>
          <w:rFonts w:ascii="Times New Roman" w:hAnsi="Times New Roman"/>
          <w:color w:val="000000" w:themeColor="text1"/>
          <w:sz w:val="16"/>
          <w:szCs w:val="16"/>
        </w:rPr>
      </w:pPr>
    </w:p>
    <w:p w14:paraId="60AC48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февраля 1943 А.Матросов совершил свой подвиг. 56-м за время войны (3481).</w:t>
      </w:r>
    </w:p>
    <w:p w14:paraId="4C614B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903E1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февраля 1943 в бою у деревни Чернушки (Псковская область) геройски погиб Александр Матросов, закрывший собой амбразуру дзота (4962).</w:t>
      </w:r>
    </w:p>
    <w:p w14:paraId="77AC18B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3DA63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781F1F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0DBA3B" w14:textId="77777777" w:rsidR="000A78BA" w:rsidRPr="00D03F3E" w:rsidRDefault="000A78B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23 февраля</w:t>
      </w:r>
      <w:r w:rsidRPr="00D03F3E">
        <w:rPr>
          <w:rFonts w:ascii="Times New Roman" w:hAnsi="Times New Roman"/>
          <w:color w:val="000000" w:themeColor="text1"/>
          <w:sz w:val="16"/>
          <w:szCs w:val="16"/>
        </w:rPr>
        <w:t xml:space="preserve"> в 1943 году разбился в Каувахе (Финляндия) голландский биплан "Кольховен" «FK-52» («КО-130»), переведенный в учебные и выполнявший учебный полет. Всего было выпущено 2 "Кольховена", первый сбили в начале ВОВ над Ханко, когда он выполнял агитационный полет (разбрасывали листовки и орали в матюгальник). Хорошие данные и внешнее изящество "Кольховена" выгодно отличали его от большинства "коллег", популярнейших в 1930-е годы многоцелевых бипланов (15049).</w:t>
      </w:r>
    </w:p>
    <w:p w14:paraId="72AE59C0" w14:textId="77777777" w:rsidR="000A78BA" w:rsidRPr="00D03F3E" w:rsidRDefault="000A78BA" w:rsidP="00D03F3E">
      <w:pPr>
        <w:spacing w:after="0" w:line="240" w:lineRule="auto"/>
        <w:jc w:val="both"/>
        <w:rPr>
          <w:rFonts w:ascii="Times New Roman" w:hAnsi="Times New Roman"/>
          <w:color w:val="000000" w:themeColor="text1"/>
          <w:sz w:val="16"/>
          <w:szCs w:val="16"/>
        </w:rPr>
      </w:pPr>
    </w:p>
    <w:p w14:paraId="25B5FF4E" w14:textId="77777777" w:rsidR="000A78BA" w:rsidRPr="00D03F3E" w:rsidRDefault="000A78B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23 февраля</w:t>
      </w:r>
      <w:r w:rsidRPr="00D03F3E">
        <w:rPr>
          <w:rFonts w:ascii="Times New Roman" w:hAnsi="Times New Roman"/>
          <w:color w:val="000000" w:themeColor="text1"/>
          <w:sz w:val="16"/>
          <w:szCs w:val="16"/>
        </w:rPr>
        <w:t xml:space="preserve"> в 1943 году первое поражение цели акустической торпедой. Запущенная с немецкой подводной лодки экспериментальная самонаводящаяся на шум корабля торпеда T-IV Falke топит танкер. Несмотря на достигнутый успех, эта модель, как и последующая T-V, окажется неудачной. С подобными торпедами быстро научились бороться, после того как советским морякам удастся потопить вооруженную ими подлодку и достать торпеды. К тому же новое оружие не отличается надежностью и представляет большую угрозу не противнику, а самим подлодкам (15049).</w:t>
      </w:r>
    </w:p>
    <w:p w14:paraId="5210242F" w14:textId="77777777" w:rsidR="000A78BA" w:rsidRPr="00D03F3E" w:rsidRDefault="000A78BA" w:rsidP="00D03F3E">
      <w:pPr>
        <w:spacing w:after="0" w:line="240" w:lineRule="auto"/>
        <w:jc w:val="both"/>
        <w:rPr>
          <w:rFonts w:ascii="Times New Roman" w:hAnsi="Times New Roman"/>
          <w:color w:val="000000" w:themeColor="text1"/>
          <w:sz w:val="16"/>
          <w:szCs w:val="16"/>
        </w:rPr>
      </w:pPr>
    </w:p>
    <w:p w14:paraId="5048F88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февраля 1943 в Британии официально отпразднован День Красной Армии (4962).</w:t>
      </w:r>
    </w:p>
    <w:p w14:paraId="1A739B5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1AAD25"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7A7157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2976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1943 вышло постановление ГКО N 2936 "О самолете Ил-4 с М-82" (1707,49).</w:t>
      </w:r>
    </w:p>
    <w:p w14:paraId="76C2EF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6176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1943 вышло Постановление ГКО № 2936 О выпуске самолетов Ил-4 с моторами М-82.РГАНИР, Фонд ГКО, д. 91, лл. 149-150 (11012).</w:t>
      </w:r>
    </w:p>
    <w:p w14:paraId="48FB41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1CA2BE" w14:textId="77777777" w:rsidR="00720566" w:rsidRPr="00D03F3E" w:rsidRDefault="0072056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1943 вышло Постановление ГКО № 2936 О выпуске самолетов Ил-4 с моторами М-82</w:t>
      </w:r>
    </w:p>
    <w:p w14:paraId="679C5313" w14:textId="77777777" w:rsidR="00720566" w:rsidRPr="00D03F3E" w:rsidRDefault="00720566"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Государственный Комитет Обороны постановляет:</w:t>
      </w:r>
    </w:p>
    <w:p w14:paraId="732BE9FF" w14:textId="77777777" w:rsidR="00720566" w:rsidRPr="00D03F3E" w:rsidRDefault="00720566" w:rsidP="00D03F3E">
      <w:pPr>
        <w:pStyle w:val="47"/>
        <w:shd w:val="clear" w:color="auto" w:fill="auto"/>
        <w:tabs>
          <w:tab w:val="left" w:pos="1410"/>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1. Обязать Наркомавиапром - т.Шахурина и главного конструктора т.Ильюшина в течение марта месяца с.г. сделать самолет Ил-4 с моторами М</w:t>
      </w:r>
      <w:r w:rsidRPr="00D03F3E">
        <w:rPr>
          <w:rStyle w:val="0pt"/>
          <w:rFonts w:ascii="Times New Roman" w:hAnsi="Times New Roman" w:cs="Times New Roman"/>
          <w:color w:val="000000" w:themeColor="text1"/>
          <w:spacing w:val="0"/>
          <w:sz w:val="16"/>
          <w:szCs w:val="16"/>
        </w:rPr>
        <w:t>-82,</w:t>
      </w:r>
      <w:r w:rsidRPr="00D03F3E">
        <w:rPr>
          <w:rFonts w:ascii="Times New Roman" w:hAnsi="Times New Roman" w:cs="Times New Roman"/>
          <w:color w:val="000000" w:themeColor="text1"/>
          <w:sz w:val="16"/>
          <w:szCs w:val="16"/>
        </w:rPr>
        <w:t xml:space="preserve"> с размещением экипажа в составе 5 человек.</w:t>
      </w:r>
    </w:p>
    <w:p w14:paraId="76BCE3A1" w14:textId="77777777" w:rsidR="00720566" w:rsidRPr="00D03F3E" w:rsidRDefault="00720566"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На указанном самолете Ил-4 с моторами М-82 провести следующую работу:</w:t>
      </w:r>
    </w:p>
    <w:p w14:paraId="47758B67" w14:textId="77777777" w:rsidR="00720566" w:rsidRPr="00D03F3E" w:rsidRDefault="00720566" w:rsidP="00D03F3E">
      <w:pPr>
        <w:pStyle w:val="47"/>
        <w:shd w:val="clear" w:color="auto" w:fill="auto"/>
        <w:tabs>
          <w:tab w:val="left" w:pos="1410"/>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а) установить 4 пулемета Березина и 1 пулемет Шкас с запасом патронов к пулеметам Березина - 830 шт. и к пуле</w:t>
      </w:r>
      <w:r w:rsidRPr="00D03F3E">
        <w:rPr>
          <w:rFonts w:ascii="Times New Roman" w:hAnsi="Times New Roman" w:cs="Times New Roman"/>
          <w:color w:val="000000" w:themeColor="text1"/>
          <w:sz w:val="16"/>
          <w:szCs w:val="16"/>
        </w:rPr>
        <w:softHyphen/>
        <w:t xml:space="preserve">мету Шкас - </w:t>
      </w:r>
      <w:r w:rsidRPr="00D03F3E">
        <w:rPr>
          <w:rStyle w:val="0pt"/>
          <w:rFonts w:ascii="Times New Roman" w:hAnsi="Times New Roman" w:cs="Times New Roman"/>
          <w:color w:val="000000" w:themeColor="text1"/>
          <w:spacing w:val="0"/>
          <w:sz w:val="16"/>
          <w:szCs w:val="16"/>
        </w:rPr>
        <w:t>500</w:t>
      </w:r>
      <w:r w:rsidRPr="00D03F3E">
        <w:rPr>
          <w:rFonts w:ascii="Times New Roman" w:hAnsi="Times New Roman" w:cs="Times New Roman"/>
          <w:color w:val="000000" w:themeColor="text1"/>
          <w:sz w:val="16"/>
          <w:szCs w:val="16"/>
        </w:rPr>
        <w:t xml:space="preserve"> шт.;</w:t>
      </w:r>
    </w:p>
    <w:p w14:paraId="0371C843" w14:textId="77777777" w:rsidR="00720566" w:rsidRPr="00D03F3E" w:rsidRDefault="00720566" w:rsidP="00D03F3E">
      <w:pPr>
        <w:pStyle w:val="47"/>
        <w:shd w:val="clear" w:color="auto" w:fill="auto"/>
        <w:tabs>
          <w:tab w:val="left" w:pos="1410"/>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б) усилить броневую защиту летчика,</w:t>
      </w:r>
      <w:r w:rsidRPr="00D03F3E">
        <w:rPr>
          <w:rStyle w:val="Gulim9pt0pt"/>
          <w:rFonts w:ascii="Times New Roman" w:hAnsi="Times New Roman" w:cs="Times New Roman"/>
          <w:color w:val="000000" w:themeColor="text1"/>
          <w:sz w:val="16"/>
          <w:szCs w:val="16"/>
        </w:rPr>
        <w:t xml:space="preserve"> сделав</w:t>
      </w:r>
      <w:r w:rsidRPr="00D03F3E">
        <w:rPr>
          <w:rFonts w:ascii="Times New Roman" w:hAnsi="Times New Roman" w:cs="Times New Roman"/>
          <w:color w:val="000000" w:themeColor="text1"/>
          <w:sz w:val="16"/>
          <w:szCs w:val="16"/>
        </w:rPr>
        <w:t xml:space="preserve"> бронеспинку толщиной 13 мм вместо </w:t>
      </w:r>
      <w:r w:rsidRPr="00D03F3E">
        <w:rPr>
          <w:rStyle w:val="0pt"/>
          <w:rFonts w:ascii="Times New Roman" w:hAnsi="Times New Roman" w:cs="Times New Roman"/>
          <w:color w:val="000000" w:themeColor="text1"/>
          <w:spacing w:val="0"/>
          <w:sz w:val="16"/>
          <w:szCs w:val="16"/>
        </w:rPr>
        <w:t>8,5</w:t>
      </w:r>
      <w:r w:rsidRPr="00D03F3E">
        <w:rPr>
          <w:rFonts w:ascii="Times New Roman" w:hAnsi="Times New Roman" w:cs="Times New Roman"/>
          <w:color w:val="000000" w:themeColor="text1"/>
          <w:sz w:val="16"/>
          <w:szCs w:val="16"/>
        </w:rPr>
        <w:t xml:space="preserve"> мм, а такие установить бронеспин</w:t>
      </w:r>
      <w:r w:rsidRPr="00D03F3E">
        <w:rPr>
          <w:rFonts w:ascii="Times New Roman" w:hAnsi="Times New Roman" w:cs="Times New Roman"/>
          <w:color w:val="000000" w:themeColor="text1"/>
          <w:sz w:val="16"/>
          <w:szCs w:val="16"/>
        </w:rPr>
        <w:softHyphen/>
        <w:t>ку штурману толщиной 8 мм;</w:t>
      </w:r>
    </w:p>
    <w:p w14:paraId="3F1C5DA6" w14:textId="77777777" w:rsidR="00720566" w:rsidRPr="00D03F3E" w:rsidRDefault="00720566" w:rsidP="00D03F3E">
      <w:pPr>
        <w:pStyle w:val="47"/>
        <w:shd w:val="clear" w:color="auto" w:fill="auto"/>
        <w:tabs>
          <w:tab w:val="left" w:pos="1410"/>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 для улучшения продольной устойчивости самолета сделать более переднюю центровку, для чего концы консолей крыла отнести назад и облегчить управление элеронами;</w:t>
      </w:r>
    </w:p>
    <w:p w14:paraId="3E4182B2" w14:textId="77777777" w:rsidR="00720566" w:rsidRPr="00D03F3E" w:rsidRDefault="00720566" w:rsidP="00D03F3E">
      <w:pPr>
        <w:pStyle w:val="47"/>
        <w:shd w:val="clear" w:color="auto" w:fill="auto"/>
        <w:tabs>
          <w:tab w:val="left" w:pos="1398"/>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 xml:space="preserve">г) установить колеса </w:t>
      </w:r>
      <w:r w:rsidRPr="00D03F3E">
        <w:rPr>
          <w:rStyle w:val="0pt"/>
          <w:rFonts w:ascii="Times New Roman" w:hAnsi="Times New Roman" w:cs="Times New Roman"/>
          <w:color w:val="000000" w:themeColor="text1"/>
          <w:spacing w:val="0"/>
          <w:sz w:val="16"/>
          <w:szCs w:val="16"/>
        </w:rPr>
        <w:t>1100x400</w:t>
      </w:r>
      <w:r w:rsidRPr="00D03F3E">
        <w:rPr>
          <w:rFonts w:ascii="Times New Roman" w:hAnsi="Times New Roman" w:cs="Times New Roman"/>
          <w:color w:val="000000" w:themeColor="text1"/>
          <w:sz w:val="16"/>
          <w:szCs w:val="16"/>
        </w:rPr>
        <w:t xml:space="preserve"> вместо колес </w:t>
      </w:r>
      <w:r w:rsidRPr="00D03F3E">
        <w:rPr>
          <w:rStyle w:val="0pt"/>
          <w:rFonts w:ascii="Times New Roman" w:hAnsi="Times New Roman" w:cs="Times New Roman"/>
          <w:color w:val="000000" w:themeColor="text1"/>
          <w:spacing w:val="0"/>
          <w:sz w:val="16"/>
          <w:szCs w:val="16"/>
        </w:rPr>
        <w:t>1000x350.</w:t>
      </w:r>
    </w:p>
    <w:p w14:paraId="723FB4E3" w14:textId="77777777" w:rsidR="00720566" w:rsidRPr="00D03F3E" w:rsidRDefault="00720566" w:rsidP="00D03F3E">
      <w:pPr>
        <w:pStyle w:val="47"/>
        <w:shd w:val="clear" w:color="auto" w:fill="auto"/>
        <w:tabs>
          <w:tab w:val="left" w:pos="1410"/>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2. Утвердить следующие данные самолета Ил-4 с моторами М</w:t>
      </w:r>
      <w:r w:rsidRPr="00D03F3E">
        <w:rPr>
          <w:rStyle w:val="0pt"/>
          <w:rFonts w:ascii="Times New Roman" w:hAnsi="Times New Roman" w:cs="Times New Roman"/>
          <w:color w:val="000000" w:themeColor="text1"/>
          <w:spacing w:val="0"/>
          <w:sz w:val="16"/>
          <w:szCs w:val="16"/>
        </w:rPr>
        <w:t>-82,</w:t>
      </w:r>
      <w:r w:rsidRPr="00D03F3E">
        <w:rPr>
          <w:rFonts w:ascii="Times New Roman" w:hAnsi="Times New Roman" w:cs="Times New Roman"/>
          <w:color w:val="000000" w:themeColor="text1"/>
          <w:sz w:val="16"/>
          <w:szCs w:val="16"/>
        </w:rPr>
        <w:t xml:space="preserve"> с указанными в п.1 вооружением, броневой защитой и составом экипажа самолета в количестве 5 человек.</w:t>
      </w:r>
    </w:p>
    <w:p w14:paraId="110B5A95" w14:textId="77777777" w:rsidR="00720566" w:rsidRPr="00D03F3E" w:rsidRDefault="00720566"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а) максимальная скорость у земли:</w:t>
      </w:r>
    </w:p>
    <w:p w14:paraId="7B9ED22E" w14:textId="77777777" w:rsidR="00720566" w:rsidRPr="00D03F3E" w:rsidRDefault="00720566" w:rsidP="00D03F3E">
      <w:pPr>
        <w:pStyle w:val="47"/>
        <w:shd w:val="clear" w:color="auto" w:fill="auto"/>
        <w:tabs>
          <w:tab w:val="left" w:pos="4888"/>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на номинальной мощности</w:t>
      </w:r>
      <w:r w:rsidRPr="00D03F3E">
        <w:rPr>
          <w:rFonts w:ascii="Times New Roman" w:hAnsi="Times New Roman" w:cs="Times New Roman"/>
          <w:color w:val="000000" w:themeColor="text1"/>
          <w:sz w:val="16"/>
          <w:szCs w:val="16"/>
        </w:rPr>
        <w:tab/>
        <w:t xml:space="preserve">- </w:t>
      </w:r>
      <w:r w:rsidRPr="00D03F3E">
        <w:rPr>
          <w:rStyle w:val="0pt"/>
          <w:rFonts w:ascii="Times New Roman" w:hAnsi="Times New Roman" w:cs="Times New Roman"/>
          <w:color w:val="000000" w:themeColor="text1"/>
          <w:spacing w:val="0"/>
          <w:sz w:val="16"/>
          <w:szCs w:val="16"/>
        </w:rPr>
        <w:t>375</w:t>
      </w:r>
      <w:r w:rsidRPr="00D03F3E">
        <w:rPr>
          <w:rFonts w:ascii="Times New Roman" w:hAnsi="Times New Roman" w:cs="Times New Roman"/>
          <w:color w:val="000000" w:themeColor="text1"/>
          <w:sz w:val="16"/>
          <w:szCs w:val="16"/>
        </w:rPr>
        <w:t xml:space="preserve"> км/час;</w:t>
      </w:r>
    </w:p>
    <w:p w14:paraId="16F21690" w14:textId="77777777" w:rsidR="00720566" w:rsidRPr="00D03F3E" w:rsidRDefault="00720566" w:rsidP="00D03F3E">
      <w:pPr>
        <w:pStyle w:val="47"/>
        <w:shd w:val="clear" w:color="auto" w:fill="auto"/>
        <w:tabs>
          <w:tab w:val="left" w:pos="4888"/>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 xml:space="preserve">на форсаже при </w:t>
      </w:r>
      <w:r w:rsidRPr="00D03F3E">
        <w:rPr>
          <w:rStyle w:val="0pt"/>
          <w:rFonts w:ascii="Times New Roman" w:hAnsi="Times New Roman" w:cs="Times New Roman"/>
          <w:color w:val="000000" w:themeColor="text1"/>
          <w:spacing w:val="0"/>
          <w:sz w:val="16"/>
          <w:szCs w:val="16"/>
        </w:rPr>
        <w:t>1700</w:t>
      </w:r>
      <w:r w:rsidRPr="00D03F3E">
        <w:rPr>
          <w:rFonts w:ascii="Times New Roman" w:hAnsi="Times New Roman" w:cs="Times New Roman"/>
          <w:color w:val="000000" w:themeColor="text1"/>
          <w:sz w:val="16"/>
          <w:szCs w:val="16"/>
        </w:rPr>
        <w:t xml:space="preserve"> л.с.</w:t>
      </w:r>
      <w:r w:rsidRPr="00D03F3E">
        <w:rPr>
          <w:rFonts w:ascii="Times New Roman" w:hAnsi="Times New Roman" w:cs="Times New Roman"/>
          <w:color w:val="000000" w:themeColor="text1"/>
          <w:sz w:val="16"/>
          <w:szCs w:val="16"/>
        </w:rPr>
        <w:tab/>
        <w:t xml:space="preserve">- </w:t>
      </w:r>
      <w:r w:rsidRPr="00D03F3E">
        <w:rPr>
          <w:rStyle w:val="0pt"/>
          <w:rFonts w:ascii="Times New Roman" w:hAnsi="Times New Roman" w:cs="Times New Roman"/>
          <w:color w:val="000000" w:themeColor="text1"/>
          <w:spacing w:val="0"/>
          <w:sz w:val="16"/>
          <w:szCs w:val="16"/>
        </w:rPr>
        <w:t>390</w:t>
      </w:r>
      <w:r w:rsidRPr="00D03F3E">
        <w:rPr>
          <w:rFonts w:ascii="Times New Roman" w:hAnsi="Times New Roman" w:cs="Times New Roman"/>
          <w:color w:val="000000" w:themeColor="text1"/>
          <w:sz w:val="16"/>
          <w:szCs w:val="16"/>
        </w:rPr>
        <w:t xml:space="preserve"> км/час;</w:t>
      </w:r>
    </w:p>
    <w:p w14:paraId="605862DC" w14:textId="77777777" w:rsidR="00720566" w:rsidRPr="00D03F3E" w:rsidRDefault="00720566"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максимальная скорость на</w:t>
      </w:r>
    </w:p>
    <w:p w14:paraId="39D575E0" w14:textId="77777777" w:rsidR="00720566" w:rsidRPr="00D03F3E" w:rsidRDefault="00720566" w:rsidP="00D03F3E">
      <w:pPr>
        <w:pStyle w:val="47"/>
        <w:shd w:val="clear" w:color="auto" w:fill="auto"/>
        <w:tabs>
          <w:tab w:val="left" w:pos="4888"/>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 xml:space="preserve">высоте </w:t>
      </w:r>
      <w:r w:rsidRPr="00D03F3E">
        <w:rPr>
          <w:rStyle w:val="0pt"/>
          <w:rFonts w:ascii="Times New Roman" w:hAnsi="Times New Roman" w:cs="Times New Roman"/>
          <w:color w:val="000000" w:themeColor="text1"/>
          <w:spacing w:val="0"/>
          <w:sz w:val="16"/>
          <w:szCs w:val="16"/>
        </w:rPr>
        <w:t>5500 мт</w:t>
      </w:r>
      <w:r w:rsidRPr="00D03F3E">
        <w:rPr>
          <w:rStyle w:val="0pt"/>
          <w:rFonts w:ascii="Times New Roman" w:hAnsi="Times New Roman" w:cs="Times New Roman"/>
          <w:color w:val="000000" w:themeColor="text1"/>
          <w:spacing w:val="0"/>
          <w:sz w:val="16"/>
          <w:szCs w:val="16"/>
        </w:rPr>
        <w:tab/>
        <w:t>- 440</w:t>
      </w:r>
      <w:r w:rsidRPr="00D03F3E">
        <w:rPr>
          <w:rFonts w:ascii="Times New Roman" w:hAnsi="Times New Roman" w:cs="Times New Roman"/>
          <w:color w:val="000000" w:themeColor="text1"/>
          <w:sz w:val="16"/>
          <w:szCs w:val="16"/>
        </w:rPr>
        <w:t xml:space="preserve"> км/час;</w:t>
      </w:r>
    </w:p>
    <w:p w14:paraId="4D17F80D" w14:textId="77777777" w:rsidR="00720566" w:rsidRPr="00D03F3E" w:rsidRDefault="00720566" w:rsidP="00D03F3E">
      <w:pPr>
        <w:pStyle w:val="27"/>
        <w:shd w:val="clear" w:color="auto" w:fill="auto"/>
        <w:tabs>
          <w:tab w:val="left" w:pos="973"/>
          <w:tab w:val="left" w:pos="379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lastRenderedPageBreak/>
        <w:t>б)</w:t>
      </w:r>
      <w:r w:rsidRPr="00D03F3E">
        <w:rPr>
          <w:rFonts w:ascii="Times New Roman" w:cs="Times New Roman"/>
          <w:color w:val="000000" w:themeColor="text1"/>
          <w:spacing w:val="0"/>
        </w:rPr>
        <w:tab/>
        <w:t>бомбовая нагрузка</w:t>
      </w:r>
      <w:r w:rsidRPr="00D03F3E">
        <w:rPr>
          <w:rFonts w:ascii="Times New Roman" w:cs="Times New Roman"/>
          <w:color w:val="000000" w:themeColor="text1"/>
          <w:spacing w:val="0"/>
        </w:rPr>
        <w:tab/>
        <w:t xml:space="preserve"> - 1000 кг.;</w:t>
      </w:r>
    </w:p>
    <w:p w14:paraId="2B93F738" w14:textId="77777777" w:rsidR="00720566" w:rsidRPr="00D03F3E" w:rsidRDefault="00720566" w:rsidP="00D03F3E">
      <w:pPr>
        <w:pStyle w:val="27"/>
        <w:shd w:val="clear" w:color="auto" w:fill="auto"/>
        <w:tabs>
          <w:tab w:val="left" w:pos="980"/>
          <w:tab w:val="left" w:pos="4145"/>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w:t>
      </w:r>
      <w:r w:rsidRPr="00D03F3E">
        <w:rPr>
          <w:rFonts w:ascii="Times New Roman" w:cs="Times New Roman"/>
          <w:color w:val="000000" w:themeColor="text1"/>
          <w:spacing w:val="0"/>
        </w:rPr>
        <w:tab/>
        <w:t>запас бензина</w:t>
      </w:r>
      <w:r w:rsidRPr="00D03F3E">
        <w:rPr>
          <w:rFonts w:ascii="Times New Roman" w:cs="Times New Roman"/>
          <w:color w:val="000000" w:themeColor="text1"/>
          <w:spacing w:val="0"/>
        </w:rPr>
        <w:tab/>
        <w:t>- 160С кг.;</w:t>
      </w:r>
    </w:p>
    <w:p w14:paraId="667FF9C8" w14:textId="77777777" w:rsidR="00720566" w:rsidRPr="00D03F3E" w:rsidRDefault="00720566" w:rsidP="00D03F3E">
      <w:pPr>
        <w:pStyle w:val="27"/>
        <w:shd w:val="clear" w:color="auto" w:fill="auto"/>
        <w:tabs>
          <w:tab w:val="left" w:pos="965"/>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г)</w:t>
      </w:r>
      <w:r w:rsidRPr="00D03F3E">
        <w:rPr>
          <w:rFonts w:ascii="Times New Roman" w:cs="Times New Roman"/>
          <w:color w:val="000000" w:themeColor="text1"/>
          <w:spacing w:val="0"/>
        </w:rPr>
        <w:tab/>
        <w:t>дальность самолета:</w:t>
      </w:r>
    </w:p>
    <w:p w14:paraId="569E50B6" w14:textId="77777777" w:rsidR="00720566" w:rsidRPr="00D03F3E" w:rsidRDefault="00720566"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нормальная (т.е. при полетном весе, при котором снимаются максимальные скорости самолета) - 1500</w:t>
      </w:r>
    </w:p>
    <w:p w14:paraId="128B34E8" w14:textId="77777777" w:rsidR="00720566" w:rsidRPr="00D03F3E" w:rsidRDefault="00720566"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с перегрузкой - 2200</w:t>
      </w:r>
    </w:p>
    <w:p w14:paraId="01795325" w14:textId="77777777" w:rsidR="00720566" w:rsidRPr="00D03F3E" w:rsidRDefault="00720566" w:rsidP="00D03F3E">
      <w:pPr>
        <w:pStyle w:val="27"/>
        <w:shd w:val="clear" w:color="auto" w:fill="auto"/>
        <w:tabs>
          <w:tab w:val="left" w:pos="965"/>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3. Обяэать Наркомавиапром - т.Шахурина и главного конструктора т.Ильюшина самолет Ил-4 с моторами М</w:t>
      </w:r>
      <w:r w:rsidRPr="00D03F3E">
        <w:rPr>
          <w:rStyle w:val="16"/>
          <w:rFonts w:ascii="Times New Roman" w:cs="Times New Roman"/>
          <w:color w:val="000000" w:themeColor="text1"/>
          <w:spacing w:val="0"/>
          <w:u w:val="none"/>
        </w:rPr>
        <w:t xml:space="preserve">-82 </w:t>
      </w:r>
      <w:r w:rsidRPr="00D03F3E">
        <w:rPr>
          <w:rFonts w:ascii="Times New Roman" w:cs="Times New Roman"/>
          <w:color w:val="000000" w:themeColor="text1"/>
          <w:spacing w:val="0"/>
        </w:rPr>
        <w:t xml:space="preserve">с данными, указанными в п. 2, передать на испытание ВВС КА к 10 апреля </w:t>
      </w:r>
      <w:r w:rsidRPr="00D03F3E">
        <w:rPr>
          <w:rStyle w:val="16"/>
          <w:rFonts w:ascii="Times New Roman" w:cs="Times New Roman"/>
          <w:color w:val="000000" w:themeColor="text1"/>
          <w:spacing w:val="0"/>
          <w:u w:val="none"/>
        </w:rPr>
        <w:t>1943</w:t>
      </w:r>
      <w:r w:rsidRPr="00D03F3E">
        <w:rPr>
          <w:rFonts w:ascii="Times New Roman" w:cs="Times New Roman"/>
          <w:color w:val="000000" w:themeColor="text1"/>
          <w:spacing w:val="0"/>
        </w:rPr>
        <w:t xml:space="preserve"> года.</w:t>
      </w:r>
    </w:p>
    <w:p w14:paraId="26776206" w14:textId="77777777" w:rsidR="00720566" w:rsidRPr="00D03F3E" w:rsidRDefault="0072056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4. Обязать ВВС КА - т.Новикова закончить испытание самолета Ил-4 с </w:t>
      </w:r>
      <w:r w:rsidRPr="00D03F3E">
        <w:rPr>
          <w:rStyle w:val="16"/>
          <w:rFonts w:ascii="Times New Roman" w:hAnsi="Times New Roman" w:cs="Times New Roman"/>
          <w:color w:val="000000" w:themeColor="text1"/>
          <w:spacing w:val="0"/>
          <w:u w:val="none"/>
        </w:rPr>
        <w:t>моторами М-82</w:t>
      </w:r>
      <w:r w:rsidRPr="00D03F3E">
        <w:rPr>
          <w:rFonts w:ascii="Times New Roman" w:hAnsi="Times New Roman"/>
          <w:color w:val="000000" w:themeColor="text1"/>
          <w:sz w:val="16"/>
          <w:szCs w:val="16"/>
        </w:rPr>
        <w:t xml:space="preserve"> не позднее</w:t>
      </w:r>
      <w:r w:rsidRPr="00D03F3E">
        <w:rPr>
          <w:rStyle w:val="Arial13pt-1pt"/>
          <w:rFonts w:ascii="Times New Roman" w:hAnsi="Times New Roman" w:cs="Times New Roman"/>
          <w:color w:val="000000" w:themeColor="text1"/>
          <w:spacing w:val="0"/>
          <w:sz w:val="16"/>
          <w:szCs w:val="16"/>
        </w:rPr>
        <w:t xml:space="preserve"> 25 </w:t>
      </w:r>
      <w:r w:rsidRPr="00D03F3E">
        <w:rPr>
          <w:rFonts w:ascii="Times New Roman" w:hAnsi="Times New Roman"/>
          <w:color w:val="000000" w:themeColor="text1"/>
          <w:sz w:val="16"/>
          <w:szCs w:val="16"/>
        </w:rPr>
        <w:t xml:space="preserve"> апреля 1943 г. (19384).</w:t>
      </w:r>
    </w:p>
    <w:p w14:paraId="4CF840C5" w14:textId="77777777" w:rsidR="00720566" w:rsidRPr="00D03F3E" w:rsidRDefault="00720566"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D99A9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1942 Зам. Нач. ГУКС Яковский писал Дементьеву письмо № 2697с:</w:t>
      </w:r>
    </w:p>
    <w:p w14:paraId="390BC2D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Препровождаю Вам список действующих и восстанавливаемых з-в, строек и законсервированных предприятий НКАП на 1 февраля 1942:</w:t>
      </w:r>
    </w:p>
    <w:p w14:paraId="133E3F8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Законсервированное и прекращенное стр-во</w:t>
      </w:r>
    </w:p>
    <w:p w14:paraId="5617987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ПГУ: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3420"/>
      </w:tblGrid>
      <w:tr w:rsidR="00860B4B" w:rsidRPr="00D03F3E" w14:paraId="3F18D0E5" w14:textId="77777777">
        <w:tc>
          <w:tcPr>
            <w:tcW w:w="828" w:type="dxa"/>
          </w:tcPr>
          <w:p w14:paraId="62422F6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420" w:type="dxa"/>
          </w:tcPr>
          <w:p w14:paraId="2021788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r>
      <w:tr w:rsidR="00860B4B" w:rsidRPr="00D03F3E" w14:paraId="63CC58B1" w14:textId="77777777">
        <w:tc>
          <w:tcPr>
            <w:tcW w:w="828" w:type="dxa"/>
          </w:tcPr>
          <w:p w14:paraId="3612A77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w:t>
            </w:r>
          </w:p>
        </w:tc>
        <w:tc>
          <w:tcPr>
            <w:tcW w:w="3420" w:type="dxa"/>
          </w:tcPr>
          <w:p w14:paraId="04AFB55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Ленинград</w:t>
            </w:r>
          </w:p>
        </w:tc>
      </w:tr>
      <w:tr w:rsidR="00860B4B" w:rsidRPr="00D03F3E" w14:paraId="053AC4D5" w14:textId="77777777">
        <w:tc>
          <w:tcPr>
            <w:tcW w:w="828" w:type="dxa"/>
          </w:tcPr>
          <w:p w14:paraId="31735DD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w:t>
            </w:r>
          </w:p>
        </w:tc>
        <w:tc>
          <w:tcPr>
            <w:tcW w:w="3420" w:type="dxa"/>
          </w:tcPr>
          <w:p w14:paraId="31E3A4E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Таганрог</w:t>
            </w:r>
          </w:p>
        </w:tc>
      </w:tr>
      <w:tr w:rsidR="00860B4B" w:rsidRPr="00D03F3E" w14:paraId="64B2DB38" w14:textId="77777777">
        <w:tc>
          <w:tcPr>
            <w:tcW w:w="828" w:type="dxa"/>
          </w:tcPr>
          <w:p w14:paraId="3A9DE3B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w:t>
            </w:r>
          </w:p>
        </w:tc>
        <w:tc>
          <w:tcPr>
            <w:tcW w:w="3420" w:type="dxa"/>
          </w:tcPr>
          <w:p w14:paraId="5635B02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Киев</w:t>
            </w:r>
          </w:p>
        </w:tc>
      </w:tr>
      <w:tr w:rsidR="00860B4B" w:rsidRPr="00D03F3E" w14:paraId="160BCBB4" w14:textId="77777777">
        <w:tc>
          <w:tcPr>
            <w:tcW w:w="828" w:type="dxa"/>
          </w:tcPr>
          <w:p w14:paraId="3C90EF8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81</w:t>
            </w:r>
          </w:p>
        </w:tc>
        <w:tc>
          <w:tcPr>
            <w:tcW w:w="3420" w:type="dxa"/>
          </w:tcPr>
          <w:p w14:paraId="1F40DA8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Тушино</w:t>
            </w:r>
          </w:p>
        </w:tc>
      </w:tr>
      <w:tr w:rsidR="00860B4B" w:rsidRPr="00D03F3E" w14:paraId="31FE20AB" w14:textId="77777777">
        <w:tc>
          <w:tcPr>
            <w:tcW w:w="828" w:type="dxa"/>
          </w:tcPr>
          <w:p w14:paraId="5D92726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123</w:t>
            </w:r>
          </w:p>
        </w:tc>
        <w:tc>
          <w:tcPr>
            <w:tcW w:w="3420" w:type="dxa"/>
          </w:tcPr>
          <w:p w14:paraId="563B0A1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Каменск</w:t>
            </w:r>
          </w:p>
        </w:tc>
      </w:tr>
      <w:tr w:rsidR="00860B4B" w:rsidRPr="00D03F3E" w14:paraId="4EC5968A" w14:textId="77777777">
        <w:tc>
          <w:tcPr>
            <w:tcW w:w="828" w:type="dxa"/>
          </w:tcPr>
          <w:p w14:paraId="7D38089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w:t>
            </w:r>
          </w:p>
        </w:tc>
        <w:tc>
          <w:tcPr>
            <w:tcW w:w="3420" w:type="dxa"/>
          </w:tcPr>
          <w:p w14:paraId="69ADE20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w:t>
            </w:r>
          </w:p>
        </w:tc>
      </w:tr>
      <w:tr w:rsidR="00860B4B" w:rsidRPr="00D03F3E" w14:paraId="027CA3DD" w14:textId="77777777">
        <w:tc>
          <w:tcPr>
            <w:tcW w:w="828" w:type="dxa"/>
          </w:tcPr>
          <w:p w14:paraId="0D2CFE1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w:t>
            </w:r>
          </w:p>
        </w:tc>
        <w:tc>
          <w:tcPr>
            <w:tcW w:w="3420" w:type="dxa"/>
          </w:tcPr>
          <w:p w14:paraId="121D20B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Молотов</w:t>
            </w:r>
          </w:p>
        </w:tc>
      </w:tr>
      <w:tr w:rsidR="00860B4B" w:rsidRPr="00D03F3E" w14:paraId="36B9FE59" w14:textId="77777777">
        <w:tc>
          <w:tcPr>
            <w:tcW w:w="828" w:type="dxa"/>
          </w:tcPr>
          <w:p w14:paraId="02A6FC2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165</w:t>
            </w:r>
          </w:p>
        </w:tc>
        <w:tc>
          <w:tcPr>
            <w:tcW w:w="3420" w:type="dxa"/>
          </w:tcPr>
          <w:p w14:paraId="5B25083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Днепропетровск</w:t>
            </w:r>
          </w:p>
        </w:tc>
      </w:tr>
      <w:tr w:rsidR="00860B4B" w:rsidRPr="00D03F3E" w14:paraId="687E92A1" w14:textId="77777777">
        <w:tc>
          <w:tcPr>
            <w:tcW w:w="828" w:type="dxa"/>
          </w:tcPr>
          <w:p w14:paraId="185F67A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207</w:t>
            </w:r>
          </w:p>
        </w:tc>
        <w:tc>
          <w:tcPr>
            <w:tcW w:w="3420" w:type="dxa"/>
          </w:tcPr>
          <w:p w14:paraId="1F17A0B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r>
      <w:tr w:rsidR="00860B4B" w:rsidRPr="00D03F3E" w14:paraId="28EDF7E4" w14:textId="77777777">
        <w:tc>
          <w:tcPr>
            <w:tcW w:w="828" w:type="dxa"/>
          </w:tcPr>
          <w:p w14:paraId="5ACC231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301</w:t>
            </w:r>
          </w:p>
        </w:tc>
        <w:tc>
          <w:tcPr>
            <w:tcW w:w="3420" w:type="dxa"/>
          </w:tcPr>
          <w:p w14:paraId="646C470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Химки</w:t>
            </w:r>
          </w:p>
        </w:tc>
      </w:tr>
      <w:tr w:rsidR="00860B4B" w:rsidRPr="00D03F3E" w14:paraId="40AF1151" w14:textId="77777777">
        <w:tc>
          <w:tcPr>
            <w:tcW w:w="828" w:type="dxa"/>
          </w:tcPr>
          <w:p w14:paraId="4C4BB49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305</w:t>
            </w:r>
          </w:p>
        </w:tc>
        <w:tc>
          <w:tcPr>
            <w:tcW w:w="3420" w:type="dxa"/>
          </w:tcPr>
          <w:p w14:paraId="0F5B67F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r>
      <w:tr w:rsidR="00860B4B" w:rsidRPr="00D03F3E" w14:paraId="76594C28" w14:textId="77777777">
        <w:tc>
          <w:tcPr>
            <w:tcW w:w="828" w:type="dxa"/>
          </w:tcPr>
          <w:p w14:paraId="173833E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387</w:t>
            </w:r>
          </w:p>
        </w:tc>
        <w:tc>
          <w:tcPr>
            <w:tcW w:w="3420" w:type="dxa"/>
          </w:tcPr>
          <w:p w14:paraId="622D13B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Ленинград</w:t>
            </w:r>
          </w:p>
        </w:tc>
      </w:tr>
      <w:tr w:rsidR="00860B4B" w:rsidRPr="00D03F3E" w14:paraId="15279CC3" w14:textId="77777777">
        <w:tc>
          <w:tcPr>
            <w:tcW w:w="828" w:type="dxa"/>
          </w:tcPr>
          <w:p w14:paraId="5ACB991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450</w:t>
            </w:r>
          </w:p>
        </w:tc>
        <w:tc>
          <w:tcPr>
            <w:tcW w:w="3420" w:type="dxa"/>
          </w:tcPr>
          <w:p w14:paraId="4FBCB2E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w:t>
            </w:r>
          </w:p>
        </w:tc>
      </w:tr>
      <w:tr w:rsidR="00860B4B" w:rsidRPr="00D03F3E" w14:paraId="271B5C7B" w14:textId="77777777">
        <w:tc>
          <w:tcPr>
            <w:tcW w:w="828" w:type="dxa"/>
          </w:tcPr>
          <w:p w14:paraId="2BB5A6B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463</w:t>
            </w:r>
          </w:p>
        </w:tc>
        <w:tc>
          <w:tcPr>
            <w:tcW w:w="3420" w:type="dxa"/>
          </w:tcPr>
          <w:p w14:paraId="72C9144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Таллин</w:t>
            </w:r>
          </w:p>
        </w:tc>
      </w:tr>
      <w:tr w:rsidR="00860B4B" w:rsidRPr="00D03F3E" w14:paraId="035C0BED" w14:textId="77777777">
        <w:tc>
          <w:tcPr>
            <w:tcW w:w="828" w:type="dxa"/>
          </w:tcPr>
          <w:p w14:paraId="5FB7A43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464</w:t>
            </w:r>
          </w:p>
        </w:tc>
        <w:tc>
          <w:tcPr>
            <w:tcW w:w="3420" w:type="dxa"/>
          </w:tcPr>
          <w:p w14:paraId="2322A68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Рига</w:t>
            </w:r>
          </w:p>
        </w:tc>
      </w:tr>
      <w:tr w:rsidR="00860B4B" w:rsidRPr="00D03F3E" w14:paraId="74FF8387" w14:textId="77777777">
        <w:tc>
          <w:tcPr>
            <w:tcW w:w="828" w:type="dxa"/>
          </w:tcPr>
          <w:p w14:paraId="7D42260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465</w:t>
            </w:r>
          </w:p>
        </w:tc>
        <w:tc>
          <w:tcPr>
            <w:tcW w:w="3420" w:type="dxa"/>
          </w:tcPr>
          <w:p w14:paraId="6DB933A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Каунас</w:t>
            </w:r>
          </w:p>
        </w:tc>
      </w:tr>
    </w:tbl>
    <w:p w14:paraId="0965C79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ГУ</w:t>
      </w:r>
    </w:p>
    <w:p w14:paraId="20A75F0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Строящиеся и действующие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1ABF97FC" w14:textId="77777777">
        <w:tc>
          <w:tcPr>
            <w:tcW w:w="828" w:type="dxa"/>
          </w:tcPr>
          <w:p w14:paraId="4FF446B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w:t>
            </w:r>
          </w:p>
        </w:tc>
        <w:tc>
          <w:tcPr>
            <w:tcW w:w="1260" w:type="dxa"/>
          </w:tcPr>
          <w:p w14:paraId="694A7BE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Киров</w:t>
            </w:r>
          </w:p>
        </w:tc>
        <w:tc>
          <w:tcPr>
            <w:tcW w:w="1260" w:type="dxa"/>
          </w:tcPr>
          <w:p w14:paraId="698126E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Ребенко</w:t>
            </w:r>
          </w:p>
        </w:tc>
      </w:tr>
      <w:tr w:rsidR="00860B4B" w:rsidRPr="00D03F3E" w14:paraId="2D11DFBB" w14:textId="77777777">
        <w:tc>
          <w:tcPr>
            <w:tcW w:w="828" w:type="dxa"/>
          </w:tcPr>
          <w:p w14:paraId="43366D5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w:t>
            </w:r>
          </w:p>
        </w:tc>
        <w:tc>
          <w:tcPr>
            <w:tcW w:w="1260" w:type="dxa"/>
          </w:tcPr>
          <w:p w14:paraId="1A0EB2A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Троицк</w:t>
            </w:r>
          </w:p>
        </w:tc>
        <w:tc>
          <w:tcPr>
            <w:tcW w:w="1260" w:type="dxa"/>
          </w:tcPr>
          <w:p w14:paraId="40E85BA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Аржаков</w:t>
            </w:r>
          </w:p>
        </w:tc>
      </w:tr>
      <w:tr w:rsidR="00860B4B" w:rsidRPr="00D03F3E" w14:paraId="1F0E4EFC" w14:textId="77777777">
        <w:tc>
          <w:tcPr>
            <w:tcW w:w="828" w:type="dxa"/>
          </w:tcPr>
          <w:p w14:paraId="21C0C14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119</w:t>
            </w:r>
          </w:p>
        </w:tc>
        <w:tc>
          <w:tcPr>
            <w:tcW w:w="1260" w:type="dxa"/>
          </w:tcPr>
          <w:p w14:paraId="7AC3B16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Горький</w:t>
            </w:r>
          </w:p>
        </w:tc>
        <w:tc>
          <w:tcPr>
            <w:tcW w:w="1260" w:type="dxa"/>
          </w:tcPr>
          <w:p w14:paraId="4079E33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3AA0B6C3" w14:textId="77777777">
        <w:tc>
          <w:tcPr>
            <w:tcW w:w="828" w:type="dxa"/>
          </w:tcPr>
          <w:p w14:paraId="02F8CE2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w:t>
            </w:r>
          </w:p>
        </w:tc>
        <w:tc>
          <w:tcPr>
            <w:tcW w:w="1260" w:type="dxa"/>
          </w:tcPr>
          <w:p w14:paraId="1E094EE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Нижний Тагил</w:t>
            </w:r>
          </w:p>
        </w:tc>
        <w:tc>
          <w:tcPr>
            <w:tcW w:w="1260" w:type="dxa"/>
          </w:tcPr>
          <w:p w14:paraId="662528F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316B4107" w14:textId="77777777">
        <w:tc>
          <w:tcPr>
            <w:tcW w:w="828" w:type="dxa"/>
          </w:tcPr>
          <w:p w14:paraId="4290316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w:t>
            </w:r>
          </w:p>
        </w:tc>
        <w:tc>
          <w:tcPr>
            <w:tcW w:w="1260" w:type="dxa"/>
          </w:tcPr>
          <w:p w14:paraId="30C5139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Каменск</w:t>
            </w:r>
          </w:p>
        </w:tc>
        <w:tc>
          <w:tcPr>
            <w:tcW w:w="1260" w:type="dxa"/>
          </w:tcPr>
          <w:p w14:paraId="138D5E6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Гарницкий</w:t>
            </w:r>
          </w:p>
        </w:tc>
      </w:tr>
      <w:tr w:rsidR="00860B4B" w:rsidRPr="00D03F3E" w14:paraId="72669EFC" w14:textId="77777777">
        <w:tc>
          <w:tcPr>
            <w:tcW w:w="828" w:type="dxa"/>
          </w:tcPr>
          <w:p w14:paraId="7AAA787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145</w:t>
            </w:r>
          </w:p>
        </w:tc>
        <w:tc>
          <w:tcPr>
            <w:tcW w:w="1260" w:type="dxa"/>
          </w:tcPr>
          <w:p w14:paraId="78DB6B2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Каменск</w:t>
            </w:r>
          </w:p>
        </w:tc>
        <w:tc>
          <w:tcPr>
            <w:tcW w:w="1260" w:type="dxa"/>
          </w:tcPr>
          <w:p w14:paraId="14AAAAC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Крупнов</w:t>
            </w:r>
          </w:p>
        </w:tc>
      </w:tr>
      <w:tr w:rsidR="00860B4B" w:rsidRPr="00D03F3E" w14:paraId="7FB53EF8" w14:textId="77777777">
        <w:tc>
          <w:tcPr>
            <w:tcW w:w="828" w:type="dxa"/>
          </w:tcPr>
          <w:p w14:paraId="65EE0BB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261</w:t>
            </w:r>
          </w:p>
        </w:tc>
        <w:tc>
          <w:tcPr>
            <w:tcW w:w="1260" w:type="dxa"/>
          </w:tcPr>
          <w:p w14:paraId="7843D06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Свердловск</w:t>
            </w:r>
          </w:p>
        </w:tc>
        <w:tc>
          <w:tcPr>
            <w:tcW w:w="1260" w:type="dxa"/>
          </w:tcPr>
          <w:p w14:paraId="5C9FF63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Пастер</w:t>
            </w:r>
          </w:p>
        </w:tc>
      </w:tr>
      <w:tr w:rsidR="00860B4B" w:rsidRPr="00D03F3E" w14:paraId="21C5FED2" w14:textId="77777777">
        <w:tc>
          <w:tcPr>
            <w:tcW w:w="828" w:type="dxa"/>
          </w:tcPr>
          <w:p w14:paraId="673DA9A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454</w:t>
            </w:r>
          </w:p>
        </w:tc>
        <w:tc>
          <w:tcPr>
            <w:tcW w:w="1260" w:type="dxa"/>
          </w:tcPr>
          <w:p w14:paraId="43A150F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Куйбышев</w:t>
            </w:r>
          </w:p>
        </w:tc>
        <w:tc>
          <w:tcPr>
            <w:tcW w:w="1260" w:type="dxa"/>
          </w:tcPr>
          <w:p w14:paraId="1EAB040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Горелик</w:t>
            </w:r>
          </w:p>
        </w:tc>
      </w:tr>
      <w:tr w:rsidR="00860B4B" w:rsidRPr="00D03F3E" w14:paraId="0B1D79CC" w14:textId="77777777">
        <w:tc>
          <w:tcPr>
            <w:tcW w:w="828" w:type="dxa"/>
          </w:tcPr>
          <w:p w14:paraId="43CD914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469</w:t>
            </w:r>
          </w:p>
        </w:tc>
        <w:tc>
          <w:tcPr>
            <w:tcW w:w="1260" w:type="dxa"/>
          </w:tcPr>
          <w:p w14:paraId="404C676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Горький</w:t>
            </w:r>
          </w:p>
        </w:tc>
        <w:tc>
          <w:tcPr>
            <w:tcW w:w="1260" w:type="dxa"/>
          </w:tcPr>
          <w:p w14:paraId="4E28B7B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Смирнов</w:t>
            </w:r>
          </w:p>
        </w:tc>
      </w:tr>
      <w:tr w:rsidR="00860B4B" w:rsidRPr="00D03F3E" w14:paraId="06AD5F1D" w14:textId="77777777">
        <w:tc>
          <w:tcPr>
            <w:tcW w:w="828" w:type="dxa"/>
          </w:tcPr>
          <w:p w14:paraId="04D63A1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472</w:t>
            </w:r>
          </w:p>
        </w:tc>
        <w:tc>
          <w:tcPr>
            <w:tcW w:w="1260" w:type="dxa"/>
          </w:tcPr>
          <w:p w14:paraId="297E3F1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Кузнецк</w:t>
            </w:r>
          </w:p>
        </w:tc>
        <w:tc>
          <w:tcPr>
            <w:tcW w:w="1260" w:type="dxa"/>
          </w:tcPr>
          <w:p w14:paraId="6B46656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Ермолаев</w:t>
            </w:r>
          </w:p>
        </w:tc>
      </w:tr>
      <w:tr w:rsidR="00860B4B" w:rsidRPr="00D03F3E" w14:paraId="2275DB74" w14:textId="77777777">
        <w:tc>
          <w:tcPr>
            <w:tcW w:w="828" w:type="dxa"/>
          </w:tcPr>
          <w:p w14:paraId="442699A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481</w:t>
            </w:r>
          </w:p>
        </w:tc>
        <w:tc>
          <w:tcPr>
            <w:tcW w:w="1260" w:type="dxa"/>
          </w:tcPr>
          <w:p w14:paraId="17E1656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Сызрань</w:t>
            </w:r>
          </w:p>
        </w:tc>
        <w:tc>
          <w:tcPr>
            <w:tcW w:w="1260" w:type="dxa"/>
          </w:tcPr>
          <w:p w14:paraId="3CFBC9B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Климовицкий</w:t>
            </w:r>
          </w:p>
        </w:tc>
      </w:tr>
    </w:tbl>
    <w:p w14:paraId="1E70BB8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Восстанавливаемые Московские з-ды и стройки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6B87B49A" w14:textId="77777777">
        <w:tc>
          <w:tcPr>
            <w:tcW w:w="828" w:type="dxa"/>
          </w:tcPr>
          <w:p w14:paraId="65D7AB7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Ф-л 34</w:t>
            </w:r>
          </w:p>
        </w:tc>
        <w:tc>
          <w:tcPr>
            <w:tcW w:w="1260" w:type="dxa"/>
          </w:tcPr>
          <w:p w14:paraId="1DDB057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Pr>
          <w:p w14:paraId="766DC0B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B530406" w14:textId="77777777">
        <w:tc>
          <w:tcPr>
            <w:tcW w:w="828" w:type="dxa"/>
          </w:tcPr>
          <w:p w14:paraId="50285CB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 (32)</w:t>
            </w:r>
          </w:p>
        </w:tc>
        <w:tc>
          <w:tcPr>
            <w:tcW w:w="1260" w:type="dxa"/>
          </w:tcPr>
          <w:p w14:paraId="377A0AE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Pr>
          <w:p w14:paraId="60006C9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E0148D2" w14:textId="77777777">
        <w:tc>
          <w:tcPr>
            <w:tcW w:w="828" w:type="dxa"/>
          </w:tcPr>
          <w:p w14:paraId="0ACE16E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219 (219-120)</w:t>
            </w:r>
          </w:p>
        </w:tc>
        <w:tc>
          <w:tcPr>
            <w:tcW w:w="1260" w:type="dxa"/>
          </w:tcPr>
          <w:p w14:paraId="1F5047C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Pr>
          <w:p w14:paraId="65DF2E5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F9639BB" w14:textId="77777777">
        <w:tc>
          <w:tcPr>
            <w:tcW w:w="828" w:type="dxa"/>
          </w:tcPr>
          <w:p w14:paraId="5253873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469</w:t>
            </w:r>
          </w:p>
        </w:tc>
        <w:tc>
          <w:tcPr>
            <w:tcW w:w="1260" w:type="dxa"/>
          </w:tcPr>
          <w:p w14:paraId="69781F0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Pr>
          <w:p w14:paraId="404B30A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6B096A9" w14:textId="77777777">
        <w:tc>
          <w:tcPr>
            <w:tcW w:w="828" w:type="dxa"/>
          </w:tcPr>
          <w:p w14:paraId="6131843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487</w:t>
            </w:r>
          </w:p>
        </w:tc>
        <w:tc>
          <w:tcPr>
            <w:tcW w:w="1260" w:type="dxa"/>
          </w:tcPr>
          <w:p w14:paraId="43A9FE2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Pr>
          <w:p w14:paraId="6B89207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3F9081E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Законсервированное и прекращенное стр-во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1504DB00" w14:textId="77777777">
        <w:tc>
          <w:tcPr>
            <w:tcW w:w="828" w:type="dxa"/>
          </w:tcPr>
          <w:p w14:paraId="25D335D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З2</w:t>
            </w:r>
          </w:p>
        </w:tc>
        <w:tc>
          <w:tcPr>
            <w:tcW w:w="1260" w:type="dxa"/>
          </w:tcPr>
          <w:p w14:paraId="32C5F75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6FAE83D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F5FA4B4" w14:textId="77777777">
        <w:tc>
          <w:tcPr>
            <w:tcW w:w="828" w:type="dxa"/>
          </w:tcPr>
          <w:p w14:paraId="7652474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w:t>
            </w:r>
          </w:p>
        </w:tc>
        <w:tc>
          <w:tcPr>
            <w:tcW w:w="1260" w:type="dxa"/>
          </w:tcPr>
          <w:p w14:paraId="4D850BB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041F49D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CEB084F" w14:textId="77777777">
        <w:tc>
          <w:tcPr>
            <w:tcW w:w="828" w:type="dxa"/>
          </w:tcPr>
          <w:p w14:paraId="533E55B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119</w:t>
            </w:r>
          </w:p>
        </w:tc>
        <w:tc>
          <w:tcPr>
            <w:tcW w:w="1260" w:type="dxa"/>
          </w:tcPr>
          <w:p w14:paraId="196A725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23B25EC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415CA3D" w14:textId="77777777">
        <w:tc>
          <w:tcPr>
            <w:tcW w:w="828" w:type="dxa"/>
          </w:tcPr>
          <w:p w14:paraId="2FAA768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w:t>
            </w:r>
          </w:p>
        </w:tc>
        <w:tc>
          <w:tcPr>
            <w:tcW w:w="1260" w:type="dxa"/>
          </w:tcPr>
          <w:p w14:paraId="3991B28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Балашиха</w:t>
            </w:r>
          </w:p>
        </w:tc>
        <w:tc>
          <w:tcPr>
            <w:tcW w:w="1260" w:type="dxa"/>
          </w:tcPr>
          <w:p w14:paraId="257A68D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9349BA4" w14:textId="77777777">
        <w:tc>
          <w:tcPr>
            <w:tcW w:w="828" w:type="dxa"/>
          </w:tcPr>
          <w:p w14:paraId="32FC6BD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145</w:t>
            </w:r>
          </w:p>
        </w:tc>
        <w:tc>
          <w:tcPr>
            <w:tcW w:w="1260" w:type="dxa"/>
          </w:tcPr>
          <w:p w14:paraId="18C1DD3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6051479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DF0C742" w14:textId="77777777">
        <w:tc>
          <w:tcPr>
            <w:tcW w:w="828" w:type="dxa"/>
          </w:tcPr>
          <w:p w14:paraId="62439AF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261</w:t>
            </w:r>
          </w:p>
        </w:tc>
        <w:tc>
          <w:tcPr>
            <w:tcW w:w="1260" w:type="dxa"/>
          </w:tcPr>
          <w:p w14:paraId="569E203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0B4700A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3D4637A" w14:textId="77777777">
        <w:tc>
          <w:tcPr>
            <w:tcW w:w="828" w:type="dxa"/>
          </w:tcPr>
          <w:p w14:paraId="5918F87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388</w:t>
            </w:r>
          </w:p>
        </w:tc>
        <w:tc>
          <w:tcPr>
            <w:tcW w:w="1260" w:type="dxa"/>
          </w:tcPr>
          <w:p w14:paraId="2E0167C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Ленинград</w:t>
            </w:r>
          </w:p>
        </w:tc>
        <w:tc>
          <w:tcPr>
            <w:tcW w:w="1260" w:type="dxa"/>
          </w:tcPr>
          <w:p w14:paraId="06F799D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8DD2450" w14:textId="77777777">
        <w:tc>
          <w:tcPr>
            <w:tcW w:w="828" w:type="dxa"/>
          </w:tcPr>
          <w:p w14:paraId="65F931E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454</w:t>
            </w:r>
          </w:p>
        </w:tc>
        <w:tc>
          <w:tcPr>
            <w:tcW w:w="1260" w:type="dxa"/>
          </w:tcPr>
          <w:p w14:paraId="23FBA0E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Киев</w:t>
            </w:r>
          </w:p>
        </w:tc>
        <w:tc>
          <w:tcPr>
            <w:tcW w:w="1260" w:type="dxa"/>
          </w:tcPr>
          <w:p w14:paraId="075812F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DD7CD64" w14:textId="77777777">
        <w:tc>
          <w:tcPr>
            <w:tcW w:w="828" w:type="dxa"/>
          </w:tcPr>
          <w:p w14:paraId="36C6F7F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455</w:t>
            </w:r>
          </w:p>
        </w:tc>
        <w:tc>
          <w:tcPr>
            <w:tcW w:w="1260" w:type="dxa"/>
          </w:tcPr>
          <w:p w14:paraId="0A229B1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Киев</w:t>
            </w:r>
          </w:p>
        </w:tc>
        <w:tc>
          <w:tcPr>
            <w:tcW w:w="1260" w:type="dxa"/>
          </w:tcPr>
          <w:p w14:paraId="6CA4803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6C54E46" w14:textId="77777777">
        <w:tc>
          <w:tcPr>
            <w:tcW w:w="828" w:type="dxa"/>
          </w:tcPr>
          <w:p w14:paraId="5AEF68A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457</w:t>
            </w:r>
          </w:p>
        </w:tc>
        <w:tc>
          <w:tcPr>
            <w:tcW w:w="1260" w:type="dxa"/>
          </w:tcPr>
          <w:p w14:paraId="2D8E4A6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Запорожье</w:t>
            </w:r>
          </w:p>
        </w:tc>
        <w:tc>
          <w:tcPr>
            <w:tcW w:w="1260" w:type="dxa"/>
          </w:tcPr>
          <w:p w14:paraId="46C8F75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D693AD0" w14:textId="77777777">
        <w:tc>
          <w:tcPr>
            <w:tcW w:w="828" w:type="dxa"/>
          </w:tcPr>
          <w:p w14:paraId="7A58977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469</w:t>
            </w:r>
          </w:p>
        </w:tc>
        <w:tc>
          <w:tcPr>
            <w:tcW w:w="1260" w:type="dxa"/>
          </w:tcPr>
          <w:p w14:paraId="33B7876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Солнечногорск</w:t>
            </w:r>
          </w:p>
        </w:tc>
        <w:tc>
          <w:tcPr>
            <w:tcW w:w="1260" w:type="dxa"/>
          </w:tcPr>
          <w:p w14:paraId="22D12AF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5C36159" w14:textId="77777777">
        <w:tc>
          <w:tcPr>
            <w:tcW w:w="828" w:type="dxa"/>
          </w:tcPr>
          <w:p w14:paraId="5902208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472</w:t>
            </w:r>
          </w:p>
        </w:tc>
        <w:tc>
          <w:tcPr>
            <w:tcW w:w="1260" w:type="dxa"/>
          </w:tcPr>
          <w:p w14:paraId="41A74C5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Болшево</w:t>
            </w:r>
          </w:p>
        </w:tc>
        <w:tc>
          <w:tcPr>
            <w:tcW w:w="1260" w:type="dxa"/>
          </w:tcPr>
          <w:p w14:paraId="4A276E6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44D4A79" w14:textId="77777777">
        <w:tc>
          <w:tcPr>
            <w:tcW w:w="828" w:type="dxa"/>
          </w:tcPr>
          <w:p w14:paraId="137A7DC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481</w:t>
            </w:r>
          </w:p>
        </w:tc>
        <w:tc>
          <w:tcPr>
            <w:tcW w:w="1260" w:type="dxa"/>
          </w:tcPr>
          <w:p w14:paraId="5D3925F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Днепропетровск</w:t>
            </w:r>
          </w:p>
        </w:tc>
        <w:tc>
          <w:tcPr>
            <w:tcW w:w="1260" w:type="dxa"/>
          </w:tcPr>
          <w:p w14:paraId="7471942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ADC4B6C" w14:textId="77777777">
        <w:tc>
          <w:tcPr>
            <w:tcW w:w="828" w:type="dxa"/>
          </w:tcPr>
          <w:p w14:paraId="642EE7A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487</w:t>
            </w:r>
          </w:p>
        </w:tc>
        <w:tc>
          <w:tcPr>
            <w:tcW w:w="1260" w:type="dxa"/>
          </w:tcPr>
          <w:p w14:paraId="767B1BB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6BE2E79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704662E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ГУ</w:t>
      </w:r>
    </w:p>
    <w:p w14:paraId="574CE45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Строящиеся и действующие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04335AAD" w14:textId="77777777">
        <w:tc>
          <w:tcPr>
            <w:tcW w:w="828" w:type="dxa"/>
          </w:tcPr>
          <w:p w14:paraId="3BE11F9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w:t>
            </w:r>
          </w:p>
        </w:tc>
        <w:tc>
          <w:tcPr>
            <w:tcW w:w="1260" w:type="dxa"/>
          </w:tcPr>
          <w:p w14:paraId="4685EE5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Казань</w:t>
            </w:r>
          </w:p>
        </w:tc>
        <w:tc>
          <w:tcPr>
            <w:tcW w:w="1260" w:type="dxa"/>
          </w:tcPr>
          <w:p w14:paraId="1B14B36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Сухоруков</w:t>
            </w:r>
          </w:p>
        </w:tc>
      </w:tr>
      <w:tr w:rsidR="00860B4B" w:rsidRPr="00D03F3E" w14:paraId="261852DF" w14:textId="77777777">
        <w:tc>
          <w:tcPr>
            <w:tcW w:w="828" w:type="dxa"/>
          </w:tcPr>
          <w:p w14:paraId="412A53A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tc>
        <w:tc>
          <w:tcPr>
            <w:tcW w:w="1260" w:type="dxa"/>
          </w:tcPr>
          <w:p w14:paraId="0FD8C98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Молотов</w:t>
            </w:r>
          </w:p>
        </w:tc>
        <w:tc>
          <w:tcPr>
            <w:tcW w:w="1260" w:type="dxa"/>
          </w:tcPr>
          <w:p w14:paraId="0AB6E91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Кожевников</w:t>
            </w:r>
          </w:p>
        </w:tc>
      </w:tr>
      <w:tr w:rsidR="00860B4B" w:rsidRPr="00D03F3E" w14:paraId="7D6AB3D4" w14:textId="77777777">
        <w:tc>
          <w:tcPr>
            <w:tcW w:w="828" w:type="dxa"/>
          </w:tcPr>
          <w:p w14:paraId="0E300E1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w:t>
            </w:r>
          </w:p>
        </w:tc>
        <w:tc>
          <w:tcPr>
            <w:tcW w:w="1260" w:type="dxa"/>
          </w:tcPr>
          <w:p w14:paraId="6499D42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Куйбышев</w:t>
            </w:r>
          </w:p>
        </w:tc>
        <w:tc>
          <w:tcPr>
            <w:tcW w:w="1260" w:type="dxa"/>
          </w:tcPr>
          <w:p w14:paraId="7C6D052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Жезлов</w:t>
            </w:r>
          </w:p>
        </w:tc>
      </w:tr>
      <w:tr w:rsidR="00860B4B" w:rsidRPr="00D03F3E" w14:paraId="35B8FFD2" w14:textId="77777777">
        <w:tc>
          <w:tcPr>
            <w:tcW w:w="828" w:type="dxa"/>
          </w:tcPr>
          <w:p w14:paraId="0181BB2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p>
        </w:tc>
        <w:tc>
          <w:tcPr>
            <w:tcW w:w="1260" w:type="dxa"/>
          </w:tcPr>
          <w:p w14:paraId="68F4EF9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Уфа</w:t>
            </w:r>
          </w:p>
        </w:tc>
        <w:tc>
          <w:tcPr>
            <w:tcW w:w="1260" w:type="dxa"/>
          </w:tcPr>
          <w:p w14:paraId="1797CDA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Баландин</w:t>
            </w:r>
          </w:p>
        </w:tc>
      </w:tr>
      <w:tr w:rsidR="00860B4B" w:rsidRPr="00D03F3E" w14:paraId="32DAAB25" w14:textId="77777777">
        <w:tc>
          <w:tcPr>
            <w:tcW w:w="828" w:type="dxa"/>
          </w:tcPr>
          <w:p w14:paraId="153ADCB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w:t>
            </w:r>
          </w:p>
        </w:tc>
        <w:tc>
          <w:tcPr>
            <w:tcW w:w="1260" w:type="dxa"/>
          </w:tcPr>
          <w:p w14:paraId="0E31AED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Свердловск</w:t>
            </w:r>
          </w:p>
        </w:tc>
        <w:tc>
          <w:tcPr>
            <w:tcW w:w="1260" w:type="dxa"/>
          </w:tcPr>
          <w:p w14:paraId="230C886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Еремеев</w:t>
            </w:r>
          </w:p>
        </w:tc>
      </w:tr>
      <w:tr w:rsidR="00860B4B" w:rsidRPr="00D03F3E" w14:paraId="0CF5432F" w14:textId="77777777">
        <w:tc>
          <w:tcPr>
            <w:tcW w:w="828" w:type="dxa"/>
          </w:tcPr>
          <w:p w14:paraId="09E4735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w:t>
            </w:r>
          </w:p>
        </w:tc>
        <w:tc>
          <w:tcPr>
            <w:tcW w:w="1260" w:type="dxa"/>
          </w:tcPr>
          <w:p w14:paraId="1C29ED0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Омск</w:t>
            </w:r>
          </w:p>
        </w:tc>
        <w:tc>
          <w:tcPr>
            <w:tcW w:w="1260" w:type="dxa"/>
          </w:tcPr>
          <w:p w14:paraId="0F78161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Лукин</w:t>
            </w:r>
          </w:p>
        </w:tc>
      </w:tr>
      <w:tr w:rsidR="00860B4B" w:rsidRPr="00D03F3E" w14:paraId="16AA96B2" w14:textId="77777777">
        <w:tc>
          <w:tcPr>
            <w:tcW w:w="828" w:type="dxa"/>
          </w:tcPr>
          <w:p w14:paraId="381F241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tc>
        <w:tc>
          <w:tcPr>
            <w:tcW w:w="1260" w:type="dxa"/>
          </w:tcPr>
          <w:p w14:paraId="1DB83AC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Куйбышев</w:t>
            </w:r>
          </w:p>
        </w:tc>
        <w:tc>
          <w:tcPr>
            <w:tcW w:w="1260" w:type="dxa"/>
          </w:tcPr>
          <w:p w14:paraId="3FB4D05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Марочкин</w:t>
            </w:r>
          </w:p>
        </w:tc>
      </w:tr>
      <w:tr w:rsidR="00860B4B" w:rsidRPr="00D03F3E" w14:paraId="49848021" w14:textId="77777777">
        <w:tc>
          <w:tcPr>
            <w:tcW w:w="828" w:type="dxa"/>
          </w:tcPr>
          <w:p w14:paraId="2963D76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154</w:t>
            </w:r>
          </w:p>
        </w:tc>
        <w:tc>
          <w:tcPr>
            <w:tcW w:w="1260" w:type="dxa"/>
          </w:tcPr>
          <w:p w14:paraId="764B286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Андижан</w:t>
            </w:r>
          </w:p>
        </w:tc>
        <w:tc>
          <w:tcPr>
            <w:tcW w:w="1260" w:type="dxa"/>
          </w:tcPr>
          <w:p w14:paraId="3C5950F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Морозов</w:t>
            </w:r>
          </w:p>
        </w:tc>
      </w:tr>
      <w:tr w:rsidR="00860B4B" w:rsidRPr="00D03F3E" w14:paraId="09CF6E86" w14:textId="77777777">
        <w:tc>
          <w:tcPr>
            <w:tcW w:w="828" w:type="dxa"/>
          </w:tcPr>
          <w:p w14:paraId="7B344EB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335</w:t>
            </w:r>
          </w:p>
        </w:tc>
        <w:tc>
          <w:tcPr>
            <w:tcW w:w="1260" w:type="dxa"/>
          </w:tcPr>
          <w:p w14:paraId="20BDF0A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Новосибирск</w:t>
            </w:r>
          </w:p>
        </w:tc>
        <w:tc>
          <w:tcPr>
            <w:tcW w:w="1260" w:type="dxa"/>
          </w:tcPr>
          <w:p w14:paraId="31C5BC2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2E702C72" w14:textId="77777777">
        <w:tc>
          <w:tcPr>
            <w:tcW w:w="828" w:type="dxa"/>
          </w:tcPr>
          <w:p w14:paraId="75CFBC0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336</w:t>
            </w:r>
          </w:p>
        </w:tc>
        <w:tc>
          <w:tcPr>
            <w:tcW w:w="1260" w:type="dxa"/>
          </w:tcPr>
          <w:p w14:paraId="3D6E59D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Саратов</w:t>
            </w:r>
          </w:p>
        </w:tc>
        <w:tc>
          <w:tcPr>
            <w:tcW w:w="1260" w:type="dxa"/>
          </w:tcPr>
          <w:p w14:paraId="4D78CD7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Ворожбиев</w:t>
            </w:r>
          </w:p>
        </w:tc>
      </w:tr>
      <w:tr w:rsidR="00860B4B" w:rsidRPr="00D03F3E" w14:paraId="76BEBAA7" w14:textId="77777777">
        <w:tc>
          <w:tcPr>
            <w:tcW w:w="828" w:type="dxa"/>
          </w:tcPr>
          <w:p w14:paraId="2065EAC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467</w:t>
            </w:r>
          </w:p>
        </w:tc>
        <w:tc>
          <w:tcPr>
            <w:tcW w:w="1260" w:type="dxa"/>
          </w:tcPr>
          <w:p w14:paraId="00EDAF1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Павлово на Оке</w:t>
            </w:r>
          </w:p>
        </w:tc>
        <w:tc>
          <w:tcPr>
            <w:tcW w:w="1260" w:type="dxa"/>
          </w:tcPr>
          <w:p w14:paraId="3961C49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Авербах</w:t>
            </w:r>
          </w:p>
        </w:tc>
      </w:tr>
      <w:tr w:rsidR="00860B4B" w:rsidRPr="00D03F3E" w14:paraId="12303E28" w14:textId="77777777">
        <w:tc>
          <w:tcPr>
            <w:tcW w:w="828" w:type="dxa"/>
          </w:tcPr>
          <w:p w14:paraId="0E0B850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489</w:t>
            </w:r>
          </w:p>
        </w:tc>
        <w:tc>
          <w:tcPr>
            <w:tcW w:w="1260" w:type="dxa"/>
          </w:tcPr>
          <w:p w14:paraId="6AFAB71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Казань</w:t>
            </w:r>
          </w:p>
        </w:tc>
        <w:tc>
          <w:tcPr>
            <w:tcW w:w="1260" w:type="dxa"/>
          </w:tcPr>
          <w:p w14:paraId="2F4F59A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bl>
    <w:p w14:paraId="5FCD451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Восстанавливаемые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219B0FE8" w14:textId="77777777">
        <w:tc>
          <w:tcPr>
            <w:tcW w:w="828" w:type="dxa"/>
          </w:tcPr>
          <w:p w14:paraId="60E17FC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w:t>
            </w:r>
          </w:p>
        </w:tc>
        <w:tc>
          <w:tcPr>
            <w:tcW w:w="1260" w:type="dxa"/>
          </w:tcPr>
          <w:p w14:paraId="45EF634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0BC1B72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28)</w:t>
            </w:r>
          </w:p>
        </w:tc>
      </w:tr>
      <w:tr w:rsidR="00860B4B" w:rsidRPr="00D03F3E" w14:paraId="338FC44E" w14:textId="77777777">
        <w:tc>
          <w:tcPr>
            <w:tcW w:w="828" w:type="dxa"/>
          </w:tcPr>
          <w:p w14:paraId="54BE037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w:t>
            </w:r>
          </w:p>
        </w:tc>
        <w:tc>
          <w:tcPr>
            <w:tcW w:w="1260" w:type="dxa"/>
          </w:tcPr>
          <w:p w14:paraId="18987B7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2CC5991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E2B3605" w14:textId="77777777">
        <w:tc>
          <w:tcPr>
            <w:tcW w:w="828" w:type="dxa"/>
          </w:tcPr>
          <w:p w14:paraId="2D6AA4D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82</w:t>
            </w:r>
          </w:p>
        </w:tc>
        <w:tc>
          <w:tcPr>
            <w:tcW w:w="1260" w:type="dxa"/>
          </w:tcPr>
          <w:p w14:paraId="6F4301B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78A6482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F224167" w14:textId="77777777">
        <w:tc>
          <w:tcPr>
            <w:tcW w:w="828" w:type="dxa"/>
          </w:tcPr>
          <w:p w14:paraId="7AC431A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337</w:t>
            </w:r>
          </w:p>
        </w:tc>
        <w:tc>
          <w:tcPr>
            <w:tcW w:w="1260" w:type="dxa"/>
          </w:tcPr>
          <w:p w14:paraId="53B2040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6F5230A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24)</w:t>
            </w:r>
          </w:p>
        </w:tc>
      </w:tr>
      <w:tr w:rsidR="00860B4B" w:rsidRPr="00D03F3E" w14:paraId="57B4B28F" w14:textId="77777777">
        <w:tc>
          <w:tcPr>
            <w:tcW w:w="828" w:type="dxa"/>
          </w:tcPr>
          <w:p w14:paraId="2033DD4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36 </w:t>
            </w:r>
          </w:p>
        </w:tc>
        <w:tc>
          <w:tcPr>
            <w:tcW w:w="1260" w:type="dxa"/>
          </w:tcPr>
          <w:p w14:paraId="00BC532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Рыбинск</w:t>
            </w:r>
          </w:p>
        </w:tc>
        <w:tc>
          <w:tcPr>
            <w:tcW w:w="1260" w:type="dxa"/>
          </w:tcPr>
          <w:p w14:paraId="53CF6DD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26)</w:t>
            </w:r>
          </w:p>
        </w:tc>
      </w:tr>
    </w:tbl>
    <w:p w14:paraId="4A32EFC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Законсервированные и прекращенное стр-во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0E7D43A7" w14:textId="77777777">
        <w:tc>
          <w:tcPr>
            <w:tcW w:w="828" w:type="dxa"/>
          </w:tcPr>
          <w:p w14:paraId="1F25078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w:t>
            </w:r>
          </w:p>
        </w:tc>
        <w:tc>
          <w:tcPr>
            <w:tcW w:w="1260" w:type="dxa"/>
          </w:tcPr>
          <w:p w14:paraId="6A9F5B6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Воронеж</w:t>
            </w:r>
          </w:p>
        </w:tc>
        <w:tc>
          <w:tcPr>
            <w:tcW w:w="1260" w:type="dxa"/>
          </w:tcPr>
          <w:p w14:paraId="7E834F1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78AC7AB" w14:textId="77777777">
        <w:tc>
          <w:tcPr>
            <w:tcW w:w="828" w:type="dxa"/>
          </w:tcPr>
          <w:p w14:paraId="7699168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w:t>
            </w:r>
          </w:p>
        </w:tc>
        <w:tc>
          <w:tcPr>
            <w:tcW w:w="1260" w:type="dxa"/>
          </w:tcPr>
          <w:p w14:paraId="6A0280C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7D141C3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41C88DF" w14:textId="77777777">
        <w:tc>
          <w:tcPr>
            <w:tcW w:w="828" w:type="dxa"/>
          </w:tcPr>
          <w:p w14:paraId="721A976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w:t>
            </w:r>
          </w:p>
        </w:tc>
        <w:tc>
          <w:tcPr>
            <w:tcW w:w="1260" w:type="dxa"/>
          </w:tcPr>
          <w:p w14:paraId="012F31A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0A9152A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FBCBB57" w14:textId="77777777">
        <w:tc>
          <w:tcPr>
            <w:tcW w:w="828" w:type="dxa"/>
          </w:tcPr>
          <w:p w14:paraId="55BB747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w:t>
            </w:r>
          </w:p>
        </w:tc>
        <w:tc>
          <w:tcPr>
            <w:tcW w:w="1260" w:type="dxa"/>
          </w:tcPr>
          <w:p w14:paraId="136FEA3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Запорожье</w:t>
            </w:r>
          </w:p>
        </w:tc>
        <w:tc>
          <w:tcPr>
            <w:tcW w:w="1260" w:type="dxa"/>
          </w:tcPr>
          <w:p w14:paraId="4777F34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BE5B334" w14:textId="77777777">
        <w:tc>
          <w:tcPr>
            <w:tcW w:w="828" w:type="dxa"/>
          </w:tcPr>
          <w:p w14:paraId="666BDC8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82</w:t>
            </w:r>
          </w:p>
        </w:tc>
        <w:tc>
          <w:tcPr>
            <w:tcW w:w="1260" w:type="dxa"/>
          </w:tcPr>
          <w:p w14:paraId="52F93FA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Тушино</w:t>
            </w:r>
          </w:p>
        </w:tc>
        <w:tc>
          <w:tcPr>
            <w:tcW w:w="1260" w:type="dxa"/>
          </w:tcPr>
          <w:p w14:paraId="3F0AC99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6FDCF61" w14:textId="77777777">
        <w:tc>
          <w:tcPr>
            <w:tcW w:w="828" w:type="dxa"/>
          </w:tcPr>
          <w:p w14:paraId="56188E9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154</w:t>
            </w:r>
          </w:p>
        </w:tc>
        <w:tc>
          <w:tcPr>
            <w:tcW w:w="1260" w:type="dxa"/>
          </w:tcPr>
          <w:p w14:paraId="0722C8E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Воронеж</w:t>
            </w:r>
          </w:p>
        </w:tc>
        <w:tc>
          <w:tcPr>
            <w:tcW w:w="1260" w:type="dxa"/>
          </w:tcPr>
          <w:p w14:paraId="5C828A3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8A335A9" w14:textId="77777777">
        <w:tc>
          <w:tcPr>
            <w:tcW w:w="828" w:type="dxa"/>
          </w:tcPr>
          <w:p w14:paraId="22097CD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234</w:t>
            </w:r>
          </w:p>
        </w:tc>
        <w:tc>
          <w:tcPr>
            <w:tcW w:w="1260" w:type="dxa"/>
          </w:tcPr>
          <w:p w14:paraId="61069A8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Ленинград</w:t>
            </w:r>
          </w:p>
        </w:tc>
        <w:tc>
          <w:tcPr>
            <w:tcW w:w="1260" w:type="dxa"/>
          </w:tcPr>
          <w:p w14:paraId="5562C16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86705F7" w14:textId="77777777">
        <w:tc>
          <w:tcPr>
            <w:tcW w:w="828" w:type="dxa"/>
          </w:tcPr>
          <w:p w14:paraId="384E5DA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451</w:t>
            </w:r>
          </w:p>
        </w:tc>
        <w:tc>
          <w:tcPr>
            <w:tcW w:w="1260" w:type="dxa"/>
          </w:tcPr>
          <w:p w14:paraId="316C820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Ленинград</w:t>
            </w:r>
          </w:p>
        </w:tc>
        <w:tc>
          <w:tcPr>
            <w:tcW w:w="1260" w:type="dxa"/>
          </w:tcPr>
          <w:p w14:paraId="2AC5FC2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9DE5432" w14:textId="77777777">
        <w:tc>
          <w:tcPr>
            <w:tcW w:w="828" w:type="dxa"/>
          </w:tcPr>
          <w:p w14:paraId="735C852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452</w:t>
            </w:r>
          </w:p>
        </w:tc>
        <w:tc>
          <w:tcPr>
            <w:tcW w:w="1260" w:type="dxa"/>
          </w:tcPr>
          <w:p w14:paraId="3F6C503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Днепропетровск</w:t>
            </w:r>
          </w:p>
        </w:tc>
        <w:tc>
          <w:tcPr>
            <w:tcW w:w="1260" w:type="dxa"/>
          </w:tcPr>
          <w:p w14:paraId="394EAA0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8F35151" w14:textId="77777777">
        <w:tc>
          <w:tcPr>
            <w:tcW w:w="828" w:type="dxa"/>
          </w:tcPr>
          <w:p w14:paraId="0150C0B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454</w:t>
            </w:r>
          </w:p>
        </w:tc>
        <w:tc>
          <w:tcPr>
            <w:tcW w:w="1260" w:type="dxa"/>
          </w:tcPr>
          <w:p w14:paraId="11FE931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Могилев</w:t>
            </w:r>
          </w:p>
        </w:tc>
        <w:tc>
          <w:tcPr>
            <w:tcW w:w="1260" w:type="dxa"/>
          </w:tcPr>
          <w:p w14:paraId="6E5E767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6983546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ГУ</w:t>
      </w:r>
    </w:p>
    <w:p w14:paraId="6E492A2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Строящиеся и действующие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65E95F2A" w14:textId="77777777">
        <w:tc>
          <w:tcPr>
            <w:tcW w:w="828" w:type="dxa"/>
          </w:tcPr>
          <w:p w14:paraId="07E2683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c>
          <w:tcPr>
            <w:tcW w:w="1260" w:type="dxa"/>
          </w:tcPr>
          <w:p w14:paraId="13C3F3C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Омск</w:t>
            </w:r>
          </w:p>
        </w:tc>
        <w:tc>
          <w:tcPr>
            <w:tcW w:w="1260" w:type="dxa"/>
          </w:tcPr>
          <w:p w14:paraId="5F6CA45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Борисов</w:t>
            </w:r>
          </w:p>
        </w:tc>
      </w:tr>
      <w:tr w:rsidR="00860B4B" w:rsidRPr="00D03F3E" w14:paraId="36AD1D37" w14:textId="77777777">
        <w:tc>
          <w:tcPr>
            <w:tcW w:w="828" w:type="dxa"/>
          </w:tcPr>
          <w:p w14:paraId="44F4CBF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(283)</w:t>
            </w:r>
          </w:p>
        </w:tc>
        <w:tc>
          <w:tcPr>
            <w:tcW w:w="1260" w:type="dxa"/>
          </w:tcPr>
          <w:p w14:paraId="7E427AC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Ульяновск</w:t>
            </w:r>
          </w:p>
        </w:tc>
        <w:tc>
          <w:tcPr>
            <w:tcW w:w="1260" w:type="dxa"/>
          </w:tcPr>
          <w:p w14:paraId="576E1F2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Исаков</w:t>
            </w:r>
          </w:p>
        </w:tc>
      </w:tr>
      <w:tr w:rsidR="00860B4B" w:rsidRPr="00D03F3E" w14:paraId="01B63CA1" w14:textId="77777777">
        <w:tc>
          <w:tcPr>
            <w:tcW w:w="828" w:type="dxa"/>
          </w:tcPr>
          <w:p w14:paraId="2A4693D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w:t>
            </w:r>
          </w:p>
        </w:tc>
        <w:tc>
          <w:tcPr>
            <w:tcW w:w="1260" w:type="dxa"/>
          </w:tcPr>
          <w:p w14:paraId="70A3205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Молотов</w:t>
            </w:r>
          </w:p>
        </w:tc>
        <w:tc>
          <w:tcPr>
            <w:tcW w:w="1260" w:type="dxa"/>
          </w:tcPr>
          <w:p w14:paraId="3D1C4CA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Солдатов</w:t>
            </w:r>
          </w:p>
        </w:tc>
      </w:tr>
      <w:tr w:rsidR="00860B4B" w:rsidRPr="00D03F3E" w14:paraId="7236C93B" w14:textId="77777777">
        <w:tc>
          <w:tcPr>
            <w:tcW w:w="828" w:type="dxa"/>
          </w:tcPr>
          <w:p w14:paraId="47408D4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132</w:t>
            </w:r>
          </w:p>
        </w:tc>
        <w:tc>
          <w:tcPr>
            <w:tcW w:w="1260" w:type="dxa"/>
          </w:tcPr>
          <w:p w14:paraId="1279D89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Сим</w:t>
            </w:r>
          </w:p>
        </w:tc>
        <w:tc>
          <w:tcPr>
            <w:tcW w:w="1260" w:type="dxa"/>
          </w:tcPr>
          <w:p w14:paraId="6777990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Ивайкин</w:t>
            </w:r>
          </w:p>
        </w:tc>
      </w:tr>
      <w:tr w:rsidR="00860B4B" w:rsidRPr="00D03F3E" w14:paraId="6CC3F9FB" w14:textId="77777777">
        <w:tc>
          <w:tcPr>
            <w:tcW w:w="828" w:type="dxa"/>
          </w:tcPr>
          <w:p w14:paraId="3AD2C9E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161</w:t>
            </w:r>
          </w:p>
        </w:tc>
        <w:tc>
          <w:tcPr>
            <w:tcW w:w="1260" w:type="dxa"/>
          </w:tcPr>
          <w:p w14:paraId="43988B4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Уфа</w:t>
            </w:r>
          </w:p>
        </w:tc>
        <w:tc>
          <w:tcPr>
            <w:tcW w:w="1260" w:type="dxa"/>
          </w:tcPr>
          <w:p w14:paraId="4E24970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Моссальский</w:t>
            </w:r>
          </w:p>
        </w:tc>
      </w:tr>
      <w:tr w:rsidR="00860B4B" w:rsidRPr="00D03F3E" w14:paraId="362548F0" w14:textId="77777777">
        <w:tc>
          <w:tcPr>
            <w:tcW w:w="828" w:type="dxa"/>
          </w:tcPr>
          <w:p w14:paraId="355A02B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266</w:t>
            </w:r>
          </w:p>
        </w:tc>
        <w:tc>
          <w:tcPr>
            <w:tcW w:w="1260" w:type="dxa"/>
          </w:tcPr>
          <w:p w14:paraId="59276CD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Киров</w:t>
            </w:r>
          </w:p>
        </w:tc>
        <w:tc>
          <w:tcPr>
            <w:tcW w:w="1260" w:type="dxa"/>
          </w:tcPr>
          <w:p w14:paraId="5886603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Дикарев</w:t>
            </w:r>
          </w:p>
        </w:tc>
      </w:tr>
      <w:tr w:rsidR="00860B4B" w:rsidRPr="00D03F3E" w14:paraId="40DD900F" w14:textId="77777777">
        <w:tc>
          <w:tcPr>
            <w:tcW w:w="828" w:type="dxa"/>
          </w:tcPr>
          <w:p w14:paraId="4F6BF2C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284</w:t>
            </w:r>
          </w:p>
        </w:tc>
        <w:tc>
          <w:tcPr>
            <w:tcW w:w="1260" w:type="dxa"/>
          </w:tcPr>
          <w:p w14:paraId="7B4EBDF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Сарапул</w:t>
            </w:r>
          </w:p>
        </w:tc>
        <w:tc>
          <w:tcPr>
            <w:tcW w:w="1260" w:type="dxa"/>
          </w:tcPr>
          <w:p w14:paraId="16D9E97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Федоров</w:t>
            </w:r>
          </w:p>
        </w:tc>
      </w:tr>
      <w:tr w:rsidR="00860B4B" w:rsidRPr="00D03F3E" w14:paraId="0951621B" w14:textId="77777777">
        <w:tc>
          <w:tcPr>
            <w:tcW w:w="828" w:type="dxa"/>
          </w:tcPr>
          <w:p w14:paraId="0EEC5A8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296</w:t>
            </w:r>
          </w:p>
        </w:tc>
        <w:tc>
          <w:tcPr>
            <w:tcW w:w="1260" w:type="dxa"/>
          </w:tcPr>
          <w:p w14:paraId="1C59C70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Бердск</w:t>
            </w:r>
          </w:p>
        </w:tc>
        <w:tc>
          <w:tcPr>
            <w:tcW w:w="1260" w:type="dxa"/>
          </w:tcPr>
          <w:p w14:paraId="3B355D8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Берман</w:t>
            </w:r>
          </w:p>
        </w:tc>
      </w:tr>
      <w:tr w:rsidR="00860B4B" w:rsidRPr="00D03F3E" w14:paraId="43C294A0" w14:textId="77777777">
        <w:tc>
          <w:tcPr>
            <w:tcW w:w="828" w:type="dxa"/>
          </w:tcPr>
          <w:p w14:paraId="122D4E6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306</w:t>
            </w:r>
          </w:p>
        </w:tc>
        <w:tc>
          <w:tcPr>
            <w:tcW w:w="1260" w:type="dxa"/>
          </w:tcPr>
          <w:p w14:paraId="6F2649F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Саратов</w:t>
            </w:r>
          </w:p>
        </w:tc>
        <w:tc>
          <w:tcPr>
            <w:tcW w:w="1260" w:type="dxa"/>
          </w:tcPr>
          <w:p w14:paraId="2AEF920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Доценко</w:t>
            </w:r>
          </w:p>
        </w:tc>
      </w:tr>
      <w:tr w:rsidR="00860B4B" w:rsidRPr="00D03F3E" w14:paraId="27D5158C" w14:textId="77777777">
        <w:tc>
          <w:tcPr>
            <w:tcW w:w="828" w:type="dxa"/>
          </w:tcPr>
          <w:p w14:paraId="1ACC95C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307</w:t>
            </w:r>
          </w:p>
        </w:tc>
        <w:tc>
          <w:tcPr>
            <w:tcW w:w="1260" w:type="dxa"/>
          </w:tcPr>
          <w:p w14:paraId="359B542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Саратов</w:t>
            </w:r>
          </w:p>
        </w:tc>
        <w:tc>
          <w:tcPr>
            <w:tcW w:w="1260" w:type="dxa"/>
          </w:tcPr>
          <w:p w14:paraId="22F839F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Глинкин</w:t>
            </w:r>
          </w:p>
        </w:tc>
      </w:tr>
      <w:tr w:rsidR="00860B4B" w:rsidRPr="00D03F3E" w14:paraId="395746E6" w14:textId="77777777">
        <w:tc>
          <w:tcPr>
            <w:tcW w:w="828" w:type="dxa"/>
          </w:tcPr>
          <w:p w14:paraId="34A85AA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Ф-л 307</w:t>
            </w:r>
          </w:p>
        </w:tc>
        <w:tc>
          <w:tcPr>
            <w:tcW w:w="1260" w:type="dxa"/>
          </w:tcPr>
          <w:p w14:paraId="39AA746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Уфа</w:t>
            </w:r>
          </w:p>
        </w:tc>
        <w:tc>
          <w:tcPr>
            <w:tcW w:w="1260" w:type="dxa"/>
          </w:tcPr>
          <w:p w14:paraId="5B3FCAE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bl>
    <w:p w14:paraId="6447B6A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Восстанавливаемые з-ды и стройки: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6C86C4FB" w14:textId="77777777">
        <w:tc>
          <w:tcPr>
            <w:tcW w:w="828" w:type="dxa"/>
          </w:tcPr>
          <w:p w14:paraId="2E36067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c>
          <w:tcPr>
            <w:tcW w:w="1260" w:type="dxa"/>
          </w:tcPr>
          <w:p w14:paraId="69A3FEF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537938D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995BE7E" w14:textId="77777777">
        <w:tc>
          <w:tcPr>
            <w:tcW w:w="828" w:type="dxa"/>
          </w:tcPr>
          <w:p w14:paraId="093FBD7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ф-л</w:t>
            </w:r>
          </w:p>
        </w:tc>
        <w:tc>
          <w:tcPr>
            <w:tcW w:w="1260" w:type="dxa"/>
          </w:tcPr>
          <w:p w14:paraId="6D53F71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493BE38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714FA23" w14:textId="77777777">
        <w:tc>
          <w:tcPr>
            <w:tcW w:w="828" w:type="dxa"/>
          </w:tcPr>
          <w:p w14:paraId="20B99D9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w:t>
            </w:r>
          </w:p>
        </w:tc>
        <w:tc>
          <w:tcPr>
            <w:tcW w:w="1260" w:type="dxa"/>
          </w:tcPr>
          <w:p w14:paraId="0BDED3E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7E7484B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A44EA7A" w14:textId="77777777">
        <w:tc>
          <w:tcPr>
            <w:tcW w:w="828" w:type="dxa"/>
          </w:tcPr>
          <w:p w14:paraId="5ACCE27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132</w:t>
            </w:r>
          </w:p>
        </w:tc>
        <w:tc>
          <w:tcPr>
            <w:tcW w:w="1260" w:type="dxa"/>
          </w:tcPr>
          <w:p w14:paraId="0118A93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2A20E02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4E9956E" w14:textId="77777777">
        <w:tc>
          <w:tcPr>
            <w:tcW w:w="828" w:type="dxa"/>
          </w:tcPr>
          <w:p w14:paraId="50E41E4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266</w:t>
            </w:r>
          </w:p>
        </w:tc>
        <w:tc>
          <w:tcPr>
            <w:tcW w:w="1260" w:type="dxa"/>
          </w:tcPr>
          <w:p w14:paraId="5A6A64C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3EA82D9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28BA563" w14:textId="77777777">
        <w:tc>
          <w:tcPr>
            <w:tcW w:w="828" w:type="dxa"/>
          </w:tcPr>
          <w:p w14:paraId="201670C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476</w:t>
            </w:r>
          </w:p>
        </w:tc>
        <w:tc>
          <w:tcPr>
            <w:tcW w:w="1260" w:type="dxa"/>
          </w:tcPr>
          <w:p w14:paraId="17F2727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4B1F159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4254798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Законсервированные и прекращенное стр-во: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52169FF5" w14:textId="77777777">
        <w:tc>
          <w:tcPr>
            <w:tcW w:w="828" w:type="dxa"/>
          </w:tcPr>
          <w:p w14:paraId="3DC7944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c>
          <w:tcPr>
            <w:tcW w:w="1260" w:type="dxa"/>
          </w:tcPr>
          <w:p w14:paraId="2C903CE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347D9DA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24BC756" w14:textId="77777777">
        <w:tc>
          <w:tcPr>
            <w:tcW w:w="828" w:type="dxa"/>
          </w:tcPr>
          <w:p w14:paraId="490356F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tc>
        <w:tc>
          <w:tcPr>
            <w:tcW w:w="1260" w:type="dxa"/>
          </w:tcPr>
          <w:p w14:paraId="202D11B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7C0D38D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940B54D" w14:textId="77777777">
        <w:tc>
          <w:tcPr>
            <w:tcW w:w="828" w:type="dxa"/>
          </w:tcPr>
          <w:p w14:paraId="502AFFB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w:t>
            </w:r>
          </w:p>
        </w:tc>
        <w:tc>
          <w:tcPr>
            <w:tcW w:w="1260" w:type="dxa"/>
          </w:tcPr>
          <w:p w14:paraId="1C9FEDC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3E72129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59AC1BE" w14:textId="77777777">
        <w:tc>
          <w:tcPr>
            <w:tcW w:w="828" w:type="dxa"/>
          </w:tcPr>
          <w:p w14:paraId="0278218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132</w:t>
            </w:r>
          </w:p>
        </w:tc>
        <w:tc>
          <w:tcPr>
            <w:tcW w:w="1260" w:type="dxa"/>
          </w:tcPr>
          <w:p w14:paraId="55AA96E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0C6CD10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557F022" w14:textId="77777777">
        <w:tc>
          <w:tcPr>
            <w:tcW w:w="828" w:type="dxa"/>
          </w:tcPr>
          <w:p w14:paraId="5D07809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133</w:t>
            </w:r>
          </w:p>
        </w:tc>
        <w:tc>
          <w:tcPr>
            <w:tcW w:w="1260" w:type="dxa"/>
          </w:tcPr>
          <w:p w14:paraId="03DC461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Ленинград</w:t>
            </w:r>
          </w:p>
        </w:tc>
        <w:tc>
          <w:tcPr>
            <w:tcW w:w="1260" w:type="dxa"/>
          </w:tcPr>
          <w:p w14:paraId="347AC80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D3C0F41" w14:textId="77777777">
        <w:tc>
          <w:tcPr>
            <w:tcW w:w="828" w:type="dxa"/>
          </w:tcPr>
          <w:p w14:paraId="79A4286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134</w:t>
            </w:r>
          </w:p>
        </w:tc>
        <w:tc>
          <w:tcPr>
            <w:tcW w:w="1260" w:type="dxa"/>
          </w:tcPr>
          <w:p w14:paraId="29AF18B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3D54E75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935D7D6" w14:textId="77777777">
        <w:tc>
          <w:tcPr>
            <w:tcW w:w="828" w:type="dxa"/>
          </w:tcPr>
          <w:p w14:paraId="04222D3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161</w:t>
            </w:r>
          </w:p>
        </w:tc>
        <w:tc>
          <w:tcPr>
            <w:tcW w:w="1260" w:type="dxa"/>
          </w:tcPr>
          <w:p w14:paraId="2E2D99E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2675331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773018D" w14:textId="77777777">
        <w:tc>
          <w:tcPr>
            <w:tcW w:w="828" w:type="dxa"/>
          </w:tcPr>
          <w:p w14:paraId="21A62ED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266</w:t>
            </w:r>
          </w:p>
        </w:tc>
        <w:tc>
          <w:tcPr>
            <w:tcW w:w="1260" w:type="dxa"/>
          </w:tcPr>
          <w:p w14:paraId="7F5EEE5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77EAD82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4866D5B" w14:textId="77777777">
        <w:tc>
          <w:tcPr>
            <w:tcW w:w="828" w:type="dxa"/>
          </w:tcPr>
          <w:p w14:paraId="620F264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296</w:t>
            </w:r>
          </w:p>
        </w:tc>
        <w:tc>
          <w:tcPr>
            <w:tcW w:w="1260" w:type="dxa"/>
          </w:tcPr>
          <w:p w14:paraId="7A3D855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w:t>
            </w:r>
          </w:p>
        </w:tc>
        <w:tc>
          <w:tcPr>
            <w:tcW w:w="1260" w:type="dxa"/>
          </w:tcPr>
          <w:p w14:paraId="2531DA0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F57A94D" w14:textId="77777777">
        <w:tc>
          <w:tcPr>
            <w:tcW w:w="828" w:type="dxa"/>
          </w:tcPr>
          <w:p w14:paraId="341DE69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307</w:t>
            </w:r>
          </w:p>
        </w:tc>
        <w:tc>
          <w:tcPr>
            <w:tcW w:w="1260" w:type="dxa"/>
          </w:tcPr>
          <w:p w14:paraId="7A251BD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Ржев</w:t>
            </w:r>
          </w:p>
        </w:tc>
        <w:tc>
          <w:tcPr>
            <w:tcW w:w="1260" w:type="dxa"/>
          </w:tcPr>
          <w:p w14:paraId="7CA98B7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F14B7BC" w14:textId="77777777">
        <w:tc>
          <w:tcPr>
            <w:tcW w:w="828" w:type="dxa"/>
          </w:tcPr>
          <w:p w14:paraId="31069F7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444</w:t>
            </w:r>
          </w:p>
        </w:tc>
        <w:tc>
          <w:tcPr>
            <w:tcW w:w="1260" w:type="dxa"/>
          </w:tcPr>
          <w:p w14:paraId="661FEC9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71C5748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5A9F8FD" w14:textId="77777777">
        <w:tc>
          <w:tcPr>
            <w:tcW w:w="828" w:type="dxa"/>
          </w:tcPr>
          <w:p w14:paraId="18D98CD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456</w:t>
            </w:r>
          </w:p>
        </w:tc>
        <w:tc>
          <w:tcPr>
            <w:tcW w:w="1260" w:type="dxa"/>
          </w:tcPr>
          <w:p w14:paraId="6CFC593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Полтава</w:t>
            </w:r>
          </w:p>
        </w:tc>
        <w:tc>
          <w:tcPr>
            <w:tcW w:w="1260" w:type="dxa"/>
          </w:tcPr>
          <w:p w14:paraId="27F74F4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352A985" w14:textId="77777777">
        <w:tc>
          <w:tcPr>
            <w:tcW w:w="828" w:type="dxa"/>
          </w:tcPr>
          <w:p w14:paraId="74C1EEB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462</w:t>
            </w:r>
          </w:p>
        </w:tc>
        <w:tc>
          <w:tcPr>
            <w:tcW w:w="1260" w:type="dxa"/>
          </w:tcPr>
          <w:p w14:paraId="4EEF65B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Днепропетровск</w:t>
            </w:r>
          </w:p>
        </w:tc>
        <w:tc>
          <w:tcPr>
            <w:tcW w:w="1260" w:type="dxa"/>
          </w:tcPr>
          <w:p w14:paraId="511D7D0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5D20680" w14:textId="77777777">
        <w:tc>
          <w:tcPr>
            <w:tcW w:w="828" w:type="dxa"/>
          </w:tcPr>
          <w:p w14:paraId="453E38B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478</w:t>
            </w:r>
          </w:p>
        </w:tc>
        <w:tc>
          <w:tcPr>
            <w:tcW w:w="1260" w:type="dxa"/>
          </w:tcPr>
          <w:p w14:paraId="7F11D55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6A331C5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2550236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ГУ</w:t>
      </w:r>
    </w:p>
    <w:p w14:paraId="0E6A3A0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Строящиеся и действующие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49980838" w14:textId="77777777">
        <w:tc>
          <w:tcPr>
            <w:tcW w:w="828" w:type="dxa"/>
          </w:tcPr>
          <w:p w14:paraId="1C3FCBD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213</w:t>
            </w:r>
          </w:p>
        </w:tc>
        <w:tc>
          <w:tcPr>
            <w:tcW w:w="1260" w:type="dxa"/>
          </w:tcPr>
          <w:p w14:paraId="567C000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Энгельс</w:t>
            </w:r>
          </w:p>
        </w:tc>
        <w:tc>
          <w:tcPr>
            <w:tcW w:w="1260" w:type="dxa"/>
          </w:tcPr>
          <w:p w14:paraId="6E18D45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Михайлов</w:t>
            </w:r>
          </w:p>
        </w:tc>
      </w:tr>
      <w:tr w:rsidR="00860B4B" w:rsidRPr="00D03F3E" w14:paraId="0F9CC115" w14:textId="77777777">
        <w:tc>
          <w:tcPr>
            <w:tcW w:w="828" w:type="dxa"/>
          </w:tcPr>
          <w:p w14:paraId="68801FB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214</w:t>
            </w:r>
          </w:p>
        </w:tc>
        <w:tc>
          <w:tcPr>
            <w:tcW w:w="1260" w:type="dxa"/>
          </w:tcPr>
          <w:p w14:paraId="164E75D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Свердловск</w:t>
            </w:r>
          </w:p>
        </w:tc>
        <w:tc>
          <w:tcPr>
            <w:tcW w:w="1260" w:type="dxa"/>
          </w:tcPr>
          <w:p w14:paraId="5B0CA82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Гоцеридзе</w:t>
            </w:r>
          </w:p>
        </w:tc>
      </w:tr>
      <w:tr w:rsidR="00860B4B" w:rsidRPr="00D03F3E" w14:paraId="5F77B8DF" w14:textId="77777777">
        <w:tc>
          <w:tcPr>
            <w:tcW w:w="828" w:type="dxa"/>
          </w:tcPr>
          <w:p w14:paraId="0BA80A5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218</w:t>
            </w:r>
          </w:p>
        </w:tc>
        <w:tc>
          <w:tcPr>
            <w:tcW w:w="1260" w:type="dxa"/>
          </w:tcPr>
          <w:p w14:paraId="48A1589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Казань</w:t>
            </w:r>
          </w:p>
        </w:tc>
        <w:tc>
          <w:tcPr>
            <w:tcW w:w="1260" w:type="dxa"/>
          </w:tcPr>
          <w:p w14:paraId="70CF658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Цветков</w:t>
            </w:r>
          </w:p>
        </w:tc>
      </w:tr>
      <w:tr w:rsidR="00860B4B" w:rsidRPr="00D03F3E" w14:paraId="354AB457" w14:textId="77777777">
        <w:tc>
          <w:tcPr>
            <w:tcW w:w="828" w:type="dxa"/>
          </w:tcPr>
          <w:p w14:paraId="0EFC3D8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224</w:t>
            </w:r>
          </w:p>
        </w:tc>
        <w:tc>
          <w:tcPr>
            <w:tcW w:w="1260" w:type="dxa"/>
          </w:tcPr>
          <w:p w14:paraId="7DD0F07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Молотов</w:t>
            </w:r>
          </w:p>
        </w:tc>
        <w:tc>
          <w:tcPr>
            <w:tcW w:w="1260" w:type="dxa"/>
          </w:tcPr>
          <w:p w14:paraId="53A67E5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Васильев</w:t>
            </w:r>
          </w:p>
        </w:tc>
      </w:tr>
      <w:tr w:rsidR="00860B4B" w:rsidRPr="00D03F3E" w14:paraId="15D92B22" w14:textId="77777777">
        <w:tc>
          <w:tcPr>
            <w:tcW w:w="828" w:type="dxa"/>
          </w:tcPr>
          <w:p w14:paraId="0DF53F6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230</w:t>
            </w:r>
          </w:p>
        </w:tc>
        <w:tc>
          <w:tcPr>
            <w:tcW w:w="1260" w:type="dxa"/>
          </w:tcPr>
          <w:p w14:paraId="148F1FE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Казань</w:t>
            </w:r>
          </w:p>
        </w:tc>
        <w:tc>
          <w:tcPr>
            <w:tcW w:w="1260" w:type="dxa"/>
          </w:tcPr>
          <w:p w14:paraId="51C88D1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Романов</w:t>
            </w:r>
          </w:p>
        </w:tc>
      </w:tr>
      <w:tr w:rsidR="00860B4B" w:rsidRPr="00D03F3E" w14:paraId="4B8DF0FC" w14:textId="77777777">
        <w:tc>
          <w:tcPr>
            <w:tcW w:w="828" w:type="dxa"/>
          </w:tcPr>
          <w:p w14:paraId="47587C4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279</w:t>
            </w:r>
          </w:p>
        </w:tc>
        <w:tc>
          <w:tcPr>
            <w:tcW w:w="1260" w:type="dxa"/>
          </w:tcPr>
          <w:p w14:paraId="28A4DA8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Ижевск</w:t>
            </w:r>
          </w:p>
        </w:tc>
        <w:tc>
          <w:tcPr>
            <w:tcW w:w="1260" w:type="dxa"/>
          </w:tcPr>
          <w:p w14:paraId="576151D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Объедков</w:t>
            </w:r>
          </w:p>
        </w:tc>
      </w:tr>
      <w:tr w:rsidR="00860B4B" w:rsidRPr="00D03F3E" w14:paraId="2C6CBFE2" w14:textId="77777777">
        <w:tc>
          <w:tcPr>
            <w:tcW w:w="828" w:type="dxa"/>
          </w:tcPr>
          <w:p w14:paraId="1F62D6C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280</w:t>
            </w:r>
          </w:p>
        </w:tc>
        <w:tc>
          <w:tcPr>
            <w:tcW w:w="1260" w:type="dxa"/>
          </w:tcPr>
          <w:p w14:paraId="2DD5707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Ульяновск</w:t>
            </w:r>
          </w:p>
        </w:tc>
        <w:tc>
          <w:tcPr>
            <w:tcW w:w="1260" w:type="dxa"/>
          </w:tcPr>
          <w:p w14:paraId="70489AE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Березин</w:t>
            </w:r>
          </w:p>
        </w:tc>
      </w:tr>
      <w:tr w:rsidR="00860B4B" w:rsidRPr="00D03F3E" w14:paraId="20E0531F" w14:textId="77777777">
        <w:tc>
          <w:tcPr>
            <w:tcW w:w="828" w:type="dxa"/>
          </w:tcPr>
          <w:p w14:paraId="6309FAB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328</w:t>
            </w:r>
          </w:p>
        </w:tc>
        <w:tc>
          <w:tcPr>
            <w:tcW w:w="1260" w:type="dxa"/>
          </w:tcPr>
          <w:p w14:paraId="10E458D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Владимир</w:t>
            </w:r>
          </w:p>
        </w:tc>
        <w:tc>
          <w:tcPr>
            <w:tcW w:w="1260" w:type="dxa"/>
          </w:tcPr>
          <w:p w14:paraId="2330C41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Жердев</w:t>
            </w:r>
          </w:p>
        </w:tc>
      </w:tr>
      <w:tr w:rsidR="00860B4B" w:rsidRPr="00D03F3E" w14:paraId="15404D3E" w14:textId="77777777">
        <w:tc>
          <w:tcPr>
            <w:tcW w:w="828" w:type="dxa"/>
          </w:tcPr>
          <w:p w14:paraId="58E183C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379</w:t>
            </w:r>
          </w:p>
        </w:tc>
        <w:tc>
          <w:tcPr>
            <w:tcW w:w="1260" w:type="dxa"/>
          </w:tcPr>
          <w:p w14:paraId="5E89805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Казань</w:t>
            </w:r>
          </w:p>
        </w:tc>
        <w:tc>
          <w:tcPr>
            <w:tcW w:w="1260" w:type="dxa"/>
          </w:tcPr>
          <w:p w14:paraId="5C0DB75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Быстров</w:t>
            </w:r>
          </w:p>
        </w:tc>
      </w:tr>
      <w:tr w:rsidR="00860B4B" w:rsidRPr="00D03F3E" w14:paraId="33A974C2" w14:textId="77777777">
        <w:tc>
          <w:tcPr>
            <w:tcW w:w="828" w:type="dxa"/>
          </w:tcPr>
          <w:p w14:paraId="5EE010E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474</w:t>
            </w:r>
          </w:p>
        </w:tc>
        <w:tc>
          <w:tcPr>
            <w:tcW w:w="1260" w:type="dxa"/>
          </w:tcPr>
          <w:p w14:paraId="54F61FE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Свердловск</w:t>
            </w:r>
          </w:p>
        </w:tc>
        <w:tc>
          <w:tcPr>
            <w:tcW w:w="1260" w:type="dxa"/>
          </w:tcPr>
          <w:p w14:paraId="01339A0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Алешин</w:t>
            </w:r>
          </w:p>
        </w:tc>
      </w:tr>
      <w:tr w:rsidR="00860B4B" w:rsidRPr="00D03F3E" w14:paraId="51F0A60E" w14:textId="77777777">
        <w:tc>
          <w:tcPr>
            <w:tcW w:w="828" w:type="dxa"/>
          </w:tcPr>
          <w:p w14:paraId="06F10B6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Точизмеритель</w:t>
            </w:r>
          </w:p>
        </w:tc>
        <w:tc>
          <w:tcPr>
            <w:tcW w:w="1260" w:type="dxa"/>
          </w:tcPr>
          <w:p w14:paraId="684E192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Мончаж</w:t>
            </w:r>
          </w:p>
        </w:tc>
        <w:tc>
          <w:tcPr>
            <w:tcW w:w="1260" w:type="dxa"/>
          </w:tcPr>
          <w:p w14:paraId="172718D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Гольдберг</w:t>
            </w:r>
          </w:p>
        </w:tc>
      </w:tr>
      <w:tr w:rsidR="00860B4B" w:rsidRPr="00D03F3E" w14:paraId="67769185" w14:textId="77777777">
        <w:tc>
          <w:tcPr>
            <w:tcW w:w="828" w:type="dxa"/>
          </w:tcPr>
          <w:p w14:paraId="181F388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ОЗПО</w:t>
            </w:r>
          </w:p>
        </w:tc>
        <w:tc>
          <w:tcPr>
            <w:tcW w:w="1260" w:type="dxa"/>
          </w:tcPr>
          <w:p w14:paraId="00C8A44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Владимир</w:t>
            </w:r>
          </w:p>
        </w:tc>
        <w:tc>
          <w:tcPr>
            <w:tcW w:w="1260" w:type="dxa"/>
          </w:tcPr>
          <w:p w14:paraId="2C522C3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Цаплин</w:t>
            </w:r>
          </w:p>
        </w:tc>
      </w:tr>
      <w:tr w:rsidR="00860B4B" w:rsidRPr="00D03F3E" w14:paraId="7F934887" w14:textId="77777777">
        <w:tc>
          <w:tcPr>
            <w:tcW w:w="828" w:type="dxa"/>
          </w:tcPr>
          <w:p w14:paraId="4AB97D5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ГСП-10</w:t>
            </w:r>
          </w:p>
        </w:tc>
        <w:tc>
          <w:tcPr>
            <w:tcW w:w="1260" w:type="dxa"/>
          </w:tcPr>
          <w:p w14:paraId="490B131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Ульяновск</w:t>
            </w:r>
          </w:p>
        </w:tc>
        <w:tc>
          <w:tcPr>
            <w:tcW w:w="1260" w:type="dxa"/>
          </w:tcPr>
          <w:p w14:paraId="48E7CC3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Стариков</w:t>
            </w:r>
          </w:p>
        </w:tc>
      </w:tr>
      <w:tr w:rsidR="00860B4B" w:rsidRPr="00D03F3E" w14:paraId="395362BD" w14:textId="77777777">
        <w:tc>
          <w:tcPr>
            <w:tcW w:w="828" w:type="dxa"/>
          </w:tcPr>
          <w:p w14:paraId="5052535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НИИ-12</w:t>
            </w:r>
          </w:p>
        </w:tc>
        <w:tc>
          <w:tcPr>
            <w:tcW w:w="1260" w:type="dxa"/>
          </w:tcPr>
          <w:p w14:paraId="0154D50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Ульяновск</w:t>
            </w:r>
          </w:p>
        </w:tc>
        <w:tc>
          <w:tcPr>
            <w:tcW w:w="1260" w:type="dxa"/>
          </w:tcPr>
          <w:p w14:paraId="2E7E2B6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Фрадкин</w:t>
            </w:r>
          </w:p>
        </w:tc>
      </w:tr>
    </w:tbl>
    <w:p w14:paraId="4EFFAF9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Восстанавливаемые 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6D6BB1DE" w14:textId="77777777">
        <w:tc>
          <w:tcPr>
            <w:tcW w:w="828" w:type="dxa"/>
          </w:tcPr>
          <w:p w14:paraId="4200C5A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213</w:t>
            </w:r>
          </w:p>
        </w:tc>
        <w:tc>
          <w:tcPr>
            <w:tcW w:w="1260" w:type="dxa"/>
          </w:tcPr>
          <w:p w14:paraId="32AB19D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690B313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30B5D02" w14:textId="77777777">
        <w:tc>
          <w:tcPr>
            <w:tcW w:w="828" w:type="dxa"/>
          </w:tcPr>
          <w:p w14:paraId="579375E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214</w:t>
            </w:r>
          </w:p>
        </w:tc>
        <w:tc>
          <w:tcPr>
            <w:tcW w:w="1260" w:type="dxa"/>
          </w:tcPr>
          <w:p w14:paraId="4F1EFA4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7273798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5AC467D" w14:textId="77777777">
        <w:tc>
          <w:tcPr>
            <w:tcW w:w="828" w:type="dxa"/>
          </w:tcPr>
          <w:p w14:paraId="75FBEB8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230</w:t>
            </w:r>
          </w:p>
        </w:tc>
        <w:tc>
          <w:tcPr>
            <w:tcW w:w="1260" w:type="dxa"/>
          </w:tcPr>
          <w:p w14:paraId="5C87265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47D65CA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2BA1986" w14:textId="77777777">
        <w:tc>
          <w:tcPr>
            <w:tcW w:w="828" w:type="dxa"/>
          </w:tcPr>
          <w:p w14:paraId="3D18CD2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474</w:t>
            </w:r>
          </w:p>
        </w:tc>
        <w:tc>
          <w:tcPr>
            <w:tcW w:w="1260" w:type="dxa"/>
          </w:tcPr>
          <w:p w14:paraId="7B831D4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7007B51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AFC10CA" w14:textId="77777777">
        <w:tc>
          <w:tcPr>
            <w:tcW w:w="828" w:type="dxa"/>
          </w:tcPr>
          <w:p w14:paraId="68722D7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Точизмеритель</w:t>
            </w:r>
          </w:p>
        </w:tc>
        <w:tc>
          <w:tcPr>
            <w:tcW w:w="1260" w:type="dxa"/>
          </w:tcPr>
          <w:p w14:paraId="7F478EA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Иосква</w:t>
            </w:r>
          </w:p>
        </w:tc>
        <w:tc>
          <w:tcPr>
            <w:tcW w:w="1260" w:type="dxa"/>
          </w:tcPr>
          <w:p w14:paraId="773803F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7D34617" w14:textId="77777777">
        <w:tc>
          <w:tcPr>
            <w:tcW w:w="828" w:type="dxa"/>
          </w:tcPr>
          <w:p w14:paraId="731CDFE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279</w:t>
            </w:r>
          </w:p>
        </w:tc>
        <w:tc>
          <w:tcPr>
            <w:tcW w:w="1260" w:type="dxa"/>
          </w:tcPr>
          <w:p w14:paraId="35C7C9C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Раменское</w:t>
            </w:r>
          </w:p>
        </w:tc>
        <w:tc>
          <w:tcPr>
            <w:tcW w:w="1260" w:type="dxa"/>
          </w:tcPr>
          <w:p w14:paraId="4C94141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2F34BFB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Законсервированное и прекращенное стр-во: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5B08B0D3" w14:textId="77777777">
        <w:tc>
          <w:tcPr>
            <w:tcW w:w="828" w:type="dxa"/>
          </w:tcPr>
          <w:p w14:paraId="15AC984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149</w:t>
            </w:r>
          </w:p>
        </w:tc>
        <w:tc>
          <w:tcPr>
            <w:tcW w:w="1260" w:type="dxa"/>
          </w:tcPr>
          <w:p w14:paraId="195A440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Вязьма</w:t>
            </w:r>
          </w:p>
        </w:tc>
        <w:tc>
          <w:tcPr>
            <w:tcW w:w="1260" w:type="dxa"/>
          </w:tcPr>
          <w:p w14:paraId="36F11D9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F8D5AC7" w14:textId="77777777">
        <w:tc>
          <w:tcPr>
            <w:tcW w:w="828" w:type="dxa"/>
          </w:tcPr>
          <w:p w14:paraId="7774645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w:t>
            </w:r>
          </w:p>
        </w:tc>
        <w:tc>
          <w:tcPr>
            <w:tcW w:w="1260" w:type="dxa"/>
          </w:tcPr>
          <w:p w14:paraId="473B628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w:t>
            </w:r>
          </w:p>
        </w:tc>
        <w:tc>
          <w:tcPr>
            <w:tcW w:w="1260" w:type="dxa"/>
          </w:tcPr>
          <w:p w14:paraId="4C40DDE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60A27C5" w14:textId="77777777">
        <w:tc>
          <w:tcPr>
            <w:tcW w:w="828" w:type="dxa"/>
          </w:tcPr>
          <w:p w14:paraId="1CE0742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218</w:t>
            </w:r>
          </w:p>
        </w:tc>
        <w:tc>
          <w:tcPr>
            <w:tcW w:w="1260" w:type="dxa"/>
          </w:tcPr>
          <w:p w14:paraId="69D52A1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Ленинград</w:t>
            </w:r>
          </w:p>
        </w:tc>
        <w:tc>
          <w:tcPr>
            <w:tcW w:w="1260" w:type="dxa"/>
          </w:tcPr>
          <w:p w14:paraId="31BC0B4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779BBBE" w14:textId="77777777">
        <w:tc>
          <w:tcPr>
            <w:tcW w:w="828" w:type="dxa"/>
          </w:tcPr>
          <w:p w14:paraId="1EA47D2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224</w:t>
            </w:r>
          </w:p>
        </w:tc>
        <w:tc>
          <w:tcPr>
            <w:tcW w:w="1260" w:type="dxa"/>
          </w:tcPr>
          <w:p w14:paraId="2761C05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Ленинград</w:t>
            </w:r>
          </w:p>
        </w:tc>
        <w:tc>
          <w:tcPr>
            <w:tcW w:w="1260" w:type="dxa"/>
          </w:tcPr>
          <w:p w14:paraId="6C1CC9E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D9B60D4" w14:textId="77777777">
        <w:tc>
          <w:tcPr>
            <w:tcW w:w="828" w:type="dxa"/>
          </w:tcPr>
          <w:p w14:paraId="04243D5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287</w:t>
            </w:r>
          </w:p>
        </w:tc>
        <w:tc>
          <w:tcPr>
            <w:tcW w:w="1260" w:type="dxa"/>
          </w:tcPr>
          <w:p w14:paraId="7D5314B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Владимир</w:t>
            </w:r>
          </w:p>
        </w:tc>
        <w:tc>
          <w:tcPr>
            <w:tcW w:w="1260" w:type="dxa"/>
          </w:tcPr>
          <w:p w14:paraId="774E9AF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6FD67B9" w14:textId="77777777">
        <w:tc>
          <w:tcPr>
            <w:tcW w:w="828" w:type="dxa"/>
          </w:tcPr>
          <w:p w14:paraId="6CDE64E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329</w:t>
            </w:r>
          </w:p>
        </w:tc>
        <w:tc>
          <w:tcPr>
            <w:tcW w:w="1260" w:type="dxa"/>
          </w:tcPr>
          <w:p w14:paraId="2AD2D5F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Комсомольск</w:t>
            </w:r>
          </w:p>
        </w:tc>
        <w:tc>
          <w:tcPr>
            <w:tcW w:w="1260" w:type="dxa"/>
          </w:tcPr>
          <w:p w14:paraId="7567B7A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53F1363" w14:textId="77777777">
        <w:tc>
          <w:tcPr>
            <w:tcW w:w="828" w:type="dxa"/>
          </w:tcPr>
          <w:p w14:paraId="6280E6F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379</w:t>
            </w:r>
          </w:p>
        </w:tc>
        <w:tc>
          <w:tcPr>
            <w:tcW w:w="1260" w:type="dxa"/>
          </w:tcPr>
          <w:p w14:paraId="06298BD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Ленинград</w:t>
            </w:r>
          </w:p>
        </w:tc>
        <w:tc>
          <w:tcPr>
            <w:tcW w:w="1260" w:type="dxa"/>
          </w:tcPr>
          <w:p w14:paraId="02E779F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0B5C753" w14:textId="77777777">
        <w:tc>
          <w:tcPr>
            <w:tcW w:w="828" w:type="dxa"/>
          </w:tcPr>
          <w:p w14:paraId="5FD76CD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382</w:t>
            </w:r>
          </w:p>
        </w:tc>
        <w:tc>
          <w:tcPr>
            <w:tcW w:w="1260" w:type="dxa"/>
          </w:tcPr>
          <w:p w14:paraId="66778DE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Тарту</w:t>
            </w:r>
          </w:p>
        </w:tc>
        <w:tc>
          <w:tcPr>
            <w:tcW w:w="1260" w:type="dxa"/>
          </w:tcPr>
          <w:p w14:paraId="138C842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03857AD" w14:textId="77777777">
        <w:tc>
          <w:tcPr>
            <w:tcW w:w="828" w:type="dxa"/>
          </w:tcPr>
          <w:p w14:paraId="28AC6CC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470</w:t>
            </w:r>
          </w:p>
        </w:tc>
        <w:tc>
          <w:tcPr>
            <w:tcW w:w="1260" w:type="dxa"/>
          </w:tcPr>
          <w:p w14:paraId="79D50B6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Вильнюс</w:t>
            </w:r>
          </w:p>
        </w:tc>
        <w:tc>
          <w:tcPr>
            <w:tcW w:w="1260" w:type="dxa"/>
          </w:tcPr>
          <w:p w14:paraId="7D22EF0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E7D5CBD" w14:textId="77777777">
        <w:tc>
          <w:tcPr>
            <w:tcW w:w="828" w:type="dxa"/>
          </w:tcPr>
          <w:p w14:paraId="4C885EF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473</w:t>
            </w:r>
          </w:p>
        </w:tc>
        <w:tc>
          <w:tcPr>
            <w:tcW w:w="1260" w:type="dxa"/>
          </w:tcPr>
          <w:p w14:paraId="26B0F34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Львов</w:t>
            </w:r>
          </w:p>
        </w:tc>
        <w:tc>
          <w:tcPr>
            <w:tcW w:w="1260" w:type="dxa"/>
          </w:tcPr>
          <w:p w14:paraId="6D714BF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1112F9D" w14:textId="77777777">
        <w:tc>
          <w:tcPr>
            <w:tcW w:w="828" w:type="dxa"/>
          </w:tcPr>
          <w:p w14:paraId="1A5B961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474</w:t>
            </w:r>
          </w:p>
        </w:tc>
        <w:tc>
          <w:tcPr>
            <w:tcW w:w="1260" w:type="dxa"/>
          </w:tcPr>
          <w:p w14:paraId="469A3C4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26088CE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593521C" w14:textId="77777777">
        <w:tc>
          <w:tcPr>
            <w:tcW w:w="828" w:type="dxa"/>
          </w:tcPr>
          <w:p w14:paraId="7B5C636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475</w:t>
            </w:r>
          </w:p>
        </w:tc>
        <w:tc>
          <w:tcPr>
            <w:tcW w:w="1260" w:type="dxa"/>
          </w:tcPr>
          <w:p w14:paraId="225DC68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Ленинград</w:t>
            </w:r>
          </w:p>
        </w:tc>
        <w:tc>
          <w:tcPr>
            <w:tcW w:w="1260" w:type="dxa"/>
          </w:tcPr>
          <w:p w14:paraId="0294E7F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E0CB5F2" w14:textId="77777777">
        <w:tc>
          <w:tcPr>
            <w:tcW w:w="828" w:type="dxa"/>
          </w:tcPr>
          <w:p w14:paraId="1FC1C72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НИИ-22</w:t>
            </w:r>
          </w:p>
        </w:tc>
        <w:tc>
          <w:tcPr>
            <w:tcW w:w="1260" w:type="dxa"/>
          </w:tcPr>
          <w:p w14:paraId="6802F35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Ленинград</w:t>
            </w:r>
          </w:p>
        </w:tc>
        <w:tc>
          <w:tcPr>
            <w:tcW w:w="1260" w:type="dxa"/>
          </w:tcPr>
          <w:p w14:paraId="543F5E2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E24594C" w14:textId="77777777">
        <w:tc>
          <w:tcPr>
            <w:tcW w:w="828" w:type="dxa"/>
          </w:tcPr>
          <w:p w14:paraId="68ACD75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ГПИ-10</w:t>
            </w:r>
          </w:p>
        </w:tc>
        <w:tc>
          <w:tcPr>
            <w:tcW w:w="1260" w:type="dxa"/>
          </w:tcPr>
          <w:p w14:paraId="49CDD09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Мосвка</w:t>
            </w:r>
          </w:p>
        </w:tc>
        <w:tc>
          <w:tcPr>
            <w:tcW w:w="1260" w:type="dxa"/>
          </w:tcPr>
          <w:p w14:paraId="77C7FC3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E98730F" w14:textId="77777777">
        <w:tc>
          <w:tcPr>
            <w:tcW w:w="828" w:type="dxa"/>
          </w:tcPr>
          <w:p w14:paraId="638287C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НИИ-12</w:t>
            </w:r>
          </w:p>
        </w:tc>
        <w:tc>
          <w:tcPr>
            <w:tcW w:w="1260" w:type="dxa"/>
          </w:tcPr>
          <w:p w14:paraId="21A0E9D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3536B3B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0982AD3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ГУ</w:t>
      </w:r>
    </w:p>
    <w:p w14:paraId="753AE0C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Строящиеся и действующие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1262FD16" w14:textId="77777777">
        <w:tc>
          <w:tcPr>
            <w:tcW w:w="828" w:type="dxa"/>
          </w:tcPr>
          <w:p w14:paraId="6ECD2F8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w:t>
            </w:r>
          </w:p>
        </w:tc>
        <w:tc>
          <w:tcPr>
            <w:tcW w:w="1260" w:type="dxa"/>
          </w:tcPr>
          <w:p w14:paraId="50A5C2D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02304F6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Сакин</w:t>
            </w:r>
          </w:p>
        </w:tc>
      </w:tr>
      <w:tr w:rsidR="00860B4B" w:rsidRPr="00D03F3E" w14:paraId="573FEBF1" w14:textId="77777777">
        <w:tc>
          <w:tcPr>
            <w:tcW w:w="828" w:type="dxa"/>
          </w:tcPr>
          <w:p w14:paraId="7A93E03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117</w:t>
            </w:r>
          </w:p>
        </w:tc>
        <w:tc>
          <w:tcPr>
            <w:tcW w:w="1260" w:type="dxa"/>
          </w:tcPr>
          <w:p w14:paraId="160DFA7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Чита</w:t>
            </w:r>
          </w:p>
        </w:tc>
        <w:tc>
          <w:tcPr>
            <w:tcW w:w="1260" w:type="dxa"/>
          </w:tcPr>
          <w:p w14:paraId="314FA37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Горьковский</w:t>
            </w:r>
          </w:p>
        </w:tc>
      </w:tr>
      <w:tr w:rsidR="00860B4B" w:rsidRPr="00D03F3E" w14:paraId="225BAC09" w14:textId="77777777">
        <w:tc>
          <w:tcPr>
            <w:tcW w:w="828" w:type="dxa"/>
          </w:tcPr>
          <w:p w14:paraId="4A4B6E3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156</w:t>
            </w:r>
          </w:p>
        </w:tc>
        <w:tc>
          <w:tcPr>
            <w:tcW w:w="1260" w:type="dxa"/>
          </w:tcPr>
          <w:p w14:paraId="4AD022E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2DD6BE9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Гулянский</w:t>
            </w:r>
          </w:p>
        </w:tc>
      </w:tr>
      <w:tr w:rsidR="00860B4B" w:rsidRPr="00D03F3E" w14:paraId="253FED28" w14:textId="77777777">
        <w:tc>
          <w:tcPr>
            <w:tcW w:w="828" w:type="dxa"/>
          </w:tcPr>
          <w:p w14:paraId="31E399A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162</w:t>
            </w:r>
          </w:p>
        </w:tc>
        <w:tc>
          <w:tcPr>
            <w:tcW w:w="1260" w:type="dxa"/>
          </w:tcPr>
          <w:p w14:paraId="038B7BD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Ленинград</w:t>
            </w:r>
          </w:p>
        </w:tc>
        <w:tc>
          <w:tcPr>
            <w:tcW w:w="1260" w:type="dxa"/>
          </w:tcPr>
          <w:p w14:paraId="191A692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Бондарев</w:t>
            </w:r>
          </w:p>
        </w:tc>
      </w:tr>
      <w:tr w:rsidR="00860B4B" w:rsidRPr="00D03F3E" w14:paraId="6323FEB2" w14:textId="77777777">
        <w:tc>
          <w:tcPr>
            <w:tcW w:w="828" w:type="dxa"/>
          </w:tcPr>
          <w:p w14:paraId="2079ED0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163</w:t>
            </w:r>
          </w:p>
        </w:tc>
        <w:tc>
          <w:tcPr>
            <w:tcW w:w="1260" w:type="dxa"/>
          </w:tcPr>
          <w:p w14:paraId="0086E2B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Пенза</w:t>
            </w:r>
          </w:p>
        </w:tc>
        <w:tc>
          <w:tcPr>
            <w:tcW w:w="1260" w:type="dxa"/>
          </w:tcPr>
          <w:p w14:paraId="51B335C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Иваненко</w:t>
            </w:r>
          </w:p>
        </w:tc>
      </w:tr>
      <w:tr w:rsidR="00860B4B" w:rsidRPr="00D03F3E" w14:paraId="02FEEC8F" w14:textId="77777777">
        <w:tc>
          <w:tcPr>
            <w:tcW w:w="828" w:type="dxa"/>
          </w:tcPr>
          <w:p w14:paraId="76EED65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164</w:t>
            </w:r>
          </w:p>
        </w:tc>
        <w:tc>
          <w:tcPr>
            <w:tcW w:w="1260" w:type="dxa"/>
          </w:tcPr>
          <w:p w14:paraId="43A0D19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0B958AE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Андреев</w:t>
            </w:r>
          </w:p>
        </w:tc>
      </w:tr>
      <w:tr w:rsidR="00860B4B" w:rsidRPr="00D03F3E" w14:paraId="6B009F24" w14:textId="77777777">
        <w:tc>
          <w:tcPr>
            <w:tcW w:w="828" w:type="dxa"/>
          </w:tcPr>
          <w:p w14:paraId="08C5CA3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165</w:t>
            </w:r>
          </w:p>
        </w:tc>
        <w:tc>
          <w:tcPr>
            <w:tcW w:w="1260" w:type="dxa"/>
          </w:tcPr>
          <w:p w14:paraId="26EC916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5C92137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Степин</w:t>
            </w:r>
          </w:p>
        </w:tc>
      </w:tr>
      <w:tr w:rsidR="00860B4B" w:rsidRPr="00D03F3E" w14:paraId="061674C5" w14:textId="77777777">
        <w:tc>
          <w:tcPr>
            <w:tcW w:w="828" w:type="dxa"/>
          </w:tcPr>
          <w:p w14:paraId="11E61C5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167</w:t>
            </w:r>
          </w:p>
        </w:tc>
        <w:tc>
          <w:tcPr>
            <w:tcW w:w="1260" w:type="dxa"/>
          </w:tcPr>
          <w:p w14:paraId="43DB186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Саратов</w:t>
            </w:r>
          </w:p>
        </w:tc>
        <w:tc>
          <w:tcPr>
            <w:tcW w:w="1260" w:type="dxa"/>
          </w:tcPr>
          <w:p w14:paraId="474390C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Лепилин</w:t>
            </w:r>
          </w:p>
        </w:tc>
      </w:tr>
      <w:tr w:rsidR="00860B4B" w:rsidRPr="00D03F3E" w14:paraId="65834C89" w14:textId="77777777">
        <w:tc>
          <w:tcPr>
            <w:tcW w:w="828" w:type="dxa"/>
          </w:tcPr>
          <w:p w14:paraId="268A65D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169</w:t>
            </w:r>
          </w:p>
        </w:tc>
        <w:tc>
          <w:tcPr>
            <w:tcW w:w="1260" w:type="dxa"/>
          </w:tcPr>
          <w:p w14:paraId="2670918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478C1EB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Ткаченко</w:t>
            </w:r>
          </w:p>
        </w:tc>
      </w:tr>
      <w:tr w:rsidR="00860B4B" w:rsidRPr="00D03F3E" w14:paraId="4CAD1C2E" w14:textId="77777777">
        <w:tc>
          <w:tcPr>
            <w:tcW w:w="828" w:type="dxa"/>
          </w:tcPr>
          <w:p w14:paraId="791C1FD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383</w:t>
            </w:r>
          </w:p>
        </w:tc>
        <w:tc>
          <w:tcPr>
            <w:tcW w:w="1260" w:type="dxa"/>
          </w:tcPr>
          <w:p w14:paraId="46FEC03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3621E07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Павлов</w:t>
            </w:r>
          </w:p>
        </w:tc>
      </w:tr>
      <w:tr w:rsidR="00860B4B" w:rsidRPr="00D03F3E" w14:paraId="7DE113F7" w14:textId="77777777">
        <w:tc>
          <w:tcPr>
            <w:tcW w:w="828" w:type="dxa"/>
          </w:tcPr>
          <w:p w14:paraId="281F009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388</w:t>
            </w:r>
          </w:p>
        </w:tc>
        <w:tc>
          <w:tcPr>
            <w:tcW w:w="1260" w:type="dxa"/>
          </w:tcPr>
          <w:p w14:paraId="48660ED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0E556A7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Мурков</w:t>
            </w:r>
          </w:p>
        </w:tc>
      </w:tr>
      <w:tr w:rsidR="00860B4B" w:rsidRPr="00D03F3E" w14:paraId="2CA1EF42" w14:textId="77777777">
        <w:tc>
          <w:tcPr>
            <w:tcW w:w="828" w:type="dxa"/>
          </w:tcPr>
          <w:p w14:paraId="3EC7DD4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449</w:t>
            </w:r>
          </w:p>
        </w:tc>
        <w:tc>
          <w:tcPr>
            <w:tcW w:w="1260" w:type="dxa"/>
          </w:tcPr>
          <w:p w14:paraId="14817C1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Саратов</w:t>
            </w:r>
          </w:p>
        </w:tc>
        <w:tc>
          <w:tcPr>
            <w:tcW w:w="1260" w:type="dxa"/>
          </w:tcPr>
          <w:p w14:paraId="46830D4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Костецкий</w:t>
            </w:r>
          </w:p>
        </w:tc>
      </w:tr>
      <w:tr w:rsidR="00860B4B" w:rsidRPr="00D03F3E" w14:paraId="0E46042A" w14:textId="77777777">
        <w:tc>
          <w:tcPr>
            <w:tcW w:w="828" w:type="dxa"/>
          </w:tcPr>
          <w:p w14:paraId="5B6477D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457</w:t>
            </w:r>
          </w:p>
        </w:tc>
        <w:tc>
          <w:tcPr>
            <w:tcW w:w="1260" w:type="dxa"/>
          </w:tcPr>
          <w:p w14:paraId="38573EA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060BD06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Лукичев</w:t>
            </w:r>
          </w:p>
        </w:tc>
      </w:tr>
      <w:tr w:rsidR="00860B4B" w:rsidRPr="00D03F3E" w14:paraId="1FFC9E29" w14:textId="77777777">
        <w:tc>
          <w:tcPr>
            <w:tcW w:w="828" w:type="dxa"/>
          </w:tcPr>
          <w:p w14:paraId="2F1A7A7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477</w:t>
            </w:r>
          </w:p>
        </w:tc>
        <w:tc>
          <w:tcPr>
            <w:tcW w:w="1260" w:type="dxa"/>
          </w:tcPr>
          <w:p w14:paraId="25D87AA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Красноярск</w:t>
            </w:r>
          </w:p>
        </w:tc>
        <w:tc>
          <w:tcPr>
            <w:tcW w:w="1260" w:type="dxa"/>
          </w:tcPr>
          <w:p w14:paraId="7CE6093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Нестеров</w:t>
            </w:r>
          </w:p>
        </w:tc>
      </w:tr>
      <w:tr w:rsidR="00860B4B" w:rsidRPr="00D03F3E" w14:paraId="111E7E1D" w14:textId="77777777">
        <w:tc>
          <w:tcPr>
            <w:tcW w:w="828" w:type="dxa"/>
          </w:tcPr>
          <w:p w14:paraId="394C454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478</w:t>
            </w:r>
          </w:p>
        </w:tc>
        <w:tc>
          <w:tcPr>
            <w:tcW w:w="1260" w:type="dxa"/>
          </w:tcPr>
          <w:p w14:paraId="3E0A084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21ECB66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Старович</w:t>
            </w:r>
          </w:p>
        </w:tc>
      </w:tr>
      <w:tr w:rsidR="00860B4B" w:rsidRPr="00D03F3E" w14:paraId="7492C132" w14:textId="77777777">
        <w:tc>
          <w:tcPr>
            <w:tcW w:w="828" w:type="dxa"/>
          </w:tcPr>
          <w:p w14:paraId="59D8D93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479</w:t>
            </w:r>
          </w:p>
        </w:tc>
        <w:tc>
          <w:tcPr>
            <w:tcW w:w="1260" w:type="dxa"/>
          </w:tcPr>
          <w:p w14:paraId="6F11825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Бийск</w:t>
            </w:r>
          </w:p>
        </w:tc>
        <w:tc>
          <w:tcPr>
            <w:tcW w:w="1260" w:type="dxa"/>
          </w:tcPr>
          <w:p w14:paraId="0DC25DB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Девяткин</w:t>
            </w:r>
          </w:p>
        </w:tc>
      </w:tr>
      <w:tr w:rsidR="00860B4B" w:rsidRPr="00D03F3E" w14:paraId="4A8A04A3" w14:textId="77777777">
        <w:tc>
          <w:tcPr>
            <w:tcW w:w="828" w:type="dxa"/>
          </w:tcPr>
          <w:p w14:paraId="3D0A9B7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480</w:t>
            </w:r>
          </w:p>
        </w:tc>
        <w:tc>
          <w:tcPr>
            <w:tcW w:w="1260" w:type="dxa"/>
          </w:tcPr>
          <w:p w14:paraId="5AFA16B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4745599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Филипповых</w:t>
            </w:r>
          </w:p>
        </w:tc>
      </w:tr>
    </w:tbl>
    <w:p w14:paraId="2BE0CFD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Восстанавливаемые московские з-ды и стройки: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42D8B057" w14:textId="77777777">
        <w:tc>
          <w:tcPr>
            <w:tcW w:w="828" w:type="dxa"/>
          </w:tcPr>
          <w:p w14:paraId="6A9115E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477</w:t>
            </w:r>
          </w:p>
        </w:tc>
        <w:tc>
          <w:tcPr>
            <w:tcW w:w="1260" w:type="dxa"/>
          </w:tcPr>
          <w:p w14:paraId="5B03549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29D09B0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A96DE3A" w14:textId="77777777">
        <w:tc>
          <w:tcPr>
            <w:tcW w:w="828" w:type="dxa"/>
          </w:tcPr>
          <w:p w14:paraId="0DF1CE0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478 ф-л</w:t>
            </w:r>
          </w:p>
        </w:tc>
        <w:tc>
          <w:tcPr>
            <w:tcW w:w="1260" w:type="dxa"/>
          </w:tcPr>
          <w:p w14:paraId="107A976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4A0EF34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D9E114A" w14:textId="77777777">
        <w:tc>
          <w:tcPr>
            <w:tcW w:w="828" w:type="dxa"/>
          </w:tcPr>
          <w:p w14:paraId="48D83A3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479</w:t>
            </w:r>
          </w:p>
        </w:tc>
        <w:tc>
          <w:tcPr>
            <w:tcW w:w="1260" w:type="dxa"/>
          </w:tcPr>
          <w:p w14:paraId="2A3D9C4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18A1434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340A4DA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Законсервированные и прекращенное стр-во: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2F92BE18" w14:textId="77777777">
        <w:tc>
          <w:tcPr>
            <w:tcW w:w="828" w:type="dxa"/>
          </w:tcPr>
          <w:p w14:paraId="0A52C13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w:t>
            </w:r>
          </w:p>
        </w:tc>
        <w:tc>
          <w:tcPr>
            <w:tcW w:w="1260" w:type="dxa"/>
          </w:tcPr>
          <w:p w14:paraId="23CA120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Ставрополь</w:t>
            </w:r>
          </w:p>
        </w:tc>
        <w:tc>
          <w:tcPr>
            <w:tcW w:w="1260" w:type="dxa"/>
          </w:tcPr>
          <w:p w14:paraId="1A2243E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11AB94F" w14:textId="77777777">
        <w:tc>
          <w:tcPr>
            <w:tcW w:w="828" w:type="dxa"/>
          </w:tcPr>
          <w:p w14:paraId="2B9370C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167</w:t>
            </w:r>
          </w:p>
        </w:tc>
        <w:tc>
          <w:tcPr>
            <w:tcW w:w="1260" w:type="dxa"/>
          </w:tcPr>
          <w:p w14:paraId="5259E51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5DB5C38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F5EF223" w14:textId="77777777">
        <w:tc>
          <w:tcPr>
            <w:tcW w:w="828" w:type="dxa"/>
          </w:tcPr>
          <w:p w14:paraId="1943C61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377</w:t>
            </w:r>
          </w:p>
        </w:tc>
        <w:tc>
          <w:tcPr>
            <w:tcW w:w="1260" w:type="dxa"/>
          </w:tcPr>
          <w:p w14:paraId="5812671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Новокиевский Увал</w:t>
            </w:r>
          </w:p>
        </w:tc>
        <w:tc>
          <w:tcPr>
            <w:tcW w:w="1260" w:type="dxa"/>
          </w:tcPr>
          <w:p w14:paraId="550AEE2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99FE407" w14:textId="77777777">
        <w:tc>
          <w:tcPr>
            <w:tcW w:w="828" w:type="dxa"/>
          </w:tcPr>
          <w:p w14:paraId="187BE36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477</w:t>
            </w:r>
          </w:p>
        </w:tc>
        <w:tc>
          <w:tcPr>
            <w:tcW w:w="1260" w:type="dxa"/>
          </w:tcPr>
          <w:p w14:paraId="63CF090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Лаптево</w:t>
            </w:r>
          </w:p>
        </w:tc>
        <w:tc>
          <w:tcPr>
            <w:tcW w:w="1260" w:type="dxa"/>
          </w:tcPr>
          <w:p w14:paraId="189B51D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C6D350B" w14:textId="77777777">
        <w:tc>
          <w:tcPr>
            <w:tcW w:w="828" w:type="dxa"/>
          </w:tcPr>
          <w:p w14:paraId="25FB8D2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478</w:t>
            </w:r>
          </w:p>
        </w:tc>
        <w:tc>
          <w:tcPr>
            <w:tcW w:w="1260" w:type="dxa"/>
          </w:tcPr>
          <w:p w14:paraId="3E61E16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Калуга</w:t>
            </w:r>
          </w:p>
        </w:tc>
        <w:tc>
          <w:tcPr>
            <w:tcW w:w="1260" w:type="dxa"/>
          </w:tcPr>
          <w:p w14:paraId="4C1067D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02477A1" w14:textId="77777777">
        <w:tc>
          <w:tcPr>
            <w:tcW w:w="828" w:type="dxa"/>
          </w:tcPr>
          <w:p w14:paraId="7498C3D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479</w:t>
            </w:r>
          </w:p>
        </w:tc>
        <w:tc>
          <w:tcPr>
            <w:tcW w:w="1260" w:type="dxa"/>
          </w:tcPr>
          <w:p w14:paraId="239D9E3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Серпухов</w:t>
            </w:r>
          </w:p>
        </w:tc>
        <w:tc>
          <w:tcPr>
            <w:tcW w:w="1260" w:type="dxa"/>
          </w:tcPr>
          <w:p w14:paraId="70CC7EA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F189DFD" w14:textId="77777777">
        <w:tc>
          <w:tcPr>
            <w:tcW w:w="828" w:type="dxa"/>
          </w:tcPr>
          <w:p w14:paraId="420E521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480</w:t>
            </w:r>
          </w:p>
        </w:tc>
        <w:tc>
          <w:tcPr>
            <w:tcW w:w="1260" w:type="dxa"/>
          </w:tcPr>
          <w:p w14:paraId="3A70779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w:t>
            </w:r>
          </w:p>
        </w:tc>
        <w:tc>
          <w:tcPr>
            <w:tcW w:w="1260" w:type="dxa"/>
          </w:tcPr>
          <w:p w14:paraId="07A925B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6E72022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ГУ</w:t>
      </w:r>
    </w:p>
    <w:p w14:paraId="26CA373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Строящиеся и действующие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41B02B40" w14:textId="77777777">
        <w:tc>
          <w:tcPr>
            <w:tcW w:w="828" w:type="dxa"/>
          </w:tcPr>
          <w:p w14:paraId="36B4FBB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З-д ЦАГИ</w:t>
            </w:r>
          </w:p>
        </w:tc>
        <w:tc>
          <w:tcPr>
            <w:tcW w:w="1260" w:type="dxa"/>
          </w:tcPr>
          <w:p w14:paraId="582A7BC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Раменское</w:t>
            </w:r>
          </w:p>
        </w:tc>
        <w:tc>
          <w:tcPr>
            <w:tcW w:w="1260" w:type="dxa"/>
          </w:tcPr>
          <w:p w14:paraId="70DBF76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Поликовский</w:t>
            </w:r>
          </w:p>
        </w:tc>
      </w:tr>
      <w:tr w:rsidR="00860B4B" w:rsidRPr="00D03F3E" w14:paraId="73BD7A63" w14:textId="77777777">
        <w:tc>
          <w:tcPr>
            <w:tcW w:w="828" w:type="dxa"/>
          </w:tcPr>
          <w:p w14:paraId="1E780C7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ЦАГИ</w:t>
            </w:r>
          </w:p>
        </w:tc>
        <w:tc>
          <w:tcPr>
            <w:tcW w:w="1260" w:type="dxa"/>
          </w:tcPr>
          <w:p w14:paraId="7E841A3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Новосибирск</w:t>
            </w:r>
          </w:p>
        </w:tc>
        <w:tc>
          <w:tcPr>
            <w:tcW w:w="1260" w:type="dxa"/>
          </w:tcPr>
          <w:p w14:paraId="2CEF4F2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Шишкин</w:t>
            </w:r>
          </w:p>
        </w:tc>
      </w:tr>
      <w:tr w:rsidR="00860B4B" w:rsidRPr="00D03F3E" w14:paraId="14F1035B" w14:textId="77777777">
        <w:tc>
          <w:tcPr>
            <w:tcW w:w="828" w:type="dxa"/>
          </w:tcPr>
          <w:p w14:paraId="470D30A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ЦАГИ</w:t>
            </w:r>
          </w:p>
        </w:tc>
        <w:tc>
          <w:tcPr>
            <w:tcW w:w="1260" w:type="dxa"/>
          </w:tcPr>
          <w:p w14:paraId="600F9CA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Казань</w:t>
            </w:r>
          </w:p>
        </w:tc>
        <w:tc>
          <w:tcPr>
            <w:tcW w:w="1260" w:type="dxa"/>
          </w:tcPr>
          <w:p w14:paraId="51FA934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Чесалов</w:t>
            </w:r>
          </w:p>
        </w:tc>
      </w:tr>
      <w:tr w:rsidR="00860B4B" w:rsidRPr="00D03F3E" w14:paraId="57D7F230" w14:textId="77777777">
        <w:tc>
          <w:tcPr>
            <w:tcW w:w="828" w:type="dxa"/>
          </w:tcPr>
          <w:p w14:paraId="7D1A777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ЛИИ</w:t>
            </w:r>
          </w:p>
        </w:tc>
        <w:tc>
          <w:tcPr>
            <w:tcW w:w="1260" w:type="dxa"/>
          </w:tcPr>
          <w:p w14:paraId="7B67413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Казань</w:t>
            </w:r>
          </w:p>
        </w:tc>
        <w:tc>
          <w:tcPr>
            <w:tcW w:w="1260" w:type="dxa"/>
          </w:tcPr>
          <w:p w14:paraId="433EB5F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89461B1" w14:textId="77777777">
        <w:tc>
          <w:tcPr>
            <w:tcW w:w="828" w:type="dxa"/>
          </w:tcPr>
          <w:p w14:paraId="1273086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БТИ</w:t>
            </w:r>
          </w:p>
        </w:tc>
        <w:tc>
          <w:tcPr>
            <w:tcW w:w="1260" w:type="dxa"/>
          </w:tcPr>
          <w:p w14:paraId="6215757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Раменское</w:t>
            </w:r>
          </w:p>
        </w:tc>
        <w:tc>
          <w:tcPr>
            <w:tcW w:w="1260" w:type="dxa"/>
          </w:tcPr>
          <w:p w14:paraId="6C4906B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17E8491" w14:textId="77777777">
        <w:tc>
          <w:tcPr>
            <w:tcW w:w="828" w:type="dxa"/>
          </w:tcPr>
          <w:p w14:paraId="7F74A5D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ЛИИ Новосибирск</w:t>
            </w:r>
          </w:p>
        </w:tc>
        <w:tc>
          <w:tcPr>
            <w:tcW w:w="1260" w:type="dxa"/>
          </w:tcPr>
          <w:p w14:paraId="390AB0C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Антонов</w:t>
            </w:r>
          </w:p>
        </w:tc>
        <w:tc>
          <w:tcPr>
            <w:tcW w:w="1260" w:type="dxa"/>
          </w:tcPr>
          <w:p w14:paraId="6A2B7D9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4E60E41" w14:textId="77777777">
        <w:tc>
          <w:tcPr>
            <w:tcW w:w="828" w:type="dxa"/>
          </w:tcPr>
          <w:p w14:paraId="0DB07FA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w:t>
            </w:r>
          </w:p>
        </w:tc>
        <w:tc>
          <w:tcPr>
            <w:tcW w:w="1260" w:type="dxa"/>
          </w:tcPr>
          <w:p w14:paraId="471ED0E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Новосибирск</w:t>
            </w:r>
          </w:p>
        </w:tc>
        <w:tc>
          <w:tcPr>
            <w:tcW w:w="1260" w:type="dxa"/>
          </w:tcPr>
          <w:p w14:paraId="0440616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Н.Н.П.</w:t>
            </w:r>
          </w:p>
        </w:tc>
      </w:tr>
      <w:tr w:rsidR="00860B4B" w:rsidRPr="00D03F3E" w14:paraId="4052674F" w14:textId="77777777">
        <w:tc>
          <w:tcPr>
            <w:tcW w:w="828" w:type="dxa"/>
          </w:tcPr>
          <w:p w14:paraId="78BD98E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115</w:t>
            </w:r>
          </w:p>
        </w:tc>
        <w:tc>
          <w:tcPr>
            <w:tcW w:w="1260" w:type="dxa"/>
          </w:tcPr>
          <w:p w14:paraId="1CA0704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Новосибирск</w:t>
            </w:r>
          </w:p>
        </w:tc>
        <w:tc>
          <w:tcPr>
            <w:tcW w:w="1260" w:type="dxa"/>
          </w:tcPr>
          <w:p w14:paraId="51FF0AE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Ястребов</w:t>
            </w:r>
          </w:p>
        </w:tc>
      </w:tr>
      <w:tr w:rsidR="00860B4B" w:rsidRPr="00D03F3E" w14:paraId="413F1EFE" w14:textId="77777777">
        <w:tc>
          <w:tcPr>
            <w:tcW w:w="828" w:type="dxa"/>
          </w:tcPr>
          <w:p w14:paraId="3452134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240</w:t>
            </w:r>
          </w:p>
        </w:tc>
        <w:tc>
          <w:tcPr>
            <w:tcW w:w="1260" w:type="dxa"/>
          </w:tcPr>
          <w:p w14:paraId="4BBB1D0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Казань</w:t>
            </w:r>
          </w:p>
        </w:tc>
        <w:tc>
          <w:tcPr>
            <w:tcW w:w="1260" w:type="dxa"/>
          </w:tcPr>
          <w:p w14:paraId="64558E4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Ермолаев</w:t>
            </w:r>
          </w:p>
        </w:tc>
      </w:tr>
      <w:tr w:rsidR="00860B4B" w:rsidRPr="00D03F3E" w14:paraId="196FB830" w14:textId="77777777">
        <w:tc>
          <w:tcPr>
            <w:tcW w:w="828" w:type="dxa"/>
          </w:tcPr>
          <w:p w14:paraId="2D94C5C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289</w:t>
            </w:r>
          </w:p>
        </w:tc>
        <w:tc>
          <w:tcPr>
            <w:tcW w:w="1260" w:type="dxa"/>
          </w:tcPr>
          <w:p w14:paraId="3F740C0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Молотов</w:t>
            </w:r>
          </w:p>
        </w:tc>
        <w:tc>
          <w:tcPr>
            <w:tcW w:w="1260" w:type="dxa"/>
          </w:tcPr>
          <w:p w14:paraId="61FF47B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Сухой</w:t>
            </w:r>
          </w:p>
        </w:tc>
      </w:tr>
      <w:tr w:rsidR="00860B4B" w:rsidRPr="00D03F3E" w14:paraId="406AFB66" w14:textId="77777777">
        <w:tc>
          <w:tcPr>
            <w:tcW w:w="828" w:type="dxa"/>
          </w:tcPr>
          <w:p w14:paraId="6DF9C87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290</w:t>
            </w:r>
          </w:p>
        </w:tc>
        <w:tc>
          <w:tcPr>
            <w:tcW w:w="1260" w:type="dxa"/>
          </w:tcPr>
          <w:p w14:paraId="228BDAC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Билимбай</w:t>
            </w:r>
          </w:p>
        </w:tc>
        <w:tc>
          <w:tcPr>
            <w:tcW w:w="1260" w:type="dxa"/>
          </w:tcPr>
          <w:p w14:paraId="6A5455C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Камов</w:t>
            </w:r>
          </w:p>
        </w:tc>
      </w:tr>
      <w:tr w:rsidR="00860B4B" w:rsidRPr="00D03F3E" w14:paraId="0726E8D6" w14:textId="77777777">
        <w:tc>
          <w:tcPr>
            <w:tcW w:w="828" w:type="dxa"/>
          </w:tcPr>
          <w:p w14:paraId="633B3E8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293</w:t>
            </w:r>
          </w:p>
        </w:tc>
        <w:tc>
          <w:tcPr>
            <w:tcW w:w="1260" w:type="dxa"/>
          </w:tcPr>
          <w:p w14:paraId="72DBF13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Билимбай</w:t>
            </w:r>
          </w:p>
        </w:tc>
        <w:tc>
          <w:tcPr>
            <w:tcW w:w="1260" w:type="dxa"/>
          </w:tcPr>
          <w:p w14:paraId="7AC232E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Болховитинов</w:t>
            </w:r>
          </w:p>
        </w:tc>
      </w:tr>
      <w:tr w:rsidR="00860B4B" w:rsidRPr="00D03F3E" w14:paraId="4FBA3158" w14:textId="77777777">
        <w:tc>
          <w:tcPr>
            <w:tcW w:w="828" w:type="dxa"/>
          </w:tcPr>
          <w:p w14:paraId="7ABF206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294</w:t>
            </w:r>
          </w:p>
        </w:tc>
        <w:tc>
          <w:tcPr>
            <w:tcW w:w="1260" w:type="dxa"/>
          </w:tcPr>
          <w:p w14:paraId="114ACDE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Казань</w:t>
            </w:r>
          </w:p>
        </w:tc>
        <w:tc>
          <w:tcPr>
            <w:tcW w:w="1260" w:type="dxa"/>
          </w:tcPr>
          <w:p w14:paraId="7DCA2A0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Младенцев</w:t>
            </w:r>
          </w:p>
        </w:tc>
      </w:tr>
      <w:tr w:rsidR="00860B4B" w:rsidRPr="00D03F3E" w14:paraId="1BC29D9C" w14:textId="77777777">
        <w:tc>
          <w:tcPr>
            <w:tcW w:w="828" w:type="dxa"/>
          </w:tcPr>
          <w:p w14:paraId="3503D3D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468</w:t>
            </w:r>
          </w:p>
        </w:tc>
        <w:tc>
          <w:tcPr>
            <w:tcW w:w="1260" w:type="dxa"/>
          </w:tcPr>
          <w:p w14:paraId="6EE19A0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Билимбай</w:t>
            </w:r>
          </w:p>
        </w:tc>
        <w:tc>
          <w:tcPr>
            <w:tcW w:w="1260" w:type="dxa"/>
          </w:tcPr>
          <w:p w14:paraId="5FDF7CC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Привалов</w:t>
            </w:r>
          </w:p>
        </w:tc>
      </w:tr>
      <w:tr w:rsidR="00860B4B" w:rsidRPr="00D03F3E" w14:paraId="3D387FFB" w14:textId="77777777">
        <w:tc>
          <w:tcPr>
            <w:tcW w:w="828" w:type="dxa"/>
          </w:tcPr>
          <w:p w14:paraId="14252FC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ВИАМ</w:t>
            </w:r>
          </w:p>
        </w:tc>
        <w:tc>
          <w:tcPr>
            <w:tcW w:w="1260" w:type="dxa"/>
          </w:tcPr>
          <w:p w14:paraId="71A7CC4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Куйбышев</w:t>
            </w:r>
          </w:p>
        </w:tc>
        <w:tc>
          <w:tcPr>
            <w:tcW w:w="1260" w:type="dxa"/>
          </w:tcPr>
          <w:p w14:paraId="4D547C7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Туманов</w:t>
            </w:r>
          </w:p>
        </w:tc>
      </w:tr>
    </w:tbl>
    <w:p w14:paraId="3B929F5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Восстанавливаемые московские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695849CC" w14:textId="77777777">
        <w:tc>
          <w:tcPr>
            <w:tcW w:w="828" w:type="dxa"/>
          </w:tcPr>
          <w:p w14:paraId="02F7C0A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ЦАГИ</w:t>
            </w:r>
          </w:p>
        </w:tc>
        <w:tc>
          <w:tcPr>
            <w:tcW w:w="1260" w:type="dxa"/>
          </w:tcPr>
          <w:p w14:paraId="75A747D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Раменское</w:t>
            </w:r>
          </w:p>
        </w:tc>
        <w:tc>
          <w:tcPr>
            <w:tcW w:w="1260" w:type="dxa"/>
          </w:tcPr>
          <w:p w14:paraId="2D7B2C1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1F19400" w14:textId="77777777">
        <w:tc>
          <w:tcPr>
            <w:tcW w:w="828" w:type="dxa"/>
          </w:tcPr>
          <w:p w14:paraId="7B13FB3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ЦАГИ</w:t>
            </w:r>
          </w:p>
        </w:tc>
        <w:tc>
          <w:tcPr>
            <w:tcW w:w="1260" w:type="dxa"/>
          </w:tcPr>
          <w:p w14:paraId="48993A3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395BCDC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237BBB5" w14:textId="77777777">
        <w:tc>
          <w:tcPr>
            <w:tcW w:w="828" w:type="dxa"/>
          </w:tcPr>
          <w:p w14:paraId="7BC7758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w:t>
            </w:r>
          </w:p>
        </w:tc>
        <w:tc>
          <w:tcPr>
            <w:tcW w:w="1260" w:type="dxa"/>
          </w:tcPr>
          <w:p w14:paraId="2DF4985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1B85AC8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5F290FB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Законсервированные и прекращенное стр-во: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6C92D19C" w14:textId="77777777">
        <w:tc>
          <w:tcPr>
            <w:tcW w:w="828" w:type="dxa"/>
          </w:tcPr>
          <w:p w14:paraId="454C5D7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ВИАМ</w:t>
            </w:r>
          </w:p>
        </w:tc>
        <w:tc>
          <w:tcPr>
            <w:tcW w:w="1260" w:type="dxa"/>
          </w:tcPr>
          <w:p w14:paraId="1DAA2F0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24DA7A4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69FF54C" w14:textId="77777777">
        <w:tc>
          <w:tcPr>
            <w:tcW w:w="828" w:type="dxa"/>
          </w:tcPr>
          <w:p w14:paraId="57802E4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115</w:t>
            </w:r>
          </w:p>
        </w:tc>
        <w:tc>
          <w:tcPr>
            <w:tcW w:w="1260" w:type="dxa"/>
          </w:tcPr>
          <w:p w14:paraId="6B7B52B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752063C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051FD5A" w14:textId="77777777">
        <w:tc>
          <w:tcPr>
            <w:tcW w:w="828" w:type="dxa"/>
          </w:tcPr>
          <w:p w14:paraId="71924D2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240</w:t>
            </w:r>
          </w:p>
        </w:tc>
        <w:tc>
          <w:tcPr>
            <w:tcW w:w="1260" w:type="dxa"/>
          </w:tcPr>
          <w:p w14:paraId="14A5FA2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3E7B6EA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C3031D5" w14:textId="77777777">
        <w:tc>
          <w:tcPr>
            <w:tcW w:w="828" w:type="dxa"/>
          </w:tcPr>
          <w:p w14:paraId="04712E0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288</w:t>
            </w:r>
          </w:p>
        </w:tc>
        <w:tc>
          <w:tcPr>
            <w:tcW w:w="1260" w:type="dxa"/>
          </w:tcPr>
          <w:p w14:paraId="04FE9AB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3681CA0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3019AB7" w14:textId="77777777">
        <w:tc>
          <w:tcPr>
            <w:tcW w:w="828" w:type="dxa"/>
          </w:tcPr>
          <w:p w14:paraId="4FF4703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289</w:t>
            </w:r>
          </w:p>
        </w:tc>
        <w:tc>
          <w:tcPr>
            <w:tcW w:w="1260" w:type="dxa"/>
          </w:tcPr>
          <w:p w14:paraId="6F813AB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4BB6E87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EF3A047" w14:textId="77777777">
        <w:tc>
          <w:tcPr>
            <w:tcW w:w="828" w:type="dxa"/>
          </w:tcPr>
          <w:p w14:paraId="2F9924C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290</w:t>
            </w:r>
          </w:p>
        </w:tc>
        <w:tc>
          <w:tcPr>
            <w:tcW w:w="1260" w:type="dxa"/>
          </w:tcPr>
          <w:p w14:paraId="2124353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Ухтомская</w:t>
            </w:r>
          </w:p>
        </w:tc>
        <w:tc>
          <w:tcPr>
            <w:tcW w:w="1260" w:type="dxa"/>
          </w:tcPr>
          <w:p w14:paraId="051A59C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DE7CD34" w14:textId="77777777">
        <w:tc>
          <w:tcPr>
            <w:tcW w:w="828" w:type="dxa"/>
          </w:tcPr>
          <w:p w14:paraId="4358B45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293</w:t>
            </w:r>
          </w:p>
        </w:tc>
        <w:tc>
          <w:tcPr>
            <w:tcW w:w="1260" w:type="dxa"/>
          </w:tcPr>
          <w:p w14:paraId="3D0B1A5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Химки</w:t>
            </w:r>
          </w:p>
        </w:tc>
        <w:tc>
          <w:tcPr>
            <w:tcW w:w="1260" w:type="dxa"/>
          </w:tcPr>
          <w:p w14:paraId="6DFE3FF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6B41599" w14:textId="77777777">
        <w:tc>
          <w:tcPr>
            <w:tcW w:w="828" w:type="dxa"/>
          </w:tcPr>
          <w:p w14:paraId="50B816D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294</w:t>
            </w:r>
          </w:p>
        </w:tc>
        <w:tc>
          <w:tcPr>
            <w:tcW w:w="1260" w:type="dxa"/>
          </w:tcPr>
          <w:p w14:paraId="4150EC8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588DE5C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1152DE6" w14:textId="77777777">
        <w:tc>
          <w:tcPr>
            <w:tcW w:w="828" w:type="dxa"/>
          </w:tcPr>
          <w:p w14:paraId="55AD6B6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468</w:t>
            </w:r>
          </w:p>
        </w:tc>
        <w:tc>
          <w:tcPr>
            <w:tcW w:w="1260" w:type="dxa"/>
          </w:tcPr>
          <w:p w14:paraId="78FEC3B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Бескудниково</w:t>
            </w:r>
          </w:p>
        </w:tc>
        <w:tc>
          <w:tcPr>
            <w:tcW w:w="1260" w:type="dxa"/>
          </w:tcPr>
          <w:p w14:paraId="60A7D14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776EE8F" w14:textId="77777777">
        <w:tc>
          <w:tcPr>
            <w:tcW w:w="828" w:type="dxa"/>
          </w:tcPr>
          <w:p w14:paraId="448E898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483</w:t>
            </w:r>
          </w:p>
        </w:tc>
        <w:tc>
          <w:tcPr>
            <w:tcW w:w="1260" w:type="dxa"/>
          </w:tcPr>
          <w:p w14:paraId="2B3DCF2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Киев</w:t>
            </w:r>
          </w:p>
        </w:tc>
        <w:tc>
          <w:tcPr>
            <w:tcW w:w="1260" w:type="dxa"/>
          </w:tcPr>
          <w:p w14:paraId="7D40512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18AABB3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ГУ</w:t>
      </w:r>
    </w:p>
    <w:p w14:paraId="68DE047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Строящиеся и действиущие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42851E32" w14:textId="77777777">
        <w:tc>
          <w:tcPr>
            <w:tcW w:w="828" w:type="dxa"/>
          </w:tcPr>
          <w:p w14:paraId="285DA23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ЦИАМ</w:t>
            </w:r>
          </w:p>
        </w:tc>
        <w:tc>
          <w:tcPr>
            <w:tcW w:w="1260" w:type="dxa"/>
          </w:tcPr>
          <w:p w14:paraId="2B2419A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Уфа</w:t>
            </w:r>
          </w:p>
        </w:tc>
        <w:tc>
          <w:tcPr>
            <w:tcW w:w="1260" w:type="dxa"/>
          </w:tcPr>
          <w:p w14:paraId="22F8EC1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Каширин</w:t>
            </w:r>
          </w:p>
        </w:tc>
      </w:tr>
      <w:tr w:rsidR="00860B4B" w:rsidRPr="00D03F3E" w14:paraId="5029C825" w14:textId="77777777">
        <w:tc>
          <w:tcPr>
            <w:tcW w:w="828" w:type="dxa"/>
          </w:tcPr>
          <w:p w14:paraId="07E42BB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291</w:t>
            </w:r>
          </w:p>
        </w:tc>
        <w:tc>
          <w:tcPr>
            <w:tcW w:w="1260" w:type="dxa"/>
          </w:tcPr>
          <w:p w14:paraId="576E1D9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Уфа</w:t>
            </w:r>
          </w:p>
        </w:tc>
        <w:tc>
          <w:tcPr>
            <w:tcW w:w="1260" w:type="dxa"/>
          </w:tcPr>
          <w:p w14:paraId="36720B5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Эвангулов</w:t>
            </w:r>
          </w:p>
        </w:tc>
      </w:tr>
    </w:tbl>
    <w:p w14:paraId="6DF00E7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Законсервированные и прекращенное стр-во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4A41682A" w14:textId="77777777">
        <w:tc>
          <w:tcPr>
            <w:tcW w:w="828" w:type="dxa"/>
          </w:tcPr>
          <w:p w14:paraId="2D6852C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ЦИАМ</w:t>
            </w:r>
          </w:p>
        </w:tc>
        <w:tc>
          <w:tcPr>
            <w:tcW w:w="1260" w:type="dxa"/>
          </w:tcPr>
          <w:p w14:paraId="163BC0C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Раменское</w:t>
            </w:r>
          </w:p>
        </w:tc>
        <w:tc>
          <w:tcPr>
            <w:tcW w:w="1260" w:type="dxa"/>
          </w:tcPr>
          <w:p w14:paraId="0D6080F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F37BBED" w14:textId="77777777">
        <w:tc>
          <w:tcPr>
            <w:tcW w:w="828" w:type="dxa"/>
          </w:tcPr>
          <w:p w14:paraId="4A45EF9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291</w:t>
            </w:r>
          </w:p>
        </w:tc>
        <w:tc>
          <w:tcPr>
            <w:tcW w:w="1260" w:type="dxa"/>
          </w:tcPr>
          <w:p w14:paraId="7804857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Тушино</w:t>
            </w:r>
          </w:p>
        </w:tc>
        <w:tc>
          <w:tcPr>
            <w:tcW w:w="1260" w:type="dxa"/>
          </w:tcPr>
          <w:p w14:paraId="6081D0E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4831720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ГУ</w:t>
      </w:r>
    </w:p>
    <w:p w14:paraId="2BF044F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Строящиеся и действиущие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2D9D7C9F" w14:textId="77777777">
        <w:tc>
          <w:tcPr>
            <w:tcW w:w="828" w:type="dxa"/>
          </w:tcPr>
          <w:p w14:paraId="3B93A4E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w:t>
            </w:r>
          </w:p>
        </w:tc>
        <w:tc>
          <w:tcPr>
            <w:tcW w:w="1260" w:type="dxa"/>
          </w:tcPr>
          <w:p w14:paraId="2A2B247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Уфа</w:t>
            </w:r>
          </w:p>
        </w:tc>
        <w:tc>
          <w:tcPr>
            <w:tcW w:w="1260" w:type="dxa"/>
          </w:tcPr>
          <w:p w14:paraId="5421BEB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Волощенко</w:t>
            </w:r>
          </w:p>
        </w:tc>
      </w:tr>
      <w:tr w:rsidR="00860B4B" w:rsidRPr="00D03F3E" w14:paraId="2CE990CA" w14:textId="77777777">
        <w:tc>
          <w:tcPr>
            <w:tcW w:w="828" w:type="dxa"/>
          </w:tcPr>
          <w:p w14:paraId="0DC29DF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95</w:t>
            </w:r>
          </w:p>
        </w:tc>
        <w:tc>
          <w:tcPr>
            <w:tcW w:w="1260" w:type="dxa"/>
          </w:tcPr>
          <w:p w14:paraId="7E326A5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Верхняя Салда</w:t>
            </w:r>
          </w:p>
        </w:tc>
        <w:tc>
          <w:tcPr>
            <w:tcW w:w="1260" w:type="dxa"/>
          </w:tcPr>
          <w:p w14:paraId="6F26572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Выштынецкий</w:t>
            </w:r>
          </w:p>
        </w:tc>
      </w:tr>
      <w:tr w:rsidR="00860B4B" w:rsidRPr="00D03F3E" w14:paraId="5AE3FC9E" w14:textId="77777777">
        <w:tc>
          <w:tcPr>
            <w:tcW w:w="828" w:type="dxa"/>
          </w:tcPr>
          <w:p w14:paraId="17645C5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 (268)</w:t>
            </w:r>
          </w:p>
        </w:tc>
        <w:tc>
          <w:tcPr>
            <w:tcW w:w="1260" w:type="dxa"/>
          </w:tcPr>
          <w:p w14:paraId="00374FF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Каменск</w:t>
            </w:r>
          </w:p>
        </w:tc>
        <w:tc>
          <w:tcPr>
            <w:tcW w:w="1260" w:type="dxa"/>
          </w:tcPr>
          <w:p w14:paraId="6503B92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6D39223" w14:textId="77777777">
        <w:tc>
          <w:tcPr>
            <w:tcW w:w="828" w:type="dxa"/>
          </w:tcPr>
          <w:p w14:paraId="775F18A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95 фи-л</w:t>
            </w:r>
          </w:p>
        </w:tc>
        <w:tc>
          <w:tcPr>
            <w:tcW w:w="1260" w:type="dxa"/>
          </w:tcPr>
          <w:p w14:paraId="1640D38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Кунцево</w:t>
            </w:r>
          </w:p>
        </w:tc>
        <w:tc>
          <w:tcPr>
            <w:tcW w:w="1260" w:type="dxa"/>
          </w:tcPr>
          <w:p w14:paraId="4FFF790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Селихов</w:t>
            </w:r>
          </w:p>
        </w:tc>
      </w:tr>
      <w:tr w:rsidR="00860B4B" w:rsidRPr="00D03F3E" w14:paraId="0C61BCB1" w14:textId="77777777">
        <w:tc>
          <w:tcPr>
            <w:tcW w:w="828" w:type="dxa"/>
          </w:tcPr>
          <w:p w14:paraId="4D99F4D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269</w:t>
            </w:r>
          </w:p>
        </w:tc>
        <w:tc>
          <w:tcPr>
            <w:tcW w:w="1260" w:type="dxa"/>
          </w:tcPr>
          <w:p w14:paraId="2653022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Кирс</w:t>
            </w:r>
          </w:p>
        </w:tc>
        <w:tc>
          <w:tcPr>
            <w:tcW w:w="1260" w:type="dxa"/>
          </w:tcPr>
          <w:p w14:paraId="5986330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Назаров</w:t>
            </w:r>
          </w:p>
        </w:tc>
      </w:tr>
      <w:tr w:rsidR="00860B4B" w:rsidRPr="00D03F3E" w14:paraId="71E4CA09" w14:textId="77777777">
        <w:tc>
          <w:tcPr>
            <w:tcW w:w="828" w:type="dxa"/>
          </w:tcPr>
          <w:p w14:paraId="1C90778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484</w:t>
            </w:r>
          </w:p>
        </w:tc>
        <w:tc>
          <w:tcPr>
            <w:tcW w:w="1260" w:type="dxa"/>
          </w:tcPr>
          <w:p w14:paraId="6D46CD8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Верх-Нейвинск</w:t>
            </w:r>
          </w:p>
        </w:tc>
        <w:tc>
          <w:tcPr>
            <w:tcW w:w="1260" w:type="dxa"/>
          </w:tcPr>
          <w:p w14:paraId="5047E9E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Поляков</w:t>
            </w:r>
          </w:p>
        </w:tc>
      </w:tr>
    </w:tbl>
    <w:p w14:paraId="71279EE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Восстанавливаемые з-ды и стройки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19508E32" w14:textId="77777777">
        <w:tc>
          <w:tcPr>
            <w:tcW w:w="828" w:type="dxa"/>
          </w:tcPr>
          <w:p w14:paraId="1808B40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w:t>
            </w:r>
          </w:p>
        </w:tc>
        <w:tc>
          <w:tcPr>
            <w:tcW w:w="1260" w:type="dxa"/>
          </w:tcPr>
          <w:p w14:paraId="20F03B5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3B21C35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138DC8D" w14:textId="77777777">
        <w:tc>
          <w:tcPr>
            <w:tcW w:w="828" w:type="dxa"/>
          </w:tcPr>
          <w:p w14:paraId="426BCB9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w:t>
            </w:r>
          </w:p>
        </w:tc>
        <w:tc>
          <w:tcPr>
            <w:tcW w:w="1260" w:type="dxa"/>
          </w:tcPr>
          <w:p w14:paraId="3C6F096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Ступино</w:t>
            </w:r>
          </w:p>
        </w:tc>
        <w:tc>
          <w:tcPr>
            <w:tcW w:w="1260" w:type="dxa"/>
          </w:tcPr>
          <w:p w14:paraId="0AC84CD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3D71DE2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Законсервированные и прекращенное стр-во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738545D9" w14:textId="77777777">
        <w:tc>
          <w:tcPr>
            <w:tcW w:w="828" w:type="dxa"/>
          </w:tcPr>
          <w:p w14:paraId="546411E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w:t>
            </w:r>
          </w:p>
        </w:tc>
        <w:tc>
          <w:tcPr>
            <w:tcW w:w="1260" w:type="dxa"/>
          </w:tcPr>
          <w:p w14:paraId="1E0E8F7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Балашиха</w:t>
            </w:r>
          </w:p>
        </w:tc>
        <w:tc>
          <w:tcPr>
            <w:tcW w:w="1260" w:type="dxa"/>
          </w:tcPr>
          <w:p w14:paraId="2FA1F6C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D4A2D70" w14:textId="77777777">
        <w:tc>
          <w:tcPr>
            <w:tcW w:w="828" w:type="dxa"/>
          </w:tcPr>
          <w:p w14:paraId="5AD584F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485</w:t>
            </w:r>
          </w:p>
        </w:tc>
        <w:tc>
          <w:tcPr>
            <w:tcW w:w="1260" w:type="dxa"/>
          </w:tcPr>
          <w:p w14:paraId="4C5A468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Кременчуг</w:t>
            </w:r>
          </w:p>
        </w:tc>
        <w:tc>
          <w:tcPr>
            <w:tcW w:w="1260" w:type="dxa"/>
          </w:tcPr>
          <w:p w14:paraId="3E4F8FB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D63E0B4" w14:textId="77777777">
        <w:tc>
          <w:tcPr>
            <w:tcW w:w="828" w:type="dxa"/>
          </w:tcPr>
          <w:p w14:paraId="71BDEB1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486</w:t>
            </w:r>
          </w:p>
        </w:tc>
        <w:tc>
          <w:tcPr>
            <w:tcW w:w="1260" w:type="dxa"/>
          </w:tcPr>
          <w:p w14:paraId="1DF1B80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Орел</w:t>
            </w:r>
          </w:p>
        </w:tc>
        <w:tc>
          <w:tcPr>
            <w:tcW w:w="1260" w:type="dxa"/>
          </w:tcPr>
          <w:p w14:paraId="5D2E1EE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0BB024F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ГУ</w:t>
      </w:r>
    </w:p>
    <w:p w14:paraId="7F8808A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Строящиеся и действиущие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1495784C" w14:textId="77777777">
        <w:tc>
          <w:tcPr>
            <w:tcW w:w="828" w:type="dxa"/>
          </w:tcPr>
          <w:p w14:paraId="20C1BDF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tc>
        <w:tc>
          <w:tcPr>
            <w:tcW w:w="1260" w:type="dxa"/>
          </w:tcPr>
          <w:p w14:paraId="43A1CD4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Куйбышев</w:t>
            </w:r>
          </w:p>
        </w:tc>
        <w:tc>
          <w:tcPr>
            <w:tcW w:w="1260" w:type="dxa"/>
          </w:tcPr>
          <w:p w14:paraId="314DE6A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Востров</w:t>
            </w:r>
          </w:p>
        </w:tc>
      </w:tr>
      <w:tr w:rsidR="00860B4B" w:rsidRPr="00D03F3E" w14:paraId="224E5E50" w14:textId="77777777">
        <w:tc>
          <w:tcPr>
            <w:tcW w:w="828" w:type="dxa"/>
          </w:tcPr>
          <w:p w14:paraId="4534ABD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(124)</w:t>
            </w:r>
          </w:p>
        </w:tc>
        <w:tc>
          <w:tcPr>
            <w:tcW w:w="1260" w:type="dxa"/>
          </w:tcPr>
          <w:p w14:paraId="10B2163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Казань</w:t>
            </w:r>
          </w:p>
        </w:tc>
        <w:tc>
          <w:tcPr>
            <w:tcW w:w="1260" w:type="dxa"/>
          </w:tcPr>
          <w:p w14:paraId="1B0B79D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Лещенко</w:t>
            </w:r>
          </w:p>
        </w:tc>
      </w:tr>
      <w:tr w:rsidR="00860B4B" w:rsidRPr="00D03F3E" w14:paraId="3EA84884" w14:textId="77777777">
        <w:tc>
          <w:tcPr>
            <w:tcW w:w="828" w:type="dxa"/>
          </w:tcPr>
          <w:p w14:paraId="3384ECC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 (125)</w:t>
            </w:r>
          </w:p>
        </w:tc>
        <w:tc>
          <w:tcPr>
            <w:tcW w:w="1260" w:type="dxa"/>
          </w:tcPr>
          <w:p w14:paraId="0D7CF76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Иркутск</w:t>
            </w:r>
          </w:p>
        </w:tc>
        <w:tc>
          <w:tcPr>
            <w:tcW w:w="1260" w:type="dxa"/>
          </w:tcPr>
          <w:p w14:paraId="0E2BBAC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Абрамов</w:t>
            </w:r>
          </w:p>
        </w:tc>
      </w:tr>
      <w:tr w:rsidR="00860B4B" w:rsidRPr="00D03F3E" w14:paraId="0639FB0B" w14:textId="77777777">
        <w:tc>
          <w:tcPr>
            <w:tcW w:w="828" w:type="dxa"/>
          </w:tcPr>
          <w:p w14:paraId="58F2D7F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99 (ф-л 39)</w:t>
            </w:r>
          </w:p>
        </w:tc>
        <w:tc>
          <w:tcPr>
            <w:tcW w:w="1260" w:type="dxa"/>
          </w:tcPr>
          <w:p w14:paraId="775389F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Улан-Уде</w:t>
            </w:r>
          </w:p>
        </w:tc>
        <w:tc>
          <w:tcPr>
            <w:tcW w:w="1260" w:type="dxa"/>
          </w:tcPr>
          <w:p w14:paraId="5AE1099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72779921" w14:textId="77777777">
        <w:tc>
          <w:tcPr>
            <w:tcW w:w="828" w:type="dxa"/>
          </w:tcPr>
          <w:p w14:paraId="79607AE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83</w:t>
            </w:r>
          </w:p>
        </w:tc>
        <w:tc>
          <w:tcPr>
            <w:tcW w:w="1260" w:type="dxa"/>
          </w:tcPr>
          <w:p w14:paraId="0558130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Хабаровск</w:t>
            </w:r>
          </w:p>
        </w:tc>
        <w:tc>
          <w:tcPr>
            <w:tcW w:w="1260" w:type="dxa"/>
          </w:tcPr>
          <w:p w14:paraId="1EDF2AB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Прокофьев</w:t>
            </w:r>
          </w:p>
        </w:tc>
      </w:tr>
      <w:tr w:rsidR="00860B4B" w:rsidRPr="00D03F3E" w14:paraId="5B12FFFE" w14:textId="77777777">
        <w:tc>
          <w:tcPr>
            <w:tcW w:w="828" w:type="dxa"/>
          </w:tcPr>
          <w:p w14:paraId="713A8C9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84</w:t>
            </w:r>
          </w:p>
        </w:tc>
        <w:tc>
          <w:tcPr>
            <w:tcW w:w="1260" w:type="dxa"/>
          </w:tcPr>
          <w:p w14:paraId="6E302B3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Ташкент</w:t>
            </w:r>
          </w:p>
        </w:tc>
        <w:tc>
          <w:tcPr>
            <w:tcW w:w="1260" w:type="dxa"/>
          </w:tcPr>
          <w:p w14:paraId="48F7876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Лисунов</w:t>
            </w:r>
          </w:p>
        </w:tc>
      </w:tr>
      <w:tr w:rsidR="00860B4B" w:rsidRPr="00D03F3E" w14:paraId="0B79F753" w14:textId="77777777">
        <w:tc>
          <w:tcPr>
            <w:tcW w:w="828" w:type="dxa"/>
          </w:tcPr>
          <w:p w14:paraId="02F3913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125</w:t>
            </w:r>
          </w:p>
        </w:tc>
        <w:tc>
          <w:tcPr>
            <w:tcW w:w="1260" w:type="dxa"/>
          </w:tcPr>
          <w:p w14:paraId="55177C1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Подольск</w:t>
            </w:r>
          </w:p>
        </w:tc>
        <w:tc>
          <w:tcPr>
            <w:tcW w:w="1260" w:type="dxa"/>
          </w:tcPr>
          <w:p w14:paraId="010081A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266E2F1F" w14:textId="77777777">
        <w:tc>
          <w:tcPr>
            <w:tcW w:w="828" w:type="dxa"/>
          </w:tcPr>
          <w:p w14:paraId="6111EBF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126</w:t>
            </w:r>
          </w:p>
        </w:tc>
        <w:tc>
          <w:tcPr>
            <w:tcW w:w="1260" w:type="dxa"/>
          </w:tcPr>
          <w:p w14:paraId="07964CA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Комсомольск</w:t>
            </w:r>
          </w:p>
        </w:tc>
        <w:tc>
          <w:tcPr>
            <w:tcW w:w="1260" w:type="dxa"/>
          </w:tcPr>
          <w:p w14:paraId="2C0712E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Ковалевский</w:t>
            </w:r>
          </w:p>
        </w:tc>
      </w:tr>
      <w:tr w:rsidR="00860B4B" w:rsidRPr="00D03F3E" w14:paraId="4742520D" w14:textId="77777777">
        <w:tc>
          <w:tcPr>
            <w:tcW w:w="828" w:type="dxa"/>
          </w:tcPr>
          <w:p w14:paraId="6C1278F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127</w:t>
            </w:r>
          </w:p>
        </w:tc>
        <w:tc>
          <w:tcPr>
            <w:tcW w:w="1260" w:type="dxa"/>
          </w:tcPr>
          <w:p w14:paraId="1BB8CC7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Ульяновск</w:t>
            </w:r>
          </w:p>
        </w:tc>
        <w:tc>
          <w:tcPr>
            <w:tcW w:w="1260" w:type="dxa"/>
          </w:tcPr>
          <w:p w14:paraId="1B87E3F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Жужуново</w:t>
            </w:r>
          </w:p>
        </w:tc>
      </w:tr>
      <w:tr w:rsidR="00860B4B" w:rsidRPr="00D03F3E" w14:paraId="386F2935" w14:textId="77777777">
        <w:tc>
          <w:tcPr>
            <w:tcW w:w="828" w:type="dxa"/>
          </w:tcPr>
          <w:p w14:paraId="5652A13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166</w:t>
            </w:r>
          </w:p>
        </w:tc>
        <w:tc>
          <w:tcPr>
            <w:tcW w:w="1260" w:type="dxa"/>
          </w:tcPr>
          <w:p w14:paraId="3AFF119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Омск</w:t>
            </w:r>
          </w:p>
        </w:tc>
        <w:tc>
          <w:tcPr>
            <w:tcW w:w="1260" w:type="dxa"/>
          </w:tcPr>
          <w:p w14:paraId="6653D06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Полонский</w:t>
            </w:r>
          </w:p>
        </w:tc>
      </w:tr>
      <w:tr w:rsidR="00860B4B" w:rsidRPr="00D03F3E" w14:paraId="65DEE25F" w14:textId="77777777">
        <w:tc>
          <w:tcPr>
            <w:tcW w:w="828" w:type="dxa"/>
          </w:tcPr>
          <w:p w14:paraId="1B8CA0A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207</w:t>
            </w:r>
          </w:p>
        </w:tc>
        <w:tc>
          <w:tcPr>
            <w:tcW w:w="1260" w:type="dxa"/>
          </w:tcPr>
          <w:p w14:paraId="7CFC350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Куйбышев</w:t>
            </w:r>
          </w:p>
        </w:tc>
        <w:tc>
          <w:tcPr>
            <w:tcW w:w="1260" w:type="dxa"/>
          </w:tcPr>
          <w:p w14:paraId="728B523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E2208CA" w14:textId="77777777">
        <w:tc>
          <w:tcPr>
            <w:tcW w:w="828" w:type="dxa"/>
          </w:tcPr>
          <w:p w14:paraId="329F4C3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381</w:t>
            </w:r>
          </w:p>
        </w:tc>
        <w:tc>
          <w:tcPr>
            <w:tcW w:w="1260" w:type="dxa"/>
          </w:tcPr>
          <w:p w14:paraId="243C0E4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 Тагил</w:t>
            </w:r>
          </w:p>
        </w:tc>
        <w:tc>
          <w:tcPr>
            <w:tcW w:w="1260" w:type="dxa"/>
          </w:tcPr>
          <w:p w14:paraId="2EFBD4D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Гриншпут</w:t>
            </w:r>
          </w:p>
        </w:tc>
      </w:tr>
      <w:tr w:rsidR="00860B4B" w:rsidRPr="00D03F3E" w14:paraId="4AB2322F" w14:textId="77777777">
        <w:tc>
          <w:tcPr>
            <w:tcW w:w="828" w:type="dxa"/>
          </w:tcPr>
          <w:p w14:paraId="4AB7F37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447</w:t>
            </w:r>
          </w:p>
        </w:tc>
        <w:tc>
          <w:tcPr>
            <w:tcW w:w="1260" w:type="dxa"/>
          </w:tcPr>
          <w:p w14:paraId="0E03098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Ереван</w:t>
            </w:r>
          </w:p>
        </w:tc>
        <w:tc>
          <w:tcPr>
            <w:tcW w:w="1260" w:type="dxa"/>
          </w:tcPr>
          <w:p w14:paraId="25911A7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A990863" w14:textId="77777777">
        <w:tc>
          <w:tcPr>
            <w:tcW w:w="828" w:type="dxa"/>
          </w:tcPr>
          <w:p w14:paraId="313C09D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496</w:t>
            </w:r>
          </w:p>
        </w:tc>
        <w:tc>
          <w:tcPr>
            <w:tcW w:w="1260" w:type="dxa"/>
          </w:tcPr>
          <w:p w14:paraId="6751817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Ленинград</w:t>
            </w:r>
          </w:p>
        </w:tc>
        <w:tc>
          <w:tcPr>
            <w:tcW w:w="1260" w:type="dxa"/>
          </w:tcPr>
          <w:p w14:paraId="3CE0E40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7BE36CA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Восстанавливаемые з-ды и стройки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7A9F5F1D" w14:textId="77777777">
        <w:tc>
          <w:tcPr>
            <w:tcW w:w="828" w:type="dxa"/>
          </w:tcPr>
          <w:p w14:paraId="5ECBD5F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(б. 1)</w:t>
            </w:r>
          </w:p>
        </w:tc>
        <w:tc>
          <w:tcPr>
            <w:tcW w:w="1260" w:type="dxa"/>
          </w:tcPr>
          <w:p w14:paraId="4CDD92B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6B536D9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Шапиро</w:t>
            </w:r>
          </w:p>
        </w:tc>
      </w:tr>
      <w:tr w:rsidR="00860B4B" w:rsidRPr="00D03F3E" w14:paraId="2F983BD5" w14:textId="77777777">
        <w:tc>
          <w:tcPr>
            <w:tcW w:w="828" w:type="dxa"/>
          </w:tcPr>
          <w:p w14:paraId="4F10DD1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81 (б. 39)</w:t>
            </w:r>
          </w:p>
        </w:tc>
        <w:tc>
          <w:tcPr>
            <w:tcW w:w="1260" w:type="dxa"/>
          </w:tcPr>
          <w:p w14:paraId="54FE711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4044EF2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7E3C33D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Законсервированные и прекращенное стр-во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189FAD77" w14:textId="77777777">
        <w:tc>
          <w:tcPr>
            <w:tcW w:w="828" w:type="dxa"/>
          </w:tcPr>
          <w:p w14:paraId="669DBAA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tc>
        <w:tc>
          <w:tcPr>
            <w:tcW w:w="1260" w:type="dxa"/>
          </w:tcPr>
          <w:p w14:paraId="4C0ED37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Воронеж</w:t>
            </w:r>
          </w:p>
        </w:tc>
        <w:tc>
          <w:tcPr>
            <w:tcW w:w="1260" w:type="dxa"/>
          </w:tcPr>
          <w:p w14:paraId="6FD34F8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1FF6F04" w14:textId="77777777">
        <w:tc>
          <w:tcPr>
            <w:tcW w:w="828" w:type="dxa"/>
          </w:tcPr>
          <w:p w14:paraId="40CE6E9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tc>
        <w:tc>
          <w:tcPr>
            <w:tcW w:w="1260" w:type="dxa"/>
          </w:tcPr>
          <w:p w14:paraId="4A75982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Иваньково</w:t>
            </w:r>
          </w:p>
        </w:tc>
        <w:tc>
          <w:tcPr>
            <w:tcW w:w="1260" w:type="dxa"/>
          </w:tcPr>
          <w:p w14:paraId="1C5C0A2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10D3B1B" w14:textId="77777777">
        <w:tc>
          <w:tcPr>
            <w:tcW w:w="828" w:type="dxa"/>
          </w:tcPr>
          <w:p w14:paraId="0F5299F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tc>
        <w:tc>
          <w:tcPr>
            <w:tcW w:w="1260" w:type="dxa"/>
          </w:tcPr>
          <w:p w14:paraId="6EE8497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Смоленск</w:t>
            </w:r>
          </w:p>
        </w:tc>
        <w:tc>
          <w:tcPr>
            <w:tcW w:w="1260" w:type="dxa"/>
          </w:tcPr>
          <w:p w14:paraId="6057BD7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1CC8B73" w14:textId="77777777">
        <w:tc>
          <w:tcPr>
            <w:tcW w:w="828" w:type="dxa"/>
          </w:tcPr>
          <w:p w14:paraId="13A1345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84</w:t>
            </w:r>
          </w:p>
        </w:tc>
        <w:tc>
          <w:tcPr>
            <w:tcW w:w="1260" w:type="dxa"/>
          </w:tcPr>
          <w:p w14:paraId="2A624DB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Химки</w:t>
            </w:r>
          </w:p>
        </w:tc>
        <w:tc>
          <w:tcPr>
            <w:tcW w:w="1260" w:type="dxa"/>
          </w:tcPr>
          <w:p w14:paraId="184C4A5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8E7372A" w14:textId="77777777">
        <w:tc>
          <w:tcPr>
            <w:tcW w:w="828" w:type="dxa"/>
          </w:tcPr>
          <w:p w14:paraId="5F0E9C2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380</w:t>
            </w:r>
          </w:p>
        </w:tc>
        <w:tc>
          <w:tcPr>
            <w:tcW w:w="1260" w:type="dxa"/>
          </w:tcPr>
          <w:p w14:paraId="4E8A960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Ленинград</w:t>
            </w:r>
          </w:p>
        </w:tc>
        <w:tc>
          <w:tcPr>
            <w:tcW w:w="1260" w:type="dxa"/>
          </w:tcPr>
          <w:p w14:paraId="35A9A9E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02E5999" w14:textId="77777777">
        <w:tc>
          <w:tcPr>
            <w:tcW w:w="828" w:type="dxa"/>
          </w:tcPr>
          <w:p w14:paraId="693C2DF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381</w:t>
            </w:r>
          </w:p>
        </w:tc>
        <w:tc>
          <w:tcPr>
            <w:tcW w:w="1260" w:type="dxa"/>
          </w:tcPr>
          <w:p w14:paraId="44BBF8D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Ленинград</w:t>
            </w:r>
          </w:p>
        </w:tc>
        <w:tc>
          <w:tcPr>
            <w:tcW w:w="1260" w:type="dxa"/>
          </w:tcPr>
          <w:p w14:paraId="7A45BB4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8E6CD82" w14:textId="77777777">
        <w:tc>
          <w:tcPr>
            <w:tcW w:w="828" w:type="dxa"/>
          </w:tcPr>
          <w:p w14:paraId="6D30357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453</w:t>
            </w:r>
          </w:p>
        </w:tc>
        <w:tc>
          <w:tcPr>
            <w:tcW w:w="1260" w:type="dxa"/>
          </w:tcPr>
          <w:p w14:paraId="6D7F41B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Минск</w:t>
            </w:r>
          </w:p>
        </w:tc>
        <w:tc>
          <w:tcPr>
            <w:tcW w:w="1260" w:type="dxa"/>
          </w:tcPr>
          <w:p w14:paraId="4608C12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EBC49F4" w14:textId="77777777">
        <w:tc>
          <w:tcPr>
            <w:tcW w:w="828" w:type="dxa"/>
          </w:tcPr>
          <w:p w14:paraId="2966D3F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458</w:t>
            </w:r>
          </w:p>
        </w:tc>
        <w:tc>
          <w:tcPr>
            <w:tcW w:w="1260" w:type="dxa"/>
          </w:tcPr>
          <w:p w14:paraId="68DF49A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Ростов на Дону</w:t>
            </w:r>
          </w:p>
        </w:tc>
        <w:tc>
          <w:tcPr>
            <w:tcW w:w="1260" w:type="dxa"/>
          </w:tcPr>
          <w:p w14:paraId="5918929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386DD7B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ГУ</w:t>
      </w:r>
    </w:p>
    <w:p w14:paraId="68F9DC5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Строящиеся и действиущие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30FA2489" w14:textId="77777777">
        <w:tc>
          <w:tcPr>
            <w:tcW w:w="828" w:type="dxa"/>
          </w:tcPr>
          <w:p w14:paraId="5487441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168</w:t>
            </w:r>
          </w:p>
        </w:tc>
        <w:tc>
          <w:tcPr>
            <w:tcW w:w="1260" w:type="dxa"/>
          </w:tcPr>
          <w:p w14:paraId="644CB0B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Волжск</w:t>
            </w:r>
          </w:p>
        </w:tc>
        <w:tc>
          <w:tcPr>
            <w:tcW w:w="1260" w:type="dxa"/>
          </w:tcPr>
          <w:p w14:paraId="6D249F2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Ханкин</w:t>
            </w:r>
          </w:p>
        </w:tc>
      </w:tr>
      <w:tr w:rsidR="00860B4B" w:rsidRPr="00D03F3E" w14:paraId="67A6693B" w14:textId="77777777">
        <w:tc>
          <w:tcPr>
            <w:tcW w:w="828" w:type="dxa"/>
          </w:tcPr>
          <w:p w14:paraId="07586A6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241</w:t>
            </w:r>
          </w:p>
        </w:tc>
        <w:tc>
          <w:tcPr>
            <w:tcW w:w="1260" w:type="dxa"/>
          </w:tcPr>
          <w:p w14:paraId="65F586B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Тюмень</w:t>
            </w:r>
          </w:p>
        </w:tc>
        <w:tc>
          <w:tcPr>
            <w:tcW w:w="1260" w:type="dxa"/>
          </w:tcPr>
          <w:p w14:paraId="173F04C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0F4DA4BE" w14:textId="77777777">
        <w:tc>
          <w:tcPr>
            <w:tcW w:w="828" w:type="dxa"/>
          </w:tcPr>
          <w:p w14:paraId="761FE5B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445</w:t>
            </w:r>
          </w:p>
        </w:tc>
        <w:tc>
          <w:tcPr>
            <w:tcW w:w="1260" w:type="dxa"/>
          </w:tcPr>
          <w:p w14:paraId="40BC327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Алапаевск</w:t>
            </w:r>
          </w:p>
        </w:tc>
        <w:tc>
          <w:tcPr>
            <w:tcW w:w="1260" w:type="dxa"/>
          </w:tcPr>
          <w:p w14:paraId="0EE8AD5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Левков</w:t>
            </w:r>
          </w:p>
        </w:tc>
      </w:tr>
      <w:tr w:rsidR="00860B4B" w:rsidRPr="00D03F3E" w14:paraId="1D49814F" w14:textId="77777777">
        <w:tc>
          <w:tcPr>
            <w:tcW w:w="828" w:type="dxa"/>
          </w:tcPr>
          <w:p w14:paraId="30B5B5D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471</w:t>
            </w:r>
          </w:p>
        </w:tc>
        <w:tc>
          <w:tcPr>
            <w:tcW w:w="1260" w:type="dxa"/>
          </w:tcPr>
          <w:p w14:paraId="460E928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Шумерля</w:t>
            </w:r>
          </w:p>
        </w:tc>
        <w:tc>
          <w:tcPr>
            <w:tcW w:w="1260" w:type="dxa"/>
          </w:tcPr>
          <w:p w14:paraId="381874E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Слуцкий</w:t>
            </w:r>
          </w:p>
        </w:tc>
      </w:tr>
      <w:tr w:rsidR="00860B4B" w:rsidRPr="00D03F3E" w14:paraId="0C8E8CD4" w14:textId="77777777">
        <w:tc>
          <w:tcPr>
            <w:tcW w:w="828" w:type="dxa"/>
          </w:tcPr>
          <w:p w14:paraId="27F280C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481</w:t>
            </w:r>
          </w:p>
        </w:tc>
        <w:tc>
          <w:tcPr>
            <w:tcW w:w="1260" w:type="dxa"/>
          </w:tcPr>
          <w:p w14:paraId="1D440EC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1260" w:type="dxa"/>
          </w:tcPr>
          <w:p w14:paraId="56F83ED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Щербаков</w:t>
            </w:r>
          </w:p>
        </w:tc>
      </w:tr>
      <w:tr w:rsidR="00860B4B" w:rsidRPr="00D03F3E" w14:paraId="011A8ACE" w14:textId="77777777">
        <w:tc>
          <w:tcPr>
            <w:tcW w:w="828" w:type="dxa"/>
          </w:tcPr>
          <w:p w14:paraId="53BD5DA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490</w:t>
            </w:r>
          </w:p>
        </w:tc>
        <w:tc>
          <w:tcPr>
            <w:tcW w:w="1260" w:type="dxa"/>
          </w:tcPr>
          <w:p w14:paraId="22BDE7A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Сталинград</w:t>
            </w:r>
          </w:p>
        </w:tc>
        <w:tc>
          <w:tcPr>
            <w:tcW w:w="1260" w:type="dxa"/>
          </w:tcPr>
          <w:p w14:paraId="6A6D607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Курбола</w:t>
            </w:r>
          </w:p>
        </w:tc>
      </w:tr>
      <w:tr w:rsidR="00860B4B" w:rsidRPr="00D03F3E" w14:paraId="59BE1271" w14:textId="77777777">
        <w:tc>
          <w:tcPr>
            <w:tcW w:w="828" w:type="dxa"/>
          </w:tcPr>
          <w:p w14:paraId="724B9E9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490 ф-л</w:t>
            </w:r>
          </w:p>
        </w:tc>
        <w:tc>
          <w:tcPr>
            <w:tcW w:w="1260" w:type="dxa"/>
          </w:tcPr>
          <w:p w14:paraId="5A0F983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Сталинград</w:t>
            </w:r>
          </w:p>
        </w:tc>
        <w:tc>
          <w:tcPr>
            <w:tcW w:w="1260" w:type="dxa"/>
          </w:tcPr>
          <w:p w14:paraId="235046E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492C39B" w14:textId="77777777">
        <w:tc>
          <w:tcPr>
            <w:tcW w:w="828" w:type="dxa"/>
          </w:tcPr>
          <w:p w14:paraId="6BD66E2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494</w:t>
            </w:r>
          </w:p>
        </w:tc>
        <w:tc>
          <w:tcPr>
            <w:tcW w:w="1260" w:type="dxa"/>
          </w:tcPr>
          <w:p w14:paraId="1C4D176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Козловка</w:t>
            </w:r>
          </w:p>
        </w:tc>
        <w:tc>
          <w:tcPr>
            <w:tcW w:w="1260" w:type="dxa"/>
          </w:tcPr>
          <w:p w14:paraId="5488863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Чеблуков</w:t>
            </w:r>
          </w:p>
        </w:tc>
      </w:tr>
      <w:tr w:rsidR="00860B4B" w:rsidRPr="00D03F3E" w14:paraId="172FBBEF" w14:textId="77777777">
        <w:tc>
          <w:tcPr>
            <w:tcW w:w="828" w:type="dxa"/>
          </w:tcPr>
          <w:p w14:paraId="5D66C4E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499</w:t>
            </w:r>
          </w:p>
        </w:tc>
        <w:tc>
          <w:tcPr>
            <w:tcW w:w="1260" w:type="dxa"/>
          </w:tcPr>
          <w:p w14:paraId="4A9DE46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Заводоуковская</w:t>
            </w:r>
          </w:p>
        </w:tc>
        <w:tc>
          <w:tcPr>
            <w:tcW w:w="1260" w:type="dxa"/>
          </w:tcPr>
          <w:p w14:paraId="2651477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Москалев</w:t>
            </w:r>
          </w:p>
        </w:tc>
      </w:tr>
      <w:tr w:rsidR="00860B4B" w:rsidRPr="00D03F3E" w14:paraId="65B7B2BD" w14:textId="77777777">
        <w:tc>
          <w:tcPr>
            <w:tcW w:w="828" w:type="dxa"/>
          </w:tcPr>
          <w:p w14:paraId="1D49848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ОКБ-28</w:t>
            </w:r>
          </w:p>
        </w:tc>
        <w:tc>
          <w:tcPr>
            <w:tcW w:w="1260" w:type="dxa"/>
          </w:tcPr>
          <w:p w14:paraId="286E44E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Павшино</w:t>
            </w:r>
          </w:p>
        </w:tc>
        <w:tc>
          <w:tcPr>
            <w:tcW w:w="1260" w:type="dxa"/>
          </w:tcPr>
          <w:p w14:paraId="2956102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Калиновский</w:t>
            </w:r>
          </w:p>
        </w:tc>
      </w:tr>
    </w:tbl>
    <w:p w14:paraId="5350EA6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Восстанавливаемые з-ды и стройки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860B4B" w:rsidRPr="00D03F3E" w14:paraId="1EC0B55A" w14:textId="77777777">
        <w:tc>
          <w:tcPr>
            <w:tcW w:w="828" w:type="dxa"/>
          </w:tcPr>
          <w:p w14:paraId="623E5BC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Тушинский з-д</w:t>
            </w:r>
          </w:p>
        </w:tc>
        <w:tc>
          <w:tcPr>
            <w:tcW w:w="1260" w:type="dxa"/>
          </w:tcPr>
          <w:p w14:paraId="0D537E4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Тушино</w:t>
            </w:r>
          </w:p>
        </w:tc>
        <w:tc>
          <w:tcPr>
            <w:tcW w:w="1260" w:type="dxa"/>
          </w:tcPr>
          <w:p w14:paraId="5720C209"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BE47125" w14:textId="77777777">
        <w:tc>
          <w:tcPr>
            <w:tcW w:w="828" w:type="dxa"/>
          </w:tcPr>
          <w:p w14:paraId="61FA0E9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Рязанский з-д</w:t>
            </w:r>
          </w:p>
        </w:tc>
        <w:tc>
          <w:tcPr>
            <w:tcW w:w="1260" w:type="dxa"/>
          </w:tcPr>
          <w:p w14:paraId="510FA3D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Рязань</w:t>
            </w:r>
          </w:p>
        </w:tc>
        <w:tc>
          <w:tcPr>
            <w:tcW w:w="1260" w:type="dxa"/>
          </w:tcPr>
          <w:p w14:paraId="600CF37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35D587A3"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(1715, 1-16).</w:t>
      </w:r>
    </w:p>
    <w:p w14:paraId="5BC140F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1FE652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1943 на Ер-2 2М-30Б на заводах 134 и 500 состоялся полет Москва - Янаул - Москва и за 6:25 пролетели 2200 км с крейсерской скоростью 342 км/час (1458,11).</w:t>
      </w:r>
    </w:p>
    <w:p w14:paraId="61EE00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A157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1943 в НИИ ВВС прибыл трофейный Хейнкель-111 для гос. испытаний и 26 марта поломали (797,10).</w:t>
      </w:r>
    </w:p>
    <w:p w14:paraId="02AC1E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079D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1943 г. первый вылет выполнил летчик-испытатель В.Н.Савкин. Максимальная скорость полета, полу ченная в процессе испытаний, составила 670 км/ч. Высоту 5000 м самолет набирал за 4 мин. В I квартале 1944 г. закончились заводские испытания истребителя И-211, после чего работы по нему свернули. В I квартале 1943 г. для ВВС планировалось построить 10 самолетов МиГ-9Е (5485,29).</w:t>
      </w:r>
    </w:p>
    <w:p w14:paraId="5F2A5F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9A8260"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24 февраля</w:t>
      </w:r>
      <w:r w:rsidRPr="00D03F3E">
        <w:rPr>
          <w:rFonts w:ascii="Times New Roman" w:hAnsi="Times New Roman"/>
          <w:color w:val="000000" w:themeColor="text1"/>
          <w:sz w:val="16"/>
          <w:szCs w:val="16"/>
        </w:rPr>
        <w:t xml:space="preserve"> в 1943 году выполнил первый вылет фронтовой истребитель </w:t>
      </w:r>
      <w:hyperlink r:id="rId72" w:tgtFrame="_blank" w:history="1">
        <w:r w:rsidRPr="00D03F3E">
          <w:rPr>
            <w:rFonts w:ascii="Times New Roman" w:hAnsi="Times New Roman"/>
            <w:color w:val="000000" w:themeColor="text1"/>
            <w:sz w:val="16"/>
            <w:szCs w:val="16"/>
          </w:rPr>
          <w:t xml:space="preserve">«И-211» («МиГ-9Е») </w:t>
        </w:r>
      </w:hyperlink>
      <w:r w:rsidRPr="00D03F3E">
        <w:rPr>
          <w:rFonts w:ascii="Times New Roman" w:hAnsi="Times New Roman"/>
          <w:color w:val="000000" w:themeColor="text1"/>
          <w:sz w:val="16"/>
          <w:szCs w:val="16"/>
        </w:rPr>
        <w:t>- модификация истребителя «МиГ-3» под двигатель воздушного охлаждения «М-82Ф» взлетной мощностью 1850 л.с., летчик-испытатель В.Н.Савкин. Максимальная скорость полета, полученная в процессе испытаний, составила 670 км/час (15050).</w:t>
      </w:r>
    </w:p>
    <w:p w14:paraId="7D889129" w14:textId="77777777" w:rsidR="001E7A6D" w:rsidRPr="00D03F3E" w:rsidRDefault="001E7A6D" w:rsidP="00D03F3E">
      <w:pPr>
        <w:spacing w:after="0" w:line="240" w:lineRule="auto"/>
        <w:jc w:val="both"/>
        <w:rPr>
          <w:rFonts w:ascii="Times New Roman" w:hAnsi="Times New Roman"/>
          <w:color w:val="000000" w:themeColor="text1"/>
          <w:sz w:val="16"/>
          <w:szCs w:val="16"/>
        </w:rPr>
      </w:pPr>
    </w:p>
    <w:p w14:paraId="7B35CE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24 февраля 1943 г. заводом №292 в Саратове было построено 45 истребителей Як-1 М-106-1ск (4537).</w:t>
      </w:r>
    </w:p>
    <w:p w14:paraId="5A3FE1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A8FC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1943 А.И.Ш. писал Г.М.М.:</w:t>
      </w:r>
    </w:p>
    <w:p w14:paraId="70F31E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"Разработкой опытных образцов ТМС в системе 5 ГУ НКАП, занималось ОКБ при ленинградском заводе 379.</w:t>
      </w:r>
    </w:p>
    <w:p w14:paraId="39D73C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началу ВОВ ОКБ завода 379 отработало 2 опытных ТМС, один из которых прошел гос. испытания с положительной оценкой. Остальные образцы, изготавливающиеся по заказам ВВС и ВМФ в количестве 6 машин различных типов, находились в стадии заделов.</w:t>
      </w:r>
    </w:p>
    <w:p w14:paraId="11386E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 военной обстановкой и угрозой блокады Ленинграда, заказчиками были приняты решения о консервации работ по изготовлению опытных образцов, находящихся в заделе и о практическом использовании отработанных 2-х образцов.</w:t>
      </w:r>
    </w:p>
    <w:p w14:paraId="3CEBCF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неизвестным Главку причинам практическое использование изготовленных образцов ТМС чрезмерно затянулось. Только в январе 1942 была осуществлена первая попытка боевого применения одного самолета, не давшая по независимым от аппаратуры причинам, каких-либо результатов, в итоге которой ТМС погиб.</w:t>
      </w:r>
    </w:p>
    <w:p w14:paraId="3D8121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Боевое применение 2-го образца также не форсировалось. В результате авиакатастрофы, происшедшей на аэродроме, где хранился 2-й экз. телемеханического самолета, последний сгорел, причем телемеханическая аппаратура была спасена.</w:t>
      </w:r>
    </w:p>
    <w:p w14:paraId="1DDFA5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Течение и общее развитие работ с начала войны по практическому использованию ВВС итогов и опыта, полученных в процессе отработки опытных образцов ТМС, дает основание сделать вывод о неактуальности для настоящего времени этого вида вооружения..." (1977,227).</w:t>
      </w:r>
    </w:p>
    <w:p w14:paraId="27CED6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FA76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1943 г. генерал-майор Лосюков утвердил тактико-техническим требования НИИ ВВС на разработку лакокрасочного покрытия для самолетов на 1943 г.: "окраска верхних и боковых поверхностей самолета должна быть камуфляжной с применением как минимум трех цветов: зеленого (цвет № 4), черного (цвет № 6) и песочного (цвет № 1). Номера цветов, как видим, совпадают с номерами красок АМТ. Нижние поверхности оставались голубыми. Окраска должна была обеспечивать маскировку самолета как на земле, так и в воздухе [30] (3285,12).</w:t>
      </w:r>
    </w:p>
    <w:p w14:paraId="57B322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3A70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1943 г. генерал-майор Лосюков утвердил тактико-техническим требованиям НИИ ВВС на разработку лакокрасочного покрытия самолетов на 1943 г.: "окраска верхних и боковых поверхностей самолета должна быть камуфляжной с применением как минимум трех цветов: зеленого (цвет №4), черного (цвет №6) и песочного (цвет №1)". Номера цветов, как видим, совпадают с номерами красок серии АМТ. По разработанному в апреле 1943 г. проекту приказа о переходе на новые схемы окраски, для всех классов самолетов, включая истребители, также планировался трехцветный камуфляж, причем соотношение зеленого, черного (а не темно-серого, как впоследствии) и светло-коричне- вого цветов предполагалось, как 5:2:3.</w:t>
      </w:r>
    </w:p>
    <w:p w14:paraId="72F21E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Более того, в апреле в НИИ ВВС для испытаний поступает Як-9, окрашенный в серый цвет двух оттенков. Заключение по поводу такого камуфляжа было резко отрицательным: оба оттенка серого "являются непригодными для фонов местности большинства наших округов. Это обстоятельство делает самолет хорошо заметным на стоянке на земле даже при визуальном наблюдении невооруженным глазом. По своим физическим свойствам серая краска (в данном случае оба тона) является дешифрируемой и при наблюдении с воздуха через специальные очки также способствует легкому обнаружению самолета. С точки зрения маскировки данный вид окраски для боевых самолетов совершенно непригоден". Единственное, что допускалось в этом заключении, - использовать серый цвет как один из составляющих при трех- или четырехцветной камуфляжной окраске. Запомним эти факты и вернемся к "Схемам ..." (11989).</w:t>
      </w:r>
    </w:p>
    <w:p w14:paraId="4D88CB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F96D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1943 г. была подготовлена Справка уполномоченного Комиссии партийного контроля при ЦК ВКП(б) по Удмуртской АССР В.Н. Миронова и ответственного контролера Комиссии партийного контроля ЦК ВКП(б) Свистунова секретарю Удмуртского обкома ВКП(б) А.П. Чекинову о неудовлетворительном выполнении Ижевским металлургическим заводом заказов Наркомата авиационной промышленности СССР (НКАП)</w:t>
      </w:r>
    </w:p>
    <w:p w14:paraId="62DD66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постановлению ГКО* СССР от 10/1-43г. завод № 71 должен изготовить в 1 квартале 1943г. 1390 тонн поковок, по 100 тонн расчалочной и хромованадиевой сталей, а также 20 тонн ленты для заводов авиапрома, в том числе в январе 460 тонн поковок, по 33 тонны расчалочной и хромованадиевой проволоки и 7 тонн ленты. Несмотря на прямое указание ГКО о выполнении заказов НКАП при всех условиях, выполнение последних заводом № 71 производится крайне неудовлетворительно. Программа января месяца выполнена по поковкам на 33%, проволоке хромованадиевой -48%, расчалочной -28%, ленте- 46%. Квартальная программа на 20-е февраля вместо 57% по плану, выполнена по поковкам на 24%, по стали хромованадиевой -30%, расчалочной -22% и ленте -45%. По номенклатуре выполнение составляет всего лишь 16%.</w:t>
      </w:r>
    </w:p>
    <w:p w14:paraId="62BDCD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Проверкой установлено, что причиной срыва выполнения задания ГКО заводом № 71 является систематическое невыполнение установленного суточного графика, низкое состояние технологической дисциплины, простои и брак. На заводе выполнение суточного графика не является законом военного времени, в результате чего январский график, предусматривающий выполнение заказов, не выполнен. В течение февраля график дважды пересматривался. Отсутствие надлежащей борьбы за выполнение графика показывает, что вновь установленный 17/ II -43г. график по откову также не выполняется и мероприятия, намеченные по телеграмме т. Маленкова, с первых дней срываются. Например, предусмотренный графиком отков с 20/ II деталей И-605, И-609, С-30 и др. Цех № 15 на 22/ II -43г. к откову их не приступил.</w:t>
      </w:r>
    </w:p>
    <w:p w14:paraId="267E60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Вопросами качества продукции на заводе занимаются неудовлетворительно, о чем свидетельствует тот факт, что в течение февраля м[еся]ца в цехе №20 забраковано 55 тонн стали марки 53А1 или 12%; в цехе №26 за январь забраковано 9,5% детали С-56, в феврале забраковано 13,4% детали С-146. Процесс выплавки стали изменяется без достаточно серьезной проверки качества стали, например: отлитые 69 плавок марки стали 53А1 на глиноземистых шлаках (по ранее установленной технологии эта марка отливалась на известковых шлаках) дали резкое ухудшение качества стали, о чем свидетельствуют следующие данные: плавка ЭЗ152 имеет 60% брака, плавка ЭЗ141 имеет 50% брака и др.</w:t>
      </w:r>
    </w:p>
    <w:p w14:paraId="59577D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Большое количество отливаемой стали не получает прямого назначения из-за непопадание в химанализ, в течение января 14 плавок получили назначение на марку 53А2 вместо 53А1. Наличие высокого брака и внемарочных сталей характеризует низкое состояние технологической дисциплины на заводе, что вызывает большие потери металла и невыполнение заданий фронта.</w:t>
      </w:r>
    </w:p>
    <w:p w14:paraId="0C8477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Нетерпимо велики простои электропечей, выплавляющих сталь для авиапрома, за январь месяц они составили 633 печечаса, вследствие чего потеряно 1070 тонн высококачественной стали. Вышеуказанные факты показывают недопустимое отношение руководителей завода к данному вопросу, что привело к срыву выполнения задания ГКО.</w:t>
      </w:r>
    </w:p>
    <w:p w14:paraId="50DED4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целью выполнения постановления ГКО и телеграммы т. Маленкова, и обеспечивая устранение отставания по поставкам заводам НКАП поковок и холоднотянутой стали, вносим предложение обсудить данный вопрос на заседании бюро ОК ВКП(б).</w:t>
      </w:r>
      <w:r w:rsidRPr="00D03F3E">
        <w:rPr>
          <w:rFonts w:ascii="Times New Roman" w:hAnsi="Times New Roman"/>
          <w:color w:val="000000" w:themeColor="text1"/>
          <w:sz w:val="16"/>
          <w:szCs w:val="16"/>
          <w:vertAlign w:val="superscript"/>
        </w:rPr>
        <w:t>17</w:t>
      </w:r>
    </w:p>
    <w:p w14:paraId="0F7D74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Уполномоченный КПК при ЦК ВКП(б)</w:t>
      </w:r>
    </w:p>
    <w:p w14:paraId="5AF48D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Удмуртской АССР Миронов</w:t>
      </w:r>
    </w:p>
    <w:p w14:paraId="72D3A7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Ответственный контролер КПК</w:t>
      </w:r>
    </w:p>
    <w:p w14:paraId="3CD479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ЦК ВКП(б) Свистунов</w:t>
      </w:r>
    </w:p>
    <w:p w14:paraId="3E33F2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ЦДНИ УР. Ф.228. Оп.1. Д.32. Л.2-2об. Подлинник. Машинопись (11635).</w:t>
      </w:r>
    </w:p>
    <w:p w14:paraId="69D829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B211C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5E61B1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ECE9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1943 вышло Распоряжение ГКО № 2935. О поставках в феврале - марте нефтемасла и смазочных материалов на ГАЗ.РГАНИР, Фонд ГКО, д. 91, лл. 148 (11012).</w:t>
      </w:r>
    </w:p>
    <w:p w14:paraId="6FB8F4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87C3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24 февраля 1943 вышло Постановление ГКО № 2938 Об организации самостоятельных ОРСов на ремонтных заводах № 1,20,22,28,82 и 90 Главного бронетанкового управления HКО.РГАНИР, Фонд ГКО, д. 91, лл. 158 (11012).</w:t>
      </w:r>
    </w:p>
    <w:p w14:paraId="646269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6E63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1943 вышло Постановление ГКО № 2940 Об энергоснабжении Камского и Балахнинского целлюлозно-бумажных комбинатов.РГАНИР, Фонд ГКО, д. 91, лл. 160 (11012).</w:t>
      </w:r>
    </w:p>
    <w:p w14:paraId="5BFA44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359C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1943 вышло Постановление ГКО № 2941 О ремонте трофейных танков в районах Сталинграда, Воронежа и Дона.РГАНИР, Фонд ГКО, д. 91, лл. 161-162 (11012).</w:t>
      </w:r>
    </w:p>
    <w:p w14:paraId="42B1F3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DEEF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1943 вышло Постановление ГКО № 2942 О материально-техническом обеспечении уранового производства на заводе В Наркомцветмета.РГАНИР, Фонд ГКО, д. 91, лл. 163-165, 166-170 (11012).</w:t>
      </w:r>
    </w:p>
    <w:p w14:paraId="669A84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E158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1943 вышло Постановление ГКО № 2943 Об изготовлении опытных образцов танков ИС. РГАНИР, Фонд ГКО, д. 91, лл. 171-172 (11012).</w:t>
      </w:r>
    </w:p>
    <w:p w14:paraId="700993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67C4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1943 вышло постановление ГКО № 2943сс «Об из</w:t>
      </w:r>
      <w:r w:rsidRPr="00D03F3E">
        <w:rPr>
          <w:rFonts w:ascii="Times New Roman" w:hAnsi="Times New Roman"/>
          <w:color w:val="000000" w:themeColor="text1"/>
          <w:sz w:val="16"/>
          <w:szCs w:val="16"/>
        </w:rPr>
        <w:softHyphen/>
        <w:t>готовлении опытных образцов тяжелых танков ИС (Иосиф Сталин)». В целях сокращения времени на постройку новых танков приняли решение использовать изготавливаемые два образца КВ-13, улучшив их характеристику и доработав конструкцию (11135).</w:t>
      </w:r>
    </w:p>
    <w:p w14:paraId="39F9DC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7A2F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1943 года вышло постановление ГКО №2943сс, которым Кировскому заводу в Челябинске и заводу №100 НКТП (переименованный Опытный танковый завод) предписывалось изготовить и предъявить на государственные испытания два опытных образца танков "Иосиф Сталин" - ИС..</w:t>
      </w:r>
    </w:p>
    <w:p w14:paraId="078B03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качестве исходных, для них были взяты последние варианты КВ-13. При этом первый танк, вооруженный 76,2-мм пушкой ЗИС-5, получил обозначение ИС-1 с сохранением заводского индекса "Объект 233", а второй - со 122-мм танковой гаубицей У-11 в башне, заимствованной у опытного тяжелого танка КВ-9 - получил обозначение ИС-2 ("Объект 234"). (3862).</w:t>
      </w:r>
    </w:p>
    <w:p w14:paraId="7B1CE8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20152C" w14:textId="77777777" w:rsidR="00882DFF" w:rsidRPr="00D03F3E" w:rsidRDefault="00882DFF" w:rsidP="00D03F3E">
      <w:pPr>
        <w:pStyle w:val="1162"/>
        <w:shd w:val="clear" w:color="auto" w:fill="auto"/>
        <w:spacing w:after="0" w:line="240" w:lineRule="auto"/>
        <w:ind w:firstLine="0"/>
        <w:jc w:val="both"/>
        <w:rPr>
          <w:rStyle w:val="930"/>
          <w:rFonts w:ascii="Times New Roman" w:hAnsi="Times New Roman" w:cs="Times New Roman"/>
          <w:color w:val="0070C0"/>
          <w:sz w:val="16"/>
          <w:szCs w:val="16"/>
          <w:lang w:val="ru-RU"/>
        </w:rPr>
      </w:pPr>
      <w:r w:rsidRPr="00D03F3E">
        <w:rPr>
          <w:rStyle w:val="930"/>
          <w:rFonts w:ascii="Times New Roman" w:hAnsi="Times New Roman" w:cs="Times New Roman"/>
          <w:color w:val="0070C0"/>
          <w:sz w:val="16"/>
          <w:szCs w:val="16"/>
        </w:rPr>
        <w:t>24 февраля 1943 года Сталин подписал постановление ГКО № 2943 «Об изготовлении опытных образцов танков "ИС"». Более обо</w:t>
      </w:r>
      <w:r w:rsidRPr="00D03F3E">
        <w:rPr>
          <w:rStyle w:val="930"/>
          <w:rFonts w:ascii="Times New Roman" w:hAnsi="Times New Roman" w:cs="Times New Roman"/>
          <w:color w:val="0070C0"/>
          <w:sz w:val="16"/>
          <w:szCs w:val="16"/>
        </w:rPr>
        <w:softHyphen/>
        <w:t>значение КВ-13 не применялось, а индекс ИС-1 утвердился окончательно</w:t>
      </w:r>
      <w:r w:rsidRPr="00D03F3E">
        <w:rPr>
          <w:rStyle w:val="930"/>
          <w:rFonts w:ascii="Times New Roman" w:hAnsi="Times New Roman" w:cs="Times New Roman"/>
          <w:color w:val="0070C0"/>
          <w:sz w:val="16"/>
          <w:szCs w:val="16"/>
          <w:lang w:val="ru-RU"/>
        </w:rPr>
        <w:t>.</w:t>
      </w:r>
    </w:p>
    <w:p w14:paraId="14D8FA8D" w14:textId="77777777" w:rsidR="00882DFF" w:rsidRPr="00D03F3E" w:rsidRDefault="00882DFF" w:rsidP="00D03F3E">
      <w:pPr>
        <w:pStyle w:val="1162"/>
        <w:shd w:val="clear" w:color="auto" w:fill="auto"/>
        <w:spacing w:after="0" w:line="240" w:lineRule="auto"/>
        <w:ind w:firstLine="0"/>
        <w:jc w:val="both"/>
        <w:rPr>
          <w:rStyle w:val="930"/>
          <w:rFonts w:ascii="Times New Roman" w:hAnsi="Times New Roman" w:cs="Times New Roman"/>
          <w:color w:val="0070C0"/>
          <w:sz w:val="16"/>
          <w:szCs w:val="16"/>
        </w:rPr>
      </w:pPr>
      <w:r w:rsidRPr="00D03F3E">
        <w:rPr>
          <w:rStyle w:val="930"/>
          <w:rFonts w:ascii="Times New Roman" w:hAnsi="Times New Roman" w:cs="Times New Roman"/>
          <w:color w:val="0070C0"/>
          <w:sz w:val="16"/>
          <w:szCs w:val="16"/>
        </w:rPr>
        <w:t>Параллельно был разработан второй вариант танка, полу</w:t>
      </w:r>
      <w:r w:rsidRPr="00D03F3E">
        <w:rPr>
          <w:rStyle w:val="930"/>
          <w:rFonts w:ascii="Times New Roman" w:hAnsi="Times New Roman" w:cs="Times New Roman"/>
          <w:color w:val="0070C0"/>
          <w:sz w:val="16"/>
          <w:szCs w:val="16"/>
        </w:rPr>
        <w:softHyphen/>
        <w:t>чивший обозначение ИС-2. Он получил 122-мм гаубицу У-11, которую установили в башне по типу КВ-9. Нередко пишут, что на ИС-2 стояла башня от КВ-9, но это не так. Башню облегчили, также она имел ряд отли</w:t>
      </w:r>
      <w:r w:rsidRPr="00D03F3E">
        <w:rPr>
          <w:rStyle w:val="930"/>
          <w:rFonts w:ascii="Times New Roman" w:hAnsi="Times New Roman" w:cs="Times New Roman"/>
          <w:color w:val="0070C0"/>
          <w:sz w:val="16"/>
          <w:szCs w:val="16"/>
        </w:rPr>
        <w:softHyphen/>
        <w:t>чий в деталях. Несмотря на то, что шасси ИС-1 и ИС-2 существенно доработали по сравне</w:t>
      </w:r>
      <w:r w:rsidRPr="00D03F3E">
        <w:rPr>
          <w:rStyle w:val="930"/>
          <w:rFonts w:ascii="Times New Roman" w:hAnsi="Times New Roman" w:cs="Times New Roman"/>
          <w:color w:val="0070C0"/>
          <w:sz w:val="16"/>
          <w:szCs w:val="16"/>
        </w:rPr>
        <w:softHyphen/>
        <w:t>нию с вариантом 1942 года, танк также ока</w:t>
      </w:r>
      <w:r w:rsidRPr="00D03F3E">
        <w:rPr>
          <w:rStyle w:val="930"/>
          <w:rFonts w:ascii="Times New Roman" w:hAnsi="Times New Roman" w:cs="Times New Roman"/>
          <w:color w:val="0070C0"/>
          <w:sz w:val="16"/>
          <w:szCs w:val="16"/>
        </w:rPr>
        <w:softHyphen/>
        <w:t>зался неудачным. Машина страдала от пере</w:t>
      </w:r>
      <w:r w:rsidRPr="00D03F3E">
        <w:rPr>
          <w:rStyle w:val="930"/>
          <w:rFonts w:ascii="Times New Roman" w:hAnsi="Times New Roman" w:cs="Times New Roman"/>
          <w:color w:val="0070C0"/>
          <w:sz w:val="16"/>
          <w:szCs w:val="16"/>
        </w:rPr>
        <w:softHyphen/>
        <w:t>грева системы охлаждения, а форма воздухо</w:t>
      </w:r>
      <w:r w:rsidRPr="00D03F3E">
        <w:rPr>
          <w:rStyle w:val="930"/>
          <w:rFonts w:ascii="Times New Roman" w:hAnsi="Times New Roman" w:cs="Times New Roman"/>
          <w:color w:val="0070C0"/>
          <w:sz w:val="16"/>
          <w:szCs w:val="16"/>
        </w:rPr>
        <w:softHyphen/>
        <w:t>заборников на надмоторной плите способ</w:t>
      </w:r>
      <w:r w:rsidRPr="00D03F3E">
        <w:rPr>
          <w:rStyle w:val="930"/>
          <w:rFonts w:ascii="Times New Roman" w:hAnsi="Times New Roman" w:cs="Times New Roman"/>
          <w:color w:val="0070C0"/>
          <w:sz w:val="16"/>
          <w:szCs w:val="16"/>
        </w:rPr>
        <w:softHyphen/>
        <w:t>ствовала забрасыванию на них грязи. Были проблемы и с работой элементов трансмис</w:t>
      </w:r>
      <w:r w:rsidRPr="00D03F3E">
        <w:rPr>
          <w:rStyle w:val="930"/>
          <w:rFonts w:ascii="Times New Roman" w:hAnsi="Times New Roman" w:cs="Times New Roman"/>
          <w:color w:val="0070C0"/>
          <w:sz w:val="16"/>
          <w:szCs w:val="16"/>
        </w:rPr>
        <w:softHyphen/>
        <w:t>сии. Дополнительным фактором, который стал играть против ИС-1 и ИС-2, оказался за</w:t>
      </w:r>
      <w:r w:rsidRPr="00D03F3E">
        <w:rPr>
          <w:rStyle w:val="930"/>
          <w:rFonts w:ascii="Times New Roman" w:hAnsi="Times New Roman" w:cs="Times New Roman"/>
          <w:color w:val="0070C0"/>
          <w:sz w:val="16"/>
          <w:szCs w:val="16"/>
        </w:rPr>
        <w:softHyphen/>
        <w:t xml:space="preserve">хват 18 января 1943 года под Ленинградом двух немецких тяжелых танков </w:t>
      </w:r>
      <w:r w:rsidRPr="00D03F3E">
        <w:rPr>
          <w:rStyle w:val="930"/>
          <w:rFonts w:ascii="Times New Roman" w:hAnsi="Times New Roman" w:cs="Times New Roman"/>
          <w:color w:val="0070C0"/>
          <w:sz w:val="16"/>
          <w:szCs w:val="16"/>
          <w:lang w:val="en-US"/>
        </w:rPr>
        <w:t>Pz</w:t>
      </w:r>
      <w:r w:rsidRPr="00D03F3E">
        <w:rPr>
          <w:rStyle w:val="930"/>
          <w:rFonts w:ascii="Times New Roman" w:hAnsi="Times New Roman" w:cs="Times New Roman"/>
          <w:color w:val="0070C0"/>
          <w:sz w:val="16"/>
          <w:szCs w:val="16"/>
          <w:lang w:val="ru-RU"/>
        </w:rPr>
        <w:t>.</w:t>
      </w:r>
      <w:r w:rsidRPr="00D03F3E">
        <w:rPr>
          <w:rStyle w:val="930"/>
          <w:rFonts w:ascii="Times New Roman" w:hAnsi="Times New Roman" w:cs="Times New Roman"/>
          <w:color w:val="0070C0"/>
          <w:sz w:val="16"/>
          <w:szCs w:val="16"/>
          <w:lang w:val="en-US"/>
        </w:rPr>
        <w:t>Kpfw</w:t>
      </w:r>
      <w:r w:rsidRPr="00D03F3E">
        <w:rPr>
          <w:rStyle w:val="930"/>
          <w:rFonts w:ascii="Times New Roman" w:hAnsi="Times New Roman" w:cs="Times New Roman"/>
          <w:color w:val="0070C0"/>
          <w:sz w:val="16"/>
          <w:szCs w:val="16"/>
          <w:lang w:val="ru-RU"/>
        </w:rPr>
        <w:t>.</w:t>
      </w:r>
      <w:r w:rsidRPr="00D03F3E">
        <w:rPr>
          <w:rStyle w:val="930"/>
          <w:rFonts w:ascii="Times New Roman" w:hAnsi="Times New Roman" w:cs="Times New Roman"/>
          <w:color w:val="0070C0"/>
          <w:sz w:val="16"/>
          <w:szCs w:val="16"/>
          <w:lang w:val="en-US"/>
        </w:rPr>
        <w:t>Tiger</w:t>
      </w:r>
      <w:r w:rsidRPr="00D03F3E">
        <w:rPr>
          <w:rStyle w:val="930"/>
          <w:rFonts w:ascii="Times New Roman" w:hAnsi="Times New Roman" w:cs="Times New Roman"/>
          <w:color w:val="0070C0"/>
          <w:sz w:val="16"/>
          <w:szCs w:val="16"/>
          <w:lang w:val="ru-RU"/>
        </w:rPr>
        <w:t xml:space="preserve"> </w:t>
      </w:r>
      <w:r w:rsidRPr="00D03F3E">
        <w:rPr>
          <w:rStyle w:val="930"/>
          <w:rFonts w:ascii="Times New Roman" w:hAnsi="Times New Roman" w:cs="Times New Roman"/>
          <w:color w:val="0070C0"/>
          <w:sz w:val="16"/>
          <w:szCs w:val="16"/>
          <w:lang w:val="en-US"/>
        </w:rPr>
        <w:t>Ausf</w:t>
      </w:r>
      <w:r w:rsidRPr="00D03F3E">
        <w:rPr>
          <w:rStyle w:val="930"/>
          <w:rFonts w:ascii="Times New Roman" w:hAnsi="Times New Roman" w:cs="Times New Roman"/>
          <w:color w:val="0070C0"/>
          <w:sz w:val="16"/>
          <w:szCs w:val="16"/>
          <w:lang w:val="ru-RU"/>
        </w:rPr>
        <w:t xml:space="preserve">. </w:t>
      </w:r>
      <w:r w:rsidRPr="00D03F3E">
        <w:rPr>
          <w:rStyle w:val="930"/>
          <w:rFonts w:ascii="Times New Roman" w:hAnsi="Times New Roman" w:cs="Times New Roman"/>
          <w:color w:val="0070C0"/>
          <w:sz w:val="16"/>
          <w:szCs w:val="16"/>
          <w:lang w:val="en-US"/>
        </w:rPr>
        <w:t>E</w:t>
      </w:r>
      <w:r w:rsidRPr="00D03F3E">
        <w:rPr>
          <w:rStyle w:val="930"/>
          <w:rFonts w:ascii="Times New Roman" w:hAnsi="Times New Roman" w:cs="Times New Roman"/>
          <w:color w:val="0070C0"/>
          <w:sz w:val="16"/>
          <w:szCs w:val="16"/>
          <w:lang w:val="ru-RU"/>
        </w:rPr>
        <w:t xml:space="preserve">. </w:t>
      </w:r>
      <w:r w:rsidRPr="00D03F3E">
        <w:rPr>
          <w:rStyle w:val="930"/>
          <w:rFonts w:ascii="Times New Roman" w:hAnsi="Times New Roman" w:cs="Times New Roman"/>
          <w:color w:val="0070C0"/>
          <w:sz w:val="16"/>
          <w:szCs w:val="16"/>
        </w:rPr>
        <w:t>В апреле 1943 года их доставили в Ку</w:t>
      </w:r>
      <w:r w:rsidRPr="00D03F3E">
        <w:rPr>
          <w:rStyle w:val="930"/>
          <w:rFonts w:ascii="Times New Roman" w:hAnsi="Times New Roman" w:cs="Times New Roman"/>
          <w:color w:val="0070C0"/>
          <w:sz w:val="16"/>
          <w:szCs w:val="16"/>
        </w:rPr>
        <w:softHyphen/>
        <w:t>бинку, а в конце месяца один танк подвергли обстрелу из орудий разного калибра. Вы</w:t>
      </w:r>
      <w:r w:rsidRPr="00D03F3E">
        <w:rPr>
          <w:rStyle w:val="930"/>
          <w:rFonts w:ascii="Times New Roman" w:hAnsi="Times New Roman" w:cs="Times New Roman"/>
          <w:color w:val="0070C0"/>
          <w:sz w:val="16"/>
          <w:szCs w:val="16"/>
        </w:rPr>
        <w:softHyphen/>
        <w:t>яснилось, что Ф-34/ЗИС-5 не может пробить бортовую броню немецкого танка даже в борт. В середине апреля, то есть еще до испы</w:t>
      </w:r>
      <w:r w:rsidRPr="00D03F3E">
        <w:rPr>
          <w:rStyle w:val="930"/>
          <w:rFonts w:ascii="Times New Roman" w:hAnsi="Times New Roman" w:cs="Times New Roman"/>
          <w:color w:val="0070C0"/>
          <w:sz w:val="16"/>
          <w:szCs w:val="16"/>
        </w:rPr>
        <w:softHyphen/>
        <w:t>таний обстрелом, ГАУ КА инициировало воз</w:t>
      </w:r>
      <w:r w:rsidRPr="00D03F3E">
        <w:rPr>
          <w:rStyle w:val="930"/>
          <w:rFonts w:ascii="Times New Roman" w:hAnsi="Times New Roman" w:cs="Times New Roman"/>
          <w:color w:val="0070C0"/>
          <w:sz w:val="16"/>
          <w:szCs w:val="16"/>
        </w:rPr>
        <w:softHyphen/>
        <w:t>обновление работ по 85-мм танковым пуш</w:t>
      </w:r>
      <w:r w:rsidRPr="00D03F3E">
        <w:rPr>
          <w:rStyle w:val="930"/>
          <w:rFonts w:ascii="Times New Roman" w:hAnsi="Times New Roman" w:cs="Times New Roman"/>
          <w:color w:val="0070C0"/>
          <w:sz w:val="16"/>
          <w:szCs w:val="16"/>
        </w:rPr>
        <w:softHyphen/>
        <w:t>кам</w:t>
      </w:r>
      <w:r w:rsidRPr="00D03F3E">
        <w:rPr>
          <w:rStyle w:val="930"/>
          <w:rFonts w:ascii="Times New Roman" w:hAnsi="Times New Roman" w:cs="Times New Roman"/>
          <w:color w:val="0070C0"/>
          <w:sz w:val="16"/>
          <w:szCs w:val="16"/>
          <w:lang w:val="ru-RU"/>
        </w:rPr>
        <w:t xml:space="preserve"> (19872)</w:t>
      </w:r>
      <w:r w:rsidRPr="00D03F3E">
        <w:rPr>
          <w:rStyle w:val="930"/>
          <w:rFonts w:ascii="Times New Roman" w:hAnsi="Times New Roman" w:cs="Times New Roman"/>
          <w:color w:val="0070C0"/>
          <w:sz w:val="16"/>
          <w:szCs w:val="16"/>
        </w:rPr>
        <w:t>.</w:t>
      </w:r>
    </w:p>
    <w:p w14:paraId="6310A439" w14:textId="77777777" w:rsidR="00882DFF" w:rsidRPr="00D03F3E" w:rsidRDefault="00882DFF" w:rsidP="00D03F3E">
      <w:pPr>
        <w:pStyle w:val="1162"/>
        <w:shd w:val="clear" w:color="auto" w:fill="auto"/>
        <w:spacing w:after="0" w:line="240" w:lineRule="auto"/>
        <w:ind w:firstLine="0"/>
        <w:jc w:val="both"/>
        <w:rPr>
          <w:rStyle w:val="930"/>
          <w:rFonts w:ascii="Times New Roman" w:hAnsi="Times New Roman" w:cs="Times New Roman"/>
          <w:color w:val="0070C0"/>
          <w:sz w:val="16"/>
          <w:szCs w:val="16"/>
        </w:rPr>
      </w:pPr>
    </w:p>
    <w:p w14:paraId="1F225FB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1943 г. на заседании ГКО было принято постановление "Об изготовлении опыт</w:t>
      </w:r>
      <w:r w:rsidRPr="00D03F3E">
        <w:rPr>
          <w:rFonts w:ascii="Times New Roman" w:hAnsi="Times New Roman"/>
          <w:color w:val="000000" w:themeColor="text1"/>
          <w:sz w:val="16"/>
          <w:szCs w:val="16"/>
        </w:rPr>
        <w:softHyphen/>
        <w:t>ных образцов танков ИС", согласно которому директорам ЧКЗ М.А. Длугачу, завода № 200 С.К. Щербакову и главному конструктору ЧКЗ Ж.Я. Котину предписывалось изготовить два опытных образца но</w:t>
      </w:r>
      <w:r w:rsidRPr="00D03F3E">
        <w:rPr>
          <w:rFonts w:ascii="Times New Roman" w:hAnsi="Times New Roman"/>
          <w:color w:val="000000" w:themeColor="text1"/>
          <w:sz w:val="16"/>
          <w:szCs w:val="16"/>
        </w:rPr>
        <w:softHyphen/>
        <w:t>вых тяжелых танков ИС. С целью сокращения сроков проектирования и производства новых тяжелых танков "ИС” ("Объект 233") и "ИС №2" ("Объект 234"), было решено в качестве исходных прототипов использовать две собиравшихся в то время на заводе № 100 машины второго варианта опытного танка КВ-13 (10703).</w:t>
      </w:r>
    </w:p>
    <w:p w14:paraId="04BEBF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C2B18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1943 г. вышло постановление ГКО и 25 февраля 1943 был издан для его реа</w:t>
      </w:r>
      <w:r w:rsidRPr="00D03F3E">
        <w:rPr>
          <w:rFonts w:ascii="Times New Roman" w:hAnsi="Times New Roman"/>
          <w:color w:val="000000" w:themeColor="text1"/>
          <w:sz w:val="16"/>
          <w:szCs w:val="16"/>
        </w:rPr>
        <w:softHyphen/>
        <w:t>лизации приказа наркома танковой промышленности И.М. Зальцмана "Об изготовлении опытных образцов танков ИС". Разработка танков ИС была начата на основании этого приказа, которым ди</w:t>
      </w:r>
      <w:r w:rsidRPr="00D03F3E">
        <w:rPr>
          <w:rFonts w:ascii="Times New Roman" w:hAnsi="Times New Roman"/>
          <w:color w:val="000000" w:themeColor="text1"/>
          <w:sz w:val="16"/>
          <w:szCs w:val="16"/>
        </w:rPr>
        <w:softHyphen/>
        <w:t>ректорам ЧКЗ М.А. Длугачу, завода № 200 С.К. Щербакову и главному конструктору ЧКЗ Ж.Я. Котину предписывалось построить два опыт</w:t>
      </w:r>
      <w:r w:rsidRPr="00D03F3E">
        <w:rPr>
          <w:rFonts w:ascii="Times New Roman" w:hAnsi="Times New Roman"/>
          <w:color w:val="000000" w:themeColor="text1"/>
          <w:sz w:val="16"/>
          <w:szCs w:val="16"/>
        </w:rPr>
        <w:softHyphen/>
        <w:t>ных образца танка ИС: один - со 122-мм гаубицей (У-11), другой - с 76,2-мм танковой пушкой (Ф-34). Танки необходимо было подать на предварительные полигонные испытания к 10 марта 1943 г. В постановлении ГКО были определены основные боевые и техни</w:t>
      </w:r>
      <w:r w:rsidRPr="00D03F3E">
        <w:rPr>
          <w:rFonts w:ascii="Times New Roman" w:hAnsi="Times New Roman"/>
          <w:color w:val="000000" w:themeColor="text1"/>
          <w:sz w:val="16"/>
          <w:szCs w:val="16"/>
        </w:rPr>
        <w:softHyphen/>
        <w:t>ческие характеристики машин, получивших обозначения ИС-1 и ИС-2. Боевая масса танка ИС-1, вооруженного 76,2-мм пушкой, не должна бы</w:t>
      </w:r>
      <w:r w:rsidRPr="00D03F3E">
        <w:rPr>
          <w:rFonts w:ascii="Times New Roman" w:hAnsi="Times New Roman"/>
          <w:color w:val="000000" w:themeColor="text1"/>
          <w:sz w:val="16"/>
          <w:szCs w:val="16"/>
        </w:rPr>
        <w:softHyphen/>
        <w:t>ла превышать 38,5 т, а танка ИС-2 — 39,5 т. Максимальная скорость обе</w:t>
      </w:r>
      <w:r w:rsidRPr="00D03F3E">
        <w:rPr>
          <w:rFonts w:ascii="Times New Roman" w:hAnsi="Times New Roman"/>
          <w:color w:val="000000" w:themeColor="text1"/>
          <w:sz w:val="16"/>
          <w:szCs w:val="16"/>
        </w:rPr>
        <w:softHyphen/>
        <w:t>их машин должна была быть не менее 55 км/ч. ТТТ на новые машины были разработаны представителями ГБТУ под руководством генерал-майора танковых войск Б.М. Коробкова и ге</w:t>
      </w:r>
      <w:r w:rsidRPr="00D03F3E">
        <w:rPr>
          <w:rFonts w:ascii="Times New Roman" w:hAnsi="Times New Roman"/>
          <w:color w:val="000000" w:themeColor="text1"/>
          <w:sz w:val="16"/>
          <w:szCs w:val="16"/>
        </w:rPr>
        <w:softHyphen/>
        <w:t>нерал-майора технической службы С.А. Афонина на основе результатов ОКР по созданию новых образцов танков, полученных в СКБ-2 ЧКЗ и на заводе № 100 НКТП. (10703).</w:t>
      </w:r>
    </w:p>
    <w:p w14:paraId="5C218EB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6BDF71" w14:textId="77777777" w:rsidR="00DB6725" w:rsidRPr="00D03F3E" w:rsidRDefault="00DB6725" w:rsidP="00D03F3E">
      <w:pPr>
        <w:autoSpaceDE w:val="0"/>
        <w:autoSpaceDN w:val="0"/>
        <w:adjustRightInd w:val="0"/>
        <w:spacing w:after="0" w:line="240" w:lineRule="auto"/>
        <w:jc w:val="both"/>
        <w:rPr>
          <w:rFonts w:ascii="Times New Roman" w:hAnsi="Times New Roman"/>
          <w:noProof/>
          <w:color w:val="000000" w:themeColor="text1"/>
          <w:sz w:val="16"/>
          <w:szCs w:val="16"/>
        </w:rPr>
      </w:pPr>
      <w:r w:rsidRPr="00D03F3E">
        <w:rPr>
          <w:rFonts w:ascii="Times New Roman" w:hAnsi="Times New Roman"/>
          <w:noProof/>
          <w:color w:val="000000" w:themeColor="text1"/>
          <w:sz w:val="16"/>
          <w:szCs w:val="16"/>
        </w:rPr>
        <w:t>24 февраля 1943 г. выходит постановление ГКО №2943сс, обязывающее ЧКЗ и завод №100 НКТП (новое название Опытного танкового завода) изготовить и предъя</w:t>
      </w:r>
      <w:r w:rsidRPr="00D03F3E">
        <w:rPr>
          <w:rFonts w:ascii="Times New Roman" w:hAnsi="Times New Roman"/>
          <w:noProof/>
          <w:color w:val="000000" w:themeColor="text1"/>
          <w:sz w:val="16"/>
          <w:szCs w:val="16"/>
        </w:rPr>
        <w:softHyphen/>
        <w:t>вить на госиспытания два опытных образца танка «Иосиф Сталин» (ИС).</w:t>
      </w:r>
    </w:p>
    <w:p w14:paraId="5B679BEF" w14:textId="77777777" w:rsidR="00DB6725" w:rsidRPr="00D03F3E" w:rsidRDefault="00DB6725" w:rsidP="00D03F3E">
      <w:pPr>
        <w:autoSpaceDE w:val="0"/>
        <w:autoSpaceDN w:val="0"/>
        <w:adjustRightInd w:val="0"/>
        <w:spacing w:after="0" w:line="240" w:lineRule="auto"/>
        <w:jc w:val="both"/>
        <w:rPr>
          <w:rFonts w:ascii="Times New Roman" w:hAnsi="Times New Roman"/>
          <w:noProof/>
          <w:color w:val="000000" w:themeColor="text1"/>
          <w:sz w:val="16"/>
          <w:szCs w:val="16"/>
        </w:rPr>
      </w:pPr>
      <w:r w:rsidRPr="00D03F3E">
        <w:rPr>
          <w:rFonts w:ascii="Times New Roman" w:hAnsi="Times New Roman"/>
          <w:noProof/>
          <w:color w:val="000000" w:themeColor="text1"/>
          <w:sz w:val="16"/>
          <w:szCs w:val="16"/>
        </w:rPr>
        <w:t xml:space="preserve">Исходными образцами для них послужили последние варианты </w:t>
      </w:r>
      <w:r w:rsidRPr="00D03F3E">
        <w:rPr>
          <w:rFonts w:ascii="Times New Roman" w:hAnsi="Times New Roman"/>
          <w:color w:val="000000" w:themeColor="text1"/>
          <w:sz w:val="16"/>
          <w:szCs w:val="16"/>
          <w:lang w:val="en-US"/>
        </w:rPr>
        <w:t>KB</w:t>
      </w:r>
      <w:r w:rsidRPr="00D03F3E">
        <w:rPr>
          <w:rFonts w:ascii="Times New Roman" w:hAnsi="Times New Roman"/>
          <w:noProof/>
          <w:color w:val="000000" w:themeColor="text1"/>
          <w:sz w:val="16"/>
          <w:szCs w:val="16"/>
        </w:rPr>
        <w:t>-13: «Объект 233» получил обозначение ИС-1, «Объект 234» - ИС-2. После оперативного проведения не</w:t>
      </w:r>
      <w:r w:rsidRPr="00D03F3E">
        <w:rPr>
          <w:rFonts w:ascii="Times New Roman" w:hAnsi="Times New Roman"/>
          <w:noProof/>
          <w:color w:val="000000" w:themeColor="text1"/>
          <w:sz w:val="16"/>
          <w:szCs w:val="16"/>
        </w:rPr>
        <w:softHyphen/>
        <w:t>которых дополнительных кон</w:t>
      </w:r>
      <w:r w:rsidRPr="00D03F3E">
        <w:rPr>
          <w:rFonts w:ascii="Times New Roman" w:hAnsi="Times New Roman"/>
          <w:noProof/>
          <w:color w:val="000000" w:themeColor="text1"/>
          <w:sz w:val="16"/>
          <w:szCs w:val="16"/>
        </w:rPr>
        <w:softHyphen/>
        <w:t>структивных мероприятий танки были направлены на го</w:t>
      </w:r>
      <w:r w:rsidRPr="00D03F3E">
        <w:rPr>
          <w:rFonts w:ascii="Times New Roman" w:hAnsi="Times New Roman"/>
          <w:noProof/>
          <w:color w:val="000000" w:themeColor="text1"/>
          <w:sz w:val="16"/>
          <w:szCs w:val="16"/>
        </w:rPr>
        <w:softHyphen/>
        <w:t>сиспытания, которые нача</w:t>
      </w:r>
      <w:r w:rsidRPr="00D03F3E">
        <w:rPr>
          <w:rFonts w:ascii="Times New Roman" w:hAnsi="Times New Roman"/>
          <w:noProof/>
          <w:color w:val="000000" w:themeColor="text1"/>
          <w:sz w:val="16"/>
          <w:szCs w:val="16"/>
        </w:rPr>
        <w:softHyphen/>
        <w:t>лись 22 марта 1943 г. и про</w:t>
      </w:r>
      <w:r w:rsidRPr="00D03F3E">
        <w:rPr>
          <w:rFonts w:ascii="Times New Roman" w:hAnsi="Times New Roman"/>
          <w:noProof/>
          <w:color w:val="000000" w:themeColor="text1"/>
          <w:sz w:val="16"/>
          <w:szCs w:val="16"/>
        </w:rPr>
        <w:softHyphen/>
        <w:t>должались около месяца. При меньшей массе танки ИС име</w:t>
      </w:r>
      <w:r w:rsidRPr="00D03F3E">
        <w:rPr>
          <w:rFonts w:ascii="Times New Roman" w:hAnsi="Times New Roman"/>
          <w:noProof/>
          <w:color w:val="000000" w:themeColor="text1"/>
          <w:sz w:val="16"/>
          <w:szCs w:val="16"/>
        </w:rPr>
        <w:softHyphen/>
        <w:t>ли преимущество перед тан</w:t>
      </w:r>
      <w:r w:rsidRPr="00D03F3E">
        <w:rPr>
          <w:rFonts w:ascii="Times New Roman" w:hAnsi="Times New Roman"/>
          <w:noProof/>
          <w:color w:val="000000" w:themeColor="text1"/>
          <w:sz w:val="16"/>
          <w:szCs w:val="16"/>
        </w:rPr>
        <w:softHyphen/>
        <w:t xml:space="preserve">ками </w:t>
      </w:r>
      <w:r w:rsidRPr="00D03F3E">
        <w:rPr>
          <w:rFonts w:ascii="Times New Roman" w:hAnsi="Times New Roman"/>
          <w:color w:val="000000" w:themeColor="text1"/>
          <w:sz w:val="16"/>
          <w:szCs w:val="16"/>
          <w:lang w:val="en-US"/>
        </w:rPr>
        <w:t>KB</w:t>
      </w:r>
      <w:r w:rsidRPr="00D03F3E">
        <w:rPr>
          <w:rFonts w:ascii="Times New Roman" w:hAnsi="Times New Roman"/>
          <w:noProof/>
          <w:color w:val="000000" w:themeColor="text1"/>
          <w:sz w:val="16"/>
          <w:szCs w:val="16"/>
        </w:rPr>
        <w:t>-1С по броневой за</w:t>
      </w:r>
      <w:r w:rsidRPr="00D03F3E">
        <w:rPr>
          <w:rFonts w:ascii="Times New Roman" w:hAnsi="Times New Roman"/>
          <w:noProof/>
          <w:color w:val="000000" w:themeColor="text1"/>
          <w:sz w:val="16"/>
          <w:szCs w:val="16"/>
        </w:rPr>
        <w:softHyphen/>
        <w:t>щите, были равноценны (а в варианте ИС-2 превосходили их) по мощно</w:t>
      </w:r>
      <w:r w:rsidRPr="00D03F3E">
        <w:rPr>
          <w:rFonts w:ascii="Times New Roman" w:hAnsi="Times New Roman"/>
          <w:noProof/>
          <w:color w:val="000000" w:themeColor="text1"/>
          <w:sz w:val="16"/>
          <w:szCs w:val="16"/>
        </w:rPr>
        <w:softHyphen/>
        <w:t>сти вооружения и обладали более высокой скоростью движения. В числе выявленных недостатков было отмечено слишком боль</w:t>
      </w:r>
      <w:r w:rsidRPr="00D03F3E">
        <w:rPr>
          <w:rFonts w:ascii="Times New Roman" w:hAnsi="Times New Roman"/>
          <w:noProof/>
          <w:color w:val="000000" w:themeColor="text1"/>
          <w:sz w:val="16"/>
          <w:szCs w:val="16"/>
        </w:rPr>
        <w:softHyphen/>
        <w:t>шое межкатковое расстояние, что приводи</w:t>
      </w:r>
      <w:r w:rsidRPr="00D03F3E">
        <w:rPr>
          <w:rFonts w:ascii="Times New Roman" w:hAnsi="Times New Roman"/>
          <w:noProof/>
          <w:color w:val="000000" w:themeColor="text1"/>
          <w:sz w:val="16"/>
          <w:szCs w:val="16"/>
        </w:rPr>
        <w:softHyphen/>
        <w:t>ло на мягких грунтах к прогибу ветвей гусе</w:t>
      </w:r>
      <w:r w:rsidRPr="00D03F3E">
        <w:rPr>
          <w:rFonts w:ascii="Times New Roman" w:hAnsi="Times New Roman"/>
          <w:noProof/>
          <w:color w:val="000000" w:themeColor="text1"/>
          <w:sz w:val="16"/>
          <w:szCs w:val="16"/>
        </w:rPr>
        <w:softHyphen/>
        <w:t>ниц между соседними катками и к увеличе</w:t>
      </w:r>
      <w:r w:rsidRPr="00D03F3E">
        <w:rPr>
          <w:rFonts w:ascii="Times New Roman" w:hAnsi="Times New Roman"/>
          <w:noProof/>
          <w:color w:val="000000" w:themeColor="text1"/>
          <w:sz w:val="16"/>
          <w:szCs w:val="16"/>
        </w:rPr>
        <w:softHyphen/>
        <w:t>нию сопротивления движению. Было реко</w:t>
      </w:r>
      <w:r w:rsidRPr="00D03F3E">
        <w:rPr>
          <w:rFonts w:ascii="Times New Roman" w:hAnsi="Times New Roman"/>
          <w:noProof/>
          <w:color w:val="000000" w:themeColor="text1"/>
          <w:sz w:val="16"/>
          <w:szCs w:val="16"/>
        </w:rPr>
        <w:softHyphen/>
        <w:t>мендовано увеличить число опорных катков.</w:t>
      </w:r>
    </w:p>
    <w:p w14:paraId="30D60E45" w14:textId="77777777" w:rsidR="00DB6725" w:rsidRPr="00D03F3E" w:rsidRDefault="00DB6725" w:rsidP="00D03F3E">
      <w:pPr>
        <w:autoSpaceDE w:val="0"/>
        <w:autoSpaceDN w:val="0"/>
        <w:adjustRightInd w:val="0"/>
        <w:spacing w:after="0" w:line="240" w:lineRule="auto"/>
        <w:jc w:val="both"/>
        <w:rPr>
          <w:rFonts w:ascii="Times New Roman" w:hAnsi="Times New Roman"/>
          <w:noProof/>
          <w:color w:val="000000" w:themeColor="text1"/>
          <w:sz w:val="16"/>
          <w:szCs w:val="16"/>
        </w:rPr>
      </w:pPr>
      <w:r w:rsidRPr="00D03F3E">
        <w:rPr>
          <w:rFonts w:ascii="Times New Roman" w:hAnsi="Times New Roman"/>
          <w:noProof/>
          <w:color w:val="000000" w:themeColor="text1"/>
          <w:sz w:val="16"/>
          <w:szCs w:val="16"/>
        </w:rPr>
        <w:t>Не ожидая завершения испытаний, на ЧКЗ, заводе №100 и на основных предприя</w:t>
      </w:r>
      <w:r w:rsidRPr="00D03F3E">
        <w:rPr>
          <w:rFonts w:ascii="Times New Roman" w:hAnsi="Times New Roman"/>
          <w:noProof/>
          <w:color w:val="000000" w:themeColor="text1"/>
          <w:sz w:val="16"/>
          <w:szCs w:val="16"/>
        </w:rPr>
        <w:softHyphen/>
        <w:t xml:space="preserve">тиях-смежниках (УЗТМ, завод </w:t>
      </w:r>
      <w:r w:rsidRPr="00D03F3E">
        <w:rPr>
          <w:rFonts w:ascii="Times New Roman" w:hAnsi="Times New Roman"/>
          <w:noProof/>
          <w:color w:val="000000" w:themeColor="text1"/>
          <w:sz w:val="16"/>
          <w:szCs w:val="16"/>
          <w:lang w:val="en-US"/>
        </w:rPr>
        <w:t>N</w:t>
      </w:r>
      <w:r w:rsidRPr="00D03F3E">
        <w:rPr>
          <w:rFonts w:ascii="Times New Roman" w:hAnsi="Times New Roman"/>
          <w:noProof/>
          <w:color w:val="000000" w:themeColor="text1"/>
          <w:sz w:val="16"/>
          <w:szCs w:val="16"/>
        </w:rPr>
        <w:t>9200) спеш</w:t>
      </w:r>
      <w:r w:rsidRPr="00D03F3E">
        <w:rPr>
          <w:rFonts w:ascii="Times New Roman" w:hAnsi="Times New Roman"/>
          <w:noProof/>
          <w:color w:val="000000" w:themeColor="text1"/>
          <w:sz w:val="16"/>
          <w:szCs w:val="16"/>
        </w:rPr>
        <w:softHyphen/>
        <w:t>но готовилось серийное производство тан</w:t>
      </w:r>
      <w:r w:rsidRPr="00D03F3E">
        <w:rPr>
          <w:rFonts w:ascii="Times New Roman" w:hAnsi="Times New Roman"/>
          <w:noProof/>
          <w:color w:val="000000" w:themeColor="text1"/>
          <w:sz w:val="16"/>
          <w:szCs w:val="16"/>
        </w:rPr>
        <w:softHyphen/>
        <w:t>ков ИС и комплектующих изделий к ним.</w:t>
      </w:r>
    </w:p>
    <w:p w14:paraId="1EEE3CD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noProof/>
          <w:color w:val="000000" w:themeColor="text1"/>
          <w:sz w:val="16"/>
          <w:szCs w:val="16"/>
        </w:rPr>
        <w:t>Но тут возникло обстоятельство, вызвав</w:t>
      </w:r>
      <w:r w:rsidRPr="00D03F3E">
        <w:rPr>
          <w:rFonts w:ascii="Times New Roman" w:hAnsi="Times New Roman"/>
          <w:noProof/>
          <w:color w:val="000000" w:themeColor="text1"/>
          <w:sz w:val="16"/>
          <w:szCs w:val="16"/>
        </w:rPr>
        <w:softHyphen/>
        <w:t>шее сомнение в правильности выбора ору</w:t>
      </w:r>
      <w:r w:rsidRPr="00D03F3E">
        <w:rPr>
          <w:rFonts w:ascii="Times New Roman" w:hAnsi="Times New Roman"/>
          <w:noProof/>
          <w:color w:val="000000" w:themeColor="text1"/>
          <w:sz w:val="16"/>
          <w:szCs w:val="16"/>
        </w:rPr>
        <w:softHyphen/>
        <w:t>жия для танков ИС. В начале апреля 1943 г. на НИИБТП в подмосковную Кубинку был доставлен трофейный образец «Тигра». По</w:t>
      </w:r>
      <w:r w:rsidRPr="00D03F3E">
        <w:rPr>
          <w:rFonts w:ascii="Times New Roman" w:hAnsi="Times New Roman"/>
          <w:noProof/>
          <w:color w:val="000000" w:themeColor="text1"/>
          <w:sz w:val="16"/>
          <w:szCs w:val="16"/>
        </w:rPr>
        <w:softHyphen/>
        <w:t>явилась возможность достоверно опреде</w:t>
      </w:r>
      <w:r w:rsidRPr="00D03F3E">
        <w:rPr>
          <w:rFonts w:ascii="Times New Roman" w:hAnsi="Times New Roman"/>
          <w:noProof/>
          <w:color w:val="000000" w:themeColor="text1"/>
          <w:sz w:val="16"/>
          <w:szCs w:val="16"/>
        </w:rPr>
        <w:softHyphen/>
        <w:t>лить его реальную броневую защиту. Поста- новлением ГКО от 15 апреля 1943 г. №3187сс Наркомату вооружения было по</w:t>
      </w:r>
      <w:r w:rsidRPr="00D03F3E">
        <w:rPr>
          <w:rFonts w:ascii="Times New Roman" w:hAnsi="Times New Roman"/>
          <w:noProof/>
          <w:color w:val="000000" w:themeColor="text1"/>
          <w:sz w:val="16"/>
          <w:szCs w:val="16"/>
        </w:rPr>
        <w:softHyphen/>
        <w:t>ручено создать мощные танковые пушки, способные эффективно бороться с новой бронетанковой техникой врага.</w:t>
      </w:r>
    </w:p>
    <w:p w14:paraId="34A1D549" w14:textId="77777777" w:rsidR="00DB6725" w:rsidRPr="00D03F3E" w:rsidRDefault="00DB6725" w:rsidP="00D03F3E">
      <w:pPr>
        <w:autoSpaceDE w:val="0"/>
        <w:autoSpaceDN w:val="0"/>
        <w:adjustRightInd w:val="0"/>
        <w:spacing w:after="0" w:line="240" w:lineRule="auto"/>
        <w:jc w:val="both"/>
        <w:rPr>
          <w:rFonts w:ascii="Times New Roman" w:hAnsi="Times New Roman"/>
          <w:noProof/>
          <w:color w:val="000000" w:themeColor="text1"/>
          <w:sz w:val="16"/>
          <w:szCs w:val="16"/>
        </w:rPr>
      </w:pPr>
      <w:r w:rsidRPr="00D03F3E">
        <w:rPr>
          <w:rFonts w:ascii="Times New Roman" w:hAnsi="Times New Roman"/>
          <w:noProof/>
          <w:color w:val="000000" w:themeColor="text1"/>
          <w:sz w:val="16"/>
          <w:szCs w:val="16"/>
        </w:rPr>
        <w:t>В Кубинку были направлены различные артсистемы для определения их сравнитель</w:t>
      </w:r>
      <w:r w:rsidRPr="00D03F3E">
        <w:rPr>
          <w:rFonts w:ascii="Times New Roman" w:hAnsi="Times New Roman"/>
          <w:noProof/>
          <w:color w:val="000000" w:themeColor="text1"/>
          <w:sz w:val="16"/>
          <w:szCs w:val="16"/>
        </w:rPr>
        <w:softHyphen/>
        <w:t>ной эффективности при реальном обстреле трофейного танка. Проведенными в конце апреля стрельбами было установлено, что наиболее эффективно поражает броню «Тиг</w:t>
      </w:r>
      <w:r w:rsidRPr="00D03F3E">
        <w:rPr>
          <w:rFonts w:ascii="Times New Roman" w:hAnsi="Times New Roman"/>
          <w:noProof/>
          <w:color w:val="000000" w:themeColor="text1"/>
          <w:sz w:val="16"/>
          <w:szCs w:val="16"/>
        </w:rPr>
        <w:softHyphen/>
        <w:t>ра» 85-мм зенитная пушка52-Кобр. 1939 г., которая с дистанции до 1000 м уверенно пробивает его 100-мм лобовую броню</w:t>
      </w:r>
      <w:r w:rsidRPr="00D03F3E">
        <w:rPr>
          <w:rFonts w:ascii="Times New Roman" w:hAnsi="Times New Roman"/>
          <w:color w:val="000000" w:themeColor="text1"/>
          <w:sz w:val="16"/>
          <w:szCs w:val="16"/>
        </w:rPr>
        <w:t xml:space="preserve"> (11897)</w:t>
      </w:r>
      <w:r w:rsidRPr="00D03F3E">
        <w:rPr>
          <w:rFonts w:ascii="Times New Roman" w:hAnsi="Times New Roman"/>
          <w:noProof/>
          <w:color w:val="000000" w:themeColor="text1"/>
          <w:sz w:val="16"/>
          <w:szCs w:val="16"/>
        </w:rPr>
        <w:t>.</w:t>
      </w:r>
    </w:p>
    <w:p w14:paraId="3F8013A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2F7FE2F6" w14:textId="77777777" w:rsidR="00AC5101" w:rsidRPr="00D03F3E" w:rsidRDefault="00AC5101" w:rsidP="00D03F3E">
      <w:pPr>
        <w:pStyle w:val="a3"/>
        <w:rPr>
          <w:color w:val="000000" w:themeColor="text1"/>
          <w:lang w:val="ru-RU"/>
        </w:rPr>
      </w:pPr>
      <w:r w:rsidRPr="00D03F3E">
        <w:rPr>
          <w:color w:val="000000" w:themeColor="text1"/>
          <w:lang w:val="ru-RU"/>
        </w:rPr>
        <w:t>24 февраля 1943 г. ГКО принял поста</w:t>
      </w:r>
      <w:r w:rsidRPr="00D03F3E">
        <w:rPr>
          <w:color w:val="000000" w:themeColor="text1"/>
          <w:lang w:val="ru-RU"/>
        </w:rPr>
        <w:softHyphen/>
        <w:t>новление об изготовлении двух опытных образцов танков ИС. Таким образом, наимено</w:t>
      </w:r>
      <w:r w:rsidRPr="00D03F3E">
        <w:rPr>
          <w:color w:val="000000" w:themeColor="text1"/>
          <w:lang w:val="ru-RU"/>
        </w:rPr>
        <w:softHyphen/>
        <w:t>вание «ИС» было узаконено. Предусматрива</w:t>
      </w:r>
      <w:r w:rsidRPr="00D03F3E">
        <w:rPr>
          <w:color w:val="000000" w:themeColor="text1"/>
          <w:lang w:val="ru-RU"/>
        </w:rPr>
        <w:softHyphen/>
        <w:t>лось, что будет использован конструктивный и производственный задел, созданный на Опытном заводе №100 при разработке танков «Объект 233» и «Объект 234». В постановлении определялись пределы массы танков ИС-1 (38,5 т) и ИС-2 (39,5 т). Максимальная скорость была задана не менее 55 км/ч. Толщина лобо</w:t>
      </w:r>
      <w:r w:rsidRPr="00D03F3E">
        <w:rPr>
          <w:color w:val="000000" w:themeColor="text1"/>
          <w:lang w:val="ru-RU"/>
        </w:rPr>
        <w:softHyphen/>
        <w:t>вой брони — 120 мм, бортовой — 90 мм (12617).</w:t>
      </w:r>
    </w:p>
    <w:p w14:paraId="5832CEA8" w14:textId="77777777" w:rsidR="00AC5101" w:rsidRPr="00D03F3E" w:rsidRDefault="00AC5101" w:rsidP="00D03F3E">
      <w:pPr>
        <w:pStyle w:val="a3"/>
        <w:rPr>
          <w:color w:val="000000" w:themeColor="text1"/>
          <w:lang w:val="ru-RU"/>
        </w:rPr>
      </w:pPr>
    </w:p>
    <w:p w14:paraId="302EF45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1943 года было принято постановление ГКО № 2943 о создании опытного образца нового тяжелого танка, получившего имя «Иосиф Сталин» (ИС) (РГАСПИ. Ф. 644. Оп. 1. Д. 91. Л. 171-172). Чтобы добиться одобрения сверху, И. М. Зальцман заручился поддержкой проекта со стороны первого секретаря Челябинского обкома партии Н. С. Патоличева, с которым он находился в хороших отношениях (Патоличев Н. С. Испытание на зрелость. С. 258-259). За день до принятия постановления Зальцман лично вручил И. В. Сталину и В. М. Молотову письма с просьбой разрешить изготовить опытные образцы новых танков, провести их войсковые испытания и начать их производство на Кировском заводе. Зальцман обосновывал необходимость в новых танках так: «В ходе отечественной войны на вооружении немецкой армии появилась новая противотанковая артиллерия, способная на дистанциях до 1000 метров свободно пробивать броню танков Т-34 и даже КВ. Конструкторами Кировского завода разработана конструкция нового танка с улучшенной бронезащитой, способной противостоять немецкой противотанковой артиллерии» (РГАЭ. Ф. 8752. Оп. 4. Д. 276. С. 99).</w:t>
      </w:r>
    </w:p>
    <w:p w14:paraId="145FE035"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основу предполагалось взять проект КВ-13, конструкцию которого следовало усовершенствовать с учётом предыдущих неудачных испытаний. Особое внимание было уделено совершенствованию бронезащиты. Толщину листов брони корпуса нового танка разрабатывала макетная комиссия во главе с Ж. Я. Котиным. Танк предполагалось выпускать в двух вариантах - с 76-мм пушкой или же со 122-мм гаубицей.</w:t>
      </w:r>
    </w:p>
    <w:p w14:paraId="3D2912B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И. М. Зальцман был уверен, что после того, как танк избавится от несчастливой цифры 13 в названии, работа над ним пойдёт на лад. Его оптимизм оправдался: новые танки были изготовлены удивительно быстро и с 22 марта начались испытания. В целом они прошли для танка успешно, за исключением одного важного эпизода. Танк ИС со 122-мм гаубицей должен был обстрелять трофейный «Тигр» кумулятивными снарядами. Эти снаряды имели хорошую бронепробиваемость и были способны пробить броню любого немецкого тяжелого танка. Если бы испытания удались, то этот вариант ИС стал бы эффективным средством борьбы с немецкими </w:t>
      </w:r>
      <w:r w:rsidRPr="00D03F3E">
        <w:rPr>
          <w:rFonts w:ascii="Times New Roman" w:hAnsi="Times New Roman"/>
          <w:color w:val="000000" w:themeColor="text1"/>
          <w:sz w:val="16"/>
          <w:szCs w:val="16"/>
        </w:rPr>
        <w:lastRenderedPageBreak/>
        <w:t>танками, в том числе тяжелыми. Но из 15 выстрелов с дистанции 400-600 метров в цель не попал ни один (Свирин М. Стальной кулак Сталина. История советского танка 1943-1955. С. 69). Точность новой танковой пушки оказалась недопустимо низкой. Предстояло искать новые пути решения проблемы поражения новой немецкой бронетехникой, основанные на использовании пушек с более мощной дульной энергией, пробивающих броню традиционными типами бронебойных снарядов (12290).</w:t>
      </w:r>
    </w:p>
    <w:p w14:paraId="6BC0D36B"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5F7BAC40" w14:textId="77777777" w:rsidR="001918D7" w:rsidRPr="00D03F3E"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24 февраля 1944 было подписано постановление ГКО №2943 «Об изготовлении опытных образцов танков “ИС”». Более индекс КВ-13 не использовался.</w:t>
      </w:r>
    </w:p>
    <w:p w14:paraId="268C012C" w14:textId="77777777" w:rsidR="001918D7" w:rsidRPr="00D03F3E"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После подписания постановления ГКО № 2943 работы по ИС перешли в иную фазу. На следующий день Зальцман подписал приказ по НКТП № 104сс. Согласно ему, УЗТМ обязали к 27 февраля подать корпуса, а монтаж танка заканчивался к 8 марта. Больше того, директорам ЧКЗ и завода № 200 Зальцман дал указание готовиться к серийному производству ИС. Сборка ИС-1 (так стали официально называть КВ-13 второго варианта) закончилась, как и требовало постановление ГКО, 8 марта, тогда же состоялись стационарные испытания. Боевая масса танка оказалась ниже расчётной: по результатам взвешивания выяснилось, что полная боевая масса составила не 38,5 тонн, а 37,1. В целом танк соответствовал документации, которую разработали ещё в начале декабря 1942 года. Изменения коснулись КПП, командирской башенки и ряда других элементов (17688).</w:t>
      </w:r>
    </w:p>
    <w:p w14:paraId="6415BA5E" w14:textId="77777777" w:rsidR="001918D7" w:rsidRPr="00D03F3E" w:rsidRDefault="001918D7" w:rsidP="00D03F3E">
      <w:pPr>
        <w:spacing w:after="0" w:line="240" w:lineRule="auto"/>
        <w:jc w:val="both"/>
        <w:rPr>
          <w:rFonts w:ascii="Times New Roman" w:hAnsi="Times New Roman"/>
          <w:color w:val="000000" w:themeColor="text1"/>
          <w:sz w:val="16"/>
          <w:szCs w:val="16"/>
        </w:rPr>
      </w:pPr>
    </w:p>
    <w:p w14:paraId="309B89A2" w14:textId="77777777" w:rsidR="001918D7" w:rsidRPr="00D03F3E"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24 февраля 1943 года на техническом совещании, которое прошло в Свердловске состоялось рассмотрение проектов Д-11 и модернизированной СУ-35. В конструкции САУ использовались некоторые наработки, которые были позаимствованы у САУ СГ-2. В частности, это касается размещения боеукладки. За счет расширения боевого отделения удалось решить целую массу проблем. Вместо люка-половинки, годившегося исключительно для наблюдения, появилась возможность установить полноценный люк от Т-34. Также увеличение внутреннего объема позволило гораздо комфортнее разместить расчет в боевом отделении. Еще одним плюсом модернизации стало то, что центр тяжести САУ сместился назад на 300 мм, что позволило снизить нагрузку на передние опорные катки.</w:t>
      </w:r>
    </w:p>
    <w:p w14:paraId="59FBCB64" w14:textId="77777777" w:rsidR="001918D7" w:rsidRPr="00D03F3E"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целом конструкцию переработанной СУ-35 признали успешной. То же самое касалось и орудия Д-11. За счет различных переделок масса системы вместе с бронировкой оказалась ниже массы М-30 на 100–120 килограмм. Не менее существенным фактом было и то, что система занимала гораздо меньше места. Значительно проще оказалась и ее установка: отсутствие тумбы позволило создать систему, которая крепилась прямо на верхнем лобовом листе. С точки зрения удобства монтажа и демонтажа это решение стало большим шагом вперед. В переписке Д-11 нередко называли У-11, хотя эти системы отличались.</w:t>
      </w:r>
    </w:p>
    <w:p w14:paraId="2BB6965E" w14:textId="77777777" w:rsidR="001918D7" w:rsidRPr="00D03F3E"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Предполагалось, что боевая масса У-35М будет составлять 31 тонну. Рост массы произошел в связи с увеличением объема боевого отделения.</w:t>
      </w:r>
    </w:p>
    <w:p w14:paraId="16B3623A" w14:textId="77777777" w:rsidR="001918D7" w:rsidRPr="00D03F3E"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Опытный образец системы Д-11 предполагалось построить к 1 апреля, а опытный образец самой САУ, получивший индекс У-35М, ожидался к 10 апреля. На практике выдержать сроки смогли только на заводе №9. Опытный образец Д-11 был готов к 28 марта, после чего прошел испытания в объеме 26 выстрелов на заводском полигоне.</w:t>
      </w:r>
    </w:p>
    <w:p w14:paraId="7ACC08E2" w14:textId="77777777" w:rsidR="001918D7" w:rsidRPr="00D03F3E"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Что же касается У-35М, то по ней работа затянулась. К слову, после того, как 3 апреля СУ-35 переименовали в СУ-122, сменился индекс и у У-35М. Теперь ее стали обозначать как СУ-122М.</w:t>
      </w:r>
    </w:p>
    <w:p w14:paraId="007DC0B0" w14:textId="77777777" w:rsidR="001918D7" w:rsidRPr="00D03F3E"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Из-за массы производственных проблем, связанных с СУ-122, Уральскому заводу тяжелого машиностроения было не до изготовления опытного образца. Лишь к 3 апреля удалось подготовить заводскую документацию, а к 10 числу – технические условия и описание машины. Что же касается изготовления ее в металле, то оно откладывалось. За апрель 1943 года удалось сдать всего 75 СУ-122 вместо 100, завод боролся с целым рядом дефектов. На этом фоне неудивительно, что срок изготовления был перенесен сначала на 20, а затем на 25 апреля. Закончить опытный образец СУ-122М удалось только в самом конце апреля, а первые заводские испытания были проведены 17 мая. В их ходе машина прошла 100 километров и произвела 50 выстрелов.</w:t>
      </w:r>
    </w:p>
    <w:p w14:paraId="7355D9B4" w14:textId="77777777" w:rsidR="001918D7" w:rsidRPr="00D03F3E"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Участвовавший в испытаниях Соломонов указал не только на достоинства, но и на недостатки машины. Для начала, боевая масса САУ выросла еще больше и составила 31,5 тонну. Обзорность была признана недостаточной. Нашлись минусы и у системы Д-11. На углах возвышения 5 градусов и выше поршневой затвор орудия ложился на колени командира. Не очень удачной получилась и конструкция неподвижной бронировки (17689).</w:t>
      </w:r>
    </w:p>
    <w:p w14:paraId="3F8DD051" w14:textId="77777777" w:rsidR="001918D7" w:rsidRPr="00D03F3E"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E7D9775" w14:textId="77777777" w:rsidR="001918D7" w:rsidRPr="00D03F3E"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24 февраля 1943 года в адрес Сталина пришло письмо, открывавшееся следующими словами:</w:t>
      </w:r>
    </w:p>
    <w:p w14:paraId="732829C9" w14:textId="77777777" w:rsidR="001918D7" w:rsidRPr="00D03F3E"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«Выполняя свой долг перед Советской Родиной в период ожесточенной и героической борьбы советского народа с немецко-фашистскими захватчиками за свою честь, свободу независимость, мы разработали в виде эскизного проекта новый тип боевой машины.</w:t>
      </w:r>
    </w:p>
    <w:p w14:paraId="66D7EC65" w14:textId="77777777" w:rsidR="001918D7" w:rsidRPr="00D03F3E"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При разработке нового типа боевой машины мы руководствовались тем, что для Красной Армии необходимы боевые машины, обладающие:</w:t>
      </w:r>
    </w:p>
    <w:p w14:paraId="0494B995" w14:textId="77777777" w:rsidR="001918D7" w:rsidRPr="00D03F3E"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1) Высокой скоростью машины;</w:t>
      </w:r>
    </w:p>
    <w:p w14:paraId="58A04944" w14:textId="77777777" w:rsidR="001918D7" w:rsidRPr="00D03F3E"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2) Малой уязвимостью в смысле поражения;</w:t>
      </w:r>
    </w:p>
    <w:p w14:paraId="1827A221" w14:textId="77777777" w:rsidR="001918D7" w:rsidRPr="00D03F3E"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3) Большим радиусом действия;</w:t>
      </w:r>
    </w:p>
    <w:p w14:paraId="43837918" w14:textId="77777777" w:rsidR="001918D7" w:rsidRPr="00D03F3E"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4) Внезапностью нападения на врага».</w:t>
      </w:r>
    </w:p>
    <w:p w14:paraId="25C974E6" w14:textId="77777777" w:rsidR="001918D7" w:rsidRPr="00D03F3E"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Авторами предложения являлись инженеры Ф. Ф. Городков и А. И. Стародубцев из Челябинска.</w:t>
      </w:r>
    </w:p>
    <w:p w14:paraId="3C96539A" w14:textId="77777777" w:rsidR="001918D7" w:rsidRPr="00D03F3E"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Трудились они на весьма примечательном заводе №200. Это предприятие, выделенное в 1941 году из завода №78 (ныне ООО «Станкомаш»), специализировалось на выпуске корпусов и башен для танков КВ, которыми обеспечивало Челябинский тракторный завод (ЧТЗ). КБ завода №200 плотно сотрудничало с конструкторским коллективом ЧТЗ, куда попало немало инженеров, ранее трудившихся на Кировском заводе в Ленинграде. Кроме того, завод №200 исполнял заказы КБ опытного завода №100.</w:t>
      </w:r>
    </w:p>
    <w:p w14:paraId="6E120FB0" w14:textId="77777777" w:rsidR="001918D7" w:rsidRPr="00D03F3E"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Проект МТ-25 был рассмотрен, но никаких заключений по нему так и не было сделано. С одной стороны, колёсная схема выглядела слишком смелой, да и выпускать подобную машину было попросту негде. С другой стороны, проработка проекта оказалась на довольно высоком уровне и явно выбивалась из ряда прочих присылавшихся изобретений, как правило, носивших концептуальный характер. По этой причине МТ-25 и «завис» в основной описи ГАБТУ КА, являясь одновременно и малореальной, и любопытной с технической точки зрения разработкой (17661).</w:t>
      </w:r>
    </w:p>
    <w:p w14:paraId="45F0BD7C" w14:textId="77777777" w:rsidR="001918D7" w:rsidRPr="00D03F3E" w:rsidRDefault="001918D7" w:rsidP="00D03F3E">
      <w:pPr>
        <w:spacing w:after="0" w:line="240" w:lineRule="auto"/>
        <w:jc w:val="both"/>
        <w:rPr>
          <w:rFonts w:ascii="Times New Roman" w:hAnsi="Times New Roman"/>
          <w:color w:val="000000" w:themeColor="text1"/>
          <w:sz w:val="16"/>
          <w:szCs w:val="16"/>
        </w:rPr>
      </w:pPr>
    </w:p>
    <w:p w14:paraId="3FA2234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1943 вышло Постановление ГКО № 2937 Об организации производства радиостанций типа "Марс". (7083, 151-153,154-157).</w:t>
      </w:r>
    </w:p>
    <w:p w14:paraId="4A301D7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E7C47C" w14:textId="77777777" w:rsidR="00AC5101" w:rsidRPr="00D03F3E" w:rsidRDefault="00AC5101" w:rsidP="00D03F3E">
      <w:pPr>
        <w:pStyle w:val="ae"/>
        <w:shd w:val="clear" w:color="auto" w:fill="FFFFFF"/>
        <w:spacing w:before="0" w:after="0"/>
        <w:jc w:val="both"/>
        <w:rPr>
          <w:bCs/>
          <w:color w:val="000000" w:themeColor="text1"/>
          <w:sz w:val="16"/>
          <w:szCs w:val="16"/>
        </w:rPr>
      </w:pPr>
      <w:r w:rsidRPr="00D03F3E">
        <w:rPr>
          <w:bCs/>
          <w:color w:val="000000" w:themeColor="text1"/>
          <w:sz w:val="16"/>
          <w:szCs w:val="16"/>
        </w:rPr>
        <w:t xml:space="preserve">24 февраля 1943 года делегация Ярославской области в торжественной обстановке передала морякам Северного флота подводную лодку, построенную на средства комсомольцев области. </w:t>
      </w:r>
      <w:r w:rsidRPr="00D03F3E">
        <w:rPr>
          <w:color w:val="000000" w:themeColor="text1"/>
          <w:sz w:val="16"/>
          <w:szCs w:val="16"/>
        </w:rPr>
        <w:t>8 мая 1943 «М-104» пошла в свой второй поход и попала в беду. Вот что пишет об этом в своей книге «Подводные рейды» флагмех бригады подводных лодок Северного Флота капитан I ранга П. А. Мирошниченко. Субмарина попала под массированную бомбежку немецкой авиации. Получила повреждения, казалось бы, несовместимые с живучестью корабля, но осталась на плаву и пришла на базу. «… Трещина в прочном корпусе метр с лишним длиной, — пишет флагмех Мирошниченко, — и в комплекте с ней одна или две пробоины от авиационных снарядов. По всему видно, две-три бомбы разорвались рядом с «Малюткой». Сила гидравлического удара была такова, что — это я видел впервые — поломались чугунные лапы, на которых в лодке намертво крепился корпус помпы — компрессора, образовалась трещина во фланцах крепления дизеля. Все перекосило, заклинило, сорвало…… Изумлению моему не было предела, когда в первом отсеке я обнаружил в целости и сохранности двадцатилитровую бутыль со спиртом в плетенке, привязанную к трубопроводу по правому борту! Объяснить этот факт известными мне законами физики я не в состоянии. Я смотрел на эту двухведерную стеклянную емкость, как на восьмое чудо света. Бутыль сохранилась словно для того, чтобы озадачить каждого, кто попадал в отсек…. Трудное испытание ярославской «Малютки» подробно изучили на других лодках и «проиграли» на учениях по борьбе за живучесть. Опыт «Ярославского комсомольца» еще раз подтвердил боевую стойкость подводников и надежность небольшого, но добротно построенного корабля.</w:t>
      </w:r>
      <w:r w:rsidRPr="00D03F3E">
        <w:rPr>
          <w:bCs/>
          <w:color w:val="000000" w:themeColor="text1"/>
          <w:sz w:val="16"/>
          <w:szCs w:val="16"/>
        </w:rPr>
        <w:t xml:space="preserve"> (12190).</w:t>
      </w:r>
    </w:p>
    <w:p w14:paraId="0069A9DC" w14:textId="77777777" w:rsidR="00AC5101" w:rsidRPr="00D03F3E" w:rsidRDefault="00AC5101" w:rsidP="00D03F3E">
      <w:pPr>
        <w:pStyle w:val="ae"/>
        <w:shd w:val="clear" w:color="auto" w:fill="FFFFFF"/>
        <w:spacing w:before="0" w:after="0"/>
        <w:jc w:val="both"/>
        <w:rPr>
          <w:color w:val="000000" w:themeColor="text1"/>
          <w:sz w:val="16"/>
          <w:szCs w:val="16"/>
        </w:rPr>
      </w:pPr>
    </w:p>
    <w:p w14:paraId="70A6041B" w14:textId="77777777" w:rsidR="00BF27CC"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2BF87FF0" w14:textId="77777777" w:rsidR="00BF27CC" w:rsidRPr="00D03F3E" w:rsidRDefault="00BF27CC"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50F346"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24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7791C381"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24 февраля наши войска вели наступательные бои на прежних направлениях.</w:t>
      </w:r>
    </w:p>
    <w:p w14:paraId="2E062E77"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войска вели наступательные бои. Бойцы Н-ской части переправились через водный рубеж, заняли ряд выгодных высот и уничтожили до роты немецкой пехоты. Стремясь задержать продвижение наших войск, немцы вводят в бой крупные силы авиации. Советские истребители и зенитчики прикрывают наземные войска и уничтожают вражеские самолёты. В воздушных боях и на аэродромах в течение вчерашнего дня уничтожено 36 немецких самолётов.</w:t>
      </w:r>
    </w:p>
    <w:p w14:paraId="3E3155C9"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наши части, продвигаясь вперёд, заняли несколько населённых пунктов. Группа советских танкистов уничтожила 6 немецких орудий, 10 автомашин и истребила свыше 200 гитлеровцев.</w:t>
      </w:r>
    </w:p>
    <w:p w14:paraId="05B4CF99"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Красноармейского на позиции Н-ской части немцы бросили в контратаку 30 танков. Наши артиллеристы открыли огонь и прямой наводкой уничтожили 7 вражеских танков. Кроме того, 4 немецких танка подбили бронебойщики. Оставив наполе боя 11 подбитых и сожжённых танков, гитлеровцы поспешно отступили на исходные позиции.</w:t>
      </w:r>
    </w:p>
    <w:p w14:paraId="048CD051"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Украине наши войска, овладев городом Лебедин, продвигались вперёд. Советские танкисты и моторизованная пехота в бою за один населённый пункт истребили до 300 гитлеровцев. Захвачены трофеи, в том числе 8 противотанковых орудий, 37 автомашин, большой склад боеприпасов и склад с вооружением. На другом участке наши бойцы стремительной атакой заняли сильно укреплённый опорный пункт противника.</w:t>
      </w:r>
    </w:p>
    <w:p w14:paraId="29205B97"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Севернее Курска наши войска взломали укреплённую полосу немецкой обороны, переправились через водный рубеж и овладели рядом населённых пунктов. Уничтожено до 600 немецких солдат и офицеров. Взяты пленные и трофеи. На другом участке наши бойцы истребили 9 и 10 роты 462 немецкого полка и специальный отряд унтер-офицеров, в котором насчитывалось 90 человек.</w:t>
      </w:r>
    </w:p>
    <w:p w14:paraId="5966711E"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одним из районов Ровенской области, разгромили имение новоиспечённого помещика, прибывшего из Германии. Сожжены хозяйственные постройки, сельскохозяйственный инвентарь и склады с хлебом. На следующий день партизаны пустили под откос железнодорожный эшелон противника. В результате крушения и завязавшейся перестрелки с железнодорожной охраной истреблено до 100 немецких солдат и офицеров.</w:t>
      </w:r>
    </w:p>
    <w:p w14:paraId="4A0E6DC1"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Жители освобождённого ныне села Тиминова, Ворошиловградской области, составили акт о насильственной отправке немецко-фашистскими оккупантами советских граждан в Германию. В акте говорится: «В сентябре и октябре 1942 года немецко-фашистские мерзавцы насильно угнали на каторгу в Германию 95 колхозников и колхозниц нашего села. Гитлеровцы подвергли мужчин и женщин унизительному медицинскому осмотру. Всех, кого немецкие рабовладельцы признали годными, они гнали пешком 60 километров на распределительный пункт. Бандиты разлучали матерей с детьми. На станции гитлеровцы втолкнули измученных, подавленных горем людей в товарные вагоны, заперли их и увезли на каторжные работы в Германию.</w:t>
      </w:r>
    </w:p>
    <w:p w14:paraId="2695677F"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Мы никогда не забудем преступления, совершённые немецко-фашистскими захватчиками. Все свои силы и средства мы отдадим на укрепление Красной Армии. Вместе с ней мы будем уничтожать гитлеровцев, чтобы как можно скорее вызволить из фашистской неволи всех советских людей».</w:t>
      </w:r>
    </w:p>
    <w:p w14:paraId="4CB03992"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Югославии продолжаются ожесточённые бои между партизанами и немецко-итальянскими войсками. Отражая атаки оккупантов, партизаны в последних боях уничтожили 9 танков, истребили свыше тысячи немецких и итальянских солдат и офицеров. Патриоты захватили трофеи, в том числе 3 исправных танка. В боях у города Горни Лапац партизаны истребили роту итальянской пехоты, уничтожили танки 4 грузовых автомашины с боеприпасами. Захвачено 4 миномёта, 8 пулемётов, 100 винтовок в 30 тысяч патронов.» (15050).</w:t>
      </w:r>
    </w:p>
    <w:p w14:paraId="1F9D65FD" w14:textId="77777777" w:rsidR="00BF27CC" w:rsidRPr="00D03F3E" w:rsidRDefault="00BF27CC" w:rsidP="00D03F3E">
      <w:pPr>
        <w:spacing w:after="0" w:line="240" w:lineRule="auto"/>
        <w:jc w:val="both"/>
        <w:rPr>
          <w:rFonts w:ascii="Times New Roman" w:hAnsi="Times New Roman"/>
          <w:color w:val="000000" w:themeColor="text1"/>
          <w:sz w:val="16"/>
          <w:szCs w:val="16"/>
        </w:rPr>
      </w:pPr>
    </w:p>
    <w:p w14:paraId="745E6D7A"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24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659AE7F7"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наши войска вели наступательные бои на прежних направлениях.</w:t>
      </w:r>
    </w:p>
    <w:p w14:paraId="02C1D84F"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февраля частями нашей авиации на различных участках фронта уничтожено или повреждено 5 немецких танков, до 150 автомашин с войсками и грузами, взорвано 2 склада боеприпасов, подавлен огонь 20 артиллерийских и 8 миномётных батарей противника.</w:t>
      </w:r>
    </w:p>
    <w:p w14:paraId="6193FF8D"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войска продолжали вести наступательные бои и вклинились в оборону противника. Немцы подтянули мотопехоту и танки и при поддержке авиации предприняли ожесточённые контратаки. Все контратаки противника отбиты с большими для него потерями. Уничтожено свыше 600 вражеских солдат и офицеров. Захвачены трофеи, среди которых много винтовок и автоматов.</w:t>
      </w:r>
    </w:p>
    <w:p w14:paraId="05BFAE8D"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Краматорской наши части отражали контратаки противника. На одном участке немецким танкам удалось вклиниться в боевые порядки советских подразделений. Наши бойцы пулемётным огнем отсекли от танков следовавшую за ними немецкую пехоту и прижали её к земле. В это время артиллеристы и бронебойщики уничтожили 13 немецких танков.</w:t>
      </w:r>
    </w:p>
    <w:p w14:paraId="2598180A"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Харькова бойцы Н-ской части в результате упорного боя заняли крупный населённый пункт, на улицах которого подсчитано свыше 200 вражеских трупов. Захвачены 6 орудий, склад с зерном и много боеприпасов.</w:t>
      </w:r>
    </w:p>
    <w:p w14:paraId="56DEEFAE"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Малоархангельска в бою за один крупный населённый пункт Н-ская часть уничтожила до 200 гитлеровцев. На другом участке наши войска, продвигаясь вперёд, захватили трофеи, в том числе 3 немецких танка.</w:t>
      </w:r>
    </w:p>
    <w:p w14:paraId="419DBAF4"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Краснодара наши войска, продолжая наступление, заняли несколько населённых пунктов. На одном участке советские бойцы отрезали два батальона немецкой пехоты. Окружив немцев плотным кольцом, наши подразделения ведут бои на уничтожение гитлеровцев, отказавшихся сложить оружие. На другом участке танки подразделения, где командиром тов. Кислицын, выйдя в тыл противнику, уничтожили до двух рот немецкой пехоты.</w:t>
      </w:r>
    </w:p>
    <w:p w14:paraId="5B1A0D30"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февраля месяца немцы направили против группы партизанских отрядов, действующих в Белоруссии, крупную карательную экспедицию. Партизаны отбили первую атаку гитлеровцев. Каратели понесли большие потери и к исходу дня отступили. Ночью партизаны, бесшумно сняв часовых, ворвались в деревню, где расположились гитлеровцы. В ожесточённой схватке советские патриоты истребили свыше 100 немецких солдат и офицеров.</w:t>
      </w:r>
    </w:p>
    <w:p w14:paraId="1178CF85"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Карательный отряд немцев, оправившись от неожиданного удара, начал преследовать партизан. Группа советских патриотов отступила в лес и заманил агитлеровцев на заранее расставленные засады. Попавшие в ловушку каратели были уничтожены.</w:t>
      </w:r>
    </w:p>
    <w:p w14:paraId="62BDD610"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 Верховного Главнокомандующего товарища Сталина о 25-й годовщинеКрасной Армии вызвал огромный патриотический подъём в нашей стране. На многолюдных собраниях и митингах трудящиеся единодушно заявляют: приказ товарищаСталина вдохновляет нас на новые подвиги во славу Родины и советского оружия. Красная Армия и впредь будет получать всё необходимое. Мы сделаем всё для того,чтобы помочь доблестной Красной Армии ускорить изгнание врага из пределов нашей Родины.</w:t>
      </w:r>
    </w:p>
    <w:p w14:paraId="27CA1F39"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заводе, где директором тов. Миронов, на митинге с речью выступил фрезеровщик тов. Громов, проработавший на этом заводе 35 лет. В своем выступлении он сказал: «Прочитав приказ товарища Сталина, мы, старые рабочие города Ленина, почувствовали новый прилив бодрости и сил. Успехи Красной Армии наполняют наши сердца радостью, гордостью и неукротимым желанием окончательно сломить и уничтожить ненавистного врага». На митинге рабочих Н-ского ленинградского завода принято обязательство выпустить к Первому мая сверх плана большое количество оборонной продукции.</w:t>
      </w:r>
    </w:p>
    <w:p w14:paraId="101C8768"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Пензе на митинге рабочих завода, где директором тов. Павлов, выступила работница тов. Ситникова. «На призыв товарища Сталина, — говорит тов. Ситникова,— мы ответим новыми стахановскими делами. Я пришла на завод полгода тому назад, на смену мужу, ушедшему на фронт. Обязуюсь довести ежедневную выработку до 200—250 процентов». После митинга многие работницы перевыполнили свои сменные нормы.</w:t>
      </w:r>
    </w:p>
    <w:p w14:paraId="31834F03"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собрании колхозников сельскохозяйственной артели «Интымак», Джамбулского района, Казахской ССР, выступила колхозница Сейбекова. Она сказала: «Прочитав приказ Верховного Главнокомандующего товарища Сталина, мы сделаем для себя один вывод: упорным трудом, всеми силами будем помогать Красной Армии громить проклятых немцев. В этом году мы ещё лучше проведём весенний сев и вырастим обильный урожай хлеба, риса, свёклы и овощей». Колхозники постановили дать фронту на 10 тысяч пудов хлеба больше, чем в прошлом году, и кроме того засеять 6 гектаров земли зерновыми культурами в фонд Красной Армии.».</w:t>
      </w:r>
    </w:p>
    <w:p w14:paraId="157B02B4"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Лживая выдумка немецко-фашистских мошенников.</w:t>
      </w:r>
    </w:p>
    <w:p w14:paraId="2B237A59"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«Немецкое информационное бюро 23 февраля передало следующее сообщение: «Красная Армия, согласно официальным немецким данным, потеряла 5.400.000 солдат пленными. К этому следует ещё добавить 12.800.000 человек убитыми и ранеными.Таким образом, за 20 месяцев войны Красная Армия потеряла 18.200.000 человек. Далее, Красная Армия потеряла за это время 48.000 орудий и 34.000 танков».</w:t>
      </w:r>
    </w:p>
    <w:p w14:paraId="0B1982B3"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Эти «официальные немецкие данные» являются не чем иным, как беспардонной выдумкой гитлеровцев. Прочтя подобную галиматью, каждый здравомыслящий человек спросит: как могла Красная Армия при таких потерях, которые ей приписывают жулики из германского информационного бюро, за три последних месяца нанести ряд серьёзных поражений немецко-фашистской армии, освободить от фашистских захватчиков 14 областей, краёв и автономных республик, разгромить 112 дивизий противника, уничтожить более 700 тысяч вражеских солдат и офицеров, взять более 300 тысяч пленных, уничтожить или захватить 7.000 немецких танков, 4.000 самолётов, 17.000 орудий и много другого вооружения? Не ясно ли, что фашистские шуты гороховые в своей лжи перехватили через край и опубликовали данные, взятые с потолка.</w:t>
      </w:r>
    </w:p>
    <w:p w14:paraId="6CB7C2C0"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Техника лживых подсчётов немецко-фашистских подлецов давно известна. Гитлеровцы угоняют в немецкое рабство, на каторгу сотни тысяч мирных советских граждан — русских, украинцев, белоруссов, литовцев, латышей, эстонцев, зачислив их, вопреки всем международным правилам ведения войны, в военнопленные, обрекают их на неизбежную смерть от голода и насилий. Они истребляют сотни и сотни тысяч советских людей во временно оккупированных районах, в том числе убивают женщин, детей и стариков и, пытаясь всячески замести следы своих преступлений, зачисляют убитых ими. мирных людей в потери Красной Армии.</w:t>
      </w:r>
    </w:p>
    <w:p w14:paraId="60B722A7"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кровавые злодеяния немцев на советской земле и их наглая ложь о ходе войны не спасут гитлеровских негодяев от неизбежного возмездия.» (15050).</w:t>
      </w:r>
    </w:p>
    <w:p w14:paraId="6CB957E0" w14:textId="77777777" w:rsidR="00BF27CC" w:rsidRPr="00D03F3E" w:rsidRDefault="00BF27CC" w:rsidP="00D03F3E">
      <w:pPr>
        <w:spacing w:after="0" w:line="240" w:lineRule="auto"/>
        <w:jc w:val="both"/>
        <w:rPr>
          <w:rFonts w:ascii="Times New Roman" w:hAnsi="Times New Roman"/>
          <w:color w:val="000000" w:themeColor="text1"/>
          <w:sz w:val="16"/>
          <w:szCs w:val="16"/>
        </w:rPr>
      </w:pPr>
    </w:p>
    <w:p w14:paraId="1D6D2C35" w14:textId="77777777" w:rsidR="00BF27CC" w:rsidRPr="00D03F3E" w:rsidRDefault="00BF27C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24 февраля</w:t>
      </w:r>
      <w:r w:rsidRPr="00D03F3E">
        <w:rPr>
          <w:rFonts w:ascii="Times New Roman" w:hAnsi="Times New Roman"/>
          <w:color w:val="000000" w:themeColor="text1"/>
          <w:sz w:val="16"/>
          <w:szCs w:val="16"/>
        </w:rPr>
        <w:t xml:space="preserve"> в 1943 году закончилось наступление войск Брянского фронта на малоархангельском направлении: войска левого крыла фронта вышли на рубеж Новосиль, Малоархангельск, Рождественское (15050).</w:t>
      </w:r>
    </w:p>
    <w:p w14:paraId="00459C3D" w14:textId="77777777" w:rsidR="00BF27CC" w:rsidRPr="00D03F3E" w:rsidRDefault="00BF27CC" w:rsidP="00D03F3E">
      <w:pPr>
        <w:spacing w:after="0" w:line="240" w:lineRule="auto"/>
        <w:jc w:val="both"/>
        <w:rPr>
          <w:rFonts w:ascii="Times New Roman" w:hAnsi="Times New Roman"/>
          <w:color w:val="000000" w:themeColor="text1"/>
          <w:sz w:val="16"/>
          <w:szCs w:val="16"/>
        </w:rPr>
      </w:pPr>
    </w:p>
    <w:p w14:paraId="09877F5E"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2E2DFD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59B97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1943 вышло Постановление ГКО № 2939 Об организации вывоза хлеба из глубинных пунктов Ставропольского и Краснодарского краев и об отгрузке хлеба в Закавказье. (7083, 159).</w:t>
      </w:r>
    </w:p>
    <w:p w14:paraId="4E2CD56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04617F" w14:textId="77777777" w:rsidR="001E7A6D"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281D0B6C" w14:textId="77777777" w:rsidR="001E7A6D" w:rsidRPr="00D03F3E" w:rsidRDefault="001E7A6D"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4BF03E"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24 февраля</w:t>
      </w:r>
      <w:r w:rsidRPr="00D03F3E">
        <w:rPr>
          <w:rFonts w:ascii="Times New Roman" w:hAnsi="Times New Roman"/>
          <w:color w:val="000000" w:themeColor="text1"/>
          <w:sz w:val="16"/>
          <w:szCs w:val="16"/>
        </w:rPr>
        <w:t xml:space="preserve"> в 1943 году поднялся в воздух английский опытный многоцелевой истребитель </w:t>
      </w:r>
      <w:hyperlink r:id="rId73" w:tgtFrame="_blank" w:history="1">
        <w:r w:rsidRPr="00D03F3E">
          <w:rPr>
            <w:rFonts w:ascii="Times New Roman" w:hAnsi="Times New Roman"/>
            <w:color w:val="000000" w:themeColor="text1"/>
            <w:sz w:val="16"/>
            <w:szCs w:val="16"/>
          </w:rPr>
          <w:t xml:space="preserve">"Темпест" I. </w:t>
        </w:r>
      </w:hyperlink>
      <w:r w:rsidRPr="00D03F3E">
        <w:rPr>
          <w:rFonts w:ascii="Times New Roman" w:hAnsi="Times New Roman"/>
          <w:color w:val="000000" w:themeColor="text1"/>
          <w:sz w:val="16"/>
          <w:szCs w:val="16"/>
        </w:rPr>
        <w:t xml:space="preserve">"Темпест" начинался как развитие «Тайфуна», но скоро выделился в самостоятельный истребитель. Внедрили новое тонкое, как у "Спитфайра", крыло с относительной толщиной 14,5% у корня, мотор «ЕС. 107» (впоследствии "Сейбр" IV) и узкие радиаторы в крыле. 18 ноября 1943 года министерство заказало два опытных экземпляра "Тайфуна" II. В начале 1942 г. машину переименовали в "Темпест" - уж очень многое отличало ее от "Тайфуна". Даже фюзеляж не удалось сохранить в первозданном виде: в нем установили дополнительный </w:t>
      </w:r>
      <w:r w:rsidRPr="00D03F3E">
        <w:rPr>
          <w:rFonts w:ascii="Times New Roman" w:hAnsi="Times New Roman"/>
          <w:color w:val="000000" w:themeColor="text1"/>
          <w:sz w:val="16"/>
          <w:szCs w:val="16"/>
        </w:rPr>
        <w:lastRenderedPageBreak/>
        <w:t>бензобак, вместивший горючее из уменьшившихся крыльевых баков. За счет этого длина самолета возросла. Опытный "Темпест" I поднялся в воздух лишь 24 февраля 1943 года. Самолет продемонстрировал более высокую скорость, чем "Темпест" V, -750 км/ч. Но доводка мотора "Сейбр" IV затянулась, и фирма "Нэпир" прекратила роботу по этой модификации, бросив все силы на новую модель "Темпест" V (15050).</w:t>
      </w:r>
    </w:p>
    <w:p w14:paraId="654C7BB3" w14:textId="77777777" w:rsidR="001E7A6D" w:rsidRPr="00D03F3E" w:rsidRDefault="001E7A6D" w:rsidP="00D03F3E">
      <w:pPr>
        <w:spacing w:after="0" w:line="240" w:lineRule="auto"/>
        <w:jc w:val="both"/>
        <w:rPr>
          <w:rFonts w:ascii="Times New Roman" w:hAnsi="Times New Roman"/>
          <w:color w:val="000000" w:themeColor="text1"/>
          <w:sz w:val="16"/>
          <w:szCs w:val="16"/>
        </w:rPr>
      </w:pPr>
    </w:p>
    <w:p w14:paraId="2F16F4F8" w14:textId="77777777" w:rsidR="00882DFF" w:rsidRPr="00D03F3E" w:rsidRDefault="00882DF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24 февраля 1943 второй из трех лучших асов немецких ночных истребителей, погибших в течение месяца, Пауль Гилднер , погиб в результате аварии из-за сбоя в электросети на борту своего Messerschmitt Bf 110. Как и у Рейнхольда Кнаке, который погиб в начале месяца, у него 44 ночных победы, когда он умирает; его общий счет - 48 побед (20376).</w:t>
      </w:r>
    </w:p>
    <w:p w14:paraId="1EC0A8AF" w14:textId="77777777" w:rsidR="00882DFF" w:rsidRPr="00D03F3E" w:rsidRDefault="00882DFF" w:rsidP="00D03F3E">
      <w:pPr>
        <w:spacing w:after="0" w:line="240" w:lineRule="auto"/>
        <w:jc w:val="both"/>
        <w:rPr>
          <w:rFonts w:ascii="Times New Roman" w:hAnsi="Times New Roman"/>
          <w:color w:val="0070C0"/>
          <w:sz w:val="16"/>
          <w:szCs w:val="16"/>
        </w:rPr>
      </w:pPr>
    </w:p>
    <w:p w14:paraId="4232619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21D59B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BB03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февраля 1943 вышел приказ НКАП N 117сс "О самолете Ил-4 с М-82":</w:t>
      </w:r>
    </w:p>
    <w:p w14:paraId="139046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исполнение постановления ГКО N 2936 от 24 февраля 1943:</w:t>
      </w:r>
    </w:p>
    <w:p w14:paraId="20E790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Директору завода 23 Иосиловичу по чертежам ГК С.В.И. к 20 марта 1943 сделать самолет Ил-4 с М-82, с размещением экипажа в составе 5 чел.</w:t>
      </w:r>
    </w:p>
    <w:p w14:paraId="6EB1E6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указанном самолете провести след. работы:</w:t>
      </w:r>
    </w:p>
    <w:p w14:paraId="39E16C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установить 4 п Березина и 1 п ШКАС с запасом патронов 830 для Березина и 500 для ШКАС</w:t>
      </w:r>
    </w:p>
    <w:p w14:paraId="18128E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усилить бронезащиту л, сделав бронеспинку толщиной 13 мм вместо 8.5 мм, а также установив бронеспинку ш толщиной 8 мм</w:t>
      </w:r>
    </w:p>
    <w:p w14:paraId="1AFEF3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для улучшения продольной устойчивости самолета сделать более переднюю центровку, для чего концы консолей крыла отнести назад и облегчить управление элеронами.</w:t>
      </w:r>
    </w:p>
    <w:p w14:paraId="41D21E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установить колеса 1100х400 мм вместо 1000х350 мм</w:t>
      </w:r>
    </w:p>
    <w:p w14:paraId="34D96F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Утвердить след. изменения самолета Ил-4 с М-82, с указанным в п. 1 вооружением, бронезащитой и составом экипажа самолета в количестве 5 чел: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860B4B" w:rsidRPr="00D03F3E" w14:paraId="51FCDCA4" w14:textId="77777777">
        <w:tc>
          <w:tcPr>
            <w:tcW w:w="3757" w:type="dxa"/>
          </w:tcPr>
          <w:p w14:paraId="1499AF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макс. скорость у земли </w:t>
            </w:r>
          </w:p>
        </w:tc>
        <w:tc>
          <w:tcPr>
            <w:tcW w:w="3757" w:type="dxa"/>
          </w:tcPr>
          <w:p w14:paraId="66FEA4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375 км/час</w:t>
            </w:r>
          </w:p>
        </w:tc>
      </w:tr>
      <w:tr w:rsidR="00860B4B" w:rsidRPr="00D03F3E" w14:paraId="7D2E4DB3" w14:textId="77777777">
        <w:tc>
          <w:tcPr>
            <w:tcW w:w="3757" w:type="dxa"/>
          </w:tcPr>
          <w:p w14:paraId="6CA96A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скорость на номинальном режиме</w:t>
            </w:r>
          </w:p>
        </w:tc>
        <w:tc>
          <w:tcPr>
            <w:tcW w:w="3757" w:type="dxa"/>
          </w:tcPr>
          <w:p w14:paraId="3A7031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390 км/час</w:t>
            </w:r>
          </w:p>
        </w:tc>
      </w:tr>
      <w:tr w:rsidR="00860B4B" w:rsidRPr="00D03F3E" w14:paraId="1D1B00BB" w14:textId="77777777">
        <w:tc>
          <w:tcPr>
            <w:tcW w:w="3757" w:type="dxa"/>
          </w:tcPr>
          <w:p w14:paraId="7467D1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скорость на форсаже при 1700 л.с.</w:t>
            </w:r>
          </w:p>
        </w:tc>
        <w:tc>
          <w:tcPr>
            <w:tcW w:w="3757" w:type="dxa"/>
          </w:tcPr>
          <w:p w14:paraId="4DD91C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440 км/час</w:t>
            </w:r>
          </w:p>
        </w:tc>
      </w:tr>
      <w:tr w:rsidR="00860B4B" w:rsidRPr="00D03F3E" w14:paraId="2D65B460" w14:textId="77777777">
        <w:tc>
          <w:tcPr>
            <w:tcW w:w="3757" w:type="dxa"/>
          </w:tcPr>
          <w:p w14:paraId="2FF7CE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бомбовая нагрузка</w:t>
            </w:r>
          </w:p>
        </w:tc>
        <w:tc>
          <w:tcPr>
            <w:tcW w:w="3757" w:type="dxa"/>
          </w:tcPr>
          <w:p w14:paraId="50BE3E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 кг</w:t>
            </w:r>
          </w:p>
        </w:tc>
      </w:tr>
      <w:tr w:rsidR="00860B4B" w:rsidRPr="00D03F3E" w14:paraId="6945ADBB" w14:textId="77777777">
        <w:tc>
          <w:tcPr>
            <w:tcW w:w="3757" w:type="dxa"/>
          </w:tcPr>
          <w:p w14:paraId="31C58C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запас бензина</w:t>
            </w:r>
          </w:p>
        </w:tc>
        <w:tc>
          <w:tcPr>
            <w:tcW w:w="3757" w:type="dxa"/>
          </w:tcPr>
          <w:p w14:paraId="029A01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1600 кг</w:t>
            </w:r>
          </w:p>
        </w:tc>
      </w:tr>
      <w:tr w:rsidR="00860B4B" w:rsidRPr="00D03F3E" w14:paraId="3BEC788B" w14:textId="77777777">
        <w:tc>
          <w:tcPr>
            <w:tcW w:w="3757" w:type="dxa"/>
          </w:tcPr>
          <w:p w14:paraId="3126DF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дальность самолета</w:t>
            </w:r>
          </w:p>
        </w:tc>
        <w:tc>
          <w:tcPr>
            <w:tcW w:w="3757" w:type="dxa"/>
          </w:tcPr>
          <w:p w14:paraId="3B4E0A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248C5AC" w14:textId="77777777">
        <w:tc>
          <w:tcPr>
            <w:tcW w:w="3757" w:type="dxa"/>
          </w:tcPr>
          <w:p w14:paraId="79D93B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нормальная (при весе съема макс. скорости)</w:t>
            </w:r>
          </w:p>
        </w:tc>
        <w:tc>
          <w:tcPr>
            <w:tcW w:w="3757" w:type="dxa"/>
          </w:tcPr>
          <w:p w14:paraId="1DDC94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 км</w:t>
            </w:r>
          </w:p>
        </w:tc>
      </w:tr>
      <w:tr w:rsidR="00860B4B" w:rsidRPr="00D03F3E" w14:paraId="136336D5" w14:textId="77777777">
        <w:tc>
          <w:tcPr>
            <w:tcW w:w="3757" w:type="dxa"/>
          </w:tcPr>
          <w:p w14:paraId="2CD41E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перегрузкой</w:t>
            </w:r>
          </w:p>
        </w:tc>
        <w:tc>
          <w:tcPr>
            <w:tcW w:w="3757" w:type="dxa"/>
          </w:tcPr>
          <w:p w14:paraId="60B4CE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2200 км</w:t>
            </w:r>
          </w:p>
        </w:tc>
      </w:tr>
    </w:tbl>
    <w:p w14:paraId="603B48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ГК С.В.И. самолет Ил-4 с М-82 с данными, указанными в п. 2 передать на испытания в НИИ ВВС к 10 апреля 1943</w:t>
      </w:r>
    </w:p>
    <w:p w14:paraId="5D5ADB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Этим же постановлением ГКО:</w:t>
      </w:r>
    </w:p>
    <w:p w14:paraId="01928A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ВВС - Новиков был обязан закончить гос. испытания самолета Ил-4 с М-82 не позднее 25 апреля 1943 (1707,49).</w:t>
      </w:r>
    </w:p>
    <w:p w14:paraId="6DE263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1058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25 февраля 1943 г. приказом НКАП № 117сс в соответствии с пост. ГКО № 2936 от 24.02.1943 г. заводу № 23 (Завод № 23 НКАП, МАП, ГКАТ, Машиностроительный завод им. М.В. Хруничева (ЗИХ) СНХ, </w:t>
      </w:r>
      <w:r w:rsidRPr="00D03F3E">
        <w:rPr>
          <w:rFonts w:ascii="Times New Roman" w:hAnsi="Times New Roman"/>
          <w:color w:val="000000" w:themeColor="text1"/>
          <w:sz w:val="16"/>
          <w:szCs w:val="16"/>
          <w:lang w:val="en-US"/>
        </w:rPr>
        <w:t>MOM</w:t>
      </w:r>
      <w:r w:rsidRPr="00D03F3E">
        <w:rPr>
          <w:rFonts w:ascii="Times New Roman" w:hAnsi="Times New Roman"/>
          <w:color w:val="000000" w:themeColor="text1"/>
          <w:sz w:val="16"/>
          <w:szCs w:val="16"/>
        </w:rPr>
        <w:t>, МПО им. Хруничева, ФГУП «Государственный космический научно- производственный центр (ГК НПЦ) им. М.В. Хруничева» ФКА /121087  г. Москва ул. Новозаводская, 18 тел. 145-99-34/) было поручено к 20.03.1943 г. построить Ил-4 с М-82 (11982).</w:t>
      </w:r>
    </w:p>
    <w:p w14:paraId="0B0EF0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378D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25 февраля 1943 по 5 марта 1943 согласно записи в журнале наблюдения за проектированием, постройкой и испытаниями МиГ-5 2АМ-37 и 2М-82 от 15 марта 1943 карбюраторы 2 экз. ДИС (МиГ-5) с М-82 проходили перерегулировку в ЦИАМе. С 6 марта 1943 по 9 марта 1943 карбюраторы устанавливались на моторах 2 экз. ДИС (МиГ-5) с М-82. После чего планировалась проба моторов на земле и в воздухе (из донесения Князева от 9 марта 1943) (990,8).</w:t>
      </w:r>
    </w:p>
    <w:p w14:paraId="09433D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986A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февраля 1943 вышел приказ НКАП N 118сс "Об организации опытного завода 300":</w:t>
      </w:r>
    </w:p>
    <w:p w14:paraId="392913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"ГКО постановлением N 2916 от 18 февраля 1943 в целях обеспечения опытных, конструкторских и экспериментальных работ ГК проф. А.А.М. по авиамоторам и по использованию энергии выхлопных газов авиадвигателей, а также для постановки серийного производства авиационных турбоагрегатов обязал НКАП организовать опытный завод проф. А.А.М. с КБ.</w:t>
      </w:r>
    </w:p>
    <w:p w14:paraId="77EFE1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исполнение этого постановления ГКО:</w:t>
      </w:r>
    </w:p>
    <w:p w14:paraId="489EF5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Организовать опытный завод...на базе завода N 8 треста Оргавиапром</w:t>
      </w:r>
    </w:p>
    <w:p w14:paraId="1535AF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Опытному заводу....присвоить N 300</w:t>
      </w:r>
    </w:p>
    <w:p w14:paraId="47A3CF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ГК и отв. рук. завода 300 назначить А.А.М. с оставлением его ГК заводов N 24 и 45 и семьи моторов АМ</w:t>
      </w:r>
    </w:p>
    <w:p w14:paraId="726BE6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Директором завода 300, непосредственно подчиненным А.А.М. назначить Г.А.Тихомирова</w:t>
      </w:r>
    </w:p>
    <w:p w14:paraId="3083FE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ГК завода 300 по конструкторской части назначить С.К.Туманского, по научно-теоретической части - Б.С.Стечкина (1707,58).</w:t>
      </w:r>
    </w:p>
    <w:p w14:paraId="52C495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A864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февраля 1943 года приказом НКАП за № 118сс во исполнение Постановления ГОКО за № 2916сс от 18 февраля 1943 года на базе бывш. Инструментального завода № 8 треста “Оргавиапром был организован Опытный завод № 300.</w:t>
      </w:r>
    </w:p>
    <w:p w14:paraId="09117B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ГКО были поставлены перед вновь созданным заводом следующие задачи:</w:t>
      </w:r>
    </w:p>
    <w:p w14:paraId="7EA91D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модификация моторов АМ с передачей модифицированных образцов в серийное производство на другие заводы Министерства;</w:t>
      </w:r>
    </w:p>
    <w:p w14:paraId="38E051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доводка существующих, разработка и изготовление новых образцов турбомеханизмов;</w:t>
      </w:r>
    </w:p>
    <w:p w14:paraId="1092C9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серийное производство турбомеханизмов.</w:t>
      </w:r>
    </w:p>
    <w:p w14:paraId="6A51A2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Ответственным руководителем был назначен Микулин А.А.</w:t>
      </w:r>
    </w:p>
    <w:p w14:paraId="58C6E4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1946 году заводу была поручена разработка конструкций, постройка, доводка и испытание опытных образцов мощных воздушно-реактивных двигателей.</w:t>
      </w:r>
    </w:p>
    <w:p w14:paraId="613BA1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Ответственные руководители завода:</w:t>
      </w:r>
    </w:p>
    <w:p w14:paraId="47B0DF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Микулин А.А. – с февраля 1943 по 20 января 1955 года</w:t>
      </w:r>
    </w:p>
    <w:p w14:paraId="676FD7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Туманский С.К. – с 20 января 1955 года</w:t>
      </w:r>
    </w:p>
    <w:p w14:paraId="48A3D0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Директора</w:t>
      </w:r>
    </w:p>
    <w:p w14:paraId="4F81F6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Тихомиров Г.А. – с февраля 1943 г. до 12 января 1944 года</w:t>
      </w:r>
    </w:p>
    <w:p w14:paraId="47D18B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Навроцкий И.Г. – с 13 января 1944 года по 7 февраля 1948 года</w:t>
      </w:r>
    </w:p>
    <w:p w14:paraId="4CCEB2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Завитаев А.А. – с 7 февраля 1948 года по 17 января 1952 года</w:t>
      </w:r>
    </w:p>
    <w:p w14:paraId="30A986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Томашевский А.А. – с 17 января 1952 года</w:t>
      </w:r>
    </w:p>
    <w:p w14:paraId="72A1FB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внедрении двигателя АМ-3 в серийное производство на заводе № 16 (приказ МАП № 804сс/ов от 11 июля 1952 года) на указанном заводе было организовано самостоятельное КБ.</w:t>
      </w:r>
    </w:p>
    <w:p w14:paraId="4B3D92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внедрении двигателя АМ-5 в серийное производство на заводе № 500 (приказ МАП за № 50сс от 19 сентября 1953 года) на указанном заводе была организована конструкторская группа, как филиал КБ завода № 300.</w:t>
      </w:r>
    </w:p>
    <w:p w14:paraId="143A0A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внедрении двигателя РД-9 в серийное производство на заводе № 26 (приказ МАП № 662сс от 25 октября 1954 года) на указанном заводе была организована конструкторская группа, как филиал КБ завода № 300. В январе 1956 года на заводе № 26 было организовано самостоятельное КБ (приказ № 628сс от 26 января 1955 года).</w:t>
      </w:r>
    </w:p>
    <w:p w14:paraId="11BA54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внедрении двигателя Р11-300 в серийное производство на заводе № 500 (приказ МАП за № 156сс от 19 апреля 1957 года) на указанном заводе было организовано самостоятельное КБ.</w:t>
      </w:r>
    </w:p>
    <w:p w14:paraId="3451C8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Москва, Лужнецкая наб., д. 2/4, п/я 2480</w:t>
      </w:r>
    </w:p>
    <w:p w14:paraId="407F07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1943 года по 1950 год при заводе № 45 находилась испытательная станция завода № 300 (9601).</w:t>
      </w:r>
    </w:p>
    <w:p w14:paraId="643E2A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F54E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февраля 1943 вышел приказ НКАП № 118с Об организации опытного з-да № 300:</w:t>
      </w:r>
    </w:p>
    <w:p w14:paraId="40D46E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ГКО постановлением № 2916сс от 18 февраля 1943 в целях обеспечения опытных, конструкторских и экспериментальных работ ГК А.А.М по авиамоторам и по использованию энергии выхорпных газов авиадвигателей, а также для постановки серийного пр-ва авиационных турбоагрегатов обязал НКАП организовать опытный з-д проф. Микулина с КБ.</w:t>
      </w:r>
    </w:p>
    <w:p w14:paraId="30A177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исполнение этого постановления:</w:t>
      </w:r>
    </w:p>
    <w:p w14:paraId="3D7BF5DD"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Организовать опытный з-д…на базе з-да № 8 Треста Оргавиапром,</w:t>
      </w:r>
    </w:p>
    <w:p w14:paraId="5793F574"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Опытному з-ду…присвоить № 300,</w:t>
      </w:r>
    </w:p>
    <w:p w14:paraId="623C38A2"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ГК и отв. Руководителем з-да № 300 назначить А.А.М. с оставлением его ГК з-ов № 24 и 45 и семьи моторов АМ. Д-м з-да № 300, непосредсчтвенно подчиненным А.А.М., назначить Г.А.Тихомирова, Зам. ГК з-да № 300 по конструкторской части назначить С.К.Туманского, по научно-теоретической части – проф. Б.С.Стечкина.</w:t>
      </w:r>
    </w:p>
    <w:p w14:paraId="3B55825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Шахурин (1707, 58).</w:t>
      </w:r>
    </w:p>
    <w:p w14:paraId="5A76BF4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189558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февраля 1943 г. приказом НКАП № 118сс в соответствии с постановлением ГОКО № 2916сс от 18.02.1943 г. на базе завода № 8 ОАП НКАП в 8ГУ образован Государственный опытный завод № 300 МАП с ОКБ по ТРД для обеспечения опытно-конструкторских работ гл. конструктора А.А. Микулина. Сюда перешел основной конструкторский коллектив и оборудование ОКБ-24. На заводе № 24 оставлен филиал завода № 300 для помощи серийному производству. Микулин оставлен одновременно гл. конструктором заводов № 24 и № 45.</w:t>
      </w:r>
    </w:p>
    <w:p w14:paraId="347A49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первые послевоенные годы- работы по моторам АМ-39ФН2, АМ-39ФК. Работы по ускорителю «УС» (Б.С. Стечкин).</w:t>
      </w:r>
    </w:p>
    <w:p w14:paraId="525794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479сс от 23.07.1946 г. при заводе № 45 образован филиал завода № 300 для организации производства АМТКРД-01 и АМТКРД-02.</w:t>
      </w:r>
    </w:p>
    <w:p w14:paraId="04F463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ОКБ-300 последовательно выделилось 6 ОКБ: ОКБ-2-300, ОКБ-3-300, ОКБ-4-300.</w:t>
      </w:r>
    </w:p>
    <w:p w14:paraId="2EA575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1966 г. ОКБ-300 переименовано в ММЗ «Союз», в 1981 г. образовано НПО «Союз». В 1967 г. имело наименование «предприятие- п/я» А-3492. В 1996 г. АМНТК "Союз" вошёл в ВПК "МАПО".</w:t>
      </w:r>
    </w:p>
    <w:p w14:paraId="1C97D6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(2002 г.): малоразмерные короткоресурсные Р95-300, Р125-300; двигатели для легких деловых самолетов Р123-300, Р124-300, Р126-300, Р127-300, ВК-21; модернизация Р79.</w:t>
      </w:r>
    </w:p>
    <w:p w14:paraId="07F9CF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15A064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(1943-55 г.)- А.А. Микулин {1895-1985 г.}, (1955-56 г.)- С.К. Туманский {1901-73 г.}. Ген. Конструктор (1956-73 г.)- С.К.Туманский, (1973-87 г.)- О.Ф. Фаворский {1929 г.-}, (1987-2000 г.)- В.К. Кобченко, (2001-02 г.-)- В.А. Белоусов. Ген. Конструктор по ГТП (2002 г.)- М.П. Симонов.</w:t>
      </w:r>
    </w:p>
    <w:p w14:paraId="4539A8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Ответственный руководитель (1943-55 г.)- А.А. Микулин. Гендиректор (1973-87 г.)- О.Ф. Фаворский {1929 г.-}, (1995-98 г.)- В.К. Кобченко, (1998-2000 г.)- О.А. Оганян, (2000-01 г.)- М.П. Симонов, (2002 г.)- М.О. Окроян.</w:t>
      </w:r>
    </w:p>
    <w:p w14:paraId="4FF791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1-й зам. гендиректора (2002 г.)- Р.А. Антонян. Зам. гендиректора: по надежности, сертификации и лицензированию (2002 г.)- А.Ф. Жирнов; по маркетингу (2002 г.)- Ю.М. Малыгин.</w:t>
      </w:r>
    </w:p>
    <w:p w14:paraId="67A388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Гл. конструкторы: (-2000-02 г.-)- Е.А. Фомин; по малоразмерным двигателям (2002 г.)- Ю.П. Ротмистров. И.О. Гл. конструктора (1955 г.)- Г.Л. Лившиц (Р15-300). </w:t>
      </w:r>
    </w:p>
    <w:p w14:paraId="07AA20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Зам. Гл. конструктора: по конструкторской части (1943 г.-)- С.К. Туманский; по научно-технической части (02.1943-1955 г.)- Б.С. Стечкин; (1953-56 г.)- В.Н. Сорокин, (-1969 г.)- Ф.В. Шухов, (2000 г.)- А.Ф. Жирнов. </w:t>
      </w:r>
    </w:p>
    <w:p w14:paraId="24A7BF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КБ (1943 г.-)- С.К. Туманский.</w:t>
      </w:r>
    </w:p>
    <w:p w14:paraId="526336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завода (1943-09.1944 г.-)- Г.А. Тихомиров, (-02.1945-08.1946 г.-)- И.Г. Навроцкий.</w:t>
      </w:r>
    </w:p>
    <w:p w14:paraId="43386A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Создано: ПД: АМ-40ФК; ТРД: АМ-ТКРД-01 (1948), АМ-ТРД-02 (1949), АМ-3 (1952), АМ-5 (1953), РД-9Б (1954), Р11-300, Р27-300 (1967), Р27Ф2-300, РД-15-16, РД-16-17, РУ19-300 (1961), Р-53, Р-73, Р79-300 (1984-92)- 12, Р-126-300, Р-119-300, ТВ-0-100, ТВД-116, ТВ128-300; КР7-300 (1964), КР-15, РДК-300 для БПЛА (1982); ЖРД: Р201-300 (С5.33) для УР Х-22 (1964), Р209-300 для мишени КРМ на базе КСР-2, модули силовых установок Р203-300 и Р204-300 (для космических ЛА типа "ИС" и "УС"); термоэмиссионная ЯЭУ «Тополь» (1960-69); турбохолодильная установка ТХМ.69 </w:t>
      </w:r>
    </w:p>
    <w:p w14:paraId="66482E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ОКБ-300 НКАП, Государственный опытный завод № 300 НКАП, МАП, ММЗ "Союз", А-3492, А-3803, МНПО "Союз", Авиамоторный научно-технический комплекс (АМНТК) «Союз», ОАО «АМНТК «Союз»</w:t>
      </w:r>
    </w:p>
    <w:p w14:paraId="7A39AC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119270 г. Москва Лужнецкая наб., 2/4 тел. 242-28-62</w:t>
      </w:r>
    </w:p>
    <w:p w14:paraId="119F2F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ОКБ-2-300 МАП</w:t>
      </w:r>
    </w:p>
    <w:p w14:paraId="22F939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(1960-е г.)- К.Р. Хачатуров.</w:t>
      </w:r>
    </w:p>
    <w:p w14:paraId="4E2DB9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Создано: Р-11Ф2С-300.</w:t>
      </w:r>
    </w:p>
    <w:p w14:paraId="4B2641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ОКБ-3-300 МАП</w:t>
      </w:r>
    </w:p>
    <w:p w14:paraId="15AAB3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Уфа</w:t>
      </w:r>
    </w:p>
    <w:p w14:paraId="50B10D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Приказом ГКАТ от 30.12.1963 г. ОКБ-26 передано заводу № 300 и переименовано в ОКБ-3-300. См. ОКБ-26 МАП.</w:t>
      </w:r>
    </w:p>
    <w:p w14:paraId="336DF8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по двигателю КР21-26 (1964 г.).</w:t>
      </w:r>
    </w:p>
    <w:p w14:paraId="1CD8CF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ОКБ-4-300 МАП, Тураевское машиностроительное КБ (ТМКБ) «Союз», ОАО «ТМКБ «Союз»</w:t>
      </w:r>
    </w:p>
    <w:p w14:paraId="449FC9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140080 г. Лыткарино Московской обл. тел. 555-02-81</w:t>
      </w:r>
    </w:p>
    <w:p w14:paraId="40F801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Образовано по приказу ГКАТ № 280 от 1.08.1964 г. как ОКБ-4-300. В 1972 г. сюда переведена группа конструкторов во главе с И.Б. Левановым из ОКБ-670 для продолжения работ по ПВРД. В 1978 г. эта группа выделилась в КБ «Пламя» при НИИТП МОМ. В 1972 г. КБ передана производственно-экспериментальная база КБ «Красная звезда» в Тураево.</w:t>
      </w:r>
    </w:p>
    <w:p w14:paraId="05642B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1994 г.- ОАО «ТМКБ «Союз». По решению правительства № 22-р от 9.01.2004 г. вошло в перечень стратегических предприятий.</w:t>
      </w:r>
    </w:p>
    <w:p w14:paraId="6ED275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Разработка и производство ЖРД малой тяги для космических аппаратов, ПВРД для крылатых ракет, форсажной камеры и сопла для РД-33 (1973 г.). Сюда переданы из ОКБ-52 работы по ядерной энергоустановке «Топаз» (испытана в 1987 г.).</w:t>
      </w:r>
    </w:p>
    <w:p w14:paraId="1AFFA6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(2002 г.): ЖРД малой тяги; силовые установки КА; ПВРД, малоэмиссионные камеры сгорания СПВРД и ГПВРД; форсажные камеры ВРД.</w:t>
      </w:r>
    </w:p>
    <w:p w14:paraId="5CB49D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(1964-83 г.)- В.Г. Степанов, (-1998-2002 г.-)- Г.В. Комиссаров.</w:t>
      </w:r>
    </w:p>
    <w:p w14:paraId="17FFC7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конструктора (1970-е)- И.Б. Леванов, (2002 г.)- Б.П. Лысенко, (2002 г.)- И.И. Костенко.</w:t>
      </w:r>
    </w:p>
    <w:p w14:paraId="4A92A4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Гендиректор (-1998-2002 г.-)- Г.В. Комиссаров.</w:t>
      </w:r>
    </w:p>
    <w:p w14:paraId="76B3E4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гендиректора (2002 г.)- И.В. Земнухов.</w:t>
      </w:r>
    </w:p>
    <w:p w14:paraId="6E462D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совета директоров (2002 г.)- В.М. Петренко.</w:t>
      </w:r>
    </w:p>
    <w:p w14:paraId="1557F1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Работали: (середина 1960-х г.)- Ф.В. Шухов, (1972-78 г.)- И.Б. Леванов.</w:t>
      </w:r>
    </w:p>
    <w:p w14:paraId="69C5A3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Создано: ЖРД: 210 для КА «Полет»; ПВРД: 3Д80, 3Д81, 3Д82 и 3Д83 для КР 3М80 комплекса «Москит», 31ДПК (ПВРД-52, 1977) для Х-31 (10776).</w:t>
      </w:r>
    </w:p>
    <w:p w14:paraId="5E30AE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998D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февраля 1943 г. приказом НКАП № 118сс в соответствии с пост. ГКО № 2916сс от 18.02.1943 г. в 8ГУ на базе завода № 8 ОАП НКАП был создан Государственный опытный завод № 300 НКАП (Государственный опытный завод № 300 НКАП, МАП,</w:t>
      </w:r>
      <w:r w:rsidRPr="00D03F3E">
        <w:rPr>
          <w:rFonts w:ascii="Times New Roman" w:hAnsi="Times New Roman"/>
          <w:smallCaps/>
          <w:color w:val="000000" w:themeColor="text1"/>
          <w:sz w:val="16"/>
          <w:szCs w:val="16"/>
        </w:rPr>
        <w:t xml:space="preserve"> окб-зоо нкап</w:t>
      </w:r>
      <w:r w:rsidRPr="00D03F3E">
        <w:rPr>
          <w:rFonts w:ascii="Times New Roman" w:hAnsi="Times New Roman"/>
          <w:color w:val="000000" w:themeColor="text1"/>
          <w:sz w:val="16"/>
          <w:szCs w:val="16"/>
        </w:rPr>
        <w:t>, ммз «Союз», А-3492, А-3803, МНПО «Союз», Авиамоторный научно-технический комплекс (</w:t>
      </w:r>
      <w:r w:rsidRPr="00D03F3E">
        <w:rPr>
          <w:rFonts w:ascii="Times New Roman" w:hAnsi="Times New Roman"/>
          <w:color w:val="000000" w:themeColor="text1"/>
          <w:sz w:val="16"/>
          <w:szCs w:val="16"/>
          <w:lang w:val="en-US"/>
        </w:rPr>
        <w:t>AMHTK</w:t>
      </w:r>
      <w:r w:rsidRPr="00D03F3E">
        <w:rPr>
          <w:rFonts w:ascii="Times New Roman" w:hAnsi="Times New Roman"/>
          <w:color w:val="000000" w:themeColor="text1"/>
          <w:sz w:val="16"/>
          <w:szCs w:val="16"/>
        </w:rPr>
        <w:t>) «Союз», ОАО «АМНТК «Союз» /119270  г. Москва Лужнецкая наб., 2/4 тел. 242-00-49/) с ОКБ по ТРД для обеспечения опытно-конструкторских работ гл. конструктора А.А. Микулина. Сюда перешел основной конструкторский коллектив и оборудование ОКБ-24. На заводе № 24 оставлен филиал завода № 300 для помощи серийному производству. Микулин оставлен одновременно гл. конструктором заводов № 24 и № 45.</w:t>
      </w:r>
    </w:p>
    <w:p w14:paraId="79D4DB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3.04.1944 г. вышло постановление ГКО № 5525 о моторе АМ-42.</w:t>
      </w:r>
    </w:p>
    <w:p w14:paraId="75EC42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1946 г. на завод передано 338 единиц оборудования с завода Эльстер в  г. Россвайн (Германия).</w:t>
      </w:r>
    </w:p>
    <w:p w14:paraId="03B951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первые послевоенные годы- работы по моторам АМ-39ФН2, АМ-39ФК. Работы по ускорителю «УС» (Б.С. Стечкин).</w:t>
      </w:r>
    </w:p>
    <w:p w14:paraId="778321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479сс от 23.07.1946 г. при заводе № 45 образован филиал завода № 300 для организации производства АМТКРД-01 иАМТКРД-02.</w:t>
      </w:r>
    </w:p>
    <w:p w14:paraId="7C9E71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ОКБ-ЗОО последовательно выделилось 6 ОКБ: ОКБ-2-ЗОО, ОКБ-З-ЗОО, ОКБ-4-ЗОО (1964 г.).</w:t>
      </w:r>
    </w:p>
    <w:p w14:paraId="65640E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08.1957 г.- в ведении ЗГУ МАП. В 1966 г. ОКБ-ЗОО переименовано в ММЗ «Союз», в 1981 г. образовано НПО «Союз». В 1967 г. имело наименование «предприятие- п/я А-3492». В 1996 г. АМНТК «Союз» вошёл в состав ВПК «МАПО».</w:t>
      </w:r>
    </w:p>
    <w:p w14:paraId="4A9CDE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Некоторое время имело в качестве филиала КПП «Авиамотор» ( г. Казань).</w:t>
      </w:r>
    </w:p>
    <w:p w14:paraId="7F2310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1960-е  г. велись работы по ядерным термоэмиссионным энергоустановкам.</w:t>
      </w:r>
    </w:p>
    <w:p w14:paraId="7F4E75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1980-е  г. разрабатывался Р-179-300 на базе Р-79В-300 для МФИ.</w:t>
      </w:r>
    </w:p>
    <w:p w14:paraId="00052C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(2002 г.): малоразмерные короткоресурсные Р95-300, Р125-300; двигатели для легких деловых самолетов Р123-300, Р124-300, Р126-300, Р127-300, ВК-21; модернизация Р79; (2005 г.): Р145М-300 для перспективных боевых самолетов (ПАК ФА); Р125-300 и Р135-300 для тактических КР; ГДЭ-30-300 на базе Р79В- 300.</w:t>
      </w:r>
    </w:p>
    <w:p w14:paraId="617FEC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2005 г. создано 19 базовых и 44 модификации ТРД.</w:t>
      </w:r>
    </w:p>
    <w:p w14:paraId="038E41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0384EF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(1943-55 г.)- академик (1943 г.) г-м А.А. Микулин {13.05.1895-1985 г.}, (1955-56 г.)- С.К. Туманский. Ген. конструктор (12.1956-73 г.)- академик (1968 г.) С.К.Туманский {21.05.1901-9.09.1973 г.}, (1973-87 г.)- академик О.Н. Фаворский {27.01.1929-}, (1987-2000 г.)- В.К. Кобченко {28.01.1930-}, (2001-05 г.-)- В.А. Белоусов {29.01.1943-}. Ген. конструктор по ГТП (2002 г.)- М.П. Симонов.</w:t>
      </w:r>
    </w:p>
    <w:p w14:paraId="1DE7D4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конструктора: по конструкторской части (1943 г.-)- С.К. Туманский; по научно-технической части (02.1943-1955 г.)- академик Б.С. Стечкин; по научной части (1950-е)-  Г.Л. Лившиц; (-05.1953 г.)- П.Ф. Зубец, (1953-56 г.)- В.Н. Сорокин, (-1969 г.)- Ф.В. Шухов, (2000 г.)- А.Ф. Жирнов.</w:t>
      </w:r>
    </w:p>
    <w:p w14:paraId="61D448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Ответственный руководитель (1943-55 г.)- А.А. Микулин. Гендиректор (1973-87 г.)- О.Н. Фаворский, (1995- 98 г.)- В.К. Кобченко, (1998-2000 г.)- О.А. Оганян, (2000-</w:t>
      </w:r>
      <w:r w:rsidRPr="00D03F3E">
        <w:rPr>
          <w:rFonts w:ascii="Times New Roman" w:hAnsi="Times New Roman"/>
          <w:color w:val="000000" w:themeColor="text1"/>
          <w:sz w:val="16"/>
          <w:szCs w:val="16"/>
        </w:rPr>
        <w:lastRenderedPageBreak/>
        <w:t>01 г.)- М.П. Симонов, (2001-05 г.-&gt; М.О. Окроян.</w:t>
      </w:r>
      <w:r w:rsidRPr="00D03F3E">
        <w:rPr>
          <w:rFonts w:ascii="Times New Roman" w:hAnsi="Times New Roman"/>
          <w:color w:val="000000" w:themeColor="text1"/>
          <w:sz w:val="16"/>
          <w:szCs w:val="16"/>
          <w:vertAlign w:val="superscript"/>
        </w:rPr>
        <w:t>101</w:t>
      </w:r>
    </w:p>
    <w:p w14:paraId="27E788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1-й зам. гендиректора (2002 г.)- Р.А. Антонян. Зам. гендиректора: по надежности, сертификации и лицензированию (2002 г.)- А.Ф. Жирнов; по маркетингу (2002 г.)- Ю.М. Малыгин.</w:t>
      </w:r>
    </w:p>
    <w:p w14:paraId="786588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конструкторы: (-2000-02 г.-)- Е.А. Фомин; по малоразмерным двигателям (2002 г.)- Ю.П. Ротмистров. И.О. Гл. конструктора (1955 г.)-  Г.Л. Лившиц (Р15-300).</w:t>
      </w:r>
    </w:p>
    <w:p w14:paraId="6A2ED6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КБ (1943 г.-)- С.К. Туманский.</w:t>
      </w:r>
    </w:p>
    <w:p w14:paraId="21F042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завода (1943-09.1944 г.-&gt;  Г.А. Тихомиров, (-02.1945-08.1946 г.-&gt; И. Г. Навроцкий.</w:t>
      </w:r>
    </w:p>
    <w:p w14:paraId="192324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отделов: (1943 г.-)- Ф.В. Шухов.</w:t>
      </w:r>
    </w:p>
    <w:p w14:paraId="744B51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групп: (1943-45 г.)- П.Ф. Зубец.</w:t>
      </w:r>
    </w:p>
    <w:p w14:paraId="087588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Создано: ПД:</w:t>
      </w:r>
      <w:r w:rsidRPr="00D03F3E">
        <w:rPr>
          <w:rFonts w:ascii="Times New Roman" w:hAnsi="Times New Roman"/>
          <w:color w:val="000000" w:themeColor="text1"/>
          <w:sz w:val="16"/>
          <w:szCs w:val="16"/>
        </w:rPr>
        <w:t xml:space="preserve"> АМ-39ФК2, АМ-40ФК, АМ-42;</w:t>
      </w:r>
      <w:r w:rsidRPr="00D03F3E">
        <w:rPr>
          <w:rFonts w:ascii="Times New Roman" w:hAnsi="Times New Roman"/>
          <w:iCs/>
          <w:color w:val="000000" w:themeColor="text1"/>
          <w:sz w:val="16"/>
          <w:szCs w:val="16"/>
        </w:rPr>
        <w:t xml:space="preserve"> ТРД:</w:t>
      </w:r>
      <w:r w:rsidRPr="00D03F3E">
        <w:rPr>
          <w:rFonts w:ascii="Times New Roman" w:hAnsi="Times New Roman"/>
          <w:color w:val="000000" w:themeColor="text1"/>
          <w:sz w:val="16"/>
          <w:szCs w:val="16"/>
        </w:rPr>
        <w:t xml:space="preserve"> АМ-ТКРД-01 (1948), АМ-ТРД-02 (1949), АМ-3 (1952), </w:t>
      </w:r>
      <w:r w:rsidRPr="00D03F3E">
        <w:rPr>
          <w:rFonts w:ascii="Times New Roman" w:hAnsi="Times New Roman"/>
          <w:color w:val="000000" w:themeColor="text1"/>
          <w:sz w:val="16"/>
          <w:szCs w:val="16"/>
          <w:lang w:val="en-US"/>
        </w:rPr>
        <w:t>AM</w:t>
      </w:r>
      <w:r w:rsidRPr="00D03F3E">
        <w:rPr>
          <w:rFonts w:ascii="Times New Roman" w:hAnsi="Times New Roman"/>
          <w:color w:val="000000" w:themeColor="text1"/>
          <w:sz w:val="16"/>
          <w:szCs w:val="16"/>
        </w:rPr>
        <w:t xml:space="preserve">-5 (1953), РД-9Б (1954), </w:t>
      </w:r>
      <w:r w:rsidRPr="00D03F3E">
        <w:rPr>
          <w:rFonts w:ascii="Times New Roman" w:hAnsi="Times New Roman"/>
          <w:color w:val="000000" w:themeColor="text1"/>
          <w:sz w:val="16"/>
          <w:szCs w:val="16"/>
          <w:lang w:val="en-US"/>
        </w:rPr>
        <w:t>PI</w:t>
      </w:r>
      <w:r w:rsidRPr="00D03F3E">
        <w:rPr>
          <w:rFonts w:ascii="Times New Roman" w:hAnsi="Times New Roman"/>
          <w:color w:val="000000" w:themeColor="text1"/>
          <w:sz w:val="16"/>
          <w:szCs w:val="16"/>
        </w:rPr>
        <w:t xml:space="preserve"> 1-300, РИФ-300 (I960-), Р27-300 (1967), Р27Ф2-300, РД-15-16, РД-16-17, РУ19-300 (1961), Р-53, Р-73, Р79В-300 (1984-92)- 12, Р95-300, Р95А-300 для КР, Р-126-300, Р-119-300, Р134-300 (проект), ТВ-0-100, ТВД-116, ТВ128-300; КР7-300 (1964), КР-15, РДК-300 для БПЛА (1982); проекты ПД: АМ-43НВ (1944), АМ-46 (1945);</w:t>
      </w:r>
      <w:r w:rsidRPr="00D03F3E">
        <w:rPr>
          <w:rFonts w:ascii="Times New Roman" w:hAnsi="Times New Roman"/>
          <w:iCs/>
          <w:color w:val="000000" w:themeColor="text1"/>
          <w:sz w:val="16"/>
          <w:szCs w:val="16"/>
        </w:rPr>
        <w:t xml:space="preserve"> ЖРД:</w:t>
      </w:r>
      <w:r w:rsidRPr="00D03F3E">
        <w:rPr>
          <w:rFonts w:ascii="Times New Roman" w:hAnsi="Times New Roman"/>
          <w:color w:val="000000" w:themeColor="text1"/>
          <w:sz w:val="16"/>
          <w:szCs w:val="16"/>
        </w:rPr>
        <w:t xml:space="preserve"> Р201-300 (С5.33) для УР Х-22 (1964), Р209-300 для мишени КРМ на базе КСР-2, модули силовых установок Р203-300 и Р204-300 (для космических ЛА типа «ИС» и «УС»); термоэмиссионная ЯЭУ «Тополь» (1960-69); турбохолодильная установка ТХМ.</w:t>
      </w:r>
      <w:r w:rsidRPr="00D03F3E">
        <w:rPr>
          <w:rFonts w:ascii="Times New Roman" w:hAnsi="Times New Roman"/>
          <w:color w:val="000000" w:themeColor="text1"/>
          <w:sz w:val="16"/>
          <w:szCs w:val="16"/>
          <w:vertAlign w:val="superscript"/>
        </w:rPr>
        <w:t>69</w:t>
      </w:r>
    </w:p>
    <w:p w14:paraId="1FFA0B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smallCaps/>
          <w:color w:val="000000" w:themeColor="text1"/>
          <w:sz w:val="16"/>
          <w:szCs w:val="16"/>
        </w:rPr>
      </w:pPr>
      <w:r w:rsidRPr="00D03F3E">
        <w:rPr>
          <w:rFonts w:ascii="Times New Roman" w:hAnsi="Times New Roman"/>
          <w:smallCaps/>
          <w:color w:val="000000" w:themeColor="text1"/>
          <w:sz w:val="16"/>
          <w:szCs w:val="16"/>
        </w:rPr>
        <w:t>окб-2-зоо мап</w:t>
      </w:r>
    </w:p>
    <w:p w14:paraId="569F87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(1960-е  г.)- К.Р. Хачатуров.</w:t>
      </w:r>
    </w:p>
    <w:p w14:paraId="412A93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Создано:</w:t>
      </w:r>
      <w:r w:rsidRPr="00D03F3E">
        <w:rPr>
          <w:rFonts w:ascii="Times New Roman" w:hAnsi="Times New Roman"/>
          <w:color w:val="000000" w:themeColor="text1"/>
          <w:sz w:val="16"/>
          <w:szCs w:val="16"/>
        </w:rPr>
        <w:t xml:space="preserve"> Р-11Ф2С-300.</w:t>
      </w:r>
    </w:p>
    <w:p w14:paraId="196A6E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smallCaps/>
          <w:color w:val="000000" w:themeColor="text1"/>
          <w:sz w:val="16"/>
          <w:szCs w:val="16"/>
        </w:rPr>
        <w:t xml:space="preserve">окб-з-зоо мап </w:t>
      </w:r>
      <w:r w:rsidRPr="00D03F3E">
        <w:rPr>
          <w:rFonts w:ascii="Times New Roman" w:hAnsi="Times New Roman"/>
          <w:color w:val="000000" w:themeColor="text1"/>
          <w:sz w:val="16"/>
          <w:szCs w:val="16"/>
        </w:rPr>
        <w:t>/г. Уфа/</w:t>
      </w:r>
    </w:p>
    <w:p w14:paraId="232855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Приказом ГКАТ от 30.12.1963 г. ОКБ-26 передано заводу № 300 и переименовано в ОКБ-З-ЗОО. См. ОКБ-26 МАП.</w:t>
      </w:r>
    </w:p>
    <w:p w14:paraId="5D6148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по двигателю КР21-26 (1964 г.).</w:t>
      </w:r>
    </w:p>
    <w:p w14:paraId="782563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ОКБ-4-ЗОО МАП, Тураевское машиностроительное КБ (ТМКБ) «Союз», АООТ, ОАО «ТМКБ «Союз» /140080  г. Лыткарино Московской обл. пос. Тураево тел. (095) 555-02-81/</w:t>
      </w:r>
    </w:p>
    <w:p w14:paraId="4D6826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конце 1950-х  г. (~1958 г.) в Тураево был построен мощный испытательный комплекс для ряда организации, в т.ч. и ЦИАМ, для отработки реактивных двигателей. Здесь строилась экспериментальная база для испытаний ЯСУ ОКБ-165 с подземным отстойником радиоактивных отходов. Затем здесь начаты самостоятельные разработки. По приказу ГКАТ № 280 от 1.08.1964 г. было образовано ОКБ-4-ЗОО для проведения работ по ЖРД малой тяги. В 1972 г. сюда переведена группа конструкторов во главе с И.Б. Левановым из ОКБ-670 для продолжения работ по ПВРД. В 1978 г. эта группа выделилась в КБ «Пламя» при НИИТП </w:t>
      </w:r>
      <w:r w:rsidRPr="00D03F3E">
        <w:rPr>
          <w:rFonts w:ascii="Times New Roman" w:hAnsi="Times New Roman"/>
          <w:color w:val="000000" w:themeColor="text1"/>
          <w:sz w:val="16"/>
          <w:szCs w:val="16"/>
          <w:lang w:val="en-US"/>
        </w:rPr>
        <w:t>MOM</w:t>
      </w:r>
      <w:r w:rsidRPr="00D03F3E">
        <w:rPr>
          <w:rFonts w:ascii="Times New Roman" w:hAnsi="Times New Roman"/>
          <w:color w:val="000000" w:themeColor="text1"/>
          <w:sz w:val="16"/>
          <w:szCs w:val="16"/>
        </w:rPr>
        <w:t>. В 1972 г. КБ передана производственно-экспериментальная база КБ «Красная звезда» в Тураево.</w:t>
      </w:r>
    </w:p>
    <w:p w14:paraId="2F9EE0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1994 г.- АООТ, затем- ОАО «ТМКБ «Союз». С 2002 г. входило в состав Корпорации «ТРВ». По решению правительства № 22-р от 9.01.2004 г. вошло в перечень стратегических предприятий.</w:t>
      </w:r>
    </w:p>
    <w:p w14:paraId="7D1B66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Разработка и производство ЖРД малой тяги для космических аппаратов, БПЛА, СПВРД для крылатых ракет, форсажной камеры и сопла для РД-33 (1973 г.).</w:t>
      </w:r>
    </w:p>
    <w:p w14:paraId="1F2FDF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11.1991 г. впервые в мире были проведены летные испытания созданного в ТМКБ гиперзвукового ПВРД.</w:t>
      </w:r>
    </w:p>
    <w:p w14:paraId="0A9A47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Второй тематикой МКБ стали ядерные энергетические установки. В 1968 г. с ММЗ «Союз» в ТМКБ передана тема «Тополь» по разработке космической ЯЭУ и около 150 специалистов по этой теме. В 1970 г. на стенде в ФЭИ начаты испытания реактора «Тополь». В 1972 г. эта тематика передана в «Красную звезду». Позднее в ТМКБ переданы из ОКБ-52 работы по ядерной энергоустановке «Топаз» (испытана в 1987 г.).</w:t>
      </w:r>
    </w:p>
    <w:p w14:paraId="5BA31A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1990-е  г. велись работы по ГПВРД по программам «Орел» и «Холод»; проработки (совместно с ЦИАМ) двигательной установки для гиперзвукового воздушно-космического ЛА разработки НПО «Энергия».</w:t>
      </w:r>
    </w:p>
    <w:p w14:paraId="1B4432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Работы (2002 г.): ЖРД малой тяги; силовые установки КА; ПВРД, малоэмиссионные камеры сгорания СПВРД и ГПВРД; форсажные камеры </w:t>
      </w:r>
      <w:r w:rsidRPr="00D03F3E">
        <w:rPr>
          <w:rFonts w:ascii="Times New Roman" w:hAnsi="Times New Roman"/>
          <w:color w:val="000000" w:themeColor="text1"/>
          <w:sz w:val="16"/>
          <w:szCs w:val="16"/>
          <w:lang w:val="en-US"/>
        </w:rPr>
        <w:t>BP</w:t>
      </w:r>
      <w:r w:rsidRPr="00D03F3E">
        <w:rPr>
          <w:rFonts w:ascii="Times New Roman" w:hAnsi="Times New Roman"/>
          <w:color w:val="000000" w:themeColor="text1"/>
          <w:sz w:val="16"/>
          <w:szCs w:val="16"/>
        </w:rPr>
        <w:t xml:space="preserve"> Д.</w:t>
      </w:r>
    </w:p>
    <w:p w14:paraId="224C5A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(1964-83 г.)- В. Г. Степанов, (1983-91 г.)- Д.Д. Гилевич, (1991-2004 г.)-  Г.В. Комиссаров {5.11.1942-}, (2005 г.)- И.И. Костенко.</w:t>
      </w:r>
    </w:p>
    <w:p w14:paraId="66403A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конструктора (1970-е)- И.Б. Леванов, (2002 г.)- Б.П. Лысенко, (2002 г.)- И.И. Костенко.</w:t>
      </w:r>
    </w:p>
    <w:p w14:paraId="491ABA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Гендиректор (1991-2004 г.)-  Г.В. Комиссаров, (2004-05 г.-)- Ю.Т. Руднев.</w:t>
      </w:r>
    </w:p>
    <w:p w14:paraId="21778F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гендиректора (2002 г.)- И.В. Земнухов.</w:t>
      </w:r>
    </w:p>
    <w:p w14:paraId="02D784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производства (2005 г.)- И.В. Земнухов.</w:t>
      </w:r>
    </w:p>
    <w:p w14:paraId="20F794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Создано: ЖРДМТ:</w:t>
      </w:r>
      <w:r w:rsidRPr="00D03F3E">
        <w:rPr>
          <w:rFonts w:ascii="Times New Roman" w:hAnsi="Times New Roman"/>
          <w:color w:val="000000" w:themeColor="text1"/>
          <w:sz w:val="16"/>
          <w:szCs w:val="16"/>
        </w:rPr>
        <w:t xml:space="preserve"> КР-15 для БПЛА «Ястреб», 210 для КА «Полет», 5Д18, 4Я18, 11Д78, 11Д79 для межпланетных КК (1967);</w:t>
      </w:r>
      <w:r w:rsidRPr="00D03F3E">
        <w:rPr>
          <w:rFonts w:ascii="Times New Roman" w:hAnsi="Times New Roman"/>
          <w:iCs/>
          <w:color w:val="000000" w:themeColor="text1"/>
          <w:sz w:val="16"/>
          <w:szCs w:val="16"/>
        </w:rPr>
        <w:t xml:space="preserve"> ПВРД:</w:t>
      </w:r>
      <w:r w:rsidRPr="00D03F3E">
        <w:rPr>
          <w:rFonts w:ascii="Times New Roman" w:hAnsi="Times New Roman"/>
          <w:color w:val="000000" w:themeColor="text1"/>
          <w:sz w:val="16"/>
          <w:szCs w:val="16"/>
        </w:rPr>
        <w:t xml:space="preserve"> ЗД80, ЗД81, ЗД82 и ЗД83 для КР ЗМ80 комплекса «Москит»; 31ДПК для Х-31 (ПВРД-52, 1977), «52М» для Х-31А; ПВРД «изд. 58» для гиперзвуковой ГЭЛЛ (1988);</w:t>
      </w:r>
      <w:r w:rsidRPr="00D03F3E">
        <w:rPr>
          <w:rFonts w:ascii="Times New Roman" w:hAnsi="Times New Roman"/>
          <w:color w:val="000000" w:themeColor="text1"/>
          <w:sz w:val="16"/>
          <w:szCs w:val="16"/>
          <w:vertAlign w:val="superscript"/>
        </w:rPr>
        <w:t>49</w:t>
      </w:r>
      <w:r w:rsidRPr="00D03F3E">
        <w:rPr>
          <w:rFonts w:ascii="Times New Roman" w:hAnsi="Times New Roman"/>
          <w:color w:val="000000" w:themeColor="text1"/>
          <w:sz w:val="16"/>
          <w:szCs w:val="16"/>
        </w:rPr>
        <w:t xml:space="preserve"> форсажная камера и всережимное регулируемое сопло для РД-33 (1970-е) (11982).</w:t>
      </w:r>
    </w:p>
    <w:p w14:paraId="54F8D7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74F8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февраля 1943 Н.Н.П. писал И.В.С. докладную записку:</w:t>
      </w:r>
    </w:p>
    <w:p w14:paraId="476D5A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уточнения и освещения возникших у правительства по И-185 ряда вопросов докладываю нижеследующую справку..." (2495,33).</w:t>
      </w:r>
    </w:p>
    <w:p w14:paraId="49480F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По вопросу дальности:</w:t>
      </w:r>
    </w:p>
    <w:p w14:paraId="6C97A8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"...емкость бензобаков, установленных на И-185 М-71, является наибольшей сравнительно с таковой же у современных заграничных и отечественных истребителей." (2863,107).</w:t>
      </w:r>
    </w:p>
    <w:p w14:paraId="111B9F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"...проведенные теоретические расчеты дают нам на 6100 м при 0.9 макс дальность 900 км (в докладной записке НКАП Правительству и в отчете НИИ ВВС дальность, из-за осторожности указана равной 800 км).</w:t>
      </w:r>
    </w:p>
    <w:p w14:paraId="6BB7C4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 вопросу веса:</w:t>
      </w:r>
    </w:p>
    <w:p w14:paraId="040B21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самолета, определенный НИИ ВВС, является несколько завышенным из-за некоторых неточностей, допущенных при практическом взвешивании. В результате пересмотра чертежей проектный вес самолета будет выдержан."</w:t>
      </w:r>
    </w:p>
    <w:p w14:paraId="3A199D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По вопросу нагрузки на кв. м крыла:</w:t>
      </w:r>
    </w:p>
    <w:p w14:paraId="03C8D6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"Нагрузка 235 кг в И-185 все время встречала и встречает колоссальную критику, как недопустимо высокая и влекущая за собой недопустимо высокие посадочные скорости и низкую маневренность..."</w:t>
      </w:r>
    </w:p>
    <w:p w14:paraId="4ACF9E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"Немецкие самолеты Me-108G2 и ФВ190А3 имеют удельные нагрузки до 200-205 кг. Установленная в середине 1942 ЦАГИ предельная нагрузка для современных истребителей не свыше 180-185 кг одновременно является т.з. НКАП, приводит к завышению площади крыльев, к снижению максимальных скоростей и, отсюда, к понижению боевых качеств истребителей.</w:t>
      </w:r>
    </w:p>
    <w:p w14:paraId="19F411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Повышение нагрузки на м крыла истребителей - явление неизбежное и прогрессивное. Резкое увеличение мощности современных моторов позволяет значительно повысить нагрузку на м крыла без ухудшения вертикальной маневренности, являющейся на сегодня боевой маневренностью. При оценке удельной нагрузки на крыло следует учитывать такой мощный фактор, как удельная нагрузка на мощность мотора.</w:t>
      </w:r>
    </w:p>
    <w:p w14:paraId="434288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Расчеты показывают, что если бы снизить вертикальную маневренность И-185 М-71 до маневренности Чк-7, то представилось бы возможным повысить нагрузку на крыло до 275 кг у земли и далее до 307 кг для высоты 5000 м вместо имеющихся 235 кг.</w:t>
      </w:r>
    </w:p>
    <w:p w14:paraId="6A7736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Як-7 при нагрузке на крыло 177 кг имеет вертикальную скорость 16.5 м/с, а И-185 при нагрузке 235 кг - 20 м/с..."</w:t>
      </w:r>
    </w:p>
    <w:p w14:paraId="7A81F5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"...Настало время при малой удельной нагрузке на мощность мотора брать высокие удельные нагрузки на крыло, но одновременно с этим надо сильно работать над подбором крыла и его механизацией, стараясь полностью использовать Макс. для посадки. Для повышенной нагрузки у И-185 М-71 имеются все условия: при сужении крыла в плане, равном 2,45, выбран профиль НАКА 2312, у которого по продувкам ЦАГИ, срыв потока начинается на больших углах атаки от фюзеляжа; крыло имеет сильно развитые предкрылки и мощные закрылки, открывающиеся до 58-60 гр.; обеспечен большой посадочный угол крыла, равный 16.5-17 гр.; хорошо выдерживается точность профиля при изготовлении" (2863,108).</w:t>
      </w:r>
    </w:p>
    <w:p w14:paraId="66C0FC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По вопросу о немедленном запуске И-185 М71 в серийное производство:</w:t>
      </w:r>
    </w:p>
    <w:p w14:paraId="1499A6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И-185 М71 является нашей, правда, очень затянувшейся, в основном из-за неподачи мотора М90 и неполадок с мотором М71, попыткой достойного ответа германским истребителям МЕ109 и Не100.</w:t>
      </w:r>
    </w:p>
    <w:p w14:paraId="659FC2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то, что со времени начала его постройки 1рошло уже три года, на сегодня И-185 М71 является единственным в СССР истребителем под 18-иилиндровый мотор воздушного охлаждения, могущий противостоять таким первоклассным германским истребителям как Ме-109G2 как по скоростям, так и по огневой мощи.</w:t>
      </w:r>
    </w:p>
    <w:p w14:paraId="3CE2BC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Me-109G2 уже встречались с истребителями Як и Ла на Сталинградском фронте и, по рассказам очевидцев, борьба с ними была не под силу нашим истребителям.</w:t>
      </w:r>
    </w:p>
    <w:p w14:paraId="61753B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Наступающая весна может принести нам еще больше неожиданностей и неприятностей, если мы немедленно не станем создавать действительно современные скоростные истребители со скоростями 700 км/ч и сильнейшим пушечным вооружением.</w:t>
      </w:r>
    </w:p>
    <w:p w14:paraId="697706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Скажем прямо, что НКАП в последние годы чересчур увлекался модернизацией серийных самолетов - делом, безусловно, нужным, и очень мало уделял внимания созданию новых, более скоростных, более мощных в боевом отношении истребителей.</w:t>
      </w:r>
    </w:p>
    <w:p w14:paraId="163D13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Рассуждали так, что в текущей войне важно количество, а не качество. НКАПом всегда демонстрировались, а НИИ ВВС услужливо подтверждались графики, где наши серийные самолеты далеко перегоняли (правда, на бумаге) германские истребители; подыскивались самые разнообразные мотивы для объяснения неудач наших истребителей под Сталинградом.</w:t>
      </w:r>
    </w:p>
    <w:p w14:paraId="4011BD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К этому присоединялось нежелание заниматься, конечно, трудным делом внедрения в серию нового истребителя.</w:t>
      </w:r>
    </w:p>
    <w:p w14:paraId="03A1E1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Поэтому при появлении нового истребителя начинались опасения самого разнообразного свойства: моторов М71 нет, следовательно, самолет нереален. Затем говорили, что нет самолета под М71, поэтому мотор М71 нереален, и строить его не нужно. Требовали неоднократных гос. испытаний самолета, и всегда как-то оказывалось, что самолет все же недоиспытан. Наконец, самым кардинальным мотивом было то, что нет завода для постройки серии.</w:t>
      </w:r>
    </w:p>
    <w:p w14:paraId="746340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Понятно, что все эти мотивы легко отпадают, когда ясна будет железная необходимость войны иметь всегда лучшее оружие, чем оружие врага. На сегодня в части истребителя этого у нас нет, наши истребители безусловно уступают Мессершмитту Me 109G2 и если бои с ним иногда дают успех, то, конечно, за счет искусства и мужества наших летчиков, а не совершенства материальной части.</w:t>
      </w:r>
    </w:p>
    <w:p w14:paraId="1EB96D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Нам кажется, что самолет И-185 М71 испытан достаточно, так как Государственные испытания прошли три самолета - два с М71 и один с М82, причем по ним были получены очень неплохие заключения ВВС.</w:t>
      </w:r>
    </w:p>
    <w:p w14:paraId="4AA067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Имеется завод М, не занятый серией, который охотно берется внедрить в серию этот самолет в кратчайшие сроки.</w:t>
      </w:r>
    </w:p>
    <w:p w14:paraId="06A97E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Вместе с заводом М (плохо работающим на периферии) он имеет все шансы превратиться в могучий истребительный завод в Москве.</w:t>
      </w:r>
    </w:p>
    <w:p w14:paraId="2F7709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Модификация и дальнейшее усовершенствование И-185 М71 гарантировано, так как наш коллектив, создавший этот самолет в основном работает в Москве, на заводе "К".</w:t>
      </w:r>
    </w:p>
    <w:p w14:paraId="04B0ED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многочисленным отзывам летчиков, в том числе фронтовиков, самолет И-1 85 М71, являясь развитием И-1 6, очень близок к нему по пилотированию, что страшно облегчает освоение летным составом такого скоростного истребителя. По своим летным и боевым качествам И-185 М71 полностью удовлетворяет боевых летчиков, вследствие чего в своих отзывах они требуют побольше таких самолетов на фронт." (2863,110).</w:t>
      </w:r>
    </w:p>
    <w:p w14:paraId="129987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DD87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(23 - 815,12) февраля 1943 П.М.Стефановский разбил Як-9У с М-107А и это задержало его внедрение (65,147) из-за тряски мотора (815,12).</w:t>
      </w:r>
    </w:p>
    <w:p w14:paraId="1BA465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C3F5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февраля 1943 г. П.М.Стефановский разогнал машину Як-9 М-107А до максимальной скорости на мерной базе. Вдруг загорелся и заглох мотор. При посадке с останов</w:t>
      </w:r>
      <w:r w:rsidRPr="00D03F3E">
        <w:rPr>
          <w:rFonts w:ascii="Times New Roman" w:hAnsi="Times New Roman"/>
          <w:color w:val="000000" w:themeColor="text1"/>
          <w:sz w:val="16"/>
          <w:szCs w:val="16"/>
        </w:rPr>
        <w:softHyphen/>
        <w:t>ленным двигателем Стефановский зацепился за прово</w:t>
      </w:r>
      <w:r w:rsidRPr="00D03F3E">
        <w:rPr>
          <w:rFonts w:ascii="Times New Roman" w:hAnsi="Times New Roman"/>
          <w:color w:val="000000" w:themeColor="text1"/>
          <w:sz w:val="16"/>
          <w:szCs w:val="16"/>
        </w:rPr>
        <w:softHyphen/>
        <w:t>да, самолет был разбит, летчик остался жив, но провел около полугода в госпитале. Расследование причины аварии показало, что М-107А имеет серьезные дефекты. Его серийное производство прекратили, ОКБ В.Я.Климова вновь занялось доводкой мотора. И лишь спустя почти год и мотор М-107А, и са</w:t>
      </w:r>
      <w:r w:rsidRPr="00D03F3E">
        <w:rPr>
          <w:rFonts w:ascii="Times New Roman" w:hAnsi="Times New Roman"/>
          <w:color w:val="000000" w:themeColor="text1"/>
          <w:sz w:val="16"/>
          <w:szCs w:val="16"/>
        </w:rPr>
        <w:softHyphen/>
        <w:t>молеты с ним появились на вооружении (10667). А.С.Яковлев безуспешно пытался добиться разреше</w:t>
      </w:r>
      <w:r w:rsidRPr="00D03F3E">
        <w:rPr>
          <w:rFonts w:ascii="Times New Roman" w:hAnsi="Times New Roman"/>
          <w:color w:val="000000" w:themeColor="text1"/>
          <w:sz w:val="16"/>
          <w:szCs w:val="16"/>
        </w:rPr>
        <w:softHyphen/>
        <w:t>ния на постройку войсковой серии Як-9 с М-107А. По его просьбе летчик-испытатель П.Я.Федрови в марте 1943 г. обратился с письмом к наркому авиапромыш</w:t>
      </w:r>
      <w:r w:rsidRPr="00D03F3E">
        <w:rPr>
          <w:rFonts w:ascii="Times New Roman" w:hAnsi="Times New Roman"/>
          <w:color w:val="000000" w:themeColor="text1"/>
          <w:sz w:val="16"/>
          <w:szCs w:val="16"/>
        </w:rPr>
        <w:softHyphen/>
        <w:t>ленности А.И.Шахурину, в котором просил дать распо</w:t>
      </w:r>
      <w:r w:rsidRPr="00D03F3E">
        <w:rPr>
          <w:rFonts w:ascii="Times New Roman" w:hAnsi="Times New Roman"/>
          <w:color w:val="000000" w:themeColor="text1"/>
          <w:sz w:val="16"/>
          <w:szCs w:val="16"/>
        </w:rPr>
        <w:softHyphen/>
        <w:t>ряжение о постройке войсковой серии указанных машин, ссылаясь на то, что «Як» по технике пилотиро</w:t>
      </w:r>
      <w:r w:rsidRPr="00D03F3E">
        <w:rPr>
          <w:rFonts w:ascii="Times New Roman" w:hAnsi="Times New Roman"/>
          <w:color w:val="000000" w:themeColor="text1"/>
          <w:sz w:val="16"/>
          <w:szCs w:val="16"/>
        </w:rPr>
        <w:softHyphen/>
        <w:t>вания проще И-185 (?), и имеет лучшую маневренность. Но реакции на письмо Федрови не последовало (10667).</w:t>
      </w:r>
    </w:p>
    <w:p w14:paraId="54A6D40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201151"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25 февраля</w:t>
      </w:r>
      <w:r w:rsidRPr="00D03F3E">
        <w:rPr>
          <w:rFonts w:ascii="Times New Roman" w:hAnsi="Times New Roman"/>
          <w:color w:val="000000" w:themeColor="text1"/>
          <w:sz w:val="16"/>
          <w:szCs w:val="16"/>
        </w:rPr>
        <w:t xml:space="preserve"> в 1943 году заключительный полет П.М.Стефановского перед сдачей самолета </w:t>
      </w:r>
      <w:hyperlink r:id="rId74" w:tgtFrame="_blank" w:history="1">
        <w:r w:rsidRPr="00D03F3E">
          <w:rPr>
            <w:rFonts w:ascii="Times New Roman" w:hAnsi="Times New Roman"/>
            <w:color w:val="000000" w:themeColor="text1"/>
            <w:sz w:val="16"/>
            <w:szCs w:val="16"/>
          </w:rPr>
          <w:t xml:space="preserve">«Як-9У» </w:t>
        </w:r>
      </w:hyperlink>
      <w:r w:rsidRPr="00D03F3E">
        <w:rPr>
          <w:rFonts w:ascii="Times New Roman" w:hAnsi="Times New Roman"/>
          <w:color w:val="000000" w:themeColor="text1"/>
          <w:sz w:val="16"/>
          <w:szCs w:val="16"/>
        </w:rPr>
        <w:t>с двигателем «М-107А» в HИИ ВВС для госиспытаний, закончился аварией. Эта авария вместе с трудностями доводки ВМГ привела к задержке установки двигателя «М-107А» на серийные самолеты более чем на год. «Як-9У» (улучшенный) с новым более мощным (1500 л.с.) и высотным двигателем «ВК-107А» и трехлопастным винтом «ВИШ-107ЛО» диаметром 3,1 м являлся модификацией истребителя «Як-9У» «ВК-105ПФ2». Он также имел смешанную конструкцию: каркасы фюзеляжа и крыла - металлические, обшивка - фанерная. «Як-9У» «ВК-107А» отличался в основном винтомоторной группой и вооружением. Двигатель «ВК-107А» под маркой «М-107А» был создан и проходил 50-часовые испытания еще в 1942 г. В отчете по испытаниям (декабрь 1942 г.) отмечалось, что активное участие «М-107А» в боевых операциях возможно, хотя основным двигателем массовой серийной авиации в этот период «М-107А» стать не может (15051).</w:t>
      </w:r>
    </w:p>
    <w:p w14:paraId="2C4519EF" w14:textId="77777777" w:rsidR="001E7A6D" w:rsidRPr="00D03F3E" w:rsidRDefault="001E7A6D" w:rsidP="00D03F3E">
      <w:pPr>
        <w:spacing w:after="0" w:line="240" w:lineRule="auto"/>
        <w:jc w:val="both"/>
        <w:rPr>
          <w:rFonts w:ascii="Times New Roman" w:hAnsi="Times New Roman"/>
          <w:color w:val="000000" w:themeColor="text1"/>
          <w:sz w:val="16"/>
          <w:szCs w:val="16"/>
        </w:rPr>
      </w:pPr>
    </w:p>
    <w:p w14:paraId="7200A09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D1CC4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9BE2C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февраля 1943 года вышел приказ № 105с НКТП</w:t>
      </w:r>
    </w:p>
    <w:p w14:paraId="3E58A5A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улучшения конструкции и условий эксплуатации существующих танковых моторов, изучения опыта иностранного моторостроения и создания новых танковых дизелей:</w:t>
      </w:r>
    </w:p>
    <w:p w14:paraId="69D7766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Организовать при заводе № 39 ОКБ НКТП по моторостроению (ОКБМ НКТП) с экспериментально-производственной базой при нем (6131, 22).</w:t>
      </w:r>
    </w:p>
    <w:p w14:paraId="09E5D72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7C0AE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февраля 1943 года вышел приказ № 109с НКТП</w:t>
      </w:r>
    </w:p>
    <w:p w14:paraId="1EBAEC9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организации восстановления завода № 183 в Харькове с целью развертывания производства ремонта танков Т-34:</w:t>
      </w:r>
    </w:p>
    <w:p w14:paraId="0412A72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Организовать в Харькове филиал завода № 183 (6131, 36).</w:t>
      </w:r>
    </w:p>
    <w:p w14:paraId="5AA2941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19621F" w14:textId="77777777" w:rsidR="00AC5101" w:rsidRPr="00D03F3E" w:rsidRDefault="00AC5101" w:rsidP="00D03F3E">
      <w:pPr>
        <w:pStyle w:val="a3"/>
        <w:rPr>
          <w:color w:val="000000" w:themeColor="text1"/>
          <w:lang w:val="ru-RU"/>
        </w:rPr>
      </w:pPr>
      <w:r w:rsidRPr="00D03F3E">
        <w:rPr>
          <w:color w:val="000000" w:themeColor="text1"/>
          <w:lang w:val="ru-RU"/>
        </w:rPr>
        <w:t>25 февраля 1943 года в приказе НКТП № 109с было принято решение начать восстановление с развёртывания в Харькове на базе оставшегося в Харькове оборудования завода по ремонту танков. Но, к сожалению, Харьков недолго оставался в руках советских войск. В результате организованного Э. Манштейном контрнаступления советские войска 16 марта 1943 года второй раз оставили город. Окончательно Харьков был освобождён в ходе Курской битвы 23 августа 1943 года. Второй раз в город была направлена комиссия для исследования состояния заводов. Опять было решено создать завод по ремонту танков (приказ НКТП № 535с от 4 сентября 1943 года). Но руководство страны не собиралось ограничиваться организацией в Харькове ремонтных предприятий. Предполагалось, что в послевоенный период в Харькове снова будет функционировать крупный танкостроительный завод. Поэтому харьковские заводы, в отличие от СТЗ, восстанавливали именно как танкостроительное предприятие.</w:t>
      </w:r>
    </w:p>
    <w:p w14:paraId="2AD61894" w14:textId="77777777" w:rsidR="00AC5101" w:rsidRPr="00D03F3E" w:rsidRDefault="00AC5101" w:rsidP="00D03F3E">
      <w:pPr>
        <w:pStyle w:val="a3"/>
        <w:rPr>
          <w:color w:val="000000" w:themeColor="text1"/>
          <w:lang w:val="ru-RU"/>
        </w:rPr>
      </w:pPr>
      <w:r w:rsidRPr="00D03F3E">
        <w:rPr>
          <w:color w:val="000000" w:themeColor="text1"/>
          <w:lang w:val="ru-RU"/>
        </w:rPr>
        <w:t>13 октября 1943 года постановлением СНК №19676рс объединённым в Харькове остаткам заводов № 183 и № 75 был присвоен № 75. В приказе НКТП № 616с от 16 ноября 1943 года был определён порядок восстановления этого предприятия (РГАЭ. Ф. 8752. Оп. 4. Д. 308. Л. 274-272). Намечалось три этапа возрождения производства на заводе. На первом этапе, который предполагалось завершить к 1 марта 1944 года, завод должен был организовать ремонт танков и моторов, а также начать выпуск артиллерийских тягачей в кооперации с другими заводами. На втором этапе, к 1 июля 1944 года, завод должен был добиться независимости от кооперации в производстве арттягачей, освоив производство основных деталей к ним своими силами. На третьем этапе, к ноябрю 1944 года, завод должен был уже начать производство своими силами не только арттягачей, но и дизелей, топливной аппаратуры и танков.</w:t>
      </w:r>
    </w:p>
    <w:p w14:paraId="7279AD05" w14:textId="77777777" w:rsidR="00AC5101" w:rsidRPr="00D03F3E" w:rsidRDefault="00AC5101" w:rsidP="00D03F3E">
      <w:pPr>
        <w:pStyle w:val="a3"/>
        <w:rPr>
          <w:color w:val="000000" w:themeColor="text1"/>
          <w:lang w:val="ru-RU"/>
        </w:rPr>
      </w:pPr>
      <w:r w:rsidRPr="00D03F3E">
        <w:rPr>
          <w:color w:val="000000" w:themeColor="text1"/>
          <w:lang w:val="ru-RU"/>
        </w:rPr>
        <w:t>К концу года восстановительные работы дали первые результаты. Площадь важнейших цехов завода достигла уже 95 тысяч квадратных метров. В распоряжении завода имелось 117 металлорежущих станков. На заводе уже начали работать две мартеновские печи общим тоннажем в 50 тонн (РГАЭ. Ф. 8752. Оп. 4. Д. 728. Л. 35).</w:t>
      </w:r>
    </w:p>
    <w:p w14:paraId="40EF8F0E"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414FD7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февраля 1943 Ждановцы закончили отливку более 250 заготовок деталей для строившихся боевых катеров и продолжали ремонт кораблей. На Петрозаводе завершили ремонт ледокола "Волынец" (10671). В связи с постройкой БК ижорцы организовали специальный цех для изготовления броневых секций боевых рубок и артиллерийских башен. Завод "Русский дизель" принимал участие в ремонте кораблей (совместно с их личным составом), отремонтировал дизели электрогенераторов на крейсерах "Киров" и "Максим Горький" (10671).</w:t>
      </w:r>
    </w:p>
    <w:p w14:paraId="2F181F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6D4983" w14:textId="77777777" w:rsidR="001E7A6D"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3AA9FB1C" w14:textId="77777777" w:rsidR="001E7A6D" w:rsidRPr="00D03F3E" w:rsidRDefault="001E7A6D"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1336D1"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25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4A2ABB01"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25 февраля наши войска вели наступательные бои на прежних направлениях.</w:t>
      </w:r>
    </w:p>
    <w:p w14:paraId="6454EF5A"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подразделения ночью проникли на одну высоту и в результате упорной рукопашной схватки заняли её. В бою уничтожено до 100 гитлеровцев. Ружейным огнём сбит самолёт противника.</w:t>
      </w:r>
    </w:p>
    <w:p w14:paraId="296F2F4E"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наши войска продолжали наступление и заняли два населённых пункта. Бойцы Н-ской части отбили контратаку немецкой пехоты. Истреблено несколько сот гитлеровцев, подбито и сожжено 5 танков противника. На другом участке советские танкисты разгромили немецкий обоз, направлявшийся к линии фронта. Уничтожено 18 автомашин и 23 повозки с боеприпасами.</w:t>
      </w:r>
    </w:p>
    <w:p w14:paraId="2976947C"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Краматорской наши войска отбивали контратака танков и пехоты противника. На участке Н-ской части огнём противотанковой артиллерии и бронебойщиками уничтожено 6 немецких танков, 2. бронемашины и 16 автомашин. Рассеян и частично истреблен батальон пехоты противника.</w:t>
      </w:r>
    </w:p>
    <w:p w14:paraId="452B2805"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Харькова наши войска продвигались вперёд. Подразделения Н-ской части сбили передовые заслоны противника и заняли один населённый пункт.</w:t>
      </w:r>
    </w:p>
    <w:p w14:paraId="23AB32E4"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уличном бою уничтожено более 200 немецких солдат и офицеров. Захвачены трофеи и пленные.</w:t>
      </w:r>
    </w:p>
    <w:p w14:paraId="79CC1DF4"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наши войска продолжали наступление и овладели рядом населённых пунктов. В районе Малоархангельска захвачены 14 орудий, несколько сот винтовок, до 50.000 патронов, 52 автомашины и 162 повозки с грузом, склады с зерном и картофелем. На другом участке за два дня боёв Н-ская часть уничтожила до 300 немецких солдат и офицеров. Взято в плен 56 солдат противника.</w:t>
      </w:r>
    </w:p>
    <w:p w14:paraId="26A624A2"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Западнее Краснодара части Н-ского соединения в упорных боях за три дня истребили свыше батальона немецких солдат и офицеров. Захвачены трофеи: 15 орудий, 67 пулемётов, 124 автомашины, 167 лошадей, 2.500 снарядов, 2 тысячи мин, склад боеприпасов и 6 складов с различным военным имуществом и продовольствием, взято в плен 164 вражеских солдата и офицера.</w:t>
      </w:r>
    </w:p>
    <w:p w14:paraId="4ED83298"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одном из районов Смоленской области, с 12 января по 5 февраля организовали крушения 6 немецких воинских эшелонов. Разбито и повреждено 110 вагонов, платформ цистерн. Под обломками вагонов погибло большое число солдат и офицеров противника.</w:t>
      </w:r>
    </w:p>
    <w:p w14:paraId="5719BF98"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Бойцы, командиры и политработники Красной Армии встретили приказ ВерховногоГлавнокомандующего товарища Сталина с огромным воодушевлением. Во многих прифронтовых и тыловых гарнизонах после зачтения приказа состоялись массовые митинги. Короткие митинги прошли также на позициях многих участков фронта. В взволнованных речах бойцы, командиры и политработники Красной Армии заявляют освоей непреклонной решимости усилить удары по врагу и добить его окончательно.</w:t>
      </w:r>
    </w:p>
    <w:p w14:paraId="11D803E9"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Воронежском фронте в подразделении, где командиром старший лейтенант тов. Деев, с яркой речью выступил красноармеец тов. Сулейманов. Он заявил: «Нас ждут миллионы советских людей, томящихся под гнётом немецко-фашистских поработителей. Будем же нещадно бить и гнать гитлеровцев до полного их разгрома и уничтожения».</w:t>
      </w:r>
    </w:p>
    <w:p w14:paraId="271AC562"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Юго-Западном фронте в гвардейской части, где командиром тов. Журавлёв, на митинге выступил сержант тов. Жеслин, который сказал: «Родина возложила на нас благородную и почётную обязанность — очистить священную советскую землю от немецко-фашистских людоедов. Поклянёмся же, товарищи, сегодня, в день 25-й годовщины Красной Армии, что не осрамим боевого гвардейского знамени, выполним с честью приказ Верховного Главнокомандующего и оправдаем надежды советского народа. Ещё с большей энергией будем бить немецких захватчиков, не давая им покоя ни днём, ни ночью».</w:t>
      </w:r>
    </w:p>
    <w:p w14:paraId="4912FBDF"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зачтения приказа товарища Сталина группа лётчиков части, где командиром тов. Кондратюк, вылетела на выполнение боевого задания. Восемь советских истребителей под командой гвардии капитана тов. Кислякова 23 февраля сбили 7 немецких самолётов.</w:t>
      </w:r>
    </w:p>
    <w:p w14:paraId="7855677C"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Карельском фронте в части, где командиром тов. Перепелица, на митинге выступил снайпер красноармеец тов. Остриков: «Я истребил уже 96 фашистов. Клянусь товарищу Сталину к Родине, что не пощажу ни сил, ни самой жизни и без устали, днём и ночью, буду уничтожать фашистскую сволочь».</w:t>
      </w:r>
    </w:p>
    <w:p w14:paraId="7F6FF934"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большим подъёмом прошли митинги в частях Московского военного округа. В Н-ском полку выступил старшина тов. Чурилов: «Приказ товарища Сталина,— сказал он, — указал нам путь к победе над врагом. Не теряя ни одной минуты, будем совершенствовать боевую выучку и станем непревзойдёнными мастерами своего оружия. Когда Верховный Главнокомандующий пошлёт нас в бой, мы покажем, на что способны советские воины, сражающиеся за честь, свободу и независимость своей Родины» (15051).</w:t>
      </w:r>
    </w:p>
    <w:p w14:paraId="05B83528" w14:textId="77777777" w:rsidR="001E7A6D" w:rsidRPr="00D03F3E" w:rsidRDefault="001E7A6D" w:rsidP="00D03F3E">
      <w:pPr>
        <w:spacing w:after="0" w:line="240" w:lineRule="auto"/>
        <w:jc w:val="both"/>
        <w:rPr>
          <w:rFonts w:ascii="Times New Roman" w:hAnsi="Times New Roman"/>
          <w:color w:val="000000" w:themeColor="text1"/>
          <w:sz w:val="16"/>
          <w:szCs w:val="16"/>
        </w:rPr>
      </w:pPr>
    </w:p>
    <w:p w14:paraId="06DBFD5A"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25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4093138D"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25 февраля наши войска вели наступательные бои на прежних направлениях.</w:t>
      </w:r>
    </w:p>
    <w:p w14:paraId="6561E85B"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февраля частями нашей авиации на различных участках фронта уничтожено или повреждено до 200 немецких автомашин с войсками и грузами, подавлен огонь 10 артиллерийских и 5 миномётных батарей противника.</w:t>
      </w:r>
    </w:p>
    <w:p w14:paraId="781BC69E"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войска вели наступательные бои и овладели опорным пунктом противника. На поле боя осталось свыше 100 вражеских трупов. Захвачено 13 пулемётов, много винтовок и боеприпасов.</w:t>
      </w:r>
    </w:p>
    <w:p w14:paraId="5C9F9A40"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наши войска продолжали наступление. Части Н-ского соединения овладели рядом населенных пунктов, в боях за которые истребили до 300 вражеских солдат и офицеров. Уничтожено 5 немецких танков, несколько орудий и пулемётов.</w:t>
      </w:r>
    </w:p>
    <w:p w14:paraId="71ED7704"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Краматорской Н-ская часть уничтожила до двух рот немецкой пехоты. Взяты в плен 30 солдат противника. Бойцы другой нашей части, отбивая контратаки гитлеровцев, истребили до 400 немецких солдат и офицеров и подбили 3 танка противника. Захвачены 4 противотанковых орудия, 3 миномёта и батальонный медпункт. Наши лётчики совершили несколько налётов на вражеские аэродромы и уничтожили на земле 17 немецких самолётов.</w:t>
      </w:r>
    </w:p>
    <w:p w14:paraId="3DFBD8A1"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Харькова наши войска вели наступление и заняли ряд населённых пунктов. На одном участке немцы пытались атаковать Н-скую часть. Контрударом наши бойцы опрокинули противника и обратили его в бегство. На поле боя осталось свыше 100 убитых и до 300 раненых немецких солдат и офицеров.</w:t>
      </w:r>
    </w:p>
    <w:p w14:paraId="01B25BDA"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Краснодара наши части, продвигаясь вперёд, окружили станицу Мингрельская. Вражеский гарнизон отказался сложить оружие. Советские войска штурмом заняли Мингрельскую и истребили находившиеся в ней два батальона 101 немецкой легкопехотной дивизии. Захвачены 8 орудий, 70 пулемётов, несколько вещевых, продовольственных складов и склад боеприпасов. Остатки немецкого гарнизона в количестве 200 человек взяты в плен. Гитлеровцы, действующие западнее Мингрельской, пытались оказать помощь окружённому гарнизону. Стремительной атакой наших подразделений противник был отброшен. Советские лётчики сбили 4 немецких транспортных самолёта.</w:t>
      </w:r>
    </w:p>
    <w:p w14:paraId="327A78FD"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Украины, из засады атаковал проходившую по шоссе немецкую колонну. Гитлеровцы в панике разбежались, оставив на шоссе 70 трупов. Партизаны захватили 5 пулемётов, 60 винтовок, 12 подвод с боеприпасами и продовольствием. Группа партизан этого отряда захватила в одном населённом пункте 2 немецких орудия, несколько винтовок и 5 тысяч патронов.</w:t>
      </w:r>
    </w:p>
    <w:p w14:paraId="1F803DA2"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Получено сообщение о кровавых злодеяниях немецко-фашистских мерзавцев в Витебской области, Белорусской ССР. Оккупанты опустошают целые деревни и поголовно истребляют мирное советское население. В январе гитлеровские палачи замучили и расстреляли только в Полоцком районе 546 мирных жителей. В числе расстрелянных старик Васильев, колхозница деревни Соснош Евдокия Стернева, колхозник Иван Матюшенко и другие.</w:t>
      </w:r>
    </w:p>
    <w:p w14:paraId="15C9316B"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Французские патриоты усиливают борьбу против немецких поработителей. В окрестностях Лиона отряд свободных стрелков напал на немецкую автоколонну. Патриоты истребили 13 гитлеровцев и сожгли 6 автомашин с приборами и запасными частями для зенитных орудий. На железнодорожной линии Реймс—Ретель свободные стрелки организовали крушение немецкого эшелона с оружием и боеприпасами. В Париже в ресторан, где обедали немецкие офицеры, брошена бомба большой разрушительной силы. Убито и ранено 11 гитлеровцев.» (15051).</w:t>
      </w:r>
    </w:p>
    <w:p w14:paraId="627986DF" w14:textId="77777777" w:rsidR="001E7A6D" w:rsidRPr="00D03F3E" w:rsidRDefault="001E7A6D" w:rsidP="00D03F3E">
      <w:pPr>
        <w:spacing w:after="0" w:line="240" w:lineRule="auto"/>
        <w:jc w:val="both"/>
        <w:rPr>
          <w:rFonts w:ascii="Times New Roman" w:hAnsi="Times New Roman"/>
          <w:color w:val="000000" w:themeColor="text1"/>
          <w:sz w:val="16"/>
          <w:szCs w:val="16"/>
        </w:rPr>
      </w:pPr>
    </w:p>
    <w:p w14:paraId="6B381145"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февраля в 1943 году войска Центрального фронта с рубежа Рождественское, Брянцево, Беляево перешли в наступление в общем направлении на Брянск. Войска правого крыла Юго-Западного фронта отошли на рубеж Охочае, Сахновщина, Лозовая, Барвенково, Краматорск (15051).</w:t>
      </w:r>
    </w:p>
    <w:p w14:paraId="60FB725C" w14:textId="77777777" w:rsidR="001E7A6D" w:rsidRPr="00D03F3E" w:rsidRDefault="001E7A6D" w:rsidP="00D03F3E">
      <w:pPr>
        <w:spacing w:after="0" w:line="240" w:lineRule="auto"/>
        <w:jc w:val="both"/>
        <w:rPr>
          <w:rFonts w:ascii="Times New Roman" w:hAnsi="Times New Roman"/>
          <w:color w:val="000000" w:themeColor="text1"/>
          <w:sz w:val="16"/>
          <w:szCs w:val="16"/>
        </w:rPr>
      </w:pPr>
    </w:p>
    <w:p w14:paraId="295F1BA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40B47C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0CD8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25 февраля и 3 марта 1943. Из протокола заседания Политбюро N 39, 1943 г</w:t>
      </w:r>
    </w:p>
    <w:p w14:paraId="72D9FC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 сокращении тиражей периодических газет </w:t>
      </w:r>
    </w:p>
    <w:p w14:paraId="2FC59E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связи с острым недостатком печатной бумаги: </w:t>
      </w:r>
    </w:p>
    <w:p w14:paraId="4B549E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 Сократить с 1 марта тираж газет: "Правда" — с 1 млн 300 тыс. до 1 млн экземпляров и "Известия" — с 500 тыс. до 400 тыс. экземпляров. </w:t>
      </w:r>
    </w:p>
    <w:p w14:paraId="0843C1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 Уменьшить количество выходов газеты "Правда" с 7 до 6 раз в неделю (по вторникам газету "Правда" не выпускать). </w:t>
      </w:r>
    </w:p>
    <w:p w14:paraId="2A5C0C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3. Сократить с 1 марта тиражи всех районных, городских, областных, краевых и республиканских газет на 10%. </w:t>
      </w:r>
    </w:p>
    <w:p w14:paraId="28464C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4. Уменьшить количество выходов городских, областных, краевых и республиканских газет с 6 до 5 раз в неделю, кроме газет "Московский большевик", "Ленинградская правда" и "Вечерняя Москва". </w:t>
      </w:r>
    </w:p>
    <w:p w14:paraId="2C02C9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Установить периодичность всех районных газет один раз в неделю (11652).</w:t>
      </w:r>
    </w:p>
    <w:p w14:paraId="01E758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37441B"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1A3C8D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4134BB" w14:textId="77777777" w:rsidR="00882DFF" w:rsidRPr="00D03F3E" w:rsidRDefault="00882DF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25–26 февраля 1943 немецкий самолет атакует конвой JW 53 во время его рейса из Лох-Эве, Шотландия, в Молотовск в Советском Союзе через Баренцево море , не причинив повреждений (20376).</w:t>
      </w:r>
    </w:p>
    <w:p w14:paraId="0990BFA8" w14:textId="77777777" w:rsidR="00882DFF" w:rsidRPr="00D03F3E" w:rsidRDefault="00882DFF" w:rsidP="00D03F3E">
      <w:pPr>
        <w:spacing w:after="0" w:line="240" w:lineRule="auto"/>
        <w:jc w:val="both"/>
        <w:rPr>
          <w:rFonts w:ascii="Times New Roman" w:hAnsi="Times New Roman"/>
          <w:color w:val="0070C0"/>
          <w:sz w:val="16"/>
          <w:szCs w:val="16"/>
        </w:rPr>
      </w:pPr>
    </w:p>
    <w:p w14:paraId="201652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февраля 1943 союзники отбили проход Кассеринг (2262).</w:t>
      </w:r>
    </w:p>
    <w:p w14:paraId="136971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431809"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25 февраля</w:t>
      </w:r>
      <w:r w:rsidRPr="00D03F3E">
        <w:rPr>
          <w:rFonts w:ascii="Times New Roman" w:hAnsi="Times New Roman"/>
          <w:color w:val="000000" w:themeColor="text1"/>
          <w:sz w:val="16"/>
          <w:szCs w:val="16"/>
        </w:rPr>
        <w:t xml:space="preserve"> в 1943 году сoюзные войска вновь заняли Кассеринский перевал (15051).</w:t>
      </w:r>
    </w:p>
    <w:p w14:paraId="5BFDF3CD" w14:textId="77777777" w:rsidR="001E7A6D" w:rsidRPr="00D03F3E" w:rsidRDefault="001E7A6D" w:rsidP="00D03F3E">
      <w:pPr>
        <w:spacing w:after="0" w:line="240" w:lineRule="auto"/>
        <w:jc w:val="both"/>
        <w:rPr>
          <w:rFonts w:ascii="Times New Roman" w:hAnsi="Times New Roman"/>
          <w:color w:val="000000" w:themeColor="text1"/>
          <w:sz w:val="16"/>
          <w:szCs w:val="16"/>
        </w:rPr>
      </w:pPr>
    </w:p>
    <w:p w14:paraId="387ED3D8" w14:textId="77777777" w:rsidR="001E7A6D" w:rsidRPr="00D03F3E" w:rsidRDefault="001E7A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25 февраля</w:t>
      </w:r>
      <w:r w:rsidRPr="00D03F3E">
        <w:rPr>
          <w:rFonts w:ascii="Times New Roman" w:hAnsi="Times New Roman"/>
          <w:color w:val="000000" w:themeColor="text1"/>
          <w:sz w:val="16"/>
          <w:szCs w:val="16"/>
        </w:rPr>
        <w:t xml:space="preserve"> в 1943 году (по 28 февраля) переговоры министра иностранных дел Германии Риббентропа и заместителя начальника штаба оперативного руководства вермахта генерала В.Варлимонта в Риме с итальянским правительством и военными кругами по вопросам дальнейшего ведения войны (15051).</w:t>
      </w:r>
    </w:p>
    <w:p w14:paraId="7491CD2C" w14:textId="77777777" w:rsidR="001E7A6D" w:rsidRPr="00D03F3E" w:rsidRDefault="001E7A6D" w:rsidP="00D03F3E">
      <w:pPr>
        <w:spacing w:after="0" w:line="240" w:lineRule="auto"/>
        <w:jc w:val="both"/>
        <w:rPr>
          <w:rFonts w:ascii="Times New Roman" w:hAnsi="Times New Roman"/>
          <w:color w:val="000000" w:themeColor="text1"/>
          <w:sz w:val="16"/>
          <w:szCs w:val="16"/>
        </w:rPr>
      </w:pPr>
    </w:p>
    <w:p w14:paraId="18790A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25 февраля 1943, выполняя решение Касабланской конференции, союзники начали круглосуточные бомбардировки Германии (3907,241).</w:t>
      </w:r>
    </w:p>
    <w:p w14:paraId="769B1B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757F1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3198D0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7235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26 февраля 1943 С.В.И. писал А.И.Ш. письмо "По увеличению дальности самолета Ил-2"</w:t>
      </w:r>
    </w:p>
    <w:p w14:paraId="0E7C35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4E1808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рассмотрения возможностей увеличения дальности Ил-2 представляется возможным увеличить запас горючего на 100 кг. Существующая полная емкость баков 540 кг, а будет 640 кг.</w:t>
      </w:r>
    </w:p>
    <w:p w14:paraId="0B1A50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Увеличение горючего на 100 кг увеличивает практическую дальность полета на 100 км.</w:t>
      </w:r>
    </w:p>
    <w:p w14:paraId="0B9981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Увеличение запаса бензина на 100 кг вызывает след. изменения самолета:</w:t>
      </w:r>
    </w:p>
    <w:p w14:paraId="1AF73C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увеличение заднего бензобака</w:t>
      </w:r>
    </w:p>
    <w:p w14:paraId="19C801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сдвинуть консоли крыла назад</w:t>
      </w:r>
    </w:p>
    <w:p w14:paraId="28FB48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Чертежи могут быть даны мною 15 марта 1943.</w:t>
      </w:r>
    </w:p>
    <w:p w14:paraId="4B10CE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Один самолет с увеличенным запасом горючего может быть выпущен в полет 1 апреля 1943.</w:t>
      </w:r>
    </w:p>
    <w:p w14:paraId="5EC7E3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3567CD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февраля 1943 в процессе обсуждения вопроса о дальности самолета Ил-2 с АМ-38 Вы сказали: "дальность самолета Ил-2 400 км"</w:t>
      </w:r>
    </w:p>
    <w:p w14:paraId="6A4B25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Техническая дальность самолета Ил-2 при запасе горючего 540 кг на ск. 300 км/час, проверенная неоднократно испытанием в НИИ ВВС и при перелетах строевых частей, составляет 650 км, а надежная практическая дальность при полетах на боевые задания - 500 км.</w:t>
      </w:r>
    </w:p>
    <w:p w14:paraId="5FF887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400 км имеет место видимо потому, что УВВС не занимается по настоящему дальностью самолета Ил-2, т.е. не обучает личный состав тому, чтобы он мог надежно летать на самолете Ил-2 на дальность 500 км.</w:t>
      </w:r>
    </w:p>
    <w:p w14:paraId="5C6C2E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Вас разрешить л В.К.К. показом не посредственно на фронте обучить два-три шап с Ил-2, чтобы эти полки надежно летали на дальность 500 км, а потом на эту дальность будет летать вся штурмовая авиация.</w:t>
      </w:r>
    </w:p>
    <w:p w14:paraId="3D3468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 при проведении указанных мероприятий надежная практ. дальность самолета Ил-2 будет 600 км (1775,13).</w:t>
      </w:r>
    </w:p>
    <w:p w14:paraId="1EAA8A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A10B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февраля 1943 С.В.И. писал А.И.Ш. письмо "По вопросу увеличения дальности самолета Ил-4 до 4500 км"</w:t>
      </w:r>
    </w:p>
    <w:p w14:paraId="30441A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"Увеличить дальность самолета Ил-4 до 4500 с дизель-мотором М-30 невозможно вследствие того, что:</w:t>
      </w:r>
    </w:p>
    <w:p w14:paraId="3FC9CA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Вес ВМГ с дизель-мотором М-30 увеличивается на 1900 кг</w:t>
      </w:r>
    </w:p>
    <w:p w14:paraId="3B6EE5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Для размещения водорадиаторов приходится сокращать размеры крыльевых бензобаков.</w:t>
      </w:r>
    </w:p>
    <w:p w14:paraId="2855A2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увеличения дальность 4500 кг с дизель-мотором М-30 требуется соответствующая модификация самолета Ил-4.</w:t>
      </w:r>
    </w:p>
    <w:p w14:paraId="78378C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такая модификация самолета Ил-4 (Ил-6), базирующаяся на существующей технологии производства самолета Ил-4 мною выполнена в рабочих чертежах под моторы М-90.</w:t>
      </w:r>
    </w:p>
    <w:p w14:paraId="0624E6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 дизель-моторы М-30 сделан эскизный проект.</w:t>
      </w:r>
    </w:p>
    <w:p w14:paraId="50A927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Данные самолета Ил-4 и самолета Ил-6 с М-90 и дизель моторами М-30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1346"/>
        <w:gridCol w:w="1346"/>
        <w:gridCol w:w="4821"/>
      </w:tblGrid>
      <w:tr w:rsidR="00860B4B" w:rsidRPr="00D03F3E" w14:paraId="3E0CB4EA" w14:textId="77777777">
        <w:tc>
          <w:tcPr>
            <w:tcW w:w="3085" w:type="dxa"/>
          </w:tcPr>
          <w:p w14:paraId="046A0B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Данные</w:t>
            </w:r>
          </w:p>
        </w:tc>
        <w:tc>
          <w:tcPr>
            <w:tcW w:w="1346" w:type="dxa"/>
          </w:tcPr>
          <w:p w14:paraId="735056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Ил-4</w:t>
            </w:r>
          </w:p>
        </w:tc>
        <w:tc>
          <w:tcPr>
            <w:tcW w:w="1346" w:type="dxa"/>
          </w:tcPr>
          <w:p w14:paraId="6C154E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Ил-6 2М-90</w:t>
            </w:r>
          </w:p>
        </w:tc>
        <w:tc>
          <w:tcPr>
            <w:tcW w:w="4821" w:type="dxa"/>
          </w:tcPr>
          <w:p w14:paraId="0879A7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Ил-6 2М-30</w:t>
            </w:r>
          </w:p>
        </w:tc>
      </w:tr>
      <w:tr w:rsidR="00860B4B" w:rsidRPr="00D03F3E" w14:paraId="61624566" w14:textId="77777777">
        <w:tc>
          <w:tcPr>
            <w:tcW w:w="3085" w:type="dxa"/>
          </w:tcPr>
          <w:p w14:paraId="088543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Экипаж</w:t>
            </w:r>
          </w:p>
        </w:tc>
        <w:tc>
          <w:tcPr>
            <w:tcW w:w="1346" w:type="dxa"/>
          </w:tcPr>
          <w:p w14:paraId="7B76E0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1346" w:type="dxa"/>
          </w:tcPr>
          <w:p w14:paraId="1A8760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4821" w:type="dxa"/>
          </w:tcPr>
          <w:p w14:paraId="56A05E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r>
      <w:tr w:rsidR="00860B4B" w:rsidRPr="00D03F3E" w14:paraId="66BC77E5" w14:textId="77777777">
        <w:tc>
          <w:tcPr>
            <w:tcW w:w="3085" w:type="dxa"/>
          </w:tcPr>
          <w:p w14:paraId="120D53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них л</w:t>
            </w:r>
          </w:p>
        </w:tc>
        <w:tc>
          <w:tcPr>
            <w:tcW w:w="1346" w:type="dxa"/>
          </w:tcPr>
          <w:p w14:paraId="243E33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1346" w:type="dxa"/>
          </w:tcPr>
          <w:p w14:paraId="015642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4821" w:type="dxa"/>
          </w:tcPr>
          <w:p w14:paraId="65541B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r>
      <w:tr w:rsidR="00860B4B" w:rsidRPr="00D03F3E" w14:paraId="7BFC39D1" w14:textId="77777777">
        <w:tc>
          <w:tcPr>
            <w:tcW w:w="3085" w:type="dxa"/>
          </w:tcPr>
          <w:p w14:paraId="675076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Пулеметов Березина</w:t>
            </w:r>
          </w:p>
        </w:tc>
        <w:tc>
          <w:tcPr>
            <w:tcW w:w="1346" w:type="dxa"/>
          </w:tcPr>
          <w:p w14:paraId="14D9B6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1346" w:type="dxa"/>
          </w:tcPr>
          <w:p w14:paraId="7F36BD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4821" w:type="dxa"/>
          </w:tcPr>
          <w:p w14:paraId="7209C5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r>
      <w:tr w:rsidR="00860B4B" w:rsidRPr="00D03F3E" w14:paraId="3132B39B" w14:textId="77777777">
        <w:tc>
          <w:tcPr>
            <w:tcW w:w="3085" w:type="dxa"/>
          </w:tcPr>
          <w:p w14:paraId="164303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ШКАС</w:t>
            </w:r>
          </w:p>
        </w:tc>
        <w:tc>
          <w:tcPr>
            <w:tcW w:w="1346" w:type="dxa"/>
          </w:tcPr>
          <w:p w14:paraId="23F6D4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1346" w:type="dxa"/>
          </w:tcPr>
          <w:p w14:paraId="4F402F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4821" w:type="dxa"/>
          </w:tcPr>
          <w:p w14:paraId="6C69C8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4992B4A0" w14:textId="77777777">
        <w:tc>
          <w:tcPr>
            <w:tcW w:w="3085" w:type="dxa"/>
          </w:tcPr>
          <w:p w14:paraId="012122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Норм. бомб. Нагрузка</w:t>
            </w:r>
          </w:p>
        </w:tc>
        <w:tc>
          <w:tcPr>
            <w:tcW w:w="1346" w:type="dxa"/>
          </w:tcPr>
          <w:p w14:paraId="6F23C6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tc>
        <w:tc>
          <w:tcPr>
            <w:tcW w:w="1346" w:type="dxa"/>
          </w:tcPr>
          <w:p w14:paraId="4A85F9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w:t>
            </w:r>
          </w:p>
        </w:tc>
        <w:tc>
          <w:tcPr>
            <w:tcW w:w="4821" w:type="dxa"/>
          </w:tcPr>
          <w:p w14:paraId="10C751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w:t>
            </w:r>
          </w:p>
        </w:tc>
      </w:tr>
      <w:tr w:rsidR="00860B4B" w:rsidRPr="00D03F3E" w14:paraId="4916F9E9" w14:textId="77777777">
        <w:tc>
          <w:tcPr>
            <w:tcW w:w="3085" w:type="dxa"/>
          </w:tcPr>
          <w:p w14:paraId="1C2827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Норм. Дальность</w:t>
            </w:r>
          </w:p>
        </w:tc>
        <w:tc>
          <w:tcPr>
            <w:tcW w:w="1346" w:type="dxa"/>
          </w:tcPr>
          <w:p w14:paraId="4B852C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1200</w:t>
            </w:r>
          </w:p>
        </w:tc>
        <w:tc>
          <w:tcPr>
            <w:tcW w:w="1346" w:type="dxa"/>
          </w:tcPr>
          <w:p w14:paraId="4F0CAC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w:t>
            </w:r>
          </w:p>
        </w:tc>
        <w:tc>
          <w:tcPr>
            <w:tcW w:w="4821" w:type="dxa"/>
          </w:tcPr>
          <w:p w14:paraId="3447FF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w:t>
            </w:r>
          </w:p>
        </w:tc>
      </w:tr>
      <w:tr w:rsidR="00860B4B" w:rsidRPr="00D03F3E" w14:paraId="25AD30A5" w14:textId="77777777">
        <w:tc>
          <w:tcPr>
            <w:tcW w:w="3085" w:type="dxa"/>
          </w:tcPr>
          <w:p w14:paraId="117E2F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Ск. макс. у земли</w:t>
            </w:r>
          </w:p>
        </w:tc>
        <w:tc>
          <w:tcPr>
            <w:tcW w:w="1346" w:type="dxa"/>
          </w:tcPr>
          <w:p w14:paraId="30E08D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340</w:t>
            </w:r>
          </w:p>
        </w:tc>
        <w:tc>
          <w:tcPr>
            <w:tcW w:w="1346" w:type="dxa"/>
          </w:tcPr>
          <w:p w14:paraId="31A8BC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tc>
        <w:tc>
          <w:tcPr>
            <w:tcW w:w="4821" w:type="dxa"/>
          </w:tcPr>
          <w:p w14:paraId="3151AE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350</w:t>
            </w:r>
          </w:p>
        </w:tc>
      </w:tr>
      <w:tr w:rsidR="00860B4B" w:rsidRPr="00D03F3E" w14:paraId="6605E74F" w14:textId="77777777">
        <w:tc>
          <w:tcPr>
            <w:tcW w:w="3085" w:type="dxa"/>
          </w:tcPr>
          <w:p w14:paraId="002FE8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Ск. макс. на высоте</w:t>
            </w:r>
          </w:p>
        </w:tc>
        <w:tc>
          <w:tcPr>
            <w:tcW w:w="1346" w:type="dxa"/>
          </w:tcPr>
          <w:p w14:paraId="49030F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420</w:t>
            </w:r>
          </w:p>
        </w:tc>
        <w:tc>
          <w:tcPr>
            <w:tcW w:w="1346" w:type="dxa"/>
          </w:tcPr>
          <w:p w14:paraId="158544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475</w:t>
            </w:r>
          </w:p>
        </w:tc>
        <w:tc>
          <w:tcPr>
            <w:tcW w:w="4821" w:type="dxa"/>
          </w:tcPr>
          <w:p w14:paraId="3498D3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tc>
      </w:tr>
      <w:tr w:rsidR="00860B4B" w:rsidRPr="00D03F3E" w14:paraId="31DF7FD7" w14:textId="77777777">
        <w:tc>
          <w:tcPr>
            <w:tcW w:w="3085" w:type="dxa"/>
          </w:tcPr>
          <w:p w14:paraId="0B87A9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Вес брони</w:t>
            </w:r>
          </w:p>
        </w:tc>
        <w:tc>
          <w:tcPr>
            <w:tcW w:w="1346" w:type="dxa"/>
          </w:tcPr>
          <w:p w14:paraId="6E8BD6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w:t>
            </w:r>
          </w:p>
        </w:tc>
        <w:tc>
          <w:tcPr>
            <w:tcW w:w="1346" w:type="dxa"/>
          </w:tcPr>
          <w:p w14:paraId="05A18F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375</w:t>
            </w:r>
          </w:p>
        </w:tc>
        <w:tc>
          <w:tcPr>
            <w:tcW w:w="4821" w:type="dxa"/>
          </w:tcPr>
          <w:p w14:paraId="2204EC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375</w:t>
            </w:r>
          </w:p>
        </w:tc>
      </w:tr>
      <w:tr w:rsidR="00860B4B" w:rsidRPr="00D03F3E" w14:paraId="251AC5DD" w14:textId="77777777">
        <w:tc>
          <w:tcPr>
            <w:tcW w:w="3085" w:type="dxa"/>
          </w:tcPr>
          <w:p w14:paraId="663836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Перегруз. Вариант</w:t>
            </w:r>
          </w:p>
        </w:tc>
        <w:tc>
          <w:tcPr>
            <w:tcW w:w="1346" w:type="dxa"/>
          </w:tcPr>
          <w:p w14:paraId="159EB6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6" w:type="dxa"/>
          </w:tcPr>
          <w:p w14:paraId="04C18A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821" w:type="dxa"/>
          </w:tcPr>
          <w:p w14:paraId="0FD979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938A346" w14:textId="77777777">
        <w:tc>
          <w:tcPr>
            <w:tcW w:w="3085" w:type="dxa"/>
          </w:tcPr>
          <w:p w14:paraId="0F257C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Дальн. при 10% остатка</w:t>
            </w:r>
          </w:p>
        </w:tc>
        <w:tc>
          <w:tcPr>
            <w:tcW w:w="1346" w:type="dxa"/>
          </w:tcPr>
          <w:p w14:paraId="2C2A57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6" w:type="dxa"/>
          </w:tcPr>
          <w:p w14:paraId="6F7AC3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821" w:type="dxa"/>
          </w:tcPr>
          <w:p w14:paraId="53A197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D4128D1" w14:textId="77777777">
        <w:tc>
          <w:tcPr>
            <w:tcW w:w="3085" w:type="dxa"/>
          </w:tcPr>
          <w:p w14:paraId="0CDCA2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на скорости 325-350</w:t>
            </w:r>
          </w:p>
        </w:tc>
        <w:tc>
          <w:tcPr>
            <w:tcW w:w="1346" w:type="dxa"/>
          </w:tcPr>
          <w:p w14:paraId="07447C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3250</w:t>
            </w:r>
          </w:p>
        </w:tc>
        <w:tc>
          <w:tcPr>
            <w:tcW w:w="1346" w:type="dxa"/>
          </w:tcPr>
          <w:p w14:paraId="6967CF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3200</w:t>
            </w:r>
          </w:p>
        </w:tc>
        <w:tc>
          <w:tcPr>
            <w:tcW w:w="4821" w:type="dxa"/>
          </w:tcPr>
          <w:p w14:paraId="4E7FF0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3500</w:t>
            </w:r>
          </w:p>
        </w:tc>
      </w:tr>
      <w:tr w:rsidR="00860B4B" w:rsidRPr="00D03F3E" w14:paraId="36894E39" w14:textId="77777777">
        <w:tc>
          <w:tcPr>
            <w:tcW w:w="3085" w:type="dxa"/>
          </w:tcPr>
          <w:p w14:paraId="67C799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бомб</w:t>
            </w:r>
          </w:p>
        </w:tc>
        <w:tc>
          <w:tcPr>
            <w:tcW w:w="1346" w:type="dxa"/>
          </w:tcPr>
          <w:p w14:paraId="6F48E5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tc>
        <w:tc>
          <w:tcPr>
            <w:tcW w:w="1346" w:type="dxa"/>
          </w:tcPr>
          <w:p w14:paraId="5AA924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w:t>
            </w:r>
          </w:p>
        </w:tc>
        <w:tc>
          <w:tcPr>
            <w:tcW w:w="4821" w:type="dxa"/>
          </w:tcPr>
          <w:p w14:paraId="25F156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w:t>
            </w:r>
          </w:p>
        </w:tc>
      </w:tr>
      <w:tr w:rsidR="00860B4B" w:rsidRPr="00D03F3E" w14:paraId="3B38C229" w14:textId="77777777">
        <w:tc>
          <w:tcPr>
            <w:tcW w:w="3085" w:type="dxa"/>
          </w:tcPr>
          <w:p w14:paraId="4C8AB0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Дальн. при 10% остатка</w:t>
            </w:r>
          </w:p>
        </w:tc>
        <w:tc>
          <w:tcPr>
            <w:tcW w:w="1346" w:type="dxa"/>
          </w:tcPr>
          <w:p w14:paraId="7FA7EF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6" w:type="dxa"/>
          </w:tcPr>
          <w:p w14:paraId="689FC7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821" w:type="dxa"/>
          </w:tcPr>
          <w:p w14:paraId="54AAE5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361DC71" w14:textId="77777777">
        <w:tc>
          <w:tcPr>
            <w:tcW w:w="3085" w:type="dxa"/>
          </w:tcPr>
          <w:p w14:paraId="0B7D62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1000 кг бомб</w:t>
            </w:r>
          </w:p>
        </w:tc>
        <w:tc>
          <w:tcPr>
            <w:tcW w:w="1346" w:type="dxa"/>
          </w:tcPr>
          <w:p w14:paraId="64463B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3250</w:t>
            </w:r>
          </w:p>
        </w:tc>
        <w:tc>
          <w:tcPr>
            <w:tcW w:w="1346" w:type="dxa"/>
          </w:tcPr>
          <w:p w14:paraId="756E5C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3700</w:t>
            </w:r>
          </w:p>
        </w:tc>
        <w:tc>
          <w:tcPr>
            <w:tcW w:w="4821" w:type="dxa"/>
          </w:tcPr>
          <w:p w14:paraId="25DBFC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4500</w:t>
            </w:r>
          </w:p>
        </w:tc>
      </w:tr>
      <w:tr w:rsidR="00860B4B" w:rsidRPr="00D03F3E" w14:paraId="7C70ADA6" w14:textId="77777777">
        <w:tc>
          <w:tcPr>
            <w:tcW w:w="3085" w:type="dxa"/>
          </w:tcPr>
          <w:p w14:paraId="5C527A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Макс. бомб. Нагрузка</w:t>
            </w:r>
          </w:p>
        </w:tc>
        <w:tc>
          <w:tcPr>
            <w:tcW w:w="1346" w:type="dxa"/>
          </w:tcPr>
          <w:p w14:paraId="632D65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2500</w:t>
            </w:r>
          </w:p>
        </w:tc>
        <w:tc>
          <w:tcPr>
            <w:tcW w:w="1346" w:type="dxa"/>
          </w:tcPr>
          <w:p w14:paraId="5F9BDB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4000</w:t>
            </w:r>
          </w:p>
        </w:tc>
        <w:tc>
          <w:tcPr>
            <w:tcW w:w="4821" w:type="dxa"/>
          </w:tcPr>
          <w:p w14:paraId="793835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4000</w:t>
            </w:r>
          </w:p>
        </w:tc>
      </w:tr>
      <w:tr w:rsidR="00860B4B" w:rsidRPr="00D03F3E" w14:paraId="3DB337A6" w14:textId="77777777">
        <w:tc>
          <w:tcPr>
            <w:tcW w:w="3085" w:type="dxa"/>
          </w:tcPr>
          <w:p w14:paraId="09C2BE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дальность с этой нагр.</w:t>
            </w:r>
          </w:p>
        </w:tc>
        <w:tc>
          <w:tcPr>
            <w:tcW w:w="1346" w:type="dxa"/>
          </w:tcPr>
          <w:p w14:paraId="0F0B79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tc>
        <w:tc>
          <w:tcPr>
            <w:tcW w:w="1346" w:type="dxa"/>
          </w:tcPr>
          <w:p w14:paraId="464886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1300</w:t>
            </w:r>
          </w:p>
        </w:tc>
        <w:tc>
          <w:tcPr>
            <w:tcW w:w="4821" w:type="dxa"/>
          </w:tcPr>
          <w:p w14:paraId="6768E2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1300</w:t>
            </w:r>
          </w:p>
        </w:tc>
      </w:tr>
      <w:tr w:rsidR="00860B4B" w:rsidRPr="00D03F3E" w14:paraId="2BBE1D61" w14:textId="77777777">
        <w:tc>
          <w:tcPr>
            <w:tcW w:w="3085" w:type="dxa"/>
          </w:tcPr>
          <w:p w14:paraId="1F6ABB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Макс. бамб. нагр. Внутри</w:t>
            </w:r>
          </w:p>
        </w:tc>
        <w:tc>
          <w:tcPr>
            <w:tcW w:w="1346" w:type="dxa"/>
          </w:tcPr>
          <w:p w14:paraId="5CB112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tc>
        <w:tc>
          <w:tcPr>
            <w:tcW w:w="1346" w:type="dxa"/>
          </w:tcPr>
          <w:p w14:paraId="10287E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2500</w:t>
            </w:r>
          </w:p>
        </w:tc>
        <w:tc>
          <w:tcPr>
            <w:tcW w:w="4821" w:type="dxa"/>
          </w:tcPr>
          <w:p w14:paraId="7C823F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2500</w:t>
            </w:r>
          </w:p>
        </w:tc>
      </w:tr>
      <w:tr w:rsidR="00860B4B" w:rsidRPr="00D03F3E" w14:paraId="1C4CE0F3" w14:textId="77777777">
        <w:tc>
          <w:tcPr>
            <w:tcW w:w="3085" w:type="dxa"/>
          </w:tcPr>
          <w:p w14:paraId="3779D4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Калибры бомб</w:t>
            </w:r>
          </w:p>
        </w:tc>
        <w:tc>
          <w:tcPr>
            <w:tcW w:w="1346" w:type="dxa"/>
          </w:tcPr>
          <w:p w14:paraId="57CAB6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c>
          <w:tcPr>
            <w:tcW w:w="1346" w:type="dxa"/>
          </w:tcPr>
          <w:p w14:paraId="16C14F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100/250/500</w:t>
            </w:r>
          </w:p>
        </w:tc>
        <w:tc>
          <w:tcPr>
            <w:tcW w:w="4821" w:type="dxa"/>
          </w:tcPr>
          <w:p w14:paraId="111637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100/250/500</w:t>
            </w:r>
          </w:p>
        </w:tc>
      </w:tr>
    </w:tbl>
    <w:p w14:paraId="4C5E91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Наряду с хорошими боевыми качествами самолета, необходимо, чтобы конструкция его была проста для производства и требовала, при прочих равных, меньшее количество рабочих часов.</w:t>
      </w:r>
    </w:p>
    <w:p w14:paraId="62FF24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даются сравнительные экономические показатели самолетов Ил-6 и Пе-8 и Ил-4: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1152"/>
        <w:gridCol w:w="1152"/>
        <w:gridCol w:w="5209"/>
      </w:tblGrid>
      <w:tr w:rsidR="00860B4B" w:rsidRPr="00D03F3E" w14:paraId="6916F2C1" w14:textId="77777777">
        <w:tc>
          <w:tcPr>
            <w:tcW w:w="3085" w:type="dxa"/>
          </w:tcPr>
          <w:p w14:paraId="71328F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Данные</w:t>
            </w:r>
          </w:p>
        </w:tc>
        <w:tc>
          <w:tcPr>
            <w:tcW w:w="1152" w:type="dxa"/>
          </w:tcPr>
          <w:p w14:paraId="3BBDDD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Пе-8/Ь-35</w:t>
            </w:r>
          </w:p>
        </w:tc>
        <w:tc>
          <w:tcPr>
            <w:tcW w:w="1152" w:type="dxa"/>
          </w:tcPr>
          <w:p w14:paraId="7DEEE2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Ил-4/М-88</w:t>
            </w:r>
          </w:p>
        </w:tc>
        <w:tc>
          <w:tcPr>
            <w:tcW w:w="5209" w:type="dxa"/>
          </w:tcPr>
          <w:p w14:paraId="506FB8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Ил-6/М-90/М-30</w:t>
            </w:r>
          </w:p>
        </w:tc>
      </w:tr>
      <w:tr w:rsidR="00860B4B" w:rsidRPr="00D03F3E" w14:paraId="3E4AC06C" w14:textId="77777777">
        <w:tc>
          <w:tcPr>
            <w:tcW w:w="3085" w:type="dxa"/>
          </w:tcPr>
          <w:p w14:paraId="306BC3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Затраты рабочих часов</w:t>
            </w:r>
          </w:p>
        </w:tc>
        <w:tc>
          <w:tcPr>
            <w:tcW w:w="1152" w:type="dxa"/>
          </w:tcPr>
          <w:p w14:paraId="314972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100000</w:t>
            </w:r>
          </w:p>
        </w:tc>
        <w:tc>
          <w:tcPr>
            <w:tcW w:w="1152" w:type="dxa"/>
          </w:tcPr>
          <w:p w14:paraId="69C548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14000</w:t>
            </w:r>
          </w:p>
        </w:tc>
        <w:tc>
          <w:tcPr>
            <w:tcW w:w="5209" w:type="dxa"/>
          </w:tcPr>
          <w:p w14:paraId="5071F1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14000/14500</w:t>
            </w:r>
          </w:p>
        </w:tc>
      </w:tr>
      <w:tr w:rsidR="00860B4B" w:rsidRPr="00D03F3E" w14:paraId="03E661C1" w14:textId="77777777">
        <w:tc>
          <w:tcPr>
            <w:tcW w:w="3085" w:type="dxa"/>
          </w:tcPr>
          <w:p w14:paraId="54C4D1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один без моторов,</w:t>
            </w:r>
          </w:p>
        </w:tc>
        <w:tc>
          <w:tcPr>
            <w:tcW w:w="1152" w:type="dxa"/>
          </w:tcPr>
          <w:p w14:paraId="1DB5E0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656B42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209" w:type="dxa"/>
          </w:tcPr>
          <w:p w14:paraId="5EF1F8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DF90B0E" w14:textId="77777777">
        <w:tc>
          <w:tcPr>
            <w:tcW w:w="3085" w:type="dxa"/>
          </w:tcPr>
          <w:p w14:paraId="3840E6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винтов и агрегатов</w:t>
            </w:r>
          </w:p>
        </w:tc>
        <w:tc>
          <w:tcPr>
            <w:tcW w:w="1152" w:type="dxa"/>
          </w:tcPr>
          <w:p w14:paraId="2CD9AD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35DB3D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209" w:type="dxa"/>
          </w:tcPr>
          <w:p w14:paraId="36E22D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13EC191" w14:textId="77777777">
        <w:tc>
          <w:tcPr>
            <w:tcW w:w="3085" w:type="dxa"/>
          </w:tcPr>
          <w:p w14:paraId="7629D3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Расход горючего при</w:t>
            </w:r>
          </w:p>
        </w:tc>
        <w:tc>
          <w:tcPr>
            <w:tcW w:w="1152" w:type="dxa"/>
          </w:tcPr>
          <w:p w14:paraId="3D9E17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74F9B5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209" w:type="dxa"/>
          </w:tcPr>
          <w:p w14:paraId="2ABD0A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4CB2B17" w14:textId="77777777">
        <w:tc>
          <w:tcPr>
            <w:tcW w:w="3085" w:type="dxa"/>
          </w:tcPr>
          <w:p w14:paraId="4F94B7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полете из Москвы на</w:t>
            </w:r>
          </w:p>
        </w:tc>
        <w:tc>
          <w:tcPr>
            <w:tcW w:w="1152" w:type="dxa"/>
          </w:tcPr>
          <w:p w14:paraId="17597B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5EF2B6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209" w:type="dxa"/>
          </w:tcPr>
          <w:p w14:paraId="204DD4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B0EADBE" w14:textId="77777777">
        <w:tc>
          <w:tcPr>
            <w:tcW w:w="3085" w:type="dxa"/>
          </w:tcPr>
          <w:p w14:paraId="6140ED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Берлин и обратно</w:t>
            </w:r>
          </w:p>
        </w:tc>
        <w:tc>
          <w:tcPr>
            <w:tcW w:w="1152" w:type="dxa"/>
          </w:tcPr>
          <w:p w14:paraId="12E1EA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9000</w:t>
            </w:r>
          </w:p>
        </w:tc>
        <w:tc>
          <w:tcPr>
            <w:tcW w:w="1152" w:type="dxa"/>
          </w:tcPr>
          <w:p w14:paraId="7FFF89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3100</w:t>
            </w:r>
          </w:p>
        </w:tc>
        <w:tc>
          <w:tcPr>
            <w:tcW w:w="5209" w:type="dxa"/>
          </w:tcPr>
          <w:p w14:paraId="095849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4500/3200</w:t>
            </w:r>
          </w:p>
        </w:tc>
      </w:tr>
      <w:tr w:rsidR="00860B4B" w:rsidRPr="00D03F3E" w14:paraId="1DAB582B" w14:textId="77777777">
        <w:tc>
          <w:tcPr>
            <w:tcW w:w="3085" w:type="dxa"/>
          </w:tcPr>
          <w:p w14:paraId="1D2C01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нагрузкой </w:t>
            </w:r>
          </w:p>
        </w:tc>
        <w:tc>
          <w:tcPr>
            <w:tcW w:w="1152" w:type="dxa"/>
          </w:tcPr>
          <w:p w14:paraId="3C37F8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w:t>
            </w:r>
          </w:p>
        </w:tc>
        <w:tc>
          <w:tcPr>
            <w:tcW w:w="1152" w:type="dxa"/>
          </w:tcPr>
          <w:p w14:paraId="4A46CA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tc>
        <w:tc>
          <w:tcPr>
            <w:tcW w:w="5209" w:type="dxa"/>
          </w:tcPr>
          <w:p w14:paraId="18D77B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2000/2000</w:t>
            </w:r>
          </w:p>
        </w:tc>
      </w:tr>
      <w:tr w:rsidR="00860B4B" w:rsidRPr="00D03F3E" w14:paraId="70707D13" w14:textId="77777777">
        <w:tc>
          <w:tcPr>
            <w:tcW w:w="3085" w:type="dxa"/>
          </w:tcPr>
          <w:p w14:paraId="516226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3. Рсход бензина на </w:t>
            </w:r>
          </w:p>
        </w:tc>
        <w:tc>
          <w:tcPr>
            <w:tcW w:w="1152" w:type="dxa"/>
          </w:tcPr>
          <w:p w14:paraId="3D78C8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5DC1A0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209" w:type="dxa"/>
          </w:tcPr>
          <w:p w14:paraId="682F0F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5BE37C4" w14:textId="77777777">
        <w:tc>
          <w:tcPr>
            <w:tcW w:w="3085" w:type="dxa"/>
          </w:tcPr>
          <w:p w14:paraId="267B3A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одну тонну бомб</w:t>
            </w:r>
          </w:p>
        </w:tc>
        <w:tc>
          <w:tcPr>
            <w:tcW w:w="1152" w:type="dxa"/>
          </w:tcPr>
          <w:p w14:paraId="6092C3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4500</w:t>
            </w:r>
          </w:p>
        </w:tc>
        <w:tc>
          <w:tcPr>
            <w:tcW w:w="1152" w:type="dxa"/>
          </w:tcPr>
          <w:p w14:paraId="796D17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3100</w:t>
            </w:r>
          </w:p>
        </w:tc>
        <w:tc>
          <w:tcPr>
            <w:tcW w:w="5209" w:type="dxa"/>
          </w:tcPr>
          <w:p w14:paraId="6929DA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2250/1600</w:t>
            </w:r>
          </w:p>
        </w:tc>
      </w:tr>
      <w:tr w:rsidR="00860B4B" w:rsidRPr="00D03F3E" w14:paraId="7E126F7D" w14:textId="77777777">
        <w:tc>
          <w:tcPr>
            <w:tcW w:w="3085" w:type="dxa"/>
          </w:tcPr>
          <w:p w14:paraId="6D6E07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Рабочих часов на</w:t>
            </w:r>
          </w:p>
        </w:tc>
        <w:tc>
          <w:tcPr>
            <w:tcW w:w="1152" w:type="dxa"/>
          </w:tcPr>
          <w:p w14:paraId="312C88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146E13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209" w:type="dxa"/>
          </w:tcPr>
          <w:p w14:paraId="5DE38F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62FE601" w14:textId="77777777">
        <w:tc>
          <w:tcPr>
            <w:tcW w:w="3085" w:type="dxa"/>
          </w:tcPr>
          <w:p w14:paraId="244C11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одну тонну бомб</w:t>
            </w:r>
          </w:p>
        </w:tc>
        <w:tc>
          <w:tcPr>
            <w:tcW w:w="1152" w:type="dxa"/>
          </w:tcPr>
          <w:p w14:paraId="154F49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50000</w:t>
            </w:r>
          </w:p>
        </w:tc>
        <w:tc>
          <w:tcPr>
            <w:tcW w:w="1152" w:type="dxa"/>
          </w:tcPr>
          <w:p w14:paraId="1DBFE4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14000</w:t>
            </w:r>
          </w:p>
        </w:tc>
        <w:tc>
          <w:tcPr>
            <w:tcW w:w="5209" w:type="dxa"/>
          </w:tcPr>
          <w:p w14:paraId="65B404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7000/7250</w:t>
            </w:r>
          </w:p>
        </w:tc>
      </w:tr>
    </w:tbl>
    <w:p w14:paraId="36977F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Рабочие чертежи самолета Ил-6 с М-90 разработаны полностью.</w:t>
      </w:r>
    </w:p>
    <w:p w14:paraId="6D03CB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Рабочие чертежи для установки М-30 будут готовы 25 марта 1943</w:t>
      </w:r>
    </w:p>
    <w:p w14:paraId="45B285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Вношу предложение построить на заводе 39 в Иркутске 2 самолета Ил-6:</w:t>
      </w:r>
    </w:p>
    <w:p w14:paraId="6CAA3A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1-й с М-90, 2-й с М-30</w:t>
      </w:r>
    </w:p>
    <w:p w14:paraId="59A44E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Установить сроки: 1-го 1 июня 1943</w:t>
      </w:r>
    </w:p>
    <w:p w14:paraId="0F6BFB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2-го - 2-го июля 1943</w:t>
      </w:r>
    </w:p>
    <w:p w14:paraId="3C975D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недостаткам самолета Ил-6 с М-30 по сравнению с М-90 нужно отнести большую длину разбега и меньший потолок.</w:t>
      </w:r>
    </w:p>
    <w:p w14:paraId="15E156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 потолок и разбег: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860B4B" w:rsidRPr="00D03F3E" w14:paraId="40EEABFB" w14:textId="77777777">
        <w:tc>
          <w:tcPr>
            <w:tcW w:w="2818" w:type="dxa"/>
          </w:tcPr>
          <w:p w14:paraId="00B165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Ил-6 с М-90</w:t>
            </w:r>
          </w:p>
        </w:tc>
        <w:tc>
          <w:tcPr>
            <w:tcW w:w="2818" w:type="dxa"/>
          </w:tcPr>
          <w:p w14:paraId="3095D7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7500</w:t>
            </w:r>
          </w:p>
        </w:tc>
        <w:tc>
          <w:tcPr>
            <w:tcW w:w="2818" w:type="dxa"/>
          </w:tcPr>
          <w:p w14:paraId="7F6781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800</w:t>
            </w:r>
          </w:p>
        </w:tc>
      </w:tr>
      <w:tr w:rsidR="00860B4B" w:rsidRPr="00D03F3E" w14:paraId="0ACE08BA" w14:textId="77777777">
        <w:tc>
          <w:tcPr>
            <w:tcW w:w="2818" w:type="dxa"/>
          </w:tcPr>
          <w:p w14:paraId="1F489B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Ил-6 с М-30</w:t>
            </w:r>
          </w:p>
        </w:tc>
        <w:tc>
          <w:tcPr>
            <w:tcW w:w="2818" w:type="dxa"/>
          </w:tcPr>
          <w:p w14:paraId="3F84EC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6500</w:t>
            </w:r>
          </w:p>
        </w:tc>
        <w:tc>
          <w:tcPr>
            <w:tcW w:w="2818" w:type="dxa"/>
          </w:tcPr>
          <w:p w14:paraId="696961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 (1775,15)</w:t>
            </w:r>
          </w:p>
        </w:tc>
      </w:tr>
    </w:tbl>
    <w:p w14:paraId="1D3174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5E97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февраля 1943 закончились гос. испытания в НИИ ВВС Як-9Д, которые начались 14 января. Их вели л В.Е.Голофастов и ви И.Г.Рабкин (65,119).</w:t>
      </w:r>
    </w:p>
    <w:p w14:paraId="00EC1A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B852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февраля 1943 вышло постановление ГКО N 2946 (2956 - 992,48) о постройке на 155 заводе улучшенного МиГ-3 с Ам-35А (798,4).</w:t>
      </w:r>
    </w:p>
    <w:p w14:paraId="46369B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EE4C6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февраля 1943 вышло Постановление ГКО № 2946 Об обеспечении истребительной авиации ПВО моторами АМ-35А и улучшенными самолетами МиГ-3. (7083, 175).</w:t>
      </w:r>
    </w:p>
    <w:p w14:paraId="4BF5CBB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94B2C0" w14:textId="77777777" w:rsidR="00720566" w:rsidRPr="00D03F3E" w:rsidRDefault="0072056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26 февраля 1943 вышло Постановление ГКО № 2946 Об обеспечении истребительной авиации ПВО моторами АМ-35А и улучшенными самолетами МиГ-3</w:t>
      </w:r>
    </w:p>
    <w:p w14:paraId="769A3AFA" w14:textId="77777777" w:rsidR="00720566" w:rsidRPr="00D03F3E" w:rsidRDefault="0072056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Комитет Обороны постановляет:</w:t>
      </w:r>
    </w:p>
    <w:p w14:paraId="15D570C0" w14:textId="77777777" w:rsidR="00720566" w:rsidRPr="00D03F3E" w:rsidRDefault="00720566" w:rsidP="00D03F3E">
      <w:pPr>
        <w:tabs>
          <w:tab w:val="left" w:pos="97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директора завода № 24 НКАП тов.Жезлова из</w:t>
      </w:r>
      <w:r w:rsidRPr="00D03F3E">
        <w:rPr>
          <w:rFonts w:ascii="Times New Roman" w:hAnsi="Times New Roman"/>
          <w:color w:val="000000" w:themeColor="text1"/>
          <w:sz w:val="16"/>
          <w:szCs w:val="16"/>
        </w:rPr>
        <w:softHyphen/>
        <w:t>готовить для истребительной авиации ПВО моторы АН-35А с ре</w:t>
      </w:r>
      <w:r w:rsidRPr="00D03F3E">
        <w:rPr>
          <w:rFonts w:ascii="Times New Roman" w:hAnsi="Times New Roman"/>
          <w:color w:val="000000" w:themeColor="text1"/>
          <w:sz w:val="16"/>
          <w:szCs w:val="16"/>
        </w:rPr>
        <w:softHyphen/>
        <w:t>дукцией 0,732 в количестве 10 штук ежемесячно в течение все</w:t>
      </w:r>
      <w:r w:rsidRPr="00D03F3E">
        <w:rPr>
          <w:rFonts w:ascii="Times New Roman" w:hAnsi="Times New Roman"/>
          <w:color w:val="000000" w:themeColor="text1"/>
          <w:sz w:val="16"/>
          <w:szCs w:val="16"/>
        </w:rPr>
        <w:softHyphen/>
        <w:t>го 1943 г., начиная с февраля, бее ущерба для выпуска мото</w:t>
      </w:r>
      <w:r w:rsidRPr="00D03F3E">
        <w:rPr>
          <w:rFonts w:ascii="Times New Roman" w:hAnsi="Times New Roman"/>
          <w:color w:val="000000" w:themeColor="text1"/>
          <w:sz w:val="16"/>
          <w:szCs w:val="16"/>
        </w:rPr>
        <w:softHyphen/>
        <w:t>ров АМ-38.</w:t>
      </w:r>
    </w:p>
    <w:p w14:paraId="385326D4" w14:textId="77777777" w:rsidR="00720566" w:rsidRPr="00D03F3E" w:rsidRDefault="00720566" w:rsidP="00D03F3E">
      <w:pPr>
        <w:tabs>
          <w:tab w:val="left" w:pos="97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Обязать директора и главного конструктора завода № 155 НКАП тов.Микояна А.И. изготовить к 20 мая сего года шесть улучшенных самолетов МИГ-3 со следующими данными:</w:t>
      </w:r>
    </w:p>
    <w:p w14:paraId="69056BE1" w14:textId="77777777" w:rsidR="00720566" w:rsidRPr="00D03F3E" w:rsidRDefault="0072056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Потолок - 12500 м.</w:t>
      </w:r>
    </w:p>
    <w:p w14:paraId="100880EA" w14:textId="77777777" w:rsidR="00720566" w:rsidRPr="00D03F3E" w:rsidRDefault="0072056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подъема на 10000 м. - 13 мин.</w:t>
      </w:r>
    </w:p>
    <w:p w14:paraId="3146533F" w14:textId="77777777" w:rsidR="00720566" w:rsidRPr="00D03F3E" w:rsidRDefault="0072056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Полетный вес - 3100 кг.</w:t>
      </w:r>
    </w:p>
    <w:p w14:paraId="71F4613D" w14:textId="77777777" w:rsidR="00720566" w:rsidRPr="00D03F3E" w:rsidRDefault="0072056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- 2 пушки ШВАК калибром 20 мм.</w:t>
      </w:r>
    </w:p>
    <w:p w14:paraId="47435AB2" w14:textId="77777777" w:rsidR="00720566" w:rsidRPr="00D03F3E" w:rsidRDefault="0072056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самолета - 670 км/час.</w:t>
      </w:r>
    </w:p>
    <w:p w14:paraId="7DFB2A1D" w14:textId="77777777" w:rsidR="00720566" w:rsidRPr="00D03F3E" w:rsidRDefault="0072056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Обязать народного комиссара финансов тов.Зверева финансировать указанные в настоящем постановлении мероприятия (19385).</w:t>
      </w:r>
    </w:p>
    <w:p w14:paraId="278B975E" w14:textId="77777777" w:rsidR="00720566" w:rsidRPr="00D03F3E" w:rsidRDefault="00720566"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3ABC4E" w14:textId="77777777" w:rsidR="00196377" w:rsidRPr="00D03F3E" w:rsidRDefault="00196377" w:rsidP="00D03F3E">
      <w:pPr>
        <w:pStyle w:val="a3"/>
        <w:rPr>
          <w:color w:val="000000" w:themeColor="text1"/>
          <w:lang w:val="ru-RU"/>
        </w:rPr>
      </w:pPr>
      <w:r w:rsidRPr="00D03F3E">
        <w:rPr>
          <w:color w:val="000000" w:themeColor="text1"/>
          <w:lang w:val="ru-RU"/>
        </w:rPr>
        <w:t>26 февраля 1943 г. Постановление ГКО № 2946 и вышедший на следующий день приказ НКАП № 121 поручили коллективу ОКБ-155 постройку для авиации ПВО шести улучшенных истребителей МиГ-3. В соответствии с за</w:t>
      </w:r>
      <w:r w:rsidRPr="00D03F3E">
        <w:rPr>
          <w:color w:val="000000" w:themeColor="text1"/>
          <w:lang w:val="ru-RU"/>
        </w:rPr>
        <w:softHyphen/>
        <w:t>данием самолёты должны были иметь взлётную массу 3100 кг, максимальную скорость полёта 670</w:t>
      </w:r>
      <w:r w:rsidRPr="00D03F3E">
        <w:rPr>
          <w:rStyle w:val="380"/>
          <w:rFonts w:ascii="Times New Roman" w:hAnsi="Times New Roman" w:cs="Times New Roman"/>
          <w:i w:val="0"/>
          <w:color w:val="000000" w:themeColor="text1"/>
          <w:sz w:val="16"/>
          <w:szCs w:val="16"/>
          <w:lang w:val="ru-RU"/>
        </w:rPr>
        <w:t xml:space="preserve"> км/</w:t>
      </w:r>
      <w:r w:rsidRPr="00D03F3E">
        <w:rPr>
          <w:color w:val="000000" w:themeColor="text1"/>
          <w:lang w:val="ru-RU"/>
        </w:rPr>
        <w:t>ч, практический потолок 12500 м и время набора высоты 10000 м - 1 3 мин.</w:t>
      </w:r>
    </w:p>
    <w:p w14:paraId="3556B6EE" w14:textId="77777777" w:rsidR="00196377" w:rsidRPr="00D03F3E" w:rsidRDefault="00196377" w:rsidP="00D03F3E">
      <w:pPr>
        <w:pStyle w:val="a3"/>
        <w:rPr>
          <w:color w:val="000000" w:themeColor="text1"/>
          <w:lang w:val="ru-RU"/>
        </w:rPr>
      </w:pPr>
      <w:r w:rsidRPr="00D03F3E">
        <w:rPr>
          <w:color w:val="000000" w:themeColor="text1"/>
          <w:lang w:val="ru-RU"/>
        </w:rPr>
        <w:t>Для достижения характеристик конструкторы сни</w:t>
      </w:r>
      <w:r w:rsidRPr="00D03F3E">
        <w:rPr>
          <w:color w:val="000000" w:themeColor="text1"/>
          <w:lang w:val="ru-RU"/>
        </w:rPr>
        <w:softHyphen/>
        <w:t>зили массу конструкции на 150 кг и улучшили аэро</w:t>
      </w:r>
      <w:r w:rsidRPr="00D03F3E">
        <w:rPr>
          <w:color w:val="000000" w:themeColor="text1"/>
          <w:lang w:val="ru-RU"/>
        </w:rPr>
        <w:softHyphen/>
        <w:t>динамику самолёта. Новый вариант получил название И-230 и заводской шифр «Д».</w:t>
      </w:r>
    </w:p>
    <w:p w14:paraId="5AB4A3F2" w14:textId="77777777" w:rsidR="00196377" w:rsidRPr="00D03F3E" w:rsidRDefault="00196377" w:rsidP="00D03F3E">
      <w:pPr>
        <w:pStyle w:val="a3"/>
        <w:rPr>
          <w:color w:val="000000" w:themeColor="text1"/>
          <w:lang w:val="ru-RU"/>
        </w:rPr>
      </w:pPr>
      <w:r w:rsidRPr="00D03F3E">
        <w:rPr>
          <w:color w:val="000000" w:themeColor="text1"/>
          <w:lang w:val="ru-RU"/>
        </w:rPr>
        <w:t>На МиГ-3У фюзеляж стал цельнодеревянным моно</w:t>
      </w:r>
      <w:r w:rsidRPr="00D03F3E">
        <w:rPr>
          <w:color w:val="000000" w:themeColor="text1"/>
          <w:lang w:val="ru-RU"/>
        </w:rPr>
        <w:softHyphen/>
        <w:t>коком со съёмным дюралевым килём, то есть, в отличие от МиГ-3, в его конструкции отсутствовали центральная сварная ферма и боковые дюралевые панели. Кабину летчика несколько сдвинули назад и расширили. В связи с этим изменили и конструкцию фонаря.</w:t>
      </w:r>
    </w:p>
    <w:p w14:paraId="5F0272CC" w14:textId="77777777" w:rsidR="00196377" w:rsidRPr="00D03F3E" w:rsidRDefault="00196377" w:rsidP="00D03F3E">
      <w:pPr>
        <w:pStyle w:val="a3"/>
        <w:rPr>
          <w:color w:val="000000" w:themeColor="text1"/>
          <w:lang w:val="ru-RU"/>
        </w:rPr>
      </w:pPr>
      <w:r w:rsidRPr="00D03F3E">
        <w:rPr>
          <w:color w:val="000000" w:themeColor="text1"/>
          <w:lang w:val="ru-RU"/>
        </w:rPr>
        <w:t>Главный лонжерон консолей крыла выполнили не из дельта-древесины, а из металла. Он состоял из хроман- силевых поясов таврового сечения и дюралевых стенок. Также был незначительно изменён главный лонжерон центроплана: в месте прохода через туннель водоради- атора стенку лонжерона заменили фермой. Для предот</w:t>
      </w:r>
      <w:r w:rsidRPr="00D03F3E">
        <w:rPr>
          <w:color w:val="000000" w:themeColor="text1"/>
          <w:lang w:val="ru-RU"/>
        </w:rPr>
        <w:softHyphen/>
        <w:t>вращения отсоса посадочных щитков в полёте на них установили замки убранного положения.</w:t>
      </w:r>
    </w:p>
    <w:p w14:paraId="7BFAEDEC" w14:textId="77777777" w:rsidR="00196377" w:rsidRPr="00D03F3E" w:rsidRDefault="00196377" w:rsidP="00D03F3E">
      <w:pPr>
        <w:pStyle w:val="a3"/>
        <w:rPr>
          <w:color w:val="000000" w:themeColor="text1"/>
          <w:lang w:val="ru-RU"/>
        </w:rPr>
      </w:pPr>
      <w:r w:rsidRPr="00D03F3E">
        <w:rPr>
          <w:color w:val="000000" w:themeColor="text1"/>
          <w:lang w:val="ru-RU"/>
        </w:rPr>
        <w:t>Благодаря снижению массы на основных стойках шасси стало возможным установить колёса размером 600</w:t>
      </w:r>
      <w:r w:rsidRPr="00D03F3E">
        <w:rPr>
          <w:color w:val="000000" w:themeColor="text1"/>
        </w:rPr>
        <w:t>x</w:t>
      </w:r>
      <w:r w:rsidRPr="00D03F3E">
        <w:rPr>
          <w:color w:val="000000" w:themeColor="text1"/>
          <w:lang w:val="ru-RU"/>
        </w:rPr>
        <w:t>180 вместо 650</w:t>
      </w:r>
      <w:r w:rsidRPr="00D03F3E">
        <w:rPr>
          <w:color w:val="000000" w:themeColor="text1"/>
        </w:rPr>
        <w:t>x</w:t>
      </w:r>
      <w:r w:rsidRPr="00D03F3E">
        <w:rPr>
          <w:color w:val="000000" w:themeColor="text1"/>
          <w:lang w:val="ru-RU"/>
        </w:rPr>
        <w:t>200. Переработке подвергли щитки шасси и замки подвески основных стоек. Кроме этого в связи с переделкой кинематики уборки костыля стабилизатор подняли на 200 мм и сделали для него но</w:t>
      </w:r>
      <w:r w:rsidRPr="00D03F3E">
        <w:rPr>
          <w:color w:val="000000" w:themeColor="text1"/>
          <w:lang w:val="ru-RU"/>
        </w:rPr>
        <w:softHyphen/>
        <w:t>вые узлы крепления.</w:t>
      </w:r>
    </w:p>
    <w:p w14:paraId="64867390" w14:textId="77777777" w:rsidR="00196377" w:rsidRPr="00D03F3E" w:rsidRDefault="00196377" w:rsidP="00D03F3E">
      <w:pPr>
        <w:pStyle w:val="a3"/>
        <w:rPr>
          <w:color w:val="000000" w:themeColor="text1"/>
          <w:lang w:val="ru-RU"/>
        </w:rPr>
      </w:pPr>
      <w:r w:rsidRPr="00D03F3E">
        <w:rPr>
          <w:color w:val="000000" w:themeColor="text1"/>
          <w:lang w:val="ru-RU"/>
        </w:rPr>
        <w:t>Вооружение МиГ-ЗУ состояло из двух синхронных 20 мм пушек ШВАК с боезапасом по 150 патронов. На машине устанавливался прицел ПБП-1А. Стрельбу из пушек можно было вести как раздельно, так и залпом. Радиооборудование включало передатчик РСИ-3 (с форси</w:t>
      </w:r>
      <w:r w:rsidRPr="00D03F3E">
        <w:rPr>
          <w:color w:val="000000" w:themeColor="text1"/>
          <w:lang w:val="ru-RU"/>
        </w:rPr>
        <w:softHyphen/>
        <w:t>рованной мощностью) и приёмник РСИ-4. На самолёте предусматривалась установка радио</w:t>
      </w:r>
      <w:r w:rsidRPr="00D03F3E">
        <w:rPr>
          <w:color w:val="000000" w:themeColor="text1"/>
          <w:lang w:val="ru-RU"/>
        </w:rPr>
        <w:softHyphen/>
        <w:t>полукомпаса. Полёт на больших высотах обеспечивал кислородный прибор КПА-Збис с 4-х ли</w:t>
      </w:r>
      <w:r w:rsidRPr="00D03F3E">
        <w:rPr>
          <w:color w:val="000000" w:themeColor="text1"/>
          <w:lang w:val="ru-RU"/>
        </w:rPr>
        <w:softHyphen/>
        <w:t>тровым кислородным баллоном. Доступ к рации и кислородному баллону осуществлялся через люк на правом борту фюзеляжа.</w:t>
      </w:r>
    </w:p>
    <w:p w14:paraId="150C4CD5" w14:textId="77777777" w:rsidR="00196377" w:rsidRPr="00D03F3E" w:rsidRDefault="00196377" w:rsidP="00D03F3E">
      <w:pPr>
        <w:pStyle w:val="a3"/>
        <w:rPr>
          <w:color w:val="000000" w:themeColor="text1"/>
          <w:lang w:val="ru-RU"/>
        </w:rPr>
      </w:pPr>
      <w:r w:rsidRPr="00D03F3E">
        <w:rPr>
          <w:color w:val="000000" w:themeColor="text1"/>
          <w:lang w:val="ru-RU"/>
        </w:rPr>
        <w:t>На истребителе устанавливался двигатель АМ-35А с редукцией 0,732. По сравнению со старым серийным АМ-35А он был тяжелее на 40 кг, так как собирался на базе агрегатов мотора АМ-38Ф. Самолёт оснащался винтом АВ-5Л-126А</w:t>
      </w:r>
      <w:r w:rsidRPr="00D03F3E">
        <w:rPr>
          <w:rStyle w:val="362"/>
          <w:rFonts w:ascii="Times New Roman" w:hAnsi="Times New Roman" w:cs="Times New Roman"/>
          <w:i w:val="0"/>
          <w:color w:val="000000" w:themeColor="text1"/>
          <w:sz w:val="16"/>
          <w:szCs w:val="16"/>
          <w:lang w:val="ru-RU"/>
        </w:rPr>
        <w:t xml:space="preserve"> диаметром 3,2 м. Запас</w:t>
      </w:r>
      <w:r w:rsidRPr="00D03F3E">
        <w:rPr>
          <w:color w:val="000000" w:themeColor="text1"/>
          <w:lang w:val="ru-RU"/>
        </w:rPr>
        <w:t xml:space="preserve"> топлива размещался в одном мягком баке ёмкостью 440 л, который находился в фюзеляже перед каби</w:t>
      </w:r>
      <w:r w:rsidRPr="00D03F3E">
        <w:rPr>
          <w:color w:val="000000" w:themeColor="text1"/>
          <w:lang w:val="ru-RU"/>
        </w:rPr>
        <w:softHyphen/>
        <w:t>ной пилота в специальном контейнере. При необходимости в перегрузку в центроплане могли устанавливаться ещё два топливных бака общей ёмкостью 210 л. Водорадиатор ОП-310 раз</w:t>
      </w:r>
      <w:r w:rsidRPr="00D03F3E">
        <w:rPr>
          <w:color w:val="000000" w:themeColor="text1"/>
          <w:lang w:val="ru-RU"/>
        </w:rPr>
        <w:softHyphen/>
        <w:t>мещался под полом кабины пилота. Вход в туннель водорадиатора находился в носках центро</w:t>
      </w:r>
      <w:r w:rsidRPr="00D03F3E">
        <w:rPr>
          <w:color w:val="000000" w:themeColor="text1"/>
          <w:lang w:val="ru-RU"/>
        </w:rPr>
        <w:softHyphen/>
        <w:t>плана, а выход в его нижней части. Воздухозаборники всасывающих патрубков двигателя вы</w:t>
      </w:r>
      <w:r w:rsidRPr="00D03F3E">
        <w:rPr>
          <w:color w:val="000000" w:themeColor="text1"/>
          <w:lang w:val="ru-RU"/>
        </w:rPr>
        <w:softHyphen/>
        <w:t>вели в туннель водорадиатора. Маслорадиатор «533» также установили под фюзеляжем, а его туннель расположили под туннелем водорадиатора. Кроме того, на истребителе установили систему разжижения масла бензином, но на испытаниях она не подключалась (15976).</w:t>
      </w:r>
    </w:p>
    <w:p w14:paraId="13EC41FA" w14:textId="77777777" w:rsidR="00196377" w:rsidRPr="00D03F3E" w:rsidRDefault="00196377" w:rsidP="00D03F3E">
      <w:pPr>
        <w:pStyle w:val="a3"/>
        <w:rPr>
          <w:color w:val="000000" w:themeColor="text1"/>
          <w:lang w:val="ru-RU"/>
        </w:rPr>
      </w:pPr>
    </w:p>
    <w:p w14:paraId="69ABC8F1"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26 февраля</w:t>
      </w:r>
      <w:r w:rsidRPr="00D03F3E">
        <w:rPr>
          <w:rFonts w:ascii="Times New Roman" w:hAnsi="Times New Roman"/>
          <w:color w:val="000000" w:themeColor="text1"/>
          <w:sz w:val="16"/>
          <w:szCs w:val="16"/>
        </w:rPr>
        <w:t xml:space="preserve"> в 1943 году постановлением ГКО №2946 от 26 февраля и приказом НКАП №121 от 27 февраля 1943 г. коллективу ОКБ-155 была поручена постройка для авиации ПВО шести улучшенных истребителей</w:t>
      </w:r>
      <w:hyperlink r:id="rId75" w:tgtFrame="_blank" w:history="1">
        <w:r w:rsidRPr="00D03F3E">
          <w:rPr>
            <w:rFonts w:ascii="Times New Roman" w:hAnsi="Times New Roman"/>
            <w:color w:val="000000" w:themeColor="text1"/>
            <w:sz w:val="16"/>
            <w:szCs w:val="16"/>
          </w:rPr>
          <w:t xml:space="preserve"> «МиГ-3» </w:t>
        </w:r>
      </w:hyperlink>
      <w:r w:rsidRPr="00D03F3E">
        <w:rPr>
          <w:rFonts w:ascii="Times New Roman" w:hAnsi="Times New Roman"/>
          <w:color w:val="000000" w:themeColor="text1"/>
          <w:sz w:val="16"/>
          <w:szCs w:val="16"/>
        </w:rPr>
        <w:t>с взлётной массой 3100 кг, максимальной скоростью полёта 670 км/ч, практическим потолком 12500 м и временем набора высоты 10000 м равным 13 мин. Для достижения заданных характеристик был выполнен коренной пересмотр конструкции самолёта «МиГ-3» с точки зрения уменьшения веса и улучшения его лётных данных. Проведенные мероприятия позволили улучшить аэродинамику и технологичность конструкции, а также снизить на 150 кг массу самолёта, который получил обозначение «И-230» или «МиГ-ЗУ» (15052).</w:t>
      </w:r>
    </w:p>
    <w:p w14:paraId="7E48BD6F" w14:textId="77777777" w:rsidR="00196377" w:rsidRPr="00D03F3E" w:rsidRDefault="00196377" w:rsidP="00D03F3E">
      <w:pPr>
        <w:spacing w:after="0" w:line="240" w:lineRule="auto"/>
        <w:jc w:val="both"/>
        <w:rPr>
          <w:rFonts w:ascii="Times New Roman" w:hAnsi="Times New Roman"/>
          <w:color w:val="000000" w:themeColor="text1"/>
          <w:sz w:val="16"/>
          <w:szCs w:val="16"/>
        </w:rPr>
      </w:pPr>
    </w:p>
    <w:p w14:paraId="47983D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февраля 1943 вышло постанов</w:t>
      </w:r>
      <w:r w:rsidRPr="00D03F3E">
        <w:rPr>
          <w:rFonts w:ascii="Times New Roman" w:hAnsi="Times New Roman"/>
          <w:color w:val="000000" w:themeColor="text1"/>
          <w:sz w:val="16"/>
          <w:szCs w:val="16"/>
        </w:rPr>
        <w:softHyphen/>
        <w:t>ление правительства, касающееся дальнейших работ ОКБ Микояна. Прежде всего, с февраля возобновлялось произ</w:t>
      </w:r>
      <w:r w:rsidRPr="00D03F3E">
        <w:rPr>
          <w:rFonts w:ascii="Times New Roman" w:hAnsi="Times New Roman"/>
          <w:color w:val="000000" w:themeColor="text1"/>
          <w:sz w:val="16"/>
          <w:szCs w:val="16"/>
        </w:rPr>
        <w:softHyphen/>
        <w:t>водство моторов АМ—35А с редукцией 0,732. От двигателистов потребовали выпускать их ежемесячно по 10 штук (уже без снижения темпов производства АМ—38). Таким образом, по мнению руководства, удалось бы поддержать боеготовность МиГов, прежде всего в составе ПВО Москвы. Ведь за весь 1942 г. за</w:t>
      </w:r>
      <w:r w:rsidRPr="00D03F3E">
        <w:rPr>
          <w:rFonts w:ascii="Times New Roman" w:hAnsi="Times New Roman"/>
          <w:color w:val="000000" w:themeColor="text1"/>
          <w:sz w:val="16"/>
          <w:szCs w:val="16"/>
        </w:rPr>
        <w:softHyphen/>
        <w:t>вод сдал только 173 мотора АМ—35А, некоторые из которых (с редукцией 0,59) предназначались для за</w:t>
      </w:r>
      <w:r w:rsidRPr="00D03F3E">
        <w:rPr>
          <w:rFonts w:ascii="Times New Roman" w:hAnsi="Times New Roman"/>
          <w:color w:val="000000" w:themeColor="text1"/>
          <w:sz w:val="16"/>
          <w:szCs w:val="16"/>
        </w:rPr>
        <w:softHyphen/>
        <w:t>мены выработавших ресурс двигателей тяжелых бом</w:t>
      </w:r>
      <w:r w:rsidRPr="00D03F3E">
        <w:rPr>
          <w:rFonts w:ascii="Times New Roman" w:hAnsi="Times New Roman"/>
          <w:color w:val="000000" w:themeColor="text1"/>
          <w:sz w:val="16"/>
          <w:szCs w:val="16"/>
        </w:rPr>
        <w:softHyphen/>
        <w:t>бардировщиков ТБ—7 (Пе—8). Микоян получил задание к 20 мая 1943 г. построить на своем опытном заводе шесть высотных МиГов, которые при массе 3100 кг набирали бы высоту 10000 м за 13 минут, достигали практического потолка 12500 м, имели максимальную скорость 670 км/ч. Уст</w:t>
      </w:r>
      <w:r w:rsidRPr="00D03F3E">
        <w:rPr>
          <w:rFonts w:ascii="Times New Roman" w:hAnsi="Times New Roman"/>
          <w:color w:val="000000" w:themeColor="text1"/>
          <w:sz w:val="16"/>
          <w:szCs w:val="16"/>
        </w:rPr>
        <w:softHyphen/>
        <w:t>раняя один из основных недостатков прежних МиГов — слабое вооружение — главный конструктор смон</w:t>
      </w:r>
      <w:r w:rsidRPr="00D03F3E">
        <w:rPr>
          <w:rFonts w:ascii="Times New Roman" w:hAnsi="Times New Roman"/>
          <w:color w:val="000000" w:themeColor="text1"/>
          <w:sz w:val="16"/>
          <w:szCs w:val="16"/>
        </w:rPr>
        <w:softHyphen/>
        <w:t>тировал две синхронные пушки ШВАК с боезапасом по 150 снарядов. Такое вооружение, как уже отмеча</w:t>
      </w:r>
      <w:r w:rsidRPr="00D03F3E">
        <w:rPr>
          <w:rFonts w:ascii="Times New Roman" w:hAnsi="Times New Roman"/>
          <w:color w:val="000000" w:themeColor="text1"/>
          <w:sz w:val="16"/>
          <w:szCs w:val="16"/>
        </w:rPr>
        <w:softHyphen/>
        <w:t>лось, было отработано на МиГах в 1942 г (9984).</w:t>
      </w:r>
    </w:p>
    <w:p w14:paraId="366E64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16F9B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февраля 1943 г. из Но</w:t>
      </w:r>
      <w:r w:rsidRPr="00D03F3E">
        <w:rPr>
          <w:rFonts w:ascii="Times New Roman" w:hAnsi="Times New Roman"/>
          <w:color w:val="000000" w:themeColor="text1"/>
          <w:sz w:val="16"/>
          <w:szCs w:val="16"/>
        </w:rPr>
        <w:softHyphen/>
        <w:t>восибирска пришло письмо от парторга завода № 51 И.А.Царика:</w:t>
      </w:r>
    </w:p>
    <w:p w14:paraId="4077703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«Здравствуйте, Николай Николаевич!</w:t>
      </w:r>
    </w:p>
    <w:p w14:paraId="411812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Крайне опечалены по поводу того, что нет сообще</w:t>
      </w:r>
      <w:r w:rsidRPr="00D03F3E">
        <w:rPr>
          <w:rFonts w:ascii="Times New Roman" w:hAnsi="Times New Roman"/>
          <w:color w:val="000000" w:themeColor="text1"/>
          <w:sz w:val="16"/>
          <w:szCs w:val="16"/>
        </w:rPr>
        <w:softHyphen/>
        <w:t>ний о решении правительства насчет внедрения маши</w:t>
      </w:r>
      <w:r w:rsidRPr="00D03F3E">
        <w:rPr>
          <w:rFonts w:ascii="Times New Roman" w:hAnsi="Times New Roman"/>
          <w:color w:val="000000" w:themeColor="text1"/>
          <w:sz w:val="16"/>
          <w:szCs w:val="16"/>
        </w:rPr>
        <w:softHyphen/>
        <w:t>ны в серию... В чем я нахожу причины задержки? Очевидно, эти причины кроются в следующем:</w:t>
      </w:r>
    </w:p>
    <w:p w14:paraId="5381AE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представители ученых и пределыцик (сторонник ограниченных значений нагрузки на крыло. - В.И.) Нар</w:t>
      </w:r>
      <w:r w:rsidRPr="00D03F3E">
        <w:rPr>
          <w:rFonts w:ascii="Times New Roman" w:hAnsi="Times New Roman"/>
          <w:color w:val="000000" w:themeColor="text1"/>
          <w:sz w:val="16"/>
          <w:szCs w:val="16"/>
        </w:rPr>
        <w:softHyphen/>
        <w:t>комата (А.С.Яковлев. - В.И.) пустили в ход все, чтобы на основе не в меру неудачного случая (аварии И-185. -В.И.) доказать, что он был неизбежным следствием больших С/5 (нагрузок на крыло. - В.И.);</w:t>
      </w:r>
    </w:p>
    <w:p w14:paraId="31093D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что С[тефановс]кий принял на свой счет [аварию] только потому, что не в состоянии хорошо проанализи</w:t>
      </w:r>
      <w:r w:rsidRPr="00D03F3E">
        <w:rPr>
          <w:rFonts w:ascii="Times New Roman" w:hAnsi="Times New Roman"/>
          <w:color w:val="000000" w:themeColor="text1"/>
          <w:sz w:val="16"/>
          <w:szCs w:val="16"/>
        </w:rPr>
        <w:softHyphen/>
        <w:t>ровать - почему так произошло с машиной в момент приземления (намек на то, что после остановки мотора авария, по мнению ОКБ, произошла из-за перетягива</w:t>
      </w:r>
      <w:r w:rsidRPr="00D03F3E">
        <w:rPr>
          <w:rFonts w:ascii="Times New Roman" w:hAnsi="Times New Roman"/>
          <w:color w:val="000000" w:themeColor="text1"/>
          <w:sz w:val="16"/>
          <w:szCs w:val="16"/>
        </w:rPr>
        <w:softHyphen/>
        <w:t>ние ручки Стефановским перед приземлением. - В.И.) и</w:t>
      </w:r>
    </w:p>
    <w:p w14:paraId="4A9017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если произошло это с таким выдающимся челове</w:t>
      </w:r>
      <w:r w:rsidRPr="00D03F3E">
        <w:rPr>
          <w:rFonts w:ascii="Times New Roman" w:hAnsi="Times New Roman"/>
          <w:color w:val="000000" w:themeColor="text1"/>
          <w:sz w:val="16"/>
          <w:szCs w:val="16"/>
        </w:rPr>
        <w:softHyphen/>
        <w:t>ком, как С[тефановс]кий, то подобные случаи с рядовы</w:t>
      </w:r>
      <w:r w:rsidRPr="00D03F3E">
        <w:rPr>
          <w:rFonts w:ascii="Times New Roman" w:hAnsi="Times New Roman"/>
          <w:color w:val="000000" w:themeColor="text1"/>
          <w:sz w:val="16"/>
          <w:szCs w:val="16"/>
        </w:rPr>
        <w:softHyphen/>
        <w:t>ми - неизбежны в массовом масштабе;</w:t>
      </w:r>
    </w:p>
    <w:p w14:paraId="14DE801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хотя у Лавочкина с таким же мотором получается меньше, - зато надежнее, - такой аргумент правомерен для выигрыша времени.</w:t>
      </w:r>
    </w:p>
    <w:p w14:paraId="36E3E81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Возможно, будет пущено в ход и множество других аргументов. Но, Николай Николаевич, их надо преодо</w:t>
      </w:r>
      <w:r w:rsidRPr="00D03F3E">
        <w:rPr>
          <w:rFonts w:ascii="Times New Roman" w:hAnsi="Times New Roman"/>
          <w:color w:val="000000" w:themeColor="text1"/>
          <w:sz w:val="16"/>
          <w:szCs w:val="16"/>
        </w:rPr>
        <w:softHyphen/>
        <w:t>леть всей силой других, наиболее объективных аргумен</w:t>
      </w:r>
      <w:r w:rsidRPr="00D03F3E">
        <w:rPr>
          <w:rFonts w:ascii="Times New Roman" w:hAnsi="Times New Roman"/>
          <w:color w:val="000000" w:themeColor="text1"/>
          <w:sz w:val="16"/>
          <w:szCs w:val="16"/>
        </w:rPr>
        <w:softHyphen/>
        <w:t>тов, действительно научно обоснованных. Мы можем быть полностью уверены в том, что образцовая машина является непревзойденной и сейчас, и для ближайших перспектив развития. Возможно, было бы лучшим ис</w:t>
      </w:r>
      <w:r w:rsidRPr="00D03F3E">
        <w:rPr>
          <w:rFonts w:ascii="Times New Roman" w:hAnsi="Times New Roman"/>
          <w:color w:val="000000" w:themeColor="text1"/>
          <w:sz w:val="16"/>
          <w:szCs w:val="16"/>
        </w:rPr>
        <w:softHyphen/>
        <w:t>ходом для нашей Родины, для того, чтобы мы в решаю</w:t>
      </w:r>
      <w:r w:rsidRPr="00D03F3E">
        <w:rPr>
          <w:rFonts w:ascii="Times New Roman" w:hAnsi="Times New Roman"/>
          <w:color w:val="000000" w:themeColor="text1"/>
          <w:sz w:val="16"/>
          <w:szCs w:val="16"/>
        </w:rPr>
        <w:softHyphen/>
        <w:t>щей борьбе с германским фашизмом выиграли в этой области время, Вам со Стефановским добиться свида</w:t>
      </w:r>
      <w:r w:rsidRPr="00D03F3E">
        <w:rPr>
          <w:rFonts w:ascii="Times New Roman" w:hAnsi="Times New Roman"/>
          <w:color w:val="000000" w:themeColor="text1"/>
          <w:sz w:val="16"/>
          <w:szCs w:val="16"/>
        </w:rPr>
        <w:softHyphen/>
        <w:t>ния у тов. Сталина и рассказать все о машине. Ведь луч</w:t>
      </w:r>
      <w:r w:rsidRPr="00D03F3E">
        <w:rPr>
          <w:rFonts w:ascii="Times New Roman" w:hAnsi="Times New Roman"/>
          <w:color w:val="000000" w:themeColor="text1"/>
          <w:sz w:val="16"/>
          <w:szCs w:val="16"/>
        </w:rPr>
        <w:softHyphen/>
        <w:t>ше Его никто не может и понять, и решить самый сложный и запутанный клубок вопросов.</w:t>
      </w:r>
    </w:p>
    <w:p w14:paraId="604C758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Сегодня по этому поводу я говорил с Ник. Алек. (Н.А.Жемчужиным. - В.И.). Он прямо сказал, что поте</w:t>
      </w:r>
      <w:r w:rsidRPr="00D03F3E">
        <w:rPr>
          <w:rFonts w:ascii="Times New Roman" w:hAnsi="Times New Roman"/>
          <w:color w:val="000000" w:themeColor="text1"/>
          <w:sz w:val="16"/>
          <w:szCs w:val="16"/>
        </w:rPr>
        <w:softHyphen/>
        <w:t>рял уверенность в благоприятном решении вопроса в Правительстве. Я же уверенности не теряю и считаю, что еще можно иметь должное решение, но, тем не ме</w:t>
      </w:r>
      <w:r w:rsidRPr="00D03F3E">
        <w:rPr>
          <w:rFonts w:ascii="Times New Roman" w:hAnsi="Times New Roman"/>
          <w:color w:val="000000" w:themeColor="text1"/>
          <w:sz w:val="16"/>
          <w:szCs w:val="16"/>
        </w:rPr>
        <w:softHyphen/>
        <w:t>нее, время терять не следует. Надо энергично действо</w:t>
      </w:r>
      <w:r w:rsidRPr="00D03F3E">
        <w:rPr>
          <w:rFonts w:ascii="Times New Roman" w:hAnsi="Times New Roman"/>
          <w:color w:val="000000" w:themeColor="text1"/>
          <w:sz w:val="16"/>
          <w:szCs w:val="16"/>
        </w:rPr>
        <w:softHyphen/>
        <w:t>вать и на 81 заводе, и добиваться решить вопрос в Правительстве...</w:t>
      </w:r>
    </w:p>
    <w:p w14:paraId="7044AE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Остаюсь Ваш искренний товарищ в борьбе за успехи для нашей Родины» (10667).</w:t>
      </w:r>
    </w:p>
    <w:p w14:paraId="15F89F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0642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февраля 1943 Зам. НКАП В.П.Кузнецов писал записку № 2437 НКАП А.И.И.</w:t>
      </w:r>
    </w:p>
    <w:p w14:paraId="512A281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о приказов по НКАП от 6.17.1942 г. за № 415с силами ЦАГИ, ЦИАМ и ЛИИ НКАП проведены исследования, проектирование, изготовление и летные истггания воздушных фильтров-пылеуловителей для самолетов Як-1, Як-7, ЛаГГ-3 и Ил-2.</w:t>
      </w:r>
    </w:p>
    <w:p w14:paraId="5950C31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летных испытаний воздушные фильтры были рекомендованы для постановки на серийное самолеты Як-1, Як-7, Лагг-3 и Ил-2.</w:t>
      </w:r>
    </w:p>
    <w:p w14:paraId="0A59F1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до скх пор воздушные фильтры на серийные самолета {кроиэ Ил-2) не ставятся, подготовка к серийному изготовлению их не ведется и главные конструктора-самолетчики интереса к воздушным фильтрам не проявляют.</w:t>
      </w:r>
    </w:p>
    <w:p w14:paraId="378BC3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ЛИИ НКАП проведены работы по улучшению воздушных фильтров конструкции тов.Путилова для самолета Пе-2, но медленное изготовление их на заводе № 81, задержало окончание летных испытаний.</w:t>
      </w:r>
    </w:p>
    <w:p w14:paraId="07C702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Установленные на самолете Ил-4 воэдушные фильтры конструкции ЦАГИ также не испытаны (самолет находатоя в НИИ ВВС).</w:t>
      </w:r>
    </w:p>
    <w:p w14:paraId="78B1D9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того, чтобы обеспечить серийные самолеты к весне 1943 года воздушными фильтрами-пылеуловителяыи, необходимо заставить самолетные заводы в ближайшее время подготовить производство воздушных фильтров к серийному изготовлению.</w:t>
      </w:r>
    </w:p>
    <w:p w14:paraId="59ED88A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противном случае-при эксплоатации самолетов на пыльных аэродромах опять появятся дефекты в винто-моторной группе самолета, благодаря по</w:t>
      </w:r>
      <w:r w:rsidRPr="00D03F3E">
        <w:rPr>
          <w:rFonts w:ascii="Times New Roman" w:hAnsi="Times New Roman"/>
          <w:color w:val="000000" w:themeColor="text1"/>
          <w:sz w:val="16"/>
          <w:szCs w:val="16"/>
        </w:rPr>
        <w:softHyphen/>
        <w:t xml:space="preserve">паданию пыли в </w:t>
      </w:r>
      <w:r w:rsidRPr="00D03F3E">
        <w:rPr>
          <w:rFonts w:ascii="Times New Roman" w:hAnsi="Times New Roman"/>
          <w:color w:val="000000" w:themeColor="text1"/>
          <w:sz w:val="16"/>
          <w:szCs w:val="16"/>
        </w:rPr>
        <w:lastRenderedPageBreak/>
        <w:t>мотор (1458,162).</w:t>
      </w:r>
    </w:p>
    <w:p w14:paraId="089F3E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1CC0C8" w14:textId="77777777" w:rsidR="00620080" w:rsidRPr="00D03F3E" w:rsidRDefault="0062008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февраля 1943. В столицу доставлен и передан в Центральный военно-морской музей истребитель И-16, на котором летчик морской авиации дважды Герой Советского Союза Б. Сафонов сбил 16 вражеских самолетов (18693).</w:t>
      </w:r>
    </w:p>
    <w:p w14:paraId="4A1C91BF" w14:textId="77777777" w:rsidR="00620080" w:rsidRPr="00D03F3E" w:rsidRDefault="00620080" w:rsidP="00D03F3E">
      <w:pPr>
        <w:spacing w:after="0" w:line="240" w:lineRule="auto"/>
        <w:jc w:val="both"/>
        <w:rPr>
          <w:rFonts w:ascii="Times New Roman" w:hAnsi="Times New Roman"/>
          <w:color w:val="000000" w:themeColor="text1"/>
          <w:sz w:val="16"/>
          <w:szCs w:val="16"/>
        </w:rPr>
      </w:pPr>
    </w:p>
    <w:p w14:paraId="4510251A"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76C32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E12E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февраля 1943 г. на базе Нефтяного геолого-разведочного института (НГРИ) решением Совнаркома СССР был создан Всесоюзный научно-исследовательский нефтяной институт (ВНИИнефть. В 1945 г. из него был выделен Нефтяной геолого-разведочный институт. В 1951 г. к нему было присоединено Проектно-исследовательское бюро по разработке нефтяных месторождений из Московского института им. И.М. Губкина; в 1953 г. из него был выделен институт "ВНИИбурнефть" и присоединен ВНИИгаз (в августе 1956 г. восстановлен как самостоятельный институт). Распоряжением Совета Министров РСФСР от 20 февраля 1987 г. институту было присвоено имя академика А.П. Крылова. В 1992 г. институт был преобразован во Всероссийский нефтегазовый научно-исследовательский институт имени академика А.П. Крылова (ВНИИнефть). По Постановлению Правительства РФ от 6 июля 1994 г. институт был преобразован в Открытое акционерное общество "Всероссийский нефтегазовый научно-исследовательский институт имени академика А.П. Крылова" (ОАО "ВНИИнефть") и вошел в состав Открытого акционерного общества "Научно-технологическая компания "Российский межотраслевой научно-технический комплекс "Нефтеотдача" (ОАО "НТК РМНТК "Нефтеотдача") (12100).</w:t>
      </w:r>
    </w:p>
    <w:p w14:paraId="55B097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B83B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февраля 1943 г. решением Совета Народных Комиссаров СССР был создан Всесоюзный нефтяной научно-исследовательский институт (ВНИИ). В апреле 1953 г. институт распоряжением Совета Министров СССР объединен с ВНИИГАЗ и переименован во Всесоюзный нефтегазовый научно-исследовательский институт (ВНИИ). В августе 1956 г. ВНИИгаз был выделен из состава ВНИИ (12102).</w:t>
      </w:r>
    </w:p>
    <w:p w14:paraId="20D0051B" w14:textId="77777777" w:rsidR="00196377" w:rsidRPr="00D03F3E" w:rsidRDefault="0019637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60A1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февраля 1943 вышло Распоряжение ГКО № 2944. О подаче сводок о ремонте танков Молотову В.М. и Малышеву В.А.РГАНИР, Фонд ГКО, д. 91, лл. 173 (11012).</w:t>
      </w:r>
    </w:p>
    <w:p w14:paraId="0126F4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72B1D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февраля 1943 вышло Постановление ГКО № 2945 О постоянной Комиссии при ГКО по делам организации восстановления танков. (7083, 174).</w:t>
      </w:r>
    </w:p>
    <w:p w14:paraId="211CC41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9AB25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34B993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4CDC7B"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26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75B32F93"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26 февраля наши войска вели наступательные бои на прежнихнаправлениях.</w:t>
      </w:r>
    </w:p>
    <w:p w14:paraId="763512E2"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Н-ская часть в ожесточённом бою истребила до роты немецкой пехоты. На другом участке наш разведывательный отряд ночью проник в тыл противника, взорвал ряд вражеских дзотов и уничтожил до 40 гитлеровцев.</w:t>
      </w:r>
    </w:p>
    <w:p w14:paraId="6D226B4C"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бойцы Н-ской части внезапным ударом заняли сильно укреплённый немцами населённый пункт. На поле боя осталось до 200 вражеских трупов. Захвачены несколько орудий, миномётов, а также склад с минами и гранатами.</w:t>
      </w:r>
    </w:p>
    <w:p w14:paraId="5C7B44E9"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Краматорской наши войска продолжали вести упорные боя с мотопехотой и танками противника. Н-ская часть отбила многочисленные контратаки гитлеровцев и уничтожила свыше батальона немецкой пехоты. Подбито и сожжено 26 танков противника. На другом участке окружена и уничтожена группа немецких автоматчиков, пытавшихся пробраться в тыл нашим частям.</w:t>
      </w:r>
    </w:p>
    <w:p w14:paraId="000F73B1"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Харькова наши войска продолжали вести наступательные операции. Овладев одним населённым пунктом, наши бойцы захватили 6 орудий, 18 пулемётов, 4 противотанковых ружья, склад с зерном и склад с боеприпасами. На другом участке наш подвижной отряд разбил колонну противника. Уничтожены 80 немецких солдат и офицеров. Взяты пленные.</w:t>
      </w:r>
    </w:p>
    <w:p w14:paraId="6BD606FE"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части Н-ского соединения вели наступательные бои. Немцы на ряде участков переходили в контратаки, которые были отбиты с большими для противника потерями. Только на одном участке истреблено до 200 гитлеровцев и сожжено 3 немецких танка. На другом участке советские танкисты выбили противника из населённого пункта и захватили 8 противотанковых орудий и 5 автомашин с боеприпасами.</w:t>
      </w:r>
    </w:p>
    <w:p w14:paraId="0CD7393C"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сторону Красной Армии добровольно перешли 67 венгерских солдат. Онипринесли с собой 5 пулемётов и 59 винтовок.</w:t>
      </w:r>
    </w:p>
    <w:p w14:paraId="37BB76C2"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войска продолжали наступление. Ночью части Н-ского соединения в результате решительной атаки заняли станцию Ангелинская. Вражеский гарнизон уничтожен. Развивая успех, наши бойцы ворвались в районный центр Старо-Нижестеблиевская. Уличные бои продолжались всю ночь. К утру наши части полностью очистили Старо-Нижестеблиевскую от немецких захватчиков. На поле боя остались сотни вражеских трупов. Захвачено много трофеев и пленных.</w:t>
      </w:r>
    </w:p>
    <w:p w14:paraId="2DC7C0A7"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Орловской области, провёл успешный рейд по тылам противника. Партизаны истребили 240 немецких солдат и офицеров, в нескольких местах взорвали железнодорожные пути и вырезали 6 километров телефонно-телеграфной линии связи. Партизаны другого отряда пустили под откос немецкий воинский эшелон. Разбиты паровоз, 2 вагона с солдатами и 3 платформы с автомашинами. Убито и ранено 50 гитлеровцев.</w:t>
      </w:r>
    </w:p>
    <w:p w14:paraId="633687C7"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учинили кровавую резню во многих деревнях Костюковичского района, Могилёвской области. Немецкие карательные отряды шли от одной деревни к другой и сжигали их дотла. Фашистские палачи не оставляли в живых ни одного человека и вырезали поголовно всех жителей. Гитлеровские людоеды сожгли заживо и расстреляли 450 человек мирных советских жителей.» (15052).</w:t>
      </w:r>
    </w:p>
    <w:p w14:paraId="3E03D794" w14:textId="77777777" w:rsidR="00196377" w:rsidRPr="00D03F3E" w:rsidRDefault="00196377" w:rsidP="00D03F3E">
      <w:pPr>
        <w:spacing w:after="0" w:line="240" w:lineRule="auto"/>
        <w:jc w:val="both"/>
        <w:rPr>
          <w:rFonts w:ascii="Times New Roman" w:hAnsi="Times New Roman"/>
          <w:color w:val="000000" w:themeColor="text1"/>
          <w:sz w:val="16"/>
          <w:szCs w:val="16"/>
        </w:rPr>
      </w:pPr>
    </w:p>
    <w:p w14:paraId="34720D07"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26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166A8B3B"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26 февраля наши войска вели наступательные бои на прежних направлениях.</w:t>
      </w:r>
    </w:p>
    <w:p w14:paraId="106C0711"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февраля частями нашей авиации на различных участках фронта уничтожено или повреждено 10 немецких танков, до 100 автомашин с войсками и грузами, подавлен огонь 5 артиллерийских батарей, разбит железнодорожный состав противника.</w:t>
      </w:r>
    </w:p>
    <w:p w14:paraId="1B57C63C"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войска вели огневой бой с противником. На одном участке бойцы Н-ской части ворвались в расположение гитлеровцев и выбили их из окопов и дзотов. Уничтожено свыше 100 вражеских солдат и офицеров. Захвачено 3 крупнокалиберных пулемёта, 9 автоматов и 86 винтовок.</w:t>
      </w:r>
    </w:p>
    <w:p w14:paraId="115CA1F9"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Краматорской наши войска вели упорные бои с мотопехотой и танками противника. Стараясь любой ценой вернуть ранее потерянные ими позиции, немцы предприняли многочисленные контратаки. На одном участке гитлеровцам ценой огромных потерь удалось вклиниться в расположение наших частей. Ожесточённый бой длился в течение двух дней. Советские бойцы истребили около 1:000 гитлеровцев, сожгли и подбито 22 танка, 52 автомашины и отбросили противника.</w:t>
      </w:r>
    </w:p>
    <w:p w14:paraId="29BE8D73"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Советские лётчики в воздушных боях сбили 15 немецких самолётов.</w:t>
      </w:r>
    </w:p>
    <w:p w14:paraId="0E452CE7"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Харькова наши войска продолжали наступление и заняли ряд населённых пунктов. В боях за эти населённые пункты противник понёс большие потери. Только на одном участке наши бойцы уничтожили до 300 гитлеровцев и захватили 8 орудий, 20 пулемётов, много винтовок, склад боеприпасов, продовольственный оклад, 19 тракторов и другие трофеи. Западнее Обояни наши части ликвидировали окружённую группу противника. Взято в плен 400 немецких солдат и офицеров.</w:t>
      </w:r>
    </w:p>
    <w:p w14:paraId="0ED84F45"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Курска наши части вели наступательные операции. На одном участке противник силою до двух батальонов пехоты предпринял контратаку. Встречным ударом немцы были остановлены, а затем отброшены с большими для них потерями. Преследуя отступающего противника, наши бойцы продвинулись вперёд и заняли четыре населённых пункта.</w:t>
      </w:r>
    </w:p>
    <w:p w14:paraId="1B65CA22"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войска продолжали наступление. В боях в районе одного населённого пункта советские подразделения захватили 17 орудий, 11 автомашин, склад мин и 100 тысяч патронов.</w:t>
      </w:r>
    </w:p>
    <w:p w14:paraId="2B083971"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Минской области, совершил налёт на железнодорожную станцию. В завязавшемся бою партизаны истребили 40 гитлеровцев. Советские патриоты уничтожили 18 тысяч пудов зерна, подготовленного для отправки в Германию. Другой отряд минских партизан пустил под откос 4 немецких эшелона. Разбито 3 паровоза, 7 цистерн с горючим, 3 вагона с солдатамии 17 платформ с военной техникой.</w:t>
      </w:r>
    </w:p>
    <w:p w14:paraId="75907BA4"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Пленный обер-ефрейтор 14 роты противотанковой обороны 328 гренадерского полка 227 немецкой пехотной дивизии Эрих Пфальцграф обратился к советским военным властям со следующим заявлением: «За время моей службы в немецкой армии я побывал в Голландии, Бельгии, Франции и России. Я видел, как немецкие солдаты грабили гражданское население и убивали мирных жителей. Везде немецкие офицеры относились к населению бесчеловечно и варварски. Перед походом в Россию солдат проинструктировали, что они не должны щадить никого из гражданского населения, невзирая на пол и возраст. Офицеры говорили: «Чем беспощаднее вы будете действовать, тем скорее русские будут ползать у наших ног». Уже сразу после вторжения можно было видеть потрясающие сцены. Солдаты поджигали целые деревни. Бегущих в панике жителей расстреливали из пулемётов, нисколько не считаясь с тем, что среди них были женщины и дети. Убийства мирных жителей назывались «уборкой» и «очисткой» района действий. Один батальон СС, получивший задание «очистить» окрестности Киева, расстрелял несколько десятков тысяч человек, в том числе многих женщин и детей. Даже видавшим виды эсэсовцам становилось дурно, и некоторые из них не в состоянии были продолжать массовые убийства. Тогда офицеры, чтобы скорее закончить истребление огромной массы людей, приказали согнать всех в заминированные котлованы и взорвать их. Роты пропаганды фотографировали эти кучи трупов, снимали их на плёнку и фабриковали кинофильмы. Затем в течение длительного времени во всех кинотеатрах </w:t>
      </w:r>
      <w:r w:rsidRPr="00D03F3E">
        <w:rPr>
          <w:rFonts w:ascii="Times New Roman" w:hAnsi="Times New Roman"/>
          <w:color w:val="000000" w:themeColor="text1"/>
          <w:sz w:val="16"/>
          <w:szCs w:val="16"/>
        </w:rPr>
        <w:lastRenderedPageBreak/>
        <w:t>Германии и оккупированных ею стран Европы показывали эти фильмы и рекламировали как зверства русских. Во всех немецких газетах печатались снимки трупов, причём эти убийства изображались как зверства советских войск. Но мы, солдаты, знали, что немецкая пропаганда обманывает миллионы людей, приписывая русским дикие преступления и зверства, совершённые немецкими войсками на русской территории» (15052).</w:t>
      </w:r>
    </w:p>
    <w:p w14:paraId="42E42961" w14:textId="77777777" w:rsidR="00196377" w:rsidRPr="00D03F3E" w:rsidRDefault="00196377" w:rsidP="00D03F3E">
      <w:pPr>
        <w:spacing w:after="0" w:line="240" w:lineRule="auto"/>
        <w:jc w:val="both"/>
        <w:rPr>
          <w:rFonts w:ascii="Times New Roman" w:hAnsi="Times New Roman"/>
          <w:color w:val="000000" w:themeColor="text1"/>
          <w:sz w:val="16"/>
          <w:szCs w:val="16"/>
        </w:rPr>
      </w:pPr>
    </w:p>
    <w:p w14:paraId="4614502B"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26 февраля</w:t>
      </w:r>
      <w:r w:rsidRPr="00D03F3E">
        <w:rPr>
          <w:rFonts w:ascii="Times New Roman" w:hAnsi="Times New Roman"/>
          <w:color w:val="000000" w:themeColor="text1"/>
          <w:sz w:val="16"/>
          <w:szCs w:val="16"/>
        </w:rPr>
        <w:t xml:space="preserve"> в 1943 году под Житомиром советской авиацией сбит самолет, на борту которого летел командующий дивизией "Мертвая голова" обергруппенфюрер СС Т.Эйке. Версия 2: «...Днем 26 февраля Эйке обеспокоило отсутствие связи с танковым полком, и он повел Физелер 156 Шторх, дабы с воздуха уяснить обстановку. Возле деревни Михайловка обнаружил скопление эсэсовских танков, но упустил, что соседняя деревня Артельное занята русскими. Когда Эйке снизился до 300 футов (около 100 метров), русские пулеметным и винтовочным огнем сбили самолет, который сгорел между двумя деревнями.На следующий день его останки были захоронены в деревне Отдохнино.</w:t>
      </w:r>
    </w:p>
    <w:p w14:paraId="14546AF9"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Позже Гиммлер велел перезахоронить Эйке в Житомире.» Версия 3: «В этих боях нашел свою погибель один из самых одиозных и жестоких эсэсовских командиров, инспектор концентрационных лагерей, командир сформированной из отрядов лагерной охраны дивизии СС «Мертвая голова» обергруппенфюрер Эйке. Самолет, на котором вождь нацистских вертухаев облетал поле боя, был сбит зенитным огнем у деревни Артельное» (15052).</w:t>
      </w:r>
    </w:p>
    <w:p w14:paraId="059894C6" w14:textId="77777777" w:rsidR="00196377" w:rsidRPr="00D03F3E" w:rsidRDefault="00196377" w:rsidP="00D03F3E">
      <w:pPr>
        <w:spacing w:after="0" w:line="240" w:lineRule="auto"/>
        <w:jc w:val="both"/>
        <w:rPr>
          <w:rFonts w:ascii="Times New Roman" w:hAnsi="Times New Roman"/>
          <w:color w:val="000000" w:themeColor="text1"/>
          <w:sz w:val="16"/>
          <w:szCs w:val="16"/>
        </w:rPr>
      </w:pPr>
    </w:p>
    <w:p w14:paraId="499019E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февраля 1943 под Житомиром советской авиацией сбит самолет, на борту которого летел командующий дивизией “Мертвая голова” немецкий генерал Т. Эйке (4962).</w:t>
      </w:r>
    </w:p>
    <w:p w14:paraId="383E0EE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D3E570" w14:textId="77777777" w:rsidR="00882DFF" w:rsidRPr="00D03F3E" w:rsidRDefault="00882DF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26 февраля 1943 советские войска сбивают Fieseler Fi 156 Storch немецкого нацистского SS- обергруппенфюрер Теодора Эйке возле Лозовой в СССР, когда он проводит на поле боя разведку во время начала нового этапа Третьей битвы за Харькова, убивая Эйке и двоих других на борту (20376).</w:t>
      </w:r>
    </w:p>
    <w:p w14:paraId="5215F7F1" w14:textId="77777777" w:rsidR="00882DFF" w:rsidRPr="00D03F3E" w:rsidRDefault="00882DFF" w:rsidP="00D03F3E">
      <w:pPr>
        <w:spacing w:after="0" w:line="240" w:lineRule="auto"/>
        <w:jc w:val="both"/>
        <w:rPr>
          <w:rFonts w:ascii="Times New Roman" w:hAnsi="Times New Roman"/>
          <w:color w:val="0070C0"/>
          <w:sz w:val="16"/>
          <w:szCs w:val="16"/>
        </w:rPr>
      </w:pPr>
    </w:p>
    <w:p w14:paraId="3FCD996B"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4D8362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7536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февраля 1943 Крепости и Либерейторы разбомбили немецкую базу подводных лодок в Wilhelmshaven (2100).</w:t>
      </w:r>
    </w:p>
    <w:p w14:paraId="5FC1EB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67A9CA"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26 февраля</w:t>
      </w:r>
      <w:r w:rsidRPr="00D03F3E">
        <w:rPr>
          <w:rFonts w:ascii="Times New Roman" w:hAnsi="Times New Roman"/>
          <w:color w:val="000000" w:themeColor="text1"/>
          <w:sz w:val="16"/>
          <w:szCs w:val="16"/>
        </w:rPr>
        <w:t xml:space="preserve"> в 1943 году бомбардировочным командованием принято решение на проведение операции </w:t>
      </w:r>
      <w:hyperlink r:id="rId76" w:tgtFrame="_blank" w:history="1">
        <w:r w:rsidRPr="00D03F3E">
          <w:rPr>
            <w:rFonts w:ascii="Times New Roman" w:hAnsi="Times New Roman"/>
            <w:color w:val="000000" w:themeColor="text1"/>
            <w:sz w:val="16"/>
            <w:szCs w:val="16"/>
          </w:rPr>
          <w:t xml:space="preserve">«Апкип». </w:t>
        </w:r>
      </w:hyperlink>
      <w:r w:rsidRPr="00D03F3E">
        <w:rPr>
          <w:rFonts w:ascii="Times New Roman" w:hAnsi="Times New Roman"/>
          <w:color w:val="000000" w:themeColor="text1"/>
          <w:sz w:val="16"/>
          <w:szCs w:val="16"/>
        </w:rPr>
        <w:t>Для налета были выбраны шесть плотин - Моне, Эдер, Сорпе, Эннепе, Листер и Швельме. С разрушением всех или нескольких плотин, которые являлись частью системы гидроэлектростанций, обеспечивающей энергией индустриальный Рур, появилась перспектива нанесения ему значительного ущерба, также как и давало немедленный эффект затопления долин ниже водохранилищ. Было приказано переоборудовать 20 "Ланкастеров" плюс три опытных. Оружие в окончательном виде представляло собой цилиндр диаметром 127 см, длиной 152 см и весом 4196 кг, из которых 2994 кг были взрывчаткой RDX (15052).</w:t>
      </w:r>
    </w:p>
    <w:p w14:paraId="7CE963B3" w14:textId="77777777" w:rsidR="00196377" w:rsidRPr="00D03F3E" w:rsidRDefault="00196377" w:rsidP="00D03F3E">
      <w:pPr>
        <w:spacing w:after="0" w:line="240" w:lineRule="auto"/>
        <w:jc w:val="both"/>
        <w:rPr>
          <w:rFonts w:ascii="Times New Roman" w:hAnsi="Times New Roman"/>
          <w:color w:val="000000" w:themeColor="text1"/>
          <w:sz w:val="16"/>
          <w:szCs w:val="16"/>
        </w:rPr>
      </w:pPr>
    </w:p>
    <w:p w14:paraId="20A2C88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1FF2EE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A460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февраля 1943 вышел приказ НКАП N 121 "Об обеспечении истребительной авиации ПВО моторами АМ-35А и улучшенными самолетами МиГ-3 (931,125).</w:t>
      </w:r>
    </w:p>
    <w:p w14:paraId="4E1F12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исполнение постановления ГКО ...приказываю:</w:t>
      </w:r>
    </w:p>
    <w:p w14:paraId="1905CC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Нач. 3ГУ т. Завитаеву и директору завода № 24 т. Жезлову изготавливать для истребительной авиации ПВО моторы АМ-35А с редукцией 0,732 в количестве 10 шт. ежемесячно в течение всего 1943 г.</w:t>
      </w:r>
    </w:p>
    <w:p w14:paraId="0E7E7E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Директору и ГК завода № 155 т. А.И.М. изготовить к 20 мая с.г. шесть улучшенных с-тов МиГ-3 со следующими данными:</w:t>
      </w:r>
    </w:p>
    <w:p w14:paraId="25D274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Потолок</w:t>
      </w:r>
      <w:r w:rsidRPr="00D03F3E">
        <w:rPr>
          <w:rFonts w:ascii="Times New Roman" w:hAnsi="Times New Roman"/>
          <w:color w:val="000000" w:themeColor="text1"/>
          <w:sz w:val="16"/>
          <w:szCs w:val="16"/>
        </w:rPr>
        <w:tab/>
        <w:t>12000 м</w:t>
      </w:r>
    </w:p>
    <w:p w14:paraId="15CA70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подъема на 10000 м - 13 мин.</w:t>
      </w:r>
    </w:p>
    <w:p w14:paraId="123816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Скорость макс. 670 км/час</w:t>
      </w:r>
    </w:p>
    <w:p w14:paraId="0CB7BC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2хШВАК</w:t>
      </w:r>
    </w:p>
    <w:p w14:paraId="7FC93E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Подписал А.И.Ш. (931,125).</w:t>
      </w:r>
    </w:p>
    <w:p w14:paraId="667EB0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49126E"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27 февраля</w:t>
      </w:r>
      <w:r w:rsidRPr="00D03F3E">
        <w:rPr>
          <w:rFonts w:ascii="Times New Roman" w:hAnsi="Times New Roman"/>
          <w:color w:val="000000" w:themeColor="text1"/>
          <w:sz w:val="16"/>
          <w:szCs w:val="16"/>
        </w:rPr>
        <w:t xml:space="preserve"> в 1943 году приказ НКАП №121 на основании Постановления ГКО № 2946 от 26 февраля 1943 года-коллективу ОКБ-155 была поручена постройка для авиации ПВО шести улучшенных истребителей </w:t>
      </w:r>
      <w:hyperlink r:id="rId77" w:tgtFrame="_blank" w:history="1">
        <w:r w:rsidRPr="00D03F3E">
          <w:rPr>
            <w:rFonts w:ascii="Times New Roman" w:hAnsi="Times New Roman"/>
            <w:color w:val="000000" w:themeColor="text1"/>
            <w:sz w:val="16"/>
            <w:szCs w:val="16"/>
          </w:rPr>
          <w:t xml:space="preserve">«МиГ-3» </w:t>
        </w:r>
      </w:hyperlink>
      <w:r w:rsidRPr="00D03F3E">
        <w:rPr>
          <w:rFonts w:ascii="Times New Roman" w:hAnsi="Times New Roman"/>
          <w:color w:val="000000" w:themeColor="text1"/>
          <w:sz w:val="16"/>
          <w:szCs w:val="16"/>
        </w:rPr>
        <w:t>с взлетной массой 3100 кг, максимальной скоростью полета 670 км/ч, практическим потолком 12500 м и временем набора высоты 10000 м равным 13 мин. Для достижения заданных характеристик был выполнен коренной пересмотр конструкции самолета «МиГ-3» с точки зрения уменьшения веса и улучшения его летных данных. Проведенные мероприятия позволили улучшить аэродинамику и технологичность конструкции, а также снизить на 150 кг массу самолета, который получил название «И-230» или «МиГ-ЗУ» (15053).</w:t>
      </w:r>
    </w:p>
    <w:p w14:paraId="7F54D8AE" w14:textId="77777777" w:rsidR="00196377" w:rsidRPr="00D03F3E" w:rsidRDefault="00196377" w:rsidP="00D03F3E">
      <w:pPr>
        <w:spacing w:after="0" w:line="240" w:lineRule="auto"/>
        <w:jc w:val="both"/>
        <w:rPr>
          <w:rFonts w:ascii="Times New Roman" w:hAnsi="Times New Roman"/>
          <w:color w:val="000000" w:themeColor="text1"/>
          <w:sz w:val="16"/>
          <w:szCs w:val="16"/>
        </w:rPr>
      </w:pPr>
    </w:p>
    <w:p w14:paraId="750979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февраля 1943 г. по приказу НКАП № 122с заводу № 315 НКАП переданы оборудование и личный состав филиала завода № 25, расположенного на территории опытного завода ЦИАМ (10776).</w:t>
      </w:r>
    </w:p>
    <w:p w14:paraId="078452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55DF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февраля 1943 г. по приказу НКАП № 122с заводу № 315 НКАП (ГС Завод № 315 НКАП, Завод № 315-33 НКАП, МАП, ММЗ, ММПО «Знамя революции», Машиностроительное ПО (МПО) им. И.И. Румянцева, ОАО «МПО им. И.И. Румянцева» /г. Москва ул. Н. Масловка, 33/ /127015  г. Москва ул. М. Расковой, 34 тел. 685-39-80, 964-83-43/) переданы оборудование и личный состав филиала завода № 25, расположенного на территории опытного завода ЦИАМ.</w:t>
      </w:r>
    </w:p>
    <w:p w14:paraId="4B63DD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приказам № 171с от 8.03.1944 г. и № 206сс от 21.03.1944 г. для расширения производства в состав завода № 315 влит завод № 487 НКАП вместе с ОКБ-487. Его территория числилась как площадка № 2 завода № 315. В 08.1945 г. она была отдана заводу № 476 НКАП.</w:t>
      </w:r>
    </w:p>
    <w:p w14:paraId="513F97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карбюраторов.</w:t>
      </w:r>
    </w:p>
    <w:p w14:paraId="0FB40B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войны выпускал топливную аппаратуру для ТРД (топливные насосы, форсунки, распределители, баростаторы, регуляторы). Принимало участие в программе создания ОК «Буран».</w:t>
      </w:r>
    </w:p>
    <w:p w14:paraId="09398E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1.05.1956 г. завод передан в ЗГУ. В соответствии с пост. СМ СССР № 713-342 от 26.06.1957 г. передан в ведение СНХ РСФСР.</w:t>
      </w:r>
    </w:p>
    <w:p w14:paraId="001FD9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середины 1960-х  г. проведена реконструкция предприятия: построены сборочно-испытательный комплекс, автоматизированное гальваническое производство; выведено на окраину города заготовительное производство с кузнечно-прессовым, автоматным и заготовительным цехами. С 1969 г. начато освоение программного оборудования, станков с ЧПУ.</w:t>
      </w:r>
    </w:p>
    <w:p w14:paraId="60D58E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1970-х  г. на базе ММЗ «Знамя революции» создано ПО, в которое вошли также МЗ «Знамя», Гаврилов-Ямский машиностроительный завод (сначала был филиалом), Алтуфьевский филиал завода (был в 2000 г.). С 1994 г. - ОАО «МПО им. И.И. Румянцева». По решению правительства № 22-р от 9.01.2004 г. и Указу Президента РФ № 1009 от 4.08.2004 г. вошло в число стратегических оборонных предприятий.</w:t>
      </w:r>
    </w:p>
    <w:p w14:paraId="7BC5BD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(2004 г.): гидравлические системы топливопитания и управления авиационными ГТД; агрегаты и устройства управления ГТД; средства электрогидроавтоматики для управления металлургическим, прессовым, горнорудным оборудованием, дорожно-транспортными и строительными машинами.</w:t>
      </w:r>
    </w:p>
    <w:p w14:paraId="6C11E6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(1.01.2003 г.)- 2217 чел.</w:t>
      </w:r>
    </w:p>
    <w:p w14:paraId="05D062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(06.1942-43 г.)- А.М. Сильнов, (02(05). 1943 г.-)- А.С. Субботин, И.Д. Соломонович, (11.1945-54 г.)-  Г.Д. Брусникин (затем- директор завода № 43), Кононенко, Ю.Н. Смирнов, (1963-92 г.)- И.И. Румянцев. Гендиректор (1992-2005 г.-&gt; В.И. Дидилов,</w:t>
      </w:r>
      <w:r w:rsidRPr="00D03F3E">
        <w:rPr>
          <w:rFonts w:ascii="Times New Roman" w:hAnsi="Times New Roman"/>
          <w:color w:val="000000" w:themeColor="text1"/>
          <w:sz w:val="16"/>
          <w:szCs w:val="16"/>
          <w:vertAlign w:val="superscript"/>
        </w:rPr>
        <w:t>49</w:t>
      </w:r>
      <w:r w:rsidRPr="00D03F3E">
        <w:rPr>
          <w:rFonts w:ascii="Times New Roman" w:hAnsi="Times New Roman"/>
          <w:color w:val="000000" w:themeColor="text1"/>
          <w:sz w:val="16"/>
          <w:szCs w:val="16"/>
        </w:rPr>
        <w:t xml:space="preserve"> (2005 г.-)- Л.М. Халфун.</w:t>
      </w:r>
    </w:p>
    <w:p w14:paraId="26503D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(1943 г.)- С.А. Громов, (2002 г.)- А.А. Пискунов.</w:t>
      </w:r>
    </w:p>
    <w:p w14:paraId="6F4B07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Зам. гендиректора по коммерции и ВЭС (2002 г.)- </w:t>
      </w:r>
      <w:r w:rsidRPr="00D03F3E">
        <w:rPr>
          <w:rFonts w:ascii="Times New Roman" w:hAnsi="Times New Roman"/>
          <w:color w:val="000000" w:themeColor="text1"/>
          <w:sz w:val="16"/>
          <w:szCs w:val="16"/>
          <w:lang w:val="en-US"/>
        </w:rPr>
        <w:t>JI</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M</w:t>
      </w:r>
      <w:r w:rsidRPr="00D03F3E">
        <w:rPr>
          <w:rFonts w:ascii="Times New Roman" w:hAnsi="Times New Roman"/>
          <w:color w:val="000000" w:themeColor="text1"/>
          <w:sz w:val="16"/>
          <w:szCs w:val="16"/>
        </w:rPr>
        <w:t>. Халфун.</w:t>
      </w:r>
      <w:r w:rsidRPr="00D03F3E">
        <w:rPr>
          <w:rFonts w:ascii="Times New Roman" w:hAnsi="Times New Roman"/>
          <w:color w:val="000000" w:themeColor="text1"/>
          <w:sz w:val="16"/>
          <w:szCs w:val="16"/>
          <w:vertAlign w:val="superscript"/>
        </w:rPr>
        <w:t>69</w:t>
      </w:r>
    </w:p>
    <w:p w14:paraId="2C6DD9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(06.1943-84 г.)- Ф.А. Короткое.</w:t>
      </w:r>
    </w:p>
    <w:p w14:paraId="0D2DD6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 карбюраторы:</w:t>
      </w:r>
      <w:r w:rsidRPr="00D03F3E">
        <w:rPr>
          <w:rFonts w:ascii="Times New Roman" w:hAnsi="Times New Roman"/>
          <w:color w:val="000000" w:themeColor="text1"/>
          <w:sz w:val="16"/>
          <w:szCs w:val="16"/>
        </w:rPr>
        <w:t xml:space="preserve"> К-38, К-105Ф, -БП для М-105, АК-82БП, АК-90БП для АШ-82, К-107БП для М-107, К-85, К-87, АК-88Б, К-42БП; агрегаты дозировки топлива АДТ-10 для РД-10, АДТ-20 для РД-20; насосы: плунжерные для ВК-1; топливная аппаратура для АЧ-ЗОБ, РД-500, АМ-ЗМ, РД-45Ф, ВК-1, РД-9, НК-12, Р15Б, Д- 436; САР 59А для РД-33 (1978-); 50-мм мины (1942).</w:t>
      </w:r>
    </w:p>
    <w:p w14:paraId="3281CE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ОКБ-315-33 НКАП, МАП, ОКБ-315 МАП, ГКАТ, Московское агрегатное КБ (МАКБ) «Темп», НПП «Электронно-гидравлическая автоматика (ЭГА)», АООТ, ОАО «НПП «ЭГА» /127015  г. Москва ул. Правды, 23 тел. 685-91-40/</w:t>
      </w:r>
    </w:p>
    <w:p w14:paraId="38CEE4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896с от 19.12.1942 г. на заводе № 315 было образовано ОКБ из местных кадров для создания новых карбюраторов. Гл. конструктором назначен Н. Г. Гладченко (до этого работал на заводе № 20). Далее по приказу № 136с от 8.03.1943 г. ОКБ было укреплено кадрами и оборудованием ОКБ завода № 33 и ОКБ завода № 20 НКАП. Далее на заводе создана база по агрегатам питания авиадвигателей для развития данных работ. Для этого по приказу № 336с от 3.06.1943 г. образовано единое ОКБ-315-33 НКАП на базе ОКБ завода № 33 и ОКБ завода № 315. Гл. конструктором ОКБ и обоих заводов назначен Ф.А. Короткое.</w:t>
      </w:r>
    </w:p>
    <w:p w14:paraId="741FA6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помощи серийному производству на заводе № 33 организован филиал ОКБ-315-33 (в 1957 г. филиал преобразован в самостоятельное ОКБ-3 3 МАП).</w:t>
      </w:r>
    </w:p>
    <w:p w14:paraId="7D4F3D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 приказу № 280с от 6.07.1945 г. филиал ОКБ завода № 55 при заводе № 315 по агрегатам топливопитания дизелей в полном составе передан в состав ОКБ-315-33 </w:t>
      </w:r>
      <w:r w:rsidRPr="00D03F3E">
        <w:rPr>
          <w:rFonts w:ascii="Times New Roman" w:hAnsi="Times New Roman"/>
          <w:color w:val="000000" w:themeColor="text1"/>
          <w:sz w:val="16"/>
          <w:szCs w:val="16"/>
        </w:rPr>
        <w:lastRenderedPageBreak/>
        <w:t>как отдел.</w:t>
      </w:r>
    </w:p>
    <w:p w14:paraId="63F80D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438с от 8.07.1946 г. в составе ОКБ-315-33 образован КО по аппаратуре топливопитания реактивных двигателей (начальник- Н.И. Макаров).</w:t>
      </w:r>
    </w:p>
    <w:p w14:paraId="3E3B2B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1945 г. создан первый отечественный карбюратор с непосредственным впрыском ВК-4 для АШ-73ТК. С 1946 г. началась разработка аппаратуры топливопитания для ТРД и ПВРД. В начале 1950-х  г. начались работы по созданию командно-топливных агрегатов (КТА) для ТВ Д.</w:t>
      </w:r>
    </w:p>
    <w:p w14:paraId="7F0523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1957 г. ОКБ-315-33 переименовано в ОКБ-315. В 08.1957 г.- в ведении ЗГУ МАП. В 1963 г. на базе ОКБ-315 вновь создается объединенное ОКБ-315-33 с Пермским филиалом на заводе № 33. С 1967 г. ОКБ-315-33 переименовано в МАКБ «Темп». С 1992(1) г. получило название НПП «Электронно-гидравлической автоматики («ЭГА»). В 2002 г. входит в ММПП «Салют». По Указу Президента РФ № 1009 от 4.08.2004 г. вошло в число стратегических оборонных предприятий.</w:t>
      </w:r>
    </w:p>
    <w:p w14:paraId="0322E9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1965 г. - разработка многофункциональной системы автоматического регулирования (САР) для Ту-144, в которую, помимо регулирования основного и форсажного контуров, вошли агрегаты регулирования компрессора и соплового аппарата. Принимало участие в программе создания ОК «Буран».</w:t>
      </w:r>
    </w:p>
    <w:p w14:paraId="6D56A6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(2002 г.): создание электронных гидравлических, гидромеханических систем питания и регулирования для авиационных и наземных ГТД; плунжерные, центробежные и шестеренные насосы.</w:t>
      </w:r>
    </w:p>
    <w:p w14:paraId="3037AA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(2002 г.)- 900 чел.</w:t>
      </w:r>
    </w:p>
    <w:p w14:paraId="628F14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(12.1942 г.-)- Н. Г. Гладченко, А.А. Артемьев, (06.1943-84 г.)- Ф.А. Короткое {24.07.1908-88}, (1984-2004 г.-&gt; В.И. Зазулов, (2004-05 г.-)-А.Л. Аршавский {4.12.1953-}.</w:t>
      </w:r>
    </w:p>
    <w:p w14:paraId="260C18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1-й зам. гл. конструктора (2002 г.)- </w:t>
      </w:r>
      <w:r w:rsidRPr="00D03F3E">
        <w:rPr>
          <w:rFonts w:ascii="Times New Roman" w:hAnsi="Times New Roman"/>
          <w:color w:val="000000" w:themeColor="text1"/>
          <w:sz w:val="16"/>
          <w:szCs w:val="16"/>
          <w:lang w:val="en-US"/>
        </w:rPr>
        <w:t>A</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JL</w:t>
      </w:r>
      <w:r w:rsidRPr="00D03F3E">
        <w:rPr>
          <w:rFonts w:ascii="Times New Roman" w:hAnsi="Times New Roman"/>
          <w:color w:val="000000" w:themeColor="text1"/>
          <w:sz w:val="16"/>
          <w:szCs w:val="16"/>
        </w:rPr>
        <w:t xml:space="preserve"> Аршавский. Зам. гл. конструктора (06.1943 г.-)- Н. Г. Гладченко, (06.1943 г.-)- А.А. Артемьев; по дизельной аппаратуре (07.1945 г.-)- Н.И. Макаров; по аппаратуре ТРД (07.1946 г.-)- Н.И. Макаров; (1974-84 г.)- В.И. Зазулов.</w:t>
      </w:r>
      <w:r w:rsidRPr="00D03F3E">
        <w:rPr>
          <w:rFonts w:ascii="Times New Roman" w:hAnsi="Times New Roman"/>
          <w:color w:val="000000" w:themeColor="text1"/>
          <w:sz w:val="16"/>
          <w:szCs w:val="16"/>
          <w:vertAlign w:val="superscript"/>
        </w:rPr>
        <w:t>49</w:t>
      </w:r>
    </w:p>
    <w:p w14:paraId="391BCB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lang w:val="en-US"/>
        </w:rPr>
        <w:t>i</w:t>
      </w:r>
      <w:r w:rsidRPr="00D03F3E">
        <w:rPr>
          <w:rFonts w:ascii="Times New Roman" w:hAnsi="Times New Roman"/>
          <w:color w:val="000000" w:themeColor="text1"/>
          <w:sz w:val="16"/>
          <w:szCs w:val="16"/>
        </w:rPr>
        <w:t xml:space="preserve"> Ответственный руководитель (1963-84 г.)- Ф.А. Коротков. Директор (1984-93 г.)- В.И. Зазулов. Гендиректор (1993-2004 г.)- В.И. Зазулов, (2004-05 г.-)- А.Л. Аршавский.</w:t>
      </w:r>
    </w:p>
    <w:p w14:paraId="7A5D32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гендиректора (2002 г.)- С.Н. Ломовицкий.</w:t>
      </w:r>
      <w:r w:rsidRPr="00D03F3E">
        <w:rPr>
          <w:rFonts w:ascii="Times New Roman" w:hAnsi="Times New Roman"/>
          <w:color w:val="000000" w:themeColor="text1"/>
          <w:sz w:val="16"/>
          <w:szCs w:val="16"/>
          <w:vertAlign w:val="superscript"/>
        </w:rPr>
        <w:t>69</w:t>
      </w:r>
    </w:p>
    <w:p w14:paraId="647758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Ведущие конструкторы: С.И. Пресняков, Д.М. Сегаль.</w:t>
      </w:r>
    </w:p>
    <w:p w14:paraId="5199A5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Создано:</w:t>
      </w:r>
      <w:r w:rsidRPr="00D03F3E">
        <w:rPr>
          <w:rFonts w:ascii="Times New Roman" w:hAnsi="Times New Roman"/>
          <w:color w:val="000000" w:themeColor="text1"/>
          <w:sz w:val="16"/>
          <w:szCs w:val="16"/>
        </w:rPr>
        <w:t xml:space="preserve"> карбюраторы К-35, К-87, К-105, К-38, АК-88, АК-63; АДТ-10 для РД-10, АДТ-20 для РД-20; регулятор оборотов ТНА и регулятор подачи топлива для РД-012, часовой механизм отсечки топлива для РД- 036; КТА для НК-12; часовое устройство для РСЗО «Вихрь» (1958), насос-регулятор НР-22 (1966); насос- регулятор и форсажный насос для АЛ-21Ф; САР для Ту-144 (1965); </w:t>
      </w:r>
      <w:r w:rsidRPr="00D03F3E">
        <w:rPr>
          <w:rFonts w:ascii="Times New Roman" w:hAnsi="Times New Roman"/>
          <w:color w:val="000000" w:themeColor="text1"/>
          <w:sz w:val="16"/>
          <w:szCs w:val="16"/>
          <w:lang w:val="en-US"/>
        </w:rPr>
        <w:t>CAP</w:t>
      </w:r>
      <w:r w:rsidRPr="00D03F3E">
        <w:rPr>
          <w:rFonts w:ascii="Times New Roman" w:hAnsi="Times New Roman"/>
          <w:color w:val="000000" w:themeColor="text1"/>
          <w:sz w:val="16"/>
          <w:szCs w:val="16"/>
        </w:rPr>
        <w:t xml:space="preserve"> 59А для РД-33, САР для АЛ-31Ф, САР- 8А, -25, -40, -47, -53, -55, -57 (1963-80); САУ-31, -32, -59, -79, -86 (1971-90), САУ-1700 для РД-1700; агрегаты РЧВ-14, РЧВ-22 РР-15, РР-19, ДК-15, ДК-19, НР-63, «470» для РК «Гранит», «Метеорит», «Болид», Н-1, «Энергия-Буран»; регулятор подачи водорода в ГПВРД (программа «Орел») (1990-е); САУ силовых приводов для газоперекачивающих станций.</w:t>
      </w:r>
      <w:r w:rsidRPr="00D03F3E">
        <w:rPr>
          <w:rFonts w:ascii="Times New Roman" w:hAnsi="Times New Roman"/>
          <w:color w:val="000000" w:themeColor="text1"/>
          <w:sz w:val="16"/>
          <w:szCs w:val="16"/>
          <w:vertAlign w:val="superscript"/>
        </w:rPr>
        <w:t>101</w:t>
      </w:r>
    </w:p>
    <w:p w14:paraId="0E6194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Гаврилов-Ямский машиностроительный завод (ГМЗ) «Агат», ОАО «ГМЗ «Агат» /152240  г. Гаврилов-Ям Ярославской обл. пр. Машиностроителей, 1 тел. 23-264/</w:t>
      </w:r>
    </w:p>
    <w:p w14:paraId="50980D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Создан в 1968 г. Являлся филиалом ММЗ «Знамя революции». С начала 1970-х по начало 1990-х  г. входил в ПО «Знамя революции». Входит в состав ММПП «Салют» с 04.2003 г. По Указу Президента РФ № 1009 от 4.08.2004 г. вошло в число стратегических оборонных предприятий.</w:t>
      </w:r>
    </w:p>
    <w:p w14:paraId="7457D6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(2002 г.)- 787 чел.</w:t>
      </w:r>
      <w:r w:rsidRPr="00D03F3E">
        <w:rPr>
          <w:rFonts w:ascii="Times New Roman" w:hAnsi="Times New Roman"/>
          <w:color w:val="000000" w:themeColor="text1"/>
          <w:sz w:val="16"/>
          <w:szCs w:val="16"/>
          <w:vertAlign w:val="superscript"/>
        </w:rPr>
        <w:t>69</w:t>
      </w:r>
    </w:p>
    <w:p w14:paraId="68BDC4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Гендиректор (-2002-05 г.-)- В.Н. Корытов.</w:t>
      </w:r>
    </w:p>
    <w:p w14:paraId="532130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Технический директор (2002 г.)- А.А. Николаев.</w:t>
      </w:r>
    </w:p>
    <w:p w14:paraId="3B54D0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гендиректора: по по маркетингу и финансам (2002 г.)- Н.И. Кружков; по снабжению и транспорту (2002 г.)- Л.И. Новожилова.</w:t>
      </w:r>
    </w:p>
    <w:p w14:paraId="3FCC20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w:t>
      </w:r>
      <w:r w:rsidRPr="00D03F3E">
        <w:rPr>
          <w:rFonts w:ascii="Times New Roman" w:hAnsi="Times New Roman"/>
          <w:color w:val="000000" w:themeColor="text1"/>
          <w:sz w:val="16"/>
          <w:szCs w:val="16"/>
        </w:rPr>
        <w:t xml:space="preserve"> (2004 г.) топливорегулирующая аппаратура авиационных ГТД: регулятор топлива РТ-8У, ограничители: оборотов ОГ-8-4, ОГВ-25, скорости ОС-2, степени сжатия ОСС-86; распределители топлива: РТФ-59Б, РТ-59И, РТФ-31А, РТО-55; клапаны: сброса и останова КСО-59А, предохранительный ПК-88; насосы центробежные ДЦН-82, ДЦН-78, ДЦН-80; автомат управления АДУ-2С; агрегаты управления механизации компрессора АУМК-29, АУМК-89, стоп-кран СК-29; гидроаппаратура для грузоподъемной, дорожно- строительной и коммунальной техники; разработка системы запуска ГТУ; мотоблоки «Салют-5» для сельского хозяйства (11982).</w:t>
      </w:r>
    </w:p>
    <w:p w14:paraId="14F9D0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B928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февраля 1943 Нач. 3У ГРУ Хлопов писал письмо N 235710 Зам. НКАП А.С.Я. с сообщением для использования и оценки обобщенных данных японского торпедного бомбардировщика (1780,91).</w:t>
      </w:r>
    </w:p>
    <w:p w14:paraId="304A69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C616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февраля 1943 ГВФ озаботился восстановлением аэропортов на освобожденных территориях (442,171).</w:t>
      </w:r>
    </w:p>
    <w:p w14:paraId="175FCC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38F1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февраля 1943 вышло Постановление ГКО № 2947 Об организации производства авиационных индукционных мин АМД-500 и АМД-1000 на заводе № 175 Наркомсудпрома.РГАНИР, Фонд ГКО, д. 91, лл. 176-177 (11012).</w:t>
      </w:r>
    </w:p>
    <w:p w14:paraId="10A15F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C943AE"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593633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67F4B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февраля 1943 года вышел приказ № 104/88с НКВ и Наркомата среднего машиностроения</w:t>
      </w:r>
    </w:p>
    <w:p w14:paraId="2223FE0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постановления СНК и ЦК ВКП(б) № 206/73с от 24 февраля 1943 года “Об организации производства колесных тракторов УН-2”</w:t>
      </w:r>
    </w:p>
    <w:p w14:paraId="59D51B7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Передать завод № 303 в г. Владимир Ивановской области из НКВ в Наркомат среднего машиностроения (6431, 196).</w:t>
      </w:r>
    </w:p>
    <w:p w14:paraId="5F8ADA8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ED44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февраля 1943 вышло Постановление ГКО № 2948 О восстановлении котлотурбинного производства на заводах Наркомтяжмаша.РГАНИР, Фонд ГКО, д. 91, лл. 178-184, 185-216 (11012).</w:t>
      </w:r>
    </w:p>
    <w:p w14:paraId="656ADB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7AD77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февраля 1943 вышло Постановление ГКО № 2950 О восстановлении Волжского и Каспийского флотов. (7084, 7-14,15-37).</w:t>
      </w:r>
    </w:p>
    <w:p w14:paraId="36A8B29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D92EB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февраля 1943 вышло Постановление ГКО № 2951 О подготовке портов и пристаней Наркомречфлота к навигации 1943 года. (7084, 38-42,43-72).</w:t>
      </w:r>
    </w:p>
    <w:p w14:paraId="26E1073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DF2E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февраля 1943 вышло Постановление ГКО № 2952 О плане вывоза нефтепродуктов из Баку водным транспортом в 1943 году и о мерах по его выполнению.РГАНИР, Фонд ГКО, д. 92, лл. 73-86, 87-104 (11012).</w:t>
      </w:r>
    </w:p>
    <w:p w14:paraId="0A073E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F1AE1A"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CB0F1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3BF90A"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27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56CDC63B"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27 февраля наши войска вели наступательные бои на прежних направлениях.</w:t>
      </w:r>
    </w:p>
    <w:p w14:paraId="2F3A97DB"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в бою с противником советские танкисты уничтожили 6 немецких танков и разгромили батальон вражеской мотопехоты. Бойцы Н-скойчасти, продвигаясь вперёд, захватили 3 противотанковых орудия, 11 станковых пулемётов, радиостанцию и вещевой склад противника.</w:t>
      </w:r>
    </w:p>
    <w:p w14:paraId="75E07EE7"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Краматорской наши войска вели бои с танками и пехотой противника. На одном участке немцы, стремясь прорваться к крупному населённому пункту, предприняли одну за другой несколько контратак. Наши бойцы отбили все контратаки гитлеровцев и уничтожили свыше 300 немецких солдат и офицеров. На другом участке огнём нашей артиллерии уничтожено 14 немецких танков. Значительные потери нанесены также следовавшей за танками вражеской мотопехоте.</w:t>
      </w:r>
    </w:p>
    <w:p w14:paraId="407155A9"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Харькова наши войска продолжали наступление. Бойцы Н-ской части в упорном бою сломили сопротивление противника, ворвались в населённый пункт и после короткого боя овладели им. Захвачено 3 орудия, 15 пулемётов, свыше 100 винтовок, много снарядов, мин и патронов. На другом участке наша танковая часть уничтожила 4 немецких танка, 5 противотанковых орудий, 11 автомашин и истребила до роты пехоты противника.</w:t>
      </w:r>
    </w:p>
    <w:p w14:paraId="56F0040B"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Й-ская часть, продвигаясь вперёд, заняла несколько населённых пунктов. Захвачены у противника 19 полевых и 2 зенитных орудия, 82 пулемёта, 390 винтовок, 4 трактора, 136 лошадей, 5 тысяч ящиков с патронами и склад спродовольствием.</w:t>
      </w:r>
    </w:p>
    <w:p w14:paraId="50D7F70E"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Орловской области, в боях с немецкими оккупантами истребил 95 гитлеровцев. Партизаны захватили автоматическую пушку, много снарядов к ней, 3 станковых пулемёта, 6 ротных миномётов, 450 мин, 50 винтовок и несколько тысяч патронов.</w:t>
      </w:r>
    </w:p>
    <w:p w14:paraId="082DC4DB"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Взятый в плен севернее Курска командир 12 батареи 299 артиллерийского полка 299 немецкой пехотной дивизии обер-лейтенант Фридрих Хейкамп рассказал: «После уничтожения 6-й немецкой армии в районе Сталинграда солдат и офицеров не покидает удручённое состояние. На курском участке фронта русские тоже нанесли нам тяжёлые удары. 299 дивизия потеряла в последних боях не меньше половины личного состава. Раньше мы надеялись, что немецким войскам удастся закрепитьсяна линии Ростов—Харьков— Курск. Эти надежды рухнули. В прошлом году немецкие офицеры считали маловероятным создание второго фронта в Европе. Ныне все убеждены, что существует реальная опасность возникновения второго фронта. В настоящее время, когда германская армия на Востоке находится в очень тяжёлом положении, удар с Запада может привести Германию к непоправимой катастрофе».</w:t>
      </w:r>
    </w:p>
    <w:p w14:paraId="5EE5C732"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Бельгийские патриоты самоотверженно борются против немецких оккупантов. В Брюсселе в здание штаба немецкой противовоздушной обороны была брошена бомба. Убито 15 гитлеровцев. Железнодорожники района Льежа в январе вывели из строя свыше 25 паровозов. Близ города Остенде вооружённые бельгийцы напали на отряд немецкой полиции и истребили 28 гитлеровцев.» (15053).</w:t>
      </w:r>
    </w:p>
    <w:p w14:paraId="3017A780" w14:textId="77777777" w:rsidR="00196377" w:rsidRPr="00D03F3E" w:rsidRDefault="00196377" w:rsidP="00D03F3E">
      <w:pPr>
        <w:spacing w:after="0" w:line="240" w:lineRule="auto"/>
        <w:jc w:val="both"/>
        <w:rPr>
          <w:rFonts w:ascii="Times New Roman" w:hAnsi="Times New Roman"/>
          <w:color w:val="000000" w:themeColor="text1"/>
          <w:sz w:val="16"/>
          <w:szCs w:val="16"/>
        </w:rPr>
      </w:pPr>
    </w:p>
    <w:p w14:paraId="1681A747"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27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06FB171A"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27 февраля наши войска вели наступательные бои на прежних направлениях.</w:t>
      </w:r>
    </w:p>
    <w:p w14:paraId="69B1FEC9"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кораблями в Баренцевом море потоплен миноносец противника.</w:t>
      </w:r>
    </w:p>
    <w:p w14:paraId="6C8843A7"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февраля частями нашей авиации на различных участках фронта уничтожено или повреждено до 204 немецких автомашин с войсками и грузами, подавлен огонь 5 артиллерийских батарей и взорвано два склада боеприпасов противника.</w:t>
      </w:r>
    </w:p>
    <w:p w14:paraId="42984751"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немцы пытались вернуть занятые накануне нашими подразделениями выгодные позиции. Бойцы Н-ской части отбили все контратаки противника и уничтожили до 200 немецких солдат и офицеров. На другом участке наши части захватили 11 миномётов, 250 винтовок, 3 крупнокалиберных и 8 ручных пулемётов.</w:t>
      </w:r>
    </w:p>
    <w:p w14:paraId="66F4CCC2"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бойцы Н-ской части в ожесточённом бою разгромили усиленный батальон немецкой пехоты. Противник отступил, оставив на поле боя много трупов и 2 сожжённых танка. Захвачены трофеи, в числе которых 4 орудия, 7 миномётов, много винтовок и боеприпасов.</w:t>
      </w:r>
    </w:p>
    <w:p w14:paraId="5860229D"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Краматорской наши войска вели ожесточённые бои с танками и мотопехотой противника. Немцы, сосредоточив крупные силы танков, пытались прорваться к одному крупному населённому пункту. Огнём нашей артиллерии и бронебойщиков, а также противотанковыми гранатами уничтожено 28 немецких танков. Истреблено свыше 400 вражеских солдат и офицеров. Оставшиеся танки противника поспешно отступили на исходные позиции.</w:t>
      </w:r>
    </w:p>
    <w:p w14:paraId="7B1CCFB3"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Харькова наши войска продолжали наступление. Части Н-ского соединения, сломив сопротивление противника, овладели рядом крупных населённых пунктов. Только в боях за один из этих населённых пунктов истреблено свыше 150 гитлеровцев, подбито и сожжено 6 танков. Советские бойцы захватили 2 самоходныхи 6 противотанковых орудий, 2 склада боеприпасов и склад с горючим.</w:t>
      </w:r>
    </w:p>
    <w:p w14:paraId="1B591119"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Нашей авиацией на аэродроме противника в Запорожье уничтожено и сожжено 18 немецких бомбардировщиков.</w:t>
      </w:r>
    </w:p>
    <w:p w14:paraId="42F1A45A"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Курска части Н-ского соединения продвинулись вперёд и заняли несколько населённых пунктов. Особенно упорные бои происходили в одном из этих населённых пунктов, на улицах которого подсчитано более 200 трупов гитлеровцев. На другом участке немцы бросили в контратаку батальон пехоты, поддержанный танками и бронемашинами. Советские бронебойщики подбили и сожгли 3 танка и 2 бронемашины. Немецкая пехота, оставшись без прикрытия, понесла большие потери и в беспорядке отступила.</w:t>
      </w:r>
    </w:p>
    <w:p w14:paraId="4B3AFA58"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одном из районов Сумской области, за 15 дней февраля месяца уничтожили немецкие гарнизоны в нескольких населённых пунктах. Захвачены трофеи: 7 пулемётов, 350 винтовок, 9 автомашин и 150 повозок с военными грузами, 200 лошадей, 30 сёдел и 40 килограммов взрывчатки. Партизаны другого украинского отряда разгромили штаб венгерского полка. Убито 10 штабных офицеров. Захвачены 3 радиостанции и штабные документы.</w:t>
      </w:r>
    </w:p>
    <w:p w14:paraId="30A2E028"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обер-ефрейтор 75 артиллерийского полка 3 немецкой танковой дивизии Карл Кирниох рассказал: «Когда русские начали наступление, 75 артиллерийский полк получил приказ занять и во что бы то ни стало удержать линию обороны. Но русские не дали нам задержаться. Офицеры говорили, что на этом рубеже полк пробудет всю зиму, а весной начнётся новое наступление на Кавказ. Жизнь опрокинула все эти расчёты. Натиск русских был так силён, что нам не помогли заранее построенные укрепления. Немецкая армия покатилась, оставляя Кавказ и Кубань. Всякие разговоры о выравнивании линии фронта солдаты понимают оченьпросто: немецкие войска отступают потому, что русские наступают, и мы не можем устоять против их натиска. Вообще вся эта затея насчёт Кавказа и Баку была авантюрой, за которую теперь приходится расплачиваться».</w:t>
      </w:r>
    </w:p>
    <w:p w14:paraId="737E1E5E"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замучили насмерть многих жителей деревни Битюг, Курской области. Гитлеровские палачи на глазах у родителей расстреляли подростков братьев Захара и Василия Казначеевых. Учительница Мария СтепановнаДородных запротестовала против кровавой расправы немецких разбойников над ни вчём не повинными школьниками. Фашистские бандиты схватили советскую патриотку и повесили её. Перед отступлением гитлеровцы загнали группу жителей и подвалы, облили подвалы бензином и подожгли. В огне сгорело более 40 человек, в большинстве женщины и дети.» (15053).</w:t>
      </w:r>
    </w:p>
    <w:p w14:paraId="485FF30F" w14:textId="77777777" w:rsidR="00196377" w:rsidRPr="00D03F3E" w:rsidRDefault="00196377" w:rsidP="00D03F3E">
      <w:pPr>
        <w:spacing w:after="0" w:line="240" w:lineRule="auto"/>
        <w:jc w:val="both"/>
        <w:rPr>
          <w:rFonts w:ascii="Times New Roman" w:hAnsi="Times New Roman"/>
          <w:color w:val="000000" w:themeColor="text1"/>
          <w:sz w:val="16"/>
          <w:szCs w:val="16"/>
        </w:rPr>
      </w:pPr>
    </w:p>
    <w:p w14:paraId="23FC6A7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февраля 1943 немецкие войска отбили у советских железнодорожный узел Лозовая (4962).</w:t>
      </w:r>
    </w:p>
    <w:p w14:paraId="258DB6F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B10A1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февраля 1943 г. ДОКЛАДНАЯ ЗАПИСКА НАЧАЛЬНИКА СОЛИКАМСКОГО ВОЕННОГО УЧИЛИЩА НАЧАЛЬНИКУ ГУФ и БП БТ и МВ КА ПО ВОПРОСУ ОТДЕЛЬНЫХ АЭРОСАННЫХ ТРАНСПОРТНЫХ БАТАЛЬОНОВ № 0201</w:t>
      </w:r>
    </w:p>
    <w:p w14:paraId="4ADD88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Соликамск</w:t>
      </w:r>
    </w:p>
    <w:p w14:paraId="2FCF1B4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 наступлением теплой погоды и уменьшением снежного покрова, а также невозможнос</w:t>
      </w:r>
      <w:r w:rsidRPr="00D03F3E">
        <w:rPr>
          <w:rFonts w:ascii="Times New Roman" w:hAnsi="Times New Roman"/>
          <w:color w:val="000000" w:themeColor="text1"/>
          <w:sz w:val="16"/>
          <w:szCs w:val="16"/>
        </w:rPr>
        <w:softHyphen/>
        <w:t>тью дальнейшего использования на фронтах аэросаней прошу Вашего распоряжения сформирован</w:t>
      </w:r>
      <w:r w:rsidRPr="00D03F3E">
        <w:rPr>
          <w:rFonts w:ascii="Times New Roman" w:hAnsi="Times New Roman"/>
          <w:color w:val="000000" w:themeColor="text1"/>
          <w:sz w:val="16"/>
          <w:szCs w:val="16"/>
        </w:rPr>
        <w:softHyphen/>
        <w:t>ные по директиве зам. НКО т. Щаденко №144-Ш от 3.01.1943 года 68, 69 и 70-й отдельные аэросанные транспортные батальоны, дислоцируемые в г. Соликамске, расформировать.</w:t>
      </w:r>
    </w:p>
    <w:p w14:paraId="3756FCC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Личный состав не аэросанной специальности в количестве: начсостава — 21 человек, рядового и млад</w:t>
      </w:r>
      <w:r w:rsidRPr="00D03F3E">
        <w:rPr>
          <w:rFonts w:ascii="Times New Roman" w:hAnsi="Times New Roman"/>
          <w:color w:val="000000" w:themeColor="text1"/>
          <w:sz w:val="16"/>
          <w:szCs w:val="16"/>
        </w:rPr>
        <w:softHyphen/>
        <w:t>шего начсостава — 72 человека откомандировать в соответствующие отделы кадров по специальности, рядовой и младший начсостав в АБТ центры по Вашим указаниям на формирование танковых войск КА.</w:t>
      </w:r>
    </w:p>
    <w:p w14:paraId="1F2CA4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Личный состав аэросанной специ альности в количестве: начсостава 66 человек, рядового и млад</w:t>
      </w:r>
      <w:r w:rsidRPr="00D03F3E">
        <w:rPr>
          <w:rFonts w:ascii="Times New Roman" w:hAnsi="Times New Roman"/>
          <w:color w:val="000000" w:themeColor="text1"/>
          <w:sz w:val="16"/>
          <w:szCs w:val="16"/>
        </w:rPr>
        <w:softHyphen/>
        <w:t>шего начсостава в количестве 126 человек оставить при училище за счет переменного состава.</w:t>
      </w:r>
    </w:p>
    <w:p w14:paraId="0EAEC70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Материальную часть законсервировать с предварительным профилактическим ремонтом.</w:t>
      </w:r>
    </w:p>
    <w:p w14:paraId="6215D77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виды военного имущества, вооружения и автотранспорт оставить в училище, считая таковые в резерве ГУФ и БП БТ и МВ КА для дальнейшего формирования в зиму 1943-1944 годов.</w:t>
      </w:r>
    </w:p>
    <w:p w14:paraId="7AF7E97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экономии средств на содержание указанных выше частей прошу до получения директи</w:t>
      </w:r>
      <w:r w:rsidRPr="00D03F3E">
        <w:rPr>
          <w:rFonts w:ascii="Times New Roman" w:hAnsi="Times New Roman"/>
          <w:color w:val="000000" w:themeColor="text1"/>
          <w:sz w:val="16"/>
          <w:szCs w:val="16"/>
        </w:rPr>
        <w:softHyphen/>
        <w:t>вы о расформировании сообщить мне о Вашем решении телеграфом.</w:t>
      </w:r>
    </w:p>
    <w:p w14:paraId="13C4500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Соликамского военного училища</w:t>
      </w:r>
    </w:p>
    <w:p w14:paraId="6D3ECF4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полковник Федоров</w:t>
      </w:r>
    </w:p>
    <w:p w14:paraId="1DA262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11358. Д. 95. Л. 34. Подлинник (11403).</w:t>
      </w:r>
    </w:p>
    <w:p w14:paraId="79B46EE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0F11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февраля 1943 г. была подготовлена ОБЩАЯ СВОДКА КОЛИЧЕСТВА УЧТЕННЫХ В АРМИЯХ ТРОФЕЙНЫХ АВТОМАШИН, ТРАКТОРОВ И ТЯГАЧЕЙ НА 9 ФЕВРАЛЯ 1943 г. И ИХ ТЕХНИЧЕСКОЕ СОСТОЯНИЕ</w:t>
      </w:r>
    </w:p>
    <w:tbl>
      <w:tblPr>
        <w:tblW w:w="0" w:type="auto"/>
        <w:tblInd w:w="40" w:type="dxa"/>
        <w:tblLayout w:type="fixed"/>
        <w:tblCellMar>
          <w:left w:w="40" w:type="dxa"/>
          <w:right w:w="40" w:type="dxa"/>
        </w:tblCellMar>
        <w:tblLook w:val="0000" w:firstRow="0" w:lastRow="0" w:firstColumn="0" w:lastColumn="0" w:noHBand="0" w:noVBand="0"/>
      </w:tblPr>
      <w:tblGrid>
        <w:gridCol w:w="422"/>
        <w:gridCol w:w="2918"/>
        <w:gridCol w:w="749"/>
        <w:gridCol w:w="749"/>
        <w:gridCol w:w="826"/>
        <w:gridCol w:w="749"/>
        <w:gridCol w:w="758"/>
        <w:gridCol w:w="749"/>
        <w:gridCol w:w="864"/>
        <w:gridCol w:w="768"/>
      </w:tblGrid>
      <w:tr w:rsidR="00860B4B" w:rsidRPr="00D03F3E" w14:paraId="25373DDE" w14:textId="77777777">
        <w:trPr>
          <w:trHeight w:val="202"/>
        </w:trPr>
        <w:tc>
          <w:tcPr>
            <w:tcW w:w="422" w:type="dxa"/>
            <w:tcBorders>
              <w:top w:val="single" w:sz="6" w:space="0" w:color="auto"/>
              <w:left w:val="single" w:sz="6" w:space="0" w:color="auto"/>
              <w:bottom w:val="nil"/>
              <w:right w:val="single" w:sz="6" w:space="0" w:color="auto"/>
            </w:tcBorders>
          </w:tcPr>
          <w:p w14:paraId="4F25BC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п.п.</w:t>
            </w:r>
          </w:p>
          <w:p w14:paraId="75B358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18" w:type="dxa"/>
            <w:tcBorders>
              <w:top w:val="single" w:sz="6" w:space="0" w:color="auto"/>
              <w:left w:val="single" w:sz="6" w:space="0" w:color="auto"/>
              <w:bottom w:val="nil"/>
              <w:right w:val="single" w:sz="6" w:space="0" w:color="auto"/>
            </w:tcBorders>
          </w:tcPr>
          <w:p w14:paraId="7C4FBAF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Категория</w:t>
            </w:r>
          </w:p>
          <w:p w14:paraId="19C4A8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73" w:type="dxa"/>
            <w:gridSpan w:val="4"/>
            <w:tcBorders>
              <w:top w:val="single" w:sz="6" w:space="0" w:color="auto"/>
              <w:left w:val="single" w:sz="6" w:space="0" w:color="auto"/>
              <w:bottom w:val="single" w:sz="6" w:space="0" w:color="auto"/>
              <w:right w:val="single" w:sz="6" w:space="0" w:color="auto"/>
            </w:tcBorders>
          </w:tcPr>
          <w:p w14:paraId="287064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по фронту</w:t>
            </w:r>
          </w:p>
          <w:p w14:paraId="7AC3B1E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39" w:type="dxa"/>
            <w:gridSpan w:val="4"/>
            <w:tcBorders>
              <w:top w:val="single" w:sz="6" w:space="0" w:color="auto"/>
              <w:left w:val="single" w:sz="6" w:space="0" w:color="auto"/>
              <w:bottom w:val="single" w:sz="6" w:space="0" w:color="auto"/>
              <w:right w:val="single" w:sz="6" w:space="0" w:color="auto"/>
            </w:tcBorders>
          </w:tcPr>
          <w:p w14:paraId="408E1C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них введено в строй частям</w:t>
            </w:r>
          </w:p>
          <w:p w14:paraId="26DDC7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A7A9E3B" w14:textId="77777777">
        <w:trPr>
          <w:trHeight w:val="355"/>
        </w:trPr>
        <w:tc>
          <w:tcPr>
            <w:tcW w:w="422" w:type="dxa"/>
            <w:tcBorders>
              <w:top w:val="nil"/>
              <w:left w:val="single" w:sz="6" w:space="0" w:color="auto"/>
              <w:bottom w:val="single" w:sz="6" w:space="0" w:color="auto"/>
              <w:right w:val="single" w:sz="6" w:space="0" w:color="auto"/>
            </w:tcBorders>
          </w:tcPr>
          <w:p w14:paraId="534D2E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07C2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18" w:type="dxa"/>
            <w:tcBorders>
              <w:top w:val="nil"/>
              <w:left w:val="single" w:sz="6" w:space="0" w:color="auto"/>
              <w:bottom w:val="single" w:sz="6" w:space="0" w:color="auto"/>
              <w:right w:val="single" w:sz="6" w:space="0" w:color="auto"/>
            </w:tcBorders>
          </w:tcPr>
          <w:p w14:paraId="6BC777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30E6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4F9572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грузовые</w:t>
            </w:r>
          </w:p>
          <w:p w14:paraId="3C90705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C32B44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легковые</w:t>
            </w:r>
          </w:p>
          <w:p w14:paraId="103A557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8ECA7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специаль</w:t>
            </w:r>
            <w:r w:rsidRPr="00D03F3E">
              <w:rPr>
                <w:rFonts w:ascii="Times New Roman" w:hAnsi="Times New Roman"/>
                <w:color w:val="000000" w:themeColor="text1"/>
                <w:sz w:val="16"/>
                <w:szCs w:val="16"/>
              </w:rPr>
              <w:softHyphen/>
              <w:t>ные</w:t>
            </w:r>
          </w:p>
          <w:p w14:paraId="19E265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D6208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трактора и тягачи</w:t>
            </w:r>
          </w:p>
          <w:p w14:paraId="54E8A6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7C4AD20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грузовые</w:t>
            </w:r>
          </w:p>
          <w:p w14:paraId="5D6850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5D4DAB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легковые</w:t>
            </w:r>
          </w:p>
          <w:p w14:paraId="51D79B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76E17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специаль</w:t>
            </w:r>
            <w:r w:rsidRPr="00D03F3E">
              <w:rPr>
                <w:rFonts w:ascii="Times New Roman" w:hAnsi="Times New Roman"/>
                <w:color w:val="000000" w:themeColor="text1"/>
                <w:sz w:val="16"/>
                <w:szCs w:val="16"/>
              </w:rPr>
              <w:softHyphen/>
              <w:t>ные</w:t>
            </w:r>
          </w:p>
          <w:p w14:paraId="3577BA3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D2EF3E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трактора и тягачи</w:t>
            </w:r>
          </w:p>
          <w:p w14:paraId="1D4F68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8501FC8" w14:textId="77777777">
        <w:trPr>
          <w:trHeight w:val="202"/>
        </w:trPr>
        <w:tc>
          <w:tcPr>
            <w:tcW w:w="422" w:type="dxa"/>
            <w:tcBorders>
              <w:top w:val="single" w:sz="6" w:space="0" w:color="auto"/>
              <w:left w:val="single" w:sz="6" w:space="0" w:color="auto"/>
              <w:bottom w:val="single" w:sz="6" w:space="0" w:color="auto"/>
              <w:right w:val="single" w:sz="6" w:space="0" w:color="auto"/>
            </w:tcBorders>
          </w:tcPr>
          <w:p w14:paraId="1D14F06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4756CD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18" w:type="dxa"/>
            <w:tcBorders>
              <w:top w:val="single" w:sz="6" w:space="0" w:color="auto"/>
              <w:left w:val="single" w:sz="6" w:space="0" w:color="auto"/>
              <w:bottom w:val="single" w:sz="6" w:space="0" w:color="auto"/>
              <w:right w:val="single" w:sz="6" w:space="0" w:color="auto"/>
            </w:tcBorders>
          </w:tcPr>
          <w:p w14:paraId="680BD3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Комплектные</w:t>
            </w:r>
          </w:p>
          <w:p w14:paraId="28C0C6B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694D85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1709</w:t>
            </w:r>
          </w:p>
          <w:p w14:paraId="173C44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7E179DE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277</w:t>
            </w:r>
          </w:p>
          <w:p w14:paraId="6B121D0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0F1967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291</w:t>
            </w:r>
          </w:p>
          <w:p w14:paraId="3F2597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02120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w:t>
            </w:r>
          </w:p>
          <w:p w14:paraId="31DA20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82CF70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1418</w:t>
            </w:r>
          </w:p>
          <w:p w14:paraId="100D17A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151AB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213</w:t>
            </w:r>
          </w:p>
          <w:p w14:paraId="153F59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A641D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87</w:t>
            </w:r>
          </w:p>
          <w:p w14:paraId="2DD935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0E5F6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w:t>
            </w:r>
          </w:p>
          <w:p w14:paraId="1135CE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5D54693" w14:textId="77777777">
        <w:trPr>
          <w:trHeight w:val="211"/>
        </w:trPr>
        <w:tc>
          <w:tcPr>
            <w:tcW w:w="422" w:type="dxa"/>
            <w:tcBorders>
              <w:top w:val="single" w:sz="6" w:space="0" w:color="auto"/>
              <w:left w:val="single" w:sz="6" w:space="0" w:color="auto"/>
              <w:bottom w:val="single" w:sz="6" w:space="0" w:color="auto"/>
              <w:right w:val="single" w:sz="6" w:space="0" w:color="auto"/>
            </w:tcBorders>
          </w:tcPr>
          <w:p w14:paraId="14E01E2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74F17B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18" w:type="dxa"/>
            <w:tcBorders>
              <w:top w:val="single" w:sz="6" w:space="0" w:color="auto"/>
              <w:left w:val="single" w:sz="6" w:space="0" w:color="auto"/>
              <w:bottom w:val="single" w:sz="6" w:space="0" w:color="auto"/>
              <w:right w:val="single" w:sz="6" w:space="0" w:color="auto"/>
            </w:tcBorders>
          </w:tcPr>
          <w:p w14:paraId="6F2B66E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мелким некомплектов</w:t>
            </w:r>
          </w:p>
          <w:p w14:paraId="6F17438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A8627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1041</w:t>
            </w:r>
          </w:p>
          <w:p w14:paraId="37A804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43CCBE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156</w:t>
            </w:r>
          </w:p>
          <w:p w14:paraId="20C497F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1075FE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444</w:t>
            </w:r>
          </w:p>
          <w:p w14:paraId="02F649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3D7EE7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107</w:t>
            </w:r>
          </w:p>
          <w:p w14:paraId="487E7B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374A69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CCC1E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7DBCC3D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DB1E6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CF4C1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49FF1D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70D62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796234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3A92413" w14:textId="77777777">
        <w:trPr>
          <w:trHeight w:val="202"/>
        </w:trPr>
        <w:tc>
          <w:tcPr>
            <w:tcW w:w="422" w:type="dxa"/>
            <w:tcBorders>
              <w:top w:val="single" w:sz="6" w:space="0" w:color="auto"/>
              <w:left w:val="single" w:sz="6" w:space="0" w:color="auto"/>
              <w:bottom w:val="single" w:sz="6" w:space="0" w:color="auto"/>
              <w:right w:val="single" w:sz="6" w:space="0" w:color="auto"/>
            </w:tcBorders>
          </w:tcPr>
          <w:p w14:paraId="320123B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70C3BA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18" w:type="dxa"/>
            <w:tcBorders>
              <w:top w:val="single" w:sz="6" w:space="0" w:color="auto"/>
              <w:left w:val="single" w:sz="6" w:space="0" w:color="auto"/>
              <w:bottom w:val="single" w:sz="6" w:space="0" w:color="auto"/>
              <w:right w:val="single" w:sz="6" w:space="0" w:color="auto"/>
            </w:tcBorders>
          </w:tcPr>
          <w:p w14:paraId="1FD0381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крупным некомплектом</w:t>
            </w:r>
          </w:p>
          <w:p w14:paraId="1204320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45FF28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1677</w:t>
            </w:r>
          </w:p>
          <w:p w14:paraId="68D200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5B740B8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303</w:t>
            </w:r>
          </w:p>
          <w:p w14:paraId="0DEC5B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F7261E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887</w:t>
            </w:r>
          </w:p>
          <w:p w14:paraId="2221C5B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4ABA4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203</w:t>
            </w:r>
          </w:p>
          <w:p w14:paraId="47DA33F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908EC9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6683B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7D20D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04BE2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A3C169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E3CA3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753E14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7F741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7D41600" w14:textId="77777777">
        <w:trPr>
          <w:trHeight w:val="211"/>
        </w:trPr>
        <w:tc>
          <w:tcPr>
            <w:tcW w:w="422" w:type="dxa"/>
            <w:tcBorders>
              <w:top w:val="single" w:sz="6" w:space="0" w:color="auto"/>
              <w:left w:val="single" w:sz="6" w:space="0" w:color="auto"/>
              <w:bottom w:val="single" w:sz="6" w:space="0" w:color="auto"/>
              <w:right w:val="single" w:sz="6" w:space="0" w:color="auto"/>
            </w:tcBorders>
          </w:tcPr>
          <w:p w14:paraId="4AD9B3D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1CD5D9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18" w:type="dxa"/>
            <w:tcBorders>
              <w:top w:val="single" w:sz="6" w:space="0" w:color="auto"/>
              <w:left w:val="single" w:sz="6" w:space="0" w:color="auto"/>
              <w:bottom w:val="single" w:sz="6" w:space="0" w:color="auto"/>
              <w:right w:val="single" w:sz="6" w:space="0" w:color="auto"/>
            </w:tcBorders>
          </w:tcPr>
          <w:p w14:paraId="52FDA19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Подлежащие разборке на запчасти</w:t>
            </w:r>
          </w:p>
          <w:p w14:paraId="672D9A3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5B8200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1715</w:t>
            </w:r>
          </w:p>
          <w:p w14:paraId="25669E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CDAA9E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291</w:t>
            </w:r>
          </w:p>
          <w:p w14:paraId="1BB3E4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F4CDC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725</w:t>
            </w:r>
          </w:p>
          <w:p w14:paraId="22C1E7A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3E08B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182</w:t>
            </w:r>
          </w:p>
          <w:p w14:paraId="5849BAD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F9269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EEFF7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6E9EF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78B96A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11E836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AA46D0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0F842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F219EC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FFA8651" w14:textId="77777777">
        <w:trPr>
          <w:trHeight w:val="202"/>
        </w:trPr>
        <w:tc>
          <w:tcPr>
            <w:tcW w:w="422" w:type="dxa"/>
            <w:tcBorders>
              <w:top w:val="single" w:sz="6" w:space="0" w:color="auto"/>
              <w:left w:val="single" w:sz="6" w:space="0" w:color="auto"/>
              <w:bottom w:val="single" w:sz="6" w:space="0" w:color="auto"/>
              <w:right w:val="single" w:sz="6" w:space="0" w:color="auto"/>
            </w:tcBorders>
          </w:tcPr>
          <w:p w14:paraId="5E5CC73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p w14:paraId="285301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18" w:type="dxa"/>
            <w:tcBorders>
              <w:top w:val="single" w:sz="6" w:space="0" w:color="auto"/>
              <w:left w:val="single" w:sz="6" w:space="0" w:color="auto"/>
              <w:bottom w:val="single" w:sz="6" w:space="0" w:color="auto"/>
              <w:right w:val="single" w:sz="6" w:space="0" w:color="auto"/>
            </w:tcBorders>
          </w:tcPr>
          <w:p w14:paraId="136CEB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Негодные</w:t>
            </w:r>
          </w:p>
          <w:p w14:paraId="54A4DD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53DD42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726</w:t>
            </w:r>
          </w:p>
          <w:p w14:paraId="6A45A5D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CF729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133</w:t>
            </w:r>
          </w:p>
          <w:p w14:paraId="011146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EBBA3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352</w:t>
            </w:r>
          </w:p>
          <w:p w14:paraId="4F7D0F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BB9C32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83</w:t>
            </w:r>
          </w:p>
          <w:p w14:paraId="7080C22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6A620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E4234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4CD5633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14C47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669FD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B3596A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1E1AFC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A22469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A83E66D" w14:textId="77777777">
        <w:trPr>
          <w:trHeight w:val="211"/>
        </w:trPr>
        <w:tc>
          <w:tcPr>
            <w:tcW w:w="3340" w:type="dxa"/>
            <w:gridSpan w:val="2"/>
            <w:tcBorders>
              <w:top w:val="single" w:sz="6" w:space="0" w:color="auto"/>
              <w:left w:val="single" w:sz="6" w:space="0" w:color="auto"/>
              <w:bottom w:val="single" w:sz="6" w:space="0" w:color="auto"/>
              <w:right w:val="single" w:sz="6" w:space="0" w:color="auto"/>
            </w:tcBorders>
          </w:tcPr>
          <w:p w14:paraId="38FF90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p w14:paraId="3F4990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42D7C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6868</w:t>
            </w:r>
          </w:p>
          <w:p w14:paraId="601B4A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206F1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1160</w:t>
            </w:r>
          </w:p>
          <w:p w14:paraId="2F70D6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6EE49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2699</w:t>
            </w:r>
          </w:p>
          <w:p w14:paraId="4E98AFD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529DE7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638</w:t>
            </w:r>
          </w:p>
          <w:p w14:paraId="0EC230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AD6398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1418</w:t>
            </w:r>
          </w:p>
          <w:p w14:paraId="1768E3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DE5E2B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213</w:t>
            </w:r>
          </w:p>
          <w:p w14:paraId="673727B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9FCBD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87</w:t>
            </w:r>
          </w:p>
          <w:p w14:paraId="7FEF6BC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F07A4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w:t>
            </w:r>
          </w:p>
          <w:p w14:paraId="032FC4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D96D524" w14:textId="77777777">
        <w:trPr>
          <w:trHeight w:val="221"/>
        </w:trPr>
        <w:tc>
          <w:tcPr>
            <w:tcW w:w="3340" w:type="dxa"/>
            <w:gridSpan w:val="2"/>
            <w:tcBorders>
              <w:top w:val="single" w:sz="6" w:space="0" w:color="auto"/>
              <w:left w:val="single" w:sz="6" w:space="0" w:color="auto"/>
              <w:bottom w:val="single" w:sz="6" w:space="0" w:color="auto"/>
              <w:right w:val="single" w:sz="6" w:space="0" w:color="auto"/>
            </w:tcBorders>
          </w:tcPr>
          <w:p w14:paraId="112BC58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45CC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73" w:type="dxa"/>
            <w:gridSpan w:val="4"/>
            <w:tcBorders>
              <w:top w:val="single" w:sz="6" w:space="0" w:color="auto"/>
              <w:left w:val="single" w:sz="6" w:space="0" w:color="auto"/>
              <w:bottom w:val="single" w:sz="6" w:space="0" w:color="auto"/>
              <w:right w:val="single" w:sz="6" w:space="0" w:color="auto"/>
            </w:tcBorders>
          </w:tcPr>
          <w:p w14:paraId="2BBF1E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11365</w:t>
            </w:r>
          </w:p>
          <w:p w14:paraId="5DFA41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39" w:type="dxa"/>
            <w:gridSpan w:val="4"/>
            <w:tcBorders>
              <w:top w:val="single" w:sz="6" w:space="0" w:color="auto"/>
              <w:left w:val="single" w:sz="6" w:space="0" w:color="auto"/>
              <w:bottom w:val="single" w:sz="6" w:space="0" w:color="auto"/>
              <w:right w:val="single" w:sz="6" w:space="0" w:color="auto"/>
            </w:tcBorders>
          </w:tcPr>
          <w:p w14:paraId="64A1113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1747</w:t>
            </w:r>
          </w:p>
          <w:p w14:paraId="121F15D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E7BAA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Генерал-инспектор ГАВТУ КА генерал-майор технических войск Гориккер</w:t>
      </w:r>
    </w:p>
    <w:p w14:paraId="5950B96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штаба опергруппы майор Шеклов</w:t>
      </w:r>
    </w:p>
    <w:p w14:paraId="08E62B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41. Оп. 11580. Д. 401. Л. 16. Подлинник (11403).</w:t>
      </w:r>
    </w:p>
    <w:p w14:paraId="012510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F28FB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февраля 1943 вышло Постановление ГКО № 2949 О дополнительном развертывании госпиталей. (7084, 1-2,3-6).</w:t>
      </w:r>
    </w:p>
    <w:p w14:paraId="457F381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97B7E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февраля 1943 в СССР принято постановление о введении маршальского отличительного знака - Звезды Маршала (4962).</w:t>
      </w:r>
    </w:p>
    <w:p w14:paraId="237823C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01DFA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09EE4A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9CF2D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февраля 1943 принято постановление о возобновлении работы школ в регионах Украины, освобожденных от фашистов (4962).</w:t>
      </w:r>
    </w:p>
    <w:p w14:paraId="411D6C4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CF22BB" w14:textId="77777777" w:rsidR="00175C2A" w:rsidRPr="00D03F3E" w:rsidRDefault="00175C2A" w:rsidP="00D03F3E">
      <w:pPr>
        <w:pStyle w:val="212"/>
        <w:shd w:val="clear" w:color="auto" w:fill="auto"/>
        <w:spacing w:line="240" w:lineRule="auto"/>
        <w:jc w:val="both"/>
        <w:rPr>
          <w:rFonts w:ascii="Times New Roman" w:hAnsi="Times New Roman" w:cs="Times New Roman"/>
          <w:i w:val="0"/>
          <w:color w:val="000000" w:themeColor="text1"/>
          <w:sz w:val="16"/>
          <w:szCs w:val="16"/>
        </w:rPr>
      </w:pPr>
      <w:r w:rsidRPr="00D03F3E">
        <w:rPr>
          <w:rFonts w:ascii="Times New Roman" w:hAnsi="Times New Roman" w:cs="Times New Roman"/>
          <w:i w:val="0"/>
          <w:color w:val="000000" w:themeColor="text1"/>
          <w:sz w:val="16"/>
          <w:szCs w:val="16"/>
        </w:rPr>
        <w:t>27 февраля 1943 Политбюро ЦК ВКП(б) приняло Постановление «О довыборах в действи</w:t>
      </w:r>
      <w:r w:rsidRPr="00D03F3E">
        <w:rPr>
          <w:rFonts w:ascii="Times New Roman" w:hAnsi="Times New Roman" w:cs="Times New Roman"/>
          <w:i w:val="0"/>
          <w:color w:val="000000" w:themeColor="text1"/>
          <w:sz w:val="16"/>
          <w:szCs w:val="16"/>
        </w:rPr>
        <w:softHyphen/>
        <w:t xml:space="preserve"> тельные члены и члены-корреспонденты АН СССР». В документе предполагалось выделить дополнительно 60 вакансий — 26 для академиков и 34 для членов-корреспондентов. Если учитывать, в каком тяжелейшем положении находилась страна, это решение говорит о воз</w:t>
      </w:r>
      <w:r w:rsidRPr="00D03F3E">
        <w:rPr>
          <w:rFonts w:ascii="Times New Roman" w:hAnsi="Times New Roman" w:cs="Times New Roman"/>
          <w:i w:val="0"/>
          <w:color w:val="000000" w:themeColor="text1"/>
          <w:sz w:val="16"/>
          <w:szCs w:val="16"/>
        </w:rPr>
        <w:softHyphen/>
        <w:t>росшем понимании высшим руководством усилившейся роли науки и необходимости учёта перспектив её дальнейшего развития. Одновременно это являлось и важным моральным фактором не только для Академии, но и науки в целом, и удачной пропагандистской акцией, сигналом для общества в уверенности в победе (15789).</w:t>
      </w:r>
    </w:p>
    <w:p w14:paraId="457411FC" w14:textId="77777777" w:rsidR="00175C2A" w:rsidRPr="00D03F3E" w:rsidRDefault="00175C2A" w:rsidP="00D03F3E">
      <w:pPr>
        <w:spacing w:after="0" w:line="240" w:lineRule="auto"/>
        <w:jc w:val="both"/>
        <w:rPr>
          <w:rFonts w:ascii="Times New Roman" w:hAnsi="Times New Roman"/>
          <w:color w:val="000000" w:themeColor="text1"/>
          <w:sz w:val="16"/>
          <w:szCs w:val="16"/>
        </w:rPr>
      </w:pPr>
    </w:p>
    <w:p w14:paraId="10E2D74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696973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7CB0C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февраля 1943 группой норвежских диверсантов взорван единственный немецкий завод по производству тяжелой воды, чем был поставлен крест на германском плане создания атомной бомбы (4962).</w:t>
      </w:r>
    </w:p>
    <w:p w14:paraId="03976A6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DA11FD" w14:textId="77777777" w:rsidR="00196377" w:rsidRPr="00D03F3E" w:rsidRDefault="001963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27 февраля</w:t>
      </w:r>
      <w:r w:rsidRPr="00D03F3E">
        <w:rPr>
          <w:rFonts w:ascii="Times New Roman" w:hAnsi="Times New Roman"/>
          <w:color w:val="000000" w:themeColor="text1"/>
          <w:sz w:val="16"/>
          <w:szCs w:val="16"/>
        </w:rPr>
        <w:t xml:space="preserve"> в 1943 году успешный рейд диверсантов норвежской "роты Линге", входившей в состав британских коммандос, на завод "Норск" - единственный у немцев промышленный источник "тяжелой воды". После этого создание атомного оружия в Германии стало невозможным (15053).</w:t>
      </w:r>
    </w:p>
    <w:p w14:paraId="62F0FA90" w14:textId="77777777" w:rsidR="00196377" w:rsidRPr="00D03F3E" w:rsidRDefault="00196377" w:rsidP="00D03F3E">
      <w:pPr>
        <w:spacing w:after="0" w:line="240" w:lineRule="auto"/>
        <w:jc w:val="both"/>
        <w:rPr>
          <w:rFonts w:ascii="Times New Roman" w:hAnsi="Times New Roman"/>
          <w:color w:val="000000" w:themeColor="text1"/>
          <w:sz w:val="16"/>
          <w:szCs w:val="16"/>
        </w:rPr>
      </w:pPr>
    </w:p>
    <w:p w14:paraId="51C9567B"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340783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44F9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28 февраля по 16 апреля 1943 г. проходили государственные испытания самолета Пегас. Ведущим инженером по испытаниям был П.Т.Аброщенко. Облет самолета осуществляли П.М.Стефановский, Ашитков, А.К.Долгов, М.А.Нюхтиков и еще б летчиков-испытателей.</w:t>
      </w:r>
    </w:p>
    <w:p w14:paraId="343450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“Пегаса” состояло из неподвижного пулемета М.Е.Березина УБК с боекомплектом 140 патронов в носовой части фюзеляжа и двух вариантов легкосъемной подфюзеляж-ной подвески: фюзеляжного бомбового моста, рассчитанного на 500 кг авиабомб (пять ФАБ-50, или пять ФАБ-100, или две ФАБ-250, или одна ФАБ-500), и пушечного лафета с двумя пуш-ками ВЯ-23 с боекомплектом 160 снарядов на обе пушки. Вес пушечной установки с боекомплектом - 366,5 кг.</w:t>
      </w:r>
    </w:p>
    <w:p w14:paraId="560C13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пустого самолета составил -1450 кг, нормальный взлетный вес (пушечный вариант) - 2150 кг.</w:t>
      </w:r>
    </w:p>
    <w:p w14:paraId="2854DF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полета у земли в варианте с пушками ВЯ-23 не превышала 172 км/ч, с пятью бомбами ФАБ-100 - 167 км/ч. Максимальная скорость полета на высоте 1000 м уменьшалась на 3-5 км/ч. Время набора высоты 1000 м находилось в пределах от 7,7 мин (с пушками ВЯ) до 12,6 мин (с 500 кг бомб).</w:t>
      </w:r>
    </w:p>
    <w:p w14:paraId="5B04AA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разбега с двумя ФАБ-100 -345 м, пробега - 440 м. Дальность полета - от 285 до 320 км.</w:t>
      </w:r>
    </w:p>
    <w:p w14:paraId="5CFDC4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Отмечалось, что самолет строился без ТТТ, без официального предъявления эскизного проекта, без постройки макета, без аэродинамических продувок моделей, без заключения ЦАГИ по прочности.</w:t>
      </w:r>
    </w:p>
    <w:p w14:paraId="0E6F84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заключении отчета по испытаниям констатировалось, что самолет требованиям, предъявляемым к штурмовикам и ближним дневным бомбардировщикам не удовлетворяет: “...Живучесть самолета недостаточная....По технике пилотирования самолет не доступен для массовых летчиков.... Прицельная стрельба из пушек калибра 23 мм практически невозможна из-за сильной отдачи. Прицельное бомбометание практически неосуществимо.... Самолет представляет собой хорошую мишень для зенитной артиллерии....Полет на одном моторе самолет совершать не может”.</w:t>
      </w:r>
    </w:p>
    <w:p w14:paraId="6742D5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был сделан вывод о нецелесообразности доводки самолета. Испытанный экземпляр самолета предлагалось использовать в качестве мишени на полигоне, поскольку после заводских и госиспытаний он нуждался в капитальном ремонте, а четвертый экземпляр,заканчиваемый на заводе № 288, - передать в один из запасных авиаполков для тренировки в стельбе из пушки...(9649).</w:t>
      </w:r>
    </w:p>
    <w:p w14:paraId="0A013B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5AB688" w14:textId="77777777" w:rsidR="00F65D59" w:rsidRPr="00D03F3E" w:rsidRDefault="00F65D5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февраля 1943 госиспытания Пегаса были прерваны: в ходе полётов были выявлены многочисленные производственные и конструктивные дефекты. К тому же на заводе № 288 в Омске завершились работы по отладке и доводке подвесной системы с пушками ВЯ и проведены полигонные испытания бронекабины. Было решено доработать самолёт, устранить выявленные недостатки, и за- ~вм испытать его с пушечным вооружением и с бомбовой нагрузкой в 500 кг.</w:t>
      </w:r>
    </w:p>
    <w:p w14:paraId="6F196E13" w14:textId="77777777" w:rsidR="00F65D59" w:rsidRPr="00D03F3E" w:rsidRDefault="00F65D5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Надо сказать, что впечатление лётчиков-испытателей о «Пегасе» было крайне удручающим. В очередной сводке в Управление опытного строительства ГУ ИАС ВВС по опытным работам красноречиво указывалось, что «Пегас» № 01 в предъявленном виде для использования на фронте не пригоден - «хорошая мишень для зенитной артиллерии». Не может лететь на одном моторе. Прицельная стрельба из пуле</w:t>
      </w:r>
      <w:r w:rsidRPr="00D03F3E">
        <w:rPr>
          <w:rFonts w:ascii="Times New Roman" w:hAnsi="Times New Roman"/>
          <w:color w:val="000000" w:themeColor="text1"/>
          <w:sz w:val="16"/>
          <w:szCs w:val="16"/>
        </w:rPr>
        <w:softHyphen/>
        <w:t>мёта («сильно задирает нос») и бомбометание («нет бомбового прицела») почти невозможны. Ставилось под сомнение при</w:t>
      </w:r>
      <w:r w:rsidRPr="00D03F3E">
        <w:rPr>
          <w:rFonts w:ascii="Times New Roman" w:hAnsi="Times New Roman"/>
          <w:color w:val="000000" w:themeColor="text1"/>
          <w:sz w:val="16"/>
          <w:szCs w:val="16"/>
        </w:rPr>
        <w:softHyphen/>
        <w:t>менение на самолёте пушек ка</w:t>
      </w:r>
      <w:r w:rsidRPr="00D03F3E">
        <w:rPr>
          <w:rFonts w:ascii="Times New Roman" w:hAnsi="Times New Roman"/>
          <w:color w:val="000000" w:themeColor="text1"/>
          <w:sz w:val="16"/>
          <w:szCs w:val="16"/>
        </w:rPr>
        <w:softHyphen/>
        <w:t>либра 23 мм и 37 мм (16846).</w:t>
      </w:r>
    </w:p>
    <w:p w14:paraId="3DA0B3AE" w14:textId="77777777" w:rsidR="00F65D59" w:rsidRPr="00D03F3E" w:rsidRDefault="00F65D59" w:rsidP="00D03F3E">
      <w:pPr>
        <w:spacing w:after="0" w:line="240" w:lineRule="auto"/>
        <w:jc w:val="both"/>
        <w:rPr>
          <w:rFonts w:ascii="Times New Roman" w:hAnsi="Times New Roman"/>
          <w:color w:val="000000" w:themeColor="text1"/>
          <w:sz w:val="16"/>
          <w:szCs w:val="16"/>
        </w:rPr>
      </w:pPr>
    </w:p>
    <w:p w14:paraId="5919FFE3" w14:textId="77777777" w:rsidR="00C31372" w:rsidRPr="00D03F3E" w:rsidRDefault="00C3137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28 февраля 1943 начавшиеся 5 февраля 1943 полеты по программе государственных испыта</w:t>
      </w:r>
      <w:r w:rsidRPr="00D03F3E">
        <w:rPr>
          <w:color w:val="000000" w:themeColor="text1"/>
          <w:sz w:val="16"/>
          <w:szCs w:val="16"/>
        </w:rPr>
        <w:softHyphen/>
        <w:t>ний «Пегас» № 01 были прерваны. Дело в том, что в ходе полетов были вы</w:t>
      </w:r>
      <w:r w:rsidRPr="00D03F3E">
        <w:rPr>
          <w:color w:val="000000" w:themeColor="text1"/>
          <w:sz w:val="16"/>
          <w:szCs w:val="16"/>
        </w:rPr>
        <w:softHyphen/>
        <w:t>явлены многочисленные производственные и кон</w:t>
      </w:r>
      <w:r w:rsidRPr="00D03F3E">
        <w:rPr>
          <w:color w:val="000000" w:themeColor="text1"/>
          <w:sz w:val="16"/>
          <w:szCs w:val="16"/>
        </w:rPr>
        <w:softHyphen/>
        <w:t>структивные дефекты самолета. К тому же на заво</w:t>
      </w:r>
      <w:r w:rsidRPr="00D03F3E">
        <w:rPr>
          <w:color w:val="000000" w:themeColor="text1"/>
          <w:sz w:val="16"/>
          <w:szCs w:val="16"/>
        </w:rPr>
        <w:softHyphen/>
        <w:t>де № 288 в Омске завершились работы по отладке и доводке подвесной системы с пушками ВЯ и про</w:t>
      </w:r>
      <w:r w:rsidRPr="00D03F3E">
        <w:rPr>
          <w:color w:val="000000" w:themeColor="text1"/>
          <w:sz w:val="16"/>
          <w:szCs w:val="16"/>
        </w:rPr>
        <w:softHyphen/>
        <w:t>ведены полигонные испытания бронекабины. Было решено доработать самолет, устранить выявленные недостатки, и затем испытать его с пушечным воо</w:t>
      </w:r>
      <w:r w:rsidRPr="00D03F3E">
        <w:rPr>
          <w:color w:val="000000" w:themeColor="text1"/>
          <w:sz w:val="16"/>
          <w:szCs w:val="16"/>
        </w:rPr>
        <w:softHyphen/>
        <w:t>ружением и с бомбовой нагрузкой в 500 кг.</w:t>
      </w:r>
    </w:p>
    <w:p w14:paraId="557A93F6" w14:textId="77777777" w:rsidR="00C31372" w:rsidRPr="00D03F3E" w:rsidRDefault="00C3137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4 февраля 1943 г. самолет «Пегас» № 01 официально поступил на государственные испытания в НИИ ВВС. Ис</w:t>
      </w:r>
      <w:r w:rsidRPr="00D03F3E">
        <w:rPr>
          <w:color w:val="000000" w:themeColor="text1"/>
          <w:sz w:val="16"/>
          <w:szCs w:val="16"/>
        </w:rPr>
        <w:softHyphen/>
        <w:t>пытания проводились силами 3-го отдела НИИ ВВС. Ведущим инженером по самолету был назначен инженер-майор П. Т. Аброщенко, ведущим летчи</w:t>
      </w:r>
      <w:r w:rsidRPr="00D03F3E">
        <w:rPr>
          <w:color w:val="000000" w:themeColor="text1"/>
          <w:sz w:val="16"/>
          <w:szCs w:val="16"/>
        </w:rPr>
        <w:softHyphen/>
        <w:t>ком — подполковник В. И. Жданов, проводивший заводские испытания самолета.</w:t>
      </w:r>
    </w:p>
    <w:p w14:paraId="5A8B1ECE" w14:textId="77777777" w:rsidR="00C31372" w:rsidRPr="00D03F3E" w:rsidRDefault="00C3137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Кроме того, самолет облетали: помощник на</w:t>
      </w:r>
      <w:r w:rsidRPr="00D03F3E">
        <w:rPr>
          <w:color w:val="000000" w:themeColor="text1"/>
          <w:sz w:val="16"/>
          <w:szCs w:val="16"/>
        </w:rPr>
        <w:softHyphen/>
        <w:t>чальника НИИ ВВС по летной части полковник А. И. Кабанов, помощник начальника 3-го отдела по летной работе подполковник В. И. Хомяков, полков</w:t>
      </w:r>
      <w:r w:rsidRPr="00D03F3E">
        <w:rPr>
          <w:color w:val="000000" w:themeColor="text1"/>
          <w:sz w:val="16"/>
          <w:szCs w:val="16"/>
        </w:rPr>
        <w:softHyphen/>
        <w:t>ник П. М. Стефановский, подполковники К. А. Кали- лец, Г. А. Ашитков, инженер-майор А. В. Синельни ков, майоры А. К. Долгов, М. А. Нюхтиков, В. В. Лиси- цин, М. П. Субботин, капитан А. Г. Кубышкин.</w:t>
      </w:r>
    </w:p>
    <w:p w14:paraId="2629A7E5" w14:textId="77777777" w:rsidR="00C31372" w:rsidRPr="00D03F3E" w:rsidRDefault="00C3137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испытаний планировалось определить летно-тактические данные самолета, их соответ</w:t>
      </w:r>
      <w:r w:rsidRPr="00D03F3E">
        <w:rPr>
          <w:color w:val="000000" w:themeColor="text1"/>
          <w:sz w:val="16"/>
          <w:szCs w:val="16"/>
        </w:rPr>
        <w:softHyphen/>
        <w:t>ствие тактико-техническим требованиям к самоле</w:t>
      </w:r>
      <w:r w:rsidRPr="00D03F3E">
        <w:rPr>
          <w:color w:val="000000" w:themeColor="text1"/>
          <w:sz w:val="16"/>
          <w:szCs w:val="16"/>
        </w:rPr>
        <w:softHyphen/>
        <w:t>ту-штурмовику и условия боевого применения при стрельбе по наземной цели, а также дать оценку стрелковому, бомбардировочному и ракетному во</w:t>
      </w:r>
      <w:r w:rsidRPr="00D03F3E">
        <w:rPr>
          <w:color w:val="000000" w:themeColor="text1"/>
          <w:sz w:val="16"/>
          <w:szCs w:val="16"/>
        </w:rPr>
        <w:softHyphen/>
        <w:t>оружению.</w:t>
      </w:r>
    </w:p>
    <w:p w14:paraId="271AB49D" w14:textId="77777777" w:rsidR="00C31372" w:rsidRPr="00D03F3E" w:rsidRDefault="00C3137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отчетных материалах по результатам испыта</w:t>
      </w:r>
      <w:r w:rsidRPr="00D03F3E">
        <w:rPr>
          <w:color w:val="000000" w:themeColor="text1"/>
          <w:sz w:val="16"/>
          <w:szCs w:val="16"/>
        </w:rPr>
        <w:softHyphen/>
        <w:t>ний особо отмечалось, что самолет строился без ТТТ от ВВС КА, без предъявления эскизного про</w:t>
      </w:r>
      <w:r w:rsidRPr="00D03F3E">
        <w:rPr>
          <w:color w:val="000000" w:themeColor="text1"/>
          <w:sz w:val="16"/>
          <w:szCs w:val="16"/>
        </w:rPr>
        <w:softHyphen/>
        <w:t>екта, макета и аэродинамических продувок модели самолета. Полных статических испытаний и дина</w:t>
      </w:r>
      <w:r w:rsidRPr="00D03F3E">
        <w:rPr>
          <w:color w:val="000000" w:themeColor="text1"/>
          <w:sz w:val="16"/>
          <w:szCs w:val="16"/>
        </w:rPr>
        <w:softHyphen/>
        <w:t>мических испытаний самолет не проходил. Заклю</w:t>
      </w:r>
      <w:r w:rsidRPr="00D03F3E">
        <w:rPr>
          <w:color w:val="000000" w:themeColor="text1"/>
          <w:sz w:val="16"/>
          <w:szCs w:val="16"/>
        </w:rPr>
        <w:softHyphen/>
        <w:t>чения ЦАГИ о прочности самолета и его соответ</w:t>
      </w:r>
      <w:r w:rsidRPr="00D03F3E">
        <w:rPr>
          <w:color w:val="000000" w:themeColor="text1"/>
          <w:sz w:val="16"/>
          <w:szCs w:val="16"/>
        </w:rPr>
        <w:softHyphen/>
        <w:t>ствие классу штурмовика в НИИ ВВС не предъяв</w:t>
      </w:r>
      <w:r w:rsidRPr="00D03F3E">
        <w:rPr>
          <w:color w:val="000000" w:themeColor="text1"/>
          <w:sz w:val="16"/>
          <w:szCs w:val="16"/>
        </w:rPr>
        <w:softHyphen/>
        <w:t>лялось.</w:t>
      </w:r>
    </w:p>
    <w:p w14:paraId="468FBC42" w14:textId="77777777" w:rsidR="00C31372" w:rsidRPr="00D03F3E" w:rsidRDefault="00C3137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Надо сказать, впечатление летчиков-испытате</w:t>
      </w:r>
      <w:r w:rsidRPr="00D03F3E">
        <w:rPr>
          <w:color w:val="000000" w:themeColor="text1"/>
          <w:sz w:val="16"/>
          <w:szCs w:val="16"/>
        </w:rPr>
        <w:softHyphen/>
        <w:t>лей о самолете «Пегас» было крайне удручающим.</w:t>
      </w:r>
    </w:p>
    <w:p w14:paraId="133605EC" w14:textId="77777777" w:rsidR="00C31372" w:rsidRPr="00D03F3E" w:rsidRDefault="00C3137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очередной сводке в Управление опытного стро</w:t>
      </w:r>
      <w:r w:rsidRPr="00D03F3E">
        <w:rPr>
          <w:color w:val="000000" w:themeColor="text1"/>
          <w:sz w:val="16"/>
          <w:szCs w:val="16"/>
        </w:rPr>
        <w:softHyphen/>
        <w:t>ительства ГУ ИАС ВВС по опытным работам крас</w:t>
      </w:r>
      <w:r w:rsidRPr="00D03F3E">
        <w:rPr>
          <w:color w:val="000000" w:themeColor="text1"/>
          <w:sz w:val="16"/>
          <w:szCs w:val="16"/>
        </w:rPr>
        <w:softHyphen/>
        <w:t>норечиво указывалось, что самолет «Пегас» № 01 в предъявленном виде для использования на фрон</w:t>
      </w:r>
      <w:r w:rsidRPr="00D03F3E">
        <w:rPr>
          <w:color w:val="000000" w:themeColor="text1"/>
          <w:sz w:val="16"/>
          <w:szCs w:val="16"/>
        </w:rPr>
        <w:softHyphen/>
        <w:t>те не пригоден — «хорошая мишень для зенитной артиллерии». Не может лететь на одном моторе. Прицельная стрельба из пулемета («сильно зади</w:t>
      </w:r>
      <w:r w:rsidRPr="00D03F3E">
        <w:rPr>
          <w:color w:val="000000" w:themeColor="text1"/>
          <w:sz w:val="16"/>
          <w:szCs w:val="16"/>
        </w:rPr>
        <w:softHyphen/>
        <w:t>рает нос») и бомбометание («нет бомбового при</w:t>
      </w:r>
      <w:r w:rsidRPr="00D03F3E">
        <w:rPr>
          <w:color w:val="000000" w:themeColor="text1"/>
          <w:sz w:val="16"/>
          <w:szCs w:val="16"/>
        </w:rPr>
        <w:softHyphen/>
        <w:t>цела») почти невозможна. Ставилось под сомнение применение на самолете пушек калибра 23 и 37 мм (большая отдача при стрельбе) (17500).</w:t>
      </w:r>
    </w:p>
    <w:p w14:paraId="1A8DEF53" w14:textId="77777777" w:rsidR="00C31372" w:rsidRPr="00D03F3E" w:rsidRDefault="00C31372" w:rsidP="00D03F3E">
      <w:pPr>
        <w:spacing w:after="0" w:line="240" w:lineRule="auto"/>
        <w:jc w:val="both"/>
        <w:rPr>
          <w:rFonts w:ascii="Times New Roman" w:eastAsia="Times New Roman" w:hAnsi="Times New Roman"/>
          <w:color w:val="000000" w:themeColor="text1"/>
          <w:sz w:val="16"/>
          <w:szCs w:val="16"/>
          <w:lang w:eastAsia="ru-RU"/>
        </w:rPr>
      </w:pPr>
    </w:p>
    <w:p w14:paraId="52230CA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февраля 1943 г. состоялся первый полет самолета Як-1М (6395).</w:t>
      </w:r>
    </w:p>
    <w:p w14:paraId="25A96A2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59AA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28 февраля по 7 июня 1943 л П.Я.Федрови и и М.А.Григорьев проводили заводские испытания Як-1М первого (198,54) и 28 был первый полет (2668).</w:t>
      </w:r>
    </w:p>
    <w:p w14:paraId="5DE0F0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71C5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февраля 1943 состоялся первый полет Як-1М (2989).</w:t>
      </w:r>
    </w:p>
    <w:p w14:paraId="3CBD1A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A66F29"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28 февраля</w:t>
      </w:r>
      <w:r w:rsidRPr="00D03F3E">
        <w:rPr>
          <w:rFonts w:ascii="Times New Roman" w:hAnsi="Times New Roman"/>
          <w:color w:val="000000" w:themeColor="text1"/>
          <w:sz w:val="16"/>
          <w:szCs w:val="16"/>
        </w:rPr>
        <w:t xml:space="preserve"> в 1943 году первый полет истребителя </w:t>
      </w:r>
      <w:hyperlink r:id="rId78" w:tgtFrame="_blank" w:history="1">
        <w:r w:rsidRPr="00D03F3E">
          <w:rPr>
            <w:rFonts w:ascii="Times New Roman" w:hAnsi="Times New Roman"/>
            <w:color w:val="000000" w:themeColor="text1"/>
            <w:sz w:val="16"/>
            <w:szCs w:val="16"/>
          </w:rPr>
          <w:t xml:space="preserve">«Як-1М» </w:t>
        </w:r>
      </w:hyperlink>
      <w:r w:rsidRPr="00D03F3E">
        <w:rPr>
          <w:rFonts w:ascii="Times New Roman" w:hAnsi="Times New Roman"/>
          <w:color w:val="000000" w:themeColor="text1"/>
          <w:sz w:val="16"/>
          <w:szCs w:val="16"/>
        </w:rPr>
        <w:t>с двигателем «М-105ПФ» (в серии «Як-3»), П.Я.Федрови (15054).</w:t>
      </w:r>
    </w:p>
    <w:p w14:paraId="35034F69" w14:textId="77777777" w:rsidR="008C56B3" w:rsidRPr="00D03F3E" w:rsidRDefault="008C56B3" w:rsidP="00D03F3E">
      <w:pPr>
        <w:spacing w:after="0" w:line="240" w:lineRule="auto"/>
        <w:jc w:val="both"/>
        <w:rPr>
          <w:rFonts w:ascii="Times New Roman" w:hAnsi="Times New Roman"/>
          <w:color w:val="000000" w:themeColor="text1"/>
          <w:sz w:val="16"/>
          <w:szCs w:val="16"/>
        </w:rPr>
      </w:pPr>
    </w:p>
    <w:p w14:paraId="5B0A4E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февраля 1943 года состоялся первый полет Як-1М (летчик-испытатель П.Я. Федрови и ведущий-инженер М.А. Григорьев). Заводские испытания и доводка Як-1М с серийным двигателем М-105ПФ (без форсирования по наддуву до 1100 мм рт. ст.) и с винтом ВИШ-61П, по меркам военного времени, продол жались довольно долго - свыше трех месяцев, и лишь 7 июня самолет передали в НИИ ВВС. Ведущими по машине были летчик-испытатель А.Г. Прошаков и инженер А.Т. Степанец.</w:t>
      </w:r>
    </w:p>
    <w:p w14:paraId="3584B2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ходе испытаний, завершившихся 22 июля, была получена скорость у земли 545 км/ч, а на высоте 4450 м - 632 км/ч, дальность на наивыгоднейшем режиме - 845 км, </w:t>
      </w:r>
      <w:r w:rsidRPr="00D03F3E">
        <w:rPr>
          <w:rFonts w:ascii="Times New Roman" w:hAnsi="Times New Roman"/>
          <w:color w:val="000000" w:themeColor="text1"/>
          <w:sz w:val="16"/>
          <w:szCs w:val="16"/>
        </w:rPr>
        <w:lastRenderedPageBreak/>
        <w:t>время выполнения виража на высоте 1000 метров - 15 - 17 секунд. Для сравнения: с серийным Як-1 №2985 саратовского авиазавода пустой опытный Як-1М полегчал на 282 кг. Вес горючего сократили на 35 кг, а взлетный уменьшился на 245 кг. При этом при одинаковой мощности двигателя максимальная скорость у земли возросла на 37 км/ч, а на высоте - на 62 км/ч.</w:t>
      </w:r>
    </w:p>
    <w:p w14:paraId="3ECEFD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получения разрешения В.Я. Климова на форсирование мотора по просьбе А.С. Яковлева в НИИ ВВС увеличили наддув М-105ПФдо 1100 мм рт. ст. путем регулировки РПД, но только на первой скорости нагнетателя. При этом рычаг переключения скоростей нагнетателя закрепили в положении "Первая скорость". Испытания, завершившиеся в августе того же года, подтвердили возможность форсирования двигателя и установки его на самолеты (12047).</w:t>
      </w:r>
    </w:p>
    <w:p w14:paraId="25F298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4781AC" w14:textId="77777777" w:rsidR="00882DFF" w:rsidRPr="00D03F3E" w:rsidRDefault="00882DF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28 февраля 1943 заводской летчик П. Я. Федрови начал испытания будущего Як-3, а вскоре к полетам были допущены и летчики НИИ ВВС. Хотя М-106 пришлось заменить на серийный М-105ПФ (22751).</w:t>
      </w:r>
    </w:p>
    <w:p w14:paraId="61467E72" w14:textId="77777777" w:rsidR="00882DFF" w:rsidRPr="00D03F3E" w:rsidRDefault="00882DFF" w:rsidP="00D03F3E">
      <w:pPr>
        <w:spacing w:after="0" w:line="240" w:lineRule="auto"/>
        <w:jc w:val="both"/>
        <w:rPr>
          <w:rFonts w:ascii="Times New Roman" w:hAnsi="Times New Roman"/>
          <w:color w:val="0070C0"/>
          <w:sz w:val="16"/>
          <w:szCs w:val="16"/>
        </w:rPr>
      </w:pPr>
    </w:p>
    <w:p w14:paraId="66DA95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февраля 1943 закончились госиспытания в НИИ ВВС Як-9Д, которые шли с 14 января. Ведущими были летчик В.Е. Го- лофастов и инженер И.Г Рабкин. Помимо уже отмеченных преимуществ и недостатков новой машины, в акте НИИ ВВС отмечался скудный состав пилотажно-навигационного оборудования. В частности, указывалось на отсутствие радиополукомпаса и авиагоризонта, необходимых для длительных полетов на расстояние около 1000 км. Мала была и дальность радиосвязи (не более 60 км).</w:t>
      </w:r>
    </w:p>
    <w:p w14:paraId="6AB77E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Отвечая требованиям фронта, в ОКБ-115 разработали вариант Як-9Д с увеличенной дальностью полета. Для этого удвоили количество топливных баков, и их общая емкость достигла 650 литров. Два дополнительных бака, вмещавшие по 117 литров горючего, разместили в консолях крыла. При этом отказались от традиционного расходного бачка, топливо вырабатывалось непосредственно из основных баков. Естественно, увеличился с 25 до 48 кг и запас масла. Полетный вес машины с прежним составом вооружения возрос до 3117 кг.</w:t>
      </w:r>
    </w:p>
    <w:p w14:paraId="1C88F5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Одновременно с этим, по рекомендации ЦАГИ улучшили отделку передней кромки крыла и фюзеляжа, заделав в нем многочисленные щели. В итоге, возросла не только дальность (в зависимости от режима полета она изменялась от 875 до 1360 км, а продолжительность полета - от 1 часа 44 минут до 4,5 часов), но и скорость. В то же время, маневренность истребителя, его скороподъемность и потолок ухудшились, но это все следствие его утяжеления.</w:t>
      </w:r>
    </w:p>
    <w:p w14:paraId="4D33F7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государственных испытаний провели несколько воздушных боев с трехточечным Me-109G-2, показавших, что на высотах до 3500 м Як-9Д имел значительное преимущество в горизонтальном маневре перед "немцем". К. концу второго виража "як" заходил в хвост "противнику" на дистанцию прицельного огня. При выполнении левых виражей Як-9Д заходил в хвост "мессерш- митту" через два-три виража.</w:t>
      </w:r>
    </w:p>
    <w:p w14:paraId="5DBB1A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высотах от 3500 до 5500 м преимущество Як-9Д в горизонтальном маневре постепенно уменьшалось, и на высоте 5500 м они становились равноценными. На больших высотах преимущество оказывалось уже на стороне Me-109G-2 - на высоте 7500 м "немец" заходил в хвост "яка" через два-три виража.</w:t>
      </w:r>
    </w:p>
    <w:p w14:paraId="6DFD7D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бой на горизонталях считается оборонительным, иное дело противоборство на вертикалях. Як-9Д имел незначительное преимущество перед "мессершмиттом" лишь до высоты 2000 м, и то в случае комбинации вертикального и горизонтального маневра. На высотах от 2000 м до 3500 м они были практически равноценны, но на больших высотах инициатива переходила к немецкому пилоту. Уходил "немец" от "яка" и на пикировании. В итоге военные испытатели пришли к выводу, что Як-9Д до высоты 5000 м может успешно вести наступательный воздушный бой с Me-109G-2, применяя комбинированный маневр как в горизонтальной, так и вертикальной плоскостях. Як-9Д не мешкая запустили в серийное производство (12046).</w:t>
      </w:r>
    </w:p>
    <w:p w14:paraId="30CE3E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7BD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28 февраля по 7 июня 1943 г. Як-1M успешно прошел заводские и государственные (с 7 июня по 4 июля 1943 г.) испытания. К этому времени, основываясь на результатах испытаний мотора М-106, ОКБ А.С. Яковлева выдвинуло предложение по дальнейшему форсированию мощности мотора М-Ю5ПФ путем увеличения наддува с 1050 до 1100 мм рт.ст. При этом номинальная мощность мотора на первой скорости нагнетателя становилась 1310 л.с. на высоте 200 м (против 1260 л.с. на высоте 700 м), а на второй скорости нагнетателя - 1240 л.с. на высоте 2100 м (против 1180 л.с. на высоте 2700 м).</w:t>
      </w:r>
    </w:p>
    <w:p w14:paraId="22334B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февраля 1943 г. был построен первый прототип Як-IM с мотором М-105ПФ, который отличался от серийного Як-1, прежде всего, новым крылом меньшего размаха (9,2 м) и меньшей плошали (14,83 м2). Применение металлических лонжеронов крыла, уменьшение запаса топлива (установкой двух бензобаков в крыле и одного, расходного, в фюзеляже вместо четырех крыльевых бензобаков), уменьшение площади хвостового оперения и другие конструктивные мероприятия уменьшили полетный вес на 230 кг. Улучшение внешних форм и туннеля водо- радиатора (он стал более утоплен в фюзеляж, в связи с чем в стандартную ферму Як-1 в районе третьей рамы пришлось внести изменения для его крепления), перенос маслорадиатора в центральную часть крыла, использование индивидуальных на каждый цилиндр мотора реактивных выхлопных патрубков способствовали уменьшению аэродинамического сопротивления и увеличению максимальной скорости.</w:t>
      </w:r>
    </w:p>
    <w:p w14:paraId="24DEFA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Разрешение на повышение наддува было получено от КБ В.Я. Климова, правда, только для первой скорости нагнетателя. С таким усеченным форсированием мощности мотора М-105ПФ Як-1М прошел 21-22 июля 1943 г. дополнительные испытания в НИИ ВВС с целью проверки возможности увеличения мощности с существующими устройствами охлаждения и снятия летных характеристик. К сожалению конструкторов, установленные на Як-1М водо- и маслора- диаторы оказались недостаточно эффективны. Для поиска дополнительных мер по улучшению обводов и работы устройств охлаждения самолет был отправлен в ЦАГИ, где в августе 1943 г. продувался в аэродинамической трубе.</w:t>
      </w:r>
    </w:p>
    <w:p w14:paraId="1949CB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основе результатов продувок 17 сентября 1943 г. был выпушен второй прототип Як-IM, или "Дублер", как его иногда называли. Помимо форсированного мотора, переведенного на повышенный наддув во всем диапазоне высот и получившего обозначение ВК-105ПФ2, на самолет был установлен винт ВИШ-105СВ-01, новые водо- и масло- радиаторы с увеличенными, по сравнению с первым экземпляром, площадями охлаждающих поверхностей (на 7 и 8,83 м2 соответственно). Вооружение усилили за счет установки двух синхронных пулеметов УБ, а мотор-пушку заменили опытной облегченной пушкой LUA-20M. Обшивка хвостовой части фюзеляжа стала полностью фанерной (тол- шиной 2 мм). Козырек фонаря выполнили беспереплетным. Ввели также многочисленные эксплуатационные улучшения. Вес конструкции "Дублера", по сравнению с Як-1, уменьшился на 250 кг.</w:t>
      </w:r>
    </w:p>
    <w:p w14:paraId="3F1456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Дублер успешно прошел заводские (с 20 по 30 сентября 1943 г.) и государственные (с 6 по 15 октября) испытания. Сравнительные испытания и учебные воздушные бои показали, что новый истребитель не уступает ни одному из истребителей воюющих на Восточном фронте сторон в скорости (кроме Ла-5ФН на форсаже), а также в скороподъемности и в вертикальном маневре до высоты 5000 м. Постановлением ГКО от 26 октября 1943 г. Як-IM был переименован в Як-3 и под этим обозначением запущен в серийное производство (12048).</w:t>
      </w:r>
    </w:p>
    <w:p w14:paraId="0A4BC1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47ED6E"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3D6C5A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D2C374"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28 февраля</w:t>
      </w:r>
      <w:r w:rsidRPr="00D03F3E">
        <w:rPr>
          <w:rFonts w:ascii="Times New Roman" w:hAnsi="Times New Roman"/>
          <w:color w:val="000000" w:themeColor="text1"/>
          <w:sz w:val="16"/>
          <w:szCs w:val="16"/>
        </w:rPr>
        <w:t xml:space="preserve"> в 1943 году утреннее сообщение Совинформбюро:</w:t>
      </w:r>
    </w:p>
    <w:p w14:paraId="30A0F8AE"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28 февраля наши войска вели наступательные бои на прежних направлениях.</w:t>
      </w:r>
    </w:p>
    <w:p w14:paraId="2A710640"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войска вели огневой бой с противником. Артиллеристы Н-ского соединения разрушили десятки немецких дзотов и блиндажей, подавили огонь 4 артиллерийских батарей и рассеяли скопление вражеской пехоты. Отряд наших разведчиков ночью проник в тыл противника и взорвал крупный артиллерийский склад.</w:t>
      </w:r>
    </w:p>
    <w:p w14:paraId="4D099ED4"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Н-ская часть, преодолев сильное огневое сопротивление противника, продвинулась вперёд. Немцы несколько раз предпринимали контратаки с целью вернуть утерянные позиции, но успеха не добились. В этом бою наши подразделения истребили до 300 гитлеровцев.</w:t>
      </w:r>
    </w:p>
    <w:p w14:paraId="051EF77C"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Краматорской наши войска отбили ещё одну контратаку танков и мотопехоты противника. В результате боя сожжено и подбито 8 немецких танков и уничтожено 19 автомашин с пехотой противника. Н-ское соединение в последних боях уничтожило 20 немецких железнодорожных эшелонов и 30 различных складов.</w:t>
      </w:r>
    </w:p>
    <w:p w14:paraId="1008FE5B"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Харькова наши войска продолжали наступление и заняли ряд населённых пунктов. На одном участке советские подразделения уничтожили до двух рот вражеской пехоты и 11 автомашин. Захвачено 5 орудий, 19 пулемётов и 2 склада с военным имуществом. На другом участке наши танкисты, преследуя противника, разгромили колонну немецкой пехоты, уничтожили 2 танка, 5 противотанковых орудий. Захвачены трофеи и пленные.</w:t>
      </w:r>
    </w:p>
    <w:p w14:paraId="4412A646"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Курска Н-ская танковая часть в результате стремительной атаки овладела крупным населённым пунктом. Уничтожено до 200 гитлеровцев. Захвачены 4 орудия, 7 противотанковых ружей, 9 пулемётов, склад боеприпасов и склад обмундирования.</w:t>
      </w:r>
    </w:p>
    <w:p w14:paraId="1A81B4A2"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части Н-ского соединения продвигались вперёд и заняли несколько населённых пунктов. Захвачены у противника 6 орудий, 21 зарядный ящик, 100 тысяч патронов, 60 повозок с грузами и 90 лошадей.</w:t>
      </w:r>
    </w:p>
    <w:p w14:paraId="7CFB5F39"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партизан из отряда «Железняк», действующего в одном из районовКарело-Финской ССР, в начале февраля месяца разгромила обоз белофиннов. Перебив солдат, сопровождавших обоз, советские патриоты захватили значительное количество боеприпасов, обмундирования и продовольствия. Группа карело-финских партизан из отряда «Буревестник» уничтожила гарнизон противника в одной деревне и вырезала 800 метров телефонно-телеграфного провода.</w:t>
      </w:r>
    </w:p>
    <w:p w14:paraId="52810CA2"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Отступая из деревни Малороссово, Орловской области, немецко-фашистские мерзавцы загнали группу жителей в подвал дома Ивана Давыдова, заперли их и подожгли дом. Задохнулись и погибли в огне Иван Давыдов, его жена, их дети: Мария—16 лет, Александра—15 лет, Анна—13 лет, Николай—8 лет, Алексей — 6 лет, трёхмесячный ребёнок, а также семидесятилетняя Александра Волкова и другие жители.</w:t>
      </w:r>
    </w:p>
    <w:p w14:paraId="3BCE97AA"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Югославские партизаны, наступающие в районе железной дороги Мостар—Сараево, за шесть дней боёв уничтожили несколько гарнизонов противника. Патриоты истребили свыше 800 итальянских солдат и 2.5 офицеров, а 960 солдат и офицеров взяли в плен. Захвачены трофеи: 16 танков, 15 орудий, 16 миномётов, 216 станковых и ручных пулемётов, 10 тысяч гранат, полтора миллиона патронов и различное военное, имущество. В районе Дони Лапац партизаны разгромили колонну оккупантов </w:t>
      </w:r>
      <w:r w:rsidRPr="00D03F3E">
        <w:rPr>
          <w:rFonts w:ascii="Times New Roman" w:hAnsi="Times New Roman"/>
          <w:color w:val="000000" w:themeColor="text1"/>
          <w:sz w:val="16"/>
          <w:szCs w:val="16"/>
        </w:rPr>
        <w:lastRenderedPageBreak/>
        <w:t>и захватили 3 итальянских танка. Западнее Люблян партизанским отрядом уничтожено 40 вражеских солдат и офицеров, в том числе итальянский комендант города Полхов Градец.» (15054).</w:t>
      </w:r>
    </w:p>
    <w:p w14:paraId="7F9D3569" w14:textId="77777777" w:rsidR="008C56B3" w:rsidRPr="00D03F3E" w:rsidRDefault="008C56B3" w:rsidP="00D03F3E">
      <w:pPr>
        <w:spacing w:after="0" w:line="240" w:lineRule="auto"/>
        <w:jc w:val="both"/>
        <w:rPr>
          <w:rFonts w:ascii="Times New Roman" w:hAnsi="Times New Roman"/>
          <w:color w:val="000000" w:themeColor="text1"/>
          <w:sz w:val="16"/>
          <w:szCs w:val="16"/>
        </w:rPr>
      </w:pPr>
    </w:p>
    <w:p w14:paraId="4D17097C"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28 февраля</w:t>
      </w:r>
      <w:r w:rsidRPr="00D03F3E">
        <w:rPr>
          <w:rFonts w:ascii="Times New Roman" w:hAnsi="Times New Roman"/>
          <w:color w:val="000000" w:themeColor="text1"/>
          <w:sz w:val="16"/>
          <w:szCs w:val="16"/>
        </w:rPr>
        <w:t xml:space="preserve"> в 1943 году вечернее сообщение Совинформбюро:</w:t>
      </w:r>
    </w:p>
    <w:p w14:paraId="07D3BC22"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28 февраля наши войска вели наступательные бои на прежних направлениях.</w:t>
      </w:r>
    </w:p>
    <w:p w14:paraId="60E50EE9"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21 по 27 февраля включительно, в воздушных боях и на аэродромах противника уничтожено 168 немецких самолётов. Наши потери за это же время 87 самолётов.</w:t>
      </w:r>
    </w:p>
    <w:p w14:paraId="4E79E114"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февраля частями нашей авиации на различных участках фронта уничтожено или повреждено до 100 немецких автомашин с войсками и грузами, потоплен транспортпротивника, водоизмещением в 14.000 тонн.</w:t>
      </w:r>
    </w:p>
    <w:p w14:paraId="34BC8D57"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войска укрепляли занятые позиции и на отдельных участках вели огневой бой с противником. Н-ское соединение в течение дня уничтожило свыше 150 немецких солдат и офицеров. Танковый экипаж гвардии лейтенанта Глухова в составе механика-водителя старшего сержанта Борисова, башенного стрелка сержанта Носкова и пулемётчика сержанта Писарева ворвался в расположение противника, истребил несколько десятков гитлеровцев и захватил 8 орудий. Пулемётчик тов. Догадин несколькими очередями сбил немецкий самолёт.</w:t>
      </w:r>
    </w:p>
    <w:p w14:paraId="40870A9D"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части Н-ского соединения аа два дня боёв истребили свыше 200 немецких солдат к офицеров, подбили 3 танка и захватили 2 самоходных орудия противника. На другом участке наши бойцы отразили контратаку батальона немецкой пехоты. Гитлеровцы понесли тяжёлые потери и отступили на исходные позиции.</w:t>
      </w:r>
    </w:p>
    <w:p w14:paraId="17AEF1DE"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Краматорской наши войска отбивали ожесточённые контратаки танков и мотопехоты противника. Немцы спешно подтягивают свежие части и прямо с хода бросают их в бой. На одном участке наши бойцы отразили пять контратак гитлеровцев, подбили и сожгли 8 немецких танков. На другом участке в течение дня шла упорная борьба за один населённый пункт, который несколько раз переходил из рук в руки. Е исходу дня советские подразделения прочно укрепились в этом населённом пункте. На поле боя осталось более 500 вражеских трупов, 13 изуродованных немецких танков и много автомашин.</w:t>
      </w:r>
    </w:p>
    <w:p w14:paraId="2D819A68"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Харькова наши войска продолжали наступление. Части Н-ского соединения в результате решительной атаки овладели двумя крупными населёнными пунктами. Захвачены артиллерийский склад и склад с зерном. Группа наших танков оседлала шоссе и перерезала пути отхода отступающему противнику. Подошедший батальон немецкой пехоты почти полностью уничтожен. Захвачено 9 орудий, 17 автомашин и 36 повозок с различными грузами. Взяты пленные.</w:t>
      </w:r>
    </w:p>
    <w:p w14:paraId="600D4991"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Курска наши войска продолжали наступательные бои. На подступах к крупному населённому пункту Н-ская часть в течение трёх дней ведёт ожесточённые бои с противником. За это время уничтожено свыше двух батальонов гитлеровцев. Захвачены большие трофеи и пленные.</w:t>
      </w:r>
    </w:p>
    <w:p w14:paraId="78CC2BF2"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партизан из отряда, действующего в Витебской области, в середине февраля внезапно напала на немецкий обоз, двигавшийся по дороге. Партизаны истребили 30 гитлеровцев и уничтожили 6 подвод с боеприпасами. Другая группа партизан разгромила немецкий гарнизон в населённом пункте. Советские патриоты сожгли продовольственный склад и истребили 20 гестаповцев.</w:t>
      </w:r>
    </w:p>
    <w:p w14:paraId="4BBECECF"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минских партизан на железнодорожной станции сжёг товарную базу и продовольственный склад противника.</w:t>
      </w:r>
    </w:p>
    <w:p w14:paraId="7210CA9D"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обер-ефрейтор 11 роты 528 полка 299 немецкой пехотной дивизии Эвальд Пихлер рассказал: «Наш полк отступил в беспорядке и понёс тяжёлые потери. Почти все подразделения бросили своё вооружение и автомашины. 13 рота пехотных орудий взорвала оставшиеся 6 пушек. 3-й батальон потерял только убитыми более 300 человек. Неудачи и поражения немецких войск на Восточном фронте породили среди части солдат упадочные настроения. После того как мы узнали, что русские войскаокружили и уничтожили под Сталинградом 6-ю немецкую армию, нас преследует страх. Всё время кажется, что мы окружены и нас ожидает участь немецких дивизий, разгромленных под Сталинградом. Нет самоуверенности. Многие уже считают, что немецкой армии не устоять против русских».</w:t>
      </w:r>
    </w:p>
    <w:p w14:paraId="0939ED10"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Крупный отряд греческих партизан, возглавляемый полковником греческой армии, атаковал гарнизон оккупантов в Калабаки. |В трёхдневных боях греческие патриоты нанесли противнику большие потери. Партизаны овладели городом и захватили в плен 50 немецких и итальянских солдат.» (15054).</w:t>
      </w:r>
    </w:p>
    <w:p w14:paraId="0E483464" w14:textId="77777777" w:rsidR="008C56B3" w:rsidRPr="00D03F3E" w:rsidRDefault="008C56B3" w:rsidP="00D03F3E">
      <w:pPr>
        <w:spacing w:after="0" w:line="240" w:lineRule="auto"/>
        <w:jc w:val="both"/>
        <w:rPr>
          <w:rFonts w:ascii="Times New Roman" w:hAnsi="Times New Roman"/>
          <w:color w:val="000000" w:themeColor="text1"/>
          <w:sz w:val="16"/>
          <w:szCs w:val="16"/>
        </w:rPr>
      </w:pPr>
    </w:p>
    <w:p w14:paraId="030E8EF0"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28 февраля</w:t>
      </w:r>
      <w:r w:rsidRPr="00D03F3E">
        <w:rPr>
          <w:rFonts w:ascii="Times New Roman" w:hAnsi="Times New Roman"/>
          <w:color w:val="000000" w:themeColor="text1"/>
          <w:sz w:val="16"/>
          <w:szCs w:val="16"/>
        </w:rPr>
        <w:t xml:space="preserve"> в 1943 году немецкие войска вышли к Донцу. Группировка советских войск Юго-Западного фронта попала в окружение (15054).</w:t>
      </w:r>
    </w:p>
    <w:p w14:paraId="608E3FEA" w14:textId="77777777" w:rsidR="008C56B3" w:rsidRPr="00D03F3E" w:rsidRDefault="008C56B3" w:rsidP="00D03F3E">
      <w:pPr>
        <w:spacing w:after="0" w:line="240" w:lineRule="auto"/>
        <w:jc w:val="both"/>
        <w:rPr>
          <w:rFonts w:ascii="Times New Roman" w:hAnsi="Times New Roman"/>
          <w:color w:val="000000" w:themeColor="text1"/>
          <w:sz w:val="16"/>
          <w:szCs w:val="16"/>
        </w:rPr>
      </w:pPr>
    </w:p>
    <w:p w14:paraId="4C36CCBA"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28 февраля</w:t>
      </w:r>
      <w:r w:rsidRPr="00D03F3E">
        <w:rPr>
          <w:rFonts w:ascii="Times New Roman" w:hAnsi="Times New Roman"/>
          <w:color w:val="000000" w:themeColor="text1"/>
          <w:sz w:val="16"/>
          <w:szCs w:val="16"/>
        </w:rPr>
        <w:t xml:space="preserve"> в 1943 году завершилась Демянская операция войск Северо-Западного фронта. Ликвидирован демянский плацдарм противника; германскому командованию удалось вывести свои войска. Войска 17-й немецкой армии при поддержке авиации предприняли мощные контратаки, особенно в полосе 58-й армии Северо-Кавказского фронта (продолжались по 4 марта) (15054).</w:t>
      </w:r>
    </w:p>
    <w:p w14:paraId="6D58C872" w14:textId="77777777" w:rsidR="008C56B3" w:rsidRPr="00D03F3E" w:rsidRDefault="008C56B3" w:rsidP="00D03F3E">
      <w:pPr>
        <w:spacing w:after="0" w:line="240" w:lineRule="auto"/>
        <w:jc w:val="both"/>
        <w:rPr>
          <w:rFonts w:ascii="Times New Roman" w:hAnsi="Times New Roman"/>
          <w:color w:val="000000" w:themeColor="text1"/>
          <w:sz w:val="16"/>
          <w:szCs w:val="16"/>
        </w:rPr>
      </w:pPr>
    </w:p>
    <w:p w14:paraId="020EA5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февраля 1943 артиллерия немцев совершила массированный удар по Кронштадту с кораблями в скованной льдом гавани и аэросани НКЛ-16 ставили в течение часа дымзавесу (3961, 411).</w:t>
      </w:r>
    </w:p>
    <w:p w14:paraId="06E412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9F1B7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50ECBE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53D909"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28 февраля</w:t>
      </w:r>
      <w:r w:rsidRPr="00D03F3E">
        <w:rPr>
          <w:rFonts w:ascii="Times New Roman" w:hAnsi="Times New Roman"/>
          <w:color w:val="000000" w:themeColor="text1"/>
          <w:sz w:val="16"/>
          <w:szCs w:val="16"/>
        </w:rPr>
        <w:t xml:space="preserve"> в 1943 году первый полёт прототипа поплавкового истребителя </w:t>
      </w:r>
      <w:hyperlink r:id="rId79" w:tgtFrame="_blank" w:history="1">
        <w:r w:rsidRPr="00D03F3E">
          <w:rPr>
            <w:rFonts w:ascii="Times New Roman" w:hAnsi="Times New Roman"/>
            <w:color w:val="000000" w:themeColor="text1"/>
            <w:sz w:val="16"/>
            <w:szCs w:val="16"/>
          </w:rPr>
          <w:t xml:space="preserve">«F4F-3S» «Wild Catfish» </w:t>
        </w:r>
      </w:hyperlink>
      <w:r w:rsidRPr="00D03F3E">
        <w:rPr>
          <w:rFonts w:ascii="Times New Roman" w:hAnsi="Times New Roman"/>
          <w:color w:val="000000" w:themeColor="text1"/>
          <w:sz w:val="16"/>
          <w:szCs w:val="16"/>
        </w:rPr>
        <w:t>(компания «Grumman», США). После успешных испытаний Командование Флота США заказало партию в 100 самолётов. Однако после выпуска небольшого количества самолётов, контракт был завершен в связи с переломным изменением положения на Тихоокеанском флоте (15054).</w:t>
      </w:r>
    </w:p>
    <w:p w14:paraId="1CBA0723" w14:textId="77777777" w:rsidR="008C56B3" w:rsidRPr="00D03F3E" w:rsidRDefault="008C56B3" w:rsidP="00D03F3E">
      <w:pPr>
        <w:spacing w:after="0" w:line="240" w:lineRule="auto"/>
        <w:jc w:val="both"/>
        <w:rPr>
          <w:rFonts w:ascii="Times New Roman" w:hAnsi="Times New Roman"/>
          <w:color w:val="000000" w:themeColor="text1"/>
          <w:sz w:val="16"/>
          <w:szCs w:val="16"/>
        </w:rPr>
      </w:pPr>
    </w:p>
    <w:p w14:paraId="6FD0340F" w14:textId="77777777" w:rsidR="00882DFF" w:rsidRPr="00D03F3E" w:rsidRDefault="00882DF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28 февраля 1943 самолеты 11 армии военно - воздушных сил сбросили всего 150 тонн (150 000 кг) бомб на японские базы в Алеутских островах в течение месяца из-за замерзания половины бомбосбрасывателей (20376).</w:t>
      </w:r>
    </w:p>
    <w:p w14:paraId="216A1498" w14:textId="77777777" w:rsidR="00882DFF" w:rsidRPr="00D03F3E" w:rsidRDefault="00882DFF" w:rsidP="00D03F3E">
      <w:pPr>
        <w:spacing w:after="0" w:line="240" w:lineRule="auto"/>
        <w:jc w:val="both"/>
        <w:rPr>
          <w:rFonts w:ascii="Times New Roman" w:hAnsi="Times New Roman"/>
          <w:color w:val="0070C0"/>
          <w:sz w:val="16"/>
          <w:szCs w:val="16"/>
        </w:rPr>
      </w:pPr>
    </w:p>
    <w:p w14:paraId="27B08D8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февраля 1943 в Германии объявлен массовый набор женщин на водительские курсы (4962).</w:t>
      </w:r>
    </w:p>
    <w:p w14:paraId="3B32364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5931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28 February 1943 Norwegian commandos destroy the heavy water factory at Vemork (270).</w:t>
      </w:r>
    </w:p>
    <w:p w14:paraId="48CD41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560A1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февраля 1943 норвежские командос уничтожили завод тяжелой воды в Веморке (270).</w:t>
      </w:r>
    </w:p>
    <w:p w14:paraId="6712D0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E7B3B4"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28 февраля</w:t>
      </w:r>
      <w:r w:rsidRPr="00D03F3E">
        <w:rPr>
          <w:rFonts w:ascii="Times New Roman" w:hAnsi="Times New Roman"/>
          <w:color w:val="000000" w:themeColor="text1"/>
          <w:sz w:val="16"/>
          <w:szCs w:val="16"/>
        </w:rPr>
        <w:t xml:space="preserve"> в 1943 году норвежскими партизанами взорван завод по производству тяжелой воды близ города Рьюкан (15054).</w:t>
      </w:r>
    </w:p>
    <w:p w14:paraId="6EE5D2A9" w14:textId="77777777" w:rsidR="008C56B3" w:rsidRPr="00D03F3E" w:rsidRDefault="008C56B3" w:rsidP="00D03F3E">
      <w:pPr>
        <w:spacing w:after="0" w:line="240" w:lineRule="auto"/>
        <w:jc w:val="both"/>
        <w:rPr>
          <w:rFonts w:ascii="Times New Roman" w:hAnsi="Times New Roman"/>
          <w:color w:val="000000" w:themeColor="text1"/>
          <w:sz w:val="16"/>
          <w:szCs w:val="16"/>
        </w:rPr>
      </w:pPr>
    </w:p>
    <w:p w14:paraId="01CF882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февраля 1943 американский модельер Джон Фредерикс впервые представил военную одежду с люминесценцией (4962).</w:t>
      </w:r>
    </w:p>
    <w:p w14:paraId="11A7AD5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B0D225"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27ABE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EAB4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февраля месяца 1943 снова произошел гидроудар М-82ФНВ. Одновременно строился и второй Ла-5 с М-82ФНВ - «Дублер». Конст</w:t>
      </w:r>
      <w:r w:rsidRPr="00D03F3E">
        <w:rPr>
          <w:rFonts w:ascii="Times New Roman" w:hAnsi="Times New Roman"/>
          <w:color w:val="000000" w:themeColor="text1"/>
          <w:sz w:val="16"/>
          <w:szCs w:val="16"/>
        </w:rPr>
        <w:softHyphen/>
        <w:t>руктивно он отличался от первого: на нем стояли металлические лонжеро</w:t>
      </w:r>
      <w:r w:rsidRPr="00D03F3E">
        <w:rPr>
          <w:rFonts w:ascii="Times New Roman" w:hAnsi="Times New Roman"/>
          <w:color w:val="000000" w:themeColor="text1"/>
          <w:sz w:val="16"/>
          <w:szCs w:val="16"/>
        </w:rPr>
        <w:softHyphen/>
        <w:t>ны крыла вместо деревянных, что об</w:t>
      </w:r>
      <w:r w:rsidRPr="00D03F3E">
        <w:rPr>
          <w:rFonts w:ascii="Times New Roman" w:hAnsi="Times New Roman"/>
          <w:color w:val="000000" w:themeColor="text1"/>
          <w:sz w:val="16"/>
          <w:szCs w:val="16"/>
        </w:rPr>
        <w:softHyphen/>
        <w:t>легчило машину, новый улучшенный по рекомендации ЦАГИ всасывающий патрубок, а вместо серийного выхлоп</w:t>
      </w:r>
      <w:r w:rsidRPr="00D03F3E">
        <w:rPr>
          <w:rFonts w:ascii="Times New Roman" w:hAnsi="Times New Roman"/>
          <w:color w:val="000000" w:themeColor="text1"/>
          <w:sz w:val="16"/>
          <w:szCs w:val="16"/>
        </w:rPr>
        <w:softHyphen/>
        <w:t>ного коллектора - сдвоенные и стро</w:t>
      </w:r>
      <w:r w:rsidRPr="00D03F3E">
        <w:rPr>
          <w:rFonts w:ascii="Times New Roman" w:hAnsi="Times New Roman"/>
          <w:color w:val="000000" w:themeColor="text1"/>
          <w:sz w:val="16"/>
          <w:szCs w:val="16"/>
        </w:rPr>
        <w:softHyphen/>
        <w:t>енные индивидуальные выхлопные пат</w:t>
      </w:r>
      <w:r w:rsidRPr="00D03F3E">
        <w:rPr>
          <w:rFonts w:ascii="Times New Roman" w:hAnsi="Times New Roman"/>
          <w:color w:val="000000" w:themeColor="text1"/>
          <w:sz w:val="16"/>
          <w:szCs w:val="16"/>
        </w:rPr>
        <w:softHyphen/>
        <w:t>рубки, которые снизили потери ско</w:t>
      </w:r>
      <w:r w:rsidRPr="00D03F3E">
        <w:rPr>
          <w:rFonts w:ascii="Times New Roman" w:hAnsi="Times New Roman"/>
          <w:color w:val="000000" w:themeColor="text1"/>
          <w:sz w:val="16"/>
          <w:szCs w:val="16"/>
        </w:rPr>
        <w:softHyphen/>
        <w:t>ростного напора на всасывании и противодавление на выхлопе. После</w:t>
      </w:r>
      <w:r w:rsidRPr="00D03F3E">
        <w:rPr>
          <w:rFonts w:ascii="Times New Roman" w:hAnsi="Times New Roman"/>
          <w:color w:val="000000" w:themeColor="text1"/>
          <w:sz w:val="16"/>
          <w:szCs w:val="16"/>
        </w:rPr>
        <w:softHyphen/>
        <w:t>днее мероприятие было откликом на исследования падения мощности ВМГ, проведенные заводом №19 в октяб</w:t>
      </w:r>
      <w:r w:rsidRPr="00D03F3E">
        <w:rPr>
          <w:rFonts w:ascii="Times New Roman" w:hAnsi="Times New Roman"/>
          <w:color w:val="000000" w:themeColor="text1"/>
          <w:sz w:val="16"/>
          <w:szCs w:val="16"/>
        </w:rPr>
        <w:softHyphen/>
        <w:t>ре-декабре 1942 года. В них было констатировано, что серийный выхлоп</w:t>
      </w:r>
      <w:r w:rsidRPr="00D03F3E">
        <w:rPr>
          <w:rFonts w:ascii="Times New Roman" w:hAnsi="Times New Roman"/>
          <w:color w:val="000000" w:themeColor="text1"/>
          <w:sz w:val="16"/>
          <w:szCs w:val="16"/>
        </w:rPr>
        <w:softHyphen/>
        <w:t>ной коллектор Ла-5 «съедает» 1,5-3%, а на режиме взлета — до 5% мощ</w:t>
      </w:r>
      <w:r w:rsidRPr="00D03F3E">
        <w:rPr>
          <w:rFonts w:ascii="Times New Roman" w:hAnsi="Times New Roman"/>
          <w:color w:val="000000" w:themeColor="text1"/>
          <w:sz w:val="16"/>
          <w:szCs w:val="16"/>
        </w:rPr>
        <w:softHyphen/>
        <w:t>ности. «Дублер» быстро догнал по готовности 1-й экземпляр, а потом и обо</w:t>
      </w:r>
      <w:r w:rsidRPr="00D03F3E">
        <w:rPr>
          <w:rFonts w:ascii="Times New Roman" w:hAnsi="Times New Roman"/>
          <w:color w:val="000000" w:themeColor="text1"/>
          <w:sz w:val="16"/>
          <w:szCs w:val="16"/>
        </w:rPr>
        <w:softHyphen/>
        <w:t>гнал его. 22-24 марта 1943 года лет</w:t>
      </w:r>
      <w:r w:rsidRPr="00D03F3E">
        <w:rPr>
          <w:rFonts w:ascii="Times New Roman" w:hAnsi="Times New Roman"/>
          <w:color w:val="000000" w:themeColor="text1"/>
          <w:sz w:val="16"/>
          <w:szCs w:val="16"/>
        </w:rPr>
        <w:softHyphen/>
        <w:t>чик-испытатель майор Г.А. Мищенко провел краткие заводские испытания «Дублера». Результат был тот, кото</w:t>
      </w:r>
      <w:r w:rsidRPr="00D03F3E">
        <w:rPr>
          <w:rFonts w:ascii="Times New Roman" w:hAnsi="Times New Roman"/>
          <w:color w:val="000000" w:themeColor="text1"/>
          <w:sz w:val="16"/>
          <w:szCs w:val="16"/>
        </w:rPr>
        <w:softHyphen/>
        <w:t>рого все ждали: максимальная ско</w:t>
      </w:r>
      <w:r w:rsidRPr="00D03F3E">
        <w:rPr>
          <w:rFonts w:ascii="Times New Roman" w:hAnsi="Times New Roman"/>
          <w:color w:val="000000" w:themeColor="text1"/>
          <w:sz w:val="16"/>
          <w:szCs w:val="16"/>
        </w:rPr>
        <w:softHyphen/>
        <w:t>рость у земли на номинале - 563, на форсаже - 598 км/ч, на 2-й границе высотности 6000 м - 650 км/ч. Сроч</w:t>
      </w:r>
      <w:r w:rsidRPr="00D03F3E">
        <w:rPr>
          <w:rFonts w:ascii="Times New Roman" w:hAnsi="Times New Roman"/>
          <w:color w:val="000000" w:themeColor="text1"/>
          <w:sz w:val="16"/>
          <w:szCs w:val="16"/>
        </w:rPr>
        <w:softHyphen/>
        <w:t>но в Горький был командирован от НИИ ВВС летчик-испытатель-инженер А.И. Никашин, который с 3 по 20 ап</w:t>
      </w:r>
      <w:r w:rsidRPr="00D03F3E">
        <w:rPr>
          <w:rFonts w:ascii="Times New Roman" w:hAnsi="Times New Roman"/>
          <w:color w:val="000000" w:themeColor="text1"/>
          <w:sz w:val="16"/>
          <w:szCs w:val="16"/>
        </w:rPr>
        <w:softHyphen/>
        <w:t>реля провел контрольные испытания и подтвердил полученные ранее циф</w:t>
      </w:r>
      <w:r w:rsidRPr="00D03F3E">
        <w:rPr>
          <w:rFonts w:ascii="Times New Roman" w:hAnsi="Times New Roman"/>
          <w:color w:val="000000" w:themeColor="text1"/>
          <w:sz w:val="16"/>
          <w:szCs w:val="16"/>
        </w:rPr>
        <w:softHyphen/>
        <w:t>ры: максимальная скорость у земли на номинале - 562 и на форсаже -595 км/ч, на 2-й границе высотности 6300 м - 648 км/ч, время набора 5000 м - 4,7 мин. Эти данные позволили А.И. Шахурину отказаться и от производства И-185, и от производства М-71, тем более что 5 апреля 1943 года другой опытный И-185 с М-71 потерпел ка</w:t>
      </w:r>
      <w:r w:rsidRPr="00D03F3E">
        <w:rPr>
          <w:rFonts w:ascii="Times New Roman" w:hAnsi="Times New Roman"/>
          <w:color w:val="000000" w:themeColor="text1"/>
          <w:sz w:val="16"/>
          <w:szCs w:val="16"/>
        </w:rPr>
        <w:softHyphen/>
        <w:t>тастрофу из-за отказа мотора при посадке - засорился жиклер карбю</w:t>
      </w:r>
      <w:r w:rsidRPr="00D03F3E">
        <w:rPr>
          <w:rFonts w:ascii="Times New Roman" w:hAnsi="Times New Roman"/>
          <w:color w:val="000000" w:themeColor="text1"/>
          <w:sz w:val="16"/>
          <w:szCs w:val="16"/>
        </w:rPr>
        <w:softHyphen/>
        <w:t>ратора (погиб летчик-испытатель В.А. Степанченок). И хотя в 1943 году те</w:t>
      </w:r>
      <w:r w:rsidRPr="00D03F3E">
        <w:rPr>
          <w:rFonts w:ascii="Times New Roman" w:hAnsi="Times New Roman"/>
          <w:color w:val="000000" w:themeColor="text1"/>
          <w:sz w:val="16"/>
          <w:szCs w:val="16"/>
        </w:rPr>
        <w:softHyphen/>
        <w:t>перь уже ОКБ Лавочкина построило модификацию Ла-5 с форсированным М-71Ф, работы по этой машине про</w:t>
      </w:r>
      <w:r w:rsidRPr="00D03F3E">
        <w:rPr>
          <w:rFonts w:ascii="Times New Roman" w:hAnsi="Times New Roman"/>
          <w:color w:val="000000" w:themeColor="text1"/>
          <w:sz w:val="16"/>
          <w:szCs w:val="16"/>
        </w:rPr>
        <w:softHyphen/>
        <w:t>ходили неспешно и в 1944 году пре</w:t>
      </w:r>
      <w:r w:rsidRPr="00D03F3E">
        <w:rPr>
          <w:rFonts w:ascii="Times New Roman" w:hAnsi="Times New Roman"/>
          <w:color w:val="000000" w:themeColor="text1"/>
          <w:sz w:val="16"/>
          <w:szCs w:val="16"/>
        </w:rPr>
        <w:softHyphen/>
        <w:t>кратились вовсе (10705).</w:t>
      </w:r>
    </w:p>
    <w:p w14:paraId="5C1E4C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5E81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февраля 1943 г. ОКБ Микояна получило задание разрабо</w:t>
      </w:r>
      <w:r w:rsidRPr="00D03F3E">
        <w:rPr>
          <w:rFonts w:ascii="Times New Roman" w:hAnsi="Times New Roman"/>
          <w:color w:val="000000" w:themeColor="text1"/>
          <w:sz w:val="16"/>
          <w:szCs w:val="16"/>
        </w:rPr>
        <w:softHyphen/>
        <w:t>тать и построить малую серию (шесть экземпляров) улучшенного ис</w:t>
      </w:r>
      <w:r w:rsidRPr="00D03F3E">
        <w:rPr>
          <w:rFonts w:ascii="Times New Roman" w:hAnsi="Times New Roman"/>
          <w:color w:val="000000" w:themeColor="text1"/>
          <w:sz w:val="16"/>
          <w:szCs w:val="16"/>
        </w:rPr>
        <w:softHyphen/>
        <w:t>требителя МиГ-ЗУ (И-230) с мотором АМ-35А. Поскольку моторы АМ-35А тогда серийно уже не выпускались, было принято решение собрать их из деталей мотора АМ-38Ф. Шестерку МиГ-ЗУ построи</w:t>
      </w:r>
      <w:r w:rsidRPr="00D03F3E">
        <w:rPr>
          <w:rFonts w:ascii="Times New Roman" w:hAnsi="Times New Roman"/>
          <w:color w:val="000000" w:themeColor="text1"/>
          <w:sz w:val="16"/>
          <w:szCs w:val="16"/>
        </w:rPr>
        <w:softHyphen/>
        <w:t>ли, первая машина поднялась в воздух 31 мая 1943 г. Впрочем, осо</w:t>
      </w:r>
      <w:r w:rsidRPr="00D03F3E">
        <w:rPr>
          <w:rFonts w:ascii="Times New Roman" w:hAnsi="Times New Roman"/>
          <w:color w:val="000000" w:themeColor="text1"/>
          <w:sz w:val="16"/>
          <w:szCs w:val="16"/>
        </w:rPr>
        <w:softHyphen/>
        <w:t>бых успехов с этими самолетами достичь не удалось (10781).</w:t>
      </w:r>
    </w:p>
    <w:p w14:paraId="718E28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B028AA" w14:textId="77777777" w:rsidR="008C56B3" w:rsidRPr="00D03F3E" w:rsidRDefault="008C56B3"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lastRenderedPageBreak/>
        <w:t>В последних числах февраля 1943 г. ТИС (2А) вновь поставили на кон</w:t>
      </w:r>
      <w:r w:rsidRPr="00D03F3E">
        <w:rPr>
          <w:rFonts w:ascii="Times New Roman" w:cs="Times New Roman"/>
          <w:color w:val="000000" w:themeColor="text1"/>
          <w:spacing w:val="0"/>
        </w:rPr>
        <w:softHyphen/>
        <w:t>сервацию. Как оказалось, на 2,5 месяца (15755).</w:t>
      </w:r>
    </w:p>
    <w:p w14:paraId="021505B6" w14:textId="77777777" w:rsidR="008C56B3" w:rsidRPr="00D03F3E" w:rsidRDefault="008C56B3" w:rsidP="00D03F3E">
      <w:pPr>
        <w:pStyle w:val="27"/>
        <w:shd w:val="clear" w:color="auto" w:fill="auto"/>
        <w:spacing w:after="0" w:line="240" w:lineRule="auto"/>
        <w:ind w:firstLine="0"/>
        <w:rPr>
          <w:rFonts w:ascii="Times New Roman" w:cs="Times New Roman"/>
          <w:color w:val="000000" w:themeColor="text1"/>
          <w:spacing w:val="0"/>
        </w:rPr>
      </w:pPr>
    </w:p>
    <w:p w14:paraId="7B88C5A5" w14:textId="77777777" w:rsidR="00C31372" w:rsidRPr="00D03F3E" w:rsidRDefault="00C3137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последних числах февраля 1943 г. ТИС (2А) вновь поставили на консервацию. Как ока</w:t>
      </w:r>
      <w:r w:rsidRPr="00D03F3E">
        <w:rPr>
          <w:color w:val="000000" w:themeColor="text1"/>
          <w:sz w:val="16"/>
          <w:szCs w:val="16"/>
        </w:rPr>
        <w:softHyphen/>
        <w:t>залось, на 2,5 месяца (17500).</w:t>
      </w:r>
    </w:p>
    <w:p w14:paraId="4913436E" w14:textId="77777777" w:rsidR="00C31372" w:rsidRPr="00D03F3E" w:rsidRDefault="00C31372" w:rsidP="00D03F3E">
      <w:pPr>
        <w:spacing w:after="0" w:line="240" w:lineRule="auto"/>
        <w:jc w:val="both"/>
        <w:rPr>
          <w:rFonts w:ascii="Times New Roman" w:eastAsia="Times New Roman" w:hAnsi="Times New Roman"/>
          <w:color w:val="000000" w:themeColor="text1"/>
          <w:sz w:val="16"/>
          <w:szCs w:val="16"/>
          <w:lang w:eastAsia="ru-RU"/>
        </w:rPr>
      </w:pPr>
    </w:p>
    <w:p w14:paraId="030EA084"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63309B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C4BC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февраля 1943 в Ставке состоялось экстренное совещание по вопросам применения немцами танка Тигр на Тихвинском фронте. Нач. артиллерии Воронов сказал, что нет пушек, способных бороться с этими танками. 1 марта И.В.С. позвонил В.Грабину и спросил, когда можно восстановить производство 107 мм танковой пушки ЗИС-6. Грабин сказал - через 15 дн. (2453,8).</w:t>
      </w:r>
    </w:p>
    <w:p w14:paraId="488A79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5E5C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февраля 1943 г. в Ставке состоялось экс</w:t>
      </w:r>
      <w:r w:rsidRPr="00D03F3E">
        <w:rPr>
          <w:rFonts w:ascii="Times New Roman" w:hAnsi="Times New Roman"/>
          <w:color w:val="000000" w:themeColor="text1"/>
          <w:sz w:val="16"/>
          <w:szCs w:val="16"/>
        </w:rPr>
        <w:softHyphen/>
        <w:t>тренное совещание, причиной которого стало применение немцами на Тихвинском фронте тяжелого танка «Тигр» (точ</w:t>
      </w:r>
      <w:r w:rsidRPr="00D03F3E">
        <w:rPr>
          <w:rFonts w:ascii="Times New Roman" w:hAnsi="Times New Roman"/>
          <w:color w:val="000000" w:themeColor="text1"/>
          <w:sz w:val="16"/>
          <w:szCs w:val="16"/>
        </w:rPr>
        <w:softHyphen/>
        <w:t>ная дата совещания неизвестна, но ссылки на его стенограм</w:t>
      </w:r>
      <w:r w:rsidRPr="00D03F3E">
        <w:rPr>
          <w:rFonts w:ascii="Times New Roman" w:hAnsi="Times New Roman"/>
          <w:color w:val="000000" w:themeColor="text1"/>
          <w:sz w:val="16"/>
          <w:szCs w:val="16"/>
        </w:rPr>
        <w:softHyphen/>
        <w:t>мы приведены в переписке НКТП от 27 февраля 1943 г.). На указанном совещании присутствовали нарком воору</w:t>
      </w:r>
      <w:r w:rsidRPr="00D03F3E">
        <w:rPr>
          <w:rFonts w:ascii="Times New Roman" w:hAnsi="Times New Roman"/>
          <w:color w:val="000000" w:themeColor="text1"/>
          <w:sz w:val="16"/>
          <w:szCs w:val="16"/>
        </w:rPr>
        <w:softHyphen/>
        <w:t>жений Д. Устинов с заместителями, нарком танковой про</w:t>
      </w:r>
      <w:r w:rsidRPr="00D03F3E">
        <w:rPr>
          <w:rFonts w:ascii="Times New Roman" w:hAnsi="Times New Roman"/>
          <w:color w:val="000000" w:themeColor="text1"/>
          <w:sz w:val="16"/>
          <w:szCs w:val="16"/>
        </w:rPr>
        <w:softHyphen/>
        <w:t>мышленности В. Малышев с заместителями, нарком бое</w:t>
      </w:r>
      <w:r w:rsidRPr="00D03F3E">
        <w:rPr>
          <w:rFonts w:ascii="Times New Roman" w:hAnsi="Times New Roman"/>
          <w:color w:val="000000" w:themeColor="text1"/>
          <w:sz w:val="16"/>
          <w:szCs w:val="16"/>
        </w:rPr>
        <w:softHyphen/>
        <w:t>припасов Б. Ванников, руководство ГАУ и ГБТУ, ряд воен</w:t>
      </w:r>
      <w:r w:rsidRPr="00D03F3E">
        <w:rPr>
          <w:rFonts w:ascii="Times New Roman" w:hAnsi="Times New Roman"/>
          <w:color w:val="000000" w:themeColor="text1"/>
          <w:sz w:val="16"/>
          <w:szCs w:val="16"/>
        </w:rPr>
        <w:softHyphen/>
        <w:t>ных специалистов и ведущих работников оборонной про</w:t>
      </w:r>
      <w:r w:rsidRPr="00D03F3E">
        <w:rPr>
          <w:rFonts w:ascii="Times New Roman" w:hAnsi="Times New Roman"/>
          <w:color w:val="000000" w:themeColor="text1"/>
          <w:sz w:val="16"/>
          <w:szCs w:val="16"/>
        </w:rPr>
        <w:softHyphen/>
        <w:t>мышленности. Сообщение делал начальник артиллерии Н. Воронов. Появление на Тихвинском фронте танков «Тигр» он назвал внезапным. Новые немецкие танки произвели на него, по его словам, потрясающее впечатление. «У нас нет пушек, способных бороться с этими танками», — были его за</w:t>
      </w:r>
      <w:r w:rsidRPr="00D03F3E">
        <w:rPr>
          <w:rFonts w:ascii="Times New Roman" w:hAnsi="Times New Roman"/>
          <w:color w:val="000000" w:themeColor="text1"/>
          <w:sz w:val="16"/>
          <w:szCs w:val="16"/>
        </w:rPr>
        <w:softHyphen/>
        <w:t>ключительные слова. Возразить ему не смог никто (11135).</w:t>
      </w:r>
    </w:p>
    <w:p w14:paraId="561C9A9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628D30"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концу февраля 1943 сборочный цех пере</w:t>
      </w:r>
      <w:r w:rsidRPr="00D03F3E">
        <w:rPr>
          <w:rFonts w:ascii="Times New Roman" w:hAnsi="Times New Roman"/>
          <w:color w:val="000000" w:themeColor="text1"/>
          <w:sz w:val="16"/>
          <w:szCs w:val="16"/>
        </w:rPr>
        <w:softHyphen/>
        <w:t>шел на новый, более совершенный техпро</w:t>
      </w:r>
      <w:r w:rsidRPr="00D03F3E">
        <w:rPr>
          <w:rFonts w:ascii="Times New Roman" w:hAnsi="Times New Roman"/>
          <w:color w:val="000000" w:themeColor="text1"/>
          <w:sz w:val="16"/>
          <w:szCs w:val="16"/>
        </w:rPr>
        <w:softHyphen/>
        <w:t>цесс установки вооружения, т.к. выясни</w:t>
      </w:r>
      <w:r w:rsidRPr="00D03F3E">
        <w:rPr>
          <w:rFonts w:ascii="Times New Roman" w:hAnsi="Times New Roman"/>
          <w:color w:val="000000" w:themeColor="text1"/>
          <w:sz w:val="16"/>
          <w:szCs w:val="16"/>
        </w:rPr>
        <w:softHyphen/>
        <w:t xml:space="preserve">лось, что монтаж артсистемы ЗИС-5 в башне </w:t>
      </w:r>
      <w:r w:rsidRPr="00D03F3E">
        <w:rPr>
          <w:rFonts w:ascii="Times New Roman" w:hAnsi="Times New Roman"/>
          <w:color w:val="000000" w:themeColor="text1"/>
          <w:sz w:val="16"/>
          <w:szCs w:val="16"/>
          <w:lang w:val="en-US"/>
        </w:rPr>
        <w:t>KB</w:t>
      </w:r>
      <w:r w:rsidRPr="00D03F3E">
        <w:rPr>
          <w:rFonts w:ascii="Times New Roman" w:hAnsi="Times New Roman"/>
          <w:color w:val="000000" w:themeColor="text1"/>
          <w:sz w:val="16"/>
          <w:szCs w:val="16"/>
        </w:rPr>
        <w:t>-1С ведется по временному техпроцессу (15226).</w:t>
      </w:r>
    </w:p>
    <w:p w14:paraId="39CF1C1E" w14:textId="77777777" w:rsidR="008C56B3" w:rsidRPr="00D03F3E" w:rsidRDefault="008C56B3" w:rsidP="00D03F3E">
      <w:pPr>
        <w:spacing w:after="0" w:line="240" w:lineRule="auto"/>
        <w:jc w:val="both"/>
        <w:rPr>
          <w:rFonts w:ascii="Times New Roman" w:hAnsi="Times New Roman"/>
          <w:color w:val="000000" w:themeColor="text1"/>
          <w:sz w:val="16"/>
          <w:szCs w:val="16"/>
        </w:rPr>
      </w:pPr>
    </w:p>
    <w:p w14:paraId="59766E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февраля 1943 г. ЦАКБ выполнило проект танко-самоходной пушки С-18, который был одоб</w:t>
      </w:r>
      <w:r w:rsidRPr="00D03F3E">
        <w:rPr>
          <w:rFonts w:ascii="Times New Roman" w:hAnsi="Times New Roman"/>
          <w:color w:val="000000" w:themeColor="text1"/>
          <w:sz w:val="16"/>
          <w:szCs w:val="16"/>
        </w:rPr>
        <w:softHyphen/>
        <w:t>рен НКВ и в марте 1943 г. заводу № 9 поручили изготовить 2 опытных образца (ЦАКБ еще не имело собственной про</w:t>
      </w:r>
      <w:r w:rsidRPr="00D03F3E">
        <w:rPr>
          <w:rFonts w:ascii="Times New Roman" w:hAnsi="Times New Roman"/>
          <w:color w:val="000000" w:themeColor="text1"/>
          <w:sz w:val="16"/>
          <w:szCs w:val="16"/>
        </w:rPr>
        <w:softHyphen/>
        <w:t>изводственной базы). Но завод, едва справлявшийся с пла</w:t>
      </w:r>
      <w:r w:rsidRPr="00D03F3E">
        <w:rPr>
          <w:rFonts w:ascii="Times New Roman" w:hAnsi="Times New Roman"/>
          <w:color w:val="000000" w:themeColor="text1"/>
          <w:sz w:val="16"/>
          <w:szCs w:val="16"/>
        </w:rPr>
        <w:softHyphen/>
        <w:t>новым выпуском ЗИС-5, не справился с этим заданием в отведенный срок. А когда первое орудие поступило заказ</w:t>
      </w:r>
      <w:r w:rsidRPr="00D03F3E">
        <w:rPr>
          <w:rFonts w:ascii="Times New Roman" w:hAnsi="Times New Roman"/>
          <w:color w:val="000000" w:themeColor="text1"/>
          <w:sz w:val="16"/>
          <w:szCs w:val="16"/>
        </w:rPr>
        <w:softHyphen/>
        <w:t>чику, выяснилось, что пушка изготовлена с отступлениями от чертежей, выпущенных ЦАКБ. КБ завода № 9 под руко</w:t>
      </w:r>
      <w:r w:rsidRPr="00D03F3E">
        <w:rPr>
          <w:rFonts w:ascii="Times New Roman" w:hAnsi="Times New Roman"/>
          <w:color w:val="000000" w:themeColor="text1"/>
          <w:sz w:val="16"/>
          <w:szCs w:val="16"/>
        </w:rPr>
        <w:softHyphen/>
        <w:t>водством Ф. Петрова оспорило правомерность внесенных изменений, но ЦАКБ в лице В. Грабина настаивало на своем. Дело окончилось традиционной руганью и волокитой. Испытанные пушки отказывались нормально работать, а проектировщики и изготовители вместо устранения недо</w:t>
      </w:r>
      <w:r w:rsidRPr="00D03F3E">
        <w:rPr>
          <w:rFonts w:ascii="Times New Roman" w:hAnsi="Times New Roman"/>
          <w:color w:val="000000" w:themeColor="text1"/>
          <w:sz w:val="16"/>
          <w:szCs w:val="16"/>
        </w:rPr>
        <w:softHyphen/>
        <w:t>статков принялись обильно поливать друг друга грязью. Покуда шла брань вокруг С-18, ЦАКБ, наложив 85-мм ствол на люльку 76-мм танковой пушки ЗИС-5, создало еще один вариант 85-мм универсального танкосамоходного орудия, получившего индекс С-31. Уже в апреле завод № 9 получил ТТТ на изготовление 85-мм орудия в башне танков КВ-1С (с погоном диаметром 1560 мм) и ИС (с погоном 1700 мм). Всего к 16 июня завод № 9 отчитался о сдаче трех орудий С-31. На первом орудии при пробном отстреле вы</w:t>
      </w:r>
      <w:r w:rsidRPr="00D03F3E">
        <w:rPr>
          <w:rFonts w:ascii="Times New Roman" w:hAnsi="Times New Roman"/>
          <w:color w:val="000000" w:themeColor="text1"/>
          <w:sz w:val="16"/>
          <w:szCs w:val="16"/>
        </w:rPr>
        <w:softHyphen/>
        <w:t>шел из строя накатник. Орудие было отправлено на ремонт, накатники же двух других пушек были усилены (11135).</w:t>
      </w:r>
    </w:p>
    <w:p w14:paraId="2F84DE3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4E1C4F" w14:textId="77777777" w:rsidR="008C56B3" w:rsidRPr="00D03F3E" w:rsidRDefault="008C56B3"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февраля 1943 началась сборка первого серийного образца модернизированного бронеавтомобиля, получившего обозначение БА-64Б (15218).</w:t>
      </w:r>
    </w:p>
    <w:p w14:paraId="2AA0AFE2" w14:textId="77777777" w:rsidR="008C56B3" w:rsidRPr="00D03F3E" w:rsidRDefault="008C56B3" w:rsidP="00D03F3E">
      <w:pPr>
        <w:widowControl w:val="0"/>
        <w:spacing w:after="0" w:line="240" w:lineRule="auto"/>
        <w:jc w:val="both"/>
        <w:rPr>
          <w:rFonts w:ascii="Times New Roman" w:hAnsi="Times New Roman"/>
          <w:color w:val="000000" w:themeColor="text1"/>
          <w:sz w:val="16"/>
          <w:szCs w:val="16"/>
        </w:rPr>
      </w:pPr>
    </w:p>
    <w:p w14:paraId="718838E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1FB10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B0A1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февраля 1943 г. начальник штаба 226-й шад 8-й ВА п-к С. Д. Прутков, обобщил опыт использования Ил-2 и подготовивший методические указания по темам: "Строй и боевые порядки штурмовиков в зависимости от цели", "Сбор группы после выполнения задачи", "Состав групп штурмовиков", "Наивыгоднейший боевой порядок штурмовиков", "Тактика повторных заходов", "Маневр при подходе к цели, при штурмовке и в воздушном бою", "Метод обороны экипажей Ил-2 с задней кабиной" (8687).</w:t>
      </w:r>
    </w:p>
    <w:p w14:paraId="7E3159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3C1E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февраля 1943 г. произошли случаи, когда из числа вылетевших на боевое задание 8 Пе-2 из 15-й воздушной армии и 14 Пе-2 из 1-й воздушной армии домой не вернулся ни один экипаж. Настоятельно встал вопрос срочного обучения стрелков и штурманов ведению активной групповой обороны против вражеских истребителей (3542).</w:t>
      </w:r>
    </w:p>
    <w:p w14:paraId="0B67A5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55FBC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57A994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B2F9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проходили гос. испытания Ил-2 N 1122 с АМ-38Ф. Летал Демидов (809,12).</w:t>
      </w:r>
    </w:p>
    <w:p w14:paraId="300A0A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3128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w:t>
      </w:r>
      <w:r w:rsidRPr="00D03F3E">
        <w:rPr>
          <w:rFonts w:ascii="Times New Roman" w:hAnsi="Times New Roman"/>
          <w:color w:val="000000" w:themeColor="text1"/>
          <w:sz w:val="16"/>
          <w:szCs w:val="16"/>
        </w:rPr>
        <w:softHyphen/>
        <w:t>рале 43-го в НИИ ВВС КА закончились контрольные испытания серийного двухместного Ил-2 (зав. № 301122) с АМ-38ф производства завода № 30, которые проходили с января 1943. Они показали, что при полетном весе 6060 кг максимальная скорость са</w:t>
      </w:r>
      <w:r w:rsidRPr="00D03F3E">
        <w:rPr>
          <w:rFonts w:ascii="Times New Roman" w:hAnsi="Times New Roman"/>
          <w:color w:val="000000" w:themeColor="text1"/>
          <w:sz w:val="16"/>
          <w:szCs w:val="16"/>
        </w:rPr>
        <w:softHyphen/>
        <w:t>молета у земли равнялась 386 км/ч, на высоте 1220 м - 404 км/ч. Высоту 1000 м штурмовик набирал за 2,2 минуты. Длина разбега с 400 кг бомб составила 335 м.</w:t>
      </w:r>
    </w:p>
    <w:p w14:paraId="54FB3A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Стрелково-пушечное и ракетное во</w:t>
      </w:r>
      <w:r w:rsidRPr="00D03F3E">
        <w:rPr>
          <w:rFonts w:ascii="Times New Roman" w:hAnsi="Times New Roman"/>
          <w:color w:val="000000" w:themeColor="text1"/>
          <w:sz w:val="16"/>
          <w:szCs w:val="16"/>
        </w:rPr>
        <w:softHyphen/>
        <w:t>оружение самолета состояло из двух пушек ШВАК (боезапас 420 снарядов), двух пулеметов ШКАС (боекомплект 1500 патронов), четырех РО-82 и одного обо</w:t>
      </w:r>
      <w:r w:rsidRPr="00D03F3E">
        <w:rPr>
          <w:rFonts w:ascii="Times New Roman" w:hAnsi="Times New Roman"/>
          <w:color w:val="000000" w:themeColor="text1"/>
          <w:sz w:val="16"/>
          <w:szCs w:val="16"/>
        </w:rPr>
        <w:softHyphen/>
        <w:t>ронительного пулемета УБТ (150 патро</w:t>
      </w:r>
      <w:r w:rsidRPr="00D03F3E">
        <w:rPr>
          <w:rFonts w:ascii="Times New Roman" w:hAnsi="Times New Roman"/>
          <w:color w:val="000000" w:themeColor="text1"/>
          <w:sz w:val="16"/>
          <w:szCs w:val="16"/>
        </w:rPr>
        <w:softHyphen/>
        <w:t>нов). Бомбовое вооружение включало 400 кг бомб нормальной нагрузки и 600 кг в перегрузку.</w:t>
      </w:r>
    </w:p>
    <w:p w14:paraId="44FA62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Летчики отмечали, что по технике пи</w:t>
      </w:r>
      <w:r w:rsidRPr="00D03F3E">
        <w:rPr>
          <w:rFonts w:ascii="Times New Roman" w:hAnsi="Times New Roman"/>
          <w:color w:val="000000" w:themeColor="text1"/>
          <w:sz w:val="16"/>
          <w:szCs w:val="16"/>
        </w:rPr>
        <w:softHyphen/>
        <w:t>лотирования двухместный Ил-2 с мото</w:t>
      </w:r>
      <w:r w:rsidRPr="00D03F3E">
        <w:rPr>
          <w:rFonts w:ascii="Times New Roman" w:hAnsi="Times New Roman"/>
          <w:color w:val="000000" w:themeColor="text1"/>
          <w:sz w:val="16"/>
          <w:szCs w:val="16"/>
        </w:rPr>
        <w:softHyphen/>
        <w:t>ром АМ-38ф практически не отличает</w:t>
      </w:r>
      <w:r w:rsidRPr="00D03F3E">
        <w:rPr>
          <w:rFonts w:ascii="Times New Roman" w:hAnsi="Times New Roman"/>
          <w:color w:val="000000" w:themeColor="text1"/>
          <w:sz w:val="16"/>
          <w:szCs w:val="16"/>
        </w:rPr>
        <w:softHyphen/>
        <w:t>ся от самолета с нефорсированным мо</w:t>
      </w:r>
      <w:r w:rsidRPr="00D03F3E">
        <w:rPr>
          <w:rFonts w:ascii="Times New Roman" w:hAnsi="Times New Roman"/>
          <w:color w:val="000000" w:themeColor="text1"/>
          <w:sz w:val="16"/>
          <w:szCs w:val="16"/>
        </w:rPr>
        <w:softHyphen/>
        <w:t>тором (6467).</w:t>
      </w:r>
    </w:p>
    <w:p w14:paraId="548F0C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E6C8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А.А.М. пригласил на создаваемый завод 300 С.К.Туманского, который с 1941 работал начальником моторного отделения ЛИИ. Он принял участие в работах над АМ-39 и АМ-39НФ2 (1152,67).</w:t>
      </w:r>
    </w:p>
    <w:p w14:paraId="46B80C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C99472" w14:textId="77777777" w:rsidR="0009485E" w:rsidRPr="00D03F3E" w:rsidRDefault="0009485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года С.К. Туманский принял предложение А.А. Микулина перейти к нему на должность заместителя главного конструктора (позже он сменил последнего на посту главного конструктора завода № 300 в Москве) (18619).</w:t>
      </w:r>
    </w:p>
    <w:p w14:paraId="59509AFA" w14:textId="77777777" w:rsidR="0009485E" w:rsidRPr="00D03F3E" w:rsidRDefault="0009485E" w:rsidP="00D03F3E">
      <w:pPr>
        <w:spacing w:after="0" w:line="240" w:lineRule="auto"/>
        <w:jc w:val="both"/>
        <w:rPr>
          <w:rFonts w:ascii="Times New Roman" w:hAnsi="Times New Roman"/>
          <w:color w:val="000000" w:themeColor="text1"/>
          <w:sz w:val="16"/>
          <w:szCs w:val="16"/>
        </w:rPr>
      </w:pPr>
    </w:p>
    <w:p w14:paraId="045640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А.И.Шахурин напра</w:t>
      </w:r>
      <w:r w:rsidRPr="00D03F3E">
        <w:rPr>
          <w:rFonts w:ascii="Times New Roman" w:hAnsi="Times New Roman"/>
          <w:color w:val="000000" w:themeColor="text1"/>
          <w:sz w:val="16"/>
          <w:szCs w:val="16"/>
        </w:rPr>
        <w:softHyphen/>
        <w:t>вил в Комитет по Сталинским пре</w:t>
      </w:r>
      <w:r w:rsidRPr="00D03F3E">
        <w:rPr>
          <w:rFonts w:ascii="Times New Roman" w:hAnsi="Times New Roman"/>
          <w:color w:val="000000" w:themeColor="text1"/>
          <w:sz w:val="16"/>
          <w:szCs w:val="16"/>
        </w:rPr>
        <w:softHyphen/>
        <w:t>миям материалы по девяти канди</w:t>
      </w:r>
      <w:r w:rsidRPr="00D03F3E">
        <w:rPr>
          <w:rFonts w:ascii="Times New Roman" w:hAnsi="Times New Roman"/>
          <w:color w:val="000000" w:themeColor="text1"/>
          <w:sz w:val="16"/>
          <w:szCs w:val="16"/>
        </w:rPr>
        <w:softHyphen/>
        <w:t>датам, выдвигаемым НКАП на со</w:t>
      </w:r>
      <w:r w:rsidRPr="00D03F3E">
        <w:rPr>
          <w:rFonts w:ascii="Times New Roman" w:hAnsi="Times New Roman"/>
          <w:color w:val="000000" w:themeColor="text1"/>
          <w:sz w:val="16"/>
          <w:szCs w:val="16"/>
        </w:rPr>
        <w:softHyphen/>
        <w:t>искание премии I степени. Среди соискателей значился и П.О.Сухой. В этом же году за создание штур</w:t>
      </w:r>
      <w:r w:rsidRPr="00D03F3E">
        <w:rPr>
          <w:rFonts w:ascii="Times New Roman" w:hAnsi="Times New Roman"/>
          <w:color w:val="000000" w:themeColor="text1"/>
          <w:sz w:val="16"/>
          <w:szCs w:val="16"/>
        </w:rPr>
        <w:softHyphen/>
        <w:t>мовика Су-6 он был удостоен Ста</w:t>
      </w:r>
      <w:r w:rsidRPr="00D03F3E">
        <w:rPr>
          <w:rFonts w:ascii="Times New Roman" w:hAnsi="Times New Roman"/>
          <w:color w:val="000000" w:themeColor="text1"/>
          <w:sz w:val="16"/>
          <w:szCs w:val="16"/>
        </w:rPr>
        <w:softHyphen/>
        <w:t>линской премии I степени (11845).</w:t>
      </w:r>
    </w:p>
    <w:p w14:paraId="7BE943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C902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был доклад начальника цеха № 18 завода № 24 им. Фрунзе (г. Куйбышев) Мороза (описывающий положение дел на 1942 г.) г. на имя помощника директора за</w:t>
      </w:r>
      <w:r w:rsidRPr="00D03F3E">
        <w:rPr>
          <w:rFonts w:ascii="Times New Roman" w:hAnsi="Times New Roman"/>
          <w:color w:val="000000" w:themeColor="text1"/>
          <w:sz w:val="16"/>
          <w:szCs w:val="16"/>
        </w:rPr>
        <w:softHyphen/>
        <w:t>вода П.К. Шокина, в котором, между прочим, говорится: «Са</w:t>
      </w:r>
      <w:r w:rsidRPr="00D03F3E">
        <w:rPr>
          <w:rFonts w:ascii="Times New Roman" w:hAnsi="Times New Roman"/>
          <w:color w:val="000000" w:themeColor="text1"/>
          <w:sz w:val="16"/>
          <w:szCs w:val="16"/>
        </w:rPr>
        <w:softHyphen/>
        <w:t>мовольное оставление работы и невыходы на работу рабочи</w:t>
      </w:r>
      <w:r w:rsidRPr="00D03F3E">
        <w:rPr>
          <w:rFonts w:ascii="Times New Roman" w:hAnsi="Times New Roman"/>
          <w:color w:val="000000" w:themeColor="text1"/>
          <w:sz w:val="16"/>
          <w:szCs w:val="16"/>
        </w:rPr>
        <w:softHyphen/>
        <w:t>ми цеха № 18 вызываются следующими обстоятельствами:</w:t>
      </w:r>
    </w:p>
    <w:p w14:paraId="40653A36" w14:textId="77777777" w:rsidR="00DB6725" w:rsidRPr="00D03F3E" w:rsidRDefault="00DB6725" w:rsidP="00D03F3E">
      <w:pPr>
        <w:widowControl w:val="0"/>
        <w:tabs>
          <w:tab w:val="left" w:pos="548"/>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Питание рабочих, в особенности одиночек, поставлено очень плохо. Рабочие-одиночки, как правило, приходят на ра</w:t>
      </w:r>
      <w:r w:rsidRPr="00D03F3E">
        <w:rPr>
          <w:rFonts w:ascii="Times New Roman" w:hAnsi="Times New Roman"/>
          <w:color w:val="000000" w:themeColor="text1"/>
          <w:sz w:val="16"/>
          <w:szCs w:val="16"/>
        </w:rPr>
        <w:softHyphen/>
        <w:t>боту без завтрака и, находясь в общежитии, не всегда имеют возможность получить хотя бы кипяток. Калорийность обе</w:t>
      </w:r>
      <w:r w:rsidRPr="00D03F3E">
        <w:rPr>
          <w:rFonts w:ascii="Times New Roman" w:hAnsi="Times New Roman"/>
          <w:color w:val="000000" w:themeColor="text1"/>
          <w:sz w:val="16"/>
          <w:szCs w:val="16"/>
        </w:rPr>
        <w:softHyphen/>
        <w:t>дов, отпускаемых в центральной раздаточной, низкая, меню однообразное, норма продуктов, отпускаемых на обед, не удовлетворяет потребность рабочих. По причине системати</w:t>
      </w:r>
      <w:r w:rsidRPr="00D03F3E">
        <w:rPr>
          <w:rFonts w:ascii="Times New Roman" w:hAnsi="Times New Roman"/>
          <w:color w:val="000000" w:themeColor="text1"/>
          <w:sz w:val="16"/>
          <w:szCs w:val="16"/>
        </w:rPr>
        <w:softHyphen/>
        <w:t>ческого недоедания в цехе имеется ряд случаев, когда луч</w:t>
      </w:r>
      <w:r w:rsidRPr="00D03F3E">
        <w:rPr>
          <w:rFonts w:ascii="Times New Roman" w:hAnsi="Times New Roman"/>
          <w:color w:val="000000" w:themeColor="text1"/>
          <w:sz w:val="16"/>
          <w:szCs w:val="16"/>
        </w:rPr>
        <w:softHyphen/>
        <w:t>шие кадровые рабочие периодически болеют авитаминозом (Скачков, Афиногенов, Спасов, Чернецов и др.). Отоварива</w:t>
      </w:r>
      <w:r w:rsidRPr="00D03F3E">
        <w:rPr>
          <w:rFonts w:ascii="Times New Roman" w:hAnsi="Times New Roman"/>
          <w:color w:val="000000" w:themeColor="text1"/>
          <w:sz w:val="16"/>
          <w:szCs w:val="16"/>
        </w:rPr>
        <w:softHyphen/>
        <w:t>ние продуктовых карточек в магазинах ОРСа производится несвоевременно, и зачаЪхую часть продуктов по карточкам остается неотоваренной.</w:t>
      </w:r>
    </w:p>
    <w:p w14:paraId="0676F67F" w14:textId="77777777" w:rsidR="00DB6725" w:rsidRPr="00D03F3E" w:rsidRDefault="00DB6725" w:rsidP="00D03F3E">
      <w:pPr>
        <w:widowControl w:val="0"/>
        <w:tabs>
          <w:tab w:val="left" w:pos="524"/>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Промтовары, как правило, выдаются в магазинах только по ордерам. Промтоварные карточки у большинства рабочих совершенно не отоварены, и рабочие не имеют возможности купить себе одежду, и поэтому многие рабочие ходят на рабо</w:t>
      </w:r>
      <w:r w:rsidRPr="00D03F3E">
        <w:rPr>
          <w:rFonts w:ascii="Times New Roman" w:hAnsi="Times New Roman"/>
          <w:color w:val="000000" w:themeColor="text1"/>
          <w:sz w:val="16"/>
          <w:szCs w:val="16"/>
        </w:rPr>
        <w:softHyphen/>
        <w:t>ту совершенно оборванные и разутые, что вызывает невыхо</w:t>
      </w:r>
      <w:r w:rsidRPr="00D03F3E">
        <w:rPr>
          <w:rFonts w:ascii="Times New Roman" w:hAnsi="Times New Roman"/>
          <w:color w:val="000000" w:themeColor="text1"/>
          <w:sz w:val="16"/>
          <w:szCs w:val="16"/>
        </w:rPr>
        <w:softHyphen/>
        <w:t>ды на работу. На протяжении 3—5 месяцев в магазинах ОРСа совершенно отсутствует хозяйственное мыло, и рабочие не ходят в баню, и как результат — вшивость и кожные заболе</w:t>
      </w:r>
      <w:r w:rsidRPr="00D03F3E">
        <w:rPr>
          <w:rFonts w:ascii="Times New Roman" w:hAnsi="Times New Roman"/>
          <w:color w:val="000000" w:themeColor="text1"/>
          <w:sz w:val="16"/>
          <w:szCs w:val="16"/>
        </w:rPr>
        <w:softHyphen/>
        <w:t>вания.</w:t>
      </w:r>
    </w:p>
    <w:p w14:paraId="1CDB278D" w14:textId="77777777" w:rsidR="00DB6725" w:rsidRPr="00D03F3E" w:rsidRDefault="00DB6725" w:rsidP="00D03F3E">
      <w:pPr>
        <w:widowControl w:val="0"/>
        <w:tabs>
          <w:tab w:val="left" w:pos="582"/>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Вновь прибываемых рабочих размещают в исключи</w:t>
      </w:r>
      <w:r w:rsidRPr="00D03F3E">
        <w:rPr>
          <w:rFonts w:ascii="Times New Roman" w:hAnsi="Times New Roman"/>
          <w:color w:val="000000" w:themeColor="text1"/>
          <w:sz w:val="16"/>
          <w:szCs w:val="16"/>
        </w:rPr>
        <w:softHyphen/>
        <w:t>тельно стесненных условиях вдали от завода (5—7 километров). Зачастую целыми месяцами спят на голых нарах, без матрацев, бараки плохо отапливаются и не всегда освещают</w:t>
      </w:r>
      <w:r w:rsidRPr="00D03F3E">
        <w:rPr>
          <w:rFonts w:ascii="Times New Roman" w:hAnsi="Times New Roman"/>
          <w:color w:val="000000" w:themeColor="text1"/>
          <w:sz w:val="16"/>
          <w:szCs w:val="16"/>
        </w:rPr>
        <w:softHyphen/>
        <w:t>ся. Кроме указанных причин, учитывая недостаток рабочей силы в цехе, рабочие цеха совершенно не имеют выходных дней, и это вызывает переутомление рабочих» (</w:t>
      </w:r>
      <w:r w:rsidRPr="00D03F3E">
        <w:rPr>
          <w:rFonts w:ascii="Times New Roman" w:hAnsi="Times New Roman"/>
          <w:iCs/>
          <w:color w:val="000000" w:themeColor="text1"/>
          <w:sz w:val="16"/>
          <w:szCs w:val="16"/>
        </w:rPr>
        <w:t>Парамонов В.</w:t>
      </w:r>
      <w:r w:rsidRPr="00D03F3E">
        <w:rPr>
          <w:rFonts w:ascii="Times New Roman" w:hAnsi="Times New Roman"/>
          <w:color w:val="000000" w:themeColor="text1"/>
          <w:sz w:val="16"/>
          <w:szCs w:val="16"/>
        </w:rPr>
        <w:t xml:space="preserve"> Россия в 1941—194</w:t>
      </w:r>
      <w:r w:rsidRPr="00D03F3E">
        <w:rPr>
          <w:rFonts w:ascii="Times New Roman" w:hAnsi="Times New Roman"/>
          <w:color w:val="000000" w:themeColor="text1"/>
          <w:sz w:val="16"/>
          <w:szCs w:val="16"/>
          <w:lang w:val="en-US"/>
        </w:rPr>
        <w:t>S</w:t>
      </w:r>
      <w:r w:rsidRPr="00D03F3E">
        <w:rPr>
          <w:rFonts w:ascii="Times New Roman" w:hAnsi="Times New Roman"/>
          <w:color w:val="000000" w:themeColor="text1"/>
          <w:sz w:val="16"/>
          <w:szCs w:val="16"/>
        </w:rPr>
        <w:t xml:space="preserve"> гг.: проблемы индустриального раз</w:t>
      </w:r>
      <w:r w:rsidRPr="00D03F3E">
        <w:rPr>
          <w:rFonts w:ascii="Times New Roman" w:hAnsi="Times New Roman"/>
          <w:color w:val="000000" w:themeColor="text1"/>
          <w:sz w:val="16"/>
          <w:szCs w:val="16"/>
        </w:rPr>
        <w:softHyphen/>
        <w:t>вили. Самара, 1999. С. 331).</w:t>
      </w:r>
    </w:p>
    <w:p w14:paraId="1E8915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Аналогичной была ситуация и на заводе № 18 (Безымянка). С начала 1942 г. на предприятие поступило 1900 выпуск</w:t>
      </w:r>
      <w:r w:rsidRPr="00D03F3E">
        <w:rPr>
          <w:rFonts w:ascii="Times New Roman" w:hAnsi="Times New Roman"/>
          <w:color w:val="000000" w:themeColor="text1"/>
          <w:sz w:val="16"/>
          <w:szCs w:val="16"/>
        </w:rPr>
        <w:softHyphen/>
        <w:t>ников школ ФЗО и 300 досрочных выпускников ремесленных училищ. Молодые ребята, которым едва успело исполнить</w:t>
      </w:r>
      <w:r w:rsidRPr="00D03F3E">
        <w:rPr>
          <w:rFonts w:ascii="Times New Roman" w:hAnsi="Times New Roman"/>
          <w:color w:val="000000" w:themeColor="text1"/>
          <w:sz w:val="16"/>
          <w:szCs w:val="16"/>
        </w:rPr>
        <w:softHyphen/>
        <w:t>ся по 16 лет, внезапно оказались не только оторванными от дома в другом городе, но и — в запредельно тяжёлых быто</w:t>
      </w:r>
      <w:r w:rsidRPr="00D03F3E">
        <w:rPr>
          <w:rFonts w:ascii="Times New Roman" w:hAnsi="Times New Roman"/>
          <w:color w:val="000000" w:themeColor="text1"/>
          <w:sz w:val="16"/>
          <w:szCs w:val="16"/>
        </w:rPr>
        <w:softHyphen/>
        <w:t>вых условиях. Для жилья им были предоставлены грязные, неотапливаемые бараки без постельных принадлежностей. При выпуске молодым рабочим было выдано по 1 паре бе</w:t>
      </w:r>
      <w:r w:rsidRPr="00D03F3E">
        <w:rPr>
          <w:rFonts w:ascii="Times New Roman" w:hAnsi="Times New Roman"/>
          <w:color w:val="000000" w:themeColor="text1"/>
          <w:sz w:val="16"/>
          <w:szCs w:val="16"/>
        </w:rPr>
        <w:softHyphen/>
        <w:t>лья, одежды и обуви. Так как в ОРСе товарные карточки не отоваривались по причине отсутствия одежды, по мере из</w:t>
      </w:r>
      <w:r w:rsidRPr="00D03F3E">
        <w:rPr>
          <w:rFonts w:ascii="Times New Roman" w:hAnsi="Times New Roman"/>
          <w:color w:val="000000" w:themeColor="text1"/>
          <w:sz w:val="16"/>
          <w:szCs w:val="16"/>
        </w:rPr>
        <w:softHyphen/>
        <w:t>нашивания этих единственных пар, молодые рабочие стали стремительно приобретать вид оборванцев. Питание на заво</w:t>
      </w:r>
      <w:r w:rsidRPr="00D03F3E">
        <w:rPr>
          <w:rFonts w:ascii="Times New Roman" w:hAnsi="Times New Roman"/>
          <w:color w:val="000000" w:themeColor="text1"/>
          <w:sz w:val="16"/>
          <w:szCs w:val="16"/>
        </w:rPr>
        <w:softHyphen/>
        <w:t>де было организовано ниже всякой критики. Вопрос состо</w:t>
      </w:r>
      <w:r w:rsidRPr="00D03F3E">
        <w:rPr>
          <w:rFonts w:ascii="Times New Roman" w:hAnsi="Times New Roman"/>
          <w:color w:val="000000" w:themeColor="text1"/>
          <w:sz w:val="16"/>
          <w:szCs w:val="16"/>
        </w:rPr>
        <w:softHyphen/>
        <w:t xml:space="preserve">ял даже не в общем антисанитарном состоянии столовой, а в физическом отсутствии ложек и тарелок. Горячее питание предоставлялось раз в сутки в </w:t>
      </w:r>
      <w:r w:rsidRPr="00D03F3E">
        <w:rPr>
          <w:rFonts w:ascii="Times New Roman" w:hAnsi="Times New Roman"/>
          <w:color w:val="000000" w:themeColor="text1"/>
          <w:sz w:val="16"/>
          <w:szCs w:val="16"/>
        </w:rPr>
        <w:lastRenderedPageBreak/>
        <w:t>посуду посетителя — то есть молодые рабочие были вынуждены приносить с собой в роли ёмкостей для супа разнообразные жестяные банки, черепки, а те, кто не смог раздобыть чего-либо в этом роде — обхо</w:t>
      </w:r>
      <w:r w:rsidRPr="00D03F3E">
        <w:rPr>
          <w:rFonts w:ascii="Times New Roman" w:hAnsi="Times New Roman"/>
          <w:color w:val="000000" w:themeColor="text1"/>
          <w:sz w:val="16"/>
          <w:szCs w:val="16"/>
        </w:rPr>
        <w:softHyphen/>
        <w:t>дились собственными фуражками. В результате завод стол</w:t>
      </w:r>
      <w:r w:rsidRPr="00D03F3E">
        <w:rPr>
          <w:rFonts w:ascii="Times New Roman" w:hAnsi="Times New Roman"/>
          <w:color w:val="000000" w:themeColor="text1"/>
          <w:sz w:val="16"/>
          <w:szCs w:val="16"/>
        </w:rPr>
        <w:softHyphen/>
        <w:t>кнулся с массовыми побегами молодых рабочих к родителям, причём родители, уверенные в своей правоте, начали бомбар</w:t>
      </w:r>
      <w:r w:rsidRPr="00D03F3E">
        <w:rPr>
          <w:rFonts w:ascii="Times New Roman" w:hAnsi="Times New Roman"/>
          <w:color w:val="000000" w:themeColor="text1"/>
          <w:sz w:val="16"/>
          <w:szCs w:val="16"/>
        </w:rPr>
        <w:softHyphen/>
        <w:t xml:space="preserve">дировать обком партии жалобами на нечеловеческие условия работы на заводе (РГАЭ. Ф. 8044. </w:t>
      </w:r>
      <w:r w:rsidRPr="00D03F3E">
        <w:rPr>
          <w:rFonts w:ascii="Times New Roman" w:hAnsi="Times New Roman"/>
          <w:color w:val="000000" w:themeColor="text1"/>
          <w:sz w:val="16"/>
          <w:szCs w:val="16"/>
          <w:lang w:val="en-US"/>
        </w:rPr>
        <w:t>On</w:t>
      </w:r>
      <w:r w:rsidRPr="00D03F3E">
        <w:rPr>
          <w:rFonts w:ascii="Times New Roman" w:hAnsi="Times New Roman"/>
          <w:color w:val="000000" w:themeColor="text1"/>
          <w:sz w:val="16"/>
          <w:szCs w:val="16"/>
        </w:rPr>
        <w:t>. 1. Д. 4468. Л. 41). С учётом того, что жалобщики сами были людьми рабочими и тем не менее считали ситуацию на заво</w:t>
      </w:r>
      <w:r w:rsidRPr="00D03F3E">
        <w:rPr>
          <w:rFonts w:ascii="Times New Roman" w:hAnsi="Times New Roman"/>
          <w:color w:val="000000" w:themeColor="text1"/>
          <w:sz w:val="16"/>
          <w:szCs w:val="16"/>
        </w:rPr>
        <w:softHyphen/>
        <w:t>де № 18 из ряда вон выходящей, видимо, это действительно был нехарактерно низкий уровень бытовых условий даже для военного времени (12011).</w:t>
      </w:r>
    </w:p>
    <w:p w14:paraId="0C1081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50A9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П.М.Стефановский облетал Пегас (2921,258).</w:t>
      </w:r>
    </w:p>
    <w:p w14:paraId="617EDD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049406" w14:textId="77777777" w:rsidR="00394721" w:rsidRPr="00D03F3E" w:rsidRDefault="0039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года Сухой предъявил в НИИ ВВС второй проект истребительного варианта Су-6 с двумя турбокомпрессорами ТК-3. С самолета снималось все вооружение, кроме пушек, и большая часть брони. С мотором М-71ф максимальная скорость Су-6, по расчетам, составляла 602 км/ч – на высоте 5000 м и 535 км/ч – у земли. Вертикальная скорость на 1000 м – не менее 13 м/с. При установке двух турбокомпрессоров ТК-3 максимальная скорость достигала 634 км/ч на высоте 8300 м, время подъема на 8000 м – 10,3 мин. Скоростная дальность полета – 1240 км (17490).</w:t>
      </w:r>
    </w:p>
    <w:p w14:paraId="59AF952D" w14:textId="77777777" w:rsidR="00394721" w:rsidRPr="00D03F3E" w:rsidRDefault="00394721" w:rsidP="00D03F3E">
      <w:pPr>
        <w:spacing w:after="0" w:line="240" w:lineRule="auto"/>
        <w:jc w:val="both"/>
        <w:rPr>
          <w:rFonts w:ascii="Times New Roman" w:eastAsia="Times New Roman" w:hAnsi="Times New Roman"/>
          <w:color w:val="000000" w:themeColor="text1"/>
          <w:sz w:val="16"/>
          <w:szCs w:val="16"/>
          <w:lang w:eastAsia="ru-RU"/>
        </w:rPr>
      </w:pPr>
    </w:p>
    <w:p w14:paraId="3FFAC7D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для Ил-4 было спроектировано так называемое «крыло со стрелкой». Идея была той же, что и ранее — немного повернуть консоли назад. Но сделали это проще, чем в 1942 г. Рядом с обычной нервюрой, от которой начиналась консоль, подуглом 6° поставили новую, дополни</w:t>
      </w:r>
      <w:r w:rsidRPr="00D03F3E">
        <w:rPr>
          <w:rFonts w:ascii="Times New Roman" w:hAnsi="Times New Roman"/>
          <w:color w:val="000000" w:themeColor="text1"/>
          <w:sz w:val="16"/>
          <w:szCs w:val="16"/>
        </w:rPr>
        <w:softHyphen/>
        <w:t>тельную, которая и стала стыковой, не</w:t>
      </w:r>
      <w:r w:rsidRPr="00D03F3E">
        <w:rPr>
          <w:rFonts w:ascii="Times New Roman" w:hAnsi="Times New Roman"/>
          <w:color w:val="000000" w:themeColor="text1"/>
          <w:sz w:val="16"/>
          <w:szCs w:val="16"/>
        </w:rPr>
        <w:softHyphen/>
        <w:t>много удлинили лонжероны и накрыли все это обшивкой. Попутно изменили конструкцию стыковочных узлов. Это мероприятие повысило продольную ус</w:t>
      </w:r>
      <w:r w:rsidRPr="00D03F3E">
        <w:rPr>
          <w:rFonts w:ascii="Times New Roman" w:hAnsi="Times New Roman"/>
          <w:color w:val="000000" w:themeColor="text1"/>
          <w:sz w:val="16"/>
          <w:szCs w:val="16"/>
        </w:rPr>
        <w:softHyphen/>
        <w:t>тойчивость, несколько улучшив пило</w:t>
      </w:r>
      <w:r w:rsidRPr="00D03F3E">
        <w:rPr>
          <w:rFonts w:ascii="Times New Roman" w:hAnsi="Times New Roman"/>
          <w:color w:val="000000" w:themeColor="text1"/>
          <w:sz w:val="16"/>
          <w:szCs w:val="16"/>
        </w:rPr>
        <w:softHyphen/>
        <w:t>тажные качества Ил-4 (10734,77).</w:t>
      </w:r>
    </w:p>
    <w:p w14:paraId="12D29E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21762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ещё одним средством усиления обороны «пешки» стали авиационные гранаты АГ-2, введённые со 179-й серии. Коробку ДАГ-10 в фюзеляже заряжали деся</w:t>
      </w:r>
      <w:r w:rsidRPr="00D03F3E">
        <w:rPr>
          <w:rFonts w:ascii="Times New Roman" w:hAnsi="Times New Roman"/>
          <w:color w:val="000000" w:themeColor="text1"/>
          <w:sz w:val="16"/>
          <w:szCs w:val="16"/>
        </w:rPr>
        <w:softHyphen/>
        <w:t>тью такими гранатами массой по 1,8 кг. По команде штурмана или стрелка их сери</w:t>
      </w:r>
      <w:r w:rsidRPr="00D03F3E">
        <w:rPr>
          <w:rFonts w:ascii="Times New Roman" w:hAnsi="Times New Roman"/>
          <w:color w:val="000000" w:themeColor="text1"/>
          <w:sz w:val="16"/>
          <w:szCs w:val="16"/>
        </w:rPr>
        <w:softHyphen/>
        <w:t>ей сбрасывали через створку внизу фюзеля</w:t>
      </w:r>
      <w:r w:rsidRPr="00D03F3E">
        <w:rPr>
          <w:rFonts w:ascii="Times New Roman" w:hAnsi="Times New Roman"/>
          <w:color w:val="000000" w:themeColor="text1"/>
          <w:sz w:val="16"/>
          <w:szCs w:val="16"/>
        </w:rPr>
        <w:softHyphen/>
        <w:t>жа, что в горизонтальном полёте защищало самолёт сзади-снизу. На втором году войны немцы стали атаковать на горке после пики</w:t>
      </w:r>
      <w:r w:rsidRPr="00D03F3E">
        <w:rPr>
          <w:rFonts w:ascii="Times New Roman" w:hAnsi="Times New Roman"/>
          <w:color w:val="000000" w:themeColor="text1"/>
          <w:sz w:val="16"/>
          <w:szCs w:val="16"/>
        </w:rPr>
        <w:softHyphen/>
        <w:t>рования, что позволяло проскакивать зону обстрела. «Нырнув под хвост» бомбардиров</w:t>
      </w:r>
      <w:r w:rsidRPr="00D03F3E">
        <w:rPr>
          <w:rFonts w:ascii="Times New Roman" w:hAnsi="Times New Roman"/>
          <w:color w:val="000000" w:themeColor="text1"/>
          <w:sz w:val="16"/>
          <w:szCs w:val="16"/>
        </w:rPr>
        <w:softHyphen/>
        <w:t>щика, они на кабрировании расстреливали цель снизу, тут же отворачивая в сторону.</w:t>
      </w:r>
    </w:p>
    <w:p w14:paraId="5FBDC1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АГ-2 в ряде случаев противодействовали этому приёму - их близкие разрывы не сули</w:t>
      </w:r>
      <w:r w:rsidRPr="00D03F3E">
        <w:rPr>
          <w:rFonts w:ascii="Times New Roman" w:hAnsi="Times New Roman"/>
          <w:color w:val="000000" w:themeColor="text1"/>
          <w:sz w:val="16"/>
          <w:szCs w:val="16"/>
        </w:rPr>
        <w:softHyphen/>
        <w:t>ли немцу ничего хорошего. Разработанное в ГСКБ-47 для истребительной авиации ещё в 1938 г., детище А.Ф.Турахина долго «проби</w:t>
      </w:r>
      <w:r w:rsidRPr="00D03F3E">
        <w:rPr>
          <w:rFonts w:ascii="Times New Roman" w:hAnsi="Times New Roman"/>
          <w:color w:val="000000" w:themeColor="text1"/>
          <w:sz w:val="16"/>
          <w:szCs w:val="16"/>
        </w:rPr>
        <w:softHyphen/>
        <w:t>валось в жизнь», хотя нужда в нём остро ощущалась у штурмовиков, одномоторных бомбардировщиков Су-2 и тяжёлых истреби</w:t>
      </w:r>
      <w:r w:rsidRPr="00D03F3E">
        <w:rPr>
          <w:rFonts w:ascii="Times New Roman" w:hAnsi="Times New Roman"/>
          <w:color w:val="000000" w:themeColor="text1"/>
          <w:sz w:val="16"/>
          <w:szCs w:val="16"/>
        </w:rPr>
        <w:softHyphen/>
        <w:t>телей Пе-3, слабо или практически незащи</w:t>
      </w:r>
      <w:r w:rsidRPr="00D03F3E">
        <w:rPr>
          <w:rFonts w:ascii="Times New Roman" w:hAnsi="Times New Roman"/>
          <w:color w:val="000000" w:themeColor="text1"/>
          <w:sz w:val="16"/>
          <w:szCs w:val="16"/>
        </w:rPr>
        <w:softHyphen/>
        <w:t>щённых от атак сзади-снизу. Но только во второй половине войны промышленность стала монтировать держатели гранат прак</w:t>
      </w:r>
      <w:r w:rsidRPr="00D03F3E">
        <w:rPr>
          <w:rFonts w:ascii="Times New Roman" w:hAnsi="Times New Roman"/>
          <w:color w:val="000000" w:themeColor="text1"/>
          <w:sz w:val="16"/>
          <w:szCs w:val="16"/>
        </w:rPr>
        <w:softHyphen/>
        <w:t>тически на всех двухмоторных бомбарди</w:t>
      </w:r>
      <w:r w:rsidRPr="00D03F3E">
        <w:rPr>
          <w:rFonts w:ascii="Times New Roman" w:hAnsi="Times New Roman"/>
          <w:color w:val="000000" w:themeColor="text1"/>
          <w:sz w:val="16"/>
          <w:szCs w:val="16"/>
        </w:rPr>
        <w:softHyphen/>
        <w:t>ровщиках ВВС КА. Кое-где ДАГ своими сила</w:t>
      </w:r>
      <w:r w:rsidRPr="00D03F3E">
        <w:rPr>
          <w:rFonts w:ascii="Times New Roman" w:hAnsi="Times New Roman"/>
          <w:color w:val="000000" w:themeColor="text1"/>
          <w:sz w:val="16"/>
          <w:szCs w:val="16"/>
        </w:rPr>
        <w:softHyphen/>
        <w:t>ми устанавливали на «пешки», начиная с де</w:t>
      </w:r>
      <w:r w:rsidRPr="00D03F3E">
        <w:rPr>
          <w:rFonts w:ascii="Times New Roman" w:hAnsi="Times New Roman"/>
          <w:color w:val="000000" w:themeColor="text1"/>
          <w:sz w:val="16"/>
          <w:szCs w:val="16"/>
        </w:rPr>
        <w:softHyphen/>
        <w:t>кабря 1941 г. Например, в 9-м отдельном авиаполку «лидеров». Своевременное при</w:t>
      </w:r>
      <w:r w:rsidRPr="00D03F3E">
        <w:rPr>
          <w:rFonts w:ascii="Times New Roman" w:hAnsi="Times New Roman"/>
          <w:color w:val="000000" w:themeColor="text1"/>
          <w:sz w:val="16"/>
          <w:szCs w:val="16"/>
        </w:rPr>
        <w:softHyphen/>
        <w:t>менение АГ-2 приносило неплохие результа</w:t>
      </w:r>
      <w:r w:rsidRPr="00D03F3E">
        <w:rPr>
          <w:rFonts w:ascii="Times New Roman" w:hAnsi="Times New Roman"/>
          <w:color w:val="000000" w:themeColor="text1"/>
          <w:sz w:val="16"/>
          <w:szCs w:val="16"/>
        </w:rPr>
        <w:softHyphen/>
        <w:t>ты, а приёмы их использования позволяли уничтожать атакующий и сзади-сверху ис</w:t>
      </w:r>
      <w:r w:rsidRPr="00D03F3E">
        <w:rPr>
          <w:rFonts w:ascii="Times New Roman" w:hAnsi="Times New Roman"/>
          <w:color w:val="000000" w:themeColor="text1"/>
          <w:sz w:val="16"/>
          <w:szCs w:val="16"/>
        </w:rPr>
        <w:softHyphen/>
        <w:t>требитель (11392).</w:t>
      </w:r>
    </w:p>
    <w:p w14:paraId="0DACB33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63E01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ещё одним средством усиления обороны «пешки» стали авиацион</w:t>
      </w:r>
      <w:r w:rsidRPr="00D03F3E">
        <w:rPr>
          <w:rFonts w:ascii="Times New Roman" w:hAnsi="Times New Roman"/>
          <w:color w:val="000000" w:themeColor="text1"/>
          <w:sz w:val="16"/>
          <w:szCs w:val="16"/>
        </w:rPr>
        <w:softHyphen/>
        <w:t>ные гранаты АГ-2, введённые со 179-й серии. Коробку ДАГ-10 в фюзеляже заряжали деся</w:t>
      </w:r>
      <w:r w:rsidRPr="00D03F3E">
        <w:rPr>
          <w:rFonts w:ascii="Times New Roman" w:hAnsi="Times New Roman"/>
          <w:color w:val="000000" w:themeColor="text1"/>
          <w:sz w:val="16"/>
          <w:szCs w:val="16"/>
        </w:rPr>
        <w:softHyphen/>
        <w:t>тью такими гранатами массой по 1,8 кг. По команде штурмана или стрел</w:t>
      </w:r>
      <w:r w:rsidRPr="00D03F3E">
        <w:rPr>
          <w:rFonts w:ascii="Times New Roman" w:hAnsi="Times New Roman"/>
          <w:color w:val="000000" w:themeColor="text1"/>
          <w:sz w:val="16"/>
          <w:szCs w:val="16"/>
        </w:rPr>
        <w:softHyphen/>
        <w:t>ка их серией сбрасывали через створку внизу фюзеляжа, что в гори</w:t>
      </w:r>
      <w:r w:rsidRPr="00D03F3E">
        <w:rPr>
          <w:rFonts w:ascii="Times New Roman" w:hAnsi="Times New Roman"/>
          <w:color w:val="000000" w:themeColor="text1"/>
          <w:sz w:val="16"/>
          <w:szCs w:val="16"/>
        </w:rPr>
        <w:softHyphen/>
        <w:t>зонтальном полёте защищало само</w:t>
      </w:r>
      <w:r w:rsidRPr="00D03F3E">
        <w:rPr>
          <w:rFonts w:ascii="Times New Roman" w:hAnsi="Times New Roman"/>
          <w:color w:val="000000" w:themeColor="text1"/>
          <w:sz w:val="16"/>
          <w:szCs w:val="16"/>
        </w:rPr>
        <w:softHyphen/>
        <w:t>лёт сзади-снизу. На втором году вой</w:t>
      </w:r>
      <w:r w:rsidRPr="00D03F3E">
        <w:rPr>
          <w:rFonts w:ascii="Times New Roman" w:hAnsi="Times New Roman"/>
          <w:color w:val="000000" w:themeColor="text1"/>
          <w:sz w:val="16"/>
          <w:szCs w:val="16"/>
        </w:rPr>
        <w:softHyphen/>
        <w:t>ны немцы стали атаковать на горке после пикирования, что позволяло проскакивать зону обстрела. «Ныр</w:t>
      </w:r>
      <w:r w:rsidRPr="00D03F3E">
        <w:rPr>
          <w:rFonts w:ascii="Times New Roman" w:hAnsi="Times New Roman"/>
          <w:color w:val="000000" w:themeColor="text1"/>
          <w:sz w:val="16"/>
          <w:szCs w:val="16"/>
        </w:rPr>
        <w:softHyphen/>
        <w:t>нув под хвост» бомбардировщика, они на кабрировании расстрелива</w:t>
      </w:r>
      <w:r w:rsidRPr="00D03F3E">
        <w:rPr>
          <w:rFonts w:ascii="Times New Roman" w:hAnsi="Times New Roman"/>
          <w:color w:val="000000" w:themeColor="text1"/>
          <w:sz w:val="16"/>
          <w:szCs w:val="16"/>
        </w:rPr>
        <w:softHyphen/>
        <w:t>ли цель снизу, тут же отворачивая в сторону.</w:t>
      </w:r>
    </w:p>
    <w:p w14:paraId="53993C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АГ-2 в ряде случаев противодей</w:t>
      </w:r>
      <w:r w:rsidRPr="00D03F3E">
        <w:rPr>
          <w:rFonts w:ascii="Times New Roman" w:hAnsi="Times New Roman"/>
          <w:color w:val="000000" w:themeColor="text1"/>
          <w:sz w:val="16"/>
          <w:szCs w:val="16"/>
        </w:rPr>
        <w:softHyphen/>
        <w:t>ствовали этому приёму — их близкие разрывы не сулили немцу ничего хо</w:t>
      </w:r>
      <w:r w:rsidRPr="00D03F3E">
        <w:rPr>
          <w:rFonts w:ascii="Times New Roman" w:hAnsi="Times New Roman"/>
          <w:color w:val="000000" w:themeColor="text1"/>
          <w:sz w:val="16"/>
          <w:szCs w:val="16"/>
        </w:rPr>
        <w:softHyphen/>
        <w:t>рошего. Разработанное в ГСКБ-47 для истребительной авиации ещё в 1 938 г., детище А.Ф.Турахина долго «пробивалось в жизнь», хотя нужда в нём остро ощущалась у штурмо</w:t>
      </w:r>
      <w:r w:rsidRPr="00D03F3E">
        <w:rPr>
          <w:rFonts w:ascii="Times New Roman" w:hAnsi="Times New Roman"/>
          <w:color w:val="000000" w:themeColor="text1"/>
          <w:sz w:val="16"/>
          <w:szCs w:val="16"/>
        </w:rPr>
        <w:softHyphen/>
        <w:t>виков, одномоторных бомбардиров</w:t>
      </w:r>
      <w:r w:rsidRPr="00D03F3E">
        <w:rPr>
          <w:rFonts w:ascii="Times New Roman" w:hAnsi="Times New Roman"/>
          <w:color w:val="000000" w:themeColor="text1"/>
          <w:sz w:val="16"/>
          <w:szCs w:val="16"/>
        </w:rPr>
        <w:softHyphen/>
        <w:t>щиков Су-2 и тяжёлых истребителей Пе-3, слабо или практически неза</w:t>
      </w:r>
      <w:r w:rsidRPr="00D03F3E">
        <w:rPr>
          <w:rFonts w:ascii="Times New Roman" w:hAnsi="Times New Roman"/>
          <w:color w:val="000000" w:themeColor="text1"/>
          <w:sz w:val="16"/>
          <w:szCs w:val="16"/>
        </w:rPr>
        <w:softHyphen/>
        <w:t>щищённых от атак сзади-снизу. Но только во второй половине войны промышленность стала монтировать держатели гранат практически на всех двухмоторных бомбардировщи</w:t>
      </w:r>
      <w:r w:rsidRPr="00D03F3E">
        <w:rPr>
          <w:rFonts w:ascii="Times New Roman" w:hAnsi="Times New Roman"/>
          <w:color w:val="000000" w:themeColor="text1"/>
          <w:sz w:val="16"/>
          <w:szCs w:val="16"/>
        </w:rPr>
        <w:softHyphen/>
        <w:t>ках ВВС КА. Кое-где ДАГ своими си</w:t>
      </w:r>
      <w:r w:rsidRPr="00D03F3E">
        <w:rPr>
          <w:rFonts w:ascii="Times New Roman" w:hAnsi="Times New Roman"/>
          <w:color w:val="000000" w:themeColor="text1"/>
          <w:sz w:val="16"/>
          <w:szCs w:val="16"/>
        </w:rPr>
        <w:softHyphen/>
        <w:t>лами устанавливали на «пешки», на</w:t>
      </w:r>
      <w:r w:rsidRPr="00D03F3E">
        <w:rPr>
          <w:rFonts w:ascii="Times New Roman" w:hAnsi="Times New Roman"/>
          <w:color w:val="000000" w:themeColor="text1"/>
          <w:sz w:val="16"/>
          <w:szCs w:val="16"/>
        </w:rPr>
        <w:softHyphen/>
        <w:t>чиная с декабря 1941 г. Например, в 9-м отдельном авиаполку «лиде</w:t>
      </w:r>
      <w:r w:rsidRPr="00D03F3E">
        <w:rPr>
          <w:rFonts w:ascii="Times New Roman" w:hAnsi="Times New Roman"/>
          <w:color w:val="000000" w:themeColor="text1"/>
          <w:sz w:val="16"/>
          <w:szCs w:val="16"/>
        </w:rPr>
        <w:softHyphen/>
        <w:t>ров». Своевременное применение АГ-2 приносило неплохие результа</w:t>
      </w:r>
      <w:r w:rsidRPr="00D03F3E">
        <w:rPr>
          <w:rFonts w:ascii="Times New Roman" w:hAnsi="Times New Roman"/>
          <w:color w:val="000000" w:themeColor="text1"/>
          <w:sz w:val="16"/>
          <w:szCs w:val="16"/>
        </w:rPr>
        <w:softHyphen/>
        <w:t>ты, а приёмы их использования по</w:t>
      </w:r>
      <w:r w:rsidRPr="00D03F3E">
        <w:rPr>
          <w:rFonts w:ascii="Times New Roman" w:hAnsi="Times New Roman"/>
          <w:color w:val="000000" w:themeColor="text1"/>
          <w:sz w:val="16"/>
          <w:szCs w:val="16"/>
        </w:rPr>
        <w:softHyphen/>
        <w:t>зволяли уничтожать атакующий и сзади-сверху истребитель.</w:t>
      </w:r>
    </w:p>
    <w:p w14:paraId="38A7934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марта 1943 г. шестёрку Пе-2 под прикрытием Як-1 из состава 15 ВА, в районе Красного Поля атако</w:t>
      </w:r>
      <w:r w:rsidRPr="00D03F3E">
        <w:rPr>
          <w:rFonts w:ascii="Times New Roman" w:hAnsi="Times New Roman"/>
          <w:color w:val="000000" w:themeColor="text1"/>
          <w:sz w:val="16"/>
          <w:szCs w:val="16"/>
        </w:rPr>
        <w:softHyphen/>
        <w:t>вали пять В( 109. Навстречу им сбро</w:t>
      </w:r>
      <w:r w:rsidRPr="00D03F3E">
        <w:rPr>
          <w:rFonts w:ascii="Times New Roman" w:hAnsi="Times New Roman"/>
          <w:color w:val="000000" w:themeColor="text1"/>
          <w:sz w:val="16"/>
          <w:szCs w:val="16"/>
        </w:rPr>
        <w:softHyphen/>
        <w:t>сили 12 гранат, что помогло отбить атаку без потерь. Немцы лишились одного истребителя, упавшего близ реки Донец. На следующий день восьмёрка Пе-2 из 3-го бак бомби</w:t>
      </w:r>
      <w:r w:rsidRPr="00D03F3E">
        <w:rPr>
          <w:rFonts w:ascii="Times New Roman" w:hAnsi="Times New Roman"/>
          <w:color w:val="000000" w:themeColor="text1"/>
          <w:sz w:val="16"/>
          <w:szCs w:val="16"/>
        </w:rPr>
        <w:softHyphen/>
        <w:t>ла скопление войск у Суры с высоты 900-1000 м. Сзади на них зашло звено ФВ-190А, открыв огонь с боль</w:t>
      </w:r>
      <w:r w:rsidRPr="00D03F3E">
        <w:rPr>
          <w:rFonts w:ascii="Times New Roman" w:hAnsi="Times New Roman"/>
          <w:color w:val="000000" w:themeColor="text1"/>
          <w:sz w:val="16"/>
          <w:szCs w:val="16"/>
        </w:rPr>
        <w:softHyphen/>
        <w:t>шой дистанции. Бомбардировщики встретили их 20 гранатами, и штур</w:t>
      </w:r>
      <w:r w:rsidRPr="00D03F3E">
        <w:rPr>
          <w:rFonts w:ascii="Times New Roman" w:hAnsi="Times New Roman"/>
          <w:color w:val="000000" w:themeColor="text1"/>
          <w:sz w:val="16"/>
          <w:szCs w:val="16"/>
        </w:rPr>
        <w:softHyphen/>
        <w:t>ман Старостин поразил серией АГ-2 один истребитель, который загорел</w:t>
      </w:r>
      <w:r w:rsidRPr="00D03F3E">
        <w:rPr>
          <w:rFonts w:ascii="Times New Roman" w:hAnsi="Times New Roman"/>
          <w:color w:val="000000" w:themeColor="text1"/>
          <w:sz w:val="16"/>
          <w:szCs w:val="16"/>
        </w:rPr>
        <w:softHyphen/>
        <w:t>ся и совершил вынужденную посад</w:t>
      </w:r>
      <w:r w:rsidRPr="00D03F3E">
        <w:rPr>
          <w:rFonts w:ascii="Times New Roman" w:hAnsi="Times New Roman"/>
          <w:color w:val="000000" w:themeColor="text1"/>
          <w:sz w:val="16"/>
          <w:szCs w:val="16"/>
        </w:rPr>
        <w:softHyphen/>
        <w:t>ку севернее Раховец.</w:t>
      </w:r>
    </w:p>
    <w:p w14:paraId="0FC9AB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декабря 1943 г. самолёт-раз</w:t>
      </w:r>
      <w:r w:rsidRPr="00D03F3E">
        <w:rPr>
          <w:rFonts w:ascii="Times New Roman" w:hAnsi="Times New Roman"/>
          <w:color w:val="000000" w:themeColor="text1"/>
          <w:sz w:val="16"/>
          <w:szCs w:val="16"/>
        </w:rPr>
        <w:softHyphen/>
        <w:t>ведчик Пе-Збис гвардии младшего лейтенанта Николаенко из 98-го гвардейского авиаполка дальних раз</w:t>
      </w:r>
      <w:r w:rsidRPr="00D03F3E">
        <w:rPr>
          <w:rFonts w:ascii="Times New Roman" w:hAnsi="Times New Roman"/>
          <w:color w:val="000000" w:themeColor="text1"/>
          <w:sz w:val="16"/>
          <w:szCs w:val="16"/>
        </w:rPr>
        <w:softHyphen/>
        <w:t>ведчиков Главного Командования в районе Казатина атаковала пара ис</w:t>
      </w:r>
      <w:r w:rsidRPr="00D03F3E">
        <w:rPr>
          <w:rFonts w:ascii="Times New Roman" w:hAnsi="Times New Roman"/>
          <w:color w:val="000000" w:themeColor="text1"/>
          <w:sz w:val="16"/>
          <w:szCs w:val="16"/>
        </w:rPr>
        <w:softHyphen/>
        <w:t>требителей В! 109С. По команде штурмана гвардии старшего лейте</w:t>
      </w:r>
      <w:r w:rsidRPr="00D03F3E">
        <w:rPr>
          <w:rFonts w:ascii="Times New Roman" w:hAnsi="Times New Roman"/>
          <w:color w:val="000000" w:themeColor="text1"/>
          <w:sz w:val="16"/>
          <w:szCs w:val="16"/>
        </w:rPr>
        <w:softHyphen/>
        <w:t>нанта Юрьева лётчик отвернул к бли</w:t>
      </w:r>
      <w:r w:rsidRPr="00D03F3E">
        <w:rPr>
          <w:rFonts w:ascii="Times New Roman" w:hAnsi="Times New Roman"/>
          <w:color w:val="000000" w:themeColor="text1"/>
          <w:sz w:val="16"/>
          <w:szCs w:val="16"/>
        </w:rPr>
        <w:softHyphen/>
        <w:t>жайшему облаку и перевёл машину в набор высоты. «Мессершмитты» ус</w:t>
      </w:r>
      <w:r w:rsidRPr="00D03F3E">
        <w:rPr>
          <w:rFonts w:ascii="Times New Roman" w:hAnsi="Times New Roman"/>
          <w:color w:val="000000" w:themeColor="text1"/>
          <w:sz w:val="16"/>
          <w:szCs w:val="16"/>
        </w:rPr>
        <w:softHyphen/>
        <w:t>пели атаковать только раз, сверху попав под огонь пулемёта штурма</w:t>
      </w:r>
      <w:r w:rsidRPr="00D03F3E">
        <w:rPr>
          <w:rFonts w:ascii="Times New Roman" w:hAnsi="Times New Roman"/>
          <w:color w:val="000000" w:themeColor="text1"/>
          <w:sz w:val="16"/>
          <w:szCs w:val="16"/>
        </w:rPr>
        <w:softHyphen/>
        <w:t>на. Истребитель, проскочив под са</w:t>
      </w:r>
      <w:r w:rsidRPr="00D03F3E">
        <w:rPr>
          <w:rFonts w:ascii="Times New Roman" w:hAnsi="Times New Roman"/>
          <w:color w:val="000000" w:themeColor="text1"/>
          <w:sz w:val="16"/>
          <w:szCs w:val="16"/>
        </w:rPr>
        <w:softHyphen/>
        <w:t>молёт Николаенко, получил повреж</w:t>
      </w:r>
      <w:r w:rsidRPr="00D03F3E">
        <w:rPr>
          <w:rFonts w:ascii="Times New Roman" w:hAnsi="Times New Roman"/>
          <w:color w:val="000000" w:themeColor="text1"/>
          <w:sz w:val="16"/>
          <w:szCs w:val="16"/>
        </w:rPr>
        <w:softHyphen/>
        <w:t>дение от разрыва АГ-2 и ушёл со снижением в сторону аэродрома Калиновка.</w:t>
      </w:r>
    </w:p>
    <w:p w14:paraId="46D7CE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Признанием эффективности АГ-2 можно считать указание главного инженера АДД генерал-лейтенанта ИАС Маркова. В июле 1944 г. он распорядился силами техсостава частей смонтировать на всех само</w:t>
      </w:r>
      <w:r w:rsidRPr="00D03F3E">
        <w:rPr>
          <w:rFonts w:ascii="Times New Roman" w:hAnsi="Times New Roman"/>
          <w:color w:val="000000" w:themeColor="text1"/>
          <w:sz w:val="16"/>
          <w:szCs w:val="16"/>
        </w:rPr>
        <w:softHyphen/>
        <w:t>лётах Ил-4, Ли-2, В-25 и Пе-3 по одному держателю ДАГ-10 (11432).</w:t>
      </w:r>
    </w:p>
    <w:p w14:paraId="6011F4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E669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февраля 1943 года завод № 99 приступил к серийному выпуску самолета ЛА-5 типа 37.</w:t>
      </w:r>
    </w:p>
    <w:p w14:paraId="416921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Выпуск ЛА-5 продолжался до июля 1944 года, за указанный период завод передал ВВС 286 машин. В июле 1944 года была получена директива о прекращении изготовления самолета ЛА-5 и запуске в производство машины типа № 45, названной ЛА-7.</w:t>
      </w:r>
    </w:p>
    <w:p w14:paraId="794A01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Выпуск ЛА-7 продолжался до марта 1946 года, за указанный период сдано частям ВВС 249 машин.</w:t>
      </w:r>
    </w:p>
    <w:p w14:paraId="273087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Постановлением ГКО от 6 июня 1945 года № 8934сс и приказом НКАП № 251сс от 15 июня 1945 года о сокращении плана производства самолетов, на освобожденных мощностях организовано производство изделий народного потребления. В ноябре 1946 года по приказу начальника ПГУ МАП за № 39с от 6 ноября 1946 года завод приступил к подготовке производства самолетов ЛА-9 с мотором АШ-82ФН.</w:t>
      </w:r>
    </w:p>
    <w:p w14:paraId="0BC342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w:t>
      </w:r>
    </w:p>
    <w:p w14:paraId="5CEA7F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продолжал ремонт самолетов ЛА-9 до 1951 года.</w:t>
      </w:r>
    </w:p>
    <w:p w14:paraId="2B17BA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начиная с 1951 года начал серийный выпуск самолета МИГ-15 с крыльями получаемыми с родственных заводов.</w:t>
      </w:r>
    </w:p>
    <w:p w14:paraId="48514E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Местонахождение – завод расположен в 12 км от Улан-Удэ</w:t>
      </w:r>
    </w:p>
    <w:p w14:paraId="724A78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Производственный профиль – самолетостроительный завод по выпуску самолетов УТИ МИГ-15 и вертолетов КА-15</w:t>
      </w:r>
    </w:p>
    <w:p w14:paraId="2DF524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308200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489F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года на весах натурной аэродинамической трубы Т-101 ЦАГИ установили серийный экземпляр Ла-5 № 37210514. Мощность электродвигателей, приводивших во вращение пару вентиляторов трубы, была такова, что испытания проводились исключительно ночью - в противном случае пришлось бы отключать от электросети целый город.</w:t>
      </w:r>
    </w:p>
    <w:p w14:paraId="2B1CEF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Проведенные исследования показали, что если самолет герметизировать снаружи и изнутри кабины от всевозможных перетеканий воздуха и закрыть щитками купола колес шасси, то можно, снизив аэродинамическое сопротивление, увеличить скорость приблизительно на 35 км/ч. Причем, наибольший прирост скорости (24 км/ч) давал первый путь, связанный с герметизацией истребителя.</w:t>
      </w:r>
    </w:p>
    <w:p w14:paraId="1024E1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Вдобавок в некоторых случаях крыло Ла-5 обладало наименьшим из отечественных истребителей значением коэффициента подъемной силы. Когда разобрались, то выяснилось, что открытие створок капота, регулировавших температуру двигателя, приводило к срыву потока на центроплане и, как следствие, к нарушению линейной зависимости коэффициента подъемной силы крыла от угла атаки. Диагноз "болезни" Ла-5 был поставлен точно, осталось разработать метод ее "лечения" (12032).</w:t>
      </w:r>
    </w:p>
    <w:p w14:paraId="71F170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77A37E" w14:textId="77777777" w:rsidR="00AE7F3A" w:rsidRPr="00D03F3E" w:rsidRDefault="00AE7F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феврале 1943 г. на весы аэродинамической трубы Т-101 установили серийный истребитель Ла-5 № 37210514. Мощность электродвигателей, приводивших во вращение пару вентиляторов трубы, была такова, что испытания проводились исключительно ночью — в противном случае пришлось бы отключать от электросети целый город. Проведенные исследования показали, что если самолет герметизировать и закрыть щитками купола колес шасси, то можно увеличить скорость приблизительно на 35 км/ч. Причем, наибольший прирост скорости (24 км/ч) давала герметизация. Вдобавок обнаружилось, что крыло самолета Ла-5 обладает наименьшим из отечественных истребителей значением коэффициента подъемной силы. Когда разобрались, то выяснилось, что открытие створок капота, </w:t>
      </w:r>
      <w:r w:rsidRPr="00D03F3E">
        <w:rPr>
          <w:rFonts w:ascii="Times New Roman" w:hAnsi="Times New Roman"/>
          <w:color w:val="000000" w:themeColor="text1"/>
          <w:sz w:val="16"/>
          <w:szCs w:val="16"/>
        </w:rPr>
        <w:lastRenderedPageBreak/>
        <w:t>регулировавших температуру двигателя, приводило к срыву потока на центроплане и к нарушению линейной зависимости коэффициента подъемной силы крыла от угла атаки (19727).</w:t>
      </w:r>
    </w:p>
    <w:p w14:paraId="46C803B2" w14:textId="77777777" w:rsidR="00AE7F3A" w:rsidRPr="00D03F3E" w:rsidRDefault="00AE7F3A" w:rsidP="00D03F3E">
      <w:pPr>
        <w:spacing w:after="0" w:line="240" w:lineRule="auto"/>
        <w:jc w:val="both"/>
        <w:rPr>
          <w:rFonts w:ascii="Times New Roman" w:hAnsi="Times New Roman"/>
          <w:color w:val="000000" w:themeColor="text1"/>
          <w:sz w:val="16"/>
          <w:szCs w:val="16"/>
        </w:rPr>
      </w:pPr>
    </w:p>
    <w:p w14:paraId="0242A53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завершились испытания Ла-5ФН с мотором М-82ФН. Опытный самолет развивал у земли максимальную скорость 595 км/ч (на форсаже), 630 км/ч на первой границе высотности, 648 км/ч на второй. Высо</w:t>
      </w:r>
      <w:r w:rsidRPr="00D03F3E">
        <w:rPr>
          <w:rFonts w:ascii="Times New Roman" w:hAnsi="Times New Roman"/>
          <w:color w:val="000000" w:themeColor="text1"/>
          <w:sz w:val="16"/>
          <w:szCs w:val="16"/>
        </w:rPr>
        <w:softHyphen/>
        <w:t>ту 5000 м он набирал за 4,7 мин. Таким образом, Ла-5ФН показал неплохие летные характеристики, однако пре</w:t>
      </w:r>
      <w:r w:rsidRPr="00D03F3E">
        <w:rPr>
          <w:rFonts w:ascii="Times New Roman" w:hAnsi="Times New Roman"/>
          <w:color w:val="000000" w:themeColor="text1"/>
          <w:sz w:val="16"/>
          <w:szCs w:val="16"/>
        </w:rPr>
        <w:softHyphen/>
        <w:t>взойти данные И-185 не смог. С марта началось внедре</w:t>
      </w:r>
      <w:r w:rsidRPr="00D03F3E">
        <w:rPr>
          <w:rFonts w:ascii="Times New Roman" w:hAnsi="Times New Roman"/>
          <w:color w:val="000000" w:themeColor="text1"/>
          <w:sz w:val="16"/>
          <w:szCs w:val="16"/>
        </w:rPr>
        <w:softHyphen/>
        <w:t>ние Ла-5ФН в серию. Серийные машины имели скорость примерно на 10-20 км/ч ниже опытного, время набора высоты 5000 м возросло до 5-5,2 мин. (10667)</w:t>
      </w:r>
    </w:p>
    <w:p w14:paraId="51C942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F9439A"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Февраль 1943</w:t>
      </w:r>
    </w:p>
    <w:p w14:paraId="3DA35D70"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ОБЪЯСНИТЕЛЬНАЯ ЗАПИСКА К ГОДОВОМУ ОТЧЕТУ ЗА 1942 ГОД ПО ОПЫТНО-КОНСТРУКТОРСКОМУ БЮРО ЗАВОДА №21 НКАП</w:t>
      </w:r>
    </w:p>
    <w:p w14:paraId="3F447126"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I. Производство</w:t>
      </w:r>
    </w:p>
    <w:p w14:paraId="3FB58204"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 Основные работы по госбюджету.</w:t>
      </w:r>
    </w:p>
    <w:p w14:paraId="3149AAAC"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отдел главного конструктора завода № 21 было возложено спроектировать и испытать:</w:t>
      </w:r>
    </w:p>
    <w:p w14:paraId="72254C71"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Самолет Ла-5 с мотором М-82Ф и облегчением до 3100 кг - 1 экз. со сроком предъявления на испытания в ЛИИ НКАП 15/1-43 г. (Постановление ГОКО № 2604сс).</w:t>
      </w:r>
    </w:p>
    <w:p w14:paraId="1BF28197"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Самолет ЛаГГ-3 с мотором М-105 и нагнетателем Трескина 1 экз. со сроком испытаний 30 декабря 1942 года (план, утвержденный 7-м Главным управлением НКАП).</w:t>
      </w:r>
    </w:p>
    <w:p w14:paraId="41623F1E"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Самолет Ла-5 с мотором М-82 и облегчением до 3100 кг Щ2 экз. со сроком предъявления НИИ ВВС 10 ноября 1943 г. (Постановление ГОКО № 2604сс).</w:t>
      </w:r>
    </w:p>
    <w:p w14:paraId="711C43C1"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 Эскизный проект самолета Ла-5 с мотором М-82 и ТК-3.</w:t>
      </w:r>
    </w:p>
    <w:p w14:paraId="6460257E"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 Выпуск улучшенных образцов серийного самолета Ла-5.</w:t>
      </w:r>
    </w:p>
    <w:p w14:paraId="578B3FA5"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Объемно план опытного строительства на 1942 год составлял:</w:t>
      </w:r>
    </w:p>
    <w:p w14:paraId="141573DC"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Наименование работ</w:t>
      </w:r>
      <w:r w:rsidRPr="00D03F3E">
        <w:rPr>
          <w:rFonts w:ascii="Times New Roman" w:hAnsi="Times New Roman"/>
          <w:color w:val="0070C0"/>
          <w:sz w:val="16"/>
          <w:szCs w:val="16"/>
        </w:rPr>
        <w:tab/>
        <w:t>Сроки</w:t>
      </w:r>
      <w:r w:rsidRPr="00D03F3E">
        <w:rPr>
          <w:rFonts w:ascii="Times New Roman" w:hAnsi="Times New Roman"/>
          <w:color w:val="0070C0"/>
          <w:sz w:val="16"/>
          <w:szCs w:val="16"/>
        </w:rPr>
        <w:tab/>
        <w:t>Объем  финансирования в тыс. руб.</w:t>
      </w:r>
    </w:p>
    <w:p w14:paraId="160A8D60"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.Самолет Ла-5 с мотором М-82Ф 1 экз.</w:t>
      </w:r>
      <w:r w:rsidRPr="00D03F3E">
        <w:rPr>
          <w:rFonts w:ascii="Times New Roman" w:hAnsi="Times New Roman"/>
          <w:color w:val="0070C0"/>
          <w:sz w:val="16"/>
          <w:szCs w:val="16"/>
        </w:rPr>
        <w:tab/>
        <w:t>15.1. 1943 г.</w:t>
      </w:r>
      <w:r w:rsidRPr="00D03F3E">
        <w:rPr>
          <w:rFonts w:ascii="Times New Roman" w:hAnsi="Times New Roman"/>
          <w:color w:val="0070C0"/>
          <w:sz w:val="16"/>
          <w:szCs w:val="16"/>
        </w:rPr>
        <w:tab/>
        <w:t>1 250</w:t>
      </w:r>
    </w:p>
    <w:p w14:paraId="2DDE562C"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ЛаГГ-3 с мотором М-105 и нагнетателем Трескина</w:t>
      </w:r>
      <w:r w:rsidRPr="00D03F3E">
        <w:rPr>
          <w:rFonts w:ascii="Times New Roman" w:hAnsi="Times New Roman"/>
          <w:color w:val="0070C0"/>
          <w:sz w:val="16"/>
          <w:szCs w:val="16"/>
        </w:rPr>
        <w:tab/>
        <w:t>30. XIII. 1942 г.</w:t>
      </w:r>
      <w:r w:rsidRPr="00D03F3E">
        <w:rPr>
          <w:rFonts w:ascii="Times New Roman" w:hAnsi="Times New Roman"/>
          <w:color w:val="0070C0"/>
          <w:sz w:val="16"/>
          <w:szCs w:val="16"/>
        </w:rPr>
        <w:tab/>
        <w:t>200,0</w:t>
      </w:r>
    </w:p>
    <w:p w14:paraId="459C9599"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Ла-5 с мотором М-82Ф 2 экз.</w:t>
      </w:r>
      <w:r w:rsidRPr="00D03F3E">
        <w:rPr>
          <w:rFonts w:ascii="Times New Roman" w:hAnsi="Times New Roman"/>
          <w:color w:val="0070C0"/>
          <w:sz w:val="16"/>
          <w:szCs w:val="16"/>
        </w:rPr>
        <w:tab/>
        <w:t>10.1. 1943 г.</w:t>
      </w:r>
      <w:r w:rsidRPr="00D03F3E">
        <w:rPr>
          <w:rFonts w:ascii="Times New Roman" w:hAnsi="Times New Roman"/>
          <w:color w:val="0070C0"/>
          <w:sz w:val="16"/>
          <w:szCs w:val="16"/>
        </w:rPr>
        <w:tab/>
        <w:t>700</w:t>
      </w:r>
    </w:p>
    <w:p w14:paraId="2323F097"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 Эскизный проект Ла-5 с М-82 и ТК-3</w:t>
      </w:r>
      <w:r w:rsidRPr="00D03F3E">
        <w:rPr>
          <w:rFonts w:ascii="Times New Roman" w:hAnsi="Times New Roman"/>
          <w:color w:val="0070C0"/>
          <w:sz w:val="16"/>
          <w:szCs w:val="16"/>
        </w:rPr>
        <w:tab/>
        <w:t>-</w:t>
      </w:r>
      <w:r w:rsidRPr="00D03F3E">
        <w:rPr>
          <w:rFonts w:ascii="Times New Roman" w:hAnsi="Times New Roman"/>
          <w:color w:val="0070C0"/>
          <w:sz w:val="16"/>
          <w:szCs w:val="16"/>
        </w:rPr>
        <w:tab/>
        <w:t>50</w:t>
      </w:r>
    </w:p>
    <w:p w14:paraId="34D19AD0"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 Выпуск улучшенных образцов серийно- го самолета Ла-5</w:t>
      </w:r>
      <w:r w:rsidRPr="00D03F3E">
        <w:rPr>
          <w:rFonts w:ascii="Times New Roman" w:hAnsi="Times New Roman"/>
          <w:color w:val="0070C0"/>
          <w:sz w:val="16"/>
          <w:szCs w:val="16"/>
        </w:rPr>
        <w:tab/>
      </w:r>
      <w:r w:rsidRPr="00D03F3E">
        <w:rPr>
          <w:rFonts w:ascii="Times New Roman" w:hAnsi="Times New Roman"/>
          <w:color w:val="0070C0"/>
          <w:sz w:val="16"/>
          <w:szCs w:val="16"/>
        </w:rPr>
        <w:tab/>
        <w:t>950,0</w:t>
      </w:r>
    </w:p>
    <w:p w14:paraId="682CDBC0"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Итого:</w:t>
      </w:r>
      <w:r w:rsidRPr="00D03F3E">
        <w:rPr>
          <w:rFonts w:ascii="Times New Roman" w:hAnsi="Times New Roman"/>
          <w:color w:val="0070C0"/>
          <w:sz w:val="16"/>
          <w:szCs w:val="16"/>
        </w:rPr>
        <w:tab/>
      </w:r>
      <w:r w:rsidRPr="00D03F3E">
        <w:rPr>
          <w:rFonts w:ascii="Times New Roman" w:hAnsi="Times New Roman"/>
          <w:color w:val="0070C0"/>
          <w:sz w:val="16"/>
          <w:szCs w:val="16"/>
        </w:rPr>
        <w:tab/>
        <w:t>3 150, 0</w:t>
      </w:r>
    </w:p>
    <w:p w14:paraId="1BF74BD0"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Б. Работы, проводимые в порядке услуг основному производству</w:t>
      </w:r>
    </w:p>
    <w:p w14:paraId="79243616"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Объемно план 1942 г. по услугам серийному производству составил 1750,0 тыс. рублей. Фактически произведено в 1942 году в порядке услуг серийному производству на сумму 2619,0 тыс. рублей. Сюда относятся из наиболее трудоемких работ:</w:t>
      </w:r>
    </w:p>
    <w:p w14:paraId="7D3BEDCA"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Модификация самолета ЛаГГ-3 по мотор М-82.</w:t>
      </w:r>
    </w:p>
    <w:p w14:paraId="7F1E4BB3"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Подготовка серийного самолета Ла-5 к зиме.</w:t>
      </w:r>
    </w:p>
    <w:p w14:paraId="484B12D4"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Установка мотора с непосредственным впрыском горючего в цилиндр мотора.</w:t>
      </w:r>
    </w:p>
    <w:p w14:paraId="031E3226"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 Работа по доводке серийной машины.</w:t>
      </w:r>
    </w:p>
    <w:p w14:paraId="38769B32"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 Установка 8" радиатора.</w:t>
      </w:r>
    </w:p>
    <w:p w14:paraId="392C9A45"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6. Проектирование 2-местного самолета Ла-5.</w:t>
      </w:r>
    </w:p>
    <w:p w14:paraId="7F271005"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(Л. 85) До перевода в Тбилиси цех опытного производства отдела главного конструктора располагал следующим оборудованием:</w:t>
      </w:r>
    </w:p>
    <w:p w14:paraId="189E908C"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Станков металлорежущих</w:t>
      </w:r>
      <w:r w:rsidRPr="00D03F3E">
        <w:rPr>
          <w:rFonts w:ascii="Times New Roman" w:hAnsi="Times New Roman"/>
          <w:color w:val="0070C0"/>
          <w:sz w:val="16"/>
          <w:szCs w:val="16"/>
        </w:rPr>
        <w:tab/>
        <w:t>33</w:t>
      </w:r>
    </w:p>
    <w:p w14:paraId="161C00BC"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Станков деревообрабатывающих</w:t>
      </w:r>
      <w:r w:rsidRPr="00D03F3E">
        <w:rPr>
          <w:rFonts w:ascii="Times New Roman" w:hAnsi="Times New Roman"/>
          <w:color w:val="0070C0"/>
          <w:sz w:val="16"/>
          <w:szCs w:val="16"/>
        </w:rPr>
        <w:tab/>
        <w:t>2</w:t>
      </w:r>
    </w:p>
    <w:p w14:paraId="4B54F6C6"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Станков прочих</w:t>
      </w:r>
      <w:r w:rsidRPr="00D03F3E">
        <w:rPr>
          <w:rFonts w:ascii="Times New Roman" w:hAnsi="Times New Roman"/>
          <w:color w:val="0070C0"/>
          <w:sz w:val="16"/>
          <w:szCs w:val="16"/>
        </w:rPr>
        <w:tab/>
        <w:t>17</w:t>
      </w:r>
    </w:p>
    <w:p w14:paraId="158BF8E7"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Всего</w:t>
      </w:r>
      <w:r w:rsidRPr="00D03F3E">
        <w:rPr>
          <w:rFonts w:ascii="Times New Roman" w:hAnsi="Times New Roman"/>
          <w:color w:val="0070C0"/>
          <w:sz w:val="16"/>
          <w:szCs w:val="16"/>
        </w:rPr>
        <w:tab/>
        <w:t>52 станка</w:t>
      </w:r>
    </w:p>
    <w:p w14:paraId="35D869C5"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связи с решением Наркомата о переводе опытно-конструкторского отдела тов. Лавочкина в г.Тбилиси все станочное оборудование опытного цеха было демонтировано и согласно Постановлению ГКО отправлено на 82-й завод НКАП.</w:t>
      </w:r>
    </w:p>
    <w:p w14:paraId="4A5E78B7"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 возвращению из Тбилиси отдел главного конструктора получил опытный цех, укомплектованный оборудованием в следующем виде:</w:t>
      </w:r>
    </w:p>
    <w:p w14:paraId="2549EFA1"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.Станков металлорежущих</w:t>
      </w:r>
      <w:r w:rsidRPr="00D03F3E">
        <w:rPr>
          <w:rFonts w:ascii="Times New Roman" w:hAnsi="Times New Roman"/>
          <w:color w:val="0070C0"/>
          <w:sz w:val="16"/>
          <w:szCs w:val="16"/>
        </w:rPr>
        <w:tab/>
        <w:t>11</w:t>
      </w:r>
    </w:p>
    <w:p w14:paraId="207AC397"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Станков деревообрабатывающих</w:t>
      </w:r>
      <w:r w:rsidRPr="00D03F3E">
        <w:rPr>
          <w:rFonts w:ascii="Times New Roman" w:hAnsi="Times New Roman"/>
          <w:color w:val="0070C0"/>
          <w:sz w:val="16"/>
          <w:szCs w:val="16"/>
        </w:rPr>
        <w:tab/>
        <w:t>2</w:t>
      </w:r>
    </w:p>
    <w:p w14:paraId="20AE3201"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Станков прочих</w:t>
      </w:r>
      <w:r w:rsidRPr="00D03F3E">
        <w:rPr>
          <w:rFonts w:ascii="Times New Roman" w:hAnsi="Times New Roman"/>
          <w:color w:val="0070C0"/>
          <w:sz w:val="16"/>
          <w:szCs w:val="16"/>
        </w:rPr>
        <w:tab/>
        <w:t>3</w:t>
      </w:r>
    </w:p>
    <w:p w14:paraId="55C1020A"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Всего 21 станок</w:t>
      </w:r>
    </w:p>
    <w:p w14:paraId="687823E1"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II. Численность состава, средняя зарплата и фонды зарплаты</w:t>
      </w:r>
    </w:p>
    <w:p w14:paraId="64055E4E"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 численность________________________________________</w:t>
      </w:r>
    </w:p>
    <w:p w14:paraId="3CFFC1EF"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Категории работников</w:t>
      </w:r>
      <w:r w:rsidRPr="00D03F3E">
        <w:rPr>
          <w:rFonts w:ascii="Times New Roman" w:hAnsi="Times New Roman"/>
          <w:color w:val="0070C0"/>
          <w:sz w:val="16"/>
          <w:szCs w:val="16"/>
        </w:rPr>
        <w:tab/>
        <w:t>Количество</w:t>
      </w:r>
      <w:r w:rsidRPr="00D03F3E">
        <w:rPr>
          <w:rFonts w:ascii="Times New Roman" w:hAnsi="Times New Roman"/>
          <w:color w:val="0070C0"/>
          <w:sz w:val="16"/>
          <w:szCs w:val="16"/>
        </w:rPr>
        <w:tab/>
        <w:t>Фактическое</w:t>
      </w:r>
      <w:r w:rsidRPr="00D03F3E">
        <w:rPr>
          <w:rFonts w:ascii="Times New Roman" w:hAnsi="Times New Roman"/>
          <w:color w:val="0070C0"/>
          <w:sz w:val="16"/>
          <w:szCs w:val="16"/>
        </w:rPr>
        <w:tab/>
        <w:t>Процент</w:t>
      </w:r>
    </w:p>
    <w:p w14:paraId="3ABFC15F"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ab/>
        <w:t>по плану</w:t>
      </w:r>
      <w:r w:rsidRPr="00D03F3E">
        <w:rPr>
          <w:rFonts w:ascii="Times New Roman" w:hAnsi="Times New Roman"/>
          <w:color w:val="0070C0"/>
          <w:sz w:val="16"/>
          <w:szCs w:val="16"/>
        </w:rPr>
        <w:tab/>
        <w:t>количество</w:t>
      </w:r>
      <w:r w:rsidRPr="00D03F3E">
        <w:rPr>
          <w:rFonts w:ascii="Times New Roman" w:hAnsi="Times New Roman"/>
          <w:color w:val="0070C0"/>
          <w:sz w:val="16"/>
          <w:szCs w:val="16"/>
        </w:rPr>
        <w:tab/>
        <w:t>к плану</w:t>
      </w:r>
    </w:p>
    <w:p w14:paraId="696A214A"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Рабочие производственные</w:t>
      </w:r>
      <w:r w:rsidRPr="00D03F3E">
        <w:rPr>
          <w:rFonts w:ascii="Times New Roman" w:hAnsi="Times New Roman"/>
          <w:color w:val="0070C0"/>
          <w:sz w:val="16"/>
          <w:szCs w:val="16"/>
        </w:rPr>
        <w:tab/>
        <w:t>155</w:t>
      </w:r>
      <w:r w:rsidRPr="00D03F3E">
        <w:rPr>
          <w:rFonts w:ascii="Times New Roman" w:hAnsi="Times New Roman"/>
          <w:color w:val="0070C0"/>
          <w:sz w:val="16"/>
          <w:szCs w:val="16"/>
        </w:rPr>
        <w:tab/>
        <w:t>97</w:t>
      </w:r>
      <w:r w:rsidRPr="00D03F3E">
        <w:rPr>
          <w:rFonts w:ascii="Times New Roman" w:hAnsi="Times New Roman"/>
          <w:color w:val="0070C0"/>
          <w:sz w:val="16"/>
          <w:szCs w:val="16"/>
        </w:rPr>
        <w:tab/>
        <w:t>62,5</w:t>
      </w:r>
    </w:p>
    <w:p w14:paraId="278C1489"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Рабочие вспомогательные</w:t>
      </w:r>
      <w:r w:rsidRPr="00D03F3E">
        <w:rPr>
          <w:rFonts w:ascii="Times New Roman" w:hAnsi="Times New Roman"/>
          <w:color w:val="0070C0"/>
          <w:sz w:val="16"/>
          <w:szCs w:val="16"/>
        </w:rPr>
        <w:tab/>
        <w:t>55</w:t>
      </w:r>
      <w:r w:rsidRPr="00D03F3E">
        <w:rPr>
          <w:rFonts w:ascii="Times New Roman" w:hAnsi="Times New Roman"/>
          <w:color w:val="0070C0"/>
          <w:sz w:val="16"/>
          <w:szCs w:val="16"/>
        </w:rPr>
        <w:tab/>
        <w:t>26</w:t>
      </w:r>
      <w:r w:rsidRPr="00D03F3E">
        <w:rPr>
          <w:rFonts w:ascii="Times New Roman" w:hAnsi="Times New Roman"/>
          <w:color w:val="0070C0"/>
          <w:sz w:val="16"/>
          <w:szCs w:val="16"/>
        </w:rPr>
        <w:tab/>
        <w:t>47,2</w:t>
      </w:r>
    </w:p>
    <w:p w14:paraId="43FCA0E3"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Итого:</w:t>
      </w:r>
      <w:r w:rsidRPr="00D03F3E">
        <w:rPr>
          <w:rFonts w:ascii="Times New Roman" w:hAnsi="Times New Roman"/>
          <w:color w:val="0070C0"/>
          <w:sz w:val="16"/>
          <w:szCs w:val="16"/>
        </w:rPr>
        <w:tab/>
        <w:t>210</w:t>
      </w:r>
      <w:r w:rsidRPr="00D03F3E">
        <w:rPr>
          <w:rFonts w:ascii="Times New Roman" w:hAnsi="Times New Roman"/>
          <w:color w:val="0070C0"/>
          <w:sz w:val="16"/>
          <w:szCs w:val="16"/>
        </w:rPr>
        <w:tab/>
        <w:t>123</w:t>
      </w:r>
      <w:r w:rsidRPr="00D03F3E">
        <w:rPr>
          <w:rFonts w:ascii="Times New Roman" w:hAnsi="Times New Roman"/>
          <w:color w:val="0070C0"/>
          <w:sz w:val="16"/>
          <w:szCs w:val="16"/>
        </w:rPr>
        <w:tab/>
        <w:t>58,5</w:t>
      </w:r>
    </w:p>
    <w:p w14:paraId="4DB50B7E"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ИТР производственные</w:t>
      </w:r>
      <w:r w:rsidRPr="00D03F3E">
        <w:rPr>
          <w:rFonts w:ascii="Times New Roman" w:hAnsi="Times New Roman"/>
          <w:color w:val="0070C0"/>
          <w:sz w:val="16"/>
          <w:szCs w:val="16"/>
        </w:rPr>
        <w:tab/>
        <w:t>155</w:t>
      </w:r>
      <w:r w:rsidRPr="00D03F3E">
        <w:rPr>
          <w:rFonts w:ascii="Times New Roman" w:hAnsi="Times New Roman"/>
          <w:color w:val="0070C0"/>
          <w:sz w:val="16"/>
          <w:szCs w:val="16"/>
        </w:rPr>
        <w:tab/>
        <w:t>57</w:t>
      </w:r>
      <w:r w:rsidRPr="00D03F3E">
        <w:rPr>
          <w:rFonts w:ascii="Times New Roman" w:hAnsi="Times New Roman"/>
          <w:color w:val="0070C0"/>
          <w:sz w:val="16"/>
          <w:szCs w:val="16"/>
        </w:rPr>
        <w:tab/>
        <w:t>37</w:t>
      </w:r>
    </w:p>
    <w:p w14:paraId="3586B13F"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ИТР обслуживающие</w:t>
      </w:r>
      <w:r w:rsidRPr="00D03F3E">
        <w:rPr>
          <w:rFonts w:ascii="Times New Roman" w:hAnsi="Times New Roman"/>
          <w:color w:val="0070C0"/>
          <w:sz w:val="16"/>
          <w:szCs w:val="16"/>
        </w:rPr>
        <w:tab/>
        <w:t>75</w:t>
      </w:r>
      <w:r w:rsidRPr="00D03F3E">
        <w:rPr>
          <w:rFonts w:ascii="Times New Roman" w:hAnsi="Times New Roman"/>
          <w:color w:val="0070C0"/>
          <w:sz w:val="16"/>
          <w:szCs w:val="16"/>
        </w:rPr>
        <w:tab/>
        <w:t>55</w:t>
      </w:r>
      <w:r w:rsidRPr="00D03F3E">
        <w:rPr>
          <w:rFonts w:ascii="Times New Roman" w:hAnsi="Times New Roman"/>
          <w:color w:val="0070C0"/>
          <w:sz w:val="16"/>
          <w:szCs w:val="16"/>
        </w:rPr>
        <w:tab/>
        <w:t>73,5</w:t>
      </w:r>
    </w:p>
    <w:p w14:paraId="0B4A9AE0"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Итого:</w:t>
      </w:r>
      <w:r w:rsidRPr="00D03F3E">
        <w:rPr>
          <w:rFonts w:ascii="Times New Roman" w:hAnsi="Times New Roman"/>
          <w:color w:val="0070C0"/>
          <w:sz w:val="16"/>
          <w:szCs w:val="16"/>
        </w:rPr>
        <w:tab/>
        <w:t>230</w:t>
      </w:r>
      <w:r w:rsidRPr="00D03F3E">
        <w:rPr>
          <w:rFonts w:ascii="Times New Roman" w:hAnsi="Times New Roman"/>
          <w:color w:val="0070C0"/>
          <w:sz w:val="16"/>
          <w:szCs w:val="16"/>
        </w:rPr>
        <w:tab/>
        <w:t>112</w:t>
      </w:r>
      <w:r w:rsidRPr="00D03F3E">
        <w:rPr>
          <w:rFonts w:ascii="Times New Roman" w:hAnsi="Times New Roman"/>
          <w:color w:val="0070C0"/>
          <w:sz w:val="16"/>
          <w:szCs w:val="16"/>
        </w:rPr>
        <w:tab/>
        <w:t>43,7</w:t>
      </w:r>
    </w:p>
    <w:p w14:paraId="482446CF"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Служащие производственные</w:t>
      </w:r>
      <w:r w:rsidRPr="00D03F3E">
        <w:rPr>
          <w:rFonts w:ascii="Times New Roman" w:hAnsi="Times New Roman"/>
          <w:color w:val="0070C0"/>
          <w:sz w:val="16"/>
          <w:szCs w:val="16"/>
        </w:rPr>
        <w:tab/>
        <w:t>25</w:t>
      </w:r>
      <w:r w:rsidRPr="00D03F3E">
        <w:rPr>
          <w:rFonts w:ascii="Times New Roman" w:hAnsi="Times New Roman"/>
          <w:color w:val="0070C0"/>
          <w:sz w:val="16"/>
          <w:szCs w:val="16"/>
        </w:rPr>
        <w:tab/>
        <w:t>6</w:t>
      </w:r>
      <w:r w:rsidRPr="00D03F3E">
        <w:rPr>
          <w:rFonts w:ascii="Times New Roman" w:hAnsi="Times New Roman"/>
          <w:color w:val="0070C0"/>
          <w:sz w:val="16"/>
          <w:szCs w:val="16"/>
        </w:rPr>
        <w:tab/>
        <w:t>24</w:t>
      </w:r>
    </w:p>
    <w:p w14:paraId="32BD5F52"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Служащие обслуживающие</w:t>
      </w:r>
      <w:r w:rsidRPr="00D03F3E">
        <w:rPr>
          <w:rFonts w:ascii="Times New Roman" w:hAnsi="Times New Roman"/>
          <w:color w:val="0070C0"/>
          <w:sz w:val="16"/>
          <w:szCs w:val="16"/>
        </w:rPr>
        <w:tab/>
        <w:t>25</w:t>
      </w:r>
      <w:r w:rsidRPr="00D03F3E">
        <w:rPr>
          <w:rFonts w:ascii="Times New Roman" w:hAnsi="Times New Roman"/>
          <w:color w:val="0070C0"/>
          <w:sz w:val="16"/>
          <w:szCs w:val="16"/>
        </w:rPr>
        <w:tab/>
        <w:t>17</w:t>
      </w:r>
      <w:r w:rsidRPr="00D03F3E">
        <w:rPr>
          <w:rFonts w:ascii="Times New Roman" w:hAnsi="Times New Roman"/>
          <w:color w:val="0070C0"/>
          <w:sz w:val="16"/>
          <w:szCs w:val="16"/>
        </w:rPr>
        <w:tab/>
        <w:t>68</w:t>
      </w:r>
    </w:p>
    <w:p w14:paraId="25FEAAC0"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Итого:</w:t>
      </w:r>
      <w:r w:rsidRPr="00D03F3E">
        <w:rPr>
          <w:rFonts w:ascii="Times New Roman" w:hAnsi="Times New Roman"/>
          <w:color w:val="0070C0"/>
          <w:sz w:val="16"/>
          <w:szCs w:val="16"/>
        </w:rPr>
        <w:tab/>
        <w:t>50</w:t>
      </w:r>
      <w:r w:rsidRPr="00D03F3E">
        <w:rPr>
          <w:rFonts w:ascii="Times New Roman" w:hAnsi="Times New Roman"/>
          <w:color w:val="0070C0"/>
          <w:sz w:val="16"/>
          <w:szCs w:val="16"/>
        </w:rPr>
        <w:tab/>
        <w:t>23</w:t>
      </w:r>
      <w:r w:rsidRPr="00D03F3E">
        <w:rPr>
          <w:rFonts w:ascii="Times New Roman" w:hAnsi="Times New Roman"/>
          <w:color w:val="0070C0"/>
          <w:sz w:val="16"/>
          <w:szCs w:val="16"/>
        </w:rPr>
        <w:tab/>
        <w:t>46</w:t>
      </w:r>
    </w:p>
    <w:p w14:paraId="35E9590C"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 МОП</w:t>
      </w:r>
      <w:r w:rsidRPr="00D03F3E">
        <w:rPr>
          <w:rFonts w:ascii="Times New Roman" w:hAnsi="Times New Roman"/>
          <w:color w:val="0070C0"/>
          <w:sz w:val="16"/>
          <w:szCs w:val="16"/>
        </w:rPr>
        <w:tab/>
        <w:t>5</w:t>
      </w:r>
      <w:r w:rsidRPr="00D03F3E">
        <w:rPr>
          <w:rFonts w:ascii="Times New Roman" w:hAnsi="Times New Roman"/>
          <w:color w:val="0070C0"/>
          <w:sz w:val="16"/>
          <w:szCs w:val="16"/>
        </w:rPr>
        <w:tab/>
        <w:t>9</w:t>
      </w:r>
      <w:r w:rsidRPr="00D03F3E">
        <w:rPr>
          <w:rFonts w:ascii="Times New Roman" w:hAnsi="Times New Roman"/>
          <w:color w:val="0070C0"/>
          <w:sz w:val="16"/>
          <w:szCs w:val="16"/>
        </w:rPr>
        <w:tab/>
        <w:t>180</w:t>
      </w:r>
    </w:p>
    <w:p w14:paraId="5409FE45"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 Ученики</w:t>
      </w:r>
      <w:r w:rsidRPr="00D03F3E">
        <w:rPr>
          <w:rFonts w:ascii="Times New Roman" w:hAnsi="Times New Roman"/>
          <w:color w:val="0070C0"/>
          <w:sz w:val="16"/>
          <w:szCs w:val="16"/>
        </w:rPr>
        <w:tab/>
        <w:t>5</w:t>
      </w:r>
      <w:r w:rsidRPr="00D03F3E">
        <w:rPr>
          <w:rFonts w:ascii="Times New Roman" w:hAnsi="Times New Roman"/>
          <w:color w:val="0070C0"/>
          <w:sz w:val="16"/>
          <w:szCs w:val="16"/>
        </w:rPr>
        <w:tab/>
        <w:t>4</w:t>
      </w:r>
      <w:r w:rsidRPr="00D03F3E">
        <w:rPr>
          <w:rFonts w:ascii="Times New Roman" w:hAnsi="Times New Roman"/>
          <w:color w:val="0070C0"/>
          <w:sz w:val="16"/>
          <w:szCs w:val="16"/>
        </w:rPr>
        <w:tab/>
        <w:t>80</w:t>
      </w:r>
    </w:p>
    <w:p w14:paraId="1E6C7FE6"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Всего:</w:t>
      </w:r>
      <w:r w:rsidRPr="00D03F3E">
        <w:rPr>
          <w:rFonts w:ascii="Times New Roman" w:hAnsi="Times New Roman"/>
          <w:color w:val="0070C0"/>
          <w:sz w:val="16"/>
          <w:szCs w:val="16"/>
        </w:rPr>
        <w:tab/>
        <w:t>500</w:t>
      </w:r>
      <w:r w:rsidRPr="00D03F3E">
        <w:rPr>
          <w:rFonts w:ascii="Times New Roman" w:hAnsi="Times New Roman"/>
          <w:color w:val="0070C0"/>
          <w:sz w:val="16"/>
          <w:szCs w:val="16"/>
        </w:rPr>
        <w:tab/>
        <w:t>271</w:t>
      </w:r>
      <w:r w:rsidRPr="00D03F3E">
        <w:rPr>
          <w:rFonts w:ascii="Times New Roman" w:hAnsi="Times New Roman"/>
          <w:color w:val="0070C0"/>
          <w:sz w:val="16"/>
          <w:szCs w:val="16"/>
        </w:rPr>
        <w:tab/>
        <w:t>54,2</w:t>
      </w:r>
    </w:p>
    <w:p w14:paraId="4373646F"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б) по средней зарплате</w:t>
      </w:r>
    </w:p>
    <w:p w14:paraId="3CE0D3E9"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ab/>
        <w:t>План</w:t>
      </w:r>
      <w:r w:rsidRPr="00D03F3E">
        <w:rPr>
          <w:rFonts w:ascii="Times New Roman" w:hAnsi="Times New Roman"/>
          <w:color w:val="0070C0"/>
          <w:sz w:val="16"/>
          <w:szCs w:val="16"/>
        </w:rPr>
        <w:tab/>
        <w:t>Фактически</w:t>
      </w:r>
      <w:r w:rsidRPr="00D03F3E">
        <w:rPr>
          <w:rFonts w:ascii="Times New Roman" w:hAnsi="Times New Roman"/>
          <w:color w:val="0070C0"/>
          <w:sz w:val="16"/>
          <w:szCs w:val="16"/>
        </w:rPr>
        <w:tab/>
        <w:t>% к плану</w:t>
      </w:r>
    </w:p>
    <w:p w14:paraId="182E6677"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Рабочие</w:t>
      </w:r>
      <w:r w:rsidRPr="00D03F3E">
        <w:rPr>
          <w:rFonts w:ascii="Times New Roman" w:hAnsi="Times New Roman"/>
          <w:color w:val="0070C0"/>
          <w:sz w:val="16"/>
          <w:szCs w:val="16"/>
        </w:rPr>
        <w:tab/>
        <w:t>675</w:t>
      </w:r>
      <w:r w:rsidRPr="00D03F3E">
        <w:rPr>
          <w:rFonts w:ascii="Times New Roman" w:hAnsi="Times New Roman"/>
          <w:color w:val="0070C0"/>
          <w:sz w:val="16"/>
          <w:szCs w:val="16"/>
        </w:rPr>
        <w:tab/>
        <w:t>768</w:t>
      </w:r>
      <w:r w:rsidRPr="00D03F3E">
        <w:rPr>
          <w:rFonts w:ascii="Times New Roman" w:hAnsi="Times New Roman"/>
          <w:color w:val="0070C0"/>
          <w:sz w:val="16"/>
          <w:szCs w:val="16"/>
        </w:rPr>
        <w:tab/>
        <w:t>113,7</w:t>
      </w:r>
    </w:p>
    <w:p w14:paraId="471DAE62"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(Л. 88) 2. ИТР</w:t>
      </w:r>
      <w:r w:rsidRPr="00D03F3E">
        <w:rPr>
          <w:rFonts w:ascii="Times New Roman" w:hAnsi="Times New Roman"/>
          <w:color w:val="0070C0"/>
          <w:sz w:val="16"/>
          <w:szCs w:val="16"/>
        </w:rPr>
        <w:tab/>
        <w:t>1100</w:t>
      </w:r>
      <w:r w:rsidRPr="00D03F3E">
        <w:rPr>
          <w:rFonts w:ascii="Times New Roman" w:hAnsi="Times New Roman"/>
          <w:color w:val="0070C0"/>
          <w:sz w:val="16"/>
          <w:szCs w:val="16"/>
        </w:rPr>
        <w:tab/>
        <w:t>1535</w:t>
      </w:r>
      <w:r w:rsidRPr="00D03F3E">
        <w:rPr>
          <w:rFonts w:ascii="Times New Roman" w:hAnsi="Times New Roman"/>
          <w:color w:val="0070C0"/>
          <w:sz w:val="16"/>
          <w:szCs w:val="16"/>
        </w:rPr>
        <w:tab/>
        <w:t>139,9</w:t>
      </w:r>
    </w:p>
    <w:p w14:paraId="58B7C68F"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Служащие</w:t>
      </w:r>
      <w:r w:rsidRPr="00D03F3E">
        <w:rPr>
          <w:rFonts w:ascii="Times New Roman" w:hAnsi="Times New Roman"/>
          <w:color w:val="0070C0"/>
          <w:sz w:val="16"/>
          <w:szCs w:val="16"/>
        </w:rPr>
        <w:tab/>
        <w:t>525</w:t>
      </w:r>
      <w:r w:rsidRPr="00D03F3E">
        <w:rPr>
          <w:rFonts w:ascii="Times New Roman" w:hAnsi="Times New Roman"/>
          <w:color w:val="0070C0"/>
          <w:sz w:val="16"/>
          <w:szCs w:val="16"/>
        </w:rPr>
        <w:tab/>
        <w:t>535</w:t>
      </w:r>
      <w:r w:rsidRPr="00D03F3E">
        <w:rPr>
          <w:rFonts w:ascii="Times New Roman" w:hAnsi="Times New Roman"/>
          <w:color w:val="0070C0"/>
          <w:sz w:val="16"/>
          <w:szCs w:val="16"/>
        </w:rPr>
        <w:tab/>
        <w:t>101,9</w:t>
      </w:r>
    </w:p>
    <w:p w14:paraId="1D493770"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 МОП</w:t>
      </w:r>
      <w:r w:rsidRPr="00D03F3E">
        <w:rPr>
          <w:rFonts w:ascii="Times New Roman" w:hAnsi="Times New Roman"/>
          <w:color w:val="0070C0"/>
          <w:sz w:val="16"/>
          <w:szCs w:val="16"/>
        </w:rPr>
        <w:tab/>
        <w:t>227</w:t>
      </w:r>
      <w:r w:rsidRPr="00D03F3E">
        <w:rPr>
          <w:rFonts w:ascii="Times New Roman" w:hAnsi="Times New Roman"/>
          <w:color w:val="0070C0"/>
          <w:sz w:val="16"/>
          <w:szCs w:val="16"/>
        </w:rPr>
        <w:tab/>
        <w:t>263</w:t>
      </w:r>
      <w:r w:rsidRPr="00D03F3E">
        <w:rPr>
          <w:rFonts w:ascii="Times New Roman" w:hAnsi="Times New Roman"/>
          <w:color w:val="0070C0"/>
          <w:sz w:val="16"/>
          <w:szCs w:val="16"/>
        </w:rPr>
        <w:tab/>
        <w:t>115,8</w:t>
      </w:r>
    </w:p>
    <w:p w14:paraId="1CE09536"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 Ученики</w:t>
      </w:r>
      <w:r w:rsidRPr="00D03F3E">
        <w:rPr>
          <w:rFonts w:ascii="Times New Roman" w:hAnsi="Times New Roman"/>
          <w:color w:val="0070C0"/>
          <w:sz w:val="16"/>
          <w:szCs w:val="16"/>
        </w:rPr>
        <w:tab/>
        <w:t>200</w:t>
      </w:r>
      <w:r w:rsidRPr="00D03F3E">
        <w:rPr>
          <w:rFonts w:ascii="Times New Roman" w:hAnsi="Times New Roman"/>
          <w:color w:val="0070C0"/>
          <w:sz w:val="16"/>
          <w:szCs w:val="16"/>
        </w:rPr>
        <w:tab/>
        <w:t>245</w:t>
      </w:r>
      <w:r w:rsidRPr="00D03F3E">
        <w:rPr>
          <w:rFonts w:ascii="Times New Roman" w:hAnsi="Times New Roman"/>
          <w:color w:val="0070C0"/>
          <w:sz w:val="16"/>
          <w:szCs w:val="16"/>
        </w:rPr>
        <w:tab/>
        <w:t>122,5</w:t>
      </w:r>
    </w:p>
    <w:p w14:paraId="6EC90411"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 Производительность труда</w:t>
      </w:r>
    </w:p>
    <w:p w14:paraId="30ADFD02"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 отчетный год имеет место рост производительности труда, который привел к увеличению количества стахановцев и ударников, а также к появлению двухсотников.</w:t>
      </w:r>
    </w:p>
    <w:p w14:paraId="1DD000E2"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Среднесписочный состав, человек</w:t>
      </w:r>
      <w:r w:rsidRPr="00D03F3E">
        <w:rPr>
          <w:rFonts w:ascii="Times New Roman" w:hAnsi="Times New Roman"/>
          <w:color w:val="0070C0"/>
          <w:sz w:val="16"/>
          <w:szCs w:val="16"/>
        </w:rPr>
        <w:tab/>
        <w:t>Переработка  норм</w:t>
      </w:r>
      <w:r w:rsidRPr="00D03F3E">
        <w:rPr>
          <w:rFonts w:ascii="Times New Roman" w:hAnsi="Times New Roman"/>
          <w:color w:val="0070C0"/>
          <w:sz w:val="16"/>
          <w:szCs w:val="16"/>
        </w:rPr>
        <w:tab/>
        <w:t>Количество стаха- новцев, ударников и двухсотников</w:t>
      </w:r>
    </w:p>
    <w:p w14:paraId="4FBE98B2"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I квартал 1942 г. 422 человека</w:t>
      </w:r>
      <w:r w:rsidRPr="00D03F3E">
        <w:rPr>
          <w:rFonts w:ascii="Times New Roman" w:hAnsi="Times New Roman"/>
          <w:color w:val="0070C0"/>
          <w:sz w:val="16"/>
          <w:szCs w:val="16"/>
        </w:rPr>
        <w:tab/>
        <w:t>130%</w:t>
      </w:r>
      <w:r w:rsidRPr="00D03F3E">
        <w:rPr>
          <w:rFonts w:ascii="Times New Roman" w:hAnsi="Times New Roman"/>
          <w:color w:val="0070C0"/>
          <w:sz w:val="16"/>
          <w:szCs w:val="16"/>
        </w:rPr>
        <w:tab/>
        <w:t>107 человек</w:t>
      </w:r>
    </w:p>
    <w:p w14:paraId="5DF4C026"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IV квартал 1942 г. 318 человек</w:t>
      </w:r>
      <w:r w:rsidRPr="00D03F3E">
        <w:rPr>
          <w:rFonts w:ascii="Times New Roman" w:hAnsi="Times New Roman"/>
          <w:color w:val="0070C0"/>
          <w:sz w:val="16"/>
          <w:szCs w:val="16"/>
        </w:rPr>
        <w:tab/>
        <w:t>144%</w:t>
      </w:r>
      <w:r w:rsidRPr="00D03F3E">
        <w:rPr>
          <w:rFonts w:ascii="Times New Roman" w:hAnsi="Times New Roman"/>
          <w:color w:val="0070C0"/>
          <w:sz w:val="16"/>
          <w:szCs w:val="16"/>
        </w:rPr>
        <w:tab/>
        <w:t>123 человека</w:t>
      </w:r>
    </w:p>
    <w:p w14:paraId="117C69B1"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(Л. 89) Таким образом, в IV квартале по сравнению с I кварталом 1942 года среднемесячный состав сократился на 25%, переработка же норм выросла на 14%, а также увеличилось на 15% количество двухсотников, стахановцев и ударников.</w:t>
      </w:r>
    </w:p>
    <w:p w14:paraId="6CEF76C0"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Расходование фондов заработной платы велось в соответствии с планом, превышение средних заработков против плана объясняется большим количеством сверхурочных часов за счет недобора состава работников, а также увеличения производительности труда:_______________________</w:t>
      </w:r>
    </w:p>
    <w:p w14:paraId="39ABA095"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ab/>
        <w:t>I квартал</w:t>
      </w:r>
      <w:r w:rsidRPr="00D03F3E">
        <w:rPr>
          <w:rFonts w:ascii="Times New Roman" w:hAnsi="Times New Roman"/>
          <w:color w:val="0070C0"/>
          <w:sz w:val="16"/>
          <w:szCs w:val="16"/>
        </w:rPr>
        <w:tab/>
        <w:t>IV квартал</w:t>
      </w:r>
    </w:p>
    <w:p w14:paraId="083C3F49"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Стахановцев</w:t>
      </w:r>
      <w:r w:rsidRPr="00D03F3E">
        <w:rPr>
          <w:rFonts w:ascii="Times New Roman" w:hAnsi="Times New Roman"/>
          <w:color w:val="0070C0"/>
          <w:sz w:val="16"/>
          <w:szCs w:val="16"/>
        </w:rPr>
        <w:tab/>
        <w:t>60 человек</w:t>
      </w:r>
      <w:r w:rsidRPr="00D03F3E">
        <w:rPr>
          <w:rFonts w:ascii="Times New Roman" w:hAnsi="Times New Roman"/>
          <w:color w:val="0070C0"/>
          <w:sz w:val="16"/>
          <w:szCs w:val="16"/>
        </w:rPr>
        <w:tab/>
        <w:t>48 человек</w:t>
      </w:r>
    </w:p>
    <w:p w14:paraId="0A548E1E"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Ударников</w:t>
      </w:r>
      <w:r w:rsidRPr="00D03F3E">
        <w:rPr>
          <w:rFonts w:ascii="Times New Roman" w:hAnsi="Times New Roman"/>
          <w:color w:val="0070C0"/>
          <w:sz w:val="16"/>
          <w:szCs w:val="16"/>
        </w:rPr>
        <w:tab/>
        <w:t>47 человек</w:t>
      </w:r>
      <w:r w:rsidRPr="00D03F3E">
        <w:rPr>
          <w:rFonts w:ascii="Times New Roman" w:hAnsi="Times New Roman"/>
          <w:color w:val="0070C0"/>
          <w:sz w:val="16"/>
          <w:szCs w:val="16"/>
        </w:rPr>
        <w:tab/>
        <w:t>63 человека</w:t>
      </w:r>
    </w:p>
    <w:p w14:paraId="68DCCA05"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Двухсотников</w:t>
      </w:r>
      <w:r w:rsidRPr="00D03F3E">
        <w:rPr>
          <w:rFonts w:ascii="Times New Roman" w:hAnsi="Times New Roman"/>
          <w:color w:val="0070C0"/>
          <w:sz w:val="16"/>
          <w:szCs w:val="16"/>
        </w:rPr>
        <w:tab/>
        <w:t>-</w:t>
      </w:r>
      <w:r w:rsidRPr="00D03F3E">
        <w:rPr>
          <w:rFonts w:ascii="Times New Roman" w:hAnsi="Times New Roman"/>
          <w:color w:val="0070C0"/>
          <w:sz w:val="16"/>
          <w:szCs w:val="16"/>
        </w:rPr>
        <w:tab/>
        <w:t>12 человек</w:t>
      </w:r>
    </w:p>
    <w:p w14:paraId="793F19B3"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ЦАНО. Ф. 2066. Оп. 7. Д. 3. Л. 80-84.</w:t>
      </w:r>
    </w:p>
    <w:p w14:paraId="04C9D9D9"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Копия. Машинопись (20952).</w:t>
      </w:r>
    </w:p>
    <w:p w14:paraId="4EB70A03" w14:textId="77777777" w:rsidR="0074048E" w:rsidRPr="00D03F3E" w:rsidRDefault="0074048E" w:rsidP="00D03F3E">
      <w:pPr>
        <w:spacing w:after="0" w:line="240" w:lineRule="auto"/>
        <w:jc w:val="both"/>
        <w:rPr>
          <w:rFonts w:ascii="Times New Roman" w:hAnsi="Times New Roman"/>
          <w:color w:val="0070C0"/>
          <w:sz w:val="16"/>
          <w:szCs w:val="16"/>
        </w:rPr>
      </w:pPr>
    </w:p>
    <w:p w14:paraId="30FE0EE7" w14:textId="77777777" w:rsidR="00394721" w:rsidRPr="00D03F3E" w:rsidRDefault="0039472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феврале 1943 г. в 21-м авиаполку во время эксплуатации самолетов ЛаГГ-3 при обучении летного состава на нескольких моторах была обнаружена течь масла. Как выясни</w:t>
      </w:r>
      <w:r w:rsidRPr="00D03F3E">
        <w:rPr>
          <w:color w:val="000000" w:themeColor="text1"/>
          <w:sz w:val="16"/>
          <w:szCs w:val="16"/>
        </w:rPr>
        <w:softHyphen/>
        <w:t>лось в дальнейшем (Акт 21-го иап от 24.3.43 № 019), появление течи масла объясняется недоброкаче</w:t>
      </w:r>
      <w:r w:rsidRPr="00D03F3E">
        <w:rPr>
          <w:color w:val="000000" w:themeColor="text1"/>
          <w:sz w:val="16"/>
          <w:szCs w:val="16"/>
        </w:rPr>
        <w:softHyphen/>
        <w:t>ственностью сборки моторов заводом № 466.</w:t>
      </w:r>
    </w:p>
    <w:p w14:paraId="1D8E7303" w14:textId="77777777" w:rsidR="00394721" w:rsidRPr="00D03F3E" w:rsidRDefault="0039472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Были попытки объяснить появление течи мас</w:t>
      </w:r>
      <w:r w:rsidRPr="00D03F3E">
        <w:rPr>
          <w:color w:val="000000" w:themeColor="text1"/>
          <w:sz w:val="16"/>
          <w:szCs w:val="16"/>
        </w:rPr>
        <w:softHyphen/>
        <w:t>ла влиянием стрельбы пушки. Причем это мнение было подхвачено т. Шпитальным и всячески им рас</w:t>
      </w:r>
      <w:r w:rsidRPr="00D03F3E">
        <w:rPr>
          <w:color w:val="000000" w:themeColor="text1"/>
          <w:sz w:val="16"/>
          <w:szCs w:val="16"/>
        </w:rPr>
        <w:softHyphen/>
        <w:t>пространялось в целях дискредитации 37-мм пуш</w:t>
      </w:r>
      <w:r w:rsidRPr="00D03F3E">
        <w:rPr>
          <w:color w:val="000000" w:themeColor="text1"/>
          <w:sz w:val="16"/>
          <w:szCs w:val="16"/>
        </w:rPr>
        <w:softHyphen/>
        <w:t>ки ОКБ-16.</w:t>
      </w:r>
    </w:p>
    <w:p w14:paraId="7CDEEB50" w14:textId="77777777" w:rsidR="00394721" w:rsidRPr="00D03F3E" w:rsidRDefault="0039472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Расчетное усилие отдачи пушки ОКБ-16 — 2300 кг (расчетное усилие отдачи пушки Шпиталь</w:t>
      </w:r>
      <w:r w:rsidRPr="00D03F3E">
        <w:rPr>
          <w:color w:val="000000" w:themeColor="text1"/>
          <w:sz w:val="16"/>
          <w:szCs w:val="16"/>
        </w:rPr>
        <w:softHyphen/>
        <w:t>ного около 3000 кг). При этом усилии отдачи на од</w:t>
      </w:r>
      <w:r w:rsidRPr="00D03F3E">
        <w:rPr>
          <w:color w:val="000000" w:themeColor="text1"/>
          <w:sz w:val="16"/>
          <w:szCs w:val="16"/>
        </w:rPr>
        <w:softHyphen/>
        <w:t>ном моторе самолета ЛаГГ-3 № 312197 были испы</w:t>
      </w:r>
      <w:r w:rsidRPr="00D03F3E">
        <w:rPr>
          <w:color w:val="000000" w:themeColor="text1"/>
          <w:sz w:val="16"/>
          <w:szCs w:val="16"/>
        </w:rPr>
        <w:softHyphen/>
        <w:t>таны на земле и в воздухе 2 пушки ОКБ-16 с общим настрелом 4340 выстрелов.</w:t>
      </w:r>
    </w:p>
    <w:p w14:paraId="0EF6693B" w14:textId="77777777" w:rsidR="00394721" w:rsidRPr="00D03F3E" w:rsidRDefault="0039472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 самолете Як-9 во время полигонных испы</w:t>
      </w:r>
      <w:r w:rsidRPr="00D03F3E">
        <w:rPr>
          <w:color w:val="000000" w:themeColor="text1"/>
          <w:sz w:val="16"/>
          <w:szCs w:val="16"/>
        </w:rPr>
        <w:softHyphen/>
        <w:t>таний пушки ОКБ-16 на моторе было произведено 1270 выстрелов. При отстреле на живучесть 2 са</w:t>
      </w:r>
      <w:r w:rsidRPr="00D03F3E">
        <w:rPr>
          <w:color w:val="000000" w:themeColor="text1"/>
          <w:sz w:val="16"/>
          <w:szCs w:val="16"/>
        </w:rPr>
        <w:softHyphen/>
        <w:t>молетов Як-9 на заводе № 153 из каждой пушки на моторе произведено по 750 выстрелов на земле и в воздухе. Во всех перечисленных случаях мото</w:t>
      </w:r>
      <w:r w:rsidRPr="00D03F3E">
        <w:rPr>
          <w:color w:val="000000" w:themeColor="text1"/>
          <w:sz w:val="16"/>
          <w:szCs w:val="16"/>
        </w:rPr>
        <w:softHyphen/>
        <w:t>ры работали безукоризненно.</w:t>
      </w:r>
    </w:p>
    <w:p w14:paraId="1E2FB801" w14:textId="77777777" w:rsidR="00394721" w:rsidRPr="00D03F3E" w:rsidRDefault="0039472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Переднее силовое крепление на самолете Ил-2, запроектированное под усилие отдачи 2300 кг, на полигонных испытаниях при настреле из каждой пушки свыше 800 выстрелов и при отстреле на жи</w:t>
      </w:r>
      <w:r w:rsidRPr="00D03F3E">
        <w:rPr>
          <w:color w:val="000000" w:themeColor="text1"/>
          <w:sz w:val="16"/>
          <w:szCs w:val="16"/>
        </w:rPr>
        <w:softHyphen/>
        <w:t>вучесть (настрел из каждой пушки около 1000 вы</w:t>
      </w:r>
      <w:r w:rsidRPr="00D03F3E">
        <w:rPr>
          <w:color w:val="000000" w:themeColor="text1"/>
          <w:sz w:val="16"/>
          <w:szCs w:val="16"/>
        </w:rPr>
        <w:softHyphen/>
        <w:t>стрелов) также показало удовлетворительную жи</w:t>
      </w:r>
      <w:r w:rsidRPr="00D03F3E">
        <w:rPr>
          <w:color w:val="000000" w:themeColor="text1"/>
          <w:sz w:val="16"/>
          <w:szCs w:val="16"/>
        </w:rPr>
        <w:softHyphen/>
        <w:t>вучесть.</w:t>
      </w:r>
    </w:p>
    <w:p w14:paraId="27B2C15A" w14:textId="77777777" w:rsidR="00394721" w:rsidRPr="00D03F3E" w:rsidRDefault="0039472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Таким образом, прочность моторов при дей</w:t>
      </w:r>
      <w:r w:rsidRPr="00D03F3E">
        <w:rPr>
          <w:color w:val="000000" w:themeColor="text1"/>
          <w:sz w:val="16"/>
          <w:szCs w:val="16"/>
        </w:rPr>
        <w:softHyphen/>
        <w:t>ствии пушки сомнений не вызывает, а достаточная прочность переднего силового крепления на Ил-2 подтверждает правильность расчетной величины усилия отдачи.</w:t>
      </w:r>
    </w:p>
    <w:p w14:paraId="0FB05C03" w14:textId="77777777" w:rsidR="00394721" w:rsidRPr="00D03F3E" w:rsidRDefault="0039472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марте с.г. в связи с появлением течи масла управление ВВС КА было принято решение об ис</w:t>
      </w:r>
      <w:r w:rsidRPr="00D03F3E">
        <w:rPr>
          <w:color w:val="000000" w:themeColor="text1"/>
          <w:sz w:val="16"/>
          <w:szCs w:val="16"/>
        </w:rPr>
        <w:softHyphen/>
        <w:t>пытании на живучесть 1 самолета ЛаГГ-3 из опыт</w:t>
      </w:r>
      <w:r w:rsidRPr="00D03F3E">
        <w:rPr>
          <w:color w:val="000000" w:themeColor="text1"/>
          <w:sz w:val="16"/>
          <w:szCs w:val="16"/>
        </w:rPr>
        <w:softHyphen/>
        <w:t>ной серии.</w:t>
      </w:r>
    </w:p>
    <w:p w14:paraId="7BC6890C" w14:textId="77777777" w:rsidR="00394721" w:rsidRPr="00D03F3E" w:rsidRDefault="0039472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связи с тем, что за это время на заводе № 153 проведены отстрелы на живучесть 2 Як-9, а также изготовлено значительное количество этих самоле</w:t>
      </w:r>
      <w:r w:rsidRPr="00D03F3E">
        <w:rPr>
          <w:color w:val="000000" w:themeColor="text1"/>
          <w:sz w:val="16"/>
          <w:szCs w:val="16"/>
        </w:rPr>
        <w:softHyphen/>
        <w:t>тов, испытание на живучесть самолета ЛаГГ-3 пред</w:t>
      </w:r>
      <w:r w:rsidRPr="00D03F3E">
        <w:rPr>
          <w:color w:val="000000" w:themeColor="text1"/>
          <w:sz w:val="16"/>
          <w:szCs w:val="16"/>
        </w:rPr>
        <w:softHyphen/>
        <w:t>ставляется нецелесообразным.</w:t>
      </w:r>
    </w:p>
    <w:p w14:paraId="0A8486C7" w14:textId="77777777" w:rsidR="00394721" w:rsidRPr="00D03F3E" w:rsidRDefault="0039472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Тем более что недоброкачественность мотора завода № 466 может снова послужить поводом для дискредитации пушки ОКБ-16.</w:t>
      </w:r>
    </w:p>
    <w:p w14:paraId="193325AF" w14:textId="77777777" w:rsidR="00394721" w:rsidRPr="00D03F3E" w:rsidRDefault="0039472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Прошу отменить решение об испытании на жи</w:t>
      </w:r>
      <w:r w:rsidRPr="00D03F3E">
        <w:rPr>
          <w:color w:val="000000" w:themeColor="text1"/>
          <w:sz w:val="16"/>
          <w:szCs w:val="16"/>
        </w:rPr>
        <w:softHyphen/>
        <w:t>вучесть самолета ЛаГГ-3 и дать указание о срочном проведении отстрела на живучесть серийного са</w:t>
      </w:r>
      <w:r w:rsidRPr="00D03F3E">
        <w:rPr>
          <w:color w:val="000000" w:themeColor="text1"/>
          <w:sz w:val="16"/>
          <w:szCs w:val="16"/>
        </w:rPr>
        <w:softHyphen/>
        <w:t>молета Як-9 с 37-мм пушкой ОКБ-16».</w:t>
      </w:r>
    </w:p>
    <w:p w14:paraId="5A39768D" w14:textId="77777777" w:rsidR="00394721" w:rsidRPr="00D03F3E" w:rsidRDefault="0039472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Поставив на вооружение противотанковые ва</w:t>
      </w:r>
      <w:r w:rsidRPr="00D03F3E">
        <w:rPr>
          <w:color w:val="000000" w:themeColor="text1"/>
          <w:sz w:val="16"/>
          <w:szCs w:val="16"/>
        </w:rPr>
        <w:softHyphen/>
        <w:t>рианты истребителей (ЛаГГ-3, Як-9т) и штурмовиков Ил-2, советское командование всерьез рассчитыва</w:t>
      </w:r>
      <w:r w:rsidRPr="00D03F3E">
        <w:rPr>
          <w:color w:val="000000" w:themeColor="text1"/>
          <w:sz w:val="16"/>
          <w:szCs w:val="16"/>
        </w:rPr>
        <w:softHyphen/>
        <w:t>ло в летней кампании 1943 г. сокрушить брониро</w:t>
      </w:r>
      <w:r w:rsidRPr="00D03F3E">
        <w:rPr>
          <w:color w:val="000000" w:themeColor="text1"/>
          <w:sz w:val="16"/>
          <w:szCs w:val="16"/>
        </w:rPr>
        <w:softHyphen/>
        <w:t>ванный «зверинец» вермахта. Однако реальность оказалась более чем приземленной.</w:t>
      </w:r>
    </w:p>
    <w:p w14:paraId="6985E01A" w14:textId="77777777" w:rsidR="00394721" w:rsidRPr="00D03F3E" w:rsidRDefault="0039472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Основная проблема состояла в обеспечении точной стрельбы из пушек 11П по малоразмерным целям. Двухместный Ил-2 был неустойчив в про</w:t>
      </w:r>
      <w:r w:rsidRPr="00D03F3E">
        <w:rPr>
          <w:color w:val="000000" w:themeColor="text1"/>
          <w:sz w:val="16"/>
          <w:szCs w:val="16"/>
        </w:rPr>
        <w:softHyphen/>
        <w:t>дольном отношении в еще большей степени, чем одноместный Ил-2, и в силу этого стрельба из 11П сказывалась на полете самолета значительно сильнее.</w:t>
      </w:r>
    </w:p>
    <w:p w14:paraId="4FF34054" w14:textId="77777777" w:rsidR="00394721" w:rsidRPr="00D03F3E" w:rsidRDefault="0039472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Эффективность стрельбы в воздухе из 11П с са</w:t>
      </w:r>
      <w:r w:rsidRPr="00D03F3E">
        <w:rPr>
          <w:color w:val="000000" w:themeColor="text1"/>
          <w:sz w:val="16"/>
          <w:szCs w:val="16"/>
        </w:rPr>
        <w:softHyphen/>
        <w:t>молета Ил-2 по немецким танкам практически ни</w:t>
      </w:r>
      <w:r w:rsidRPr="00D03F3E">
        <w:rPr>
          <w:color w:val="000000" w:themeColor="text1"/>
          <w:sz w:val="16"/>
          <w:szCs w:val="16"/>
        </w:rPr>
        <w:softHyphen/>
        <w:t>чем не отличалась от стрельбы из пушки Ш-37 и ха</w:t>
      </w:r>
      <w:r w:rsidRPr="00D03F3E">
        <w:rPr>
          <w:color w:val="000000" w:themeColor="text1"/>
          <w:sz w:val="16"/>
          <w:szCs w:val="16"/>
        </w:rPr>
        <w:softHyphen/>
        <w:t>рактеризовалась тем, что 52% попаданий снарядов по среднему танку и 73% попаданий по легкому танку выводили их из строя. При этом лишь в 43% вылетов получались попадания в танки, а число по</w:t>
      </w:r>
      <w:r w:rsidRPr="00D03F3E">
        <w:rPr>
          <w:color w:val="000000" w:themeColor="text1"/>
          <w:sz w:val="16"/>
          <w:szCs w:val="16"/>
        </w:rPr>
        <w:softHyphen/>
        <w:t>паданий к израсходованному боекомплекту не пре</w:t>
      </w:r>
      <w:r w:rsidRPr="00D03F3E">
        <w:rPr>
          <w:color w:val="000000" w:themeColor="text1"/>
          <w:sz w:val="16"/>
          <w:szCs w:val="16"/>
        </w:rPr>
        <w:softHyphen/>
        <w:t>вышало 3% (17500).</w:t>
      </w:r>
    </w:p>
    <w:p w14:paraId="41F7AC29" w14:textId="77777777" w:rsidR="00394721" w:rsidRPr="00D03F3E" w:rsidRDefault="00394721" w:rsidP="00D03F3E">
      <w:pPr>
        <w:pStyle w:val="12a"/>
        <w:shd w:val="clear" w:color="auto" w:fill="auto"/>
        <w:spacing w:after="0" w:line="240" w:lineRule="auto"/>
        <w:jc w:val="both"/>
        <w:rPr>
          <w:color w:val="000000" w:themeColor="text1"/>
          <w:sz w:val="16"/>
          <w:szCs w:val="16"/>
        </w:rPr>
      </w:pPr>
    </w:p>
    <w:p w14:paraId="55946B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в ОКБ-155 начали разрабатывать вариант размещения на истребителе МиГ-3 нового 18-ти цилиндрового двигателя воздушного охлаждения М-90 мощностью 2000 л.с. разработки ОКБ-29. Однако мотор испытания прошел, но по ряду причин в серию запущен не был, главным образом из-за отсутствия производственных мощностей. В связи с этим работы над этим проектом МиГ-3 были прекращены (5485,32).</w:t>
      </w:r>
    </w:p>
    <w:p w14:paraId="39FF09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1A3A0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года постройка шести планеров МИГ-3 на опытном заводе № 155, которая первона</w:t>
      </w:r>
      <w:r w:rsidRPr="00D03F3E">
        <w:rPr>
          <w:rFonts w:ascii="Times New Roman" w:hAnsi="Times New Roman"/>
          <w:color w:val="000000" w:themeColor="text1"/>
          <w:sz w:val="16"/>
          <w:szCs w:val="16"/>
        </w:rPr>
        <w:softHyphen/>
        <w:t>чально выполнялась в инициативном порядке, за</w:t>
      </w:r>
      <w:r w:rsidRPr="00D03F3E">
        <w:rPr>
          <w:rFonts w:ascii="Times New Roman" w:hAnsi="Times New Roman"/>
          <w:color w:val="000000" w:themeColor="text1"/>
          <w:sz w:val="16"/>
          <w:szCs w:val="16"/>
        </w:rPr>
        <w:softHyphen/>
        <w:t>вершилась. Однако включение работ в план опытно</w:t>
      </w:r>
      <w:r w:rsidRPr="00D03F3E">
        <w:rPr>
          <w:rFonts w:ascii="Times New Roman" w:hAnsi="Times New Roman"/>
          <w:color w:val="000000" w:themeColor="text1"/>
          <w:sz w:val="16"/>
          <w:szCs w:val="16"/>
        </w:rPr>
        <w:softHyphen/>
        <w:t>го строительства и открытие финансирования (было выделено 2500 рублей) позволили основательно до</w:t>
      </w:r>
      <w:r w:rsidRPr="00D03F3E">
        <w:rPr>
          <w:rFonts w:ascii="Times New Roman" w:hAnsi="Times New Roman"/>
          <w:color w:val="000000" w:themeColor="text1"/>
          <w:sz w:val="16"/>
          <w:szCs w:val="16"/>
        </w:rPr>
        <w:softHyphen/>
        <w:t>работать истребители для действий на больших высотах. Хотя в феврале не было сдано ни одного но</w:t>
      </w:r>
      <w:r w:rsidRPr="00D03F3E">
        <w:rPr>
          <w:rFonts w:ascii="Times New Roman" w:hAnsi="Times New Roman"/>
          <w:color w:val="000000" w:themeColor="text1"/>
          <w:sz w:val="16"/>
          <w:szCs w:val="16"/>
        </w:rPr>
        <w:softHyphen/>
        <w:t>вого мотора АМ—35А, в следующем месяце их выпу</w:t>
      </w:r>
      <w:r w:rsidRPr="00D03F3E">
        <w:rPr>
          <w:rFonts w:ascii="Times New Roman" w:hAnsi="Times New Roman"/>
          <w:color w:val="000000" w:themeColor="text1"/>
          <w:sz w:val="16"/>
          <w:szCs w:val="16"/>
        </w:rPr>
        <w:softHyphen/>
        <w:t>стили 14 штук и все передали Микояну. Вскоре нар</w:t>
      </w:r>
      <w:r w:rsidRPr="00D03F3E">
        <w:rPr>
          <w:rFonts w:ascii="Times New Roman" w:hAnsi="Times New Roman"/>
          <w:color w:val="000000" w:themeColor="text1"/>
          <w:sz w:val="16"/>
          <w:szCs w:val="16"/>
        </w:rPr>
        <w:softHyphen/>
        <w:t>ком авиапромышленности утвердил план опытного самолетостроения, который предусматривал пост</w:t>
      </w:r>
      <w:r w:rsidRPr="00D03F3E">
        <w:rPr>
          <w:rFonts w:ascii="Times New Roman" w:hAnsi="Times New Roman"/>
          <w:color w:val="000000" w:themeColor="text1"/>
          <w:sz w:val="16"/>
          <w:szCs w:val="16"/>
        </w:rPr>
        <w:softHyphen/>
        <w:t>ройку 14 различных высотных самолетов с потолком не менее 12000 м (9984).</w:t>
      </w:r>
    </w:p>
    <w:p w14:paraId="7130C9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A86A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возобновились полеты на И-220 АМ-38Ф, которые в основном имели целью отработку шасси, поначалу не желавшего убираться. К 8 января 1943 г. на И-220 зав. № 01, который отправился в первый полет с обычным, нефорсированным мотором АМ-38 ввиду отсутствия АМ-39, поставили мотор АМ-38Ф, усилили центроплан и провели ряд других доработок. Даже с мотором АМ-38Ф самолет обладал неплохой Двигатель АМ-39 скоростью: 576 км/ч у земли и 624 км/ч на высоте 2650 м. Высоту 3000 м самолет набирал за 2,5 мин, а 5000 м - за 4,6 мин. В начале 1943 г. на высотах до 4000...5000 м истребитель И-220 мог уверенно потягаться с любой серийной неприятельской машиной.</w:t>
      </w:r>
    </w:p>
    <w:p w14:paraId="130A28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апреле 1943 г. был получен опытный мотор АМ-39. Первый вылет И-220 с новым "сердцем" выполнил 25 мая 1943 г. В июле, отладив работу мотора и радиаторов, приступили к определению основных летных характеристик. На боевом режиме работы двигателя самолет достиг скорости 614 км/ч на высоте 2700 м и 697 км/ч на 7800 м. Высоту 5000 м самолет набирал за 4,5 мин, а 8000 м - за 8,2 мин. Однако бочки меда не бывает без ложки дегтя. В процессе испытаний пришлось пять раз заменять двигатели АМ-39. Мотор имел множество конструктивных дефектов. В сентябре 1943 г. А.И. Микоян был вынужден снова вернуться к серийному АМ-38Ф. 1 октября 1943 г. полеты возобновились, а уже на следующий день машина потерпела аварию, и ее отправили в ремонт. Тем временем на заводе №155 строился второй экземпляр И-220, также с двигателем АМ-38Ф. </w:t>
      </w:r>
    </w:p>
    <w:p w14:paraId="07C5A5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летно-технические характеристики опытных самолетов Микояна и Гуревича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860B4B" w:rsidRPr="00D03F3E" w14:paraId="1F8151B2" w14:textId="77777777">
        <w:tc>
          <w:tcPr>
            <w:tcW w:w="1868" w:type="dxa"/>
            <w:tcBorders>
              <w:top w:val="single" w:sz="12" w:space="0" w:color="auto"/>
            </w:tcBorders>
          </w:tcPr>
          <w:p w14:paraId="447DE4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Характеристика</w:t>
            </w:r>
          </w:p>
        </w:tc>
        <w:tc>
          <w:tcPr>
            <w:tcW w:w="1868" w:type="dxa"/>
            <w:tcBorders>
              <w:top w:val="single" w:sz="12" w:space="0" w:color="auto"/>
            </w:tcBorders>
          </w:tcPr>
          <w:p w14:paraId="2CB8C8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МиГ-3</w:t>
            </w:r>
          </w:p>
        </w:tc>
        <w:tc>
          <w:tcPr>
            <w:tcW w:w="1868" w:type="dxa"/>
            <w:tcBorders>
              <w:top w:val="single" w:sz="12" w:space="0" w:color="auto"/>
            </w:tcBorders>
          </w:tcPr>
          <w:p w14:paraId="47FB87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МиГ-9</w:t>
            </w:r>
          </w:p>
        </w:tc>
        <w:tc>
          <w:tcPr>
            <w:tcW w:w="1868" w:type="dxa"/>
            <w:tcBorders>
              <w:top w:val="single" w:sz="12" w:space="0" w:color="auto"/>
            </w:tcBorders>
          </w:tcPr>
          <w:p w14:paraId="1793F4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И-220</w:t>
            </w:r>
          </w:p>
        </w:tc>
        <w:tc>
          <w:tcPr>
            <w:tcW w:w="1868" w:type="dxa"/>
            <w:tcBorders>
              <w:top w:val="single" w:sz="12" w:space="0" w:color="auto"/>
            </w:tcBorders>
          </w:tcPr>
          <w:p w14:paraId="2227B4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И-224</w:t>
            </w:r>
          </w:p>
        </w:tc>
        <w:tc>
          <w:tcPr>
            <w:tcW w:w="1868" w:type="dxa"/>
            <w:tcBorders>
              <w:top w:val="single" w:sz="12" w:space="0" w:color="auto"/>
            </w:tcBorders>
          </w:tcPr>
          <w:p w14:paraId="683A4B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И-225</w:t>
            </w:r>
          </w:p>
        </w:tc>
      </w:tr>
      <w:tr w:rsidR="00860B4B" w:rsidRPr="00D03F3E" w14:paraId="580ECE10" w14:textId="77777777">
        <w:tc>
          <w:tcPr>
            <w:tcW w:w="1868" w:type="dxa"/>
          </w:tcPr>
          <w:p w14:paraId="3F27E3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двигателя</w:t>
            </w:r>
          </w:p>
        </w:tc>
        <w:tc>
          <w:tcPr>
            <w:tcW w:w="1868" w:type="dxa"/>
          </w:tcPr>
          <w:p w14:paraId="783D09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АМ-38</w:t>
            </w:r>
          </w:p>
        </w:tc>
        <w:tc>
          <w:tcPr>
            <w:tcW w:w="1868" w:type="dxa"/>
          </w:tcPr>
          <w:p w14:paraId="58B4FA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М-82</w:t>
            </w:r>
          </w:p>
        </w:tc>
        <w:tc>
          <w:tcPr>
            <w:tcW w:w="1868" w:type="dxa"/>
          </w:tcPr>
          <w:p w14:paraId="31EFD8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АМ-39</w:t>
            </w:r>
          </w:p>
        </w:tc>
        <w:tc>
          <w:tcPr>
            <w:tcW w:w="1868" w:type="dxa"/>
          </w:tcPr>
          <w:p w14:paraId="5954CC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АМ-39ФБ</w:t>
            </w:r>
          </w:p>
        </w:tc>
        <w:tc>
          <w:tcPr>
            <w:tcW w:w="1868" w:type="dxa"/>
          </w:tcPr>
          <w:p w14:paraId="253E09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АМ-42ФБ</w:t>
            </w:r>
          </w:p>
        </w:tc>
      </w:tr>
      <w:tr w:rsidR="00860B4B" w:rsidRPr="00D03F3E" w14:paraId="50D6E0C2" w14:textId="77777777">
        <w:tc>
          <w:tcPr>
            <w:tcW w:w="1868" w:type="dxa"/>
          </w:tcPr>
          <w:p w14:paraId="4B0432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Взлетная мощность, л.с.</w:t>
            </w:r>
          </w:p>
        </w:tc>
        <w:tc>
          <w:tcPr>
            <w:tcW w:w="1868" w:type="dxa"/>
          </w:tcPr>
          <w:p w14:paraId="7B0987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1665</w:t>
            </w:r>
          </w:p>
        </w:tc>
        <w:tc>
          <w:tcPr>
            <w:tcW w:w="1868" w:type="dxa"/>
          </w:tcPr>
          <w:p w14:paraId="37B0DA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1700</w:t>
            </w:r>
          </w:p>
        </w:tc>
        <w:tc>
          <w:tcPr>
            <w:tcW w:w="1868" w:type="dxa"/>
          </w:tcPr>
          <w:p w14:paraId="16B0CD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1800</w:t>
            </w:r>
          </w:p>
        </w:tc>
        <w:tc>
          <w:tcPr>
            <w:tcW w:w="1868" w:type="dxa"/>
          </w:tcPr>
          <w:p w14:paraId="17C46B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1850</w:t>
            </w:r>
          </w:p>
        </w:tc>
        <w:tc>
          <w:tcPr>
            <w:tcW w:w="1868" w:type="dxa"/>
          </w:tcPr>
          <w:p w14:paraId="656AE4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w:t>
            </w:r>
          </w:p>
        </w:tc>
      </w:tr>
      <w:tr w:rsidR="00860B4B" w:rsidRPr="00D03F3E" w14:paraId="5B36BEF5" w14:textId="77777777">
        <w:tc>
          <w:tcPr>
            <w:tcW w:w="1868" w:type="dxa"/>
          </w:tcPr>
          <w:p w14:paraId="5E795D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самолета, м</w:t>
            </w:r>
          </w:p>
        </w:tc>
        <w:tc>
          <w:tcPr>
            <w:tcW w:w="1868" w:type="dxa"/>
          </w:tcPr>
          <w:p w14:paraId="70F574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8,25</w:t>
            </w:r>
          </w:p>
        </w:tc>
        <w:tc>
          <w:tcPr>
            <w:tcW w:w="1868" w:type="dxa"/>
          </w:tcPr>
          <w:p w14:paraId="1374EC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8,078</w:t>
            </w:r>
          </w:p>
        </w:tc>
        <w:tc>
          <w:tcPr>
            <w:tcW w:w="1868" w:type="dxa"/>
          </w:tcPr>
          <w:p w14:paraId="07B42E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9,5</w:t>
            </w:r>
          </w:p>
        </w:tc>
        <w:tc>
          <w:tcPr>
            <w:tcW w:w="1868" w:type="dxa"/>
          </w:tcPr>
          <w:p w14:paraId="266F86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9,6</w:t>
            </w:r>
          </w:p>
        </w:tc>
        <w:tc>
          <w:tcPr>
            <w:tcW w:w="1868" w:type="dxa"/>
          </w:tcPr>
          <w:p w14:paraId="1F820C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9,5</w:t>
            </w:r>
          </w:p>
        </w:tc>
      </w:tr>
      <w:tr w:rsidR="00860B4B" w:rsidRPr="00D03F3E" w14:paraId="45E8BFF1" w14:textId="77777777">
        <w:tc>
          <w:tcPr>
            <w:tcW w:w="1868" w:type="dxa"/>
          </w:tcPr>
          <w:p w14:paraId="5E4895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Размах крыла, м</w:t>
            </w:r>
          </w:p>
        </w:tc>
        <w:tc>
          <w:tcPr>
            <w:tcW w:w="1868" w:type="dxa"/>
          </w:tcPr>
          <w:p w14:paraId="219070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w:t>
            </w:r>
          </w:p>
        </w:tc>
        <w:tc>
          <w:tcPr>
            <w:tcW w:w="1868" w:type="dxa"/>
          </w:tcPr>
          <w:p w14:paraId="3D4B5A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w:t>
            </w:r>
          </w:p>
        </w:tc>
        <w:tc>
          <w:tcPr>
            <w:tcW w:w="1868" w:type="dxa"/>
          </w:tcPr>
          <w:p w14:paraId="0EEA09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w:t>
            </w:r>
          </w:p>
        </w:tc>
        <w:tc>
          <w:tcPr>
            <w:tcW w:w="1868" w:type="dxa"/>
          </w:tcPr>
          <w:p w14:paraId="4375DA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w:t>
            </w:r>
          </w:p>
        </w:tc>
        <w:tc>
          <w:tcPr>
            <w:tcW w:w="1868" w:type="dxa"/>
          </w:tcPr>
          <w:p w14:paraId="1B5C7B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w:t>
            </w:r>
          </w:p>
        </w:tc>
      </w:tr>
      <w:tr w:rsidR="00860B4B" w:rsidRPr="00D03F3E" w14:paraId="382BC2CF" w14:textId="77777777">
        <w:tc>
          <w:tcPr>
            <w:tcW w:w="1868" w:type="dxa"/>
          </w:tcPr>
          <w:p w14:paraId="0D1858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крыла, м2</w:t>
            </w:r>
          </w:p>
        </w:tc>
        <w:tc>
          <w:tcPr>
            <w:tcW w:w="1868" w:type="dxa"/>
          </w:tcPr>
          <w:p w14:paraId="7A1422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17,44</w:t>
            </w:r>
          </w:p>
        </w:tc>
        <w:tc>
          <w:tcPr>
            <w:tcW w:w="1868" w:type="dxa"/>
          </w:tcPr>
          <w:p w14:paraId="7184A9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17,44</w:t>
            </w:r>
          </w:p>
        </w:tc>
        <w:tc>
          <w:tcPr>
            <w:tcW w:w="1868" w:type="dxa"/>
          </w:tcPr>
          <w:p w14:paraId="096E8B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20,38</w:t>
            </w:r>
          </w:p>
        </w:tc>
        <w:tc>
          <w:tcPr>
            <w:tcW w:w="1868" w:type="dxa"/>
          </w:tcPr>
          <w:p w14:paraId="70E2AB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22,4</w:t>
            </w:r>
          </w:p>
        </w:tc>
        <w:tc>
          <w:tcPr>
            <w:tcW w:w="1868" w:type="dxa"/>
          </w:tcPr>
          <w:p w14:paraId="42E076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20,4</w:t>
            </w:r>
          </w:p>
        </w:tc>
      </w:tr>
      <w:tr w:rsidR="00860B4B" w:rsidRPr="00D03F3E" w14:paraId="213A3E6F" w14:textId="77777777">
        <w:tc>
          <w:tcPr>
            <w:tcW w:w="1868" w:type="dxa"/>
          </w:tcPr>
          <w:p w14:paraId="01DD54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Высота самолета, м</w:t>
            </w:r>
          </w:p>
        </w:tc>
        <w:tc>
          <w:tcPr>
            <w:tcW w:w="1868" w:type="dxa"/>
          </w:tcPr>
          <w:p w14:paraId="22F2CE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3,325</w:t>
            </w:r>
          </w:p>
        </w:tc>
        <w:tc>
          <w:tcPr>
            <w:tcW w:w="1868" w:type="dxa"/>
          </w:tcPr>
          <w:p w14:paraId="57F0F4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2762</w:t>
            </w:r>
          </w:p>
        </w:tc>
        <w:tc>
          <w:tcPr>
            <w:tcW w:w="1868" w:type="dxa"/>
          </w:tcPr>
          <w:p w14:paraId="51ED82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3,66</w:t>
            </w:r>
          </w:p>
        </w:tc>
        <w:tc>
          <w:tcPr>
            <w:tcW w:w="1868" w:type="dxa"/>
          </w:tcPr>
          <w:p w14:paraId="1FB8CF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3,66</w:t>
            </w:r>
          </w:p>
        </w:tc>
        <w:tc>
          <w:tcPr>
            <w:tcW w:w="1868" w:type="dxa"/>
          </w:tcPr>
          <w:p w14:paraId="0FF0BA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w:t>
            </w:r>
          </w:p>
        </w:tc>
      </w:tr>
      <w:tr w:rsidR="00860B4B" w:rsidRPr="00D03F3E" w14:paraId="3C2277E3" w14:textId="77777777">
        <w:tc>
          <w:tcPr>
            <w:tcW w:w="1868" w:type="dxa"/>
          </w:tcPr>
          <w:p w14:paraId="5279EF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Масса пустого самолета, кг</w:t>
            </w:r>
          </w:p>
        </w:tc>
        <w:tc>
          <w:tcPr>
            <w:tcW w:w="1868" w:type="dxa"/>
          </w:tcPr>
          <w:p w14:paraId="2AE617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3325</w:t>
            </w:r>
          </w:p>
        </w:tc>
        <w:tc>
          <w:tcPr>
            <w:tcW w:w="1868" w:type="dxa"/>
          </w:tcPr>
          <w:p w14:paraId="581243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3382</w:t>
            </w:r>
          </w:p>
        </w:tc>
        <w:tc>
          <w:tcPr>
            <w:tcW w:w="1868" w:type="dxa"/>
          </w:tcPr>
          <w:p w14:paraId="4FA413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3103</w:t>
            </w:r>
          </w:p>
        </w:tc>
        <w:tc>
          <w:tcPr>
            <w:tcW w:w="1868" w:type="dxa"/>
          </w:tcPr>
          <w:p w14:paraId="649D7E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3105</w:t>
            </w:r>
          </w:p>
        </w:tc>
        <w:tc>
          <w:tcPr>
            <w:tcW w:w="1868" w:type="dxa"/>
          </w:tcPr>
          <w:p w14:paraId="08FBBA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ЗОЮ</w:t>
            </w:r>
          </w:p>
        </w:tc>
      </w:tr>
      <w:tr w:rsidR="00860B4B" w:rsidRPr="00D03F3E" w14:paraId="2A41EC9A" w14:textId="77777777">
        <w:tc>
          <w:tcPr>
            <w:tcW w:w="1868" w:type="dxa"/>
          </w:tcPr>
          <w:p w14:paraId="115E1F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Взлетная масса, кг</w:t>
            </w:r>
          </w:p>
        </w:tc>
        <w:tc>
          <w:tcPr>
            <w:tcW w:w="1868" w:type="dxa"/>
          </w:tcPr>
          <w:p w14:paraId="62D80D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3595</w:t>
            </w:r>
          </w:p>
        </w:tc>
        <w:tc>
          <w:tcPr>
            <w:tcW w:w="1868" w:type="dxa"/>
          </w:tcPr>
          <w:p w14:paraId="157E70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EBA79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3835</w:t>
            </w:r>
          </w:p>
        </w:tc>
        <w:tc>
          <w:tcPr>
            <w:tcW w:w="1868" w:type="dxa"/>
          </w:tcPr>
          <w:p w14:paraId="42D549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3780</w:t>
            </w:r>
          </w:p>
        </w:tc>
        <w:tc>
          <w:tcPr>
            <w:tcW w:w="1868" w:type="dxa"/>
          </w:tcPr>
          <w:p w14:paraId="0B6E87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3912</w:t>
            </w:r>
          </w:p>
        </w:tc>
      </w:tr>
      <w:tr w:rsidR="00860B4B" w:rsidRPr="00D03F3E" w14:paraId="3E4DAB2D" w14:textId="77777777">
        <w:tc>
          <w:tcPr>
            <w:tcW w:w="1868" w:type="dxa"/>
          </w:tcPr>
          <w:p w14:paraId="3E1EA8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Запас топлива, кг</w:t>
            </w:r>
          </w:p>
        </w:tc>
        <w:tc>
          <w:tcPr>
            <w:tcW w:w="1868" w:type="dxa"/>
          </w:tcPr>
          <w:p w14:paraId="3944B7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C31B3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360</w:t>
            </w:r>
          </w:p>
        </w:tc>
        <w:tc>
          <w:tcPr>
            <w:tcW w:w="1868" w:type="dxa"/>
          </w:tcPr>
          <w:p w14:paraId="39CF22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335</w:t>
            </w:r>
          </w:p>
        </w:tc>
        <w:tc>
          <w:tcPr>
            <w:tcW w:w="1868" w:type="dxa"/>
          </w:tcPr>
          <w:p w14:paraId="5A6389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3551</w:t>
            </w:r>
          </w:p>
        </w:tc>
        <w:tc>
          <w:tcPr>
            <w:tcW w:w="1868" w:type="dxa"/>
          </w:tcPr>
          <w:p w14:paraId="37A7E0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3252</w:t>
            </w:r>
          </w:p>
        </w:tc>
      </w:tr>
      <w:tr w:rsidR="00860B4B" w:rsidRPr="00D03F3E" w14:paraId="03BD64D5" w14:textId="77777777">
        <w:tc>
          <w:tcPr>
            <w:tcW w:w="1868" w:type="dxa"/>
          </w:tcPr>
          <w:p w14:paraId="44ACB3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полета, км/ч:</w:t>
            </w:r>
          </w:p>
        </w:tc>
        <w:tc>
          <w:tcPr>
            <w:tcW w:w="1868" w:type="dxa"/>
          </w:tcPr>
          <w:p w14:paraId="307844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0D7CA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183E6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C2379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808C6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EBFFDFC" w14:textId="77777777">
        <w:tc>
          <w:tcPr>
            <w:tcW w:w="1868" w:type="dxa"/>
          </w:tcPr>
          <w:p w14:paraId="13D1F1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 земли</w:t>
            </w:r>
          </w:p>
        </w:tc>
        <w:tc>
          <w:tcPr>
            <w:tcW w:w="1868" w:type="dxa"/>
          </w:tcPr>
          <w:p w14:paraId="783C0E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519</w:t>
            </w:r>
          </w:p>
        </w:tc>
        <w:tc>
          <w:tcPr>
            <w:tcW w:w="1868" w:type="dxa"/>
          </w:tcPr>
          <w:p w14:paraId="330FF3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475</w:t>
            </w:r>
          </w:p>
        </w:tc>
        <w:tc>
          <w:tcPr>
            <w:tcW w:w="1868" w:type="dxa"/>
          </w:tcPr>
          <w:p w14:paraId="05EF4F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625</w:t>
            </w:r>
          </w:p>
        </w:tc>
        <w:tc>
          <w:tcPr>
            <w:tcW w:w="1868" w:type="dxa"/>
          </w:tcPr>
          <w:p w14:paraId="48CA77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574</w:t>
            </w:r>
          </w:p>
        </w:tc>
        <w:tc>
          <w:tcPr>
            <w:tcW w:w="1868" w:type="dxa"/>
          </w:tcPr>
          <w:p w14:paraId="1A67E4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560</w:t>
            </w:r>
          </w:p>
        </w:tc>
      </w:tr>
      <w:tr w:rsidR="00860B4B" w:rsidRPr="00D03F3E" w14:paraId="7CEBBEA2" w14:textId="77777777">
        <w:tc>
          <w:tcPr>
            <w:tcW w:w="1868" w:type="dxa"/>
          </w:tcPr>
          <w:p w14:paraId="467F6A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на высоте 5000 м</w:t>
            </w:r>
          </w:p>
        </w:tc>
        <w:tc>
          <w:tcPr>
            <w:tcW w:w="1868" w:type="dxa"/>
          </w:tcPr>
          <w:p w14:paraId="212BC5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5923</w:t>
            </w:r>
          </w:p>
        </w:tc>
        <w:tc>
          <w:tcPr>
            <w:tcW w:w="1868" w:type="dxa"/>
          </w:tcPr>
          <w:p w14:paraId="27441C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7AF548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2EEB93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1E995F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650</w:t>
            </w:r>
          </w:p>
        </w:tc>
      </w:tr>
      <w:tr w:rsidR="00860B4B" w:rsidRPr="00D03F3E" w14:paraId="22F8C766" w14:textId="77777777">
        <w:tc>
          <w:tcPr>
            <w:tcW w:w="1868" w:type="dxa"/>
          </w:tcPr>
          <w:p w14:paraId="7AFD3C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на высоте 10 ООО м</w:t>
            </w:r>
          </w:p>
        </w:tc>
        <w:tc>
          <w:tcPr>
            <w:tcW w:w="1868" w:type="dxa"/>
          </w:tcPr>
          <w:p w14:paraId="6014FF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20A4EA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5654</w:t>
            </w:r>
          </w:p>
        </w:tc>
        <w:tc>
          <w:tcPr>
            <w:tcW w:w="1868" w:type="dxa"/>
          </w:tcPr>
          <w:p w14:paraId="71C24A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6955</w:t>
            </w:r>
          </w:p>
        </w:tc>
        <w:tc>
          <w:tcPr>
            <w:tcW w:w="1868" w:type="dxa"/>
          </w:tcPr>
          <w:p w14:paraId="45BDDB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6936</w:t>
            </w:r>
          </w:p>
        </w:tc>
        <w:tc>
          <w:tcPr>
            <w:tcW w:w="1868" w:type="dxa"/>
          </w:tcPr>
          <w:p w14:paraId="1F9B46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726</w:t>
            </w:r>
          </w:p>
        </w:tc>
      </w:tr>
      <w:tr w:rsidR="00860B4B" w:rsidRPr="00D03F3E" w14:paraId="49851CF3" w14:textId="77777777">
        <w:tc>
          <w:tcPr>
            <w:tcW w:w="1868" w:type="dxa"/>
          </w:tcPr>
          <w:p w14:paraId="3D0657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высоты 5000 м, мин</w:t>
            </w:r>
          </w:p>
        </w:tc>
        <w:tc>
          <w:tcPr>
            <w:tcW w:w="1868" w:type="dxa"/>
          </w:tcPr>
          <w:p w14:paraId="3748E3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7,93</w:t>
            </w:r>
          </w:p>
        </w:tc>
        <w:tc>
          <w:tcPr>
            <w:tcW w:w="1868" w:type="dxa"/>
          </w:tcPr>
          <w:p w14:paraId="024027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w:t>
            </w:r>
          </w:p>
        </w:tc>
        <w:tc>
          <w:tcPr>
            <w:tcW w:w="1868" w:type="dxa"/>
          </w:tcPr>
          <w:p w14:paraId="72480B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w:t>
            </w:r>
          </w:p>
        </w:tc>
        <w:tc>
          <w:tcPr>
            <w:tcW w:w="1868" w:type="dxa"/>
          </w:tcPr>
          <w:p w14:paraId="50EB69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723A81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r>
      <w:tr w:rsidR="00860B4B" w:rsidRPr="00D03F3E" w14:paraId="2F4F7BEC" w14:textId="77777777">
        <w:tc>
          <w:tcPr>
            <w:tcW w:w="1868" w:type="dxa"/>
          </w:tcPr>
          <w:p w14:paraId="12B480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 м</w:t>
            </w:r>
          </w:p>
        </w:tc>
        <w:tc>
          <w:tcPr>
            <w:tcW w:w="1868" w:type="dxa"/>
          </w:tcPr>
          <w:p w14:paraId="319F65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4AF86B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8700</w:t>
            </w:r>
          </w:p>
        </w:tc>
        <w:tc>
          <w:tcPr>
            <w:tcW w:w="1868" w:type="dxa"/>
          </w:tcPr>
          <w:p w14:paraId="373747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11 000</w:t>
            </w:r>
          </w:p>
        </w:tc>
        <w:tc>
          <w:tcPr>
            <w:tcW w:w="1868" w:type="dxa"/>
          </w:tcPr>
          <w:p w14:paraId="5EB243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14 100</w:t>
            </w:r>
          </w:p>
        </w:tc>
        <w:tc>
          <w:tcPr>
            <w:tcW w:w="1868" w:type="dxa"/>
          </w:tcPr>
          <w:p w14:paraId="77D130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12 600</w:t>
            </w:r>
          </w:p>
        </w:tc>
      </w:tr>
      <w:tr w:rsidR="00860B4B" w:rsidRPr="00D03F3E" w14:paraId="443759B2" w14:textId="77777777">
        <w:tc>
          <w:tcPr>
            <w:tcW w:w="1868" w:type="dxa"/>
          </w:tcPr>
          <w:p w14:paraId="1751D5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разбега, м</w:t>
            </w:r>
          </w:p>
        </w:tc>
        <w:tc>
          <w:tcPr>
            <w:tcW w:w="1868" w:type="dxa"/>
          </w:tcPr>
          <w:p w14:paraId="397DC4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28E0A2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146</w:t>
            </w:r>
          </w:p>
        </w:tc>
        <w:tc>
          <w:tcPr>
            <w:tcW w:w="1868" w:type="dxa"/>
          </w:tcPr>
          <w:p w14:paraId="4CB3C6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27D890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230</w:t>
            </w:r>
          </w:p>
        </w:tc>
        <w:tc>
          <w:tcPr>
            <w:tcW w:w="1868" w:type="dxa"/>
          </w:tcPr>
          <w:p w14:paraId="3A254E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257</w:t>
            </w:r>
          </w:p>
        </w:tc>
      </w:tr>
      <w:tr w:rsidR="00860B4B" w:rsidRPr="00D03F3E" w14:paraId="4E0D6790" w14:textId="77777777">
        <w:tc>
          <w:tcPr>
            <w:tcW w:w="1868" w:type="dxa"/>
          </w:tcPr>
          <w:p w14:paraId="1A78CB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пробега, м</w:t>
            </w:r>
          </w:p>
        </w:tc>
        <w:tc>
          <w:tcPr>
            <w:tcW w:w="1868" w:type="dxa"/>
          </w:tcPr>
          <w:p w14:paraId="2730F0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1B89AF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410</w:t>
            </w:r>
          </w:p>
        </w:tc>
        <w:tc>
          <w:tcPr>
            <w:tcW w:w="1868" w:type="dxa"/>
          </w:tcPr>
          <w:p w14:paraId="0C0BD2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3CA095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440</w:t>
            </w:r>
          </w:p>
        </w:tc>
        <w:tc>
          <w:tcPr>
            <w:tcW w:w="1868" w:type="dxa"/>
          </w:tcPr>
          <w:p w14:paraId="77A347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450</w:t>
            </w:r>
          </w:p>
        </w:tc>
      </w:tr>
      <w:tr w:rsidR="00860B4B" w:rsidRPr="00D03F3E" w14:paraId="44586AFB" w14:textId="77777777">
        <w:tc>
          <w:tcPr>
            <w:tcW w:w="1868" w:type="dxa"/>
            <w:tcBorders>
              <w:bottom w:val="single" w:sz="12" w:space="0" w:color="auto"/>
            </w:tcBorders>
          </w:tcPr>
          <w:p w14:paraId="734AD1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Посадочная скорость, км/ч</w:t>
            </w:r>
          </w:p>
        </w:tc>
        <w:tc>
          <w:tcPr>
            <w:tcW w:w="1868" w:type="dxa"/>
            <w:tcBorders>
              <w:bottom w:val="single" w:sz="12" w:space="0" w:color="auto"/>
            </w:tcBorders>
          </w:tcPr>
          <w:p w14:paraId="18430C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Borders>
              <w:bottom w:val="single" w:sz="12" w:space="0" w:color="auto"/>
            </w:tcBorders>
          </w:tcPr>
          <w:p w14:paraId="5F4F2B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w:t>
            </w:r>
          </w:p>
        </w:tc>
        <w:tc>
          <w:tcPr>
            <w:tcW w:w="1868" w:type="dxa"/>
            <w:tcBorders>
              <w:bottom w:val="single" w:sz="12" w:space="0" w:color="auto"/>
            </w:tcBorders>
          </w:tcPr>
          <w:p w14:paraId="7B42DB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Borders>
              <w:bottom w:val="single" w:sz="12" w:space="0" w:color="auto"/>
            </w:tcBorders>
          </w:tcPr>
          <w:p w14:paraId="4EE040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127</w:t>
            </w:r>
          </w:p>
        </w:tc>
        <w:tc>
          <w:tcPr>
            <w:tcW w:w="1868" w:type="dxa"/>
            <w:tcBorders>
              <w:bottom w:val="single" w:sz="12" w:space="0" w:color="auto"/>
            </w:tcBorders>
          </w:tcPr>
          <w:p w14:paraId="0C1608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134</w:t>
            </w:r>
          </w:p>
        </w:tc>
      </w:tr>
    </w:tbl>
    <w:p w14:paraId="0F0D02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Примечания:</w:t>
      </w:r>
    </w:p>
    <w:p w14:paraId="012A1C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 в крыльевых топливных баках в перегрузку еще 124 кг;</w:t>
      </w:r>
    </w:p>
    <w:p w14:paraId="478C72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 в крыльевых топливных баках в перегрузку еще 127 кг;</w:t>
      </w:r>
    </w:p>
    <w:p w14:paraId="7214E2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 на высоте 3400 м;</w:t>
      </w:r>
    </w:p>
    <w:p w14:paraId="2648C1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 на высоте 6150 м;</w:t>
      </w:r>
    </w:p>
    <w:p w14:paraId="502C27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 на высоте 7500 м при боевом режиме работы мотора;</w:t>
      </w:r>
    </w:p>
    <w:p w14:paraId="48FF96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6 - расчетная на высоте 13 100 м. </w:t>
      </w:r>
    </w:p>
    <w:p w14:paraId="104BDA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октябре 1943 г. после ремонта первая опытная машина с двигателем АМ-38Ф поступила в НИИ ВВС на госиспытания. Летчику-испытателю П.М. Стефановско- му удалось получить следующие максимальные скорости на номинальном режиме: 572 км/ч у земли, 622 км/ч на высоте 2600 м, а на боевом режиме - 608 км/ч и 652 </w:t>
      </w:r>
      <w:r w:rsidRPr="00D03F3E">
        <w:rPr>
          <w:rFonts w:ascii="Times New Roman" w:hAnsi="Times New Roman"/>
          <w:color w:val="000000" w:themeColor="text1"/>
          <w:sz w:val="16"/>
          <w:szCs w:val="16"/>
        </w:rPr>
        <w:lastRenderedPageBreak/>
        <w:t>км/ч, соответственно. По его мнению, самолет И-220, был прост в пилотировании, обладал высокими летными характеристиками и мощным вооружением. В акте по испытаниям отмечалось, что даже с двигателем АМ-38Ф летные данные И-220 до высоты 3500 м лучше, чем у всех опытных самолетов, прошедших к тому времени госиспытания в НИИ ВВС. Установка мотора АМ-39 должна была способствовать еще большему расширению возможностей самолета. Рекомендовалось ускорить доводку мотора и предъявить И-220 с АМ-39 на государственные испытания.</w:t>
      </w:r>
    </w:p>
    <w:p w14:paraId="48FA0E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1944 г. ответственными за проведение государственных испытаний И-220 зав. № 01 с мотором АМ-39 в НИИ ВВС назначили ведущего инженера В.И. Алексеенко и л етч и ка-испытателя Д. Г. Пикуленко. На номинальном режиме работы мотора Пикуленко получил скорость 606 км/ч на высоте 2700 м и 668 км/ч на высоте 6800 м. Высоту 5000 м самолет набирал за 6,3 мин. Практический потолок И-220 составил 11 000 м. Такие данные практически не выделяли И-220 на фоне серийных вариантов истребителей Як-3, Як-9У и Ла-7. 26 сентября госиспытания были прекращены по просьбе главного конструктора А.И. Микояна (12045).</w:t>
      </w:r>
    </w:p>
    <w:p w14:paraId="3C15B6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F978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когда принималось решение о запуске Як-9Д в серию, Госу</w:t>
      </w:r>
      <w:r w:rsidRPr="00D03F3E">
        <w:rPr>
          <w:rFonts w:ascii="Times New Roman" w:hAnsi="Times New Roman"/>
          <w:color w:val="000000" w:themeColor="text1"/>
          <w:sz w:val="16"/>
          <w:szCs w:val="16"/>
        </w:rPr>
        <w:softHyphen/>
        <w:t>дарственный Комитет Обороны издал специальное постановление о том, что Як-9 всех модификаций должны с марта 1943 г. выпускать в варианте дальнего ист</w:t>
      </w:r>
      <w:r w:rsidRPr="00D03F3E">
        <w:rPr>
          <w:rFonts w:ascii="Times New Roman" w:hAnsi="Times New Roman"/>
          <w:color w:val="000000" w:themeColor="text1"/>
          <w:sz w:val="16"/>
          <w:szCs w:val="16"/>
        </w:rPr>
        <w:softHyphen/>
        <w:t>ребителя, то есть с четырьмя бензобака</w:t>
      </w:r>
      <w:r w:rsidRPr="00D03F3E">
        <w:rPr>
          <w:rFonts w:ascii="Times New Roman" w:hAnsi="Times New Roman"/>
          <w:color w:val="000000" w:themeColor="text1"/>
          <w:sz w:val="16"/>
          <w:szCs w:val="16"/>
        </w:rPr>
        <w:softHyphen/>
        <w:t>ми. Решение, конечно же, стали вопло</w:t>
      </w:r>
      <w:r w:rsidRPr="00D03F3E">
        <w:rPr>
          <w:rFonts w:ascii="Times New Roman" w:hAnsi="Times New Roman"/>
          <w:color w:val="000000" w:themeColor="text1"/>
          <w:sz w:val="16"/>
          <w:szCs w:val="16"/>
        </w:rPr>
        <w:softHyphen/>
        <w:t>щать в жизнь, однако оно явно было преж</w:t>
      </w:r>
      <w:r w:rsidRPr="00D03F3E">
        <w:rPr>
          <w:rFonts w:ascii="Times New Roman" w:hAnsi="Times New Roman"/>
          <w:color w:val="000000" w:themeColor="text1"/>
          <w:sz w:val="16"/>
          <w:szCs w:val="16"/>
        </w:rPr>
        <w:softHyphen/>
        <w:t>девременным. Например, в отношении Як-9Т оно было выполнено только в 1944 г. Взлетная масса самолета, получившего обозначение Як-9ТД, достигла 3235 кг, и не удивительно, что на фронте на его кон</w:t>
      </w:r>
      <w:r w:rsidRPr="00D03F3E">
        <w:rPr>
          <w:rFonts w:ascii="Times New Roman" w:hAnsi="Times New Roman"/>
          <w:color w:val="000000" w:themeColor="text1"/>
          <w:sz w:val="16"/>
          <w:szCs w:val="16"/>
        </w:rPr>
        <w:softHyphen/>
        <w:t>сольные баки обычно ставили заглушки. Стремление унифицировать конструкцию серийных Як-9 было, безус</w:t>
      </w:r>
      <w:r w:rsidRPr="00D03F3E">
        <w:rPr>
          <w:rFonts w:ascii="Times New Roman" w:hAnsi="Times New Roman"/>
          <w:color w:val="000000" w:themeColor="text1"/>
          <w:sz w:val="16"/>
          <w:szCs w:val="16"/>
        </w:rPr>
        <w:softHyphen/>
        <w:t>ловно, верным. В результате усилий, пред</w:t>
      </w:r>
      <w:r w:rsidRPr="00D03F3E">
        <w:rPr>
          <w:rFonts w:ascii="Times New Roman" w:hAnsi="Times New Roman"/>
          <w:color w:val="000000" w:themeColor="text1"/>
          <w:sz w:val="16"/>
          <w:szCs w:val="16"/>
        </w:rPr>
        <w:softHyphen/>
        <w:t>принятых в этом направлении специалис</w:t>
      </w:r>
      <w:r w:rsidRPr="00D03F3E">
        <w:rPr>
          <w:rFonts w:ascii="Times New Roman" w:hAnsi="Times New Roman"/>
          <w:color w:val="000000" w:themeColor="text1"/>
          <w:sz w:val="16"/>
          <w:szCs w:val="16"/>
        </w:rPr>
        <w:softHyphen/>
        <w:t>тами новосибирского авиазавода № 153, появился Як-9М. Самолет представлял собой развитие Як-9Д с фюзеляжем, вы</w:t>
      </w:r>
      <w:r w:rsidRPr="00D03F3E">
        <w:rPr>
          <w:rFonts w:ascii="Times New Roman" w:hAnsi="Times New Roman"/>
          <w:color w:val="000000" w:themeColor="text1"/>
          <w:sz w:val="16"/>
          <w:szCs w:val="16"/>
        </w:rPr>
        <w:softHyphen/>
        <w:t>полненным по типу Як-9Т, то есть с каби</w:t>
      </w:r>
      <w:r w:rsidRPr="00D03F3E">
        <w:rPr>
          <w:rFonts w:ascii="Times New Roman" w:hAnsi="Times New Roman"/>
          <w:color w:val="000000" w:themeColor="text1"/>
          <w:sz w:val="16"/>
          <w:szCs w:val="16"/>
        </w:rPr>
        <w:softHyphen/>
        <w:t>ной пилота, сдвинутой назад на 0,4 м. Кро</w:t>
      </w:r>
      <w:r w:rsidRPr="00D03F3E">
        <w:rPr>
          <w:rFonts w:ascii="Times New Roman" w:hAnsi="Times New Roman"/>
          <w:color w:val="000000" w:themeColor="text1"/>
          <w:sz w:val="16"/>
          <w:szCs w:val="16"/>
        </w:rPr>
        <w:softHyphen/>
        <w:t>ме того, были внедрены многие улучше</w:t>
      </w:r>
      <w:r w:rsidRPr="00D03F3E">
        <w:rPr>
          <w:rFonts w:ascii="Times New Roman" w:hAnsi="Times New Roman"/>
          <w:color w:val="000000" w:themeColor="text1"/>
          <w:sz w:val="16"/>
          <w:szCs w:val="16"/>
        </w:rPr>
        <w:softHyphen/>
        <w:t>ния, необходимость в которых выявила эксплуатация. Як-9М стал одним из самых многочисленных истребителей советских ВВС. Он выпускался серийно с мая 1944 г. по июнь 1945 г. Общее число построенных самолетов составило 4239 экземпляров. В строевых частях, да и во многих официаль</w:t>
      </w:r>
      <w:r w:rsidRPr="00D03F3E">
        <w:rPr>
          <w:rFonts w:ascii="Times New Roman" w:hAnsi="Times New Roman"/>
          <w:color w:val="000000" w:themeColor="text1"/>
          <w:sz w:val="16"/>
          <w:szCs w:val="16"/>
        </w:rPr>
        <w:softHyphen/>
        <w:t>ных документах тех лет, Як-9М, подобно Як-9Д, чаще называли просто Як-9. По своим летным и пилотажным харак</w:t>
      </w:r>
      <w:r w:rsidRPr="00D03F3E">
        <w:rPr>
          <w:rFonts w:ascii="Times New Roman" w:hAnsi="Times New Roman"/>
          <w:color w:val="000000" w:themeColor="text1"/>
          <w:sz w:val="16"/>
          <w:szCs w:val="16"/>
        </w:rPr>
        <w:softHyphen/>
        <w:t>теристикам Як-9М вначале почти не отли</w:t>
      </w:r>
      <w:r w:rsidRPr="00D03F3E">
        <w:rPr>
          <w:rFonts w:ascii="Times New Roman" w:hAnsi="Times New Roman"/>
          <w:color w:val="000000" w:themeColor="text1"/>
          <w:sz w:val="16"/>
          <w:szCs w:val="16"/>
        </w:rPr>
        <w:softHyphen/>
        <w:t>чался от Як-9Д. Но в конце 1944 г. на само</w:t>
      </w:r>
      <w:r w:rsidRPr="00D03F3E">
        <w:rPr>
          <w:rFonts w:ascii="Times New Roman" w:hAnsi="Times New Roman"/>
          <w:color w:val="000000" w:themeColor="text1"/>
          <w:sz w:val="16"/>
          <w:szCs w:val="16"/>
        </w:rPr>
        <w:softHyphen/>
        <w:t>лет начали устанавливать более мощный и менее высотный мотор ВК-105ПФ-2, что дало некоторое увеличение скорости и улучшение скороподъемности на неболь</w:t>
      </w:r>
      <w:r w:rsidRPr="00D03F3E">
        <w:rPr>
          <w:rFonts w:ascii="Times New Roman" w:hAnsi="Times New Roman"/>
          <w:color w:val="000000" w:themeColor="text1"/>
          <w:sz w:val="16"/>
          <w:szCs w:val="16"/>
        </w:rPr>
        <w:softHyphen/>
        <w:t>шой высоте. К сожалению, летные харак</w:t>
      </w:r>
      <w:r w:rsidRPr="00D03F3E">
        <w:rPr>
          <w:rFonts w:ascii="Times New Roman" w:hAnsi="Times New Roman"/>
          <w:color w:val="000000" w:themeColor="text1"/>
          <w:sz w:val="16"/>
          <w:szCs w:val="16"/>
        </w:rPr>
        <w:softHyphen/>
        <w:t>теристики Як-9М с ВК-105ПФ-2 пока обнаружить не удалось. Возможно, самолет просто не проходил испытаний на определение летных данных(10712).</w:t>
      </w:r>
    </w:p>
    <w:p w14:paraId="2898E5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9875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года начались летные испытания Як-9 с АМ-107А. Первый же Як-1 М с двигателем М-107А, как следует из краткого технического описания завода №115, построили весной, предположительно в марте 1943 года, поскольку вышеупомянутый документ датирован 17 апреля. Вооружение его сохранилось, как и на первом опытном экземпляре Як-1 М с двигателем М-105ПФ, - одна мотор-пушка МП-20 и пулемет БС (12047).</w:t>
      </w:r>
    </w:p>
    <w:p w14:paraId="4FECDF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43D573" w14:textId="77777777" w:rsidR="00AE7F3A" w:rsidRPr="00D03F3E" w:rsidRDefault="00AE7F3A"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феврале 1943 г. был представлен проект менее радикаль ный: на истребитель Як-9 предполагалось установить ВРДК. Для реализации этого проекта существовал уже испытанный мотор М-105 РЕН, аналог штатного М-105Ф, но имевший дополнительный редуктор на мощность 250 л.с.</w:t>
      </w:r>
    </w:p>
    <w:p w14:paraId="3E6084DA" w14:textId="77777777" w:rsidR="00AE7F3A" w:rsidRPr="00D03F3E" w:rsidRDefault="00AE7F3A" w:rsidP="00D03F3E">
      <w:pPr>
        <w:pStyle w:val="ae"/>
        <w:shd w:val="clear" w:color="auto" w:fill="FFFFFF"/>
        <w:spacing w:before="0" w:after="0"/>
        <w:jc w:val="both"/>
        <w:rPr>
          <w:color w:val="000000" w:themeColor="text1"/>
          <w:sz w:val="16"/>
          <w:szCs w:val="16"/>
        </w:rPr>
      </w:pPr>
      <w:r w:rsidRPr="00D03F3E">
        <w:rPr>
          <w:color w:val="000000" w:themeColor="text1"/>
          <w:sz w:val="16"/>
          <w:szCs w:val="16"/>
        </w:rPr>
        <w:t>Предлагаемая схема требовала незначительной переделки силовой фермы фюзеляжа Як-9 для подвески камеры сгора ния ВРДК и снятия некоторых элементов вооружения. Пред полагали использовать трехступенчатый компрессор диамет ром 600 мм, приводимый во вращение двумя валами через два промежуточных редуктора.</w:t>
      </w:r>
    </w:p>
    <w:p w14:paraId="17D58480" w14:textId="77777777" w:rsidR="00AE7F3A" w:rsidRPr="00D03F3E" w:rsidRDefault="00AE7F3A" w:rsidP="00D03F3E">
      <w:pPr>
        <w:pStyle w:val="ae"/>
        <w:shd w:val="clear" w:color="auto" w:fill="FFFFFF"/>
        <w:spacing w:before="0" w:after="0"/>
        <w:jc w:val="both"/>
        <w:rPr>
          <w:color w:val="000000" w:themeColor="text1"/>
          <w:sz w:val="16"/>
          <w:szCs w:val="16"/>
        </w:rPr>
      </w:pPr>
      <w:r w:rsidRPr="00D03F3E">
        <w:rPr>
          <w:color w:val="000000" w:themeColor="text1"/>
          <w:sz w:val="16"/>
          <w:szCs w:val="16"/>
        </w:rPr>
        <w:t>Напрямую соединить вал мотора с компрессором мешала силовая нервюра в диаметральной плоскости крыла, которую надо было обойти. Перед компрессором размещался марше вый мотор. Впоследствии от такого расположения отказались из-за неэффективного охлаждения, и в последующих проек тах радиатор занял место позади компрессора. Задняя часть ВРДК с блоком форсунок и охлаждаемой камерой сгорания диаметром 620 мм должна была крепиться к корпусу на силь фонном обводе, так как при посадке и взлете ее необходимо было поднимать на 7° вверх, чтобы не задевать за грунт. Ус тановка редуктора на М-105 требовала демонтажа пушки ШВАК, что снижало боевые возможности истребителя, а утя желение на 115 кг за счет установки ВРДК и его привода ухудшало вертикальный маневр. Мощности М-105 РЕН раз ной 1100 л. с, явно не хватало для работы «на два фронта», в результате прирост максимальной скорости Як-9ВРДК со ставлял всего 80 км/ч в сравнении с серийным Як-9 с ПД.</w:t>
      </w:r>
    </w:p>
    <w:p w14:paraId="7548EC27" w14:textId="77777777" w:rsidR="00AE7F3A" w:rsidRPr="00D03F3E" w:rsidRDefault="00AE7F3A"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результате авторы проекта пришли к выводу, что эффект такого проекта незначительный и его реализация нецелесо образна (19586).</w:t>
      </w:r>
    </w:p>
    <w:p w14:paraId="09988337" w14:textId="77777777" w:rsidR="00AE7F3A" w:rsidRPr="00D03F3E" w:rsidRDefault="00AE7F3A" w:rsidP="00D03F3E">
      <w:pPr>
        <w:pStyle w:val="ae"/>
        <w:shd w:val="clear" w:color="auto" w:fill="FFFFFF"/>
        <w:spacing w:before="0" w:after="0"/>
        <w:jc w:val="both"/>
        <w:rPr>
          <w:color w:val="000000" w:themeColor="text1"/>
          <w:sz w:val="16"/>
          <w:szCs w:val="16"/>
        </w:rPr>
      </w:pPr>
    </w:p>
    <w:p w14:paraId="3AEE8F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Ер-2 № 4 предъявили на госиспытания. Ведущими по машине были инженер Н.М. Кокорин, летчик А.Д. Алексеев и штурман В.В. Лисицын. 14 апреля Алексеев отправился в первый беспосадочный перелет на Ер-2 с моторами М-ЗОБ по маршруту Москва - Омск - Москва. Предстояло пролететь 4500 км с грузом 1000 кг. Однако, встретившись в районе Елабуги с грозовым фронтом, ему пришлось вернуться. Дальний полет повторили чуть позже и по другому маршруту: Москва (Кратово) - Казань - Свердловск и обратно протяженностью 3950 км. На этот раз все прошло благополучно, а беспосадочная дальность превзошла аналогичный показатель бомбардировщика Ил-4 более чем на 1000 км. Согласно результатам испытаний самолет был прост в пилотировании (если не считать, что заход на посадку приходилось осуществлять с выключенными двигателями из-за отсутствия регуляторов малых оборотов) и, по сравнению с предшественником, оснащенным двигателями АМ-37, его расчетная дальность достигала 5500 км.</w:t>
      </w:r>
    </w:p>
    <w:p w14:paraId="6D1535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то же время у машины сохранились недостатки предшественника: большая взлетная дистанция и малая скороподъемность, невозможность лететь на одном моторе без снижения при весе свыше 14 200 кг. Но главным показателем для дальней авиации по-прежнему являлся большой радиус действия. Было от чего прийти в восторг, и командующий Авиацией дальнего действия (АДД) А.Е. Голованов настоял на запуске еще "сырого" дизельного варианта Ер-2 в серийное производство.</w:t>
      </w:r>
    </w:p>
    <w:p w14:paraId="61A86E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обсуждении результатов госиспытаний представители АДД предложили ввести в экипаж второго пилота, разместив его рядом с командиром. Это позволяло существенно снизить нагрузку на летчиков во время длительных полетов. Тогда же высказали пожелание усилить оборонительное вооружение, заменив верхнюю пулеметную установку пушечной (11994).</w:t>
      </w:r>
    </w:p>
    <w:p w14:paraId="15AFA2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EFC9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опытный самолет Ер-2 с двумя АЧ-30Б предъявили на государственные испытания в НИИ ВВС. По оценкам летчиков, самолет был прост в пилотировании почти на всех режимах. Его максимальная скорость по сравнению с вариантом Ер-2 2АМ-37, несколько уменьши- Ер-2 с двухместной кабиной летчиков. Дальность полета превысила первоначально заданную и достигла 5500 км. Ер-2 имел преимущество перед Ил-4 по скорости полета во всем диапазоне высот и по массе бомбовой нагрузки. Работа двигателей в ходе испытаний не вызвала особых нареканий со стороны экипажей НИИ ВВС (12037).</w:t>
      </w:r>
    </w:p>
    <w:p w14:paraId="4324C1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Интересно привести некоторые сведения по Ер-2 из "Инструкции летчику": "Полетная масса - 14 850 кг. Щитки во взлетном положении опускаются на 15°, в посадочном - на 45°. Скорость отрыва - 175 км/ч, выдерживания - 200 км/ч, разворота - 235 км/ч, минимальная безопасная 230 км/ч, подвода к земле - 210-230 км/ч (без щитков), она же и экономическая (наибольшей продолжительности полета). Скорость планирования - не более 450 км/ч. Скорость максимальная (по приборам) - 446 км/ч (Это было меньше, чем с М-105, но при полетной массе 14 850 кг вместо 1 1 300 кг. - Прим. авт). Скорость пикирования (сверхмаксимальная)- около 530 км/ч. Расход топлива - 95-240 л/ч на двигатель".</w:t>
      </w:r>
    </w:p>
    <w:p w14:paraId="742DCB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Документ отмечал, что на одном работающем двигателе с затяжеленным винтом другого самолет мог продолжать горизонтальный полет лишь при массе 12 500 кг у земли с убранным шасси. При большей массе был возможен полет только со снижением, и это категорически не устраивало военных, поскольку отказ одного двигателя в лучшем случае был чреват вынужденной посадкой вне аэродрома (12037).</w:t>
      </w:r>
    </w:p>
    <w:p w14:paraId="1BDDDD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8E54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новый Ер-2 с М-30Б предъявили для испытаний в НИИ ВВС. Их проводили ви и-п Н.К.Кокорин и вл п Алексеев и м В.В.Лисицын. По оценкам л машина была простой в управлении почти на всех режимах. Макс. скорость уменьшилась до 429 км/час, но расчетная макс. дальность выросла до 5500 км. Машина стала более живучей. Вес брони составил 180 кг. турель была оснащена электроприводом (3322,39).</w:t>
      </w:r>
    </w:p>
    <w:p w14:paraId="5456ED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DD2D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года осуществлялась опытная эксплуатация М-30Б на Пе-8 в частях АДД. Официально АЧ-ЗОБ был принят к крупносерийному производству 19 июня 1943 г. С весны того же года выпуск АЧ-ЗОБ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 (11852).</w:t>
      </w:r>
    </w:p>
    <w:p w14:paraId="311DE4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E697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со 179 серии Пе-2 22 завода ввели ДАГ-10 под 10 гранат АГ-2 массой 1.8 кг и взрывателем с замедлением 3-4 с (1841,29).</w:t>
      </w:r>
    </w:p>
    <w:p w14:paraId="4352B2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9D9E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С.П. Королев приступил к разработке РУ-1 для Пе-2. Для осуществления проекта потребовалась особая кооперация двух заводов: моторостроительного № 16, где работал С.П. Королев, и самолетостроительного № 22 (10676).</w:t>
      </w:r>
    </w:p>
    <w:p w14:paraId="77E391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62C3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на 22 заводе в Казани делали Пе-2ВИ А.И.Путилова - одноместный, с деревянными консолями увеличенной площади с профилем NACA 230 и М-105ПД с нагнетателями Доллежаля и ГК. Проектирование закончили в январе и хотели построить 3 опытных (2475,19).</w:t>
      </w:r>
    </w:p>
    <w:p w14:paraId="17FAEC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3D39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вышел отчет о летных испытаниях в ЦАГИ Пе-2 (1077,325).</w:t>
      </w:r>
    </w:p>
    <w:p w14:paraId="17D8D0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005E09"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феврале 1943 г. на 179-й серии Пе-2 в связи с увеличенной теплоотдачей М-105ПФ ввели новые радиаторы, заодно улучшив капоты моторов, которые все равно надо было менять. На части самолетов той же серии появилось новое оборонительное оружие — гранатомет ДАГ-10 под 10 гранат АГ-2 массой 1,8 кг с взрывателем с замедлением 3–4 с. Они выбрасывались назад для срыва атаки истребителя из мертвой зоны за хвостом. Довести новинку до ума оказалось непросто, и на все Пе-2 гранатометы стали ставить только с 275-й серии в середине года.</w:t>
      </w:r>
    </w:p>
    <w:p w14:paraId="2224572A"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Еще одним недостатком М-105ПФ считался рост расхода бензина, чем объясняли падение дальности на 100 … 215 км. Пришлось ввести подвеску дополнительных баков под крыло — трубопроводы для них стали прокладывать со 182-й серии, но вскоре оказалось, что нужны они только разведчикам, и «сплошняком» их ставить вскоре прекратили (22828).</w:t>
      </w:r>
    </w:p>
    <w:p w14:paraId="67309C34" w14:textId="77777777" w:rsidR="0074048E" w:rsidRPr="00D03F3E" w:rsidRDefault="0074048E" w:rsidP="00D03F3E">
      <w:pPr>
        <w:spacing w:after="0" w:line="240" w:lineRule="auto"/>
        <w:jc w:val="both"/>
        <w:rPr>
          <w:rFonts w:ascii="Times New Roman" w:hAnsi="Times New Roman"/>
          <w:color w:val="0070C0"/>
          <w:sz w:val="16"/>
          <w:szCs w:val="16"/>
        </w:rPr>
      </w:pPr>
    </w:p>
    <w:p w14:paraId="73B322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на заводе № 124 произошло два ЧП. На проходной, при досмотре автобуса, ехавшего с аэродрома, на заднем сиденье было обнаружено 200 патронов калибра 12,7 мм, предназначенных для пристрелки самолетных пулеметов. Водитель и сопровождающий утверждали, что боеприпасы были просто не замечены и забыты в автобусе. Тут же началась проверка оружия и снаряжения самолетов на аэродроме и в цехах. Всего по оружию осмотрено 130 машин, из них 124 в цехе № 7 (аэродром) и 6 на ЛЭС. Результаты проверки были обескураживающие. На ЛЭС и ЛИС обнаружены излишки пулеметов ШКАС в количестве 6 штук, УБТ и автомат. Одновременно инвентаризировались радиоприемники и передатчики. Осмотрено 147 машин, из них № 15/162 и № 6/152 оказались без приемников, в цехе № 9 в ящике со стружками обнаружен новый передатчик РСБ-бис, а на машинах № 13/170 и № 15/170 приемники украдены. Вывод: «хранение оружия и боеприпасов в хаотическом состоянии, караул спит, можно вынести все, что угодно» (12049).</w:t>
      </w:r>
    </w:p>
    <w:p w14:paraId="3A45FC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E331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завод 293 выпустил 3-й БИ - БИ-3 с двигателем, изготовленным заводом 381. Имел больший вынос шасси и вооружение, а также запас горючего не 300, а 450 кг (2928,16).</w:t>
      </w:r>
    </w:p>
    <w:p w14:paraId="0BDBA2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ECFFAC" w14:textId="77777777" w:rsidR="00AE7F3A" w:rsidRPr="00D03F3E" w:rsidRDefault="00AE7F3A"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феврале 1943 г. в НИИ-3 было организовано ОКБ-55 во главе с М.Р. Бисноватым и его заместителем А.А. Андреевым.</w:t>
      </w:r>
    </w:p>
    <w:p w14:paraId="36190B5A" w14:textId="77777777" w:rsidR="00AE7F3A" w:rsidRPr="00D03F3E" w:rsidRDefault="00AE7F3A" w:rsidP="00D03F3E">
      <w:pPr>
        <w:pStyle w:val="ae"/>
        <w:shd w:val="clear" w:color="auto" w:fill="FFFFFF"/>
        <w:spacing w:before="0" w:after="0"/>
        <w:jc w:val="both"/>
        <w:rPr>
          <w:color w:val="000000" w:themeColor="text1"/>
          <w:sz w:val="16"/>
          <w:szCs w:val="16"/>
        </w:rPr>
      </w:pPr>
      <w:r w:rsidRPr="00D03F3E">
        <w:rPr>
          <w:color w:val="000000" w:themeColor="text1"/>
          <w:sz w:val="16"/>
          <w:szCs w:val="16"/>
        </w:rPr>
        <w:t>Параллельно с вы пуском рабочих чертежей шло строительство деревянного ма ета "302".</w:t>
      </w:r>
    </w:p>
    <w:p w14:paraId="79D5596D" w14:textId="77777777" w:rsidR="00AE7F3A" w:rsidRPr="00D03F3E" w:rsidRDefault="00AE7F3A" w:rsidP="00D03F3E">
      <w:pPr>
        <w:pStyle w:val="ae"/>
        <w:shd w:val="clear" w:color="auto" w:fill="FFFFFF"/>
        <w:spacing w:before="0" w:after="0"/>
        <w:jc w:val="both"/>
        <w:rPr>
          <w:color w:val="000000" w:themeColor="text1"/>
          <w:sz w:val="16"/>
          <w:szCs w:val="16"/>
        </w:rPr>
      </w:pPr>
      <w:r w:rsidRPr="00D03F3E">
        <w:rPr>
          <w:color w:val="000000" w:themeColor="text1"/>
          <w:sz w:val="16"/>
          <w:szCs w:val="16"/>
        </w:rPr>
        <w:t>Если планер не вызывал особых сложностей, то ситуация с двигателями была тяжелой. Разработка ПВРД потребовала се рьезных исследований как теоретических, так и эксперимен тальных. Отработка внутренней аэродинамики выдвинула ряд совершенно новых проблем, для решения которых требовалось развернуть новое направление научных изысканий. Это и было сделано в 1944 г., но в судьбе «302» мало что решило.</w:t>
      </w:r>
    </w:p>
    <w:p w14:paraId="08D4B3B8" w14:textId="77777777" w:rsidR="00AE7F3A" w:rsidRPr="00D03F3E" w:rsidRDefault="00AE7F3A" w:rsidP="00D03F3E">
      <w:pPr>
        <w:pStyle w:val="ae"/>
        <w:shd w:val="clear" w:color="auto" w:fill="FFFFFF"/>
        <w:spacing w:before="0" w:after="0"/>
        <w:jc w:val="both"/>
        <w:rPr>
          <w:color w:val="000000" w:themeColor="text1"/>
          <w:sz w:val="16"/>
          <w:szCs w:val="16"/>
        </w:rPr>
      </w:pPr>
      <w:r w:rsidRPr="00D03F3E">
        <w:rPr>
          <w:color w:val="000000" w:themeColor="text1"/>
          <w:sz w:val="16"/>
          <w:szCs w:val="16"/>
        </w:rPr>
        <w:t>Также выяснилось, что не только нет работоспособных ПВРД, но и ЖРД не додает заданной тяги. Чтобы обеспечить заложенные в тактико-техническом задании характеристики, конструкторы рассматривали даже вариант с маршевыми мо токомпрессорными двигателями, состоявшими из двух уста новленных в фюзеляже ПД М-11 и приводимых ими во вра щение крыльчаток осевых компрессоров в подкрыльевых воз душно-реактивных двигателях. Однако и эта схема больше ставила вопросов, чем давала ответов, и в конечном итоге экс перименты с силовой установкой были прекращены. Усилия сконцентрировались на варианте с одним ЖРД РД-1400, по лучившем к тому времени новое название РД-2М, находящемся в разработке. Отказ от ПВРД заставил перекомпоновать кры ло в сторону уменьшения размаха с 11,1 м до 9,55 м. Кроме того, центропланные баки вместимостью по 180 л стали те перь служить емкостями для горючего ЖРД. Общая масса ке росина на самолете достигла 505 кг, окислителя (азотной кис лоты) — 1230 кг.</w:t>
      </w:r>
    </w:p>
    <w:p w14:paraId="62FF5CE7" w14:textId="77777777" w:rsidR="00AE7F3A" w:rsidRPr="00D03F3E" w:rsidRDefault="00AE7F3A"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такой конфигурации перехватчик, получивший обозна чение «302П», поступил на испытания в ЛИИ.</w:t>
      </w:r>
    </w:p>
    <w:p w14:paraId="799BF98F" w14:textId="77777777" w:rsidR="00AE7F3A" w:rsidRPr="00D03F3E" w:rsidRDefault="00AE7F3A"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Ведущим инженером по испытаниям был назначен В.Н. Ела гин. В ходе десятков полетов в планерном варианте самолет хорошо изучили.</w:t>
      </w:r>
    </w:p>
    <w:p w14:paraId="6FC1D583" w14:textId="77777777" w:rsidR="00AE7F3A" w:rsidRPr="00D03F3E" w:rsidRDefault="00AE7F3A" w:rsidP="00D03F3E">
      <w:pPr>
        <w:pStyle w:val="ae"/>
        <w:shd w:val="clear" w:color="auto" w:fill="FFFFFF"/>
        <w:spacing w:before="0" w:after="0"/>
        <w:jc w:val="both"/>
        <w:rPr>
          <w:color w:val="000000" w:themeColor="text1"/>
          <w:sz w:val="16"/>
          <w:szCs w:val="16"/>
        </w:rPr>
      </w:pPr>
      <w:r w:rsidRPr="00D03F3E">
        <w:rPr>
          <w:color w:val="000000" w:themeColor="text1"/>
          <w:sz w:val="16"/>
          <w:szCs w:val="16"/>
        </w:rPr>
        <w:t>Самолет "302П" лучили высокую оценку летчиков испытателей С.Н. Анохи на, М.Л. Галлая и Б.Н. Кудрина (19586).</w:t>
      </w:r>
    </w:p>
    <w:p w14:paraId="7A28F873" w14:textId="77777777" w:rsidR="00AE7F3A" w:rsidRPr="00D03F3E" w:rsidRDefault="00AE7F3A" w:rsidP="00D03F3E">
      <w:pPr>
        <w:pStyle w:val="ae"/>
        <w:shd w:val="clear" w:color="auto" w:fill="FFFFFF"/>
        <w:spacing w:before="0" w:after="0"/>
        <w:jc w:val="both"/>
        <w:rPr>
          <w:color w:val="000000" w:themeColor="text1"/>
          <w:sz w:val="16"/>
          <w:szCs w:val="16"/>
        </w:rPr>
      </w:pPr>
    </w:p>
    <w:p w14:paraId="10D04958" w14:textId="77777777" w:rsidR="0009485E" w:rsidRPr="00D03F3E" w:rsidRDefault="0009485E"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феврале 1943 г. В.Ф. Болховитинов создал в своем ОКБ кон структорское бюро двигателей под техническим руководством A.M. Исаева, а после возвращения из эвакуации в мае 1943 г. он создал у себя в ОКБ отдел ЖРД под руководством Исаева. Так была решена дальнейшая судьба A.M. Исаева (19586).</w:t>
      </w:r>
    </w:p>
    <w:p w14:paraId="219A684C" w14:textId="77777777" w:rsidR="0009485E" w:rsidRPr="00D03F3E" w:rsidRDefault="0009485E" w:rsidP="00D03F3E">
      <w:pPr>
        <w:pStyle w:val="ae"/>
        <w:shd w:val="clear" w:color="auto" w:fill="FFFFFF"/>
        <w:spacing w:before="0" w:after="0"/>
        <w:jc w:val="both"/>
        <w:rPr>
          <w:color w:val="000000" w:themeColor="text1"/>
          <w:sz w:val="16"/>
          <w:szCs w:val="16"/>
        </w:rPr>
      </w:pPr>
    </w:p>
    <w:p w14:paraId="3B9FEF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К.А.Груздев - дублер л на Би-1 - погиб на Аэрокобре (172,188).</w:t>
      </w:r>
    </w:p>
    <w:p w14:paraId="01ADE4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27B5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Зам. ГК А.С.Я. А.А.Синицын заявил представителям ВВС, что он: “получил указание от ГК А.С.Я. до получения от промышленности серийного М-12 мощностью 180-200 нр никакими работами по доводке Як-6 в бомбардировочном варианте не заниматься” Так и не появился ни мотор, ни самолет и убирающееся шасси на Як-6 так и не ставили (4657, 17).</w:t>
      </w:r>
    </w:p>
    <w:p w14:paraId="1967C3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B1EF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на даче П.И.Гроховского, который еще осенью уехал в Омск, пришли с обыском, а потом обыск был в Москве. Взяли все и жену (1101,248).</w:t>
      </w:r>
    </w:p>
    <w:p w14:paraId="114677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D390C7"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феврале 1943 Камов предполагал приступить к летным испытаниям первого опытного экземп</w:t>
      </w:r>
      <w:r w:rsidRPr="00D03F3E">
        <w:rPr>
          <w:rFonts w:ascii="Times New Roman" w:hAnsi="Times New Roman"/>
          <w:color w:val="0070C0"/>
          <w:sz w:val="16"/>
          <w:szCs w:val="16"/>
        </w:rPr>
        <w:softHyphen/>
        <w:t>ляра АК. В этот период уже закончилась эпопея А-7, и на за</w:t>
      </w:r>
      <w:r w:rsidRPr="00D03F3E">
        <w:rPr>
          <w:rFonts w:ascii="Times New Roman" w:hAnsi="Times New Roman"/>
          <w:color w:val="0070C0"/>
          <w:sz w:val="16"/>
          <w:szCs w:val="16"/>
        </w:rPr>
        <w:softHyphen/>
        <w:t>вод дошли слухи о прекращении работ по автожирам. Слухи не были лишены оснований, 30 января 1943 г. ру</w:t>
      </w:r>
      <w:r w:rsidRPr="00D03F3E">
        <w:rPr>
          <w:rFonts w:ascii="Times New Roman" w:hAnsi="Times New Roman"/>
          <w:color w:val="0070C0"/>
          <w:sz w:val="16"/>
          <w:szCs w:val="16"/>
        </w:rPr>
        <w:softHyphen/>
        <w:t>ководство НКАП подготовило приказ о расформировании завода № 290.</w:t>
      </w:r>
    </w:p>
    <w:p w14:paraId="7765F828" w14:textId="77777777" w:rsidR="0074048E" w:rsidRPr="00D03F3E" w:rsidRDefault="0074048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Директор и Главный конструктор завода Н.И. Камов на</w:t>
      </w:r>
      <w:r w:rsidRPr="00D03F3E">
        <w:rPr>
          <w:rFonts w:ascii="Times New Roman" w:hAnsi="Times New Roman"/>
          <w:color w:val="0070C0"/>
          <w:sz w:val="16"/>
          <w:szCs w:val="16"/>
        </w:rPr>
        <w:softHyphen/>
        <w:t>значался начальником серийного конструкторского отде</w:t>
      </w:r>
      <w:r w:rsidRPr="00D03F3E">
        <w:rPr>
          <w:rFonts w:ascii="Times New Roman" w:hAnsi="Times New Roman"/>
          <w:color w:val="0070C0"/>
          <w:sz w:val="16"/>
          <w:szCs w:val="16"/>
        </w:rPr>
        <w:softHyphen/>
        <w:t>ла (СКО) завода №494, выпускающего самолеты По-2, а его заместитель М.Л. Миль направлялся в ЦАГИ (20361).</w:t>
      </w:r>
    </w:p>
    <w:p w14:paraId="1DEE1CE1" w14:textId="77777777" w:rsidR="0074048E" w:rsidRPr="00D03F3E" w:rsidRDefault="0074048E" w:rsidP="00D03F3E">
      <w:pPr>
        <w:shd w:val="clear" w:color="auto" w:fill="FFFFFF"/>
        <w:spacing w:after="0" w:line="240" w:lineRule="auto"/>
        <w:jc w:val="both"/>
        <w:rPr>
          <w:rFonts w:ascii="Times New Roman" w:hAnsi="Times New Roman"/>
          <w:color w:val="0070C0"/>
          <w:sz w:val="16"/>
          <w:szCs w:val="16"/>
        </w:rPr>
      </w:pPr>
    </w:p>
    <w:p w14:paraId="575F1E2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известный главный конструктор авиамоторов А.А. Микулин, хорошо знавший С.К. Туманского по совместной работе в ЦИАМ, приглашает его к себе на опытный авиамоторостроительный завод № 300 в качестве своего заместителя. В 1955 г. после ухода А.А. Микулина С.К. Туманский становится главным конструктором, а в 1956 г. генеральным конструктором этого ОКБ, с которым запорожским конструкторам доведется тесно сотрудничать в 80-е годы прошлого века, совместно выполняя важное правительственное задание (11478).</w:t>
      </w:r>
    </w:p>
    <w:p w14:paraId="7713B9E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4AD055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в отчёте авиапромышленности по основной деятель</w:t>
      </w:r>
      <w:r w:rsidRPr="00D03F3E">
        <w:rPr>
          <w:rFonts w:ascii="Times New Roman" w:hAnsi="Times New Roman"/>
          <w:color w:val="000000" w:themeColor="text1"/>
          <w:sz w:val="16"/>
          <w:szCs w:val="16"/>
        </w:rPr>
        <w:softHyphen/>
        <w:t>ности значатся станки металлорежущие, гильотинные нож</w:t>
      </w:r>
      <w:r w:rsidRPr="00D03F3E">
        <w:rPr>
          <w:rFonts w:ascii="Times New Roman" w:hAnsi="Times New Roman"/>
          <w:color w:val="000000" w:themeColor="text1"/>
          <w:sz w:val="16"/>
          <w:szCs w:val="16"/>
        </w:rPr>
        <w:softHyphen/>
        <w:t xml:space="preserve">ницы, высадочные автоматы и пр. (РГАЭ. Ф. 8044. </w:t>
      </w:r>
      <w:r w:rsidRPr="00D03F3E">
        <w:rPr>
          <w:rFonts w:ascii="Times New Roman" w:hAnsi="Times New Roman"/>
          <w:color w:val="000000" w:themeColor="text1"/>
          <w:sz w:val="16"/>
          <w:szCs w:val="16"/>
          <w:lang w:val="en-US"/>
        </w:rPr>
        <w:t>On</w:t>
      </w:r>
      <w:r w:rsidRPr="00D03F3E">
        <w:rPr>
          <w:rFonts w:ascii="Times New Roman" w:hAnsi="Times New Roman"/>
          <w:color w:val="000000" w:themeColor="text1"/>
          <w:sz w:val="16"/>
          <w:szCs w:val="16"/>
        </w:rPr>
        <w:t>. 1. Д. 2877. Л. 23). Достаточно широко было поставлено производство на предприятиях НКАП различно</w:t>
      </w:r>
      <w:r w:rsidRPr="00D03F3E">
        <w:rPr>
          <w:rFonts w:ascii="Times New Roman" w:hAnsi="Times New Roman"/>
          <w:color w:val="000000" w:themeColor="text1"/>
          <w:sz w:val="16"/>
          <w:szCs w:val="16"/>
        </w:rPr>
        <w:softHyphen/>
        <w:t>го оборудования в интересах НКСудопром — электротахо</w:t>
      </w:r>
      <w:r w:rsidRPr="00D03F3E">
        <w:rPr>
          <w:rFonts w:ascii="Times New Roman" w:hAnsi="Times New Roman"/>
          <w:color w:val="000000" w:themeColor="text1"/>
          <w:sz w:val="16"/>
          <w:szCs w:val="16"/>
        </w:rPr>
        <w:softHyphen/>
        <w:t>метры, тахометры центробежные и ручные, гибкие валики, манометры, маятниковые дифференциалы и пр. (Д. 2848. Л. 108) (12011).</w:t>
      </w:r>
    </w:p>
    <w:p w14:paraId="35755C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70EA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филиал ОКБ завода № 454 НКАП на площадях, ранее занимаемых ОКБ-487 был преобразован в самостоятельный завод с прежним наименованием- завод № 487 НКАП.</w:t>
      </w:r>
    </w:p>
    <w:p w14:paraId="70DC78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КБ гл. конструктора И.И. Торопова при заводе № 481 НКАП /г. Сызрань Куйбышевской обл./</w:t>
      </w:r>
    </w:p>
    <w:p w14:paraId="550420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878сс от 20.08.1941 г. на территорию завода № 481 в Сызрань было эвакуировано со всем личным составом, тех. документацией и материалами КБ-3 завода № 32 гл. конструктора И.И. Торопова. Здесь КБ работало по турели для 12,7-мм пулемета для Пе-2 и «103у», установке ВУБ-3 для Ил-2. Торопов оставался гл. конструктором завода № 32.</w:t>
      </w:r>
    </w:p>
    <w:p w14:paraId="1A6545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484с от 3.08.1944 г. КБ переведено на завод № 43 (возможно, перед этим оно уже было в Кирове на заводе № 32) (11092).</w:t>
      </w:r>
    </w:p>
    <w:p w14:paraId="3A20F311" w14:textId="77777777" w:rsidR="008C56B3" w:rsidRPr="00D03F3E" w:rsidRDefault="008C56B3"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19A7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состоянию на февраль 1943 года был подготовлен:</w:t>
      </w:r>
    </w:p>
    <w:p w14:paraId="7C34CD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Список крупных конструкторов и директоров заводов</w:t>
      </w:r>
    </w:p>
    <w:p w14:paraId="10CDE9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Ильюшин С.В. – директор и гл. конструктор завода № 240</w:t>
      </w:r>
    </w:p>
    <w:p w14:paraId="467CED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Швецов А.Д. - гл. конструктор завода № 19</w:t>
      </w:r>
    </w:p>
    <w:p w14:paraId="41AA1A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Поликарпов Н.Н. - директор и гл. конструктор завода № 51</w:t>
      </w:r>
    </w:p>
    <w:p w14:paraId="35D29E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Микулин А.А. - гл. конструктор завода № 24</w:t>
      </w:r>
    </w:p>
    <w:p w14:paraId="6C1F72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Климов В.Я. - гл. конструктор завода № 36</w:t>
      </w:r>
    </w:p>
    <w:p w14:paraId="0D691B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Костиков А.Д. - гл. конструктор завода № 55</w:t>
      </w:r>
    </w:p>
    <w:p w14:paraId="1461FE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Молоков В.С. – начальник ЛИИ</w:t>
      </w:r>
    </w:p>
    <w:p w14:paraId="0E651B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Лавочкин С.А. - гл. конструктор завода № 21</w:t>
      </w:r>
    </w:p>
    <w:p w14:paraId="57DDB7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Урмин Е.В. - гл. конструктор завода № 29</w:t>
      </w:r>
    </w:p>
    <w:p w14:paraId="6FE1F2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Микоян А.И. - директор и гл. конструктор завода № 155</w:t>
      </w:r>
    </w:p>
    <w:p w14:paraId="4A2D1B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Болховитинов В.Ф. - директор и гл. конструктор завода № 293</w:t>
      </w:r>
    </w:p>
    <w:p w14:paraId="3F8907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Горбунов В.П. - гл. конструктор завода № 31</w:t>
      </w:r>
    </w:p>
    <w:p w14:paraId="06FF7B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Сухой П.О. - директор и гл. конструктор завода № 289 и 380</w:t>
      </w:r>
    </w:p>
    <w:p w14:paraId="1222A2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Туполев А.Н. - гл. конструктор завода № 166</w:t>
      </w:r>
    </w:p>
    <w:p w14:paraId="55B2DE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Путилов А.И. - гл. конструктор завода № 22</w:t>
      </w:r>
    </w:p>
    <w:p w14:paraId="4A1645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Ро А.П. - гл. конструктор завода № 466</w:t>
      </w:r>
    </w:p>
    <w:p w14:paraId="537637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Колосов С.Д. - гл. конструктор завода № 16</w:t>
      </w:r>
    </w:p>
    <w:p w14:paraId="7935E2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Шишкин С.Н. – начальник ЦАГИ</w:t>
      </w:r>
    </w:p>
    <w:p w14:paraId="234485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Христианович С.А. – зам. начальника ЦАГИ</w:t>
      </w:r>
    </w:p>
    <w:p w14:paraId="16CF88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Поликовский В.И. – начальник ЦИАМ</w:t>
      </w:r>
    </w:p>
    <w:p w14:paraId="32B0EE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Чесалов А.В. – зам. начальника ЛИИ</w:t>
      </w:r>
    </w:p>
    <w:p w14:paraId="48CAB8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Флисский М.Р. – зам. гл. конструктора завода № 24</w:t>
      </w:r>
    </w:p>
    <w:p w14:paraId="2409DF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Бас-Дубов С.Ш. – гл. конструктор завода № 467</w:t>
      </w:r>
    </w:p>
    <w:p w14:paraId="29D818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Заславский Г.М. - гл. конструктор завода № 27</w:t>
      </w:r>
    </w:p>
    <w:p w14:paraId="623AF4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Кузьмин Г.И. - гл. конструктор завода № 28</w:t>
      </w:r>
    </w:p>
    <w:p w14:paraId="0AB99F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Жданов К.И. - гл. конструктор завода № 35</w:t>
      </w:r>
    </w:p>
    <w:p w14:paraId="0E19B6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Полтев Н.В. - гл. конструктор завода № 306</w:t>
      </w:r>
    </w:p>
    <w:p w14:paraId="0B8701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Коротков Ф.А. - гл. конструктор завода № 33</w:t>
      </w:r>
    </w:p>
    <w:p w14:paraId="5552B2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Енгибарьян А.А. - гл. конструктор завода № 266</w:t>
      </w:r>
    </w:p>
    <w:p w14:paraId="60986D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Косберг С.А. - гл. конструктор завода № 296</w:t>
      </w:r>
    </w:p>
    <w:p w14:paraId="52A0C8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Масленников М.М. – зам. начальника ЦИАМ</w:t>
      </w:r>
    </w:p>
    <w:p w14:paraId="7D4A64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Туманов А.Т. – начальник ВИАМ</w:t>
      </w:r>
    </w:p>
    <w:p w14:paraId="29EB3D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Тарасов П.Н. - гл. конструктор завода № 20</w:t>
      </w:r>
    </w:p>
    <w:p w14:paraId="40A8E7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Ткаченко Т.Г. – зам. гл. конструктора завода № 26</w:t>
      </w:r>
    </w:p>
    <w:p w14:paraId="2ACB4C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Никитченко В.С. - зам. гл. конструктора завода № 19</w:t>
      </w:r>
    </w:p>
    <w:p w14:paraId="543D07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Чаромский А.Д. - гл. конструктор завода № 500</w:t>
      </w:r>
    </w:p>
    <w:p w14:paraId="44505F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Бугайский В.Н. - зам. гл. конструктора по ИЛ-2 на заводе №№ 18 и 1</w:t>
      </w:r>
    </w:p>
    <w:p w14:paraId="5A6C1D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Жезлов М.С. – директор завода № 24</w:t>
      </w:r>
    </w:p>
    <w:p w14:paraId="00A318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Белянский А.А. – директор завода № 18</w:t>
      </w:r>
    </w:p>
    <w:p w14:paraId="0BF550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Третьяков Н.Т. – директор завода № 1</w:t>
      </w:r>
    </w:p>
    <w:p w14:paraId="5D0FC1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Солдатов А.Г. – директор завода № 19</w:t>
      </w:r>
    </w:p>
    <w:p w14:paraId="408BBE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Борисов И.Т. – директор завода № 29</w:t>
      </w:r>
    </w:p>
    <w:p w14:paraId="4C075E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Лукин М.М. - директор завода № 16</w:t>
      </w:r>
    </w:p>
    <w:p w14:paraId="51BF5E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Лукин И.Н. - директор завода № 466</w:t>
      </w:r>
    </w:p>
    <w:p w14:paraId="359A71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Окулов В.А. - директор завода № 22</w:t>
      </w:r>
    </w:p>
    <w:p w14:paraId="010CC2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Романов П.С. - директор завода № 153</w:t>
      </w:r>
    </w:p>
    <w:p w14:paraId="61A0D4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Левин И.С. - директор завода № 292</w:t>
      </w:r>
    </w:p>
    <w:p w14:paraId="71F896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Агаджанов С.М. - директор завода № 21 (8911)</w:t>
      </w:r>
    </w:p>
    <w:p w14:paraId="68B804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было спроектировано “крыло со стрелкой” для Ил-4. Рядом с обычной нервюрой, от которой начиналась консоль, под углом 6° поставили новую, дополнительную, которая и стала стыковой, немного удлинили лонжероны и накрыли все это обшивкой. Попутно изменили конструкцию стыковочных узлов (7666).</w:t>
      </w:r>
    </w:p>
    <w:p w14:paraId="7683CE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A6C2A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D8739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B57E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после освобождения Каменска от противника началось восстановление комбината (Комбинат № 101 НКТП, НКОП, НКБ, Каменский химкомбинат «Россия», ФГУП «Каменский химический комбинат» Росбоеприпаса, ФКП «Комбинат «Каменский» /347801  г. Каменск-Шахтинский Ростовской обл. ул. Сапрыкина, 8 тел. 20-148/). В 08.1943- 09.1944 г. комбинат № 101 - в ведении 9ГУ НКБ. Сначала были введены в строй цеха водо-, электро- и теплоснабжения, железнодорожное хозяйство. В 1944 г. химкомбинат выпустил первую продукцию- мины и заряды из импортного пороха ОД, пороха для авиаснарядов. В 03.1946 г. начат выпуск сельскохозяйственного оборудования, ТНП. В этом же году восстановлены цеха серной кислоты, тары, телефонная станция, ЦЗЛ. В 1948-49г, вступило в строй 10 цехов, начато строительство комплекса по производству нитроглицериновых порохов. В 1954 г. вступило встрой спиртоэфирное производство. В 1957 г. освоено производство карбоксиметилцеллюлозы (КМЦ), нитролаков и эмалей, люминесцентных светильников, бризольного полотна, эфира канифоли, спирта высшей очистки, молочных цистерн. Изготовлены первые круговые аппараты для непрерывной нитрации целлюлозы. В 1960 г. освоен выпуск мипоры; начато строительство цеха по переработке золы для извлечения германия, введен в строй цех глинозема. В 1965 г. вступило в строй производство полимеров. В 1974 г. создана служба АСУ, организован ИВЦ, участок производства масляной клеенки. Организован строительный цех. В 1975 г. организован участок по выпуску клея «Бустилат». В 1982 г. освоен выпуск клеенки ПВХ, в 1990-93г,- шпатлевки «Шпакрил», вспененного линолеума, цветных эмалей, зарядов для горнодобывающей промышленности, мастики, электроплит, шлангов высокого давления, тормозной жидкости, фенолспирта, одеколонов, шампуней, моющих средств.</w:t>
      </w:r>
    </w:p>
    <w:p w14:paraId="68B091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второй половине 1970-х  г. начато освоение производства крубногабаритных зарядов для МБР «Тополь», для этого созданы специализированные комплексы.</w:t>
      </w:r>
    </w:p>
    <w:p w14:paraId="58CCEB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 2004 г. химкомбинат входил в состав Росбоеприпаса, по Указу Президента РФ № 1009 от 4.08.2004 г. вошел в число стратегических оборонных предприятий. По Указу Президента РФ в 02.2006 г. на базе ФГУП «Каменский химкомбинат» создано два предприятия: ФКП «Комбинат «Каменский» и ФГУП «Химкомбинат «Каменский».</w:t>
      </w:r>
    </w:p>
    <w:p w14:paraId="48762A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(1939 г.)- 1294 чел. (рабочих), (1940 г.)- 2916 чел. (рабочих), (09.1941 г.)- 3663 чел., (11.1943 г.)-522 чел.</w:t>
      </w:r>
    </w:p>
    <w:p w14:paraId="785B00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(7.06.1937 г.-)- И.А. Баварский, (07.1939-ВОВ)- В.Л. Ивченков, (1945-55 г.)- А.А. Кириллович, (1955 г.-)- Б.Д. Сапрыгин.</w:t>
      </w:r>
      <w:r w:rsidRPr="00D03F3E">
        <w:rPr>
          <w:rFonts w:ascii="Times New Roman" w:hAnsi="Times New Roman"/>
          <w:color w:val="000000" w:themeColor="text1"/>
          <w:sz w:val="16"/>
          <w:szCs w:val="16"/>
          <w:vertAlign w:val="superscript"/>
        </w:rPr>
        <w:t>101</w:t>
      </w:r>
      <w:r w:rsidRPr="00D03F3E">
        <w:rPr>
          <w:rFonts w:ascii="Times New Roman" w:hAnsi="Times New Roman"/>
          <w:color w:val="000000" w:themeColor="text1"/>
          <w:sz w:val="16"/>
          <w:szCs w:val="16"/>
        </w:rPr>
        <w:t xml:space="preserve"> Гендиректор (-2007 г.)- С.А. Поваров.</w:t>
      </w:r>
    </w:p>
    <w:p w14:paraId="563F4A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строительства (01.1934 г.-)- С.П. Ананьев, начальник строительства (11.03.1937 г.-)- Л.О. Мицмахер. Зам. директора (8.05-11.07.1937 г.)- М.М. Чернулич. Помощник директора по найму и увольнению (14.08.1938 г.-)- А.П. Новожилов.</w:t>
      </w:r>
    </w:p>
    <w:p w14:paraId="551DF3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строительства (-10.06.1937 г.)- Ф.А. Сулим-Грандовский (снят).</w:t>
      </w:r>
    </w:p>
    <w:p w14:paraId="790BA6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(9.08.1938 г.-)- Н.С. Навальнев, (2006 г.)-  Г. Мельник.</w:t>
      </w:r>
    </w:p>
    <w:p w14:paraId="4EFB26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строительства (-10.06.1937 г.)-  Г.Д. Саломонович (снят) (11982).</w:t>
      </w:r>
    </w:p>
    <w:p w14:paraId="140ED2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B6759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в ОКБ-172 был разработан проект 76-мм полковой пушки ОБ-25 обр. 1943 г. Лафет для полковой пушки был взят от 45-мм противотанковой пушки обр. 1942 г. (М-42). Опытные образцы изготавливались на заводе № 172.</w:t>
      </w:r>
    </w:p>
    <w:p w14:paraId="4DC939A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Полигонные испытания опытного образца ОБ-25 были проведены на Гороховецком полигоне с 18 по 26 июня 1943 г. в объеме 157 выстрелов. Испытания выявили: неудовлетворительную кучность, плохую работу противооткатных устройств (длина отката достигала 800 мм, а накат происходил со стуком), гнулась боевая ось. Опытный образец полигонные испытания не выдержал. Тем не менее в конце июля 1943 г. были начаты войсковые испытания опытных образцов ОБ-25, на которых были установлены усиленные боевые оси. В ходе войсковых испытаний отстреливались стволы с крутизной нарезки в 15, 20, 25, 30 и 35 калибров. В результате остановились на крутизне 15 калибров.</w:t>
      </w:r>
    </w:p>
    <w:p w14:paraId="3BB4BC4A" w14:textId="77777777" w:rsidR="008C56B3" w:rsidRPr="00D03F3E" w:rsidRDefault="008C56B3" w:rsidP="00D03F3E">
      <w:pPr>
        <w:spacing w:after="0" w:line="240" w:lineRule="auto"/>
        <w:jc w:val="both"/>
        <w:rPr>
          <w:rFonts w:ascii="Times New Roman" w:hAnsi="Times New Roman"/>
          <w:color w:val="000000" w:themeColor="text1"/>
          <w:sz w:val="16"/>
          <w:szCs w:val="16"/>
        </w:rPr>
      </w:pPr>
    </w:p>
    <w:p w14:paraId="1FA844D1" w14:textId="77777777" w:rsidR="008C56B3" w:rsidRPr="00D03F3E" w:rsidRDefault="008C56B3"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феврале 1943 ЧКЗ сдал три КВ-8С, после чего их произ</w:t>
      </w:r>
      <w:r w:rsidRPr="00D03F3E">
        <w:rPr>
          <w:rFonts w:ascii="Times New Roman" w:cs="Times New Roman"/>
          <w:color w:val="000000" w:themeColor="text1"/>
          <w:spacing w:val="0"/>
        </w:rPr>
        <w:softHyphen/>
        <w:t xml:space="preserve">водство было прекращено. Помимо башни от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эти машины были вооружены бо</w:t>
      </w:r>
      <w:r w:rsidRPr="00D03F3E">
        <w:rPr>
          <w:rFonts w:ascii="Times New Roman" w:cs="Times New Roman"/>
          <w:color w:val="000000" w:themeColor="text1"/>
          <w:spacing w:val="0"/>
        </w:rPr>
        <w:softHyphen/>
        <w:t>лее совершенным огнеметом АТО-42 вме</w:t>
      </w:r>
      <w:r w:rsidRPr="00D03F3E">
        <w:rPr>
          <w:rFonts w:ascii="Times New Roman" w:cs="Times New Roman"/>
          <w:color w:val="000000" w:themeColor="text1"/>
          <w:spacing w:val="0"/>
        </w:rPr>
        <w:softHyphen/>
        <w:t>сто АТО-41. Эти последние 10 машин КВ-8С были изготовлены на средства, собранные учащимися ФЗО и ремесленных училищ. Та</w:t>
      </w:r>
      <w:r w:rsidRPr="00D03F3E">
        <w:rPr>
          <w:rFonts w:ascii="Times New Roman" w:cs="Times New Roman"/>
          <w:color w:val="000000" w:themeColor="text1"/>
          <w:spacing w:val="0"/>
        </w:rPr>
        <w:softHyphen/>
        <w:t>ким образом, общий выпуск огнеметных тан</w:t>
      </w:r>
      <w:r w:rsidRPr="00D03F3E">
        <w:rPr>
          <w:rFonts w:ascii="Times New Roman" w:cs="Times New Roman"/>
          <w:color w:val="000000" w:themeColor="text1"/>
          <w:spacing w:val="0"/>
        </w:rPr>
        <w:softHyphen/>
        <w:t>ков КВ-8С за 1942-1943 год составил 35 штук.</w:t>
      </w:r>
    </w:p>
    <w:p w14:paraId="1564C8EA" w14:textId="77777777" w:rsidR="008C56B3" w:rsidRPr="00D03F3E" w:rsidRDefault="008C56B3"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Огнеметные танки КВ-8С поступали на вооружение отдельных огнеметных тан</w:t>
      </w:r>
      <w:r w:rsidRPr="00D03F3E">
        <w:rPr>
          <w:rFonts w:ascii="Times New Roman" w:cs="Times New Roman"/>
          <w:color w:val="000000" w:themeColor="text1"/>
          <w:spacing w:val="0"/>
        </w:rPr>
        <w:softHyphen/>
        <w:t>ковых батальонов, которых было сформи</w:t>
      </w:r>
      <w:r w:rsidRPr="00D03F3E">
        <w:rPr>
          <w:rFonts w:ascii="Times New Roman" w:cs="Times New Roman"/>
          <w:color w:val="000000" w:themeColor="text1"/>
          <w:spacing w:val="0"/>
        </w:rPr>
        <w:softHyphen/>
        <w:t>ровано 19: с 500 по 517 и 519-й. Часть из них имела в своем составе только КВ-8/КВ-8С (16 машин), а часть была смешанной - 20 КВ-8/КВ-8С, девять огнеметных ТО-34 и два линейных Т-34. Кроме того, в сентябре 1942 года была сформирована 235-я огнемет- но-танковая бригада, в состав которой вошло два смешанных батальона (508 и 509) и один на КВ-8/КВ-8С (509-й). Бригада была на</w:t>
      </w:r>
      <w:r w:rsidRPr="00D03F3E">
        <w:rPr>
          <w:rFonts w:ascii="Times New Roman" w:cs="Times New Roman"/>
          <w:color w:val="000000" w:themeColor="text1"/>
          <w:spacing w:val="0"/>
        </w:rPr>
        <w:softHyphen/>
        <w:t>правлена на Сталинградский фронт, где при</w:t>
      </w:r>
      <w:r w:rsidRPr="00D03F3E">
        <w:rPr>
          <w:rFonts w:ascii="Times New Roman" w:cs="Times New Roman"/>
          <w:color w:val="000000" w:themeColor="text1"/>
          <w:spacing w:val="0"/>
        </w:rPr>
        <w:softHyphen/>
        <w:t>нимала участие в боях по окружению армии Паулюса. 14 декабря 1942 года ее перебро</w:t>
      </w:r>
      <w:r w:rsidRPr="00D03F3E">
        <w:rPr>
          <w:rFonts w:ascii="Times New Roman" w:cs="Times New Roman"/>
          <w:color w:val="000000" w:themeColor="text1"/>
          <w:spacing w:val="0"/>
        </w:rPr>
        <w:softHyphen/>
        <w:t>сили в состав опергруппы генерала Захарова для отражения немецких попыток пробиться к окруженной под Сталинградом группиров</w:t>
      </w:r>
      <w:r w:rsidRPr="00D03F3E">
        <w:rPr>
          <w:rFonts w:ascii="Times New Roman" w:cs="Times New Roman"/>
          <w:color w:val="000000" w:themeColor="text1"/>
          <w:spacing w:val="0"/>
        </w:rPr>
        <w:softHyphen/>
        <w:t>ке. Здесь впервые были использованы в боях КВ-8С, причем 14 декабря рота таких машин под прикрытием тумана подошла к группе немецких танков и из огнеметов сожгла три машины. 19 ноября экипаж одного из них под командованием лейтенанта М. Верхоту- рова у населенных пунктов Верхне-Кумский и Заготский уничтожил танк, автомашину с пушкой и до 25 солдат. 7 февраля 1943 года 235-я огнеметная тан</w:t>
      </w:r>
      <w:r w:rsidRPr="00D03F3E">
        <w:rPr>
          <w:rFonts w:ascii="Times New Roman" w:cs="Times New Roman"/>
          <w:color w:val="000000" w:themeColor="text1"/>
          <w:spacing w:val="0"/>
        </w:rPr>
        <w:softHyphen/>
        <w:t>ковая бригада была преобразована в 31-ю гвардейскую. Именно в ее состав весной по</w:t>
      </w:r>
      <w:r w:rsidRPr="00D03F3E">
        <w:rPr>
          <w:rFonts w:ascii="Times New Roman" w:cs="Times New Roman"/>
          <w:color w:val="000000" w:themeColor="text1"/>
          <w:spacing w:val="0"/>
        </w:rPr>
        <w:softHyphen/>
        <w:t xml:space="preserve">ступили последние 10 КВ-8С </w:t>
      </w:r>
      <w:r w:rsidRPr="00D03F3E">
        <w:rPr>
          <w:rFonts w:ascii="Times New Roman" w:cs="Times New Roman"/>
          <w:color w:val="000000" w:themeColor="text1"/>
          <w:spacing w:val="0"/>
        </w:rPr>
        <w:lastRenderedPageBreak/>
        <w:t>из состава тан</w:t>
      </w:r>
      <w:r w:rsidRPr="00D03F3E">
        <w:rPr>
          <w:rFonts w:ascii="Times New Roman" w:cs="Times New Roman"/>
          <w:color w:val="000000" w:themeColor="text1"/>
          <w:spacing w:val="0"/>
        </w:rPr>
        <w:softHyphen/>
        <w:t>ковой колонны «Трудовые резервы фронту». С сентября 1943-го и до конца года бригада участвовала в боях на Юго-Западном, а затем на 4-м Украинском фронтах</w:t>
      </w:r>
    </w:p>
    <w:p w14:paraId="567C7B51" w14:textId="77777777" w:rsidR="008C56B3" w:rsidRPr="00D03F3E" w:rsidRDefault="008C56B3" w:rsidP="00D03F3E">
      <w:pPr>
        <w:spacing w:after="0" w:line="240" w:lineRule="auto"/>
        <w:jc w:val="both"/>
        <w:rPr>
          <w:rFonts w:ascii="Times New Roman" w:hAnsi="Times New Roman"/>
          <w:color w:val="000000" w:themeColor="text1"/>
          <w:sz w:val="16"/>
          <w:szCs w:val="16"/>
        </w:rPr>
      </w:pPr>
    </w:p>
    <w:p w14:paraId="0093C91E" w14:textId="77777777" w:rsidR="008C56B3" w:rsidRPr="00D03F3E" w:rsidRDefault="008C56B3"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феврале 1943 года ЧКЗ сумел сдать 72 КВ-1С, перевыполнив план на 10 машин. Вместе с тем, по докладу представителей во</w:t>
      </w:r>
      <w:r w:rsidRPr="00D03F3E">
        <w:rPr>
          <w:rFonts w:ascii="Times New Roman" w:cs="Times New Roman"/>
          <w:color w:val="000000" w:themeColor="text1"/>
          <w:spacing w:val="0"/>
        </w:rPr>
        <w:softHyphen/>
        <w:t>енной приемки, завод мог бы изготовить большее число танков, но этому помешало следующее:</w:t>
      </w:r>
    </w:p>
    <w:p w14:paraId="40972C96" w14:textId="77777777" w:rsidR="008C56B3" w:rsidRPr="00D03F3E" w:rsidRDefault="008C56B3"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«1. Неудовлетворительная организация производства, как по вопросам организации и дисциплины, (выполнение приказов дирек</w:t>
      </w:r>
      <w:r w:rsidRPr="00D03F3E">
        <w:rPr>
          <w:rFonts w:ascii="Times New Roman" w:cs="Times New Roman"/>
          <w:color w:val="000000" w:themeColor="text1"/>
          <w:spacing w:val="0"/>
        </w:rPr>
        <w:softHyphen/>
        <w:t>тора, уточнение функций между производ</w:t>
      </w:r>
      <w:r w:rsidRPr="00D03F3E">
        <w:rPr>
          <w:rFonts w:ascii="Times New Roman" w:cs="Times New Roman"/>
          <w:color w:val="000000" w:themeColor="text1"/>
          <w:spacing w:val="0"/>
        </w:rPr>
        <w:softHyphen/>
        <w:t>ственными отделами и цехами), так и плохое обеспечение снабжения рабочих, вследствие чего имеется большое количество невыходов на работу по причине болезней, отсутствия обуви, плохого питания в столовых и т.п.</w:t>
      </w:r>
    </w:p>
    <w:p w14:paraId="0296422D" w14:textId="77777777" w:rsidR="008C56B3" w:rsidRPr="00D03F3E" w:rsidRDefault="008C56B3" w:rsidP="00D03F3E">
      <w:pPr>
        <w:pStyle w:val="27"/>
        <w:shd w:val="clear" w:color="auto" w:fill="auto"/>
        <w:tabs>
          <w:tab w:val="left" w:pos="360"/>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2. Общий недостаток в работе завода - ча</w:t>
      </w:r>
      <w:r w:rsidRPr="00D03F3E">
        <w:rPr>
          <w:rFonts w:ascii="Times New Roman" w:cs="Times New Roman"/>
          <w:color w:val="000000" w:themeColor="text1"/>
          <w:spacing w:val="0"/>
        </w:rPr>
        <w:softHyphen/>
        <w:t>стые перебои из-за отсутствия угля, электро</w:t>
      </w:r>
      <w:r w:rsidRPr="00D03F3E">
        <w:rPr>
          <w:rFonts w:ascii="Times New Roman" w:cs="Times New Roman"/>
          <w:color w:val="000000" w:themeColor="text1"/>
          <w:spacing w:val="0"/>
        </w:rPr>
        <w:softHyphen/>
        <w:t>энергии и пара.</w:t>
      </w:r>
    </w:p>
    <w:p w14:paraId="59756275" w14:textId="77777777" w:rsidR="008C56B3" w:rsidRPr="00D03F3E" w:rsidRDefault="008C56B3" w:rsidP="00D03F3E">
      <w:pPr>
        <w:pStyle w:val="27"/>
        <w:shd w:val="clear" w:color="auto" w:fill="auto"/>
        <w:tabs>
          <w:tab w:val="left" w:pos="40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3. По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исключительно плохое обе</w:t>
      </w:r>
      <w:r w:rsidRPr="00D03F3E">
        <w:rPr>
          <w:rFonts w:ascii="Times New Roman" w:cs="Times New Roman"/>
          <w:color w:val="000000" w:themeColor="text1"/>
          <w:spacing w:val="0"/>
        </w:rPr>
        <w:softHyphen/>
        <w:t>спечение завода корпусами. Это особенно усугубилось тем, что завод № 200 начал вы</w:t>
      </w:r>
      <w:r w:rsidRPr="00D03F3E">
        <w:rPr>
          <w:rFonts w:ascii="Times New Roman" w:cs="Times New Roman"/>
          <w:color w:val="000000" w:themeColor="text1"/>
          <w:spacing w:val="0"/>
        </w:rPr>
        <w:softHyphen/>
        <w:t xml:space="preserve">пускать корпуса для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 xml:space="preserve">-14, а для КВ-1С поставка корпусов прекратилась. 75-й танк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 xml:space="preserve">-1С (кроме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ЧКЗ изготовил еще 3 огнеметных КВ-8С</w:t>
      </w:r>
      <w:r w:rsidRPr="00D03F3E">
        <w:rPr>
          <w:rStyle w:val="BodytextBoldItalic"/>
          <w:rFonts w:eastAsia="Gungsuh"/>
          <w:b w:val="0"/>
          <w:i w:val="0"/>
          <w:color w:val="000000" w:themeColor="text1"/>
          <w:sz w:val="16"/>
          <w:szCs w:val="16"/>
        </w:rPr>
        <w:t xml:space="preserve">) </w:t>
      </w:r>
      <w:r w:rsidRPr="00D03F3E">
        <w:rPr>
          <w:rFonts w:ascii="Times New Roman" w:cs="Times New Roman"/>
          <w:color w:val="000000" w:themeColor="text1"/>
          <w:spacing w:val="0"/>
        </w:rPr>
        <w:t>был собран 23—24 февраля, и после это</w:t>
      </w:r>
      <w:r w:rsidRPr="00D03F3E">
        <w:rPr>
          <w:rFonts w:ascii="Times New Roman" w:cs="Times New Roman"/>
          <w:color w:val="000000" w:themeColor="text1"/>
          <w:spacing w:val="0"/>
        </w:rPr>
        <w:softHyphen/>
        <w:t>го из-за отсутствия корпусов сборка этих танков прекратилась. С башнями положе</w:t>
      </w:r>
      <w:r w:rsidRPr="00D03F3E">
        <w:rPr>
          <w:rFonts w:ascii="Times New Roman" w:cs="Times New Roman"/>
          <w:color w:val="000000" w:themeColor="text1"/>
          <w:spacing w:val="0"/>
        </w:rPr>
        <w:softHyphen/>
        <w:t>ние такое же. Таким образом, завод вышел с нулевым заделом по корпусам и башням к 1 марта, и это естественно отразится на вы</w:t>
      </w:r>
      <w:r w:rsidRPr="00D03F3E">
        <w:rPr>
          <w:rFonts w:ascii="Times New Roman" w:cs="Times New Roman"/>
          <w:color w:val="000000" w:themeColor="text1"/>
          <w:spacing w:val="0"/>
        </w:rPr>
        <w:softHyphen/>
        <w:t xml:space="preserve">полнении программы по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в течение первой декады марта.</w:t>
      </w:r>
    </w:p>
    <w:p w14:paraId="074EFF7F" w14:textId="77777777" w:rsidR="008C56B3" w:rsidRPr="00D03F3E" w:rsidRDefault="008C56B3" w:rsidP="00D03F3E">
      <w:pPr>
        <w:pStyle w:val="27"/>
        <w:shd w:val="clear" w:color="auto" w:fill="auto"/>
        <w:tabs>
          <w:tab w:val="left" w:pos="365"/>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4. Из-за отсутствия металла на заводе дол</w:t>
      </w:r>
      <w:r w:rsidRPr="00D03F3E">
        <w:rPr>
          <w:rFonts w:ascii="Times New Roman" w:cs="Times New Roman"/>
          <w:color w:val="000000" w:themeColor="text1"/>
          <w:spacing w:val="0"/>
        </w:rPr>
        <w:softHyphen/>
        <w:t>гое время не было траков. Большое коли</w:t>
      </w:r>
      <w:r w:rsidRPr="00D03F3E">
        <w:rPr>
          <w:rFonts w:ascii="Times New Roman" w:cs="Times New Roman"/>
          <w:color w:val="000000" w:themeColor="text1"/>
          <w:spacing w:val="0"/>
        </w:rPr>
        <w:softHyphen/>
        <w:t xml:space="preserve">чество танков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из-за этого стояло без движения. Только к концу второй де</w:t>
      </w:r>
      <w:r w:rsidRPr="00D03F3E">
        <w:rPr>
          <w:rFonts w:ascii="Times New Roman" w:cs="Times New Roman"/>
          <w:color w:val="000000" w:themeColor="text1"/>
          <w:spacing w:val="0"/>
        </w:rPr>
        <w:softHyphen/>
        <w:t>кады был получен металл, после чего фор</w:t>
      </w:r>
      <w:r w:rsidRPr="00D03F3E">
        <w:rPr>
          <w:rFonts w:ascii="Times New Roman" w:cs="Times New Roman"/>
          <w:color w:val="000000" w:themeColor="text1"/>
          <w:spacing w:val="0"/>
        </w:rPr>
        <w:softHyphen/>
        <w:t>сированными темпами началась штампов</w:t>
      </w:r>
      <w:r w:rsidRPr="00D03F3E">
        <w:rPr>
          <w:rFonts w:ascii="Times New Roman" w:cs="Times New Roman"/>
          <w:color w:val="000000" w:themeColor="text1"/>
          <w:spacing w:val="0"/>
        </w:rPr>
        <w:softHyphen/>
        <w:t>ка траков» (15226).</w:t>
      </w:r>
    </w:p>
    <w:p w14:paraId="7CAC5F35" w14:textId="77777777" w:rsidR="008C56B3" w:rsidRPr="00D03F3E" w:rsidRDefault="008C56B3" w:rsidP="00D03F3E">
      <w:pPr>
        <w:pStyle w:val="27"/>
        <w:shd w:val="clear" w:color="auto" w:fill="auto"/>
        <w:tabs>
          <w:tab w:val="left" w:pos="365"/>
        </w:tabs>
        <w:spacing w:after="0" w:line="240" w:lineRule="auto"/>
        <w:ind w:firstLine="0"/>
        <w:rPr>
          <w:rFonts w:ascii="Times New Roman" w:cs="Times New Roman"/>
          <w:color w:val="000000" w:themeColor="text1"/>
          <w:spacing w:val="0"/>
        </w:rPr>
      </w:pPr>
    </w:p>
    <w:p w14:paraId="52A356E6" w14:textId="77777777" w:rsidR="0074048E" w:rsidRPr="00D03F3E" w:rsidRDefault="0074048E" w:rsidP="00D03F3E">
      <w:pPr>
        <w:spacing w:after="0" w:line="240" w:lineRule="auto"/>
        <w:jc w:val="both"/>
        <w:rPr>
          <w:rStyle w:val="631"/>
          <w:rFonts w:ascii="Times New Roman" w:hAnsi="Times New Roman" w:cs="Times New Roman"/>
          <w:color w:val="0070C0"/>
          <w:sz w:val="16"/>
          <w:szCs w:val="16"/>
        </w:rPr>
      </w:pPr>
      <w:r w:rsidRPr="00D03F3E">
        <w:rPr>
          <w:rStyle w:val="631"/>
          <w:rFonts w:ascii="Times New Roman" w:hAnsi="Times New Roman" w:cs="Times New Roman"/>
          <w:color w:val="0070C0"/>
          <w:sz w:val="16"/>
          <w:szCs w:val="16"/>
        </w:rPr>
        <w:t>В феврале 1943 года было приня</w:t>
      </w:r>
      <w:r w:rsidRPr="00D03F3E">
        <w:rPr>
          <w:rStyle w:val="631"/>
          <w:rFonts w:ascii="Times New Roman" w:hAnsi="Times New Roman" w:cs="Times New Roman"/>
          <w:color w:val="0070C0"/>
          <w:sz w:val="16"/>
          <w:szCs w:val="16"/>
        </w:rPr>
        <w:softHyphen/>
        <w:t>то реше</w:t>
      </w:r>
      <w:r w:rsidRPr="00D03F3E">
        <w:rPr>
          <w:rStyle w:val="631"/>
          <w:rFonts w:ascii="Times New Roman" w:hAnsi="Times New Roman" w:cs="Times New Roman"/>
          <w:color w:val="0070C0"/>
          <w:sz w:val="16"/>
          <w:szCs w:val="16"/>
        </w:rPr>
        <w:softHyphen/>
        <w:t>ние о постройке орудия Д-2 (Петров к тому моменту был главным конструктором завода № 9, который осенью 1942 года отделили от завода № 8). По сравнению с А-19, длина ствола Д-2 была также меньше, но уже совсем ненамного - 5484 мм против 5650 мм. В нашем же случае важно то, что параллельно с буксируемыми системами на едином лафете КБ завода № 9 стало разрабатывать похожим образом и тан</w:t>
      </w:r>
      <w:r w:rsidRPr="00D03F3E">
        <w:rPr>
          <w:rStyle w:val="631"/>
          <w:rFonts w:ascii="Times New Roman" w:hAnsi="Times New Roman" w:cs="Times New Roman"/>
          <w:color w:val="0070C0"/>
          <w:sz w:val="16"/>
          <w:szCs w:val="16"/>
        </w:rPr>
        <w:softHyphen/>
        <w:t>ковые системы (19874).</w:t>
      </w:r>
    </w:p>
    <w:p w14:paraId="5F498FEB" w14:textId="77777777" w:rsidR="0074048E" w:rsidRPr="00D03F3E" w:rsidRDefault="0074048E" w:rsidP="00D03F3E">
      <w:pPr>
        <w:spacing w:after="0" w:line="240" w:lineRule="auto"/>
        <w:jc w:val="both"/>
        <w:rPr>
          <w:rStyle w:val="631"/>
          <w:rFonts w:ascii="Times New Roman" w:hAnsi="Times New Roman" w:cs="Times New Roman"/>
          <w:color w:val="0070C0"/>
          <w:sz w:val="16"/>
          <w:szCs w:val="16"/>
        </w:rPr>
      </w:pPr>
    </w:p>
    <w:p w14:paraId="02741F9D" w14:textId="77777777" w:rsidR="0074048E" w:rsidRPr="00D03F3E" w:rsidRDefault="0074048E"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В феврале 1943 года ЧК в третий раз вышла на испытания ГАУ, несмотря на некоторые дефекты, отмечался прогресс в работах. В ГАУ КА отмечали, что орудие хоть и чуть уступает 45-мм противотанковой пушке, но хорошо подходит для авиадесантных частей (20126).</w:t>
      </w:r>
    </w:p>
    <w:p w14:paraId="3BED71F9" w14:textId="77777777" w:rsidR="0074048E" w:rsidRPr="00D03F3E" w:rsidRDefault="0074048E" w:rsidP="00D03F3E">
      <w:pPr>
        <w:shd w:val="clear" w:color="auto" w:fill="FFFFFF"/>
        <w:spacing w:after="0" w:line="240" w:lineRule="auto"/>
        <w:jc w:val="both"/>
        <w:rPr>
          <w:rFonts w:ascii="Times New Roman" w:eastAsia="Times New Roman" w:hAnsi="Times New Roman"/>
          <w:color w:val="0070C0"/>
          <w:sz w:val="16"/>
          <w:szCs w:val="16"/>
          <w:lang w:eastAsia="ru-RU"/>
        </w:rPr>
      </w:pPr>
    </w:p>
    <w:p w14:paraId="7BCD7DA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февраля 1943 года на Сормовском заводе началось испытание каждого сотого танка 300-километровыми пробегами. До конца войны таким образом испытали 85 танков, из них выдержали испытания 52 машины или 61,2% общего количества (12217).</w:t>
      </w:r>
    </w:p>
    <w:p w14:paraId="155B0E6C"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6144FE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года завод №37 сдавал последние 55 машин Т-60 (3862).</w:t>
      </w:r>
    </w:p>
    <w:p w14:paraId="2ED526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31F9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исходя из сложившейся обстановки, руководство ГБТУ вынесло на обсуждение ГКО вопрос об изготовлении двух опыт</w:t>
      </w:r>
      <w:r w:rsidRPr="00D03F3E">
        <w:rPr>
          <w:rFonts w:ascii="Times New Roman" w:hAnsi="Times New Roman"/>
          <w:color w:val="000000" w:themeColor="text1"/>
          <w:sz w:val="16"/>
          <w:szCs w:val="16"/>
        </w:rPr>
        <w:softHyphen/>
        <w:t>ных образцов танков с противоснарядным (от 88-мм бронебойных снаря</w:t>
      </w:r>
      <w:r w:rsidRPr="00D03F3E">
        <w:rPr>
          <w:rFonts w:ascii="Times New Roman" w:hAnsi="Times New Roman"/>
          <w:color w:val="000000" w:themeColor="text1"/>
          <w:sz w:val="16"/>
          <w:szCs w:val="16"/>
        </w:rPr>
        <w:softHyphen/>
        <w:t>дов) бронированием. В целях сокращения сроков создания новых танков, было решено взять за основу уже изготавливаемые два опытных образца танка КВ-13 ("Объект 233" и "Объект 234") и, улучшив их характеристи</w:t>
      </w:r>
      <w:r w:rsidRPr="00D03F3E">
        <w:rPr>
          <w:rFonts w:ascii="Times New Roman" w:hAnsi="Times New Roman"/>
          <w:color w:val="000000" w:themeColor="text1"/>
          <w:sz w:val="16"/>
          <w:szCs w:val="16"/>
        </w:rPr>
        <w:softHyphen/>
        <w:t>ки и доработав конструкцию, изготовить опытные танки И С (Иосиф Сталин) - такое название было дано будущим тяжелым машинам (10703).</w:t>
      </w:r>
    </w:p>
    <w:p w14:paraId="124CD5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B127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заверше</w:t>
      </w:r>
      <w:r w:rsidRPr="00D03F3E">
        <w:rPr>
          <w:rFonts w:ascii="Times New Roman" w:hAnsi="Times New Roman"/>
          <w:color w:val="000000" w:themeColor="text1"/>
          <w:sz w:val="16"/>
          <w:szCs w:val="16"/>
        </w:rPr>
        <w:softHyphen/>
        <w:t>ние работ по танку ЭКВ было перенесено в Москву на завод № 627. Испытания опыт</w:t>
      </w:r>
      <w:r w:rsidRPr="00D03F3E">
        <w:rPr>
          <w:rFonts w:ascii="Times New Roman" w:hAnsi="Times New Roman"/>
          <w:color w:val="000000" w:themeColor="text1"/>
          <w:sz w:val="16"/>
          <w:szCs w:val="16"/>
        </w:rPr>
        <w:softHyphen/>
        <w:t>ного образца машины были проведены в период с ноября по декабрь 1944 г. на НИБТ полигоне. Из-за конструкционных недостатков танк ЭКВ на вооружение РККА принят не был, а полученный при разработ</w:t>
      </w:r>
      <w:r w:rsidRPr="00D03F3E">
        <w:rPr>
          <w:rFonts w:ascii="Times New Roman" w:hAnsi="Times New Roman"/>
          <w:color w:val="000000" w:themeColor="text1"/>
          <w:sz w:val="16"/>
          <w:szCs w:val="16"/>
        </w:rPr>
        <w:softHyphen/>
        <w:t>ке танка опыт в последующем был использован при проектировании электромеханических трансмиссий для тяжелых танков ИС-6 и ИС-7. Танк ЭКВ был изготовлен на базе серийного танка КВ-1 обр. 1941 г. и отличался от него установкой электромеханической трансмиссии вме</w:t>
      </w:r>
      <w:r w:rsidRPr="00D03F3E">
        <w:rPr>
          <w:rFonts w:ascii="Times New Roman" w:hAnsi="Times New Roman"/>
          <w:color w:val="000000" w:themeColor="text1"/>
          <w:sz w:val="16"/>
          <w:szCs w:val="16"/>
        </w:rPr>
        <w:softHyphen/>
        <w:t>сто механической, а также башни с вооружением, аналогичной конструк</w:t>
      </w:r>
      <w:r w:rsidRPr="00D03F3E">
        <w:rPr>
          <w:rFonts w:ascii="Times New Roman" w:hAnsi="Times New Roman"/>
          <w:color w:val="000000" w:themeColor="text1"/>
          <w:sz w:val="16"/>
          <w:szCs w:val="16"/>
        </w:rPr>
        <w:softHyphen/>
        <w:t>ции, устанавливаемой на танке КВ-1 С. Машина имела классическую схему общей компоновки. В отделении управления находились сиденья механика-водителя и стрелка-радиста, приводы управления движением танка, контрольные приборы, аккумуляторные батареи, воздушные бал</w:t>
      </w:r>
      <w:r w:rsidRPr="00D03F3E">
        <w:rPr>
          <w:rFonts w:ascii="Times New Roman" w:hAnsi="Times New Roman"/>
          <w:color w:val="000000" w:themeColor="text1"/>
          <w:sz w:val="16"/>
          <w:szCs w:val="16"/>
        </w:rPr>
        <w:softHyphen/>
        <w:t>лоны, пулемет ДТ, радиостанция, часть боеукладки и ЗИПа. В середине лобового броневого листа корпуса располагался смотровой люк механи</w:t>
      </w:r>
      <w:r w:rsidRPr="00D03F3E">
        <w:rPr>
          <w:rFonts w:ascii="Times New Roman" w:hAnsi="Times New Roman"/>
          <w:color w:val="000000" w:themeColor="text1"/>
          <w:sz w:val="16"/>
          <w:szCs w:val="16"/>
        </w:rPr>
        <w:softHyphen/>
        <w:t>ка-водителя, закрывавшийся броневой крышкой (пробкой) со смотро</w:t>
      </w:r>
      <w:r w:rsidRPr="00D03F3E">
        <w:rPr>
          <w:rFonts w:ascii="Times New Roman" w:hAnsi="Times New Roman"/>
          <w:color w:val="000000" w:themeColor="text1"/>
          <w:sz w:val="16"/>
          <w:szCs w:val="16"/>
        </w:rPr>
        <w:softHyphen/>
        <w:t>вой щелью с триплексом. Справа от механика-водителя в крыше корпу</w:t>
      </w:r>
      <w:r w:rsidRPr="00D03F3E">
        <w:rPr>
          <w:rFonts w:ascii="Times New Roman" w:hAnsi="Times New Roman"/>
          <w:color w:val="000000" w:themeColor="text1"/>
          <w:sz w:val="16"/>
          <w:szCs w:val="16"/>
        </w:rPr>
        <w:softHyphen/>
        <w:t>са устанавливался зеркальный смотровой прибор. Перед стрелком-ради</w:t>
      </w:r>
      <w:r w:rsidRPr="00D03F3E">
        <w:rPr>
          <w:rFonts w:ascii="Times New Roman" w:hAnsi="Times New Roman"/>
          <w:color w:val="000000" w:themeColor="text1"/>
          <w:sz w:val="16"/>
          <w:szCs w:val="16"/>
        </w:rPr>
        <w:softHyphen/>
        <w:t>стом в лобовом листе располагалась шаровая опора под установку лобового пулемета. Для входа и выхода членов экипажа, располагавшихся в отделении управления, в крыше корпуса машины над рабочим местом стрелка-радиста был сделан люк, закрывавшийся откидной броневой крышкой на внутренней петле. За сиденьем механика-водителя в днище корпуса имелся запасный люк для выхода экипажа (10703).</w:t>
      </w:r>
    </w:p>
    <w:p w14:paraId="2F52AE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073D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февраля по ноябрь 1943 г. на ЧКЗ было изготовлено 670 серийных СУ-152 (6001,20).</w:t>
      </w:r>
    </w:p>
    <w:p w14:paraId="3AC160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AB6055" w14:textId="77777777" w:rsidR="004A45BE" w:rsidRPr="00D03F3E" w:rsidRDefault="004A45BE" w:rsidP="00D03F3E">
      <w:pPr>
        <w:pStyle w:val="a3"/>
        <w:rPr>
          <w:color w:val="000000" w:themeColor="text1"/>
          <w:lang w:val="ru-RU"/>
        </w:rPr>
      </w:pPr>
      <w:r w:rsidRPr="00D03F3E">
        <w:rPr>
          <w:color w:val="000000" w:themeColor="text1"/>
          <w:lang w:val="ru-RU"/>
        </w:rPr>
        <w:t xml:space="preserve">За февраль 1943 года ввиду недопоставок различных узлов и агрегатов на ЧКЗ вместо 30 </w:t>
      </w:r>
      <w:r w:rsidRPr="00D03F3E">
        <w:rPr>
          <w:color w:val="000000" w:themeColor="text1"/>
        </w:rPr>
        <w:t>KB</w:t>
      </w:r>
      <w:r w:rsidRPr="00D03F3E">
        <w:rPr>
          <w:color w:val="000000" w:themeColor="text1"/>
          <w:lang w:val="ru-RU"/>
        </w:rPr>
        <w:t>-14 было выпущено всего 15 машин. Вместо 75 машин за март предстояло сдать 90 машин, из них 15 в счет фев</w:t>
      </w:r>
      <w:r w:rsidRPr="00D03F3E">
        <w:rPr>
          <w:color w:val="000000" w:themeColor="text1"/>
          <w:lang w:val="ru-RU"/>
        </w:rPr>
        <w:softHyphen/>
        <w:t xml:space="preserve">ральского долга. Сдавались машины в поистине авральных условиях: по состоянию на 28 марта было принято всего 23 </w:t>
      </w:r>
      <w:r w:rsidRPr="00D03F3E">
        <w:rPr>
          <w:color w:val="000000" w:themeColor="text1"/>
        </w:rPr>
        <w:t>KB</w:t>
      </w:r>
      <w:r w:rsidRPr="00D03F3E">
        <w:rPr>
          <w:color w:val="000000" w:themeColor="text1"/>
          <w:lang w:val="ru-RU"/>
        </w:rPr>
        <w:t>-14, производство держало отсутствие траков. Поистине героическими усилиями план в 90 машин удалось выполнить за оставшиеся три дня. Надо сказать, что подобные производственные драмы были характерны для ЧКЗ в течение нескольких месяцев (17484).</w:t>
      </w:r>
    </w:p>
    <w:p w14:paraId="749B57C5" w14:textId="77777777" w:rsidR="004A45BE" w:rsidRPr="00D03F3E" w:rsidRDefault="004A45BE" w:rsidP="00D03F3E">
      <w:pPr>
        <w:spacing w:after="0" w:line="240" w:lineRule="auto"/>
        <w:jc w:val="both"/>
        <w:rPr>
          <w:rStyle w:val="Bodytext145"/>
          <w:rFonts w:ascii="Times New Roman" w:hAnsi="Times New Roman"/>
          <w:iCs/>
          <w:color w:val="000000" w:themeColor="text1"/>
          <w:sz w:val="16"/>
          <w:szCs w:val="16"/>
        </w:rPr>
      </w:pPr>
    </w:p>
    <w:p w14:paraId="068317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на башне для повышения защиты командира от свинцовых брызг при пу</w:t>
      </w:r>
      <w:r w:rsidRPr="00D03F3E">
        <w:rPr>
          <w:rFonts w:ascii="Times New Roman" w:hAnsi="Times New Roman"/>
          <w:color w:val="000000" w:themeColor="text1"/>
          <w:sz w:val="16"/>
          <w:szCs w:val="16"/>
        </w:rPr>
        <w:softHyphen/>
        <w:t>левом обстреле на БА-64 были установлены специальные брызгоуловители (10703).</w:t>
      </w:r>
    </w:p>
    <w:p w14:paraId="6E39C69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83C9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на БА-64 был введен механизм блоки</w:t>
      </w:r>
      <w:r w:rsidRPr="00D03F3E">
        <w:rPr>
          <w:rFonts w:ascii="Times New Roman" w:hAnsi="Times New Roman"/>
          <w:color w:val="000000" w:themeColor="text1"/>
          <w:sz w:val="16"/>
          <w:szCs w:val="16"/>
        </w:rPr>
        <w:softHyphen/>
        <w:t>ровки коробки передач, препятствовавший включению первой переда</w:t>
      </w:r>
      <w:r w:rsidRPr="00D03F3E">
        <w:rPr>
          <w:rFonts w:ascii="Times New Roman" w:hAnsi="Times New Roman"/>
          <w:color w:val="000000" w:themeColor="text1"/>
          <w:sz w:val="16"/>
          <w:szCs w:val="16"/>
        </w:rPr>
        <w:softHyphen/>
        <w:t>чи и передачи заднего хода при выключенном переднем мосте (10703).</w:t>
      </w:r>
    </w:p>
    <w:p w14:paraId="0FCF396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DA5D3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был изготовлен опытный образен бронеавтомобиля БА-64Б на базе ГАЗ-67. Основные мероприятия при прове</w:t>
      </w:r>
      <w:r w:rsidRPr="00D03F3E">
        <w:rPr>
          <w:rFonts w:ascii="Times New Roman" w:hAnsi="Times New Roman"/>
          <w:color w:val="000000" w:themeColor="text1"/>
          <w:sz w:val="16"/>
          <w:szCs w:val="16"/>
        </w:rPr>
        <w:softHyphen/>
        <w:t>дении модернизации были направлены на повышение подвижности ма</w:t>
      </w:r>
      <w:r w:rsidRPr="00D03F3E">
        <w:rPr>
          <w:rFonts w:ascii="Times New Roman" w:hAnsi="Times New Roman"/>
          <w:color w:val="000000" w:themeColor="text1"/>
          <w:sz w:val="16"/>
          <w:szCs w:val="16"/>
        </w:rPr>
        <w:softHyphen/>
        <w:t>шины за счет увеличения колеи машины, применения двигателя мощ</w:t>
      </w:r>
      <w:r w:rsidRPr="00D03F3E">
        <w:rPr>
          <w:rFonts w:ascii="Times New Roman" w:hAnsi="Times New Roman"/>
          <w:color w:val="000000" w:themeColor="text1"/>
          <w:sz w:val="16"/>
          <w:szCs w:val="16"/>
        </w:rPr>
        <w:softHyphen/>
        <w:t>ностью 54 л.с. и более эффективной системы охлаждения, а также двух дополнительных гидроамортизаторов в передних узлах подвески. Бла</w:t>
      </w:r>
      <w:r w:rsidRPr="00D03F3E">
        <w:rPr>
          <w:rFonts w:ascii="Times New Roman" w:hAnsi="Times New Roman"/>
          <w:color w:val="000000" w:themeColor="text1"/>
          <w:sz w:val="16"/>
          <w:szCs w:val="16"/>
        </w:rPr>
        <w:softHyphen/>
        <w:t>годаря увеличенной колее, машина могла двигаться с максимальным уг</w:t>
      </w:r>
      <w:r w:rsidRPr="00D03F3E">
        <w:rPr>
          <w:rFonts w:ascii="Times New Roman" w:hAnsi="Times New Roman"/>
          <w:color w:val="000000" w:themeColor="text1"/>
          <w:sz w:val="16"/>
          <w:szCs w:val="16"/>
        </w:rPr>
        <w:softHyphen/>
        <w:t>лом крена 25°. С сентября 1943 г. бронеавтомобиль БА-64Б был постав</w:t>
      </w:r>
      <w:r w:rsidRPr="00D03F3E">
        <w:rPr>
          <w:rFonts w:ascii="Times New Roman" w:hAnsi="Times New Roman"/>
          <w:color w:val="000000" w:themeColor="text1"/>
          <w:sz w:val="16"/>
          <w:szCs w:val="16"/>
        </w:rPr>
        <w:softHyphen/>
        <w:t>лен на серийное производство вместо бронеавтомобиля БА-64 (10703).</w:t>
      </w:r>
    </w:p>
    <w:p w14:paraId="2335F7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6FFC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в передних узлах подвески БА-64 были введены вторая пара амортизаторов и усилены рессоры (10703).</w:t>
      </w:r>
    </w:p>
    <w:p w14:paraId="2B29B3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E3591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Февраль 1943 из ПОЯСНИТЕЛЬНОЙ ЗАПИСКИ К ГОДОВОМУ ОТЧЕТУ ЗА 1942 ГОД ЗАВОДА № 590</w:t>
      </w:r>
    </w:p>
    <w:p w14:paraId="21DDF29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Всю массу вновь принятых работников завод должен был научить работать, так как в большинстве своем на завод пришли молодые юноши и девушки из средних школ или домашние хозяйки, не имеющие специальностей. На заводе применялись следующие методы обучения: бригадно-ин-дивидуальное обучение, краткосрочные курсы, стахановские школы, индивидуальное шефство. В настоящее время завод имеет обученных кадров: через РУ - 15 %, бригадное ученичество - 32 % и курсовые мероприятия — 5 %. Повышение квалификации рабочих проводилось через курсовые мероприятия — 10 % рабочего состава, через индивидуальное шефство -20 %. В целом по заводу проведено 270 стахановских школ, через которые пропущено 50 % состава рабочих. Интересно будет показать возрастной состав рабочих и стаж их работы на заводе: до 16 лет - 8,4 % от общего количества рабочих, от 16 до 18 лет - 33,4 % общего количества рабочих, от 19 до 25 лет - 23,6 % общего количества рабочих, от 26 до 35 лет — 18,2 % общего количества рабочих, свыше 35 лет - 16,4 % общего количества рабочих. До трех месяцев работы на заводе — 18,5 % от общего количества рабочих, от 3 до 6 месяцев - 47,8 %, от 6 месяцев до 1 года - 18,5 %, от 1 года до 3 лет - 5,7 %, свыше трех лет - 10,5 % от общего количества рабочих. С таким составом рабочих завод добился неплохих результатов по производительности труда, выполнив годовое задание по выработке на одного рабочего на 111,1 % (план 33 913 рублей, отчет 37 724 на одного рабочего в неизменных ценах, что дает рост против отчета 1941 года на 105 %). Невыполнение плана по средней зарплате рабочих объясняется низкой квалификацией их, с одной стороны, и неиспользованием фондов по премиям - с другой. Стахановцы завода, совершенствуя свои производственные навыки, неустанно работают над освоением техники своих участков, повышением производительности труда, показывают пример, подтягивают отстающие кадры. Лучшие стахановцы завода имеют преимущества перед остальными рабочими: многосотники получают бескарточные обеды, лучшим стахановцам в первую очередь отовариваются продуктовые и промтоварные карточки. Эти мероприятия имеют большое значение в вопросе роста числа стахановцев, подтягивания отстающих рабочих, завод имеет 60 человек, награжденных значками и грамотами Наркомэлектропрома, 20 человек награждены Почетными грамотами Новосибирского облисполкома за лучшие показатели. За 1942 год на заводе выросли 15 тысячников. Рос завод на новом месте расположения, росли цеха и люди, например: автоматно-револьверный цех был смонтирован силами 14 человек, эвакуированных из Воронежа. В настоящее время коллектив цеха вырос в 15 раз. Одновременно с монтажом цех начал выпускать продукцию и по сравнению с январем в декабре месяце цех № 33 увеличил выпуск продукции в 5,5 раза. Количество стахановцев возросло в 4 раза. Невыполняющие нормы с 52 % от сдельщиков доведены до 10 %. Обучено новых рабочих 90 человек. </w:t>
      </w:r>
      <w:r w:rsidRPr="00D03F3E">
        <w:rPr>
          <w:rFonts w:ascii="Times New Roman" w:hAnsi="Times New Roman"/>
          <w:color w:val="000000" w:themeColor="text1"/>
          <w:sz w:val="16"/>
          <w:szCs w:val="16"/>
        </w:rPr>
        <w:lastRenderedPageBreak/>
        <w:t>Коллектив цеха № 35 почти полностью укомплектован в Новосибирске молодежью. Вступив в шеренгу действующих в апреле, цех в декабре дал продукции больше апреля в 4,5 раза. В цехе № 51 (инструментальный) было впервые подхвачено движение тысячников и мысль квалифицированных рабочих, вместе с инженерами, была направлена на расшивку узких мест в производстве. Работа отдела главного конструктора по освоению новых производств и работа по рационализации</w:t>
      </w:r>
    </w:p>
    <w:p w14:paraId="5AAF807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1942 году произведены разработки следующих объектов:</w:t>
      </w:r>
    </w:p>
    <w:p w14:paraId="19E01C44"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Заказ № 50 (радиостанция РВМ «ЛЕВКОЙ») — закончена разработка и станция освоена в серийном производстве.</w:t>
      </w:r>
    </w:p>
    <w:p w14:paraId="45A917A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Заказ № 46 (приемник УС-4 «МАК») - схема приемника переработана с целью перевода на один тип ламп - 6К7. Произведены некоторые конструктивные изменения. Приемник введен в производство.</w:t>
      </w:r>
    </w:p>
    <w:p w14:paraId="02FDF974"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Заказ № 40 (приемник РСИ-4А «Малютка») - произведена капитальная переработка монтажа в сторону упрощения технологического процесса. Переработана схема по требованию заказчика с целью введения порога чувствительности.</w:t>
      </w:r>
    </w:p>
    <w:p w14:paraId="6457940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Заказ № 40 (приемник РСИ-4Т «Малютка») - произведена переработка монтажа.</w:t>
      </w:r>
    </w:p>
    <w:p w14:paraId="0ED7D0C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Заказ № 41 (радиоприемник РСИ-6 безумформерная «Малютка») — закончена лабораторная разработка, выпущена опытная партия в количестве 30 штук и вторая опытная партия в количестве 30 штук, изготовленных на производственном инструменте. Объект находится в стадии согласования с заказчиками.</w:t>
      </w:r>
    </w:p>
    <w:p w14:paraId="08713E2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Заказ № 30 (передатчик к станции РСИ-4) - разработаны и изготовлены макеты танкового и самолетного вариантов передатчика.</w:t>
      </w:r>
    </w:p>
    <w:p w14:paraId="7B6A5287"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Проведена разработка следующих деталей и узлов:</w:t>
      </w:r>
    </w:p>
    <w:p w14:paraId="38ED089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малогабаритных электролитических конденсаторов 450в х 8мф;</w:t>
      </w:r>
    </w:p>
    <w:p w14:paraId="78706DB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упрощенных конденсаторов типа МК, взамен конденсаторов МКВ, сложных в производственном отношении;</w:t>
      </w:r>
    </w:p>
    <w:p w14:paraId="0C2ECB6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бумажных конденсаторов типа ЗК для автотракторной промышленности.</w:t>
      </w:r>
    </w:p>
    <w:p w14:paraId="7A3EA71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на протяжении первого полугодия выполнил производственные программы, главным образом за счет вывезенных из Воронежа остатков материалов и полуфабрикатов. В частности, заводом было вывезено металла около 70 тонн, листа холодно-катанного 55 тонн, стали автоматной до 20 тонн, проводов монтажных около 40 километров, три вагона серной и азотной кислоты и других материалов. Имея такое серьезное положение с обеспечением завода материалами и полуфабрикатами, заводу пришлось резко изменить работу отдела материально-технического снабжения с целью выявления поставщиков в районах, тяготеющих территориально к заводу, и прикрепления работников отдела к определенной группе заводов.</w:t>
      </w:r>
    </w:p>
    <w:p w14:paraId="509D8B7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завода № 590 Мещеряков</w:t>
      </w:r>
    </w:p>
    <w:p w14:paraId="46FCAB0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отдела № 3 Сафонов</w:t>
      </w:r>
    </w:p>
    <w:p w14:paraId="663AE27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ГАНО. Ф. П-4. Оп. 7. Д. 490. Л. 38-41. 43-44, 54. Подлинник.</w:t>
      </w:r>
    </w:p>
    <w:p w14:paraId="7C0FF4A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Подписи-автографы. Документ составлен в 5 экз.. отправлен в НКЭП, обком ВКП(б). ГК ВКП(б). 2-е Главное управление (12193).</w:t>
      </w:r>
    </w:p>
    <w:p w14:paraId="0B28C42B"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35FA6CE1" w14:textId="77777777" w:rsidR="0009485E" w:rsidRPr="00D03F3E" w:rsidRDefault="0009485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в отчёте Саратовского обкома ВКП(б) признавалось, что в 1941 и начале 1942 г. «ряд предприятий области работали с перебоями и не выполняли производственных планов». Действительно, анализ прокурорских докладных записок по обследованию 11 крупнейших эвакуированных предприятий в Саратове (за второе полугодие 1941 г.) показывает, что только один завод (№ 307, из Ржева) перевыполнил план, остальные редко дотягивали до 50%. В конце января 1942 г. об этом говорили на пленуме Саратовского обкома ВКП(б).</w:t>
      </w:r>
    </w:p>
    <w:p w14:paraId="632FC39C" w14:textId="77777777" w:rsidR="0009485E" w:rsidRPr="00D03F3E" w:rsidRDefault="0009485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докладных записках прокуратуры постоянно фигурируют одинаковые факторы. Их можно разделить на две группы. Первая относится к нехватке материала, оборудования, электроэнергии, вообще организационным трудностям восстановления. Вторая, не менее важная, группа проблем в той или иной степени непосредственно касается рабочих кадров. Как правило, вместе с эвакуированными заводами на места прибывало 30–40 % рабочего коллектива от того, который ожидался. Так, по восьми предприятиям, перебазированным в Саратов, из ожидаемых 15 540 человек прибыли 4 660, или 30%. И хотя во многом это были высококвалифицированные кадры, их малое количество не могло обеспечить должную работу предприятия. В общем потоке эвакуированных процент собственно рабочих был не высок, значительную часть составляли их семьи. С целью ликвидации пустующих рабочих мест саратовские власти призывали активнее проводить в жизнь политику вовлечения на производство неработающих слоев населения, в особенности молодёжь и домохозяек (19555).</w:t>
      </w:r>
    </w:p>
    <w:p w14:paraId="3A7029A3" w14:textId="77777777" w:rsidR="0009485E" w:rsidRPr="00D03F3E" w:rsidRDefault="0009485E" w:rsidP="00D03F3E">
      <w:pPr>
        <w:spacing w:after="0" w:line="240" w:lineRule="auto"/>
        <w:jc w:val="both"/>
        <w:rPr>
          <w:rFonts w:ascii="Times New Roman" w:hAnsi="Times New Roman"/>
          <w:color w:val="000000" w:themeColor="text1"/>
          <w:sz w:val="16"/>
          <w:szCs w:val="16"/>
        </w:rPr>
      </w:pPr>
    </w:p>
    <w:p w14:paraId="7BFA36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Народный комиссар ВМФ Н. Г. Кузнецов создал в аппарате Управления связи ВМФ радиолокационную группу в составе трех офицеров энтузиастов новой техники – А. Л. Генкила, В. В. Отрашкевича и В. А. Кравцова. К вооружению флота радиолокационной техникой, как будет видно из дальнейшего, было привлечено внимание командующих флотами (11026).</w:t>
      </w:r>
    </w:p>
    <w:p w14:paraId="490E34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01CC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ГКО вынес специальное постановление "О мерах неотложной помощи черной металлургии" (338,26).</w:t>
      </w:r>
    </w:p>
    <w:p w14:paraId="7D1014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E8F10B" w14:textId="77777777" w:rsidR="0009485E" w:rsidRPr="00D03F3E" w:rsidRDefault="0009485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shd w:val="clear" w:color="auto" w:fill="FFFFFF"/>
        </w:rPr>
        <w:t xml:space="preserve">В феврале 1943 г. </w:t>
      </w:r>
      <w:r w:rsidRPr="00D03F3E">
        <w:rPr>
          <w:rFonts w:ascii="Times New Roman" w:hAnsi="Times New Roman"/>
          <w:color w:val="000000" w:themeColor="text1"/>
          <w:sz w:val="16"/>
          <w:szCs w:val="16"/>
        </w:rPr>
        <w:t>П.Н.Львов</w:t>
      </w:r>
      <w:r w:rsidRPr="00D03F3E">
        <w:rPr>
          <w:rFonts w:ascii="Times New Roman" w:hAnsi="Times New Roman"/>
          <w:color w:val="000000" w:themeColor="text1"/>
          <w:sz w:val="16"/>
          <w:szCs w:val="16"/>
          <w:shd w:val="clear" w:color="auto" w:fill="FFFFFF"/>
        </w:rPr>
        <w:t xml:space="preserve"> - активный участник работ по оформлению станции метро «Маяковская», при декоративной отделке колонн которой он с присущим ему художественным вкусом удачно использовал рифлёные полосы из нержавеющей стали ЭНЕРЖ-6 - снова в Москве, в Наркомстрое, где организует ОКБ-2 (Особое конструкторское бюро), которым руководил до вхождения в ВНИИСтройдормаш (19570).</w:t>
      </w:r>
    </w:p>
    <w:p w14:paraId="3F74300D" w14:textId="77777777" w:rsidR="0009485E" w:rsidRPr="00D03F3E" w:rsidRDefault="0009485E" w:rsidP="00D03F3E">
      <w:pPr>
        <w:spacing w:after="0" w:line="240" w:lineRule="auto"/>
        <w:jc w:val="both"/>
        <w:rPr>
          <w:rFonts w:ascii="Times New Roman" w:hAnsi="Times New Roman"/>
          <w:color w:val="000000" w:themeColor="text1"/>
          <w:sz w:val="16"/>
          <w:szCs w:val="16"/>
        </w:rPr>
      </w:pPr>
    </w:p>
    <w:p w14:paraId="676442B4" w14:textId="77777777" w:rsidR="00AE7F3A" w:rsidRPr="00D03F3E" w:rsidRDefault="00AE7F3A" w:rsidP="00D03F3E">
      <w:pPr>
        <w:spacing w:after="0" w:line="240" w:lineRule="auto"/>
        <w:jc w:val="both"/>
        <w:rPr>
          <w:rFonts w:ascii="Times New Roman" w:hAnsi="Times New Roman"/>
          <w:color w:val="000000" w:themeColor="text1"/>
          <w:sz w:val="16"/>
          <w:szCs w:val="16"/>
          <w:shd w:val="clear" w:color="auto" w:fill="FFFFFF"/>
        </w:rPr>
      </w:pPr>
      <w:r w:rsidRPr="00D03F3E">
        <w:rPr>
          <w:rFonts w:ascii="Times New Roman" w:hAnsi="Times New Roman"/>
          <w:color w:val="000000" w:themeColor="text1"/>
          <w:sz w:val="16"/>
          <w:szCs w:val="16"/>
          <w:shd w:val="clear" w:color="auto" w:fill="FFFFFF"/>
        </w:rPr>
        <w:t>В феврале 1943 года стали создаваться специальные трофейные бригады для сбора и вывоза всякого захваченного имущества. Они подчинялись образованному в апреле 1943 году Трофейному комитету ГКО во главе с маршалом Ворошиловым. Всего за время войны и после неё трофейные бригады собрали более 24 тысяч немецких танков и штурмовых орудий. Часть немецких танков и бронемашин доставалась советским войскам в исправном состоянии или могла использоваться после небольшого ремонта. Однако их боевое применение было ограниченным. Сказывалось отсутствие собственной ремонтной базы для вражеской техники и недостаток боеприпасов нужного калибра. Ближе к концу войны большинство захваченной техники составляли новые модификации. Они были очень сложны в эксплуатации для неподготовленных к ним советских экипажей. Боевое применение трофейных танков «Тигр» и «Пантера» было единичным и, как правило, очень коротким по времени после их захвата (19688).</w:t>
      </w:r>
    </w:p>
    <w:p w14:paraId="0C5FE762" w14:textId="77777777" w:rsidR="00AE7F3A" w:rsidRPr="00D03F3E" w:rsidRDefault="00AE7F3A" w:rsidP="00D03F3E">
      <w:pPr>
        <w:spacing w:after="0" w:line="240" w:lineRule="auto"/>
        <w:jc w:val="both"/>
        <w:rPr>
          <w:rFonts w:ascii="Times New Roman" w:hAnsi="Times New Roman"/>
          <w:color w:val="000000" w:themeColor="text1"/>
          <w:sz w:val="16"/>
          <w:szCs w:val="16"/>
        </w:rPr>
      </w:pPr>
    </w:p>
    <w:p w14:paraId="563C54F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63949B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0CAC84"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в испытательном центре люфтваффе в Рехлине успешно про</w:t>
      </w:r>
      <w:r w:rsidRPr="00D03F3E">
        <w:rPr>
          <w:rFonts w:ascii="Times New Roman" w:hAnsi="Times New Roman"/>
          <w:color w:val="000000" w:themeColor="text1"/>
          <w:sz w:val="16"/>
          <w:szCs w:val="16"/>
        </w:rPr>
        <w:softHyphen/>
        <w:t>шел испытания Нз129В-2, модернизиро</w:t>
      </w:r>
      <w:r w:rsidRPr="00D03F3E">
        <w:rPr>
          <w:rFonts w:ascii="Times New Roman" w:hAnsi="Times New Roman"/>
          <w:color w:val="000000" w:themeColor="text1"/>
          <w:sz w:val="16"/>
          <w:szCs w:val="16"/>
        </w:rPr>
        <w:softHyphen/>
        <w:t>ванный по опыту боевого использования своего предшественника. Новый «хен</w:t>
      </w:r>
      <w:r w:rsidRPr="00D03F3E">
        <w:rPr>
          <w:rFonts w:ascii="Times New Roman" w:hAnsi="Times New Roman"/>
          <w:color w:val="000000" w:themeColor="text1"/>
          <w:sz w:val="16"/>
          <w:szCs w:val="16"/>
        </w:rPr>
        <w:softHyphen/>
        <w:t>шель» был вооружен 30-мм пушкой МК103, которая имела большую скорострельность, чем МК101 (420 выстрелов в минуту против 240). Боекомплект к пушке был увеличен до 100 снарядов.</w:t>
      </w:r>
    </w:p>
    <w:p w14:paraId="1C4334A6"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счет большей скорострельности МК103 обеспечивалась лучшая вероят</w:t>
      </w:r>
      <w:r w:rsidRPr="00D03F3E">
        <w:rPr>
          <w:rFonts w:ascii="Times New Roman" w:hAnsi="Times New Roman"/>
          <w:color w:val="000000" w:themeColor="text1"/>
          <w:sz w:val="16"/>
          <w:szCs w:val="16"/>
        </w:rPr>
        <w:softHyphen/>
        <w:t>ность поражения наземных целей, но все равно ее нельзя признать соответствую</w:t>
      </w:r>
      <w:r w:rsidRPr="00D03F3E">
        <w:rPr>
          <w:rFonts w:ascii="Times New Roman" w:hAnsi="Times New Roman"/>
          <w:color w:val="000000" w:themeColor="text1"/>
          <w:sz w:val="16"/>
          <w:szCs w:val="16"/>
        </w:rPr>
        <w:softHyphen/>
        <w:t>щей требованиям войны.</w:t>
      </w:r>
    </w:p>
    <w:p w14:paraId="59477EF9"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Отметим, что уже на фронте с насту</w:t>
      </w:r>
      <w:r w:rsidRPr="00D03F3E">
        <w:rPr>
          <w:rFonts w:ascii="Times New Roman" w:hAnsi="Times New Roman"/>
          <w:color w:val="000000" w:themeColor="text1"/>
          <w:sz w:val="16"/>
          <w:szCs w:val="16"/>
        </w:rPr>
        <w:softHyphen/>
        <w:t>плением холодов выяснилось, что пушки МК103, также как и МК101, совершенно не выносят морозов и отказывают. Надеж</w:t>
      </w:r>
      <w:r w:rsidRPr="00D03F3E">
        <w:rPr>
          <w:rFonts w:ascii="Times New Roman" w:hAnsi="Times New Roman"/>
          <w:color w:val="000000" w:themeColor="text1"/>
          <w:sz w:val="16"/>
          <w:szCs w:val="16"/>
        </w:rPr>
        <w:softHyphen/>
        <w:t>ность автоматики пушки также оставляла желать много лучшего. По этим причи</w:t>
      </w:r>
      <w:r w:rsidRPr="00D03F3E">
        <w:rPr>
          <w:rFonts w:ascii="Times New Roman" w:hAnsi="Times New Roman"/>
          <w:color w:val="000000" w:themeColor="text1"/>
          <w:sz w:val="16"/>
          <w:szCs w:val="16"/>
        </w:rPr>
        <w:softHyphen/>
        <w:t>нам пилоты «хеншелей» вынужденно использовали в бою противотанковые кумулятивные авиабомбы 504. Но в связи с их небольшим количеством на борту эффективность боевых вылетов Нз129В была низкой.</w:t>
      </w:r>
    </w:p>
    <w:p w14:paraId="26DEF8EA"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Примерно в это же время с целью повышения эффективности стрельбы по бронетанковой технике немцы пытались использовать на Нз129В-2 пулеметы МС151/15 калибра 15 мм, в боекомплект которых входили бронебойные пули с воль</w:t>
      </w:r>
      <w:r w:rsidRPr="00D03F3E">
        <w:rPr>
          <w:rFonts w:ascii="Times New Roman" w:hAnsi="Times New Roman"/>
          <w:color w:val="000000" w:themeColor="text1"/>
          <w:sz w:val="16"/>
          <w:szCs w:val="16"/>
        </w:rPr>
        <w:softHyphen/>
        <w:t>фрамовым сердечником. Предполагалось, что установка на «хеншель» крупнокали</w:t>
      </w:r>
      <w:r w:rsidRPr="00D03F3E">
        <w:rPr>
          <w:rFonts w:ascii="Times New Roman" w:hAnsi="Times New Roman"/>
          <w:color w:val="000000" w:themeColor="text1"/>
          <w:sz w:val="16"/>
          <w:szCs w:val="16"/>
        </w:rPr>
        <w:softHyphen/>
        <w:t>берных пулеметов обеспечит значительное повышение вероятности поражения танков противника в бою, по сравнению с резуль</w:t>
      </w:r>
      <w:r w:rsidRPr="00D03F3E">
        <w:rPr>
          <w:rFonts w:ascii="Times New Roman" w:hAnsi="Times New Roman"/>
          <w:color w:val="000000" w:themeColor="text1"/>
          <w:sz w:val="16"/>
          <w:szCs w:val="16"/>
        </w:rPr>
        <w:softHyphen/>
        <w:t>татом, получаемым крупнокалиберными пушками. Расчет строился на неплохих бронепробивных свойствах специальной 15-мм бронебойной пули (с дистанции 100 м при угле встречи с броней 0° она про</w:t>
      </w:r>
      <w:r w:rsidRPr="00D03F3E">
        <w:rPr>
          <w:rFonts w:ascii="Times New Roman" w:hAnsi="Times New Roman"/>
          <w:color w:val="000000" w:themeColor="text1"/>
          <w:sz w:val="16"/>
          <w:szCs w:val="16"/>
        </w:rPr>
        <w:softHyphen/>
        <w:t>бивала бронеплиту толщиной почти в 5 см). Однако, судя по имеющимся сведениям, это оружие успеха не имело (12728).</w:t>
      </w:r>
    </w:p>
    <w:p w14:paraId="52FFF668" w14:textId="77777777" w:rsidR="002F5AD4" w:rsidRPr="00D03F3E" w:rsidRDefault="002F5AD4" w:rsidP="00D03F3E">
      <w:pPr>
        <w:spacing w:after="0" w:line="240" w:lineRule="auto"/>
        <w:jc w:val="both"/>
        <w:rPr>
          <w:rFonts w:ascii="Times New Roman" w:hAnsi="Times New Roman"/>
          <w:color w:val="000000" w:themeColor="text1"/>
          <w:sz w:val="16"/>
          <w:szCs w:val="16"/>
        </w:rPr>
      </w:pPr>
    </w:p>
    <w:p w14:paraId="409CE5F9"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в составе 4-го воз</w:t>
      </w:r>
      <w:r w:rsidRPr="00D03F3E">
        <w:rPr>
          <w:rFonts w:ascii="Times New Roman" w:hAnsi="Times New Roman"/>
          <w:color w:val="000000" w:themeColor="text1"/>
          <w:sz w:val="16"/>
          <w:szCs w:val="16"/>
        </w:rPr>
        <w:softHyphen/>
        <w:t>душного флота была также сформирована специальная противотанковая группа «\Л/е1з5» под командованием оберст-лейтенанта Вейсса, на вооружении которой стояли только Нз 129В.</w:t>
      </w:r>
    </w:p>
    <w:p w14:paraId="5E2F5467"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апреле-мае группы «\А/е1зз» и «Рапгеп/егзисИзкоттапйо» приняли уча</w:t>
      </w:r>
      <w:r w:rsidRPr="00D03F3E">
        <w:rPr>
          <w:rFonts w:ascii="Times New Roman" w:hAnsi="Times New Roman"/>
          <w:color w:val="000000" w:themeColor="text1"/>
          <w:sz w:val="16"/>
          <w:szCs w:val="16"/>
        </w:rPr>
        <w:softHyphen/>
        <w:t>стие в боях на Кубани, где практически проверялись отработанные на полигоне тактические приемы борьбы с советскими танками и способы организации тесного взаимодействия с наземными войсками.</w:t>
      </w:r>
    </w:p>
    <w:p w14:paraId="58C5D02E"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результатам «работы» противо</w:t>
      </w:r>
      <w:r w:rsidRPr="00D03F3E">
        <w:rPr>
          <w:rFonts w:ascii="Times New Roman" w:hAnsi="Times New Roman"/>
          <w:color w:val="000000" w:themeColor="text1"/>
          <w:sz w:val="16"/>
          <w:szCs w:val="16"/>
        </w:rPr>
        <w:softHyphen/>
        <w:t>танковых авиагрупп был сделан вывод, что какой-либо реальный эффект на поле боя можно получить только в случае массиро</w:t>
      </w:r>
      <w:r w:rsidRPr="00D03F3E">
        <w:rPr>
          <w:rFonts w:ascii="Times New Roman" w:hAnsi="Times New Roman"/>
          <w:color w:val="000000" w:themeColor="text1"/>
          <w:sz w:val="16"/>
          <w:szCs w:val="16"/>
        </w:rPr>
        <w:softHyphen/>
        <w:t>ванного применения этих штурмовиков на узких участках фронта на танкоопасных направлениях. Было решено создать специальную противотанковую авиагруп</w:t>
      </w:r>
      <w:r w:rsidRPr="00D03F3E">
        <w:rPr>
          <w:rFonts w:ascii="Times New Roman" w:hAnsi="Times New Roman"/>
          <w:color w:val="000000" w:themeColor="text1"/>
          <w:sz w:val="16"/>
          <w:szCs w:val="16"/>
        </w:rPr>
        <w:softHyphen/>
        <w:t>пу РиРг на Нз 129В, а в составе каждой эскадры пикировщиков - формировать отдельные противотанковые эскадрильи на Ю870. В предверии крупных танковых боев в районе Курского выступа РиРг была переброшена на аэродром Микояновка в 20 км северо-западнее Харькова. Накануне немецкого наступления в четырех эска</w:t>
      </w:r>
      <w:r w:rsidRPr="00D03F3E">
        <w:rPr>
          <w:rFonts w:ascii="Times New Roman" w:hAnsi="Times New Roman"/>
          <w:color w:val="000000" w:themeColor="text1"/>
          <w:sz w:val="16"/>
          <w:szCs w:val="16"/>
        </w:rPr>
        <w:softHyphen/>
        <w:t>дрильях противотанковой группы имелось 60 боеспособных Нз129В-1 и В-2.</w:t>
      </w:r>
    </w:p>
    <w:p w14:paraId="37D0499B"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Переоборудование серийных Ю870-3 в вариант 0-1 производилось в строевых частях и выполнялось таким образом, что</w:t>
      </w:r>
      <w:r w:rsidRPr="00D03F3E">
        <w:rPr>
          <w:rFonts w:ascii="Times New Roman" w:hAnsi="Times New Roman"/>
          <w:color w:val="000000" w:themeColor="text1"/>
          <w:sz w:val="16"/>
          <w:szCs w:val="16"/>
        </w:rPr>
        <w:softHyphen/>
        <w:t>бы оставалась возможность вернуть ма</w:t>
      </w:r>
      <w:r w:rsidRPr="00D03F3E">
        <w:rPr>
          <w:rFonts w:ascii="Times New Roman" w:hAnsi="Times New Roman"/>
          <w:color w:val="000000" w:themeColor="text1"/>
          <w:sz w:val="16"/>
          <w:szCs w:val="16"/>
        </w:rPr>
        <w:softHyphen/>
        <w:t>шинам их первоначальный облик. На всех машинах тормозные щитки отсутствовали, но кронштейны их крепления оставались. Всего подобным образом было передела</w:t>
      </w:r>
      <w:r w:rsidRPr="00D03F3E">
        <w:rPr>
          <w:rFonts w:ascii="Times New Roman" w:hAnsi="Times New Roman"/>
          <w:color w:val="000000" w:themeColor="text1"/>
          <w:sz w:val="16"/>
          <w:szCs w:val="16"/>
        </w:rPr>
        <w:softHyphen/>
        <w:t>но около 100 машин.</w:t>
      </w:r>
    </w:p>
    <w:p w14:paraId="4CA4916E"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Кроме 0-1, непосредственно на се</w:t>
      </w:r>
      <w:r w:rsidRPr="00D03F3E">
        <w:rPr>
          <w:rFonts w:ascii="Times New Roman" w:hAnsi="Times New Roman"/>
          <w:color w:val="000000" w:themeColor="text1"/>
          <w:sz w:val="16"/>
          <w:szCs w:val="16"/>
        </w:rPr>
        <w:softHyphen/>
        <w:t>рийных авиазаводах в 1943-1944 гг. вы</w:t>
      </w:r>
      <w:r w:rsidRPr="00D03F3E">
        <w:rPr>
          <w:rFonts w:ascii="Times New Roman" w:hAnsi="Times New Roman"/>
          <w:color w:val="000000" w:themeColor="text1"/>
          <w:sz w:val="16"/>
          <w:szCs w:val="16"/>
        </w:rPr>
        <w:softHyphen/>
        <w:t>пускалась противотанковая модификация 870-2. Базовой машиной послужил вари</w:t>
      </w:r>
      <w:r w:rsidRPr="00D03F3E">
        <w:rPr>
          <w:rFonts w:ascii="Times New Roman" w:hAnsi="Times New Roman"/>
          <w:color w:val="000000" w:themeColor="text1"/>
          <w:sz w:val="16"/>
          <w:szCs w:val="16"/>
        </w:rPr>
        <w:softHyphen/>
        <w:t>ант ^ 870-5, поэтому Ю870-2 отличался от модификации 0-1 увеличенным размахом крыла. Тормозные щитки и кронштейны их крепления отсутствовали на всех машинах. Часть машин в варианте 0-2 сохранила 20-мм крыльевые пушки М0151/20, на других - пушки снимались. Основным на</w:t>
      </w:r>
      <w:r w:rsidRPr="00D03F3E">
        <w:rPr>
          <w:rFonts w:ascii="Times New Roman" w:hAnsi="Times New Roman"/>
          <w:color w:val="000000" w:themeColor="text1"/>
          <w:sz w:val="16"/>
          <w:szCs w:val="16"/>
        </w:rPr>
        <w:softHyphen/>
        <w:t>значением пушек была пристрелка перед открытием огня из ВК 3.7. Всего было вы</w:t>
      </w:r>
      <w:r w:rsidRPr="00D03F3E">
        <w:rPr>
          <w:rFonts w:ascii="Times New Roman" w:hAnsi="Times New Roman"/>
          <w:color w:val="000000" w:themeColor="text1"/>
          <w:sz w:val="16"/>
          <w:szCs w:val="16"/>
        </w:rPr>
        <w:softHyphen/>
        <w:t>пущено 208 самолетов этого типа.</w:t>
      </w:r>
    </w:p>
    <w:p w14:paraId="606C05CC"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Противотанковые Ю87С состояли на вооружении всего двух эскадрилий - 10.(Рг)/5Ю2и 10</w:t>
      </w:r>
      <w:r w:rsidRPr="00D03F3E">
        <w:rPr>
          <w:rStyle w:val="ArialNarrow75pt"/>
          <w:rFonts w:ascii="Times New Roman" w:hAnsi="Times New Roman" w:cs="Times New Roman"/>
          <w:color w:val="000000" w:themeColor="text1"/>
          <w:sz w:val="16"/>
          <w:szCs w:val="16"/>
        </w:rPr>
        <w:t>.(Р2</w:t>
      </w:r>
      <w:r w:rsidRPr="00D03F3E">
        <w:rPr>
          <w:rFonts w:ascii="Times New Roman" w:hAnsi="Times New Roman"/>
          <w:color w:val="000000" w:themeColor="text1"/>
          <w:sz w:val="16"/>
          <w:szCs w:val="16"/>
        </w:rPr>
        <w:t>)/51С1.</w:t>
      </w:r>
    </w:p>
    <w:p w14:paraId="2B273EF9"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немецким данным на начальной фазе сражения немецким противотанко</w:t>
      </w:r>
      <w:r w:rsidRPr="00D03F3E">
        <w:rPr>
          <w:rFonts w:ascii="Times New Roman" w:hAnsi="Times New Roman"/>
          <w:color w:val="000000" w:themeColor="text1"/>
          <w:sz w:val="16"/>
          <w:szCs w:val="16"/>
        </w:rPr>
        <w:softHyphen/>
        <w:t>вым «хеншелям» и «юнкерсам» удалось достичь серьезных успехов.</w:t>
      </w:r>
    </w:p>
    <w:p w14:paraId="1BA7A476"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 один из наиболее известных лет</w:t>
      </w:r>
      <w:r w:rsidRPr="00D03F3E">
        <w:rPr>
          <w:rFonts w:ascii="Times New Roman" w:hAnsi="Times New Roman"/>
          <w:color w:val="000000" w:themeColor="text1"/>
          <w:sz w:val="16"/>
          <w:szCs w:val="16"/>
        </w:rPr>
        <w:softHyphen/>
        <w:t>чиков люфтваффе командир 10.(Рг)./5102 гауптман Рудель уже в первый день сра</w:t>
      </w:r>
      <w:r w:rsidRPr="00D03F3E">
        <w:rPr>
          <w:rFonts w:ascii="Times New Roman" w:hAnsi="Times New Roman"/>
          <w:color w:val="000000" w:themeColor="text1"/>
          <w:sz w:val="16"/>
          <w:szCs w:val="16"/>
        </w:rPr>
        <w:softHyphen/>
        <w:t>жения на Курской дуге 5 июля заявил об уничтожении 12 советских танков. Причем 4 танка по его словам были подбиты в пер</w:t>
      </w:r>
      <w:r w:rsidRPr="00D03F3E">
        <w:rPr>
          <w:rFonts w:ascii="Times New Roman" w:hAnsi="Times New Roman"/>
          <w:color w:val="000000" w:themeColor="text1"/>
          <w:sz w:val="16"/>
          <w:szCs w:val="16"/>
        </w:rPr>
        <w:softHyphen/>
        <w:t>вом же боевом вылете. Всего же немецкие пилоты заявили об уничтожении в тот день 64 танков.</w:t>
      </w:r>
    </w:p>
    <w:p w14:paraId="095CF9B8"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июля 1943 г. пилоты 51077, 5Ю2 и 5сИ.01 доложили об уничтожении 44 тан</w:t>
      </w:r>
      <w:r w:rsidRPr="00D03F3E">
        <w:rPr>
          <w:rFonts w:ascii="Times New Roman" w:hAnsi="Times New Roman"/>
          <w:color w:val="000000" w:themeColor="text1"/>
          <w:sz w:val="16"/>
          <w:szCs w:val="16"/>
        </w:rPr>
        <w:softHyphen/>
        <w:t>ков, 20 орудий и около 50 автомашин.</w:t>
      </w:r>
    </w:p>
    <w:p w14:paraId="4EE4B9D2"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8 июля пилоты этих же эскадр и противотанковой группы РиР2 уничтожили и повредили якобы 88 танков, 4 артиллерийских и 3 зенитных орудий, 2 установки гвардейских минометов БМ-13 и около 40 автомашин. Причем бо</w:t>
      </w:r>
      <w:r w:rsidRPr="00D03F3E">
        <w:rPr>
          <w:rFonts w:ascii="Times New Roman" w:hAnsi="Times New Roman"/>
          <w:color w:val="000000" w:themeColor="text1"/>
          <w:sz w:val="16"/>
          <w:szCs w:val="16"/>
        </w:rPr>
        <w:softHyphen/>
        <w:t>лее 80 единиц советской бронетехники из этого числа было уничтожено и поврежде</w:t>
      </w:r>
      <w:r w:rsidRPr="00D03F3E">
        <w:rPr>
          <w:rFonts w:ascii="Times New Roman" w:hAnsi="Times New Roman"/>
          <w:color w:val="000000" w:themeColor="text1"/>
          <w:sz w:val="16"/>
          <w:szCs w:val="16"/>
        </w:rPr>
        <w:softHyphen/>
        <w:t>но летчиками самолетов Нз129В.</w:t>
      </w:r>
    </w:p>
    <w:p w14:paraId="37B98D0C"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Отметим, что заявления немецких пилотов об уничтожении большого коли</w:t>
      </w:r>
      <w:r w:rsidRPr="00D03F3E">
        <w:rPr>
          <w:rFonts w:ascii="Times New Roman" w:hAnsi="Times New Roman"/>
          <w:color w:val="000000" w:themeColor="text1"/>
          <w:sz w:val="16"/>
          <w:szCs w:val="16"/>
        </w:rPr>
        <w:softHyphen/>
        <w:t>чества советских танков, как, впрочем, и других наземных целей, обычно не под</w:t>
      </w:r>
      <w:r w:rsidRPr="00D03F3E">
        <w:rPr>
          <w:rFonts w:ascii="Times New Roman" w:hAnsi="Times New Roman"/>
          <w:color w:val="000000" w:themeColor="text1"/>
          <w:sz w:val="16"/>
          <w:szCs w:val="16"/>
        </w:rPr>
        <w:softHyphen/>
        <w:t>тверждались ничем, кроме их собственных слов. На большинстве самолетов кинофо- топулеметы отсутствовали, а если и были, то фиксировали не результат действия, а лишь попадания снарядов в танк.</w:t>
      </w:r>
    </w:p>
    <w:p w14:paraId="6464E471"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и следовало ожидать, реальные по</w:t>
      </w:r>
      <w:r w:rsidRPr="00D03F3E">
        <w:rPr>
          <w:rFonts w:ascii="Times New Roman" w:hAnsi="Times New Roman"/>
          <w:color w:val="000000" w:themeColor="text1"/>
          <w:sz w:val="16"/>
          <w:szCs w:val="16"/>
        </w:rPr>
        <w:softHyphen/>
        <w:t>тери советских танкистов от бомб, а уж тем более от пушечного немецкой авиации в действительности оказались значительно скромнее, чем это отражается в докладах немецких пилотов (12728).</w:t>
      </w:r>
    </w:p>
    <w:p w14:paraId="0D9CB026" w14:textId="77777777" w:rsidR="002F5AD4" w:rsidRPr="00D03F3E" w:rsidRDefault="002F5AD4" w:rsidP="00D03F3E">
      <w:pPr>
        <w:spacing w:after="0" w:line="240" w:lineRule="auto"/>
        <w:jc w:val="both"/>
        <w:rPr>
          <w:rFonts w:ascii="Times New Roman" w:hAnsi="Times New Roman"/>
          <w:color w:val="000000" w:themeColor="text1"/>
          <w:sz w:val="16"/>
          <w:szCs w:val="16"/>
        </w:rPr>
      </w:pPr>
    </w:p>
    <w:p w14:paraId="4F1E67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года первый серийный Пе-8 № 42058 с М-82 поступил на вооружение 746-го авиаполка. Тогда же на завод поступило требование подготовить следующий такой экземпляр лично для М.В.Водопьянова. Известно, что Михаил Васильевич позднее летал именно на машине №42058. Впрочем, большую часть весны этот экземпляр простоял в ремонте - при выполнении тренировочного полета 17 марта 1943 г. лопнул нижний пояс второго лонжерона центроплана (12025).</w:t>
      </w:r>
    </w:p>
    <w:p w14:paraId="5C6C5D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56F0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советское командование отметило несколько случаев бесследного исчезнове</w:t>
      </w:r>
      <w:r w:rsidRPr="00D03F3E">
        <w:rPr>
          <w:rFonts w:ascii="Times New Roman" w:hAnsi="Times New Roman"/>
          <w:color w:val="000000" w:themeColor="text1"/>
          <w:sz w:val="16"/>
          <w:szCs w:val="16"/>
        </w:rPr>
        <w:softHyphen/>
        <w:t>ния целых подразделений «пешек», летав</w:t>
      </w:r>
      <w:r w:rsidRPr="00D03F3E">
        <w:rPr>
          <w:rFonts w:ascii="Times New Roman" w:hAnsi="Times New Roman"/>
          <w:color w:val="000000" w:themeColor="text1"/>
          <w:sz w:val="16"/>
          <w:szCs w:val="16"/>
        </w:rPr>
        <w:softHyphen/>
        <w:t>ших на задание без прикрытия истребителя</w:t>
      </w:r>
      <w:r w:rsidRPr="00D03F3E">
        <w:rPr>
          <w:rFonts w:ascii="Times New Roman" w:hAnsi="Times New Roman"/>
          <w:color w:val="000000" w:themeColor="text1"/>
          <w:sz w:val="16"/>
          <w:szCs w:val="16"/>
        </w:rPr>
        <w:softHyphen/>
        <w:t>ми (11392).</w:t>
      </w:r>
    </w:p>
    <w:p w14:paraId="564856A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31CF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года шесть А-20В выделили 1-му гвардейскому минно-торпедному полку на Балтике. Там их опробовали... и сдали 15-му разведывательному (3457,106).</w:t>
      </w:r>
    </w:p>
    <w:p w14:paraId="01E082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F001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Б-3 начал получать 33-й полк. К весне 1943 в действующей армии насчитывалось около 400 "Бостонов", почти все на юге: Юго-Западный фронт - 108 самолетов. Северо-Кавказский - 101, Закавказский - 163, Южный-24 (3457,104).</w:t>
      </w:r>
    </w:p>
    <w:p w14:paraId="3E7081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32AD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Постановлением ГКО (4097) была поставлена задача иметь в ремонте не более 10-15% самолетов нового типа в частях и соединениях действующих Воздушных армий (3573).</w:t>
      </w:r>
    </w:p>
    <w:p w14:paraId="1C2AE3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5C0B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в Хортице в составе 4-го ВФ была сформирована специальная противотанковая группа "Weiss" под командованием оберст-лейтенанта Вейсса, на вооружении которой стояли только Hsl29B (9084).</w:t>
      </w:r>
    </w:p>
    <w:p w14:paraId="4A2C49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FA30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вместо инженерно-минных рот в состав танкового кор</w:t>
      </w:r>
      <w:r w:rsidRPr="00D03F3E">
        <w:rPr>
          <w:rFonts w:ascii="Times New Roman" w:hAnsi="Times New Roman"/>
          <w:color w:val="000000" w:themeColor="text1"/>
          <w:sz w:val="16"/>
          <w:szCs w:val="16"/>
        </w:rPr>
        <w:softHyphen/>
        <w:t>пуса был включен саперный батальон, а в марте - зенитно-ар</w:t>
      </w:r>
      <w:r w:rsidRPr="00D03F3E">
        <w:rPr>
          <w:rFonts w:ascii="Times New Roman" w:hAnsi="Times New Roman"/>
          <w:color w:val="000000" w:themeColor="text1"/>
          <w:sz w:val="16"/>
          <w:szCs w:val="16"/>
        </w:rPr>
        <w:softHyphen/>
        <w:t>тиллерийский полк. В апреле в штат корпуса вошел также истребительно-противотанковый артиллерийский полк (ИПТАП 20 45-мм пушек), а также истребительно-проти</w:t>
      </w:r>
      <w:r w:rsidRPr="00D03F3E">
        <w:rPr>
          <w:rFonts w:ascii="Times New Roman" w:hAnsi="Times New Roman"/>
          <w:color w:val="000000" w:themeColor="text1"/>
          <w:sz w:val="16"/>
          <w:szCs w:val="16"/>
        </w:rPr>
        <w:softHyphen/>
        <w:t>вотанковый дивизион (12 85-мм противотанковых пушек обр. 1941 г.). Однако в августе 1943 г. их сменили два само-ходно-артиллерийских полка (на СУ-76 и СУ-152). В ок</w:t>
      </w:r>
      <w:r w:rsidRPr="00D03F3E">
        <w:rPr>
          <w:rFonts w:ascii="Times New Roman" w:hAnsi="Times New Roman"/>
          <w:color w:val="000000" w:themeColor="text1"/>
          <w:sz w:val="16"/>
          <w:szCs w:val="16"/>
        </w:rPr>
        <w:softHyphen/>
        <w:t>тябре в отдельных танковых корпусах, а в ноябре во всех остальных вместо бронеавтомобильного батальона вводит</w:t>
      </w:r>
      <w:r w:rsidRPr="00D03F3E">
        <w:rPr>
          <w:rFonts w:ascii="Times New Roman" w:hAnsi="Times New Roman"/>
          <w:color w:val="000000" w:themeColor="text1"/>
          <w:sz w:val="16"/>
          <w:szCs w:val="16"/>
        </w:rPr>
        <w:softHyphen/>
        <w:t>ся отдельный мотоциклетный батальон, состоявший из двух мотоциклетных, одной танковой рот, роты бронетран</w:t>
      </w:r>
      <w:r w:rsidRPr="00D03F3E">
        <w:rPr>
          <w:rFonts w:ascii="Times New Roman" w:hAnsi="Times New Roman"/>
          <w:color w:val="000000" w:themeColor="text1"/>
          <w:sz w:val="16"/>
          <w:szCs w:val="16"/>
        </w:rPr>
        <w:softHyphen/>
        <w:t>спортеров и истребительно-противотанковой артиллерий</w:t>
      </w:r>
      <w:r w:rsidRPr="00D03F3E">
        <w:rPr>
          <w:rFonts w:ascii="Times New Roman" w:hAnsi="Times New Roman"/>
          <w:color w:val="000000" w:themeColor="text1"/>
          <w:sz w:val="16"/>
          <w:szCs w:val="16"/>
        </w:rPr>
        <w:softHyphen/>
        <w:t>ской батареи (45-мм пушки) (11135).</w:t>
      </w:r>
    </w:p>
    <w:p w14:paraId="5C11C6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009D6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года ввиду недостаточной мобильности из бригады был ис</w:t>
      </w:r>
      <w:r w:rsidRPr="00D03F3E">
        <w:rPr>
          <w:rFonts w:ascii="Times New Roman" w:hAnsi="Times New Roman"/>
          <w:color w:val="000000" w:themeColor="text1"/>
          <w:sz w:val="16"/>
          <w:szCs w:val="16"/>
        </w:rPr>
        <w:softHyphen/>
        <w:t>ключен зенитно-артиллерийский дивизион, а вместо него введена зенитно-пулеметная рота крупнокалиберных пуле</w:t>
      </w:r>
      <w:r w:rsidRPr="00D03F3E">
        <w:rPr>
          <w:rFonts w:ascii="Times New Roman" w:hAnsi="Times New Roman"/>
          <w:color w:val="000000" w:themeColor="text1"/>
          <w:sz w:val="16"/>
          <w:szCs w:val="16"/>
        </w:rPr>
        <w:softHyphen/>
        <w:t>метов. Одновременно в штат бригады была введена инже</w:t>
      </w:r>
      <w:r w:rsidRPr="00D03F3E">
        <w:rPr>
          <w:rFonts w:ascii="Times New Roman" w:hAnsi="Times New Roman"/>
          <w:color w:val="000000" w:themeColor="text1"/>
          <w:sz w:val="16"/>
          <w:szCs w:val="16"/>
        </w:rPr>
        <w:softHyphen/>
        <w:t>нерно-минная рота, а все автомобили для перевозки лич</w:t>
      </w:r>
      <w:r w:rsidRPr="00D03F3E">
        <w:rPr>
          <w:rFonts w:ascii="Times New Roman" w:hAnsi="Times New Roman"/>
          <w:color w:val="000000" w:themeColor="text1"/>
          <w:sz w:val="16"/>
          <w:szCs w:val="16"/>
        </w:rPr>
        <w:softHyphen/>
        <w:t>ного состава мотострелковых батальонов были сведены в специально организованную бригадную автороту. Дальнейшие изменения в организации механизирован</w:t>
      </w:r>
      <w:r w:rsidRPr="00D03F3E">
        <w:rPr>
          <w:rFonts w:ascii="Times New Roman" w:hAnsi="Times New Roman"/>
          <w:color w:val="000000" w:themeColor="text1"/>
          <w:sz w:val="16"/>
          <w:szCs w:val="16"/>
        </w:rPr>
        <w:softHyphen/>
        <w:t>ной бригады происходили преимущественно в связи с со</w:t>
      </w:r>
      <w:r w:rsidRPr="00D03F3E">
        <w:rPr>
          <w:rFonts w:ascii="Times New Roman" w:hAnsi="Times New Roman"/>
          <w:color w:val="000000" w:themeColor="text1"/>
          <w:sz w:val="16"/>
          <w:szCs w:val="16"/>
        </w:rPr>
        <w:softHyphen/>
        <w:t>вершенствованием организации ее танкового полка. Так, в феврале 1944 г. танковый полк был переведен на новый штат, по которому в нем имелось три танковые роты, уком</w:t>
      </w:r>
      <w:r w:rsidRPr="00D03F3E">
        <w:rPr>
          <w:rFonts w:ascii="Times New Roman" w:hAnsi="Times New Roman"/>
          <w:color w:val="000000" w:themeColor="text1"/>
          <w:sz w:val="16"/>
          <w:szCs w:val="16"/>
        </w:rPr>
        <w:softHyphen/>
        <w:t>плектованные только средними танками. В результате в полку стало 35 танков Т-34, а легкие танки из штата были выведены. С этого момента и до конца войны в бригаде не происходило никаких изменений (11135).</w:t>
      </w:r>
    </w:p>
    <w:p w14:paraId="7FA3C3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A01B76" w14:textId="77777777" w:rsidR="00394721" w:rsidRPr="00D03F3E" w:rsidRDefault="0039472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феврале 1943 года первые СУ-12 пошли в бой. Машины поступали на вооружение самоходных артиллерийских полков (САП) по штату № 08/191. Согласно ему, 4-я и 5-я батареи САП комплектовались СУ-12 (по 4 машине в батарее), еще 3 батареи вооружались СУ-35 (такой же была и машина командира батареи).</w:t>
      </w:r>
    </w:p>
    <w:p w14:paraId="414A58E8" w14:textId="77777777" w:rsidR="00394721" w:rsidRPr="00D03F3E" w:rsidRDefault="0039472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Согласно отчету 1434 САП, на трех СУ-12 из его состава наблюдалась поломка шестерней КПП. Общая схема трансмиссии также подверглась критике. Вместе с тем, СУ-12 показала себя вполне удачной боевой единицей. СУ-12 в состава 1435 САП действовали, судя по документам, успешнее, но тут, возможно, дело в сравнении с </w:t>
      </w:r>
      <w:hyperlink r:id="rId80" w:history="1">
        <w:r w:rsidRPr="00D03F3E">
          <w:rPr>
            <w:rFonts w:ascii="Times New Roman" w:eastAsia="Times New Roman" w:hAnsi="Times New Roman"/>
            <w:color w:val="000000" w:themeColor="text1"/>
            <w:sz w:val="16"/>
            <w:szCs w:val="16"/>
            <w:lang w:eastAsia="ru-RU"/>
          </w:rPr>
          <w:t>СГ-122</w:t>
        </w:r>
      </w:hyperlink>
      <w:r w:rsidRPr="00D03F3E">
        <w:rPr>
          <w:rFonts w:ascii="Times New Roman" w:eastAsia="Times New Roman" w:hAnsi="Times New Roman"/>
          <w:color w:val="000000" w:themeColor="text1"/>
          <w:sz w:val="16"/>
          <w:szCs w:val="16"/>
          <w:lang w:eastAsia="ru-RU"/>
        </w:rPr>
        <w:t>, которые тоже состояли на вооружении полка и ломались еще чаще.</w:t>
      </w:r>
    </w:p>
    <w:p w14:paraId="5C418A5B" w14:textId="77777777" w:rsidR="00394721" w:rsidRPr="00D03F3E" w:rsidRDefault="0039472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Концепция лёгкой штурмовой САУ, воплощённая в СУ-12, явно удалась. Но к марту 1943 года над самой машиной и над её создателем Гинзбургом начали сгущаться тучи (17699).</w:t>
      </w:r>
    </w:p>
    <w:p w14:paraId="5965A93D" w14:textId="77777777" w:rsidR="00394721" w:rsidRPr="00D03F3E" w:rsidRDefault="00394721" w:rsidP="00D03F3E">
      <w:pPr>
        <w:pStyle w:val="12a"/>
        <w:shd w:val="clear" w:color="auto" w:fill="auto"/>
        <w:spacing w:after="0" w:line="240" w:lineRule="auto"/>
        <w:jc w:val="both"/>
        <w:rPr>
          <w:color w:val="000000" w:themeColor="text1"/>
          <w:sz w:val="16"/>
          <w:szCs w:val="16"/>
        </w:rPr>
      </w:pPr>
    </w:p>
    <w:p w14:paraId="2C1A5D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была сформирована Азовская флотилия (359,190).</w:t>
      </w:r>
    </w:p>
    <w:p w14:paraId="0A7D32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0242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года строительство и восстановление линий связи также возложено на НКВД СССР, для чего в его составе образуется Управление связи с подчиненными ему специальными воинскими частями (начальник - генерал-майор войск связи П.Ф.Угловский) (8983).</w:t>
      </w:r>
    </w:p>
    <w:p w14:paraId="71ADAB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950907" w14:textId="77777777" w:rsidR="008C56B3" w:rsidRPr="00D03F3E" w:rsidRDefault="008C56B3" w:rsidP="00D03F3E">
      <w:pPr>
        <w:pStyle w:val="book"/>
        <w:ind w:firstLine="0"/>
        <w:jc w:val="both"/>
        <w:rPr>
          <w:color w:val="000000" w:themeColor="text1"/>
          <w:sz w:val="16"/>
          <w:szCs w:val="16"/>
        </w:rPr>
      </w:pPr>
      <w:r w:rsidRPr="00D03F3E">
        <w:rPr>
          <w:color w:val="000000" w:themeColor="text1"/>
          <w:sz w:val="16"/>
          <w:szCs w:val="16"/>
        </w:rPr>
        <w:t>В феврале 1943 г. согласно постановлению Государственного Комитета Обороны (ГКО) «О сборе и вывозе трофейного имущества и обеспечении его хранения» начали создаваться специальные трофейные бригады. В соответствии с этим постановлением при ГКО были созданы: Центральная комиссия по сбору трофейного вооружения и имущества под председательством Маршала Советского Союза С.М. Буденного; Центральная комиссия по сбору черных и цветных металлов в прифронтовой полосе (председатель Н.М. Шверник); Управление по сбору и использованию трофейного оружия, имущества и металлолома (в Главном управлении тыла) под начальством генерал-лейтенанта Ф.Н. Вахитова. Аналогичные отделы в составе 8—12 человек были созданы во фронтах и общевойсковых армиях и дивизиях — отделения трофейного имущества и сбора металлолома (15225).</w:t>
      </w:r>
    </w:p>
    <w:p w14:paraId="26880FF6" w14:textId="77777777" w:rsidR="008C56B3" w:rsidRPr="00D03F3E" w:rsidRDefault="008C56B3" w:rsidP="00D03F3E">
      <w:pPr>
        <w:pStyle w:val="book"/>
        <w:ind w:firstLine="0"/>
        <w:jc w:val="both"/>
        <w:rPr>
          <w:color w:val="000000" w:themeColor="text1"/>
          <w:sz w:val="16"/>
          <w:szCs w:val="16"/>
        </w:rPr>
      </w:pPr>
    </w:p>
    <w:p w14:paraId="4CD90F9B"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3E3892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65FA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февраля 1943 года в сельской местности Мурманской области продажа мясо- и рыбопродуктов, жиров, крупы и макаронных изделий, чая, сахара, кондитерских изделий, соли и некоторых промышленных товаров осуществлялась через сеть потребительской кооперации по разовым талонам. Количество талонов и норма разового отпуска товаров устанавливались в зависимости от наличия товаров, но при этом выдача на одного человека не должна была превышать нормы, установленные для городского населения (Там же, ф. Р-405, оп. 1, д. 325, л. 65-67 об.). Хлеб по спискам и талонам с начала 1943 года продавался только населению, не связанному с сельским хозяйством. Члены промысловых артелей, охотники-одиночки принимались на снабжение хлебом лишь в том случае, если сдавали всю продукцию своего промысла государственным и кооперативным организациям по договору (Там же, ф. Р-808, оп. 1, д. 96, л. 435, 436.).</w:t>
      </w:r>
    </w:p>
    <w:p w14:paraId="32403E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B06E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февраля 1943 г. для нуждающихся в усиленном и диетическом питании сверх карточек отпускались продукты, продававшиеся в виде диетических обедов [Сербина О.А. Обеспечение населения Ленинграда продовольствием в годы блокады ( сентябрь 1941 – январь 1944 гг.): Автореф. дисс... канд. ист. наук. - Спб., 1996. C.148]. Дополнительные продукты сверх карточек отпускались также для питания больных в лечебных учреждениях; донорам выдавались карточки по группе рабочих, независимо от того, к какой группе населения они принадлежали. Дополнительно в дни сдачи крови донорам отпускалось высококалорийное питание и выдавались справки на получение специального пайка, состоявшего из сливочного масла, мяса, сахара и крупы [Российский центр хранения и изучения документов новейшей </w:t>
      </w:r>
      <w:r w:rsidRPr="00D03F3E">
        <w:rPr>
          <w:rFonts w:ascii="Times New Roman" w:hAnsi="Times New Roman"/>
          <w:color w:val="000000" w:themeColor="text1"/>
          <w:sz w:val="16"/>
          <w:szCs w:val="16"/>
        </w:rPr>
        <w:lastRenderedPageBreak/>
        <w:t>истории. Ф. 17. Оп.121, Ф. 7971. Оп. 1. Д. 946. Л. 140].</w:t>
      </w:r>
    </w:p>
    <w:p w14:paraId="3C9E2C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15C09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2C8A33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D55D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в Рехлине успешно прошел испытания Hsl29B-2, модернизированный по опыту боевого использования своего предшественника. Новый "хеншель" был вооружен 30-мм пушкой МК103, которая имела большую скорострельность, чем МК101 (420 выстрелов в минуту против 240). Боекомплект к пушке был увеличен до 100 снарядов.</w:t>
      </w:r>
    </w:p>
    <w:p w14:paraId="3071DB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счет большей скорострельности МК103 обеспечивалась несколько большая вероятность поражения наземных целей.</w:t>
      </w:r>
    </w:p>
    <w:p w14:paraId="1B097C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Расчеты показывают, что применительно к сложившимся условиям боевого применения Hsl29B-2 с пушкой МК103 в период 1943-45 гг. вероятность боевого успеха одиночного "хеншеля" в одном боевом вылете при поражении советской техники могла составлять:</w:t>
      </w:r>
    </w:p>
    <w:p w14:paraId="55F608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средних танков - 0,02; легких танков всех типов - около 0,05; бронемашины - 0,09; автомашины - 0,14; артиллерия на позиции - 0,03; переправы (наплавной мост типа ТПМ) - 0,002.</w:t>
      </w:r>
    </w:p>
    <w:p w14:paraId="5AAC5B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Этот результат лучше, чем при использовании пушки МК101, но все равно нельзя признать высоким и соответствующим требованиям войны.</w:t>
      </w:r>
    </w:p>
    <w:p w14:paraId="2138D3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Отметим, что уже на фронте с наступлением холодов выяснилось, что пушки МК103, так же как и МК101, совершенно не выносят морозов и отказывают. Надежность автоматики пушки также оставляла желать много лучшего. По этим причинам пилоты "хеншелей" вынужденно использовали в бою противотанковые кумулятивные авиабомбы SD4. Но в связи с их небольшим количеством на борту эффективность боевых вылетов Hsl29B была небольшой.</w:t>
      </w:r>
    </w:p>
    <w:p w14:paraId="1C2505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Примерно в это же время с целью повышения эффективности стрельбы по бронетанковой технике немцы пытались использовать на Hsl29B-2 пулеметы MG151/15 калибра 15 мм, в боекомплект которых входили бронебойные пули с вольфрамовым углеродистым сердечником. Предполагалось, что установка на "хеншель" крупнокалиберных "маузеров" обеспечит значительное повышение вероятности поражения танков противника в бою, по сравнению с результатом, получаемым крупнокалиберными пушками. Расчет строился на лучших бронепробивных свойствах специальной 15-мм бронебойной пули (с дистанции 100 м при угле встречи с броней 0 пуля пробивала бронеплиту толщиной 49 мм), меньшей отдачи при стрельбе в воздухе и большей скорострельности пулемета MG151/15. Однако, судя по имеющимся сведениям, пуля успеха все же не имела.</w:t>
      </w:r>
    </w:p>
    <w:p w14:paraId="535E4E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Одновременно с новым вариантом бронированного "хеншеля" в испытательный центр в Рехлине поступили и три Ju87D-3, главной особенностью которых являлась установка под крылом двух 37-мм пушек ВК 3.7 с боекомплектом по 12 снарядов. Крыльевые пулеметы и бомбовое вооружение отсутствовали. Бронирование самолета было ослаблено. В отличие от стандартного Ju87D-3 на противотанковом "Юнкерсе" отсутствовало бронирование стрелка, центропланных бензобаков и водорадиатора. Толщина задней бронеспинки летчика была увеличена до 20 мм. В остальном бронирование машины осталось без изменений. Штурмовик получил обозначение Ju87G-l.</w:t>
      </w:r>
    </w:p>
    <w:p w14:paraId="640935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испытаниях Ju87G-l показал себя медлительным и очень неповоротливым, что в сочетании с уменьшенным бронированием и слабым оборонительным вооружением делало машину идеальной мишенью для истребителей. Максимальная скорость самолета снизилась на 30-40 км/ч. Ju87G-l уже не пикировал (хотя на проходивших испытания опытных машинах имелись тормозные щитки), атака целей производилась с планирования под углами не более 10-12°. Кроме этого, по показаниям пленных немецких летчиков ввод в планирование был затруднительным. Затруднительным было и прицеливание вследствие плохой путевой устойчивости самолета, обусловленной аэродинамическим влиянием пушечных установок, большими разнесенными массами (вес одной пушки с лафетом, без учета веса магазина и снарядов, 473 кг) и возросшим полетным весом.</w:t>
      </w:r>
    </w:p>
    <w:p w14:paraId="5046DD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Пушки ВК 3.7 имели довольно невысокую скорострельность и низкую надежность автоматики. По немецким данным пушка имела скорострельность до 70 выстрелов в минуту. Однако по данным НИИ ВВС КА вследствие недоведенности автоматики пушки ее боевая скорострельность ограничивалась в среднем одним выстрелом в две секунды. Низкая же практическая скорострельность самих пушек приводила и к весьма ограниченному числу выстрелов (не более двух) в одной атаке.</w:t>
      </w:r>
    </w:p>
    <w:p w14:paraId="49A17E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Положение усугублялось еще и сильной отдачей пушек при стрельбе в воздухе и спецификой размещения их на машине. Вследствие этих причин штурмовик испытывал сильный пикирующий момент и возникала раскачка самолета в продольной плоскости при стрельбе в воздухе. Удерживание линии визирования на цели во время стрельбы по наземным целям и ввод поправок в прицеливание было очень сложной задачей и практически невыполнимой. Поэтому прицельным мог быть только первый выстрел.</w:t>
      </w:r>
    </w:p>
    <w:p w14:paraId="538716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то же время подкалиберный снаряд к ВК 3.7, имея при стрельбе в воздухе начальную скорость около 1170 м/ с (по данным НИИ ВВС КА), с дистанции до 400 м мог пробить советскую танковую броню толщиной до 52 мм при угле встречи 0°. Бронебойный снаряд из боекомплекта к этой пушке таким результатом похвастаться не мог - с 400 м при угле встречи 0° снаряд пробивал только 40-мм броню и "тридцатьчетверки" всех типов не поражались при атаках с любого направления...</w:t>
      </w:r>
    </w:p>
    <w:p w14:paraId="0071A6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Казалось бы, Ju87G-l - эффективное средство поражения советских "тридцатьчетверок". В действительности же все оказалось несколько иначе.</w:t>
      </w:r>
    </w:p>
    <w:p w14:paraId="22FF30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Анализ схемы бронирования советского среднего танка Т-34-76 и возможностей немецкой пушки ВК 3.7 показывает, что при углах планирования Ju87G-l около 5-10° подкалиберный снаряд к пушке мог пробить 52 мм броню башни "тридцатьчетверки" только при стрельбе с дистанции не более 180 м, а бортовую 40-мм броню - не более 400 м. Однако время ведения эффективной стрельбы составляло 1,3 сек и 4,4 сек соответственно (минимально допустимая высота для маневра на выводе 15-20 м, дистанция прекращения огня около 90 м). То есть "эффективным" при поражении башни мог быть лишь один снаряд, а при поражении борта - максимум два снаряда. Но попасть в уязвимые части танка, учитывая их малые площади, хотя бы и одним выстрелом, не так просто, как кажется. В то же время одного-двух попаданий с пробитием брони, как известно, не достаточно для надежного выведения танка из строя.</w:t>
      </w:r>
    </w:p>
    <w:p w14:paraId="32F884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Поражение танка Т-34-85, имевшего усиленное бронирование, при атаке с боку (борт - 45 мм, башня - 75 мм) не обеспечивалось при любых дистанциях стрельбы. При атаке сзади поражение Т-34-85 было возможным только в случае попадания снаряда в заднюю часть башни (толщина брони 52 мм) с дистанций до 400 м.</w:t>
      </w:r>
    </w:p>
    <w:p w14:paraId="02FB22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Надмоторная броня и броня крыши башни советских "тридцатьчетверок" всех типов поражалась подкалиберным снарядом к пушке ВК 3.7 при стрельбе с 300 м только при углах пикирования не менее 30°. При углах планирования до 10° стрельба с любых дистанций давала сплошные рикошеты.</w:t>
      </w:r>
    </w:p>
    <w:p w14:paraId="776AD6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Оценки показывают, что в реальных боевых условиях вероятность поражения среднего советского танка Т-34 в одном заходе при стрельбе подкалиберными снарядами из пушек ВК 3.7 (атака сбоку, угол планирования 5-10°, дистанция открытия огня 300-400 м) при самом лучшем "раскладе" не могла превысить 0,02-0,03. Это означает, что для гарантированного поражения советской "тридцатьчетверки" на поле боя требовался наряд сил в полсотни Ju87G...</w:t>
      </w:r>
    </w:p>
    <w:p w14:paraId="58B4EF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 есть успешное применение пушечного Ju87G на поле боя было возможным лишь в руках высококлассного пилота и только в условиях слабого зенитного и истребительного противодействия.</w:t>
      </w:r>
    </w:p>
    <w:p w14:paraId="30482F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целый "букет" недостатков Ju87G-l, испытания были признаны успешными, и был сделан вывод о целесообразности его боевого использования.</w:t>
      </w:r>
    </w:p>
    <w:p w14:paraId="5C6608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завершения испытаний с пушечных "юнкерсов" сняли бомбодержатели и сформировали специальную противотанковую группу "Panzerversuchs-kommando" во главе с гауптманом Штеппом для проведения войсковых испытаний на фронте (9084).</w:t>
      </w:r>
    </w:p>
    <w:p w14:paraId="51585F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4C62C0" w14:textId="77777777" w:rsidR="0022293D" w:rsidRPr="00D03F3E" w:rsidRDefault="0022293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феврале 1943 г. в KG40 было поставлено 42 самолета Не177А-5/R2, R5 и R6, основным оружием которых были управляемые бомбы или ракеты, а торпеды рассматривались как дополнение к ним и использовались редко. Их двигатели DB610А мощностью по 2950 л.с. на взлете и 3100 л.с. на высоте 2100 м обеспечивали взлет с максимальным весом и быстрый разгон после сброса торпед, но часто горели. Фирма выявила 56 типовых дефектов, эксплуатацию Не177А возобновили, хотя большинство доработок было сделано лишь в начале 1944 г., а летом выпуск Не177 был остановлен (22902).</w:t>
      </w:r>
    </w:p>
    <w:p w14:paraId="49755DDB" w14:textId="77777777" w:rsidR="0022293D" w:rsidRPr="00D03F3E" w:rsidRDefault="0022293D" w:rsidP="00D03F3E">
      <w:pPr>
        <w:spacing w:after="0" w:line="240" w:lineRule="auto"/>
        <w:jc w:val="both"/>
        <w:rPr>
          <w:rFonts w:ascii="Times New Roman" w:hAnsi="Times New Roman"/>
          <w:color w:val="0070C0"/>
          <w:sz w:val="16"/>
          <w:szCs w:val="16"/>
        </w:rPr>
      </w:pPr>
    </w:p>
    <w:p w14:paraId="369E6902" w14:textId="77777777" w:rsidR="0022293D" w:rsidRPr="00D03F3E" w:rsidRDefault="0022293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феврале 1943 г. сдали головной Не 177А-5, а в июле первые 12 ракетоносцев пришли в эскадру KG 40. Часть их была выпущена в варианте Не 177А-5/R5 с дополнительной пулеметной турелью на фюзеляже или R6 с 4-й балкой для Hs 293A на месте бомбоотсека №2. Их ввод в эксплуатацию сопровождался большим числом пожаров моторов DB 610 — и вышел приказ о приостановке эксплуатации Не 177 и утилизации на металл. Приказ вскоре был отменен, но задержал выпуск серии: к концу года построили только 42 машины (22906).</w:t>
      </w:r>
    </w:p>
    <w:p w14:paraId="762F5262" w14:textId="77777777" w:rsidR="0022293D" w:rsidRPr="00D03F3E" w:rsidRDefault="0022293D" w:rsidP="00D03F3E">
      <w:pPr>
        <w:spacing w:after="0" w:line="240" w:lineRule="auto"/>
        <w:jc w:val="both"/>
        <w:rPr>
          <w:rFonts w:ascii="Times New Roman" w:hAnsi="Times New Roman"/>
          <w:color w:val="0070C0"/>
          <w:sz w:val="16"/>
          <w:szCs w:val="16"/>
        </w:rPr>
      </w:pPr>
    </w:p>
    <w:p w14:paraId="466553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Дорнбергера попросили приехать в министерство боеприпасов к начальнику финансового отдела. Там ему заявили, что Пенемюнде предполагается преобразовать в частную акционерную компанию; все его акции будут временно принадлежать государству, а руководство будет осуществляться крупной промышленной фирмой. Когда Дорнбергер стал возражать, против него выдвинули обвинения в плохом руководстве. Дорнбергер все же сумел доказать свою правоту и на некоторое время восторжествовал, хотя с тех пор в Пенемюнде стали часто появляться люди, открыто заявлявшие, что они прибыли проверить, все ли здесь идет нормально. Это действовало скрывавшееся за спиной промышленных фирм техническое бюро нацистской партии, которое намерено было отнять у армии это учреждение (11688).</w:t>
      </w:r>
    </w:p>
    <w:p w14:paraId="383B83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2BF8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февраля 1943 года завод "Нэйвел эйркрафт фэктори" (NAF) в Филадельфии стал строит PBN-1 "Номад", отличавшийся в первую очередь очертаниями днища лодки. Носовую часть удлинили и заострили. При этом жалюзи, ранее закрывавшее прицельное окно бомбардира, пришлось заменить створками на петлях. Первый редан стал косым, второй переместился более, чем на метр назад, за ним появился и третий. Изменилась форма подкрыльных поплавков. Все это существенно улучшило мореходность лодки и ее взлетно-посадочные характеристики. Новое оперение решило проблемы с путевой устойчивостью. Именно эти машины американцы в конце концов предложили СССР. В итоге практически все летающие лодки этой модификации попали в пашу страну. Впервые обязательства союзников по предоставлению </w:t>
      </w:r>
      <w:r w:rsidRPr="00D03F3E">
        <w:rPr>
          <w:rFonts w:ascii="Times New Roman" w:hAnsi="Times New Roman"/>
          <w:color w:val="000000" w:themeColor="text1"/>
          <w:sz w:val="16"/>
          <w:szCs w:val="16"/>
        </w:rPr>
        <w:lastRenderedPageBreak/>
        <w:t>летающих лодок были внесены в IV протокол о поставках. Чуть позже еще 50 гидросамолетов вошли в "приложение III", охватывавшее поставки для ведения войны на Тихом океане (3457,127).</w:t>
      </w:r>
    </w:p>
    <w:p w14:paraId="57E385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A1BA4E" w14:textId="77777777" w:rsidR="0022293D" w:rsidRPr="00D03F3E" w:rsidRDefault="0022293D"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феврале 1943 г. на заводах в Бремене и Праге выпуск FW-189 был прекращен, зато в Бордо выпуск «Сов» набирал обороты. Во Франции же были разработаны и построены последние модификации разведчика. Это FW189Е, с мощными французскими двигателями воздушного охлаждения «ГномРон» GR14M-4/5 со взлетной мощностью 700 л.с. Однако на испытаниях опытный самолет потерпел катастрофу, и больше к этому проекту не возвращались.</w:t>
      </w:r>
    </w:p>
    <w:p w14:paraId="44753593" w14:textId="77777777" w:rsidR="0022293D" w:rsidRPr="00D03F3E" w:rsidRDefault="0022293D"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hAnsi="Times New Roman"/>
          <w:color w:val="0070C0"/>
          <w:sz w:val="16"/>
          <w:szCs w:val="16"/>
        </w:rPr>
        <w:t>Последней модификацией стал FW-189F. Вариант «F-1» получил форсированные двигатели As-411МА-1, со взлетной мощностью 580 л.с. На «F-2» планировали усилить бронирование, увеличить запас топлива, доработать электросистему, но этот вариант остался на бумаге. До окончания производства «Совы» в начале 1944 г. в Бордо успели собрать 22 FW-189F-1. Нереализованным остался проект FW-189G с еще более мощными двигателями As-402 (950 л.с.). В общей сложности на заводах в Германии, Чехословакии и Франции было изготовлено 846 экземпляров FW-189 (22864).</w:t>
      </w:r>
    </w:p>
    <w:p w14:paraId="5F95302D" w14:textId="77777777" w:rsidR="0022293D" w:rsidRPr="00D03F3E" w:rsidRDefault="0022293D" w:rsidP="00D03F3E">
      <w:pPr>
        <w:shd w:val="clear" w:color="auto" w:fill="FFFFFF"/>
        <w:spacing w:after="0" w:line="240" w:lineRule="auto"/>
        <w:jc w:val="both"/>
        <w:rPr>
          <w:rFonts w:ascii="Times New Roman" w:eastAsia="Times New Roman" w:hAnsi="Times New Roman"/>
          <w:color w:val="0070C0"/>
          <w:sz w:val="16"/>
          <w:szCs w:val="16"/>
          <w:lang w:eastAsia="ru-RU"/>
        </w:rPr>
      </w:pPr>
    </w:p>
    <w:p w14:paraId="79661E23" w14:textId="77777777" w:rsidR="0022293D" w:rsidRPr="00D03F3E" w:rsidRDefault="0022293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феврале 1943 - через девять месяцев после объявления конкурса Amerikabomber предложение поступают в Геринг бюро министерство авиации Рейха и Хейнкель заявляет, что в течение этого месяца готов оперативно развернуть проектирование Хейнкель He 177, если утвердят финансирование «дальнейших разработок» подтипов He 177A-5, A-6 и A-7, а также полностью отдельного проекта компании по дизайну планера 8–277. Заказывая трио четырехмоторных прототипов и испытания планеров весной 1943 года (20376).</w:t>
      </w:r>
    </w:p>
    <w:p w14:paraId="5D9F2537" w14:textId="77777777" w:rsidR="0022293D" w:rsidRPr="00D03F3E" w:rsidRDefault="0022293D" w:rsidP="00D03F3E">
      <w:pPr>
        <w:spacing w:after="0" w:line="240" w:lineRule="auto"/>
        <w:jc w:val="both"/>
        <w:rPr>
          <w:rFonts w:ascii="Times New Roman" w:hAnsi="Times New Roman"/>
          <w:color w:val="0070C0"/>
          <w:sz w:val="16"/>
          <w:szCs w:val="16"/>
        </w:rPr>
      </w:pPr>
    </w:p>
    <w:p w14:paraId="3D639C9A" w14:textId="77777777" w:rsidR="0022293D" w:rsidRPr="00D03F3E" w:rsidRDefault="0022293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Февраль1943 первый полет Goodyear FG-1 Корсар (20376).</w:t>
      </w:r>
    </w:p>
    <w:p w14:paraId="317B8FD2" w14:textId="77777777" w:rsidR="0022293D" w:rsidRPr="00D03F3E" w:rsidRDefault="0022293D" w:rsidP="00D03F3E">
      <w:pPr>
        <w:spacing w:after="0" w:line="240" w:lineRule="auto"/>
        <w:jc w:val="both"/>
        <w:rPr>
          <w:rFonts w:ascii="Times New Roman" w:hAnsi="Times New Roman"/>
          <w:color w:val="0070C0"/>
          <w:sz w:val="16"/>
          <w:szCs w:val="16"/>
        </w:rPr>
      </w:pPr>
    </w:p>
    <w:p w14:paraId="6C4936E4" w14:textId="77777777" w:rsidR="0022293D" w:rsidRPr="00D03F3E" w:rsidRDefault="0022293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Февраль 1943 первый полет Tachikawa Ki-70 (союзное название "Клара") (20376).</w:t>
      </w:r>
    </w:p>
    <w:p w14:paraId="4FCBAD3B" w14:textId="77777777" w:rsidR="0022293D" w:rsidRPr="00D03F3E" w:rsidRDefault="0022293D" w:rsidP="00D03F3E">
      <w:pPr>
        <w:spacing w:after="0" w:line="240" w:lineRule="auto"/>
        <w:jc w:val="both"/>
        <w:rPr>
          <w:rFonts w:ascii="Times New Roman" w:hAnsi="Times New Roman"/>
          <w:color w:val="0070C0"/>
          <w:sz w:val="16"/>
          <w:szCs w:val="16"/>
        </w:rPr>
      </w:pPr>
    </w:p>
    <w:p w14:paraId="53C1998F" w14:textId="77777777" w:rsidR="0022293D" w:rsidRPr="00D03F3E" w:rsidRDefault="0022293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феврале 1943 года фирме «Накадзима» неофициально было предложено проработать компоновку самолета с такими характеристиками как сочетание дальности полета 7400 км с максимальной скоростью 590 км/ч на высоте 8000 м, но с четырьмя моторами. 14 сентября фирма получила официально требования 18-Shi на новый четырехмоторный бомбардировщик (22873).</w:t>
      </w:r>
    </w:p>
    <w:p w14:paraId="452CD6B8" w14:textId="77777777" w:rsidR="0022293D" w:rsidRPr="00D03F3E" w:rsidRDefault="0022293D" w:rsidP="00D03F3E">
      <w:pPr>
        <w:spacing w:after="0" w:line="240" w:lineRule="auto"/>
        <w:jc w:val="both"/>
        <w:rPr>
          <w:rFonts w:ascii="Times New Roman" w:hAnsi="Times New Roman"/>
          <w:color w:val="0070C0"/>
          <w:sz w:val="16"/>
          <w:szCs w:val="16"/>
        </w:rPr>
      </w:pPr>
    </w:p>
    <w:p w14:paraId="4E952717" w14:textId="77777777" w:rsidR="008C56B3" w:rsidRPr="00D03F3E" w:rsidRDefault="008C56B3"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феврале 1943 года первые 25 самохо</w:t>
      </w:r>
      <w:r w:rsidRPr="00D03F3E">
        <w:rPr>
          <w:rFonts w:ascii="Times New Roman" w:cs="Times New Roman"/>
          <w:color w:val="000000" w:themeColor="text1"/>
          <w:spacing w:val="0"/>
        </w:rPr>
        <w:softHyphen/>
        <w:t xml:space="preserve">док 15 </w:t>
      </w:r>
      <w:r w:rsidRPr="00D03F3E">
        <w:rPr>
          <w:rFonts w:ascii="Times New Roman" w:cs="Times New Roman"/>
          <w:color w:val="000000" w:themeColor="text1"/>
          <w:spacing w:val="0"/>
          <w:lang w:val="en-US"/>
        </w:rPr>
        <w:t>cmsIG</w:t>
      </w:r>
      <w:r w:rsidRPr="00D03F3E">
        <w:rPr>
          <w:rFonts w:ascii="Times New Roman" w:cs="Times New Roman"/>
          <w:color w:val="000000" w:themeColor="text1"/>
          <w:spacing w:val="0"/>
        </w:rPr>
        <w:t xml:space="preserve"> 33(</w:t>
      </w:r>
      <w:r w:rsidRPr="00D03F3E">
        <w:rPr>
          <w:rFonts w:ascii="Times New Roman" w:cs="Times New Roman"/>
          <w:color w:val="000000" w:themeColor="text1"/>
          <w:spacing w:val="0"/>
          <w:lang w:val="en-US"/>
        </w:rPr>
        <w:t>Sfl</w:t>
      </w:r>
      <w:r w:rsidRPr="00D03F3E">
        <w:rPr>
          <w:rFonts w:ascii="Times New Roman" w:cs="Times New Roman"/>
          <w:color w:val="000000" w:themeColor="text1"/>
          <w:spacing w:val="0"/>
        </w:rPr>
        <w:t xml:space="preserve">.) </w:t>
      </w:r>
      <w:r w:rsidRPr="00D03F3E">
        <w:rPr>
          <w:rFonts w:ascii="Times New Roman" w:cs="Times New Roman"/>
          <w:color w:val="000000" w:themeColor="text1"/>
          <w:spacing w:val="0"/>
          <w:lang w:val="en-US"/>
        </w:rPr>
        <w:t>aufPz</w:t>
      </w:r>
      <w:r w:rsidRPr="00D03F3E">
        <w:rPr>
          <w:rFonts w:ascii="Times New Roman" w:cs="Times New Roman"/>
          <w:color w:val="000000" w:themeColor="text1"/>
          <w:spacing w:val="0"/>
        </w:rPr>
        <w:t>.</w:t>
      </w:r>
      <w:r w:rsidRPr="00D03F3E">
        <w:rPr>
          <w:rFonts w:ascii="Times New Roman" w:cs="Times New Roman"/>
          <w:color w:val="000000" w:themeColor="text1"/>
          <w:spacing w:val="0"/>
          <w:lang w:val="en-US"/>
        </w:rPr>
        <w:t>Kpfw</w:t>
      </w:r>
      <w:r w:rsidRPr="00D03F3E">
        <w:rPr>
          <w:rFonts w:ascii="Times New Roman" w:cs="Times New Roman"/>
          <w:color w:val="000000" w:themeColor="text1"/>
          <w:spacing w:val="0"/>
        </w:rPr>
        <w:t>.38(</w:t>
      </w:r>
      <w:r w:rsidRPr="00D03F3E">
        <w:rPr>
          <w:rFonts w:ascii="Times New Roman" w:cs="Times New Roman"/>
          <w:color w:val="000000" w:themeColor="text1"/>
          <w:spacing w:val="0"/>
          <w:lang w:val="en-US"/>
        </w:rPr>
        <w:t>t</w:t>
      </w:r>
      <w:r w:rsidRPr="00D03F3E">
        <w:rPr>
          <w:rFonts w:ascii="Times New Roman" w:cs="Times New Roman"/>
          <w:color w:val="000000" w:themeColor="text1"/>
          <w:spacing w:val="0"/>
        </w:rPr>
        <w:t xml:space="preserve">) </w:t>
      </w:r>
      <w:r w:rsidRPr="00D03F3E">
        <w:rPr>
          <w:rFonts w:ascii="Times New Roman" w:cs="Times New Roman"/>
          <w:color w:val="000000" w:themeColor="text1"/>
          <w:spacing w:val="0"/>
          <w:lang w:val="en-US"/>
        </w:rPr>
        <w:t>Ausf</w:t>
      </w:r>
      <w:r w:rsidRPr="00D03F3E">
        <w:rPr>
          <w:rFonts w:ascii="Times New Roman" w:cs="Times New Roman"/>
          <w:color w:val="000000" w:themeColor="text1"/>
          <w:spacing w:val="0"/>
        </w:rPr>
        <w:t>.</w:t>
      </w:r>
      <w:r w:rsidRPr="00D03F3E">
        <w:rPr>
          <w:rFonts w:ascii="Times New Roman" w:cs="Times New Roman"/>
          <w:color w:val="000000" w:themeColor="text1"/>
          <w:spacing w:val="0"/>
          <w:lang w:val="en-US"/>
        </w:rPr>
        <w:t>H</w:t>
      </w:r>
      <w:r w:rsidRPr="00D03F3E">
        <w:rPr>
          <w:rFonts w:ascii="Times New Roman" w:cs="Times New Roman"/>
          <w:color w:val="000000" w:themeColor="text1"/>
          <w:spacing w:val="0"/>
        </w:rPr>
        <w:t xml:space="preserve">или </w:t>
      </w:r>
      <w:r w:rsidRPr="00D03F3E">
        <w:rPr>
          <w:rFonts w:ascii="Times New Roman" w:cs="Times New Roman"/>
          <w:color w:val="000000" w:themeColor="text1"/>
          <w:spacing w:val="0"/>
          <w:lang w:val="en-US"/>
        </w:rPr>
        <w:t>Sd</w:t>
      </w:r>
      <w:r w:rsidRPr="00D03F3E">
        <w:rPr>
          <w:rFonts w:ascii="Times New Roman" w:cs="Times New Roman"/>
          <w:color w:val="000000" w:themeColor="text1"/>
          <w:spacing w:val="0"/>
        </w:rPr>
        <w:t>.</w:t>
      </w:r>
      <w:r w:rsidRPr="00D03F3E">
        <w:rPr>
          <w:rFonts w:ascii="Times New Roman" w:cs="Times New Roman"/>
          <w:color w:val="000000" w:themeColor="text1"/>
          <w:spacing w:val="0"/>
          <w:lang w:val="en-US"/>
        </w:rPr>
        <w:t>Kfz</w:t>
      </w:r>
      <w:r w:rsidRPr="00D03F3E">
        <w:rPr>
          <w:rFonts w:ascii="Times New Roman" w:cs="Times New Roman"/>
          <w:color w:val="000000" w:themeColor="text1"/>
          <w:spacing w:val="0"/>
        </w:rPr>
        <w:t xml:space="preserve">. 138/1 </w:t>
      </w:r>
      <w:r w:rsidRPr="00D03F3E">
        <w:rPr>
          <w:rFonts w:ascii="Times New Roman" w:cs="Times New Roman"/>
          <w:color w:val="000000" w:themeColor="text1"/>
          <w:spacing w:val="0"/>
          <w:lang w:val="en-US"/>
        </w:rPr>
        <w:t>Ausf</w:t>
      </w:r>
      <w:r w:rsidRPr="00D03F3E">
        <w:rPr>
          <w:rFonts w:ascii="Times New Roman" w:cs="Times New Roman"/>
          <w:color w:val="000000" w:themeColor="text1"/>
          <w:spacing w:val="0"/>
        </w:rPr>
        <w:t>.</w:t>
      </w:r>
      <w:r w:rsidRPr="00D03F3E">
        <w:rPr>
          <w:rFonts w:ascii="Times New Roman" w:cs="Times New Roman"/>
          <w:color w:val="000000" w:themeColor="text1"/>
          <w:spacing w:val="0"/>
          <w:lang w:val="en-US"/>
        </w:rPr>
        <w:t>H</w:t>
      </w:r>
      <w:r w:rsidRPr="00D03F3E">
        <w:rPr>
          <w:rFonts w:ascii="Times New Roman" w:cs="Times New Roman"/>
          <w:color w:val="000000" w:themeColor="text1"/>
          <w:spacing w:val="0"/>
        </w:rPr>
        <w:t xml:space="preserve"> покинули сборочный цех фирмы ВММ За период с февраля по ноябрь 1943 года было изго</w:t>
      </w:r>
      <w:r w:rsidRPr="00D03F3E">
        <w:rPr>
          <w:rFonts w:ascii="Times New Roman" w:cs="Times New Roman"/>
          <w:color w:val="000000" w:themeColor="text1"/>
          <w:spacing w:val="0"/>
        </w:rPr>
        <w:softHyphen/>
        <w:t>товлено 200 машин этого типа.</w:t>
      </w:r>
    </w:p>
    <w:p w14:paraId="4B098954" w14:textId="77777777" w:rsidR="008C56B3" w:rsidRPr="00D03F3E" w:rsidRDefault="008C56B3"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На САУ устанавливался 6-цилиндровый карбюраторный четырехтактный рядный двигатель жидкостного охлаждения </w:t>
      </w:r>
      <w:r w:rsidRPr="00D03F3E">
        <w:rPr>
          <w:rFonts w:ascii="Times New Roman" w:cs="Times New Roman"/>
          <w:color w:val="000000" w:themeColor="text1"/>
          <w:spacing w:val="0"/>
          <w:lang w:val="en-US"/>
        </w:rPr>
        <w:t>Praga</w:t>
      </w:r>
      <w:r w:rsidRPr="00D03F3E">
        <w:rPr>
          <w:rFonts w:ascii="Times New Roman" w:cs="Times New Roman"/>
          <w:color w:val="000000" w:themeColor="text1"/>
          <w:spacing w:val="0"/>
        </w:rPr>
        <w:t xml:space="preserve"> ЕРА мощностью 125 л.с. при 2000 об/мин. Топливо — этилированный бензин с окта</w:t>
      </w:r>
      <w:r w:rsidRPr="00D03F3E">
        <w:rPr>
          <w:rFonts w:ascii="Times New Roman" w:cs="Times New Roman"/>
          <w:color w:val="000000" w:themeColor="text1"/>
          <w:spacing w:val="0"/>
        </w:rPr>
        <w:softHyphen/>
        <w:t>новым числом не менее 74. В систему пи</w:t>
      </w:r>
      <w:r w:rsidRPr="00D03F3E">
        <w:rPr>
          <w:rFonts w:ascii="Times New Roman" w:cs="Times New Roman"/>
          <w:color w:val="000000" w:themeColor="text1"/>
          <w:spacing w:val="0"/>
        </w:rPr>
        <w:softHyphen/>
        <w:t>тания входили два основных бензобака емкостью 110 л каждый и один вспомога</w:t>
      </w:r>
      <w:r w:rsidRPr="00D03F3E">
        <w:rPr>
          <w:rFonts w:ascii="Times New Roman" w:cs="Times New Roman"/>
          <w:color w:val="000000" w:themeColor="text1"/>
          <w:spacing w:val="0"/>
        </w:rPr>
        <w:softHyphen/>
        <w:t>тельный емкостью 40 л. Крутящий мо</w:t>
      </w:r>
      <w:r w:rsidRPr="00D03F3E">
        <w:rPr>
          <w:rFonts w:ascii="Times New Roman" w:cs="Times New Roman"/>
          <w:color w:val="000000" w:themeColor="text1"/>
          <w:spacing w:val="0"/>
        </w:rPr>
        <w:softHyphen/>
        <w:t>мент от двигателя к коробке передач пе</w:t>
      </w:r>
      <w:r w:rsidRPr="00D03F3E">
        <w:rPr>
          <w:rFonts w:ascii="Times New Roman" w:cs="Times New Roman"/>
          <w:color w:val="000000" w:themeColor="text1"/>
          <w:spacing w:val="0"/>
        </w:rPr>
        <w:softHyphen/>
        <w:t>редавался с помощью многодискового главного фрикциона сухого трения и кар</w:t>
      </w:r>
      <w:r w:rsidRPr="00D03F3E">
        <w:rPr>
          <w:rFonts w:ascii="Times New Roman" w:cs="Times New Roman"/>
          <w:color w:val="000000" w:themeColor="text1"/>
          <w:spacing w:val="0"/>
        </w:rPr>
        <w:softHyphen/>
        <w:t xml:space="preserve">данного вала. Коробка передач </w:t>
      </w:r>
      <w:r w:rsidRPr="00D03F3E">
        <w:rPr>
          <w:rFonts w:ascii="Times New Roman" w:cs="Times New Roman"/>
          <w:color w:val="000000" w:themeColor="text1"/>
          <w:spacing w:val="0"/>
          <w:lang w:val="en-US"/>
        </w:rPr>
        <w:t>Praga</w:t>
      </w:r>
      <w:r w:rsidRPr="00D03F3E">
        <w:rPr>
          <w:rFonts w:ascii="Times New Roman" w:cs="Times New Roman"/>
          <w:color w:val="000000" w:themeColor="text1"/>
          <w:spacing w:val="0"/>
        </w:rPr>
        <w:t xml:space="preserve">- </w:t>
      </w:r>
      <w:r w:rsidRPr="00D03F3E">
        <w:rPr>
          <w:rFonts w:ascii="Times New Roman" w:cs="Times New Roman"/>
          <w:color w:val="000000" w:themeColor="text1"/>
          <w:spacing w:val="0"/>
          <w:lang w:val="en-US"/>
        </w:rPr>
        <w:t>Wilson</w:t>
      </w:r>
      <w:r w:rsidRPr="00D03F3E">
        <w:rPr>
          <w:rFonts w:ascii="Times New Roman" w:cs="Times New Roman"/>
          <w:color w:val="000000" w:themeColor="text1"/>
          <w:spacing w:val="0"/>
        </w:rPr>
        <w:t xml:space="preserve"> — планетарная, пятискоростная, с предварительным выбором передач. Пе</w:t>
      </w:r>
      <w:r w:rsidRPr="00D03F3E">
        <w:rPr>
          <w:rFonts w:ascii="Times New Roman" w:cs="Times New Roman"/>
          <w:color w:val="000000" w:themeColor="text1"/>
          <w:spacing w:val="0"/>
        </w:rPr>
        <w:softHyphen/>
        <w:t>ред коробкой передач располагались диф</w:t>
      </w:r>
      <w:r w:rsidRPr="00D03F3E">
        <w:rPr>
          <w:rFonts w:ascii="Times New Roman" w:cs="Times New Roman"/>
          <w:color w:val="000000" w:themeColor="text1"/>
          <w:spacing w:val="0"/>
        </w:rPr>
        <w:softHyphen/>
        <w:t>ференциал, бортовые фрикционы, борто</w:t>
      </w:r>
      <w:r w:rsidRPr="00D03F3E">
        <w:rPr>
          <w:rFonts w:ascii="Times New Roman" w:cs="Times New Roman"/>
          <w:color w:val="000000" w:themeColor="text1"/>
          <w:spacing w:val="0"/>
        </w:rPr>
        <w:softHyphen/>
        <w:t>вые передачи и тормоза.</w:t>
      </w:r>
    </w:p>
    <w:p w14:paraId="47E62B8A"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Ходовая часть, применительно к одно</w:t>
      </w:r>
      <w:r w:rsidRPr="00D03F3E">
        <w:rPr>
          <w:rFonts w:ascii="Times New Roman" w:hAnsi="Times New Roman"/>
          <w:color w:val="000000" w:themeColor="text1"/>
          <w:sz w:val="16"/>
          <w:szCs w:val="16"/>
        </w:rPr>
        <w:softHyphen/>
        <w:t>му борту, состояла из четырех одинарных обрезиненных опорных катков большого диаметра (775 мм), сблокированных по</w:t>
      </w:r>
      <w:r w:rsidRPr="00D03F3E">
        <w:rPr>
          <w:rFonts w:ascii="Times New Roman" w:hAnsi="Times New Roman"/>
          <w:color w:val="000000" w:themeColor="text1"/>
          <w:sz w:val="16"/>
          <w:szCs w:val="16"/>
        </w:rPr>
        <w:softHyphen/>
        <w:t>парно в две балансирные тележки, под</w:t>
      </w:r>
      <w:r w:rsidRPr="00D03F3E">
        <w:rPr>
          <w:rFonts w:ascii="Times New Roman" w:hAnsi="Times New Roman"/>
          <w:color w:val="000000" w:themeColor="text1"/>
          <w:sz w:val="16"/>
          <w:szCs w:val="16"/>
        </w:rPr>
        <w:softHyphen/>
        <w:t>вешенные на полуэллиптических листо</w:t>
      </w:r>
    </w:p>
    <w:p w14:paraId="642126AC" w14:textId="77777777" w:rsidR="008C56B3" w:rsidRPr="00D03F3E" w:rsidRDefault="008C56B3"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вых рессорах. Литое ведущее колесо с двумя съемными зубчатыми венцами на</w:t>
      </w:r>
      <w:r w:rsidRPr="00D03F3E">
        <w:rPr>
          <w:rFonts w:ascii="Times New Roman" w:cs="Times New Roman"/>
          <w:color w:val="000000" w:themeColor="text1"/>
          <w:spacing w:val="0"/>
        </w:rPr>
        <w:softHyphen/>
        <w:t>ходилось впереди. Направляющее колесо располагалось сзади. С каждого борта имелось по два обрезиненных одинарных опорных катка. Каждая гусеница вклю</w:t>
      </w:r>
      <w:r w:rsidRPr="00D03F3E">
        <w:rPr>
          <w:rFonts w:ascii="Times New Roman" w:cs="Times New Roman"/>
          <w:color w:val="000000" w:themeColor="text1"/>
          <w:spacing w:val="0"/>
        </w:rPr>
        <w:softHyphen/>
        <w:t>чала 94 трака шириной 293 мм, шаг тра</w:t>
      </w:r>
      <w:r w:rsidRPr="00D03F3E">
        <w:rPr>
          <w:rFonts w:ascii="Times New Roman" w:cs="Times New Roman"/>
          <w:color w:val="000000" w:themeColor="text1"/>
          <w:spacing w:val="0"/>
        </w:rPr>
        <w:softHyphen/>
        <w:t>ка — 104 мм.</w:t>
      </w:r>
    </w:p>
    <w:p w14:paraId="66D570A5" w14:textId="77777777" w:rsidR="008C56B3" w:rsidRPr="00D03F3E" w:rsidRDefault="008C56B3"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Затем началась сборка самоходных тя</w:t>
      </w:r>
      <w:r w:rsidRPr="00D03F3E">
        <w:rPr>
          <w:rFonts w:ascii="Times New Roman" w:cs="Times New Roman"/>
          <w:color w:val="000000" w:themeColor="text1"/>
          <w:spacing w:val="0"/>
        </w:rPr>
        <w:softHyphen/>
        <w:t xml:space="preserve">желых пехотных орудий модификации </w:t>
      </w:r>
      <w:r w:rsidRPr="00D03F3E">
        <w:rPr>
          <w:rFonts w:ascii="Times New Roman" w:cs="Times New Roman"/>
          <w:color w:val="000000" w:themeColor="text1"/>
          <w:spacing w:val="0"/>
          <w:lang w:val="en-US"/>
        </w:rPr>
        <w:t>Sd</w:t>
      </w:r>
      <w:r w:rsidRPr="00D03F3E">
        <w:rPr>
          <w:rFonts w:ascii="Times New Roman" w:cs="Times New Roman"/>
          <w:color w:val="000000" w:themeColor="text1"/>
          <w:spacing w:val="0"/>
        </w:rPr>
        <w:t>.</w:t>
      </w:r>
      <w:r w:rsidRPr="00D03F3E">
        <w:rPr>
          <w:rFonts w:ascii="Times New Roman" w:cs="Times New Roman"/>
          <w:color w:val="000000" w:themeColor="text1"/>
          <w:spacing w:val="0"/>
          <w:lang w:val="en-US"/>
        </w:rPr>
        <w:t>Kfz</w:t>
      </w:r>
      <w:r w:rsidRPr="00D03F3E">
        <w:rPr>
          <w:rFonts w:ascii="Times New Roman" w:cs="Times New Roman"/>
          <w:color w:val="000000" w:themeColor="text1"/>
          <w:spacing w:val="0"/>
        </w:rPr>
        <w:t xml:space="preserve">. 138/1 </w:t>
      </w:r>
      <w:r w:rsidRPr="00D03F3E">
        <w:rPr>
          <w:rFonts w:ascii="Times New Roman" w:cs="Times New Roman"/>
          <w:color w:val="000000" w:themeColor="text1"/>
          <w:spacing w:val="0"/>
          <w:lang w:val="en-US"/>
        </w:rPr>
        <w:t>Ausf</w:t>
      </w:r>
      <w:r w:rsidRPr="00D03F3E">
        <w:rPr>
          <w:rFonts w:ascii="Times New Roman" w:cs="Times New Roman"/>
          <w:color w:val="000000" w:themeColor="text1"/>
          <w:spacing w:val="0"/>
        </w:rPr>
        <w:t>.</w:t>
      </w:r>
      <w:r w:rsidRPr="00D03F3E">
        <w:rPr>
          <w:rFonts w:ascii="Times New Roman" w:cs="Times New Roman"/>
          <w:color w:val="000000" w:themeColor="text1"/>
          <w:spacing w:val="0"/>
          <w:lang w:val="en-US"/>
        </w:rPr>
        <w:t>M</w:t>
      </w:r>
      <w:r w:rsidRPr="00D03F3E">
        <w:rPr>
          <w:rFonts w:ascii="Times New Roman" w:cs="Times New Roman"/>
          <w:color w:val="000000" w:themeColor="text1"/>
          <w:spacing w:val="0"/>
        </w:rPr>
        <w:t>, компоновка кото</w:t>
      </w:r>
      <w:r w:rsidRPr="00D03F3E">
        <w:rPr>
          <w:rFonts w:ascii="Times New Roman" w:cs="Times New Roman"/>
          <w:color w:val="000000" w:themeColor="text1"/>
          <w:spacing w:val="0"/>
        </w:rPr>
        <w:softHyphen/>
        <w:t>рых была идентична компоновке проти</w:t>
      </w:r>
      <w:r w:rsidRPr="00D03F3E">
        <w:rPr>
          <w:rFonts w:ascii="Times New Roman" w:cs="Times New Roman"/>
          <w:color w:val="000000" w:themeColor="text1"/>
          <w:spacing w:val="0"/>
        </w:rPr>
        <w:softHyphen/>
        <w:t xml:space="preserve">вотанковых САУ </w:t>
      </w:r>
      <w:r w:rsidRPr="00D03F3E">
        <w:rPr>
          <w:rFonts w:ascii="Times New Roman" w:cs="Times New Roman"/>
          <w:color w:val="000000" w:themeColor="text1"/>
          <w:spacing w:val="0"/>
          <w:lang w:val="en-US"/>
        </w:rPr>
        <w:t>MarderIIIAusf</w:t>
      </w:r>
      <w:r w:rsidRPr="00D03F3E">
        <w:rPr>
          <w:rFonts w:ascii="Times New Roman" w:cs="Times New Roman"/>
          <w:color w:val="000000" w:themeColor="text1"/>
          <w:spacing w:val="0"/>
        </w:rPr>
        <w:t>.</w:t>
      </w:r>
      <w:r w:rsidRPr="00D03F3E">
        <w:rPr>
          <w:rFonts w:ascii="Times New Roman" w:cs="Times New Roman"/>
          <w:color w:val="000000" w:themeColor="text1"/>
          <w:spacing w:val="0"/>
          <w:lang w:val="en-US"/>
        </w:rPr>
        <w:t>M</w:t>
      </w:r>
      <w:r w:rsidRPr="00D03F3E">
        <w:rPr>
          <w:rFonts w:ascii="Times New Roman" w:cs="Times New Roman"/>
          <w:color w:val="000000" w:themeColor="text1"/>
          <w:spacing w:val="0"/>
        </w:rPr>
        <w:t>. У этих машин двигатель располагался не в корме, а в середине корпуса. Открытая сзади и сверху рубка, наоборот, была смещена в корму. Остальные характерис</w:t>
      </w:r>
      <w:r w:rsidRPr="00D03F3E">
        <w:rPr>
          <w:rFonts w:ascii="Times New Roman" w:cs="Times New Roman"/>
          <w:color w:val="000000" w:themeColor="text1"/>
          <w:spacing w:val="0"/>
        </w:rPr>
        <w:softHyphen/>
        <w:t xml:space="preserve">тики были аналогичны таковым у машин модификации </w:t>
      </w:r>
      <w:r w:rsidRPr="00D03F3E">
        <w:rPr>
          <w:rFonts w:ascii="Times New Roman" w:cs="Times New Roman"/>
          <w:color w:val="000000" w:themeColor="text1"/>
          <w:spacing w:val="0"/>
          <w:lang w:val="en-US"/>
        </w:rPr>
        <w:t>Ausf</w:t>
      </w:r>
      <w:r w:rsidRPr="00D03F3E">
        <w:rPr>
          <w:rFonts w:ascii="Times New Roman" w:cs="Times New Roman"/>
          <w:color w:val="000000" w:themeColor="text1"/>
          <w:spacing w:val="0"/>
        </w:rPr>
        <w:t>.</w:t>
      </w:r>
      <w:r w:rsidRPr="00D03F3E">
        <w:rPr>
          <w:rFonts w:ascii="Times New Roman" w:cs="Times New Roman"/>
          <w:color w:val="000000" w:themeColor="text1"/>
          <w:spacing w:val="0"/>
          <w:lang w:val="en-US"/>
        </w:rPr>
        <w:t>H</w:t>
      </w:r>
      <w:r w:rsidRPr="00D03F3E">
        <w:rPr>
          <w:rFonts w:ascii="Times New Roman" w:cs="Times New Roman"/>
          <w:color w:val="000000" w:themeColor="text1"/>
          <w:spacing w:val="0"/>
        </w:rPr>
        <w:t>. Масса САУ воз</w:t>
      </w:r>
      <w:r w:rsidRPr="00D03F3E">
        <w:rPr>
          <w:rFonts w:ascii="Times New Roman" w:cs="Times New Roman"/>
          <w:color w:val="000000" w:themeColor="text1"/>
          <w:spacing w:val="0"/>
        </w:rPr>
        <w:softHyphen/>
        <w:t>росла до 12 т, а боекомплект увеличился до 18 выстрелов.</w:t>
      </w:r>
    </w:p>
    <w:p w14:paraId="254F53D1" w14:textId="77777777" w:rsidR="008C56B3" w:rsidRPr="00D03F3E" w:rsidRDefault="008C56B3"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Производство САУ </w:t>
      </w:r>
      <w:r w:rsidRPr="00D03F3E">
        <w:rPr>
          <w:rFonts w:ascii="Times New Roman" w:cs="Times New Roman"/>
          <w:color w:val="000000" w:themeColor="text1"/>
          <w:spacing w:val="0"/>
          <w:lang w:val="en-US"/>
        </w:rPr>
        <w:t>Sd</w:t>
      </w:r>
      <w:r w:rsidRPr="00D03F3E">
        <w:rPr>
          <w:rFonts w:ascii="Times New Roman" w:cs="Times New Roman"/>
          <w:color w:val="000000" w:themeColor="text1"/>
          <w:spacing w:val="0"/>
        </w:rPr>
        <w:t>.</w:t>
      </w:r>
      <w:r w:rsidRPr="00D03F3E">
        <w:rPr>
          <w:rFonts w:ascii="Times New Roman" w:cs="Times New Roman"/>
          <w:color w:val="000000" w:themeColor="text1"/>
          <w:spacing w:val="0"/>
          <w:lang w:val="en-US"/>
        </w:rPr>
        <w:t>Kfz</w:t>
      </w:r>
      <w:r w:rsidRPr="00D03F3E">
        <w:rPr>
          <w:rFonts w:ascii="Times New Roman" w:cs="Times New Roman"/>
          <w:color w:val="000000" w:themeColor="text1"/>
          <w:spacing w:val="0"/>
        </w:rPr>
        <w:t xml:space="preserve">. 138/1 </w:t>
      </w:r>
      <w:r w:rsidRPr="00D03F3E">
        <w:rPr>
          <w:rFonts w:ascii="Times New Roman" w:cs="Times New Roman"/>
          <w:color w:val="000000" w:themeColor="text1"/>
          <w:spacing w:val="0"/>
          <w:lang w:val="en-US"/>
        </w:rPr>
        <w:t>Ausf</w:t>
      </w:r>
      <w:r w:rsidRPr="00D03F3E">
        <w:rPr>
          <w:rFonts w:ascii="Times New Roman" w:cs="Times New Roman"/>
          <w:color w:val="000000" w:themeColor="text1"/>
          <w:spacing w:val="0"/>
        </w:rPr>
        <w:t>.</w:t>
      </w:r>
      <w:r w:rsidRPr="00D03F3E">
        <w:rPr>
          <w:rFonts w:ascii="Times New Roman" w:cs="Times New Roman"/>
          <w:color w:val="000000" w:themeColor="text1"/>
          <w:spacing w:val="0"/>
          <w:lang w:val="en-US"/>
        </w:rPr>
        <w:t>M</w:t>
      </w:r>
      <w:r w:rsidRPr="00D03F3E">
        <w:rPr>
          <w:rFonts w:ascii="Times New Roman" w:cs="Times New Roman"/>
          <w:color w:val="000000" w:themeColor="text1"/>
          <w:spacing w:val="0"/>
        </w:rPr>
        <w:t xml:space="preserve"> с перерывами продолжалось до апреля 1945 года. Всего было изготовлено 193 машины, правда, в некоторых изданиях приводятся и другие, несколько меньшие цифры.</w:t>
      </w:r>
    </w:p>
    <w:p w14:paraId="6F4F45A6" w14:textId="77777777" w:rsidR="008C56B3" w:rsidRPr="00D03F3E" w:rsidRDefault="008C56B3"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Нет ясности и с названием машины. В литературе фигурируют два названия: </w:t>
      </w:r>
      <w:r w:rsidRPr="00D03F3E">
        <w:rPr>
          <w:rFonts w:ascii="Times New Roman" w:cs="Times New Roman"/>
          <w:color w:val="000000" w:themeColor="text1"/>
          <w:spacing w:val="0"/>
          <w:lang w:val="en-US"/>
        </w:rPr>
        <w:t>Bison</w:t>
      </w:r>
      <w:r w:rsidRPr="00D03F3E">
        <w:rPr>
          <w:rFonts w:ascii="Times New Roman" w:cs="Times New Roman"/>
          <w:color w:val="000000" w:themeColor="text1"/>
          <w:spacing w:val="0"/>
        </w:rPr>
        <w:t xml:space="preserve"> и </w:t>
      </w:r>
      <w:r w:rsidRPr="00D03F3E">
        <w:rPr>
          <w:rFonts w:ascii="Times New Roman" w:cs="Times New Roman"/>
          <w:color w:val="000000" w:themeColor="text1"/>
          <w:spacing w:val="0"/>
          <w:lang w:val="en-US"/>
        </w:rPr>
        <w:t>Grille</w:t>
      </w:r>
      <w:r w:rsidRPr="00D03F3E">
        <w:rPr>
          <w:rFonts w:ascii="Times New Roman" w:cs="Times New Roman"/>
          <w:color w:val="000000" w:themeColor="text1"/>
          <w:spacing w:val="0"/>
        </w:rPr>
        <w:t xml:space="preserve"> («Сверчок»), Причем в не</w:t>
      </w:r>
      <w:r w:rsidRPr="00D03F3E">
        <w:rPr>
          <w:rFonts w:ascii="Times New Roman" w:cs="Times New Roman"/>
          <w:color w:val="000000" w:themeColor="text1"/>
          <w:spacing w:val="0"/>
        </w:rPr>
        <w:softHyphen/>
        <w:t xml:space="preserve">мецких источниках чаще встречается </w:t>
      </w:r>
      <w:r w:rsidRPr="00D03F3E">
        <w:rPr>
          <w:rFonts w:ascii="Times New Roman" w:cs="Times New Roman"/>
          <w:color w:val="000000" w:themeColor="text1"/>
          <w:spacing w:val="0"/>
          <w:lang w:val="en-US"/>
        </w:rPr>
        <w:t>Bison</w:t>
      </w:r>
      <w:r w:rsidRPr="00D03F3E">
        <w:rPr>
          <w:rFonts w:ascii="Times New Roman" w:cs="Times New Roman"/>
          <w:color w:val="000000" w:themeColor="text1"/>
          <w:spacing w:val="0"/>
        </w:rPr>
        <w:t xml:space="preserve">, а в английских и американских — </w:t>
      </w:r>
      <w:r w:rsidRPr="00D03F3E">
        <w:rPr>
          <w:rFonts w:ascii="Times New Roman" w:cs="Times New Roman"/>
          <w:color w:val="000000" w:themeColor="text1"/>
          <w:spacing w:val="0"/>
          <w:lang w:val="en-US"/>
        </w:rPr>
        <w:t>Grille</w:t>
      </w:r>
      <w:r w:rsidRPr="00D03F3E">
        <w:rPr>
          <w:rFonts w:ascii="Times New Roman" w:cs="Times New Roman"/>
          <w:color w:val="000000" w:themeColor="text1"/>
          <w:spacing w:val="0"/>
        </w:rPr>
        <w:t>. Последнее название используется и в ряде чешских изданий.</w:t>
      </w:r>
    </w:p>
    <w:p w14:paraId="4F2FF182" w14:textId="77777777" w:rsidR="008C56B3" w:rsidRPr="00D03F3E" w:rsidRDefault="008C56B3"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Начиная с весны 1943 года самоходные орудия </w:t>
      </w:r>
      <w:r w:rsidRPr="00D03F3E">
        <w:rPr>
          <w:rFonts w:ascii="Times New Roman" w:cs="Times New Roman"/>
          <w:color w:val="000000" w:themeColor="text1"/>
          <w:spacing w:val="0"/>
          <w:lang w:val="en-US"/>
        </w:rPr>
        <w:t>Bison</w:t>
      </w:r>
      <w:r w:rsidRPr="00D03F3E">
        <w:rPr>
          <w:rFonts w:ascii="Times New Roman" w:cs="Times New Roman"/>
          <w:color w:val="000000" w:themeColor="text1"/>
          <w:spacing w:val="0"/>
        </w:rPr>
        <w:t xml:space="preserve"> (или </w:t>
      </w:r>
      <w:r w:rsidRPr="00D03F3E">
        <w:rPr>
          <w:rFonts w:ascii="Times New Roman" w:cs="Times New Roman"/>
          <w:color w:val="000000" w:themeColor="text1"/>
          <w:spacing w:val="0"/>
          <w:lang w:val="en-US"/>
        </w:rPr>
        <w:t>Grille</w:t>
      </w:r>
      <w:r w:rsidRPr="00D03F3E">
        <w:rPr>
          <w:rFonts w:ascii="Times New Roman" w:cs="Times New Roman"/>
          <w:color w:val="000000" w:themeColor="text1"/>
          <w:spacing w:val="0"/>
        </w:rPr>
        <w:t>) поступали на вооружение 1, 2, 4, 5, 16, 17, 24 и 26-й танковых, 3-й и 29-й моторизованных дивизий Вермахта. Они состояли на во</w:t>
      </w:r>
      <w:r w:rsidRPr="00D03F3E">
        <w:rPr>
          <w:rFonts w:ascii="Times New Roman" w:cs="Times New Roman"/>
          <w:color w:val="000000" w:themeColor="text1"/>
          <w:spacing w:val="0"/>
        </w:rPr>
        <w:softHyphen/>
        <w:t>оружении моторизованных дивизий «Ве</w:t>
      </w:r>
      <w:r w:rsidRPr="00D03F3E">
        <w:rPr>
          <w:rFonts w:ascii="Times New Roman" w:cs="Times New Roman"/>
          <w:color w:val="000000" w:themeColor="text1"/>
          <w:spacing w:val="0"/>
        </w:rPr>
        <w:softHyphen/>
        <w:t>ликая Германия» и «Фельдхернхалле», танковых дивизий СС «Рейх», «Мертвая голова» и «Лейбштандарт «Адольф Гит</w:t>
      </w:r>
      <w:r w:rsidRPr="00D03F3E">
        <w:rPr>
          <w:rFonts w:ascii="Times New Roman" w:cs="Times New Roman"/>
          <w:color w:val="000000" w:themeColor="text1"/>
          <w:spacing w:val="0"/>
        </w:rPr>
        <w:softHyphen/>
        <w:t>лер». Каждое из этих соединений полу</w:t>
      </w:r>
      <w:r w:rsidRPr="00D03F3E">
        <w:rPr>
          <w:rFonts w:ascii="Times New Roman" w:cs="Times New Roman"/>
          <w:color w:val="000000" w:themeColor="text1"/>
          <w:spacing w:val="0"/>
        </w:rPr>
        <w:softHyphen/>
        <w:t>чило по 12 самоходных пехотных орудий. По состоянию на март 1945 года в вой</w:t>
      </w:r>
      <w:r w:rsidRPr="00D03F3E">
        <w:rPr>
          <w:rFonts w:ascii="Times New Roman" w:cs="Times New Roman"/>
          <w:color w:val="000000" w:themeColor="text1"/>
          <w:spacing w:val="0"/>
        </w:rPr>
        <w:softHyphen/>
        <w:t>сках имелось еще 173 машины. Послед</w:t>
      </w:r>
      <w:r w:rsidRPr="00D03F3E">
        <w:rPr>
          <w:rFonts w:ascii="Times New Roman" w:cs="Times New Roman"/>
          <w:color w:val="000000" w:themeColor="text1"/>
          <w:spacing w:val="0"/>
        </w:rPr>
        <w:softHyphen/>
        <w:t>ние 13 самоходок были переданы в вой</w:t>
      </w:r>
      <w:r w:rsidRPr="00D03F3E">
        <w:rPr>
          <w:rFonts w:ascii="Times New Roman" w:cs="Times New Roman"/>
          <w:color w:val="000000" w:themeColor="text1"/>
          <w:spacing w:val="0"/>
        </w:rPr>
        <w:softHyphen/>
        <w:t>ска в апреле 1945 года: по три машины получили 18-я и 20-я моторизованные, а семь машин — 25-я моторизованная ди</w:t>
      </w:r>
      <w:r w:rsidRPr="00D03F3E">
        <w:rPr>
          <w:rFonts w:ascii="Times New Roman" w:cs="Times New Roman"/>
          <w:color w:val="000000" w:themeColor="text1"/>
          <w:spacing w:val="0"/>
        </w:rPr>
        <w:softHyphen/>
        <w:t>визии. Таким образом, можно констати</w:t>
      </w:r>
      <w:r w:rsidRPr="00D03F3E">
        <w:rPr>
          <w:rFonts w:ascii="Times New Roman" w:cs="Times New Roman"/>
          <w:color w:val="000000" w:themeColor="text1"/>
          <w:spacing w:val="0"/>
        </w:rPr>
        <w:softHyphen/>
        <w:t xml:space="preserve">ровать, что САУ </w:t>
      </w:r>
      <w:r w:rsidRPr="00D03F3E">
        <w:rPr>
          <w:rFonts w:ascii="Times New Roman" w:cs="Times New Roman"/>
          <w:color w:val="000000" w:themeColor="text1"/>
          <w:spacing w:val="0"/>
          <w:lang w:val="en-US"/>
        </w:rPr>
        <w:t>Bison</w:t>
      </w:r>
      <w:r w:rsidRPr="00D03F3E">
        <w:rPr>
          <w:rFonts w:ascii="Times New Roman" w:cs="Times New Roman"/>
          <w:color w:val="000000" w:themeColor="text1"/>
          <w:spacing w:val="0"/>
        </w:rPr>
        <w:t xml:space="preserve"> использовались вплоть до самых последних дней войны.</w:t>
      </w:r>
    </w:p>
    <w:p w14:paraId="7D50D9F8" w14:textId="77777777" w:rsidR="008C56B3" w:rsidRPr="00D03F3E" w:rsidRDefault="008C56B3"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Из-за ограниченности перевозимого боекомплекта на базе САУ выпускалась машина для подвоза боеприпасов.</w:t>
      </w:r>
    </w:p>
    <w:p w14:paraId="21C705D1"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До наших дней сохранилась только САУ </w:t>
      </w:r>
      <w:r w:rsidRPr="00D03F3E">
        <w:rPr>
          <w:rFonts w:ascii="Times New Roman" w:hAnsi="Times New Roman"/>
          <w:color w:val="000000" w:themeColor="text1"/>
          <w:sz w:val="16"/>
          <w:szCs w:val="16"/>
          <w:lang w:val="en-US"/>
        </w:rPr>
        <w:t>Sd</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Kfz</w:t>
      </w:r>
      <w:r w:rsidRPr="00D03F3E">
        <w:rPr>
          <w:rFonts w:ascii="Times New Roman" w:hAnsi="Times New Roman"/>
          <w:color w:val="000000" w:themeColor="text1"/>
          <w:sz w:val="16"/>
          <w:szCs w:val="16"/>
        </w:rPr>
        <w:t xml:space="preserve">. 138/1 </w:t>
      </w:r>
      <w:r w:rsidRPr="00D03F3E">
        <w:rPr>
          <w:rFonts w:ascii="Times New Roman" w:hAnsi="Times New Roman"/>
          <w:color w:val="000000" w:themeColor="text1"/>
          <w:sz w:val="16"/>
          <w:szCs w:val="16"/>
          <w:lang w:val="en-US"/>
        </w:rPr>
        <w:t>Ausf</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M</w:t>
      </w:r>
      <w:r w:rsidRPr="00D03F3E">
        <w:rPr>
          <w:rFonts w:ascii="Times New Roman" w:hAnsi="Times New Roman"/>
          <w:color w:val="000000" w:themeColor="text1"/>
          <w:sz w:val="16"/>
          <w:szCs w:val="16"/>
        </w:rPr>
        <w:t>. Эта машина находится в экспозиции военного музея на Абердинском полигоне в США</w:t>
      </w:r>
    </w:p>
    <w:p w14:paraId="6B36ED2D" w14:textId="77777777" w:rsidR="008C56B3" w:rsidRPr="00D03F3E" w:rsidRDefault="008C56B3" w:rsidP="00D03F3E">
      <w:pPr>
        <w:spacing w:after="0" w:line="240" w:lineRule="auto"/>
        <w:jc w:val="both"/>
        <w:rPr>
          <w:rFonts w:ascii="Times New Roman" w:hAnsi="Times New Roman"/>
          <w:color w:val="000000" w:themeColor="text1"/>
          <w:sz w:val="16"/>
          <w:szCs w:val="16"/>
        </w:rPr>
      </w:pPr>
    </w:p>
    <w:p w14:paraId="3535D7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Иден вновь вернулся к идее панарабизма (3871).</w:t>
      </w:r>
    </w:p>
    <w:p w14:paraId="6DA3AD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49E0F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1C495D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A3EA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феврале-марте 1943 проводились контрольные испытания Ил-4 в НИИ ВВС (N 5048920):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tblGrid>
      <w:tr w:rsidR="00860B4B" w:rsidRPr="00D03F3E" w14:paraId="14F994CB" w14:textId="77777777">
        <w:tc>
          <w:tcPr>
            <w:tcW w:w="1878" w:type="dxa"/>
          </w:tcPr>
          <w:p w14:paraId="3C5759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моторы (2 х М88Б)</w:t>
            </w:r>
          </w:p>
        </w:tc>
        <w:tc>
          <w:tcPr>
            <w:tcW w:w="1878" w:type="dxa"/>
          </w:tcPr>
          <w:p w14:paraId="7E1C0B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2х1100 л.с.</w:t>
            </w:r>
          </w:p>
        </w:tc>
      </w:tr>
      <w:tr w:rsidR="00860B4B" w:rsidRPr="00D03F3E" w14:paraId="53C2F260" w14:textId="77777777">
        <w:tc>
          <w:tcPr>
            <w:tcW w:w="1878" w:type="dxa"/>
          </w:tcPr>
          <w:p w14:paraId="45CDDD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полетный вес</w:t>
            </w:r>
          </w:p>
        </w:tc>
        <w:tc>
          <w:tcPr>
            <w:tcW w:w="1878" w:type="dxa"/>
          </w:tcPr>
          <w:p w14:paraId="05ACDD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10864 кг</w:t>
            </w:r>
          </w:p>
        </w:tc>
      </w:tr>
      <w:tr w:rsidR="00860B4B" w:rsidRPr="00D03F3E" w14:paraId="799E4455" w14:textId="77777777">
        <w:tc>
          <w:tcPr>
            <w:tcW w:w="1878" w:type="dxa"/>
          </w:tcPr>
          <w:p w14:paraId="78D923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w:t>
            </w:r>
          </w:p>
        </w:tc>
        <w:tc>
          <w:tcPr>
            <w:tcW w:w="1878" w:type="dxa"/>
          </w:tcPr>
          <w:p w14:paraId="3D3371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 кг</w:t>
            </w:r>
          </w:p>
        </w:tc>
      </w:tr>
      <w:tr w:rsidR="00860B4B" w:rsidRPr="00D03F3E" w14:paraId="585A0363" w14:textId="77777777">
        <w:tc>
          <w:tcPr>
            <w:tcW w:w="1878" w:type="dxa"/>
          </w:tcPr>
          <w:p w14:paraId="47B05C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скорость</w:t>
            </w:r>
          </w:p>
        </w:tc>
        <w:tc>
          <w:tcPr>
            <w:tcW w:w="1878" w:type="dxa"/>
          </w:tcPr>
          <w:p w14:paraId="53D2C8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6A15B1A" w14:textId="77777777">
        <w:tc>
          <w:tcPr>
            <w:tcW w:w="1878" w:type="dxa"/>
          </w:tcPr>
          <w:p w14:paraId="1040E4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 земли</w:t>
            </w:r>
          </w:p>
        </w:tc>
        <w:tc>
          <w:tcPr>
            <w:tcW w:w="1878" w:type="dxa"/>
          </w:tcPr>
          <w:p w14:paraId="248FAB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333 км/ч</w:t>
            </w:r>
          </w:p>
        </w:tc>
      </w:tr>
      <w:tr w:rsidR="00860B4B" w:rsidRPr="00D03F3E" w14:paraId="78534E7A" w14:textId="77777777">
        <w:tc>
          <w:tcPr>
            <w:tcW w:w="1878" w:type="dxa"/>
          </w:tcPr>
          <w:p w14:paraId="6730BE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на высоте</w:t>
            </w:r>
          </w:p>
        </w:tc>
        <w:tc>
          <w:tcPr>
            <w:tcW w:w="1878" w:type="dxa"/>
          </w:tcPr>
          <w:p w14:paraId="540253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396/6450 км/ч/м</w:t>
            </w:r>
          </w:p>
        </w:tc>
      </w:tr>
      <w:tr w:rsidR="00860B4B" w:rsidRPr="00D03F3E" w14:paraId="3E93BF63" w14:textId="77777777">
        <w:tc>
          <w:tcPr>
            <w:tcW w:w="1878" w:type="dxa"/>
          </w:tcPr>
          <w:p w14:paraId="2EF68F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набор 5000</w:t>
            </w:r>
          </w:p>
        </w:tc>
        <w:tc>
          <w:tcPr>
            <w:tcW w:w="1878" w:type="dxa"/>
          </w:tcPr>
          <w:p w14:paraId="43F8E5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21.7 минут</w:t>
            </w:r>
          </w:p>
        </w:tc>
      </w:tr>
      <w:tr w:rsidR="00860B4B" w:rsidRPr="00D03F3E" w14:paraId="5180BCC4" w14:textId="77777777">
        <w:tc>
          <w:tcPr>
            <w:tcW w:w="1878" w:type="dxa"/>
          </w:tcPr>
          <w:p w14:paraId="452206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w:t>
            </w:r>
          </w:p>
        </w:tc>
        <w:tc>
          <w:tcPr>
            <w:tcW w:w="1878" w:type="dxa"/>
          </w:tcPr>
          <w:p w14:paraId="455B0F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8000 м</w:t>
            </w:r>
          </w:p>
        </w:tc>
      </w:tr>
      <w:tr w:rsidR="00860B4B" w:rsidRPr="00D03F3E" w14:paraId="076B4340" w14:textId="77777777">
        <w:tc>
          <w:tcPr>
            <w:tcW w:w="1878" w:type="dxa"/>
          </w:tcPr>
          <w:p w14:paraId="52D687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w:t>
            </w:r>
          </w:p>
        </w:tc>
        <w:tc>
          <w:tcPr>
            <w:tcW w:w="1878" w:type="dxa"/>
          </w:tcPr>
          <w:p w14:paraId="0B2AE3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2700 км</w:t>
            </w:r>
          </w:p>
        </w:tc>
      </w:tr>
      <w:tr w:rsidR="00860B4B" w:rsidRPr="00D03F3E" w14:paraId="57B7658A" w14:textId="77777777">
        <w:tc>
          <w:tcPr>
            <w:tcW w:w="1878" w:type="dxa"/>
          </w:tcPr>
          <w:p w14:paraId="38FFA4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w:t>
            </w:r>
          </w:p>
        </w:tc>
        <w:tc>
          <w:tcPr>
            <w:tcW w:w="1878" w:type="dxa"/>
          </w:tcPr>
          <w:p w14:paraId="425F29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2х7.62+1х12.7 (152,33)</w:t>
            </w:r>
          </w:p>
        </w:tc>
      </w:tr>
    </w:tbl>
    <w:p w14:paraId="31BF3C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7AD4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феврале-марте 1943 г. по заданию наркомата авиапромышленности на московском авиазаводе № 81 начались работы по подготовке серийного производства И-185. Туда передали образцовый самолет для изучения и ремонта (получил при дополнительных испытаниях небольшие повреждения). Работы шли медленно, а в апреле прекратились вовсе. 5 апреля 1943 г. опытный экземпляр И-185 М-71 по причине неисправности двигателя потерпел катастрофу. Погиб легчик-испыгатель В.А.Степанчонок. Сразу после этого решением высших инстанций работы по внедрению самолета в серию прекратили. Образцовый экземпляр И-185 М-71 после проведения ремонта в летном состоянии вернули на завод №51.</w:t>
      </w:r>
    </w:p>
    <w:p w14:paraId="532FBA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Летные и технические характеристики самолетов И-185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gridCol w:w="1019"/>
        <w:gridCol w:w="1019"/>
        <w:gridCol w:w="1019"/>
        <w:gridCol w:w="1019"/>
      </w:tblGrid>
      <w:tr w:rsidR="00860B4B" w:rsidRPr="00D03F3E" w14:paraId="1C73F625" w14:textId="77777777">
        <w:tc>
          <w:tcPr>
            <w:tcW w:w="1019" w:type="dxa"/>
            <w:tcBorders>
              <w:top w:val="single" w:sz="12" w:space="0" w:color="auto"/>
            </w:tcBorders>
          </w:tcPr>
          <w:p w14:paraId="6910F9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самолета</w:t>
            </w:r>
          </w:p>
        </w:tc>
        <w:tc>
          <w:tcPr>
            <w:tcW w:w="1019" w:type="dxa"/>
            <w:tcBorders>
              <w:top w:val="single" w:sz="12" w:space="0" w:color="auto"/>
            </w:tcBorders>
          </w:tcPr>
          <w:p w14:paraId="4B43DC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w:t>
            </w:r>
          </w:p>
        </w:tc>
        <w:tc>
          <w:tcPr>
            <w:tcW w:w="1019" w:type="dxa"/>
            <w:tcBorders>
              <w:top w:val="single" w:sz="12" w:space="0" w:color="auto"/>
            </w:tcBorders>
          </w:tcPr>
          <w:p w14:paraId="057252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ДИТ-185</w:t>
            </w:r>
          </w:p>
        </w:tc>
        <w:tc>
          <w:tcPr>
            <w:tcW w:w="1019" w:type="dxa"/>
            <w:tcBorders>
              <w:top w:val="single" w:sz="12" w:space="0" w:color="auto"/>
            </w:tcBorders>
          </w:tcPr>
          <w:p w14:paraId="0DCCAF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И-186</w:t>
            </w:r>
          </w:p>
        </w:tc>
        <w:tc>
          <w:tcPr>
            <w:tcW w:w="1019" w:type="dxa"/>
            <w:tcBorders>
              <w:top w:val="single" w:sz="12" w:space="0" w:color="auto"/>
            </w:tcBorders>
          </w:tcPr>
          <w:p w14:paraId="007616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И-187</w:t>
            </w:r>
          </w:p>
        </w:tc>
        <w:tc>
          <w:tcPr>
            <w:tcW w:w="1019" w:type="dxa"/>
            <w:tcBorders>
              <w:top w:val="single" w:sz="12" w:space="0" w:color="auto"/>
            </w:tcBorders>
          </w:tcPr>
          <w:p w14:paraId="4D4515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И-185</w:t>
            </w:r>
          </w:p>
        </w:tc>
        <w:tc>
          <w:tcPr>
            <w:tcW w:w="1019" w:type="dxa"/>
            <w:tcBorders>
              <w:top w:val="single" w:sz="12" w:space="0" w:color="auto"/>
            </w:tcBorders>
          </w:tcPr>
          <w:p w14:paraId="6E66EF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И-185</w:t>
            </w:r>
          </w:p>
        </w:tc>
        <w:tc>
          <w:tcPr>
            <w:tcW w:w="1019" w:type="dxa"/>
            <w:tcBorders>
              <w:top w:val="single" w:sz="12" w:space="0" w:color="auto"/>
            </w:tcBorders>
          </w:tcPr>
          <w:p w14:paraId="7E04B4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И-185</w:t>
            </w:r>
          </w:p>
        </w:tc>
        <w:tc>
          <w:tcPr>
            <w:tcW w:w="1019" w:type="dxa"/>
            <w:tcBorders>
              <w:top w:val="single" w:sz="12" w:space="0" w:color="auto"/>
            </w:tcBorders>
          </w:tcPr>
          <w:p w14:paraId="159551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И-185</w:t>
            </w:r>
          </w:p>
        </w:tc>
      </w:tr>
      <w:tr w:rsidR="00860B4B" w:rsidRPr="00D03F3E" w14:paraId="120BCDB5" w14:textId="77777777">
        <w:tc>
          <w:tcPr>
            <w:tcW w:w="1019" w:type="dxa"/>
          </w:tcPr>
          <w:p w14:paraId="27B69A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34459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сМ-90</w:t>
            </w:r>
          </w:p>
        </w:tc>
        <w:tc>
          <w:tcPr>
            <w:tcW w:w="1019" w:type="dxa"/>
          </w:tcPr>
          <w:p w14:paraId="1036F2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w:t>
            </w:r>
          </w:p>
        </w:tc>
        <w:tc>
          <w:tcPr>
            <w:tcW w:w="1019" w:type="dxa"/>
          </w:tcPr>
          <w:p w14:paraId="26FF4C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М-71</w:t>
            </w:r>
          </w:p>
        </w:tc>
        <w:tc>
          <w:tcPr>
            <w:tcW w:w="1019" w:type="dxa"/>
          </w:tcPr>
          <w:p w14:paraId="2B2DD6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М-81</w:t>
            </w:r>
          </w:p>
        </w:tc>
        <w:tc>
          <w:tcPr>
            <w:tcW w:w="1019" w:type="dxa"/>
          </w:tcPr>
          <w:p w14:paraId="189A23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М-71</w:t>
            </w:r>
          </w:p>
        </w:tc>
        <w:tc>
          <w:tcPr>
            <w:tcW w:w="1019" w:type="dxa"/>
          </w:tcPr>
          <w:p w14:paraId="6C3E85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М-71</w:t>
            </w:r>
          </w:p>
        </w:tc>
        <w:tc>
          <w:tcPr>
            <w:tcW w:w="1019" w:type="dxa"/>
          </w:tcPr>
          <w:p w14:paraId="359393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М-82А</w:t>
            </w:r>
          </w:p>
        </w:tc>
        <w:tc>
          <w:tcPr>
            <w:tcW w:w="1019" w:type="dxa"/>
          </w:tcPr>
          <w:p w14:paraId="798F85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М-71</w:t>
            </w:r>
          </w:p>
        </w:tc>
      </w:tr>
      <w:tr w:rsidR="00860B4B" w:rsidRPr="00D03F3E" w14:paraId="1C386025" w14:textId="77777777">
        <w:tc>
          <w:tcPr>
            <w:tcW w:w="1019" w:type="dxa"/>
          </w:tcPr>
          <w:p w14:paraId="69DF45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356851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E0C40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371ABD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w:t>
            </w:r>
          </w:p>
        </w:tc>
        <w:tc>
          <w:tcPr>
            <w:tcW w:w="1019" w:type="dxa"/>
          </w:tcPr>
          <w:p w14:paraId="17DC84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1D1C4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6202</w:t>
            </w:r>
          </w:p>
        </w:tc>
        <w:tc>
          <w:tcPr>
            <w:tcW w:w="1019" w:type="dxa"/>
          </w:tcPr>
          <w:p w14:paraId="67705B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6204</w:t>
            </w:r>
          </w:p>
        </w:tc>
        <w:tc>
          <w:tcPr>
            <w:tcW w:w="1019" w:type="dxa"/>
          </w:tcPr>
          <w:p w14:paraId="5C66CA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6E7867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эталон</w:t>
            </w:r>
          </w:p>
        </w:tc>
      </w:tr>
      <w:tr w:rsidR="00860B4B" w:rsidRPr="00D03F3E" w14:paraId="6F03A775" w14:textId="77777777">
        <w:tc>
          <w:tcPr>
            <w:tcW w:w="1019" w:type="dxa"/>
          </w:tcPr>
          <w:p w14:paraId="39CD2B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F1C18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3E64B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4E5F1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346D7B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6731A2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62E77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6FBC2E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144FF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серии</w:t>
            </w:r>
          </w:p>
        </w:tc>
      </w:tr>
      <w:tr w:rsidR="00860B4B" w:rsidRPr="00D03F3E" w14:paraId="44C02BFD" w14:textId="77777777">
        <w:tc>
          <w:tcPr>
            <w:tcW w:w="1019" w:type="dxa"/>
          </w:tcPr>
          <w:p w14:paraId="7A3C15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Дата выпуска проекта</w:t>
            </w:r>
          </w:p>
        </w:tc>
        <w:tc>
          <w:tcPr>
            <w:tcW w:w="1019" w:type="dxa"/>
          </w:tcPr>
          <w:p w14:paraId="6E234B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6.01.40 г.</w:t>
            </w:r>
          </w:p>
        </w:tc>
        <w:tc>
          <w:tcPr>
            <w:tcW w:w="1019" w:type="dxa"/>
          </w:tcPr>
          <w:p w14:paraId="5B2450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10.08.40г.</w:t>
            </w:r>
          </w:p>
        </w:tc>
        <w:tc>
          <w:tcPr>
            <w:tcW w:w="1019" w:type="dxa"/>
          </w:tcPr>
          <w:p w14:paraId="1B25F9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5.05.40 г.</w:t>
            </w:r>
          </w:p>
        </w:tc>
        <w:tc>
          <w:tcPr>
            <w:tcW w:w="1019" w:type="dxa"/>
          </w:tcPr>
          <w:p w14:paraId="1ADC45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27.11.40 г.</w:t>
            </w:r>
          </w:p>
        </w:tc>
        <w:tc>
          <w:tcPr>
            <w:tcW w:w="1019" w:type="dxa"/>
          </w:tcPr>
          <w:p w14:paraId="0F5566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A4BD4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A36B6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26.5.41 г.</w:t>
            </w:r>
          </w:p>
        </w:tc>
        <w:tc>
          <w:tcPr>
            <w:tcW w:w="1019" w:type="dxa"/>
          </w:tcPr>
          <w:p w14:paraId="0FFF00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13.04.42 г.</w:t>
            </w:r>
          </w:p>
        </w:tc>
      </w:tr>
      <w:tr w:rsidR="00860B4B" w:rsidRPr="00D03F3E" w14:paraId="21F071AC" w14:textId="77777777">
        <w:tc>
          <w:tcPr>
            <w:tcW w:w="1019" w:type="dxa"/>
          </w:tcPr>
          <w:p w14:paraId="1B6473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Дата первого вылета</w:t>
            </w:r>
          </w:p>
        </w:tc>
        <w:tc>
          <w:tcPr>
            <w:tcW w:w="1019" w:type="dxa"/>
          </w:tcPr>
          <w:p w14:paraId="77A874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019" w:type="dxa"/>
          </w:tcPr>
          <w:p w14:paraId="14973F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019" w:type="dxa"/>
          </w:tcPr>
          <w:p w14:paraId="096A66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019" w:type="dxa"/>
          </w:tcPr>
          <w:p w14:paraId="51E3D9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11.01.41 г.</w:t>
            </w:r>
          </w:p>
        </w:tc>
        <w:tc>
          <w:tcPr>
            <w:tcW w:w="1019" w:type="dxa"/>
          </w:tcPr>
          <w:p w14:paraId="2D24F6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29.05.41 г.</w:t>
            </w:r>
          </w:p>
        </w:tc>
        <w:tc>
          <w:tcPr>
            <w:tcW w:w="1019" w:type="dxa"/>
          </w:tcPr>
          <w:p w14:paraId="7E1F2F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8.04.41 г.</w:t>
            </w:r>
          </w:p>
        </w:tc>
        <w:tc>
          <w:tcPr>
            <w:tcW w:w="1019" w:type="dxa"/>
          </w:tcPr>
          <w:p w14:paraId="0D6F7D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21.07.41 г.</w:t>
            </w:r>
          </w:p>
        </w:tc>
        <w:tc>
          <w:tcPr>
            <w:tcW w:w="1019" w:type="dxa"/>
          </w:tcPr>
          <w:p w14:paraId="093DC6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10.06.42 г.</w:t>
            </w:r>
          </w:p>
        </w:tc>
      </w:tr>
      <w:tr w:rsidR="00860B4B" w:rsidRPr="00D03F3E" w14:paraId="5F912F9A" w14:textId="77777777">
        <w:tc>
          <w:tcPr>
            <w:tcW w:w="1019" w:type="dxa"/>
          </w:tcPr>
          <w:p w14:paraId="2045A5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Двигатель, мощность</w:t>
            </w:r>
          </w:p>
        </w:tc>
        <w:tc>
          <w:tcPr>
            <w:tcW w:w="1019" w:type="dxa"/>
          </w:tcPr>
          <w:p w14:paraId="2AF1E8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D5EB9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5F381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9BD64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1D1B6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54ED5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C651C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DF51E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8E82E8D" w14:textId="77777777">
        <w:tc>
          <w:tcPr>
            <w:tcW w:w="1019" w:type="dxa"/>
          </w:tcPr>
          <w:p w14:paraId="5FDC04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(номинальная/максимальная) л.с.</w:t>
            </w:r>
          </w:p>
        </w:tc>
        <w:tc>
          <w:tcPr>
            <w:tcW w:w="1019" w:type="dxa"/>
          </w:tcPr>
          <w:p w14:paraId="16A3CA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М-90</w:t>
            </w:r>
          </w:p>
        </w:tc>
        <w:tc>
          <w:tcPr>
            <w:tcW w:w="1019" w:type="dxa"/>
          </w:tcPr>
          <w:p w14:paraId="2496D4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М-90</w:t>
            </w:r>
          </w:p>
        </w:tc>
        <w:tc>
          <w:tcPr>
            <w:tcW w:w="1019" w:type="dxa"/>
          </w:tcPr>
          <w:p w14:paraId="495CA1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М-71</w:t>
            </w:r>
          </w:p>
        </w:tc>
        <w:tc>
          <w:tcPr>
            <w:tcW w:w="1019" w:type="dxa"/>
          </w:tcPr>
          <w:p w14:paraId="01AB0A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М-81</w:t>
            </w:r>
          </w:p>
        </w:tc>
        <w:tc>
          <w:tcPr>
            <w:tcW w:w="1019" w:type="dxa"/>
          </w:tcPr>
          <w:p w14:paraId="19CD19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М-71</w:t>
            </w:r>
          </w:p>
        </w:tc>
        <w:tc>
          <w:tcPr>
            <w:tcW w:w="1019" w:type="dxa"/>
          </w:tcPr>
          <w:p w14:paraId="6C5833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М-71</w:t>
            </w:r>
          </w:p>
        </w:tc>
        <w:tc>
          <w:tcPr>
            <w:tcW w:w="1019" w:type="dxa"/>
          </w:tcPr>
          <w:p w14:paraId="0EBA75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М-82А</w:t>
            </w:r>
          </w:p>
        </w:tc>
        <w:tc>
          <w:tcPr>
            <w:tcW w:w="1019" w:type="dxa"/>
          </w:tcPr>
          <w:p w14:paraId="222C4F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М-71</w:t>
            </w:r>
          </w:p>
        </w:tc>
      </w:tr>
      <w:tr w:rsidR="00860B4B" w:rsidRPr="00D03F3E" w14:paraId="73E29424" w14:textId="77777777">
        <w:tc>
          <w:tcPr>
            <w:tcW w:w="1019" w:type="dxa"/>
          </w:tcPr>
          <w:p w14:paraId="1E4E9F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95662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1500/1750</w:t>
            </w:r>
          </w:p>
        </w:tc>
        <w:tc>
          <w:tcPr>
            <w:tcW w:w="1019" w:type="dxa"/>
          </w:tcPr>
          <w:p w14:paraId="12033F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1500/1750</w:t>
            </w:r>
          </w:p>
        </w:tc>
        <w:tc>
          <w:tcPr>
            <w:tcW w:w="1019" w:type="dxa"/>
          </w:tcPr>
          <w:p w14:paraId="21AB22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1700/2000</w:t>
            </w:r>
          </w:p>
        </w:tc>
        <w:tc>
          <w:tcPr>
            <w:tcW w:w="1019" w:type="dxa"/>
          </w:tcPr>
          <w:p w14:paraId="3D4ECD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1280/1500</w:t>
            </w:r>
          </w:p>
        </w:tc>
        <w:tc>
          <w:tcPr>
            <w:tcW w:w="1019" w:type="dxa"/>
          </w:tcPr>
          <w:p w14:paraId="133D84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1625/2000</w:t>
            </w:r>
          </w:p>
        </w:tc>
        <w:tc>
          <w:tcPr>
            <w:tcW w:w="1019" w:type="dxa"/>
          </w:tcPr>
          <w:p w14:paraId="3A0AAF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1625/2000</w:t>
            </w:r>
          </w:p>
        </w:tc>
        <w:tc>
          <w:tcPr>
            <w:tcW w:w="1019" w:type="dxa"/>
          </w:tcPr>
          <w:p w14:paraId="46F347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1390/1600</w:t>
            </w:r>
          </w:p>
        </w:tc>
        <w:tc>
          <w:tcPr>
            <w:tcW w:w="1019" w:type="dxa"/>
          </w:tcPr>
          <w:p w14:paraId="7E0729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1625/2000</w:t>
            </w:r>
          </w:p>
        </w:tc>
      </w:tr>
      <w:tr w:rsidR="00860B4B" w:rsidRPr="00D03F3E" w14:paraId="78FD0AB1" w14:textId="77777777">
        <w:tc>
          <w:tcPr>
            <w:tcW w:w="1019" w:type="dxa"/>
          </w:tcPr>
          <w:p w14:paraId="565A22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самолета (м)</w:t>
            </w:r>
          </w:p>
        </w:tc>
        <w:tc>
          <w:tcPr>
            <w:tcW w:w="1019" w:type="dxa"/>
          </w:tcPr>
          <w:p w14:paraId="5AFD0B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7,25</w:t>
            </w:r>
          </w:p>
        </w:tc>
        <w:tc>
          <w:tcPr>
            <w:tcW w:w="1019" w:type="dxa"/>
          </w:tcPr>
          <w:p w14:paraId="38B93F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7,55</w:t>
            </w:r>
          </w:p>
        </w:tc>
        <w:tc>
          <w:tcPr>
            <w:tcW w:w="1019" w:type="dxa"/>
          </w:tcPr>
          <w:p w14:paraId="35C462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7,68</w:t>
            </w:r>
          </w:p>
        </w:tc>
        <w:tc>
          <w:tcPr>
            <w:tcW w:w="1019" w:type="dxa"/>
          </w:tcPr>
          <w:p w14:paraId="4A119F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7,765</w:t>
            </w:r>
          </w:p>
        </w:tc>
        <w:tc>
          <w:tcPr>
            <w:tcW w:w="1019" w:type="dxa"/>
          </w:tcPr>
          <w:p w14:paraId="2127EF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7,74</w:t>
            </w:r>
          </w:p>
        </w:tc>
        <w:tc>
          <w:tcPr>
            <w:tcW w:w="1019" w:type="dxa"/>
          </w:tcPr>
          <w:p w14:paraId="142AC6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7,68</w:t>
            </w:r>
          </w:p>
        </w:tc>
        <w:tc>
          <w:tcPr>
            <w:tcW w:w="1019" w:type="dxa"/>
          </w:tcPr>
          <w:p w14:paraId="4802CA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8,1</w:t>
            </w:r>
          </w:p>
        </w:tc>
        <w:tc>
          <w:tcPr>
            <w:tcW w:w="1019" w:type="dxa"/>
          </w:tcPr>
          <w:p w14:paraId="2E2FC0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8,05</w:t>
            </w:r>
          </w:p>
        </w:tc>
      </w:tr>
      <w:tr w:rsidR="00860B4B" w:rsidRPr="00D03F3E" w14:paraId="2194FC38" w14:textId="77777777">
        <w:tc>
          <w:tcPr>
            <w:tcW w:w="1019" w:type="dxa"/>
          </w:tcPr>
          <w:p w14:paraId="1E9029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Размах крыла (м)</w:t>
            </w:r>
          </w:p>
        </w:tc>
        <w:tc>
          <w:tcPr>
            <w:tcW w:w="1019" w:type="dxa"/>
          </w:tcPr>
          <w:p w14:paraId="1B8E4D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w:t>
            </w:r>
          </w:p>
        </w:tc>
        <w:tc>
          <w:tcPr>
            <w:tcW w:w="1019" w:type="dxa"/>
          </w:tcPr>
          <w:p w14:paraId="3D36E3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w:t>
            </w:r>
          </w:p>
        </w:tc>
        <w:tc>
          <w:tcPr>
            <w:tcW w:w="1019" w:type="dxa"/>
          </w:tcPr>
          <w:p w14:paraId="7DCA14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w:t>
            </w:r>
          </w:p>
        </w:tc>
        <w:tc>
          <w:tcPr>
            <w:tcW w:w="1019" w:type="dxa"/>
          </w:tcPr>
          <w:p w14:paraId="4C7328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w:t>
            </w:r>
          </w:p>
        </w:tc>
        <w:tc>
          <w:tcPr>
            <w:tcW w:w="1019" w:type="dxa"/>
          </w:tcPr>
          <w:p w14:paraId="78E4BF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w:t>
            </w:r>
          </w:p>
        </w:tc>
        <w:tc>
          <w:tcPr>
            <w:tcW w:w="1019" w:type="dxa"/>
          </w:tcPr>
          <w:p w14:paraId="7A8594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w:t>
            </w:r>
          </w:p>
        </w:tc>
        <w:tc>
          <w:tcPr>
            <w:tcW w:w="1019" w:type="dxa"/>
          </w:tcPr>
          <w:p w14:paraId="71993D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w:t>
            </w:r>
          </w:p>
        </w:tc>
        <w:tc>
          <w:tcPr>
            <w:tcW w:w="1019" w:type="dxa"/>
          </w:tcPr>
          <w:p w14:paraId="1EDD0E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w:t>
            </w:r>
          </w:p>
        </w:tc>
      </w:tr>
      <w:tr w:rsidR="00860B4B" w:rsidRPr="00D03F3E" w14:paraId="2DCA367E" w14:textId="77777777">
        <w:tc>
          <w:tcPr>
            <w:tcW w:w="1019" w:type="dxa"/>
          </w:tcPr>
          <w:p w14:paraId="6B9CB0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крыла (м2)</w:t>
            </w:r>
          </w:p>
        </w:tc>
        <w:tc>
          <w:tcPr>
            <w:tcW w:w="1019" w:type="dxa"/>
          </w:tcPr>
          <w:p w14:paraId="753C8A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15,53</w:t>
            </w:r>
          </w:p>
        </w:tc>
        <w:tc>
          <w:tcPr>
            <w:tcW w:w="1019" w:type="dxa"/>
          </w:tcPr>
          <w:p w14:paraId="2E9399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15,53</w:t>
            </w:r>
          </w:p>
        </w:tc>
        <w:tc>
          <w:tcPr>
            <w:tcW w:w="1019" w:type="dxa"/>
          </w:tcPr>
          <w:p w14:paraId="6F7C32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15,53</w:t>
            </w:r>
          </w:p>
        </w:tc>
        <w:tc>
          <w:tcPr>
            <w:tcW w:w="1019" w:type="dxa"/>
          </w:tcPr>
          <w:p w14:paraId="0A9C0E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15,53</w:t>
            </w:r>
          </w:p>
        </w:tc>
        <w:tc>
          <w:tcPr>
            <w:tcW w:w="1019" w:type="dxa"/>
          </w:tcPr>
          <w:p w14:paraId="1FE44D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15,53</w:t>
            </w:r>
          </w:p>
        </w:tc>
        <w:tc>
          <w:tcPr>
            <w:tcW w:w="1019" w:type="dxa"/>
          </w:tcPr>
          <w:p w14:paraId="14702A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15,53</w:t>
            </w:r>
          </w:p>
        </w:tc>
        <w:tc>
          <w:tcPr>
            <w:tcW w:w="1019" w:type="dxa"/>
          </w:tcPr>
          <w:p w14:paraId="2E15BB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15,53</w:t>
            </w:r>
          </w:p>
        </w:tc>
        <w:tc>
          <w:tcPr>
            <w:tcW w:w="1019" w:type="dxa"/>
          </w:tcPr>
          <w:p w14:paraId="12C515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15,53</w:t>
            </w:r>
          </w:p>
        </w:tc>
      </w:tr>
      <w:tr w:rsidR="00860B4B" w:rsidRPr="00D03F3E" w14:paraId="5A24CB4D" w14:textId="77777777">
        <w:tc>
          <w:tcPr>
            <w:tcW w:w="1019" w:type="dxa"/>
          </w:tcPr>
          <w:p w14:paraId="41993C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пустого (кг)</w:t>
            </w:r>
          </w:p>
        </w:tc>
        <w:tc>
          <w:tcPr>
            <w:tcW w:w="1019" w:type="dxa"/>
          </w:tcPr>
          <w:p w14:paraId="2EBCFF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2028,5</w:t>
            </w:r>
          </w:p>
        </w:tc>
        <w:tc>
          <w:tcPr>
            <w:tcW w:w="1019" w:type="dxa"/>
          </w:tcPr>
          <w:p w14:paraId="23A292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2263,67</w:t>
            </w:r>
          </w:p>
        </w:tc>
        <w:tc>
          <w:tcPr>
            <w:tcW w:w="1019" w:type="dxa"/>
          </w:tcPr>
          <w:p w14:paraId="2ED105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2289</w:t>
            </w:r>
          </w:p>
        </w:tc>
        <w:tc>
          <w:tcPr>
            <w:tcW w:w="1019" w:type="dxa"/>
          </w:tcPr>
          <w:p w14:paraId="23D0BD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2298,1</w:t>
            </w:r>
          </w:p>
        </w:tc>
        <w:tc>
          <w:tcPr>
            <w:tcW w:w="1019" w:type="dxa"/>
          </w:tcPr>
          <w:p w14:paraId="1A0E98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2471</w:t>
            </w:r>
          </w:p>
        </w:tc>
        <w:tc>
          <w:tcPr>
            <w:tcW w:w="1019" w:type="dxa"/>
          </w:tcPr>
          <w:p w14:paraId="3CF85D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2846</w:t>
            </w:r>
          </w:p>
        </w:tc>
        <w:tc>
          <w:tcPr>
            <w:tcW w:w="1019" w:type="dxa"/>
          </w:tcPr>
          <w:p w14:paraId="1F18EA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1717</w:t>
            </w:r>
          </w:p>
        </w:tc>
        <w:tc>
          <w:tcPr>
            <w:tcW w:w="1019" w:type="dxa"/>
          </w:tcPr>
          <w:p w14:paraId="19F800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3130</w:t>
            </w:r>
          </w:p>
        </w:tc>
      </w:tr>
      <w:tr w:rsidR="00860B4B" w:rsidRPr="00D03F3E" w14:paraId="1DE23E70" w14:textId="77777777">
        <w:tc>
          <w:tcPr>
            <w:tcW w:w="1019" w:type="dxa"/>
          </w:tcPr>
          <w:p w14:paraId="509837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Полетный вес (</w:t>
            </w:r>
          </w:p>
        </w:tc>
        <w:tc>
          <w:tcPr>
            <w:tcW w:w="1019" w:type="dxa"/>
          </w:tcPr>
          <w:p w14:paraId="7AA412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375AD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48C72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B1C90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1F134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D66FA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29FB6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42D03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4D9039A" w14:textId="77777777">
        <w:tc>
          <w:tcPr>
            <w:tcW w:w="1019" w:type="dxa"/>
          </w:tcPr>
          <w:p w14:paraId="0B820B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нормальный/с перегрузкой) (кг)</w:t>
            </w:r>
          </w:p>
        </w:tc>
        <w:tc>
          <w:tcPr>
            <w:tcW w:w="1019" w:type="dxa"/>
          </w:tcPr>
          <w:p w14:paraId="16F2C7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2708/2908</w:t>
            </w:r>
          </w:p>
        </w:tc>
        <w:tc>
          <w:tcPr>
            <w:tcW w:w="1019" w:type="dxa"/>
          </w:tcPr>
          <w:p w14:paraId="7AD8E4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2900/3254</w:t>
            </w:r>
          </w:p>
        </w:tc>
        <w:tc>
          <w:tcPr>
            <w:tcW w:w="1019" w:type="dxa"/>
          </w:tcPr>
          <w:p w14:paraId="6DCBAE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2984/3489</w:t>
            </w:r>
          </w:p>
        </w:tc>
        <w:tc>
          <w:tcPr>
            <w:tcW w:w="1019" w:type="dxa"/>
          </w:tcPr>
          <w:p w14:paraId="39FBED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3120/3325</w:t>
            </w:r>
          </w:p>
        </w:tc>
        <w:tc>
          <w:tcPr>
            <w:tcW w:w="1019" w:type="dxa"/>
          </w:tcPr>
          <w:p w14:paraId="10CA2A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3119/3534</w:t>
            </w:r>
          </w:p>
        </w:tc>
        <w:tc>
          <w:tcPr>
            <w:tcW w:w="1019" w:type="dxa"/>
          </w:tcPr>
          <w:p w14:paraId="36D650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3500/4015</w:t>
            </w:r>
          </w:p>
        </w:tc>
        <w:tc>
          <w:tcPr>
            <w:tcW w:w="1019" w:type="dxa"/>
          </w:tcPr>
          <w:p w14:paraId="56E4C9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3328/3418</w:t>
            </w:r>
          </w:p>
        </w:tc>
        <w:tc>
          <w:tcPr>
            <w:tcW w:w="1019" w:type="dxa"/>
          </w:tcPr>
          <w:p w14:paraId="221398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3735/3825</w:t>
            </w:r>
          </w:p>
        </w:tc>
      </w:tr>
      <w:tr w:rsidR="00860B4B" w:rsidRPr="00D03F3E" w14:paraId="72B79670" w14:textId="77777777">
        <w:tc>
          <w:tcPr>
            <w:tcW w:w="1019" w:type="dxa"/>
          </w:tcPr>
          <w:p w14:paraId="746C07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w:t>
            </w:r>
          </w:p>
        </w:tc>
        <w:tc>
          <w:tcPr>
            <w:tcW w:w="1019" w:type="dxa"/>
          </w:tcPr>
          <w:p w14:paraId="6F707F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БС*.</w:t>
            </w:r>
          </w:p>
        </w:tc>
        <w:tc>
          <w:tcPr>
            <w:tcW w:w="1019" w:type="dxa"/>
          </w:tcPr>
          <w:p w14:paraId="49DDD5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БС,</w:t>
            </w:r>
          </w:p>
        </w:tc>
        <w:tc>
          <w:tcPr>
            <w:tcW w:w="1019" w:type="dxa"/>
          </w:tcPr>
          <w:p w14:paraId="5E5473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БС,</w:t>
            </w:r>
          </w:p>
        </w:tc>
        <w:tc>
          <w:tcPr>
            <w:tcW w:w="1019" w:type="dxa"/>
          </w:tcPr>
          <w:p w14:paraId="68DB2E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БС,</w:t>
            </w:r>
          </w:p>
        </w:tc>
        <w:tc>
          <w:tcPr>
            <w:tcW w:w="1019" w:type="dxa"/>
          </w:tcPr>
          <w:p w14:paraId="3BA4EA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БС,</w:t>
            </w:r>
          </w:p>
        </w:tc>
        <w:tc>
          <w:tcPr>
            <w:tcW w:w="1019" w:type="dxa"/>
          </w:tcPr>
          <w:p w14:paraId="40C63D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БС,</w:t>
            </w:r>
          </w:p>
        </w:tc>
        <w:tc>
          <w:tcPr>
            <w:tcW w:w="1019" w:type="dxa"/>
          </w:tcPr>
          <w:p w14:paraId="10310B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ШВАК,</w:t>
            </w:r>
          </w:p>
        </w:tc>
        <w:tc>
          <w:tcPr>
            <w:tcW w:w="1019" w:type="dxa"/>
          </w:tcPr>
          <w:p w14:paraId="448664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ШВАК,</w:t>
            </w:r>
          </w:p>
        </w:tc>
      </w:tr>
      <w:tr w:rsidR="00860B4B" w:rsidRPr="00D03F3E" w14:paraId="27AB5531" w14:textId="77777777">
        <w:tc>
          <w:tcPr>
            <w:tcW w:w="1019" w:type="dxa"/>
          </w:tcPr>
          <w:p w14:paraId="08132E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62E1B5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ШКАС,</w:t>
            </w:r>
          </w:p>
        </w:tc>
        <w:tc>
          <w:tcPr>
            <w:tcW w:w="1019" w:type="dxa"/>
          </w:tcPr>
          <w:p w14:paraId="07F133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ШКАС,</w:t>
            </w:r>
          </w:p>
        </w:tc>
        <w:tc>
          <w:tcPr>
            <w:tcW w:w="1019" w:type="dxa"/>
          </w:tcPr>
          <w:p w14:paraId="4B557F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ШКАС,</w:t>
            </w:r>
          </w:p>
        </w:tc>
        <w:tc>
          <w:tcPr>
            <w:tcW w:w="1019" w:type="dxa"/>
          </w:tcPr>
          <w:p w14:paraId="29FAC2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ШКАС,</w:t>
            </w:r>
          </w:p>
        </w:tc>
        <w:tc>
          <w:tcPr>
            <w:tcW w:w="1019" w:type="dxa"/>
          </w:tcPr>
          <w:p w14:paraId="1411B8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ШКАС,</w:t>
            </w:r>
          </w:p>
        </w:tc>
        <w:tc>
          <w:tcPr>
            <w:tcW w:w="1019" w:type="dxa"/>
          </w:tcPr>
          <w:p w14:paraId="06E3C7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ШКАС,</w:t>
            </w:r>
          </w:p>
        </w:tc>
        <w:tc>
          <w:tcPr>
            <w:tcW w:w="1019" w:type="dxa"/>
          </w:tcPr>
          <w:p w14:paraId="6B699E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мм,</w:t>
            </w:r>
          </w:p>
        </w:tc>
        <w:tc>
          <w:tcPr>
            <w:tcW w:w="1019" w:type="dxa"/>
          </w:tcPr>
          <w:p w14:paraId="4DFAC0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мм,</w:t>
            </w:r>
          </w:p>
        </w:tc>
      </w:tr>
      <w:tr w:rsidR="00860B4B" w:rsidRPr="00D03F3E" w14:paraId="193E8B5C" w14:textId="77777777">
        <w:tc>
          <w:tcPr>
            <w:tcW w:w="1019" w:type="dxa"/>
          </w:tcPr>
          <w:p w14:paraId="72F000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C47AE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бомбы</w:t>
            </w:r>
          </w:p>
        </w:tc>
        <w:tc>
          <w:tcPr>
            <w:tcW w:w="1019" w:type="dxa"/>
          </w:tcPr>
          <w:p w14:paraId="650EEC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бомбы</w:t>
            </w:r>
          </w:p>
        </w:tc>
        <w:tc>
          <w:tcPr>
            <w:tcW w:w="1019" w:type="dxa"/>
          </w:tcPr>
          <w:p w14:paraId="0893D7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бомбы</w:t>
            </w:r>
          </w:p>
        </w:tc>
        <w:tc>
          <w:tcPr>
            <w:tcW w:w="1019" w:type="dxa"/>
          </w:tcPr>
          <w:p w14:paraId="2AAEAE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бомбы</w:t>
            </w:r>
          </w:p>
        </w:tc>
        <w:tc>
          <w:tcPr>
            <w:tcW w:w="1019" w:type="dxa"/>
          </w:tcPr>
          <w:p w14:paraId="0A7A58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бомбы</w:t>
            </w:r>
          </w:p>
        </w:tc>
        <w:tc>
          <w:tcPr>
            <w:tcW w:w="1019" w:type="dxa"/>
          </w:tcPr>
          <w:p w14:paraId="12AF5B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бомбы</w:t>
            </w:r>
          </w:p>
        </w:tc>
        <w:tc>
          <w:tcPr>
            <w:tcW w:w="1019" w:type="dxa"/>
          </w:tcPr>
          <w:p w14:paraId="6C68EC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бомбы</w:t>
            </w:r>
          </w:p>
        </w:tc>
        <w:tc>
          <w:tcPr>
            <w:tcW w:w="1019" w:type="dxa"/>
          </w:tcPr>
          <w:p w14:paraId="1057F4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бомбы</w:t>
            </w:r>
          </w:p>
        </w:tc>
      </w:tr>
      <w:tr w:rsidR="00860B4B" w:rsidRPr="00D03F3E" w14:paraId="68D80407" w14:textId="77777777">
        <w:tc>
          <w:tcPr>
            <w:tcW w:w="1019" w:type="dxa"/>
          </w:tcPr>
          <w:p w14:paraId="0F7500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69A10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 кг</w:t>
            </w:r>
          </w:p>
        </w:tc>
        <w:tc>
          <w:tcPr>
            <w:tcW w:w="1019" w:type="dxa"/>
          </w:tcPr>
          <w:p w14:paraId="2F7B8A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 кг</w:t>
            </w:r>
          </w:p>
        </w:tc>
        <w:tc>
          <w:tcPr>
            <w:tcW w:w="1019" w:type="dxa"/>
          </w:tcPr>
          <w:p w14:paraId="316A53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 кг</w:t>
            </w:r>
          </w:p>
        </w:tc>
        <w:tc>
          <w:tcPr>
            <w:tcW w:w="1019" w:type="dxa"/>
          </w:tcPr>
          <w:p w14:paraId="570122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 кг</w:t>
            </w:r>
          </w:p>
        </w:tc>
        <w:tc>
          <w:tcPr>
            <w:tcW w:w="1019" w:type="dxa"/>
          </w:tcPr>
          <w:p w14:paraId="618B7C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 кг</w:t>
            </w:r>
          </w:p>
        </w:tc>
        <w:tc>
          <w:tcPr>
            <w:tcW w:w="1019" w:type="dxa"/>
          </w:tcPr>
          <w:p w14:paraId="3F30CA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 кг</w:t>
            </w:r>
          </w:p>
        </w:tc>
        <w:tc>
          <w:tcPr>
            <w:tcW w:w="1019" w:type="dxa"/>
          </w:tcPr>
          <w:p w14:paraId="4DE1AB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 кг</w:t>
            </w:r>
          </w:p>
        </w:tc>
        <w:tc>
          <w:tcPr>
            <w:tcW w:w="1019" w:type="dxa"/>
          </w:tcPr>
          <w:p w14:paraId="658636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 кг</w:t>
            </w:r>
          </w:p>
        </w:tc>
      </w:tr>
      <w:tr w:rsidR="00860B4B" w:rsidRPr="00D03F3E" w14:paraId="5B1B756E" w14:textId="77777777">
        <w:tc>
          <w:tcPr>
            <w:tcW w:w="1019" w:type="dxa"/>
          </w:tcPr>
          <w:p w14:paraId="421F71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w:t>
            </w:r>
          </w:p>
        </w:tc>
        <w:tc>
          <w:tcPr>
            <w:tcW w:w="1019" w:type="dxa"/>
          </w:tcPr>
          <w:p w14:paraId="4B536B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A48AE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31495E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66AE7B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ECD5B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37486B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0528E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A38AB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721B0AC" w14:textId="77777777">
        <w:tc>
          <w:tcPr>
            <w:tcW w:w="1019" w:type="dxa"/>
          </w:tcPr>
          <w:p w14:paraId="4774D1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земли (км/ч)</w:t>
            </w:r>
          </w:p>
        </w:tc>
        <w:tc>
          <w:tcPr>
            <w:tcW w:w="1019" w:type="dxa"/>
          </w:tcPr>
          <w:p w14:paraId="67A670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576</w:t>
            </w:r>
          </w:p>
        </w:tc>
        <w:tc>
          <w:tcPr>
            <w:tcW w:w="1019" w:type="dxa"/>
          </w:tcPr>
          <w:p w14:paraId="7738A9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576</w:t>
            </w:r>
          </w:p>
        </w:tc>
        <w:tc>
          <w:tcPr>
            <w:tcW w:w="1019" w:type="dxa"/>
          </w:tcPr>
          <w:p w14:paraId="53DC38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571</w:t>
            </w:r>
          </w:p>
        </w:tc>
        <w:tc>
          <w:tcPr>
            <w:tcW w:w="1019" w:type="dxa"/>
          </w:tcPr>
          <w:p w14:paraId="426D78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506</w:t>
            </w:r>
          </w:p>
        </w:tc>
        <w:tc>
          <w:tcPr>
            <w:tcW w:w="1019" w:type="dxa"/>
          </w:tcPr>
          <w:p w14:paraId="7CA73F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505</w:t>
            </w:r>
          </w:p>
        </w:tc>
        <w:tc>
          <w:tcPr>
            <w:tcW w:w="1019" w:type="dxa"/>
          </w:tcPr>
          <w:p w14:paraId="374532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556</w:t>
            </w:r>
          </w:p>
        </w:tc>
        <w:tc>
          <w:tcPr>
            <w:tcW w:w="1019" w:type="dxa"/>
          </w:tcPr>
          <w:p w14:paraId="74A077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549</w:t>
            </w:r>
          </w:p>
        </w:tc>
        <w:tc>
          <w:tcPr>
            <w:tcW w:w="1019" w:type="dxa"/>
          </w:tcPr>
          <w:p w14:paraId="4B1531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w:t>
            </w:r>
          </w:p>
        </w:tc>
      </w:tr>
      <w:tr w:rsidR="00860B4B" w:rsidRPr="00D03F3E" w14:paraId="56712E5E" w14:textId="77777777">
        <w:tc>
          <w:tcPr>
            <w:tcW w:w="1019" w:type="dxa"/>
          </w:tcPr>
          <w:p w14:paraId="328372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w:t>
            </w:r>
          </w:p>
        </w:tc>
        <w:tc>
          <w:tcPr>
            <w:tcW w:w="1019" w:type="dxa"/>
          </w:tcPr>
          <w:p w14:paraId="77DAE4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38296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63C1C5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BC3E7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592CF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C3393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1B42A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7CCCA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C6A5F25" w14:textId="77777777">
        <w:tc>
          <w:tcPr>
            <w:tcW w:w="1019" w:type="dxa"/>
          </w:tcPr>
          <w:p w14:paraId="4F0CA2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(км/ч)/на высоте (км)</w:t>
            </w:r>
          </w:p>
        </w:tc>
        <w:tc>
          <w:tcPr>
            <w:tcW w:w="1019" w:type="dxa"/>
          </w:tcPr>
          <w:p w14:paraId="32C192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701/6</w:t>
            </w:r>
          </w:p>
        </w:tc>
        <w:tc>
          <w:tcPr>
            <w:tcW w:w="1019" w:type="dxa"/>
          </w:tcPr>
          <w:p w14:paraId="472438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701/6</w:t>
            </w:r>
          </w:p>
        </w:tc>
        <w:tc>
          <w:tcPr>
            <w:tcW w:w="1019" w:type="dxa"/>
          </w:tcPr>
          <w:p w14:paraId="539E68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665/5</w:t>
            </w:r>
          </w:p>
        </w:tc>
        <w:tc>
          <w:tcPr>
            <w:tcW w:w="1019" w:type="dxa"/>
          </w:tcPr>
          <w:p w14:paraId="7F0912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611/6,4</w:t>
            </w:r>
          </w:p>
        </w:tc>
        <w:tc>
          <w:tcPr>
            <w:tcW w:w="1019" w:type="dxa"/>
          </w:tcPr>
          <w:p w14:paraId="1A2723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615/6,2</w:t>
            </w:r>
          </w:p>
        </w:tc>
        <w:tc>
          <w:tcPr>
            <w:tcW w:w="1019" w:type="dxa"/>
          </w:tcPr>
          <w:p w14:paraId="6A8E86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630/6,17</w:t>
            </w:r>
          </w:p>
        </w:tc>
        <w:tc>
          <w:tcPr>
            <w:tcW w:w="1019" w:type="dxa"/>
          </w:tcPr>
          <w:p w14:paraId="78D4FE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615/6,47</w:t>
            </w:r>
          </w:p>
        </w:tc>
        <w:tc>
          <w:tcPr>
            <w:tcW w:w="1019" w:type="dxa"/>
          </w:tcPr>
          <w:p w14:paraId="1E39D9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680/6,1</w:t>
            </w:r>
          </w:p>
        </w:tc>
      </w:tr>
      <w:tr w:rsidR="00860B4B" w:rsidRPr="00D03F3E" w14:paraId="726EE77C" w14:textId="77777777">
        <w:tc>
          <w:tcPr>
            <w:tcW w:w="1019" w:type="dxa"/>
          </w:tcPr>
          <w:p w14:paraId="07D0E6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высоты 5000 м (мин)</w:t>
            </w:r>
          </w:p>
        </w:tc>
        <w:tc>
          <w:tcPr>
            <w:tcW w:w="1019" w:type="dxa"/>
          </w:tcPr>
          <w:p w14:paraId="7429C6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w:t>
            </w:r>
          </w:p>
        </w:tc>
        <w:tc>
          <w:tcPr>
            <w:tcW w:w="1019" w:type="dxa"/>
          </w:tcPr>
          <w:p w14:paraId="01BC91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tc>
        <w:tc>
          <w:tcPr>
            <w:tcW w:w="1019" w:type="dxa"/>
          </w:tcPr>
          <w:p w14:paraId="3A36D0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w:t>
            </w:r>
          </w:p>
        </w:tc>
        <w:tc>
          <w:tcPr>
            <w:tcW w:w="1019" w:type="dxa"/>
          </w:tcPr>
          <w:p w14:paraId="63E94F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6,4</w:t>
            </w:r>
          </w:p>
        </w:tc>
        <w:tc>
          <w:tcPr>
            <w:tcW w:w="1019" w:type="dxa"/>
          </w:tcPr>
          <w:p w14:paraId="08A4C7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w:t>
            </w:r>
          </w:p>
        </w:tc>
        <w:tc>
          <w:tcPr>
            <w:tcW w:w="1019" w:type="dxa"/>
          </w:tcPr>
          <w:p w14:paraId="348A0C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w:t>
            </w:r>
          </w:p>
        </w:tc>
        <w:tc>
          <w:tcPr>
            <w:tcW w:w="1019" w:type="dxa"/>
          </w:tcPr>
          <w:p w14:paraId="2F0B95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tc>
        <w:tc>
          <w:tcPr>
            <w:tcW w:w="1019" w:type="dxa"/>
          </w:tcPr>
          <w:p w14:paraId="6A69A8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w:t>
            </w:r>
          </w:p>
        </w:tc>
      </w:tr>
      <w:tr w:rsidR="00860B4B" w:rsidRPr="00D03F3E" w14:paraId="0DB94406" w14:textId="77777777">
        <w:tc>
          <w:tcPr>
            <w:tcW w:w="1019" w:type="dxa"/>
          </w:tcPr>
          <w:p w14:paraId="23B37F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Потолок (м)</w:t>
            </w:r>
          </w:p>
        </w:tc>
        <w:tc>
          <w:tcPr>
            <w:tcW w:w="1019" w:type="dxa"/>
          </w:tcPr>
          <w:p w14:paraId="38296A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10250</w:t>
            </w:r>
          </w:p>
        </w:tc>
        <w:tc>
          <w:tcPr>
            <w:tcW w:w="1019" w:type="dxa"/>
          </w:tcPr>
          <w:p w14:paraId="27E968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10250</w:t>
            </w:r>
          </w:p>
        </w:tc>
        <w:tc>
          <w:tcPr>
            <w:tcW w:w="1019" w:type="dxa"/>
          </w:tcPr>
          <w:p w14:paraId="405364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10750</w:t>
            </w:r>
          </w:p>
        </w:tc>
        <w:tc>
          <w:tcPr>
            <w:tcW w:w="1019" w:type="dxa"/>
          </w:tcPr>
          <w:p w14:paraId="5A3BFA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9900</w:t>
            </w:r>
          </w:p>
        </w:tc>
        <w:tc>
          <w:tcPr>
            <w:tcW w:w="1019" w:type="dxa"/>
          </w:tcPr>
          <w:p w14:paraId="4A0E64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10000</w:t>
            </w:r>
          </w:p>
        </w:tc>
        <w:tc>
          <w:tcPr>
            <w:tcW w:w="1019" w:type="dxa"/>
          </w:tcPr>
          <w:p w14:paraId="253BCF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019" w:type="dxa"/>
          </w:tcPr>
          <w:p w14:paraId="029617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10450</w:t>
            </w:r>
          </w:p>
        </w:tc>
        <w:tc>
          <w:tcPr>
            <w:tcW w:w="1019" w:type="dxa"/>
          </w:tcPr>
          <w:p w14:paraId="531954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tc>
      </w:tr>
      <w:tr w:rsidR="00860B4B" w:rsidRPr="00D03F3E" w14:paraId="4FBF25D6" w14:textId="77777777">
        <w:tc>
          <w:tcPr>
            <w:tcW w:w="1019" w:type="dxa"/>
          </w:tcPr>
          <w:p w14:paraId="17735C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полета</w:t>
            </w:r>
          </w:p>
        </w:tc>
        <w:tc>
          <w:tcPr>
            <w:tcW w:w="1019" w:type="dxa"/>
          </w:tcPr>
          <w:p w14:paraId="3FB01E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627F74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E9708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31BDF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F69F9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F82BC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57C22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65617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DAF4FE8" w14:textId="77777777">
        <w:tc>
          <w:tcPr>
            <w:tcW w:w="1019" w:type="dxa"/>
            <w:tcBorders>
              <w:bottom w:val="single" w:sz="12" w:space="0" w:color="auto"/>
            </w:tcBorders>
          </w:tcPr>
          <w:p w14:paraId="731B73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нормальная/максимальная (км)</w:t>
            </w:r>
          </w:p>
        </w:tc>
        <w:tc>
          <w:tcPr>
            <w:tcW w:w="1019" w:type="dxa"/>
            <w:tcBorders>
              <w:bottom w:val="single" w:sz="12" w:space="0" w:color="auto"/>
            </w:tcBorders>
          </w:tcPr>
          <w:p w14:paraId="7F3C69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680/1100</w:t>
            </w:r>
          </w:p>
        </w:tc>
        <w:tc>
          <w:tcPr>
            <w:tcW w:w="1019" w:type="dxa"/>
            <w:tcBorders>
              <w:bottom w:val="single" w:sz="12" w:space="0" w:color="auto"/>
            </w:tcBorders>
          </w:tcPr>
          <w:p w14:paraId="4BA64C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680/1100</w:t>
            </w:r>
          </w:p>
        </w:tc>
        <w:tc>
          <w:tcPr>
            <w:tcW w:w="1019" w:type="dxa"/>
            <w:tcBorders>
              <w:bottom w:val="single" w:sz="12" w:space="0" w:color="auto"/>
            </w:tcBorders>
          </w:tcPr>
          <w:p w14:paraId="45E0F1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780/1100</w:t>
            </w:r>
          </w:p>
        </w:tc>
        <w:tc>
          <w:tcPr>
            <w:tcW w:w="1019" w:type="dxa"/>
            <w:tcBorders>
              <w:bottom w:val="single" w:sz="12" w:space="0" w:color="auto"/>
            </w:tcBorders>
          </w:tcPr>
          <w:p w14:paraId="61A106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962</w:t>
            </w:r>
          </w:p>
        </w:tc>
        <w:tc>
          <w:tcPr>
            <w:tcW w:w="1019" w:type="dxa"/>
            <w:tcBorders>
              <w:bottom w:val="single" w:sz="12" w:space="0" w:color="auto"/>
            </w:tcBorders>
          </w:tcPr>
          <w:p w14:paraId="7974AC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900</w:t>
            </w:r>
          </w:p>
        </w:tc>
        <w:tc>
          <w:tcPr>
            <w:tcW w:w="1019" w:type="dxa"/>
            <w:tcBorders>
              <w:bottom w:val="single" w:sz="12" w:space="0" w:color="auto"/>
            </w:tcBorders>
          </w:tcPr>
          <w:p w14:paraId="0BF951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895</w:t>
            </w:r>
          </w:p>
        </w:tc>
        <w:tc>
          <w:tcPr>
            <w:tcW w:w="1019" w:type="dxa"/>
            <w:tcBorders>
              <w:bottom w:val="single" w:sz="12" w:space="0" w:color="auto"/>
            </w:tcBorders>
          </w:tcPr>
          <w:p w14:paraId="76C8DD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1015/1380</w:t>
            </w:r>
          </w:p>
        </w:tc>
        <w:tc>
          <w:tcPr>
            <w:tcW w:w="1019" w:type="dxa"/>
            <w:tcBorders>
              <w:bottom w:val="single" w:sz="12" w:space="0" w:color="auto"/>
            </w:tcBorders>
          </w:tcPr>
          <w:p w14:paraId="12F28A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835</w:t>
            </w:r>
          </w:p>
        </w:tc>
      </w:tr>
    </w:tbl>
    <w:p w14:paraId="499965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крупнокалиберный пулемет БС (Березина, синхронный) в I940 г. обозначайся ТКБ-150 (12016).</w:t>
      </w:r>
    </w:p>
    <w:p w14:paraId="1CC961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B051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феврале—марте 1943 г. изготовили первые опытные образцы двигателя М-1. С 27 марта начались заводские испытания. В июле — августе состоялись 70-часовые заводские стендовые испытания. В ноябре того же года два опытных мотора установили на бомбардировщик Пе-2. Первый его полет с двигателями М-1 состоялся 16 декабря 1943 г. Летные испытания М-1 велись до февраля 1944 г.</w:t>
      </w:r>
    </w:p>
    <w:p w14:paraId="2B3D83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Разработка проекта двигателя М-116П осуществлялась в конструктор</w:t>
      </w:r>
      <w:r w:rsidRPr="00D03F3E">
        <w:rPr>
          <w:rFonts w:ascii="Times New Roman" w:hAnsi="Times New Roman"/>
          <w:color w:val="000000" w:themeColor="text1"/>
          <w:sz w:val="16"/>
          <w:szCs w:val="16"/>
        </w:rPr>
        <w:softHyphen/>
        <w:t>ском бюро завода № 16 в Казани с 1942 г. Он представлял собой мо</w:t>
      </w:r>
      <w:r w:rsidRPr="00D03F3E">
        <w:rPr>
          <w:rFonts w:ascii="Times New Roman" w:hAnsi="Times New Roman"/>
          <w:color w:val="000000" w:themeColor="text1"/>
          <w:sz w:val="16"/>
          <w:szCs w:val="16"/>
        </w:rPr>
        <w:softHyphen/>
        <w:t>дернизацию серийного двигателя М-105П (впоследствии М-105ПФ). На нем вернулись к диаметру цилиндра 150 мм (как на М-103), ввели новые гильзы, четырехклапанный механизм газораспределения с улучшенной гидравликой, усиленные коленвал и редуктор, усовершенствовали охлажде</w:t>
      </w:r>
      <w:r w:rsidRPr="00D03F3E">
        <w:rPr>
          <w:rFonts w:ascii="Times New Roman" w:hAnsi="Times New Roman"/>
          <w:color w:val="000000" w:themeColor="text1"/>
          <w:sz w:val="16"/>
          <w:szCs w:val="16"/>
        </w:rPr>
        <w:softHyphen/>
        <w:t>ние верхней части блока, изменили схему смазки коренных подшипников, внесли еще ряд мелких изменений. По сравнению с М-105ПФ мотор фор</w:t>
      </w:r>
      <w:r w:rsidRPr="00D03F3E">
        <w:rPr>
          <w:rFonts w:ascii="Times New Roman" w:hAnsi="Times New Roman"/>
          <w:color w:val="000000" w:themeColor="text1"/>
          <w:sz w:val="16"/>
          <w:szCs w:val="16"/>
        </w:rPr>
        <w:softHyphen/>
        <w:t>сировали по оборотам. В серийное производство М-1 не запускался, поскольку сочли, что он менее унифицирован с М-105ПФ, чем М-107А (ВК-107А).</w:t>
      </w:r>
    </w:p>
    <w:p w14:paraId="71DC420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Характеристики:</w:t>
      </w:r>
    </w:p>
    <w:p w14:paraId="29DD29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12-цилиндровый, У-образный рядный, четырехтактный, жидкостно</w:t>
      </w:r>
      <w:r w:rsidRPr="00D03F3E">
        <w:rPr>
          <w:rFonts w:ascii="Times New Roman" w:hAnsi="Times New Roman"/>
          <w:color w:val="000000" w:themeColor="text1"/>
          <w:sz w:val="16"/>
          <w:szCs w:val="16"/>
        </w:rPr>
        <w:softHyphen/>
        <w:t>го охлаждения, редукторный, с одноступенчатым двухскоростным ПЦН;</w:t>
      </w:r>
    </w:p>
    <w:p w14:paraId="24877D3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диаметр цилиндра/ход поршня 150/170 мм;</w:t>
      </w:r>
    </w:p>
    <w:p w14:paraId="7CDB90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объем 36,0 л;</w:t>
      </w:r>
    </w:p>
    <w:p w14:paraId="0E53CE2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степень сжатия 6,6;</w:t>
      </w:r>
    </w:p>
    <w:p w14:paraId="4018AA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мощность 1300/1500 л.с.:</w:t>
      </w:r>
    </w:p>
    <w:p w14:paraId="0D4B0B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вес 660 кг.</w:t>
      </w:r>
    </w:p>
    <w:p w14:paraId="12F842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М-1 устанавливался на переделанном серийном самолете Пе-2. Его пред</w:t>
      </w:r>
      <w:r w:rsidRPr="00D03F3E">
        <w:rPr>
          <w:rFonts w:ascii="Times New Roman" w:hAnsi="Times New Roman"/>
          <w:color w:val="000000" w:themeColor="text1"/>
          <w:sz w:val="16"/>
          <w:szCs w:val="16"/>
        </w:rPr>
        <w:softHyphen/>
        <w:t>полагали также установить на одном из истребителей А.С. Яковлева (11852).</w:t>
      </w:r>
    </w:p>
    <w:p w14:paraId="5916F08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1575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феврале-мае 1943 г. под Ленинградом во 2-м гвардейском корпусе ПВО были проведены официальные войсковые испытания Пе-2 с РЛС “Гнейс-2”. При перехвате воздушных целей истребители наводились наземными РЛС дальнего обнаружения “Редут”. Председателем комиссии по проведению испытаний был командир корпуса Герой Советского Союза генерал-майор Е.Е. Ерлыкин, от разработчика в работе участвовал В.В. Тихомиров и от НИИ ВВС - инженер Е.С. Штейн.</w:t>
      </w:r>
    </w:p>
    <w:p w14:paraId="32430A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Параллельно продолжались испытания “Гнейса-2” на истребителе Пе-3 в НИИ ВВС, задачей которых была выработка рациональной тактики перехвата воздушных целей. Наведение на самолет противника производилось в два этапа: на первом - по командам оператора наземной РЛС “Пегматит” с дальностью действия 100 км, а на заключительном - с использованием бортовой станции. Совместная работа двух приборов исключалась из-за помех, создаваемых передатчиком “Гнейса”. От оператора “Пегматита” требовалось вывести “пешку” в заднюю полусферу неприятельского самолета на дистанцию не более 3000-3500 м. Атака становилась наиболее вероятной, если истребитель в момент захвата цели заходил ей строго в хвост, либо летел под небольшим углом к ее продольной оси. Естественно, обеспечение столь точного выхода на цель с учетом несовершенства тогдашней аппаратуры было делом непростым, требовало высокой согласованности и взаимопонимания между оператором наземной РЛС и пилотом истребителя. Недаром в выводах по испытаниям записали: “решающее значение имеет уровень подготовки операторов наведения...” (4476).</w:t>
      </w:r>
    </w:p>
    <w:p w14:paraId="50E3B7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F752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феврале – мае 1943 г. РЛС «Гнейс-2» проходила боевые испытания под Ленинградом. Председателем комиссии по проведению этих испытаний был командир авиационного истребительного корпуса Ленинградской армии ПВО Герой Советского Союза генерал-майо:р авиации Е. Е. Ерлыкин. Его заместителями были Герой Советского Союза полковник Н. Д. Антонов и инженер-майор Е. С. Штейн. В испытаниях участвовали руководитель разработки В. В. Тихомиров, заместитель </w:t>
      </w:r>
      <w:r w:rsidRPr="00D03F3E">
        <w:rPr>
          <w:rFonts w:ascii="Times New Roman" w:hAnsi="Times New Roman"/>
          <w:color w:val="000000" w:themeColor="text1"/>
          <w:sz w:val="16"/>
          <w:szCs w:val="16"/>
        </w:rPr>
        <w:lastRenderedPageBreak/>
        <w:t>командира 24-го гвардейского истребительного полка Герой Советского Союза майор В. А. Мациевич и др. (11026)</w:t>
      </w:r>
    </w:p>
    <w:p w14:paraId="0D1F1D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ABBF6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феврале-марте 1943 г. по заданию наркомата авиапромышленности на московс</w:t>
      </w:r>
      <w:r w:rsidRPr="00D03F3E">
        <w:rPr>
          <w:rFonts w:ascii="Times New Roman" w:hAnsi="Times New Roman"/>
          <w:color w:val="000000" w:themeColor="text1"/>
          <w:sz w:val="16"/>
          <w:szCs w:val="16"/>
        </w:rPr>
        <w:softHyphen/>
        <w:t>ком авиазаводе №81 началась работа по под</w:t>
      </w:r>
      <w:r w:rsidRPr="00D03F3E">
        <w:rPr>
          <w:rFonts w:ascii="Times New Roman" w:hAnsi="Times New Roman"/>
          <w:color w:val="000000" w:themeColor="text1"/>
          <w:sz w:val="16"/>
          <w:szCs w:val="16"/>
        </w:rPr>
        <w:softHyphen/>
        <w:t>готовке серийного производства И-185. Туда передали «образцовый» самолет для ремонта и изучения (при дополнительных испытаниях он получил небольшие повреждения). Работы шли медленно, а в апреле прекра</w:t>
      </w:r>
      <w:r w:rsidRPr="00D03F3E">
        <w:rPr>
          <w:rFonts w:ascii="Times New Roman" w:hAnsi="Times New Roman"/>
          <w:color w:val="000000" w:themeColor="text1"/>
          <w:sz w:val="16"/>
          <w:szCs w:val="16"/>
        </w:rPr>
        <w:softHyphen/>
        <w:t>тились вовсе (9979).</w:t>
      </w:r>
    </w:p>
    <w:p w14:paraId="40DA36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687D0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59912A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16140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 марте 1943 г. конструкторским бюро СКБ-2 ЧКЗ под руководством Н.Л. Ду</w:t>
      </w:r>
      <w:r w:rsidRPr="00D03F3E">
        <w:rPr>
          <w:rFonts w:ascii="Times New Roman" w:hAnsi="Times New Roman"/>
          <w:color w:val="000000" w:themeColor="text1"/>
          <w:sz w:val="16"/>
          <w:szCs w:val="16"/>
        </w:rPr>
        <w:softHyphen/>
        <w:t>хова был разработан Танк "Объект 233" (ИС № 1). Общее руководство осуществлял Ж.Я. Котин. Ведущим инжене</w:t>
      </w:r>
      <w:r w:rsidRPr="00D03F3E">
        <w:rPr>
          <w:rFonts w:ascii="Times New Roman" w:hAnsi="Times New Roman"/>
          <w:color w:val="000000" w:themeColor="text1"/>
          <w:sz w:val="16"/>
          <w:szCs w:val="16"/>
        </w:rPr>
        <w:softHyphen/>
        <w:t>ром машины был М.Ф. Балжи. Опытный образец танка, получивший наименование "Иосиф Сталин № 1" (ИС № 1), был изготовлен в марте 1943 г. совместными усилиями трех заводов - ЧКЗ, № 100 и № 200 и с 22 марта по 3 апреля 1943 г. прошел заводские испытания в районе Че</w:t>
      </w:r>
      <w:r w:rsidRPr="00D03F3E">
        <w:rPr>
          <w:rFonts w:ascii="Times New Roman" w:hAnsi="Times New Roman"/>
          <w:color w:val="000000" w:themeColor="text1"/>
          <w:sz w:val="16"/>
          <w:szCs w:val="16"/>
        </w:rPr>
        <w:softHyphen/>
        <w:t>лябинска. Дальнейшие работы по усовершенствованию опытного об</w:t>
      </w:r>
      <w:r w:rsidRPr="00D03F3E">
        <w:rPr>
          <w:rFonts w:ascii="Times New Roman" w:hAnsi="Times New Roman"/>
          <w:color w:val="000000" w:themeColor="text1"/>
          <w:sz w:val="16"/>
          <w:szCs w:val="16"/>
        </w:rPr>
        <w:softHyphen/>
        <w:t>разца привели к созданию танка "Объект 237". Опытный образец танка ИС № 1 был разработан и изготовлен на ба</w:t>
      </w:r>
      <w:r w:rsidRPr="00D03F3E">
        <w:rPr>
          <w:rFonts w:ascii="Times New Roman" w:hAnsi="Times New Roman"/>
          <w:color w:val="000000" w:themeColor="text1"/>
          <w:sz w:val="16"/>
          <w:szCs w:val="16"/>
        </w:rPr>
        <w:softHyphen/>
        <w:t>зе узлов и агрегатов второго варианта среднего танка КВ-13 ("Объект 233") и поэтому имел то же заводское обозначение "Объект 233". В со</w:t>
      </w:r>
      <w:r w:rsidRPr="00D03F3E">
        <w:rPr>
          <w:rFonts w:ascii="Times New Roman" w:hAnsi="Times New Roman"/>
          <w:color w:val="000000" w:themeColor="text1"/>
          <w:sz w:val="16"/>
          <w:szCs w:val="16"/>
        </w:rPr>
        <w:softHyphen/>
        <w:t>став экипажа входили четыре человека. Боевая машина имела классиче</w:t>
      </w:r>
      <w:r w:rsidRPr="00D03F3E">
        <w:rPr>
          <w:rFonts w:ascii="Times New Roman" w:hAnsi="Times New Roman"/>
          <w:color w:val="000000" w:themeColor="text1"/>
          <w:sz w:val="16"/>
          <w:szCs w:val="16"/>
        </w:rPr>
        <w:softHyphen/>
        <w:t>скую схему общей компоновки (10703).</w:t>
      </w:r>
    </w:p>
    <w:p w14:paraId="370B4EB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D7E48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 марте 1943 г. конструкторским бюро СКБ-2 ЧКЗ под общим руководством Ж.Я. Котина был разработан Танк "Объект 234" (ИС № 2). Ведущим инженером машины был М.Ф. Балжи. Опыт</w:t>
      </w:r>
      <w:r w:rsidRPr="00D03F3E">
        <w:rPr>
          <w:rFonts w:ascii="Times New Roman" w:hAnsi="Times New Roman"/>
          <w:color w:val="000000" w:themeColor="text1"/>
          <w:sz w:val="16"/>
          <w:szCs w:val="16"/>
        </w:rPr>
        <w:softHyphen/>
        <w:t>ный образец танка, получивший наименование "Иосиф Сталин № 2" (ИС № 2) был изготовлен весной 1943 г. совместными усилиями трех заводов - ЧКЗ, № 100 и № 200 и с 22 марта по 3 апреля 1943 г. прошел заводские испытания в районе Челябинска. Дальнейшие работы по усо</w:t>
      </w:r>
      <w:r w:rsidRPr="00D03F3E">
        <w:rPr>
          <w:rFonts w:ascii="Times New Roman" w:hAnsi="Times New Roman"/>
          <w:color w:val="000000" w:themeColor="text1"/>
          <w:sz w:val="16"/>
          <w:szCs w:val="16"/>
        </w:rPr>
        <w:softHyphen/>
        <w:t>вершенствованию опытного образца привели к созданию танка "Объект 237". Танк ИС № 2 был создан на базе узлов и агрегатов второго варианта среднего танка КВ-13 ("Объект 233") с использованием башни с воору</w:t>
      </w:r>
      <w:r w:rsidRPr="00D03F3E">
        <w:rPr>
          <w:rFonts w:ascii="Times New Roman" w:hAnsi="Times New Roman"/>
          <w:color w:val="000000" w:themeColor="text1"/>
          <w:sz w:val="16"/>
          <w:szCs w:val="16"/>
        </w:rPr>
        <w:softHyphen/>
        <w:t>жением от опытного танка КВ-9. Экипаж танка состоял из пяти чело</w:t>
      </w:r>
      <w:r w:rsidRPr="00D03F3E">
        <w:rPr>
          <w:rFonts w:ascii="Times New Roman" w:hAnsi="Times New Roman"/>
          <w:color w:val="000000" w:themeColor="text1"/>
          <w:sz w:val="16"/>
          <w:szCs w:val="16"/>
        </w:rPr>
        <w:softHyphen/>
        <w:t>век. Машина имела классическую схему общей компоновки. Корпус танка был разделен на четыре отделения: управления, боевое, моторное и трансмиссионное (10703).</w:t>
      </w:r>
    </w:p>
    <w:p w14:paraId="4067CA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DB91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феврале-марте 1943 г машины Су-122 второй серии получили упрощенную маску орудия и ряд крупных изменений в интерьере САУ. Для них повсеместно ввели цилиндрические дополнительные топливные и маслобаки, вместо сварных призматических, устанавливаемых на машинах первой серии. Однако до лета 1943 г. эти баки не были унифицированы с топливными баками Т-34 (4017).</w:t>
      </w:r>
    </w:p>
    <w:p w14:paraId="4A775C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2AEB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 марте 1943 г. на заводе № 9 НКВ был разработан про</w:t>
      </w:r>
      <w:r w:rsidRPr="00D03F3E">
        <w:rPr>
          <w:rFonts w:ascii="Times New Roman" w:hAnsi="Times New Roman"/>
          <w:color w:val="000000" w:themeColor="text1"/>
          <w:sz w:val="16"/>
          <w:szCs w:val="16"/>
        </w:rPr>
        <w:softHyphen/>
        <w:t>ект установки в башню танка "Объект 234" 122-мм гаубицы Д-12 вмес</w:t>
      </w:r>
      <w:r w:rsidRPr="00D03F3E">
        <w:rPr>
          <w:rFonts w:ascii="Times New Roman" w:hAnsi="Times New Roman"/>
          <w:color w:val="000000" w:themeColor="text1"/>
          <w:sz w:val="16"/>
          <w:szCs w:val="16"/>
        </w:rPr>
        <w:softHyphen/>
        <w:t>то гаубицы У-11. Гаубица Д-12 была более надежной и простой в произ</w:t>
      </w:r>
      <w:r w:rsidRPr="00D03F3E">
        <w:rPr>
          <w:rFonts w:ascii="Times New Roman" w:hAnsi="Times New Roman"/>
          <w:color w:val="000000" w:themeColor="text1"/>
          <w:sz w:val="16"/>
          <w:szCs w:val="16"/>
        </w:rPr>
        <w:softHyphen/>
        <w:t>водстве и имела меньшую на 100 кг массу (10703).</w:t>
      </w:r>
    </w:p>
    <w:p w14:paraId="6993D6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A181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февраля до декабря 1943 г. осуществлялось серийное про</w:t>
      </w:r>
      <w:r w:rsidRPr="00D03F3E">
        <w:rPr>
          <w:rFonts w:ascii="Times New Roman" w:hAnsi="Times New Roman"/>
          <w:color w:val="000000" w:themeColor="text1"/>
          <w:sz w:val="16"/>
          <w:szCs w:val="16"/>
        </w:rPr>
        <w:softHyphen/>
        <w:t>изводство самоходной установки СУ-152. Всего было выпущено 670 машин. Самоходная установ</w:t>
      </w:r>
      <w:r w:rsidRPr="00D03F3E">
        <w:rPr>
          <w:rFonts w:ascii="Times New Roman" w:hAnsi="Times New Roman"/>
          <w:color w:val="000000" w:themeColor="text1"/>
          <w:sz w:val="16"/>
          <w:szCs w:val="16"/>
        </w:rPr>
        <w:softHyphen/>
        <w:t>ка СУ-152 получила широкую известность во время Курской битвы ле</w:t>
      </w:r>
      <w:r w:rsidRPr="00D03F3E">
        <w:rPr>
          <w:rFonts w:ascii="Times New Roman" w:hAnsi="Times New Roman"/>
          <w:color w:val="000000" w:themeColor="text1"/>
          <w:sz w:val="16"/>
          <w:szCs w:val="16"/>
        </w:rPr>
        <w:softHyphen/>
        <w:t>том 1943 г., когда она использовалась как мощное противотанковое средство для уничтожения немецких танков Т-У "Пантера" и Т-У1 "Тигр-1" (10703).</w:t>
      </w:r>
    </w:p>
    <w:p w14:paraId="39E4780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DC991B" w14:textId="77777777" w:rsidR="00394721" w:rsidRPr="00D03F3E" w:rsidRDefault="0039472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феврале-марте 1943 года, когда началось по-настоящему массовое производство СУ-12 проблемы с коробками передач стали проявляться по-настоящему. Если за январь отправка с завода №38 составила всего 35 машин, то в феврале Киров покинули 94 САУ, а в марте – 96. Тревогу забили в конце февраля 1943 года. Согласно докладу, датированному 25 числом, по причинам дефекта КПП из строя вышло 79 машин, то есть 45% от выпущенных на тот момент СУ-12! Из них 38 вышло из строя в ходе заводских испытаний, 19 в войсках, еще 4 (из 5 участвовавших) сломалось на испытаниях в Московском артцентре. И это ещё до того, как на машину установили крышу, которая добавила массы к уже имевшимся 11 тоннам.</w:t>
      </w:r>
    </w:p>
    <w:p w14:paraId="05EA5304" w14:textId="77777777" w:rsidR="00394721" w:rsidRPr="00D03F3E" w:rsidRDefault="0039472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Ситуация выглядела катастрофично. Стоит отметить, что в Кирове не сидели, сложа руки. Расследование, которое в марте 1943 года провело КБ завода №38 (без участия Гинзбурга), позволило частично решить проблемы. Предложенные возглавляемым Щукиным коллективом меры сводились к усилению днища, введению в КПП упругой муфты и установке двигателей на резиновых амортизаторах. Тем не менее, уже тогда заводское руководство прямо указало на то, что плоха сама система с параллельным расположением двигателей. Полного устранения неполадок КБ не гарантировало.</w:t>
      </w:r>
    </w:p>
    <w:p w14:paraId="097F6865" w14:textId="77777777" w:rsidR="00394721" w:rsidRPr="00D03F3E" w:rsidRDefault="0039472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Реальным выходом из ситуации, по мнению Щукина, могло стать радикальное изменение моторно-трансмиссионной группы, а именно – переход на схему, использовавшуюся на танке Т-70. Наверху с ним согласились, была запущена программа разработки СУ-38, СУ-15 и СУ-16. Одновременно в конструкцию серийных машин вводились изменения, которые должны были улучшить ситуацию с коробками передач. Помимо усиленного днища, установки моторов на резиновых амортизаторах и замены жестких зубчаток соединительных муфт на упругие, были внесены и другие изменения. Систему рычажного управления КПП заменили на поводковую, а бортовые фрикционы ослабили на 25%.</w:t>
      </w:r>
    </w:p>
    <w:p w14:paraId="77D4970C" w14:textId="77777777" w:rsidR="00394721" w:rsidRPr="00D03F3E" w:rsidRDefault="0039472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Благодаря введённым заводом №38 изменениям в конструкцию аварийность немного снизилась, но всё равно осталась высокой. Дело приняло настолько серьезный оборот, что по указанию Сталина СУ-12 были изъяты из самоходных артиллерийских полков. Согласно постановлению ГКО №3184 от 14 апреля 1943 года, на заводе №38 были созданы специальные бригады, которые ездили по частям, укомплектованным СУ-12 раннего выпуска и на месте производили их модернизацию. В качестве дополнительной меры по улучшению надежности были введены дополнительные фрикционные муфты между главными передачами. Модернизированные подобным образом САУ ряд авторов называет СУ-12М, однако ни этот индекс, ни СУ-76М в переписке по отношению к этим машинам не использовался.</w:t>
      </w:r>
    </w:p>
    <w:p w14:paraId="31B39595" w14:textId="77777777" w:rsidR="00394721" w:rsidRPr="00D03F3E" w:rsidRDefault="0039472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Но все эти меры оказались недостаточными. Коробки передач продолжали массово ломаться, терпение у руководства ГКО заканчивалось. В мае был разработан проект постановления ГКО под подписью Сталина, согласно которому дальнейший выпуск СУ-76 (так с мая 1943 года стали называть СУ-12) планировалось прекратить после того, как был бы использован задел готовых корпусов, имевшийся по состоянию на 1 июня. Гром грянул 7 июня 1943 года, когда вышло постановление ГКО №3530 «О самоходных установках СУ-76» (17699).</w:t>
      </w:r>
    </w:p>
    <w:p w14:paraId="517E3019" w14:textId="77777777" w:rsidR="00394721" w:rsidRPr="00D03F3E" w:rsidRDefault="00394721" w:rsidP="00D03F3E">
      <w:pPr>
        <w:pStyle w:val="12a"/>
        <w:shd w:val="clear" w:color="auto" w:fill="auto"/>
        <w:spacing w:after="0" w:line="240" w:lineRule="auto"/>
        <w:jc w:val="both"/>
        <w:rPr>
          <w:color w:val="000000" w:themeColor="text1"/>
          <w:sz w:val="16"/>
          <w:szCs w:val="16"/>
        </w:rPr>
      </w:pPr>
    </w:p>
    <w:p w14:paraId="7108070C" w14:textId="77777777" w:rsidR="008C56B3" w:rsidRPr="00D03F3E" w:rsidRDefault="008C56B3" w:rsidP="00D03F3E">
      <w:pPr>
        <w:pStyle w:val="a3"/>
        <w:rPr>
          <w:color w:val="000000" w:themeColor="text1"/>
          <w:lang w:val="ru-RU"/>
        </w:rPr>
      </w:pPr>
      <w:r w:rsidRPr="00D03F3E">
        <w:rPr>
          <w:color w:val="000000" w:themeColor="text1"/>
          <w:lang w:val="ru-RU"/>
        </w:rPr>
        <w:t>В феврале-марте 1943 г., до контрнаступления немецких войск, на заводе № 75 осуществлялся ремонт танков и танковых ди</w:t>
      </w:r>
      <w:r w:rsidRPr="00D03F3E">
        <w:rPr>
          <w:color w:val="000000" w:themeColor="text1"/>
          <w:lang w:val="ru-RU"/>
        </w:rPr>
        <w:softHyphen/>
        <w:t>зелей для обслуживания прифронтовой поло</w:t>
      </w:r>
      <w:r w:rsidRPr="00D03F3E">
        <w:rPr>
          <w:color w:val="000000" w:themeColor="text1"/>
          <w:lang w:val="ru-RU"/>
        </w:rPr>
        <w:softHyphen/>
        <w:t>сы (15748).</w:t>
      </w:r>
    </w:p>
    <w:p w14:paraId="5C033AA3" w14:textId="77777777" w:rsidR="008C56B3" w:rsidRPr="00D03F3E" w:rsidRDefault="008C56B3" w:rsidP="00D03F3E">
      <w:pPr>
        <w:pStyle w:val="a3"/>
        <w:rPr>
          <w:color w:val="000000" w:themeColor="text1"/>
          <w:lang w:val="ru-RU"/>
        </w:rPr>
      </w:pPr>
    </w:p>
    <w:p w14:paraId="02ED72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 апреле 1943 г. РЛС «Турмалин», работавшую на волне 1,5 м с излучающей мощностью 250 кВт проходила на НИЗАП ГАУ испытания (инженер-испытатель В. А. Калачев) (Архив МО СССР, ф. 81, оп. 12048, д. 83, л. 243–248) и показала несоответствие характеристик предусмотренным тактико-техническим требованиям ГАУ. Так, например, при дальности обнаружения самолета 45 км дальность пеленгования не превышала 13 км. Из-за нескольких провалов (мертвых зон) в диаграмме направленности антенны терялось наблюдение за самолетами на высотах 1000, 4000 и 7000 м и на дальностях 6–8, 20–30 и 37–40 км соответственно. Энергетический потенциал станции «Турмалин» оказался явно недостаточным. На основе анализа сравнительных достоинств и недостатков «Турмалина» и СОН-2от ГАУ пришло к выводу, что, несмотря на ряд существенных положительных качеств станции «Турмалин» (компактность, быстрота перехода в боевую готовность, упрощенное обслуживание и значительно меньшая трудоемкость в производстве), она не могла удовлетворить требования войск. Можно было доработать образец и устранить отмеченные недостатки, но на это требовалось дополнительное время и затрата сил института, до предела загруженного другими, успешно идущими разработками РЛС и серийным выпуском новой техники (11026).</w:t>
      </w:r>
    </w:p>
    <w:p w14:paraId="6A60D3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B9ED2A"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феврале-мае 1943 года самолетная радиолокационная станция «Гнейс-2» прошла под Ленинградом этап боевых испытаний, результаты которых обсуждались в аппарате ЦК ВКП(б) под руководством заместителя заведующего отделом авиационной промышленности Николая Сергеевича Шиманова. После этого, по предложению командования ВВС и войск ПВО, станция постановлением Государственного комитета обороны (ГКО) СССР от 16 июня 1943 года была принята на вооружение, а к концу 1944 года НИИ радиопромышленности, возвращенный из эвакуации, совместно с НИИ ВВС передали в войска уже более 230 радиолокационных станций «Гнейс-2» (22709).</w:t>
      </w:r>
    </w:p>
    <w:p w14:paraId="6BCC1256" w14:textId="77777777" w:rsidR="00B00BF5" w:rsidRPr="00D03F3E" w:rsidRDefault="00B00BF5" w:rsidP="00D03F3E">
      <w:pPr>
        <w:spacing w:after="0" w:line="240" w:lineRule="auto"/>
        <w:jc w:val="both"/>
        <w:rPr>
          <w:rFonts w:ascii="Times New Roman" w:hAnsi="Times New Roman"/>
          <w:color w:val="0070C0"/>
          <w:sz w:val="16"/>
          <w:szCs w:val="16"/>
        </w:rPr>
      </w:pPr>
    </w:p>
    <w:p w14:paraId="1F8BED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феврале—июле 1943 г. Северному флоту заводом 112 были сданы пять однотипных лодок, которые завод 112 достраивал и сдавал в 1942—1943 гг. в Молотовске с частичным участием завода 402. Это были М-104 ("Ярославский комсомолец"), М-105 ("Челябинский комсомолец"), М-106 ("Ленинский комсомол"), М-107 ("Новоси</w:t>
      </w:r>
      <w:r w:rsidRPr="00D03F3E">
        <w:rPr>
          <w:rFonts w:ascii="Times New Roman" w:hAnsi="Times New Roman"/>
          <w:color w:val="000000" w:themeColor="text1"/>
          <w:sz w:val="16"/>
          <w:szCs w:val="16"/>
        </w:rPr>
        <w:softHyphen/>
        <w:t>бирский комсомолец") и М-108. Руководителем постройки подвесных лодок на заводе 112 во время войны был инженер М. И. Лернер (3898).</w:t>
      </w:r>
    </w:p>
    <w:p w14:paraId="561166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84331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0EA919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31FE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и марте 1943 последовали новые операции, целью которых являлось расширение коридора, связывавшего Ленинград с центральными районами страны. К сожалению, успехами они не увенчались, хотя и отняли много времени и сил (9965).</w:t>
      </w:r>
    </w:p>
    <w:p w14:paraId="00F8AB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21BD3A" w14:textId="31ACDD9C" w:rsidR="00B00BF5" w:rsidRPr="00D03F3E" w:rsidRDefault="00B00BF5"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D03F3E">
        <w:rPr>
          <w:rFonts w:ascii="Times New Roman" w:hAnsi="Times New Roman"/>
          <w:i/>
          <w:iCs/>
          <w:color w:val="000000" w:themeColor="text1"/>
          <w:sz w:val="16"/>
          <w:szCs w:val="16"/>
        </w:rPr>
        <w:lastRenderedPageBreak/>
        <w:t>За рубежом:</w:t>
      </w:r>
    </w:p>
    <w:p w14:paraId="0DD13087" w14:textId="77777777" w:rsidR="00B00BF5" w:rsidRPr="00D03F3E" w:rsidRDefault="00B00BF5"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FBE7786"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В феврале-ап</w:t>
      </w:r>
      <w:r w:rsidRPr="00D03F3E">
        <w:rPr>
          <w:rFonts w:ascii="Times New Roman" w:hAnsi="Times New Roman"/>
          <w:color w:val="0070C0"/>
          <w:sz w:val="16"/>
          <w:szCs w:val="16"/>
          <w:lang w:eastAsia="ru-RU" w:bidi="ru-RU"/>
        </w:rPr>
        <w:softHyphen/>
        <w:t xml:space="preserve">реле 1943 года, из-за опасений, что строительство больших подлодок </w:t>
      </w:r>
      <w:r w:rsidRPr="00D03F3E">
        <w:rPr>
          <w:rFonts w:ascii="Times New Roman" w:hAnsi="Times New Roman"/>
          <w:color w:val="0070C0"/>
          <w:sz w:val="16"/>
          <w:szCs w:val="16"/>
          <w:lang w:val="en-US" w:bidi="en-US"/>
        </w:rPr>
        <w:t>STo</w:t>
      </w:r>
      <w:r w:rsidRPr="00D03F3E">
        <w:rPr>
          <w:rFonts w:ascii="Times New Roman" w:hAnsi="Times New Roman"/>
          <w:color w:val="0070C0"/>
          <w:sz w:val="16"/>
          <w:szCs w:val="16"/>
          <w:lang w:bidi="en-US"/>
        </w:rPr>
        <w:t xml:space="preserve">, </w:t>
      </w:r>
      <w:r w:rsidRPr="00D03F3E">
        <w:rPr>
          <w:rFonts w:ascii="Times New Roman" w:hAnsi="Times New Roman"/>
          <w:color w:val="0070C0"/>
          <w:sz w:val="16"/>
          <w:szCs w:val="16"/>
          <w:lang w:eastAsia="ru-RU" w:bidi="ru-RU"/>
        </w:rPr>
        <w:t>может затянуться, для 1-й подводной ударной флотилии, предназначенной для разрушения шлюзов Панамского канала в августе 1945, были заложены и менее крупные лод</w:t>
      </w:r>
      <w:r w:rsidRPr="00D03F3E">
        <w:rPr>
          <w:rFonts w:ascii="Times New Roman" w:hAnsi="Times New Roman"/>
          <w:color w:val="0070C0"/>
          <w:sz w:val="16"/>
          <w:szCs w:val="16"/>
          <w:lang w:eastAsia="ru-RU" w:bidi="ru-RU"/>
        </w:rPr>
        <w:softHyphen/>
        <w:t xml:space="preserve">ки-авианосцы 1-13 и 1-14 (типа </w:t>
      </w:r>
      <w:r w:rsidRPr="00D03F3E">
        <w:rPr>
          <w:rFonts w:ascii="Times New Roman" w:hAnsi="Times New Roman"/>
          <w:color w:val="0070C0"/>
          <w:sz w:val="16"/>
          <w:szCs w:val="16"/>
          <w:lang w:val="en-US" w:bidi="en-US"/>
        </w:rPr>
        <w:t>AM</w:t>
      </w:r>
      <w:r w:rsidRPr="00D03F3E">
        <w:rPr>
          <w:rFonts w:ascii="Times New Roman" w:hAnsi="Times New Roman"/>
          <w:color w:val="0070C0"/>
          <w:sz w:val="16"/>
          <w:szCs w:val="16"/>
          <w:lang w:bidi="en-US"/>
        </w:rPr>
        <w:t xml:space="preserve">). </w:t>
      </w:r>
      <w:r w:rsidRPr="00D03F3E">
        <w:rPr>
          <w:rFonts w:ascii="Times New Roman" w:hAnsi="Times New Roman"/>
          <w:color w:val="0070C0"/>
          <w:sz w:val="16"/>
          <w:szCs w:val="16"/>
          <w:lang w:eastAsia="ru-RU" w:bidi="ru-RU"/>
        </w:rPr>
        <w:t xml:space="preserve">Проект лодок типа </w:t>
      </w:r>
      <w:r w:rsidRPr="00D03F3E">
        <w:rPr>
          <w:rFonts w:ascii="Times New Roman" w:hAnsi="Times New Roman"/>
          <w:color w:val="0070C0"/>
          <w:sz w:val="16"/>
          <w:szCs w:val="16"/>
          <w:lang w:val="en-US" w:bidi="en-US"/>
        </w:rPr>
        <w:t>AM</w:t>
      </w:r>
      <w:r w:rsidRPr="00D03F3E">
        <w:rPr>
          <w:rFonts w:ascii="Times New Roman" w:hAnsi="Times New Roman"/>
          <w:color w:val="0070C0"/>
          <w:sz w:val="16"/>
          <w:szCs w:val="16"/>
          <w:lang w:bidi="en-US"/>
        </w:rPr>
        <w:t xml:space="preserve"> </w:t>
      </w:r>
      <w:r w:rsidRPr="00D03F3E">
        <w:rPr>
          <w:rFonts w:ascii="Times New Roman" w:hAnsi="Times New Roman"/>
          <w:color w:val="0070C0"/>
          <w:sz w:val="16"/>
          <w:szCs w:val="16"/>
          <w:lang w:eastAsia="ru-RU" w:bidi="ru-RU"/>
        </w:rPr>
        <w:t>представлял собой модернизацию крейсерских лодок типа А2.</w:t>
      </w:r>
      <w:r w:rsidRPr="00D03F3E">
        <w:rPr>
          <w:rFonts w:ascii="Times New Roman" w:hAnsi="Times New Roman"/>
          <w:color w:val="0070C0"/>
          <w:sz w:val="16"/>
          <w:szCs w:val="16"/>
        </w:rPr>
        <w:t xml:space="preserve"> Лодки типа </w:t>
      </w:r>
      <w:r w:rsidRPr="00D03F3E">
        <w:rPr>
          <w:rFonts w:ascii="Times New Roman" w:hAnsi="Times New Roman"/>
          <w:color w:val="0070C0"/>
          <w:sz w:val="16"/>
          <w:szCs w:val="16"/>
          <w:lang w:val="en-US" w:bidi="en-US"/>
        </w:rPr>
        <w:t>AM</w:t>
      </w:r>
      <w:r w:rsidRPr="00D03F3E">
        <w:rPr>
          <w:rFonts w:ascii="Times New Roman" w:hAnsi="Times New Roman"/>
          <w:color w:val="0070C0"/>
          <w:sz w:val="16"/>
          <w:szCs w:val="16"/>
          <w:lang w:bidi="en-US"/>
        </w:rPr>
        <w:t xml:space="preserve"> </w:t>
      </w:r>
      <w:r w:rsidRPr="00D03F3E">
        <w:rPr>
          <w:rFonts w:ascii="Times New Roman" w:hAnsi="Times New Roman"/>
          <w:color w:val="0070C0"/>
          <w:sz w:val="16"/>
          <w:szCs w:val="16"/>
        </w:rPr>
        <w:t>имели по сравне</w:t>
      </w:r>
      <w:r w:rsidRPr="00D03F3E">
        <w:rPr>
          <w:rFonts w:ascii="Times New Roman" w:hAnsi="Times New Roman"/>
          <w:color w:val="0070C0"/>
          <w:sz w:val="16"/>
          <w:szCs w:val="16"/>
        </w:rPr>
        <w:softHyphen/>
        <w:t>нию с исходными лодками А2, более широкий корпус, и, соответственно, большую осадку и водоизмещение. Увеличенный ангар для хранения двух гидросамолетов(внутренний диаметр3,5 м), располагался над прочным кор</w:t>
      </w:r>
      <w:r w:rsidRPr="00D03F3E">
        <w:rPr>
          <w:rFonts w:ascii="Times New Roman" w:hAnsi="Times New Roman"/>
          <w:color w:val="0070C0"/>
          <w:sz w:val="16"/>
          <w:szCs w:val="16"/>
        </w:rPr>
        <w:softHyphen/>
        <w:t>пусом (в одной диаметральной плос</w:t>
      </w:r>
      <w:r w:rsidRPr="00D03F3E">
        <w:rPr>
          <w:rFonts w:ascii="Times New Roman" w:hAnsi="Times New Roman"/>
          <w:color w:val="0070C0"/>
          <w:sz w:val="16"/>
          <w:szCs w:val="16"/>
        </w:rPr>
        <w:softHyphen/>
        <w:t>кости), а боевая рубка (также в виде горизонтального цилиндра), была смещена к правому борту. На них ус</w:t>
      </w:r>
      <w:r w:rsidRPr="00D03F3E">
        <w:rPr>
          <w:rFonts w:ascii="Times New Roman" w:hAnsi="Times New Roman"/>
          <w:color w:val="0070C0"/>
          <w:sz w:val="16"/>
          <w:szCs w:val="16"/>
        </w:rPr>
        <w:softHyphen/>
        <w:t>танавливалась менее мощная и более экономичная дизель-электрическая установка с устройством работы ди</w:t>
      </w:r>
      <w:r w:rsidRPr="00D03F3E">
        <w:rPr>
          <w:rFonts w:ascii="Times New Roman" w:hAnsi="Times New Roman"/>
          <w:color w:val="0070C0"/>
          <w:sz w:val="16"/>
          <w:szCs w:val="16"/>
        </w:rPr>
        <w:softHyphen/>
        <w:t>зелей под водой (“шнорхель”), одна</w:t>
      </w:r>
      <w:r w:rsidRPr="00D03F3E">
        <w:rPr>
          <w:rFonts w:ascii="Times New Roman" w:hAnsi="Times New Roman"/>
          <w:color w:val="0070C0"/>
          <w:sz w:val="16"/>
          <w:szCs w:val="16"/>
        </w:rPr>
        <w:softHyphen/>
        <w:t>ко использование существенно более громоздкого и тяжелого авиационного оборудования, рост запасов авиацион</w:t>
      </w:r>
      <w:r w:rsidRPr="00D03F3E">
        <w:rPr>
          <w:rFonts w:ascii="Times New Roman" w:hAnsi="Times New Roman"/>
          <w:color w:val="0070C0"/>
          <w:sz w:val="16"/>
          <w:szCs w:val="16"/>
        </w:rPr>
        <w:softHyphen/>
        <w:t>ного бензина, и численности экипажа (до 108 чел.) привели к тому, что зна</w:t>
      </w:r>
      <w:r w:rsidRPr="00D03F3E">
        <w:rPr>
          <w:rFonts w:ascii="Times New Roman" w:hAnsi="Times New Roman"/>
          <w:color w:val="0070C0"/>
          <w:sz w:val="16"/>
          <w:szCs w:val="16"/>
        </w:rPr>
        <w:softHyphen/>
        <w:t>чительно сократилось число топлив- них танков, и в результате дальность плавания 16-узловым ходом не превы</w:t>
      </w:r>
      <w:r w:rsidRPr="00D03F3E">
        <w:rPr>
          <w:rFonts w:ascii="Times New Roman" w:hAnsi="Times New Roman"/>
          <w:color w:val="0070C0"/>
          <w:sz w:val="16"/>
          <w:szCs w:val="16"/>
        </w:rPr>
        <w:softHyphen/>
        <w:t>шала 21000 миль, существенно ухуд</w:t>
      </w:r>
      <w:r w:rsidRPr="00D03F3E">
        <w:rPr>
          <w:rFonts w:ascii="Times New Roman" w:hAnsi="Times New Roman"/>
          <w:color w:val="0070C0"/>
          <w:sz w:val="16"/>
          <w:szCs w:val="16"/>
        </w:rPr>
        <w:softHyphen/>
        <w:t>шились и условия обитаемости. После всплытия подлодки в надводное по</w:t>
      </w:r>
      <w:r w:rsidRPr="00D03F3E">
        <w:rPr>
          <w:rFonts w:ascii="Times New Roman" w:hAnsi="Times New Roman"/>
          <w:color w:val="0070C0"/>
          <w:sz w:val="16"/>
          <w:szCs w:val="16"/>
        </w:rPr>
        <w:softHyphen/>
        <w:t>ложение для подъема в воздух обоих гидросамолетов требовалось не менее 30-35 минут (22807).</w:t>
      </w:r>
    </w:p>
    <w:p w14:paraId="58FC1EF4" w14:textId="77777777" w:rsidR="00B00BF5" w:rsidRPr="00D03F3E" w:rsidRDefault="00B00BF5" w:rsidP="00D03F3E">
      <w:pPr>
        <w:spacing w:after="0" w:line="240" w:lineRule="auto"/>
        <w:jc w:val="both"/>
        <w:rPr>
          <w:rFonts w:ascii="Times New Roman" w:hAnsi="Times New Roman"/>
          <w:color w:val="0070C0"/>
          <w:sz w:val="16"/>
          <w:szCs w:val="16"/>
        </w:rPr>
      </w:pPr>
    </w:p>
    <w:p w14:paraId="5EC8D272" w14:textId="1B65072E"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593E3C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A8A9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зимы 1943 в Тюмени за У-2 испытывали модель воздушного прицепа (ВП) на дышле, разработанного сотрудниками ОКА. Идея была возить на истребителях ФАБ-500 и даже сбрасывали макет (640,42).</w:t>
      </w:r>
    </w:p>
    <w:p w14:paraId="388BE7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318443" w14:textId="77777777" w:rsidR="009A0776"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8ABFE65" w14:textId="77777777" w:rsidR="009A0776" w:rsidRPr="00D03F3E" w:rsidRDefault="009A0776"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4B2C6D" w14:textId="77777777" w:rsidR="009A0776" w:rsidRPr="00D03F3E" w:rsidRDefault="009A0776"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 весне 1943 г. вышла серия карбюраторов А-6, на которой вместо жиклера экономайзера ввели регулировочную иглу в ниппеле трубки экономайзера и т.д.</w:t>
      </w:r>
    </w:p>
    <w:p w14:paraId="63F4333A" w14:textId="77777777" w:rsidR="009A0776" w:rsidRPr="00D03F3E" w:rsidRDefault="009A0776"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Даже краткое перечисление этих изменений наводит на мысль, что доводка карбю</w:t>
      </w:r>
      <w:r w:rsidRPr="00D03F3E">
        <w:rPr>
          <w:rFonts w:ascii="Times New Roman" w:cs="Times New Roman"/>
          <w:color w:val="000000" w:themeColor="text1"/>
          <w:spacing w:val="0"/>
        </w:rPr>
        <w:softHyphen/>
        <w:t>ратора проходила в основном всё тем же методом проб и ошибок. Никаких существен</w:t>
      </w:r>
      <w:r w:rsidRPr="00D03F3E">
        <w:rPr>
          <w:rFonts w:ascii="Times New Roman" w:cs="Times New Roman"/>
          <w:color w:val="000000" w:themeColor="text1"/>
          <w:spacing w:val="0"/>
        </w:rPr>
        <w:softHyphen/>
        <w:t>ных результатов по улучшению работы АК-82БП получено не было (15813).</w:t>
      </w:r>
    </w:p>
    <w:p w14:paraId="2A5E2BE9" w14:textId="77777777" w:rsidR="009A0776" w:rsidRPr="00D03F3E" w:rsidRDefault="009A0776" w:rsidP="00D03F3E">
      <w:pPr>
        <w:pStyle w:val="27"/>
        <w:shd w:val="clear" w:color="auto" w:fill="auto"/>
        <w:spacing w:after="0" w:line="240" w:lineRule="auto"/>
        <w:ind w:firstLine="0"/>
        <w:rPr>
          <w:rFonts w:ascii="Times New Roman" w:cs="Times New Roman"/>
          <w:color w:val="000000" w:themeColor="text1"/>
          <w:spacing w:val="0"/>
        </w:rPr>
      </w:pPr>
    </w:p>
    <w:p w14:paraId="79C75C70" w14:textId="77777777" w:rsidR="00996E74" w:rsidRPr="00D03F3E" w:rsidRDefault="00996E7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весне 1943 г. пришло осознание того, что дальше сохранять такое положение невозможно, и завод в Урумчи был ликвидирован путём эвакуации персонала и имущества в СССР (19006).</w:t>
      </w:r>
    </w:p>
    <w:p w14:paraId="703229DF" w14:textId="77777777" w:rsidR="00996E74" w:rsidRPr="00D03F3E" w:rsidRDefault="00996E74" w:rsidP="00D03F3E">
      <w:pPr>
        <w:spacing w:after="0" w:line="240" w:lineRule="auto"/>
        <w:jc w:val="both"/>
        <w:rPr>
          <w:rFonts w:ascii="Times New Roman" w:hAnsi="Times New Roman"/>
          <w:color w:val="000000" w:themeColor="text1"/>
          <w:sz w:val="16"/>
          <w:szCs w:val="16"/>
        </w:rPr>
      </w:pPr>
    </w:p>
    <w:p w14:paraId="4F7D538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5F99A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9736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весне 1943 г. единственными бронецелями вермахта, с которыми "Илы" еще могли успешно бороться, применяя пушечное вооружение, остались лишь легкобронированные бронемашины, бро</w:t>
      </w:r>
      <w:r w:rsidRPr="00D03F3E">
        <w:rPr>
          <w:rFonts w:ascii="Times New Roman" w:hAnsi="Times New Roman"/>
          <w:color w:val="000000" w:themeColor="text1"/>
          <w:sz w:val="16"/>
          <w:szCs w:val="16"/>
        </w:rPr>
        <w:softHyphen/>
        <w:t>нетранспортеры, а также САУ (типа "Wespe" и т.д.) и противотанковые СУ (типа "Marder-N" и "Marder-ПГ), создан</w:t>
      </w:r>
      <w:r w:rsidRPr="00D03F3E">
        <w:rPr>
          <w:rFonts w:ascii="Times New Roman" w:hAnsi="Times New Roman"/>
          <w:color w:val="000000" w:themeColor="text1"/>
          <w:sz w:val="16"/>
          <w:szCs w:val="16"/>
        </w:rPr>
        <w:softHyphen/>
        <w:t>ные на базе легких танков. Собственно легких танков в составе панцерваффе на Восточном фронте к этому времени уже почти не осталось. Они были вы</w:t>
      </w:r>
      <w:r w:rsidRPr="00D03F3E">
        <w:rPr>
          <w:rFonts w:ascii="Times New Roman" w:hAnsi="Times New Roman"/>
          <w:color w:val="000000" w:themeColor="text1"/>
          <w:sz w:val="16"/>
          <w:szCs w:val="16"/>
        </w:rPr>
        <w:softHyphen/>
        <w:t>теснены более мощными средними и тяжелыми танками (6467).</w:t>
      </w:r>
    </w:p>
    <w:p w14:paraId="7B03F7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3A41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весне 1943 г. Оперативное управление штаба ВВС КА обобщило материалы по анализу потерь авиации Красной Армии за весь период войны, в которых в качестве основных причин больших потерь Ил-2 указало на недостаточную групповую слетанность и индивидуальную технику пилотирования летчиков. В бою это приводило к растянутым боевым порядкам, к отставанию и отрыву отдельных самолетов от основной группы и, в конечном итоге, к потере экипажей.</w:t>
      </w:r>
    </w:p>
    <w:p w14:paraId="6FDDF3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целью снижения боевых потерь начальник Оперативного управления генерал Н. А. Журавлев потребовал "...повысить уровень летной подготовки в запасных частях, не боясь затрат средств и времени - и то и другое окупятся работой в боевых условиях" (12020).</w:t>
      </w:r>
    </w:p>
    <w:p w14:paraId="30C6D7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3F33D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2EB48A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3D060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марту 1943 г. уже построенный одноместный Су-6 с М-71ф пере</w:t>
      </w:r>
      <w:r w:rsidRPr="00D03F3E">
        <w:rPr>
          <w:rFonts w:ascii="Times New Roman" w:hAnsi="Times New Roman"/>
          <w:color w:val="000000" w:themeColor="text1"/>
          <w:sz w:val="16"/>
          <w:szCs w:val="16"/>
        </w:rPr>
        <w:softHyphen/>
        <w:t>делали в двухместный. После отлад</w:t>
      </w:r>
      <w:r w:rsidRPr="00D03F3E">
        <w:rPr>
          <w:rFonts w:ascii="Times New Roman" w:hAnsi="Times New Roman"/>
          <w:color w:val="000000" w:themeColor="text1"/>
          <w:sz w:val="16"/>
          <w:szCs w:val="16"/>
        </w:rPr>
        <w:softHyphen/>
        <w:t>ки мотоустановки самолет 19 июня поступил в НИИ ВВС для проведе</w:t>
      </w:r>
      <w:r w:rsidRPr="00D03F3E">
        <w:rPr>
          <w:rFonts w:ascii="Times New Roman" w:hAnsi="Times New Roman"/>
          <w:color w:val="000000" w:themeColor="text1"/>
          <w:sz w:val="16"/>
          <w:szCs w:val="16"/>
        </w:rPr>
        <w:softHyphen/>
        <w:t>ния государственных испытаний (11426).</w:t>
      </w:r>
    </w:p>
    <w:p w14:paraId="431D1F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501201" w14:textId="77777777" w:rsidR="00583391" w:rsidRPr="00D03F3E" w:rsidRDefault="00583391"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DCF8987" w14:textId="77777777" w:rsidR="00583391" w:rsidRPr="00D03F3E" w:rsidRDefault="00583391"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DBDFBA" w14:textId="77777777" w:rsidR="00583391" w:rsidRPr="00D03F3E" w:rsidRDefault="00583391" w:rsidP="00D03F3E">
      <w:pPr>
        <w:pStyle w:val="Bodytext1"/>
        <w:shd w:val="clear" w:color="auto" w:fill="auto"/>
        <w:spacing w:line="240" w:lineRule="auto"/>
        <w:ind w:firstLine="0"/>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К марту 1943 г. опытный образец панциря ПЗ-ЗИФ-20 был представлен для рассмотре</w:t>
      </w:r>
      <w:r w:rsidRPr="00D03F3E">
        <w:rPr>
          <w:rFonts w:ascii="Times New Roman" w:hAnsi="Times New Roman" w:cs="Times New Roman"/>
          <w:color w:val="000000" w:themeColor="text1"/>
          <w:sz w:val="16"/>
          <w:szCs w:val="16"/>
        </w:rPr>
        <w:softHyphen/>
        <w:t>ния в горком ВКП(б). Получив одобрение на опытную партию, заводчане</w:t>
      </w:r>
      <w:r w:rsidRPr="00D03F3E">
        <w:rPr>
          <w:rStyle w:val="BodytextBold5"/>
          <w:rFonts w:ascii="Times New Roman" w:eastAsiaTheme="minorHAnsi" w:hAnsi="Times New Roman" w:cs="Times New Roman"/>
          <w:b w:val="0"/>
          <w:color w:val="000000" w:themeColor="text1"/>
          <w:sz w:val="16"/>
          <w:szCs w:val="16"/>
        </w:rPr>
        <w:t xml:space="preserve"> к</w:t>
      </w:r>
      <w:r w:rsidRPr="00D03F3E">
        <w:rPr>
          <w:rFonts w:ascii="Times New Roman" w:hAnsi="Times New Roman" w:cs="Times New Roman"/>
          <w:color w:val="000000" w:themeColor="text1"/>
          <w:sz w:val="16"/>
          <w:szCs w:val="16"/>
        </w:rPr>
        <w:t xml:space="preserve"> концу месяца полностью выполнили</w:t>
      </w:r>
      <w:r w:rsidRPr="00D03F3E">
        <w:rPr>
          <w:rStyle w:val="BodytextBold5"/>
          <w:rFonts w:ascii="Times New Roman" w:eastAsiaTheme="minorHAnsi" w:hAnsi="Times New Roman" w:cs="Times New Roman"/>
          <w:b w:val="0"/>
          <w:color w:val="000000" w:themeColor="text1"/>
          <w:sz w:val="16"/>
          <w:szCs w:val="16"/>
        </w:rPr>
        <w:t xml:space="preserve"> эту</w:t>
      </w:r>
      <w:r w:rsidRPr="00D03F3E">
        <w:rPr>
          <w:rFonts w:ascii="Times New Roman" w:hAnsi="Times New Roman" w:cs="Times New Roman"/>
          <w:color w:val="000000" w:themeColor="text1"/>
          <w:sz w:val="16"/>
          <w:szCs w:val="16"/>
        </w:rPr>
        <w:t xml:space="preserve"> задачу, изготовив 100 панцирей, и, не останавливаясь на этом, в апреле и мае в инициативном порядке до</w:t>
      </w:r>
      <w:r w:rsidRPr="00D03F3E">
        <w:rPr>
          <w:rFonts w:ascii="Times New Roman" w:hAnsi="Times New Roman" w:cs="Times New Roman"/>
          <w:color w:val="000000" w:themeColor="text1"/>
          <w:sz w:val="16"/>
          <w:szCs w:val="16"/>
        </w:rPr>
        <w:softHyphen/>
        <w:t>полнительно выпустили 1000 комплектов пан</w:t>
      </w:r>
      <w:r w:rsidRPr="00D03F3E">
        <w:rPr>
          <w:rFonts w:ascii="Times New Roman" w:hAnsi="Times New Roman" w:cs="Times New Roman"/>
          <w:color w:val="000000" w:themeColor="text1"/>
          <w:sz w:val="16"/>
          <w:szCs w:val="16"/>
        </w:rPr>
        <w:softHyphen/>
        <w:t>цирной защиты</w:t>
      </w:r>
      <w:r w:rsidRPr="00D03F3E">
        <w:rPr>
          <w:rFonts w:ascii="Times New Roman" w:hAnsi="Times New Roman" w:cs="Times New Roman"/>
          <w:color w:val="000000" w:themeColor="text1"/>
          <w:sz w:val="16"/>
          <w:szCs w:val="16"/>
          <w:vertAlign w:val="superscript"/>
        </w:rPr>
        <w:t>4</w:t>
      </w:r>
      <w:r w:rsidRPr="00D03F3E">
        <w:rPr>
          <w:rFonts w:ascii="Times New Roman" w:hAnsi="Times New Roman" w:cs="Times New Roman"/>
          <w:color w:val="000000" w:themeColor="text1"/>
          <w:sz w:val="16"/>
          <w:szCs w:val="16"/>
        </w:rPr>
        <w:t>. Окончательную отработку конструкции</w:t>
      </w:r>
      <w:r w:rsidRPr="00D03F3E">
        <w:rPr>
          <w:rStyle w:val="BodytextBold5"/>
          <w:rFonts w:ascii="Times New Roman" w:eastAsiaTheme="minorHAnsi" w:hAnsi="Times New Roman" w:cs="Times New Roman"/>
          <w:b w:val="0"/>
          <w:color w:val="000000" w:themeColor="text1"/>
          <w:sz w:val="16"/>
          <w:szCs w:val="16"/>
        </w:rPr>
        <w:t xml:space="preserve"> ПЗ-ЗИФ-20</w:t>
      </w:r>
      <w:r w:rsidRPr="00D03F3E">
        <w:rPr>
          <w:rFonts w:ascii="Times New Roman" w:hAnsi="Times New Roman" w:cs="Times New Roman"/>
          <w:color w:val="000000" w:themeColor="text1"/>
          <w:sz w:val="16"/>
          <w:szCs w:val="16"/>
        </w:rPr>
        <w:t xml:space="preserve"> и подготовку к се</w:t>
      </w:r>
      <w:r w:rsidRPr="00D03F3E">
        <w:rPr>
          <w:rFonts w:ascii="Times New Roman" w:hAnsi="Times New Roman" w:cs="Times New Roman"/>
          <w:color w:val="000000" w:themeColor="text1"/>
          <w:sz w:val="16"/>
          <w:szCs w:val="16"/>
        </w:rPr>
        <w:softHyphen/>
        <w:t>рийному производству проводил конструктор Троицкий.</w:t>
      </w:r>
    </w:p>
    <w:p w14:paraId="6722BAAF" w14:textId="77777777" w:rsidR="00583391" w:rsidRPr="00D03F3E" w:rsidRDefault="00583391" w:rsidP="00D03F3E">
      <w:pPr>
        <w:pStyle w:val="Bodytext1"/>
        <w:shd w:val="clear" w:color="auto" w:fill="auto"/>
        <w:spacing w:line="240" w:lineRule="auto"/>
        <w:ind w:firstLine="0"/>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Конструктивно панцирь ПЗ-ЗИФ-20 об</w:t>
      </w:r>
      <w:r w:rsidRPr="00D03F3E">
        <w:rPr>
          <w:rFonts w:ascii="Times New Roman" w:hAnsi="Times New Roman" w:cs="Times New Roman"/>
          <w:color w:val="000000" w:themeColor="text1"/>
          <w:sz w:val="16"/>
          <w:szCs w:val="16"/>
        </w:rPr>
        <w:softHyphen/>
        <w:t>щей массой 3,8 кг состоял из пяти стальных щитков различной конфигурации, шарнирно скрепленных между собой при помощи ко</w:t>
      </w:r>
      <w:r w:rsidRPr="00D03F3E">
        <w:rPr>
          <w:rFonts w:ascii="Times New Roman" w:hAnsi="Times New Roman" w:cs="Times New Roman"/>
          <w:color w:val="000000" w:themeColor="text1"/>
          <w:sz w:val="16"/>
          <w:szCs w:val="16"/>
        </w:rPr>
        <w:softHyphen/>
        <w:t>ротких кожаных планок и ремней, смонтиро</w:t>
      </w:r>
      <w:r w:rsidRPr="00D03F3E">
        <w:rPr>
          <w:rFonts w:ascii="Times New Roman" w:hAnsi="Times New Roman" w:cs="Times New Roman"/>
          <w:color w:val="000000" w:themeColor="text1"/>
          <w:sz w:val="16"/>
          <w:szCs w:val="16"/>
        </w:rPr>
        <w:softHyphen/>
        <w:t>ванных на брезентовом жилете. Два верхних щитка прикрывали грудную клетку, три ниж</w:t>
      </w:r>
      <w:r w:rsidRPr="00D03F3E">
        <w:rPr>
          <w:rFonts w:ascii="Times New Roman" w:hAnsi="Times New Roman" w:cs="Times New Roman"/>
          <w:color w:val="000000" w:themeColor="text1"/>
          <w:sz w:val="16"/>
          <w:szCs w:val="16"/>
        </w:rPr>
        <w:softHyphen/>
        <w:t>них - брюшную полость.</w:t>
      </w:r>
    </w:p>
    <w:p w14:paraId="3A60BCCB" w14:textId="77777777" w:rsidR="00583391" w:rsidRPr="00D03F3E" w:rsidRDefault="00583391" w:rsidP="00D03F3E">
      <w:pPr>
        <w:pStyle w:val="Bodytext1"/>
        <w:shd w:val="clear" w:color="auto" w:fill="auto"/>
        <w:spacing w:line="240" w:lineRule="auto"/>
        <w:ind w:firstLine="0"/>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Чтобы окончательно решить вопрос о принятии ПЗ-ЗИФ-20 на вооружение, после</w:t>
      </w:r>
      <w:r w:rsidRPr="00D03F3E">
        <w:rPr>
          <w:rFonts w:ascii="Times New Roman" w:hAnsi="Times New Roman" w:cs="Times New Roman"/>
          <w:color w:val="000000" w:themeColor="text1"/>
          <w:sz w:val="16"/>
          <w:szCs w:val="16"/>
        </w:rPr>
        <w:softHyphen/>
        <w:t>довало указание о проведении АНИОПом его полигонных испытаний. Они состоялись 18- 21 мая и включали обстрел панциря из оте</w:t>
      </w:r>
      <w:r w:rsidRPr="00D03F3E">
        <w:rPr>
          <w:rFonts w:ascii="Times New Roman" w:hAnsi="Times New Roman" w:cs="Times New Roman"/>
          <w:color w:val="000000" w:themeColor="text1"/>
          <w:sz w:val="16"/>
          <w:szCs w:val="16"/>
        </w:rPr>
        <w:softHyphen/>
        <w:t>чественного 7,62-мм пистолета-пулемета ППД и трофейного 9-мм пистолета-пулемета МР.38. Результаты оказались следующими:</w:t>
      </w:r>
    </w:p>
    <w:p w14:paraId="2C377CD5" w14:textId="77777777" w:rsidR="00583391" w:rsidRPr="00D03F3E" w:rsidRDefault="00583391" w:rsidP="00D03F3E">
      <w:pPr>
        <w:pStyle w:val="Bodytext1"/>
        <w:numPr>
          <w:ilvl w:val="0"/>
          <w:numId w:val="12"/>
        </w:numPr>
        <w:shd w:val="clear" w:color="auto" w:fill="auto"/>
        <w:tabs>
          <w:tab w:val="left" w:pos="351"/>
        </w:tabs>
        <w:spacing w:line="240" w:lineRule="auto"/>
        <w:ind w:firstLine="0"/>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при обстреле из ППД штатной пулей пан</w:t>
      </w:r>
      <w:r w:rsidRPr="00D03F3E">
        <w:rPr>
          <w:rFonts w:ascii="Times New Roman" w:hAnsi="Times New Roman" w:cs="Times New Roman"/>
          <w:color w:val="000000" w:themeColor="text1"/>
          <w:sz w:val="16"/>
          <w:szCs w:val="16"/>
        </w:rPr>
        <w:softHyphen/>
        <w:t>цирь обеспечивал защиту на дистанции 75 м;</w:t>
      </w:r>
    </w:p>
    <w:p w14:paraId="67BCBCFC" w14:textId="77777777" w:rsidR="00583391" w:rsidRPr="00D03F3E" w:rsidRDefault="00583391" w:rsidP="00D03F3E">
      <w:pPr>
        <w:pStyle w:val="Bodytext1"/>
        <w:numPr>
          <w:ilvl w:val="0"/>
          <w:numId w:val="12"/>
        </w:numPr>
        <w:shd w:val="clear" w:color="auto" w:fill="auto"/>
        <w:tabs>
          <w:tab w:val="left" w:pos="375"/>
        </w:tabs>
        <w:spacing w:line="240" w:lineRule="auto"/>
        <w:ind w:firstLine="0"/>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при обстреле из трофейного пистолета- пулемета свинцовой пулей (штатный патрон) обеспечивалась защита на дистанции 20 м, пу</w:t>
      </w:r>
      <w:r w:rsidRPr="00D03F3E">
        <w:rPr>
          <w:rFonts w:ascii="Times New Roman" w:hAnsi="Times New Roman" w:cs="Times New Roman"/>
          <w:color w:val="000000" w:themeColor="text1"/>
          <w:sz w:val="16"/>
          <w:szCs w:val="16"/>
        </w:rPr>
        <w:softHyphen/>
        <w:t>лей со стальным сердечником (бронебойный патрон) - 115 м;</w:t>
      </w:r>
    </w:p>
    <w:p w14:paraId="4EAB05EF" w14:textId="77777777" w:rsidR="00583391" w:rsidRPr="00D03F3E" w:rsidRDefault="00583391" w:rsidP="00D03F3E">
      <w:pPr>
        <w:pStyle w:val="Bodytext1"/>
        <w:numPr>
          <w:ilvl w:val="0"/>
          <w:numId w:val="12"/>
        </w:numPr>
        <w:shd w:val="clear" w:color="auto" w:fill="auto"/>
        <w:tabs>
          <w:tab w:val="left" w:pos="375"/>
        </w:tabs>
        <w:spacing w:line="240" w:lineRule="auto"/>
        <w:ind w:firstLine="0"/>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ношение панциря не создавало помех быстрой ходьбе, бегу и переползанию.</w:t>
      </w:r>
    </w:p>
    <w:p w14:paraId="120F7B5E" w14:textId="77777777" w:rsidR="00583391" w:rsidRPr="00D03F3E" w:rsidRDefault="00583391" w:rsidP="00D03F3E">
      <w:pPr>
        <w:pStyle w:val="Bodytext1"/>
        <w:shd w:val="clear" w:color="auto" w:fill="auto"/>
        <w:spacing w:line="240" w:lineRule="auto"/>
        <w:ind w:firstLine="0"/>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Для проведения войсковых испытаний 300 панцирей передали в части Ленинград</w:t>
      </w:r>
      <w:r w:rsidRPr="00D03F3E">
        <w:rPr>
          <w:rFonts w:ascii="Times New Roman" w:hAnsi="Times New Roman" w:cs="Times New Roman"/>
          <w:color w:val="000000" w:themeColor="text1"/>
          <w:sz w:val="16"/>
          <w:szCs w:val="16"/>
        </w:rPr>
        <w:softHyphen/>
        <w:t>ского фронта. На основании решения коман</w:t>
      </w:r>
      <w:r w:rsidRPr="00D03F3E">
        <w:rPr>
          <w:rFonts w:ascii="Times New Roman" w:hAnsi="Times New Roman" w:cs="Times New Roman"/>
          <w:color w:val="000000" w:themeColor="text1"/>
          <w:sz w:val="16"/>
          <w:szCs w:val="16"/>
        </w:rPr>
        <w:softHyphen/>
        <w:t>дующего Ленинградским фронтом генерал- полковника Л.А. Говорова (о необходимости запуска в массовое производство панцирей) в начале июня завод в инициативном по</w:t>
      </w:r>
      <w:r w:rsidRPr="00D03F3E">
        <w:rPr>
          <w:rFonts w:ascii="Times New Roman" w:hAnsi="Times New Roman" w:cs="Times New Roman"/>
          <w:color w:val="000000" w:themeColor="text1"/>
          <w:sz w:val="16"/>
          <w:szCs w:val="16"/>
        </w:rPr>
        <w:softHyphen/>
        <w:t>рядке увеличил толщину щитков панциря с 1,8 до 2,5 мм с целью повышения пулестойкости при обстреле боеприпасами со стальным сер</w:t>
      </w:r>
      <w:r w:rsidRPr="00D03F3E">
        <w:rPr>
          <w:rFonts w:ascii="Times New Roman" w:hAnsi="Times New Roman" w:cs="Times New Roman"/>
          <w:color w:val="000000" w:themeColor="text1"/>
          <w:sz w:val="16"/>
          <w:szCs w:val="16"/>
        </w:rPr>
        <w:softHyphen/>
        <w:t>дечником.</w:t>
      </w:r>
    </w:p>
    <w:p w14:paraId="76FC7AF2" w14:textId="77777777" w:rsidR="00583391" w:rsidRPr="00D03F3E" w:rsidRDefault="00583391" w:rsidP="00D03F3E">
      <w:pPr>
        <w:pStyle w:val="Bodytext90"/>
        <w:shd w:val="clear" w:color="auto" w:fill="auto"/>
        <w:spacing w:line="240" w:lineRule="auto"/>
        <w:rPr>
          <w:rFonts w:ascii="Times New Roman" w:hAnsi="Times New Roman" w:cs="Times New Roman"/>
          <w:b w:val="0"/>
          <w:color w:val="000000" w:themeColor="text1"/>
          <w:sz w:val="16"/>
          <w:szCs w:val="16"/>
        </w:rPr>
      </w:pPr>
      <w:r w:rsidRPr="00D03F3E">
        <w:rPr>
          <w:rStyle w:val="Bodytext9NotBold2"/>
          <w:rFonts w:ascii="Times New Roman" w:hAnsi="Times New Roman" w:cs="Times New Roman"/>
          <w:color w:val="000000" w:themeColor="text1"/>
          <w:sz w:val="16"/>
          <w:szCs w:val="16"/>
        </w:rPr>
        <w:t>Повторные</w:t>
      </w:r>
      <w:r w:rsidRPr="00D03F3E">
        <w:rPr>
          <w:rFonts w:ascii="Times New Roman" w:hAnsi="Times New Roman" w:cs="Times New Roman"/>
          <w:b w:val="0"/>
          <w:color w:val="000000" w:themeColor="text1"/>
          <w:sz w:val="16"/>
          <w:szCs w:val="16"/>
        </w:rPr>
        <w:t xml:space="preserve"> испытания 12 июня</w:t>
      </w:r>
      <w:r w:rsidRPr="00D03F3E">
        <w:rPr>
          <w:rStyle w:val="Bodytext9NotBold2"/>
          <w:rFonts w:ascii="Times New Roman" w:hAnsi="Times New Roman" w:cs="Times New Roman"/>
          <w:color w:val="000000" w:themeColor="text1"/>
          <w:sz w:val="16"/>
          <w:szCs w:val="16"/>
        </w:rPr>
        <w:t xml:space="preserve"> показали уменьшение</w:t>
      </w:r>
      <w:r w:rsidRPr="00D03F3E">
        <w:rPr>
          <w:rFonts w:ascii="Times New Roman" w:hAnsi="Times New Roman" w:cs="Times New Roman"/>
          <w:b w:val="0"/>
          <w:color w:val="000000" w:themeColor="text1"/>
          <w:sz w:val="16"/>
          <w:szCs w:val="16"/>
        </w:rPr>
        <w:t xml:space="preserve"> дистанции сквозного</w:t>
      </w:r>
      <w:r w:rsidRPr="00D03F3E">
        <w:rPr>
          <w:rStyle w:val="Bodytext9NotBold2"/>
          <w:rFonts w:ascii="Times New Roman" w:hAnsi="Times New Roman" w:cs="Times New Roman"/>
          <w:color w:val="000000" w:themeColor="text1"/>
          <w:sz w:val="16"/>
          <w:szCs w:val="16"/>
        </w:rPr>
        <w:t xml:space="preserve"> пробития панциря</w:t>
      </w:r>
      <w:r w:rsidRPr="00D03F3E">
        <w:rPr>
          <w:rFonts w:ascii="Times New Roman" w:hAnsi="Times New Roman" w:cs="Times New Roman"/>
          <w:b w:val="0"/>
          <w:color w:val="000000" w:themeColor="text1"/>
          <w:sz w:val="16"/>
          <w:szCs w:val="16"/>
        </w:rPr>
        <w:t xml:space="preserve"> до 25 м при обстреле бронебойной </w:t>
      </w:r>
      <w:r w:rsidRPr="00D03F3E">
        <w:rPr>
          <w:rStyle w:val="Bodytext9NotBold2"/>
          <w:rFonts w:ascii="Times New Roman" w:hAnsi="Times New Roman" w:cs="Times New Roman"/>
          <w:color w:val="000000" w:themeColor="text1"/>
          <w:sz w:val="16"/>
          <w:szCs w:val="16"/>
        </w:rPr>
        <w:t>пулей из</w:t>
      </w:r>
      <w:r w:rsidRPr="00D03F3E">
        <w:rPr>
          <w:rFonts w:ascii="Times New Roman" w:hAnsi="Times New Roman" w:cs="Times New Roman"/>
          <w:b w:val="0"/>
          <w:color w:val="000000" w:themeColor="text1"/>
          <w:sz w:val="16"/>
          <w:szCs w:val="16"/>
        </w:rPr>
        <w:t xml:space="preserve"> трофейного пистолета-пулемета. </w:t>
      </w:r>
      <w:r w:rsidRPr="00D03F3E">
        <w:rPr>
          <w:rStyle w:val="Bodytext9NotBold2"/>
          <w:rFonts w:ascii="Times New Roman" w:hAnsi="Times New Roman" w:cs="Times New Roman"/>
          <w:color w:val="000000" w:themeColor="text1"/>
          <w:sz w:val="16"/>
          <w:szCs w:val="16"/>
        </w:rPr>
        <w:t>Увеличение</w:t>
      </w:r>
      <w:r w:rsidRPr="00D03F3E">
        <w:rPr>
          <w:rFonts w:ascii="Times New Roman" w:hAnsi="Times New Roman" w:cs="Times New Roman"/>
          <w:b w:val="0"/>
          <w:color w:val="000000" w:themeColor="text1"/>
          <w:sz w:val="16"/>
          <w:szCs w:val="16"/>
        </w:rPr>
        <w:t xml:space="preserve"> массы панциря до 4,8-5 кг не </w:t>
      </w:r>
      <w:r w:rsidRPr="00D03F3E">
        <w:rPr>
          <w:rStyle w:val="Bodytext9NotBold2"/>
          <w:rFonts w:ascii="Times New Roman" w:hAnsi="Times New Roman" w:cs="Times New Roman"/>
          <w:color w:val="000000" w:themeColor="text1"/>
          <w:sz w:val="16"/>
          <w:szCs w:val="16"/>
        </w:rPr>
        <w:t>оказало</w:t>
      </w:r>
      <w:r w:rsidRPr="00D03F3E">
        <w:rPr>
          <w:rFonts w:ascii="Times New Roman" w:hAnsi="Times New Roman" w:cs="Times New Roman"/>
          <w:b w:val="0"/>
          <w:color w:val="000000" w:themeColor="text1"/>
          <w:sz w:val="16"/>
          <w:szCs w:val="16"/>
        </w:rPr>
        <w:t xml:space="preserve"> заметного влияния на удобство его </w:t>
      </w:r>
      <w:r w:rsidRPr="00D03F3E">
        <w:rPr>
          <w:rStyle w:val="Bodytext9NotBold2"/>
          <w:rFonts w:ascii="Times New Roman" w:hAnsi="Times New Roman" w:cs="Times New Roman"/>
          <w:color w:val="000000" w:themeColor="text1"/>
          <w:sz w:val="16"/>
          <w:szCs w:val="16"/>
        </w:rPr>
        <w:t>использования.</w:t>
      </w:r>
      <w:r w:rsidRPr="00D03F3E">
        <w:rPr>
          <w:rFonts w:ascii="Times New Roman" w:hAnsi="Times New Roman" w:cs="Times New Roman"/>
          <w:b w:val="0"/>
          <w:color w:val="000000" w:themeColor="text1"/>
          <w:sz w:val="16"/>
          <w:szCs w:val="16"/>
        </w:rPr>
        <w:t xml:space="preserve"> По оценке </w:t>
      </w:r>
      <w:r w:rsidRPr="00D03F3E">
        <w:rPr>
          <w:rStyle w:val="Bodytext9NotBold2"/>
          <w:rFonts w:ascii="Times New Roman" w:hAnsi="Times New Roman" w:cs="Times New Roman"/>
          <w:color w:val="000000" w:themeColor="text1"/>
          <w:sz w:val="16"/>
          <w:szCs w:val="16"/>
        </w:rPr>
        <w:t>лигона, это</w:t>
      </w:r>
      <w:r w:rsidRPr="00D03F3E">
        <w:rPr>
          <w:rFonts w:ascii="Times New Roman" w:hAnsi="Times New Roman" w:cs="Times New Roman"/>
          <w:b w:val="0"/>
          <w:color w:val="000000" w:themeColor="text1"/>
          <w:sz w:val="16"/>
          <w:szCs w:val="16"/>
        </w:rPr>
        <w:t xml:space="preserve"> обуславливалось </w:t>
      </w:r>
      <w:r w:rsidRPr="00D03F3E">
        <w:rPr>
          <w:rStyle w:val="Bodytext9NotBold2"/>
          <w:rFonts w:ascii="Times New Roman" w:hAnsi="Times New Roman" w:cs="Times New Roman"/>
          <w:color w:val="000000" w:themeColor="text1"/>
          <w:sz w:val="16"/>
          <w:szCs w:val="16"/>
        </w:rPr>
        <w:t>распределением</w:t>
      </w:r>
      <w:r w:rsidRPr="00D03F3E">
        <w:rPr>
          <w:rFonts w:ascii="Times New Roman" w:hAnsi="Times New Roman" w:cs="Times New Roman"/>
          <w:b w:val="0"/>
          <w:color w:val="000000" w:themeColor="text1"/>
          <w:sz w:val="16"/>
          <w:szCs w:val="16"/>
        </w:rPr>
        <w:t xml:space="preserve"> нагрузки на </w:t>
      </w:r>
      <w:r w:rsidRPr="00D03F3E">
        <w:rPr>
          <w:rStyle w:val="Bodytext9NotBold2"/>
          <w:rFonts w:ascii="Times New Roman" w:hAnsi="Times New Roman" w:cs="Times New Roman"/>
          <w:color w:val="000000" w:themeColor="text1"/>
          <w:sz w:val="16"/>
          <w:szCs w:val="16"/>
        </w:rPr>
        <w:t>ношении панциря.</w:t>
      </w:r>
    </w:p>
    <w:p w14:paraId="4F057FCA" w14:textId="77777777" w:rsidR="00583391" w:rsidRPr="00D03F3E" w:rsidRDefault="00583391" w:rsidP="00D03F3E">
      <w:pPr>
        <w:pStyle w:val="Bodytext1"/>
        <w:shd w:val="clear" w:color="auto" w:fill="auto"/>
        <w:spacing w:line="240" w:lineRule="auto"/>
        <w:ind w:firstLine="0"/>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Были разработаны технические условия на изготовление и прием панцирной защиты, оговаривающие отсутствие сквозных пробоин при ее обстреле из ППД с дистанции 45 м по нормали. Окончательное заключение об эксплуатационных качествах предполагалось получить после всесторонних испытаний пан</w:t>
      </w:r>
      <w:r w:rsidRPr="00D03F3E">
        <w:rPr>
          <w:rFonts w:ascii="Times New Roman" w:hAnsi="Times New Roman" w:cs="Times New Roman"/>
          <w:color w:val="000000" w:themeColor="text1"/>
          <w:sz w:val="16"/>
          <w:szCs w:val="16"/>
        </w:rPr>
        <w:softHyphen/>
        <w:t>циря в боевых условиях. По нарядам УКА Ле</w:t>
      </w:r>
      <w:r w:rsidRPr="00D03F3E">
        <w:rPr>
          <w:rFonts w:ascii="Times New Roman" w:hAnsi="Times New Roman" w:cs="Times New Roman"/>
          <w:color w:val="000000" w:themeColor="text1"/>
          <w:sz w:val="16"/>
          <w:szCs w:val="16"/>
        </w:rPr>
        <w:softHyphen/>
        <w:t>нинградского фронта завод №7 приступил к выпуску первой партии панцирей с толщиной щитков 2,5 мм (17746).</w:t>
      </w:r>
    </w:p>
    <w:p w14:paraId="21043530" w14:textId="77777777" w:rsidR="00583391" w:rsidRPr="00D03F3E" w:rsidRDefault="0058339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9792CE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78BBA7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1B8B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марту 1943 г. большая часть эскадрилий Sen.G.I получила Fwl90F-l и F-2. Все оставшиеся и все вновь прибывшие на пополнение Hsl29B были распределены между 4-й и 8-й эскадрильями, штат которых был увеличен с 12 до 16 машин. Hsl23 продолжали оставаться на вооружении 7-й эскадрильи (9084).</w:t>
      </w:r>
    </w:p>
    <w:p w14:paraId="05C0EC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3165CB" w14:textId="77777777" w:rsidR="002F5AD4" w:rsidRPr="00D03F3E" w:rsidRDefault="002F5AD4" w:rsidP="00D03F3E">
      <w:pPr>
        <w:pStyle w:val="a3"/>
        <w:rPr>
          <w:color w:val="000000" w:themeColor="text1"/>
          <w:lang w:val="ru-RU"/>
        </w:rPr>
      </w:pPr>
      <w:r w:rsidRPr="00D03F3E">
        <w:rPr>
          <w:color w:val="000000" w:themeColor="text1"/>
          <w:lang w:val="ru-RU"/>
        </w:rPr>
        <w:t>К марту 1943 г. большая часть подразде</w:t>
      </w:r>
      <w:r w:rsidRPr="00D03F3E">
        <w:rPr>
          <w:color w:val="000000" w:themeColor="text1"/>
          <w:lang w:val="ru-RU"/>
        </w:rPr>
        <w:softHyphen/>
        <w:t>лений эскадры 5с1г С. 1 получила Р\л/190Р-1 и Р-2. Все оставшиеся и все вновь прибывшие на пополнение Нз129В были распределены между 4-й и 8-й эскадрильями, штат ко</w:t>
      </w:r>
      <w:r w:rsidRPr="00D03F3E">
        <w:rPr>
          <w:color w:val="000000" w:themeColor="text1"/>
          <w:lang w:val="ru-RU"/>
        </w:rPr>
        <w:softHyphen/>
        <w:t>торых был увеличен с 12 до 16 машин. На вооружении 7-й эскадрильи продолжали оставаться Нз123.</w:t>
      </w:r>
    </w:p>
    <w:p w14:paraId="631B08B7" w14:textId="77777777" w:rsidR="002F5AD4" w:rsidRPr="00D03F3E" w:rsidRDefault="002F5AD4" w:rsidP="00D03F3E">
      <w:pPr>
        <w:pStyle w:val="a3"/>
        <w:rPr>
          <w:color w:val="000000" w:themeColor="text1"/>
          <w:lang w:val="ru-RU"/>
        </w:rPr>
      </w:pPr>
      <w:r w:rsidRPr="00D03F3E">
        <w:rPr>
          <w:color w:val="000000" w:themeColor="text1"/>
          <w:lang w:val="ru-RU"/>
        </w:rPr>
        <w:t>Эскадрильи второй эскадры непо</w:t>
      </w:r>
      <w:r w:rsidRPr="00D03F3E">
        <w:rPr>
          <w:color w:val="000000" w:themeColor="text1"/>
          <w:lang w:val="ru-RU"/>
        </w:rPr>
        <w:softHyphen/>
        <w:t>средственной поддержки войск 5сН.С.2, сформированной в ноябре 1942 г., имели примерно такой же состав боевых сил: на вооружении 4.(Р2.)/5сЬ.С.2 и 8.(Рг.)/ ЗсМ.С.2 стояли бронированные «хеншели», а остальных эскадрилий - штурмовые «фокке-вульфы».</w:t>
      </w:r>
    </w:p>
    <w:p w14:paraId="1F2A4ADF" w14:textId="77777777" w:rsidR="002F5AD4" w:rsidRPr="00D03F3E" w:rsidRDefault="002F5AD4" w:rsidP="00D03F3E">
      <w:pPr>
        <w:pStyle w:val="a3"/>
        <w:rPr>
          <w:color w:val="000000" w:themeColor="text1"/>
          <w:lang w:val="ru-RU"/>
        </w:rPr>
      </w:pPr>
      <w:r w:rsidRPr="00D03F3E">
        <w:rPr>
          <w:color w:val="000000" w:themeColor="text1"/>
          <w:lang w:val="ru-RU"/>
        </w:rPr>
        <w:t>На вооружение эскадр пикирующих бомбардировщиков стали поступать и 87-е «юнкерсы», приспособленные для нанесе</w:t>
      </w:r>
      <w:r w:rsidRPr="00D03F3E">
        <w:rPr>
          <w:color w:val="000000" w:themeColor="text1"/>
          <w:lang w:val="ru-RU"/>
        </w:rPr>
        <w:softHyphen/>
        <w:t>ния бомбоштурмовых ударов с малых высот.</w:t>
      </w:r>
    </w:p>
    <w:p w14:paraId="34870030"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устаревающие тихоходные «юнкерсы» несли значительные потери (12733).</w:t>
      </w:r>
    </w:p>
    <w:p w14:paraId="3A1F0D9A" w14:textId="77777777" w:rsidR="002F5AD4" w:rsidRPr="00D03F3E" w:rsidRDefault="002F5AD4" w:rsidP="00D03F3E">
      <w:pPr>
        <w:tabs>
          <w:tab w:val="left" w:pos="2083"/>
        </w:tabs>
        <w:spacing w:after="0" w:line="240" w:lineRule="auto"/>
        <w:jc w:val="both"/>
        <w:rPr>
          <w:rFonts w:ascii="Times New Roman" w:hAnsi="Times New Roman"/>
          <w:color w:val="000000" w:themeColor="text1"/>
          <w:sz w:val="16"/>
          <w:szCs w:val="16"/>
        </w:rPr>
      </w:pPr>
    </w:p>
    <w:p w14:paraId="54599074"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B07A5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5AA2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марта 1943 Зам. командующего артиллерией Тихонов писал А.И.Ш. письмо N 1208120с:</w:t>
      </w:r>
    </w:p>
    <w:p w14:paraId="131029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"Согласно постановлению ГКО N 2841 от 7 февраля 1943 заводом 30 должно было быть выпущено в феврале с.г. 10 самолетов Ил-2, приспособленных для корректировочной авиации.</w:t>
      </w:r>
    </w:p>
    <w:p w14:paraId="6E05A3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выяснению этого вопроса непосредственно у военпреда на заводе 30 установлено следующее:</w:t>
      </w:r>
    </w:p>
    <w:p w14:paraId="696B16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Один самолет будет выпущен не ранее 3 марта 1943, а остальные 9 - через 10 дней.</w:t>
      </w:r>
    </w:p>
    <w:p w14:paraId="4C5CF3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 план строительства самолетов для корректировочной авиации находится под угрозой срыва, а отсюда и формирование эскадрилий в сроки, установленные тем же постановлением.</w:t>
      </w:r>
    </w:p>
    <w:p w14:paraId="250397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установлено, что модифицируемый самолет в варианте корректировщика, изготавливаемый на заводе 240 ГК С.В.И. так же не выйдет в установленный срок (15 марта 1943).</w:t>
      </w:r>
    </w:p>
    <w:p w14:paraId="15E3C1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Планом строительства самолетов предусмотрено размещение производства на 2-х заводах - 30 и 1, причем не предусмотрено, что эскадрильи формируются на территории ПРИВО (г. Петровск-Саратовский), размещение заказа на заводе 30 является нерациональным, т.к. перегонка самолетов в Петровск-Саратовский из Москвы, что приведет к излишнему расходу материалов и средств" (1778,139).</w:t>
      </w:r>
    </w:p>
    <w:p w14:paraId="5D7317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4BE2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 марта 1943 Пе-8 (ТБ-7) N 42048 п М.Родных, недавно оснащенный новыми моторами, переоборудовали для перевозки 20 пассажиров, а экипажу выдали парадные мундиры чтобы лететь в Англию (1103,107).</w:t>
      </w:r>
    </w:p>
    <w:p w14:paraId="313B20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684B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марта 1943 заводу № 124 НКАПом было приказано выпускать 9-ю и 10-ю серии только с моторами М-82 и начать работу над модификацией (№ 42410) с увеличенной бомбовой нагрузкой. В апреле готовились испытания Пе-8 № 42047 с новыми моторами М-82НВ с экипажем состоящим из пилотов Говорова Б.Г., Будылова Г.И. и ведущего инженера Осокина Я.С. (12049).</w:t>
      </w:r>
    </w:p>
    <w:p w14:paraId="702719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08E1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марта 1943 г. директора завода №45 М.С. Комарова неожиданно выз</w:t>
      </w:r>
      <w:r w:rsidRPr="00D03F3E">
        <w:rPr>
          <w:rFonts w:ascii="Times New Roman" w:hAnsi="Times New Roman"/>
          <w:color w:val="000000" w:themeColor="text1"/>
          <w:sz w:val="16"/>
          <w:szCs w:val="16"/>
        </w:rPr>
        <w:softHyphen/>
        <w:t>вали к наркому авиапромышленности А.И. Шахурину. Тот предложил заводу подключиться к выпуску АЧ-30Б, для чего командировать, а фактически - отдать часть специалистов и оборудования за</w:t>
      </w:r>
      <w:r w:rsidRPr="00D03F3E">
        <w:rPr>
          <w:rFonts w:ascii="Times New Roman" w:hAnsi="Times New Roman"/>
          <w:color w:val="000000" w:themeColor="text1"/>
          <w:sz w:val="16"/>
          <w:szCs w:val="16"/>
        </w:rPr>
        <w:softHyphen/>
        <w:t>воду №500. Однако Комаров предложил встречное решение: передать этот дви</w:t>
      </w:r>
      <w:r w:rsidRPr="00D03F3E">
        <w:rPr>
          <w:rFonts w:ascii="Times New Roman" w:hAnsi="Times New Roman"/>
          <w:color w:val="000000" w:themeColor="text1"/>
          <w:sz w:val="16"/>
          <w:szCs w:val="16"/>
        </w:rPr>
        <w:softHyphen/>
        <w:t>гатель для освоения заводу №45, заб</w:t>
      </w:r>
      <w:r w:rsidRPr="00D03F3E">
        <w:rPr>
          <w:rFonts w:ascii="Times New Roman" w:hAnsi="Times New Roman"/>
          <w:color w:val="000000" w:themeColor="text1"/>
          <w:sz w:val="16"/>
          <w:szCs w:val="16"/>
        </w:rPr>
        <w:softHyphen/>
        <w:t>рав специалистов с «пятисотого».</w:t>
      </w:r>
    </w:p>
    <w:p w14:paraId="1AC905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Поразмыслив, А.И. Шахурин пору</w:t>
      </w:r>
      <w:r w:rsidRPr="00D03F3E">
        <w:rPr>
          <w:rFonts w:ascii="Times New Roman" w:hAnsi="Times New Roman"/>
          <w:color w:val="000000" w:themeColor="text1"/>
          <w:sz w:val="16"/>
          <w:szCs w:val="16"/>
        </w:rPr>
        <w:softHyphen/>
        <w:t>чил заводу №45 изготовление боль</w:t>
      </w:r>
      <w:r w:rsidRPr="00D03F3E">
        <w:rPr>
          <w:rFonts w:ascii="Times New Roman" w:hAnsi="Times New Roman"/>
          <w:color w:val="000000" w:themeColor="text1"/>
          <w:sz w:val="16"/>
          <w:szCs w:val="16"/>
        </w:rPr>
        <w:softHyphen/>
        <w:t>шой номенклатуры деталей для дизе</w:t>
      </w:r>
      <w:r w:rsidRPr="00D03F3E">
        <w:rPr>
          <w:rFonts w:ascii="Times New Roman" w:hAnsi="Times New Roman"/>
          <w:color w:val="000000" w:themeColor="text1"/>
          <w:sz w:val="16"/>
          <w:szCs w:val="16"/>
        </w:rPr>
        <w:softHyphen/>
        <w:t>ля, которые на первом этапе решил от</w:t>
      </w:r>
      <w:r w:rsidRPr="00D03F3E">
        <w:rPr>
          <w:rFonts w:ascii="Times New Roman" w:hAnsi="Times New Roman"/>
          <w:color w:val="000000" w:themeColor="text1"/>
          <w:sz w:val="16"/>
          <w:szCs w:val="16"/>
        </w:rPr>
        <w:softHyphen/>
        <w:t>правлять на 500-й завод. Параллельно следовало готовиться к запуску дизеля в серию и на заводе №45. Директор предприятия Комаров впоследствии вспоминал, что на его просьбу об умень</w:t>
      </w:r>
      <w:r w:rsidRPr="00D03F3E">
        <w:rPr>
          <w:rFonts w:ascii="Times New Roman" w:hAnsi="Times New Roman"/>
          <w:color w:val="000000" w:themeColor="text1"/>
          <w:sz w:val="16"/>
          <w:szCs w:val="16"/>
        </w:rPr>
        <w:softHyphen/>
        <w:t>шении плана выпуска моторов для штур</w:t>
      </w:r>
      <w:r w:rsidRPr="00D03F3E">
        <w:rPr>
          <w:rFonts w:ascii="Times New Roman" w:hAnsi="Times New Roman"/>
          <w:color w:val="000000" w:themeColor="text1"/>
          <w:sz w:val="16"/>
          <w:szCs w:val="16"/>
        </w:rPr>
        <w:softHyphen/>
        <w:t>мовика нарком ответил отказом: «План по моторам для штурмовиков прежний. Изыскивайте резервы» (11159).</w:t>
      </w:r>
    </w:p>
    <w:p w14:paraId="2CD4759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AF9A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марта 1943 было утверждено положение о ведущем инженере НИИ ВВС (753,9). Ведущий инженер:</w:t>
      </w:r>
    </w:p>
    <w:p w14:paraId="04B915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руководит работой летно-технического и инженерного состава, выделенной приказом для проведения испытания объекта;</w:t>
      </w:r>
    </w:p>
    <w:p w14:paraId="4B8307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и основной состав его бригады выделяются с первых дней зарождения объекта;</w:t>
      </w:r>
    </w:p>
    <w:p w14:paraId="7CD64E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подготавливает проекты и ведет необходимую техническую документацию по объекту (ТТТ, заключение по эскизному проекту, программа испытаний и отчет по ним, инструкцию по эксплуатации, журнал состояния объекта, справочники) и отвечает перед непосредственным и вышестоящими начальниками за своевременность их подготовки, их полноту и техническую грамотность;</w:t>
      </w:r>
    </w:p>
    <w:p w14:paraId="447E0E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в процессе проектирования, постройки и доводочных испытаний организует изучение объекта и контроль за выполнением утвержденных ТТТ и доводкой объекта;</w:t>
      </w:r>
    </w:p>
    <w:p w14:paraId="330268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свои замечания и пожелания предъявляет ГК и производству четырех военпредов ГУ ИАС ВВС после утверждения вышестоящими начальниками (753,9).</w:t>
      </w:r>
    </w:p>
    <w:p w14:paraId="7E76D3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Тогда же утвердили положение о в/п ГУ ИАС на опытных и серийных з-дах и в НИИ и КБ. Утвердил Репин, подписали Бибиков и Лапин (753,11).</w:t>
      </w:r>
    </w:p>
    <w:p w14:paraId="2F98B1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CBD2E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965AE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F17B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марта 1943 года в Челябинске начался серийный выпуск СУ-152. Постепенно производственные мощности "Танкограда" (ЧТЗ) были переключены с КВ-1c на СУ-152. До конца 1943 года было выпущено 704 машины. Уже в ходе серийного производства для СУ-152 была спроектирована турельная установка зенитного 12,7-мм пулемета ДШК, который мог применяться и против наземных целей (поскольку первоначально установка пулеметов на САУ не предусматривалась). (3862).</w:t>
      </w:r>
    </w:p>
    <w:p w14:paraId="072147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BB1C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марта 1943 вышло Постановление ГКО № 2954 О строительстве цехов по производству фенола на заводах № 237, 630, 767 и Сталиногорском фенольном заводе Наркомхимпрома.РГАНИР, Фонд ГКО, д. 92, лл. 106-109, 110-114 (11012).</w:t>
      </w:r>
    </w:p>
    <w:p w14:paraId="7F3EDF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6E5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марта 1943 вышло Постановление ГКО № 2955 О вводе в 1943 году в действие второй очереди Чирчикского электрохимического комбината НКХП.РГАНИР, Фонд ГКО, д. 92, лл. 115-119, 120-133 (11012).</w:t>
      </w:r>
    </w:p>
    <w:p w14:paraId="65AD9D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82795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387541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4EE454"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марта</w:t>
      </w:r>
      <w:r w:rsidRPr="00D03F3E">
        <w:rPr>
          <w:rFonts w:ascii="Times New Roman" w:hAnsi="Times New Roman"/>
          <w:color w:val="000000" w:themeColor="text1"/>
          <w:sz w:val="16"/>
          <w:szCs w:val="16"/>
        </w:rPr>
        <w:t xml:space="preserve"> в 1943 году утреннее сообщение Совинформбюро:</w:t>
      </w:r>
    </w:p>
    <w:p w14:paraId="3E9A1D3E"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 марта наши войска вели наступательные бои на прежних направлениях.</w:t>
      </w:r>
    </w:p>
    <w:p w14:paraId="3960AC3D"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войска цели огневой бой с противником. Огнём нашей артиллерии и миномётов уничтожены ряд немецких дзотов, 3 артиллерийские батареи, 5 миномётов и 18 пулемётных точек. Бойцы Н-ской части разгромили роту вражеской пехоты, подбили 3 бронемашины и уничтожили 15 автомашин противника с боеприпасами и снаряжением.</w:t>
      </w:r>
    </w:p>
    <w:p w14:paraId="4CBC7C65"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Нашей авиацией в воздушных боях, а также огнём зенитной артиллерии сбито 16 немецких самолётов.</w:t>
      </w:r>
    </w:p>
    <w:p w14:paraId="75FD1F88"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Н-ская часть отбила контратаку немецкой пехоты и, преследуя отступающих гитлеровцев, овладела одним населённым пунктом. Убито свыше 100 немецких солдат и офицеров. Захвачены пленные и трофеи.</w:t>
      </w:r>
    </w:p>
    <w:p w14:paraId="0AAF9361"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Харькова наши войска вели наступательные бои и овладели рядом населённых пунктов. Только в бою за один из этих населённых пунктов разгромлены две роты противника. Захвачены трофеи, в числе которых 23 автомашины с имуществом полка связи. На другом участке бойцы Н-ской части, преодолевая упорное сопротивление противника, продвигались вперёд и захватили трофеи и пленных.</w:t>
      </w:r>
    </w:p>
    <w:p w14:paraId="0CB5A42B"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Курска наши части продолжали наступательные бои и освободили несколько населённых пунктов, На одном участке немцы предприняли контратаку, но были отброшены, оставив на поле боя до 200 трупов. Захвачены 3 орудия, 2 крупнокалиберных пулемёта, 6 миномётов и склад боеприпасов. На другом участке нашими частями захвачены 5 артиллерийских складов и склад продфуража, в котором ссыпано до 500 тонн пшеницы и овса.</w:t>
      </w:r>
    </w:p>
    <w:p w14:paraId="2F67B461"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«За Родину», действующего в одном из районов Украины, в бою за населённый пункт, расположенный близ важной железнодорожной магистрали, истребили свыше 100 немецких солдат и офицеров. Группа партизан другого украинского отряда пустила под откос 2 воинских эшелона противника. Разбито 2 паровоза и 49 вагонов.</w:t>
      </w:r>
    </w:p>
    <w:p w14:paraId="387FADE7"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солдат 13 полка 4 немецкой горнострелковой дивизии Фриц Кайзер рассказал: «Наша дивизия продолжает отступать. Никто не знает, где мы остановимся. Ввиду недостатка горючего командование отдало приказ сжечь 60 процентов автотранспорта. Значительное количество вооружения, боеприпасов и ценного имущества мы не успели уничтожить, и оно попало в руки русских. В связи с поражением германской армии на Кавказе и «а Кубани настроение солдат резко снизилось. Всё чаще можно услышать выражение недовольства затянувшейся войной. Недавно по доносу обер-ефрейтора Штерна расстреляли трёх солдат и унтер-офицера, сговорившихся между собою сдаться в плен русским. Через несколько днейо бер-ефрейтор Штерн был найден убитым».</w:t>
      </w:r>
    </w:p>
    <w:p w14:paraId="153F4765"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учинили кровавую расправу над мирными жителями села Ново-Светловка, Ворошиловградской области. Гитлеровские палачи вырезали и расстреляли целые семьи. В числе расстрелянных Мария Бондаренко, Пелагея Бондаренко и её пятилетний сын, Иван Хмельницкий, Екатерина Хмельницкая и другие жители. Трупы замученных и расстрелянных гитлеровцы сваливали в огромную воронку посреди села. Всего от рук немецко-фашистских палачей погибло около 150 мирных советских граждан.» (15055).</w:t>
      </w:r>
    </w:p>
    <w:p w14:paraId="37A2A451" w14:textId="77777777" w:rsidR="00350420" w:rsidRPr="00D03F3E" w:rsidRDefault="00350420" w:rsidP="00D03F3E">
      <w:pPr>
        <w:spacing w:after="0" w:line="240" w:lineRule="auto"/>
        <w:jc w:val="both"/>
        <w:rPr>
          <w:rFonts w:ascii="Times New Roman" w:hAnsi="Times New Roman"/>
          <w:color w:val="000000" w:themeColor="text1"/>
          <w:sz w:val="16"/>
          <w:szCs w:val="16"/>
        </w:rPr>
      </w:pPr>
    </w:p>
    <w:p w14:paraId="75867ADC"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марта</w:t>
      </w:r>
      <w:r w:rsidRPr="00D03F3E">
        <w:rPr>
          <w:rFonts w:ascii="Times New Roman" w:hAnsi="Times New Roman"/>
          <w:color w:val="000000" w:themeColor="text1"/>
          <w:sz w:val="16"/>
          <w:szCs w:val="16"/>
        </w:rPr>
        <w:t xml:space="preserve"> в 1943 году вечернее сообщение Совинформбюро:</w:t>
      </w:r>
    </w:p>
    <w:p w14:paraId="4324360B"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днях войска Северо-Западного фронта перешли в наступление против Демянской группы войск противника. За восемь дней боёв наши войска освободили 302 населённых пункта, в том числе город Демянск и районные центры Лычково, Залучье.</w:t>
      </w:r>
    </w:p>
    <w:p w14:paraId="5F3A2208"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наступательные бои на прежних направлениях.</w:t>
      </w:r>
    </w:p>
    <w:p w14:paraId="5438652C"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февраля частями нашей авиации на различных участках фронта уничтожено или повреждено до 100 немецких автомашин с войсками и грузами, подавлен огонь 4 артиллерийских батарей и взорван склад с боеприпасами противника.</w:t>
      </w:r>
    </w:p>
    <w:p w14:paraId="128E21C7"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Западнее Ростова-на-Дону части Н-ского соединения овладели многочисленными укреплениями и опорными пунктами немцев. Лишь на одном участке советские подразделения разрушили 26 вражеских дзотов и блиндажей, уничтожили 8 орудий и десятки пулемётных точек. Пытаясь вернуть потерянные позиции, гитлеровцы предприняли контратаку, но были отброшены. На поле боя противник оставил до 200 трупов и 2 подбитых танка.</w:t>
      </w:r>
    </w:p>
    <w:p w14:paraId="71B28C22"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наши части отбивали контратаки противника, а частью сил вели разведку боем. Советские танковые и моторизованные подразделения уничтожили до батальона немецкой пехоты, подбили и сожгли 5 танков, 15 автомашин с боеприпасами и 4 автоцистерны с бензином. На другом участке бойцы Н-ской части захватили 2 склада боеприпасов, склад с продовольствием, 5 орудий, 8 миномётов, 11 пулемётов и другие трофеи, взяты пленные.</w:t>
      </w:r>
    </w:p>
    <w:p w14:paraId="69B6E112"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войска продолжали наступление и заняли несколько населённых пунктов. Бойцы Н-ской части, продвигаясь по колено в воде и грязи, овладели сильно укреплёнными позициями противника и захватили 7 орудий, 18 пулемётов, 5 миномётов, 2 склада с боеприпасами, 40 лошадей и 19 тракторов. На поле боя осталось до 300 вражеских трупов. На другом участке уничтожены 3 немецких танка и 2 бронемашины.</w:t>
      </w:r>
    </w:p>
    <w:p w14:paraId="27E55EF6"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Крупный партизанский отряд, действующий в одном из районов Украины, 20 февраля произвёл одновременный налёт на несколько железнодорожных станций. Партизаны истребили немецкую охрану и разрушили станционное оборудование. На одной железнодорожной станции подорваны депо и вспомогательные мастерские, уничтожены 9 паровозов, склады с горючим, продовольствием и лесоматериалами. Выведена из строя электростанция крупного железнодорожного узла. На другой станции партизаны уничтожили гараж, 5 автомашин, 2 телефонные станции, склад с зерном и пекарню воинской части. В бою с противником советские патриоты уничтожили 80 немецких солдат и офицеров. Захвачено 3 пулемёта, 84 винтовки, 3 пистолета, 1.200 патронов, 40 комплектов обмундирования и другое военное имущество и снаряжение. 88 гитлеровцев сдались партизанам в плен.</w:t>
      </w:r>
    </w:p>
    <w:p w14:paraId="2578BAAB"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Перед отступлением из посёлка Рогаль, Харьковской области, немецко-фашистские мерзавцы расстреляли 16 мирных жителей. Кроме того, фашистские палачи повесили девять советских женщин: Марфу Вредину — мать двух детей, Марию Горгуль — 23 лет, Ольгу Бельцеву — 24 лет и других.</w:t>
      </w:r>
    </w:p>
    <w:p w14:paraId="239DE78C"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Бельгийские патриоты организовали в районе Шарлеруа крушение немецкого воинского эшелона. Разбито свыше 20 вагонов. При катастрофе убито и ранено более 100 гитлеровцев. В Антверпене группа вооружённых. бельгийцев проникла в штаб немецкой части, истребила 7 гитлеровцев и, захватив секретные документы, взорвала здание.».</w:t>
      </w:r>
    </w:p>
    <w:p w14:paraId="7BC8ACE3"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5C9D8829"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Ликвидация укрепленного плацдарма противника в районе Демьянска.</w:t>
      </w:r>
    </w:p>
    <w:p w14:paraId="227D64F0"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сентябре 1941 года немецко-фашистским войскам удалось прорваться юго-восточнее озера Ильмень и занять силами 16 немецкой армии район Залучье —Лычково — Демянск и далее на восток до берегов озёр Велье и Селигер. В течение последующих 17 месяцев противник упорно и настойчиво стремился удержать за собой захваченный плацдарм и превратил его в мощный укреплённый район, назвав его «Демянской крепостью». Немцы рассчитывали использовать этот укреплённый район для развёртывания удара на важнейшие коммуникации Северной группы наших войск. За это же время указанный район неоднократно был ареной ожесточённых боёв, в которых перемалывались немецкие дивизии.</w:t>
      </w:r>
    </w:p>
    <w:p w14:paraId="3F960F13"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днях войска Северо-Западного фронта под командованием маршала Тимошенко перешли в наступление против 16-й немецкой армии. В ходе боёв наши войска, прорвав на ряде участков сильно укреплённую полосу противника, создали реальную угрозу двойного окружения немецко-фашистских войск. Противник, почувствовав опасность окружения, начал под ударами наших войск поспешное отступление назапад.</w:t>
      </w:r>
    </w:p>
    <w:p w14:paraId="7ACD151B"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8 дней боёв наши войска, неотступно преследуя противника, освободили 302 населённых пункта, в том числе город Демянск и районные центры Лычково, Залучье.Очищена от противника территория площадью в 2.350 квадратных километров.</w:t>
      </w:r>
    </w:p>
    <w:p w14:paraId="28AF9868"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восемь дней боёв наши войска захватили в плен 3.000 немецких солдат и офицеров.</w:t>
      </w:r>
    </w:p>
    <w:p w14:paraId="7376A153"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это же время взяты следующие трофеи: самолётов — 78, танков — 97, орудий разного калибра — 289, пулемётов — 711, а также большое количество боеприпасов и много другого военного имущества.</w:t>
      </w:r>
    </w:p>
    <w:p w14:paraId="2917DB4C"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Противник оставил на поле боя более 8.000 трупов.» (15055).</w:t>
      </w:r>
    </w:p>
    <w:p w14:paraId="1344CD0D" w14:textId="77777777" w:rsidR="00350420" w:rsidRPr="00D03F3E" w:rsidRDefault="00350420" w:rsidP="00D03F3E">
      <w:pPr>
        <w:spacing w:after="0" w:line="240" w:lineRule="auto"/>
        <w:jc w:val="both"/>
        <w:rPr>
          <w:rFonts w:ascii="Times New Roman" w:hAnsi="Times New Roman"/>
          <w:color w:val="000000" w:themeColor="text1"/>
          <w:sz w:val="16"/>
          <w:szCs w:val="16"/>
        </w:rPr>
      </w:pPr>
    </w:p>
    <w:p w14:paraId="517B286A" w14:textId="77777777" w:rsidR="00350420" w:rsidRPr="00D03F3E" w:rsidRDefault="00350420"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На 1 марта 1943 года в частях Действующей Армии имелось всего восемь таких полков в составе пяти фронтов (на Ле</w:t>
      </w:r>
      <w:r w:rsidRPr="00D03F3E">
        <w:rPr>
          <w:rFonts w:ascii="Times New Roman" w:cs="Times New Roman"/>
          <w:color w:val="000000" w:themeColor="text1"/>
          <w:spacing w:val="0"/>
        </w:rPr>
        <w:softHyphen/>
        <w:t>нинградском Центральном и Юго-Западном по два, на Северо-Западном и Брянском - по одному) (15226).</w:t>
      </w:r>
    </w:p>
    <w:p w14:paraId="7CCA494A" w14:textId="77777777" w:rsidR="00350420" w:rsidRPr="00D03F3E" w:rsidRDefault="00350420" w:rsidP="00D03F3E">
      <w:pPr>
        <w:pStyle w:val="27"/>
        <w:shd w:val="clear" w:color="auto" w:fill="auto"/>
        <w:spacing w:after="0" w:line="240" w:lineRule="auto"/>
        <w:ind w:firstLine="0"/>
        <w:rPr>
          <w:rFonts w:ascii="Times New Roman" w:cs="Times New Roman"/>
          <w:color w:val="000000" w:themeColor="text1"/>
          <w:spacing w:val="0"/>
        </w:rPr>
      </w:pPr>
    </w:p>
    <w:p w14:paraId="776A93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March 1st, 1943: On the central front in the East, German troops begin the evacuation of the Rshev area (3819).</w:t>
      </w:r>
    </w:p>
    <w:p w14:paraId="4EA838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68DC6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марта 1943 на ЦФ немецкие части начали отход из района Ржева (3819).</w:t>
      </w:r>
    </w:p>
    <w:p w14:paraId="281050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F0411E"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5FFEDF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CAAC0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марта 1943 вышло Постановление ГКО № 2953 О восстановлении мостов через Дон у Ростова и мостов на 3 и 6 километрах поймы реки Дон на перегоне Ростов - Батайск. (7084, 105).</w:t>
      </w:r>
    </w:p>
    <w:p w14:paraId="2D3559F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C903A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249E6D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E21BF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марта 1943 СССР заявил о том, что после войны не намерен возвращать Польше Западную Украину и Белоруссию (4962).</w:t>
      </w:r>
    </w:p>
    <w:p w14:paraId="3957298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E0B1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марта 1943 Опубликование декларации ЦК Польской рабочей партии "За что мы боремся?", в которой была сформулирована программа-минимум партии (7451).</w:t>
      </w:r>
    </w:p>
    <w:p w14:paraId="49F522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388B9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005027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1883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марта 1943 англичане вели стратегическую бомбардировку всех европейских ж/д (2100).</w:t>
      </w:r>
    </w:p>
    <w:p w14:paraId="2D7B3A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738791" w14:textId="77777777" w:rsidR="00381A38" w:rsidRPr="00D03F3E" w:rsidRDefault="00381A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марта 1943 года</w:t>
      </w:r>
      <w:r w:rsidRPr="00D03F3E">
        <w:rPr>
          <w:rFonts w:ascii="Times New Roman" w:hAnsi="Times New Roman"/>
          <w:color w:val="000000" w:themeColor="text1"/>
          <w:sz w:val="16"/>
          <w:szCs w:val="16"/>
        </w:rPr>
        <w:t xml:space="preserve"> 257 самолетов уничтожили заводы «Телефункен» и железнодорожные мастерс</w:t>
      </w:r>
      <w:r w:rsidRPr="00D03F3E">
        <w:rPr>
          <w:rFonts w:ascii="Times New Roman" w:hAnsi="Times New Roman"/>
          <w:color w:val="000000" w:themeColor="text1"/>
          <w:sz w:val="16"/>
          <w:szCs w:val="16"/>
        </w:rPr>
        <w:softHyphen/>
        <w:t>кие в Темпельхофе. Погибли 191 гражданских, сбито 17 самолетов.</w:t>
      </w:r>
      <w:r w:rsidRPr="00D03F3E">
        <w:rPr>
          <w:rFonts w:ascii="Times New Roman" w:hAnsi="Times New Roman"/>
          <w:bCs/>
          <w:color w:val="000000" w:themeColor="text1"/>
          <w:sz w:val="16"/>
          <w:szCs w:val="16"/>
        </w:rPr>
        <w:t xml:space="preserve"> 18-19 марта</w:t>
      </w:r>
      <w:r w:rsidRPr="00D03F3E">
        <w:rPr>
          <w:rFonts w:ascii="Times New Roman" w:hAnsi="Times New Roman"/>
          <w:color w:val="000000" w:themeColor="text1"/>
          <w:sz w:val="16"/>
          <w:szCs w:val="16"/>
        </w:rPr>
        <w:t xml:space="preserve"> в ходе ещё одного налета погибло уже 300 человек, за что летчики расплатились 30-ю самолетами. Дальше масштабы бомбрдировок только возрастали.</w:t>
      </w:r>
    </w:p>
    <w:p w14:paraId="4A24C0DC" w14:textId="77777777" w:rsidR="00381A38" w:rsidRPr="00D03F3E" w:rsidRDefault="00381A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 концу марта 1943 погибшими от бомбардировок непосредственно в Берлине числилось 1700 гражданских лиц. А в ходе всего 3-х налетов в промежутке с </w:t>
      </w:r>
      <w:r w:rsidRPr="00D03F3E">
        <w:rPr>
          <w:rFonts w:ascii="Times New Roman" w:hAnsi="Times New Roman"/>
          <w:bCs/>
          <w:color w:val="000000" w:themeColor="text1"/>
          <w:sz w:val="16"/>
          <w:szCs w:val="16"/>
        </w:rPr>
        <w:t>23.08.43</w:t>
      </w:r>
      <w:r w:rsidRPr="00D03F3E">
        <w:rPr>
          <w:rFonts w:ascii="Times New Roman" w:hAnsi="Times New Roman"/>
          <w:color w:val="000000" w:themeColor="text1"/>
          <w:sz w:val="16"/>
          <w:szCs w:val="16"/>
        </w:rPr>
        <w:t xml:space="preserve"> по </w:t>
      </w:r>
      <w:r w:rsidRPr="00D03F3E">
        <w:rPr>
          <w:rFonts w:ascii="Times New Roman" w:hAnsi="Times New Roman"/>
          <w:bCs/>
          <w:color w:val="000000" w:themeColor="text1"/>
          <w:sz w:val="16"/>
          <w:szCs w:val="16"/>
        </w:rPr>
        <w:t>04.09.43</w:t>
      </w:r>
      <w:r w:rsidRPr="00D03F3E">
        <w:rPr>
          <w:rFonts w:ascii="Times New Roman" w:hAnsi="Times New Roman"/>
          <w:color w:val="000000" w:themeColor="text1"/>
          <w:sz w:val="16"/>
          <w:szCs w:val="16"/>
        </w:rPr>
        <w:t xml:space="preserve"> г.г. погибло уже 1344 человека, в то время как потери бомбардировщиков составили 125 машин из 1669. Конечно это было много, однако ни шло ни в какое сравнение с потерями 1940 года, когда едва ли треть самолетов возвращалась на базу.</w:t>
      </w:r>
    </w:p>
    <w:p w14:paraId="7F078312" w14:textId="77777777" w:rsidR="00381A38" w:rsidRPr="00D03F3E" w:rsidRDefault="00381A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серии последовательных налетов с </w:t>
      </w:r>
      <w:r w:rsidRPr="00D03F3E">
        <w:rPr>
          <w:rFonts w:ascii="Times New Roman" w:hAnsi="Times New Roman"/>
          <w:bCs/>
          <w:color w:val="000000" w:themeColor="text1"/>
          <w:sz w:val="16"/>
          <w:szCs w:val="16"/>
        </w:rPr>
        <w:t>18-27</w:t>
      </w:r>
      <w:r w:rsidRPr="00D03F3E">
        <w:rPr>
          <w:rFonts w:ascii="Times New Roman" w:hAnsi="Times New Roman"/>
          <w:color w:val="000000" w:themeColor="text1"/>
          <w:sz w:val="16"/>
          <w:szCs w:val="16"/>
        </w:rPr>
        <w:t xml:space="preserve"> (с перерывами) </w:t>
      </w:r>
      <w:r w:rsidRPr="00D03F3E">
        <w:rPr>
          <w:rFonts w:ascii="Times New Roman" w:hAnsi="Times New Roman"/>
          <w:bCs/>
          <w:color w:val="000000" w:themeColor="text1"/>
          <w:sz w:val="16"/>
          <w:szCs w:val="16"/>
        </w:rPr>
        <w:t>ноября 1943года</w:t>
      </w:r>
      <w:r w:rsidRPr="00D03F3E">
        <w:rPr>
          <w:rFonts w:ascii="Times New Roman" w:hAnsi="Times New Roman"/>
          <w:color w:val="000000" w:themeColor="text1"/>
          <w:sz w:val="16"/>
          <w:szCs w:val="16"/>
        </w:rPr>
        <w:t xml:space="preserve"> участвовало 2044 самолета из которых сбиты были всего 83 машины. Потери мирного населения составили 4330 человек.</w:t>
      </w:r>
    </w:p>
    <w:p w14:paraId="5E3C50DC" w14:textId="77777777" w:rsidR="00381A38" w:rsidRPr="00D03F3E" w:rsidRDefault="00381A38" w:rsidP="00D03F3E">
      <w:pPr>
        <w:pStyle w:val="ae"/>
        <w:spacing w:before="0" w:after="0"/>
        <w:jc w:val="both"/>
        <w:rPr>
          <w:color w:val="000000" w:themeColor="text1"/>
          <w:sz w:val="16"/>
          <w:szCs w:val="16"/>
        </w:rPr>
      </w:pPr>
      <w:r w:rsidRPr="00D03F3E">
        <w:rPr>
          <w:color w:val="000000" w:themeColor="text1"/>
          <w:sz w:val="16"/>
          <w:szCs w:val="16"/>
        </w:rPr>
        <w:t xml:space="preserve">Следующая серия налетов была </w:t>
      </w:r>
      <w:r w:rsidRPr="00D03F3E">
        <w:rPr>
          <w:rStyle w:val="a7"/>
          <w:b w:val="0"/>
          <w:color w:val="000000" w:themeColor="text1"/>
          <w:sz w:val="16"/>
          <w:szCs w:val="16"/>
        </w:rPr>
        <w:t>2-3, 16-17, 23-24, 29-30 декабря 1943 года</w:t>
      </w:r>
      <w:r w:rsidRPr="00D03F3E">
        <w:rPr>
          <w:color w:val="000000" w:themeColor="text1"/>
          <w:sz w:val="16"/>
          <w:szCs w:val="16"/>
        </w:rPr>
        <w:t>, подтвердив тенденцию. Из 2042 самолётов не вернулось 66 машин, на земле погибло 1220 человек (налеты были на заводы, а дело было ночью, поэтому и жертв меньше, чем могло бы быть).</w:t>
      </w:r>
    </w:p>
    <w:p w14:paraId="4AF6E38F" w14:textId="77777777" w:rsidR="00381A38" w:rsidRPr="00D03F3E" w:rsidRDefault="00381A38" w:rsidP="00D03F3E">
      <w:pPr>
        <w:pStyle w:val="ae"/>
        <w:spacing w:before="0" w:after="0"/>
        <w:jc w:val="both"/>
        <w:rPr>
          <w:color w:val="000000" w:themeColor="text1"/>
          <w:sz w:val="16"/>
          <w:szCs w:val="16"/>
        </w:rPr>
      </w:pPr>
      <w:r w:rsidRPr="00D03F3E">
        <w:rPr>
          <w:color w:val="000000" w:themeColor="text1"/>
          <w:sz w:val="16"/>
          <w:szCs w:val="16"/>
        </w:rPr>
        <w:t>За год Берлин претерпел ужасные изменения: район Тиргартен был совершенно разрушен, в руинах лежали замок Шарлоттен- бурга, проспект Унтер-ден-Линден, мемориальная церковь на Курфюрстендамм, танковые заводы Сименса и Алькетта, кварталы Коперник и Трептов. Сильно была повреждена транспортная сеть города.</w:t>
      </w:r>
    </w:p>
    <w:p w14:paraId="7C84C468" w14:textId="77777777" w:rsidR="00381A38" w:rsidRPr="00D03F3E" w:rsidRDefault="00381A38" w:rsidP="00D03F3E">
      <w:pPr>
        <w:pStyle w:val="ae"/>
        <w:spacing w:before="0" w:after="0"/>
        <w:jc w:val="both"/>
        <w:rPr>
          <w:color w:val="000000" w:themeColor="text1"/>
          <w:sz w:val="16"/>
          <w:szCs w:val="16"/>
        </w:rPr>
      </w:pPr>
      <w:r w:rsidRPr="00D03F3E">
        <w:rPr>
          <w:color w:val="000000" w:themeColor="text1"/>
          <w:sz w:val="16"/>
          <w:szCs w:val="16"/>
        </w:rPr>
        <w:t>Всего за 1943 год на Берлин было произведено 42 больших и малых авианалета, в которых были задействовано в общей сложности 3900 самолетов (17416).</w:t>
      </w:r>
    </w:p>
    <w:p w14:paraId="0C6FB35C" w14:textId="77777777" w:rsidR="00381A38" w:rsidRPr="00D03F3E" w:rsidRDefault="00381A38" w:rsidP="00D03F3E">
      <w:pPr>
        <w:spacing w:after="0" w:line="240" w:lineRule="auto"/>
        <w:jc w:val="both"/>
        <w:rPr>
          <w:rFonts w:ascii="Times New Roman" w:hAnsi="Times New Roman"/>
          <w:color w:val="000000" w:themeColor="text1"/>
          <w:sz w:val="16"/>
          <w:szCs w:val="16"/>
        </w:rPr>
      </w:pPr>
    </w:p>
    <w:p w14:paraId="26995ACB"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 1 марта 1943 с 14 января 1944 бомбардировочное командование Королевских ВВС четыре раза совершало крупные налеты на Вильгельмсхафен, по три раза на Берлин , Кельн и Гамбург , а также на Бремен, Дюссельдорф и Нюрнберг по одному разу, а также на Милан и Турин (20376).</w:t>
      </w:r>
    </w:p>
    <w:p w14:paraId="643CDB2F" w14:textId="77777777" w:rsidR="00B00BF5" w:rsidRPr="00D03F3E" w:rsidRDefault="00B00BF5" w:rsidP="00D03F3E">
      <w:pPr>
        <w:spacing w:after="0" w:line="240" w:lineRule="auto"/>
        <w:jc w:val="both"/>
        <w:rPr>
          <w:rFonts w:ascii="Times New Roman" w:hAnsi="Times New Roman"/>
          <w:color w:val="0070C0"/>
          <w:sz w:val="16"/>
          <w:szCs w:val="16"/>
        </w:rPr>
      </w:pPr>
    </w:p>
    <w:p w14:paraId="0DB1982F"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 1 марта 1943 прибрежное командование Королевских ВВС первым развертывает радар ASV Mark III 920376).</w:t>
      </w:r>
    </w:p>
    <w:p w14:paraId="7127EB15" w14:textId="77777777" w:rsidR="00B00BF5" w:rsidRPr="00D03F3E" w:rsidRDefault="00B00BF5" w:rsidP="00D03F3E">
      <w:pPr>
        <w:spacing w:after="0" w:line="240" w:lineRule="auto"/>
        <w:jc w:val="both"/>
        <w:rPr>
          <w:rFonts w:ascii="Times New Roman" w:hAnsi="Times New Roman"/>
          <w:color w:val="0070C0"/>
          <w:sz w:val="16"/>
          <w:szCs w:val="16"/>
        </w:rPr>
      </w:pPr>
    </w:p>
    <w:p w14:paraId="237284AF"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1–2 марта (ночь) 1943 бомбардировочное командование Королевских ВВС совершает последний налет своей кампании в начале 1943 года против немецких подводных лодок и их баз во Франции. С начала кампании 14 января оно девять раз атаковало Лорьян и один раз Брест, но обнаружил, что укрытия немецких подводных лодок неуязвимы для его бомб. Рейды нанесли большой ущерб французским городам и их жителям (20376).</w:t>
      </w:r>
    </w:p>
    <w:p w14:paraId="7B58F162" w14:textId="77777777" w:rsidR="00B00BF5" w:rsidRPr="00D03F3E" w:rsidRDefault="00B00BF5" w:rsidP="00D03F3E">
      <w:pPr>
        <w:spacing w:after="0" w:line="240" w:lineRule="auto"/>
        <w:jc w:val="both"/>
        <w:rPr>
          <w:rFonts w:ascii="Times New Roman" w:hAnsi="Times New Roman"/>
          <w:color w:val="0070C0"/>
          <w:sz w:val="16"/>
          <w:szCs w:val="16"/>
        </w:rPr>
      </w:pPr>
    </w:p>
    <w:p w14:paraId="3440815A"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марта</w:t>
      </w:r>
      <w:r w:rsidRPr="00D03F3E">
        <w:rPr>
          <w:rFonts w:ascii="Times New Roman" w:hAnsi="Times New Roman"/>
          <w:color w:val="000000" w:themeColor="text1"/>
          <w:sz w:val="16"/>
          <w:szCs w:val="16"/>
        </w:rPr>
        <w:t xml:space="preserve"> в 1943 году англо-американо-канадская конференция по вопросу борьбы с немецкими подводными лодками в Северной Атлантике. Ответственность за проводку конвоев в Северной Атлантике возложена на англичан и канадцев, а в Центральной – на американцев (15055).</w:t>
      </w:r>
    </w:p>
    <w:p w14:paraId="29AF24A0" w14:textId="77777777" w:rsidR="00350420" w:rsidRPr="00D03F3E" w:rsidRDefault="00350420" w:rsidP="00D03F3E">
      <w:pPr>
        <w:spacing w:after="0" w:line="240" w:lineRule="auto"/>
        <w:jc w:val="both"/>
        <w:rPr>
          <w:rFonts w:ascii="Times New Roman" w:hAnsi="Times New Roman"/>
          <w:color w:val="000000" w:themeColor="text1"/>
          <w:sz w:val="16"/>
          <w:szCs w:val="16"/>
        </w:rPr>
      </w:pPr>
    </w:p>
    <w:p w14:paraId="3F1CDA2D" w14:textId="77777777" w:rsidR="00350420" w:rsidRPr="00D03F3E" w:rsidRDefault="003504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lastRenderedPageBreak/>
        <w:t>1 марта</w:t>
      </w:r>
      <w:r w:rsidRPr="00D03F3E">
        <w:rPr>
          <w:rFonts w:ascii="Times New Roman" w:hAnsi="Times New Roman"/>
          <w:color w:val="000000" w:themeColor="text1"/>
          <w:sz w:val="16"/>
          <w:szCs w:val="16"/>
        </w:rPr>
        <w:t xml:space="preserve"> в 1943 году японская делегация, направляющаяся в Германию для ведения переговоров о продолжении войны и возможном заключении сепаратного мира Германии и СССР, неожиданно получает транзитную визу для поездки через территорию СССР. Нет сомнений, что советское руководство, если и не знало наверняка, то, определённо, догадывалось о целях поездки данной делегации, так как предоставление подобной визы в условиях ведения войны ничем иным объяснить просто невозможно (15055).</w:t>
      </w:r>
    </w:p>
    <w:p w14:paraId="50EAD833" w14:textId="77777777" w:rsidR="00350420" w:rsidRPr="00D03F3E" w:rsidRDefault="00350420" w:rsidP="00D03F3E">
      <w:pPr>
        <w:spacing w:after="0" w:line="240" w:lineRule="auto"/>
        <w:jc w:val="both"/>
        <w:rPr>
          <w:rFonts w:ascii="Times New Roman" w:hAnsi="Times New Roman"/>
          <w:color w:val="000000" w:themeColor="text1"/>
          <w:sz w:val="16"/>
          <w:szCs w:val="16"/>
        </w:rPr>
      </w:pPr>
    </w:p>
    <w:p w14:paraId="5C74ECE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марта 1943 в Нью-Йорке проведена массовая демонстрация в поддержку евреев Европы (4962).</w:t>
      </w:r>
    </w:p>
    <w:p w14:paraId="0CB2161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07447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марта 1943 в США введены ограничения на торговлю консервированными продуктами (4962).</w:t>
      </w:r>
    </w:p>
    <w:p w14:paraId="5CDA01E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8742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марта 1943 поступил на полигон Wright Field в США и получил код ЕВ-100 Bf 109F-1 N 7640 желтая 12, который 29 мая 1942 был захвачен и потом испытывался в НИИ ВВС (2466,114).</w:t>
      </w:r>
    </w:p>
    <w:p w14:paraId="0A2023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0AE3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March 01 1943 Processed foods and firewood placed on ration lists in the US (1242).</w:t>
      </w:r>
    </w:p>
    <w:p w14:paraId="52D848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E6DEB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марта 1943 в США были введены карточки на готовую пищу и дрова (1242).</w:t>
      </w:r>
    </w:p>
    <w:p w14:paraId="69DDCC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01C29D" w14:textId="77777777" w:rsidR="008C56B3"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79402F6" w14:textId="77777777" w:rsidR="008C56B3" w:rsidRPr="00D03F3E" w:rsidRDefault="008C56B3"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D4D3A5" w14:textId="77777777" w:rsidR="00B00BF5" w:rsidRPr="00D03F3E" w:rsidRDefault="00B00BF5"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2 марта 1943 одноместный Су-6 М-71ф, переделанный в двухместный вариант, был пере</w:t>
      </w:r>
      <w:r w:rsidRPr="00D03F3E">
        <w:rPr>
          <w:rFonts w:ascii="Times New Roman" w:hAnsi="Times New Roman" w:cs="Times New Roman"/>
          <w:color w:val="0070C0"/>
          <w:sz w:val="16"/>
          <w:szCs w:val="16"/>
        </w:rPr>
        <w:softHyphen/>
        <w:t>везен из Молотова (Перми) в Калининград (Московская об</w:t>
      </w:r>
      <w:r w:rsidRPr="00D03F3E">
        <w:rPr>
          <w:rFonts w:ascii="Times New Roman" w:hAnsi="Times New Roman" w:cs="Times New Roman"/>
          <w:color w:val="0070C0"/>
          <w:sz w:val="16"/>
          <w:szCs w:val="16"/>
        </w:rPr>
        <w:softHyphen/>
        <w:t>ласть), куда из Молотова был реэвакуиро</w:t>
      </w:r>
      <w:r w:rsidRPr="00D03F3E">
        <w:rPr>
          <w:rFonts w:ascii="Times New Roman" w:hAnsi="Times New Roman" w:cs="Times New Roman"/>
          <w:color w:val="0070C0"/>
          <w:sz w:val="16"/>
          <w:szCs w:val="16"/>
        </w:rPr>
        <w:softHyphen/>
        <w:t>ван завод №289. В ходе постройки внесли измене</w:t>
      </w:r>
      <w:r w:rsidRPr="00D03F3E">
        <w:rPr>
          <w:rFonts w:ascii="Times New Roman" w:hAnsi="Times New Roman" w:cs="Times New Roman"/>
          <w:color w:val="0070C0"/>
          <w:sz w:val="16"/>
          <w:szCs w:val="16"/>
        </w:rPr>
        <w:softHyphen/>
        <w:t>ния в схему бронирования самолета. Главным образом, это коснулось кабины - стрелка. Для улучшения условий работы стрелка и повышения его защищенно</w:t>
      </w:r>
      <w:r w:rsidRPr="00D03F3E">
        <w:rPr>
          <w:rFonts w:ascii="Times New Roman" w:hAnsi="Times New Roman" w:cs="Times New Roman"/>
          <w:color w:val="0070C0"/>
          <w:sz w:val="16"/>
          <w:szCs w:val="16"/>
        </w:rPr>
        <w:softHyphen/>
        <w:t>сти пулеметную установку сместили на</w:t>
      </w:r>
      <w:r w:rsidRPr="00D03F3E">
        <w:rPr>
          <w:rFonts w:ascii="Times New Roman" w:hAnsi="Times New Roman" w:cs="Times New Roman"/>
          <w:color w:val="0070C0"/>
          <w:sz w:val="16"/>
          <w:szCs w:val="16"/>
        </w:rPr>
        <w:softHyphen/>
        <w:t>зад к хвосту, а блистер с 65-мм про</w:t>
      </w:r>
      <w:r w:rsidRPr="00D03F3E">
        <w:rPr>
          <w:rFonts w:ascii="Times New Roman" w:hAnsi="Times New Roman" w:cs="Times New Roman"/>
          <w:color w:val="0070C0"/>
          <w:sz w:val="16"/>
          <w:szCs w:val="16"/>
        </w:rPr>
        <w:softHyphen/>
        <w:t>зрачной броней поставили под углом к оси самолета. Соответственно, кабина стрелка в верхней ее части стала шире и приобрела характерный «изогнутый вид». Задний броневой пояс стал состав</w:t>
      </w:r>
      <w:r w:rsidRPr="00D03F3E">
        <w:rPr>
          <w:rFonts w:ascii="Times New Roman" w:hAnsi="Times New Roman" w:cs="Times New Roman"/>
          <w:color w:val="0070C0"/>
          <w:sz w:val="16"/>
          <w:szCs w:val="16"/>
        </w:rPr>
        <w:softHyphen/>
        <w:t>ным: внизу - 12-мм вертикальная стенка, посредине - 8-мм наклонная плита и две наклонные боковые 12-мм створки, вверху - наклонная 8-мм и изогнутая 12-мм плиты. Боковую броню по всей площади фонаря (слева и справа) заме</w:t>
      </w:r>
      <w:r w:rsidRPr="00D03F3E">
        <w:rPr>
          <w:rFonts w:ascii="Times New Roman" w:hAnsi="Times New Roman" w:cs="Times New Roman"/>
          <w:color w:val="0070C0"/>
          <w:sz w:val="16"/>
          <w:szCs w:val="16"/>
        </w:rPr>
        <w:softHyphen/>
        <w:t>нили 4-мм нижними боковыми плитами, 6-мм бронещитками и сдвигающимися бронированными форточками. Осталь</w:t>
      </w:r>
      <w:r w:rsidRPr="00D03F3E">
        <w:rPr>
          <w:rFonts w:ascii="Times New Roman" w:hAnsi="Times New Roman" w:cs="Times New Roman"/>
          <w:color w:val="0070C0"/>
          <w:sz w:val="16"/>
          <w:szCs w:val="16"/>
        </w:rPr>
        <w:softHyphen/>
        <w:t>ная часть плексиглас. В заголовнике справа от летчика сделали небольшой вырез для визуальной связи с воздуш</w:t>
      </w:r>
      <w:r w:rsidRPr="00D03F3E">
        <w:rPr>
          <w:rFonts w:ascii="Times New Roman" w:hAnsi="Times New Roman" w:cs="Times New Roman"/>
          <w:color w:val="0070C0"/>
          <w:sz w:val="16"/>
          <w:szCs w:val="16"/>
        </w:rPr>
        <w:softHyphen/>
        <w:t>ным стрелком. Толщину бронированного «чепчика» сверху спереди на фонаре летчика увеличили до 6 мм. Суммарный вес брони вырос до 642,6 кг (15,6% веса пустого самолета) (19946).</w:t>
      </w:r>
    </w:p>
    <w:p w14:paraId="05C83431" w14:textId="77777777" w:rsidR="00B00BF5" w:rsidRPr="00D03F3E" w:rsidRDefault="00B00BF5"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p>
    <w:p w14:paraId="14427003" w14:textId="77777777" w:rsidR="008C56B3" w:rsidRPr="00D03F3E" w:rsidRDefault="008C56B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2-26 марта 1943 г. сухопутный вариант КОР-2 Бериева успеш</w:t>
      </w:r>
      <w:r w:rsidRPr="00D03F3E">
        <w:rPr>
          <w:rFonts w:ascii="Times New Roman" w:hAnsi="Times New Roman"/>
          <w:color w:val="000000" w:themeColor="text1"/>
          <w:sz w:val="16"/>
          <w:szCs w:val="16"/>
        </w:rPr>
        <w:softHyphen/>
        <w:t>но испытали на лыжах в Омске Кроме этого, часть строящихся машин получила более мошное наступательное вооружение. Вместо одного курсового пулемета IIIКАС в носу установили два пу</w:t>
      </w:r>
      <w:r w:rsidRPr="00D03F3E">
        <w:rPr>
          <w:rFonts w:ascii="Times New Roman" w:hAnsi="Times New Roman"/>
          <w:color w:val="000000" w:themeColor="text1"/>
          <w:sz w:val="16"/>
          <w:szCs w:val="16"/>
        </w:rPr>
        <w:softHyphen/>
        <w:t>лемета Березина (БК) калибра 12,7 мм. Хо</w:t>
      </w:r>
      <w:r w:rsidRPr="00D03F3E">
        <w:rPr>
          <w:rFonts w:ascii="Times New Roman" w:hAnsi="Times New Roman"/>
          <w:color w:val="000000" w:themeColor="text1"/>
          <w:sz w:val="16"/>
          <w:szCs w:val="16"/>
        </w:rPr>
        <w:softHyphen/>
        <w:t>тя из привезенных частей и деталей предпо</w:t>
      </w:r>
      <w:r w:rsidRPr="00D03F3E">
        <w:rPr>
          <w:rFonts w:ascii="Times New Roman" w:hAnsi="Times New Roman"/>
          <w:color w:val="000000" w:themeColor="text1"/>
          <w:sz w:val="16"/>
          <w:szCs w:val="16"/>
        </w:rPr>
        <w:softHyphen/>
        <w:t>лагалось построить 5 самолетов, всего в Омс</w:t>
      </w:r>
      <w:r w:rsidRPr="00D03F3E">
        <w:rPr>
          <w:rFonts w:ascii="Times New Roman" w:hAnsi="Times New Roman"/>
          <w:color w:val="000000" w:themeColor="text1"/>
          <w:sz w:val="16"/>
          <w:szCs w:val="16"/>
        </w:rPr>
        <w:softHyphen/>
        <w:t>ке в течение 1942 г. изготовили 9 КОР-2 (три самолета вошли в план 1943 г.). Испытания провели на полноводной реке Иртыш, после чего машины направили на Черное море и Тихоокеанский флот (12301).</w:t>
      </w:r>
    </w:p>
    <w:p w14:paraId="53CFD1FE" w14:textId="77777777" w:rsidR="008C56B3" w:rsidRPr="00D03F3E" w:rsidRDefault="008C56B3" w:rsidP="00D03F3E">
      <w:pPr>
        <w:spacing w:after="0" w:line="240" w:lineRule="auto"/>
        <w:jc w:val="both"/>
        <w:rPr>
          <w:rFonts w:ascii="Times New Roman" w:hAnsi="Times New Roman"/>
          <w:color w:val="000000" w:themeColor="text1"/>
          <w:sz w:val="16"/>
          <w:szCs w:val="16"/>
        </w:rPr>
      </w:pPr>
    </w:p>
    <w:p w14:paraId="66B7F23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39D4D6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3198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марта 1943 г. был изготовлен Опыт</w:t>
      </w:r>
      <w:r w:rsidRPr="00D03F3E">
        <w:rPr>
          <w:rFonts w:ascii="Times New Roman" w:hAnsi="Times New Roman"/>
          <w:color w:val="000000" w:themeColor="text1"/>
          <w:sz w:val="16"/>
          <w:szCs w:val="16"/>
        </w:rPr>
        <w:softHyphen/>
        <w:t>ный образец бронеавтомобиля БА-64Б. После ус</w:t>
      </w:r>
      <w:r w:rsidRPr="00D03F3E">
        <w:rPr>
          <w:rFonts w:ascii="Times New Roman" w:hAnsi="Times New Roman"/>
          <w:color w:val="000000" w:themeColor="text1"/>
          <w:sz w:val="16"/>
          <w:szCs w:val="16"/>
        </w:rPr>
        <w:softHyphen/>
        <w:t>пешно проведенных заводских испытаний машина с 1 сентября 1943 г. бы</w:t>
      </w:r>
      <w:r w:rsidRPr="00D03F3E">
        <w:rPr>
          <w:rFonts w:ascii="Times New Roman" w:hAnsi="Times New Roman"/>
          <w:color w:val="000000" w:themeColor="text1"/>
          <w:sz w:val="16"/>
          <w:szCs w:val="16"/>
        </w:rPr>
        <w:softHyphen/>
        <w:t>ла запущена в серийное производство на Горьковском автозаводе вместо бронеавтомобиля БА-64. Серийное производство машины продолжалось до 1946 г, а выпуск запасных частей для существующего парка машин - до 1953 г. Всего за годы Великой Отечественной войны было выпущено 4273 бронеавтомобиля БА-64Б, из них с радиостанцией - 2038 машин. Бронеавтомобиль БА-64Б был выполнен по той же компоновочной схеме, что и бронеавтомобиль БА-64 и отличался от него базовым шас</w:t>
      </w:r>
      <w:r w:rsidRPr="00D03F3E">
        <w:rPr>
          <w:rFonts w:ascii="Times New Roman" w:hAnsi="Times New Roman"/>
          <w:color w:val="000000" w:themeColor="text1"/>
          <w:sz w:val="16"/>
          <w:szCs w:val="16"/>
        </w:rPr>
        <w:softHyphen/>
        <w:t>си (с расширенной до 1446 мм колеей, против 1290/1245 мм - у БА-64), усиленной броневой защитой, установкой более мощного двигателя (10703).</w:t>
      </w:r>
    </w:p>
    <w:p w14:paraId="4AA3809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8823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марта 1943 вышло Постановление ГКО № 2957 О материальном обеспечении производства обуви для Красной Армии на март и II квартал 1943 года.РГАНИР, Фонд ГКО, д. 92, лл. 135-137, 138-144 (11012).</w:t>
      </w:r>
    </w:p>
    <w:p w14:paraId="6AD802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F751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марта 1943 Адмиралтейцы завершили аварийно-боевой ремонт на четырех БК (бортовые номера 101, 102, 324, 325) с переборкой главных двигателей, начатый в феврале (10671).</w:t>
      </w:r>
    </w:p>
    <w:p w14:paraId="5A114C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9E586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29B303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A1A30C"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 марта</w:t>
      </w:r>
      <w:r w:rsidRPr="00D03F3E">
        <w:rPr>
          <w:rFonts w:ascii="Times New Roman" w:hAnsi="Times New Roman"/>
          <w:color w:val="000000" w:themeColor="text1"/>
          <w:sz w:val="16"/>
          <w:szCs w:val="16"/>
        </w:rPr>
        <w:t xml:space="preserve"> в 1943 году утреннее сообщение Совинформбюро:</w:t>
      </w:r>
    </w:p>
    <w:p w14:paraId="7AF8E5F6"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 марта наши войска вели наступательные бои на прежних направлениях.</w:t>
      </w:r>
    </w:p>
    <w:p w14:paraId="399B1012"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бойцы Н-ской части атаковали немцев, укрепившихся на одной высоте, имеющей важное значение. В результате рукопашной схватки наши подразделения овладели этой высотой и захватили 3 орудия, 4 пулемёта, 146 винтовок и автоматов. На поле боя осталось 180 вражеских трупов.</w:t>
      </w:r>
    </w:p>
    <w:p w14:paraId="0CC44634"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наш разведывательный отряд ночью проник в расположение противника и взорвал 3 крупных склада боеприпасов. Во время этой операции уничтожено 70 гитлеровцев. На другом участке бойцы Н-ской части отразили атаку противника и истребили до роты немецкой пехоты.</w:t>
      </w:r>
    </w:p>
    <w:p w14:paraId="60C5ED30"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Харькова наши войска продолжали наступление. Части Н-ского соединения заняли несколько населённых пунктов и уничтожили свыше 300 гитлеровцев. Захвачено 9 орудий, 15 пулемётов, много снарядов и патронов. На другом участке группа советских автоматчиков зашла в тыл противнику, укрепившемуся в населённом пункте, и внезапно атаковала его. Немцы отступили, бросив 4 орудия, много винтовок и склад боеприпасов.</w:t>
      </w:r>
    </w:p>
    <w:p w14:paraId="24294266"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лётчиками в воздушном бою сбито 7 немецких самолётов.</w:t>
      </w:r>
    </w:p>
    <w:p w14:paraId="5DE51579"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Курска наши войска вели наступательные бои. Бойцы Н-ской части в результате упорного боя подбили и сожгли 10 немецких танков, захватили 3 орудия и другие трофеи. Взяты пленные. Огнём нашей артиллерии уничтожены 2 миномётные батареи противника.</w:t>
      </w:r>
    </w:p>
    <w:p w14:paraId="3875BBAB"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нашими лётчиками в воздушных боях сбито 11 немецких самолётов. Все советские самолёты вернулись на свои базы.</w:t>
      </w:r>
    </w:p>
    <w:p w14:paraId="17AD5A80"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партизан из отряда, действующего в Ленинградской области, ночью произвела налёт на железнодорожный разъезд. Советские патриоты перебили немецкую охрану, взорвали входные стрелки и железнодорожное полотно. Возвращаясь с боевого задания, партизаны взорвали железнодорожный мост. Движение поездов на этом участке прекращено.</w:t>
      </w:r>
    </w:p>
    <w:p w14:paraId="7075AFFF"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взят в плен лейтенант 10 румынской пехотной дивизии Николае Стан. Пленный рассказал: «В последние дни мы несли огромные потери от русской авиациии артиллерийских налётов. Когда немцы получили приказ идти в контратаку, меня вызвал немецкий капитан и приказал предоставить моё подразделение в его распоряжение. Я возразил, заявив, что имею приказ обороняться, а не наступать. В это время прибежал перепуганный насмерть немецкий унтер-офицер и сказал: «Русские наступают». Это было полной неожиданностью для всех. В один миг ниодного из немцев не стало, все они разбежались. Неприязненные отношения между румынами и немцами растут с каждым днём. Дело часто доходит до личных оскорблений, которые, как правило, кончаются драками».</w:t>
      </w:r>
    </w:p>
    <w:p w14:paraId="6DEDBF1F"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посёлке Рогатое, Курской области: «Наш посёлок немецкие захватчики оккупировали в октябре 1941 года. С тех пор мы находились словно на каторге или в тюремном застенке. Гитлеровцы принуждали крестьян работать день и ночь и обращались сколхозниками, как с рабами. Проклятые захватчики впрягали по два-три человека в повозки и заставляли перевозить тяжести. Тех, кто изнемогал и падал от усталости, пороли плетьми. Такого позора, таких унижений и издевательств, которым мы подвергались, не переживали наши предки даже во времена крепостного права. Фашистские изверги избили до полусмерти многих колхозниц и до нитки ограбили жителей посёлка». Акт подписали: жители посёлка Клавдия Можарова, Анастасия Кононова, Мария Кононова и другие.» (15056).</w:t>
      </w:r>
    </w:p>
    <w:p w14:paraId="54CA0145" w14:textId="77777777" w:rsidR="004C64B2" w:rsidRPr="00D03F3E" w:rsidRDefault="004C64B2" w:rsidP="00D03F3E">
      <w:pPr>
        <w:spacing w:after="0" w:line="240" w:lineRule="auto"/>
        <w:jc w:val="both"/>
        <w:rPr>
          <w:rFonts w:ascii="Times New Roman" w:hAnsi="Times New Roman"/>
          <w:color w:val="000000" w:themeColor="text1"/>
          <w:sz w:val="16"/>
          <w:szCs w:val="16"/>
        </w:rPr>
      </w:pPr>
    </w:p>
    <w:p w14:paraId="649F9B64"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 марта</w:t>
      </w:r>
      <w:r w:rsidRPr="00D03F3E">
        <w:rPr>
          <w:rFonts w:ascii="Times New Roman" w:hAnsi="Times New Roman"/>
          <w:color w:val="000000" w:themeColor="text1"/>
          <w:sz w:val="16"/>
          <w:szCs w:val="16"/>
        </w:rPr>
        <w:t xml:space="preserve"> в 1943 году вечернее сообщение Совинформбюро:</w:t>
      </w:r>
    </w:p>
    <w:p w14:paraId="5A1937AC"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 марта наши войска вели наступательные бои на прежних направлениях.</w:t>
      </w:r>
    </w:p>
    <w:p w14:paraId="1479B45A"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Баренцовом море нашими кораблями потоплены транспорт противника водоизмещением в 8.000 тонн и сторожевой корабль водоизмещением в 800 тонн.</w:t>
      </w:r>
    </w:p>
    <w:p w14:paraId="1C08A5A2"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марта частями нашей авиации на различных участках фронта уничтожено или повреждено до 100 автомашин с войсками и грузами, подавлен огонь 18 артиллерийских батарей и взорван склад боеприпасов противника.</w:t>
      </w:r>
    </w:p>
    <w:p w14:paraId="12C6EF87"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части Н-ского соединения продолжали наступательные бои. Наши бойцы, преодолевая упорное сопротивление и отражая контратаки противника, ведут борьбу внутри немецкой обороны. Уничтожено 8 вражеских танков,18 орудий, 24 пулемёта, 20 автомашин и истреблено до 600 гитлеровцев. Сбито 4 немецких самолёта.</w:t>
      </w:r>
    </w:p>
    <w:p w14:paraId="74DFBFF1"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Юго-западнее Ворошиловграда бойцы Н-ской части, отбивая контратаку противника, подбили 2 танка и уничтожили до роты немецкой пехоты. В районе крупного населённого пункта полностью истреблён вражеский разведывательный отрядв составе двух взводов пехоты.</w:t>
      </w:r>
    </w:p>
    <w:p w14:paraId="46D37FB4"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Харькова наши войска продолжали наступательные бои. Противник подтянул резервы и предпринял несколько безуспешных контратак. Боем установлена на этом участке 167 немецкая пехотная дивизия, только что прибывшая из Голландии. Бойцы Н-ской части, сломив сопротивление гитлеровцев, продвигались вперёд и заняли крупный населённый пункт. В бою за этот населённый пункт противник потерял убитыми и ранеными до 400 солдат и офицеров. Уничтожено 3 немецких танка, 7 орудий и 6 автомашин. На другом участке части под командованием тов. Улитина окружили населённый пункт и после пятидневных боёв овладели им. Гарнизон противника уничтожен. Захвачены склады с боеприпасами, продовольствием и другие трофеи.</w:t>
      </w:r>
    </w:p>
    <w:p w14:paraId="3AD6FFAC"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Курска бойцы Н-ской части в результате решительной атаки овладели укреплёнными позициями противника. Огнём нашей артиллерии разрушен ряд немецких дзотов, подавлен огонь миномётной и двух артиллерийских батарей противника.</w:t>
      </w:r>
    </w:p>
    <w:p w14:paraId="651B36CF"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войска вели наступательные бои и заняли несколько населённых пунктов. Подразделения Н-ской части в одном из этих населённых пунктов захватили 5 орудий, вещевой склад, склад боеприпасов и много различного пехотного вооружения.</w:t>
      </w:r>
    </w:p>
    <w:p w14:paraId="60128E6C"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Минской области, с 1 по 20 февраля истребил свыше 100 гитлеровцев и захватил 6 пулемётов, 44 винтовки и 4 револьвера. За это же время партизаны пустили под откос 7 воинских эшелонов противника. Разбито 52 вагона с немецкими солдатами и вооружением.</w:t>
      </w:r>
    </w:p>
    <w:p w14:paraId="42EE9C4D"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Минские партизаны из отряда «Железняк» на днях внезапно напали на крупную железнодорожную станцию. Бой за станцию длился несколько часов. Большая частьнемецких охранников уничтожена, а остальные разбежались. Овладев станцией, партизаны взорвали железнодорожные сооружения.</w:t>
      </w:r>
    </w:p>
    <w:p w14:paraId="56EF125C"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обер-ефрейтор 1 роты 28 полка 8 немецкой егерской дивизии Леопольд Бишоф рассказал: «В 1942 году я служил в охранном батальоне в городе Барановичи.Этот батальон нёс наружную охрану в тюрьме, концентрационном лагере и в лагере для военнопленных. Весной в барановичскую тюрьму прибыл транспорт польских заложников. Все они были вскоре расстреляны. В начале мая только за один деньбыло расстреляно 70 ксендзов, 18 женщин и 11 бывших офицеров польской армии. Казнь происходила за лагерем военнопленных».</w:t>
      </w:r>
    </w:p>
    <w:p w14:paraId="2CA02BD7"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трёхдневных ожесточённых боях в районе Горни Лапац югославские партизаны истребили 470 итальянцев и уничтожили танк, 16 автомашин, 8 тонн бензина и обоз152 итальянского полка. Партизаны захватили 2 танка, 3 орудия, 5 миномётов, 13 пулемётов, 100 тысяч патронов, 6 радиостанций и другое военное имущество. В районе Прозора партизаны продолжают преследование разбитых итальянских частей.» (15056).</w:t>
      </w:r>
    </w:p>
    <w:p w14:paraId="17BE9779" w14:textId="77777777" w:rsidR="004C64B2" w:rsidRPr="00D03F3E" w:rsidRDefault="004C64B2" w:rsidP="00D03F3E">
      <w:pPr>
        <w:spacing w:after="0" w:line="240" w:lineRule="auto"/>
        <w:jc w:val="both"/>
        <w:rPr>
          <w:rFonts w:ascii="Times New Roman" w:hAnsi="Times New Roman"/>
          <w:color w:val="000000" w:themeColor="text1"/>
          <w:sz w:val="16"/>
          <w:szCs w:val="16"/>
        </w:rPr>
      </w:pPr>
    </w:p>
    <w:p w14:paraId="05C5B190"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 марта</w:t>
      </w:r>
      <w:r w:rsidRPr="00D03F3E">
        <w:rPr>
          <w:rFonts w:ascii="Times New Roman" w:hAnsi="Times New Roman"/>
          <w:color w:val="000000" w:themeColor="text1"/>
          <w:sz w:val="16"/>
          <w:szCs w:val="16"/>
        </w:rPr>
        <w:t xml:space="preserve"> в 1943 году (2-31 марта.) была проведена Ржевско-Вяземская наступательная операция войск Калининского (М.А.Пуркаев) и Западного (В.Д.Соколовский) фронтов. В результате операции советские войска сковали значительные силы армии «Центр», затруднив отход войск противника на южном крыле советско-германского фронта и отодвинув линию фронта от Москвы еще на 130-160 км (15056).</w:t>
      </w:r>
    </w:p>
    <w:p w14:paraId="0C39820F" w14:textId="77777777" w:rsidR="004C64B2" w:rsidRPr="00D03F3E" w:rsidRDefault="004C64B2" w:rsidP="00D03F3E">
      <w:pPr>
        <w:spacing w:after="0" w:line="240" w:lineRule="auto"/>
        <w:jc w:val="both"/>
        <w:rPr>
          <w:rFonts w:ascii="Times New Roman" w:hAnsi="Times New Roman"/>
          <w:color w:val="000000" w:themeColor="text1"/>
          <w:sz w:val="16"/>
          <w:szCs w:val="16"/>
        </w:rPr>
      </w:pPr>
    </w:p>
    <w:p w14:paraId="153F3B64"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 марта</w:t>
      </w:r>
      <w:r w:rsidRPr="00D03F3E">
        <w:rPr>
          <w:rFonts w:ascii="Times New Roman" w:hAnsi="Times New Roman"/>
          <w:color w:val="000000" w:themeColor="text1"/>
          <w:sz w:val="16"/>
          <w:szCs w:val="16"/>
        </w:rPr>
        <w:t xml:space="preserve"> в 1943 году директива Ставки ВГК Калининскому и Западному фронтам о преследовании отступающих немецких войск на ржевско-вяземском направлении (15056).</w:t>
      </w:r>
    </w:p>
    <w:p w14:paraId="35D618D0" w14:textId="77777777" w:rsidR="004C64B2" w:rsidRPr="00D03F3E" w:rsidRDefault="004C64B2" w:rsidP="00D03F3E">
      <w:pPr>
        <w:spacing w:after="0" w:line="240" w:lineRule="auto"/>
        <w:jc w:val="both"/>
        <w:rPr>
          <w:rFonts w:ascii="Times New Roman" w:hAnsi="Times New Roman"/>
          <w:color w:val="000000" w:themeColor="text1"/>
          <w:sz w:val="16"/>
          <w:szCs w:val="16"/>
        </w:rPr>
      </w:pPr>
    </w:p>
    <w:p w14:paraId="7182A0DA"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 марта</w:t>
      </w:r>
      <w:r w:rsidRPr="00D03F3E">
        <w:rPr>
          <w:rFonts w:ascii="Times New Roman" w:hAnsi="Times New Roman"/>
          <w:color w:val="000000" w:themeColor="text1"/>
          <w:sz w:val="16"/>
          <w:szCs w:val="16"/>
        </w:rPr>
        <w:t xml:space="preserve"> в 1943 году войска Брянского фронта освободили Севск (15056).</w:t>
      </w:r>
    </w:p>
    <w:p w14:paraId="3B61BB5D" w14:textId="77777777" w:rsidR="004C64B2" w:rsidRPr="00D03F3E" w:rsidRDefault="004C64B2" w:rsidP="00D03F3E">
      <w:pPr>
        <w:spacing w:after="0" w:line="240" w:lineRule="auto"/>
        <w:jc w:val="both"/>
        <w:rPr>
          <w:rFonts w:ascii="Times New Roman" w:hAnsi="Times New Roman"/>
          <w:color w:val="000000" w:themeColor="text1"/>
          <w:sz w:val="16"/>
          <w:szCs w:val="16"/>
        </w:rPr>
      </w:pPr>
    </w:p>
    <w:p w14:paraId="2F5DB5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 по 31 марта 1943 была вторая Ржевско-Вяземская операция КФ (М.А.Пуркаев) и ЗФ (В.Д.Соколовский). Продвинулись на 130-160 км и сократили фронт (2343,75).</w:t>
      </w:r>
    </w:p>
    <w:p w14:paraId="3907E9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ней авианаступление проводилось на глубину прорыва сухопутными войсками тактической обороны (518,109).</w:t>
      </w:r>
    </w:p>
    <w:p w14:paraId="7F8B43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99AE3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4EBD13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B426C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марта 1943 вышло Распоряжение ГКО № 2956 [Об освобождении УГМР от мобилизации лошадей, занятых на работе на складах, базах и стройках.] (7084, 134).</w:t>
      </w:r>
    </w:p>
    <w:p w14:paraId="08415D2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9FF42A"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6966DC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1D74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марта 1943 года было отправлено:</w:t>
      </w:r>
    </w:p>
    <w:p w14:paraId="4710CA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СЕКРЕТНОЕ ПОСЛАНИЕ ПРЕМЬЕРА СТАЛИНА ПРЕМЬЕР-МИНИСТРУ г. УИНСТОНУ ЧЕРЧИЛЛЮ</w:t>
      </w:r>
    </w:p>
    <w:p w14:paraId="6A35E4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Я получил Ваше послание от 17 февраля по вопросу о желании Турецкого Правительства приступить к обмену мнений с Советским Правительством. 24 февраля я получил от Вас также переданные г. Керром три документа: 1. Конспект заявлений, которые Премьер-Министр сделал Президенту Исмету и турецкой делегации на конференции в Адане, 2. Согласованные выводы англо-турецкой конференции, состоявшейся в Адане 30—31 января 1943 г., и 3. Записка о послевоенной безопасности </w:t>
      </w:r>
      <w:r w:rsidRPr="00D03F3E">
        <w:rPr>
          <w:rFonts w:ascii="Times New Roman" w:hAnsi="Times New Roman"/>
          <w:color w:val="000000" w:themeColor="text1"/>
          <w:sz w:val="16"/>
          <w:szCs w:val="16"/>
          <w:vertAlign w:val="superscript"/>
        </w:rPr>
        <w:t>38</w:t>
      </w:r>
      <w:r w:rsidRPr="00D03F3E">
        <w:rPr>
          <w:rFonts w:ascii="Times New Roman" w:hAnsi="Times New Roman"/>
          <w:color w:val="000000" w:themeColor="text1"/>
          <w:sz w:val="16"/>
          <w:szCs w:val="16"/>
        </w:rPr>
        <w:t>.</w:t>
      </w:r>
    </w:p>
    <w:p w14:paraId="309EE9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Благодарю Вас за эту информацию.</w:t>
      </w:r>
    </w:p>
    <w:p w14:paraId="5B7365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Считаю нужным информировать Вас, что 13 февраля Турецкий Министр Иностранных Дел заявил Советскому Послу в Анкаре о желании Турецкого Правительства начать переговоры с Советским Союзом относительно улучшения советско-турецких отношений. Советское Правительство ответило через своего Посла в Анкаре, что оно приветствует желание Турецкого Правительства улучшить советско-турецкие отношения, и выразило готовность приступить к переговорам. В настоящее время ожидается возвращение в Москву Турецкого Посла, с которым и предполагается начать переговоры.</w:t>
      </w:r>
    </w:p>
    <w:p w14:paraId="74FE23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Пользуюсь случаем, чтобы искренне пожелать Вам полного выздоровления и скорейшего восстановления сил.</w:t>
      </w:r>
    </w:p>
    <w:p w14:paraId="549A4F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vertAlign w:val="superscript"/>
        </w:rPr>
        <w:t>38</w:t>
      </w:r>
      <w:r w:rsidRPr="00D03F3E">
        <w:rPr>
          <w:rFonts w:ascii="Times New Roman" w:hAnsi="Times New Roman"/>
          <w:color w:val="000000" w:themeColor="text1"/>
          <w:sz w:val="16"/>
          <w:szCs w:val="16"/>
        </w:rPr>
        <w:t xml:space="preserve"> Содержание упомянутых документов сводится к следующему:</w:t>
      </w:r>
    </w:p>
    <w:p w14:paraId="3EF321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“Конспект заявлений, сделанных премьер-министром президенту Исмету и турецкой делегации на конференции в Адане”. В этом документе Черчилль указывает, что Рузвельт и он хотят, чтобы Турция стала сильной и была бы тесно связана с Англией и США. Это особенно необходимо, по мнению Черчилля, поскольку “остается нужда Германии в нефти и ее стремление на Восток” и поскольку на Балканах может возникнуть “состояние анархии”, которое “вынудит турецкое правительство вмешаться в целях защиты своих собственных интересов”. Черчилль отмечает также, что И. В. Сталин “очень хочет видеть Турцию хорошо вооруженной и готовой защищаться от агрессии”. Черчилль пишет, что Англия и США готовы оказать Турции помощь как поставками значительного количества военных материалов, так и посылкой в Турцию подразделений зенитной артиллерии и противотанковых частей. В дальнейшем Турции, заявляет Черчилль, будет оказана помощь посылкой польского корпуса вместе с частями 9-й и 10-й английских армий.</w:t>
      </w:r>
    </w:p>
    <w:p w14:paraId="1054D7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“Согласованные выводы англо-турецкой конференции, состоявшейся в Адане 30—31 января 1943 г.”. В этом документе указывается, что Турция представит Англии списки вооружения и снаряжения, необходимого для оснащения турецких вооруженных сил, которые будут изучены англичанами. Англичане также изучат возможность передачи туркам английских судов для поставок материалов в Турцию. В документе сообщается, что в Анкару для совещаний с турецким генеральным штабом направляются английские штабные офицеры и что Англия обязывается обучить некоторое количество турецких военнослужащих в своих военных школах и при воинских частях.</w:t>
      </w:r>
    </w:p>
    <w:p w14:paraId="21DF82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“Записка о послевоенной безопасности”. В этом документе Черчилль пишет о планах созыва еще до окончания войны на Тихом океане мирной конференции в Европе, о длительном восстановительном периоде после войны и о создании международной организации для сохранения мира. По замыслу Черчилля, в качестве составной части этой организации будет “учрежден инструмент управления Европой”. Такой же “инструмент”, пишет Черчилль, будет создан на Дальнем Востоке. В то же время, по мнению Черчилля, “державы-победительницы намерены сохранить полностью вооружение, в особенности в воздухе”. Черчилль заявляет,что со своей стороны Англия сделает все возможное, чтобы организовать коалицию для сопротивления любому акту агрессии, совершенному какой-либо державой, и что, как полагают, Соединенные Штаты будут сотрудничать с Англией и “даже, возможно, вследствие многочисленности своего населения и своей мощи возглавят мир”.</w:t>
      </w:r>
    </w:p>
    <w:p w14:paraId="16A480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Черчилль утверждает, что “самую надежную безопасность в послевоенном мире Турция обеспечит себе, если она займет свое место в качестве победоносного воюющего союзника наряду с Англией, Соединенными Штатами и Россией”. Далее Черчилль пишет, что Турция должна определенно стать на сторону Объединенных Наций и быть полностью воюющей стороной (7430).</w:t>
      </w:r>
    </w:p>
    <w:p w14:paraId="3FD66F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7CA494"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68C273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CDE09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марта 1943 в Турине и Генуе начались всеобщие забастовки протеста против политики Муссолини (4962).</w:t>
      </w:r>
    </w:p>
    <w:p w14:paraId="232C9F6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EBD08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марта 1943 Муссолини объявил об отзыве итальянских войск с Восточного фронта (4962).</w:t>
      </w:r>
    </w:p>
    <w:p w14:paraId="4EAC18B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3D3BD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марта 1943 немецкие войска начали эвакуацию из Северной Африки (4962).</w:t>
      </w:r>
    </w:p>
    <w:p w14:paraId="372D6E4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ECD5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March 2 1943 Germans begin withdrawal from Tunisia, Africa (1050).</w:t>
      </w:r>
    </w:p>
    <w:p w14:paraId="6CD276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109CD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марта 1943 немецкие войска были выведены из Туниса (1050).</w:t>
      </w:r>
    </w:p>
    <w:p w14:paraId="502A77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35D937"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 марта</w:t>
      </w:r>
      <w:r w:rsidRPr="00D03F3E">
        <w:rPr>
          <w:rFonts w:ascii="Times New Roman" w:hAnsi="Times New Roman"/>
          <w:color w:val="000000" w:themeColor="text1"/>
          <w:sz w:val="16"/>
          <w:szCs w:val="16"/>
        </w:rPr>
        <w:t xml:space="preserve"> в 1943 году немецкие войска начинают эвакуацию из Северной Африки (15056).</w:t>
      </w:r>
    </w:p>
    <w:p w14:paraId="14DAC350" w14:textId="77777777" w:rsidR="004C64B2" w:rsidRPr="00D03F3E" w:rsidRDefault="004C64B2" w:rsidP="00D03F3E">
      <w:pPr>
        <w:spacing w:after="0" w:line="240" w:lineRule="auto"/>
        <w:jc w:val="both"/>
        <w:rPr>
          <w:rFonts w:ascii="Times New Roman" w:hAnsi="Times New Roman"/>
          <w:color w:val="000000" w:themeColor="text1"/>
          <w:sz w:val="16"/>
          <w:szCs w:val="16"/>
        </w:rPr>
      </w:pPr>
    </w:p>
    <w:p w14:paraId="27838D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марта 1943 RAF бомбили центр Берлина и за полчаса было сброшено 900 т бомб (2100).</w:t>
      </w:r>
    </w:p>
    <w:p w14:paraId="7CDC60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685B5F"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 марта</w:t>
      </w:r>
      <w:r w:rsidRPr="00D03F3E">
        <w:rPr>
          <w:rFonts w:ascii="Times New Roman" w:hAnsi="Times New Roman"/>
          <w:color w:val="000000" w:themeColor="text1"/>
          <w:sz w:val="16"/>
          <w:szCs w:val="16"/>
        </w:rPr>
        <w:t xml:space="preserve"> в 1943 году массированный налет англо-американской авиации на Берлин (15056).</w:t>
      </w:r>
    </w:p>
    <w:p w14:paraId="178611DF" w14:textId="77777777" w:rsidR="004C64B2" w:rsidRPr="00D03F3E" w:rsidRDefault="004C64B2" w:rsidP="00D03F3E">
      <w:pPr>
        <w:spacing w:after="0" w:line="240" w:lineRule="auto"/>
        <w:jc w:val="both"/>
        <w:rPr>
          <w:rFonts w:ascii="Times New Roman" w:hAnsi="Times New Roman"/>
          <w:color w:val="000000" w:themeColor="text1"/>
          <w:sz w:val="16"/>
          <w:szCs w:val="16"/>
        </w:rPr>
      </w:pPr>
    </w:p>
    <w:p w14:paraId="0D6860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марта 1943 началась постановка мин с Веллингтонов (2246,1).</w:t>
      </w:r>
    </w:p>
    <w:p w14:paraId="785DC6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A6D1A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марта 1943 в морской битве в море Бисмарка возле Новой Гвинеи американцами потоплено до 20 японских военных кораблей (4962).</w:t>
      </w:r>
    </w:p>
    <w:p w14:paraId="5AC5473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4AAD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lang w:val="en-US"/>
        </w:rPr>
        <w:t xml:space="preserve">March 02 1943 Battle of Bismark Sea, off coast of New Guinea, where American B-25 Mitchell bombers rigged with 11 forward-facing.50-caliber machine guns, using for the first time a "skip bombing" technique, sink 13 Japanese merchant vessels and 7 Japanese destroyers, taking 15,000 Japanese lives, at a cost of American 13 dead and 12 wounded. The Battle validated the skip bombing technique, which became the primary American method of destroying convoys in the Pacific. American General MacArthur called it a "magnificant victory [which] cannot fail to go down in history as one of the most complete and annihilating combats of all time." </w:t>
      </w:r>
      <w:r w:rsidRPr="00D03F3E">
        <w:rPr>
          <w:rFonts w:ascii="Times New Roman" w:hAnsi="Times New Roman"/>
          <w:color w:val="000000" w:themeColor="text1"/>
          <w:sz w:val="16"/>
          <w:szCs w:val="16"/>
        </w:rPr>
        <w:t>(1769).</w:t>
      </w:r>
    </w:p>
    <w:p w14:paraId="14F4A5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6ED6D3"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2–5 марта 1943 в битве на море Бисмарка ВВС США и самолеты Королевских ВВС Австралии атакуют конвой из восьми японских грузовых кораблей в сопровождении восьми эсминцев, перевозящих войска из Рабола, Новая Британия, в Лаэ , Новая Гвинея, который проходит через безымянный водоем, который вскоре будет назван морем Бисмарка. При потере пяти самолетов они потопили все восемь грузовых кораблей и четыре эсминца, повредили четыре других эсминца и сбили от 20 до 30 японских истребителей, пытающихся обеспечить противовоздушную оборону. Погибло около 3000 японских солдат (20376).</w:t>
      </w:r>
    </w:p>
    <w:p w14:paraId="0F3430AF" w14:textId="77777777" w:rsidR="00B00BF5" w:rsidRPr="00D03F3E" w:rsidRDefault="00B00BF5" w:rsidP="00D03F3E">
      <w:pPr>
        <w:spacing w:after="0" w:line="240" w:lineRule="auto"/>
        <w:jc w:val="both"/>
        <w:rPr>
          <w:rFonts w:ascii="Times New Roman" w:hAnsi="Times New Roman"/>
          <w:color w:val="0070C0"/>
          <w:sz w:val="16"/>
          <w:szCs w:val="16"/>
        </w:rPr>
      </w:pPr>
    </w:p>
    <w:p w14:paraId="603C7480"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марта 1943 - В Соломоновом море (западная часть Тихого океана) 114 бомбардировщиков и 54 истребителя ВВС США и Австралии разгромили японский морской караван из 16 судов, везший подкрепление для японских гарнизонов островов архипелага Бисмарка.Топят 4 эсминца, 8 транспортов, почти дивизию японской пехоты (22581).</w:t>
      </w:r>
    </w:p>
    <w:p w14:paraId="0A4E44EB" w14:textId="77777777" w:rsidR="00B00BF5" w:rsidRPr="00D03F3E" w:rsidRDefault="00B00BF5" w:rsidP="00D03F3E">
      <w:pPr>
        <w:spacing w:after="0" w:line="240" w:lineRule="auto"/>
        <w:jc w:val="both"/>
        <w:rPr>
          <w:rFonts w:ascii="Times New Roman" w:hAnsi="Times New Roman"/>
          <w:color w:val="0070C0"/>
          <w:sz w:val="16"/>
          <w:szCs w:val="16"/>
        </w:rPr>
      </w:pPr>
    </w:p>
    <w:p w14:paraId="088C63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 по 4 марта 1943 американцы победили в битве в Море Бисмарка (1769).</w:t>
      </w:r>
    </w:p>
    <w:p w14:paraId="0CDCCE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EE5605"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 марта</w:t>
      </w:r>
      <w:r w:rsidRPr="00D03F3E">
        <w:rPr>
          <w:rFonts w:ascii="Times New Roman" w:hAnsi="Times New Roman"/>
          <w:color w:val="000000" w:themeColor="text1"/>
          <w:sz w:val="16"/>
          <w:szCs w:val="16"/>
        </w:rPr>
        <w:t xml:space="preserve"> в 1943 году в Соломоновом море (западная часть Тихого океана) 114 бомбардировщиков и 54 истребителя ВВС США и Австралии разгромили японский морской караван из 16 судов, везший подкрепление для японских гарнизонов островов архипелага Бисмарка.Топят 4 эсминца, 8 транспортов, почти дивизию японской пехоты (15056).</w:t>
      </w:r>
    </w:p>
    <w:p w14:paraId="0B66A528" w14:textId="77777777" w:rsidR="004C64B2" w:rsidRPr="00D03F3E" w:rsidRDefault="004C64B2" w:rsidP="00D03F3E">
      <w:pPr>
        <w:spacing w:after="0" w:line="240" w:lineRule="auto"/>
        <w:jc w:val="both"/>
        <w:rPr>
          <w:rFonts w:ascii="Times New Roman" w:hAnsi="Times New Roman"/>
          <w:color w:val="000000" w:themeColor="text1"/>
          <w:sz w:val="16"/>
          <w:szCs w:val="16"/>
        </w:rPr>
      </w:pPr>
    </w:p>
    <w:p w14:paraId="7BDAB0DE"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 марта</w:t>
      </w:r>
      <w:r w:rsidRPr="00D03F3E">
        <w:rPr>
          <w:rFonts w:ascii="Times New Roman" w:hAnsi="Times New Roman"/>
          <w:color w:val="000000" w:themeColor="text1"/>
          <w:sz w:val="16"/>
          <w:szCs w:val="16"/>
        </w:rPr>
        <w:t xml:space="preserve"> в 1943 году в Соломоновом море (западная часть Тихого океана) американские и австралийские ВВС разгромили японский морской караван из 16 судов , везший подкрепление для японских гарнизонов островов архипелага Бисмарка (15056).</w:t>
      </w:r>
    </w:p>
    <w:p w14:paraId="0FC01D7A" w14:textId="77777777" w:rsidR="004C64B2" w:rsidRPr="00D03F3E" w:rsidRDefault="004C64B2" w:rsidP="00D03F3E">
      <w:pPr>
        <w:spacing w:after="0" w:line="240" w:lineRule="auto"/>
        <w:jc w:val="both"/>
        <w:rPr>
          <w:rFonts w:ascii="Times New Roman" w:hAnsi="Times New Roman"/>
          <w:color w:val="000000" w:themeColor="text1"/>
          <w:sz w:val="16"/>
          <w:szCs w:val="16"/>
        </w:rPr>
      </w:pPr>
    </w:p>
    <w:p w14:paraId="5837894A"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59AD0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2B3E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марта 1943 г.Главный инженер ВВС КА гене</w:t>
      </w:r>
      <w:r w:rsidRPr="00D03F3E">
        <w:rPr>
          <w:rFonts w:ascii="Times New Roman" w:hAnsi="Times New Roman"/>
          <w:color w:val="000000" w:themeColor="text1"/>
          <w:sz w:val="16"/>
          <w:szCs w:val="16"/>
        </w:rPr>
        <w:softHyphen/>
        <w:t>рал А.И.Репин утвердил "Доклада о войсковых испытаниях на боевое применение самоле</w:t>
      </w:r>
      <w:r w:rsidRPr="00D03F3E">
        <w:rPr>
          <w:rFonts w:ascii="Times New Roman" w:hAnsi="Times New Roman"/>
          <w:color w:val="000000" w:themeColor="text1"/>
          <w:sz w:val="16"/>
          <w:szCs w:val="16"/>
        </w:rPr>
        <w:softHyphen/>
        <w:t>тов Ил-2 АМ-38, вооруженных 37-мм пуш</w:t>
      </w:r>
      <w:r w:rsidRPr="00D03F3E">
        <w:rPr>
          <w:rFonts w:ascii="Times New Roman" w:hAnsi="Times New Roman"/>
          <w:color w:val="000000" w:themeColor="text1"/>
          <w:sz w:val="16"/>
          <w:szCs w:val="16"/>
        </w:rPr>
        <w:softHyphen/>
        <w:t>ками конструкции ОКБ-15"</w:t>
      </w:r>
    </w:p>
    <w:p w14:paraId="3908FF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заключение (отв. испол</w:t>
      </w:r>
      <w:r w:rsidRPr="00D03F3E">
        <w:rPr>
          <w:rFonts w:ascii="Times New Roman" w:hAnsi="Times New Roman"/>
          <w:color w:val="000000" w:themeColor="text1"/>
          <w:sz w:val="16"/>
          <w:szCs w:val="16"/>
        </w:rPr>
        <w:softHyphen/>
        <w:t xml:space="preserve">нители - Белякин, Никитин, Лорченко), указывалось, что: </w:t>
      </w:r>
      <w:r w:rsidRPr="00D03F3E">
        <w:rPr>
          <w:rFonts w:ascii="Times New Roman" w:hAnsi="Times New Roman"/>
          <w:iCs/>
          <w:color w:val="000000" w:themeColor="text1"/>
          <w:sz w:val="16"/>
          <w:szCs w:val="16"/>
        </w:rPr>
        <w:t>"1. Самолеты Ил-2 с пушкой ШФК-37, испытание на боевое применение не дали должной эффек</w:t>
      </w:r>
      <w:r w:rsidRPr="00D03F3E">
        <w:rPr>
          <w:rFonts w:ascii="Times New Roman" w:hAnsi="Times New Roman"/>
          <w:iCs/>
          <w:color w:val="000000" w:themeColor="text1"/>
          <w:sz w:val="16"/>
          <w:szCs w:val="16"/>
        </w:rPr>
        <w:softHyphen/>
        <w:t>тивности в связи с недоработкой пушек, невозможностью ведения прицельного огня по точечным целям, большим рас</w:t>
      </w:r>
      <w:r w:rsidRPr="00D03F3E">
        <w:rPr>
          <w:rFonts w:ascii="Times New Roman" w:hAnsi="Times New Roman"/>
          <w:iCs/>
          <w:color w:val="000000" w:themeColor="text1"/>
          <w:sz w:val="16"/>
          <w:szCs w:val="16"/>
        </w:rPr>
        <w:softHyphen/>
        <w:t>сеиванием снарядов и ухудшением ма</w:t>
      </w:r>
      <w:r w:rsidRPr="00D03F3E">
        <w:rPr>
          <w:rFonts w:ascii="Times New Roman" w:hAnsi="Times New Roman"/>
          <w:iCs/>
          <w:color w:val="000000" w:themeColor="text1"/>
          <w:sz w:val="16"/>
          <w:szCs w:val="16"/>
        </w:rPr>
        <w:softHyphen/>
        <w:t>невренности самолета. 2. Считать не</w:t>
      </w:r>
      <w:r w:rsidRPr="00D03F3E">
        <w:rPr>
          <w:rFonts w:ascii="Times New Roman" w:hAnsi="Times New Roman"/>
          <w:iCs/>
          <w:color w:val="000000" w:themeColor="text1"/>
          <w:sz w:val="16"/>
          <w:szCs w:val="16"/>
        </w:rPr>
        <w:softHyphen/>
        <w:t>обходимым иметь на вооружении ВВС КА самолеты Ил-2 с пушками 37 мм, обеспечивающими безотказную работу пушечных установок и ведение прицель</w:t>
      </w:r>
      <w:r w:rsidRPr="00D03F3E">
        <w:rPr>
          <w:rFonts w:ascii="Times New Roman" w:hAnsi="Times New Roman"/>
          <w:iCs/>
          <w:color w:val="000000" w:themeColor="text1"/>
          <w:sz w:val="16"/>
          <w:szCs w:val="16"/>
        </w:rPr>
        <w:softHyphen/>
        <w:t>ного огня, не допуская ухудшения лет</w:t>
      </w:r>
      <w:r w:rsidRPr="00D03F3E">
        <w:rPr>
          <w:rFonts w:ascii="Times New Roman" w:hAnsi="Times New Roman"/>
          <w:iCs/>
          <w:color w:val="000000" w:themeColor="text1"/>
          <w:sz w:val="16"/>
          <w:szCs w:val="16"/>
        </w:rPr>
        <w:softHyphen/>
        <w:t>ных качеств серийного самолета Ил-2... "</w:t>
      </w:r>
    </w:p>
    <w:p w14:paraId="294847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От 688-го </w:t>
      </w:r>
      <w:r w:rsidRPr="00D03F3E">
        <w:rPr>
          <w:rFonts w:ascii="Times New Roman" w:hAnsi="Times New Roman"/>
          <w:iCs/>
          <w:color w:val="000000" w:themeColor="text1"/>
          <w:sz w:val="16"/>
          <w:szCs w:val="16"/>
        </w:rPr>
        <w:t>шап</w:t>
      </w:r>
      <w:r w:rsidRPr="00D03F3E">
        <w:rPr>
          <w:rFonts w:ascii="Times New Roman" w:hAnsi="Times New Roman"/>
          <w:color w:val="000000" w:themeColor="text1"/>
          <w:sz w:val="16"/>
          <w:szCs w:val="16"/>
        </w:rPr>
        <w:t xml:space="preserve"> доклад подписали: л-т Воловиков, ст.сержант Юсов, ст.сержант Дунов, сержант Сахариленко, ст.сержант Зыков, старшина Игнатьев (6467).</w:t>
      </w:r>
    </w:p>
    <w:p w14:paraId="54E764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FDC9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марта 1943 г. главный инженер ВВС КА генерал А.И. Репин утвердил «Доклада о войсковых испытаниях на боевое при</w:t>
      </w:r>
      <w:r w:rsidRPr="00D03F3E">
        <w:rPr>
          <w:rFonts w:ascii="Times New Roman" w:hAnsi="Times New Roman"/>
          <w:color w:val="000000" w:themeColor="text1"/>
          <w:sz w:val="16"/>
          <w:szCs w:val="16"/>
        </w:rPr>
        <w:softHyphen/>
        <w:t>менение самолетов Ил-2 АМ-38, вооруженных 37-мм пушками конструкции ОКБ-15» (ответственные исполнители Белякин, Ни</w:t>
      </w:r>
      <w:r w:rsidRPr="00D03F3E">
        <w:rPr>
          <w:rFonts w:ascii="Times New Roman" w:hAnsi="Times New Roman"/>
          <w:color w:val="000000" w:themeColor="text1"/>
          <w:sz w:val="16"/>
          <w:szCs w:val="16"/>
        </w:rPr>
        <w:softHyphen/>
        <w:t>китин, Лорченко), в котором указывалось, что:</w:t>
      </w:r>
    </w:p>
    <w:p w14:paraId="62258D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Самолеты Ил-2 с пушкой ШФК-37, испытание на боевое применение не дали должной эффективности в связи с недоработ</w:t>
      </w:r>
      <w:r w:rsidRPr="00D03F3E">
        <w:rPr>
          <w:rFonts w:ascii="Times New Roman" w:hAnsi="Times New Roman"/>
          <w:color w:val="000000" w:themeColor="text1"/>
          <w:sz w:val="16"/>
          <w:szCs w:val="16"/>
        </w:rPr>
        <w:softHyphen/>
        <w:t>кой пушек, невозможностью ведения прицельного огня по точеч</w:t>
      </w:r>
      <w:r w:rsidRPr="00D03F3E">
        <w:rPr>
          <w:rFonts w:ascii="Times New Roman" w:hAnsi="Times New Roman"/>
          <w:color w:val="000000" w:themeColor="text1"/>
          <w:sz w:val="16"/>
          <w:szCs w:val="16"/>
        </w:rPr>
        <w:softHyphen/>
        <w:t>ным целям, большим рассеиванием снарядов и ухудшением манев</w:t>
      </w:r>
      <w:r w:rsidRPr="00D03F3E">
        <w:rPr>
          <w:rFonts w:ascii="Times New Roman" w:hAnsi="Times New Roman"/>
          <w:color w:val="000000" w:themeColor="text1"/>
          <w:sz w:val="16"/>
          <w:szCs w:val="16"/>
        </w:rPr>
        <w:softHyphen/>
        <w:t>ренности самолета.</w:t>
      </w:r>
    </w:p>
    <w:p w14:paraId="55B344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Считать необходимым иметь на вооружении ВВС КА самолеты Ил-2 с пушками 37 мм, обеспечивающими без</w:t>
      </w:r>
      <w:r w:rsidRPr="00D03F3E">
        <w:rPr>
          <w:rFonts w:ascii="Times New Roman" w:hAnsi="Times New Roman"/>
          <w:color w:val="000000" w:themeColor="text1"/>
          <w:sz w:val="16"/>
          <w:szCs w:val="16"/>
        </w:rPr>
        <w:softHyphen/>
        <w:t>отказную работу пушечных установок и ведение прицельного огня, не допуская ухудшения летных качеств серийного самолета Ил-2» (10695).</w:t>
      </w:r>
    </w:p>
    <w:p w14:paraId="595B38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9F42E1" w14:textId="77777777" w:rsidR="00996E74" w:rsidRPr="00D03F3E" w:rsidRDefault="00996E7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марта 1943 г. в акте НИИ ВВС от по результатам войсковых испытаний Ил-2 «с задней огневой точкой постройки завода №30» требовалось установить в кабине стрелка броню с боков и снизу и усилить бронирование сверху сзади. Предлагалось увеличить углы обстрела ВУБ-3 до 50-60° - в стороны и вверх, и до 15-20° - вниз, а также улучшить взлетные и пилотажные качества самолета (19540).</w:t>
      </w:r>
    </w:p>
    <w:p w14:paraId="47D577DF" w14:textId="77777777" w:rsidR="00996E74" w:rsidRPr="00D03F3E" w:rsidRDefault="00996E74" w:rsidP="00D03F3E">
      <w:pPr>
        <w:spacing w:after="0" w:line="240" w:lineRule="auto"/>
        <w:jc w:val="both"/>
        <w:rPr>
          <w:rFonts w:ascii="Times New Roman" w:hAnsi="Times New Roman"/>
          <w:color w:val="000000" w:themeColor="text1"/>
          <w:sz w:val="16"/>
          <w:szCs w:val="16"/>
        </w:rPr>
      </w:pPr>
    </w:p>
    <w:p w14:paraId="63648073" w14:textId="77777777" w:rsidR="004C64B2" w:rsidRPr="00D03F3E" w:rsidRDefault="004C64B2"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3 марта 1943 г. В акте по испытаниям военные потре</w:t>
      </w:r>
      <w:r w:rsidRPr="00D03F3E">
        <w:rPr>
          <w:rFonts w:ascii="Times New Roman" w:cs="Times New Roman"/>
          <w:color w:val="000000" w:themeColor="text1"/>
          <w:spacing w:val="0"/>
          <w:sz w:val="16"/>
          <w:szCs w:val="16"/>
        </w:rPr>
        <w:softHyphen/>
        <w:t>бовали от НКАП улучшить бронирование каби</w:t>
      </w:r>
      <w:r w:rsidRPr="00D03F3E">
        <w:rPr>
          <w:rFonts w:ascii="Times New Roman" w:cs="Times New Roman"/>
          <w:color w:val="000000" w:themeColor="text1"/>
          <w:spacing w:val="0"/>
          <w:sz w:val="16"/>
          <w:szCs w:val="16"/>
        </w:rPr>
        <w:softHyphen/>
        <w:t>ны стрелка, установив броню с боков и снизу и усилив бронирование сзади сверху, а так</w:t>
      </w:r>
      <w:r w:rsidRPr="00D03F3E">
        <w:rPr>
          <w:rFonts w:ascii="Times New Roman" w:cs="Times New Roman"/>
          <w:color w:val="000000" w:themeColor="text1"/>
          <w:spacing w:val="0"/>
          <w:sz w:val="16"/>
          <w:szCs w:val="16"/>
        </w:rPr>
        <w:softHyphen/>
        <w:t>же увеличить углы обстрела ВУБ-3 до 50-60' в стороны и вверх и, по возможности,</w:t>
      </w:r>
      <w:r w:rsidRPr="00D03F3E">
        <w:rPr>
          <w:rStyle w:val="aff6"/>
          <w:rFonts w:ascii="Times New Roman" w:eastAsia="Arial Narrow" w:hAnsi="Times New Roman" w:cs="Times New Roman"/>
          <w:i w:val="0"/>
          <w:color w:val="000000" w:themeColor="text1"/>
          <w:spacing w:val="0"/>
        </w:rPr>
        <w:t xml:space="preserve"> «вниз до 15-20'».</w:t>
      </w:r>
    </w:p>
    <w:p w14:paraId="21A09ED6" w14:textId="77777777" w:rsidR="004C64B2" w:rsidRPr="00D03F3E" w:rsidRDefault="004C64B2"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Усилить защиту стрелка можно было лишь путем переделки бронекорпуса, как это было сделано на опытном самолете Ил-2бис произ</w:t>
      </w:r>
      <w:r w:rsidRPr="00D03F3E">
        <w:rPr>
          <w:rFonts w:ascii="Times New Roman" w:cs="Times New Roman"/>
          <w:color w:val="000000" w:themeColor="text1"/>
          <w:spacing w:val="0"/>
          <w:sz w:val="16"/>
          <w:szCs w:val="16"/>
        </w:rPr>
        <w:softHyphen/>
        <w:t>водства завода №1. На нем полностью брони</w:t>
      </w:r>
      <w:r w:rsidRPr="00D03F3E">
        <w:rPr>
          <w:rFonts w:ascii="Times New Roman" w:cs="Times New Roman"/>
          <w:color w:val="000000" w:themeColor="text1"/>
          <w:spacing w:val="0"/>
          <w:sz w:val="16"/>
          <w:szCs w:val="16"/>
        </w:rPr>
        <w:softHyphen/>
        <w:t>рованная кабина стрелка с блистерной уста</w:t>
      </w:r>
      <w:r w:rsidRPr="00D03F3E">
        <w:rPr>
          <w:rFonts w:ascii="Times New Roman" w:cs="Times New Roman"/>
          <w:color w:val="000000" w:themeColor="text1"/>
          <w:spacing w:val="0"/>
          <w:sz w:val="16"/>
          <w:szCs w:val="16"/>
        </w:rPr>
        <w:softHyphen/>
        <w:t>новкой под УБТ оборудовалась вместо заднего бензобака. При этом уровень защищенности стрелка не уступал защите летчика. Важно, что в отличие от серийного двухместного вариан</w:t>
      </w:r>
      <w:r w:rsidRPr="00D03F3E">
        <w:rPr>
          <w:rFonts w:ascii="Times New Roman" w:cs="Times New Roman"/>
          <w:color w:val="000000" w:themeColor="text1"/>
          <w:spacing w:val="0"/>
          <w:sz w:val="16"/>
          <w:szCs w:val="16"/>
        </w:rPr>
        <w:softHyphen/>
        <w:t>та, центровка Ил-2бис не изменялась. По лет</w:t>
      </w:r>
      <w:r w:rsidRPr="00D03F3E">
        <w:rPr>
          <w:rFonts w:ascii="Times New Roman" w:cs="Times New Roman"/>
          <w:color w:val="000000" w:themeColor="text1"/>
          <w:spacing w:val="0"/>
          <w:sz w:val="16"/>
          <w:szCs w:val="16"/>
        </w:rPr>
        <w:softHyphen/>
        <w:t>ным и пилотажным качествам «бис» почти не отличался от одноместного Ил-2.</w:t>
      </w:r>
    </w:p>
    <w:p w14:paraId="29FA302A" w14:textId="77777777" w:rsidR="004C64B2" w:rsidRPr="00D03F3E" w:rsidRDefault="004C64B2"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Самолет и кабина стрелка получили поло</w:t>
      </w:r>
      <w:r w:rsidRPr="00D03F3E">
        <w:rPr>
          <w:rFonts w:ascii="Times New Roman" w:cs="Times New Roman"/>
          <w:color w:val="000000" w:themeColor="text1"/>
          <w:spacing w:val="0"/>
          <w:sz w:val="16"/>
          <w:szCs w:val="16"/>
        </w:rPr>
        <w:softHyphen/>
        <w:t>жительную оценку специалистов НИИ ВВС и строевых летчиков 6-го гшап, где Ил-2бис про</w:t>
      </w:r>
      <w:r w:rsidRPr="00D03F3E">
        <w:rPr>
          <w:rFonts w:ascii="Times New Roman" w:cs="Times New Roman"/>
          <w:color w:val="000000" w:themeColor="text1"/>
          <w:spacing w:val="0"/>
          <w:sz w:val="16"/>
          <w:szCs w:val="16"/>
        </w:rPr>
        <w:softHyphen/>
        <w:t>ходил войсковые испытания. Стрелки отмеча</w:t>
      </w:r>
      <w:r w:rsidRPr="00D03F3E">
        <w:rPr>
          <w:rFonts w:ascii="Times New Roman" w:cs="Times New Roman"/>
          <w:color w:val="000000" w:themeColor="text1"/>
          <w:spacing w:val="0"/>
          <w:sz w:val="16"/>
          <w:szCs w:val="16"/>
        </w:rPr>
        <w:softHyphen/>
        <w:t>ли, что кабина удобна и просторна. Сильное бронирование придавало ощущение спокой</w:t>
      </w:r>
      <w:r w:rsidRPr="00D03F3E">
        <w:rPr>
          <w:rFonts w:ascii="Times New Roman" w:cs="Times New Roman"/>
          <w:color w:val="000000" w:themeColor="text1"/>
          <w:spacing w:val="0"/>
          <w:sz w:val="16"/>
          <w:szCs w:val="16"/>
        </w:rPr>
        <w:softHyphen/>
        <w:t>ствия, что благоприятно сказывалось на эф</w:t>
      </w:r>
      <w:r w:rsidRPr="00D03F3E">
        <w:rPr>
          <w:rFonts w:ascii="Times New Roman" w:cs="Times New Roman"/>
          <w:color w:val="000000" w:themeColor="text1"/>
          <w:spacing w:val="0"/>
          <w:sz w:val="16"/>
          <w:szCs w:val="16"/>
        </w:rPr>
        <w:softHyphen/>
        <w:t>фективности воздушного боя. Размеры кабины позволяли брать в полет пулемет ДА и отра</w:t>
      </w:r>
      <w:r w:rsidRPr="00D03F3E">
        <w:rPr>
          <w:rFonts w:ascii="Times New Roman" w:cs="Times New Roman"/>
          <w:color w:val="000000" w:themeColor="text1"/>
          <w:spacing w:val="0"/>
          <w:sz w:val="16"/>
          <w:szCs w:val="16"/>
        </w:rPr>
        <w:softHyphen/>
        <w:t>жать им атаки истребителей сбоку. В отзыве командира 6-го гшап указывалось:</w:t>
      </w:r>
      <w:r w:rsidRPr="00D03F3E">
        <w:rPr>
          <w:rStyle w:val="46"/>
          <w:rFonts w:ascii="Times New Roman" w:eastAsia="Trebuchet MS" w:cs="Times New Roman"/>
          <w:color w:val="000000" w:themeColor="text1"/>
          <w:spacing w:val="0"/>
          <w:sz w:val="16"/>
          <w:szCs w:val="16"/>
        </w:rPr>
        <w:t xml:space="preserve"> «Больше выпускать самолеты Ил-2 со стрелком. Наи</w:t>
      </w:r>
      <w:r w:rsidRPr="00D03F3E">
        <w:rPr>
          <w:rStyle w:val="46"/>
          <w:rFonts w:ascii="Times New Roman" w:eastAsia="Trebuchet MS" w:cs="Times New Roman"/>
          <w:color w:val="000000" w:themeColor="text1"/>
          <w:spacing w:val="0"/>
          <w:sz w:val="16"/>
          <w:szCs w:val="16"/>
        </w:rPr>
        <w:softHyphen/>
        <w:t>лучшей машиной такого типа является маши</w:t>
      </w:r>
      <w:r w:rsidRPr="00D03F3E">
        <w:rPr>
          <w:rStyle w:val="46"/>
          <w:rFonts w:ascii="Times New Roman" w:eastAsia="Trebuchet MS" w:cs="Times New Roman"/>
          <w:color w:val="000000" w:themeColor="text1"/>
          <w:spacing w:val="0"/>
          <w:sz w:val="16"/>
          <w:szCs w:val="16"/>
        </w:rPr>
        <w:softHyphen/>
        <w:t>на первого завода. Летно-технический состав 6-го Гв. шап благодарит коллектив 1-го завода, создавший замечательную кабину стрелка, тем самым давший возможность всесторон</w:t>
      </w:r>
      <w:r w:rsidRPr="00D03F3E">
        <w:rPr>
          <w:rStyle w:val="46"/>
          <w:rFonts w:ascii="Times New Roman" w:eastAsia="Trebuchet MS" w:cs="Times New Roman"/>
          <w:color w:val="000000" w:themeColor="text1"/>
          <w:spacing w:val="0"/>
          <w:sz w:val="16"/>
          <w:szCs w:val="16"/>
        </w:rPr>
        <w:softHyphen/>
        <w:t>не использовать самолеты Ил-2, что и требу</w:t>
      </w:r>
      <w:r w:rsidRPr="00D03F3E">
        <w:rPr>
          <w:rStyle w:val="46"/>
          <w:rFonts w:ascii="Times New Roman" w:eastAsia="Trebuchet MS" w:cs="Times New Roman"/>
          <w:color w:val="000000" w:themeColor="text1"/>
          <w:spacing w:val="0"/>
          <w:sz w:val="16"/>
          <w:szCs w:val="16"/>
        </w:rPr>
        <w:softHyphen/>
        <w:t>ет обстановка на фронтах /.../. Летчики 6-го Гв. шап просят давать побольше этих машин».</w:t>
      </w:r>
    </w:p>
    <w:p w14:paraId="7E168C7A" w14:textId="77777777" w:rsidR="004C64B2" w:rsidRPr="00D03F3E" w:rsidRDefault="004C64B2"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Тем не менее, решение о серийном вы</w:t>
      </w:r>
      <w:r w:rsidRPr="00D03F3E">
        <w:rPr>
          <w:rFonts w:ascii="Times New Roman" w:cs="Times New Roman"/>
          <w:color w:val="000000" w:themeColor="text1"/>
          <w:spacing w:val="0"/>
          <w:sz w:val="16"/>
          <w:szCs w:val="16"/>
        </w:rPr>
        <w:softHyphen/>
        <w:t>пуске Ил-2бис так и не приняли. Основной причиной являлся большой объем измене</w:t>
      </w:r>
      <w:r w:rsidRPr="00D03F3E">
        <w:rPr>
          <w:rFonts w:ascii="Times New Roman" w:cs="Times New Roman"/>
          <w:color w:val="000000" w:themeColor="text1"/>
          <w:spacing w:val="0"/>
          <w:sz w:val="16"/>
          <w:szCs w:val="16"/>
        </w:rPr>
        <w:softHyphen/>
        <w:t>ний, связанных с переделкой бронекорпуса и перекомпоновкой бензобаков, что привело бы к снижению выпуска штурмовиков. Для кардинального пересмотра схемы бронирова</w:t>
      </w:r>
      <w:r w:rsidRPr="00D03F3E">
        <w:rPr>
          <w:rFonts w:ascii="Times New Roman" w:cs="Times New Roman"/>
          <w:color w:val="000000" w:themeColor="text1"/>
          <w:spacing w:val="0"/>
          <w:sz w:val="16"/>
          <w:szCs w:val="16"/>
        </w:rPr>
        <w:softHyphen/>
        <w:t>ния Ил-2 за счет изыскания внутренних резер</w:t>
      </w:r>
      <w:r w:rsidRPr="00D03F3E">
        <w:rPr>
          <w:rFonts w:ascii="Times New Roman" w:cs="Times New Roman"/>
          <w:color w:val="000000" w:themeColor="text1"/>
          <w:spacing w:val="0"/>
          <w:sz w:val="16"/>
          <w:szCs w:val="16"/>
        </w:rPr>
        <w:softHyphen/>
        <w:t>вов не было ни времени, ни сил. Все ресурсы ОКБ-240 поглощались работами по опытным машинам и обеспечению серийного производ</w:t>
      </w:r>
      <w:r w:rsidRPr="00D03F3E">
        <w:rPr>
          <w:rFonts w:ascii="Times New Roman" w:cs="Times New Roman"/>
          <w:color w:val="000000" w:themeColor="text1"/>
          <w:spacing w:val="0"/>
          <w:sz w:val="16"/>
          <w:szCs w:val="16"/>
        </w:rPr>
        <w:softHyphen/>
        <w:t>ства Ил-2. Между тем военные регулярно офи</w:t>
      </w:r>
      <w:r w:rsidRPr="00D03F3E">
        <w:rPr>
          <w:rFonts w:ascii="Times New Roman" w:cs="Times New Roman"/>
          <w:color w:val="000000" w:themeColor="text1"/>
          <w:spacing w:val="0"/>
          <w:sz w:val="16"/>
          <w:szCs w:val="16"/>
        </w:rPr>
        <w:softHyphen/>
        <w:t>циально запрашивали у С.В. Ильюшина и руко</w:t>
      </w:r>
      <w:r w:rsidRPr="00D03F3E">
        <w:rPr>
          <w:rFonts w:ascii="Times New Roman" w:cs="Times New Roman"/>
          <w:color w:val="000000" w:themeColor="text1"/>
          <w:spacing w:val="0"/>
          <w:sz w:val="16"/>
          <w:szCs w:val="16"/>
        </w:rPr>
        <w:softHyphen/>
        <w:t>водства НКАП о проводимых мероприятиях по усилению бронезащиты Ил-2.</w:t>
      </w:r>
    </w:p>
    <w:p w14:paraId="421820A0" w14:textId="77777777" w:rsidR="004C64B2" w:rsidRPr="00D03F3E" w:rsidRDefault="004C64B2"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Надо сказать, что в 1942 С.В. Ильюшин игнорировал не только рекомендации НИИ ВВС по повы</w:t>
      </w:r>
      <w:r w:rsidRPr="00D03F3E">
        <w:rPr>
          <w:rFonts w:ascii="Times New Roman" w:cs="Times New Roman"/>
          <w:color w:val="000000" w:themeColor="text1"/>
          <w:spacing w:val="0"/>
          <w:sz w:val="16"/>
          <w:szCs w:val="16"/>
        </w:rPr>
        <w:softHyphen/>
        <w:t>шению боевой живучести Ил-2, но и решения комиссии ВВС и НКАП о внедрении усиленного варианта бронирования штурмовика, а именно е требование</w:t>
      </w:r>
      <w:r w:rsidRPr="00D03F3E">
        <w:rPr>
          <w:rStyle w:val="aff6"/>
          <w:rFonts w:ascii="Times New Roman" w:eastAsia="Arial Narrow" w:hAnsi="Times New Roman" w:cs="Times New Roman"/>
          <w:i w:val="0"/>
          <w:color w:val="000000" w:themeColor="text1"/>
          <w:spacing w:val="0"/>
        </w:rPr>
        <w:t xml:space="preserve"> «заменить 12-мм цементирован</w:t>
      </w:r>
      <w:r w:rsidRPr="00D03F3E">
        <w:rPr>
          <w:rStyle w:val="aff6"/>
          <w:rFonts w:ascii="Times New Roman" w:eastAsia="Arial Narrow" w:hAnsi="Times New Roman" w:cs="Times New Roman"/>
          <w:i w:val="0"/>
          <w:color w:val="000000" w:themeColor="text1"/>
          <w:spacing w:val="0"/>
        </w:rPr>
        <w:softHyphen/>
        <w:t>ную бронеспинку корпуса на цементирован</w:t>
      </w:r>
      <w:r w:rsidRPr="00D03F3E">
        <w:rPr>
          <w:rStyle w:val="aff6"/>
          <w:rFonts w:ascii="Times New Roman" w:eastAsia="Arial Narrow" w:hAnsi="Times New Roman" w:cs="Times New Roman"/>
          <w:i w:val="0"/>
          <w:color w:val="000000" w:themeColor="text1"/>
          <w:spacing w:val="0"/>
        </w:rPr>
        <w:softHyphen/>
        <w:t>ную спинку толщиной 16-20 мм».</w:t>
      </w:r>
    </w:p>
    <w:p w14:paraId="32A88127" w14:textId="77777777" w:rsidR="004C64B2" w:rsidRPr="00D03F3E" w:rsidRDefault="004C64B2"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Style w:val="aff6"/>
          <w:rFonts w:ascii="Times New Roman" w:eastAsia="Arial Narrow" w:hAnsi="Times New Roman" w:cs="Times New Roman"/>
          <w:i w:val="0"/>
          <w:color w:val="000000" w:themeColor="text1"/>
          <w:spacing w:val="0"/>
        </w:rPr>
        <w:t>Дело в</w:t>
      </w:r>
      <w:r w:rsidRPr="00D03F3E">
        <w:rPr>
          <w:rFonts w:ascii="Times New Roman" w:cs="Times New Roman"/>
          <w:color w:val="000000" w:themeColor="text1"/>
          <w:spacing w:val="0"/>
          <w:sz w:val="16"/>
          <w:szCs w:val="16"/>
        </w:rPr>
        <w:t xml:space="preserve"> том, что к этому времени в мас</w:t>
      </w:r>
      <w:r w:rsidRPr="00D03F3E">
        <w:rPr>
          <w:rFonts w:ascii="Times New Roman" w:cs="Times New Roman"/>
          <w:color w:val="000000" w:themeColor="text1"/>
          <w:spacing w:val="0"/>
          <w:sz w:val="16"/>
          <w:szCs w:val="16"/>
        </w:rPr>
        <w:softHyphen/>
        <w:t>совое производство внедрялся двухместный вариант штурмовика с воздушным стрелком и пулеметом УБТ на оборонительной установке ВУБ-3. Центровка самолета сместилась назад, и пилотажные качества ухудшились. Особен</w:t>
      </w:r>
      <w:r w:rsidRPr="00D03F3E">
        <w:rPr>
          <w:rFonts w:ascii="Times New Roman" w:cs="Times New Roman"/>
          <w:color w:val="000000" w:themeColor="text1"/>
          <w:spacing w:val="0"/>
          <w:sz w:val="16"/>
          <w:szCs w:val="16"/>
        </w:rPr>
        <w:softHyphen/>
        <w:t>но критичным это было для молодого летного состава, не имеющего должной летной под</w:t>
      </w:r>
      <w:r w:rsidRPr="00D03F3E">
        <w:rPr>
          <w:rFonts w:ascii="Times New Roman" w:cs="Times New Roman"/>
          <w:color w:val="000000" w:themeColor="text1"/>
          <w:spacing w:val="0"/>
          <w:sz w:val="16"/>
          <w:szCs w:val="16"/>
        </w:rPr>
        <w:softHyphen/>
        <w:t>готовки. В то же время использование допол</w:t>
      </w:r>
      <w:r w:rsidRPr="00D03F3E">
        <w:rPr>
          <w:rFonts w:ascii="Times New Roman" w:cs="Times New Roman"/>
          <w:color w:val="000000" w:themeColor="text1"/>
          <w:spacing w:val="0"/>
          <w:sz w:val="16"/>
          <w:szCs w:val="16"/>
        </w:rPr>
        <w:softHyphen/>
        <w:t>нительной брони еще более смещало назад центровку Ил-2. Полеты становились опасны</w:t>
      </w:r>
      <w:r w:rsidRPr="00D03F3E">
        <w:rPr>
          <w:rFonts w:ascii="Times New Roman" w:cs="Times New Roman"/>
          <w:color w:val="000000" w:themeColor="text1"/>
          <w:spacing w:val="0"/>
          <w:sz w:val="16"/>
          <w:szCs w:val="16"/>
        </w:rPr>
        <w:softHyphen/>
        <w:t>ми. Собственно, именно по этой причине бро</w:t>
      </w:r>
      <w:r w:rsidRPr="00D03F3E">
        <w:rPr>
          <w:rFonts w:ascii="Times New Roman" w:cs="Times New Roman"/>
          <w:color w:val="000000" w:themeColor="text1"/>
          <w:spacing w:val="0"/>
          <w:sz w:val="16"/>
          <w:szCs w:val="16"/>
        </w:rPr>
        <w:softHyphen/>
        <w:t>нирование воздушного стрелка ограничива</w:t>
      </w:r>
      <w:r w:rsidRPr="00D03F3E">
        <w:rPr>
          <w:rFonts w:ascii="Times New Roman" w:cs="Times New Roman"/>
          <w:color w:val="000000" w:themeColor="text1"/>
          <w:spacing w:val="0"/>
          <w:sz w:val="16"/>
          <w:szCs w:val="16"/>
        </w:rPr>
        <w:softHyphen/>
        <w:t>лось лишь использованием 6</w:t>
      </w:r>
      <w:r w:rsidRPr="00D03F3E">
        <w:rPr>
          <w:rStyle w:val="8pt0"/>
          <w:rFonts w:eastAsia="Arial Narrow"/>
          <w:b w:val="0"/>
          <w:color w:val="000000" w:themeColor="text1"/>
        </w:rPr>
        <w:t>-мм</w:t>
      </w:r>
      <w:r w:rsidRPr="00D03F3E">
        <w:rPr>
          <w:rFonts w:ascii="Times New Roman" w:cs="Times New Roman"/>
          <w:color w:val="000000" w:themeColor="text1"/>
          <w:spacing w:val="0"/>
          <w:sz w:val="16"/>
          <w:szCs w:val="16"/>
        </w:rPr>
        <w:t xml:space="preserve"> бронещитка, прикрывающего его от огня строго со стороны хвоста.</w:t>
      </w:r>
    </w:p>
    <w:p w14:paraId="056F85A5" w14:textId="77777777" w:rsidR="004C64B2" w:rsidRPr="00D03F3E" w:rsidRDefault="004C64B2"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Как показали результаты войсковых испы</w:t>
      </w:r>
      <w:r w:rsidRPr="00D03F3E">
        <w:rPr>
          <w:rFonts w:ascii="Times New Roman" w:cs="Times New Roman"/>
          <w:color w:val="000000" w:themeColor="text1"/>
          <w:spacing w:val="0"/>
          <w:sz w:val="16"/>
          <w:szCs w:val="16"/>
        </w:rPr>
        <w:softHyphen/>
        <w:t>таний первых серийных двухместных Ил-2 с ВУБ-3, бронещиток носил формальный харак</w:t>
      </w:r>
      <w:r w:rsidRPr="00D03F3E">
        <w:rPr>
          <w:rFonts w:ascii="Times New Roman" w:cs="Times New Roman"/>
          <w:color w:val="000000" w:themeColor="text1"/>
          <w:spacing w:val="0"/>
          <w:sz w:val="16"/>
          <w:szCs w:val="16"/>
        </w:rPr>
        <w:softHyphen/>
        <w:t>тер, поскольку пробивался боеприпасами не</w:t>
      </w:r>
      <w:r w:rsidRPr="00D03F3E">
        <w:rPr>
          <w:rFonts w:ascii="Times New Roman" w:cs="Times New Roman"/>
          <w:color w:val="000000" w:themeColor="text1"/>
          <w:spacing w:val="0"/>
          <w:sz w:val="16"/>
          <w:szCs w:val="16"/>
        </w:rPr>
        <w:softHyphen/>
        <w:t>мецких авиапушек и крупнокалиберных пуле</w:t>
      </w:r>
      <w:r w:rsidRPr="00D03F3E">
        <w:rPr>
          <w:rFonts w:ascii="Times New Roman" w:cs="Times New Roman"/>
          <w:color w:val="000000" w:themeColor="text1"/>
          <w:spacing w:val="0"/>
          <w:sz w:val="16"/>
          <w:szCs w:val="16"/>
        </w:rPr>
        <w:softHyphen/>
        <w:t>метов. Любой осколочный снаряд, проникший в кабину стрелка, если и не попадал в него, то разрывался на задней броне бронекорпу</w:t>
      </w:r>
      <w:r w:rsidRPr="00D03F3E">
        <w:rPr>
          <w:rFonts w:ascii="Times New Roman" w:cs="Times New Roman"/>
          <w:color w:val="000000" w:themeColor="text1"/>
          <w:spacing w:val="0"/>
          <w:sz w:val="16"/>
          <w:szCs w:val="16"/>
        </w:rPr>
        <w:softHyphen/>
        <w:t>са и осколками поражал стрелка. Про осколки зенитных снарядов и говорить не приходит</w:t>
      </w:r>
      <w:r w:rsidRPr="00D03F3E">
        <w:rPr>
          <w:rFonts w:ascii="Times New Roman" w:cs="Times New Roman"/>
          <w:color w:val="000000" w:themeColor="text1"/>
          <w:spacing w:val="0"/>
          <w:sz w:val="16"/>
          <w:szCs w:val="16"/>
        </w:rPr>
        <w:softHyphen/>
        <w:t xml:space="preserve">ся е их было много, и они прошивали кабину </w:t>
      </w:r>
      <w:r w:rsidRPr="00D03F3E">
        <w:rPr>
          <w:rFonts w:ascii="Times New Roman" w:cs="Times New Roman"/>
          <w:color w:val="000000" w:themeColor="text1"/>
          <w:spacing w:val="0"/>
          <w:sz w:val="16"/>
          <w:szCs w:val="16"/>
        </w:rPr>
        <w:lastRenderedPageBreak/>
        <w:t>стрелка с бортов насквозь. Сама кабина была довольно тесной: стрелок в меховом комбине</w:t>
      </w:r>
      <w:r w:rsidRPr="00D03F3E">
        <w:rPr>
          <w:rFonts w:ascii="Times New Roman" w:cs="Times New Roman"/>
          <w:color w:val="000000" w:themeColor="text1"/>
          <w:spacing w:val="0"/>
          <w:sz w:val="16"/>
          <w:szCs w:val="16"/>
        </w:rPr>
        <w:softHyphen/>
        <w:t>зоне и с парашютом едва помещался в ней и для ведения стрельбы вынужден был занимать неестественное положение. При этом было не</w:t>
      </w:r>
      <w:r w:rsidRPr="00D03F3E">
        <w:rPr>
          <w:rFonts w:ascii="Times New Roman" w:cs="Times New Roman"/>
          <w:color w:val="000000" w:themeColor="text1"/>
          <w:spacing w:val="0"/>
          <w:sz w:val="16"/>
          <w:szCs w:val="16"/>
        </w:rPr>
        <w:softHyphen/>
        <w:t>удобно маневрировать установкой и перезаря</w:t>
      </w:r>
      <w:r w:rsidRPr="00D03F3E">
        <w:rPr>
          <w:rFonts w:ascii="Times New Roman" w:cs="Times New Roman"/>
          <w:color w:val="000000" w:themeColor="text1"/>
          <w:spacing w:val="0"/>
          <w:sz w:val="16"/>
          <w:szCs w:val="16"/>
        </w:rPr>
        <w:softHyphen/>
        <w:t>жать пулемет.</w:t>
      </w:r>
    </w:p>
    <w:p w14:paraId="2266C191" w14:textId="77777777" w:rsidR="004C64B2" w:rsidRPr="00D03F3E" w:rsidRDefault="004C64B2"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Пилотирование требовало от летчиков по</w:t>
      </w:r>
      <w:r w:rsidRPr="00D03F3E">
        <w:rPr>
          <w:rFonts w:ascii="Times New Roman" w:cs="Times New Roman"/>
          <w:color w:val="000000" w:themeColor="text1"/>
          <w:spacing w:val="0"/>
          <w:sz w:val="16"/>
          <w:szCs w:val="16"/>
        </w:rPr>
        <w:softHyphen/>
        <w:t>вышенного внимания, особенно в процессе выполнения виражей и на боевых разворотах. Отмечались большие нагрузки на рули при пе</w:t>
      </w:r>
      <w:r w:rsidRPr="00D03F3E">
        <w:rPr>
          <w:rFonts w:ascii="Times New Roman" w:cs="Times New Roman"/>
          <w:color w:val="000000" w:themeColor="text1"/>
          <w:spacing w:val="0"/>
          <w:sz w:val="16"/>
          <w:szCs w:val="16"/>
        </w:rPr>
        <w:softHyphen/>
        <w:t>рекладывании штурмовика из виража в вираж. При выполнении глубоких виражей наблюда</w:t>
      </w:r>
      <w:r w:rsidRPr="00D03F3E">
        <w:rPr>
          <w:rFonts w:ascii="Times New Roman" w:cs="Times New Roman"/>
          <w:color w:val="000000" w:themeColor="text1"/>
          <w:spacing w:val="0"/>
          <w:sz w:val="16"/>
          <w:szCs w:val="16"/>
        </w:rPr>
        <w:softHyphen/>
        <w:t>лась тенденция к срыву самолета в штопор. Пикирование на скорости 440 км/ч делало самолет трудноуправляемым, он норовил уве</w:t>
      </w:r>
      <w:r w:rsidRPr="00D03F3E">
        <w:rPr>
          <w:rFonts w:ascii="Times New Roman" w:cs="Times New Roman"/>
          <w:color w:val="000000" w:themeColor="text1"/>
          <w:spacing w:val="0"/>
          <w:sz w:val="16"/>
          <w:szCs w:val="16"/>
        </w:rPr>
        <w:softHyphen/>
        <w:t>личить угол пикирования, а при резком выводе из пикирования стремился к кабрированию с последующим срывом в штопор (15778).</w:t>
      </w:r>
    </w:p>
    <w:p w14:paraId="5B1C9B1C" w14:textId="77777777" w:rsidR="004C64B2" w:rsidRPr="00D03F3E" w:rsidRDefault="004C64B2" w:rsidP="00D03F3E">
      <w:pPr>
        <w:pStyle w:val="36"/>
        <w:shd w:val="clear" w:color="auto" w:fill="auto"/>
        <w:spacing w:after="0" w:line="240" w:lineRule="auto"/>
        <w:jc w:val="both"/>
        <w:rPr>
          <w:rFonts w:ascii="Times New Roman" w:cs="Times New Roman"/>
          <w:color w:val="000000" w:themeColor="text1"/>
          <w:spacing w:val="0"/>
          <w:sz w:val="16"/>
          <w:szCs w:val="16"/>
        </w:rPr>
      </w:pPr>
    </w:p>
    <w:p w14:paraId="73776D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марта 1943 А.С.Яковлев писал письмо А.И.Шахурину.</w:t>
      </w:r>
    </w:p>
    <w:p w14:paraId="47A8B4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Положение с нашей истребительной авиацией вызывает большую тревогу. Наши серийные истребители, имеющие преимущества по летным качествам перед известными нам истребителями противника до высоты 3000 м, на всех высотах выше 3000 м, и чем выше, тем больше, уступают вражеским истребителям.</w:t>
      </w:r>
    </w:p>
    <w:p w14:paraId="2E1626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Следует ожидать, что противник к началу лета сможет создать небольшие группы облегченных истребителей Мессершмитт-109-Г2 и Фоке-вульф-190, с которыми нашим серийным истребителям будет трудно бороться даже и на высотах от земли до 3000 м. Опыт воздушной войны за Сталинград показывает, что появление даже двух десятков Мессершмитту с более высокими, по сравнению с нашими серийными истребителями, качествами оказало исключительно тяжелое воздействие на боеспособность наших истребительных частей; поэтому я считаю, что необходимо немедленно, не теряя ни минуты, доложить этот вопрос в ГКО и получить разрешение на постройку, к началу лета, двух-трех десятков истребителей с летными и боевыми качествами, заведомо превышающими такие же у возможных улучшенных истребителей противника, для парирования действия вражеских ударных истребительных частей.</w:t>
      </w:r>
    </w:p>
    <w:p w14:paraId="22D78B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этой цели необходимо немедленно начать серийное производство истребителей И-185, а также самолетов ЯК с мотором М-107-А с таким расчетом, чтобы к маю дать фронту хотя бы по 20-30 самолетов каждого типа. Самолеты И-185 и ЯК с мотором М-107-А, обладающие примерно одинаковой скоростью 570-590 км/час у земли и 680 км/час на высоте 6000 м, должны обеспечить безусловное превосходство над возможными модификациями улучшенных истребителей противника.</w:t>
      </w:r>
    </w:p>
    <w:p w14:paraId="421DEA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По-видимому, вопрос этот не приобрел еще необходимой остроты по той причине, что ВВС не осознал, по-видимому, всей серьезности создавшегося положения с истребительными самолетами и не требует его разрешения. В частности не исключена возможность, что в любой момент над любым нашим городом, находящимся в пределах 200 км от фронта, появятся бомбардировщики противника в сопровождении истребителей Мессершмитт-109-Г, которые среди бела дня с высоты 6000 м будут совершенно безнаказанно производить бомбежку, а мы оказать какое-либо противодействие, благодаря значительному превосходству вражеских истребителей на этой высоте перед нашими, находящимися на вооружении серийными истребителями, не сможем.</w:t>
      </w:r>
    </w:p>
    <w:p w14:paraId="10CBD0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Подчеркиваю настоятельную необходимость немедленно доложить этот вопрос ГКО (1458,226).</w:t>
      </w:r>
    </w:p>
    <w:p w14:paraId="76052F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0DE8B4" w14:textId="77777777" w:rsidR="00163EF1" w:rsidRPr="00D03F3E" w:rsidRDefault="00163EF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3 марта 1943 г. Яковлев написал очередное письмо Шахурину:</w:t>
      </w:r>
    </w:p>
    <w:p w14:paraId="70A51070" w14:textId="77777777" w:rsidR="00163EF1" w:rsidRPr="00D03F3E" w:rsidRDefault="00163EF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"Положение с нашей истребительной авиацией вызывает большую тревогу. Наши серийные истребители, имеющие преимущества по летным качествам перед известными нам истребителями противника до высоты 3000 м, на всех высотах выше 3000 м, и чем выше, тем больше, уступают вражеским истребителям.</w:t>
      </w:r>
    </w:p>
    <w:p w14:paraId="07748ABB" w14:textId="77777777" w:rsidR="00163EF1" w:rsidRPr="00D03F3E" w:rsidRDefault="00163EF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...необходимо немедленно начать серийное производство истребителей И-185, а также самолетов ЯК с мотором М-107-А с таким расчетом, чтобы к маю дать фронту хотя бы по 20-30 самолетов каждого типа. Самолеты И-185 и ЯКе мотором М- 107-А, обладающие примерно одинаковой скоростью 570-590 км/час у земли и 680 км/час на высоте 6000 м, должны обеспечить безусловное превосходство над возможными модификациями улучшенных истребителей противника.</w:t>
      </w:r>
    </w:p>
    <w:p w14:paraId="1CFAED18" w14:textId="77777777" w:rsidR="00163EF1" w:rsidRPr="00D03F3E" w:rsidRDefault="00163EF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По-видимому, вопрос этот не приобрел еще необходимой остроты по той причине, что ВВС не осознал, по- видимому, всей серьезности создавшегося положения... не исключена возможность, что в любой момент над любым нашим городом, находящимся в пределах 200 км от фронта, появятся бомбардировщики противника в сопровождении истребителей Мессершмитт-109-Г, которые среди бела дня с высоты 6000 м будут совершенно безнаказанно производить бомбежку, а мы оказать какое-либо противодействие, благодаря значительному превосходству вражеских истребителей на этой высоте перед нашими, находящимися на вооружении серийными истребителями, не сможем.</w:t>
      </w:r>
    </w:p>
    <w:p w14:paraId="61667E4B" w14:textId="77777777" w:rsidR="00163EF1" w:rsidRPr="00D03F3E" w:rsidRDefault="00163EF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Подчеркиваю настоятельную необходимость немедленно доложить этот вопрос ГКО" (17737).</w:t>
      </w:r>
    </w:p>
    <w:p w14:paraId="3407F583" w14:textId="77777777" w:rsidR="00163EF1" w:rsidRPr="00D03F3E" w:rsidRDefault="00163EF1" w:rsidP="00D03F3E">
      <w:pPr>
        <w:pStyle w:val="12a"/>
        <w:shd w:val="clear" w:color="auto" w:fill="auto"/>
        <w:spacing w:after="0" w:line="240" w:lineRule="auto"/>
        <w:jc w:val="both"/>
        <w:rPr>
          <w:color w:val="000000" w:themeColor="text1"/>
          <w:sz w:val="16"/>
          <w:szCs w:val="16"/>
        </w:rPr>
      </w:pPr>
    </w:p>
    <w:p w14:paraId="30627C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марта 1943 Н.Н.П. писал секретарю МК и МГК ВКП(б) А.А.Щербакову:</w:t>
      </w:r>
    </w:p>
    <w:p w14:paraId="4D4F39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"...решение ГКО по нашему самолету И-185 М-71 задержалось, причем официальным мотивом этого, как мне сообщил А.И.Ш., является отсутствие летного испытания самолета на дальность..." (2495,38).</w:t>
      </w:r>
    </w:p>
    <w:p w14:paraId="735DDF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918F9B"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марта 1943 года в СССР прилетел первый из заказанных в октябре 1942 в двухстах экземплярах Армстронг Уитворт A.W.41 «Албемарл» Mk.I, которым думали заменить Ли-2 в АДД. затем пришли еще 12 самолетов. На перегоне в СССР один «Албемарл» был сбит, причины потери другого до конца не ясны.</w:t>
      </w:r>
    </w:p>
    <w:p w14:paraId="1F3F0FB1"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Контрольные испытания в НИИ ВВС показали несоответствие характеристик «албемарла» рекламе. От фирмы потребовали доработать самолет, но это сделать было практически невозможно, ведь он специально проектировался как предельно дешевый. В самой Англии лишь первые 32 машины из шестисот серийных были построены как боевые, но и они участвовали в бомбардировочных операциях всего дважды, да и как транспортные они оказались слабы. В итоге советский заказ был сначала урезан вдвое, а затем и вовсе аннулирован. Несколько «албемарлов» все же эксплуатировались в 1943-1944 годах в АДД, но без бомбардировочного вооружения (22856).</w:t>
      </w:r>
    </w:p>
    <w:p w14:paraId="5149BFBC" w14:textId="77777777" w:rsidR="00B00BF5" w:rsidRPr="00D03F3E" w:rsidRDefault="00B00BF5" w:rsidP="00D03F3E">
      <w:pPr>
        <w:spacing w:after="0" w:line="240" w:lineRule="auto"/>
        <w:jc w:val="both"/>
        <w:rPr>
          <w:rFonts w:ascii="Times New Roman" w:hAnsi="Times New Roman"/>
          <w:color w:val="0070C0"/>
          <w:sz w:val="16"/>
          <w:szCs w:val="16"/>
        </w:rPr>
      </w:pPr>
    </w:p>
    <w:p w14:paraId="7345E9F3"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марта 1943 г., ко</w:t>
      </w:r>
      <w:r w:rsidRPr="00D03F3E">
        <w:rPr>
          <w:rFonts w:ascii="Times New Roman" w:hAnsi="Times New Roman"/>
          <w:color w:val="000000" w:themeColor="text1"/>
          <w:sz w:val="16"/>
          <w:szCs w:val="16"/>
        </w:rPr>
        <w:softHyphen/>
        <w:t>гда состоялась беседа Панюшкина с зам. министра иностранных дел Китая У Гожэнем, посол разъяснил тому, что 26 января в беседе с министром иностранных дел Сун Цзывэнем он уже сообщал, что в Москве существует определенное мнение об авиазаводе в Урумчи, и что советское правительство склонно рассмотреть предложения китайского правительства по этому вопросу и что для того, чтобы получить официальное мнение со</w:t>
      </w:r>
      <w:r w:rsidRPr="00D03F3E">
        <w:rPr>
          <w:rFonts w:ascii="Times New Roman" w:hAnsi="Times New Roman"/>
          <w:color w:val="000000" w:themeColor="text1"/>
          <w:sz w:val="16"/>
          <w:szCs w:val="16"/>
        </w:rPr>
        <w:softHyphen/>
        <w:t>ветского правительства, он хотел бы знать конкретные предложения китайцев (15811).</w:t>
      </w:r>
    </w:p>
    <w:p w14:paraId="5C2CFDF2" w14:textId="77777777" w:rsidR="004C64B2" w:rsidRPr="00D03F3E" w:rsidRDefault="004C64B2" w:rsidP="00D03F3E">
      <w:pPr>
        <w:spacing w:after="0" w:line="240" w:lineRule="auto"/>
        <w:jc w:val="both"/>
        <w:rPr>
          <w:rFonts w:ascii="Times New Roman" w:hAnsi="Times New Roman"/>
          <w:color w:val="000000" w:themeColor="text1"/>
          <w:sz w:val="16"/>
          <w:szCs w:val="16"/>
        </w:rPr>
      </w:pPr>
    </w:p>
    <w:p w14:paraId="451711B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210E98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0CBB7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марта 1943 г. СПРАВКА 5-го ОТДЕЛА ТУ ГБТУ КА О ПОСТУПЛЕНИИ, ВЫДАЧЕ И НАЛИЧИИ ИМПОРТНЫХ ТАНКОВ НА 1 МАРТА 1943 г. №1149289</w:t>
      </w:r>
    </w:p>
    <w:tbl>
      <w:tblPr>
        <w:tblW w:w="0" w:type="auto"/>
        <w:tblInd w:w="40" w:type="dxa"/>
        <w:tblLayout w:type="fixed"/>
        <w:tblCellMar>
          <w:left w:w="40" w:type="dxa"/>
          <w:right w:w="40" w:type="dxa"/>
        </w:tblCellMar>
        <w:tblLook w:val="0000" w:firstRow="0" w:lastRow="0" w:firstColumn="0" w:lastColumn="0" w:noHBand="0" w:noVBand="0"/>
      </w:tblPr>
      <w:tblGrid>
        <w:gridCol w:w="298"/>
        <w:gridCol w:w="2534"/>
        <w:gridCol w:w="605"/>
        <w:gridCol w:w="595"/>
        <w:gridCol w:w="605"/>
        <w:gridCol w:w="595"/>
        <w:gridCol w:w="605"/>
        <w:gridCol w:w="691"/>
        <w:gridCol w:w="605"/>
        <w:gridCol w:w="605"/>
        <w:gridCol w:w="595"/>
        <w:gridCol w:w="605"/>
        <w:gridCol w:w="624"/>
      </w:tblGrid>
      <w:tr w:rsidR="00860B4B" w:rsidRPr="00D03F3E" w14:paraId="7B8A76D8" w14:textId="77777777">
        <w:trPr>
          <w:trHeight w:val="432"/>
        </w:trPr>
        <w:tc>
          <w:tcPr>
            <w:tcW w:w="2832" w:type="dxa"/>
            <w:gridSpan w:val="2"/>
            <w:tcBorders>
              <w:top w:val="single" w:sz="6" w:space="0" w:color="auto"/>
              <w:left w:val="single" w:sz="6" w:space="0" w:color="auto"/>
              <w:bottom w:val="single" w:sz="6" w:space="0" w:color="auto"/>
              <w:right w:val="single" w:sz="6" w:space="0" w:color="auto"/>
            </w:tcBorders>
          </w:tcPr>
          <w:p w14:paraId="2B7FE2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Пункты</w:t>
            </w:r>
          </w:p>
          <w:p w14:paraId="64334D2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F231A0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МК-4</w:t>
            </w:r>
          </w:p>
          <w:p w14:paraId="20AA17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859E9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МК-2</w:t>
            </w:r>
          </w:p>
          <w:p w14:paraId="6C4CEA4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DC4D6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мк-з</w:t>
            </w:r>
          </w:p>
          <w:p w14:paraId="635F05E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F71F09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М4А2</w:t>
            </w:r>
          </w:p>
          <w:p w14:paraId="6126C45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7480DE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МЗ ср.</w:t>
            </w:r>
          </w:p>
          <w:p w14:paraId="124978B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7A991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МЗ лег.</w:t>
            </w:r>
          </w:p>
          <w:p w14:paraId="2F4A2B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B7C4D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МК-7</w:t>
            </w:r>
          </w:p>
          <w:p w14:paraId="7AB1F8D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8A3AE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w:t>
            </w:r>
          </w:p>
          <w:p w14:paraId="5A65EF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3B4CF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Брен</w:t>
            </w:r>
          </w:p>
          <w:p w14:paraId="1A9952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708443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МЗА1</w:t>
            </w:r>
          </w:p>
          <w:p w14:paraId="632D38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8CC87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М2</w:t>
            </w:r>
          </w:p>
          <w:p w14:paraId="3989EE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77D74D9" w14:textId="77777777">
        <w:trPr>
          <w:trHeight w:val="278"/>
        </w:trPr>
        <w:tc>
          <w:tcPr>
            <w:tcW w:w="298" w:type="dxa"/>
            <w:tcBorders>
              <w:top w:val="single" w:sz="6" w:space="0" w:color="auto"/>
              <w:left w:val="single" w:sz="6" w:space="0" w:color="auto"/>
              <w:bottom w:val="nil"/>
              <w:right w:val="single" w:sz="6" w:space="0" w:color="auto"/>
            </w:tcBorders>
          </w:tcPr>
          <w:p w14:paraId="09FE2F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Поступило</w:t>
            </w:r>
          </w:p>
          <w:p w14:paraId="77707A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312B3F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Поступило в порты Севера</w:t>
            </w:r>
          </w:p>
          <w:p w14:paraId="631E115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38B0A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124</w:t>
            </w:r>
          </w:p>
          <w:p w14:paraId="58101BD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D097D2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835</w:t>
            </w:r>
          </w:p>
          <w:p w14:paraId="7013C7F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1EA42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1086</w:t>
            </w:r>
          </w:p>
          <w:p w14:paraId="5318C7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898B0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w:t>
            </w:r>
          </w:p>
          <w:p w14:paraId="14B3931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81DC99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899</w:t>
            </w:r>
          </w:p>
          <w:p w14:paraId="39CAAA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EEB72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719</w:t>
            </w:r>
          </w:p>
          <w:p w14:paraId="1982F35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FBE97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DD9AC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2A8C68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3709</w:t>
            </w:r>
          </w:p>
          <w:p w14:paraId="1FD5284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F76C93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1376</w:t>
            </w:r>
          </w:p>
          <w:p w14:paraId="1B1328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90FA7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121</w:t>
            </w:r>
          </w:p>
          <w:p w14:paraId="789960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F2230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79</w:t>
            </w:r>
          </w:p>
          <w:p w14:paraId="4DB6C3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E8C3369" w14:textId="77777777">
        <w:trPr>
          <w:trHeight w:val="269"/>
        </w:trPr>
        <w:tc>
          <w:tcPr>
            <w:tcW w:w="298" w:type="dxa"/>
            <w:tcBorders>
              <w:top w:val="nil"/>
              <w:left w:val="single" w:sz="6" w:space="0" w:color="auto"/>
              <w:bottom w:val="nil"/>
              <w:right w:val="single" w:sz="6" w:space="0" w:color="auto"/>
            </w:tcBorders>
          </w:tcPr>
          <w:p w14:paraId="22F8A1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48DD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016EF16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Поступило в порты Юга</w:t>
            </w:r>
          </w:p>
          <w:p w14:paraId="182FC52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BAC112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31A3D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0A7C8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FD3C6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A71E7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293</w:t>
            </w:r>
          </w:p>
          <w:p w14:paraId="6EC70C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54A5D6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w:t>
            </w:r>
          </w:p>
          <w:p w14:paraId="70EE902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B1C66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w:t>
            </w:r>
          </w:p>
          <w:p w14:paraId="5B90852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2513B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460</w:t>
            </w:r>
          </w:p>
          <w:p w14:paraId="115BF4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FB707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7BA122E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FC55F7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904</w:t>
            </w:r>
          </w:p>
          <w:p w14:paraId="01EB7CB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21D67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131</w:t>
            </w:r>
          </w:p>
          <w:p w14:paraId="7D0F07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49E9C2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296</w:t>
            </w:r>
          </w:p>
          <w:p w14:paraId="13D94C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268E1E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w:t>
            </w:r>
          </w:p>
          <w:p w14:paraId="5CAE87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D815702" w14:textId="77777777">
        <w:trPr>
          <w:trHeight w:val="278"/>
        </w:trPr>
        <w:tc>
          <w:tcPr>
            <w:tcW w:w="298" w:type="dxa"/>
            <w:tcBorders>
              <w:top w:val="nil"/>
              <w:left w:val="single" w:sz="6" w:space="0" w:color="auto"/>
              <w:bottom w:val="nil"/>
              <w:right w:val="single" w:sz="6" w:space="0" w:color="auto"/>
            </w:tcBorders>
          </w:tcPr>
          <w:p w14:paraId="539D0C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E9DE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08FDB33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поступило:</w:t>
            </w:r>
          </w:p>
          <w:p w14:paraId="07D17F1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B05E9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124</w:t>
            </w:r>
          </w:p>
          <w:p w14:paraId="7CE64F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A7B7A4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835</w:t>
            </w:r>
          </w:p>
          <w:p w14:paraId="5E0E03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AA46C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1379</w:t>
            </w:r>
          </w:p>
          <w:p w14:paraId="70D29B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A95D10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131</w:t>
            </w:r>
          </w:p>
          <w:p w14:paraId="4080A8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2C272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945</w:t>
            </w:r>
          </w:p>
          <w:p w14:paraId="18B99DC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3E777B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1179</w:t>
            </w:r>
          </w:p>
          <w:p w14:paraId="01E8BB2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86114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1F60F3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577C5B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4613</w:t>
            </w:r>
          </w:p>
          <w:p w14:paraId="3EE9D1C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B22A6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1507</w:t>
            </w:r>
          </w:p>
          <w:p w14:paraId="6B4BEE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B12D6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417</w:t>
            </w:r>
          </w:p>
          <w:p w14:paraId="7CAA814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42E180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141</w:t>
            </w:r>
          </w:p>
          <w:p w14:paraId="675C5D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5D5CB0D" w14:textId="77777777">
        <w:trPr>
          <w:trHeight w:val="278"/>
        </w:trPr>
        <w:tc>
          <w:tcPr>
            <w:tcW w:w="298" w:type="dxa"/>
            <w:tcBorders>
              <w:top w:val="nil"/>
              <w:left w:val="single" w:sz="6" w:space="0" w:color="auto"/>
              <w:bottom w:val="nil"/>
              <w:right w:val="single" w:sz="6" w:space="0" w:color="auto"/>
            </w:tcBorders>
          </w:tcPr>
          <w:p w14:paraId="45F3E0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F034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15142BE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них в пути с Севера</w:t>
            </w:r>
          </w:p>
          <w:p w14:paraId="41E4BE9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F6F9A5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p w14:paraId="7781CBE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9777EB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p w14:paraId="0845BF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6DDC19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w:t>
            </w:r>
          </w:p>
          <w:p w14:paraId="3458D54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EFB2F1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54AF3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77132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4CB09E8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EBEC96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68417A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2FB5FB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09486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CF939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106</w:t>
            </w:r>
          </w:p>
          <w:p w14:paraId="502F96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CA42A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w:t>
            </w:r>
          </w:p>
          <w:p w14:paraId="50EE513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1AFC8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p w14:paraId="2FBA6E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E32D8E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FB6E0A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DFB7300" w14:textId="77777777">
        <w:trPr>
          <w:trHeight w:val="269"/>
        </w:trPr>
        <w:tc>
          <w:tcPr>
            <w:tcW w:w="298" w:type="dxa"/>
            <w:tcBorders>
              <w:top w:val="nil"/>
              <w:left w:val="single" w:sz="6" w:space="0" w:color="auto"/>
              <w:bottom w:val="nil"/>
              <w:right w:val="single" w:sz="6" w:space="0" w:color="auto"/>
            </w:tcBorders>
          </w:tcPr>
          <w:p w14:paraId="35DB7D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74FC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6312550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них в пути с Юга</w:t>
            </w:r>
          </w:p>
          <w:p w14:paraId="5155D0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41D635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79D2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A8E8CE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BFC65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D29DF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6402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9C13FE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BDFC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48D9F1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1CD2E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4D2CAF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C06B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1DB64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A598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3D75A9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BBE7C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EB8176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66E79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1D075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341A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AE5A72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4B474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DD8BABB" w14:textId="77777777">
        <w:trPr>
          <w:trHeight w:val="278"/>
        </w:trPr>
        <w:tc>
          <w:tcPr>
            <w:tcW w:w="298" w:type="dxa"/>
            <w:tcBorders>
              <w:top w:val="nil"/>
              <w:left w:val="single" w:sz="6" w:space="0" w:color="auto"/>
              <w:bottom w:val="nil"/>
              <w:right w:val="single" w:sz="6" w:space="0" w:color="auto"/>
            </w:tcBorders>
          </w:tcPr>
          <w:p w14:paraId="52777D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1B26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25A328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Остаток в портах Севера</w:t>
            </w:r>
          </w:p>
          <w:p w14:paraId="7F4518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8C9B7C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D9CEA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7CD848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p w14:paraId="0261A8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779BED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p w14:paraId="149BF5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E2949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0E404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69777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p w14:paraId="0BD1ED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F7E339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78D84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B0F543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61EA1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015CF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w:t>
            </w:r>
          </w:p>
          <w:p w14:paraId="1FD5E31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B7644E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w:t>
            </w:r>
          </w:p>
          <w:p w14:paraId="333DE6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8D2B9F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77344A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C1876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p w14:paraId="417919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BAA5D09" w14:textId="77777777">
        <w:trPr>
          <w:trHeight w:val="278"/>
        </w:trPr>
        <w:tc>
          <w:tcPr>
            <w:tcW w:w="298" w:type="dxa"/>
            <w:tcBorders>
              <w:top w:val="nil"/>
              <w:left w:val="single" w:sz="6" w:space="0" w:color="auto"/>
              <w:bottom w:val="nil"/>
              <w:right w:val="single" w:sz="6" w:space="0" w:color="auto"/>
            </w:tcBorders>
          </w:tcPr>
          <w:p w14:paraId="5E808D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B59B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461273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Остаток в портах Юга</w:t>
            </w:r>
          </w:p>
          <w:p w14:paraId="4CDECE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AABC46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9A59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E57BD1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FED68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977EB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A3C8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E4A274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D2591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9B08F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8FAA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392C42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7BCC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86DD7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FEA3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BC705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2B38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E1D8C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9BEA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E81B36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CC7F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04873E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93B59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7F203B3" w14:textId="77777777">
        <w:trPr>
          <w:trHeight w:val="269"/>
        </w:trPr>
        <w:tc>
          <w:tcPr>
            <w:tcW w:w="298" w:type="dxa"/>
            <w:tcBorders>
              <w:top w:val="nil"/>
              <w:left w:val="single" w:sz="6" w:space="0" w:color="auto"/>
              <w:bottom w:val="nil"/>
              <w:right w:val="single" w:sz="6" w:space="0" w:color="auto"/>
            </w:tcBorders>
          </w:tcPr>
          <w:p w14:paraId="51C013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C3E7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0683C0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Прибыло в Горький</w:t>
            </w:r>
          </w:p>
          <w:p w14:paraId="077072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FD68E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103</w:t>
            </w:r>
          </w:p>
          <w:p w14:paraId="652058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4F8DA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808</w:t>
            </w:r>
          </w:p>
          <w:p w14:paraId="79ED936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A3DB0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1013</w:t>
            </w:r>
          </w:p>
          <w:p w14:paraId="1BBAAA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331A7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w:t>
            </w:r>
          </w:p>
          <w:p w14:paraId="0305FD7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7D950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878</w:t>
            </w:r>
          </w:p>
          <w:p w14:paraId="0703D6F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959C9C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718</w:t>
            </w:r>
          </w:p>
          <w:p w14:paraId="449E6BD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C9B4E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D251D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3F175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3566</w:t>
            </w:r>
          </w:p>
          <w:p w14:paraId="713D692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BF7290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1262</w:t>
            </w:r>
          </w:p>
          <w:p w14:paraId="33EDA5C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EFD413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w:t>
            </w:r>
          </w:p>
          <w:p w14:paraId="14BAF1B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2D77EB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w:t>
            </w:r>
          </w:p>
          <w:p w14:paraId="002574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DF97441" w14:textId="77777777">
        <w:trPr>
          <w:trHeight w:val="278"/>
        </w:trPr>
        <w:tc>
          <w:tcPr>
            <w:tcW w:w="298" w:type="dxa"/>
            <w:tcBorders>
              <w:top w:val="nil"/>
              <w:left w:val="single" w:sz="6" w:space="0" w:color="auto"/>
              <w:bottom w:val="single" w:sz="6" w:space="0" w:color="auto"/>
              <w:right w:val="single" w:sz="6" w:space="0" w:color="auto"/>
            </w:tcBorders>
          </w:tcPr>
          <w:p w14:paraId="5A84B7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7811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0941A5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Прибыло в Баку</w:t>
            </w:r>
          </w:p>
          <w:p w14:paraId="367F47E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BF559E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E85F0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3589D0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98C63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9C6263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293</w:t>
            </w:r>
          </w:p>
          <w:p w14:paraId="31B5F1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BFA4D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w:t>
            </w:r>
          </w:p>
          <w:p w14:paraId="3C6E20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7DA8CC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w:t>
            </w:r>
          </w:p>
          <w:p w14:paraId="4657A7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BCE3B5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460</w:t>
            </w:r>
          </w:p>
          <w:p w14:paraId="21C6815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75BFA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7E93FD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E7281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904</w:t>
            </w:r>
          </w:p>
          <w:p w14:paraId="59EE74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C0A70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131</w:t>
            </w:r>
          </w:p>
          <w:p w14:paraId="278C302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8212A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296</w:t>
            </w:r>
          </w:p>
          <w:p w14:paraId="3B6B4F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EDF46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w:t>
            </w:r>
          </w:p>
          <w:p w14:paraId="769BB19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4E788AF" w14:textId="77777777">
        <w:trPr>
          <w:trHeight w:val="269"/>
        </w:trPr>
        <w:tc>
          <w:tcPr>
            <w:tcW w:w="298" w:type="dxa"/>
            <w:tcBorders>
              <w:top w:val="single" w:sz="6" w:space="0" w:color="auto"/>
              <w:left w:val="single" w:sz="6" w:space="0" w:color="auto"/>
              <w:bottom w:val="nil"/>
              <w:right w:val="single" w:sz="6" w:space="0" w:color="auto"/>
            </w:tcBorders>
          </w:tcPr>
          <w:p w14:paraId="75EDBF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Выдано</w:t>
            </w:r>
          </w:p>
          <w:p w14:paraId="3CDE1B9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2FD488F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прибыло:</w:t>
            </w:r>
          </w:p>
          <w:p w14:paraId="0797CF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611F4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103</w:t>
            </w:r>
          </w:p>
          <w:p w14:paraId="59EAF28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5684D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808</w:t>
            </w:r>
          </w:p>
          <w:p w14:paraId="2D83B36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0874D5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1306</w:t>
            </w:r>
          </w:p>
          <w:p w14:paraId="51AFD0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0E98D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131</w:t>
            </w:r>
          </w:p>
          <w:p w14:paraId="7AE0A9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7E03F0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924</w:t>
            </w:r>
          </w:p>
          <w:p w14:paraId="10DF94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C42E8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1178</w:t>
            </w:r>
          </w:p>
          <w:p w14:paraId="5DD750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8497F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26A48A1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151FF7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4470</w:t>
            </w:r>
          </w:p>
          <w:p w14:paraId="11C1C4F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1AEA1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1393</w:t>
            </w:r>
          </w:p>
          <w:p w14:paraId="337F66E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99AF8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386</w:t>
            </w:r>
          </w:p>
          <w:p w14:paraId="092E69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49506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111</w:t>
            </w:r>
          </w:p>
          <w:p w14:paraId="7434492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870AAA2" w14:textId="77777777">
        <w:trPr>
          <w:trHeight w:val="278"/>
        </w:trPr>
        <w:tc>
          <w:tcPr>
            <w:tcW w:w="298" w:type="dxa"/>
            <w:tcBorders>
              <w:top w:val="nil"/>
              <w:left w:val="single" w:sz="6" w:space="0" w:color="auto"/>
              <w:bottom w:val="nil"/>
              <w:right w:val="single" w:sz="6" w:space="0" w:color="auto"/>
            </w:tcBorders>
          </w:tcPr>
          <w:p w14:paraId="11734C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4AF4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4984C5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Училищам и курсам</w:t>
            </w:r>
          </w:p>
          <w:p w14:paraId="059B55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335113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15E372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1B454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p w14:paraId="0E2A293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27CE4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w:t>
            </w:r>
          </w:p>
          <w:p w14:paraId="0C5C85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486E1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584A60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CE340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w:t>
            </w:r>
          </w:p>
          <w:p w14:paraId="151EF73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FFDF32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w:t>
            </w:r>
          </w:p>
          <w:p w14:paraId="2C66360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8326A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11E3C7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001ADB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w:t>
            </w:r>
          </w:p>
          <w:p w14:paraId="4B7135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12B717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w:t>
            </w:r>
          </w:p>
          <w:p w14:paraId="0AABCA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B95B0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89C6C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408CB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074B5D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10BC2AB" w14:textId="77777777">
        <w:trPr>
          <w:trHeight w:val="269"/>
        </w:trPr>
        <w:tc>
          <w:tcPr>
            <w:tcW w:w="298" w:type="dxa"/>
            <w:tcBorders>
              <w:top w:val="nil"/>
              <w:left w:val="single" w:sz="6" w:space="0" w:color="auto"/>
              <w:bottom w:val="nil"/>
              <w:right w:val="single" w:sz="6" w:space="0" w:color="auto"/>
            </w:tcBorders>
          </w:tcPr>
          <w:p w14:paraId="754EE5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BA4D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7C43DD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Учебным частям</w:t>
            </w:r>
          </w:p>
          <w:p w14:paraId="528E27B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295A53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1F008B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08C52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w:t>
            </w:r>
          </w:p>
          <w:p w14:paraId="023619D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08B27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w:t>
            </w:r>
          </w:p>
          <w:p w14:paraId="257728C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7642B9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08E91CC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2016E0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p w14:paraId="3BE719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BBCA4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w:t>
            </w:r>
          </w:p>
          <w:p w14:paraId="7F0124E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9F101B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DDC917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1C4777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176</w:t>
            </w:r>
          </w:p>
          <w:p w14:paraId="1927DA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90120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w:t>
            </w:r>
          </w:p>
          <w:p w14:paraId="2B4F1D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51F5E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6F7856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769466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361EA7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45A0C84" w14:textId="77777777">
        <w:trPr>
          <w:trHeight w:val="278"/>
        </w:trPr>
        <w:tc>
          <w:tcPr>
            <w:tcW w:w="298" w:type="dxa"/>
            <w:tcBorders>
              <w:top w:val="nil"/>
              <w:left w:val="single" w:sz="6" w:space="0" w:color="auto"/>
              <w:bottom w:val="nil"/>
              <w:right w:val="single" w:sz="6" w:space="0" w:color="auto"/>
            </w:tcBorders>
          </w:tcPr>
          <w:p w14:paraId="4B3801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A4FE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5ABF69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экспер. работ</w:t>
            </w:r>
          </w:p>
          <w:p w14:paraId="7C2C848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2E469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1F9F4BC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D2AD7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2F918B4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D99A7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0ABD5D8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DBA02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040839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A851F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701744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7B64B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3784ED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18F7F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90EDF0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A8DF4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w:t>
            </w:r>
          </w:p>
          <w:p w14:paraId="42E1B8D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87CD0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1759466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6EFACF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43CAA89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0B2792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69DFA8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6D2A036" w14:textId="77777777">
        <w:trPr>
          <w:trHeight w:val="278"/>
        </w:trPr>
        <w:tc>
          <w:tcPr>
            <w:tcW w:w="298" w:type="dxa"/>
            <w:tcBorders>
              <w:top w:val="nil"/>
              <w:left w:val="single" w:sz="6" w:space="0" w:color="auto"/>
              <w:bottom w:val="nil"/>
              <w:right w:val="single" w:sz="6" w:space="0" w:color="auto"/>
            </w:tcBorders>
          </w:tcPr>
          <w:p w14:paraId="4D9F0F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1BC8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46DA7AA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Формир. частям</w:t>
            </w:r>
          </w:p>
          <w:p w14:paraId="46A118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D230A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p w14:paraId="346126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DFD653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p w14:paraId="4D20B4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AA8B5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p w14:paraId="3552B0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0386F8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01BB6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245B2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w:t>
            </w:r>
          </w:p>
          <w:p w14:paraId="56D759F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EA358E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w:t>
            </w:r>
          </w:p>
          <w:p w14:paraId="7B979A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20ED3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DD5B0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9DAF2B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158</w:t>
            </w:r>
          </w:p>
          <w:p w14:paraId="3F9D4F2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0F2B0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w:t>
            </w:r>
          </w:p>
          <w:p w14:paraId="495A0D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ED0CBE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w:t>
            </w:r>
          </w:p>
          <w:p w14:paraId="4B2AAF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FA78B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w:t>
            </w:r>
          </w:p>
          <w:p w14:paraId="198ED01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EC3237E" w14:textId="77777777">
        <w:trPr>
          <w:trHeight w:val="269"/>
        </w:trPr>
        <w:tc>
          <w:tcPr>
            <w:tcW w:w="298" w:type="dxa"/>
            <w:tcBorders>
              <w:top w:val="nil"/>
              <w:left w:val="single" w:sz="6" w:space="0" w:color="auto"/>
              <w:bottom w:val="single" w:sz="6" w:space="0" w:color="auto"/>
              <w:right w:val="single" w:sz="6" w:space="0" w:color="auto"/>
            </w:tcBorders>
          </w:tcPr>
          <w:p w14:paraId="2958E9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036C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45572B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фронт</w:t>
            </w:r>
          </w:p>
          <w:p w14:paraId="3C19FE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C513A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w:t>
            </w:r>
          </w:p>
          <w:p w14:paraId="633FBD3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F49BA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652</w:t>
            </w:r>
          </w:p>
          <w:p w14:paraId="6A7EAE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90C04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1109</w:t>
            </w:r>
          </w:p>
          <w:p w14:paraId="7D1F996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04D328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w:t>
            </w:r>
          </w:p>
          <w:p w14:paraId="6C992A2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AF31FB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731</w:t>
            </w:r>
          </w:p>
          <w:p w14:paraId="6C1397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69A827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1010</w:t>
            </w:r>
          </w:p>
          <w:p w14:paraId="308B09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1032A9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518633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47F3CB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3605</w:t>
            </w:r>
          </w:p>
          <w:p w14:paraId="4048CC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3E51D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1157</w:t>
            </w:r>
          </w:p>
          <w:p w14:paraId="47A89EB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ADDEB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214</w:t>
            </w:r>
          </w:p>
          <w:p w14:paraId="1E8E8B3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D7F99B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w:t>
            </w:r>
          </w:p>
          <w:p w14:paraId="0339E2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F13F5F7" w14:textId="77777777">
        <w:trPr>
          <w:trHeight w:val="278"/>
        </w:trPr>
        <w:tc>
          <w:tcPr>
            <w:tcW w:w="298" w:type="dxa"/>
            <w:tcBorders>
              <w:top w:val="single" w:sz="6" w:space="0" w:color="auto"/>
              <w:left w:val="single" w:sz="6" w:space="0" w:color="auto"/>
              <w:bottom w:val="nil"/>
              <w:right w:val="single" w:sz="6" w:space="0" w:color="auto"/>
            </w:tcBorders>
          </w:tcPr>
          <w:p w14:paraId="7F35759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Резерв в Горьком</w:t>
            </w:r>
          </w:p>
          <w:p w14:paraId="40EDD4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7EFF772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выдано:</w:t>
            </w:r>
          </w:p>
          <w:p w14:paraId="298A851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2204A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84</w:t>
            </w:r>
          </w:p>
          <w:p w14:paraId="6BE167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13CE36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759</w:t>
            </w:r>
          </w:p>
          <w:p w14:paraId="57ECBE9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05938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1215</w:t>
            </w:r>
          </w:p>
          <w:p w14:paraId="69D921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9D7A86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w:t>
            </w:r>
          </w:p>
          <w:p w14:paraId="7165507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6CCAA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852</w:t>
            </w:r>
          </w:p>
          <w:p w14:paraId="04A8EB4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F5774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1113</w:t>
            </w:r>
          </w:p>
          <w:p w14:paraId="391D9E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051D27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1E0325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9CCE5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4087</w:t>
            </w:r>
          </w:p>
          <w:p w14:paraId="449CF2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409AD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1291</w:t>
            </w:r>
          </w:p>
          <w:p w14:paraId="124757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5FC28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283</w:t>
            </w:r>
          </w:p>
          <w:p w14:paraId="45A697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31426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71</w:t>
            </w:r>
          </w:p>
          <w:p w14:paraId="57067D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A6AACB9" w14:textId="77777777">
        <w:trPr>
          <w:trHeight w:val="278"/>
        </w:trPr>
        <w:tc>
          <w:tcPr>
            <w:tcW w:w="298" w:type="dxa"/>
            <w:tcBorders>
              <w:top w:val="nil"/>
              <w:left w:val="single" w:sz="6" w:space="0" w:color="auto"/>
              <w:bottom w:val="nil"/>
              <w:right w:val="single" w:sz="6" w:space="0" w:color="auto"/>
            </w:tcBorders>
          </w:tcPr>
          <w:p w14:paraId="2BCFC0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252C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1917E0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отд. приемки испр.</w:t>
            </w:r>
          </w:p>
          <w:p w14:paraId="441C43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B67C46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6E6785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2A2672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5B5D52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642909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62B179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D7F8D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w:t>
            </w:r>
          </w:p>
          <w:p w14:paraId="3157A9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B1614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p w14:paraId="69143F2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8C8B6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7150B6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D6422B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595E4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26D2BD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p w14:paraId="7138C42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9CA0A9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47046D5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FE458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63596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0DAC09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31BBE9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EAC1BA9" w14:textId="77777777">
        <w:trPr>
          <w:trHeight w:val="269"/>
        </w:trPr>
        <w:tc>
          <w:tcPr>
            <w:tcW w:w="298" w:type="dxa"/>
            <w:tcBorders>
              <w:top w:val="nil"/>
              <w:left w:val="single" w:sz="6" w:space="0" w:color="auto"/>
              <w:bottom w:val="nil"/>
              <w:right w:val="single" w:sz="6" w:space="0" w:color="auto"/>
            </w:tcBorders>
          </w:tcPr>
          <w:p w14:paraId="79710C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EDD5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3F35817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отд. приемки ремонт.</w:t>
            </w:r>
          </w:p>
          <w:p w14:paraId="02B3FF2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E4F7EF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AC590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8541AD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w:t>
            </w:r>
          </w:p>
          <w:p w14:paraId="7D95D9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8CAF2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p w14:paraId="1CC79E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117A26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p w14:paraId="72BD71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8B07F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p w14:paraId="5623937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DDC4A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7717021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8B8AA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F7242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D636E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w:t>
            </w:r>
          </w:p>
          <w:p w14:paraId="3A8D77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02A2B7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CD262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E28F64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47C209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8FBEA5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35929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ADBF5DB" w14:textId="77777777">
        <w:trPr>
          <w:trHeight w:val="278"/>
        </w:trPr>
        <w:tc>
          <w:tcPr>
            <w:tcW w:w="298" w:type="dxa"/>
            <w:tcBorders>
              <w:top w:val="nil"/>
              <w:left w:val="single" w:sz="6" w:space="0" w:color="auto"/>
              <w:bottom w:val="nil"/>
              <w:right w:val="single" w:sz="6" w:space="0" w:color="auto"/>
            </w:tcBorders>
          </w:tcPr>
          <w:p w14:paraId="1BADF2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4DEB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775099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190 и 194 уч. танк, бригады</w:t>
            </w:r>
          </w:p>
          <w:p w14:paraId="6A1F2F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975EDD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p w14:paraId="4C3369E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B7311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23/2</w:t>
            </w:r>
          </w:p>
          <w:p w14:paraId="3861C7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A2CD1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p w14:paraId="4473D5D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ADED7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16/6</w:t>
            </w:r>
          </w:p>
          <w:p w14:paraId="41FFCBC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D3A95A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28/5</w:t>
            </w:r>
          </w:p>
          <w:p w14:paraId="1B8BC5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C2FB0F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23/4</w:t>
            </w:r>
          </w:p>
          <w:p w14:paraId="2CA50B1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2A7218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0BE56B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11285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144</w:t>
            </w:r>
          </w:p>
          <w:p w14:paraId="4EA892E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418EF3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3B9E643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676FA7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D730C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1B86A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ACE63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438C324" w14:textId="77777777">
        <w:trPr>
          <w:trHeight w:val="278"/>
        </w:trPr>
        <w:tc>
          <w:tcPr>
            <w:tcW w:w="298" w:type="dxa"/>
            <w:tcBorders>
              <w:top w:val="nil"/>
              <w:left w:val="single" w:sz="6" w:space="0" w:color="auto"/>
              <w:bottom w:val="nil"/>
              <w:right w:val="single" w:sz="6" w:space="0" w:color="auto"/>
            </w:tcBorders>
          </w:tcPr>
          <w:p w14:paraId="037390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8D86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675CD2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8 бронеполк</w:t>
            </w:r>
          </w:p>
          <w:p w14:paraId="6F169F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1ED2E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32DCFC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F87E5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B7DFBC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B3206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93A940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74C95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FFFC1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1BED0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050A1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0403E0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B9964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6C450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44471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0B16A4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1479B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3192F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w:t>
            </w:r>
          </w:p>
          <w:p w14:paraId="182E9D9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F606AD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p w14:paraId="40F030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9763EE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285872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425B12B" w14:textId="77777777">
        <w:trPr>
          <w:trHeight w:val="269"/>
        </w:trPr>
        <w:tc>
          <w:tcPr>
            <w:tcW w:w="298" w:type="dxa"/>
            <w:tcBorders>
              <w:top w:val="nil"/>
              <w:left w:val="single" w:sz="6" w:space="0" w:color="auto"/>
              <w:bottom w:val="single" w:sz="6" w:space="0" w:color="auto"/>
              <w:right w:val="single" w:sz="6" w:space="0" w:color="auto"/>
            </w:tcBorders>
          </w:tcPr>
          <w:p w14:paraId="70A31D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AC1D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31E59E9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рембазах</w:t>
            </w:r>
          </w:p>
          <w:p w14:paraId="510255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18BB53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7B496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602DA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p w14:paraId="668090C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D40197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4F1D898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B32BD5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4977C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28245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p w14:paraId="3AAC34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B6B42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p w14:paraId="5CE21B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939C4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8304D3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00F91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w:t>
            </w:r>
          </w:p>
          <w:p w14:paraId="104F7B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44C6BE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p w14:paraId="12D4DC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B0ADC1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AA9C0A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D51D61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78FD6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323D99D" w14:textId="77777777">
        <w:trPr>
          <w:trHeight w:val="278"/>
        </w:trPr>
        <w:tc>
          <w:tcPr>
            <w:tcW w:w="298" w:type="dxa"/>
            <w:tcBorders>
              <w:top w:val="single" w:sz="6" w:space="0" w:color="auto"/>
              <w:left w:val="single" w:sz="6" w:space="0" w:color="auto"/>
              <w:bottom w:val="nil"/>
              <w:right w:val="single" w:sz="6" w:space="0" w:color="auto"/>
            </w:tcBorders>
          </w:tcPr>
          <w:p w14:paraId="050A73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того</w:t>
            </w:r>
          </w:p>
        </w:tc>
        <w:tc>
          <w:tcPr>
            <w:tcW w:w="2534" w:type="dxa"/>
            <w:tcBorders>
              <w:top w:val="single" w:sz="6" w:space="0" w:color="auto"/>
              <w:left w:val="single" w:sz="6" w:space="0" w:color="auto"/>
              <w:bottom w:val="single" w:sz="6" w:space="0" w:color="auto"/>
              <w:right w:val="single" w:sz="6" w:space="0" w:color="auto"/>
            </w:tcBorders>
          </w:tcPr>
          <w:p w14:paraId="7D0FD78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 в резерве:</w:t>
            </w:r>
          </w:p>
          <w:p w14:paraId="63CBEE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193D3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p w14:paraId="3F1E4C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8594E9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w:t>
            </w:r>
          </w:p>
          <w:p w14:paraId="6528E0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C4AD2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w:t>
            </w:r>
          </w:p>
          <w:p w14:paraId="0D7194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96A5B3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w:t>
            </w:r>
          </w:p>
          <w:p w14:paraId="603A9C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39F6C4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w:t>
            </w:r>
          </w:p>
          <w:p w14:paraId="56098B8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73B7D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w:t>
            </w:r>
          </w:p>
          <w:p w14:paraId="5039845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995BF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0CFA60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9210C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238</w:t>
            </w:r>
          </w:p>
          <w:p w14:paraId="53EA2A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95CF9F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w:t>
            </w:r>
          </w:p>
          <w:p w14:paraId="5EEF25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783F06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p w14:paraId="3BAA618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26B73A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3F405C5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F348677" w14:textId="77777777">
        <w:trPr>
          <w:trHeight w:val="278"/>
        </w:trPr>
        <w:tc>
          <w:tcPr>
            <w:tcW w:w="298" w:type="dxa"/>
            <w:tcBorders>
              <w:top w:val="nil"/>
              <w:left w:val="single" w:sz="6" w:space="0" w:color="auto"/>
              <w:bottom w:val="nil"/>
              <w:right w:val="single" w:sz="6" w:space="0" w:color="auto"/>
            </w:tcBorders>
          </w:tcPr>
          <w:p w14:paraId="31602B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75D5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30968E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отд. приемки испр.</w:t>
            </w:r>
          </w:p>
          <w:p w14:paraId="1AEE5D3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57A290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84873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94375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112E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A2AAB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1535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2C261F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3458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125D4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4ED1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1BDD2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389B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8ACA6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8DB9F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22495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927A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E6932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B2528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813C54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84FBC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7DBBF53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BACC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4A0F819" w14:textId="77777777">
        <w:trPr>
          <w:trHeight w:val="269"/>
        </w:trPr>
        <w:tc>
          <w:tcPr>
            <w:tcW w:w="298" w:type="dxa"/>
            <w:tcBorders>
              <w:top w:val="nil"/>
              <w:left w:val="single" w:sz="6" w:space="0" w:color="auto"/>
              <w:bottom w:val="nil"/>
              <w:right w:val="single" w:sz="6" w:space="0" w:color="auto"/>
            </w:tcBorders>
          </w:tcPr>
          <w:p w14:paraId="2D1763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5461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413EE6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отд. приемки ремонт.</w:t>
            </w:r>
          </w:p>
          <w:p w14:paraId="251D5E9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2C2B9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35313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5210C8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FEA02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F5DFF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40E440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254A4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429227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91BE39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7DF7A0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FE340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6C3FEE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BB98C6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84C72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7E020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2C54EE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14681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18F02A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08A85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6D322E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93326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A5186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DF3EEEB" w14:textId="77777777">
        <w:trPr>
          <w:trHeight w:val="278"/>
        </w:trPr>
        <w:tc>
          <w:tcPr>
            <w:tcW w:w="298" w:type="dxa"/>
            <w:tcBorders>
              <w:top w:val="nil"/>
              <w:left w:val="single" w:sz="6" w:space="0" w:color="auto"/>
              <w:bottom w:val="nil"/>
              <w:right w:val="single" w:sz="6" w:space="0" w:color="auto"/>
            </w:tcBorders>
          </w:tcPr>
          <w:p w14:paraId="4E5AA1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F7B9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0B9F50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191 уч. танк, бригаду</w:t>
            </w:r>
          </w:p>
          <w:p w14:paraId="79DF26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0E214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C29BEA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883CF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3C22D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B6706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w:t>
            </w:r>
          </w:p>
          <w:p w14:paraId="6A6C717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D4974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w:t>
            </w:r>
          </w:p>
          <w:p w14:paraId="660A8B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D99E5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p w14:paraId="53FF16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C0F815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w:t>
            </w:r>
          </w:p>
          <w:p w14:paraId="79E2F4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2DAF2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49BC05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62DC0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143</w:t>
            </w:r>
          </w:p>
          <w:p w14:paraId="743E45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40EE4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w:t>
            </w:r>
          </w:p>
          <w:p w14:paraId="1A595A9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0F4BC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p w14:paraId="77E5DC7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484730D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E28CAA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C801358" w14:textId="77777777">
        <w:trPr>
          <w:trHeight w:val="278"/>
        </w:trPr>
        <w:tc>
          <w:tcPr>
            <w:tcW w:w="298" w:type="dxa"/>
            <w:tcBorders>
              <w:top w:val="nil"/>
              <w:left w:val="single" w:sz="6" w:space="0" w:color="auto"/>
              <w:bottom w:val="nil"/>
              <w:right w:val="single" w:sz="6" w:space="0" w:color="auto"/>
            </w:tcBorders>
          </w:tcPr>
          <w:p w14:paraId="02217D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D185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55F5FA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пути на Рязань</w:t>
            </w:r>
          </w:p>
          <w:p w14:paraId="589FCBE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55DD7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C1C46C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3D436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F370B4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DB81C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B246A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F1E7C9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F9DA63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DFE2F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B7C78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11C4D9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5D9668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03E5C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360010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5142A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1A123D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DE969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E8A680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EC6A63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w:t>
            </w:r>
          </w:p>
          <w:p w14:paraId="05E48B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BC7202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w:t>
            </w:r>
          </w:p>
          <w:p w14:paraId="112892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72B49CC" w14:textId="77777777">
        <w:trPr>
          <w:trHeight w:val="288"/>
        </w:trPr>
        <w:tc>
          <w:tcPr>
            <w:tcW w:w="298" w:type="dxa"/>
            <w:tcBorders>
              <w:top w:val="nil"/>
              <w:left w:val="single" w:sz="6" w:space="0" w:color="auto"/>
              <w:bottom w:val="single" w:sz="6" w:space="0" w:color="auto"/>
              <w:right w:val="single" w:sz="6" w:space="0" w:color="auto"/>
            </w:tcBorders>
          </w:tcPr>
          <w:p w14:paraId="3872EC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DDAE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728637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в резерве:</w:t>
            </w:r>
          </w:p>
          <w:p w14:paraId="21FB8B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A1ADF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p w14:paraId="03F3D7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C945C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w:t>
            </w:r>
          </w:p>
          <w:p w14:paraId="22BDEB4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AF7F4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91</w:t>
            </w:r>
          </w:p>
          <w:p w14:paraId="45645B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61D17A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87</w:t>
            </w:r>
          </w:p>
          <w:p w14:paraId="1521DA9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ECB495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72</w:t>
            </w:r>
          </w:p>
          <w:p w14:paraId="67C965D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45413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w:t>
            </w:r>
          </w:p>
          <w:p w14:paraId="18813E3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13C5E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40AFF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50638D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383</w:t>
            </w:r>
          </w:p>
          <w:p w14:paraId="3ABE96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C8F285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w:t>
            </w:r>
          </w:p>
          <w:p w14:paraId="5B0AA31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21F5FE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103</w:t>
            </w:r>
          </w:p>
          <w:p w14:paraId="48AF03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7D2FA6A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p w14:paraId="28184C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2BAE9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5 отдела ТУ ГБТУ КА инженер-майор Морозов</w:t>
      </w:r>
    </w:p>
    <w:p w14:paraId="379259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1677. Л. 60. Подлинник (11403).</w:t>
      </w:r>
    </w:p>
    <w:p w14:paraId="047787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A6837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марта 1943 г. было СООБЩЕНИЕ ЗАМЕСТИТЕЛЯ НАЧАЛЬНИКА ТУ ГБТУ КА ГЛАВНОМУ КОНСТРУКТОРУ ТАНКОВОГО ПРОИЗВОДСТВА КИРОВСКОГО ЗАВОДА ПО ВОПРОСУ ИСПОЛЬЗОВАНИЯ ШАРИКОВЫХ ПОДШИПНИКОВ В БОРТРЕДУКТОРЕ ТАНКА КВ-1</w:t>
      </w:r>
    </w:p>
    <w:p w14:paraId="270E23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Проведенные на заводе №100 испытания шариковых подшипников в бортредукторе танка КВ-1 взамен устанавливаемых бессепараторных бочкообразных подшипников, не позволяют судить о достаточной надежности их работы.</w:t>
      </w:r>
    </w:p>
    <w:p w14:paraId="64648E9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проводились при малых скоростях движения и при недостаточно длительной работе танка при тяжелых нагрузках.</w:t>
      </w:r>
    </w:p>
    <w:p w14:paraId="00BFB01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опытного бортредуктора необходимо продолжать на заводе для выявления полной надежности шариковых подшипников при движении танка при скоростях в 25-30 км и при более длительных максимальных нагрузках на танк.</w:t>
      </w:r>
    </w:p>
    <w:p w14:paraId="54D25B4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получения результатов этих испытаний будет решен вопрос об изготовлении партии тан</w:t>
      </w:r>
      <w:r w:rsidRPr="00D03F3E">
        <w:rPr>
          <w:rFonts w:ascii="Times New Roman" w:hAnsi="Times New Roman"/>
          <w:color w:val="000000" w:themeColor="text1"/>
          <w:sz w:val="16"/>
          <w:szCs w:val="16"/>
        </w:rPr>
        <w:softHyphen/>
        <w:t>ков с опытными бортредукторами.</w:t>
      </w:r>
    </w:p>
    <w:p w14:paraId="2503E0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ТУ ГБТУ КА инженер-полковник Алымов</w:t>
      </w:r>
    </w:p>
    <w:p w14:paraId="20B809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6 отд. ТУ ГБТУ КА инженер-подполковник Ковалев</w:t>
      </w:r>
    </w:p>
    <w:p w14:paraId="4F5DC4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11355а. Д. 3606. Л. 24. Копия (11403).</w:t>
      </w:r>
    </w:p>
    <w:p w14:paraId="5B3851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8AC1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марта 1943 г. был подготовлен ПЛАН РАБОТЫ ГРУППЫ НИ ПОЛИГОНА ПО ИСПЫТАНИЯМ ИМПОРТНЫХ АВТОМОБИЛЕЙ НА МАРТ 1943 г.</w:t>
      </w:r>
    </w:p>
    <w:p w14:paraId="5821F0E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Исследование экономики и динамики импортных автомобилей (продолжение темы — весь месяц).</w:t>
      </w:r>
    </w:p>
    <w:p w14:paraId="2923BD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 исполнитель: вся группа.</w:t>
      </w:r>
    </w:p>
    <w:p w14:paraId="5B17EA6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Испытание автомобилей с повышенным тепловым режимом и устройством для подогрева всасываемой смеси с целью уменьшения конденсации топлива и разжижения смазки (окончание испытания к 1 апреля 1943 г.).</w:t>
      </w:r>
    </w:p>
    <w:p w14:paraId="3F88F7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 исполнитель: ст. техник лейтенант т. Шапов, ст. техник лейтенант т. Адамов.</w:t>
      </w:r>
    </w:p>
    <w:p w14:paraId="047E0BF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Испытание запальных свечей различного размера с помощью переходных втулок (окончание темы к 1 апреля).</w:t>
      </w:r>
    </w:p>
    <w:p w14:paraId="729E3ED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 исполнитель: ст. техник лейтенант т. Адамов.</w:t>
      </w:r>
    </w:p>
    <w:p w14:paraId="3BDEF5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Технический уход и обслуживание автомобилей (проверка и исправление руководства по уходу и обслуживанию импортных автомобилей) к 1 апреля.</w:t>
      </w:r>
    </w:p>
    <w:p w14:paraId="736B363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 исполнитель: ст. техник лейтенант т. Шапов, техник лейтенант т. Мосякин.</w:t>
      </w:r>
    </w:p>
    <w:p w14:paraId="730B643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Исследование пусковых качеств импортных автомобилей (продолжение темы, окончание к 15 марта). Отв. исполнитель: техник лейтенант т. Вайль.</w:t>
      </w:r>
    </w:p>
    <w:p w14:paraId="1710B7F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Подбор заменителей зимних импортных автомобильных масел и смазок (1 раздел испытаний — про</w:t>
      </w:r>
      <w:r w:rsidRPr="00D03F3E">
        <w:rPr>
          <w:rFonts w:ascii="Times New Roman" w:hAnsi="Times New Roman"/>
          <w:color w:val="000000" w:themeColor="text1"/>
          <w:sz w:val="16"/>
          <w:szCs w:val="16"/>
        </w:rPr>
        <w:softHyphen/>
        <w:t>бег 1000 км). Работа продолжается весь месяц.</w:t>
      </w:r>
    </w:p>
    <w:p w14:paraId="776DA5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 исполнитель: техник лейтенант т. Рабинер.</w:t>
      </w:r>
    </w:p>
    <w:p w14:paraId="44785F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Взаимозаменяемость масляных фильтров, карбюраторов и бензонасосов на импортных авто</w:t>
      </w:r>
      <w:r w:rsidRPr="00D03F3E">
        <w:rPr>
          <w:rFonts w:ascii="Times New Roman" w:hAnsi="Times New Roman"/>
          <w:color w:val="000000" w:themeColor="text1"/>
          <w:sz w:val="16"/>
          <w:szCs w:val="16"/>
        </w:rPr>
        <w:softHyphen/>
        <w:t>мобилях (первая часть составление таблиц параметров карбюраторов, фильтров, изготовление при</w:t>
      </w:r>
      <w:r w:rsidRPr="00D03F3E">
        <w:rPr>
          <w:rFonts w:ascii="Times New Roman" w:hAnsi="Times New Roman"/>
          <w:color w:val="000000" w:themeColor="text1"/>
          <w:sz w:val="16"/>
          <w:szCs w:val="16"/>
        </w:rPr>
        <w:softHyphen/>
        <w:t>способлений, проливка карбюраторов, установка карбюраторов на двигатели, проведение пробего-вых испытаний). Работа проводится весь месяц.</w:t>
      </w:r>
    </w:p>
    <w:p w14:paraId="58F61E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 исполнитель: ст. техник лейтенант т. Турянский.</w:t>
      </w:r>
    </w:p>
    <w:p w14:paraId="7506A1F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Исследование экономики и динамики импортных автомобилей при их работе на бензине Б-70 (монтаж двигателей на шасси, обкатка двигателей, регулировка и обслуживание, разработка инструкции по обкатке новых двигателей, пробеговые испытания по трем новым маркам). Работа проводится в течение всего месяца.</w:t>
      </w:r>
    </w:p>
    <w:p w14:paraId="1A81328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 исполнитель: инженер-капитан т. Шатуновский.</w:t>
      </w:r>
    </w:p>
    <w:p w14:paraId="697BB0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испытательной группы инженер-капитан Шатуновский</w:t>
      </w:r>
    </w:p>
    <w:p w14:paraId="491E6C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41. Оп. 11593, Д. 12а. Л, 26. Копия (11403).</w:t>
      </w:r>
    </w:p>
    <w:p w14:paraId="2F2C62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D3E38A" w14:textId="77777777" w:rsidR="00EA447D" w:rsidRPr="00D03F3E" w:rsidRDefault="00EA447D" w:rsidP="00D03F3E">
      <w:pPr>
        <w:pStyle w:val="ae"/>
        <w:shd w:val="clear" w:color="auto" w:fill="FFFFFF"/>
        <w:spacing w:before="0" w:after="0"/>
        <w:jc w:val="both"/>
        <w:rPr>
          <w:color w:val="000000" w:themeColor="text1"/>
          <w:sz w:val="16"/>
          <w:szCs w:val="16"/>
        </w:rPr>
      </w:pPr>
      <w:r w:rsidRPr="00D03F3E">
        <w:rPr>
          <w:color w:val="000000" w:themeColor="text1"/>
          <w:sz w:val="16"/>
          <w:szCs w:val="16"/>
        </w:rPr>
        <w:lastRenderedPageBreak/>
        <w:t>По состоянию на 3 марта 1943 года ГАЗ им. Молотова изготовил 250 бронесаней, из которых 35 было отправлено в 1-ю танковую армию, 75 — на Западный фронт и 41 — на Северо-Западный фронт. Кроме того, завод №180 выпустил 24 экземпляра, которые отправились на Калининский фронт. По состоянию на 21 декабря 1943 года на складах находилось 120 десантных саней, которые планировалось передать в войска: 60 на 2-й Прибалтийский фронт, 30 на 1-й Прибалтийский фронт и 30 на Белорусский Фронт. Точное число выпущенных саней БП-60 неизвестно, но суммарный выпуск на ГАЗ им. Молотова и завода №180 оценивается в районе 300 штук. Увы, каких-то подробностей об их боевом применении пока нет. Тем не менее сама идея оказалась очень интересной. Похожие сани разрабатывались и в других странах, но по сравнению с БП-60 они выглядели несерьёзно (17711).</w:t>
      </w:r>
    </w:p>
    <w:p w14:paraId="5FCD15E6" w14:textId="77777777" w:rsidR="00EA447D" w:rsidRPr="00D03F3E" w:rsidRDefault="00EA447D" w:rsidP="00D03F3E">
      <w:pPr>
        <w:pStyle w:val="12a"/>
        <w:shd w:val="clear" w:color="auto" w:fill="auto"/>
        <w:spacing w:after="0" w:line="240" w:lineRule="auto"/>
        <w:jc w:val="both"/>
        <w:rPr>
          <w:color w:val="000000" w:themeColor="text1"/>
          <w:sz w:val="16"/>
          <w:szCs w:val="16"/>
        </w:rPr>
      </w:pPr>
    </w:p>
    <w:p w14:paraId="59CE00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марта 1943 г. на узкоколейном шасси был изготовлен опытный об</w:t>
      </w:r>
      <w:r w:rsidRPr="00D03F3E">
        <w:rPr>
          <w:rFonts w:ascii="Times New Roman" w:hAnsi="Times New Roman"/>
          <w:color w:val="000000" w:themeColor="text1"/>
          <w:sz w:val="16"/>
          <w:szCs w:val="16"/>
        </w:rPr>
        <w:softHyphen/>
        <w:t>разец бронеавтомобиля БА-64Е. Машина отличалась от серийного об</w:t>
      </w:r>
      <w:r w:rsidRPr="00D03F3E">
        <w:rPr>
          <w:rFonts w:ascii="Times New Roman" w:hAnsi="Times New Roman"/>
          <w:color w:val="000000" w:themeColor="text1"/>
          <w:sz w:val="16"/>
          <w:szCs w:val="16"/>
        </w:rPr>
        <w:softHyphen/>
        <w:t>разца отсутствием башни и крыши корпуса в районе десантного отделе</w:t>
      </w:r>
      <w:r w:rsidRPr="00D03F3E">
        <w:rPr>
          <w:rFonts w:ascii="Times New Roman" w:hAnsi="Times New Roman"/>
          <w:color w:val="000000" w:themeColor="text1"/>
          <w:sz w:val="16"/>
          <w:szCs w:val="16"/>
        </w:rPr>
        <w:softHyphen/>
        <w:t>ния, которое закрывалось сверху брезентовым тентом. В отличие от ма</w:t>
      </w:r>
      <w:r w:rsidRPr="00D03F3E">
        <w:rPr>
          <w:rFonts w:ascii="Times New Roman" w:hAnsi="Times New Roman"/>
          <w:color w:val="000000" w:themeColor="text1"/>
          <w:sz w:val="16"/>
          <w:szCs w:val="16"/>
        </w:rPr>
        <w:softHyphen/>
        <w:t>кета корпус машины имел наращенные на 145 мм вверх броневые борта десантного отделения. Однако быстрый выход и посадка десанта в ма</w:t>
      </w:r>
      <w:r w:rsidRPr="00D03F3E">
        <w:rPr>
          <w:rFonts w:ascii="Times New Roman" w:hAnsi="Times New Roman"/>
          <w:color w:val="000000" w:themeColor="text1"/>
          <w:sz w:val="16"/>
          <w:szCs w:val="16"/>
        </w:rPr>
        <w:softHyphen/>
        <w:t>шину через кормовую дверь были затруднены. В качестве основного оружия на бронеавтомобиле был установлен 7,62-мм пулемет ДТ (10703).</w:t>
      </w:r>
    </w:p>
    <w:p w14:paraId="4EF825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D39C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марта 1943 вышло Постановление ГКО № 2959 Об отмене п.2 постановления ГКО № 2521 от 18 ноября 1942 г. в части расширения ТЭЦ Соликамского калийного комбината НКХП.РГАНИР, Фонд ГКО, д. 92, лл. 146 (11012).</w:t>
      </w:r>
    </w:p>
    <w:p w14:paraId="712815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DCD6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марта 1943 вышло Распоряжение ГКО № 2960. О мерах по оснащению кораблей ВМФ радиолокационной аппаратурой, в том числе импортной, и изготовлению аппаратуры в НИИ-10.РГАНИР, Фонд ГКО, д. 92, лл. 147-148 (11012).</w:t>
      </w:r>
    </w:p>
    <w:p w14:paraId="182CED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ACA1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марта 1943 г. вышло распоряжение ГКО № 2960 об изготовлении в институте (ГС НИИ-10 НКОП, НКСП, МСП, ГКРЭ, МРП, п/я 2435, Всесоюзный государственный институт телемеханики и связи (ВГИТиС) НКТП, Всесоюзный НИИ радиоэлектронники (ВНИИРЭ) МСП, ВНИИ, НПО «Альтаир», А-1586, ГосНПО «Альтаир», ФГУП «НТК «Альтаир», ОАО «Морской НИИ радиоэлектроники (МНИИРЭ) «Альтаир» ФАП /111024 г. Москва ул. Авиамоторная, 57 тел. 673-14-32/) РЛ аппаратуры для кораблей ВМФ. 13.02.1944г. - постановление ГКО № 5167 о проектировании и изготовлении в институте опытных РЛС и приборов точной наводки артиллерии для кораблей ВМФ. 8.05.1945г. вышло постановление ГКО № 8454 о проектировании и изготовлении опытных образцов радиолокатора «Юпитер-</w:t>
      </w:r>
      <w:r w:rsidRPr="00D03F3E">
        <w:rPr>
          <w:rFonts w:ascii="Times New Roman" w:hAnsi="Times New Roman"/>
          <w:color w:val="000000" w:themeColor="text1"/>
          <w:sz w:val="16"/>
          <w:szCs w:val="16"/>
          <w:lang w:val="en-US"/>
        </w:rPr>
        <w:t>Ill</w:t>
      </w:r>
      <w:r w:rsidRPr="00D03F3E">
        <w:rPr>
          <w:rFonts w:ascii="Times New Roman" w:hAnsi="Times New Roman"/>
          <w:color w:val="000000" w:themeColor="text1"/>
          <w:sz w:val="16"/>
          <w:szCs w:val="16"/>
        </w:rPr>
        <w:t>» и электрического ПУАЗО (11982).</w:t>
      </w:r>
    </w:p>
    <w:p w14:paraId="0FB4E5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C815BC"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марта 1943 г. вышло Распоряжение ГКО за № 2960 «О мерах по оснащению кораблей ВМФ радиолокационной аппаратурой, в том числе импортной, и изготовлению аппаратуры в НИИ-10».</w:t>
      </w:r>
    </w:p>
    <w:p w14:paraId="7BF69DD7"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флоте предвоенное недоверие к корабельной радиолокации как демаскирующему фактору после успешной работы единственной РЛС дальнего обнаружения на крейсере «Молотов» Черноморского флота и ознакомления с работой английских корабельных РЛС в Северных конвоях также сменилось требованиями о скорейшем оснащении радиолокаторами советских кораблей.</w:t>
      </w:r>
    </w:p>
    <w:p w14:paraId="3F124B6C"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Сделать опытный образец и подготовиться к серийному производству предписывалось до конца года. Руководить новым предприятием поручили А.А. Форштеру. Его помощниками стали М.Л. Слиозберг и А.М. Кугушев – выходцы из НИИ-9. Бывшие руководители и сотрудники завода им. Коминтерна, НИИ-9 и других предприятий, собранные в Москву из эвакуации, с фронта, вывезенные из блокадного Ленинграда, быстро освоили выделенные им пустующие промерзшие корпуса эвакуированного Физического института АН на 3-й Миусской улице. В 12 разрабатывающих лабораториях нового предприятия работали профессора (впоследствии академики) М.А. Леонтович и Н.Д. Девятков, профессор С.Э. Хайкин. Разработка и изготовление двух опытных образцов станций орудийной наводки СОН-2от были закончены в ноябре 1942 года, всего за восемь месяцев, и после проведения испытаний Постановлением ГКО от 20 декабря 1942 года станция была принята на вооружение и поставлена на серийное производство.</w:t>
      </w:r>
    </w:p>
    <w:p w14:paraId="3BE45410" w14:textId="77777777" w:rsidR="004C64B2" w:rsidRPr="00D03F3E" w:rsidRDefault="004C64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станции потребовалось разработать 25 типов электровакуумных приборов, в том числе импульсную генераторную лампу с торированным карбидированным катодом, высоковольтный кенотрон, комплект приемно-усилительных ламп, стабилитронов, электронно-лучевых трубок и др (15736).</w:t>
      </w:r>
    </w:p>
    <w:p w14:paraId="4179BDE2" w14:textId="77777777" w:rsidR="004C64B2" w:rsidRPr="00D03F3E" w:rsidRDefault="004C64B2" w:rsidP="00D03F3E">
      <w:pPr>
        <w:spacing w:after="0" w:line="240" w:lineRule="auto"/>
        <w:jc w:val="both"/>
        <w:rPr>
          <w:rFonts w:ascii="Times New Roman" w:hAnsi="Times New Roman"/>
          <w:color w:val="000000" w:themeColor="text1"/>
          <w:sz w:val="16"/>
          <w:szCs w:val="16"/>
        </w:rPr>
      </w:pPr>
    </w:p>
    <w:p w14:paraId="767659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марта 1943 вышло Постановление ГКО № 2961 Об обеспечении ремонта танков КВ и Т-34 запасными частями.РГАНИР, Фонд ГКО, д. 92, лл. 149 (11012).</w:t>
      </w:r>
    </w:p>
    <w:p w14:paraId="354C9C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19663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047473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849AD1"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марта</w:t>
      </w:r>
      <w:r w:rsidRPr="00D03F3E">
        <w:rPr>
          <w:rFonts w:ascii="Times New Roman" w:hAnsi="Times New Roman"/>
          <w:color w:val="000000" w:themeColor="text1"/>
          <w:sz w:val="16"/>
          <w:szCs w:val="16"/>
        </w:rPr>
        <w:t xml:space="preserve"> в 1943 году утреннее сообщение Совинформбюро:</w:t>
      </w:r>
    </w:p>
    <w:p w14:paraId="343407A9"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3 марта наши войска вели наступательные бои на прежних направлениях.</w:t>
      </w:r>
    </w:p>
    <w:p w14:paraId="4B16C007"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войска вели наступательные бои. Н-ская часть ворвалась в окопы противника и истребила до 100 немецких солдат и офицеров. На другом участке гитлеровцы пытались вернуть одну высоту, занятую вчера нашими частями. Бойцы подразделения под командованием гвардии младшего лейтенанта Фагина отбили контратаку противника и истребили 60 вражеских солдат и офицеров.</w:t>
      </w:r>
    </w:p>
    <w:p w14:paraId="42D1B106"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бойцы Н-ской части в бою за населённый пункт разгромили две роты вражеской пехоты, подбили и сожгли 3 немецких танка и уничтожили 7 автомашин с боеприпасами. Захвачены трофеи.</w:t>
      </w:r>
    </w:p>
    <w:p w14:paraId="0180FCEA"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Харькова части Н-ского соединения заняли несколько населённых пунктов. В уличных боях уничтожено до 300 вражеских солдат и офицеров. Захвачены 2 склада боеприпасов и продовольственный склад. Наши танкисты, продвигаясь вперёд, рассеяли и частью уничтожили колонну немецкой моторизованной пехоты. Уничтожено 14 автомашин и 2 автоцистерны с горючим.</w:t>
      </w:r>
    </w:p>
    <w:p w14:paraId="4C73464B"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Курска подразделения Н-ской части в результате стремительной атаки выбили немцев из двух населённых пунктов. Захвачены 2 орудия, более 100 винтовок, боеприпасы и разное военное имущество. На другом участке наши бойцы отбили контратаку противника и уничтожили до 100 гитлеровцев. Захвачено 2 танка, 3 противотанковых орудия и 12 пулемётов.</w:t>
      </w:r>
    </w:p>
    <w:p w14:paraId="7D5C884E"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войска продолжали наступательные операции. В ночном бою подразделения Н-ской части зашли в тыл противнику и истребили до роты немецкой пехоты. Огнём нашей артиллерии подбито 3 танка и взорван оклад противника с боеприпасами.</w:t>
      </w:r>
    </w:p>
    <w:p w14:paraId="61E61491"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крымских партизан в конце февраля месяца пустил под откос немецкий воинский эшелон. Разбиты паровоз, 7 платформ и 5 вагонов с военными грузами. Убито до 100 гитлеровцев.</w:t>
      </w:r>
    </w:p>
    <w:p w14:paraId="52AFDECF"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ростовских партизан проникла в деревню, в которой расположился штаб немецкой части. Бесшумно сняв часовых, советские патриоты забросали помещение штаба гранатами. Убито 3 немецких офицера и 15 солдат.</w:t>
      </w:r>
    </w:p>
    <w:p w14:paraId="400386C3"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командир 1 батальона 585 полка 320 немецкой гренадерской дивизии капитан Вилли Курт рассказал: «Весь 1942 год 320 дивизия находилась во Франции, в районе Шербура, где несла караульную службу по охране морского побережья. 27 декабря прошлого года дивизия выехала в Россию. Во Франции даже офицеры очень мало знали об истинном положении дел на Восточном фронте. Незадолго перед отъездом я видел у командира полка подполковника Фосса официальный бюллетень командования, в котором сообщалось, что немецкие войска полностью овладели Сталинградом. Я принимал это сообщение немецкого командования за правду и до самого последнего времени питал уверенность в том, что в этой войне победит Германия. В России, на поле битвы, моя уверенность была поколеблена. Сейчас я настроен весьма пессимистически и думаю, что Германия уже не может победить. По дороге на фронт я видел отступающие в беспорядке жалкие остатки итальянских войск. Окажу откровенно — если бы в Италии знали об ужасной судьбе, которая постигла итальянские дивизии в России, то ни один итальянец, будь го солдат или офицер, никогда больше не решился бы вступить на русскую землю с оружием в руках. Наша дивизия также понесла тяжёлые потери. Русские танки зашли нам в тыл. Мы поспешно отступили. Русские разбили арьергард, прикрывавший отход частей. В одном только бою мой батальон потерял убитыми, ранеными и обмороженными 287 человек».</w:t>
      </w:r>
    </w:p>
    <w:p w14:paraId="6255BF54"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опустошили деревню Хорошее, Орловской области. Бандиты уничтожили всех колхозных активистов и многих рядовых колхозников и колхозниц. Немцы долго охотились за председателем сельского совета, но крестьяне укрывали его от фашистов. Когда гитлеровцы узнали об этом, она повесили колхозников Шкаликова и Дубинкина, а трёх колхозников — расстреляли. Всего за время оккупации немцы расстреляли 150 мирных жителей деревни. При отступлении немецко-фашистские захватчики насильно увели с собою всех оставшихся в живых мужчин от 14 до 50 лет.» (15057).</w:t>
      </w:r>
    </w:p>
    <w:p w14:paraId="0E99E737" w14:textId="77777777" w:rsidR="0001609F" w:rsidRPr="00D03F3E" w:rsidRDefault="0001609F" w:rsidP="00D03F3E">
      <w:pPr>
        <w:spacing w:after="0" w:line="240" w:lineRule="auto"/>
        <w:jc w:val="both"/>
        <w:rPr>
          <w:rFonts w:ascii="Times New Roman" w:hAnsi="Times New Roman"/>
          <w:color w:val="000000" w:themeColor="text1"/>
          <w:sz w:val="16"/>
          <w:szCs w:val="16"/>
        </w:rPr>
      </w:pPr>
    </w:p>
    <w:p w14:paraId="4147D976"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марта</w:t>
      </w:r>
      <w:r w:rsidRPr="00D03F3E">
        <w:rPr>
          <w:rFonts w:ascii="Times New Roman" w:hAnsi="Times New Roman"/>
          <w:color w:val="000000" w:themeColor="text1"/>
          <w:sz w:val="16"/>
          <w:szCs w:val="16"/>
        </w:rPr>
        <w:t xml:space="preserve"> в 1943 году вечернее сообщение Совинформбюро:</w:t>
      </w:r>
    </w:p>
    <w:p w14:paraId="7C6E4B58"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марта после длительного и ожесточённого боя наши войска овладели городом Ржевом.</w:t>
      </w:r>
    </w:p>
    <w:p w14:paraId="2E4D7A1D"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после упорных боёв заняли город и железнодорожный узел Льгов и город Дмитриев-Льговский.</w:t>
      </w:r>
    </w:p>
    <w:p w14:paraId="6D5269D9"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наступательные бои на прежних направлениях.</w:t>
      </w:r>
    </w:p>
    <w:p w14:paraId="0DB39655"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марта частями нашей авиации на различных участках фронта уничтожено или повреждено до 100 автомашин с войсками и грузами, подавлен огонь 14 артиллерийских батарей противника.</w:t>
      </w:r>
    </w:p>
    <w:p w14:paraId="3D9AEEF4"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октябре 1941 года немецко-фашистские войска, заняв Ржев, превратили город и подступы к нему в сильно укреплённый район. В течение многих месяцев противник, не считаясь с огромными потерями, стремился удержать город в своих руках. Несколько дней назад наши войска, обойдя Ржев с юго-запада и юго-востока, начали решительный штурм и сегодня полностью овладели городом Ржевом. На подступах к Ржеву и на его улицах подсчитано до 2.000 трупов немецких солдат и офицеров. Нашими войсками захвачено 112 танков, 78 орудий, 35 паровозов, 1.200 вагонов, 5 складов, много снарядов, мин, пулемётов, винтовок и разного военного имущества.</w:t>
      </w:r>
    </w:p>
    <w:p w14:paraId="7BCDE9B1"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Н-ская часть в бою с противником уничтожила до 300 немецких солдат и офицеров. Захвачено 2 орудия, 11 пулемётов, 3 миномёта и 10 автомашин со снарядами и минами. На другом участке огневым налётом наших гвардейцев-миномётчиков взорван склад боеприпасов и рассеяно скопление пехоты противника.</w:t>
      </w:r>
    </w:p>
    <w:p w14:paraId="258B3073"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Харькова наши войска вели наступательные бои. Бойцы Н-ской части с боями продвигались вперёд и заняли три населённых пункта. Уничтожено свыше 400 гитлеровцев. Сожжено и подбито 7 немецких танков. Захвачены трофеи и пленные. На другом участке наши танкисты разгромили роту вражеской пехоты и захватили 4 орудия и 13 пулемётов.</w:t>
      </w:r>
    </w:p>
    <w:p w14:paraId="67CE7D13"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после упорных боёв овладели городом и железнодорожным узлом Льгов. Только в течение сегодняшнего дня в боях на улицах города истреблено 800 немецких солдат и офицеров. Взяты большие трофеи, в том числе 148 вагонов снарядов, кроме того, большие штабели снарядов, 22 вагона пороха, 3 склада боеприпасов, оклад с инженерным имуществом. Подсчёт трофеев продолжается.</w:t>
      </w:r>
    </w:p>
    <w:p w14:paraId="77A11ECF"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Н-ское соединение в боях за последние дни уничтожило 7 орудий, 9 миномётов, 18 станковых и зенитных пулемётов противника. Нашими бойцами взяты трофеи: 6 паровозов, 28 вагонов, 5 орудий, 9 пулемётов, 138 автомашин и радиостанция.</w:t>
      </w:r>
    </w:p>
    <w:p w14:paraId="7B27F464"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наши войска продолжали наступление. Н-ская часть очистила от противника несколько населённых пунктов, уничтожив при этом 200 гитлеровцев. На другом участке наши бойцы, продвигаясь вперёд, захватили трофеи и пленных.</w:t>
      </w:r>
    </w:p>
    <w:p w14:paraId="46D790A5"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украинских партизан в конце февраля в ожесточённом бою разгромил 295-й немецкий отдельный сапёрный батальон. Истреблено свыше 300 вражеских солдат и офицеров. В другом районе украинские партизаны установили, что в ночь на 25 февраля из Германии на фронт проследует воинский эшелон с танками. Партизаны внескольких местах заминировали железнодорожный путь. Немецкий эшелон подорвался на установленных минах и полетел под откос. Уничтожены паровоз и 25 платформ с танками.</w:t>
      </w:r>
    </w:p>
    <w:p w14:paraId="56D4EE92"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Взятый в плен в районе Сталинграда командир 376 немецкой пехотной дивизии генерал-лейтенант Александр фон Даниэль сообщил: «Когда дивизия прибыла вРоссию, она насчитывала 17 тысяч человек. В ноябрьских боях мы понесли тяжёлые потери в людях и технике. Около половины всей артиллерии пришлось бросить при отходе, когда кольцо окружения было плотно сомкнуто, в дивизии осталось около 12 тысяч человек. Общего положения на фронте мы не знали и все без исключения надеялись на помощь извне. Поражение шедшего нам на выручку Манштейна произвело тяжёлое впечатление. После 10 января для меня уже было ясно, что всё потеряно.</w:t>
      </w:r>
    </w:p>
    <w:p w14:paraId="41D12EB5"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Немецкие войска имели задачу — удержать Сталинград в течение зимы. На этом строились все будущие планы командования. В связи с наступлением русских все эти планы рухнули. Операция по окружению и ликвидации 6 немецкой армии является шедевром стратегии. Поражение немецких войск под Сталинградом окажет большое влияние на дальнейший ход войны. Чтобы восполнить колоссальные потери в людях, технике и военных материалах, понесённые германскими вооружёнными силами в результате гибели 6 армии, потребуются огромные усилия и много времени».</w:t>
      </w:r>
    </w:p>
    <w:p w14:paraId="10F99D2A"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Восемь месяцев хозяйничали немецкие захватчики в городе Волчанске,Харьковской области. За это время немецко-фашистские мерзавцы истребили сотни мирных жителей. Гитлеровские палачи расстреляли пять групп заложников — всего 438 человек. Кроме того, они замучили насмерть ещё свыше 100 граждан города. Перед отступлением из Волчанска фашисты сожгли педагогическое училище, агротехническую школу, школу имени Шевченко, школу имени Пушкина, детскую техническую станцию и другие общественные здания.».</w:t>
      </w:r>
    </w:p>
    <w:p w14:paraId="530F0BB4"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0340E21E"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Наши войска заняли город Ржев.</w:t>
      </w:r>
    </w:p>
    <w:p w14:paraId="6B2F57B0"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«Несколько дней назад наши войска начали решительный штурм города Ржева. Немцы давно уже превратили город и подступы к нему в сильно укреплённый район. Сегодня, 3 марта, после длительного и ожесточённого боя наши войска овладели Ржевом.</w:t>
      </w:r>
    </w:p>
    <w:p w14:paraId="1243DD06"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неполным данным, взяты следующие трофеи: танков — 112, орудий разного калибра — 78, паровозов — 35, вагонов — 1.200, складов разных — 5, а также много снарядов, мин, пулемётов, винтовок и другого военного имущества.</w:t>
      </w:r>
    </w:p>
    <w:p w14:paraId="5082F0BE"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Противник оставил на подступах к городу и в самом Ржеве убитыми до 2.000 солдат и офицеров.</w:t>
      </w:r>
    </w:p>
    <w:p w14:paraId="4A5A8064"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Первыми ворвались в город части генерал-майора тов. Куприянова А.Ф.,генерал-майора тов. Олешева Н.Н. и полковника тов. Шульга В.П.».</w:t>
      </w:r>
    </w:p>
    <w:p w14:paraId="0CFC4E3A"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 Наши войска заняли города Льгов и Дмитриев-Льговский.</w:t>
      </w:r>
    </w:p>
    <w:p w14:paraId="4651CF00"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после упорных боёв заняли город и железнодорожный узел Льгов. Взяты большие трофеи, среди которых 148 вагонов снарядов, 22 вагона пороха, 3 склада с боеприпасами и отдельно большие штабели снарядов, 2 склада с инженерным имуществом.</w:t>
      </w:r>
    </w:p>
    <w:p w14:paraId="4B7F1B3A"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решительной атаки наши войска заняли город Дмитриев-Льговский. Взяты трофеи, которые подсчитываются.» (15057).</w:t>
      </w:r>
    </w:p>
    <w:p w14:paraId="66444CF2" w14:textId="77777777" w:rsidR="0001609F" w:rsidRPr="00D03F3E" w:rsidRDefault="0001609F" w:rsidP="00D03F3E">
      <w:pPr>
        <w:spacing w:after="0" w:line="240" w:lineRule="auto"/>
        <w:jc w:val="both"/>
        <w:rPr>
          <w:rFonts w:ascii="Times New Roman" w:hAnsi="Times New Roman"/>
          <w:color w:val="000000" w:themeColor="text1"/>
          <w:sz w:val="16"/>
          <w:szCs w:val="16"/>
        </w:rPr>
      </w:pPr>
    </w:p>
    <w:p w14:paraId="6548C7B0"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марта</w:t>
      </w:r>
      <w:r w:rsidRPr="00D03F3E">
        <w:rPr>
          <w:rFonts w:ascii="Times New Roman" w:hAnsi="Times New Roman"/>
          <w:color w:val="000000" w:themeColor="text1"/>
          <w:sz w:val="16"/>
          <w:szCs w:val="16"/>
        </w:rPr>
        <w:t xml:space="preserve"> в 1943 году войска Юго-Западного фронта под натиском немецко-фашистских войск отошли к Северскому Донцу и оголили левое крыло Воронежского фронта. Завершилась Харьковская операция Воронежского фронта. Войска продвинулись на 100—260 км, вышли на рубеж Рыльск, Суджа, Лебедин, Опошня, Минковка (15057).</w:t>
      </w:r>
    </w:p>
    <w:p w14:paraId="34219ABB" w14:textId="77777777" w:rsidR="0001609F" w:rsidRPr="00D03F3E" w:rsidRDefault="0001609F" w:rsidP="00D03F3E">
      <w:pPr>
        <w:spacing w:after="0" w:line="240" w:lineRule="auto"/>
        <w:jc w:val="both"/>
        <w:rPr>
          <w:rFonts w:ascii="Times New Roman" w:hAnsi="Times New Roman"/>
          <w:color w:val="000000" w:themeColor="text1"/>
          <w:sz w:val="16"/>
          <w:szCs w:val="16"/>
        </w:rPr>
      </w:pPr>
    </w:p>
    <w:p w14:paraId="0839D2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марта 1943 из Шотландии по северному маршруту в СССР вылетел первый из 200 заказанных Армстронг-Уитворт Албемарлов. Через 9 часов сел во Внуково. Потом в марте-апреле прибыло еще 12. 2 машины пропали без вести. Оказалось, что были сбиты. Потом испытывали два в НИИ ВВС и один в ЛИИ. Уступали даже ПС-84. Летали как транспортные базируясь во Внуково (1607,10).</w:t>
      </w:r>
    </w:p>
    <w:p w14:paraId="2D3CEA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ED16E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669445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3298D2"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марта</w:t>
      </w:r>
      <w:r w:rsidRPr="00D03F3E">
        <w:rPr>
          <w:rFonts w:ascii="Times New Roman" w:hAnsi="Times New Roman"/>
          <w:color w:val="000000" w:themeColor="text1"/>
          <w:sz w:val="16"/>
          <w:szCs w:val="16"/>
        </w:rPr>
        <w:t xml:space="preserve"> в 1943 году опубликовано открытое письмо А.А.Власова "Почему я стал на путь борьбы с большевизмом?» (15057).</w:t>
      </w:r>
    </w:p>
    <w:p w14:paraId="6D1D9CEF" w14:textId="77777777" w:rsidR="0001609F" w:rsidRPr="00D03F3E" w:rsidRDefault="0001609F" w:rsidP="00D03F3E">
      <w:pPr>
        <w:spacing w:after="0" w:line="240" w:lineRule="auto"/>
        <w:jc w:val="both"/>
        <w:rPr>
          <w:rFonts w:ascii="Times New Roman" w:hAnsi="Times New Roman"/>
          <w:color w:val="000000" w:themeColor="text1"/>
          <w:sz w:val="16"/>
          <w:szCs w:val="16"/>
        </w:rPr>
      </w:pPr>
    </w:p>
    <w:p w14:paraId="241A653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марта 1943 вышло Распоряжение ГКО № 2958 [О мобилизации 200 человек из сельского населения Кировской обл. на разгрузку дров на Кирово-Чепецкой ТЭЦ № 3.] (7084, 145).</w:t>
      </w:r>
    </w:p>
    <w:p w14:paraId="23A9306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B339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3 и 9 марта 1943. Из протокола заседания Политбюро N 39, 1943 г.</w:t>
      </w:r>
    </w:p>
    <w:p w14:paraId="729EEE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Об организации Комитета содействия индивидуальному и коллективному огородничеству при ВЦСПС </w:t>
      </w:r>
    </w:p>
    <w:p w14:paraId="5622FB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 Организовать при ВЦСПС Комитет содействия индивидуальному и коллективному огородничеству рабочих и служащих. </w:t>
      </w:r>
    </w:p>
    <w:p w14:paraId="170E93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Поручить т. Швернику в 5-дневный срок представить в Совнарком СССР предложения о составе Комитета и проект положения о нем (11652).</w:t>
      </w:r>
    </w:p>
    <w:p w14:paraId="25473F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5A5E5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5AE327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6D1E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марта 1943 года было отправлено:</w:t>
      </w:r>
    </w:p>
    <w:p w14:paraId="1035FA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СЕКРЕТНОЕ ПОСЛАНИЕ ПРЕМЬЕРА СТАЛИНА ПРЕМЬЕРУ г. УИНСТОНУ ЧЕРЧИЛЛЮ</w:t>
      </w:r>
    </w:p>
    <w:p w14:paraId="01C650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Приветствую британские воздушные силы, успешно бомбившие вчера Берлин. Сожалею, что советские воздушные силы, поглощенные борьбой с немцами на фронте, не могут пока принять участие в бомбардировках Берлина (7430).</w:t>
      </w:r>
    </w:p>
    <w:p w14:paraId="301612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6016E" w14:textId="77777777" w:rsidR="0001609F"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1C31B8F2" w14:textId="77777777" w:rsidR="0001609F" w:rsidRPr="00D03F3E" w:rsidRDefault="0001609F"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90E98A"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марта</w:t>
      </w:r>
      <w:r w:rsidRPr="00D03F3E">
        <w:rPr>
          <w:rFonts w:ascii="Times New Roman" w:hAnsi="Times New Roman"/>
          <w:color w:val="000000" w:themeColor="text1"/>
          <w:sz w:val="16"/>
          <w:szCs w:val="16"/>
        </w:rPr>
        <w:t xml:space="preserve"> в 1943 году первый полёт тяжелого бомбардировщика </w:t>
      </w:r>
      <w:hyperlink r:id="rId81" w:tgtFrame="_blank" w:history="1">
        <w:r w:rsidRPr="00D03F3E">
          <w:rPr>
            <w:rFonts w:ascii="Times New Roman" w:hAnsi="Times New Roman"/>
            <w:color w:val="000000" w:themeColor="text1"/>
            <w:sz w:val="16"/>
            <w:szCs w:val="16"/>
          </w:rPr>
          <w:t xml:space="preserve">«Р.108А» </w:t>
        </w:r>
      </w:hyperlink>
      <w:r w:rsidRPr="00D03F3E">
        <w:rPr>
          <w:rFonts w:ascii="Times New Roman" w:hAnsi="Times New Roman"/>
          <w:color w:val="000000" w:themeColor="text1"/>
          <w:sz w:val="16"/>
          <w:szCs w:val="16"/>
        </w:rPr>
        <w:t>(Разработчик Piaggio, Италия). Для борьбы с кораблями противника возникла идея использовать тяжелое орудие калибра 102мм. Первым высказал такое предложение Этторе Мути, лётчик и значительная фигура в итальянской фашистской партии. После установки пушки с боекомплектом в 50 снарядов внизу фюзеляжа вес самолёта вырос на две тонны. Ствол орудия выступал из носовой части и был направлен чуть вниз. После испытаний со стрельбой на земле и в воздухе усилили конструкцию и установили новый прицел. Артиллерийский вариант самолёта посчитали вполне эффективным противокорабельным оружием и стали готовить выпуск пяти «Р.108А». Помимо этого решили на шести уже имевшихся «Р.108В» установить такое же орудие и образовать специальную эскадрилью для борьбы с флотом союзников. Однако выход Италии из войны в сентябре 1943-го сорвал эти планы, и «Р.108А» остался в одном экземпляре (15057).</w:t>
      </w:r>
    </w:p>
    <w:p w14:paraId="645C33DD" w14:textId="77777777" w:rsidR="0001609F" w:rsidRPr="00D03F3E" w:rsidRDefault="0001609F" w:rsidP="00D03F3E">
      <w:pPr>
        <w:spacing w:after="0" w:line="240" w:lineRule="auto"/>
        <w:jc w:val="both"/>
        <w:rPr>
          <w:rFonts w:ascii="Times New Roman" w:hAnsi="Times New Roman"/>
          <w:color w:val="000000" w:themeColor="text1"/>
          <w:sz w:val="16"/>
          <w:szCs w:val="16"/>
        </w:rPr>
      </w:pPr>
    </w:p>
    <w:p w14:paraId="403E923B"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lastRenderedPageBreak/>
        <w:t>3 марта</w:t>
      </w:r>
      <w:r w:rsidRPr="00D03F3E">
        <w:rPr>
          <w:rFonts w:ascii="Times New Roman" w:hAnsi="Times New Roman"/>
          <w:color w:val="000000" w:themeColor="text1"/>
          <w:sz w:val="16"/>
          <w:szCs w:val="16"/>
        </w:rPr>
        <w:t xml:space="preserve"> в 1943 году первый случай боевого применения метода топмачтового бомбометания по кораблям. Авторство на счету армейских летчиков США. Именно в этот день несколько самолетов Б-25 "Митчелл" 43-й бомбардировочной группы 5-го Воздушного Соединения генерал-майора Кенни нанесли серьезные повреждения японскому тяжелому крейсеру "Аоба" недалеко от Кавиенга. С тех пор метод считается одним из самых действенных. Последний случай боевого применения - атака английского ЭМ "Ковентри" самолетами А-4 "Скайхок" ВВС Аргентины весной 1982 года. Корабль погиб (15057).</w:t>
      </w:r>
    </w:p>
    <w:p w14:paraId="3B7CBF52" w14:textId="77777777" w:rsidR="0001609F" w:rsidRPr="00D03F3E" w:rsidRDefault="0001609F" w:rsidP="00D03F3E">
      <w:pPr>
        <w:spacing w:after="0" w:line="240" w:lineRule="auto"/>
        <w:jc w:val="both"/>
        <w:rPr>
          <w:rFonts w:ascii="Times New Roman" w:hAnsi="Times New Roman"/>
          <w:color w:val="000000" w:themeColor="text1"/>
          <w:sz w:val="16"/>
          <w:szCs w:val="16"/>
        </w:rPr>
      </w:pPr>
    </w:p>
    <w:p w14:paraId="3BC4771E"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7B1A9A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B67E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марта 1943 в НИИ ВВС закончились испытания Як-9Т с НС-37, начатые 15 февраля 1943 (65,116).</w:t>
      </w:r>
    </w:p>
    <w:p w14:paraId="622FCA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8899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марта 1943 П.Я. Федрови направил наркому А.И. Шахурину письмо, в котором, в частности, сообщал:</w:t>
      </w:r>
    </w:p>
    <w:p w14:paraId="39758E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с.г. мною доводился и ис- пытывался в воздухе самолет Як-9 с опытным мотором М-107А. 23 февраля 1943 г. мною были получены &lt;...&gt; скорость у земли 590 км/ч и на высоте 5800 м - 680 км/ч.</w:t>
      </w:r>
    </w:p>
    <w:p w14:paraId="6DDD3E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Температуры воды и масла обеспечивали работу мотора и доведены до условий нормальной эксплуатации самолета.</w:t>
      </w:r>
    </w:p>
    <w:p w14:paraId="5BAFC3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Техника пилотирования &lt;...&gt; Як-9 с установкой мотора М-107А не усложнилась, маневренность, особенно вертикальная, значительно улучшилась, а взлетно-посадочные свойства остались примерно теми же, что и у серийных "Яков".</w:t>
      </w:r>
    </w:p>
    <w:p w14:paraId="00E2FD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Летно-технические свойства &lt;...&gt; Як-9 М-107А значительно выше, чем у немецких истребителей ФВ-190 и Me-109G-2.</w:t>
      </w:r>
    </w:p>
    <w:p w14:paraId="1F20B3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нашими истребителями Як-9 М-107А можно сравнивать только с опытным &lt;...&gt; И-185 т. Поликарпова; у последнего примерно такие же скорости, по технике пилотирования сложнее, а маневренность хуже из-за большего веса самолета</w:t>
      </w:r>
    </w:p>
    <w:p w14:paraId="448221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Обращая внимание на отсутствие производственных затруднений, прошу Вашего распоряжения о срочной установке в марте с.г. на 10-15 &lt;...&gt; Як-9 моторов М-107А, на которых разрешите провести войсковые испытания".</w:t>
      </w:r>
    </w:p>
    <w:p w14:paraId="4F45D2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Отправляя это письмо, П.Я. Федрови почему-то ни словом не обмолвился в нем о тяжелейшей аварии, произошедшей 23 февраля 1943 года в небе подмосковного г. Щелково. В тот день он, прилетев на аэродром Чкаловская, с ходу выполнил километраж и произвел посадку. Следом машину предстояло облетать летчику-испытателю НИИ ВВС П.М. Стефановскому. В 16 часов Як-9 ушел в очередной полет и не вернулся. Эпизод, связанный с тяжелейшей аварией, случившейся через 20 минут после вылета, достаточно подробно описан Петром Михайловичем в его воспоминаниях "Триста неизвестных". Летчик получил сильнейшие травмы и надолго выбыл из строя, и поэтому в акте расследования трагедии, прошедшего по горячим следам, нередко встречается слово "видимо".</w:t>
      </w:r>
    </w:p>
    <w:p w14:paraId="449F8F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Первый Як-9 с двигателем М-107А построили в 1942 г. Заводские испытания (летчик-инженер, генерал-майор инженерно- авиационной службы П.Я. Федрови, в то время заместитель генерал-инспектора ВВС КА при заместителе наркома обороны СССР) начались в канун нового 1943 года, но судьба машины оказалась трагичной (12046).</w:t>
      </w:r>
    </w:p>
    <w:p w14:paraId="38531E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B91A74"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4 марта 1943 по просьбе А.С.Я. помощник начальника Инспек</w:t>
      </w:r>
      <w:r w:rsidRPr="00D03F3E">
        <w:rPr>
          <w:color w:val="000000" w:themeColor="text1"/>
          <w:sz w:val="16"/>
          <w:szCs w:val="16"/>
        </w:rPr>
        <w:softHyphen/>
        <w:t>ции ВВС КА и по совместительству шеф-пилот заво</w:t>
      </w:r>
      <w:r w:rsidRPr="00D03F3E">
        <w:rPr>
          <w:color w:val="000000" w:themeColor="text1"/>
          <w:sz w:val="16"/>
          <w:szCs w:val="16"/>
        </w:rPr>
        <w:softHyphen/>
        <w:t>да № 115 летчик-испытатель П. Я. Федрови обратился к наркому авиационной промышленно</w:t>
      </w:r>
      <w:r w:rsidRPr="00D03F3E">
        <w:rPr>
          <w:color w:val="000000" w:themeColor="text1"/>
          <w:sz w:val="16"/>
          <w:szCs w:val="16"/>
        </w:rPr>
        <w:softHyphen/>
        <w:t>сти А. И. Шахурину с предложением срочно устано</w:t>
      </w:r>
      <w:r w:rsidRPr="00D03F3E">
        <w:rPr>
          <w:color w:val="000000" w:themeColor="text1"/>
          <w:sz w:val="16"/>
          <w:szCs w:val="16"/>
        </w:rPr>
        <w:softHyphen/>
        <w:t>вить «в марте с.г. на 10—15 самолетов Як-9 моторы М-107А» и провести их войсковые испытания на фронте.</w:t>
      </w:r>
    </w:p>
    <w:p w14:paraId="4338D53E"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Одновременно Яковлев направил Шахурину письмо, в котором настаивал на скорейшем нача</w:t>
      </w:r>
      <w:r w:rsidRPr="00D03F3E">
        <w:rPr>
          <w:color w:val="000000" w:themeColor="text1"/>
          <w:sz w:val="16"/>
          <w:szCs w:val="16"/>
        </w:rPr>
        <w:softHyphen/>
        <w:t>ле серийного производства «истребителей И-185, а также самолетов Як с моторами М-107-А». По его мнению, эти истребители со скоростью 570— 590 км/ч у земли и 680 км/ч на высоте 6000 м «должны обеспечить безусловное превосходство над возможными модификациями улучшенных ис</w:t>
      </w:r>
      <w:r w:rsidRPr="00D03F3E">
        <w:rPr>
          <w:color w:val="000000" w:themeColor="text1"/>
          <w:sz w:val="16"/>
          <w:szCs w:val="16"/>
        </w:rPr>
        <w:softHyphen/>
        <w:t>требителей противника». Учитывая серьезность создавшегося положения с истребительными само</w:t>
      </w:r>
      <w:r w:rsidRPr="00D03F3E">
        <w:rPr>
          <w:color w:val="000000" w:themeColor="text1"/>
          <w:sz w:val="16"/>
          <w:szCs w:val="16"/>
        </w:rPr>
        <w:softHyphen/>
        <w:t>летами, Яковлев считал необходимым «немедленно доложить этот вопрос Государственному Комитету Обороны».</w:t>
      </w:r>
    </w:p>
    <w:p w14:paraId="76598416"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Почти синхронно с Федрови и Яковлевым на Шахурина выходит и главный конструктор мотора М-107А Климов с просьбой разрешить развернуть масштабные работы по доводке мотора М-107А, а мотором М-106-1ск временно не заниматься. Ут</w:t>
      </w:r>
      <w:r w:rsidRPr="00D03F3E">
        <w:rPr>
          <w:color w:val="000000" w:themeColor="text1"/>
          <w:sz w:val="16"/>
          <w:szCs w:val="16"/>
        </w:rPr>
        <w:softHyphen/>
        <w:t>верждалось, что если сосредоточить все усилия на М-107А, то к 1 мая 1943 г. можно ожидать оконча</w:t>
      </w:r>
      <w:r w:rsidRPr="00D03F3E">
        <w:rPr>
          <w:color w:val="000000" w:themeColor="text1"/>
          <w:sz w:val="16"/>
          <w:szCs w:val="16"/>
        </w:rPr>
        <w:softHyphen/>
        <w:t>ния его государственных 100-часовых испытаний и в июне выпустить 150 надежно работающих мо</w:t>
      </w:r>
      <w:r w:rsidRPr="00D03F3E">
        <w:rPr>
          <w:color w:val="000000" w:themeColor="text1"/>
          <w:sz w:val="16"/>
          <w:szCs w:val="16"/>
        </w:rPr>
        <w:softHyphen/>
        <w:t>торов этого типа. Это позволяло к осени освоить в серийном производстве боевой самолет, превос</w:t>
      </w:r>
      <w:r w:rsidRPr="00D03F3E">
        <w:rPr>
          <w:color w:val="000000" w:themeColor="text1"/>
          <w:sz w:val="16"/>
          <w:szCs w:val="16"/>
        </w:rPr>
        <w:softHyphen/>
        <w:t>ходящий по летным данным все основные типы не</w:t>
      </w:r>
      <w:r w:rsidRPr="00D03F3E">
        <w:rPr>
          <w:color w:val="000000" w:themeColor="text1"/>
          <w:sz w:val="16"/>
          <w:szCs w:val="16"/>
        </w:rPr>
        <w:softHyphen/>
        <w:t>мецких истребителей.</w:t>
      </w:r>
    </w:p>
    <w:p w14:paraId="632D34A7"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Однако все эти инициативы не прошли. Создан</w:t>
      </w:r>
      <w:r w:rsidRPr="00D03F3E">
        <w:rPr>
          <w:color w:val="000000" w:themeColor="text1"/>
          <w:sz w:val="16"/>
          <w:szCs w:val="16"/>
        </w:rPr>
        <w:softHyphen/>
        <w:t>ная по распоряжению Шахурина комиссия НКАП пришла к выводу, что доводка заводом № 26 мото</w:t>
      </w:r>
      <w:r w:rsidRPr="00D03F3E">
        <w:rPr>
          <w:color w:val="000000" w:themeColor="text1"/>
          <w:sz w:val="16"/>
          <w:szCs w:val="16"/>
        </w:rPr>
        <w:softHyphen/>
        <w:t>ра М-107А до требуемого уровня надежности не за</w:t>
      </w:r>
      <w:r w:rsidRPr="00D03F3E">
        <w:rPr>
          <w:color w:val="000000" w:themeColor="text1"/>
          <w:sz w:val="16"/>
          <w:szCs w:val="16"/>
        </w:rPr>
        <w:softHyphen/>
        <w:t>вершится ранее сентября — октября. При этом не исключалась возможность длительных задержек и непредвиденных трудностей, особенно при вне</w:t>
      </w:r>
      <w:r w:rsidRPr="00D03F3E">
        <w:rPr>
          <w:color w:val="000000" w:themeColor="text1"/>
          <w:sz w:val="16"/>
          <w:szCs w:val="16"/>
        </w:rPr>
        <w:softHyphen/>
        <w:t>дрении в широкую летную эксплуатацию (17500).</w:t>
      </w:r>
    </w:p>
    <w:p w14:paraId="5849E3D3" w14:textId="77777777" w:rsidR="00EA447D" w:rsidRPr="00D03F3E" w:rsidRDefault="00EA447D" w:rsidP="00D03F3E">
      <w:pPr>
        <w:spacing w:after="0" w:line="240" w:lineRule="auto"/>
        <w:jc w:val="both"/>
        <w:rPr>
          <w:rFonts w:ascii="Times New Roman" w:hAnsi="Times New Roman"/>
          <w:color w:val="000000" w:themeColor="text1"/>
          <w:sz w:val="16"/>
          <w:szCs w:val="16"/>
        </w:rPr>
      </w:pPr>
    </w:p>
    <w:p w14:paraId="25B60AD8"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4 марта 1943 г. закончились полигонные и летные ис</w:t>
      </w:r>
      <w:r w:rsidRPr="00D03F3E">
        <w:rPr>
          <w:color w:val="000000" w:themeColor="text1"/>
          <w:sz w:val="16"/>
          <w:szCs w:val="16"/>
        </w:rPr>
        <w:softHyphen/>
        <w:t>пытания Як-9т с пушкой МП-37 (моторный вариант пушки 11П), которые проходили  с 10 января по 12 февраля 1943 на НИП АВ и продолжились с 15 февраля в НИИ ВВС. Акты по результатам испытаний глав</w:t>
      </w:r>
      <w:r w:rsidRPr="00D03F3E">
        <w:rPr>
          <w:color w:val="000000" w:themeColor="text1"/>
          <w:sz w:val="16"/>
          <w:szCs w:val="16"/>
        </w:rPr>
        <w:softHyphen/>
        <w:t>ный инженер ВВС генерал-лейтенант А. К. Репин утвердил соответственно 19 февраля и 21 марта 1943 г.</w:t>
      </w:r>
    </w:p>
    <w:p w14:paraId="53CAB73E"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 НИИ АВ самолет испытывали инженер-ка</w:t>
      </w:r>
      <w:r w:rsidRPr="00D03F3E">
        <w:rPr>
          <w:color w:val="000000" w:themeColor="text1"/>
          <w:sz w:val="16"/>
          <w:szCs w:val="16"/>
        </w:rPr>
        <w:softHyphen/>
        <w:t>питан В. М. Монич и летчик-испытатель капитан А. В. Кусакин, от НИИ ВВС — инженер-капитан А. Т. Степанец, инженер-майор Л. И. Лось и лет</w:t>
      </w:r>
      <w:r w:rsidRPr="00D03F3E">
        <w:rPr>
          <w:color w:val="000000" w:themeColor="text1"/>
          <w:sz w:val="16"/>
          <w:szCs w:val="16"/>
        </w:rPr>
        <w:softHyphen/>
        <w:t>чик-испытатель майор В. И. Хомяков.</w:t>
      </w:r>
    </w:p>
    <w:p w14:paraId="22E496E6"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общей сложности по программе испытаний на Як-9т было выполнено 34 полета с суммарным на</w:t>
      </w:r>
      <w:r w:rsidRPr="00D03F3E">
        <w:rPr>
          <w:color w:val="000000" w:themeColor="text1"/>
          <w:sz w:val="16"/>
          <w:szCs w:val="16"/>
        </w:rPr>
        <w:softHyphen/>
        <w:t>летом 16 ч 21 мин, в том числе 19 полетов (6 ч) — в НИИ АВ и 15 полетов (10 ч 21 мин) — в НИИ ВВС.</w:t>
      </w:r>
    </w:p>
    <w:p w14:paraId="367DB312"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и на ЛаГГ-3, пушка МП-37 располагалась в развале блока цилиндров мотора для стрельбы через полый вал редуктора и втулку винта. Ствол выступал из кока винта на 160 мм. Установка пу</w:t>
      </w:r>
      <w:r w:rsidRPr="00D03F3E">
        <w:rPr>
          <w:color w:val="000000" w:themeColor="text1"/>
          <w:sz w:val="16"/>
          <w:szCs w:val="16"/>
        </w:rPr>
        <w:softHyphen/>
        <w:t>лемета УБС оставалась без изменений. Емкость па</w:t>
      </w:r>
      <w:r w:rsidRPr="00D03F3E">
        <w:rPr>
          <w:color w:val="000000" w:themeColor="text1"/>
          <w:sz w:val="16"/>
          <w:szCs w:val="16"/>
        </w:rPr>
        <w:softHyphen/>
        <w:t>тронных ящиков составляла: 30—32 снаряда для пушки и 200—220 патронов для пулемета. Питание пушки от рассыпной ленты из металлических зве</w:t>
      </w:r>
      <w:r w:rsidRPr="00D03F3E">
        <w:rPr>
          <w:color w:val="000000" w:themeColor="text1"/>
          <w:sz w:val="16"/>
          <w:szCs w:val="16"/>
        </w:rPr>
        <w:softHyphen/>
        <w:t>ньев. Гильзы и звенья собирались в отсеке под пуш</w:t>
      </w:r>
      <w:r w:rsidRPr="00D03F3E">
        <w:rPr>
          <w:color w:val="000000" w:themeColor="text1"/>
          <w:sz w:val="16"/>
          <w:szCs w:val="16"/>
        </w:rPr>
        <w:softHyphen/>
        <w:t>кой. Перезарядка пушки пневматическая. Управле</w:t>
      </w:r>
      <w:r w:rsidRPr="00D03F3E">
        <w:rPr>
          <w:color w:val="000000" w:themeColor="text1"/>
          <w:sz w:val="16"/>
          <w:szCs w:val="16"/>
        </w:rPr>
        <w:softHyphen/>
        <w:t>ние огнем — электропневматическое при помощи кнопки, расположенной на ручке управления. При</w:t>
      </w:r>
      <w:r w:rsidRPr="00D03F3E">
        <w:rPr>
          <w:color w:val="000000" w:themeColor="text1"/>
          <w:sz w:val="16"/>
          <w:szCs w:val="16"/>
        </w:rPr>
        <w:softHyphen/>
        <w:t>целивание при стрельбе выполнялось при помощи механического кольцевого прицела внутри каби</w:t>
      </w:r>
      <w:r w:rsidRPr="00D03F3E">
        <w:rPr>
          <w:color w:val="000000" w:themeColor="text1"/>
          <w:sz w:val="16"/>
          <w:szCs w:val="16"/>
        </w:rPr>
        <w:softHyphen/>
        <w:t>ны летчика и мушки на фюзеляже перед броне- козырьком. Для стрельбы по наземным целям на передней кромке крыла имелись метки, которые обеспечивали постоянство ввода самолета в пики</w:t>
      </w:r>
      <w:r w:rsidRPr="00D03F3E">
        <w:rPr>
          <w:color w:val="000000" w:themeColor="text1"/>
          <w:sz w:val="16"/>
          <w:szCs w:val="16"/>
        </w:rPr>
        <w:softHyphen/>
        <w:t>рование и необходимую дистанцию для открытия огня.</w:t>
      </w:r>
    </w:p>
    <w:p w14:paraId="0F4B9840"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Установка достаточно габаритной и тяжелой пушки МП-37 (вес пушки с установкой — 182,2 кг, вес боекомплекта — 52,8 кг) с большой силой от</w:t>
      </w:r>
      <w:r w:rsidRPr="00D03F3E">
        <w:rPr>
          <w:color w:val="000000" w:themeColor="text1"/>
          <w:sz w:val="16"/>
          <w:szCs w:val="16"/>
        </w:rPr>
        <w:softHyphen/>
        <w:t>дачи (по данным НИИ АВ, около 5500 кг) потребо</w:t>
      </w:r>
      <w:r w:rsidRPr="00D03F3E">
        <w:rPr>
          <w:color w:val="000000" w:themeColor="text1"/>
          <w:sz w:val="16"/>
          <w:szCs w:val="16"/>
        </w:rPr>
        <w:softHyphen/>
        <w:t>вала внесения в конструкцию Як-9т ряда серьезных изменений. Был усилен силовой каркас фюзеляжа в его передней части. Для сохранения центров</w:t>
      </w:r>
      <w:r w:rsidRPr="00D03F3E">
        <w:rPr>
          <w:color w:val="000000" w:themeColor="text1"/>
          <w:sz w:val="16"/>
          <w:szCs w:val="16"/>
        </w:rPr>
        <w:softHyphen/>
        <w:t>ки в допустимых пределах кабина летчика была сдвинута назад на 400 мм (как это было сделано на Як-7-37). Вес пустого самолета возрос до 2298 кг. Полетный вес при запасе топлива 330 кг составил 3025 кг.</w:t>
      </w:r>
    </w:p>
    <w:p w14:paraId="621C9981"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После всех доработок обзор летчику вперед- вниз, что было важно при взлете и посадке, ухуд</w:t>
      </w:r>
      <w:r w:rsidRPr="00D03F3E">
        <w:rPr>
          <w:color w:val="000000" w:themeColor="text1"/>
          <w:sz w:val="16"/>
          <w:szCs w:val="16"/>
        </w:rPr>
        <w:softHyphen/>
        <w:t>шился, но полученное при этом некоторое смеще</w:t>
      </w:r>
      <w:r w:rsidRPr="00D03F3E">
        <w:rPr>
          <w:color w:val="000000" w:themeColor="text1"/>
          <w:sz w:val="16"/>
          <w:szCs w:val="16"/>
        </w:rPr>
        <w:softHyphen/>
        <w:t>ние назад центровки уменьшило моменты инерции самолета. По сравнению с обычными «девятками» Як-9т стал менее инертным, что позволяло летчи</w:t>
      </w:r>
      <w:r w:rsidRPr="00D03F3E">
        <w:rPr>
          <w:color w:val="000000" w:themeColor="text1"/>
          <w:sz w:val="16"/>
          <w:szCs w:val="16"/>
        </w:rPr>
        <w:softHyphen/>
        <w:t>ку эффективно маневрировать в воздушном бою с противником.</w:t>
      </w:r>
    </w:p>
    <w:p w14:paraId="7E39C3EC"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Максимальная скорость у земли составила 533 км/ч, на высоте 3930 м — 597 км/ч, на 5000 м — 585 км/ч. Время подъема на высоту 5000 м — 5,5 мин. Время виража на высоте 1000 м — 19 сек (ра</w:t>
      </w:r>
      <w:r w:rsidRPr="00D03F3E">
        <w:rPr>
          <w:color w:val="000000" w:themeColor="text1"/>
          <w:sz w:val="16"/>
          <w:szCs w:val="16"/>
        </w:rPr>
        <w:softHyphen/>
        <w:t>диус виража 305 м). Набор высоты за боевой разво</w:t>
      </w:r>
      <w:r w:rsidRPr="00D03F3E">
        <w:rPr>
          <w:color w:val="000000" w:themeColor="text1"/>
          <w:sz w:val="16"/>
          <w:szCs w:val="16"/>
        </w:rPr>
        <w:softHyphen/>
        <w:t>рот с высоты 1000 м не превышал 1100 м.</w:t>
      </w:r>
    </w:p>
    <w:p w14:paraId="091E41AE"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По мнению летчиков-испытателей, Як-9т по своим летно-пилотажным данным стоял на уровне двухбачного самолета Як-9, несколько уступая ему в вертикальном маневре и намного превосходя по мощности огня При сравнении с пятиточечным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 «тан</w:t>
      </w:r>
      <w:r w:rsidRPr="00D03F3E">
        <w:rPr>
          <w:color w:val="000000" w:themeColor="text1"/>
          <w:sz w:val="16"/>
          <w:szCs w:val="16"/>
        </w:rPr>
        <w:softHyphen/>
        <w:t>ковый» Як-9т имел преимущество в горизонтальной скорости до высоты 4600 м. На высоте 4600 м ско</w:t>
      </w:r>
      <w:r w:rsidRPr="00D03F3E">
        <w:rPr>
          <w:color w:val="000000" w:themeColor="text1"/>
          <w:sz w:val="16"/>
          <w:szCs w:val="16"/>
        </w:rPr>
        <w:softHyphen/>
        <w:t xml:space="preserve">рости были одинаковыми, а выше преимущество переходило к «Мессершмитту». По горизонтальной маневренности Як-9т имел явное преимущество перед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 до высоты 5000 м за счет меньших радиуса и времени виража. На вертикальном ма</w:t>
      </w:r>
      <w:r w:rsidRPr="00D03F3E">
        <w:rPr>
          <w:color w:val="000000" w:themeColor="text1"/>
          <w:sz w:val="16"/>
          <w:szCs w:val="16"/>
        </w:rPr>
        <w:softHyphen/>
        <w:t>невре превосходство Як-9т сохранялось до высо</w:t>
      </w:r>
      <w:r w:rsidRPr="00D03F3E">
        <w:rPr>
          <w:color w:val="000000" w:themeColor="text1"/>
          <w:sz w:val="16"/>
          <w:szCs w:val="16"/>
        </w:rPr>
        <w:softHyphen/>
        <w:t xml:space="preserve">ты 3000 м, на высотах 3000—4500 м возможности самолетов были одинаковы, а выше преимущество переходило к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w:t>
      </w:r>
    </w:p>
    <w:p w14:paraId="68CA56F2"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известно, немецкий истребитель имел тя</w:t>
      </w:r>
      <w:r w:rsidRPr="00D03F3E">
        <w:rPr>
          <w:color w:val="000000" w:themeColor="text1"/>
          <w:sz w:val="16"/>
          <w:szCs w:val="16"/>
        </w:rPr>
        <w:softHyphen/>
        <w:t>желое управление и при перетягивании ручки сва</w:t>
      </w:r>
      <w:r w:rsidRPr="00D03F3E">
        <w:rPr>
          <w:color w:val="000000" w:themeColor="text1"/>
          <w:sz w:val="16"/>
          <w:szCs w:val="16"/>
        </w:rPr>
        <w:softHyphen/>
        <w:t>ливался в штопор. На пикировании он несколько уходил от Як-9т, однако на выходе из пикирова</w:t>
      </w:r>
      <w:r w:rsidRPr="00D03F3E">
        <w:rPr>
          <w:color w:val="000000" w:themeColor="text1"/>
          <w:sz w:val="16"/>
          <w:szCs w:val="16"/>
        </w:rPr>
        <w:softHyphen/>
        <w:t>ния требовал от летчика очень больших усилий, и поэтому вывод получался не энергичным, с рас</w:t>
      </w:r>
      <w:r w:rsidRPr="00D03F3E">
        <w:rPr>
          <w:color w:val="000000" w:themeColor="text1"/>
          <w:sz w:val="16"/>
          <w:szCs w:val="16"/>
        </w:rPr>
        <w:softHyphen/>
        <w:t>тянутой по времени и пространству траектори</w:t>
      </w:r>
      <w:r w:rsidRPr="00D03F3E">
        <w:rPr>
          <w:color w:val="000000" w:themeColor="text1"/>
          <w:sz w:val="16"/>
          <w:szCs w:val="16"/>
        </w:rPr>
        <w:softHyphen/>
        <w:t xml:space="preserve">ей. Эти обстоятельства позволяли летчику Як-9т уверенно атаковать «мессер» за счет упреждения на выходе из пикирования и на горке. К тому же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 имел плохой обзор задней полусферы, что повышало шансы Як-9т на победу в воздуш</w:t>
      </w:r>
      <w:r w:rsidRPr="00D03F3E">
        <w:rPr>
          <w:color w:val="000000" w:themeColor="text1"/>
          <w:sz w:val="16"/>
          <w:szCs w:val="16"/>
        </w:rPr>
        <w:softHyphen/>
        <w:t>ном бою.</w:t>
      </w:r>
    </w:p>
    <w:p w14:paraId="35767E99"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Наиболее выгодными дистанциями стрель</w:t>
      </w:r>
      <w:r w:rsidRPr="00D03F3E">
        <w:rPr>
          <w:color w:val="000000" w:themeColor="text1"/>
          <w:sz w:val="16"/>
          <w:szCs w:val="16"/>
        </w:rPr>
        <w:softHyphen/>
        <w:t>бы из пушки МП-37 считались 400—100 м — при действии по истребителям и 600—500 м — по бомбардировщикам. По плотному строю бомбар</w:t>
      </w:r>
      <w:r w:rsidRPr="00D03F3E">
        <w:rPr>
          <w:color w:val="000000" w:themeColor="text1"/>
          <w:sz w:val="16"/>
          <w:szCs w:val="16"/>
        </w:rPr>
        <w:softHyphen/>
        <w:t>дировщиков допускалась стрельба с дистанции 1000—1200 м с использованием осколочно-зажига- тельных снарядов с самоликвидацией.</w:t>
      </w:r>
    </w:p>
    <w:p w14:paraId="1DE370A7"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Отмечалось, что схема вооружения Як-9т — пушка МП-37 калибра 37 мм и пулемет УБС — весьма выгодна в тактическом плане, так как одно попадание осколочно-зажигательного снаряда в самолет приводило к его полному разрушению, а наличие эффективного бронебойного снаряда позволяло наносить результативные удары по лег</w:t>
      </w:r>
      <w:r w:rsidRPr="00D03F3E">
        <w:rPr>
          <w:color w:val="000000" w:themeColor="text1"/>
          <w:sz w:val="16"/>
          <w:szCs w:val="16"/>
        </w:rPr>
        <w:softHyphen/>
        <w:t>ким и средним танкам противника. Возможность атаки танков под углом пикирования 40—50° обе</w:t>
      </w:r>
      <w:r w:rsidRPr="00D03F3E">
        <w:rPr>
          <w:color w:val="000000" w:themeColor="text1"/>
          <w:sz w:val="16"/>
          <w:szCs w:val="16"/>
        </w:rPr>
        <w:softHyphen/>
        <w:t>спечивала наилучшие условия для поражения тан</w:t>
      </w:r>
      <w:r w:rsidRPr="00D03F3E">
        <w:rPr>
          <w:color w:val="000000" w:themeColor="text1"/>
          <w:sz w:val="16"/>
          <w:szCs w:val="16"/>
        </w:rPr>
        <w:softHyphen/>
        <w:t>ков в горизонтальную броню (надмоторная броня и крыша башни) толщиной до 30 мм. При этом дис</w:t>
      </w:r>
      <w:r w:rsidRPr="00D03F3E">
        <w:rPr>
          <w:color w:val="000000" w:themeColor="text1"/>
          <w:sz w:val="16"/>
          <w:szCs w:val="16"/>
        </w:rPr>
        <w:softHyphen/>
        <w:t>танция прекращения стрельбы вполне обеспечива</w:t>
      </w:r>
      <w:r w:rsidRPr="00D03F3E">
        <w:rPr>
          <w:color w:val="000000" w:themeColor="text1"/>
          <w:sz w:val="16"/>
          <w:szCs w:val="16"/>
        </w:rPr>
        <w:softHyphen/>
        <w:t>ла безопасный вывод из пикирования.</w:t>
      </w:r>
    </w:p>
    <w:p w14:paraId="39656B91"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Однако при стрельбе из МП-37 на скоростях менее 300—350 км/ч по прибору из-за сильной отдачи пушки самолет раскачивался. Прицельным получался только первый выстрел, а все последу</w:t>
      </w:r>
      <w:r w:rsidRPr="00D03F3E">
        <w:rPr>
          <w:color w:val="000000" w:themeColor="text1"/>
          <w:sz w:val="16"/>
          <w:szCs w:val="16"/>
        </w:rPr>
        <w:softHyphen/>
        <w:t>ющие снаряды разбрасывались. Самолет сбивался с линии прицеливания, опуская нос, что вызывало недолеты при стрельбе по наземным целям и сни</w:t>
      </w:r>
      <w:r w:rsidRPr="00D03F3E">
        <w:rPr>
          <w:color w:val="000000" w:themeColor="text1"/>
          <w:sz w:val="16"/>
          <w:szCs w:val="16"/>
        </w:rPr>
        <w:softHyphen/>
        <w:t>жение трассы — при стрельбе по воздушным це</w:t>
      </w:r>
      <w:r w:rsidRPr="00D03F3E">
        <w:rPr>
          <w:color w:val="000000" w:themeColor="text1"/>
          <w:sz w:val="16"/>
          <w:szCs w:val="16"/>
        </w:rPr>
        <w:softHyphen/>
        <w:t>лям. Для продолжения стрельбы необходимо было восстанавливать прицеливание.</w:t>
      </w:r>
    </w:p>
    <w:p w14:paraId="02DC7CA9"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При этом с увеличением скорости полета и уменьшением длины очереди сила отдачи пушки в меньшей степени оказывала влияние на устойчи</w:t>
      </w:r>
      <w:r w:rsidRPr="00D03F3E">
        <w:rPr>
          <w:color w:val="000000" w:themeColor="text1"/>
          <w:sz w:val="16"/>
          <w:szCs w:val="16"/>
        </w:rPr>
        <w:softHyphen/>
        <w:t>вость полета самолета.</w:t>
      </w:r>
    </w:p>
    <w:p w14:paraId="5FA710D8"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Учитывая ограниченность бое</w:t>
      </w:r>
      <w:r w:rsidRPr="00D03F3E">
        <w:rPr>
          <w:color w:val="000000" w:themeColor="text1"/>
          <w:sz w:val="16"/>
          <w:szCs w:val="16"/>
        </w:rPr>
        <w:softHyphen/>
        <w:t>комплекта, стрельбу из пушки МП-37 рекомендовалось вести только ко</w:t>
      </w:r>
      <w:r w:rsidRPr="00D03F3E">
        <w:rPr>
          <w:color w:val="000000" w:themeColor="text1"/>
          <w:sz w:val="16"/>
          <w:szCs w:val="16"/>
        </w:rPr>
        <w:softHyphen/>
        <w:t>роткими очередями по 1—2, макси</w:t>
      </w:r>
      <w:r w:rsidRPr="00D03F3E">
        <w:rPr>
          <w:color w:val="000000" w:themeColor="text1"/>
          <w:sz w:val="16"/>
          <w:szCs w:val="16"/>
        </w:rPr>
        <w:softHyphen/>
        <w:t>мум 3 снаряда, при скоростях, близ</w:t>
      </w:r>
      <w:r w:rsidRPr="00D03F3E">
        <w:rPr>
          <w:color w:val="000000" w:themeColor="text1"/>
          <w:sz w:val="16"/>
          <w:szCs w:val="16"/>
        </w:rPr>
        <w:softHyphen/>
        <w:t>ких к максимальной скорости полета. В свою очередь, это условие предъ</w:t>
      </w:r>
      <w:r w:rsidRPr="00D03F3E">
        <w:rPr>
          <w:color w:val="000000" w:themeColor="text1"/>
          <w:sz w:val="16"/>
          <w:szCs w:val="16"/>
        </w:rPr>
        <w:softHyphen/>
        <w:t>являло весьма жесткие требования к уровню летной и стрелковой подго</w:t>
      </w:r>
      <w:r w:rsidRPr="00D03F3E">
        <w:rPr>
          <w:color w:val="000000" w:themeColor="text1"/>
          <w:sz w:val="16"/>
          <w:szCs w:val="16"/>
        </w:rPr>
        <w:softHyphen/>
        <w:t>товки летного состава, летающего на Як-9т. Летчик должен быть своего ро</w:t>
      </w:r>
      <w:r w:rsidRPr="00D03F3E">
        <w:rPr>
          <w:color w:val="000000" w:themeColor="text1"/>
          <w:sz w:val="16"/>
          <w:szCs w:val="16"/>
        </w:rPr>
        <w:softHyphen/>
        <w:t>да воздушным снайпером и мастер</w:t>
      </w:r>
      <w:r w:rsidRPr="00D03F3E">
        <w:rPr>
          <w:color w:val="000000" w:themeColor="text1"/>
          <w:sz w:val="16"/>
          <w:szCs w:val="16"/>
        </w:rPr>
        <w:softHyphen/>
        <w:t>ски владеть техникой пилотирования самолетом.</w:t>
      </w:r>
    </w:p>
    <w:p w14:paraId="273E2A2E"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Обращалось внимание на необ</w:t>
      </w:r>
      <w:r w:rsidRPr="00D03F3E">
        <w:rPr>
          <w:color w:val="000000" w:themeColor="text1"/>
          <w:sz w:val="16"/>
          <w:szCs w:val="16"/>
        </w:rPr>
        <w:softHyphen/>
        <w:t>ходимость обеспечения повышенно</w:t>
      </w:r>
      <w:r w:rsidRPr="00D03F3E">
        <w:rPr>
          <w:color w:val="000000" w:themeColor="text1"/>
          <w:sz w:val="16"/>
          <w:szCs w:val="16"/>
        </w:rPr>
        <w:softHyphen/>
        <w:t>го качества производственного ис</w:t>
      </w:r>
      <w:r w:rsidRPr="00D03F3E">
        <w:rPr>
          <w:color w:val="000000" w:themeColor="text1"/>
          <w:sz w:val="16"/>
          <w:szCs w:val="16"/>
        </w:rPr>
        <w:softHyphen/>
        <w:t>полнения самолетов Як-9т с пушкой МП-37, в первую очередь — качества монтажных работ, так как большая отдача при стрельбе приводила к на</w:t>
      </w:r>
      <w:r w:rsidRPr="00D03F3E">
        <w:rPr>
          <w:color w:val="000000" w:themeColor="text1"/>
          <w:sz w:val="16"/>
          <w:szCs w:val="16"/>
        </w:rPr>
        <w:softHyphen/>
        <w:t>рушению соединений трубопроводов, появлению трещин и разрушению от</w:t>
      </w:r>
      <w:r w:rsidRPr="00D03F3E">
        <w:rPr>
          <w:color w:val="000000" w:themeColor="text1"/>
          <w:sz w:val="16"/>
          <w:szCs w:val="16"/>
        </w:rPr>
        <w:softHyphen/>
        <w:t>дельных деталей.</w:t>
      </w:r>
    </w:p>
    <w:p w14:paraId="16E4ECEC"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Несмотря на выявленные в хо</w:t>
      </w:r>
      <w:r w:rsidRPr="00D03F3E">
        <w:rPr>
          <w:color w:val="000000" w:themeColor="text1"/>
          <w:sz w:val="16"/>
          <w:szCs w:val="16"/>
        </w:rPr>
        <w:softHyphen/>
        <w:t>де испытаний недостатки установки пушки МП-37 на самолет Як-9т, был сделан вывод, что самолет «испыта</w:t>
      </w:r>
      <w:r w:rsidRPr="00D03F3E">
        <w:rPr>
          <w:color w:val="000000" w:themeColor="text1"/>
          <w:sz w:val="16"/>
          <w:szCs w:val="16"/>
        </w:rPr>
        <w:softHyphen/>
        <w:t>ния выдержал удовлетворительно». Рекомендовалась его массовая серия.</w:t>
      </w:r>
    </w:p>
    <w:p w14:paraId="6761D4C7"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Отметим, что в НИИ АВ в то время изучалась эффективность стрельбы из пушки МП-37 с самолета Як-9т на дальности 1000—1200 м по наземным щитам-мишеням с изображенными на них различными самолетами в на</w:t>
      </w:r>
      <w:r w:rsidRPr="00D03F3E">
        <w:rPr>
          <w:color w:val="000000" w:themeColor="text1"/>
          <w:sz w:val="16"/>
          <w:szCs w:val="16"/>
        </w:rPr>
        <w:softHyphen/>
        <w:t>туральную величину под ракурсами 0/4—1/4.</w:t>
      </w:r>
    </w:p>
    <w:p w14:paraId="2F2CB53A"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этих условиях стрельбы лет</w:t>
      </w:r>
      <w:r w:rsidRPr="00D03F3E">
        <w:rPr>
          <w:color w:val="000000" w:themeColor="text1"/>
          <w:sz w:val="16"/>
          <w:szCs w:val="16"/>
        </w:rPr>
        <w:softHyphen/>
        <w:t>чик с отличной техникой пилотирова</w:t>
      </w:r>
      <w:r w:rsidRPr="00D03F3E">
        <w:rPr>
          <w:color w:val="000000" w:themeColor="text1"/>
          <w:sz w:val="16"/>
          <w:szCs w:val="16"/>
        </w:rPr>
        <w:softHyphen/>
        <w:t>ния и стрелковой подготовкой (майор Звонарев) имел 8% попаданий в фи</w:t>
      </w:r>
      <w:r w:rsidRPr="00D03F3E">
        <w:rPr>
          <w:color w:val="000000" w:themeColor="text1"/>
          <w:sz w:val="16"/>
          <w:szCs w:val="16"/>
        </w:rPr>
        <w:softHyphen/>
        <w:t>гуру самолета, а летчики со средней подготовкой — всего 1,7%.</w:t>
      </w:r>
    </w:p>
    <w:p w14:paraId="6131513A"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На основании математической обработки данных опытов в НИИ АВ были сделаны следующие выводы Для одного попадания в бомбардировщик средних размеров (5—10 м </w:t>
      </w:r>
      <w:r w:rsidRPr="00D03F3E">
        <w:rPr>
          <w:color w:val="000000" w:themeColor="text1"/>
          <w:sz w:val="16"/>
          <w:szCs w:val="16"/>
          <w:vertAlign w:val="superscript"/>
        </w:rPr>
        <w:t>2</w:t>
      </w:r>
      <w:r w:rsidRPr="00D03F3E">
        <w:rPr>
          <w:color w:val="000000" w:themeColor="text1"/>
          <w:sz w:val="16"/>
          <w:szCs w:val="16"/>
        </w:rPr>
        <w:t xml:space="preserve"> — Ме 210, </w:t>
      </w:r>
      <w:r w:rsidRPr="00D03F3E">
        <w:rPr>
          <w:color w:val="000000" w:themeColor="text1"/>
          <w:sz w:val="16"/>
          <w:szCs w:val="16"/>
          <w:lang w:val="en-US"/>
        </w:rPr>
        <w:t>Ju</w:t>
      </w:r>
      <w:r w:rsidRPr="00D03F3E">
        <w:rPr>
          <w:color w:val="000000" w:themeColor="text1"/>
          <w:sz w:val="16"/>
          <w:szCs w:val="16"/>
        </w:rPr>
        <w:t>88</w:t>
      </w:r>
      <w:r w:rsidRPr="00D03F3E">
        <w:rPr>
          <w:color w:val="000000" w:themeColor="text1"/>
          <w:sz w:val="16"/>
          <w:szCs w:val="16"/>
          <w:lang w:val="en-US"/>
        </w:rPr>
        <w:t>A</w:t>
      </w:r>
      <w:r w:rsidRPr="00D03F3E">
        <w:rPr>
          <w:color w:val="000000" w:themeColor="text1"/>
          <w:sz w:val="16"/>
          <w:szCs w:val="16"/>
        </w:rPr>
        <w:t xml:space="preserve">, </w:t>
      </w:r>
      <w:r w:rsidRPr="00D03F3E">
        <w:rPr>
          <w:color w:val="000000" w:themeColor="text1"/>
          <w:sz w:val="16"/>
          <w:szCs w:val="16"/>
          <w:lang w:val="en-US"/>
        </w:rPr>
        <w:t>Ju</w:t>
      </w:r>
      <w:r w:rsidRPr="00D03F3E">
        <w:rPr>
          <w:color w:val="000000" w:themeColor="text1"/>
          <w:sz w:val="16"/>
          <w:szCs w:val="16"/>
        </w:rPr>
        <w:t>87</w:t>
      </w:r>
      <w:r w:rsidRPr="00D03F3E">
        <w:rPr>
          <w:color w:val="000000" w:themeColor="text1"/>
          <w:sz w:val="16"/>
          <w:szCs w:val="16"/>
          <w:lang w:val="en-US"/>
        </w:rPr>
        <w:t>B</w:t>
      </w:r>
      <w:r w:rsidRPr="00D03F3E">
        <w:rPr>
          <w:color w:val="000000" w:themeColor="text1"/>
          <w:sz w:val="16"/>
          <w:szCs w:val="16"/>
        </w:rPr>
        <w:t>), на</w:t>
      </w:r>
      <w:r w:rsidRPr="00D03F3E">
        <w:rPr>
          <w:color w:val="000000" w:themeColor="text1"/>
          <w:sz w:val="16"/>
          <w:szCs w:val="16"/>
        </w:rPr>
        <w:softHyphen/>
        <w:t>ходящийся на земле при стрельбе на дальностях 1000—1200 м и при ракурсе 0/4—1/4 квалифици</w:t>
      </w:r>
      <w:r w:rsidRPr="00D03F3E">
        <w:rPr>
          <w:color w:val="000000" w:themeColor="text1"/>
          <w:sz w:val="16"/>
          <w:szCs w:val="16"/>
        </w:rPr>
        <w:softHyphen/>
        <w:t>рованному летчику необходимо произвести около 25 выстрелов, а со средней квалификацией — око</w:t>
      </w:r>
      <w:r w:rsidRPr="00D03F3E">
        <w:rPr>
          <w:color w:val="000000" w:themeColor="text1"/>
          <w:sz w:val="16"/>
          <w:szCs w:val="16"/>
        </w:rPr>
        <w:softHyphen/>
        <w:t>ло 60 выстрелов.</w:t>
      </w:r>
    </w:p>
    <w:p w14:paraId="3C061223"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стрельбе по летящему самолету для по</w:t>
      </w:r>
      <w:r w:rsidRPr="00D03F3E">
        <w:rPr>
          <w:color w:val="000000" w:themeColor="text1"/>
          <w:sz w:val="16"/>
          <w:szCs w:val="16"/>
        </w:rPr>
        <w:softHyphen/>
        <w:t>падания в него на дальностях 1000—1200 м при ракурсе 0/4—1/4 квалифицированному летчику требуется израсходовать около 60 снарядов, а лет</w:t>
      </w:r>
      <w:r w:rsidRPr="00D03F3E">
        <w:rPr>
          <w:color w:val="000000" w:themeColor="text1"/>
          <w:sz w:val="16"/>
          <w:szCs w:val="16"/>
        </w:rPr>
        <w:softHyphen/>
        <w:t>чику со средней подготовкой — около 130 сна</w:t>
      </w:r>
      <w:r w:rsidRPr="00D03F3E">
        <w:rPr>
          <w:color w:val="000000" w:themeColor="text1"/>
          <w:sz w:val="16"/>
          <w:szCs w:val="16"/>
        </w:rPr>
        <w:softHyphen/>
        <w:t>рядов.</w:t>
      </w:r>
    </w:p>
    <w:p w14:paraId="4FF28A0D"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этим причинам для летчиков со средней стрелковой подготовкой, то есть строевых летчи</w:t>
      </w:r>
      <w:r w:rsidRPr="00D03F3E">
        <w:rPr>
          <w:color w:val="000000" w:themeColor="text1"/>
          <w:sz w:val="16"/>
          <w:szCs w:val="16"/>
        </w:rPr>
        <w:softHyphen/>
        <w:t>ков, дальностями действительного огня являются 600—400 м при стрельбе по бомбардировщику и 400—100 м — по истребителю. На этих дально</w:t>
      </w:r>
      <w:r w:rsidRPr="00D03F3E">
        <w:rPr>
          <w:color w:val="000000" w:themeColor="text1"/>
          <w:sz w:val="16"/>
          <w:szCs w:val="16"/>
        </w:rPr>
        <w:softHyphen/>
        <w:t>стях стрельбы обеспечивались вполне приемлемые вероятности попадания хотя бы одним снарядом при израсходовании одного боекомплекта в пуш</w:t>
      </w:r>
      <w:r w:rsidRPr="00D03F3E">
        <w:rPr>
          <w:color w:val="000000" w:themeColor="text1"/>
          <w:sz w:val="16"/>
          <w:szCs w:val="16"/>
        </w:rPr>
        <w:softHyphen/>
        <w:t>ке МП-37.</w:t>
      </w:r>
    </w:p>
    <w:p w14:paraId="26A6FD8D"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Ко времени окончания испытаний противо</w:t>
      </w:r>
      <w:r w:rsidRPr="00D03F3E">
        <w:rPr>
          <w:color w:val="000000" w:themeColor="text1"/>
          <w:sz w:val="16"/>
          <w:szCs w:val="16"/>
        </w:rPr>
        <w:softHyphen/>
        <w:t xml:space="preserve">танковых вариантов Як-9т и Ил-2 с пушками Ш-37 и 11П стало известно о применении противником на фронте тяжелых танков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VI</w:t>
      </w:r>
      <w:r w:rsidRPr="00D03F3E">
        <w:rPr>
          <w:color w:val="000000" w:themeColor="text1"/>
          <w:sz w:val="16"/>
          <w:szCs w:val="16"/>
        </w:rPr>
        <w:t xml:space="preserve"> «Тигр». От Главно</w:t>
      </w:r>
      <w:r w:rsidRPr="00D03F3E">
        <w:rPr>
          <w:color w:val="000000" w:themeColor="text1"/>
          <w:sz w:val="16"/>
          <w:szCs w:val="16"/>
        </w:rPr>
        <w:softHyphen/>
        <w:t>го разведывательного управления Генерального штаба Красной Армии получены сведения о по</w:t>
      </w:r>
      <w:r w:rsidRPr="00D03F3E">
        <w:rPr>
          <w:color w:val="000000" w:themeColor="text1"/>
          <w:sz w:val="16"/>
          <w:szCs w:val="16"/>
        </w:rPr>
        <w:softHyphen/>
        <w:t xml:space="preserve">ступлении на вооружение немецкой армии новых образцов бронетехники — танков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V</w:t>
      </w:r>
      <w:r w:rsidRPr="00D03F3E">
        <w:rPr>
          <w:color w:val="000000" w:themeColor="text1"/>
          <w:sz w:val="16"/>
          <w:szCs w:val="16"/>
        </w:rPr>
        <w:t xml:space="preserve"> «Пантера» и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IV</w:t>
      </w:r>
      <w:r w:rsidRPr="00D03F3E">
        <w:rPr>
          <w:color w:val="000000" w:themeColor="text1"/>
          <w:sz w:val="16"/>
          <w:szCs w:val="16"/>
        </w:rPr>
        <w:t>/</w:t>
      </w:r>
      <w:r w:rsidRPr="00D03F3E">
        <w:rPr>
          <w:color w:val="000000" w:themeColor="text1"/>
          <w:sz w:val="16"/>
          <w:szCs w:val="16"/>
          <w:lang w:val="en-US"/>
        </w:rPr>
        <w:t>H</w:t>
      </w:r>
      <w:r w:rsidRPr="00D03F3E">
        <w:rPr>
          <w:color w:val="000000" w:themeColor="text1"/>
          <w:sz w:val="16"/>
          <w:szCs w:val="16"/>
        </w:rPr>
        <w:t xml:space="preserve">, а также штурмового орудия </w:t>
      </w:r>
      <w:r w:rsidRPr="00D03F3E">
        <w:rPr>
          <w:color w:val="000000" w:themeColor="text1"/>
          <w:sz w:val="16"/>
          <w:szCs w:val="16"/>
          <w:lang w:val="en-US"/>
        </w:rPr>
        <w:t>Jgd</w:t>
      </w:r>
      <w:r w:rsidRPr="00D03F3E">
        <w:rPr>
          <w:color w:val="000000" w:themeColor="text1"/>
          <w:sz w:val="16"/>
          <w:szCs w:val="16"/>
        </w:rPr>
        <w:t xml:space="preserve"> </w:t>
      </w:r>
      <w:r w:rsidRPr="00D03F3E">
        <w:rPr>
          <w:color w:val="000000" w:themeColor="text1"/>
          <w:sz w:val="16"/>
          <w:szCs w:val="16"/>
          <w:lang w:val="en-US"/>
        </w:rPr>
        <w:t>Pz</w:t>
      </w:r>
      <w:r w:rsidRPr="00D03F3E">
        <w:rPr>
          <w:color w:val="000000" w:themeColor="text1"/>
          <w:sz w:val="16"/>
          <w:szCs w:val="16"/>
        </w:rPr>
        <w:t xml:space="preserve"> </w:t>
      </w:r>
      <w:r w:rsidRPr="00D03F3E">
        <w:rPr>
          <w:color w:val="000000" w:themeColor="text1"/>
          <w:sz w:val="16"/>
          <w:szCs w:val="16"/>
          <w:lang w:val="en-US"/>
        </w:rPr>
        <w:t>Tiger</w:t>
      </w:r>
      <w:r w:rsidRPr="00D03F3E">
        <w:rPr>
          <w:color w:val="000000" w:themeColor="text1"/>
          <w:sz w:val="16"/>
          <w:szCs w:val="16"/>
        </w:rPr>
        <w:t xml:space="preserve"> (</w:t>
      </w:r>
      <w:r w:rsidRPr="00D03F3E">
        <w:rPr>
          <w:color w:val="000000" w:themeColor="text1"/>
          <w:sz w:val="16"/>
          <w:szCs w:val="16"/>
          <w:lang w:val="en-US"/>
        </w:rPr>
        <w:t>P</w:t>
      </w:r>
      <w:r w:rsidRPr="00D03F3E">
        <w:rPr>
          <w:color w:val="000000" w:themeColor="text1"/>
          <w:sz w:val="16"/>
          <w:szCs w:val="16"/>
        </w:rPr>
        <w:t>) «Фердинанд». Все они имели усиленную бро</w:t>
      </w:r>
      <w:r w:rsidRPr="00D03F3E">
        <w:rPr>
          <w:color w:val="000000" w:themeColor="text1"/>
          <w:sz w:val="16"/>
          <w:szCs w:val="16"/>
        </w:rPr>
        <w:softHyphen/>
        <w:t>невую защиту и мощное вооружение. Массовое появление этих танков на фронте ожидалось ле</w:t>
      </w:r>
      <w:r w:rsidRPr="00D03F3E">
        <w:rPr>
          <w:color w:val="000000" w:themeColor="text1"/>
          <w:sz w:val="16"/>
          <w:szCs w:val="16"/>
        </w:rPr>
        <w:softHyphen/>
        <w:t>том 1943 г. Вопрос о резком повышении противо</w:t>
      </w:r>
      <w:r w:rsidRPr="00D03F3E">
        <w:rPr>
          <w:color w:val="000000" w:themeColor="text1"/>
          <w:sz w:val="16"/>
          <w:szCs w:val="16"/>
        </w:rPr>
        <w:softHyphen/>
        <w:t>танковых возможностей ВВС КА встал со всей остротой.</w:t>
      </w:r>
    </w:p>
    <w:p w14:paraId="6F59C21E" w14:textId="77777777" w:rsidR="00EA447D" w:rsidRPr="00D03F3E" w:rsidRDefault="00EA447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 учетом этого ГКО принимает решение в поль</w:t>
      </w:r>
      <w:r w:rsidRPr="00D03F3E">
        <w:rPr>
          <w:color w:val="000000" w:themeColor="text1"/>
          <w:sz w:val="16"/>
          <w:szCs w:val="16"/>
        </w:rPr>
        <w:softHyphen/>
        <w:t>зу массового производства пушки 11 П. С этими пушками серийно решили выпускать двухместный Ил-2 (завод № 30 в Москве) и «танковый» вариант истребителя Як-9т (завод № 153 в Новосибирске) (17500).</w:t>
      </w:r>
    </w:p>
    <w:p w14:paraId="6178E611" w14:textId="77777777" w:rsidR="00EA447D" w:rsidRPr="00D03F3E" w:rsidRDefault="00EA447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61F0D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марта 1943 г. Николай Николаевич решил напра</w:t>
      </w:r>
      <w:r w:rsidRPr="00D03F3E">
        <w:rPr>
          <w:rFonts w:ascii="Times New Roman" w:hAnsi="Times New Roman"/>
          <w:color w:val="000000" w:themeColor="text1"/>
          <w:sz w:val="16"/>
          <w:szCs w:val="16"/>
        </w:rPr>
        <w:softHyphen/>
        <w:t>вить письмо секретарю МК и МГК ВКП(б) А.С.Щербако</w:t>
      </w:r>
      <w:r w:rsidRPr="00D03F3E">
        <w:rPr>
          <w:rFonts w:ascii="Times New Roman" w:hAnsi="Times New Roman"/>
          <w:color w:val="000000" w:themeColor="text1"/>
          <w:sz w:val="16"/>
          <w:szCs w:val="16"/>
        </w:rPr>
        <w:softHyphen/>
        <w:t>ву, в котором сообщал, что хотя «испытания на дальность в НИИ ВВС действительно не было проведено из-за аварии самолета, тем не менее достаточно досто</w:t>
      </w:r>
      <w:r w:rsidRPr="00D03F3E">
        <w:rPr>
          <w:rFonts w:ascii="Times New Roman" w:hAnsi="Times New Roman"/>
          <w:color w:val="000000" w:themeColor="text1"/>
          <w:sz w:val="16"/>
          <w:szCs w:val="16"/>
        </w:rPr>
        <w:softHyphen/>
        <w:t>верные сведения о дальности могли быть обоснованы на следующем:</w:t>
      </w:r>
    </w:p>
    <w:p w14:paraId="204423E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Емкость бензобаков на самолете И185-М71 являет</w:t>
      </w:r>
      <w:r w:rsidRPr="00D03F3E">
        <w:rPr>
          <w:rFonts w:ascii="Times New Roman" w:hAnsi="Times New Roman"/>
          <w:color w:val="000000" w:themeColor="text1"/>
          <w:sz w:val="16"/>
          <w:szCs w:val="16"/>
        </w:rPr>
        <w:softHyphen/>
        <w:t>ся наибольшей, сравнительно с таковой же у современ</w:t>
      </w:r>
      <w:r w:rsidRPr="00D03F3E">
        <w:rPr>
          <w:rFonts w:ascii="Times New Roman" w:hAnsi="Times New Roman"/>
          <w:color w:val="000000" w:themeColor="text1"/>
          <w:sz w:val="16"/>
          <w:szCs w:val="16"/>
        </w:rPr>
        <w:softHyphen/>
        <w:t>ных заграничных и отечественных истребителей:</w:t>
      </w:r>
    </w:p>
    <w:p w14:paraId="71233F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Фокке-Вульф ФВ-190АЗ - 510 литров</w:t>
      </w:r>
    </w:p>
    <w:p w14:paraId="7047C3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Мессершмитт БФ-109С2 - 400 -.-</w:t>
      </w:r>
    </w:p>
    <w:p w14:paraId="0C201F5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Як-7 (нормальный) - 500 -.-</w:t>
      </w:r>
    </w:p>
    <w:p w14:paraId="475FD74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Ла-5-500-.-</w:t>
      </w:r>
    </w:p>
    <w:p w14:paraId="42D283E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И185-М71-650-.-.</w:t>
      </w:r>
    </w:p>
    <w:p w14:paraId="211A14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Теоретические просчеты дальности дают на высоте 6100 м при скорости полета 0,9Утах=612 км/ч дальность 900 км при полном запасе горючего - 480 кг и 640 км -при нормальном 340 кг. При скорости 0,8Утах=545 км/ч, соответственно, имеют дальность ИЗО км и 800 км.</w:t>
      </w:r>
    </w:p>
    <w:p w14:paraId="008B6A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докладной записке в Правительство от НКАП и в отчете НИИ ВВС теоретическая дальность указана 800 км из-за осторожности.</w:t>
      </w:r>
    </w:p>
    <w:p w14:paraId="7F7BFE9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Удельный расход на 1 км пути принят для И185-М71 в 600 гр[амм] самым большим; в то время, как Ла-5 без НВ имеет 550 гр, Як-7 - 470 гр. Означенное позволяет даже до проведения летных испытаний полагать, что указанная дальность в 800 км совершенно реальна.</w:t>
      </w:r>
    </w:p>
    <w:p w14:paraId="52E30FB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Мы форсируем установку моторов М71, полученных нами 3.03.-43 г., на отремонтированный самолет И185, разбитый при аварии т. Стефановским, и на самолет, находящийся у нас. Но пройдет около месяца, пока дальность будет замерена в НИИ ВВС, а время так нуж</w:t>
      </w:r>
      <w:r w:rsidRPr="00D03F3E">
        <w:rPr>
          <w:rFonts w:ascii="Times New Roman" w:hAnsi="Times New Roman"/>
          <w:color w:val="000000" w:themeColor="text1"/>
          <w:sz w:val="16"/>
          <w:szCs w:val="16"/>
        </w:rPr>
        <w:softHyphen/>
        <w:t>но для разворота работ на заводе №81.</w:t>
      </w:r>
    </w:p>
    <w:p w14:paraId="6BDFE1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Ввиду этого просим Вашей помощи в продвижении решения Г.К.О.». Какое-то воздействие на руководство это письмо все же оказало: от наркомата затребовали справку о сравни</w:t>
      </w:r>
      <w:r w:rsidRPr="00D03F3E">
        <w:rPr>
          <w:rFonts w:ascii="Times New Roman" w:hAnsi="Times New Roman"/>
          <w:color w:val="000000" w:themeColor="text1"/>
          <w:sz w:val="16"/>
          <w:szCs w:val="16"/>
        </w:rPr>
        <w:softHyphen/>
        <w:t>тельных характеристиках истребителей И-185, Ла-5 и Ла-5ФН и дали указание провести испытания на даль</w:t>
      </w:r>
      <w:r w:rsidRPr="00D03F3E">
        <w:rPr>
          <w:rFonts w:ascii="Times New Roman" w:hAnsi="Times New Roman"/>
          <w:color w:val="000000" w:themeColor="text1"/>
          <w:sz w:val="16"/>
          <w:szCs w:val="16"/>
        </w:rPr>
        <w:softHyphen/>
        <w:t>ность (10667).</w:t>
      </w:r>
    </w:p>
    <w:p w14:paraId="06D8515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B648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марта 1943 г. Яковлев обратился к Шахурину с предложением “немедленно начать серийное производство истребителей И-185, а также ЯК с моторами М-107 с таким расчетом, чтобы к маю с.г. дать фронту хотя бы по 20-30 самолетов каждого типа” (4537).</w:t>
      </w:r>
    </w:p>
    <w:p w14:paraId="7300CB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832E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марта 1943 г. А.С.Яковлев писал Шахурину:</w:t>
      </w:r>
    </w:p>
    <w:p w14:paraId="43A33C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«Положение с нашей истребительной авиацией вы</w:t>
      </w:r>
      <w:r w:rsidRPr="00D03F3E">
        <w:rPr>
          <w:rFonts w:ascii="Times New Roman" w:hAnsi="Times New Roman"/>
          <w:color w:val="000000" w:themeColor="text1"/>
          <w:sz w:val="16"/>
          <w:szCs w:val="16"/>
        </w:rPr>
        <w:softHyphen/>
        <w:t>зывает большую тревогу. Наши серийные истребители, имеющие преимущества по летным качествам перед из</w:t>
      </w:r>
      <w:r w:rsidRPr="00D03F3E">
        <w:rPr>
          <w:rFonts w:ascii="Times New Roman" w:hAnsi="Times New Roman"/>
          <w:color w:val="000000" w:themeColor="text1"/>
          <w:sz w:val="16"/>
          <w:szCs w:val="16"/>
        </w:rPr>
        <w:softHyphen/>
        <w:t>вестными нам истребителями противника до высоты 3000 мтр, на всех высотах выше 3000 мтр, и чем выше, тем больше, уступают вражеским истребителям.</w:t>
      </w:r>
    </w:p>
    <w:p w14:paraId="685AB2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Следует ожидать, что противник к началу лета сможет создать небольшие группы облегченных истребителей Мессершмитт-109Т2 и Фокке-Вульф-190, с которыми на</w:t>
      </w:r>
      <w:r w:rsidRPr="00D03F3E">
        <w:rPr>
          <w:rFonts w:ascii="Times New Roman" w:hAnsi="Times New Roman"/>
          <w:color w:val="000000" w:themeColor="text1"/>
          <w:sz w:val="16"/>
          <w:szCs w:val="16"/>
        </w:rPr>
        <w:softHyphen/>
        <w:t>шим серийным истребителям будет трудно бороться и на высотах от земли до 3000 мтр. Опыт воздушной войны за Сталинград показывает, что появления даже двух десят</w:t>
      </w:r>
      <w:r w:rsidRPr="00D03F3E">
        <w:rPr>
          <w:rFonts w:ascii="Times New Roman" w:hAnsi="Times New Roman"/>
          <w:color w:val="000000" w:themeColor="text1"/>
          <w:sz w:val="16"/>
          <w:szCs w:val="16"/>
        </w:rPr>
        <w:softHyphen/>
        <w:t>ков Мессершмитт с более высокими по сравнению с на</w:t>
      </w:r>
      <w:r w:rsidRPr="00D03F3E">
        <w:rPr>
          <w:rFonts w:ascii="Times New Roman" w:hAnsi="Times New Roman"/>
          <w:color w:val="000000" w:themeColor="text1"/>
          <w:sz w:val="16"/>
          <w:szCs w:val="16"/>
        </w:rPr>
        <w:softHyphen/>
        <w:t>шими серийными истребителями качествами оказало исключительно тяжелое воздействие на боеспособность наших истребительных частей; поэтому я считаю, что не</w:t>
      </w:r>
      <w:r w:rsidRPr="00D03F3E">
        <w:rPr>
          <w:rFonts w:ascii="Times New Roman" w:hAnsi="Times New Roman"/>
          <w:color w:val="000000" w:themeColor="text1"/>
          <w:sz w:val="16"/>
          <w:szCs w:val="16"/>
        </w:rPr>
        <w:softHyphen/>
        <w:t>обходимо немедленно, не теряя ни минуты, доложить этот вопрос в Государственном Комитете Обороны и по</w:t>
      </w:r>
      <w:r w:rsidRPr="00D03F3E">
        <w:rPr>
          <w:rFonts w:ascii="Times New Roman" w:hAnsi="Times New Roman"/>
          <w:color w:val="000000" w:themeColor="text1"/>
          <w:sz w:val="16"/>
          <w:szCs w:val="16"/>
        </w:rPr>
        <w:softHyphen/>
        <w:t>лучить разрешение на постройку к началу лета двух-трех десятков истребителей с летными и боевыми качествами, заведомо превышающими такие же у возможных улуч</w:t>
      </w:r>
      <w:r w:rsidRPr="00D03F3E">
        <w:rPr>
          <w:rFonts w:ascii="Times New Roman" w:hAnsi="Times New Roman"/>
          <w:color w:val="000000" w:themeColor="text1"/>
          <w:sz w:val="16"/>
          <w:szCs w:val="16"/>
        </w:rPr>
        <w:softHyphen/>
        <w:t>шенных истребителей противника, для парирования дей</w:t>
      </w:r>
      <w:r w:rsidRPr="00D03F3E">
        <w:rPr>
          <w:rFonts w:ascii="Times New Roman" w:hAnsi="Times New Roman"/>
          <w:color w:val="000000" w:themeColor="text1"/>
          <w:sz w:val="16"/>
          <w:szCs w:val="16"/>
        </w:rPr>
        <w:softHyphen/>
        <w:t>ствий вражеских ударных истребительных частей.</w:t>
      </w:r>
    </w:p>
    <w:p w14:paraId="7A762A6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этой цели необходимо немедленно начать се</w:t>
      </w:r>
      <w:r w:rsidRPr="00D03F3E">
        <w:rPr>
          <w:rFonts w:ascii="Times New Roman" w:hAnsi="Times New Roman"/>
          <w:color w:val="000000" w:themeColor="text1"/>
          <w:sz w:val="16"/>
          <w:szCs w:val="16"/>
        </w:rPr>
        <w:softHyphen/>
        <w:t>рийное производство истребителей И-185, а также само</w:t>
      </w:r>
      <w:r w:rsidRPr="00D03F3E">
        <w:rPr>
          <w:rFonts w:ascii="Times New Roman" w:hAnsi="Times New Roman"/>
          <w:color w:val="000000" w:themeColor="text1"/>
          <w:sz w:val="16"/>
          <w:szCs w:val="16"/>
        </w:rPr>
        <w:softHyphen/>
        <w:t>летов ЯК с моторами М-107-А с таким расчетом, чтобы к маю месяцу дать фронту хотя бы по 20-30 самолетов каждого типа. Самолеты И-185 и ЯК с мотором М-107А, обладающие примерно одинаковой скоростью 570-590 клм/час у земли и 680 клм/час на высоте 6000 мтр, долж</w:t>
      </w:r>
      <w:r w:rsidRPr="00D03F3E">
        <w:rPr>
          <w:rFonts w:ascii="Times New Roman" w:hAnsi="Times New Roman"/>
          <w:color w:val="000000" w:themeColor="text1"/>
          <w:sz w:val="16"/>
          <w:szCs w:val="16"/>
        </w:rPr>
        <w:softHyphen/>
        <w:t>ны обеспечить безусловно превосходство над возмож</w:t>
      </w:r>
      <w:r w:rsidRPr="00D03F3E">
        <w:rPr>
          <w:rFonts w:ascii="Times New Roman" w:hAnsi="Times New Roman"/>
          <w:color w:val="000000" w:themeColor="text1"/>
          <w:sz w:val="16"/>
          <w:szCs w:val="16"/>
        </w:rPr>
        <w:softHyphen/>
        <w:t>ными модификациями улучшенных истребителей противника.</w:t>
      </w:r>
    </w:p>
    <w:p w14:paraId="22459E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По-видимому, вопрос этот не приобрел еще необхо</w:t>
      </w:r>
      <w:r w:rsidRPr="00D03F3E">
        <w:rPr>
          <w:rFonts w:ascii="Times New Roman" w:hAnsi="Times New Roman"/>
          <w:color w:val="000000" w:themeColor="text1"/>
          <w:sz w:val="16"/>
          <w:szCs w:val="16"/>
        </w:rPr>
        <w:softHyphen/>
        <w:t>димой остроты по той причине, что ВВС не осознал, по-видимому, всей серьезности создавшегося положения с истребительными самолетами и не требует конкретного его разрешения. В частности, не исключена возмож</w:t>
      </w:r>
      <w:r w:rsidRPr="00D03F3E">
        <w:rPr>
          <w:rFonts w:ascii="Times New Roman" w:hAnsi="Times New Roman"/>
          <w:color w:val="000000" w:themeColor="text1"/>
          <w:sz w:val="16"/>
          <w:szCs w:val="16"/>
        </w:rPr>
        <w:softHyphen/>
        <w:t>ность, что в любой момент над любым нашим городом, находящимся в пределах 200 клм от фронта, появятся бомбардировщики противника в Сопровождении истре</w:t>
      </w:r>
      <w:r w:rsidRPr="00D03F3E">
        <w:rPr>
          <w:rFonts w:ascii="Times New Roman" w:hAnsi="Times New Roman"/>
          <w:color w:val="000000" w:themeColor="text1"/>
          <w:sz w:val="16"/>
          <w:szCs w:val="16"/>
        </w:rPr>
        <w:softHyphen/>
        <w:t>бителей Мессершмитт-109-Г, которые среди бела дня с высоты 6000 мтр будут совершенно безнаказанно про</w:t>
      </w:r>
      <w:r w:rsidRPr="00D03F3E">
        <w:rPr>
          <w:rFonts w:ascii="Times New Roman" w:hAnsi="Times New Roman"/>
          <w:color w:val="000000" w:themeColor="text1"/>
          <w:sz w:val="16"/>
          <w:szCs w:val="16"/>
        </w:rPr>
        <w:softHyphen/>
        <w:t>изводить бомбежку, а мы оказать какое-либо противо</w:t>
      </w:r>
      <w:r w:rsidRPr="00D03F3E">
        <w:rPr>
          <w:rFonts w:ascii="Times New Roman" w:hAnsi="Times New Roman"/>
          <w:color w:val="000000" w:themeColor="text1"/>
          <w:sz w:val="16"/>
          <w:szCs w:val="16"/>
        </w:rPr>
        <w:softHyphen/>
        <w:t>действие, благодаря значительному превосходству вражеских истребителей на этой высоте перед нашими, находящимися на вооружении серийными истребите</w:t>
      </w:r>
      <w:r w:rsidRPr="00D03F3E">
        <w:rPr>
          <w:rFonts w:ascii="Times New Roman" w:hAnsi="Times New Roman"/>
          <w:color w:val="000000" w:themeColor="text1"/>
          <w:sz w:val="16"/>
          <w:szCs w:val="16"/>
        </w:rPr>
        <w:softHyphen/>
        <w:t>лями, не сможем.</w:t>
      </w:r>
    </w:p>
    <w:p w14:paraId="63E793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Подчеркиваю настоятельную необходимость немед</w:t>
      </w:r>
      <w:r w:rsidRPr="00D03F3E">
        <w:rPr>
          <w:rFonts w:ascii="Times New Roman" w:hAnsi="Times New Roman"/>
          <w:color w:val="000000" w:themeColor="text1"/>
          <w:sz w:val="16"/>
          <w:szCs w:val="16"/>
        </w:rPr>
        <w:softHyphen/>
        <w:t>ленно доложить этот вопрос Государственному Комите</w:t>
      </w:r>
      <w:r w:rsidRPr="00D03F3E">
        <w:rPr>
          <w:rFonts w:ascii="Times New Roman" w:hAnsi="Times New Roman"/>
          <w:color w:val="000000" w:themeColor="text1"/>
          <w:sz w:val="16"/>
          <w:szCs w:val="16"/>
        </w:rPr>
        <w:softHyphen/>
        <w:t>ту Обороны» (10667).</w:t>
      </w:r>
    </w:p>
    <w:p w14:paraId="460309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8262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марта 1943 вышло Постановление ГКО № 2964 О жилищном строительстве на заводе № 26 Наркомавиапрома в г. Уфе. РГАНИР, Фонд ГКО, д. 92, лл. 154-156 (11012).</w:t>
      </w:r>
    </w:p>
    <w:p w14:paraId="0E0999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5B242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086AC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9E57FC" w14:textId="77777777" w:rsidR="004A45BE" w:rsidRPr="00D03F3E" w:rsidRDefault="004A45B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4 марта 1943 КВ-7 с планетарной трансмиссией, которую разработал коллектив Московского машино</w:t>
      </w:r>
      <w:r w:rsidRPr="00D03F3E">
        <w:rPr>
          <w:rFonts w:ascii="Times New Roman" w:hAnsi="Times New Roman"/>
          <w:color w:val="000000" w:themeColor="text1"/>
          <w:sz w:val="16"/>
          <w:szCs w:val="16"/>
        </w:rPr>
        <w:softHyphen/>
        <w:t>строительного института им. Баумана под руководством Г. И. Зайчи</w:t>
      </w:r>
      <w:r w:rsidRPr="00D03F3E">
        <w:rPr>
          <w:rFonts w:ascii="Times New Roman" w:hAnsi="Times New Roman"/>
          <w:color w:val="000000" w:themeColor="text1"/>
          <w:sz w:val="16"/>
          <w:szCs w:val="16"/>
        </w:rPr>
        <w:softHyphen/>
        <w:t>ка, в ходе испытаний прошел без проблем 545 километров (17484).</w:t>
      </w:r>
    </w:p>
    <w:p w14:paraId="1AA2194B" w14:textId="77777777" w:rsidR="004A45BE" w:rsidRPr="00D03F3E" w:rsidRDefault="004A45BE" w:rsidP="00D03F3E">
      <w:pPr>
        <w:spacing w:after="0" w:line="240" w:lineRule="auto"/>
        <w:jc w:val="both"/>
        <w:rPr>
          <w:rFonts w:ascii="Times New Roman" w:hAnsi="Times New Roman"/>
          <w:color w:val="000000" w:themeColor="text1"/>
          <w:sz w:val="16"/>
          <w:szCs w:val="16"/>
        </w:rPr>
      </w:pPr>
    </w:p>
    <w:p w14:paraId="57B115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марта 1943 вышло Распоряжение ГКО № 2962. Об организации филиалов ремонтных заводов ГАУ КА для ремонта арттягачей и тракторов в войсках.РГАНИР, Фонд ГКО, д. 92, лл. 150, 151 (11012).</w:t>
      </w:r>
    </w:p>
    <w:p w14:paraId="3F8B40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48A9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марта 1943 вышло Распоряжение ГКО № 2963. О дополнительной поставке бумаги и картона НКЭС.РГАНИР, Фонд ГКО, д. 92, лл. 152, 153 (11012).</w:t>
      </w:r>
    </w:p>
    <w:p w14:paraId="6A970A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76667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4 марта 1943 вышло Постановление ГКО № 2965 О создании производственно-технической базы для лесозаготовительных предприятий Наркомлеса РСФСР в </w:t>
      </w:r>
      <w:r w:rsidRPr="00D03F3E">
        <w:rPr>
          <w:rFonts w:ascii="Times New Roman" w:hAnsi="Times New Roman"/>
          <w:color w:val="000000" w:themeColor="text1"/>
          <w:sz w:val="16"/>
          <w:szCs w:val="16"/>
        </w:rPr>
        <w:lastRenderedPageBreak/>
        <w:t>Московской области. (7084, 157-160,161).</w:t>
      </w:r>
    </w:p>
    <w:p w14:paraId="3C4679D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BC077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марта 1943 вышло Постановление ГКО № 2966 Об организации на заводе № 209 Наркомсудпрома (г. Ленинград) производства специальной аппаратуры для НКВД СССР. (7084, 162-164,165-169).</w:t>
      </w:r>
    </w:p>
    <w:p w14:paraId="26763C9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FF2BB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марта 1943 вышло Постановление ГКО № 2969 О вывозе угля из Донбасса. (7084, 181-184).</w:t>
      </w:r>
    </w:p>
    <w:p w14:paraId="783D1AE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3D8FF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марта 1943 вышло Постановление ГКО № 2970 [Об учреждении 30 переходящих вымпелов НКРФ для присуждения победителям в соцсоревновании.] (7084, 185).</w:t>
      </w:r>
    </w:p>
    <w:p w14:paraId="63C9E42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42A7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марта 1943 года вышло распоряжение СНК за № 4662-р:</w:t>
      </w:r>
    </w:p>
    <w:p w14:paraId="3F0F73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Перевести из Нытвы в Москву ОКБ № 16 НКВ (9280).</w:t>
      </w:r>
    </w:p>
    <w:p w14:paraId="4EC9A8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47931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39E186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E0BE99"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4 МАРТА 1943 УТРЕННЕЕ СООБЩЕНИЕ Совинформбюро</w:t>
      </w:r>
    </w:p>
    <w:p w14:paraId="17FCC28F"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4 марта наши войска вели наступательные бои на прежнихнаправлениях.</w:t>
      </w:r>
    </w:p>
    <w:p w14:paraId="56C0ACA8"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овладев городом Ржев, с боями продвигались вперёд в юго-западномнаправлении. Немцы силами пехоты и танков предприняли несколько контратак,пытаясь задержать наступление наших войск и закрепиться на новых оборонительныхрубежах. Все контратаки гитлеровцев отбиты. Вашими частями занято 11 населённыхпунктов. Только в одном из этих населённых пунктов захвачены 2 артиллерийские и2 миномётные батареи, склад боеприпасов и свыше 200 бочек горючего.</w:t>
      </w:r>
    </w:p>
    <w:p w14:paraId="38AC9886"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бойцы Н-ской части овладели укреплёнными позициямипротивника и захватили 3 орудия, 2 миномёта, 50 винтовок, 6 пулемётов ирадиостанцию. На другом участке отбита контратака противника, в результатекоторой истреблено до 200 гитлеровцев.</w:t>
      </w:r>
    </w:p>
    <w:p w14:paraId="5064314F"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подразделения Н-ской части в бою за одиннаселённый пункт разгромили роту немецкой пехоты и подбили 2 танка противника.Захвачено 3 противотанковых орудия, 5 пулемётов, 2 миномёта и 11 автомашин сбоеприпасами.</w:t>
      </w:r>
    </w:p>
    <w:p w14:paraId="2EC47B5E"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Харькова части Н-ского соединения отбили контратаку немецкойпехоты, действовавшей при поддержке 20 танков. В результате боя подбито исожжено 10 вражеских танков и уничтожено до 200 гитлеровцев. Захваченыпленные.</w:t>
      </w:r>
    </w:p>
    <w:p w14:paraId="42BD8C8E"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Льгова части Н-ского соединения вели наступательные бои. На одномучастке наши подразделения овладели населённым пунктом. Немцы предприняликонтратаку и вновь ворвались в этот населённый пункт. Не дав врагу закрепиться,советские бойцы контрударом опрокинули гитлеровцев и, преследуя их, уничтожилидо 300 солдат и офицеров противника.</w:t>
      </w:r>
    </w:p>
    <w:p w14:paraId="7CC60165"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войска вели наступательные бои и заняли ряд опорных пунктовпротивника. Бойцы Н-ской части в результате боя захватили у немцев 3 орудия, 14пулемётов, 11 автомашин и радиостанцию. Взяты пленные.</w:t>
      </w:r>
    </w:p>
    <w:p w14:paraId="5330696A"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Орловской области, 18февраля совершил внезапный налёт на немецкий гарнизон. В завязавшемся боюсоветские патриоты истребили 90 гитлеровцев. Партизаны другого отряда пустилипод откос немецкий воинский эшелон. В результате крушения разбиты паровоз, 2вагона и 5 платформ с орудиями и автомашинами. Убито 17 и ранено 35гитлеровцев.</w:t>
      </w:r>
    </w:p>
    <w:p w14:paraId="0348ECBD"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орловских партизан из засады на шоссейной дороге обстреляла немецкуюавтоколонну. Ружейно-пулемётным огнём убито 40 солдат. Партизанами захвачено 2станковых и 10 ручных пулемётов, 4 автомата и 50 винтовок.</w:t>
      </w:r>
    </w:p>
    <w:p w14:paraId="1FAED159"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Берлинское радио 3 марта передало: «Имперский министр доктор Геббельс принялпредставителей героического гарнизона города Великие Луки, которые прибыли нанесколько дней в Берлин. Во время приёма участники этих боёв рассказывали о том,как происходила защита крепости внутри города». Как известно, советские войскаполностью уничтожили немецкий гарнизон города Великие Луки, а его жалкие остаткивместе с комендантом города подполковником фон Зассом взяты в плен. Пленныенемецкие солдаты и офицеры разгромленного великолуцкого гарнизона находятся всоветских лагерях и, естественно, не могли быть на приёме. Кого же в такомслучае принимал доктор лжи Геббельс? Не покойников ли? Лиха беда начало.Геббельсу остаётся только ещё организовать теперь приём представителей изСталинграда, Черткова, Касторного и многих других мест, где были окружены иистреблены немецкие гарнизоны (15058).</w:t>
      </w:r>
    </w:p>
    <w:p w14:paraId="10A21024" w14:textId="77777777" w:rsidR="0001609F" w:rsidRPr="00D03F3E" w:rsidRDefault="0001609F" w:rsidP="00D03F3E">
      <w:pPr>
        <w:spacing w:after="0" w:line="240" w:lineRule="auto"/>
        <w:jc w:val="both"/>
        <w:rPr>
          <w:rFonts w:ascii="Times New Roman" w:hAnsi="Times New Roman"/>
          <w:color w:val="000000" w:themeColor="text1"/>
          <w:sz w:val="16"/>
          <w:szCs w:val="16"/>
        </w:rPr>
      </w:pPr>
    </w:p>
    <w:p w14:paraId="3451E02A"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4 МАРТА 1943 ВЕЧЕРНЕЕ СООБЩЕНИЕ Совинформбюро</w:t>
      </w:r>
    </w:p>
    <w:p w14:paraId="44116FBE"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4 марта западнее Ржева наши войска овладели городом ижелезнодорожной станцией Оленине, а также заняли крупную железнодорожную станциюЧертолино.</w:t>
      </w:r>
    </w:p>
    <w:p w14:paraId="6BF8A69C"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Орловской области наши войска после упорного боя заняли город Севск.</w:t>
      </w:r>
    </w:p>
    <w:p w14:paraId="3D1C9FAA"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Курской области наши войска в результате решительной атаки овладели городоми железнодорожной станцией Суджа.</w:t>
      </w:r>
    </w:p>
    <w:p w14:paraId="0E26134E"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наступательные бои на прежнихнаправлениях.</w:t>
      </w:r>
    </w:p>
    <w:p w14:paraId="65BF42F1"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Ржева наши войска, продолжая развивать наступление, овладели городоми железнодорожной станцией Оленино, железнодорожными станциями Чер-толино,Манчалово. В бою за станцию Манчалово бойцы Н-ской части уничтожили до 400немецких солдат и офицеров, захватили 6 паровозов, 3 железнодорожных состава и,кроме того, большое количество вагонов. Юго-западнее Ржева части Н-скогосоединения, сломив сопротивление противника, продвигались вперёд. Освобождены отнемецко-фашистских захватчиков десятки населённых пунктов. Взяты большие трофеи,которые подсчитываются.</w:t>
      </w:r>
    </w:p>
    <w:p w14:paraId="75780CD0"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войска вели наступательные бои с упорнообороняющимся противником. Немцы пытались вернуть утерянные укреплённые позициии предприняли ряд контратак. Не добившись никакого результата, гитлеровцыотступили, оставив перед нашими позициями более 600 трупов и 4 подбитыхтанка.</w:t>
      </w:r>
    </w:p>
    <w:p w14:paraId="19906BAB"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части Н-ского соединения в бою с противникомзахватили самоходное орудие, 5 пулемётов, 3 миномёта и радиостанцию. На другомучастке наши подразделения, отражая контратаку противника, уничтожили до ротыгитлеровцев и сожгли 3 немецких танка.</w:t>
      </w:r>
    </w:p>
    <w:p w14:paraId="547F4C5F"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Харькова наши войска продолжали наступление. Н-ская частьвыбила противника из крупного населённого, пункта и захватила склад боеприпасов,склад с инженерным имуществом и много оружия, которое подсчитывается.</w:t>
      </w:r>
    </w:p>
    <w:p w14:paraId="32A1BCC4"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Льгова—Дмитриева-Льговского наши войска продолжали наступление изаняли несколько населённых пунктов. В боях за город Льгов в течение последнихчетырёх дней уничтожено свыше 6.000 немецких солдат и офицеров. Взято в пленболее 300 гитлеровцев. По дополнительным данным, в Льгове захвачены у противника4 танка, 20 орудий, 75 миномётов, 66 пулемётов, 150 автоматов, свыше 700винтовок и другие трофеи. На другом участке наши части вели упорные бои за двакрупных населённых пункта. К исходу дня наши бойцы овладели этими населённымипунктами. Захвачены трофеи, в числе которых 2 орудия, 11 миномётов, 20пулемётов, 72 автомата, 370 винтовок, 2.500 мин, 17 тысяч патронов и 2 складабоеприпасов. На подступах и на улицах населённых пунктов подсчитано около 800трупов гитлеровцев. Взято в плен несколько десятков немецких солдат.</w:t>
      </w:r>
    </w:p>
    <w:p w14:paraId="01D38665"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на одном участке наши части овладели двумянаселёнными пунктами. Немецкие гарнизоны, оказавшие сопротивление, полностьюуничтожены. На другом участке Н-ская часть выбила немцев из укреплённых позиций.Противник, поспешно отступая, бросил на поле боя раненых солдат и технику.</w:t>
      </w:r>
    </w:p>
    <w:p w14:paraId="2AD78657"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Витебской области,совершил налёт на немецкий аэродром. Пока специально выделенная группа партизанвела бой с аэродромной командой гитлеровцев, основные силы отряда прорвались налётную площадку и уничтожили находившиеся там 4 самолёта. Через несколько днейотряд пустил под откос немецкий воинский эшелон с боеприпасами иобмундированием. Советские патриоты захватили большое количество боеприпасов имного обмундирования. Всё, что не удалось увезти из разбитого эшелона, партизанысожгли.</w:t>
      </w:r>
    </w:p>
    <w:p w14:paraId="2949938C"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Норвежские патриоты, несмотря на репрессии, изо дня в день ведут борьбу снемецко-фашистскими оккупантами. В районе Бергена группа вооружённых норвежцевобстреляла немецкую автоколонну. В городе Осло только за одну декаду убито 8немецких солдат и офицеров. В районе Тронхейма норвежские партизаны уничтожилипрожекторную установку и охранявших её гитлеровцев.</w:t>
      </w:r>
    </w:p>
    <w:p w14:paraId="06AE2779"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622CF69E"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НАШИ ВОЙСКА ЗАНЯЛИ ГОРОДА ОЛЕНИНО, СЕВСК, СУДЖА, СТАНЦИЮЧЕРТОЛИНО</w:t>
      </w:r>
    </w:p>
    <w:p w14:paraId="71FDE4EF"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4 марта западнее РЖЕВА наши войска, продолжая развивать наступление,овладели городом и железнодорожной станцией ОЛЕНИНО, а также заняли крупнуюжелезнодорожную станцию ЧЕРТОЛИНО. Железная дорога МОСКВА—РЖЕВ—ВЕЛИКИЕ ЛУКИ навсём протяжении очищена от противника.</w:t>
      </w:r>
    </w:p>
    <w:p w14:paraId="3444A75A"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 Орловской области наши войска после упорного боя заняли город СЕВСК.</w:t>
      </w:r>
    </w:p>
    <w:p w14:paraId="48D4EB5B" w14:textId="77777777" w:rsidR="0001609F" w:rsidRPr="00D03F3E" w:rsidRDefault="000160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 Курской области наши войска в результате решительной атаки овладелигородом и железнодорожной станцией СУДЖА (15058).</w:t>
      </w:r>
    </w:p>
    <w:p w14:paraId="2B55DCB9" w14:textId="77777777" w:rsidR="0001609F" w:rsidRPr="00D03F3E" w:rsidRDefault="0001609F" w:rsidP="00D03F3E">
      <w:pPr>
        <w:spacing w:after="0" w:line="240" w:lineRule="auto"/>
        <w:jc w:val="both"/>
        <w:rPr>
          <w:rFonts w:ascii="Times New Roman" w:hAnsi="Times New Roman"/>
          <w:color w:val="000000" w:themeColor="text1"/>
          <w:sz w:val="16"/>
          <w:szCs w:val="16"/>
        </w:rPr>
      </w:pPr>
    </w:p>
    <w:p w14:paraId="180176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4 по 25 марта 1943 была Харьковская оборонительная операция, но немцы смогли захватить Харьков и Белгород (2443,253). Оборонялся ВФ (Ф.И.Голиков) против 2ТА и 1ПА (30 дивизий) (3398,100).</w:t>
      </w:r>
    </w:p>
    <w:p w14:paraId="0B378F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7FA95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4 марта 1943 вышло Постановление ГКО № 2967 О пополнении фронтов в апреле месяце 1943 года. (7084, 170).</w:t>
      </w:r>
    </w:p>
    <w:p w14:paraId="558FA08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0E510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марта 1943 вышло Постановление ГКО № 2968 О перевозке пополнения для доукомплектования дивизий и бригад, выводимых с Донского фронта и пополнения для Южного и Юго-Западного фронтов. (7084, 171-172,173-180).</w:t>
      </w:r>
    </w:p>
    <w:p w14:paraId="7A48632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10733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020B7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2334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марта 1943 заводом 39 были получены первые чертежи Ил-6 под М-90. Чертежи были спущены в производство 20 марта 1943. Во второй половине апреля были получены от ГК и спущены в производство чертежи под М-30Б (2523).</w:t>
      </w:r>
    </w:p>
    <w:p w14:paraId="1B9823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964904" w14:textId="77777777" w:rsidR="00D36892" w:rsidRPr="00D03F3E" w:rsidRDefault="00D36892"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5-го марта 1943 года завод № 39 получил от ОКБ С.В.И. первый комплект чертежей Ил-6 с двигателями М-90, и уже 20-го марта обработанные чертежи передаются в производство. Во второй половине апреля С.В. Ильюшин присылает комплект чертежей с двигателями М-30Б (АЧ-30Б). Поскольку сроки изготовления опытных машин были крайне сжатыми, руководством завода были привлечены лучшие силы на выполнение этого важнейшего правительственного задания. Для оказания технической помощи при постройке Ил-6 в Иркутск была командирована группа конструкторов и расчетчиков ОКБ во главе с Я.А. Кутеповым (15223).</w:t>
      </w:r>
    </w:p>
    <w:p w14:paraId="3E7BF781" w14:textId="77777777" w:rsidR="00D36892" w:rsidRPr="00D03F3E" w:rsidRDefault="00D36892" w:rsidP="00D03F3E">
      <w:pPr>
        <w:shd w:val="clear" w:color="auto" w:fill="FFFFFF"/>
        <w:spacing w:after="0" w:line="240" w:lineRule="auto"/>
        <w:jc w:val="both"/>
        <w:rPr>
          <w:rFonts w:ascii="Times New Roman" w:hAnsi="Times New Roman"/>
          <w:color w:val="000000" w:themeColor="text1"/>
          <w:sz w:val="16"/>
          <w:szCs w:val="16"/>
        </w:rPr>
      </w:pPr>
    </w:p>
    <w:p w14:paraId="34D2F8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марта 1943 на ледовом полигоне в районе Шепелевского маяка полным успехом завершились испытания самоликвидатора мины АМГ-1, которые проходили с 20 февраля 1942. В предверии минирования фарватеров следовало ожидать, что большинство мин упадет на лед, но в том, что новая мина АМГ-1 способна пробить лед и остаться после этого в исправном состоянии были определенные сомнения. Кроме того, была нужна гарантия, что не пробившие лед мины не останутся лежать, демаскируя тем самым место постановки. В кратчайшие сроки в условиях блокадного города мастерскими Научно-исследовательского минно-торпедного института было сконструирован и изготовлен самоликвидатор (9965).</w:t>
      </w:r>
    </w:p>
    <w:p w14:paraId="1C8CF6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6724E2"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 марта 1943</w:t>
      </w:r>
    </w:p>
    <w:p w14:paraId="3EFEDA2D"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ПАРТОРГУ ЦК ВКП (Б) НА ЗАВОДЕ № 21 Т. АГУРЕЕВУ «О ВЫПОЛНЕНИИ РЕШЕНИЯ ГОКО ПО ИЗГОТОВЛЕНИЮ ОБЛЕГЧЕННОЙ МАШИНЫ»</w:t>
      </w:r>
    </w:p>
    <w:p w14:paraId="5204D5BA"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Постановлением ГОКО от 16.XI.42 г. за № 2514сс  предложено заводу № 21 изготовить и предъявить на испытания самолет Ла-5 весом 3100 кг, срок 25. XII. 42.</w:t>
      </w:r>
    </w:p>
    <w:p w14:paraId="1E881132"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Вторым постановлением от 9.XII.42 г. за № 2604сс - ГКО обязывает:</w:t>
      </w:r>
    </w:p>
    <w:p w14:paraId="65086FB9"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директора и главного конструктора завода № 21 представить на госиспытания в ЛИИ ВВС к 15.1.43 г. и в НИИ ВВС 10.2.43 г. самолет Ла-5 с мотором М-82Ф и уменьшенным весом самолета до 3100 кг.</w:t>
      </w:r>
    </w:p>
    <w:p w14:paraId="0FB2EDC4"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В развитие этих постановлений главный конструктор Лавочкин стал облегчать машину за счет уменьшения веса конструкции всех агрегатов самолета. Были изготовлены чертежи облегченного фюзеляжа, крыла, центроплана, оперения, шасси, винтомоторной группы, оборудования и вооружения. </w:t>
      </w:r>
    </w:p>
    <w:p w14:paraId="5E583EB6"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 подсчетам теоретических весов оказалось, что вес самолета может получиться около 3000 кг. Однако такое облегчение вызвало бы переделку всех агрегатов и деталей самолета, а следовательно, и изменение всех существующих в серийном производстве приспособлений.</w:t>
      </w:r>
    </w:p>
    <w:p w14:paraId="7A6AA308"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Переход серийного производства на изготовление такого типа машин был бы, по сути дела, равен переходу на новую машину, т.е. заставил бы перестраивать завод.</w:t>
      </w:r>
    </w:p>
    <w:p w14:paraId="67FD5EB8"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Исходя из этого, главный конструктор решил строить машину, имея только облегченный за счет крыла, центроплана и шасси. Такое облегчение позволило бы снизить вес машины на 150 кг. Было изготовлено металлическое крыло и центроплан со стальными лонжеронами таврового сечения.</w:t>
      </w:r>
    </w:p>
    <w:p w14:paraId="7E279993"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Статические испытания центроплана показали, что на случай посадки центроплан не держит, и пришлось 5 раз проводить испытания, пока не была доведена его прочность.</w:t>
      </w:r>
    </w:p>
    <w:p w14:paraId="503B8959"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 изготовлении планера встал вопрос о постановке мотора. Главный конструктор не разрешил ставить на этот самолет карбюраторный мотор М-82Ф, так как данный мотор показал плохую работу на больших высотах и приказал поставить мотор М-82ФНВ.</w:t>
      </w:r>
    </w:p>
    <w:p w14:paraId="1710F95F"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Однако получение мотора задержалось по вине завода № 19 и он прибыл на завод в первых числах февраля 1943 г.</w:t>
      </w:r>
    </w:p>
    <w:p w14:paraId="013B636B"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5.03.43.</w:t>
      </w:r>
    </w:p>
    <w:p w14:paraId="5E61B24C"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Заместитель главного конструктора завода № 21</w:t>
      </w:r>
      <w:r w:rsidRPr="00D03F3E">
        <w:rPr>
          <w:rFonts w:ascii="Times New Roman" w:hAnsi="Times New Roman"/>
          <w:color w:val="0070C0"/>
          <w:sz w:val="16"/>
          <w:szCs w:val="16"/>
        </w:rPr>
        <w:tab/>
        <w:t>ЗАКС</w:t>
      </w:r>
    </w:p>
    <w:p w14:paraId="6501F0D0"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ЦАНО. Ф. 2066. Оп. 7. Д. 42. Л. 47-48.</w:t>
      </w:r>
    </w:p>
    <w:p w14:paraId="168053C0" w14:textId="77777777" w:rsidR="00B00BF5" w:rsidRPr="00D03F3E" w:rsidRDefault="00B00B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Подлинник. Машинопись (21002).</w:t>
      </w:r>
    </w:p>
    <w:p w14:paraId="5419ADB6" w14:textId="77777777" w:rsidR="00B00BF5" w:rsidRPr="00D03F3E" w:rsidRDefault="00B00BF5" w:rsidP="00D03F3E">
      <w:pPr>
        <w:spacing w:after="0" w:line="240" w:lineRule="auto"/>
        <w:jc w:val="both"/>
        <w:rPr>
          <w:rFonts w:ascii="Times New Roman" w:hAnsi="Times New Roman"/>
          <w:color w:val="0070C0"/>
          <w:sz w:val="16"/>
          <w:szCs w:val="16"/>
        </w:rPr>
      </w:pPr>
    </w:p>
    <w:p w14:paraId="66E697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марта 1943 Зам. Нач. ЛИИ, Нач. ЦАГИ и Нач. ЦИАМ писали А.И.Ш. справку о постановке мотора М-106 с односкоростным нагнетателем на Як-1 и Як-9. Обосновывали необходимость нового водяного и масло радиатора для Як-1 и водяного для Як-9. Считали, что надо делать немедленно, т.к. для мотора с двухступенчатым нагнетателем ничего менять не потребуется (2519,51).</w:t>
      </w:r>
    </w:p>
    <w:p w14:paraId="375D83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9093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марта 1943 Тер-Маркарян от завода 153 и Пивоваров от завода 292 писали 2 записки на тему о постановке мотора М-106 на Як-1 завода 292 и Як-9 завода 153. Обосновывали неизбежность снижения суточного выпуска. потом 7 марта 1943 П.Воронин также подготовил докладную записку НКАП А.И.Ш. на эту же тему (2519,51).</w:t>
      </w:r>
    </w:p>
    <w:p w14:paraId="5A7B77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A078F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204C9D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36A93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марта 1943 г. начались испытания нового ПТРД, разработанного на заводе № 468. Речь идет об огнестрельным оружии с жидким ме</w:t>
      </w:r>
      <w:r w:rsidRPr="00D03F3E">
        <w:rPr>
          <w:rFonts w:ascii="Times New Roman" w:hAnsi="Times New Roman"/>
          <w:color w:val="000000" w:themeColor="text1"/>
          <w:sz w:val="16"/>
          <w:szCs w:val="16"/>
        </w:rPr>
        <w:softHyphen/>
        <w:t>тательным веществом, или, как это называли тогда - с «жидким порохом». В основе лежала давно высказанная идея распределения метательного за</w:t>
      </w:r>
      <w:r w:rsidRPr="00D03F3E">
        <w:rPr>
          <w:rFonts w:ascii="Times New Roman" w:hAnsi="Times New Roman"/>
          <w:color w:val="000000" w:themeColor="text1"/>
          <w:sz w:val="16"/>
          <w:szCs w:val="16"/>
        </w:rPr>
        <w:softHyphen/>
        <w:t>ряда, срабатывающего по всей длине канала ствола. Разработчики решили непрерывно впрыскивать в заснарядное пространство топливо с окислите</w:t>
      </w:r>
      <w:r w:rsidRPr="00D03F3E">
        <w:rPr>
          <w:rFonts w:ascii="Times New Roman" w:hAnsi="Times New Roman"/>
          <w:color w:val="000000" w:themeColor="text1"/>
          <w:sz w:val="16"/>
          <w:szCs w:val="16"/>
        </w:rPr>
        <w:softHyphen/>
        <w:t>лем (керосин и азотная кислота) для поддержания постоянного уровня давления и получения высоких на</w:t>
      </w:r>
      <w:r w:rsidRPr="00D03F3E">
        <w:rPr>
          <w:rFonts w:ascii="Times New Roman" w:hAnsi="Times New Roman"/>
          <w:color w:val="000000" w:themeColor="text1"/>
          <w:sz w:val="16"/>
          <w:szCs w:val="16"/>
        </w:rPr>
        <w:softHyphen/>
        <w:t>чальных скоростей без увеличения максимального давления в канале ствола. Для опытов использовался го</w:t>
      </w:r>
      <w:r w:rsidRPr="00D03F3E">
        <w:rPr>
          <w:rFonts w:ascii="Times New Roman" w:hAnsi="Times New Roman"/>
          <w:color w:val="000000" w:themeColor="text1"/>
          <w:sz w:val="16"/>
          <w:szCs w:val="16"/>
        </w:rPr>
        <w:softHyphen/>
        <w:t>товый ствол 14,5-мм противотанково</w:t>
      </w:r>
      <w:r w:rsidRPr="00D03F3E">
        <w:rPr>
          <w:rFonts w:ascii="Times New Roman" w:hAnsi="Times New Roman"/>
          <w:color w:val="000000" w:themeColor="text1"/>
          <w:sz w:val="16"/>
          <w:szCs w:val="16"/>
        </w:rPr>
        <w:softHyphen/>
        <w:t>го ружья ПТРД. Всего сделали 13 выстрелов. Результаты были представлены в Наркомат вооружения и вызвали оп</w:t>
      </w:r>
      <w:r w:rsidRPr="00D03F3E">
        <w:rPr>
          <w:rFonts w:ascii="Times New Roman" w:hAnsi="Times New Roman"/>
          <w:color w:val="000000" w:themeColor="text1"/>
          <w:sz w:val="16"/>
          <w:szCs w:val="16"/>
        </w:rPr>
        <w:softHyphen/>
        <w:t>ределенный интерес. Во всяком слу</w:t>
      </w:r>
      <w:r w:rsidRPr="00D03F3E">
        <w:rPr>
          <w:rFonts w:ascii="Times New Roman" w:hAnsi="Times New Roman"/>
          <w:color w:val="000000" w:themeColor="text1"/>
          <w:sz w:val="16"/>
          <w:szCs w:val="16"/>
        </w:rPr>
        <w:softHyphen/>
        <w:t>чае, там состоялось расширенное за</w:t>
      </w:r>
      <w:r w:rsidRPr="00D03F3E">
        <w:rPr>
          <w:rFonts w:ascii="Times New Roman" w:hAnsi="Times New Roman"/>
          <w:color w:val="000000" w:themeColor="text1"/>
          <w:sz w:val="16"/>
          <w:szCs w:val="16"/>
        </w:rPr>
        <w:softHyphen/>
        <w:t>седание с участием представителей Наркоматов боеприпасов и авиацион</w:t>
      </w:r>
      <w:r w:rsidRPr="00D03F3E">
        <w:rPr>
          <w:rFonts w:ascii="Times New Roman" w:hAnsi="Times New Roman"/>
          <w:color w:val="000000" w:themeColor="text1"/>
          <w:sz w:val="16"/>
          <w:szCs w:val="16"/>
        </w:rPr>
        <w:softHyphen/>
        <w:t>ной промышленности, Артиллерийс</w:t>
      </w:r>
      <w:r w:rsidRPr="00D03F3E">
        <w:rPr>
          <w:rFonts w:ascii="Times New Roman" w:hAnsi="Times New Roman"/>
          <w:color w:val="000000" w:themeColor="text1"/>
          <w:sz w:val="16"/>
          <w:szCs w:val="16"/>
        </w:rPr>
        <w:softHyphen/>
        <w:t>кого комитета ГАУ. Наркомы воору</w:t>
      </w:r>
      <w:r w:rsidRPr="00D03F3E">
        <w:rPr>
          <w:rFonts w:ascii="Times New Roman" w:hAnsi="Times New Roman"/>
          <w:color w:val="000000" w:themeColor="text1"/>
          <w:sz w:val="16"/>
          <w:szCs w:val="16"/>
        </w:rPr>
        <w:softHyphen/>
        <w:t>жения и боеприпасов утвердили ре</w:t>
      </w:r>
      <w:r w:rsidRPr="00D03F3E">
        <w:rPr>
          <w:rFonts w:ascii="Times New Roman" w:hAnsi="Times New Roman"/>
          <w:color w:val="000000" w:themeColor="text1"/>
          <w:sz w:val="16"/>
          <w:szCs w:val="16"/>
        </w:rPr>
        <w:softHyphen/>
        <w:t>шение о продолжении исследований в этой области, но этим занимались уже другие предприятия и НИИ. Ныне макет огнестрельного оружия на «жидком порохе», созданный на заводе №468, хранится в музее ФГУП «МКПК «Универсал» (его детали, кро</w:t>
      </w:r>
      <w:r w:rsidRPr="00D03F3E">
        <w:rPr>
          <w:rFonts w:ascii="Times New Roman" w:hAnsi="Times New Roman"/>
          <w:color w:val="000000" w:themeColor="text1"/>
          <w:sz w:val="16"/>
          <w:szCs w:val="16"/>
        </w:rPr>
        <w:softHyphen/>
        <w:t>ме корпуса, ствола и тумбы - «род</w:t>
      </w:r>
      <w:r w:rsidRPr="00D03F3E">
        <w:rPr>
          <w:rFonts w:ascii="Times New Roman" w:hAnsi="Times New Roman"/>
          <w:color w:val="000000" w:themeColor="text1"/>
          <w:sz w:val="16"/>
          <w:szCs w:val="16"/>
        </w:rPr>
        <w:softHyphen/>
        <w:t>ные», от испытывавшегося экземпля</w:t>
      </w:r>
      <w:r w:rsidRPr="00D03F3E">
        <w:rPr>
          <w:rFonts w:ascii="Times New Roman" w:hAnsi="Times New Roman"/>
          <w:color w:val="000000" w:themeColor="text1"/>
          <w:sz w:val="16"/>
          <w:szCs w:val="16"/>
        </w:rPr>
        <w:softHyphen/>
        <w:t>ра). Интересно, что параллельно с ра</w:t>
      </w:r>
      <w:r w:rsidRPr="00D03F3E">
        <w:rPr>
          <w:rFonts w:ascii="Times New Roman" w:hAnsi="Times New Roman"/>
          <w:color w:val="000000" w:themeColor="text1"/>
          <w:sz w:val="16"/>
          <w:szCs w:val="16"/>
        </w:rPr>
        <w:softHyphen/>
        <w:t>ботами завода №468 над 14,5-мм ору</w:t>
      </w:r>
      <w:r w:rsidRPr="00D03F3E">
        <w:rPr>
          <w:rFonts w:ascii="Times New Roman" w:hAnsi="Times New Roman"/>
          <w:color w:val="000000" w:themeColor="text1"/>
          <w:sz w:val="16"/>
          <w:szCs w:val="16"/>
        </w:rPr>
        <w:softHyphen/>
        <w:t>жием с «жидким порохом» и букваль</w:t>
      </w:r>
      <w:r w:rsidRPr="00D03F3E">
        <w:rPr>
          <w:rFonts w:ascii="Times New Roman" w:hAnsi="Times New Roman"/>
          <w:color w:val="000000" w:themeColor="text1"/>
          <w:sz w:val="16"/>
          <w:szCs w:val="16"/>
        </w:rPr>
        <w:softHyphen/>
        <w:t>но рядом, на заводе №293, М.Л. Миль разрабатывал другой вариант проти</w:t>
      </w:r>
      <w:r w:rsidRPr="00D03F3E">
        <w:rPr>
          <w:rFonts w:ascii="Times New Roman" w:hAnsi="Times New Roman"/>
          <w:color w:val="000000" w:themeColor="text1"/>
          <w:sz w:val="16"/>
          <w:szCs w:val="16"/>
        </w:rPr>
        <w:softHyphen/>
        <w:t>вотанкового оружия пехоты (чрезвы</w:t>
      </w:r>
      <w:r w:rsidRPr="00D03F3E">
        <w:rPr>
          <w:rFonts w:ascii="Times New Roman" w:hAnsi="Times New Roman"/>
          <w:color w:val="000000" w:themeColor="text1"/>
          <w:sz w:val="16"/>
          <w:szCs w:val="16"/>
        </w:rPr>
        <w:softHyphen/>
        <w:t>чайно актуальная в тот период тема) -реактивный гранатомет на основе опять же авиационных реактивных снарядов РС-82 (11752).</w:t>
      </w:r>
    </w:p>
    <w:p w14:paraId="6A0612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F7CDDE" w14:textId="77777777" w:rsidR="00AC5101" w:rsidRPr="00D03F3E" w:rsidRDefault="00AC5101"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марта 1943 года в тире, составленном из кожухов разрушенных вагранок (авиазавод был размещен на территории бывшего труболитейного завода) испытали «керосиновый» пулемет. Должна была последовать автоматическая очередь выстрелов, равная количеству пуль, вложенных в магазинную коробку. Но не последовала. Произошел лишь один, судя по звуку, полноценный выстрел.</w:t>
      </w:r>
    </w:p>
    <w:p w14:paraId="0EA1673D" w14:textId="77777777" w:rsidR="00AC5101" w:rsidRPr="00D03F3E" w:rsidRDefault="00AC5101"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Оказалось, что столбик пуль в стволе подвергся такому давлению газов со стороны заснарядного пространства, что заклинило механизм автоматической подачи пуль и компонента жидкого топлива.</w:t>
      </w:r>
    </w:p>
    <w:p w14:paraId="61023B5E" w14:textId="77777777" w:rsidR="00AC5101" w:rsidRPr="00D03F3E" w:rsidRDefault="00AC5101"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Ошибку изобретателей, решивших создать сразу пулемет до отработки системы одиночного выстрела, отметил в своем (в основном положительном) отзыве о изобретении зам. председателя Арткома генерал-лейтенант Е.А. Беркалов. Мы немедленно это учли.</w:t>
      </w:r>
    </w:p>
    <w:p w14:paraId="2DAC656F" w14:textId="77777777" w:rsidR="00AC5101" w:rsidRPr="00D03F3E" w:rsidRDefault="00AC5101"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Пуля из красной меди первого жидкостного выстрела пробила 8-миллиметровую стальную плиту и застряла в кирпичной кладке, к которой была прислонена плита. По диаметру пробоина значительно превысила калибр пули и имела со стороны удара ясно видимый на фото венец выплеска стали навстречу пуле, которая реформировалась в «гриб». Ученые-артиллеристы решили, что выплеск материала на входе пули в плиту, по-видимому, следует объяснить высокой скоростью встречи, а также механическими свойствами плиты и пули.</w:t>
      </w:r>
    </w:p>
    <w:p w14:paraId="49BC1676" w14:textId="77777777" w:rsidR="00AC5101" w:rsidRPr="00D03F3E" w:rsidRDefault="00AC5101"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Макет образца оружия, из которого был произведен, по утверждению артиллеристов-ученых, первый в истории выстрел жидким «порохом», хранится в музее завода.</w:t>
      </w:r>
    </w:p>
    <w:p w14:paraId="4FB67D1D" w14:textId="77777777" w:rsidR="00AC5101" w:rsidRPr="00D03F3E" w:rsidRDefault="00AC5101"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марта 1943 г. после первого, не вполне удачного (автомата не получилось) испытания жидкостного автоматического оружия занялись отработкой выстрела из ПТРД унитарным патроном, снаряженным вместо пороха жидкими компонентами горючего и окислителя. Долгое время стреляли самодельными медными пулями, но с возвращением завода из эвакуации летом 1943 года в Москву, при помощи работников ЦК И.Д.Сербина и А.Ф. Федотикова, получили достаточное количество штатных патронов противотанкового ружья и стали вести стрельбу «жидким порохом» уже по бронеплитам бронебойно-зажигательными пулями. Доведя толщину пробиваемых плит до 45 мм, зарядом из 4 грамм керосина и 15 грамм азотной кислоты, вместо 32 граммов штатного порохового заряда, мы составили подробный отчет и послали его Сталину.</w:t>
      </w:r>
    </w:p>
    <w:p w14:paraId="26EAAFFB" w14:textId="77777777" w:rsidR="00AC5101" w:rsidRPr="00D03F3E" w:rsidRDefault="00AC5101"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Вскоре в Наркомате вооружений под председательством генерала А.А.Толочкова было проведено межведомственное совещание с участием представителей наркоматов авиапромышленности, вооружений, боеприпасов и Артиллерийского комитета. Было вынесено решение: НКАЛу — представить в Наркомат вооружений рабочие чертежи и техусловия на изготовление опытной установки для изучения внутренней баллистики ЖАО; Наркомату вооружений — изготовить на одном из своих заводов установку и передать ее в Наркомат боеприпасов на исследования. Общее научное руководство всей работой, насколько-помню, совещание возложило на Артком (12579).</w:t>
      </w:r>
    </w:p>
    <w:p w14:paraId="146DFFFC" w14:textId="77777777" w:rsidR="00AC5101" w:rsidRPr="00D03F3E" w:rsidRDefault="00AC5101" w:rsidP="00D03F3E">
      <w:pPr>
        <w:shd w:val="clear" w:color="auto" w:fill="FFFFFF"/>
        <w:spacing w:after="0" w:line="240" w:lineRule="auto"/>
        <w:jc w:val="both"/>
        <w:rPr>
          <w:rFonts w:ascii="Times New Roman" w:hAnsi="Times New Roman"/>
          <w:color w:val="000000" w:themeColor="text1"/>
          <w:sz w:val="16"/>
          <w:szCs w:val="16"/>
        </w:rPr>
      </w:pPr>
    </w:p>
    <w:p w14:paraId="5B022B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марта 1943 вышло Постановление ГКО № 2971 О снабжении предприятий Наркомбумпрома балансами и дровами в 1943 году.РГАНИР, Фонд ГКО, д. 92, лл. 186-191, 192-200 (11012).</w:t>
      </w:r>
    </w:p>
    <w:p w14:paraId="7D3F6C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28228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марта 1943 вышло Постановление ГКО № 2972 Об общем плане перевозок народнохозяйственных и воинских грузов по железнодорожному и морскому транспорту на март 1943 года. (7084, 201).</w:t>
      </w:r>
    </w:p>
    <w:p w14:paraId="6FC22C4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2A5ED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марта 1943 вышло Постановление ГКО № 2973 О плане перевозок народнохозяйственных грузов по железнодорожному и водному транспорту на март 1943 года. (7085, 1-4,5-156).</w:t>
      </w:r>
    </w:p>
    <w:p w14:paraId="7F85221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78B6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марта 1943 вышло Постановление ГКО № 2974 О плане распределения угля на март 1943 г.РГАНИР, Фонд ГКО, д. 94, лл. 1, 2-32 (11012).</w:t>
      </w:r>
    </w:p>
    <w:p w14:paraId="7EF85B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ECA7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марта 1943 вышло Постановление ГКО № 2975 О плане производства важнейших химикатов на март 1943 г. для боеприпасов и народного хозяйства.РГАНИР, Фонд ГКО, д. 94, лл. 33-37 (11012).</w:t>
      </w:r>
    </w:p>
    <w:p w14:paraId="49F085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3C87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марта 1943 г. вышло по</w:t>
      </w:r>
      <w:r w:rsidRPr="00D03F3E">
        <w:rPr>
          <w:rFonts w:ascii="Times New Roman" w:hAnsi="Times New Roman"/>
          <w:color w:val="000000" w:themeColor="text1"/>
          <w:sz w:val="16"/>
          <w:szCs w:val="16"/>
        </w:rPr>
        <w:softHyphen/>
        <w:t>становление ГКО, согласно которому была проведена частичная во</w:t>
      </w:r>
      <w:r w:rsidRPr="00D03F3E">
        <w:rPr>
          <w:rFonts w:ascii="Times New Roman" w:hAnsi="Times New Roman"/>
          <w:color w:val="000000" w:themeColor="text1"/>
          <w:sz w:val="16"/>
          <w:szCs w:val="16"/>
        </w:rPr>
        <w:softHyphen/>
        <w:t>енизация судов (152 единицы), которые получили вооружение и военные команды численностью от 5 до 15 человек (3898).</w:t>
      </w:r>
    </w:p>
    <w:p w14:paraId="4C2774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A55AEF" w14:textId="77777777" w:rsidR="00D36892"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029E35B4" w14:textId="77777777" w:rsidR="00D36892" w:rsidRPr="00D03F3E" w:rsidRDefault="00D36892"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7EFAAF"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марта</w:t>
      </w:r>
      <w:r w:rsidRPr="00D03F3E">
        <w:rPr>
          <w:rFonts w:ascii="Times New Roman" w:hAnsi="Times New Roman"/>
          <w:color w:val="000000" w:themeColor="text1"/>
          <w:sz w:val="16"/>
          <w:szCs w:val="16"/>
        </w:rPr>
        <w:t xml:space="preserve"> в 1943 году утреннее сообщение Совинформбюро:</w:t>
      </w:r>
    </w:p>
    <w:p w14:paraId="4463B935"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5 марта наши войска вели наступательные бои на прежних направлениях.</w:t>
      </w:r>
    </w:p>
    <w:p w14:paraId="40C5087A"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 юго-западнее Ржева наши войска продолжали успешное наступление. Части Н-ского соединения продвинулись вперёд на 5—10 километров. Многочисленные контратаки немцев были отбиты с тяжёлыми для них потерями. На других участках наши войска заняли "42 населённых пункта и захватили большие трофеи и пленных. Овладев вчера городом Оленино, наши части с боями продвигались вперёд и заняли южнее города 10 населённых пунктов.</w:t>
      </w:r>
    </w:p>
    <w:p w14:paraId="61E2FFE4"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Н-ская часть после мощной артиллерийской подготовки овладела линией вражеских окопов. Контратаки противника успеха не имели. На поле боя осталось до 200 убитых гитлеровцев и 3 подбитых танка.</w:t>
      </w:r>
    </w:p>
    <w:p w14:paraId="5C7FCA48"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Харькова части Н-ского соединения вели наступатзльные бои. Овладев одним населённым пунктом, наши бойцы захватили 2 танкетки, броневик, 4 орудия, 3 крупнокалиберных пулемёта, склад продовольствия и фуража.</w:t>
      </w:r>
    </w:p>
    <w:p w14:paraId="2D80210C"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Льгова наши войска продвигались вперёд и заняли несколько населённых пунктов. В бою за один из этих населённых пунктов уничтожено свыше 300 немецких солдат и офицеров, сожжено и подбито 5 вражеских танков. Захвачены трофеи: 9 орудий, 13 пулемётов, 24 автомашины с различными грузами, склад мин, штабели снарядов и другое военное имущество.</w:t>
      </w:r>
    </w:p>
    <w:p w14:paraId="27808AA0"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бойцы Н-ской части, сломив упорное сопротивление гитлеровцев, овладели их укреплёнными позициями. Уничтожено более 100 немецких солдат и офицеров, захвачено 10 автомашин, 15 повозок, 3 миномёта и 13 пулемётов.</w:t>
      </w:r>
    </w:p>
    <w:p w14:paraId="0952D79F"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Минской области, в конце февраля месяца совершил налёт на гарнизон немцев. Партизаны истребили 25 гитлеровцев, в том числе 5 офицеров, и уничтожили склад противника с горючим.Советские патриоты захватили 8 пулемётов, 39 винтовок, 152 гранаты и 12 тысяч патронов.</w:t>
      </w:r>
    </w:p>
    <w:p w14:paraId="4A26AAC7"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Занятие советскими войсками города Ржева вызвало переполох среди гитлеровских заправил. 3 марта в 15 часов берлинское радио весьма кратко сообщило: «Немецкие войска в целях укорочения линии фронта эвакуировали Ржев». Буквально через десять минут эта же берлинская радиостанция опровергла сообщение об эвакуации Ржева немецкими войсками. Позднее, когда в Берлине несколько пришли в себя, появилось следующее заявление германского информационного бюро: «В ходе плановых перегруппировок на центральном участке Восточного фронта немецкие войска эвакуировали также выступающую вперёд дугу линии фронта вокруг города Ржева».</w:t>
      </w:r>
    </w:p>
    <w:p w14:paraId="48728117"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 чего знакомы эти берлинские сообщения об отступлении немецких войск «в целях сокращения линии фронта» и «в ходе плановых перегруппировок». Берлинские шулера и на сей раз пустили в ход краплёную и неоднократно битую карту. При этом гитлеровцы не дают себе труда объяснить, почему германское командование вынуждено в течение всей зимы «выравнивать», «сокращать» и «переносить» линию фронта.</w:t>
      </w:r>
    </w:p>
    <w:p w14:paraId="6BCF1F4D"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Гитлеровцы боятся сообщить населению-Германии о том, что немецко-фашистские войска не добровольно ушли, а были выбиты Красной Армией из Ржева, как и из многих других городов. Поэтому они и продолжают планомерно лгать о положении дел на советско-немецком фронте.» (15059).</w:t>
      </w:r>
    </w:p>
    <w:p w14:paraId="03F0C5E9" w14:textId="77777777" w:rsidR="00D36892" w:rsidRPr="00D03F3E" w:rsidRDefault="00D36892" w:rsidP="00D03F3E">
      <w:pPr>
        <w:spacing w:after="0" w:line="240" w:lineRule="auto"/>
        <w:jc w:val="both"/>
        <w:rPr>
          <w:rFonts w:ascii="Times New Roman" w:hAnsi="Times New Roman"/>
          <w:color w:val="000000" w:themeColor="text1"/>
          <w:sz w:val="16"/>
          <w:szCs w:val="16"/>
        </w:rPr>
      </w:pPr>
    </w:p>
    <w:p w14:paraId="46E535B7"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марта</w:t>
      </w:r>
      <w:r w:rsidRPr="00D03F3E">
        <w:rPr>
          <w:rFonts w:ascii="Times New Roman" w:hAnsi="Times New Roman"/>
          <w:color w:val="000000" w:themeColor="text1"/>
          <w:sz w:val="16"/>
          <w:szCs w:val="16"/>
        </w:rPr>
        <w:t xml:space="preserve"> в 1943 году вечернее сообщение Совинформбюро:</w:t>
      </w:r>
    </w:p>
    <w:p w14:paraId="624A7E8D"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5 марта наши войска вели наступательные бои на прежних направлениях.</w:t>
      </w:r>
    </w:p>
    <w:p w14:paraId="5EE5D597"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марта частями нашей авиации на различных участках, фронта уничтожено или повреждено до 100 автомашин с войсками и грузами, подавлен огонь 15 артиллерийских батарей и взорвано 4 склада противника с боеприпасами.</w:t>
      </w:r>
    </w:p>
    <w:p w14:paraId="323FF10D"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Ржева наши войска продолжали успешное наступление и заняли свыше 50 населённых пунктов. Немцы оказывают упорное сопротивление, действуя силами пехоты, танков и артиллерии. Наши войска взламывают оборону противника и не дают ему возможности закрепиться на выгодных рубежах. Бойцы Н-ской части, форсировав реку и овладев одним крупным населённым пунктом, уничтожили свыше 300 гитлеровцев и захватили 7 орудий, 3 миномёта и радиостанцию. На другом участке нашими подразделениями захвачены 6 танков, 60.000 патронов и другие трофеи.</w:t>
      </w:r>
    </w:p>
    <w:p w14:paraId="5A0F487A"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войска в течение дня уничтожили более 200 гитлеровцев, подбили 3 немецких танка и несколько орудий. Огнём из пехотного оружия сбито 3 немецких самолёта.</w:t>
      </w:r>
    </w:p>
    <w:p w14:paraId="175C5879"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наши части в результате упорных боёв истребили до 300 гитлеровцев, подбили 2 танка, захватили 6 пулемётов и 4 противотанковых ружья. На другом участке советские бойцы отбросили перешедшего в контратаку противника и уничтожили свыше двух взводов вражеской пехоты.</w:t>
      </w:r>
    </w:p>
    <w:p w14:paraId="4CBADFDD"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Харькова Н-ская часть разгромила батальон немецкой пехоты, захватила 4 противотанковых орудия, 11 пулемётов и 5 автомашин с боеприпасами.</w:t>
      </w:r>
    </w:p>
    <w:p w14:paraId="382B0D2F"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наши войска продолжали успешное наступление и заняли несколько населённых пунктов. На одном участке немцы, пытаясь задержать нашивойска, предприняли контратаку при поддержке танков. В результате боя сожжено 7 и подбито 3 немецких танка. В городе Севск наши части захватили 515 пленных, 4 склада с продовольствием и фуражом, много вооружения, боеприпасов и другие трофеи.</w:t>
      </w:r>
    </w:p>
    <w:p w14:paraId="66A58D21"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Льгова наши части, сломив сопротивление противника, заняли десять населённых пунктов. На поле боя осталось до 1.000 вражеских трупов. Взято в плен 650 немецких солдат и офицеров. Захвачены 16 орудий, 5 автомашин, 30 повозок, склад продовольствия и другие трофеи.</w:t>
      </w:r>
    </w:p>
    <w:p w14:paraId="782408A5"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Украины, совершил удачный налёт на железнодорожную станцию и гарнизон противника, расположенный в посёлке около станции. В ожесточённом бою партизаны истребили до 100 немецких солдат, майора и двух обер-лейтенантов. Советские патриоты уничтожили 5 складов, гараж с автомашинами, 50 тонн горючего, взорвали паровоз и два километра железнодорожного полотна. Партизаны захватили значительные трофеи.</w:t>
      </w:r>
    </w:p>
    <w:p w14:paraId="196CA418"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из участков Северо-Западного фронта взята в плен группа солдат 502 полка 290 немецкой пехотной дивизии. Пленный обер-ефрейтор 8 роты Георг Боберг рассказал: «Осенью прошлого года нашу роту посетил немецкий журналист, редактор одной из берлинских газет. Он выразил желание выслушать вопросы солдат и дать на них ответы. Солдаты задали ему вопросы: «Когда окончится война?», «Можно ли ожидать зимою крупных сражений на Восточном фронте?». Редактор ответил примерно следующее: «Скоро германская армия разобьёт русских у Сталинграда и займёт эту волжскую твердыню. Взять Сталинград — это значит наступить русским на горло. На юге немецкая армия до зимы закончит оккупацию Кавказа и захватит нефтяные источники. Тогда войну на Востоке можно будет считать в основном законченной. Располагая богатствами Юга и Кавказа, Германия получит огромные материальные ресурсы. Тогда командование оттянет с Восточного фронта не менее двух третей немецких войск на Запад и нанесёт решающий удар Англии. Сражения крупных масштабов на Восточном фронте предстоящей зимой исключены. Гитлер всё заранее предусмотрел. Русские предпримут, вероятно, операции местного значения, но не в состоянии будут что-либо изменить». Теперь, вспоминая об этом редакторе, многие солдаты говорят: «Попадись нам в руки этот болтун, мы бы его проучили» (15059).</w:t>
      </w:r>
    </w:p>
    <w:p w14:paraId="77DFF3D3" w14:textId="77777777" w:rsidR="00D36892" w:rsidRPr="00D03F3E" w:rsidRDefault="00D36892" w:rsidP="00D03F3E">
      <w:pPr>
        <w:spacing w:after="0" w:line="240" w:lineRule="auto"/>
        <w:jc w:val="both"/>
        <w:rPr>
          <w:rFonts w:ascii="Times New Roman" w:hAnsi="Times New Roman"/>
          <w:color w:val="000000" w:themeColor="text1"/>
          <w:sz w:val="16"/>
          <w:szCs w:val="16"/>
        </w:rPr>
      </w:pPr>
    </w:p>
    <w:p w14:paraId="6599CDF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587EDD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03C1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марта 1943 совершен первый полет Глостер-Метеор G.41 (237,201) F9/40 (318,232). DG 206/G (1222,30).</w:t>
      </w:r>
    </w:p>
    <w:p w14:paraId="292AE0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E7B4C7"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марта</w:t>
      </w:r>
      <w:r w:rsidRPr="00D03F3E">
        <w:rPr>
          <w:rFonts w:ascii="Times New Roman" w:hAnsi="Times New Roman"/>
          <w:color w:val="000000" w:themeColor="text1"/>
          <w:sz w:val="16"/>
          <w:szCs w:val="16"/>
        </w:rPr>
        <w:t xml:space="preserve"> в 1943 году первый полет совершил английский реактивный самолет Gloster Meteor. В годы войны "Метеоры" применялись в основном для уничтожения немецких самолётов-снарядов "Фау-1» (15059).</w:t>
      </w:r>
    </w:p>
    <w:p w14:paraId="100F3599" w14:textId="77777777" w:rsidR="00D36892" w:rsidRPr="00D03F3E" w:rsidRDefault="00D36892" w:rsidP="00D03F3E">
      <w:pPr>
        <w:spacing w:after="0" w:line="240" w:lineRule="auto"/>
        <w:jc w:val="both"/>
        <w:rPr>
          <w:rFonts w:ascii="Times New Roman" w:hAnsi="Times New Roman"/>
          <w:color w:val="000000" w:themeColor="text1"/>
          <w:sz w:val="16"/>
          <w:szCs w:val="16"/>
        </w:rPr>
      </w:pPr>
    </w:p>
    <w:p w14:paraId="3287F970"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марта</w:t>
      </w:r>
      <w:r w:rsidRPr="00D03F3E">
        <w:rPr>
          <w:rFonts w:ascii="Times New Roman" w:hAnsi="Times New Roman"/>
          <w:color w:val="000000" w:themeColor="text1"/>
          <w:sz w:val="16"/>
          <w:szCs w:val="16"/>
        </w:rPr>
        <w:t xml:space="preserve"> в 1943 году первый полёт истребителя-перехватчика </w:t>
      </w:r>
      <w:hyperlink r:id="rId82" w:tgtFrame="_blank" w:history="1">
        <w:r w:rsidRPr="00D03F3E">
          <w:rPr>
            <w:rFonts w:ascii="Times New Roman" w:hAnsi="Times New Roman"/>
            <w:color w:val="000000" w:themeColor="text1"/>
            <w:sz w:val="16"/>
            <w:szCs w:val="16"/>
          </w:rPr>
          <w:t xml:space="preserve">«Gloster» «Meteor F.I» </w:t>
        </w:r>
      </w:hyperlink>
      <w:r w:rsidRPr="00D03F3E">
        <w:rPr>
          <w:rFonts w:ascii="Times New Roman" w:hAnsi="Times New Roman"/>
          <w:color w:val="000000" w:themeColor="text1"/>
          <w:sz w:val="16"/>
          <w:szCs w:val="16"/>
        </w:rPr>
        <w:t>(разработчик: «Gloster», Великобритания) с двумя турбореактивными двигателями «Хэлфорд» «Н.1» тягой по 680 кг (15059).</w:t>
      </w:r>
    </w:p>
    <w:p w14:paraId="257902C6" w14:textId="77777777" w:rsidR="00D36892" w:rsidRPr="00D03F3E" w:rsidRDefault="00D36892" w:rsidP="00D03F3E">
      <w:pPr>
        <w:spacing w:after="0" w:line="240" w:lineRule="auto"/>
        <w:jc w:val="both"/>
        <w:rPr>
          <w:rFonts w:ascii="Times New Roman" w:hAnsi="Times New Roman"/>
          <w:color w:val="000000" w:themeColor="text1"/>
          <w:sz w:val="16"/>
          <w:szCs w:val="16"/>
        </w:rPr>
      </w:pPr>
    </w:p>
    <w:p w14:paraId="09C3838A" w14:textId="77777777" w:rsidR="00CD129D" w:rsidRPr="00D03F3E" w:rsidRDefault="00CD129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 марта1943 первый полет Gloster Meteor прототип DG206 (20376).</w:t>
      </w:r>
    </w:p>
    <w:p w14:paraId="2C99EF3E" w14:textId="77777777" w:rsidR="00CD129D" w:rsidRPr="00D03F3E" w:rsidRDefault="00CD129D" w:rsidP="00D03F3E">
      <w:pPr>
        <w:spacing w:after="0" w:line="240" w:lineRule="auto"/>
        <w:jc w:val="both"/>
        <w:rPr>
          <w:rFonts w:ascii="Times New Roman" w:hAnsi="Times New Roman"/>
          <w:color w:val="0070C0"/>
          <w:sz w:val="16"/>
          <w:szCs w:val="16"/>
        </w:rPr>
      </w:pPr>
    </w:p>
    <w:p w14:paraId="287BFA83" w14:textId="77777777" w:rsidR="00CD129D" w:rsidRPr="00D03F3E" w:rsidRDefault="00CD129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 марта 1943 года — первый полёт реактивного истребителя Gloster Meteor. /Великобритания/</w:t>
      </w:r>
    </w:p>
    <w:p w14:paraId="37463707" w14:textId="77777777" w:rsidR="00CD129D" w:rsidRPr="00D03F3E" w:rsidRDefault="00CD129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Британская реактивная программа началась с постройки экспериментального самолёта Gloster E.28/39. Полученный опыт позволил Gloster Aircraft в 1940 году предложить проект двухдвигательного реактивного истребителя G.41 Thunderbolt. Позже имя сменили на Meteor.</w:t>
      </w:r>
    </w:p>
    <w:p w14:paraId="1BB9CD4E" w14:textId="77777777" w:rsidR="00CD129D" w:rsidRPr="00D03F3E" w:rsidRDefault="00CD129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Это был цельнометаллический среднеплан с крестообразным хвостовым оперением и убирающимся шасси. На первых самолётах устанавливались двигатели Rolls-Royce RB.23 Welland, позже их заменили Rolls-Royce Derwent. Максимальная скорость (для модификации F.Mk.I) — 676 км/ч, дальность полёта — 2000 км. Вооружение — 4 × 20-мм пушки.</w:t>
      </w:r>
    </w:p>
    <w:p w14:paraId="4205E0EF" w14:textId="77777777" w:rsidR="00CD129D" w:rsidRPr="00D03F3E" w:rsidRDefault="00CD129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Gloster Meteor стал первым реактивным истребителем Королевских ВВС. С 1944 по 1955 годы было выпущено 3947 «Метеоров» различных модификаций. Стоял на вооружении 17 стран мира — Австралии, Франции, Бразилии, Израиля и др. Сегодня самолёт можно встретить в музеях, а 5 Meteor'ов находятся в лётном состоянии (22300).</w:t>
      </w:r>
    </w:p>
    <w:p w14:paraId="7693021E" w14:textId="77777777" w:rsidR="00CD129D" w:rsidRPr="00D03F3E" w:rsidRDefault="00CD129D" w:rsidP="00D03F3E">
      <w:pPr>
        <w:spacing w:after="0" w:line="240" w:lineRule="auto"/>
        <w:jc w:val="both"/>
        <w:rPr>
          <w:rFonts w:ascii="Times New Roman" w:hAnsi="Times New Roman"/>
          <w:color w:val="0070C0"/>
          <w:sz w:val="16"/>
          <w:szCs w:val="16"/>
        </w:rPr>
      </w:pPr>
    </w:p>
    <w:p w14:paraId="6C8AFF89" w14:textId="77777777" w:rsidR="00CD129D" w:rsidRPr="00D03F3E" w:rsidRDefault="00CD129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 марта 1943 двенадцать немецких бомбардировщиков Heinkel He 111 атаковали конвой RA-53 во время его рейса из Мурманска в Советском Союзе в Лох-Эве, Шотландия, но не нанесли повреждений (20376).</w:t>
      </w:r>
    </w:p>
    <w:p w14:paraId="2B7A2248" w14:textId="77777777" w:rsidR="00CD129D" w:rsidRPr="00D03F3E" w:rsidRDefault="00CD129D" w:rsidP="00D03F3E">
      <w:pPr>
        <w:spacing w:after="0" w:line="240" w:lineRule="auto"/>
        <w:jc w:val="both"/>
        <w:rPr>
          <w:rFonts w:ascii="Times New Roman" w:hAnsi="Times New Roman"/>
          <w:color w:val="0070C0"/>
          <w:sz w:val="16"/>
          <w:szCs w:val="16"/>
        </w:rPr>
      </w:pPr>
    </w:p>
    <w:p w14:paraId="0781F336" w14:textId="77777777" w:rsidR="00CD129D" w:rsidRPr="00D03F3E" w:rsidRDefault="00CD129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 марта 1943 в северной части Атлантического океана первая противолодочная группа охотников ВМС США началя боевые действия с эскортного авианосца USS Bogue и находящихся на его борту самолеты Composite Squadron 9 (VC-9) (20376).</w:t>
      </w:r>
    </w:p>
    <w:p w14:paraId="1F5C03EF" w14:textId="77777777" w:rsidR="00CD129D" w:rsidRPr="00D03F3E" w:rsidRDefault="00CD129D" w:rsidP="00D03F3E">
      <w:pPr>
        <w:spacing w:after="0" w:line="240" w:lineRule="auto"/>
        <w:jc w:val="both"/>
        <w:rPr>
          <w:rFonts w:ascii="Times New Roman" w:hAnsi="Times New Roman"/>
          <w:color w:val="0070C0"/>
          <w:sz w:val="16"/>
          <w:szCs w:val="16"/>
        </w:rPr>
      </w:pPr>
    </w:p>
    <w:p w14:paraId="280FACD6" w14:textId="77777777" w:rsidR="00CD129D" w:rsidRPr="00D03F3E" w:rsidRDefault="00CD129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5–6 марта (ночь) 1943 Командование бомбардировщиков Королевских ВВС начинает бомбардировку Рурской области Германии, совершив налет на Эссен с использованием маркировки гобой. Известная как Рурская битва, она продлится до середины июля. Первый рейд разрушил 53 здания в комплексе Krupp и разрушил 160 акров (65 га ) Эссена (20376).</w:t>
      </w:r>
    </w:p>
    <w:p w14:paraId="7C664C61" w14:textId="77777777" w:rsidR="00CD129D" w:rsidRPr="00D03F3E" w:rsidRDefault="00CD129D" w:rsidP="00D03F3E">
      <w:pPr>
        <w:spacing w:after="0" w:line="240" w:lineRule="auto"/>
        <w:jc w:val="both"/>
        <w:rPr>
          <w:rFonts w:ascii="Times New Roman" w:hAnsi="Times New Roman"/>
          <w:color w:val="0070C0"/>
          <w:sz w:val="16"/>
          <w:szCs w:val="16"/>
        </w:rPr>
      </w:pPr>
    </w:p>
    <w:p w14:paraId="2E6C2B8A"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марта</w:t>
      </w:r>
      <w:r w:rsidRPr="00D03F3E">
        <w:rPr>
          <w:rFonts w:ascii="Times New Roman" w:hAnsi="Times New Roman"/>
          <w:color w:val="000000" w:themeColor="text1"/>
          <w:sz w:val="16"/>
          <w:szCs w:val="16"/>
        </w:rPr>
        <w:t xml:space="preserve"> в 1943 году авиационный налет британских ВВС на предприятия Круппа в Эссене (15059).</w:t>
      </w:r>
    </w:p>
    <w:p w14:paraId="06CF1D29" w14:textId="77777777" w:rsidR="00D36892" w:rsidRPr="00D03F3E" w:rsidRDefault="00D36892" w:rsidP="00D03F3E">
      <w:pPr>
        <w:spacing w:after="0" w:line="240" w:lineRule="auto"/>
        <w:jc w:val="both"/>
        <w:rPr>
          <w:rFonts w:ascii="Times New Roman" w:hAnsi="Times New Roman"/>
          <w:color w:val="000000" w:themeColor="text1"/>
          <w:sz w:val="16"/>
          <w:szCs w:val="16"/>
        </w:rPr>
      </w:pPr>
    </w:p>
    <w:p w14:paraId="529E611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20FECB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D97B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Нач. производственного отдела 10 ГУ Беренсон писал в Секретариат НКАП Фирсаеву:</w:t>
      </w:r>
    </w:p>
    <w:p w14:paraId="577319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"Сообщаю Вам по вопросу установки ВМШ-2 на Ил-2:</w:t>
      </w:r>
    </w:p>
    <w:p w14:paraId="75ABA8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НКАП А.И.Кузнецовым и П.А.Ворониным завизирован проект постановления ГОКО о сроках выпуска Ил-2 с ВМШ-2.</w:t>
      </w:r>
    </w:p>
    <w:p w14:paraId="5576D2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силу этого проект приказа по НКАП будет представлен НКАП после выхода в свет постановления ГОКО." (1767,45).</w:t>
      </w:r>
    </w:p>
    <w:p w14:paraId="4A6FBA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на заводе 156 бригада мотористов начала работы по компоновке на серийном Ту-2 модернизированных двигателей М-82ФНВ и решили выяснить причины недобора максимальной скорости на высоте (1835,25).</w:t>
      </w:r>
    </w:p>
    <w:p w14:paraId="3B4187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EE65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А.И.Ш. и С.В.И. писали И.В.С. письмо N 1132:</w:t>
      </w:r>
    </w:p>
    <w:p w14:paraId="63C2B6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"Посылаю Вам:</w:t>
      </w:r>
    </w:p>
    <w:p w14:paraId="3FE2B2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проект постановлению ГКО обо оборудовании самолетов Ил-2 АМ-38Ф подвесными бензобаками, сбрасываемыми в полете, общей емкостью 200 кг, что увеличивает практическую дальность Ил-2 на 200 км.</w:t>
      </w:r>
    </w:p>
    <w:p w14:paraId="76E743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проект постановления ГКО о постройке на заводе 39 двух самолетов Ил-6 (модификация Ил-4) с моторами М-30Б</w:t>
      </w:r>
    </w:p>
    <w:p w14:paraId="211A2A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Ил-6 с М-30Б будет иметь макс. дальность с одной тонной бомб - 4500 км</w:t>
      </w:r>
    </w:p>
    <w:p w14:paraId="03DDD8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Резолюция: Утверждено пост. ГКО N 2998, 2999сс от 7 марта 1943 и от 7 марта 1943 - подпись Фирсанова (1686,57).</w:t>
      </w:r>
    </w:p>
    <w:p w14:paraId="70BE08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ГКО</w:t>
      </w:r>
    </w:p>
    <w:p w14:paraId="455293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 увеличении дальности самолета Ил-2 АМ-38Ф</w:t>
      </w:r>
    </w:p>
    <w:p w14:paraId="0BE207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ГКО постановляет:</w:t>
      </w:r>
    </w:p>
    <w:p w14:paraId="794345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Наркомавиапром - А.И.Ш., ГК С.В.И. самолеты Ил-2 АМ-38Ф выпускать оборудованными подвесными топливными баками, сбрасываемыми в полете общей емкостью 200 кг. для подвески на наружные бомбовые замки</w:t>
      </w:r>
    </w:p>
    <w:p w14:paraId="24CD16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Установить выпуск самолетов Ил-2 АМ-38Ф, оборудованных под подвесные баки:</w:t>
      </w:r>
    </w:p>
    <w:p w14:paraId="6ADAEF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заводу 1 - в апреле 200 и с 1 мая все</w:t>
      </w:r>
    </w:p>
    <w:p w14:paraId="6C2533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заводу 18 - в апреле 200 и с 1 мая все (1686,57).</w:t>
      </w:r>
    </w:p>
    <w:p w14:paraId="6A27BF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ГКО</w:t>
      </w:r>
    </w:p>
    <w:p w14:paraId="11D826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постройке самолетов Ил-6 с дизель-моторами М-30Б</w:t>
      </w:r>
    </w:p>
    <w:p w14:paraId="2C3743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НКАП А.И.Ш., ГК С.В.И., директора завода 39 Абрамова построить на заводе 39 2 самолета Ил-6 с М-30Б и выпустить их на заводские испытания:</w:t>
      </w:r>
    </w:p>
    <w:p w14:paraId="5F1E48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1 апреля 1943</w:t>
      </w:r>
    </w:p>
    <w:p w14:paraId="27CD5A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15 апреля 1943</w:t>
      </w:r>
    </w:p>
    <w:p w14:paraId="0C218F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Утвердить следующие данные самолета Ил-6 с дизель-моторами М-30Б</w:t>
      </w:r>
    </w:p>
    <w:p w14:paraId="7E8C80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наибольшая дальность на скорости 325 км/час при 10% запасе горючего и бомбовой нагрузкой 1000 кг - 4500 км</w:t>
      </w:r>
    </w:p>
    <w:p w14:paraId="6F3989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нормальная дальность при бомбовой нагрузке 1500 кг - 2000 км</w:t>
      </w:r>
    </w:p>
    <w:p w14:paraId="0D6C9C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скорость макс. с нагрузкой 4000 кг - 420 км/час</w:t>
      </w:r>
    </w:p>
    <w:p w14:paraId="1AC8CA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дальность при этой нагрузке - 1500 км (1686,57).</w:t>
      </w:r>
    </w:p>
    <w:p w14:paraId="240AA2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1809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года зам. наркома Авиапрома Кузнецов писал письмо N Н-35/919 гл. конструктору завода N 240 С.В.И. и директору заводов N 23, 39, 126.</w:t>
      </w:r>
    </w:p>
    <w:p w14:paraId="0026CE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 требованием ГУЗ и АДД ВВС, прошу выслать заводам листок изменений на дополнительную установку вариометров со шкалой 10 м/с по самолету ИЛ-4 в кабине штурмана, а директорам заводов установить сроки перехода на выпуск самолета ИЛ-4 с двумя вариометрами.</w:t>
      </w:r>
    </w:p>
    <w:p w14:paraId="6BC692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Переход на установку вариометров со шкалой 10 м/с осуществлять только по использовании всего наличия вариометров со шкалой 30 м/с, имеющегося на самолетных заводах.</w:t>
      </w:r>
    </w:p>
    <w:p w14:paraId="3BDD20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Вашем указании прошу уведомить (1775,7).</w:t>
      </w:r>
    </w:p>
    <w:p w14:paraId="2D25CD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4107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вышел приказ НКАП N 133:</w:t>
      </w:r>
    </w:p>
    <w:p w14:paraId="3FC379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"...Начальнику ЛИИ в пятидневный срок принять самолет Ту-2 N 717 в г. Омске и срочно перегнать его в Раменское.</w:t>
      </w:r>
    </w:p>
    <w:p w14:paraId="492009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Испытания закончить в 3 месяца</w:t>
      </w:r>
    </w:p>
    <w:p w14:paraId="6D2079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Работу по повышению максимальных скоростей самолета 103В продолжить в г. Омске. Отчет представить к 15 апреля 1943...</w:t>
      </w:r>
    </w:p>
    <w:p w14:paraId="11F472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Директору завода 19 отгрузить в г. Омск к 15 марта 1943 3 мотора М-82ФНВ (1835,25).</w:t>
      </w:r>
    </w:p>
    <w:p w14:paraId="69CF89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D1E0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согласно записи в журнале наблюдения за проектированием, постройкой и испытаниями МиГ-5 2АМ-37 и 2М-82 25 февраля 1943 карбюраторы сняты с обоих моторов 2 экз. ДИС (МиГ-5) с М-82 и отправлены в ЦИАМ на перерегулировку. По этой причине полетов не было (из донесения Князева от 27 февраля 1943) (990,8).</w:t>
      </w:r>
    </w:p>
    <w:p w14:paraId="6394DC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D55D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6 марта 1943 вышло Постановление ГКО № 2984 О выпуске самолетов и моторов заводами Наркомавиапрома.РГАНИР, Фонд ГКО, д. 95, лл. 1, 2-5 (11012).</w:t>
      </w:r>
    </w:p>
    <w:p w14:paraId="7475BE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1B477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059174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415F01" w14:textId="77777777" w:rsidR="00996E74" w:rsidRPr="00D03F3E" w:rsidRDefault="00996E7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года по решению ГКО СССР заводу № 102 было приказано произвести в марте невозможное — 420 т иприта и 100 т люизита. Данные комиссии указывают, что даже в ее присутствии… производство иприта (цех № 4) и наполнение им боеприпасов (отделения цеха № 5) совершались со всеми мыслимыми и немыслимыми нарушениями (плохая герметизация аппаратуры, постоянные разливы иприта на пол, долив иприта и люизита в снаряды и бомбы «с помощью кружек и чайников», течь ОВ из боеприпасов, передача резиновых сапог из смены в смену без дегазации, отсутствие портянок и импрегнированного белья, нерегулярная работа душа, неудовлетворительная работа вытяжной вентиляции, использование на работах с ОВ неполноценных по здоровью работников, отсутствие расследования смертельных случаев профотравлений, неполная выдача спецпитания работникам, необеспечение больных этим спецпитанием). Среди прочего, в том акте было указано о 76 учтенных в медсанчасти завода (в отделе техники безопасности завода цифры были совсем другие) случаях острого отравления людей в течение I квартала 1943 г. Говорилось о переводе за тот период 17 отравленных в профинвалиды. Упоминалось и о 8 случаях смерти в течение все того же I квартала 1943 года — трех рабочих в цехе № 4 (изготовление иприта) и пяти рабочих в цехе № 5 (разлив иприта, люизита и их смесей по химбоеприпасам). Назовем фамилии тех 8 погибших людей (больше это сделать некому): Лекарев Н. (20 лет), Кускова А. (21 год), Хусудинов З., Каштанова (30 лет), Окаев А. (77 лет), Шашков (52 года), Савельев, Жихарев (их возраст в документах не указан)».</w:t>
      </w:r>
    </w:p>
    <w:p w14:paraId="3EE68E71" w14:textId="77777777" w:rsidR="00996E74" w:rsidRPr="00D03F3E" w:rsidRDefault="00996E7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Только на рубеже 1944 и 1945 годов темпы выпуска советского химического оружия стали наконец-то снижаться (18649).</w:t>
      </w:r>
    </w:p>
    <w:p w14:paraId="2DF3602A" w14:textId="77777777" w:rsidR="00996E74" w:rsidRPr="00D03F3E" w:rsidRDefault="00996E74" w:rsidP="00D03F3E">
      <w:pPr>
        <w:spacing w:after="0" w:line="240" w:lineRule="auto"/>
        <w:jc w:val="both"/>
        <w:rPr>
          <w:rFonts w:ascii="Times New Roman" w:hAnsi="Times New Roman"/>
          <w:color w:val="000000" w:themeColor="text1"/>
          <w:sz w:val="16"/>
          <w:szCs w:val="16"/>
        </w:rPr>
      </w:pPr>
    </w:p>
    <w:p w14:paraId="6CBD00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6 марта 1943 г. была подготовлена СПРАВКА ЗАМЕСТИТЕЛЯ НАЧАЛЬНИКА ТАНКОВОГО УПРАВЛЕНИЯ ГБТУ КА ЗАМЕСТИТЕЛЮ ПРЕДСЕДАТЕЛЯ СНК СССР МАЛЫШЕВУ О СТОИМОСТИ ТАНКОВ № 1149367 </w:t>
      </w:r>
    </w:p>
    <w:p w14:paraId="29C16A0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Представляю Вам справку о стоимости танков КВ-1с, КВ-8с, Т-34, Т-70, их вооружения и оптики.</w:t>
      </w:r>
    </w:p>
    <w:tbl>
      <w:tblPr>
        <w:tblW w:w="0" w:type="auto"/>
        <w:tblInd w:w="40" w:type="dxa"/>
        <w:tblLayout w:type="fixed"/>
        <w:tblCellMar>
          <w:left w:w="40" w:type="dxa"/>
          <w:right w:w="40" w:type="dxa"/>
        </w:tblCellMar>
        <w:tblLook w:val="0000" w:firstRow="0" w:lastRow="0" w:firstColumn="0" w:lastColumn="0" w:noHBand="0" w:noVBand="0"/>
      </w:tblPr>
      <w:tblGrid>
        <w:gridCol w:w="1152"/>
        <w:gridCol w:w="1968"/>
        <w:gridCol w:w="1786"/>
        <w:gridCol w:w="1008"/>
        <w:gridCol w:w="1018"/>
        <w:gridCol w:w="1018"/>
        <w:gridCol w:w="1450"/>
      </w:tblGrid>
      <w:tr w:rsidR="00860B4B" w:rsidRPr="00D03F3E" w14:paraId="4679176D" w14:textId="77777777">
        <w:trPr>
          <w:trHeight w:val="547"/>
        </w:trPr>
        <w:tc>
          <w:tcPr>
            <w:tcW w:w="1152" w:type="dxa"/>
            <w:tcBorders>
              <w:top w:val="single" w:sz="6" w:space="0" w:color="auto"/>
              <w:left w:val="single" w:sz="6" w:space="0" w:color="auto"/>
              <w:bottom w:val="single" w:sz="6" w:space="0" w:color="auto"/>
              <w:right w:val="single" w:sz="6" w:space="0" w:color="auto"/>
            </w:tcBorders>
          </w:tcPr>
          <w:p w14:paraId="7C0D89A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машины</w:t>
            </w:r>
          </w:p>
          <w:p w14:paraId="2E668FD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2FA9836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Стоимость танков без вооружения и оптики</w:t>
            </w:r>
          </w:p>
          <w:p w14:paraId="1523AF4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150850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Стоимость вооружения и оптики</w:t>
            </w:r>
          </w:p>
          <w:p w14:paraId="7AFE3A9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61ACD2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Стоимость рации</w:t>
            </w:r>
          </w:p>
          <w:p w14:paraId="4D3C6B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1E908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Стоимость корпуса с башней</w:t>
            </w:r>
          </w:p>
          <w:p w14:paraId="03F6E3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17C9B8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Стоимость мотора</w:t>
            </w:r>
          </w:p>
          <w:p w14:paraId="146888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09512D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Стоимость траков</w:t>
            </w:r>
          </w:p>
          <w:p w14:paraId="0A4650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52687FD" w14:textId="77777777">
        <w:trPr>
          <w:trHeight w:val="422"/>
        </w:trPr>
        <w:tc>
          <w:tcPr>
            <w:tcW w:w="1152" w:type="dxa"/>
            <w:tcBorders>
              <w:top w:val="single" w:sz="6" w:space="0" w:color="auto"/>
              <w:left w:val="single" w:sz="6" w:space="0" w:color="auto"/>
              <w:bottom w:val="single" w:sz="6" w:space="0" w:color="auto"/>
              <w:right w:val="single" w:sz="6" w:space="0" w:color="auto"/>
            </w:tcBorders>
          </w:tcPr>
          <w:p w14:paraId="2E84863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КБ- 1с</w:t>
            </w:r>
          </w:p>
          <w:p w14:paraId="2D1EC39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1042C4F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225000</w:t>
            </w:r>
          </w:p>
          <w:p w14:paraId="6C89E46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010D47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32287-95</w:t>
            </w:r>
          </w:p>
          <w:p w14:paraId="757BBC0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6E8646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12000</w:t>
            </w:r>
          </w:p>
          <w:p w14:paraId="3C60BA5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65D90C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65000</w:t>
            </w:r>
          </w:p>
          <w:p w14:paraId="52C03D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3FB6C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27000</w:t>
            </w:r>
          </w:p>
          <w:p w14:paraId="4F80AA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6236AC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Трак-105 р Палец -8р.</w:t>
            </w:r>
          </w:p>
          <w:p w14:paraId="67C53F9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D0E8443" w14:textId="77777777">
        <w:trPr>
          <w:trHeight w:val="432"/>
        </w:trPr>
        <w:tc>
          <w:tcPr>
            <w:tcW w:w="1152" w:type="dxa"/>
            <w:tcBorders>
              <w:top w:val="single" w:sz="6" w:space="0" w:color="auto"/>
              <w:left w:val="single" w:sz="6" w:space="0" w:color="auto"/>
              <w:bottom w:val="single" w:sz="6" w:space="0" w:color="auto"/>
              <w:right w:val="single" w:sz="6" w:space="0" w:color="auto"/>
            </w:tcBorders>
          </w:tcPr>
          <w:p w14:paraId="023BA4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КВ-8с</w:t>
            </w:r>
          </w:p>
          <w:p w14:paraId="4522365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4C8C57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234000</w:t>
            </w:r>
          </w:p>
          <w:p w14:paraId="3EFDA9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246F55A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27033-03</w:t>
            </w:r>
          </w:p>
          <w:p w14:paraId="5E34F1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033102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12000</w:t>
            </w:r>
          </w:p>
          <w:p w14:paraId="31FEB0C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12D1C1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65000</w:t>
            </w:r>
          </w:p>
          <w:p w14:paraId="13F83BB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5179F8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27000</w:t>
            </w:r>
          </w:p>
          <w:p w14:paraId="664F62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0E7316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Трак- 105 р Палец - 8 р.</w:t>
            </w:r>
          </w:p>
          <w:p w14:paraId="7022AB3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1915F4C" w14:textId="77777777">
        <w:trPr>
          <w:trHeight w:val="432"/>
        </w:trPr>
        <w:tc>
          <w:tcPr>
            <w:tcW w:w="1152" w:type="dxa"/>
            <w:tcBorders>
              <w:top w:val="single" w:sz="6" w:space="0" w:color="auto"/>
              <w:left w:val="single" w:sz="6" w:space="0" w:color="auto"/>
              <w:bottom w:val="nil"/>
              <w:right w:val="single" w:sz="6" w:space="0" w:color="auto"/>
            </w:tcBorders>
          </w:tcPr>
          <w:p w14:paraId="30F4FC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Т-34л</w:t>
            </w:r>
          </w:p>
          <w:p w14:paraId="4179F0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7E07AA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135000 (завод №183)</w:t>
            </w:r>
          </w:p>
          <w:p w14:paraId="07202FB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78D36F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25589-09 с ПТ-К</w:t>
            </w:r>
          </w:p>
          <w:p w14:paraId="626F09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nil"/>
              <w:right w:val="single" w:sz="6" w:space="0" w:color="auto"/>
            </w:tcBorders>
          </w:tcPr>
          <w:p w14:paraId="58DC7B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3300</w:t>
            </w:r>
          </w:p>
          <w:p w14:paraId="1D8166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nil"/>
              <w:right w:val="single" w:sz="6" w:space="0" w:color="auto"/>
            </w:tcBorders>
          </w:tcPr>
          <w:p w14:paraId="084AEC9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45000</w:t>
            </w:r>
          </w:p>
          <w:p w14:paraId="3D63C0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nil"/>
              <w:right w:val="single" w:sz="6" w:space="0" w:color="auto"/>
            </w:tcBorders>
          </w:tcPr>
          <w:p w14:paraId="36CB0F4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27000</w:t>
            </w:r>
          </w:p>
          <w:p w14:paraId="27161A3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nil"/>
              <w:right w:val="single" w:sz="6" w:space="0" w:color="auto"/>
            </w:tcBorders>
          </w:tcPr>
          <w:p w14:paraId="15F8A0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 р. 75 с греб. 36 р.80 без греб. 18 р.60 шпоры 2 р.40 палец</w:t>
            </w:r>
          </w:p>
          <w:p w14:paraId="7E3BA7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6CB9F20" w14:textId="77777777">
        <w:trPr>
          <w:trHeight w:val="432"/>
        </w:trPr>
        <w:tc>
          <w:tcPr>
            <w:tcW w:w="1152" w:type="dxa"/>
            <w:tcBorders>
              <w:top w:val="nil"/>
              <w:left w:val="single" w:sz="6" w:space="0" w:color="auto"/>
              <w:bottom w:val="single" w:sz="6" w:space="0" w:color="auto"/>
              <w:right w:val="single" w:sz="6" w:space="0" w:color="auto"/>
            </w:tcBorders>
          </w:tcPr>
          <w:p w14:paraId="5101DA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349F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30E827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162000 (заводы №112, 174УЗТМиКир.)</w:t>
            </w:r>
          </w:p>
          <w:p w14:paraId="55471D3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2438D3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25614-07 с ПТ-4-7</w:t>
            </w:r>
          </w:p>
          <w:p w14:paraId="331592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5DA379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8638C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nil"/>
              <w:right w:val="single" w:sz="6" w:space="0" w:color="auto"/>
            </w:tcBorders>
          </w:tcPr>
          <w:p w14:paraId="2F3CCD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A7BC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nil"/>
              <w:right w:val="single" w:sz="6" w:space="0" w:color="auto"/>
            </w:tcBorders>
          </w:tcPr>
          <w:p w14:paraId="1FEAC52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9ACC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nil"/>
              <w:left w:val="single" w:sz="6" w:space="0" w:color="auto"/>
              <w:bottom w:val="nil"/>
              <w:right w:val="single" w:sz="6" w:space="0" w:color="auto"/>
            </w:tcBorders>
          </w:tcPr>
          <w:p w14:paraId="29A9E7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2F7C9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9D5E6FE" w14:textId="77777777">
        <w:trPr>
          <w:trHeight w:val="432"/>
        </w:trPr>
        <w:tc>
          <w:tcPr>
            <w:tcW w:w="1152" w:type="dxa"/>
            <w:tcBorders>
              <w:top w:val="single" w:sz="6" w:space="0" w:color="auto"/>
              <w:left w:val="single" w:sz="6" w:space="0" w:color="auto"/>
              <w:bottom w:val="nil"/>
              <w:right w:val="single" w:sz="6" w:space="0" w:color="auto"/>
            </w:tcBorders>
          </w:tcPr>
          <w:p w14:paraId="1CA442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Т-34р</w:t>
            </w:r>
          </w:p>
          <w:p w14:paraId="648E70D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478C791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139500 (завод №183)</w:t>
            </w:r>
          </w:p>
          <w:p w14:paraId="730D76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66886AA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25589-09 с ПТ-К</w:t>
            </w:r>
          </w:p>
          <w:p w14:paraId="1A70C4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7340FC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3563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nil"/>
              <w:right w:val="single" w:sz="6" w:space="0" w:color="auto"/>
            </w:tcBorders>
          </w:tcPr>
          <w:p w14:paraId="5E2E62A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8B5B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nil"/>
              <w:right w:val="single" w:sz="6" w:space="0" w:color="auto"/>
            </w:tcBorders>
          </w:tcPr>
          <w:p w14:paraId="614474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2EE2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nil"/>
              <w:left w:val="single" w:sz="6" w:space="0" w:color="auto"/>
              <w:bottom w:val="nil"/>
              <w:right w:val="single" w:sz="6" w:space="0" w:color="auto"/>
            </w:tcBorders>
          </w:tcPr>
          <w:p w14:paraId="13A4CC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422D7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A7BC154" w14:textId="77777777">
        <w:trPr>
          <w:trHeight w:val="442"/>
        </w:trPr>
        <w:tc>
          <w:tcPr>
            <w:tcW w:w="1152" w:type="dxa"/>
            <w:tcBorders>
              <w:top w:val="nil"/>
              <w:left w:val="single" w:sz="6" w:space="0" w:color="auto"/>
              <w:bottom w:val="single" w:sz="6" w:space="0" w:color="auto"/>
              <w:right w:val="single" w:sz="6" w:space="0" w:color="auto"/>
            </w:tcBorders>
          </w:tcPr>
          <w:p w14:paraId="4E0B9F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E55E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3073C5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166500 (заводы №112, 174УЗТМИ Кир.)</w:t>
            </w:r>
          </w:p>
          <w:p w14:paraId="647375C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3C7B58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25614-07 с ПТ-4-7</w:t>
            </w:r>
          </w:p>
          <w:p w14:paraId="63039E1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1CD5638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58E7B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nil"/>
              <w:right w:val="single" w:sz="6" w:space="0" w:color="auto"/>
            </w:tcBorders>
          </w:tcPr>
          <w:p w14:paraId="0ABE73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5B56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nil"/>
              <w:right w:val="single" w:sz="6" w:space="0" w:color="auto"/>
            </w:tcBorders>
          </w:tcPr>
          <w:p w14:paraId="161339E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A244D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nil"/>
              <w:left w:val="single" w:sz="6" w:space="0" w:color="auto"/>
              <w:bottom w:val="nil"/>
              <w:right w:val="single" w:sz="6" w:space="0" w:color="auto"/>
            </w:tcBorders>
          </w:tcPr>
          <w:p w14:paraId="3E37BC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5016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E6AF4FD" w14:textId="77777777">
        <w:trPr>
          <w:trHeight w:val="432"/>
        </w:trPr>
        <w:tc>
          <w:tcPr>
            <w:tcW w:w="1152" w:type="dxa"/>
            <w:tcBorders>
              <w:top w:val="single" w:sz="6" w:space="0" w:color="auto"/>
              <w:left w:val="single" w:sz="6" w:space="0" w:color="auto"/>
              <w:bottom w:val="nil"/>
              <w:right w:val="single" w:sz="6" w:space="0" w:color="auto"/>
            </w:tcBorders>
          </w:tcPr>
          <w:p w14:paraId="08B4A0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Т-О34</w:t>
            </w:r>
          </w:p>
          <w:p w14:paraId="147F8CA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7C429C5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144000 (завод №183)</w:t>
            </w:r>
          </w:p>
          <w:p w14:paraId="22744A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6252B17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71 1-84 с ПТ-К</w:t>
            </w:r>
          </w:p>
          <w:p w14:paraId="196E8E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4155ED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8BC73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nil"/>
              <w:right w:val="single" w:sz="6" w:space="0" w:color="auto"/>
            </w:tcBorders>
          </w:tcPr>
          <w:p w14:paraId="45653E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2ADB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nil"/>
              <w:right w:val="single" w:sz="6" w:space="0" w:color="auto"/>
            </w:tcBorders>
          </w:tcPr>
          <w:p w14:paraId="7F3FA7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12A3B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nil"/>
              <w:left w:val="single" w:sz="6" w:space="0" w:color="auto"/>
              <w:bottom w:val="nil"/>
              <w:right w:val="single" w:sz="6" w:space="0" w:color="auto"/>
            </w:tcBorders>
          </w:tcPr>
          <w:p w14:paraId="0E1FD4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296D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DA89237" w14:textId="77777777">
        <w:trPr>
          <w:trHeight w:val="442"/>
        </w:trPr>
        <w:tc>
          <w:tcPr>
            <w:tcW w:w="1152" w:type="dxa"/>
            <w:tcBorders>
              <w:top w:val="nil"/>
              <w:left w:val="single" w:sz="6" w:space="0" w:color="auto"/>
              <w:bottom w:val="single" w:sz="6" w:space="0" w:color="auto"/>
              <w:right w:val="single" w:sz="6" w:space="0" w:color="auto"/>
            </w:tcBorders>
          </w:tcPr>
          <w:p w14:paraId="58456A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0BBE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2F85D2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171000 (завод №112, 174, УЗТМ и Кир.)</w:t>
            </w:r>
          </w:p>
          <w:p w14:paraId="3BF8E95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571BBC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31836-82 с ПТ-4-7</w:t>
            </w:r>
          </w:p>
          <w:p w14:paraId="5E294E7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single" w:sz="6" w:space="0" w:color="auto"/>
              <w:right w:val="single" w:sz="6" w:space="0" w:color="auto"/>
            </w:tcBorders>
          </w:tcPr>
          <w:p w14:paraId="71B3FF7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5BBEE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single" w:sz="6" w:space="0" w:color="auto"/>
              <w:right w:val="single" w:sz="6" w:space="0" w:color="auto"/>
            </w:tcBorders>
          </w:tcPr>
          <w:p w14:paraId="57B7CC4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24C5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single" w:sz="6" w:space="0" w:color="auto"/>
              <w:right w:val="single" w:sz="6" w:space="0" w:color="auto"/>
            </w:tcBorders>
          </w:tcPr>
          <w:p w14:paraId="3ABE019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5094E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nil"/>
              <w:left w:val="single" w:sz="6" w:space="0" w:color="auto"/>
              <w:bottom w:val="single" w:sz="6" w:space="0" w:color="auto"/>
              <w:right w:val="single" w:sz="6" w:space="0" w:color="auto"/>
            </w:tcBorders>
          </w:tcPr>
          <w:p w14:paraId="7C6CB2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13BF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A642A0E" w14:textId="77777777">
        <w:trPr>
          <w:trHeight w:val="384"/>
        </w:trPr>
        <w:tc>
          <w:tcPr>
            <w:tcW w:w="1152" w:type="dxa"/>
            <w:tcBorders>
              <w:top w:val="single" w:sz="6" w:space="0" w:color="auto"/>
              <w:left w:val="single" w:sz="6" w:space="0" w:color="auto"/>
              <w:bottom w:val="single" w:sz="6" w:space="0" w:color="auto"/>
              <w:right w:val="single" w:sz="6" w:space="0" w:color="auto"/>
            </w:tcBorders>
          </w:tcPr>
          <w:p w14:paraId="66FE03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Т-70л</w:t>
            </w:r>
          </w:p>
          <w:p w14:paraId="39DAFB3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20E408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61300</w:t>
            </w:r>
          </w:p>
          <w:p w14:paraId="673762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52D588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7702-80</w:t>
            </w:r>
          </w:p>
          <w:p w14:paraId="64D1E63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nil"/>
              <w:right w:val="single" w:sz="6" w:space="0" w:color="auto"/>
            </w:tcBorders>
          </w:tcPr>
          <w:p w14:paraId="6379B7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3300</w:t>
            </w:r>
          </w:p>
          <w:p w14:paraId="4F7BDC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nil"/>
              <w:right w:val="single" w:sz="6" w:space="0" w:color="auto"/>
            </w:tcBorders>
          </w:tcPr>
          <w:p w14:paraId="5DCE93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12500</w:t>
            </w:r>
          </w:p>
          <w:p w14:paraId="58F0D8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nil"/>
              <w:right w:val="single" w:sz="6" w:space="0" w:color="auto"/>
            </w:tcBorders>
          </w:tcPr>
          <w:p w14:paraId="2AA109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7000</w:t>
            </w:r>
          </w:p>
          <w:p w14:paraId="7EF5D8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nil"/>
              <w:right w:val="single" w:sz="6" w:space="0" w:color="auto"/>
            </w:tcBorders>
          </w:tcPr>
          <w:p w14:paraId="38807D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р. звено 1 р. палец</w:t>
            </w:r>
          </w:p>
          <w:p w14:paraId="346AA5B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C12DFF4" w14:textId="77777777">
        <w:trPr>
          <w:trHeight w:val="403"/>
        </w:trPr>
        <w:tc>
          <w:tcPr>
            <w:tcW w:w="1152" w:type="dxa"/>
            <w:tcBorders>
              <w:top w:val="single" w:sz="6" w:space="0" w:color="auto"/>
              <w:left w:val="single" w:sz="6" w:space="0" w:color="auto"/>
              <w:bottom w:val="single" w:sz="6" w:space="0" w:color="auto"/>
              <w:right w:val="single" w:sz="6" w:space="0" w:color="auto"/>
            </w:tcBorders>
          </w:tcPr>
          <w:p w14:paraId="6FAE4D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Т-70р</w:t>
            </w:r>
          </w:p>
          <w:p w14:paraId="0CDA4FB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2E2FCC4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63800</w:t>
            </w:r>
          </w:p>
          <w:p w14:paraId="7ABBD8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135DDB9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BD5B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single" w:sz="6" w:space="0" w:color="auto"/>
              <w:right w:val="single" w:sz="6" w:space="0" w:color="auto"/>
            </w:tcBorders>
          </w:tcPr>
          <w:p w14:paraId="056E6FE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C749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single" w:sz="6" w:space="0" w:color="auto"/>
              <w:right w:val="single" w:sz="6" w:space="0" w:color="auto"/>
            </w:tcBorders>
          </w:tcPr>
          <w:p w14:paraId="106464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7DB1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single" w:sz="6" w:space="0" w:color="auto"/>
              <w:right w:val="single" w:sz="6" w:space="0" w:color="auto"/>
            </w:tcBorders>
          </w:tcPr>
          <w:p w14:paraId="4F0E443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5C33D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nil"/>
              <w:left w:val="single" w:sz="6" w:space="0" w:color="auto"/>
              <w:bottom w:val="single" w:sz="6" w:space="0" w:color="auto"/>
              <w:right w:val="single" w:sz="6" w:space="0" w:color="auto"/>
            </w:tcBorders>
          </w:tcPr>
          <w:p w14:paraId="793CD57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D5BF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B269A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w:t>
      </w:r>
    </w:p>
    <w:p w14:paraId="1313AB0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ПТ-К устанавливается при отсутствии ПТ-4-7.</w:t>
      </w:r>
    </w:p>
    <w:p w14:paraId="749424E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Стоимость рации, корпуса с башней, мотора и гусеницы входит в стоимость машины.</w:t>
      </w:r>
    </w:p>
    <w:p w14:paraId="725855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Стоимость башни ориентировочно составляет: КВ -100 000; Т-34 - 5000 и Т-70 — 2400.</w:t>
      </w:r>
    </w:p>
    <w:p w14:paraId="41DDE0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Со второго квартала на линейные танки Т-34, Т-70 будет устанавливаться рация «Малютка», стоимость которой = 1500руб.</w:t>
      </w:r>
    </w:p>
    <w:p w14:paraId="77FC06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Рации устанавливаются: на КВ-10-р, на Т-34, Т-70-9-р.</w:t>
      </w:r>
    </w:p>
    <w:p w14:paraId="1A9F57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танкового управления ГБТУ КА инженер-полковник Алымов</w:t>
      </w:r>
    </w:p>
    <w:p w14:paraId="6DF9EF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1 отдела ТУ ГБТУ КА инженер-подполковник Егоров</w:t>
      </w:r>
    </w:p>
    <w:p w14:paraId="28651E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1659. Л. 6. Копия (11403).</w:t>
      </w:r>
    </w:p>
    <w:p w14:paraId="4A594F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5CA0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опытный образец новой САУ - 76-мм на базе немецкого шасси - вышел на заводские испытания. Испытания проходили в окрестностях Свердловска пробегом по дорогам и снежной целине с застопоренным и расстопоренным орудием. Несмотря на жестокие погодные условия (днем оттепель, а ночью мороз, доходящий до 35 град.), машина проявила себя хорошо, и 20 марта 1943 г. машина была рекомендована для принятия на вооружение под индексом СУ С-1, СУ-76 (С-1) или СУ-76И ("Иностранная") (9695).</w:t>
      </w:r>
    </w:p>
    <w:p w14:paraId="7F77C1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4F7E5F" w14:textId="77777777" w:rsidR="00D36892" w:rsidRPr="00D03F3E" w:rsidRDefault="00D36892" w:rsidP="00D03F3E">
      <w:pPr>
        <w:pStyle w:val="book"/>
        <w:ind w:firstLine="0"/>
        <w:jc w:val="both"/>
        <w:rPr>
          <w:color w:val="000000" w:themeColor="text1"/>
          <w:sz w:val="16"/>
          <w:szCs w:val="16"/>
        </w:rPr>
      </w:pPr>
      <w:r w:rsidRPr="00D03F3E">
        <w:rPr>
          <w:color w:val="000000" w:themeColor="text1"/>
          <w:sz w:val="16"/>
          <w:szCs w:val="16"/>
        </w:rPr>
        <w:t>6 марта 1943 опытный образец новой штурмовой 76-мм САУ вышел на заводские испытания. Испытания проходили в окрестностях Свердловска пробегом по дорогам и снежной целине с застопоренным и расстопоренным орудием. Несмотря на жестокие погодные условия (днем оттепель, а ночью мороз, доходящий до —35° С), машина проявила себя хорошо, и 20 марта 1943 г. была рекомендована для принятия на вооружение под индексом СУ-76 (С-1) или СУ-76И («Иностранная») (15225).</w:t>
      </w:r>
    </w:p>
    <w:p w14:paraId="74AFC3C5" w14:textId="77777777" w:rsidR="00D36892" w:rsidRPr="00D03F3E" w:rsidRDefault="00D36892" w:rsidP="00D03F3E">
      <w:pPr>
        <w:pStyle w:val="book"/>
        <w:ind w:firstLine="0"/>
        <w:jc w:val="both"/>
        <w:rPr>
          <w:color w:val="000000" w:themeColor="text1"/>
          <w:sz w:val="16"/>
          <w:szCs w:val="16"/>
        </w:rPr>
      </w:pPr>
    </w:p>
    <w:p w14:paraId="15F664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опытный образец новой САУ - 76мм на базе немецкого шасси - уже вышел на испытания. Испытания проводились в окрестностях г. Свердловска пробегом по дорогам и снежной целине с застопоренным и расстопоренным оружием. Несмотря на жестокие погод</w:t>
      </w:r>
      <w:r w:rsidRPr="00D03F3E">
        <w:rPr>
          <w:rFonts w:ascii="Times New Roman" w:hAnsi="Times New Roman"/>
          <w:color w:val="000000" w:themeColor="text1"/>
          <w:sz w:val="16"/>
          <w:szCs w:val="16"/>
        </w:rPr>
        <w:softHyphen/>
        <w:t>ные условия (днем оттепель, а ночью мороз, доходящий до 35°С), машина проявила себя хорошо, и только поломка нескольких зубьев ведущего колеса немного омрачила на</w:t>
      </w:r>
      <w:r w:rsidRPr="00D03F3E">
        <w:rPr>
          <w:rFonts w:ascii="Times New Roman" w:hAnsi="Times New Roman"/>
          <w:color w:val="000000" w:themeColor="text1"/>
          <w:sz w:val="16"/>
          <w:szCs w:val="16"/>
        </w:rPr>
        <w:softHyphen/>
        <w:t>строение танкостроителей.</w:t>
      </w:r>
    </w:p>
    <w:p w14:paraId="2885558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не менее результаты испытаний были признаны удачными, и 21 марта 1943 г. САУ была рекомендована для принятия на вооружение под индексом СУ С-1, СУ-76(С-1), а производство СУ-76(СУ-12) остановлено.</w:t>
      </w:r>
    </w:p>
    <w:p w14:paraId="1E2FD69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Первые пять серийных СУ С-1 были отправлены в учебный самоходно-артиллерийский полк в пос. Клязьма 3 апреля 1943 г. Следующие — в учебный самоходно-ар-тиллерийский дивизион в пригородах Свердловска. За месяц службы машины «накатали» от 500 до 720 км и со</w:t>
      </w:r>
      <w:r w:rsidRPr="00D03F3E">
        <w:rPr>
          <w:rFonts w:ascii="Times New Roman" w:hAnsi="Times New Roman"/>
          <w:color w:val="000000" w:themeColor="text1"/>
          <w:sz w:val="16"/>
          <w:szCs w:val="16"/>
        </w:rPr>
        <w:softHyphen/>
        <w:t>действовали в обучении более 150 будущих самоходчиков.</w:t>
      </w:r>
    </w:p>
    <w:p w14:paraId="2C484C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Отзывы о машине были неплохими, и только трудность запуска двигателя на морозе (для быстрого запуска, по воспоминанию ветеранов, порой приходилось заливать в карбюраторы горящий бензин) отмечалась всеми техни</w:t>
      </w:r>
      <w:r w:rsidRPr="00D03F3E">
        <w:rPr>
          <w:rFonts w:ascii="Times New Roman" w:hAnsi="Times New Roman"/>
          <w:color w:val="000000" w:themeColor="text1"/>
          <w:sz w:val="16"/>
          <w:szCs w:val="16"/>
        </w:rPr>
        <w:softHyphen/>
        <w:t>ками, как «недостаток первой важности».</w:t>
      </w:r>
    </w:p>
    <w:p w14:paraId="6CBBF36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временем по уточненным чертежам завод начал из</w:t>
      </w:r>
      <w:r w:rsidRPr="00D03F3E">
        <w:rPr>
          <w:rFonts w:ascii="Times New Roman" w:hAnsi="Times New Roman"/>
          <w:color w:val="000000" w:themeColor="text1"/>
          <w:sz w:val="16"/>
          <w:szCs w:val="16"/>
        </w:rPr>
        <w:softHyphen/>
        <w:t>готовление «фронтовой» серии из 20 САУ, которые, впро</w:t>
      </w:r>
      <w:r w:rsidRPr="00D03F3E">
        <w:rPr>
          <w:rFonts w:ascii="Times New Roman" w:hAnsi="Times New Roman"/>
          <w:color w:val="000000" w:themeColor="text1"/>
          <w:sz w:val="16"/>
          <w:szCs w:val="16"/>
        </w:rPr>
        <w:softHyphen/>
        <w:t xml:space="preserve">чем, также частично попали в учебные подразделения. </w:t>
      </w:r>
      <w:r w:rsidRPr="00D03F3E">
        <w:rPr>
          <w:rFonts w:ascii="Times New Roman" w:hAnsi="Times New Roman"/>
          <w:color w:val="000000" w:themeColor="text1"/>
          <w:sz w:val="16"/>
          <w:szCs w:val="16"/>
        </w:rPr>
        <w:lastRenderedPageBreak/>
        <w:t>Лишь с апреля 1943 г. СУ-76(С-1) начали поступать в войска.</w:t>
      </w:r>
    </w:p>
    <w:p w14:paraId="017629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Первые самоходки имели «спартанский» вид, но до</w:t>
      </w:r>
      <w:r w:rsidRPr="00D03F3E">
        <w:rPr>
          <w:rFonts w:ascii="Times New Roman" w:hAnsi="Times New Roman"/>
          <w:color w:val="000000" w:themeColor="text1"/>
          <w:sz w:val="16"/>
          <w:szCs w:val="16"/>
        </w:rPr>
        <w:softHyphen/>
        <w:t>вольно хорошую внешнюю отделку. Их боевая рубка была сварена из бронеплит толщиной 35 мм в лобовой части и 20 мм или 15 мм в бортах и корме. Крыша боевой рубки вы</w:t>
      </w:r>
      <w:r w:rsidRPr="00D03F3E">
        <w:rPr>
          <w:rFonts w:ascii="Times New Roman" w:hAnsi="Times New Roman"/>
          <w:color w:val="000000" w:themeColor="text1"/>
          <w:sz w:val="16"/>
          <w:szCs w:val="16"/>
        </w:rPr>
        <w:softHyphen/>
        <w:t>краивалась из цельного листа и крепилась болтами. Это об</w:t>
      </w:r>
      <w:r w:rsidRPr="00D03F3E">
        <w:rPr>
          <w:rFonts w:ascii="Times New Roman" w:hAnsi="Times New Roman"/>
          <w:color w:val="000000" w:themeColor="text1"/>
          <w:sz w:val="16"/>
          <w:szCs w:val="16"/>
        </w:rPr>
        <w:softHyphen/>
        <w:t>легчало доступ в боевое отделение САУ для проведения ре</w:t>
      </w:r>
      <w:r w:rsidRPr="00D03F3E">
        <w:rPr>
          <w:rFonts w:ascii="Times New Roman" w:hAnsi="Times New Roman"/>
          <w:color w:val="000000" w:themeColor="text1"/>
          <w:sz w:val="16"/>
          <w:szCs w:val="16"/>
        </w:rPr>
        <w:softHyphen/>
        <w:t>монта, но после боев лета 1943 г. на многих САУ крыша бы</w:t>
      </w:r>
      <w:r w:rsidRPr="00D03F3E">
        <w:rPr>
          <w:rFonts w:ascii="Times New Roman" w:hAnsi="Times New Roman"/>
          <w:color w:val="000000" w:themeColor="text1"/>
          <w:sz w:val="16"/>
          <w:szCs w:val="16"/>
        </w:rPr>
        <w:softHyphen/>
        <w:t>ла демонтирована для улучшения вентиляции (11417).</w:t>
      </w:r>
    </w:p>
    <w:p w14:paraId="2D13FD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003B84"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опытный образец 76-мм самоходной штурмовой пушки С-1 вышел на заводские испытания. Испытания проходили в окрестностях Свердловска пробегом по дорогам и снежной целине с застопоренным и расстопоренным орудием.</w:t>
      </w:r>
    </w:p>
    <w:p w14:paraId="6AF82FE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Поэтому приняли решение использовать 76,2-мм пушку С-1. Эта пушка была разработана под руководством В.Г. Грабина и предназначалась для установки в САУ От танковой пушки Ф-34 она отличалась наличием рамки с цапфами, которые вставлялись в подцапфенники лобовой брони корпуса (12687).</w:t>
      </w:r>
    </w:p>
    <w:p w14:paraId="4E5367C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12 августа 1943 г. войсковые испытания закончились. На вооружение ОБ-25 была принята постановлением ГКО от 4 сентября 1943 г. В валовое производство 76-мм полковая пушка обр. 1943 г. была запущена в конце 1943 г. на двух заводах: № 172 и № 106. Завод № 172 в 1944 г. выпустил 2730 пушек, а в 1945 г. — 1434, и на этом производство ОБ-25 закончил. А завод № 106 выпустил в 1944 г. 464 пушки, в 1945 г. — 494 и в 1946 г. — всего 30 пушек. Итого на обоих заводах было изготовлено 5152 пушки ОБ-25.</w:t>
      </w:r>
    </w:p>
    <w:p w14:paraId="70C1C8B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малый вес и сравнительно хорошую подвижность, в целом ОБ-25 оказалась неудачной полковой пушкой, и с окончанием войны ее сняли с производства, и началась разработка новых полковых орудий (12705).</w:t>
      </w:r>
    </w:p>
    <w:p w14:paraId="553DD285"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3FC2217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года вышел приказ № 237сс НКБ</w:t>
      </w:r>
    </w:p>
    <w:p w14:paraId="1589BFD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постановления ГКО № 2966 от 4 марта 1943 года об организации на заводе № 209 Наркомсудпрома в Ленинграде производства спецаппаратуры для НКВД …………(5808, 53).</w:t>
      </w:r>
    </w:p>
    <w:p w14:paraId="6090B7F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EEBF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вышло Постановление ГКО № 2976 О плане производства боеприпасов на март месяц 1943 г.РГАНИР, Фонд ГКО, д. 94, лл. 38-46, 47-66 (11012).</w:t>
      </w:r>
    </w:p>
    <w:p w14:paraId="243ED8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0974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вышло Постановление ГКО № 2977 О плане производства и поставок артиллерийского и стрелкового вооружения и военных приборов на март месяц 1943 года.РГАНИР, Фонд ГКО, д. 94, лл. 67-79, 80-90 (11012).</w:t>
      </w:r>
    </w:p>
    <w:p w14:paraId="77D86D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F3CF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вышло Постановление ГКО № 2978 О плане производства минометов на март 1943 года.РГАНИР, Фонд ГКО, д. 94, лл. 91-96, 97-113 (11012).</w:t>
      </w:r>
    </w:p>
    <w:p w14:paraId="58590E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87E3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вышло Постановление ГКО № 2979 О плане производства и поставок пулеметов-пистолетов Шпагина в марте 1943 года.РГАНИР, Фонд ГКО, д. 94, лл. 114-118, 119-125 (11012).</w:t>
      </w:r>
    </w:p>
    <w:p w14:paraId="5723A2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1DB7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вышло Постановление ГКО № 2980 О материально-техническом обеспечении производства металлокерамических сердечников для бронебойных снарядов и патронов на заводах Наркомцветмета.РГАНИР, Фонд ГКО, д. 94, лл. 126-130, 131-137 (11012).</w:t>
      </w:r>
    </w:p>
    <w:p w14:paraId="4825FE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A060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вышло Постановление ГКО № 2981 Об увеличении производства пульного и гильзового биметалла.РГАНИР, Фонд ГКО, д. 94, лл. 138-143, 144-150 (11012).</w:t>
      </w:r>
    </w:p>
    <w:p w14:paraId="47924C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8EEE0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вышло Постановление ГКО № 2982 О плане распределения нефтепродуктов на март 1943 г. (7086, 151,152-178).</w:t>
      </w:r>
    </w:p>
    <w:p w14:paraId="504E363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83CF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вышло Распоряжение ГКО № 2983. О проверке обеспеченности электроэнергией, выполнения программ предприятиями Урала в марте 1943 г.РГАНИР, Фонд ГКО, д. 94, лл. 179 (11012).</w:t>
      </w:r>
    </w:p>
    <w:p w14:paraId="52ACE5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EC22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вышло Постановление ГКО № 2985 О плане производства танков, артиллерийских самоходных установок, бронекорпусов и танковых дизелей в марте 1943 года.РГАНИР, Фонд ГКО, д. 95, лл. 6-10 (11012).</w:t>
      </w:r>
    </w:p>
    <w:p w14:paraId="76ECF1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086C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вышло Постановление ГКО № 2986 О добыче нефти и выработке нефтепродуктов в марте 1943 года.РГАНИР, Фонд ГКО, д. 95, лл. 11-17, 18-23 (11012).</w:t>
      </w:r>
    </w:p>
    <w:p w14:paraId="0D319F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B80D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вышло Постановление ГКО № 2987 О плане добычи угля и сланца на март 1943 г.РГАНИР, Фонд ГКО, д. 95, лл. 24-29, 30-32 (11012).</w:t>
      </w:r>
    </w:p>
    <w:p w14:paraId="06EBF0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7ECC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вышло Постановление ГКО № 2989 О плане снабжения горюче-смазочными материалами Красной Армии и Военно-Морского Флота на март 1943 года,РГАНИР, Фонд ГКО, д. 95, лл. 59-60, 61-90 (11012).</w:t>
      </w:r>
    </w:p>
    <w:p w14:paraId="2F7D64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847F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вышло Постановление ГКО № 2990 О восстановлении сооружений и предприятий связи на территории, освобождаемой от противника.РГАНИР, Фонд ГКО, д. 95, лл. 91-95, 96-109 (11012).</w:t>
      </w:r>
    </w:p>
    <w:p w14:paraId="0E1484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370E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вышло Постановление ГКО № 2991 О мерах по восстановлению производства турбогенераторов, гидрогенераторов и крупных электромашин на заводе "Электросила".РГАНИР, Фонд ГКО, д. 95, лл. 110-118, 119-127 (11012).</w:t>
      </w:r>
    </w:p>
    <w:p w14:paraId="0F3CCB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49E8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г. вышло постановление ГКО № 2991 о мерах по восстановлению производств турбогенераторов, гидрогенераторов и крупных электромашин на заводе. По распоряжению ГКО № 4487 от 2.11.1943 г. на завод направлено 43 демобилизованных квалифицированных рабочих.</w:t>
      </w:r>
    </w:p>
    <w:p w14:paraId="705D57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1948-49 г. изготовлен магнит для синхроциклотрона в Дубне массой 7 тыс. т из блоков длиной по 18 м, массой по 120 т.</w:t>
      </w:r>
    </w:p>
    <w:p w14:paraId="47F475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заводе в 1958 г. действовал филиал НИИ-627. Распоряжением правительства № 2748-рс от 30.09.1959 г. Отдел электроники и борьбы с радиопомехами филиала передан в ведение Минсвязи.</w:t>
      </w:r>
    </w:p>
    <w:p w14:paraId="083CEE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1946 г. электромашиностроительный завод «Электросила» - в ведении МЭП, МЭСЭП (1953-54 г.), МЭП (1954-57 г.), Управления электропромышленности ЛенСНХ (1957-65 г.). Далее - в ведении МЭТП. В 1950-70-е  г. завод «Электросила» являлся головным в отрасли. В 1958 г. в состав предприятия вошел ПЭМЗ. Производство турбогенераторов мощностью до 220 МВт было передано на завод «п/я 240»; производство электрических машин малых мощностей - на другие предприятия.</w:t>
      </w:r>
    </w:p>
    <w:p w14:paraId="24950F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завод «п/я 240», ПЭМЗ, Великолукский завод «Реостат», Ленинградский филиал НИИ-627, СКТБ горнорудного оборудования.</w:t>
      </w:r>
      <w:r w:rsidRPr="00D03F3E">
        <w:rPr>
          <w:rFonts w:ascii="Times New Roman" w:hAnsi="Times New Roman"/>
          <w:color w:val="000000" w:themeColor="text1"/>
          <w:sz w:val="16"/>
          <w:szCs w:val="16"/>
          <w:vertAlign w:val="superscript"/>
        </w:rPr>
        <w:t>131</w:t>
      </w:r>
    </w:p>
    <w:p w14:paraId="057D3A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2000 г. генераторами «Электросилы» оснащены в России (СНГ): 80% (60%) электростанций, 90% (70%) ГЭС, почти 100% (100%) АЭС.</w:t>
      </w:r>
    </w:p>
    <w:p w14:paraId="303D67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1992 г. предприятие преобразовано в АООТ, затем - ОАО «Электросила». Имелось дочернее предприятие (2002 г.)- Великолукский завод «Реостат». С 2000 г. ОАО «Электросила» вошло в концерн «Силовые машины».</w:t>
      </w:r>
    </w:p>
    <w:p w14:paraId="3EBC7A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(1913 г.)- 900 чел.</w:t>
      </w:r>
    </w:p>
    <w:p w14:paraId="5FAEAE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(1910-е)- Л.Б. Красин, (09.1938 г.)- Бриль. Гендиректор (1990-е)- В. Чернышев, (-2003-06 г.-)- Р.А. Урусов.</w:t>
      </w:r>
    </w:p>
    <w:p w14:paraId="4B72F6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по персоналу и социальным вопросам (2007 г.)- В.А. Куншенко.</w:t>
      </w:r>
    </w:p>
    <w:p w14:paraId="146F5A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цехов: (-1941 г.)- Н.А. Богородицкий.</w:t>
      </w:r>
    </w:p>
    <w:p w14:paraId="0EEA8F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Создано: погружные электродвигатели для движительно-рулевых комплексов подводных аппаратов.</w:t>
      </w:r>
    </w:p>
    <w:p w14:paraId="5780D9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электродвигатели: гребные для ПЛ (-1913-35-); для электроторпеды (1937); АД-21, -22, -31, - 32, -41, -42, -51, -52, постоянного тока ПН-5, -17,1, -28,5 (1938); электрооборудование для лесовозов I, П серии (1925); генераторы для гидротурбин Саяно-Шушенской ГЭС (1970-е).</w:t>
      </w:r>
    </w:p>
    <w:p w14:paraId="051849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АО «Артур Коппель»</w:t>
      </w:r>
    </w:p>
    <w:p w14:paraId="0FB81A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1923-25 г. бывший завод Артура Коппеля влит в состав завода «Электросила».</w:t>
      </w:r>
    </w:p>
    <w:p w14:paraId="24DB58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ручные и электрические лебедки, прожекторы для канонерских лодок (1905).</w:t>
      </w:r>
      <w:r w:rsidRPr="00D03F3E">
        <w:rPr>
          <w:rFonts w:ascii="Times New Roman" w:hAnsi="Times New Roman"/>
          <w:color w:val="000000" w:themeColor="text1"/>
          <w:sz w:val="16"/>
          <w:szCs w:val="16"/>
          <w:vertAlign w:val="superscript"/>
        </w:rPr>
        <w:t xml:space="preserve">114 </w:t>
      </w:r>
      <w:r w:rsidRPr="00D03F3E">
        <w:rPr>
          <w:rFonts w:ascii="Times New Roman" w:hAnsi="Times New Roman"/>
          <w:color w:val="000000" w:themeColor="text1"/>
          <w:sz w:val="16"/>
          <w:szCs w:val="16"/>
        </w:rPr>
        <w:t>Аккумуляторный завод «Рекс», Петроградский государственный аккумуляторный завод № 2 ВСНХ</w:t>
      </w:r>
    </w:p>
    <w:p w14:paraId="0DD5DB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Аккумуляторный завод «Рекс» АО электрических аккумуляторов «Рекс» основан в 1912 г. Производство аккумуляторов для ПЛ (1916 г.).</w:t>
      </w:r>
    </w:p>
    <w:p w14:paraId="605E43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 ВСНХ от 19.03.1919 г. завод национализирован, передан в ведение СНХ Северного района и переименован в государственный аккумуляторный завод № 2. В 04.1922 г. завод вошел в состав Петроградского аккумуляторного треста Севзаппромбюро, 1.12.1922 г. законсервирован. В соответствии с пост. Севзаппромбюро от 17.11.1924 г. аккумуляторный завод № 2 вошел в состав завода «Электросила».</w:t>
      </w:r>
    </w:p>
    <w:p w14:paraId="1B3E51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1919 г. было открыто отделение завода на Черноморском побережье.</w:t>
      </w:r>
      <w:r w:rsidRPr="00D03F3E">
        <w:rPr>
          <w:rFonts w:ascii="Times New Roman" w:hAnsi="Times New Roman"/>
          <w:color w:val="000000" w:themeColor="text1"/>
          <w:sz w:val="16"/>
          <w:szCs w:val="16"/>
          <w:vertAlign w:val="superscript"/>
        </w:rPr>
        <w:t>131</w:t>
      </w:r>
    </w:p>
    <w:p w14:paraId="40CAE7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СКБ завода «Электросила»</w:t>
      </w:r>
    </w:p>
    <w:p w14:paraId="431F5D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Разработка рабочего проекта синхроциклотрона в Дубне, магнитной системы (Н.А. Моносзон), электрооборудования для него под руководством Д.В. Ефремова (1948-49 г.).</w:t>
      </w:r>
    </w:p>
    <w:p w14:paraId="254F45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Руководитель (-1948-49 г.-)- Е. Г. Комар.</w:t>
      </w:r>
    </w:p>
    <w:p w14:paraId="6D1927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конструкторы: (1948 г.)- И.Ф. Малышев (электромагнит, др. узлы ускорителя).</w:t>
      </w:r>
    </w:p>
    <w:p w14:paraId="791F0E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Дважды ордена Ленина, ордена Трудового Красного Знамени, ордена Октябрьской Революции Ленинградское производственное электромашиностроительное объединение (ЛПЭО) «Электросила» им. С.М. Кирова ЛенСНХ, МЭТП</w:t>
      </w:r>
    </w:p>
    <w:p w14:paraId="377E90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предприятие п/я 240, ПЭМЗ, Великолукский завод «Реостат», Ленинградский филиал НИИ-627, СКТБ горнорудного оборудования.</w:t>
      </w:r>
    </w:p>
    <w:p w14:paraId="0D7808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 правительства от 12.09.1965 г. ЛПЭО передано в ведение ГУ по производству турбогенераторов, гидрогенераторов и крупных электрических машин МЭТП, с 28.01.1975 г. ЛПЭО вошло в состав ВПО «Союзэлектротяжмаш» МЭТП.</w:t>
      </w:r>
      <w:r w:rsidRPr="00D03F3E">
        <w:rPr>
          <w:rFonts w:ascii="Times New Roman" w:hAnsi="Times New Roman"/>
          <w:color w:val="000000" w:themeColor="text1"/>
          <w:sz w:val="16"/>
          <w:szCs w:val="16"/>
          <w:vertAlign w:val="superscript"/>
        </w:rPr>
        <w:t>131</w:t>
      </w:r>
    </w:p>
    <w:p w14:paraId="50F2D0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«Металлист», Псковский электромашиностроительный завод (ПЭМЗ) им. 60-летия СССР, ОАО «ПЭМЗ»</w:t>
      </w:r>
    </w:p>
    <w:p w14:paraId="0E3313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/180004  г. Псков Октябрьский пр., 27 тел. 16-82-53 </w:t>
      </w:r>
      <w:r w:rsidR="008E66C5" w:rsidRPr="00D03F3E">
        <w:rPr>
          <w:rFonts w:ascii="Times New Roman" w:hAnsi="Times New Roman"/>
          <w:color w:val="000000" w:themeColor="text1"/>
          <w:sz w:val="16"/>
          <w:szCs w:val="16"/>
        </w:rPr>
        <w:fldChar w:fldCharType="begin"/>
      </w:r>
      <w:r w:rsidR="008E66C5" w:rsidRPr="00D03F3E">
        <w:rPr>
          <w:rFonts w:ascii="Times New Roman" w:hAnsi="Times New Roman"/>
          <w:color w:val="000000" w:themeColor="text1"/>
          <w:sz w:val="16"/>
          <w:szCs w:val="16"/>
        </w:rPr>
        <w:instrText xml:space="preserve">ref  HYPERLINK "http://www.pemz.ru/"  \* MERGEFORMAT </w:instrText>
      </w:r>
      <w:r w:rsidR="008E66C5" w:rsidRPr="00D03F3E">
        <w:rPr>
          <w:rFonts w:ascii="Times New Roman" w:hAnsi="Times New Roman"/>
          <w:color w:val="000000" w:themeColor="text1"/>
          <w:sz w:val="16"/>
          <w:szCs w:val="16"/>
        </w:rPr>
        <w:fldChar w:fldCharType="separate"/>
      </w:r>
      <w:r w:rsidRPr="00D03F3E">
        <w:rPr>
          <w:rFonts w:ascii="Times New Roman" w:hAnsi="Times New Roman"/>
          <w:color w:val="000000" w:themeColor="text1"/>
          <w:sz w:val="16"/>
          <w:szCs w:val="16"/>
          <w:lang w:val="en-US"/>
        </w:rPr>
        <w:t>www</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pemz</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ru</w:t>
      </w:r>
      <w:r w:rsidRPr="00D03F3E">
        <w:rPr>
          <w:rFonts w:ascii="Times New Roman" w:hAnsi="Times New Roman"/>
          <w:color w:val="000000" w:themeColor="text1"/>
          <w:sz w:val="16"/>
          <w:szCs w:val="16"/>
        </w:rPr>
        <w:t>/</w:t>
      </w:r>
      <w:r w:rsidR="008E66C5" w:rsidRPr="00D03F3E">
        <w:rPr>
          <w:rFonts w:ascii="Times New Roman" w:hAnsi="Times New Roman"/>
          <w:color w:val="000000" w:themeColor="text1"/>
          <w:sz w:val="16"/>
          <w:szCs w:val="16"/>
        </w:rPr>
        <w:fldChar w:fldCharType="end"/>
      </w:r>
    </w:p>
    <w:p w14:paraId="58802C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Основан в 12.1895 г. А. Штейном как слесарная мастерская. В 1920-е  г. завод получил название «Металлист». Производство оборудования для льноперерабатывающей промышленности и добычи торфа.</w:t>
      </w:r>
    </w:p>
    <w:p w14:paraId="482EA5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годы войны завод был полностью разрушен, затем восстановлен. В 1958 г. завод вошел в состав завода «Электросила» (а с 10.1962 г.- ЛПЭО «Электросила») и перепрофилирован на электромашиностроение. Производство электрических машин постоянного тока. В 1970-е  г. в Японии закуплено оборудование по производству микродвигателей для кассетных магнитофонов.</w:t>
      </w:r>
    </w:p>
    <w:p w14:paraId="4081FC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1982 г. заводу присвоено имя 60-летия СССР.</w:t>
      </w:r>
    </w:p>
    <w:p w14:paraId="55B895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(1980 г.)- более 4000 чел., (2006 г.)- около 1100 чел.</w:t>
      </w:r>
    </w:p>
    <w:p w14:paraId="253EAC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Гендиректор (2006 г.)- В.А. Игнатьев.</w:t>
      </w:r>
    </w:p>
    <w:p w14:paraId="7074E7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гендиректора по экономике и финансам (-2001 г.)- А. Кузьмицкий.</w:t>
      </w:r>
    </w:p>
    <w:p w14:paraId="4FE155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(2006 г.): электродвигатели постоянного и переменного тока: тяговые для трамваев ТАД-21, АТД-1, для троллейбусов ТАД-3; ДПТВ-16 для вентиляторов самосвалов «БелАЗ»; для электрокаров; с внешним ротором для канальной вентиляции; расщепители фаз для электропоездов РФЭ-У1; тахогенераторы; генераторы ЭГВ для ж/д вагонов; микродвигатели для автомобилей; электрические лодочные моторы.</w:t>
      </w:r>
    </w:p>
    <w:p w14:paraId="1292D3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Великолукский завод «Реостат»</w:t>
      </w:r>
    </w:p>
    <w:p w14:paraId="25BC3B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/182100  г. Великие Луки Псковской обл. ул. 3-й Ударной Армии, 65 тел. 44-240/'</w:t>
      </w:r>
    </w:p>
    <w:p w14:paraId="41440C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10.1962 г. Великолукский завод «Реостат» вошел в состав ЛПЭО «Электросила». В 2002 г. являлся ДП ОАО «Электросила».</w:t>
      </w:r>
    </w:p>
    <w:p w14:paraId="6A9E54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(2002 г.): низковольтная электрическая аппаратура, контакторы, предохранители.</w:t>
      </w:r>
    </w:p>
    <w:p w14:paraId="572C9D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(2002 г.)- 700 чел.</w:t>
      </w:r>
    </w:p>
    <w:p w14:paraId="65A6FB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(2002 г.)- В.А. Железняков (11982).</w:t>
      </w:r>
    </w:p>
    <w:p w14:paraId="5216E6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836C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вышло Постановление ГКО № 2992 Об отпуске продовольственных, госпитальных и фуражных пайков для Красной Армии, Военно-Морского Флота и войск НКВД в марте 1943 года.РГАНИР, Фонд ГКО, д. 95, лл. 128-130, 131-132 (11012).</w:t>
      </w:r>
    </w:p>
    <w:p w14:paraId="73E113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A705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вышло Постановление ГКО № 2993 Об утверждении плана отпуска вещевого имущества для Красной Армии на март 1943 г. и о досрочном завозе фронтам и округам летнего обмундирования.РГАНИР, Фонд ГКО, д. 95, лл. 133-134, 135-137 (11012).</w:t>
      </w:r>
    </w:p>
    <w:p w14:paraId="4E8B8B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857B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вышло Постановление ГКО № 2994 О сборе, ремонте и хранении теплых вещей и лыжного имущества, находившихся на снабжении Красной Армии зимой 1942-1943 г.РГАНИР, Фонд ГКО, д. 95, лл. 138-141, 142-154 (11012).</w:t>
      </w:r>
    </w:p>
    <w:p w14:paraId="4DF188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0F55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вышло Постановление ГКО № 2995 Об обеспечении оборудованием заводов по производству гидротурбин средней и малой мощности.РГАНИР, Фонд ГКО, д. 95, лл. 155, 156-157 (11012).</w:t>
      </w:r>
    </w:p>
    <w:p w14:paraId="55575F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F41F8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вышло Постановление ГКО № 2996 О плане распределения электроэнергии на март 1943 г. (7087, 158-159,160-195).</w:t>
      </w:r>
    </w:p>
    <w:p w14:paraId="176961F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E033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ГКО впервые за время блокады выдал производственное задание на первое полугодие 14 крупным ленинградским предприятиям, в том числе Балтийскому, им. А. А. Жданова, Адмиралтейскому заводам (10671).</w:t>
      </w:r>
    </w:p>
    <w:p w14:paraId="7419DA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D3498A"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2AB8E3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F5460A"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6 марта</w:t>
      </w:r>
      <w:r w:rsidRPr="00D03F3E">
        <w:rPr>
          <w:rFonts w:ascii="Times New Roman" w:hAnsi="Times New Roman"/>
          <w:color w:val="000000" w:themeColor="text1"/>
          <w:sz w:val="16"/>
          <w:szCs w:val="16"/>
        </w:rPr>
        <w:t xml:space="preserve"> в 1943 году утреннее сообщение Совинформбюро:</w:t>
      </w:r>
    </w:p>
    <w:p w14:paraId="098C962C"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6 марта наши войска вели наступательные бои на прежних направлениях.</w:t>
      </w:r>
    </w:p>
    <w:p w14:paraId="7169D3B9"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 юго-западнее Ржева наши войска продвигались вперёд, заняли свыше 30 населённых пунктов, в том числе железнодорожную станцию Осуга. Наступающие советские части в нескольких местах переправились через реку Осуга. В боях с упорно сопротивляющимся противником уничтожено до 800 немецких солдат иофицеров. Захвачены трофеи: 3 самолёта, 57 танков, 8 орудий, много миномётов и пулемётов. Взято в плен более 100 вражеских солдат и офицеров.</w:t>
      </w:r>
    </w:p>
    <w:p w14:paraId="03EC53D3"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части вели огневой бой с противником. В районе Н-ских высот наши бойцы отбили контратаку гитлеровцев и уничтожили до 100 немецких солдат и офицеров. Захвачено орудие, 70 винтовок и 6 тысяч патронов.</w:t>
      </w:r>
    </w:p>
    <w:p w14:paraId="1C58839F"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подвижные отряды Н-ской части зашли в тыл противнику и атаковали его. Советские бойцы уничтожили до роты гитлеровцев и сожгли 2 немецких танка.</w:t>
      </w:r>
    </w:p>
    <w:p w14:paraId="0ABE268F"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Харькова бойцы Н-ской части овладели одним населённым пунктом, в боях за который уничтожено до 200 гитлеровцев, 2 немецких танка, 4 орудия, 15 автомашин с боеприпасами и 6 автоцистерн с горючим.</w:t>
      </w:r>
    </w:p>
    <w:p w14:paraId="3BD9ED7A"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Севска наши войска веди наступательные бои и заняли несколько населённых пунктов. Противник оказывает упорное сопротивление и часто переходит в контратаки. Отбивая контратаки гитлеровцев, части Н-ского соединения уничтожили свыше 400 немецких солдат и офицеров и взяли 100 пленных. На другом участке происходили ожесточённые бои за один населённый пункт, который несколько раз переходил из рук в руки. Ночью наши бойцы выбили противника и закрепились в этом населённом пункте.</w:t>
      </w:r>
    </w:p>
    <w:p w14:paraId="32783DA2"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Украины, пустил под откос 3 воинских эшелона противника с вооружением и боеприпасами. Разбито 3 паровоза и около 70 вагонов и платформ. Партизаны этого же отряда сбили немецкий транспортный самолёт «Юн-керс-52». Экипаж самолёта в составе 7 человек разбился. Другой отряд украинских партизан совершил налёт и истребил немецкий гарнизон, расположенный в районном центре. Захвачено 19 винтовок, 7 автоматов и несколько автомашин.</w:t>
      </w:r>
    </w:p>
    <w:p w14:paraId="49E1414C"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из участков Центрального фронта на сторону Красной Армии перешла группа солдат 161 немецкой пехотной дивизии. В составе группы 16 поляков и 2 немца. Перебежчик Станислав П. рассказал: «Я прибыл на фронт 27 февраля. Нам всё время вдалбливали в голову, что немецкая армия непобедима. Теперь солдаты видят, что «непобедимая армия» терпит одно поражение за другим, и перестают верить немецкой пропаганде. У географических карт часто возникают оживлённые споры о положении на фронте. Некоторые солдаты говорили, что русские за время зимнего наступления заняли большую территорию, чем немецкая армия за весь 1942 год. Офицеры пресекают попытки солдат обсуждать события на фронте. Недавно у всех солдат изъяли географические карты России».</w:t>
      </w:r>
    </w:p>
    <w:p w14:paraId="6192EB75"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Французские патриоты усиливают борьбу против немецких оккупантов. Вольные стрелки разрушают коммуникации врага, уничтожают подвижной состав на железных дорогах. В департаменте Кот-д'Ор пущен под откос немецкий воинский эшелон с военными грузами. Разбиты 22 вагона и паровоз. В районе Грэ вольные стрелки организовали столкновение двух немецких поездов. В Бресте патриоты бросили бомбу в штаб немецкой части. В результате взрыва убито 18 гитлеровцев.» (15060).</w:t>
      </w:r>
    </w:p>
    <w:p w14:paraId="5C5FC217" w14:textId="77777777" w:rsidR="00D36892" w:rsidRPr="00D03F3E" w:rsidRDefault="00D36892" w:rsidP="00D03F3E">
      <w:pPr>
        <w:spacing w:after="0" w:line="240" w:lineRule="auto"/>
        <w:jc w:val="both"/>
        <w:rPr>
          <w:rFonts w:ascii="Times New Roman" w:hAnsi="Times New Roman"/>
          <w:color w:val="000000" w:themeColor="text1"/>
          <w:sz w:val="16"/>
          <w:szCs w:val="16"/>
        </w:rPr>
      </w:pPr>
    </w:p>
    <w:p w14:paraId="60A5DD58"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6 марта</w:t>
      </w:r>
      <w:r w:rsidRPr="00D03F3E">
        <w:rPr>
          <w:rFonts w:ascii="Times New Roman" w:hAnsi="Times New Roman"/>
          <w:color w:val="000000" w:themeColor="text1"/>
          <w:sz w:val="16"/>
          <w:szCs w:val="16"/>
        </w:rPr>
        <w:t xml:space="preserve"> в 1943 году вечернее сообщение Совинформбюро:</w:t>
      </w:r>
    </w:p>
    <w:p w14:paraId="562975E0"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наши войска в результате двукратного штурма овладели городом Гжатск.</w:t>
      </w:r>
    </w:p>
    <w:p w14:paraId="0F9BE45A"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наступательные бои на прежних направлениях.</w:t>
      </w:r>
    </w:p>
    <w:p w14:paraId="6A93F93B"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5 марта частями нашей авиации на различных участках фронта уничтожено или повреждено не менее 10 танков, до 100 автомашин с войсками и грузами, подавлен огонь 15 артиллерийских батарей, взорвано 4 склада противника с боеприпасами.</w:t>
      </w:r>
    </w:p>
    <w:p w14:paraId="49CD308A"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 юго-западнее Ржева наши войска вели успешное наступление и заняли несколько десятков населённых пунктов. Захвачены большие трофеи, которые подсчитываются. Уничтожено свыше 1.000 немецких солдат и офицеров. Захвачены пленные.</w:t>
      </w:r>
    </w:p>
    <w:p w14:paraId="5FCBEB62"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овладели городом Гжатск. Немцы, использовав естественные рубежи и реку Гжать, укрепили все подступы к городу. После Ржева город Гжатск был однимиз нескольких наиболее сильных опорных пунктов вражеской обороны. В результате ожесточённых боёв наши части заняли десятки населённых пунктов, обошли город с севера и юга и после двукратного штурма овладели Гжатском. Только сегодня в боях на этом участке уничтожено более полка немецкой пехоты. Захваченные трофеи подсчитываются.</w:t>
      </w:r>
    </w:p>
    <w:p w14:paraId="2D11F2DB"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разведывательные отряды Н-ской части совершили внезапный налет на вражеский опорный пункт. Наши бойцы истребили гарнизон противника, захватили 12 пулемётов, много винтовок, 10 тысяч патронов и прочно закрепились в занятом опорном пункте.</w:t>
      </w:r>
    </w:p>
    <w:p w14:paraId="249E96C0"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части Н-ского соединения вели бои с танками и мотопехотой противника. По неполным данным, истреблено до батальона немецкой пехоты, подбито и сожжено 32 танка противника. Огнём из пехотного оружия сбито 2 немецких самолёта.</w:t>
      </w:r>
    </w:p>
    <w:p w14:paraId="7309F965"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Суджи наши войска продолжали наступление и заняли несколько населённых пунктов. В районе одного из этих населённых пунктов противник бросил в контратаку против наших подразделений 10 танков. Советские бронебойщики подбили 5 немецких танков. Остальные танки и следовавшая за ними пехота противника быстро отступили, не дойдя до наших позиций.</w:t>
      </w:r>
    </w:p>
    <w:p w14:paraId="60B199FD"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Севска наши войска продолжали наступление. Несмотря на глубокий снеги пургу, Н-ская часть продвинулась вперёд и заняла пять населённых пунктов. Уничтожено до 400 немецких солдат и офицеров. Захвачены пленные и большие трофеи. Самоотверженно работают советские связисты. В сильную метель красноармеец Бондарев за два часа наладил связь на протяжении 8 километров. Связисты отделения, где командиром сержант Хоботов, работая на линии, подверглись нападению 12 немецких автоматчиков. Бойцы-связисты убили 5 немцев, а остальных обратили в бегство. Отделение выполнило боевое задание в срок.</w:t>
      </w:r>
    </w:p>
    <w:p w14:paraId="186D7A52"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Витебской области, в конце февраля вёл ожесточённые бои с большими силами противника. Советские патриоты отразили одну за другой несколько атак гитлеровцев и истребили до 300 немецко-фашистских захватчиков.</w:t>
      </w:r>
    </w:p>
    <w:p w14:paraId="3AFA557C"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селе Кубань, Орловской области: «С того дня, как немецкие захватчики ворвались в село Кубань, для нас началась каторжная жизнь. Немцы без всяких причин расстреляли колхозников: Ивана Марохина, Алексея Якушина, Фому Мельникова, Ивана Писарева и многих других. Гитлеровские гады изнасиловали Варвару Ж., надругались над Мариной Мельниковой, а затем убили её. Свыше 200 жителей села перебывали в подвалах немецкой комендатуры, где они подверглись порке и всяческим издевательствам. Фашисты изуродовали наше село, разрушили школу, молочно-товарную ферму, колхозные постройки и много домов колхозников. Во всём селе нет ни одного человека, которого бы не ограбили гитлеровские бандиты, нет ни одного дома, в котором не осталось бы следов немецкого разбоя и разрушения. Мы уверены, что Красная Армия отомстит немецко-фашистским убийцам за наши мучения и очистит родную советскую землю от фашистской падали».</w:t>
      </w:r>
    </w:p>
    <w:p w14:paraId="30AE4AA4"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Акт подписали: член сельского совета Иван Королёв, учительница Анисья Рудакова, колхозники — Александр Хохаев, Оксана Лаврухина и другие.».</w:t>
      </w:r>
    </w:p>
    <w:p w14:paraId="29725231"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21C7E8C3"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город Гжатск.</w:t>
      </w:r>
    </w:p>
    <w:p w14:paraId="0D3934D8"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двукратного штурма наши войска овладели городом Гжатск. Захваченные трофеи подсчитываются.».</w:t>
      </w:r>
    </w:p>
    <w:p w14:paraId="66ACF831" w14:textId="77777777" w:rsidR="00D36892" w:rsidRPr="00D03F3E" w:rsidRDefault="00D3689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1943 году на Калининском фронте силами планерно-десантных подразделений 3-й воздушной армии (генерал-майор М.М.Громов) началась операция по снабжению партизан оружием, боеприпасами и материальными средствами. За 12 суток было совершено 96 боевых вылетов. Ночами переброшено во вражеский тыл 50 тонн боеприпасов, 150 бойцов-подрывников, 106 человек руководящего состава, спецоборудование, 5 типографий и 16 радиостанций (15060).</w:t>
      </w:r>
    </w:p>
    <w:p w14:paraId="14BA52B6" w14:textId="77777777" w:rsidR="00D36892" w:rsidRPr="00D03F3E" w:rsidRDefault="00D36892" w:rsidP="00D03F3E">
      <w:pPr>
        <w:spacing w:after="0" w:line="240" w:lineRule="auto"/>
        <w:jc w:val="both"/>
        <w:rPr>
          <w:rFonts w:ascii="Times New Roman" w:hAnsi="Times New Roman"/>
          <w:color w:val="000000" w:themeColor="text1"/>
          <w:sz w:val="16"/>
          <w:szCs w:val="16"/>
        </w:rPr>
      </w:pPr>
    </w:p>
    <w:p w14:paraId="4B03BA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6 по 20 марта 1943 планерно-десантное подразделение 3 воздушной армии, размещавшееся в районе Старой Торопой вблизи Великих Лук на Калининском фронте провело операцию по снабжению партизан. Приняло участие 35 планеров А-7, 20 Гр-29. За 12 суток перебросили 50 т боеприпасов и 150 бойцов-подрывников, а также 106 руководителей, спецоборудование, включая 5 типографий и 16 радиостанций. 96 вылетов за ДБ-3Ф и СБ (АНТ-40) (89,104).</w:t>
      </w:r>
    </w:p>
    <w:p w14:paraId="691A7F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96B457"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6 по 20 марта 1943 г. всего было израсходовано 65 планёров А-7 и Г-11. Перевезли 60 т разных гру</w:t>
      </w:r>
      <w:r w:rsidRPr="00D03F3E">
        <w:rPr>
          <w:rFonts w:ascii="Times New Roman" w:hAnsi="Times New Roman"/>
          <w:color w:val="000000" w:themeColor="text1"/>
          <w:sz w:val="16"/>
          <w:szCs w:val="16"/>
        </w:rPr>
        <w:softHyphen/>
        <w:t>зов, пять типографий и 10 радиостан</w:t>
      </w:r>
      <w:r w:rsidRPr="00D03F3E">
        <w:rPr>
          <w:rFonts w:ascii="Times New Roman" w:hAnsi="Times New Roman"/>
          <w:color w:val="000000" w:themeColor="text1"/>
          <w:sz w:val="16"/>
          <w:szCs w:val="16"/>
        </w:rPr>
        <w:softHyphen/>
        <w:t>ций, доставили 106 человек руково</w:t>
      </w:r>
      <w:r w:rsidRPr="00D03F3E">
        <w:rPr>
          <w:rFonts w:ascii="Times New Roman" w:hAnsi="Times New Roman"/>
          <w:color w:val="000000" w:themeColor="text1"/>
          <w:sz w:val="16"/>
          <w:szCs w:val="16"/>
        </w:rPr>
        <w:softHyphen/>
        <w:t>дящего состава, высадили десант из 150 гвардейцев-подрывников. В тыл врага десантировались отдельные ди</w:t>
      </w:r>
      <w:r w:rsidRPr="00D03F3E">
        <w:rPr>
          <w:rFonts w:ascii="Times New Roman" w:hAnsi="Times New Roman"/>
          <w:color w:val="000000" w:themeColor="text1"/>
          <w:sz w:val="16"/>
          <w:szCs w:val="16"/>
        </w:rPr>
        <w:softHyphen/>
        <w:t>версионные группы. Из партизанского района вывезли 65 пилотов-планерис</w:t>
      </w:r>
      <w:r w:rsidRPr="00D03F3E">
        <w:rPr>
          <w:rFonts w:ascii="Times New Roman" w:hAnsi="Times New Roman"/>
          <w:color w:val="000000" w:themeColor="text1"/>
          <w:sz w:val="16"/>
          <w:szCs w:val="16"/>
        </w:rPr>
        <w:softHyphen/>
        <w:t>тов, 19 партизан, 800 кг ценного груза и 2 миллиона рублей, собранных населе</w:t>
      </w:r>
      <w:r w:rsidRPr="00D03F3E">
        <w:rPr>
          <w:rFonts w:ascii="Times New Roman" w:hAnsi="Times New Roman"/>
          <w:color w:val="000000" w:themeColor="text1"/>
          <w:sz w:val="16"/>
          <w:szCs w:val="16"/>
        </w:rPr>
        <w:softHyphen/>
        <w:t>нием и партизанами на постройку само</w:t>
      </w:r>
      <w:r w:rsidRPr="00D03F3E">
        <w:rPr>
          <w:rFonts w:ascii="Times New Roman" w:hAnsi="Times New Roman"/>
          <w:color w:val="000000" w:themeColor="text1"/>
          <w:sz w:val="16"/>
          <w:szCs w:val="16"/>
        </w:rPr>
        <w:softHyphen/>
        <w:t>лётов. Партизаны районов Селявщина и Бегомль в результате операции полу</w:t>
      </w:r>
      <w:r w:rsidRPr="00D03F3E">
        <w:rPr>
          <w:rFonts w:ascii="Times New Roman" w:hAnsi="Times New Roman"/>
          <w:color w:val="000000" w:themeColor="text1"/>
          <w:sz w:val="16"/>
          <w:szCs w:val="16"/>
        </w:rPr>
        <w:softHyphen/>
        <w:t>чили оружия и боеприпасов больше, чем за весь предыдущий год (12266).</w:t>
      </w:r>
    </w:p>
    <w:p w14:paraId="0891353E"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45B4318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советские войска освободили Гжатск (4962).</w:t>
      </w:r>
    </w:p>
    <w:p w14:paraId="2CDC4BF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5A8F8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1F4212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8389CE" w14:textId="77777777" w:rsidR="00CD129D" w:rsidRPr="00D03F3E" w:rsidRDefault="00CD129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6 марта 1943 - (в ночь на 6-е) Командование бомбардировщиков ВВС Британии начинает серию бомбардировок района Рур в Германии с рейда на Эссен. 157 Ланкастеров, 131 Веллингтона, 94 Галифакса, 52 Стирлинга, 8 Москито; всего 442 самолета. Потеряно 3.2% начального состава. Стотысячный вылет RAF в ВМВ. Выгорело 65 гектаров города (в основном жилые районы), сильно повреждены заводы Круппа.  Эта тае называемая "Битва при Руре" продлится до середины июля (22579).</w:t>
      </w:r>
    </w:p>
    <w:p w14:paraId="3E4A8CEC" w14:textId="77777777" w:rsidR="00CD129D" w:rsidRPr="00D03F3E" w:rsidRDefault="00CD129D" w:rsidP="00D03F3E">
      <w:pPr>
        <w:spacing w:after="0" w:line="240" w:lineRule="auto"/>
        <w:jc w:val="both"/>
        <w:rPr>
          <w:rFonts w:ascii="Times New Roman" w:hAnsi="Times New Roman"/>
          <w:color w:val="0070C0"/>
          <w:sz w:val="16"/>
          <w:szCs w:val="16"/>
        </w:rPr>
      </w:pPr>
    </w:p>
    <w:p w14:paraId="44BD4F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RAF бомбили Эссен и заводы Круппа в Руре (2100).</w:t>
      </w:r>
    </w:p>
    <w:p w14:paraId="2D973C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0613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1943 г Роммель покинул Африканский корпус (2262).</w:t>
      </w:r>
    </w:p>
    <w:p w14:paraId="6A24C2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3CCFD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7AFD52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438C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началу марта 1943 уже построенный одноместный Су-6 М-71ф был переделан в двухместный вариант в полном соответствии с Эскизным проектом. Заводские летные испытания начались 10 марта. Летал летчик-испытатель завода № 289 Н.Д. Фиксон. из-за неважной работы мотора М-71ф испытания затянулись. Повести винтомоторную группу удалось только к лету. 19 июня двухместный Су-6 М-71ф (С2А) был официально передан в НИИ ВВС КА для производства государственных летных испытаний (11474,414).</w:t>
      </w:r>
    </w:p>
    <w:p w14:paraId="317AC15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572308" w14:textId="77777777" w:rsidR="00751AD0" w:rsidRPr="00D03F3E" w:rsidRDefault="00751AD0"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 началу марта 1943 г. уже построенный одно</w:t>
      </w:r>
      <w:r w:rsidRPr="00D03F3E">
        <w:rPr>
          <w:color w:val="000000" w:themeColor="text1"/>
          <w:sz w:val="16"/>
          <w:szCs w:val="16"/>
        </w:rPr>
        <w:softHyphen/>
        <w:t>местный Су-6 М-71ф с пушками 11П был переде</w:t>
      </w:r>
      <w:r w:rsidRPr="00D03F3E">
        <w:rPr>
          <w:color w:val="000000" w:themeColor="text1"/>
          <w:sz w:val="16"/>
          <w:szCs w:val="16"/>
        </w:rPr>
        <w:softHyphen/>
        <w:t>лан в двухместный вариант в полном соответствии с эскизным проектом. Заводские летные испытания начались 10 марта. Летал летчик-испытатель завода № 289 Н. Д. Фиксон. Из-за неважной работы мотора М-71ф испытания затянулись. Довести винтомотор</w:t>
      </w:r>
      <w:r w:rsidRPr="00D03F3E">
        <w:rPr>
          <w:color w:val="000000" w:themeColor="text1"/>
          <w:sz w:val="16"/>
          <w:szCs w:val="16"/>
        </w:rPr>
        <w:softHyphen/>
        <w:t>ную группу удалось только к лету. 19 июня двух</w:t>
      </w:r>
      <w:r w:rsidRPr="00D03F3E">
        <w:rPr>
          <w:color w:val="000000" w:themeColor="text1"/>
          <w:sz w:val="16"/>
          <w:szCs w:val="16"/>
        </w:rPr>
        <w:softHyphen/>
        <w:t>местный Су-6 М-71ф (С2А) был официально пере</w:t>
      </w:r>
      <w:r w:rsidRPr="00D03F3E">
        <w:rPr>
          <w:color w:val="000000" w:themeColor="text1"/>
          <w:sz w:val="16"/>
          <w:szCs w:val="16"/>
        </w:rPr>
        <w:softHyphen/>
        <w:t>дан в НИИ ВВС для производства государственных летных испытаний (17500).</w:t>
      </w:r>
    </w:p>
    <w:p w14:paraId="22E7C53F" w14:textId="77777777" w:rsidR="00751AD0" w:rsidRPr="00D03F3E" w:rsidRDefault="00751AD0" w:rsidP="00D03F3E">
      <w:pPr>
        <w:pStyle w:val="12a"/>
        <w:shd w:val="clear" w:color="auto" w:fill="auto"/>
        <w:spacing w:after="0" w:line="240" w:lineRule="auto"/>
        <w:jc w:val="both"/>
        <w:rPr>
          <w:color w:val="000000" w:themeColor="text1"/>
          <w:sz w:val="16"/>
          <w:szCs w:val="16"/>
        </w:rPr>
      </w:pPr>
    </w:p>
    <w:p w14:paraId="3086C5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марта 1943 двухместный вариант Су-6 М-71Ф («2Ас») в разобранном виде перевезли из Молотова в Ка</w:t>
      </w:r>
      <w:r w:rsidRPr="00D03F3E">
        <w:rPr>
          <w:rFonts w:ascii="Times New Roman" w:hAnsi="Times New Roman"/>
          <w:color w:val="000000" w:themeColor="text1"/>
          <w:sz w:val="16"/>
          <w:szCs w:val="16"/>
        </w:rPr>
        <w:softHyphen/>
        <w:t>лининград для проведения заводс</w:t>
      </w:r>
      <w:r w:rsidRPr="00D03F3E">
        <w:rPr>
          <w:rFonts w:ascii="Times New Roman" w:hAnsi="Times New Roman"/>
          <w:color w:val="000000" w:themeColor="text1"/>
          <w:sz w:val="16"/>
          <w:szCs w:val="16"/>
        </w:rPr>
        <w:softHyphen/>
        <w:t>ких летных испытаний. 10 марта 1943 года летчик ис</w:t>
      </w:r>
      <w:r w:rsidRPr="00D03F3E">
        <w:rPr>
          <w:rFonts w:ascii="Times New Roman" w:hAnsi="Times New Roman"/>
          <w:color w:val="000000" w:themeColor="text1"/>
          <w:sz w:val="16"/>
          <w:szCs w:val="16"/>
        </w:rPr>
        <w:softHyphen/>
        <w:t>пытатель завода №289 Н.Д.Фиксон поднял Су-6 («2Ас») в воздух. Завод</w:t>
      </w:r>
      <w:r w:rsidRPr="00D03F3E">
        <w:rPr>
          <w:rFonts w:ascii="Times New Roman" w:hAnsi="Times New Roman"/>
          <w:color w:val="000000" w:themeColor="text1"/>
          <w:sz w:val="16"/>
          <w:szCs w:val="16"/>
        </w:rPr>
        <w:softHyphen/>
        <w:t>ские испытания завершились 18 июня 1943 года (11845).</w:t>
      </w:r>
    </w:p>
    <w:p w14:paraId="3D5286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048A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марта 1943 г. руководящий состав завода №26 обсудил положение дел с выпуском новых авиационных моторов. Основной вывод гласил: причиной низких темпов работ являлась разбросанность по большому количеству переходных типов моторов. “Сосредоточив все усилия и внимание на моторах М-107А, завод №26 сможет закончить доводку и освоение их в серийном производстве в скорейшие сроки. Это позволит любой самолетостроительный завод немедленно переводить на выпуск новых самолетов”, - говорилось в письме, адресованном А.И.Шахурину.</w:t>
      </w:r>
    </w:p>
    <w:p w14:paraId="233DCA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В.П.Баландин, В.Л.Климов и П.Д.Лаврентьев убеждали Наркома, что если Правительство снимет с них плановое задание по М-106 (во всех вариантах), то они смогут принять на себя обязательстно к 1 мая 1943 г. закончить государственные 100-часовые испытания М-107А, а в июне выпустить не менее 150 полноценных, надежно работающих двигателей.</w:t>
      </w:r>
    </w:p>
    <w:p w14:paraId="147BAA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временем НКАП создал авторитетную комиссию по вопросу о развертывании на заводе №26 новых моторов. Вопреки общепринятой практике, в ее работе приняли участие не только видные специалисты ЦИАМ, такие как А.А.Фадеев, но и летчик-ис-пытатель М.Л.Галлай. Председателем комиссии назначили начальника 8-го ГУ НКАП В.И.Поликовского (по совместительству возглавлявшего ЦИАМ).</w:t>
      </w:r>
    </w:p>
    <w:p w14:paraId="675A58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Заключение комиссии очень напоминает рассуждение на тему что лучше: журавль в небе (М-107А) или синица в руке (М-106). По ее мнению, несмотря на очевидные </w:t>
      </w:r>
      <w:r w:rsidRPr="00D03F3E">
        <w:rPr>
          <w:rFonts w:ascii="Times New Roman" w:hAnsi="Times New Roman"/>
          <w:color w:val="000000" w:themeColor="text1"/>
          <w:sz w:val="16"/>
          <w:szCs w:val="16"/>
        </w:rPr>
        <w:lastRenderedPageBreak/>
        <w:t>успехи в работе над М-107А и возможность участия нескольких десятков истребителей с этим мотором в летних боях 1943 г., основным двигателем серийной авиации этот мотор пока стать не сможет. Отмечая, что уфимский завод обещал в сентябре-октябре 1943 г. полностью перейти на выпуск М-107А, комиссия не исключила "возможность длительных задержек и непредвиденных затруднений в его доводке и внедрении в широкую летную эксплуатацию”.</w:t>
      </w:r>
    </w:p>
    <w:p w14:paraId="1014AF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то же время, нельзя было не учитывать, что мотор М-106 удалось неплохо отладить. Поэтому комиссия считала, что даже “временный переход на моторы М-106 вполне целесообразен, поскольку его высотные данные значительно лучше, чем у М-105ПФ, а серйное производство мотора М-106 может быть обеспечено в любых требуемых масштабах”. Большая унификация деталей и узлов двух двигателей позволяла предположить "относительно безболезненный переход от моторов М- 105ПФ к моторам М-106, без ущерба для развертывания серийного производства М-107А”. Словом, В.И.Поликовский не поддержал предложения В.П.Баландина по прекращению работ над М-106 (4537).</w:t>
      </w:r>
    </w:p>
    <w:p w14:paraId="049EFB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234A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марта 1943 г. Шахурин известил Поликар</w:t>
      </w:r>
      <w:r w:rsidRPr="00D03F3E">
        <w:rPr>
          <w:rFonts w:ascii="Times New Roman" w:hAnsi="Times New Roman"/>
          <w:color w:val="000000" w:themeColor="text1"/>
          <w:sz w:val="16"/>
          <w:szCs w:val="16"/>
        </w:rPr>
        <w:softHyphen/>
        <w:t>пова о том, что официальным мотивом задержки реше</w:t>
      </w:r>
      <w:r w:rsidRPr="00D03F3E">
        <w:rPr>
          <w:rFonts w:ascii="Times New Roman" w:hAnsi="Times New Roman"/>
          <w:color w:val="000000" w:themeColor="text1"/>
          <w:sz w:val="16"/>
          <w:szCs w:val="16"/>
        </w:rPr>
        <w:softHyphen/>
        <w:t>ния о запуске И-185 в серию явилось отсутствие летного испытания самолета на дальность, т.е. по формальному признаку (10667).</w:t>
      </w:r>
    </w:p>
    <w:p w14:paraId="7EEBD5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62B5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марта 1943 о принятом в Кремле решении по И-185 сообщили Поликарпову. Николай Николаевич хотел встретиться с Яковле</w:t>
      </w:r>
      <w:r w:rsidRPr="00D03F3E">
        <w:rPr>
          <w:rFonts w:ascii="Times New Roman" w:hAnsi="Times New Roman"/>
          <w:color w:val="000000" w:themeColor="text1"/>
          <w:sz w:val="16"/>
          <w:szCs w:val="16"/>
        </w:rPr>
        <w:softHyphen/>
        <w:t>вым для выяснения, что предпринято по его письму. Однако Александр Сергеевич ни в наркомате, ни дома (квартира Яковлева находилась тогда в том же доме, эта</w:t>
      </w:r>
      <w:r w:rsidRPr="00D03F3E">
        <w:rPr>
          <w:rFonts w:ascii="Times New Roman" w:hAnsi="Times New Roman"/>
          <w:color w:val="000000" w:themeColor="text1"/>
          <w:sz w:val="16"/>
          <w:szCs w:val="16"/>
        </w:rPr>
        <w:softHyphen/>
        <w:t>жом выше квартиры Поликарпова) на встречу не шел и говорить об этом отказывался. А.С.Яковлев был сложной натурой: в нем прекрасно уживались талантливый конструктор, жесткий админи</w:t>
      </w:r>
      <w:r w:rsidRPr="00D03F3E">
        <w:rPr>
          <w:rFonts w:ascii="Times New Roman" w:hAnsi="Times New Roman"/>
          <w:color w:val="000000" w:themeColor="text1"/>
          <w:sz w:val="16"/>
          <w:szCs w:val="16"/>
        </w:rPr>
        <w:softHyphen/>
        <w:t>стратор и заботящийся о своих интересах политик. В 1942 г., преследуя свои цели, он, едва ли не единствен</w:t>
      </w:r>
      <w:r w:rsidRPr="00D03F3E">
        <w:rPr>
          <w:rFonts w:ascii="Times New Roman" w:hAnsi="Times New Roman"/>
          <w:color w:val="000000" w:themeColor="text1"/>
          <w:sz w:val="16"/>
          <w:szCs w:val="16"/>
        </w:rPr>
        <w:softHyphen/>
        <w:t>ный из руководства Наркомата авиационной промыш</w:t>
      </w:r>
      <w:r w:rsidRPr="00D03F3E">
        <w:rPr>
          <w:rFonts w:ascii="Times New Roman" w:hAnsi="Times New Roman"/>
          <w:color w:val="000000" w:themeColor="text1"/>
          <w:sz w:val="16"/>
          <w:szCs w:val="16"/>
        </w:rPr>
        <w:softHyphen/>
        <w:t>ленности, поддержал работы по И-185. Но позднее, надеясь на быструю доводку своего самолета Як-9 с мо</w:t>
      </w:r>
      <w:r w:rsidRPr="00D03F3E">
        <w:rPr>
          <w:rFonts w:ascii="Times New Roman" w:hAnsi="Times New Roman"/>
          <w:color w:val="000000" w:themeColor="text1"/>
          <w:sz w:val="16"/>
          <w:szCs w:val="16"/>
        </w:rPr>
        <w:softHyphen/>
        <w:t>тором М-107, А.С. Яковлев уже не был заинтересован во внедрении в серию нового истребителя Н.Н.Поликар</w:t>
      </w:r>
      <w:r w:rsidRPr="00D03F3E">
        <w:rPr>
          <w:rFonts w:ascii="Times New Roman" w:hAnsi="Times New Roman"/>
          <w:color w:val="000000" w:themeColor="text1"/>
          <w:sz w:val="16"/>
          <w:szCs w:val="16"/>
        </w:rPr>
        <w:softHyphen/>
        <w:t>пова (10667).</w:t>
      </w:r>
    </w:p>
    <w:p w14:paraId="3DD22C0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EF04D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6698B9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18872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 начала марта 1943 года была изготовлена первая партия установок в количестве 35 машин, ко</w:t>
      </w:r>
      <w:r w:rsidRPr="00D03F3E">
        <w:rPr>
          <w:rFonts w:ascii="Times New Roman" w:hAnsi="Times New Roman"/>
          <w:color w:val="000000" w:themeColor="text1"/>
          <w:sz w:val="16"/>
          <w:szCs w:val="16"/>
        </w:rPr>
        <w:softHyphen/>
        <w:t>торые были отправлены на формирование тяжелых самоходно-артил</w:t>
      </w:r>
      <w:r w:rsidRPr="00D03F3E">
        <w:rPr>
          <w:rFonts w:ascii="Times New Roman" w:hAnsi="Times New Roman"/>
          <w:color w:val="000000" w:themeColor="text1"/>
          <w:sz w:val="16"/>
          <w:szCs w:val="16"/>
        </w:rPr>
        <w:softHyphen/>
        <w:t>лерийских полков (ТСАП). Впервые новые боевые машины были ис</w:t>
      </w:r>
      <w:r w:rsidRPr="00D03F3E">
        <w:rPr>
          <w:rFonts w:ascii="Times New Roman" w:hAnsi="Times New Roman"/>
          <w:color w:val="000000" w:themeColor="text1"/>
          <w:sz w:val="16"/>
          <w:szCs w:val="16"/>
        </w:rPr>
        <w:softHyphen/>
        <w:t>пользованы в боях на Курской дуге. Серийное производство самоход</w:t>
      </w:r>
      <w:r w:rsidRPr="00D03F3E">
        <w:rPr>
          <w:rFonts w:ascii="Times New Roman" w:hAnsi="Times New Roman"/>
          <w:color w:val="000000" w:themeColor="text1"/>
          <w:sz w:val="16"/>
          <w:szCs w:val="16"/>
        </w:rPr>
        <w:softHyphen/>
        <w:t>ных установок СУ-152 продолжалось до декабря 1943 г. - до снятия с производства танка КВ-1 С (10703).</w:t>
      </w:r>
    </w:p>
    <w:p w14:paraId="2404CFF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A9E0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 начала марта 1943 года была изготовлена первая партия установок КВ-14 в количестве 35 машин, которые были отправлены на формирование тяжелых самоходно-артиллерийских полков РВГК. Такие полки формировались по штату № 08/218 (361 человек, 12 СУ-152). С апреля тсап стали переводиться на штат № 010/454, отличавшийся от предыдущего введением во взвод управления полка танка KB для командира полка и одного бронеавтомобиля БА-64 для разведки и связи. В октябре 1943 года полки СУ-152 были реорганизованы по штату № 010/482 (234 человека, 12 СУ-152, 1 КВ1С). Тогда же наиболее управляемым был признан штат четырехбатарейного полка. В период с октября 1943 по февраль 1944-го все полки получили САУ для командиров батарей и были переведены на новый штат № 010/461. По нему тсап стал иметь четыре батареи по пять САУ в каждой — всего 21 установку. По этому штату в полк дополнительно были введены рота автоматчиков и саперный взвод (11638).</w:t>
      </w:r>
    </w:p>
    <w:p w14:paraId="7B19AF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6A3B17" w14:textId="77777777" w:rsidR="00751AD0" w:rsidRPr="00D03F3E" w:rsidRDefault="00751AD0"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начале марта 1943 был построен первый эталонный экземпляр Т-80. Для его сборки использовались корпус и башня, которые изготовили на заводе №176. Этот завод также являлся поставщиком корпусов и башен для завода №40, так что никаких существенных отличий машины двух заводов не имели. Это касается и люка механика-водителя, который у опытного Т-80 был литой, а у эталонного штампованный.</w:t>
      </w:r>
    </w:p>
    <w:p w14:paraId="3D6997D4" w14:textId="77777777" w:rsidR="00751AD0" w:rsidRPr="00D03F3E" w:rsidRDefault="00751AD0"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ходе испытаний первого серийного Т-80 обнаружились проблемы. После 11-го выстрела разорвало кронштейн реактивной тяги подъёмного механизма. Начались работы по устранению проблемы. Тем временем к 11 марта было готово ещё 2 танка, ещё 6 находились в сборке. До конца месяца было готово 8 Т-80, правда, из них полностью укомплектованными всеми агрегатами было 7 машин. Ещё 9 танков было заложено и ожидало сборку.</w:t>
      </w:r>
    </w:p>
    <w:p w14:paraId="16F27BE1" w14:textId="77777777" w:rsidR="00751AD0" w:rsidRPr="00D03F3E" w:rsidRDefault="00751AD0" w:rsidP="00D03F3E">
      <w:pPr>
        <w:pStyle w:val="ae"/>
        <w:shd w:val="clear" w:color="auto" w:fill="FFFFFF"/>
        <w:spacing w:before="0" w:after="0"/>
        <w:jc w:val="both"/>
        <w:rPr>
          <w:color w:val="000000" w:themeColor="text1"/>
          <w:sz w:val="16"/>
          <w:szCs w:val="16"/>
        </w:rPr>
      </w:pPr>
      <w:r w:rsidRPr="00D03F3E">
        <w:rPr>
          <w:color w:val="000000" w:themeColor="text1"/>
          <w:sz w:val="16"/>
          <w:szCs w:val="16"/>
        </w:rPr>
        <w:t>Причина, по которой эти танки не появились в сводках по выпуску ГАЗ им. Молотова, заключается в том, что они официально не были приняты. В ежемесячном отчёте старший военпред Окунев писал, что в виду проблем при стрельбе на максимальных углах возвышения танки приняли только условно.</w:t>
      </w:r>
    </w:p>
    <w:p w14:paraId="6F8734BC" w14:textId="77777777" w:rsidR="00751AD0" w:rsidRPr="00D03F3E" w:rsidRDefault="00751AD0" w:rsidP="00D03F3E">
      <w:pPr>
        <w:pStyle w:val="ae"/>
        <w:shd w:val="clear" w:color="auto" w:fill="FFFFFF"/>
        <w:spacing w:before="0" w:after="0"/>
        <w:jc w:val="both"/>
        <w:rPr>
          <w:color w:val="000000" w:themeColor="text1"/>
          <w:sz w:val="16"/>
          <w:szCs w:val="16"/>
        </w:rPr>
      </w:pPr>
      <w:r w:rsidRPr="00D03F3E">
        <w:rPr>
          <w:color w:val="000000" w:themeColor="text1"/>
          <w:sz w:val="16"/>
          <w:szCs w:val="16"/>
        </w:rPr>
        <w:t>Параллельно с постройкой продолжались доводочные работы. Например, были разработаны люки в днище, которые позволяли снять нижние картеры моторов без их демонтажа. Также заводское КБ разработало подвижную бронировку орудийной маски сварной конструкции. Правда, многие позиции по модернизации так и не были внедрены в серийное производство. Уже в апреле работы по Т-80 на ГАЗ им. Молотова постепенно стали затухать.</w:t>
      </w:r>
    </w:p>
    <w:p w14:paraId="30FF13DF" w14:textId="77777777" w:rsidR="00751AD0" w:rsidRPr="00D03F3E" w:rsidRDefault="00751AD0" w:rsidP="00D03F3E">
      <w:pPr>
        <w:pStyle w:val="ae"/>
        <w:shd w:val="clear" w:color="auto" w:fill="FFFFFF"/>
        <w:spacing w:before="0" w:after="0"/>
        <w:jc w:val="both"/>
        <w:rPr>
          <w:color w:val="000000" w:themeColor="text1"/>
          <w:sz w:val="16"/>
          <w:szCs w:val="16"/>
        </w:rPr>
      </w:pPr>
      <w:r w:rsidRPr="00D03F3E">
        <w:rPr>
          <w:color w:val="000000" w:themeColor="text1"/>
          <w:sz w:val="16"/>
          <w:szCs w:val="16"/>
        </w:rPr>
        <w:t>Стоящие на заводском дворе танки с дефектными орудийными установками продолжали ждать своего часа. Поскольку их так и не приняли, завод не мог их отправить даже в учебную часть. Решением проблемы стало ограничение угла возвышения до 25 градусов. ГБТУ КА такое предложение одобрило с резолюцией, что подобные Т-80 можно использовать только в учебных частях. Правда, передать туда успели всего 2 танка. Они оказались в составе 1-й ОУТБр. Случилось это в июне 1943 года, когда ГАЗ им. Молотова подвергся бомбардировке. Вполне возможно, что оставшиеся машины в её ходе были уничтожены. По крайней мере, тогда становится понятным, откуда в отчёте ГАЗ появляются 4 танка — 2 учебных плюс 2 опытных образца.</w:t>
      </w:r>
    </w:p>
    <w:p w14:paraId="44AA2A5A" w14:textId="77777777" w:rsidR="00751AD0" w:rsidRPr="00D03F3E" w:rsidRDefault="00751AD0" w:rsidP="00D03F3E">
      <w:pPr>
        <w:pStyle w:val="ae"/>
        <w:shd w:val="clear" w:color="auto" w:fill="FFFFFF"/>
        <w:spacing w:before="0" w:after="0"/>
        <w:jc w:val="both"/>
        <w:rPr>
          <w:color w:val="000000" w:themeColor="text1"/>
          <w:sz w:val="16"/>
          <w:szCs w:val="16"/>
        </w:rPr>
      </w:pPr>
      <w:r w:rsidRPr="00D03F3E">
        <w:rPr>
          <w:color w:val="000000" w:themeColor="text1"/>
          <w:sz w:val="16"/>
          <w:szCs w:val="16"/>
        </w:rPr>
        <w:t>Судя по образцу, в котором испытывалась система ВТ-43, у танков выпуска ГАЗ им. Молотова не было поручней на башне, также отсутствовала защита выхлопной системы.</w:t>
      </w:r>
    </w:p>
    <w:p w14:paraId="4F279E74" w14:textId="77777777" w:rsidR="00751AD0" w:rsidRPr="00D03F3E" w:rsidRDefault="00751AD0" w:rsidP="00D03F3E">
      <w:pPr>
        <w:pStyle w:val="ae"/>
        <w:shd w:val="clear" w:color="auto" w:fill="FFFFFF"/>
        <w:spacing w:before="0" w:after="0"/>
        <w:jc w:val="both"/>
        <w:rPr>
          <w:color w:val="000000" w:themeColor="text1"/>
          <w:sz w:val="16"/>
          <w:szCs w:val="16"/>
        </w:rPr>
      </w:pPr>
      <w:r w:rsidRPr="00D03F3E">
        <w:rPr>
          <w:color w:val="000000" w:themeColor="text1"/>
          <w:sz w:val="16"/>
          <w:szCs w:val="16"/>
        </w:rPr>
        <w:t xml:space="preserve">Последние работы заводского КБ по теме Т-80 датированы маем-июнем 1943 года. Позже, в том числе по причине бомбардировки завода, никаких опытных работ не проводилось. Заводу стало совсем не до Т-80. Осталась невостребованной идея об усилении вооружения, с которой выступал Астров. Вместо 45-мм пушки он предлагал установить 76-мм полковую пушку. Другой идеей, которая, по крайней мере, сохранилась на бумаге, была установка 50-мм казнозарядного миномёта С-11. Его разработали в Центральном артиллерийском конструкторском бюро (ЦАКБ), летом 1943 года работы по данной теме велись довольно активно. Идею такого миномёта советские конструкторы подсмотрели у англичан на танках </w:t>
      </w:r>
      <w:hyperlink r:id="rId83" w:history="1">
        <w:r w:rsidRPr="00D03F3E">
          <w:rPr>
            <w:rStyle w:val="a5"/>
            <w:color w:val="000000" w:themeColor="text1"/>
            <w:sz w:val="16"/>
            <w:szCs w:val="16"/>
          </w:rPr>
          <w:t>Valentine</w:t>
        </w:r>
      </w:hyperlink>
      <w:r w:rsidRPr="00D03F3E">
        <w:rPr>
          <w:color w:val="000000" w:themeColor="text1"/>
          <w:sz w:val="16"/>
          <w:szCs w:val="16"/>
        </w:rPr>
        <w:t>. Правда, по ряду причин, прежде всего из-за прекращения производства Т-80, в металле этот проект воплощён не был (17712).</w:t>
      </w:r>
    </w:p>
    <w:p w14:paraId="3DF6A73A" w14:textId="77777777" w:rsidR="00751AD0" w:rsidRPr="00D03F3E" w:rsidRDefault="00751AD0" w:rsidP="00D03F3E">
      <w:pPr>
        <w:pStyle w:val="12a"/>
        <w:shd w:val="clear" w:color="auto" w:fill="auto"/>
        <w:spacing w:after="0" w:line="240" w:lineRule="auto"/>
        <w:jc w:val="both"/>
        <w:rPr>
          <w:color w:val="000000" w:themeColor="text1"/>
          <w:sz w:val="16"/>
          <w:szCs w:val="16"/>
        </w:rPr>
      </w:pPr>
    </w:p>
    <w:p w14:paraId="3A7A22CE" w14:textId="77777777" w:rsidR="00751AD0" w:rsidRPr="00D03F3E" w:rsidRDefault="00751AD0"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начале марта 1943 года на мытищенский завод № 40 стали поступать первые чертежи Т-80. К 1 апреля завод получил 446 станков из 550, из них установили 352. К тому же времени прибыло 3299 рабочих, от 933 из них пришлось отказаться как от физически не пригодных. Большинство остальных рабочих имело низкую квалификацию.</w:t>
      </w:r>
    </w:p>
    <w:p w14:paraId="7A95FE4B" w14:textId="77777777" w:rsidR="00751AD0" w:rsidRPr="00D03F3E" w:rsidRDefault="00751AD0" w:rsidP="00D03F3E">
      <w:pPr>
        <w:pStyle w:val="ae"/>
        <w:shd w:val="clear" w:color="auto" w:fill="FFFFFF"/>
        <w:spacing w:before="0" w:after="0"/>
        <w:jc w:val="both"/>
        <w:rPr>
          <w:color w:val="000000" w:themeColor="text1"/>
          <w:sz w:val="16"/>
          <w:szCs w:val="16"/>
        </w:rPr>
      </w:pPr>
      <w:r w:rsidRPr="00D03F3E">
        <w:rPr>
          <w:color w:val="000000" w:themeColor="text1"/>
          <w:sz w:val="16"/>
          <w:szCs w:val="16"/>
        </w:rPr>
        <w:t xml:space="preserve">Организация производства Т-80 на заводе №40 шла гораздо тяжелее, чем в Горьком. У коллектива в Мытищах задача была куда сложнее. Конечно, уже имелся опыт выпуска </w:t>
      </w:r>
      <w:hyperlink r:id="rId84" w:history="1">
        <w:r w:rsidRPr="00D03F3E">
          <w:rPr>
            <w:rStyle w:val="a5"/>
            <w:color w:val="000000" w:themeColor="text1"/>
            <w:sz w:val="16"/>
            <w:szCs w:val="16"/>
            <w:u w:val="none"/>
          </w:rPr>
          <w:t>СГ-122</w:t>
        </w:r>
      </w:hyperlink>
      <w:r w:rsidRPr="00D03F3E">
        <w:rPr>
          <w:color w:val="000000" w:themeColor="text1"/>
          <w:sz w:val="16"/>
          <w:szCs w:val="16"/>
        </w:rPr>
        <w:t>, но одно дело переделывать уже имеющиеся шасси в САУ, а другое — выпускать танк с нуля. Фактически на месте старого завода строился новый, и простой задачей это точно назвать нельзя. Кроме того, в постановлении ГКО №2661сс были прописаны довольно жёсткие сроки. Уже в апреле завод №40 обязали сдать первые 25 танков.</w:t>
      </w:r>
    </w:p>
    <w:p w14:paraId="67496BB2" w14:textId="77777777" w:rsidR="00751AD0" w:rsidRPr="00D03F3E" w:rsidRDefault="00751AD0" w:rsidP="00D03F3E">
      <w:pPr>
        <w:pStyle w:val="ae"/>
        <w:shd w:val="clear" w:color="auto" w:fill="FFFFFF"/>
        <w:spacing w:before="0" w:after="0"/>
        <w:jc w:val="both"/>
        <w:rPr>
          <w:color w:val="000000" w:themeColor="text1"/>
          <w:sz w:val="16"/>
          <w:szCs w:val="16"/>
        </w:rPr>
      </w:pPr>
      <w:r w:rsidRPr="00D03F3E">
        <w:rPr>
          <w:color w:val="000000" w:themeColor="text1"/>
          <w:sz w:val="16"/>
          <w:szCs w:val="16"/>
        </w:rPr>
        <w:t>Безусловно, завод не бросили на произвол судьбы. Для организации производства с заводов №183, №174, УЗТМ и ЧКЗ выслали специалистов, которые в течение нескольких месяцев проводили консультации на месте. КБ завода №592 реорганизовали в КБ завода №40, при этом часть специалистов, включая Е.В. Синильщикова и С.Г. Перерушева, ушла в ЦАКБ.</w:t>
      </w:r>
    </w:p>
    <w:p w14:paraId="06B56D99" w14:textId="77777777" w:rsidR="00751AD0" w:rsidRPr="00D03F3E" w:rsidRDefault="00751AD0"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Тем не менее организация производства шла в очень сложных условиях. Вместо 500 рабочих, которых должны были прислать в январе, и 2000 в феврале, прибыло всего 214 человек. Имелся серьёзный недобор по конструкторскому составу — к 1 марта 1943 года 58 человек вместо 70 в отделе главного конструктора и 107 человек вместо 254 в техническом бюро</w:t>
      </w:r>
    </w:p>
    <w:p w14:paraId="793A4991" w14:textId="77777777" w:rsidR="00751AD0" w:rsidRPr="00D03F3E" w:rsidRDefault="00751AD0" w:rsidP="00D03F3E">
      <w:pPr>
        <w:pStyle w:val="ae"/>
        <w:shd w:val="clear" w:color="auto" w:fill="FFFFFF"/>
        <w:spacing w:before="0" w:after="0"/>
        <w:jc w:val="both"/>
        <w:rPr>
          <w:color w:val="000000" w:themeColor="text1"/>
          <w:sz w:val="16"/>
          <w:szCs w:val="16"/>
        </w:rPr>
      </w:pPr>
      <w:r w:rsidRPr="00D03F3E">
        <w:rPr>
          <w:color w:val="000000" w:themeColor="text1"/>
          <w:sz w:val="16"/>
          <w:szCs w:val="16"/>
        </w:rPr>
        <w:t>Имелись проблемы и с поставками агрегатов, которые шли от смежников. Например, за весь 2-й квартал 1943 года ГАЗ им. Молотова смог подать всего 12 двигателей М-80. Нехватка моторов стала главным препятствием к выполнению постановления ГКО №2661. Несмотря на все трудности, уже в апреле 1943 года в Мытищах запустили сборку первых Т-80. Хотя сборка танков велась в очень напряжённой обстановке, к 1 мая удалось сдать 5 танков, из них 2 радийных. К 1 июня удалось сдать ещё 7 танков, при этом все ранее выпущенные машины оснастили радиостанциями. Далее производство Т-80 на месяц полностью остановилось. В июне заводчане собрали 8 танков, но военные их не приняли.</w:t>
      </w:r>
    </w:p>
    <w:p w14:paraId="4C25285A" w14:textId="77777777" w:rsidR="00751AD0" w:rsidRPr="00D03F3E" w:rsidRDefault="00751AD0" w:rsidP="00D03F3E">
      <w:pPr>
        <w:pStyle w:val="ae"/>
        <w:shd w:val="clear" w:color="auto" w:fill="FFFFFF"/>
        <w:spacing w:before="0" w:after="0"/>
        <w:jc w:val="both"/>
        <w:rPr>
          <w:color w:val="000000" w:themeColor="text1"/>
          <w:sz w:val="16"/>
          <w:szCs w:val="16"/>
        </w:rPr>
      </w:pPr>
      <w:r w:rsidRPr="00D03F3E">
        <w:rPr>
          <w:color w:val="000000" w:themeColor="text1"/>
          <w:sz w:val="16"/>
          <w:szCs w:val="16"/>
        </w:rPr>
        <w:t>Старший военный представитель на заводе №40 инженер-майор Слюсарев в своём отчёте громил руководство, обвиняя его в бездействии. Возможно, в чём-то он и прав, организация производства по некоторым направлениям шла медленно. Но нужно понимать, что нельзя просто так взять и почти на пустом месте за 3-4 месяца организовать танковый завод, который будет выполнять не маленький план, да ещё и выдерживать при этом качество. При остром дефиците кадров и не до конца введённых в строй производственных мощностях других результатов и быть не могло.</w:t>
      </w:r>
    </w:p>
    <w:p w14:paraId="4889D518" w14:textId="77777777" w:rsidR="00751AD0" w:rsidRPr="00D03F3E" w:rsidRDefault="00751AD0" w:rsidP="00D03F3E">
      <w:pPr>
        <w:pStyle w:val="ae"/>
        <w:shd w:val="clear" w:color="auto" w:fill="FFFFFF"/>
        <w:spacing w:before="0" w:after="0"/>
        <w:jc w:val="both"/>
        <w:rPr>
          <w:color w:val="000000" w:themeColor="text1"/>
          <w:sz w:val="16"/>
          <w:szCs w:val="16"/>
        </w:rPr>
      </w:pPr>
      <w:r w:rsidRPr="00D03F3E">
        <w:rPr>
          <w:color w:val="000000" w:themeColor="text1"/>
          <w:sz w:val="16"/>
          <w:szCs w:val="16"/>
        </w:rPr>
        <w:t xml:space="preserve">Дефекты на мытищинских танках являлись весьма частым явлением. С мая по июнь 1943 года отмечено 4 случая выхода из строя бортовых передач и 2 случая поломки главных передач. Масса нареканий вызвала установка артиллерийской системы. Помимо дефектов механизма отката, аналогичных тем, что наблюдались на ГАЗ им. Молотова, отмечались и дефекты сборки. Например, прицел ТМФ, который временно ставили вместо ТП-80, позволял вести огонь при угле возвышения орудия не больше 50-53 градусов. Фактически все танки выпуска апреля-мая 1943 года требовали доработок. На это указывали результаты испытания Т-80 майского выпуска, который в июне 1943 года направили на НИБТ Полигон. После 370 километров пробега случилась поломка шестерён главной и бортовых передач, на этом </w:t>
      </w:r>
      <w:r w:rsidRPr="00D03F3E">
        <w:rPr>
          <w:color w:val="000000" w:themeColor="text1"/>
          <w:sz w:val="16"/>
          <w:szCs w:val="16"/>
        </w:rPr>
        <w:lastRenderedPageBreak/>
        <w:t>гарантийный пробег закончился (17712).</w:t>
      </w:r>
    </w:p>
    <w:p w14:paraId="6AC0CFBC" w14:textId="77777777" w:rsidR="00751AD0" w:rsidRPr="00D03F3E" w:rsidRDefault="00751AD0" w:rsidP="00D03F3E">
      <w:pPr>
        <w:pStyle w:val="12a"/>
        <w:shd w:val="clear" w:color="auto" w:fill="auto"/>
        <w:spacing w:after="0" w:line="240" w:lineRule="auto"/>
        <w:jc w:val="both"/>
        <w:rPr>
          <w:color w:val="000000" w:themeColor="text1"/>
          <w:sz w:val="16"/>
          <w:szCs w:val="16"/>
        </w:rPr>
      </w:pPr>
    </w:p>
    <w:p w14:paraId="01EE4D39" w14:textId="77777777" w:rsidR="00AC5101" w:rsidRPr="00D03F3E" w:rsidRDefault="00AC5101" w:rsidP="00D03F3E">
      <w:pPr>
        <w:pStyle w:val="ae"/>
        <w:spacing w:before="0" w:after="0"/>
        <w:jc w:val="both"/>
        <w:rPr>
          <w:color w:val="000000" w:themeColor="text1"/>
          <w:sz w:val="16"/>
          <w:szCs w:val="16"/>
        </w:rPr>
      </w:pPr>
      <w:r w:rsidRPr="00D03F3E">
        <w:rPr>
          <w:color w:val="000000" w:themeColor="text1"/>
          <w:sz w:val="16"/>
          <w:szCs w:val="16"/>
        </w:rPr>
        <w:t>К началу марта 1943 года удалось собрать первый опытный образец новой машины, получившей обозначение СУ-76И (И — «иностранная»). Связано это было прежде всего с тем, что находившийся в Москве завод № 37 (ныне это территория НИИ ДАР у станции метро «Преображенская площадь») имел очень ограниченный станочный парк и небольшое число рабочих — основное производство эвакуировалось в Свердловск еще в октябре 1941 года.</w:t>
      </w:r>
    </w:p>
    <w:p w14:paraId="2E1522BB" w14:textId="77777777" w:rsidR="00AC5101" w:rsidRPr="00D03F3E" w:rsidRDefault="00AC5101" w:rsidP="00D03F3E">
      <w:pPr>
        <w:pStyle w:val="ae"/>
        <w:spacing w:before="0" w:after="0"/>
        <w:jc w:val="both"/>
        <w:rPr>
          <w:color w:val="000000" w:themeColor="text1"/>
          <w:sz w:val="16"/>
          <w:szCs w:val="16"/>
        </w:rPr>
      </w:pPr>
      <w:r w:rsidRPr="00D03F3E">
        <w:rPr>
          <w:color w:val="000000" w:themeColor="text1"/>
          <w:sz w:val="16"/>
          <w:szCs w:val="16"/>
        </w:rPr>
        <w:t>Испытания первого опытного образца СУ-76И прошли на Софринском артиллерийском полигоне с 13 по 20 марта 1943 года в объеме 434 выстрела (из них 212 на усиленном заряде) и 280 километров пробега (93 шоссе, 187 проселок).</w:t>
      </w:r>
    </w:p>
    <w:p w14:paraId="7BE21B0D" w14:textId="77777777" w:rsidR="00AC5101" w:rsidRPr="00D03F3E" w:rsidRDefault="00AC5101" w:rsidP="00D03F3E">
      <w:pPr>
        <w:pStyle w:val="ae"/>
        <w:spacing w:before="0" w:after="0"/>
        <w:jc w:val="both"/>
        <w:rPr>
          <w:color w:val="000000" w:themeColor="text1"/>
          <w:sz w:val="16"/>
          <w:szCs w:val="16"/>
        </w:rPr>
      </w:pPr>
      <w:r w:rsidRPr="00D03F3E">
        <w:rPr>
          <w:color w:val="000000" w:themeColor="text1"/>
          <w:sz w:val="16"/>
          <w:szCs w:val="16"/>
        </w:rPr>
        <w:t>Рассмотрев результаты испытаний указанной самоходной артиллерийской установки, танковое управление ГБТУ КА посчитало «установку отечественной танковой пушки Ф-34 на трофейном танке Т-3 целесообразной». При этом сообщалось, что при производстве машин должны соблюдаться следующие условия:</w:t>
      </w:r>
    </w:p>
    <w:p w14:paraId="2C34BEA1" w14:textId="77777777" w:rsidR="00AC5101" w:rsidRPr="00D03F3E" w:rsidRDefault="00AC5101" w:rsidP="00D03F3E">
      <w:pPr>
        <w:pStyle w:val="ae"/>
        <w:spacing w:before="0" w:after="0"/>
        <w:jc w:val="both"/>
        <w:rPr>
          <w:color w:val="000000" w:themeColor="text1"/>
          <w:sz w:val="16"/>
          <w:szCs w:val="16"/>
        </w:rPr>
      </w:pPr>
      <w:r w:rsidRPr="00D03F3E">
        <w:rPr>
          <w:color w:val="000000" w:themeColor="text1"/>
          <w:sz w:val="16"/>
          <w:szCs w:val="16"/>
        </w:rPr>
        <w:t>«1. Все образцы СУ-76, поставляемые в Армию, должны иметь вес, не превышающий веса опытного образца.</w:t>
      </w:r>
    </w:p>
    <w:p w14:paraId="7E81F888" w14:textId="77777777" w:rsidR="00AC5101" w:rsidRPr="00D03F3E" w:rsidRDefault="00AC5101" w:rsidP="00D03F3E">
      <w:pPr>
        <w:pStyle w:val="ae"/>
        <w:spacing w:before="0" w:after="0"/>
        <w:jc w:val="both"/>
        <w:rPr>
          <w:color w:val="000000" w:themeColor="text1"/>
          <w:sz w:val="16"/>
          <w:szCs w:val="16"/>
        </w:rPr>
      </w:pPr>
      <w:r w:rsidRPr="00D03F3E">
        <w:rPr>
          <w:color w:val="000000" w:themeColor="text1"/>
          <w:sz w:val="16"/>
          <w:szCs w:val="16"/>
        </w:rPr>
        <w:t>2. При использовании трофейной матчасти танков все агрегаты должны быть перебраны и тщательно осмотрены.</w:t>
      </w:r>
    </w:p>
    <w:p w14:paraId="5B2875A3" w14:textId="77777777" w:rsidR="00AC5101" w:rsidRPr="00D03F3E" w:rsidRDefault="00AC5101" w:rsidP="00D03F3E">
      <w:pPr>
        <w:pStyle w:val="ae"/>
        <w:spacing w:before="0" w:after="0"/>
        <w:jc w:val="both"/>
        <w:rPr>
          <w:color w:val="000000" w:themeColor="text1"/>
          <w:sz w:val="16"/>
          <w:szCs w:val="16"/>
        </w:rPr>
      </w:pPr>
      <w:r w:rsidRPr="00D03F3E">
        <w:rPr>
          <w:color w:val="000000" w:themeColor="text1"/>
          <w:sz w:val="16"/>
          <w:szCs w:val="16"/>
        </w:rPr>
        <w:t>3. Каждый образец, передаваемый в Армию, должен быть обеспечен запасными катками и звёздочками (катков 4 шт., звездочек 1 шт.). Катки должны быть переобрезинены на отечественных заводах.</w:t>
      </w:r>
    </w:p>
    <w:p w14:paraId="3A35CE59" w14:textId="77777777" w:rsidR="00AC5101" w:rsidRPr="00D03F3E" w:rsidRDefault="00AC5101" w:rsidP="00D03F3E">
      <w:pPr>
        <w:pStyle w:val="ae"/>
        <w:spacing w:before="0" w:after="0"/>
        <w:jc w:val="both"/>
        <w:rPr>
          <w:color w:val="000000" w:themeColor="text1"/>
          <w:sz w:val="16"/>
          <w:szCs w:val="16"/>
        </w:rPr>
      </w:pPr>
      <w:r w:rsidRPr="00D03F3E">
        <w:rPr>
          <w:color w:val="000000" w:themeColor="text1"/>
          <w:sz w:val="16"/>
          <w:szCs w:val="16"/>
        </w:rPr>
        <w:t>4. Каждый образец СУ-76 должен быть снабжен шпорами на гусеницы из расчёта одна шпора на каждый пятый трак гусеничной цепи.</w:t>
      </w:r>
    </w:p>
    <w:p w14:paraId="3D3A07E5" w14:textId="77777777" w:rsidR="00AC5101" w:rsidRPr="00D03F3E" w:rsidRDefault="00AC5101" w:rsidP="00D03F3E">
      <w:pPr>
        <w:pStyle w:val="ae"/>
        <w:spacing w:before="0" w:after="0"/>
        <w:jc w:val="both"/>
        <w:rPr>
          <w:color w:val="000000" w:themeColor="text1"/>
          <w:sz w:val="16"/>
          <w:szCs w:val="16"/>
        </w:rPr>
      </w:pPr>
      <w:r w:rsidRPr="00D03F3E">
        <w:rPr>
          <w:color w:val="000000" w:themeColor="text1"/>
          <w:sz w:val="16"/>
          <w:szCs w:val="16"/>
        </w:rPr>
        <w:t>Целесообразно запас горючего, вмещаемого самоходной установкой, увеличить до 100 литров за счет установки дополнительных баков. СУ-76 с дополнительными баками необходимо испытать пробегом на расстояние 150–200 километров, совместив эти испытания с испытанием по вязкому фунту в летних условиях» (12688).</w:t>
      </w:r>
    </w:p>
    <w:p w14:paraId="764DB4AE"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1E1964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марта 1943 г. был изготовлен первый опытный образец бронеавтомобиля БА-64Е. Впоследствии в период с апреля 1943 г. по декабрь 1944 г. были выпущены еще семь опытных образцов машины, три из которых в феврале - марте 1944 г. прошли войсковые испытания. На вооружение бронеавтомобиль БА-64Е не принимался и в серийном производстве не состоял (10703).</w:t>
      </w:r>
    </w:p>
    <w:p w14:paraId="4F40EF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22661C" w14:textId="77777777" w:rsidR="00996E74" w:rsidRPr="00D03F3E" w:rsidRDefault="00996E7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марта 1943 года проект новой бронеединицы, получившей обозначение БАМ-2 (бронеавтомотриса, 2-й вариант), был представлен на рассмотрение управления бронепоездов и бронемашин. Она имела сварной корпус из 60 - 45 мм бронелистов, установленных на каркасе из швеллеров и уголков. Корпус устанавливался на две двухосных тележки - ведущую и поддерживающую. В первой использовались паровозные колеса диаметром 1050 мм, на ней устанавливался дизельный двигатель В-2 с коробкой перемены передач от танка Т-34, но с реверсом. В качестве поддерживающей тележки предлагалось использовать типовую Даймонда, с колесами диаметром 950 мм.</w:t>
      </w:r>
    </w:p>
    <w:p w14:paraId="07B3FE97" w14:textId="77777777" w:rsidR="00996E74" w:rsidRPr="00D03F3E" w:rsidRDefault="00996E7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БАМ-2 состояло из двух 76-мм пушек Ф-34 спаренных с пулеметами ДТ в башнях от танка Т-34, шести бортовых ДТ и одного ДШК на специальной зенитной установке. </w:t>
      </w:r>
    </w:p>
    <w:p w14:paraId="1F3AA619" w14:textId="77777777" w:rsidR="00996E74" w:rsidRPr="00D03F3E" w:rsidRDefault="00996E7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 был рассмотрен специальной комиссией управления бронепоездов и бронемашин Красной Армии 9 марта 1943 года (18626)</w:t>
      </w:r>
    </w:p>
    <w:p w14:paraId="2802CC40" w14:textId="77777777" w:rsidR="00996E74" w:rsidRPr="00D03F3E" w:rsidRDefault="00996E74" w:rsidP="00D03F3E">
      <w:pPr>
        <w:spacing w:after="0" w:line="240" w:lineRule="auto"/>
        <w:jc w:val="both"/>
        <w:rPr>
          <w:rFonts w:ascii="Times New Roman" w:hAnsi="Times New Roman"/>
          <w:color w:val="000000" w:themeColor="text1"/>
          <w:sz w:val="16"/>
          <w:szCs w:val="16"/>
        </w:rPr>
      </w:pPr>
    </w:p>
    <w:p w14:paraId="0E626B73" w14:textId="77777777" w:rsidR="00DB6725" w:rsidRPr="00D03F3E" w:rsidRDefault="00C81444"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70C0D7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10896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Еще в начале марта 1943 г. 288-й бап вывели с фронта в Моздок для доукомлектования и освоения боевых действий ночью. Все машины оснастили связными рациями РСБ-Збис, радиополукомпасами РПК- 10, ночными фотоустановками НАФА-19. Однако переподготовка авиаторов затянулась и была омрачена катастрофой. В ночь на 3 июня 1943 г. при тренировочном полете в свете прожекторов разбился и погиб экипаж Героя Советского Союза Г.Г. Николаева (штурман А.Н. Петров). Руководству полка пришлось приложить большие усилия по преодолению у авиаторов "светобоязни". После нескольких вылетов в конце лета этого года командование 4-й воздушной армии, куда входил полк, решило 288-й бап расформировать, аличный состав передать 650-му ночному бап (12028).</w:t>
      </w:r>
    </w:p>
    <w:p w14:paraId="31704A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D402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марта 1943 г. из-за крайней за</w:t>
      </w:r>
      <w:r w:rsidRPr="00D03F3E">
        <w:rPr>
          <w:rFonts w:ascii="Times New Roman" w:hAnsi="Times New Roman"/>
          <w:color w:val="000000" w:themeColor="text1"/>
          <w:sz w:val="16"/>
          <w:szCs w:val="16"/>
        </w:rPr>
        <w:softHyphen/>
        <w:t>нятости истребителей другими задачами на Воронежском фронте 204-й бад полковника Андреева пришлось действовать самостоя</w:t>
      </w:r>
      <w:r w:rsidRPr="00D03F3E">
        <w:rPr>
          <w:rFonts w:ascii="Times New Roman" w:hAnsi="Times New Roman"/>
          <w:color w:val="000000" w:themeColor="text1"/>
          <w:sz w:val="16"/>
          <w:szCs w:val="16"/>
        </w:rPr>
        <w:softHyphen/>
        <w:t>тельно. Напоровшись в одном из вылетов на группу немецких ФВ-190 над Жиздрой, были сбиты сразу 14 советских бомбардировщи</w:t>
      </w:r>
      <w:r w:rsidRPr="00D03F3E">
        <w:rPr>
          <w:rFonts w:ascii="Times New Roman" w:hAnsi="Times New Roman"/>
          <w:color w:val="000000" w:themeColor="text1"/>
          <w:sz w:val="16"/>
          <w:szCs w:val="16"/>
        </w:rPr>
        <w:softHyphen/>
        <w:t>ков. Если в 1942 г., по данным отдела учёта самолётов и моторов ГУ ВВС КА, боевые по</w:t>
      </w:r>
      <w:r w:rsidRPr="00D03F3E">
        <w:rPr>
          <w:rFonts w:ascii="Times New Roman" w:hAnsi="Times New Roman"/>
          <w:color w:val="000000" w:themeColor="text1"/>
          <w:sz w:val="16"/>
          <w:szCs w:val="16"/>
        </w:rPr>
        <w:softHyphen/>
        <w:t>тери Пе-2 составили 665 машин, то в 1943 г. они выросли до 721. Парадокс, но статистика ухудшалась на фоне стремительного увели</w:t>
      </w:r>
      <w:r w:rsidRPr="00D03F3E">
        <w:rPr>
          <w:rFonts w:ascii="Times New Roman" w:hAnsi="Times New Roman"/>
          <w:color w:val="000000" w:themeColor="text1"/>
          <w:sz w:val="16"/>
          <w:szCs w:val="16"/>
        </w:rPr>
        <w:softHyphen/>
        <w:t>чения численности советской истребитель</w:t>
      </w:r>
      <w:r w:rsidRPr="00D03F3E">
        <w:rPr>
          <w:rFonts w:ascii="Times New Roman" w:hAnsi="Times New Roman"/>
          <w:color w:val="000000" w:themeColor="text1"/>
          <w:sz w:val="16"/>
          <w:szCs w:val="16"/>
        </w:rPr>
        <w:softHyphen/>
        <w:t>ной авиации (11392).</w:t>
      </w:r>
    </w:p>
    <w:p w14:paraId="4F7C1E4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A37A2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марта 1943 г. из-за крайней занятости истребителей дру</w:t>
      </w:r>
      <w:r w:rsidRPr="00D03F3E">
        <w:rPr>
          <w:rFonts w:ascii="Times New Roman" w:hAnsi="Times New Roman"/>
          <w:color w:val="000000" w:themeColor="text1"/>
          <w:sz w:val="16"/>
          <w:szCs w:val="16"/>
        </w:rPr>
        <w:softHyphen/>
        <w:t>гими задачами на Воронежском фронте 204-й бад полковника Анд</w:t>
      </w:r>
      <w:r w:rsidRPr="00D03F3E">
        <w:rPr>
          <w:rFonts w:ascii="Times New Roman" w:hAnsi="Times New Roman"/>
          <w:color w:val="000000" w:themeColor="text1"/>
          <w:sz w:val="16"/>
          <w:szCs w:val="16"/>
        </w:rPr>
        <w:softHyphen/>
        <w:t>реева пришлось действовать само</w:t>
      </w:r>
      <w:r w:rsidRPr="00D03F3E">
        <w:rPr>
          <w:rFonts w:ascii="Times New Roman" w:hAnsi="Times New Roman"/>
          <w:color w:val="000000" w:themeColor="text1"/>
          <w:sz w:val="16"/>
          <w:szCs w:val="16"/>
        </w:rPr>
        <w:softHyphen/>
        <w:t>стоятельно. Напоровшись в одном из вылетов на группу немецких РМ-190 над Жиздрой, были сбиты сразу 14 советских бомбардировщиков. Если в 1942 г., по данным отдела учёта самолётов и моторов ГУ ВВС КА, боевые потери Пе-2 составили 665 машин, то в 1943 г. они выросли до 721. Парадокс, но статистика ухуд</w:t>
      </w:r>
      <w:r w:rsidRPr="00D03F3E">
        <w:rPr>
          <w:rFonts w:ascii="Times New Roman" w:hAnsi="Times New Roman"/>
          <w:color w:val="000000" w:themeColor="text1"/>
          <w:sz w:val="16"/>
          <w:szCs w:val="16"/>
        </w:rPr>
        <w:softHyphen/>
        <w:t>шалась на фоне стремительного уве</w:t>
      </w:r>
      <w:r w:rsidRPr="00D03F3E">
        <w:rPr>
          <w:rFonts w:ascii="Times New Roman" w:hAnsi="Times New Roman"/>
          <w:color w:val="000000" w:themeColor="text1"/>
          <w:sz w:val="16"/>
          <w:szCs w:val="16"/>
        </w:rPr>
        <w:softHyphen/>
        <w:t>личения численности советской ис</w:t>
      </w:r>
      <w:r w:rsidRPr="00D03F3E">
        <w:rPr>
          <w:rFonts w:ascii="Times New Roman" w:hAnsi="Times New Roman"/>
          <w:color w:val="000000" w:themeColor="text1"/>
          <w:sz w:val="16"/>
          <w:szCs w:val="16"/>
        </w:rPr>
        <w:softHyphen/>
        <w:t>требительной авиации.</w:t>
      </w:r>
    </w:p>
    <w:p w14:paraId="05918ED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Что касается боекомплекта Пе-2, то ГУ ВВС КА считало его вполне достаточным: в 1943 г. за боевой вылет в среднем расходовали 52 патрона ШКАС и 42 патрона УБ (с учётом затраченных на отстрел ору</w:t>
      </w:r>
      <w:r w:rsidRPr="00D03F3E">
        <w:rPr>
          <w:rFonts w:ascii="Times New Roman" w:hAnsi="Times New Roman"/>
          <w:color w:val="000000" w:themeColor="text1"/>
          <w:sz w:val="16"/>
          <w:szCs w:val="16"/>
        </w:rPr>
        <w:softHyphen/>
        <w:t>жия перед каждым вылетом). По по</w:t>
      </w:r>
      <w:r w:rsidRPr="00D03F3E">
        <w:rPr>
          <w:rFonts w:ascii="Times New Roman" w:hAnsi="Times New Roman"/>
          <w:color w:val="000000" w:themeColor="text1"/>
          <w:sz w:val="16"/>
          <w:szCs w:val="16"/>
        </w:rPr>
        <w:softHyphen/>
        <w:t>нятным причинам, не могли учесть ре</w:t>
      </w:r>
      <w:r w:rsidRPr="00D03F3E">
        <w:rPr>
          <w:rFonts w:ascii="Times New Roman" w:hAnsi="Times New Roman"/>
          <w:color w:val="000000" w:themeColor="text1"/>
          <w:sz w:val="16"/>
          <w:szCs w:val="16"/>
        </w:rPr>
        <w:softHyphen/>
        <w:t>ального расхода боеприпасов на сбитых самолётах (11432).</w:t>
      </w:r>
    </w:p>
    <w:p w14:paraId="3C20DCA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BE3F7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494E2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C29D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вышло Постановление ГКО N 2998 об увеличении дальности Ил-2 АМ-38Ф. В соответствии с постановлением было предложено установить выпуск всех самолетов Ил-2 с заводов 1 и 18 с оборудован под подвесные бензобаки (162,24).</w:t>
      </w:r>
    </w:p>
    <w:p w14:paraId="2B1661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9B1A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вышло Постановление ГКО № 2998 Об увеличении дальности полета самолета Ил-2 АМ-38ф.РГАНИР, Фонд ГКО, д. 96, лл. 2 (11012).</w:t>
      </w:r>
    </w:p>
    <w:p w14:paraId="1D62AB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670DE0" w14:textId="77777777" w:rsidR="00084DF1" w:rsidRPr="00D03F3E" w:rsidRDefault="00084DF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вышло Постановление ГКО № 2998 Об увеличении дальности полета самолета Ил-2 АМ-38ф</w:t>
      </w:r>
    </w:p>
    <w:p w14:paraId="258C421D" w14:textId="77777777" w:rsidR="00084DF1" w:rsidRPr="00D03F3E" w:rsidRDefault="00084DF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Государственный Комитет Обороны постановляет:</w:t>
      </w:r>
    </w:p>
    <w:p w14:paraId="10D11034" w14:textId="77777777" w:rsidR="00084DF1" w:rsidRPr="00D03F3E" w:rsidRDefault="00084DF1" w:rsidP="00D03F3E">
      <w:pPr>
        <w:pStyle w:val="7f"/>
        <w:shd w:val="clear" w:color="auto" w:fill="auto"/>
        <w:tabs>
          <w:tab w:val="left" w:pos="1570"/>
        </w:tabs>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1. Обязать Наркомавиапром т.Шахурина, главного кон</w:t>
      </w:r>
      <w:r w:rsidRPr="00D03F3E">
        <w:rPr>
          <w:rFonts w:ascii="Times New Roman" w:hAnsi="Times New Roman" w:cs="Times New Roman"/>
          <w:color w:val="000000" w:themeColor="text1"/>
          <w:sz w:val="16"/>
          <w:szCs w:val="16"/>
        </w:rPr>
        <w:softHyphen/>
        <w:t>структора т.Ильюшина самолеты Ил-2 АМ-38Ф выпускать оборудо</w:t>
      </w:r>
      <w:r w:rsidRPr="00D03F3E">
        <w:rPr>
          <w:rFonts w:ascii="Times New Roman" w:hAnsi="Times New Roman" w:cs="Times New Roman"/>
          <w:color w:val="000000" w:themeColor="text1"/>
          <w:sz w:val="16"/>
          <w:szCs w:val="16"/>
        </w:rPr>
        <w:softHyphen/>
        <w:t>ванными под подвесные бензобаки, сбрасываемыми в полете, общей емкостью 200 кг для подвески на наружные бомбовые замки.</w:t>
      </w:r>
    </w:p>
    <w:p w14:paraId="3F67612C" w14:textId="77777777" w:rsidR="00084DF1" w:rsidRPr="00D03F3E" w:rsidRDefault="00084DF1" w:rsidP="00D03F3E">
      <w:pPr>
        <w:pStyle w:val="7f"/>
        <w:shd w:val="clear" w:color="auto" w:fill="auto"/>
        <w:tabs>
          <w:tab w:val="left" w:pos="1570"/>
        </w:tabs>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 xml:space="preserve">2. Установить выпуск самолетов Ил-2 </w:t>
      </w:r>
      <w:r w:rsidRPr="00D03F3E">
        <w:rPr>
          <w:rStyle w:val="0pt"/>
          <w:rFonts w:ascii="Times New Roman" w:hAnsi="Times New Roman" w:cs="Times New Roman"/>
          <w:color w:val="000000" w:themeColor="text1"/>
          <w:spacing w:val="0"/>
          <w:sz w:val="16"/>
          <w:szCs w:val="16"/>
        </w:rPr>
        <w:t>AМ-38Ф,</w:t>
      </w:r>
      <w:r w:rsidRPr="00D03F3E">
        <w:rPr>
          <w:rFonts w:ascii="Times New Roman" w:hAnsi="Times New Roman" w:cs="Times New Roman"/>
          <w:color w:val="000000" w:themeColor="text1"/>
          <w:sz w:val="16"/>
          <w:szCs w:val="16"/>
        </w:rPr>
        <w:t xml:space="preserve"> оборудован</w:t>
      </w:r>
      <w:r w:rsidRPr="00D03F3E">
        <w:rPr>
          <w:rFonts w:ascii="Times New Roman" w:hAnsi="Times New Roman" w:cs="Times New Roman"/>
          <w:color w:val="000000" w:themeColor="text1"/>
          <w:sz w:val="16"/>
          <w:szCs w:val="16"/>
        </w:rPr>
        <w:softHyphen/>
        <w:t>ных под подвесные бензобаки:</w:t>
      </w:r>
    </w:p>
    <w:p w14:paraId="7C07BD5B" w14:textId="77777777" w:rsidR="00084DF1" w:rsidRPr="00D03F3E" w:rsidRDefault="00084DF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D03F3E">
        <w:rPr>
          <w:rStyle w:val="5f2"/>
          <w:rFonts w:ascii="Times New Roman" w:hAnsi="Times New Roman" w:cs="Times New Roman"/>
          <w:color w:val="000000" w:themeColor="text1"/>
        </w:rPr>
        <w:t>по заводу № 1</w:t>
      </w:r>
      <w:r w:rsidRPr="00D03F3E">
        <w:rPr>
          <w:rFonts w:ascii="Times New Roman" w:hAnsi="Times New Roman" w:cs="Times New Roman"/>
          <w:color w:val="000000" w:themeColor="text1"/>
          <w:sz w:val="16"/>
          <w:szCs w:val="16"/>
        </w:rPr>
        <w:t xml:space="preserve"> - в апреле 200 самолетов</w:t>
      </w:r>
    </w:p>
    <w:p w14:paraId="4FF84D3C" w14:textId="77777777" w:rsidR="00084DF1" w:rsidRPr="00D03F3E" w:rsidRDefault="00084DF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и с 1 мая все выпускаемые самолеты</w:t>
      </w:r>
    </w:p>
    <w:p w14:paraId="03B7D656" w14:textId="77777777" w:rsidR="00084DF1" w:rsidRPr="00D03F3E" w:rsidRDefault="00084DF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D03F3E">
        <w:rPr>
          <w:rStyle w:val="5f2"/>
          <w:rFonts w:ascii="Times New Roman" w:hAnsi="Times New Roman" w:cs="Times New Roman"/>
          <w:color w:val="000000" w:themeColor="text1"/>
        </w:rPr>
        <w:t>по заводу № 18</w:t>
      </w:r>
      <w:r w:rsidRPr="00D03F3E">
        <w:rPr>
          <w:rFonts w:ascii="Times New Roman" w:hAnsi="Times New Roman" w:cs="Times New Roman"/>
          <w:color w:val="000000" w:themeColor="text1"/>
          <w:sz w:val="16"/>
          <w:szCs w:val="16"/>
        </w:rPr>
        <w:t xml:space="preserve"> - в апреле </w:t>
      </w:r>
      <w:r w:rsidRPr="00D03F3E">
        <w:rPr>
          <w:rStyle w:val="0pt"/>
          <w:rFonts w:ascii="Times New Roman" w:hAnsi="Times New Roman" w:cs="Times New Roman"/>
          <w:color w:val="000000" w:themeColor="text1"/>
          <w:spacing w:val="0"/>
          <w:sz w:val="16"/>
          <w:szCs w:val="16"/>
        </w:rPr>
        <w:t>200</w:t>
      </w:r>
      <w:r w:rsidRPr="00D03F3E">
        <w:rPr>
          <w:rFonts w:ascii="Times New Roman" w:hAnsi="Times New Roman" w:cs="Times New Roman"/>
          <w:color w:val="000000" w:themeColor="text1"/>
          <w:sz w:val="16"/>
          <w:szCs w:val="16"/>
        </w:rPr>
        <w:t xml:space="preserve"> самолетов (19387).</w:t>
      </w:r>
    </w:p>
    <w:p w14:paraId="3EA6450F" w14:textId="77777777" w:rsidR="00084DF1" w:rsidRPr="00D03F3E" w:rsidRDefault="00084DF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B423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г. Государ</w:t>
      </w:r>
      <w:r w:rsidRPr="00D03F3E">
        <w:rPr>
          <w:rFonts w:ascii="Times New Roman" w:hAnsi="Times New Roman"/>
          <w:color w:val="000000" w:themeColor="text1"/>
          <w:sz w:val="16"/>
          <w:szCs w:val="16"/>
        </w:rPr>
        <w:softHyphen/>
        <w:t>ственный Комитет обороны Постановлением обязал Ильюшина и директоров заводов №№ 1 и 18 Третьякова и Белянского «самолеты Ил-2 с АМ-38ф выпускать оборудован</w:t>
      </w:r>
      <w:r w:rsidRPr="00D03F3E">
        <w:rPr>
          <w:rFonts w:ascii="Times New Roman" w:hAnsi="Times New Roman"/>
          <w:color w:val="000000" w:themeColor="text1"/>
          <w:sz w:val="16"/>
          <w:szCs w:val="16"/>
        </w:rPr>
        <w:softHyphen/>
        <w:t>ными под подвесные бензобаки, сбрасываемые в полете, общей емкостью 200 кг, для подвески на наружных бомбовых замках». График выпуска устанавливался довольно напряженный. В ап</w:t>
      </w:r>
      <w:r w:rsidRPr="00D03F3E">
        <w:rPr>
          <w:rFonts w:ascii="Times New Roman" w:hAnsi="Times New Roman"/>
          <w:color w:val="000000" w:themeColor="text1"/>
          <w:sz w:val="16"/>
          <w:szCs w:val="16"/>
        </w:rPr>
        <w:softHyphen/>
        <w:t>реле каждый завод должен был выпустить по 200 самолетов Ил-2, оборудованных под подвесные бензобаки, а с 1 мая — оборудовать ими все выпускаемые самолеты (11474,369).</w:t>
      </w:r>
    </w:p>
    <w:p w14:paraId="18C4763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F728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вышел приказ НКАП N 130 "Об увеличении дальности самолета Ил-2 АМ-38Ф (931,220) "В исполнение постановления ГКО приказываю:</w:t>
      </w:r>
    </w:p>
    <w:p w14:paraId="7BE5AC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Начальнику 10 ГУ Тарасевичу, ГК С.В.И. и директорам заводов 1 и 18 самолеты Ил-2 АМ-38Ф выпускать оборудованными подвесными бензобаками, сбрасываемыми в полете, емкостью 200 кг для подвески на наружные бомбовые замки.</w:t>
      </w:r>
    </w:p>
    <w:p w14:paraId="3522E3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Установить выпуск самолетов Ил-2 АМ-38Ф, оборудованных под подвесные баки: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860B4B" w:rsidRPr="00D03F3E" w14:paraId="6A65535C" w14:textId="77777777">
        <w:tc>
          <w:tcPr>
            <w:tcW w:w="3757" w:type="dxa"/>
          </w:tcPr>
          <w:p w14:paraId="168DEE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заводу 1</w:t>
            </w:r>
          </w:p>
        </w:tc>
        <w:tc>
          <w:tcPr>
            <w:tcW w:w="3757" w:type="dxa"/>
          </w:tcPr>
          <w:p w14:paraId="5DF09B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w:t>
            </w:r>
          </w:p>
        </w:tc>
        <w:tc>
          <w:tcPr>
            <w:tcW w:w="3757" w:type="dxa"/>
          </w:tcPr>
          <w:p w14:paraId="72881A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 и с 1 мая все</w:t>
            </w:r>
          </w:p>
        </w:tc>
      </w:tr>
      <w:tr w:rsidR="00860B4B" w:rsidRPr="00D03F3E" w14:paraId="0B3E807F" w14:textId="77777777">
        <w:tc>
          <w:tcPr>
            <w:tcW w:w="3757" w:type="dxa"/>
          </w:tcPr>
          <w:p w14:paraId="4C3BDF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заводу 18</w:t>
            </w:r>
          </w:p>
        </w:tc>
        <w:tc>
          <w:tcPr>
            <w:tcW w:w="3757" w:type="dxa"/>
          </w:tcPr>
          <w:p w14:paraId="2FFB99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w:t>
            </w:r>
          </w:p>
        </w:tc>
        <w:tc>
          <w:tcPr>
            <w:tcW w:w="3757" w:type="dxa"/>
          </w:tcPr>
          <w:p w14:paraId="62344B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 и с 1 мая все (931,220)</w:t>
            </w:r>
          </w:p>
        </w:tc>
      </w:tr>
    </w:tbl>
    <w:p w14:paraId="77D451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3BA2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color w:val="000000" w:themeColor="text1"/>
          <w:sz w:val="16"/>
          <w:szCs w:val="16"/>
        </w:rPr>
        <w:t>7 марта 1943 Государ</w:t>
      </w:r>
      <w:r w:rsidRPr="00D03F3E">
        <w:rPr>
          <w:rFonts w:ascii="Times New Roman" w:hAnsi="Times New Roman"/>
          <w:color w:val="000000" w:themeColor="text1"/>
          <w:sz w:val="16"/>
          <w:szCs w:val="16"/>
        </w:rPr>
        <w:softHyphen/>
        <w:t>ственный Комитет Обороны Постанов</w:t>
      </w:r>
      <w:r w:rsidRPr="00D03F3E">
        <w:rPr>
          <w:rFonts w:ascii="Times New Roman" w:hAnsi="Times New Roman"/>
          <w:color w:val="000000" w:themeColor="text1"/>
          <w:sz w:val="16"/>
          <w:szCs w:val="16"/>
        </w:rPr>
        <w:softHyphen/>
        <w:t xml:space="preserve">лением № 2998 обязал С.В.Ильюшина и директоров заводов №№ 1 и 18: </w:t>
      </w:r>
      <w:r w:rsidRPr="00D03F3E">
        <w:rPr>
          <w:rFonts w:ascii="Times New Roman" w:hAnsi="Times New Roman"/>
          <w:iCs/>
          <w:color w:val="000000" w:themeColor="text1"/>
          <w:sz w:val="16"/>
          <w:szCs w:val="16"/>
        </w:rPr>
        <w:t>"...самолеты Ил-2 с АМ-38ф выпускать оборудованными под подвесные бензобаки, сбрасываемые в полете, общей емкостью 200 кг, для под</w:t>
      </w:r>
      <w:r w:rsidRPr="00D03F3E">
        <w:rPr>
          <w:rFonts w:ascii="Times New Roman" w:hAnsi="Times New Roman"/>
          <w:iCs/>
          <w:color w:val="000000" w:themeColor="text1"/>
          <w:sz w:val="16"/>
          <w:szCs w:val="16"/>
        </w:rPr>
        <w:softHyphen/>
        <w:t>вески на наружных бомбовых замках;...установить выпуск Ил-2 с АМ-38ф, обо</w:t>
      </w:r>
      <w:r w:rsidRPr="00D03F3E">
        <w:rPr>
          <w:rFonts w:ascii="Times New Roman" w:hAnsi="Times New Roman"/>
          <w:iCs/>
          <w:color w:val="000000" w:themeColor="text1"/>
          <w:sz w:val="16"/>
          <w:szCs w:val="16"/>
        </w:rPr>
        <w:softHyphen/>
        <w:t>рудованных под подвесные бензобаки: заводу</w:t>
      </w:r>
      <w:r w:rsidRPr="00D03F3E">
        <w:rPr>
          <w:rFonts w:ascii="Times New Roman" w:hAnsi="Times New Roman"/>
          <w:color w:val="000000" w:themeColor="text1"/>
          <w:sz w:val="16"/>
          <w:szCs w:val="16"/>
        </w:rPr>
        <w:t xml:space="preserve"> Л/о 7 - а </w:t>
      </w:r>
      <w:r w:rsidRPr="00D03F3E">
        <w:rPr>
          <w:rFonts w:ascii="Times New Roman" w:hAnsi="Times New Roman"/>
          <w:iCs/>
          <w:color w:val="000000" w:themeColor="text1"/>
          <w:sz w:val="16"/>
          <w:szCs w:val="16"/>
        </w:rPr>
        <w:t>апреле 200 самолетов и с 1 мая 1943 г. все выпускаемые само</w:t>
      </w:r>
      <w:r w:rsidRPr="00D03F3E">
        <w:rPr>
          <w:rFonts w:ascii="Times New Roman" w:hAnsi="Times New Roman"/>
          <w:iCs/>
          <w:color w:val="000000" w:themeColor="text1"/>
          <w:sz w:val="16"/>
          <w:szCs w:val="16"/>
        </w:rPr>
        <w:softHyphen/>
        <w:t>леты, заводу No 18 в апреле - 200 само</w:t>
      </w:r>
      <w:r w:rsidRPr="00D03F3E">
        <w:rPr>
          <w:rFonts w:ascii="Times New Roman" w:hAnsi="Times New Roman"/>
          <w:iCs/>
          <w:color w:val="000000" w:themeColor="text1"/>
          <w:sz w:val="16"/>
          <w:szCs w:val="16"/>
        </w:rPr>
        <w:softHyphen/>
        <w:t>летов и с 1 мая - все выпускаемые са</w:t>
      </w:r>
      <w:r w:rsidRPr="00D03F3E">
        <w:rPr>
          <w:rFonts w:ascii="Times New Roman" w:hAnsi="Times New Roman"/>
          <w:iCs/>
          <w:color w:val="000000" w:themeColor="text1"/>
          <w:sz w:val="16"/>
          <w:szCs w:val="16"/>
        </w:rPr>
        <w:softHyphen/>
        <w:t>молеты... " (6467).</w:t>
      </w:r>
    </w:p>
    <w:p w14:paraId="35D464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2C07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вышло Постановление ГКО № 2999 О постройке самолета Ил-6 с дизельмоторами М-30Б.РГАНИР, Фонд ГКО, д. 96, лл. 3 (11012).</w:t>
      </w:r>
    </w:p>
    <w:p w14:paraId="243442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F856D1" w14:textId="77777777" w:rsidR="00D463B4" w:rsidRPr="00D03F3E" w:rsidRDefault="00D463B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вышло Постановление ГКО № 2999 О постройке самолета Ил-6 с дизельмоторами М-30Б</w:t>
      </w:r>
    </w:p>
    <w:p w14:paraId="692745CC" w14:textId="77777777" w:rsidR="00D463B4" w:rsidRPr="00D03F3E" w:rsidRDefault="00D463B4"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Государственный Комитет Обороны постановляет:</w:t>
      </w:r>
    </w:p>
    <w:p w14:paraId="22AD93F4" w14:textId="77777777" w:rsidR="00D463B4" w:rsidRPr="00D03F3E" w:rsidRDefault="00D463B4" w:rsidP="00D03F3E">
      <w:pPr>
        <w:pStyle w:val="36"/>
        <w:shd w:val="clear" w:color="auto" w:fill="auto"/>
        <w:tabs>
          <w:tab w:val="left" w:pos="1510"/>
        </w:tabs>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1. Обязать Наркомавиапром т.Шахурина, главного конструк</w:t>
      </w:r>
      <w:r w:rsidRPr="00D03F3E">
        <w:rPr>
          <w:rFonts w:ascii="Times New Roman" w:cs="Times New Roman"/>
          <w:color w:val="000000" w:themeColor="text1"/>
          <w:spacing w:val="0"/>
          <w:sz w:val="16"/>
          <w:szCs w:val="16"/>
        </w:rPr>
        <w:softHyphen/>
        <w:t>тора т.Ильюшина и директора завода № 39 т.Абрамова построить на заводе № 39 два самолета Ил-б с мотрами М-30Б и выпустить их на заводские летные испытания:</w:t>
      </w:r>
    </w:p>
    <w:p w14:paraId="7811C03E" w14:textId="77777777" w:rsidR="00D463B4" w:rsidRPr="00D03F3E" w:rsidRDefault="00D463B4"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первый самолет с М-30Б - 1 июля 1943 года</w:t>
      </w:r>
    </w:p>
    <w:p w14:paraId="5C090B19" w14:textId="77777777" w:rsidR="00D463B4" w:rsidRPr="00D03F3E" w:rsidRDefault="00D463B4"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второй самолет с М-30Б - 15 июля 1943 года.</w:t>
      </w:r>
    </w:p>
    <w:p w14:paraId="61FBB298" w14:textId="77777777" w:rsidR="00D463B4" w:rsidRPr="00D03F3E" w:rsidRDefault="00D463B4" w:rsidP="00D03F3E">
      <w:pPr>
        <w:pStyle w:val="36"/>
        <w:shd w:val="clear" w:color="auto" w:fill="auto"/>
        <w:tabs>
          <w:tab w:val="left" w:pos="1510"/>
        </w:tabs>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2. Утвердить следующие основные данные самолета Ил-б с дизельмоторами М-30Б:</w:t>
      </w:r>
    </w:p>
    <w:p w14:paraId="0FFF5C5F" w14:textId="77777777" w:rsidR="00D463B4" w:rsidRPr="00D03F3E" w:rsidRDefault="00D463B4" w:rsidP="00D03F3E">
      <w:pPr>
        <w:pStyle w:val="36"/>
        <w:shd w:val="clear" w:color="auto" w:fill="auto"/>
        <w:tabs>
          <w:tab w:val="left" w:pos="1510"/>
        </w:tabs>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а) наибольшая дальность на скорости 325 км при</w:t>
      </w:r>
      <w:r w:rsidRPr="00D03F3E">
        <w:rPr>
          <w:rStyle w:val="MSGothic95pt0pt"/>
          <w:rFonts w:ascii="Times New Roman" w:hAnsi="Times New Roman" w:cs="Times New Roman"/>
          <w:color w:val="000000" w:themeColor="text1"/>
          <w:spacing w:val="0"/>
          <w:sz w:val="16"/>
          <w:szCs w:val="16"/>
        </w:rPr>
        <w:t xml:space="preserve"> 10% </w:t>
      </w:r>
      <w:r w:rsidRPr="00D03F3E">
        <w:rPr>
          <w:rFonts w:ascii="Times New Roman" w:cs="Times New Roman"/>
          <w:color w:val="000000" w:themeColor="text1"/>
          <w:spacing w:val="0"/>
          <w:sz w:val="16"/>
          <w:szCs w:val="16"/>
        </w:rPr>
        <w:t>запасе горючего - 4500 км, с бомбовой нагрузкой - 1000 кг,</w:t>
      </w:r>
    </w:p>
    <w:p w14:paraId="5287523F" w14:textId="77777777" w:rsidR="00D463B4" w:rsidRPr="00D03F3E" w:rsidRDefault="00D463B4" w:rsidP="00D03F3E">
      <w:pPr>
        <w:pStyle w:val="36"/>
        <w:shd w:val="clear" w:color="auto" w:fill="auto"/>
        <w:tabs>
          <w:tab w:val="left" w:pos="1510"/>
        </w:tabs>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б) нормальная дальность - 2000 км, с бомбовой нагруз</w:t>
      </w:r>
      <w:r w:rsidRPr="00D03F3E">
        <w:rPr>
          <w:rFonts w:ascii="Times New Roman" w:cs="Times New Roman"/>
          <w:color w:val="000000" w:themeColor="text1"/>
          <w:spacing w:val="0"/>
          <w:sz w:val="16"/>
          <w:szCs w:val="16"/>
        </w:rPr>
        <w:softHyphen/>
        <w:t>кой - 1500 кг,</w:t>
      </w:r>
    </w:p>
    <w:p w14:paraId="2C6B1B65" w14:textId="77777777" w:rsidR="00D463B4" w:rsidRPr="00D03F3E" w:rsidRDefault="00D463B4" w:rsidP="00D03F3E">
      <w:pPr>
        <w:pStyle w:val="36"/>
        <w:shd w:val="clear" w:color="auto" w:fill="auto"/>
        <w:tabs>
          <w:tab w:val="left" w:pos="1510"/>
        </w:tabs>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в) скорость максимальная - 420 км, максимальная бом</w:t>
      </w:r>
      <w:r w:rsidRPr="00D03F3E">
        <w:rPr>
          <w:rFonts w:ascii="Times New Roman" w:cs="Times New Roman"/>
          <w:color w:val="000000" w:themeColor="text1"/>
          <w:spacing w:val="0"/>
          <w:sz w:val="16"/>
          <w:szCs w:val="16"/>
        </w:rPr>
        <w:softHyphen/>
        <w:t>бовая нагрузка - 4000 кг,</w:t>
      </w:r>
    </w:p>
    <w:p w14:paraId="2406C9BC" w14:textId="77777777" w:rsidR="00D463B4" w:rsidRPr="00D03F3E" w:rsidRDefault="00D463B4" w:rsidP="00D03F3E">
      <w:pPr>
        <w:framePr w:h="270" w:wrap="around" w:hAnchor="margin" w:x="5706" w:y="2"/>
        <w:spacing w:after="0" w:line="240" w:lineRule="auto"/>
        <w:jc w:val="both"/>
        <w:rPr>
          <w:rFonts w:ascii="Times New Roman" w:hAnsi="Times New Roman"/>
          <w:color w:val="000000" w:themeColor="text1"/>
          <w:sz w:val="16"/>
          <w:szCs w:val="16"/>
        </w:rPr>
      </w:pPr>
      <w:r w:rsidRPr="00D03F3E">
        <w:rPr>
          <w:rStyle w:val="3-1pt0"/>
          <w:rFonts w:ascii="Times New Roman" w:hAnsi="Times New Roman" w:cs="Times New Roman"/>
          <w:color w:val="000000" w:themeColor="text1"/>
          <w:spacing w:val="0"/>
          <w:sz w:val="16"/>
          <w:szCs w:val="16"/>
        </w:rPr>
        <w:t>ЖШШШ</w:t>
      </w:r>
    </w:p>
    <w:p w14:paraId="3375F52F" w14:textId="77777777" w:rsidR="00D463B4" w:rsidRPr="00D03F3E" w:rsidRDefault="00D463B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дальность при этой нагрузке - 1500 км (19388).</w:t>
      </w:r>
    </w:p>
    <w:p w14:paraId="4F4BD547" w14:textId="77777777" w:rsidR="00084DF1" w:rsidRPr="00D03F3E" w:rsidRDefault="00084DF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41F064" w14:textId="77777777" w:rsidR="00C32DC9" w:rsidRPr="00D03F3E" w:rsidRDefault="00C32DC9"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7-го марта 1943 года вышло Постановлению ГКО № 29999сс, согласно которому первый опытный экземпляр Ил-6 необходимо было передать на летные испытания 25-го июня, а второй – 10-го июля (15223).</w:t>
      </w:r>
    </w:p>
    <w:p w14:paraId="1BAFFFE0" w14:textId="77777777" w:rsidR="00C32DC9" w:rsidRPr="00D03F3E" w:rsidRDefault="00C32DC9" w:rsidP="00D03F3E">
      <w:pPr>
        <w:shd w:val="clear" w:color="auto" w:fill="FFFFFF"/>
        <w:spacing w:after="0" w:line="240" w:lineRule="auto"/>
        <w:jc w:val="both"/>
        <w:rPr>
          <w:rFonts w:ascii="Times New Roman" w:hAnsi="Times New Roman"/>
          <w:color w:val="000000" w:themeColor="text1"/>
          <w:sz w:val="16"/>
          <w:szCs w:val="16"/>
        </w:rPr>
      </w:pPr>
    </w:p>
    <w:p w14:paraId="49F7FC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вышло постановление ГКО N 2999сс "О постройке самолетов Ил-6 с дизель-моторами М-30Б</w:t>
      </w:r>
    </w:p>
    <w:p w14:paraId="499164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НКАП А.И.Ш., ГК С.В.И., директора завода 39 Абрамова построить на заводе 39 2 самолета Ил-6 с М-30Б и выпустить их на заводские испытания:</w:t>
      </w:r>
    </w:p>
    <w:p w14:paraId="69D5A1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1 апреля 1943</w:t>
      </w:r>
    </w:p>
    <w:p w14:paraId="439DF9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15 апреля 1943</w:t>
      </w:r>
    </w:p>
    <w:p w14:paraId="1E854A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Утвердить следующие данные самолета Ил-6 с дизель-моторами М-30Б</w:t>
      </w:r>
    </w:p>
    <w:p w14:paraId="7A8E85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наибольшая дальность на скорости 325 км/час при 10% запасе горючего и бомбовой нагрузкой 1000 кг - 4500 км</w:t>
      </w:r>
    </w:p>
    <w:p w14:paraId="48A336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нормальная дальность при бомбовой нагрузке 1500 кг - 2000 км</w:t>
      </w:r>
    </w:p>
    <w:p w14:paraId="386A86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скорость макс. с нагрузкой 4000 кг - 420 км/час</w:t>
      </w:r>
    </w:p>
    <w:p w14:paraId="69B4C7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дальность при этой нагрузке - 1500 км (1686,57).</w:t>
      </w:r>
    </w:p>
    <w:p w14:paraId="575F6E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3089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г. вышло постановление ГКО №2999, согласно которому головной опытный Ил-6 надлежало передать на летные испытания 25 июня 1943 г., а второй - к 10 июля. Сроки были чрезвычайно сжатые, но они находились под контролем даже не Наркомата, а высшего на тот момент органа государственной власти в СССР, а потому на 39-м заводе на Ил-6 бросили все ресурсы, в том числе задействовали "главный калибр" в лице обкома партии.</w:t>
      </w:r>
    </w:p>
    <w:p w14:paraId="7827B8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разработанному графику, к 12 апреля 1943 г. должна была быть готова конструкторская и технологическая документация на самолет, но ОКБ С.В. Илыошина само еще не было готово, и чертежи на крыло и мотоустановки поступили только к началу апреля (12037).</w:t>
      </w:r>
    </w:p>
    <w:p w14:paraId="26EAD9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B98D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вышел приказ НКАП N 131сс от о постройке самолетов Ил-6 на заводе 39 (1703,101) по постановлению ГКО N 2999сс от 7 марта 1943 (1706,4).</w:t>
      </w:r>
    </w:p>
    <w:p w14:paraId="5B6B23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3788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вышло Постановление ГКО № 2997 Об увеличении дальности самолета Пе-2.РГАНИР, Фонд ГКО, д. 96, лл. 1 (11012).</w:t>
      </w:r>
    </w:p>
    <w:p w14:paraId="457AF8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8DB4A0" w14:textId="77777777" w:rsidR="00084DF1" w:rsidRPr="00D03F3E" w:rsidRDefault="00084DF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вышло Постановление ГКО № 2997 Об увеличении дальности самолета Пе-2</w:t>
      </w:r>
    </w:p>
    <w:p w14:paraId="6C571F29" w14:textId="77777777" w:rsidR="00084DF1" w:rsidRPr="00D03F3E" w:rsidRDefault="00084DF1"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Государственный Комитет Обороны постановляет:</w:t>
      </w:r>
    </w:p>
    <w:p w14:paraId="65535B35" w14:textId="77777777" w:rsidR="00084DF1" w:rsidRPr="00D03F3E" w:rsidRDefault="00084DF1"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Обязать Наркомавиапром, директора завода № 22 т.Окуло</w:t>
      </w:r>
      <w:r w:rsidRPr="00D03F3E">
        <w:rPr>
          <w:rFonts w:ascii="Times New Roman" w:cs="Times New Roman"/>
          <w:color w:val="000000" w:themeColor="text1"/>
          <w:spacing w:val="0"/>
          <w:sz w:val="16"/>
          <w:szCs w:val="16"/>
        </w:rPr>
        <w:softHyphen/>
        <w:t>ва и главного конструктора т.Путилова выпускать с 15 апреля 1943 года все самолеты Пе-2 с увеличенной дальностью на 500 километров за счет устройства оборудования под два подвесных бензобака емкостью каждый по 350 литров.</w:t>
      </w:r>
    </w:p>
    <w:p w14:paraId="49DEEF13" w14:textId="77777777" w:rsidR="00084DF1" w:rsidRPr="00D03F3E" w:rsidRDefault="00084DF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Подвесные бензобаки подвешивать на бомбовые замки вместо бомб наружной подвески (19386).</w:t>
      </w:r>
    </w:p>
    <w:p w14:paraId="0886782F" w14:textId="77777777" w:rsidR="00084DF1" w:rsidRPr="00D03F3E" w:rsidRDefault="00084DF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BD53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вышел приказ НКАП N 132 "Об увеличении дальности самолета Пе-2 (931,220). В исполнение того же постановления, но по 350 л. для увеличения дальности на 500 км (931,220).</w:t>
      </w:r>
    </w:p>
    <w:p w14:paraId="5F29F6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исполнение постановления ГКО..., приказываю:</w:t>
      </w:r>
    </w:p>
    <w:p w14:paraId="67EF93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Нач. 10 ГУ т. Тарасевич, ди. Завода № 22 т. Окулину и ГК т. Путилову выпускать не позднее 15 апреля 1943 все самолетвы Пе-2 с увеличенной дальностью на 500 км за счет установки оборудования под два подвесныз б/б емкостью каждый по 350 л.</w:t>
      </w:r>
    </w:p>
    <w:p w14:paraId="6CFEAB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Подвесные б/б подвешиваются на бомбовые замки вместо бомб наружной подвески.</w:t>
      </w:r>
    </w:p>
    <w:p w14:paraId="00F3FF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Подписал А.И.Ш. (931,220).</w:t>
      </w:r>
    </w:p>
    <w:p w14:paraId="2BAA9B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2C64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П.Воронин подготовил докладную записку НКАП А.И.Ш. о постановке мотора М-106 на Як-1 завода 292 и Як-9 завода 153. Обосновывал неизбежность снижения суточного выпуска. До этого 5 марта 1943 Тер-Маркарян от завода 153 и Пивоваров от завода 292 писали еще 2 записки на эту же тему (2519,51).</w:t>
      </w:r>
    </w:p>
    <w:p w14:paraId="01232C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7E6CCA"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362057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BD3D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И.Курчатов в письме Зам. Пред. СНК М.Г.Первухину с высокой оценкой материалов по атомному проекту, полученных из США (3304,183).</w:t>
      </w:r>
    </w:p>
    <w:p w14:paraId="23F9B7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0AEA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года начальник Лаборатории No. 2 АН СССР И.В. Курчатов направил М.Г. Первухину записку о результатах рассмотрения им материалов по проблеме урана, полученных из Великобритании. Это значительный документ на 14 страницах, включающий три проблемных раздела: I. Разделение изотопов. II. Проблема ядерного взрыва и горения. III. Физика процесса деления и Заключение. И.В. Курчатов в целом отметил, что получение этого материала "имеет громадное, неоценимое значение для нашего государства и науки" (10549).</w:t>
      </w:r>
    </w:p>
    <w:p w14:paraId="43C138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9ADF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вышло Постановление ГКО № 3003 Об усилении выгрузки и обеспечении устойчивого питания порожними вагонами Кузнецкого бассейна.РГАНИР, Фонд ГКО, д. 96, лл. 24-25 (11012).</w:t>
      </w:r>
    </w:p>
    <w:p w14:paraId="5E74B5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569DDE"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г. Из письма заведующего специальной лабораторией АН СССР1профессора И.В. Курчатова заместателю председателя СНК СССР М.Г. Первухину с оценкой материала о научно-исследовательской работе в Англии по проблеме урана</w:t>
      </w:r>
    </w:p>
    <w:p w14:paraId="1BF31B6D"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Произведенное мной рассмотрение материала показало, что получение его имеет громадное, неоценимое значение для нашего государства и науки.</w:t>
      </w:r>
    </w:p>
    <w:p w14:paraId="586FECE7"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одной стороны, материал показал серьезность и напряженность на</w:t>
      </w:r>
      <w:r w:rsidRPr="00D03F3E">
        <w:rPr>
          <w:rFonts w:ascii="Times New Roman" w:hAnsi="Times New Roman"/>
          <w:color w:val="000000" w:themeColor="text1"/>
          <w:sz w:val="16"/>
          <w:szCs w:val="16"/>
        </w:rPr>
        <w:softHyphen/>
        <w:t>учно-исследовательской работы в Англии по проблеме урана, с другой — дал возможность получить весьма важные ориентиры для нашего научного исследования, миновать многие весьма трудоемкие фазы разработки про</w:t>
      </w:r>
      <w:r w:rsidRPr="00D03F3E">
        <w:rPr>
          <w:rFonts w:ascii="Times New Roman" w:hAnsi="Times New Roman"/>
          <w:color w:val="000000" w:themeColor="text1"/>
          <w:sz w:val="16"/>
          <w:szCs w:val="16"/>
        </w:rPr>
        <w:softHyphen/>
        <w:t>блемы и узнать о новых научных и технических путях ее разрешения.</w:t>
      </w:r>
    </w:p>
    <w:p w14:paraId="58E03E9F"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дальнейшем приводятся соображения по отдельным разделам ма</w:t>
      </w:r>
      <w:r w:rsidRPr="00D03F3E">
        <w:rPr>
          <w:rFonts w:ascii="Times New Roman" w:hAnsi="Times New Roman"/>
          <w:color w:val="000000" w:themeColor="text1"/>
          <w:sz w:val="16"/>
          <w:szCs w:val="16"/>
        </w:rPr>
        <w:softHyphen/>
        <w:t>териала.</w:t>
      </w:r>
    </w:p>
    <w:p w14:paraId="2DCF3866"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Заключение</w:t>
      </w:r>
    </w:p>
    <w:p w14:paraId="01B36458"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Получение материала, как видно из изложенного, заставляет нас по многим вопросам проблемы пересмотреть свои взгляды и установить три новых для советской физики направления в работе.</w:t>
      </w:r>
    </w:p>
    <w:p w14:paraId="5A1D3BCA"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Выделение изотопа урана-235 диффузией.</w:t>
      </w:r>
    </w:p>
    <w:p w14:paraId="2E8B9A97"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Осуществление ядерного горения в смеси уран—тяжелая вода.</w:t>
      </w:r>
    </w:p>
    <w:p w14:paraId="3CB6540B"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Изучение свойств элемента EKaOs94.</w:t>
      </w:r>
    </w:p>
    <w:p w14:paraId="39C304E3"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заключение необходимо отметить, что вся совокупность сведений ма</w:t>
      </w:r>
      <w:r w:rsidRPr="00D03F3E">
        <w:rPr>
          <w:rFonts w:ascii="Times New Roman" w:hAnsi="Times New Roman"/>
          <w:color w:val="000000" w:themeColor="text1"/>
          <w:sz w:val="16"/>
          <w:szCs w:val="16"/>
        </w:rPr>
        <w:softHyphen/>
        <w:t>териала указывает на техническую возможность решения всей проблемы урана в значительно более короткий срок, чем это думают наши ученые, не знакомые с ходом работ по этой проблеме за границей'.</w:t>
      </w:r>
    </w:p>
    <w:p w14:paraId="099F389B"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Естественно, возникает вопрос о том, отражают ли полученные ма</w:t>
      </w:r>
      <w:r w:rsidRPr="00D03F3E">
        <w:rPr>
          <w:rFonts w:ascii="Times New Roman" w:hAnsi="Times New Roman"/>
          <w:color w:val="000000" w:themeColor="text1"/>
          <w:sz w:val="16"/>
          <w:szCs w:val="16"/>
        </w:rPr>
        <w:softHyphen/>
        <w:t>териалы действительный ход научно-исследовательской работы в Анг</w:t>
      </w:r>
      <w:r w:rsidRPr="00D03F3E">
        <w:rPr>
          <w:rFonts w:ascii="Times New Roman" w:hAnsi="Times New Roman"/>
          <w:color w:val="000000" w:themeColor="text1"/>
          <w:sz w:val="16"/>
          <w:szCs w:val="16"/>
        </w:rPr>
        <w:softHyphen/>
        <w:t>лии, а не являются вымыслом, задачей которого явилась бы дезориента</w:t>
      </w:r>
      <w:r w:rsidRPr="00D03F3E">
        <w:rPr>
          <w:rFonts w:ascii="Times New Roman" w:hAnsi="Times New Roman"/>
          <w:color w:val="000000" w:themeColor="text1"/>
          <w:sz w:val="16"/>
          <w:szCs w:val="16"/>
        </w:rPr>
        <w:softHyphen/>
        <w:t>ция нашей науки. Этот вопрос для нас имеет особенно большое значение потому, что по многим важным разделам работы (из-за отсутствия тех</w:t>
      </w:r>
      <w:r w:rsidRPr="00D03F3E">
        <w:rPr>
          <w:rFonts w:ascii="Times New Roman" w:hAnsi="Times New Roman"/>
          <w:color w:val="000000" w:themeColor="text1"/>
          <w:sz w:val="16"/>
          <w:szCs w:val="16"/>
        </w:rPr>
        <w:softHyphen/>
        <w:t>нической базы) мы пока не в состоянии произвести проверку данных, изложенных в материале.</w:t>
      </w:r>
    </w:p>
    <w:p w14:paraId="3C4B585E"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основании внимательного ознакомления с материалом у меня осталось впечатление, что он отражает истинное положение вещей.</w:t>
      </w:r>
    </w:p>
    <w:p w14:paraId="3189E19F"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Некоторые выводы, даже по весьма важным разделам работы, мне кажутся сомнительными, некоторые из них мало обоснованными, но ответственными за это являются английские ученые, а не доброкаче</w:t>
      </w:r>
      <w:r w:rsidRPr="00D03F3E">
        <w:rPr>
          <w:rFonts w:ascii="Times New Roman" w:hAnsi="Times New Roman"/>
          <w:color w:val="000000" w:themeColor="text1"/>
          <w:sz w:val="16"/>
          <w:szCs w:val="16"/>
        </w:rPr>
        <w:softHyphen/>
        <w:t>ственность информации.</w:t>
      </w:r>
    </w:p>
    <w:p w14:paraId="11A15194"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письмо будет передано Вам Вашим помощником т. А.И. Ва</w:t>
      </w:r>
      <w:r w:rsidRPr="00D03F3E">
        <w:rPr>
          <w:rFonts w:ascii="Times New Roman" w:hAnsi="Times New Roman"/>
          <w:color w:val="000000" w:themeColor="text1"/>
          <w:sz w:val="16"/>
          <w:szCs w:val="16"/>
        </w:rPr>
        <w:softHyphen/>
        <w:t>синым, у которого находятся подлежащие уничтожению черновые за</w:t>
      </w:r>
      <w:r w:rsidRPr="00D03F3E">
        <w:rPr>
          <w:rFonts w:ascii="Times New Roman" w:hAnsi="Times New Roman"/>
          <w:color w:val="000000" w:themeColor="text1"/>
          <w:sz w:val="16"/>
          <w:szCs w:val="16"/>
        </w:rPr>
        <w:softHyphen/>
        <w:t>писи к письму.</w:t>
      </w:r>
    </w:p>
    <w:p w14:paraId="74C352CF"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Содержание письма никому, кроме него, не может быть пока известно.</w:t>
      </w:r>
    </w:p>
    <w:p w14:paraId="044CCA4F"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 лабораторией</w:t>
      </w:r>
    </w:p>
    <w:p w14:paraId="10F9FCF6"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Профессор Курчатов</w:t>
      </w:r>
    </w:p>
    <w:p w14:paraId="616A2F0C"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г. М.Г. Первухин направил записку профессора И.В. Курчатова о материалах по проблеме урана в адрес зам. наркома НКВД СССР В.Н. Меркулова с просьбой о дополнительном выяснении поставленных в записке вопросов.</w:t>
      </w:r>
    </w:p>
    <w:p w14:paraId="419BDCB7"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Печатается по: Очерки истории российской внешней разведки: в 6 т. Т. 4. 1941—1945 годы. М.: Международные отношения, 1999, с. 676—677 (15493).</w:t>
      </w:r>
    </w:p>
    <w:p w14:paraId="136F2DE7" w14:textId="77777777" w:rsidR="00C32DC9" w:rsidRPr="00D03F3E" w:rsidRDefault="00C32DC9" w:rsidP="00D03F3E">
      <w:pPr>
        <w:spacing w:after="0" w:line="240" w:lineRule="auto"/>
        <w:jc w:val="both"/>
        <w:rPr>
          <w:rFonts w:ascii="Times New Roman" w:hAnsi="Times New Roman"/>
          <w:color w:val="000000" w:themeColor="text1"/>
          <w:sz w:val="16"/>
          <w:szCs w:val="16"/>
        </w:rPr>
      </w:pPr>
    </w:p>
    <w:p w14:paraId="2B40AD1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6B3D31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A8CB3E"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7 марта</w:t>
      </w:r>
      <w:r w:rsidRPr="00D03F3E">
        <w:rPr>
          <w:rFonts w:ascii="Times New Roman" w:hAnsi="Times New Roman"/>
          <w:color w:val="000000" w:themeColor="text1"/>
          <w:sz w:val="16"/>
          <w:szCs w:val="16"/>
        </w:rPr>
        <w:t xml:space="preserve"> в 1943 году утреннее сообщение Совинформбюро:</w:t>
      </w:r>
    </w:p>
    <w:p w14:paraId="5789BEF2"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7 марта наши войска вели наступательные бои на прежних направлениях.</w:t>
      </w:r>
    </w:p>
    <w:p w14:paraId="5A6F374F"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Гжатска наши войска, преодолевая упорное сопротивление противника, продолжали успешное наступление. За ночь советские части заняли 20 населённых пунктов. В бою за один крупный населённый пункт истреблено до 400 гитлеровцев. Захвачено 8 танков, 5 орудий, много пулемётов, винтовок и патронов.</w:t>
      </w:r>
    </w:p>
    <w:p w14:paraId="77A9B307"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боях за Гжатск наши части уничтожили на подступах к городу до 1.200 солдат и офицеров противника. В самом городе Гжатске истреблён немецкий гарнизон, насчитывавший свыше полка пехоты.</w:t>
      </w:r>
    </w:p>
    <w:p w14:paraId="444611DF"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Оленино — Чертолино наши войска освободили несколько десятков населённых пунктов. Отступая под ударами советских частей, немцы бросают вооружение и технику. Только в районе одного населённого пункта наши бойцы захватили 9 танков, 10 автомашин, 40 тысяч патронов и другие трофеи, которые подсчитываются.</w:t>
      </w:r>
    </w:p>
    <w:p w14:paraId="4F287B71"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советские подразделения в течение ночи истребили до 200 гитлеровцев. Захвачены трофеи и пленные из 336 и 294 немецких пехотных дивизий. Пленные показали, что немецкие войска в этом районе несут большие потери, особенно от огня артиллерии и миномётов.</w:t>
      </w:r>
    </w:p>
    <w:p w14:paraId="5F147950"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Советские зенитчики сбили 3 немецких самолета.</w:t>
      </w:r>
    </w:p>
    <w:p w14:paraId="2F7ED50B"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Харькова наши части в результате ожесточенных боёв заняли два населённых пункта. На поле боя осталось до 300 вражеских трупов и 8 сожжённых танков. Наши бойцы захватили 15 орудий и 28 миномётов.</w:t>
      </w:r>
    </w:p>
    <w:p w14:paraId="2FBFDED0"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Дмитриева-Льговского наши части очищали от противника занятые районыи истребляли блокированные в населённых пунктах немецкие гарнизоны. За два дня захвачены 24 орудия, 26 миномётов, 200 пулемётов, 2 склада и другие трофеи. На другом участке бойцы части под командованием тов. Крюкова захватили 22 орудия,100 тысяч патронов, 90 лошадей. В одном населённом пункте, окружённом нашими подразделениями, рота гитлеровцев сложила оружие и сдалась в плен.</w:t>
      </w:r>
    </w:p>
    <w:p w14:paraId="6ED3A6E7"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наши войска вели наступательные бои. Н-ская часть ворвалась в населённый пункт и овладела им. Контратаки противника отбиты сбольшими для него потерями.</w:t>
      </w:r>
    </w:p>
    <w:p w14:paraId="48B6E7D9"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Уничтожено до роты пехоты и подбито 6 немецких танков.</w:t>
      </w:r>
    </w:p>
    <w:p w14:paraId="2BE95A75"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в воздушных боях сбили 16 вражеских самолётов.</w:t>
      </w:r>
    </w:p>
    <w:p w14:paraId="32400030"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партизан отряда, действующего в одном из районов Курской области, всередине февраля месяца взорвала железнодорожное полотно. Следовавший по этойдороге бронепоезд противника потерпел крушение. Другой отряд курских партизан пустил под откос немецкий воинский эшелон. Разбиты паровоз и 14 вагонов.</w:t>
      </w:r>
    </w:p>
    <w:p w14:paraId="5C54086E"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селе Добросли, Ленинградской, области: «Много горя и унижений претерпели мы за полтора года от хищных фрицев. Как только гитлеровцы ворвались в деревню, ониначали взламывать замки и грабить крестьян. Под страхом расстрелов и виселиц немцы угнали наших дочерей и сыновей на каторгу в Германию. Теперь в селе нет ниодной девушки, ни одного парня. Фашистские изверги убили старика Ивана Александрова, колхозницу Фёклу Дмитриеву и других жителей. Отступая на запад, немцы подожгли село. Только благодаря красноармейцам, занявшим Добросли, нам удалось потушить пожар и спасти свои дома. От всего сердца благодарим бойцов и командиров Красной Армии. Мы приложим все силы, чтобы помочь Красной Армии полностью очистить нашу Родину от немецкой погани». Акт подписали: К.Семёнова, Т.Васильева, М.Иванова, Д.Васильева, Е.Ковалёва, П.Иванова и другие.» (15061).</w:t>
      </w:r>
    </w:p>
    <w:p w14:paraId="1ED43962" w14:textId="77777777" w:rsidR="00C32DC9" w:rsidRPr="00D03F3E" w:rsidRDefault="00C32DC9" w:rsidP="00D03F3E">
      <w:pPr>
        <w:spacing w:after="0" w:line="240" w:lineRule="auto"/>
        <w:jc w:val="both"/>
        <w:rPr>
          <w:rFonts w:ascii="Times New Roman" w:hAnsi="Times New Roman"/>
          <w:color w:val="000000" w:themeColor="text1"/>
          <w:sz w:val="16"/>
          <w:szCs w:val="16"/>
        </w:rPr>
      </w:pPr>
    </w:p>
    <w:p w14:paraId="4EAA1AC6"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7 марта</w:t>
      </w:r>
      <w:r w:rsidRPr="00D03F3E">
        <w:rPr>
          <w:rFonts w:ascii="Times New Roman" w:hAnsi="Times New Roman"/>
          <w:color w:val="000000" w:themeColor="text1"/>
          <w:sz w:val="16"/>
          <w:szCs w:val="16"/>
        </w:rPr>
        <w:t xml:space="preserve"> в 1943 году вечернее сообщение Совинформбюро:</w:t>
      </w:r>
    </w:p>
    <w:p w14:paraId="6ED20447"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7 марта наши войска вели наступательные бои на прежних направлениях.</w:t>
      </w:r>
    </w:p>
    <w:p w14:paraId="09FB1CA5"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корабли в Баренцевом море потопили транспорт противника водоизмещением в 6.000 тонн.</w:t>
      </w:r>
    </w:p>
    <w:p w14:paraId="01869B5F"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28 февраля по 6 марта включительно, в воздушных боях ина аэродромах уничтожено 129 немецких самолётов. Наши потери за это же время —76 самолётов.</w:t>
      </w:r>
    </w:p>
    <w:p w14:paraId="24032C2F"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марта частями нашей авиации на различных участках фронта уничтожено или повреждено не менее 5 немецких танков, более 100 автомашин с войсками и грузами, подавлен огонь 10 артиллерийских батарей и взорвано 2 склада противника с боеприпасами.</w:t>
      </w:r>
    </w:p>
    <w:p w14:paraId="28C2C20C"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и северо-западнее Гжатска наши войска, преодолевая упорное сопротивление противника, продвигались вперёд. Наши части заняли 74 населённых пункта. Захвачены трофеи и пленные.</w:t>
      </w:r>
    </w:p>
    <w:p w14:paraId="529B0376"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Оленино—Чертолино наши войска продолжали успешное наступление. Советские бойцы наносят врагу тяжёлые удары и, неотступно преследуя его, не даю твозможности закрепиться на новых оборонительных рубежах. В течение дня наши части освободили от немецко-фашистских захватчиков свыше 20 населённых пунктов. Взяты трофеи.</w:t>
      </w:r>
    </w:p>
    <w:p w14:paraId="1FE0B7CC"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Огнём зенитной артиллерии сбито 8 немецких самолётов.</w:t>
      </w:r>
    </w:p>
    <w:p w14:paraId="0AF7DAE3"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бойцы Н-ской части, преодолевая заграждения и сильное огневое сопротивление, ворвались в окопы противника. Уничтожено до 200 немецких солдат и офицеров, 4 миномёта, 18 пулемётов, разрушено 2 дзота и 13 блиндажей. Сапёры-разведчики тт. Журавлёв и Романович проникли в тыл противникаи в нескольких местах взорвали железнодорожную линию.</w:t>
      </w:r>
    </w:p>
    <w:p w14:paraId="6194FEC5"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Н-ская артиллерийская часть во взаимодействии с пехотой в последних боях уничтожила 14 немецких танков, 8 бронемашин и 25автомашин с военными грузами. Истреблено до батальона пехоты противника.</w:t>
      </w:r>
    </w:p>
    <w:p w14:paraId="2BFEB046"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Севска наши войска продолжали наступление. Бойцы Н-ской части, продвигаясь вперёд, заняли несколько населённых пунктов и захватили 2 орудия, 14 пулемётов, 5 миномётов и склад с обмундированием. Частями Н-ского соединения затри дня боёв уничтожено свыше 1.000 немецких солдат и офицеров. За то же время взяты трофеи, в числе которых 29 орудий, из них 4 самоходных, и 2 склада своенным имуществом.</w:t>
      </w:r>
    </w:p>
    <w:p w14:paraId="64BD25B3"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наши войска продолжали вести наступательные бои.Части Н-ского соединения в результате атаки овладели сильно укреплённым населённым пунктом. На поле боя остались сотни вражеских трупов и многоброшенного немцами вооружения.</w:t>
      </w:r>
    </w:p>
    <w:p w14:paraId="475C2DAD"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одном из районов Черниговской области, внезапно ворвались в усадьбу немецкого помещика. Перепуганная охрана бежала. Народные мстители сожгли элеватор с зерном, отобранным гитлеровцами у крестьян и угнали скот. Группа партизан этого же отряда минировала участок железнодорожной магистрали. Немецкий эшелон с боеприпасами подорвался на минах и полетел под откос. За последние дни советские патриоты уничтожили, кроме того, 3 паровоза и 40 вагонов с военным имуществом противника.</w:t>
      </w:r>
    </w:p>
    <w:p w14:paraId="36512409"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Перед отступлением из города Мерефа, Харьковской области, немецко-фашистские мерзавцы учинили кровавую расправу над мирными жителями. Только на Ржавской улице фашистские головорезы расстреляли 11 человек. На Киевской и Ново-Проезжей улицах гитлеровцы расстреляли первых попавшихся жителей—Ивана Писаренко, Карпа Сергиенко и других. Фашистские изверги, отступая из города, сожгли многие кварталы и улицы. Бандиты врывались в квартиры, поливали вещи горючей жидкостью и поджигали дома.</w:t>
      </w:r>
    </w:p>
    <w:p w14:paraId="61E02D1B"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Группе бельгийских патриотов удалось проникнуть на военный завод близ Льежа и захватить большое количество ручных пулемётов. В районе города Мехельн вооружённый отряд бельгийцев уничтожил 11 немецких мотоциклистов. Неподалеку от города Нивель бельгийские патриоты пустили под откос немецкий воинский эшелон.» (15061).</w:t>
      </w:r>
    </w:p>
    <w:p w14:paraId="702F5BB8" w14:textId="77777777" w:rsidR="00C32DC9" w:rsidRPr="00D03F3E" w:rsidRDefault="00C32DC9" w:rsidP="00D03F3E">
      <w:pPr>
        <w:spacing w:after="0" w:line="240" w:lineRule="auto"/>
        <w:jc w:val="both"/>
        <w:rPr>
          <w:rFonts w:ascii="Times New Roman" w:hAnsi="Times New Roman"/>
          <w:color w:val="000000" w:themeColor="text1"/>
          <w:sz w:val="16"/>
          <w:szCs w:val="16"/>
        </w:rPr>
      </w:pPr>
    </w:p>
    <w:p w14:paraId="63DE85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г. вышла ди</w:t>
      </w:r>
      <w:r w:rsidRPr="00D03F3E">
        <w:rPr>
          <w:rFonts w:ascii="Times New Roman" w:hAnsi="Times New Roman"/>
          <w:color w:val="000000" w:themeColor="text1"/>
          <w:sz w:val="16"/>
          <w:szCs w:val="16"/>
        </w:rPr>
        <w:softHyphen/>
        <w:t>ректива командующего 8-й ВА генерал-майора авиации Т.Т.Хрюкина №0059 по поводу недостатков в боевой ра</w:t>
      </w:r>
      <w:r w:rsidRPr="00D03F3E">
        <w:rPr>
          <w:rFonts w:ascii="Times New Roman" w:hAnsi="Times New Roman"/>
          <w:color w:val="000000" w:themeColor="text1"/>
          <w:sz w:val="16"/>
          <w:szCs w:val="16"/>
        </w:rPr>
        <w:softHyphen/>
        <w:t>боте штурмовиков Ил-2 в период кон</w:t>
      </w:r>
      <w:r w:rsidRPr="00D03F3E">
        <w:rPr>
          <w:rFonts w:ascii="Times New Roman" w:hAnsi="Times New Roman"/>
          <w:color w:val="000000" w:themeColor="text1"/>
          <w:sz w:val="16"/>
          <w:szCs w:val="16"/>
        </w:rPr>
        <w:softHyphen/>
        <w:t xml:space="preserve">трнаступления под Сталинградом, в которой указывалось следующее: </w:t>
      </w:r>
      <w:r w:rsidRPr="00D03F3E">
        <w:rPr>
          <w:rFonts w:ascii="Times New Roman" w:hAnsi="Times New Roman"/>
          <w:iCs/>
          <w:color w:val="000000" w:themeColor="text1"/>
          <w:sz w:val="16"/>
          <w:szCs w:val="16"/>
        </w:rPr>
        <w:t>"...Применение боеприпасов в соответ</w:t>
      </w:r>
      <w:r w:rsidRPr="00D03F3E">
        <w:rPr>
          <w:rFonts w:ascii="Times New Roman" w:hAnsi="Times New Roman"/>
          <w:iCs/>
          <w:color w:val="000000" w:themeColor="text1"/>
          <w:sz w:val="16"/>
          <w:szCs w:val="16"/>
        </w:rPr>
        <w:softHyphen/>
        <w:t>ствии с характером цели и тактической обстановкой не всегда было грамотным. При действии по танковым колоннам применялись пушки ШВАК, PC-82, а иног</w:t>
      </w:r>
      <w:r w:rsidRPr="00D03F3E">
        <w:rPr>
          <w:rFonts w:ascii="Times New Roman" w:hAnsi="Times New Roman"/>
          <w:iCs/>
          <w:color w:val="000000" w:themeColor="text1"/>
          <w:sz w:val="16"/>
          <w:szCs w:val="16"/>
        </w:rPr>
        <w:softHyphen/>
        <w:t>да и пулеметы ШКАС без учета типа тан</w:t>
      </w:r>
      <w:r w:rsidRPr="00D03F3E">
        <w:rPr>
          <w:rFonts w:ascii="Times New Roman" w:hAnsi="Times New Roman"/>
          <w:iCs/>
          <w:color w:val="000000" w:themeColor="text1"/>
          <w:sz w:val="16"/>
          <w:szCs w:val="16"/>
        </w:rPr>
        <w:softHyphen/>
        <w:t>ков, тогда как по танкам типа Артштурм и Т-3 эти средства малопригодны... Раз</w:t>
      </w:r>
      <w:r w:rsidRPr="00D03F3E">
        <w:rPr>
          <w:rFonts w:ascii="Times New Roman" w:hAnsi="Times New Roman"/>
          <w:iCs/>
          <w:color w:val="000000" w:themeColor="text1"/>
          <w:sz w:val="16"/>
          <w:szCs w:val="16"/>
        </w:rPr>
        <w:softHyphen/>
        <w:t>ведка и доразведка, а особенно фото</w:t>
      </w:r>
      <w:r w:rsidRPr="00D03F3E">
        <w:rPr>
          <w:rFonts w:ascii="Times New Roman" w:hAnsi="Times New Roman"/>
          <w:iCs/>
          <w:color w:val="000000" w:themeColor="text1"/>
          <w:sz w:val="16"/>
          <w:szCs w:val="16"/>
        </w:rPr>
        <w:softHyphen/>
        <w:t>графирование целей и контроль выпол</w:t>
      </w:r>
      <w:r w:rsidRPr="00D03F3E">
        <w:rPr>
          <w:rFonts w:ascii="Times New Roman" w:hAnsi="Times New Roman"/>
          <w:iCs/>
          <w:color w:val="000000" w:themeColor="text1"/>
          <w:sz w:val="16"/>
          <w:szCs w:val="16"/>
        </w:rPr>
        <w:softHyphen/>
        <w:t>нения поставленных задач поставлены плохо. Вследствие недостаточного изу</w:t>
      </w:r>
      <w:r w:rsidRPr="00D03F3E">
        <w:rPr>
          <w:rFonts w:ascii="Times New Roman" w:hAnsi="Times New Roman"/>
          <w:iCs/>
          <w:color w:val="000000" w:themeColor="text1"/>
          <w:sz w:val="16"/>
          <w:szCs w:val="16"/>
        </w:rPr>
        <w:softHyphen/>
        <w:t>чения летным составом поставленной задачи, маршрута следования, характе</w:t>
      </w:r>
      <w:r w:rsidRPr="00D03F3E">
        <w:rPr>
          <w:rFonts w:ascii="Times New Roman" w:hAnsi="Times New Roman"/>
          <w:iCs/>
          <w:color w:val="000000" w:themeColor="text1"/>
          <w:sz w:val="16"/>
          <w:szCs w:val="16"/>
        </w:rPr>
        <w:softHyphen/>
        <w:t>ра цели и тактической обстановки, а так</w:t>
      </w:r>
      <w:r w:rsidRPr="00D03F3E">
        <w:rPr>
          <w:rFonts w:ascii="Times New Roman" w:hAnsi="Times New Roman"/>
          <w:iCs/>
          <w:color w:val="000000" w:themeColor="text1"/>
          <w:sz w:val="16"/>
          <w:szCs w:val="16"/>
        </w:rPr>
        <w:softHyphen/>
        <w:t>же стремления выполнить задачу без де</w:t>
      </w:r>
      <w:r w:rsidRPr="00D03F3E">
        <w:rPr>
          <w:rFonts w:ascii="Times New Roman" w:hAnsi="Times New Roman"/>
          <w:iCs/>
          <w:color w:val="000000" w:themeColor="text1"/>
          <w:sz w:val="16"/>
          <w:szCs w:val="16"/>
        </w:rPr>
        <w:softHyphen/>
        <w:t>тального просмотра цели и выбора наи</w:t>
      </w:r>
      <w:r w:rsidRPr="00D03F3E">
        <w:rPr>
          <w:rFonts w:ascii="Times New Roman" w:hAnsi="Times New Roman"/>
          <w:iCs/>
          <w:color w:val="000000" w:themeColor="text1"/>
          <w:sz w:val="16"/>
          <w:szCs w:val="16"/>
        </w:rPr>
        <w:softHyphen/>
        <w:t>выгоднейших точек прицеливания, име</w:t>
      </w:r>
      <w:r w:rsidRPr="00D03F3E">
        <w:rPr>
          <w:rFonts w:ascii="Times New Roman" w:hAnsi="Times New Roman"/>
          <w:iCs/>
          <w:color w:val="000000" w:themeColor="text1"/>
          <w:sz w:val="16"/>
          <w:szCs w:val="16"/>
        </w:rPr>
        <w:softHyphen/>
        <w:t xml:space="preserve">лись случаи поражения своих войск, а также бомбометание и штурмовка по несколько раз по уже уничтоженным или поврежденным танкам и автомашинам" </w:t>
      </w:r>
      <w:r w:rsidRPr="00D03F3E">
        <w:rPr>
          <w:rFonts w:ascii="Times New Roman" w:hAnsi="Times New Roman"/>
          <w:color w:val="000000" w:themeColor="text1"/>
          <w:sz w:val="16"/>
          <w:szCs w:val="16"/>
        </w:rPr>
        <w:t>(6467).</w:t>
      </w:r>
    </w:p>
    <w:p w14:paraId="6ABFC8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8C734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7 марта 1943 И. Сталину присвоено звание маршала (4962).</w:t>
      </w:r>
    </w:p>
    <w:p w14:paraId="592E7D2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84E4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И.В.С. стал маршалом (1348,122) по постановлению ВС (3908,367).</w:t>
      </w:r>
    </w:p>
    <w:p w14:paraId="7049F1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B427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на 7 марта 1943, а затем и в следующую, на 8 марта, близ Хельсинки 1-м ГМТАП было выставлено пять мин (еще один ДБ-3 вернулся из-за неисправности матчасти и сел с миной на аэродроме). Поданным нашей разведки, на этих заграждениях получил тяжелые повреждения вражеский транспорт (зарубежных данных, подтверждающих этот успех нет). К сожалению, из первой постановки не вернулось два самолета, один из которых пилотировал командир 3-й эскадрильи Герой Советского Союза майор М.Н.Плоткин. Через сутки выяснилось, что при возвращении уже над нашей территорией «Ильюшины» столкнулись в воздухе. По-видимому, понесенные потери показались командованию неприемлемыми, и от продолжения ледовых постановок отказались. В дальнейшем, до середины мая, вся деятельность полка на морском направлении сводилась к эпизодическим вылетам звеньев или отдельных машин для бомбардировки портов и кораблей со средних высот, не имевшим какого-либо успеха (9965).</w:t>
      </w:r>
    </w:p>
    <w:p w14:paraId="1D4904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4B7D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вышло Постановление ГКО № 3000 О расформировании Центрального штаба партизанского движения.РГАНИР, Фонд ГКО, д. 96, лл. 4 (11012).</w:t>
      </w:r>
    </w:p>
    <w:p w14:paraId="0C2514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974B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вышло Постановление ГКО № 3001 О перебазировании школ, училищ и ремонтных органов ВВС Красной Армии.РГАНИР, Фонд ГКО, д. 96, лл. 5, 6-9 (11012).</w:t>
      </w:r>
    </w:p>
    <w:p w14:paraId="1843C3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A554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вышло Постановление ГКО № 3002 О строительстве и монтаже радиомаяков, приводных радиостанций и радиопеленгаторных пунктов для ВВС КА и АДРГАНИР, Фонд ГКО, д. РГАНИР, Фонд ГКО, д. 96, лл. 10-13, 14-23 (11012).</w:t>
      </w:r>
    </w:p>
    <w:p w14:paraId="339631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EBEC1F" w14:textId="77777777" w:rsidR="00C32DC9"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2CCE1783" w14:textId="77777777" w:rsidR="00C32DC9" w:rsidRPr="00D03F3E" w:rsidRDefault="00C32DC9"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68C38B"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7 марта</w:t>
      </w:r>
      <w:r w:rsidRPr="00D03F3E">
        <w:rPr>
          <w:rFonts w:ascii="Times New Roman" w:hAnsi="Times New Roman"/>
          <w:color w:val="000000" w:themeColor="text1"/>
          <w:sz w:val="16"/>
          <w:szCs w:val="16"/>
        </w:rPr>
        <w:t xml:space="preserve"> в 1943 году письмо А.Н.Вертинского В.М.Молотову с просьбой предоставить ему советское гражданство (15061).</w:t>
      </w:r>
    </w:p>
    <w:p w14:paraId="4322AC39" w14:textId="77777777" w:rsidR="00C32DC9" w:rsidRPr="00D03F3E" w:rsidRDefault="00C32DC9" w:rsidP="00D03F3E">
      <w:pPr>
        <w:spacing w:after="0" w:line="240" w:lineRule="auto"/>
        <w:jc w:val="both"/>
        <w:rPr>
          <w:rFonts w:ascii="Times New Roman" w:hAnsi="Times New Roman"/>
          <w:color w:val="000000" w:themeColor="text1"/>
          <w:sz w:val="16"/>
          <w:szCs w:val="16"/>
        </w:rPr>
      </w:pPr>
    </w:p>
    <w:p w14:paraId="2435E2F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425028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2A73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1943 англичане успешно отражали контратаки стран оси (3907,241).</w:t>
      </w:r>
    </w:p>
    <w:p w14:paraId="2F9604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43E0CE"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2C1403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DBBADD"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8 марта 1943 г. начальник 1-го отдела УЗ- СиМ ГУЗ ВВС инженер-полковник Ковалев в до</w:t>
      </w:r>
      <w:r w:rsidRPr="00D03F3E">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D03F3E">
        <w:rPr>
          <w:color w:val="000000" w:themeColor="text1"/>
          <w:sz w:val="16"/>
          <w:szCs w:val="16"/>
        </w:rPr>
        <w:softHyphen/>
        <w:t>вых испытаний самолетов Ил-2 с ШФК-37 37-мм пушки подлежат конструктивной доводке».</w:t>
      </w:r>
    </w:p>
    <w:p w14:paraId="069C6A6F"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Тишевского, участвовавшего в войсковых испытаниях пу</w:t>
      </w:r>
      <w:r w:rsidRPr="00D03F3E">
        <w:rPr>
          <w:color w:val="000000" w:themeColor="text1"/>
          <w:sz w:val="16"/>
          <w:szCs w:val="16"/>
        </w:rPr>
        <w:softHyphen/>
        <w:t>шек ШФК-37 на самолетах Ил-2».</w:t>
      </w:r>
    </w:p>
    <w:p w14:paraId="39ABD601"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Ознакомившись с материалами отчета Тишевского,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D03F3E">
        <w:rPr>
          <w:color w:val="000000" w:themeColor="text1"/>
          <w:sz w:val="16"/>
          <w:szCs w:val="16"/>
        </w:rPr>
        <w:softHyphen/>
        <w:t>готовить справку о ходе испытаний пушек калибра 37 мм ОКБ-16 на самолетах Ил-2 (17500).</w:t>
      </w:r>
    </w:p>
    <w:p w14:paraId="103DA840" w14:textId="77777777" w:rsidR="00A77B9A" w:rsidRPr="00D03F3E" w:rsidRDefault="00A77B9A" w:rsidP="00D03F3E">
      <w:pPr>
        <w:pStyle w:val="12a"/>
        <w:shd w:val="clear" w:color="auto" w:fill="auto"/>
        <w:spacing w:after="0" w:line="240" w:lineRule="auto"/>
        <w:jc w:val="both"/>
        <w:rPr>
          <w:color w:val="000000" w:themeColor="text1"/>
          <w:sz w:val="16"/>
          <w:szCs w:val="16"/>
        </w:rPr>
      </w:pPr>
    </w:p>
    <w:p w14:paraId="286C6875" w14:textId="77777777" w:rsidR="00C32DC9" w:rsidRPr="00D03F3E" w:rsidRDefault="00C32DC9"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 8 марта 1943 бес</w:t>
      </w:r>
      <w:r w:rsidRPr="00D03F3E">
        <w:rPr>
          <w:rFonts w:ascii="Times New Roman" w:cs="Times New Roman"/>
          <w:color w:val="000000" w:themeColor="text1"/>
          <w:spacing w:val="0"/>
        </w:rPr>
        <w:softHyphen/>
        <w:t>поплавковые карбюраторы БП-82, которые отправили в ЦИАМ для регулировки, «вернули» на самолет ДИС-200 (ИТ), но полеты по программе испытаний так и не начались. Сначала не было свобод</w:t>
      </w:r>
      <w:r w:rsidRPr="00D03F3E">
        <w:rPr>
          <w:rFonts w:ascii="Times New Roman" w:cs="Times New Roman"/>
          <w:color w:val="000000" w:themeColor="text1"/>
          <w:spacing w:val="0"/>
        </w:rPr>
        <w:softHyphen/>
        <w:t>ных летчиков, а вскоре все работы по ДИС-200 (ИТ) свернули. Как следует из документов, последняя гонка моторов была 15 мая, а к 10 октября 1943 г. с са</w:t>
      </w:r>
      <w:r w:rsidRPr="00D03F3E">
        <w:rPr>
          <w:rFonts w:ascii="Times New Roman" w:cs="Times New Roman"/>
          <w:color w:val="000000" w:themeColor="text1"/>
          <w:spacing w:val="0"/>
        </w:rPr>
        <w:softHyphen/>
        <w:t>молета сняли винты и отправили в ЛИИ НКАП. После 29 октября самолет в свод</w:t>
      </w:r>
      <w:r w:rsidRPr="00D03F3E">
        <w:rPr>
          <w:rFonts w:ascii="Times New Roman" w:cs="Times New Roman"/>
          <w:color w:val="000000" w:themeColor="text1"/>
          <w:spacing w:val="0"/>
        </w:rPr>
        <w:softHyphen/>
        <w:t>ках НИИ ВВС по опытному строительст</w:t>
      </w:r>
      <w:r w:rsidRPr="00D03F3E">
        <w:rPr>
          <w:rFonts w:ascii="Times New Roman" w:cs="Times New Roman"/>
          <w:color w:val="000000" w:themeColor="text1"/>
          <w:spacing w:val="0"/>
        </w:rPr>
        <w:softHyphen/>
        <w:t>ву больше не упоминается». В общей сложности ДИС-200 (ИТ) выполнил 14 полетов. Была получена максимальная скорость 604 км/ч на вы</w:t>
      </w:r>
      <w:r w:rsidRPr="00D03F3E">
        <w:rPr>
          <w:rFonts w:ascii="Times New Roman" w:cs="Times New Roman"/>
          <w:color w:val="000000" w:themeColor="text1"/>
          <w:spacing w:val="0"/>
        </w:rPr>
        <w:softHyphen/>
        <w:t>соте 5000 м. Расчетная дальность по</w:t>
      </w:r>
      <w:r w:rsidRPr="00D03F3E">
        <w:rPr>
          <w:rFonts w:ascii="Times New Roman" w:cs="Times New Roman"/>
          <w:color w:val="000000" w:themeColor="text1"/>
          <w:spacing w:val="0"/>
        </w:rPr>
        <w:softHyphen/>
        <w:t>лета - 2500 км. Практический потолок - 9800 м (15755).</w:t>
      </w:r>
    </w:p>
    <w:p w14:paraId="61F015BC" w14:textId="77777777" w:rsidR="00C32DC9" w:rsidRPr="00D03F3E" w:rsidRDefault="00C32DC9" w:rsidP="00D03F3E">
      <w:pPr>
        <w:pStyle w:val="27"/>
        <w:shd w:val="clear" w:color="auto" w:fill="auto"/>
        <w:spacing w:after="0" w:line="240" w:lineRule="auto"/>
        <w:ind w:firstLine="0"/>
        <w:rPr>
          <w:rFonts w:ascii="Times New Roman" w:cs="Times New Roman"/>
          <w:color w:val="000000" w:themeColor="text1"/>
          <w:spacing w:val="0"/>
        </w:rPr>
      </w:pPr>
    </w:p>
    <w:p w14:paraId="527EC7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марта 1943 г. по приказу № 136с часть кадров и оборудования ОКБ завода № 33 переведено для укрепления в ОКБ завода № 315 НКАП. По приказу № 336с от 3.06.1943 г. на заводе № 315 образовано единое ОКБ-315-33 НКАП на базе ОКБ завода № 33 и ОКБ завода № 315. Гл. конструктором ОКБ и обоих заводов назначен Ф.А. Коротков. Для помощи серийному производству на заводе № 33 организован филиал ОКБ-315-33.</w:t>
      </w:r>
    </w:p>
    <w:p w14:paraId="64AD04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по доводке и модернизации карбюраторов К-11А, ВК-4, КТА-21, К-25, К-42, К-38, К-105Ф, АК-62, АК-82. После войны- доводка агрегатов АТ-1, АРТ-8, ДК-6 для РД-45 и РД-500.</w:t>
      </w:r>
    </w:p>
    <w:p w14:paraId="5C80A7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1957 г. филиал преобразован в самостоятельное Союзное ОКБ-33 МАП. В 08.1957 г.- в ведении ЗГУ МАП.</w:t>
      </w:r>
    </w:p>
    <w:p w14:paraId="4EA8EE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1960-х  г. действовало единое ОКБ-315-33 с Пермским филиалом на заводе № 33. В 1960-х  г. ОКБ вновь стало самостоятельным и получило название ПАКБ. С 1962 г. имеет собственный производственный корпус.</w:t>
      </w:r>
    </w:p>
    <w:p w14:paraId="41C1E9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471C40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(2005 г.): разработка САУ для двигателей ПС-90А2, самолетов Ан-140 и Ан-38.</w:t>
      </w:r>
    </w:p>
    <w:p w14:paraId="21DE0C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(2002 г.)- 1200 чел.</w:t>
      </w:r>
    </w:p>
    <w:p w14:paraId="5E9CCB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Гл. конструктор ОКО (1933 г.-)- </w:t>
      </w:r>
      <w:r w:rsidRPr="00D03F3E">
        <w:rPr>
          <w:rFonts w:ascii="Times New Roman" w:hAnsi="Times New Roman"/>
          <w:color w:val="000000" w:themeColor="text1"/>
          <w:sz w:val="16"/>
          <w:szCs w:val="16"/>
          <w:lang w:val="en-US"/>
        </w:rPr>
        <w:t>A</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M</w:t>
      </w:r>
      <w:r w:rsidRPr="00D03F3E">
        <w:rPr>
          <w:rFonts w:ascii="Times New Roman" w:hAnsi="Times New Roman"/>
          <w:color w:val="000000" w:themeColor="text1"/>
          <w:sz w:val="16"/>
          <w:szCs w:val="16"/>
        </w:rPr>
        <w:t>. Добротворский, К.А. Стариков, (06.1940-41 г.-&gt; Ф.А. Короткое. Гл. конструктор ОКБ (1957-73 Г.)- А.Ф. Полянский, (1974-89 г.)-  Г.И. Гордеев, (1989-2004 г.-&gt; Ю.П. Дудкин.</w:t>
      </w:r>
    </w:p>
    <w:p w14:paraId="40329A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филиала (1943 г.-)- В.Т. Панфилов, (1952 г.-)- А.Ф. Полянский. Гендиректор (-1997-2005 г.-)- Ю.П. Дудкин.</w:t>
      </w:r>
      <w:r w:rsidRPr="00D03F3E">
        <w:rPr>
          <w:rFonts w:ascii="Times New Roman" w:hAnsi="Times New Roman"/>
          <w:color w:val="000000" w:themeColor="text1"/>
          <w:sz w:val="16"/>
          <w:szCs w:val="16"/>
          <w:vertAlign w:val="superscript"/>
        </w:rPr>
        <w:t>49</w:t>
      </w:r>
    </w:p>
    <w:p w14:paraId="706D94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1-й зам. гл. конструктора (2002 г.)- Б.М. Конторович. Зам. гл. конструктора: по карбюраторам (1940 г.-)- К.А. Стариков; по агрегатам НВ (1940 г.-)- С.А. Косберг; (1943 г.-)- В.Т. Панфилов, (1952 г.-)- А.Ф. Полянский, (2002 г.)- В.А. Юфарев, (2002 г.)- В.В. Бурдин.</w:t>
      </w:r>
    </w:p>
    <w:p w14:paraId="36DCDF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гендиректора по экономике (2002 г.)- В.В. Плешков.</w:t>
      </w:r>
    </w:p>
    <w:p w14:paraId="528358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опытного завода (2002 г.)- Н.А. Панов.</w:t>
      </w:r>
    </w:p>
    <w:p w14:paraId="13DE5F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Создано: (1930-е) карбюраторы К-35 для АМ-35А, К-105П для М-105, К-37БП для М-37, К-38, К-87, АК-62, АК-63, АК-88, КМ-250 для М-250; агрегаты НВ НБ-ЗУ для АШ-82ФН (ВОВ); ЭК-506, РПД-1ФНР для АШ-82Т; регулятор РПД-82, карбюратор К-14В, КМП-100; гидромеханические и электронные САУ ГТД: для Ту-124, Ми-6, Ту-134, Ил-76, Ил-62М, Ту-154М; регулятор РПР-ЗА для Ми-14 (1974); первая в России САУ с цифровым регулятором РЭД-3048 для Д-30Ф6 (1975); САУ: с регулятором РЭД-90 для ПС-90; с ЭРД-ЗВМ для ТВЗ-117; САУ-65 с РЭД-65 для ТВ7-117; САУ-2000 с регулятором РЭД-2000 для ТВЗ-117ВМА-СБ2 (2002), САУ-87 для Ка-60 и Ка-62; САУ для Су-26М, Ка-50, Ан-38 (2002); САУ для танка Т-80; САУ для промыпшенных ГТУ (1993- 2002-) (11982).</w:t>
      </w:r>
    </w:p>
    <w:p w14:paraId="54F82031" w14:textId="77777777" w:rsidR="00C32DC9" w:rsidRPr="00D03F3E" w:rsidRDefault="00C32DC9"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F7D5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8 марта 1943 работы по приборам “свой - чужой” переданы (приказ №169) с завода № 339 вместе с занятыми этим специалистами и оборудованием заводу №157 НКАП (г.Харьков). Далее завод был передан из приборного 5ГУ в радиолокационное 17ГУ НКАП (приказ №605 от 23.10.44 г.) (10778). </w:t>
      </w:r>
    </w:p>
    <w:p w14:paraId="37D06B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AAFAA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275DAE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0DB6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8 марта 1943 г. оба опытных образца танков ИС были изготовлены заводом № 100. Как и задавалось в ТТТ, танк "Объект 233" был воору</w:t>
      </w:r>
      <w:r w:rsidRPr="00D03F3E">
        <w:rPr>
          <w:rFonts w:ascii="Times New Roman" w:hAnsi="Times New Roman"/>
          <w:color w:val="000000" w:themeColor="text1"/>
          <w:sz w:val="16"/>
          <w:szCs w:val="16"/>
        </w:rPr>
        <w:softHyphen/>
        <w:t>жен 76,2-мм пушкой Ф-34, установленной в башне оригинальной кон</w:t>
      </w:r>
      <w:r w:rsidRPr="00D03F3E">
        <w:rPr>
          <w:rFonts w:ascii="Times New Roman" w:hAnsi="Times New Roman"/>
          <w:color w:val="000000" w:themeColor="text1"/>
          <w:sz w:val="16"/>
          <w:szCs w:val="16"/>
        </w:rPr>
        <w:softHyphen/>
        <w:t>струкции, а танк "Объект 234" — 122-мм танковой гаубицей У-11 (кон</w:t>
      </w:r>
      <w:r w:rsidRPr="00D03F3E">
        <w:rPr>
          <w:rFonts w:ascii="Times New Roman" w:hAnsi="Times New Roman"/>
          <w:color w:val="000000" w:themeColor="text1"/>
          <w:sz w:val="16"/>
          <w:szCs w:val="16"/>
        </w:rPr>
        <w:softHyphen/>
        <w:t>струкции Ф.Ф. Петрова) с пониженной, относительно гаубицы М-30, баллистикой. Гаубица У-11 была установлена в башне, демонтирован</w:t>
      </w:r>
      <w:r w:rsidRPr="00D03F3E">
        <w:rPr>
          <w:rFonts w:ascii="Times New Roman" w:hAnsi="Times New Roman"/>
          <w:color w:val="000000" w:themeColor="text1"/>
          <w:sz w:val="16"/>
          <w:szCs w:val="16"/>
        </w:rPr>
        <w:softHyphen/>
        <w:t>ной с опытного танка КВ-9, который отличался от серийного танка КВ-1 только более мощным вооружением. Опытные танки имели 120-мм броню в носовой части корпуса и 100-мм - башни. Борта защищала 90-мм броня. С целью сокращения сроков производства и уменьшения массы машины башня, передняя часть корпуса танка и подбашенная коробка были выполнены литыми (10703).</w:t>
      </w:r>
    </w:p>
    <w:p w14:paraId="392DD9B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0509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марта 1943 г. была подготовлена ДОКЛАДНАЯ ЗАПИСКА НАЧАЛЬНИКА БЮРО ПО ДЕЛАМ ИЗОБРЕТАТЕЛЬСТВА НКО СССР ЗАМЕСТИТЕЛЮ НАРОДНОГО КОМИССАРА ОБОРОНЫ СССР А.В. ХРУЛЕВУ О РАБОТЕ ПО СОЗДАНИЮ МОЩНОГО ОБРАЗЦА ВООРУЖЕНИЯ №869</w:t>
      </w:r>
    </w:p>
    <w:p w14:paraId="6F5422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Особая научно-исследовательская лаборатория Народного комиссариата минометного воору</w:t>
      </w:r>
      <w:r w:rsidRPr="00D03F3E">
        <w:rPr>
          <w:rFonts w:ascii="Times New Roman" w:hAnsi="Times New Roman"/>
          <w:color w:val="000000" w:themeColor="text1"/>
          <w:sz w:val="16"/>
          <w:szCs w:val="16"/>
        </w:rPr>
        <w:softHyphen/>
        <w:t>жения выполняет по указанию НКО особо важную и срочную работу по созданию нового мощного образца вооружения по изобретательским предложениям ряда авторов.</w:t>
      </w:r>
    </w:p>
    <w:p w14:paraId="09C15B7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Для проведения испытаний образца незамедлительно необходима грузовая газогенераторная машина, на которой будет смонтирован боевой агрегат. Отсутствие </w:t>
      </w:r>
      <w:r w:rsidRPr="00D03F3E">
        <w:rPr>
          <w:rFonts w:ascii="Times New Roman" w:hAnsi="Times New Roman"/>
          <w:color w:val="000000" w:themeColor="text1"/>
          <w:sz w:val="16"/>
          <w:szCs w:val="16"/>
        </w:rPr>
        <w:lastRenderedPageBreak/>
        <w:t>машины затормозит испытание и подачу образца на вооружение Красной Армии.</w:t>
      </w:r>
    </w:p>
    <w:p w14:paraId="59DE000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Вашего распоряжения о выделении одной газогенераторной машины из числа трофей</w:t>
      </w:r>
      <w:r w:rsidRPr="00D03F3E">
        <w:rPr>
          <w:rFonts w:ascii="Times New Roman" w:hAnsi="Times New Roman"/>
          <w:color w:val="000000" w:themeColor="text1"/>
          <w:sz w:val="16"/>
          <w:szCs w:val="16"/>
        </w:rPr>
        <w:softHyphen/>
        <w:t>ных машин в распоряжение лаборатории.</w:t>
      </w:r>
    </w:p>
    <w:p w14:paraId="34B4D2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случае отсутствия газогенераторной машины среди трофейных образцов прошу выделить гру</w:t>
      </w:r>
      <w:r w:rsidRPr="00D03F3E">
        <w:rPr>
          <w:rFonts w:ascii="Times New Roman" w:hAnsi="Times New Roman"/>
          <w:color w:val="000000" w:themeColor="text1"/>
          <w:sz w:val="16"/>
          <w:szCs w:val="16"/>
        </w:rPr>
        <w:softHyphen/>
        <w:t>зовую машину с бензиновым двигателем, которая будет переделана в газогенераторную.</w:t>
      </w:r>
    </w:p>
    <w:p w14:paraId="17F018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бюро по делам изобретательства НКО СССР инженер-подполковник Глухов</w:t>
      </w:r>
    </w:p>
    <w:p w14:paraId="70E07F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41. Оп. 11584. Д. 21. Л. 93. Подлинник (11403).</w:t>
      </w:r>
    </w:p>
    <w:p w14:paraId="6F9139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C590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марта 1943 года, нарком Зальцман получает письмо от заместителя начальника ГБТУ КА генерал-лейтенанта танковых войск Вершинина:</w:t>
      </w:r>
    </w:p>
    <w:p w14:paraId="3ECF903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«Одним из основных конструктивных недостатков танка Т-34, значительно снижающих его боевую мошь, является низкая скорострельность, скорость наводки и меткость стрельбы из танка.</w:t>
      </w:r>
    </w:p>
    <w:p w14:paraId="3BDD97A7"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Проведенные НИБТ полигоном ГБТУ КА сравнительные стрельбы из Т-34 и иностранных танков показали, что скорострельность и меткость стрельбы на ходу из Т-34 значительно ниже, чем у иностранных танков.</w:t>
      </w:r>
    </w:p>
    <w:p w14:paraId="3F0FC88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Основными причинами, понижающими скорострельность и меткость стрельбы из Т-34, являются:</w:t>
      </w:r>
    </w:p>
    <w:p w14:paraId="5B8D6565"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Неудобное взаимное расположение поворотного механизма башни, подъемного механизма пушки и прицела, затрудняющее наводку орудия на цель. При наводке орудия рука наводчика, вращающая штурвал подъемного механизма пушки, задевает за руку, вращающую штурвал поворотного механизма башни. Последний, кроме того, упирается в грудь наводчика и заставляет его отрываться от прицела. Наводчик теряет цель и затрачивает лишнее время на ее последующее отыскание.</w:t>
      </w:r>
    </w:p>
    <w:p w14:paraId="5A77B8E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Малая скорость поворота башни и необходимость больших усилий для ее поворота, особенно на кренах.</w:t>
      </w:r>
    </w:p>
    <w:p w14:paraId="3DFDF86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Плохой обзор из танка, затрудняющий нахождение целей.</w:t>
      </w:r>
    </w:p>
    <w:p w14:paraId="5330140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Малый диаметр погона башни, стесняющий работу заряжающего.</w:t>
      </w:r>
    </w:p>
    <w:p w14:paraId="767D7E1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 устранении указанных недостатков Техническое Управление вопрос поднимало неоднократно, однако до сего дня в этом направлении, практически ничего не сделано.</w:t>
      </w:r>
    </w:p>
    <w:p w14:paraId="475A92D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Считаю необходимым срочно провести следующие мероприятия по улучшении конструкции танка Т-34 с целью увеличения скорострельности и меткости стрельбы:</w:t>
      </w:r>
    </w:p>
    <w:p w14:paraId="78BF35C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Переработать установку поворотного механизма башни, подъемного механизма пушки, обеспечив командиру орудия возможность одновременной работы обеими механизмами и наблюдения через прицел.</w:t>
      </w:r>
    </w:p>
    <w:p w14:paraId="5A7E71E0"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Пересмотреть технологию изготовления погона башни с целью увеличения поверхностной твердости погона и уменьшения допусков по обработке.</w:t>
      </w:r>
    </w:p>
    <w:p w14:paraId="3FE377E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Предложить заводу № 183 ускорить проектирование и изготовление опытного образца вращающегося люка с английским прибором (по типу танка МК-1У), установив его над командиром орудия в крыше башни, и установку такого же смотрового прибора в крыше башни для заряжающего.</w:t>
      </w:r>
    </w:p>
    <w:p w14:paraId="147C282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целью ускорения разрешения поставленных вопросов прошу дать указание об их проработке параллельно на заводах № 100 и № 183» (12217).</w:t>
      </w:r>
    </w:p>
    <w:p w14:paraId="7A1DE37E"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67AD4BDC" w14:textId="77777777" w:rsidR="00C32DC9" w:rsidRPr="00D03F3E" w:rsidRDefault="00C32DC9"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марта 1943 года ведущий конструктор отдела главного конструктора ГАЗа В. А. Грачев и помощник военпреда ГБТУ КА на заводе старший техник-лейтенант А. Новицкий направили в бронетанковое управление письмо с приложением акта о первых испытаниях новой машины:</w:t>
      </w:r>
    </w:p>
    <w:p w14:paraId="7E44371F" w14:textId="77777777" w:rsidR="00C32DC9" w:rsidRPr="00D03F3E" w:rsidRDefault="00C32DC9"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 марта 1943 года экспериментальным цехом ОГК был собран один бронеавтомобиль 64-125Б с широкой колеей, боковыми лючками для увеличения обзорности водителя, установкой впереди двух дополнительных амортизаторов и измененным оперением (передние и задние крылья). Со 2 и по 8 марта машина прошла обкатку на </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400 км</w:t>
        </w:r>
      </w:smartTag>
      <w:r w:rsidRPr="00D03F3E">
        <w:rPr>
          <w:rFonts w:ascii="Times New Roman" w:hAnsi="Times New Roman"/>
          <w:color w:val="000000" w:themeColor="text1"/>
          <w:sz w:val="16"/>
          <w:szCs w:val="16"/>
        </w:rPr>
        <w:t>.</w:t>
      </w:r>
    </w:p>
    <w:p w14:paraId="1A03984D" w14:textId="77777777" w:rsidR="00C32DC9" w:rsidRPr="00D03F3E" w:rsidRDefault="00C32DC9"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эти изменения значительно повышают боевые и тактические показатели бронеавтомобиля и требуют быстрейшей постановки их на серийное производство» (15218).</w:t>
      </w:r>
    </w:p>
    <w:p w14:paraId="16F67527" w14:textId="77777777" w:rsidR="00C32DC9" w:rsidRPr="00D03F3E" w:rsidRDefault="00C32DC9" w:rsidP="00D03F3E">
      <w:pPr>
        <w:widowControl w:val="0"/>
        <w:spacing w:after="0" w:line="240" w:lineRule="auto"/>
        <w:jc w:val="both"/>
        <w:rPr>
          <w:rFonts w:ascii="Times New Roman" w:hAnsi="Times New Roman"/>
          <w:color w:val="000000" w:themeColor="text1"/>
          <w:sz w:val="16"/>
          <w:szCs w:val="16"/>
        </w:rPr>
      </w:pPr>
    </w:p>
    <w:p w14:paraId="07F90E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марта 1943 вышло Постановление ГКО № 3004 О строительстве и вводе в эксплуатацию Текелийского свинцово-цинкового комбината Наркомцветмета.РГАНИР, Фонд ГКО, д. 96, лл. 26-28, 29-35 (11012).</w:t>
      </w:r>
    </w:p>
    <w:p w14:paraId="78C003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571E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марта 1943 вышло Распоряжение ГКО № 3006. О реэвакуации трестов "Гидроэнергопроект" и "Гидромонтаж" НКЭС в Москву.РГАНИР, Фонд ГКО, д. 96, лл. 37 (11012).</w:t>
      </w:r>
    </w:p>
    <w:p w14:paraId="1E2819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5818E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марта 1943 вышло Распоряжение ГКО № 3007 [Об исключении из плана капитальных работ НКПСМ на 1943 г. строительства электростанции на Пашийском цементном заводе.] (7088, 38).</w:t>
      </w:r>
    </w:p>
    <w:p w14:paraId="65C0CFB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EE030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марта 1943 вышло Распоряжение ГКО № 3008 О выделении трофейных автомашин Наркомату электростанций. (7088, 39).</w:t>
      </w:r>
    </w:p>
    <w:p w14:paraId="35F762C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949B4B"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56167E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0EA102"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8 марта</w:t>
      </w:r>
      <w:r w:rsidRPr="00D03F3E">
        <w:rPr>
          <w:rFonts w:ascii="Times New Roman" w:hAnsi="Times New Roman"/>
          <w:color w:val="000000" w:themeColor="text1"/>
          <w:sz w:val="16"/>
          <w:szCs w:val="16"/>
        </w:rPr>
        <w:t xml:space="preserve"> в 1943 году утреннее сообщение Совинформбюро:</w:t>
      </w:r>
    </w:p>
    <w:p w14:paraId="24439BB3"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8 марта наши войска вели наступательные бои на прежних направлениях.</w:t>
      </w:r>
    </w:p>
    <w:p w14:paraId="50B8F0ED"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и северо-западнее Гжатска наши войска развивали наступление и овладели рядом населённых пунктов. Н-ская часть в бою за один населённый пункт истребила до двух рот немецкой пехоты. Захвачены 5 орудий, 17 пулемётов и другие трофеи. На другом участке наши подразделения зашли в тыл противника. Под угрозой окружения гитлеровцы беспорядочно отступили.</w:t>
      </w:r>
    </w:p>
    <w:p w14:paraId="61FF9833"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Оленина наши части в результате ожесточённых боёв овладели шестью сильно укреплёнными узлами сопротивления противника. Уничтожено 7 орудий, 13 миномётов, 26 пулемётов и свыше 600 гитлеровцев. Захвачены трофеи и пленные.</w:t>
      </w:r>
    </w:p>
    <w:p w14:paraId="257ED025"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части вели артиллерийскую и миномётную перестрелку с противником. Огнём нашей артиллерии разрушено 10 дзотов и блиндажей, подбито 4 орудия и рассеяно скопление пехоты противника. Бойцы Н-ской части, ворвавшиеся во вражеские окопы, отбили контратаку гитлеровцев, пытавшихся вернуть утерянные ими позиции. В результате боя уничтожено свыше 100 немецких солдат и офицеров.</w:t>
      </w:r>
    </w:p>
    <w:p w14:paraId="0D03D956"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воздушных боях и огнём зенитной артиллерии сбито 5 немецких самолётов.</w:t>
      </w:r>
    </w:p>
    <w:p w14:paraId="67B56D11"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наши части вели бои с крупными силами танков и мотопехоты противника. На одном участке немцы бросили в бой мотопехоту при поддержке 60 танков. Советские бойцы уничтожили до батальона немцев, сожгли и подбили 12 вражеских танков и вынудили противника отойти на исходные позиции.</w:t>
      </w:r>
    </w:p>
    <w:p w14:paraId="36260130"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Севска наши войска продолжали наступление и заняли несколько населённых пунктов. Отдельные гарнизоны немцев, оказавшие сопротивление, истреблены. На одном участке противник предпринял контратаку. Советские бойцы отбросили гитлеровцев и, преследуя их, заняли крупный населённый пункт. На коле боя осталось до 300 вражеских трупов. Взяты пленные и трофеи.</w:t>
      </w:r>
    </w:p>
    <w:p w14:paraId="6B086A5F"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одном из районов Гомельской области, в феврале месяце разгромили 8 немецких полицейских участков. В боях с противникоми из засад истреблено свыше 100 гитлеровцев. Советские патриоты захватили 2 пулемёта, 80 винтовок и много патронов. За это же время партизаны пустили под откос 3 немецких воинских эшелона. Разбито 2 паровоза и 20 вагонов.</w:t>
      </w:r>
    </w:p>
    <w:p w14:paraId="3CE5B9D8"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солдат 19 полка 7 пехотной дивизии Герберт Н. рассказал: «Сообщение о том, что в Германии объявлен трёхдневный траур в связи с уничтожением 6 немецкой армии под Сталинградом, ошеломило нас. За последнее время солдаты ведут бесконечные разговоры об исходе войны. Недавно один обер-ефрейтор сказал: «Трёхдневный траур — это только начало. Впереди ещё много траурных дней и месяцев». Солдаты, возвращающиеся из госпиталей, рассказывают, что в Германии все мужчины, пригодные для службы в армии, уже мобилизованы. Солдаты зенитных частей и войск противовоздушной обороны направлены на фронт в качестве пехотинцев. Их заменили инвалидами, непригодными к военной службе».</w:t>
      </w:r>
    </w:p>
    <w:p w14:paraId="54176CB5"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Жители освобождённого села Логовое, Курской области, рассказали о чудовищных зверствах немецко-фашистских мерзавцев. В селе были найдены два убитых немца. Гитлеровцы согнали 88 мирных жителей на кладбище и долго мучили их, требуя назвать лиц, причастных к убийству. Несмотря на пытки, они ничего не могли добиться. Тогда фашистские палачи расстреляли рабочего Мелькомбината Кузьму Унковского, грузчика Ивана Купина, комбайнера Максима Неронова, колхозников Александра Подставкина, Василия Сопатова, Ивана Демьянова и других, а всего 20 мирных жителей.» (15062).</w:t>
      </w:r>
    </w:p>
    <w:p w14:paraId="21B24268" w14:textId="77777777" w:rsidR="00C32DC9" w:rsidRPr="00D03F3E" w:rsidRDefault="00C32DC9" w:rsidP="00D03F3E">
      <w:pPr>
        <w:spacing w:after="0" w:line="240" w:lineRule="auto"/>
        <w:jc w:val="both"/>
        <w:rPr>
          <w:rFonts w:ascii="Times New Roman" w:hAnsi="Times New Roman"/>
          <w:color w:val="000000" w:themeColor="text1"/>
          <w:sz w:val="16"/>
          <w:szCs w:val="16"/>
        </w:rPr>
      </w:pPr>
    </w:p>
    <w:p w14:paraId="4EAA63C6"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8 марта</w:t>
      </w:r>
      <w:r w:rsidRPr="00D03F3E">
        <w:rPr>
          <w:rFonts w:ascii="Times New Roman" w:hAnsi="Times New Roman"/>
          <w:color w:val="000000" w:themeColor="text1"/>
          <w:sz w:val="16"/>
          <w:szCs w:val="16"/>
        </w:rPr>
        <w:t xml:space="preserve"> в 1943 году вечернее сообщение Совинформбюро:</w:t>
      </w:r>
    </w:p>
    <w:p w14:paraId="79C29485"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марта наши войска после упорных двухдневных боёв овладели городом и железнодорожной станцией Сычёвка (севернее города Вязьма).</w:t>
      </w:r>
    </w:p>
    <w:p w14:paraId="38C89A3E"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наступательные бои на прежних направлениях.</w:t>
      </w:r>
    </w:p>
    <w:p w14:paraId="02D213F8"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марта частями нашей авиации на различных участках фронта уничтожено или повреждено до 200 автомашин с войсками и грузами, подавлен огонь 20 артиллерийских батарей, взорван склад боеприпасов и склад горючего, разбит железнодорожный эшелон противника.</w:t>
      </w:r>
    </w:p>
    <w:p w14:paraId="5054C398"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Наши войска сломили ожесточённое сопротивление противника и после упорных боёв заняли город и железнодорожную станцию Сычёвка (севернее города Вязьма).</w:t>
      </w:r>
    </w:p>
    <w:p w14:paraId="5EE08865"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Гжатска наши части с боями продвигались вперёд и овладели 11 населёнными пунктами.</w:t>
      </w:r>
    </w:p>
    <w:p w14:paraId="66DD63EE"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Оленина наши войска продвигались вперёд и заняли ряд населённых пунктов. На участке Н-ской части немцы предприняли несколько контратак, но были разбиты и отброшены советскими бойцами. В результате боя истреблено до 600 немецких солдат и офицеров. Захвачено 2 орудия, 22 пулемёта, много винтовок, автоматов и боеприпасов.</w:t>
      </w:r>
    </w:p>
    <w:p w14:paraId="564F881D"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войска вели огневой бой с противником. Советские артиллеристы разрушили свыше 20 немецких дзотов и блиндажей, подавили огонь 10 артиллерийских и 8 миномётных батарей, уничтожили 12 автомашин и один самолёт противника.</w:t>
      </w:r>
    </w:p>
    <w:p w14:paraId="44259488"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немцы силами до двух батальонов пехоты пытались захватить один населённый пункт. Наши подразделения под командованием гвардии старшего лейтенанта Якубова стремительно контратаковали гитлеровцев. Враг, располагавший численным превосходством, не выдержал штыкового удара и поспешно отступил. Наши бойцы уничтожили 180 немецких солдат и офицеров, захватили 13 пулемётов и более 100 винтовок.</w:t>
      </w:r>
    </w:p>
    <w:p w14:paraId="70BFF0A2"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Севска наши части вели наступательные бои. В одном населённом пункте наши бойцы окружили гарнизон противника. Гитлеровцы, отказавшиеся сложить оружие, уничтожены. Захвачено в плен 250 солдат и офицеров противника. Взяты значительные трофеи.</w:t>
      </w:r>
    </w:p>
    <w:p w14:paraId="0E7F5EC8"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части Н-ского гвардейского соединения овладели сильно укреплёнными позициями противника. В ожесточённом бою уничтожено до батальона немецкой пехоты. Наши бойцы захватили трофеи, в числе которых 10 танков и 12 орудий.</w:t>
      </w:r>
    </w:p>
    <w:p w14:paraId="4763CFBC"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Советские лётчики в воздушных боях и на аэродромах противника уничтожили 30 немецких самолётов. Кроме того, огнём нашей зенитной артиллерии сбито 11 самолётов противника.</w:t>
      </w:r>
    </w:p>
    <w:p w14:paraId="5B253829"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Калининской области, совершил налёт на немецкий гарнизон в крупном населённом пункте. Партизаны уничтожили гитлеровцев и заняли населённый пункт. К исходу дня немцы бросили против партизан две роты пехоты. Партизаны отбили контратаку противника и истребили свыше 100 гитлеровцев. Другой отряд калининских партизан заминировал железнодорожное полотно. Следовавший к линии фронта немецкий бронепоезд потерпел крушение. Разбиты паровоз и несколько бронеплощадок.</w:t>
      </w:r>
    </w:p>
    <w:p w14:paraId="3DE86712"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расстреляли и повесили свыше тысячи мирных жителей Малоархангельского района, Курской области. За время оккупации фашисты насильно угнали на каторгу в Германию 2.400 граждан города Малоархангельск и окрестных деревень. Перед отступлением из города гитлеровские бандиты сожгли две средние школы, педагогическое училище, кинотеатр, районную библиотеку, больницу, детский дом, детскую консультацию и много других зданий и жилых домов.</w:t>
      </w:r>
    </w:p>
    <w:p w14:paraId="17C6DFC7"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Пильзена (Чехословакия) чешские патриоты взорвали склад с вооружением, подготовленный для отправки на советско-немецкий фронт. В городе Брно группа вооружённых чехов совершила нападение на немецкий гараж, перебила 18 гитлеровцев и сожгла 15 автомашин. Близ Праги чешские патриоты бросили бомбу в штаб одной немецкой части. Взрыв причинил большие разрушения. Убито и ранено более 20 гитлеровцев.».</w:t>
      </w:r>
    </w:p>
    <w:p w14:paraId="43839EA6"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2B6A197A"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город Сычевка.</w:t>
      </w:r>
    </w:p>
    <w:p w14:paraId="206028A0"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марта наши войска после упорных двухдневных боёв сломили сопротивление противника и овладели городом и железнодорожной станцией Сычевка (севернее города Вязьма).</w:t>
      </w:r>
    </w:p>
    <w:p w14:paraId="24034AA8"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боях на Сычёвском направлении и за город Сычёвка нашими войсками взяты следующие трофеи: самолётов — 8, танков — 310, орудий разного калибра — 40, пулемётов — 250, паровозов — 22, вагонов и железнодорожных цистерн — 215, атакже много снарядов, мин, патронов и другого военного имущества.</w:t>
      </w:r>
    </w:p>
    <w:p w14:paraId="2D53E247"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Противник потерял только убитыми до 8.000 солдат и офицеров.» (15062).</w:t>
      </w:r>
    </w:p>
    <w:p w14:paraId="061C9011" w14:textId="77777777" w:rsidR="00C32DC9" w:rsidRPr="00D03F3E" w:rsidRDefault="00C32DC9" w:rsidP="00D03F3E">
      <w:pPr>
        <w:spacing w:after="0" w:line="240" w:lineRule="auto"/>
        <w:jc w:val="both"/>
        <w:rPr>
          <w:rFonts w:ascii="Times New Roman" w:hAnsi="Times New Roman"/>
          <w:color w:val="000000" w:themeColor="text1"/>
          <w:sz w:val="16"/>
          <w:szCs w:val="16"/>
        </w:rPr>
      </w:pPr>
    </w:p>
    <w:p w14:paraId="10CFA09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марта 1943 г. шестёрку Пе-2 под прикры</w:t>
      </w:r>
      <w:r w:rsidRPr="00D03F3E">
        <w:rPr>
          <w:rFonts w:ascii="Times New Roman" w:hAnsi="Times New Roman"/>
          <w:color w:val="000000" w:themeColor="text1"/>
          <w:sz w:val="16"/>
          <w:szCs w:val="16"/>
        </w:rPr>
        <w:softHyphen/>
        <w:t>тием Як-1 из состава 15 ВА, в районе Крас</w:t>
      </w:r>
      <w:r w:rsidRPr="00D03F3E">
        <w:rPr>
          <w:rFonts w:ascii="Times New Roman" w:hAnsi="Times New Roman"/>
          <w:color w:val="000000" w:themeColor="text1"/>
          <w:sz w:val="16"/>
          <w:szCs w:val="16"/>
        </w:rPr>
        <w:softHyphen/>
        <w:t>ного Поля атаковали пять В1109. Навстречу им сбросили 12 гранат, что помогло отбить атаку без потерь. Немцы лишились одного истребителя, упавшего близ реки Донец. На следующий день восьмёрка Пе-2 из 3-го бак бомбила скопление войск у Суры с высо</w:t>
      </w:r>
      <w:r w:rsidRPr="00D03F3E">
        <w:rPr>
          <w:rFonts w:ascii="Times New Roman" w:hAnsi="Times New Roman"/>
          <w:color w:val="000000" w:themeColor="text1"/>
          <w:sz w:val="16"/>
          <w:szCs w:val="16"/>
        </w:rPr>
        <w:softHyphen/>
        <w:t>ты 900-1000 м. Сзади на них зашло звено Р\Л/-190А, открыв огонь с большой дистан</w:t>
      </w:r>
      <w:r w:rsidRPr="00D03F3E">
        <w:rPr>
          <w:rFonts w:ascii="Times New Roman" w:hAnsi="Times New Roman"/>
          <w:color w:val="000000" w:themeColor="text1"/>
          <w:sz w:val="16"/>
          <w:szCs w:val="16"/>
        </w:rPr>
        <w:softHyphen/>
        <w:t>ции. Бомбардировщики встретили их 20 гра</w:t>
      </w:r>
      <w:r w:rsidRPr="00D03F3E">
        <w:rPr>
          <w:rFonts w:ascii="Times New Roman" w:hAnsi="Times New Roman"/>
          <w:color w:val="000000" w:themeColor="text1"/>
          <w:sz w:val="16"/>
          <w:szCs w:val="16"/>
        </w:rPr>
        <w:softHyphen/>
        <w:t>натами, и штурман Старостин поразил сери</w:t>
      </w:r>
      <w:r w:rsidRPr="00D03F3E">
        <w:rPr>
          <w:rFonts w:ascii="Times New Roman" w:hAnsi="Times New Roman"/>
          <w:color w:val="000000" w:themeColor="text1"/>
          <w:sz w:val="16"/>
          <w:szCs w:val="16"/>
        </w:rPr>
        <w:softHyphen/>
        <w:t>ей АГ-2 один истребитель, который загорел</w:t>
      </w:r>
      <w:r w:rsidRPr="00D03F3E">
        <w:rPr>
          <w:rFonts w:ascii="Times New Roman" w:hAnsi="Times New Roman"/>
          <w:color w:val="000000" w:themeColor="text1"/>
          <w:sz w:val="16"/>
          <w:szCs w:val="16"/>
        </w:rPr>
        <w:softHyphen/>
        <w:t>ся и совершил вынужденную посадку север</w:t>
      </w:r>
      <w:r w:rsidRPr="00D03F3E">
        <w:rPr>
          <w:rFonts w:ascii="Times New Roman" w:hAnsi="Times New Roman"/>
          <w:color w:val="000000" w:themeColor="text1"/>
          <w:sz w:val="16"/>
          <w:szCs w:val="16"/>
        </w:rPr>
        <w:softHyphen/>
        <w:t>нее Раховец (11392).</w:t>
      </w:r>
    </w:p>
    <w:p w14:paraId="08506E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9D1D4A" w14:textId="77777777" w:rsidR="00A77B9A" w:rsidRPr="00D03F3E" w:rsidRDefault="00A77B9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8 марта 1943 50-й гвардейский танковый полк на «Черчиллях» совершил марш до железнодорожной станции в Горьком, а 16 числа эшелон с матчастью 50 гв. тп прибыл на станцию Войбокало Ленинградской области. В первую атаку танки пошли 19 марта, правда, поначалу танкисты сражались, скорее, со своей матчастью. Первый танк сломался еще на марше, еще один сжег фрикцион, два застряли в болоте. В ходе атаки в болоте застряло 12 танков, из них 2 еще и подорвались на минах. 2 танка оказались подбиты артиллерийским огнем. До вражеских позиций удалось добраться 2 танкам, из них 1 завяз в траншее, а позже был сожжен противником. На следующий день атака повторилась, одновременно завязшие машины частично удалось вытащить. По итогам первых дней боев совместными действиями танков и пехоты удалось немного потеснить немцев.</w:t>
      </w:r>
    </w:p>
    <w:p w14:paraId="76794FAF" w14:textId="77777777" w:rsidR="00A77B9A" w:rsidRPr="00D03F3E" w:rsidRDefault="00A77B9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22 числа атака вновь повторилась, превратившись в настоящую эпопею. Три танка из пяти подорвались на минах. Гвардии капитан Н.Д. Белогуб, командовавший атакой, остался со своим экипажем в танке. В течение 4-х дней экипаж вел бой в подбитом танке, нанеся противнику большой урон. 26 марта машину удалось увести с поля боя, за проявленный героизм Белогуб получил орден Суворова III степени.</w:t>
      </w:r>
    </w:p>
    <w:p w14:paraId="26F2E86F" w14:textId="77777777" w:rsidR="00A77B9A" w:rsidRPr="00D03F3E" w:rsidRDefault="00A77B9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По состоянию на 25 марта полк безвозвратно потерял 5 танков, 2 застряло в болоте, 6 находилось в ремонте, 8 машин осталось в строю. Позже число боеспособных «Черчиллей» довели до 11, а недостаток матчасти удалось пополнить за счет получения 6 тяжелых танков КВ-1. Позже «Черчилли» 50-го гв. тп участвовали в </w:t>
      </w:r>
      <w:hyperlink r:id="rId85" w:history="1">
        <w:r w:rsidRPr="00D03F3E">
          <w:rPr>
            <w:rFonts w:ascii="Times New Roman" w:eastAsia="Times New Roman" w:hAnsi="Times New Roman"/>
            <w:color w:val="000000" w:themeColor="text1"/>
            <w:sz w:val="16"/>
            <w:szCs w:val="16"/>
            <w:lang w:eastAsia="ru-RU"/>
          </w:rPr>
          <w:t>операции «Брусилов»</w:t>
        </w:r>
      </w:hyperlink>
      <w:r w:rsidRPr="00D03F3E">
        <w:rPr>
          <w:rFonts w:ascii="Times New Roman" w:eastAsia="Times New Roman" w:hAnsi="Times New Roman"/>
          <w:color w:val="000000" w:themeColor="text1"/>
          <w:sz w:val="16"/>
          <w:szCs w:val="16"/>
          <w:lang w:eastAsia="ru-RU"/>
        </w:rPr>
        <w:t>, начавшейся 22 июля 1943 года. В целом английские танки были оценены весьма положительно, они успешно взаимодействовали с пехотой. Вместе с тем, их проходимость оказалось хуже, чем у КВ-1, а вооружение, состоявшее из 2-фунтового орудия, было слабым. В конце декабря 1943 года вместо «Черчиллей» полк получил танки КВ-1, а позже – ИС-2 (17691).</w:t>
      </w:r>
    </w:p>
    <w:p w14:paraId="4FCBA78A" w14:textId="77777777" w:rsidR="00A77B9A" w:rsidRPr="00D03F3E" w:rsidRDefault="00A77B9A" w:rsidP="00D03F3E">
      <w:pPr>
        <w:pStyle w:val="12a"/>
        <w:shd w:val="clear" w:color="auto" w:fill="auto"/>
        <w:spacing w:after="0" w:line="240" w:lineRule="auto"/>
        <w:jc w:val="both"/>
        <w:rPr>
          <w:color w:val="000000" w:themeColor="text1"/>
          <w:sz w:val="16"/>
          <w:szCs w:val="16"/>
        </w:rPr>
      </w:pPr>
    </w:p>
    <w:p w14:paraId="52E7425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марта 1943 в бою у Соколово (Харьковская область) впервые участвовал 1-й чехословацкий батальон под командованием полковника Людвига Свободы (4962).</w:t>
      </w:r>
    </w:p>
    <w:p w14:paraId="0CE8919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2732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марта 1943 был первый бой чехословацкого батальона Л.Свободы (2989) у белорусской деревни Соколово (3186). Был в составе 3ТА ВФ - 25ГСД (3398,106).</w:t>
      </w:r>
    </w:p>
    <w:p w14:paraId="67DAFC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0391A0"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8 марта</w:t>
      </w:r>
      <w:r w:rsidRPr="00D03F3E">
        <w:rPr>
          <w:rFonts w:ascii="Times New Roman" w:hAnsi="Times New Roman"/>
          <w:color w:val="000000" w:themeColor="text1"/>
          <w:sz w:val="16"/>
          <w:szCs w:val="16"/>
        </w:rPr>
        <w:t xml:space="preserve"> в 1943 году первый отдельный чехословацкий батальон, сформированный на территории СССР, в составе 3-й танковой армии Воронежского фронта принял боевое крещение в боях с гитлеровскими войсками у деревни Соколово (Харьковская область). За этот бой 87 воинов батальона были награждены орденами и медалями СССР, а надпоручик Отакар Ярош первым из иностранцев удостоен звания Героя Советского Союза (посмертно) (15062).</w:t>
      </w:r>
    </w:p>
    <w:p w14:paraId="3EF69558" w14:textId="77777777" w:rsidR="00C32DC9" w:rsidRPr="00D03F3E" w:rsidRDefault="00C32DC9" w:rsidP="00D03F3E">
      <w:pPr>
        <w:spacing w:after="0" w:line="240" w:lineRule="auto"/>
        <w:jc w:val="both"/>
        <w:rPr>
          <w:rFonts w:ascii="Times New Roman" w:hAnsi="Times New Roman"/>
          <w:color w:val="000000" w:themeColor="text1"/>
          <w:sz w:val="16"/>
          <w:szCs w:val="16"/>
        </w:rPr>
      </w:pPr>
    </w:p>
    <w:p w14:paraId="14CC323B" w14:textId="77777777" w:rsidR="00C32DC9"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78AFAC11" w14:textId="77777777" w:rsidR="00C32DC9" w:rsidRPr="00D03F3E" w:rsidRDefault="00C32DC9"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68EF95"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8 марта</w:t>
      </w:r>
      <w:r w:rsidRPr="00D03F3E">
        <w:rPr>
          <w:rFonts w:ascii="Times New Roman" w:hAnsi="Times New Roman"/>
          <w:color w:val="000000" w:themeColor="text1"/>
          <w:sz w:val="16"/>
          <w:szCs w:val="16"/>
        </w:rPr>
        <w:t xml:space="preserve"> в 1943 году посол США в СССР Стэндли на пресс-конференции в американском посольстве заявил, что по его мнению советский народ не получает полной информации об американской помощи России, а правительство СССР не использует поставляемую технику на советско-германском фронте, и Конгресс США может отказаться от продления закона о ленд-лизе в отношении СССР (15062).</w:t>
      </w:r>
    </w:p>
    <w:p w14:paraId="02BBCDB9" w14:textId="77777777" w:rsidR="00C32DC9" w:rsidRPr="00D03F3E" w:rsidRDefault="00C32DC9" w:rsidP="00D03F3E">
      <w:pPr>
        <w:spacing w:after="0" w:line="240" w:lineRule="auto"/>
        <w:jc w:val="both"/>
        <w:rPr>
          <w:rFonts w:ascii="Times New Roman" w:hAnsi="Times New Roman"/>
          <w:color w:val="000000" w:themeColor="text1"/>
          <w:sz w:val="16"/>
          <w:szCs w:val="16"/>
        </w:rPr>
      </w:pPr>
    </w:p>
    <w:p w14:paraId="79CFD43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350D7A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1CCCC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марта 1943 в Китае японские войска форсировали реку Янцзы (4962).</w:t>
      </w:r>
    </w:p>
    <w:p w14:paraId="28E7E91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E5330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AE365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A908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марта 1943 согласно записи в журнале наблюдения за проектированием, постройкой и испытаниями МиГ-5 2АМ-37 и 2М-82 от 15 марта 1943 карбюраторы были установлены на моторах 2 экз. ДИС (МиГ-5) с М-82. После чего планировалась проба моторов на земле и в воздухе (из донесения Князева от 9 марта 1943) (990,8).</w:t>
      </w:r>
    </w:p>
    <w:p w14:paraId="5FBCDF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C507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марта 1943 во вторник на самолете Ер-2 2М-30Б А.Д.Алексеев произвел полет по маршруту Москва-Свердловск-Москва с грузом бом 1000 кг. Дальность полета - 2850 км, Продолжительность - 8 час. 50 мин., крейсерская скорость - 323 км/час. Профиль полета был выбран в соответствии с боевым заданием АДД. Москва-Сарапул - на 4000 м, Сарапул-Свердловск - набор высоты до 6800 м, условное бомбометание - 6800 м, Свердловск-Казань - 6000 м, Казань-Москва - пологое снижение. Вес при старте - 16200 кг, в т.ч. горючего - 3700 кг. Израсходовано горючего - 2700 кг. Расход - 0.95 кг на км. В полете и после осмотра обнаружены дефекты:</w:t>
      </w:r>
    </w:p>
    <w:p w14:paraId="00CC11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Трещины всасывающих патрубков левого мотора</w:t>
      </w:r>
    </w:p>
    <w:p w14:paraId="2FCD7E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Вялая работа правого винта при изменении шага</w:t>
      </w:r>
    </w:p>
    <w:p w14:paraId="7976BC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Отказ в полете счетчика расхода горючего Наяда левого мотора</w:t>
      </w:r>
    </w:p>
    <w:p w14:paraId="5B3A22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4. Течь левого центропланного бака. Указанные дефект будут устранены к 12 марта 1943." (1767,51).</w:t>
      </w:r>
    </w:p>
    <w:p w14:paraId="6041E8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72971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561A75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07EE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марта 1943 г. состоялся первый пробный пробег танка "Объект 233", а через три дня из цехов завода вышел и второй опытный обра</w:t>
      </w:r>
      <w:r w:rsidRPr="00D03F3E">
        <w:rPr>
          <w:rFonts w:ascii="Times New Roman" w:hAnsi="Times New Roman"/>
          <w:color w:val="000000" w:themeColor="text1"/>
          <w:sz w:val="16"/>
          <w:szCs w:val="16"/>
        </w:rPr>
        <w:softHyphen/>
        <w:t>зец - танк "Объект 234". После устранения незначительных дефектов, выявленных во время испытаний, опытные образцы были предъявлены на полигонные испытания, которые прошли в период с 22 марта по 3 ап</w:t>
      </w:r>
      <w:r w:rsidRPr="00D03F3E">
        <w:rPr>
          <w:rFonts w:ascii="Times New Roman" w:hAnsi="Times New Roman"/>
          <w:color w:val="000000" w:themeColor="text1"/>
          <w:sz w:val="16"/>
          <w:szCs w:val="16"/>
        </w:rPr>
        <w:softHyphen/>
        <w:t>реля 1943 г. в районе Челябинска. Одновременно с танками ИС проходил испытания и серийный танк КВ-1С. Танки ИС продемонстрировали лучшие боевые и технические характеристики, чем танк КВ-1 С, вследствие более удачной схемы ком</w:t>
      </w:r>
      <w:r w:rsidRPr="00D03F3E">
        <w:rPr>
          <w:rFonts w:ascii="Times New Roman" w:hAnsi="Times New Roman"/>
          <w:color w:val="000000" w:themeColor="text1"/>
          <w:sz w:val="16"/>
          <w:szCs w:val="16"/>
        </w:rPr>
        <w:softHyphen/>
        <w:t>поновки и установленных новых, более совершенных агрегатов транс</w:t>
      </w:r>
      <w:r w:rsidRPr="00D03F3E">
        <w:rPr>
          <w:rFonts w:ascii="Times New Roman" w:hAnsi="Times New Roman"/>
          <w:color w:val="000000" w:themeColor="text1"/>
          <w:sz w:val="16"/>
          <w:szCs w:val="16"/>
        </w:rPr>
        <w:softHyphen/>
        <w:t>миссии, таких, как коробка передач и планетарный двухступенчатый механизм поворота (ПМП). В результате более рациональной компо</w:t>
      </w:r>
      <w:r w:rsidRPr="00D03F3E">
        <w:rPr>
          <w:rFonts w:ascii="Times New Roman" w:hAnsi="Times New Roman"/>
          <w:color w:val="000000" w:themeColor="text1"/>
          <w:sz w:val="16"/>
          <w:szCs w:val="16"/>
        </w:rPr>
        <w:softHyphen/>
        <w:t>новки, по сравнению с танком КВ-1С, конструкторам удалось создать танк с лучшей броневой защитой, хорошей маневренностью, более вы</w:t>
      </w:r>
      <w:r w:rsidRPr="00D03F3E">
        <w:rPr>
          <w:rFonts w:ascii="Times New Roman" w:hAnsi="Times New Roman"/>
          <w:color w:val="000000" w:themeColor="text1"/>
          <w:sz w:val="16"/>
          <w:szCs w:val="16"/>
        </w:rPr>
        <w:softHyphen/>
        <w:t>сокой средней скоростью, при меньшей массе и равноценном вооруже</w:t>
      </w:r>
      <w:r w:rsidRPr="00D03F3E">
        <w:rPr>
          <w:rFonts w:ascii="Times New Roman" w:hAnsi="Times New Roman"/>
          <w:color w:val="000000" w:themeColor="text1"/>
          <w:sz w:val="16"/>
          <w:szCs w:val="16"/>
        </w:rPr>
        <w:softHyphen/>
        <w:t>нии у танка "Объект 233" и более мощном - у танка "Объект 234". Во время испытаний был выявлен ряд дефектов, основными из ко</w:t>
      </w:r>
      <w:r w:rsidRPr="00D03F3E">
        <w:rPr>
          <w:rFonts w:ascii="Times New Roman" w:hAnsi="Times New Roman"/>
          <w:color w:val="000000" w:themeColor="text1"/>
          <w:sz w:val="16"/>
          <w:szCs w:val="16"/>
        </w:rPr>
        <w:softHyphen/>
        <w:t>торых являлись: высокая температура воды в системе охлаждения; ко</w:t>
      </w:r>
      <w:r w:rsidRPr="00D03F3E">
        <w:rPr>
          <w:rFonts w:ascii="Times New Roman" w:hAnsi="Times New Roman"/>
          <w:color w:val="000000" w:themeColor="text1"/>
          <w:sz w:val="16"/>
          <w:szCs w:val="16"/>
        </w:rPr>
        <w:softHyphen/>
        <w:t>робление проставочного кольца главного фрикциона; недостаточная жесткость подмоторной рамы; разрушение однорядных роликовых под</w:t>
      </w:r>
      <w:r w:rsidRPr="00D03F3E">
        <w:rPr>
          <w:rFonts w:ascii="Times New Roman" w:hAnsi="Times New Roman"/>
          <w:color w:val="000000" w:themeColor="text1"/>
          <w:sz w:val="16"/>
          <w:szCs w:val="16"/>
        </w:rPr>
        <w:softHyphen/>
        <w:t>шипников опорных катков, в основном, передних (10703).</w:t>
      </w:r>
    </w:p>
    <w:p w14:paraId="5B509D2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A90D66" w14:textId="77777777" w:rsidR="00A77B9A" w:rsidRPr="00D03F3E" w:rsidRDefault="00A77B9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9 марта 1943 состоялся первый этап заводских испытаний ИС. В ходе пробега протяженностью 19 км отмечалось пробуксовывание главного фрикциона. На следующий день машина прошла 74 км, средняя скорость её движения составила 17,4 км/ч, а максимальная — 38–40 км/ч. При этом стали «вылезать» различные неисправности, неизбежные на первом этапе. Одной из самых серьёзных проблем оказался перегрев системы охлаждения, что заставляло снижать скорость передвижения. Также гусеницы сильно тёрлись о крышки бортовых редукторов. Чтобы снизить нагрев, в бортовых листах прорезали дополнительные отверстия. 13 марта вышел из строя главный фрикцион, который пришлось заменить фрикционом улучшенной конструкции. Всего в ходе заводских испытаний, которые закончились 16 марта, танк прошёл 305 км (17688).</w:t>
      </w:r>
    </w:p>
    <w:p w14:paraId="7673D90B" w14:textId="77777777" w:rsidR="00A77B9A" w:rsidRPr="00D03F3E" w:rsidRDefault="00A77B9A" w:rsidP="00D03F3E">
      <w:pPr>
        <w:pStyle w:val="12a"/>
        <w:shd w:val="clear" w:color="auto" w:fill="auto"/>
        <w:spacing w:after="0" w:line="240" w:lineRule="auto"/>
        <w:jc w:val="both"/>
        <w:rPr>
          <w:color w:val="000000" w:themeColor="text1"/>
          <w:sz w:val="16"/>
          <w:szCs w:val="16"/>
        </w:rPr>
      </w:pPr>
    </w:p>
    <w:p w14:paraId="555A76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марта 1943 вышло Распоряжение ГКО № 3009. О поставках запасных частей к тракторам СТЗ и ЧТЗ в марте 1943 г.РГАНИР, Фонд ГКО, д. 96, лл. 40 (11012).</w:t>
      </w:r>
    </w:p>
    <w:p w14:paraId="0A8B8C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A6875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марта 1943 вышло Распоряжение ГКО № 3010 [О мерах по вывозу сахарной свеклы и обеспечению бесперебойной работы сахарных заводов.] (7088, 41-43,44-45).</w:t>
      </w:r>
    </w:p>
    <w:p w14:paraId="5DA3FFA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92C5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марта 1943 вышло Постановление ГКО № 3011 О мероприятиях по организации законченного производства автомобилей на автозаводах им. Сталина Наркомсредмаша.РГАНИР, Фонд ГКО, д. 96, лл. 46-53, 54-63 (11012).</w:t>
      </w:r>
    </w:p>
    <w:p w14:paraId="54B20B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9373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марта 1943 вышло Постановление ГКО № 3012 [О разборе 360 км железнодорожной линии Известковая - Ургал и передаче рельс на нужды НКПС и НКУП.] (7088, 64).</w:t>
      </w:r>
    </w:p>
    <w:p w14:paraId="3E470AF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7DBB5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марта 1943 вышло Постановление ГКО № 3013 О развитии и добыче угля открытым способом в Карагандинском угольном бассейне. (7088, 65-69,70-76).</w:t>
      </w:r>
    </w:p>
    <w:p w14:paraId="6087F4B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C48F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марта 1943 вышло Постановление ГКО № 3014 О частичном восстановлении электростанций, сетей и подстанций в г.г. Грозном, Орджоникидзе, Сталинграде и Воронеже.РГАНИР, Фонд ГКО, д. 96, лл. 77-81, 82-89 (11012).</w:t>
      </w:r>
    </w:p>
    <w:p w14:paraId="41CBFF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255FD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марта 1943 вышло Постановление ГКО № 3015 О мерах по обеспечению работы медицинской промышленности Наркомздрава СССР. (7088, 90-92,93-94).</w:t>
      </w:r>
    </w:p>
    <w:p w14:paraId="16DA9EE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0F2862" w14:textId="77777777" w:rsidR="00017546" w:rsidRPr="00D03F3E" w:rsidRDefault="0001754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марта 1943 года специальная комиссия управления бронепоездов и бронемашин Красной Армии пришла к следующим выводам:</w:t>
      </w:r>
    </w:p>
    <w:p w14:paraId="4C8D2C57" w14:textId="77777777" w:rsidR="00017546" w:rsidRPr="00D03F3E" w:rsidRDefault="0001754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 разработан с учетом требований Управления Бронепоездов и Бронемашин ГБТУ КА и опыта по испытанию образца бронеавто-мотрисы построенной заводом в 1942 году (речь вдет о "Красной звезде"). </w:t>
      </w:r>
    </w:p>
    <w:p w14:paraId="5EEADF4B" w14:textId="77777777" w:rsidR="00017546" w:rsidRPr="00D03F3E" w:rsidRDefault="0001754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Бронеавтомотриса имеет большое преимущество по всем характеристикам перед обычным бронепаровозом и предназначается как для самостоятельных действий, так и в качестве тяговой единицы в составе бронеавтопоезда. </w:t>
      </w:r>
    </w:p>
    <w:p w14:paraId="73852A57" w14:textId="77777777" w:rsidR="00017546" w:rsidRPr="00D03F3E" w:rsidRDefault="0001754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Комиссия считает: </w:t>
      </w:r>
    </w:p>
    <w:p w14:paraId="56B65399" w14:textId="77777777" w:rsidR="00017546" w:rsidRPr="00D03F3E" w:rsidRDefault="0001754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Проект бронеавтомотрисы БАМ-2 отвечает тактико-техническим требованиям ГБТУ КА и выполнен вполне удовлетворительно; </w:t>
      </w:r>
    </w:p>
    <w:p w14:paraId="2BB2087F" w14:textId="77777777" w:rsidR="00017546" w:rsidRPr="00D03F3E" w:rsidRDefault="0001754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 проект бронеавтомотрисы должны быть внесены следующие изменения: </w:t>
      </w:r>
    </w:p>
    <w:p w14:paraId="67FCC9E6" w14:textId="77777777" w:rsidR="00017546" w:rsidRPr="00D03F3E" w:rsidRDefault="0001754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одну танковую башню заменить на специальную с целью размещения в ней поста командира бронеавтомотрисы (бронеавтопо-езда); </w:t>
      </w:r>
    </w:p>
    <w:p w14:paraId="67DA6D9F" w14:textId="77777777" w:rsidR="00017546" w:rsidRPr="00D03F3E" w:rsidRDefault="0001754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подвод воздуха к радиаторам мотора сделать с крыши или борта; </w:t>
      </w:r>
    </w:p>
    <w:p w14:paraId="41AC4A46" w14:textId="77777777" w:rsidR="00017546" w:rsidRPr="00D03F3E" w:rsidRDefault="0001754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пулемет ДШК не устанавливать; </w:t>
      </w:r>
    </w:p>
    <w:p w14:paraId="09AA2D49" w14:textId="77777777" w:rsidR="00017546" w:rsidRPr="00D03F3E" w:rsidRDefault="0001754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 ходе рабочего проектирования проверить на макете удобство размещения команды в боевых отделениях; </w:t>
      </w:r>
    </w:p>
    <w:p w14:paraId="6097F26E" w14:textId="77777777" w:rsidR="00017546" w:rsidRPr="00D03F3E" w:rsidRDefault="0001754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Конструктивные элементы броневого корпуса, пулеметного вооружения, управления огнем, связи и прочего внутреннего оборудования разработать в рабочем проекте в соответствии с прилагаемыми тактико-техническими требованиями. </w:t>
      </w:r>
    </w:p>
    <w:p w14:paraId="403C468B" w14:textId="77777777" w:rsidR="00017546" w:rsidRPr="00D03F3E" w:rsidRDefault="0001754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При самостоятельных действиях броне-автомотрисе придавать платформу ПВО с двумя зенитными 37 мм пушками. </w:t>
      </w:r>
    </w:p>
    <w:p w14:paraId="636B2181" w14:textId="77777777" w:rsidR="00017546" w:rsidRPr="00D03F3E" w:rsidRDefault="0001754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Состав бронеавто поезда определить: бронеавтомотриса, 2 бронеплощадки типа ПЛ-43 (или одной четырехосной бронеплощадки) и платформа ПВО. </w:t>
      </w:r>
    </w:p>
    <w:p w14:paraId="1FF137FE" w14:textId="77777777" w:rsidR="00017546" w:rsidRPr="00D03F3E" w:rsidRDefault="0001754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Вывод. Рекомендовать технический проект бронеавтомотрисы БАМ-2 по разработке рабочего проекта и постройке опытного образца бронеавтомотрисы». </w:t>
      </w:r>
    </w:p>
    <w:p w14:paraId="03FDD4DB" w14:textId="77777777" w:rsidR="00017546" w:rsidRPr="00D03F3E" w:rsidRDefault="0001754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несмотря на то, что были подготовлены документы на выдачу заказа на изготовление БАМ-2 (ее расчетная стоимость составляла 1750 тысяч рублей), до изготовления БАМ-2 дело так и не дошло. Дело в том, что потери бронепоездов в 1943 году были очень маленькими (по сравнению с 1941-1942 годами), поэтому потребность частей в новой бронепоездной технике была минимальной (18626).</w:t>
      </w:r>
    </w:p>
    <w:p w14:paraId="3BDB9745" w14:textId="77777777" w:rsidR="00017546" w:rsidRPr="00D03F3E" w:rsidRDefault="00017546" w:rsidP="00D03F3E">
      <w:pPr>
        <w:spacing w:after="0" w:line="240" w:lineRule="auto"/>
        <w:jc w:val="both"/>
        <w:rPr>
          <w:rFonts w:ascii="Times New Roman" w:hAnsi="Times New Roman"/>
          <w:color w:val="000000" w:themeColor="text1"/>
          <w:sz w:val="16"/>
          <w:szCs w:val="16"/>
        </w:rPr>
      </w:pPr>
    </w:p>
    <w:p w14:paraId="7247175E"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2C5861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947760"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9 марта</w:t>
      </w:r>
      <w:r w:rsidRPr="00D03F3E">
        <w:rPr>
          <w:rFonts w:ascii="Times New Roman" w:hAnsi="Times New Roman"/>
          <w:color w:val="000000" w:themeColor="text1"/>
          <w:sz w:val="16"/>
          <w:szCs w:val="16"/>
        </w:rPr>
        <w:t xml:space="preserve"> в 1943 году утреннее сообщение Совинформбюро:</w:t>
      </w:r>
    </w:p>
    <w:p w14:paraId="3BB48607"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9 марта наши войска вели наступательные бои на прежних направлениях.</w:t>
      </w:r>
    </w:p>
    <w:p w14:paraId="17868074"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и юго-западнее Сычёвки паши войска вели успешное наступление. Бойцы Н-ской части умелым манёвром окружили и истребили немецкий гарнизон в крупном населенном пункте. Западнее Гжатска советские части, нанося удары противнику, продвинулись вперёд и заняли свыше 20 населённых пунктов. На железнодорожной станции Серго-Ивановская захвачено 5 немецких танков, 4 орудия, много бочек с бензином и другое военное имущество. В «одном пункте» наши бойцы освободили 300 советских граждан, которых гитлеровцы согнали из окрестных деревень для отправкина каторгу в Германию.</w:t>
      </w:r>
    </w:p>
    <w:p w14:paraId="1DFAA7AD"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разведчики проникли в тыл противника и захватили в плен немецкого часового. Пленный указал разведчикам дом, в котором разместился штаб немецкой части. Отважные бойцы взорвали гранатами штаб, захватили в плен немецкого офицера, двух солдат и благополучно вернулись в свою часть.</w:t>
      </w:r>
    </w:p>
    <w:p w14:paraId="33FF60E7"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Н-ская часть отбила контратаку противника и уничтожила более 100 немецких солдат и офицеров. На другом участке наши бойцы в ожесточённом бою разгромили роту гитлеровцев и захватили 2 самоходные пушки, 9 пулемётов, 4 автомашины с боеприпасами и радиостанцию. Взяты пленные.</w:t>
      </w:r>
    </w:p>
    <w:p w14:paraId="67355B94"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Льгова наши войска вели наступательные бои и овладели несколькими населёнными пунктами, сильно укреплёнными противником. В боях за эти населённые пункты уничтожено до батальона немецкой пехоты и подбито 4 танка. Наши бойцы захватили один вражеский исправный танк вместе с его экипажем.</w:t>
      </w:r>
    </w:p>
    <w:p w14:paraId="0507188F"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Украины, в бою с подразделением эсэсовцев истребил 50 гитлеровцев. Другой отряд украинских партизан организовал крушение нескольких немецких железнодорожных эшелонов. Разбито 7 паровозов и 72 вагона с живой силой и военной техникой противника. Движение поездов на этом участке было приостановлено на пять суток.</w:t>
      </w:r>
    </w:p>
    <w:p w14:paraId="7C45C69D"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Захваченный в плен начальник тыла итальянской дивизии «Кунеэнзе» капитан Рао Франческо рассказал: «итальянский армейский корпус потерпел в России подлинную катастрофу. В этом корпусе был собран цвет итальянских вооружённых сил. Альпийские стрелки считаются самыми стойкими в итальянской армии. Однако во время отступления альпийские полки напоминали беспорядочную толпу. Солдаты и офицеры панически бежали. Русские танки разобщили и расчленили наши части. Мы шли форсированным маршем по 18 часов подряд, но не смогли вырваться из клещей, в которые нас взяла Красная Армия. В пути пришлось бросить автомашины, вооружение и продовольствие. Это была страшная катастрофа. В бессмысленной гибели тысяч итальянских солдат на Восточном фронте виноваты немцы. Перед отъездом из Италии они нам говорили, что мы едем на Кавказ прокладывать дорогу в Ирак, а затем в Египет. Вместо этого немцы бросили нас в степи без всяких средств защиты от холода».</w:t>
      </w:r>
    </w:p>
    <w:p w14:paraId="1BE17CBC"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Берлинское радио передало следующее сообщение: «В ходе передвижки сил, осуществляемой в последние дни в некоторых местах на центральном участке Восточного фронта, германские войска эвакуировали расположенный в районе Ржева населённый пункт Сычёвка. Эвакуация готовилась заранее и происходила планомерно, без нажима со стороны противника».</w:t>
      </w:r>
    </w:p>
    <w:p w14:paraId="347AE9FA"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Мало теперь найдётся наивных людей, которые поверили бы этой глупейшей выдумке гитлеровцев. Люди уже научились читать и понимать сообщения ставки Гитлера и германского информационного бюро. Все уже знают, что если Берлин сообщает о «планомерной передвижке сил» и «выпрямлении линии фронта», это значит, что немцев побили и вынудили отступить. Если Берлин сообщает, что немцы эвакуировали тот или иной город «без нажима со стороны противника», то это следует понимать, что советские войска вышибли гитлеровцев из этого города. Так оно и было на самом деле в Ржеве, Гжатске и в Сычёвке. Немцы упорно обороняли город Сычёвку, они потеряли на этом направлении и в боях за город только убитыми до 8 тысяч солдат и офицеров и под натиском советских войск в беспорядке отступили. О характере отступления немцев говорят захваченные советскими войсками трофеи, в числе которых насчитывается ни много ни мало, как 310 немецких танков (15063).</w:t>
      </w:r>
    </w:p>
    <w:p w14:paraId="6A6EDFB4" w14:textId="77777777" w:rsidR="00C32DC9" w:rsidRPr="00D03F3E" w:rsidRDefault="00C32DC9" w:rsidP="00D03F3E">
      <w:pPr>
        <w:spacing w:after="0" w:line="240" w:lineRule="auto"/>
        <w:jc w:val="both"/>
        <w:rPr>
          <w:rFonts w:ascii="Times New Roman" w:hAnsi="Times New Roman"/>
          <w:color w:val="000000" w:themeColor="text1"/>
          <w:sz w:val="16"/>
          <w:szCs w:val="16"/>
        </w:rPr>
      </w:pPr>
    </w:p>
    <w:p w14:paraId="3A88EBF6"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9 марта</w:t>
      </w:r>
      <w:r w:rsidRPr="00D03F3E">
        <w:rPr>
          <w:rFonts w:ascii="Times New Roman" w:hAnsi="Times New Roman"/>
          <w:color w:val="000000" w:themeColor="text1"/>
          <w:sz w:val="16"/>
          <w:szCs w:val="16"/>
        </w:rPr>
        <w:t xml:space="preserve"> в 1943 году вечернее сообщение Совинформбюро:</w:t>
      </w:r>
    </w:p>
    <w:p w14:paraId="31D1019A"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Контрнаступление немцев в районе Донбасс — Харьков.</w:t>
      </w:r>
    </w:p>
    <w:p w14:paraId="3A37447E"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Донбасса противник пополнил растрёпанные и разбитые в предыдущих боях 8 танковых и 5 пехотных дивизий и недавно спешно перебросил только в этот район из Западной Европы 12 свежих дивизий, из них 4 танковых, 1 мотодивизию и 7 пехотных дивизий. Таким образом, немцы сосредоточили на узком участке фронта 12 танковых, 1 мотодивизию и 12 пехотных, а всего 25 дивизий.</w:t>
      </w:r>
    </w:p>
    <w:p w14:paraId="754B5D8D"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февраля противник этими силами предпринял сильные контратаки против наших войск, выдвигавшихся к реже Днепр. Немецкое командование намеревалось путём глубоких охватывающих ударов окружить и уничтожить выдвинувшиеся вперёд наши войска и овладеть районом Харькова.</w:t>
      </w:r>
    </w:p>
    <w:p w14:paraId="6750EADF"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передовые войсковые части, ведя упорные сдерживающие бои с численно превосходящим противником, по приказу Командования своевременно отошли на северо-восток в районы северного берега Северного Донца, оставив при этом города Красноград, Лозовая, Павлоград, Красноармейское, Враматорская, Барвенково, Славянск, Лисичанск.</w:t>
      </w:r>
    </w:p>
    <w:p w14:paraId="264F6892"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Дальнейшие попытки противника развить наступление, форсировать реку Северный Донец и взять Харьков встретили стойкое сопротивление наших войск и успеха не имеют. Ожесточённые бои, в ходе которых немецко-фашистские войска несут огромные потери в людях и технике, особенно в танках, продолжаются в районах южнее и западнее Харькова.</w:t>
      </w:r>
    </w:p>
    <w:p w14:paraId="4F6B70AB"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конца февраля по 8 марта нашими войсками уничтожено у противника: самолётов— 195, танков — 650, орудий— 320, автомашин — более 1.500.</w:t>
      </w:r>
    </w:p>
    <w:p w14:paraId="67CE42D6"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это же время противник потерял только убитыми более 20.000 солдат и офицеров.</w:t>
      </w:r>
    </w:p>
    <w:p w14:paraId="6EE6E91A"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марта частями нашей авиации на различных участках фронта подавлен огонь 15 батарей полевой и зенитной артиллерия, взорван склад боеприпасов и разбит железнодорожный состав противника.</w:t>
      </w:r>
    </w:p>
    <w:p w14:paraId="2B8970B9"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Гжатска наши войска продолжали наступление и заняли несколько десятков населённых пунктов. Восточнее Вязьмы наши части сломили упорное сопротивление немцев и овладели железнодорожной станцией и районным центром Тёмкино. Захвачены трофеи и пленные. На ряде участков гитлеровцы силами пехоты и танков предприняли несколько контратак, пытаясь задержать наши наступающие войска. При отражении контратак подбито и сожжено 15 немецких танков. В населенном пункте Царево-Займище наши бойцы освободили 1.500 советских граждан, которых гитлеровцы пытались угнать на каторжные работы в Германию.</w:t>
      </w:r>
    </w:p>
    <w:p w14:paraId="52B640CC"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танки и пехота противника атаковали наши позиции. Артиллеристы батареи, где командиром гвардии лейтенант Тарасенко, встретили врага мощным огнём и уничтожили 5 немецких танков. Большие потери понесла также и пехота противника. На другом участке бойцы Н-ской части истребили до роты немецкой пехоты. Подбито 3 танка и уничтожено 2 автомашины противника с боеприпасами.</w:t>
      </w:r>
    </w:p>
    <w:p w14:paraId="34E0B8E9"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Суджи в одном из населённых пунктов бойцы Н-ской части истребили свыше 200 немецких солдат и офицеров. Захвачены у противника 6 орудий, 11 пулемётов, 5 миномётов, 8 автомашин с различными грузами и радиостанция. На другом участке вражеская рота предприняла контратаку, но была целиком уничтожена нашими пулемётчиками.</w:t>
      </w:r>
    </w:p>
    <w:p w14:paraId="2C22A494"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Льгова наши войска в боях с противником уничтожили до 600 гитлеровцев, захватили 13 орудий, 28 пулемётов, 4 радиостанции и другие трофеи.</w:t>
      </w:r>
    </w:p>
    <w:p w14:paraId="481084C0"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озера Ильмень наши части сломили сопротивление немцев и занялинесколько населённых пунктов, в том числе</w:t>
      </w:r>
    </w:p>
    <w:p w14:paraId="3CC1A26D"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Старо- и Ново-Рамушево. Истреблено свыше батальона вражеских солдат и захвачено 4 орудия, много пулемётов, винтовок и боеприпасов.</w:t>
      </w:r>
    </w:p>
    <w:p w14:paraId="6B80FFEB"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Орловской области, в конце февраля месяца в бою с немецкой карательной экспедицией уничтожил 42 гитлеровца. Захвачены 3 пулемёта, 6 автомашин и 21 винтовка. Возвращаясь на свою базу, партизаны взорвали около 5 километров железнодорожного полотна. Партизаны другого отряда пустили под откос немецкий воинский эшелон, следовавший к линии фронта. Разбиты паровоз и 6 вагонов.</w:t>
      </w:r>
    </w:p>
    <w:p w14:paraId="4EE6CFC8"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Отступая из посёлка «Первое мая», Курской области, немецко-фашистские мерзавцы подожгли все жилые дома. В некоторых домах и подвалах сгорели или задохлись от дыма находившиеся в них люди. Так погиб Павел Малеев, его жена и трое детей, которым немцы не дали выбраться из погреба. Сгорели в своих дотах колхозник Андрей Токарев, колхозница Ленина, её двое детей и мать. Всё имущество колхозников разграблено немцами или уничтожено в огне.» (15063).</w:t>
      </w:r>
    </w:p>
    <w:p w14:paraId="07BE1DC7" w14:textId="77777777" w:rsidR="00C32DC9" w:rsidRPr="00D03F3E" w:rsidRDefault="00C32DC9" w:rsidP="00D03F3E">
      <w:pPr>
        <w:spacing w:after="0" w:line="240" w:lineRule="auto"/>
        <w:jc w:val="both"/>
        <w:rPr>
          <w:rFonts w:ascii="Times New Roman" w:hAnsi="Times New Roman"/>
          <w:color w:val="000000" w:themeColor="text1"/>
          <w:sz w:val="16"/>
          <w:szCs w:val="16"/>
        </w:rPr>
      </w:pPr>
    </w:p>
    <w:p w14:paraId="238900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9 марта 1943 г. был бой, выполненный группой из шести Як-1 под руководством старшего лейтенанта А.Е. Отлесного из 896-го иап 286-й иад. Прикрывая штурмовики, наносившие удар по аэродрому Орел, над целью на высоте 1200 м они встретили группу из восьми FW. 190 и Bf. 109, которая попыталась связать наши истребители боем. Вступив в бой, с первой атаки с боевого разворота Отлесный, а с переворота ("Яки" были проэшелонированы по высоте) - младший лейтенант Плескач зажгли два FW. 190. В этот момент в бой вступила еще одна смешанная группа самолетов противника, что удвоило их число. Имея преимущество в высоте, младший лейтенант Гончаренко сбил с пикирования FW. 190. </w:t>
      </w:r>
    </w:p>
    <w:p w14:paraId="59F4A5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Лейтенант Грибов, прикрывая ведущего младшего лейтенанта Плескача, сбил еще один FW. 190. Далее Отлесный одержал победу над Bf. 109. Всего в этом бою было уничтожено шесть самолетов противника и обеспечено выполнение боевой задачи штурмовиками без собственных потерь. Как видно из примера, FW. 190 не спасало и лучшее бронирование. Эти самолеты все чаше и чаше становились жертвами Як-1, и поэтому их немцы старались применять только в группе с Bf. 109 (12048). </w:t>
      </w:r>
    </w:p>
    <w:p w14:paraId="197110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9D77F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D03F3E">
        <w:rPr>
          <w:rFonts w:ascii="Times New Roman" w:hAnsi="Times New Roman"/>
          <w:i/>
          <w:iCs/>
          <w:color w:val="000000" w:themeColor="text1"/>
          <w:sz w:val="16"/>
          <w:szCs w:val="16"/>
        </w:rPr>
        <w:t>За</w:t>
      </w:r>
      <w:r w:rsidRPr="00D03F3E">
        <w:rPr>
          <w:rFonts w:ascii="Times New Roman" w:hAnsi="Times New Roman"/>
          <w:i/>
          <w:iCs/>
          <w:color w:val="000000" w:themeColor="text1"/>
          <w:sz w:val="16"/>
          <w:szCs w:val="16"/>
          <w:lang w:val="en-US"/>
        </w:rPr>
        <w:t xml:space="preserve"> </w:t>
      </w:r>
      <w:r w:rsidRPr="00D03F3E">
        <w:rPr>
          <w:rFonts w:ascii="Times New Roman" w:hAnsi="Times New Roman"/>
          <w:i/>
          <w:iCs/>
          <w:color w:val="000000" w:themeColor="text1"/>
          <w:sz w:val="16"/>
          <w:szCs w:val="16"/>
        </w:rPr>
        <w:t>рубежом</w:t>
      </w:r>
      <w:r w:rsidRPr="00D03F3E">
        <w:rPr>
          <w:rFonts w:ascii="Times New Roman" w:hAnsi="Times New Roman"/>
          <w:i/>
          <w:iCs/>
          <w:color w:val="000000" w:themeColor="text1"/>
          <w:sz w:val="16"/>
          <w:szCs w:val="16"/>
          <w:lang w:val="en-US"/>
        </w:rPr>
        <w:t>:</w:t>
      </w:r>
    </w:p>
    <w:p w14:paraId="310EFD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2716F3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March 9th, 1943: Generaloberst von Arnim replaces FM Rommel as C-i-C of German forces in Tunisia (3819).</w:t>
      </w:r>
    </w:p>
    <w:p w14:paraId="368FAC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0E937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марта 1943 гп Арним заменил Роммеля на посту ГК в Тунисе (3819).</w:t>
      </w:r>
    </w:p>
    <w:p w14:paraId="4E0E35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2FBEEB"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9 марта</w:t>
      </w:r>
      <w:r w:rsidRPr="00D03F3E">
        <w:rPr>
          <w:rFonts w:ascii="Times New Roman" w:hAnsi="Times New Roman"/>
          <w:color w:val="000000" w:themeColor="text1"/>
          <w:sz w:val="16"/>
          <w:szCs w:val="16"/>
        </w:rPr>
        <w:t xml:space="preserve"> в 1943 году Муссолини в письме А.Гитлеру предложил заключить сепаратный мир с СССР (15063).</w:t>
      </w:r>
    </w:p>
    <w:p w14:paraId="4CBC0680" w14:textId="77777777" w:rsidR="00C32DC9" w:rsidRPr="00D03F3E" w:rsidRDefault="00C32DC9" w:rsidP="00D03F3E">
      <w:pPr>
        <w:spacing w:after="0" w:line="240" w:lineRule="auto"/>
        <w:jc w:val="both"/>
        <w:rPr>
          <w:rFonts w:ascii="Times New Roman" w:hAnsi="Times New Roman"/>
          <w:color w:val="000000" w:themeColor="text1"/>
          <w:sz w:val="16"/>
          <w:szCs w:val="16"/>
        </w:rPr>
      </w:pPr>
    </w:p>
    <w:p w14:paraId="6452412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29966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0402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марта 1943 С.В.И. писал письмо N 4/262с НКАП А.И.Ш. и ГИ ВВС Репину:</w:t>
      </w:r>
    </w:p>
    <w:p w14:paraId="3EDE60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настоящее время на Ил-2 устанавливается прицел ВВ-1 взамен ПБП-1.</w:t>
      </w:r>
    </w:p>
    <w:p w14:paraId="7428D1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Этот прицел имеет ряд недостатков, из которых основным является его сбиваемость после пристрелки. Он стоит на броневом капоте и его очень часто гнут и ломают чехлом мотора.</w:t>
      </w:r>
    </w:p>
    <w:p w14:paraId="5D07CA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он имеет зависимое расстояние от глаза л до кольца.</w:t>
      </w:r>
    </w:p>
    <w:p w14:paraId="0EE01D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избежание указанных недостатков нами был предложен другой прицел КП-11 и сдан на гос. испытания в НИП АВ 18 июля 1942 N 321.</w:t>
      </w:r>
    </w:p>
    <w:p w14:paraId="46CA80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Вашего вмешательства в этот вопрос с целью ускорения гос. испытаний прицела КП-11 и быстрейшего внедрения его в производство и установки на Ил-2.</w:t>
      </w:r>
    </w:p>
    <w:p w14:paraId="61A56F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Схему принципиального различия прицелов КП-11 и ВВ при сем прилагаю." (1775,31).</w:t>
      </w:r>
    </w:p>
    <w:p w14:paraId="22BF2A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BBE9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марта 1943 г. летчик-испытатель завода № 289 Н.Д. Фиксон совершил на двухместном Су-6 М-71Ф пер</w:t>
      </w:r>
      <w:r w:rsidRPr="00D03F3E">
        <w:rPr>
          <w:rFonts w:ascii="Times New Roman" w:hAnsi="Times New Roman"/>
          <w:color w:val="000000" w:themeColor="text1"/>
          <w:sz w:val="16"/>
          <w:szCs w:val="16"/>
        </w:rPr>
        <w:softHyphen/>
        <w:t>вый вылет Заводские летные испытания затянулись из-за ча</w:t>
      </w:r>
      <w:r w:rsidRPr="00D03F3E">
        <w:rPr>
          <w:rFonts w:ascii="Times New Roman" w:hAnsi="Times New Roman"/>
          <w:color w:val="000000" w:themeColor="text1"/>
          <w:sz w:val="16"/>
          <w:szCs w:val="16"/>
        </w:rPr>
        <w:softHyphen/>
        <w:t>стых неполадок в работе мотора М-71Ф (10718).</w:t>
      </w:r>
    </w:p>
    <w:p w14:paraId="35EBF66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59801A"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10 марта 1943 начались заводские летные испытания уже построенного одно</w:t>
      </w:r>
      <w:r w:rsidRPr="00D03F3E">
        <w:rPr>
          <w:color w:val="000000" w:themeColor="text1"/>
          <w:sz w:val="16"/>
          <w:szCs w:val="16"/>
        </w:rPr>
        <w:softHyphen/>
        <w:t>местного Су-6 М-71ф с пушками 11П, который был переде</w:t>
      </w:r>
      <w:r w:rsidRPr="00D03F3E">
        <w:rPr>
          <w:color w:val="000000" w:themeColor="text1"/>
          <w:sz w:val="16"/>
          <w:szCs w:val="16"/>
        </w:rPr>
        <w:softHyphen/>
        <w:t>лан в двухместный вариант в полном соответствии с эскизным проектом. Летал летчик-испытатель завода № 289 Н. Д. Фиксон. Из-за неважной работы мотора М-71ф испытания затянулись. Довести винтомотор</w:t>
      </w:r>
      <w:r w:rsidRPr="00D03F3E">
        <w:rPr>
          <w:color w:val="000000" w:themeColor="text1"/>
          <w:sz w:val="16"/>
          <w:szCs w:val="16"/>
        </w:rPr>
        <w:softHyphen/>
        <w:t>ную группу удалось только к лету. 19 июня двух</w:t>
      </w:r>
      <w:r w:rsidRPr="00D03F3E">
        <w:rPr>
          <w:color w:val="000000" w:themeColor="text1"/>
          <w:sz w:val="16"/>
          <w:szCs w:val="16"/>
        </w:rPr>
        <w:softHyphen/>
        <w:t>местный Су-6 М-71ф (С2А) был официально пере</w:t>
      </w:r>
      <w:r w:rsidRPr="00D03F3E">
        <w:rPr>
          <w:color w:val="000000" w:themeColor="text1"/>
          <w:sz w:val="16"/>
          <w:szCs w:val="16"/>
        </w:rPr>
        <w:softHyphen/>
        <w:t>дан в НИИ ВВС для производства государственных летных испытаний</w:t>
      </w:r>
    </w:p>
    <w:p w14:paraId="5C942A61"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период с 19 июня по 30 августа на самолете было выполнено 42 полета с суммарным налетом 23 ч 10 мин. Испытания проводили: ведущий ин</w:t>
      </w:r>
      <w:r w:rsidRPr="00D03F3E">
        <w:rPr>
          <w:color w:val="000000" w:themeColor="text1"/>
          <w:sz w:val="16"/>
          <w:szCs w:val="16"/>
        </w:rPr>
        <w:softHyphen/>
        <w:t>женер инженер-майор А. В. Синельников, ведущий летчик летчик-испытатель майор А. И. Кабанов, лет</w:t>
      </w:r>
      <w:r w:rsidRPr="00D03F3E">
        <w:rPr>
          <w:color w:val="000000" w:themeColor="text1"/>
          <w:sz w:val="16"/>
          <w:szCs w:val="16"/>
        </w:rPr>
        <w:softHyphen/>
        <w:t>чики облета П. М. Стефановский и А. К. Долгов.</w:t>
      </w:r>
    </w:p>
    <w:p w14:paraId="3B2AA946"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По максимальным скоростям, скороподъем</w:t>
      </w:r>
      <w:r w:rsidRPr="00D03F3E">
        <w:rPr>
          <w:color w:val="000000" w:themeColor="text1"/>
          <w:sz w:val="16"/>
          <w:szCs w:val="16"/>
        </w:rPr>
        <w:softHyphen/>
        <w:t>ности, маневренности, потолку, дальности, воору</w:t>
      </w:r>
      <w:r w:rsidRPr="00D03F3E">
        <w:rPr>
          <w:color w:val="000000" w:themeColor="text1"/>
          <w:sz w:val="16"/>
          <w:szCs w:val="16"/>
        </w:rPr>
        <w:softHyphen/>
        <w:t>жению и бронированию Су-6 М-71ф значительно превосходил находящийся на вооружении ВВС КА двухместный Ил-2 АМ-38ф. Кроме этого, Су-6 обла</w:t>
      </w:r>
      <w:r w:rsidRPr="00D03F3E">
        <w:rPr>
          <w:color w:val="000000" w:themeColor="text1"/>
          <w:sz w:val="16"/>
          <w:szCs w:val="16"/>
        </w:rPr>
        <w:softHyphen/>
        <w:t>дал прекрасными характеристиками устойчивости и управляемости, был прост и приятен в пилотиро</w:t>
      </w:r>
      <w:r w:rsidRPr="00D03F3E">
        <w:rPr>
          <w:color w:val="000000" w:themeColor="text1"/>
          <w:sz w:val="16"/>
          <w:szCs w:val="16"/>
        </w:rPr>
        <w:softHyphen/>
        <w:t>вании.</w:t>
      </w:r>
    </w:p>
    <w:p w14:paraId="6EACBAB1"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Так, ведущий летчик-испытатель А. И. Кабанов отмечал: «Кабина хороша. Рулит хорошо. В целом самолет производит хорошее впечатление и будет грозным оружием как в борьбе с земными целями, так и с бомбардировщиками противника».</w:t>
      </w:r>
    </w:p>
    <w:p w14:paraId="73831774"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Стефановский, давая летную оценку самолету, указывал: «Самолет, как двухместный штурмовик, является актуальной и нужной машиной, могущей заменить самолет Ил-2, так как обладает лучшим бронированием и значительно лучшими летными данными».</w:t>
      </w:r>
    </w:p>
    <w:p w14:paraId="0727A06D"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Стрелково-пушечное и ракетное вооружение Су-6 М-71ф состояло из 2 крыльевых 37-мм пу</w:t>
      </w:r>
      <w:r w:rsidRPr="00D03F3E">
        <w:rPr>
          <w:color w:val="000000" w:themeColor="text1"/>
          <w:sz w:val="16"/>
          <w:szCs w:val="16"/>
        </w:rPr>
        <w:softHyphen/>
        <w:t>шек 11П (боекомплект 90 снарядов), 2 крыльевых пулеметов ШКАС (1400 патронов) и 6 РО-132 (или РО-82). Пушечные и пулеметные установки обеспе</w:t>
      </w:r>
      <w:r w:rsidRPr="00D03F3E">
        <w:rPr>
          <w:color w:val="000000" w:themeColor="text1"/>
          <w:sz w:val="16"/>
          <w:szCs w:val="16"/>
        </w:rPr>
        <w:softHyphen/>
        <w:t>чивались пневматическим пуском и электропнев</w:t>
      </w:r>
      <w:r w:rsidRPr="00D03F3E">
        <w:rPr>
          <w:color w:val="000000" w:themeColor="text1"/>
          <w:sz w:val="16"/>
          <w:szCs w:val="16"/>
        </w:rPr>
        <w:softHyphen/>
        <w:t>матической перезарядкой.</w:t>
      </w:r>
    </w:p>
    <w:p w14:paraId="16421CA3"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Бомбовое вооружение включало 2 наружных держателя с замками МДЗ-40 и 4 бомбоотсека в фю</w:t>
      </w:r>
      <w:r w:rsidRPr="00D03F3E">
        <w:rPr>
          <w:color w:val="000000" w:themeColor="text1"/>
          <w:sz w:val="16"/>
          <w:szCs w:val="16"/>
        </w:rPr>
        <w:softHyphen/>
        <w:t>зеляже — по 2 с каждой стороны кабины стрелка.</w:t>
      </w:r>
    </w:p>
    <w:p w14:paraId="0151650C"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 каждый наружный замок МДЗ-40 допуска</w:t>
      </w:r>
      <w:r w:rsidRPr="00D03F3E">
        <w:rPr>
          <w:color w:val="000000" w:themeColor="text1"/>
          <w:sz w:val="16"/>
          <w:szCs w:val="16"/>
        </w:rPr>
        <w:softHyphen/>
        <w:t>лось подвешивать бомбы калибром 50, 100 и 250 кг, а также ВАП-200 и УХАП-250.</w:t>
      </w:r>
    </w:p>
    <w:p w14:paraId="2A9E29F1"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бомбовые отсеки загружались бомбы калибра от 100 кг и ниже. Бомбы укладывались на створки бомбоотсеков. При этом бомбы калибра 50 и 100 кг поднимались при помощи лебедки, а от 25 кг и ни</w:t>
      </w:r>
      <w:r w:rsidRPr="00D03F3E">
        <w:rPr>
          <w:color w:val="000000" w:themeColor="text1"/>
          <w:sz w:val="16"/>
          <w:szCs w:val="16"/>
        </w:rPr>
        <w:softHyphen/>
        <w:t>же — загружались вручную.</w:t>
      </w:r>
    </w:p>
    <w:p w14:paraId="10BBDF51"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общей сложности в самолет допускалась подвеска до 600 кг бомб (в перегрузку): 4 ФАБ-50 внутри, или 4 ФАБ-50 и 2 ФАБ-50 снаружи, или 4 ФАБ-100 внутри, или 4 ФАБ-100 внутри и 2 ФАБ-100 снаружи, или 2 ФАБ-250 снаружи. Оско</w:t>
      </w:r>
      <w:r w:rsidRPr="00D03F3E">
        <w:rPr>
          <w:color w:val="000000" w:themeColor="text1"/>
          <w:sz w:val="16"/>
          <w:szCs w:val="16"/>
        </w:rPr>
        <w:softHyphen/>
        <w:t>лочных и зажигательных авиабомб калибром от 2,5 до 25 кг и химампул в кассетах мелких бомб — до 400 кг. Основной вариант бомбовой нагрузки со</w:t>
      </w:r>
      <w:r w:rsidRPr="00D03F3E">
        <w:rPr>
          <w:color w:val="000000" w:themeColor="text1"/>
          <w:sz w:val="16"/>
          <w:szCs w:val="16"/>
        </w:rPr>
        <w:softHyphen/>
        <w:t>ставлял 200 кг внутри фюзеляжа.</w:t>
      </w:r>
    </w:p>
    <w:p w14:paraId="1272E076"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Оборонительный пулемет УБТ (196 патронов в 4 магазинах) устанавливался в блистерной уста</w:t>
      </w:r>
      <w:r w:rsidRPr="00D03F3E">
        <w:rPr>
          <w:color w:val="000000" w:themeColor="text1"/>
          <w:sz w:val="16"/>
          <w:szCs w:val="16"/>
        </w:rPr>
        <w:softHyphen/>
        <w:t>новке БЛУБ.</w:t>
      </w:r>
    </w:p>
    <w:p w14:paraId="5C19C946"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полетном весе 5534 кг (6 РС-132, пуш</w:t>
      </w:r>
      <w:r w:rsidRPr="00D03F3E">
        <w:rPr>
          <w:color w:val="000000" w:themeColor="text1"/>
          <w:sz w:val="16"/>
          <w:szCs w:val="16"/>
        </w:rPr>
        <w:softHyphen/>
        <w:t>ки и пулеметы с боекомплектом) максимальная скорость у земли Су-6 М-71ф с винтом АВ-5-4А — 480 км/ч, почти на 100 км/ч превосходила скорость двухместного Ил-2 АМ-38ф. На высоте 3850 м штур</w:t>
      </w:r>
      <w:r w:rsidRPr="00D03F3E">
        <w:rPr>
          <w:color w:val="000000" w:themeColor="text1"/>
          <w:sz w:val="16"/>
          <w:szCs w:val="16"/>
        </w:rPr>
        <w:softHyphen/>
        <w:t>мовик развивал скорость 514 км/ч.</w:t>
      </w:r>
    </w:p>
    <w:p w14:paraId="644B5FAD"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Время подъема на высоту 1000 м не превышало 1,8 мин, на высоту 5000 м — 10,6 мин. Максималь</w:t>
      </w:r>
      <w:r w:rsidRPr="00D03F3E">
        <w:rPr>
          <w:color w:val="000000" w:themeColor="text1"/>
          <w:sz w:val="16"/>
          <w:szCs w:val="16"/>
        </w:rPr>
        <w:softHyphen/>
        <w:t>ная дальность полета на высоте 1000 м и скорости 349 км/ч составила 973 км. Разбег на взлете — 510 м.</w:t>
      </w:r>
    </w:p>
    <w:p w14:paraId="3AA25EE4"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 четырехлопастным винтом АВ-9-4А диаме</w:t>
      </w:r>
      <w:r w:rsidRPr="00D03F3E">
        <w:rPr>
          <w:color w:val="000000" w:themeColor="text1"/>
          <w:sz w:val="16"/>
          <w:szCs w:val="16"/>
        </w:rPr>
        <w:softHyphen/>
        <w:t>тром 3,35 м скоростные данные самолета были не</w:t>
      </w:r>
      <w:r w:rsidRPr="00D03F3E">
        <w:rPr>
          <w:color w:val="000000" w:themeColor="text1"/>
          <w:sz w:val="16"/>
          <w:szCs w:val="16"/>
        </w:rPr>
        <w:softHyphen/>
        <w:t>сколько хуже — примерно на 3—4 км/ч (без кока винта). Однако скороподъемность и взлетные каче</w:t>
      </w:r>
      <w:r w:rsidRPr="00D03F3E">
        <w:rPr>
          <w:color w:val="000000" w:themeColor="text1"/>
          <w:sz w:val="16"/>
          <w:szCs w:val="16"/>
        </w:rPr>
        <w:softHyphen/>
        <w:t>ства улучшились: вертикальная скорость на высоте 1000 м увеличилась до 9,5 м/с, а разбег уменьшил</w:t>
      </w:r>
      <w:r w:rsidRPr="00D03F3E">
        <w:rPr>
          <w:color w:val="000000" w:themeColor="text1"/>
          <w:sz w:val="16"/>
          <w:szCs w:val="16"/>
        </w:rPr>
        <w:softHyphen/>
        <w:t>ся до 410 м.</w:t>
      </w:r>
    </w:p>
    <w:p w14:paraId="021F3204"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Поскольку вся нормальная бомбовая нагрузка (200 кг) размещалась внутри фюзеляжа, то макси</w:t>
      </w:r>
      <w:r w:rsidRPr="00D03F3E">
        <w:rPr>
          <w:color w:val="000000" w:themeColor="text1"/>
          <w:sz w:val="16"/>
          <w:szCs w:val="16"/>
        </w:rPr>
        <w:softHyphen/>
        <w:t>мальные скорости штурмовика с бомбами остава</w:t>
      </w:r>
      <w:r w:rsidRPr="00D03F3E">
        <w:rPr>
          <w:color w:val="000000" w:themeColor="text1"/>
          <w:sz w:val="16"/>
          <w:szCs w:val="16"/>
        </w:rPr>
        <w:softHyphen/>
        <w:t>лись практически теми же.</w:t>
      </w:r>
    </w:p>
    <w:p w14:paraId="01CE6720"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Значительное улучшение летных данных Су-6 в сравнении с Ил-2 АМ-38ф без ухудшения манев</w:t>
      </w:r>
      <w:r w:rsidRPr="00D03F3E">
        <w:rPr>
          <w:color w:val="000000" w:themeColor="text1"/>
          <w:sz w:val="16"/>
          <w:szCs w:val="16"/>
        </w:rPr>
        <w:softHyphen/>
        <w:t>ренных качеств в вертикальной плоскости обеспе</w:t>
      </w:r>
      <w:r w:rsidRPr="00D03F3E">
        <w:rPr>
          <w:color w:val="000000" w:themeColor="text1"/>
          <w:sz w:val="16"/>
          <w:szCs w:val="16"/>
        </w:rPr>
        <w:softHyphen/>
        <w:t>чивалось за счет меньшей нагрузки на мощность мотора, которая, собственно, и определяет верти</w:t>
      </w:r>
      <w:r w:rsidRPr="00D03F3E">
        <w:rPr>
          <w:color w:val="000000" w:themeColor="text1"/>
          <w:sz w:val="16"/>
          <w:szCs w:val="16"/>
        </w:rPr>
        <w:softHyphen/>
        <w:t>кальную маневренность самолета.</w:t>
      </w:r>
    </w:p>
    <w:p w14:paraId="6656D56C"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Кроме этого, «сухой» оборудовался мощной механизацией крыла (автоматические предкрылки и щитки типа «Шренк»), что позволяло ему устой</w:t>
      </w:r>
      <w:r w:rsidRPr="00D03F3E">
        <w:rPr>
          <w:color w:val="000000" w:themeColor="text1"/>
          <w:sz w:val="16"/>
          <w:szCs w:val="16"/>
        </w:rPr>
        <w:softHyphen/>
        <w:t>чиво выполнять маневры на больших углах атаки. Последнее являлось весьма важным для самолета поля боя, предназначенного для действий на не</w:t>
      </w:r>
      <w:r w:rsidRPr="00D03F3E">
        <w:rPr>
          <w:color w:val="000000" w:themeColor="text1"/>
          <w:sz w:val="16"/>
          <w:szCs w:val="16"/>
        </w:rPr>
        <w:softHyphen/>
        <w:t>большой высоте, так как летчику необходимо было выполнять энергичное боевое маневрирование для выхода в атаку в ограниченном пространстве над целью и преимущественно в вертикальной плоскости.</w:t>
      </w:r>
    </w:p>
    <w:p w14:paraId="2C4673D0"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отличие от Ил-2 с 11П или с Ш-37, на Су-6 пушки 11П размещались ближе к оси самолета, что в совокупности с более высоким запасом устойчи</w:t>
      </w:r>
      <w:r w:rsidRPr="00D03F3E">
        <w:rPr>
          <w:color w:val="000000" w:themeColor="text1"/>
          <w:sz w:val="16"/>
          <w:szCs w:val="16"/>
        </w:rPr>
        <w:softHyphen/>
        <w:t>вости штурмовика обеспечивало лучшую эффек</w:t>
      </w:r>
      <w:r w:rsidRPr="00D03F3E">
        <w:rPr>
          <w:color w:val="000000" w:themeColor="text1"/>
          <w:sz w:val="16"/>
          <w:szCs w:val="16"/>
        </w:rPr>
        <w:softHyphen/>
        <w:t>тивность стрельбы из пушек в воздухе по малораз</w:t>
      </w:r>
      <w:r w:rsidRPr="00D03F3E">
        <w:rPr>
          <w:color w:val="000000" w:themeColor="text1"/>
          <w:sz w:val="16"/>
          <w:szCs w:val="16"/>
        </w:rPr>
        <w:softHyphen/>
        <w:t>мерным наземным целям. Во время полигонных испытаний Су-6 М-71ф никаких нареканий, связан</w:t>
      </w:r>
      <w:r w:rsidRPr="00D03F3E">
        <w:rPr>
          <w:color w:val="000000" w:themeColor="text1"/>
          <w:sz w:val="16"/>
          <w:szCs w:val="16"/>
        </w:rPr>
        <w:softHyphen/>
        <w:t>ных с влиянием силы отдачи пушек на самолет при стрельбе в воздухе, летчиками-испытателями не высказывались: «...На пикировании при стрельбе самолет устойчив, отдача даже при стрельбе из всех точек незначительна. Стрельба из одной пуш</w:t>
      </w:r>
      <w:r w:rsidRPr="00D03F3E">
        <w:rPr>
          <w:color w:val="000000" w:themeColor="text1"/>
          <w:sz w:val="16"/>
          <w:szCs w:val="16"/>
        </w:rPr>
        <w:softHyphen/>
        <w:t>ки возможна, явление разворачивания наблюдает</w:t>
      </w:r>
      <w:r w:rsidRPr="00D03F3E">
        <w:rPr>
          <w:color w:val="000000" w:themeColor="text1"/>
          <w:sz w:val="16"/>
          <w:szCs w:val="16"/>
        </w:rPr>
        <w:softHyphen/>
        <w:t>ся, но в меньшей степени, чем на Ил-2».</w:t>
      </w:r>
    </w:p>
    <w:p w14:paraId="25D5ADC2"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Бронирование Су-6 было выполнено значитель</w:t>
      </w:r>
      <w:r w:rsidRPr="00D03F3E">
        <w:rPr>
          <w:color w:val="000000" w:themeColor="text1"/>
          <w:sz w:val="16"/>
          <w:szCs w:val="16"/>
        </w:rPr>
        <w:softHyphen/>
        <w:t>но лучше, чем на Ил-2. При этом благодаря более рациональной схеме бронирования и распределе</w:t>
      </w:r>
      <w:r w:rsidRPr="00D03F3E">
        <w:rPr>
          <w:color w:val="000000" w:themeColor="text1"/>
          <w:sz w:val="16"/>
          <w:szCs w:val="16"/>
        </w:rPr>
        <w:softHyphen/>
        <w:t>нию толщин бронелистов (от 2 до 13,5 мм) общая масса брони составила всего 683 кг — 18,3% веса пустого самолета.</w:t>
      </w:r>
    </w:p>
    <w:p w14:paraId="1177B1FD"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целом же бронирование Су-6 М-71ф обеспечи</w:t>
      </w:r>
      <w:r w:rsidRPr="00D03F3E">
        <w:rPr>
          <w:color w:val="000000" w:themeColor="text1"/>
          <w:sz w:val="16"/>
          <w:szCs w:val="16"/>
        </w:rPr>
        <w:softHyphen/>
        <w:t>вало эффективную защиту от пуль калибра 12,7 мм и осколков зенитных снарядов. Помимо этого, жи</w:t>
      </w:r>
      <w:r w:rsidRPr="00D03F3E">
        <w:rPr>
          <w:color w:val="000000" w:themeColor="text1"/>
          <w:sz w:val="16"/>
          <w:szCs w:val="16"/>
        </w:rPr>
        <w:softHyphen/>
        <w:t>вучесть штурмовика повышалась применением мотора воздушного охлаждения, более стойкого к боевым повреждениям, чем моторы с жидкостным охлаждением, наддува бензобака выхлопными га</w:t>
      </w:r>
      <w:r w:rsidRPr="00D03F3E">
        <w:rPr>
          <w:color w:val="000000" w:themeColor="text1"/>
          <w:sz w:val="16"/>
          <w:szCs w:val="16"/>
        </w:rPr>
        <w:softHyphen/>
        <w:t>зами от мотора и дублированием в системе управ</w:t>
      </w:r>
      <w:r w:rsidRPr="00D03F3E">
        <w:rPr>
          <w:color w:val="000000" w:themeColor="text1"/>
          <w:sz w:val="16"/>
          <w:szCs w:val="16"/>
        </w:rPr>
        <w:softHyphen/>
        <w:t>ления рулем высоты и направления.</w:t>
      </w:r>
    </w:p>
    <w:p w14:paraId="37F3E777"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Стефановским предлагалось выпускать само</w:t>
      </w:r>
      <w:r w:rsidRPr="00D03F3E">
        <w:rPr>
          <w:color w:val="000000" w:themeColor="text1"/>
          <w:sz w:val="16"/>
          <w:szCs w:val="16"/>
        </w:rPr>
        <w:softHyphen/>
        <w:t>лет Су-6 М-71ф в одноместном варианте с пушками 11П и в двухместном — с пушками ВЯ. При этом для двухместного самолета Су-6 М-71ф предлагалось применить мотор М-71ф с изъятой 2-й скоростью нагнетателя и дальнейшим форсированием его на малых высотах.</w:t>
      </w:r>
    </w:p>
    <w:p w14:paraId="23038EAF"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заключении Акта по результатам государ</w:t>
      </w:r>
      <w:r w:rsidRPr="00D03F3E">
        <w:rPr>
          <w:color w:val="000000" w:themeColor="text1"/>
          <w:sz w:val="16"/>
          <w:szCs w:val="16"/>
        </w:rPr>
        <w:softHyphen/>
        <w:t>ственных испытаний отмечалось: «Опытный двух</w:t>
      </w:r>
      <w:r w:rsidRPr="00D03F3E">
        <w:rPr>
          <w:color w:val="000000" w:themeColor="text1"/>
          <w:sz w:val="16"/>
          <w:szCs w:val="16"/>
        </w:rPr>
        <w:softHyphen/>
        <w:t>местный самолет Су-6 с мотором М-71Ф и опытным 4-лопастным винтом АВ-9-4А, конструкции т. Сухого ...государственные испытания выдержал, показав хорошие летно-тактические данные. Рекомендо</w:t>
      </w:r>
      <w:r w:rsidRPr="00D03F3E">
        <w:rPr>
          <w:color w:val="000000" w:themeColor="text1"/>
          <w:sz w:val="16"/>
          <w:szCs w:val="16"/>
        </w:rPr>
        <w:softHyphen/>
        <w:t>вать самолет Су-6 с мотором М-71Ф и 4-лопастным винтом АВ-9-4А в серийное производство с обяза</w:t>
      </w:r>
      <w:r w:rsidRPr="00D03F3E">
        <w:rPr>
          <w:color w:val="000000" w:themeColor="text1"/>
          <w:sz w:val="16"/>
          <w:szCs w:val="16"/>
        </w:rPr>
        <w:softHyphen/>
        <w:t>тельным устранением всех недостатков».</w:t>
      </w:r>
    </w:p>
    <w:p w14:paraId="5A8589DE"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Здесь следует сказать, что реализация пред</w:t>
      </w:r>
      <w:r w:rsidRPr="00D03F3E">
        <w:rPr>
          <w:color w:val="000000" w:themeColor="text1"/>
          <w:sz w:val="16"/>
          <w:szCs w:val="16"/>
        </w:rPr>
        <w:softHyphen/>
        <w:t>ложений П. М. Стефановского позволила бы иметь одноместный бронированный штурмовик с мощ</w:t>
      </w:r>
      <w:r w:rsidRPr="00D03F3E">
        <w:rPr>
          <w:color w:val="000000" w:themeColor="text1"/>
          <w:sz w:val="16"/>
          <w:szCs w:val="16"/>
        </w:rPr>
        <w:softHyphen/>
        <w:t>ным вооружением и истребитель бомбардиров</w:t>
      </w:r>
      <w:r w:rsidRPr="00D03F3E">
        <w:rPr>
          <w:color w:val="000000" w:themeColor="text1"/>
          <w:sz w:val="16"/>
          <w:szCs w:val="16"/>
        </w:rPr>
        <w:softHyphen/>
        <w:t>щиков с летными данными, близкими к серийным истребителям противника, а также двухместный бронированный штурмовик с еще более высокими летными данными.</w:t>
      </w:r>
    </w:p>
    <w:p w14:paraId="5006EFA0"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Простейший анализ показывает, что даже без проведения работ по перераспределению брони и экономии на этом веса пустого самолета можно было существенно поднять боевую эффективность Су-6 М-71ф почти без ухудшения летных и манев</w:t>
      </w:r>
      <w:r w:rsidRPr="00D03F3E">
        <w:rPr>
          <w:color w:val="000000" w:themeColor="text1"/>
          <w:sz w:val="16"/>
          <w:szCs w:val="16"/>
        </w:rPr>
        <w:softHyphen/>
        <w:t>ренных качеств самолета, только за счет оптимиза</w:t>
      </w:r>
      <w:r w:rsidRPr="00D03F3E">
        <w:rPr>
          <w:color w:val="000000" w:themeColor="text1"/>
          <w:sz w:val="16"/>
          <w:szCs w:val="16"/>
        </w:rPr>
        <w:softHyphen/>
        <w:t>ции состава и размера боекомплекта стрелково-пушечного вооружения.</w:t>
      </w:r>
    </w:p>
    <w:p w14:paraId="3523AF22"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Действительно, принятый на Су-6 М-71ф бо</w:t>
      </w:r>
      <w:r w:rsidRPr="00D03F3E">
        <w:rPr>
          <w:color w:val="000000" w:themeColor="text1"/>
          <w:sz w:val="16"/>
          <w:szCs w:val="16"/>
        </w:rPr>
        <w:softHyphen/>
        <w:t>езапас к пушкам 11П в 90 снарядов для типовых условий боевого применения штурмовиков на фронте был излишним. Его вполне можно было уменьшить до 48—50 снарядов. Одновременно пулеметы ШКАС, как имеющие низ</w:t>
      </w:r>
      <w:r w:rsidRPr="00D03F3E">
        <w:rPr>
          <w:color w:val="000000" w:themeColor="text1"/>
          <w:sz w:val="16"/>
          <w:szCs w:val="16"/>
        </w:rPr>
        <w:softHyphen/>
        <w:t>кую эффективность при действии по типовым наземным целям, мож</w:t>
      </w:r>
      <w:r w:rsidRPr="00D03F3E">
        <w:rPr>
          <w:color w:val="000000" w:themeColor="text1"/>
          <w:sz w:val="16"/>
          <w:szCs w:val="16"/>
        </w:rPr>
        <w:softHyphen/>
        <w:t>но было снять, а вместо них уста</w:t>
      </w:r>
      <w:r w:rsidRPr="00D03F3E">
        <w:rPr>
          <w:color w:val="000000" w:themeColor="text1"/>
          <w:sz w:val="16"/>
          <w:szCs w:val="16"/>
        </w:rPr>
        <w:softHyphen/>
        <w:t>новить или 4 крупнокалиберных пулемета УБК (800 патронов), или 2 пушки ШВАК (250 снарядов). Если снять 11П и ШКАСы, то можно было бы установить на самолет 4 пушки ВЯ (320 снарядов) и 2 пулемета УБК (400 патронов). При этом во всех случаях нормальный полетный вес штурмовика с усиленным вооруже</w:t>
      </w:r>
      <w:r w:rsidRPr="00D03F3E">
        <w:rPr>
          <w:color w:val="000000" w:themeColor="text1"/>
          <w:sz w:val="16"/>
          <w:szCs w:val="16"/>
        </w:rPr>
        <w:softHyphen/>
        <w:t>нием не превысил бы полетный вес самолета с исходным вариантом вооружения, тогда как вероятность поражения наземной цели в одном заходе повышалась значительно, а боезапас к пушкам и пулеметам обеспечивал выполнение 3—4 при</w:t>
      </w:r>
      <w:r w:rsidRPr="00D03F3E">
        <w:rPr>
          <w:color w:val="000000" w:themeColor="text1"/>
          <w:sz w:val="16"/>
          <w:szCs w:val="16"/>
        </w:rPr>
        <w:softHyphen/>
        <w:t>цельных заходов на цель.</w:t>
      </w:r>
    </w:p>
    <w:p w14:paraId="3502754F"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Из всех возможных вариантов вооружения «сухого» наиболее ин</w:t>
      </w:r>
      <w:r w:rsidRPr="00D03F3E">
        <w:rPr>
          <w:color w:val="000000" w:themeColor="text1"/>
          <w:sz w:val="16"/>
          <w:szCs w:val="16"/>
        </w:rPr>
        <w:softHyphen/>
        <w:t>тересным с точки зрения боевой эф</w:t>
      </w:r>
      <w:r w:rsidRPr="00D03F3E">
        <w:rPr>
          <w:color w:val="000000" w:themeColor="text1"/>
          <w:sz w:val="16"/>
          <w:szCs w:val="16"/>
        </w:rPr>
        <w:softHyphen/>
        <w:t>фективности представляется состав, включающий 4 пушки ВЯ и 2 пуле</w:t>
      </w:r>
      <w:r w:rsidRPr="00D03F3E">
        <w:rPr>
          <w:color w:val="000000" w:themeColor="text1"/>
          <w:sz w:val="16"/>
          <w:szCs w:val="16"/>
        </w:rPr>
        <w:softHyphen/>
        <w:t>мета УБК. Вес боевой нагрузки ока</w:t>
      </w:r>
      <w:r w:rsidRPr="00D03F3E">
        <w:rPr>
          <w:color w:val="000000" w:themeColor="text1"/>
          <w:sz w:val="16"/>
          <w:szCs w:val="16"/>
        </w:rPr>
        <w:softHyphen/>
        <w:t>зывался даже несколько меньше (на 35 кг), чем в исходном варианте, но вероятность поражения легко</w:t>
      </w:r>
      <w:r w:rsidRPr="00D03F3E">
        <w:rPr>
          <w:color w:val="000000" w:themeColor="text1"/>
          <w:sz w:val="16"/>
          <w:szCs w:val="16"/>
        </w:rPr>
        <w:softHyphen/>
        <w:t>бронированной техники вермахта в одном заходе возрастала примерно в 5—6 раз, а небронированной техники — в 7—8 раз. Одна</w:t>
      </w:r>
      <w:r w:rsidRPr="00D03F3E">
        <w:rPr>
          <w:color w:val="000000" w:themeColor="text1"/>
          <w:sz w:val="16"/>
          <w:szCs w:val="16"/>
        </w:rPr>
        <w:softHyphen/>
        <w:t>ко стрельба по средним танкам была неэффек</w:t>
      </w:r>
      <w:r w:rsidRPr="00D03F3E">
        <w:rPr>
          <w:color w:val="000000" w:themeColor="text1"/>
          <w:sz w:val="16"/>
          <w:szCs w:val="16"/>
        </w:rPr>
        <w:softHyphen/>
        <w:t>тивной.</w:t>
      </w:r>
    </w:p>
    <w:p w14:paraId="3A5B15E4"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Весьма перспективным вариантом вооружения штурмовика представляется состав из 2 пушек 11П (48 снарядов) и 2 пушек ВЯ (160 снарядов). В этом случае вес боевой нагрузки, отводимый на стрел- ково-пушечное вооружение, возрастал на 75 кг, что несколько ухудшало маневренные качества са</w:t>
      </w:r>
      <w:r w:rsidRPr="00D03F3E">
        <w:rPr>
          <w:color w:val="000000" w:themeColor="text1"/>
          <w:sz w:val="16"/>
          <w:szCs w:val="16"/>
        </w:rPr>
        <w:softHyphen/>
        <w:t>молета (на 1,3% увеличивалась нагрузка на крыло и на 1,2% нагрузка на единицу мощности), но с лих</w:t>
      </w:r>
      <w:r w:rsidRPr="00D03F3E">
        <w:rPr>
          <w:color w:val="000000" w:themeColor="text1"/>
          <w:sz w:val="16"/>
          <w:szCs w:val="16"/>
        </w:rPr>
        <w:softHyphen/>
        <w:t>вой окупалось открывающимися возможностями по поражению бронетехники и других трудноуяз</w:t>
      </w:r>
      <w:r w:rsidRPr="00D03F3E">
        <w:rPr>
          <w:color w:val="000000" w:themeColor="text1"/>
          <w:sz w:val="16"/>
          <w:szCs w:val="16"/>
        </w:rPr>
        <w:softHyphen/>
        <w:t>вимых малоразмерных целей. Расчеты показывают, что этот вариант вооружения в сравнении с 4 ВЯ и 2 УБК обеспечивал в 1,5—2 раза большую эффек</w:t>
      </w:r>
      <w:r w:rsidRPr="00D03F3E">
        <w:rPr>
          <w:color w:val="000000" w:themeColor="text1"/>
          <w:sz w:val="16"/>
          <w:szCs w:val="16"/>
        </w:rPr>
        <w:softHyphen/>
        <w:t>тивность при действии по немецким средним тан</w:t>
      </w:r>
      <w:r w:rsidRPr="00D03F3E">
        <w:rPr>
          <w:color w:val="000000" w:themeColor="text1"/>
          <w:sz w:val="16"/>
          <w:szCs w:val="16"/>
        </w:rPr>
        <w:softHyphen/>
        <w:t>кам и САУ на их основе.</w:t>
      </w:r>
    </w:p>
    <w:p w14:paraId="53639C86"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Бомбовое и ракетное вооружение во всех ва</w:t>
      </w:r>
      <w:r w:rsidRPr="00D03F3E">
        <w:rPr>
          <w:color w:val="000000" w:themeColor="text1"/>
          <w:sz w:val="16"/>
          <w:szCs w:val="16"/>
        </w:rPr>
        <w:softHyphen/>
        <w:t>риантах стрелково-пушечного вооружения остава</w:t>
      </w:r>
      <w:r w:rsidRPr="00D03F3E">
        <w:rPr>
          <w:color w:val="000000" w:themeColor="text1"/>
          <w:sz w:val="16"/>
          <w:szCs w:val="16"/>
        </w:rPr>
        <w:softHyphen/>
        <w:t>лось прежним.</w:t>
      </w:r>
    </w:p>
    <w:p w14:paraId="2F78B292"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Учитывая, что удельный вес артиллерии и мино</w:t>
      </w:r>
      <w:r w:rsidRPr="00D03F3E">
        <w:rPr>
          <w:color w:val="000000" w:themeColor="text1"/>
          <w:sz w:val="16"/>
          <w:szCs w:val="16"/>
        </w:rPr>
        <w:softHyphen/>
        <w:t>метов, огневых точек, орудий малокалиберной зе</w:t>
      </w:r>
      <w:r w:rsidRPr="00D03F3E">
        <w:rPr>
          <w:color w:val="000000" w:themeColor="text1"/>
          <w:sz w:val="16"/>
          <w:szCs w:val="16"/>
        </w:rPr>
        <w:softHyphen/>
        <w:t>нитной артиллерии составлял около 80—90% всех целей в тактической зоне обороны противника, а танков и САУ — 5—15%, то на каждые 10 двух</w:t>
      </w:r>
      <w:r w:rsidRPr="00D03F3E">
        <w:rPr>
          <w:color w:val="000000" w:themeColor="text1"/>
          <w:sz w:val="16"/>
          <w:szCs w:val="16"/>
        </w:rPr>
        <w:softHyphen/>
        <w:t>местных Су-6 М-71ф с пулеметно-пушечным соста</w:t>
      </w:r>
      <w:r w:rsidRPr="00D03F3E">
        <w:rPr>
          <w:color w:val="000000" w:themeColor="text1"/>
          <w:sz w:val="16"/>
          <w:szCs w:val="16"/>
        </w:rPr>
        <w:softHyphen/>
        <w:t>вом вооружения (4 ВЯ и 2 УБК) имело смысл вы</w:t>
      </w:r>
      <w:r w:rsidRPr="00D03F3E">
        <w:rPr>
          <w:color w:val="000000" w:themeColor="text1"/>
          <w:sz w:val="16"/>
          <w:szCs w:val="16"/>
        </w:rPr>
        <w:softHyphen/>
        <w:t>пускать один одноместный в противотанковом ва</w:t>
      </w:r>
      <w:r w:rsidRPr="00D03F3E">
        <w:rPr>
          <w:color w:val="000000" w:themeColor="text1"/>
          <w:sz w:val="16"/>
          <w:szCs w:val="16"/>
        </w:rPr>
        <w:softHyphen/>
        <w:t>рианте.</w:t>
      </w:r>
    </w:p>
    <w:p w14:paraId="4467687A"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 сожалению, в это время ни военные, ни НКАП вопросами оптимизации состава и боекомплекта стрелково-пушечного вооружения боевых самоле</w:t>
      </w:r>
      <w:r w:rsidRPr="00D03F3E">
        <w:rPr>
          <w:color w:val="000000" w:themeColor="text1"/>
          <w:sz w:val="16"/>
          <w:szCs w:val="16"/>
        </w:rPr>
        <w:softHyphen/>
        <w:t>тов применительно к условиям боевого примене</w:t>
      </w:r>
      <w:r w:rsidRPr="00D03F3E">
        <w:rPr>
          <w:color w:val="000000" w:themeColor="text1"/>
          <w:sz w:val="16"/>
          <w:szCs w:val="16"/>
        </w:rPr>
        <w:softHyphen/>
        <w:t>ния на фронте должным образом не занимались, хотя, как следует из архивных документов, все не</w:t>
      </w:r>
      <w:r w:rsidRPr="00D03F3E">
        <w:rPr>
          <w:color w:val="000000" w:themeColor="text1"/>
          <w:sz w:val="16"/>
          <w:szCs w:val="16"/>
        </w:rPr>
        <w:softHyphen/>
        <w:t>обходимые исходные данные для такой работы в отчетах частей и соединений имелись.</w:t>
      </w:r>
    </w:p>
    <w:p w14:paraId="4E1FD734" w14:textId="77777777" w:rsidR="00A77B9A" w:rsidRPr="00D03F3E" w:rsidRDefault="00A77B9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Судя по документам, НИИ ВВС и руководство ВВС КА отчетливо понимали, что Су-6 М-71ф явля</w:t>
      </w:r>
      <w:r w:rsidRPr="00D03F3E">
        <w:rPr>
          <w:color w:val="000000" w:themeColor="text1"/>
          <w:sz w:val="16"/>
          <w:szCs w:val="16"/>
        </w:rPr>
        <w:softHyphen/>
        <w:t>ется именно тем ударным самолетом, которого не</w:t>
      </w:r>
      <w:r w:rsidRPr="00D03F3E">
        <w:rPr>
          <w:color w:val="000000" w:themeColor="text1"/>
          <w:sz w:val="16"/>
          <w:szCs w:val="16"/>
        </w:rPr>
        <w:softHyphen/>
        <w:t>достает в системе вооружений ВВС, и в силу этого были полны решимости отстаивать свои интересы. По их мнению, возможности для постановки в се</w:t>
      </w:r>
      <w:r w:rsidRPr="00D03F3E">
        <w:rPr>
          <w:color w:val="000000" w:themeColor="text1"/>
          <w:sz w:val="16"/>
          <w:szCs w:val="16"/>
        </w:rPr>
        <w:softHyphen/>
        <w:t>рию «семьдесят первого» мотора и самолета Су-6 с ним у НКАП имелись (17500).</w:t>
      </w:r>
    </w:p>
    <w:p w14:paraId="368FB949" w14:textId="77777777" w:rsidR="00A77B9A" w:rsidRPr="00D03F3E" w:rsidRDefault="00A77B9A" w:rsidP="00D03F3E">
      <w:pPr>
        <w:pStyle w:val="12a"/>
        <w:shd w:val="clear" w:color="auto" w:fill="auto"/>
        <w:spacing w:after="0" w:line="240" w:lineRule="auto"/>
        <w:jc w:val="both"/>
        <w:rPr>
          <w:color w:val="000000" w:themeColor="text1"/>
          <w:sz w:val="16"/>
          <w:szCs w:val="16"/>
        </w:rPr>
      </w:pPr>
    </w:p>
    <w:p w14:paraId="7511C5C9" w14:textId="77777777" w:rsidR="00822798" w:rsidRPr="00D03F3E" w:rsidRDefault="00822798"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10 марта 1943 Су-6 М-71ф (С2А) вы</w:t>
      </w:r>
      <w:r w:rsidRPr="00D03F3E">
        <w:rPr>
          <w:rFonts w:ascii="Times New Roman" w:hAnsi="Times New Roman" w:cs="Times New Roman"/>
          <w:color w:val="0070C0"/>
          <w:sz w:val="16"/>
          <w:szCs w:val="16"/>
        </w:rPr>
        <w:softHyphen/>
        <w:t>полнили первый подъем. Летал летчик-испыта</w:t>
      </w:r>
      <w:r w:rsidRPr="00D03F3E">
        <w:rPr>
          <w:rFonts w:ascii="Times New Roman" w:hAnsi="Times New Roman" w:cs="Times New Roman"/>
          <w:color w:val="0070C0"/>
          <w:sz w:val="16"/>
          <w:szCs w:val="16"/>
        </w:rPr>
        <w:softHyphen/>
        <w:t>тель завода №289 Н.Д. Фиксон. Однако из-за неважной работы мотора М-71ф ис</w:t>
      </w:r>
      <w:r w:rsidRPr="00D03F3E">
        <w:rPr>
          <w:rFonts w:ascii="Times New Roman" w:hAnsi="Times New Roman" w:cs="Times New Roman"/>
          <w:color w:val="0070C0"/>
          <w:sz w:val="16"/>
          <w:szCs w:val="16"/>
        </w:rPr>
        <w:softHyphen/>
        <w:t>пытания затянулись. Довести винтомотор</w:t>
      </w:r>
      <w:r w:rsidRPr="00D03F3E">
        <w:rPr>
          <w:rFonts w:ascii="Times New Roman" w:hAnsi="Times New Roman" w:cs="Times New Roman"/>
          <w:color w:val="0070C0"/>
          <w:sz w:val="16"/>
          <w:szCs w:val="16"/>
        </w:rPr>
        <w:softHyphen/>
        <w:t>ную группу и завершить полностью всю программу заводских испытаний удалось только к середине лета. Официальная пе</w:t>
      </w:r>
      <w:r w:rsidRPr="00D03F3E">
        <w:rPr>
          <w:rFonts w:ascii="Times New Roman" w:hAnsi="Times New Roman" w:cs="Times New Roman"/>
          <w:color w:val="0070C0"/>
          <w:sz w:val="16"/>
          <w:szCs w:val="16"/>
        </w:rPr>
        <w:softHyphen/>
        <w:t>редача самолета в НИИ ВВС для произ</w:t>
      </w:r>
      <w:r w:rsidRPr="00D03F3E">
        <w:rPr>
          <w:rFonts w:ascii="Times New Roman" w:hAnsi="Times New Roman" w:cs="Times New Roman"/>
          <w:color w:val="0070C0"/>
          <w:sz w:val="16"/>
          <w:szCs w:val="16"/>
        </w:rPr>
        <w:softHyphen/>
        <w:t>водства государственных испытаний со</w:t>
      </w:r>
      <w:r w:rsidRPr="00D03F3E">
        <w:rPr>
          <w:rFonts w:ascii="Times New Roman" w:hAnsi="Times New Roman" w:cs="Times New Roman"/>
          <w:color w:val="0070C0"/>
          <w:sz w:val="16"/>
          <w:szCs w:val="16"/>
        </w:rPr>
        <w:softHyphen/>
        <w:t>стоялась 19 июня (19846).</w:t>
      </w:r>
    </w:p>
    <w:p w14:paraId="45DDB41E" w14:textId="77777777" w:rsidR="00822798" w:rsidRPr="00D03F3E" w:rsidRDefault="00822798"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p>
    <w:p w14:paraId="42C405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марта 1943 г. была начата постройка опытного самолета Ил-6, который представлял собой двухдвигательный низкоплан и его основные размеры, такие, как площадь крыла и длина фюзеляжа, были выбраны практически одинаковыми с размерами самолета ДБ-4. Однако аэродинамическая компоновка крыла и такие его параметры, как удлинение и сужение, были другими.</w:t>
      </w:r>
    </w:p>
    <w:p w14:paraId="751C93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то время в ЦАГИ не было единой точки зрения на принципы аэродинамической компоновки крыла, обеспечивающие высокий уровень безопасности полета. В </w:t>
      </w:r>
      <w:r w:rsidRPr="00D03F3E">
        <w:rPr>
          <w:rFonts w:ascii="Times New Roman" w:hAnsi="Times New Roman"/>
          <w:color w:val="000000" w:themeColor="text1"/>
          <w:sz w:val="16"/>
          <w:szCs w:val="16"/>
        </w:rPr>
        <w:lastRenderedPageBreak/>
        <w:t>соответствии с взглядами, которые отстаивал Г.Ф.Гласс, крыло самолета должно было иметь одинаковые по размаху профили, небольшую стреловидность передней кромки и значительное сужение. Такой подход и был положен в основу аэродинамической компоновки крыла Ил-6. Оно имело профиль NACA-230 и удлинение, равное восьми. Для лучшей несущей способности крыла на взлетно-посадочных режимах его снабдили щитками.</w:t>
      </w:r>
    </w:p>
    <w:p w14:paraId="644420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Конструкция самолета была цельнометаллическая. Крыло - двухлонжеронное с работающей обшивкой. Фюзеляж полумонококовой конструкции имел много общего с конструкцией фюзеляжа Ил-4. Хвостовое оперение Ил-6 было однокилевой схемы (возврат к ней основывался на опыте проектирования и летных испытаний самолета ДБ-4).</w:t>
      </w:r>
    </w:p>
    <w:p w14:paraId="24ABB9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Дизельные двигатели устанавливались в двух гондолах, плавность форм которых нарушалась только обтекателями масляных радиаторов. Водяные радиаторы системы охлаждения двигателей располагались в кры-льевых туннелях с входом охлаждающего воздуха через носок крыла. Выход из туннеля находился под крылом и регулировался заслонкой с электроуправлением из кабины пилотов. Топливо размещалось в шести баках, располагавшихся в центроплане и отъемных частях крыла. Суммарная емкость баков была 5935 литров.</w:t>
      </w:r>
    </w:p>
    <w:p w14:paraId="6B030E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 состоял из шести человек: двух летчиков, располагавшихся рядом друг с другом, штурмана, рабочее место которого находилось в носовой кабине, оборудованной по типу кабины ДБ-3Ф; двух стрелков, обслуживающих верхнюю турельную и нижнюю люковую установки, и стрелка-радиста, который должен был вести огонь из бортовых установок. Все члены экипажа Ил-6 имели бронезащиту, ее общий вес составлял 350 кг.</w:t>
      </w:r>
    </w:p>
    <w:p w14:paraId="6F5FF8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 нападения воздушного противника Ил-6 защищали пять подвижных пушечных установок: носовая, верхняя турельная, две боковые, установленные на правом и левом бортах фюзеляжа, и нижняя. Каждая оборонительная установка оснащалась пушкой Ш-20 калибра 20 мм. Общий боезапас состоял из 850 снарядов.</w:t>
      </w:r>
    </w:p>
    <w:p w14:paraId="4FBA25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Бомбоотсеки на Ил-6 выполнялись по одинаковой с ДБ-3 силовой схеме с установкой кассетных бомбодержателей по оси симметрии самолета. Благодаря большому сужению крыла и увеличившемуся вследствие этого расстоянию между лонжеронами в корневой части, бомбоотсеки стали иметь длину, обеспечившую двухрядную подвеску бомб весом по 100 кг. В них размещалось 20 бомб весом по 100 кг или 8 бомб весом по 250 кг, или 4 бомбы весом по 500 кг. Максимальный вес бомбового груза, находящегося в бомбоотсеке самолета, достигал 2500 кг. На наружных бомбодержателях Ил-6 мог нести две бомбы по 1000 кг или две торпеды.</w:t>
      </w:r>
    </w:p>
    <w:p w14:paraId="334A7D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Кабина экипажа оборудовалась обычным для того времени набором пилотажно-навигационных приборов, в распоряжении экипажа имелись радиокомпас и автопилот. В состав оборудования самолета входила мощная приемо-передающая радиостанция РСБ-3 бис, аэрофотоаппаратура для дневного и ночного контроля результатов бомбометания.</w:t>
      </w:r>
    </w:p>
    <w:p w14:paraId="4BAE19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Из-за отсутствия двигателей АЧ-30БФ постройка первого опытного самолета велась с двигателями АЧ-30Б, взлетная мощность которых была явно недостаточной для проектного веса самолета. В связи с этим Ил-6 был представлен на заводские летные испытания без боковых фюзеляжных пушечных установок, с экипажем пять человек (9528).</w:t>
      </w:r>
    </w:p>
    <w:p w14:paraId="711BC3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246A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C 10 марта по 29 мая 1943 2-й экз. самолета Ил-4 2М-88Б проходил заводские испытания с герметической кабиной первого варианта и с 10 августа 1943 с герметической кабиной второго варианта и ТК ТК-М вместо ТК-3 (1825,208).</w:t>
      </w:r>
    </w:p>
    <w:p w14:paraId="7D16F5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DA44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марта 1943 М.И.Гудков представил проект самолета с ВРД Гу-ВРД. НИИ ВВС рассмотрел и 10 апреля 1943 отклонил (546).</w:t>
      </w:r>
    </w:p>
    <w:p w14:paraId="7472B9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4D49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марта 1943 г. М.И.Гудков, который опираясь на имевшийся у люльковцев задел, разработал эскизный проект истребителя Гу-ВРД с турбокомпрессорным двигателем (ТКВРД), представил его в наркомат авиапромышленности (9016).</w:t>
      </w:r>
    </w:p>
    <w:p w14:paraId="6008AC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DC17D0"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марта 1943 года был представлен проект Гу-ВРД. Спустя месяц – 9 апреля Гудков направил в НИИ ВВС пояснительную записку, в которой убедительно изложил преимущества применения ТКВРД по сравнению с обычными ПВРД и ЖРД, которые тогда большей частью использовались как ускорители. В частности, упор делался на гораздо большую продолжительность полета, доходившую до 1 часа, в то время как ЖРД мог работать только 100 секунд, а ПРВД – не более 15 минут.</w:t>
      </w:r>
    </w:p>
    <w:p w14:paraId="618A60A0"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Разработанный М.И. Гудковым самолет представлял собой моноплан с ТКВРД конструкции А.М. Люлька, размещенным по так называемой "реданной" схеме в носовой части машины. Нос самолета был заострен и имел четыре входных канала для забора воздуха. Крыло площадью 11 м.кв. спроектировали трапециевидным в плане с закруглениями на концах, шасси – убирающимся, с хвостовым колесом. Взлетная масса самолета по расчетам должна была составить всего 2250 кг при запасе топлива 400 кг и масла 12 кг. Вооружение самолета размещалось в носовой части фюзеляжа над двигателем и включало одну пушку ШВАК с запасом 200 снарядов и один крупнокалиберный пулемет БС с запасом 200 патронов.</w:t>
      </w:r>
    </w:p>
    <w:p w14:paraId="14A9C0B4"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Двигатель массой 700 кг по проекту имел диаметр 0,9 м, длину 2,1 м и статическую тягу 1500 кг. По расчетам М.И. Гудкова максимальная скорость полета Гу-ВРД у земли должна была составить 870 км/ч, на высоте 6000 м – 900...1000 км/ч, а время набора высоты 5000 м – 1,39 мин. Дальность полета на скорости 0,8 от максимальной оценивалась равной 700 км, а продолжительность полета – около 1 часа. Длина разбега по расчету – 222 м. Опыт постройки самолетов с ТКВРД впоследствии показал, что этот показатель оценили чересчур оптимистично. В заключительной части записки М.И. Гудков сообщал, что он заканчивает разработку проекта скоростного бомбардировщика с двумя ТКВРД, а Люлька – двигателя со статической тягой 1500 кг. Полетная масса этого самолета должна была составить 6500 кг. При экипаже, состоявшем из 3 человек, максимальная скорость полета машины на высоте 600 м оценивалась равной 780...800 км/ч, дальность полета – 1200...1500 км. Масса бомбовой нагрузки должна была составить 1200...1500 кг, а стрелково-пушечное вооружение включало одну пушку и один пулемет БС (15570).</w:t>
      </w:r>
    </w:p>
    <w:p w14:paraId="4F52866B" w14:textId="77777777" w:rsidR="00C32DC9" w:rsidRPr="00D03F3E" w:rsidRDefault="00C32DC9" w:rsidP="00D03F3E">
      <w:pPr>
        <w:spacing w:after="0" w:line="240" w:lineRule="auto"/>
        <w:jc w:val="both"/>
        <w:rPr>
          <w:rFonts w:ascii="Times New Roman" w:hAnsi="Times New Roman"/>
          <w:color w:val="000000" w:themeColor="text1"/>
          <w:sz w:val="16"/>
          <w:szCs w:val="16"/>
        </w:rPr>
      </w:pPr>
    </w:p>
    <w:p w14:paraId="2BFB86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и 12 января и 11 и 14 марта 1943 состоялись полеты БИ-2 (второго) и в баки заливали от 315 до 498 кг горючего. Летал вновь Бахчиванджи. Залили 418 кг топлива. Влетел на тяге 800 кг. При наборе высоты довел скорость до 550 км/час. Двигатель остановился на 3200 м и набрал 3900 м. При уборке шасси не встали на замки. Летал 6 мин. 22 сек. и двигатель работал 84 сек. (2928,16).</w:t>
      </w:r>
    </w:p>
    <w:p w14:paraId="6B58F9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77A114"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3B6B62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BBC5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марта 1943г. было СООБЩЕНИЕ НАЧАЛЬНИКА ГАВТУ КА ПРЕДСЕДАТЕЛЮ МОСКОВСКОГО СОВЕТА ПРОНИНУ О ВЫДЕЛЕНИИ МЕСТА ДЛЯ ОРГАНИЗУЕМОГО АВТОМОБИЛЬНОГО ПОЛИГОНА №1180812</w:t>
      </w:r>
    </w:p>
    <w:p w14:paraId="3B9468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приказанию наркома обороны в районе Москвы в кратчайший срок должен быть организо</w:t>
      </w:r>
      <w:r w:rsidRPr="00D03F3E">
        <w:rPr>
          <w:rFonts w:ascii="Times New Roman" w:hAnsi="Times New Roman"/>
          <w:color w:val="000000" w:themeColor="text1"/>
          <w:sz w:val="16"/>
          <w:szCs w:val="16"/>
        </w:rPr>
        <w:softHyphen/>
        <w:t>ван автомобильный научно-испытательный полигон Красной Армии.</w:t>
      </w:r>
    </w:p>
    <w:p w14:paraId="4779449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рельефу местности, по расположению и прилегающим дорогам для этой цели подходит район Химки-Пенягино-Нахабино-Сходня, расположенный между Ленинградским и Волоколамским шоссе.</w:t>
      </w:r>
    </w:p>
    <w:p w14:paraId="12497C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Главное автомобильное управление Красной Армии просит Вашего распоряжения о срочном предоставлении ему для нужд организуемого автомобильного полигона построек и местности быв</w:t>
      </w:r>
      <w:r w:rsidRPr="00D03F3E">
        <w:rPr>
          <w:rFonts w:ascii="Times New Roman" w:hAnsi="Times New Roman"/>
          <w:color w:val="000000" w:themeColor="text1"/>
          <w:sz w:val="16"/>
          <w:szCs w:val="16"/>
        </w:rPr>
        <w:softHyphen/>
        <w:t>шего совхоза Соколово-Машкино, находящихся вблизи д. Машкино.</w:t>
      </w:r>
    </w:p>
    <w:p w14:paraId="2838EE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карта местности района Химок.</w:t>
      </w:r>
    </w:p>
    <w:p w14:paraId="2B12FB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Главного автомобильного управления КА генерал-лейтенант Белокосков</w:t>
      </w:r>
    </w:p>
    <w:p w14:paraId="1239678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41. Оп. 11579. Д. 2. Л. 9. Копия (11403).</w:t>
      </w:r>
    </w:p>
    <w:p w14:paraId="3F464D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0630AF"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10 марта</w:t>
      </w:r>
      <w:r w:rsidRPr="00D03F3E">
        <w:rPr>
          <w:rFonts w:ascii="Times New Roman" w:hAnsi="Times New Roman"/>
          <w:color w:val="000000" w:themeColor="text1"/>
          <w:sz w:val="16"/>
          <w:szCs w:val="16"/>
        </w:rPr>
        <w:t xml:space="preserve"> в 1943 году по Наркомату электротехнической промышленности был издан приказ № 7: "Организовать на базе завода имени Лепсе самостоятельный завод под наименованием "Томский завод радиомашин". Этот день и считается днем рождения Томского электротехнического завода. Ныне - ФГУП «Томский электротехнический завод» (15064).</w:t>
      </w:r>
    </w:p>
    <w:p w14:paraId="138657F5" w14:textId="77777777" w:rsidR="009A1FC3" w:rsidRPr="00D03F3E" w:rsidRDefault="009A1FC3" w:rsidP="00D03F3E">
      <w:pPr>
        <w:spacing w:after="0" w:line="240" w:lineRule="auto"/>
        <w:jc w:val="both"/>
        <w:rPr>
          <w:rFonts w:ascii="Times New Roman" w:hAnsi="Times New Roman"/>
          <w:color w:val="000000" w:themeColor="text1"/>
          <w:sz w:val="16"/>
          <w:szCs w:val="16"/>
        </w:rPr>
      </w:pPr>
    </w:p>
    <w:p w14:paraId="23E91631"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10 марта</w:t>
      </w:r>
      <w:r w:rsidRPr="00D03F3E">
        <w:rPr>
          <w:rFonts w:ascii="Times New Roman" w:hAnsi="Times New Roman"/>
          <w:color w:val="000000" w:themeColor="text1"/>
          <w:sz w:val="16"/>
          <w:szCs w:val="16"/>
        </w:rPr>
        <w:t xml:space="preserve"> в 1943 году выпустил первую продукцию – пароводяную арматуру и редукционно-охладительные установки – Барнаульский котельный завод (ныне АООТ «Сибэнергомаш»). Создан в 1942 г. на базе эвакуированного из Ленинграда котельного производства Невского машиностроительного завода (15064).</w:t>
      </w:r>
    </w:p>
    <w:p w14:paraId="40051484" w14:textId="77777777" w:rsidR="009A1FC3" w:rsidRPr="00D03F3E" w:rsidRDefault="009A1FC3" w:rsidP="00D03F3E">
      <w:pPr>
        <w:spacing w:after="0" w:line="240" w:lineRule="auto"/>
        <w:jc w:val="both"/>
        <w:rPr>
          <w:rFonts w:ascii="Times New Roman" w:hAnsi="Times New Roman"/>
          <w:color w:val="000000" w:themeColor="text1"/>
          <w:sz w:val="16"/>
          <w:szCs w:val="16"/>
        </w:rPr>
      </w:pPr>
    </w:p>
    <w:p w14:paraId="1DF0E711"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10 марта</w:t>
      </w:r>
      <w:r w:rsidRPr="00D03F3E">
        <w:rPr>
          <w:rFonts w:ascii="Times New Roman" w:hAnsi="Times New Roman"/>
          <w:color w:val="000000" w:themeColor="text1"/>
          <w:sz w:val="16"/>
          <w:szCs w:val="16"/>
        </w:rPr>
        <w:t xml:space="preserve"> в 1943 году начаты работы по созданию ядерного оружия в СССР (15064).</w:t>
      </w:r>
    </w:p>
    <w:p w14:paraId="3DDD4C38" w14:textId="77777777" w:rsidR="009A1FC3" w:rsidRPr="00D03F3E" w:rsidRDefault="009A1FC3" w:rsidP="00D03F3E">
      <w:pPr>
        <w:spacing w:after="0" w:line="240" w:lineRule="auto"/>
        <w:jc w:val="both"/>
        <w:rPr>
          <w:rFonts w:ascii="Times New Roman" w:hAnsi="Times New Roman"/>
          <w:color w:val="000000" w:themeColor="text1"/>
          <w:sz w:val="16"/>
          <w:szCs w:val="16"/>
        </w:rPr>
      </w:pPr>
    </w:p>
    <w:p w14:paraId="6DC1E0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марта 1943 вышло Распоряжение ГКО № 3016. Об изготовлении в изменение постановления ГКО № 2739 от 13 января 1943 г. для ГАУ КА шоферского инструмента.РГАНИР, Фонд ГКО, д. 96, лл. 95 (11012).</w:t>
      </w:r>
    </w:p>
    <w:p w14:paraId="41CAA4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02E3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марта 1943 вышло Распоряжение ГКО № 3017. Об уменьшении плана производства мастерскими Главмашцветмета деталей к ручным гранатам, освобождении от этого мастерской Сейсмологического института АН СССР и передаче ее в распоряжение спецлаборатории Курчатова И.В.РГАНИР, Фонд ГКО, д. 96, лл. 96 (11012).</w:t>
      </w:r>
    </w:p>
    <w:p w14:paraId="07E917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2C95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марта 1943 вышло Распоряжение ГКО № 3018. Об освобождении НКПСМ СССР от поставки сантехники для жилищного строительства в Подмосковном угольном бассейне и поручении Мосгорисполкому частично выполнить этот заказ.РГАНИР, Фонд ГКО, д. 96, лл. 97 (11012).</w:t>
      </w:r>
    </w:p>
    <w:p w14:paraId="0D7377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CDAB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10 марта 1943 вышло Распоряжение ГКО № 3019. О мерах по обеспечению аккумуляторами выпуска танков Т-34 в марте 1943 г.РГАНИР, Фонд ГКО, д. 96, лл. 98-98об (11012).</w:t>
      </w:r>
    </w:p>
    <w:p w14:paraId="6A26E7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96E55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марта 1943 вышло Постановление ГКО № 3020 О работе асбестовой промышленности. (7088, 99).</w:t>
      </w:r>
    </w:p>
    <w:p w14:paraId="44E9BE0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2B26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марта 1943 года Распоряжением No. 122 по АН СССР было оформлено назначение назначение И.В. Курчатова начальником Специальной лаборатории по атомному ядру (Лаборатория No. 2 АН СССР) (10549).</w:t>
      </w:r>
    </w:p>
    <w:p w14:paraId="507392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CF807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3F8052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DEBA8F"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10 марта</w:t>
      </w:r>
      <w:r w:rsidRPr="00D03F3E">
        <w:rPr>
          <w:rFonts w:ascii="Times New Roman" w:hAnsi="Times New Roman"/>
          <w:color w:val="000000" w:themeColor="text1"/>
          <w:sz w:val="16"/>
          <w:szCs w:val="16"/>
        </w:rPr>
        <w:t xml:space="preserve"> в 1943 году утреннее сообщение Совинформбюро:</w:t>
      </w:r>
    </w:p>
    <w:p w14:paraId="53A7CABA"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10 марта наши войска вели бои на прежних направлениях.</w:t>
      </w:r>
    </w:p>
    <w:p w14:paraId="6719260C"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и юго-западнее Гжатска наши войска продолжали наступление и овладели рядом населённых пунктов, в том числе железнодорожной станцией и районным центром Туманово. Отступая под ударами наших частей, противник несёт тяжёлые потери. На подступах и на улицах одного населённого пункта немцы оставили свыше 300 трупов своих солдат и офицеров. Нашими бойцами захвачены трофеи и пленные.</w:t>
      </w:r>
    </w:p>
    <w:p w14:paraId="4AD58A74"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Советские лётчики вчера уничтожили до 10 танков и свыше 50 автомашин с пехотой и грузами противника.</w:t>
      </w:r>
    </w:p>
    <w:p w14:paraId="7D2D53C9"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Харькова наши войска вели ожесточённые бои против крупных сил танков и мотопехоты противника. Части Н-ского соединения отбили несколько атак и уничтожили 15 немецких танков и 4 самоходных орудия. На другом участке гитлеровцы бросили в наступление полк пехоты, действовавший при поддержке 30 танков. Наши артиллеристы и гвардейцы-миномётчики подбили и сожгли 14 немецких танков. В результате боя гитлеровцы потеряли до 500 солдат и офицеров и были отброшены на исходные позиции.</w:t>
      </w:r>
    </w:p>
    <w:p w14:paraId="4EF44971"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группа наших сапёр во главе с лейтенантом Шайдуровым, воентехником Прокопоном и младшим лейтенантом Исаковым ночью под обстрелом противника установила 650 мин. На минах, установленных сапёрами, подорвались 8 немецких танков и несколько автомашин с пехотой и военными грузами.</w:t>
      </w:r>
    </w:p>
    <w:p w14:paraId="0CB264F9"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Севска наши части заняли один населённый пункт. Захвачены у противника 9 пулемётов, б миномётов, склад боеприпасов и склад с продовольствием. Советские танкисты, атаковав вражескую колонну, истребили свыше100 гитлеровцев и уничтожили 20 повозок с грузами.</w:t>
      </w:r>
    </w:p>
    <w:p w14:paraId="32D84DAB"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одном из районов Белоруссии, в феврале месяце пустили под откос 6 немецких железнодорожных эшелонов с живой силой, боеприпасами и продовольствием. В результате крушений разбито 6 паровозов, 69 вагонов и платформ. Группа партизан этого же отряда из засад уничтожила 40 гитлеровцев.</w:t>
      </w:r>
    </w:p>
    <w:p w14:paraId="2F286F37"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из участков Центрального фронта взята в плен группа солдат, принадлежащих к различным соединениям германской армии. Пленный солдат 317 полка 211 немецкой дивизии Готфрид Пюллен рассказал: «Еще до начала наступления русских мы смутно догадывались, что на нашем участке назревают события. Солдаты больше всего боялись попасть в окружение и разделить судьбу 6 немецкой армии, уничтоженной под Сталинградом». Пленный солдат 338 полка 208 немецкой пехотной дивизии Курт Шмидт рассказал: «Русская артиллерия «перепахала» многие участки нашей обороны. Когда артподготовка закончилась, русские танки беспрепятственно шли прямо на нас. Большинство солдат моей роты погибло, а остальные сдались в плен. Мы слышали о поражении немецких войск под Сталинградом. Некоторые солдаты по этому поводу говорили: «Одним ударом русские свели к нулю всё то, что немецкая армия завоевала в течение года ценой колоссальных кровавых жертв».</w:t>
      </w:r>
    </w:p>
    <w:p w14:paraId="3D3F5F81"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Французские вольные стрелки уничтожают продовольствие, награбленное немцами у французских крестьян. В департаменте Уазы подожжён склад, в котором сгорело 900 центнеров овса. В Френуа огнём уничтожено 600 центнеров ржи. На кондитерской фабрике в Гренобле патриоты испортили 180 тонн мучных изделий, предназначенных для немецких войск. В районе Вьерзона французские патриоты пустили под откос поезд с военными материалами и продовольствием, следовавший в Германию. Железнодорожное движение на этом участке было приостановлено на три дня.» (15064).</w:t>
      </w:r>
    </w:p>
    <w:p w14:paraId="433FBF7D" w14:textId="77777777" w:rsidR="00C32DC9" w:rsidRPr="00D03F3E" w:rsidRDefault="00C32DC9" w:rsidP="00D03F3E">
      <w:pPr>
        <w:spacing w:after="0" w:line="240" w:lineRule="auto"/>
        <w:jc w:val="both"/>
        <w:rPr>
          <w:rFonts w:ascii="Times New Roman" w:hAnsi="Times New Roman"/>
          <w:color w:val="000000" w:themeColor="text1"/>
          <w:sz w:val="16"/>
          <w:szCs w:val="16"/>
        </w:rPr>
      </w:pPr>
    </w:p>
    <w:p w14:paraId="7FA20043"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10 марта</w:t>
      </w:r>
      <w:r w:rsidRPr="00D03F3E">
        <w:rPr>
          <w:rFonts w:ascii="Times New Roman" w:hAnsi="Times New Roman"/>
          <w:color w:val="000000" w:themeColor="text1"/>
          <w:sz w:val="16"/>
          <w:szCs w:val="16"/>
        </w:rPr>
        <w:t xml:space="preserve"> в 1943 году вечернее сообщение Совинформбюро:</w:t>
      </w:r>
    </w:p>
    <w:p w14:paraId="04F11317"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марта наши войска, продолжая развивать наступление, овладели городом Белый (Смоленская область).</w:t>
      </w:r>
    </w:p>
    <w:p w14:paraId="2F75F980"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бои на прежних направлениях.</w:t>
      </w:r>
    </w:p>
    <w:p w14:paraId="5BF17A6A"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марта частями нашей авиации на различных участках фронта уничтожено или повреждено до 20 немецких танков, более 100 автомашин с войсками и грузами, подавлен огонь 3 батарей полевой и зенитной артиллерии и взорван склад противника с боеприпасами.</w:t>
      </w:r>
    </w:p>
    <w:p w14:paraId="59F22952"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 юго-западнее Сычёвки наши войска, развивая наступление, заняли свыше 20 населённых пунктов. Наши части овладели районным центром и железнодорожной станцией Ново-Дугино. Захвачены трофеи, в том числе 10 танков, 4 орудия и склад боеприпасов. Юго-западнее Гжатска противник упорно пытался задержать наступление советских войск на одном оборонительном рубеже. В результате ожесточённых боёвнаши части прорвали линии вражеской обороны и, продвигаясь вперёд, заняли ряд населённых пунктов.</w:t>
      </w:r>
    </w:p>
    <w:p w14:paraId="3A280F72"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Оленина наши войска продолжали наступление и освободили от немцев несколько десятков населённых пунктов. Захвачены трофеи и пленные. При взятии одного из населённых пунктов наши бойцы разгромили батальон немецкой пехоты, захватили 6 танков, 8 орудии и склад боеприпасов.</w:t>
      </w:r>
    </w:p>
    <w:p w14:paraId="2DE56E65"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 западнее Харькова наши войска отбивали ожесточённые атаки крупных сил танков и пехоты противника. На одном участке вражеские танки, приблизившиеся к переднему краю нашей обороны, были обстреляны из находившихся в засаде орудий. 9 немецких танков были уничтожены, а остальные быстро скрылись. На другом участке части Н-ского соединения, отражая атаки гитлеровцев, истребили до 800 немецких солдат и офицеров, подбили и сожгли 26 танков противника.</w:t>
      </w:r>
    </w:p>
    <w:p w14:paraId="55C8D455"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озера Ильмень наши войска вели наступательные бои и овладели несколькими населёнными пунктами. Частями Н-ского соединения за два дня боёв захвачены у противника 15 орудий, 12 миномётов, 56 пулемётов, более 1.000 винтовок, 12.000 снарядов и мин, свыше 11.000 гранат, 210 тысяч патронов, 160 ящиков пороху, свыше 50 километров телефонного кабеля, 3 радиостанции и другие трофеи. Противник понёс тяжёлые потери в живой силе.</w:t>
      </w:r>
    </w:p>
    <w:p w14:paraId="1486B133"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части, сломив упорное сопротивление гитлеровцев, овладели районным центром Красноармейская и рядом других населённых пунктов. Захвачены трофеи и пленные.</w:t>
      </w:r>
    </w:p>
    <w:p w14:paraId="0E48AFB9"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Украины, в начале марта внезапно напал на немецкий гарнизон, расположенный в посёлке крупной железнодорожной станции. Уничтожив охрану, советские патриоты взорвали находившийся на станции немецкий эшелон в составе 11 вагонов и сожгли склад с горючим. Разрушен железнодорожный путь на протяжении 5 километров. Захвачены трофеи: 119 винтовок, 2 станковых пулемёта и много патронов. Партизаны освободили из тюрьмы 97 советских граждан, приговорённых гитлеровцами к расстрелу за невыполнение распоряжений германских властей. Группа партизан другого украинского отряда разгромила немецкое жандармское управление. Населению роздано 220 тонн зерна, предназначенного немцами для отправки в Германию.</w:t>
      </w:r>
    </w:p>
    <w:p w14:paraId="1589F68B"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солдат 8 роты 688 полка 337 немецкой пехотной дивизии Ян Данилевский рассказал: «Раньше офицеры говорили, что район Гжатск—Ржев—Вязьма имеет большое стратегическое значение и поэтому необходимо любой ценой отстаивать каждый населённый пункт. Теперь же, когда мы под натиском русских отступаем, в сводках командования, сообщается о планомерном передвижении и о выпрямлении линии фронта. Желая утешить приунывших солдат, один унтер-офицер сказал: «Отступление, пусть даже беспорядочное, всё же лучше, чем окружение».</w:t>
      </w:r>
    </w:p>
    <w:p w14:paraId="68C3FE06"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41F5099E"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город Белый.</w:t>
      </w:r>
    </w:p>
    <w:p w14:paraId="707EB947"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марта наши войска, продолжая развивать наступление, овладели городом Белый (Смоленская область). Взятые трофеи подсчитываются.» (15064).</w:t>
      </w:r>
    </w:p>
    <w:p w14:paraId="4896D28D" w14:textId="77777777" w:rsidR="00C32DC9" w:rsidRPr="00D03F3E" w:rsidRDefault="00C32DC9" w:rsidP="00D03F3E">
      <w:pPr>
        <w:spacing w:after="0" w:line="240" w:lineRule="auto"/>
        <w:jc w:val="both"/>
        <w:rPr>
          <w:rFonts w:ascii="Times New Roman" w:hAnsi="Times New Roman"/>
          <w:color w:val="000000" w:themeColor="text1"/>
          <w:sz w:val="16"/>
          <w:szCs w:val="16"/>
        </w:rPr>
      </w:pPr>
    </w:p>
    <w:p w14:paraId="5D184B81" w14:textId="77777777" w:rsidR="00C32DC9" w:rsidRPr="00D03F3E" w:rsidRDefault="00C32DC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10 марта</w:t>
      </w:r>
      <w:r w:rsidRPr="00D03F3E">
        <w:rPr>
          <w:rFonts w:ascii="Times New Roman" w:hAnsi="Times New Roman"/>
          <w:color w:val="000000" w:themeColor="text1"/>
          <w:sz w:val="16"/>
          <w:szCs w:val="16"/>
        </w:rPr>
        <w:t xml:space="preserve"> в 1943 году коннострелковая группа войск Центрального фронта продвинулась на запад на 100-120 км и вышла на реку Десна севернее Новгород-Северского. Войска правого крыла Воронежского фронта вышли на реку Сейм в районе Рыльска; на курско-льговском направлении войска фронта продвинулись на запад на 180-195 км, вышли на рубеж Алешня, восточнее Рыльска, восточнее Сум. Немецко-фашистские войска вышли с севера в район Дергачи (20 км северо-западнее Харькова), а с юга — к Богодухову. Авиация Балтийского флота начала бомбардировки финского порта и базы Котка (15064).</w:t>
      </w:r>
    </w:p>
    <w:p w14:paraId="08157D5E" w14:textId="77777777" w:rsidR="00C32DC9" w:rsidRPr="00D03F3E" w:rsidRDefault="00C32DC9" w:rsidP="00D03F3E">
      <w:pPr>
        <w:spacing w:after="0" w:line="240" w:lineRule="auto"/>
        <w:jc w:val="both"/>
        <w:rPr>
          <w:rFonts w:ascii="Times New Roman" w:hAnsi="Times New Roman"/>
          <w:color w:val="000000" w:themeColor="text1"/>
          <w:sz w:val="16"/>
          <w:szCs w:val="16"/>
        </w:rPr>
      </w:pPr>
    </w:p>
    <w:p w14:paraId="3B7729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марта 1943 г. 12 Ла-5 (веду</w:t>
      </w:r>
      <w:r w:rsidRPr="00D03F3E">
        <w:rPr>
          <w:rFonts w:ascii="Times New Roman" w:hAnsi="Times New Roman"/>
          <w:color w:val="000000" w:themeColor="text1"/>
          <w:sz w:val="16"/>
          <w:szCs w:val="16"/>
        </w:rPr>
        <w:softHyphen/>
        <w:t>щий — комполка подп-к В.А. Зайцев) прикрывали войска. На подхо</w:t>
      </w:r>
      <w:r w:rsidRPr="00D03F3E">
        <w:rPr>
          <w:rFonts w:ascii="Times New Roman" w:hAnsi="Times New Roman"/>
          <w:color w:val="000000" w:themeColor="text1"/>
          <w:sz w:val="16"/>
          <w:szCs w:val="16"/>
        </w:rPr>
        <w:softHyphen/>
        <w:t>де к линии фронта советские летчики обнаружили три ФВ189, шед</w:t>
      </w:r>
      <w:r w:rsidRPr="00D03F3E">
        <w:rPr>
          <w:rFonts w:ascii="Times New Roman" w:hAnsi="Times New Roman"/>
          <w:color w:val="000000" w:themeColor="text1"/>
          <w:sz w:val="16"/>
          <w:szCs w:val="16"/>
        </w:rPr>
        <w:softHyphen/>
        <w:t>шие строем без прикрытия, очевидно, на штурмовку наших позиций (в этом качестве «рамы» применялись довольно активно). «Лавочкины» внезапной атакой заставили противника сломать строй, затем три пары Ла-5 отошли в сторону, прикрывая одновре</w:t>
      </w:r>
      <w:r w:rsidRPr="00D03F3E">
        <w:rPr>
          <w:rFonts w:ascii="Times New Roman" w:hAnsi="Times New Roman"/>
          <w:color w:val="000000" w:themeColor="text1"/>
          <w:sz w:val="16"/>
          <w:szCs w:val="16"/>
        </w:rPr>
        <w:softHyphen/>
        <w:t>менную атаку остальных. И вот все ФВ189 оказались на земле. Но ведущий уже получил сообщение: истребители неизвестного типа атакуют Ил-2! Группа 5-го ГИАП быстро прибыла к указанному мес</w:t>
      </w:r>
      <w:r w:rsidRPr="00D03F3E">
        <w:rPr>
          <w:rFonts w:ascii="Times New Roman" w:hAnsi="Times New Roman"/>
          <w:color w:val="000000" w:themeColor="text1"/>
          <w:sz w:val="16"/>
          <w:szCs w:val="16"/>
        </w:rPr>
        <w:softHyphen/>
        <w:t>ту и встретила ФВ190, которые ретировались ввиду малочислен</w:t>
      </w:r>
      <w:r w:rsidRPr="00D03F3E">
        <w:rPr>
          <w:rFonts w:ascii="Times New Roman" w:hAnsi="Times New Roman"/>
          <w:color w:val="000000" w:themeColor="text1"/>
          <w:sz w:val="16"/>
          <w:szCs w:val="16"/>
        </w:rPr>
        <w:softHyphen/>
        <w:t>ности. Дальше настала очередь большой группы ии 87. Наверное, их и должны были прикрывать те самые «фоккеры», да погнались за легкой добычей. Ла-5 сбили еще 7 бомбардировщиков и без по</w:t>
      </w:r>
      <w:r w:rsidRPr="00D03F3E">
        <w:rPr>
          <w:rFonts w:ascii="Times New Roman" w:hAnsi="Times New Roman"/>
          <w:color w:val="000000" w:themeColor="text1"/>
          <w:sz w:val="16"/>
          <w:szCs w:val="16"/>
        </w:rPr>
        <w:softHyphen/>
        <w:t>терь вернулись домой (11123).</w:t>
      </w:r>
    </w:p>
    <w:p w14:paraId="656E06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F67A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С 10 марта по 1 апреля 1943 проходила Курская операция 1 АТА ГВФ под командованием М.П.Казьмина. Снабжала подкреплением и боеприпасами войска, занявшие Курск, летая из Ельца (а Телегино) с боеприпасами и на обратном пути вывозя раненых. Днем летали по 3-4 раза в день без прикрытия истребителей (438,866).</w:t>
      </w:r>
    </w:p>
    <w:p w14:paraId="32C61E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97541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марта 1943 немецкий фельдмаршал Э. фон Роммель прибыл в бункер под Винницей в попытке уговорить Гитлера эвакуировать немецкие войска из Северной Африки (4962).</w:t>
      </w:r>
    </w:p>
    <w:p w14:paraId="4981DF1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58E64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6B85FE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7288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10 и 16 марта 1943. Из протокола заседания Политбюро N 39, 1943 г.</w:t>
      </w:r>
    </w:p>
    <w:p w14:paraId="5AF370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Вопрос Юсупова и Кобулова </w:t>
      </w:r>
    </w:p>
    <w:p w14:paraId="482CFC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Принять следующее предложение тт. Юсупова и Кобулова: для решительного пресечения хищений и разбазаривания социалистической собственности в Узбекистане и усиления репрессий против расхитителей создать республиканскую тройку в составе секретаря ЦК КП(б) Узбекистана т. Юсупова, наркома внутренних дел Узбекской ССР т. Кобулова и прокурора Узбекской ССР т. Беляева, предоставив тройке право рассмотреть во внесудебном порядке дела о хищениях и разбазаривании социалистической собственности и приговорить к расстрелу 50 человек расхитителей с конфискацией лично принадлежащего им имущества с последующим объявлением приговоров тройки в печати от имени Прокуратуры (11652).</w:t>
      </w:r>
    </w:p>
    <w:p w14:paraId="00D74B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7AEBB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2CB1B6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C0B9AA"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10 марта</w:t>
      </w:r>
      <w:r w:rsidRPr="00D03F3E">
        <w:rPr>
          <w:rFonts w:ascii="Times New Roman" w:hAnsi="Times New Roman"/>
          <w:color w:val="000000" w:themeColor="text1"/>
          <w:sz w:val="16"/>
          <w:szCs w:val="16"/>
        </w:rPr>
        <w:t xml:space="preserve"> в 1943 году состоялся первый полет прототипа («MM.530») самолета </w:t>
      </w:r>
      <w:hyperlink r:id="rId86" w:tgtFrame="_blank" w:history="1">
        <w:r w:rsidRPr="00D03F3E">
          <w:rPr>
            <w:rFonts w:ascii="Times New Roman" w:hAnsi="Times New Roman"/>
            <w:color w:val="000000" w:themeColor="text1"/>
            <w:sz w:val="16"/>
            <w:szCs w:val="16"/>
          </w:rPr>
          <w:t xml:space="preserve">«Savoia-Marchetti» «SM.91», </w:t>
        </w:r>
      </w:hyperlink>
      <w:r w:rsidRPr="00D03F3E">
        <w:rPr>
          <w:rFonts w:ascii="Times New Roman" w:hAnsi="Times New Roman"/>
          <w:color w:val="000000" w:themeColor="text1"/>
          <w:sz w:val="16"/>
          <w:szCs w:val="16"/>
        </w:rPr>
        <w:t>пилотируемого Альдо Моджи (15064).</w:t>
      </w:r>
    </w:p>
    <w:p w14:paraId="549F7AE2" w14:textId="77777777" w:rsidR="009A1FC3" w:rsidRPr="00D03F3E" w:rsidRDefault="009A1FC3" w:rsidP="00D03F3E">
      <w:pPr>
        <w:spacing w:after="0" w:line="240" w:lineRule="auto"/>
        <w:jc w:val="both"/>
        <w:rPr>
          <w:rFonts w:ascii="Times New Roman" w:hAnsi="Times New Roman"/>
          <w:color w:val="000000" w:themeColor="text1"/>
          <w:sz w:val="16"/>
          <w:szCs w:val="16"/>
        </w:rPr>
      </w:pPr>
    </w:p>
    <w:p w14:paraId="5CDBF1DF" w14:textId="77777777" w:rsidR="00822798" w:rsidRPr="00D03F3E" w:rsidRDefault="0082279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10 марта 1943 - Состоялся первый полет прототипа (MM.530) многоцелевого истребителя Savoia-Marchetti SM.91 пилотируемого Альдо Моджи (22572). </w:t>
      </w:r>
    </w:p>
    <w:p w14:paraId="7CDAE867" w14:textId="77777777" w:rsidR="00822798" w:rsidRPr="00D03F3E" w:rsidRDefault="00822798" w:rsidP="00D03F3E">
      <w:pPr>
        <w:spacing w:after="0" w:line="240" w:lineRule="auto"/>
        <w:jc w:val="both"/>
        <w:rPr>
          <w:rFonts w:ascii="Times New Roman" w:hAnsi="Times New Roman"/>
          <w:color w:val="0070C0"/>
          <w:sz w:val="16"/>
          <w:szCs w:val="16"/>
        </w:rPr>
      </w:pPr>
    </w:p>
    <w:p w14:paraId="036387D4" w14:textId="77777777" w:rsidR="00822798" w:rsidRPr="00D03F3E" w:rsidRDefault="0082279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10 марта 1943 Военно-воздушные силы армии США активируют 14-й военно-воздушный флот в Китае (20376).</w:t>
      </w:r>
    </w:p>
    <w:p w14:paraId="1C5E884A" w14:textId="77777777" w:rsidR="00822798" w:rsidRPr="00D03F3E" w:rsidRDefault="00822798" w:rsidP="00D03F3E">
      <w:pPr>
        <w:spacing w:after="0" w:line="240" w:lineRule="auto"/>
        <w:jc w:val="both"/>
        <w:rPr>
          <w:rFonts w:ascii="Times New Roman" w:hAnsi="Times New Roman"/>
          <w:color w:val="0070C0"/>
          <w:sz w:val="16"/>
          <w:szCs w:val="16"/>
        </w:rPr>
      </w:pPr>
    </w:p>
    <w:p w14:paraId="719F422A" w14:textId="77777777" w:rsidR="00822798" w:rsidRPr="00D03F3E" w:rsidRDefault="0082279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10 марта 1943 первая боевая миссия армии США ВВС на P-47 Thunderbolt. Они не встречают вражеских самолетов (20376).</w:t>
      </w:r>
    </w:p>
    <w:p w14:paraId="05BA49CF" w14:textId="77777777" w:rsidR="00822798" w:rsidRPr="00D03F3E" w:rsidRDefault="00822798" w:rsidP="00D03F3E">
      <w:pPr>
        <w:spacing w:after="0" w:line="240" w:lineRule="auto"/>
        <w:jc w:val="both"/>
        <w:rPr>
          <w:rFonts w:ascii="Times New Roman" w:hAnsi="Times New Roman"/>
          <w:color w:val="0070C0"/>
          <w:sz w:val="16"/>
          <w:szCs w:val="16"/>
        </w:rPr>
      </w:pPr>
    </w:p>
    <w:p w14:paraId="053A1E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марта 1943 А.Гитлер отозвал Роммеля из Туниса (2100).</w:t>
      </w:r>
    </w:p>
    <w:p w14:paraId="21C110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90197C"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10 марта</w:t>
      </w:r>
      <w:r w:rsidRPr="00D03F3E">
        <w:rPr>
          <w:rFonts w:ascii="Times New Roman" w:hAnsi="Times New Roman"/>
          <w:color w:val="000000" w:themeColor="text1"/>
          <w:sz w:val="16"/>
          <w:szCs w:val="16"/>
        </w:rPr>
        <w:t xml:space="preserve"> в 1943 году немецкий фельдмаршал Эрвин фон Роммель прибыл в бункер под Винницей в попытке уговорить Гитлера эвакуировать немецкие войска из Северной Африки (15064).</w:t>
      </w:r>
    </w:p>
    <w:p w14:paraId="612E6E14" w14:textId="77777777" w:rsidR="009A1FC3" w:rsidRPr="00D03F3E" w:rsidRDefault="009A1FC3" w:rsidP="00D03F3E">
      <w:pPr>
        <w:spacing w:after="0" w:line="240" w:lineRule="auto"/>
        <w:jc w:val="both"/>
        <w:rPr>
          <w:rFonts w:ascii="Times New Roman" w:hAnsi="Times New Roman"/>
          <w:color w:val="000000" w:themeColor="text1"/>
          <w:sz w:val="16"/>
          <w:szCs w:val="16"/>
        </w:rPr>
      </w:pPr>
    </w:p>
    <w:p w14:paraId="4D41F2C5"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10 марта</w:t>
      </w:r>
      <w:r w:rsidRPr="00D03F3E">
        <w:rPr>
          <w:rFonts w:ascii="Times New Roman" w:hAnsi="Times New Roman"/>
          <w:color w:val="000000" w:themeColor="text1"/>
          <w:sz w:val="16"/>
          <w:szCs w:val="16"/>
        </w:rPr>
        <w:t xml:space="preserve"> в 1943 году Палата представителей и Сенат Конгресса США одобрили продление срока действия закона о передаче взаймы или в аренду вооружения (15064).</w:t>
      </w:r>
    </w:p>
    <w:p w14:paraId="760B52EB" w14:textId="77777777" w:rsidR="009A1FC3" w:rsidRPr="00D03F3E" w:rsidRDefault="009A1FC3" w:rsidP="00D03F3E">
      <w:pPr>
        <w:spacing w:after="0" w:line="240" w:lineRule="auto"/>
        <w:jc w:val="both"/>
        <w:rPr>
          <w:rFonts w:ascii="Times New Roman" w:hAnsi="Times New Roman"/>
          <w:color w:val="000000" w:themeColor="text1"/>
          <w:sz w:val="16"/>
          <w:szCs w:val="16"/>
        </w:rPr>
      </w:pPr>
    </w:p>
    <w:p w14:paraId="2B78FC0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5B697F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5594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марта 1943 (четверг) согласно письма N 74с Ермолаева на Ер-2 2м-30Б был произведен полет на определение наивыгоднейших расходов горючего на 4000 м на разных скоростях полета и оборотах мотора.</w:t>
      </w:r>
    </w:p>
    <w:p w14:paraId="632556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Задание выполнено. Продолжительность - 4:30. Матчасть в порядке (1775,23).</w:t>
      </w:r>
    </w:p>
    <w:p w14:paraId="2A6ECB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88BE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марта 1943 была открыта выставка, на которую поступил И-16 М-63 N 28213-95 N 632707(1) Б.Сафонова. Эта машина сейчас находится в ЦВММ в Ленинграде. Сборка из неработающих агрегатов была выполнена в мастерской ВВС СФ 10 марта 1943 (1840,20).</w:t>
      </w:r>
    </w:p>
    <w:p w14:paraId="53F7C0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B2BF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марта 1943 был четвертый полет Би-1 на лыжах и летал Г.Я.Бахчиванджи (172,188).</w:t>
      </w:r>
    </w:p>
    <w:p w14:paraId="7E6CC0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34D8DF" w14:textId="77777777" w:rsidR="00017546" w:rsidRPr="00D03F3E" w:rsidRDefault="00017546" w:rsidP="00D03F3E">
      <w:pPr>
        <w:pStyle w:val="ae"/>
        <w:shd w:val="clear" w:color="auto" w:fill="FFFFFF"/>
        <w:spacing w:before="0" w:after="0"/>
        <w:jc w:val="both"/>
        <w:rPr>
          <w:color w:val="000000" w:themeColor="text1"/>
          <w:sz w:val="16"/>
          <w:szCs w:val="16"/>
        </w:rPr>
      </w:pPr>
      <w:r w:rsidRPr="00D03F3E">
        <w:rPr>
          <w:color w:val="000000" w:themeColor="text1"/>
          <w:sz w:val="16"/>
          <w:szCs w:val="16"/>
        </w:rPr>
        <w:t>11 марта 1943 г. в четвертом полете при скороподъемнос ти 82 м/с Бахчиванджи набрал высоту 400 м. Общая продол жительность полета составила 6 мин. Двигатель проработал 80 с. Успешно прошел и пятый полет 14 марта 1943 г. После этого полета самолет БИ N° 2 был снят с испытаний, так у него потекли кислотные баки.</w:t>
      </w:r>
    </w:p>
    <w:p w14:paraId="5F709B95" w14:textId="77777777" w:rsidR="00017546" w:rsidRPr="00D03F3E" w:rsidRDefault="00017546" w:rsidP="00D03F3E">
      <w:pPr>
        <w:pStyle w:val="ae"/>
        <w:shd w:val="clear" w:color="auto" w:fill="FFFFFF"/>
        <w:spacing w:before="0" w:after="0"/>
        <w:jc w:val="both"/>
        <w:rPr>
          <w:color w:val="000000" w:themeColor="text1"/>
          <w:sz w:val="16"/>
          <w:szCs w:val="16"/>
        </w:rPr>
      </w:pPr>
      <w:r w:rsidRPr="00D03F3E">
        <w:rPr>
          <w:color w:val="000000" w:themeColor="text1"/>
          <w:sz w:val="16"/>
          <w:szCs w:val="16"/>
        </w:rPr>
        <w:t>К этому времени был построен и подготовлен к летным испытаниям самолет БИ № 3, который ничем не отличался от самолета БИ № 2. На этом самолете Бахчиванд жи совершил первый полет, который стал шестым по счету полетом на самолете БИ. Взлетная масса самолета БИ № 3 была полной, тяга ЖРД — наибольшей. Этот полет Бахчиванджи выполнил без замечаний. Ему оставалось произвести про верку поведения самолета на более высоких скоростях. На следующий, седьмой, полет было дано задание на достижение наи большей скорости: 750...800 км/ч. При осуществлении задания) на 78-й секунде полета на высоте 200 м самолет вдруг опустил нос и вошел в пикирование под углом 45...50 градусов..</w:t>
      </w:r>
    </w:p>
    <w:p w14:paraId="7E0D8249" w14:textId="77777777" w:rsidR="00017546" w:rsidRPr="00D03F3E" w:rsidRDefault="00017546" w:rsidP="00D03F3E">
      <w:pPr>
        <w:pStyle w:val="ae"/>
        <w:shd w:val="clear" w:color="auto" w:fill="FFFFFF"/>
        <w:spacing w:before="0" w:after="0"/>
        <w:jc w:val="both"/>
        <w:rPr>
          <w:color w:val="000000" w:themeColor="text1"/>
          <w:sz w:val="16"/>
          <w:szCs w:val="16"/>
        </w:rPr>
      </w:pPr>
      <w:r w:rsidRPr="00D03F3E">
        <w:rPr>
          <w:color w:val="000000" w:themeColor="text1"/>
          <w:sz w:val="16"/>
          <w:szCs w:val="16"/>
        </w:rPr>
        <w:t>Самолет врезался в землю, и Бахчиванджи погиб. Эта трагедия произошла 27 марта 1943 г. Григорий Яковлевич Бахчиванджи был удостоен звания»;</w:t>
      </w:r>
    </w:p>
    <w:p w14:paraId="674C1E95" w14:textId="77777777" w:rsidR="00017546" w:rsidRPr="00D03F3E" w:rsidRDefault="00017546" w:rsidP="00D03F3E">
      <w:pPr>
        <w:pStyle w:val="ae"/>
        <w:shd w:val="clear" w:color="auto" w:fill="FFFFFF"/>
        <w:spacing w:before="0" w:after="0"/>
        <w:jc w:val="both"/>
        <w:rPr>
          <w:color w:val="000000" w:themeColor="text1"/>
          <w:sz w:val="16"/>
          <w:szCs w:val="16"/>
        </w:rPr>
      </w:pPr>
      <w:r w:rsidRPr="00D03F3E">
        <w:rPr>
          <w:color w:val="000000" w:themeColor="text1"/>
          <w:sz w:val="16"/>
          <w:szCs w:val="16"/>
        </w:rPr>
        <w:t>Героя Советского Союза только в 1973 г. — спустя 30 лет (19586).</w:t>
      </w:r>
    </w:p>
    <w:p w14:paraId="6E3E21E7" w14:textId="77777777" w:rsidR="00017546" w:rsidRPr="00D03F3E" w:rsidRDefault="00017546" w:rsidP="00D03F3E">
      <w:pPr>
        <w:pStyle w:val="ae"/>
        <w:shd w:val="clear" w:color="auto" w:fill="FFFFFF"/>
        <w:spacing w:before="0" w:after="0"/>
        <w:jc w:val="both"/>
        <w:rPr>
          <w:color w:val="000000" w:themeColor="text1"/>
          <w:sz w:val="16"/>
          <w:szCs w:val="16"/>
        </w:rPr>
      </w:pPr>
    </w:p>
    <w:p w14:paraId="60A78AB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68142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D7A528" w14:textId="77777777" w:rsidR="00575488" w:rsidRPr="00D03F3E" w:rsidRDefault="00575488" w:rsidP="00D03F3E">
      <w:pPr>
        <w:pStyle w:val="ae"/>
        <w:shd w:val="clear" w:color="auto" w:fill="FFFFFF"/>
        <w:spacing w:before="0" w:after="0"/>
        <w:jc w:val="both"/>
        <w:rPr>
          <w:color w:val="000000" w:themeColor="text1"/>
          <w:sz w:val="16"/>
          <w:szCs w:val="16"/>
        </w:rPr>
      </w:pPr>
      <w:r w:rsidRPr="00D03F3E">
        <w:rPr>
          <w:color w:val="000000" w:themeColor="text1"/>
          <w:sz w:val="16"/>
          <w:szCs w:val="16"/>
        </w:rPr>
        <w:t>11 марта 1943 года Вершинин в письме предложения по Крусайдерам, назвав Crusader III современной машиной, но со слабой бронёй. Ещё одним недостатком был назван бензиновый двигатель Liberty. «Крестовый поход» в Красную армию окончился, так толком и не начавшись (17709).</w:t>
      </w:r>
    </w:p>
    <w:p w14:paraId="26E7DECD" w14:textId="77777777" w:rsidR="00575488" w:rsidRPr="00D03F3E" w:rsidRDefault="00575488" w:rsidP="00D03F3E">
      <w:pPr>
        <w:spacing w:after="0" w:line="240" w:lineRule="auto"/>
        <w:jc w:val="both"/>
        <w:rPr>
          <w:rFonts w:ascii="Times New Roman" w:hAnsi="Times New Roman"/>
          <w:color w:val="000000" w:themeColor="text1"/>
          <w:sz w:val="16"/>
          <w:szCs w:val="16"/>
        </w:rPr>
      </w:pPr>
    </w:p>
    <w:p w14:paraId="285B2E46" w14:textId="77777777" w:rsidR="00575488" w:rsidRPr="00D03F3E" w:rsidRDefault="00575488" w:rsidP="00D03F3E">
      <w:pPr>
        <w:pStyle w:val="ae"/>
        <w:shd w:val="clear" w:color="auto" w:fill="FFFFFF"/>
        <w:spacing w:before="0" w:after="0"/>
        <w:jc w:val="both"/>
        <w:rPr>
          <w:color w:val="000000" w:themeColor="text1"/>
          <w:sz w:val="16"/>
          <w:szCs w:val="16"/>
        </w:rPr>
      </w:pPr>
      <w:r w:rsidRPr="00D03F3E">
        <w:rPr>
          <w:color w:val="000000" w:themeColor="text1"/>
          <w:sz w:val="16"/>
          <w:szCs w:val="16"/>
        </w:rPr>
        <w:t xml:space="preserve">К 11 марта 1943 года директор завода №38 К.К. Яковлев, главный инженер Л.Л Терентьев и главный конструктор М.Н. Щукин подготовили письмо, в котором изложили свой взгляд на причины поломок КП на СУ-12. По их мнению, проблема была не столько в качестве КПП, сколько в компоновочной схеме. В письме предлагались определённые решения, способные улучшить ситуацию, но для полноценного решения проблемы требовалась радикальная мера — установка на САУ двигателя и коробки передач от </w:t>
      </w:r>
      <w:hyperlink r:id="rId87" w:history="1">
        <w:r w:rsidRPr="00D03F3E">
          <w:rPr>
            <w:rStyle w:val="a5"/>
            <w:color w:val="000000" w:themeColor="text1"/>
            <w:sz w:val="16"/>
            <w:szCs w:val="16"/>
            <w:u w:val="none"/>
          </w:rPr>
          <w:t>Т-70</w:t>
        </w:r>
      </w:hyperlink>
      <w:r w:rsidRPr="00D03F3E">
        <w:rPr>
          <w:color w:val="000000" w:themeColor="text1"/>
          <w:sz w:val="16"/>
          <w:szCs w:val="16"/>
        </w:rPr>
        <w:t>.</w:t>
      </w:r>
    </w:p>
    <w:p w14:paraId="4D0AF810" w14:textId="77777777" w:rsidR="00575488" w:rsidRPr="00D03F3E" w:rsidRDefault="00575488" w:rsidP="00D03F3E">
      <w:pPr>
        <w:pStyle w:val="ae"/>
        <w:shd w:val="clear" w:color="auto" w:fill="FFFFFF"/>
        <w:spacing w:before="0" w:after="0"/>
        <w:jc w:val="both"/>
        <w:rPr>
          <w:color w:val="000000" w:themeColor="text1"/>
          <w:sz w:val="16"/>
          <w:szCs w:val="16"/>
        </w:rPr>
      </w:pPr>
      <w:r w:rsidRPr="00D03F3E">
        <w:rPr>
          <w:color w:val="000000" w:themeColor="text1"/>
          <w:sz w:val="16"/>
          <w:szCs w:val="16"/>
        </w:rPr>
        <w:t xml:space="preserve">Это предложение поддержали военный представитель на заводе и Главное артиллерийское управление (ГАУ). 14 апреля 1943 года вышло постановление Государственного комитета обороны (ГКО) №3184сс «О самоходных установках СУ-76». Согласно ему, к 1 мая 1943 года завод №38 был обязан подготовить две 4-орудийные батареи СУ-76. Первая батарея строилась на шасси Т-70Б, вторая — на шасси СУ-12, но с моторно-трансмиссионной группой </w:t>
      </w:r>
      <w:hyperlink r:id="rId88" w:history="1">
        <w:r w:rsidRPr="00D03F3E">
          <w:rPr>
            <w:rStyle w:val="a5"/>
            <w:color w:val="000000" w:themeColor="text1"/>
            <w:sz w:val="16"/>
            <w:szCs w:val="16"/>
            <w:u w:val="none"/>
          </w:rPr>
          <w:t>Т-70Б</w:t>
        </w:r>
      </w:hyperlink>
      <w:r w:rsidRPr="00D03F3E">
        <w:rPr>
          <w:color w:val="000000" w:themeColor="text1"/>
          <w:sz w:val="16"/>
          <w:szCs w:val="16"/>
        </w:rPr>
        <w:t>.</w:t>
      </w:r>
    </w:p>
    <w:p w14:paraId="38DB6657" w14:textId="77777777" w:rsidR="00575488" w:rsidRPr="00D03F3E" w:rsidRDefault="00575488" w:rsidP="00D03F3E">
      <w:pPr>
        <w:pStyle w:val="12a"/>
        <w:shd w:val="clear" w:color="auto" w:fill="auto"/>
        <w:spacing w:after="0" w:line="240" w:lineRule="auto"/>
        <w:jc w:val="both"/>
        <w:rPr>
          <w:color w:val="000000" w:themeColor="text1"/>
          <w:sz w:val="16"/>
          <w:szCs w:val="16"/>
        </w:rPr>
      </w:pPr>
    </w:p>
    <w:p w14:paraId="53F1D9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марта 1943 г. было СООБЩЕНИЕ НАЧАЛЬНИКА ГБТУ КА НАЧАЛЬНИКУ ГАУ КА ГЕНЕРАЛ-ПОЛКОВНИКУ ЯКОВЛЕВУ ПО ОБЪЕМУ РЕМОНТНЫХ КОМПЛЕКТОВ САМОХОДНЫХ УСТАНОВОК № 1149444</w:t>
      </w:r>
    </w:p>
    <w:p w14:paraId="0044BC9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Наркомтанкпром письмом за №889с от 5.03.1943 г. дал указание директору Уралмашзавода отгрузку ротных и ремонтных комплектов СУ-35 временно (впредь до утверждения соответствую</w:t>
      </w:r>
      <w:r w:rsidRPr="00D03F3E">
        <w:rPr>
          <w:rFonts w:ascii="Times New Roman" w:hAnsi="Times New Roman"/>
          <w:color w:val="000000" w:themeColor="text1"/>
          <w:sz w:val="16"/>
          <w:szCs w:val="16"/>
        </w:rPr>
        <w:softHyphen/>
        <w:t>щих данному типу машин норм) производить по нормам, установленным для танка Т-34.</w:t>
      </w:r>
    </w:p>
    <w:p w14:paraId="6802D19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Порядок отправки полковых комплектов установлен приказом НКТП, НКСМ и командующего БТ и МВ Красной Армии за №18/М9/2 от 6.01.1943 г.</w:t>
      </w:r>
    </w:p>
    <w:p w14:paraId="4F2FF35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Поэтому необходимо дать указания военпредам ГАУ Красной Армии на Кировском и Уралмашзаводе о приеме артиллерийских самоходных установок, укомплектованных полковыми комплектами в соответствии с выпуском самоходных установок.</w:t>
      </w:r>
    </w:p>
    <w:p w14:paraId="7D9806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ГБТУ КА генерал-лейтенант танковых войск Вершинин</w:t>
      </w:r>
    </w:p>
    <w:p w14:paraId="4C444CF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танкового управления ГБТУ КА инженер-полковник Алымов</w:t>
      </w:r>
    </w:p>
    <w:p w14:paraId="734AB7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11369. Д. 11. Л. 109. Подлинник (11403).</w:t>
      </w:r>
    </w:p>
    <w:p w14:paraId="145FC3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E0C7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марта 1943 года вышел приказ № 84 НКВ</w:t>
      </w:r>
    </w:p>
    <w:p w14:paraId="224466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распоряжением СНК от 4 марта 1943 года за № 4662-р:</w:t>
      </w:r>
    </w:p>
    <w:p w14:paraId="3527AAB3"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Перевести из Нытвы в Москву ОКБ № 16 НКВ.</w:t>
      </w:r>
    </w:p>
    <w:p w14:paraId="4DCC56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ОКБ-16 – Глухарев (9280).</w:t>
      </w:r>
    </w:p>
    <w:p w14:paraId="332596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FBE4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марта 1943 вышло Распоряжение ГКО № 3021. О производстве алюминиевой пудры из импортного алюминия.РГАНИР, Фонд ГКО, д. 96, лл. 100 (11012).</w:t>
      </w:r>
    </w:p>
    <w:p w14:paraId="3179A4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A667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11 марта 1943 вышло Распоряжение ГКО № 3022. О командировании Цыпко А.Я., Палехина М.П., Гуревича В.Л., Мосеева И.И., Борисова В.М., Богачева Н.И., Протасова А.М. соответственно в Свердловскую, Челябинскую, Молотовскую, Горьковскую, Казанскую, Куйбышевскую и Московскую энергосистемыРГАНИР, Фонд ГКО, д. 96, лл. 101 (11012).</w:t>
      </w:r>
    </w:p>
    <w:p w14:paraId="64E735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05CA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марта 1943 вышло Постановление ГКО № 3023 О мероприятиях по строительству трубопровода Махачкала-Астрахань-Урбах-Саратов.РГАНИР, Фонд ГКО, д. 96, лл. 102-110, 111-114 (11012).</w:t>
      </w:r>
    </w:p>
    <w:p w14:paraId="1A2499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1FDD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марта 1943 вышло Распоряжение ГКО № 3024. Об отгрузке с Кузнецкого и Магнитогорского металлургических комбинатов спецметалла и трубной заготовки для Кировского завода НКТП и изготовлении реактивных снарядов.РГАНИР, Фонд ГКО, д. 96, лл. 115 (11012).</w:t>
      </w:r>
    </w:p>
    <w:p w14:paraId="267B49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C030E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022119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EDB880"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11 марта</w:t>
      </w:r>
      <w:r w:rsidRPr="00D03F3E">
        <w:rPr>
          <w:rFonts w:ascii="Times New Roman" w:hAnsi="Times New Roman"/>
          <w:color w:val="000000" w:themeColor="text1"/>
          <w:sz w:val="16"/>
          <w:szCs w:val="16"/>
        </w:rPr>
        <w:t xml:space="preserve"> в 1943 году утреннее сообщение Совинформбюро:</w:t>
      </w:r>
    </w:p>
    <w:p w14:paraId="1CCBE0F1"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11 марта наши войска вели бои на прежних направлениях.</w:t>
      </w:r>
    </w:p>
    <w:p w14:paraId="5481513F"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Гжатска наши войска продолжали наступление. В районе одного населённого пункта немцы перешли в контратаку. Бойцы Н-ской части контрударом опрокинули гитлеровцев и на плечах отступающего противника ворвались внаселённый пункт и овладели им. Захвачены 8 орудий, 12 пулемётов и склад с боеприпасами. Западнее и юго-западнее Тёмкино в результате ночных боёв занято несколько населённых пунктов; в том числе железнодорожная станция Исаково.</w:t>
      </w:r>
    </w:p>
    <w:p w14:paraId="0016B39C"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Харькова наши войска вели ожесточённые бои с численно превосходящими силами противника. В крупном населённом пункте наши бойцы окружили батальон немецких автоматчиков и большую группу танков. Сжимая кольцо окружения, наши подразделения уничтожили 15 танков и истребили до 400 гитлеровцев.</w:t>
      </w:r>
    </w:p>
    <w:p w14:paraId="01F5135C"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 одном участке немцы атаковали наши позиции, но были отброшены огнём из всех видов оружия. на поле боя осталось более 100 вражеских трупов. Ружейно-пулемётным огнём сбито 2 немецких самолёта.</w:t>
      </w:r>
    </w:p>
    <w:p w14:paraId="31F45FEE"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Льгова наши войска в бою за одну железнодорожную станцию уничтожили свыше 300 немецких солдат и офицеров. Захвачено у противника 2 танка, 6 орудий, 19 пулемётов и 14 автомашин с разными грузами. На другом участке наши разведчики проникли в тыл противника и подожгли железнодорожный состав с горючим. Сгорело 8 цистерн и несколько вагонов.</w:t>
      </w:r>
    </w:p>
    <w:p w14:paraId="0710F4BE"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Калининской области, в начале марта месяца совершил налёт на гарнизон немецко-фашистских захватчиков и истребил 30 гитлеровцев. Партизаны захватили трофеи, а также вернули жителям лошадей и коров, отобранных немцами у населения. Партизаны другого отряда взорвали железнодорожный мост. Движение поездов на этом, участке железной дороги прекращено.</w:t>
      </w:r>
    </w:p>
    <w:p w14:paraId="3089BEAB"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месяце в гор. Унеча, Орловской области, прибыло под конвоем немцев два эшелона итальянских солдат, отказавшихся воевать в России. Немцы всячески издевались над своими «союзниками» и избивали их. На другой день гитлеровцы отобрали группу итальянских солдат и повесили их на городской площади.</w:t>
      </w:r>
    </w:p>
    <w:p w14:paraId="2F646EF4"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угнали тысячи советских людей из оккупированных ими районов на каторгу в Германию. Гитлеровцы загнали многих русских, украинцев, белорусов в концентрационные лагери, а других отдали в рабство кулакам и помещикам. Вот что пишет своей матери Наумцовой в городе Ровеньки, Ворошиловградскойобласти, её дочь, попавшая в немецкое рабство: «Дорогая мамочка, живу я у хозяина. Семья маленькая, их двое и один ребёнок, но работы мне по горло. Встаю в 5 часов утра и ложусь только в 10 часов ночи. За всё время один раз пустили меня в воскресенье в лагерь к нашим. Я вернулась и опоздала на полчаса. Мама, как меня хозяин бил по лицу, рвал за волосы, так я всю жизнь не забуду. Что мне делать? Домой не отпускают, а больше терпеть нет сил. Каждый день плачу, и, наверное, один выход — покончить свою жизнь. Мама, родная, хочешь видеть меня живой, выручи меня отсюда из неволи. Я тебя отблагодарю, если только буду жива».</w:t>
      </w:r>
    </w:p>
    <w:p w14:paraId="3B014F66"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Фашистские рабовладельцы хотят жить потом и кровью людей, которых им удалось насильно угнать на каторжные работы в Германию. Но советских людей им не удастся сделать рабами. Фашистские мерзавцы своей кровью ответят за все страдания мирных советских граждан.</w:t>
      </w:r>
    </w:p>
    <w:p w14:paraId="3C4FBDD8"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свирепый террор гитлеровцев, борьба голландских патриотов против немецких оккупантов не прекращается ни на один день. В Роттердаме группа вооружённых голландцев совершила нападение на немецкий пост противовоздушной обороны, истребила 9 гитлеровцев и вывела из строя зенитное орудие. Днём выстрелом из револьвера на улице убит немецкий морской офицер. В Гааге патриоты бросили бомбу в штаб немецкой части.» (15065).</w:t>
      </w:r>
    </w:p>
    <w:p w14:paraId="5A32CD60" w14:textId="77777777" w:rsidR="009A1FC3" w:rsidRPr="00D03F3E" w:rsidRDefault="009A1FC3" w:rsidP="00D03F3E">
      <w:pPr>
        <w:spacing w:after="0" w:line="240" w:lineRule="auto"/>
        <w:jc w:val="both"/>
        <w:rPr>
          <w:rFonts w:ascii="Times New Roman" w:hAnsi="Times New Roman"/>
          <w:color w:val="000000" w:themeColor="text1"/>
          <w:sz w:val="16"/>
          <w:szCs w:val="16"/>
        </w:rPr>
      </w:pPr>
    </w:p>
    <w:p w14:paraId="69FDC7C5"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11 марта</w:t>
      </w:r>
      <w:r w:rsidRPr="00D03F3E">
        <w:rPr>
          <w:rFonts w:ascii="Times New Roman" w:hAnsi="Times New Roman"/>
          <w:color w:val="000000" w:themeColor="text1"/>
          <w:sz w:val="16"/>
          <w:szCs w:val="16"/>
        </w:rPr>
        <w:t xml:space="preserve"> в 1943 году вечернее сообщение Совинформбюро:</w:t>
      </w:r>
    </w:p>
    <w:p w14:paraId="47E5BFFC"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11 марта наши войска вели бои на прежних направлениях.</w:t>
      </w:r>
    </w:p>
    <w:p w14:paraId="54030435"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марта частями нашей авиации на различных участках фронта уничтожено или повреждено не менее 10 немецких танков и бронемашин, до 150 автомашин с войскамии грузами, подавлен огонь 8 артиллерийских батарей и взорвано 2 склада противника с боеприпасами.</w:t>
      </w:r>
    </w:p>
    <w:p w14:paraId="12C5410B"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Сычёвки наши войска, преодолевая упорное сопротивление противника, заняли несколько десятков населённых пунктов, в том числе районный центр Андреевское. Нашими войсками уничтожено 14 орудий, 20 миномётов, свыше 100 пулемётов и до 2.000 солдат и офицеров противника. По неполным данным, захваченыу немцев 14 танков, 8 орудий, 25 миномётов, 42 пулемёта, свыше 500 винтовок, 2 склада с боеприпасами и другие трофеи.</w:t>
      </w:r>
    </w:p>
    <w:p w14:paraId="345D0A07"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 Белого наши войска, развивая наступление, заняли 16 населённых пунктов. Уничтожено свыше 600 гитлеровцев. Взяты трофеи и пленные. На одном участке противник силой до батальона пехоты пытался контратаковать наши наступающие подразделения. Контрударом противник был отброшен. Наши бойцы на плечах отступающих гитлеровцев ворвались в один населённый пункт. После рукопашной схватки село было очищено от немцев.</w:t>
      </w:r>
    </w:p>
    <w:p w14:paraId="70568FDF"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Харькова наши войска отражали сильные атаки противника. Несмотря на большие потери, гитлеровцы подтягивают всё новые и новые части, пытаясь любой ценой прорваться к городу. Бои носят ожесточённый характер. Наши части стойко отражают одну за другой атаки противника. Свыше батальона немецкой пехоты при поддержке 15 танков наступало на село, которое оборонял взвод под командованием старшего лейтенанта Шеронина. В неравной борьбе группа наших бойцов огнём из противотанковой пушки уничтожила 7 немецких танков и истребила до 100 гитлеровцев. Когда пушка выбыла из строя, бойцы гранатами подбили ещё 3 танка противника. На участке Н-ского соединения истреблено более 700 немецких солдат и офицеров, уничтожено 11 танков. 4 самоходных орудия и 20 автомашин противника.</w:t>
      </w:r>
    </w:p>
    <w:p w14:paraId="43DA5C57"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войска продолжали вести наступательные бои и заняли несколько населённых пунктов. При взятии районного центра Красноармейская советские подразделения истребили свыше 400 гитлеровцев и захватили 315 автомашин, 8 тягачей, 570 железнодорожных вагонов, 17 паровозов, много вооружения и боеприпасов.</w:t>
      </w:r>
    </w:p>
    <w:p w14:paraId="2B155909"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в воздушных боях сбили 15 немецких самолётов. Кроме того, один самолёт противника уничтожен советскими зенитчиками.</w:t>
      </w:r>
    </w:p>
    <w:p w14:paraId="6D058988"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Смоленской области, совершил налёт на немецкий гарнизон, расположенный в крупном населённом пункте. Советские патриоты истребили более 100 гитлеровцев. Партизаны другого отряда пустили под откос 4 немецких железнодорожных эшелона. В результате крушений разбито 4 паровоза, 42 вагона и 9 платформ со следовавшими на фронт немецкими солдатами и боевой техникой.</w:t>
      </w:r>
    </w:p>
    <w:p w14:paraId="087A0964"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ефрейтор 6 роты 690 полка 337 немецкой пехотной дивизии Эдмунд Фишер сообщил; «Командир нашей роты обер-лейтенант Греффе объявил приказ командира дивизии, в котором говорилось следующее: «В случае вынужденного отхода полка с занимаемых позиций необходимо сжигать все населённые пункты и уничтожать всё, что только возможно. Гражданское население оставляемых городов и деревень насильственно эвакуировать в тыл. Оказывающих сопротивление безжалостно уничтожать». Пленный солдат 5 роты 14 гренадерского полка 5 немецкой танковой дивизии Францишек Гмуздек заявил: «Немецкие власти на центральном участке фронт апытаются насильно эвакуировать всё гражданское население. В районе Вязьмы явидел толпы стариков, женщин и детей, шедших под конвоем немецких солдат. В деревнях стоит стон и плач. Угоняют поголовно всех. В Смоленске находится сборный пункт для эвакуированных русских. Этот огромный лагерь обнесён колючей проволокой и усиленно охраняется войсками и полицией» (15065).</w:t>
      </w:r>
    </w:p>
    <w:p w14:paraId="4CC6F2DB" w14:textId="77777777" w:rsidR="009A1FC3" w:rsidRPr="00D03F3E" w:rsidRDefault="009A1FC3" w:rsidP="00D03F3E">
      <w:pPr>
        <w:spacing w:after="0" w:line="240" w:lineRule="auto"/>
        <w:jc w:val="both"/>
        <w:rPr>
          <w:rFonts w:ascii="Times New Roman" w:hAnsi="Times New Roman"/>
          <w:color w:val="000000" w:themeColor="text1"/>
          <w:sz w:val="16"/>
          <w:szCs w:val="16"/>
        </w:rPr>
      </w:pPr>
    </w:p>
    <w:p w14:paraId="075F97E0"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11 марта</w:t>
      </w:r>
      <w:r w:rsidRPr="00D03F3E">
        <w:rPr>
          <w:rFonts w:ascii="Times New Roman" w:hAnsi="Times New Roman"/>
          <w:color w:val="000000" w:themeColor="text1"/>
          <w:sz w:val="16"/>
          <w:szCs w:val="16"/>
        </w:rPr>
        <w:t xml:space="preserve"> в 1943 году войска Воронежского фронта начали отход на рубеж Золочев, Липцы (20 км северо-восточнее Харькова), Краснополье (15065).</w:t>
      </w:r>
    </w:p>
    <w:p w14:paraId="79521775" w14:textId="77777777" w:rsidR="009A1FC3" w:rsidRPr="00D03F3E" w:rsidRDefault="009A1FC3" w:rsidP="00D03F3E">
      <w:pPr>
        <w:spacing w:after="0" w:line="240" w:lineRule="auto"/>
        <w:jc w:val="both"/>
        <w:rPr>
          <w:rFonts w:ascii="Times New Roman" w:hAnsi="Times New Roman"/>
          <w:color w:val="000000" w:themeColor="text1"/>
          <w:sz w:val="16"/>
          <w:szCs w:val="16"/>
        </w:rPr>
      </w:pPr>
    </w:p>
    <w:p w14:paraId="5D5ACE5A"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11 марта</w:t>
      </w:r>
      <w:r w:rsidRPr="00D03F3E">
        <w:rPr>
          <w:rFonts w:ascii="Times New Roman" w:hAnsi="Times New Roman"/>
          <w:color w:val="000000" w:themeColor="text1"/>
          <w:sz w:val="16"/>
          <w:szCs w:val="16"/>
        </w:rPr>
        <w:t xml:space="preserve"> в 1943 году немецкие войска вновь захватывают Харьков (15065).</w:t>
      </w:r>
    </w:p>
    <w:p w14:paraId="7FAB2D6E" w14:textId="77777777" w:rsidR="009A1FC3" w:rsidRPr="00D03F3E" w:rsidRDefault="009A1FC3" w:rsidP="00D03F3E">
      <w:pPr>
        <w:spacing w:after="0" w:line="240" w:lineRule="auto"/>
        <w:jc w:val="both"/>
        <w:rPr>
          <w:rFonts w:ascii="Times New Roman" w:hAnsi="Times New Roman"/>
          <w:color w:val="000000" w:themeColor="text1"/>
          <w:sz w:val="16"/>
          <w:szCs w:val="16"/>
        </w:rPr>
      </w:pPr>
    </w:p>
    <w:p w14:paraId="64FAD3E3"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11 марта</w:t>
      </w:r>
      <w:r w:rsidRPr="00D03F3E">
        <w:rPr>
          <w:rFonts w:ascii="Times New Roman" w:hAnsi="Times New Roman"/>
          <w:color w:val="000000" w:themeColor="text1"/>
          <w:sz w:val="16"/>
          <w:szCs w:val="16"/>
        </w:rPr>
        <w:t xml:space="preserve"> в 1943 году в воздушном бою севернее города Жиздры погиб старший сын Н.С.Хрущева Леонид (1919 г. р., его мать - крестьянка Ефросинья Васильевна - умерла в гражданскую войну от тифа). Спустя более 30 лет обстоятельства его гибели раскрыл в письме министру обороны Д.Ф.Устинову бывший ведущий - гвардии старший лейтенант Заморин. В бою с двумя «Фокке-Вульфами» один из них зашел снизу к ведущему, Хрущев прикрыл его и сам попал под огонь. Официально же прошла версия, что Л.Н.Хрущев пропал без вести, так как командование полка не хотело отвечать за гибель сына члена Политбюро (15065).</w:t>
      </w:r>
    </w:p>
    <w:p w14:paraId="059FA048" w14:textId="77777777" w:rsidR="009A1FC3" w:rsidRPr="00D03F3E" w:rsidRDefault="009A1FC3" w:rsidP="00D03F3E">
      <w:pPr>
        <w:spacing w:after="0" w:line="240" w:lineRule="auto"/>
        <w:jc w:val="both"/>
        <w:rPr>
          <w:rFonts w:ascii="Times New Roman" w:hAnsi="Times New Roman"/>
          <w:color w:val="000000" w:themeColor="text1"/>
          <w:sz w:val="16"/>
          <w:szCs w:val="16"/>
        </w:rPr>
      </w:pPr>
    </w:p>
    <w:p w14:paraId="57D4A4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марта 1943 сбили сына Н.С.Х. - Леонида Никитьевича на Як-7б - Фокке-Вульф - 190. До этого сбивали на СБ 26 июля 1941 и при посадке ломал ногу. Есть данные, что мог попасть в плен и И.В.С. разрешил его обменять, но потом расстреляли за сотрудничество с немцами (3304,175).</w:t>
      </w:r>
    </w:p>
    <w:p w14:paraId="13B5B5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0A8F1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11 марта 1943 немецкие войска вновь захватили Харьков (4962).</w:t>
      </w:r>
    </w:p>
    <w:p w14:paraId="5921623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C1BC8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марта 1943 партизанский отряд Федорова начал рейд по Волынской области (4962).</w:t>
      </w:r>
    </w:p>
    <w:p w14:paraId="536AA47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345B3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1C9B71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60B0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марта 1943 года</w:t>
      </w:r>
    </w:p>
    <w:p w14:paraId="226B7C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СТРОГО СЕКРЕТНОЕ ПОСЛАНИЕ ОТ ПРЕМЬЕР-МИНИСТРА г-на УИНСТОНА ЧЕРЧИЛЛЯ МАРШАЛУ СТАЛИНУ</w:t>
      </w:r>
    </w:p>
    <w:p w14:paraId="108A33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Г-н Рузвельт прислал мне копию своего ответа на Ваше послание от 16 февраля. Я чувствую себя достаточно хорошо, чтобы ответить лично.</w:t>
      </w:r>
    </w:p>
    <w:p w14:paraId="20DB6C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Наша первая задача состоит в том, чтобы очистить Северную Африку от войск держав оси посредством операции, условное наименование которой будет сообщено в моем послании, немедленно следующем за этим. Мы надеемся, что это будет сделано к концу апреля, и к этому времени мы свяжем в боях около одной четверти миллиона войск держав оси.</w:t>
      </w:r>
    </w:p>
    <w:p w14:paraId="1CDFE6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Тем временем энергично проводятся все приготовления для выполнения операции, носящей новое условное обозначение “Эскимос” (см. мое послание, следующее немедленно за этим), в июне, на месяц раньше, чем мы запланировали в Касабланке.</w:t>
      </w:r>
    </w:p>
    <w:p w14:paraId="54A3BD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Изучаются также планы операций в восточной части Средиземного моря, например:</w:t>
      </w:r>
    </w:p>
    <w:p w14:paraId="289B2D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a) захват Крита или Додеканезских островов или обоих вместе и</w:t>
      </w:r>
    </w:p>
    <w:p w14:paraId="6432F5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десант в Греции.</w:t>
      </w:r>
    </w:p>
    <w:p w14:paraId="1202D7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Выбор срока для этих операций в значительной степени определится результатом “Эскимоса” и наличием необходимого количества тоннажа и десантных средств. Помощь Турции и использование турецких аэродромов, конечно, представляли бы огромную ценность. В соответствующий момент я потребую предоставления этого.</w:t>
      </w:r>
    </w:p>
    <w:p w14:paraId="120683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В декабре англо-американцы отказались от попытки захватить Тунис и Бизерту с ходу из-за силы противника, предстоящего сезона дождей, уже наступившей сырости и того факта, что коммуникации растягивались на 500 миль из Алжира и 160 миль из Бона по плохим дорогам и одноколейным французским железным дорогам, передвижение по которым требует целой недели. Доставка снабжения для армии была возможна лишь морем в небольшом размере вследствие интенсивности атак противника с воздуха и частых нападений подводных лодок. Таким образом, было невозможно накопить ни горючего, ни другого довольствия в находящихся вблизи фронта районах. На практике оказалось возможным лишь поддерживать снабжение войск, уже находившихся там. То же самое было справедливым в отношении снабжения по воздуху, так как импровизированные аэродромы превратились в трясины. Когда мы прекратили там наступление, в Тунисе было 40 тысяч немцев, не считая итальянцев и Роммеля, который все еще находился в Триполи. Количество германских сил в Северном Тунисе в настоящее время более чем в два раза превышает эту цифру, и они подбрасывают сюда кого только могут на транспортных самолетах и эсминцах. В конце прошлого месяца были некоторые серьезные местные неудачи, но в настоящее время положение восстановлено. Мы надеемся, что задержка, вызванная этими неудачами, будет исправлена более ранним наступлением армии Монтгомери, которая должна будет состоять из шести дивизий (приблизительно 200 тысяч человек) и которая начнет свои операции из Триполи с достаточным количеством вооружения против позиции Марета до конца марта. Уже б марта армия Монтгомери отразила с тяжелыми потерями для противника превентивное наступление Роммеля. Британские и американские армии в северном секторе Туниса будут координировать свои действия с операциями Монтгомери.</w:t>
      </w:r>
    </w:p>
    <w:p w14:paraId="1EE0C3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Я полагал, что Вы пожелаете ознакомиться с этими деталями, хотя масштабы этих операций невелики по сравнению с громадными операциями, которыми Вы руководите.</w:t>
      </w:r>
    </w:p>
    <w:p w14:paraId="2FAE84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Британские штабы считают, что примерно половина всех дивизий, которые были отправлены иа советско-германский фронт из Франции, Люксембурга, Бельгии и Голландии с ноября прошлого года, уже была заменена, главным образом дивизиями из России и Германии и отчасти новыми дивизиями, сформированными во Франции. Они считают, что в настоящее время во Франции, Люксембурге, Голландии и Бельгии имеется тридцать дивизий.</w:t>
      </w:r>
    </w:p>
    <w:p w14:paraId="55109E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Я очень хочу, чтобы Вы точно знали, в порядке строго секретной информации для Вас, каковы наши военные ресурсы для наступления на Европу через Средиземное море или Канал зв. Подавляющая часть британской армии находится в Северной Африке, на Среднем Востоке и в Индии, и нет никакой физической возможности перебросить ее морем назад на Британские острова. К концу апреля мы будем иметь в Северном Тунисе пять британских дивизий, или приблизительно 200 тысяч человек, помимо армии генерала Монтгомери в составе около шести дивизий, и мы перебрасываем две специально подготовленные британские дивизии из Ирана, отправляем одну дивизию отсюда с целью усиления наших вооруженных сил там для “Эскимоса”, доводя общую численность войск до четырнадцати дивизий. На Среднем Востоке мы имеем четыре мотомеханизированные британские дивизии, две польские дивизии, одну дивизию свободных французов и одну греческую дивизию. В Гибралтаре, на Мальте и на Кипре расквартированы войска, эквивалентные четырем обычным пехотным дивизиям. Не считая гарнизонов и войск пограничной охраны, в Индии сформированы и формируются десять или двенадцать дивизий для отвоевания Бирмы после периода дождей и восстановления связи с Китаем (см. условное обозначение этой операции в послании, немедленно следующем за этим). Таким образом, мы имеем под британским командованием разбросанными на линии от Гибралтара до Калькутты протяженностью около 6300 миль тридцать восемь дивизий, включая сильные бронетанковые соединения и значительную часть нашей авиации. Всем этим силам на 1943 год поставлены определенные задачи, предусматривающие активные действия.</w:t>
      </w:r>
    </w:p>
    <w:p w14:paraId="799279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Общая численность британской дивизии, включая корпусные и армейские части, а также войска, обслуживающие тылы, может быть определена примерно в 40 тысяч человек. В Соединенном Королевстве остаются примерно девятнадцать сформированных дивизий, четыре дивизии внутренней обороны и четыре дивизии для пополнения; шестнадцать из вышеперечисленных дивизий готовятся к операции по форсированию Канала в августе. Вы должны помнить, что общая численность нашего населения составляет 46 000 000 человек и что основные его силы заняты в военно-морском и торговом флотах, без которых мы не могли бы существовать. Затем следуют наши весьма значительные воздушные силы численностью около 1200 тысяч человек и потребности производства вооружения, сельского хозяйства и противовоздушной обороны. Таким образом, уже в течение некоторого времени все мужчины и женщины страны полностью использовались и используются.</w:t>
      </w:r>
    </w:p>
    <w:p w14:paraId="035959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Соединенные Штаты намеревались отправить в июле прошлого года в Соединенное Королевство для вторжения во Францию двадцать семь дивизий, общей численностью от 40 до 50 тысяч человек каждая. С тех пор они отправили семь дивизий для операции “Факел” 24, и туда будет отправлено еще три дивизии. В Англии в настоящее время имеется лишь одна американская дивизия, и по крайней мере в течение двух месяцев других войск больше не ожидается. К августу они надеются иметь в наличии четыре дивизии, помимо значительных сил авиации. Это не является ослаблением американских усилий. Причина того, почему так не оправдались надежды прошлого года на выполнение этого, заключается не в том, что нет войск, а в том, что в нашем распоряжении нет тоннажа и эскортных средств. По существу не имеется никаких перспектив перебросить в Соединенное Королевство в течение указанного периода что-либо еще помимо того, о чем я упомянул.</w:t>
      </w:r>
    </w:p>
    <w:p w14:paraId="15D774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Бомбардировочное наступление из Соединенного Королевства неуклонно развивалось и развивается. В течение февраля на Германию и оккупированные Германией территории было сброшено свыше 10 тысяч тонн бомб, а 4 тысячи тонн бомб упали на Германию с начала марта. Штаб нашей авиации считает, что из 4500 германских боевых самолетов первой линии 1780 самолетов находятся в настоящее время на русском фронте, а остальные сосредоточены против нас в Германии, а также на западном и средиземноморском фронтах. Помимо этого, имеются итальянские военно-воздушные силы в количестве 1385 самолетов первой линии, подавляющая масса которых предназначается для действий против нас.</w:t>
      </w:r>
    </w:p>
    <w:p w14:paraId="05A205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В отношении наступления по ту сторону Канала я и Президент серьезно желаем, чтобы наши войска участвовали в Европе в общем сражении, которое Вы ведете с такой изумительной доблестью. Но, чтобы поддержать операции в Северной Африке, на Тихом океане и в Индии и доставлять снабжение в Россию, программа ввоза в Соединенное Королевство была урезана до предела, и мы расходовали и расходуем наши резервы. Однако в том случае, если противник достаточно ослабеет, мы готовимся ударить раньше августа, и с этой целью еженедельно вносятся соответствующие изменения в планы. Если он не ослабеет, то преждевременное наступление с худшими по качеству и недостаточными по количеству силами привело бы лишь к кровопролитной неудаче, мести нацистов по отношению к местному населению, если бы оно восстало, и к большому торжеству противника. Действительное положение можно будет оценить лишь ближе к соответствующему моменту, и, когда я заявляю для Вашего личного сведения о наших намерениях там, меня не следует понимать так, что я ограничиваю нашу свободу в принятии решений (7430).</w:t>
      </w:r>
    </w:p>
    <w:p w14:paraId="33C658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3D1E94" w14:textId="77777777" w:rsidR="009A1FC3"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52CB00EF" w14:textId="77777777" w:rsidR="009A1FC3" w:rsidRPr="00D03F3E" w:rsidRDefault="009A1FC3"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D0D1D6" w14:textId="77777777" w:rsidR="00822798" w:rsidRPr="00D03F3E" w:rsidRDefault="0082279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11 марта 1943 первый полет Savoia-Marchetti SM.91 (20376).</w:t>
      </w:r>
    </w:p>
    <w:p w14:paraId="6B0EDB80" w14:textId="77777777" w:rsidR="00822798" w:rsidRPr="00D03F3E" w:rsidRDefault="00822798" w:rsidP="00D03F3E">
      <w:pPr>
        <w:spacing w:after="0" w:line="240" w:lineRule="auto"/>
        <w:jc w:val="both"/>
        <w:rPr>
          <w:rFonts w:ascii="Times New Roman" w:hAnsi="Times New Roman"/>
          <w:color w:val="0070C0"/>
          <w:sz w:val="16"/>
          <w:szCs w:val="16"/>
        </w:rPr>
      </w:pPr>
    </w:p>
    <w:p w14:paraId="50EFC39D"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11 марта</w:t>
      </w:r>
      <w:r w:rsidRPr="00D03F3E">
        <w:rPr>
          <w:rFonts w:ascii="Times New Roman" w:hAnsi="Times New Roman"/>
          <w:color w:val="000000" w:themeColor="text1"/>
          <w:sz w:val="16"/>
          <w:szCs w:val="16"/>
        </w:rPr>
        <w:t xml:space="preserve"> в 1943 году руководство Германии отвергло японские предложения о начале мирных переговоров с СССР при посредничестве Японии (15065).</w:t>
      </w:r>
    </w:p>
    <w:p w14:paraId="1930425E" w14:textId="77777777" w:rsidR="009A1FC3" w:rsidRPr="00D03F3E" w:rsidRDefault="009A1FC3" w:rsidP="00D03F3E">
      <w:pPr>
        <w:spacing w:after="0" w:line="240" w:lineRule="auto"/>
        <w:jc w:val="both"/>
        <w:rPr>
          <w:rFonts w:ascii="Times New Roman" w:hAnsi="Times New Roman"/>
          <w:color w:val="000000" w:themeColor="text1"/>
          <w:sz w:val="16"/>
          <w:szCs w:val="16"/>
        </w:rPr>
      </w:pPr>
    </w:p>
    <w:p w14:paraId="6B6ECBF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1492B4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212F70"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12 по 31 марта 1943, пока «Пегас» дорабатывал</w:t>
      </w:r>
      <w:r w:rsidRPr="00D03F3E">
        <w:rPr>
          <w:rFonts w:ascii="Times New Roman" w:hAnsi="Times New Roman"/>
          <w:color w:val="000000" w:themeColor="text1"/>
          <w:sz w:val="16"/>
          <w:szCs w:val="16"/>
        </w:rPr>
        <w:softHyphen/>
        <w:t>ся, в 14-м отделе НИИ ВВС был отстрелян один экземпляр бронированной кабины лётчика. Руководил ра</w:t>
      </w:r>
      <w:r w:rsidRPr="00D03F3E">
        <w:rPr>
          <w:rFonts w:ascii="Times New Roman" w:hAnsi="Times New Roman"/>
          <w:color w:val="000000" w:themeColor="text1"/>
          <w:sz w:val="16"/>
          <w:szCs w:val="16"/>
        </w:rPr>
        <w:softHyphen/>
        <w:t>ботами старший техник-лейте- нант В.А. Введенский.</w:t>
      </w:r>
    </w:p>
    <w:p w14:paraId="2325B41B"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Определялись бронестой- кость и прочность бронекабины при обстреле бронебойными пулями калибра 15 мм от не</w:t>
      </w:r>
      <w:r w:rsidRPr="00D03F3E">
        <w:rPr>
          <w:rFonts w:ascii="Times New Roman" w:hAnsi="Times New Roman"/>
          <w:color w:val="000000" w:themeColor="text1"/>
          <w:sz w:val="16"/>
          <w:szCs w:val="16"/>
        </w:rPr>
        <w:softHyphen/>
        <w:t xml:space="preserve">мецкого пулемёта </w:t>
      </w:r>
      <w:r w:rsidRPr="00D03F3E">
        <w:rPr>
          <w:rFonts w:ascii="Times New Roman" w:hAnsi="Times New Roman"/>
          <w:color w:val="000000" w:themeColor="text1"/>
          <w:sz w:val="16"/>
          <w:szCs w:val="16"/>
          <w:lang w:val="en-US"/>
        </w:rPr>
        <w:t>MG</w:t>
      </w:r>
      <w:r w:rsidRPr="00D03F3E">
        <w:rPr>
          <w:rFonts w:ascii="Times New Roman" w:hAnsi="Times New Roman"/>
          <w:color w:val="000000" w:themeColor="text1"/>
          <w:sz w:val="16"/>
          <w:szCs w:val="16"/>
        </w:rPr>
        <w:t>151/15. Такого пулемёта на заводе № 288 не оказалось, поэтому от- рел на заводе провели только пулями калибра 7,62 мм и крупнокалиберными пулями к пулемету УБ. Считалось, что броне- бина обеспечивает защиту бронебойных пуль калибра 12,7 мм.</w:t>
      </w:r>
    </w:p>
    <w:p w14:paraId="787B302B" w14:textId="77777777" w:rsidR="009A1FC3" w:rsidRPr="00D03F3E" w:rsidRDefault="009A1FC3" w:rsidP="00D03F3E">
      <w:pPr>
        <w:pStyle w:val="264"/>
        <w:shd w:val="clear" w:color="auto" w:fill="auto"/>
        <w:spacing w:line="240" w:lineRule="auto"/>
        <w:jc w:val="both"/>
        <w:rPr>
          <w:rFonts w:ascii="Times New Roman" w:hAnsi="Times New Roman" w:cs="Times New Roman"/>
          <w:color w:val="000000" w:themeColor="text1"/>
          <w:sz w:val="16"/>
          <w:szCs w:val="16"/>
        </w:rPr>
      </w:pPr>
      <w:bookmarkStart w:id="12" w:name="bookmark107"/>
      <w:r w:rsidRPr="00D03F3E">
        <w:rPr>
          <w:rStyle w:val="269pt"/>
          <w:rFonts w:ascii="Times New Roman" w:hAnsi="Times New Roman" w:cs="Times New Roman"/>
          <w:b w:val="0"/>
          <w:color w:val="000000" w:themeColor="text1"/>
          <w:sz w:val="16"/>
          <w:szCs w:val="16"/>
        </w:rPr>
        <w:lastRenderedPageBreak/>
        <w:t xml:space="preserve">Поскольку ранее ТТТ ВВСк </w:t>
      </w:r>
      <w:bookmarkEnd w:id="12"/>
      <w:r w:rsidRPr="00D03F3E">
        <w:rPr>
          <w:rFonts w:ascii="Times New Roman" w:hAnsi="Times New Roman" w:cs="Times New Roman"/>
          <w:color w:val="000000" w:themeColor="text1"/>
          <w:sz w:val="16"/>
          <w:szCs w:val="16"/>
        </w:rPr>
        <w:t>бронекабине «Пегаса» не прежъявлялись, то одновременно с составлением программы стрельб были разработаны и требования к ней.</w:t>
      </w:r>
    </w:p>
    <w:p w14:paraId="28F3E2F3"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ходе стрельб пришли к выводу, что бронекабина в основном обеспечивает защиту только от поражения бронебойными пулями нормального калибра 7,62 мм. Так, при стрельбе бронебойными пулями из пулемёта </w:t>
      </w:r>
      <w:r w:rsidRPr="00D03F3E">
        <w:rPr>
          <w:rFonts w:ascii="Times New Roman" w:hAnsi="Times New Roman"/>
          <w:color w:val="000000" w:themeColor="text1"/>
          <w:sz w:val="16"/>
          <w:szCs w:val="16"/>
          <w:lang w:val="en-US"/>
        </w:rPr>
        <w:t>MG</w:t>
      </w:r>
      <w:r w:rsidRPr="00D03F3E">
        <w:rPr>
          <w:rFonts w:ascii="Times New Roman" w:hAnsi="Times New Roman"/>
          <w:color w:val="000000" w:themeColor="text1"/>
          <w:sz w:val="16"/>
          <w:szCs w:val="16"/>
        </w:rPr>
        <w:t>151/15 с дистанции 300 м под углом встречи 30° нормали задняя броневая плита толщиной 13 мм пробивается. Пол кабины толщиной при обстреле с дистанции 200 м не пробивается пулями калибра 15 мм лишь под углом встречи</w:t>
      </w:r>
      <w:r w:rsidRPr="00D03F3E">
        <w:rPr>
          <w:rStyle w:val="aff6"/>
          <w:rFonts w:ascii="Times New Roman" w:eastAsia="Arial Unicode MS" w:hAnsi="Times New Roman" w:cs="Times New Roman"/>
          <w:i w:val="0"/>
          <w:color w:val="000000" w:themeColor="text1"/>
        </w:rPr>
        <w:t xml:space="preserve"> 70°</w:t>
      </w:r>
      <w:r w:rsidRPr="00D03F3E">
        <w:rPr>
          <w:rFonts w:ascii="Times New Roman" w:hAnsi="Times New Roman"/>
          <w:color w:val="000000" w:themeColor="text1"/>
          <w:sz w:val="16"/>
          <w:szCs w:val="16"/>
        </w:rPr>
        <w:t xml:space="preserve"> и более.</w:t>
      </w:r>
    </w:p>
    <w:p w14:paraId="2F564B89" w14:textId="77777777" w:rsidR="009A1FC3" w:rsidRPr="00D03F3E" w:rsidRDefault="009A1FC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не менее, предложенная заводом № 288 схема бронирования была утверждена. Также был утверждён и метод скрепления бронелистов на основе сварки. Вместе с тем (екомендовалось вместо гомогенной брони марки ИЗ применить цементованную броню ирки ХД и гомогенную броню марки АБ-2 (или АБ-3). При этом броню верхней задней стенки предлагалось заменить на 15-мм броню ХД, броню задней стенки внизу, переднюю стенку внизу и вверху заменить 12-мм броней марки ХД, толщину наклонного переднего ркгга и откидных створок изменить с 6 мм на 5 мм. Кроме того, требовалось усилить кре</w:t>
      </w:r>
      <w:r w:rsidRPr="00D03F3E">
        <w:rPr>
          <w:rFonts w:ascii="Times New Roman" w:hAnsi="Times New Roman"/>
          <w:color w:val="000000" w:themeColor="text1"/>
          <w:sz w:val="16"/>
          <w:szCs w:val="16"/>
        </w:rPr>
        <w:softHyphen/>
        <w:t>щение наголовника и защиту ручки управления. Здесь следует учитывать, что дополнительная защита лётчика в определенной мере спечивалась за счёт экранирования броневых стенок кабины элементами конструкции юлёта и патронными ящиками и кассетами мелких бомб при использовании пушечных бомбовых подвесных установок (16646).</w:t>
      </w:r>
    </w:p>
    <w:p w14:paraId="1C9C96A5" w14:textId="77777777" w:rsidR="009A1FC3" w:rsidRPr="00D03F3E" w:rsidRDefault="009A1FC3" w:rsidP="00D03F3E">
      <w:pPr>
        <w:spacing w:after="0" w:line="240" w:lineRule="auto"/>
        <w:jc w:val="both"/>
        <w:rPr>
          <w:rFonts w:ascii="Times New Roman" w:hAnsi="Times New Roman"/>
          <w:color w:val="000000" w:themeColor="text1"/>
          <w:sz w:val="16"/>
          <w:szCs w:val="16"/>
        </w:rPr>
      </w:pPr>
    </w:p>
    <w:p w14:paraId="3E4C038B" w14:textId="77777777" w:rsidR="00575488" w:rsidRPr="00D03F3E" w:rsidRDefault="0057548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 12 по 31 марта 1943, пока «Пегас» дорабатывался, в 14-м отделе НИИ ВВС, был отстрелян один экземп</w:t>
      </w:r>
      <w:r w:rsidRPr="00D03F3E">
        <w:rPr>
          <w:color w:val="000000" w:themeColor="text1"/>
          <w:sz w:val="16"/>
          <w:szCs w:val="16"/>
        </w:rPr>
        <w:softHyphen/>
        <w:t>ляр бронированной кабины летчика. Руководил работами старший техник-лейтенант В. А. Введен</w:t>
      </w:r>
      <w:r w:rsidRPr="00D03F3E">
        <w:rPr>
          <w:color w:val="000000" w:themeColor="text1"/>
          <w:sz w:val="16"/>
          <w:szCs w:val="16"/>
        </w:rPr>
        <w:softHyphen/>
        <w:t>ский.</w:t>
      </w:r>
    </w:p>
    <w:p w14:paraId="0530CFE7" w14:textId="77777777" w:rsidR="00575488" w:rsidRPr="00D03F3E" w:rsidRDefault="0057548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стрельб пришли к выводу, что бронека- бина с наиболее вероятных направлений обстрела в основном обеспечивает защиту только от пора</w:t>
      </w:r>
      <w:r w:rsidRPr="00D03F3E">
        <w:rPr>
          <w:color w:val="000000" w:themeColor="text1"/>
          <w:sz w:val="16"/>
          <w:szCs w:val="16"/>
        </w:rPr>
        <w:softHyphen/>
        <w:t>жения бронебойными пулями нормального кали</w:t>
      </w:r>
      <w:r w:rsidRPr="00D03F3E">
        <w:rPr>
          <w:color w:val="000000" w:themeColor="text1"/>
          <w:sz w:val="16"/>
          <w:szCs w:val="16"/>
        </w:rPr>
        <w:softHyphen/>
        <w:t>бра 7,62 мм.</w:t>
      </w:r>
    </w:p>
    <w:p w14:paraId="3CA493AE" w14:textId="77777777" w:rsidR="00575488" w:rsidRPr="00D03F3E" w:rsidRDefault="0057548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Тем не менее предложенная заводом № 288 схема бронирования была утверждена. Также был утвержден и метод скрепления бронелистов на ос</w:t>
      </w:r>
      <w:r w:rsidRPr="00D03F3E">
        <w:rPr>
          <w:color w:val="000000" w:themeColor="text1"/>
          <w:sz w:val="16"/>
          <w:szCs w:val="16"/>
        </w:rPr>
        <w:softHyphen/>
        <w:t>нове сварки. Вместе с тем рекомендовалось вместо гомогенной брони марки ИЗ применить цементо</w:t>
      </w:r>
      <w:r w:rsidRPr="00D03F3E">
        <w:rPr>
          <w:color w:val="000000" w:themeColor="text1"/>
          <w:sz w:val="16"/>
          <w:szCs w:val="16"/>
        </w:rPr>
        <w:softHyphen/>
        <w:t>ванную броню марки ХД и гомогенную броню мар</w:t>
      </w:r>
      <w:r w:rsidRPr="00D03F3E">
        <w:rPr>
          <w:color w:val="000000" w:themeColor="text1"/>
          <w:sz w:val="16"/>
          <w:szCs w:val="16"/>
        </w:rPr>
        <w:softHyphen/>
        <w:t>ки АБ-2 (или АБ-3). При этом броню верхней задней стенки предлагалось заменить на 15-мм броню ХД, броню задней стенки внизу, передней стенки внизу и вверху заменить 12-мм броней марки ХД, толщи</w:t>
      </w:r>
      <w:r w:rsidRPr="00D03F3E">
        <w:rPr>
          <w:color w:val="000000" w:themeColor="text1"/>
          <w:sz w:val="16"/>
          <w:szCs w:val="16"/>
        </w:rPr>
        <w:softHyphen/>
        <w:t>ну наклонного переднего листа и откидных створок изменить с 6 мм на 5 мм. Кроме того, требовалось усилить крепление наголовника и защиту ручки управления.</w:t>
      </w:r>
    </w:p>
    <w:p w14:paraId="10C24DFC" w14:textId="77777777" w:rsidR="00575488" w:rsidRPr="00D03F3E" w:rsidRDefault="0057548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Здесь следует учитывать, что дополнительная защита летчика в определенной мере обеспечива</w:t>
      </w:r>
      <w:r w:rsidRPr="00D03F3E">
        <w:rPr>
          <w:color w:val="000000" w:themeColor="text1"/>
          <w:sz w:val="16"/>
          <w:szCs w:val="16"/>
        </w:rPr>
        <w:softHyphen/>
        <w:t>лась за счет экранирования броневых стенок ка</w:t>
      </w:r>
      <w:r w:rsidRPr="00D03F3E">
        <w:rPr>
          <w:color w:val="000000" w:themeColor="text1"/>
          <w:sz w:val="16"/>
          <w:szCs w:val="16"/>
        </w:rPr>
        <w:softHyphen/>
        <w:t>бины элементами конструкции самолета и патрон</w:t>
      </w:r>
      <w:r w:rsidRPr="00D03F3E">
        <w:rPr>
          <w:color w:val="000000" w:themeColor="text1"/>
          <w:sz w:val="16"/>
          <w:szCs w:val="16"/>
        </w:rPr>
        <w:softHyphen/>
        <w:t>ными ящиками и кассетами мелких бомб при ис</w:t>
      </w:r>
      <w:r w:rsidRPr="00D03F3E">
        <w:rPr>
          <w:color w:val="000000" w:themeColor="text1"/>
          <w:sz w:val="16"/>
          <w:szCs w:val="16"/>
        </w:rPr>
        <w:softHyphen/>
        <w:t>пользовании пушечных или бомбовых подвесных установок (17500).</w:t>
      </w:r>
    </w:p>
    <w:p w14:paraId="093672E0" w14:textId="77777777" w:rsidR="00575488" w:rsidRPr="00D03F3E" w:rsidRDefault="00575488" w:rsidP="00D03F3E">
      <w:pPr>
        <w:spacing w:after="0" w:line="240" w:lineRule="auto"/>
        <w:jc w:val="both"/>
        <w:rPr>
          <w:rFonts w:ascii="Times New Roman" w:eastAsia="Times New Roman" w:hAnsi="Times New Roman"/>
          <w:color w:val="000000" w:themeColor="text1"/>
          <w:sz w:val="16"/>
          <w:szCs w:val="16"/>
          <w:lang w:eastAsia="ru-RU"/>
        </w:rPr>
      </w:pPr>
    </w:p>
    <w:p w14:paraId="08E1A2F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марта 1943 за три дня до срока вторая высотная машина на базе Ил-4 была готова. Первый полет на Ил-4ТК совершил В.К. Коккинаки 16 марта 1943 г. Взлет</w:t>
      </w:r>
      <w:r w:rsidRPr="00D03F3E">
        <w:rPr>
          <w:rFonts w:ascii="Times New Roman" w:hAnsi="Times New Roman"/>
          <w:color w:val="000000" w:themeColor="text1"/>
          <w:sz w:val="16"/>
          <w:szCs w:val="16"/>
        </w:rPr>
        <w:softHyphen/>
        <w:t>ный вес составлял 10593 кг, несколько больше расчетного за счет контрольно-измерительной аппаратуры. Первый этап заводских испытаний завершился 29 мая. Затем на самолете установили усовершенствованную гермокабину и 10 августа вновь подняли его в воздух. Результаты принесли разочарование. До предполагавшихся в проекте данных машина здорово недотягивала. Хотя считали, что крейсерский полет будет происходить на высоте 11000 м, выше 9300 м подняться не удавалось. Ско</w:t>
      </w:r>
      <w:r w:rsidRPr="00D03F3E">
        <w:rPr>
          <w:rFonts w:ascii="Times New Roman" w:hAnsi="Times New Roman"/>
          <w:color w:val="000000" w:themeColor="text1"/>
          <w:sz w:val="16"/>
          <w:szCs w:val="16"/>
        </w:rPr>
        <w:softHyphen/>
        <w:t>рость также оказалась далека от желае</w:t>
      </w:r>
      <w:r w:rsidRPr="00D03F3E">
        <w:rPr>
          <w:rFonts w:ascii="Times New Roman" w:hAnsi="Times New Roman"/>
          <w:color w:val="000000" w:themeColor="text1"/>
          <w:sz w:val="16"/>
          <w:szCs w:val="16"/>
        </w:rPr>
        <w:softHyphen/>
        <w:t>мой. Причину нашли в несоответствии параметров ТК-3 расчетным и непри</w:t>
      </w:r>
      <w:r w:rsidRPr="00D03F3E">
        <w:rPr>
          <w:rFonts w:ascii="Times New Roman" w:hAnsi="Times New Roman"/>
          <w:color w:val="000000" w:themeColor="text1"/>
          <w:sz w:val="16"/>
          <w:szCs w:val="16"/>
        </w:rPr>
        <w:softHyphen/>
        <w:t>годности винтов ВИШ-61П. Последние заменили на четырехлопастные АВ-9. Но это не дало существенного сдвига. Далее перешли к более совершенным нагнетателям ТК-М. Первый полет с ними состоялся 16 сентября. Подня</w:t>
      </w:r>
      <w:r w:rsidRPr="00D03F3E">
        <w:rPr>
          <w:rFonts w:ascii="Times New Roman" w:hAnsi="Times New Roman"/>
          <w:color w:val="000000" w:themeColor="text1"/>
          <w:sz w:val="16"/>
          <w:szCs w:val="16"/>
        </w:rPr>
        <w:softHyphen/>
        <w:t>лись на 7500 м. Моторы работали неус</w:t>
      </w:r>
      <w:r w:rsidRPr="00D03F3E">
        <w:rPr>
          <w:rFonts w:ascii="Times New Roman" w:hAnsi="Times New Roman"/>
          <w:color w:val="000000" w:themeColor="text1"/>
          <w:sz w:val="16"/>
          <w:szCs w:val="16"/>
        </w:rPr>
        <w:softHyphen/>
        <w:t>тойчиво. К этому времени в условиях перехода господства в воздухе к совет</w:t>
      </w:r>
      <w:r w:rsidRPr="00D03F3E">
        <w:rPr>
          <w:rFonts w:ascii="Times New Roman" w:hAnsi="Times New Roman"/>
          <w:color w:val="000000" w:themeColor="text1"/>
          <w:sz w:val="16"/>
          <w:szCs w:val="16"/>
        </w:rPr>
        <w:softHyphen/>
        <w:t>ской авиации потребность в высотной технике уже не стала столь насущной. 10 ноября 1943 г. Ильюшин распоря</w:t>
      </w:r>
      <w:r w:rsidRPr="00D03F3E">
        <w:rPr>
          <w:rFonts w:ascii="Times New Roman" w:hAnsi="Times New Roman"/>
          <w:color w:val="000000" w:themeColor="text1"/>
          <w:sz w:val="16"/>
          <w:szCs w:val="16"/>
        </w:rPr>
        <w:softHyphen/>
        <w:t>дился прекратить работы по Ил-4ТК (10734,87).</w:t>
      </w:r>
    </w:p>
    <w:p w14:paraId="5334A76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C73B6A" w14:textId="77777777" w:rsidR="002C61C7" w:rsidRPr="00D03F3E" w:rsidRDefault="002C61C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12 марта 1943 вторая машина Ил-4 ТК, которую постановление ГКО от 12 ноября 1942 требовало сдать на испытания к 15 марта, был готов. Первый полет на Ил-4ТК совершил В.К. Коккинаки 16 марта 1943 г. Взлетный вес составлял 10593 кг. несколько больше расчетного за счет контрольно- измерительной аппаратуры. Первый этап заводских испытаний завершился 29 мая. Затем на самолете установили усовершенствованную гермокабину и 10 августа вновь подняли его в воздух. Результаты принесли разочарование. До предполагавшихся в проекте данных машина здорово недотягивала. Хотя считали, что крейсерский полет будет происходить на высоте 11000 м. выше 9300 м подняться не удавалось. Скорость также оказалась далека от желаемой. Причину нашли в несоответствии параметров ТК-3 расчетным и непригодности винтов ВИШ-61П. Последние заменили на четырехлопастные АВ-9. Но это не дало существенного сдвига. Далее перешли к более совершенным нагнетателям ТК-М. Первый полет с ними состоялся 16 сентября. Поднялись на 7500 м. Моторы работали неустойчиво. К этому времени в условиях перехода господства в воздухе к советской авиации потребность в высотной технике уже не стала столь насущной. 10 ноября 1943 г. Ильюшин распорядился прекратить работы по Ил-4ТК.' Здесь уместно вспомнить не менее тёмную историю с Ил-18. По бытующей сейчас версии он начал разрабатываться под дизели Чаромского в 1943 году (21548).</w:t>
      </w:r>
    </w:p>
    <w:p w14:paraId="563F334A" w14:textId="77777777" w:rsidR="002C61C7" w:rsidRPr="00D03F3E" w:rsidRDefault="002C61C7" w:rsidP="00D03F3E">
      <w:pPr>
        <w:spacing w:after="0" w:line="240" w:lineRule="auto"/>
        <w:jc w:val="both"/>
        <w:rPr>
          <w:rFonts w:ascii="Times New Roman" w:hAnsi="Times New Roman"/>
          <w:color w:val="0070C0"/>
          <w:sz w:val="16"/>
          <w:szCs w:val="16"/>
        </w:rPr>
      </w:pPr>
    </w:p>
    <w:p w14:paraId="4B5C911D" w14:textId="77777777" w:rsidR="002C61C7" w:rsidRPr="00D03F3E" w:rsidRDefault="002C61C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12 марта 1943 года Голованов докладывал Шахурину:</w:t>
      </w:r>
    </w:p>
    <w:p w14:paraId="3937F0D5" w14:textId="77777777" w:rsidR="002C61C7" w:rsidRPr="00D03F3E" w:rsidRDefault="002C61C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«Опыт боевого применения &lt;...&gt; Ил-4 частями АДД в полетах на полную дальность с максимально допу</w:t>
      </w:r>
      <w:r w:rsidRPr="00D03F3E">
        <w:rPr>
          <w:rFonts w:ascii="Times New Roman" w:hAnsi="Times New Roman"/>
          <w:color w:val="0070C0"/>
          <w:sz w:val="16"/>
          <w:szCs w:val="16"/>
        </w:rPr>
        <w:softHyphen/>
        <w:t>стимым весом до 11500 кг выявил необходимость улучшения летно-технических данных его с целью по</w:t>
      </w:r>
      <w:r w:rsidRPr="00D03F3E">
        <w:rPr>
          <w:rFonts w:ascii="Times New Roman" w:hAnsi="Times New Roman"/>
          <w:color w:val="0070C0"/>
          <w:sz w:val="16"/>
          <w:szCs w:val="16"/>
        </w:rPr>
        <w:softHyphen/>
        <w:t>вышения надежности полета и живучести в бою».</w:t>
      </w:r>
    </w:p>
    <w:p w14:paraId="321EF96A" w14:textId="77777777" w:rsidR="002C61C7" w:rsidRPr="00D03F3E" w:rsidRDefault="002C61C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Письмо с резолюцией наркома отправили глав</w:t>
      </w:r>
      <w:r w:rsidRPr="00D03F3E">
        <w:rPr>
          <w:rFonts w:ascii="Times New Roman" w:hAnsi="Times New Roman"/>
          <w:color w:val="0070C0"/>
          <w:sz w:val="16"/>
          <w:szCs w:val="16"/>
        </w:rPr>
        <w:softHyphen/>
        <w:t>ному конструктору, и спустя две недели, 27 марта, Ильюшин ответил Шахурину (23188).</w:t>
      </w:r>
    </w:p>
    <w:p w14:paraId="69532FC5" w14:textId="77777777" w:rsidR="002C61C7" w:rsidRPr="00D03F3E" w:rsidRDefault="002C61C7" w:rsidP="00D03F3E">
      <w:pPr>
        <w:spacing w:after="0" w:line="240" w:lineRule="auto"/>
        <w:jc w:val="both"/>
        <w:rPr>
          <w:rFonts w:ascii="Times New Roman" w:hAnsi="Times New Roman"/>
          <w:color w:val="0070C0"/>
          <w:sz w:val="16"/>
          <w:szCs w:val="16"/>
        </w:rPr>
      </w:pPr>
    </w:p>
    <w:p w14:paraId="2608036D" w14:textId="77777777" w:rsidR="009A1FC3" w:rsidRPr="00D03F3E" w:rsidRDefault="009A1FC3"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12-го марта 1943 года бюро Иркутского обкома ВКП(б) рассмотрело мероприятия по выполнению Постановления ГКО о производстве опытных самолетов Ил-6 на заводе № 39. Бюро Обкома ВКП(б) постановило (Постановление бюро Иркутского обкома ВКП(б) о мероприятиях по выполнению Постановления ГОКО № 2999сс от 7 марта 1943 года « О производстве опытных самолетов Ил-6 на заводе № 39». Приложение к протоколу № 192 от 12-13/III- 1943 г. Архив музея истории ИАЗ.):</w:t>
      </w:r>
    </w:p>
    <w:p w14:paraId="1C78259F" w14:textId="77777777" w:rsidR="009A1FC3" w:rsidRPr="00D03F3E" w:rsidRDefault="009A1FC3" w:rsidP="00D03F3E">
      <w:pPr>
        <w:pStyle w:val="rteindent11"/>
        <w:shd w:val="clear" w:color="auto" w:fill="FFFFFF"/>
        <w:spacing w:before="0" w:beforeAutospacing="0" w:after="0"/>
        <w:ind w:left="0" w:firstLine="0"/>
        <w:rPr>
          <w:color w:val="000000" w:themeColor="text1"/>
          <w:sz w:val="16"/>
          <w:szCs w:val="16"/>
        </w:rPr>
      </w:pPr>
      <w:r w:rsidRPr="00D03F3E">
        <w:rPr>
          <w:rStyle w:val="af0"/>
          <w:i w:val="0"/>
          <w:color w:val="000000" w:themeColor="text1"/>
          <w:sz w:val="16"/>
          <w:szCs w:val="16"/>
        </w:rPr>
        <w:t>1. Принять к сведению заявление директора завода № 39 т. Абрамова и секретаря парткома т. Зенкова о том, что ими будет обеспечено:</w:t>
      </w:r>
    </w:p>
    <w:p w14:paraId="48480101" w14:textId="77777777" w:rsidR="009A1FC3" w:rsidRPr="00D03F3E" w:rsidRDefault="009A1FC3" w:rsidP="00D03F3E">
      <w:pPr>
        <w:pStyle w:val="rteindent11"/>
        <w:shd w:val="clear" w:color="auto" w:fill="FFFFFF"/>
        <w:spacing w:before="0" w:beforeAutospacing="0" w:after="0"/>
        <w:ind w:left="0" w:firstLine="0"/>
        <w:rPr>
          <w:color w:val="000000" w:themeColor="text1"/>
          <w:sz w:val="16"/>
          <w:szCs w:val="16"/>
        </w:rPr>
      </w:pPr>
      <w:r w:rsidRPr="00D03F3E">
        <w:rPr>
          <w:rStyle w:val="af0"/>
          <w:i w:val="0"/>
          <w:color w:val="000000" w:themeColor="text1"/>
          <w:sz w:val="16"/>
          <w:szCs w:val="16"/>
        </w:rPr>
        <w:t>а) разработка необходимой технологической и технической документации – к 12 апреля 1943 года;</w:t>
      </w:r>
    </w:p>
    <w:p w14:paraId="0D5B5EB4" w14:textId="77777777" w:rsidR="009A1FC3" w:rsidRPr="00D03F3E" w:rsidRDefault="009A1FC3" w:rsidP="00D03F3E">
      <w:pPr>
        <w:pStyle w:val="rteindent11"/>
        <w:shd w:val="clear" w:color="auto" w:fill="FFFFFF"/>
        <w:spacing w:before="0" w:beforeAutospacing="0" w:after="0"/>
        <w:ind w:left="0" w:firstLine="0"/>
        <w:rPr>
          <w:color w:val="000000" w:themeColor="text1"/>
          <w:sz w:val="16"/>
          <w:szCs w:val="16"/>
        </w:rPr>
      </w:pPr>
      <w:r w:rsidRPr="00D03F3E">
        <w:rPr>
          <w:rStyle w:val="af0"/>
          <w:i w:val="0"/>
          <w:color w:val="000000" w:themeColor="text1"/>
          <w:sz w:val="16"/>
          <w:szCs w:val="16"/>
        </w:rPr>
        <w:t>б) подготовка производства (стапелей, кондукторов, шаблонов, плазов, инструмента и пр.) – к 10 мая 1943 года;</w:t>
      </w:r>
    </w:p>
    <w:p w14:paraId="054CE2FB" w14:textId="77777777" w:rsidR="009A1FC3" w:rsidRPr="00D03F3E" w:rsidRDefault="009A1FC3" w:rsidP="00D03F3E">
      <w:pPr>
        <w:pStyle w:val="rteindent11"/>
        <w:shd w:val="clear" w:color="auto" w:fill="FFFFFF"/>
        <w:spacing w:before="0" w:beforeAutospacing="0" w:after="0"/>
        <w:ind w:left="0" w:firstLine="0"/>
        <w:rPr>
          <w:rStyle w:val="af0"/>
          <w:i w:val="0"/>
          <w:color w:val="000000" w:themeColor="text1"/>
          <w:sz w:val="16"/>
          <w:szCs w:val="16"/>
        </w:rPr>
      </w:pPr>
      <w:r w:rsidRPr="00D03F3E">
        <w:rPr>
          <w:rStyle w:val="af0"/>
          <w:i w:val="0"/>
          <w:color w:val="000000" w:themeColor="text1"/>
          <w:sz w:val="16"/>
          <w:szCs w:val="16"/>
        </w:rPr>
        <w:t>в) изготовление агрегатов самолета для статических испытаний – к 15 мая 1943 года;</w:t>
      </w:r>
    </w:p>
    <w:p w14:paraId="71AC6483" w14:textId="77777777" w:rsidR="009A1FC3" w:rsidRPr="00D03F3E" w:rsidRDefault="009A1FC3" w:rsidP="00D03F3E">
      <w:pPr>
        <w:pStyle w:val="rteindent11"/>
        <w:shd w:val="clear" w:color="auto" w:fill="FFFFFF"/>
        <w:spacing w:before="0" w:beforeAutospacing="0" w:after="0"/>
        <w:ind w:left="0" w:firstLine="0"/>
        <w:rPr>
          <w:color w:val="000000" w:themeColor="text1"/>
          <w:sz w:val="16"/>
          <w:szCs w:val="16"/>
        </w:rPr>
      </w:pPr>
      <w:r w:rsidRPr="00D03F3E">
        <w:rPr>
          <w:rStyle w:val="af0"/>
          <w:i w:val="0"/>
          <w:color w:val="000000" w:themeColor="text1"/>
          <w:sz w:val="16"/>
          <w:szCs w:val="16"/>
        </w:rPr>
        <w:t>г) изготовление агрегатов для сборки первого опытного самолета – к 20 мая 1943 года;</w:t>
      </w:r>
    </w:p>
    <w:p w14:paraId="7D98F1AB" w14:textId="77777777" w:rsidR="009A1FC3" w:rsidRPr="00D03F3E" w:rsidRDefault="009A1FC3" w:rsidP="00D03F3E">
      <w:pPr>
        <w:pStyle w:val="rteindent11"/>
        <w:shd w:val="clear" w:color="auto" w:fill="FFFFFF"/>
        <w:spacing w:before="0" w:beforeAutospacing="0" w:after="0"/>
        <w:ind w:left="0" w:firstLine="0"/>
        <w:rPr>
          <w:color w:val="000000" w:themeColor="text1"/>
          <w:sz w:val="16"/>
          <w:szCs w:val="16"/>
        </w:rPr>
      </w:pPr>
      <w:r w:rsidRPr="00D03F3E">
        <w:rPr>
          <w:rStyle w:val="af0"/>
          <w:i w:val="0"/>
          <w:color w:val="000000" w:themeColor="text1"/>
          <w:sz w:val="16"/>
          <w:szCs w:val="16"/>
        </w:rPr>
        <w:t>д) изготовление агрегатов для сборки второго опытного самолета – к 1 июня 1943 года;</w:t>
      </w:r>
    </w:p>
    <w:p w14:paraId="6F7C2587" w14:textId="77777777" w:rsidR="009A1FC3" w:rsidRPr="00D03F3E" w:rsidRDefault="009A1FC3" w:rsidP="00D03F3E">
      <w:pPr>
        <w:pStyle w:val="rteindent11"/>
        <w:shd w:val="clear" w:color="auto" w:fill="FFFFFF"/>
        <w:spacing w:before="0" w:beforeAutospacing="0" w:after="0"/>
        <w:ind w:left="0" w:firstLine="0"/>
        <w:rPr>
          <w:color w:val="000000" w:themeColor="text1"/>
          <w:sz w:val="16"/>
          <w:szCs w:val="16"/>
        </w:rPr>
      </w:pPr>
      <w:r w:rsidRPr="00D03F3E">
        <w:rPr>
          <w:rStyle w:val="af0"/>
          <w:i w:val="0"/>
          <w:color w:val="000000" w:themeColor="text1"/>
          <w:sz w:val="16"/>
          <w:szCs w:val="16"/>
        </w:rPr>
        <w:t>е) сборка и подготовка опытных самолетов к летным испытаниям:</w:t>
      </w:r>
    </w:p>
    <w:p w14:paraId="08B8A85A" w14:textId="77777777" w:rsidR="009A1FC3" w:rsidRPr="00D03F3E" w:rsidRDefault="009A1FC3" w:rsidP="00D03F3E">
      <w:pPr>
        <w:pStyle w:val="rteindent11"/>
        <w:shd w:val="clear" w:color="auto" w:fill="FFFFFF"/>
        <w:spacing w:before="0" w:beforeAutospacing="0" w:after="0"/>
        <w:ind w:left="0" w:firstLine="0"/>
        <w:rPr>
          <w:rStyle w:val="af0"/>
          <w:i w:val="0"/>
          <w:color w:val="000000" w:themeColor="text1"/>
          <w:sz w:val="16"/>
          <w:szCs w:val="16"/>
        </w:rPr>
      </w:pPr>
      <w:r w:rsidRPr="00D03F3E">
        <w:rPr>
          <w:rStyle w:val="af0"/>
          <w:i w:val="0"/>
          <w:color w:val="000000" w:themeColor="text1"/>
          <w:sz w:val="16"/>
          <w:szCs w:val="16"/>
        </w:rPr>
        <w:t>первого – к 25 июня 1943 года, второго – к 10 июля 1943 года.</w:t>
      </w:r>
    </w:p>
    <w:p w14:paraId="2F1F455C" w14:textId="77777777" w:rsidR="009A1FC3" w:rsidRPr="00D03F3E" w:rsidRDefault="009A1FC3" w:rsidP="00D03F3E">
      <w:pPr>
        <w:pStyle w:val="rteindent11"/>
        <w:shd w:val="clear" w:color="auto" w:fill="FFFFFF"/>
        <w:spacing w:before="0" w:beforeAutospacing="0" w:after="0"/>
        <w:ind w:left="0" w:firstLine="0"/>
        <w:rPr>
          <w:rStyle w:val="af0"/>
          <w:i w:val="0"/>
          <w:color w:val="000000" w:themeColor="text1"/>
          <w:sz w:val="16"/>
          <w:szCs w:val="16"/>
        </w:rPr>
      </w:pPr>
      <w:r w:rsidRPr="00D03F3E">
        <w:rPr>
          <w:rStyle w:val="af0"/>
          <w:i w:val="0"/>
          <w:color w:val="000000" w:themeColor="text1"/>
          <w:sz w:val="16"/>
          <w:szCs w:val="16"/>
        </w:rPr>
        <w:t>2. Принять к сведению заявление заместителя Главного конструктора самолета Ил-6 т. Кутепова о том, что недостающая часть чертежей самолета (крыла и мотоустановки) будет доставлена на завод № 39: по крылу – к 15 марта 1943 года, по мотоустановке – к 1 апреля 1943 года (15223).</w:t>
      </w:r>
    </w:p>
    <w:p w14:paraId="5DB4AAE5" w14:textId="77777777" w:rsidR="009A1FC3" w:rsidRPr="00D03F3E" w:rsidRDefault="009A1FC3" w:rsidP="00D03F3E">
      <w:pPr>
        <w:pStyle w:val="rteindent11"/>
        <w:shd w:val="clear" w:color="auto" w:fill="FFFFFF"/>
        <w:spacing w:before="0" w:beforeAutospacing="0" w:after="0"/>
        <w:ind w:left="0" w:firstLine="0"/>
        <w:rPr>
          <w:rStyle w:val="af0"/>
          <w:i w:val="0"/>
          <w:color w:val="000000" w:themeColor="text1"/>
          <w:sz w:val="16"/>
          <w:szCs w:val="16"/>
        </w:rPr>
      </w:pPr>
    </w:p>
    <w:p w14:paraId="770CF02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марта и 29 мая 1943 го</w:t>
      </w:r>
      <w:r w:rsidRPr="00D03F3E">
        <w:rPr>
          <w:rFonts w:ascii="Times New Roman" w:hAnsi="Times New Roman"/>
          <w:color w:val="000000" w:themeColor="text1"/>
          <w:sz w:val="16"/>
          <w:szCs w:val="16"/>
        </w:rPr>
        <w:softHyphen/>
        <w:t>да вышли приказы НКАП, в соответствии с которыми на заводе № 22 начались работы по установке однокамерного РД-1 на Пе-2 № 15/185. Испытаниями этой машины, переданной на ЛИС в августе 1943 года, руководил С.П. Королев.</w:t>
      </w:r>
    </w:p>
    <w:p w14:paraId="4666D8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завершения первого этапа испытаний реак</w:t>
      </w:r>
      <w:r w:rsidRPr="00D03F3E">
        <w:rPr>
          <w:rFonts w:ascii="Times New Roman" w:hAnsi="Times New Roman"/>
          <w:color w:val="000000" w:themeColor="text1"/>
          <w:sz w:val="16"/>
          <w:szCs w:val="16"/>
        </w:rPr>
        <w:softHyphen/>
        <w:t>тивный двигатель РД-1 отправили на доработку. В но</w:t>
      </w:r>
      <w:r w:rsidRPr="00D03F3E">
        <w:rPr>
          <w:rFonts w:ascii="Times New Roman" w:hAnsi="Times New Roman"/>
          <w:color w:val="000000" w:themeColor="text1"/>
          <w:sz w:val="16"/>
          <w:szCs w:val="16"/>
        </w:rPr>
        <w:softHyphen/>
        <w:t>ябре 1944 года на самолете № 15/185 установили усо</w:t>
      </w:r>
      <w:r w:rsidRPr="00D03F3E">
        <w:rPr>
          <w:rFonts w:ascii="Times New Roman" w:hAnsi="Times New Roman"/>
          <w:color w:val="000000" w:themeColor="text1"/>
          <w:sz w:val="16"/>
          <w:szCs w:val="16"/>
        </w:rPr>
        <w:softHyphen/>
        <w:t>вершенствованный РД-1 и к концу этого года самолет подготовили к летным испытаниям. Тогда же для отра</w:t>
      </w:r>
      <w:r w:rsidRPr="00D03F3E">
        <w:rPr>
          <w:rFonts w:ascii="Times New Roman" w:hAnsi="Times New Roman"/>
          <w:color w:val="000000" w:themeColor="text1"/>
          <w:sz w:val="16"/>
          <w:szCs w:val="16"/>
        </w:rPr>
        <w:softHyphen/>
        <w:t>ботки отдельных вопросов по двигателю РД-1 в 1943 го</w:t>
      </w:r>
      <w:r w:rsidRPr="00D03F3E">
        <w:rPr>
          <w:rFonts w:ascii="Times New Roman" w:hAnsi="Times New Roman"/>
          <w:color w:val="000000" w:themeColor="text1"/>
          <w:sz w:val="16"/>
          <w:szCs w:val="16"/>
        </w:rPr>
        <w:softHyphen/>
        <w:t>ду выделили еще один Пе-2 № 11/189, но до летных испытаний ЖРД на нем так дело и не дошло. В итоге в 1944-м самолет восстановили до состояния серийной машины и сдали на летно-испытательную станцию за</w:t>
      </w:r>
      <w:r w:rsidRPr="00D03F3E">
        <w:rPr>
          <w:rFonts w:ascii="Times New Roman" w:hAnsi="Times New Roman"/>
          <w:color w:val="000000" w:themeColor="text1"/>
          <w:sz w:val="16"/>
          <w:szCs w:val="16"/>
        </w:rPr>
        <w:softHyphen/>
        <w:t>вода № 22 (11446).</w:t>
      </w:r>
    </w:p>
    <w:p w14:paraId="727EEF8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B945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марта 1943 г. Приказом НКАП № 144 опытно-конструкторский отдел завода № 22 получил распоряжение выделить самолет Пе-2 для установки двигателя РД-1. После отработки документации в мае 1943 г. начался монтаж АРУ на серийной машине зав. № 15/185. В августе доработка "пешки" была завершена, и самолет отправили вЛЭС для проведения первого этапа испытаний. В ходе отладочных наземных огневых испытаний в 1943 г. на самолете выполнили 38 пусков двигателя РД-1 на земле (12042).</w:t>
      </w:r>
    </w:p>
    <w:p w14:paraId="00A35F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A1FF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12 марта 1943 проходили испытания Як-1 с М-105ПФ. Оказалась ненормальной работа ВМГ (198,48).</w:t>
      </w:r>
    </w:p>
    <w:p w14:paraId="5FC908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5021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марта 1943 г. испытания Як-1 № 02119, 20120, 10123, 17124. 38124, 17125, 25125, 11126, 29126 опять подтвердили вывод о том, что она не обеспечивает нормального температурного режима в полете на максимальной скорости. Плохая работа ВМГ стала одной из основных причин получения оценки "неудовлетворительно" при контрольных испытаниях вНИИ ВВС машин № 04111, 07127. Но, несмотря на это, выпуск самолетов не прекращался, и, соответственно, все проблемы опять легли на плечи летно-техничес- кого состава (12048).</w:t>
      </w:r>
    </w:p>
    <w:p w14:paraId="232B34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95F1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марта 1943 вышло постановление ГКО от N 3028сс о том, что Рыбинский завод 26 НКТанкопрома не передается (1705,99).</w:t>
      </w:r>
    </w:p>
    <w:p w14:paraId="526417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F459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12 по 27 марта 1943 состоялись заводские испытания серийного самолета У2-ВС N 3882 с мотором М11-Д, производства завода 387. Летчики Бирбуц и Захаров выполнили 28 полетов (516).</w:t>
      </w:r>
    </w:p>
    <w:p w14:paraId="0D22B8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1CD76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557F6D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8814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12 по 23 марта 1943 года четыре 45-мм ПТпушки М-6 прошли войсковые испытания в Московском ВО. По результатам полигонных и войсковых испытаний М-6 была рекомендована к принятию на вооружение. Однако начальство предпочло другую 45-мм ПТП - М-42 (3861).</w:t>
      </w:r>
    </w:p>
    <w:p w14:paraId="437F69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FB33F7"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12 по 23 марта 1943 г. четыре 45-мм противотанковых пушки М-6, которые прибыли 19 февраля 1943 г. на Гороховецкий полигон (под г. Горький) для прохождения полигонных испытаний прошли войсковые испытания в Московском военном округе. По результатам полигонных и войсковых испытаний М-6 была рекомендована к принятию на вооружение. Однако начальство предпочло другую 45-мм противотанковую пушку — М-42.</w:t>
      </w:r>
    </w:p>
    <w:p w14:paraId="05055045"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 45-мм противотанковой пушки М-6 был разработан в КБ завода № 172, где работали вольнонаемные инженеры. Это была совершенно новая система, не имевшая взаимозаменяемости с пушкой 53К, кроме полуавтоматики и колес. Баллистика и боеприпасы были тождественны пушке М-42 (12705).</w:t>
      </w:r>
    </w:p>
    <w:p w14:paraId="37E509C2"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68B4352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марта 1943 года вышел приказ № 281 НКБ</w:t>
      </w:r>
    </w:p>
    <w:p w14:paraId="64675B8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дополнение к приказу № 158 от 12 февраля 1943 года снаряжательному заводу, организованному в районе станции Даубихе на территории завода № 267 присвоить № 515 НКБ и подчинить 1 Гл. Управлению (5816, 21).</w:t>
      </w:r>
    </w:p>
    <w:p w14:paraId="6C2E2AE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3074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марта 1943 из цехов завода ЧКЗ вышел второй опытный обра</w:t>
      </w:r>
      <w:r w:rsidRPr="00D03F3E">
        <w:rPr>
          <w:rFonts w:ascii="Times New Roman" w:hAnsi="Times New Roman"/>
          <w:color w:val="000000" w:themeColor="text1"/>
          <w:sz w:val="16"/>
          <w:szCs w:val="16"/>
        </w:rPr>
        <w:softHyphen/>
        <w:t>зец - танк "Объект 234". После устранения незначительных дефектов, выявленных во время испытаний, опытные образцы были предъявлены на полигонные испытания, которые прошли в период с 22 марта по 3 ап</w:t>
      </w:r>
      <w:r w:rsidRPr="00D03F3E">
        <w:rPr>
          <w:rFonts w:ascii="Times New Roman" w:hAnsi="Times New Roman"/>
          <w:color w:val="000000" w:themeColor="text1"/>
          <w:sz w:val="16"/>
          <w:szCs w:val="16"/>
        </w:rPr>
        <w:softHyphen/>
        <w:t>реля 1943 г. в районе Челябинска. Одновременно с танками ИС проходил испытания и серийный танк КВ-1С. Танки ИС продемонстрировали лучшие боевые и технические характеристики, чем танк КВ-1 С, вследствие более удачной схемы ком</w:t>
      </w:r>
      <w:r w:rsidRPr="00D03F3E">
        <w:rPr>
          <w:rFonts w:ascii="Times New Roman" w:hAnsi="Times New Roman"/>
          <w:color w:val="000000" w:themeColor="text1"/>
          <w:sz w:val="16"/>
          <w:szCs w:val="16"/>
        </w:rPr>
        <w:softHyphen/>
        <w:t>поновки и установленных новых, более совершенных агрегатов транс</w:t>
      </w:r>
      <w:r w:rsidRPr="00D03F3E">
        <w:rPr>
          <w:rFonts w:ascii="Times New Roman" w:hAnsi="Times New Roman"/>
          <w:color w:val="000000" w:themeColor="text1"/>
          <w:sz w:val="16"/>
          <w:szCs w:val="16"/>
        </w:rPr>
        <w:softHyphen/>
        <w:t>миссии, таких, как коробка передач и планетарный двухступенчатый механизм поворота (ПМП). В результате более рациональной компо</w:t>
      </w:r>
      <w:r w:rsidRPr="00D03F3E">
        <w:rPr>
          <w:rFonts w:ascii="Times New Roman" w:hAnsi="Times New Roman"/>
          <w:color w:val="000000" w:themeColor="text1"/>
          <w:sz w:val="16"/>
          <w:szCs w:val="16"/>
        </w:rPr>
        <w:softHyphen/>
        <w:t>новки, по сравнению с танком КВ-1С, конструкторам удалось создать танк с лучшей броневой защитой, хорошей маневренностью, более вы</w:t>
      </w:r>
      <w:r w:rsidRPr="00D03F3E">
        <w:rPr>
          <w:rFonts w:ascii="Times New Roman" w:hAnsi="Times New Roman"/>
          <w:color w:val="000000" w:themeColor="text1"/>
          <w:sz w:val="16"/>
          <w:szCs w:val="16"/>
        </w:rPr>
        <w:softHyphen/>
        <w:t>сокой средней скоростью, при меньшей массе и равноценном вооруже</w:t>
      </w:r>
      <w:r w:rsidRPr="00D03F3E">
        <w:rPr>
          <w:rFonts w:ascii="Times New Roman" w:hAnsi="Times New Roman"/>
          <w:color w:val="000000" w:themeColor="text1"/>
          <w:sz w:val="16"/>
          <w:szCs w:val="16"/>
        </w:rPr>
        <w:softHyphen/>
        <w:t>нии у танка "Объект 233" и более мощном - у танка "Объект 234". Во время испытаний был выявлен ряд дефектов, основными из ко</w:t>
      </w:r>
      <w:r w:rsidRPr="00D03F3E">
        <w:rPr>
          <w:rFonts w:ascii="Times New Roman" w:hAnsi="Times New Roman"/>
          <w:color w:val="000000" w:themeColor="text1"/>
          <w:sz w:val="16"/>
          <w:szCs w:val="16"/>
        </w:rPr>
        <w:softHyphen/>
        <w:t>торых являлись: высокая температура воды в системе охлаждения; ко</w:t>
      </w:r>
      <w:r w:rsidRPr="00D03F3E">
        <w:rPr>
          <w:rFonts w:ascii="Times New Roman" w:hAnsi="Times New Roman"/>
          <w:color w:val="000000" w:themeColor="text1"/>
          <w:sz w:val="16"/>
          <w:szCs w:val="16"/>
        </w:rPr>
        <w:softHyphen/>
        <w:t>робление проставочного кольца главного фрикциона; недостаточная жесткость подмоторной рамы; разрушение однорядных роликовых под</w:t>
      </w:r>
      <w:r w:rsidRPr="00D03F3E">
        <w:rPr>
          <w:rFonts w:ascii="Times New Roman" w:hAnsi="Times New Roman"/>
          <w:color w:val="000000" w:themeColor="text1"/>
          <w:sz w:val="16"/>
          <w:szCs w:val="16"/>
        </w:rPr>
        <w:softHyphen/>
        <w:t>шипников опорных катков, в основном, передних (10703).</w:t>
      </w:r>
    </w:p>
    <w:p w14:paraId="57F310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D54D18" w14:textId="77777777" w:rsidR="00575488" w:rsidRPr="00D03F3E" w:rsidRDefault="0057548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12 марта 1943 года завершилась постройка ИС-2, которая находилась в меньшем приоритете, чем ИС-1, после чего начались заводские испытания. 19 числа были внесены исправления по итогам испытаний. Окончательно танк был сдан 28 марта. Согласно акту, он получил гаубицу У-11 с серийным номером «6», его полностью укомплектовали запасными частями, инструментами и принадлежностями (ЗИП). Перед сдачей танк полностью отрегулировали и заправили горюче-смазочными материалами (17694).</w:t>
      </w:r>
    </w:p>
    <w:p w14:paraId="6BFB5AEC" w14:textId="77777777" w:rsidR="00575488" w:rsidRPr="00D03F3E" w:rsidRDefault="00575488" w:rsidP="00D03F3E">
      <w:pPr>
        <w:spacing w:after="0" w:line="240" w:lineRule="auto"/>
        <w:jc w:val="both"/>
        <w:rPr>
          <w:rFonts w:ascii="Times New Roman" w:eastAsia="Times New Roman" w:hAnsi="Times New Roman"/>
          <w:color w:val="000000" w:themeColor="text1"/>
          <w:sz w:val="16"/>
          <w:szCs w:val="16"/>
          <w:lang w:eastAsia="ru-RU"/>
        </w:rPr>
      </w:pPr>
    </w:p>
    <w:p w14:paraId="24DBFB55" w14:textId="77777777" w:rsidR="004A45BE" w:rsidRPr="00D03F3E" w:rsidRDefault="004A45BE" w:rsidP="00D03F3E">
      <w:pPr>
        <w:pStyle w:val="162"/>
        <w:shd w:val="clear" w:color="auto" w:fill="auto"/>
        <w:spacing w:line="240" w:lineRule="auto"/>
        <w:jc w:val="both"/>
        <w:rPr>
          <w:color w:val="000000" w:themeColor="text1"/>
          <w:sz w:val="16"/>
          <w:szCs w:val="16"/>
        </w:rPr>
      </w:pPr>
      <w:r w:rsidRPr="00D03F3E">
        <w:rPr>
          <w:rFonts w:eastAsia="Calibri"/>
          <w:color w:val="000000" w:themeColor="text1"/>
          <w:sz w:val="16"/>
          <w:szCs w:val="16"/>
        </w:rPr>
        <w:t>12 марта 1943 года начальнику ГАУ КА генерал-полковнику Яковлеву пришло письмо от директора НИИ-48 Завьялова. На этот раз НИИ-48 представлял проект самоходной артиллерийской установки, которая, впрочем, ни на йоту не отличалась от предлагавшегося год назад танка. Изменилась лишь вводная и немного описательная часть, которую от</w:t>
      </w:r>
      <w:r w:rsidRPr="00D03F3E">
        <w:rPr>
          <w:rFonts w:eastAsia="Calibri"/>
          <w:color w:val="000000" w:themeColor="text1"/>
          <w:sz w:val="16"/>
          <w:szCs w:val="16"/>
        </w:rPr>
        <w:softHyphen/>
        <w:t>редактировали с учетом того, что Т-60 уже с производства сняли:</w:t>
      </w:r>
    </w:p>
    <w:p w14:paraId="2645BF6D" w14:textId="77777777" w:rsidR="004A45BE" w:rsidRPr="00D03F3E" w:rsidRDefault="004A45B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«Успешное применение в Красной Армии новой тактики «артиллерий</w:t>
      </w:r>
      <w:r w:rsidRPr="00D03F3E">
        <w:rPr>
          <w:rFonts w:ascii="Times New Roman" w:hAnsi="Times New Roman"/>
          <w:color w:val="000000" w:themeColor="text1"/>
          <w:sz w:val="16"/>
          <w:szCs w:val="16"/>
        </w:rPr>
        <w:softHyphen/>
        <w:t>ского наступления», при которой артиллерия сопровождает пехоту и на близких дистанциях ведет огонь по танкам и укрепленным точкам про</w:t>
      </w:r>
      <w:r w:rsidRPr="00D03F3E">
        <w:rPr>
          <w:rFonts w:ascii="Times New Roman" w:hAnsi="Times New Roman"/>
          <w:color w:val="000000" w:themeColor="text1"/>
          <w:sz w:val="16"/>
          <w:szCs w:val="16"/>
        </w:rPr>
        <w:softHyphen/>
        <w:t>тивника, поставило задачу разработки мощно бронированной самоходной артиллерийской установки.</w:t>
      </w:r>
    </w:p>
    <w:p w14:paraId="5CCD8061" w14:textId="77777777" w:rsidR="004A45BE" w:rsidRPr="00D03F3E" w:rsidRDefault="004A45B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основу проекта были заложены следующие идеи:</w:t>
      </w:r>
    </w:p>
    <w:p w14:paraId="52C2E387" w14:textId="77777777" w:rsidR="004A45BE" w:rsidRPr="00D03F3E" w:rsidRDefault="004A45BE" w:rsidP="00D03F3E">
      <w:pPr>
        <w:tabs>
          <w:tab w:val="left" w:pos="83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Вооружение самоходной установки должно быть таким, чтобы оно было в состоянии пробить броню основных типов танков противника и разрушать его укрепленные огневые точки.</w:t>
      </w:r>
    </w:p>
    <w:p w14:paraId="199F872A" w14:textId="77777777" w:rsidR="004A45BE" w:rsidRPr="00D03F3E" w:rsidRDefault="004A45B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Броневая защита артиллерийской установки должна защищать от основных огневых средств противника.</w:t>
      </w:r>
    </w:p>
    <w:p w14:paraId="181116EC" w14:textId="77777777" w:rsidR="004A45BE" w:rsidRPr="00D03F3E" w:rsidRDefault="004A45B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Конструкция артиллерийской установки должна быть такой, что</w:t>
      </w:r>
      <w:r w:rsidRPr="00D03F3E">
        <w:rPr>
          <w:rFonts w:ascii="Times New Roman" w:hAnsi="Times New Roman"/>
          <w:color w:val="000000" w:themeColor="text1"/>
          <w:sz w:val="16"/>
          <w:szCs w:val="16"/>
        </w:rPr>
        <w:softHyphen/>
        <w:t>бы была обеспечена массовость производства» (17485)</w:t>
      </w:r>
    </w:p>
    <w:p w14:paraId="62A92C35" w14:textId="77777777" w:rsidR="004A45BE" w:rsidRPr="00D03F3E" w:rsidRDefault="004A45BE" w:rsidP="00D03F3E">
      <w:pPr>
        <w:spacing w:after="0" w:line="240" w:lineRule="auto"/>
        <w:jc w:val="both"/>
        <w:rPr>
          <w:rFonts w:ascii="Times New Roman" w:hAnsi="Times New Roman"/>
          <w:color w:val="000000" w:themeColor="text1"/>
          <w:sz w:val="16"/>
          <w:szCs w:val="16"/>
        </w:rPr>
      </w:pPr>
    </w:p>
    <w:p w14:paraId="0F11CA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марта 1943 вышло Распоряжение ГКО № 3025. Вместо предусмотренной постановлением ГКО № 2773 от 20 января 1943 г. передачи Наркомместпромом РСФСР Наркомнефти механического цеха Похвистневского обозно-строительного завода передать 10 металлообрабатывающих станков РГАНИР, Фонд ГКО, д. 96, лл. 116 (11012).</w:t>
      </w:r>
    </w:p>
    <w:p w14:paraId="38886F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3BF6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марта 1943 вышло Постановление ГКО № 3026 Об обеспечении выпуска танков, артиллерийских установок, дизелей и танковых бронекорпусов в марте 1943 года и об ответственности наркоматов-поставщиков.РГАНИР, Фонд ГКО, д. 96, лл. 117-128, 129-131 (11012).</w:t>
      </w:r>
    </w:p>
    <w:p w14:paraId="485E07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55D6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марта 1943 вышло Постановление ГКО № 3027 Об организации городского комитета обороны в г. Кропоткине.РГАНИР, Фонд ГКО, д. 96, лл. 132 (11012).</w:t>
      </w:r>
    </w:p>
    <w:p w14:paraId="2A1DE0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3280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марта 1943 вышло Постановление ГКО № 3028 Об организации производства танковых дизелей.РГАНИР, Фонд ГКО, д. 96, лл. 133 (11012).</w:t>
      </w:r>
    </w:p>
    <w:p w14:paraId="476849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CAEE0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марта 1943 вышло Постановление ГКО № 3029 О переделке трофейных вагонов с западноевропейской колеи на широкую колею советских железных дорог. (7088, 134).</w:t>
      </w:r>
    </w:p>
    <w:p w14:paraId="321A575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9655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марта 1943 вышло Постановление ГКО № 3030 О восстановлении Орджоникидзевского цинкового электролитного завода "Электроцинк" и Садонского полиметаллического комбината Наркомцветмета.РГАНИР, Фонд ГКО, д. 96, лл. 135-137, 138-143 (11012).</w:t>
      </w:r>
    </w:p>
    <w:p w14:paraId="1D6BB9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AA9B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марта 1943 вышло Постановление ГКО № 3031 О мероприятиях по подготовке и проведению лесосплава в навигацию 1943 года.РГАНИР, Фонд ГКО, д. 96, лл. 144-162, 163-193 (11012).</w:t>
      </w:r>
    </w:p>
    <w:p w14:paraId="542CCA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73F1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марта 1943 г. вышло постановление о строительстве временных верфей в Днепро-Двинском бассейне для срочной постройки деревянных барж с расчетом их годового выпуска грузоподъемностью в б тыс. т (3898).</w:t>
      </w:r>
    </w:p>
    <w:p w14:paraId="5BF163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81BD9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4A5369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071CAC"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12 марта</w:t>
      </w:r>
      <w:r w:rsidRPr="00D03F3E">
        <w:rPr>
          <w:rFonts w:ascii="Times New Roman" w:hAnsi="Times New Roman"/>
          <w:color w:val="000000" w:themeColor="text1"/>
          <w:sz w:val="16"/>
          <w:szCs w:val="16"/>
        </w:rPr>
        <w:t xml:space="preserve"> в 1943 году утреннее сообщение Совинформбюро:</w:t>
      </w:r>
    </w:p>
    <w:p w14:paraId="14E3E9A0"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12 марта наши войска вели бои на прежних направлениях.</w:t>
      </w:r>
    </w:p>
    <w:p w14:paraId="06864B69"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Гжатска наши войска продолжали успешное наступление и заняли ряд населённых пунктов. Противник оказывал упорное сопротивление и на отдельных участках переходил в контратаки. Наши части подавили сопротивление гитлеровцев и нанесли им большие потери. На одном участке бойцы Н-ской части штурмом заняли укреплённый населённый пункт и истребили более 200 немецких солдат и офицеров. Захвачено 8 противотанковых орудий, 7 миномётов и 26 пулемётов. На другом участке наши подразделения захватили большой обоз с боеприпасами и различным военным имуществом.</w:t>
      </w:r>
    </w:p>
    <w:p w14:paraId="6907BC08"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Харькова наши войска отбивали ожесточённые атаки противника. На одном участке артиллеристы и бронебойщики сожгли и подбили 9 немецких танков и уничтожили 17 автомашин с пехотой противника. Западнее Харькова крупные силы танков и пехоты противника последовательными волнами штурмовали наши позиции. Ценой больших потерь в людях и технике немцам удалось потеснить наши подразделения.</w:t>
      </w:r>
    </w:p>
    <w:p w14:paraId="68C56448"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наши части вели активные боевые действия. За два дня боёв уничтожено 15 немецких орудий, 2 танка и до 600 солдат и офицеров противника.</w:t>
      </w:r>
    </w:p>
    <w:p w14:paraId="77A51524"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Льгова советские подвижные отряды проникли в тыл противника и внезапным ударом захватили сильно укреплённый опорный пункт немцев. Гарнизон, состоящий из двух рот гитлеровцев, целиком уничтожен. Захвачены артиллерийская батарея, 6 миномётов, 24 пулемёта, склад с продовольствием и склад боеприпасов.</w:t>
      </w:r>
    </w:p>
    <w:p w14:paraId="1328F101"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Киевской области, в начале марта месяца провёл ряд успешных налётов на железнодорожные станции. Партизаны разрушили станционное оборудование и разгромили продовольственные базы гитлеровцев. Захвачено и роздано населению много зерна, картофеля в других продуктов. Группа партизан этого же отряда заминировала в нескольких местах железнодорожную линию. На минах подорвался паровоз и 8 платформ с автомашинами.</w:t>
      </w:r>
    </w:p>
    <w:p w14:paraId="24B26EA2"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Чудовищные злодеяния совершили немецко-фашистские мерзавцы в Михайловском районе, Курской области. Немцы сожгли дотла и сровняли с землей посёлок Холстинка, а всех жителей — стариков, женщин и детей — расстреляли из пулемётов. Раненых гитлеровцы бросали в горящие дома. Всего в посёлке от рук фашистских палачей погибло 250 человек. Посёлок полностью уничтожен, и в нём не осталось ни одного дома.» (15066).</w:t>
      </w:r>
    </w:p>
    <w:p w14:paraId="6C4B0A53" w14:textId="77777777" w:rsidR="008D099A" w:rsidRPr="00D03F3E" w:rsidRDefault="008D099A" w:rsidP="00D03F3E">
      <w:pPr>
        <w:spacing w:after="0" w:line="240" w:lineRule="auto"/>
        <w:jc w:val="both"/>
        <w:rPr>
          <w:rFonts w:ascii="Times New Roman" w:hAnsi="Times New Roman"/>
          <w:color w:val="000000" w:themeColor="text1"/>
          <w:sz w:val="16"/>
          <w:szCs w:val="16"/>
        </w:rPr>
      </w:pPr>
    </w:p>
    <w:p w14:paraId="15D80B50"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12 марта</w:t>
      </w:r>
      <w:r w:rsidRPr="00D03F3E">
        <w:rPr>
          <w:rFonts w:ascii="Times New Roman" w:hAnsi="Times New Roman"/>
          <w:color w:val="000000" w:themeColor="text1"/>
          <w:sz w:val="16"/>
          <w:szCs w:val="16"/>
        </w:rPr>
        <w:t xml:space="preserve"> в 1943 году вечернее сообщение Совинформбюро:</w:t>
      </w:r>
    </w:p>
    <w:p w14:paraId="1C36CAF7"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марта войска Западного фронта после решительного штурма овладели городом и железнодорожным узлом Вязьма.</w:t>
      </w:r>
    </w:p>
    <w:p w14:paraId="7D152378"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наши войска вели бои на прежних направлениях.</w:t>
      </w:r>
    </w:p>
    <w:p w14:paraId="2EFEA636"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марта частями нашей авиации на различных участках фронта уничтожено или повреждено до 150 немецких автомашин с войсками и грузами, подавлен огонь 10 батарей полевой и зенитной артиллерии, взорван склад боеприпасов и разбит железнодорожный эшелон противника.</w:t>
      </w:r>
    </w:p>
    <w:p w14:paraId="7A3B2394"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развивая наступление, овладели городом и железнодорожным узлом Вязьма. В боях за город нашими войсками захвачено у противника 8 самолётов, 83 танка, 69 орудий, 222 пулемёта, 565 автомашин и тракторов, 57 паровозов, 515 вагонов, большое количество снарядов, патронов и другого военного имущества. Противник потерял только убитыми более 9.000 солдат и офицеров.</w:t>
      </w:r>
    </w:p>
    <w:p w14:paraId="49D0ED49"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Сычёвки наши войска с боями продвигались вперёд и заняли ряд населённых пунктов. На одном участке подразделения под командованием тт.Газашвили и Куприянова, сломив оборону противника, ударами с флангов вынудила немцев к поспешному отступлению. Гитлеровцы бросили много военной техники, в том числе 12 орудий разного калибра. Юго-западнее Тёмкина наши войска, преодолевая упорное сопротивление немцев, заняли несколько десятков населённых пунктов, в числе которых районный центр Знаменка.</w:t>
      </w:r>
    </w:p>
    <w:p w14:paraId="6F2BE18F"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наши войска продолжали наступление и овладели несколькими населёнными пунктами. Бойцы Н-ской части, преследуя противника, заняли крупныйнаселённый пункт, в котором захвачены 18 немецких танков, 3 танкетки и другие трофеи.</w:t>
      </w:r>
    </w:p>
    <w:p w14:paraId="01791534"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Харькова наши войска вели ожесточённые бои против крупных сил танков ипехоты противника. Части Н-ского соединения отбили одну за другой восемь атак гитлеровцев и уничтожили 23 танка и до 800 немецких солдат и офицеров. Западнее Харькова наши части после кровопролитного боя с численно превосходящими силаминемцев оставили один населённый пункт и отошли на новый рубеж обороны.</w:t>
      </w:r>
    </w:p>
    <w:p w14:paraId="1D2F0EE2"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воздушных боях нашей авиацией в течение дня сбито 26 немецких самолётов.</w:t>
      </w:r>
    </w:p>
    <w:p w14:paraId="315AC746"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Изюма полк пехоты противника при поддержке 40 танков атаковал наши позиции. Бойцы Н-ской части отбили атаку гитлеровцев и уничтожили 11 танков, 4 транспортёра и до 300 немецких солдат и офицеров. На другом участке на позиции подразделения, где командиром старший лейтенант Миронов, наступало 20 немецких тяжёлых танков. Советские бойцы подбили и сожгли 7 немецких танков и истребили до роты гитлеровцев.</w:t>
      </w:r>
    </w:p>
    <w:p w14:paraId="029B9F3D"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штурмовики провели налёт на орловский аэродром противника. Бомбовыми ударами, пушечным и пулемётным огнём уничтожено 15 и повреждено до 20 немецких самолётов.</w:t>
      </w:r>
    </w:p>
    <w:p w14:paraId="273897FA"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Житомирской области, совершил несколько налётов на гарнизоны противника. Партизаны внезапно врывались в населённые пункты и истребляли гитлеровцев. Советскими патриотами уничтожены 8 танков, 11 автомашин с солдатами, 2 склада горючего и склад боеприпасов. Разрушено путевое хозяйство крупной железнодорожной станции. Народные мстители захватили у противника 2 орудия, 3 батальонных миномёта, 18 пулемётов, 22 тысячи патронов и другое военное имущество.</w:t>
      </w:r>
    </w:p>
    <w:p w14:paraId="412B257B"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Итальянская печать за последнее время много пишет о доблести итальянских войск на советско-немецком фронте. Кампанию открыл Муссолини специальным приказом, обращённым к солдатам и офицерам 8 итальянской армии, вернувшимся из России. Однако ни Муссолини, ни итальянские газеты и радиостанции не могли внятно сказать, чем же отличились итальянские дивизии. Очевидцы и участники боёв на советско-немецком фронте могут восполнить этот пробел. Советское Информбюро уже опубликовало заявление пленного начальника тыла итальянской дивизии «Кунеэнзе» капитана Рао Франческо, который сообщил, что «итальянский армейский корпус потерпел в России подлинную катастрофу... Во время отступления альпийские полки напоминали беспорядочную толпу. Солдаты и офицеры панически бежали. Мы шли форсированным маршем по 18 часов подряд, но не смогли вырваться из клещей, вкоторые нас взяла Красная Армия. В пути пришлось бросить автомашины, вооружениеи продовольствие. Это была страшная катастрофа».</w:t>
      </w:r>
    </w:p>
    <w:p w14:paraId="2F49B5BD"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итальянский капитан довольно точно воспроизвёл картину разгрома итальянской армии. Фактически все итальянские дивизии, находившиеся на советско-немецком фронте, уничтожены или разгромлены. Десятки тысяч итальянских солдат и офицеров убиты, десятки тысяч захвачены в плен. В советском плену находятся командиры итальянских дивизий генералы Паскалини, Реганья и Баттисти вместе со своими штабами. 2 итальянская горнострелковая дивизия потеряла убитыми и пленными 10 тысяч человек, 3 горнострелковая дивизия — 10.700 человек, 4 горнострелковая дивизия—13.200 человек. Другие дивизии также разгромлены и прекратили свое бесславное существование. Таким образом от 8 итальянской армии остались, как говорят, «рожки да ножки». К кому же в таком случае обращается и кого прославляет Муссолини в своём приказе? К 8 итальянской армии? Но этой армии уже больше не существует. От неё уцелели лишь жалкие остатки, бежавшие с поля боя. По римскому обычаю о покойниках не говорят ничего худого. Муссолини, очевидно, верен этому обычаю. Было бы, однако, лучше, если бы Муссолини сказал, сколько солдат из 8 итальянской армии вернулось обратно из России.».</w:t>
      </w:r>
    </w:p>
    <w:p w14:paraId="39CDF1EC"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Зверства немецко-фашистских людоедов в Ростове-на-Дону.</w:t>
      </w:r>
    </w:p>
    <w:p w14:paraId="2CC6B18B"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и фотодокументы о чудовищных преступленияхнемецко-фашистских мерзавцев в Ростове-на-Дону.</w:t>
      </w:r>
    </w:p>
    <w:p w14:paraId="5D95EDEC"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К Т</w:t>
      </w:r>
    </w:p>
    <w:p w14:paraId="5BD55B10"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Мы, нижеподписавшиеся, составили настоящий акт о нижеследующем: после занятия Ростова немецкий комендант города генерал-майор Киттель организовал массовое истребление мирных жителей города. Многие сотни граждан были обязаны вместе с детьми явиться на сборные пункты, захватив с собой ценные вещи и трёхдневный запас продовольствия. На сборных пунктах явившихся сажали на грузовики и вывозили за город. В районе Ботанического сада и Зоопарка взрослых расстреливали, а детей отравляли, смазав им губы сильно действующими ядовитыми веществами. По неполным данным, немецкие палачи расстреляли и отравили 15—18 тысяч человек. Среди расстрелянных — заведующий глазным отделением 2-й Советской больницы доцент Киршман, врач-терапевт Инал, юрист Луцкий, заместитель директора завода имениВорошилова Буняков и его жена, доцент Новиков, его мать 70 лет, жена и восьмилетний сын, доктор Шершевская, медицинская сестра Симанович, токарь Павловская и другие.</w:t>
      </w:r>
    </w:p>
    <w:p w14:paraId="231356F8"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время оккупации города, особенно перед его оставлением, немецкие варвары разграбили, взорвали и сожгли многие промышленные предприятия Ростова. Разрушены завод Ростсельмаш имени Сталина, завод «Красный Аксай», паровозоремонтный завод имени Ленина, колбасная фабрика «Красная звезда», консервный завод «Смычка»,чугунолитейный завод имени Воровского, мукомольно-макаронный комбинат № 2,механический завод имени Ворошилова, один из крупнейших в стране механизированный хлебозавод, ростовская электро-теплоцентраль, автобусный парк, трамвайный парк, трамвайная и троллейбусная сеть по всему городу, почтамт и телеграф, типографии, водопровод, канализация, киномеханические мастерские, различные пищевые фабрики, комбинаты и другие крупнейшие предприятия и сооружения.</w:t>
      </w:r>
    </w:p>
    <w:p w14:paraId="37FC3FFC"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Немецкие варвары сожгли свыше 2 миллионов книг Областной государственной библиотеки и разорили 25 библиотек. Ценнейшие книги, являющиеся редкостью и представляющие огромную научную ценность, были уничтожены или вывезены в Германию. Оккупанты разрушили основные корпуса Центральной городской больницы, 1-ю, 3-ю и 4-ю поликлиники, поликлинику железнодорожников и другие. Некоторые больницы были уничтожены вместе с находившимися в них больными. Фашистские мародёры вывезли из больниц в Германию ценнейшую медицинскую аппаратуру и инструменты.</w:t>
      </w:r>
    </w:p>
    <w:p w14:paraId="632F82DB"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Варвары разрушили и сожгли лучшие общественные здания города: Дом Советов, гостиницы «Интурист» и «Интернационал», Драматический театр имени Горького, Театр эстрады, Театр юного зрителя, Театр музыкальной комедии, кинотеатры «Гигант» и «Хроника», Дом просвещения, Дворец культуры завода Ростсельмаш имени Сталина, клубы профсоюзов электриков, медсантруда и работников связи, Институт инженеров железнодорожного транспорта, научно-исследовательские лаборатории и клиники Ростовского медицинского института, Педагогический институт, здание физико-математического факультета университета имени Молотова, техникум связи, строительный техникум, музыкальное училище, свыше 50 средних школ, Музей Революции, Музей краеведения, Академическую библиотеку и другие.</w:t>
      </w:r>
    </w:p>
    <w:p w14:paraId="30BC035F"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Взорваны и сожжены все жилые дома по улице Энгельса, от вокзала до Ворошиловского проспекта, большая часть зданий по Пушкинской, Шаумяна и Социалистической улицам, начиная от вокзала до Будённовского проспекта, а также значительная часть помещений и жилых здании по Будённовскому, Театральному и Ворошиловскому проспектам, в посёлке «Ростсельмаш», Олимпиадовка и других местах. Парк имени Горького был гордостью ростовчан. Немецкие варвары вырубили в парке самые ценные деревья, разрушили фонтаны и павильоны.</w:t>
      </w:r>
    </w:p>
    <w:p w14:paraId="37DA17FF"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Разрушение общественных и жилых зданий происходило следующим образом: специальные команды сапёр-поджигателей и подрывников закладывали мины, взрывали здания, остатки обливали бензином и поджигали. Бандиты даже не считали нужным предупредить об этом жителей. Под обломками разрушенных зданий погибли сотни людей.</w:t>
      </w:r>
    </w:p>
    <w:p w14:paraId="44D76C3A"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 угрозой расстрела гитлеровцы отправили многих жителей Ростова на каторгу в Германию. По приказу коменданта города все мужчины от 14 до 60 лет и женщиныот 15 до 50 лет были зарегистрированы. У них были отобраны паспорта. Затем зарегистрированные собирались в сборных пунктах. Под угрозой расстрела их сажали в вагоны и отправляли, как скот, на запад. Таким образом были отправлены в Германию многие тысячи советских людей. Оставшиеся жители Ростова были обречены на вымирание от голода и болезней.</w:t>
      </w:r>
    </w:p>
    <w:p w14:paraId="175FB7B4"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Отступая под ударами Красной Армии, немецкие оккупанты казнили в городской тюрьме 135 арестованных жителей Ростова. Перед этим палачи подвергли свои жертвы страшным пыткам — отрезали носы, выкалывали глаза, отрубали ноги, руки. После этого гитлеровцы взорвали здание тюрьмы вместе с находившимися в </w:t>
      </w:r>
      <w:r w:rsidRPr="00D03F3E">
        <w:rPr>
          <w:rFonts w:ascii="Times New Roman" w:hAnsi="Times New Roman"/>
          <w:color w:val="000000" w:themeColor="text1"/>
          <w:sz w:val="16"/>
          <w:szCs w:val="16"/>
        </w:rPr>
        <w:lastRenderedPageBreak/>
        <w:t>нём заключёнными советскими гражданами. Во дворе тюрьмы обнаружено 1.154 трупа, в том числе 122 трупа женщин и 57 трупов детей. Среди расстрелянных и замученных в тюрьме опознаны трупы инженера Георгия Жданова, работницы Анны Михайловой и других.</w:t>
      </w:r>
    </w:p>
    <w:p w14:paraId="4E172492"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Улицы и площади Ростова, обагрённые кровью мирных советских граждан, носят следы чудовищных преступлений немецко-фашистских подлецов.</w:t>
      </w:r>
    </w:p>
    <w:p w14:paraId="68E2C702"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Одержимые звериной злобой к советскому народу, к нашей культуре, ко всему русскому, гитлеровцы разрушили всё, что создано русским народом за долгие годы существования города, и всё, что создано советскими людьми на протяжении 25 лет. Разрушения эти отнюдь не вызывались военными соображениями.</w:t>
      </w:r>
    </w:p>
    <w:p w14:paraId="5EF98CFD"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Кровь наших братьев, сестёр вопиет о мести. От имени всех граждан города Ростова-на-Дону мы требуем сурового возмездия бандитам за все их мерзкие и гнусные злодеяния».</w:t>
      </w:r>
    </w:p>
    <w:p w14:paraId="26A2AA04"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Акт подписали: и. о. председателя Исполкома Горсовета депутатов трудящихся С.Бурменский, инженер пивоваренного завода «Заря» И.Звензек, профессор Н.Стасевич, профессор В.Карницкий, майор Я.Донской, майор П.Седов, капитан А.Токарь, рабочий артели «Метиз» А.Добров, уполномоченный посёлка «Новый городок» А.И.Макеева, мастер Лензавода В.Бочаров, техник фабрики имени Микояна С.Токарев.</w:t>
      </w:r>
    </w:p>
    <w:p w14:paraId="496128B4"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Кровавые злодеяния немцев в Ростове-на-Дону — это лишь небольшая часть проводимой гитлеровцами чудовищной программы истребления советского народа, разрушения всех материальных и культурных ценностей во временно захваченных районах. Немцы разрушают все захваченные ими советские города и сёла, грабят и уничтожают культурные и исторические ценности народов Советского Союза. Гитлеровцы пытают, расстреливают и вешают мирных жителей, не останавливаясь перед убийством беззащитных женщин и детей. Они насильственно угоняют советских граждан на каторгу в Германию, заключают их в концлагери и обрекают на неизбежную смерть от голода, побоев и изнурительного труда.</w:t>
      </w:r>
    </w:p>
    <w:p w14:paraId="2F6365A5"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Опубликованный выше акт даёт яркое представление о том «новом порядке», который насаждают немецко-фашистские подлецы в захваченных ими странах и областях. Там, где ступила нога гитлеровского солдата, замирает всякая культурная жизнь, наступает одичание и запустение.</w:t>
      </w:r>
    </w:p>
    <w:p w14:paraId="133F4622"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Немецкие мерзавцы, вторгшиеся в нашу страну, заливающие кровью советскую землю, ответят за всё — за муки невинных людей, за убийства женщин и детей, за все насилия, за разбой и разрушения. Близок час возмездия!».</w:t>
      </w:r>
    </w:p>
    <w:p w14:paraId="7D723BFF"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последний час.</w:t>
      </w:r>
    </w:p>
    <w:p w14:paraId="2274A7F0"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войска заняли город Вязьму.</w:t>
      </w:r>
    </w:p>
    <w:p w14:paraId="705B773A"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марта войска Западного фронта под командованием генерал-полковника тов.Соколовского В.Д. после решительного штурма овладели городом и железнодорожным узлом Вязьма.</w:t>
      </w:r>
    </w:p>
    <w:p w14:paraId="7FF9F27D"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боях за город Вязьму нашими войсками взяты следующие трофеи: самолётов — 8, танков — 83, орудий разного калибра — 69, пулемётов — 222, автомашин и тракторов— 565, паровозов — 57, вагонов—515, большое количество снарядов, патронов и другого военного имущества, которое подсчитывается.</w:t>
      </w:r>
    </w:p>
    <w:p w14:paraId="32D8A085"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Противник потерял только убитыми более 9.000 солдат и офицеров.</w:t>
      </w:r>
    </w:p>
    <w:p w14:paraId="3B92D294"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боях за город Вязьму отличились войска генерал-лейтенанта тов. Гордова В.Н. и генерал-лейтенанта тов. Поленова В.С. Первыми ворвались в город части полковника тов. Петерс и полковника тов. Яблокова.» (15066).</w:t>
      </w:r>
    </w:p>
    <w:p w14:paraId="0AA53D74" w14:textId="77777777" w:rsidR="008D099A" w:rsidRPr="00D03F3E" w:rsidRDefault="008D099A" w:rsidP="00D03F3E">
      <w:pPr>
        <w:spacing w:after="0" w:line="240" w:lineRule="auto"/>
        <w:jc w:val="both"/>
        <w:rPr>
          <w:rFonts w:ascii="Times New Roman" w:hAnsi="Times New Roman"/>
          <w:color w:val="000000" w:themeColor="text1"/>
          <w:sz w:val="16"/>
          <w:szCs w:val="16"/>
        </w:rPr>
      </w:pPr>
    </w:p>
    <w:p w14:paraId="00333B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марта 1943, когда 10 Ил-4 (7 с минами и 3 с бомбами) заминировали подходы к Керчи начались операции по авиационным минным постановкам на ЧМ в 1943. В середине мая командование поставило перед авиаторами задачу: активными минными постановками если не пресечь, то значительно затруднить вражеское судоходство в дельте Дуная. Для этих операций использовались смешанные группы по 5-7 машин. Вот как проходил один из таких рейдов. Вечером 19 мая с аэродромов на Кавказе стартовали 5 Ил-4 из 5-го Гв.МТАП (два самолета несли по две мины АМД-500, а три - по одной такой мине и по 4 бомбы ФАБ-100). Зайдя с севера, они поставили по 2-3 мины у Килии, Тульчины и Сулины, по которым же и отбомбились. Эти постановки оказались неожиданными для германо-румынского флота, ведь Дунай считался глубоким тылом. Пока противник спешно перебрасывал туда тральщики, начались потери. 26 мая подорвался и затонул у Килии (72-я миля Дуная) самый большой румынский речной пароход Ismail. На следующий день у Исакчи (49-я миля Дуная) был потерян еще один пассажирский пароход Michai Viteazaul. 27 мая и 6 июня погибли два больших лихтера: румынский Kaliopi (1332 т) и немецкий Donau (739 т). Результативными оказались постановки и в других районах. Так, 28 марта у входного буя в Севастопольскую бухту подорвался немецкий буксир Forsch. 3 июля в том же районе произошел вообще уникальный случай. При взлете с воды немецкой летающей лодки BV 138 (w/n 310069) из состава 1./SAGr.125 сдетонировала донная авиамина, близким разрывом которой самолет был полностью разрушен. 12 августа 1943 г. авиация ЧФ поставила мины на выходе из Днепро-Бугского лимана, и уже на следующий день на них погиб большой немецкий танкер МТ-2. В 1943 г.а в ходе 223 самолето-вылетов было выставлено 287 мин (из них 7 - аварийно) (2867,33).</w:t>
      </w:r>
    </w:p>
    <w:p w14:paraId="4888C9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B9A516" w14:textId="77777777" w:rsidR="008D099A" w:rsidRPr="00D03F3E" w:rsidRDefault="008D099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12 марта</w:t>
      </w:r>
      <w:r w:rsidRPr="00D03F3E">
        <w:rPr>
          <w:rFonts w:ascii="Times New Roman" w:hAnsi="Times New Roman"/>
          <w:color w:val="000000" w:themeColor="text1"/>
          <w:sz w:val="16"/>
          <w:szCs w:val="16"/>
        </w:rPr>
        <w:t xml:space="preserve"> в 1943 году (12-14 марта) немецкие войска заняли Харьков (15066).</w:t>
      </w:r>
    </w:p>
    <w:p w14:paraId="66FF0B5D" w14:textId="77777777" w:rsidR="008D099A" w:rsidRPr="00D03F3E" w:rsidRDefault="008D099A" w:rsidP="00D03F3E">
      <w:pPr>
        <w:spacing w:after="0" w:line="240" w:lineRule="auto"/>
        <w:jc w:val="both"/>
        <w:rPr>
          <w:rFonts w:ascii="Times New Roman" w:hAnsi="Times New Roman"/>
          <w:color w:val="000000" w:themeColor="text1"/>
          <w:sz w:val="16"/>
          <w:szCs w:val="16"/>
        </w:rPr>
      </w:pPr>
    </w:p>
    <w:p w14:paraId="6163EE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March 12 1943 Russians capture Vyazma (1037).</w:t>
      </w:r>
    </w:p>
    <w:p w14:paraId="51CE71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F226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марта 1943 была освобождена Вязьма (1037).</w:t>
      </w:r>
    </w:p>
    <w:p w14:paraId="1FC4EE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F087A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06913B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FF00F8" w14:textId="77777777" w:rsidR="00CD455A" w:rsidRPr="00D03F3E" w:rsidRDefault="00CD455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12–13 марта (ночь) 1943 второй налет бомбардировочного командования Королевских ВВС на Эссен во время битвы за Рур, даже более разрушительный, чем первый налет 5–6 марта (20376).</w:t>
      </w:r>
    </w:p>
    <w:p w14:paraId="33D518D7" w14:textId="77777777" w:rsidR="00CD455A" w:rsidRPr="00D03F3E" w:rsidRDefault="00CD455A" w:rsidP="00D03F3E">
      <w:pPr>
        <w:spacing w:after="0" w:line="240" w:lineRule="auto"/>
        <w:jc w:val="both"/>
        <w:rPr>
          <w:rFonts w:ascii="Times New Roman" w:hAnsi="Times New Roman"/>
          <w:color w:val="0070C0"/>
          <w:sz w:val="16"/>
          <w:szCs w:val="16"/>
        </w:rPr>
      </w:pPr>
    </w:p>
    <w:p w14:paraId="0C9742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марта 1943 в Вашингтоне открылась конференция по Тихоокеанскому региону (2262).</w:t>
      </w:r>
    </w:p>
    <w:p w14:paraId="21DC21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066CA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32842B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7545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марта 1943 вышел Приказ 7 и 8 ГУ N 1:</w:t>
      </w:r>
    </w:p>
    <w:p w14:paraId="15078C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проверки монтажа, противопожарной безопасности и готовности к летным испытаниям ВМГ Ер-2 2 МБ-100..." (2534,1).</w:t>
      </w:r>
    </w:p>
    <w:p w14:paraId="5D97A6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D4C4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марта 1943 (суббота) согласно письма Ермолаева на Ер-2 2М-30Б было произведено 2 полета на определение наивыгоднейших расходов горючего на 4000 м на разных скоростях полета и оборотах мотора по 3 часа каждый (1775,24).</w:t>
      </w:r>
    </w:p>
    <w:p w14:paraId="067A90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06DEB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D99CB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1CCA25" w14:textId="77777777" w:rsidR="004A45BE" w:rsidRPr="00D03F3E" w:rsidRDefault="004A45BE" w:rsidP="00D03F3E">
      <w:pPr>
        <w:pStyle w:val="a3"/>
        <w:rPr>
          <w:color w:val="000000" w:themeColor="text1"/>
          <w:lang w:val="ru-RU"/>
        </w:rPr>
      </w:pPr>
      <w:r w:rsidRPr="00D03F3E">
        <w:rPr>
          <w:color w:val="000000" w:themeColor="text1"/>
          <w:lang w:val="ru-RU"/>
        </w:rPr>
        <w:t>13 марта 1943 года закончились госиспытания мортиры М-4, которые шли с 21 января по. За это время мортира произвела 456 выстрелов и прошла 458 километров по различным типам дорог, покрытых снегом. Испытания пробегом прошли не без происшествий: 27 февраля во время ухода от встречной машины тягач «Ворошиловец» произвел маневр, в результате которого система М-4 упала в кювет и получила ряд повреждений.</w:t>
      </w:r>
    </w:p>
    <w:p w14:paraId="0B83A8DD" w14:textId="77777777" w:rsidR="004A45BE" w:rsidRPr="00D03F3E" w:rsidRDefault="004A45BE" w:rsidP="00D03F3E">
      <w:pPr>
        <w:pStyle w:val="a3"/>
        <w:rPr>
          <w:color w:val="000000" w:themeColor="text1"/>
          <w:lang w:val="ru-RU"/>
        </w:rPr>
      </w:pPr>
      <w:r w:rsidRPr="00D03F3E">
        <w:rPr>
          <w:color w:val="000000" w:themeColor="text1"/>
          <w:lang w:val="ru-RU"/>
        </w:rPr>
        <w:t>Несмотря на неудовлетворительную кучность и ряд дефектов, свя</w:t>
      </w:r>
      <w:r w:rsidRPr="00D03F3E">
        <w:rPr>
          <w:color w:val="000000" w:themeColor="text1"/>
          <w:lang w:val="ru-RU"/>
        </w:rPr>
        <w:softHyphen/>
        <w:t>занных с лафетом, комиссия по испытаниям 25 марта 1943 года вынес</w:t>
      </w:r>
      <w:r w:rsidRPr="00D03F3E">
        <w:rPr>
          <w:color w:val="000000" w:themeColor="text1"/>
          <w:lang w:val="ru-RU"/>
        </w:rPr>
        <w:softHyphen/>
        <w:t>ла положительное заключение по орудию:</w:t>
      </w:r>
    </w:p>
    <w:p w14:paraId="54F1DB55" w14:textId="77777777" w:rsidR="004A45BE" w:rsidRPr="00D03F3E" w:rsidRDefault="004A45BE" w:rsidP="00D03F3E">
      <w:pPr>
        <w:pStyle w:val="Bodytext141"/>
        <w:shd w:val="clear" w:color="auto" w:fill="auto"/>
        <w:spacing w:line="240" w:lineRule="auto"/>
        <w:ind w:firstLine="0"/>
        <w:jc w:val="both"/>
        <w:rPr>
          <w:i w:val="0"/>
          <w:color w:val="000000" w:themeColor="text1"/>
          <w:sz w:val="16"/>
          <w:szCs w:val="16"/>
        </w:rPr>
      </w:pPr>
      <w:r w:rsidRPr="00D03F3E">
        <w:rPr>
          <w:i w:val="0"/>
          <w:color w:val="000000" w:themeColor="text1"/>
          <w:sz w:val="16"/>
          <w:szCs w:val="16"/>
        </w:rPr>
        <w:t>«По устранении недостатков, отмеченных выше и указанных в тек</w:t>
      </w:r>
      <w:r w:rsidRPr="00D03F3E">
        <w:rPr>
          <w:i w:val="0"/>
          <w:color w:val="000000" w:themeColor="text1"/>
          <w:sz w:val="16"/>
          <w:szCs w:val="16"/>
        </w:rPr>
        <w:softHyphen/>
        <w:t>сте настоящего отчета, 203-мм мортира М-4 может быть рекомендо</w:t>
      </w:r>
      <w:r w:rsidRPr="00D03F3E">
        <w:rPr>
          <w:i w:val="0"/>
          <w:color w:val="000000" w:themeColor="text1"/>
          <w:sz w:val="16"/>
          <w:szCs w:val="16"/>
        </w:rPr>
        <w:softHyphen/>
        <w:t>вана на вооружение Красной Армии.</w:t>
      </w:r>
    </w:p>
    <w:p w14:paraId="5D783CCB" w14:textId="77777777" w:rsidR="004A45BE" w:rsidRPr="00D03F3E" w:rsidRDefault="004A45BE" w:rsidP="00D03F3E">
      <w:pPr>
        <w:pStyle w:val="Bodytext141"/>
        <w:shd w:val="clear" w:color="auto" w:fill="auto"/>
        <w:spacing w:line="240" w:lineRule="auto"/>
        <w:ind w:firstLine="0"/>
        <w:jc w:val="both"/>
        <w:rPr>
          <w:i w:val="0"/>
          <w:color w:val="000000" w:themeColor="text1"/>
          <w:sz w:val="16"/>
          <w:szCs w:val="16"/>
        </w:rPr>
      </w:pPr>
      <w:r w:rsidRPr="00D03F3E">
        <w:rPr>
          <w:i w:val="0"/>
          <w:color w:val="000000" w:themeColor="text1"/>
          <w:sz w:val="16"/>
          <w:szCs w:val="16"/>
        </w:rPr>
        <w:t>203-мм мортира М-4 заслуживает надлежащего внимания, так как обладает мощным снарядом, способным эффективно действовать по укреплениям противника; обладает небольшим весом, обеспечивающим высокую маневренность; может быть быстро освоена промышленностью и быстро выпущена в надлежащем количестве в войска» (17484).</w:t>
      </w:r>
    </w:p>
    <w:p w14:paraId="68C12DAE" w14:textId="77777777" w:rsidR="004A45BE" w:rsidRPr="00D03F3E" w:rsidRDefault="004A45BE" w:rsidP="00D03F3E">
      <w:pPr>
        <w:spacing w:after="0" w:line="240" w:lineRule="auto"/>
        <w:jc w:val="both"/>
        <w:rPr>
          <w:rFonts w:ascii="Times New Roman" w:hAnsi="Times New Roman"/>
          <w:color w:val="000000" w:themeColor="text1"/>
          <w:sz w:val="16"/>
          <w:szCs w:val="16"/>
        </w:rPr>
      </w:pPr>
    </w:p>
    <w:p w14:paraId="560268AA" w14:textId="77777777" w:rsidR="00AC5101" w:rsidRPr="00D03F3E" w:rsidRDefault="00AC5101" w:rsidP="00D03F3E">
      <w:pPr>
        <w:pStyle w:val="ae"/>
        <w:spacing w:before="0" w:after="0"/>
        <w:jc w:val="both"/>
        <w:rPr>
          <w:color w:val="000000" w:themeColor="text1"/>
          <w:sz w:val="16"/>
          <w:szCs w:val="16"/>
        </w:rPr>
      </w:pPr>
      <w:r w:rsidRPr="00D03F3E">
        <w:rPr>
          <w:color w:val="000000" w:themeColor="text1"/>
          <w:sz w:val="16"/>
          <w:szCs w:val="16"/>
        </w:rPr>
        <w:t>С 13 по 20 марта 1943 года прошли испытания первого опытного образца СУ-76И на Софринском артиллерийском полигоне в объеме 434 выстрела (из них 212 на усиленном заряде) и 280 километров пробега (93 шоссе, 187 проселок).</w:t>
      </w:r>
    </w:p>
    <w:p w14:paraId="357636A6" w14:textId="77777777" w:rsidR="00AC5101" w:rsidRPr="00D03F3E" w:rsidRDefault="00AC5101" w:rsidP="00D03F3E">
      <w:pPr>
        <w:pStyle w:val="ae"/>
        <w:spacing w:before="0" w:after="0"/>
        <w:jc w:val="both"/>
        <w:rPr>
          <w:color w:val="000000" w:themeColor="text1"/>
          <w:sz w:val="16"/>
          <w:szCs w:val="16"/>
        </w:rPr>
      </w:pPr>
      <w:r w:rsidRPr="00D03F3E">
        <w:rPr>
          <w:color w:val="000000" w:themeColor="text1"/>
          <w:sz w:val="16"/>
          <w:szCs w:val="16"/>
        </w:rPr>
        <w:t>Рассмотрев результаты испытаний указанной самоходной артиллерийской установки, танковое управление ГБТУ КА посчитало «установку отечественной танковой пушки Ф-34 на трофейном танке Т-3 целесообразной». При этом сообщалось, что при производстве машин должны соблюдаться следующие условия:</w:t>
      </w:r>
    </w:p>
    <w:p w14:paraId="131B3F92" w14:textId="77777777" w:rsidR="00AC5101" w:rsidRPr="00D03F3E" w:rsidRDefault="00AC5101" w:rsidP="00D03F3E">
      <w:pPr>
        <w:pStyle w:val="ae"/>
        <w:spacing w:before="0" w:after="0"/>
        <w:jc w:val="both"/>
        <w:rPr>
          <w:color w:val="000000" w:themeColor="text1"/>
          <w:sz w:val="16"/>
          <w:szCs w:val="16"/>
        </w:rPr>
      </w:pPr>
      <w:r w:rsidRPr="00D03F3E">
        <w:rPr>
          <w:color w:val="000000" w:themeColor="text1"/>
          <w:sz w:val="16"/>
          <w:szCs w:val="16"/>
        </w:rPr>
        <w:t>«1. Все образцы СУ-76, поставляемые в Армию, должны иметь вес, не превышающий веса опытного образца.</w:t>
      </w:r>
    </w:p>
    <w:p w14:paraId="17627F89" w14:textId="77777777" w:rsidR="00AC5101" w:rsidRPr="00D03F3E" w:rsidRDefault="00AC5101" w:rsidP="00D03F3E">
      <w:pPr>
        <w:pStyle w:val="ae"/>
        <w:spacing w:before="0" w:after="0"/>
        <w:jc w:val="both"/>
        <w:rPr>
          <w:color w:val="000000" w:themeColor="text1"/>
          <w:sz w:val="16"/>
          <w:szCs w:val="16"/>
        </w:rPr>
      </w:pPr>
      <w:r w:rsidRPr="00D03F3E">
        <w:rPr>
          <w:color w:val="000000" w:themeColor="text1"/>
          <w:sz w:val="16"/>
          <w:szCs w:val="16"/>
        </w:rPr>
        <w:t>2. При использовании трофейной матчасти танков все агрегаты должны быть перебраны и тщательно осмотрены.</w:t>
      </w:r>
    </w:p>
    <w:p w14:paraId="38C366CA" w14:textId="77777777" w:rsidR="00AC5101" w:rsidRPr="00D03F3E" w:rsidRDefault="00AC5101" w:rsidP="00D03F3E">
      <w:pPr>
        <w:pStyle w:val="ae"/>
        <w:spacing w:before="0" w:after="0"/>
        <w:jc w:val="both"/>
        <w:rPr>
          <w:color w:val="000000" w:themeColor="text1"/>
          <w:sz w:val="16"/>
          <w:szCs w:val="16"/>
        </w:rPr>
      </w:pPr>
      <w:r w:rsidRPr="00D03F3E">
        <w:rPr>
          <w:color w:val="000000" w:themeColor="text1"/>
          <w:sz w:val="16"/>
          <w:szCs w:val="16"/>
        </w:rPr>
        <w:t>3. Каждый образец, передаваемый в Армию, должен быть обеспечен запасными катками и звёздочками (катков 4 шт., звездочек 1 шт.). Катки должны быть переобрезинены на отечественных заводах.</w:t>
      </w:r>
    </w:p>
    <w:p w14:paraId="3B4B19D1" w14:textId="77777777" w:rsidR="00AC5101" w:rsidRPr="00D03F3E" w:rsidRDefault="00AC5101" w:rsidP="00D03F3E">
      <w:pPr>
        <w:pStyle w:val="ae"/>
        <w:spacing w:before="0" w:after="0"/>
        <w:jc w:val="both"/>
        <w:rPr>
          <w:color w:val="000000" w:themeColor="text1"/>
          <w:sz w:val="16"/>
          <w:szCs w:val="16"/>
        </w:rPr>
      </w:pPr>
      <w:r w:rsidRPr="00D03F3E">
        <w:rPr>
          <w:color w:val="000000" w:themeColor="text1"/>
          <w:sz w:val="16"/>
          <w:szCs w:val="16"/>
        </w:rPr>
        <w:t>4. Каждый образец СУ-76 должен быть снабжен шпорами на гусеницы из расчёта одна шпора на каждый пятый трак гусеничной цепи.</w:t>
      </w:r>
    </w:p>
    <w:p w14:paraId="4B2A36E0" w14:textId="77777777" w:rsidR="00AC5101" w:rsidRPr="00D03F3E" w:rsidRDefault="00AC5101" w:rsidP="00D03F3E">
      <w:pPr>
        <w:pStyle w:val="ae"/>
        <w:spacing w:before="0" w:after="0"/>
        <w:jc w:val="both"/>
        <w:rPr>
          <w:color w:val="000000" w:themeColor="text1"/>
          <w:sz w:val="16"/>
          <w:szCs w:val="16"/>
        </w:rPr>
      </w:pPr>
      <w:r w:rsidRPr="00D03F3E">
        <w:rPr>
          <w:color w:val="000000" w:themeColor="text1"/>
          <w:sz w:val="16"/>
          <w:szCs w:val="16"/>
        </w:rPr>
        <w:lastRenderedPageBreak/>
        <w:t>Целесообразно запас горючего, вмещаемого самоходной установкой, увеличить до 100 литров за счет установки дополнительных баков. СУ-76 с дополнительными баками необходимо испытать пробегом на расстояние 150–200 километров, совместив эти испытания с испытанием по вязкому фунту в летних условиях».</w:t>
      </w:r>
    </w:p>
    <w:p w14:paraId="2D8801F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Самоходная установка СУ-76И изготавливалась на базе танка Pz. III (со снятой башней и подбашенным листом) или штурмового орудия StuG III с демонтированной рубкой. Вместо них сверху устанавливалась рубка в форме усеченной пирамиды, сваренная из бронелистов толщиной 25–35 мм. Вооружение машины состояло из 76-мм танковой пушки Ф-34, имевшей в варианте для вооружения самоходки индекс С-1. От танкового варианта она отличалась наличием карданной рамки, позволявшей устанавливать орудие непосредственно в лобовом листе корпуса. В этой пушке использовался поворотный механизм от 122-мм гаубицы М-30. В июне 1943 года завод № 92 предложил использовать в установке С-1 поворотный и подъемный механизмы от 76-мм дивизионной пушки ЗИС-3, но было ли это введено на СУ-76И автору неизвестно. Снаружи установка закрывалась довольно массивной литой бронемаской.</w:t>
      </w:r>
    </w:p>
    <w:p w14:paraId="55BF813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БоекомплектСУ-76И состоял из 98 выстрелов, уложенных в укладки у задней части правого и левого бортов боевого отделения. Экипаж машины состоял из четырех человек — механика-водителя, командира (справа от пушки), наводчика (слева от пушки) и заряжающего (в задней части боевого отделения). Для посадки экипажа имелось два люка слева в крыше над наводчиком и в кормовом листе рубки. Самоходка оснащалась радиостанцией 9-р и танковым переговорным устройством ТПУ-3 (12688).</w:t>
      </w:r>
    </w:p>
    <w:p w14:paraId="2ECC44AA"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6D72FE0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марта 1943 года вышел приказ № 175сс/161 НКТП и НКАП</w:t>
      </w:r>
    </w:p>
    <w:p w14:paraId="6F875AC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постановлением ГКО от 12 марта 1943 года за № 3028 сс:</w:t>
      </w:r>
    </w:p>
    <w:p w14:paraId="36B3872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 за № 90/96 от 12 февраля 1943 года о передаче НКТП б. завода № 26 НКАП в Рыбинске отменить.</w:t>
      </w:r>
    </w:p>
    <w:p w14:paraId="20548F7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Передать НКТП для организации дизельного производства все здания ……….. завода № 381 НКАП в Н. Тагиле, а также все построенные площади завода № 335 в Новосибирске (6132, 108).</w:t>
      </w:r>
    </w:p>
    <w:p w14:paraId="6710160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29EF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марта 1943 года вышло распоряжение СНК за № 5521:</w:t>
      </w:r>
    </w:p>
    <w:p w14:paraId="36E6015C"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Перевести из Свердловска в Москву ГСПИ-7 НКВ (9280).</w:t>
      </w:r>
    </w:p>
    <w:p w14:paraId="30CEEAFC"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D1980BE" w14:textId="77777777" w:rsidR="004A7B9E"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266CBF88" w14:textId="77777777" w:rsidR="004A7B9E" w:rsidRPr="00D03F3E" w:rsidRDefault="004A7B9E"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FC9B53"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13 марта</w:t>
      </w:r>
      <w:r w:rsidRPr="00D03F3E">
        <w:rPr>
          <w:rFonts w:ascii="Times New Roman" w:hAnsi="Times New Roman"/>
          <w:color w:val="000000" w:themeColor="text1"/>
          <w:sz w:val="16"/>
          <w:szCs w:val="16"/>
        </w:rPr>
        <w:t xml:space="preserve"> в 1943 году утреннее сообщение Совинформбюро:</w:t>
      </w:r>
    </w:p>
    <w:p w14:paraId="59DF8D9A"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13 марта наши войска вели бои на прежних направлениях.</w:t>
      </w:r>
    </w:p>
    <w:p w14:paraId="70482D9A"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Вязьмы наши войска продолжали наступление и заняли ряд населённых пунктов. На одном участке противник, опираясь на сильно укреплённые опорные пункты, пытался задержать продвижение советских частей. Наши бойцы обошли линию немецкой обороны, и под угрозой окружения гитлеровцы беспорядочно отступили. На поле боя осталось до 400 вражеских трупов и много вооружения, брошенного противником.</w:t>
      </w:r>
    </w:p>
    <w:p w14:paraId="1C0A52ED"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селе Каменке рота наших автоматчиков под командованием старшего лейтенанта Тесля освободила 1.500 советских граждан, согнанных немцами из окрестных деревень. Гитлеровцы пытались уничтожить мирных людей и уже приступили к их расстрелу. Внезапно атаковав немецких бандитов, советские автоматчики вызволили колхозников от неминуемой смерти.</w:t>
      </w:r>
    </w:p>
    <w:p w14:paraId="531C09D1"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 Белый наши войска, преодолевая сопротивление немцев, продвигались вперёд и заняли несколько населённых пунктов. Отряд наших разведчиков под командованием лейтенанта Петрова захватил склад противника, в котором находилось 6 тяжёлых орудий, несколько десятков пулемётов, большие запасы снарядов, патронов и различного военного имущества.</w:t>
      </w:r>
    </w:p>
    <w:p w14:paraId="75B167D8"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Харькова наши войска вели ожесточённые бои, отбивая атаки противника. Гитлеровцы, не считаясь с огромными потерями в людях и технике, продолжают рваться к городу. Части Н-ского соединения за два дня боёв уничтожили 46 немецких танков, свыше сотни автомашин и несколько тысяч гитлеровцев. Южнее Харькова бойцы Н-ского соединения подбили и сожгли 11 немецких танков и истребили до 300 немецких солдат и офицеров.</w:t>
      </w:r>
    </w:p>
    <w:p w14:paraId="31E9D044"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Орловской области, из засад уничтожил до 50 немецких солдат и организовал крушение немецкого воинского эшелона. Партизаны другого отряда пустили под откос вражеский поезд, следовавший к линии фронта, в результате крушения убито и ранено много гитлеровцев.</w:t>
      </w:r>
    </w:p>
    <w:p w14:paraId="71E791D9"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ожесточённых боёв наши войска вчера овладели городом Вязьма. За время оккупации и перед отступлением немцы опустошили и уничтожили город. Во всех советских сёлах и городах гитлеровцы производили и производят открытый разбой и грабёж. В Вязьме они свирепствовали больше, чем где-либо. Немецкие бандиты разграбили и уничтожили все культурные учреждения и исторические памятники города. Фашистские варвары разгромили и разрушили Вяземский драматический театр, городской кинотеатр, Вяземский музей, Учительский институт, Дом культуры, клуб железнодорожников, Дом пионеров, городскую больницу. Старинные здания, построенные в первой половине XVIII века, превращены в развалины. Немецко-фашистские захватчики разрушили также вяземский кафедральный собор.</w:t>
      </w:r>
    </w:p>
    <w:p w14:paraId="5BD3272B"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нанесли немцам большой урон в районе Млиниште. За последнее время в боях с оккупантами в этом районе югославские патриоты истребили до 200 гитлеровцев. Возле Седло и Мали Лог уничтожено 138 итальянских солдат и офицеров. Партизаны захватили у итальянских оккупантов 40 пулемётов и много боеприпасов.» (15067).</w:t>
      </w:r>
    </w:p>
    <w:p w14:paraId="4E9287D8" w14:textId="77777777" w:rsidR="004A7B9E" w:rsidRPr="00D03F3E" w:rsidRDefault="004A7B9E" w:rsidP="00D03F3E">
      <w:pPr>
        <w:spacing w:after="0" w:line="240" w:lineRule="auto"/>
        <w:jc w:val="both"/>
        <w:rPr>
          <w:rFonts w:ascii="Times New Roman" w:hAnsi="Times New Roman"/>
          <w:color w:val="000000" w:themeColor="text1"/>
          <w:sz w:val="16"/>
          <w:szCs w:val="16"/>
        </w:rPr>
      </w:pPr>
    </w:p>
    <w:p w14:paraId="66724089"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13 марта</w:t>
      </w:r>
      <w:r w:rsidRPr="00D03F3E">
        <w:rPr>
          <w:rFonts w:ascii="Times New Roman" w:hAnsi="Times New Roman"/>
          <w:color w:val="000000" w:themeColor="text1"/>
          <w:sz w:val="16"/>
          <w:szCs w:val="16"/>
        </w:rPr>
        <w:t xml:space="preserve"> в 1943 году вечернее сообщение Совинформбюро:</w:t>
      </w:r>
    </w:p>
    <w:p w14:paraId="4822A428"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13 марта наши войска вели бои на прежних направлениях.</w:t>
      </w:r>
    </w:p>
    <w:p w14:paraId="74006AF2"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марта частями нашей авиации на различных участках фронта уничтожено или повреждено не менее 10 немецких танков и бронемашин, до 100 автомашин с войскамии грузами, подавлен огонь 6 батарей полевой и зенитной артиллерии, взорваны два склада с горючим и склад противника с боеприпасами.</w:t>
      </w:r>
    </w:p>
    <w:p w14:paraId="4F13ACA4"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и южнее Вязьмы наши войска продолжали успешное наступление, заняли целый ряд населённых пунктов, в том числе железнодорожную станцию Утра. Противник оказывает упорное сопротивле-ние, но решительными ударами наших частей отбрасывается с созданных им оборонительных рубежей. В районе одного из населённых пунктов разбит батальон немецкой пехоты. На поле боя осталось до 400 вражеских трупов. Захвачено 6 орудий, 27 пулемётов, 9 миномётов и большое количество боеприпасов. Взяты пленные.</w:t>
      </w:r>
    </w:p>
    <w:p w14:paraId="40D2EA9E"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Харькова продолжались ожесточённые бои. Западнее города крупным силам танков и пехоты противника после многократных атак ценою тяжёлых потерь удалось потеснить наши части. Наши войска, заняв новые рубежи, выдерживали натиск численно превосходящих сил противника, отбивали атаки гитлеровцев и нанесли им огромные потери. Крупными силами танков и мотопехоты немцы вели также атаки севернее города. На этом участке продолжаются ожесточённые бои. Южнее Харькова полк пехоты и несколько десятков танков противника неоднократно переходили в наступление. Потеряв 11 танков и до 500 солдат и офицеров, гитлеровцы отошли на исходные позиции.</w:t>
      </w:r>
    </w:p>
    <w:p w14:paraId="767F7D79"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Изюма наши части отбили несколько атак противника и уничтожили 6 немецких танков и свыше 200 гитлеровцев. На одном участке группа вражеских автоматчиков просочилась в расположение наших войск. Бойцы Н-ской части окружилии уничтожили эту группу немецких автоматчиков.</w:t>
      </w:r>
    </w:p>
    <w:p w14:paraId="13FD6F24"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лётчиками в воздушных боях сбито 9 самолётов противника.</w:t>
      </w:r>
    </w:p>
    <w:p w14:paraId="7C9D6601"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«За Родину», действующий в одном из районов Украины, истребил более 100 гитлеровцев. Партизаны отряда имени Щорса заминировали железнодорожный путь. На минах, установленных партизанами, подорвались два паровоза и 19 вагонов с боеприпасами противника. Движение поездов на этом участке железной дороги было приостановлено. Группа партизан этого же отряда совершила внезапный налёт на железнодорожную станцию. Советские патриоты сняли часовых и ворвались в немецкую казарму. Солдаты из охраны, пытавшиеся оказать сопротивление, были убиты. Остальные гитлеровцы в количестве 25 солдат и 1 офицера сдались в плен. Захвачено оружие и боеприпасы.</w:t>
      </w:r>
    </w:p>
    <w:p w14:paraId="3D5F41D4"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солдат 529 полка 299 немецкой пехотной дивизии Эрих Грунек рассказал: «По состоянию здоровья меня признали негодным к строевой, службе и направили в команду, сопровождавшую маршевые батальоны на фронт. За последнее время ни один маршевый батальон не прибывал к месту назначения в полном составе. В дороге из каждого эшелона дезертировали десятки солдат. В январе жандармерия устроила несколько облав в Киеве и его окрестностях. За один только месяц было задержано и отдано под суд больше тысячи дезертиров».</w:t>
      </w:r>
    </w:p>
    <w:p w14:paraId="0A6D3976"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Жители освобождённой от немцев деревни Линея, Калининской области, составили следующий акт: «До вторжения гитлеровских разбойников все крестьяне нашей деревни жили зажиточно. Каждый колхозник имел корову, овец и домашнюю птицу. Сейчас в деревне нет ни одной коровы, ни одной овцы, ни одного поросёнка, ни одной курицы. Всё разграбили немецкие бандиты. Они отобрали у жителей всё продовольствие и обрекли население на голодную смерть. Немецкие солдаты избили нашего односельчанина Александра Цветкова. Он пожаловался на них немецкому коменданту. Фашистский зверь выслушал жалобу и приказал немедленно расстрелять Цветкова. В соседней деревне Громовы фашистские изверги замучили и расстреляли свыше 200 мирных жителей, в том числе женщин и детей». Акт подписали: Мария Попова, Михаил Шевельков, Александр Попов и другие.» (15067).</w:t>
      </w:r>
    </w:p>
    <w:p w14:paraId="1B42165F" w14:textId="77777777" w:rsidR="004A7B9E" w:rsidRPr="00D03F3E" w:rsidRDefault="004A7B9E" w:rsidP="00D03F3E">
      <w:pPr>
        <w:spacing w:after="0" w:line="240" w:lineRule="auto"/>
        <w:jc w:val="both"/>
        <w:rPr>
          <w:rFonts w:ascii="Times New Roman" w:hAnsi="Times New Roman"/>
          <w:color w:val="000000" w:themeColor="text1"/>
          <w:sz w:val="16"/>
          <w:szCs w:val="16"/>
        </w:rPr>
      </w:pPr>
    </w:p>
    <w:p w14:paraId="5160FE52" w14:textId="77777777" w:rsidR="00DE1738" w:rsidRPr="00D03F3E" w:rsidRDefault="00DE173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11097864" w14:textId="77777777" w:rsidR="00DE1738" w:rsidRPr="00D03F3E" w:rsidRDefault="00DE173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5C5DAF" w14:textId="77777777" w:rsidR="00DE1738" w:rsidRPr="00D03F3E" w:rsidRDefault="00DE17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марта 1943. Постановление СНК СССР о возвращении в столицу из эвакуации семидесяти пяти учреждений Академии наук СССР (18693).</w:t>
      </w:r>
    </w:p>
    <w:p w14:paraId="7982D5BE" w14:textId="77777777" w:rsidR="00DE1738" w:rsidRPr="00D03F3E" w:rsidRDefault="00DE1738" w:rsidP="00D03F3E">
      <w:pPr>
        <w:spacing w:after="0" w:line="240" w:lineRule="auto"/>
        <w:jc w:val="both"/>
        <w:rPr>
          <w:rFonts w:ascii="Times New Roman" w:hAnsi="Times New Roman"/>
          <w:color w:val="000000" w:themeColor="text1"/>
          <w:sz w:val="16"/>
          <w:szCs w:val="16"/>
        </w:rPr>
      </w:pPr>
    </w:p>
    <w:p w14:paraId="2B4ECBB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lastRenderedPageBreak/>
        <w:t>За рубежом:</w:t>
      </w:r>
    </w:p>
    <w:p w14:paraId="08E90D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C7577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марта 1943 совершена неудачная попытка покушения на Гитлера (4962).</w:t>
      </w:r>
    </w:p>
    <w:p w14:paraId="4D74714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2AE8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марта 1943 была предпринята попытка покушения на А.Гитлера. Von Treskow заложил бомбу в самолет, в котором А.Гитлер возвращался из Смоленска в штаб. Бомба не взорвалась (2245,2).</w:t>
      </w:r>
    </w:p>
    <w:p w14:paraId="142F98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EA86BF"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13 марта</w:t>
      </w:r>
      <w:r w:rsidRPr="00D03F3E">
        <w:rPr>
          <w:rFonts w:ascii="Times New Roman" w:hAnsi="Times New Roman"/>
          <w:color w:val="000000" w:themeColor="text1"/>
          <w:sz w:val="16"/>
          <w:szCs w:val="16"/>
        </w:rPr>
        <w:t xml:space="preserve"> в 1943 году неудачная попытка покушения на Гитлера. В этот день группа заговорщиков во главе с генерал-майoром Хеннигом фон Тресковом приготовилась захватить власть в Берлине, после того как будет ликвидирован Гитлер. Адютант фон Трескова, обер-лейтенант фон Шлабрендорф, передал одному из офицеров, летевших вместе с Гитлером из Смоленска в Растенбург, бомбу с часовым механизмом, спрятанную в ящике с коньяком. Однако по техническим причинам бомба не взорвалась (15067).</w:t>
      </w:r>
    </w:p>
    <w:p w14:paraId="403FFF70" w14:textId="77777777" w:rsidR="004A7B9E" w:rsidRPr="00D03F3E" w:rsidRDefault="004A7B9E" w:rsidP="00D03F3E">
      <w:pPr>
        <w:spacing w:after="0" w:line="240" w:lineRule="auto"/>
        <w:jc w:val="both"/>
        <w:rPr>
          <w:rFonts w:ascii="Times New Roman" w:hAnsi="Times New Roman"/>
          <w:color w:val="000000" w:themeColor="text1"/>
          <w:sz w:val="16"/>
          <w:szCs w:val="16"/>
        </w:rPr>
      </w:pPr>
    </w:p>
    <w:p w14:paraId="7237526A"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13 марта</w:t>
      </w:r>
      <w:r w:rsidRPr="00D03F3E">
        <w:rPr>
          <w:rFonts w:ascii="Times New Roman" w:hAnsi="Times New Roman"/>
          <w:color w:val="000000" w:themeColor="text1"/>
          <w:sz w:val="16"/>
          <w:szCs w:val="16"/>
        </w:rPr>
        <w:t xml:space="preserve"> в 1943 году авиационный налет британских ВВС на предприятия Круппа в Эссене (15067).</w:t>
      </w:r>
    </w:p>
    <w:p w14:paraId="4F6192EF" w14:textId="77777777" w:rsidR="004A7B9E" w:rsidRPr="00D03F3E" w:rsidRDefault="004A7B9E" w:rsidP="00D03F3E">
      <w:pPr>
        <w:spacing w:after="0" w:line="240" w:lineRule="auto"/>
        <w:jc w:val="both"/>
        <w:rPr>
          <w:rFonts w:ascii="Times New Roman" w:hAnsi="Times New Roman"/>
          <w:color w:val="000000" w:themeColor="text1"/>
          <w:sz w:val="16"/>
          <w:szCs w:val="16"/>
        </w:rPr>
      </w:pPr>
    </w:p>
    <w:p w14:paraId="6D4EC0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марта 1943 немцы закрыли Краковское гетто (2100).</w:t>
      </w:r>
    </w:p>
    <w:p w14:paraId="01361B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C06F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марта 1943 китайцы отбросили японцев за Янцзы (2262).</w:t>
      </w:r>
    </w:p>
    <w:p w14:paraId="588032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165055"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7814B0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BF81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марта 1943 было написано письмо Г.М.М. в ЦК и А.И.Ш. НКАП:</w:t>
      </w:r>
    </w:p>
    <w:p w14:paraId="69E4A7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НИИ ВВС прошел государственные испытания модифицированный самолет Як-1 под названием "Як-1М", с серийным мотором М-105ПФ.</w:t>
      </w:r>
    </w:p>
    <w:p w14:paraId="03F387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с полетным весом 2663 кг и вооружением 1 пушка калибра 20 мм и 1 пулемет калибра 12,7 мм.</w:t>
      </w:r>
    </w:p>
    <w:p w14:paraId="309763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Имеет максимальную скорость у земли - 545 км/час и на высоте 4450 - 632 км/час. Время набора высоты 5000 м - 4,1 мин.</w:t>
      </w:r>
    </w:p>
    <w:p w14:paraId="3ACD74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Техника пилотирования самолетом в сравнении с самолетом Як-1 не усложнилась.</w:t>
      </w:r>
    </w:p>
    <w:p w14:paraId="76FA7B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Выявленные в процессе испытаний дефекты могут быть устранены при запуске в серию.</w:t>
      </w:r>
    </w:p>
    <w:p w14:paraId="026108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своим летно-тактическим данным, самолет Як-1М" превосходит серийный самолет Як-1 и стоит на уровне лучших современных истребительных самолетов, находящихся на вооружении ВВС и иностранных государств.</w:t>
      </w:r>
    </w:p>
    <w:p w14:paraId="5F8F6A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Просим вас рассмотреть вопрос о скорейшем внедрении самолета Як-1 в массовое серийное производство взамен самолета Як-1 (1779).</w:t>
      </w:r>
    </w:p>
    <w:p w14:paraId="1BF072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65FE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марта 1943 (воскресение) согласно письма Ермолаева на Ер-2 2М-30Б перед выполнением полета на дальность была найдена стружка в маслофильтре моторе и правый мотор после 30 час. работы был снят (1775,25).</w:t>
      </w:r>
    </w:p>
    <w:p w14:paraId="4DE833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FB4B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марта 1943 Пе-8 (ТБ-7) N 42048 в 0 час. 4 мин. вылетел из Кратово в Англию с группой наших пилотов для перегонки боевых машин и в 9 час. 48 мин. достиг Прествика. 23 апреля 1943 на нем вернулся Э.К.Пуссеп. Это был третий полет (1103,107).</w:t>
      </w:r>
    </w:p>
    <w:p w14:paraId="468B1A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9B05AD" w14:textId="77777777" w:rsidR="00CD455A" w:rsidRPr="00D03F3E" w:rsidRDefault="00CD455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14 марта 1943 куратор авиапромышленности в ГКО Маленков и Нарком авиапрома Шахурин получили доклад: «В НИИ ВВС прошел государственные испытания модифицированный самолет Як-1 под названием «Як-1М», с серийным мотором М-105ПФ. Самолет ˂…˃ имеет максимальную скорость у земли — 545 км/час и на высоте 4 450 – 632 км/час. Время набора высоты 5 000 м — 4,1 мин. Техника пилотирования самолетом в сравнении с самолетом Як-1 не усложнилась. Выявленные в процессе испытаний дефекты могут быть устранены при запуске в серию. По своим летно-тактическим данным… Як-1М превосходит серийный самолет Як-1 и стоит на уровне лучших современных истребительных самолетов, находящихся на вооружении ВВС и иностранных государств. Просим вас рассмотреть вопрос о скорейшем внедрении самолета Як-1М в массовое серийное производство взамен самолета Як-1».</w:t>
      </w:r>
    </w:p>
    <w:p w14:paraId="6335B68E" w14:textId="77777777" w:rsidR="00CD455A" w:rsidRPr="00D03F3E" w:rsidRDefault="00CD455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Однако формально Госиспытания даже не начинались (все полеты выполнялись силами заводской испытательной службы по заводской же программе), а 22 марта отказал М-105ПФ. «Москит» сел в Чкаловской, и его пришлось ремонтировать. Из-за этого заводские испытания завершили только 7 июня, и в тот же день летчик НИИ ВВС Прошаков начал Государственные испытания (27751).</w:t>
      </w:r>
    </w:p>
    <w:p w14:paraId="1EA95768" w14:textId="77777777" w:rsidR="00CD455A" w:rsidRPr="00D03F3E" w:rsidRDefault="00CD455A" w:rsidP="00D03F3E">
      <w:pPr>
        <w:spacing w:after="0" w:line="240" w:lineRule="auto"/>
        <w:jc w:val="both"/>
        <w:rPr>
          <w:rFonts w:ascii="Times New Roman" w:hAnsi="Times New Roman"/>
          <w:color w:val="0070C0"/>
          <w:sz w:val="16"/>
          <w:szCs w:val="16"/>
        </w:rPr>
      </w:pPr>
    </w:p>
    <w:p w14:paraId="6195CC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14 марта по 5 апреля 1943 проходил гос. испытания выпушенный з-дм № 84 ПС-84 № 1845408 с тремя внутренними бомбодержателями для 5х3 ФАБ-100: два параллельно за кабиной и одна в задней части грузовой кабины. Люки закрывались створками. Внешняя подвеска сохранялась без изменений. Мог брать до 2500. Заводские испытания машина прошла в январе и в феврале ее предъявили на гос. испытания. Не прошел и был забракован НИП АВ, т.к. требовались слишком большие усилия на рукоятке сбрасывателя (3404, 11).</w:t>
      </w:r>
    </w:p>
    <w:p w14:paraId="4ADC87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479B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марта 1943 был пятый полет Би-1 на лыжах и летал Г.Я.Бахчиванджи (172,188).</w:t>
      </w:r>
    </w:p>
    <w:p w14:paraId="1B21D7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5220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и 12 января и 11 и 14 марта 1943 состоялись полеты БИ-2 (второго) и в баки заливали от 315 до 498 кг горючего. Летал Бахчиванджи. Хотели достичь скорости 750-800 км/час. Лыжи не убрались и полет был по прежнему заданию. Заправили 498 кг. Осталось 65 кг. Тягу на взлете довели до 1100 кг, набор высоты выполнили на 480 км/час. На 2800 м двигатель выключился и набрали 3200 м. Летали 6 мин. 13 сек. Двигатель работал 80 сек. (2928,16).</w:t>
      </w:r>
    </w:p>
    <w:p w14:paraId="75BA84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7ADF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14 марта 1943, согласно доклада С.П.К. от 18 октября 1943, рабочие чертежи установки, разрабатываемые с 1 февраля 1943, были закончены и к этому сроку спущены в цехи...</w:t>
      </w:r>
    </w:p>
    <w:p w14:paraId="77E95E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...Прибыв 19/XI-1942 г. в Казань, я имел задание ознакомиться с работами, ведущимися по реактивным двигателям. ОКБ завода № 16 работало над созданием чегырехкамерного реактивного двигателя РД-1 с тягой 1200 кг на жидком топливе с питанием от автономно действующего турбонасосного агрегата для самолетов. Эта работа была построена таким образом, что вначале отрабатывалась секция РД-1 в виде одной камеры с тягой 300 кгс и системой питания от постороннего источника энергии (на стенде - от электромотора). Объем всей работы по РД-1 достаточно велик и технически труден, и потому первый ее этап - однокамерный двигатель с приводом - являлся наиболее реальным и близким к осуществлению. Одновременно простейшие подсчеты показывали, что целесообразна установка однокамерного РД-1 с тягой 300 кгс в качестве вспомогательного двигателя для самолета Пе-2 с приводом от авиамотора М-105...Конструкторские работы по АРУ выполнялись группой, организованной при ОКБ завода № 16 8/1 с.г. Компоновка проекта была сделана в январе месяце  (12042).</w:t>
      </w:r>
    </w:p>
    <w:p w14:paraId="4EE394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B5B2F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549E86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AB98A6" w14:textId="77777777" w:rsidR="00575488" w:rsidRPr="00D03F3E" w:rsidRDefault="00575488" w:rsidP="00D03F3E">
      <w:pPr>
        <w:pStyle w:val="ae"/>
        <w:shd w:val="clear" w:color="auto" w:fill="FFFFFF"/>
        <w:spacing w:before="0" w:after="0"/>
        <w:jc w:val="both"/>
        <w:rPr>
          <w:color w:val="000000" w:themeColor="text1"/>
          <w:sz w:val="16"/>
          <w:szCs w:val="16"/>
        </w:rPr>
      </w:pPr>
      <w:r w:rsidRPr="00D03F3E">
        <w:rPr>
          <w:color w:val="000000" w:themeColor="text1"/>
          <w:sz w:val="16"/>
          <w:szCs w:val="16"/>
        </w:rPr>
        <w:t xml:space="preserve">14 марта 1943 на НИБТ Полигон отправился Valentine IX с WD-номером T.122725. Этот танк, выпущенный заводом Elswick Works, прибыл в СССР 22 февраля 1943 года на борту парохода «Моссовет». Предполагалось, что совместно с новым танком будет испытываться Valentine III. На деле произошла явная путаница. Дело в том, что под обозначением «Валентин III» скрывался </w:t>
      </w:r>
      <w:hyperlink r:id="rId89" w:history="1">
        <w:r w:rsidRPr="00D03F3E">
          <w:rPr>
            <w:rStyle w:val="a5"/>
            <w:color w:val="000000" w:themeColor="text1"/>
            <w:sz w:val="16"/>
            <w:szCs w:val="16"/>
          </w:rPr>
          <w:t>Valentine II</w:t>
        </w:r>
      </w:hyperlink>
      <w:r w:rsidRPr="00D03F3E">
        <w:rPr>
          <w:color w:val="000000" w:themeColor="text1"/>
          <w:sz w:val="16"/>
          <w:szCs w:val="16"/>
        </w:rPr>
        <w:t xml:space="preserve">, причём </w:t>
      </w:r>
      <w:hyperlink r:id="rId90" w:history="1">
        <w:r w:rsidRPr="00D03F3E">
          <w:rPr>
            <w:rStyle w:val="a5"/>
            <w:color w:val="000000" w:themeColor="text1"/>
            <w:sz w:val="16"/>
            <w:szCs w:val="16"/>
          </w:rPr>
          <w:t>тот самый</w:t>
        </w:r>
      </w:hyperlink>
      <w:r w:rsidRPr="00D03F3E">
        <w:rPr>
          <w:color w:val="000000" w:themeColor="text1"/>
          <w:sz w:val="16"/>
          <w:szCs w:val="16"/>
        </w:rPr>
        <w:t xml:space="preserve">, что ныне находится в парке «Патриот». Эта машина с WD-номером T.27543 подверглась небольшой переделке: она получила «воротник», прикрывавший подбашенный погон спереди, а также дополнительное бронирование лобовой части корпуса. Также по характеристикам новую машину сравнивали с «Валентин III с двигателем GMC». Судя по всему, речь шла о </w:t>
      </w:r>
      <w:hyperlink r:id="rId91" w:history="1">
        <w:r w:rsidRPr="00D03F3E">
          <w:rPr>
            <w:rStyle w:val="a5"/>
            <w:color w:val="000000" w:themeColor="text1"/>
            <w:sz w:val="16"/>
            <w:szCs w:val="16"/>
          </w:rPr>
          <w:t>Valentine VII</w:t>
        </w:r>
      </w:hyperlink>
      <w:r w:rsidRPr="00D03F3E">
        <w:rPr>
          <w:color w:val="000000" w:themeColor="text1"/>
          <w:sz w:val="16"/>
          <w:szCs w:val="16"/>
        </w:rPr>
        <w:t>, который испытывался на НИБТ Полигоне в 1942 году.</w:t>
      </w:r>
    </w:p>
    <w:p w14:paraId="320C14FD" w14:textId="77777777" w:rsidR="00575488" w:rsidRPr="00D03F3E" w:rsidRDefault="00575488" w:rsidP="00D03F3E">
      <w:pPr>
        <w:pStyle w:val="ae"/>
        <w:shd w:val="clear" w:color="auto" w:fill="FFFFFF"/>
        <w:spacing w:before="0" w:after="0"/>
        <w:jc w:val="both"/>
        <w:rPr>
          <w:color w:val="000000" w:themeColor="text1"/>
          <w:sz w:val="16"/>
          <w:szCs w:val="16"/>
        </w:rPr>
      </w:pPr>
      <w:r w:rsidRPr="00D03F3E">
        <w:rPr>
          <w:color w:val="000000" w:themeColor="text1"/>
          <w:sz w:val="16"/>
          <w:szCs w:val="16"/>
        </w:rPr>
        <w:t>Согласно подписанной Вершининым программе испытаний, помимо изучения Valentine IX предполагалось провести пробег на дистанцию 800 километров. Из них 300 километров приходилось на шоссе, столько же на просёлок и 200 — на целину. В их ходе определялась проходимость на обледенелом грунте и заснеженной целине. Также проводились огневые испытания, в ходе которых определялась скорострельность орудия и его возможности по пробитию.</w:t>
      </w:r>
    </w:p>
    <w:p w14:paraId="148DEAFB" w14:textId="77777777" w:rsidR="00575488" w:rsidRPr="00D03F3E" w:rsidRDefault="00575488" w:rsidP="00D03F3E">
      <w:pPr>
        <w:pStyle w:val="ae"/>
        <w:shd w:val="clear" w:color="auto" w:fill="FFFFFF"/>
        <w:spacing w:before="0" w:after="0"/>
        <w:jc w:val="both"/>
        <w:rPr>
          <w:color w:val="000000" w:themeColor="text1"/>
          <w:sz w:val="16"/>
          <w:szCs w:val="16"/>
        </w:rPr>
      </w:pPr>
      <w:r w:rsidRPr="00D03F3E">
        <w:rPr>
          <w:color w:val="000000" w:themeColor="text1"/>
          <w:sz w:val="16"/>
          <w:szCs w:val="16"/>
        </w:rPr>
        <w:t>Уже на этапе сравнения характеристик выяснилось, что не всё так страшно, как это казалось по донесениям из Англии. Оказалось, что в реальности боевая масса Valentine IX составляла 17 тонн, столько же, сколько у Valentine VII. Valentine II оказался немного легче — 16,5 тонн. Сохранение массы на прежнем уровне стало возможным благодаря небольшому снижению толщины бортовой брони. Это было вполне допустимым, поражались танки в основном с лобовой проекции. Специалисты отметили появление дополнительного бака на 148 литров. Они устанавливались ещё на Valentine IV, но на НИБТ Полигон машины с такими баками не попадали. Общие изменения шасси оказались аналогичными тем, которые происходили с танками, оснащёнными 2-фунтовыми пушками.</w:t>
      </w:r>
    </w:p>
    <w:p w14:paraId="237C5416" w14:textId="77777777" w:rsidR="00575488" w:rsidRPr="00D03F3E" w:rsidRDefault="00575488" w:rsidP="00D03F3E">
      <w:pPr>
        <w:pStyle w:val="ae"/>
        <w:shd w:val="clear" w:color="auto" w:fill="FFFFFF"/>
        <w:spacing w:before="0" w:after="0"/>
        <w:jc w:val="both"/>
        <w:rPr>
          <w:color w:val="000000" w:themeColor="text1"/>
          <w:sz w:val="16"/>
          <w:szCs w:val="16"/>
        </w:rPr>
      </w:pPr>
      <w:r w:rsidRPr="00D03F3E">
        <w:rPr>
          <w:color w:val="000000" w:themeColor="text1"/>
          <w:sz w:val="16"/>
          <w:szCs w:val="16"/>
        </w:rPr>
        <w:t xml:space="preserve">Наибольший интерес у испытателей вызвала башня. Valentine стал рекордсменом в своём классе по увеличению калибра основного вооружения. Исходную башню танка с 40-мм пушкой удалось сначала сделать трёхместной, а затем установить в неё орудие калибра 57 мм. Позже туда же удалось установить и пушку калибра 75 </w:t>
      </w:r>
      <w:r w:rsidRPr="00D03F3E">
        <w:rPr>
          <w:color w:val="000000" w:themeColor="text1"/>
          <w:sz w:val="16"/>
          <w:szCs w:val="16"/>
        </w:rPr>
        <w:lastRenderedPageBreak/>
        <w:t>мм. Получилось это за счёт растягивания носовой и кормовой части башни Valentine III. Из-за больших размеров орудия башня снова стала двухместной, при этом количество её люков увеличилось до двух. Как уже упоминалось, от спаренного пулемёта конструкторам пришлось отказаться, а 2-дюймовый миномёт был заменён на спарку мортирок, установленных с правой стороны башни. Ни то, ни другое советским испытателям не понравилось. Поскольку боекомплект 6-фунтовой пушки состоял только из бронебойных снарядов, получалось, что танк годился только для борьбы с бронетехникой противника. Максимум, на что можно было рассчитывать в бою против пехоты — это ручной пулемёт Bren, который ставился на зенитный вертлюг.</w:t>
      </w:r>
    </w:p>
    <w:p w14:paraId="73B28C9B" w14:textId="77777777" w:rsidR="00575488" w:rsidRPr="00D03F3E" w:rsidRDefault="00575488" w:rsidP="00D03F3E">
      <w:pPr>
        <w:pStyle w:val="ae"/>
        <w:shd w:val="clear" w:color="auto" w:fill="FFFFFF"/>
        <w:spacing w:before="0" w:after="0"/>
        <w:jc w:val="both"/>
        <w:rPr>
          <w:color w:val="000000" w:themeColor="text1"/>
          <w:sz w:val="16"/>
          <w:szCs w:val="16"/>
        </w:rPr>
      </w:pPr>
      <w:r w:rsidRPr="00D03F3E">
        <w:rPr>
          <w:color w:val="000000" w:themeColor="text1"/>
          <w:sz w:val="16"/>
          <w:szCs w:val="16"/>
        </w:rPr>
        <w:t>Боекомплект машины включал 53 патрона к 6-фунтовому орудию, 4 дисковых магазина по 100 патронов к Bren, 10 дымовых шашек и 12 сигнальных ракет. Негусто, особенно для танка поддержки пехоты.</w:t>
      </w:r>
    </w:p>
    <w:p w14:paraId="23C9147D" w14:textId="77777777" w:rsidR="00575488" w:rsidRPr="00D03F3E" w:rsidRDefault="00575488" w:rsidP="00D03F3E">
      <w:pPr>
        <w:pStyle w:val="ae"/>
        <w:shd w:val="clear" w:color="auto" w:fill="FFFFFF"/>
        <w:spacing w:before="0" w:after="0"/>
        <w:jc w:val="both"/>
        <w:rPr>
          <w:color w:val="000000" w:themeColor="text1"/>
          <w:sz w:val="16"/>
          <w:szCs w:val="16"/>
        </w:rPr>
      </w:pPr>
      <w:r w:rsidRPr="00D03F3E">
        <w:rPr>
          <w:color w:val="000000" w:themeColor="text1"/>
          <w:sz w:val="16"/>
          <w:szCs w:val="16"/>
        </w:rPr>
        <w:t>При изучении рабочих мест расчёта башни оценка оказалась вполне удовлетворительной. К месту командира, которым советские специалисты сочли наводчика (на самом деле у англичан командиром был заряжающий) и вовсе претензий не оказалось. Рабочее место обеспечивало удобное ведение огня, механизмы наведения располагались так, что не доставляли наводчику дискомфорта. Чуть хуже было выполнено место заряжающего. Дело в том, что до части боекомплекта можно было добраться, лишь развернув башню. Впрочем, это касалось укладок второй очереди, с остальным боезапасом проблем не наблюдалось. Что же касается обзорности, то к ней претензий не было. Поскольку командир лишился башенки, число смотровых приборов MK-IV увеличилось до трёх. Два перископа конструкторы разместили в носовой части башни, а третий поставили в её правый задний угол: с его помощью заряжающий получил вполне пристойный обзор назад.</w:t>
      </w:r>
    </w:p>
    <w:p w14:paraId="7423D4C0" w14:textId="77777777" w:rsidR="00575488" w:rsidRPr="00D03F3E" w:rsidRDefault="00575488" w:rsidP="00D03F3E">
      <w:pPr>
        <w:pStyle w:val="ae"/>
        <w:shd w:val="clear" w:color="auto" w:fill="FFFFFF"/>
        <w:spacing w:before="0" w:after="0"/>
        <w:jc w:val="both"/>
        <w:rPr>
          <w:color w:val="000000" w:themeColor="text1"/>
          <w:sz w:val="16"/>
          <w:szCs w:val="16"/>
        </w:rPr>
      </w:pPr>
      <w:r w:rsidRPr="00D03F3E">
        <w:rPr>
          <w:color w:val="000000" w:themeColor="text1"/>
          <w:sz w:val="16"/>
          <w:szCs w:val="16"/>
        </w:rPr>
        <w:t>Ходовые испытания оказались весьма своеобразными. Дело в том, что для испытаний использовался один из Valentine IX, который находился в Горьком АБТ Центре. Чтобы не тратить время, машину отправили на НИБТ Полигон своим ходом. В общей сложности танк прошел 500 километров, из них по заснеженному шоссе — 287, по асфальтовому шоссе — 163 и по просёлку — 50. Средняя скорость движения по заснеженному шоссе составила 20 км/ч, а по чистому — 20,9 км/ч, это было даже чуть больше, чем у Valentine II. По просёлку и целине средняя скорость составила 12-16 км/ч, у Valentine II тот же показатель составил 12-15 км/ч. Средний расход топлива по заснеженному шоссе составил 136 литров на 100 километров, а по чистому шоссе — 131 литр. Запас хода при этом составил 230 и 240 километров соответственно. Появление дополнительного бака было воспринято испытателями положительно — запас хода вырос на 90%.</w:t>
      </w:r>
    </w:p>
    <w:p w14:paraId="1DA5C5AF" w14:textId="77777777" w:rsidR="00575488" w:rsidRPr="00D03F3E" w:rsidRDefault="00575488" w:rsidP="00D03F3E">
      <w:pPr>
        <w:pStyle w:val="ae"/>
        <w:shd w:val="clear" w:color="auto" w:fill="FFFFFF"/>
        <w:spacing w:before="0" w:after="0"/>
        <w:jc w:val="both"/>
        <w:rPr>
          <w:color w:val="000000" w:themeColor="text1"/>
          <w:sz w:val="16"/>
          <w:szCs w:val="16"/>
        </w:rPr>
      </w:pPr>
      <w:r w:rsidRPr="00D03F3E">
        <w:rPr>
          <w:color w:val="000000" w:themeColor="text1"/>
          <w:sz w:val="16"/>
          <w:szCs w:val="16"/>
        </w:rPr>
        <w:t>Таким образом, опасения насчёт ходовой части танка оказались напрасными. Немногочисленные поломки на марше с ней оказались не связаны. Что же касается вооружения, то оно оказалось примерно равнозначным 6-фунтовой пушке танка Churchill III.</w:t>
      </w:r>
    </w:p>
    <w:p w14:paraId="7B9D8ED5" w14:textId="77777777" w:rsidR="00575488" w:rsidRPr="00D03F3E" w:rsidRDefault="00575488" w:rsidP="00D03F3E">
      <w:pPr>
        <w:pStyle w:val="ae"/>
        <w:shd w:val="clear" w:color="auto" w:fill="FFFFFF"/>
        <w:spacing w:before="0" w:after="0"/>
        <w:jc w:val="both"/>
        <w:rPr>
          <w:color w:val="000000" w:themeColor="text1"/>
          <w:sz w:val="16"/>
          <w:szCs w:val="16"/>
        </w:rPr>
      </w:pPr>
      <w:r w:rsidRPr="00D03F3E">
        <w:rPr>
          <w:color w:val="000000" w:themeColor="text1"/>
          <w:sz w:val="16"/>
          <w:szCs w:val="16"/>
        </w:rPr>
        <w:t>По итогам испытаний было сделано следующее заключение:</w:t>
      </w:r>
    </w:p>
    <w:p w14:paraId="667D6D6C" w14:textId="77777777" w:rsidR="00575488" w:rsidRPr="00D03F3E" w:rsidRDefault="00575488" w:rsidP="00D03F3E">
      <w:pPr>
        <w:pStyle w:val="ae"/>
        <w:shd w:val="clear" w:color="auto" w:fill="FFFFFF"/>
        <w:spacing w:before="0" w:after="0"/>
        <w:jc w:val="both"/>
        <w:rPr>
          <w:color w:val="000000" w:themeColor="text1"/>
          <w:sz w:val="16"/>
          <w:szCs w:val="16"/>
        </w:rPr>
      </w:pPr>
      <w:r w:rsidRPr="00D03F3E">
        <w:rPr>
          <w:iCs/>
          <w:color w:val="000000" w:themeColor="text1"/>
          <w:sz w:val="16"/>
          <w:szCs w:val="16"/>
        </w:rPr>
        <w:t>«1. Английские танки «Валентин IX» и «Валентин III» по своим техническим данным равноценны.</w:t>
      </w:r>
    </w:p>
    <w:p w14:paraId="74DBC5BD" w14:textId="77777777" w:rsidR="00575488" w:rsidRPr="00D03F3E" w:rsidRDefault="00575488" w:rsidP="00D03F3E">
      <w:pPr>
        <w:pStyle w:val="ae"/>
        <w:shd w:val="clear" w:color="auto" w:fill="FFFFFF"/>
        <w:spacing w:before="0" w:after="0"/>
        <w:jc w:val="both"/>
        <w:rPr>
          <w:color w:val="000000" w:themeColor="text1"/>
          <w:sz w:val="16"/>
          <w:szCs w:val="16"/>
        </w:rPr>
      </w:pPr>
      <w:r w:rsidRPr="00D03F3E">
        <w:rPr>
          <w:iCs/>
          <w:color w:val="000000" w:themeColor="text1"/>
          <w:sz w:val="16"/>
          <w:szCs w:val="16"/>
        </w:rPr>
        <w:t>2. Вооружение танка предназначено только для борьбы с танками противника.</w:t>
      </w:r>
    </w:p>
    <w:p w14:paraId="2E3DC704" w14:textId="77777777" w:rsidR="00575488" w:rsidRPr="00D03F3E" w:rsidRDefault="00575488" w:rsidP="00D03F3E">
      <w:pPr>
        <w:pStyle w:val="ae"/>
        <w:shd w:val="clear" w:color="auto" w:fill="FFFFFF"/>
        <w:spacing w:before="0" w:after="0"/>
        <w:jc w:val="both"/>
        <w:rPr>
          <w:color w:val="000000" w:themeColor="text1"/>
          <w:sz w:val="16"/>
          <w:szCs w:val="16"/>
        </w:rPr>
      </w:pPr>
      <w:r w:rsidRPr="00D03F3E">
        <w:rPr>
          <w:iCs/>
          <w:color w:val="000000" w:themeColor="text1"/>
          <w:sz w:val="16"/>
          <w:szCs w:val="16"/>
        </w:rPr>
        <w:t>3. Отсутствие осколочно-фугасной гранаты и пулемёта, спаренного с пушкой, исключает возможность борьбы с пехотой и огневыми точками противника.</w:t>
      </w:r>
    </w:p>
    <w:p w14:paraId="1308B8E6" w14:textId="77777777" w:rsidR="00575488" w:rsidRPr="00D03F3E" w:rsidRDefault="00575488" w:rsidP="00D03F3E">
      <w:pPr>
        <w:pStyle w:val="ae"/>
        <w:shd w:val="clear" w:color="auto" w:fill="FFFFFF"/>
        <w:spacing w:before="0" w:after="0"/>
        <w:jc w:val="both"/>
        <w:rPr>
          <w:color w:val="000000" w:themeColor="text1"/>
          <w:sz w:val="16"/>
          <w:szCs w:val="16"/>
        </w:rPr>
      </w:pPr>
      <w:r w:rsidRPr="00D03F3E">
        <w:rPr>
          <w:iCs/>
          <w:color w:val="000000" w:themeColor="text1"/>
          <w:sz w:val="16"/>
          <w:szCs w:val="16"/>
        </w:rPr>
        <w:t>4. Проверка надёжности работы 57 мм пушки требует дополнительных испытаний отстрелом на ряде образцов».</w:t>
      </w:r>
    </w:p>
    <w:p w14:paraId="50AA1E3B" w14:textId="77777777" w:rsidR="00575488" w:rsidRPr="00D03F3E" w:rsidRDefault="00575488" w:rsidP="00D03F3E">
      <w:pPr>
        <w:pStyle w:val="ae"/>
        <w:shd w:val="clear" w:color="auto" w:fill="FFFFFF"/>
        <w:spacing w:before="0" w:after="0"/>
        <w:jc w:val="both"/>
        <w:rPr>
          <w:color w:val="000000" w:themeColor="text1"/>
          <w:sz w:val="16"/>
          <w:szCs w:val="16"/>
        </w:rPr>
      </w:pPr>
      <w:r w:rsidRPr="00D03F3E">
        <w:rPr>
          <w:color w:val="000000" w:themeColor="text1"/>
          <w:sz w:val="16"/>
          <w:szCs w:val="16"/>
        </w:rPr>
        <w:t>Последний пункт замечаний оказался связан с поломками 6-фунтовой пушки, случившимися во время стрельбы. Этот дефект был не уникальным — подобные проблемы наблюдались и у Churchill. Для устранения дефектов орудия понадобилось определённое время, переписка по данному вопросу продолжалась как минимум до конца весны 1943 года.</w:t>
      </w:r>
    </w:p>
    <w:p w14:paraId="29568CA2" w14:textId="77777777" w:rsidR="00575488" w:rsidRPr="00D03F3E" w:rsidRDefault="00575488"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Весенние испытания оказались не последними, в которых участвовал Valentine IX. Позже, в августе 1943 года, на НИБТ Полигоне оказался ещё один танк данной модификации. На сей раз испытывалась исключительно ходовая часть танка, а именно — гусеничные ленты. Связано это оказалось с тем, что летом 1943 года английская промышленность наконец вспомнила о требованиях РККА по оснащению танков дополнительными грунтозацепами. В СССР стали приходить Valentine IX с траками нового образца, на каждом из которых имелись шипы. Скоро из частей и от приёмщиков начали приходить жалобы, поскольку несъёмные грунтозацепы стали создавать проблемы, в частности быстро портили асфальтовые дороги (17709).</w:t>
      </w:r>
    </w:p>
    <w:p w14:paraId="785DFC76" w14:textId="77777777" w:rsidR="00575488" w:rsidRPr="00D03F3E" w:rsidRDefault="00575488" w:rsidP="00D03F3E">
      <w:pPr>
        <w:spacing w:after="0" w:line="240" w:lineRule="auto"/>
        <w:jc w:val="both"/>
        <w:rPr>
          <w:rFonts w:ascii="Times New Roman" w:eastAsia="Times New Roman" w:hAnsi="Times New Roman"/>
          <w:color w:val="000000" w:themeColor="text1"/>
          <w:sz w:val="16"/>
          <w:szCs w:val="16"/>
          <w:lang w:eastAsia="ru-RU"/>
        </w:rPr>
      </w:pPr>
    </w:p>
    <w:p w14:paraId="48AB44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марта 1943г. было СООБЩЕНИЕ НАЧАЛЬНИКА ГБТУ КА НАЧАЛЬНИКУ ГАУ КА ГЕНЕРАЛ-ЛЕЙТЕНАНТУ АРТИЛЛЕРИИ ВОЛКОТРУБЕНКО ПО ВОПРОСУ ВОЕННЫХ ПРИЕМОК САМОХОДНЫХ АРТУСТАНОВОК №1149667</w:t>
      </w:r>
    </w:p>
    <w:p w14:paraId="6D6A633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Выделить в Ваше распоряжение для приемки самоходных артустановок на заводах Уралмаш и Кировском часть личного состава военных приемок ГБТУ КА этих заводов в настоящее время не представляется возможным.</w:t>
      </w:r>
    </w:p>
    <w:p w14:paraId="256E625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 управления кадров БТ и МВ Красной Армии имеется задание подобрать в Ваше распоряже</w:t>
      </w:r>
      <w:r w:rsidRPr="00D03F3E">
        <w:rPr>
          <w:rFonts w:ascii="Times New Roman" w:hAnsi="Times New Roman"/>
          <w:color w:val="000000" w:themeColor="text1"/>
          <w:sz w:val="16"/>
          <w:szCs w:val="16"/>
        </w:rPr>
        <w:softHyphen/>
        <w:t>ние ряд инженеров-танкистов, которые по мере подбора будут направляться к Вам.</w:t>
      </w:r>
    </w:p>
    <w:p w14:paraId="16BEB62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ГБТУ Красной Армии генерал-лейтенант танковых войск Вершинин</w:t>
      </w:r>
    </w:p>
    <w:p w14:paraId="2D5E28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11369. Д. 11. Л. 123. Подлинник (11403).</w:t>
      </w:r>
    </w:p>
    <w:p w14:paraId="1034F0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F0637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марта 1943 г. была подготовлена ИНФОРМАЦИЯ НАЧАЛЬНИКА ГБТУ НАЧАЛЬНИКУ ВМА ВМФ им. ВОРОШИЛОВА ОБ ИСПЫТАНИИ ТАНКА, ОБОРУДОВАННОГО ДЛЯ ПОДВОДНОГО ХОЖДЕНИЯ ПО ПРЕДЛОЖЕНИЮ т. ПЕТРОВСКОГО №49801</w:t>
      </w:r>
    </w:p>
    <w:p w14:paraId="7624C5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Сообщаю, что ГБТУ КА по получении от Вас результата предварительных испытаний танка Т-34, оборудованного по предложению профессора т. Петровского, своим приказом от 29.07.1942 г. назна</w:t>
      </w:r>
      <w:r w:rsidRPr="00D03F3E">
        <w:rPr>
          <w:rFonts w:ascii="Times New Roman" w:hAnsi="Times New Roman"/>
          <w:color w:val="000000" w:themeColor="text1"/>
          <w:sz w:val="16"/>
          <w:szCs w:val="16"/>
        </w:rPr>
        <w:softHyphen/>
        <w:t>чило комиссию в составе представителей ГБТУ КА, НКТП и ВМА имени Ворошилова.</w:t>
      </w:r>
    </w:p>
    <w:p w14:paraId="7BAF9C6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танка были проведены в г. Астрахани в период с 7 по 14 августа 1942 г. комиссией, состоящей только из представителей ГБТУ КА.</w:t>
      </w:r>
    </w:p>
    <w:p w14:paraId="1B104DA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Представители Военно-морской академии и автор предложения т. Петровский на испытаниях танка комиссией, не присутствовали.</w:t>
      </w:r>
    </w:p>
    <w:p w14:paraId="5B809E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проведенных испытаний танка установлено:</w:t>
      </w:r>
    </w:p>
    <w:p w14:paraId="703ECE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Предложенный т. Петровским процесс работы дизельмотора В-2 под водой, заключающийся в пере</w:t>
      </w:r>
      <w:r w:rsidRPr="00D03F3E">
        <w:rPr>
          <w:rFonts w:ascii="Times New Roman" w:hAnsi="Times New Roman"/>
          <w:color w:val="000000" w:themeColor="text1"/>
          <w:sz w:val="16"/>
          <w:szCs w:val="16"/>
        </w:rPr>
        <w:softHyphen/>
        <w:t>ключении одной группы мотора на работу компрессором, для условий, имевших место при испытаниях, себя оправдал и может быть использован для танков Т-34, оборудованных для подводного хождения.</w:t>
      </w:r>
    </w:p>
    <w:p w14:paraId="3486AF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Герметизация верхней части танка, чехлом из прорезиненной материи не может быть реко</w:t>
      </w:r>
      <w:r w:rsidRPr="00D03F3E">
        <w:rPr>
          <w:rFonts w:ascii="Times New Roman" w:hAnsi="Times New Roman"/>
          <w:color w:val="000000" w:themeColor="text1"/>
          <w:sz w:val="16"/>
          <w:szCs w:val="16"/>
        </w:rPr>
        <w:softHyphen/>
        <w:t>мендована для оборудования боевых машин подводного хождения по следующим причинам:</w:t>
      </w:r>
    </w:p>
    <w:p w14:paraId="2DF61F4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при надетом чехле вести огонь из танка не представляется возможным.</w:t>
      </w:r>
    </w:p>
    <w:p w14:paraId="561A97F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чехол уязвим ружейно-пулеметным огнем.</w:t>
      </w:r>
    </w:p>
    <w:p w14:paraId="5543FEB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видимость из танка при надетом чехле плохая.</w:t>
      </w:r>
    </w:p>
    <w:p w14:paraId="2C90CB7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ввиду закрытия чехлом доступа воздуха для работы мотора длительное движение танка с чех</w:t>
      </w:r>
      <w:r w:rsidRPr="00D03F3E">
        <w:rPr>
          <w:rFonts w:ascii="Times New Roman" w:hAnsi="Times New Roman"/>
          <w:color w:val="000000" w:themeColor="text1"/>
          <w:sz w:val="16"/>
          <w:szCs w:val="16"/>
        </w:rPr>
        <w:softHyphen/>
        <w:t>лом невозможно.</w:t>
      </w:r>
    </w:p>
    <w:p w14:paraId="49D970A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Вариант использования сжатого воздуха из баллонов для питания мотора комиссией не испытывался.</w:t>
      </w:r>
    </w:p>
    <w:p w14:paraId="35C3EF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Принцип переключения цилиндров дизеля на работу компрессором при подводном хождении танка для других каких-либо целей нами не используется.</w:t>
      </w:r>
    </w:p>
    <w:p w14:paraId="38CB58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Решения о реализации предложения т. Петровского нами не принято ввиду того, что ТУ ГБТУ КА в настоящее время проводит подобные работы по предложению других авторов.</w:t>
      </w:r>
    </w:p>
    <w:p w14:paraId="6C19E4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Поэтому до получения результатов испытаний всех вариантов дать окончательное заключение по предложению т. Петровского не представляется возможным.</w:t>
      </w:r>
    </w:p>
    <w:p w14:paraId="38542F7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ГБТУ Красной Армии генерал-лейтенант танковых войск Вершинин</w:t>
      </w:r>
    </w:p>
    <w:p w14:paraId="10AD2E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ТУ ГБТУ Красной Армии инженер-полковник Алымов</w:t>
      </w:r>
    </w:p>
    <w:p w14:paraId="5ED0BD8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П355а. Д. 352г. Л. 8. Копия (11403).</w:t>
      </w:r>
    </w:p>
    <w:p w14:paraId="0902B2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93A5B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марта 1943 г. была подготовлена ДОКЛАДНАЯ ЗАПИСКА ЗАМЕСТИТЕЛЯ НАЧАЛЬНИКА ТУ ГБТУ КА НАЧАЛЬНИКУ ШТАБА ТЫЛА КА ГЕНЕРАЛ-МАЙОРУ МИЛОВСКОМУ ПО ВОПРОСУ ДОСТАВКИ ЗАПЧАСТЕЙ № 49634</w:t>
      </w:r>
    </w:p>
    <w:p w14:paraId="06484B0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нашему специальному заказу из Америки в Баку авиатранспортом прибыло 40 мест весом 900 кг инжекторов для танковых дизельмоторов.</w:t>
      </w:r>
    </w:p>
    <w:p w14:paraId="1E71EE5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Ваших указаний о выделении одного транспортного самолета типа «Дуглас» на 20.03.1943 г. начальнику отдела военной приемки иномашин танкового управления ГБТУ КА, находящемуся в г. Баку, для доставки прибывших инжекторов из г. Баку в г. Москву.</w:t>
      </w:r>
    </w:p>
    <w:p w14:paraId="13D1EB1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Вашем решении прошу сообщить.</w:t>
      </w:r>
    </w:p>
    <w:p w14:paraId="773540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ТУ ГБТУ Красной Армии инженер-полковник Алымов</w:t>
      </w:r>
    </w:p>
    <w:p w14:paraId="50FF0C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5 отдела ТУ ГБТУ Красной Армии инженер-майор Морозов</w:t>
      </w:r>
    </w:p>
    <w:p w14:paraId="639C15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1697. Л. 78. Копия (11403).</w:t>
      </w:r>
    </w:p>
    <w:p w14:paraId="75E187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29F78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марта 1943 вышло Постановление ГКО № 3032 О плане распределения электроэнергии по уральским энергосистемам с 15 марта по 1 апреля 1943 года. (7089, 1,2-7).</w:t>
      </w:r>
    </w:p>
    <w:p w14:paraId="2D0AE0E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638B8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марта 1943 вышло Распоряжение ГКО № 3033 [О прекращении демонтажа доменной печи Ново-Тульского металлургического завода.] (7089, 8).</w:t>
      </w:r>
    </w:p>
    <w:p w14:paraId="26EBE8E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527D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марта 1943 вышло Распоряжение ГКО № 3034. О поставке строительству узбекских гидроэлектростанций лесоматериалов и нефтепродуктов.РГАНИР, Фонд ГКО, д. 97, лл. 9 (11012).</w:t>
      </w:r>
    </w:p>
    <w:p w14:paraId="4EB498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57C04E"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E7928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066CBD"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14 марта</w:t>
      </w:r>
      <w:r w:rsidRPr="00D03F3E">
        <w:rPr>
          <w:rFonts w:ascii="Times New Roman" w:hAnsi="Times New Roman"/>
          <w:color w:val="000000" w:themeColor="text1"/>
          <w:sz w:val="16"/>
          <w:szCs w:val="16"/>
        </w:rPr>
        <w:t xml:space="preserve"> в 1943 году утреннее сообщение Совинформбюро:</w:t>
      </w:r>
    </w:p>
    <w:p w14:paraId="76864458"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14 марта наши войска вели бои на прежних направлениях.</w:t>
      </w:r>
    </w:p>
    <w:p w14:paraId="17F8D693"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Вязьмы наши войска, преодолевая сопротивление противника, продолжали наступление. В районе одного населённого пункта батальон немецкой пехоты при поддержке танков в течение ночи дважды переходил в контратаку. Наши бойцы отбросили гитлеровцев и, преследуя их, овладели населённым пунктом. Подбито 4 немецких танка и уничтожено до 200 гитлеровцев. Захвачены трофеи, в том числе 40 повозок с различным военным имуществом. Южнее Вязьмы наши части заняли до 20 населённых пунктов и железнодорожную станцию Милятинский завод.</w:t>
      </w:r>
    </w:p>
    <w:p w14:paraId="404C852B"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наши войска продвигались вперёд и заняли ряд населённыхпунктов. Бойцы Н-ской части окружили опорный пункт противника и истребили более роты гитлеровцев, отказавшихся сложить оружие. Захвачены 3 противотанковых орудия, 5 миномётов, 9 пулемётов, склад с запасными частями, авторемонтные мастерские и несколько штабелей артиллерийских снарядов.</w:t>
      </w:r>
    </w:p>
    <w:p w14:paraId="529D8C33"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Харькова наши части вели бои, принимающие всё более ожесточённый характер. Советские бойцы мужественно отражают натиск численно превосходящих сил вражеских танков и мотопехоты. На одном участке гитлеровцам удалось вклиниться в нашу оборону. Бойцы Н-ской части перешли в контратаку и отбросили противника. На поле боя осталось 9 подбитых немецких танков, 3 бронемашины, 2 самоходных орудия, 12 миномётов и до 500 трупов гитлеровцев. Артиллеристы Н-ской части вели интенсивный огонь по атакующим танкам и пехоте противника. Подбито и сожжено 7 танков, рассеяно и частью уничтожено до батальона немецкой пехоты.</w:t>
      </w:r>
    </w:p>
    <w:p w14:paraId="0118689B"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одном из районов Ровенской области, устроили засаду на шоссейной дороге и гранатами уничтожили 19 немецких автомашин. Убито до 80 гитлеровцев, в том числе несколько офицеров. Группа партизан другого отряда напала на отряд немецкой полиции и захватила ручной пулемёт, 19 винтовок и много патронов.</w:t>
      </w:r>
    </w:p>
    <w:p w14:paraId="2071C140"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разрушили станицу Больше-Крепинскую, Ростовской области. Из 1.200 дворов в станице немцы сожгли 840 домов. Четыре тысячи мирных жителей остались без крова. Гитлеровские бандиты уничтожили в станице кинотеатр, клуб, две школы, почту, универмаг, электростанцию и радиоузел. Разрушения сопровождались дикими зверствами и убийствами мирного населения. Отступая, гитлеровцы ограбили колхозников и пытались увести с собой всех мужчин в возрасте от 15 до 50 лет. Только в результате быстрого наступления Красной Армии население станицы избежало немецкой каторги.</w:t>
      </w:r>
    </w:p>
    <w:p w14:paraId="470F7DE8"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Тронхейме норвежские патриоты бросили бомбу в немецкий пароход. В результате взрыва было убито и ранено много гитлеровцев. В районе Ставантера группа вооружённых норвежцев совершила налёт на военный склад. Истребив немецкую охрану, норвежцы подожгли складские помещения. Огнём уничтожено много снаряженияи различного военного имущества немецких оккупантов.» (15068).</w:t>
      </w:r>
    </w:p>
    <w:p w14:paraId="385E0177" w14:textId="77777777" w:rsidR="004A7B9E" w:rsidRPr="00D03F3E" w:rsidRDefault="004A7B9E" w:rsidP="00D03F3E">
      <w:pPr>
        <w:spacing w:after="0" w:line="240" w:lineRule="auto"/>
        <w:jc w:val="both"/>
        <w:rPr>
          <w:rFonts w:ascii="Times New Roman" w:hAnsi="Times New Roman"/>
          <w:color w:val="000000" w:themeColor="text1"/>
          <w:sz w:val="16"/>
          <w:szCs w:val="16"/>
        </w:rPr>
      </w:pPr>
    </w:p>
    <w:p w14:paraId="096AFBAA"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14 марта</w:t>
      </w:r>
      <w:r w:rsidRPr="00D03F3E">
        <w:rPr>
          <w:rFonts w:ascii="Times New Roman" w:hAnsi="Times New Roman"/>
          <w:color w:val="000000" w:themeColor="text1"/>
          <w:sz w:val="16"/>
          <w:szCs w:val="16"/>
        </w:rPr>
        <w:t xml:space="preserve"> в 1943 году вечернее сообщение Совинформбюро:</w:t>
      </w:r>
    </w:p>
    <w:p w14:paraId="68455C88"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14 марта наши войска вели бои на прежних направлениях.</w:t>
      </w:r>
    </w:p>
    <w:p w14:paraId="47FBBAF4"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7 по 13 марта включительно, в воздушных боях и на аэродромах противника уничтожено 260 немецких самолётов. Наши потери за это же время 110 самолётов.</w:t>
      </w:r>
    </w:p>
    <w:p w14:paraId="1F3FEB8C"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марта частями нашей авиации на различных участках фронта уничтожено или повреждено до 100 немецких автомашин с войсками и грузами, подавлен огонь 10 артиллерийских и миномётных батарей, взорвано 3 склада противника с боеприпасами.</w:t>
      </w:r>
    </w:p>
    <w:p w14:paraId="723C2995"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Вязьмы наши войска продолжали успешное наступление. В районе Холм-Жирковского немцы сосредоточили крупные силы пехоты и до 20 артиллерийских батарей. Советские части сломили сопротивление противника, переправились через Днепр и выбили гитлеровцев из ряда опорных пунктов на западном берегу реки. На поле боя остались согни вражеских трупов. Захвачены большие трофея. Другие советские части на широком фронте форсировали реку Вязьму. Западнее и юго-западнее города Вязьмы наши войска с боями продвигались вперёд и заняли несколько десятков населённых пунктов.</w:t>
      </w:r>
    </w:p>
    <w:p w14:paraId="09141D29"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наши войска продолжали наступление и овладели 30 населенными пунктами. На улицах одного населённого пункта, занятого нашими подразделениями, подсчитано свыше 300 вражеских трупов. Захвачены 6 орудий, 7 противотанковых ружей, много пулемётов, винтовок, склад боеприпасов и склад с различным военным имуществом.</w:t>
      </w:r>
    </w:p>
    <w:p w14:paraId="63AF7440"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Харькова продолжались ожесточённые бои. Огнём нашей артиллерии и бронебойщиков уничтожено несколько десятков танков и свыше 60 автомашин с пехотой противника. Севернее Харькова наши части вели напряжённые бои с пехотойи танками противника, в ходе которых нанесли немцам огромный урон.</w:t>
      </w:r>
    </w:p>
    <w:p w14:paraId="5D0BAA98"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Изюма бойцы Н-ского соединения за два дня сожгли и подбили 16 немецких танков, 2 бронемашины и уничтожили свыше батальона гитлеровцев. На другом участке противник бросил в атаку 11 танков и большую группу автоматчиков. Артиллеристы зенитной батареи, где командиром тов. Паршак открыли огонь. Потеряв 5 танков, немцы поспешно отошли.</w:t>
      </w:r>
    </w:p>
    <w:p w14:paraId="239C5FEA"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одном из районов Орловской области, на днях взорвали большой железнодорожный мост. Движение поездов на важнейшей дороге, идущей к фронту, прекращено. Во время операции по взрыву моста уничтожено 140 немецких солдат и офицеров. Другой отрад орловских партизан пустил под откос воинский эшелон противника. Разбит паровоз, уничтожены 6 вагонов с немецкими солдатами и офицерами.</w:t>
      </w:r>
    </w:p>
    <w:p w14:paraId="41184D8E"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Добровольно сдавшийся в плен солдат-штабной роты 585 полка 320 немецкой пехотной дивизии Генрих П. рассказал:&lt;Наш полк находился во Франции. Он занимал южнее Шербурга линию обороны шириною в 40-50 километров. Укрепления на этом участке состояли из дзотов, окружённых колючей проволокой и расположенных другот друга па расстоянии в два-три километра. В каждом гарнизоне дзота было по 30 человек и два станковых пулемёта. Охрану побережья между дзотами несли только патрули. Теперь, когда из Франции отправлены на Восточный фронт многие немецкие дивизии, оставшиеся во Франции части слишком малочисленны и слабы для борьбы против крупных десантов.</w:t>
      </w:r>
    </w:p>
    <w:p w14:paraId="5C64073E"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Берлинское радио 13 марта передало следующее сообщение: «При отступлении изВязьмы германские войска вывезли из города все исторические ценности». В этом сообщении берлинского радио есть частица правды. Эта правда заключается в том, что, отступая под ударами Красной Армии, гитлеровцы разграбили Вязьму. Но вор не имеет привычки говорить всю правду. На самом деле фашистские бандиты украли не только исторические ценности. Гитлеровцы умалчивают, что они похитили имущество общественных и культурных учреждений города и очистили буквально все квартиры мирных жителей.» (15068).</w:t>
      </w:r>
    </w:p>
    <w:p w14:paraId="0476BA62" w14:textId="77777777" w:rsidR="004A7B9E" w:rsidRPr="00D03F3E" w:rsidRDefault="004A7B9E" w:rsidP="00D03F3E">
      <w:pPr>
        <w:spacing w:after="0" w:line="240" w:lineRule="auto"/>
        <w:jc w:val="both"/>
        <w:rPr>
          <w:rFonts w:ascii="Times New Roman" w:hAnsi="Times New Roman"/>
          <w:color w:val="000000" w:themeColor="text1"/>
          <w:sz w:val="16"/>
          <w:szCs w:val="16"/>
        </w:rPr>
      </w:pPr>
    </w:p>
    <w:p w14:paraId="59D8E1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марта 1943 47-й гвардейский потерял первый Ту-2. Экипаж майора В.Ф. Столярова снимал позиции немцев под Старой Руссой. Он сообщил на базу: "Задание выполнено, возвращаемся". Но на обратном пути к аэродрому Выползово машину перехватили шесть вражеских истребителей FW 190. Некоторые авторы утверждают, что среди немецких летчиков был известный ас Вальтер Новотны. После неоднократных атак Ту-2 загорелся. Столяров приказал всем покинуть машину, а сам пытался сбить пламя. Но спастись на парашюте смог только штурман Хабеев, пилот и оба стрелка погибли вместе с самолетом. Штурман через два дня вышел к линии фронта, где его встретили советские саперы.</w:t>
      </w:r>
    </w:p>
    <w:p w14:paraId="704DB3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Позднее три оставшихся Ту-2 разместили на аэродроме Андреаполь. Они летали в основном на съемку железнодорожных узлов. Экипаж А. Дрыгина слетал к порту Пярну и привез важную информацию о разгрузке войск и военной техники. К маю 1943 г. три самолета 47-го полка налетали больше часов, чем все машины 132-го. В мае 47-й гвардейский полк пополнили десятью Ту-2, переданными из последнего. Их тоже оснастили фотоаппаратурой.</w:t>
      </w:r>
    </w:p>
    <w:p w14:paraId="6FF85E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Новые потери самолетов последовали в ходе Орловско-Брянской операции. Три машины были сбиты в июле и одна в августе. За неделю до начала Курской битвы летчик А. Дрыгин проводил фотосъемку порта в Пярну. Над целью его обстреляла зенитная артиллерия. Близким разрывом поразило один из моторов. На одном двигателе пилот протянул около 500 км и совершил вынужденную посадку с убранным шасси уже на нейтральной полосе между позициями советских и немецких войск. Экипаж забрал отснятые кассеты и ушел к своим. Самолет, чтобы тот не достался противнику, расстреляла артиллерия. К концу осени 1943 г. в полку осталось шесть боеспособных Ту-2.</w:t>
      </w:r>
    </w:p>
    <w:p w14:paraId="26438F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Войсковые испытания Ту-2 в качестве разведчика завершились в ноябре 1943 г. К этому времени хорошо зарекомендовавший себя самолет вновь запустили в серийное производство. Но строил Ту-2 уже другой завод, да и машина стала несколько иной (11988).</w:t>
      </w:r>
    </w:p>
    <w:p w14:paraId="08F5E5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6A58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марта 1943 завершились тренировки французов в учебных воздушных боях, которые шли с 19 января. За время обучения летчики эскадрильи выполнили 536 полетов, налетав в общей сложности 218 часов (по 15,5 часов в среднем на пилота). Перед отправкой на фронт эскадрилья пополнилась 14 марта еще 4 машинами. Закончив обучение, эскадрилья получила приказ на перебазирование. Этим же приказом командиром подразделения был назначен Жан Тюлян (Jean Tulasne), фактически выполнявший обязанности командира группы "Нормандия" с 23 февраля 1943 г. В район боевых действий на аэродром Полотняный Завод, расположенный в 20 км от Калуги, эскадрилья перелетела 22 марта.</w:t>
      </w:r>
    </w:p>
    <w:p w14:paraId="76DD48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Первый вылет по тревоге на перехват выполнили 26 марта 1943 г. лейтенант Раймонд Дервиль (Raymond Derville) и аспирант Аль- бер Дюран (Albert Durand). А 3 апреля четыре истребителя Як-1 впервые приняли участие в сопровождении пяти бомбардировщиков Пе-2. Всего через два дня - 5 апреля, - французские летчики приняли свой первый воздушный бой с 10 FW. 190.</w:t>
      </w:r>
    </w:p>
    <w:p w14:paraId="223FA1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конце апреля 1943 г. эскадрилья получила еще четыре самолета Як-1 для восполнения потерь. Но на самолетах этого типа ей пришлось летать недолго. В начале июля 1943 г. летчиков известили о перевооружении на истребители Як-9. К 19 июля 1943 г. летчиками Нормандии было сбито 30 немецких самолетов. Потери </w:t>
      </w:r>
      <w:r w:rsidRPr="00D03F3E">
        <w:rPr>
          <w:rFonts w:ascii="Times New Roman" w:hAnsi="Times New Roman"/>
          <w:color w:val="000000" w:themeColor="text1"/>
          <w:sz w:val="16"/>
          <w:szCs w:val="16"/>
        </w:rPr>
        <w:lastRenderedPageBreak/>
        <w:t>эскадрильи составили 11 летчиков. К августу эскадрилью развернули в полнокровный авиаполк на новом типе самолета. Оставшиеся 14 машин Як-1 использовались в полку "Нормандия" до ноября для переучивания и тренировки вновь прибывших пилотов.</w:t>
      </w:r>
    </w:p>
    <w:p w14:paraId="7E2DB1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"Нормандия" из всех иностранных авиационных частей отличалась наибольшей активностью в боевых действиях. На Як-1 в ней выделялся Альбер Дюран, сбивший лично два и в группе один самолет противника. За ним следовал Марсель Лефевр (Marsel Lefevre), лично сбивший два самолета, и Ноэль Кастелен (Noel Castelain), сбивший лично один самолет и один в группе (12048).</w:t>
      </w:r>
    </w:p>
    <w:p w14:paraId="39F59D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B921A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марта 1943 фашистами вновь взят Харьков (4962).</w:t>
      </w:r>
    </w:p>
    <w:p w14:paraId="3F4D149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1B56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March 14 1943 Germans complete recapture of Kharkov (1037).</w:t>
      </w:r>
    </w:p>
    <w:p w14:paraId="32DF77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1FB64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(15 - 2262) марта 1943 немцы отбили Харьков (1037).</w:t>
      </w:r>
    </w:p>
    <w:p w14:paraId="643ECC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26969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5B6BFB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9AF1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1943 вышел приказ НКАП N 149с:</w:t>
      </w:r>
    </w:p>
    <w:p w14:paraId="4B3188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окончательного решения вопроса по задней стрелковой установке Ил-2 провести фронтовые испытания установок УБШ. С апреля 1943 выпускать модернизированную установку ВУБ-3 с механическим подтягом (1706,230).</w:t>
      </w:r>
    </w:p>
    <w:p w14:paraId="4651BE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73FB51" w14:textId="77777777" w:rsidR="00CD455A" w:rsidRPr="00D03F3E" w:rsidRDefault="00CD455A"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15 марта 1943 г. Приказом НКАП №149с директор завода №454 Гарелик обязывался к 18 марта изготовить и направить в войско</w:t>
      </w:r>
      <w:r w:rsidRPr="00D03F3E">
        <w:rPr>
          <w:rFonts w:ascii="Times New Roman" w:hAnsi="Times New Roman"/>
          <w:color w:val="0070C0"/>
          <w:sz w:val="16"/>
          <w:szCs w:val="16"/>
        </w:rPr>
        <w:softHyphen/>
        <w:t>вые части 30 установок УБШ для проведения фронтовых испытаний, а 20 установок пере</w:t>
      </w:r>
      <w:r w:rsidRPr="00D03F3E">
        <w:rPr>
          <w:rFonts w:ascii="Times New Roman" w:hAnsi="Times New Roman"/>
          <w:color w:val="0070C0"/>
          <w:sz w:val="16"/>
          <w:szCs w:val="16"/>
        </w:rPr>
        <w:softHyphen/>
        <w:t>дать до 20 марта заводам №1и 18. При этом главный конструктор ОКБ завода Шебанов должен был</w:t>
      </w:r>
      <w:r w:rsidRPr="00D03F3E">
        <w:rPr>
          <w:rStyle w:val="800"/>
          <w:rFonts w:ascii="Times New Roman" w:hAnsi="Times New Roman" w:cs="Times New Roman"/>
          <w:i w:val="0"/>
          <w:iCs w:val="0"/>
          <w:color w:val="0070C0"/>
          <w:w w:val="100"/>
          <w:sz w:val="16"/>
          <w:szCs w:val="16"/>
        </w:rPr>
        <w:t xml:space="preserve"> «принять участие во фронтовых испытаниях и результаты доложить для при</w:t>
      </w:r>
      <w:r w:rsidRPr="00D03F3E">
        <w:rPr>
          <w:rStyle w:val="800"/>
          <w:rFonts w:ascii="Times New Roman" w:hAnsi="Times New Roman" w:cs="Times New Roman"/>
          <w:i w:val="0"/>
          <w:iCs w:val="0"/>
          <w:color w:val="0070C0"/>
          <w:w w:val="100"/>
          <w:sz w:val="16"/>
          <w:szCs w:val="16"/>
        </w:rPr>
        <w:softHyphen/>
        <w:t>нятия окончательного решения».</w:t>
      </w:r>
      <w:r w:rsidRPr="00D03F3E">
        <w:rPr>
          <w:rFonts w:ascii="Times New Roman" w:hAnsi="Times New Roman"/>
          <w:color w:val="0070C0"/>
          <w:sz w:val="16"/>
          <w:szCs w:val="16"/>
        </w:rPr>
        <w:t xml:space="preserve"> Кроме того, заместитель начальника 2-го Главного управ</w:t>
      </w:r>
      <w:r w:rsidRPr="00D03F3E">
        <w:rPr>
          <w:rFonts w:ascii="Times New Roman" w:hAnsi="Times New Roman"/>
          <w:color w:val="0070C0"/>
          <w:sz w:val="16"/>
          <w:szCs w:val="16"/>
        </w:rPr>
        <w:softHyphen/>
        <w:t>ления НКАП Сысоев обязывался дать указания заводам, выпускающим установки ВУБ-3,</w:t>
      </w:r>
      <w:r w:rsidRPr="00D03F3E">
        <w:rPr>
          <w:rStyle w:val="800"/>
          <w:rFonts w:ascii="Times New Roman" w:hAnsi="Times New Roman" w:cs="Times New Roman"/>
          <w:i w:val="0"/>
          <w:iCs w:val="0"/>
          <w:color w:val="0070C0"/>
          <w:w w:val="100"/>
          <w:sz w:val="16"/>
          <w:szCs w:val="16"/>
        </w:rPr>
        <w:t xml:space="preserve"> «о выпуске с 1 апреля 1943 г. модернизированной установки ВУБ-3 с механическим подтягом».</w:t>
      </w:r>
    </w:p>
    <w:p w14:paraId="177D2BBE" w14:textId="77777777" w:rsidR="00CD455A" w:rsidRPr="00D03F3E" w:rsidRDefault="00CD455A" w:rsidP="00D03F3E">
      <w:pPr>
        <w:pStyle w:val="28"/>
        <w:shd w:val="clear" w:color="auto" w:fill="auto"/>
        <w:spacing w:before="0" w:line="240" w:lineRule="auto"/>
        <w:jc w:val="both"/>
        <w:rPr>
          <w:rFonts w:ascii="Times New Roman" w:hAnsi="Times New Roman" w:cs="Times New Roman"/>
          <w:color w:val="0070C0"/>
          <w:sz w:val="16"/>
          <w:szCs w:val="16"/>
        </w:rPr>
      </w:pPr>
      <w:r w:rsidRPr="00D03F3E">
        <w:rPr>
          <w:rStyle w:val="2750"/>
          <w:rFonts w:ascii="Times New Roman" w:hAnsi="Times New Roman" w:cs="Times New Roman"/>
          <w:i w:val="0"/>
          <w:iCs w:val="0"/>
          <w:color w:val="0070C0"/>
          <w:w w:val="100"/>
          <w:sz w:val="16"/>
          <w:szCs w:val="16"/>
        </w:rPr>
        <w:t>Одновременно директор завода №481 Гулай должен был</w:t>
      </w:r>
      <w:r w:rsidRPr="00D03F3E">
        <w:rPr>
          <w:rFonts w:ascii="Times New Roman" w:hAnsi="Times New Roman" w:cs="Times New Roman"/>
          <w:color w:val="0070C0"/>
          <w:sz w:val="16"/>
          <w:szCs w:val="16"/>
        </w:rPr>
        <w:t xml:space="preserve"> «прекратить дальнейшие работы по установке конструкции тов. Павлова» (19879).</w:t>
      </w:r>
    </w:p>
    <w:p w14:paraId="3803DF48" w14:textId="77777777" w:rsidR="00CD455A" w:rsidRPr="00D03F3E" w:rsidRDefault="00CD455A" w:rsidP="00D03F3E">
      <w:pPr>
        <w:pStyle w:val="11c"/>
        <w:shd w:val="clear" w:color="auto" w:fill="auto"/>
        <w:spacing w:after="0" w:line="240" w:lineRule="auto"/>
        <w:jc w:val="both"/>
        <w:rPr>
          <w:rFonts w:ascii="Times New Roman" w:hAnsi="Times New Roman" w:cs="Times New Roman"/>
          <w:color w:val="0070C0"/>
          <w:sz w:val="16"/>
          <w:szCs w:val="16"/>
        </w:rPr>
      </w:pPr>
    </w:p>
    <w:p w14:paraId="490916AC" w14:textId="77777777" w:rsidR="00DE1738" w:rsidRPr="00D03F3E" w:rsidRDefault="00DE1738" w:rsidP="00D03F3E">
      <w:pPr>
        <w:tabs>
          <w:tab w:val="left" w:pos="443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1943г.</w:t>
      </w:r>
    </w:p>
    <w:p w14:paraId="7CB79554" w14:textId="77777777" w:rsidR="00DE1738" w:rsidRPr="00D03F3E" w:rsidRDefault="00DE1738" w:rsidP="00D03F3E">
      <w:pPr>
        <w:spacing w:after="0" w:line="240" w:lineRule="auto"/>
        <w:jc w:val="both"/>
        <w:rPr>
          <w:rFonts w:ascii="Times New Roman" w:hAnsi="Times New Roman"/>
          <w:color w:val="000000" w:themeColor="text1"/>
          <w:sz w:val="16"/>
          <w:szCs w:val="16"/>
        </w:rPr>
      </w:pPr>
      <w:r w:rsidRPr="00D03F3E">
        <w:rPr>
          <w:rStyle w:val="11pt0"/>
          <w:rFonts w:ascii="Times New Roman" w:hAnsi="Times New Roman" w:cs="Times New Roman"/>
          <w:color w:val="000000" w:themeColor="text1"/>
          <w:spacing w:val="0"/>
          <w:sz w:val="16"/>
          <w:szCs w:val="16"/>
        </w:rPr>
        <w:t>ПРИКАЗ</w:t>
      </w:r>
    </w:p>
    <w:p w14:paraId="29E8B758" w14:textId="77777777" w:rsidR="00DE1738" w:rsidRPr="00D03F3E" w:rsidRDefault="00DE1738" w:rsidP="00D03F3E">
      <w:pPr>
        <w:pStyle w:val="28"/>
        <w:shd w:val="clear" w:color="auto" w:fill="auto"/>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НАРОДНОГО КОМИССАРИАТА АВИАЦИОННОЙ ПРОМЫШЛЕННОСТИ № 149с</w:t>
      </w:r>
    </w:p>
    <w:p w14:paraId="5FCE804F" w14:textId="77777777" w:rsidR="00DE1738" w:rsidRPr="00D03F3E" w:rsidRDefault="00DE1738" w:rsidP="00D03F3E">
      <w:pPr>
        <w:tabs>
          <w:tab w:val="left" w:pos="443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г.Моокаа</w:t>
      </w:r>
    </w:p>
    <w:p w14:paraId="101D52A2" w14:textId="77777777" w:rsidR="00DE1738" w:rsidRPr="00D03F3E" w:rsidRDefault="00DE1738" w:rsidP="00D03F3E">
      <w:pPr>
        <w:tabs>
          <w:tab w:val="left" w:pos="443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1943г.</w:t>
      </w:r>
    </w:p>
    <w:p w14:paraId="4FF7D4F6" w14:textId="77777777" w:rsidR="00DE1738" w:rsidRPr="00D03F3E" w:rsidRDefault="00DE1738" w:rsidP="00D03F3E">
      <w:pPr>
        <w:pStyle w:val="28"/>
        <w:shd w:val="clear" w:color="auto" w:fill="auto"/>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 целях окончательного решения вопроса го задней стрелковой установке "Ил-2" ПРИКАЗЫВАЮ:</w:t>
      </w:r>
    </w:p>
    <w:p w14:paraId="71B1BF79" w14:textId="77777777" w:rsidR="00DE1738" w:rsidRPr="00D03F3E" w:rsidRDefault="00DE17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Директору эавода</w:t>
      </w:r>
      <w:r w:rsidRPr="00D03F3E">
        <w:rPr>
          <w:rStyle w:val="16"/>
          <w:rFonts w:ascii="Times New Roman" w:hAnsi="Times New Roman" w:cs="Times New Roman"/>
          <w:color w:val="000000" w:themeColor="text1"/>
          <w:spacing w:val="0"/>
          <w:u w:val="none"/>
        </w:rPr>
        <w:t xml:space="preserve"> №</w:t>
      </w:r>
      <w:r w:rsidRPr="00D03F3E">
        <w:rPr>
          <w:rFonts w:ascii="Times New Roman" w:hAnsi="Times New Roman"/>
          <w:color w:val="000000" w:themeColor="text1"/>
          <w:sz w:val="16"/>
          <w:szCs w:val="16"/>
        </w:rPr>
        <w:t xml:space="preserve"> 454 </w:t>
      </w:r>
      <w:r w:rsidRPr="00D03F3E">
        <w:rPr>
          <w:rStyle w:val="16"/>
          <w:rFonts w:ascii="Times New Roman" w:hAnsi="Times New Roman" w:cs="Times New Roman"/>
          <w:color w:val="000000" w:themeColor="text1"/>
          <w:spacing w:val="0"/>
          <w:u w:val="none"/>
        </w:rPr>
        <w:t>тов. ГАРЕЛ</w:t>
      </w:r>
      <w:r w:rsidRPr="00D03F3E">
        <w:rPr>
          <w:rFonts w:ascii="Times New Roman" w:hAnsi="Times New Roman"/>
          <w:color w:val="000000" w:themeColor="text1"/>
          <w:sz w:val="16"/>
          <w:szCs w:val="16"/>
        </w:rPr>
        <w:t xml:space="preserve">ИКУ к </w:t>
      </w:r>
      <w:r w:rsidRPr="00D03F3E">
        <w:rPr>
          <w:rStyle w:val="16"/>
          <w:rFonts w:ascii="Times New Roman" w:hAnsi="Times New Roman" w:cs="Times New Roman"/>
          <w:color w:val="000000" w:themeColor="text1"/>
          <w:spacing w:val="0"/>
          <w:u w:val="none"/>
        </w:rPr>
        <w:t>18</w:t>
      </w:r>
      <w:r w:rsidRPr="00D03F3E">
        <w:rPr>
          <w:rFonts w:ascii="Times New Roman" w:hAnsi="Times New Roman"/>
          <w:color w:val="000000" w:themeColor="text1"/>
          <w:sz w:val="16"/>
          <w:szCs w:val="16"/>
        </w:rPr>
        <w:t xml:space="preserve"> марта 1943 </w:t>
      </w:r>
      <w:r w:rsidRPr="00D03F3E">
        <w:rPr>
          <w:rStyle w:val="16"/>
          <w:rFonts w:ascii="Times New Roman" w:hAnsi="Times New Roman" w:cs="Times New Roman"/>
          <w:color w:val="000000" w:themeColor="text1"/>
          <w:spacing w:val="0"/>
          <w:u w:val="none"/>
        </w:rPr>
        <w:t>год</w:t>
      </w:r>
      <w:r w:rsidRPr="00D03F3E">
        <w:rPr>
          <w:rFonts w:ascii="Times New Roman" w:hAnsi="Times New Roman"/>
          <w:color w:val="000000" w:themeColor="text1"/>
          <w:sz w:val="16"/>
          <w:szCs w:val="16"/>
        </w:rPr>
        <w:t>а</w:t>
      </w:r>
      <w:r w:rsidRPr="00D03F3E">
        <w:rPr>
          <w:rStyle w:val="16"/>
          <w:rFonts w:ascii="Times New Roman" w:hAnsi="Times New Roman" w:cs="Times New Roman"/>
          <w:color w:val="000000" w:themeColor="text1"/>
          <w:spacing w:val="0"/>
          <w:u w:val="none"/>
        </w:rPr>
        <w:t xml:space="preserve"> изготовить и </w:t>
      </w:r>
      <w:r w:rsidRPr="00D03F3E">
        <w:rPr>
          <w:rFonts w:ascii="Times New Roman" w:hAnsi="Times New Roman"/>
          <w:color w:val="000000" w:themeColor="text1"/>
          <w:sz w:val="16"/>
          <w:szCs w:val="16"/>
        </w:rPr>
        <w:t xml:space="preserve">направить </w:t>
      </w:r>
      <w:r w:rsidRPr="00D03F3E">
        <w:rPr>
          <w:rStyle w:val="16"/>
          <w:rFonts w:ascii="Times New Roman" w:hAnsi="Times New Roman" w:cs="Times New Roman"/>
          <w:color w:val="000000" w:themeColor="text1"/>
          <w:spacing w:val="0"/>
          <w:u w:val="none"/>
        </w:rPr>
        <w:t xml:space="preserve">в войсковые </w:t>
      </w:r>
      <w:r w:rsidRPr="00D03F3E">
        <w:rPr>
          <w:rFonts w:ascii="Times New Roman" w:hAnsi="Times New Roman"/>
          <w:color w:val="000000" w:themeColor="text1"/>
          <w:sz w:val="16"/>
          <w:szCs w:val="16"/>
        </w:rPr>
        <w:t xml:space="preserve">части 30 </w:t>
      </w:r>
      <w:r w:rsidRPr="00D03F3E">
        <w:rPr>
          <w:rStyle w:val="16"/>
          <w:rFonts w:ascii="Times New Roman" w:hAnsi="Times New Roman" w:cs="Times New Roman"/>
          <w:color w:val="000000" w:themeColor="text1"/>
          <w:spacing w:val="0"/>
          <w:u w:val="none"/>
        </w:rPr>
        <w:t>установок УБШ для</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проведени </w:t>
      </w:r>
      <w:r w:rsidRPr="00D03F3E">
        <w:rPr>
          <w:rFonts w:ascii="Times New Roman" w:hAnsi="Times New Roman"/>
          <w:color w:val="000000" w:themeColor="text1"/>
          <w:sz w:val="16"/>
          <w:szCs w:val="16"/>
        </w:rPr>
        <w:t>фронтовых испытаний и 20 установок передать до 25 марта заводам № 1 и</w:t>
      </w:r>
      <w:r w:rsidRPr="00D03F3E">
        <w:rPr>
          <w:rStyle w:val="16"/>
          <w:rFonts w:ascii="Times New Roman" w:hAnsi="Times New Roman" w:cs="Times New Roman"/>
          <w:color w:val="000000" w:themeColor="text1"/>
          <w:spacing w:val="0"/>
          <w:u w:val="none"/>
        </w:rPr>
        <w:t xml:space="preserve"> </w:t>
      </w:r>
      <w:r w:rsidRPr="00D03F3E">
        <w:rPr>
          <w:rFonts w:ascii="Times New Roman" w:hAnsi="Times New Roman"/>
          <w:color w:val="000000" w:themeColor="text1"/>
          <w:sz w:val="16"/>
          <w:szCs w:val="16"/>
        </w:rPr>
        <w:t>18.</w:t>
      </w:r>
    </w:p>
    <w:p w14:paraId="4B0B8A8E" w14:textId="77777777" w:rsidR="00DE1738" w:rsidRPr="00D03F3E" w:rsidRDefault="00DE1738" w:rsidP="00D03F3E">
      <w:pPr>
        <w:pStyle w:val="28"/>
        <w:shd w:val="clear" w:color="auto" w:fill="auto"/>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2. Главному Конструктору ОКБ завода № 454 тов. ШЕБАНОВУ цршшть участив а фронтовых испытаниях и резуль</w:t>
      </w:r>
      <w:r w:rsidRPr="00D03F3E">
        <w:rPr>
          <w:rFonts w:ascii="Times New Roman" w:hAnsi="Times New Roman" w:cs="Times New Roman"/>
          <w:color w:val="000000" w:themeColor="text1"/>
          <w:sz w:val="16"/>
          <w:szCs w:val="16"/>
        </w:rPr>
        <w:softHyphen/>
        <w:t>таты ДОЛОЖИТЬ для принятия окончательного решения.</w:t>
      </w:r>
    </w:p>
    <w:p w14:paraId="14CF3E55" w14:textId="77777777" w:rsidR="00DE1738" w:rsidRPr="00D03F3E" w:rsidRDefault="00DE1738" w:rsidP="00D03F3E">
      <w:pPr>
        <w:pStyle w:val="28"/>
        <w:shd w:val="clear" w:color="auto" w:fill="auto"/>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3. Заместитклю Начальника Второго Главного Управле</w:t>
      </w:r>
      <w:r w:rsidRPr="00D03F3E">
        <w:rPr>
          <w:rFonts w:ascii="Times New Roman" w:hAnsi="Times New Roman" w:cs="Times New Roman"/>
          <w:color w:val="000000" w:themeColor="text1"/>
          <w:sz w:val="16"/>
          <w:szCs w:val="16"/>
        </w:rPr>
        <w:softHyphen/>
        <w:t>ния тов. СЫСОЕВУ дать указания заводам, изготовляющим установки ВУБ-3 о запуске с</w:t>
      </w:r>
      <w:r w:rsidRPr="00D03F3E">
        <w:rPr>
          <w:rStyle w:val="2ArialUnicodeMS95pt-1pt"/>
          <w:rFonts w:ascii="Times New Roman" w:hAnsi="Times New Roman" w:cs="Times New Roman"/>
          <w:color w:val="000000" w:themeColor="text1"/>
          <w:spacing w:val="0"/>
          <w:sz w:val="16"/>
          <w:szCs w:val="16"/>
        </w:rPr>
        <w:t xml:space="preserve"> </w:t>
      </w:r>
      <w:r w:rsidRPr="00D03F3E">
        <w:rPr>
          <w:rFonts w:ascii="Times New Roman" w:hAnsi="Times New Roman" w:cs="Times New Roman"/>
          <w:color w:val="000000" w:themeColor="text1"/>
          <w:sz w:val="16"/>
          <w:szCs w:val="16"/>
        </w:rPr>
        <w:t>апреля 1943 года молернизированной установки c механическим подтягом.</w:t>
      </w:r>
    </w:p>
    <w:p w14:paraId="6D970710" w14:textId="77777777" w:rsidR="00DE1738" w:rsidRPr="00D03F3E" w:rsidRDefault="00DE17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Д</w:t>
      </w:r>
      <w:r w:rsidRPr="00D03F3E">
        <w:rPr>
          <w:rStyle w:val="16"/>
          <w:rFonts w:ascii="Times New Roman" w:hAnsi="Times New Roman" w:cs="Times New Roman"/>
          <w:color w:val="000000" w:themeColor="text1"/>
          <w:spacing w:val="0"/>
          <w:u w:val="none"/>
        </w:rPr>
        <w:t>иректору завода</w:t>
      </w:r>
      <w:r w:rsidRPr="00D03F3E">
        <w:rPr>
          <w:rStyle w:val="5pt"/>
          <w:rFonts w:ascii="Times New Roman" w:hAnsi="Times New Roman" w:cs="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 </w:t>
      </w:r>
      <w:r w:rsidRPr="00D03F3E">
        <w:rPr>
          <w:rFonts w:ascii="Times New Roman" w:hAnsi="Times New Roman"/>
          <w:color w:val="000000" w:themeColor="text1"/>
          <w:sz w:val="16"/>
          <w:szCs w:val="16"/>
        </w:rPr>
        <w:t xml:space="preserve">481 </w:t>
      </w:r>
      <w:r w:rsidRPr="00D03F3E">
        <w:rPr>
          <w:rStyle w:val="16"/>
          <w:rFonts w:ascii="Times New Roman" w:hAnsi="Times New Roman" w:cs="Times New Roman"/>
          <w:color w:val="000000" w:themeColor="text1"/>
          <w:spacing w:val="0"/>
          <w:u w:val="none"/>
        </w:rPr>
        <w:t>тов. ГУЛАЙ прекратить дальнейшие работы по установке</w:t>
      </w:r>
      <w:r w:rsidRPr="00D03F3E">
        <w:rPr>
          <w:rStyle w:val="7pt1pt"/>
          <w:rFonts w:ascii="Times New Roman" w:hAnsi="Times New Roman" w:cs="Times New Roman"/>
          <w:color w:val="000000" w:themeColor="text1"/>
          <w:spacing w:val="0"/>
          <w:sz w:val="16"/>
          <w:szCs w:val="16"/>
        </w:rPr>
        <w:t xml:space="preserve"> конструкции</w:t>
      </w:r>
      <w:r w:rsidRPr="00D03F3E">
        <w:rPr>
          <w:rStyle w:val="16"/>
          <w:rFonts w:ascii="Times New Roman" w:hAnsi="Times New Roman" w:cs="Times New Roman"/>
          <w:color w:val="000000" w:themeColor="text1"/>
          <w:spacing w:val="0"/>
          <w:u w:val="none"/>
        </w:rPr>
        <w:t xml:space="preserve"> тов. ПАВЛОВА.</w:t>
      </w:r>
    </w:p>
    <w:p w14:paraId="55F6D5E4" w14:textId="77777777" w:rsidR="00DE1738" w:rsidRPr="00D03F3E" w:rsidRDefault="00DE17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r w:rsidRPr="00D03F3E">
        <w:rPr>
          <w:rStyle w:val="16"/>
          <w:rFonts w:ascii="Times New Roman" w:hAnsi="Times New Roman" w:cs="Times New Roman"/>
          <w:color w:val="000000" w:themeColor="text1"/>
          <w:spacing w:val="0"/>
          <w:u w:val="none"/>
        </w:rPr>
        <w:t xml:space="preserve"> Главному Конструктору ОКБ-3 завода № 32 тов. ТО</w:t>
      </w:r>
      <w:r w:rsidRPr="00D03F3E">
        <w:rPr>
          <w:rFonts w:ascii="Times New Roman" w:hAnsi="Times New Roman"/>
          <w:color w:val="000000" w:themeColor="text1"/>
          <w:sz w:val="16"/>
          <w:szCs w:val="16"/>
        </w:rPr>
        <w:t xml:space="preserve">РОПОВУ в пятидневный срок провести на ИИПАВ"е испытания </w:t>
      </w:r>
      <w:r w:rsidRPr="00D03F3E">
        <w:rPr>
          <w:rStyle w:val="16"/>
          <w:rFonts w:ascii="Times New Roman" w:hAnsi="Times New Roman" w:cs="Times New Roman"/>
          <w:color w:val="000000" w:themeColor="text1"/>
          <w:spacing w:val="0"/>
          <w:u w:val="none"/>
        </w:rPr>
        <w:t>механического подтяга на установке "ВУБ-1 для самолета "Пе-2"</w:t>
      </w:r>
      <w:r w:rsidRPr="00D03F3E">
        <w:rPr>
          <w:rFonts w:ascii="Times New Roman" w:hAnsi="Times New Roman"/>
          <w:color w:val="000000" w:themeColor="text1"/>
          <w:sz w:val="16"/>
          <w:szCs w:val="16"/>
        </w:rPr>
        <w:t xml:space="preserve">  и результаты доложить.</w:t>
      </w:r>
    </w:p>
    <w:p w14:paraId="79786703" w14:textId="77777777" w:rsidR="00DE1738" w:rsidRPr="00D03F3E" w:rsidRDefault="00DE1738" w:rsidP="00D03F3E">
      <w:pPr>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ЗАМЕСТИТЕЛЬ НАРОДНОГО КОМИССАРА</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АВИАЦИОННОЙ ПРОМЫШЛЕННОСТИ</w:t>
      </w:r>
    </w:p>
    <w:p w14:paraId="1B14E078" w14:textId="77777777" w:rsidR="00DE1738" w:rsidRPr="00D03F3E" w:rsidRDefault="00DE1738" w:rsidP="00D03F3E">
      <w:pPr>
        <w:pStyle w:val="28"/>
        <w:shd w:val="clear" w:color="auto" w:fill="auto"/>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/ДЕМЕНТЬЕВ П/</w:t>
      </w:r>
    </w:p>
    <w:p w14:paraId="0AF4112C" w14:textId="77777777" w:rsidR="00DE1738" w:rsidRPr="00D03F3E" w:rsidRDefault="00DE17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Отп.2 экз.</w:t>
      </w:r>
      <w:r w:rsidRPr="00D03F3E">
        <w:rPr>
          <w:rStyle w:val="136"/>
          <w:rFonts w:ascii="Times New Roman" w:hAnsi="Times New Roman" w:cs="Times New Roman"/>
          <w:color w:val="000000" w:themeColor="text1"/>
          <w:spacing w:val="0"/>
          <w:sz w:val="16"/>
          <w:szCs w:val="16"/>
        </w:rPr>
        <w:t xml:space="preserve"> </w:t>
      </w:r>
      <w:r w:rsidRPr="00D03F3E">
        <w:rPr>
          <w:rFonts w:ascii="Times New Roman" w:hAnsi="Times New Roman"/>
          <w:color w:val="000000" w:themeColor="text1"/>
          <w:sz w:val="16"/>
          <w:szCs w:val="16"/>
        </w:rPr>
        <w:t>15.Ш</w:t>
      </w:r>
      <w:r w:rsidRPr="00D03F3E">
        <w:rPr>
          <w:rFonts w:ascii="Times New Roman" w:hAnsi="Times New Roman"/>
          <w:color w:val="000000" w:themeColor="text1"/>
          <w:sz w:val="16"/>
          <w:szCs w:val="16"/>
          <w:lang w:val="en-US"/>
        </w:rPr>
        <w:t>l</w:t>
      </w:r>
      <w:r w:rsidRPr="00D03F3E">
        <w:rPr>
          <w:rFonts w:ascii="Times New Roman" w:hAnsi="Times New Roman"/>
          <w:color w:val="000000" w:themeColor="text1"/>
          <w:sz w:val="16"/>
          <w:szCs w:val="16"/>
        </w:rPr>
        <w:t>.43</w:t>
      </w:r>
      <w:r w:rsidRPr="00D03F3E">
        <w:rPr>
          <w:rFonts w:ascii="Times New Roman" w:hAnsi="Times New Roman"/>
          <w:color w:val="000000" w:themeColor="text1"/>
          <w:sz w:val="16"/>
          <w:szCs w:val="16"/>
          <w:lang w:val="en-US"/>
        </w:rPr>
        <w:t>r</w:t>
      </w:r>
      <w:r w:rsidRPr="00D03F3E">
        <w:rPr>
          <w:rFonts w:ascii="Times New Roman" w:hAnsi="Times New Roman"/>
          <w:color w:val="000000" w:themeColor="text1"/>
          <w:sz w:val="16"/>
          <w:szCs w:val="16"/>
        </w:rPr>
        <w:t>. (19795).</w:t>
      </w:r>
    </w:p>
    <w:p w14:paraId="50437397" w14:textId="77777777" w:rsidR="00DE1738" w:rsidRPr="00D03F3E" w:rsidRDefault="00DE1738" w:rsidP="00D03F3E">
      <w:pPr>
        <w:spacing w:after="0" w:line="240" w:lineRule="auto"/>
        <w:jc w:val="both"/>
        <w:rPr>
          <w:rFonts w:ascii="Times New Roman" w:hAnsi="Times New Roman"/>
          <w:color w:val="000000" w:themeColor="text1"/>
          <w:sz w:val="16"/>
          <w:szCs w:val="16"/>
        </w:rPr>
      </w:pPr>
    </w:p>
    <w:p w14:paraId="46B640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1943 при контрольном испытании Ил-2 завода 18 N 1872046 были достигнуты скорости 387 км/час у земли и 409 к/час на границе высотности (1823,28).</w:t>
      </w:r>
    </w:p>
    <w:p w14:paraId="58E65C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7C68BA"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15 марта 1943 г. в НИИ АВ поступили 3 самолета Ил-2 зав. № 301396, 301407, 301415 производства завода № 30, на которые при участии специалистов по вооружению ОКБ-240 были установлены пуш</w:t>
      </w:r>
      <w:r w:rsidRPr="00D03F3E">
        <w:rPr>
          <w:color w:val="000000" w:themeColor="text1"/>
          <w:sz w:val="16"/>
          <w:szCs w:val="16"/>
        </w:rPr>
        <w:softHyphen/>
        <w:t>ки 11П серийного изготовления завода № 74 НКВ. В ходе контрольных испытаний предполагалось определить живучесть, безотказность, эффектив</w:t>
      </w:r>
      <w:r w:rsidRPr="00D03F3E">
        <w:rPr>
          <w:color w:val="000000" w:themeColor="text1"/>
          <w:sz w:val="16"/>
          <w:szCs w:val="16"/>
        </w:rPr>
        <w:softHyphen/>
        <w:t>ность стрельбы из двух и одной пушек в воздухе, а также оценить влияние пушек на самолет и его прочность.</w:t>
      </w:r>
    </w:p>
    <w:p w14:paraId="77CA720C"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Ответственным исполнителем по испытаниям был назначен инженер-капитан Смирнов, веду</w:t>
      </w:r>
      <w:r w:rsidRPr="00D03F3E">
        <w:rPr>
          <w:color w:val="000000" w:themeColor="text1"/>
          <w:sz w:val="16"/>
          <w:szCs w:val="16"/>
        </w:rPr>
        <w:softHyphen/>
        <w:t>щим летчиком-испытателем — капитан Кравченко.</w:t>
      </w:r>
    </w:p>
    <w:p w14:paraId="2C862554"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Помимо военных специалистов, в состав испыта</w:t>
      </w:r>
      <w:r w:rsidRPr="00D03F3E">
        <w:rPr>
          <w:color w:val="000000" w:themeColor="text1"/>
          <w:sz w:val="16"/>
          <w:szCs w:val="16"/>
        </w:rPr>
        <w:softHyphen/>
        <w:t>тельной бригады входили: от ОКБ-16 — Лебедев и Исаков, от ОКБ-240 — Певзнер, от завода № 30 — Зуйков.</w:t>
      </w:r>
    </w:p>
    <w:p w14:paraId="3152E1CE"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следует из документов, после окончания программы контрольных испытаний один из штур</w:t>
      </w:r>
      <w:r w:rsidRPr="00D03F3E">
        <w:rPr>
          <w:color w:val="000000" w:themeColor="text1"/>
          <w:sz w:val="16"/>
          <w:szCs w:val="16"/>
        </w:rPr>
        <w:softHyphen/>
        <w:t>мовиков Ил-2 зав. № 301396 был передан в НИИ ВВС для снятия летных данных, а Ил-2 зав. № 301415 был испытан по отдельной программе «на опреде</w:t>
      </w:r>
      <w:r w:rsidRPr="00D03F3E">
        <w:rPr>
          <w:color w:val="000000" w:themeColor="text1"/>
          <w:sz w:val="16"/>
          <w:szCs w:val="16"/>
        </w:rPr>
        <w:softHyphen/>
        <w:t>ление живучести двух пушек 37 мм ОКБ-16 серий</w:t>
      </w:r>
      <w:r w:rsidRPr="00D03F3E">
        <w:rPr>
          <w:color w:val="000000" w:themeColor="text1"/>
          <w:sz w:val="16"/>
          <w:szCs w:val="16"/>
        </w:rPr>
        <w:softHyphen/>
        <w:t>ного изготовления и установок под них». Третий самолет был возвращен заводу для устранения вы</w:t>
      </w:r>
      <w:r w:rsidRPr="00D03F3E">
        <w:rPr>
          <w:color w:val="000000" w:themeColor="text1"/>
          <w:sz w:val="16"/>
          <w:szCs w:val="16"/>
        </w:rPr>
        <w:softHyphen/>
        <w:t>явленных дефектов и недостатков.</w:t>
      </w:r>
    </w:p>
    <w:p w14:paraId="53AD70F4"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стрельб была составлена дефектная ве</w:t>
      </w:r>
      <w:r w:rsidRPr="00D03F3E">
        <w:rPr>
          <w:color w:val="000000" w:themeColor="text1"/>
          <w:sz w:val="16"/>
          <w:szCs w:val="16"/>
        </w:rPr>
        <w:softHyphen/>
        <w:t>домость на пушки и установки и отправлена на заводы № 30 и № 74 для внесения изменений в се</w:t>
      </w:r>
      <w:r w:rsidRPr="00D03F3E">
        <w:rPr>
          <w:color w:val="000000" w:themeColor="text1"/>
          <w:sz w:val="16"/>
          <w:szCs w:val="16"/>
        </w:rPr>
        <w:softHyphen/>
        <w:t>рийное производство.</w:t>
      </w:r>
    </w:p>
    <w:p w14:paraId="3FD327AB"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Испытания Ил-2 зав. № 301415 «с пушками № НС-556 и НС-561» были окончены 14 мая. Отчет по результатам испытаний был утвержден 6 июня начальником НИИ АВ генерал-майором М. В. Гуре- вичем.</w:t>
      </w:r>
    </w:p>
    <w:p w14:paraId="22A59B99"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Живучесть деталей пушек и пушечных устано</w:t>
      </w:r>
      <w:r w:rsidRPr="00D03F3E">
        <w:rPr>
          <w:color w:val="000000" w:themeColor="text1"/>
          <w:sz w:val="16"/>
          <w:szCs w:val="16"/>
        </w:rPr>
        <w:softHyphen/>
        <w:t>вок оценивалась по количеству выстрелов, «кото</w:t>
      </w:r>
      <w:r w:rsidRPr="00D03F3E">
        <w:rPr>
          <w:color w:val="000000" w:themeColor="text1"/>
          <w:sz w:val="16"/>
          <w:szCs w:val="16"/>
        </w:rPr>
        <w:softHyphen/>
        <w:t>рые способна выдержать деталь без поломки, де</w:t>
      </w:r>
      <w:r w:rsidRPr="00D03F3E">
        <w:rPr>
          <w:color w:val="000000" w:themeColor="text1"/>
          <w:sz w:val="16"/>
          <w:szCs w:val="16"/>
        </w:rPr>
        <w:softHyphen/>
        <w:t>формации или любых изменений, препятствующих нормальной работе пушек». Критический износ ствола определялся по снижению начальной ско</w:t>
      </w:r>
      <w:r w:rsidRPr="00D03F3E">
        <w:rPr>
          <w:color w:val="000000" w:themeColor="text1"/>
          <w:sz w:val="16"/>
          <w:szCs w:val="16"/>
        </w:rPr>
        <w:softHyphen/>
        <w:t>рости снаряда и его эффективности у цели, а так</w:t>
      </w:r>
      <w:r w:rsidRPr="00D03F3E">
        <w:rPr>
          <w:color w:val="000000" w:themeColor="text1"/>
          <w:sz w:val="16"/>
          <w:szCs w:val="16"/>
        </w:rPr>
        <w:softHyphen/>
        <w:t>же по ухудшению устойчивости снаряда в полете и рассеивания снаряда на дистанции 400—600 м в зависимости от настрела пушки. При этом по</w:t>
      </w:r>
      <w:r w:rsidRPr="00D03F3E">
        <w:rPr>
          <w:color w:val="000000" w:themeColor="text1"/>
          <w:sz w:val="16"/>
          <w:szCs w:val="16"/>
        </w:rPr>
        <w:softHyphen/>
        <w:t>скольку «основным назначением пушек калибра 37 мм является борьба с бронированными целями», то «изменение эффективности у цели» для 37-мм бронебойных снарядов оценивалось в диапазоне 100—2000 выстрелов.</w:t>
      </w:r>
    </w:p>
    <w:p w14:paraId="464EF334"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Стрельба велась по танку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III</w:t>
      </w:r>
      <w:r w:rsidRPr="00D03F3E">
        <w:rPr>
          <w:color w:val="000000" w:themeColor="text1"/>
          <w:sz w:val="16"/>
          <w:szCs w:val="16"/>
        </w:rPr>
        <w:t xml:space="preserve"> бронебойно-трас- сирующими и бронебойно-зажигательными снаря</w:t>
      </w:r>
      <w:r w:rsidRPr="00D03F3E">
        <w:rPr>
          <w:color w:val="000000" w:themeColor="text1"/>
          <w:sz w:val="16"/>
          <w:szCs w:val="16"/>
        </w:rPr>
        <w:softHyphen/>
        <w:t>дами БТ-37 и БЗ-37 с дистанции 400 м со станка.</w:t>
      </w:r>
    </w:p>
    <w:p w14:paraId="5DD4FBB0"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Основные результаты сводились к следующему. Новый ствол (118 выстрелов) обеспечивает 37-мм снаряду во всех случаях пробитие брони толщиной 30 мм на дистанции 400 м под углом к нормали 30°. После производства 1390 выстрелов броне- пробиваемость снарядов резко падает и в услови</w:t>
      </w:r>
      <w:r w:rsidRPr="00D03F3E">
        <w:rPr>
          <w:color w:val="000000" w:themeColor="text1"/>
          <w:sz w:val="16"/>
          <w:szCs w:val="16"/>
        </w:rPr>
        <w:softHyphen/>
        <w:t>ях, аналогичных предыдущим, получается только 33% сквозных пробоин. При доведении настрела до 2012 выстрелов баллистические качества ство</w:t>
      </w:r>
      <w:r w:rsidRPr="00D03F3E">
        <w:rPr>
          <w:color w:val="000000" w:themeColor="text1"/>
          <w:sz w:val="16"/>
          <w:szCs w:val="16"/>
        </w:rPr>
        <w:softHyphen/>
        <w:t>ла ухудшаются настолько, что немецкая танковая броня 30 мм на дистанции 400 м под углом 30° к нормали и вовсе не пробивается. На основании этого был сделан вывод, что «стрельба по танкам из пушек с настрелом более 2000 выстрелов не яв</w:t>
      </w:r>
      <w:r w:rsidRPr="00D03F3E">
        <w:rPr>
          <w:color w:val="000000" w:themeColor="text1"/>
          <w:sz w:val="16"/>
          <w:szCs w:val="16"/>
        </w:rPr>
        <w:softHyphen/>
        <w:t>ляется эффективной. Отсюда допустимый предел живучести ствола, исходя из оценки изменения эф</w:t>
      </w:r>
      <w:r w:rsidRPr="00D03F3E">
        <w:rPr>
          <w:color w:val="000000" w:themeColor="text1"/>
          <w:sz w:val="16"/>
          <w:szCs w:val="16"/>
        </w:rPr>
        <w:softHyphen/>
        <w:t>фективности снаряда у цели, лежит ниже 1390 вы</w:t>
      </w:r>
      <w:r w:rsidRPr="00D03F3E">
        <w:rPr>
          <w:color w:val="000000" w:themeColor="text1"/>
          <w:sz w:val="16"/>
          <w:szCs w:val="16"/>
        </w:rPr>
        <w:softHyphen/>
        <w:t>стрелов. Окончательное установление предела живучести должно быть произведено после специ</w:t>
      </w:r>
      <w:r w:rsidRPr="00D03F3E">
        <w:rPr>
          <w:color w:val="000000" w:themeColor="text1"/>
          <w:sz w:val="16"/>
          <w:szCs w:val="16"/>
        </w:rPr>
        <w:softHyphen/>
        <w:t>ального испытания ствола на живучесть с опреде</w:t>
      </w:r>
      <w:r w:rsidRPr="00D03F3E">
        <w:rPr>
          <w:color w:val="000000" w:themeColor="text1"/>
          <w:sz w:val="16"/>
          <w:szCs w:val="16"/>
        </w:rPr>
        <w:softHyphen/>
        <w:t>лением допустимых норм снижения эффективности снаряда».</w:t>
      </w:r>
    </w:p>
    <w:p w14:paraId="4EC87B0F"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Изменение начальной скорости снарядов из-за износа ствола не является резким и уменьшается по линейному закону. После каждой сотни выстре</w:t>
      </w:r>
      <w:r w:rsidRPr="00D03F3E">
        <w:rPr>
          <w:color w:val="000000" w:themeColor="text1"/>
          <w:sz w:val="16"/>
          <w:szCs w:val="16"/>
        </w:rPr>
        <w:softHyphen/>
        <w:t>лов начальная скорость понижается на 4,3—4,5 м/с (до 0,5%). Допустимой нормой снижения начальной скорости снаряда для 37-мм пушек предваритель</w:t>
      </w:r>
      <w:r w:rsidRPr="00D03F3E">
        <w:rPr>
          <w:color w:val="000000" w:themeColor="text1"/>
          <w:sz w:val="16"/>
          <w:szCs w:val="16"/>
        </w:rPr>
        <w:softHyphen/>
        <w:t>но («до более глубокого изучения») сочли 7% от значения при малом настреле (до 100 выстрелов).</w:t>
      </w:r>
    </w:p>
    <w:p w14:paraId="7C25CC68"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Влияние износа ствола на устойчивость снаря</w:t>
      </w:r>
      <w:r w:rsidRPr="00D03F3E">
        <w:rPr>
          <w:color w:val="000000" w:themeColor="text1"/>
          <w:sz w:val="16"/>
          <w:szCs w:val="16"/>
        </w:rPr>
        <w:softHyphen/>
        <w:t>дов в полете определялось по размеру пробоин у цели. Нормальными считались пробоины, наи</w:t>
      </w:r>
      <w:r w:rsidRPr="00D03F3E">
        <w:rPr>
          <w:color w:val="000000" w:themeColor="text1"/>
          <w:sz w:val="16"/>
          <w:szCs w:val="16"/>
        </w:rPr>
        <w:softHyphen/>
        <w:t>больший диаметр которых не превышает калибра снаряда, увеличенного на 10%, а боковыми — про</w:t>
      </w:r>
      <w:r w:rsidRPr="00D03F3E">
        <w:rPr>
          <w:color w:val="000000" w:themeColor="text1"/>
          <w:sz w:val="16"/>
          <w:szCs w:val="16"/>
        </w:rPr>
        <w:softHyphen/>
        <w:t>боины, наибольший диаметр которых превышает половину длины снаряда.</w:t>
      </w:r>
    </w:p>
    <w:p w14:paraId="511FA971"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Стрельба велась одиночными выстрелами с дистанции 50 и 400 м. Живучесть ствола пушки НС-37, исходя из критерия устойчивости снаряда на траектории полета, составила 2013 выстрелов.</w:t>
      </w:r>
    </w:p>
    <w:p w14:paraId="46B43109"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Замеры рассеивания снарядов в зависимо</w:t>
      </w:r>
      <w:r w:rsidRPr="00D03F3E">
        <w:rPr>
          <w:color w:val="000000" w:themeColor="text1"/>
          <w:sz w:val="16"/>
          <w:szCs w:val="16"/>
        </w:rPr>
        <w:softHyphen/>
        <w:t>сти от износа ствола показали, что стволы и сами пушки, задействованные в испытаниях, оказались неодинакового качества. Вероятное отклонение снарядов при стрельбе в одинаковых условиях (50 и 400 м) и при практически равном настреле (1591—1450 выстрелов) отличалось почти в 1,5 раза. Характерно, что и износ ствола у пушки зав. № НС-561 резко отличается от износа ствола у пуш</w:t>
      </w:r>
      <w:r w:rsidRPr="00D03F3E">
        <w:rPr>
          <w:color w:val="000000" w:themeColor="text1"/>
          <w:sz w:val="16"/>
          <w:szCs w:val="16"/>
        </w:rPr>
        <w:softHyphen/>
        <w:t>ки зав. № НС-556. В дульной части ствола первой пушки отсутствовали 3 поля нарезов на длине 70 мм, в то время как у 2-й пушки они сохранились полностью.</w:t>
      </w:r>
    </w:p>
    <w:p w14:paraId="09CA1012"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испытаний произошло четыре полом</w:t>
      </w:r>
      <w:r w:rsidRPr="00D03F3E">
        <w:rPr>
          <w:color w:val="000000" w:themeColor="text1"/>
          <w:sz w:val="16"/>
          <w:szCs w:val="16"/>
        </w:rPr>
        <w:softHyphen/>
        <w:t>ки вкладыша пушек после 164, 249, 454 и 558-го (зав. № НС-556) выстрела. Флажок оси фиксатора у пушки зав. № НС-556 вышел из строя на 1223-м выстреле, а у пушки зав. № НС-561 — на 202-м вы</w:t>
      </w:r>
      <w:r w:rsidRPr="00D03F3E">
        <w:rPr>
          <w:color w:val="000000" w:themeColor="text1"/>
          <w:sz w:val="16"/>
          <w:szCs w:val="16"/>
        </w:rPr>
        <w:softHyphen/>
        <w:t>стреле. Живучесть бойка (предел живучести пушки) ограничивалась 1899, флажка оси защелки проти- воотскочного механизма — 1510, звеньеотвода — 1820 выстрелами. При износе затвора в 0,3 мм он полностью поворачивался в ствольной коробке, что приводило к неполному запиранию и большо</w:t>
      </w:r>
      <w:r w:rsidRPr="00D03F3E">
        <w:rPr>
          <w:color w:val="000000" w:themeColor="text1"/>
          <w:sz w:val="16"/>
          <w:szCs w:val="16"/>
        </w:rPr>
        <w:softHyphen/>
        <w:t>му износу запирающих выступов.</w:t>
      </w:r>
    </w:p>
    <w:p w14:paraId="27D7484D"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После 867 выстрелов произошла поломка крон</w:t>
      </w:r>
      <w:r w:rsidRPr="00D03F3E">
        <w:rPr>
          <w:color w:val="000000" w:themeColor="text1"/>
          <w:sz w:val="16"/>
          <w:szCs w:val="16"/>
        </w:rPr>
        <w:softHyphen/>
        <w:t>штейнов заднего крепления пушечной установки. Трубки воздухопроводов выходили из строя после 723, 790, 870, 950 и 1200-го выстрела. Болты перед</w:t>
      </w:r>
      <w:r w:rsidRPr="00D03F3E">
        <w:rPr>
          <w:color w:val="000000" w:themeColor="text1"/>
          <w:sz w:val="16"/>
          <w:szCs w:val="16"/>
        </w:rPr>
        <w:softHyphen/>
        <w:t>него крепления пушек из-за поломок заменялись пять раз — после 443, 560, 1000, 1470 и 1500 вы</w:t>
      </w:r>
      <w:r w:rsidRPr="00D03F3E">
        <w:rPr>
          <w:color w:val="000000" w:themeColor="text1"/>
          <w:sz w:val="16"/>
          <w:szCs w:val="16"/>
        </w:rPr>
        <w:softHyphen/>
        <w:t>стрелов. Более того, после 1500-го выстрела пушки зав. № НС-561 при осмотре была обнаружена тре</w:t>
      </w:r>
      <w:r w:rsidRPr="00D03F3E">
        <w:rPr>
          <w:color w:val="000000" w:themeColor="text1"/>
          <w:sz w:val="16"/>
          <w:szCs w:val="16"/>
        </w:rPr>
        <w:softHyphen/>
        <w:t>щина в стенке лонжерона у заднего крепления.</w:t>
      </w:r>
    </w:p>
    <w:p w14:paraId="08FD6993"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Детальный анализ отказов и дефектов пушек и их установок показал, что поломка крепления пушки зав. № НС-561 на 867-м выстреле обусловли</w:t>
      </w:r>
      <w:r w:rsidRPr="00D03F3E">
        <w:rPr>
          <w:color w:val="000000" w:themeColor="text1"/>
          <w:sz w:val="16"/>
          <w:szCs w:val="16"/>
        </w:rPr>
        <w:softHyphen/>
        <w:t>валась некачественным его монтажом на самолете Ил-2 зав. № 301415. Как выяснилось, «между само</w:t>
      </w:r>
      <w:r w:rsidRPr="00D03F3E">
        <w:rPr>
          <w:color w:val="000000" w:themeColor="text1"/>
          <w:sz w:val="16"/>
          <w:szCs w:val="16"/>
        </w:rPr>
        <w:softHyphen/>
        <w:t>летной жесткостью и кронштейном были проложе</w:t>
      </w:r>
      <w:r w:rsidRPr="00D03F3E">
        <w:rPr>
          <w:color w:val="000000" w:themeColor="text1"/>
          <w:sz w:val="16"/>
          <w:szCs w:val="16"/>
        </w:rPr>
        <w:softHyphen/>
        <w:t>ны прокладки, имеющие разную толщину по длине, что привело к перекосу и односторонней затяжки кронштейна».</w:t>
      </w:r>
    </w:p>
    <w:p w14:paraId="7CC7D755"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Многочисленные поломки болтов объяснялись недостаточной их прочностью «плюс дефект мон</w:t>
      </w:r>
      <w:r w:rsidRPr="00D03F3E">
        <w:rPr>
          <w:color w:val="000000" w:themeColor="text1"/>
          <w:sz w:val="16"/>
          <w:szCs w:val="16"/>
        </w:rPr>
        <w:softHyphen/>
        <w:t>тажа — односторонняя затяжка, вместо отверстия в силовом угольнике жесткости самолета сделаны сквозные прорези».</w:t>
      </w:r>
    </w:p>
    <w:p w14:paraId="199CDB28"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Поломка трубок воздухопроводов произошла из-за небрежного монтажа на заводе № 30, малых радиусов кривизны изгибов. По этим причинам «при настреле в 1500—2000 выстрелов пушечная установка конструкции ОКБ-240 достигает своей живучести, так как ведение автоматической стрель</w:t>
      </w:r>
      <w:r w:rsidRPr="00D03F3E">
        <w:rPr>
          <w:color w:val="000000" w:themeColor="text1"/>
          <w:sz w:val="16"/>
          <w:szCs w:val="16"/>
        </w:rPr>
        <w:softHyphen/>
        <w:t>бы становится невозможным из-за большого числа задержек по вине установки». Так, при настреле 1000—1500 выстрелов было зафиксировано 9 за</w:t>
      </w:r>
      <w:r w:rsidRPr="00D03F3E">
        <w:rPr>
          <w:color w:val="000000" w:themeColor="text1"/>
          <w:sz w:val="16"/>
          <w:szCs w:val="16"/>
        </w:rPr>
        <w:softHyphen/>
        <w:t>держек (1,8%) по вине правой установки («сход звена за закраину патрона»). Оказалось, что после 2000 выстрелов, несмотря на подтяжку болтов по</w:t>
      </w:r>
      <w:r w:rsidRPr="00D03F3E">
        <w:rPr>
          <w:color w:val="000000" w:themeColor="text1"/>
          <w:sz w:val="16"/>
          <w:szCs w:val="16"/>
        </w:rPr>
        <w:softHyphen/>
        <w:t>сле каждых 500 выстрелов и замену сломанных болтов, «правая установка допускает смещение пушки при стрельбе до 12 мм». Налицо «общее ос</w:t>
      </w:r>
      <w:r w:rsidRPr="00D03F3E">
        <w:rPr>
          <w:color w:val="000000" w:themeColor="text1"/>
          <w:sz w:val="16"/>
          <w:szCs w:val="16"/>
        </w:rPr>
        <w:softHyphen/>
        <w:t>лабление установки из-за потери упругих свойств, особенно в месте, связывавшем кронштейн с само</w:t>
      </w:r>
      <w:r w:rsidRPr="00D03F3E">
        <w:rPr>
          <w:color w:val="000000" w:themeColor="text1"/>
          <w:sz w:val="16"/>
          <w:szCs w:val="16"/>
        </w:rPr>
        <w:softHyphen/>
        <w:t>летными жесткостями». По мнению военных специ</w:t>
      </w:r>
      <w:r w:rsidRPr="00D03F3E">
        <w:rPr>
          <w:color w:val="000000" w:themeColor="text1"/>
          <w:sz w:val="16"/>
          <w:szCs w:val="16"/>
        </w:rPr>
        <w:softHyphen/>
        <w:t>алистов, именно это обстоятельство, а также вы</w:t>
      </w:r>
      <w:r w:rsidRPr="00D03F3E">
        <w:rPr>
          <w:color w:val="000000" w:themeColor="text1"/>
          <w:sz w:val="16"/>
          <w:szCs w:val="16"/>
        </w:rPr>
        <w:softHyphen/>
        <w:t>явленные производственные дефекты («сквозные прорези вместо отверстий, неодинаковые по высо</w:t>
      </w:r>
      <w:r w:rsidRPr="00D03F3E">
        <w:rPr>
          <w:color w:val="000000" w:themeColor="text1"/>
          <w:sz w:val="16"/>
          <w:szCs w:val="16"/>
        </w:rPr>
        <w:softHyphen/>
        <w:t>те прокладки») «способствуют преждевременному выходу установки из строя».</w:t>
      </w:r>
    </w:p>
    <w:p w14:paraId="31904A00"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Стрельба в воздухе из пушек 11П (для оценки величины рассеивания и эффективности снаряда у цели в зависимости от настрела) выполнялась по щитам 6x8 м и танку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III</w:t>
      </w:r>
      <w:r w:rsidRPr="00D03F3E">
        <w:rPr>
          <w:color w:val="000000" w:themeColor="text1"/>
          <w:sz w:val="16"/>
          <w:szCs w:val="16"/>
        </w:rPr>
        <w:t xml:space="preserve"> с пикирования под углом 30° (высота ввода 400—600 м) и с бреющего полета. Всего в 12 полетах было отстреляно 275 снарядов. Стрельба велась очередями от 4—5 до 24—49 сна</w:t>
      </w:r>
      <w:r w:rsidRPr="00D03F3E">
        <w:rPr>
          <w:color w:val="000000" w:themeColor="text1"/>
          <w:sz w:val="16"/>
          <w:szCs w:val="16"/>
        </w:rPr>
        <w:softHyphen/>
        <w:t>рядов в очереди.</w:t>
      </w:r>
    </w:p>
    <w:p w14:paraId="0773ABE2"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Вероятное отклонение по дальности и в боко</w:t>
      </w:r>
      <w:r w:rsidRPr="00D03F3E">
        <w:rPr>
          <w:color w:val="000000" w:themeColor="text1"/>
          <w:sz w:val="16"/>
          <w:szCs w:val="16"/>
        </w:rPr>
        <w:softHyphen/>
        <w:t>вом направлении в зависимости от длины очереди изменялось от 6 до 20 м и от 3,5 до 13,5 м соответ</w:t>
      </w:r>
      <w:r w:rsidRPr="00D03F3E">
        <w:rPr>
          <w:color w:val="000000" w:themeColor="text1"/>
          <w:sz w:val="16"/>
          <w:szCs w:val="16"/>
        </w:rPr>
        <w:softHyphen/>
        <w:t>ственно. В танк было получено всего 2 попадания. Одно — в крышу танка, была пробита 10-мм броня под углом 40°, снаряд пробил 5-мм пол и образо</w:t>
      </w:r>
      <w:r w:rsidRPr="00D03F3E">
        <w:rPr>
          <w:color w:val="000000" w:themeColor="text1"/>
          <w:sz w:val="16"/>
          <w:szCs w:val="16"/>
        </w:rPr>
        <w:softHyphen/>
        <w:t>вал трещину около 300 мм в длину. Второе попада</w:t>
      </w:r>
      <w:r w:rsidRPr="00D03F3E">
        <w:rPr>
          <w:color w:val="000000" w:themeColor="text1"/>
          <w:sz w:val="16"/>
          <w:szCs w:val="16"/>
        </w:rPr>
        <w:softHyphen/>
        <w:t>ние — в бронеплиту толщиной 40 мм под углом 15° к нормали, броня не пробита, образовалась вмяти на глубиной 20 мм (настрел пушек к этому времени составил 1223 выстрела).</w:t>
      </w:r>
    </w:p>
    <w:p w14:paraId="7B95B452"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Заместитель командира эскадрильи капитан В. М. Кравченко отмечал, что Ил-2 с пушками 11П «в воздухе инертный, при выполнении разворотов, виражей, планирования следует держать скорость на 10—15 км/ч больше, чем на серийном Ил-2, на пикировании устойчив». Прицельная стрельба из пушек вполне возможна, «хотя отдача пушек силь</w:t>
      </w:r>
      <w:r w:rsidRPr="00D03F3E">
        <w:rPr>
          <w:color w:val="000000" w:themeColor="text1"/>
          <w:sz w:val="16"/>
          <w:szCs w:val="16"/>
        </w:rPr>
        <w:softHyphen/>
        <w:t>ная, ощущается летчиком». При стрельбе из одной пушки «в цель попадут первые 1—2 снаряда из очереди, /.../ остальные снаряды из очереди бу</w:t>
      </w:r>
      <w:r w:rsidRPr="00D03F3E">
        <w:rPr>
          <w:color w:val="000000" w:themeColor="text1"/>
          <w:sz w:val="16"/>
          <w:szCs w:val="16"/>
        </w:rPr>
        <w:softHyphen/>
        <w:t>дут ложиться в стороне стреляющей пушки». При этом «сохранение длительно точки прицеливания во время стрельбы из одной пушки невозмож</w:t>
      </w:r>
      <w:r w:rsidRPr="00D03F3E">
        <w:rPr>
          <w:color w:val="000000" w:themeColor="text1"/>
          <w:sz w:val="16"/>
          <w:szCs w:val="16"/>
        </w:rPr>
        <w:softHyphen/>
        <w:t>но из-за разворота самолета вследствие отдачи пушки». Стрельбу по наземной цели необходимо вести с пикирования под углом 30—35° при вы</w:t>
      </w:r>
      <w:r w:rsidRPr="00D03F3E">
        <w:rPr>
          <w:color w:val="000000" w:themeColor="text1"/>
          <w:sz w:val="16"/>
          <w:szCs w:val="16"/>
        </w:rPr>
        <w:softHyphen/>
        <w:t>соте ввода в пикирование 400—600 м и скорости 220—230 км/ч. Огонь следовало вести с дистанции 300—400 м, не более. Боекомплекта в 55 снарядов достаточно на 10—12 атак, «стрельба очередями более 4—5 выстрелов в очереди по наземной цели нецелесообразна».</w:t>
      </w:r>
    </w:p>
    <w:p w14:paraId="3933A8F9"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опыту эксплуатации требовалось доработать приемные рукава от патронного ящика к прием</w:t>
      </w:r>
      <w:r w:rsidRPr="00D03F3E">
        <w:rPr>
          <w:color w:val="000000" w:themeColor="text1"/>
          <w:sz w:val="16"/>
          <w:szCs w:val="16"/>
        </w:rPr>
        <w:softHyphen/>
        <w:t>нику пушки — «рукав должен входить в приемник и быть гибким, /.../ этим самым перекосы, полу</w:t>
      </w:r>
      <w:r w:rsidRPr="00D03F3E">
        <w:rPr>
          <w:color w:val="000000" w:themeColor="text1"/>
          <w:sz w:val="16"/>
          <w:szCs w:val="16"/>
        </w:rPr>
        <w:softHyphen/>
        <w:t>чаемые при смещении пушки и во время стрель</w:t>
      </w:r>
      <w:r w:rsidRPr="00D03F3E">
        <w:rPr>
          <w:color w:val="000000" w:themeColor="text1"/>
          <w:sz w:val="16"/>
          <w:szCs w:val="16"/>
        </w:rPr>
        <w:softHyphen/>
        <w:t>бы и погрешности в сборке, будут меньше влиять на работу агрегатов питания», а также улучшить качество монтажа приемного рукава. Кроме это</w:t>
      </w:r>
      <w:r w:rsidRPr="00D03F3E">
        <w:rPr>
          <w:color w:val="000000" w:themeColor="text1"/>
          <w:sz w:val="16"/>
          <w:szCs w:val="16"/>
        </w:rPr>
        <w:softHyphen/>
        <w:t>го, необходимо было установить электроспуски и оптический прицел ПБП-1б взамен механиче</w:t>
      </w:r>
      <w:r w:rsidRPr="00D03F3E">
        <w:rPr>
          <w:color w:val="000000" w:themeColor="text1"/>
          <w:sz w:val="16"/>
          <w:szCs w:val="16"/>
        </w:rPr>
        <w:softHyphen/>
        <w:t>ского ВВ-1.</w:t>
      </w:r>
    </w:p>
    <w:p w14:paraId="0DE6239D"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результатам стрельб было сделано заклю</w:t>
      </w:r>
      <w:r w:rsidRPr="00D03F3E">
        <w:rPr>
          <w:color w:val="000000" w:themeColor="text1"/>
          <w:sz w:val="16"/>
          <w:szCs w:val="16"/>
        </w:rPr>
        <w:softHyphen/>
        <w:t>чение, что пушки 11П и пушечные установки кон</w:t>
      </w:r>
      <w:r w:rsidRPr="00D03F3E">
        <w:rPr>
          <w:color w:val="000000" w:themeColor="text1"/>
          <w:sz w:val="16"/>
          <w:szCs w:val="16"/>
        </w:rPr>
        <w:softHyphen/>
        <w:t>струкции ОКБ-240 на самолете Ил-2 «полигонные испытания не выдержали из-за недостаточной жесткости крепления». Живучесть стволов серий</w:t>
      </w:r>
      <w:r w:rsidRPr="00D03F3E">
        <w:rPr>
          <w:color w:val="000000" w:themeColor="text1"/>
          <w:sz w:val="16"/>
          <w:szCs w:val="16"/>
        </w:rPr>
        <w:softHyphen/>
        <w:t>ных пушек 11П ОКБ-16 «1200—1300 выстрелов при стрельбе по бронированным целям является недо</w:t>
      </w:r>
      <w:r w:rsidRPr="00D03F3E">
        <w:rPr>
          <w:color w:val="000000" w:themeColor="text1"/>
          <w:sz w:val="16"/>
          <w:szCs w:val="16"/>
        </w:rPr>
        <w:softHyphen/>
        <w:t>статочной».</w:t>
      </w:r>
    </w:p>
    <w:p w14:paraId="50F0F8A1"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Поставив на вооружение противотанковые ва</w:t>
      </w:r>
      <w:r w:rsidRPr="00D03F3E">
        <w:rPr>
          <w:color w:val="000000" w:themeColor="text1"/>
          <w:sz w:val="16"/>
          <w:szCs w:val="16"/>
        </w:rPr>
        <w:softHyphen/>
        <w:t>рианты истребителей (ЛаГГ-3, Як-9т) и штурмовиков Ил-2, советское командование всерьез рассчитыва</w:t>
      </w:r>
      <w:r w:rsidRPr="00D03F3E">
        <w:rPr>
          <w:color w:val="000000" w:themeColor="text1"/>
          <w:sz w:val="16"/>
          <w:szCs w:val="16"/>
        </w:rPr>
        <w:softHyphen/>
        <w:t>ло в летней кампании 1943 г. сокрушить брониро</w:t>
      </w:r>
      <w:r w:rsidRPr="00D03F3E">
        <w:rPr>
          <w:color w:val="000000" w:themeColor="text1"/>
          <w:sz w:val="16"/>
          <w:szCs w:val="16"/>
        </w:rPr>
        <w:softHyphen/>
        <w:t>ванный «зверинец» вермахта. Однако реальность оказалась более чем приземленной.</w:t>
      </w:r>
    </w:p>
    <w:p w14:paraId="477F13FA"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Основная проблема состояла в обеспечении точной стрельбы из пушек 11П по малоразмерным целям. Двухместный Ил-2 был неустойчив в про</w:t>
      </w:r>
      <w:r w:rsidRPr="00D03F3E">
        <w:rPr>
          <w:color w:val="000000" w:themeColor="text1"/>
          <w:sz w:val="16"/>
          <w:szCs w:val="16"/>
        </w:rPr>
        <w:softHyphen/>
        <w:t>дольном отношении в еще большей степени, чем одноместный Ил-2, и в силу этого стрельба из 11П сказывалась на полете самолета значительно сильнее.</w:t>
      </w:r>
    </w:p>
    <w:p w14:paraId="712E2F57" w14:textId="77777777" w:rsidR="006E0BD4" w:rsidRPr="00D03F3E" w:rsidRDefault="006E0BD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Эффективность стрельбы в воздухе из 11П с са</w:t>
      </w:r>
      <w:r w:rsidRPr="00D03F3E">
        <w:rPr>
          <w:color w:val="000000" w:themeColor="text1"/>
          <w:sz w:val="16"/>
          <w:szCs w:val="16"/>
        </w:rPr>
        <w:softHyphen/>
        <w:t>молета Ил-2 по немецким танкам практически ни</w:t>
      </w:r>
      <w:r w:rsidRPr="00D03F3E">
        <w:rPr>
          <w:color w:val="000000" w:themeColor="text1"/>
          <w:sz w:val="16"/>
          <w:szCs w:val="16"/>
        </w:rPr>
        <w:softHyphen/>
        <w:t>чем не отличалась от стрельбы из пушки Ш-37 и ха</w:t>
      </w:r>
      <w:r w:rsidRPr="00D03F3E">
        <w:rPr>
          <w:color w:val="000000" w:themeColor="text1"/>
          <w:sz w:val="16"/>
          <w:szCs w:val="16"/>
        </w:rPr>
        <w:softHyphen/>
        <w:t>рактеризовалась тем, что 52% попаданий снарядов по среднему танку и 73% попаданий по легкому танку выводили их из строя. При этом лишь в 43% вылетов получались попадания в танки, а число по</w:t>
      </w:r>
      <w:r w:rsidRPr="00D03F3E">
        <w:rPr>
          <w:color w:val="000000" w:themeColor="text1"/>
          <w:sz w:val="16"/>
          <w:szCs w:val="16"/>
        </w:rPr>
        <w:softHyphen/>
        <w:t>паданий к израсходованному боекомплекту не пре</w:t>
      </w:r>
      <w:r w:rsidRPr="00D03F3E">
        <w:rPr>
          <w:color w:val="000000" w:themeColor="text1"/>
          <w:sz w:val="16"/>
          <w:szCs w:val="16"/>
        </w:rPr>
        <w:softHyphen/>
        <w:t>вышало 3% (17500).</w:t>
      </w:r>
    </w:p>
    <w:p w14:paraId="13DB0E6D" w14:textId="77777777" w:rsidR="006E0BD4" w:rsidRPr="00D03F3E" w:rsidRDefault="006E0BD4" w:rsidP="00D03F3E">
      <w:pPr>
        <w:spacing w:after="0" w:line="240" w:lineRule="auto"/>
        <w:jc w:val="both"/>
        <w:rPr>
          <w:rFonts w:ascii="Times New Roman" w:eastAsia="Times New Roman" w:hAnsi="Times New Roman"/>
          <w:color w:val="000000" w:themeColor="text1"/>
          <w:sz w:val="16"/>
          <w:szCs w:val="16"/>
          <w:lang w:eastAsia="ru-RU"/>
        </w:rPr>
      </w:pPr>
    </w:p>
    <w:p w14:paraId="55C51B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1945 в Москву на подмосковный аэродром Остафьево прибыло 8 Ил-4 з-да 126 Дальневосточный чекист, которые 10 февраля 1943 вылетели из Хабаровска в Москву под управлением л 444 дбап 53ад. Должны были лететь Хабаровск-Куйбышевка-Чита-Красноярск-Омск-Свердловск-Москва. В первый же день разбился л А.А.Акиншин со ш, т.к. сломалась тяга РВ. На этапе Куйбышевка-Чита из-за неисправности мотора разбился Ил-4 млл П.И.Трифонова (5217, 12).</w:t>
      </w:r>
    </w:p>
    <w:p w14:paraId="05C773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всех машин, помимо общего названия Дальневосточный чекист были и собственные имена: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992"/>
        <w:gridCol w:w="7230"/>
        <w:gridCol w:w="1668"/>
      </w:tblGrid>
      <w:tr w:rsidR="00860B4B" w:rsidRPr="00D03F3E" w14:paraId="56A35A2D" w14:textId="77777777">
        <w:tc>
          <w:tcPr>
            <w:tcW w:w="1384" w:type="dxa"/>
          </w:tcPr>
          <w:p w14:paraId="4F9DC6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Заводской №</w:t>
            </w:r>
          </w:p>
        </w:tc>
        <w:tc>
          <w:tcPr>
            <w:tcW w:w="992" w:type="dxa"/>
          </w:tcPr>
          <w:p w14:paraId="72D8E6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Хвостовой № при вручении / в 3ап / в 18 ап</w:t>
            </w:r>
          </w:p>
        </w:tc>
        <w:tc>
          <w:tcPr>
            <w:tcW w:w="7230" w:type="dxa"/>
          </w:tcPr>
          <w:p w14:paraId="05FE4D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Судьба машины</w:t>
            </w:r>
          </w:p>
        </w:tc>
        <w:tc>
          <w:tcPr>
            <w:tcW w:w="1668" w:type="dxa"/>
          </w:tcPr>
          <w:p w14:paraId="08022D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Имя</w:t>
            </w:r>
          </w:p>
        </w:tc>
      </w:tr>
      <w:tr w:rsidR="00860B4B" w:rsidRPr="00D03F3E" w14:paraId="668B504A" w14:textId="77777777">
        <w:tc>
          <w:tcPr>
            <w:tcW w:w="1384" w:type="dxa"/>
          </w:tcPr>
          <w:p w14:paraId="53C748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10111</w:t>
            </w:r>
          </w:p>
        </w:tc>
        <w:tc>
          <w:tcPr>
            <w:tcW w:w="992" w:type="dxa"/>
          </w:tcPr>
          <w:p w14:paraId="1F2B28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8, 52, 52</w:t>
            </w:r>
          </w:p>
        </w:tc>
        <w:tc>
          <w:tcPr>
            <w:tcW w:w="7230" w:type="dxa"/>
          </w:tcPr>
          <w:p w14:paraId="55BC7B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февраля 1944 передан в ГМТАП ВВС ЧМФ</w:t>
            </w:r>
          </w:p>
        </w:tc>
        <w:tc>
          <w:tcPr>
            <w:tcW w:w="1668" w:type="dxa"/>
          </w:tcPr>
          <w:p w14:paraId="3AD709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A3749C1" w14:textId="77777777">
        <w:tc>
          <w:tcPr>
            <w:tcW w:w="1384" w:type="dxa"/>
          </w:tcPr>
          <w:p w14:paraId="099417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10202</w:t>
            </w:r>
          </w:p>
        </w:tc>
        <w:tc>
          <w:tcPr>
            <w:tcW w:w="992" w:type="dxa"/>
          </w:tcPr>
          <w:p w14:paraId="1164C2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1, 47,</w:t>
            </w:r>
          </w:p>
        </w:tc>
        <w:tc>
          <w:tcPr>
            <w:tcW w:w="7230" w:type="dxa"/>
          </w:tcPr>
          <w:p w14:paraId="619683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октябре 1943 вередан в ВВС ВМФ</w:t>
            </w:r>
          </w:p>
        </w:tc>
        <w:tc>
          <w:tcPr>
            <w:tcW w:w="1668" w:type="dxa"/>
          </w:tcPr>
          <w:p w14:paraId="663995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7D155E9" w14:textId="77777777">
        <w:tc>
          <w:tcPr>
            <w:tcW w:w="1384" w:type="dxa"/>
          </w:tcPr>
          <w:p w14:paraId="46153E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10206</w:t>
            </w:r>
          </w:p>
        </w:tc>
        <w:tc>
          <w:tcPr>
            <w:tcW w:w="992" w:type="dxa"/>
          </w:tcPr>
          <w:p w14:paraId="38065A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5, 50, 37</w:t>
            </w:r>
          </w:p>
        </w:tc>
        <w:tc>
          <w:tcPr>
            <w:tcW w:w="7230" w:type="dxa"/>
          </w:tcPr>
          <w:p w14:paraId="66B90C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августа 1943 л Гринев не вернулся с боевого задания</w:t>
            </w:r>
          </w:p>
        </w:tc>
        <w:tc>
          <w:tcPr>
            <w:tcW w:w="1668" w:type="dxa"/>
          </w:tcPr>
          <w:p w14:paraId="642DB0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Хабаровский чекист</w:t>
            </w:r>
          </w:p>
        </w:tc>
      </w:tr>
      <w:tr w:rsidR="00860B4B" w:rsidRPr="00D03F3E" w14:paraId="46429E06" w14:textId="77777777">
        <w:tc>
          <w:tcPr>
            <w:tcW w:w="1384" w:type="dxa"/>
          </w:tcPr>
          <w:p w14:paraId="44D9A0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10207</w:t>
            </w:r>
          </w:p>
        </w:tc>
        <w:tc>
          <w:tcPr>
            <w:tcW w:w="992" w:type="dxa"/>
          </w:tcPr>
          <w:p w14:paraId="6BF380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7230" w:type="dxa"/>
          </w:tcPr>
          <w:p w14:paraId="778724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марта 1943 л Трифонов попал в аварию. На фронт не попал</w:t>
            </w:r>
          </w:p>
        </w:tc>
        <w:tc>
          <w:tcPr>
            <w:tcW w:w="1668" w:type="dxa"/>
          </w:tcPr>
          <w:p w14:paraId="1689F9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Дальстроевцы</w:t>
            </w:r>
          </w:p>
        </w:tc>
      </w:tr>
      <w:tr w:rsidR="00860B4B" w:rsidRPr="00D03F3E" w14:paraId="09911A3B" w14:textId="77777777">
        <w:tc>
          <w:tcPr>
            <w:tcW w:w="1384" w:type="dxa"/>
          </w:tcPr>
          <w:p w14:paraId="04B51B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10213</w:t>
            </w:r>
          </w:p>
        </w:tc>
        <w:tc>
          <w:tcPr>
            <w:tcW w:w="992" w:type="dxa"/>
          </w:tcPr>
          <w:p w14:paraId="32F691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48,-</w:t>
            </w:r>
          </w:p>
        </w:tc>
        <w:tc>
          <w:tcPr>
            <w:tcW w:w="7230" w:type="dxa"/>
          </w:tcPr>
          <w:p w14:paraId="382D6C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1943 л Сыроватко не вернулся с боевого задания</w:t>
            </w:r>
          </w:p>
        </w:tc>
        <w:tc>
          <w:tcPr>
            <w:tcW w:w="1668" w:type="dxa"/>
          </w:tcPr>
          <w:p w14:paraId="41B2F5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Хабаровский чекист</w:t>
            </w:r>
          </w:p>
        </w:tc>
      </w:tr>
      <w:tr w:rsidR="00860B4B" w:rsidRPr="00D03F3E" w14:paraId="1B7B6FFD" w14:textId="77777777">
        <w:tc>
          <w:tcPr>
            <w:tcW w:w="1384" w:type="dxa"/>
          </w:tcPr>
          <w:p w14:paraId="1EA805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10216</w:t>
            </w:r>
          </w:p>
        </w:tc>
        <w:tc>
          <w:tcPr>
            <w:tcW w:w="992" w:type="dxa"/>
          </w:tcPr>
          <w:p w14:paraId="2EE5F9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 -</w:t>
            </w:r>
          </w:p>
        </w:tc>
        <w:tc>
          <w:tcPr>
            <w:tcW w:w="7230" w:type="dxa"/>
          </w:tcPr>
          <w:p w14:paraId="47A44C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февраля 1943 разбился л Акиншин, но, по-видимому был заменен</w:t>
            </w:r>
          </w:p>
        </w:tc>
        <w:tc>
          <w:tcPr>
            <w:tcW w:w="1668" w:type="dxa"/>
          </w:tcPr>
          <w:p w14:paraId="0511EB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Чекист Приморья</w:t>
            </w:r>
          </w:p>
        </w:tc>
      </w:tr>
      <w:tr w:rsidR="00860B4B" w:rsidRPr="00D03F3E" w14:paraId="49F338A4" w14:textId="77777777">
        <w:tc>
          <w:tcPr>
            <w:tcW w:w="1384" w:type="dxa"/>
          </w:tcPr>
          <w:p w14:paraId="698400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10412</w:t>
            </w:r>
          </w:p>
        </w:tc>
        <w:tc>
          <w:tcPr>
            <w:tcW w:w="992" w:type="dxa"/>
          </w:tcPr>
          <w:p w14:paraId="08029C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51, -</w:t>
            </w:r>
          </w:p>
        </w:tc>
        <w:tc>
          <w:tcPr>
            <w:tcW w:w="7230" w:type="dxa"/>
          </w:tcPr>
          <w:p w14:paraId="673ED4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1943 л Лысогоров не вернулся с боевого задания</w:t>
            </w:r>
          </w:p>
        </w:tc>
        <w:tc>
          <w:tcPr>
            <w:tcW w:w="1668" w:type="dxa"/>
          </w:tcPr>
          <w:p w14:paraId="7074BF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Хабаровский чекист</w:t>
            </w:r>
          </w:p>
        </w:tc>
      </w:tr>
      <w:tr w:rsidR="00860B4B" w:rsidRPr="00D03F3E" w14:paraId="7A3B4C3E" w14:textId="77777777">
        <w:tc>
          <w:tcPr>
            <w:tcW w:w="1384" w:type="dxa"/>
          </w:tcPr>
          <w:p w14:paraId="12D0D4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10507</w:t>
            </w:r>
          </w:p>
        </w:tc>
        <w:tc>
          <w:tcPr>
            <w:tcW w:w="992" w:type="dxa"/>
          </w:tcPr>
          <w:p w14:paraId="7065D2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звезда, 46, -</w:t>
            </w:r>
          </w:p>
        </w:tc>
        <w:tc>
          <w:tcPr>
            <w:tcW w:w="7230" w:type="dxa"/>
          </w:tcPr>
          <w:p w14:paraId="0D3D9F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1943 л Гаврилин не вернулся с боевого задания</w:t>
            </w:r>
          </w:p>
        </w:tc>
        <w:tc>
          <w:tcPr>
            <w:tcW w:w="1668" w:type="dxa"/>
          </w:tcPr>
          <w:p w14:paraId="101B16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4C8DF76" w14:textId="77777777">
        <w:tc>
          <w:tcPr>
            <w:tcW w:w="1384" w:type="dxa"/>
          </w:tcPr>
          <w:p w14:paraId="4FE8F0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10514</w:t>
            </w:r>
          </w:p>
        </w:tc>
        <w:tc>
          <w:tcPr>
            <w:tcW w:w="992" w:type="dxa"/>
          </w:tcPr>
          <w:p w14:paraId="3663AE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9, 53, 32</w:t>
            </w:r>
          </w:p>
        </w:tc>
        <w:tc>
          <w:tcPr>
            <w:tcW w:w="7230" w:type="dxa"/>
          </w:tcPr>
          <w:p w14:paraId="292080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августа 1943 передан в НИЗАП ГАУ КА</w:t>
            </w:r>
          </w:p>
        </w:tc>
        <w:tc>
          <w:tcPr>
            <w:tcW w:w="1668" w:type="dxa"/>
          </w:tcPr>
          <w:p w14:paraId="5EE8D1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105C20C" w14:textId="77777777">
        <w:tc>
          <w:tcPr>
            <w:tcW w:w="1384" w:type="dxa"/>
          </w:tcPr>
          <w:p w14:paraId="49317E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10618</w:t>
            </w:r>
          </w:p>
        </w:tc>
        <w:tc>
          <w:tcPr>
            <w:tcW w:w="992" w:type="dxa"/>
          </w:tcPr>
          <w:p w14:paraId="0AC407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или 4, 49, 34</w:t>
            </w:r>
          </w:p>
        </w:tc>
        <w:tc>
          <w:tcPr>
            <w:tcW w:w="7230" w:type="dxa"/>
          </w:tcPr>
          <w:p w14:paraId="1D686A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февраля 1944 передан 5 гмтап ВВС ЧМФ</w:t>
            </w:r>
          </w:p>
        </w:tc>
        <w:tc>
          <w:tcPr>
            <w:tcW w:w="1668" w:type="dxa"/>
          </w:tcPr>
          <w:p w14:paraId="49D0F9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BD6DEE3" w14:textId="77777777">
        <w:tc>
          <w:tcPr>
            <w:tcW w:w="1384" w:type="dxa"/>
          </w:tcPr>
          <w:p w14:paraId="04F22C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99EA1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7230" w:type="dxa"/>
          </w:tcPr>
          <w:p w14:paraId="359DA7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разбили где-то между Читой и Москвой</w:t>
            </w:r>
          </w:p>
        </w:tc>
        <w:tc>
          <w:tcPr>
            <w:tcW w:w="1668" w:type="dxa"/>
          </w:tcPr>
          <w:p w14:paraId="7C3C99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(5217, 12)</w:t>
            </w:r>
          </w:p>
        </w:tc>
      </w:tr>
    </w:tbl>
    <w:p w14:paraId="3D3180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237C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1943 согласно записи в журнале наблюдения за проектированием, постройкой и испытаниями МиГ-5 2АМ-37 и 2М-82 с 25 февраля 1943 по 5 марта 1943 карбюраторы 2 экз. ДИС (МиГ-5) с М-82 проходили перерегулировку в ЦИАМе. С 6 марта 1943 по 9 марта 1943 карбюраторы устанавливались на моторах 2 экз. ДИС (МиГ-5) с М-82. После чего планировалась проба моторов на земле и в воздухе (из донесения Князева от 9 марта 1943) (990,8).</w:t>
      </w:r>
    </w:p>
    <w:p w14:paraId="7F6129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CB7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1943 года на в ВИАМ на установке «Хинан-Фруде» была закончена проверка еще 6-ти моторов М-82БП последней серии, которая проходила с 15 февра</w:t>
      </w:r>
      <w:r w:rsidRPr="00D03F3E">
        <w:rPr>
          <w:rFonts w:ascii="Times New Roman" w:hAnsi="Times New Roman"/>
          <w:color w:val="000000" w:themeColor="text1"/>
          <w:sz w:val="16"/>
          <w:szCs w:val="16"/>
        </w:rPr>
        <w:softHyphen/>
        <w:t>ля. Результаты были аналогичные. В связи с началом выпуска мотора М-82Ф с НВ, интерес к доводке АК-82БП постепенно угас. Возможно, история карбюраторного М-82 так бы и за</w:t>
      </w:r>
      <w:r w:rsidRPr="00D03F3E">
        <w:rPr>
          <w:rFonts w:ascii="Times New Roman" w:hAnsi="Times New Roman"/>
          <w:color w:val="000000" w:themeColor="text1"/>
          <w:sz w:val="16"/>
          <w:szCs w:val="16"/>
        </w:rPr>
        <w:softHyphen/>
        <w:t>кончилась, если бы о нем снова не вспомнили осенью 1943 года. В ок</w:t>
      </w:r>
      <w:r w:rsidRPr="00D03F3E">
        <w:rPr>
          <w:rFonts w:ascii="Times New Roman" w:hAnsi="Times New Roman"/>
          <w:color w:val="000000" w:themeColor="text1"/>
          <w:sz w:val="16"/>
          <w:szCs w:val="16"/>
        </w:rPr>
        <w:softHyphen/>
        <w:t>тябре Сталин поставил перед НКАП и ВВС задачу увеличить дальность по</w:t>
      </w:r>
      <w:r w:rsidRPr="00D03F3E">
        <w:rPr>
          <w:rFonts w:ascii="Times New Roman" w:hAnsi="Times New Roman"/>
          <w:color w:val="000000" w:themeColor="text1"/>
          <w:sz w:val="16"/>
          <w:szCs w:val="16"/>
        </w:rPr>
        <w:softHyphen/>
        <w:t>лета истребителей (10705).</w:t>
      </w:r>
    </w:p>
    <w:p w14:paraId="449452A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342D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1943 у Прошакова отказал мотор на Ме-109 Г-2 N 14513 с ДБ-605М N 26446 (751,13).</w:t>
      </w:r>
    </w:p>
    <w:p w14:paraId="31CA4C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E3AD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15 марта 1943 к Прошаков на Ме-109 </w:t>
      </w:r>
      <w:r w:rsidRPr="00D03F3E">
        <w:rPr>
          <w:rFonts w:ascii="Times New Roman" w:hAnsi="Times New Roman"/>
          <w:color w:val="000000" w:themeColor="text1"/>
          <w:sz w:val="16"/>
          <w:szCs w:val="16"/>
          <w:lang w:val="en-US"/>
        </w:rPr>
        <w:t>G</w:t>
      </w:r>
      <w:r w:rsidRPr="00D03F3E">
        <w:rPr>
          <w:rFonts w:ascii="Times New Roman" w:hAnsi="Times New Roman"/>
          <w:color w:val="000000" w:themeColor="text1"/>
          <w:sz w:val="16"/>
          <w:szCs w:val="16"/>
        </w:rPr>
        <w:t xml:space="preserve">-2 № 14513 </w:t>
      </w:r>
      <w:r w:rsidRPr="00D03F3E">
        <w:rPr>
          <w:rFonts w:ascii="Times New Roman" w:hAnsi="Times New Roman"/>
          <w:color w:val="000000" w:themeColor="text1"/>
          <w:sz w:val="16"/>
          <w:szCs w:val="16"/>
          <w:lang w:val="en-US"/>
        </w:rPr>
        <w:t>DB</w:t>
      </w:r>
      <w:r w:rsidRPr="00D03F3E">
        <w:rPr>
          <w:rFonts w:ascii="Times New Roman" w:hAnsi="Times New Roman"/>
          <w:color w:val="000000" w:themeColor="text1"/>
          <w:sz w:val="16"/>
          <w:szCs w:val="16"/>
        </w:rPr>
        <w:t>-605М № 26446. При выполнении задания - полет на зубцы на аэродроме Чкаловская при наборе высоты на высоте 600-700 м отказал мотор. Посадка нормальная. Обрыв ведущей шестерни агрегате мотора (751).</w:t>
      </w:r>
    </w:p>
    <w:p w14:paraId="1183B3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7DE7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1943 Президиум АН СССР организовал комиссию по авиации под председательством акад. Н.Г.Бруевича (384,55).</w:t>
      </w:r>
    </w:p>
    <w:p w14:paraId="6D37E8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E09D6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1943 в Казани создана комиссия по авиации АН СССР. Цель - научно-техническая помощь в развитии технич. оснащения ВВС. Прекратила деятельность с окончанием войны (4963 ).</w:t>
      </w:r>
    </w:p>
    <w:p w14:paraId="08030C6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0078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1943 вышел приказ НКАП № 150с:</w:t>
      </w:r>
    </w:p>
    <w:p w14:paraId="450F5A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З-д № 261, жвакуированный в г. Березовск и временно, в силу производственных причин, считавшийся филиалом з-да 120 – восстановить в самостоятельный з-д, непосредственно подчиненный 2 ГУ</w:t>
      </w:r>
    </w:p>
    <w:p w14:paraId="791369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Сохранить за указанным з-дом № 261,</w:t>
      </w:r>
    </w:p>
    <w:p w14:paraId="78D5D08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З-д 261 специализировать на пр-во шасси и агрегатов шасси для самолетных з-дов.</w:t>
      </w:r>
    </w:p>
    <w:p w14:paraId="3DAE69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Дементьев (1706, 238).</w:t>
      </w:r>
    </w:p>
    <w:p w14:paraId="670671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2A75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1943 года приказом НКАП завод № 261 в Березовске Свердловской области – филиал завода № 120 - был выделен в самостоятельный завод (8914).</w:t>
      </w:r>
    </w:p>
    <w:p w14:paraId="60F341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754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1943 г. по приказу НКАП № 150с завод № 261 НКАП в  г. Березовске (ГС Завод № 261 НКАП /г. Москва ул. Фабричная, 11 (р-н ст. Ростокино) (1939 г.)/ / г. Березовск;  г. Верхний Нейвинск Свердловской обл./) был восстановлен как самостоятельный под прежним номером.</w:t>
      </w:r>
    </w:p>
    <w:p w14:paraId="6D0808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 приказу № 444сс от 13.06.1942 г. на старую площадку в Москве планировалось перевести из Тушино завод № 453 НКАП. Но затем начатый переезд был отменен, и по приказу № 487с от 3.07.1942 г. для размещения завода № 453 были переданы здания и сооружения бывшего завода № 291 </w:t>
      </w:r>
      <w:r w:rsidRPr="00D03F3E">
        <w:rPr>
          <w:rFonts w:ascii="Times New Roman" w:hAnsi="Times New Roman"/>
          <w:color w:val="000000" w:themeColor="text1"/>
          <w:sz w:val="16"/>
          <w:szCs w:val="16"/>
          <w:lang w:val="en-US"/>
        </w:rPr>
        <w:t>HKAII</w:t>
      </w:r>
      <w:r w:rsidRPr="00D03F3E">
        <w:rPr>
          <w:rFonts w:ascii="Times New Roman" w:hAnsi="Times New Roman"/>
          <w:color w:val="000000" w:themeColor="text1"/>
          <w:sz w:val="16"/>
          <w:szCs w:val="16"/>
        </w:rPr>
        <w:t>.</w:t>
      </w:r>
    </w:p>
    <w:p w14:paraId="683503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ГКО № 4290 от 8.10.1943 г. и приказом № 746с от 13.12.1943 г. для улучшения производственно-бытовых условий работы завод № 261 весной 1944 г. был переведен из Березовска в  г. Верхний Нейвинск на площадку завода № 484 НКАП. Оба завода были объединены в ГС завод № 261 2ГУ НКАП. Все помещения в  г. Березовске были переданы в распоряжение НКЭС.</w:t>
      </w:r>
    </w:p>
    <w:p w14:paraId="54DF44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293с от 11.07.1945 г. завод передан из 2ГУ в 9ГУ для организации производства металлургической продукции из легких сплавов.</w:t>
      </w:r>
    </w:p>
    <w:p w14:paraId="146361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приказам № 483с/024с от 11.12.1945 г. и № 499с от 31.12.1945 г. завод № 261 расформирован, часть оборудования и личного состава передана заводу № 30 НКАП (цех шасси), часть - на новый завод № 268 НКАП. На тот момент завод состоял из одного действующего цеха и начатого строительства второго корпуса. Они в 1946 г. переданы в ПГУ СНК СССР, на их базе начато строительство комбината № 813.</w:t>
      </w:r>
    </w:p>
    <w:p w14:paraId="438E47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Производственные площади (1945 г.)- 14.200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w:t>
      </w:r>
    </w:p>
    <w:p w14:paraId="444E3A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(-1940-02.1942 г.-)- А.И. Пастер (одновременно директор завода № 120), (12.1943 г.)- Явиц.</w:t>
      </w:r>
    </w:p>
    <w:p w14:paraId="082566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w:t>
      </w:r>
      <w:r w:rsidRPr="00D03F3E">
        <w:rPr>
          <w:rFonts w:ascii="Times New Roman" w:hAnsi="Times New Roman"/>
          <w:color w:val="000000" w:themeColor="text1"/>
          <w:sz w:val="16"/>
          <w:szCs w:val="16"/>
        </w:rPr>
        <w:t xml:space="preserve"> бензо-, водо-, маслозаправщики самолетов (АРС на шасси ЗиС-6), бензобаки, форсунки, фильтры, контейнеры (1939-); агрегаты химвооружения (УХАП-250, УХАП-500, разливочные станции для ампул, аэродромные тележки для ВАП-500) (1941-); агрегаты шасси (ВОВ) (11982).</w:t>
      </w:r>
    </w:p>
    <w:p w14:paraId="1DDC3D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2DC21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1943 года в Билимбай пришел приказ народного комиссариата авиационной промышленности СССР № 101, датированный 30 января 1943 года: в связи с переводом за</w:t>
      </w:r>
      <w:r w:rsidRPr="00D03F3E">
        <w:rPr>
          <w:rFonts w:ascii="Times New Roman" w:hAnsi="Times New Roman"/>
          <w:color w:val="000000" w:themeColor="text1"/>
          <w:sz w:val="16"/>
          <w:szCs w:val="16"/>
        </w:rPr>
        <w:softHyphen/>
        <w:t>вода № 290 на завод № 82 Директор и Главный конструктор завода № 290 Н.И.Камов назначался начальником СКО завода № 494, а заместитель Главного конструктора завода № 290 М.Л. Миль направлялся на работу в ЦАГИ (10224,56).</w:t>
      </w:r>
    </w:p>
    <w:p w14:paraId="677B9C0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1CE6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 16 марта 1943 года на подмосковном полигоне проводились повторные полигонные испытания. После войсковых испытаний снаряд М-13ДД в октябре 1944 года был принят на вооружение. Проект неуправляемого реактивного снаряда калибра 132 мм увеличенной дальности был разработан в 1942 году. Работы проводились в НИИ-1 НКАП [47]. Это был первый НУРС с двухкамерным ракетным двигателем. Обе камеры представляли собой штатные камеры НУРС М-13 и были соединены промежуточным соплом, включающим восемь косопоставленных сопел. Ракетные двигатели работали одновременно. Для снаряда использовали головную часть от неуправляемого реактивного снаряда М-13 калибра 132 мм. Снаряд, обозначенный М-13ДД, подвергся полигонным испытаниям на Урале, после чего был доработан (11772).</w:t>
      </w:r>
    </w:p>
    <w:p w14:paraId="4BC933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D0C86C"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 16 марта 1943 года на подмосковном полигоне проводились повторные полигонные испытания М-13ДД. После войсковых испытаний снаряд М-13ДД 14 октября 1944 года был принят на вооружение Красной Армии Постановлением № ГОКО-6724сс "О производстве снарядов М-13 с увеличенной дальностью стрельбы" (15981).</w:t>
      </w:r>
    </w:p>
    <w:p w14:paraId="64A596C6" w14:textId="77777777" w:rsidR="004A7B9E" w:rsidRPr="00D03F3E" w:rsidRDefault="004A7B9E" w:rsidP="00D03F3E">
      <w:pPr>
        <w:spacing w:after="0" w:line="240" w:lineRule="auto"/>
        <w:jc w:val="both"/>
        <w:rPr>
          <w:rFonts w:ascii="Times New Roman" w:hAnsi="Times New Roman"/>
          <w:color w:val="000000" w:themeColor="text1"/>
          <w:sz w:val="16"/>
          <w:szCs w:val="16"/>
        </w:rPr>
      </w:pPr>
    </w:p>
    <w:p w14:paraId="3F9604F8"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15 марта</w:t>
      </w:r>
      <w:r w:rsidRPr="00D03F3E">
        <w:rPr>
          <w:rFonts w:ascii="Times New Roman" w:hAnsi="Times New Roman"/>
          <w:color w:val="000000" w:themeColor="text1"/>
          <w:sz w:val="16"/>
          <w:szCs w:val="16"/>
        </w:rPr>
        <w:t xml:space="preserve"> в 1943 году в Казани создана комиссия по авиации Академии Наук СССР. Цель - научно-техническая помощь в развитии техническом оснащения ВВС. Прекратила деятельность с окончанием войны (15069).</w:t>
      </w:r>
    </w:p>
    <w:p w14:paraId="794977A1" w14:textId="77777777" w:rsidR="004A7B9E" w:rsidRPr="00D03F3E" w:rsidRDefault="004A7B9E" w:rsidP="00D03F3E">
      <w:pPr>
        <w:spacing w:after="0" w:line="240" w:lineRule="auto"/>
        <w:jc w:val="both"/>
        <w:rPr>
          <w:rFonts w:ascii="Times New Roman" w:hAnsi="Times New Roman"/>
          <w:color w:val="000000" w:themeColor="text1"/>
          <w:sz w:val="16"/>
          <w:szCs w:val="16"/>
        </w:rPr>
      </w:pPr>
    </w:p>
    <w:p w14:paraId="127F5E04"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3B4683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20CA3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1943 года вышел приказ № 322с НКБ</w:t>
      </w:r>
    </w:p>
    <w:p w14:paraId="53F9D82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распоряжением СНК № 6016-рс от 19 марта 1943 года:</w:t>
      </w:r>
    </w:p>
    <w:p w14:paraId="32E5160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Начальнику 6 Гл. управления объединить заводы №№ 608 и 609 и разместить их на территории завода № 608 Киров (5814, 50-51).</w:t>
      </w:r>
    </w:p>
    <w:p w14:paraId="198B9CB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07972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1943 г. из ПИСЬМА ДИРЕКТОРА ЗАВОДА № 188 В.К. ЛЬВОВА НАРОДНОМУ КОМИССАРУ ВООРУЖЕНИЯ СССР Д.Ф. УСТИНОВУ «О РЕОРГАНИЗАЦИИ РЕМЕСЛЕННОГО УЧИЛИЩА № 20 В ШКОЛУ ФАБРИЧНО-ЗАВОДСКОГО ОБУЧЕНИЯ НА БАЗЕ ЗАВОДА № 188»</w:t>
      </w:r>
    </w:p>
    <w:p w14:paraId="6A3DC2D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Народному комиссару вооружения СССР тов. Устинову, в Новосибирский обком ВКП(б) тов. Кулагину, в Новосибирский облисполком тов. Гришину.</w:t>
      </w:r>
    </w:p>
    <w:p w14:paraId="5E68F45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обеспечения планомерного пополнения завода квалифицированными рабочими кадрами с 1942 года принимались все возможные меры к организации при заводе № 188 школы фабрично-заводского обучения. Однако из-за отсутствия помещения организовать школу не представилось возможным.</w:t>
      </w:r>
    </w:p>
    <w:p w14:paraId="7B71C06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Недостаток квалифицированной рабочей силы на заводе возрастает, поэтому прошу Вас ходатайствовать перед правительством, обязать управление трудовых резервов создать при заводе № 188 школу фабрично-заводского обучения, вместо существующего ремесленного училища № 20, что вытекает из следующего соображения:</w:t>
      </w:r>
    </w:p>
    <w:p w14:paraId="55F0499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Профиль рабочих, даже ведущих профессий нашего завода, совершенно не требуют столь длительного срока обучения (2 года), как это предусмотрено для ремесленных училищ.</w:t>
      </w:r>
    </w:p>
    <w:p w14:paraId="7E4371E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Производственная база к организации для ФЗО учебно-производственных мастерских, а также помещения для теоретического обучения и общежитий учащихся, предоставленные ремесленному училищу № 20, должны быть использованы.</w:t>
      </w:r>
    </w:p>
    <w:p w14:paraId="7C769604"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Контингент обучающихся в РУ № 20 (800 человек) в условиях подготовки его в сокращенные сроки (4-6 месяцев) завод вполне устраивает.</w:t>
      </w:r>
    </w:p>
    <w:p w14:paraId="6C6620A5"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завода № 188 НКВ СССР Львов</w:t>
      </w:r>
    </w:p>
    <w:p w14:paraId="24FF4A4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ГАНО. Ф. П-4. Оп. 7. Д. 526. Л. 106. Подлинник.</w:t>
      </w:r>
    </w:p>
    <w:p w14:paraId="70D0AA9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Подпись-автограф Львова. Документ составлен на бланке завода № 188. В верхнем левом углу - штамп с датой отправки документа: «15 марта 1943 г.». Под документом рукописная виза: «т. Дмитриеву. Прошу разобраться и внести предложения». Подпись-росчерк нечитаем (12193).</w:t>
      </w:r>
    </w:p>
    <w:p w14:paraId="102DD3FA"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4929E5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1944 г. выпуск тан</w:t>
      </w:r>
      <w:r w:rsidRPr="00D03F3E">
        <w:rPr>
          <w:rFonts w:ascii="Times New Roman" w:hAnsi="Times New Roman"/>
          <w:color w:val="000000" w:themeColor="text1"/>
          <w:sz w:val="16"/>
          <w:szCs w:val="16"/>
        </w:rPr>
        <w:softHyphen/>
        <w:t>ков Т-34 на ЧКЗ был прекращен на основании поста</w:t>
      </w:r>
      <w:r w:rsidRPr="00D03F3E">
        <w:rPr>
          <w:rFonts w:ascii="Times New Roman" w:hAnsi="Times New Roman"/>
          <w:color w:val="000000" w:themeColor="text1"/>
          <w:sz w:val="16"/>
          <w:szCs w:val="16"/>
        </w:rPr>
        <w:softHyphen/>
        <w:t>новления ГКО, согласно которому все силы завода должны были быть сконцентрированы на производстве только тяжелых танков ИС-2. С ав</w:t>
      </w:r>
      <w:r w:rsidRPr="00D03F3E">
        <w:rPr>
          <w:rFonts w:ascii="Times New Roman" w:hAnsi="Times New Roman"/>
          <w:color w:val="000000" w:themeColor="text1"/>
          <w:sz w:val="16"/>
          <w:szCs w:val="16"/>
        </w:rPr>
        <w:softHyphen/>
        <w:t>густа 1942 г. по апрель 1944 г. ЧКЗ выпустил 5094 танка Т-34 (10703).</w:t>
      </w:r>
    </w:p>
    <w:p w14:paraId="67517F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99D83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1943 г. была подготовлена ДОКЛАДНАЯ ЗАПИСКА НАЧАЛЬНИКА УПРАВЛЕНИЯ РЕМОНТА ТАНКОВ НАЧАЛЬНИКУ ТАНКОВОГО УПРАВЛЕНИЯ ГБТУ КА ПО ВОПРОСУ РЕМОНТА ИНОСТРАННЫХ ТАНКОВ № 1155109</w:t>
      </w:r>
    </w:p>
    <w:p w14:paraId="7509A8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Ввиду недостатка запчастей и агрегатов для ремонта иностранных танков, особенно агрегатов электрооборудования, в войска неоднократно давались указания о том, чтобы изношенные и вышед</w:t>
      </w:r>
      <w:r w:rsidRPr="00D03F3E">
        <w:rPr>
          <w:rFonts w:ascii="Times New Roman" w:hAnsi="Times New Roman"/>
          <w:color w:val="000000" w:themeColor="text1"/>
          <w:sz w:val="16"/>
          <w:szCs w:val="16"/>
        </w:rPr>
        <w:softHyphen/>
        <w:t>шие из строя по разным причинам агрегаты танков возвращались из войск на ремонтные заводы. Однако указание это выполняется войсками крайне неаккуратно.</w:t>
      </w:r>
    </w:p>
    <w:p w14:paraId="0E8F38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Считаю необходимым в дальнейшем выдачу в войска агрегатов танков иномарок производить только взамен на негодные.</w:t>
      </w:r>
    </w:p>
    <w:p w14:paraId="277C935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принять для проведения этого мероприятия в жизнь зависящие от Вас меры.</w:t>
      </w:r>
    </w:p>
    <w:p w14:paraId="712E41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управления ремонта танков ГБТУ КА генерал-майор инженерно-танковой службы Сосенков</w:t>
      </w:r>
    </w:p>
    <w:p w14:paraId="16A43D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1697. Л. 69. Подлинник (11403).</w:t>
      </w:r>
    </w:p>
    <w:p w14:paraId="35E867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D06D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1943 Адмиралтейцы вели постройку четырех МБК и готовились к закладке еще двух. Постройка БМО осуществлялась с применением средств механизации (10671).</w:t>
      </w:r>
    </w:p>
    <w:p w14:paraId="6A0321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2728B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A5202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46D6AC"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lastRenderedPageBreak/>
        <w:t>15 марта</w:t>
      </w:r>
      <w:r w:rsidRPr="00D03F3E">
        <w:rPr>
          <w:rFonts w:ascii="Times New Roman" w:hAnsi="Times New Roman"/>
          <w:color w:val="000000" w:themeColor="text1"/>
          <w:sz w:val="16"/>
          <w:szCs w:val="16"/>
        </w:rPr>
        <w:t xml:space="preserve"> в 1943 году утреннее сообщение Совинформбюро:</w:t>
      </w:r>
    </w:p>
    <w:p w14:paraId="53A67480"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15 марта наши войска вели бои на прежних направлениях.</w:t>
      </w:r>
    </w:p>
    <w:p w14:paraId="33D0418B"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и юго-западнее Вязьмы наши войска продолжали успешно развивать наступление и заняли несколько десятков населённых пунктов, в том числе районный центр и железнодорожную станцию Семлево. Бойцы Н-ской части разгромили две роты немецкой пехоты. Захвачены у противника батарея полевых орудий, 5 противотанковых пушек, 12 пулемётов, 9 миномётов, много снарядов и патронов.</w:t>
      </w:r>
    </w:p>
    <w:p w14:paraId="576F52AD"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противник, опираясь на заранее подготовленные опорные пункты, оказывает упорное сопротивление, пытаясь задержать наступление наших войск. Бойцы Н-ской части прорвали полосу укреплений немцев и развивая успех, заняли несколько населённых пунктов. В этих боях гитлеровцы потеряли убитыми до 900 солдат и офицеров. Наши подразделения захватили 10 орудий, 22 пулемёта, 5 миномётов, 39 автомашин и другие трофеи.</w:t>
      </w:r>
    </w:p>
    <w:p w14:paraId="64C3A73D"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Харькова наши войска вели ожесточённые бои с крупными силами танков и мотопехоты противника. Бойцы Н-ской части в течение дня и ночи отражали непрерывные атаки гитлеровцев. Огнём из противотанковых орудий и ружей подбито 6 самоходных пушек и уничтожено 14 немецких танков. Ружейно-пулемётным огнём и в рукопашных схватках истреблено свыше 600 немецких солдат и офицеров. На другом участке наши подразделения после упорных боёв, в ходе которых нанесли противнику тяжёлые потери, отошли на новый рубеж обороны.</w:t>
      </w:r>
    </w:p>
    <w:p w14:paraId="40F3BAAF"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части вели артиллерийско-миномётную перестрелку с противником. Огнём наших артиллеристов и миномётчиков уничтожены танк, 10 автомашин, железнодорожный состав и до роты немецкой пехоты. Группа разведчиковН-ской части под командованием лейтенанта Пархоменко ночью внезапно атаковала окопы противника. Немцы бежали, бросив батальонное знамя, 2 миномёта и 5 пулемётов.</w:t>
      </w:r>
    </w:p>
    <w:p w14:paraId="614D9826"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Черниговской области, совершил налёт на мастерскую, где ремонтировались немецкие автомашины. Партизаны быстро сняли наружную охрану, ворвались на территорию мастерской и подожгли её. Мастерская и находившиеся в ней автомашины сгорели. Два дня спустя партизаны этого же отряда взорвали 4 железнодорожных моста. Партизаны другого отряда пустили под откос немецкий воинский эшелон, следовавший на фронт. Уничтожены 13 классных вагонов и паровоз. Под обломками вагонов погибло много гитлеровцев.</w:t>
      </w:r>
    </w:p>
    <w:p w14:paraId="78D2DC11"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Жители сёл и деревень Калининской области, освобождённых от немецких захватчиков, рассказали о диких зверствах гитлеровских бандитов. В деревне Станы немцы превратили многие дома колхозников в конюшни. Гитлеровцы согнали в один двор 180 стариков, женщин и детей и держали их на положении арестованных. За несколько месяцев от голода и побоев умерло 67 человек. В деревне Ситниково немецко-фашистские мерзавцы перед отступлением расстреляли колхозника Григория Петрова, его жену и других жителей. Бандиты угнали много молодёжи на каторжные работы в Германию. Всех, кто не мог идти, гитлеровцы расстреливали.</w:t>
      </w:r>
    </w:p>
    <w:p w14:paraId="4C517874"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западнее Загреба окружили и разбили большую колонну итальянских войск. Батальон "Муссолини» потерял только убитыми 450 солдат и офицеров. Партизаны захватили большие трофеи. В секторе Горни Вакуф— Прозор восьмидневные бои закончились победой югославских патриотов. Разбитые немецкие части отступают, бросая много вооружения, боеприпасов и разного военного имущества.» (15069).</w:t>
      </w:r>
    </w:p>
    <w:p w14:paraId="6C86D2C7" w14:textId="77777777" w:rsidR="004A7B9E" w:rsidRPr="00D03F3E" w:rsidRDefault="004A7B9E" w:rsidP="00D03F3E">
      <w:pPr>
        <w:spacing w:after="0" w:line="240" w:lineRule="auto"/>
        <w:jc w:val="both"/>
        <w:rPr>
          <w:rFonts w:ascii="Times New Roman" w:hAnsi="Times New Roman"/>
          <w:color w:val="000000" w:themeColor="text1"/>
          <w:sz w:val="16"/>
          <w:szCs w:val="16"/>
        </w:rPr>
      </w:pPr>
    </w:p>
    <w:p w14:paraId="0B5117EE"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15 марта</w:t>
      </w:r>
      <w:r w:rsidRPr="00D03F3E">
        <w:rPr>
          <w:rFonts w:ascii="Times New Roman" w:hAnsi="Times New Roman"/>
          <w:color w:val="000000" w:themeColor="text1"/>
          <w:sz w:val="16"/>
          <w:szCs w:val="16"/>
        </w:rPr>
        <w:t xml:space="preserve"> в 1943 году вечернее сообщение Совинформбюро:</w:t>
      </w:r>
    </w:p>
    <w:p w14:paraId="410FADD9"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наши войске после многодневных и ожесточённых боёв по приказу Командования эвакуировали город Харьков.</w:t>
      </w:r>
    </w:p>
    <w:p w14:paraId="118D3401"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Смоленской области наши войска, продолжая наступление, заняли город Холм-Жирковский.</w:t>
      </w:r>
    </w:p>
    <w:p w14:paraId="7110B97E"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остальных франтах наши войска вели бои на прежних направлениях.</w:t>
      </w:r>
    </w:p>
    <w:p w14:paraId="29A8FA48"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марта частями нашей авиации на различных участках фронта уничтожено или повреждено до 100 автомашин с войсками и грузами, подавлен огонь 9 артиллерийских и 7 миномётных батарей, взорвано 8 складов боеприпасов, в Керченском проливе потоплены 3 катера и 3 баржи противника.</w:t>
      </w:r>
    </w:p>
    <w:p w14:paraId="52965806"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Вязьмы наши войска продолжали наступление. Противник, опираясь на заранее подготовленный рубеж обороны в районе Холм-Жирковского, пытался артиллерийским огнём и контратаками пехоты и танков остановить наступление наших войск. Наши части в результате ожесточённого боя выбили немцев с этих оборонительных позиции и овладели городом Холм-Жирковский.</w:t>
      </w:r>
    </w:p>
    <w:p w14:paraId="6CBBBD09"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и юго-западнее Вязьмы наши войска развивали наступление и заняли целый ряд населённых пунктов. Уничтожено большое количество немецких солдат и офицеров. Захвачены трофеи и пленные.</w:t>
      </w:r>
    </w:p>
    <w:p w14:paraId="795000D2"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наши войска продолжали наступление и заняли 40 населённых пунктов, в том числе районный центр Батурино. Взяты трофеи, которые подсчитываются. На одном участке противник предпринял контратаку, но был отброшен, оставив на поле боя более 200 трупов.</w:t>
      </w:r>
    </w:p>
    <w:p w14:paraId="0D3C708D"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течения Северного Донца наши войска вели упорные бои с противником. Стремясь захватить выгодные позиции, немцы бросили в наступление крупные силы пехоты и 18 танков. Подразделения Н-ской части огнём из противотанковых орудий внесли расстройство в боевые порядки немцев и уничтожили 11 танков. Гитлеровцы пытались было залечь и окопаться, но под ударами наших бойцов отступили. На поле боя осталось до 300 вражеских трупов.</w:t>
      </w:r>
    </w:p>
    <w:p w14:paraId="62B6993A"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озера Ильмень наши части разгромили сильно укреплённый узел обороны немцев и форсировали один водный рубеж. Противник понёс большие потери и отступил, бросив раненых и вооружение.</w:t>
      </w:r>
    </w:p>
    <w:p w14:paraId="12213544"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лётчиками в воздушных боях сбито 8 немецких самолётов. Кроме того, в течение дня огнём зенитной артиллерии и пехотного оружия уничтожено 12 самолётов противника.</w:t>
      </w:r>
    </w:p>
    <w:p w14:paraId="1F053A76"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Минской области, в течение месяца пустил под откос 15 немецких воинских эшелонов. Разбито 9 паровозов и 212 вагонов. Под обломками вагонов погибло много немецких солдат и офицеров. Во время налётов на железнодорожные станции партизаны подорвали 10 платформ с автомашинами и сожгли 6 цистерн с бензином.</w:t>
      </w:r>
    </w:p>
    <w:p w14:paraId="26A082A8"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публикуются выдержки из дневника, найденного у убитого на Ленинградском фронте немецкого лейтенанта Вальтера Геллера из полицейской дивизии: «29 ноября 42 года. Война постепенно принимает для Германии характер борьбы, ведущейся из последних сил...</w:t>
      </w:r>
    </w:p>
    <w:p w14:paraId="76C12CF0"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Раньше мы боролись, имея еще надежду на возвращение на родину. Но кто может нынче надеяться на то, что он невредимым вернётся домой? Шансов на победу теперь очень мало, если они вообще еще имеются.</w:t>
      </w:r>
    </w:p>
    <w:p w14:paraId="6BE5DF15"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декабря. Можем ли мы еще связывать с новым годом какие-либо надежды? С ожесточением и злобой мы стоим перед фактом затянувшейся войны.</w:t>
      </w:r>
    </w:p>
    <w:p w14:paraId="6CAC180B"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января. Дивизия несёт ужасные потери. В нашем полку погибли почти все офицеры. Опасность велика. Жалкие остатки разбитых подразделений приданы другим частям, остальные, по-видимому, окружены... Да, это, конечно, тяжёлый и вряд ли поправимый кризис».</w:t>
      </w:r>
    </w:p>
    <w:p w14:paraId="21236219"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Отступая под ударами Красной Армии, немецко-фашистские мерзавцы совершают неслыханные зверства над мирным населением. В деревне Суходол, Смоленской области, фашистские мерзавцы загнали группу жителей в один дом. Гитлеровские палачи надругались над женщинами, а затем подожгли дом. В огне сгорели И.Фомушкина с грудным ребёнком, Евдокия Котова, Екатерина Фрунтова и другие. Всего погибло 24 человека, среди которых было 8 малолетних детей.» (15069).</w:t>
      </w:r>
    </w:p>
    <w:p w14:paraId="6577158C" w14:textId="77777777" w:rsidR="004A7B9E" w:rsidRPr="00D03F3E" w:rsidRDefault="004A7B9E" w:rsidP="00D03F3E">
      <w:pPr>
        <w:spacing w:after="0" w:line="240" w:lineRule="auto"/>
        <w:jc w:val="both"/>
        <w:rPr>
          <w:rFonts w:ascii="Times New Roman" w:hAnsi="Times New Roman"/>
          <w:color w:val="000000" w:themeColor="text1"/>
          <w:sz w:val="16"/>
          <w:szCs w:val="16"/>
        </w:rPr>
      </w:pPr>
    </w:p>
    <w:p w14:paraId="24828C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1943 вышел ПРИКАЗ № 063 частям 130 ИАД</w:t>
      </w:r>
    </w:p>
    <w:p w14:paraId="3F459F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НАВЕДЕНИИ ПОРЯДКА В ОПОЗНАВАТЕЛЬНЫХ ЗНАКАХ НА САМОЛЕТАХ ЧАСТЕЙ 130 ИАД</w:t>
      </w:r>
    </w:p>
    <w:p w14:paraId="6CF2CA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частях наблюдаются случаи неправильного нанесения опознавательных полковых и дивизионных знаков, фигур, номеров на фюзеляжах, капотах, коках винтов самолетов и лопастях /винтов/.</w:t>
      </w:r>
    </w:p>
    <w:p w14:paraId="39580C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упорядочения опознавательных знаков в полках и дивизии</w:t>
      </w:r>
    </w:p>
    <w:p w14:paraId="01ECF6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 Р И К А З Ы В А Ю :</w:t>
      </w:r>
    </w:p>
    <w:p w14:paraId="7AAF64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Установить следующие опознавательные знаки:</w:t>
      </w:r>
    </w:p>
    <w:p w14:paraId="35B3CE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Дивизионные:</w:t>
      </w:r>
    </w:p>
    <w:p w14:paraId="4E1171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хвостовой части фюзеляжа – круговая полоса белого цвета шириной 1 метр.</w:t>
      </w:r>
    </w:p>
    <w:p w14:paraId="0E3487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Полковые:</w:t>
      </w:r>
    </w:p>
    <w:p w14:paraId="103426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168 ИАП – коки воздущных винтов полностью КРАСНЫЕ, хвостовой номер – КРАСНЫЙ с ЧЕРНОЙ окантовкой, на дивизионной белой полосе;</w:t>
      </w:r>
    </w:p>
    <w:p w14:paraId="3BB85D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409 ИАП – соответственно со 168 ИАП – ЖЕЛТОЙ покраски;</w:t>
      </w:r>
    </w:p>
    <w:p w14:paraId="2AE79C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909 ИАП – соответственно со 168 ИАП – ГОЛУБОЙ покраски.</w:t>
      </w:r>
    </w:p>
    <w:p w14:paraId="1263A3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Приказами командиров авиаполков на самолетах на левой стороне фюзеляжа под подвижным фонарем кабины нанести звезды. Летчикам, сбившим лично самолеты противника – красные с белой окантовкой, в групповом бою – белые с красной окантовкой. Размер звезд – 120 мм по диаметру.</w:t>
      </w:r>
    </w:p>
    <w:p w14:paraId="13914A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Разрешаю приказами командиров 168 и 409 ИАП в порядке поощрения только отличившимся в боевой работе летчикам наносить краской на левой стороне бокового капота мотора Орден Суворова 3-й степени.</w:t>
      </w:r>
    </w:p>
    <w:p w14:paraId="47E77A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Выполнение перечисленных работ произвести силами ПАРМ-1 и бригадами. Всю окраску производить исключительно пульверизатором.</w:t>
      </w:r>
    </w:p>
    <w:p w14:paraId="165C96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Командир 130 ИАД гв.полковник ШИНКАРЕНКО (11219).</w:t>
      </w:r>
    </w:p>
    <w:p w14:paraId="79059C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bCs/>
          <w:iCs/>
          <w:color w:val="000000" w:themeColor="text1"/>
          <w:sz w:val="16"/>
          <w:szCs w:val="16"/>
        </w:rPr>
      </w:pPr>
    </w:p>
    <w:p w14:paraId="675CBC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1943 начались ожесточенные воздушные бои над Таманским полуостровом (271,215).</w:t>
      </w:r>
    </w:p>
    <w:p w14:paraId="6BB3F5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CD2B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1943 немцы отбили Харьков (1797).</w:t>
      </w:r>
    </w:p>
    <w:p w14:paraId="66FD1D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5FE47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15 марта 1943 в очередной раз оставлен Харьков (4963 ).</w:t>
      </w:r>
    </w:p>
    <w:p w14:paraId="54CBEC8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3E3F0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2504C1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8673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1943 года было отправлено:</w:t>
      </w:r>
    </w:p>
    <w:p w14:paraId="3B0D6A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СЕКРЕТНОЕ ПОСЛАНИЕ ПРЕМЬЕРА И. В. СТАЛИНА ПРЕМЬЕР-МИНИСТРУ г. У. ЧЕРЧИЛЛЮ</w:t>
      </w:r>
    </w:p>
    <w:p w14:paraId="0CAB75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марта Американский Посол г. Стэндли передал г. Молотову следующее поручение Правительства США.</w:t>
      </w:r>
    </w:p>
    <w:p w14:paraId="28CC7E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Правительство США предлагает, чтобы оно выступило в качестве посредника между СССР и Финляндией с целью выяснения возможности сепаратного мира между ними. На вопрос г. Молотова, известно ли Американскому Правительству, что Финляндия хочет мира и какова ее действительная позиция по этому вопросу, г. Стэндли сказал, что он об этом ничего не может сказать.</w:t>
      </w:r>
    </w:p>
    <w:p w14:paraId="482571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известно, Англо-Советский Договор от 26 мая 1942 года предусматривает, чтобы наши страны не вели переговоров о заключении сепаратного мира ни с Германией, ни с ее союзниками, иначе как по взаимному согласию. Я исхожу из этого, как из непреложного положения.</w:t>
      </w:r>
    </w:p>
    <w:p w14:paraId="5F7B02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силу этого я счел долгом, во-первых, информировать Вас об американском предложении и, во-вторых, запросить Ваше мнение по этому вопросу.</w:t>
      </w:r>
    </w:p>
    <w:p w14:paraId="0D2B5D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меня нет оснований считать, что Финляндия действительно хочет мира, что она уже решила порвать с Германией и готова предложить приемлемые условия. Она, должно быть, еще не вырвалась из лап Гитлера, если вообще она хочет вырваться. Нынешние правители Финляндии, подписавшие мирный договор с Советским Союзом, а потом порвавшие его и напавшие в союзе с Германией на Советский Союз, едва ли способны порвать с Гитлером.</w:t>
      </w:r>
    </w:p>
    <w:p w14:paraId="53A9A5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не менее ввиду предложения Правительства США я счел своим долгом сообщить Вам об изложенном (7430).</w:t>
      </w:r>
    </w:p>
    <w:p w14:paraId="2E4D94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491A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1943 года</w:t>
      </w:r>
    </w:p>
    <w:p w14:paraId="1C869C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СЕКРЕТНОЕ ПОСЛАНИЕ ПРЕМЬЕРА И. В. СТАЛИНА ПРЕМЬЕР-МИНИСТРУ г. У. ЧЕРЧИЛЛЮ</w:t>
      </w:r>
    </w:p>
    <w:p w14:paraId="733B99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Получил Ваш ответ на мое послание от 16 февраля.</w:t>
      </w:r>
    </w:p>
    <w:p w14:paraId="50723D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Вашего сообщения видно, что англо-американские операции в Северной Африке не только не ускоряются, но откладываются уже на конец апреля. И даже этот срок указывается не совсем определенно. Таким образом, в самый напряженный период боев против гитлеровских войск, в период февраль — март, англо-американское наступление в Северной Африке не только не форсировалось, но и вообще не проводилось, а намеченные Вами же для него сроки отложены. Тем временем Германия уже *успела перебросить с Запада против советских войск 36 дивизий, из них 6 дивизий танковых. Легко понять, какие затруднения это создало для Советской Армии и как это облегчило положение немцев на советско-германском фронте.</w:t>
      </w:r>
    </w:p>
    <w:p w14:paraId="49BFAB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При всей важности операции “Эскимос” </w:t>
      </w:r>
      <w:r w:rsidRPr="00D03F3E">
        <w:rPr>
          <w:rFonts w:ascii="Times New Roman" w:hAnsi="Times New Roman"/>
          <w:color w:val="000000" w:themeColor="text1"/>
          <w:sz w:val="16"/>
          <w:szCs w:val="16"/>
          <w:vertAlign w:val="superscript"/>
        </w:rPr>
        <w:t>39</w:t>
      </w:r>
      <w:r w:rsidRPr="00D03F3E">
        <w:rPr>
          <w:rFonts w:ascii="Times New Roman" w:hAnsi="Times New Roman"/>
          <w:color w:val="000000" w:themeColor="text1"/>
          <w:sz w:val="16"/>
          <w:szCs w:val="16"/>
        </w:rPr>
        <w:t>, она, конечно, не заменит собою второго фронта во Франции, но я, разумеется, всячески приветствую намечаемое Вами ускорение этой операции.</w:t>
      </w:r>
    </w:p>
    <w:p w14:paraId="59217D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По-прежнему я считаю главным вопросом — ускорение открытия второго фронта во Франции. Как Вы помните, Вами допускалось открытие второго фронта еще в 1942 году и во всяком случае не позже как весной этого года. Для этого были достаточно серьезные мотивы. Понятно поэтому, что в предыдущем послании я подчеркивал необходимость осуществления удара с Запада не позже чем весной или в начале лета этого года</w:t>
      </w:r>
    </w:p>
    <w:p w14:paraId="74EA84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того как советские войска провели всю зиму в напряженнейших боях и продолжают их еще сейчас, а Гитлер проводит новые крупные мероприятия по восстановлению и увеличению своей армии к весенним и летним операциям против СССР, нам особенно важно, чтобы удар с Запада больше не откладывался, чтобы этот удар был нанесен весной или в начале лета.</w:t>
      </w:r>
    </w:p>
    <w:p w14:paraId="63E875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 ознакомился с Вашими аргументами, изложенными в пп. 8, 9 и 10, характеризующими трудности англо-американских операций в Европе. Я признаю эти трудности. И тем не менее я считаю нужным со всей настойчивостью предупредить, с точки зрения интересов нашего общего дела, о серьезной опасности дальнейшего промедления с открытием второго фронта во Франции. Поэтому неопределенность Ваших заявлений относительно намеченного англо-американского наступления по ту сторону Канала вызывает у меня тревогу, о которой я не могу умолчать (7430).</w:t>
      </w:r>
    </w:p>
    <w:p w14:paraId="67FF69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7373F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043390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4262E3" w14:textId="77777777" w:rsidR="004A7B9E" w:rsidRPr="00D03F3E" w:rsidRDefault="004A7B9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15 марта</w:t>
      </w:r>
      <w:r w:rsidRPr="00D03F3E">
        <w:rPr>
          <w:rFonts w:ascii="Times New Roman" w:hAnsi="Times New Roman"/>
          <w:color w:val="000000" w:themeColor="text1"/>
          <w:sz w:val="16"/>
          <w:szCs w:val="16"/>
        </w:rPr>
        <w:t xml:space="preserve"> в 1943 году части Латвийского добровольческого легиона СС впервые вступили в бой с советскими войсками. Отмечается в Латвии как день памяти легионеров СС (15069).</w:t>
      </w:r>
    </w:p>
    <w:p w14:paraId="12D88C17" w14:textId="77777777" w:rsidR="004A7B9E" w:rsidRPr="00D03F3E" w:rsidRDefault="004A7B9E" w:rsidP="00D03F3E">
      <w:pPr>
        <w:spacing w:after="0" w:line="240" w:lineRule="auto"/>
        <w:jc w:val="both"/>
        <w:rPr>
          <w:rFonts w:ascii="Times New Roman" w:hAnsi="Times New Roman"/>
          <w:color w:val="000000" w:themeColor="text1"/>
          <w:sz w:val="16"/>
          <w:szCs w:val="16"/>
        </w:rPr>
      </w:pPr>
    </w:p>
    <w:p w14:paraId="1882F7D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1943 у берегов Западной Африки немцами торпедирован корабль “Императрица Канады” (4962).</w:t>
      </w:r>
    </w:p>
    <w:p w14:paraId="736BCB4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105D55" w14:textId="77777777" w:rsidR="00CD455A" w:rsidRPr="00D03F3E" w:rsidRDefault="00CD455A"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5ED94651" w14:textId="77777777" w:rsidR="00CD455A" w:rsidRPr="00D03F3E" w:rsidRDefault="00CD455A"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9661DB" w14:textId="77777777" w:rsidR="00CD455A" w:rsidRPr="00D03F3E" w:rsidRDefault="00CD455A"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В первой половине марта 1943 на заводе №454 изготовили 12 установок УБШ войско</w:t>
      </w:r>
      <w:r w:rsidRPr="00D03F3E">
        <w:rPr>
          <w:rFonts w:ascii="Times New Roman" w:hAnsi="Times New Roman" w:cs="Times New Roman"/>
          <w:color w:val="0070C0"/>
          <w:sz w:val="16"/>
          <w:szCs w:val="16"/>
        </w:rPr>
        <w:softHyphen/>
        <w:t>вой серии, которые затем поступили в 996-й шап 224-й шад 1-й воздушной армии Запад</w:t>
      </w:r>
      <w:r w:rsidRPr="00D03F3E">
        <w:rPr>
          <w:rFonts w:ascii="Times New Roman" w:hAnsi="Times New Roman" w:cs="Times New Roman"/>
          <w:color w:val="0070C0"/>
          <w:sz w:val="16"/>
          <w:szCs w:val="16"/>
        </w:rPr>
        <w:softHyphen/>
        <w:t>ного фронта. Их смонтировали на серийных Ил-2 силами технического состава полка под присмотром специалистов завода. При этом каких-либо заметных переделок самолетов не потребовалось. При монтаже был выявлен производственный брак, а именно - «слабость пружины замков магазинов и произвольное открывание ручек заряжания и крышек мага</w:t>
      </w:r>
      <w:r w:rsidRPr="00D03F3E">
        <w:rPr>
          <w:rFonts w:ascii="Times New Roman" w:hAnsi="Times New Roman" w:cs="Times New Roman"/>
          <w:color w:val="0070C0"/>
          <w:sz w:val="16"/>
          <w:szCs w:val="16"/>
        </w:rPr>
        <w:softHyphen/>
        <w:t>зинов». Недостатки оперативно устранили и отстреляли установки на земле и в воздухе (по четыре полных магазина).</w:t>
      </w:r>
    </w:p>
    <w:p w14:paraId="0834E9E6" w14:textId="77777777" w:rsidR="00CD455A" w:rsidRPr="00D03F3E" w:rsidRDefault="00CD455A"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К началу летной части войсковых испыта</w:t>
      </w:r>
      <w:r w:rsidRPr="00D03F3E">
        <w:rPr>
          <w:rFonts w:ascii="Times New Roman" w:hAnsi="Times New Roman" w:cs="Times New Roman"/>
          <w:color w:val="0070C0"/>
          <w:sz w:val="16"/>
          <w:szCs w:val="16"/>
        </w:rPr>
        <w:softHyphen/>
        <w:t>ний УБШ активность наземной и воздушной борьбы на участке Западного фронта резко упала; стороны начали подготовку к опера</w:t>
      </w:r>
      <w:r w:rsidRPr="00D03F3E">
        <w:rPr>
          <w:rFonts w:ascii="Times New Roman" w:hAnsi="Times New Roman" w:cs="Times New Roman"/>
          <w:color w:val="0070C0"/>
          <w:sz w:val="16"/>
          <w:szCs w:val="16"/>
        </w:rPr>
        <w:softHyphen/>
        <w:t>циям летней кампании. Так, на 4 мая средний налет на каждый Ил-2 с УБШ составил всего пять боевых самолетовылетов при расходе в среднем 100 патронов (два магазина) на са</w:t>
      </w:r>
      <w:r w:rsidRPr="00D03F3E">
        <w:rPr>
          <w:rFonts w:ascii="Times New Roman" w:hAnsi="Times New Roman" w:cs="Times New Roman"/>
          <w:color w:val="0070C0"/>
          <w:sz w:val="16"/>
          <w:szCs w:val="16"/>
        </w:rPr>
        <w:softHyphen/>
        <w:t>молет. Поэтому оценить живучесть установки и ее отдельных деталей в полном объеме не удалось.</w:t>
      </w:r>
    </w:p>
    <w:p w14:paraId="70FDE023" w14:textId="77777777" w:rsidR="00CD455A" w:rsidRPr="00D03F3E" w:rsidRDefault="00CD455A"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По общему мнению воздушных стрел</w:t>
      </w:r>
      <w:r w:rsidRPr="00D03F3E">
        <w:rPr>
          <w:rFonts w:ascii="Times New Roman" w:hAnsi="Times New Roman" w:cs="Times New Roman"/>
          <w:color w:val="0070C0"/>
          <w:sz w:val="16"/>
          <w:szCs w:val="16"/>
        </w:rPr>
        <w:softHyphen/>
        <w:t>ков, установка УБШ,</w:t>
      </w:r>
      <w:r w:rsidRPr="00D03F3E">
        <w:rPr>
          <w:rStyle w:val="800"/>
          <w:rFonts w:ascii="Times New Roman" w:hAnsi="Times New Roman" w:cs="Times New Roman"/>
          <w:i w:val="0"/>
          <w:iCs w:val="0"/>
          <w:color w:val="0070C0"/>
          <w:w w:val="100"/>
          <w:sz w:val="16"/>
          <w:szCs w:val="16"/>
        </w:rPr>
        <w:t xml:space="preserve"> «как при стрельбе в воз</w:t>
      </w:r>
      <w:r w:rsidRPr="00D03F3E">
        <w:rPr>
          <w:rStyle w:val="800"/>
          <w:rFonts w:ascii="Times New Roman" w:hAnsi="Times New Roman" w:cs="Times New Roman"/>
          <w:i w:val="0"/>
          <w:iCs w:val="0"/>
          <w:color w:val="0070C0"/>
          <w:w w:val="100"/>
          <w:sz w:val="16"/>
          <w:szCs w:val="16"/>
        </w:rPr>
        <w:softHyphen/>
        <w:t>духе, так и при эксплуатации удобна и срав</w:t>
      </w:r>
      <w:r w:rsidRPr="00D03F3E">
        <w:rPr>
          <w:rStyle w:val="800"/>
          <w:rFonts w:ascii="Times New Roman" w:hAnsi="Times New Roman" w:cs="Times New Roman"/>
          <w:i w:val="0"/>
          <w:iCs w:val="0"/>
          <w:color w:val="0070C0"/>
          <w:w w:val="100"/>
          <w:sz w:val="16"/>
          <w:szCs w:val="16"/>
        </w:rPr>
        <w:softHyphen/>
        <w:t>нительно легко управляема, особенно при переносе оружия с борта на борт»,</w:t>
      </w:r>
      <w:r w:rsidRPr="00D03F3E">
        <w:rPr>
          <w:rFonts w:ascii="Times New Roman" w:hAnsi="Times New Roman" w:cs="Times New Roman"/>
          <w:color w:val="0070C0"/>
          <w:sz w:val="16"/>
          <w:szCs w:val="16"/>
        </w:rPr>
        <w:t xml:space="preserve"> и в этом отношении значительно лучше серийной ВУБ- 3. Магазинное питание пулемета (лента на 50 патронов) обеспечивало бесперебойную работу оружия и не требовало ухода</w:t>
      </w:r>
      <w:r w:rsidRPr="00D03F3E">
        <w:rPr>
          <w:rStyle w:val="800"/>
          <w:rFonts w:ascii="Times New Roman" w:hAnsi="Times New Roman" w:cs="Times New Roman"/>
          <w:i w:val="0"/>
          <w:iCs w:val="0"/>
          <w:color w:val="0070C0"/>
          <w:w w:val="100"/>
          <w:sz w:val="16"/>
          <w:szCs w:val="16"/>
        </w:rPr>
        <w:t xml:space="preserve"> «за со</w:t>
      </w:r>
      <w:r w:rsidRPr="00D03F3E">
        <w:rPr>
          <w:rStyle w:val="800"/>
          <w:rFonts w:ascii="Times New Roman" w:hAnsi="Times New Roman" w:cs="Times New Roman"/>
          <w:i w:val="0"/>
          <w:iCs w:val="0"/>
          <w:color w:val="0070C0"/>
          <w:w w:val="100"/>
          <w:sz w:val="16"/>
          <w:szCs w:val="16"/>
        </w:rPr>
        <w:softHyphen/>
        <w:t>единительными агрегатами».</w:t>
      </w:r>
      <w:r w:rsidRPr="00D03F3E">
        <w:rPr>
          <w:rFonts w:ascii="Times New Roman" w:hAnsi="Times New Roman" w:cs="Times New Roman"/>
          <w:color w:val="0070C0"/>
          <w:sz w:val="16"/>
          <w:szCs w:val="16"/>
        </w:rPr>
        <w:t xml:space="preserve"> Отмечались больший боекомплект к установке патронов и более удобное расположение прицела; сама УБШ оказалась проще и удобнее в эксплуа</w:t>
      </w:r>
      <w:r w:rsidRPr="00D03F3E">
        <w:rPr>
          <w:rFonts w:ascii="Times New Roman" w:hAnsi="Times New Roman" w:cs="Times New Roman"/>
          <w:color w:val="0070C0"/>
          <w:sz w:val="16"/>
          <w:szCs w:val="16"/>
        </w:rPr>
        <w:softHyphen/>
        <w:t>тации. Зона обстрела установки (вверх - 57°, вниз по борту - 5°, влево - 60°, вправо - 30°) оценивалась положительно, но все равно, при</w:t>
      </w:r>
      <w:r w:rsidRPr="00D03F3E">
        <w:rPr>
          <w:rFonts w:ascii="Times New Roman" w:hAnsi="Times New Roman" w:cs="Times New Roman"/>
          <w:color w:val="0070C0"/>
          <w:sz w:val="16"/>
          <w:szCs w:val="16"/>
        </w:rPr>
        <w:softHyphen/>
        <w:t>знавалась недостаточной для эффективного отражения атак истребителей.</w:t>
      </w:r>
    </w:p>
    <w:p w14:paraId="568C98C6" w14:textId="77777777" w:rsidR="00CD455A" w:rsidRPr="00D03F3E" w:rsidRDefault="00CD455A"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По словам стрелков, смена магазина и заряжание пулемета в воздухе</w:t>
      </w:r>
      <w:r w:rsidRPr="00D03F3E">
        <w:rPr>
          <w:rStyle w:val="800"/>
          <w:rFonts w:ascii="Times New Roman" w:hAnsi="Times New Roman" w:cs="Times New Roman"/>
          <w:i w:val="0"/>
          <w:iCs w:val="0"/>
          <w:color w:val="0070C0"/>
          <w:w w:val="100"/>
          <w:sz w:val="16"/>
          <w:szCs w:val="16"/>
        </w:rPr>
        <w:t xml:space="preserve"> «удобны и за</w:t>
      </w:r>
      <w:r w:rsidRPr="00D03F3E">
        <w:rPr>
          <w:rStyle w:val="800"/>
          <w:rFonts w:ascii="Times New Roman" w:hAnsi="Times New Roman" w:cs="Times New Roman"/>
          <w:i w:val="0"/>
          <w:iCs w:val="0"/>
          <w:color w:val="0070C0"/>
          <w:w w:val="100"/>
          <w:sz w:val="16"/>
          <w:szCs w:val="16"/>
        </w:rPr>
        <w:softHyphen/>
        <w:t>нимает незначительное время для приведения оружия в боевую готовность».</w:t>
      </w:r>
      <w:r w:rsidRPr="00D03F3E">
        <w:rPr>
          <w:rFonts w:ascii="Times New Roman" w:hAnsi="Times New Roman" w:cs="Times New Roman"/>
          <w:color w:val="0070C0"/>
          <w:sz w:val="16"/>
          <w:szCs w:val="16"/>
        </w:rPr>
        <w:t xml:space="preserve"> Емкость мага</w:t>
      </w:r>
      <w:r w:rsidRPr="00D03F3E">
        <w:rPr>
          <w:rFonts w:ascii="Times New Roman" w:hAnsi="Times New Roman" w:cs="Times New Roman"/>
          <w:color w:val="0070C0"/>
          <w:sz w:val="16"/>
          <w:szCs w:val="16"/>
        </w:rPr>
        <w:softHyphen/>
        <w:t>зина (50 патронов) считалась вполне доста</w:t>
      </w:r>
      <w:r w:rsidRPr="00D03F3E">
        <w:rPr>
          <w:rFonts w:ascii="Times New Roman" w:hAnsi="Times New Roman" w:cs="Times New Roman"/>
          <w:color w:val="0070C0"/>
          <w:sz w:val="16"/>
          <w:szCs w:val="16"/>
        </w:rPr>
        <w:softHyphen/>
        <w:t>точной для отражения 3-4 атак истребителей, а боекомплекта в 200 патронов (четыре мага</w:t>
      </w:r>
      <w:r w:rsidRPr="00D03F3E">
        <w:rPr>
          <w:rFonts w:ascii="Times New Roman" w:hAnsi="Times New Roman" w:cs="Times New Roman"/>
          <w:color w:val="0070C0"/>
          <w:sz w:val="16"/>
          <w:szCs w:val="16"/>
        </w:rPr>
        <w:softHyphen/>
        <w:t>зина) с избытком хватало для боевого вылета. Пулеметы УБТ, установленные на УБШ, в ходе испытаний действовали безотказно. Правда, указывалось, что</w:t>
      </w:r>
      <w:r w:rsidRPr="00D03F3E">
        <w:rPr>
          <w:rStyle w:val="800"/>
          <w:rFonts w:ascii="Times New Roman" w:hAnsi="Times New Roman" w:cs="Times New Roman"/>
          <w:i w:val="0"/>
          <w:iCs w:val="0"/>
          <w:color w:val="0070C0"/>
          <w:w w:val="100"/>
          <w:sz w:val="16"/>
          <w:szCs w:val="16"/>
        </w:rPr>
        <w:t xml:space="preserve"> «наличие магазина затеняет стрелку обзор»;</w:t>
      </w:r>
      <w:r w:rsidRPr="00D03F3E">
        <w:rPr>
          <w:rFonts w:ascii="Times New Roman" w:hAnsi="Times New Roman" w:cs="Times New Roman"/>
          <w:color w:val="0070C0"/>
          <w:sz w:val="16"/>
          <w:szCs w:val="16"/>
        </w:rPr>
        <w:t xml:space="preserve"> отмечался и небольшой угол обстрела вниз по борту</w:t>
      </w:r>
      <w:r w:rsidRPr="00D03F3E">
        <w:rPr>
          <w:rStyle w:val="800"/>
          <w:rFonts w:ascii="Times New Roman" w:hAnsi="Times New Roman" w:cs="Times New Roman"/>
          <w:i w:val="0"/>
          <w:iCs w:val="0"/>
          <w:color w:val="0070C0"/>
          <w:w w:val="100"/>
          <w:sz w:val="16"/>
          <w:szCs w:val="16"/>
        </w:rPr>
        <w:t xml:space="preserve"> {«желательно не менее 15°»).</w:t>
      </w:r>
    </w:p>
    <w:p w14:paraId="6ACDB9B8" w14:textId="77777777" w:rsidR="00CD455A" w:rsidRPr="00D03F3E" w:rsidRDefault="00CD455A"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Поскольку в 996-м шап одновременно эксплуатировались Ил-2 с серийными ВУБ-3, то было с чем сравнить УБШ. И эта оценка ока</w:t>
      </w:r>
      <w:r w:rsidRPr="00D03F3E">
        <w:rPr>
          <w:rFonts w:ascii="Times New Roman" w:hAnsi="Times New Roman" w:cs="Times New Roman"/>
          <w:color w:val="0070C0"/>
          <w:sz w:val="16"/>
          <w:szCs w:val="16"/>
        </w:rPr>
        <w:softHyphen/>
        <w:t>залось не в пользу первой. Как следствие, УБШ была рекомендована для самого широкого внедрения в штурмовых частях ВВС КА. При этом для повышения ее боевых возможностей предлагалось установить прицел с серийным механизмом стабилизации вектора собствен</w:t>
      </w:r>
      <w:r w:rsidRPr="00D03F3E">
        <w:rPr>
          <w:rFonts w:ascii="Times New Roman" w:hAnsi="Times New Roman" w:cs="Times New Roman"/>
          <w:color w:val="0070C0"/>
          <w:sz w:val="16"/>
          <w:szCs w:val="16"/>
        </w:rPr>
        <w:softHyphen/>
        <w:t>ной скорости самолета, механический огра</w:t>
      </w:r>
      <w:r w:rsidRPr="00D03F3E">
        <w:rPr>
          <w:rFonts w:ascii="Times New Roman" w:hAnsi="Times New Roman" w:cs="Times New Roman"/>
          <w:color w:val="0070C0"/>
          <w:sz w:val="16"/>
          <w:szCs w:val="16"/>
        </w:rPr>
        <w:softHyphen/>
        <w:t>ничитель вертикальных углов обстрела</w:t>
      </w:r>
      <w:r w:rsidRPr="00D03F3E">
        <w:rPr>
          <w:rStyle w:val="800"/>
          <w:rFonts w:ascii="Times New Roman" w:hAnsi="Times New Roman" w:cs="Times New Roman"/>
          <w:i w:val="0"/>
          <w:iCs w:val="0"/>
          <w:color w:val="0070C0"/>
          <w:w w:val="100"/>
          <w:sz w:val="16"/>
          <w:szCs w:val="16"/>
        </w:rPr>
        <w:t xml:space="preserve"> («обес</w:t>
      </w:r>
      <w:r w:rsidRPr="00D03F3E">
        <w:rPr>
          <w:rStyle w:val="800"/>
          <w:rFonts w:ascii="Times New Roman" w:hAnsi="Times New Roman" w:cs="Times New Roman"/>
          <w:i w:val="0"/>
          <w:iCs w:val="0"/>
          <w:color w:val="0070C0"/>
          <w:w w:val="100"/>
          <w:sz w:val="16"/>
          <w:szCs w:val="16"/>
        </w:rPr>
        <w:softHyphen/>
        <w:t xml:space="preserve">печить хвостовое оперение от прострела»), </w:t>
      </w:r>
      <w:r w:rsidRPr="00D03F3E">
        <w:rPr>
          <w:rFonts w:ascii="Times New Roman" w:hAnsi="Times New Roman" w:cs="Times New Roman"/>
          <w:color w:val="0070C0"/>
          <w:sz w:val="16"/>
          <w:szCs w:val="16"/>
        </w:rPr>
        <w:t>плечевой упор, а также усилить крепление вертлюга к основанию.</w:t>
      </w:r>
    </w:p>
    <w:p w14:paraId="715AC738" w14:textId="77777777" w:rsidR="00CD455A" w:rsidRPr="00D03F3E" w:rsidRDefault="00CD455A"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Однако сложная обстановка, сложившаяся к тому времени на фронте (ожидалось насту</w:t>
      </w:r>
      <w:r w:rsidRPr="00D03F3E">
        <w:rPr>
          <w:rFonts w:ascii="Times New Roman" w:hAnsi="Times New Roman" w:cs="Times New Roman"/>
          <w:color w:val="0070C0"/>
          <w:sz w:val="16"/>
          <w:szCs w:val="16"/>
        </w:rPr>
        <w:softHyphen/>
        <w:t>пление немецких войск в районе Курского выступа), не позволила поставить новую уста</w:t>
      </w:r>
      <w:r w:rsidRPr="00D03F3E">
        <w:rPr>
          <w:rFonts w:ascii="Times New Roman" w:hAnsi="Times New Roman" w:cs="Times New Roman"/>
          <w:color w:val="0070C0"/>
          <w:sz w:val="16"/>
          <w:szCs w:val="16"/>
        </w:rPr>
        <w:softHyphen/>
        <w:t>новку в серийное производство, так как была велика вероятность снижения выпуска Ил-2, а это было недопустимо. Решили доработать УБШ, устранить выявленные недостатки, вновь испытать и сравнить ее с улучшенным вари</w:t>
      </w:r>
      <w:r w:rsidRPr="00D03F3E">
        <w:rPr>
          <w:rFonts w:ascii="Times New Roman" w:hAnsi="Times New Roman" w:cs="Times New Roman"/>
          <w:color w:val="0070C0"/>
          <w:sz w:val="16"/>
          <w:szCs w:val="16"/>
        </w:rPr>
        <w:softHyphen/>
        <w:t>антом ВУБ-3, который к маю 1943 г. уже был запущен в большую серию.</w:t>
      </w:r>
    </w:p>
    <w:p w14:paraId="4299A774" w14:textId="77777777" w:rsidR="00CD455A" w:rsidRPr="00D03F3E" w:rsidRDefault="00CD455A"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На усовершенствованной ВУБ-3 повысили надежность механического подтяга патронной ленты, увеличили размер верхних роликов ка</w:t>
      </w:r>
      <w:r w:rsidRPr="00D03F3E">
        <w:rPr>
          <w:rFonts w:ascii="Times New Roman" w:hAnsi="Times New Roman" w:cs="Times New Roman"/>
          <w:color w:val="0070C0"/>
          <w:sz w:val="16"/>
          <w:szCs w:val="16"/>
        </w:rPr>
        <w:softHyphen/>
        <w:t>ретки, изменили габариты и подвеску патрон</w:t>
      </w:r>
      <w:r w:rsidRPr="00D03F3E">
        <w:rPr>
          <w:rFonts w:ascii="Times New Roman" w:hAnsi="Times New Roman" w:cs="Times New Roman"/>
          <w:color w:val="0070C0"/>
          <w:sz w:val="16"/>
          <w:szCs w:val="16"/>
        </w:rPr>
        <w:softHyphen/>
        <w:t>ного ящика и мешка для сбора гильз и зве</w:t>
      </w:r>
      <w:r w:rsidRPr="00D03F3E">
        <w:rPr>
          <w:rFonts w:ascii="Times New Roman" w:hAnsi="Times New Roman" w:cs="Times New Roman"/>
          <w:color w:val="0070C0"/>
          <w:sz w:val="16"/>
          <w:szCs w:val="16"/>
        </w:rPr>
        <w:softHyphen/>
        <w:t>ньев. Маневренность и надежность установки улучшились. Прицельные углы обстрела УБТ увеличились (с мешком для гильз и звеньев на 75 патронов): вверх - до 40°, влево - до 45°, вправо - до 40°, вниз по борту - до 11°. Однако это все же не обеспечивало требуе</w:t>
      </w:r>
      <w:r w:rsidRPr="00D03F3E">
        <w:rPr>
          <w:rFonts w:ascii="Times New Roman" w:hAnsi="Times New Roman" w:cs="Times New Roman"/>
          <w:color w:val="0070C0"/>
          <w:sz w:val="16"/>
          <w:szCs w:val="16"/>
        </w:rPr>
        <w:softHyphen/>
        <w:t>мого повышения обороноспособности. К тому же при углах возвышения 35° и выше и при доводке установки влево</w:t>
      </w:r>
      <w:r w:rsidRPr="00D03F3E">
        <w:rPr>
          <w:rStyle w:val="800"/>
          <w:rFonts w:ascii="Times New Roman" w:hAnsi="Times New Roman" w:cs="Times New Roman"/>
          <w:i w:val="0"/>
          <w:iCs w:val="0"/>
          <w:color w:val="0070C0"/>
          <w:w w:val="100"/>
          <w:sz w:val="16"/>
          <w:szCs w:val="16"/>
        </w:rPr>
        <w:t xml:space="preserve"> «рукав питания и его горловина упирались в кольцо»,</w:t>
      </w:r>
      <w:r w:rsidRPr="00D03F3E">
        <w:rPr>
          <w:rFonts w:ascii="Times New Roman" w:hAnsi="Times New Roman" w:cs="Times New Roman"/>
          <w:color w:val="0070C0"/>
          <w:sz w:val="16"/>
          <w:szCs w:val="16"/>
        </w:rPr>
        <w:t xml:space="preserve"> что приводило к задержкам в работе оружия. Недостаточной оказалась и прочность горловины патронного рукава (19879).</w:t>
      </w:r>
    </w:p>
    <w:p w14:paraId="1BB9ED93" w14:textId="77777777" w:rsidR="00CD455A" w:rsidRPr="00D03F3E" w:rsidRDefault="00CD455A" w:rsidP="00D03F3E">
      <w:pPr>
        <w:pStyle w:val="11c"/>
        <w:shd w:val="clear" w:color="auto" w:fill="auto"/>
        <w:spacing w:after="0" w:line="240" w:lineRule="auto"/>
        <w:jc w:val="both"/>
        <w:rPr>
          <w:rFonts w:ascii="Times New Roman" w:hAnsi="Times New Roman" w:cs="Times New Roman"/>
          <w:color w:val="0070C0"/>
          <w:sz w:val="16"/>
          <w:szCs w:val="16"/>
        </w:rPr>
      </w:pPr>
    </w:p>
    <w:p w14:paraId="09613AA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721401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959C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марта 1943 приступили к определению основных характеристик самолета И-220. Предварительные испытания показали, что И-220 имеет большие перспективы. Даже с мотором АМ-38Ф самолет обладал большой скоростью и скороподъемностью, благодаря чему с успехом мог быть противопоставлен практически любому истребителю на высотах до 5000 м. Максимальная скорость на номинальном режиме составила 576 км/ч у земли и 624 км/ч на высоте 2650 м. ВЫСОТУ 3000 м самолет набирал за 2,5 мин, а 5000 м за 4,6 мин. (5669).</w:t>
      </w:r>
    </w:p>
    <w:p w14:paraId="7AA250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02313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марта 1943 перешли к оп</w:t>
      </w:r>
      <w:r w:rsidRPr="00D03F3E">
        <w:rPr>
          <w:rFonts w:ascii="Times New Roman" w:hAnsi="Times New Roman"/>
          <w:color w:val="000000" w:themeColor="text1"/>
          <w:sz w:val="16"/>
          <w:szCs w:val="16"/>
        </w:rPr>
        <w:softHyphen/>
        <w:t xml:space="preserve">ределению основных характеристик самолета И-220. Даже с маловысотным мотором АМ—38Ф самолет обладал большой </w:t>
      </w:r>
      <w:r w:rsidRPr="00D03F3E">
        <w:rPr>
          <w:rFonts w:ascii="Times New Roman" w:hAnsi="Times New Roman"/>
          <w:color w:val="000000" w:themeColor="text1"/>
          <w:sz w:val="16"/>
          <w:szCs w:val="16"/>
        </w:rPr>
        <w:lastRenderedPageBreak/>
        <w:t>скоростью и скороподъемностью. Макси</w:t>
      </w:r>
      <w:r w:rsidRPr="00D03F3E">
        <w:rPr>
          <w:rFonts w:ascii="Times New Roman" w:hAnsi="Times New Roman"/>
          <w:color w:val="000000" w:themeColor="text1"/>
          <w:sz w:val="16"/>
          <w:szCs w:val="16"/>
        </w:rPr>
        <w:softHyphen/>
        <w:t>мальная скорость на номинальном режиме составила 576 км/ч у земли и 624 км/ч на высоте 2650 м. Высо</w:t>
      </w:r>
      <w:r w:rsidRPr="00D03F3E">
        <w:rPr>
          <w:rFonts w:ascii="Times New Roman" w:hAnsi="Times New Roman"/>
          <w:color w:val="000000" w:themeColor="text1"/>
          <w:sz w:val="16"/>
          <w:szCs w:val="16"/>
        </w:rPr>
        <w:softHyphen/>
        <w:t>ту 3000 м самолет набирал за 2,5 мин, а 5000 м — за 4,6 мин. На высоте до 4000—5000 м истребитель И—220 в начале 1943 г. мог легко потягаться с любой серийной неприятельской машиной (9984).</w:t>
      </w:r>
    </w:p>
    <w:p w14:paraId="2F280C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62A06B"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8B0F8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4C22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марта 1943 создали третий вариант бронетранспортера на базе БА-64 0 БА-64Е с улучшенным размещением 6-ти человек десанта (3862).</w:t>
      </w:r>
    </w:p>
    <w:p w14:paraId="7BD845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01BE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марта 1943 г. в КБ завода приступили к новой компонов</w:t>
      </w:r>
      <w:r w:rsidRPr="00D03F3E">
        <w:rPr>
          <w:rFonts w:ascii="Times New Roman" w:hAnsi="Times New Roman"/>
          <w:color w:val="000000" w:themeColor="text1"/>
          <w:sz w:val="16"/>
          <w:szCs w:val="16"/>
        </w:rPr>
        <w:softHyphen/>
        <w:t>ке БА-64Е с более плотным и рациональным размещением шести де</w:t>
      </w:r>
      <w:r w:rsidRPr="00D03F3E">
        <w:rPr>
          <w:rFonts w:ascii="Times New Roman" w:hAnsi="Times New Roman"/>
          <w:color w:val="000000" w:themeColor="text1"/>
          <w:sz w:val="16"/>
          <w:szCs w:val="16"/>
        </w:rPr>
        <w:softHyphen/>
        <w:t>сантников внутри бронированного корпуса. Компоновку машины вы</w:t>
      </w:r>
      <w:r w:rsidRPr="00D03F3E">
        <w:rPr>
          <w:rFonts w:ascii="Times New Roman" w:hAnsi="Times New Roman"/>
          <w:color w:val="000000" w:themeColor="text1"/>
          <w:sz w:val="16"/>
          <w:szCs w:val="16"/>
        </w:rPr>
        <w:softHyphen/>
        <w:t>полнил конструктор Ф.А. Лепендин. 3 апреля того же года на базе бро</w:t>
      </w:r>
      <w:r w:rsidRPr="00D03F3E">
        <w:rPr>
          <w:rFonts w:ascii="Times New Roman" w:hAnsi="Times New Roman"/>
          <w:color w:val="000000" w:themeColor="text1"/>
          <w:sz w:val="16"/>
          <w:szCs w:val="16"/>
        </w:rPr>
        <w:softHyphen/>
        <w:t>неавтомобиля БА-64Б был изготовлен новый опытный образец броне</w:t>
      </w:r>
      <w:r w:rsidRPr="00D03F3E">
        <w:rPr>
          <w:rFonts w:ascii="Times New Roman" w:hAnsi="Times New Roman"/>
          <w:color w:val="000000" w:themeColor="text1"/>
          <w:sz w:val="16"/>
          <w:szCs w:val="16"/>
        </w:rPr>
        <w:softHyphen/>
        <w:t>автомобиля БА-64Е, который отличался от предыдущего опытного об</w:t>
      </w:r>
      <w:r w:rsidRPr="00D03F3E">
        <w:rPr>
          <w:rFonts w:ascii="Times New Roman" w:hAnsi="Times New Roman"/>
          <w:color w:val="000000" w:themeColor="text1"/>
          <w:sz w:val="16"/>
          <w:szCs w:val="16"/>
        </w:rPr>
        <w:softHyphen/>
        <w:t>разца отсутствием штатного вооружения и наращенных по высоте бро</w:t>
      </w:r>
      <w:r w:rsidRPr="00D03F3E">
        <w:rPr>
          <w:rFonts w:ascii="Times New Roman" w:hAnsi="Times New Roman"/>
          <w:color w:val="000000" w:themeColor="text1"/>
          <w:sz w:val="16"/>
          <w:szCs w:val="16"/>
        </w:rPr>
        <w:softHyphen/>
        <w:t>невых бортов десантного отделения. В бортах корпуса были выполнены два отверстия для наблюдения и ведения стрельбы из оружия десанта, закрываемые броневыми заслонками. Ширина кормовой двери для вы</w:t>
      </w:r>
      <w:r w:rsidRPr="00D03F3E">
        <w:rPr>
          <w:rFonts w:ascii="Times New Roman" w:hAnsi="Times New Roman"/>
          <w:color w:val="000000" w:themeColor="text1"/>
          <w:sz w:val="16"/>
          <w:szCs w:val="16"/>
        </w:rPr>
        <w:softHyphen/>
        <w:t>хода и посадки десанта была увеличена. Дальнейшие работы по совер</w:t>
      </w:r>
      <w:r w:rsidRPr="00D03F3E">
        <w:rPr>
          <w:rFonts w:ascii="Times New Roman" w:hAnsi="Times New Roman"/>
          <w:color w:val="000000" w:themeColor="text1"/>
          <w:sz w:val="16"/>
          <w:szCs w:val="16"/>
        </w:rPr>
        <w:softHyphen/>
        <w:t>шенствованию БА-64Е были приостановлены (10703).</w:t>
      </w:r>
    </w:p>
    <w:p w14:paraId="6501617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04E56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33E16B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EE60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марта 1943 выполнение плана минных постановок возобновилось. На этот раз в интервале с 16 по 26 марта удалось выставить 51 мину. 31 приводнилась в районе Таллина, 18 - между полуостровом Порккала Удд и Хельсинки, две были сброшены аварийно. Фактически в каждой ночной постановке принимал участие весь исправный состав полка. Главную задачу выполняли 5-7 Ил-4, которые, вылетая одиночным порядком, успевали в течение ночи совершить по два вылета. В каждом случае самолет брал по одной АМГ-1 (лишь один раз - 26 марта - были сброшены 6 А-1-4, причем впервые "ильюшины" поднимали по две такие мины), сбросить которую следовало с высоты 250-300 м. Огонь зениток на такой высоте был бы смертелен, поэтому в каждом случае приходилось тщательно планировать боевые курсы и корректировать их с изменением группировки ПВО противника.</w:t>
      </w:r>
    </w:p>
    <w:p w14:paraId="790211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ДБ-ЗБ и СБ, как правило, использовались в составе отвлекающих сил Таким же одиночным порядком в течение ночи они бомбили Таллин или Хельсинки, отвлекая на себя огонь зенитных средств и маскируя постановку мин. Не редко для этих же целей привлекались МБРы. Новых потерь удалось избежать, хотя 24 марта один из "илов" серьезно пострадал при вынужденной посадке. Поскольку на следующий день на подходах к Таллину подорвался и затонул германский пароход "Бунгсберг" (1504 брт), общий итог оказался в нашу пользу. 14 апреля на другой АМГ в районе острова Аэгна подорвался сетевой заградитель "NT 14" (бывший ледокольный буксир "Симеон": 110 брт). Из 21 немецкого моряка спаслось лишь двое. Впрочем, если учесть, что успехи были достигнуты применением морально устаревших контактных мин, они оказались скорее случайными, чем закономерными. Еще в самом начале наших минных постановок немцы развернули в Таллинской бухте корабельные дозоры, укомплектованные тральщиками 31-й флотилии и сторожевыми катерами флотилии охраны побережья "Остланд". Пролет каждого самолета и места сброса мин тщательно фиксировались, а днем тральщики тралили фарватеры в отмеченных местах. Районы, находившиеся за пределами сети фарватеров, тралились по остаточному принципу, а, как правило, просто закрывались для плаванья При такой организации подрывы происходили только тогда, когда корабли по какой-то причине выходили за пределы контролируемой сети фарватеров, а сброс мин в этой точке не замечался (12002).</w:t>
      </w:r>
    </w:p>
    <w:p w14:paraId="5F62A3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30654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9AAF4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6219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марта 1943 г. первый полет на Ил-4ТК совершил В.К. Коккинаки. Взлет</w:t>
      </w:r>
      <w:r w:rsidRPr="00D03F3E">
        <w:rPr>
          <w:rFonts w:ascii="Times New Roman" w:hAnsi="Times New Roman"/>
          <w:color w:val="000000" w:themeColor="text1"/>
          <w:sz w:val="16"/>
          <w:szCs w:val="16"/>
        </w:rPr>
        <w:softHyphen/>
        <w:t>ный вес составлял 10593 кг, несколько больше расчетного за счет контрольно-измерительной аппаратуры. Первый этап заводских испытаний завершился 29 мая. Затем на самолете установили усовершенствованную гермокабину и 10 августа вновь подняли его в воздух. Результаты принесли разочарование. До предполагавшихся в проекте данных машина здорово недотягивала. Хотя считали, что крейсерский полет будет происходить на высоте 11000 м, выше 9300 м подняться не удавалось. Ско</w:t>
      </w:r>
      <w:r w:rsidRPr="00D03F3E">
        <w:rPr>
          <w:rFonts w:ascii="Times New Roman" w:hAnsi="Times New Roman"/>
          <w:color w:val="000000" w:themeColor="text1"/>
          <w:sz w:val="16"/>
          <w:szCs w:val="16"/>
        </w:rPr>
        <w:softHyphen/>
        <w:t>рость также оказалась далека от желае</w:t>
      </w:r>
      <w:r w:rsidRPr="00D03F3E">
        <w:rPr>
          <w:rFonts w:ascii="Times New Roman" w:hAnsi="Times New Roman"/>
          <w:color w:val="000000" w:themeColor="text1"/>
          <w:sz w:val="16"/>
          <w:szCs w:val="16"/>
        </w:rPr>
        <w:softHyphen/>
        <w:t>мой. Причину нашли в несоответствии параметров ТК-3 расчетным и непри</w:t>
      </w:r>
      <w:r w:rsidRPr="00D03F3E">
        <w:rPr>
          <w:rFonts w:ascii="Times New Roman" w:hAnsi="Times New Roman"/>
          <w:color w:val="000000" w:themeColor="text1"/>
          <w:sz w:val="16"/>
          <w:szCs w:val="16"/>
        </w:rPr>
        <w:softHyphen/>
        <w:t>годности винтов ВИШ-61П. Последние заменили на четырехлопастные АВ-9. Но это не дало существенного сдвига. Далее перешли к более совершенным нагнетателям ТК-М. Первый полет с ними состоялся 16 сентября. Подня</w:t>
      </w:r>
      <w:r w:rsidRPr="00D03F3E">
        <w:rPr>
          <w:rFonts w:ascii="Times New Roman" w:hAnsi="Times New Roman"/>
          <w:color w:val="000000" w:themeColor="text1"/>
          <w:sz w:val="16"/>
          <w:szCs w:val="16"/>
        </w:rPr>
        <w:softHyphen/>
        <w:t>лись на 7500 м. Моторы работали неус</w:t>
      </w:r>
      <w:r w:rsidRPr="00D03F3E">
        <w:rPr>
          <w:rFonts w:ascii="Times New Roman" w:hAnsi="Times New Roman"/>
          <w:color w:val="000000" w:themeColor="text1"/>
          <w:sz w:val="16"/>
          <w:szCs w:val="16"/>
        </w:rPr>
        <w:softHyphen/>
        <w:t>тойчиво. К этому времени в условиях перехода господства в воздухе к совет</w:t>
      </w:r>
      <w:r w:rsidRPr="00D03F3E">
        <w:rPr>
          <w:rFonts w:ascii="Times New Roman" w:hAnsi="Times New Roman"/>
          <w:color w:val="000000" w:themeColor="text1"/>
          <w:sz w:val="16"/>
          <w:szCs w:val="16"/>
        </w:rPr>
        <w:softHyphen/>
        <w:t>ской авиации потребность в высотной технике уже не стала столь насущной. 10 ноября 1943 г. Ильюшин распоря</w:t>
      </w:r>
      <w:r w:rsidRPr="00D03F3E">
        <w:rPr>
          <w:rFonts w:ascii="Times New Roman" w:hAnsi="Times New Roman"/>
          <w:color w:val="000000" w:themeColor="text1"/>
          <w:sz w:val="16"/>
          <w:szCs w:val="16"/>
        </w:rPr>
        <w:softHyphen/>
        <w:t>дился прекратить работы по Ил-4ТК (10734,87).</w:t>
      </w:r>
    </w:p>
    <w:p w14:paraId="7482B1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F23B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марта 1943 В.К.К. выполнил первый полет на высотном разведчике-бомбардировщике Ил-4ТК с М-88Б с ТК-3. Встроенная гермокабина вентиляторного типа обеспечивала комфорт на высотах до 11 км. Вооружения не было. Достичь расчетную высоту так и не смогли и довести не сумели (2467,4).</w:t>
      </w:r>
    </w:p>
    <w:p w14:paraId="6BD058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D9A35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марта 1943 г. состоялся первый полет Ил-4ТК с двигателями М-88Б (6395).</w:t>
      </w:r>
    </w:p>
    <w:p w14:paraId="625B771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F4F304"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марта 1943 г. летчик-испытатель В. К. Коккинаки впервые поднял в воздух самолет Ил-4ТК, который по своему назначению являлся экспериментальным высотным разведчиком и бомбардировщиком с расчетной крейсерской высотой полета 11 000 м. Такая большая для того времени крейсерская высота полета обеспечивалась применением на самолете турбокомпрессоров ТК-3, разработанных в ЦИАМе. Благодаря наличию турбокомпрессоров мощность каждого двигателя М-88Б на высоте 11 000 м должна была увеличиться вдвое и стать равной 644...647 кВт (875...880 л. с.). Размещение турбокомпрессоров на самолете определялось стремлением проектировщиков обеспечить максимальную пожарную безопасность самолета. В связи с этим турбокомпрессоры устанавливали не вблизи выхлопных коллекторов двигателя, как это всегда делалось, а в самом конце гондол двигателя под крылом  самолета, вдали от топливных баков. Турбокомпрессоры имели не обычное горизонтальное, а вертикальное расположение оси ротора. Турбокомпрессоры начинали работать при закрывании летчиком перепускной заслонки, направляющей выхлопные газы двигателей ДО-88Б из выхлопного коллектора в трубопроводы, проложенные по бортам обеих гондол двигателей в желобах с противопожарной защитой. Из трубопровода выхлопные газы попадали на лопатки турбины турбокомпрессора, заставляя ее и связанный с нею центробежный нагнетатель вращаться е частотой 23 000 об/мин, что должно было обеспечить подачу наружного воздуха в карбюратор двигателя М-88Б с расходом 0,74 кг/с. В центробежный нагнетатель наружный воздух поступал через всасывающий патрубок, расположенный на верхней поверхности гондолы двигателя.</w:t>
      </w:r>
    </w:p>
    <w:p w14:paraId="751BC0BC"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Другой особенностью самолета Ил-4ТК была герметическая кабина вентиляционного типа для пилота и штурмана, причем пилот самолета сидел впереди, а штурман сзади. Кабина была рассчитана на избыточное давление 0,04 МПа (0,4 кгс/см2), которое и определило характерную внешнюю особенность самолета - сферическую форму носовой части его фюзеляжа. Наддув кабины обеспечивался воздухом, отбираемым от ТК-3, который перед поступлением в кабину фильтровался. Давление в герметической кабине регулировалось системой клапанов, а температура воздуха в ней поддерживалась на требуемом уровне воздуховоздушным радиатором.</w:t>
      </w:r>
    </w:p>
    <w:p w14:paraId="44BDD5CC"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Оборонительного стрелкового вооружения самолет не имел, но в хвостовой части фюзеляжа самолета был установлен аэрофотоаппарат АФА-3 с дистанционным управлением из кабины. Для наблюдения за работой винтомоторной группы и снятия ее характеристик на борту самолета было смонтировано дополнительное оборудование и контрольно-записывающая аппаратура. Полетная масса самолета Ил-4ТК равнялась 10 593 кг.</w:t>
      </w:r>
    </w:p>
    <w:p w14:paraId="41BFC35C"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Высотные полеты самолета показали несоответствие расчетных характеристик ТК-3 практическим данным, полученным в полетах До высоты 9300 м. Кроме того, воздушные винты ВИШ-61ИФ не обеспечивали самолету требуемой скороподъемности. В связи с этим на самолете Ил-4ТК предполагалось установить усовершенствованные турбокомпрессоры ТК-М и новые высотные воздушные винты АВ-9Ф. Но эти работы так и не были выполнены. В условиях завоеванного в 1943 г. советской авиацией стратегического превосходства в воздухе обычные самолеты Ил-4, сопровождаемые истребителями, успешно справлялись с выполнением поставленных перед ними боевых задач, и дальнейшая работа по совершенствованию самолета Ил-4ТК была признана нецелесообразной. Опыт создания и летных испытаний самолета был использован в дальнейшей работе конструкторского коллектива (15559).</w:t>
      </w:r>
    </w:p>
    <w:tbl>
      <w:tblPr>
        <w:tblW w:w="5000" w:type="pct"/>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4681"/>
        <w:gridCol w:w="6641"/>
      </w:tblGrid>
      <w:tr w:rsidR="00860B4B" w:rsidRPr="00D03F3E" w14:paraId="212AFA78"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74B66880"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Модификация</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14D3ECAA"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Ил-4ТК</w:t>
            </w:r>
          </w:p>
        </w:tc>
      </w:tr>
      <w:tr w:rsidR="00860B4B" w:rsidRPr="00D03F3E" w14:paraId="053EB86A"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08D796BA"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Размах крыла, м</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51BE1BD6"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21.44</w:t>
            </w:r>
          </w:p>
        </w:tc>
      </w:tr>
      <w:tr w:rsidR="00860B4B" w:rsidRPr="00D03F3E" w14:paraId="575532A1"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52355B8D"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м</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4060E08"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14.76</w:t>
            </w:r>
          </w:p>
        </w:tc>
      </w:tr>
      <w:tr w:rsidR="00860B4B" w:rsidRPr="00D03F3E" w14:paraId="609B8C64"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7A842FA3"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Высота, м</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C2488A9"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4.10</w:t>
            </w:r>
          </w:p>
        </w:tc>
      </w:tr>
      <w:tr w:rsidR="00860B4B" w:rsidRPr="00D03F3E" w14:paraId="11150DD9"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4A65BFBB"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крыла, м2</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C7935E3"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66.70</w:t>
            </w:r>
          </w:p>
        </w:tc>
      </w:tr>
      <w:tr w:rsidR="00860B4B" w:rsidRPr="00D03F3E" w14:paraId="20E0C8E2"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FC10323"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Масса, кг</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5AA25697"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w:t>
            </w:r>
          </w:p>
        </w:tc>
      </w:tr>
      <w:tr w:rsidR="00860B4B" w:rsidRPr="00D03F3E" w14:paraId="65F592DF"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A873A66"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пустого самолета</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0D85303"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6500</w:t>
            </w:r>
          </w:p>
        </w:tc>
      </w:tr>
      <w:tr w:rsidR="00860B4B" w:rsidRPr="00D03F3E" w14:paraId="1DD1D2FE"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19106DB9"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нормальная взлетная</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64E1D96"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10 593</w:t>
            </w:r>
          </w:p>
        </w:tc>
      </w:tr>
      <w:tr w:rsidR="00860B4B" w:rsidRPr="00D03F3E" w14:paraId="021CBA48"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15982967"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максимальная взлетная</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097900B4"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12200</w:t>
            </w:r>
          </w:p>
        </w:tc>
      </w:tr>
      <w:tr w:rsidR="00860B4B" w:rsidRPr="00D03F3E" w14:paraId="7920373B"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3231B2C"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двигателя</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14D6379D"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2 ПД М-88Б</w:t>
            </w:r>
          </w:p>
        </w:tc>
      </w:tr>
      <w:tr w:rsidR="00860B4B" w:rsidRPr="00D03F3E" w14:paraId="6873B3B1"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3F3D149"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Мощность, л.с.</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1BB0CB4B"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2 х 1100</w:t>
            </w:r>
          </w:p>
        </w:tc>
      </w:tr>
      <w:tr w:rsidR="00860B4B" w:rsidRPr="00D03F3E" w14:paraId="71FFCCF5"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9C17706"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 км/ч</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4E000655"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w:t>
            </w:r>
          </w:p>
        </w:tc>
      </w:tr>
      <w:tr w:rsidR="00860B4B" w:rsidRPr="00D03F3E" w14:paraId="104E4994"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7D66CA49"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 земли</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B6B5950"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350</w:t>
            </w:r>
          </w:p>
        </w:tc>
      </w:tr>
      <w:tr w:rsidR="00860B4B" w:rsidRPr="00D03F3E" w14:paraId="45B8094C"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6695B74"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на высоте</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2E63CD2"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405</w:t>
            </w:r>
          </w:p>
        </w:tc>
      </w:tr>
      <w:tr w:rsidR="00860B4B" w:rsidRPr="00D03F3E" w14:paraId="56A381E0"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40498D9D"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Практическая дальность, км</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0CA942E"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4000</w:t>
            </w:r>
          </w:p>
        </w:tc>
      </w:tr>
      <w:tr w:rsidR="00860B4B" w:rsidRPr="00D03F3E" w14:paraId="5DE51E87"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59BA4E0F"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 м</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5B516D90"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11000</w:t>
            </w:r>
          </w:p>
        </w:tc>
      </w:tr>
      <w:tr w:rsidR="00860B4B" w:rsidRPr="00D03F3E" w14:paraId="576396A0"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9D10C7E"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3D90362"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3-4</w:t>
            </w:r>
          </w:p>
        </w:tc>
      </w:tr>
      <w:tr w:rsidR="00860B4B" w:rsidRPr="00D03F3E" w14:paraId="398D9B3F"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29651AB"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7BC7C2EB"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Бомбовая нагрузка до 1000 кг</w:t>
            </w:r>
          </w:p>
        </w:tc>
      </w:tr>
    </w:tbl>
    <w:p w14:paraId="08898CB1"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(15559).</w:t>
      </w:r>
    </w:p>
    <w:p w14:paraId="1FE71CBF" w14:textId="77777777" w:rsidR="00530A1E" w:rsidRPr="00D03F3E" w:rsidRDefault="00530A1E" w:rsidP="00D03F3E">
      <w:pPr>
        <w:spacing w:after="0" w:line="240" w:lineRule="auto"/>
        <w:jc w:val="both"/>
        <w:rPr>
          <w:rFonts w:ascii="Times New Roman" w:hAnsi="Times New Roman"/>
          <w:color w:val="000000" w:themeColor="text1"/>
          <w:sz w:val="16"/>
          <w:szCs w:val="16"/>
        </w:rPr>
      </w:pPr>
    </w:p>
    <w:p w14:paraId="004698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марта 1943 г. В.К.Коккинаки впервые поднял в воздух самолет Ил-4ТК, который по своему назначению являлся экспериментальным высотным разведчиком и бомбардировщиком с расчетной крейсерской высотой полета 11000 м. Такая большая для того времени высота обеспечивалась применением на двигателях самолета турбокомпрессоров ТК-3, разработанных в ЦИАМе. Благодаря наличию турбокомпрессоров мощность М-88Б на высоте 11000 м должна была увеличиться вдвое по сравнению с бескомпрессорными вариантами двигателя и стать равной 875-880 л.с.</w:t>
      </w:r>
    </w:p>
    <w:p w14:paraId="2F6608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обеспечения пожарной безопасности самолета турбокомпрессоры устанавливались не вблизи выхлопных коллекторов двигателя, как это всегда делалось, а в самом конце мотогондол под крылом самолета, вдали от топливных баков. Они имели не обычное горизонтальное, а вертикальное расположение оси ротора и начинали работать при закрытии летчиком перепускной заслонки, направляющей выхлопные газы двигателей М-88Б из выхлопного коллектора в трубопроводы, проложенные по бортам обеих мотогондол в специальных желобах с противопожарной защитой. Из трубопровода выхлопные газы попадали на лопатки турбины турбокомпрессора, заставляя ее и связанный с нею центробежный нагнетатель вращаться с частотой 23000 об/мин. Это обеспечивало подачу 0,74 кг/с наружного воздуха в карбюратор двигателя. В центробежный нагнетатель воздух поступал через всасывающий патрубок, расположенный на верхней поверхности гондолы двигателя.</w:t>
      </w:r>
    </w:p>
    <w:p w14:paraId="787243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Другой особенностью Ил-4ТК была герметическая кабина вентиляционного типа для пилота и штурмана, причем пилот сидел впереди, а штурман сзади. Кабина была рассчитана на избыточное давление 0,04 МПа (0,4 кгс/см2), которое и определило характерную внешнюю особенность самолета - сферическую форму носовой части фюзеляжа. Наддув кабины обеспечивался воздухом, отбираемым от ТК-3, воздух перед поступлением в кабину фильтровался. Давление в гермокабине регулировалось системой клапанов, а температура воздуха в ней поддерживалась на требуемом уровне возду-хо-воздушным радиатором.</w:t>
      </w:r>
    </w:p>
    <w:p w14:paraId="528E72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Оборонительного стрелкового вооружения самолет не имел, в хвостовой части фюзеляжа был установлен аэрофотоаппарат АФА-3 с дистанционным управлением с рабочего места штурмана. Для наблюдения за работой винтомоторной группы и снятия ее характеристик на борту самолета было смонтировано дополнительное юрудование и контрольно-записывающая аппаратура. Взлетный вес самолета Ил-4ТК равнялся 10593 кг (9528).</w:t>
      </w:r>
    </w:p>
    <w:p w14:paraId="3DD977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D212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марта 1943 г. первый полет на втором Ил-4ТК совершил В. К. Коккинаки. Взлетный вес составлял 10593 кг, несколько больше расчетного за счет контрольно-измерительной аппаратуры. Первый этап заводских испытаний завершился 29 мая. Затем на самолете установили усовершенствованную гермокабину и 10 августа вновь подняли его в воздух. Результаты принесли разочарование. До предполагавшихся в проекте данных машина здорово недотягивала. Хотя считали, что крейсерский полет будет происходить на высоте 11000 м, выше 9300 м подняться не удавалось. Скорость также оказалась далека от желаемой. Причину нашли в несоответствии параметров ТК-3 расчетным и непригодности винтов ВИШ-61 П. Последние заменили на четырехлопастные АВ-9. Но это не дало существенного сдвига.</w:t>
      </w:r>
    </w:p>
    <w:p w14:paraId="480B58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Далее перешли к более совершенным нагнетателям ТК-М. Первый полет с ними состоялся 16 сентября. Поднялись на 7500 м. Моторы работали неустойчиво. К этому времени в условиях перехода господства в воздухе к советской авиации потребность в высотной технике уже не стала столь насущной. 10 ноября 1943 г. Ильюшин распорядился прекратить работы по Ил-4ТК (12021).</w:t>
      </w:r>
    </w:p>
    <w:p w14:paraId="764F60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3A9518"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16 марта</w:t>
      </w:r>
      <w:r w:rsidRPr="00D03F3E">
        <w:rPr>
          <w:rFonts w:ascii="Times New Roman" w:hAnsi="Times New Roman"/>
          <w:color w:val="000000" w:themeColor="text1"/>
          <w:sz w:val="16"/>
          <w:szCs w:val="16"/>
        </w:rPr>
        <w:t xml:space="preserve"> в 1943 году первый полет высотного разведчика и бомбардировщика Ил-4ТК с двигателями М-88Б, экипаж Коккинаки В.К. Ил-4 был основным советским дальним бомбардировщиком во время Великой Отечественной войны. Самолет имел обтекаемые формы фюзеляжа, убираемое в полете шасси, гладкую дюралевую обшивку. Ил-4 брал на борт 1 т бомбовой нагрузки. Скорость на высоте 6 км достигала 400 км/ч (15070).</w:t>
      </w:r>
    </w:p>
    <w:p w14:paraId="087691C3" w14:textId="77777777" w:rsidR="00530A1E" w:rsidRPr="00D03F3E" w:rsidRDefault="00530A1E" w:rsidP="00D03F3E">
      <w:pPr>
        <w:spacing w:after="0" w:line="240" w:lineRule="auto"/>
        <w:jc w:val="both"/>
        <w:rPr>
          <w:rFonts w:ascii="Times New Roman" w:hAnsi="Times New Roman"/>
          <w:color w:val="000000" w:themeColor="text1"/>
          <w:sz w:val="16"/>
          <w:szCs w:val="16"/>
        </w:rPr>
      </w:pPr>
    </w:p>
    <w:p w14:paraId="47C2A9BA"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16 марта</w:t>
      </w:r>
      <w:r w:rsidRPr="00D03F3E">
        <w:rPr>
          <w:rFonts w:ascii="Times New Roman" w:hAnsi="Times New Roman"/>
          <w:color w:val="000000" w:themeColor="text1"/>
          <w:sz w:val="16"/>
          <w:szCs w:val="16"/>
        </w:rPr>
        <w:t xml:space="preserve"> в 1943 году первый полет высотного разведчика и бомбардировщика </w:t>
      </w:r>
      <w:hyperlink r:id="rId92" w:tgtFrame="_blank" w:history="1">
        <w:r w:rsidRPr="00D03F3E">
          <w:rPr>
            <w:rFonts w:ascii="Times New Roman" w:hAnsi="Times New Roman"/>
            <w:color w:val="000000" w:themeColor="text1"/>
            <w:sz w:val="16"/>
            <w:szCs w:val="16"/>
          </w:rPr>
          <w:t xml:space="preserve">«Ил-4ТК» </w:t>
        </w:r>
      </w:hyperlink>
      <w:r w:rsidRPr="00D03F3E">
        <w:rPr>
          <w:rFonts w:ascii="Times New Roman" w:hAnsi="Times New Roman"/>
          <w:color w:val="000000" w:themeColor="text1"/>
          <w:sz w:val="16"/>
          <w:szCs w:val="16"/>
        </w:rPr>
        <w:t xml:space="preserve">с двигателями «М-88Б», экипаж Коккинаки В.К. «Ил-4» был основным советским дальним бомбардировщиком во время Великой Отечественной войны. Самолет имел обтекаемые формы фюзеляжа, убираемое в полете шасси, гладкую дюралевую обшивку. «Ил-4» брал на борт 1 т бомбовой нагрузки. Скорость на высоте 6 км достигала 400 км/ч. Высотные полеты самолета показали несоответствие расчетных характеристик «ТК-3» практическим данным, полученным в полетах до высоты 9300 м. Кроме того, воздушные винты «ВИШ-61ИФ» не обеспечивали самолету требуемой скороподъемности. В связи с этим на самолете «Ил-4ТК» предполагалось установить усовершенствованные турбокомпрессоры «ТК-М» и новые высотные воздушные винты «АВ-9Ф». Но эти работы так и не были выполнены. В условиях завоеванного в 1943 г. советской авиацией стратегического превосходства </w:t>
      </w:r>
      <w:r w:rsidRPr="00D03F3E">
        <w:rPr>
          <w:rFonts w:ascii="Times New Roman" w:hAnsi="Times New Roman"/>
          <w:color w:val="000000" w:themeColor="text1"/>
          <w:sz w:val="16"/>
          <w:szCs w:val="16"/>
        </w:rPr>
        <w:lastRenderedPageBreak/>
        <w:t xml:space="preserve">в воздухе обычные самолеты «Ил-4», сопровождаемые истребителями, успешно справлялись с выполнением поставленных перед ними боевых задач, и дальнейшая работа по совершенствованию самолета </w:t>
      </w:r>
      <w:hyperlink r:id="rId93" w:tgtFrame="_blank" w:history="1">
        <w:r w:rsidRPr="00D03F3E">
          <w:rPr>
            <w:rFonts w:ascii="Times New Roman" w:hAnsi="Times New Roman"/>
            <w:color w:val="000000" w:themeColor="text1"/>
            <w:sz w:val="16"/>
            <w:szCs w:val="16"/>
          </w:rPr>
          <w:t xml:space="preserve">«Ил-4ТК» </w:t>
        </w:r>
      </w:hyperlink>
      <w:r w:rsidRPr="00D03F3E">
        <w:rPr>
          <w:rFonts w:ascii="Times New Roman" w:hAnsi="Times New Roman"/>
          <w:color w:val="000000" w:themeColor="text1"/>
          <w:sz w:val="16"/>
          <w:szCs w:val="16"/>
        </w:rPr>
        <w:t>была признана нецелесообразной (15070).</w:t>
      </w:r>
    </w:p>
    <w:p w14:paraId="11F60DC7" w14:textId="77777777" w:rsidR="00530A1E" w:rsidRPr="00D03F3E" w:rsidRDefault="00530A1E" w:rsidP="00D03F3E">
      <w:pPr>
        <w:spacing w:after="0" w:line="240" w:lineRule="auto"/>
        <w:jc w:val="both"/>
        <w:rPr>
          <w:rFonts w:ascii="Times New Roman" w:hAnsi="Times New Roman"/>
          <w:color w:val="000000" w:themeColor="text1"/>
          <w:sz w:val="16"/>
          <w:szCs w:val="16"/>
        </w:rPr>
      </w:pPr>
    </w:p>
    <w:p w14:paraId="248CD292" w14:textId="77777777" w:rsidR="00CD455A" w:rsidRPr="00D03F3E" w:rsidRDefault="00CD455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16 марта 1943 года летчик-испытатель В. К. Коккинаки выполнил первый полет на высотном разведчи</w:t>
      </w:r>
      <w:r w:rsidRPr="00D03F3E">
        <w:rPr>
          <w:rFonts w:ascii="Times New Roman" w:hAnsi="Times New Roman"/>
          <w:color w:val="0070C0"/>
          <w:sz w:val="16"/>
          <w:szCs w:val="16"/>
        </w:rPr>
        <w:softHyphen/>
        <w:t>ке-бомбардировщике Ил-4 ТК с моторами М-88Б, ос</w:t>
      </w:r>
      <w:r w:rsidRPr="00D03F3E">
        <w:rPr>
          <w:rFonts w:ascii="Times New Roman" w:hAnsi="Times New Roman"/>
          <w:color w:val="0070C0"/>
          <w:sz w:val="16"/>
          <w:szCs w:val="16"/>
        </w:rPr>
        <w:softHyphen/>
        <w:t>нащенными турбокомпрессорами ТК-3. Встроенная гермокабина вентиляционного типа для летчика и штурмана должна была обеспечивать продолжи</w:t>
      </w:r>
      <w:r w:rsidRPr="00D03F3E">
        <w:rPr>
          <w:rFonts w:ascii="Times New Roman" w:hAnsi="Times New Roman"/>
          <w:color w:val="0070C0"/>
          <w:sz w:val="16"/>
          <w:szCs w:val="16"/>
        </w:rPr>
        <w:softHyphen/>
        <w:t>тельный полет в относительно комфортных услови</w:t>
      </w:r>
      <w:r w:rsidRPr="00D03F3E">
        <w:rPr>
          <w:rFonts w:ascii="Times New Roman" w:hAnsi="Times New Roman"/>
          <w:color w:val="0070C0"/>
          <w:sz w:val="16"/>
          <w:szCs w:val="16"/>
        </w:rPr>
        <w:softHyphen/>
        <w:t>ях на высотах около 11 км. Ожидалось, что большая высота станет защитой от истребителей противника. По этой причине на самолете отсутствовало стрелко</w:t>
      </w:r>
      <w:r w:rsidRPr="00D03F3E">
        <w:rPr>
          <w:rFonts w:ascii="Times New Roman" w:hAnsi="Times New Roman"/>
          <w:color w:val="0070C0"/>
          <w:sz w:val="16"/>
          <w:szCs w:val="16"/>
        </w:rPr>
        <w:softHyphen/>
        <w:t>вое вооружение, хотя еще в конце 1930-х на стратос</w:t>
      </w:r>
      <w:r w:rsidRPr="00D03F3E">
        <w:rPr>
          <w:rFonts w:ascii="Times New Roman" w:hAnsi="Times New Roman"/>
          <w:color w:val="0070C0"/>
          <w:sz w:val="16"/>
          <w:szCs w:val="16"/>
        </w:rPr>
        <w:softHyphen/>
        <w:t>ферном БОК-11 испытали дистанционно управляе</w:t>
      </w:r>
      <w:r w:rsidRPr="00D03F3E">
        <w:rPr>
          <w:rFonts w:ascii="Times New Roman" w:hAnsi="Times New Roman"/>
          <w:color w:val="0070C0"/>
          <w:sz w:val="16"/>
          <w:szCs w:val="16"/>
        </w:rPr>
        <w:softHyphen/>
        <w:t>мые пулеметные установки.</w:t>
      </w:r>
    </w:p>
    <w:p w14:paraId="4976E9C1" w14:textId="77777777" w:rsidR="00CD455A" w:rsidRPr="00D03F3E" w:rsidRDefault="00CD455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Однако достигнуть расчетную высоту так и не уда</w:t>
      </w:r>
      <w:r w:rsidRPr="00D03F3E">
        <w:rPr>
          <w:rFonts w:ascii="Times New Roman" w:hAnsi="Times New Roman"/>
          <w:color w:val="0070C0"/>
          <w:sz w:val="16"/>
          <w:szCs w:val="16"/>
        </w:rPr>
        <w:softHyphen/>
        <w:t>лось. Выше 9300 метров самолет не поднимался. Для доводки машины требовалось время. Но к середине 1943 года, когда советская авиация практически го</w:t>
      </w:r>
      <w:r w:rsidRPr="00D03F3E">
        <w:rPr>
          <w:rFonts w:ascii="Times New Roman" w:hAnsi="Times New Roman"/>
          <w:color w:val="0070C0"/>
          <w:sz w:val="16"/>
          <w:szCs w:val="16"/>
        </w:rPr>
        <w:softHyphen/>
        <w:t>сподствовала в небе, можно было обойтись и без стратосферного бомбардировщика</w:t>
      </w:r>
    </w:p>
    <w:p w14:paraId="71F26C39" w14:textId="77777777" w:rsidR="00CD455A" w:rsidRPr="00D03F3E" w:rsidRDefault="00CD455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том же году на первом экземпляре высотно</w:t>
      </w:r>
      <w:r w:rsidRPr="00D03F3E">
        <w:rPr>
          <w:rFonts w:ascii="Times New Roman" w:hAnsi="Times New Roman"/>
          <w:color w:val="0070C0"/>
          <w:sz w:val="16"/>
          <w:szCs w:val="16"/>
        </w:rPr>
        <w:softHyphen/>
        <w:t>го Ил-4 с турбокомпрессорами, но без гермокабины была достигнута высота 7100 метров на первой скоро</w:t>
      </w:r>
      <w:r w:rsidRPr="00D03F3E">
        <w:rPr>
          <w:rFonts w:ascii="Times New Roman" w:hAnsi="Times New Roman"/>
          <w:color w:val="0070C0"/>
          <w:sz w:val="16"/>
          <w:szCs w:val="16"/>
        </w:rPr>
        <w:softHyphen/>
        <w:t>сти нагнетателя и 9500 метров — на второй скорости (23188).</w:t>
      </w:r>
    </w:p>
    <w:p w14:paraId="7C2EC21C" w14:textId="77777777" w:rsidR="00CD455A" w:rsidRPr="00D03F3E" w:rsidRDefault="00CD455A" w:rsidP="00D03F3E">
      <w:pPr>
        <w:spacing w:after="0" w:line="240" w:lineRule="auto"/>
        <w:jc w:val="both"/>
        <w:rPr>
          <w:rFonts w:ascii="Times New Roman" w:hAnsi="Times New Roman"/>
          <w:color w:val="0070C0"/>
          <w:sz w:val="16"/>
          <w:szCs w:val="16"/>
        </w:rPr>
      </w:pPr>
    </w:p>
    <w:p w14:paraId="28D9B2AB" w14:textId="77777777" w:rsidR="00CD455A" w:rsidRPr="00D03F3E" w:rsidRDefault="00CD455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16 марта 1943 г. первый полет на Ил-4ТК совершил В.К. Коккинаки. Взлетный вес составлял 10593 кг. несколько больше расчетного за счет контрольно- измерительной аппаратуры. Первый этап заводских испытаний завершился 29 мая. Затем на самолете установили усовершенствованную гермокабину и 10 августа вновь подняли его в воздух. Результаты принесли разочарование. До предполагавшихся в проекте данных машина здорово недотягивала. Хотя считали, что крейсерский полет будет происходить на высоте 11000 м. выше 9300 м подняться не удавалось. Скорость также оказалась далека от желаемой. Причину нашли в несоответствии параметров ТК-3 расчетным и непригодности винтов ВИШ-61П. Последние заменили на четырехлопастные АВ-9. Но это не дало существенного сдвига. Далее перешли к более совершенным нагнетателям ТК-М. Первый полет с ними состоялся 16 сентября. Поднялись на 7500 м. Моторы работали неустойчиво. К этому времени в условиях перехода господства в воздухе к советской авиации потребность в высотной технике уже не стала столь насущной. 10 ноября 1943 г. Ильюшин распорядился прекратить работы по Ил-4ТК (21548).</w:t>
      </w:r>
    </w:p>
    <w:p w14:paraId="42A825C2" w14:textId="77777777" w:rsidR="00CD455A" w:rsidRPr="00D03F3E" w:rsidRDefault="00CD455A" w:rsidP="00D03F3E">
      <w:pPr>
        <w:spacing w:after="0" w:line="240" w:lineRule="auto"/>
        <w:jc w:val="both"/>
        <w:rPr>
          <w:rFonts w:ascii="Times New Roman" w:hAnsi="Times New Roman"/>
          <w:color w:val="0070C0"/>
          <w:sz w:val="16"/>
          <w:szCs w:val="16"/>
        </w:rPr>
      </w:pPr>
    </w:p>
    <w:p w14:paraId="3CDFF693" w14:textId="77777777" w:rsidR="00CD455A" w:rsidRPr="00D03F3E" w:rsidRDefault="00CD455A" w:rsidP="00D03F3E">
      <w:pPr>
        <w:spacing w:after="0" w:line="240" w:lineRule="auto"/>
        <w:jc w:val="both"/>
        <w:rPr>
          <w:rFonts w:ascii="Times New Roman" w:hAnsi="Times New Roman"/>
          <w:color w:val="0070C0"/>
          <w:sz w:val="16"/>
          <w:szCs w:val="16"/>
          <w:lang w:eastAsia="ru-RU" w:bidi="ru-RU"/>
        </w:rPr>
      </w:pPr>
      <w:r w:rsidRPr="00D03F3E">
        <w:rPr>
          <w:rFonts w:ascii="Times New Roman" w:hAnsi="Times New Roman"/>
          <w:color w:val="0070C0"/>
          <w:sz w:val="16"/>
          <w:szCs w:val="16"/>
          <w:lang w:eastAsia="ru-RU" w:bidi="ru-RU"/>
        </w:rPr>
        <w:t>На 16 марта 1943 г. в 132-м полку осталось 14 Ту-2. Восемь из них требо</w:t>
      </w:r>
      <w:r w:rsidRPr="00D03F3E">
        <w:rPr>
          <w:rFonts w:ascii="Times New Roman" w:hAnsi="Times New Roman"/>
          <w:color w:val="0070C0"/>
          <w:sz w:val="16"/>
          <w:szCs w:val="16"/>
          <w:lang w:eastAsia="ru-RU" w:bidi="ru-RU"/>
        </w:rPr>
        <w:softHyphen/>
        <w:t>вали замены одного или обоих моторов. Еще пять находились в разных местах по</w:t>
      </w:r>
      <w:r w:rsidRPr="00D03F3E">
        <w:rPr>
          <w:rFonts w:ascii="Times New Roman" w:hAnsi="Times New Roman"/>
          <w:color w:val="0070C0"/>
          <w:sz w:val="16"/>
          <w:szCs w:val="16"/>
          <w:lang w:eastAsia="ru-RU" w:bidi="ru-RU"/>
        </w:rPr>
        <w:softHyphen/>
        <w:t>сле вынужденных посадок. Для компенса</w:t>
      </w:r>
      <w:r w:rsidRPr="00D03F3E">
        <w:rPr>
          <w:rFonts w:ascii="Times New Roman" w:hAnsi="Times New Roman"/>
          <w:color w:val="0070C0"/>
          <w:sz w:val="16"/>
          <w:szCs w:val="16"/>
          <w:lang w:eastAsia="ru-RU" w:bidi="ru-RU"/>
        </w:rPr>
        <w:softHyphen/>
        <w:t>ции потерь полк получил три новых Ту-2, но это не могло в полной мере восстано</w:t>
      </w:r>
      <w:r w:rsidRPr="00D03F3E">
        <w:rPr>
          <w:rFonts w:ascii="Times New Roman" w:hAnsi="Times New Roman"/>
          <w:color w:val="0070C0"/>
          <w:sz w:val="16"/>
          <w:szCs w:val="16"/>
          <w:lang w:eastAsia="ru-RU" w:bidi="ru-RU"/>
        </w:rPr>
        <w:softHyphen/>
        <w:t>вить его боеспособность.13 апреля полк отозвали с фронта и отправили на пере</w:t>
      </w:r>
      <w:r w:rsidRPr="00D03F3E">
        <w:rPr>
          <w:rFonts w:ascii="Times New Roman" w:hAnsi="Times New Roman"/>
          <w:color w:val="0070C0"/>
          <w:sz w:val="16"/>
          <w:szCs w:val="16"/>
          <w:lang w:eastAsia="ru-RU" w:bidi="ru-RU"/>
        </w:rPr>
        <w:softHyphen/>
        <w:t>формирование в Йошкар-Олу. Десять ис</w:t>
      </w:r>
      <w:r w:rsidRPr="00D03F3E">
        <w:rPr>
          <w:rFonts w:ascii="Times New Roman" w:hAnsi="Times New Roman"/>
          <w:color w:val="0070C0"/>
          <w:sz w:val="16"/>
          <w:szCs w:val="16"/>
          <w:lang w:eastAsia="ru-RU" w:bidi="ru-RU"/>
        </w:rPr>
        <w:softHyphen/>
        <w:t>правных машин вместе с экипажами пе</w:t>
      </w:r>
      <w:r w:rsidRPr="00D03F3E">
        <w:rPr>
          <w:rFonts w:ascii="Times New Roman" w:hAnsi="Times New Roman"/>
          <w:color w:val="0070C0"/>
          <w:sz w:val="16"/>
          <w:szCs w:val="16"/>
          <w:lang w:eastAsia="ru-RU" w:bidi="ru-RU"/>
        </w:rPr>
        <w:softHyphen/>
        <w:t>редали 47-му гвардейскому дальнеразве</w:t>
      </w:r>
      <w:r w:rsidRPr="00D03F3E">
        <w:rPr>
          <w:rFonts w:ascii="Times New Roman" w:hAnsi="Times New Roman"/>
          <w:color w:val="0070C0"/>
          <w:sz w:val="16"/>
          <w:szCs w:val="16"/>
          <w:lang w:eastAsia="ru-RU" w:bidi="ru-RU"/>
        </w:rPr>
        <w:softHyphen/>
        <w:t>дывательному полку (гв. драп).</w:t>
      </w:r>
    </w:p>
    <w:p w14:paraId="770327C9" w14:textId="77777777" w:rsidR="00CD455A" w:rsidRPr="00D03F3E" w:rsidRDefault="00CD455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«Ложкой дегтя», образно говоря, для личного состава полка стала недостаточ</w:t>
      </w:r>
      <w:r w:rsidRPr="00D03F3E">
        <w:rPr>
          <w:rFonts w:ascii="Times New Roman" w:hAnsi="Times New Roman"/>
          <w:color w:val="0070C0"/>
          <w:sz w:val="16"/>
          <w:szCs w:val="16"/>
          <w:lang w:eastAsia="ru-RU" w:bidi="ru-RU"/>
        </w:rPr>
        <w:softHyphen/>
        <w:t>ная надежность моторов М-82. Барах</w:t>
      </w:r>
      <w:r w:rsidRPr="00D03F3E">
        <w:rPr>
          <w:rFonts w:ascii="Times New Roman" w:hAnsi="Times New Roman"/>
          <w:color w:val="0070C0"/>
          <w:sz w:val="16"/>
          <w:szCs w:val="16"/>
          <w:lang w:eastAsia="ru-RU" w:bidi="ru-RU"/>
        </w:rPr>
        <w:softHyphen/>
        <w:t>лили карбюраторы и магнето, быстро вы</w:t>
      </w:r>
      <w:r w:rsidRPr="00D03F3E">
        <w:rPr>
          <w:rFonts w:ascii="Times New Roman" w:hAnsi="Times New Roman"/>
          <w:color w:val="0070C0"/>
          <w:sz w:val="16"/>
          <w:szCs w:val="16"/>
          <w:lang w:eastAsia="ru-RU" w:bidi="ru-RU"/>
        </w:rPr>
        <w:softHyphen/>
        <w:t>ходили из строя свечи зажигания, встре</w:t>
      </w:r>
      <w:r w:rsidRPr="00D03F3E">
        <w:rPr>
          <w:rFonts w:ascii="Times New Roman" w:hAnsi="Times New Roman"/>
          <w:color w:val="0070C0"/>
          <w:sz w:val="16"/>
          <w:szCs w:val="16"/>
          <w:lang w:eastAsia="ru-RU" w:bidi="ru-RU"/>
        </w:rPr>
        <w:softHyphen/>
        <w:t>чались поломки нагнетателей. Перед ка</w:t>
      </w:r>
      <w:r w:rsidRPr="00D03F3E">
        <w:rPr>
          <w:rFonts w:ascii="Times New Roman" w:hAnsi="Times New Roman"/>
          <w:color w:val="0070C0"/>
          <w:sz w:val="16"/>
          <w:szCs w:val="16"/>
          <w:lang w:eastAsia="ru-RU" w:bidi="ru-RU"/>
        </w:rPr>
        <w:softHyphen/>
        <w:t>ждым вылетом требовалось тщательно проверять двигатели, восстанавливать ре</w:t>
      </w:r>
      <w:r w:rsidRPr="00D03F3E">
        <w:rPr>
          <w:rFonts w:ascii="Times New Roman" w:hAnsi="Times New Roman"/>
          <w:color w:val="0070C0"/>
          <w:sz w:val="16"/>
          <w:szCs w:val="16"/>
          <w:lang w:eastAsia="ru-RU" w:bidi="ru-RU"/>
        </w:rPr>
        <w:softHyphen/>
        <w:t>гулировку карбюраторов. За время испы</w:t>
      </w:r>
      <w:r w:rsidRPr="00D03F3E">
        <w:rPr>
          <w:rFonts w:ascii="Times New Roman" w:hAnsi="Times New Roman"/>
          <w:color w:val="0070C0"/>
          <w:sz w:val="16"/>
          <w:szCs w:val="16"/>
          <w:lang w:eastAsia="ru-RU" w:bidi="ru-RU"/>
        </w:rPr>
        <w:softHyphen/>
        <w:t>таний имели место 16 случаев полного или частичного отказа моторов в воз</w:t>
      </w:r>
      <w:r w:rsidRPr="00D03F3E">
        <w:rPr>
          <w:rFonts w:ascii="Times New Roman" w:hAnsi="Times New Roman"/>
          <w:color w:val="0070C0"/>
          <w:sz w:val="16"/>
          <w:szCs w:val="16"/>
          <w:lang w:eastAsia="ru-RU" w:bidi="ru-RU"/>
        </w:rPr>
        <w:softHyphen/>
        <w:t>духе и 12 случаев, когда это происходило на земле непосредственно перед выле</w:t>
      </w:r>
      <w:r w:rsidRPr="00D03F3E">
        <w:rPr>
          <w:rFonts w:ascii="Times New Roman" w:hAnsi="Times New Roman"/>
          <w:color w:val="0070C0"/>
          <w:sz w:val="16"/>
          <w:szCs w:val="16"/>
          <w:lang w:eastAsia="ru-RU" w:bidi="ru-RU"/>
        </w:rPr>
        <w:softHyphen/>
        <w:t>том. Из-за этого летчикам пришлось со</w:t>
      </w:r>
      <w:r w:rsidRPr="00D03F3E">
        <w:rPr>
          <w:rFonts w:ascii="Times New Roman" w:hAnsi="Times New Roman"/>
          <w:color w:val="0070C0"/>
          <w:sz w:val="16"/>
          <w:szCs w:val="16"/>
          <w:lang w:eastAsia="ru-RU" w:bidi="ru-RU"/>
        </w:rPr>
        <w:softHyphen/>
        <w:t>вершить 11 вынужденных посадок, в том числе три - с убранным шасси. При вы</w:t>
      </w:r>
      <w:r w:rsidRPr="00D03F3E">
        <w:rPr>
          <w:rFonts w:ascii="Times New Roman" w:hAnsi="Times New Roman"/>
          <w:color w:val="0070C0"/>
          <w:sz w:val="16"/>
          <w:szCs w:val="16"/>
          <w:lang w:eastAsia="ru-RU" w:bidi="ru-RU"/>
        </w:rPr>
        <w:softHyphen/>
        <w:t>нужденных посадках было разбито пять самолетов, которые списали. По разным причинам техническому составу потребо</w:t>
      </w:r>
      <w:r w:rsidRPr="00D03F3E">
        <w:rPr>
          <w:rFonts w:ascii="Times New Roman" w:hAnsi="Times New Roman"/>
          <w:color w:val="0070C0"/>
          <w:sz w:val="16"/>
          <w:szCs w:val="16"/>
          <w:lang w:eastAsia="ru-RU" w:bidi="ru-RU"/>
        </w:rPr>
        <w:softHyphen/>
        <w:t>валось сменить 17 моторов.</w:t>
      </w:r>
    </w:p>
    <w:p w14:paraId="4F1A47AC" w14:textId="77777777" w:rsidR="00CD455A" w:rsidRPr="00D03F3E" w:rsidRDefault="00CD455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Два Ту-2 разбились в катастрофах на своей территории. На долю непосред</w:t>
      </w:r>
      <w:r w:rsidRPr="00D03F3E">
        <w:rPr>
          <w:rFonts w:ascii="Times New Roman" w:hAnsi="Times New Roman"/>
          <w:color w:val="0070C0"/>
          <w:sz w:val="16"/>
          <w:szCs w:val="16"/>
          <w:lang w:eastAsia="ru-RU" w:bidi="ru-RU"/>
        </w:rPr>
        <w:softHyphen/>
        <w:t>ственно противника можно отнести лишь два самолета, не вернувшихся с бое</w:t>
      </w:r>
      <w:r w:rsidRPr="00D03F3E">
        <w:rPr>
          <w:rFonts w:ascii="Times New Roman" w:hAnsi="Times New Roman"/>
          <w:color w:val="0070C0"/>
          <w:sz w:val="16"/>
          <w:szCs w:val="16"/>
          <w:lang w:eastAsia="ru-RU" w:bidi="ru-RU"/>
        </w:rPr>
        <w:softHyphen/>
        <w:t>вых заданий по невыясненным причинам. Итого полк за время войсковых испыта</w:t>
      </w:r>
      <w:r w:rsidRPr="00D03F3E">
        <w:rPr>
          <w:rFonts w:ascii="Times New Roman" w:hAnsi="Times New Roman"/>
          <w:color w:val="0070C0"/>
          <w:sz w:val="16"/>
          <w:szCs w:val="16"/>
          <w:lang w:eastAsia="ru-RU" w:bidi="ru-RU"/>
        </w:rPr>
        <w:softHyphen/>
        <w:t>ний потерял девять бомбардировщиков в основном по небоевым причинам.</w:t>
      </w:r>
    </w:p>
    <w:p w14:paraId="3E3C82DA" w14:textId="77777777" w:rsidR="00CD455A" w:rsidRPr="00D03F3E" w:rsidRDefault="00CD455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На этом войсковые испытания бом</w:t>
      </w:r>
      <w:r w:rsidRPr="00D03F3E">
        <w:rPr>
          <w:rFonts w:ascii="Times New Roman" w:hAnsi="Times New Roman"/>
          <w:color w:val="0070C0"/>
          <w:sz w:val="16"/>
          <w:szCs w:val="16"/>
          <w:lang w:eastAsia="ru-RU" w:bidi="ru-RU"/>
        </w:rPr>
        <w:softHyphen/>
        <w:t>бардировщика завершились. Но деятель</w:t>
      </w:r>
      <w:r w:rsidRPr="00D03F3E">
        <w:rPr>
          <w:rFonts w:ascii="Times New Roman" w:hAnsi="Times New Roman"/>
          <w:color w:val="0070C0"/>
          <w:sz w:val="16"/>
          <w:szCs w:val="16"/>
          <w:lang w:eastAsia="ru-RU" w:bidi="ru-RU"/>
        </w:rPr>
        <w:softHyphen/>
        <w:t>ностью 132-го полка боевое примене</w:t>
      </w:r>
      <w:r w:rsidRPr="00D03F3E">
        <w:rPr>
          <w:rFonts w:ascii="Times New Roman" w:hAnsi="Times New Roman"/>
          <w:color w:val="0070C0"/>
          <w:sz w:val="16"/>
          <w:szCs w:val="16"/>
          <w:lang w:eastAsia="ru-RU" w:bidi="ru-RU"/>
        </w:rPr>
        <w:softHyphen/>
        <w:t>ние Ту-2, построенных в Омске, далеко не исчерпывалось. Всего на фронт попали 63 машины (21060).</w:t>
      </w:r>
    </w:p>
    <w:p w14:paraId="3274B838" w14:textId="77777777" w:rsidR="00CD455A" w:rsidRPr="00D03F3E" w:rsidRDefault="00CD455A" w:rsidP="00D03F3E">
      <w:pPr>
        <w:spacing w:after="0" w:line="240" w:lineRule="auto"/>
        <w:jc w:val="both"/>
        <w:rPr>
          <w:rFonts w:ascii="Times New Roman" w:hAnsi="Times New Roman"/>
          <w:color w:val="0070C0"/>
          <w:sz w:val="16"/>
          <w:szCs w:val="16"/>
          <w:lang w:eastAsia="ru-RU" w:bidi="ru-RU"/>
        </w:rPr>
      </w:pPr>
      <w:r w:rsidRPr="00D03F3E">
        <w:rPr>
          <w:rFonts w:ascii="Times New Roman" w:hAnsi="Times New Roman"/>
          <w:color w:val="0070C0"/>
          <w:sz w:val="16"/>
          <w:szCs w:val="16"/>
          <w:lang w:eastAsia="ru-RU" w:bidi="ru-RU"/>
        </w:rPr>
        <w:t>В конце ноября 1942 г. 12-й, которым ко</w:t>
      </w:r>
      <w:r w:rsidRPr="00D03F3E">
        <w:rPr>
          <w:rFonts w:ascii="Times New Roman" w:hAnsi="Times New Roman"/>
          <w:color w:val="0070C0"/>
          <w:sz w:val="16"/>
          <w:szCs w:val="16"/>
          <w:lang w:eastAsia="ru-RU" w:bidi="ru-RU"/>
        </w:rPr>
        <w:softHyphen/>
        <w:t>мандовал П.Х. Козырев, улетел на Калининский фронт для войсковых испытаний Ту-2. В боях полк понес значительные потери и был отве</w:t>
      </w:r>
      <w:r w:rsidRPr="00D03F3E">
        <w:rPr>
          <w:rFonts w:ascii="Times New Roman" w:hAnsi="Times New Roman"/>
          <w:color w:val="0070C0"/>
          <w:sz w:val="16"/>
          <w:szCs w:val="16"/>
          <w:lang w:eastAsia="ru-RU" w:bidi="ru-RU"/>
        </w:rPr>
        <w:softHyphen/>
        <w:t>ден в тыл, на подмосковный аэродром Кубинка, для пополнения. С августа 1943 г. во главе 12-го бап встал подполковник М.П. Васякин, летчик-испытатель, многое сделавший для успешного освоения Ту-2 экипажами (21060).</w:t>
      </w:r>
    </w:p>
    <w:p w14:paraId="42CBF9B6" w14:textId="77777777" w:rsidR="00CD455A" w:rsidRPr="00D03F3E" w:rsidRDefault="00CD455A" w:rsidP="00D03F3E">
      <w:pPr>
        <w:spacing w:after="0" w:line="240" w:lineRule="auto"/>
        <w:jc w:val="both"/>
        <w:rPr>
          <w:rFonts w:ascii="Times New Roman" w:hAnsi="Times New Roman"/>
          <w:color w:val="0070C0"/>
          <w:sz w:val="16"/>
          <w:szCs w:val="16"/>
        </w:rPr>
      </w:pPr>
    </w:p>
    <w:p w14:paraId="277B508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0CD1E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1B4EA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марта 1943 года вышел приказ № 300с НКБ</w:t>
      </w:r>
    </w:p>
    <w:p w14:paraId="6AA49D8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распоряжением СНК № 5560рс от 14 марта 1943 года:</w:t>
      </w:r>
    </w:p>
    <w:p w14:paraId="483B32F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Выделить Ленинградский филиал завода № 4 НКБ в самостоятельный завод, сохранив за ним прежнее наименование “ Государственный Союзный завод № 4 им. М.И. Калинина”.</w:t>
      </w:r>
    </w:p>
    <w:p w14:paraId="221FAE3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Присвоить заводу № 4 НКБ в Казани № 144 (5815, 20).</w:t>
      </w:r>
    </w:p>
    <w:p w14:paraId="346B1E1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6E35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марта 1943 г. представители НИИИС КА М. И. Куликов и А. И. Шестаков после ознакомления с работами ЛФТИ сделали заключение, что предлагаемые институтом пути модернизации РУС-2 не удовлетворяют требованиям заказчика и не могут быть положены в основу превращения этой станции в станцию орудийной наводки (11026).</w:t>
      </w:r>
    </w:p>
    <w:p w14:paraId="7B0134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43F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марта 1943 вышло Постановление ГКО № 3035 Об утверждении заявки НКВТ на поставки из США с 1 июля 1943 г. по 30 июня 1944 г. РГАНИР, Фонд ГКО, д. 97, лл. 10, 11-24 (11012).</w:t>
      </w:r>
    </w:p>
    <w:p w14:paraId="6D466F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239CF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марта 1943 вышло Постановление ГКО № 3036 Об увеличении в 1943 году производства никеля, меди, платины и палладия на Норильском никелевом комбинате НКВД СССР. (7089, 25-31,32-80).</w:t>
      </w:r>
    </w:p>
    <w:p w14:paraId="6B49693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55AF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марта 1943 вышло Постановление ГКО № 3037 О мероприятиях по добыче торфа в 1943 году торфопредприятиями Наркомата электростанций в Ленинградской области.РГАНИР, Фонд ГКО, д. 97, лл. 81-82, 83 (11012).</w:t>
      </w:r>
    </w:p>
    <w:p w14:paraId="443DA9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AB63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марта 1943 вышло Распоряжение ГКО № 3038. О поставках и испытании бронелиста из стали марки КМ-1 как заменителя стали МЗ-2 для изготовления бронекорпусов танков Т-34, Т-70.РГАНИР, Фонд ГКО, д. 97, лл. 84 (11012).</w:t>
      </w:r>
    </w:p>
    <w:p w14:paraId="261BA1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01ABE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42BD3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6612C8"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16 марта</w:t>
      </w:r>
      <w:r w:rsidRPr="00D03F3E">
        <w:rPr>
          <w:rFonts w:ascii="Times New Roman" w:hAnsi="Times New Roman"/>
          <w:color w:val="000000" w:themeColor="text1"/>
          <w:sz w:val="16"/>
          <w:szCs w:val="16"/>
        </w:rPr>
        <w:t xml:space="preserve"> в 1943 году утреннее сообщение Совинформбюро:</w:t>
      </w:r>
    </w:p>
    <w:p w14:paraId="16EB73CD"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16 марта наши войска вели бои на прежних направлениях.</w:t>
      </w:r>
    </w:p>
    <w:p w14:paraId="61C63DBD"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Вязьмы наши войска продолжали успешное наступление и заняли десятки населённых пунктов. Н-ская часть в ожесточённом бою за один крупный населённыйпункт истребила до 300 немецких солдат и офицеров. Овладев этим опорным пунктом противника, наши бойцы захватили 4 немецких танка, 5 орудий и склад боеприпасов. Юго-западнее Вязьмы наши части, преодолевая упорное сопротивление противника, продвигались вперёд.</w:t>
      </w:r>
    </w:p>
    <w:p w14:paraId="0D3B5354"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течения Северного Донца наши части в упорных боях уничтожили 32 немецких танка, 15 орудий и 40 автомашин с пехотой противника. В районе одного крупного населённого пункта гитлеровцы пытались форсировать водный рубеж. Наши подразделения отбили атаку противника и истребили до роты немецкойпехоты. На нашем минном поле подорвались самоходная пушка и 2 тяжёлых немецких танка.</w:t>
      </w:r>
    </w:p>
    <w:p w14:paraId="37F884EC"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войска вели огневой бой с противником. Артиллеристы и миномётчики разрушили 6 вражеских дзотов и взорвали 2 склада с боеприпасами. На другом участке разведчики Н-ской части проникли в тыл противника и в нескольких местах взорвали железнодорожный путь.</w:t>
      </w:r>
    </w:p>
    <w:p w14:paraId="54102F8B"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озера Ильмень бойцы Н-ской части, овладев вчера узлом обороны противника, захватили 3 танка, 2 орудия и другие трофеи. На другом участке наши подразделения ворвались в один населённый пункт и захватили у противника зенитную батарею, 15 пулемётов, более 100 винтовок и склад боеприпасов. В ночном бою уничтожено более 200 гитлеровцев.</w:t>
      </w:r>
    </w:p>
    <w:p w14:paraId="0BFCD139"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Киевской области, в течение месяца совершил несколько налётов на железнодорожные станции, занятые немцами. Советские патриоты истребили до 200 гитлеровцев и пустили под откос 7 немецких эшелонов с вооружением, боеприпасами и продовольствием. Уничтожено 7 паровозов и 140 вагонов. Партизаны захватили у противника 4 пулемёта, 164 винтовки, 13 пистолетов, 13.600 патронов и два склада хлеба, награбленного немцами у крестьян. Партизаны роздали хлеб населению.</w:t>
      </w:r>
    </w:p>
    <w:p w14:paraId="7CF3367E"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Недавно в деревню Поликарповка, Минской области, прибыл немецкий карательныйотряд. Крестьяне были предупреждены, что гитлеровцы хотят сжечь деревню и истребить всё население, и решили дорого продать свою жизнь. Все мужчины,женщины и подростки с топорами и вилами, под руководством колхозника Ахрема Васильевича Маркова бросились на немецких бандитов. Борьба безоружных, но мужественных советских патриотов против фашистских карателей длилась несколько </w:t>
      </w:r>
      <w:r w:rsidRPr="00D03F3E">
        <w:rPr>
          <w:rFonts w:ascii="Times New Roman" w:hAnsi="Times New Roman"/>
          <w:color w:val="000000" w:themeColor="text1"/>
          <w:sz w:val="16"/>
          <w:szCs w:val="16"/>
        </w:rPr>
        <w:lastRenderedPageBreak/>
        <w:t>часов. В неравном бою крестьяне и крестьянки деревни Поликарповка истребили 20 гитлеровцев. Многие крестьяне пали смертью храбрых, а остальные ушли в партизаны.».</w:t>
      </w:r>
    </w:p>
    <w:p w14:paraId="197E8838"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1943 году вечернее сообщение Совинформбюро:</w:t>
      </w:r>
    </w:p>
    <w:p w14:paraId="263C9D58"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16 марта наши войска вели бои на прежних направлениях.</w:t>
      </w:r>
    </w:p>
    <w:p w14:paraId="7E6CFA01"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марта частями нашей авиации па различных участках фронта уничтожено илиповреждено до 150 автомашин с войсками и грузами, подавлен огонь 20 артиллерийских и миномётных батарей, разбит железнодорожный эшелон, рассеяно и частью уничтожено до батальона пехоты противника.</w:t>
      </w:r>
    </w:p>
    <w:p w14:paraId="35BFEBAE"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Западного фронта, преодолевая сильное огневое сопротивление и контратаки противника, продолжали наступление и овладели рядом населённых пунктов. При взятии Холм-Жирковского наши части захватили у противника 42 танка, 19 орудий, 60 пулемётов, 18 миномётов, 10 тысяч снарядов и 50 тысяч патронов. Противник потерял только убитыми до 1.000 солдат и офицеров.</w:t>
      </w:r>
    </w:p>
    <w:p w14:paraId="1EC13AAB"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наши войска продолжали наступление и заняли 32 населённых пункта. Подразделения Н-ской части, выбив гитлеровцев из одного сильно укреплённого населённого пункта, захватили 3 немецких танка, 20.000 патронов, склад телефонного кабеля и другое военное имущество. Отступая из этого опорного пункта, немцы попали под перекрёстный пулемётный огонь и оставили до 300 трупов своих солдат и офицеров.</w:t>
      </w:r>
    </w:p>
    <w:p w14:paraId="75F47E65"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течения Северного Донца наши танкисты атаковали крупную колонну танков и мотопехоты противника. В результате танкового боя немцы были отброшены с большими для них потерями. На другом участке наши части отбили несколько атак противника и уничтожили 5 немецких танков, 6 автомашин и 10 повозок с боеприпасами. Огнём артиллерии рассеян батальон гитлеровцев, подходивший к месту боёв.</w:t>
      </w:r>
    </w:p>
    <w:p w14:paraId="3FA1E573"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озера Ильмень части Н-ского соединения очистили от противника лесной массив и заняли несколько населённых пунктов. Гитлеровцы оказывают упорное сопротивление, но под ударами советских бойцов вынуждены отступать.</w:t>
      </w:r>
    </w:p>
    <w:p w14:paraId="40EC30E3"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Только на одном узком участке истреблено свыше 200 немецких солдат и офицеров. Захвачены трофеи и пленные.</w:t>
      </w:r>
    </w:p>
    <w:p w14:paraId="401C5293"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воздушных боях и огнём зенитной артиллерии сбито 18 немецких самолётов.</w:t>
      </w:r>
    </w:p>
    <w:p w14:paraId="1998B0A4"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Орловской области, совершил налёт на два немецких гарнизона. Партизаны истребили 130 вражескихсолдат и офицеров и разгромили полицейскую управу. Другой отряд орловских партизан захватил у немецко-фашистских оккупантов 2 орудия, 6 миномётов, 14 пулемётов, 125 винтовок, 89 тысяч патронов, 3 склада с продовольствием и большое количество различного военного имущества. Партизанами взято в плен 80 гитлеровцев.</w:t>
      </w:r>
    </w:p>
    <w:p w14:paraId="11BD31E3"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деревне Желудки, Курской области: «За время своего хозяйничанья немецко-фашистские изверги разграбили деревню. Многих жителей немцы насильно угнали в Германию.Несмотря на свирепую полицейскую цензуру, к нам проникали душераздирающие письма наших односельчан, попавших на немецкую каторгу. Пошлите хоть немного продуктов,— писали они из фашистского плена, — нас здесь морят голодом.</w:t>
      </w:r>
    </w:p>
    <w:p w14:paraId="222F8EAF"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Накануне отступления команда немецких солдат подожгла нашу деревню. Из 43 домов сгорели 36 домов со всеми постройками и имуществом колхозников. Немцы пытались угнать с собой всё население деревни. Быстрое продвижение Красной Армии вызвало переполох среди гитлеровцев. Воспользовавшись суматохой изамешательством немцев, колхозники спаслись от фашистского рабства.</w:t>
      </w:r>
    </w:p>
    <w:p w14:paraId="1581926A"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Долго немцы бесчинствовали в нашем краю и глумились над советскими гражданами. Мы на собственном опыте испытали, что значит «новый порядок», который несут фашистские захватчики. Мы вовек не забудем злодеяний, совершённых гитлеровскими людоедами. Смерть и вечное проклятье им!» По поручению общего собрания крестьян деревни Желудки акт подписали: Матвей Жуляев, Ульяна Максимова, Евдокия Ванина.» (15070).</w:t>
      </w:r>
    </w:p>
    <w:p w14:paraId="26DAA0E2" w14:textId="77777777" w:rsidR="00530A1E" w:rsidRPr="00D03F3E" w:rsidRDefault="00530A1E" w:rsidP="00D03F3E">
      <w:pPr>
        <w:spacing w:after="0" w:line="240" w:lineRule="auto"/>
        <w:jc w:val="both"/>
        <w:rPr>
          <w:rFonts w:ascii="Times New Roman" w:hAnsi="Times New Roman"/>
          <w:color w:val="000000" w:themeColor="text1"/>
          <w:sz w:val="16"/>
          <w:szCs w:val="16"/>
        </w:rPr>
      </w:pPr>
    </w:p>
    <w:p w14:paraId="2C5AD6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 21 марта 1943 Ил-4 заминировали Таллиннский рейд, и уже 25 марта на одной из мин подорвался немецкий грузовой пароход Bungsberg водоизмещением 1504 брт., который шел с военным грузом из Германии на Восточный фронт. 25 мая на авиамине в районе о. Аэгна погиб немецкий сторожевой катер ORe35 из состава патрульной флотилии Ost Revel. Отмечены немецкие потери и в дальнейшем. Финский флот в том же году из-за подрыва на советских авиаминах лишился вооруженного ледокола Sisu и грузового парохода Dione. В 1943 авиация Балтфлота значительно увеличила масштабы минных постановок. Всего за год выставили 448 мин, в том числе 130 АМГ-1 и 318 более новых, типа А-1/А-1У. Потери противника возросли немедленно (2867,32).</w:t>
      </w:r>
    </w:p>
    <w:p w14:paraId="33EA2C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B6FD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16-го по 26-е марта 1943 удалось выставить 51 мину. При этом, 31 легла в районе Таллина, 18 - между полуостровом Поркалла-Удд и Хельсинки и две были сброшены аварийно. Фактически, в каждой ночной постановке принимали участие все исправные самолёты. Главную задачу выполняли пять - семь Ил-4, которые, вылетая одиночным порядком, успевали в течение ночи совершить по два вылета. В каждом случае самолет брал по одной АМГ-1 (лишь один раз - 26 марта - были сброшены шесть мин А-4, причем впервые «Ильюшины» поднимали по две таких мины), сбросить которую следовало с высоты 250 - 300 м. Огонь зениток на такой высоте был смертельно опасен, поэтому в каждом случае приходилось тщательно выбирать боевые курсы и корректировать их с изменением ПВО противника. При этом ДБ-3Б и СБ, как правило, использовались в составе отвлекающих сил. Таким же одиночным порядком в течение ночи они бомбили Таллинн или Хельсинки, отвлекая на себя огонь зенитных средств и маскируя постановку мин. Не редко для этих же целей привлекались экипажи МБР-2, Новых потерь удалось избежать, хотя 24 марта один из «илов» серьезно пострадал при вынужденной посадке. Поскольку на следующий день на подходах к Таллинну подорвался и затонул германский пароход «Бунгсберг» (1504 брт) с военным грузом, общий итог оказался в нашу пользу. Впрочем, если учесть, что успех был достигнут применением морально устаревших контактных мин, он являлся скорее случайным, чем закономерным (9965).</w:t>
      </w:r>
    </w:p>
    <w:p w14:paraId="3C3967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5244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16 марта 1943 г. в 132-м полку осталось 14 Ту-2. Восемь из них требовали замены одного или обоих моторов. Еще пять находились в разных местах после вынужденных посадок. Для компенсации потерь полк получил три новых Ту-2, но это не могло в полной мере восстановить его боеспособность. 13 апреля полк отозвали с фронта и отправили на переформирование в Йошкар- Олу. Десять исправных машин вместе с экипажами передали 47-му гвардейскому дальнеразведывательно- му полку. На этом войсковые испытания бомбардировщика завершились. Но деятельностью 132-го полка боевое применение Ту-2, построенных в Омске, далеко не исчерпывалось. Всего на фронт попали 63 машины (11988).</w:t>
      </w:r>
    </w:p>
    <w:p w14:paraId="4C0E69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FA2C2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марта 1943 немцы, воспользовавшись ошибками Ставки ВГК, Генерального штаба и ко</w:t>
      </w:r>
      <w:r w:rsidRPr="00D03F3E">
        <w:rPr>
          <w:rFonts w:ascii="Times New Roman" w:hAnsi="Times New Roman"/>
          <w:color w:val="000000" w:themeColor="text1"/>
          <w:sz w:val="16"/>
          <w:szCs w:val="16"/>
        </w:rPr>
        <w:softHyphen/>
        <w:t>мандующих Воронежским и Юго-За</w:t>
      </w:r>
      <w:r w:rsidRPr="00D03F3E">
        <w:rPr>
          <w:rFonts w:ascii="Times New Roman" w:hAnsi="Times New Roman"/>
          <w:color w:val="000000" w:themeColor="text1"/>
          <w:sz w:val="16"/>
          <w:szCs w:val="16"/>
        </w:rPr>
        <w:softHyphen/>
        <w:t>падным фронтами, провели мощное контрнаступление из района Люботина против войск Воронежско</w:t>
      </w:r>
      <w:r w:rsidRPr="00D03F3E">
        <w:rPr>
          <w:rFonts w:ascii="Times New Roman" w:hAnsi="Times New Roman"/>
          <w:color w:val="000000" w:themeColor="text1"/>
          <w:sz w:val="16"/>
          <w:szCs w:val="16"/>
        </w:rPr>
        <w:softHyphen/>
        <w:t>го фронта и вновь овладели Харьковом. 18 марта пал Белгород. Прорваться дальше на север против</w:t>
      </w:r>
      <w:r w:rsidRPr="00D03F3E">
        <w:rPr>
          <w:rFonts w:ascii="Times New Roman" w:hAnsi="Times New Roman"/>
          <w:color w:val="000000" w:themeColor="text1"/>
          <w:sz w:val="16"/>
          <w:szCs w:val="16"/>
        </w:rPr>
        <w:softHyphen/>
        <w:t>ник не смог — 20 -21 марта войска 21 -и армии генерала И.М. Чистякова и 1-й танковой армии генерала М.Е. Кату</w:t>
      </w:r>
      <w:r w:rsidRPr="00D03F3E">
        <w:rPr>
          <w:rFonts w:ascii="Times New Roman" w:hAnsi="Times New Roman"/>
          <w:color w:val="000000" w:themeColor="text1"/>
          <w:sz w:val="16"/>
          <w:szCs w:val="16"/>
        </w:rPr>
        <w:softHyphen/>
        <w:t>кова организовали крепкую оборону севернее Белгорода и в районе юж</w:t>
      </w:r>
      <w:r w:rsidRPr="00D03F3E">
        <w:rPr>
          <w:rFonts w:ascii="Times New Roman" w:hAnsi="Times New Roman"/>
          <w:color w:val="000000" w:themeColor="text1"/>
          <w:sz w:val="16"/>
          <w:szCs w:val="16"/>
        </w:rPr>
        <w:softHyphen/>
        <w:t>нее Обояни. С этого момента поло</w:t>
      </w:r>
      <w:r w:rsidRPr="00D03F3E">
        <w:rPr>
          <w:rFonts w:ascii="Times New Roman" w:hAnsi="Times New Roman"/>
          <w:color w:val="000000" w:themeColor="text1"/>
          <w:sz w:val="16"/>
          <w:szCs w:val="16"/>
        </w:rPr>
        <w:softHyphen/>
        <w:t>жение на фронте в районе Курска ста</w:t>
      </w:r>
      <w:r w:rsidRPr="00D03F3E">
        <w:rPr>
          <w:rFonts w:ascii="Times New Roman" w:hAnsi="Times New Roman"/>
          <w:color w:val="000000" w:themeColor="text1"/>
          <w:sz w:val="16"/>
          <w:szCs w:val="16"/>
        </w:rPr>
        <w:softHyphen/>
        <w:t>билизировалось. Обе сто</w:t>
      </w:r>
      <w:r w:rsidRPr="00D03F3E">
        <w:rPr>
          <w:rFonts w:ascii="Times New Roman" w:hAnsi="Times New Roman"/>
          <w:color w:val="000000" w:themeColor="text1"/>
          <w:sz w:val="16"/>
          <w:szCs w:val="16"/>
        </w:rPr>
        <w:softHyphen/>
        <w:t>роны стали готовиться к решающей схватке. Немецкое командова</w:t>
      </w:r>
      <w:r w:rsidRPr="00D03F3E">
        <w:rPr>
          <w:rFonts w:ascii="Times New Roman" w:hAnsi="Times New Roman"/>
          <w:color w:val="000000" w:themeColor="text1"/>
          <w:sz w:val="16"/>
          <w:szCs w:val="16"/>
        </w:rPr>
        <w:softHyphen/>
        <w:t>ние, рассчитывая восполь</w:t>
      </w:r>
      <w:r w:rsidRPr="00D03F3E">
        <w:rPr>
          <w:rFonts w:ascii="Times New Roman" w:hAnsi="Times New Roman"/>
          <w:color w:val="000000" w:themeColor="text1"/>
          <w:sz w:val="16"/>
          <w:szCs w:val="16"/>
        </w:rPr>
        <w:softHyphen/>
        <w:t>зоваться выгодным начер</w:t>
      </w:r>
      <w:r w:rsidRPr="00D03F3E">
        <w:rPr>
          <w:rFonts w:ascii="Times New Roman" w:hAnsi="Times New Roman"/>
          <w:color w:val="000000" w:themeColor="text1"/>
          <w:sz w:val="16"/>
          <w:szCs w:val="16"/>
        </w:rPr>
        <w:softHyphen/>
        <w:t>танием линии фронта, при</w:t>
      </w:r>
      <w:r w:rsidRPr="00D03F3E">
        <w:rPr>
          <w:rFonts w:ascii="Times New Roman" w:hAnsi="Times New Roman"/>
          <w:color w:val="000000" w:themeColor="text1"/>
          <w:sz w:val="16"/>
          <w:szCs w:val="16"/>
        </w:rPr>
        <w:softHyphen/>
        <w:t>ступило к подготовке двух встречных ударов из райо</w:t>
      </w:r>
      <w:r w:rsidRPr="00D03F3E">
        <w:rPr>
          <w:rFonts w:ascii="Times New Roman" w:hAnsi="Times New Roman"/>
          <w:color w:val="000000" w:themeColor="text1"/>
          <w:sz w:val="16"/>
          <w:szCs w:val="16"/>
        </w:rPr>
        <w:softHyphen/>
        <w:t>нов южнее Орла и север</w:t>
      </w:r>
      <w:r w:rsidRPr="00D03F3E">
        <w:rPr>
          <w:rFonts w:ascii="Times New Roman" w:hAnsi="Times New Roman"/>
          <w:color w:val="000000" w:themeColor="text1"/>
          <w:sz w:val="16"/>
          <w:szCs w:val="16"/>
        </w:rPr>
        <w:softHyphen/>
        <w:t>нее Харькова в общем на</w:t>
      </w:r>
      <w:r w:rsidRPr="00D03F3E">
        <w:rPr>
          <w:rFonts w:ascii="Times New Roman" w:hAnsi="Times New Roman"/>
          <w:color w:val="000000" w:themeColor="text1"/>
          <w:sz w:val="16"/>
          <w:szCs w:val="16"/>
        </w:rPr>
        <w:softHyphen/>
        <w:t>правлении на Курск, име</w:t>
      </w:r>
      <w:r w:rsidRPr="00D03F3E">
        <w:rPr>
          <w:rFonts w:ascii="Times New Roman" w:hAnsi="Times New Roman"/>
          <w:color w:val="000000" w:themeColor="text1"/>
          <w:sz w:val="16"/>
          <w:szCs w:val="16"/>
        </w:rPr>
        <w:softHyphen/>
        <w:t>ющих целью окружение и уничтожение войск Цент</w:t>
      </w:r>
      <w:r w:rsidRPr="00D03F3E">
        <w:rPr>
          <w:rFonts w:ascii="Times New Roman" w:hAnsi="Times New Roman"/>
          <w:color w:val="000000" w:themeColor="text1"/>
          <w:sz w:val="16"/>
          <w:szCs w:val="16"/>
        </w:rPr>
        <w:softHyphen/>
        <w:t>рального и Воронежского фронтов, занимавших Кур</w:t>
      </w:r>
      <w:r w:rsidRPr="00D03F3E">
        <w:rPr>
          <w:rFonts w:ascii="Times New Roman" w:hAnsi="Times New Roman"/>
          <w:color w:val="000000" w:themeColor="text1"/>
          <w:sz w:val="16"/>
          <w:szCs w:val="16"/>
        </w:rPr>
        <w:softHyphen/>
        <w:t>ский выступ, и получение свободы маневра для об</w:t>
      </w:r>
      <w:r w:rsidRPr="00D03F3E">
        <w:rPr>
          <w:rFonts w:ascii="Times New Roman" w:hAnsi="Times New Roman"/>
          <w:color w:val="000000" w:themeColor="text1"/>
          <w:sz w:val="16"/>
          <w:szCs w:val="16"/>
        </w:rPr>
        <w:softHyphen/>
        <w:t>хода Москвы по кратчай</w:t>
      </w:r>
      <w:r w:rsidRPr="00D03F3E">
        <w:rPr>
          <w:rFonts w:ascii="Times New Roman" w:hAnsi="Times New Roman"/>
          <w:color w:val="000000" w:themeColor="text1"/>
          <w:sz w:val="16"/>
          <w:szCs w:val="16"/>
        </w:rPr>
        <w:softHyphen/>
        <w:t>шему направлению. Расчет строился на создание решающего пре</w:t>
      </w:r>
      <w:r w:rsidRPr="00D03F3E">
        <w:rPr>
          <w:rFonts w:ascii="Times New Roman" w:hAnsi="Times New Roman"/>
          <w:color w:val="000000" w:themeColor="text1"/>
          <w:sz w:val="16"/>
          <w:szCs w:val="16"/>
        </w:rPr>
        <w:softHyphen/>
        <w:t>восходства в силах над войсками Крас</w:t>
      </w:r>
      <w:r w:rsidRPr="00D03F3E">
        <w:rPr>
          <w:rFonts w:ascii="Times New Roman" w:hAnsi="Times New Roman"/>
          <w:color w:val="000000" w:themeColor="text1"/>
          <w:sz w:val="16"/>
          <w:szCs w:val="16"/>
        </w:rPr>
        <w:softHyphen/>
        <w:t>ной Армии на главных направлениях удара и их быстрый разгром до под</w:t>
      </w:r>
      <w:r w:rsidRPr="00D03F3E">
        <w:rPr>
          <w:rFonts w:ascii="Times New Roman" w:hAnsi="Times New Roman"/>
          <w:color w:val="000000" w:themeColor="text1"/>
          <w:sz w:val="16"/>
          <w:szCs w:val="16"/>
        </w:rPr>
        <w:softHyphen/>
        <w:t>хода советских резервов из глубины. План наступления получил кодовое на</w:t>
      </w:r>
      <w:r w:rsidRPr="00D03F3E">
        <w:rPr>
          <w:rFonts w:ascii="Times New Roman" w:hAnsi="Times New Roman"/>
          <w:color w:val="000000" w:themeColor="text1"/>
          <w:sz w:val="16"/>
          <w:szCs w:val="16"/>
        </w:rPr>
        <w:softHyphen/>
        <w:t>звание "Цитадель" (10783).</w:t>
      </w:r>
    </w:p>
    <w:p w14:paraId="1B7CD2F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B574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March 16th, 1943: Armored Waffen-SS units of Heeresgruppe Sud (von Manstein) recapture Charkov (3819).</w:t>
      </w:r>
    </w:p>
    <w:p w14:paraId="324892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2AA5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марта 1943 танковые части СС Группы Юг (фон Манштейн) отбили Харьков (3819).</w:t>
      </w:r>
    </w:p>
    <w:p w14:paraId="701FED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DD5DB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марта 1943 фашистские войска вновь взяли Харьков (4962).</w:t>
      </w:r>
    </w:p>
    <w:p w14:paraId="2E61B2A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0FF48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0024D7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7B92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марта 1943 года</w:t>
      </w:r>
    </w:p>
    <w:p w14:paraId="3FA8AE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СТРОГО СЕКРЕТНОЕ И ЛИЧНОЕ ПОСЛАНИЕ ПРЕМЬЕРА И. В. СТАЛИНА ПРЕЗИДЕНТУ РУЗВЕЛЬТУ</w:t>
      </w:r>
    </w:p>
    <w:p w14:paraId="454B94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Теперь, когда я получил ответ г. Черчилля на мое послание от 16 февраля, я считаю своим долгом ответить на Ваше послание от 22 февраля, которое было ответом также на мое послание от 16 февраля.</w:t>
      </w:r>
    </w:p>
    <w:p w14:paraId="7F82AF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послания г. Черчилля я узнал, что англо-американские операции в Северной Африке не только не ускоряются, но откладываются на конец апреля, причем даже и этот срок указывается не совсем определенно. Таким образом, в самый напряженный период боев против гитлеровских войск, в период февраль — март, англо-американское наступление в Северной Африке не только не форсировалось, но и вообще не проводилось, а намеченные для него сроки отложены. Тем временем Германия уже успела перебросить с Запада против советских войск 36 дивизий, из них 6 дивизий танковых. Легко понять, какие затруднения это создало для советской армии и как это облегчило положение немцев на советско-германском фронте.</w:t>
      </w:r>
    </w:p>
    <w:p w14:paraId="538D8B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Г-н Черчилль.сообщил также мне, что операция англо-американских войск против Сицилии намечается на июнь месяц. При всей важности этой операции, она, конечно, не заменит собой второго фронта во Франции. Но я, разумеется, всячески приветствую намеченное ускорение ее проведения.</w:t>
      </w:r>
    </w:p>
    <w:p w14:paraId="783BE0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Вместе с тем я считаю своим долгом заявить, что главным вопросом является ускорение открытия второго фронта во Франции. Как Вы помните, открытие второго </w:t>
      </w:r>
      <w:r w:rsidRPr="00D03F3E">
        <w:rPr>
          <w:rFonts w:ascii="Times New Roman" w:hAnsi="Times New Roman"/>
          <w:color w:val="000000" w:themeColor="text1"/>
          <w:sz w:val="16"/>
          <w:szCs w:val="16"/>
        </w:rPr>
        <w:lastRenderedPageBreak/>
        <w:t>фронта и Вами и г. Черчиллем допускалось еще в 1942 году и, во всяком случае, не позже как весной этого года. Для этого были достаточно серьезные мотивы. Понятно поэтому, что в своем послании от 16 февраля я подчеркивал необходимость осуществления удара с Запада не позже чем весной или в начале лета этого года</w:t>
      </w:r>
    </w:p>
    <w:p w14:paraId="2C13E2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того как советские войска провели всю зиму в напряженнейших боях и продолжают их еще сейчас, а Гитлер проводит новее крупное мероприятие по восстановлению и увеличению своей армии к весенним и летним операциям против СССР, нам особенно важно, чтобы удар с Запада больше не откладывался, чтобы этот удар был нанесен весной или в начале лета.</w:t>
      </w:r>
    </w:p>
    <w:p w14:paraId="11F79F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 признаю наличие немалых трудностей, проистекающих из недостатка транспортных средств, о которых Вы сообщаете в своем послании. И тем не менее я считаю нужным со всей настойчивостью предупредить, с точки зрения интересов нашего общего дела, о серьезной опасности дальнейшего промедления с открытием второго фронта во Франции. Поэтому неопределенность как Вашего ответа, так и ответа г. Черчилля по вопросу об открытии второго фронта во Франции вызывает у меня тревогу, о которой я не могу умолчать (7430).</w:t>
      </w:r>
    </w:p>
    <w:p w14:paraId="63B6CB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A9EB2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D03F3E">
        <w:rPr>
          <w:rFonts w:ascii="Times New Roman" w:hAnsi="Times New Roman"/>
          <w:i/>
          <w:iCs/>
          <w:color w:val="000000" w:themeColor="text1"/>
          <w:sz w:val="16"/>
          <w:szCs w:val="16"/>
        </w:rPr>
        <w:t>За</w:t>
      </w:r>
      <w:r w:rsidRPr="00D03F3E">
        <w:rPr>
          <w:rFonts w:ascii="Times New Roman" w:hAnsi="Times New Roman"/>
          <w:i/>
          <w:iCs/>
          <w:color w:val="000000" w:themeColor="text1"/>
          <w:sz w:val="16"/>
          <w:szCs w:val="16"/>
          <w:lang w:val="en-US"/>
        </w:rPr>
        <w:t xml:space="preserve"> </w:t>
      </w:r>
      <w:r w:rsidRPr="00D03F3E">
        <w:rPr>
          <w:rFonts w:ascii="Times New Roman" w:hAnsi="Times New Roman"/>
          <w:i/>
          <w:iCs/>
          <w:color w:val="000000" w:themeColor="text1"/>
          <w:sz w:val="16"/>
          <w:szCs w:val="16"/>
        </w:rPr>
        <w:t>рубежом</w:t>
      </w:r>
      <w:r w:rsidRPr="00D03F3E">
        <w:rPr>
          <w:rFonts w:ascii="Times New Roman" w:hAnsi="Times New Roman"/>
          <w:i/>
          <w:iCs/>
          <w:color w:val="000000" w:themeColor="text1"/>
          <w:sz w:val="16"/>
          <w:szCs w:val="16"/>
          <w:lang w:val="en-US"/>
        </w:rPr>
        <w:t>:</w:t>
      </w:r>
    </w:p>
    <w:p w14:paraId="6FAF28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386560FE" w14:textId="77777777" w:rsidR="0022218B" w:rsidRPr="00D03F3E" w:rsidRDefault="0022218B" w:rsidP="00D03F3E">
      <w:pPr>
        <w:spacing w:after="0" w:line="240" w:lineRule="auto"/>
        <w:jc w:val="both"/>
        <w:rPr>
          <w:rFonts w:ascii="Times New Roman" w:hAnsi="Times New Roman"/>
          <w:color w:val="0070C0"/>
          <w:sz w:val="16"/>
          <w:szCs w:val="16"/>
          <w:lang w:val="en-US"/>
        </w:rPr>
      </w:pPr>
      <w:r w:rsidRPr="00D03F3E">
        <w:rPr>
          <w:rFonts w:ascii="Times New Roman" w:hAnsi="Times New Roman"/>
          <w:color w:val="0070C0"/>
          <w:sz w:val="16"/>
          <w:szCs w:val="16"/>
        </w:rPr>
        <w:t>16 марта 1945 года фирме Белл заказали еще один, третий, экспериментальный самолет. Самолеты</w:t>
      </w:r>
      <w:r w:rsidRPr="00D03F3E">
        <w:rPr>
          <w:rFonts w:ascii="Times New Roman" w:hAnsi="Times New Roman"/>
          <w:color w:val="0070C0"/>
          <w:sz w:val="16"/>
          <w:szCs w:val="16"/>
          <w:lang w:val="en-US"/>
        </w:rPr>
        <w:t xml:space="preserve"> XS-1 </w:t>
      </w:r>
      <w:r w:rsidRPr="00D03F3E">
        <w:rPr>
          <w:rFonts w:ascii="Times New Roman" w:hAnsi="Times New Roman"/>
          <w:color w:val="0070C0"/>
          <w:sz w:val="16"/>
          <w:szCs w:val="16"/>
        </w:rPr>
        <w:t>получили</w:t>
      </w:r>
      <w:r w:rsidRPr="00D03F3E">
        <w:rPr>
          <w:rFonts w:ascii="Times New Roman" w:hAnsi="Times New Roman"/>
          <w:color w:val="0070C0"/>
          <w:sz w:val="16"/>
          <w:szCs w:val="16"/>
          <w:lang w:val="en-US"/>
        </w:rPr>
        <w:t xml:space="preserve"> </w:t>
      </w:r>
      <w:r w:rsidRPr="00D03F3E">
        <w:rPr>
          <w:rFonts w:ascii="Times New Roman" w:hAnsi="Times New Roman"/>
          <w:color w:val="0070C0"/>
          <w:sz w:val="16"/>
          <w:szCs w:val="16"/>
        </w:rPr>
        <w:t>регистрационные</w:t>
      </w:r>
      <w:r w:rsidRPr="00D03F3E">
        <w:rPr>
          <w:rFonts w:ascii="Times New Roman" w:hAnsi="Times New Roman"/>
          <w:color w:val="0070C0"/>
          <w:sz w:val="16"/>
          <w:szCs w:val="16"/>
          <w:lang w:val="en-US"/>
        </w:rPr>
        <w:t xml:space="preserve"> </w:t>
      </w:r>
      <w:r w:rsidRPr="00D03F3E">
        <w:rPr>
          <w:rFonts w:ascii="Times New Roman" w:hAnsi="Times New Roman"/>
          <w:color w:val="0070C0"/>
          <w:sz w:val="16"/>
          <w:szCs w:val="16"/>
        </w:rPr>
        <w:t>номера</w:t>
      </w:r>
      <w:r w:rsidRPr="00D03F3E">
        <w:rPr>
          <w:rFonts w:ascii="Times New Roman" w:hAnsi="Times New Roman"/>
          <w:color w:val="0070C0"/>
          <w:sz w:val="16"/>
          <w:szCs w:val="16"/>
          <w:lang w:val="en-US"/>
        </w:rPr>
        <w:t xml:space="preserve">: №1 — 46-062, №2 — 46- 063, </w:t>
      </w:r>
      <w:r w:rsidRPr="00D03F3E">
        <w:rPr>
          <w:rFonts w:ascii="Times New Roman" w:hAnsi="Times New Roman"/>
          <w:color w:val="0070C0"/>
          <w:sz w:val="16"/>
          <w:szCs w:val="16"/>
        </w:rPr>
        <w:t>и</w:t>
      </w:r>
      <w:r w:rsidRPr="00D03F3E">
        <w:rPr>
          <w:rFonts w:ascii="Times New Roman" w:hAnsi="Times New Roman"/>
          <w:color w:val="0070C0"/>
          <w:sz w:val="16"/>
          <w:szCs w:val="16"/>
          <w:lang w:val="en-US"/>
        </w:rPr>
        <w:t xml:space="preserve"> №3 — 46-064 (22921).</w:t>
      </w:r>
    </w:p>
    <w:p w14:paraId="2446BC8D" w14:textId="77777777" w:rsidR="0022218B" w:rsidRPr="00D03F3E" w:rsidRDefault="0022218B" w:rsidP="00D03F3E">
      <w:pPr>
        <w:spacing w:after="0" w:line="240" w:lineRule="auto"/>
        <w:jc w:val="both"/>
        <w:rPr>
          <w:rFonts w:ascii="Times New Roman" w:hAnsi="Times New Roman"/>
          <w:color w:val="0070C0"/>
          <w:sz w:val="16"/>
          <w:szCs w:val="16"/>
          <w:lang w:val="en-US"/>
        </w:rPr>
      </w:pPr>
    </w:p>
    <w:p w14:paraId="2DB002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March 16-20 1943 Battle of Atlantic climaxes with 27 merchant ships sunk by German U-boats (1050).</w:t>
      </w:r>
    </w:p>
    <w:p w14:paraId="546CD9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ED90F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16-20 марта 1943 был пик битвы за Атлантику и немецкие подложки потопили 27 судов (1050).</w:t>
      </w:r>
    </w:p>
    <w:p w14:paraId="1846BB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9C49D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2C9F9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634A4C" w14:textId="77777777" w:rsidR="00AC5101" w:rsidRPr="00D03F3E" w:rsidRDefault="00AC510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17 марта по 8 апреля 1943 в НИИ ВВС А.Прошаков и ви Г.Седов в испытывали Як-9П (пушечный) с 2хШВАК (4237,22).</w:t>
      </w:r>
    </w:p>
    <w:p w14:paraId="51262DC2" w14:textId="77777777" w:rsidR="00AC5101" w:rsidRPr="00D03F3E" w:rsidRDefault="00AC510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B657C0"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марта 1943 г. Акт по испыт. винта ВИШ-105Д-70 на с-те Як-9</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3164"/>
        <w:gridCol w:w="1607"/>
        <w:gridCol w:w="1687"/>
        <w:gridCol w:w="4417"/>
      </w:tblGrid>
      <w:tr w:rsidR="00860B4B" w:rsidRPr="00D03F3E" w14:paraId="7A368792" w14:textId="77777777" w:rsidTr="00AC5101">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2E51264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Винт ВИШ-105Д-70.    Производство завода № 27 и № 383.    Конструктор Заславский, Бас-Дубов и Целиков.</w:t>
            </w:r>
          </w:p>
        </w:tc>
      </w:tr>
      <w:tr w:rsidR="00860B4B" w:rsidRPr="00D03F3E" w14:paraId="49D8355F"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8FBF01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143571C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159A7B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Предназначен для</w:t>
            </w:r>
          </w:p>
          <w:p w14:paraId="478416E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170A78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Як-1, Як-7Б, Як-9 и Лагг-3 с мотором М-105П и М-105ПФ.</w:t>
            </w:r>
          </w:p>
        </w:tc>
      </w:tr>
      <w:tr w:rsidR="00860B4B" w:rsidRPr="00D03F3E" w14:paraId="6AF85E87"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68447F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1BCAA3E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7FDC8F4" w14:textId="77777777" w:rsidR="00AC5101" w:rsidRPr="00D03F3E" w:rsidRDefault="00AC5101" w:rsidP="00D03F3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E1306CA" w14:textId="77777777" w:rsidR="00AC5101" w:rsidRPr="00D03F3E" w:rsidRDefault="00AC5101" w:rsidP="00D03F3E">
            <w:pPr>
              <w:spacing w:after="0" w:line="240" w:lineRule="auto"/>
              <w:jc w:val="both"/>
              <w:rPr>
                <w:rFonts w:ascii="Times New Roman" w:hAnsi="Times New Roman"/>
                <w:color w:val="000000" w:themeColor="text1"/>
                <w:sz w:val="16"/>
                <w:szCs w:val="16"/>
              </w:rPr>
            </w:pPr>
          </w:p>
        </w:tc>
      </w:tr>
      <w:tr w:rsidR="00860B4B" w:rsidRPr="00D03F3E" w14:paraId="67BEA9C4"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54F57A7"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5FE29030"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11C25835" w14:textId="77777777" w:rsidR="00AC5101" w:rsidRPr="00D03F3E" w:rsidRDefault="00AC5101" w:rsidP="00D03F3E">
            <w:pPr>
              <w:spacing w:after="0" w:line="240" w:lineRule="auto"/>
              <w:jc w:val="both"/>
              <w:rPr>
                <w:rFonts w:ascii="Times New Roman" w:hAnsi="Times New Roman"/>
                <w:color w:val="000000" w:themeColor="text1"/>
                <w:sz w:val="16"/>
                <w:szCs w:val="16"/>
              </w:rPr>
            </w:pPr>
          </w:p>
        </w:tc>
      </w:tr>
      <w:tr w:rsidR="00860B4B" w:rsidRPr="00D03F3E" w14:paraId="0233E293"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883AD1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0E94A3A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дерево</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757E688" w14:textId="77777777" w:rsidR="00AC5101" w:rsidRPr="00D03F3E" w:rsidRDefault="00AC5101" w:rsidP="00D03F3E">
            <w:pPr>
              <w:spacing w:after="0" w:line="240" w:lineRule="auto"/>
              <w:jc w:val="both"/>
              <w:rPr>
                <w:rFonts w:ascii="Times New Roman" w:hAnsi="Times New Roman"/>
                <w:color w:val="000000" w:themeColor="text1"/>
                <w:sz w:val="16"/>
                <w:szCs w:val="16"/>
              </w:rPr>
            </w:pPr>
          </w:p>
        </w:tc>
      </w:tr>
      <w:tr w:rsidR="00860B4B" w:rsidRPr="00D03F3E" w14:paraId="390F175A"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B87DBE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460CC14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25EC742" w14:textId="77777777" w:rsidR="00AC5101" w:rsidRPr="00D03F3E" w:rsidRDefault="00AC5101" w:rsidP="00D03F3E">
            <w:pPr>
              <w:spacing w:after="0" w:line="240" w:lineRule="auto"/>
              <w:jc w:val="both"/>
              <w:rPr>
                <w:rFonts w:ascii="Times New Roman" w:hAnsi="Times New Roman"/>
                <w:color w:val="000000" w:themeColor="text1"/>
                <w:sz w:val="16"/>
                <w:szCs w:val="16"/>
              </w:rPr>
            </w:pPr>
          </w:p>
        </w:tc>
      </w:tr>
      <w:tr w:rsidR="00860B4B" w:rsidRPr="00D03F3E" w14:paraId="65F61E30"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2FFB29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7672E4A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0B9E0E9" w14:textId="77777777" w:rsidR="00AC5101" w:rsidRPr="00D03F3E" w:rsidRDefault="00AC5101" w:rsidP="00D03F3E">
            <w:pPr>
              <w:spacing w:after="0" w:line="240" w:lineRule="auto"/>
              <w:jc w:val="both"/>
              <w:rPr>
                <w:rFonts w:ascii="Times New Roman" w:hAnsi="Times New Roman"/>
                <w:color w:val="000000" w:themeColor="text1"/>
                <w:sz w:val="16"/>
                <w:szCs w:val="16"/>
              </w:rPr>
            </w:pPr>
          </w:p>
        </w:tc>
      </w:tr>
      <w:tr w:rsidR="00860B4B" w:rsidRPr="00D03F3E" w14:paraId="27AF50F0"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DF10595"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126FFF6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DA680FD" w14:textId="77777777" w:rsidR="00AC5101" w:rsidRPr="00D03F3E" w:rsidRDefault="00AC5101" w:rsidP="00D03F3E">
            <w:pPr>
              <w:spacing w:after="0" w:line="240" w:lineRule="auto"/>
              <w:jc w:val="both"/>
              <w:rPr>
                <w:rFonts w:ascii="Times New Roman" w:hAnsi="Times New Roman"/>
                <w:color w:val="000000" w:themeColor="text1"/>
                <w:sz w:val="16"/>
                <w:szCs w:val="16"/>
              </w:rPr>
            </w:pPr>
          </w:p>
        </w:tc>
      </w:tr>
      <w:tr w:rsidR="00860B4B" w:rsidRPr="00D03F3E" w14:paraId="69CD9306"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BC0D7B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00212B4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w:t>
            </w:r>
          </w:p>
          <w:p w14:paraId="13851BE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модифицир.</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48D3F98" w14:textId="77777777" w:rsidR="00AC5101" w:rsidRPr="00D03F3E" w:rsidRDefault="00AC5101" w:rsidP="00D03F3E">
            <w:pPr>
              <w:spacing w:after="0" w:line="240" w:lineRule="auto"/>
              <w:jc w:val="both"/>
              <w:rPr>
                <w:rFonts w:ascii="Times New Roman" w:hAnsi="Times New Roman"/>
                <w:color w:val="000000" w:themeColor="text1"/>
                <w:sz w:val="16"/>
                <w:szCs w:val="16"/>
              </w:rPr>
            </w:pPr>
          </w:p>
        </w:tc>
      </w:tr>
      <w:tr w:rsidR="00860B4B" w:rsidRPr="00D03F3E" w14:paraId="2F7247F4"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E8E334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0053274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116B6DF" w14:textId="77777777" w:rsidR="00AC5101" w:rsidRPr="00D03F3E" w:rsidRDefault="00AC5101" w:rsidP="00D03F3E">
            <w:pPr>
              <w:spacing w:after="0" w:line="240" w:lineRule="auto"/>
              <w:jc w:val="both"/>
              <w:rPr>
                <w:rFonts w:ascii="Times New Roman" w:hAnsi="Times New Roman"/>
                <w:color w:val="000000" w:themeColor="text1"/>
                <w:sz w:val="16"/>
                <w:szCs w:val="16"/>
              </w:rPr>
            </w:pPr>
          </w:p>
        </w:tc>
      </w:tr>
      <w:tr w:rsidR="00860B4B" w:rsidRPr="00D03F3E" w14:paraId="256A2278"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E3F33A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Минимальный установочный угол</w:t>
            </w:r>
          </w:p>
          <w:p w14:paraId="69ADCC8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4B8B899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329608F" w14:textId="77777777" w:rsidR="00AC5101" w:rsidRPr="00D03F3E" w:rsidRDefault="00AC5101" w:rsidP="00D03F3E">
            <w:pPr>
              <w:spacing w:after="0" w:line="240" w:lineRule="auto"/>
              <w:jc w:val="both"/>
              <w:rPr>
                <w:rFonts w:ascii="Times New Roman" w:hAnsi="Times New Roman"/>
                <w:color w:val="000000" w:themeColor="text1"/>
                <w:sz w:val="16"/>
                <w:szCs w:val="16"/>
              </w:rPr>
            </w:pPr>
          </w:p>
        </w:tc>
      </w:tr>
      <w:tr w:rsidR="00860B4B" w:rsidRPr="00D03F3E" w14:paraId="59AB1527"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3B92B3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1BC8E3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9A9944C" w14:textId="77777777" w:rsidR="00AC5101" w:rsidRPr="00D03F3E" w:rsidRDefault="00AC5101" w:rsidP="00D03F3E">
            <w:pPr>
              <w:spacing w:after="0" w:line="240" w:lineRule="auto"/>
              <w:jc w:val="both"/>
              <w:rPr>
                <w:rFonts w:ascii="Times New Roman" w:hAnsi="Times New Roman"/>
                <w:color w:val="000000" w:themeColor="text1"/>
                <w:sz w:val="16"/>
                <w:szCs w:val="16"/>
              </w:rPr>
            </w:pPr>
          </w:p>
        </w:tc>
      </w:tr>
      <w:tr w:rsidR="00860B4B" w:rsidRPr="00D03F3E" w14:paraId="21A304A2"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357687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B4E606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8D5802D" w14:textId="77777777" w:rsidR="00AC5101" w:rsidRPr="00D03F3E" w:rsidRDefault="00AC5101" w:rsidP="00D03F3E">
            <w:pPr>
              <w:spacing w:after="0" w:line="240" w:lineRule="auto"/>
              <w:jc w:val="both"/>
              <w:rPr>
                <w:rFonts w:ascii="Times New Roman" w:hAnsi="Times New Roman"/>
                <w:color w:val="000000" w:themeColor="text1"/>
                <w:sz w:val="16"/>
                <w:szCs w:val="16"/>
              </w:rPr>
            </w:pPr>
          </w:p>
        </w:tc>
      </w:tr>
      <w:tr w:rsidR="00860B4B" w:rsidRPr="00D03F3E" w14:paraId="113ACA95"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5F57CD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35C4051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C046F9E" w14:textId="77777777" w:rsidR="00AC5101" w:rsidRPr="00D03F3E" w:rsidRDefault="00AC5101" w:rsidP="00D03F3E">
            <w:pPr>
              <w:spacing w:after="0" w:line="240" w:lineRule="auto"/>
              <w:jc w:val="both"/>
              <w:rPr>
                <w:rFonts w:ascii="Times New Roman" w:hAnsi="Times New Roman"/>
                <w:color w:val="000000" w:themeColor="text1"/>
                <w:sz w:val="16"/>
                <w:szCs w:val="16"/>
              </w:rPr>
            </w:pPr>
          </w:p>
        </w:tc>
      </w:tr>
      <w:tr w:rsidR="00860B4B" w:rsidRPr="00D03F3E" w14:paraId="13FF3162"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77A62D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D2F7C9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0,666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1CCAC6A" w14:textId="77777777" w:rsidR="00AC5101" w:rsidRPr="00D03F3E" w:rsidRDefault="00AC5101" w:rsidP="00D03F3E">
            <w:pPr>
              <w:spacing w:after="0" w:line="240" w:lineRule="auto"/>
              <w:jc w:val="both"/>
              <w:rPr>
                <w:rFonts w:ascii="Times New Roman" w:hAnsi="Times New Roman"/>
                <w:color w:val="000000" w:themeColor="text1"/>
                <w:sz w:val="16"/>
                <w:szCs w:val="16"/>
              </w:rPr>
            </w:pPr>
          </w:p>
        </w:tc>
      </w:tr>
      <w:tr w:rsidR="00860B4B" w:rsidRPr="00D03F3E" w14:paraId="691171DB"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0162C0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2DA407E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08D0BA7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Состояние</w:t>
            </w:r>
          </w:p>
          <w:p w14:paraId="4A8EE10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65C2D1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Винт испытания прошел удовлетворительно.</w:t>
            </w:r>
          </w:p>
          <w:p w14:paraId="793B0A9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Рекомендован для эксплоатации в зап. полках и школах ВВС КА.</w:t>
            </w:r>
          </w:p>
        </w:tc>
      </w:tr>
      <w:tr w:rsidR="00860B4B" w:rsidRPr="00D03F3E" w14:paraId="5B0F1259"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D49D14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73EE47C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744F6AA" w14:textId="77777777" w:rsidR="00AC5101" w:rsidRPr="00D03F3E" w:rsidRDefault="00AC5101" w:rsidP="00D03F3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BB788FC" w14:textId="77777777" w:rsidR="00AC5101" w:rsidRPr="00D03F3E" w:rsidRDefault="00AC5101" w:rsidP="00D03F3E">
            <w:pPr>
              <w:spacing w:after="0" w:line="240" w:lineRule="auto"/>
              <w:jc w:val="both"/>
              <w:rPr>
                <w:rFonts w:ascii="Times New Roman" w:hAnsi="Times New Roman"/>
                <w:color w:val="000000" w:themeColor="text1"/>
                <w:sz w:val="16"/>
                <w:szCs w:val="16"/>
              </w:rPr>
            </w:pPr>
          </w:p>
        </w:tc>
      </w:tr>
      <w:tr w:rsidR="00860B4B" w:rsidRPr="00D03F3E" w14:paraId="482AB041"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C3FC24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650C6DB0"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8D8E1C4" w14:textId="77777777" w:rsidR="00AC5101" w:rsidRPr="00D03F3E" w:rsidRDefault="00AC5101" w:rsidP="00D03F3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359D41A" w14:textId="77777777" w:rsidR="00AC5101" w:rsidRPr="00D03F3E" w:rsidRDefault="00AC5101" w:rsidP="00D03F3E">
            <w:pPr>
              <w:spacing w:after="0" w:line="240" w:lineRule="auto"/>
              <w:jc w:val="both"/>
              <w:rPr>
                <w:rFonts w:ascii="Times New Roman" w:hAnsi="Times New Roman"/>
                <w:color w:val="000000" w:themeColor="text1"/>
                <w:sz w:val="16"/>
                <w:szCs w:val="16"/>
              </w:rPr>
            </w:pPr>
          </w:p>
        </w:tc>
      </w:tr>
      <w:tr w:rsidR="00860B4B" w:rsidRPr="00D03F3E" w14:paraId="11DA6C93"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8B87A0B" w14:textId="77777777" w:rsidR="00AC5101" w:rsidRPr="00D03F3E" w:rsidRDefault="00AC5101" w:rsidP="00D03F3E">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482EB5F6" w14:textId="77777777" w:rsidR="00AC5101" w:rsidRPr="00D03F3E" w:rsidRDefault="00AC5101" w:rsidP="00D03F3E">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4307808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Источник сведений: Акт по испыт. винта на с-те Як-9 от 17.3.43 г.</w:t>
            </w:r>
          </w:p>
        </w:tc>
      </w:tr>
    </w:tbl>
    <w:p w14:paraId="0383F95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(12227).</w:t>
      </w:r>
    </w:p>
    <w:p w14:paraId="7901C324"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53A826E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74EA2C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C6E64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марта 1943 г. из СООБЩЕНИЯ СЕКРЕТАРЯ ПАРТБЮРО ЗАВОДА № 590 А.С. ИВАНОВА В ОТДЕЛ ЭЛЕКТРОПРОМЫШЛЕННОСТИ НОВОСИБИРСКОГО ОБКОМА ВКП(б) М.З- ФЕДОРОВУ С МАТЕРИАЛАМИ К I СЪЕЗДУ МОЛОДЫХ РАБОЧИХ ЗАВОДА</w:t>
      </w:r>
    </w:p>
    <w:p w14:paraId="277E3327"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Общее количество молодых рабочих на заводе - 920 человек, или 30 % от всех рабочих завода. Из них в возрасте от 13 лет до 15 лет -328 человек и от 16 до 17 лет - 492 человека. Членов ВЛКСМ из числа молодых рабочих на заводе 210 человек. Членов профсоюза — 610 человек.</w:t>
      </w:r>
    </w:p>
    <w:p w14:paraId="2F7D1977"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Производительность труда молодых рабочих в феврале месяце составила 111,8%. Повышение квалификации молодых рабочих на заводе проходило через индивидуально-бригадное обучение и стахановские школы. На заводе выросли молодые токари, слесари, фрезеровщики, регулировщики, электромонтеры, столяры, прессовщики, градуировщики, ремонтеры, армировщики, оцинковщики и другие. Из числа молодых рабочих вырос целый ряд инженерно-технических работников и квалифицированных рабочих. Так, на заводе работают 10 молодых мастеров (тт. Скрыпкин, Кишкин, Сиделева, Фролов, Свистова, Савенкова и другие), 20 бригадиров (тт. Жаркова, Фейгина, Фомин, Чащин и другие), установщиков-наладчиков - 5 человек.</w:t>
      </w:r>
    </w:p>
    <w:p w14:paraId="6D46A9D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Среди молодых рабочих на заводе выросли тысячники: сборщица т. Чекулаева, сборщица т. Митерева, регулировщики тт. Миусов, Карпенко, Бирюков. В настоящее время на заводе из числа молодых рабочих выросло 140 многостаночников, 420 стахановцев, 100 ударников, 10 многостаночников. Так, например, т. Морозов А.Г. с 1927 года рождения в апреле 1942 года поступил на завод учеником столяра. В настоящее время он работает по II разряду и перевыполняет норму выработки на 250 %. Аристова Тамара Николаевна, 1925 года рождения, поступила на завод ученицей-сборщицей. В настоящее время она работает по 3-му разряду. В день Ленинской вахты она перевыполнила норму выработки на 520 процентов. Т. Аристова принята в члены ВЛКСМ, она прочно удерживает своей хорошей работой звание двадцатницы завода. Ее работа не раз отмечалась премированием. Лысенков Н.Я. с 1926 года рождения, член ВЛКСМ с 1942 года. Работает агитатором в цехе. Из личных сбережений внес в Сталинский фонд победы 400 рублей. Норму выработки выполняет. Т. Фризин А.И. работает прессовщиком. Он бывший ученик ремесленного училища, в настоящее время выполняет три нормы за одну смену. Премировался не раз за хорошую производственную работу. Дыбленко А.И. с 1926 года рождения. В 1942 году он поступил на завод учеником на автомате. Теперь он работает настройщиком автоматов (Райт, Ватер-Бюри). Выполняет производственную программу. За хорошую работу премирован. Молодые рабочие внесли из личных сбережений 172 тысячи рублей на строительство авиаэскадрильи «Новосибирский комсомолец».</w:t>
      </w:r>
    </w:p>
    <w:p w14:paraId="4AEEA57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Культурно-массовая работа среди молодых рабочих проводится по линии организации: драматического кружка в количестве 20 человек, коллективного посещения кинотеатров, где просмотрены кинокартины «Ленинград в борьбе», «Котовский», «Пархоменко», «Разгром немцев под Москвой» и другие, в драмтеатрах просмотрены 13 постановок: «Петр Крымов», «Фронт», «Русские люди» и другие. Завод для молодых рабочих организовал 4 общежития. Из них - 2 общежития </w:t>
      </w:r>
      <w:r w:rsidRPr="00D03F3E">
        <w:rPr>
          <w:rFonts w:ascii="Times New Roman" w:hAnsi="Times New Roman"/>
          <w:color w:val="000000" w:themeColor="text1"/>
          <w:sz w:val="16"/>
          <w:szCs w:val="16"/>
        </w:rPr>
        <w:lastRenderedPageBreak/>
        <w:t>хорошо благоустроены. В них проведена радиофикация, имеется передвижная библиотека, два раза в неделю проводят агитбеседы. Эти общежития полностью обеспечены постельными принадлежностями. За хорошую работу 300 молодых рабочих получили поощрение - 260 пар валенок, промтовары и денежные премии.</w:t>
      </w:r>
    </w:p>
    <w:p w14:paraId="404F034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Секретарь партийного] бюро завода № 590 А. Иванов</w:t>
      </w:r>
    </w:p>
    <w:p w14:paraId="323D78F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ГАНО. Ф. П-4. On. 7. Д. 478. Л. 27. Подлинник.</w:t>
      </w:r>
    </w:p>
    <w:p w14:paraId="7B572C3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Подпись-автограф (12193).</w:t>
      </w:r>
    </w:p>
    <w:p w14:paraId="5A49386A"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460617F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17 марта 1943г. была подготовлена СПРАВКА УС ГАВТУ ОБ ОТГРУЗКЕ АВТОИМУЩЕСТВА С 1 ЯНВАРЯ ПО 20 ФЕВРАЛЯ 1943 г. </w:t>
      </w:r>
    </w:p>
    <w:tbl>
      <w:tblPr>
        <w:tblW w:w="0" w:type="auto"/>
        <w:tblInd w:w="40" w:type="dxa"/>
        <w:tblLayout w:type="fixed"/>
        <w:tblCellMar>
          <w:left w:w="40" w:type="dxa"/>
          <w:right w:w="40" w:type="dxa"/>
        </w:tblCellMar>
        <w:tblLook w:val="0000" w:firstRow="0" w:lastRow="0" w:firstColumn="0" w:lastColumn="0" w:noHBand="0" w:noVBand="0"/>
      </w:tblPr>
      <w:tblGrid>
        <w:gridCol w:w="2268"/>
        <w:gridCol w:w="993"/>
        <w:gridCol w:w="903"/>
        <w:gridCol w:w="8"/>
        <w:gridCol w:w="762"/>
        <w:gridCol w:w="15"/>
        <w:gridCol w:w="964"/>
        <w:gridCol w:w="33"/>
        <w:gridCol w:w="1002"/>
        <w:gridCol w:w="34"/>
        <w:gridCol w:w="956"/>
        <w:gridCol w:w="641"/>
        <w:gridCol w:w="16"/>
        <w:gridCol w:w="904"/>
      </w:tblGrid>
      <w:tr w:rsidR="00860B4B" w:rsidRPr="00D03F3E" w14:paraId="4E62F43D" w14:textId="77777777">
        <w:trPr>
          <w:trHeight w:val="384"/>
        </w:trPr>
        <w:tc>
          <w:tcPr>
            <w:tcW w:w="2268" w:type="dxa"/>
            <w:tcBorders>
              <w:top w:val="single" w:sz="6" w:space="0" w:color="auto"/>
              <w:left w:val="single" w:sz="6" w:space="0" w:color="auto"/>
              <w:bottom w:val="nil"/>
              <w:right w:val="single" w:sz="6" w:space="0" w:color="auto"/>
            </w:tcBorders>
          </w:tcPr>
          <w:p w14:paraId="72D165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Фронты и округа</w:t>
            </w:r>
          </w:p>
          <w:p w14:paraId="663B168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6" w:type="dxa"/>
            <w:gridSpan w:val="4"/>
            <w:tcBorders>
              <w:top w:val="single" w:sz="6" w:space="0" w:color="auto"/>
              <w:left w:val="single" w:sz="6" w:space="0" w:color="auto"/>
              <w:bottom w:val="single" w:sz="6" w:space="0" w:color="auto"/>
              <w:right w:val="single" w:sz="6" w:space="0" w:color="auto"/>
            </w:tcBorders>
          </w:tcPr>
          <w:p w14:paraId="03DB33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 средних и текущих ремон</w:t>
            </w:r>
            <w:r w:rsidRPr="00D03F3E">
              <w:rPr>
                <w:rFonts w:ascii="Times New Roman" w:hAnsi="Times New Roman"/>
                <w:color w:val="000000" w:themeColor="text1"/>
                <w:sz w:val="16"/>
                <w:szCs w:val="16"/>
              </w:rPr>
              <w:softHyphen/>
              <w:t>тов</w:t>
            </w:r>
          </w:p>
          <w:p w14:paraId="0B45FBF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nil"/>
              <w:right w:val="single" w:sz="6" w:space="0" w:color="auto"/>
            </w:tcBorders>
          </w:tcPr>
          <w:p w14:paraId="16DF1CC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Положено запчастей и электрообор.</w:t>
            </w:r>
          </w:p>
          <w:p w14:paraId="0860AC8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6" w:type="dxa"/>
            <w:gridSpan w:val="5"/>
            <w:tcBorders>
              <w:top w:val="single" w:sz="6" w:space="0" w:color="auto"/>
              <w:left w:val="single" w:sz="6" w:space="0" w:color="auto"/>
              <w:bottom w:val="single" w:sz="6" w:space="0" w:color="auto"/>
              <w:right w:val="single" w:sz="6" w:space="0" w:color="auto"/>
            </w:tcBorders>
          </w:tcPr>
          <w:p w14:paraId="7FC893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Отгружено</w:t>
            </w:r>
          </w:p>
          <w:p w14:paraId="4CCB019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9" w:type="dxa"/>
            <w:gridSpan w:val="2"/>
            <w:tcBorders>
              <w:top w:val="single" w:sz="6" w:space="0" w:color="auto"/>
              <w:left w:val="single" w:sz="6" w:space="0" w:color="auto"/>
              <w:bottom w:val="nil"/>
              <w:right w:val="single" w:sz="6" w:space="0" w:color="auto"/>
            </w:tcBorders>
          </w:tcPr>
          <w:p w14:paraId="2309331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обеспе</w:t>
            </w:r>
            <w:r w:rsidRPr="00D03F3E">
              <w:rPr>
                <w:rFonts w:ascii="Times New Roman" w:hAnsi="Times New Roman"/>
                <w:color w:val="000000" w:themeColor="text1"/>
                <w:sz w:val="16"/>
                <w:szCs w:val="16"/>
              </w:rPr>
              <w:softHyphen/>
              <w:t>чения</w:t>
            </w:r>
          </w:p>
          <w:p w14:paraId="32FA7B8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FD5B570" w14:textId="77777777">
        <w:trPr>
          <w:trHeight w:val="528"/>
        </w:trPr>
        <w:tc>
          <w:tcPr>
            <w:tcW w:w="2268" w:type="dxa"/>
            <w:tcBorders>
              <w:top w:val="nil"/>
              <w:left w:val="single" w:sz="6" w:space="0" w:color="auto"/>
              <w:bottom w:val="single" w:sz="6" w:space="0" w:color="auto"/>
              <w:right w:val="single" w:sz="6" w:space="0" w:color="auto"/>
            </w:tcBorders>
          </w:tcPr>
          <w:p w14:paraId="4540B9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1763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F4536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Машины войск, частей</w:t>
            </w:r>
          </w:p>
          <w:p w14:paraId="3D4E75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05EDE33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Машины народ, хозяйства</w:t>
            </w:r>
          </w:p>
          <w:p w14:paraId="1231BCB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1921CA9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p w14:paraId="4065E4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nil"/>
              <w:left w:val="single" w:sz="6" w:space="0" w:color="auto"/>
              <w:bottom w:val="single" w:sz="6" w:space="0" w:color="auto"/>
              <w:right w:val="single" w:sz="6" w:space="0" w:color="auto"/>
            </w:tcBorders>
          </w:tcPr>
          <w:p w14:paraId="1FF59D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9A6F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3BB38F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Запчастей</w:t>
            </w:r>
          </w:p>
          <w:p w14:paraId="729EE9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5576A6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Электрообо</w:t>
            </w:r>
            <w:r w:rsidRPr="00D03F3E">
              <w:rPr>
                <w:rFonts w:ascii="Times New Roman" w:hAnsi="Times New Roman"/>
                <w:color w:val="000000" w:themeColor="text1"/>
                <w:sz w:val="16"/>
                <w:szCs w:val="16"/>
              </w:rPr>
              <w:softHyphen/>
              <w:t>рудования</w:t>
            </w:r>
          </w:p>
          <w:p w14:paraId="43D4C5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54A51C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p w14:paraId="5D364FB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nil"/>
              <w:left w:val="single" w:sz="6" w:space="0" w:color="auto"/>
              <w:bottom w:val="single" w:sz="6" w:space="0" w:color="auto"/>
              <w:right w:val="single" w:sz="6" w:space="0" w:color="auto"/>
            </w:tcBorders>
          </w:tcPr>
          <w:p w14:paraId="079E401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0D3C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AF3B77B"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249E6E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Армия</w:t>
            </w:r>
          </w:p>
          <w:p w14:paraId="6D00B0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E8CC0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w:t>
            </w:r>
          </w:p>
          <w:p w14:paraId="08D162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63CC94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A6FCF3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6E6D572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w:t>
            </w:r>
          </w:p>
          <w:p w14:paraId="73B676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39F195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w:t>
            </w:r>
          </w:p>
          <w:p w14:paraId="040C531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67DCFB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115</w:t>
            </w:r>
          </w:p>
          <w:p w14:paraId="23B44B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56B0F7C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78</w:t>
            </w:r>
          </w:p>
          <w:p w14:paraId="5E1FAD3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0045223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193</w:t>
            </w:r>
          </w:p>
          <w:p w14:paraId="773DC4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17B141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227,0</w:t>
            </w:r>
          </w:p>
          <w:p w14:paraId="063283B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16E9AAC"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52D2C5C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Карельский фронт</w:t>
            </w:r>
          </w:p>
          <w:p w14:paraId="7AF9F9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62E467C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540</w:t>
            </w:r>
          </w:p>
          <w:p w14:paraId="6F6F23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15ACF6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767A1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4DA394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540</w:t>
            </w:r>
          </w:p>
          <w:p w14:paraId="1794803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37089CF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w:t>
            </w:r>
          </w:p>
          <w:p w14:paraId="6079C24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3A1E4F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187</w:t>
            </w:r>
          </w:p>
          <w:p w14:paraId="37E5155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6A70A0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7DBA8B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788156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207</w:t>
            </w:r>
          </w:p>
          <w:p w14:paraId="14CE7CC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50967C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115,0</w:t>
            </w:r>
          </w:p>
          <w:p w14:paraId="383C6E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253C48B" w14:textId="77777777">
        <w:trPr>
          <w:trHeight w:val="221"/>
        </w:trPr>
        <w:tc>
          <w:tcPr>
            <w:tcW w:w="2268" w:type="dxa"/>
            <w:tcBorders>
              <w:top w:val="single" w:sz="6" w:space="0" w:color="auto"/>
              <w:left w:val="single" w:sz="6" w:space="0" w:color="auto"/>
              <w:bottom w:val="single" w:sz="6" w:space="0" w:color="auto"/>
              <w:right w:val="single" w:sz="6" w:space="0" w:color="auto"/>
            </w:tcBorders>
          </w:tcPr>
          <w:p w14:paraId="0B30785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Волховский фронт</w:t>
            </w:r>
          </w:p>
          <w:p w14:paraId="5D84D8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C7A3A7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1550</w:t>
            </w:r>
          </w:p>
          <w:p w14:paraId="082274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2CEE4A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CB491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463E47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1550</w:t>
            </w:r>
          </w:p>
          <w:p w14:paraId="5E5519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01BA6D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512</w:t>
            </w:r>
          </w:p>
          <w:p w14:paraId="67F5B5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584E66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629</w:t>
            </w:r>
          </w:p>
          <w:p w14:paraId="52B5B8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206D84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p w14:paraId="2476556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6AB709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654</w:t>
            </w:r>
          </w:p>
          <w:p w14:paraId="0B060F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02892DD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127,7</w:t>
            </w:r>
          </w:p>
          <w:p w14:paraId="63AF97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BD96E06"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42A7FE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Ленинградский фронт</w:t>
            </w:r>
          </w:p>
          <w:p w14:paraId="41D8BE6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330DDD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5F353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52D02C4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w:t>
            </w:r>
          </w:p>
          <w:p w14:paraId="173FA8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00317C9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w:t>
            </w:r>
          </w:p>
          <w:p w14:paraId="058496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4A934AB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w:t>
            </w:r>
          </w:p>
          <w:p w14:paraId="0FA57D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5AC580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112</w:t>
            </w:r>
          </w:p>
          <w:p w14:paraId="65E4E2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18DFA5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w:t>
            </w:r>
          </w:p>
          <w:p w14:paraId="56E7A2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0F4A4A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192</w:t>
            </w:r>
          </w:p>
          <w:p w14:paraId="3009910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7A0D7B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369,2</w:t>
            </w:r>
          </w:p>
          <w:p w14:paraId="723E51E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30B32C1"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3F5ECB4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Северо-западный фронт</w:t>
            </w:r>
          </w:p>
          <w:p w14:paraId="32AA0A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06BA0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1100</w:t>
            </w:r>
          </w:p>
          <w:p w14:paraId="7C02AB4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0D71D8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38E5D2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6797EA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1100</w:t>
            </w:r>
          </w:p>
          <w:p w14:paraId="4A0AE6D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1F47B45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365</w:t>
            </w:r>
          </w:p>
          <w:p w14:paraId="1CDEDB8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2C97B2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307</w:t>
            </w:r>
          </w:p>
          <w:p w14:paraId="52A927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3E56C1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118</w:t>
            </w:r>
          </w:p>
          <w:p w14:paraId="2149E1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2A6C40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425</w:t>
            </w:r>
          </w:p>
          <w:p w14:paraId="15F9D39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2C36F7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116,4</w:t>
            </w:r>
          </w:p>
          <w:p w14:paraId="53CDA3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1089A78"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2FA6D2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Калининский фронт</w:t>
            </w:r>
          </w:p>
          <w:p w14:paraId="2DEF27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AD4C6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3000</w:t>
            </w:r>
          </w:p>
          <w:p w14:paraId="5FC05C4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71A146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32D5C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0E3DFA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3000</w:t>
            </w:r>
          </w:p>
          <w:p w14:paraId="7ACCB86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1ACB77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990</w:t>
            </w:r>
          </w:p>
          <w:p w14:paraId="0ABCDD7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0A8999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637</w:t>
            </w:r>
          </w:p>
          <w:p w14:paraId="5BCE65C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18232B9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94</w:t>
            </w:r>
          </w:p>
          <w:p w14:paraId="184CA8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4FE95C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731</w:t>
            </w:r>
          </w:p>
          <w:p w14:paraId="469B873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579FEE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73,8</w:t>
            </w:r>
          </w:p>
          <w:p w14:paraId="2D8F64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4C89070" w14:textId="77777777">
        <w:trPr>
          <w:trHeight w:val="221"/>
        </w:trPr>
        <w:tc>
          <w:tcPr>
            <w:tcW w:w="2268" w:type="dxa"/>
            <w:tcBorders>
              <w:top w:val="single" w:sz="6" w:space="0" w:color="auto"/>
              <w:left w:val="single" w:sz="6" w:space="0" w:color="auto"/>
              <w:bottom w:val="single" w:sz="6" w:space="0" w:color="auto"/>
              <w:right w:val="single" w:sz="6" w:space="0" w:color="auto"/>
            </w:tcBorders>
          </w:tcPr>
          <w:p w14:paraId="721AD10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Западный фронт</w:t>
            </w:r>
          </w:p>
          <w:p w14:paraId="09D1AE8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C20E7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4000</w:t>
            </w:r>
          </w:p>
          <w:p w14:paraId="25703C7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5DCD32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750</w:t>
            </w:r>
          </w:p>
          <w:p w14:paraId="241CB65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7C8CE0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4750</w:t>
            </w:r>
          </w:p>
          <w:p w14:paraId="437F43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04562C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1630</w:t>
            </w:r>
          </w:p>
          <w:p w14:paraId="78F92D3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0A477B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724</w:t>
            </w:r>
          </w:p>
          <w:p w14:paraId="734E61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211126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190</w:t>
            </w:r>
          </w:p>
          <w:p w14:paraId="29ECF0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01E37C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914</w:t>
            </w:r>
          </w:p>
          <w:p w14:paraId="0F36BF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425C75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56,0</w:t>
            </w:r>
          </w:p>
          <w:p w14:paraId="700ED9D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FA9BF19"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1D59BF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Брянский фронт</w:t>
            </w:r>
          </w:p>
          <w:p w14:paraId="17060F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5E8AE2E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w:t>
            </w:r>
          </w:p>
          <w:p w14:paraId="112E85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40B680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477562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61317D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w:t>
            </w:r>
          </w:p>
          <w:p w14:paraId="42A75A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293D6A0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165</w:t>
            </w:r>
          </w:p>
          <w:p w14:paraId="3418FA7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3D4D66F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125</w:t>
            </w:r>
          </w:p>
          <w:p w14:paraId="5D750E3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6EAF3C0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w:t>
            </w:r>
          </w:p>
          <w:p w14:paraId="539FCA6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342427F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184</w:t>
            </w:r>
          </w:p>
          <w:p w14:paraId="6A1EB73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37680D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110,1</w:t>
            </w:r>
          </w:p>
          <w:p w14:paraId="2DD140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9533E2D"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3E15150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Воронежский фронт</w:t>
            </w:r>
          </w:p>
          <w:p w14:paraId="49D4531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718426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900</w:t>
            </w:r>
          </w:p>
          <w:p w14:paraId="75C77B2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00CBC3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406EC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389C1FC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900</w:t>
            </w:r>
          </w:p>
          <w:p w14:paraId="587CBA9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440F6DE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p w14:paraId="1EF7129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07916AD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259</w:t>
            </w:r>
          </w:p>
          <w:p w14:paraId="70BBE2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72DC6F9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p w14:paraId="0DB2677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10376E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284</w:t>
            </w:r>
          </w:p>
          <w:p w14:paraId="39851F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43089A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94,6</w:t>
            </w:r>
          </w:p>
          <w:p w14:paraId="3C0A7C6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7A08A38"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09853E7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Донской фронт</w:t>
            </w:r>
          </w:p>
          <w:p w14:paraId="57BAD18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3504B72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w:t>
            </w:r>
          </w:p>
          <w:p w14:paraId="10F42DB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028A7C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5D07AD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7A0603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w:t>
            </w:r>
          </w:p>
          <w:p w14:paraId="53BA30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28E3F5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w:t>
            </w:r>
          </w:p>
          <w:p w14:paraId="4C529B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1812DD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134</w:t>
            </w:r>
          </w:p>
          <w:p w14:paraId="26C3605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30532FB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w:t>
            </w:r>
          </w:p>
          <w:p w14:paraId="02593D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348A7AF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185</w:t>
            </w:r>
          </w:p>
          <w:p w14:paraId="3F9D4C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109ED01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280,3</w:t>
            </w:r>
          </w:p>
          <w:p w14:paraId="37A2B25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5966798"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64E385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Южный фронт</w:t>
            </w:r>
          </w:p>
          <w:p w14:paraId="078AFC2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79F875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w:t>
            </w:r>
          </w:p>
          <w:p w14:paraId="4BD2E3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7479B2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BCEE8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4BCC96D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w:t>
            </w:r>
          </w:p>
          <w:p w14:paraId="02C460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42AD21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w:t>
            </w:r>
          </w:p>
          <w:p w14:paraId="06DA23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79A1260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93</w:t>
            </w:r>
          </w:p>
          <w:p w14:paraId="363C6F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47897C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83</w:t>
            </w:r>
          </w:p>
          <w:p w14:paraId="007B524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160F9A8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176</w:t>
            </w:r>
          </w:p>
          <w:p w14:paraId="6FA8CE4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39FDF1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207,0</w:t>
            </w:r>
          </w:p>
          <w:p w14:paraId="5E18B9A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B0B84E3" w14:textId="77777777">
        <w:trPr>
          <w:trHeight w:val="221"/>
        </w:trPr>
        <w:tc>
          <w:tcPr>
            <w:tcW w:w="2268" w:type="dxa"/>
            <w:tcBorders>
              <w:top w:val="single" w:sz="6" w:space="0" w:color="auto"/>
              <w:left w:val="single" w:sz="6" w:space="0" w:color="auto"/>
              <w:bottom w:val="single" w:sz="6" w:space="0" w:color="auto"/>
              <w:right w:val="single" w:sz="6" w:space="0" w:color="auto"/>
            </w:tcBorders>
          </w:tcPr>
          <w:p w14:paraId="26113A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Юго-Западный фронт</w:t>
            </w:r>
          </w:p>
          <w:p w14:paraId="7DED5D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633F0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p w14:paraId="6199F64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6A8A0C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D1672D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713F877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p w14:paraId="2D3C4A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7D05D6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330</w:t>
            </w:r>
          </w:p>
          <w:p w14:paraId="640B519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21452A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375</w:t>
            </w:r>
          </w:p>
          <w:p w14:paraId="7573B0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723E360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w:t>
            </w:r>
          </w:p>
          <w:p w14:paraId="57ABD18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759330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413</w:t>
            </w:r>
          </w:p>
          <w:p w14:paraId="2AAAC3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740A7C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125,1</w:t>
            </w:r>
          </w:p>
          <w:p w14:paraId="514DA6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E44FBD7"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73F5B78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Закавказский фронт</w:t>
            </w:r>
          </w:p>
          <w:p w14:paraId="348F9A2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041A973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2500</w:t>
            </w:r>
          </w:p>
          <w:p w14:paraId="0B284E9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245C75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1100</w:t>
            </w:r>
          </w:p>
          <w:p w14:paraId="0A15F1D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06EAD2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3600</w:t>
            </w:r>
          </w:p>
          <w:p w14:paraId="798A9D2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55BC21C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1270</w:t>
            </w:r>
          </w:p>
          <w:p w14:paraId="2D69DC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512B3D4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755</w:t>
            </w:r>
          </w:p>
          <w:p w14:paraId="02DBB2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416457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103</w:t>
            </w:r>
          </w:p>
          <w:p w14:paraId="4188F8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3EC0194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858</w:t>
            </w:r>
          </w:p>
          <w:p w14:paraId="6A961D8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1BF74CA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67,7</w:t>
            </w:r>
          </w:p>
          <w:p w14:paraId="7944C4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7C10759"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177E45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Забайкальский фронт</w:t>
            </w:r>
          </w:p>
          <w:p w14:paraId="62350E1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86A32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D21BC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62397DA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p w14:paraId="5296F59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045988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p w14:paraId="79E35C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226BDCE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p w14:paraId="1F060E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4666AE5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87</w:t>
            </w:r>
          </w:p>
          <w:p w14:paraId="6C3A629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16E637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w:t>
            </w:r>
          </w:p>
          <w:p w14:paraId="18F16C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00D51BD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115</w:t>
            </w:r>
          </w:p>
          <w:p w14:paraId="0A990A3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2C2928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287,5</w:t>
            </w:r>
          </w:p>
          <w:p w14:paraId="41F965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469B6BD"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6343B0E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ДВФ</w:t>
            </w:r>
          </w:p>
          <w:p w14:paraId="36E68A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55753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22757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7A5B90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p w14:paraId="25B2BE8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55453A7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p w14:paraId="5BE0716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4C6C0AA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p w14:paraId="67E2BC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005C096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5E1E3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25D419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99</w:t>
            </w:r>
          </w:p>
          <w:p w14:paraId="54D4AD3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7E056FC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99</w:t>
            </w:r>
          </w:p>
          <w:p w14:paraId="319E98A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2C5364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24,7</w:t>
            </w:r>
          </w:p>
          <w:p w14:paraId="163182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24649DD"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6694128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АРХВО</w:t>
            </w:r>
          </w:p>
          <w:p w14:paraId="5997A2C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94C8F0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w:t>
            </w:r>
          </w:p>
          <w:p w14:paraId="7918A8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420A308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p w14:paraId="1BF5B2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3BC99B5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550</w:t>
            </w:r>
          </w:p>
          <w:p w14:paraId="405A34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5F9713F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210</w:t>
            </w:r>
          </w:p>
          <w:p w14:paraId="41E50E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0B58A1C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w:t>
            </w:r>
          </w:p>
          <w:p w14:paraId="62420F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1B66F48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57BF290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5B9580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w:t>
            </w:r>
          </w:p>
          <w:p w14:paraId="115F62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1348E2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21,9</w:t>
            </w:r>
          </w:p>
          <w:p w14:paraId="6E2DE8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EBBF3D4"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0D8C8D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МВО</w:t>
            </w:r>
          </w:p>
          <w:p w14:paraId="642CE96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A02F2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2550</w:t>
            </w:r>
          </w:p>
          <w:p w14:paraId="4E19448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3A6718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850</w:t>
            </w:r>
          </w:p>
          <w:p w14:paraId="202AAE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2063A5E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3400</w:t>
            </w:r>
          </w:p>
          <w:p w14:paraId="29DF5F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797135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1182</w:t>
            </w:r>
          </w:p>
          <w:p w14:paraId="07123D9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61D1AAE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p w14:paraId="4395A8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5F7E332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131</w:t>
            </w:r>
          </w:p>
          <w:p w14:paraId="077C91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50E8547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531</w:t>
            </w:r>
          </w:p>
          <w:p w14:paraId="7BFC4FC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198EB37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44,9</w:t>
            </w:r>
          </w:p>
          <w:p w14:paraId="128761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2804544" w14:textId="77777777">
        <w:trPr>
          <w:trHeight w:val="221"/>
        </w:trPr>
        <w:tc>
          <w:tcPr>
            <w:tcW w:w="2268" w:type="dxa"/>
            <w:tcBorders>
              <w:top w:val="single" w:sz="6" w:space="0" w:color="auto"/>
              <w:left w:val="single" w:sz="6" w:space="0" w:color="auto"/>
              <w:bottom w:val="single" w:sz="6" w:space="0" w:color="auto"/>
              <w:right w:val="single" w:sz="6" w:space="0" w:color="auto"/>
            </w:tcBorders>
          </w:tcPr>
          <w:p w14:paraId="3B860A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ПРИВО</w:t>
            </w:r>
          </w:p>
          <w:p w14:paraId="203F15B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F30C7C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700</w:t>
            </w:r>
          </w:p>
          <w:p w14:paraId="7D6CDCE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5463924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800</w:t>
            </w:r>
          </w:p>
          <w:p w14:paraId="0AEFEA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3110F84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w:t>
            </w:r>
          </w:p>
          <w:p w14:paraId="73124C4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20063E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542</w:t>
            </w:r>
          </w:p>
          <w:p w14:paraId="2A8E148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27B5861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w:t>
            </w:r>
          </w:p>
          <w:p w14:paraId="79E6B3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2283A1E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w:t>
            </w:r>
          </w:p>
          <w:p w14:paraId="2EE63DA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51D7443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81</w:t>
            </w:r>
          </w:p>
          <w:p w14:paraId="4A61066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073FE3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14,9</w:t>
            </w:r>
          </w:p>
          <w:p w14:paraId="3914154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EFC2B95"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1DEE15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ЮЖУРВО</w:t>
            </w:r>
          </w:p>
          <w:p w14:paraId="51C33F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A5E88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w:t>
            </w:r>
          </w:p>
          <w:p w14:paraId="27A8ED8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16AC19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1300</w:t>
            </w:r>
          </w:p>
          <w:p w14:paraId="635725F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21591C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1800</w:t>
            </w:r>
          </w:p>
          <w:p w14:paraId="72B1A4C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240C5A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685</w:t>
            </w:r>
          </w:p>
          <w:p w14:paraId="08FD02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6D5749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w:t>
            </w:r>
          </w:p>
          <w:p w14:paraId="48A192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79814D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p w14:paraId="7094510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04F45ED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w:t>
            </w:r>
          </w:p>
          <w:p w14:paraId="2DE64E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775D23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w:t>
            </w:r>
          </w:p>
          <w:p w14:paraId="4B2A409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2785A78"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1B20C7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УРВО</w:t>
            </w:r>
          </w:p>
          <w:p w14:paraId="538C817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504F8D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p w14:paraId="16FF7D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627454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970</w:t>
            </w:r>
          </w:p>
          <w:p w14:paraId="23DA3C9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065440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1270</w:t>
            </w:r>
          </w:p>
          <w:p w14:paraId="6949DC8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519D99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488</w:t>
            </w:r>
          </w:p>
          <w:p w14:paraId="2618C2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1EDBB1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D25C8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5D85D3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720A563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119BA9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1BBB812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0355E7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p w14:paraId="118F53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BA84555" w14:textId="77777777">
        <w:trPr>
          <w:trHeight w:val="221"/>
        </w:trPr>
        <w:tc>
          <w:tcPr>
            <w:tcW w:w="2268" w:type="dxa"/>
            <w:tcBorders>
              <w:top w:val="single" w:sz="6" w:space="0" w:color="auto"/>
              <w:left w:val="single" w:sz="6" w:space="0" w:color="auto"/>
              <w:bottom w:val="single" w:sz="6" w:space="0" w:color="auto"/>
              <w:right w:val="single" w:sz="6" w:space="0" w:color="auto"/>
            </w:tcBorders>
          </w:tcPr>
          <w:p w14:paraId="1E33803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САВО</w:t>
            </w:r>
          </w:p>
          <w:p w14:paraId="38CB8B6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73B0208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900</w:t>
            </w:r>
          </w:p>
          <w:p w14:paraId="46DC85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14F2C5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1100</w:t>
            </w:r>
          </w:p>
          <w:p w14:paraId="409EC3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25C8634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w:t>
            </w:r>
          </w:p>
          <w:p w14:paraId="1394B1E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4A796C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740</w:t>
            </w:r>
          </w:p>
          <w:p w14:paraId="2F49B0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38FAD3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99B34F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224AA5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p w14:paraId="24AE3AA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4B0C298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p w14:paraId="2CA2D1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7D5590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5689485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7A329DE"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3178BC0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СИБВО</w:t>
            </w:r>
          </w:p>
          <w:p w14:paraId="7FD20C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383AEC7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w:t>
            </w:r>
          </w:p>
          <w:p w14:paraId="478DFD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2D32A1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w:t>
            </w:r>
          </w:p>
          <w:p w14:paraId="0A59B08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2DD579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1750</w:t>
            </w:r>
          </w:p>
          <w:p w14:paraId="719AF4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60AAA2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683</w:t>
            </w:r>
          </w:p>
          <w:p w14:paraId="0D163A6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28CBA8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w:t>
            </w:r>
          </w:p>
          <w:p w14:paraId="280C5F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7DB162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192E94F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2B14BB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p w14:paraId="555A3D8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01F6DA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p w14:paraId="7635C3B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491EA45" w14:textId="77777777">
        <w:trPr>
          <w:trHeight w:val="422"/>
        </w:trPr>
        <w:tc>
          <w:tcPr>
            <w:tcW w:w="2268" w:type="dxa"/>
            <w:tcBorders>
              <w:top w:val="single" w:sz="6" w:space="0" w:color="auto"/>
              <w:left w:val="single" w:sz="6" w:space="0" w:color="auto"/>
              <w:bottom w:val="single" w:sz="6" w:space="0" w:color="auto"/>
              <w:right w:val="single" w:sz="6" w:space="0" w:color="auto"/>
            </w:tcBorders>
          </w:tcPr>
          <w:p w14:paraId="1989EB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 для средних ремон</w:t>
            </w:r>
            <w:r w:rsidRPr="00D03F3E">
              <w:rPr>
                <w:rFonts w:ascii="Times New Roman" w:hAnsi="Times New Roman"/>
                <w:color w:val="000000" w:themeColor="text1"/>
                <w:sz w:val="16"/>
                <w:szCs w:val="16"/>
              </w:rPr>
              <w:softHyphen/>
              <w:t>тов</w:t>
            </w:r>
          </w:p>
          <w:p w14:paraId="5B2E0CB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0A9B1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21140</w:t>
            </w:r>
          </w:p>
          <w:p w14:paraId="590595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464048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10000</w:t>
            </w:r>
          </w:p>
          <w:p w14:paraId="2B38EB1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41A03E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31140</w:t>
            </w:r>
          </w:p>
          <w:p w14:paraId="3B9BEFC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684B918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11000</w:t>
            </w:r>
          </w:p>
          <w:p w14:paraId="361A73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2FCB342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5093</w:t>
            </w:r>
          </w:p>
          <w:p w14:paraId="219D8D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345590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1299</w:t>
            </w:r>
          </w:p>
          <w:p w14:paraId="519DB2D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29E3C83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6392</w:t>
            </w:r>
          </w:p>
          <w:p w14:paraId="2283B59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31DA987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58,1</w:t>
            </w:r>
          </w:p>
          <w:p w14:paraId="2A178D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47A7D69" w14:textId="77777777">
        <w:trPr>
          <w:trHeight w:val="413"/>
        </w:trPr>
        <w:tc>
          <w:tcPr>
            <w:tcW w:w="2268" w:type="dxa"/>
            <w:tcBorders>
              <w:top w:val="single" w:sz="6" w:space="0" w:color="auto"/>
              <w:left w:val="single" w:sz="6" w:space="0" w:color="auto"/>
              <w:bottom w:val="single" w:sz="6" w:space="0" w:color="auto"/>
              <w:right w:val="single" w:sz="6" w:space="0" w:color="auto"/>
            </w:tcBorders>
          </w:tcPr>
          <w:p w14:paraId="4CD551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Ремзаводы НКО</w:t>
            </w:r>
          </w:p>
          <w:p w14:paraId="2E952BD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BBF7EF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C76BB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22113F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AC9C93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7A39BEE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45CFE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4E91E9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EB1622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060F712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255</w:t>
            </w:r>
          </w:p>
          <w:p w14:paraId="19757A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4ADFDE3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158</w:t>
            </w:r>
          </w:p>
          <w:p w14:paraId="095CAC3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434771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413</w:t>
            </w:r>
          </w:p>
          <w:p w14:paraId="26D46C7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3E51610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305116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E969EAB" w14:textId="77777777">
        <w:trPr>
          <w:trHeight w:val="403"/>
        </w:trPr>
        <w:tc>
          <w:tcPr>
            <w:tcW w:w="2268" w:type="dxa"/>
            <w:tcBorders>
              <w:top w:val="single" w:sz="6" w:space="0" w:color="auto"/>
              <w:left w:val="single" w:sz="6" w:space="0" w:color="auto"/>
              <w:bottom w:val="single" w:sz="6" w:space="0" w:color="auto"/>
              <w:right w:val="single" w:sz="6" w:space="0" w:color="auto"/>
            </w:tcBorders>
          </w:tcPr>
          <w:p w14:paraId="6A29CD7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Ремзаводы промышленности</w:t>
            </w:r>
          </w:p>
          <w:p w14:paraId="60BBD0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042630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DDD00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1268C78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8BB53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257188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F985D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635768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B527F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16F143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p w14:paraId="40A96B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3E7CF40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w:t>
            </w:r>
          </w:p>
          <w:p w14:paraId="5AAA27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4CCA8D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355</w:t>
            </w:r>
          </w:p>
          <w:p w14:paraId="119809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10B0D51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AEB43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DDC5B55" w14:textId="77777777">
        <w:trPr>
          <w:trHeight w:val="451"/>
        </w:trPr>
        <w:tc>
          <w:tcPr>
            <w:tcW w:w="2268" w:type="dxa"/>
            <w:tcBorders>
              <w:top w:val="single" w:sz="6" w:space="0" w:color="auto"/>
              <w:left w:val="single" w:sz="6" w:space="0" w:color="auto"/>
              <w:bottom w:val="single" w:sz="6" w:space="0" w:color="auto"/>
              <w:right w:val="single" w:sz="6" w:space="0" w:color="auto"/>
            </w:tcBorders>
          </w:tcPr>
          <w:p w14:paraId="5351E0D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упр. для нов. форм, и ДР. уч.</w:t>
            </w:r>
          </w:p>
          <w:p w14:paraId="072C30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54CF9B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5148D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709238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4A016A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7C90C9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986516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10EDC7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D10B5A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5515575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w:t>
            </w:r>
          </w:p>
          <w:p w14:paraId="2EC409E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31BDD63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208</w:t>
            </w:r>
          </w:p>
          <w:p w14:paraId="5ACECA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4A3798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249</w:t>
            </w:r>
          </w:p>
          <w:p w14:paraId="51E334F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1474550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DEED13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7CDB7C1" w14:textId="77777777">
        <w:trPr>
          <w:trHeight w:val="432"/>
        </w:trPr>
        <w:tc>
          <w:tcPr>
            <w:tcW w:w="2268" w:type="dxa"/>
            <w:tcBorders>
              <w:top w:val="single" w:sz="6" w:space="0" w:color="auto"/>
              <w:left w:val="single" w:sz="6" w:space="0" w:color="auto"/>
              <w:bottom w:val="single" w:sz="6" w:space="0" w:color="auto"/>
              <w:right w:val="single" w:sz="6" w:space="0" w:color="auto"/>
            </w:tcBorders>
          </w:tcPr>
          <w:p w14:paraId="69A8A2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пути на склады для рас</w:t>
            </w:r>
            <w:r w:rsidRPr="00D03F3E">
              <w:rPr>
                <w:rFonts w:ascii="Times New Roman" w:hAnsi="Times New Roman"/>
                <w:color w:val="000000" w:themeColor="text1"/>
                <w:sz w:val="16"/>
                <w:szCs w:val="16"/>
              </w:rPr>
              <w:softHyphen/>
              <w:t>пределения</w:t>
            </w:r>
          </w:p>
          <w:p w14:paraId="056EBB1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040BB9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0C6BF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1" w:type="dxa"/>
            <w:gridSpan w:val="2"/>
            <w:tcBorders>
              <w:top w:val="single" w:sz="6" w:space="0" w:color="auto"/>
              <w:left w:val="single" w:sz="6" w:space="0" w:color="auto"/>
              <w:bottom w:val="single" w:sz="6" w:space="0" w:color="auto"/>
              <w:right w:val="single" w:sz="6" w:space="0" w:color="auto"/>
            </w:tcBorders>
          </w:tcPr>
          <w:p w14:paraId="73AC75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A1343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7" w:type="dxa"/>
            <w:gridSpan w:val="2"/>
            <w:tcBorders>
              <w:top w:val="single" w:sz="6" w:space="0" w:color="auto"/>
              <w:left w:val="single" w:sz="6" w:space="0" w:color="auto"/>
              <w:bottom w:val="single" w:sz="6" w:space="0" w:color="auto"/>
              <w:right w:val="single" w:sz="6" w:space="0" w:color="auto"/>
            </w:tcBorders>
          </w:tcPr>
          <w:p w14:paraId="100C70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84A61A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7" w:type="dxa"/>
            <w:gridSpan w:val="2"/>
            <w:tcBorders>
              <w:top w:val="single" w:sz="6" w:space="0" w:color="auto"/>
              <w:left w:val="single" w:sz="6" w:space="0" w:color="auto"/>
              <w:bottom w:val="single" w:sz="6" w:space="0" w:color="auto"/>
              <w:right w:val="single" w:sz="6" w:space="0" w:color="auto"/>
            </w:tcBorders>
          </w:tcPr>
          <w:p w14:paraId="68920D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625774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6" w:type="dxa"/>
            <w:gridSpan w:val="2"/>
            <w:tcBorders>
              <w:top w:val="single" w:sz="6" w:space="0" w:color="auto"/>
              <w:left w:val="single" w:sz="6" w:space="0" w:color="auto"/>
              <w:bottom w:val="single" w:sz="6" w:space="0" w:color="auto"/>
              <w:right w:val="single" w:sz="6" w:space="0" w:color="auto"/>
            </w:tcBorders>
          </w:tcPr>
          <w:p w14:paraId="265DCF6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276</w:t>
            </w:r>
          </w:p>
          <w:p w14:paraId="77EAC9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6" w:type="dxa"/>
            <w:tcBorders>
              <w:top w:val="single" w:sz="6" w:space="0" w:color="auto"/>
              <w:left w:val="single" w:sz="6" w:space="0" w:color="auto"/>
              <w:bottom w:val="single" w:sz="6" w:space="0" w:color="auto"/>
              <w:right w:val="single" w:sz="6" w:space="0" w:color="auto"/>
            </w:tcBorders>
          </w:tcPr>
          <w:p w14:paraId="0535DCD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152</w:t>
            </w:r>
          </w:p>
          <w:p w14:paraId="7E65A4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7" w:type="dxa"/>
            <w:gridSpan w:val="2"/>
            <w:tcBorders>
              <w:top w:val="single" w:sz="6" w:space="0" w:color="auto"/>
              <w:left w:val="single" w:sz="6" w:space="0" w:color="auto"/>
              <w:bottom w:val="single" w:sz="6" w:space="0" w:color="auto"/>
              <w:right w:val="single" w:sz="6" w:space="0" w:color="auto"/>
            </w:tcBorders>
          </w:tcPr>
          <w:p w14:paraId="1C63D90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428</w:t>
            </w:r>
          </w:p>
          <w:p w14:paraId="3D88B86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41182F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7D880B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E17CE5D" w14:textId="77777777">
        <w:trPr>
          <w:trHeight w:val="422"/>
        </w:trPr>
        <w:tc>
          <w:tcPr>
            <w:tcW w:w="2268" w:type="dxa"/>
            <w:tcBorders>
              <w:top w:val="single" w:sz="6" w:space="0" w:color="auto"/>
              <w:left w:val="single" w:sz="6" w:space="0" w:color="auto"/>
              <w:bottom w:val="single" w:sz="6" w:space="0" w:color="auto"/>
              <w:right w:val="single" w:sz="6" w:space="0" w:color="auto"/>
            </w:tcBorders>
          </w:tcPr>
          <w:p w14:paraId="1A0F3C7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p w14:paraId="558F2A1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704DDF0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671543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1" w:type="dxa"/>
            <w:gridSpan w:val="2"/>
            <w:tcBorders>
              <w:top w:val="single" w:sz="6" w:space="0" w:color="auto"/>
              <w:left w:val="single" w:sz="6" w:space="0" w:color="auto"/>
              <w:bottom w:val="single" w:sz="6" w:space="0" w:color="auto"/>
              <w:right w:val="single" w:sz="6" w:space="0" w:color="auto"/>
            </w:tcBorders>
          </w:tcPr>
          <w:p w14:paraId="74B807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30E989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7" w:type="dxa"/>
            <w:gridSpan w:val="2"/>
            <w:tcBorders>
              <w:top w:val="single" w:sz="6" w:space="0" w:color="auto"/>
              <w:left w:val="single" w:sz="6" w:space="0" w:color="auto"/>
              <w:bottom w:val="single" w:sz="6" w:space="0" w:color="auto"/>
              <w:right w:val="single" w:sz="6" w:space="0" w:color="auto"/>
            </w:tcBorders>
          </w:tcPr>
          <w:p w14:paraId="720076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6D88FC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7" w:type="dxa"/>
            <w:gridSpan w:val="2"/>
            <w:tcBorders>
              <w:top w:val="single" w:sz="6" w:space="0" w:color="auto"/>
              <w:left w:val="single" w:sz="6" w:space="0" w:color="auto"/>
              <w:bottom w:val="single" w:sz="6" w:space="0" w:color="auto"/>
              <w:right w:val="single" w:sz="6" w:space="0" w:color="auto"/>
            </w:tcBorders>
          </w:tcPr>
          <w:p w14:paraId="0D115C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E0CE69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6" w:type="dxa"/>
            <w:gridSpan w:val="2"/>
            <w:tcBorders>
              <w:top w:val="single" w:sz="6" w:space="0" w:color="auto"/>
              <w:left w:val="single" w:sz="6" w:space="0" w:color="auto"/>
              <w:bottom w:val="single" w:sz="6" w:space="0" w:color="auto"/>
              <w:right w:val="single" w:sz="6" w:space="0" w:color="auto"/>
            </w:tcBorders>
          </w:tcPr>
          <w:p w14:paraId="7FF79C9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5965</w:t>
            </w:r>
            <w:r w:rsidRPr="00D03F3E">
              <w:rPr>
                <w:rFonts w:ascii="Times New Roman" w:hAnsi="Times New Roman"/>
                <w:color w:val="000000" w:themeColor="text1"/>
                <w:sz w:val="16"/>
                <w:szCs w:val="16"/>
                <w:vertAlign w:val="superscript"/>
              </w:rPr>
              <w:t>х</w:t>
            </w:r>
            <w:r w:rsidRPr="00D03F3E">
              <w:rPr>
                <w:rFonts w:ascii="Times New Roman" w:hAnsi="Times New Roman"/>
                <w:color w:val="000000" w:themeColor="text1"/>
                <w:sz w:val="16"/>
                <w:szCs w:val="16"/>
              </w:rPr>
              <w:t>»</w:t>
            </w:r>
          </w:p>
          <w:p w14:paraId="593FA7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6" w:type="dxa"/>
            <w:tcBorders>
              <w:top w:val="single" w:sz="6" w:space="0" w:color="auto"/>
              <w:left w:val="single" w:sz="6" w:space="0" w:color="auto"/>
              <w:bottom w:val="single" w:sz="6" w:space="0" w:color="auto"/>
              <w:right w:val="single" w:sz="6" w:space="0" w:color="auto"/>
            </w:tcBorders>
          </w:tcPr>
          <w:p w14:paraId="79FB2E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1872</w:t>
            </w:r>
          </w:p>
          <w:p w14:paraId="343D31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7" w:type="dxa"/>
            <w:gridSpan w:val="2"/>
            <w:tcBorders>
              <w:top w:val="single" w:sz="6" w:space="0" w:color="auto"/>
              <w:left w:val="single" w:sz="6" w:space="0" w:color="auto"/>
              <w:bottom w:val="single" w:sz="6" w:space="0" w:color="auto"/>
              <w:right w:val="single" w:sz="6" w:space="0" w:color="auto"/>
            </w:tcBorders>
          </w:tcPr>
          <w:p w14:paraId="2A9172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7837</w:t>
            </w:r>
          </w:p>
          <w:p w14:paraId="28E2CA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1F864CC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3D3B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25488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 С 1.01 по 20.02.1943 г. получено от заводов запчастей на сумму 6598,6 тыс. руб. Из них:</w:t>
      </w:r>
    </w:p>
    <w:p w14:paraId="4012B61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Отгружено непосредственно ремзаводам промышленности — 548,1 тыс. руб. Запчасти к машинам ЗИС-101, ЗИС-16 и газогенераторным, отгрузка которых фронтам и окру</w:t>
      </w:r>
      <w:r w:rsidRPr="00D03F3E">
        <w:rPr>
          <w:rFonts w:ascii="Times New Roman" w:hAnsi="Times New Roman"/>
          <w:color w:val="000000" w:themeColor="text1"/>
          <w:sz w:val="16"/>
          <w:szCs w:val="16"/>
        </w:rPr>
        <w:softHyphen/>
        <w:t>гам не производилась, — 50,6 тыс. руб.</w:t>
      </w:r>
    </w:p>
    <w:p w14:paraId="28E142B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УС ГАВТУ КА генерал-майор технических войск Тягунов</w:t>
      </w:r>
    </w:p>
    <w:p w14:paraId="64CA1C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11584. Д. 11. Л. 90. Копия (11403).</w:t>
      </w:r>
    </w:p>
    <w:p w14:paraId="38A440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3DC8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марта 1943 вышло Распоряжение ГКО № 3039. Об обеспечении ввода в эксплуатацию гидролизных заводов.РГАНИР, Фонд ГКО, д. 97, лл. 85-90, 91-103 (11012).</w:t>
      </w:r>
    </w:p>
    <w:p w14:paraId="2D446F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864CE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7C4145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147546"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17 марта</w:t>
      </w:r>
      <w:r w:rsidRPr="00D03F3E">
        <w:rPr>
          <w:rFonts w:ascii="Times New Roman" w:hAnsi="Times New Roman"/>
          <w:color w:val="000000" w:themeColor="text1"/>
          <w:sz w:val="16"/>
          <w:szCs w:val="16"/>
        </w:rPr>
        <w:t xml:space="preserve"> в 1943 году утреннее сообщение Совинформбюро:</w:t>
      </w:r>
    </w:p>
    <w:p w14:paraId="7EE3F1BE"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17 марта наши войска вели бои на прежних направлениях.</w:t>
      </w:r>
    </w:p>
    <w:p w14:paraId="09BDF4D9"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Западного фронта продолжали наступление. Противник спешно возводит оборонительные рубежи и оказывает сильное сопротивление. Советские части, преодолевая укрепления немцев, заняли ряд населённых пунктов, в том числе районный центр Всходы и железнодорожную станцию Игорьевская. Захвачены трофеи, в числе которых несколько паровозов и 70 вагонов с различными грузами. На другом участке гитлеровцы предприняли две ожесточённые контратаки. Бойцы Н-ской части отбросили противника и уничтожили до 300 вражеских солдат и офицеров. Захвачено 8 танков, 10 орудий и 22 трактора.</w:t>
      </w:r>
    </w:p>
    <w:p w14:paraId="5766CED2"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течения Северного Донца наши части в ожесточённом бою уничтожили 9 немецких танков, 18 автомашин с пехотой и 4 самоходные пушки. Подразделение, где командиром тов. Сичевой, скрытно проникло в деревню, занятую противником. Гитлеровцы не ожидали нападения и находились в домах. Бойцы, разбившись на мелкие группы, ворвались в дома и уничтожили более 200 немецких солдат и офицеров. Жители деревни, вооружившись топорами, вилами и кольями, помогли советским бойцам очистить деревню от гитлеровцев.</w:t>
      </w:r>
    </w:p>
    <w:p w14:paraId="1E192BA7"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Севска Н-ская часть в ожесточённом бою уничтожила 8 немецких танков и свыше роты пехоты противника. На другом участке немцы предприняли атаку и вклинились в расположение наших подразделений. Ударами с флангов советские бойцы окружили прорвавшихся гитлеровцев и после непродолжительного боя истребили их. Взяты трофеи.</w:t>
      </w:r>
    </w:p>
    <w:p w14:paraId="46AC6595"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озера Ильмень наши войска, преодолевая сопротивление противника, вышли на шоссейную дорогу, связывающую два крупных населённых пункта. Разрушено 86 вражеских дзотов и блиндажей, уничтожено 2 немецких танка, 7 орудий и 43 пулемёта. Истреблено до батальона гитлеровцев. На другом участке наши части с боями продвинулись вперёд и заняли несколько населённых пунктов.</w:t>
      </w:r>
    </w:p>
    <w:p w14:paraId="5EC1DCA5"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Смоленской области, совершил налёт на немецкий гарнизон. Ночью партизаны скрытно подошли к деревне, сняли немецких часовых и атаковали противника. Советские патриоты истребили 36 вражеских солдат. Взято в плен 5 немцев.</w:t>
      </w:r>
    </w:p>
    <w:p w14:paraId="4E3A85C6"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унтер-офицер 14 роты 250 немецкого пехотного полка Карл Баум рассказал: «Русские партизаны действуют очень смело. Они совершают дерзкие налёты на наши тылы. За последнее время стало опасно ездить по железной дороге.</w:t>
      </w:r>
    </w:p>
    <w:p w14:paraId="362AE2FC"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Бобруйска наш поезд наскочил на мину. Паровоз и два вагона были разбиты. Недалеко от Брянска две недели тому назад произошла железнодорожная катастрофа, в результате которой погибло много солдат и офицеров. Мой земляк солдат 11 роты 350 полка мне сообщил, что среди убитых был и его командир роты обер-лейтенант Яндерс из города Вальденбурга. На участке железной дорогиУнеча—Брянск партизанами пущено под откос много воинских эшелонов. Вдоль полотна валяется большое количество разбитых паровозов и вагонов».</w:t>
      </w:r>
    </w:p>
    <w:p w14:paraId="2652A029"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Французские патриоты срывают принудительную отправку французских рабочих в Германию. В Лионе группа вооружённых французов разгромила немецкое бюро по вывозу рабочих и уничтожила все документы и списки. Десять молодых железнодорожников, подлежащих отправке в Германию, пришли в депо, вывели из строя несколько паровозов и скрылись. В районе Аннемаса из 425 человек, получивших предписание выехать в Германию, только 15 явились на сборный пункт. На ряде предприятий рабочие категорически отказались ехать на немецкие заводы и объявили забастовки в знак протеста против принудительной отправки в Германию.» (15071).</w:t>
      </w:r>
    </w:p>
    <w:p w14:paraId="4AD70ABA" w14:textId="77777777" w:rsidR="00530A1E" w:rsidRPr="00D03F3E" w:rsidRDefault="00530A1E" w:rsidP="00D03F3E">
      <w:pPr>
        <w:spacing w:after="0" w:line="240" w:lineRule="auto"/>
        <w:jc w:val="both"/>
        <w:rPr>
          <w:rFonts w:ascii="Times New Roman" w:hAnsi="Times New Roman"/>
          <w:color w:val="000000" w:themeColor="text1"/>
          <w:sz w:val="16"/>
          <w:szCs w:val="16"/>
        </w:rPr>
      </w:pPr>
    </w:p>
    <w:p w14:paraId="36C36680"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17 марта</w:t>
      </w:r>
      <w:r w:rsidRPr="00D03F3E">
        <w:rPr>
          <w:rFonts w:ascii="Times New Roman" w:hAnsi="Times New Roman"/>
          <w:color w:val="000000" w:themeColor="text1"/>
          <w:sz w:val="16"/>
          <w:szCs w:val="16"/>
        </w:rPr>
        <w:t xml:space="preserve"> в 1943 году вечернее сообщение Совинформбюро:</w:t>
      </w:r>
    </w:p>
    <w:p w14:paraId="014009AE"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17 марта наши войска вели бои на прежних направлениях.</w:t>
      </w:r>
    </w:p>
    <w:p w14:paraId="10C00F23"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марта частями нашей авиации на различных участках фронта уничтожено или повреждено более 100 немецких автомашин с войсками и грузами, подавлен огонь 22 артиллерийских и миномётных батарей, взорван склад противника с боеприпасами.</w:t>
      </w:r>
    </w:p>
    <w:p w14:paraId="33116AAA"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Западного фронта, отбивая контратаки пехоты и танков противника, развивали наступление и заняли несколько десятков населённых пунктов. Части Н-ского соединения в боях за один крупный населённый пункт уничтожили до 500 немецких солдат и офицеров. Захвачено у противника 10 орудий, 60 пулемётов и 60 автомашин с разным военным имуществом. На другом участке наши части сломили сопротивление гитлеровцев на рубеже Днепра, переправились через реку и овладели рядом опорных пунктов.</w:t>
      </w:r>
    </w:p>
    <w:p w14:paraId="3E35BC89"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Чугуева наши войска, в результате ожесточённых боёв, отбросили немцев и заняли выгодные позиции. Противник шесть раз переходил в контратаки, но не добился никакого успеха. Огнём нашей артиллерии подбито и сожжено 19 немецких танков, уничтожено 90 автомашин, 4 орудия и до двух батальонов пехоты противника.</w:t>
      </w:r>
    </w:p>
    <w:p w14:paraId="2E8E9B84"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Севска Н-ская кавалерийская часть отражала атаки крупных сил немецкой пехоты и танков. Противник понёс тяжёлые потери, оставив на поле боя десятки разбитых и сожжённых танков и автомашин. На другом участке наши разведывательные отряды истребили до 200 гитлеровцев и захватили трофеи.</w:t>
      </w:r>
    </w:p>
    <w:p w14:paraId="2FF0DA8A"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озера Ильмень наши войска продолжали наступательные бои. Советские подразделения переправились через водный рубеж и заняли десять сильно укреплённых населённых пунктов. Уничтожено до 6О0 немецких солдат и офицеров. Бойцы Н-ской части захватили 4 немецких танка, 5 орудий и склад боеприпасов.</w:t>
      </w:r>
    </w:p>
    <w:p w14:paraId="45FCB3D4"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в воздушных боях в течение дня сбили 24 немецких самолёта.</w:t>
      </w:r>
    </w:p>
    <w:p w14:paraId="0A8BA1BD"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Витебской области, пустил под откос 3 железнодорожных эшелона противника. В результате крушений разбито 2паровоза, 8 цистерн с горючим, 13 вагонов с боеприпасами и 3 воинских вагона. Движение поездов на этом участке железной дороги полностью прекращено.</w:t>
      </w:r>
    </w:p>
    <w:p w14:paraId="29C87B58"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командир 1 роты 177 немецкого пехотного полка лейтенант Курт Пендель рассказал: «В прошлом году Гитлер поставил перед немецкой армией задачу захватить Волгу и Кавказ. Однако русские сорвали планы немецкого командования. После поражения немецких войск под Сталинградом в германской военной машине образовался надлом. Призрак окружённой и уничтоженной армии Паулюса преследует немецких солдат и офицеров. Многим на каждом шагу теперь мерещится окружение».</w:t>
      </w:r>
    </w:p>
    <w:p w14:paraId="0B30B4D7"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Отступая под ударами Красной Армии, немцы разрушают и сжигают города и сёла, отбирают у населения последние остатки продовольствия, одежду и наиболее ценные вещи, а жителей насильно угоняют в Германию. В деревне Потапово, Смоленскойобласти, гитлеровцы дочиста ограбили колхозников, а всех крестьян под конвоем увели в тыл. В деревне Песочная, той же области, немцы приказали всем жителям явиться к определённому часу на сборный пункт для отправки в Германию. Чтобы избежать фашистского плена, крестьяне попрятались в землянках. Гитлеровскиез вери облили бензином двери землянок и подожгли их. В огне погибло 130 жителей, в том числе много женщин и детей.» (15071).</w:t>
      </w:r>
    </w:p>
    <w:p w14:paraId="669655B9" w14:textId="77777777" w:rsidR="00530A1E" w:rsidRPr="00D03F3E" w:rsidRDefault="00530A1E" w:rsidP="00D03F3E">
      <w:pPr>
        <w:spacing w:after="0" w:line="240" w:lineRule="auto"/>
        <w:jc w:val="both"/>
        <w:rPr>
          <w:rFonts w:ascii="Times New Roman" w:hAnsi="Times New Roman"/>
          <w:color w:val="000000" w:themeColor="text1"/>
          <w:sz w:val="16"/>
          <w:szCs w:val="16"/>
        </w:rPr>
      </w:pPr>
    </w:p>
    <w:p w14:paraId="30638E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марта 1943 г. вышел приказ командующе</w:t>
      </w:r>
      <w:r w:rsidRPr="00D03F3E">
        <w:rPr>
          <w:rFonts w:ascii="Times New Roman" w:hAnsi="Times New Roman"/>
          <w:color w:val="000000" w:themeColor="text1"/>
          <w:sz w:val="16"/>
          <w:szCs w:val="16"/>
        </w:rPr>
        <w:softHyphen/>
        <w:t>го ВВС КА генерал-полковника авиации А.А.Новикова, опре</w:t>
      </w:r>
      <w:r w:rsidRPr="00D03F3E">
        <w:rPr>
          <w:rFonts w:ascii="Times New Roman" w:hAnsi="Times New Roman"/>
          <w:color w:val="000000" w:themeColor="text1"/>
          <w:sz w:val="16"/>
          <w:szCs w:val="16"/>
        </w:rPr>
        <w:softHyphen/>
        <w:t>делявший порядок оценки эффективно</w:t>
      </w:r>
      <w:r w:rsidRPr="00D03F3E">
        <w:rPr>
          <w:rFonts w:ascii="Times New Roman" w:hAnsi="Times New Roman"/>
          <w:color w:val="000000" w:themeColor="text1"/>
          <w:sz w:val="16"/>
          <w:szCs w:val="16"/>
        </w:rPr>
        <w:softHyphen/>
        <w:t>сти действий штурмовой авиации, кон</w:t>
      </w:r>
      <w:r w:rsidRPr="00D03F3E">
        <w:rPr>
          <w:rFonts w:ascii="Times New Roman" w:hAnsi="Times New Roman"/>
          <w:color w:val="000000" w:themeColor="text1"/>
          <w:sz w:val="16"/>
          <w:szCs w:val="16"/>
        </w:rPr>
        <w:softHyphen/>
        <w:t xml:space="preserve">статировал: </w:t>
      </w:r>
      <w:r w:rsidRPr="00D03F3E">
        <w:rPr>
          <w:rFonts w:ascii="Times New Roman" w:hAnsi="Times New Roman"/>
          <w:iCs/>
          <w:color w:val="000000" w:themeColor="text1"/>
          <w:sz w:val="16"/>
          <w:szCs w:val="16"/>
        </w:rPr>
        <w:t>"Наблюдением за боевой работой... штурмовой авиации установ</w:t>
      </w:r>
      <w:r w:rsidRPr="00D03F3E">
        <w:rPr>
          <w:rFonts w:ascii="Times New Roman" w:hAnsi="Times New Roman"/>
          <w:iCs/>
          <w:color w:val="000000" w:themeColor="text1"/>
          <w:sz w:val="16"/>
          <w:szCs w:val="16"/>
        </w:rPr>
        <w:softHyphen/>
        <w:t>лено, что командиры соединений и час</w:t>
      </w:r>
      <w:r w:rsidRPr="00D03F3E">
        <w:rPr>
          <w:rFonts w:ascii="Times New Roman" w:hAnsi="Times New Roman"/>
          <w:iCs/>
          <w:color w:val="000000" w:themeColor="text1"/>
          <w:sz w:val="16"/>
          <w:szCs w:val="16"/>
        </w:rPr>
        <w:softHyphen/>
        <w:t>тей не занимаются решением огневой задачи и не интересуются окончатель</w:t>
      </w:r>
      <w:r w:rsidRPr="00D03F3E">
        <w:rPr>
          <w:rFonts w:ascii="Times New Roman" w:hAnsi="Times New Roman"/>
          <w:iCs/>
          <w:color w:val="000000" w:themeColor="text1"/>
          <w:sz w:val="16"/>
          <w:szCs w:val="16"/>
        </w:rPr>
        <w:softHyphen/>
        <w:t>ными результатами боевых действий своих частей, а именно установлением, в какой степени оказалось действитель</w:t>
      </w:r>
      <w:r w:rsidRPr="00D03F3E">
        <w:rPr>
          <w:rFonts w:ascii="Times New Roman" w:hAnsi="Times New Roman"/>
          <w:iCs/>
          <w:color w:val="000000" w:themeColor="text1"/>
          <w:sz w:val="16"/>
          <w:szCs w:val="16"/>
        </w:rPr>
        <w:softHyphen/>
        <w:t>но поражение заданной цели... "</w:t>
      </w:r>
    </w:p>
    <w:p w14:paraId="7652F4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этой связи командующий ВВС по</w:t>
      </w:r>
      <w:r w:rsidRPr="00D03F3E">
        <w:rPr>
          <w:rFonts w:ascii="Times New Roman" w:hAnsi="Times New Roman"/>
          <w:color w:val="000000" w:themeColor="text1"/>
          <w:sz w:val="16"/>
          <w:szCs w:val="16"/>
        </w:rPr>
        <w:softHyphen/>
        <w:t xml:space="preserve">требовал от командующих воздушных армий </w:t>
      </w:r>
      <w:r w:rsidRPr="00D03F3E">
        <w:rPr>
          <w:rFonts w:ascii="Times New Roman" w:hAnsi="Times New Roman"/>
          <w:iCs/>
          <w:color w:val="000000" w:themeColor="text1"/>
          <w:sz w:val="16"/>
          <w:szCs w:val="16"/>
        </w:rPr>
        <w:t>"...впредь до отработки фотокон</w:t>
      </w:r>
      <w:r w:rsidRPr="00D03F3E">
        <w:rPr>
          <w:rFonts w:ascii="Times New Roman" w:hAnsi="Times New Roman"/>
          <w:iCs/>
          <w:color w:val="000000" w:themeColor="text1"/>
          <w:sz w:val="16"/>
          <w:szCs w:val="16"/>
        </w:rPr>
        <w:softHyphen/>
        <w:t>троля боевой работы штурмовиков оцен</w:t>
      </w:r>
      <w:r w:rsidRPr="00D03F3E">
        <w:rPr>
          <w:rFonts w:ascii="Times New Roman" w:hAnsi="Times New Roman"/>
          <w:iCs/>
          <w:color w:val="000000" w:themeColor="text1"/>
          <w:sz w:val="16"/>
          <w:szCs w:val="16"/>
        </w:rPr>
        <w:softHyphen/>
        <w:t>ку боевых действий групп давать не на основании доклада ведущего, а на ос</w:t>
      </w:r>
      <w:r w:rsidRPr="00D03F3E">
        <w:rPr>
          <w:rFonts w:ascii="Times New Roman" w:hAnsi="Times New Roman"/>
          <w:iCs/>
          <w:color w:val="000000" w:themeColor="text1"/>
          <w:sz w:val="16"/>
          <w:szCs w:val="16"/>
        </w:rPr>
        <w:softHyphen/>
        <w:t>новании наблюдения контролера в воз</w:t>
      </w:r>
      <w:r w:rsidRPr="00D03F3E">
        <w:rPr>
          <w:rFonts w:ascii="Times New Roman" w:hAnsi="Times New Roman"/>
          <w:iCs/>
          <w:color w:val="000000" w:themeColor="text1"/>
          <w:sz w:val="16"/>
          <w:szCs w:val="16"/>
        </w:rPr>
        <w:softHyphen/>
        <w:t xml:space="preserve">духе от полка или дивизии" </w:t>
      </w:r>
      <w:r w:rsidRPr="00D03F3E">
        <w:rPr>
          <w:rFonts w:ascii="Times New Roman" w:hAnsi="Times New Roman"/>
          <w:color w:val="000000" w:themeColor="text1"/>
          <w:sz w:val="16"/>
          <w:szCs w:val="16"/>
        </w:rPr>
        <w:t>(6467).</w:t>
      </w:r>
    </w:p>
    <w:p w14:paraId="6789E2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B536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марта 1943 года вышел УКАЗ ПРЕЗИДИУМА ВЕРХОВНОГО СОВЕТА СССР О ПРИСВОЕНИИ ГЕНЕРАЛ-ПОЛКОВНИКУ АВИАЦИИ НОВИКОВУ А.А. ВОЕННОГО ЗВАНИЯ МАРШАЛА АВИАЦИИ</w:t>
      </w:r>
    </w:p>
    <w:p w14:paraId="56023C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Генерал-полковнику авиации Новикову Александру Александровичу присвоить военное звание маршала авиации,</w:t>
      </w:r>
    </w:p>
    <w:p w14:paraId="2EC53E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Председатель Президиума Верховного Совета СССР М. КАЛИНИН</w:t>
      </w:r>
    </w:p>
    <w:p w14:paraId="5FF1B3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Секретарь Президиума Верховного Совета СССР А. ГОРКИН</w:t>
      </w:r>
    </w:p>
    <w:p w14:paraId="5688D3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 Кремль(9844).</w:t>
      </w:r>
    </w:p>
    <w:p w14:paraId="5A1EAD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E860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марта 1944 г. военный совет ЧФ запросил у наркома ВМФ о возможности получения еще 4-5 ТБ-1 с Тихоокеанского флота или из резерва Ставки, т.к. черно</w:t>
      </w:r>
      <w:r w:rsidRPr="00D03F3E">
        <w:rPr>
          <w:rFonts w:ascii="Times New Roman" w:hAnsi="Times New Roman"/>
          <w:color w:val="000000" w:themeColor="text1"/>
          <w:sz w:val="16"/>
          <w:szCs w:val="16"/>
        </w:rPr>
        <w:softHyphen/>
        <w:t>морцы своими силами не справлялись с пе</w:t>
      </w:r>
      <w:r w:rsidRPr="00D03F3E">
        <w:rPr>
          <w:rFonts w:ascii="Times New Roman" w:hAnsi="Times New Roman"/>
          <w:color w:val="000000" w:themeColor="text1"/>
          <w:sz w:val="16"/>
          <w:szCs w:val="16"/>
        </w:rPr>
        <w:softHyphen/>
        <w:t>ревозками. Однако потребность в тран</w:t>
      </w:r>
      <w:r w:rsidRPr="00D03F3E">
        <w:rPr>
          <w:rFonts w:ascii="Times New Roman" w:hAnsi="Times New Roman"/>
          <w:color w:val="000000" w:themeColor="text1"/>
          <w:sz w:val="16"/>
          <w:szCs w:val="16"/>
        </w:rPr>
        <w:softHyphen/>
        <w:t>спортниках существовала и на Дальнем Востоке, поэтому самолеты остались там. В 1945 г. в составе авиации ТОФ еще числи</w:t>
      </w:r>
      <w:r w:rsidRPr="00D03F3E">
        <w:rPr>
          <w:rFonts w:ascii="Times New Roman" w:hAnsi="Times New Roman"/>
          <w:color w:val="000000" w:themeColor="text1"/>
          <w:sz w:val="16"/>
          <w:szCs w:val="16"/>
        </w:rPr>
        <w:softHyphen/>
        <w:t>лись три транспортных ТБ-1. После окончания войны несколько эк</w:t>
      </w:r>
      <w:r w:rsidRPr="00D03F3E">
        <w:rPr>
          <w:rFonts w:ascii="Times New Roman" w:hAnsi="Times New Roman"/>
          <w:color w:val="000000" w:themeColor="text1"/>
          <w:sz w:val="16"/>
          <w:szCs w:val="16"/>
        </w:rPr>
        <w:softHyphen/>
        <w:t>земпляров использовали в рыбной про</w:t>
      </w:r>
      <w:r w:rsidRPr="00D03F3E">
        <w:rPr>
          <w:rFonts w:ascii="Times New Roman" w:hAnsi="Times New Roman"/>
          <w:color w:val="000000" w:themeColor="text1"/>
          <w:sz w:val="16"/>
          <w:szCs w:val="16"/>
        </w:rPr>
        <w:softHyphen/>
        <w:t>мышленности и на Севере. Последние машины там списали в 1946-47 гг. Таким образом, достойно отслужив почти два десятка лет, ТБ-1 окончательно сошел со сцены, когда в авиации наступала реактив</w:t>
      </w:r>
      <w:r w:rsidRPr="00D03F3E">
        <w:rPr>
          <w:rFonts w:ascii="Times New Roman" w:hAnsi="Times New Roman"/>
          <w:color w:val="000000" w:themeColor="text1"/>
          <w:sz w:val="16"/>
          <w:szCs w:val="16"/>
        </w:rPr>
        <w:softHyphen/>
        <w:t>ная эра (11286).</w:t>
      </w:r>
    </w:p>
    <w:p w14:paraId="1ED4F8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57A46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1C4B0E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7D499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марта 1943 Англо-американо-французские войска в Северной Африке начали Тунисскую операцию.В результате операции войска 18 группы армий союзников разгромили германо-итальянскую группу армий "Африка" и овладели территорий Туниса. Войска оси были окончательно изгнаны из Северной Африки (4963 ).</w:t>
      </w:r>
    </w:p>
    <w:p w14:paraId="0F7C556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E467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C 17 марта по 13 мая 1943 была Тунисская операция (2443,218).</w:t>
      </w:r>
    </w:p>
    <w:p w14:paraId="685B88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832D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марта 1943 состоялся 35-тыс. митинг в Лондоне на Трафальгарской площади с требованием открытия второго фронта во Франции (3526).</w:t>
      </w:r>
    </w:p>
    <w:p w14:paraId="35696F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DF5675"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1B0481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EAB6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марта 1943 была первая рулежка и общее ознакомление с самолетом Гу-1 до скорости 120-140 км/час и повторная рулежка. Ви был Фоменко (1458,152).</w:t>
      </w:r>
    </w:p>
    <w:p w14:paraId="457368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8C59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марта 1943 года состоялись первые две рулежки с разгоном до скорости 120-140 км/ч на Аэрокобре М.И.Гудкова. Тогда же обнаружилось, что на разбеге машину уводило в сторону, но разворот легко парировался легким торможением левого колеса и отклонением руля направления. Спустя два месяца, выполняя четвертую рулежку, Никашин оторвал машину от ВПП на скорости 220 км/ч, пролетев над полосой на высоте 0,1-0.12 м. При весе 4350 кг разбег не превышал 550-570 м. Через восемь дней. 29 мая - пятый подлет. На этот раз крыльевые щитки были отклонены на 15°, а купола шасси заклеили полотном. Высота над ВПП - 0,2 м (7682,4).</w:t>
      </w:r>
    </w:p>
    <w:p w14:paraId="5E64D9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079BED"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 xml:space="preserve">18 марта </w:t>
      </w:r>
      <w:r w:rsidRPr="00D03F3E">
        <w:rPr>
          <w:rFonts w:ascii="Times New Roman" w:hAnsi="Times New Roman"/>
          <w:color w:val="000000" w:themeColor="text1"/>
          <w:sz w:val="16"/>
          <w:szCs w:val="16"/>
        </w:rPr>
        <w:t xml:space="preserve">в 1943 году состоялись первые две рулежки истребителя </w:t>
      </w:r>
      <w:hyperlink r:id="rId94" w:tgtFrame="_blank" w:history="1">
        <w:r w:rsidRPr="00D03F3E">
          <w:rPr>
            <w:rFonts w:ascii="Times New Roman" w:hAnsi="Times New Roman"/>
            <w:color w:val="000000" w:themeColor="text1"/>
            <w:sz w:val="16"/>
            <w:szCs w:val="16"/>
          </w:rPr>
          <w:t xml:space="preserve">«ГУ-1» </w:t>
        </w:r>
      </w:hyperlink>
      <w:r w:rsidRPr="00D03F3E">
        <w:rPr>
          <w:rFonts w:ascii="Times New Roman" w:hAnsi="Times New Roman"/>
          <w:color w:val="000000" w:themeColor="text1"/>
          <w:sz w:val="16"/>
          <w:szCs w:val="16"/>
        </w:rPr>
        <w:t>конструктора Гудкова, с разгоном до скорости 120-140 км/ч (15072).</w:t>
      </w:r>
    </w:p>
    <w:p w14:paraId="64F5B15B" w14:textId="77777777" w:rsidR="00530A1E" w:rsidRPr="00D03F3E" w:rsidRDefault="00530A1E" w:rsidP="00D03F3E">
      <w:pPr>
        <w:spacing w:after="0" w:line="240" w:lineRule="auto"/>
        <w:jc w:val="both"/>
        <w:rPr>
          <w:rFonts w:ascii="Times New Roman" w:hAnsi="Times New Roman"/>
          <w:color w:val="000000" w:themeColor="text1"/>
          <w:sz w:val="16"/>
          <w:szCs w:val="16"/>
        </w:rPr>
      </w:pPr>
    </w:p>
    <w:p w14:paraId="40A1DD3B"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18 марта 1943 года состоялись первые две рулежки Гу-1 с разгоном до скорости 120-140 км/ч. </w:t>
      </w:r>
    </w:p>
    <w:p w14:paraId="1CB0ECDD"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Для испытаний Гу-1 Михаил Иванович пригласил летчика-инженера А.И.Никашина. Выбор этот был не случаен, поскольку Алексей Иванович пользовался особым уважением и непререкаемым авторитетом у летчиков. Конструктор очень торопился с выпуском машины в полет и его можно понять, ведь время было военное. На Гу-1 не полностью установили купола шасси, отсутствовали створки переднего колеса, а предкрылки были плохо пригнаны. По мнению разработчиков эти недоделки не служили препятствием для начала летных испытаний и, получив "добро" от наркомата, </w:t>
      </w:r>
    </w:p>
    <w:p w14:paraId="4A7B9840"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Тогда же обнаружилось, что на разбеге машину уводило в сторону, но разворот легко парировался легким торможением левого колеса и отклонением руля направления.</w:t>
      </w:r>
    </w:p>
    <w:p w14:paraId="028CB169"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Спустя два месяца, выполняя четвертую рулежку, Никашин оторвал машину от ВПП на скорости 220 км/ч, пролетев над полосой на высоте 0,1-0,12 м. При весе 4350 кг разбег не превышал 550-570 м. Через восемь дней, 29 мая - пятый подлет. На этот раз крыльевые щитки были отклонены на 15°, а купола шасси заклеили полотном. Высота над ВПП - 0,2 м (15558).</w:t>
      </w:r>
    </w:p>
    <w:p w14:paraId="6A7EBAAB" w14:textId="77777777" w:rsidR="00530A1E" w:rsidRPr="00D03F3E" w:rsidRDefault="00530A1E" w:rsidP="00D03F3E">
      <w:pPr>
        <w:spacing w:after="0" w:line="240" w:lineRule="auto"/>
        <w:jc w:val="both"/>
        <w:rPr>
          <w:rFonts w:ascii="Times New Roman" w:hAnsi="Times New Roman"/>
          <w:color w:val="000000" w:themeColor="text1"/>
          <w:sz w:val="16"/>
          <w:szCs w:val="16"/>
        </w:rPr>
      </w:pPr>
    </w:p>
    <w:p w14:paraId="1ACC34C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марта 1943 г. закончился капитальный ремонт И-185М-71 (№6202), перестроенного с заме</w:t>
      </w:r>
      <w:r w:rsidRPr="00D03F3E">
        <w:rPr>
          <w:rFonts w:ascii="Times New Roman" w:hAnsi="Times New Roman"/>
          <w:color w:val="000000" w:themeColor="text1"/>
          <w:sz w:val="16"/>
          <w:szCs w:val="16"/>
        </w:rPr>
        <w:softHyphen/>
        <w:t>ной двигателя и капотирования из машины с М-81. При эвакуации его отправили по воздуху в Казань и он соверши</w:t>
      </w:r>
      <w:r w:rsidRPr="00D03F3E">
        <w:rPr>
          <w:rFonts w:ascii="Times New Roman" w:hAnsi="Times New Roman"/>
          <w:color w:val="000000" w:themeColor="text1"/>
          <w:sz w:val="16"/>
          <w:szCs w:val="16"/>
        </w:rPr>
        <w:softHyphen/>
        <w:t>л вынужденную посадку, после чего лежал под открытым небом вплоть до января 1942 г. 12 мая 1942 его передали на мос</w:t>
      </w:r>
      <w:r w:rsidRPr="00D03F3E">
        <w:rPr>
          <w:rFonts w:ascii="Times New Roman" w:hAnsi="Times New Roman"/>
          <w:color w:val="000000" w:themeColor="text1"/>
          <w:sz w:val="16"/>
          <w:szCs w:val="16"/>
        </w:rPr>
        <w:softHyphen/>
        <w:t>ковский филиал завода №51 (9979).</w:t>
      </w:r>
    </w:p>
    <w:p w14:paraId="27125E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C275BC" w14:textId="77777777" w:rsidR="008E0A87" w:rsidRPr="00D03F3E" w:rsidRDefault="008E0A8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18 марта 1943 г. московский филиал завода №51 вернул в строй И-185 М-71 №6202. 2 ноября 1941 пришло указание о перегоне части самолетов ОКБ ННП в Новосибирск своим ходом, заодно проведя замеры дальности. Оно коснулось и И-185 М-71 №6202. Пролетев менее 200 км, летчик Попельнушенко был вынужден садиться на фюзеляж у Шатуры из-за отказа М-71. Эвакуировать И-185 возможности не было, и он пролежал в снегу до января 1942 г., пока не был вывезен в Москву. Ремонт поручили заводу №482, но тот с незнакомым изделием ничего не мог сделать и 12 мая И-185 передали московский филиал завода №51 (17736)</w:t>
      </w:r>
    </w:p>
    <w:p w14:paraId="6D2B6258" w14:textId="77777777" w:rsidR="008E0A87" w:rsidRPr="00D03F3E" w:rsidRDefault="008E0A87" w:rsidP="00D03F3E">
      <w:pPr>
        <w:pStyle w:val="12a"/>
        <w:shd w:val="clear" w:color="auto" w:fill="auto"/>
        <w:spacing w:after="0" w:line="240" w:lineRule="auto"/>
        <w:jc w:val="both"/>
        <w:rPr>
          <w:color w:val="000000" w:themeColor="text1"/>
          <w:sz w:val="16"/>
          <w:szCs w:val="16"/>
        </w:rPr>
      </w:pPr>
    </w:p>
    <w:p w14:paraId="3468BA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марта 1943 под Брянском был захвачен Ju 87G-1 N 131097 DJ+FT, на котором испытывали вооружение (2466,149).</w:t>
      </w:r>
    </w:p>
    <w:p w14:paraId="30D666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1843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марта 1943 г. в районе Брянска подбили новейший противотанковый Ju 87G-1 обер-лейтенанта Тренкмана. Самолет с места вынужденной посадки эвакуировать не смогли, демонтировали лишь «изюминку» — 37-мм пушки, кото­рые затем отправили в тыл. В НИПАВ определили, что они незначительно отличаются от зениток Flak 18. Высокая начальная скорость снаряда делала «Густава» весьма опасным для «трид­цатьчетверок» на дальности до 800 м. Недостатками установки являлись боль­шой вес (473 кг на одну пушку) и значительный разворачивающий момент при стрельбе одной пушкой из-за удаления оси ствола от оси самолета. Инженеры НИИ ВВС В.Ф. Болотников, А.Г. Аронов и А.С. Розанов подробно допросили Тренкмана. Выяснилось, что он имел солидный летный стаж, отлично разбирался в технике и пилотировал практически все типы немецких самоле­тов. Большинство «истребителей тан­ков» составляли летчики с большим опытом, лишь они могли управиться с потяжелевшей и маломаневренной ма­шиной. Как правило, немцы атаковали советские танки под углами 10 —12°, открывая огонь с высоты 50 — 100 м. В мае 1943 г. при стрельбе по трофейному танку Pz.IV пушка Flak 18 показала большую пробивную способность, по сравнению с нашей НС-37, за счет превосходства в дульной мощности. Однако немецкая пушка была почти вдвое тяжелее и в 1,5 раза уступала в скорострельности.</w:t>
      </w:r>
    </w:p>
    <w:p w14:paraId="39E60E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D9C1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18 по 21 марта 1943 в НИИ ВВС прошли контрольные испытания Як-6 № 640102 з-да № 264, у которого по сравнению с опытным Як-6ыли:</w:t>
      </w:r>
    </w:p>
    <w:p w14:paraId="41E2F6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Крыло сделано разъемным (прирост веса 120 кг),</w:t>
      </w:r>
    </w:p>
    <w:p w14:paraId="3B0BA9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Увеличена стреловидность крыла с 11 гр до 16.4 гр,</w:t>
      </w:r>
    </w:p>
    <w:p w14:paraId="49834A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Увеличена площадь РВ с 1.98 до 2.43 м,</w:t>
      </w:r>
    </w:p>
    <w:p w14:paraId="4CDB98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правом борту сделан грузловой люк.</w:t>
      </w:r>
    </w:p>
    <w:p w14:paraId="1F6D20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Поперечная устойчивость осталась прежней, но улучшились пилотажные свойства, машина стала удобней в жксплуатации. Вес вырос на 207 кг (4657, 18).</w:t>
      </w:r>
    </w:p>
    <w:p w14:paraId="3896DA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3A1B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марта 1943 года ст. инженер НИИ-3 при Совнаркоме Раев К.Г. писал зам. председателя СНК Микояну А.И.</w:t>
      </w:r>
    </w:p>
    <w:p w14:paraId="6650C5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Докладная записка</w:t>
      </w:r>
    </w:p>
    <w:p w14:paraId="43B4A9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протяжении ряда лет Химическая лаборатория НК пищевой промышленности (а в последнее время НК рыбной промышленности), руководимая Лобович М.А. проводила работы по бакелитовым лакам. Она была организована по вашему приказу № 544 от 22 апреля 1933 года.</w:t>
      </w:r>
    </w:p>
    <w:p w14:paraId="04E58D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Бакелитовый лак № 86, технология изготовления которого, а также методика покрытия им металла были разработаны Лобович, получил большое применение в консервной промышленности и применяется как антикоррозийное покрытие крабовых банок.</w:t>
      </w:r>
    </w:p>
    <w:p w14:paraId="757632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Дальнейшие работы над лаками Лобовтча на бакелитовой основе привели к созданию специального покрытия древесины, которое защищает последнюю от поражения морским червем.</w:t>
      </w:r>
    </w:p>
    <w:p w14:paraId="5280EA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образцов дерева, покрытых лаком № 97, были произведены на Черном море в Севастополе, Батуми и Керчи осенью 1937 года. Эти испытания показали, что этот лак вполне годится как защитное покрытие против морского червя, однако он, по непонятным причинам не получил у нас в судостроительной промышленности применения.</w:t>
      </w:r>
    </w:p>
    <w:p w14:paraId="36A7C0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Дальнейшей работой Лобовтча было изготовление специального покрытия подводной части корпуса судов против обрастания ракушкой. Произведенные испытания показали, что это покрытие значительно лучше, имеющихся в Англии и Японии патентованных красок.</w:t>
      </w:r>
    </w:p>
    <w:p w14:paraId="5C8D85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Бакелитовые лаки обладают свойством химического соединения с древесиной, а также прекрасно склеивают древесину. Эти соединения абсолютно не боятся сырости. Все эти свойства указанного лака были проверены при постройке морского глиссера-экспресса, спроектированного Гартвигом. На указанном глиссере, обшивка в подводной части была склеена этим бакелитовым лаком.</w:t>
      </w:r>
    </w:p>
    <w:p w14:paraId="3C49C4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Эти очень ценные для судостроения свойства бакелитовых лаков сулят им большое применение в легком катерном судостроении.</w:t>
      </w:r>
    </w:p>
    <w:p w14:paraId="74F4C4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Бакелитовые лаки, разработанные Лобовичем, обладают также свойством высокой стойкости против концентрированных кислот (азотной, серной и соляной). Эти их свойства были проверены на ряде химических заводов – Владимирский масляный завод в Москве, Астраханская лаборатория Института комбината Вашего имени, Всесоюзный теплотехнический институт.</w:t>
      </w:r>
    </w:p>
    <w:p w14:paraId="6D1BBA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Нельзя наконец не отметить высокую температурную стойкость лака (он выдерживает температуру 250 градусов Ц).</w:t>
      </w:r>
    </w:p>
    <w:p w14:paraId="5BC61C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всего вышеизложенного следует, что разработанные Лобовичем бакелитовые лаки могут найти нижеследующее применение (кроме консервной промышленности, где они применяются с 1929 года).</w:t>
      </w:r>
    </w:p>
    <w:p w14:paraId="5A4C74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деревянном судостроении.</w:t>
      </w:r>
    </w:p>
    <w:p w14:paraId="422B19B2"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защитное покрытие против морского червя.</w:t>
      </w:r>
    </w:p>
    <w:p w14:paraId="0A85A758"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клей не боящийся сырости, для склейки деревянных частей корпуса быстроходных катеров.</w:t>
      </w:r>
    </w:p>
    <w:p w14:paraId="4471A11A"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противопожарное покрытие.</w:t>
      </w:r>
    </w:p>
    <w:p w14:paraId="563E3C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военном и коммерческом судостроении.</w:t>
      </w:r>
    </w:p>
    <w:p w14:paraId="2CB28D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Специальное покрытие подводной части, как металлического, так и деревянного корпуса судов, защищающее их от обрастания ракушкой.</w:t>
      </w:r>
    </w:p>
    <w:p w14:paraId="58DE16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авиационной промышленности.</w:t>
      </w:r>
    </w:p>
    <w:p w14:paraId="5B0AF2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бензостойкий лак для склеивания и покрытия фанерных бензобаков (в целях экономии дюраля и сплава АМЦ).</w:t>
      </w:r>
    </w:p>
    <w:p w14:paraId="4E0BA0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химической промышленности и отраслях н/х, применяющих кислоты.</w:t>
      </w:r>
    </w:p>
    <w:p w14:paraId="2F0F77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Как покрытие, предохраняющее черные металлы и древесину от действия кислот.</w:t>
      </w:r>
    </w:p>
    <w:p w14:paraId="7F753C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настоящее время бакелитовые лаки полукустарно изготовляются в ряде организаций, в то же самое время приведенные примеры достаточно ясно показывают насколько широко возможно их применение в н/х.</w:t>
      </w:r>
    </w:p>
    <w:p w14:paraId="4FA30D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Считаю, что принятое в 1939 году решение о ликвидации в НК рыбпроме лаборатории по бакелитовым лакам говорит о недостаточно серьезном отношении этого Наркомата к этому вопросу. Ввиду ликвидации этой лаборатории был прерван целый ряд работ по дальнейшему расширению областей применения этих лаков. Так например не была закончена работа по покрытиям бакелитовыми лаками алюминиевых сплавов, проводившаяся по заданию завода № 1 НКАП (8917).</w:t>
      </w:r>
    </w:p>
    <w:p w14:paraId="3D5474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0E801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035617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DCEF84" w14:textId="77777777" w:rsidR="004A45BE" w:rsidRPr="00D03F3E" w:rsidRDefault="004A45BE" w:rsidP="00D03F3E">
      <w:pPr>
        <w:pStyle w:val="a3"/>
        <w:rPr>
          <w:color w:val="000000" w:themeColor="text1"/>
          <w:lang w:val="ru-RU"/>
        </w:rPr>
      </w:pPr>
      <w:r w:rsidRPr="00D03F3E">
        <w:rPr>
          <w:color w:val="000000" w:themeColor="text1"/>
          <w:lang w:val="ru-RU"/>
        </w:rPr>
        <w:t>18 марта 1943 года между Кировским заводом НКТП и Управлени</w:t>
      </w:r>
      <w:r w:rsidRPr="00D03F3E">
        <w:rPr>
          <w:color w:val="000000" w:themeColor="text1"/>
          <w:lang w:val="ru-RU"/>
        </w:rPr>
        <w:softHyphen/>
        <w:t>ем мехтяги и самоходной артиллерии ГАУ КА был заключен договор № 1489-73 на поставку самоходных установок СУ-14. Согласно догово</w:t>
      </w:r>
      <w:r w:rsidRPr="00D03F3E">
        <w:rPr>
          <w:color w:val="000000" w:themeColor="text1"/>
          <w:lang w:val="ru-RU"/>
        </w:rPr>
        <w:softHyphen/>
        <w:t>ру, за февраль Кировский завод обязался поставить 30 САУ, а за март еще 75 штук. Цена одной самоходной установки составляла 265 тысяч рублей. Договор был оформлен задним числом, поскольку к тому мо</w:t>
      </w:r>
      <w:r w:rsidRPr="00D03F3E">
        <w:rPr>
          <w:color w:val="000000" w:themeColor="text1"/>
          <w:lang w:val="ru-RU"/>
        </w:rPr>
        <w:softHyphen/>
        <w:t>менту СУ-14 выпускалась уже второй месяц (17484).</w:t>
      </w:r>
    </w:p>
    <w:p w14:paraId="6EDD6A13" w14:textId="77777777" w:rsidR="004A45BE" w:rsidRPr="00D03F3E" w:rsidRDefault="004A45BE" w:rsidP="00D03F3E">
      <w:pPr>
        <w:spacing w:after="0" w:line="240" w:lineRule="auto"/>
        <w:jc w:val="both"/>
        <w:rPr>
          <w:rFonts w:ascii="Times New Roman" w:hAnsi="Times New Roman"/>
          <w:color w:val="000000" w:themeColor="text1"/>
          <w:sz w:val="16"/>
          <w:szCs w:val="16"/>
        </w:rPr>
      </w:pPr>
    </w:p>
    <w:p w14:paraId="3F3B53E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марта 1943 г. из СООБЩЕНИЯ ДИРЕКТОРА ЗАВОДА № 69 ИМЕНИ ЛЕНИНА А.С. КОТЛЯРА И ПАРТОРГА ЦК ВКП(б) Я.С. ГИЦЕЛЯ ОБ УЧАСТИИ МОЛОДЫХ РАБОЧИХ В ПРОИЗВОДСТВЕННОЙ ЖИЗНИ ПРЕДПРИЯТИЯ</w:t>
      </w:r>
    </w:p>
    <w:p w14:paraId="620EF8F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 молодых рабочих до 18 лет: всего — 1 575 человек, 27,2 % ко всем рабочим. В том числе инструментальный цех - 161 человек, 31 % ко всем рабочим, сборочные цеха — 535 человек, 26 % ко всем рабочим.</w:t>
      </w:r>
    </w:p>
    <w:p w14:paraId="73722E70"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Разбивка по профессиям и разрядам.</w:t>
      </w:r>
    </w:p>
    <w:p w14:paraId="7E6C718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Примеры освоения новых профессий Знатные стахановцы из молодежи</w:t>
      </w:r>
    </w:p>
    <w:p w14:paraId="214D199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ПАНФИЛОВ Родион Егорович, 1927 года рождения, за короткий срок освоил работу сборщика 5(-го] разряда и сейчас выполняет 2—3 нормы, зарабатывает 800—900 рублей. Обучил трех человек, которые работают уже самостоятельно. Комсомолец, активно участвует в общественной жизни.</w:t>
      </w:r>
    </w:p>
    <w:p w14:paraId="25DBC14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БЕЛКИН Иван Яковлевич, 1926 года рождения, член ВЛКСМ с 1942 года, работает в цехе № 12 в качестве бригадира сборщика-механика 51-го] разряда. За время пребывания в цехе т. Белкин проявил себя как дисциплинированный комсомолец, хороший производственник, систематически перевыполняет задания. В феврале дал 236 % нормы, заработал 1 030 рублей. В настоящее время учится без отрыва от производства в аэроклубе.</w:t>
      </w:r>
    </w:p>
    <w:p w14:paraId="7A935BB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первых дней появления знатных стахановцев на заводе молодежь стала завоевывать это почетное звание. Сборщик-мех аник ГАВРИ-ЛОВ М.Ф. работает по 5-му разряду и в течение трех месяцев имеет книжку знатного стахановца. В феврале выполнил норму на 350 % при среднем выполнении нормы по участку 180 %, заработал 966 рублей. Активное участие молодежь принимает и в создании фонда имени т. Сталина, давая продукты сверх заданий: СЕСКИНА А.Т. — полиров -щица, выполняет нормы на 160 %, за февраль в фонд т. Сталина вложила 91 норма/час. РОЖКОВ К.Ф. - полировщик, выполнил нормы на 191 %. За февраль дал сверх задания 244 норма/часа. На заводе существуют следующие виды обучения: техминимум, индивидуальное обучение, обучение по договорам. Успеваемость хорошая. Теоретический курс проходится при проведении техминимума, соответственно своей квалификации по утвержденным директором завода программам. Техминимум ведут в основном ИТР цехов. При индивидуальном обучении оплата производится согласно договора. При одномесячном обучении инструктор-рабочий получает за обучение до 75 рублей, при двухмесячном — до 100 рублей в месяц, при трехмесячном - до 150 рублей, плюс премия за досрочное освоение учеником профессии.</w:t>
      </w:r>
    </w:p>
    <w:p w14:paraId="02329D4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Примеры злостных нарушителей</w:t>
      </w:r>
    </w:p>
    <w:p w14:paraId="6AC7806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ЛАГУНОВ С.Г., 1926 года рождения, слесарь цеха № 1: 10 июля 1942 года осужден нарсудом за прогулы к 4 [мес.] - 20 %; 12 ноября 1942 года осужден нарсудом за прогулы к 2 - 20 %; 4 января 1943 года осужден нарсудом за прогулы к 5 [мес] — 25 %; 12 февраля 1943 года осужден нарсудом за прогулы к 4 [мес.] - 25 %; с 13 февраля дезертирует - дело передано прокурору.</w:t>
      </w:r>
    </w:p>
    <w:p w14:paraId="02950B2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КРАСИЛЬНИКОВА Т.А., 1926 года рождения, связистка цеха № 5: 27 февраля 1943 года осуждена за прогул к 6 - 25 %; 10 марта</w:t>
      </w:r>
    </w:p>
    <w:p w14:paraId="2ADA39D4"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1943 года осуждена за прогулы к 6 — 25 %; с 8 по 11 марта прогуливала. Привлекается к уголовной ответственности за прогул в третий раз.</w:t>
      </w:r>
    </w:p>
    <w:p w14:paraId="10E93F4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BOX СП., электромонтер цеха № 6. С 14 февраля 1943 года дезертирует. Был переведен работать на наш завод с завода имени Дзержинского города Бердска. Обследованием установлено, что сбежал в Бердск к родным. Материал в прокуратуре.</w:t>
      </w:r>
    </w:p>
    <w:p w14:paraId="5F2C64C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ПОЛОЖИТЕЛЬНЫЕ ПРИМЕРЫ</w:t>
      </w:r>
    </w:p>
    <w:p w14:paraId="4523CB30"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ЛЕОНОВА В.В., 1925 года рождения, знатная стахановка, член ВЛКСМ, работает с сентября месяца 1942 года револьверщицей 3[-го] разряда. Нормы выполняет на 160-175 %, заработок 740-800 рублей. Дисциплинированная работница, хорошо освоила работу на станке и производит самостоятельно наладку. Делегат 1-го съезда молодых рабочих.</w:t>
      </w:r>
    </w:p>
    <w:p w14:paraId="0936CB8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ПОКРОВСКАЯ Р.Ю., юстировщица 4[-го] разряда, член ВЛКСМ, знатная стахановка, дисциплинированная, внимательная к работе. Выполняет нормы на 210 %. Зарабатывает 900 рублей.</w:t>
      </w:r>
    </w:p>
    <w:p w14:paraId="162BB545"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МАТЕРИАЛЬНО-БЫТОВОЕ ОБЕСПЕЧЕНИЕ МОЛОДЫХ РАБОЧИХ: ОБУВЬ, ОДЕЖДА, СОСТОЯНИЕ ОБЩЕЖИТИЙ, ПИТАНИЕ, ОРГАНИЗАЦИЯ КУЛЬТУРНОГО ДОСУГА</w:t>
      </w:r>
    </w:p>
    <w:p w14:paraId="25D5D1C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Обеспечение молодежи обувью и одеждой производится по мере наличия на заводе промтоваров, исходя из нуждаемости. Проводилось и проводится шефство старых кадровых рабочих над молодежью, имеющее целью не только воспитание, но и бытовая помощь, как починка одежды и т.п. На заводе имеется два общежития на 97 человек, где проживает исключительно молодежь. Общежития обеспечены постельными принадлежностями, которые меняются раз в декаду. Имеется красный уголок для культурного отдыха. Для одиночек молодежи долгое время существовало трехразовое питание в сутки на 700 человек. В настоящее время в связи с известными трудностями введено двухразовое питание (завтрак и обед) с охватом 600 человек. Крайне желательно расширение контингента, но ограничены ресурсами. При проведении указанных мероприятий предпочтение отдается молодым рабочим из семей военнослужащих и эвакуированных. С молодыми рабочими, пришедшими впервые в жизни на производство, проводится большая воспитательная массово-разъяснительная работа. Проведение специальных собраний, бесед с молодежью имеет своей целью привить любовь к труду, любовь к своей профессии. До сведения молодых рабочих доводится их роль в производстве, выпускающем продукцию для фронта, как активных участников Отечественной войны. Встречи молодых рабочих со стахановцами, старыми производственниками, орденоносцами показывают им, что труд в СССР есть дело чести, доблести и геройства. Ежемесячно комсомольские организации цехов и отделов закупают билеты в кино, театр, на выставки, также организовывают коллективные походы не реже двух раз в месяц. Кроме этого, в заводском клубе два раза в неделю проводится показ кино, лекции, доклады, вечера молодежи завода, выступление художественной самодеятельности. На заводе имеется библиотека. Регулярно проводятся собрания по цехам молодых рабочих с различными вопросами: «Задачи молодежи в выполнении соцобязательств», доклад об истории комсомола, читаются газеты, проводится встреча бойцов с молодыми рабочими. Доклад директора завода вновь пришедшим товарищам завода с вопросом: «Что ожидает завод от молодых рабочих». На заводе имеется пять кружков художественной самодеятельности: драматический — 18 человек, танцевальный 18 человек, духовой оркестр — 24 человека, струнная группа — 4 человека, вокальная группа — 8 человек. Сборочная бригада ДУБОВА A.M. состоит из молодежи, добилась первенства среди сборочных цехов завода. Средний процент выполнения норм по бригаде — 216 %. Работе с молодыми рабочими на заводе уделяется большое внимание, ибо они представляют значительную силу в деле выполнения государственных заданий.</w:t>
      </w:r>
    </w:p>
    <w:p w14:paraId="16DCFA70"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ГАНО. Ф. П-4. Оп. 7. Д. 531. Л. 19. Подлинник (12193).</w:t>
      </w:r>
    </w:p>
    <w:p w14:paraId="368050F0"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73ADCE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марта 1943 вышло Постановление ГКО № 3040 О плане военного судостроения на 1943 год и мероприятиях по его обеспечениюРГАНИР, Фонд ГКО, д. 97, лл. 104-114, 115-156 (11012).</w:t>
      </w:r>
    </w:p>
    <w:p w14:paraId="6DCA3B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652A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марта 1943 вышло Постановление ГКО № 3041 О т.т. Власове В.Я., Галиеве Г.Ш., Колупаеве И.Е., Лопатенко А.Г., Савкине В.Г., Прудникове Ф.К. и Малове М.Я.РГАНИР, Фонд ГКО, д. 97, лл. 157 (11012).</w:t>
      </w:r>
    </w:p>
    <w:p w14:paraId="7E0BE5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6E89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марта 1943 вышло Постановление ГКО № 3042 О т.т. Булатове И.Б., Гришине П.Г., Дружинине В.И., Рыбинском И.Ф., Стахурском М.М., Ушакове А.М. и Шиманове Н.С.РГАНИР, Фонд ГКО, д. 97, лл. 158 (11012).</w:t>
      </w:r>
    </w:p>
    <w:p w14:paraId="108DB1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DCE2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марта 1943 вышло Постановление ГКО № 3044 О завозе хлеба в республики Закавказья.РГАНИР, Фонд ГКО, д. 97, лл. 161 (11012).</w:t>
      </w:r>
    </w:p>
    <w:p w14:paraId="02DB56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A03E7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марта 1943 вышло Постановление ГКО № 3045 О перевооружении бронепоездов, имеющих пушки старых и иностранных образцов. (7089, 162).</w:t>
      </w:r>
    </w:p>
    <w:p w14:paraId="25884CF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FCAC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марта 1943 году решением Совнаркома и ЦК ВКП(б) заводу № 704 в Каменске был установлен профиль с/х машиностроения. Таким образом, параллельно с производством боеприпасов было приступлено к организации производства конных зерновых сеялок марки КД-12. С октября 1945 года завод полностью перешел на производство с/х машин (9664).</w:t>
      </w:r>
    </w:p>
    <w:p w14:paraId="108089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15BD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18 марта 1943 г. (на 1943 г.), 13 августа 1941 г. (на 1941), 2 мая 1942 г. (на 1942 г.), постановлениями ГКО и другими корректировались и утверждались ежегодные планы военного судостроения. Но даже приня</w:t>
      </w:r>
      <w:r w:rsidRPr="00D03F3E">
        <w:rPr>
          <w:rFonts w:ascii="Times New Roman" w:hAnsi="Times New Roman"/>
          <w:color w:val="000000" w:themeColor="text1"/>
          <w:sz w:val="16"/>
          <w:szCs w:val="16"/>
        </w:rPr>
        <w:softHyphen/>
        <w:t>тые и оперативно пересмотренные годовые планы не выполнялись в полном объеме, что свидетельствовало, с одной стороны, о слиш</w:t>
      </w:r>
      <w:r w:rsidRPr="00D03F3E">
        <w:rPr>
          <w:rFonts w:ascii="Times New Roman" w:hAnsi="Times New Roman"/>
          <w:color w:val="000000" w:themeColor="text1"/>
          <w:sz w:val="16"/>
          <w:szCs w:val="16"/>
        </w:rPr>
        <w:softHyphen/>
        <w:t>ком оптимистичном "волевом" планировании, а с другой — об объ</w:t>
      </w:r>
      <w:r w:rsidRPr="00D03F3E">
        <w:rPr>
          <w:rFonts w:ascii="Times New Roman" w:hAnsi="Times New Roman"/>
          <w:color w:val="000000" w:themeColor="text1"/>
          <w:sz w:val="16"/>
          <w:szCs w:val="16"/>
        </w:rPr>
        <w:softHyphen/>
        <w:t>ективных трудностях (3898).</w:t>
      </w:r>
    </w:p>
    <w:p w14:paraId="130E81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80BC94"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BCF55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039043"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 xml:space="preserve">18 марта </w:t>
      </w:r>
      <w:r w:rsidRPr="00D03F3E">
        <w:rPr>
          <w:rFonts w:ascii="Times New Roman" w:hAnsi="Times New Roman"/>
          <w:color w:val="000000" w:themeColor="text1"/>
          <w:sz w:val="16"/>
          <w:szCs w:val="16"/>
        </w:rPr>
        <w:t>в 1943 году утреннее сообщение Совинформбюро:</w:t>
      </w:r>
    </w:p>
    <w:p w14:paraId="2FC25047"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18 марта наши войска вели бои на прежних направлениях.</w:t>
      </w:r>
    </w:p>
    <w:p w14:paraId="4C8E8A09"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продолжали наступление и заняли ряд населённых пунктов. Южнее станции Игорьевская части Н-ского соединения в бою за деревню Дроновка уничтожили до 300 гитлеровцев. Захвачено у противника 3 орудия, 8 миномётов, 34 пулемёта и 28 тысяч патронов. На соседнем участке наши подразделения в результате упорного боя овладели сильно укреплённым опорным пунктом немцев. Истреблено более роты гитлеровцев и взяты трофеи, в числе которых 4 немецких танка и склад боеприпасов.</w:t>
      </w:r>
    </w:p>
    <w:p w14:paraId="135257BC"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наши войска продолжали успешное наступление и заняли 32 населённых пункта. При взятии одного населённого пункта бойцы Н-ской части захватили 10 немецких орудие и миномётов, 28 пулемётов, две радиостанции, несколько десятков подвод с боеприпасами. На другом участке разгромлен батальон пехоты противника. Под ударами наших подразделений немцы в беспорядке отступили, оставив на поле боя свыше 400 убитых и раненых солдат и офицеров.</w:t>
      </w:r>
    </w:p>
    <w:p w14:paraId="58FC8051"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Чугуева продолжались ожесточённые бои Части Н-ского соединения отбили ожесточённые атаки противника и, перейдя в контратаку, выбили немцев из важного населённого пункта. Уничтожено до 600 немецких солдат и офицеров. Захвачены трофеи и пленные. На другом участке наши подразделения уничтожили прорвавшиеся в глубь нашей обороны 7 вражеских танков и до 100 немецких автоматчиков.</w:t>
      </w:r>
    </w:p>
    <w:p w14:paraId="69D38607"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Севска немцы неоднократно штурмовали наши позиции, но каждый раз несли большие потери и откатывались назад. Уничтожено 11 танков и не менее двух рот пехоты противника.</w:t>
      </w:r>
    </w:p>
    <w:p w14:paraId="72C9BC3E"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одном из районов Львовской области, в феврале месяце пустили под откос немецкий воинский эшелон. Во время крушения убито и ранено до 100 вражеских солдат и офицеров. Другие партизанские отряды Львовской области организовали крушение двух эшелонов противника с горючим и трёх эшелонов с боеприпасами.</w:t>
      </w:r>
    </w:p>
    <w:p w14:paraId="40478079"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солдат штабной роты 585 немецкого пехотного полка Феликс Высоцкий рассказал: «В декабре прошлого года нашу дивизию перебросили из Франции в Россию. У солдат было подавленное состояние. Офицеры всеми мерами старались поднять дух своих подразделений. Они говорили, что где наша дивизия пройдёт, никто не устоит, ничто не уцелеет, там даже трава не будет расти. Результаты такой самоуверенности были очень плачевны. За две недели наш полк потерял 60 процентов личного состава. Мы отступали, бросая вооружение и военное имущество. Свою злобу солдаты и офицеры вымещали на населении. Офицеры приказывали жечь дома и угонять мирных жителей. В нашей роте особенно издевались над населением ефрейтор Милх, солдаты Курцман и Лютц».</w:t>
      </w:r>
    </w:p>
    <w:p w14:paraId="121875CE"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изгнанные из Ростовской области, всюду оставили следы кровавых преступлений. В посёлке Зерноград и в станице Мечетинская немцы вырезали многие семьи колхозников и служащих. В Зернограде гитлеровцы убили председателя поселкового совета С.Бабенко. Бандиты обещали ему сохранить жизнь,если он подпишет антисоветское заявление. Советский патриот с возмущением отверг это гнусное предложение. В Мечетинской немцы расстреляли председателя колхоза «Красный партизан» Ивана Миненко, служащего Михаила Скрипко, кассира Фёдора Борисова и его сына, колхозницу Антонину Диденко и её грудного ребёнка и других жителей станицы.» (15072).</w:t>
      </w:r>
    </w:p>
    <w:p w14:paraId="4F6C1D20" w14:textId="77777777" w:rsidR="00530A1E" w:rsidRPr="00D03F3E" w:rsidRDefault="00530A1E" w:rsidP="00D03F3E">
      <w:pPr>
        <w:spacing w:after="0" w:line="240" w:lineRule="auto"/>
        <w:jc w:val="both"/>
        <w:rPr>
          <w:rFonts w:ascii="Times New Roman" w:hAnsi="Times New Roman"/>
          <w:color w:val="000000" w:themeColor="text1"/>
          <w:sz w:val="16"/>
          <w:szCs w:val="16"/>
        </w:rPr>
      </w:pPr>
    </w:p>
    <w:p w14:paraId="01A644CC"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 xml:space="preserve">18 марта </w:t>
      </w:r>
      <w:r w:rsidRPr="00D03F3E">
        <w:rPr>
          <w:rFonts w:ascii="Times New Roman" w:hAnsi="Times New Roman"/>
          <w:color w:val="000000" w:themeColor="text1"/>
          <w:sz w:val="16"/>
          <w:szCs w:val="16"/>
        </w:rPr>
        <w:t>в 1943 году вечернее сообщение Совинформбюро:</w:t>
      </w:r>
    </w:p>
    <w:p w14:paraId="62A9F65D"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18 марта наши войска вели бои на прежних направлениях.</w:t>
      </w:r>
    </w:p>
    <w:p w14:paraId="2D5D26BA"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Баренцевом море нашими кораблями потоплен транспорт противника водоизмещением в 6 тысяч тонн.</w:t>
      </w:r>
    </w:p>
    <w:p w14:paraId="69A383D0"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марта частями нашей авиации на различных участках фронта уничтожено или повреждено не менее 50 немецких автомашин с войсками и грузами, подавлен огонь 10 батарей полевой и зенитной артиллерии, взорвано 2 склада боеприпасов, разбит железнодорожный эшелон противника.</w:t>
      </w:r>
    </w:p>
    <w:p w14:paraId="41049F06"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вели наступательные бои, заняли ряд населённых пунктов, в том числе районный центр и железнодорожную станцию Издешково. Противник оказывает упорное огневое сопротивление и на отдельных участках переходит в контратаки. Южнее Игорьевской немецкая пехотная дивизия при поддержке 15—20 танков, нескольких артиллерийских и миномётных батарей пыталась задержать наступление советских войск. В результате ожесточённых боёв наши части сломили сопротивление гитлеровцев. Противник понёс большие потери в людях и технике.</w:t>
      </w:r>
    </w:p>
    <w:p w14:paraId="69558890"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наши войска развивали наступление и заняли несколько населённых пунктов. Советские танкисты и мотопехота обошли опорный пунктпротивника и после короткого боя уничтожили немецкий гарнизон, отказавшийся сложить оружие. Взяты трофеи, в числе которых 2 танка, 6 противотанковых орудий, 9 миномётов и склад с боеприпасами. На другом участке наши разведчики, действующие в тылу противника, разгромили автоколонну гитлеровцев. Уничтожено более 20 немецких автомашин с боеприпасами и 2 самоходных орудия.</w:t>
      </w:r>
    </w:p>
    <w:p w14:paraId="1164DEEC"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Чугуева наши войска вели ожесточённые бои с танками и мотопехотой противника. Немцы, не считаясь с потерями, непрерывно контратакуют наши части, пытаясь вернуть утерянные ими позиции. Все атаки гитлеровцев отбиты с тяжёлыми для них потерями. На другом участке наши подразделения подбили 6 немецких танков и истребили роту автоматчиков противника.</w:t>
      </w:r>
    </w:p>
    <w:p w14:paraId="65C8B8B5"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имени 25-летия Советской Украины, действующий в Житомирской области, в начале марта месяца атаковал немецкий карательный отряд. Гитлеровцы отступили, оставив на ноле боя до 60 трупов. Другой отряд житомирских партизан взорвал железнодорожный мост в то время, когда к нему подходил железнодорожный эшелон противника. В результате взрыва пущены под откос паровоз и 8 вагонов с боеприпасами.</w:t>
      </w:r>
    </w:p>
    <w:p w14:paraId="6062E1B3"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Советский пароход под командованием капитана тов. Хирхасова был атакован в Баренцевом море четырьмя вражескими бомбардировщиками. Самолёты с небольшойвысоты сбросили 12 бомб и обстреляли пароход из пулемётов. Благодаря умелому маневрированию ни одна из этих бомб не попала в цель. Команда парохода самоотверженно отражала атаки противника и сбила один немецкий самолёт. Другой самолёт противника был повреждён. Пароход благополучно прибыл в советский порт и доставил ценный груз к месту назначения.» (15072).</w:t>
      </w:r>
    </w:p>
    <w:p w14:paraId="4C798A16" w14:textId="77777777" w:rsidR="00530A1E" w:rsidRPr="00D03F3E" w:rsidRDefault="00530A1E" w:rsidP="00D03F3E">
      <w:pPr>
        <w:spacing w:after="0" w:line="240" w:lineRule="auto"/>
        <w:jc w:val="both"/>
        <w:rPr>
          <w:rFonts w:ascii="Times New Roman" w:hAnsi="Times New Roman"/>
          <w:color w:val="000000" w:themeColor="text1"/>
          <w:sz w:val="16"/>
          <w:szCs w:val="16"/>
        </w:rPr>
      </w:pPr>
    </w:p>
    <w:p w14:paraId="6DB343B5"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 xml:space="preserve">18 марта </w:t>
      </w:r>
      <w:r w:rsidRPr="00D03F3E">
        <w:rPr>
          <w:rFonts w:ascii="Times New Roman" w:hAnsi="Times New Roman"/>
          <w:color w:val="000000" w:themeColor="text1"/>
          <w:sz w:val="16"/>
          <w:szCs w:val="16"/>
        </w:rPr>
        <w:t>в 1943 году советские войска оставили Белгород (15072).</w:t>
      </w:r>
    </w:p>
    <w:p w14:paraId="11396F2B" w14:textId="77777777" w:rsidR="00530A1E" w:rsidRPr="00D03F3E" w:rsidRDefault="00530A1E" w:rsidP="00D03F3E">
      <w:pPr>
        <w:spacing w:after="0" w:line="240" w:lineRule="auto"/>
        <w:jc w:val="both"/>
        <w:rPr>
          <w:rFonts w:ascii="Times New Roman" w:hAnsi="Times New Roman"/>
          <w:color w:val="000000" w:themeColor="text1"/>
          <w:sz w:val="16"/>
          <w:szCs w:val="16"/>
        </w:rPr>
      </w:pPr>
    </w:p>
    <w:p w14:paraId="636A743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марта 1943 вышло Постановление ГКО № 3043 О денежном содержании начальствующего состава и сверхсрочнослужащих войсковых частей Красной Армии, расположенных в Иране. (7089, 159-160).</w:t>
      </w:r>
    </w:p>
    <w:p w14:paraId="05F8AF7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70CB3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марта 1943 г. фашистами была сожжена деревня Хатынь (6395).</w:t>
      </w:r>
    </w:p>
    <w:p w14:paraId="722FD18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86AA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марта 1943 сожгли Хатынь (2989).</w:t>
      </w:r>
    </w:p>
    <w:p w14:paraId="5C57E9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95EA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марта 1943 немцы отбили Белгород и была угроза окружения, но смогли отбиться и началась весенняя распутица (2070,87).</w:t>
      </w:r>
    </w:p>
    <w:p w14:paraId="195308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7406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марта 1943 пал Белгород. Прорваться дальше на север против</w:t>
      </w:r>
      <w:r w:rsidRPr="00D03F3E">
        <w:rPr>
          <w:rFonts w:ascii="Times New Roman" w:hAnsi="Times New Roman"/>
          <w:color w:val="000000" w:themeColor="text1"/>
          <w:sz w:val="16"/>
          <w:szCs w:val="16"/>
        </w:rPr>
        <w:softHyphen/>
        <w:t>ник не смог — 20 -21 марта войска 21 -и армии генерала И.М. Чистякова и 1-й танковой армии генерала М.Е. Кату</w:t>
      </w:r>
      <w:r w:rsidRPr="00D03F3E">
        <w:rPr>
          <w:rFonts w:ascii="Times New Roman" w:hAnsi="Times New Roman"/>
          <w:color w:val="000000" w:themeColor="text1"/>
          <w:sz w:val="16"/>
          <w:szCs w:val="16"/>
        </w:rPr>
        <w:softHyphen/>
        <w:t>кова организовали крепкую оборону севернее Белгорода и в районе юж</w:t>
      </w:r>
      <w:r w:rsidRPr="00D03F3E">
        <w:rPr>
          <w:rFonts w:ascii="Times New Roman" w:hAnsi="Times New Roman"/>
          <w:color w:val="000000" w:themeColor="text1"/>
          <w:sz w:val="16"/>
          <w:szCs w:val="16"/>
        </w:rPr>
        <w:softHyphen/>
        <w:t>нее Обояни. С этого момента поло</w:t>
      </w:r>
      <w:r w:rsidRPr="00D03F3E">
        <w:rPr>
          <w:rFonts w:ascii="Times New Roman" w:hAnsi="Times New Roman"/>
          <w:color w:val="000000" w:themeColor="text1"/>
          <w:sz w:val="16"/>
          <w:szCs w:val="16"/>
        </w:rPr>
        <w:softHyphen/>
        <w:t>жение на фронте в районе Курска ста</w:t>
      </w:r>
      <w:r w:rsidRPr="00D03F3E">
        <w:rPr>
          <w:rFonts w:ascii="Times New Roman" w:hAnsi="Times New Roman"/>
          <w:color w:val="000000" w:themeColor="text1"/>
          <w:sz w:val="16"/>
          <w:szCs w:val="16"/>
        </w:rPr>
        <w:softHyphen/>
        <w:t>билизировалось. Обе сто</w:t>
      </w:r>
      <w:r w:rsidRPr="00D03F3E">
        <w:rPr>
          <w:rFonts w:ascii="Times New Roman" w:hAnsi="Times New Roman"/>
          <w:color w:val="000000" w:themeColor="text1"/>
          <w:sz w:val="16"/>
          <w:szCs w:val="16"/>
        </w:rPr>
        <w:softHyphen/>
        <w:t>роны стали готовиться к решающей схватке. Немецкое командова</w:t>
      </w:r>
      <w:r w:rsidRPr="00D03F3E">
        <w:rPr>
          <w:rFonts w:ascii="Times New Roman" w:hAnsi="Times New Roman"/>
          <w:color w:val="000000" w:themeColor="text1"/>
          <w:sz w:val="16"/>
          <w:szCs w:val="16"/>
        </w:rPr>
        <w:softHyphen/>
        <w:t>ние, рассчитывая восполь</w:t>
      </w:r>
      <w:r w:rsidRPr="00D03F3E">
        <w:rPr>
          <w:rFonts w:ascii="Times New Roman" w:hAnsi="Times New Roman"/>
          <w:color w:val="000000" w:themeColor="text1"/>
          <w:sz w:val="16"/>
          <w:szCs w:val="16"/>
        </w:rPr>
        <w:softHyphen/>
        <w:t>зоваться выгодным начер</w:t>
      </w:r>
      <w:r w:rsidRPr="00D03F3E">
        <w:rPr>
          <w:rFonts w:ascii="Times New Roman" w:hAnsi="Times New Roman"/>
          <w:color w:val="000000" w:themeColor="text1"/>
          <w:sz w:val="16"/>
          <w:szCs w:val="16"/>
        </w:rPr>
        <w:softHyphen/>
        <w:t>танием линии фронта, при</w:t>
      </w:r>
      <w:r w:rsidRPr="00D03F3E">
        <w:rPr>
          <w:rFonts w:ascii="Times New Roman" w:hAnsi="Times New Roman"/>
          <w:color w:val="000000" w:themeColor="text1"/>
          <w:sz w:val="16"/>
          <w:szCs w:val="16"/>
        </w:rPr>
        <w:softHyphen/>
        <w:t>ступило к подготовке двух встречных ударов из райо</w:t>
      </w:r>
      <w:r w:rsidRPr="00D03F3E">
        <w:rPr>
          <w:rFonts w:ascii="Times New Roman" w:hAnsi="Times New Roman"/>
          <w:color w:val="000000" w:themeColor="text1"/>
          <w:sz w:val="16"/>
          <w:szCs w:val="16"/>
        </w:rPr>
        <w:softHyphen/>
        <w:t>нов южнее Орла и север</w:t>
      </w:r>
      <w:r w:rsidRPr="00D03F3E">
        <w:rPr>
          <w:rFonts w:ascii="Times New Roman" w:hAnsi="Times New Roman"/>
          <w:color w:val="000000" w:themeColor="text1"/>
          <w:sz w:val="16"/>
          <w:szCs w:val="16"/>
        </w:rPr>
        <w:softHyphen/>
        <w:t>нее Харькова в общем на</w:t>
      </w:r>
      <w:r w:rsidRPr="00D03F3E">
        <w:rPr>
          <w:rFonts w:ascii="Times New Roman" w:hAnsi="Times New Roman"/>
          <w:color w:val="000000" w:themeColor="text1"/>
          <w:sz w:val="16"/>
          <w:szCs w:val="16"/>
        </w:rPr>
        <w:softHyphen/>
        <w:t>правлении на Курск, име</w:t>
      </w:r>
      <w:r w:rsidRPr="00D03F3E">
        <w:rPr>
          <w:rFonts w:ascii="Times New Roman" w:hAnsi="Times New Roman"/>
          <w:color w:val="000000" w:themeColor="text1"/>
          <w:sz w:val="16"/>
          <w:szCs w:val="16"/>
        </w:rPr>
        <w:softHyphen/>
        <w:t>ющих целью окружение и уничтожение войск Цент</w:t>
      </w:r>
      <w:r w:rsidRPr="00D03F3E">
        <w:rPr>
          <w:rFonts w:ascii="Times New Roman" w:hAnsi="Times New Roman"/>
          <w:color w:val="000000" w:themeColor="text1"/>
          <w:sz w:val="16"/>
          <w:szCs w:val="16"/>
        </w:rPr>
        <w:softHyphen/>
        <w:t>рального и Воронежского фронтов, занимавших Кур</w:t>
      </w:r>
      <w:r w:rsidRPr="00D03F3E">
        <w:rPr>
          <w:rFonts w:ascii="Times New Roman" w:hAnsi="Times New Roman"/>
          <w:color w:val="000000" w:themeColor="text1"/>
          <w:sz w:val="16"/>
          <w:szCs w:val="16"/>
        </w:rPr>
        <w:softHyphen/>
        <w:t>ский выступ, и получение свободы маневра для об</w:t>
      </w:r>
      <w:r w:rsidRPr="00D03F3E">
        <w:rPr>
          <w:rFonts w:ascii="Times New Roman" w:hAnsi="Times New Roman"/>
          <w:color w:val="000000" w:themeColor="text1"/>
          <w:sz w:val="16"/>
          <w:szCs w:val="16"/>
        </w:rPr>
        <w:softHyphen/>
        <w:t>хода Москвы по кратчай</w:t>
      </w:r>
      <w:r w:rsidRPr="00D03F3E">
        <w:rPr>
          <w:rFonts w:ascii="Times New Roman" w:hAnsi="Times New Roman"/>
          <w:color w:val="000000" w:themeColor="text1"/>
          <w:sz w:val="16"/>
          <w:szCs w:val="16"/>
        </w:rPr>
        <w:softHyphen/>
        <w:t>шему направлению. Расчет строился на создание решающего пре</w:t>
      </w:r>
      <w:r w:rsidRPr="00D03F3E">
        <w:rPr>
          <w:rFonts w:ascii="Times New Roman" w:hAnsi="Times New Roman"/>
          <w:color w:val="000000" w:themeColor="text1"/>
          <w:sz w:val="16"/>
          <w:szCs w:val="16"/>
        </w:rPr>
        <w:softHyphen/>
        <w:t>восходства в силах над войсками Крас</w:t>
      </w:r>
      <w:r w:rsidRPr="00D03F3E">
        <w:rPr>
          <w:rFonts w:ascii="Times New Roman" w:hAnsi="Times New Roman"/>
          <w:color w:val="000000" w:themeColor="text1"/>
          <w:sz w:val="16"/>
          <w:szCs w:val="16"/>
        </w:rPr>
        <w:softHyphen/>
        <w:t>ной Армии на главных направлениях удара и их быстрый разгром до под</w:t>
      </w:r>
      <w:r w:rsidRPr="00D03F3E">
        <w:rPr>
          <w:rFonts w:ascii="Times New Roman" w:hAnsi="Times New Roman"/>
          <w:color w:val="000000" w:themeColor="text1"/>
          <w:sz w:val="16"/>
          <w:szCs w:val="16"/>
        </w:rPr>
        <w:softHyphen/>
        <w:t>хода советских резервов из глубины. План наступления получил кодовое на</w:t>
      </w:r>
      <w:r w:rsidRPr="00D03F3E">
        <w:rPr>
          <w:rFonts w:ascii="Times New Roman" w:hAnsi="Times New Roman"/>
          <w:color w:val="000000" w:themeColor="text1"/>
          <w:sz w:val="16"/>
          <w:szCs w:val="16"/>
        </w:rPr>
        <w:softHyphen/>
        <w:t>звание "Цитадель" (10783).</w:t>
      </w:r>
    </w:p>
    <w:p w14:paraId="7B381F8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1E76AE"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32BBB5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3928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18 марта 1943 Сталин направил приветственную телеграмму трудившимся в составе рабочих колонн Базстроя НКВД (строительство Богословского алюминиевого завода в Свердловской области, где работали “трудармейцы”) советским немцам, выселенным в начале войны с территории европейской части СССР: “Начальнику строительства тов. Кронову, начальнику политотдела тов. Горбачеву, секретарям парторганизаций товарищам Шмидт, Штоль, тысячникам товарищам Брейтигам, Обгольц, Эрлих, Пфундт, стахановцу товарищу Эпп. Прошу передать рабочим, инженерно-техническим работникам и служащим немецкой национальности, работающим на Базстрое, собравшим 353. 735 рублей на строительство танков и 1 миллион 820 тысяч рублей на строительство эскадрильи самолетов, - мой братский привет и благодарность Красной Армии. И. Сталин”. Вечером того же дня в местном клубе был созван митинг, где начальник политотдела Базстроя НКВД </w:t>
      </w:r>
      <w:r w:rsidRPr="00D03F3E">
        <w:rPr>
          <w:rFonts w:ascii="Times New Roman" w:hAnsi="Times New Roman"/>
          <w:color w:val="000000" w:themeColor="text1"/>
          <w:sz w:val="16"/>
          <w:szCs w:val="16"/>
        </w:rPr>
        <w:lastRenderedPageBreak/>
        <w:t>подполковник ГБ М. Е. Горбачев сказал: “Телеграмма товарища Сталина трудармейцам немецкой национальности - это большой политический документ исторического значения, подтверждающий, что в священной войне против злейшего врага человечества - германского фашизма принимают участие все народы многонационального Советского Союза” (7560).</w:t>
      </w:r>
    </w:p>
    <w:p w14:paraId="39C51A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886144" w14:textId="77777777" w:rsidR="00381A3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60086284" w14:textId="77777777" w:rsidR="00381A38" w:rsidRPr="00D03F3E" w:rsidRDefault="00381A3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B8429C" w14:textId="77777777" w:rsidR="00381A38" w:rsidRPr="00D03F3E" w:rsidRDefault="00381A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18-19 марта</w:t>
      </w:r>
      <w:r w:rsidRPr="00D03F3E">
        <w:rPr>
          <w:rFonts w:ascii="Times New Roman" w:hAnsi="Times New Roman"/>
          <w:color w:val="000000" w:themeColor="text1"/>
          <w:sz w:val="16"/>
          <w:szCs w:val="16"/>
        </w:rPr>
        <w:t xml:space="preserve"> 1943 в ходе английского налета на Берин погибло 300 человек, за что летчики расплатились 30-ю самолетами. Дальше масштабы бомбрдировок только возрастали.</w:t>
      </w:r>
    </w:p>
    <w:p w14:paraId="03E040A7" w14:textId="77777777" w:rsidR="00381A38" w:rsidRPr="00D03F3E" w:rsidRDefault="00381A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 концу марта 1943 погибшими от бомбардировок непосредственно в Берлине числилось 1700 гражданских лиц. А в ходе всего 3-х налетов в промежутке с </w:t>
      </w:r>
      <w:r w:rsidRPr="00D03F3E">
        <w:rPr>
          <w:rFonts w:ascii="Times New Roman" w:hAnsi="Times New Roman"/>
          <w:bCs/>
          <w:color w:val="000000" w:themeColor="text1"/>
          <w:sz w:val="16"/>
          <w:szCs w:val="16"/>
        </w:rPr>
        <w:t>23.08.43</w:t>
      </w:r>
      <w:r w:rsidRPr="00D03F3E">
        <w:rPr>
          <w:rFonts w:ascii="Times New Roman" w:hAnsi="Times New Roman"/>
          <w:color w:val="000000" w:themeColor="text1"/>
          <w:sz w:val="16"/>
          <w:szCs w:val="16"/>
        </w:rPr>
        <w:t xml:space="preserve"> по </w:t>
      </w:r>
      <w:r w:rsidRPr="00D03F3E">
        <w:rPr>
          <w:rFonts w:ascii="Times New Roman" w:hAnsi="Times New Roman"/>
          <w:bCs/>
          <w:color w:val="000000" w:themeColor="text1"/>
          <w:sz w:val="16"/>
          <w:szCs w:val="16"/>
        </w:rPr>
        <w:t>04.09.43</w:t>
      </w:r>
      <w:r w:rsidRPr="00D03F3E">
        <w:rPr>
          <w:rFonts w:ascii="Times New Roman" w:hAnsi="Times New Roman"/>
          <w:color w:val="000000" w:themeColor="text1"/>
          <w:sz w:val="16"/>
          <w:szCs w:val="16"/>
        </w:rPr>
        <w:t xml:space="preserve"> г.г. погибло уже 1344 человека, в то время как потери бомбардировщиков составили 125 машин из 1669. Конечно это было много, однако ни шло ни в какое сравнение с потерями 1940 года, когда едва ли треть самолетов возвращалась на базу.</w:t>
      </w:r>
    </w:p>
    <w:p w14:paraId="4D1D024F" w14:textId="77777777" w:rsidR="00381A38" w:rsidRPr="00D03F3E" w:rsidRDefault="00381A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серии последовательных налетов с </w:t>
      </w:r>
      <w:r w:rsidRPr="00D03F3E">
        <w:rPr>
          <w:rFonts w:ascii="Times New Roman" w:hAnsi="Times New Roman"/>
          <w:bCs/>
          <w:color w:val="000000" w:themeColor="text1"/>
          <w:sz w:val="16"/>
          <w:szCs w:val="16"/>
        </w:rPr>
        <w:t>18-27</w:t>
      </w:r>
      <w:r w:rsidRPr="00D03F3E">
        <w:rPr>
          <w:rFonts w:ascii="Times New Roman" w:hAnsi="Times New Roman"/>
          <w:color w:val="000000" w:themeColor="text1"/>
          <w:sz w:val="16"/>
          <w:szCs w:val="16"/>
        </w:rPr>
        <w:t xml:space="preserve"> (с перерывами) </w:t>
      </w:r>
      <w:r w:rsidRPr="00D03F3E">
        <w:rPr>
          <w:rFonts w:ascii="Times New Roman" w:hAnsi="Times New Roman"/>
          <w:bCs/>
          <w:color w:val="000000" w:themeColor="text1"/>
          <w:sz w:val="16"/>
          <w:szCs w:val="16"/>
        </w:rPr>
        <w:t>ноября 1943года</w:t>
      </w:r>
      <w:r w:rsidRPr="00D03F3E">
        <w:rPr>
          <w:rFonts w:ascii="Times New Roman" w:hAnsi="Times New Roman"/>
          <w:color w:val="000000" w:themeColor="text1"/>
          <w:sz w:val="16"/>
          <w:szCs w:val="16"/>
        </w:rPr>
        <w:t xml:space="preserve"> участвовало 2044 самолета из которых сбиты были всего 83 машины. Потери мирного населения составили 4330 человек.</w:t>
      </w:r>
    </w:p>
    <w:p w14:paraId="6CEE8104" w14:textId="77777777" w:rsidR="00381A38" w:rsidRPr="00D03F3E" w:rsidRDefault="00381A38" w:rsidP="00D03F3E">
      <w:pPr>
        <w:pStyle w:val="ae"/>
        <w:spacing w:before="0" w:after="0"/>
        <w:jc w:val="both"/>
        <w:rPr>
          <w:color w:val="000000" w:themeColor="text1"/>
          <w:sz w:val="16"/>
          <w:szCs w:val="16"/>
        </w:rPr>
      </w:pPr>
      <w:r w:rsidRPr="00D03F3E">
        <w:rPr>
          <w:color w:val="000000" w:themeColor="text1"/>
          <w:sz w:val="16"/>
          <w:szCs w:val="16"/>
        </w:rPr>
        <w:t xml:space="preserve">Следующая серия налетов была </w:t>
      </w:r>
      <w:r w:rsidRPr="00D03F3E">
        <w:rPr>
          <w:rStyle w:val="a7"/>
          <w:b w:val="0"/>
          <w:color w:val="000000" w:themeColor="text1"/>
          <w:sz w:val="16"/>
          <w:szCs w:val="16"/>
        </w:rPr>
        <w:t>2-3, 16-17, 23-24, 29-30 декабря 1943 года</w:t>
      </w:r>
      <w:r w:rsidRPr="00D03F3E">
        <w:rPr>
          <w:color w:val="000000" w:themeColor="text1"/>
          <w:sz w:val="16"/>
          <w:szCs w:val="16"/>
        </w:rPr>
        <w:t>, подтвердив тенденцию. Из 2042 самолётов не вернулось 66 машин, на земле погибло 1220 человек (налеты были на заводы, а дело было ночью, поэтому и жертв меньше, чем могло бы быть).</w:t>
      </w:r>
    </w:p>
    <w:p w14:paraId="14D85B03" w14:textId="77777777" w:rsidR="00381A38" w:rsidRPr="00D03F3E" w:rsidRDefault="00381A38" w:rsidP="00D03F3E">
      <w:pPr>
        <w:pStyle w:val="ae"/>
        <w:spacing w:before="0" w:after="0"/>
        <w:jc w:val="both"/>
        <w:rPr>
          <w:color w:val="000000" w:themeColor="text1"/>
          <w:sz w:val="16"/>
          <w:szCs w:val="16"/>
        </w:rPr>
      </w:pPr>
      <w:r w:rsidRPr="00D03F3E">
        <w:rPr>
          <w:color w:val="000000" w:themeColor="text1"/>
          <w:sz w:val="16"/>
          <w:szCs w:val="16"/>
        </w:rPr>
        <w:t>За год Берлин претерпел ужасные изменения: район Тиргартен был совершенно разрушен, в руинах лежали замок Шарлоттен- бурга, проспект Унтер-ден-Линден, мемориальная церковь на Курфюрстендамм, танковые заводы Сименса и Алькетта, кварталы Коперник и Трептов. Сильно была повреждена транспортная сеть города.</w:t>
      </w:r>
    </w:p>
    <w:p w14:paraId="4B282C93" w14:textId="77777777" w:rsidR="00381A38" w:rsidRPr="00D03F3E" w:rsidRDefault="00381A38" w:rsidP="00D03F3E">
      <w:pPr>
        <w:pStyle w:val="ae"/>
        <w:spacing w:before="0" w:after="0"/>
        <w:jc w:val="both"/>
        <w:rPr>
          <w:color w:val="000000" w:themeColor="text1"/>
          <w:sz w:val="16"/>
          <w:szCs w:val="16"/>
        </w:rPr>
      </w:pPr>
      <w:r w:rsidRPr="00D03F3E">
        <w:rPr>
          <w:color w:val="000000" w:themeColor="text1"/>
          <w:sz w:val="16"/>
          <w:szCs w:val="16"/>
        </w:rPr>
        <w:t>Всего за 1943 год на Берлин было произведено 42 больших и малых авианалета, в которых были задействовано в общей сложности 3900 самолетов (17416).</w:t>
      </w:r>
    </w:p>
    <w:p w14:paraId="5F42DCDD" w14:textId="77777777" w:rsidR="00381A38" w:rsidRPr="00D03F3E" w:rsidRDefault="00381A38" w:rsidP="00D03F3E">
      <w:pPr>
        <w:spacing w:after="0" w:line="240" w:lineRule="auto"/>
        <w:jc w:val="both"/>
        <w:rPr>
          <w:rFonts w:ascii="Times New Roman" w:hAnsi="Times New Roman"/>
          <w:color w:val="000000" w:themeColor="text1"/>
          <w:sz w:val="16"/>
          <w:szCs w:val="16"/>
        </w:rPr>
      </w:pPr>
    </w:p>
    <w:p w14:paraId="232005D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1E8CF7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E100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 марта по 28 апреля 1943 в Омске проходили совместные испытания 103В 2М-82 для определения максимальных скоростей по высотам. Летал от ЛИИ И.И.Шелест. Испытывали 2 самолета (1835,25).</w:t>
      </w:r>
    </w:p>
    <w:p w14:paraId="3EEB42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A2C2E2" w14:textId="77777777" w:rsidR="0022218B" w:rsidRPr="00D03F3E" w:rsidRDefault="0022218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С 19 марта по 28 апреля 1943 г. экипаж И.И. Шелеста проводил испыта</w:t>
      </w:r>
      <w:r w:rsidRPr="00D03F3E">
        <w:rPr>
          <w:rFonts w:ascii="Times New Roman" w:hAnsi="Times New Roman"/>
          <w:color w:val="0070C0"/>
          <w:sz w:val="16"/>
          <w:szCs w:val="16"/>
          <w:lang w:eastAsia="ru-RU" w:bidi="ru-RU"/>
        </w:rPr>
        <w:softHyphen/>
        <w:t>ния «103В». Дан</w:t>
      </w:r>
      <w:r w:rsidRPr="00D03F3E">
        <w:rPr>
          <w:rFonts w:ascii="Times New Roman" w:hAnsi="Times New Roman"/>
          <w:color w:val="0070C0"/>
          <w:sz w:val="16"/>
          <w:szCs w:val="16"/>
          <w:lang w:eastAsia="ru-RU" w:bidi="ru-RU"/>
        </w:rPr>
        <w:softHyphen/>
        <w:t>ные на малых и средних высотах дейст</w:t>
      </w:r>
      <w:r w:rsidRPr="00D03F3E">
        <w:rPr>
          <w:rFonts w:ascii="Times New Roman" w:hAnsi="Times New Roman"/>
          <w:color w:val="0070C0"/>
          <w:sz w:val="16"/>
          <w:szCs w:val="16"/>
          <w:lang w:eastAsia="ru-RU" w:bidi="ru-RU"/>
        </w:rPr>
        <w:softHyphen/>
        <w:t>вительно улучшились. Скорость у земли возросла на 56 км/ч. Но с подъемом на высоту прирост уменьшался, и перейти границу 545 км/ч не удалось.</w:t>
      </w:r>
    </w:p>
    <w:p w14:paraId="3F1B2BF2" w14:textId="77777777" w:rsidR="0022218B" w:rsidRPr="00D03F3E" w:rsidRDefault="0022218B" w:rsidP="00D03F3E">
      <w:pPr>
        <w:spacing w:after="0" w:line="240" w:lineRule="auto"/>
        <w:jc w:val="both"/>
        <w:rPr>
          <w:rFonts w:ascii="Times New Roman" w:hAnsi="Times New Roman"/>
          <w:color w:val="0070C0"/>
          <w:sz w:val="16"/>
          <w:szCs w:val="16"/>
          <w:lang w:eastAsia="ru-RU" w:bidi="ru-RU"/>
        </w:rPr>
      </w:pPr>
      <w:r w:rsidRPr="00D03F3E">
        <w:rPr>
          <w:rFonts w:ascii="Times New Roman" w:hAnsi="Times New Roman"/>
          <w:color w:val="0070C0"/>
          <w:sz w:val="16"/>
          <w:szCs w:val="16"/>
          <w:lang w:eastAsia="ru-RU" w:bidi="ru-RU"/>
        </w:rPr>
        <w:t>К этому времени Швецов подгото</w:t>
      </w:r>
      <w:r w:rsidRPr="00D03F3E">
        <w:rPr>
          <w:rFonts w:ascii="Times New Roman" w:hAnsi="Times New Roman"/>
          <w:color w:val="0070C0"/>
          <w:sz w:val="16"/>
          <w:szCs w:val="16"/>
          <w:lang w:eastAsia="ru-RU" w:bidi="ru-RU"/>
        </w:rPr>
        <w:softHyphen/>
        <w:t>вил новую модификацию своего дви</w:t>
      </w:r>
      <w:r w:rsidRPr="00D03F3E">
        <w:rPr>
          <w:rFonts w:ascii="Times New Roman" w:hAnsi="Times New Roman"/>
          <w:color w:val="0070C0"/>
          <w:sz w:val="16"/>
          <w:szCs w:val="16"/>
          <w:lang w:eastAsia="ru-RU" w:bidi="ru-RU"/>
        </w:rPr>
        <w:softHyphen/>
        <w:t>гателя, оснащенную устройством непо</w:t>
      </w:r>
      <w:r w:rsidRPr="00D03F3E">
        <w:rPr>
          <w:rFonts w:ascii="Times New Roman" w:hAnsi="Times New Roman"/>
          <w:color w:val="0070C0"/>
          <w:sz w:val="16"/>
          <w:szCs w:val="16"/>
          <w:lang w:eastAsia="ru-RU" w:bidi="ru-RU"/>
        </w:rPr>
        <w:softHyphen/>
        <w:t>средственного впрыска - М-82ФНВ (в се</w:t>
      </w:r>
      <w:r w:rsidRPr="00D03F3E">
        <w:rPr>
          <w:rFonts w:ascii="Times New Roman" w:hAnsi="Times New Roman"/>
          <w:color w:val="0070C0"/>
          <w:sz w:val="16"/>
          <w:szCs w:val="16"/>
          <w:lang w:eastAsia="ru-RU" w:bidi="ru-RU"/>
        </w:rPr>
        <w:softHyphen/>
        <w:t>рии она именовалась М-82ФН). Макси</w:t>
      </w:r>
      <w:r w:rsidRPr="00D03F3E">
        <w:rPr>
          <w:rFonts w:ascii="Times New Roman" w:hAnsi="Times New Roman"/>
          <w:color w:val="0070C0"/>
          <w:sz w:val="16"/>
          <w:szCs w:val="16"/>
          <w:lang w:eastAsia="ru-RU" w:bidi="ru-RU"/>
        </w:rPr>
        <w:softHyphen/>
        <w:t>мальная мощность поднялась до 1850 л.с. По прикидкам Туполева, с этими мото</w:t>
      </w:r>
      <w:r w:rsidRPr="00D03F3E">
        <w:rPr>
          <w:rFonts w:ascii="Times New Roman" w:hAnsi="Times New Roman"/>
          <w:color w:val="0070C0"/>
          <w:sz w:val="16"/>
          <w:szCs w:val="16"/>
          <w:lang w:eastAsia="ru-RU" w:bidi="ru-RU"/>
        </w:rPr>
        <w:softHyphen/>
        <w:t>рами можно было достичь у земли скоро</w:t>
      </w:r>
      <w:r w:rsidRPr="00D03F3E">
        <w:rPr>
          <w:rFonts w:ascii="Times New Roman" w:hAnsi="Times New Roman"/>
          <w:color w:val="0070C0"/>
          <w:sz w:val="16"/>
          <w:szCs w:val="16"/>
          <w:lang w:eastAsia="ru-RU" w:bidi="ru-RU"/>
        </w:rPr>
        <w:softHyphen/>
        <w:t>сти 510 км/ч, а на высоте - 560-570 км/ч (21060).</w:t>
      </w:r>
    </w:p>
    <w:p w14:paraId="1071C692" w14:textId="77777777" w:rsidR="0022218B" w:rsidRPr="00D03F3E" w:rsidRDefault="0022218B" w:rsidP="00D03F3E">
      <w:pPr>
        <w:spacing w:after="0" w:line="240" w:lineRule="auto"/>
        <w:jc w:val="both"/>
        <w:rPr>
          <w:rFonts w:ascii="Times New Roman" w:hAnsi="Times New Roman"/>
          <w:color w:val="0070C0"/>
          <w:sz w:val="16"/>
          <w:szCs w:val="16"/>
          <w:lang w:eastAsia="ru-RU" w:bidi="ru-RU"/>
        </w:rPr>
      </w:pPr>
    </w:p>
    <w:p w14:paraId="626414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 марта по 28 апреля 1943 г. экипаж И.И. Шелеста проводил испытания 103В. В Омске экспериментировали с опытной машиной "103В". На нее поставили новые моторы с усовершенствованными нагнетателями, доработанные магнето, изменили регулировку карбюраторов, немного улучшили аэродинамику планера. По расчетам, планировали получить 560 км/ч. Данные на малых и средних высотах действительно улучшились. Скорость у земли возросла на 36 км/ч. Но с подъемом на высоту прирост уменьшался, и перейти границу 545 км/ч не удалось (11988).</w:t>
      </w:r>
    </w:p>
    <w:p w14:paraId="3481BB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002D9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г во 2-м бап истребители ФВ-190 подбили самолёт Пе-2 (заводской №8/137) с установкой ВУБ-1. Опросом уста</w:t>
      </w:r>
      <w:r w:rsidRPr="00D03F3E">
        <w:rPr>
          <w:rFonts w:ascii="Times New Roman" w:hAnsi="Times New Roman"/>
          <w:color w:val="000000" w:themeColor="text1"/>
          <w:sz w:val="16"/>
          <w:szCs w:val="16"/>
        </w:rPr>
        <w:softHyphen/>
        <w:t>новлено, что штурман отказался прыгать через нижний люк и перешёл в кабину лётчика. Аварийной ручкой сбросить колпак фо</w:t>
      </w:r>
      <w:r w:rsidRPr="00D03F3E">
        <w:rPr>
          <w:rFonts w:ascii="Times New Roman" w:hAnsi="Times New Roman"/>
          <w:color w:val="000000" w:themeColor="text1"/>
          <w:sz w:val="16"/>
          <w:szCs w:val="16"/>
        </w:rPr>
        <w:softHyphen/>
        <w:t>наря не удалось. Самолёт в это время не уп</w:t>
      </w:r>
      <w:r w:rsidRPr="00D03F3E">
        <w:rPr>
          <w:rFonts w:ascii="Times New Roman" w:hAnsi="Times New Roman"/>
          <w:color w:val="000000" w:themeColor="text1"/>
          <w:sz w:val="16"/>
          <w:szCs w:val="16"/>
        </w:rPr>
        <w:softHyphen/>
        <w:t>равлялся и пикировал с углом 60-70". Совме</w:t>
      </w:r>
      <w:r w:rsidRPr="00D03F3E">
        <w:rPr>
          <w:rFonts w:ascii="Times New Roman" w:hAnsi="Times New Roman"/>
          <w:color w:val="000000" w:themeColor="text1"/>
          <w:sz w:val="16"/>
          <w:szCs w:val="16"/>
        </w:rPr>
        <w:softHyphen/>
        <w:t>стными усилиями лётчика и штурмана уда</w:t>
      </w:r>
      <w:r w:rsidRPr="00D03F3E">
        <w:rPr>
          <w:rFonts w:ascii="Times New Roman" w:hAnsi="Times New Roman"/>
          <w:color w:val="000000" w:themeColor="text1"/>
          <w:sz w:val="16"/>
          <w:szCs w:val="16"/>
        </w:rPr>
        <w:softHyphen/>
        <w:t>лось сбросить колпак. При этом лётчика вы</w:t>
      </w:r>
      <w:r w:rsidRPr="00D03F3E">
        <w:rPr>
          <w:rFonts w:ascii="Times New Roman" w:hAnsi="Times New Roman"/>
          <w:color w:val="000000" w:themeColor="text1"/>
          <w:sz w:val="16"/>
          <w:szCs w:val="16"/>
        </w:rPr>
        <w:softHyphen/>
        <w:t>бросило на экран ВУБ-1. Его ноги остались в кабине, а самого его прижало к экрану с такой силой, что он не мог выброситься. Тогда лётчик открыл парашют, и его сдерну</w:t>
      </w:r>
      <w:r w:rsidRPr="00D03F3E">
        <w:rPr>
          <w:rFonts w:ascii="Times New Roman" w:hAnsi="Times New Roman"/>
          <w:color w:val="000000" w:themeColor="text1"/>
          <w:sz w:val="16"/>
          <w:szCs w:val="16"/>
        </w:rPr>
        <w:softHyphen/>
        <w:t>ло с экрана. Штурман не смог выбраться из кабины и погиб. В тот же день при подобных обстоятельствах погибли лётчики и штур</w:t>
      </w:r>
      <w:r w:rsidRPr="00D03F3E">
        <w:rPr>
          <w:rFonts w:ascii="Times New Roman" w:hAnsi="Times New Roman"/>
          <w:color w:val="000000" w:themeColor="text1"/>
          <w:sz w:val="16"/>
          <w:szCs w:val="16"/>
        </w:rPr>
        <w:softHyphen/>
        <w:t>ман в 261-м бап (11392).</w:t>
      </w:r>
    </w:p>
    <w:p w14:paraId="51E1263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C341DE" w14:textId="77777777" w:rsidR="0022218B" w:rsidRPr="00D03F3E" w:rsidRDefault="0022218B" w:rsidP="00D03F3E">
      <w:pPr>
        <w:spacing w:after="0" w:line="240" w:lineRule="auto"/>
        <w:jc w:val="both"/>
        <w:rPr>
          <w:rFonts w:ascii="Times New Roman" w:hAnsi="Times New Roman"/>
          <w:color w:val="0070C0"/>
          <w:sz w:val="16"/>
          <w:szCs w:val="16"/>
          <w:lang w:eastAsia="ru-RU" w:bidi="ru-RU"/>
        </w:rPr>
      </w:pPr>
      <w:r w:rsidRPr="00D03F3E">
        <w:rPr>
          <w:rFonts w:ascii="Times New Roman" w:hAnsi="Times New Roman"/>
          <w:color w:val="0070C0"/>
          <w:sz w:val="16"/>
          <w:szCs w:val="16"/>
        </w:rPr>
        <w:t xml:space="preserve">19 марта 1943 г. машину </w:t>
      </w:r>
      <w:r w:rsidRPr="00D03F3E">
        <w:rPr>
          <w:rFonts w:ascii="Times New Roman" w:hAnsi="Times New Roman"/>
          <w:color w:val="0070C0"/>
          <w:sz w:val="16"/>
          <w:szCs w:val="16"/>
          <w:lang w:val="en-US"/>
        </w:rPr>
        <w:t>Bf</w:t>
      </w:r>
      <w:r w:rsidRPr="00D03F3E">
        <w:rPr>
          <w:rFonts w:ascii="Times New Roman" w:hAnsi="Times New Roman"/>
          <w:color w:val="0070C0"/>
          <w:sz w:val="16"/>
          <w:szCs w:val="16"/>
        </w:rPr>
        <w:t xml:space="preserve"> 109</w:t>
      </w:r>
      <w:r w:rsidRPr="00D03F3E">
        <w:rPr>
          <w:rFonts w:ascii="Times New Roman" w:hAnsi="Times New Roman"/>
          <w:color w:val="0070C0"/>
          <w:sz w:val="16"/>
          <w:szCs w:val="16"/>
          <w:lang w:val="en-US"/>
        </w:rPr>
        <w:t>E</w:t>
      </w:r>
      <w:r w:rsidRPr="00D03F3E">
        <w:rPr>
          <w:rFonts w:ascii="Times New Roman" w:hAnsi="Times New Roman"/>
          <w:color w:val="0070C0"/>
          <w:sz w:val="16"/>
          <w:szCs w:val="16"/>
        </w:rPr>
        <w:t xml:space="preserve"> № 12913 передали из НИИ ВВС в 1-й истребительный авиакорпус. Но документов о его испытаниях не обнаружено.  (23186).</w:t>
      </w:r>
    </w:p>
    <w:p w14:paraId="38C29D24" w14:textId="77777777" w:rsidR="0022218B" w:rsidRPr="00D03F3E" w:rsidRDefault="0022218B" w:rsidP="00D03F3E">
      <w:pPr>
        <w:spacing w:after="0" w:line="240" w:lineRule="auto"/>
        <w:jc w:val="both"/>
        <w:rPr>
          <w:rFonts w:ascii="Times New Roman" w:hAnsi="Times New Roman"/>
          <w:color w:val="0070C0"/>
          <w:sz w:val="16"/>
          <w:szCs w:val="16"/>
          <w:lang w:eastAsia="ru-RU" w:bidi="ru-RU"/>
        </w:rPr>
      </w:pPr>
    </w:p>
    <w:p w14:paraId="1D135076" w14:textId="77777777" w:rsidR="0022218B" w:rsidRPr="00D03F3E" w:rsidRDefault="0022218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19 марта 1943 г. в НИИ ВВС поступил </w:t>
      </w:r>
      <w:r w:rsidRPr="00D03F3E">
        <w:rPr>
          <w:rFonts w:ascii="Times New Roman" w:hAnsi="Times New Roman"/>
          <w:color w:val="0070C0"/>
          <w:sz w:val="16"/>
          <w:szCs w:val="16"/>
          <w:lang w:val="en-US"/>
        </w:rPr>
        <w:t>Bf</w:t>
      </w:r>
      <w:r w:rsidRPr="00D03F3E">
        <w:rPr>
          <w:rFonts w:ascii="Times New Roman" w:hAnsi="Times New Roman"/>
          <w:color w:val="0070C0"/>
          <w:sz w:val="16"/>
          <w:szCs w:val="16"/>
        </w:rPr>
        <w:t xml:space="preserve"> 109</w:t>
      </w:r>
      <w:r w:rsidRPr="00D03F3E">
        <w:rPr>
          <w:rFonts w:ascii="Times New Roman" w:hAnsi="Times New Roman"/>
          <w:color w:val="0070C0"/>
          <w:sz w:val="16"/>
          <w:szCs w:val="16"/>
          <w:lang w:val="en-US"/>
        </w:rPr>
        <w:t>G</w:t>
      </w:r>
      <w:r w:rsidRPr="00D03F3E">
        <w:rPr>
          <w:rFonts w:ascii="Times New Roman" w:hAnsi="Times New Roman"/>
          <w:color w:val="0070C0"/>
          <w:sz w:val="16"/>
          <w:szCs w:val="16"/>
        </w:rPr>
        <w:t>-2/</w:t>
      </w:r>
      <w:r w:rsidRPr="00D03F3E">
        <w:rPr>
          <w:rFonts w:ascii="Times New Roman" w:hAnsi="Times New Roman"/>
          <w:color w:val="0070C0"/>
          <w:sz w:val="16"/>
          <w:szCs w:val="16"/>
          <w:lang w:val="en-US"/>
        </w:rPr>
        <w:t>R</w:t>
      </w:r>
      <w:r w:rsidRPr="00D03F3E">
        <w:rPr>
          <w:rFonts w:ascii="Times New Roman" w:hAnsi="Times New Roman"/>
          <w:color w:val="0070C0"/>
          <w:sz w:val="16"/>
          <w:szCs w:val="16"/>
        </w:rPr>
        <w:t>1 №14513, который вывезли из Большой Россошки. В одной только Большой Россошке насчитали более 300 захваченных самолетов разных типов. Но практически все они имели боевые повреждения, а также были дополнительно выведены из строя немцами при отступлении. Вся техника, восстановление которой признали нецелесообразным, разбиралась на запасные части и металлолом. В Советском Союзе остро не хватало алюминия, и трофейные самолеты стали одним из источников его поступления.</w:t>
      </w:r>
    </w:p>
    <w:p w14:paraId="0902854E" w14:textId="77777777" w:rsidR="0022218B" w:rsidRPr="00D03F3E" w:rsidRDefault="0022218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Несмотря на частые неполадки с мотором </w:t>
      </w:r>
      <w:r w:rsidRPr="00D03F3E">
        <w:rPr>
          <w:rFonts w:ascii="Times New Roman" w:hAnsi="Times New Roman"/>
          <w:color w:val="0070C0"/>
          <w:sz w:val="16"/>
          <w:szCs w:val="16"/>
          <w:lang w:val="en-US"/>
        </w:rPr>
        <w:t>DB</w:t>
      </w:r>
      <w:r w:rsidRPr="00D03F3E">
        <w:rPr>
          <w:rFonts w:ascii="Times New Roman" w:hAnsi="Times New Roman"/>
          <w:color w:val="0070C0"/>
          <w:sz w:val="16"/>
          <w:szCs w:val="16"/>
        </w:rPr>
        <w:t xml:space="preserve"> 605</w:t>
      </w:r>
      <w:r w:rsidRPr="00D03F3E">
        <w:rPr>
          <w:rFonts w:ascii="Times New Roman" w:hAnsi="Times New Roman"/>
          <w:color w:val="0070C0"/>
          <w:sz w:val="16"/>
          <w:szCs w:val="16"/>
          <w:lang w:val="en-US"/>
        </w:rPr>
        <w:t>A</w:t>
      </w:r>
      <w:r w:rsidRPr="00D03F3E">
        <w:rPr>
          <w:rFonts w:ascii="Times New Roman" w:hAnsi="Times New Roman"/>
          <w:color w:val="0070C0"/>
          <w:sz w:val="16"/>
          <w:szCs w:val="16"/>
        </w:rPr>
        <w:t xml:space="preserve">-1, программу успешно завершили. Этот истребитель, имевший три огневые точки? за что испытатели стали именовать его «трехточечным», на малых и средних высотах летал быстрее уже опробованного типа </w:t>
      </w:r>
      <w:r w:rsidRPr="00D03F3E">
        <w:rPr>
          <w:rFonts w:ascii="Times New Roman" w:hAnsi="Times New Roman"/>
          <w:color w:val="0070C0"/>
          <w:sz w:val="16"/>
          <w:szCs w:val="16"/>
          <w:lang w:val="en-US"/>
        </w:rPr>
        <w:t>F</w:t>
      </w:r>
      <w:r w:rsidRPr="00D03F3E">
        <w:rPr>
          <w:rFonts w:ascii="Times New Roman" w:hAnsi="Times New Roman"/>
          <w:color w:val="0070C0"/>
          <w:sz w:val="16"/>
          <w:szCs w:val="16"/>
        </w:rPr>
        <w:t>-2/</w:t>
      </w:r>
      <w:r w:rsidRPr="00D03F3E">
        <w:rPr>
          <w:rFonts w:ascii="Times New Roman" w:hAnsi="Times New Roman"/>
          <w:color w:val="0070C0"/>
          <w:sz w:val="16"/>
          <w:szCs w:val="16"/>
          <w:lang w:val="en-US"/>
        </w:rPr>
        <w:t>R</w:t>
      </w:r>
      <w:r w:rsidRPr="00D03F3E">
        <w:rPr>
          <w:rFonts w:ascii="Times New Roman" w:hAnsi="Times New Roman"/>
          <w:color w:val="0070C0"/>
          <w:sz w:val="16"/>
          <w:szCs w:val="16"/>
        </w:rPr>
        <w:t xml:space="preserve">6 на 16-19 км/ч. На 4000 м достигли скорости 608 км/ч больше, чем у советских истребителей и состоявших тогда на вооружении ВВС американских. Максимальную же скорость намеряли на 7000 м -  666 км/ч. </w:t>
      </w:r>
      <w:r w:rsidRPr="00D03F3E">
        <w:rPr>
          <w:rFonts w:ascii="Times New Roman" w:hAnsi="Times New Roman"/>
          <w:color w:val="0070C0"/>
          <w:sz w:val="16"/>
          <w:szCs w:val="16"/>
          <w:lang w:val="en-US"/>
        </w:rPr>
        <w:t>Bf</w:t>
      </w:r>
      <w:r w:rsidRPr="00D03F3E">
        <w:rPr>
          <w:rFonts w:ascii="Times New Roman" w:hAnsi="Times New Roman"/>
          <w:color w:val="0070C0"/>
          <w:sz w:val="16"/>
          <w:szCs w:val="16"/>
        </w:rPr>
        <w:t xml:space="preserve"> 109</w:t>
      </w:r>
      <w:r w:rsidRPr="00D03F3E">
        <w:rPr>
          <w:rFonts w:ascii="Times New Roman" w:hAnsi="Times New Roman"/>
          <w:color w:val="0070C0"/>
          <w:sz w:val="16"/>
          <w:szCs w:val="16"/>
          <w:lang w:val="en-US"/>
        </w:rPr>
        <w:t>G</w:t>
      </w:r>
      <w:r w:rsidRPr="00D03F3E">
        <w:rPr>
          <w:rFonts w:ascii="Times New Roman" w:hAnsi="Times New Roman"/>
          <w:color w:val="0070C0"/>
          <w:sz w:val="16"/>
          <w:szCs w:val="16"/>
        </w:rPr>
        <w:t>-2 признали «опасным для всех советских истребителей».</w:t>
      </w:r>
    </w:p>
    <w:p w14:paraId="40C0AAEC" w14:textId="77777777" w:rsidR="0022218B" w:rsidRPr="00D03F3E" w:rsidRDefault="0022218B"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Оба </w:t>
      </w:r>
      <w:r w:rsidRPr="00D03F3E">
        <w:rPr>
          <w:rFonts w:ascii="Times New Roman" w:hAnsi="Times New Roman"/>
          <w:color w:val="0070C0"/>
          <w:sz w:val="16"/>
          <w:szCs w:val="16"/>
          <w:lang w:val="en-US"/>
        </w:rPr>
        <w:t>Bf</w:t>
      </w:r>
      <w:r w:rsidRPr="00D03F3E">
        <w:rPr>
          <w:rFonts w:ascii="Times New Roman" w:hAnsi="Times New Roman"/>
          <w:color w:val="0070C0"/>
          <w:sz w:val="16"/>
          <w:szCs w:val="16"/>
        </w:rPr>
        <w:t xml:space="preserve"> 109</w:t>
      </w:r>
      <w:r w:rsidRPr="00D03F3E">
        <w:rPr>
          <w:rFonts w:ascii="Times New Roman" w:hAnsi="Times New Roman"/>
          <w:color w:val="0070C0"/>
          <w:sz w:val="16"/>
          <w:szCs w:val="16"/>
          <w:lang w:val="en-US"/>
        </w:rPr>
        <w:t>G</w:t>
      </w:r>
      <w:r w:rsidRPr="00D03F3E">
        <w:rPr>
          <w:rFonts w:ascii="Times New Roman" w:hAnsi="Times New Roman"/>
          <w:color w:val="0070C0"/>
          <w:sz w:val="16"/>
          <w:szCs w:val="16"/>
        </w:rPr>
        <w:t xml:space="preserve">-2 неоднократно использовали для сравнительных испытаний с новыми советскими истребителями. Например, проводили учебные бои с Ла-5Ф. При включенном форсаже он немного выигрывал в скорости и скороподемности до высоты 6000 м, заходя в хвост противнику через три-четыре виража. На вертикалях Ла-5Ф мог успешно вести бой с </w:t>
      </w:r>
      <w:r w:rsidRPr="00D03F3E">
        <w:rPr>
          <w:rFonts w:ascii="Times New Roman" w:hAnsi="Times New Roman"/>
          <w:color w:val="0070C0"/>
          <w:sz w:val="16"/>
          <w:szCs w:val="16"/>
          <w:lang w:val="en-US"/>
        </w:rPr>
        <w:t>Bf</w:t>
      </w:r>
      <w:r w:rsidRPr="00D03F3E">
        <w:rPr>
          <w:rFonts w:ascii="Times New Roman" w:hAnsi="Times New Roman"/>
          <w:color w:val="0070C0"/>
          <w:sz w:val="16"/>
          <w:szCs w:val="16"/>
        </w:rPr>
        <w:t xml:space="preserve"> 109</w:t>
      </w:r>
      <w:r w:rsidRPr="00D03F3E">
        <w:rPr>
          <w:rFonts w:ascii="Times New Roman" w:hAnsi="Times New Roman"/>
          <w:color w:val="0070C0"/>
          <w:sz w:val="16"/>
          <w:szCs w:val="16"/>
          <w:lang w:val="en-US"/>
        </w:rPr>
        <w:t>G</w:t>
      </w:r>
      <w:r w:rsidRPr="00D03F3E">
        <w:rPr>
          <w:rFonts w:ascii="Times New Roman" w:hAnsi="Times New Roman"/>
          <w:color w:val="0070C0"/>
          <w:sz w:val="16"/>
          <w:szCs w:val="16"/>
        </w:rPr>
        <w:t>-2, но только с хорошо обученным летчиком в кабине. Рекомендовали стрелять бронебойно-зажигательными боеприпасами по бензиновому и масляному бакам, агрегату впрыска топлива, радиаторам и расширительным бачкам системы охлаждения (23186).</w:t>
      </w:r>
    </w:p>
    <w:p w14:paraId="3A69F24E" w14:textId="77777777" w:rsidR="0022218B" w:rsidRPr="00D03F3E" w:rsidRDefault="0022218B" w:rsidP="00D03F3E">
      <w:pPr>
        <w:spacing w:after="0" w:line="240" w:lineRule="auto"/>
        <w:jc w:val="both"/>
        <w:rPr>
          <w:rFonts w:ascii="Times New Roman" w:hAnsi="Times New Roman"/>
          <w:color w:val="0070C0"/>
          <w:sz w:val="16"/>
          <w:szCs w:val="16"/>
        </w:rPr>
      </w:pPr>
    </w:p>
    <w:p w14:paraId="4584B0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вышел приказ НКАП N 157сс:</w:t>
      </w:r>
    </w:p>
    <w:p w14:paraId="0E7C9C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обеспечения строительства реактивных самолетов конструкции Костикова:</w:t>
      </w:r>
    </w:p>
    <w:p w14:paraId="5D9628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Переключить на работу по строительству самолетов конструкции Костикова полностью завод 462, освободив его на время выполнения этого задания от обязательного ремонта самолетов и др. заказов</w:t>
      </w:r>
    </w:p>
    <w:p w14:paraId="64A32D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оперативного решения вопросов, связанных со строительством указанных самолетов, на период их изготовления подчинить заводы 55 и 462 в административно-техническом отношении Костикову (1705,71).</w:t>
      </w:r>
    </w:p>
    <w:p w14:paraId="6320A0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B5AF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вышел приках НКАП № 157сс:</w:t>
      </w:r>
    </w:p>
    <w:p w14:paraId="5609BC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обеспечения стр-ва реактивных с-тов конструкции Костикова:</w:t>
      </w:r>
    </w:p>
    <w:p w14:paraId="4E7F0978"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Переключить на работу по стр-ву с-тов конструкции Костикова полностью з-д 462, освободив его на время выполнения этого задания от обязательного ремонта с-тов и др. Заказов,</w:t>
      </w:r>
    </w:p>
    <w:p w14:paraId="7A9B31E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оперативного решения вопросов, связанных со стр-вом указанных ст-ов, на период их изготовления подчинить з-ды № 55 и № 462 в административно-техническом отношении Костикову.</w:t>
      </w:r>
    </w:p>
    <w:p w14:paraId="2ED59D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Шахурин (1705, 71).</w:t>
      </w:r>
    </w:p>
    <w:p w14:paraId="5408B8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A967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года По приказу НКАП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16E548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75230F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5D2074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Тушино. Производственный профиль – авиамоторный (9861).</w:t>
      </w:r>
    </w:p>
    <w:p w14:paraId="4128B3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7113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г. по приказу № 158с заводу (Завод № 500 НКАП, МАП, п/я-75, п/я-4704, ММЗ, ММПО «Красный Октябрь» МАП, ММПО, ГММПП им. В.В. Чернышева, ОАО «Московское машиностроительное предприятие (ММП) им. В.В. Чернышева» /г. Тушино Московской обл./ /125362  г. Москва, ул. Вишневая, 7 тел. 491-55-44/) передана разделочная база завода № 453 НКАП. В соответствии с пост. ГКО № 4006с от 29.08.1943 г. и по приказу № 528с от 2.09.1943 г. в состав завода № 500 НКАП влит завод № 25 НКАП, переведенный из Ульяновска со всем оборудованием и кадрами. По распоряжению ГКО № 4490 от 3.11.1943 г. строительному тресту № 18 выделено 800 чел. для строительства завода. 10.12.1943 г. вышло постановление ГКО № 4752 о подготовке квалифицированных рабочих для завода. В соответствии с пост. ГКО № 5202с от 18.02.1944 г. и приказом № 134с/ 20с от 25.02.1944 г. заводу № 500 передан завод № 10 НКЛП ( г. Тушино) со всеми сооружениями и личным составом. Заводу передан также лабораторный корпус МАТИ в Тушино (на 02.1944 г.). Была оказана помощь в кадрах (по приказам № 78с от 5.02.1944 г., № 137с от 25.02.1944 г., № 160сс от 4.03.1944 г., № 206сс от 21.03.1944 г.): переведено на постоянную работу большое количество специалистов с завода № 34 (около 200 чел.), завода № 265 (около 600 чел.), завода № 45 (250 чел.), а также всего около 170 чел. с заводов № 16, № 24, № 26, № 27, № 30, № 43, № 315, № 381. 14.03.1944 г. вышло постановление ГКО № 5398 о дополнительных мерах по расширению производства дизеля АЧ-30Б на заводе. В 1946 г. на базе АЧ-30 создан (совместно с Кировским заводом) ТД-30 для тяжелого танка ИС-7.</w:t>
      </w:r>
    </w:p>
    <w:p w14:paraId="79FEA9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08.1946 г. при заводе сформировано ОКБ гл. конструктора С.С. Баландина, переведенного с завода № 41 МАП, для продолжения работ по двигателю МБ-8.</w:t>
      </w:r>
    </w:p>
    <w:p w14:paraId="39CB7A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СМ № 874-366сс от 17.04.1946 г. и приказом № 392с от 21.06.1946 г. на завод № 500 переведена с завода № 45 группа немецких специалистов во главе с гл. конструктором авиадизеля М. Герлахом для продолжения работ по авиадизелю М-224. Группа действовала как ОКБ-2 завода № 500 в системе 8ГУ. На 09.1948 г. здесь работало 54 немецких специалиста. В 1950 г. они переведены на опытный завод № 2 МАП.</w:t>
      </w:r>
    </w:p>
    <w:p w14:paraId="4E3A2B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31.12.1947 г. был построен 1-й РД-500, в 10.1948 г. начат серийный выпуск двигателя.</w:t>
      </w:r>
    </w:p>
    <w:p w14:paraId="289D13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Был создан отдел систем ЧПУ.</w:t>
      </w:r>
    </w:p>
    <w:p w14:paraId="2CF581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Приказом МАП от 9.06.1954 г. при заводе № 500 создана Специальная конструкторская группа (СКГ-10) во главе с В.Н. Челомеем по созданию морских КР, 26.08.1955 г. СКГ преобразована в ОКБ-52 МАП и перебазирована в Реутов.</w:t>
      </w:r>
    </w:p>
    <w:p w14:paraId="6167E2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СМ СССР № 713-342 от 26.06.1957 г. завод передан в ведение СНХ РСФСР. С 07.1954 г.- предприятие п/я-75, с 30.08.1960 г.- организация п/я- 4704. С 9.07.1963 г.- ММЗ «Красный Октябрь», с 10.03.1977 г.- ММПО «Красный Октябрь», с 18.11.1983 г.- «ММПО им. В.В. Чернышева», с 27.12.1991 г.- ГММПП им. В.В. Чернышева, с 23.02.1994 г.- ОАО «ММП им. В.В. Чернышева». По решению правительства № 22-р от 9.01.2004 г. вошло в перечень стратегических предприятий.</w:t>
      </w:r>
    </w:p>
    <w:p w14:paraId="69729A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Работы (2005 г.): подготовка к производству РД-93- двигателя для китайского истребителя </w:t>
      </w:r>
      <w:r w:rsidRPr="00D03F3E">
        <w:rPr>
          <w:rFonts w:ascii="Times New Roman" w:hAnsi="Times New Roman"/>
          <w:color w:val="000000" w:themeColor="text1"/>
          <w:sz w:val="16"/>
          <w:szCs w:val="16"/>
          <w:lang w:val="en-US"/>
        </w:rPr>
        <w:t>FC</w:t>
      </w:r>
      <w:r w:rsidRPr="00D03F3E">
        <w:rPr>
          <w:rFonts w:ascii="Times New Roman" w:hAnsi="Times New Roman"/>
          <w:color w:val="000000" w:themeColor="text1"/>
          <w:sz w:val="16"/>
          <w:szCs w:val="16"/>
        </w:rPr>
        <w:t>-1 на базе РД-33; ВК-3000; освоение выпуска РД-ЗЗМК, РД-1700.</w:t>
      </w:r>
    </w:p>
    <w:p w14:paraId="6CA65C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(1942-46 г.)- А.Д. Чаромский-Броничев, (1947-52 г.)- В.М. Яковлев, (1967-82 г.)- К.Р. Хачатуров.</w:t>
      </w:r>
    </w:p>
    <w:p w14:paraId="454354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конструктора (04.1944 г.-)- В.М. Яковлев.</w:t>
      </w:r>
    </w:p>
    <w:p w14:paraId="430CC0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(1942-43 г.)- А. Г. Вовк, (1944 г.)- А.П. Петров, (1945-48 г.)- М.Л. Кононенко, (1948-83 г.)- В.В. Чернышев {15.07.1906-}. Гендиректор (1983-97 г.)- А.Н. Напольнов, (10.1997-2002 г.)- О.Н. Третьяков,</w:t>
      </w:r>
      <w:r w:rsidRPr="00D03F3E">
        <w:rPr>
          <w:rFonts w:ascii="Times New Roman" w:hAnsi="Times New Roman"/>
          <w:color w:val="000000" w:themeColor="text1"/>
          <w:sz w:val="16"/>
          <w:szCs w:val="16"/>
          <w:vertAlign w:val="superscript"/>
        </w:rPr>
        <w:t>49</w:t>
      </w:r>
      <w:r w:rsidRPr="00D03F3E">
        <w:rPr>
          <w:rFonts w:ascii="Times New Roman" w:hAnsi="Times New Roman"/>
          <w:color w:val="000000" w:themeColor="text1"/>
          <w:sz w:val="16"/>
          <w:szCs w:val="16"/>
        </w:rPr>
        <w:t xml:space="preserve"> (2002-04; 12.2008 г.)- А.С. Новиков, (10.2004 г.)- О.Н. Третьяков.</w:t>
      </w:r>
    </w:p>
    <w:p w14:paraId="5B31D7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Исполнительный директор (2002 г.)- О.Н. Третьяков. Зам. гендиректора: по ВЭС (2002 г.)- А.А. Носков; по финансовым вопросам (2002 г.)- В.И. Шулепов.</w:t>
      </w:r>
    </w:p>
    <w:p w14:paraId="223166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(1945-47 г.)- В.В. Чернышев, (1984-97 г.)- О.Н. Третьяков.</w:t>
      </w:r>
    </w:p>
    <w:p w14:paraId="5C2BE8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цехов: (1945 г.)- И.Н. Смирнов.</w:t>
      </w:r>
    </w:p>
    <w:p w14:paraId="1B858A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лабораторий: физической (1945 г.)- А.И. Маслов.</w:t>
      </w:r>
    </w:p>
    <w:p w14:paraId="6D2C52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техбюро (1945 г.)- П.В. Погостин.</w:t>
      </w:r>
    </w:p>
    <w:p w14:paraId="586947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 дизельные двигатели: авиационные:</w:t>
      </w:r>
      <w:r w:rsidRPr="00D03F3E">
        <w:rPr>
          <w:rFonts w:ascii="Times New Roman" w:hAnsi="Times New Roman"/>
          <w:color w:val="000000" w:themeColor="text1"/>
          <w:sz w:val="16"/>
          <w:szCs w:val="16"/>
        </w:rPr>
        <w:t xml:space="preserve"> АЧ-30Б (1943-46)- 900, АЧ-31 (1945-46)- 58, АЧ-30БФ, М501 (1946-53); танковый ТД-30 (1946);</w:t>
      </w:r>
      <w:r w:rsidRPr="00D03F3E">
        <w:rPr>
          <w:rFonts w:ascii="Times New Roman" w:hAnsi="Times New Roman"/>
          <w:iCs/>
          <w:color w:val="000000" w:themeColor="text1"/>
          <w:sz w:val="16"/>
          <w:szCs w:val="16"/>
        </w:rPr>
        <w:t xml:space="preserve"> ГТД:</w:t>
      </w:r>
      <w:r w:rsidRPr="00D03F3E">
        <w:rPr>
          <w:rFonts w:ascii="Times New Roman" w:hAnsi="Times New Roman"/>
          <w:color w:val="000000" w:themeColor="text1"/>
          <w:sz w:val="16"/>
          <w:szCs w:val="16"/>
        </w:rPr>
        <w:t xml:space="preserve"> РД-500 (1947-51)- 1274, ВК-1 (1950-53)- 3744, АМ-5А (1952-61)- 2985, Р11-300, Р11Ф-300 (1958-), Р11АФ-300, Р11АФ2-300, Р11В-300 - более 12.000 всех модификаций, Р27В-300 (1974-91), Р27Ф2-300, Р29Б-300, Р35-300, РД-33 (1984-2005-), ТВ7-117С (1991-2005-), ВСУ ГТДЭ-117;</w:t>
      </w:r>
      <w:r w:rsidRPr="00D03F3E">
        <w:rPr>
          <w:rFonts w:ascii="Times New Roman" w:hAnsi="Times New Roman"/>
          <w:iCs/>
          <w:color w:val="000000" w:themeColor="text1"/>
          <w:sz w:val="16"/>
          <w:szCs w:val="16"/>
        </w:rPr>
        <w:t xml:space="preserve"> ЖРД </w:t>
      </w:r>
      <w:r w:rsidRPr="00D03F3E">
        <w:rPr>
          <w:rFonts w:ascii="Times New Roman" w:hAnsi="Times New Roman"/>
          <w:color w:val="000000" w:themeColor="text1"/>
          <w:sz w:val="16"/>
          <w:szCs w:val="16"/>
        </w:rPr>
        <w:t>С2.1150 для МКР «Буря» (1958-59)- 50; гл. редукторы ВР-2, ВР-8, ВР-14, ВР-24, ВР-252, ВР-80; ремонт двигателей РД-33, Р29-300 (2002), Р27Ф2М-300 (2002), Р35 (2002), Р11Ф-300 (2004);</w:t>
      </w:r>
      <w:r w:rsidRPr="00D03F3E">
        <w:rPr>
          <w:rFonts w:ascii="Times New Roman" w:hAnsi="Times New Roman"/>
          <w:color w:val="000000" w:themeColor="text1"/>
          <w:sz w:val="16"/>
          <w:szCs w:val="16"/>
          <w:vertAlign w:val="superscript"/>
        </w:rPr>
        <w:t xml:space="preserve">69 </w:t>
      </w:r>
      <w:r w:rsidRPr="00D03F3E">
        <w:rPr>
          <w:rFonts w:ascii="Times New Roman" w:hAnsi="Times New Roman"/>
          <w:color w:val="000000" w:themeColor="text1"/>
          <w:sz w:val="16"/>
          <w:szCs w:val="16"/>
        </w:rPr>
        <w:t>торпеда РАТ-52 (1949-50)- экспериментальная партия, МКР «Буря» (1959-)- 52; лодочные моторы «Москва», «Нептун» (1970-е).</w:t>
      </w:r>
    </w:p>
    <w:p w14:paraId="59F02D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Специальная конструкторская группа (СКГ) при заводе № 500 МАП, п/я 010</w:t>
      </w:r>
    </w:p>
    <w:p w14:paraId="6E0452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МАП от 9.06.1954 г. при заводе № 500 создана СКГ, п/я 010, во главе с В.Н. Челомеем по созданию морских крылатых УР. В 1955 г. она преобразована в ОКБ-52 и перебазировалась в Реутов.</w:t>
      </w:r>
    </w:p>
    <w:p w14:paraId="36CF95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 завода № 500, ОКБ-1 завода № 500 НКАП, ОКБ-500 МАП, ОКБ-500-1 МАП, «Тушинское МКБ (ТМКБ) «Союз» МАП, ГУП «ТМКБ «Союз» /125362  г. Москва ул. Вишневая, 7 тел. 491-58-65/</w:t>
      </w:r>
    </w:p>
    <w:p w14:paraId="5496F9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 завода № 500 образовано по приказу НКАП № 444с от 13.07.1942 г. на базе завода № 500 в Тушино. В него вошли КБ гл. конструктора Ф.Я. Тулупова и группа 4-го Спецотдела НКВД при заводе № 16 А.Д. Чаромского. Возглавил ОКБ А.Д. Чаромский. Работы по установке М-30 на Ер-2 и ТБ-7. Работы по дизелю М-20, для чего весь задел по нему переведен с завода № 16. Под руководством Чаромского на базе М-30 созданы АЧ- 30Б, АЧ-30БФ, АЧ-31, АЧ-32.</w:t>
      </w:r>
    </w:p>
    <w:p w14:paraId="3EDD71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заводе действовала также конструкторская группа под руководством В.М. Яковлева (одновременно-гл. конструктора ОКБ-45)- работы по танковым дизелям ТЧ-ЗОС, ТЧ-30Б (1946 г.).</w:t>
      </w:r>
    </w:p>
    <w:p w14:paraId="505010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414сс от 1.07.1946 г. коллективы Чаромского и Яковлева (ОКБ-45) объединены в единое ОКБ- 500 8ГУ МАП. Гл. конструктором назначен В.М. Яковлев. Чаромский с 1947 г. работает в ЦИАМ.</w:t>
      </w:r>
    </w:p>
    <w:p w14:paraId="2A99D3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Работы по дизелям АЧ-31, М-51 (М.М. Масленников), М-501 (В.М. Яковлев). В 1946-53г,- работы по воспроизводству немецкого дизеля </w:t>
      </w:r>
      <w:r w:rsidRPr="00D03F3E">
        <w:rPr>
          <w:rFonts w:ascii="Times New Roman" w:hAnsi="Times New Roman"/>
          <w:color w:val="000000" w:themeColor="text1"/>
          <w:sz w:val="16"/>
          <w:szCs w:val="16"/>
          <w:lang w:val="en-US"/>
        </w:rPr>
        <w:t>Jumo</w:t>
      </w:r>
      <w:r w:rsidRPr="00D03F3E">
        <w:rPr>
          <w:rFonts w:ascii="Times New Roman" w:hAnsi="Times New Roman"/>
          <w:color w:val="000000" w:themeColor="text1"/>
          <w:sz w:val="16"/>
          <w:szCs w:val="16"/>
        </w:rPr>
        <w:t>-224 и разработке на его базе дизеля М-224. Работы по освоению производства ТРД РД-500 (1947-48 г.). Для разработки конструкторской документации по РД-500 были созданы конструкторские бригады.</w:t>
      </w:r>
    </w:p>
    <w:p w14:paraId="6A4B94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СМ № 599-302 от 23.02.1953 г. на территории ленинградского завода «Звезда» им. К.Е. Ворошилова было создано ОКБ-800, гл. конструктором которого назначен В.М. Яковлев.</w:t>
      </w:r>
    </w:p>
    <w:p w14:paraId="708FAB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156 от 19.04.1957 г. Ленинградский филиал ОКБ-45 на заводе № 466 преобразован в филиал ОКБ-500. В 08.1957 г.- в ведении ЗГУ МАП. Приказом ГКАТ № 210 от 17.06.1958 г. филиал преобразован в самостоятельное ОКБ при заводе № 466.</w:t>
      </w:r>
    </w:p>
    <w:p w14:paraId="52ABE2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МАП № 175 от 30.04.1966 г. ОКБ-500 переименовано в Тушинское Машиностроительное КБ «Союз». Пост, правительства от 22.04.1996 г. предприятие преобразовано в ГУП «ТМКБ «Союз».</w:t>
      </w:r>
    </w:p>
    <w:p w14:paraId="272591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Разработка атомных двигателей, доводка и сопровождение в серии Р-11-300, Р-27Ф2М-300, Р-29-300, Р-35, РД-33. Разработаны установки на базе ГТД, выработавших ресурс, для очистки ВПП, тушения пожаров, очистки труб нефтепроводов; малогабаритные автономные энергоустановки. Создано более 40 типов и модификаций ТРД.</w:t>
      </w:r>
    </w:p>
    <w:p w14:paraId="675626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состав предприятия входит (2002 г.): КБ, ОП, лабораторная база, испытательная станция. Имелись филиалы в  г. Жуковский и в  г. Ахтубинске Астраханской обл.</w:t>
      </w:r>
    </w:p>
    <w:p w14:paraId="6F00B7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2006 г. ТМКБ «Союз» являлось дочерним предприятием РСК «МиГ».</w:t>
      </w:r>
    </w:p>
    <w:p w14:paraId="097CF3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(2002 г.): разработка Р95-300; внедрение мобильной информационно-диагностической системы наземного контроля КСК-88; установка для беспрокруточной внутренней консервации двигателей; разработка привода ГТП 55СТ-20 для энергетики; (2006 г.): разработка двигателя РД-1700.</w:t>
      </w:r>
    </w:p>
    <w:p w14:paraId="19842F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(13.07.1942-14.05.1946)- А.Д. Чаромский-Броничев, (14.07.1946-09.1953 г.)- В.М. Яковлев, (1957-65 г.)- Н. Г. Мецхваришвили {1911-65}, (1966-82 г.)- К.Р. Хачатуров, (1982-87 г.)- Ю.Е. Швецов, (1987- 2005 г.)- Р.Ю. Нусберг {29.07.1929-},</w:t>
      </w:r>
      <w:r w:rsidRPr="00D03F3E">
        <w:rPr>
          <w:rFonts w:ascii="Times New Roman" w:hAnsi="Times New Roman"/>
          <w:color w:val="000000" w:themeColor="text1"/>
          <w:sz w:val="16"/>
          <w:szCs w:val="16"/>
          <w:vertAlign w:val="superscript"/>
        </w:rPr>
        <w:t>49</w:t>
      </w:r>
      <w:r w:rsidRPr="00D03F3E">
        <w:rPr>
          <w:rFonts w:ascii="Times New Roman" w:hAnsi="Times New Roman"/>
          <w:color w:val="000000" w:themeColor="text1"/>
          <w:sz w:val="16"/>
          <w:szCs w:val="16"/>
        </w:rPr>
        <w:t xml:space="preserve"> (2005 г.-)- Л.С. Бардычев.</w:t>
      </w:r>
    </w:p>
    <w:p w14:paraId="7F12D7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1-й зам. гл. конструктора (1942-04.1944 г.)- Ф.Я. Тулупов, (04.1944 г.-&gt; И.Е. Скляр, (2002 г.)- А.В. Лобурев. Зам. гл. конструктора: (-04.1944 г.)- И.Е. Скляр; по экспериментальным работам (04.1944 г.-)- Ф.Я. Тулупов; по внедрению АЧ-ЗОБ (04.1944 г.-)- В.М. Яковлев; по эксплуатации (-2000-02 г.-)- В.М. Рузин; (1964-67 г.)- К.Р. Хачатуров, (-2000-02 г.-)- В.И. Винокуров; А.А. Михайловский, С.Р. Саркисов.</w:t>
      </w:r>
    </w:p>
    <w:p w14:paraId="10D576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1-й зам. ответственного руководителя- С.Р. Саркисов. И.О. начальника (1942 г.)- Ф.Я. Тулупов; начальник (1957 г.-)- С.Р. Саркисов. Директор (-1967 г.)- С.Р. Саркисов, (-2000-02 г.-&gt; В.И. Винокуров. Гендиректор (2005 г.)- Л.С. Бардычев.</w:t>
      </w:r>
    </w:p>
    <w:p w14:paraId="682433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управления по маркетингу и стратегическому планированию (2006 г.)- С.В. Залашков.</w:t>
      </w:r>
    </w:p>
    <w:p w14:paraId="4FD6DA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Создано: ТРД:</w:t>
      </w:r>
      <w:r w:rsidRPr="00D03F3E">
        <w:rPr>
          <w:rFonts w:ascii="Times New Roman" w:hAnsi="Times New Roman"/>
          <w:color w:val="000000" w:themeColor="text1"/>
          <w:sz w:val="16"/>
          <w:szCs w:val="16"/>
        </w:rPr>
        <w:t xml:space="preserve"> РД-500, Р11Ф-300, Р27Ф2М-300, Р29-300, Р29Б-300, Р29БС-300, Р-35, РД-33, РД-1700; ГТУ55СТ-20 на базе Р29-300; дизель М-501 для ВМФ (1946-48); микро-ЖРД Р210 для КА (1963); мобильная система КСК-88.</w:t>
      </w:r>
      <w:r w:rsidRPr="00D03F3E">
        <w:rPr>
          <w:rFonts w:ascii="Times New Roman" w:hAnsi="Times New Roman"/>
          <w:color w:val="000000" w:themeColor="text1"/>
          <w:sz w:val="16"/>
          <w:szCs w:val="16"/>
          <w:vertAlign w:val="superscript"/>
        </w:rPr>
        <w:t>101</w:t>
      </w:r>
    </w:p>
    <w:p w14:paraId="0086A0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ОКБ-2 завода № 500, ОКБ-500-2 МАП гл. конструктора С.С. Баландина /Тушино/</w:t>
      </w:r>
    </w:p>
    <w:p w14:paraId="47C36A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515с от 5.08.1946 г. при заводе № 500 сформировано ОКБ-2 гл. конструктора С.С. Баландина, переведенного с группой из 9 чел. с завода № 41 МАП, для продолжения работ по двигателю МБ-8. Разработка 24-цилиндрового мотора воздушного охлаждения М-127. Баландин назначен гл. конструктором мотора на заводе. В ОКБ переведены 11 чел. ИТР из ЦИАМ, 50 чел. с завода № 500. Работы велись и в 1948 г.</w:t>
      </w:r>
    </w:p>
    <w:p w14:paraId="2EE231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(08.1946-04.1947 г.-) - С.С. Баландин.</w:t>
      </w:r>
    </w:p>
    <w:p w14:paraId="36A3D8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конструктора (08.1946 г.-)-  Г.П. Зайцев, (08.1946 г.-) - К.А. Гильзин (11982).</w:t>
      </w:r>
    </w:p>
    <w:p w14:paraId="46B865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133C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г. по приказу № 158с разделочная база завода № 453 НКАП со всем оборудованием и личным составом передана заводу № 500 (11982).</w:t>
      </w:r>
    </w:p>
    <w:p w14:paraId="1BFFFC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97DA75"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AA48E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042F5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г. была подготовлена ДОКЛАДНАЯ ЗАПИСКА СТАРШЕГО ВОЕНПРЕДА ТУ ГБТУ КА ЗАМЕСТИТЕЛЮ НАЧАЛЬНИКА ТУ ГБТУ КА ПО ВОПРОСУ УТВЕРЖДЕНИЯ ТЕХНИЧЕСКОЙ ДОКУМЕНТАЦИИ ОГНЕМЕТНОГО ВООРУЖЕНИЯ ТАНКА Т-О34 № 11196</w:t>
      </w:r>
    </w:p>
    <w:p w14:paraId="0998F8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Вашу телеграмму №31-129 по вопросу выполнения заводом №174 протокола утверждения тех</w:t>
      </w:r>
      <w:r w:rsidRPr="00D03F3E">
        <w:rPr>
          <w:rFonts w:ascii="Times New Roman" w:hAnsi="Times New Roman"/>
          <w:color w:val="000000" w:themeColor="text1"/>
          <w:sz w:val="16"/>
          <w:szCs w:val="16"/>
        </w:rPr>
        <w:softHyphen/>
        <w:t>нической документации огнеметного вооружения танка Т-О34 на серийное производство 1943 г. докла</w:t>
      </w:r>
      <w:r w:rsidRPr="00D03F3E">
        <w:rPr>
          <w:rFonts w:ascii="Times New Roman" w:hAnsi="Times New Roman"/>
          <w:color w:val="000000" w:themeColor="text1"/>
          <w:sz w:val="16"/>
          <w:szCs w:val="16"/>
        </w:rPr>
        <w:softHyphen/>
        <w:t>дываю, что завод к выпуску танков Т-О34 с огнеметным вооружением АТО-42 не готов за отсутствием чертежей и приказов на изменения, указанные в протоколе, с головного завода №183. При заводе име</w:t>
      </w:r>
      <w:r w:rsidRPr="00D03F3E">
        <w:rPr>
          <w:rFonts w:ascii="Times New Roman" w:hAnsi="Times New Roman"/>
          <w:color w:val="000000" w:themeColor="text1"/>
          <w:sz w:val="16"/>
          <w:szCs w:val="16"/>
        </w:rPr>
        <w:softHyphen/>
        <w:t>ются чертежи: на изменение гильзоулавливателя, на увеличение диаметра горловины бака для заправки вязкой огнесмесью, выпущенные на основании чертежей завода №183, и чертеж на установление бен-зобачка с клапаном, разработанным заводом №112 для стравливания давления в атмосферу, но испыта</w:t>
      </w:r>
      <w:r w:rsidRPr="00D03F3E">
        <w:rPr>
          <w:rFonts w:ascii="Times New Roman" w:hAnsi="Times New Roman"/>
          <w:color w:val="000000" w:themeColor="text1"/>
          <w:sz w:val="16"/>
          <w:szCs w:val="16"/>
        </w:rPr>
        <w:softHyphen/>
        <w:t>нием на нашем заводе не проверены.</w:t>
      </w:r>
    </w:p>
    <w:p w14:paraId="4C75621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настоящее время завод приступил к испытанию АТО-41, установленного на 1 машине по ста</w:t>
      </w:r>
      <w:r w:rsidRPr="00D03F3E">
        <w:rPr>
          <w:rFonts w:ascii="Times New Roman" w:hAnsi="Times New Roman"/>
          <w:color w:val="000000" w:themeColor="text1"/>
          <w:sz w:val="16"/>
          <w:szCs w:val="16"/>
        </w:rPr>
        <w:softHyphen/>
        <w:t>рым чертежам завода №183 без изменений, указанных в протоколе.</w:t>
      </w:r>
    </w:p>
    <w:p w14:paraId="4E41B9D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Старший военпред ТУ ГБТУ КА инженер-майор Павлов</w:t>
      </w:r>
    </w:p>
    <w:p w14:paraId="4A8450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1370. Л. 44. Подлинник (11403).</w:t>
      </w:r>
    </w:p>
    <w:p w14:paraId="5110B9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9FD7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вышло Распоряжение ГКО № 3046. О разработке мероприятий по обеспечению производства и поставок в марте и II кв. 1943 г. сырья для пороховой промышленности.РГАНИР, Фонд ГКО, д. 98, лл. 1 (11012).</w:t>
      </w:r>
    </w:p>
    <w:p w14:paraId="5416FC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F21B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вышло Постановление ГКО № 3047 О ремонте дизелей для танков.РГАНИР, Фонд ГКО, д. 98, лл. 2-5, 6 (11012).</w:t>
      </w:r>
    </w:p>
    <w:p w14:paraId="332897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47B9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вышло Постановление ГКО № 3048 О мероприятиях по строительству ТЭЦ завода № 95 и расширению ТЭЦ заводов № 19 и 26 Наркомавиапрома.РГАНИР, Фонд ГКО, д. 98, лл. 7-10, 11-14 (11012).</w:t>
      </w:r>
    </w:p>
    <w:p w14:paraId="559B94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A5D6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вышло Распоряжение ГКО № 3049. О поставке до 12 апреля 80 тыс. корпусов снарядов М-13.РГАНИР, Фонд ГКО, д. 98, лл. 15-17, 18 (11012).</w:t>
      </w:r>
    </w:p>
    <w:p w14:paraId="11145D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5B47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вышло Распоряжение ГКО № 3050. Об освобождении НКНП от поставки 18 лонкаширских котлов для Красноводской нефтебазы Главнефтеснаба при СНК СССР.РГАНИР, Фонд ГКО, д. 98, лл. 19 (11012).</w:t>
      </w:r>
    </w:p>
    <w:p w14:paraId="29E0A6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6905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вышло Распоряжение ГКО № 3051. О мерах по обеспечению металлом производства станков, прессов и инструмента в марте и созданию заделов на апрель 1943 г.РГАНИР, Фонд ГКО, д. 98, лл. 20 (11012).</w:t>
      </w:r>
    </w:p>
    <w:p w14:paraId="19FD9C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674E6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вышло Постановление ГКО № 3052 О дополнительных мероприятиях по подготовке торфопредприятий Наркомата электростанций к добыче торфа в 1943 году. (7090, 21-25,26-32).</w:t>
      </w:r>
    </w:p>
    <w:p w14:paraId="6336A2F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170C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вышло Распоряжение ГКО № 3053. О мерах по выполнению постановления ГКО № 2941 от 24 февраля 1943 г. "О ремонте трофейных танков в районах Сталинграда, Воронежа и Дона".РГАНИР, Фонд ГКО, д. 98, лл. 33 (11012).</w:t>
      </w:r>
    </w:p>
    <w:p w14:paraId="09379B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620D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вышло Распоряжение ГКО № 3054. Об изготовлении в марте и апреле 1943 г. 30 комплектов специальных приспособлений для капитального ремонта танков в полевых условиях.РГАНИР, Фонд ГКО, д. 98, лл. 34, 35-38 (11012).</w:t>
      </w:r>
    </w:p>
    <w:p w14:paraId="0DA046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B0E3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вышло Постановление ГКО № 3055 О подготовке шоферов для Красной Армии в 1943 г.РГАНИР, Фонд ГКО, д. 98, лл. 39-41, 42-46 (11012).</w:t>
      </w:r>
    </w:p>
    <w:p w14:paraId="1505ED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7A43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вышло Распоряжение ГКО № 3056. Об использовании американского бронелиста при изготовлении бронедеталей корпусов танков Т-70, Т-80, СУ-12 и бронирования поездов.РГАНИР, Фонд ГКО, д. 98, лл. 47 (11012).</w:t>
      </w:r>
    </w:p>
    <w:p w14:paraId="30853B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4DF3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вышло Постановление ГКО № 3057 Об обеспечении мотоциклами мотомеханизированных соединений Красной Армии.РГАНИР, Фонд ГКО, д. 98, лл. 48-55, 56-72 (11012).</w:t>
      </w:r>
    </w:p>
    <w:p w14:paraId="03779F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245A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г. вышел Приказ народного комиссара химической промышленности о передаче вновь строящегося химического завода в Кирово-Чепецке (завода № 752) в ведение Первого Главного управления (управления по созданию химического оружия) с ориентацией на выпуск стойких ОВ кожно-нарывного действия - иприта и люизита - и наполнения ими артхимснарядов и химических мин (9067).</w:t>
      </w:r>
    </w:p>
    <w:p w14:paraId="50B676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E62B8E" w14:textId="77777777" w:rsidR="00530A1E" w:rsidRPr="00D03F3E" w:rsidRDefault="00530A1E"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bCs/>
          <w:iCs/>
          <w:color w:val="000000" w:themeColor="text1"/>
          <w:sz w:val="16"/>
          <w:szCs w:val="16"/>
        </w:rPr>
        <w:t>19 марта 1943 г</w:t>
      </w:r>
      <w:r w:rsidRPr="00D03F3E">
        <w:rPr>
          <w:rFonts w:ascii="Times New Roman" w:hAnsi="Times New Roman"/>
          <w:color w:val="000000" w:themeColor="text1"/>
          <w:sz w:val="16"/>
          <w:szCs w:val="16"/>
        </w:rPr>
        <w:t>. Приказ наркома НКХП СССР о передаче строящегося химического завода № 752 в Кирово-Чепецке (Кировская область) в ведение ПГУ НКХП СССР (управления по созданию химического оружия) с ориентацией на выпуск иприта и люизита и наполнения ими артхимснарядов и химических мин (17133).</w:t>
      </w:r>
    </w:p>
    <w:p w14:paraId="532196D7" w14:textId="77777777" w:rsidR="00530A1E" w:rsidRPr="00D03F3E" w:rsidRDefault="00530A1E" w:rsidP="00D03F3E">
      <w:pPr>
        <w:shd w:val="clear" w:color="auto" w:fill="FFFFFF"/>
        <w:spacing w:after="0" w:line="240" w:lineRule="auto"/>
        <w:jc w:val="both"/>
        <w:rPr>
          <w:rFonts w:ascii="Times New Roman" w:hAnsi="Times New Roman"/>
          <w:color w:val="000000" w:themeColor="text1"/>
          <w:sz w:val="16"/>
          <w:szCs w:val="16"/>
        </w:rPr>
      </w:pPr>
    </w:p>
    <w:p w14:paraId="4AA48F0C" w14:textId="77777777" w:rsidR="00530A1E"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2610A125" w14:textId="77777777" w:rsidR="00530A1E" w:rsidRPr="00D03F3E" w:rsidRDefault="00530A1E"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02BD7D"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19 марта</w:t>
      </w:r>
      <w:r w:rsidRPr="00D03F3E">
        <w:rPr>
          <w:rFonts w:ascii="Times New Roman" w:hAnsi="Times New Roman"/>
          <w:color w:val="000000" w:themeColor="text1"/>
          <w:sz w:val="16"/>
          <w:szCs w:val="16"/>
        </w:rPr>
        <w:t xml:space="preserve"> в 1943 году утреннее сообщение Совинформбюро:</w:t>
      </w:r>
    </w:p>
    <w:p w14:paraId="6F2C5553"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19 марта наши войска вели бои на прежних направлениях.</w:t>
      </w:r>
    </w:p>
    <w:p w14:paraId="12D24718"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овладев районным центром и железнодорожной станцией Издешково, с боями продвигались вперёд и освободили ещё несколько населённых пунктов. Части Н-ского соединения, развивая наступление по западному берегу Днепра, отбили контратаку немецкой пехоты, отбросили противника и уничтожили до 300 гитлеровцев.</w:t>
      </w:r>
    </w:p>
    <w:p w14:paraId="27FE139A"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Чугуева продолжались ожесточённые бои. Противник подтянул новые силы пехоты и танков и атаковал наши позиции. Бойцы Н-ской части, отбивая атаки гитлеровцев, подбили 5 танков и уничтожили до 400 немецких солдат и офицеров. В результате боя лишь на одном участке танкам противника удалось несколько потеснить наши подразделения.</w:t>
      </w:r>
    </w:p>
    <w:p w14:paraId="5942B10B"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Нашей авиацией уничтожено или повреждено до 100 автомашин с пехотой и грузами противника и сбито в воздушном бою 3 немецких самолёта.</w:t>
      </w:r>
    </w:p>
    <w:p w14:paraId="6E8ED261"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озера Ильмень наши части, преодолевая упорное сопротивление противника, заняли несколько населённых пунктов. В боях за эти сильно укреплённые опорные пункты немцы потеряли убитыми до 800 солдат и офицеров. Нашими бойцами захвачены 5 немецких танков, 10 орудий, 22 пулемёта, склад боеприпасов и склад с инженерным имуществом.</w:t>
      </w:r>
    </w:p>
    <w:p w14:paraId="7829B5D7"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в воздушных боях сбили 6 самолётов противника. Экипаж одного немецкого самолёта, выбросившийся на парашютах, пытался бежать, но был задержан колхозниками и доставлен в штаб советской части.</w:t>
      </w:r>
    </w:p>
    <w:p w14:paraId="7331FACE"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одном из районов Черниговской области, в ночь на 13 марта из засад уничтожили 17 немецких автомашин. Советские патриоты истребили 80 гитлеровцев и захватили 5 пулемётов, несколько десятков автоматов и винтовок, миномёт и 8 тысяч патронов.</w:t>
      </w:r>
    </w:p>
    <w:p w14:paraId="5F6F9ADC"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селе Козля, Курской области: «Немецкие оккупанты ограбили всех колхозников, оставив их голодными, раздетыми и разутыми. Незадолго до отступления, в воскресный день, гитлеровцы погнали 42 колхозника на расчистку дороги Козля — Льгов. Вечером после окончания работы колхозников не отпустили домой, а под усиленным конвоем увели в деревню Поповый Яр. Там фашистские бандиты долго издевались над ними, а потом расстреляли, свалили трупы в кучу и зарыли их снегом. После изгнания немцев трупы были извлечены; на каждом из них видны следы чудовищных истязаний ипыток. У колхозника Семёна Семиченко — правая рука и бок исколоты штыком, плечои голова прострелены; колхознику Павлу Тетеркину фашисты разорвали рот и прострелили грудь очередью из автомата; у колхозника Ивана Лихова — живот исколот ножом, на левой руке отрезаны три пальца; у Петра Чкалова — все тело изрезано, а голова пробита пулей.</w:t>
      </w:r>
    </w:p>
    <w:p w14:paraId="5794C4A9"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гнусное преступление гитлеровцев не будет забыто. Все немецкие душегубы, ворвавшиеся в наш советский дом, понесут наказание. Двуногим фашистским зверям нет места на земле».</w:t>
      </w:r>
    </w:p>
    <w:p w14:paraId="01495FF7"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Акт подписали: ближайшие родственники и члены семей замученных Михаил Тетеркин, Егор Лихов, Феона Мамонтова, Татьяна Скрыпкина, Дарья Карманова и другие.» (15073).</w:t>
      </w:r>
    </w:p>
    <w:p w14:paraId="76F32EAA" w14:textId="77777777" w:rsidR="00530A1E" w:rsidRPr="00D03F3E" w:rsidRDefault="00530A1E" w:rsidP="00D03F3E">
      <w:pPr>
        <w:spacing w:after="0" w:line="240" w:lineRule="auto"/>
        <w:jc w:val="both"/>
        <w:rPr>
          <w:rFonts w:ascii="Times New Roman" w:hAnsi="Times New Roman"/>
          <w:color w:val="000000" w:themeColor="text1"/>
          <w:sz w:val="16"/>
          <w:szCs w:val="16"/>
        </w:rPr>
      </w:pPr>
    </w:p>
    <w:p w14:paraId="6A5228D7"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19 марта</w:t>
      </w:r>
      <w:r w:rsidRPr="00D03F3E">
        <w:rPr>
          <w:rFonts w:ascii="Times New Roman" w:hAnsi="Times New Roman"/>
          <w:color w:val="000000" w:themeColor="text1"/>
          <w:sz w:val="16"/>
          <w:szCs w:val="16"/>
        </w:rPr>
        <w:t xml:space="preserve"> в 1943 году вечернее сообщение Совинформбюро:</w:t>
      </w:r>
    </w:p>
    <w:p w14:paraId="6CF5B9DD"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течение 19 марта наши войска вели бои на прежних направлениях.</w:t>
      </w:r>
    </w:p>
    <w:p w14:paraId="29E8337F"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марта частями нашей авиации на различных участках фронта уничтожено или повреждено не менее 10 немецких танков, свыше 70 автомашин с войсками и грузами, подавлен огонь 15 батарей полевой и зенитной артиллерии, взорвано 5 складов противника с боеприпасами.</w:t>
      </w:r>
    </w:p>
    <w:p w14:paraId="4C0C4B4E"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заняли ряд населённых пунктов. В боях с нашими частями противник несёт большие потери. Захваченные в плен немецкие солдаты и офицеры показали, что 185 немецкий пехотный полк за последние дни потерял три четверти своего личного состава. Южнее Издешкова немцы, опираясь на заранее подготовленные опорные пункты, оказывают сопротивление. Овладев одним рубежом обороны противника, наши части истребили до 400 гитлеровцев. Захвачены трофеи, в том числе 7 орудий и 2 склада боеприпасов.</w:t>
      </w:r>
    </w:p>
    <w:p w14:paraId="0EB1C3B5"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течения Северного Донца наши войска вели ожесточённые бои с крупными силами танков и пехоты противника. Бойцы Н-ской части отразили несколько атак гитлеровцев и уничтожили 14 танков, 3 бронемашины, 12 орудий и свыше 600 солдат и офицеров противника. Подтянув свежие силы, немцы вновь пошли в атаку и потеснили наши подразделения. Решительной контратакой советских бойцов враг снова был отброшен. На другом участке численно превосходящим силам противника ценою больших потерь удалось несколько продвинуться вперёд и захватить два населённых пункта.</w:t>
      </w:r>
    </w:p>
    <w:p w14:paraId="54ADBE76"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в воздушных боях в течение дня сбили 11 немецких самолётов.</w:t>
      </w:r>
    </w:p>
    <w:p w14:paraId="28708830"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озера Ильмень продолжались упорные бои. В районе одного населённого пункта наши части истребили батальон немецких полицейских и захватили всё их оружие. На другом участке уничтожено до 200 гитлеровцев. Нашими бойцами захвачены 4 орудия и склад с разным военным имуществом. Советские лётчики в воздушных боях сбили 7 немецких самолётов.</w:t>
      </w:r>
    </w:p>
    <w:p w14:paraId="002572AE"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Витебской области, в бою с немецкой карательной экспедицией уничтожил более 100 немецко-фашистских захватчиков. Партизаны другого отряда в ночь с 9 на 10 марта пустили под откос воинский эшелон противника. В результате крушения уничтожено 28 вагонов и платформ с танками, вооружением и живой силой. Под обломками вагонов и при перестрелке убито и ранено около 200 гитлеровцев.</w:t>
      </w:r>
    </w:p>
    <w:p w14:paraId="37AD3D80"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посёлке Серго-Ивановская, Смоленской области: «Как только немецкие захватчики заняли Серго-Ивановскую, для нас началась невыносимая жизнь. Гитлеровские бандиты осквернили наш посёлок и ограбили всё население. За невыход на работу фашисты публично высекли Марию и Александру Гайдуковых. Немецкие офицеры наблюдали эту мерзкую расправу и ухмылялись. Некоторые пришли с фотоаппаратами и всё время щёлкали ими. Чтобы унизить достоинство советских людей, гитлеровцы заставили каждого жителя носить на шее бирку с номером. Без бирки нельзя было выйти за порог. Они часто устраивали проверку — носят ли жители бирки. Перед отступлением фашистские изверги рыскали по всему посёлку, врывались в убежища и землянки и уводили с собою всю молодёжь от 14 лет. За один только день они насильно угнали на каторгу в Германию 35 подростков, оторвав их от дома и от родителей». Акт подписали: Андрей Карцев, Елена Бобко, Иван Машинистов, Павел Игнатов.</w:t>
      </w:r>
    </w:p>
    <w:p w14:paraId="0C1D2B80" w14:textId="77777777" w:rsidR="00530A1E" w:rsidRPr="00D03F3E" w:rsidRDefault="00530A1E" w:rsidP="00D03F3E">
      <w:pPr>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rPr>
        <w:t xml:space="preserve">В районе Салоник греческие патриоты вывели из строя химический завод, работавший на немцев. Оборудование завода приведено в полную негодность.Недалеко от города Пирей греческие партизаны пустили под откос поезд с итальянскими солдатами. Группа вооружённых греков совершила налёт на военный склад оккупантов. Истребив охрану, партизаны захватили оружие и боеприпасы.» </w:t>
      </w:r>
      <w:r w:rsidRPr="00D03F3E">
        <w:rPr>
          <w:rFonts w:ascii="Times New Roman" w:hAnsi="Times New Roman"/>
          <w:color w:val="000000" w:themeColor="text1"/>
          <w:sz w:val="16"/>
          <w:szCs w:val="16"/>
          <w:lang w:val="en-US"/>
        </w:rPr>
        <w:t>(15073).</w:t>
      </w:r>
    </w:p>
    <w:p w14:paraId="561A80C0" w14:textId="77777777" w:rsidR="00530A1E" w:rsidRPr="00D03F3E" w:rsidRDefault="00530A1E" w:rsidP="00D03F3E">
      <w:pPr>
        <w:spacing w:after="0" w:line="240" w:lineRule="auto"/>
        <w:jc w:val="both"/>
        <w:rPr>
          <w:rFonts w:ascii="Times New Roman" w:hAnsi="Times New Roman"/>
          <w:color w:val="000000" w:themeColor="text1"/>
          <w:sz w:val="16"/>
          <w:szCs w:val="16"/>
          <w:lang w:val="en-US"/>
        </w:rPr>
      </w:pPr>
    </w:p>
    <w:p w14:paraId="75C7AC6C" w14:textId="77777777" w:rsidR="0022218B" w:rsidRPr="00D03F3E" w:rsidRDefault="0022218B"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Сухин на Пе-8 (ТБ-7) N 42098 вылетев из Кратово летал разбрасывать листовки над Варшавой (1103,110).</w:t>
      </w:r>
    </w:p>
    <w:p w14:paraId="082E9B55" w14:textId="77777777" w:rsidR="0022218B" w:rsidRPr="00D03F3E" w:rsidRDefault="0022218B"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CA28E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D03F3E">
        <w:rPr>
          <w:rFonts w:ascii="Times New Roman" w:hAnsi="Times New Roman"/>
          <w:i/>
          <w:iCs/>
          <w:color w:val="000000" w:themeColor="text1"/>
          <w:sz w:val="16"/>
          <w:szCs w:val="16"/>
        </w:rPr>
        <w:t>За</w:t>
      </w:r>
      <w:r w:rsidRPr="00D03F3E">
        <w:rPr>
          <w:rFonts w:ascii="Times New Roman" w:hAnsi="Times New Roman"/>
          <w:i/>
          <w:iCs/>
          <w:color w:val="000000" w:themeColor="text1"/>
          <w:sz w:val="16"/>
          <w:szCs w:val="16"/>
          <w:lang w:val="en-US"/>
        </w:rPr>
        <w:t xml:space="preserve"> </w:t>
      </w:r>
      <w:r w:rsidRPr="00D03F3E">
        <w:rPr>
          <w:rFonts w:ascii="Times New Roman" w:hAnsi="Times New Roman"/>
          <w:i/>
          <w:iCs/>
          <w:color w:val="000000" w:themeColor="text1"/>
          <w:sz w:val="16"/>
          <w:szCs w:val="16"/>
        </w:rPr>
        <w:t>рубежом</w:t>
      </w:r>
      <w:r w:rsidRPr="00D03F3E">
        <w:rPr>
          <w:rFonts w:ascii="Times New Roman" w:hAnsi="Times New Roman"/>
          <w:i/>
          <w:iCs/>
          <w:color w:val="000000" w:themeColor="text1"/>
          <w:sz w:val="16"/>
          <w:szCs w:val="16"/>
          <w:lang w:val="en-US"/>
        </w:rPr>
        <w:t>:</w:t>
      </w:r>
    </w:p>
    <w:p w14:paraId="538F25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359E1FE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 xml:space="preserve">19 </w:t>
      </w:r>
      <w:r w:rsidRPr="00D03F3E">
        <w:rPr>
          <w:rFonts w:ascii="Times New Roman" w:hAnsi="Times New Roman"/>
          <w:color w:val="000000" w:themeColor="text1"/>
          <w:sz w:val="16"/>
          <w:szCs w:val="16"/>
        </w:rPr>
        <w:t>марта</w:t>
      </w:r>
      <w:r w:rsidRPr="00D03F3E">
        <w:rPr>
          <w:rFonts w:ascii="Times New Roman" w:hAnsi="Times New Roman"/>
          <w:color w:val="000000" w:themeColor="text1"/>
          <w:sz w:val="16"/>
          <w:szCs w:val="16"/>
          <w:lang w:val="en-US"/>
        </w:rPr>
        <w:t xml:space="preserve"> 1943 </w:t>
      </w:r>
      <w:r w:rsidRPr="00D03F3E">
        <w:rPr>
          <w:rFonts w:ascii="Times New Roman" w:hAnsi="Times New Roman"/>
          <w:color w:val="000000" w:themeColor="text1"/>
          <w:sz w:val="16"/>
          <w:szCs w:val="16"/>
        </w:rPr>
        <w:t>Муссолиниотказалсявыдаватьнемцамитальянскихевреев</w:t>
      </w:r>
      <w:r w:rsidRPr="00D03F3E">
        <w:rPr>
          <w:rFonts w:ascii="Times New Roman" w:hAnsi="Times New Roman"/>
          <w:color w:val="000000" w:themeColor="text1"/>
          <w:sz w:val="16"/>
          <w:szCs w:val="16"/>
          <w:lang w:val="en-US"/>
        </w:rPr>
        <w:t xml:space="preserve"> (4962).</w:t>
      </w:r>
    </w:p>
    <w:p w14:paraId="0E39AAB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55562B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March 19th, 1943: In Tunisia, the British 8th Army (Montgomery) begins an offensive against Italian defenses of the Mareth Line (3819).</w:t>
      </w:r>
    </w:p>
    <w:p w14:paraId="65D880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DBAE1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в Тунисе британская 8А (Монтгомери) начала наступление против итальянцев, обороняющих линию Марет (3819).</w:t>
      </w:r>
    </w:p>
    <w:p w14:paraId="455C20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4E595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1943 из-за столкновения с айсбергом в Северной Атлантике затонул английский танкер “Свенд Фойд” (4962).</w:t>
      </w:r>
    </w:p>
    <w:p w14:paraId="2AC5745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0DB1AE"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C664C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8857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марта 1943 на заводе 39 в производство были спущены чертежи Ил-6 плод М-90, полученные 5 марта 1943. Во второй половине апреля были получены от ГК и спущены в производство чертежи под М-30Б (2523).</w:t>
      </w:r>
    </w:p>
    <w:p w14:paraId="0882FD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3A7AE9" w14:textId="77777777" w:rsidR="00530A1E" w:rsidRPr="00D03F3E" w:rsidRDefault="00530A1E"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20-го марта 1943 обработанные чертежи Ил-6 передаются в производство на заводе № 39. Во второй половине апреля С.В. Ильюшин присылает комплект чертежей с двигателями М-30Б (АЧ-30Б). Поскольку сроки изготовления опытных машин были крайне сжатыми, руководством завода были привлечены лучшие силы на выполнение этого важнейшего правительственного задания. Для оказания технической помощи при постройке Ил-6 в Иркутск была командирована группа конструкторов и расчетчиков ОКБ во главе с Я.А. Кутеповым (15223).</w:t>
      </w:r>
    </w:p>
    <w:p w14:paraId="7289FD61" w14:textId="77777777" w:rsidR="00530A1E" w:rsidRPr="00D03F3E" w:rsidRDefault="00530A1E" w:rsidP="00D03F3E">
      <w:pPr>
        <w:shd w:val="clear" w:color="auto" w:fill="FFFFFF"/>
        <w:spacing w:after="0" w:line="240" w:lineRule="auto"/>
        <w:jc w:val="both"/>
        <w:rPr>
          <w:rFonts w:ascii="Times New Roman" w:hAnsi="Times New Roman"/>
          <w:color w:val="000000" w:themeColor="text1"/>
          <w:sz w:val="16"/>
          <w:szCs w:val="16"/>
        </w:rPr>
      </w:pPr>
    </w:p>
    <w:p w14:paraId="32CA70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марта 1943 (в субботу) согласно письма N 80с Ермолаева на Ер-2 2М-30Б были закончены работы по смене моторов. Самолет был выведен из ангара на аэродром для опробования моторов. На 21 был намечен полет в 4-5 час. (1775,29).</w:t>
      </w:r>
    </w:p>
    <w:p w14:paraId="1B392E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CA77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марта 1943 г. приказом № 175сс/161сс в соответствии с пост. ГКО № 3028сс от 12.03.1943 г.  площадка завода № 381 1ГУ НКАП (Завод № 381 НКАП, МАП /г. Ленинград ст. Ижора;  г. Нижний Тагил Свердловской обл.;  г. Москва Ленинградское ш., 31/33/) со всеми сооружениями передана Уралвагонзаводу в ведение НКТП. В соответствии с тем же пост, и приказом № 174с от 27.03.1943 г. кадры и оборудование завода № 381 переведены в Москву на площадку завода № 81 НКАП (реально реэвакуация началась раньше - еще в 04.1942 г.). Планировалось передать их в состав завода № 81. Часть личного состава и оборудования по выпуску М-13 переданы заводу № 183 НКТП, часть оборудования попала на заводы № 1, № 18 и № 207 НКАП.</w:t>
      </w:r>
    </w:p>
    <w:p w14:paraId="216923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эвакуации завода № 381 из его состава был выделен бывший завод «Ленкранстрой» в самостоятельный завод № 496 НКАП.</w:t>
      </w:r>
    </w:p>
    <w:p w14:paraId="597898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итоге объединенный завод, образованный на базе завода № 81, оборудовании и личном составе завода № 381, получил название завод № 381 НКАП.</w:t>
      </w:r>
    </w:p>
    <w:p w14:paraId="027C3D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487с от 10.08.1943 г. в качестве филиала № 1 заводу № 381 НКАП передана мебельная фабрика Горместпрома (далее- это завод № 3 МАП). Кроме того, в 1943 г. заводу в качестве филиала передана еще одна мебельная фабрика, площадка у Центрального аэродрома для подготовки самолетов к испытаниям.</w:t>
      </w:r>
    </w:p>
    <w:p w14:paraId="735DAD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1943 г. на заводе организован филиал ОКБ-21 С.А. Лавочкина.</w:t>
      </w:r>
    </w:p>
    <w:p w14:paraId="6BC7E2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29.12.1944 г. вышло постановление ГКО № 7231 о выпуске на заводе самолетов Ла-7 с тремя 20-мм пушками УБ.</w:t>
      </w:r>
    </w:p>
    <w:p w14:paraId="6E48F7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территорию завода № 381 по приказу № 19с от 1.01.1944 г. переведено ОКБ-3 НКАП гл. конструктора И.П. Братухина. По приказу № 4с от 10.01.1946 г. ОКБ-3 НКАП перебазировано на площадь Филиала № 1 завода № 381 НКАП, который в 1948 г. преобразован в завод № 3 МАП.</w:t>
      </w:r>
    </w:p>
    <w:p w14:paraId="00453F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7BA530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0B5154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1.12.1946 г. завод передан из 1ГУ в ЮГУ, затем с 1.11.1948 г. обратно, из ЮГУ в 1ГУ.</w:t>
      </w:r>
    </w:p>
    <w:p w14:paraId="4A2A3B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5135AD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1360BF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(05.1943-10.1946 г.)- П.Д. Грушин, (1947 г.)- В.И. Засульский.</w:t>
      </w:r>
    </w:p>
    <w:p w14:paraId="019A47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цехов: (1945 г.)- А.К. Кулагин.</w:t>
      </w:r>
    </w:p>
    <w:p w14:paraId="16BC79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 самолеты:</w:t>
      </w:r>
      <w:r w:rsidRPr="00D03F3E">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577F09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Заводской номер: Ил-2 М 381355 (11982).</w:t>
      </w:r>
    </w:p>
    <w:p w14:paraId="3F8A3F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B00D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марта 1943 вышел приказ НК-ТП и НКАП N 175сс/161сс:</w:t>
      </w:r>
    </w:p>
    <w:p w14:paraId="3E0B0C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постановлением ГКО от 12 марта 1943 N 3028сс:</w:t>
      </w:r>
    </w:p>
    <w:p w14:paraId="48EBA7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Приказ НКАП и НКТанкопрома N 90с/96с от 12 февраля 1943 о передаче НКТанкопрому завода 26 в Рыбинске - отменить.</w:t>
      </w:r>
    </w:p>
    <w:p w14:paraId="138D5B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 Передать НКТанкопрома для организации дизельного производства завод 381 в Нижнем Тагиле, а также все построенные площади авиамоторного завода 335 в Новосибирске (Зальцман/Дементьев) (1705,99).</w:t>
      </w:r>
    </w:p>
    <w:p w14:paraId="30E96B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DCCF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марта 1943 вышел приказ НКТП и НКАП № 175сс/161сс:</w:t>
      </w:r>
    </w:p>
    <w:p w14:paraId="03148B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постановлением ГКО от 12 марта 1943 № 3028:</w:t>
      </w:r>
    </w:p>
    <w:p w14:paraId="4636B270"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 НКАП и НКТП № 90с/96с от 12 февраля 1943 о передаче НКТП з-да 26 в Рыбинске – отменить.</w:t>
      </w:r>
    </w:p>
    <w:p w14:paraId="3B684F9A"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Передеть НКТП для организации дизельного пр-ва з-д 381 в Н. Тагиле, а также все построеннные площади авиамоторного з-да № 335 в Новосибирске.</w:t>
      </w:r>
    </w:p>
    <w:p w14:paraId="2BC29A6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Зальцман, Шахурин (1705, 99).</w:t>
      </w:r>
    </w:p>
    <w:p w14:paraId="63AABBA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27EF06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марта 1943 г. приказом № 175сс/161сс передача завода № 26 в Рыбинске (в Северном поселке) в соответствии с пост. ГКО № 1284сс и по приказам НКАП № 144сс от 21.02.1942 г. и от 5.03.1942 г. образован новый Рыбинский ГС завод № 36 в ЗГУ НКАП (ГС завод № 36 НКАП, МАП, ГКАТ, Щербаковский ГС завод и/я 20, Рыбинское предприятие п/я 20, Рыбинский моторостроительный завод (РМЗ) МАП, Рыбинское ПКО, ПО моторостроения, Андроповское ПО моторостроения, Рыбинское МПО МАП, АООТ, ОАО «Рыбинские моторы» (РМ) /152903  г. Рыбинск Ярославской обл. пр. Ленина, 163 тел. 24-31-00,24-36-00/ /Московское представительство: 123373  г. Москва ул. Василия Петушкова, 27 тел. 949-33-00/ /НПО «Сатурн»: 152903  г. Рыбинск Ярославской обл. пр. Ленина, 163 тел. 29-61-00/), предусмотренная 12 февраля 1943 г. по приказу № 90/96с, была отменена (11982).</w:t>
      </w:r>
    </w:p>
    <w:p w14:paraId="17EBC6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22EF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марта 1943 г. приказом № 175сс/161сс в соответствии с пост. ГКО № 3028сс от 12.03.1943 г. площадка завода № 335 (Завод № 335 НКАП, НКСМ, Новосибирский автомобильный завод (НАЗ) /г. Новосибирск/) со всеми сооружениями была передана в НКТП (приемо-сдаточный акт утвержден лишь в 09.1943 г.). Завод, по-видимому, получил № 74.</w:t>
      </w:r>
    </w:p>
    <w:p w14:paraId="164834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ГКО № 6984 от 23.11.1944 г. и приказами № 675с/171/25с от 8.12.1944 г. и № 256с/91/29с от 19.06.1945 г. завод № 74 НКтекстиля возвращен в НКАП (кроме одного корпуса, оставленного под прядильную фабрику).</w:t>
      </w:r>
    </w:p>
    <w:p w14:paraId="6B013E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Далее по приказу № 368с/350с от 8.09.1945 г. завод № 335 ЗГУ НКАП передан в НКСМ под строительство Новосибирского автомобильного завода. Датой основания НАЗа считается 3.10.1945 г. Строительство велось, в основном, силами военнопленных и заключенных, а также трестом «Новосибирскпромстрой». В 1947 г. действовало 5 цехов, введено в строй экспериментальное производство, переданное с УАЗа, которое вначале занималось разработкой моторов, а затем- автомобилей. В 1947 г. были собраны первые опытные автомобили </w:t>
      </w:r>
      <w:r w:rsidRPr="00D03F3E">
        <w:rPr>
          <w:rFonts w:ascii="Times New Roman" w:hAnsi="Times New Roman"/>
          <w:color w:val="000000" w:themeColor="text1"/>
          <w:sz w:val="16"/>
          <w:szCs w:val="16"/>
          <w:lang w:val="en-US"/>
        </w:rPr>
        <w:t>HA</w:t>
      </w:r>
      <w:r w:rsidRPr="00D03F3E">
        <w:rPr>
          <w:rFonts w:ascii="Times New Roman" w:hAnsi="Times New Roman"/>
          <w:color w:val="000000" w:themeColor="text1"/>
          <w:sz w:val="16"/>
          <w:szCs w:val="16"/>
        </w:rPr>
        <w:t>3-253 и дизель-моторы. На следующий год планировалось начать сборку автосамосвалов ГАЗ-93.</w:t>
      </w:r>
    </w:p>
    <w:p w14:paraId="29D0FA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26.09.1948 г. было принято решение правительства о ликвидации НАЗа. Завод был расформирован, экспериментальное производство, КО и разработки по дизель-моторам переданы на Минский автозавод. На месте НАЗа начато строительство завода № 250 ПГУ.</w:t>
      </w:r>
    </w:p>
    <w:p w14:paraId="51242E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(1948 г.)- около 1000 чел.</w:t>
      </w:r>
    </w:p>
    <w:p w14:paraId="74092A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И.О. директора (06.1945 г.)- А.И. Ермоленко; директор (1945 г.)- П.И. Шварцбур г.</w:t>
      </w:r>
    </w:p>
    <w:p w14:paraId="1EA7E4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(1945 г.)- В.М. Мишандин.</w:t>
      </w:r>
    </w:p>
    <w:p w14:paraId="29FB7B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(1945 г.)- Б.Л. Шапошник (11982).</w:t>
      </w:r>
    </w:p>
    <w:p w14:paraId="2FC5D2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39B7D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684DD8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7549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марта 1943 г. чтобы скомпенсировать вынужденное снижение объемов выпуска СУ-76, остро требовавшихся на фронте и восполнить их количество, пока не будет найдено эффективное решение, заводу № 37, эвакуированному в Свердловск, был дан заказ на изготовление 200 шт. 76-мм СУ-С-1 (СУ-76(И)) на базе трофейного танка PzKpfw III (6205, 14).</w:t>
      </w:r>
    </w:p>
    <w:p w14:paraId="67836E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2A53DD" w14:textId="77777777" w:rsidR="00530A1E" w:rsidRPr="00D03F3E" w:rsidRDefault="00530A1E" w:rsidP="00D03F3E">
      <w:pPr>
        <w:pStyle w:val="book"/>
        <w:ind w:firstLine="0"/>
        <w:jc w:val="both"/>
        <w:rPr>
          <w:color w:val="000000" w:themeColor="text1"/>
          <w:sz w:val="16"/>
          <w:szCs w:val="16"/>
        </w:rPr>
      </w:pPr>
      <w:r w:rsidRPr="00D03F3E">
        <w:rPr>
          <w:color w:val="000000" w:themeColor="text1"/>
          <w:sz w:val="16"/>
          <w:szCs w:val="16"/>
        </w:rPr>
        <w:t>20 марта 1943 г. штурмовая 76-мм САУ была рекомендована для принятия на вооружение под индексом СУ-76 (С-1) или СУ-76И («Иностранная») (15225).</w:t>
      </w:r>
    </w:p>
    <w:p w14:paraId="4AE0165B" w14:textId="77777777" w:rsidR="00530A1E" w:rsidRPr="00D03F3E" w:rsidRDefault="00530A1E" w:rsidP="00D03F3E">
      <w:pPr>
        <w:pStyle w:val="book"/>
        <w:ind w:firstLine="0"/>
        <w:jc w:val="both"/>
        <w:rPr>
          <w:color w:val="000000" w:themeColor="text1"/>
          <w:sz w:val="16"/>
          <w:szCs w:val="16"/>
        </w:rPr>
      </w:pPr>
    </w:p>
    <w:p w14:paraId="11C68F6E" w14:textId="77777777" w:rsidR="00AC5101" w:rsidRPr="00D03F3E" w:rsidRDefault="00AC5101" w:rsidP="00D03F3E">
      <w:pPr>
        <w:pStyle w:val="ae"/>
        <w:spacing w:before="0" w:after="0"/>
        <w:jc w:val="both"/>
        <w:rPr>
          <w:color w:val="000000" w:themeColor="text1"/>
          <w:sz w:val="16"/>
          <w:szCs w:val="16"/>
        </w:rPr>
      </w:pPr>
      <w:r w:rsidRPr="00D03F3E">
        <w:rPr>
          <w:color w:val="000000" w:themeColor="text1"/>
          <w:sz w:val="16"/>
          <w:szCs w:val="16"/>
        </w:rPr>
        <w:t>20 марта 1943 года прошли испытания первого опытного образца СУ-76И на Софринском артиллерийском полигоне в объеме 434 выстрела (из них 212 на усиленном заряде) и 280 километров пробега (93 шоссе, 187 проселок), которые велись с 13 марта.</w:t>
      </w:r>
    </w:p>
    <w:p w14:paraId="097937CB" w14:textId="77777777" w:rsidR="00AC5101" w:rsidRPr="00D03F3E" w:rsidRDefault="00AC5101" w:rsidP="00D03F3E">
      <w:pPr>
        <w:pStyle w:val="ae"/>
        <w:spacing w:before="0" w:after="0"/>
        <w:jc w:val="both"/>
        <w:rPr>
          <w:color w:val="000000" w:themeColor="text1"/>
          <w:sz w:val="16"/>
          <w:szCs w:val="16"/>
        </w:rPr>
      </w:pPr>
      <w:r w:rsidRPr="00D03F3E">
        <w:rPr>
          <w:color w:val="000000" w:themeColor="text1"/>
          <w:sz w:val="16"/>
          <w:szCs w:val="16"/>
        </w:rPr>
        <w:t>Рассмотрев результаты испытаний указанной самоходной артиллерийской установки, танковое управление ГБТУ КА посчитало «установку отечественной танковой пушки Ф-34 на трофейном танке Т-3 целесообразной». При этом сообщалось, что при производстве машин должны соблюдаться следующие условия:</w:t>
      </w:r>
    </w:p>
    <w:p w14:paraId="0A5E2F81" w14:textId="77777777" w:rsidR="00AC5101" w:rsidRPr="00D03F3E" w:rsidRDefault="00AC5101" w:rsidP="00D03F3E">
      <w:pPr>
        <w:pStyle w:val="ae"/>
        <w:spacing w:before="0" w:after="0"/>
        <w:jc w:val="both"/>
        <w:rPr>
          <w:color w:val="000000" w:themeColor="text1"/>
          <w:sz w:val="16"/>
          <w:szCs w:val="16"/>
        </w:rPr>
      </w:pPr>
      <w:r w:rsidRPr="00D03F3E">
        <w:rPr>
          <w:color w:val="000000" w:themeColor="text1"/>
          <w:sz w:val="16"/>
          <w:szCs w:val="16"/>
        </w:rPr>
        <w:t>«1. Все образцы СУ-76, поставляемые в Армию, должны иметь вес, не превышающий веса опытного образца.</w:t>
      </w:r>
    </w:p>
    <w:p w14:paraId="5A5129A6" w14:textId="77777777" w:rsidR="00AC5101" w:rsidRPr="00D03F3E" w:rsidRDefault="00AC5101" w:rsidP="00D03F3E">
      <w:pPr>
        <w:pStyle w:val="ae"/>
        <w:spacing w:before="0" w:after="0"/>
        <w:jc w:val="both"/>
        <w:rPr>
          <w:color w:val="000000" w:themeColor="text1"/>
          <w:sz w:val="16"/>
          <w:szCs w:val="16"/>
        </w:rPr>
      </w:pPr>
      <w:r w:rsidRPr="00D03F3E">
        <w:rPr>
          <w:color w:val="000000" w:themeColor="text1"/>
          <w:sz w:val="16"/>
          <w:szCs w:val="16"/>
        </w:rPr>
        <w:t>2. При использовании трофейной матчасти танков все агрегаты должны быть перебраны и тщательно осмотрены.</w:t>
      </w:r>
    </w:p>
    <w:p w14:paraId="76B7B193" w14:textId="77777777" w:rsidR="00AC5101" w:rsidRPr="00D03F3E" w:rsidRDefault="00AC5101" w:rsidP="00D03F3E">
      <w:pPr>
        <w:pStyle w:val="ae"/>
        <w:spacing w:before="0" w:after="0"/>
        <w:jc w:val="both"/>
        <w:rPr>
          <w:color w:val="000000" w:themeColor="text1"/>
          <w:sz w:val="16"/>
          <w:szCs w:val="16"/>
        </w:rPr>
      </w:pPr>
      <w:r w:rsidRPr="00D03F3E">
        <w:rPr>
          <w:color w:val="000000" w:themeColor="text1"/>
          <w:sz w:val="16"/>
          <w:szCs w:val="16"/>
        </w:rPr>
        <w:t>3. Каждый образец, передаваемый в Армию, должен быть обеспечен запасными катками и звёздочками (катков 4 шт., звездочек 1 шт.). Катки должны быть переобрезинены на отечественных заводах.</w:t>
      </w:r>
    </w:p>
    <w:p w14:paraId="0024404E" w14:textId="77777777" w:rsidR="00AC5101" w:rsidRPr="00D03F3E" w:rsidRDefault="00AC5101" w:rsidP="00D03F3E">
      <w:pPr>
        <w:pStyle w:val="ae"/>
        <w:spacing w:before="0" w:after="0"/>
        <w:jc w:val="both"/>
        <w:rPr>
          <w:color w:val="000000" w:themeColor="text1"/>
          <w:sz w:val="16"/>
          <w:szCs w:val="16"/>
        </w:rPr>
      </w:pPr>
      <w:r w:rsidRPr="00D03F3E">
        <w:rPr>
          <w:color w:val="000000" w:themeColor="text1"/>
          <w:sz w:val="16"/>
          <w:szCs w:val="16"/>
        </w:rPr>
        <w:t>4. Каждый образец СУ-76 должен быть снабжен шпорами на гусеницы из расчёта одна шпора на каждый пятый трак гусеничной цепи.</w:t>
      </w:r>
    </w:p>
    <w:p w14:paraId="09C39308" w14:textId="77777777" w:rsidR="00AC5101" w:rsidRPr="00D03F3E" w:rsidRDefault="00AC5101" w:rsidP="00D03F3E">
      <w:pPr>
        <w:pStyle w:val="ae"/>
        <w:spacing w:before="0" w:after="0"/>
        <w:jc w:val="both"/>
        <w:rPr>
          <w:color w:val="000000" w:themeColor="text1"/>
          <w:sz w:val="16"/>
          <w:szCs w:val="16"/>
        </w:rPr>
      </w:pPr>
      <w:r w:rsidRPr="00D03F3E">
        <w:rPr>
          <w:color w:val="000000" w:themeColor="text1"/>
          <w:sz w:val="16"/>
          <w:szCs w:val="16"/>
        </w:rPr>
        <w:t>Целесообразно запас горючего, вмещаемого самоходной установкой, увеличить до 100 литров за счет установки дополнительных баков. СУ-76 с дополнительными баками необходимо испытать пробегом на расстояние 150–200 километров, совместив эти испытания с испытанием по вязкому фунту в летних условиях».</w:t>
      </w:r>
    </w:p>
    <w:p w14:paraId="2EEC5135"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Самоходная установка СУ-76И изготавливалась на базе танка Pz. III (со снятой башней и подбашенным листом) или штурмового орудия StuG III с демонтированной рубкой. Вместо них сверху устанавливалась рубка в форме усеченной пирамиды, сваренная из бронелистов толщиной 25–35 мм. Вооружение машины состояло из 76-мм танковой пушки Ф-34, имевшей в варианте для вооружения самоходки индекс С-1. От танкового варианта она отличалась наличием карданной рамки, позволявшей устанавливать орудие непосредственно в лобовом листе корпуса. В этой пушке использовался поворотный механизм от 122-мм гаубицы М-30. В июне 1943 года завод № 92 предложил использовать в установке С-1 поворотный и подъемный механизмы от 76-мм дивизионной пушки ЗИС-3, но было ли это введено на СУ-76И автору неизвестно. Снаружи установка закрывалась довольно массивной литой бронемаской.</w:t>
      </w:r>
    </w:p>
    <w:p w14:paraId="3AF4220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БоекомплектСУ-76И состоял из 98 выстрелов, уложенных в укладки у задней части правого и левого бортов боевого отделения. Экипаж машины состоял из четырех человек — механика-водителя, командира (справа от пушки), наводчика (слева от пушки) и заряжающего (в задней части боевого отделения). Для посадки экипажа имелось два люка слева в крыше над наводчиком и в кормовом листе рубки. Самоходка оснащалась радиостанцией 9-р и танковым переговорным устройством ТПУ-3 (12688).</w:t>
      </w:r>
    </w:p>
    <w:p w14:paraId="42CB4C70"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0C4042A7" w14:textId="77777777" w:rsidR="00AC5101" w:rsidRPr="00D03F3E" w:rsidRDefault="00AC510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марта 1943 г. 76-мм САУ на немецком шасси была рекомендована для принятия на вооружение под индексом СУ С-1, СУ-76 (С-1) или СУ-76И ("Иностранная") (9695).</w:t>
      </w:r>
    </w:p>
    <w:p w14:paraId="1849AB9B" w14:textId="77777777" w:rsidR="00AC5101" w:rsidRPr="00D03F3E" w:rsidRDefault="00AC510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490FD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марта 1943 г. СУ-76И была рекомендована для принятия на вооружение под индексом СУ-76 (С-1) или СУ-76И («Иностранная»). Первые пять серийных САУ 3 апреля 1943 г. были отправлены в учебный самоходно-артиллерийский полк, дислоцированный в пригородах Свердловска. За месяц службы машины прошли от 500 до 720 км, на них обучались более ста будущих самоходчиков. Тем временем по уточненным чертежам завод начал изготовление «фронтовой» серии из 20 САУ, которые большей частью также попали в учебные подразделения. Лишь с мая 1943 г. СУ-76 (С-1) начали поступать в войска. Первые самоходки имели довольно экзотический вид. Их боевая рубка была сварена из бронеплит толщиной 35 мм в лобовой части и 25 мм или 15 мм в бортах и корме. Крыша рубки первоначально выкраивалась из цельного листа и крепилась болтами. Это облегчало доступ в боевое отделение САУ для проведения ремонта, но после боев лета 1943 г. на многих САУ крыша была демонтирована для улучшения обитаемости (12687).</w:t>
      </w:r>
    </w:p>
    <w:p w14:paraId="56F22763"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22DDF13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марта 1943 г. был подготовлен ЗАПРОС ПОМОЩНИКА НАЧАЛЬНИКА ТАНКОВОГО УПРАВЛЕНИЯ ГБТУ КА НАЧАЛЬНИКУ ОТДЕЛА ВНЕШНИХ СНОШЕНИЙ НКО ПО ПРОЕКТУ УСТАНОВКИ В США ЗЕНИТНЫХ ПУШЕК М1 В ТАНК И НА САМОХОДНЫЙ ЛАФЕТ №1149786</w:t>
      </w:r>
    </w:p>
    <w:p w14:paraId="377B5B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1942 г. артиллерийский комитет США принял решение о проведении испытания на Абердинском полигоне двух новых 90-мм зенитных пушек М1 с целью выяснения возможности установки этой пушки в танк и на самоходный лафет.</w:t>
      </w:r>
    </w:p>
    <w:p w14:paraId="127F1B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 имеет индекс — «90-мм пушка Т7».</w:t>
      </w:r>
    </w:p>
    <w:p w14:paraId="315F1E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Вашего распоряжения нашим представителям в Америке о выяснении следующих вопро</w:t>
      </w:r>
      <w:r w:rsidRPr="00D03F3E">
        <w:rPr>
          <w:rFonts w:ascii="Times New Roman" w:hAnsi="Times New Roman"/>
          <w:color w:val="000000" w:themeColor="text1"/>
          <w:sz w:val="16"/>
          <w:szCs w:val="16"/>
        </w:rPr>
        <w:softHyphen/>
        <w:t>сов по указанному проекту:</w:t>
      </w:r>
    </w:p>
    <w:p w14:paraId="29185E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Закончены ли испытания и результаты испытаний.</w:t>
      </w:r>
    </w:p>
    <w:p w14:paraId="26E2F2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 какие танки предполагается устанавливать 90-мм пушку.</w:t>
      </w:r>
    </w:p>
    <w:p w14:paraId="6B8734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Количество 90-мм выстрелов, входящих в боекомплект танка.</w:t>
      </w:r>
    </w:p>
    <w:p w14:paraId="3CF7AA5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Имеет ли пушка выстрелы с бронебойными снарядами. Вес и др. характеристики бронебой</w:t>
      </w:r>
      <w:r w:rsidRPr="00D03F3E">
        <w:rPr>
          <w:rFonts w:ascii="Times New Roman" w:hAnsi="Times New Roman"/>
          <w:color w:val="000000" w:themeColor="text1"/>
          <w:sz w:val="16"/>
          <w:szCs w:val="16"/>
        </w:rPr>
        <w:softHyphen/>
        <w:t>ного снаряда.</w:t>
      </w:r>
    </w:p>
    <w:p w14:paraId="044D959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Углы обстрела 90-мм пушки, установленной в танк.</w:t>
      </w:r>
    </w:p>
    <w:p w14:paraId="2F712D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Сохраняется ли баллистика зенитной пушки при установке ее в танк.</w:t>
      </w:r>
    </w:p>
    <w:p w14:paraId="23E2F2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7. Имеется ли стабилизатор.</w:t>
      </w:r>
    </w:p>
    <w:p w14:paraId="546CE73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Какие прицельные приспособления установлены для 90-мм пушки.</w:t>
      </w:r>
    </w:p>
    <w:p w14:paraId="70EE100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 начальника танкового управления ГБТУ КА инженер-подполковник Муравич</w:t>
      </w:r>
    </w:p>
    <w:p w14:paraId="77EAA6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4 отдела ТУ ГБТУ КА инженер-подполковник Ненароков</w:t>
      </w:r>
    </w:p>
    <w:p w14:paraId="0014A0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1711. Л. 195. Подлинник (11403).</w:t>
      </w:r>
    </w:p>
    <w:p w14:paraId="325108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C20A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марта 1943 г. вышел ОТЧЕТ НИБТ ПОЛИГОНА ПО ВОПРОСАМ ЭКСПЛУАТАЦИИ И НЕИСПРАВНОСТЕЙ В РАБОТЕ ТАНКОВ МК-Ш, НАХОДЯЩИХСЯ В ДЕЙСТВУЮЩЕЙ АРМИИ</w:t>
      </w:r>
    </w:p>
    <w:p w14:paraId="5410187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Введение</w:t>
      </w:r>
    </w:p>
    <w:p w14:paraId="088821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основании распоряжения командующего бронетанковыми и механизированными войсками Красной Армии генерал-полковника т. Федоренко научно-испытательным бронетанковым полиго</w:t>
      </w:r>
      <w:r w:rsidRPr="00D03F3E">
        <w:rPr>
          <w:rFonts w:ascii="Times New Roman" w:hAnsi="Times New Roman"/>
          <w:color w:val="000000" w:themeColor="text1"/>
          <w:sz w:val="16"/>
          <w:szCs w:val="16"/>
        </w:rPr>
        <w:softHyphen/>
        <w:t>ном был командирован на Донской фронт ст. техник-лейтенант т. Павленко с задачей подбора мате</w:t>
      </w:r>
      <w:r w:rsidRPr="00D03F3E">
        <w:rPr>
          <w:rFonts w:ascii="Times New Roman" w:hAnsi="Times New Roman"/>
          <w:color w:val="000000" w:themeColor="text1"/>
          <w:sz w:val="16"/>
          <w:szCs w:val="16"/>
        </w:rPr>
        <w:softHyphen/>
        <w:t>риала по вопросам эксплуатации и неисправностей в работе танков МК-1У (Черчилль), находящихся в частях действующей армии.</w:t>
      </w:r>
    </w:p>
    <w:p w14:paraId="69824D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Подбор материала был произведен с 14.02 по 20.02.1943 г. в 48-м танковом полку 21-й армии, дей</w:t>
      </w:r>
      <w:r w:rsidRPr="00D03F3E">
        <w:rPr>
          <w:rFonts w:ascii="Times New Roman" w:hAnsi="Times New Roman"/>
          <w:color w:val="000000" w:themeColor="text1"/>
          <w:sz w:val="16"/>
          <w:szCs w:val="16"/>
        </w:rPr>
        <w:softHyphen/>
        <w:t>ствовавшем в районе станции Гумрак в период времени с 21 января по 2 февраля 1943 года.</w:t>
      </w:r>
    </w:p>
    <w:p w14:paraId="46D321A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Результаты командировки</w:t>
      </w:r>
    </w:p>
    <w:p w14:paraId="2CBEB8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Танковый полк имел в своем составе 21 танк марки МК-1У (Черчилль). За время от конца фор</w:t>
      </w:r>
      <w:r w:rsidRPr="00D03F3E">
        <w:rPr>
          <w:rFonts w:ascii="Times New Roman" w:hAnsi="Times New Roman"/>
          <w:color w:val="000000" w:themeColor="text1"/>
          <w:sz w:val="16"/>
          <w:szCs w:val="16"/>
        </w:rPr>
        <w:softHyphen/>
        <w:t>мирования полка до момента выхода его из боев танки проработали в среднем по 480 м/ч (1000 км пробега).</w:t>
      </w:r>
    </w:p>
    <w:p w14:paraId="2BA756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Техническое состояние танков на 20.02.1943 г.</w:t>
      </w:r>
    </w:p>
    <w:p w14:paraId="4DB0A0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 ходу — 4 танка.</w:t>
      </w:r>
    </w:p>
    <w:p w14:paraId="0C0E79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Поражены артогнем:</w:t>
      </w:r>
    </w:p>
    <w:p w14:paraId="2261CF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ходовая часть — 6 танков.</w:t>
      </w:r>
    </w:p>
    <w:p w14:paraId="1D5BD12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корпус — 3 танка.</w:t>
      </w:r>
    </w:p>
    <w:p w14:paraId="6672FCB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Неисправен гидравлический привод управления — 8 танков.</w:t>
      </w:r>
    </w:p>
    <w:p w14:paraId="6455B98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Выводы</w:t>
      </w:r>
    </w:p>
    <w:p w14:paraId="47BAF0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основе материала по эксплуатации танков марки МК-1У (Черчилль), собранного в 48-м танко</w:t>
      </w:r>
      <w:r w:rsidRPr="00D03F3E">
        <w:rPr>
          <w:rFonts w:ascii="Times New Roman" w:hAnsi="Times New Roman"/>
          <w:color w:val="000000" w:themeColor="text1"/>
          <w:sz w:val="16"/>
          <w:szCs w:val="16"/>
        </w:rPr>
        <w:softHyphen/>
        <w:t>вом полку 21-й армии, можно сделать следующие выводы:</w:t>
      </w:r>
    </w:p>
    <w:p w14:paraId="69A04F7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конструкции танка</w:t>
      </w:r>
    </w:p>
    <w:p w14:paraId="4614B41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Отдельные механизмы двигателя конструктивно не отработаны, следствием чего являются частые поломки (например, привод бензопомпы).</w:t>
      </w:r>
    </w:p>
    <w:p w14:paraId="234D8A8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 коробке перемены передач материал ползункового валика 1 и 2 передач и шлиц каретки 3 и 4 передач не обеспечивает достаточной прочности их.</w:t>
      </w:r>
    </w:p>
    <w:p w14:paraId="70C760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Отсутствие защиты колодок тормозных барабанов от попадания масла приводит к частым их отказам в работе.</w:t>
      </w:r>
    </w:p>
    <w:p w14:paraId="2BDCBF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Неудачная установка направляющих колес ограничивает обзорность из танка.</w:t>
      </w:r>
    </w:p>
    <w:p w14:paraId="4E9D26B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Ненадежное крепление опорных катков тележек подвески приводит к частому выходу их из строя.</w:t>
      </w:r>
    </w:p>
    <w:p w14:paraId="7DE3DA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Неудачное крепление опорного катка к тележке подвески вызывает необходимость при выхо</w:t>
      </w:r>
      <w:r w:rsidRPr="00D03F3E">
        <w:rPr>
          <w:rFonts w:ascii="Times New Roman" w:hAnsi="Times New Roman"/>
          <w:color w:val="000000" w:themeColor="text1"/>
          <w:sz w:val="16"/>
          <w:szCs w:val="16"/>
        </w:rPr>
        <w:softHyphen/>
        <w:t>де его из строя менять всю тележку, что приводит к излишнему расходу запасных частей.</w:t>
      </w:r>
    </w:p>
    <w:p w14:paraId="2948292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Конструкция траков не обеспечивает надежного сцепления гусеницы с грунтом, и качество их изготовления очень низкое.</w:t>
      </w:r>
    </w:p>
    <w:p w14:paraId="505EEF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Неудачное размещение верхней ветви гусеницы в зимнее время из-за набивания снега на салазки вызывает поднятие ее выше погона башни и заклинивание последней.</w:t>
      </w:r>
    </w:p>
    <w:p w14:paraId="6526D9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Вооружение танка имеет ряд недостатков, которые снижают эффективность ведения огня.</w:t>
      </w:r>
    </w:p>
    <w:p w14:paraId="1E7E2F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эксплуатации танка</w:t>
      </w:r>
    </w:p>
    <w:p w14:paraId="69E81A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Отечественный бензин марки Б-70 может применяться в качестве топлива для двигателя танка.</w:t>
      </w:r>
    </w:p>
    <w:p w14:paraId="084C54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Запуск двигателя зимой при низких температурах недопустим без предварительного прогрева его горячей водой (или антифризом).</w:t>
      </w:r>
    </w:p>
    <w:p w14:paraId="735168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Прогрев перед запуском всасывающих коллекторов двигателя паяльной лампой не рекомен</w:t>
      </w:r>
      <w:r w:rsidRPr="00D03F3E">
        <w:rPr>
          <w:rFonts w:ascii="Times New Roman" w:hAnsi="Times New Roman"/>
          <w:color w:val="000000" w:themeColor="text1"/>
          <w:sz w:val="16"/>
          <w:szCs w:val="16"/>
        </w:rPr>
        <w:softHyphen/>
        <w:t>дуется.</w:t>
      </w:r>
    </w:p>
    <w:p w14:paraId="15228F0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При хранении аккумуляторных батарей зимой в танке на время запуска холодного двигателя необходимо иметь дополнительные аккумуляторы.</w:t>
      </w:r>
    </w:p>
    <w:p w14:paraId="69D4DC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Межремонтный срок службы двигателя определяется пробегом танка 800-1000 км.</w:t>
      </w:r>
    </w:p>
    <w:p w14:paraId="260D8B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При профилактических осмотрах танка необходимо чаще проверять регулировку главного фрикциона и промывать топливные фильтры и баки.</w:t>
      </w:r>
    </w:p>
    <w:p w14:paraId="70A97E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При отказе в работе тормозов из-за попадания на колодки масла необходимо снять колодки и прожечь их паяльной лампой.</w:t>
      </w:r>
    </w:p>
    <w:p w14:paraId="31621D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Жидкость, применяемая для заправки гидравлической системы управления, непригодна для работы в зимних условиях.</w:t>
      </w:r>
    </w:p>
    <w:p w14:paraId="1C05AA8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При заклинивании башни верхней ветвью гусеницы нельзя работать поворотным механизмом до тех пор, пока с направляющих салазок не будет удален снег.</w:t>
      </w:r>
    </w:p>
    <w:p w14:paraId="206ACC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 начальника НИБТ полигона по научно-технической части</w:t>
      </w:r>
    </w:p>
    <w:p w14:paraId="3C45D8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инженер-майор Хинский</w:t>
      </w:r>
    </w:p>
    <w:p w14:paraId="5E99205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 начальник НИ отдела инженер-капитан Былиняк</w:t>
      </w:r>
    </w:p>
    <w:p w14:paraId="337B1E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Ответственный исполнитель:</w:t>
      </w:r>
    </w:p>
    <w:p w14:paraId="1549F2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 НИ отдела</w:t>
      </w:r>
    </w:p>
    <w:p w14:paraId="50EE514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 техник-лейтенант Павленко</w:t>
      </w:r>
    </w:p>
    <w:p w14:paraId="61B0C0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11355а. Д. 354. Л.1а,2,7-8. Подлинник (11403).</w:t>
      </w:r>
    </w:p>
    <w:p w14:paraId="54C843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DFD8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20-му марта 1943 года изготовили первый образец БА-64Д с новой башней и пулеметом ДШК (3862).</w:t>
      </w:r>
    </w:p>
    <w:p w14:paraId="2370BD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2E08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марта 1943 г. было выпущено постановление ГКО, которое помимо радиодальномера для МЗА предусматривало разработку в НИИ радиопромышленности новой РЛС дальнего обнаружения. Необходимость такой разработки диктовалась следующими причинами:</w:t>
      </w:r>
    </w:p>
    <w:p w14:paraId="7C11F5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Станции РУС-2 и РУС-2с были созданы для службы ВНОС. Но опыт войны показал, что они несли службу и раннего предупреждения, и как станции наведения истребительной авиации ПВО, а в отдельных случаях и как станции целеуказания ЗА.</w:t>
      </w:r>
    </w:p>
    <w:p w14:paraId="57F1FA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Как станции наведения и целеуказания РУС-2 и РУС-2с не в полной мере удовлетворяли требованиям по точности определения координат и зонам действия.</w:t>
      </w:r>
    </w:p>
    <w:p w14:paraId="79236B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Накопленный в годы войны опыт конструирования и производства позволял повысить эксплуатационную надежность и упростить обслуживание станции.</w:t>
      </w:r>
    </w:p>
    <w:p w14:paraId="5EDDCC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Тактико-технические требования к этой станции были разработаны НИИИС КА и утверждены командованием войск ПВО. Ими предусматривалось:</w:t>
      </w:r>
    </w:p>
    <w:p w14:paraId="7E0208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дальность обнаружения – не менее 130 км, пеленгования – 70 км;</w:t>
      </w:r>
    </w:p>
    <w:p w14:paraId="2EFF8A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точность определения азимута при обнаружении – 4° и пеленгования – 1,3°;</w:t>
      </w:r>
    </w:p>
    <w:p w14:paraId="1C824A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точность определения дальности – 650 м и высоты–300–700 м;</w:t>
      </w:r>
    </w:p>
    <w:p w14:paraId="4D728E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определение координат цели по азимуту – от 0 до 360° и по углу места – от 4 до 18°;</w:t>
      </w:r>
    </w:p>
    <w:p w14:paraId="3EC4A8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время определения трех координат – не более 25 с;</w:t>
      </w:r>
    </w:p>
    <w:p w14:paraId="19875F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длина волны – 4,16 м;</w:t>
      </w:r>
    </w:p>
    <w:p w14:paraId="796A27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мощность излучения в импульсе – 80–100 кВт, длительность импульса – 10–15 мкс.</w:t>
      </w:r>
    </w:p>
    <w:p w14:paraId="787659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Станция создавалась в разборном варианте с двумя антеннами – зондирующей (вертикальной) и азимутальной.</w:t>
      </w:r>
    </w:p>
    <w:p w14:paraId="6F4928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Инженерной особенностью новой РЛС, названной П-3, являлась ее антенная система, состоявшая из двух антенн – азимутальной, сигналы с которой поступали на вход приемника через антенный переключатель, и вертикальной, которая при излучении работала от передатчика, а в период паузы переключалась на прием и работала вместе с азимутальной антенной.</w:t>
      </w:r>
    </w:p>
    <w:p w14:paraId="64A2FB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Приближенное определение азимута производилось обычным способом – по максимуму амплитуды сигнала от антенны, направленной на самолет. В режиме точного определения азимута за счет действия антенного переключателя и соединения между собой обеих частей азимутальной антенны в противофазе на экране отметчика при ориентировании системы на цель были видны два раздвинутых по шкале импульса равной амплитуды; при уходе цели вправо или влево относительно оси антенны один импульс возрастал, а другой уменьшался.</w:t>
      </w:r>
    </w:p>
    <w:p w14:paraId="5BA9AB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определения высоты полета самолетов использовалась система, состоявшая из двух антенн типа «волновой канал», установленных на разных высотах от поверхности земли (7 и 11 м). Каждая из этих антенн через свой фидер подключалась к аппаратуре станции через специальный гониометр. От положения ползунка гониометра зависела результирующая характеристика направленности обеих антенн в вертикальной плоскости.</w:t>
      </w:r>
    </w:p>
    <w:p w14:paraId="1721FC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Угол места цели определялся по пропаданию сигналов в момент перемещения ползунка гониометра (нулевое излучение и прием). По дальности и найденному углу места с помощью номограммы определялась высота полета цели. Управление характеристикой направленности антенн в вертикальной плоскости позволило не только определить высоту полета, но и устранить мертвые зоны наблюдения в достаточно широких пределах. Одновременное использование гониометра при передаче и при </w:t>
      </w:r>
      <w:r w:rsidRPr="00D03F3E">
        <w:rPr>
          <w:rFonts w:ascii="Times New Roman" w:hAnsi="Times New Roman"/>
          <w:color w:val="000000" w:themeColor="text1"/>
          <w:sz w:val="16"/>
          <w:szCs w:val="16"/>
        </w:rPr>
        <w:lastRenderedPageBreak/>
        <w:t>приеме позволило вдвое повысить пеленгационную чувствительность станции (11026).</w:t>
      </w:r>
    </w:p>
    <w:p w14:paraId="0DE21D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9AB8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марта 1943 вышло Постановление ГКО № 3058 О мероприятиях по обеспечению выполнения программы Наркомстроя во II квартале 1943 года.РГАНИР, Фонд ГКО, д. 98, лл. 73-81, 82-84 (11012).</w:t>
      </w:r>
    </w:p>
    <w:p w14:paraId="689DD6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2DE1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марта 1943 На Адмиралтейском заводе завершен ремонт трех ТК (бортовые номера 61, 31, а также СМ-4) (10671).</w:t>
      </w:r>
    </w:p>
    <w:p w14:paraId="1D3D29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7D974C" w14:textId="072B364F" w:rsidR="00C559A4" w:rsidRPr="00D03F3E" w:rsidRDefault="00C559A4"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D03F3E">
        <w:rPr>
          <w:rFonts w:ascii="Times New Roman" w:hAnsi="Times New Roman"/>
          <w:i/>
          <w:iCs/>
          <w:color w:val="000000" w:themeColor="text1"/>
          <w:sz w:val="16"/>
          <w:szCs w:val="16"/>
        </w:rPr>
        <w:t>Армия:</w:t>
      </w:r>
    </w:p>
    <w:p w14:paraId="559A93BB" w14:textId="77777777" w:rsidR="00C559A4" w:rsidRPr="00D03F3E" w:rsidRDefault="00C559A4"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FCF2721"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20 марта 1943 в первом налете на аэродром Котлы участвовало семь Ил</w:t>
      </w:r>
      <w:r w:rsidRPr="00D03F3E">
        <w:rPr>
          <w:rFonts w:ascii="Times New Roman" w:hAnsi="Times New Roman"/>
          <w:color w:val="0070C0"/>
          <w:sz w:val="16"/>
          <w:szCs w:val="16"/>
        </w:rPr>
        <w:noBreakHyphen/>
        <w:t>2 во главе с командиром полка, а также шесть И</w:t>
      </w:r>
      <w:r w:rsidRPr="00D03F3E">
        <w:rPr>
          <w:rFonts w:ascii="Times New Roman" w:hAnsi="Times New Roman"/>
          <w:color w:val="0070C0"/>
          <w:sz w:val="16"/>
          <w:szCs w:val="16"/>
        </w:rPr>
        <w:noBreakHyphen/>
        <w:t>16 (ведущий младший лейтенант Н.П. Цыганков) и шесть Як</w:t>
      </w:r>
      <w:r w:rsidRPr="00D03F3E">
        <w:rPr>
          <w:rFonts w:ascii="Times New Roman" w:hAnsi="Times New Roman"/>
          <w:color w:val="0070C0"/>
          <w:sz w:val="16"/>
          <w:szCs w:val="16"/>
        </w:rPr>
        <w:noBreakHyphen/>
        <w:t>1 (ведущий старший лейтенант П.И. Павлов) из 7</w:t>
      </w:r>
      <w:r w:rsidRPr="00D03F3E">
        <w:rPr>
          <w:rFonts w:ascii="Times New Roman" w:hAnsi="Times New Roman"/>
          <w:color w:val="0070C0"/>
          <w:sz w:val="16"/>
          <w:szCs w:val="16"/>
        </w:rPr>
        <w:noBreakHyphen/>
        <w:t>го гв. шап майора М.Н. Хроленко и истребители из 21</w:t>
      </w:r>
      <w:r w:rsidRPr="00D03F3E">
        <w:rPr>
          <w:rFonts w:ascii="Times New Roman" w:hAnsi="Times New Roman"/>
          <w:color w:val="0070C0"/>
          <w:sz w:val="16"/>
          <w:szCs w:val="16"/>
        </w:rPr>
        <w:noBreakHyphen/>
        <w:t>го иап. Летчики доложили о полном успехе и уничтожении на земле четырех Ju</w:t>
      </w:r>
      <w:r w:rsidRPr="00D03F3E">
        <w:rPr>
          <w:rFonts w:ascii="Times New Roman" w:hAnsi="Times New Roman"/>
          <w:color w:val="0070C0"/>
          <w:sz w:val="16"/>
          <w:szCs w:val="16"/>
        </w:rPr>
        <w:noBreakHyphen/>
        <w:t>88. В то же время, хотя удар вроде как оказался для немцев внезапным, зенитным огнем были повреждены два «горбатых» и один «ишак».</w:t>
      </w:r>
    </w:p>
    <w:p w14:paraId="691CD9D4"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следующий день налет на аэродром Котлы повторился. На сей раз в нем участвовали восемь Ил</w:t>
      </w:r>
      <w:r w:rsidRPr="00D03F3E">
        <w:rPr>
          <w:rFonts w:ascii="Times New Roman" w:hAnsi="Times New Roman"/>
          <w:color w:val="0070C0"/>
          <w:sz w:val="16"/>
          <w:szCs w:val="16"/>
        </w:rPr>
        <w:noBreakHyphen/>
        <w:t>2, шесть И</w:t>
      </w:r>
      <w:r w:rsidRPr="00D03F3E">
        <w:rPr>
          <w:rFonts w:ascii="Times New Roman" w:hAnsi="Times New Roman"/>
          <w:color w:val="0070C0"/>
          <w:sz w:val="16"/>
          <w:szCs w:val="16"/>
        </w:rPr>
        <w:noBreakHyphen/>
        <w:t>16, столько же Як</w:t>
      </w:r>
      <w:r w:rsidRPr="00D03F3E">
        <w:rPr>
          <w:rFonts w:ascii="Times New Roman" w:hAnsi="Times New Roman"/>
          <w:color w:val="0070C0"/>
          <w:sz w:val="16"/>
          <w:szCs w:val="16"/>
        </w:rPr>
        <w:noBreakHyphen/>
        <w:t>1 и два новых Як</w:t>
      </w:r>
      <w:r w:rsidRPr="00D03F3E">
        <w:rPr>
          <w:rFonts w:ascii="Times New Roman" w:hAnsi="Times New Roman"/>
          <w:color w:val="0070C0"/>
          <w:sz w:val="16"/>
          <w:szCs w:val="16"/>
        </w:rPr>
        <w:noBreakHyphen/>
        <w:t>7. Истребители лично вел командир 21</w:t>
      </w:r>
      <w:r w:rsidRPr="00D03F3E">
        <w:rPr>
          <w:rFonts w:ascii="Times New Roman" w:hAnsi="Times New Roman"/>
          <w:color w:val="0070C0"/>
          <w:sz w:val="16"/>
          <w:szCs w:val="16"/>
        </w:rPr>
        <w:noBreakHyphen/>
        <w:t>го иап подполковник Я.В. Слепенков. При подходе к цели они встретили звено FW</w:t>
      </w:r>
      <w:r w:rsidRPr="00D03F3E">
        <w:rPr>
          <w:rFonts w:ascii="Times New Roman" w:hAnsi="Times New Roman"/>
          <w:color w:val="0070C0"/>
          <w:sz w:val="16"/>
          <w:szCs w:val="16"/>
        </w:rPr>
        <w:noBreakHyphen/>
        <w:t>190A, а потом еще несколько Bf</w:t>
      </w:r>
      <w:r w:rsidRPr="00D03F3E">
        <w:rPr>
          <w:rFonts w:ascii="Times New Roman" w:hAnsi="Times New Roman"/>
          <w:color w:val="0070C0"/>
          <w:sz w:val="16"/>
          <w:szCs w:val="16"/>
        </w:rPr>
        <w:noBreakHyphen/>
        <w:t>109G. Советские летчики утверждали, что им удалось связать фоккеры боем, не пропустив их к штурмовикам. При этом старший лейтенант П.И. Павлов и младший лейтенант П.Д. Журавлев заявили о двух сбитых «Фокке</w:t>
      </w:r>
      <w:r w:rsidRPr="00D03F3E">
        <w:rPr>
          <w:rFonts w:ascii="Times New Roman" w:hAnsi="Times New Roman"/>
          <w:color w:val="0070C0"/>
          <w:sz w:val="16"/>
          <w:szCs w:val="16"/>
        </w:rPr>
        <w:noBreakHyphen/>
        <w:t>Вульфах». Еще на один мессер претендовал пилот Ил</w:t>
      </w:r>
      <w:r w:rsidRPr="00D03F3E">
        <w:rPr>
          <w:rFonts w:ascii="Times New Roman" w:hAnsi="Times New Roman"/>
          <w:color w:val="0070C0"/>
          <w:sz w:val="16"/>
          <w:szCs w:val="16"/>
        </w:rPr>
        <w:noBreakHyphen/>
        <w:t>2 – командир 7</w:t>
      </w:r>
      <w:r w:rsidRPr="00D03F3E">
        <w:rPr>
          <w:rFonts w:ascii="Times New Roman" w:hAnsi="Times New Roman"/>
          <w:color w:val="0070C0"/>
          <w:sz w:val="16"/>
          <w:szCs w:val="16"/>
        </w:rPr>
        <w:noBreakHyphen/>
        <w:t>го гв. пшап майор Хроленко.</w:t>
      </w:r>
    </w:p>
    <w:p w14:paraId="12DD86BD"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Штурмовики выполнили два захода по аэродрому и заявили об уничтожении на земле шести «Юнкерсов». При выходе из второй атаки Илы были снова атакованы немецкими истребителями, но удачно отразили атаки. При этом летчики 21</w:t>
      </w:r>
      <w:r w:rsidRPr="00D03F3E">
        <w:rPr>
          <w:rFonts w:ascii="Times New Roman" w:hAnsi="Times New Roman"/>
          <w:color w:val="0070C0"/>
          <w:sz w:val="16"/>
          <w:szCs w:val="16"/>
        </w:rPr>
        <w:noBreakHyphen/>
        <w:t>го иап записали на свои счета еще два «стервятника», но, по имеющимся данным, 21 марта в составе JG54 не было зафиксировано ни одной потери (23199).</w:t>
      </w:r>
    </w:p>
    <w:p w14:paraId="5786C9A4" w14:textId="77777777" w:rsidR="00C559A4" w:rsidRPr="00D03F3E" w:rsidRDefault="00C559A4" w:rsidP="00D03F3E">
      <w:pPr>
        <w:spacing w:after="0" w:line="240" w:lineRule="auto"/>
        <w:jc w:val="both"/>
        <w:rPr>
          <w:rFonts w:ascii="Times New Roman" w:hAnsi="Times New Roman"/>
          <w:color w:val="0070C0"/>
          <w:sz w:val="16"/>
          <w:szCs w:val="16"/>
        </w:rPr>
      </w:pPr>
    </w:p>
    <w:p w14:paraId="4E7F485C" w14:textId="412222B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0407DF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1B77D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марта 1943 вышло Постановление ГКО № 3059 Об окончании строительства III очереди Московского метрополитена. (7090, 85-92,93-110).</w:t>
      </w:r>
    </w:p>
    <w:p w14:paraId="61D11DB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6EC31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6A3E09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096C95"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20 марта</w:t>
      </w:r>
      <w:r w:rsidRPr="00D03F3E">
        <w:rPr>
          <w:rFonts w:ascii="Times New Roman" w:hAnsi="Times New Roman"/>
          <w:color w:val="000000" w:themeColor="text1"/>
          <w:sz w:val="16"/>
          <w:szCs w:val="16"/>
        </w:rPr>
        <w:t xml:space="preserve"> в 1943 году утреннее сообщение Совинформбюро:</w:t>
      </w:r>
    </w:p>
    <w:p w14:paraId="29977BCD"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20 марта наши войска вели бои на прежних направлениях.</w:t>
      </w:r>
    </w:p>
    <w:p w14:paraId="337541FD"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вели наступательные бои и заняли несколько населённых пунктов. Бойцы Н-ской части форсировали реку Днепр и в бою за один опорный пункт противника истребили свыше 200 гитлеровцев. Захвачено 4 орудия, несколько десятков винтовок и пулемётов. На другом участке нашими частями окружён и полностью уничтожен батальон немецкой пехоты.</w:t>
      </w:r>
    </w:p>
    <w:p w14:paraId="34714A92"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течения Северного Донца наши войска отбивали атаки крупных сил танков и пехоты противника. На одном участке полк немецкой пехоты, поддержанный 25 танками, предпринял атаку и ценою больших потерь потеснил наши подразделения. Перегруппировав свои силы, бойцы Н-ской части контратаковали гитлеровцев и отбросили их на исходные позиции. Уничтожено 5 танков, 9 противотанковых орудий и до 500 солдат и офицеров противника. На другом участке советские артиллеристы и миномётчики уничтожили 2 тяжёлых орудия противника вместе с их расчётами, 3 танка и не менее 20 автомашин с боеприпасами.</w:t>
      </w:r>
    </w:p>
    <w:p w14:paraId="79469DB3"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озера Ильмень части Н-ского соединения, продвигаясь вперёд, выбили противника из одного населённого пункта. В уличном бою наши бойцы истребили до роты гитлеровцев. На другом участке советские подразделения разгромили опорный пункт немцев, в боях за который захвачены 6 орудий, 10 пулемётов, несколько десятков винтовок и склад боеприпасов. Взяты пленные.</w:t>
      </w:r>
    </w:p>
    <w:p w14:paraId="251CD3FD"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Киевской области, окружил населённый пункт, в котором расположилась немецкая полицейская рота. В ожесточённом бою советские патриоты истребили всех гитлеровцев. На подавление партизан немцы бросили несколько подразделений из соседнего гарнизона. Однако партизаны были своевременно предупреждены и подошедших гитлеровцев встретили пулемётным огнём. Противник отступил, оставив на дороге десятки трупов. Партизаны захватили 17 пулемётов, 120 винтовок, 8 тысяч патронов и 7 автомашин.</w:t>
      </w:r>
    </w:p>
    <w:p w14:paraId="5DFD6368"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деревне Брехово, Калининской области: «В начале января немецкие оккупанты устроили в деревне Брехово концентрационный лагерь, в который согнали около тысячи жителей окрестных сёл и деревень. Их разместили в сараях и амбарах. Гитлеровцы заставляли заключённых в лагере работать по 18 часов в сутки и морили их голодом. За два месяца в лагере от голода и побоев умерло более 400 человек. Немецкие душегубы отобрали из жителей деревни группу мужчин и женщин, разлучилиих с детьми и насильно отправили на каторгу в Германию. Оставшихся детей-сирот немцы собрали в отдельный сарай и никого туда не пускали. Многие дети погибли от холода и голода. Когда части Красной Армии заняли деревню, в сарае осталосьтолько 29 ребят. Все они не могли двигаться и походили на скелеты». Акт подписали: Евдокия Виноградова, Иван Лаптухов, Анастасия Голосова, Александра Соколова, Анна Брусничкина, Прасковья Вышеславцева и другие.</w:t>
      </w:r>
    </w:p>
    <w:p w14:paraId="5CDB6618"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железных дорогах Франции резко увеличилось количество актов саботажа и диверсий. Французские патриоты изо дня в день наносят чувствительные удары по коммуникациям, которыми пользуются немецкие оккупанты. В районе Марселя за одну неделю пущено под откос 6 немецких поездов с военными грузами. Близ Лиона железнодорожники организовали столкновение немецкого воинского эшелона с товарным поездом. В Парижском районе только в феврале месяце выведено из строя 68 паровозов.» (15074).</w:t>
      </w:r>
    </w:p>
    <w:p w14:paraId="67E89456" w14:textId="77777777" w:rsidR="00530A1E" w:rsidRPr="00D03F3E" w:rsidRDefault="00530A1E" w:rsidP="00D03F3E">
      <w:pPr>
        <w:spacing w:after="0" w:line="240" w:lineRule="auto"/>
        <w:jc w:val="both"/>
        <w:rPr>
          <w:rFonts w:ascii="Times New Roman" w:hAnsi="Times New Roman"/>
          <w:color w:val="000000" w:themeColor="text1"/>
          <w:sz w:val="16"/>
          <w:szCs w:val="16"/>
        </w:rPr>
      </w:pPr>
    </w:p>
    <w:p w14:paraId="608F9D7A"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20 марта</w:t>
      </w:r>
      <w:r w:rsidRPr="00D03F3E">
        <w:rPr>
          <w:rFonts w:ascii="Times New Roman" w:hAnsi="Times New Roman"/>
          <w:color w:val="000000" w:themeColor="text1"/>
          <w:sz w:val="16"/>
          <w:szCs w:val="16"/>
        </w:rPr>
        <w:t xml:space="preserve"> в 1943 году вечернее сообщение Совинформбюро:</w:t>
      </w:r>
    </w:p>
    <w:p w14:paraId="0099434A"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20 марта наши войска вели бои на прежних направлениях.</w:t>
      </w:r>
    </w:p>
    <w:p w14:paraId="12B72BED"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марта частями нашей авиации на различных участках фронта уничтожено или повреждено до 20 немецких танков, свыше 160 автомашин с войсками и грузами, подавлен огонь 16 батарей полевой и зенитной артиллерии, взорвано 5 складов боеприпасов, разбито два железнодорожных состава противника.</w:t>
      </w:r>
    </w:p>
    <w:p w14:paraId="181CE5DD"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вели наступательные бои и овладели рядом населённых пунктов. Части Н-ского соединения штурмом заняли опорный пункт вражеской обороны, в бою за который уничтожено до 400 немецких солдат и офицеров. Взяты пленные. На другом участке немцы силами пехоты и танков предприняли контратаку. Огнём из всех видов оружия атака гитлеровцев была отбита с большими для них потерями.</w:t>
      </w:r>
    </w:p>
    <w:p w14:paraId="27AB0832"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наши войска продолжали наступление. Подразделения Н-ской части обошли с флангов сильно укреплённый немцами населённый пункт и атаковали его с двух сторон. После ожесточённой схватки вражеский гарнизон, бросив 5 орудий и 20 автомашин, начал отступать. Наши войска, преследуя отступающих гитлеровцев, уничтожили до 300 солдат и офицеров противника. Захвачены пленные и много оружия.</w:t>
      </w:r>
    </w:p>
    <w:p w14:paraId="67662B22"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Чугуева наши части вели ожесточённые оборонительные бои. В течение дня бойцы Н-ского соединения, отбивая атаки противника, уничтожили 16 танков, 12 бронемашин, 2 самоходных орудия, 60 автомашин и свыше 800 немецких солдат иофицеров. Группа немецких автоматчиков на танках пыталась ворваться в один населённый пункт. Вражеские танки нарвались на наше минное поле и взлетели на воздух вместе с находившимися на них гитлеровцами.</w:t>
      </w:r>
    </w:p>
    <w:p w14:paraId="5591AC0D"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озера Ильмень наши части заняли сильно укреплённые позиции противника. Захвачено 4 орудия, 7 миномётов, 15 пулемётов, радиостанция и склад боеприпасов. На другом участке наше подразделение в рукопашной схватке уничтожило два взвода немцев, охранявших предмостное укрепление.</w:t>
      </w:r>
    </w:p>
    <w:p w14:paraId="50825812"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Восемь советских лётчиков-истребителей во главе с майором т. Сурковым атаковали 20 немецких бомбардировщиков, пытавшихся бомбить боевые порядки наших войск. Немецкие лётчики обратились в бегство. Преследуя гитлеровцев, советские истребители сбили 7 немецких самолётов и без потерь вернулись на свой аэродром.</w:t>
      </w:r>
    </w:p>
    <w:p w14:paraId="33799337"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Орловской области, 7 марта обстрелял из засады колонну немецких мотоциклистов. Партизаны уничтожили 57 вражеских солдат и офицеров. Захвачены несколько десятков мотоциклов, автоматы, винтовки и 3 тысячи патронов. Партизаны другого отряда 10 марта пустили под откос железнодорожный эшелон противника. При крушении разбиты паровоз и 30 вагонов с грузами.</w:t>
      </w:r>
    </w:p>
    <w:p w14:paraId="5A11754D"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Взятый в плен на одном из участков. Волховского фронта солдат 1 роты 437 полка 132 немецкой пехотной дивизии Людвиг Дангес рассказал: «Наш полк участвовал в боях под Севастополем, где понёс колоссальные потери. Из всего состава роты уцелели лишь несколько человек. В июле в роту прибыло 100 человек пополнения, и мы были переброшены в район Синявина. Осенью русские снова разгромили наше подразделение и убили командира роты лейтенанта Брайнбаха. В роте осталось не более 10 человек. Через некоторое время нам опять дали пополнение—90 солдат и 8 унтер-офицеров. Недавно мы вели оборонительный бой. Русские танки окружили нас. Дальнейшее сопротивление было бессмысленно. Остатки роты с обер-лейтенантом Креммером во главе сдались в плен. Таким образом, менее чем за год 1 рота три раза теряла весь личный состав и теперь закончила своё существование» (15074).</w:t>
      </w:r>
    </w:p>
    <w:p w14:paraId="6ACE0062" w14:textId="77777777" w:rsidR="00530A1E" w:rsidRPr="00D03F3E" w:rsidRDefault="00530A1E" w:rsidP="00D03F3E">
      <w:pPr>
        <w:spacing w:after="0" w:line="240" w:lineRule="auto"/>
        <w:jc w:val="both"/>
        <w:rPr>
          <w:rFonts w:ascii="Times New Roman" w:hAnsi="Times New Roman"/>
          <w:color w:val="000000" w:themeColor="text1"/>
          <w:sz w:val="16"/>
          <w:szCs w:val="16"/>
        </w:rPr>
      </w:pPr>
    </w:p>
    <w:p w14:paraId="7BF1A1A4" w14:textId="77777777" w:rsidR="00704FC4" w:rsidRPr="00D03F3E" w:rsidRDefault="00704FC4" w:rsidP="00D03F3E">
      <w:pPr>
        <w:pStyle w:val="ae"/>
        <w:spacing w:before="0" w:after="0"/>
        <w:jc w:val="both"/>
        <w:textAlignment w:val="baseline"/>
        <w:rPr>
          <w:color w:val="000000" w:themeColor="text1"/>
          <w:sz w:val="16"/>
          <w:szCs w:val="16"/>
        </w:rPr>
      </w:pPr>
      <w:r w:rsidRPr="00D03F3E">
        <w:rPr>
          <w:color w:val="000000" w:themeColor="text1"/>
          <w:sz w:val="16"/>
          <w:szCs w:val="16"/>
        </w:rPr>
        <w:t xml:space="preserve">20 марта 1943 в первом налете на аэродром Котлы участвовало семь Ил-2 7-го гв. шап майора М. Н. Хроленко во главе с командиром полка, а также шесть И-16 (ведущий младший лейтенант Н. П. Цыганков) и шесть Як-1 (ведущий старший лейтенант П. И. Павлов) 21-го иап. Летчики доложили о полном успехе и уничтожении </w:t>
      </w:r>
      <w:r w:rsidRPr="00D03F3E">
        <w:rPr>
          <w:color w:val="000000" w:themeColor="text1"/>
          <w:sz w:val="16"/>
          <w:szCs w:val="16"/>
        </w:rPr>
        <w:lastRenderedPageBreak/>
        <w:t>на земле четырех Ju-88. В то же время, хотя удар вроде как оказался для немцев внезапным, зенитным огнем были повреждены два «горбатых» и один «ишак».</w:t>
      </w:r>
    </w:p>
    <w:p w14:paraId="7FD2FC19" w14:textId="77777777" w:rsidR="00704FC4" w:rsidRPr="00D03F3E" w:rsidRDefault="00704FC4" w:rsidP="00D03F3E">
      <w:pPr>
        <w:pStyle w:val="ae"/>
        <w:spacing w:before="0" w:after="0"/>
        <w:jc w:val="both"/>
        <w:textAlignment w:val="baseline"/>
        <w:rPr>
          <w:color w:val="000000" w:themeColor="text1"/>
          <w:sz w:val="16"/>
          <w:szCs w:val="16"/>
        </w:rPr>
      </w:pPr>
      <w:r w:rsidRPr="00D03F3E">
        <w:rPr>
          <w:color w:val="000000" w:themeColor="text1"/>
          <w:sz w:val="16"/>
          <w:szCs w:val="16"/>
        </w:rPr>
        <w:t>На следующий день налет на аэродром Котлы повторился. На сей раз в нем участвовали восемь Ил-2, шесть И-16, столько же Як-1 и два новых Як-7. Истребители лично вел командир 21-го иап подполковник Я. В. Слепенков. При подходе к цели они встретили звено FW-190A, а потом еще несколько Bf-109G. Советские летчики утверждали, что им удалось связать фоккеры боем, не пропустив их к штурмовикам. При этом старший лейтенант П. И. Павлов и младший лейтенант П. Д. Журавлев заявили о двух сбитых «Фокке-Вульфах». Еще на один мессер претендовал пилот Ил-2 — командир 7-го гв. пшап майор Хроленко.</w:t>
      </w:r>
    </w:p>
    <w:p w14:paraId="5C1E3E18" w14:textId="77777777" w:rsidR="00704FC4" w:rsidRPr="00D03F3E" w:rsidRDefault="00704FC4" w:rsidP="00D03F3E">
      <w:pPr>
        <w:pStyle w:val="ae"/>
        <w:spacing w:before="0" w:after="0"/>
        <w:jc w:val="both"/>
        <w:textAlignment w:val="baseline"/>
        <w:rPr>
          <w:color w:val="000000" w:themeColor="text1"/>
          <w:sz w:val="16"/>
          <w:szCs w:val="16"/>
        </w:rPr>
      </w:pPr>
      <w:r w:rsidRPr="00D03F3E">
        <w:rPr>
          <w:color w:val="000000" w:themeColor="text1"/>
          <w:sz w:val="16"/>
          <w:szCs w:val="16"/>
        </w:rPr>
        <w:t>Штурмовики выполнили два захода по аэродрому и заявили об уничтожении на земле шести «Юнкерсов». При выходе из второй атаки Илы были снова атакованы немецкими истребителями, но удачно отразили атаки. При этом летчики 21-го иап записали на свои счета еще два «стервятника», но, по имеющимся данным, 21 марта в составе JG54 не было зафиксировано ни одной потери (19522).</w:t>
      </w:r>
    </w:p>
    <w:p w14:paraId="0F411808" w14:textId="77777777" w:rsidR="00704FC4" w:rsidRPr="00D03F3E" w:rsidRDefault="00704FC4" w:rsidP="00D03F3E">
      <w:pPr>
        <w:pStyle w:val="ae"/>
        <w:spacing w:before="0" w:after="0"/>
        <w:jc w:val="both"/>
        <w:textAlignment w:val="baseline"/>
        <w:rPr>
          <w:color w:val="000000" w:themeColor="text1"/>
          <w:sz w:val="16"/>
          <w:szCs w:val="16"/>
        </w:rPr>
      </w:pPr>
    </w:p>
    <w:p w14:paraId="4F43A14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20 -21 марта 1943 войска 21 -и армии генерала И.М. Чистякова и 1-й танковой армии генерала М.Е. Кату</w:t>
      </w:r>
      <w:r w:rsidRPr="00D03F3E">
        <w:rPr>
          <w:rFonts w:ascii="Times New Roman" w:hAnsi="Times New Roman"/>
          <w:color w:val="000000" w:themeColor="text1"/>
          <w:sz w:val="16"/>
          <w:szCs w:val="16"/>
        </w:rPr>
        <w:softHyphen/>
        <w:t>кова организовали крепкую оборону севернее Белгорода и в районе юж</w:t>
      </w:r>
      <w:r w:rsidRPr="00D03F3E">
        <w:rPr>
          <w:rFonts w:ascii="Times New Roman" w:hAnsi="Times New Roman"/>
          <w:color w:val="000000" w:themeColor="text1"/>
          <w:sz w:val="16"/>
          <w:szCs w:val="16"/>
        </w:rPr>
        <w:softHyphen/>
        <w:t>нее Обояни. С этого момента поло</w:t>
      </w:r>
      <w:r w:rsidRPr="00D03F3E">
        <w:rPr>
          <w:rFonts w:ascii="Times New Roman" w:hAnsi="Times New Roman"/>
          <w:color w:val="000000" w:themeColor="text1"/>
          <w:sz w:val="16"/>
          <w:szCs w:val="16"/>
        </w:rPr>
        <w:softHyphen/>
        <w:t>жение на фронте в районе Курска ста</w:t>
      </w:r>
      <w:r w:rsidRPr="00D03F3E">
        <w:rPr>
          <w:rFonts w:ascii="Times New Roman" w:hAnsi="Times New Roman"/>
          <w:color w:val="000000" w:themeColor="text1"/>
          <w:sz w:val="16"/>
          <w:szCs w:val="16"/>
        </w:rPr>
        <w:softHyphen/>
        <w:t>билизировалось. Обе сто</w:t>
      </w:r>
      <w:r w:rsidRPr="00D03F3E">
        <w:rPr>
          <w:rFonts w:ascii="Times New Roman" w:hAnsi="Times New Roman"/>
          <w:color w:val="000000" w:themeColor="text1"/>
          <w:sz w:val="16"/>
          <w:szCs w:val="16"/>
        </w:rPr>
        <w:softHyphen/>
        <w:t>роны стали готовиться к решающей схватке. Немецкое командова</w:t>
      </w:r>
      <w:r w:rsidRPr="00D03F3E">
        <w:rPr>
          <w:rFonts w:ascii="Times New Roman" w:hAnsi="Times New Roman"/>
          <w:color w:val="000000" w:themeColor="text1"/>
          <w:sz w:val="16"/>
          <w:szCs w:val="16"/>
        </w:rPr>
        <w:softHyphen/>
        <w:t>ние, рассчитывая восполь</w:t>
      </w:r>
      <w:r w:rsidRPr="00D03F3E">
        <w:rPr>
          <w:rFonts w:ascii="Times New Roman" w:hAnsi="Times New Roman"/>
          <w:color w:val="000000" w:themeColor="text1"/>
          <w:sz w:val="16"/>
          <w:szCs w:val="16"/>
        </w:rPr>
        <w:softHyphen/>
        <w:t>зоваться выгодным начер</w:t>
      </w:r>
      <w:r w:rsidRPr="00D03F3E">
        <w:rPr>
          <w:rFonts w:ascii="Times New Roman" w:hAnsi="Times New Roman"/>
          <w:color w:val="000000" w:themeColor="text1"/>
          <w:sz w:val="16"/>
          <w:szCs w:val="16"/>
        </w:rPr>
        <w:softHyphen/>
        <w:t>танием линии фронта, при</w:t>
      </w:r>
      <w:r w:rsidRPr="00D03F3E">
        <w:rPr>
          <w:rFonts w:ascii="Times New Roman" w:hAnsi="Times New Roman"/>
          <w:color w:val="000000" w:themeColor="text1"/>
          <w:sz w:val="16"/>
          <w:szCs w:val="16"/>
        </w:rPr>
        <w:softHyphen/>
        <w:t>ступило к подготовке двух встречных ударов из райо</w:t>
      </w:r>
      <w:r w:rsidRPr="00D03F3E">
        <w:rPr>
          <w:rFonts w:ascii="Times New Roman" w:hAnsi="Times New Roman"/>
          <w:color w:val="000000" w:themeColor="text1"/>
          <w:sz w:val="16"/>
          <w:szCs w:val="16"/>
        </w:rPr>
        <w:softHyphen/>
        <w:t>нов южнее Орла и север</w:t>
      </w:r>
      <w:r w:rsidRPr="00D03F3E">
        <w:rPr>
          <w:rFonts w:ascii="Times New Roman" w:hAnsi="Times New Roman"/>
          <w:color w:val="000000" w:themeColor="text1"/>
          <w:sz w:val="16"/>
          <w:szCs w:val="16"/>
        </w:rPr>
        <w:softHyphen/>
        <w:t>нее Харькова в общем на</w:t>
      </w:r>
      <w:r w:rsidRPr="00D03F3E">
        <w:rPr>
          <w:rFonts w:ascii="Times New Roman" w:hAnsi="Times New Roman"/>
          <w:color w:val="000000" w:themeColor="text1"/>
          <w:sz w:val="16"/>
          <w:szCs w:val="16"/>
        </w:rPr>
        <w:softHyphen/>
        <w:t>правлении на Курск, име</w:t>
      </w:r>
      <w:r w:rsidRPr="00D03F3E">
        <w:rPr>
          <w:rFonts w:ascii="Times New Roman" w:hAnsi="Times New Roman"/>
          <w:color w:val="000000" w:themeColor="text1"/>
          <w:sz w:val="16"/>
          <w:szCs w:val="16"/>
        </w:rPr>
        <w:softHyphen/>
        <w:t>ющих целью окружение и уничтожение войск Цент</w:t>
      </w:r>
      <w:r w:rsidRPr="00D03F3E">
        <w:rPr>
          <w:rFonts w:ascii="Times New Roman" w:hAnsi="Times New Roman"/>
          <w:color w:val="000000" w:themeColor="text1"/>
          <w:sz w:val="16"/>
          <w:szCs w:val="16"/>
        </w:rPr>
        <w:softHyphen/>
        <w:t>рального и Воронежского фронтов, занимавших Кур</w:t>
      </w:r>
      <w:r w:rsidRPr="00D03F3E">
        <w:rPr>
          <w:rFonts w:ascii="Times New Roman" w:hAnsi="Times New Roman"/>
          <w:color w:val="000000" w:themeColor="text1"/>
          <w:sz w:val="16"/>
          <w:szCs w:val="16"/>
        </w:rPr>
        <w:softHyphen/>
        <w:t>ский выступ, и получение свободы маневра для об</w:t>
      </w:r>
      <w:r w:rsidRPr="00D03F3E">
        <w:rPr>
          <w:rFonts w:ascii="Times New Roman" w:hAnsi="Times New Roman"/>
          <w:color w:val="000000" w:themeColor="text1"/>
          <w:sz w:val="16"/>
          <w:szCs w:val="16"/>
        </w:rPr>
        <w:softHyphen/>
        <w:t>хода Москвы по кратчай</w:t>
      </w:r>
      <w:r w:rsidRPr="00D03F3E">
        <w:rPr>
          <w:rFonts w:ascii="Times New Roman" w:hAnsi="Times New Roman"/>
          <w:color w:val="000000" w:themeColor="text1"/>
          <w:sz w:val="16"/>
          <w:szCs w:val="16"/>
        </w:rPr>
        <w:softHyphen/>
        <w:t>шему направлению. Расчет строился на создание решающего пре</w:t>
      </w:r>
      <w:r w:rsidRPr="00D03F3E">
        <w:rPr>
          <w:rFonts w:ascii="Times New Roman" w:hAnsi="Times New Roman"/>
          <w:color w:val="000000" w:themeColor="text1"/>
          <w:sz w:val="16"/>
          <w:szCs w:val="16"/>
        </w:rPr>
        <w:softHyphen/>
        <w:t>восходства в силах над войсками Крас</w:t>
      </w:r>
      <w:r w:rsidRPr="00D03F3E">
        <w:rPr>
          <w:rFonts w:ascii="Times New Roman" w:hAnsi="Times New Roman"/>
          <w:color w:val="000000" w:themeColor="text1"/>
          <w:sz w:val="16"/>
          <w:szCs w:val="16"/>
        </w:rPr>
        <w:softHyphen/>
        <w:t>ной Армии на главных направлениях удара и их быстрый разгром до под</w:t>
      </w:r>
      <w:r w:rsidRPr="00D03F3E">
        <w:rPr>
          <w:rFonts w:ascii="Times New Roman" w:hAnsi="Times New Roman"/>
          <w:color w:val="000000" w:themeColor="text1"/>
          <w:sz w:val="16"/>
          <w:szCs w:val="16"/>
        </w:rPr>
        <w:softHyphen/>
        <w:t>хода советских резервов из глубины. План наступления получил кодовое на</w:t>
      </w:r>
      <w:r w:rsidRPr="00D03F3E">
        <w:rPr>
          <w:rFonts w:ascii="Times New Roman" w:hAnsi="Times New Roman"/>
          <w:color w:val="000000" w:themeColor="text1"/>
          <w:sz w:val="16"/>
          <w:szCs w:val="16"/>
        </w:rPr>
        <w:softHyphen/>
        <w:t>звание "Цитадель" (10783).</w:t>
      </w:r>
    </w:p>
    <w:p w14:paraId="7090023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B2638E"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59A21B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02DA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марта 1943 года</w:t>
      </w:r>
    </w:p>
    <w:p w14:paraId="7775BF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СЕКРЕТНОЕ ПОСЛАНИЕ ПРЕМЬЕР-МИНИСТРА г-на УИНСТОНА ЧЕРЧИЛЛЯ МАРШАЛУ СТАЛИНУ</w:t>
      </w:r>
    </w:p>
    <w:p w14:paraId="7B3065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Благодарю Вас за Вашу телеграмму от 15 марта относительно обращения к Вам американцев по вопросу о Финляндии.</w:t>
      </w:r>
    </w:p>
    <w:p w14:paraId="0ABFC1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Вы сами лучше сможете судить о том, какое большое военное значение в борьбе против немцев на Вашем фронте имел бы вывод Финляндии из войны. Я предполагаю, что в результате этого высвободилось бы для использования в другом месте более значительное число советских дивизий, чем германских дивизий. Кроме того, отложение Финляндии от оси могло бы оказать значительное воздействие на других сателлитов Гитлера.</w:t>
      </w:r>
    </w:p>
    <w:p w14:paraId="796D12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Исключение наиболее явных прогерманских министров Финляндии из нового правительства, кажется, представляет собой уступку общественному мнению и, кажется, свидетельствует о желании продемонстрировать независимость от германского контроля. Таким образом, возможно, что это является подготовительной стадией к переориентации финской политики, когда будет признано, что для этого наступило время. Хотя моя собственная информация, которая не является очень полной, сводится к тому, что финны, вероятно, еще не созрели для переговоров, я все же считаю, что события на Вашем фронте в течение ближайших нескольких месяцев решат этот вопрос для них. Я полагаю, что они зависят от снабжения зерном, которое немцы обещали поставить в период между настоящим временем и маем месяцем. После того как будут получены эти поставки, Финляндия сможет, вероятно, существовать без германских поставок продовольствия до конца года</w:t>
      </w:r>
    </w:p>
    <w:p w14:paraId="6861E0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Вообще говоря, я полагал бы, что финны чрезвычайно пожелали бы выйти из войны, как только убедились бы, что Германии суждено потерпеть поражение. Если это так, то мне кажется, что в общем могло бы быть непреждевременным, если бы Вы запросили Правительство Соединенных Штатов, знает ли оно или могло бы оно выяснить, не раскрывая Вашей заинтересованности, какие условия готовы были бы принять финны. Но Вы сами лучше всего сможете судить о правильной тактике (7430).</w:t>
      </w:r>
    </w:p>
    <w:p w14:paraId="0DFF40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5310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марта 1943 госдеп США предложил СССР посредничество, на случай, если Финляндия готова вступить в мирные переговоры (4210,15).</w:t>
      </w:r>
    </w:p>
    <w:p w14:paraId="51B998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B921A"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4EF0C5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DCCD67"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20 марта</w:t>
      </w:r>
      <w:r w:rsidRPr="00D03F3E">
        <w:rPr>
          <w:rFonts w:ascii="Times New Roman" w:hAnsi="Times New Roman"/>
          <w:color w:val="000000" w:themeColor="text1"/>
          <w:sz w:val="16"/>
          <w:szCs w:val="16"/>
        </w:rPr>
        <w:t xml:space="preserve"> в 1943 году из сборочного цеха выкатили самолет </w:t>
      </w:r>
      <w:hyperlink r:id="rId95" w:tgtFrame="_blank" w:history="1">
        <w:r w:rsidRPr="00D03F3E">
          <w:rPr>
            <w:rFonts w:ascii="Times New Roman" w:hAnsi="Times New Roman"/>
            <w:color w:val="000000" w:themeColor="text1"/>
            <w:sz w:val="16"/>
            <w:szCs w:val="16"/>
          </w:rPr>
          <w:t xml:space="preserve">«ХР-56» «Black Bullet» ("Черная пуля") </w:t>
        </w:r>
      </w:hyperlink>
      <w:r w:rsidRPr="00D03F3E">
        <w:rPr>
          <w:rFonts w:ascii="Times New Roman" w:hAnsi="Times New Roman"/>
          <w:color w:val="000000" w:themeColor="text1"/>
          <w:sz w:val="16"/>
          <w:szCs w:val="16"/>
        </w:rPr>
        <w:t>с заводским номером 41-786. Инженеры из «Northrop» выбрали аэродинамическую схему "бесхвостка" с толкающими соосными винтами противоположного вращения. В свободной от двигателя носовой части самолета должна была разместиться батарея из двух 20-мм пушек и четырех крупнокалиберных пулеметов. В форме стреловидного крыла истребителя сразу угадывались черты прототипа «N-1М». Их близкое родство выдавали также опущенные вниз законцовки крыла и раскрывающиеся элевоны для управления по направлению. Истребитель имел короткий бочкообразный фюзеляж с выступающей кабиной, гаргротом и подфюзеляжным килем. В качестве основного конструкционного материала для самолета был выбран легкий магниевый сплав. Детали конструкции должны были соединяться между собой (впервые в авиации!) с помощью сварки. На крыле имелись закрылки с триммерами и раскрывающиеся элевоны. Двигатель находился сразу за кабиной летчика. Проектом «N-2B» предусматривалась установка рядного двигателя с жидкостным охлаждением «Х-1800» фирмы «Pratt and Whitney» мощностью 1800 л.с. После десятого полета было решено прекратить дальнейшие испытания и разработку истребителя. По мнению военных, «ХР-56» ничем не превосходил истребители того времени (15074).</w:t>
      </w:r>
    </w:p>
    <w:p w14:paraId="02C0A171" w14:textId="77777777" w:rsidR="00530A1E" w:rsidRPr="00D03F3E" w:rsidRDefault="00530A1E" w:rsidP="00D03F3E">
      <w:pPr>
        <w:spacing w:after="0" w:line="240" w:lineRule="auto"/>
        <w:jc w:val="both"/>
        <w:rPr>
          <w:rFonts w:ascii="Times New Roman" w:hAnsi="Times New Roman"/>
          <w:color w:val="000000" w:themeColor="text1"/>
          <w:sz w:val="16"/>
          <w:szCs w:val="16"/>
        </w:rPr>
      </w:pPr>
    </w:p>
    <w:p w14:paraId="32FE28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марта 1943 г. под командованием подполковника Гибсона на аэродроме Скэмптон сформировали 617-ю эскадрилью, которой и предстояло выполнить это сложнейшее задание. Специальные доработки произвели на двадцать трех «Ланкастерах» МкШ. Створки бомболюка пришлось снять, поскольку мина, крепящаяся на двух V-образных подкосах, значительно выступала наружу. Открытый бомболюк закрыли спереди обтекателем, а нижнюю турель демонтировали, поскольку при атаке на бреющем полете она была не нужна. Для экономии веса сняли и верхнюю турель. Атака предполагалась на небольшой высоте (около 20 м), а мина перед сбросом раскручивалась от гидросистемы, чтобы устойчиво войти в воду и взорваться при достижении дна плотины. Отклонение при падении мины не должно было превышать восьми метров. Чтобы достичь такой точности, экипажи усиленно тренировались, налетав около 2000 часов и сбросив 2500 учебных бомб. Операцию назначили на 16 мая. Дату полета выбрали не случайно-именно в мае уровень воды в плотинах максимальный. Атака осуществлялась тремя эшелонами. Первую волну из девяти самолетов вел сам Гибсон, и целью для нее были плотины на реках Мене и Эдер. Вторая волна из пяти «Ланкастеров» шла к плотине на Зорпе, и еще пять «авро» составляли третий, резервный, эшелон. Успех операции был впечатляющим, хотя 8 из 19 «Ланкастеров», участвовавших в операции, немцам удалось сбить. Через взорванные плотины ушла половина имевшегося запаса воды, было повреждено несколько гидроэлектростанций, погибло много людей (11860).</w:t>
      </w:r>
    </w:p>
    <w:p w14:paraId="5B5CA0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5AD087" w14:textId="77777777" w:rsidR="00FE3CBC" w:rsidRPr="00D03F3E" w:rsidRDefault="00FE3CB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20 марта 1943 вечером самолеты впервые ставят морские мины в Тихом океане, когда 42 Фвенджеров ВМС США и Корпуса морской пехоты США из Хендерсон-Филд Гуадалканал , заминировали гавань в Кахили, Бугенвиль, во время налета на аэродром Кахили 18 ВВС США B-17 Flying Fortress. На следующий вечер 40 Авенджеров проводят еще одну операцию по минированию Кахили во время налета 21 бомбардировщика ВВС США на аэродром (20376).</w:t>
      </w:r>
    </w:p>
    <w:p w14:paraId="7BFE8B67" w14:textId="77777777" w:rsidR="00FE3CBC" w:rsidRPr="00D03F3E" w:rsidRDefault="00FE3CBC" w:rsidP="00D03F3E">
      <w:pPr>
        <w:spacing w:after="0" w:line="240" w:lineRule="auto"/>
        <w:jc w:val="both"/>
        <w:rPr>
          <w:rFonts w:ascii="Times New Roman" w:hAnsi="Times New Roman"/>
          <w:color w:val="0070C0"/>
          <w:sz w:val="16"/>
          <w:szCs w:val="16"/>
        </w:rPr>
      </w:pPr>
    </w:p>
    <w:p w14:paraId="0B8975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March 20-28 1943 Montgomery's Eighth Army breaks through the Mareth Line in Tunisia (1050).</w:t>
      </w:r>
    </w:p>
    <w:p w14:paraId="335D71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2CEC7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20-28 марта 1943 8А Монггомери прорвала Линию Мареф в Тунисе (1050).</w:t>
      </w:r>
    </w:p>
    <w:p w14:paraId="71C90B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2E4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марта 1943 состоялась попытка покушения на А.Гитлера (2262).</w:t>
      </w:r>
    </w:p>
    <w:p w14:paraId="77CFB0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BFD5F5"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5B801E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1EF0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марта 1943 (в воскресение) согласно письма N 81с Ермолаева на Ер-2 2М-30Б был произведен контрольный полет для проверки работы замененного правого мотора продолжительностью 1:30. При рулежке на стоянку после полета поломали кронштейн хвостового колеса (1775,29).</w:t>
      </w:r>
    </w:p>
    <w:p w14:paraId="06EF4E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96D78F" w14:textId="77777777" w:rsidR="008E0A87" w:rsidRPr="00D03F3E" w:rsidRDefault="008E0A8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21 марта 1943 г. и 19 февраля глав</w:t>
      </w:r>
      <w:r w:rsidRPr="00D03F3E">
        <w:rPr>
          <w:color w:val="000000" w:themeColor="text1"/>
          <w:sz w:val="16"/>
          <w:szCs w:val="16"/>
        </w:rPr>
        <w:softHyphen/>
        <w:t xml:space="preserve">ный инженер ВВС генерал-лейтенант А. К. Репин утвердил Акты по результатам полигонных и летных испытаний Як-9т с пушкой МП-37 (моторный вариант пушки 11П), которые сначала проходили на НИП АВ ВВС с 10 января по 12 февраля, а с 15 февраля по 4 марта 1943 г. в НИИ ВВС. </w:t>
      </w:r>
    </w:p>
    <w:p w14:paraId="26D8602B" w14:textId="77777777" w:rsidR="008E0A87" w:rsidRPr="00D03F3E" w:rsidRDefault="008E0A8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 НИИ АВ самолет испытывали инженер-ка</w:t>
      </w:r>
      <w:r w:rsidRPr="00D03F3E">
        <w:rPr>
          <w:color w:val="000000" w:themeColor="text1"/>
          <w:sz w:val="16"/>
          <w:szCs w:val="16"/>
        </w:rPr>
        <w:softHyphen/>
        <w:t>питан В. М. Монич и летчик-испытатель капитан А. В. Кусакин, от НИИ ВВС — инженер-капитан А. Т. Степанец, инженер-майор Л. И. Лось и лет</w:t>
      </w:r>
      <w:r w:rsidRPr="00D03F3E">
        <w:rPr>
          <w:color w:val="000000" w:themeColor="text1"/>
          <w:sz w:val="16"/>
          <w:szCs w:val="16"/>
        </w:rPr>
        <w:softHyphen/>
        <w:t>чик-испытатель майор В. И. Хомяков.</w:t>
      </w:r>
    </w:p>
    <w:p w14:paraId="55EE1594" w14:textId="77777777" w:rsidR="008E0A87" w:rsidRPr="00D03F3E" w:rsidRDefault="008E0A8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общей сложности по программе испытаний на Як-9т было выполнено 34 полета с суммарным на</w:t>
      </w:r>
      <w:r w:rsidRPr="00D03F3E">
        <w:rPr>
          <w:color w:val="000000" w:themeColor="text1"/>
          <w:sz w:val="16"/>
          <w:szCs w:val="16"/>
        </w:rPr>
        <w:softHyphen/>
        <w:t>летом 16 ч 21 мин, в том числе 19 полетов (6 ч) — в НИИ АВ и 15 полетов (10 ч 21 мин) — в НИИ ВВС.</w:t>
      </w:r>
    </w:p>
    <w:p w14:paraId="29BEC54E" w14:textId="77777777" w:rsidR="008E0A87" w:rsidRPr="00D03F3E" w:rsidRDefault="008E0A8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и на ЛаГГ-3, пушка МП-37 располагалась в развале блока цилиндров мотора для стрельбы через полый вал редуктора и втулку винта. Ствол выступал из кока винта на 160 мм. Установка пу</w:t>
      </w:r>
      <w:r w:rsidRPr="00D03F3E">
        <w:rPr>
          <w:color w:val="000000" w:themeColor="text1"/>
          <w:sz w:val="16"/>
          <w:szCs w:val="16"/>
        </w:rPr>
        <w:softHyphen/>
        <w:t>лемета УБС оставалась без изменений. Емкость па</w:t>
      </w:r>
      <w:r w:rsidRPr="00D03F3E">
        <w:rPr>
          <w:color w:val="000000" w:themeColor="text1"/>
          <w:sz w:val="16"/>
          <w:szCs w:val="16"/>
        </w:rPr>
        <w:softHyphen/>
        <w:t>тронных ящиков составляла: 30—32 снаряда для пушки и 200—220 патронов для пулемета. Питание пушки от рассыпной ленты из металлических зве</w:t>
      </w:r>
      <w:r w:rsidRPr="00D03F3E">
        <w:rPr>
          <w:color w:val="000000" w:themeColor="text1"/>
          <w:sz w:val="16"/>
          <w:szCs w:val="16"/>
        </w:rPr>
        <w:softHyphen/>
        <w:t>ньев. Гильзы и звенья собирались в отсеке под пуш</w:t>
      </w:r>
      <w:r w:rsidRPr="00D03F3E">
        <w:rPr>
          <w:color w:val="000000" w:themeColor="text1"/>
          <w:sz w:val="16"/>
          <w:szCs w:val="16"/>
        </w:rPr>
        <w:softHyphen/>
        <w:t xml:space="preserve">кой. Перезарядка пушки пневматическая. </w:t>
      </w:r>
      <w:r w:rsidRPr="00D03F3E">
        <w:rPr>
          <w:color w:val="000000" w:themeColor="text1"/>
          <w:sz w:val="16"/>
          <w:szCs w:val="16"/>
        </w:rPr>
        <w:lastRenderedPageBreak/>
        <w:t>Управле</w:t>
      </w:r>
      <w:r w:rsidRPr="00D03F3E">
        <w:rPr>
          <w:color w:val="000000" w:themeColor="text1"/>
          <w:sz w:val="16"/>
          <w:szCs w:val="16"/>
        </w:rPr>
        <w:softHyphen/>
        <w:t>ние огнем — электропневматическое при помощи кнопки, расположенной на ручке управления. При</w:t>
      </w:r>
      <w:r w:rsidRPr="00D03F3E">
        <w:rPr>
          <w:color w:val="000000" w:themeColor="text1"/>
          <w:sz w:val="16"/>
          <w:szCs w:val="16"/>
        </w:rPr>
        <w:softHyphen/>
        <w:t>целивание при стрельбе выполнялось при помощи механического кольцевого прицела внутри каби</w:t>
      </w:r>
      <w:r w:rsidRPr="00D03F3E">
        <w:rPr>
          <w:color w:val="000000" w:themeColor="text1"/>
          <w:sz w:val="16"/>
          <w:szCs w:val="16"/>
        </w:rPr>
        <w:softHyphen/>
        <w:t>ны летчика и мушки на фюзеляже перед броне- козырьком. Для стрельбы по наземным целям на передней кромке крыла имелись метки, которые обеспечивали постоянство ввода самолета в пики</w:t>
      </w:r>
      <w:r w:rsidRPr="00D03F3E">
        <w:rPr>
          <w:color w:val="000000" w:themeColor="text1"/>
          <w:sz w:val="16"/>
          <w:szCs w:val="16"/>
        </w:rPr>
        <w:softHyphen/>
        <w:t>рование и необходимую дистанцию для открытия огня.</w:t>
      </w:r>
    </w:p>
    <w:p w14:paraId="16A40274" w14:textId="77777777" w:rsidR="008E0A87" w:rsidRPr="00D03F3E" w:rsidRDefault="008E0A8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Установка достаточно габаритной и тяжелой пушки МП-37 (вес пушки с установкой — 182,2 кг, вес боекомплекта — 52,8 кг) с большой силой от</w:t>
      </w:r>
      <w:r w:rsidRPr="00D03F3E">
        <w:rPr>
          <w:color w:val="000000" w:themeColor="text1"/>
          <w:sz w:val="16"/>
          <w:szCs w:val="16"/>
        </w:rPr>
        <w:softHyphen/>
        <w:t>дачи (по данным НИИ АВ, около 5500 кг) потребо</w:t>
      </w:r>
      <w:r w:rsidRPr="00D03F3E">
        <w:rPr>
          <w:color w:val="000000" w:themeColor="text1"/>
          <w:sz w:val="16"/>
          <w:szCs w:val="16"/>
        </w:rPr>
        <w:softHyphen/>
        <w:t>вала внесения в конструкцию Як-9т ряда серьезных изменений. Был усилен силовой каркас фюзеляжа в его передней части. Для сохранения центров</w:t>
      </w:r>
      <w:r w:rsidRPr="00D03F3E">
        <w:rPr>
          <w:color w:val="000000" w:themeColor="text1"/>
          <w:sz w:val="16"/>
          <w:szCs w:val="16"/>
        </w:rPr>
        <w:softHyphen/>
        <w:t>ки в допустимых пределах кабина летчика была сдвинута назад на 400 мм (как это было сделано на Як-7-37). Вес пустого самолета возрос до 2298 кг. Полетный вес при запасе топлива 330 кг составил 3025 кг.</w:t>
      </w:r>
    </w:p>
    <w:p w14:paraId="2CFEC9B3" w14:textId="77777777" w:rsidR="008E0A87" w:rsidRPr="00D03F3E" w:rsidRDefault="008E0A8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После всех доработок обзор летчику вперед- вниз, что было важно при взлете и посадке, ухуд</w:t>
      </w:r>
      <w:r w:rsidRPr="00D03F3E">
        <w:rPr>
          <w:color w:val="000000" w:themeColor="text1"/>
          <w:sz w:val="16"/>
          <w:szCs w:val="16"/>
        </w:rPr>
        <w:softHyphen/>
        <w:t>шился, но полученное при этом некоторое смеще</w:t>
      </w:r>
      <w:r w:rsidRPr="00D03F3E">
        <w:rPr>
          <w:color w:val="000000" w:themeColor="text1"/>
          <w:sz w:val="16"/>
          <w:szCs w:val="16"/>
        </w:rPr>
        <w:softHyphen/>
        <w:t>ние назад центровки уменьшило моменты инерции самолета. По сравнению с обычными «девятками» Як-9т стал менее инертным, что позволяло летчи</w:t>
      </w:r>
      <w:r w:rsidRPr="00D03F3E">
        <w:rPr>
          <w:color w:val="000000" w:themeColor="text1"/>
          <w:sz w:val="16"/>
          <w:szCs w:val="16"/>
        </w:rPr>
        <w:softHyphen/>
        <w:t>ку эффективно маневрировать в воздушном бою с противником.</w:t>
      </w:r>
    </w:p>
    <w:p w14:paraId="458C9C49" w14:textId="77777777" w:rsidR="008E0A87" w:rsidRPr="00D03F3E" w:rsidRDefault="008E0A8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Максимальная скорость у земли составила 533 км/ч, на высоте 3930 м — 597 км/ч, на 5000 м — 585 км/ч. Время подъема на высоту 5000 м — 5,5 мин. Время виража на высоте 1000 м — 19 сек (ра</w:t>
      </w:r>
      <w:r w:rsidRPr="00D03F3E">
        <w:rPr>
          <w:color w:val="000000" w:themeColor="text1"/>
          <w:sz w:val="16"/>
          <w:szCs w:val="16"/>
        </w:rPr>
        <w:softHyphen/>
        <w:t>диус виража 305 м). Набор высоты за боевой разво</w:t>
      </w:r>
      <w:r w:rsidRPr="00D03F3E">
        <w:rPr>
          <w:color w:val="000000" w:themeColor="text1"/>
          <w:sz w:val="16"/>
          <w:szCs w:val="16"/>
        </w:rPr>
        <w:softHyphen/>
        <w:t>рот с высоты 1000 м не превышал 1100 м.</w:t>
      </w:r>
    </w:p>
    <w:p w14:paraId="3E548891" w14:textId="77777777" w:rsidR="008E0A87" w:rsidRPr="00D03F3E" w:rsidRDefault="008E0A8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По мнению летчиков-испытателей, Як-9т по своим летно-пилотажным данным стоял на уровне двухбачного самолета Як-9, несколько уступая ему в вертикальном маневре и намного превосходя по мощности огня При сравнении с пятиточечным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 «тан</w:t>
      </w:r>
      <w:r w:rsidRPr="00D03F3E">
        <w:rPr>
          <w:color w:val="000000" w:themeColor="text1"/>
          <w:sz w:val="16"/>
          <w:szCs w:val="16"/>
        </w:rPr>
        <w:softHyphen/>
        <w:t>ковый» Як-9т имел преимущество в горизонтальной скорости до высоты 4600 м. На высоте 4600 м ско</w:t>
      </w:r>
      <w:r w:rsidRPr="00D03F3E">
        <w:rPr>
          <w:color w:val="000000" w:themeColor="text1"/>
          <w:sz w:val="16"/>
          <w:szCs w:val="16"/>
        </w:rPr>
        <w:softHyphen/>
        <w:t xml:space="preserve">рости были одинаковыми, а выше преимущество переходило к «Мессершмитту». По горизонтальной маневренности Як-9т имел явное преимущество перед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 до высоты 5000 м за счет меньших радиуса и времени виража. На вертикальном ма</w:t>
      </w:r>
      <w:r w:rsidRPr="00D03F3E">
        <w:rPr>
          <w:color w:val="000000" w:themeColor="text1"/>
          <w:sz w:val="16"/>
          <w:szCs w:val="16"/>
        </w:rPr>
        <w:softHyphen/>
        <w:t>невре превосходство Як-9т сохранялось до высо</w:t>
      </w:r>
      <w:r w:rsidRPr="00D03F3E">
        <w:rPr>
          <w:color w:val="000000" w:themeColor="text1"/>
          <w:sz w:val="16"/>
          <w:szCs w:val="16"/>
        </w:rPr>
        <w:softHyphen/>
        <w:t xml:space="preserve">ты 3000 м, на высотах 3000—4500 м возможности самолетов были одинаковы, а выше преимущество переходило к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w:t>
      </w:r>
    </w:p>
    <w:p w14:paraId="4C07F9AB" w14:textId="77777777" w:rsidR="008E0A87" w:rsidRPr="00D03F3E" w:rsidRDefault="008E0A8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известно, немецкий истребитель имел тя</w:t>
      </w:r>
      <w:r w:rsidRPr="00D03F3E">
        <w:rPr>
          <w:color w:val="000000" w:themeColor="text1"/>
          <w:sz w:val="16"/>
          <w:szCs w:val="16"/>
        </w:rPr>
        <w:softHyphen/>
        <w:t>желое управление и при перетягивании ручки сва</w:t>
      </w:r>
      <w:r w:rsidRPr="00D03F3E">
        <w:rPr>
          <w:color w:val="000000" w:themeColor="text1"/>
          <w:sz w:val="16"/>
          <w:szCs w:val="16"/>
        </w:rPr>
        <w:softHyphen/>
        <w:t>ливался в штопор. На пикировании он несколько уходил от Як-9т, однако на выходе из пикирова</w:t>
      </w:r>
      <w:r w:rsidRPr="00D03F3E">
        <w:rPr>
          <w:color w:val="000000" w:themeColor="text1"/>
          <w:sz w:val="16"/>
          <w:szCs w:val="16"/>
        </w:rPr>
        <w:softHyphen/>
        <w:t>ния требовал от летчика очень больших усилий, и поэтому вывод получался не энергичным, с рас</w:t>
      </w:r>
      <w:r w:rsidRPr="00D03F3E">
        <w:rPr>
          <w:color w:val="000000" w:themeColor="text1"/>
          <w:sz w:val="16"/>
          <w:szCs w:val="16"/>
        </w:rPr>
        <w:softHyphen/>
        <w:t>тянутой по времени и пространству траектори</w:t>
      </w:r>
      <w:r w:rsidRPr="00D03F3E">
        <w:rPr>
          <w:color w:val="000000" w:themeColor="text1"/>
          <w:sz w:val="16"/>
          <w:szCs w:val="16"/>
        </w:rPr>
        <w:softHyphen/>
        <w:t xml:space="preserve">ей. Эти обстоятельства позволяли летчику Як-9т уверенно атаковать «мессер» за счет упреждения на выходе из пикирования и на горке. К тому же </w:t>
      </w:r>
      <w:r w:rsidRPr="00D03F3E">
        <w:rPr>
          <w:color w:val="000000" w:themeColor="text1"/>
          <w:sz w:val="16"/>
          <w:szCs w:val="16"/>
          <w:lang w:val="en-US"/>
        </w:rPr>
        <w:t>Bf</w:t>
      </w:r>
      <w:r w:rsidRPr="00D03F3E">
        <w:rPr>
          <w:color w:val="000000" w:themeColor="text1"/>
          <w:sz w:val="16"/>
          <w:szCs w:val="16"/>
        </w:rPr>
        <w:t>109</w:t>
      </w:r>
      <w:r w:rsidRPr="00D03F3E">
        <w:rPr>
          <w:color w:val="000000" w:themeColor="text1"/>
          <w:sz w:val="16"/>
          <w:szCs w:val="16"/>
          <w:lang w:val="en-US"/>
        </w:rPr>
        <w:t>G</w:t>
      </w:r>
      <w:r w:rsidRPr="00D03F3E">
        <w:rPr>
          <w:color w:val="000000" w:themeColor="text1"/>
          <w:sz w:val="16"/>
          <w:szCs w:val="16"/>
        </w:rPr>
        <w:t>-2 имел плохой обзор задней полусферы, что повышало шансы Як-9т на победу в воздуш</w:t>
      </w:r>
      <w:r w:rsidRPr="00D03F3E">
        <w:rPr>
          <w:color w:val="000000" w:themeColor="text1"/>
          <w:sz w:val="16"/>
          <w:szCs w:val="16"/>
        </w:rPr>
        <w:softHyphen/>
        <w:t>ном бою.</w:t>
      </w:r>
    </w:p>
    <w:p w14:paraId="6901EA8A" w14:textId="77777777" w:rsidR="008E0A87" w:rsidRPr="00D03F3E" w:rsidRDefault="008E0A8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Наиболее выгодными дистанциями стрель</w:t>
      </w:r>
      <w:r w:rsidRPr="00D03F3E">
        <w:rPr>
          <w:color w:val="000000" w:themeColor="text1"/>
          <w:sz w:val="16"/>
          <w:szCs w:val="16"/>
        </w:rPr>
        <w:softHyphen/>
        <w:t>бы из пушки МП-37 считались 400—100 м — при действии по истребителям и 600—500 м — по бомбардировщикам. По плотному строю бомбар</w:t>
      </w:r>
      <w:r w:rsidRPr="00D03F3E">
        <w:rPr>
          <w:color w:val="000000" w:themeColor="text1"/>
          <w:sz w:val="16"/>
          <w:szCs w:val="16"/>
        </w:rPr>
        <w:softHyphen/>
        <w:t>дировщиков допускалась стрельба с дистанции 1000—1200 м с использованием осколочно-зажига- тельных снарядов с самоликвидацией.</w:t>
      </w:r>
    </w:p>
    <w:p w14:paraId="098F8CAC" w14:textId="77777777" w:rsidR="008E0A87" w:rsidRPr="00D03F3E" w:rsidRDefault="008E0A8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Отмечалось, что схема вооружения Як-9т — пушка МП-37 калибра 37 мм и пулемет УБС — весьма выгодна в тактическом плане, так как одно попадание осколочно-зажигательного снаряда в самолет приводило к его полному разрушению, а наличие эффективного бронебойного снаряда позволяло наносить результативные удары по лег</w:t>
      </w:r>
      <w:r w:rsidRPr="00D03F3E">
        <w:rPr>
          <w:color w:val="000000" w:themeColor="text1"/>
          <w:sz w:val="16"/>
          <w:szCs w:val="16"/>
        </w:rPr>
        <w:softHyphen/>
        <w:t>ким и средним танкам противника. Возможность атаки танков под углом пикирования 40—50° обе</w:t>
      </w:r>
      <w:r w:rsidRPr="00D03F3E">
        <w:rPr>
          <w:color w:val="000000" w:themeColor="text1"/>
          <w:sz w:val="16"/>
          <w:szCs w:val="16"/>
        </w:rPr>
        <w:softHyphen/>
        <w:t>спечивала наилучшие условия для поражения тан</w:t>
      </w:r>
      <w:r w:rsidRPr="00D03F3E">
        <w:rPr>
          <w:color w:val="000000" w:themeColor="text1"/>
          <w:sz w:val="16"/>
          <w:szCs w:val="16"/>
        </w:rPr>
        <w:softHyphen/>
        <w:t>ков в горизонтальную броню (надмоторная броня и крыша башни) толщиной до 30 мм. При этом дис</w:t>
      </w:r>
      <w:r w:rsidRPr="00D03F3E">
        <w:rPr>
          <w:color w:val="000000" w:themeColor="text1"/>
          <w:sz w:val="16"/>
          <w:szCs w:val="16"/>
        </w:rPr>
        <w:softHyphen/>
        <w:t>танция прекращения стрельбы вполне обеспечива</w:t>
      </w:r>
      <w:r w:rsidRPr="00D03F3E">
        <w:rPr>
          <w:color w:val="000000" w:themeColor="text1"/>
          <w:sz w:val="16"/>
          <w:szCs w:val="16"/>
        </w:rPr>
        <w:softHyphen/>
        <w:t>ла безопасный вывод из пикирования.</w:t>
      </w:r>
    </w:p>
    <w:p w14:paraId="63146279" w14:textId="77777777" w:rsidR="008E0A87" w:rsidRPr="00D03F3E" w:rsidRDefault="008E0A8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Однако при стрельбе из МП-37 на скоростях менее 300—350 км/ч по прибору из-за сильной отдачи пушки самолет раскачивался. Прицельным получался только первый выстрел, а все последу</w:t>
      </w:r>
      <w:r w:rsidRPr="00D03F3E">
        <w:rPr>
          <w:color w:val="000000" w:themeColor="text1"/>
          <w:sz w:val="16"/>
          <w:szCs w:val="16"/>
        </w:rPr>
        <w:softHyphen/>
        <w:t>ющие снаряды разбрасывались. Самолет сбивался с линии прицеливания, опуская нос, что вызывало недолеты при стрельбе по наземным целям и сни</w:t>
      </w:r>
      <w:r w:rsidRPr="00D03F3E">
        <w:rPr>
          <w:color w:val="000000" w:themeColor="text1"/>
          <w:sz w:val="16"/>
          <w:szCs w:val="16"/>
        </w:rPr>
        <w:softHyphen/>
        <w:t>жение трассы — при стрельбе по воздушным це</w:t>
      </w:r>
      <w:r w:rsidRPr="00D03F3E">
        <w:rPr>
          <w:color w:val="000000" w:themeColor="text1"/>
          <w:sz w:val="16"/>
          <w:szCs w:val="16"/>
        </w:rPr>
        <w:softHyphen/>
        <w:t>лям. Для продолжения стрельбы необходимо было восстанавливать прицеливание.</w:t>
      </w:r>
    </w:p>
    <w:p w14:paraId="20129A72" w14:textId="77777777" w:rsidR="008E0A87" w:rsidRPr="00D03F3E" w:rsidRDefault="008E0A8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этом с увеличением скорости полета и уменьшением длины очереди сила отдачи пушки в меньшей степени оказывала влияние на устойчи</w:t>
      </w:r>
      <w:r w:rsidRPr="00D03F3E">
        <w:rPr>
          <w:color w:val="000000" w:themeColor="text1"/>
          <w:sz w:val="16"/>
          <w:szCs w:val="16"/>
        </w:rPr>
        <w:softHyphen/>
        <w:t>вость полета самолета.</w:t>
      </w:r>
    </w:p>
    <w:p w14:paraId="04BBBCC4" w14:textId="77777777" w:rsidR="008E0A87" w:rsidRPr="00D03F3E" w:rsidRDefault="008E0A8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Учитывая ограниченность бое</w:t>
      </w:r>
      <w:r w:rsidRPr="00D03F3E">
        <w:rPr>
          <w:color w:val="000000" w:themeColor="text1"/>
          <w:sz w:val="16"/>
          <w:szCs w:val="16"/>
        </w:rPr>
        <w:softHyphen/>
        <w:t>комплекта, стрельбу из пушки МП-37 рекомендовалось вести только ко</w:t>
      </w:r>
      <w:r w:rsidRPr="00D03F3E">
        <w:rPr>
          <w:color w:val="000000" w:themeColor="text1"/>
          <w:sz w:val="16"/>
          <w:szCs w:val="16"/>
        </w:rPr>
        <w:softHyphen/>
        <w:t>роткими очередями по 1—2, макси</w:t>
      </w:r>
      <w:r w:rsidRPr="00D03F3E">
        <w:rPr>
          <w:color w:val="000000" w:themeColor="text1"/>
          <w:sz w:val="16"/>
          <w:szCs w:val="16"/>
        </w:rPr>
        <w:softHyphen/>
        <w:t>мум 3 снаряда, при скоростях, близ</w:t>
      </w:r>
      <w:r w:rsidRPr="00D03F3E">
        <w:rPr>
          <w:color w:val="000000" w:themeColor="text1"/>
          <w:sz w:val="16"/>
          <w:szCs w:val="16"/>
        </w:rPr>
        <w:softHyphen/>
        <w:t>ких к максимальной скорости полета. В свою очередь, это условие предъ</w:t>
      </w:r>
      <w:r w:rsidRPr="00D03F3E">
        <w:rPr>
          <w:color w:val="000000" w:themeColor="text1"/>
          <w:sz w:val="16"/>
          <w:szCs w:val="16"/>
        </w:rPr>
        <w:softHyphen/>
        <w:t>являло весьма жесткие требования к уровню летной и стрелковой подго</w:t>
      </w:r>
      <w:r w:rsidRPr="00D03F3E">
        <w:rPr>
          <w:color w:val="000000" w:themeColor="text1"/>
          <w:sz w:val="16"/>
          <w:szCs w:val="16"/>
        </w:rPr>
        <w:softHyphen/>
        <w:t>товки летного состава, летающего на Як-9т. Летчик должен быть своего ро</w:t>
      </w:r>
      <w:r w:rsidRPr="00D03F3E">
        <w:rPr>
          <w:color w:val="000000" w:themeColor="text1"/>
          <w:sz w:val="16"/>
          <w:szCs w:val="16"/>
        </w:rPr>
        <w:softHyphen/>
        <w:t>да воздушным снайпером и мастер</w:t>
      </w:r>
      <w:r w:rsidRPr="00D03F3E">
        <w:rPr>
          <w:color w:val="000000" w:themeColor="text1"/>
          <w:sz w:val="16"/>
          <w:szCs w:val="16"/>
        </w:rPr>
        <w:softHyphen/>
        <w:t>ски владеть техникой пилотирования самолетом.</w:t>
      </w:r>
    </w:p>
    <w:p w14:paraId="31456B45" w14:textId="77777777" w:rsidR="008E0A87" w:rsidRPr="00D03F3E" w:rsidRDefault="008E0A8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Обращалось внимание на необ</w:t>
      </w:r>
      <w:r w:rsidRPr="00D03F3E">
        <w:rPr>
          <w:color w:val="000000" w:themeColor="text1"/>
          <w:sz w:val="16"/>
          <w:szCs w:val="16"/>
        </w:rPr>
        <w:softHyphen/>
        <w:t>ходимость обеспечения повышенно</w:t>
      </w:r>
      <w:r w:rsidRPr="00D03F3E">
        <w:rPr>
          <w:color w:val="000000" w:themeColor="text1"/>
          <w:sz w:val="16"/>
          <w:szCs w:val="16"/>
        </w:rPr>
        <w:softHyphen/>
        <w:t>го качества производственного ис</w:t>
      </w:r>
      <w:r w:rsidRPr="00D03F3E">
        <w:rPr>
          <w:color w:val="000000" w:themeColor="text1"/>
          <w:sz w:val="16"/>
          <w:szCs w:val="16"/>
        </w:rPr>
        <w:softHyphen/>
        <w:t>полнения самолетов Як-9т с пушкой МП-37, в первую очередь — качества монтажных работ, так как большая отдача при стрельбе приводила к на</w:t>
      </w:r>
      <w:r w:rsidRPr="00D03F3E">
        <w:rPr>
          <w:color w:val="000000" w:themeColor="text1"/>
          <w:sz w:val="16"/>
          <w:szCs w:val="16"/>
        </w:rPr>
        <w:softHyphen/>
        <w:t>рушению соединений трубопроводов, появлению трещин и разрушению от</w:t>
      </w:r>
      <w:r w:rsidRPr="00D03F3E">
        <w:rPr>
          <w:color w:val="000000" w:themeColor="text1"/>
          <w:sz w:val="16"/>
          <w:szCs w:val="16"/>
        </w:rPr>
        <w:softHyphen/>
        <w:t>дельных деталей.</w:t>
      </w:r>
    </w:p>
    <w:p w14:paraId="4F30F528" w14:textId="77777777" w:rsidR="008E0A87" w:rsidRPr="00D03F3E" w:rsidRDefault="008E0A8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Несмотря на выявленные в хо</w:t>
      </w:r>
      <w:r w:rsidRPr="00D03F3E">
        <w:rPr>
          <w:color w:val="000000" w:themeColor="text1"/>
          <w:sz w:val="16"/>
          <w:szCs w:val="16"/>
        </w:rPr>
        <w:softHyphen/>
        <w:t>де испытаний недостатки установки пушки МП-37 на самолет Як-9т, был сделан вывод, что самолет «испыта</w:t>
      </w:r>
      <w:r w:rsidRPr="00D03F3E">
        <w:rPr>
          <w:color w:val="000000" w:themeColor="text1"/>
          <w:sz w:val="16"/>
          <w:szCs w:val="16"/>
        </w:rPr>
        <w:softHyphen/>
        <w:t>ния выдержал удовлетворительно». Рекомендовалась его массовая серия.</w:t>
      </w:r>
    </w:p>
    <w:p w14:paraId="2439D720" w14:textId="77777777" w:rsidR="008E0A87" w:rsidRPr="00D03F3E" w:rsidRDefault="008E0A8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Отметим, что в НИИ АВ в то время изучалась эффективность стрельбы из пушки МП-37 с самолета Як-9т на дальности 1000—1200 м по наземным щитам-мишеням с изображенными на них различными самолетами в на</w:t>
      </w:r>
      <w:r w:rsidRPr="00D03F3E">
        <w:rPr>
          <w:color w:val="000000" w:themeColor="text1"/>
          <w:sz w:val="16"/>
          <w:szCs w:val="16"/>
        </w:rPr>
        <w:softHyphen/>
        <w:t>туральную величину под ракурсами 0/4—1/4.</w:t>
      </w:r>
    </w:p>
    <w:p w14:paraId="59FEA710" w14:textId="77777777" w:rsidR="008E0A87" w:rsidRPr="00D03F3E" w:rsidRDefault="008E0A8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этих условиях стрельбы лет</w:t>
      </w:r>
      <w:r w:rsidRPr="00D03F3E">
        <w:rPr>
          <w:color w:val="000000" w:themeColor="text1"/>
          <w:sz w:val="16"/>
          <w:szCs w:val="16"/>
        </w:rPr>
        <w:softHyphen/>
        <w:t>чик с отличной техникой пилотирова</w:t>
      </w:r>
      <w:r w:rsidRPr="00D03F3E">
        <w:rPr>
          <w:color w:val="000000" w:themeColor="text1"/>
          <w:sz w:val="16"/>
          <w:szCs w:val="16"/>
        </w:rPr>
        <w:softHyphen/>
        <w:t>ния и стрелковой подготовкой (майор Звонарев) имел 8% попаданий в фи</w:t>
      </w:r>
      <w:r w:rsidRPr="00D03F3E">
        <w:rPr>
          <w:color w:val="000000" w:themeColor="text1"/>
          <w:sz w:val="16"/>
          <w:szCs w:val="16"/>
        </w:rPr>
        <w:softHyphen/>
        <w:t>гуру самолета, а летчики со средней подготовкой — всего 1,7%.</w:t>
      </w:r>
    </w:p>
    <w:p w14:paraId="195BF2BF" w14:textId="77777777" w:rsidR="008E0A87" w:rsidRPr="00D03F3E" w:rsidRDefault="008E0A8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На основании математической обработки данных опытов в НИИ АВ были сделаны следующие выводы Для одного попадания в бомбардировщик средних размеров (5—10 м </w:t>
      </w:r>
      <w:r w:rsidRPr="00D03F3E">
        <w:rPr>
          <w:color w:val="000000" w:themeColor="text1"/>
          <w:sz w:val="16"/>
          <w:szCs w:val="16"/>
          <w:vertAlign w:val="superscript"/>
        </w:rPr>
        <w:t>2</w:t>
      </w:r>
      <w:r w:rsidRPr="00D03F3E">
        <w:rPr>
          <w:color w:val="000000" w:themeColor="text1"/>
          <w:sz w:val="16"/>
          <w:szCs w:val="16"/>
        </w:rPr>
        <w:t xml:space="preserve"> — Ме 210, </w:t>
      </w:r>
      <w:r w:rsidRPr="00D03F3E">
        <w:rPr>
          <w:color w:val="000000" w:themeColor="text1"/>
          <w:sz w:val="16"/>
          <w:szCs w:val="16"/>
          <w:lang w:val="en-US"/>
        </w:rPr>
        <w:t>Ju</w:t>
      </w:r>
      <w:r w:rsidRPr="00D03F3E">
        <w:rPr>
          <w:color w:val="000000" w:themeColor="text1"/>
          <w:sz w:val="16"/>
          <w:szCs w:val="16"/>
        </w:rPr>
        <w:t>88</w:t>
      </w:r>
      <w:r w:rsidRPr="00D03F3E">
        <w:rPr>
          <w:color w:val="000000" w:themeColor="text1"/>
          <w:sz w:val="16"/>
          <w:szCs w:val="16"/>
          <w:lang w:val="en-US"/>
        </w:rPr>
        <w:t>A</w:t>
      </w:r>
      <w:r w:rsidRPr="00D03F3E">
        <w:rPr>
          <w:color w:val="000000" w:themeColor="text1"/>
          <w:sz w:val="16"/>
          <w:szCs w:val="16"/>
        </w:rPr>
        <w:t xml:space="preserve">, </w:t>
      </w:r>
      <w:r w:rsidRPr="00D03F3E">
        <w:rPr>
          <w:color w:val="000000" w:themeColor="text1"/>
          <w:sz w:val="16"/>
          <w:szCs w:val="16"/>
          <w:lang w:val="en-US"/>
        </w:rPr>
        <w:t>Ju</w:t>
      </w:r>
      <w:r w:rsidRPr="00D03F3E">
        <w:rPr>
          <w:color w:val="000000" w:themeColor="text1"/>
          <w:sz w:val="16"/>
          <w:szCs w:val="16"/>
        </w:rPr>
        <w:t>87</w:t>
      </w:r>
      <w:r w:rsidRPr="00D03F3E">
        <w:rPr>
          <w:color w:val="000000" w:themeColor="text1"/>
          <w:sz w:val="16"/>
          <w:szCs w:val="16"/>
          <w:lang w:val="en-US"/>
        </w:rPr>
        <w:t>B</w:t>
      </w:r>
      <w:r w:rsidRPr="00D03F3E">
        <w:rPr>
          <w:color w:val="000000" w:themeColor="text1"/>
          <w:sz w:val="16"/>
          <w:szCs w:val="16"/>
        </w:rPr>
        <w:t>), на</w:t>
      </w:r>
      <w:r w:rsidRPr="00D03F3E">
        <w:rPr>
          <w:color w:val="000000" w:themeColor="text1"/>
          <w:sz w:val="16"/>
          <w:szCs w:val="16"/>
        </w:rPr>
        <w:softHyphen/>
        <w:t>ходящийся на земле при стрельбе на дальностях 1000—1200 м и при ракурсе 0/4—1/4 квалифици</w:t>
      </w:r>
      <w:r w:rsidRPr="00D03F3E">
        <w:rPr>
          <w:color w:val="000000" w:themeColor="text1"/>
          <w:sz w:val="16"/>
          <w:szCs w:val="16"/>
        </w:rPr>
        <w:softHyphen/>
        <w:t>рованному летчику необходимо произвести около 25 выстрелов, а со средней квалификацией — око</w:t>
      </w:r>
      <w:r w:rsidRPr="00D03F3E">
        <w:rPr>
          <w:color w:val="000000" w:themeColor="text1"/>
          <w:sz w:val="16"/>
          <w:szCs w:val="16"/>
        </w:rPr>
        <w:softHyphen/>
        <w:t>ло 60 выстрелов.</w:t>
      </w:r>
    </w:p>
    <w:p w14:paraId="777C4C5F" w14:textId="77777777" w:rsidR="008E0A87" w:rsidRPr="00D03F3E" w:rsidRDefault="008E0A8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стрельбе по летящему самолету для по</w:t>
      </w:r>
      <w:r w:rsidRPr="00D03F3E">
        <w:rPr>
          <w:color w:val="000000" w:themeColor="text1"/>
          <w:sz w:val="16"/>
          <w:szCs w:val="16"/>
        </w:rPr>
        <w:softHyphen/>
        <w:t>падания в него на дальностях 1000—1200 м при ракурсе 0/4—1/4 квалифицированному летчику требуется израсходовать около 60 снарядов, а лет</w:t>
      </w:r>
      <w:r w:rsidRPr="00D03F3E">
        <w:rPr>
          <w:color w:val="000000" w:themeColor="text1"/>
          <w:sz w:val="16"/>
          <w:szCs w:val="16"/>
        </w:rPr>
        <w:softHyphen/>
        <w:t>чику со средней подготовкой — около 130 сна</w:t>
      </w:r>
      <w:r w:rsidRPr="00D03F3E">
        <w:rPr>
          <w:color w:val="000000" w:themeColor="text1"/>
          <w:sz w:val="16"/>
          <w:szCs w:val="16"/>
        </w:rPr>
        <w:softHyphen/>
        <w:t>рядов.</w:t>
      </w:r>
    </w:p>
    <w:p w14:paraId="768AC12F" w14:textId="77777777" w:rsidR="008E0A87" w:rsidRPr="00D03F3E" w:rsidRDefault="008E0A8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этим причинам для летчиков со средней стрелковой подготовкой, то есть строевых летчи</w:t>
      </w:r>
      <w:r w:rsidRPr="00D03F3E">
        <w:rPr>
          <w:color w:val="000000" w:themeColor="text1"/>
          <w:sz w:val="16"/>
          <w:szCs w:val="16"/>
        </w:rPr>
        <w:softHyphen/>
        <w:t>ков, дальностями действительного огня являются 600—400 м при стрельбе по бомбардировщику и 400—100 м — по истребителю. На этих дально</w:t>
      </w:r>
      <w:r w:rsidRPr="00D03F3E">
        <w:rPr>
          <w:color w:val="000000" w:themeColor="text1"/>
          <w:sz w:val="16"/>
          <w:szCs w:val="16"/>
        </w:rPr>
        <w:softHyphen/>
        <w:t>стях стрельбы обеспечивались вполне приемлемые вероятности попадания хотя бы одним снарядом при израсходовании одного боекомплекта в пуш</w:t>
      </w:r>
      <w:r w:rsidRPr="00D03F3E">
        <w:rPr>
          <w:color w:val="000000" w:themeColor="text1"/>
          <w:sz w:val="16"/>
          <w:szCs w:val="16"/>
        </w:rPr>
        <w:softHyphen/>
        <w:t>ке МП-37.</w:t>
      </w:r>
    </w:p>
    <w:p w14:paraId="44221ED6" w14:textId="77777777" w:rsidR="008E0A87" w:rsidRPr="00D03F3E" w:rsidRDefault="008E0A8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Ко времени окончания испытаний противо</w:t>
      </w:r>
      <w:r w:rsidRPr="00D03F3E">
        <w:rPr>
          <w:color w:val="000000" w:themeColor="text1"/>
          <w:sz w:val="16"/>
          <w:szCs w:val="16"/>
        </w:rPr>
        <w:softHyphen/>
        <w:t xml:space="preserve">танковых вариантов Як-9т и Ил-2 с пушками Ш-37 и 11П стало известно о применении противником на фронте тяжелых танков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VI</w:t>
      </w:r>
      <w:r w:rsidRPr="00D03F3E">
        <w:rPr>
          <w:color w:val="000000" w:themeColor="text1"/>
          <w:sz w:val="16"/>
          <w:szCs w:val="16"/>
        </w:rPr>
        <w:t xml:space="preserve"> «Тигр». От Главно</w:t>
      </w:r>
      <w:r w:rsidRPr="00D03F3E">
        <w:rPr>
          <w:color w:val="000000" w:themeColor="text1"/>
          <w:sz w:val="16"/>
          <w:szCs w:val="16"/>
        </w:rPr>
        <w:softHyphen/>
        <w:t>го разведывательного управления Генерального штаба Красной Армии получены сведения о по</w:t>
      </w:r>
      <w:r w:rsidRPr="00D03F3E">
        <w:rPr>
          <w:color w:val="000000" w:themeColor="text1"/>
          <w:sz w:val="16"/>
          <w:szCs w:val="16"/>
        </w:rPr>
        <w:softHyphen/>
        <w:t xml:space="preserve">ступлении на вооружение немецкой армии новых образцов бронетехники — танков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V</w:t>
      </w:r>
      <w:r w:rsidRPr="00D03F3E">
        <w:rPr>
          <w:color w:val="000000" w:themeColor="text1"/>
          <w:sz w:val="16"/>
          <w:szCs w:val="16"/>
        </w:rPr>
        <w:t xml:space="preserve"> «Пантера» и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IV</w:t>
      </w:r>
      <w:r w:rsidRPr="00D03F3E">
        <w:rPr>
          <w:color w:val="000000" w:themeColor="text1"/>
          <w:sz w:val="16"/>
          <w:szCs w:val="16"/>
        </w:rPr>
        <w:t>/</w:t>
      </w:r>
      <w:r w:rsidRPr="00D03F3E">
        <w:rPr>
          <w:color w:val="000000" w:themeColor="text1"/>
          <w:sz w:val="16"/>
          <w:szCs w:val="16"/>
          <w:lang w:val="en-US"/>
        </w:rPr>
        <w:t>H</w:t>
      </w:r>
      <w:r w:rsidRPr="00D03F3E">
        <w:rPr>
          <w:color w:val="000000" w:themeColor="text1"/>
          <w:sz w:val="16"/>
          <w:szCs w:val="16"/>
        </w:rPr>
        <w:t xml:space="preserve">, а также штурмового орудия </w:t>
      </w:r>
      <w:r w:rsidRPr="00D03F3E">
        <w:rPr>
          <w:color w:val="000000" w:themeColor="text1"/>
          <w:sz w:val="16"/>
          <w:szCs w:val="16"/>
          <w:lang w:val="en-US"/>
        </w:rPr>
        <w:t>Jgd</w:t>
      </w:r>
      <w:r w:rsidRPr="00D03F3E">
        <w:rPr>
          <w:color w:val="000000" w:themeColor="text1"/>
          <w:sz w:val="16"/>
          <w:szCs w:val="16"/>
        </w:rPr>
        <w:t xml:space="preserve"> </w:t>
      </w:r>
      <w:r w:rsidRPr="00D03F3E">
        <w:rPr>
          <w:color w:val="000000" w:themeColor="text1"/>
          <w:sz w:val="16"/>
          <w:szCs w:val="16"/>
          <w:lang w:val="en-US"/>
        </w:rPr>
        <w:t>Pz</w:t>
      </w:r>
      <w:r w:rsidRPr="00D03F3E">
        <w:rPr>
          <w:color w:val="000000" w:themeColor="text1"/>
          <w:sz w:val="16"/>
          <w:szCs w:val="16"/>
        </w:rPr>
        <w:t xml:space="preserve"> </w:t>
      </w:r>
      <w:r w:rsidRPr="00D03F3E">
        <w:rPr>
          <w:color w:val="000000" w:themeColor="text1"/>
          <w:sz w:val="16"/>
          <w:szCs w:val="16"/>
          <w:lang w:val="en-US"/>
        </w:rPr>
        <w:t>Tiger</w:t>
      </w:r>
      <w:r w:rsidRPr="00D03F3E">
        <w:rPr>
          <w:color w:val="000000" w:themeColor="text1"/>
          <w:sz w:val="16"/>
          <w:szCs w:val="16"/>
        </w:rPr>
        <w:t xml:space="preserve"> (</w:t>
      </w:r>
      <w:r w:rsidRPr="00D03F3E">
        <w:rPr>
          <w:color w:val="000000" w:themeColor="text1"/>
          <w:sz w:val="16"/>
          <w:szCs w:val="16"/>
          <w:lang w:val="en-US"/>
        </w:rPr>
        <w:t>P</w:t>
      </w:r>
      <w:r w:rsidRPr="00D03F3E">
        <w:rPr>
          <w:color w:val="000000" w:themeColor="text1"/>
          <w:sz w:val="16"/>
          <w:szCs w:val="16"/>
        </w:rPr>
        <w:t>) «Фердинанд». Все они имели усиленную бро</w:t>
      </w:r>
      <w:r w:rsidRPr="00D03F3E">
        <w:rPr>
          <w:color w:val="000000" w:themeColor="text1"/>
          <w:sz w:val="16"/>
          <w:szCs w:val="16"/>
        </w:rPr>
        <w:softHyphen/>
        <w:t>невую защиту и мощное вооружение. Массовое появление этих танков на фронте ожидалось ле</w:t>
      </w:r>
      <w:r w:rsidRPr="00D03F3E">
        <w:rPr>
          <w:color w:val="000000" w:themeColor="text1"/>
          <w:sz w:val="16"/>
          <w:szCs w:val="16"/>
        </w:rPr>
        <w:softHyphen/>
        <w:t>том 1943 г. Вопрос о резком повышении противо</w:t>
      </w:r>
      <w:r w:rsidRPr="00D03F3E">
        <w:rPr>
          <w:color w:val="000000" w:themeColor="text1"/>
          <w:sz w:val="16"/>
          <w:szCs w:val="16"/>
        </w:rPr>
        <w:softHyphen/>
        <w:t>танковых возможностей ВВС КА встал со всей остротой.</w:t>
      </w:r>
    </w:p>
    <w:p w14:paraId="6C05CDD5" w14:textId="77777777" w:rsidR="008E0A87" w:rsidRPr="00D03F3E" w:rsidRDefault="008E0A87"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 учетом этого ГКО принимает решение в поль</w:t>
      </w:r>
      <w:r w:rsidRPr="00D03F3E">
        <w:rPr>
          <w:color w:val="000000" w:themeColor="text1"/>
          <w:sz w:val="16"/>
          <w:szCs w:val="16"/>
        </w:rPr>
        <w:softHyphen/>
        <w:t>зу массового производства пушки 11 П. С этими пушками серийно решили выпускать двухместный Ил-2 (завод № 30 в Москве) и «танковый» вариант истребителя Як-9т (завод № 153 в Новосибирске) (17500).</w:t>
      </w:r>
    </w:p>
    <w:p w14:paraId="35B65945" w14:textId="77777777" w:rsidR="008E0A87" w:rsidRPr="00D03F3E" w:rsidRDefault="008E0A8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F8B6D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марта 1943 в НИИ ВВС закончились контрольные испытания Як-6 № 640102 з-да № 264, начавшиеся 18 марта, у которого по сравнению с опытным Як-6ыли:</w:t>
      </w:r>
    </w:p>
    <w:p w14:paraId="12EE11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Крыло сделано разъемным (прирост веса 120 кг),</w:t>
      </w:r>
    </w:p>
    <w:p w14:paraId="521D4B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Увеличена стреловидность крыла с 11 гр до 16.4 гр,</w:t>
      </w:r>
    </w:p>
    <w:p w14:paraId="48F556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Увеличена площадь РВ с 1.98 до 2.43 м,</w:t>
      </w:r>
    </w:p>
    <w:p w14:paraId="070908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правом борту сделан грузловой люк.</w:t>
      </w:r>
    </w:p>
    <w:p w14:paraId="008793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Поперечная устойчивость осталась прежней, но улучшились пилотажные свойства, машина стала удобней в жксплуатации. Вес вырос на 207 кг. Летал ви-л А.В.Синельников (4657, 18).</w:t>
      </w:r>
    </w:p>
    <w:p w14:paraId="6C3169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9F32A9"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марта</w:t>
      </w:r>
      <w:r w:rsidRPr="00D03F3E">
        <w:rPr>
          <w:rFonts w:ascii="Times New Roman" w:hAnsi="Times New Roman"/>
          <w:color w:val="000000" w:themeColor="text1"/>
          <w:sz w:val="16"/>
          <w:szCs w:val="16"/>
        </w:rPr>
        <w:t xml:space="preserve"> в 1943 году (начались 16 марта) завершены испытания модифицированного «Як-6» № 640102 завода №464 (ведущий инженер-летчик А.В.Синельников). Самолет имел следующие особенности по сравнению с опытным (приведены не полностью): изменения в конструкции в серийном производстве, разъемное крыло (которое вызвало повышение веса на 66 кг (из 147 кг общего его роста по сравнению с серийными «Як-6»), снижены путем дросселирования максимально допустимые обороты этого двигателя до 1760 об/мин, рекомендовано перейти на вновь выпускаемых самолетах к «М-11Д» и начать экспериментировать с винтами.</w:t>
      </w:r>
    </w:p>
    <w:p w14:paraId="7C67592E" w14:textId="77777777" w:rsidR="00530A1E" w:rsidRPr="00D03F3E" w:rsidRDefault="00530A1E"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color w:val="000000" w:themeColor="text1"/>
          <w:sz w:val="16"/>
          <w:szCs w:val="16"/>
        </w:rPr>
        <w:t>На снимке Як-6:</w:t>
      </w:r>
    </w:p>
    <w:p w14:paraId="23D5271C" w14:textId="77777777" w:rsidR="00530A1E" w:rsidRPr="00D03F3E" w:rsidRDefault="00530A1E" w:rsidP="00D03F3E">
      <w:pPr>
        <w:spacing w:after="0" w:line="240" w:lineRule="auto"/>
        <w:jc w:val="both"/>
        <w:rPr>
          <w:rFonts w:ascii="Times New Roman" w:hAnsi="Times New Roman"/>
          <w:bCs/>
          <w:color w:val="000000" w:themeColor="text1"/>
          <w:sz w:val="16"/>
          <w:szCs w:val="16"/>
        </w:rPr>
      </w:pPr>
    </w:p>
    <w:p w14:paraId="434A18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марта 1943 был шестой полет Би-1 на лыжах и летал Г.Я.Бахчиванджи (172,188).</w:t>
      </w:r>
    </w:p>
    <w:p w14:paraId="0C8CF5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A18A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был составлен акт окончания наземных испытаний БИ-3 и установлено, что машина готова для совместных испытаний (2928,17).</w:t>
      </w:r>
    </w:p>
    <w:p w14:paraId="4E4293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12D1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и 27 марта 1943 состоялись полеты БИ-3 (третьего) и в баки заливали 500 кг горючего. Задание: пробный полет на тяге 1100 кг. Левую ногу шасси пришлось подтягивать. На 2200 м достигли скорости 550 км/час. На 2200 м двигатель остановился и набрали 3000 м. летали 6 мин. 42 сек. Двигатель работал 77 сек. Потом испытания Би-2 и Би-3 оформили как совместные гос. и заводские испытания БИ конструкции Болховитинова производства завода 293 с ЖРД Д-1-А-1100 конструкции НИИ-3 (2928,16).</w:t>
      </w:r>
    </w:p>
    <w:p w14:paraId="4BED69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EE980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754C11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37E48A" w14:textId="77777777" w:rsidR="008E0A87" w:rsidRPr="00D03F3E" w:rsidRDefault="008E0A8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lastRenderedPageBreak/>
        <w:t>21 марта 1943 после устранения мелких неисправностей ИС-1 передали на государственные испытания. Начались они на следующий день. Первый пробег закончился поломкой главного фрикциона, машину на буксире доставили на завод № 100. В ходе ремонта выяснилось, что причиной поломки оказалось нарушение центровки мотора относительно коробки передач. После ремонта, который продолжался до 27 марта, танк преодолел 32 км со средней скоростью 21,4 км/ч, при этом дефектов не обнаружилось. В ходе дальнейших пробегов вновь проявились проблемы с рамой двигателя, также на семи траках возникли трещины.</w:t>
      </w:r>
    </w:p>
    <w:p w14:paraId="3547457F" w14:textId="77777777" w:rsidR="008E0A87" w:rsidRPr="00D03F3E" w:rsidRDefault="008E0A8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 перегревом системы охлаждения решили бороться радикальным способом. В начале апреля пластинчатый подковообразный радиатор заменили на трубчатый подковообразный. На стенде новая конструкция показала большую эффективность. Также в течение первой декады апреля переделке подверглись опорные катки. Выяснилось, что шариковые подшипники разрушались через 200 км пробега. Их заменили на конические, которые использовались в опорных катках КВ-1с.</w:t>
      </w:r>
    </w:p>
    <w:p w14:paraId="0A41D7EF" w14:textId="77777777" w:rsidR="008E0A87" w:rsidRPr="00D03F3E" w:rsidRDefault="008E0A8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По итогам первого этапа испытаний 5 апреля было подготовлено предварительное заключение государственной комиссии. В числе предложений, которые составила комиссия, фигурировало улучшение обзорности с места механика-водителя. Вместо смотровых приборов по периметру рубки предлагалось установить два перископа MK-IV. Ещё один перископ надлежало установить в крыше башни, для заряжающего. Также комиссия отметила удовлетворительную надёжность большинства элементов трансмиссии и, наоборот, низкое качество изготовления двигателей. Всего за время испытаний на ИС-1 двигатели меняли три раза (17688).</w:t>
      </w:r>
    </w:p>
    <w:p w14:paraId="1B05982F" w14:textId="77777777" w:rsidR="008E0A87" w:rsidRPr="00D03F3E" w:rsidRDefault="008E0A8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0AC0A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21-го марта 1943 года по результатам боевого применения производство СУ-76 было остановлено после выпуска 350 машин. В связи с предстоящей летней компанией ГКО установил очень жесткие сроки на устранение выявленных недостатков (3862).</w:t>
      </w:r>
    </w:p>
    <w:p w14:paraId="232C2D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E2BC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марта 1943 г. производство СУ-12 было остановлено до выяснения причин возникновения дефектов и путей их возможного устранения (6205, 14).</w:t>
      </w:r>
    </w:p>
    <w:p w14:paraId="45736B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процессе работы двух двигателей на общий вал необходимо было синхронизировать их обороты, так как иначе на валу возникали крутильные колебания, резонансная частота которых находилась в рабочем диапазоне оборотов мотора. Самое страшное, что ее пиковое значение приходилось как раз на наиболее нагруженный режим работы, соответствующий движению САУ на второй передаче по глубокому снегу и грязи. Надо было срочно найти способ устранения резонансов крутильных колебаний, чем и занялось спецбюро САУ и ОГК НКТП в целом. Работы велись по двум направлениям: гашение крутильных колебаний рабочего вала, или синхронизацию работы моторов (6205, 14).</w:t>
      </w:r>
    </w:p>
    <w:p w14:paraId="77F027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Синхронизация моторов, расположенных на расстоянии друг от друга, тем более когда между ними сидел механик-водитель, выливалась в отдельную проблему. Это было принчипиально возможно только в случае повторения пути горьковских танкостроителей - максимальному сближению моторных агрегатов, что вело к серьезной переделке конструкции САУ в целом, а значит - реальной и длительной остановке их выпуска в то время, как они остро требовались для предстоящих летом 1943 г. наступательных операций (6205, 14).</w:t>
      </w:r>
    </w:p>
    <w:p w14:paraId="531BD8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Поэтому С.А.Гинзбург и М.Щукин избрали другой путь - гашение резонансов крутильных колебаний на валу (6205, 14).</w:t>
      </w:r>
    </w:p>
    <w:p w14:paraId="6E3DD6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4E64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марта 1943 г. производство СУ-76 (СУ-12) было остановлено ввиду того, что машины имели конструктив</w:t>
      </w:r>
      <w:r w:rsidRPr="00D03F3E">
        <w:rPr>
          <w:rFonts w:ascii="Times New Roman" w:hAnsi="Times New Roman"/>
          <w:color w:val="000000" w:themeColor="text1"/>
          <w:sz w:val="16"/>
          <w:szCs w:val="16"/>
        </w:rPr>
        <w:softHyphen/>
        <w:t>ный дефект, для устранения которого требовалось время. Красная Армия рисковала какое-то время остаться без само</w:t>
      </w:r>
      <w:r w:rsidRPr="00D03F3E">
        <w:rPr>
          <w:rFonts w:ascii="Times New Roman" w:hAnsi="Times New Roman"/>
          <w:color w:val="000000" w:themeColor="text1"/>
          <w:sz w:val="16"/>
          <w:szCs w:val="16"/>
        </w:rPr>
        <w:softHyphen/>
        <w:t>ходной артиллерии, столь нужной для планировавшихся на</w:t>
      </w:r>
      <w:r w:rsidRPr="00D03F3E">
        <w:rPr>
          <w:rFonts w:ascii="Times New Roman" w:hAnsi="Times New Roman"/>
          <w:color w:val="000000" w:themeColor="text1"/>
          <w:sz w:val="16"/>
          <w:szCs w:val="16"/>
        </w:rPr>
        <w:softHyphen/>
        <w:t>ступательных операций. Поэтому, чтобы скомпенсировать вынужденное снижение объемов выпуска СУ-76, остро тре</w:t>
      </w:r>
      <w:r w:rsidRPr="00D03F3E">
        <w:rPr>
          <w:rFonts w:ascii="Times New Roman" w:hAnsi="Times New Roman"/>
          <w:color w:val="000000" w:themeColor="text1"/>
          <w:sz w:val="16"/>
          <w:szCs w:val="16"/>
        </w:rPr>
        <w:softHyphen/>
        <w:t>бовавшихся на фронте, и восполнить их количество, пока не будет восстановлено производство отечественной легкой САУ, была принята полумера. Заводу № 37, эвакуированно</w:t>
      </w:r>
      <w:r w:rsidRPr="00D03F3E">
        <w:rPr>
          <w:rFonts w:ascii="Times New Roman" w:hAnsi="Times New Roman"/>
          <w:color w:val="000000" w:themeColor="text1"/>
          <w:sz w:val="16"/>
          <w:szCs w:val="16"/>
        </w:rPr>
        <w:softHyphen/>
        <w:t>му в Свердловск, совместно с заводом № 592 (НКВ), кото</w:t>
      </w:r>
      <w:r w:rsidRPr="00D03F3E">
        <w:rPr>
          <w:rFonts w:ascii="Times New Roman" w:hAnsi="Times New Roman"/>
          <w:color w:val="000000" w:themeColor="text1"/>
          <w:sz w:val="16"/>
          <w:szCs w:val="16"/>
        </w:rPr>
        <w:softHyphen/>
        <w:t xml:space="preserve">рые располагались на смежных площадках, 5 февраля 1943 г. был дан заказ на изготовление 200 шт. 76-мм штурмовы) САУ на базе трофейного танка </w:t>
      </w:r>
      <w:r w:rsidRPr="00D03F3E">
        <w:rPr>
          <w:rFonts w:ascii="Times New Roman" w:hAnsi="Times New Roman"/>
          <w:color w:val="000000" w:themeColor="text1"/>
          <w:sz w:val="16"/>
          <w:szCs w:val="16"/>
          <w:lang w:val="en-US"/>
        </w:rPr>
        <w:t>PzKpfwIII</w:t>
      </w:r>
      <w:r w:rsidRPr="00D03F3E">
        <w:rPr>
          <w:rFonts w:ascii="Times New Roman" w:hAnsi="Times New Roman"/>
          <w:color w:val="000000" w:themeColor="text1"/>
          <w:sz w:val="16"/>
          <w:szCs w:val="16"/>
        </w:rPr>
        <w:t>.</w:t>
      </w:r>
    </w:p>
    <w:p w14:paraId="3B7DC8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Такое решение родилось не на пустом месте. Во-пер</w:t>
      </w:r>
      <w:r w:rsidRPr="00D03F3E">
        <w:rPr>
          <w:rFonts w:ascii="Times New Roman" w:hAnsi="Times New Roman"/>
          <w:color w:val="000000" w:themeColor="text1"/>
          <w:sz w:val="16"/>
          <w:szCs w:val="16"/>
        </w:rPr>
        <w:softHyphen/>
        <w:t>вых, после окончания Сталинградской битвы на ремонт</w:t>
      </w:r>
      <w:r w:rsidRPr="00D03F3E">
        <w:rPr>
          <w:rFonts w:ascii="Times New Roman" w:hAnsi="Times New Roman"/>
          <w:color w:val="000000" w:themeColor="text1"/>
          <w:sz w:val="16"/>
          <w:szCs w:val="16"/>
        </w:rPr>
        <w:softHyphen/>
        <w:t xml:space="preserve">ные предприятия НКТП и НКО было доставлено более 300 немецких средних танков Рг </w:t>
      </w:r>
      <w:r w:rsidRPr="00D03F3E">
        <w:rPr>
          <w:rFonts w:ascii="Times New Roman" w:hAnsi="Times New Roman"/>
          <w:color w:val="000000" w:themeColor="text1"/>
          <w:sz w:val="16"/>
          <w:szCs w:val="16"/>
          <w:lang w:val="en-US"/>
        </w:rPr>
        <w:t>III</w:t>
      </w:r>
      <w:r w:rsidRPr="00D03F3E">
        <w:rPr>
          <w:rFonts w:ascii="Times New Roman" w:hAnsi="Times New Roman"/>
          <w:color w:val="000000" w:themeColor="text1"/>
          <w:sz w:val="16"/>
          <w:szCs w:val="16"/>
        </w:rPr>
        <w:t xml:space="preserve"> и Рг </w:t>
      </w:r>
      <w:r w:rsidRPr="00D03F3E">
        <w:rPr>
          <w:rFonts w:ascii="Times New Roman" w:hAnsi="Times New Roman"/>
          <w:color w:val="000000" w:themeColor="text1"/>
          <w:sz w:val="16"/>
          <w:szCs w:val="16"/>
          <w:lang w:val="en-US"/>
        </w:rPr>
        <w:t>IV</w:t>
      </w:r>
      <w:r w:rsidRPr="00D03F3E">
        <w:rPr>
          <w:rFonts w:ascii="Times New Roman" w:hAnsi="Times New Roman"/>
          <w:color w:val="000000" w:themeColor="text1"/>
          <w:sz w:val="16"/>
          <w:szCs w:val="16"/>
        </w:rPr>
        <w:t>, которые можно бы</w:t>
      </w:r>
      <w:r w:rsidRPr="00D03F3E">
        <w:rPr>
          <w:rFonts w:ascii="Times New Roman" w:hAnsi="Times New Roman"/>
          <w:color w:val="000000" w:themeColor="text1"/>
          <w:sz w:val="16"/>
          <w:szCs w:val="16"/>
        </w:rPr>
        <w:softHyphen/>
        <w:t>ло привести «в божеский вид». Поэтому 3 февраля 1943 г. Наркомату вооружений было дано задание о рассмотрении вопроса перевооружения этой армады трофеев отечествен</w:t>
      </w:r>
      <w:r w:rsidRPr="00D03F3E">
        <w:rPr>
          <w:rFonts w:ascii="Times New Roman" w:hAnsi="Times New Roman"/>
          <w:color w:val="000000" w:themeColor="text1"/>
          <w:sz w:val="16"/>
          <w:szCs w:val="16"/>
        </w:rPr>
        <w:softHyphen/>
        <w:t>ными современными артиллерийскими системами.</w:t>
      </w:r>
    </w:p>
    <w:p w14:paraId="637010F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Основой для создания СУ-76 новой генерации должен был стать проект СУ- 122(Т-Ш) (11417).</w:t>
      </w:r>
    </w:p>
    <w:p w14:paraId="5D4855D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12A93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марта 1943 г. САУ на базе немецкого танка была рекомендована для принятия на вооружение под индексом СУ С-1, СУ-76(С-1), а производство СУ-76(СУ-12) остановлено.</w:t>
      </w:r>
    </w:p>
    <w:p w14:paraId="55F3A4E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Первые пять серийных СУ С-1 были отправлены в учебный самоходно-артиллерийский полк в пос. Клязьма 3 апреля 1943 г. Следующие — в учебный самоходно-ар-тиллерийский дивизион в пригородах Свердловска. За месяц службы машины «накатали» от 500 до 720 км и со</w:t>
      </w:r>
      <w:r w:rsidRPr="00D03F3E">
        <w:rPr>
          <w:rFonts w:ascii="Times New Roman" w:hAnsi="Times New Roman"/>
          <w:color w:val="000000" w:themeColor="text1"/>
          <w:sz w:val="16"/>
          <w:szCs w:val="16"/>
        </w:rPr>
        <w:softHyphen/>
        <w:t>действовали в обучении более 150 будущих самоходчиков.</w:t>
      </w:r>
    </w:p>
    <w:p w14:paraId="7F0B56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Отзывы о машине были неплохими, и только трудность запуска двигателя на морозе (для быстрого запуска, по воспоминанию ветеранов, порой приходилось заливать в карбюраторы горящий бензин) отмечалась всеми техни</w:t>
      </w:r>
      <w:r w:rsidRPr="00D03F3E">
        <w:rPr>
          <w:rFonts w:ascii="Times New Roman" w:hAnsi="Times New Roman"/>
          <w:color w:val="000000" w:themeColor="text1"/>
          <w:sz w:val="16"/>
          <w:szCs w:val="16"/>
        </w:rPr>
        <w:softHyphen/>
        <w:t>ками, как «недостаток первой важности».</w:t>
      </w:r>
    </w:p>
    <w:p w14:paraId="711047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временем по уточненным чертежам завод начал из</w:t>
      </w:r>
      <w:r w:rsidRPr="00D03F3E">
        <w:rPr>
          <w:rFonts w:ascii="Times New Roman" w:hAnsi="Times New Roman"/>
          <w:color w:val="000000" w:themeColor="text1"/>
          <w:sz w:val="16"/>
          <w:szCs w:val="16"/>
        </w:rPr>
        <w:softHyphen/>
        <w:t>готовление «фронтовой» серии из 20 САУ, которые, впро</w:t>
      </w:r>
      <w:r w:rsidRPr="00D03F3E">
        <w:rPr>
          <w:rFonts w:ascii="Times New Roman" w:hAnsi="Times New Roman"/>
          <w:color w:val="000000" w:themeColor="text1"/>
          <w:sz w:val="16"/>
          <w:szCs w:val="16"/>
        </w:rPr>
        <w:softHyphen/>
        <w:t>чем, также частично попали в учебные подразделения. Лишь с апреля 1943 г. СУ-76(С-1) начали поступать в войска.</w:t>
      </w:r>
    </w:p>
    <w:p w14:paraId="1899DD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Первые самоходки имели «спартанский» вид, но до</w:t>
      </w:r>
      <w:r w:rsidRPr="00D03F3E">
        <w:rPr>
          <w:rFonts w:ascii="Times New Roman" w:hAnsi="Times New Roman"/>
          <w:color w:val="000000" w:themeColor="text1"/>
          <w:sz w:val="16"/>
          <w:szCs w:val="16"/>
        </w:rPr>
        <w:softHyphen/>
        <w:t>вольно хорошую внешнюю отделку. Их боевая рубка была сварена из бронеплит толщиной 35 мм в лобовой части и 20 мм или 15 мм в бортах и корме. Крыша боевой рубки вы</w:t>
      </w:r>
      <w:r w:rsidRPr="00D03F3E">
        <w:rPr>
          <w:rFonts w:ascii="Times New Roman" w:hAnsi="Times New Roman"/>
          <w:color w:val="000000" w:themeColor="text1"/>
          <w:sz w:val="16"/>
          <w:szCs w:val="16"/>
        </w:rPr>
        <w:softHyphen/>
        <w:t>краивалась из цельного листа и крепилась болтами. Это об</w:t>
      </w:r>
      <w:r w:rsidRPr="00D03F3E">
        <w:rPr>
          <w:rFonts w:ascii="Times New Roman" w:hAnsi="Times New Roman"/>
          <w:color w:val="000000" w:themeColor="text1"/>
          <w:sz w:val="16"/>
          <w:szCs w:val="16"/>
        </w:rPr>
        <w:softHyphen/>
        <w:t>легчало доступ в боевое отделение САУ для проведения ре</w:t>
      </w:r>
      <w:r w:rsidRPr="00D03F3E">
        <w:rPr>
          <w:rFonts w:ascii="Times New Roman" w:hAnsi="Times New Roman"/>
          <w:color w:val="000000" w:themeColor="text1"/>
          <w:sz w:val="16"/>
          <w:szCs w:val="16"/>
        </w:rPr>
        <w:softHyphen/>
        <w:t>монта, но после боев лета 1943 г. на многих САУ крыша бы</w:t>
      </w:r>
      <w:r w:rsidRPr="00D03F3E">
        <w:rPr>
          <w:rFonts w:ascii="Times New Roman" w:hAnsi="Times New Roman"/>
          <w:color w:val="000000" w:themeColor="text1"/>
          <w:sz w:val="16"/>
          <w:szCs w:val="16"/>
        </w:rPr>
        <w:softHyphen/>
        <w:t>ла демонтирована для улучшения вентиляции (11417).</w:t>
      </w:r>
    </w:p>
    <w:p w14:paraId="61C456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31E36F"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марта</w:t>
      </w:r>
      <w:r w:rsidRPr="00D03F3E">
        <w:rPr>
          <w:rFonts w:ascii="Times New Roman" w:hAnsi="Times New Roman"/>
          <w:color w:val="000000" w:themeColor="text1"/>
          <w:sz w:val="16"/>
          <w:szCs w:val="16"/>
        </w:rPr>
        <w:t xml:space="preserve"> в 1943 году Красной Армии передается бронепоезд "Московский метрополитен", построенный на деньги работников московского метрополитена (15075).</w:t>
      </w:r>
    </w:p>
    <w:p w14:paraId="48EEF543" w14:textId="77777777" w:rsidR="00530A1E" w:rsidRPr="00D03F3E" w:rsidRDefault="00530A1E" w:rsidP="00D03F3E">
      <w:pPr>
        <w:spacing w:after="0" w:line="240" w:lineRule="auto"/>
        <w:jc w:val="both"/>
        <w:rPr>
          <w:rFonts w:ascii="Times New Roman" w:hAnsi="Times New Roman"/>
          <w:color w:val="000000" w:themeColor="text1"/>
          <w:sz w:val="16"/>
          <w:szCs w:val="16"/>
        </w:rPr>
      </w:pPr>
    </w:p>
    <w:p w14:paraId="1243E050" w14:textId="77777777" w:rsidR="00D92347" w:rsidRPr="00D03F3E" w:rsidRDefault="00D9234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марта 1943. Красной Армии передан бронепоезд "Красный метрополитен", построенный на деньги, собранные метрополитеновцами (18693).</w:t>
      </w:r>
    </w:p>
    <w:p w14:paraId="51010FCA" w14:textId="77777777" w:rsidR="00D92347" w:rsidRPr="00D03F3E" w:rsidRDefault="00D92347" w:rsidP="00D03F3E">
      <w:pPr>
        <w:spacing w:after="0" w:line="240" w:lineRule="auto"/>
        <w:jc w:val="both"/>
        <w:rPr>
          <w:rFonts w:ascii="Times New Roman" w:hAnsi="Times New Roman"/>
          <w:color w:val="000000" w:themeColor="text1"/>
          <w:sz w:val="16"/>
          <w:szCs w:val="16"/>
        </w:rPr>
      </w:pPr>
    </w:p>
    <w:p w14:paraId="30C791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марта 1943 вышло Распоряжение ГКО № 3060. О передаче НКЭС 44 станков и 4 прессов, не используемых на заводах НКВ, НКМВ и НКБ.РГАНИР, Фонд ГКО, д. 98, лл. 111, 112-113 (11012).</w:t>
      </w:r>
    </w:p>
    <w:p w14:paraId="731648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E13C45"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33D1EB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50BF71"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марта</w:t>
      </w:r>
      <w:r w:rsidRPr="00D03F3E">
        <w:rPr>
          <w:rFonts w:ascii="Times New Roman" w:hAnsi="Times New Roman"/>
          <w:color w:val="000000" w:themeColor="text1"/>
          <w:sz w:val="16"/>
          <w:szCs w:val="16"/>
        </w:rPr>
        <w:t xml:space="preserve"> в 1943 году утреннее сообщение Совинформбюро:</w:t>
      </w:r>
    </w:p>
    <w:p w14:paraId="0FCD17F6"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21 марта наши войска вели бои на прежних направлениях.</w:t>
      </w:r>
    </w:p>
    <w:p w14:paraId="4A1CFDE6"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продолжали вести наступательные бои и заняли несколько населённых пунктов. Бойцы Н-ской части в результате упорного боя овладели железнодорожной станцией Вадино. Взяты трофеи, в числе которых много оружия, брошенного немцами при отступлении. На другом участке фронта наши войска заняли сильно укреплённый немцами опорный пункт. В бою за этот пункт уничтожено свыше 200 немецких солдат и офицеров.</w:t>
      </w:r>
    </w:p>
    <w:p w14:paraId="55454FF9"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Н-ская часть отбила пять следовавших одна за другой контратак противника. Измотав немцев, наши бойцы штурмом заняли 6 населённых пунктов. Уничтожено до 400 гитлеровцев, 2 артиллерийские и 3 миномётные батареи противника. Зенитным огнём сбито 2 немецких самолёта.</w:t>
      </w:r>
    </w:p>
    <w:p w14:paraId="5F19E11E"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Чугуева наши войска продолжали вести ожесточённые оборонительные бои. Части Н-ского соединения, сдерживая натиск крупных сил пехоты и танков противника, подбили и сожгли 14 немецких танков и уничтожили до батальона гитлеровцев.</w:t>
      </w:r>
    </w:p>
    <w:p w14:paraId="7EDE17AF"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Ценою больших потерь противнику на одном участке удалось потеснить наши подразделения.</w:t>
      </w:r>
    </w:p>
    <w:p w14:paraId="293F81F9"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бомбили подходившие к линии фронта войска противника. В течение дня нашей авиацией уничтожено не менее 10 немецких танков и 60 автомашин с пехотой и грузами. В воздушных боях сбито 8 немецких самолётов.</w:t>
      </w:r>
    </w:p>
    <w:p w14:paraId="0469E86E"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озера Ильмень Н-ская часть выбила противника из укреплённых позиций. Стремясь восстановить положение, немцы перешли в контратаку, но были отброшены с большими для них потерями. На поле боя осталось до 300 вражеских трупов. Захвачены 5 противотанковых орудий, 17 пулемётов, 2 миномёта, много автоматов и винтовок.</w:t>
      </w:r>
    </w:p>
    <w:p w14:paraId="6E067590"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одном из районов Ровенской области, напали на немецкий гарнизон в населённом пункте. Советские патриоты истребили 60 гитлеровцев и взяли 15 пленных. Захвачено у противника 6 пулемётов, 40 винтовок и 10 тысяч патронов. Партизаны вернули населению 1.000 центнеров зерна, награбленного немцами у местных жителей.</w:t>
      </w:r>
    </w:p>
    <w:p w14:paraId="08D8F899"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селе Матвеев Курган, Ростовской области: «Отступая под ударами Красной Армии, немецкие оккупанты разрушили и сожгли в нашем селе 440 жилых домов, пять школ, театр, клуб, библиотеку, детские ясли, районную больницу и другие общественные здания. Тысячи жителей села теперь остались без крова. Фашистские людоеды замучили насмерть многих колхозников. Каждый день в разных местах села и его окрестностях обнаруживаются трупы советских граждан, растерзанных немцами. Гитлеровские бандиты зверски убили, замучили в нашем районе сотни честных советских людей. Закаждого из них мы будем мстить. Мы отомстим немецким захватчикам за кровь и слёзы наших матерей, отцов, жён и детей, за дикие, варварские разрушения». Акт подписали: председатель Курганского сельского совета Бощенко, председатели колхозов Коробка, Стаценко, командир партизанского отряда Косвяненко, работница типографии Молчанова и другие жители села.</w:t>
      </w:r>
    </w:p>
    <w:p w14:paraId="06C5ACA0"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Вооружённый отряд чешских патриотов совершил налёт на небольшой военный завод, расположенный в окрестностях Карлсбада. Патриоты разрушили связь, истребили немецкую охрану и подожгли здания. Огнём уничтожены три цеха, два склада с готовой продукцией, гараж и контора. В Брно произошёл взрыв в механическом цехе крупного военного предприятия. В районе Младо-Болеслава чешские железнодорожники пустили под откос немецкий поезд с вооружением.» (15075).</w:t>
      </w:r>
    </w:p>
    <w:p w14:paraId="687C1B96" w14:textId="77777777" w:rsidR="00530A1E" w:rsidRPr="00D03F3E" w:rsidRDefault="00530A1E" w:rsidP="00D03F3E">
      <w:pPr>
        <w:spacing w:after="0" w:line="240" w:lineRule="auto"/>
        <w:jc w:val="both"/>
        <w:rPr>
          <w:rFonts w:ascii="Times New Roman" w:hAnsi="Times New Roman"/>
          <w:color w:val="000000" w:themeColor="text1"/>
          <w:sz w:val="16"/>
          <w:szCs w:val="16"/>
        </w:rPr>
      </w:pPr>
    </w:p>
    <w:p w14:paraId="7C3B42CC"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марта</w:t>
      </w:r>
      <w:r w:rsidRPr="00D03F3E">
        <w:rPr>
          <w:rFonts w:ascii="Times New Roman" w:hAnsi="Times New Roman"/>
          <w:color w:val="000000" w:themeColor="text1"/>
          <w:sz w:val="16"/>
          <w:szCs w:val="16"/>
        </w:rPr>
        <w:t xml:space="preserve"> в 1943 году вечернее сообщение Совинформбюро:</w:t>
      </w:r>
    </w:p>
    <w:p w14:paraId="087E8F3D"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ожесточённых боёв по приказу Командования наши войска эвакуировали город Белгород. На других участках фронта наши войска вели бои на прежних направлениях.</w:t>
      </w:r>
    </w:p>
    <w:p w14:paraId="7A49C5D6"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14 по 20 марта включительно, в воздушных боях и на аэродромах противника уничтожено 8 немецких самолётов. Наши потери за это же время — 172 самолёта.</w:t>
      </w:r>
    </w:p>
    <w:p w14:paraId="7B37A929"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марта частями нашей авиации на различных участках фронта уничтожено или повреждено не менее 15 немецких танков, до 200 автомашин с войсками и грузами, подавлен огонь 10 батарей полевой и зенитной артиллерии, взорван склад боеприпасов, потоплен катер, рассеяно и частью уничтожено до батальона пехоты противника.</w:t>
      </w:r>
    </w:p>
    <w:p w14:paraId="21618501"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вели наступательные бои. Юго-западнее Холм-Жирковского части Н-ского соединения, преодолевая сопротивление противника, заняли несколько населённых пунктов. При взятии одного пункта истреблено до двух рот немецкой пехоты, захвачены 6 орудий, 3 миномёта и склад боеприпасов. На соседнем участке наши части продолжали бои за расширение плацдарма на западном берегу Днепра и заняли 12 населённых пунктов. Активно помогают частям КраснойАрмии партизаны. Группа партизан близ деревни Залазни устроила засаду в лесу. Открыв огонь по отходившему обозу противника, советские патриоты уничтожили группу немецких солдат. Захваченные в стычке с гитлеровцами трофеи партизаны передали бойцам Н-ской части.</w:t>
      </w:r>
    </w:p>
    <w:p w14:paraId="35383BA0"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Жиздры утром 19 марта противник, после артиллерийской подготовки атаковал наши позиции. Немцы ввели в бой крупные силы пехоты, танков и авиации. На подступах к советским оборонительным рубежам завязались ожесточённые бои. В первый же день был разгромлен 11 мотострелковый полк 9 немецкой танковой дивизии. Большие потери понесли и другие части противника. На следующий день немцы возобновили атаки, но успеха не добились. Наши войска прочно удерживаютсвои позиции и перемалывают живую силу и технику противника. За два дня боёв, по неполным данным, немцы потеряли только убитыми 2 тысячи солдат и офицеров. Подбито и сожжено несколько десятков немецких татов, уничтожено 27 орудий и 70пулемётов. Бои на этом участке продолжаются.</w:t>
      </w:r>
    </w:p>
    <w:p w14:paraId="49542ECF"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наши войска продолжали наступление. Бойцы Н-ской части овладели опорным пунктом обороны противника. На поле боя осталось свыше 150 вражеских трупов. Захвачены у противника артиллерийская батарея, 8 пулемётов, радиостанция и 13 повозок с боеприпасами.</w:t>
      </w:r>
    </w:p>
    <w:p w14:paraId="3D949231"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Чугуева наши войска вели ожесточённые оборонительные бои против танков и мотопехоты противника. За последние дни немцы понесли большие потери в людях и технике. Спешно подтягивая свежие силы, гитлеровцы с ходу бросают их в бой. В районе одного населённого пункта наши бойцы уничтожили 5 вражеских танков и до 200 немецких солдат и офицеров. На другом участке Н-ская часть в непрерывных трёхдневных боях с численно превосходящими силами противника уничтожила 30 танков и бронемашин и до батальона вражеской пехоты. Немцам удалось потеснить наши части и захватить населённый пункт. Последовавшей контратакой советские бойцы отбросили гитлеровцев и восстановили положение.</w:t>
      </w:r>
    </w:p>
    <w:p w14:paraId="07B93739"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бойцы Н-ской части ночью переправились через водный рубеж и, развивая успех, вклинились в глубину немецкой обороны. В это время соседние части начали обход противника с флангов. В ожесточённых боях наши войска заняли15 населённых пунктов, в том числе районный центр Петровская, превращенный немцами в сильно укреплённый опорный пункт. Потери противника и захваченные трофеи подсчитываются. Советские лётчики, активно поддерживая наземные войска, сбили в воздушных боях 15 немецких самолётов. Кроме того, огнём зенитной артиллерии уничтожено 6 самолётов противника.</w:t>
      </w:r>
    </w:p>
    <w:p w14:paraId="67883BE1" w14:textId="77777777" w:rsidR="00530A1E" w:rsidRPr="00D03F3E" w:rsidRDefault="00530A1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Гомельской области, внезапно напал на немецкий гарнизон, расположенный в большом селе. Партизаны истребили 130 вражеских солдат и офицеров и освободили 106 арестованных ненцами советских граждан. Партизанский отряд, действующий в одном из районов Полесской области, при выполнении боевого задания был обстрелян из замаскированного немецкого дзота. Отряду угрожала большая опасность. Партизанка Римма Шершнева бросилась вперёд и своим телом закрыла амбразуру дзота. Отважная патриотка погибла геройской смертью, но спасла командира отряда и других товарищей. Партизаны уничтожили засевших в дзоте гитлеровцев и успешно выполнили боевое задание.» (15075).</w:t>
      </w:r>
    </w:p>
    <w:p w14:paraId="706E0D16" w14:textId="77777777" w:rsidR="00530A1E" w:rsidRPr="00D03F3E" w:rsidRDefault="00530A1E" w:rsidP="00D03F3E">
      <w:pPr>
        <w:spacing w:after="0" w:line="240" w:lineRule="auto"/>
        <w:jc w:val="both"/>
        <w:rPr>
          <w:rFonts w:ascii="Times New Roman" w:hAnsi="Times New Roman"/>
          <w:color w:val="000000" w:themeColor="text1"/>
          <w:sz w:val="16"/>
          <w:szCs w:val="16"/>
        </w:rPr>
      </w:pPr>
    </w:p>
    <w:p w14:paraId="48F909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марта 1943 был подписан акт, в ко</w:t>
      </w:r>
      <w:r w:rsidRPr="00D03F3E">
        <w:rPr>
          <w:rFonts w:ascii="Times New Roman" w:hAnsi="Times New Roman"/>
          <w:color w:val="000000" w:themeColor="text1"/>
          <w:sz w:val="16"/>
          <w:szCs w:val="16"/>
        </w:rPr>
        <w:softHyphen/>
        <w:t>тором бригадный генерал Пети и представитель ВВС Красной Армии полковник С.Т. Левандович говорилось, что “инспекторская проверка боевой готовности эскадри</w:t>
      </w:r>
      <w:r w:rsidRPr="00D03F3E">
        <w:rPr>
          <w:rFonts w:ascii="Times New Roman" w:hAnsi="Times New Roman"/>
          <w:color w:val="000000" w:themeColor="text1"/>
          <w:sz w:val="16"/>
          <w:szCs w:val="16"/>
        </w:rPr>
        <w:softHyphen/>
        <w:t>льи Сражающейся Франции “Норман</w:t>
      </w:r>
      <w:r w:rsidRPr="00D03F3E">
        <w:rPr>
          <w:rFonts w:ascii="Times New Roman" w:hAnsi="Times New Roman"/>
          <w:color w:val="000000" w:themeColor="text1"/>
          <w:sz w:val="16"/>
          <w:szCs w:val="16"/>
        </w:rPr>
        <w:softHyphen/>
        <w:t>дия” (командир - майор Тюлян) произ</w:t>
      </w:r>
      <w:r w:rsidRPr="00D03F3E">
        <w:rPr>
          <w:rFonts w:ascii="Times New Roman" w:hAnsi="Times New Roman"/>
          <w:color w:val="000000" w:themeColor="text1"/>
          <w:sz w:val="16"/>
          <w:szCs w:val="16"/>
        </w:rPr>
        <w:softHyphen/>
        <w:t>водилась на северном аэродроме г. Иванове. Эскадрилья показала от</w:t>
      </w:r>
      <w:r w:rsidRPr="00D03F3E">
        <w:rPr>
          <w:rFonts w:ascii="Times New Roman" w:hAnsi="Times New Roman"/>
          <w:color w:val="000000" w:themeColor="text1"/>
          <w:sz w:val="16"/>
          <w:szCs w:val="16"/>
        </w:rPr>
        <w:softHyphen/>
        <w:t>личную готовность по всем элементам подготовки (групповая слетанность, высший пилотаж, воздушный бой, стрельба по конусу) и по своим боевым качествам и моральному состоянию пригодна к отправке на фронт” (3956).</w:t>
      </w:r>
    </w:p>
    <w:p w14:paraId="14FB58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8E103A"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2A113C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39239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марта 1943 Красной Армии передан бронепоезд “Московский метрополитен”, построенный на деньги работников московского метрополитена (4962).</w:t>
      </w:r>
    </w:p>
    <w:p w14:paraId="151787D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C3F6B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72DB89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40F72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марта 1943 провалилась попытка покушения на Гитлера - не взорвались две мины в карманах его шинели (4962).</w:t>
      </w:r>
    </w:p>
    <w:p w14:paraId="365649A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53F484" w14:textId="77777777" w:rsidR="00543831" w:rsidRPr="00D03F3E" w:rsidRDefault="005438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марта</w:t>
      </w:r>
      <w:r w:rsidRPr="00D03F3E">
        <w:rPr>
          <w:rFonts w:ascii="Times New Roman" w:hAnsi="Times New Roman"/>
          <w:color w:val="000000" w:themeColor="text1"/>
          <w:sz w:val="16"/>
          <w:szCs w:val="16"/>
        </w:rPr>
        <w:t xml:space="preserve"> в 1943 году проваливается попытка покушения на Адольфа Гитлера - не взорвались две мины в карманах его шинели (операция "Валькирия") (15075).</w:t>
      </w:r>
    </w:p>
    <w:p w14:paraId="5AD840EC" w14:textId="77777777" w:rsidR="00543831" w:rsidRPr="00D03F3E" w:rsidRDefault="00543831" w:rsidP="00D03F3E">
      <w:pPr>
        <w:spacing w:after="0" w:line="240" w:lineRule="auto"/>
        <w:jc w:val="both"/>
        <w:rPr>
          <w:rFonts w:ascii="Times New Roman" w:hAnsi="Times New Roman"/>
          <w:color w:val="000000" w:themeColor="text1"/>
          <w:sz w:val="16"/>
          <w:szCs w:val="16"/>
        </w:rPr>
      </w:pPr>
    </w:p>
    <w:p w14:paraId="353F76D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марта 1943 в Париже эксгумирован труп Катарины Лябурб, умершей за 67 лет до этого и не подвергшийся разложению (4962).</w:t>
      </w:r>
    </w:p>
    <w:p w14:paraId="5EBE555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DDD36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70347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D8A9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марта 1943 вышло Постановление ГКО N 3062 о выпуске учебных самолетов для ВВС и ВМФ в апреле 1943.</w:t>
      </w:r>
    </w:p>
    <w:p w14:paraId="09D8FF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Выполнение: в апреле выпущено УИл-2 - 26, УПе-2 - 12, Як-7В - 145 (462,24).</w:t>
      </w:r>
    </w:p>
    <w:p w14:paraId="64BCA4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EE98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марта 1943 вышло Постановление ГКО № 3063 О переводе завода № 45 НКАП на производство форсированных моторов АМ-38Ф.РГАНИР, Фонд ГКО, д. 98, лл. 128 (11012).</w:t>
      </w:r>
    </w:p>
    <w:p w14:paraId="635305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1602B4" w14:textId="77777777" w:rsidR="00EC198A" w:rsidRPr="00D03F3E" w:rsidRDefault="00EC198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марта 1943 вышло Постановление ГКО № 3063 О переводе завода № 45 НКАП на производство форсированных моторов АМ-38Ф</w:t>
      </w:r>
    </w:p>
    <w:p w14:paraId="7E726511" w14:textId="77777777" w:rsidR="00EC198A" w:rsidRPr="00D03F3E" w:rsidRDefault="00EC198A"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Государственный Комитет Обороны постановляет:</w:t>
      </w:r>
    </w:p>
    <w:p w14:paraId="059C276E" w14:textId="77777777" w:rsidR="00EC198A" w:rsidRPr="00D03F3E" w:rsidRDefault="00EC198A"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1. Обязать Наркомавиапром т.Шахурина и директора завода № 45 т.Комарова перевести завод № 45 на производ</w:t>
      </w:r>
      <w:r w:rsidRPr="00D03F3E">
        <w:rPr>
          <w:rFonts w:ascii="Times New Roman" w:cs="Times New Roman"/>
          <w:color w:val="000000" w:themeColor="text1"/>
          <w:spacing w:val="0"/>
          <w:sz w:val="16"/>
          <w:szCs w:val="16"/>
        </w:rPr>
        <w:softHyphen/>
        <w:t>ство форсированных моторов АМ-38Ф.</w:t>
      </w:r>
    </w:p>
    <w:p w14:paraId="52A160E1" w14:textId="77777777" w:rsidR="00EC198A" w:rsidRPr="00D03F3E" w:rsidRDefault="00EC198A"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Установить заводу № 45 программу выпуска моторов: в апреле с.г. - 16 штук моторов АН-38Ф и 166 штук мото</w:t>
      </w:r>
      <w:r w:rsidRPr="00D03F3E">
        <w:rPr>
          <w:rFonts w:ascii="Times New Roman" w:cs="Times New Roman"/>
          <w:color w:val="000000" w:themeColor="text1"/>
          <w:spacing w:val="0"/>
          <w:sz w:val="16"/>
          <w:szCs w:val="16"/>
        </w:rPr>
        <w:softHyphen/>
        <w:t>ров АМ-38, в мае - 96 штук моторов АМ-38Ф и 100 штук мото</w:t>
      </w:r>
      <w:r w:rsidRPr="00D03F3E">
        <w:rPr>
          <w:rFonts w:ascii="Times New Roman" w:cs="Times New Roman"/>
          <w:color w:val="000000" w:themeColor="text1"/>
          <w:spacing w:val="0"/>
          <w:sz w:val="16"/>
          <w:szCs w:val="16"/>
        </w:rPr>
        <w:softHyphen/>
        <w:t xml:space="preserve">ров АМ-38 и в июне месяце - </w:t>
      </w:r>
      <w:r w:rsidRPr="00D03F3E">
        <w:rPr>
          <w:rStyle w:val="0pt"/>
          <w:rFonts w:ascii="Times New Roman" w:cs="Times New Roman"/>
          <w:color w:val="000000" w:themeColor="text1"/>
          <w:spacing w:val="0"/>
          <w:sz w:val="16"/>
          <w:szCs w:val="16"/>
        </w:rPr>
        <w:t>220</w:t>
      </w:r>
      <w:r w:rsidRPr="00D03F3E">
        <w:rPr>
          <w:rFonts w:ascii="Times New Roman" w:cs="Times New Roman"/>
          <w:color w:val="000000" w:themeColor="text1"/>
          <w:spacing w:val="0"/>
          <w:sz w:val="16"/>
          <w:szCs w:val="16"/>
        </w:rPr>
        <w:t xml:space="preserve"> штук моторов АМ-38Ф.</w:t>
      </w:r>
    </w:p>
    <w:p w14:paraId="140E813E" w14:textId="77777777" w:rsidR="00EC198A" w:rsidRPr="00D03F3E" w:rsidRDefault="00EC198A"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 xml:space="preserve">С 1-го июня </w:t>
      </w:r>
      <w:r w:rsidRPr="00D03F3E">
        <w:rPr>
          <w:rStyle w:val="0pt"/>
          <w:rFonts w:ascii="Times New Roman" w:cs="Times New Roman"/>
          <w:color w:val="000000" w:themeColor="text1"/>
          <w:spacing w:val="0"/>
          <w:sz w:val="16"/>
          <w:szCs w:val="16"/>
        </w:rPr>
        <w:t>1943</w:t>
      </w:r>
      <w:r w:rsidRPr="00D03F3E">
        <w:rPr>
          <w:rFonts w:ascii="Times New Roman" w:cs="Times New Roman"/>
          <w:color w:val="000000" w:themeColor="text1"/>
          <w:spacing w:val="0"/>
          <w:sz w:val="16"/>
          <w:szCs w:val="16"/>
        </w:rPr>
        <w:t xml:space="preserve"> года выпуск моторов АМ-38 на заво</w:t>
      </w:r>
      <w:r w:rsidRPr="00D03F3E">
        <w:rPr>
          <w:rFonts w:ascii="Times New Roman" w:cs="Times New Roman"/>
          <w:color w:val="000000" w:themeColor="text1"/>
          <w:spacing w:val="0"/>
          <w:sz w:val="16"/>
          <w:szCs w:val="16"/>
        </w:rPr>
        <w:softHyphen/>
        <w:t>де № 45 полностью прекратить.</w:t>
      </w:r>
    </w:p>
    <w:p w14:paraId="0B80D169" w14:textId="77777777" w:rsidR="00EC198A" w:rsidRPr="00D03F3E" w:rsidRDefault="00EC198A"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2. Обязать директора эавода № 24 НКАП т.Жезлова оказать заводу № 45 техническую помощь в постановке производства моторов АМ-38Ф.</w:t>
      </w:r>
    </w:p>
    <w:p w14:paraId="67EE7139" w14:textId="77777777" w:rsidR="00EC198A" w:rsidRPr="00D03F3E" w:rsidRDefault="00EC198A"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3. Обязать Наркомстанкостроения т.Ефремова изгото</w:t>
      </w:r>
      <w:r w:rsidRPr="00D03F3E">
        <w:rPr>
          <w:rFonts w:ascii="Times New Roman" w:cs="Times New Roman"/>
          <w:color w:val="000000" w:themeColor="text1"/>
          <w:spacing w:val="0"/>
          <w:sz w:val="16"/>
          <w:szCs w:val="16"/>
        </w:rPr>
        <w:softHyphen/>
        <w:t>вить во 2-м квартале с.г. и поставить заводу № 45 НКАП по его спецификации специальный режущий и мерительный инструмент на сумму Ь00 тыс.рублей для оснастки мотора АМ-38Ф</w:t>
      </w:r>
    </w:p>
    <w:p w14:paraId="417A8DDF" w14:textId="77777777" w:rsidR="00EC198A" w:rsidRPr="00D03F3E" w:rsidRDefault="00EC198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4. Обязать Наркомфин СССР - т.Зверева выделить Наркомавиапрому из резервного фонда СНК СССР для эавода № 45 на постановку производства моторов АМ-38Ф - </w:t>
      </w:r>
      <w:r w:rsidRPr="00D03F3E">
        <w:rPr>
          <w:rStyle w:val="0pt"/>
          <w:rFonts w:ascii="Times New Roman" w:hAnsi="Times New Roman" w:cs="Times New Roman"/>
          <w:color w:val="000000" w:themeColor="text1"/>
          <w:spacing w:val="0"/>
          <w:sz w:val="16"/>
          <w:szCs w:val="16"/>
        </w:rPr>
        <w:t>2,5</w:t>
      </w:r>
      <w:r w:rsidRPr="00D03F3E">
        <w:rPr>
          <w:rFonts w:ascii="Times New Roman" w:hAnsi="Times New Roman"/>
          <w:color w:val="000000" w:themeColor="text1"/>
          <w:sz w:val="16"/>
          <w:szCs w:val="16"/>
        </w:rPr>
        <w:t xml:space="preserve"> рублей, в т.ч. 500 тыс. рублей на премирование отличившихся рабочих и ИТР (19389).</w:t>
      </w:r>
    </w:p>
    <w:p w14:paraId="15A168A6" w14:textId="77777777" w:rsidR="00D463B4" w:rsidRPr="00D03F3E" w:rsidRDefault="00D463B4"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386A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марта 1943 вышло Постановление ГКО № 3064 О ремонте самолетов и авиамоторов частей ВВС действующей армии и маршевых полков.РГАНИР, Фонд ГКО, д. 98, лл. 129-133 (11012).</w:t>
      </w:r>
    </w:p>
    <w:p w14:paraId="4B593F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F857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марта 1943 Дементьев писал дир. завода 23 Иосилович:</w:t>
      </w:r>
    </w:p>
    <w:p w14:paraId="07466D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обеспечения проведения летных испытаний Ил-4 с флюгерными винтами типа ВИШ-61ИФ изготовьте всю необходимую доп. арматуру для монтажа указанных винтов и их крепления по черт. ГК С.В.И.. Срок изготовления - 1 мая." (1767,64).</w:t>
      </w:r>
    </w:p>
    <w:p w14:paraId="33F66D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C3A7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22 марта 1943 вышло Постановление ГКО N 3064 о том, что на 6 ГУ НКАП возложен ремонт самолетов и авиамоторов частей ВВС действующей армии и маршевых </w:t>
      </w:r>
      <w:r w:rsidRPr="00D03F3E">
        <w:rPr>
          <w:rFonts w:ascii="Times New Roman" w:hAnsi="Times New Roman"/>
          <w:color w:val="000000" w:themeColor="text1"/>
          <w:sz w:val="16"/>
          <w:szCs w:val="16"/>
        </w:rPr>
        <w:lastRenderedPageBreak/>
        <w:t>полков (1779,169).</w:t>
      </w:r>
    </w:p>
    <w:p w14:paraId="5FF34B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AF57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марта 1943 Прошин на Як-1М с М-105ПФ в Чкаловском из-за перебоев работы мотора разбил машину (815,15).</w:t>
      </w:r>
    </w:p>
    <w:p w14:paraId="48BEAD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21CC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марта 1943 Дир. Завода 21 Агаджанов и ГК С.А.Л. писали письмо N 698с Зам. НКАП Дементьеву о том, что фронтовики предлагают облегчить Ла-5 и что это возможно на 170 кг до 3050 кг для специальных самолетов, предназначенных для роли охотников и составляющих 7-10% программы. Ссылались на опыт немцев и японцев. Просил разрешить сделать один (2519,83).</w:t>
      </w:r>
    </w:p>
    <w:p w14:paraId="69A9B8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1E4A65" w14:textId="77777777" w:rsidR="00543831" w:rsidRPr="00D03F3E" w:rsidRDefault="005438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22-24 марта 1943 г. лётчик-испытатель майор Г.А. Мищенко провёл краткие заводские испы</w:t>
      </w:r>
      <w:r w:rsidRPr="00D03F3E">
        <w:rPr>
          <w:rFonts w:ascii="Times New Roman" w:cs="Times New Roman"/>
          <w:color w:val="000000" w:themeColor="text1"/>
          <w:spacing w:val="0"/>
        </w:rPr>
        <w:softHyphen/>
        <w:t>тания «Дублёра».</w:t>
      </w:r>
    </w:p>
    <w:p w14:paraId="3818C91A" w14:textId="77777777" w:rsidR="00543831" w:rsidRPr="00D03F3E" w:rsidRDefault="005438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Второй Ла-5 с М-82ФНВ — «Дублёр» - конструктивно отличался от первого: на нём стояли металлические лонжероны крыла вместо деревянных, что облегчило машину, новый улучшенный по рекомендации ЦАГИ всасывающий патрубок, а вместо серийного выхлопного коллектора — сдвоенные и строенные инди</w:t>
      </w:r>
      <w:r w:rsidRPr="00D03F3E">
        <w:rPr>
          <w:rFonts w:ascii="Times New Roman" w:cs="Times New Roman"/>
          <w:color w:val="000000" w:themeColor="text1"/>
          <w:spacing w:val="0"/>
        </w:rPr>
        <w:softHyphen/>
        <w:t>видуальные выхлопные патрубки, снижавшие потери скоростного напора на всасыва</w:t>
      </w:r>
      <w:r w:rsidRPr="00D03F3E">
        <w:rPr>
          <w:rFonts w:ascii="Times New Roman" w:cs="Times New Roman"/>
          <w:color w:val="000000" w:themeColor="text1"/>
          <w:spacing w:val="0"/>
        </w:rPr>
        <w:softHyphen/>
        <w:t>нии и противодавление на выхлопе. Последнее мероприятие стало откликом на иссле</w:t>
      </w:r>
      <w:r w:rsidRPr="00D03F3E">
        <w:rPr>
          <w:rFonts w:ascii="Times New Roman" w:cs="Times New Roman"/>
          <w:color w:val="000000" w:themeColor="text1"/>
          <w:spacing w:val="0"/>
        </w:rPr>
        <w:softHyphen/>
        <w:t>дования падения мощности ВМГ, проведённые заводом № 19 в октябре—декабре 1942 г. В них констатировали, что серийный выхлопной коллектор Ла-5 «съедает» 1,5-3%, а на режиме взлёта — до 5% мощности. «Дублёр» быстро догнал по готовности 1-й экземпляр, а потом и обогнал его.</w:t>
      </w:r>
    </w:p>
    <w:p w14:paraId="29E7BE11" w14:textId="77777777" w:rsidR="00543831" w:rsidRPr="00D03F3E" w:rsidRDefault="005438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Результат получился ожидаемым: максимальная скорость у земли на номинале — 563, на форсаже — 598 км/ч, на 2-й границе высотности 6000 м — 650 км/ч. Срочно в Горький командировали от НИИ ВВС лётчика-испытателя-инженера А.И. Ника- шина. С 3 по 20 апреля он провёл контрольные испытания, подтвердив полученные ра</w:t>
      </w:r>
      <w:r w:rsidRPr="00D03F3E">
        <w:rPr>
          <w:rFonts w:ascii="Times New Roman" w:cs="Times New Roman"/>
          <w:color w:val="000000" w:themeColor="text1"/>
          <w:spacing w:val="0"/>
        </w:rPr>
        <w:softHyphen/>
        <w:t>нее цифры: максимальная скорость у земли на номинале — 562 и на форсаже — 595 км/ч, на 2-й границе высотности 6300 м — 648 км/ч, время набора 5000 м — 4,7 мин. (15813)</w:t>
      </w:r>
    </w:p>
    <w:p w14:paraId="3A7360ED" w14:textId="77777777" w:rsidR="00543831" w:rsidRPr="00D03F3E" w:rsidRDefault="00543831" w:rsidP="00D03F3E">
      <w:pPr>
        <w:pStyle w:val="27"/>
        <w:shd w:val="clear" w:color="auto" w:fill="auto"/>
        <w:spacing w:after="0" w:line="240" w:lineRule="auto"/>
        <w:ind w:firstLine="0"/>
        <w:rPr>
          <w:rFonts w:ascii="Times New Roman" w:cs="Times New Roman"/>
          <w:color w:val="000000" w:themeColor="text1"/>
          <w:spacing w:val="0"/>
        </w:rPr>
      </w:pPr>
    </w:p>
    <w:p w14:paraId="775A3A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марта 1943 г. Николай Николаевич был удостоен Сталинской премии первой степени «за создание нового образца боевого самолета». Да, государство высоко оце</w:t>
      </w:r>
      <w:r w:rsidRPr="00D03F3E">
        <w:rPr>
          <w:rFonts w:ascii="Times New Roman" w:hAnsi="Times New Roman"/>
          <w:color w:val="000000" w:themeColor="text1"/>
          <w:sz w:val="16"/>
          <w:szCs w:val="16"/>
        </w:rPr>
        <w:softHyphen/>
        <w:t>нило выдающийся вклад Поликарпова в развитие оте</w:t>
      </w:r>
      <w:r w:rsidRPr="00D03F3E">
        <w:rPr>
          <w:rFonts w:ascii="Times New Roman" w:hAnsi="Times New Roman"/>
          <w:color w:val="000000" w:themeColor="text1"/>
          <w:sz w:val="16"/>
          <w:szCs w:val="16"/>
        </w:rPr>
        <w:softHyphen/>
        <w:t>чественного самолетостроения. Но при этом почему-то вспоминается грустная история, которую поведал нар</w:t>
      </w:r>
      <w:r w:rsidRPr="00D03F3E">
        <w:rPr>
          <w:rFonts w:ascii="Times New Roman" w:hAnsi="Times New Roman"/>
          <w:color w:val="000000" w:themeColor="text1"/>
          <w:sz w:val="16"/>
          <w:szCs w:val="16"/>
        </w:rPr>
        <w:softHyphen/>
        <w:t>ком боеприпасов Б.Л.Ванников в своей книге «Записки наркома»:</w:t>
      </w:r>
    </w:p>
    <w:p w14:paraId="5B7A183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«...Однажды Сталин сказал мне по телефону, что по</w:t>
      </w:r>
      <w:r w:rsidRPr="00D03F3E">
        <w:rPr>
          <w:rFonts w:ascii="Times New Roman" w:hAnsi="Times New Roman"/>
          <w:color w:val="000000" w:themeColor="text1"/>
          <w:sz w:val="16"/>
          <w:szCs w:val="16"/>
        </w:rPr>
        <w:softHyphen/>
        <w:t>лучил от Н.А.Булганина сообщение об одном фронто</w:t>
      </w:r>
      <w:r w:rsidRPr="00D03F3E">
        <w:rPr>
          <w:rFonts w:ascii="Times New Roman" w:hAnsi="Times New Roman"/>
          <w:color w:val="000000" w:themeColor="text1"/>
          <w:sz w:val="16"/>
          <w:szCs w:val="16"/>
        </w:rPr>
        <w:softHyphen/>
        <w:t>вике, который очень легко переделал семизарядную винтовку в автоматическую.</w:t>
      </w:r>
    </w:p>
    <w:p w14:paraId="75FF19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Я дал указание, - сказал Сталин, - автора наградить за хорошее предложение, а за самовольную переделку оружия наказать несколькими днями ареста...».</w:t>
      </w:r>
    </w:p>
    <w:p w14:paraId="568B77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Фронтовая четверка И-185 еще не была отправлена в Москву. В наличии имелся восстанавливаемый после аварии «эталон» и «02». По указанию Поликарпова к проведению испытаний начали готовить И-185 № 6202 (02). Их должен был проводить летчик-испытатель пол</w:t>
      </w:r>
      <w:r w:rsidRPr="00D03F3E">
        <w:rPr>
          <w:rFonts w:ascii="Times New Roman" w:hAnsi="Times New Roman"/>
          <w:color w:val="000000" w:themeColor="text1"/>
          <w:sz w:val="16"/>
          <w:szCs w:val="16"/>
        </w:rPr>
        <w:softHyphen/>
        <w:t>ковник В.А.Степанченок (10667).</w:t>
      </w:r>
    </w:p>
    <w:p w14:paraId="3F69A0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3D0D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22 марта 1943 к Кубышкин на Ме-109 </w:t>
      </w:r>
      <w:r w:rsidRPr="00D03F3E">
        <w:rPr>
          <w:rFonts w:ascii="Times New Roman" w:hAnsi="Times New Roman"/>
          <w:color w:val="000000" w:themeColor="text1"/>
          <w:sz w:val="16"/>
          <w:szCs w:val="16"/>
          <w:lang w:val="en-US"/>
        </w:rPr>
        <w:t>G</w:t>
      </w:r>
      <w:r w:rsidRPr="00D03F3E">
        <w:rPr>
          <w:rFonts w:ascii="Times New Roman" w:hAnsi="Times New Roman"/>
          <w:color w:val="000000" w:themeColor="text1"/>
          <w:sz w:val="16"/>
          <w:szCs w:val="16"/>
        </w:rPr>
        <w:t xml:space="preserve">-2 № 13746 </w:t>
      </w:r>
      <w:r w:rsidRPr="00D03F3E">
        <w:rPr>
          <w:rFonts w:ascii="Times New Roman" w:hAnsi="Times New Roman"/>
          <w:color w:val="000000" w:themeColor="text1"/>
          <w:sz w:val="16"/>
          <w:szCs w:val="16"/>
          <w:lang w:val="en-US"/>
        </w:rPr>
        <w:t>DB</w:t>
      </w:r>
      <w:r w:rsidRPr="00D03F3E">
        <w:rPr>
          <w:rFonts w:ascii="Times New Roman" w:hAnsi="Times New Roman"/>
          <w:color w:val="000000" w:themeColor="text1"/>
          <w:sz w:val="16"/>
          <w:szCs w:val="16"/>
        </w:rPr>
        <w:t>-605Ь. При выполнении задания в воздухе упало давление масла. Л-к выключил мотор и произвел посадку на аэродром. В фильтре видно стружку. Разрушился подшипник к/в (производственный дефект) (751).</w:t>
      </w:r>
    </w:p>
    <w:p w14:paraId="0B4E24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DA7B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марта 1943 и 9 августа 1946 вышли приказы МАП №148 и №534, в соответствии с которыми в середине 1946 началась организация специального опытного завода в системе 7ГУ в соответствии с приказом №148 от 22.3.46 г. и №534 в г.Москве на базе бывшего завода №81 гл.к. С.А.Лавочкина для развития работ по установкам авиационного реактивного вооружения, стартовым самолетным ракетам и пиросистемам сбрасывания кресла летчика. Для размещения передана часть площадей на территории завода №381 НКАП и ангар НИСО.</w:t>
      </w:r>
    </w:p>
    <w:p w14:paraId="0BCAFC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самого начала завод становится двупрофильным. Сюда переведена кроме ОКБ-455 гл.к. И.И.Картукова еще группа конструкторов и производственников во главе с гл.к. И.П.Шебановым и зам. гл.к. В.И.Ермиловым, выделенная из состава ОКБ-43 МАП, переведена из НИИ-1 МАП группа конструкторов, занимавшаяся установками реактивных снарядов. </w:t>
      </w:r>
    </w:p>
    <w:p w14:paraId="05429C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Сначала было единое заводское ОКБ. В 1946-51 гг. И.П.Шебанов возглавлял это ОКБ и являлся одновременно директором завода, а И.И.Картуков - его заместителем. Далее И.П.Шебанова сняли с должности гл.к., разделено ОКБ и с 1951 г. В.П.Григорьев возглавил КБ-1, а И.И.Картуков - КБ-2. </w:t>
      </w:r>
    </w:p>
    <w:p w14:paraId="677A5E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КБ-1 проводились работы по пусковым установкам НАР, разовым бомбовым кассетам (типа РБК-250). С 1947 г. началось создание и изготовление подвесных устройств для реактивно-планирующих и реактивных АБ конструкции ГСКБ-47 МСХМ. Создан ряд образцов пусковых установок, балок и блоков НАР (блоки НАР ОРО-82 для ракет ТРС-82, ОРО-132 для ракет ТРС-132, ОРО-190, ОРО-212 для ракет ТРС-212), установка НАР для самолета Як-140, установка ПУ-21 для ракет АРС-212С, установка ПУ-12-40 для ракет АРС-240. Держатели "374", "398", "401" для АБ. Работы по оборудованию командных пунктов и наземных контрольных устройств для систем "Ураган" и "Даль". </w:t>
      </w:r>
    </w:p>
    <w:p w14:paraId="5C9292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1957 г. КБ-1 В.П.Григорьева было переведено на другую территорию и действовало как ОКБ-424 (см. Долгопрудненское КБ автоматических систем). </w:t>
      </w:r>
    </w:p>
    <w:p w14:paraId="7E1D01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Другое заводское КБ-2 (далее МКБ "Искра") - коллектив переведенного сюда ОКБ-455 МАП гл.к. И.И.Картукова. С 1947 г. начаты работы по новой тематике: стреляющим механизмам, Работы по химическим боеприпасам также некоторое время продолжались. Созданы морские химические ампулы "МХП", выливные химприборы ВАП-250РД, химические ампулы для РБК-250, дымовые разовые приборы. С 1950 г. в КБ развернулись работы по пороховым реактивным двигателям (ПРД) для различных ракет, по твердотопливным двигателям для катапультных кресел самолетов, по газогенераторам для баллонных систем подводных лодок. </w:t>
      </w:r>
    </w:p>
    <w:p w14:paraId="39BDF1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1955 г. КБ-2 слито с заводом и преобразовано в НПО. </w:t>
      </w:r>
    </w:p>
    <w:p w14:paraId="46EFCB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Основной конструкторский состав КБ: И.К.Савков, Е.А.Гуськов, А.А.Брауде, С.И.Чуб, А.С.Поздняков, Е.И.Хренов, С.В.Авдула, А.М.Носов, Г.М.Квятковский, В.М.Юшков и др. </w:t>
      </w:r>
    </w:p>
    <w:p w14:paraId="785E16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Созданы конструкции ПРД практически для всех отечественных ракет. В том числе для УРВВ: СНАРС-250 (ПРД-1200-9), К-8М (ПРД-25, изд."232-II" и ПРД-25СМ, изд."232-IIСМ"), Р-3С и Р-3Р (ПРД-80А), Р-13М (ПРД-240), ПРД-18-Р, ПРД-23М. Создан ряд стартовых ускорителей самолетов и ракет: ПРД-15 (изд."205") для "КС", СПРД-15М (изд."205II" и "220") для "Метеор", ускорители для ракет типа "10Х", ускорители ПР-1650-9 для ракет "Шторм", ускорители ПСР-1500-15 для самолета Ил-28, стартовые двигатели для ЗУР М-1, М-2, С-125, С-175, В-1000, противокорабельных ракет П-10, П-5, П-6, П-15, П-20, П-35, К-12, КСЩ, "Аметист". </w:t>
      </w:r>
    </w:p>
    <w:p w14:paraId="4C83F8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Гл.к. МКБ "Искра" вместо И.И.Картукова был Ю.К.Куликов (с 1993 г.). </w:t>
      </w:r>
    </w:p>
    <w:p w14:paraId="7DD30B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Отдельно от завода в Кузьминках Ухтомского р-на располагалась экспериментально-испытательная станция с лабораторией и мастерскими. </w:t>
      </w:r>
    </w:p>
    <w:p w14:paraId="247A08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к. 1950-х гг. предприятие действовало в системе 2ГУ и 7ГУ. С 1957 г. завод передан из 7ГУ в 6ГУ. </w:t>
      </w:r>
    </w:p>
    <w:p w14:paraId="78A9D3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Директорами завода были: И.П.Шебанов (до 1951 г.), А.И.Будников, В.П.Сонюшкин, Б.В.Плюснин, А.М.Бицкевич. </w:t>
      </w:r>
    </w:p>
    <w:p w14:paraId="26349B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2003 г. ОАО ”МКБ ”Искра” им. И.И. Картукова” входит в состав ОАО ”Корпорация ”Тактическое ракетное вооружение”. </w:t>
      </w:r>
    </w:p>
    <w:p w14:paraId="4B2BD9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Генеральный директор ОАО "МКБ "Искра" им. И.И.Картукова" - В.Быцкевич. </w:t>
      </w:r>
    </w:p>
    <w:p w14:paraId="6C55E0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Искра им. И.И.Картукова, МКБ, ОАО </w:t>
      </w:r>
    </w:p>
    <w:p w14:paraId="35812E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Ранее: ОКБ-145, ОКБ-455, КБ-2 завода №81, МКБ "Искра", НПО "Искра", ММЗ "Искра", МКБ ”Искра” им. И.И. Картукова </w:t>
      </w:r>
    </w:p>
    <w:p w14:paraId="37D69F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125284, Москва, Ленинградский просп., д. 35, т. 212-5351, ф. 945-1951, iskra-mkb@mtu-net.ru (10777).</w:t>
      </w:r>
    </w:p>
    <w:p w14:paraId="3FA6D3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08E8C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36D672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F68D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с 22 марта по 19 апреля 1943 года проводились испытания первого нового тяжелого танка, вооруженного 76,2-мм пушкой ЗИС-5, который получил обозначение ИС-1 с сохранением заводского индекса "Объект 233", и второго - со 122-мм танковой гаубицей У-11 в башне, заимствованной у опытного тяжелого танка КВ-9, который получил обозначение ИС-2 ("Объект 234"). Испытания прошли в целом удачно. Комиссия признала, что в результате более плотной компоновки, чем у КВ-1с, танки ИС имеют при меньшей массе более сильное бронирование и более высокую скорость движения при равноценном с ним вооружении у ИС-1 ("Объект 233") и более мощном у ИС-2 ("Объект 233")..</w:t>
      </w:r>
    </w:p>
    <w:p w14:paraId="1CA9E8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отмечались и серьезные дефекты, главным образом в моторно-трансмиссионной установке и ходовой части. На мягком грунте танки испытывали большое сопротивление движению за счет прогиба звеньев гусеницы в межкатковое пространство. Комиссия рекомендовала предусмотреть на следующих образцах ИС увеличение числа опорных катков..</w:t>
      </w:r>
    </w:p>
    <w:p w14:paraId="3D43B5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Параллельно с испытаниями на ЧКЗ, на заводе №100 и основных предприятиях-смежниках - УЗТМ и заводе №200 - полным ходом развернулась подготовка к серийному производству новых боевых машин. Но дальнейшие события заставили внести в нее весьма существенные коррективы. (3862).</w:t>
      </w:r>
    </w:p>
    <w:p w14:paraId="699557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58BDF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с 22 марта по 3 ап</w:t>
      </w:r>
      <w:r w:rsidRPr="00D03F3E">
        <w:rPr>
          <w:rFonts w:ascii="Times New Roman" w:hAnsi="Times New Roman"/>
          <w:color w:val="000000" w:themeColor="text1"/>
          <w:sz w:val="16"/>
          <w:szCs w:val="16"/>
        </w:rPr>
        <w:softHyphen/>
        <w:t>реля 1943 г. в районе Челябинска опытные образцы танков Объект 233 и Объект 234 были предъявлены на полигонные испытания. Одновременно с танками ИС проходил испытания и серийный танк КВ-1С. Танки ИС продемонстрировали лучшие боевые и технические характеристики, чем танк КВ-1 С, вследствие более удачной схемы ком</w:t>
      </w:r>
      <w:r w:rsidRPr="00D03F3E">
        <w:rPr>
          <w:rFonts w:ascii="Times New Roman" w:hAnsi="Times New Roman"/>
          <w:color w:val="000000" w:themeColor="text1"/>
          <w:sz w:val="16"/>
          <w:szCs w:val="16"/>
        </w:rPr>
        <w:softHyphen/>
        <w:t>поновки и установленных новых, более совершенных агрегатов транс</w:t>
      </w:r>
      <w:r w:rsidRPr="00D03F3E">
        <w:rPr>
          <w:rFonts w:ascii="Times New Roman" w:hAnsi="Times New Roman"/>
          <w:color w:val="000000" w:themeColor="text1"/>
          <w:sz w:val="16"/>
          <w:szCs w:val="16"/>
        </w:rPr>
        <w:softHyphen/>
        <w:t>миссии, таких, как коробка передач и планетарный двухступенчатый механизм поворота (ПМП). В результате более рациональной компо</w:t>
      </w:r>
      <w:r w:rsidRPr="00D03F3E">
        <w:rPr>
          <w:rFonts w:ascii="Times New Roman" w:hAnsi="Times New Roman"/>
          <w:color w:val="000000" w:themeColor="text1"/>
          <w:sz w:val="16"/>
          <w:szCs w:val="16"/>
        </w:rPr>
        <w:softHyphen/>
        <w:t>новки, по сравнению с танком КВ-1С, конструкторам удалось создать танк с лучшей броневой защитой, хорошей маневренностью, более вы</w:t>
      </w:r>
      <w:r w:rsidRPr="00D03F3E">
        <w:rPr>
          <w:rFonts w:ascii="Times New Roman" w:hAnsi="Times New Roman"/>
          <w:color w:val="000000" w:themeColor="text1"/>
          <w:sz w:val="16"/>
          <w:szCs w:val="16"/>
        </w:rPr>
        <w:softHyphen/>
        <w:t>сокой средней скоростью, при меньшей массе и равноценном вооруже</w:t>
      </w:r>
      <w:r w:rsidRPr="00D03F3E">
        <w:rPr>
          <w:rFonts w:ascii="Times New Roman" w:hAnsi="Times New Roman"/>
          <w:color w:val="000000" w:themeColor="text1"/>
          <w:sz w:val="16"/>
          <w:szCs w:val="16"/>
        </w:rPr>
        <w:softHyphen/>
        <w:t xml:space="preserve">нии у танка "Объект 233" и </w:t>
      </w:r>
      <w:r w:rsidRPr="00D03F3E">
        <w:rPr>
          <w:rFonts w:ascii="Times New Roman" w:hAnsi="Times New Roman"/>
          <w:color w:val="000000" w:themeColor="text1"/>
          <w:sz w:val="16"/>
          <w:szCs w:val="16"/>
        </w:rPr>
        <w:lastRenderedPageBreak/>
        <w:t>более мощном - у танка "Объект 234". Во время испытаний был выявлен ряд дефектов, основными из ко</w:t>
      </w:r>
      <w:r w:rsidRPr="00D03F3E">
        <w:rPr>
          <w:rFonts w:ascii="Times New Roman" w:hAnsi="Times New Roman"/>
          <w:color w:val="000000" w:themeColor="text1"/>
          <w:sz w:val="16"/>
          <w:szCs w:val="16"/>
        </w:rPr>
        <w:softHyphen/>
        <w:t>торых являлись: высокая температура воды в системе охлаждения; ко</w:t>
      </w:r>
      <w:r w:rsidRPr="00D03F3E">
        <w:rPr>
          <w:rFonts w:ascii="Times New Roman" w:hAnsi="Times New Roman"/>
          <w:color w:val="000000" w:themeColor="text1"/>
          <w:sz w:val="16"/>
          <w:szCs w:val="16"/>
        </w:rPr>
        <w:softHyphen/>
        <w:t>робление проставочного кольца главного фрикциона; недостаточная жесткость подмоторной рамы; разрушение однорядных роликовых под</w:t>
      </w:r>
      <w:r w:rsidRPr="00D03F3E">
        <w:rPr>
          <w:rFonts w:ascii="Times New Roman" w:hAnsi="Times New Roman"/>
          <w:color w:val="000000" w:themeColor="text1"/>
          <w:sz w:val="16"/>
          <w:szCs w:val="16"/>
        </w:rPr>
        <w:softHyphen/>
        <w:t>шипников опорных катков, в основном, передних (10703).</w:t>
      </w:r>
    </w:p>
    <w:p w14:paraId="647D3A5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334A7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22 марта по 3 апреля 1943 под Челя</w:t>
      </w:r>
      <w:r w:rsidRPr="00D03F3E">
        <w:rPr>
          <w:rFonts w:ascii="Times New Roman" w:hAnsi="Times New Roman"/>
          <w:color w:val="000000" w:themeColor="text1"/>
          <w:sz w:val="16"/>
          <w:szCs w:val="16"/>
        </w:rPr>
        <w:softHyphen/>
        <w:t>бинском проходили сравнительные полигонные испытания танков ИС-1, ИС-2 и КВ-1С. Планировалось тогда же продолжить испытания первого образца КВ-13, но отремонтировать его к заданно</w:t>
      </w:r>
      <w:r w:rsidRPr="00D03F3E">
        <w:rPr>
          <w:rFonts w:ascii="Times New Roman" w:hAnsi="Times New Roman"/>
          <w:color w:val="000000" w:themeColor="text1"/>
          <w:sz w:val="16"/>
          <w:szCs w:val="16"/>
        </w:rPr>
        <w:softHyphen/>
        <w:t>му сроку не успели (11135).</w:t>
      </w:r>
    </w:p>
    <w:p w14:paraId="51BC4F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 апреля ИС-1 прошел 489 км, ИС-2 (начал испыта</w:t>
      </w:r>
      <w:r w:rsidRPr="00D03F3E">
        <w:rPr>
          <w:rFonts w:ascii="Times New Roman" w:hAnsi="Times New Roman"/>
          <w:color w:val="000000" w:themeColor="text1"/>
          <w:sz w:val="16"/>
          <w:szCs w:val="16"/>
        </w:rPr>
        <w:softHyphen/>
        <w:t>ния 27 марта) — 405 км, КБ-1С — 475 км. Потомки «черто</w:t>
      </w:r>
      <w:r w:rsidRPr="00D03F3E">
        <w:rPr>
          <w:rFonts w:ascii="Times New Roman" w:hAnsi="Times New Roman"/>
          <w:color w:val="000000" w:themeColor="text1"/>
          <w:sz w:val="16"/>
          <w:szCs w:val="16"/>
        </w:rPr>
        <w:softHyphen/>
        <w:t>вой дюжины» по всем статьям превосходили КБ-1С. Но удручал тот факт, что при движении с максимальной ско</w:t>
      </w:r>
      <w:r w:rsidRPr="00D03F3E">
        <w:rPr>
          <w:rFonts w:ascii="Times New Roman" w:hAnsi="Times New Roman"/>
          <w:color w:val="000000" w:themeColor="text1"/>
          <w:sz w:val="16"/>
          <w:szCs w:val="16"/>
        </w:rPr>
        <w:softHyphen/>
        <w:t>ростью у танка ИС-2 ломались опорные катки и балансиры подвески. Поэтому еще до окончания испытаний комис</w:t>
      </w:r>
      <w:r w:rsidRPr="00D03F3E">
        <w:rPr>
          <w:rFonts w:ascii="Times New Roman" w:hAnsi="Times New Roman"/>
          <w:color w:val="000000" w:themeColor="text1"/>
          <w:sz w:val="16"/>
          <w:szCs w:val="16"/>
        </w:rPr>
        <w:softHyphen/>
        <w:t>сия пришла к таким выводам по танку ИС:</w:t>
      </w:r>
    </w:p>
    <w:p w14:paraId="403782E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 увеличить внутренний объем башни под пушку ка</w:t>
      </w:r>
      <w:r w:rsidRPr="00D03F3E">
        <w:rPr>
          <w:rFonts w:ascii="Times New Roman" w:hAnsi="Times New Roman"/>
          <w:color w:val="000000" w:themeColor="text1"/>
          <w:sz w:val="16"/>
          <w:szCs w:val="16"/>
        </w:rPr>
        <w:softHyphen/>
        <w:t>либра 122-мм (У-11);</w:t>
      </w:r>
    </w:p>
    <w:p w14:paraId="2CA528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сделать командирскую башенку единого типа; устано</w:t>
      </w:r>
      <w:r w:rsidRPr="00D03F3E">
        <w:rPr>
          <w:rFonts w:ascii="Times New Roman" w:hAnsi="Times New Roman"/>
          <w:color w:val="000000" w:themeColor="text1"/>
          <w:sz w:val="16"/>
          <w:szCs w:val="16"/>
        </w:rPr>
        <w:softHyphen/>
        <w:t>вить два смотровых прибора по типу МК-1Уу механика-во</w:t>
      </w:r>
      <w:r w:rsidRPr="00D03F3E">
        <w:rPr>
          <w:rFonts w:ascii="Times New Roman" w:hAnsi="Times New Roman"/>
          <w:color w:val="000000" w:themeColor="text1"/>
          <w:sz w:val="16"/>
          <w:szCs w:val="16"/>
        </w:rPr>
        <w:softHyphen/>
        <w:t>дителя и один смотровой прибор в командирской башенке;</w:t>
      </w:r>
    </w:p>
    <w:p w14:paraId="5700BE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повысить качество сборки двигателей;</w:t>
      </w:r>
    </w:p>
    <w:p w14:paraId="52A17F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продолжить испытания танков ИС-1 и ИС-2 до гаран</w:t>
      </w:r>
      <w:r w:rsidRPr="00D03F3E">
        <w:rPr>
          <w:rFonts w:ascii="Times New Roman" w:hAnsi="Times New Roman"/>
          <w:color w:val="000000" w:themeColor="text1"/>
          <w:sz w:val="16"/>
          <w:szCs w:val="16"/>
        </w:rPr>
        <w:softHyphen/>
        <w:t>тийного километража (не менее 500км);</w:t>
      </w:r>
    </w:p>
    <w:p w14:paraId="1893BF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немедленно устранить отмеченные дефекты;</w:t>
      </w:r>
    </w:p>
    <w:p w14:paraId="77360B3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ускорить изготовление установочной партии ИС-1 «объект 233» и ИС-2 «объект 234» в количестве 10шт., запу</w:t>
      </w:r>
      <w:r w:rsidRPr="00D03F3E">
        <w:rPr>
          <w:rFonts w:ascii="Times New Roman" w:hAnsi="Times New Roman"/>
          <w:color w:val="000000" w:themeColor="text1"/>
          <w:sz w:val="16"/>
          <w:szCs w:val="16"/>
        </w:rPr>
        <w:softHyphen/>
        <w:t>щенной в производство ЧКЗ, не дожидаясь результатов ис</w:t>
      </w:r>
      <w:r w:rsidRPr="00D03F3E">
        <w:rPr>
          <w:rFonts w:ascii="Times New Roman" w:hAnsi="Times New Roman"/>
          <w:color w:val="000000" w:themeColor="text1"/>
          <w:sz w:val="16"/>
          <w:szCs w:val="16"/>
        </w:rPr>
        <w:softHyphen/>
        <w:t>пытаний с целью проверки технологии, срочно устранив на этой партии все дефекты, отмеченные комиссией» (11135).</w:t>
      </w:r>
    </w:p>
    <w:p w14:paraId="6F59E2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52288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22 марта по 3 апреля 1943 г. опытный образец танка, получивший наименование "Иосиф Сталин № 1" (ИС № 1) прошел заводские испытания в районе Че</w:t>
      </w:r>
      <w:r w:rsidRPr="00D03F3E">
        <w:rPr>
          <w:rFonts w:ascii="Times New Roman" w:hAnsi="Times New Roman"/>
          <w:color w:val="000000" w:themeColor="text1"/>
          <w:sz w:val="16"/>
          <w:szCs w:val="16"/>
        </w:rPr>
        <w:softHyphen/>
        <w:t>лябинска. Дальнейшие работы по усовершенствованию опытного об</w:t>
      </w:r>
      <w:r w:rsidRPr="00D03F3E">
        <w:rPr>
          <w:rFonts w:ascii="Times New Roman" w:hAnsi="Times New Roman"/>
          <w:color w:val="000000" w:themeColor="text1"/>
          <w:sz w:val="16"/>
          <w:szCs w:val="16"/>
        </w:rPr>
        <w:softHyphen/>
        <w:t>разца привели к созданию танка "Объект 237". Опытный образец танка ИС № 1 был разработан и изготовлен на ба</w:t>
      </w:r>
      <w:r w:rsidRPr="00D03F3E">
        <w:rPr>
          <w:rFonts w:ascii="Times New Roman" w:hAnsi="Times New Roman"/>
          <w:color w:val="000000" w:themeColor="text1"/>
          <w:sz w:val="16"/>
          <w:szCs w:val="16"/>
        </w:rPr>
        <w:softHyphen/>
        <w:t>зе узлов и агрегатов второго варианта среднего танка КВ-13 ("Объект 233") и поэтому имел то же заводское обозначение "Объект 233". В со</w:t>
      </w:r>
      <w:r w:rsidRPr="00D03F3E">
        <w:rPr>
          <w:rFonts w:ascii="Times New Roman" w:hAnsi="Times New Roman"/>
          <w:color w:val="000000" w:themeColor="text1"/>
          <w:sz w:val="16"/>
          <w:szCs w:val="16"/>
        </w:rPr>
        <w:softHyphen/>
        <w:t>став экипажа входили четыре человека. Боевая машина имела классиче</w:t>
      </w:r>
      <w:r w:rsidRPr="00D03F3E">
        <w:rPr>
          <w:rFonts w:ascii="Times New Roman" w:hAnsi="Times New Roman"/>
          <w:color w:val="000000" w:themeColor="text1"/>
          <w:sz w:val="16"/>
          <w:szCs w:val="16"/>
        </w:rPr>
        <w:softHyphen/>
        <w:t>скую схему общей компоновки (10703).</w:t>
      </w:r>
    </w:p>
    <w:p w14:paraId="78E9A4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598E9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22 марта по 3 апреля 1943 г. Опыт</w:t>
      </w:r>
      <w:r w:rsidRPr="00D03F3E">
        <w:rPr>
          <w:rFonts w:ascii="Times New Roman" w:hAnsi="Times New Roman"/>
          <w:color w:val="000000" w:themeColor="text1"/>
          <w:sz w:val="16"/>
          <w:szCs w:val="16"/>
        </w:rPr>
        <w:softHyphen/>
        <w:t>ный образец танка, получивший наименование "Иосиф Сталин № 2" (ИС № 2), прошел заводские испытания в районе Челябинска. Дальнейшие работы по усо</w:t>
      </w:r>
      <w:r w:rsidRPr="00D03F3E">
        <w:rPr>
          <w:rFonts w:ascii="Times New Roman" w:hAnsi="Times New Roman"/>
          <w:color w:val="000000" w:themeColor="text1"/>
          <w:sz w:val="16"/>
          <w:szCs w:val="16"/>
        </w:rPr>
        <w:softHyphen/>
        <w:t>вершенствованию опытного образца привели к созданию танка "Объект 237". Танк ИС № 2 был создан на базе узлов и агрегатов второго варианта среднего танка КВ-13 ("Объект 233") с использованием башни с воору</w:t>
      </w:r>
      <w:r w:rsidRPr="00D03F3E">
        <w:rPr>
          <w:rFonts w:ascii="Times New Roman" w:hAnsi="Times New Roman"/>
          <w:color w:val="000000" w:themeColor="text1"/>
          <w:sz w:val="16"/>
          <w:szCs w:val="16"/>
        </w:rPr>
        <w:softHyphen/>
        <w:t>жением от опытного танка КВ-9. Экипаж танка состоял из пяти чело</w:t>
      </w:r>
      <w:r w:rsidRPr="00D03F3E">
        <w:rPr>
          <w:rFonts w:ascii="Times New Roman" w:hAnsi="Times New Roman"/>
          <w:color w:val="000000" w:themeColor="text1"/>
          <w:sz w:val="16"/>
          <w:szCs w:val="16"/>
        </w:rPr>
        <w:softHyphen/>
        <w:t>век. Машина имела классическую схему общей компоновки. Корпус танка был разделен на четыре отделения: управления, боевое, моторное и трансмиссионное (10703).</w:t>
      </w:r>
    </w:p>
    <w:p w14:paraId="24BFC52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FBD0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марта 1943 года И.В. Курчатов направил М.Г. Первухину записку, в которой он изложил новый подход к решению проблемы создания атомной бомбы. Этот момент явился одним из переломных событий в истории создания атомной бомбы СССР. И.В. Курчатов отмечает, что в материалах разведданных, которыми он занимался, содержались отрывочные замечания о возможности использовать в урановом котле не только U-235, но и U-238, и возможном использовании продуктов сгорания U-238 в качестве материала для бомбы вместо U-235. В связи с этим И.В. Курчатов внимательно рассмотрел последние из опубликованных специалистами США работ по трансурановым элементам (эка-рению-239 и эка-осмию-239) и установил новое направление в решении всей проблемы, обусловленное особенностями трансурановых элементов (10549).</w:t>
      </w:r>
    </w:p>
    <w:p w14:paraId="368220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32D2C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марта 1943 вышло Постановление ГКО № 3061 О завозе топлива Наркомречфлоту к началу навигации 1943 года. (7090, 114-115,116-123).</w:t>
      </w:r>
    </w:p>
    <w:p w14:paraId="6DCC69F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0919F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марта 1943 вышло Постановление ГКО № 3065 О строительстве обходного пути на железнодорожной линии Жихарево - Шлиссельбург. (7090, 134).</w:t>
      </w:r>
    </w:p>
    <w:p w14:paraId="3636FE3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C34EC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3DB14C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E21CCF" w14:textId="77777777" w:rsidR="00543831" w:rsidRPr="00D03F3E" w:rsidRDefault="005438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22 марта</w:t>
      </w:r>
      <w:r w:rsidRPr="00D03F3E">
        <w:rPr>
          <w:rFonts w:ascii="Times New Roman" w:hAnsi="Times New Roman"/>
          <w:color w:val="000000" w:themeColor="text1"/>
          <w:sz w:val="16"/>
          <w:szCs w:val="16"/>
        </w:rPr>
        <w:t xml:space="preserve"> в 1943 году утреннее сообщение Совинформбюро:</w:t>
      </w:r>
    </w:p>
    <w:p w14:paraId="5E7807D1" w14:textId="77777777" w:rsidR="00543831" w:rsidRPr="00D03F3E" w:rsidRDefault="005438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22 марта наши войска вели бои на прежних направлениях.</w:t>
      </w:r>
    </w:p>
    <w:p w14:paraId="3DD0B5DE" w14:textId="77777777" w:rsidR="00543831" w:rsidRPr="00D03F3E" w:rsidRDefault="005438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продолжали наступление, заняли ряд населённых пунктов и железнодорожную станцию Дурово. На отдельных направлениях немцы переходили в контратаки, которые были отбиты с большими для них потерями. Только на одном участке бойцами Н-ской. части уничтожено до 200 гитлеровцев. Захвачено у противника 4 орудия, 5 миномётов, 13 пулемётов и много боеприпасов.</w:t>
      </w:r>
    </w:p>
    <w:p w14:paraId="0ADDD06E" w14:textId="77777777" w:rsidR="00543831" w:rsidRPr="00D03F3E" w:rsidRDefault="005438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наши части вели наступательные бои. Бойцы Н-ского соединения заняли два сильно укреплённых населённых пункта, в боях за которые подбито 2 немецких танка, уничтожено 5 противотанковых орудий и 17 автомашин. На улицах этих населённых пунктов подсчитано 275 трупов немецких солдат и офицеров. Захвачены трофеи и пленные. На другом участке отряд наших разведчиков ворвался внаселённый пункт и истребил находившихся в нём гитлеровцев. Разведчики взорвали два склада боеприпасов противника и без потерь вернулись в свою часть.</w:t>
      </w:r>
    </w:p>
    <w:p w14:paraId="7A91CA13" w14:textId="77777777" w:rsidR="00543831" w:rsidRPr="00D03F3E" w:rsidRDefault="005438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Чугуева наши войска продолжали вести ожесточённые оборонительныебои. Части Н-ского соединения отбили несколько атак противника, уничтожили 5танков и истребили до 400 немецких солдат и офицеров. На другом участке гитлеровцы много раз пытались потеснить наши подразделения и форсировать водный рубеж. Стойкой обороной наши бойцы отбили все атаки немцев. Гвардейцы под командованием тов. Козюлина в течение вчерашнего дня сожгли 3 немецких танка и уничтожили свыше роты пехоты противника.</w:t>
      </w:r>
    </w:p>
    <w:p w14:paraId="46022AFF" w14:textId="77777777" w:rsidR="00543831" w:rsidRPr="00D03F3E" w:rsidRDefault="005438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озера Ильмень подразделения Н-ской части ночью атаковали противника и выбили его из укреплённых позиций. На поле боя осталось свыше 100 вражеских трупов. Захвачены 7 пулемётов, 2 миномёта и склад боеприпасов. Разведчики под командованием тов. Кутузова пробрались в тыл противника, истребили 20 гитлеровцев и благополучно вернулись в свою часть.</w:t>
      </w:r>
    </w:p>
    <w:p w14:paraId="5C384849" w14:textId="77777777" w:rsidR="00543831" w:rsidRPr="00D03F3E" w:rsidRDefault="005438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лётчики в воздушных боях и на аэродромах противника уничтожили 22 немецких самолёта. Кроме того, огнём зенитной артиллерии сбито 12 самолётов противника.</w:t>
      </w:r>
    </w:p>
    <w:p w14:paraId="7639F594" w14:textId="77777777" w:rsidR="00543831" w:rsidRPr="00D03F3E" w:rsidRDefault="005438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Боевской области, за неделю боевых действий нанёс серьёзные потери батальону немецкой полевой жандармерии. За это же время советские патриоты взорвали несколько мостов, уничтожили паровоз и сожгли 82 железнодорожные цистерны, часть которых была с горючим. Партизаны захватили у противника 18 пулемётов, 107 винтовок, 12 пистолетов и много боеприпасов.</w:t>
      </w:r>
    </w:p>
    <w:p w14:paraId="288F1F89" w14:textId="77777777" w:rsidR="00543831" w:rsidRPr="00D03F3E" w:rsidRDefault="005438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учинили чудовищное злодеяние в деревне Ветчины, Полесской области, Белорусской ССР. Прибывший в деревню немецкий карательныйотряд согнал мужчин, женщин и детей в три больших сарая. Гитлеровские палачи подожгли сараи и живьём сожгли находившихся там людей. Тех, кто пытался бежать, немцы расстреливали из пулемётов. От рук фашистских извергов погибло большинство жителей деревни. Уцелели только те семьи, которые заблаговременно покинули деревню и ушли в леса.» (15076).</w:t>
      </w:r>
    </w:p>
    <w:p w14:paraId="15B98C7C" w14:textId="77777777" w:rsidR="00543831" w:rsidRPr="00D03F3E" w:rsidRDefault="00543831" w:rsidP="00D03F3E">
      <w:pPr>
        <w:spacing w:after="0" w:line="240" w:lineRule="auto"/>
        <w:jc w:val="both"/>
        <w:rPr>
          <w:rFonts w:ascii="Times New Roman" w:hAnsi="Times New Roman"/>
          <w:color w:val="000000" w:themeColor="text1"/>
          <w:sz w:val="16"/>
          <w:szCs w:val="16"/>
        </w:rPr>
      </w:pPr>
    </w:p>
    <w:p w14:paraId="0A4F2FFE" w14:textId="77777777" w:rsidR="00543831" w:rsidRPr="00D03F3E" w:rsidRDefault="005438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22 марта</w:t>
      </w:r>
      <w:r w:rsidRPr="00D03F3E">
        <w:rPr>
          <w:rFonts w:ascii="Times New Roman" w:hAnsi="Times New Roman"/>
          <w:color w:val="000000" w:themeColor="text1"/>
          <w:sz w:val="16"/>
          <w:szCs w:val="16"/>
        </w:rPr>
        <w:t xml:space="preserve"> в 1943 году вечернее сообщение Совинформбюро:</w:t>
      </w:r>
    </w:p>
    <w:p w14:paraId="1AF0C691" w14:textId="77777777" w:rsidR="00543831" w:rsidRPr="00D03F3E" w:rsidRDefault="005438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22 марта наши войска вели бои на прежних направлениях.</w:t>
      </w:r>
    </w:p>
    <w:p w14:paraId="21FE715C" w14:textId="77777777" w:rsidR="00543831" w:rsidRPr="00D03F3E" w:rsidRDefault="005438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марта частями нашей авиации на различных участках фронта уничтожено или повреждено до 20 немецких танков, свыше 100 автомашин с войсками и грузами, взорвано 6 складов боеприпасов, подавлен огонь 10 батарей полевой и зенитной артиллерии противника.</w:t>
      </w:r>
    </w:p>
    <w:p w14:paraId="394F913E" w14:textId="77777777" w:rsidR="00543831" w:rsidRPr="00D03F3E" w:rsidRDefault="005438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вели наступательные бои и заняли ряд населённых пунктов. Бойцы Н-ской части в результате напряжённых боёв отбросили противника с рубежа реки Днепр. Уничтожено до 400 немецких солдат и офицеров. Захвачены 4 орудия, пулемёты, винтовки, боеприпасы, 8 тягачей, 25 автомашин и другое военное имущество.</w:t>
      </w:r>
    </w:p>
    <w:p w14:paraId="3C83C18E" w14:textId="77777777" w:rsidR="00543831" w:rsidRPr="00D03F3E" w:rsidRDefault="005438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Жиздры артиллерийским и миномётным огнём, а также контрударами советской пехоты отбито несколько ожесточённых атак противника. В безуспешных попытках прорвать линии нашей обороны немцы несут тяжёлые потери. За три дня боёв на этом участке противник потерял только убитыми 5.500 солдат и офицеров. В воздушных боях и, огнём зенитной артиллерии сбито 11 немецких самолётов.</w:t>
      </w:r>
    </w:p>
    <w:p w14:paraId="25A529BF" w14:textId="77777777" w:rsidR="00543831" w:rsidRPr="00D03F3E" w:rsidRDefault="005438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наши войска, продолжая наступление, заняли 40 населённых пунктов. Особенно ожесточённые бои происходили в районе одной высоты, которую противник превратил в сильный узел сопротивления. Бойцы Н-ской части смелым манёвром расстроили оборону немцев и овладели высотой. Захвачены несколько немецких танков, врытых в землю, артиллерийские и миномётные батареи, а также другие трофеи.</w:t>
      </w:r>
    </w:p>
    <w:p w14:paraId="4C3F50F7" w14:textId="77777777" w:rsidR="00543831" w:rsidRPr="00D03F3E" w:rsidRDefault="005438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наши войска вели оборонительные бои против танков и мотопехоты противника. Попытки немцев прорваться через нашу оборону потерпели неудачу. Огнём частей Н-ского соединения противник был остановлен и понёс большие потери. Только на одном участке уничтожено до батальона гитлеровцев, подбито 8 и сожжено 5 немецких танков. В другом районе отбиты все атаки гитлеровцев, пытавшихся форсировать водный рубеж.</w:t>
      </w:r>
    </w:p>
    <w:p w14:paraId="3411DFA2" w14:textId="77777777" w:rsidR="00543831" w:rsidRPr="00D03F3E" w:rsidRDefault="005438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противник атаковал участок, который оборонялоподразделение тов. Пономарёва. Подпустив немцев на близкое расстояние, наши бойцы открыли залповый огонь и истребили свыше 100 гитлеровцев.</w:t>
      </w:r>
    </w:p>
    <w:p w14:paraId="2CBD23C4" w14:textId="77777777" w:rsidR="00543831" w:rsidRPr="00D03F3E" w:rsidRDefault="005438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Советские лётчики в воздушных боях сбили 4 и подбили 2 немецких самолёта.</w:t>
      </w:r>
    </w:p>
    <w:p w14:paraId="6F11EED7" w14:textId="77777777" w:rsidR="00543831" w:rsidRPr="00D03F3E" w:rsidRDefault="005438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Смоленской области, совершил нападение на немецких солдат, конвоировавших 300 мирных советских жителей на каторжные работы. Перебив конвой, партизаны освободили из фашистского плена советских граждан и захватили 8 автоматов и 40 винтовок. На следующий день отряд напал на немецкий карательный отряд. В результате боя партизаны истребили до 100 немецких солдат и офицеров.</w:t>
      </w:r>
    </w:p>
    <w:p w14:paraId="1E04A9BD" w14:textId="77777777" w:rsidR="00543831" w:rsidRPr="00D03F3E" w:rsidRDefault="005438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Учительница Татьяна Отлоблина из деревни Давыдково, Смоленской области, рассказала о зверствах немецко-фашистских мерзавцев: «3 марта немцы под угрозой расстрела погнали в тыл всех жителей деревень Давыдково, Астахове, Арденево, Тазово, Дровники, йурово, Черепки и других. На сборы нам дали десять минут. К часу ночи мы добрались до деревни Минкино и расположились на ночёвку под открытым небом. Трудно описать страдания, какие пришлось нам претерпеть. Не только дети, но и взрослые плакали. В час дня немцы подняли всех и погнали дальше. Они торопили, угрожали расстрелом, требуя, чтобы мы шли быстрее. Отстающих подгоняли ударами прикладов. Несколько раз немцы открывали стрельбу. Мы знали, что части Красной Армии находятся поблизости, и старались идти как можно медленнее. Когда мы подходили к селу Парево-Займище, совсем близко раздались крики «ура». Немецкие патрули тотчас же скрылись. Вся огромная толпа хлынула в землянки и блиндажи. Вскоре мы услышали родную русскую речь. В деревню вошли красноармейцы. Это была незабываемая встреча. Советские воины спасли нас от неминуемой страшной гибели» (15076).</w:t>
      </w:r>
    </w:p>
    <w:p w14:paraId="33F08669" w14:textId="77777777" w:rsidR="00543831" w:rsidRPr="00D03F3E" w:rsidRDefault="00543831" w:rsidP="00D03F3E">
      <w:pPr>
        <w:spacing w:after="0" w:line="240" w:lineRule="auto"/>
        <w:jc w:val="both"/>
        <w:rPr>
          <w:rFonts w:ascii="Times New Roman" w:hAnsi="Times New Roman"/>
          <w:color w:val="000000" w:themeColor="text1"/>
          <w:sz w:val="16"/>
          <w:szCs w:val="16"/>
        </w:rPr>
      </w:pPr>
    </w:p>
    <w:p w14:paraId="2D614050" w14:textId="77777777" w:rsidR="00DA42E7" w:rsidRPr="00D03F3E" w:rsidRDefault="00DA42E7"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March 22nd, 1943: German troops of Heeresgruppe Mitte recapture Belgorod (3819).</w:t>
      </w:r>
    </w:p>
    <w:p w14:paraId="06ED128F" w14:textId="77777777" w:rsidR="00DA42E7" w:rsidRPr="00D03F3E" w:rsidRDefault="00DA42E7"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FEDB517" w14:textId="77777777" w:rsidR="00DA42E7" w:rsidRPr="00D03F3E" w:rsidRDefault="00DA42E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марта 1943 Группа Центр отбила Белгород (3819).</w:t>
      </w:r>
    </w:p>
    <w:p w14:paraId="6D491596" w14:textId="77777777" w:rsidR="00DA42E7" w:rsidRPr="00D03F3E" w:rsidRDefault="00DA42E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CDFA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марта 1943 л Лидия Литвяк в районе Харькова была атакована 4 Ме-109 и сбила 2. Общее число побед до гибели 1 сентября составило 12 (2875).</w:t>
      </w:r>
    </w:p>
    <w:p w14:paraId="240A27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88640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марта 1943 вышло Постановление ГКО № 3062 О подготовке пилотов в школах ВВС Красной Армии и ВМФ в 1943 году. (7090, 124,125-127).</w:t>
      </w:r>
    </w:p>
    <w:p w14:paraId="6F723FA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FFCA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марта 1943 француз</w:t>
      </w:r>
      <w:r w:rsidRPr="00D03F3E">
        <w:rPr>
          <w:rFonts w:ascii="Times New Roman" w:hAnsi="Times New Roman"/>
          <w:color w:val="000000" w:themeColor="text1"/>
          <w:sz w:val="16"/>
          <w:szCs w:val="16"/>
        </w:rPr>
        <w:softHyphen/>
        <w:t>скую авиаэскадрилью Нормандия перебросили на Западный фронт, включив в состав 1-й воздушной армии. На небольшом аэ</w:t>
      </w:r>
      <w:r w:rsidRPr="00D03F3E">
        <w:rPr>
          <w:rFonts w:ascii="Times New Roman" w:hAnsi="Times New Roman"/>
          <w:color w:val="000000" w:themeColor="text1"/>
          <w:sz w:val="16"/>
          <w:szCs w:val="16"/>
        </w:rPr>
        <w:softHyphen/>
        <w:t>родроме Полотняный Завод, что непо</w:t>
      </w:r>
      <w:r w:rsidRPr="00D03F3E">
        <w:rPr>
          <w:rFonts w:ascii="Times New Roman" w:hAnsi="Times New Roman"/>
          <w:color w:val="000000" w:themeColor="text1"/>
          <w:sz w:val="16"/>
          <w:szCs w:val="16"/>
        </w:rPr>
        <w:softHyphen/>
        <w:t>далеку от Калуги (примерно в 150 км юго-западнее Москвы), она вошла в оперативное подчинение командира 204-й бомбардировочной авиадивизии полковника С.П.Андреева. И весной 1943 г., и в последующее время ВВС Красной Армии остро не хватало хоро</w:t>
      </w:r>
      <w:r w:rsidRPr="00D03F3E">
        <w:rPr>
          <w:rFonts w:ascii="Times New Roman" w:hAnsi="Times New Roman"/>
          <w:color w:val="000000" w:themeColor="text1"/>
          <w:sz w:val="16"/>
          <w:szCs w:val="16"/>
        </w:rPr>
        <w:softHyphen/>
        <w:t>шо подготовленных, опытных летчиков. Поэтому командующий армии генерал С.А.Худяков был благодарен судьбе за такое пополнение: средний налет французского пилота составлял 857 часов, что примерно втрое превосхо</w:t>
      </w:r>
      <w:r w:rsidRPr="00D03F3E">
        <w:rPr>
          <w:rFonts w:ascii="Times New Roman" w:hAnsi="Times New Roman"/>
          <w:color w:val="000000" w:themeColor="text1"/>
          <w:sz w:val="16"/>
          <w:szCs w:val="16"/>
        </w:rPr>
        <w:softHyphen/>
        <w:t>дило аналогичные показатели совет</w:t>
      </w:r>
      <w:r w:rsidRPr="00D03F3E">
        <w:rPr>
          <w:rFonts w:ascii="Times New Roman" w:hAnsi="Times New Roman"/>
          <w:color w:val="000000" w:themeColor="text1"/>
          <w:sz w:val="16"/>
          <w:szCs w:val="16"/>
        </w:rPr>
        <w:softHyphen/>
        <w:t>ских летчиков-истребителей (3956).</w:t>
      </w:r>
    </w:p>
    <w:p w14:paraId="4BFDB2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A8DDB5" w14:textId="77777777" w:rsidR="00543831" w:rsidRPr="00D03F3E" w:rsidRDefault="005438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22 марта</w:t>
      </w:r>
      <w:r w:rsidRPr="00D03F3E">
        <w:rPr>
          <w:rFonts w:ascii="Times New Roman" w:hAnsi="Times New Roman"/>
          <w:color w:val="000000" w:themeColor="text1"/>
          <w:sz w:val="16"/>
          <w:szCs w:val="16"/>
        </w:rPr>
        <w:t xml:space="preserve"> в 1943 году на Западный фронт направлена французская авиаэскадрилья «Нормандия», позднее - полк "Нормандия - Неман" (майор Ж.Л.Тюлан). Эскадрилья формировалась на территории современной авиабазы ВТА "Иваново". 5 апреля начала боевые действия в составе 303-й истребительной авиадивизии 1-й воздушной армии (15076).</w:t>
      </w:r>
    </w:p>
    <w:p w14:paraId="0F4E4A8A" w14:textId="77777777" w:rsidR="00543831" w:rsidRPr="00D03F3E" w:rsidRDefault="00543831" w:rsidP="00D03F3E">
      <w:pPr>
        <w:spacing w:after="0" w:line="240" w:lineRule="auto"/>
        <w:jc w:val="both"/>
        <w:rPr>
          <w:rFonts w:ascii="Times New Roman" w:hAnsi="Times New Roman"/>
          <w:color w:val="000000" w:themeColor="text1"/>
          <w:sz w:val="16"/>
          <w:szCs w:val="16"/>
        </w:rPr>
      </w:pPr>
    </w:p>
    <w:p w14:paraId="498E45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марта 1943 французская эскадрилья перелетела на Полотняный Завод, расположенный в 20 км от Калуги. Первый вылет по тревоге на перехват выполнили 26 марта 1943 г. лейтенант Раймонд Дервиль (Raymond Derville) и аспирант Аль- бер Дюран (Albert Durand). А 3 апреля четыре истребителя Як-1 впервые приняли участие в сопровождении пяти бомбардировщиков Пе-2. Всего через два дня - 5 апреля, - французские летчики приняли свой первый воздушный бой с 10 FW. 190.</w:t>
      </w:r>
    </w:p>
    <w:p w14:paraId="7200E6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апреля 1943 г. эскадрилья получила еще четыре самолета Як-1 для восполнения потерь. Но на самолетах этого типа ей пришлось летать недолго. В начале июля 1943 г. летчиков известили о перевооружении на истребители Як-9. К 19 июля 1943 г. летчиками Нормандии было сбито 30 немецких самолетов. Потери эскадрильи составили 11 летчиков. К августу эскадрилью развернули в полнокровный авиаполк на новом типе самолета. Оставшиеся 14 машин Як-1 использовались в полку "Нормандия" до ноября для переучивания и тренировки вновь прибывших пилотов.</w:t>
      </w:r>
    </w:p>
    <w:p w14:paraId="279C7E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"Нормандия" из всех иностранных авиационных частей отличалась наибольшей активностью в боевых действиях. На Як-1 в ней выделялся Альбер Дюран, сбивший лично два и в группе один самолет противника. За ним следовал Марсель Лефевр (Marsel Lefevre), лично сбивший два самолета, и Ноэль Кастелен (Noel Castelain), сбивший лично один самолет и один в группе (12048).</w:t>
      </w:r>
    </w:p>
    <w:p w14:paraId="399D02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64AF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марта 1943 г. вышел ПРИКАЗ № 133 ОБ УСТАНОВЛЕНИИ ДЛЯ ЛЕТНОГО СОСТАВА НАДБАВКИ К ПОЛУЧАЕМОМУ СОДЕРЖАНИЮ А БОЕВОЙ ВЫЛЕТ НА РАЗВЕДКУ</w:t>
      </w:r>
    </w:p>
    <w:p w14:paraId="4CAF6D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Установить для летного состава истребительной, штурмовой и других видов боевой авиации, успешно выполняющего, наряду с основными задачами, задания по разведке противника, надбавку к получаемому содержанию в размере 50 рублей за каждый боевой вылет на разведку с тем, чтобы месячный основной оклад летчика по занимаемой должности вместе с надбавками не превышал оклада, установленного для разведывательной авиации приказом НКО 1942 г. № 0760.</w:t>
      </w:r>
    </w:p>
    <w:p w14:paraId="00FEC6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Командующему ВВС Красной Армии и начальнику Финансового управления при НКО дать указания по применению настоящего приказа.</w:t>
      </w:r>
    </w:p>
    <w:p w14:paraId="4903BB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Народный комиссар обороны</w:t>
      </w:r>
    </w:p>
    <w:p w14:paraId="2F3649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Маршал Советского Союза И. СТАЛИН </w:t>
      </w:r>
      <w:r w:rsidRPr="00D03F3E">
        <w:rPr>
          <w:rFonts w:ascii="Times New Roman" w:hAnsi="Times New Roman"/>
          <w:color w:val="000000" w:themeColor="text1"/>
          <w:sz w:val="16"/>
          <w:szCs w:val="16"/>
        </w:rPr>
        <w:t>(9844).</w:t>
      </w:r>
    </w:p>
    <w:p w14:paraId="509F49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D78D0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марта 1943 немецко-фашистскими карателями была сожжена деревня Хатынь Логойского района Минской области вместе со всеми её жителями (149 человек,в т.ч.75 детей).Чудом спаслись трое (4963 ).</w:t>
      </w:r>
    </w:p>
    <w:p w14:paraId="2D496D6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F7D7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марта 1943 немцы сожгли Хатынь. Погибло 149 чел., в т.ч. 75 детей (3398,120).</w:t>
      </w:r>
    </w:p>
    <w:p w14:paraId="631028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EE5717" w14:textId="77777777" w:rsidR="00543831" w:rsidRPr="00D03F3E" w:rsidRDefault="005438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22 марта</w:t>
      </w:r>
      <w:r w:rsidRPr="00D03F3E">
        <w:rPr>
          <w:rFonts w:ascii="Times New Roman" w:hAnsi="Times New Roman"/>
          <w:color w:val="000000" w:themeColor="text1"/>
          <w:sz w:val="16"/>
          <w:szCs w:val="16"/>
        </w:rPr>
        <w:t xml:space="preserve"> в 1943 году произошла кровавая трагедия этого белорусского лесного поселка Хатынь в 26 дворов, когда отряд немецких карателей внезапно окружил деревню. Фашисты согнали хатынцев в сарай и подожгли его, а тех, кто пытался спастись от огня, расстреляли из пулеметов. 149 человек, из них 76 детей, навечно остались в этой адской могиле. Людских жертв фашистам оказалось мало: были сожжены дотла и опустевшие дома. Лишь одному из жителей деревни, Иосифу Иосифовичу Каминскому, чудом удалось спастись. Именно он, держащий мертвого сына на своих мускулистых руках, стал прототипом бронзовой скульптуры «Непокоренного человека» - смыслового и эмоционального центра мемориального комплекса «Хатынь». Сам мемориал был открыт в 1969 году. С тех пор людской поток по направлению к Хатыни не уменьшается. Авторам мемориала в композиционном решении, скульптурных формах удалось как нельзя лучше передать торжественно-траурную атмосферу этого священного для многих людей места. Создатели комплекса сохранили планировочную структуру бывшей деревни. Мемориал общей площадью в 50 гектаров включает отдельные элементы: Кладбище деревень (186 урн с землей сел, сожженных вместе с жителями и не восстановленных), Площадь памяти (в центре 3 березы, символизирующие жизнь), Стену скорби (блок с нишами, в которые вмонтированы мемориальные плиты с названиями 66 лагерей смерти), Древо жизни (с высеченным списком 433 деревень Беларуси, сожженных фашистами и восстановленных после войны). На этой тихой и величественной лесной поляне каждую минуту звонит колокол. Здесь вечером загораются светильники в память о каждой сожженной фашистами белорусской деревне (15076).</w:t>
      </w:r>
    </w:p>
    <w:p w14:paraId="3B900E15" w14:textId="77777777" w:rsidR="00543831" w:rsidRPr="00D03F3E" w:rsidRDefault="00543831" w:rsidP="00D03F3E">
      <w:pPr>
        <w:spacing w:after="0" w:line="240" w:lineRule="auto"/>
        <w:jc w:val="both"/>
        <w:rPr>
          <w:rFonts w:ascii="Times New Roman" w:hAnsi="Times New Roman"/>
          <w:color w:val="000000" w:themeColor="text1"/>
          <w:sz w:val="16"/>
          <w:szCs w:val="16"/>
        </w:rPr>
      </w:pPr>
    </w:p>
    <w:p w14:paraId="207917DE" w14:textId="77777777" w:rsidR="00DA42E7"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60956A20" w14:textId="77777777" w:rsidR="00DA42E7" w:rsidRPr="00D03F3E" w:rsidRDefault="00DA42E7"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153C98"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22 марта</w:t>
      </w:r>
      <w:r w:rsidRPr="00D03F3E">
        <w:rPr>
          <w:rFonts w:ascii="Times New Roman" w:hAnsi="Times New Roman"/>
          <w:color w:val="000000" w:themeColor="text1"/>
          <w:sz w:val="16"/>
          <w:szCs w:val="16"/>
        </w:rPr>
        <w:t xml:space="preserve"> в 1943 году британское правительство отменило направление очередного конвоя с военно-технической помощью СССР (15076).</w:t>
      </w:r>
    </w:p>
    <w:p w14:paraId="4CC26D6F" w14:textId="77777777" w:rsidR="00DA42E7" w:rsidRPr="00D03F3E" w:rsidRDefault="00DA42E7" w:rsidP="00D03F3E">
      <w:pPr>
        <w:spacing w:after="0" w:line="240" w:lineRule="auto"/>
        <w:jc w:val="both"/>
        <w:rPr>
          <w:rFonts w:ascii="Times New Roman" w:hAnsi="Times New Roman"/>
          <w:color w:val="000000" w:themeColor="text1"/>
          <w:sz w:val="16"/>
          <w:szCs w:val="16"/>
        </w:rPr>
      </w:pPr>
    </w:p>
    <w:p w14:paraId="59ED0979" w14:textId="77777777" w:rsidR="00DA42E7"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7591521A" w14:textId="77777777" w:rsidR="00DA42E7" w:rsidRPr="00D03F3E" w:rsidRDefault="00DA42E7"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07A5E8"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22 марта</w:t>
      </w:r>
      <w:r w:rsidRPr="00D03F3E">
        <w:rPr>
          <w:rFonts w:ascii="Times New Roman" w:hAnsi="Times New Roman"/>
          <w:color w:val="000000" w:themeColor="text1"/>
          <w:sz w:val="16"/>
          <w:szCs w:val="16"/>
        </w:rPr>
        <w:t xml:space="preserve"> в 1943 году поднялся в воздух первый прототип пикирующего бомбардировщика </w:t>
      </w:r>
      <w:hyperlink r:id="rId96" w:tgtFrame="_blank" w:history="1">
        <w:r w:rsidRPr="00D03F3E">
          <w:rPr>
            <w:rFonts w:ascii="Times New Roman" w:hAnsi="Times New Roman"/>
            <w:color w:val="000000" w:themeColor="text1"/>
            <w:sz w:val="16"/>
            <w:szCs w:val="16"/>
          </w:rPr>
          <w:t xml:space="preserve">«ХА-32» </w:t>
        </w:r>
      </w:hyperlink>
      <w:r w:rsidRPr="00D03F3E">
        <w:rPr>
          <w:rFonts w:ascii="Times New Roman" w:hAnsi="Times New Roman"/>
          <w:color w:val="000000" w:themeColor="text1"/>
          <w:sz w:val="16"/>
          <w:szCs w:val="16"/>
        </w:rPr>
        <w:t>(серийный номер 42-13568). Он не отличался выдающимися ТТХ, а по некоторым показателям уступал более ранним самолётам этого типа. Самолёт получился слишком тяжелым и ему явно недоставало энерговооруженности. В свете того, что в 1943 году в массовом производстве уже находились истребители-штурмовики «A-36A» "Apache" и «V-72» "Vengeance" от его дальнейшего совершенствования отказались. Программу «ХА-32» закрыли, отправив оба прототипа на слом (15076).</w:t>
      </w:r>
    </w:p>
    <w:p w14:paraId="377495DD" w14:textId="77777777" w:rsidR="00DA42E7" w:rsidRPr="00D03F3E" w:rsidRDefault="00DA42E7" w:rsidP="00D03F3E">
      <w:pPr>
        <w:spacing w:after="0" w:line="240" w:lineRule="auto"/>
        <w:jc w:val="both"/>
        <w:rPr>
          <w:rFonts w:ascii="Times New Roman" w:hAnsi="Times New Roman"/>
          <w:color w:val="000000" w:themeColor="text1"/>
          <w:sz w:val="16"/>
          <w:szCs w:val="16"/>
        </w:rPr>
      </w:pPr>
    </w:p>
    <w:p w14:paraId="0EA61E4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15E509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A5717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марта 1943 г. Письмом № 698с Лавочкин и директор завода № 21 Агаджанов просили разрешения выпустить облегченный до 3050 кг самолет Ла-5Ф с металлическими лонже</w:t>
      </w:r>
      <w:r w:rsidRPr="00D03F3E">
        <w:rPr>
          <w:rFonts w:ascii="Times New Roman" w:hAnsi="Times New Roman"/>
          <w:color w:val="000000" w:themeColor="text1"/>
          <w:sz w:val="16"/>
          <w:szCs w:val="16"/>
        </w:rPr>
        <w:softHyphen/>
        <w:t>ронами специально для «летчиков-охотников», ссылаясь на опыт немцев и японцев. Предполагалось в таком варианте сдавать 7-10% самолетов (11123).</w:t>
      </w:r>
    </w:p>
    <w:p w14:paraId="7BFE573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64BE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23 марта по 21 апреля 1943 в НИИ ВВС А.Кабанов испытывал Fw 200C-3/U2, захваченный 31 января 1943 у Гумрака. Потом в 1948 на машину поставили АШ-62ИР (2466,148).</w:t>
      </w:r>
    </w:p>
    <w:p w14:paraId="1EE4C0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AD47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марта 1943 г. вышел приказ НКАП:</w:t>
      </w:r>
    </w:p>
    <w:p w14:paraId="3A8AB8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«Начальнику ЭКБ КАИ тов. Румянцеву совместно с институтом химической физики АН СССР провести работы по применению форкамерного зажигания, предложенного институтом химической физики к авиационному мотору М-105 с целью получения параметров, необходимых для проектирования промышленного образца мотора типа М-105 с форкамерным зажиганием.</w:t>
      </w:r>
    </w:p>
    <w:p w14:paraId="76DD81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Стендовые испытания на моторе М-105ПФ закончить к 1.07.1943.</w:t>
      </w:r>
    </w:p>
    <w:p w14:paraId="2AC1B6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Разрешить директору завода № 22 Окулову передать КАИ печь ПН-11, круглошлифовальный станок модель 313 и плоскошлифовальный станок модель 371» (12049).</w:t>
      </w:r>
    </w:p>
    <w:p w14:paraId="6473F6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C2DFB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020E2B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05CF4B" w14:textId="77777777" w:rsidR="00FE3CBC" w:rsidRPr="00D03F3E" w:rsidRDefault="00FE3CBC" w:rsidP="00D03F3E">
      <w:pPr>
        <w:pStyle w:val="article-renderblock"/>
        <w:shd w:val="clear" w:color="auto" w:fill="FFFFFF"/>
        <w:spacing w:before="0" w:beforeAutospacing="0" w:after="0" w:afterAutospacing="0"/>
        <w:jc w:val="both"/>
        <w:rPr>
          <w:color w:val="0070C0"/>
          <w:sz w:val="16"/>
          <w:szCs w:val="16"/>
        </w:rPr>
      </w:pPr>
      <w:r w:rsidRPr="00D03F3E">
        <w:rPr>
          <w:color w:val="0070C0"/>
          <w:sz w:val="16"/>
          <w:szCs w:val="16"/>
        </w:rPr>
        <w:t>23 марта 1943 года на завод №40 было отправлено письмо из ГБТУ КА, в котором заводское КБ получало задание на изготовление модернизированного механизма горизонтального поворота башни Т-70. Требовалось увеличить скорость поворота башни до тех самых 10 градусов в секунду. Вот только не факт, что речь шла именно о ЗУТ-37. Как уже говорилось выше, на базе Т-70 был создан зенитный танк со спаркой пулеметов ДШКТ. По итогам более удачным оказался зенитный танк Т-90, которых собирались выпускать на шасси танка Т-80 (20346).</w:t>
      </w:r>
    </w:p>
    <w:p w14:paraId="0DEE31BD" w14:textId="77777777" w:rsidR="00FE3CBC" w:rsidRPr="00D03F3E" w:rsidRDefault="00FE3CBC" w:rsidP="00D03F3E">
      <w:pPr>
        <w:pStyle w:val="article-renderblock"/>
        <w:shd w:val="clear" w:color="auto" w:fill="FFFFFF"/>
        <w:spacing w:before="0" w:beforeAutospacing="0" w:after="0" w:afterAutospacing="0"/>
        <w:jc w:val="both"/>
        <w:rPr>
          <w:color w:val="0070C0"/>
          <w:sz w:val="16"/>
          <w:szCs w:val="16"/>
        </w:rPr>
      </w:pPr>
    </w:p>
    <w:p w14:paraId="74A5DA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марта 1943 года была подготовлена справка:</w:t>
      </w:r>
    </w:p>
    <w:p w14:paraId="19AF02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12 НК текстиля выпускает продукцию по элементам вооружения для НКВ (9269).</w:t>
      </w:r>
    </w:p>
    <w:p w14:paraId="69F755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8AA0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марта 1943 года вышел приказ № 97 НКВ</w:t>
      </w:r>
    </w:p>
    <w:p w14:paraId="713ECD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распоряжением СНК от 13 марта 1943 года за № 5521:</w:t>
      </w:r>
    </w:p>
    <w:p w14:paraId="117151A8"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Перевести из Свердловска в Москву ГСПИ-7 НКВ (9280).</w:t>
      </w:r>
    </w:p>
    <w:p w14:paraId="43565F7D"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39A26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марта 1943 года по Постановлению НКБ № 322 на площадку завода № 608 был перебазирован завод № 609, находившийся ранее в 25 км от завода № 608. К концу 1943 года завод имел 2 площадки.</w:t>
      </w:r>
    </w:p>
    <w:p w14:paraId="2BD1A7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Первая площадка – механическое производство.</w:t>
      </w:r>
    </w:p>
    <w:p w14:paraId="251B7F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Вторая площадка – снаряжение гранат.</w:t>
      </w:r>
    </w:p>
    <w:p w14:paraId="2B02CC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окончанию войны в 1945 году снаряжение прекратилось.</w:t>
      </w:r>
    </w:p>
    <w:p w14:paraId="2567E7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1950 году завод стал механическим и снаряжательным (10042).</w:t>
      </w:r>
    </w:p>
    <w:p w14:paraId="1E385F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A1C49D"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23 марта</w:t>
      </w:r>
      <w:r w:rsidRPr="00D03F3E">
        <w:rPr>
          <w:rFonts w:ascii="Times New Roman" w:hAnsi="Times New Roman"/>
          <w:color w:val="000000" w:themeColor="text1"/>
          <w:sz w:val="16"/>
          <w:szCs w:val="16"/>
        </w:rPr>
        <w:t xml:space="preserve"> в 1943 году эвакуированный в Свердловск Московский опытный шинный завод выпустил первую уральскую шину для грузового автомобиля ЗИС-5, приступив к изготовлению военной продукции танковой промышленности и нужд фронта. Ныне — ОАО "Уральский шинный завод" ("Уралшина") в составе ОАО "АК "СИБУР» (15077).</w:t>
      </w:r>
    </w:p>
    <w:p w14:paraId="2000A2AA" w14:textId="77777777" w:rsidR="00DA42E7" w:rsidRPr="00D03F3E" w:rsidRDefault="00DA42E7" w:rsidP="00D03F3E">
      <w:pPr>
        <w:spacing w:after="0" w:line="240" w:lineRule="auto"/>
        <w:jc w:val="both"/>
        <w:rPr>
          <w:rFonts w:ascii="Times New Roman" w:hAnsi="Times New Roman"/>
          <w:color w:val="000000" w:themeColor="text1"/>
          <w:sz w:val="16"/>
          <w:szCs w:val="16"/>
        </w:rPr>
      </w:pPr>
    </w:p>
    <w:p w14:paraId="536D0F53"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23 марта</w:t>
      </w:r>
      <w:r w:rsidRPr="00D03F3E">
        <w:rPr>
          <w:rFonts w:ascii="Times New Roman" w:hAnsi="Times New Roman"/>
          <w:color w:val="000000" w:themeColor="text1"/>
          <w:sz w:val="16"/>
          <w:szCs w:val="16"/>
        </w:rPr>
        <w:t xml:space="preserve"> в 1943 году выпустил первую продукцию (платину и палладий) Красноярский аффинажный завод (с 1967 г. Красноярский завод цветных металлов). С 1999 г. ОАО "Красцветмет" имени В.Н.Гулидова</w:t>
      </w:r>
    </w:p>
    <w:p w14:paraId="19F1CC81" w14:textId="77777777" w:rsidR="00DA42E7" w:rsidRPr="00D03F3E" w:rsidRDefault="00DA42E7" w:rsidP="00D03F3E">
      <w:pPr>
        <w:spacing w:after="0" w:line="240" w:lineRule="auto"/>
        <w:jc w:val="both"/>
        <w:rPr>
          <w:rFonts w:ascii="Times New Roman" w:hAnsi="Times New Roman"/>
          <w:color w:val="000000" w:themeColor="text1"/>
          <w:sz w:val="16"/>
          <w:szCs w:val="16"/>
        </w:rPr>
      </w:pPr>
    </w:p>
    <w:p w14:paraId="6C3F33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марта 1943 вышло Распоряжение ГКО № 3066. Об обеспечении танковых заводов обрезиненными катками и электроэнергией в марте 1943 г.РГАНИР, Фонд ГКО, д. 98, лл. 135 (11012).</w:t>
      </w:r>
    </w:p>
    <w:p w14:paraId="4F9B15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9B36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марта 1943 вышло Распоряжение ГКО № 3067. О частичном изменении плана добычи торфа по Чувашской АССР по сравнению с распоряжением ГКО № 2823 от 5 февраля 1943 г.РГАНИР, Фонд ГКО, д. 98, лл. 136 (11012).</w:t>
      </w:r>
    </w:p>
    <w:p w14:paraId="5C87F1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468D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марта 1943 вышло Постановление ГКО № 3068 О заготовке лома и отходов цветных металлов Наркомцветметом в 1943 году.РГАНИР, Фонд ГКО, д. 98, лл. 137-139, 140-141 (11012).</w:t>
      </w:r>
    </w:p>
    <w:p w14:paraId="3BBA3D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C3E3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марта 1943 вышло Постановление ГКО № 3069 О материально-техническом обеспечении плана производства запасных частей к тракторам во II квартале 1943 года на заводах Наркомсредмаша.РГАНИР, Фонд ГКО, д. 98, лл. 142-146, 147-154 (11012).</w:t>
      </w:r>
    </w:p>
    <w:p w14:paraId="5FF4C0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82C34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марта 1943 вышло Постановление ГКО № 3070 О строительстве ТЭЦ Сталинского алюминиевого завода Наркомцветмета. (7090, 155-159,160-168).</w:t>
      </w:r>
    </w:p>
    <w:p w14:paraId="7289A10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F3728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марта 1943 вышло Постановление ГКО № 3071 О мерах по дальнейшему развитию добычи и использованию природных газов в восточных районах СССР. (7090, 169-180,181-185).</w:t>
      </w:r>
    </w:p>
    <w:p w14:paraId="2A7D1E3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FD5C9B" w14:textId="77777777" w:rsidR="00DA42E7"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3ED66F5D" w14:textId="77777777" w:rsidR="00DA42E7" w:rsidRPr="00D03F3E" w:rsidRDefault="00DA42E7"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7B2072"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23 марта</w:t>
      </w:r>
      <w:r w:rsidRPr="00D03F3E">
        <w:rPr>
          <w:rFonts w:ascii="Times New Roman" w:hAnsi="Times New Roman"/>
          <w:color w:val="000000" w:themeColor="text1"/>
          <w:sz w:val="16"/>
          <w:szCs w:val="16"/>
        </w:rPr>
        <w:t xml:space="preserve"> в 1943 году утреннее сообщение Совинформбюро:</w:t>
      </w:r>
    </w:p>
    <w:p w14:paraId="65989133"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23 марта на фронте каких-либо существенных изменений не произошло.</w:t>
      </w:r>
    </w:p>
    <w:p w14:paraId="29073EED"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из участков Западного фронта наша часть уничтожила 4 немецких орудия, 5 станковых пулемётов, 4 миномёта, 20 повозок с военными грузами и захватила 3 орудия, 7 миномётов, 8 пулемётов и 25 автоматов. На другом участке гвардейская часть в последних боях уничтожила 5 офицеров, 47 унтер-офицеров и 870 солдат противника. Захвачены трофеи: 17 орудий, 10 миномётов, 23 станковых пулемёта, 10 противотанковых ружей, 36 грузовых и 6 легковых автомашин и другое военное имущество.</w:t>
      </w:r>
    </w:p>
    <w:p w14:paraId="1605C512"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части, действующие на отдельных участках Ленинградского фронта, за два дня боёв с гитлеровцами разрушили 8 вражеских ДЗОТов и блиндажей, уничтожили 10 станковых пулемётов и 2 миномётные батареи. Захвачены трофеи: 14 орудий, 49 пулемётов, 23 миномёта, 26 автоматов. 297 винтовок, 2 радиостанции, 27.000 винтовочных патронов, 3.500 мин и 5 ящиков с минами, 500 снарядов, склад с боеприпасами и обмундированием, 8 километров телефонного кабеля, противотанковые ружья, пистолеты и другое вооружение. Наполе боя осталось 1.600 вражеских трупов. Взяты пленные.</w:t>
      </w:r>
    </w:p>
    <w:p w14:paraId="7665F523"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некоторых участках Юго-Западного фронта противник неоднократно переходил в контратаки, которые отбиты с большими для него потерями. Только на одном из участков за два дня боёв гитлеровцы потеряли убитыми до 500 солдат и офицеров.</w:t>
      </w:r>
    </w:p>
    <w:p w14:paraId="407A495C"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Четыре наших лётчика, выполняя боевое задание, встретились в воздухе с 9 самолётами противника. Несмотря на численное превосходство врага, советские истребители стремительно атаковали немцев. Бой продолжался десять минут. Наши лётчики сбили пять немецких самолётов. Остальные повернули на запад. Два немецких самолёта сбил командир группы майор Зайцев, по одному самолёту сбили капитан Песков, лейтенант Дмитриев и старший лейтенант Бундилев. Все наши самолёты благополучно вернулись на свой аэродром.</w:t>
      </w:r>
    </w:p>
    <w:p w14:paraId="2E5D1BD3"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Отступая под ударами Красной Армии, гитлеровцы сжигают на своём пути деревни, а местное население угоняют с собой. Колхозники деревень К., В., Б. и Г., Калининской области, узнав о приближении отступающих немецких войск, обратились к командиру партизанского отряда тов. Ч. с просьбой спасти их от немецко-фашистских бандитов. Партизаны истребили немецкие гарнизоны в этих деревнях и вооружили трофейным оружием большую группу колхозников. Когда немецкий отряд численностью в 45 человек приблизился к деревне К., партизаны и вооружённые колхозники открыли по врагу огонь из пулемётов и винтовок. Потеряв 14 человек убитыми, в том числе лейтенанта и двух обер-ефрейторов, немцы отступили. Такая же участь постигла и второй, более крупный немецкий отряд. Основные немецкие силы, не вступая в бой с партизанами, обошли деревни. Так колхозники, действуя совместно с партизанами, отстояли свои селения и нанесли урон гитлеровцам. В боях с немецко-фашистскими оккупантами особенно отличились пулемётчица Татьяна Е. и учительница Клавдия О.</w:t>
      </w:r>
    </w:p>
    <w:p w14:paraId="4501397B"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Немецкий унтер-офицер Гифенбайн писал недавно своей жене: «При продвижении к фронту мы встречаем отбившихся немецких солдат, которым посчастливилось избежать смерти. С ужасом они рассказывают о боях. Не стану тебе описывать отдельные подробности. Всё, что я здесь видел и пережил, можно выразить в одном предложении: мы пошали в ад. Партизанская война в полном разгаре. Войдёшь в небольшую деревушку, а стреляют отовсюду... Мы потеряли много товарищей».</w:t>
      </w:r>
    </w:p>
    <w:p w14:paraId="5B06F6A1"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селе Голая Долина, Сталинской области, освобождённом от немецких захватчиков, в силосной яме обнаружено 10 трупов мужчин и женщин, зверски замученных гитлеровскими мерзавцами. У всех трупов имеются ножевые и огнестрельные ранения, отрезаны уши, вывернуты руки и ноги.» (15077).</w:t>
      </w:r>
    </w:p>
    <w:p w14:paraId="35305B40" w14:textId="77777777" w:rsidR="00DA42E7" w:rsidRPr="00D03F3E" w:rsidRDefault="00DA42E7" w:rsidP="00D03F3E">
      <w:pPr>
        <w:spacing w:after="0" w:line="240" w:lineRule="auto"/>
        <w:jc w:val="both"/>
        <w:rPr>
          <w:rFonts w:ascii="Times New Roman" w:hAnsi="Times New Roman"/>
          <w:color w:val="000000" w:themeColor="text1"/>
          <w:sz w:val="16"/>
          <w:szCs w:val="16"/>
        </w:rPr>
      </w:pPr>
    </w:p>
    <w:p w14:paraId="1B297B25"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23 марта</w:t>
      </w:r>
      <w:r w:rsidRPr="00D03F3E">
        <w:rPr>
          <w:rFonts w:ascii="Times New Roman" w:hAnsi="Times New Roman"/>
          <w:color w:val="000000" w:themeColor="text1"/>
          <w:sz w:val="16"/>
          <w:szCs w:val="16"/>
        </w:rPr>
        <w:t xml:space="preserve"> в 1943 году вечернее сообщение Совинформбюро:</w:t>
      </w:r>
    </w:p>
    <w:p w14:paraId="21660C91"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23 марта наши войска продолжали наступательные бои против немецко-фашистских войск. На некоторых участках фронта противник переходил в контратаки, которые нашими войсками были отбиты с тяжёлыми для противника потерями.</w:t>
      </w:r>
    </w:p>
    <w:p w14:paraId="62FCCD26"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21 марта уничтожено 53 немецких самолёта. Наши потери — 14 самолётов.</w:t>
      </w:r>
    </w:p>
    <w:p w14:paraId="175706AB"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21 марта частями нашей авиации уничтожено и повреждено 12 немецких танков, около 190 автомашин с войсками и грузами, 80 подвод с боеприпасами, 51 орудие, 8 зенитно-пулемётных точек, 30 миномётов, взорвано 8 железнодорожных вагонов и один паровоз, рассеяно и частью уничтожено до 2 батальонов пехоты противника.</w:t>
      </w:r>
    </w:p>
    <w:p w14:paraId="00A79C20"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части, действующие на одном из участков Калининского фронта, заняли несколько населённых пунктов. В боях за эти пункты противник потерял убитыми свыше 800 солдат и офицеров. Захвачены трофеи: 23 орудия, 59 пулемётов, 13 миномётов, 30 автомашин, большое количество винтовок и другого вооружения. Взяты пленные.</w:t>
      </w:r>
    </w:p>
    <w:p w14:paraId="391D2E79"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Стремясь задержать продвижение наших частей на одном из участков фронта в Крыму, немцы неоднократно переходили в контратаки, которые были отбиты с большими для них потерями. На поле боя остались сотни убитых и раненых вражеских солдат и офицеров. За день одна наша часть подбила 15 немецких танков. На другом участке противник, пытавшийся контратаковать наши позиции, был отброшен с такой силой, что при отступлении оставил на поле боя 17 танков, из них 8 — совершенно исправных.</w:t>
      </w:r>
    </w:p>
    <w:p w14:paraId="2F8CB04D"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бою у одной деревни красноармейцы тт. Хомутов и Тугов первыми ворвались в немецкий блиндаж, уничтожили гранатами 26 гитлеровцев и захватили 4 станковых пулемёта и фашистское знамя.</w:t>
      </w:r>
    </w:p>
    <w:p w14:paraId="43543ED5"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публикуются выдержки из дневника двух партизанских отрядов Смоленской области — «Ураган» и «Дедушка», объединившихся для совместных действий против немецко-фашистских захватчиков:</w:t>
      </w:r>
    </w:p>
    <w:p w14:paraId="11FB4873"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января. Полностью истребили немецкий карательный отряд численностью в 60 человек. Всё вооружение немцев перешло в руки наших бойцов.</w:t>
      </w:r>
    </w:p>
    <w:p w14:paraId="701719CC"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января. Уничтожен второй немецкий карательный отряд численностью в 48 человек и захвачено всё вооружение.</w:t>
      </w:r>
    </w:p>
    <w:p w14:paraId="4145A5E3"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февраля. В районе деревни Б. подкараулили немецких лыжников. Огнём из автоматов и винтовок истребили 20 солдат и захватили 13 винтовок, 3 автомата и 4 пистолета.</w:t>
      </w:r>
    </w:p>
    <w:p w14:paraId="27F9DC31"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февраля. Уничтожено несколько солдат из охраны немецкого обоза и захвачено 6 повозок с продовольствием.</w:t>
      </w:r>
    </w:p>
    <w:p w14:paraId="37811EC4"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февраля. Сегодня — горячий день. Разведка донесла о приближении к нашей базе двух немецких отрядов. Заранее распределив свои силы, встретили немцев пулемётным огнём. Одной группой партизан убито 42 немецких солдата и обер-лейтенант, другой — истреблено 35 гитлеровцев. Всё оружие убитых — винтовки, пулемёты, автоматы — перешло в наши руки.</w:t>
      </w:r>
    </w:p>
    <w:p w14:paraId="6F860C4F"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февраля. Организовали засаду и истребили немецкий отряд. Фашисты потеряли убитыми 30 солдат. Захвачено 22 винтовки, пулемёт, 8 автоматов, 3.000 патронов, 2 пишущие машинки, 4 радиоустановки, 48 подвод, нагруженных награбленным у колхозников имуществом и продовольствием».</w:t>
      </w:r>
    </w:p>
    <w:p w14:paraId="04931B01"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Недалеко от Виипури произошло крупное столкновение между финским лыжным батальоном и немецкими солдатами артиллерийского полка. Узнав об изнасиловании гитлеровцами 8 местных девушек, финны напали на бараки, в которых находились немецкие артиллеристы. Во время схватки в ход были пущены пулемёты и автоматы. Количество убитых и раненых с обеих сторон достигает 150 человек.» (15077).</w:t>
      </w:r>
    </w:p>
    <w:p w14:paraId="1A7FA2D9" w14:textId="77777777" w:rsidR="00DA42E7" w:rsidRPr="00D03F3E" w:rsidRDefault="00DA42E7" w:rsidP="00D03F3E">
      <w:pPr>
        <w:spacing w:after="0" w:line="240" w:lineRule="auto"/>
        <w:jc w:val="both"/>
        <w:rPr>
          <w:rFonts w:ascii="Times New Roman" w:hAnsi="Times New Roman"/>
          <w:color w:val="000000" w:themeColor="text1"/>
          <w:sz w:val="16"/>
          <w:szCs w:val="16"/>
        </w:rPr>
      </w:pPr>
    </w:p>
    <w:p w14:paraId="2D971C20" w14:textId="77777777" w:rsidR="00DA42E7" w:rsidRPr="00D03F3E" w:rsidRDefault="00DA42E7" w:rsidP="00D03F3E">
      <w:pPr>
        <w:pStyle w:val="book"/>
        <w:ind w:firstLine="0"/>
        <w:jc w:val="both"/>
        <w:rPr>
          <w:color w:val="000000" w:themeColor="text1"/>
          <w:sz w:val="16"/>
          <w:szCs w:val="16"/>
        </w:rPr>
      </w:pPr>
      <w:r w:rsidRPr="00D03F3E">
        <w:rPr>
          <w:color w:val="000000" w:themeColor="text1"/>
          <w:sz w:val="16"/>
          <w:szCs w:val="16"/>
        </w:rPr>
        <w:t>23 марта 1943 г. маршал Воронов издал «Инструкцию по сбору памятников и реликвий Отечественной войны в Артиллерийском историческом музее Красной армии».</w:t>
      </w:r>
    </w:p>
    <w:p w14:paraId="191EC16F" w14:textId="77777777" w:rsidR="00DA42E7" w:rsidRPr="00D03F3E" w:rsidRDefault="00DA42E7" w:rsidP="00D03F3E">
      <w:pPr>
        <w:pStyle w:val="book"/>
        <w:ind w:firstLine="0"/>
        <w:jc w:val="both"/>
        <w:rPr>
          <w:color w:val="000000" w:themeColor="text1"/>
          <w:sz w:val="16"/>
          <w:szCs w:val="16"/>
        </w:rPr>
      </w:pPr>
      <w:r w:rsidRPr="00D03F3E">
        <w:rPr>
          <w:color w:val="000000" w:themeColor="text1"/>
          <w:sz w:val="16"/>
          <w:szCs w:val="16"/>
        </w:rPr>
        <w:t>Между прочим, там говорилось: «Исправные предметы личного вооружения и пулеметы могут быть высланы в музей с разрешения командира дивизии. Предметы коллективного вооружения (орудия, минометы, танки и т.п.) — с разрешения командующего фронтом» (15225).</w:t>
      </w:r>
    </w:p>
    <w:p w14:paraId="4BEF6F94" w14:textId="77777777" w:rsidR="00DA42E7" w:rsidRPr="00D03F3E" w:rsidRDefault="00DA42E7" w:rsidP="00D03F3E">
      <w:pPr>
        <w:pStyle w:val="book"/>
        <w:ind w:firstLine="0"/>
        <w:jc w:val="both"/>
        <w:rPr>
          <w:color w:val="000000" w:themeColor="text1"/>
          <w:sz w:val="16"/>
          <w:szCs w:val="16"/>
        </w:rPr>
      </w:pPr>
    </w:p>
    <w:p w14:paraId="3B9859B5"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5EB63F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B028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марта 1943 года</w:t>
      </w:r>
    </w:p>
    <w:p w14:paraId="511D56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СЕКРЕТНОЕ ОПЕРАТИВНОЕ ПОСЛАНИЕ ОТ ПРЕМЬЕР-МИНИСТРА г-на УИНСТОНА ЧЕРЧИЛЛЯ МАРШАЛУ И. В. СТАЛИНУ</w:t>
      </w:r>
    </w:p>
    <w:p w14:paraId="6D808B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Наше главное сражение в Тунисе в настоящее время в полном разгаре. Американское наступление с запада началось 17 марта. В ночь на 20 марта 8-я армия атаковала укрепления Марета и в настоящее время развивает наступление через них в северо-западном направлении. В то же самое время Новозеландский Армейский Корпус сильными бронетанковыми частями обходным маршем протяженностью свыше 150 миль достиг позиций в тылу противника приблизительно в 30 милях к западу от Габеса. Этот корпус также доносит о продвижении в направлении перешейка у Габеса, который является его целью. Внутри замыкающегося круга мы имеем около 70 000 немцев и 50 000 итальянцев, но пока слишком рано строить предположения о том, что случится. Вы сами сможете судить по карте об имеющихся возможностях. Я буду держать Вас в курсе событий.</w:t>
      </w:r>
    </w:p>
    <w:p w14:paraId="778087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Десять дней тумана на аэродромах Англии задержали наше воздушное наступление. Оно начнется снова с еще большей силой, как только улучшится погода. Я посылаю Вам несколько фотографий, показывающих результаты разрушений, в частности в Эссене. Я полагаю, что эти фотографии Вам столь же понравятся, как они понравились мне (7430).</w:t>
      </w:r>
    </w:p>
    <w:p w14:paraId="18DFCF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2F15D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726675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C90EF3"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23 марта</w:t>
      </w:r>
      <w:r w:rsidRPr="00D03F3E">
        <w:rPr>
          <w:rFonts w:ascii="Times New Roman" w:hAnsi="Times New Roman"/>
          <w:color w:val="000000" w:themeColor="text1"/>
          <w:sz w:val="16"/>
          <w:szCs w:val="16"/>
        </w:rPr>
        <w:t xml:space="preserve"> в 1943 году первый полёт истребителя-штурмовика </w:t>
      </w:r>
      <w:hyperlink r:id="rId97" w:tgtFrame="_blank" w:history="1">
        <w:r w:rsidRPr="00D03F3E">
          <w:rPr>
            <w:rFonts w:ascii="Times New Roman" w:hAnsi="Times New Roman"/>
            <w:color w:val="000000" w:themeColor="text1"/>
            <w:sz w:val="16"/>
            <w:szCs w:val="16"/>
          </w:rPr>
          <w:t xml:space="preserve">«Hurricane IIЕ» </w:t>
        </w:r>
      </w:hyperlink>
      <w:r w:rsidRPr="00D03F3E">
        <w:rPr>
          <w:rFonts w:ascii="Times New Roman" w:hAnsi="Times New Roman"/>
          <w:color w:val="000000" w:themeColor="text1"/>
          <w:sz w:val="16"/>
          <w:szCs w:val="16"/>
        </w:rPr>
        <w:t>(разработчик: «Hawker», Великобритания). Самолёт начали разрабатывать специально для североафриканского театра БД. С его фюзеляжем можно было стыковать как стандартные крылья типов В или С, так и новое усиленное крыло, ориентированное, в основном, на наружную подвеску. Грузом могли быть бомбы или ракеты, а с марта 1942 г. включили и контейнеры с 40-мм пушками, как у IID. Бронезащиту спереди усилили. С учетом работы в тропиках площадь радиатора увеличили, а снизу его прикрыли броней. На самолёте был установлен низковысотный мотор "Мерлин" 27. Позднее его заменили на "Мерлин" 32 с четырёхлопастным винтом. Однако серия также комплектовалась двигателями типов 24 или 27 (большинство) и старыми трёхлопастными пропеллерами. Серийное производство модели II начали в Кингстоне в апреле 1943 г. После выпуска 290 машин в связи с большим количеством изменений самолёт переименовали в "Харрикейн" IV (модификация III с мотором "Мерлин" 28 американского производства осталась лишь на бумаге) (15077).</w:t>
      </w:r>
    </w:p>
    <w:p w14:paraId="3F4F685A" w14:textId="77777777" w:rsidR="00DA42E7" w:rsidRPr="00D03F3E" w:rsidRDefault="00DA42E7" w:rsidP="00D03F3E">
      <w:pPr>
        <w:spacing w:after="0" w:line="240" w:lineRule="auto"/>
        <w:jc w:val="both"/>
        <w:rPr>
          <w:rFonts w:ascii="Times New Roman" w:hAnsi="Times New Roman"/>
          <w:color w:val="000000" w:themeColor="text1"/>
          <w:sz w:val="16"/>
          <w:szCs w:val="16"/>
        </w:rPr>
      </w:pPr>
    </w:p>
    <w:p w14:paraId="646329FF" w14:textId="77777777" w:rsidR="00DA42E7" w:rsidRPr="00D03F3E" w:rsidRDefault="00DA42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марта 1943 г. поднялся в воздух опытный "Харрикейн" IIЕ с низковысотным мотором "Мерлин" 27. Позднее его заменили не более поздний "Мерлин" 32 с четырехлопастным винтом. Однако, серия комплектовалась двигателями типов 24 или 27 (большинство) и старыми трехлопастными пропеллерами. Разработку ее как специальной машины для североафриканского театра начали в июне 1941 г. С ее фюзеляжем можно было стыковать как стандартные крылья типов В или С, так и новое усиленное крыло, ориентированное, в основном, на наружную подвеску. Грузом могли быть бомбы или ракеты, а с марта 1942 г. включили и контейнеры с 40-мм пушками, как у IIC. Бронезащиту спереди усилили. С учетом работы в тропиках площадь радиатора увеличили, а снизу его прикрыли броней. Серийное производство модели II начали в Кингстоне в апреле 1943 г. После выпуска 290 машин в связи с большим количеством изменений самолет переименовали в "Харрикейн" IV (модификация III с мотором "Мерлин" 28 американского производства осталась лишь на бумаге). Все "четверки" имели тропические фильтры (15129).</w:t>
      </w:r>
    </w:p>
    <w:p w14:paraId="4B4F0BA7" w14:textId="77777777" w:rsidR="00DA42E7" w:rsidRPr="00D03F3E" w:rsidRDefault="00DA42E7" w:rsidP="00D03F3E">
      <w:pPr>
        <w:spacing w:after="0" w:line="240" w:lineRule="auto"/>
        <w:jc w:val="both"/>
        <w:rPr>
          <w:rFonts w:ascii="Times New Roman" w:hAnsi="Times New Roman"/>
          <w:color w:val="000000" w:themeColor="text1"/>
          <w:sz w:val="16"/>
          <w:szCs w:val="16"/>
        </w:rPr>
      </w:pPr>
    </w:p>
    <w:p w14:paraId="327EF4B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марта 1943 в Дании состоялись единственные выборы на всей территории, контролируемой нацистами (профашистские партии получили лишь 5 мест из 150) (4962).</w:t>
      </w:r>
    </w:p>
    <w:p w14:paraId="4B7ECB4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4A130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66C7D2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E42B4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марта 1943 г. в помощь новому директору завода № 188 Бюро новосибирского обкома ВКП(б) наметило меры по преодолению отставания. Коллектив трудящихся завода к началу 1944 г. увеличился до 9741 человека, объем валовой продукции ориентировались увеличить в 1944 г. до 200 млн руб. Крупный завод производил миллионы так необходимых для фронта патронов (11511).</w:t>
      </w:r>
    </w:p>
    <w:p w14:paraId="3E5C4EE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764AE7A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марта 1943 г. вышел ОТЧЕТ ПРАВИТЕЛЬСТВЕННОЙ ЗАКУПОЧНОЙ КОМИССИИ СССР В США О ПОСЕЩЕНИИ ЗИМНЕГО ЛАГЕРЯ «5Н11.О» КАНАДСКОЙ АРМИИ</w:t>
      </w:r>
    </w:p>
    <w:p w14:paraId="32A5CA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24.02 по 28.02 мы посетили зимние лагеря Канадской армии. Эти лагеря расположены 140 миль Западнее города Виннипег. Эта местность характеризуется наиболее низкими температурами (вре</w:t>
      </w:r>
      <w:r w:rsidRPr="00D03F3E">
        <w:rPr>
          <w:rFonts w:ascii="Times New Roman" w:hAnsi="Times New Roman"/>
          <w:color w:val="000000" w:themeColor="text1"/>
          <w:sz w:val="16"/>
          <w:szCs w:val="16"/>
        </w:rPr>
        <w:softHyphen/>
        <w:t>менами до 52°Ф = -47°С).</w:t>
      </w:r>
    </w:p>
    <w:p w14:paraId="1D4F0E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этих лагерях систематически проводятся испытания и экспериментальные работы по приме</w:t>
      </w:r>
      <w:r w:rsidRPr="00D03F3E">
        <w:rPr>
          <w:rFonts w:ascii="Times New Roman" w:hAnsi="Times New Roman"/>
          <w:color w:val="000000" w:themeColor="text1"/>
          <w:sz w:val="16"/>
          <w:szCs w:val="16"/>
        </w:rPr>
        <w:softHyphen/>
        <w:t xml:space="preserve">нению всевозможной военной техники при низких температурах (в </w:t>
      </w:r>
      <w:r w:rsidRPr="00D03F3E">
        <w:rPr>
          <w:rFonts w:ascii="Times New Roman" w:hAnsi="Times New Roman"/>
          <w:color w:val="000000" w:themeColor="text1"/>
          <w:sz w:val="16"/>
          <w:szCs w:val="16"/>
        </w:rPr>
        <w:lastRenderedPageBreak/>
        <w:t>зимних условиях), а также под</w:t>
      </w:r>
      <w:r w:rsidRPr="00D03F3E">
        <w:rPr>
          <w:rFonts w:ascii="Times New Roman" w:hAnsi="Times New Roman"/>
          <w:color w:val="000000" w:themeColor="text1"/>
          <w:sz w:val="16"/>
          <w:szCs w:val="16"/>
        </w:rPr>
        <w:softHyphen/>
        <w:t>готовка личного состава армии для действий в зимних условиях.</w:t>
      </w:r>
    </w:p>
    <w:p w14:paraId="7CDA91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Аналогичную работу в этих условиях проводит армия США.</w:t>
      </w:r>
    </w:p>
    <w:p w14:paraId="680F2B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Мы лично присутствовали при проведении испытаний по запуску и обслуживанию машин (тан</w:t>
      </w:r>
      <w:r w:rsidRPr="00D03F3E">
        <w:rPr>
          <w:rFonts w:ascii="Times New Roman" w:hAnsi="Times New Roman"/>
          <w:color w:val="000000" w:themeColor="text1"/>
          <w:sz w:val="16"/>
          <w:szCs w:val="16"/>
        </w:rPr>
        <w:softHyphen/>
        <w:t>ков, бронеавтомобилей, транспортных машин) при низких температурах.</w:t>
      </w:r>
    </w:p>
    <w:p w14:paraId="290F9C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несколько дней до нашего прибытия испытания, которые начались 1.01.1943 г., в основном были закончены. Результирующий отчет по этим испытаниям будет закончен примерно к 25 марту с.г., после чего состоится конференция военных специалистов (в городе Оттава), где будет произве</w:t>
      </w:r>
      <w:r w:rsidRPr="00D03F3E">
        <w:rPr>
          <w:rFonts w:ascii="Times New Roman" w:hAnsi="Times New Roman"/>
          <w:color w:val="000000" w:themeColor="text1"/>
          <w:sz w:val="16"/>
          <w:szCs w:val="16"/>
        </w:rPr>
        <w:softHyphen/>
        <w:t>ден разбор испытаний и отработка результирующих выводов по всем видам испытаний.</w:t>
      </w:r>
    </w:p>
    <w:p w14:paraId="56E85D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всего виденного нами в лагерях «5Ы1о» можно заключить, что работа производится по нескольким направлениям различными военными учреждениями:</w:t>
      </w:r>
    </w:p>
    <w:p w14:paraId="2B4832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Тренировка пехотных частей в зимних условиях канадской и американской армий. Эта трени</w:t>
      </w:r>
      <w:r w:rsidRPr="00D03F3E">
        <w:rPr>
          <w:rFonts w:ascii="Times New Roman" w:hAnsi="Times New Roman"/>
          <w:color w:val="000000" w:themeColor="text1"/>
          <w:sz w:val="16"/>
          <w:szCs w:val="16"/>
        </w:rPr>
        <w:softHyphen/>
        <w:t>ровка состоит из длительных переходов с ночевками в открытом месте (на снегу) в спальных мешках; стрелковой подготовки; хождении на лыжах и т.д.</w:t>
      </w:r>
    </w:p>
    <w:p w14:paraId="0BBD3EA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Подготовка младших офицеров в офицерской школе, курс которой рассчитан примерно на 6 месяцев (подробно ознакомиться с этим вопросом нам не представилось возможным из-за недостат</w:t>
      </w:r>
      <w:r w:rsidRPr="00D03F3E">
        <w:rPr>
          <w:rFonts w:ascii="Times New Roman" w:hAnsi="Times New Roman"/>
          <w:color w:val="000000" w:themeColor="text1"/>
          <w:sz w:val="16"/>
          <w:szCs w:val="16"/>
        </w:rPr>
        <w:softHyphen/>
        <w:t>ка времени).</w:t>
      </w:r>
    </w:p>
    <w:p w14:paraId="761998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Работа артиллерии в зимних условиях проводится учебными центрами канадской и амери</w:t>
      </w:r>
      <w:r w:rsidRPr="00D03F3E">
        <w:rPr>
          <w:rFonts w:ascii="Times New Roman" w:hAnsi="Times New Roman"/>
          <w:color w:val="000000" w:themeColor="text1"/>
          <w:sz w:val="16"/>
          <w:szCs w:val="16"/>
        </w:rPr>
        <w:softHyphen/>
        <w:t>канской армий. Основная цель испытаний: подбор зимних сортов масел и специальных жидкостей, обеспечивающих надежность работы механизмов и приспособлений орудий при стрельбе в зимних условиях (при низких температурах).</w:t>
      </w:r>
    </w:p>
    <w:p w14:paraId="4F0444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Испытаниям были подвергнуты орудия всех калибров, начиная с 37-мм противотанковой пушки и кончая 240-мм дальнобойным орудием, включая зенитную артиллерию, противотанковые ружья, пулеметы и стрелковое вооружение. При этом также проводились испытания по определению начальных скоростей орудий и влияние низких температур на точность стрельбы. Нам была пока</w:t>
      </w:r>
      <w:r w:rsidRPr="00D03F3E">
        <w:rPr>
          <w:rFonts w:ascii="Times New Roman" w:hAnsi="Times New Roman"/>
          <w:color w:val="000000" w:themeColor="text1"/>
          <w:sz w:val="16"/>
          <w:szCs w:val="16"/>
        </w:rPr>
        <w:softHyphen/>
        <w:t>зана автоматическая установка, при помощи которой определяется скорость полета снаряда и атака орудия. Эта установка работает на принципе электромагнетизма: на пути полета намагниченного снаряда установлены электромагнитные катушки. Со всех артиллерийских постов электромагнит</w:t>
      </w:r>
      <w:r w:rsidRPr="00D03F3E">
        <w:rPr>
          <w:rFonts w:ascii="Times New Roman" w:hAnsi="Times New Roman"/>
          <w:color w:val="000000" w:themeColor="text1"/>
          <w:sz w:val="16"/>
          <w:szCs w:val="16"/>
        </w:rPr>
        <w:softHyphen/>
        <w:t>ные колебания передаются в центральный пост, где эти колебания усиливаются и записываются на фотопленку, после чего определяется скорость полета снаряда.</w:t>
      </w:r>
    </w:p>
    <w:p w14:paraId="71BB25B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Обращает на себя внимание продуманность и четкость работы системы, обеспечивающая полу</w:t>
      </w:r>
      <w:r w:rsidRPr="00D03F3E">
        <w:rPr>
          <w:rFonts w:ascii="Times New Roman" w:hAnsi="Times New Roman"/>
          <w:color w:val="000000" w:themeColor="text1"/>
          <w:sz w:val="16"/>
          <w:szCs w:val="16"/>
        </w:rPr>
        <w:softHyphen/>
        <w:t>чение конечных результатов через 10-15 минут.</w:t>
      </w:r>
    </w:p>
    <w:p w14:paraId="33A1B3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Испытание стойкости брони обстрелом. Цель испытаний: определение влияния низких темпе</w:t>
      </w:r>
      <w:r w:rsidRPr="00D03F3E">
        <w:rPr>
          <w:rFonts w:ascii="Times New Roman" w:hAnsi="Times New Roman"/>
          <w:color w:val="000000" w:themeColor="text1"/>
          <w:sz w:val="16"/>
          <w:szCs w:val="16"/>
        </w:rPr>
        <w:softHyphen/>
        <w:t>ратур на стойкость литой и катаной брони. Эти испытания в большом объеме проведены американ</w:t>
      </w:r>
      <w:r w:rsidRPr="00D03F3E">
        <w:rPr>
          <w:rFonts w:ascii="Times New Roman" w:hAnsi="Times New Roman"/>
          <w:color w:val="000000" w:themeColor="text1"/>
          <w:sz w:val="16"/>
          <w:szCs w:val="16"/>
        </w:rPr>
        <w:softHyphen/>
        <w:t>цами. Нам были показаны результаты обстрела американского среднего танка М4А2 на дистанции 100-150 ярдов бронебойными и простыми 75-мм снарядами. В результате испытаний установлено, что при температуре -35°С и ниже качество (пулестойкость) литой броневой стали значительно ухуд</w:t>
      </w:r>
      <w:r w:rsidRPr="00D03F3E">
        <w:rPr>
          <w:rFonts w:ascii="Times New Roman" w:hAnsi="Times New Roman"/>
          <w:color w:val="000000" w:themeColor="text1"/>
          <w:sz w:val="16"/>
          <w:szCs w:val="16"/>
        </w:rPr>
        <w:softHyphen/>
        <w:t>шается (становиться хрупкой) по сравнению с катаной броневой сталью.</w:t>
      </w:r>
    </w:p>
    <w:p w14:paraId="5D82F6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обстреле башни (из литой броневой стали) танка М4А2 при температуре наружного воздуха - 35°С простым 75-мм снарядом (Па! зпе11) с начальной скоростью 1100-1200 фут/с на дистанции 100-150 ярдов при попадании снаряда в башне образовалась сквозная трещина по всей высоте башни.</w:t>
      </w:r>
    </w:p>
    <w:p w14:paraId="042C2E6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Обстрел борта (катанная броня) танка при тех же условиях: при попадании снаряда в катанной броневой стали образовалась вмятина.</w:t>
      </w:r>
    </w:p>
    <w:p w14:paraId="2DFD663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заявлению американцев, при нормальных температурах литая броневая сталь по стойкости уступает катанной броневой стали, но не является такой хрупкой, как это имеет место при низких температурах, и при попадании снаряда остается вмятина или пробоина.</w:t>
      </w:r>
    </w:p>
    <w:p w14:paraId="6D46E6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Эксплуатация танков, бронеавтомобилей и специальных машин в зимних условиях. Этому вопросу как в канадской, так и американской армиях уделяется исключительное внимание. В канад</w:t>
      </w:r>
      <w:r w:rsidRPr="00D03F3E">
        <w:rPr>
          <w:rFonts w:ascii="Times New Roman" w:hAnsi="Times New Roman"/>
          <w:color w:val="000000" w:themeColor="text1"/>
          <w:sz w:val="16"/>
          <w:szCs w:val="16"/>
        </w:rPr>
        <w:softHyphen/>
        <w:t>ской армии этими вопросами занимается Оерагйпеп! о! МипШопз апй 5ирр1у в американской огс1-папсе Вераг1теп1. Работы производятся отдельно, но широко налажен обмен опытом. Основными задачами являются:</w:t>
      </w:r>
    </w:p>
    <w:p w14:paraId="5417077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Выявление различных факторов, влияющих на запуск при низких температурах.</w:t>
      </w:r>
    </w:p>
    <w:p w14:paraId="12863E9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Определение наилучшего способа подогрева, обеспечивающего запуск двигателя при низких температурах.</w:t>
      </w:r>
    </w:p>
    <w:p w14:paraId="431B0E7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Выбор зимних сортов топлива и смазочных материалов для зимней эксплуатации машин.</w:t>
      </w:r>
    </w:p>
    <w:p w14:paraId="0006407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Определение износа агрегатов и механизмов машины при запусках при низких температурах.</w:t>
      </w:r>
    </w:p>
    <w:p w14:paraId="0AE33A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Мы имели возможность более подробно ознакомиться с вопросами запуска машин при низких температурах в канадской армии. Нам были показаны типы нагревательных приспособлений и запуск различных машин с их применением.</w:t>
      </w:r>
    </w:p>
    <w:p w14:paraId="4A396F8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эту зиму канадцы проводили испытания по запуску на 50 различных марках машин с приме</w:t>
      </w:r>
      <w:r w:rsidRPr="00D03F3E">
        <w:rPr>
          <w:rFonts w:ascii="Times New Roman" w:hAnsi="Times New Roman"/>
          <w:color w:val="000000" w:themeColor="text1"/>
          <w:sz w:val="16"/>
          <w:szCs w:val="16"/>
        </w:rPr>
        <w:softHyphen/>
        <w:t>нением различных подогревателей и других приспособлений, обеспечивающих запуск при низких температурах. Следует отметить, что в канадской армии вопросом запуска занимаются две самосто</w:t>
      </w:r>
      <w:r w:rsidRPr="00D03F3E">
        <w:rPr>
          <w:rFonts w:ascii="Times New Roman" w:hAnsi="Times New Roman"/>
          <w:color w:val="000000" w:themeColor="text1"/>
          <w:sz w:val="16"/>
          <w:szCs w:val="16"/>
        </w:rPr>
        <w:softHyphen/>
        <w:t>ятельные группы: экспериментальная агту епдтеегтд Оев1дп Вгапсп и испытательная Оерайтеп! о! МипШопк апй 5ирр1у причем первая группа в своей работе опережает вторую на год. Так, напри</w:t>
      </w:r>
      <w:r w:rsidRPr="00D03F3E">
        <w:rPr>
          <w:rFonts w:ascii="Times New Roman" w:hAnsi="Times New Roman"/>
          <w:color w:val="000000" w:themeColor="text1"/>
          <w:sz w:val="16"/>
          <w:szCs w:val="16"/>
        </w:rPr>
        <w:softHyphen/>
        <w:t>мер, в эту зиму Оерагипеп! о! МипШопв апй 5ирр1у проводил испытания методов запуска, которые были выявлены как наилучшие. В прошлом году группой агту епдтеегтд Оез1дп Вгапсп, которая в эту зиму проводила новые экспериментальные работы по запуску, что будет проверено испытанием второй группы в будущем году. Таким образом, первая группа занимается вопросом выявления экс</w:t>
      </w:r>
      <w:r w:rsidRPr="00D03F3E">
        <w:rPr>
          <w:rFonts w:ascii="Times New Roman" w:hAnsi="Times New Roman"/>
          <w:color w:val="000000" w:themeColor="text1"/>
          <w:sz w:val="16"/>
          <w:szCs w:val="16"/>
        </w:rPr>
        <w:softHyphen/>
        <w:t>периментальным путем новых методов (конструирование новых приспособлений, подбор зимних топлив и т.д.). Вторая группа путем испытаний проверяет наилучшие методы запуска и внедряет их в армию в широком масштабе.</w:t>
      </w:r>
    </w:p>
    <w:p w14:paraId="1878ABB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Считаем необходимым отметить, что вопрос запуска машин в зимних условиях является исклю</w:t>
      </w:r>
      <w:r w:rsidRPr="00D03F3E">
        <w:rPr>
          <w:rFonts w:ascii="Times New Roman" w:hAnsi="Times New Roman"/>
          <w:color w:val="000000" w:themeColor="text1"/>
          <w:sz w:val="16"/>
          <w:szCs w:val="16"/>
        </w:rPr>
        <w:softHyphen/>
        <w:t>чительно важным, от разрешения которого зависит постоянная боеготовность механизированных частей в зимних условиях при различной тактической обстановке. Затраты средств на эту работу в канадской армии вполне оправдывается, т.к. проведением целого ряда работ по запуску они получи</w:t>
      </w:r>
      <w:r w:rsidRPr="00D03F3E">
        <w:rPr>
          <w:rFonts w:ascii="Times New Roman" w:hAnsi="Times New Roman"/>
          <w:color w:val="000000" w:themeColor="text1"/>
          <w:sz w:val="16"/>
          <w:szCs w:val="16"/>
        </w:rPr>
        <w:softHyphen/>
        <w:t>ли положительные результаты, и их машины имеют приспособления, обеспечивающие запуск при низких температурах.</w:t>
      </w:r>
    </w:p>
    <w:p w14:paraId="68603D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всего виденного нами по вопросу запуска машин считаем необходимым обратить внимание на следующее:</w:t>
      </w:r>
    </w:p>
    <w:p w14:paraId="4F2B30E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Нам известно, что по вопросу запуска при низких температурах существует несколько раз</w:t>
      </w:r>
      <w:r w:rsidRPr="00D03F3E">
        <w:rPr>
          <w:rFonts w:ascii="Times New Roman" w:hAnsi="Times New Roman"/>
          <w:color w:val="000000" w:themeColor="text1"/>
          <w:sz w:val="16"/>
          <w:szCs w:val="16"/>
        </w:rPr>
        <w:softHyphen/>
        <w:t>личных мнений. А именно:</w:t>
      </w:r>
    </w:p>
    <w:p w14:paraId="46FED4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запуск необходимо проводить с применением специальных пусковых топлив (легко воспламеня</w:t>
      </w:r>
      <w:r w:rsidRPr="00D03F3E">
        <w:rPr>
          <w:rFonts w:ascii="Times New Roman" w:hAnsi="Times New Roman"/>
          <w:color w:val="000000" w:themeColor="text1"/>
          <w:sz w:val="16"/>
          <w:szCs w:val="16"/>
        </w:rPr>
        <w:softHyphen/>
        <w:t>емых), одновременно разжижающих смазку путем добавления в нее некоторого количества топлива;</w:t>
      </w:r>
    </w:p>
    <w:p w14:paraId="391B8AF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перед запуском необходимо заправить систему смазки горячим маслом, а систему охлаждения</w:t>
      </w:r>
    </w:p>
    <w:p w14:paraId="70ADFA7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горячей водой;</w:t>
      </w:r>
    </w:p>
    <w:p w14:paraId="5D6DB86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путем принудительного впрыска топлива в цилиндры и увеличения оборотов вала двигателя специальным многооборотным стартером;</w:t>
      </w:r>
    </w:p>
    <w:p w14:paraId="55487B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путем применения специальных пусковых свечей магнето, создающих мощную искру в кон</w:t>
      </w:r>
      <w:r w:rsidRPr="00D03F3E">
        <w:rPr>
          <w:rFonts w:ascii="Times New Roman" w:hAnsi="Times New Roman"/>
          <w:color w:val="000000" w:themeColor="text1"/>
          <w:sz w:val="16"/>
          <w:szCs w:val="16"/>
        </w:rPr>
        <w:softHyphen/>
        <w:t>тактах свечи при запуске;</w:t>
      </w:r>
    </w:p>
    <w:p w14:paraId="58BB56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постоянное поддержание стартовых температур масла и воды путем постоянного источника тепла или периодическим запуском двигателя.</w:t>
      </w:r>
    </w:p>
    <w:p w14:paraId="25F93BD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практики и эксплуатации машин в наших условиях известно, что самым надежным способом является подогрев масла и воды в системах двигателя безразлично каким способом.</w:t>
      </w:r>
    </w:p>
    <w:p w14:paraId="6579466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 канадской армии путем проведения целого ряда работ по запуску при низких температурах установлено:</w:t>
      </w:r>
    </w:p>
    <w:p w14:paraId="788F9A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запуск двигателя при температурах ниже + 10°Ф (-12еС) необходимо производить с помощью специального подогревателя, который создавал бы необходимую стартовую температуру масла в системе смазки, воды (антифриза) в системе охлаждения (особенно в головках цилиндров) с одно</w:t>
      </w:r>
      <w:r w:rsidRPr="00D03F3E">
        <w:rPr>
          <w:rFonts w:ascii="Times New Roman" w:hAnsi="Times New Roman"/>
          <w:color w:val="000000" w:themeColor="text1"/>
          <w:sz w:val="16"/>
          <w:szCs w:val="16"/>
        </w:rPr>
        <w:softHyphen/>
        <w:t>временным подогревом аккумуляторных батарей. Все остальные способы при этих температурах (ниже -12°С) считаются непрактичными.</w:t>
      </w:r>
    </w:p>
    <w:p w14:paraId="382A684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запуск двигателя при температурах до + 10°Ф (- 12°С) можно производить путем принудитель</w:t>
      </w:r>
      <w:r w:rsidRPr="00D03F3E">
        <w:rPr>
          <w:rFonts w:ascii="Times New Roman" w:hAnsi="Times New Roman"/>
          <w:color w:val="000000" w:themeColor="text1"/>
          <w:sz w:val="16"/>
          <w:szCs w:val="16"/>
        </w:rPr>
        <w:softHyphen/>
        <w:t>ного впрыска топлива в цилиндры двигателя и разжижения смазки.</w:t>
      </w:r>
    </w:p>
    <w:p w14:paraId="4DEF21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Основная цель последних испытаний (зимних) состояла в том, чтобы установить (выбрать) наилучший тип подогревателя танков и других машин. Испытаниям были подвергнуты несколько типов подогревателей, наиболее интересные из них:</w:t>
      </w:r>
    </w:p>
    <w:p w14:paraId="69F6E71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w:t>
      </w:r>
      <w:r w:rsidRPr="00D03F3E">
        <w:rPr>
          <w:rFonts w:ascii="Times New Roman" w:hAnsi="Times New Roman"/>
          <w:smallCaps/>
          <w:color w:val="000000" w:themeColor="text1"/>
          <w:sz w:val="16"/>
          <w:szCs w:val="16"/>
        </w:rPr>
        <w:t xml:space="preserve">еуэпз </w:t>
      </w:r>
      <w:r w:rsidRPr="00D03F3E">
        <w:rPr>
          <w:rFonts w:ascii="Times New Roman" w:hAnsi="Times New Roman"/>
          <w:color w:val="000000" w:themeColor="text1"/>
          <w:sz w:val="16"/>
          <w:szCs w:val="16"/>
        </w:rPr>
        <w:t>ипйег спаз518 с бензином;</w:t>
      </w:r>
    </w:p>
    <w:p w14:paraId="400BEF1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Еуапз С1гси1а1тд;</w:t>
      </w:r>
    </w:p>
    <w:p w14:paraId="24E107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РеггесИоп.</w:t>
      </w:r>
    </w:p>
    <w:p w14:paraId="67DFE25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Эти подогреватели испытывались на различных марках машин при температурах до -45°Ф (45°С). Все выше указанные подогреватели работают на стандартном топливе, т.е. на том топливе, на котором работает данный двигатель.</w:t>
      </w:r>
    </w:p>
    <w:p w14:paraId="12F9FC8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Еуапз ипйег спазз1з - подогреватель переносного типа с брезентом. Работает по принципу лампы «Девис» беспламенного горения. Его можно применять для прогрева моторного отделения любой машины. В колесных машинах его подвешивают под мотором, поджигают и закрывают кру</w:t>
      </w:r>
      <w:r w:rsidRPr="00D03F3E">
        <w:rPr>
          <w:rFonts w:ascii="Times New Roman" w:hAnsi="Times New Roman"/>
          <w:color w:val="000000" w:themeColor="text1"/>
          <w:sz w:val="16"/>
          <w:szCs w:val="16"/>
        </w:rPr>
        <w:softHyphen/>
        <w:t>гом брезентом, чтобы задержать тепло получаемое от подогревателя.</w:t>
      </w:r>
    </w:p>
    <w:p w14:paraId="1B592B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испытаний этот подогреватель показал хорошие результаты. Его недостатком являются:</w:t>
      </w:r>
    </w:p>
    <w:p w14:paraId="46E85A4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необходимо производить периодическую вентиляцию места установки подогревателя, в про</w:t>
      </w:r>
      <w:r w:rsidRPr="00D03F3E">
        <w:rPr>
          <w:rFonts w:ascii="Times New Roman" w:hAnsi="Times New Roman"/>
          <w:color w:val="000000" w:themeColor="text1"/>
          <w:sz w:val="16"/>
          <w:szCs w:val="16"/>
        </w:rPr>
        <w:softHyphen/>
        <w:t>тивном случае он гаснет;</w:t>
      </w:r>
    </w:p>
    <w:p w14:paraId="5ADCF7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в случае применения на танках необходим брезент увеличенных размеров;</w:t>
      </w:r>
    </w:p>
    <w:p w14:paraId="6A1152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необходимость перевозки подогревателя внутри танка;</w:t>
      </w:r>
    </w:p>
    <w:p w14:paraId="359621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время на установку и поджиг подогревателя затрачивается 20-25 минут;</w:t>
      </w:r>
    </w:p>
    <w:p w14:paraId="5B8A96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после запуска требуется значительная вентиляция танков от газов.</w:t>
      </w:r>
    </w:p>
    <w:p w14:paraId="6EC5EC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некотором улучшении данного подогревателя его можно будет применять на постоянных базах стоянки машин, при отсутствии теплых гаражей.</w:t>
      </w:r>
    </w:p>
    <w:p w14:paraId="3A0C505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Еуапз С1гси1а1тд - подогреватель стационарного типа. Он может быть установлен в моторном отделении любой машины (танка, бронеавтомобиля, транспортной машины). По своей конструкции очень простой. Питание горючим производится от общей системы питания данного двигателя.</w:t>
      </w:r>
    </w:p>
    <w:p w14:paraId="0573EB5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При испытаниях этот подогреватель показал очень хорошие результаты. С этим подогревателем производился запуск двигателя на танке М-4 при температуре - 43°Ф, без брезента и разжижения смазки. Его теплотворная способность 25000 британских тепловых единиц/час.</w:t>
      </w:r>
    </w:p>
    <w:p w14:paraId="4B1702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Этот подогреватель более удобен, чем Еуапз ипйег сЬазз1з, т.к. он стационарно установлен в моторном отделении данной машины. В обслуживании прост и не требует особых наблюдений во время его действия. При установке на любую машину не требуется значительных переделок. При эксплуатации этого подогревателя не обязательно применение брезента, разжижение смазки и т.д., манипуляций облегчающих запуск, за исключением впрыска при особо низких температурах.</w:t>
      </w:r>
    </w:p>
    <w:p w14:paraId="4CBF29B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Рег!еспоп - подогреватель стационарного типа устанавливается главным образом на колесных машинах, но легко может быть установлен на любом танке.</w:t>
      </w:r>
    </w:p>
    <w:p w14:paraId="5CAF6B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Этот тип подогревателя является наиболее совершенным по сравнению с выше указанными.</w:t>
      </w:r>
    </w:p>
    <w:p w14:paraId="50BEE5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Этот подогреватель во время действия подогревает воду, которая циркулирует по змеевику и подогревает масло в системе, воду в головке блока двигателя и аккумуляторную батарею.</w:t>
      </w:r>
    </w:p>
    <w:p w14:paraId="46739C0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Описание и чертежи по устройству подогревателей будут получены Советской миссией в Оттаве вместе с отчетом по испытаниям.</w:t>
      </w:r>
    </w:p>
    <w:p w14:paraId="5C366D5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Некоторые из подогревателей будут доставлены в Союз с ремонтными мастерскими, закуплен</w:t>
      </w:r>
      <w:r w:rsidRPr="00D03F3E">
        <w:rPr>
          <w:rFonts w:ascii="Times New Roman" w:hAnsi="Times New Roman"/>
          <w:color w:val="000000" w:themeColor="text1"/>
          <w:sz w:val="16"/>
          <w:szCs w:val="16"/>
        </w:rPr>
        <w:softHyphen/>
        <w:t>ными в Канаде.</w:t>
      </w:r>
    </w:p>
    <w:p w14:paraId="2F0CD1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Кроме подогревателей, канадцы испытывали разные способы, облегчающие запуск при низ</w:t>
      </w:r>
      <w:r w:rsidRPr="00D03F3E">
        <w:rPr>
          <w:rFonts w:ascii="Times New Roman" w:hAnsi="Times New Roman"/>
          <w:color w:val="000000" w:themeColor="text1"/>
          <w:sz w:val="16"/>
          <w:szCs w:val="16"/>
        </w:rPr>
        <w:softHyphen/>
        <w:t>ких температурах:</w:t>
      </w:r>
    </w:p>
    <w:p w14:paraId="19C97A5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для облегчения запуска производится подогрев масла электроспиралью. Этот способ не дал поло</w:t>
      </w:r>
      <w:r w:rsidRPr="00D03F3E">
        <w:rPr>
          <w:rFonts w:ascii="Times New Roman" w:hAnsi="Times New Roman"/>
          <w:color w:val="000000" w:themeColor="text1"/>
          <w:sz w:val="16"/>
          <w:szCs w:val="16"/>
        </w:rPr>
        <w:softHyphen/>
        <w:t>жительных результатов и считается непрактичным, т.к. наблюдается большой расход электроэнергии.</w:t>
      </w:r>
    </w:p>
    <w:p w14:paraId="616717F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для облегчения запуска устанавливалось более раннее зажигание на 4 - 5 и увеличивали зазор в контактах запальных свечей от 0012" до 0018". Этот способ дал положительные результаты, но не рекомендуется, т.к. требуется высокая квалификация механика водителя. При испытании имела место авария вследствие чрезмерно ранней установки зажигания.</w:t>
      </w:r>
    </w:p>
    <w:p w14:paraId="4B107A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для облегчения запуска увеличивали число цилиндров, в которые производился впрыск от 5 до 7 цилиндров. Этот способ облегчает запуск до температуры 5°Ф, а при 5 цилиндрах впрыска запуск облегчается до температуры 15°Ф.</w:t>
      </w:r>
    </w:p>
    <w:p w14:paraId="52481E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для облегчения запуска производилось разжижение масла топливом с помощью специального прибора. Разжижение масла до 16% не влияет на смазывающие качества масла, т.к. после трех часов работы двигателя остается около 0,4% топлива в масле. Этот способ дает положительные результаты, т.к. немедленно при запуске создается удовлетворительное давление масла.</w:t>
      </w:r>
    </w:p>
    <w:p w14:paraId="33C137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этом отмечено, что при испарении топлива наблюдается увеличенный расход масла. При применении подогревателей разжижение смазки производить не обязательно.</w:t>
      </w:r>
    </w:p>
    <w:p w14:paraId="166D2EC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Канадцы считают, что самым надежным и практичным способом, обеспечивающим запуск при любых температурах, является подогреватель.</w:t>
      </w:r>
    </w:p>
    <w:p w14:paraId="75A771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В канадской и американской армиях испытывается большое количество разнообразных подогревателей (переносных и стационарных) для использования не только для облегчения запуска, но и для других целей: обогрев штабных машин, ремонтных мастерских, палаток и т.д.</w:t>
      </w:r>
    </w:p>
    <w:p w14:paraId="33B2E3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Такого типа подогреватели в значительной степени могут облегчить работу ремонтных подраз</w:t>
      </w:r>
      <w:r w:rsidRPr="00D03F3E">
        <w:rPr>
          <w:rFonts w:ascii="Times New Roman" w:hAnsi="Times New Roman"/>
          <w:color w:val="000000" w:themeColor="text1"/>
          <w:sz w:val="16"/>
          <w:szCs w:val="16"/>
        </w:rPr>
        <w:softHyphen/>
        <w:t>делений в полевых условиях при низких температурах.</w:t>
      </w:r>
    </w:p>
    <w:p w14:paraId="70D546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 - майор Колосов</w:t>
      </w:r>
    </w:p>
    <w:p w14:paraId="4110CA9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 - капитан Соколов</w:t>
      </w:r>
    </w:p>
    <w:p w14:paraId="3C3836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11362. Д. 34. Л. 33-37. Копия (11403).</w:t>
      </w:r>
    </w:p>
    <w:p w14:paraId="539588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B2A0E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марта 1943 вышло Постановление ГКО № 3072 О мероприятиях по обеспечению открытия навигации в Волго-Каспийском канале и на Нижней Волге в 1943 г. (7091, 1-2,3-13).</w:t>
      </w:r>
    </w:p>
    <w:p w14:paraId="21D459C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83D05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марта 1943 вышло Постановление ГКО № 3073 О завозе дров для Москвы водным путем в навигацию 1943 года. (7091, 14-24,25-49).</w:t>
      </w:r>
    </w:p>
    <w:p w14:paraId="5DDBD51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8BDF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марта 1943 вышло Постановление ГКО № 3074 Об обеспечении горючим и маслами торфопредприятий наркоматов и ведомств во II квартале 1943 года.РГАНИР, Фонд ГКО, д. 99, лл. 50-51, 52-66 (11012).</w:t>
      </w:r>
    </w:p>
    <w:p w14:paraId="720458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C0906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марта 1943 вышло Распоряжение ГКО № 3075 [О возвращении 3 нефтеналивных барж из 7, занятых на Астраханской железнодорожной переправе.] (7091, 67).</w:t>
      </w:r>
    </w:p>
    <w:p w14:paraId="156FCA2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AB30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марта 1943 вышло Постановление ГКО № 3077 Об утверждении заявки НКВТ на поставки из Англии в СССР с 1 июля 1943 г. по 30 июня 1944 г.РГАНИР, Фонд ГКО, д. 99, лл. 69, 70-71 (11012).</w:t>
      </w:r>
    </w:p>
    <w:p w14:paraId="4E6151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8FD98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57988B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2E5799"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24 марта</w:t>
      </w:r>
      <w:r w:rsidRPr="00D03F3E">
        <w:rPr>
          <w:rFonts w:ascii="Times New Roman" w:hAnsi="Times New Roman"/>
          <w:color w:val="000000" w:themeColor="text1"/>
          <w:sz w:val="16"/>
          <w:szCs w:val="16"/>
        </w:rPr>
        <w:t xml:space="preserve"> в 1943 году утреннее сообщение Совинформбюро:</w:t>
      </w:r>
    </w:p>
    <w:p w14:paraId="16E344FA"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24 марта наши войска вели бои на прежних направлениях.</w:t>
      </w:r>
    </w:p>
    <w:p w14:paraId="27D9EDBC"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продолжали вести наступательные бои. Бойцы Н-ской части выбили противника из нескольких населённых пунктов, в боях за которые уничтожено свыше 200 немецких солдат и офицеров. На другом участке наши подразделения окружили в лесу и истребили отряд немецких автоматчиков.</w:t>
      </w:r>
    </w:p>
    <w:p w14:paraId="6E8200A3"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Духовщины наши войска, преодолевая упорное сопротивление противника, заняли ряд населённых пунктов. Н-ская часть в ожесточённом бою овладела рубежом, имеющим важное тактическое значение. Немцы предприняли две контратаки, но были отброшены. На поле боя осталось до 400 вражеских трупов. Уничтожено 2 орудия, танк, 23 пулемёта и 24 автомашины противника. Разрушено свыше 60 вражеских дзотов и блиндажей. Захвачены трофеи.</w:t>
      </w:r>
    </w:p>
    <w:p w14:paraId="0C5F6807"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огнём наших бронебойщиков сожжено 4 танка и 5 автомашин противника. На другом участке советские танкисты разгромили немецкую автоколонну. Разбито 6 автоцистерн, 11 автомашин с боеприпасами и уничтожено до 100 гитлеровцев.</w:t>
      </w:r>
    </w:p>
    <w:p w14:paraId="43267CEE"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нашими лётчиками в воздушных боях и огнём зенитной артиллерии в течение вчерашнего дня сбито 13 немецких самолётов.</w:t>
      </w:r>
    </w:p>
    <w:p w14:paraId="36938CA1"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Витебской области, в бою с немецкой карательной экспедицией уничтожил 68 гитлеровцев. Партизаны другого белорусского отряда пустили под откос воинский эшелон противника. В результате крушения разбиты паровоз, 6 вагонов и 16 платформ. Под обломками вагонов погибло 40 немецко-фашистских захватчиков.</w:t>
      </w:r>
    </w:p>
    <w:p w14:paraId="5586D1FB"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Бойцы Н-ской части, очистившие 15 марта от немцев деревню Новая, Смоленской области, обнаружили на пепелище много обгорелых трупов. Специально выделенная комиссия произвела тщательное расследование и установила, что немецко-фашистские мерзавцы перед отступлением сожгли многих жителей деревни Новой в соседних с ней селений. В акте говорится: «14 марта немцы согнали около 200 женщин, стариков идетей из деревень Новая, Ломанчино, Кривалевка и Гришине. Гитлеровцы загнали их в два крайних дома, заперли все двери, подожгли дома, а затем начали стрелять вокна и бросать гранаты. Многие пытались спастись, прыгали в окна, по немцы расстреливали их. Только нескольким жителям деревни Новая — М.Нестеровой, А.Опенкиной, К.Бычковой удалось незаметно отползти, скрыться и избежать гибели. При осмотре трупов опознаны: Опенкины Вера — 30 лет, Николай — 7 лет, Волчковы Евдокия — 60 лет, Клавдия — 20 лет, Татьяна —12 лет, Требниковы Надежда — 30 лет, Тоня — 6 лет, Вера—одного года, Бычковы Ирина — 50 лет, Елена — 16 лет, Николай—10 лет, Катя — 7 лет и другие. Фамилии многих сгоревших советских граждан установить не удалось, так как их трупы совершенно обуглены». Акт подписали: гвардии капитан Бушляков, старший лейтенант медицинской службы Граблевский, красноармейцы Карлов и Сафронов, жители деревни Новая К.Бычкова, М.Нестерова и А.Опенкина.» (15078).</w:t>
      </w:r>
    </w:p>
    <w:p w14:paraId="30326DB1" w14:textId="77777777" w:rsidR="00835EB7" w:rsidRPr="00D03F3E" w:rsidRDefault="00835EB7" w:rsidP="00D03F3E">
      <w:pPr>
        <w:spacing w:after="0" w:line="240" w:lineRule="auto"/>
        <w:jc w:val="both"/>
        <w:rPr>
          <w:rFonts w:ascii="Times New Roman" w:hAnsi="Times New Roman"/>
          <w:color w:val="000000" w:themeColor="text1"/>
          <w:sz w:val="16"/>
          <w:szCs w:val="16"/>
        </w:rPr>
      </w:pPr>
    </w:p>
    <w:p w14:paraId="19A6DB2C"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24 марта</w:t>
      </w:r>
      <w:r w:rsidRPr="00D03F3E">
        <w:rPr>
          <w:rFonts w:ascii="Times New Roman" w:hAnsi="Times New Roman"/>
          <w:color w:val="000000" w:themeColor="text1"/>
          <w:sz w:val="16"/>
          <w:szCs w:val="16"/>
        </w:rPr>
        <w:t xml:space="preserve"> в 1943 году вечернее сообщение Совинформбюро:</w:t>
      </w:r>
    </w:p>
    <w:p w14:paraId="3132DF7B"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марта наши наступающие войска заняли районный центр и железнодорожную станцию Абинская (северо-восточнее Новороссийска).</w:t>
      </w:r>
    </w:p>
    <w:p w14:paraId="07B449E1"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фронтах наши войска вели бои на прежних направлениях.</w:t>
      </w:r>
    </w:p>
    <w:p w14:paraId="2A82E833"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марта частями нашей авиации на различных участках фронта уничтожено или повреждено до 100 немецких автомашин с войсками и грузами, взорвано 2 склада боеприпасов, подавлен огонь 10 артиллерийских и миномётных батарей противника.</w:t>
      </w:r>
    </w:p>
    <w:p w14:paraId="7B12AD7D"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преодолевая упорное сопротивление противника, заняли несколько населённых пунктов. Части Н-ского соединения переправились через водный рубеж и овладели укреплёнными позициями противника. На поле боя осталось до 200 вражеских трупов. Захвачено 4 орудия, 17 пулемётов, много винтовок и патронов. На другом участке наши подразделения выбили немцев из населённого пункта Сафоново, что в четырёх километрах севернее железнодорожной станции Дорогобуж. Противник понёс большие потери в людях и технике.</w:t>
      </w:r>
    </w:p>
    <w:p w14:paraId="169680C2"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Духовщины части Н-ского соединения продолжали наступление и заняли 7 населённых пунктов. На одном участке наша часть истребила до роты немецкой пехоты. Захвачены трофеи, в числе которых 5 немецких танков и 14 орудий. Подразделение лыжников-гвардейцев стремительным ударом выбило немцев из деревни Жегуны. Гвардейцы спасли от неизбежной гибели свыше 60 местных жителей. Немцы согнали женщин, стариков и детей в подвал одного дома и подожгли его. Ворвавшиеся в деревню советские бойцы потушили пожар и спасли обречённых на смерть советских людей.</w:t>
      </w:r>
    </w:p>
    <w:p w14:paraId="26D65F21"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районе Белгорода батальон немецкой пехоты, поддержанный 12 танками, пытался атаковать наши позиции. Бойцы Н-ской части истребили 150 гитлеровцев, подбили 3 танка и вынудили немцев поспешно отступить. На другом участке огнём советской артиллерии уничтожены две артиллерийские батареи и рассеяно скопление пехоты противника.</w:t>
      </w:r>
    </w:p>
    <w:p w14:paraId="090C47DD"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Чугуева наши войска вели бои с пехотой и танками противника, пытавшимися выйти к реке Северный Донец. Бойцы Н-ской части отбили все атаки гитлеровцев. Уничтожено 9 немецких танков, 13 автомашин и более 100 солдат и офицеров противника.</w:t>
      </w:r>
    </w:p>
    <w:p w14:paraId="372D98B7"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Орловской области, на днях напал на гарнизон немцев, расположенный в пристанционном посёлке. Партизаны истребили 96 гитлеровцев, взорвали стрелки я железнодорожное полотно. Движение поездов на этом участке приостановлено. Группа партизан другого отряда уничтожила до 40 гитлеровцев и захватила немецкий продовольственный склад, 800 метров телефонного кабеля, 4 пулемёта, 14 лошадей и различное военное имущество.</w:t>
      </w:r>
    </w:p>
    <w:p w14:paraId="6B487D7E"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Взятый в плен в районе Демянска обер-ефрейтор 552 полка 329 немецкой пехотной дивизии Вильгельм Фраке сообщил: «Осенью прошлого года к нам в село Залучье приехал генерал-майор Вернер. Он произнёс речь, в которой сказал, что сейчас главные немецкие вооружённые силы заняты на юге, а мы здесь занимаем оборону, но как только разделаются со Сталинградом, мы перейдём в наступление. Тогда немецкие войска с Демянского плацдарма нанесут русским решающий удар и закончат войну. Много раз мы с проклятьем вспоминали эти слова генерала в феврале, когда бежали под ударами русских. Только ноги спасли нас от участи, которая постигла солдат 6 немецкой армии под Сталинградом. 552 полк в этих боях потерял свыше 70 процентов личного состава. В нашей роте осталось только 22 человека. В последнем бою при приближении русских, лейтенант и фельдфебель скрылись. Мы в количестве 20 человек остались в окопах и сдались в плен» (15078).</w:t>
      </w:r>
    </w:p>
    <w:p w14:paraId="570342E2" w14:textId="77777777" w:rsidR="00835EB7" w:rsidRPr="00D03F3E" w:rsidRDefault="00835EB7" w:rsidP="00D03F3E">
      <w:pPr>
        <w:spacing w:after="0" w:line="240" w:lineRule="auto"/>
        <w:jc w:val="both"/>
        <w:rPr>
          <w:rFonts w:ascii="Times New Roman" w:hAnsi="Times New Roman"/>
          <w:color w:val="000000" w:themeColor="text1"/>
          <w:sz w:val="16"/>
          <w:szCs w:val="16"/>
        </w:rPr>
      </w:pPr>
    </w:p>
    <w:p w14:paraId="3329B889" w14:textId="77777777" w:rsidR="00D92347" w:rsidRPr="00D03F3E" w:rsidRDefault="00D9234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С 24 марта 1943 23-й шап начал вести раз</w:t>
      </w:r>
      <w:r w:rsidRPr="00D03F3E">
        <w:rPr>
          <w:rFonts w:ascii="Times New Roman" w:hAnsi="Times New Roman" w:cs="Times New Roman"/>
          <w:color w:val="000000" w:themeColor="text1"/>
          <w:sz w:val="16"/>
          <w:szCs w:val="16"/>
        </w:rPr>
        <w:softHyphen/>
        <w:t>ведку над Черным морем. С аэродрома Бабушеры было выполнено 150 само- лето-вылетов, в том числе на разведку погоды - 9, на воздушную разведку - 10, на разведку с бомбометанием - 59 и на поиск плавучих средств про</w:t>
      </w:r>
      <w:r w:rsidRPr="00D03F3E">
        <w:rPr>
          <w:rFonts w:ascii="Times New Roman" w:hAnsi="Times New Roman" w:cs="Times New Roman"/>
          <w:color w:val="000000" w:themeColor="text1"/>
          <w:sz w:val="16"/>
          <w:szCs w:val="16"/>
        </w:rPr>
        <w:softHyphen/>
        <w:t>тивника - 72. За это время был потерян один самолет, опять по вине злополуч</w:t>
      </w:r>
      <w:r w:rsidRPr="00D03F3E">
        <w:rPr>
          <w:rFonts w:ascii="Times New Roman" w:hAnsi="Times New Roman" w:cs="Times New Roman"/>
          <w:color w:val="000000" w:themeColor="text1"/>
          <w:sz w:val="16"/>
          <w:szCs w:val="16"/>
        </w:rPr>
        <w:softHyphen/>
        <w:t>ных бензобаков. Пилот старший лей</w:t>
      </w:r>
      <w:r w:rsidRPr="00D03F3E">
        <w:rPr>
          <w:rFonts w:ascii="Times New Roman" w:hAnsi="Times New Roman" w:cs="Times New Roman"/>
          <w:color w:val="000000" w:themeColor="text1"/>
          <w:sz w:val="16"/>
          <w:szCs w:val="16"/>
        </w:rPr>
        <w:softHyphen/>
        <w:t>тенант Николай Николаевич Филиппов погиб, а его штурман младший лей</w:t>
      </w:r>
      <w:r w:rsidRPr="00D03F3E">
        <w:rPr>
          <w:rFonts w:ascii="Times New Roman" w:hAnsi="Times New Roman" w:cs="Times New Roman"/>
          <w:color w:val="000000" w:themeColor="text1"/>
          <w:sz w:val="16"/>
          <w:szCs w:val="16"/>
        </w:rPr>
        <w:softHyphen/>
        <w:t>тенант Василий Николаевич Васильев тяжело ранен. 28 апреля полк был пе</w:t>
      </w:r>
      <w:r w:rsidRPr="00D03F3E">
        <w:rPr>
          <w:rFonts w:ascii="Times New Roman" w:hAnsi="Times New Roman" w:cs="Times New Roman"/>
          <w:color w:val="000000" w:themeColor="text1"/>
          <w:sz w:val="16"/>
          <w:szCs w:val="16"/>
        </w:rPr>
        <w:softHyphen/>
        <w:t>реброшен на аэродром Ейск, где вошел в состав вновь воссозданной Азовской военной флотилии.</w:t>
      </w:r>
    </w:p>
    <w:p w14:paraId="629930D7" w14:textId="77777777" w:rsidR="00D92347" w:rsidRPr="00D03F3E" w:rsidRDefault="00D9234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Азовская флотилия воевала в до</w:t>
      </w:r>
      <w:r w:rsidRPr="00D03F3E">
        <w:rPr>
          <w:rFonts w:ascii="Times New Roman" w:hAnsi="Times New Roman" w:cs="Times New Roman"/>
          <w:color w:val="000000" w:themeColor="text1"/>
          <w:sz w:val="16"/>
          <w:szCs w:val="16"/>
        </w:rPr>
        <w:softHyphen/>
        <w:t>вольно сложных условиях. Входившие в её состав малые боевые корабли, переоборудованные из сейнеров и мотоботов, и боевые катера специ</w:t>
      </w:r>
      <w:r w:rsidRPr="00D03F3E">
        <w:rPr>
          <w:rFonts w:ascii="Times New Roman" w:hAnsi="Times New Roman" w:cs="Times New Roman"/>
          <w:color w:val="000000" w:themeColor="text1"/>
          <w:sz w:val="16"/>
          <w:szCs w:val="16"/>
        </w:rPr>
        <w:softHyphen/>
        <w:t>альной постройки уступали по своим тактико-техническим данным боевым кораблям противника. Авиагруппа флотилии была немногочисленной и, самое главное, не имела своей штат</w:t>
      </w:r>
      <w:r w:rsidRPr="00D03F3E">
        <w:rPr>
          <w:rFonts w:ascii="Times New Roman" w:hAnsi="Times New Roman" w:cs="Times New Roman"/>
          <w:color w:val="000000" w:themeColor="text1"/>
          <w:sz w:val="16"/>
          <w:szCs w:val="16"/>
        </w:rPr>
        <w:softHyphen/>
        <w:t>ной истребительной авиации. Правда, иногда на помощь приходили летчики 5-й Воздушной армии.</w:t>
      </w:r>
    </w:p>
    <w:p w14:paraId="29F3967A" w14:textId="77777777" w:rsidR="00D92347" w:rsidRPr="00D03F3E" w:rsidRDefault="00D9234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Командующий Азовской флотилией адмирал С.Г. Горшков поставил 23-му шап следующие задачи:</w:t>
      </w:r>
    </w:p>
    <w:p w14:paraId="00E08F28" w14:textId="77777777" w:rsidR="00D92347" w:rsidRPr="00D03F3E" w:rsidRDefault="00D92347" w:rsidP="00D03F3E">
      <w:pPr>
        <w:pStyle w:val="232"/>
        <w:numPr>
          <w:ilvl w:val="0"/>
          <w:numId w:val="15"/>
        </w:numPr>
        <w:shd w:val="clear" w:color="auto" w:fill="auto"/>
        <w:tabs>
          <w:tab w:val="left" w:pos="218"/>
        </w:tabs>
        <w:spacing w:before="0" w:after="0"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вести оперативную и тактическую воздушную разведку на Азовском море в интересах кораблей флотилии и своих штурмовиков;</w:t>
      </w:r>
    </w:p>
    <w:p w14:paraId="41E093EC" w14:textId="77777777" w:rsidR="00D92347" w:rsidRPr="00D03F3E" w:rsidRDefault="00D92347" w:rsidP="00D03F3E">
      <w:pPr>
        <w:pStyle w:val="232"/>
        <w:numPr>
          <w:ilvl w:val="0"/>
          <w:numId w:val="15"/>
        </w:numPr>
        <w:shd w:val="clear" w:color="auto" w:fill="auto"/>
        <w:tabs>
          <w:tab w:val="left" w:pos="207"/>
        </w:tabs>
        <w:spacing w:before="0" w:after="0"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уничтожать плавсредства противника в портах и на коммуникациях;</w:t>
      </w:r>
    </w:p>
    <w:p w14:paraId="5F97ACE2" w14:textId="77777777" w:rsidR="00D92347" w:rsidRPr="00D03F3E" w:rsidRDefault="00D92347" w:rsidP="00D03F3E">
      <w:pPr>
        <w:pStyle w:val="232"/>
        <w:numPr>
          <w:ilvl w:val="0"/>
          <w:numId w:val="15"/>
        </w:numPr>
        <w:shd w:val="clear" w:color="auto" w:fill="auto"/>
        <w:tabs>
          <w:tab w:val="left" w:pos="218"/>
        </w:tabs>
        <w:spacing w:before="0" w:after="0"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поддерживать высадку десантов;</w:t>
      </w:r>
    </w:p>
    <w:p w14:paraId="58D051D6" w14:textId="77777777" w:rsidR="00D92347" w:rsidRPr="00D03F3E" w:rsidRDefault="00D92347" w:rsidP="00D03F3E">
      <w:pPr>
        <w:pStyle w:val="232"/>
        <w:numPr>
          <w:ilvl w:val="0"/>
          <w:numId w:val="15"/>
        </w:numPr>
        <w:shd w:val="clear" w:color="auto" w:fill="auto"/>
        <w:tabs>
          <w:tab w:val="left" w:pos="218"/>
        </w:tabs>
        <w:spacing w:before="0" w:after="0"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вести разведку и уничтожать огневые точки противника на северном побе</w:t>
      </w:r>
      <w:r w:rsidRPr="00D03F3E">
        <w:rPr>
          <w:rFonts w:ascii="Times New Roman" w:hAnsi="Times New Roman" w:cs="Times New Roman"/>
          <w:color w:val="000000" w:themeColor="text1"/>
          <w:sz w:val="16"/>
          <w:szCs w:val="16"/>
        </w:rPr>
        <w:softHyphen/>
        <w:t>режье Азовского моря и на Таманском полуострове;</w:t>
      </w:r>
    </w:p>
    <w:p w14:paraId="4AE0629F" w14:textId="77777777" w:rsidR="00D92347" w:rsidRPr="00D03F3E" w:rsidRDefault="00D92347" w:rsidP="00D03F3E">
      <w:pPr>
        <w:pStyle w:val="232"/>
        <w:numPr>
          <w:ilvl w:val="0"/>
          <w:numId w:val="15"/>
        </w:numPr>
        <w:shd w:val="clear" w:color="auto" w:fill="auto"/>
        <w:tabs>
          <w:tab w:val="left" w:pos="222"/>
        </w:tabs>
        <w:spacing w:before="0" w:after="0"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вести поиск плавучих мин и оказы</w:t>
      </w:r>
      <w:r w:rsidRPr="00D03F3E">
        <w:rPr>
          <w:rFonts w:ascii="Times New Roman" w:hAnsi="Times New Roman" w:cs="Times New Roman"/>
          <w:color w:val="000000" w:themeColor="text1"/>
          <w:sz w:val="16"/>
          <w:szCs w:val="16"/>
        </w:rPr>
        <w:softHyphen/>
        <w:t>вать содействие в спасении экипажей своих подбитых самолетов. При этом воздушная разведка проводилась три раза в сутки: ранним утром,в полдень и вечером.</w:t>
      </w:r>
    </w:p>
    <w:p w14:paraId="1D344C79" w14:textId="77777777" w:rsidR="00D92347" w:rsidRPr="00D03F3E" w:rsidRDefault="00D9234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20 и 22 мая полк был пополнен матчастью. Из 3-го ВМАУ перелетели четыре, а из ВМАУ имени С.А. Леванев</w:t>
      </w:r>
      <w:r w:rsidRPr="00D03F3E">
        <w:rPr>
          <w:rFonts w:ascii="Times New Roman" w:hAnsi="Times New Roman" w:cs="Times New Roman"/>
          <w:color w:val="000000" w:themeColor="text1"/>
          <w:sz w:val="16"/>
          <w:szCs w:val="16"/>
        </w:rPr>
        <w:softHyphen/>
        <w:t>ского - пять Р-10. Все самолеты были старые, им без ремонта добавили по 150 часов ресурса. Еще один самолет прибыл из ремонта. Понятно, что в этих условиях трудно было ожидать от машин, заявленных в технической документации характеристик. Так, при номинальной боевой нагрузке 600 кг самолеты никогда не поднимали больше двухсот.</w:t>
      </w:r>
    </w:p>
    <w:p w14:paraId="7A668835" w14:textId="77777777" w:rsidR="00D92347" w:rsidRPr="00D03F3E" w:rsidRDefault="00D9234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До 19 сентября 1943 года Р-10 выполнили 495 самолето-вылетов. В 229 случаях экипажи не обнаружили противника, а в 42 - не только обна</w:t>
      </w:r>
      <w:r w:rsidRPr="00D03F3E">
        <w:rPr>
          <w:rFonts w:ascii="Times New Roman" w:hAnsi="Times New Roman" w:cs="Times New Roman"/>
          <w:color w:val="000000" w:themeColor="text1"/>
          <w:sz w:val="16"/>
          <w:szCs w:val="16"/>
        </w:rPr>
        <w:softHyphen/>
        <w:t>ружили, но и атаковали его. По нашим данным 7 июня был потоплен сейнер, а 11 июня катер противника (фактиче</w:t>
      </w:r>
      <w:r w:rsidRPr="00D03F3E">
        <w:rPr>
          <w:rFonts w:ascii="Times New Roman" w:hAnsi="Times New Roman" w:cs="Times New Roman"/>
          <w:color w:val="000000" w:themeColor="text1"/>
          <w:sz w:val="16"/>
          <w:szCs w:val="16"/>
        </w:rPr>
        <w:softHyphen/>
        <w:t>ски в этом случае был атакован отряд боевых кораблей, проводивших набег на наше побережье). Несмотря на ин</w:t>
      </w:r>
      <w:r w:rsidRPr="00D03F3E">
        <w:rPr>
          <w:rFonts w:ascii="Times New Roman" w:hAnsi="Times New Roman" w:cs="Times New Roman"/>
          <w:color w:val="000000" w:themeColor="text1"/>
          <w:sz w:val="16"/>
          <w:szCs w:val="16"/>
        </w:rPr>
        <w:softHyphen/>
        <w:t>тенсивную боевую работу в условиях активных действий немецкой авиации, потери были минимальными. В бою был сбит только один Р-10 и один са</w:t>
      </w:r>
      <w:r w:rsidRPr="00D03F3E">
        <w:rPr>
          <w:rFonts w:ascii="Times New Roman" w:hAnsi="Times New Roman" w:cs="Times New Roman"/>
          <w:color w:val="000000" w:themeColor="text1"/>
          <w:sz w:val="16"/>
          <w:szCs w:val="16"/>
        </w:rPr>
        <w:softHyphen/>
        <w:t>молет разбился без воздействия про</w:t>
      </w:r>
      <w:r w:rsidRPr="00D03F3E">
        <w:rPr>
          <w:rFonts w:ascii="Times New Roman" w:hAnsi="Times New Roman" w:cs="Times New Roman"/>
          <w:color w:val="000000" w:themeColor="text1"/>
          <w:sz w:val="16"/>
          <w:szCs w:val="16"/>
        </w:rPr>
        <w:softHyphen/>
        <w:t>тивника. Так как разведчики летали без сопровождения истребителями, то экипажи имели приказ: при обнаруже</w:t>
      </w:r>
      <w:r w:rsidRPr="00D03F3E">
        <w:rPr>
          <w:rFonts w:ascii="Times New Roman" w:hAnsi="Times New Roman" w:cs="Times New Roman"/>
          <w:color w:val="000000" w:themeColor="text1"/>
          <w:sz w:val="16"/>
          <w:szCs w:val="16"/>
        </w:rPr>
        <w:softHyphen/>
        <w:t>нии противника в бой не вступать, а уходить на свою территорию.</w:t>
      </w:r>
    </w:p>
    <w:p w14:paraId="4A8459AE" w14:textId="77777777" w:rsidR="00D92347" w:rsidRPr="00D03F3E" w:rsidRDefault="00D9234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Единственная боевая потеря прои</w:t>
      </w:r>
      <w:r w:rsidRPr="00D03F3E">
        <w:rPr>
          <w:rFonts w:ascii="Times New Roman" w:hAnsi="Times New Roman"/>
          <w:color w:val="000000" w:themeColor="text1"/>
          <w:sz w:val="16"/>
          <w:szCs w:val="16"/>
        </w:rPr>
        <w:softHyphen/>
        <w:t>зошла при следующих обстоятельствах. 20 июня 1943 года отряд немецких боевых кораблей (три артиллерий</w:t>
      </w:r>
      <w:r w:rsidRPr="00D03F3E">
        <w:rPr>
          <w:rFonts w:ascii="Times New Roman" w:hAnsi="Times New Roman"/>
          <w:color w:val="000000" w:themeColor="text1"/>
          <w:sz w:val="16"/>
          <w:szCs w:val="16"/>
        </w:rPr>
        <w:softHyphen/>
        <w:t xml:space="preserve">ских лихтера </w:t>
      </w:r>
      <w:r w:rsidRPr="00D03F3E">
        <w:rPr>
          <w:rFonts w:ascii="Times New Roman" w:hAnsi="Times New Roman"/>
          <w:color w:val="000000" w:themeColor="text1"/>
          <w:sz w:val="16"/>
          <w:szCs w:val="16"/>
          <w:lang w:val="en-US"/>
        </w:rPr>
        <w:t>MAL</w:t>
      </w:r>
      <w:r w:rsidRPr="00D03F3E">
        <w:rPr>
          <w:rFonts w:ascii="Times New Roman" w:hAnsi="Times New Roman"/>
          <w:color w:val="000000" w:themeColor="text1"/>
          <w:sz w:val="16"/>
          <w:szCs w:val="16"/>
        </w:rPr>
        <w:t xml:space="preserve">-1, -2, -3 и два малых тральщика </w:t>
      </w:r>
      <w:r w:rsidRPr="00D03F3E">
        <w:rPr>
          <w:rFonts w:ascii="Times New Roman" w:hAnsi="Times New Roman"/>
          <w:color w:val="000000" w:themeColor="text1"/>
          <w:sz w:val="16"/>
          <w:szCs w:val="16"/>
          <w:lang w:val="en-US"/>
        </w:rPr>
        <w:t>RA</w:t>
      </w:r>
      <w:r w:rsidRPr="00D03F3E">
        <w:rPr>
          <w:rFonts w:ascii="Times New Roman" w:hAnsi="Times New Roman"/>
          <w:color w:val="000000" w:themeColor="text1"/>
          <w:sz w:val="16"/>
          <w:szCs w:val="16"/>
        </w:rPr>
        <w:t>-51, -56) совершил набег на Ейск (операция «Ярмут-2»). Для его отражения в воздух были подняты самолеты авиагруппы АВФ: три Р-10 (пилоты Горбунов, Дойников, Нужин) и семь Ил-2. Одному из Р-10 удалось прорваться к немецкому отряду и поло</w:t>
      </w:r>
      <w:r w:rsidRPr="00D03F3E">
        <w:rPr>
          <w:rFonts w:ascii="Times New Roman" w:hAnsi="Times New Roman"/>
          <w:color w:val="000000" w:themeColor="text1"/>
          <w:sz w:val="16"/>
          <w:szCs w:val="16"/>
        </w:rPr>
        <w:softHyphen/>
        <w:t xml:space="preserve">жить свои ФАБ-50 рядом с </w:t>
      </w:r>
      <w:r w:rsidRPr="00D03F3E">
        <w:rPr>
          <w:rFonts w:ascii="Times New Roman" w:hAnsi="Times New Roman"/>
          <w:color w:val="000000" w:themeColor="text1"/>
          <w:sz w:val="16"/>
          <w:szCs w:val="16"/>
          <w:lang w:val="en-US"/>
        </w:rPr>
        <w:t>MAL</w:t>
      </w:r>
      <w:r w:rsidRPr="00D03F3E">
        <w:rPr>
          <w:rFonts w:ascii="Times New Roman" w:hAnsi="Times New Roman"/>
          <w:color w:val="000000" w:themeColor="text1"/>
          <w:sz w:val="16"/>
          <w:szCs w:val="16"/>
        </w:rPr>
        <w:t>-1. Одна бомба упала по правому, вторая по левому борту корабля. Многочисленные мелкие повреждения все три лихтера получили от пушечно-пулеметного огня и осколочных бомб, сброшенных штур</w:t>
      </w:r>
      <w:r w:rsidRPr="00D03F3E">
        <w:rPr>
          <w:rFonts w:ascii="Times New Roman" w:hAnsi="Times New Roman"/>
          <w:color w:val="000000" w:themeColor="text1"/>
          <w:sz w:val="16"/>
          <w:szCs w:val="16"/>
        </w:rPr>
        <w:softHyphen/>
        <w:t>мовиками. К сожалению, в условиях когда немецкий отряд прикрывался истребителями, наши потери были неизбежны. «Мессершмитты» сбили один разведчик и тяжело повредили два штурмовика. Пилот Р-10 лейтенант Нужин смог спастись с парашютом, а вот штурман лейтенант Журавлев по</w:t>
      </w:r>
      <w:r w:rsidRPr="00D03F3E">
        <w:rPr>
          <w:rFonts w:ascii="Times New Roman" w:hAnsi="Times New Roman"/>
          <w:color w:val="000000" w:themeColor="text1"/>
          <w:sz w:val="16"/>
          <w:szCs w:val="16"/>
        </w:rPr>
        <w:softHyphen/>
        <w:t>гиб. Еще один Ил был сбит зенитной ар</w:t>
      </w:r>
      <w:r w:rsidRPr="00D03F3E">
        <w:rPr>
          <w:rFonts w:ascii="Times New Roman" w:hAnsi="Times New Roman"/>
          <w:color w:val="000000" w:themeColor="text1"/>
          <w:sz w:val="16"/>
          <w:szCs w:val="16"/>
        </w:rPr>
        <w:softHyphen/>
        <w:t xml:space="preserve">тиллерией немецких кораблей (немцы относят успех на долю </w:t>
      </w:r>
      <w:r w:rsidRPr="00D03F3E">
        <w:rPr>
          <w:rFonts w:ascii="Times New Roman" w:hAnsi="Times New Roman"/>
          <w:color w:val="000000" w:themeColor="text1"/>
          <w:sz w:val="16"/>
          <w:szCs w:val="16"/>
          <w:lang w:val="en-US"/>
        </w:rPr>
        <w:t>RA</w:t>
      </w:r>
      <w:r w:rsidRPr="00D03F3E">
        <w:rPr>
          <w:rFonts w:ascii="Times New Roman" w:hAnsi="Times New Roman"/>
          <w:color w:val="000000" w:themeColor="text1"/>
          <w:sz w:val="16"/>
          <w:szCs w:val="16"/>
        </w:rPr>
        <w:t>-51) его эки</w:t>
      </w:r>
      <w:r w:rsidRPr="00D03F3E">
        <w:rPr>
          <w:rFonts w:ascii="Times New Roman" w:hAnsi="Times New Roman"/>
          <w:color w:val="000000" w:themeColor="text1"/>
          <w:sz w:val="16"/>
          <w:szCs w:val="16"/>
        </w:rPr>
        <w:softHyphen/>
        <w:t>паж (младший лейтенант Герасимов и сержант Борисенко) погиб.</w:t>
      </w:r>
    </w:p>
    <w:p w14:paraId="52714EF0" w14:textId="77777777" w:rsidR="00D92347" w:rsidRPr="00D03F3E" w:rsidRDefault="00D9234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Частично за гибель боевых товари</w:t>
      </w:r>
      <w:r w:rsidRPr="00D03F3E">
        <w:rPr>
          <w:rFonts w:ascii="Times New Roman" w:hAnsi="Times New Roman" w:cs="Times New Roman"/>
          <w:color w:val="000000" w:themeColor="text1"/>
          <w:sz w:val="16"/>
          <w:szCs w:val="16"/>
        </w:rPr>
        <w:softHyphen/>
        <w:t>щей расквитался помощник команду</w:t>
      </w:r>
      <w:r w:rsidRPr="00D03F3E">
        <w:rPr>
          <w:rFonts w:ascii="Times New Roman" w:hAnsi="Times New Roman" w:cs="Times New Roman"/>
          <w:color w:val="000000" w:themeColor="text1"/>
          <w:sz w:val="16"/>
          <w:szCs w:val="16"/>
        </w:rPr>
        <w:softHyphen/>
        <w:t>ющего ВВС ЧФ по летной подготовке и воздушному бою Герой Советского Союза полковник Н.А. Наумов. Николай Александрович прибыл в Ейск на ис</w:t>
      </w:r>
      <w:r w:rsidRPr="00D03F3E">
        <w:rPr>
          <w:rFonts w:ascii="Times New Roman" w:hAnsi="Times New Roman" w:cs="Times New Roman"/>
          <w:color w:val="000000" w:themeColor="text1"/>
          <w:sz w:val="16"/>
          <w:szCs w:val="16"/>
        </w:rPr>
        <w:softHyphen/>
        <w:t>требителе Р-39 «Аэрокобра» для озна</w:t>
      </w:r>
      <w:r w:rsidRPr="00D03F3E">
        <w:rPr>
          <w:rFonts w:ascii="Times New Roman" w:hAnsi="Times New Roman" w:cs="Times New Roman"/>
          <w:color w:val="000000" w:themeColor="text1"/>
          <w:sz w:val="16"/>
          <w:szCs w:val="16"/>
        </w:rPr>
        <w:softHyphen/>
        <w:t xml:space="preserve">комления с подготовкой как раз 23-го шап. По своей инициативе он вылетел для прикрытия ударной группы, и в бою с четырьмя немецкими истребителями сбил одного из них. По документам противника это был </w:t>
      </w:r>
      <w:r w:rsidRPr="00D03F3E">
        <w:rPr>
          <w:rFonts w:ascii="Times New Roman" w:hAnsi="Times New Roman" w:cs="Times New Roman"/>
          <w:color w:val="000000" w:themeColor="text1"/>
          <w:sz w:val="16"/>
          <w:szCs w:val="16"/>
          <w:lang w:val="en-US"/>
        </w:rPr>
        <w:t>BM</w:t>
      </w:r>
      <w:r w:rsidRPr="00D03F3E">
        <w:rPr>
          <w:rFonts w:ascii="Times New Roman" w:hAnsi="Times New Roman" w:cs="Times New Roman"/>
          <w:color w:val="000000" w:themeColor="text1"/>
          <w:sz w:val="16"/>
          <w:szCs w:val="16"/>
        </w:rPr>
        <w:t>09</w:t>
      </w:r>
      <w:r w:rsidRPr="00D03F3E">
        <w:rPr>
          <w:rFonts w:ascii="Times New Roman" w:hAnsi="Times New Roman" w:cs="Times New Roman"/>
          <w:color w:val="000000" w:themeColor="text1"/>
          <w:sz w:val="16"/>
          <w:szCs w:val="16"/>
          <w:lang w:val="en-US"/>
        </w:rPr>
        <w:t>G</w:t>
      </w:r>
      <w:r w:rsidRPr="00D03F3E">
        <w:rPr>
          <w:rFonts w:ascii="Times New Roman" w:hAnsi="Times New Roman" w:cs="Times New Roman"/>
          <w:color w:val="000000" w:themeColor="text1"/>
          <w:sz w:val="16"/>
          <w:szCs w:val="16"/>
        </w:rPr>
        <w:t>-4 с за</w:t>
      </w:r>
      <w:r w:rsidRPr="00D03F3E">
        <w:rPr>
          <w:rFonts w:ascii="Times New Roman" w:hAnsi="Times New Roman" w:cs="Times New Roman"/>
          <w:color w:val="000000" w:themeColor="text1"/>
          <w:sz w:val="16"/>
          <w:szCs w:val="16"/>
        </w:rPr>
        <w:softHyphen/>
        <w:t xml:space="preserve">водским номером 19742 из состава 9./ </w:t>
      </w:r>
      <w:r w:rsidRPr="00D03F3E">
        <w:rPr>
          <w:rFonts w:ascii="Times New Roman" w:hAnsi="Times New Roman" w:cs="Times New Roman"/>
          <w:color w:val="000000" w:themeColor="text1"/>
          <w:sz w:val="16"/>
          <w:szCs w:val="16"/>
          <w:lang w:val="en-US"/>
        </w:rPr>
        <w:t>JG</w:t>
      </w:r>
      <w:r w:rsidRPr="00D03F3E">
        <w:rPr>
          <w:rFonts w:ascii="Times New Roman" w:hAnsi="Times New Roman" w:cs="Times New Roman"/>
          <w:color w:val="000000" w:themeColor="text1"/>
          <w:sz w:val="16"/>
          <w:szCs w:val="16"/>
        </w:rPr>
        <w:t>3. Надо полагать, что не ввяжись полковник Н.А. Наумов в бой с прикры</w:t>
      </w:r>
      <w:r w:rsidRPr="00D03F3E">
        <w:rPr>
          <w:rFonts w:ascii="Times New Roman" w:hAnsi="Times New Roman" w:cs="Times New Roman"/>
          <w:color w:val="000000" w:themeColor="text1"/>
          <w:sz w:val="16"/>
          <w:szCs w:val="16"/>
        </w:rPr>
        <w:softHyphen/>
        <w:t>вавшими отряд боевых кораблей «мес- сершмиттами», наши потери могли быть куда чувствительнее.</w:t>
      </w:r>
    </w:p>
    <w:p w14:paraId="5FEE2826" w14:textId="77777777" w:rsidR="00D92347" w:rsidRPr="00D03F3E" w:rsidRDefault="00D9234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Однако время Р-10 уже безвоз</w:t>
      </w:r>
      <w:r w:rsidRPr="00D03F3E">
        <w:rPr>
          <w:rFonts w:ascii="Times New Roman" w:hAnsi="Times New Roman" w:cs="Times New Roman"/>
          <w:color w:val="000000" w:themeColor="text1"/>
          <w:sz w:val="16"/>
          <w:szCs w:val="16"/>
        </w:rPr>
        <w:softHyphen/>
        <w:t>вратно ушло и это понимали все, вклю</w:t>
      </w:r>
      <w:r w:rsidRPr="00D03F3E">
        <w:rPr>
          <w:rFonts w:ascii="Times New Roman" w:hAnsi="Times New Roman" w:cs="Times New Roman"/>
          <w:color w:val="000000" w:themeColor="text1"/>
          <w:sz w:val="16"/>
          <w:szCs w:val="16"/>
        </w:rPr>
        <w:softHyphen/>
        <w:t>чая командование. Поэтому 4 июня 1943 года вышел приказ Народного комиссара ВМФ Н.Г. Кузнецова о пе</w:t>
      </w:r>
      <w:r w:rsidRPr="00D03F3E">
        <w:rPr>
          <w:rFonts w:ascii="Times New Roman" w:hAnsi="Times New Roman" w:cs="Times New Roman"/>
          <w:color w:val="000000" w:themeColor="text1"/>
          <w:sz w:val="16"/>
          <w:szCs w:val="16"/>
        </w:rPr>
        <w:softHyphen/>
        <w:t>реводе 23-го шап на новую матери</w:t>
      </w:r>
      <w:r w:rsidRPr="00D03F3E">
        <w:rPr>
          <w:rFonts w:ascii="Times New Roman" w:hAnsi="Times New Roman" w:cs="Times New Roman"/>
          <w:color w:val="000000" w:themeColor="text1"/>
          <w:sz w:val="16"/>
          <w:szCs w:val="16"/>
        </w:rPr>
        <w:softHyphen/>
        <w:t>альную часть - штурмовики Ил-2. С 25 июня в части была сформирована 3-я эскадрилья на «илюшиных» и не</w:t>
      </w:r>
      <w:r w:rsidRPr="00D03F3E">
        <w:rPr>
          <w:rFonts w:ascii="Times New Roman" w:hAnsi="Times New Roman" w:cs="Times New Roman"/>
          <w:color w:val="000000" w:themeColor="text1"/>
          <w:sz w:val="16"/>
          <w:szCs w:val="16"/>
        </w:rPr>
        <w:softHyphen/>
        <w:t>которое время полк имел смешанный состав. 19 сентября 1943 года специ</w:t>
      </w:r>
      <w:r w:rsidRPr="00D03F3E">
        <w:rPr>
          <w:rFonts w:ascii="Times New Roman" w:hAnsi="Times New Roman" w:cs="Times New Roman"/>
          <w:color w:val="000000" w:themeColor="text1"/>
          <w:sz w:val="16"/>
          <w:szCs w:val="16"/>
        </w:rPr>
        <w:softHyphen/>
        <w:t>альная комиссия осмотрела оставши</w:t>
      </w:r>
      <w:r w:rsidRPr="00D03F3E">
        <w:rPr>
          <w:rFonts w:ascii="Times New Roman" w:hAnsi="Times New Roman" w:cs="Times New Roman"/>
          <w:color w:val="000000" w:themeColor="text1"/>
          <w:sz w:val="16"/>
          <w:szCs w:val="16"/>
        </w:rPr>
        <w:softHyphen/>
        <w:t>еся в строю Р-10 и определила их к списанию. Только одна машина была передана флотилии. Ну а 23-й шап продолжил свою боевую работу теперь уже на новых машинах (19085).</w:t>
      </w:r>
    </w:p>
    <w:p w14:paraId="4E872746" w14:textId="77777777" w:rsidR="00D92347" w:rsidRPr="00D03F3E" w:rsidRDefault="00D9234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31FA90B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марта 1943 вышло Постановление ГКО № 3076 О противовоздушной обороне районов Ярославля и Рыбинска. (7091, 68).</w:t>
      </w:r>
    </w:p>
    <w:p w14:paraId="748F29C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354045" w14:textId="59E7A19B" w:rsidR="00FE3CBC" w:rsidRPr="00D03F3E" w:rsidRDefault="00FE3CBC"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D03F3E">
        <w:rPr>
          <w:rFonts w:ascii="Times New Roman" w:hAnsi="Times New Roman"/>
          <w:i/>
          <w:iCs/>
          <w:color w:val="000000" w:themeColor="text1"/>
          <w:sz w:val="16"/>
          <w:szCs w:val="16"/>
        </w:rPr>
        <w:t>За рубежом:</w:t>
      </w:r>
    </w:p>
    <w:p w14:paraId="1457E041" w14:textId="77777777" w:rsidR="00FE3CBC" w:rsidRPr="00D03F3E" w:rsidRDefault="00FE3CBC"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62F98DE" w14:textId="77777777" w:rsidR="00FE3CBC" w:rsidRPr="00D03F3E" w:rsidRDefault="00FE3CB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24 марта 1943 первый полет Bristol XLRQ (20376).</w:t>
      </w:r>
    </w:p>
    <w:p w14:paraId="0B084329" w14:textId="77777777" w:rsidR="00FE3CBC" w:rsidRPr="00D03F3E" w:rsidRDefault="00FE3CBC" w:rsidP="00D03F3E">
      <w:pPr>
        <w:spacing w:after="0" w:line="240" w:lineRule="auto"/>
        <w:jc w:val="both"/>
        <w:rPr>
          <w:rFonts w:ascii="Times New Roman" w:hAnsi="Times New Roman"/>
          <w:color w:val="0070C0"/>
          <w:sz w:val="16"/>
          <w:szCs w:val="16"/>
        </w:rPr>
      </w:pPr>
    </w:p>
    <w:p w14:paraId="33429AF3" w14:textId="36EF45DC"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1D3F26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AA89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марта 1943 при контрольном испытании Ил-2 завода 1 N 10573 были достигнуты скорости 398 км/час у земли и 413 км/час на границе высотности (1823,28).</w:t>
      </w:r>
    </w:p>
    <w:p w14:paraId="1B7C7F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384F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марта 1943 в НИИ ВВС прибыло два Хе-111: Н-6 и Н-11. Первый в процессе работы получил повреждения, а второй в конце мая закончил испытания. Летал Г.Ашитков, а ви был м Г.Грибакин. Оказался недостаточно скоростным, скоро подъемным, дальним, защищенным (несмотря на вес брони в 170 кг), но хорошо управляемым (1122,12).</w:t>
      </w:r>
    </w:p>
    <w:p w14:paraId="154334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П.И.Федоров утвердил Отчет по результатам гос. испытаний трофейного немецкого дальнего бомбардировщика Хейнкель - 111 с ЮМО-211 Ф-11. Летал Г.А.Ашитков</w:t>
      </w:r>
    </w:p>
    <w:p w14:paraId="4E53AE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 исполнители:</w:t>
      </w:r>
    </w:p>
    <w:p w14:paraId="7B5E90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 и 3 отд. Ии-м Г.В.Грибакин</w:t>
      </w:r>
    </w:p>
    <w:p w14:paraId="75D7AC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 л л 3 отд. НИИ п/п Г.А.Ашитков</w:t>
      </w:r>
    </w:p>
    <w:p w14:paraId="6DF4D0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 Грибов</w:t>
      </w:r>
    </w:p>
    <w:p w14:paraId="63E23C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Цель испытания: опр. Лтд и выявить конструктивно-эксплуатационные особенности с-та, ВМГ. Способы обороны и вооружение</w:t>
      </w:r>
    </w:p>
    <w:p w14:paraId="793C21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Объект испытаний: с-т Хе-111 (тип Н-6 и Н-11) является ДБ германских ВВС</w:t>
      </w:r>
    </w:p>
    <w:p w14:paraId="12E8F2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Цельнометаллической конструкции, 2-х моторный моноплан с низкорасположенным крылом.</w:t>
      </w:r>
    </w:p>
    <w:p w14:paraId="0D9FF1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Несколько необычная внешняя форма кабины (без фонаря).</w:t>
      </w:r>
    </w:p>
    <w:p w14:paraId="4BF07D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Т.к. в носке фюзеляжа установлена пушка и бомбардировочный прицел, то для обеспечения л обзора вперед, форма носка фюзеляжа выполнена ассиметричной, вершина носка смещена вправо и вся кабина пилота остеклена</w:t>
      </w:r>
    </w:p>
    <w:p w14:paraId="641362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 пилот 1, штурман 1, стрелдок-радист 1, стрелки - 1-2</w:t>
      </w:r>
    </w:p>
    <w:p w14:paraId="56BFF2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Пилот и штурман расположена в кабине рялдом (слева пилос, справа ш).</w:t>
      </w:r>
    </w:p>
    <w:p w14:paraId="1CCC02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Бомбардировочное вооружение Н-6 имеет замки для внутренней подвески 4-х бомб калибра до 250 кг или бомб малого калибра в спецкассетах и внешней подвески </w:t>
      </w:r>
      <w:r w:rsidRPr="00D03F3E">
        <w:rPr>
          <w:rFonts w:ascii="Times New Roman" w:hAnsi="Times New Roman"/>
          <w:color w:val="000000" w:themeColor="text1"/>
          <w:sz w:val="16"/>
          <w:szCs w:val="16"/>
        </w:rPr>
        <w:lastRenderedPageBreak/>
        <w:t>для 1000 кг бомб калибра не более 500 кг. На Н-12 пять замков только для наружной подвески бомб калибра 250 - 1700 кг. Бомбовая нагрузка Н-6 - до 1500 к, Н-11 - 2000-3000 кг</w:t>
      </w:r>
    </w:p>
    <w:p w14:paraId="597588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Моторы 2 ЮМО 211 </w:t>
      </w:r>
      <w:r w:rsidRPr="00D03F3E">
        <w:rPr>
          <w:rFonts w:ascii="Times New Roman" w:hAnsi="Times New Roman"/>
          <w:color w:val="000000" w:themeColor="text1"/>
          <w:sz w:val="16"/>
          <w:szCs w:val="16"/>
          <w:lang w:val="en-US"/>
        </w:rPr>
        <w:t>F</w:t>
      </w:r>
      <w:r w:rsidRPr="00D03F3E">
        <w:rPr>
          <w:rFonts w:ascii="Times New Roman" w:hAnsi="Times New Roman"/>
          <w:color w:val="000000" w:themeColor="text1"/>
          <w:sz w:val="16"/>
          <w:szCs w:val="16"/>
        </w:rPr>
        <w:t xml:space="preserve"> 11 </w:t>
      </w:r>
      <w:r w:rsidRPr="00D03F3E">
        <w:rPr>
          <w:rFonts w:ascii="Times New Roman" w:hAnsi="Times New Roman"/>
          <w:color w:val="000000" w:themeColor="text1"/>
          <w:sz w:val="16"/>
          <w:szCs w:val="16"/>
          <w:lang w:val="en-US"/>
        </w:rPr>
        <w:t>V</w:t>
      </w:r>
      <w:r w:rsidRPr="00D03F3E">
        <w:rPr>
          <w:rFonts w:ascii="Times New Roman" w:hAnsi="Times New Roman"/>
          <w:color w:val="000000" w:themeColor="text1"/>
          <w:sz w:val="16"/>
          <w:szCs w:val="16"/>
        </w:rPr>
        <w:t xml:space="preserve">-образный, перевернутого типа, 12-цилиндровый жидкостного охлаждения с непосреддственным впрыском топлива в цилиндры. Взлетная мощность 1350 лс, номинальная - 1020 на 5500, винты Юнкерс </w:t>
      </w:r>
      <w:r w:rsidRPr="00D03F3E">
        <w:rPr>
          <w:rFonts w:ascii="Times New Roman" w:hAnsi="Times New Roman"/>
          <w:color w:val="000000" w:themeColor="text1"/>
          <w:sz w:val="16"/>
          <w:szCs w:val="16"/>
          <w:lang w:val="en-US"/>
        </w:rPr>
        <w:t>VS</w:t>
      </w:r>
      <w:r w:rsidRPr="00D03F3E">
        <w:rPr>
          <w:rFonts w:ascii="Times New Roman" w:hAnsi="Times New Roman"/>
          <w:color w:val="000000" w:themeColor="text1"/>
          <w:sz w:val="16"/>
          <w:szCs w:val="16"/>
        </w:rPr>
        <w:t>-11 изменяемого в полете шага , з-х лопастной деревянный диаметром 3,5 м</w:t>
      </w:r>
    </w:p>
    <w:p w14:paraId="0D14A3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Винты могут устанавливаться во флюгерное положение.</w:t>
      </w:r>
    </w:p>
    <w:p w14:paraId="6BD261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Шасси и костыль убираются. Система подъема и выпуска гидравлическая. Авиарийная система - троссовая. Размер колес 1140х410, костыля\ 500х180. Тормоза тпа Юнкерс. Закрылки - щелевые. Система управления гидравлическая. Взлетный угол 15, посадочный - 60. Бронирование в виде щитков имеют все члены экипажа. Частично забронированы наиболее уязвимые агрегаты ВМГ - масляные и водяные радиаторы. Антиобледенители - жидкостные и только на винтах.</w:t>
      </w:r>
    </w:p>
    <w:p w14:paraId="00F4A9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Стрелковое вооружение:</w:t>
      </w:r>
    </w:p>
    <w:p w14:paraId="451385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Н-6 - в носу подвижная установка пушки Эрликон 20 мм, управляемая штурманом. Сверзху фюзеляжа в задней кабине турельная установка пулемета МГ-15 калибра 7,92, управляемая стрелком-радистом.</w:t>
      </w:r>
    </w:p>
    <w:p w14:paraId="1900B1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задней кабине два бортовых пулемета калибра 7,92, управляемых стрелком. В гондоле фюзеляжа два люковых пулемета МГ-15 калибра 7,92, управляемых люковым стрелком</w:t>
      </w:r>
    </w:p>
    <w:p w14:paraId="4AA5C7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хвостовом коке один неподвижный пулемет МГ-17 калибра 7,92 с дистанционным управлением стрелком радистом</w:t>
      </w:r>
    </w:p>
    <w:p w14:paraId="54D7D1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пулеметы и пушка за исключением Мг-17 с магазинным питанием.</w:t>
      </w:r>
    </w:p>
    <w:p w14:paraId="76911E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Н-11 сверху фюзеляжа в задней кабине вместо МГ-15 установлен МГ-131 калибром 13 мм с непрерывным ленточным питанием</w:t>
      </w:r>
    </w:p>
    <w:p w14:paraId="384F8D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люковой установке - спарка МГ-15с непрерывным ленточным питанием.</w:t>
      </w:r>
    </w:p>
    <w:p w14:paraId="5EFA10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вооружения снят неподвижный хвостовой МГ-17</w:t>
      </w:r>
    </w:p>
    <w:p w14:paraId="3A63F0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Остальные установки - аналогичны Н-6</w:t>
      </w:r>
    </w:p>
    <w:p w14:paraId="271D92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Спецоборудование:</w:t>
      </w:r>
    </w:p>
    <w:p w14:paraId="348EF3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с-те установлен автомат курса, аппаратура для слепой посадки, длинноволновая и коротковолновая р/с и РПК</w:t>
      </w:r>
    </w:p>
    <w:p w14:paraId="6B24D9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с-те установлено 2 генератора общей мощностью 4 КВ</w:t>
      </w:r>
    </w:p>
    <w:p w14:paraId="7FA6B9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Обогрев кабины - от выхлопной система моторов</w:t>
      </w:r>
    </w:p>
    <w:p w14:paraId="3A1C14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Н-11 изготовлен во второй половине 1942</w:t>
      </w:r>
    </w:p>
    <w:p w14:paraId="623EC7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Результаты испытаний:</w:t>
      </w:r>
    </w:p>
    <w:p w14:paraId="1D8412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 Н-6 прибыл в НИИ 24 февраля 1943, ст- Н-11-25 - 20 марта 1943</w:t>
      </w:r>
    </w:p>
    <w:p w14:paraId="6EBE5C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Вследствие поломки с-т Н-6 26 марта выбыл из испытаний. На с-те Н-11 ыследствие его ремонта и отсутствия горючего полеты в апреле и в первой половине мая не производились.</w:t>
      </w:r>
    </w:p>
    <w:p w14:paraId="17E7D1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Летные испытания Н-11 начаты 13 мая и закончены 31 мая 1943. За время испытаний на Н-11 выполнено 11 полетов с налетом 7:25.</w:t>
      </w:r>
    </w:p>
    <w:p w14:paraId="33588D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пустого - 8550, центровка 24,75% САХ</w:t>
      </w:r>
    </w:p>
    <w:p w14:paraId="6739F6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Полетный вес 12270 кг, центровка 27,6% САХ</w:t>
      </w:r>
    </w:p>
    <w:p w14:paraId="35C15E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Нагрузка:</w:t>
      </w:r>
    </w:p>
    <w:p w14:paraId="566352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 4х90=360</w:t>
      </w:r>
    </w:p>
    <w:p w14:paraId="3B5795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Горючее (уд. Вес 0,73) - 3000</w:t>
      </w:r>
    </w:p>
    <w:p w14:paraId="2A1316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масло - 150</w:t>
      </w:r>
    </w:p>
    <w:p w14:paraId="395E98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стрелковое вооружение - 82</w:t>
      </w:r>
    </w:p>
    <w:p w14:paraId="7D1ACF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Патроны к пулеметам и пушке с магазинами (не полный комплект) - 128</w:t>
      </w:r>
    </w:p>
    <w:p w14:paraId="08AA13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3720</w:t>
      </w:r>
    </w:p>
    <w:p w14:paraId="7FB044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Летные характеристики для машины с полетным весом 11500, которые состоит из веса пустого 8550 + горючее 2230, масло 150, пушки и пулеметы с патронами - 210, экипаж 4х90:</w:t>
      </w:r>
    </w:p>
    <w:p w14:paraId="283B17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скорость у земли - 330 при работе мотора на 30 мин. Номинале Рк 1250, на 1 гр. высотности (2500) - 374, на 2-й гв (5700) - 400 км/час</w:t>
      </w:r>
    </w:p>
    <w:p w14:paraId="7E1284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Максимальные скорости, полученные при испытаниях, совпадают с немецкими данными</w:t>
      </w:r>
    </w:p>
    <w:p w14:paraId="276FC1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Высота переключения 3250, скорость - 365, Рк 920 и 7000 на 7000 м, скорость 376, Рк 752</w:t>
      </w:r>
    </w:p>
    <w:p w14:paraId="056360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5000 м - 20 мин.</w:t>
      </w:r>
    </w:p>
    <w:p w14:paraId="5079FE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Потолок 8750, время набора - 57</w:t>
      </w:r>
    </w:p>
    <w:p w14:paraId="732E9C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Разбег 560 м</w:t>
      </w:r>
    </w:p>
    <w:p w14:paraId="5E3AE1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Посадочная скорость - 133</w:t>
      </w:r>
    </w:p>
    <w:p w14:paraId="13E969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Пробег 495</w:t>
      </w:r>
    </w:p>
    <w:p w14:paraId="7C918A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Вертикальная скорость у земли - 5,0</w:t>
      </w:r>
    </w:p>
    <w:p w14:paraId="766A16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Вертикальная скорость на 1 гр. 5,2</w:t>
      </w:r>
    </w:p>
    <w:p w14:paraId="5EF0D6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Вертикальная скорость на 2 гр. 5000 м 3,7</w:t>
      </w:r>
    </w:p>
    <w:p w14:paraId="5874ED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Вертикальная скорость на 7000 м 2,2</w:t>
      </w:r>
    </w:p>
    <w:p w14:paraId="18C7FA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Граница переключения скорости нагнетателя 3400 при скорости 3,4, а на макс. скорости гр. переключения 3250</w:t>
      </w:r>
    </w:p>
    <w:p w14:paraId="4ADFFB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Бензосистема (по бортовому описанию). Расходные баки 2х200 - 400. Консольные баки - 2х1025=2500 с автосливом, фюзеляжный бак 1х835 с автосливом</w:t>
      </w:r>
    </w:p>
    <w:p w14:paraId="0DBC47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и продолжительность полета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792"/>
        <w:gridCol w:w="872"/>
        <w:gridCol w:w="873"/>
        <w:gridCol w:w="872"/>
        <w:gridCol w:w="3053"/>
      </w:tblGrid>
      <w:tr w:rsidR="00860B4B" w:rsidRPr="00D03F3E" w14:paraId="3B50099F" w14:textId="77777777">
        <w:tc>
          <w:tcPr>
            <w:tcW w:w="1868" w:type="dxa"/>
            <w:tcBorders>
              <w:top w:val="single" w:sz="12" w:space="0" w:color="auto"/>
            </w:tcBorders>
          </w:tcPr>
          <w:p w14:paraId="0B2041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2" w:type="dxa"/>
            <w:tcBorders>
              <w:top w:val="single" w:sz="12" w:space="0" w:color="auto"/>
            </w:tcBorders>
          </w:tcPr>
          <w:p w14:paraId="6F6CE7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2" w:type="dxa"/>
            <w:tcBorders>
              <w:top w:val="single" w:sz="12" w:space="0" w:color="auto"/>
            </w:tcBorders>
          </w:tcPr>
          <w:p w14:paraId="3FEF12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w:t>
            </w:r>
          </w:p>
        </w:tc>
        <w:tc>
          <w:tcPr>
            <w:tcW w:w="873" w:type="dxa"/>
            <w:tcBorders>
              <w:top w:val="single" w:sz="12" w:space="0" w:color="auto"/>
            </w:tcBorders>
          </w:tcPr>
          <w:p w14:paraId="519669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w:t>
            </w:r>
          </w:p>
        </w:tc>
        <w:tc>
          <w:tcPr>
            <w:tcW w:w="872" w:type="dxa"/>
            <w:tcBorders>
              <w:top w:val="single" w:sz="12" w:space="0" w:color="auto"/>
            </w:tcBorders>
          </w:tcPr>
          <w:p w14:paraId="12600F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5000</w:t>
            </w:r>
          </w:p>
        </w:tc>
        <w:tc>
          <w:tcPr>
            <w:tcW w:w="3053" w:type="dxa"/>
            <w:tcBorders>
              <w:top w:val="single" w:sz="12" w:space="0" w:color="auto"/>
            </w:tcBorders>
          </w:tcPr>
          <w:p w14:paraId="0A38AC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w:t>
            </w:r>
          </w:p>
        </w:tc>
      </w:tr>
      <w:tr w:rsidR="00860B4B" w:rsidRPr="00D03F3E" w14:paraId="53D8B760" w14:textId="77777777">
        <w:tc>
          <w:tcPr>
            <w:tcW w:w="1868" w:type="dxa"/>
          </w:tcPr>
          <w:p w14:paraId="088DF1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Давление наддува</w:t>
            </w:r>
          </w:p>
        </w:tc>
        <w:tc>
          <w:tcPr>
            <w:tcW w:w="792" w:type="dxa"/>
          </w:tcPr>
          <w:p w14:paraId="487E51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атм.</w:t>
            </w:r>
          </w:p>
        </w:tc>
        <w:tc>
          <w:tcPr>
            <w:tcW w:w="872" w:type="dxa"/>
          </w:tcPr>
          <w:p w14:paraId="30FCC3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1,15</w:t>
            </w:r>
          </w:p>
        </w:tc>
        <w:tc>
          <w:tcPr>
            <w:tcW w:w="873" w:type="dxa"/>
          </w:tcPr>
          <w:p w14:paraId="6BD586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1,15</w:t>
            </w:r>
          </w:p>
        </w:tc>
        <w:tc>
          <w:tcPr>
            <w:tcW w:w="872" w:type="dxa"/>
          </w:tcPr>
          <w:p w14:paraId="79893B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1,15</w:t>
            </w:r>
          </w:p>
        </w:tc>
        <w:tc>
          <w:tcPr>
            <w:tcW w:w="3053" w:type="dxa"/>
          </w:tcPr>
          <w:p w14:paraId="20CF82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Данные приведены с учетом резерва горючего на 15-20 мин. полета</w:t>
            </w:r>
          </w:p>
        </w:tc>
      </w:tr>
      <w:tr w:rsidR="00860B4B" w:rsidRPr="00D03F3E" w14:paraId="368A0C2E" w14:textId="77777777">
        <w:tc>
          <w:tcPr>
            <w:tcW w:w="1868" w:type="dxa"/>
          </w:tcPr>
          <w:p w14:paraId="3BFFC8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Обороты</w:t>
            </w:r>
          </w:p>
        </w:tc>
        <w:tc>
          <w:tcPr>
            <w:tcW w:w="792" w:type="dxa"/>
          </w:tcPr>
          <w:p w14:paraId="5EC43B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2" w:type="dxa"/>
          </w:tcPr>
          <w:p w14:paraId="2936CB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2250</w:t>
            </w:r>
          </w:p>
        </w:tc>
        <w:tc>
          <w:tcPr>
            <w:tcW w:w="873" w:type="dxa"/>
          </w:tcPr>
          <w:p w14:paraId="3632E8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2250</w:t>
            </w:r>
          </w:p>
        </w:tc>
        <w:tc>
          <w:tcPr>
            <w:tcW w:w="872" w:type="dxa"/>
          </w:tcPr>
          <w:p w14:paraId="5A02E4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2250</w:t>
            </w:r>
          </w:p>
        </w:tc>
        <w:tc>
          <w:tcPr>
            <w:tcW w:w="3053" w:type="dxa"/>
          </w:tcPr>
          <w:p w14:paraId="3C12C1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43D1612" w14:textId="77777777">
        <w:tc>
          <w:tcPr>
            <w:tcW w:w="1868" w:type="dxa"/>
          </w:tcPr>
          <w:p w14:paraId="69020D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Расход горючего</w:t>
            </w:r>
          </w:p>
        </w:tc>
        <w:tc>
          <w:tcPr>
            <w:tcW w:w="792" w:type="dxa"/>
          </w:tcPr>
          <w:p w14:paraId="0EDE7A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л/час</w:t>
            </w:r>
          </w:p>
        </w:tc>
        <w:tc>
          <w:tcPr>
            <w:tcW w:w="872" w:type="dxa"/>
          </w:tcPr>
          <w:p w14:paraId="081300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585</w:t>
            </w:r>
          </w:p>
        </w:tc>
        <w:tc>
          <w:tcPr>
            <w:tcW w:w="873" w:type="dxa"/>
          </w:tcPr>
          <w:p w14:paraId="5C1846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625</w:t>
            </w:r>
          </w:p>
        </w:tc>
        <w:tc>
          <w:tcPr>
            <w:tcW w:w="872" w:type="dxa"/>
          </w:tcPr>
          <w:p w14:paraId="2A4D60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615</w:t>
            </w:r>
          </w:p>
        </w:tc>
        <w:tc>
          <w:tcPr>
            <w:tcW w:w="3053" w:type="dxa"/>
          </w:tcPr>
          <w:p w14:paraId="75882D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AF58A78" w14:textId="77777777">
        <w:tc>
          <w:tcPr>
            <w:tcW w:w="1868" w:type="dxa"/>
          </w:tcPr>
          <w:p w14:paraId="368462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Скорость полета (0,9 макс.)</w:t>
            </w:r>
          </w:p>
        </w:tc>
        <w:tc>
          <w:tcPr>
            <w:tcW w:w="792" w:type="dxa"/>
          </w:tcPr>
          <w:p w14:paraId="0FD580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2" w:type="dxa"/>
          </w:tcPr>
          <w:p w14:paraId="0CC03D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tc>
        <w:tc>
          <w:tcPr>
            <w:tcW w:w="873" w:type="dxa"/>
          </w:tcPr>
          <w:p w14:paraId="4605EC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330</w:t>
            </w:r>
          </w:p>
        </w:tc>
        <w:tc>
          <w:tcPr>
            <w:tcW w:w="872" w:type="dxa"/>
          </w:tcPr>
          <w:p w14:paraId="6C5BCA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345</w:t>
            </w:r>
          </w:p>
        </w:tc>
        <w:tc>
          <w:tcPr>
            <w:tcW w:w="3053" w:type="dxa"/>
          </w:tcPr>
          <w:p w14:paraId="187FD4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8DC8DAF" w14:textId="77777777">
        <w:tc>
          <w:tcPr>
            <w:tcW w:w="1868" w:type="dxa"/>
          </w:tcPr>
          <w:p w14:paraId="38CE28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при заправке</w:t>
            </w:r>
          </w:p>
        </w:tc>
        <w:tc>
          <w:tcPr>
            <w:tcW w:w="792" w:type="dxa"/>
          </w:tcPr>
          <w:p w14:paraId="580079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2180</w:t>
            </w:r>
          </w:p>
        </w:tc>
        <w:tc>
          <w:tcPr>
            <w:tcW w:w="872" w:type="dxa"/>
          </w:tcPr>
          <w:p w14:paraId="25521B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1065</w:t>
            </w:r>
          </w:p>
        </w:tc>
        <w:tc>
          <w:tcPr>
            <w:tcW w:w="873" w:type="dxa"/>
          </w:tcPr>
          <w:p w14:paraId="59FE12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1065</w:t>
            </w:r>
          </w:p>
        </w:tc>
        <w:tc>
          <w:tcPr>
            <w:tcW w:w="872" w:type="dxa"/>
          </w:tcPr>
          <w:p w14:paraId="030C01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1090</w:t>
            </w:r>
          </w:p>
        </w:tc>
        <w:tc>
          <w:tcPr>
            <w:tcW w:w="3053" w:type="dxa"/>
          </w:tcPr>
          <w:p w14:paraId="7EB174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9B7B7B1" w14:textId="77777777">
        <w:tc>
          <w:tcPr>
            <w:tcW w:w="1868" w:type="dxa"/>
          </w:tcPr>
          <w:p w14:paraId="403476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2" w:type="dxa"/>
          </w:tcPr>
          <w:p w14:paraId="37A848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3280</w:t>
            </w:r>
          </w:p>
        </w:tc>
        <w:tc>
          <w:tcPr>
            <w:tcW w:w="872" w:type="dxa"/>
          </w:tcPr>
          <w:p w14:paraId="4DE27C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1675</w:t>
            </w:r>
          </w:p>
        </w:tc>
        <w:tc>
          <w:tcPr>
            <w:tcW w:w="873" w:type="dxa"/>
          </w:tcPr>
          <w:p w14:paraId="04E0C4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1685</w:t>
            </w:r>
          </w:p>
        </w:tc>
        <w:tc>
          <w:tcPr>
            <w:tcW w:w="872" w:type="dxa"/>
          </w:tcPr>
          <w:p w14:paraId="3DE717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1755</w:t>
            </w:r>
          </w:p>
        </w:tc>
        <w:tc>
          <w:tcPr>
            <w:tcW w:w="3053" w:type="dxa"/>
          </w:tcPr>
          <w:p w14:paraId="657738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0999EB3" w14:textId="77777777">
        <w:tc>
          <w:tcPr>
            <w:tcW w:w="1868" w:type="dxa"/>
          </w:tcPr>
          <w:p w14:paraId="080ED3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Продолжительность при заправке</w:t>
            </w:r>
          </w:p>
        </w:tc>
        <w:tc>
          <w:tcPr>
            <w:tcW w:w="792" w:type="dxa"/>
          </w:tcPr>
          <w:p w14:paraId="3BCED3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2180</w:t>
            </w:r>
          </w:p>
        </w:tc>
        <w:tc>
          <w:tcPr>
            <w:tcW w:w="872" w:type="dxa"/>
          </w:tcPr>
          <w:p w14:paraId="08892B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3:20</w:t>
            </w:r>
          </w:p>
        </w:tc>
        <w:tc>
          <w:tcPr>
            <w:tcW w:w="873" w:type="dxa"/>
          </w:tcPr>
          <w:p w14:paraId="11570E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3:20</w:t>
            </w:r>
          </w:p>
        </w:tc>
        <w:tc>
          <w:tcPr>
            <w:tcW w:w="872" w:type="dxa"/>
          </w:tcPr>
          <w:p w14:paraId="53C934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3:20</w:t>
            </w:r>
          </w:p>
        </w:tc>
        <w:tc>
          <w:tcPr>
            <w:tcW w:w="3053" w:type="dxa"/>
          </w:tcPr>
          <w:p w14:paraId="68F817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BB2B753" w14:textId="77777777">
        <w:tc>
          <w:tcPr>
            <w:tcW w:w="1868" w:type="dxa"/>
          </w:tcPr>
          <w:p w14:paraId="706A03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2" w:type="dxa"/>
          </w:tcPr>
          <w:p w14:paraId="2E0F9B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3280</w:t>
            </w:r>
          </w:p>
        </w:tc>
        <w:tc>
          <w:tcPr>
            <w:tcW w:w="872" w:type="dxa"/>
          </w:tcPr>
          <w:p w14:paraId="27BDA3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5:15</w:t>
            </w:r>
          </w:p>
        </w:tc>
        <w:tc>
          <w:tcPr>
            <w:tcW w:w="873" w:type="dxa"/>
          </w:tcPr>
          <w:p w14:paraId="31450F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tc>
        <w:tc>
          <w:tcPr>
            <w:tcW w:w="872" w:type="dxa"/>
          </w:tcPr>
          <w:p w14:paraId="417D4C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5:05</w:t>
            </w:r>
          </w:p>
        </w:tc>
        <w:tc>
          <w:tcPr>
            <w:tcW w:w="3053" w:type="dxa"/>
          </w:tcPr>
          <w:p w14:paraId="7EEAAB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AF55067" w14:textId="77777777">
        <w:tc>
          <w:tcPr>
            <w:tcW w:w="1868" w:type="dxa"/>
            <w:tcBorders>
              <w:bottom w:val="single" w:sz="12" w:space="0" w:color="auto"/>
            </w:tcBorders>
          </w:tcPr>
          <w:p w14:paraId="622FAB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2" w:type="dxa"/>
            <w:tcBorders>
              <w:bottom w:val="single" w:sz="12" w:space="0" w:color="auto"/>
            </w:tcBorders>
          </w:tcPr>
          <w:p w14:paraId="59D3C1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2" w:type="dxa"/>
            <w:tcBorders>
              <w:bottom w:val="single" w:sz="12" w:space="0" w:color="auto"/>
            </w:tcBorders>
          </w:tcPr>
          <w:p w14:paraId="2BC31B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Borders>
              <w:bottom w:val="single" w:sz="12" w:space="0" w:color="auto"/>
            </w:tcBorders>
          </w:tcPr>
          <w:p w14:paraId="7701FF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2" w:type="dxa"/>
            <w:tcBorders>
              <w:bottom w:val="single" w:sz="12" w:space="0" w:color="auto"/>
            </w:tcBorders>
          </w:tcPr>
          <w:p w14:paraId="22B84A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053" w:type="dxa"/>
            <w:tcBorders>
              <w:bottom w:val="single" w:sz="12" w:space="0" w:color="auto"/>
            </w:tcBorders>
          </w:tcPr>
          <w:p w14:paraId="131300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01A78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Виражи на Н-11 при полетном весе 11500 на всоте 2000 м при 2400 оборотах и Ра 1,2</w:t>
      </w:r>
    </w:p>
    <w:p w14:paraId="628515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левый (крен 55-60 гр.) при скорости 281 км/час 48,3 с учетом ввода и вывода</w:t>
      </w:r>
    </w:p>
    <w:p w14:paraId="26879A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правый (крен тот же) при скорости 286 - 49 с учетом ввода и вывода</w:t>
      </w:r>
    </w:p>
    <w:p w14:paraId="3B3C3D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Таблица сравнения данныфх Хе-11 Н-11 2 ЮМО 211 </w:t>
      </w:r>
      <w:r w:rsidRPr="00D03F3E">
        <w:rPr>
          <w:rFonts w:ascii="Times New Roman" w:hAnsi="Times New Roman"/>
          <w:color w:val="000000" w:themeColor="text1"/>
          <w:sz w:val="16"/>
          <w:szCs w:val="16"/>
          <w:lang w:val="en-US"/>
        </w:rPr>
        <w:t>F</w:t>
      </w:r>
      <w:r w:rsidRPr="00D03F3E">
        <w:rPr>
          <w:rFonts w:ascii="Times New Roman" w:hAnsi="Times New Roman"/>
          <w:color w:val="000000" w:themeColor="text1"/>
          <w:sz w:val="16"/>
          <w:szCs w:val="16"/>
        </w:rPr>
        <w:t>-11 с Ил-4 2М-88б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2042"/>
        <w:gridCol w:w="1985"/>
      </w:tblGrid>
      <w:tr w:rsidR="00860B4B" w:rsidRPr="00D03F3E" w14:paraId="63FE83FC" w14:textId="77777777">
        <w:tc>
          <w:tcPr>
            <w:tcW w:w="3736" w:type="dxa"/>
            <w:tcBorders>
              <w:top w:val="single" w:sz="12" w:space="0" w:color="auto"/>
            </w:tcBorders>
          </w:tcPr>
          <w:p w14:paraId="111D06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Наименование</w:t>
            </w:r>
          </w:p>
        </w:tc>
        <w:tc>
          <w:tcPr>
            <w:tcW w:w="2042" w:type="dxa"/>
            <w:tcBorders>
              <w:top w:val="single" w:sz="12" w:space="0" w:color="auto"/>
            </w:tcBorders>
          </w:tcPr>
          <w:p w14:paraId="218942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Хе-111 Н-11</w:t>
            </w:r>
          </w:p>
        </w:tc>
        <w:tc>
          <w:tcPr>
            <w:tcW w:w="1985" w:type="dxa"/>
            <w:tcBorders>
              <w:top w:val="single" w:sz="12" w:space="0" w:color="auto"/>
            </w:tcBorders>
          </w:tcPr>
          <w:p w14:paraId="29C41F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Ил-4 М-88Б № 2307 исп. в НИИ в феврале 1943</w:t>
            </w:r>
          </w:p>
        </w:tc>
      </w:tr>
      <w:tr w:rsidR="00860B4B" w:rsidRPr="00D03F3E" w14:paraId="2C8A813E" w14:textId="77777777">
        <w:tc>
          <w:tcPr>
            <w:tcW w:w="3736" w:type="dxa"/>
          </w:tcPr>
          <w:p w14:paraId="361A37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Размах крыла (м)</w:t>
            </w:r>
          </w:p>
        </w:tc>
        <w:tc>
          <w:tcPr>
            <w:tcW w:w="2042" w:type="dxa"/>
          </w:tcPr>
          <w:p w14:paraId="26C5C6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22,45</w:t>
            </w:r>
          </w:p>
        </w:tc>
        <w:tc>
          <w:tcPr>
            <w:tcW w:w="1985" w:type="dxa"/>
          </w:tcPr>
          <w:p w14:paraId="0C657D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21,44</w:t>
            </w:r>
          </w:p>
        </w:tc>
      </w:tr>
      <w:tr w:rsidR="00860B4B" w:rsidRPr="00D03F3E" w14:paraId="1114B19C" w14:textId="77777777">
        <w:tc>
          <w:tcPr>
            <w:tcW w:w="3736" w:type="dxa"/>
          </w:tcPr>
          <w:p w14:paraId="588CE0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в линии полета (м)</w:t>
            </w:r>
          </w:p>
        </w:tc>
        <w:tc>
          <w:tcPr>
            <w:tcW w:w="2042" w:type="dxa"/>
          </w:tcPr>
          <w:p w14:paraId="2F8F17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16,69</w:t>
            </w:r>
          </w:p>
        </w:tc>
        <w:tc>
          <w:tcPr>
            <w:tcW w:w="1985" w:type="dxa"/>
          </w:tcPr>
          <w:p w14:paraId="1F761B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14,788</w:t>
            </w:r>
          </w:p>
        </w:tc>
      </w:tr>
      <w:tr w:rsidR="00860B4B" w:rsidRPr="00D03F3E" w14:paraId="479B20B7" w14:textId="77777777">
        <w:tc>
          <w:tcPr>
            <w:tcW w:w="3736" w:type="dxa"/>
          </w:tcPr>
          <w:p w14:paraId="61EE5B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Высота на стоянке (м)</w:t>
            </w:r>
          </w:p>
        </w:tc>
        <w:tc>
          <w:tcPr>
            <w:tcW w:w="2042" w:type="dxa"/>
          </w:tcPr>
          <w:p w14:paraId="10260B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4,61</w:t>
            </w:r>
          </w:p>
        </w:tc>
        <w:tc>
          <w:tcPr>
            <w:tcW w:w="1985" w:type="dxa"/>
          </w:tcPr>
          <w:p w14:paraId="1E83F6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4,675</w:t>
            </w:r>
          </w:p>
        </w:tc>
      </w:tr>
      <w:tr w:rsidR="00860B4B" w:rsidRPr="00D03F3E" w14:paraId="10737BD5" w14:textId="77777777">
        <w:tc>
          <w:tcPr>
            <w:tcW w:w="3736" w:type="dxa"/>
          </w:tcPr>
          <w:p w14:paraId="2542EC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Диаметр винта (м)</w:t>
            </w:r>
          </w:p>
        </w:tc>
        <w:tc>
          <w:tcPr>
            <w:tcW w:w="2042" w:type="dxa"/>
          </w:tcPr>
          <w:p w14:paraId="13765E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tc>
        <w:tc>
          <w:tcPr>
            <w:tcW w:w="1985" w:type="dxa"/>
          </w:tcPr>
          <w:p w14:paraId="3F21D8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w:t>
            </w:r>
          </w:p>
        </w:tc>
      </w:tr>
      <w:tr w:rsidR="00860B4B" w:rsidRPr="00D03F3E" w14:paraId="6385C3D3" w14:textId="77777777">
        <w:tc>
          <w:tcPr>
            <w:tcW w:w="3736" w:type="dxa"/>
          </w:tcPr>
          <w:p w14:paraId="396251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крыла</w:t>
            </w:r>
          </w:p>
        </w:tc>
        <w:tc>
          <w:tcPr>
            <w:tcW w:w="2042" w:type="dxa"/>
          </w:tcPr>
          <w:p w14:paraId="0BECD5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85,72</w:t>
            </w:r>
          </w:p>
        </w:tc>
        <w:tc>
          <w:tcPr>
            <w:tcW w:w="1985" w:type="dxa"/>
          </w:tcPr>
          <w:p w14:paraId="17BDB2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66,7</w:t>
            </w:r>
          </w:p>
        </w:tc>
      </w:tr>
      <w:tr w:rsidR="00860B4B" w:rsidRPr="00D03F3E" w14:paraId="3AD59F4B" w14:textId="77777777">
        <w:tc>
          <w:tcPr>
            <w:tcW w:w="3736" w:type="dxa"/>
          </w:tcPr>
          <w:p w14:paraId="1DB669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Емкость баков (л)</w:t>
            </w:r>
          </w:p>
        </w:tc>
        <w:tc>
          <w:tcPr>
            <w:tcW w:w="2042" w:type="dxa"/>
          </w:tcPr>
          <w:p w14:paraId="79F6F9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4285</w:t>
            </w:r>
          </w:p>
        </w:tc>
        <w:tc>
          <w:tcPr>
            <w:tcW w:w="1985" w:type="dxa"/>
          </w:tcPr>
          <w:p w14:paraId="12D61A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3855</w:t>
            </w:r>
          </w:p>
        </w:tc>
      </w:tr>
      <w:tr w:rsidR="00860B4B" w:rsidRPr="00D03F3E" w14:paraId="733D2380" w14:textId="77777777">
        <w:tc>
          <w:tcPr>
            <w:tcW w:w="3736" w:type="dxa"/>
          </w:tcPr>
          <w:p w14:paraId="304CDC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Мощность моторов</w:t>
            </w:r>
          </w:p>
        </w:tc>
        <w:tc>
          <w:tcPr>
            <w:tcW w:w="2042" w:type="dxa"/>
          </w:tcPr>
          <w:p w14:paraId="0FA4EC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2х1350/2х1100/5000</w:t>
            </w:r>
          </w:p>
        </w:tc>
        <w:tc>
          <w:tcPr>
            <w:tcW w:w="1985" w:type="dxa"/>
          </w:tcPr>
          <w:p w14:paraId="450531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2х1100/2х1000/6000</w:t>
            </w:r>
          </w:p>
        </w:tc>
      </w:tr>
      <w:tr w:rsidR="00860B4B" w:rsidRPr="00D03F3E" w14:paraId="5FBEEC10" w14:textId="77777777">
        <w:tc>
          <w:tcPr>
            <w:tcW w:w="3736" w:type="dxa"/>
          </w:tcPr>
          <w:p w14:paraId="0B87EB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Стрелковое вооружение</w:t>
            </w:r>
          </w:p>
        </w:tc>
        <w:tc>
          <w:tcPr>
            <w:tcW w:w="2042" w:type="dxa"/>
          </w:tcPr>
          <w:p w14:paraId="786711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52A38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73A1D25" w14:textId="77777777">
        <w:tc>
          <w:tcPr>
            <w:tcW w:w="3736" w:type="dxa"/>
          </w:tcPr>
          <w:p w14:paraId="3A7318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подвижная вперед</w:t>
            </w:r>
          </w:p>
        </w:tc>
        <w:tc>
          <w:tcPr>
            <w:tcW w:w="2042" w:type="dxa"/>
          </w:tcPr>
          <w:p w14:paraId="6C90F4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1хпушка 20 мм</w:t>
            </w:r>
          </w:p>
        </w:tc>
        <w:tc>
          <w:tcPr>
            <w:tcW w:w="1985" w:type="dxa"/>
          </w:tcPr>
          <w:p w14:paraId="100B29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1хШКАС</w:t>
            </w:r>
          </w:p>
        </w:tc>
      </w:tr>
      <w:tr w:rsidR="00860B4B" w:rsidRPr="00D03F3E" w14:paraId="5878780A" w14:textId="77777777">
        <w:tc>
          <w:tcPr>
            <w:tcW w:w="3736" w:type="dxa"/>
          </w:tcPr>
          <w:p w14:paraId="2B7CE4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б) подвижная вверх</w:t>
            </w:r>
          </w:p>
        </w:tc>
        <w:tc>
          <w:tcPr>
            <w:tcW w:w="2042" w:type="dxa"/>
          </w:tcPr>
          <w:p w14:paraId="714FC3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1хМГ-131</w:t>
            </w:r>
          </w:p>
        </w:tc>
        <w:tc>
          <w:tcPr>
            <w:tcW w:w="1985" w:type="dxa"/>
          </w:tcPr>
          <w:p w14:paraId="1BF9C7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1хУБТ</w:t>
            </w:r>
          </w:p>
        </w:tc>
      </w:tr>
      <w:tr w:rsidR="00860B4B" w:rsidRPr="00D03F3E" w14:paraId="25931A8B" w14:textId="77777777">
        <w:tc>
          <w:tcPr>
            <w:tcW w:w="3736" w:type="dxa"/>
          </w:tcPr>
          <w:p w14:paraId="20A1EB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подвижная вниз</w:t>
            </w:r>
          </w:p>
        </w:tc>
        <w:tc>
          <w:tcPr>
            <w:tcW w:w="2042" w:type="dxa"/>
          </w:tcPr>
          <w:p w14:paraId="7ED0AB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спаркаМГ-81</w:t>
            </w:r>
          </w:p>
        </w:tc>
        <w:tc>
          <w:tcPr>
            <w:tcW w:w="1985" w:type="dxa"/>
          </w:tcPr>
          <w:p w14:paraId="2640F8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1хШКАС</w:t>
            </w:r>
          </w:p>
        </w:tc>
      </w:tr>
      <w:tr w:rsidR="00860B4B" w:rsidRPr="00D03F3E" w14:paraId="5E479C8F" w14:textId="77777777">
        <w:tc>
          <w:tcPr>
            <w:tcW w:w="3736" w:type="dxa"/>
          </w:tcPr>
          <w:p w14:paraId="176DFC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подвижная люковая</w:t>
            </w:r>
          </w:p>
        </w:tc>
        <w:tc>
          <w:tcPr>
            <w:tcW w:w="2042" w:type="dxa"/>
          </w:tcPr>
          <w:p w14:paraId="718032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2хМК-15</w:t>
            </w:r>
          </w:p>
        </w:tc>
        <w:tc>
          <w:tcPr>
            <w:tcW w:w="1985" w:type="dxa"/>
          </w:tcPr>
          <w:p w14:paraId="5E2220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w:t>
            </w:r>
          </w:p>
        </w:tc>
      </w:tr>
      <w:tr w:rsidR="00860B4B" w:rsidRPr="00D03F3E" w14:paraId="56C10A03" w14:textId="77777777">
        <w:tc>
          <w:tcPr>
            <w:tcW w:w="3736" w:type="dxa"/>
          </w:tcPr>
          <w:p w14:paraId="7C4E03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правый и левый бортовые</w:t>
            </w:r>
          </w:p>
        </w:tc>
        <w:tc>
          <w:tcPr>
            <w:tcW w:w="2042" w:type="dxa"/>
          </w:tcPr>
          <w:p w14:paraId="57F862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2хМГ-15</w:t>
            </w:r>
          </w:p>
        </w:tc>
        <w:tc>
          <w:tcPr>
            <w:tcW w:w="1985" w:type="dxa"/>
          </w:tcPr>
          <w:p w14:paraId="6EDE07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w:t>
            </w:r>
          </w:p>
        </w:tc>
      </w:tr>
      <w:tr w:rsidR="00860B4B" w:rsidRPr="00D03F3E" w14:paraId="2C21006D" w14:textId="77777777">
        <w:tc>
          <w:tcPr>
            <w:tcW w:w="3736" w:type="dxa"/>
          </w:tcPr>
          <w:p w14:paraId="46A9E6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Бомбардировочное вооружение</w:t>
            </w:r>
          </w:p>
        </w:tc>
        <w:tc>
          <w:tcPr>
            <w:tcW w:w="2042" w:type="dxa"/>
          </w:tcPr>
          <w:p w14:paraId="7F0980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A842F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7A01C9B" w14:textId="77777777">
        <w:tc>
          <w:tcPr>
            <w:tcW w:w="3736" w:type="dxa"/>
          </w:tcPr>
          <w:p w14:paraId="091A25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наружное</w:t>
            </w:r>
          </w:p>
        </w:tc>
        <w:tc>
          <w:tcPr>
            <w:tcW w:w="2042" w:type="dxa"/>
          </w:tcPr>
          <w:p w14:paraId="4B0B1F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2000-3000</w:t>
            </w:r>
          </w:p>
        </w:tc>
        <w:tc>
          <w:tcPr>
            <w:tcW w:w="1985" w:type="dxa"/>
          </w:tcPr>
          <w:p w14:paraId="04BDFD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w:t>
            </w:r>
          </w:p>
        </w:tc>
      </w:tr>
      <w:tr w:rsidR="00860B4B" w:rsidRPr="00D03F3E" w14:paraId="1436BD49" w14:textId="77777777">
        <w:tc>
          <w:tcPr>
            <w:tcW w:w="3736" w:type="dxa"/>
          </w:tcPr>
          <w:p w14:paraId="247628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внутреннее</w:t>
            </w:r>
          </w:p>
        </w:tc>
        <w:tc>
          <w:tcPr>
            <w:tcW w:w="2042" w:type="dxa"/>
          </w:tcPr>
          <w:p w14:paraId="6409CB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w:t>
            </w:r>
          </w:p>
        </w:tc>
        <w:tc>
          <w:tcPr>
            <w:tcW w:w="1985" w:type="dxa"/>
          </w:tcPr>
          <w:p w14:paraId="66D854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tc>
      </w:tr>
      <w:tr w:rsidR="00860B4B" w:rsidRPr="00D03F3E" w14:paraId="4E641770" w14:textId="77777777">
        <w:tc>
          <w:tcPr>
            <w:tcW w:w="3736" w:type="dxa"/>
          </w:tcPr>
          <w:p w14:paraId="130853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Калибры бомб</w:t>
            </w:r>
          </w:p>
        </w:tc>
        <w:tc>
          <w:tcPr>
            <w:tcW w:w="2042" w:type="dxa"/>
          </w:tcPr>
          <w:p w14:paraId="4189F8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506BB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495E11F" w14:textId="77777777">
        <w:tc>
          <w:tcPr>
            <w:tcW w:w="3736" w:type="dxa"/>
          </w:tcPr>
          <w:p w14:paraId="70E401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снаружи</w:t>
            </w:r>
          </w:p>
        </w:tc>
        <w:tc>
          <w:tcPr>
            <w:tcW w:w="2042" w:type="dxa"/>
          </w:tcPr>
          <w:p w14:paraId="760ECF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1700</w:t>
            </w:r>
          </w:p>
        </w:tc>
        <w:tc>
          <w:tcPr>
            <w:tcW w:w="1985" w:type="dxa"/>
          </w:tcPr>
          <w:p w14:paraId="31368B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 и 500</w:t>
            </w:r>
          </w:p>
        </w:tc>
      </w:tr>
      <w:tr w:rsidR="00860B4B" w:rsidRPr="00D03F3E" w14:paraId="0767D5FE" w14:textId="77777777">
        <w:tc>
          <w:tcPr>
            <w:tcW w:w="3736" w:type="dxa"/>
          </w:tcPr>
          <w:p w14:paraId="54EA1D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внутри</w:t>
            </w:r>
          </w:p>
        </w:tc>
        <w:tc>
          <w:tcPr>
            <w:tcW w:w="2042" w:type="dxa"/>
          </w:tcPr>
          <w:p w14:paraId="348457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w:t>
            </w:r>
          </w:p>
        </w:tc>
        <w:tc>
          <w:tcPr>
            <w:tcW w:w="1985" w:type="dxa"/>
          </w:tcPr>
          <w:p w14:paraId="541D69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r>
      <w:tr w:rsidR="00860B4B" w:rsidRPr="00D03F3E" w14:paraId="10E68FAF" w14:textId="77777777">
        <w:tc>
          <w:tcPr>
            <w:tcW w:w="3736" w:type="dxa"/>
          </w:tcPr>
          <w:p w14:paraId="35891D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Нагрузка на 1 кв. м</w:t>
            </w:r>
          </w:p>
        </w:tc>
        <w:tc>
          <w:tcPr>
            <w:tcW w:w="2042" w:type="dxa"/>
          </w:tcPr>
          <w:p w14:paraId="683CD7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w:t>
            </w:r>
          </w:p>
        </w:tc>
        <w:tc>
          <w:tcPr>
            <w:tcW w:w="1985" w:type="dxa"/>
          </w:tcPr>
          <w:p w14:paraId="013608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138</w:t>
            </w:r>
          </w:p>
        </w:tc>
      </w:tr>
      <w:tr w:rsidR="00860B4B" w:rsidRPr="00D03F3E" w14:paraId="5ED3B9B6" w14:textId="77777777">
        <w:tc>
          <w:tcPr>
            <w:tcW w:w="3736" w:type="dxa"/>
          </w:tcPr>
          <w:p w14:paraId="7822F4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Нагрузка на лс</w:t>
            </w:r>
          </w:p>
        </w:tc>
        <w:tc>
          <w:tcPr>
            <w:tcW w:w="2042" w:type="dxa"/>
          </w:tcPr>
          <w:p w14:paraId="7010AC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w:t>
            </w:r>
          </w:p>
        </w:tc>
        <w:tc>
          <w:tcPr>
            <w:tcW w:w="1985" w:type="dxa"/>
          </w:tcPr>
          <w:p w14:paraId="4AB00C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4,25</w:t>
            </w:r>
          </w:p>
        </w:tc>
      </w:tr>
      <w:tr w:rsidR="00860B4B" w:rsidRPr="00D03F3E" w14:paraId="7575A6A2" w14:textId="77777777">
        <w:tc>
          <w:tcPr>
            <w:tcW w:w="3736" w:type="dxa"/>
          </w:tcPr>
          <w:p w14:paraId="7B8864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скорость на о</w:t>
            </w:r>
          </w:p>
        </w:tc>
        <w:tc>
          <w:tcPr>
            <w:tcW w:w="2042" w:type="dxa"/>
          </w:tcPr>
          <w:p w14:paraId="3A88D1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330</w:t>
            </w:r>
          </w:p>
        </w:tc>
        <w:tc>
          <w:tcPr>
            <w:tcW w:w="1985" w:type="dxa"/>
          </w:tcPr>
          <w:p w14:paraId="2DDF95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341</w:t>
            </w:r>
          </w:p>
        </w:tc>
      </w:tr>
      <w:tr w:rsidR="00860B4B" w:rsidRPr="00D03F3E" w14:paraId="444F9A3B" w14:textId="77777777">
        <w:tc>
          <w:tcPr>
            <w:tcW w:w="3736" w:type="dxa"/>
          </w:tcPr>
          <w:p w14:paraId="3D867B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1000</w:t>
            </w:r>
          </w:p>
        </w:tc>
        <w:tc>
          <w:tcPr>
            <w:tcW w:w="2042" w:type="dxa"/>
          </w:tcPr>
          <w:p w14:paraId="6B4577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347</w:t>
            </w:r>
          </w:p>
        </w:tc>
        <w:tc>
          <w:tcPr>
            <w:tcW w:w="1985" w:type="dxa"/>
          </w:tcPr>
          <w:p w14:paraId="6307FB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355</w:t>
            </w:r>
          </w:p>
        </w:tc>
      </w:tr>
      <w:tr w:rsidR="00860B4B" w:rsidRPr="00D03F3E" w14:paraId="135C29B4" w14:textId="77777777">
        <w:tc>
          <w:tcPr>
            <w:tcW w:w="3736" w:type="dxa"/>
          </w:tcPr>
          <w:p w14:paraId="3CDC96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3000</w:t>
            </w:r>
          </w:p>
        </w:tc>
        <w:tc>
          <w:tcPr>
            <w:tcW w:w="2042" w:type="dxa"/>
          </w:tcPr>
          <w:p w14:paraId="758ABB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368</w:t>
            </w:r>
          </w:p>
        </w:tc>
        <w:tc>
          <w:tcPr>
            <w:tcW w:w="1985" w:type="dxa"/>
          </w:tcPr>
          <w:p w14:paraId="665985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384</w:t>
            </w:r>
          </w:p>
        </w:tc>
      </w:tr>
      <w:tr w:rsidR="00860B4B" w:rsidRPr="00D03F3E" w14:paraId="3A130425" w14:textId="77777777">
        <w:tc>
          <w:tcPr>
            <w:tcW w:w="3736" w:type="dxa"/>
          </w:tcPr>
          <w:p w14:paraId="51B897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5000</w:t>
            </w:r>
          </w:p>
        </w:tc>
        <w:tc>
          <w:tcPr>
            <w:tcW w:w="2042" w:type="dxa"/>
          </w:tcPr>
          <w:p w14:paraId="319859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393</w:t>
            </w:r>
          </w:p>
        </w:tc>
        <w:tc>
          <w:tcPr>
            <w:tcW w:w="1985" w:type="dxa"/>
          </w:tcPr>
          <w:p w14:paraId="3CB2FF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392</w:t>
            </w:r>
          </w:p>
        </w:tc>
      </w:tr>
      <w:tr w:rsidR="00860B4B" w:rsidRPr="00D03F3E" w14:paraId="7DAF4FD9" w14:textId="77777777">
        <w:tc>
          <w:tcPr>
            <w:tcW w:w="3736" w:type="dxa"/>
          </w:tcPr>
          <w:p w14:paraId="0692CF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6000</w:t>
            </w:r>
          </w:p>
        </w:tc>
        <w:tc>
          <w:tcPr>
            <w:tcW w:w="2042" w:type="dxa"/>
          </w:tcPr>
          <w:p w14:paraId="4933A1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396</w:t>
            </w:r>
          </w:p>
        </w:tc>
        <w:tc>
          <w:tcPr>
            <w:tcW w:w="1985" w:type="dxa"/>
          </w:tcPr>
          <w:p w14:paraId="5CC7F2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403</w:t>
            </w:r>
          </w:p>
        </w:tc>
      </w:tr>
      <w:tr w:rsidR="00860B4B" w:rsidRPr="00D03F3E" w14:paraId="6AAFE903" w14:textId="77777777">
        <w:tc>
          <w:tcPr>
            <w:tcW w:w="3736" w:type="dxa"/>
          </w:tcPr>
          <w:p w14:paraId="499723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7000</w:t>
            </w:r>
          </w:p>
        </w:tc>
        <w:tc>
          <w:tcPr>
            <w:tcW w:w="2042" w:type="dxa"/>
          </w:tcPr>
          <w:p w14:paraId="464845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378</w:t>
            </w:r>
          </w:p>
        </w:tc>
        <w:tc>
          <w:tcPr>
            <w:tcW w:w="1985" w:type="dxa"/>
          </w:tcPr>
          <w:p w14:paraId="5DADAC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398</w:t>
            </w:r>
          </w:p>
        </w:tc>
      </w:tr>
      <w:tr w:rsidR="00860B4B" w:rsidRPr="00D03F3E" w14:paraId="19D63903" w14:textId="77777777">
        <w:tc>
          <w:tcPr>
            <w:tcW w:w="3736" w:type="dxa"/>
          </w:tcPr>
          <w:p w14:paraId="798AFF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2-й гр. высотности</w:t>
            </w:r>
          </w:p>
        </w:tc>
        <w:tc>
          <w:tcPr>
            <w:tcW w:w="2042" w:type="dxa"/>
          </w:tcPr>
          <w:p w14:paraId="646CD2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400/5700</w:t>
            </w:r>
          </w:p>
        </w:tc>
        <w:tc>
          <w:tcPr>
            <w:tcW w:w="1985" w:type="dxa"/>
          </w:tcPr>
          <w:p w14:paraId="3DCA6D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406/6400</w:t>
            </w:r>
          </w:p>
        </w:tc>
      </w:tr>
      <w:tr w:rsidR="00860B4B" w:rsidRPr="00D03F3E" w14:paraId="763B4A39" w14:textId="77777777">
        <w:tc>
          <w:tcPr>
            <w:tcW w:w="3736" w:type="dxa"/>
          </w:tcPr>
          <w:p w14:paraId="4A55E6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5000</w:t>
            </w:r>
          </w:p>
        </w:tc>
        <w:tc>
          <w:tcPr>
            <w:tcW w:w="2042" w:type="dxa"/>
          </w:tcPr>
          <w:p w14:paraId="5C6D48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c>
          <w:tcPr>
            <w:tcW w:w="1985" w:type="dxa"/>
          </w:tcPr>
          <w:p w14:paraId="6795BB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16,1</w:t>
            </w:r>
          </w:p>
        </w:tc>
      </w:tr>
      <w:tr w:rsidR="00860B4B" w:rsidRPr="00D03F3E" w14:paraId="04354447" w14:textId="77777777">
        <w:tc>
          <w:tcPr>
            <w:tcW w:w="3736" w:type="dxa"/>
          </w:tcPr>
          <w:p w14:paraId="5B9B5D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Пактический потолок</w:t>
            </w:r>
          </w:p>
        </w:tc>
        <w:tc>
          <w:tcPr>
            <w:tcW w:w="2042" w:type="dxa"/>
          </w:tcPr>
          <w:p w14:paraId="725DD3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8750</w:t>
            </w:r>
          </w:p>
        </w:tc>
        <w:tc>
          <w:tcPr>
            <w:tcW w:w="1985" w:type="dxa"/>
          </w:tcPr>
          <w:p w14:paraId="1475BF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8750</w:t>
            </w:r>
          </w:p>
        </w:tc>
      </w:tr>
      <w:tr w:rsidR="00860B4B" w:rsidRPr="00D03F3E" w14:paraId="2E439D84" w14:textId="77777777">
        <w:tc>
          <w:tcPr>
            <w:tcW w:w="3736" w:type="dxa"/>
          </w:tcPr>
          <w:p w14:paraId="0A88FA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Разбег</w:t>
            </w:r>
          </w:p>
        </w:tc>
        <w:tc>
          <w:tcPr>
            <w:tcW w:w="2042" w:type="dxa"/>
          </w:tcPr>
          <w:p w14:paraId="43EFE5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560/11000</w:t>
            </w:r>
          </w:p>
        </w:tc>
        <w:tc>
          <w:tcPr>
            <w:tcW w:w="1985" w:type="dxa"/>
          </w:tcPr>
          <w:p w14:paraId="653E9E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530</w:t>
            </w:r>
          </w:p>
        </w:tc>
      </w:tr>
      <w:tr w:rsidR="00860B4B" w:rsidRPr="00D03F3E" w14:paraId="0C25958D" w14:textId="77777777">
        <w:tc>
          <w:tcPr>
            <w:tcW w:w="3736" w:type="dxa"/>
          </w:tcPr>
          <w:p w14:paraId="72FE9D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Вздллетная дистанция</w:t>
            </w:r>
          </w:p>
        </w:tc>
        <w:tc>
          <w:tcPr>
            <w:tcW w:w="2042" w:type="dxa"/>
          </w:tcPr>
          <w:p w14:paraId="2CEE36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1200</w:t>
            </w:r>
          </w:p>
        </w:tc>
        <w:tc>
          <w:tcPr>
            <w:tcW w:w="1985" w:type="dxa"/>
          </w:tcPr>
          <w:p w14:paraId="49A64E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1400</w:t>
            </w:r>
          </w:p>
        </w:tc>
      </w:tr>
      <w:tr w:rsidR="00860B4B" w:rsidRPr="00D03F3E" w14:paraId="2A9888A7" w14:textId="77777777">
        <w:tc>
          <w:tcPr>
            <w:tcW w:w="3736" w:type="dxa"/>
          </w:tcPr>
          <w:p w14:paraId="18E6ED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Пробег</w:t>
            </w:r>
          </w:p>
        </w:tc>
        <w:tc>
          <w:tcPr>
            <w:tcW w:w="2042" w:type="dxa"/>
          </w:tcPr>
          <w:p w14:paraId="6E1F34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495</w:t>
            </w:r>
          </w:p>
        </w:tc>
        <w:tc>
          <w:tcPr>
            <w:tcW w:w="1985" w:type="dxa"/>
          </w:tcPr>
          <w:p w14:paraId="3E35A2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410</w:t>
            </w:r>
          </w:p>
        </w:tc>
      </w:tr>
      <w:tr w:rsidR="00860B4B" w:rsidRPr="00D03F3E" w14:paraId="32BB0E61" w14:textId="77777777">
        <w:tc>
          <w:tcPr>
            <w:tcW w:w="3736" w:type="dxa"/>
          </w:tcPr>
          <w:p w14:paraId="38BF33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Посадочная скорость</w:t>
            </w:r>
          </w:p>
        </w:tc>
        <w:tc>
          <w:tcPr>
            <w:tcW w:w="2042" w:type="dxa"/>
          </w:tcPr>
          <w:p w14:paraId="1A36F8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133</w:t>
            </w:r>
          </w:p>
        </w:tc>
        <w:tc>
          <w:tcPr>
            <w:tcW w:w="1985" w:type="dxa"/>
          </w:tcPr>
          <w:p w14:paraId="49E6B5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129</w:t>
            </w:r>
          </w:p>
        </w:tc>
      </w:tr>
      <w:tr w:rsidR="00860B4B" w:rsidRPr="00D03F3E" w14:paraId="7A2A7C37" w14:textId="77777777">
        <w:tc>
          <w:tcPr>
            <w:tcW w:w="3736" w:type="dxa"/>
            <w:tcBorders>
              <w:bottom w:val="single" w:sz="12" w:space="0" w:color="auto"/>
            </w:tcBorders>
          </w:tcPr>
          <w:p w14:paraId="4D2374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w:t>
            </w:r>
          </w:p>
        </w:tc>
        <w:tc>
          <w:tcPr>
            <w:tcW w:w="2042" w:type="dxa"/>
            <w:tcBorders>
              <w:bottom w:val="single" w:sz="12" w:space="0" w:color="auto"/>
            </w:tcBorders>
          </w:tcPr>
          <w:p w14:paraId="6433AE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2300 на 0,9 на 5000 м</w:t>
            </w:r>
          </w:p>
        </w:tc>
        <w:tc>
          <w:tcPr>
            <w:tcW w:w="1985" w:type="dxa"/>
            <w:tcBorders>
              <w:bottom w:val="single" w:sz="12" w:space="0" w:color="auto"/>
            </w:tcBorders>
          </w:tcPr>
          <w:p w14:paraId="2DAA52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4AEC33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Выводы:</w:t>
      </w:r>
    </w:p>
    <w:p w14:paraId="628B45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скорость Хе-11 меньше скорости Ил-4 у земли на 11, на 3000 м на 16, на 7000 на 19, время набора 5000 больше на 3,9, пробег и разбег практически одинаковы</w:t>
      </w:r>
    </w:p>
    <w:p w14:paraId="13F2D1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вооружению Н-11 является одной из последних модификаций Хе-111 (усиление огневой защиты в секторах наиболее вероятных атак передней, нижней т верхней задней полусферы), замена простых кольцевых прицелов с мушкой коллиматорными прицелами с механизмом стабилизации вектора собственной скорости с-та, рост числа патронов для всех пулеметов с доведением времени непрерывной стрельюы до 75 сек. (на отечественных с-тах это время в среднем 15 сек.). Увеличение бомбовой нагрузки и калибра бомб (внутрення подвеска требует сложной конструктивной переделки). Исходя из условий прочности с-та и обеспечения взлета с перегрузкой (до 14000 - 15000 м) можно предвидеть бомбовую нагрузку до 3000 кг.</w:t>
      </w:r>
    </w:p>
    <w:p w14:paraId="655AB9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технике прилотирования с-т прост. Обладает хорошей управляемостью и устойчивостью. Доступен л средней квалификации. Удобен для л. Обзор - хорош. Расположение ручек управления и приборов хорошо и обеспечивает выполнение полетов днем и ночью на всех высотах в длительных полетах. Расположение экипажа в д-х местной кабине рядом при наличии свободного прозода из кабины в кабину увеличивает его боеспособность, позволяя осуществлять взаимопомощь и хорошую непосредственную связь. Бронирование экипажа не является удовлетворительным (толщина брони 10 мм и нет защиты сверху и сзади).</w:t>
      </w:r>
    </w:p>
    <w:p w14:paraId="649A3C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ВМГ достаточна надежна и проста в эксплуатации.</w:t>
      </w:r>
    </w:p>
    <w:p w14:paraId="0C1901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ВМГ имеет ряд положительных сторон, отсутствующих на наших с-тах. Основные из них:</w:t>
      </w:r>
    </w:p>
    <w:p w14:paraId="365B08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наличие автомата переключения скоростей нагнетателя, флегирования винтов, аварийного слива горючего при помощи выдавливания горючего из бака нейтральным газом, применением ацетилена для холодного запуска моторов, наличие расходометров горючего, показывающих расход горючего при юбом режиме работы мотора в литровом исчислении, возможность замены моторов вместе с подмоторной рамой и со смонтированными на них агрегатами.</w:t>
      </w:r>
    </w:p>
    <w:p w14:paraId="5D67CC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Подписали Грибакин 17 и Ашитков 19 июня 1943</w:t>
      </w:r>
    </w:p>
    <w:p w14:paraId="7213AE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Заключения:</w:t>
      </w:r>
    </w:p>
    <w:p w14:paraId="7817A3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Макс. скорость Хе-11 меньше скорости Ил-4 у земли на 11, на 3000 м на 16, на 7000 на 19, время набора 5000 больше на 3,9, пробег и разбег практически одинаковы</w:t>
      </w:r>
    </w:p>
    <w:p w14:paraId="3DE760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ВМГ, спецоборудование и вооружение Хе-11 Н-11 в сравнении с Хе-111 прежних выпусков значительно улучшились</w:t>
      </w:r>
    </w:p>
    <w:p w14:paraId="70683F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Для изучения отечественной промышленностью представляют интерес:</w:t>
      </w:r>
    </w:p>
    <w:p w14:paraId="6A4E68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автомат переключения скорости нагнетателя</w:t>
      </w:r>
    </w:p>
    <w:p w14:paraId="5D097E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дистанционные установки винта Юнкерс 11 во флюгерное положение</w:t>
      </w:r>
    </w:p>
    <w:p w14:paraId="50566B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система холодного запуска моторов на ацетитене</w:t>
      </w:r>
    </w:p>
    <w:p w14:paraId="1E685E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система авиарийного слива горючего</w:t>
      </w:r>
    </w:p>
    <w:p w14:paraId="24EFFF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электрические расходомеры горючего</w:t>
      </w:r>
    </w:p>
    <w:p w14:paraId="26256C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автоматический РПК</w:t>
      </w:r>
    </w:p>
    <w:p w14:paraId="04B7CE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точный электрический высотомер</w:t>
      </w:r>
    </w:p>
    <w:p w14:paraId="1A7B49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электрическая установка мотор-генератор</w:t>
      </w:r>
    </w:p>
    <w:p w14:paraId="06BD4E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Подписано 19 июня 1943 (797,3).</w:t>
      </w:r>
    </w:p>
    <w:p w14:paraId="277BD4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8DC1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марта 1943 (в четверг) на Ер-2 2м-30Б после ремонта хвостового колеса, законченного 24 марта, был произведен контрольный полет по маршруту Москва - Казань - Москва для определения расхода масла перед полетом на дальность. 4 часа (1775,34).</w:t>
      </w:r>
    </w:p>
    <w:p w14:paraId="5D54B2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5F34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марта 1943 г. с машиной 103В произошла авария. Летчик И.И. Шелест столкнулся с отказом системы выпуска шасси. При аварийном выпуске правая стойка нормально встала на замок, а левая вышла только наполовину. 30 минут экипаж пытался дожать ее насосом и перегрузками при выполнении фигур- Кончилось тем, что самопроизвольно закрылась створка масло- радиатора правого мотора (створка тоже приводилась в действие гидравликой). Начался перегрев масла. Шелест пошел на посадку на одно колесо. Ему это удалось, но в конце полосы машина все-таки упала на крыло и получила повреждения.</w:t>
      </w:r>
    </w:p>
    <w:p w14:paraId="0060DB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"103В" отремонтировали, и он продолжал летать дальше. Когда "Верочку" списали, установить не удалось (11988).</w:t>
      </w:r>
    </w:p>
    <w:p w14:paraId="1EC7A4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84249B" w14:textId="77777777" w:rsidR="00FE3CBC" w:rsidRPr="00D03F3E" w:rsidRDefault="00FE3CBC" w:rsidP="00D03F3E">
      <w:pPr>
        <w:spacing w:after="0" w:line="240" w:lineRule="auto"/>
        <w:jc w:val="both"/>
        <w:rPr>
          <w:rFonts w:ascii="Times New Roman" w:hAnsi="Times New Roman"/>
          <w:color w:val="0070C0"/>
          <w:sz w:val="16"/>
          <w:szCs w:val="16"/>
          <w:lang w:eastAsia="ru-RU" w:bidi="ru-RU"/>
        </w:rPr>
      </w:pPr>
      <w:r w:rsidRPr="00D03F3E">
        <w:rPr>
          <w:rFonts w:ascii="Times New Roman" w:hAnsi="Times New Roman"/>
          <w:color w:val="0070C0"/>
          <w:sz w:val="16"/>
          <w:szCs w:val="16"/>
          <w:lang w:eastAsia="ru-RU" w:bidi="ru-RU"/>
        </w:rPr>
        <w:t>25 марта 1943 г. с «Верочкой» (103В или Ту-2), которая осталась в распоряже</w:t>
      </w:r>
      <w:r w:rsidRPr="00D03F3E">
        <w:rPr>
          <w:rFonts w:ascii="Times New Roman" w:hAnsi="Times New Roman"/>
          <w:color w:val="0070C0"/>
          <w:sz w:val="16"/>
          <w:szCs w:val="16"/>
          <w:lang w:eastAsia="ru-RU" w:bidi="ru-RU"/>
        </w:rPr>
        <w:softHyphen/>
        <w:t>нии конструкторского бюро и использо</w:t>
      </w:r>
      <w:r w:rsidRPr="00D03F3E">
        <w:rPr>
          <w:rFonts w:ascii="Times New Roman" w:hAnsi="Times New Roman"/>
          <w:color w:val="0070C0"/>
          <w:sz w:val="16"/>
          <w:szCs w:val="16"/>
          <w:lang w:eastAsia="ru-RU" w:bidi="ru-RU"/>
        </w:rPr>
        <w:softHyphen/>
        <w:t>валась для опробования различных новинок, предполагавшихся к внедрению в серию, произошла авария. Летчик И.И. Шелест столкнулся с отказом системы выпуска шасси. При ава</w:t>
      </w:r>
      <w:r w:rsidRPr="00D03F3E">
        <w:rPr>
          <w:rFonts w:ascii="Times New Roman" w:hAnsi="Times New Roman"/>
          <w:color w:val="0070C0"/>
          <w:sz w:val="16"/>
          <w:szCs w:val="16"/>
          <w:lang w:eastAsia="ru-RU" w:bidi="ru-RU"/>
        </w:rPr>
        <w:softHyphen/>
        <w:t>рийном выпуске правая стойка нормально встала на замок, а левая вышла только на</w:t>
      </w:r>
      <w:r w:rsidRPr="00D03F3E">
        <w:rPr>
          <w:rFonts w:ascii="Times New Roman" w:hAnsi="Times New Roman"/>
          <w:color w:val="0070C0"/>
          <w:sz w:val="16"/>
          <w:szCs w:val="16"/>
          <w:lang w:eastAsia="ru-RU" w:bidi="ru-RU"/>
        </w:rPr>
        <w:softHyphen/>
        <w:t>половину. 30 минут экипаж пытался до</w:t>
      </w:r>
      <w:r w:rsidRPr="00D03F3E">
        <w:rPr>
          <w:rFonts w:ascii="Times New Roman" w:hAnsi="Times New Roman"/>
          <w:color w:val="0070C0"/>
          <w:sz w:val="16"/>
          <w:szCs w:val="16"/>
          <w:lang w:eastAsia="ru-RU" w:bidi="ru-RU"/>
        </w:rPr>
        <w:softHyphen/>
        <w:t>жать ее насосом и перегрузками при вы</w:t>
      </w:r>
      <w:r w:rsidRPr="00D03F3E">
        <w:rPr>
          <w:rFonts w:ascii="Times New Roman" w:hAnsi="Times New Roman"/>
          <w:color w:val="0070C0"/>
          <w:sz w:val="16"/>
          <w:szCs w:val="16"/>
          <w:lang w:eastAsia="ru-RU" w:bidi="ru-RU"/>
        </w:rPr>
        <w:softHyphen/>
        <w:t>полнении фигур. Кончилось тем, что само</w:t>
      </w:r>
      <w:r w:rsidRPr="00D03F3E">
        <w:rPr>
          <w:rFonts w:ascii="Times New Roman" w:hAnsi="Times New Roman"/>
          <w:color w:val="0070C0"/>
          <w:sz w:val="16"/>
          <w:szCs w:val="16"/>
          <w:lang w:eastAsia="ru-RU" w:bidi="ru-RU"/>
        </w:rPr>
        <w:softHyphen/>
        <w:t>произвольно закрылась створка маслорадиатора правого мотора (створка тоже приводилась в действие гидравликой). На</w:t>
      </w:r>
      <w:r w:rsidRPr="00D03F3E">
        <w:rPr>
          <w:rFonts w:ascii="Times New Roman" w:hAnsi="Times New Roman"/>
          <w:color w:val="0070C0"/>
          <w:sz w:val="16"/>
          <w:szCs w:val="16"/>
          <w:lang w:eastAsia="ru-RU" w:bidi="ru-RU"/>
        </w:rPr>
        <w:softHyphen/>
        <w:t>чался перегрев масла. Шелест пошел на посадку на одно колесо. Ему это удалось, но в конце полосы машина все-таки упала на крыло и получила повреждения. Само</w:t>
      </w:r>
      <w:r w:rsidRPr="00D03F3E">
        <w:rPr>
          <w:rFonts w:ascii="Times New Roman" w:hAnsi="Times New Roman"/>
          <w:color w:val="0070C0"/>
          <w:sz w:val="16"/>
          <w:szCs w:val="16"/>
          <w:lang w:eastAsia="ru-RU" w:bidi="ru-RU"/>
        </w:rPr>
        <w:softHyphen/>
        <w:t>лет «103В» отремонтировали, и он про</w:t>
      </w:r>
      <w:r w:rsidRPr="00D03F3E">
        <w:rPr>
          <w:rFonts w:ascii="Times New Roman" w:hAnsi="Times New Roman"/>
          <w:color w:val="0070C0"/>
          <w:sz w:val="16"/>
          <w:szCs w:val="16"/>
          <w:lang w:eastAsia="ru-RU" w:bidi="ru-RU"/>
        </w:rPr>
        <w:softHyphen/>
        <w:t>должал летать дальше. Когда «Верочку» списали, установить не удалось (21061).</w:t>
      </w:r>
    </w:p>
    <w:p w14:paraId="627D3662" w14:textId="77777777" w:rsidR="00FE3CBC" w:rsidRPr="00D03F3E" w:rsidRDefault="00FE3CBC" w:rsidP="00D03F3E">
      <w:pPr>
        <w:spacing w:after="0" w:line="240" w:lineRule="auto"/>
        <w:jc w:val="both"/>
        <w:rPr>
          <w:rFonts w:ascii="Times New Roman" w:hAnsi="Times New Roman"/>
          <w:color w:val="0070C0"/>
          <w:sz w:val="16"/>
          <w:szCs w:val="16"/>
          <w:lang w:eastAsia="ru-RU" w:bidi="ru-RU"/>
        </w:rPr>
      </w:pPr>
    </w:p>
    <w:p w14:paraId="6C0E01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марта 1943 года машина 103-В с двигателями АШ-82ФН, пилотируемая И.И. Шелестом (инженер Г.И. Поярков и бортмеханик В. Александров), потерпела при посадке аварию из-за не вставшей на замок левой опоры шасси. Видимо, в том полете проверялись доработки двигателей, поскольку Опытный "103-В" оставили в ОКБ и на нем проверялись различные усовершенствования, в том числе и с двигателями АШ-82ФН. 2 апреля Туполев доложил наркому Шахури- ну, что на опытном Ту-2М-82 в Омске выполнили два полета после установки магнето повышенной высотности и новых М-82 с нагнетателями, имеющими 11 лопаток вместо 22-х, но со старыми серийными карбюраторами. В итоге, максимальная скорость самолета у земли возросла до 528 км/ч, а на высоте - до 568 км/ч (12035).</w:t>
      </w:r>
    </w:p>
    <w:p w14:paraId="705943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7AD474" w14:textId="77777777" w:rsidR="00D92347" w:rsidRPr="00D03F3E" w:rsidRDefault="00D92347"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 xml:space="preserve">25 марта 1943 г. в НИИ прибыло два бомбардировщика модификации “Хейнкель”-111 Н-6 и Н-11. Первый, принадлежавший к самой массовой подсерии “хейнкелей”, в процессе работы получил повреждения, а второй благополучно закончил испытания в конце мая (ведущий инженер — майор Г. Грибакин, ведущий летчик — подполковник Г. Ашитков). Испытания показали, что, несмотря на установку форсированных моторов Юмо-211Ф-1, у самолета Хе-111Н-11 максимальная </w:t>
      </w:r>
      <w:r w:rsidRPr="00D03F3E">
        <w:rPr>
          <w:color w:val="000000" w:themeColor="text1"/>
          <w:sz w:val="16"/>
          <w:szCs w:val="16"/>
        </w:rPr>
        <w:lastRenderedPageBreak/>
        <w:t>горизонтальная скорость, скороподъемность и потолок весьма низкие, дальность полета недостаточная (а ведь у нас “хейнкель” сравнивали с Ил-4, в Великобритании — с “веллингтонами”). Вес брони бомбардировщика, доходящей до 170 кг, мощное стрелково-пушечное вооружение (5 обычных пулеметов, один крупнокалиберный и одна пушка) рассчитывались на дневное применение самолета. 7 стволов! Однако в НИИ ВВС эффективность огневой защиты признали недостаточной — из-за ограниченности секторов обстрела. В то же время легкость управления и устойчивость самолета, хорошие взлетно-посадочные свойства, а также отличный обзор и обеспеченность необходимым самым современным аэронавигационным и радиооборудованием — все это обусловило сохранение Хе-111 на вооружении, в особенности — как ночного бомбардировщика (19179).</w:t>
      </w:r>
    </w:p>
    <w:p w14:paraId="2235357E" w14:textId="77777777" w:rsidR="00D92347" w:rsidRPr="00D03F3E" w:rsidRDefault="00D92347" w:rsidP="00D03F3E">
      <w:pPr>
        <w:spacing w:after="0" w:line="240" w:lineRule="auto"/>
        <w:jc w:val="both"/>
        <w:rPr>
          <w:rFonts w:ascii="Times New Roman" w:hAnsi="Times New Roman"/>
          <w:color w:val="000000" w:themeColor="text1"/>
          <w:sz w:val="16"/>
          <w:szCs w:val="16"/>
        </w:rPr>
      </w:pPr>
    </w:p>
    <w:p w14:paraId="6E51E3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25 марта по 13 апреля 1943 в НИИ ВВС проходили контрольные испытания Як-6 № 10971 з-да № 471.</w:t>
      </w:r>
    </w:p>
    <w:p w14:paraId="56A32F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Изменения по сравнения с опытным:</w:t>
      </w:r>
    </w:p>
    <w:p w14:paraId="4D58B7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Усилен пол грузовой кабины,</w:t>
      </w:r>
    </w:p>
    <w:p w14:paraId="5F789F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Грузовая кабина оборудована откидными сидениями для 4 пассажиров,</w:t>
      </w:r>
    </w:p>
    <w:p w14:paraId="319857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Установлен авиагоризонт,</w:t>
      </w:r>
    </w:p>
    <w:p w14:paraId="3C5C72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 приборной доской установленкозырек для устранения бликов,</w:t>
      </w:r>
    </w:p>
    <w:p w14:paraId="419B28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Фанерные баки заменены металлическими.</w:t>
      </w:r>
    </w:p>
    <w:p w14:paraId="785F60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Машина испытаний не выдержала из-за перетяжеления - 48 кг и большого числа дефектов (4657, 18).</w:t>
      </w:r>
    </w:p>
    <w:p w14:paraId="7E0587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38C9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марта 1943 вышел приказ НКАП N 167 "О пересмотре и присвоении классов ли НКАП (934,164).</w:t>
      </w:r>
    </w:p>
    <w:p w14:paraId="5EA750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перевели:</w:t>
      </w:r>
    </w:p>
    <w:p w14:paraId="53D981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3 во 2 С.Ф.Сенкевича (19), Б.Н.Хлястич (19).</w:t>
      </w:r>
    </w:p>
    <w:p w14:paraId="5A5925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4 в 3 В.Н.Юганов (ЛИИ).</w:t>
      </w:r>
    </w:p>
    <w:p w14:paraId="290279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сохранили:</w:t>
      </w:r>
    </w:p>
    <w:p w14:paraId="5F00BC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С.А.Корзинщиков (82)...</w:t>
      </w:r>
    </w:p>
    <w:p w14:paraId="3A3C13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Н.В.Адамович (ЛИИ), И.И.Шумейко (ЛИИ) (934,164).</w:t>
      </w:r>
    </w:p>
    <w:p w14:paraId="2DCA8C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813D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марта 1943 вышел приказ НКАП N 169 "О присвоении классов л транспортной авиации (934,164).</w:t>
      </w:r>
    </w:p>
    <w:p w14:paraId="4F230D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И.В.Этнис (934,182).</w:t>
      </w:r>
    </w:p>
    <w:p w14:paraId="0ED871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913DC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7EFCB3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8E2A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марта 1943 г. вышло заключение комиссии по испытаниям 203-мм мортиры М-4, в котором было сказано, что из мортиры допускается стрельба (в случае самообороны) полным зарядом при угле 0. Согласно заключению комиссии М-4 испытания выдержала, но была отмечена неудовлетворительная кучность стрельбы на наименьшем заряде № 5, недостаточная прочность люльки, плохая уравновешенность качающейся части и другие недостатки. По "устранении указанных недостатков 203-мм мортира может быть рекомендована на вооружение Красной Армии". Однако на вооружение мортира не попала. Возможно, это было связано с успехами в разработке тяжелых минометов калибра 160 мм и 240 мм (3861).</w:t>
      </w:r>
    </w:p>
    <w:p w14:paraId="4C02BB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E33FF6" w14:textId="77777777" w:rsidR="004A45BE" w:rsidRPr="00D03F3E" w:rsidRDefault="004A45BE" w:rsidP="00D03F3E">
      <w:pPr>
        <w:pStyle w:val="a3"/>
        <w:rPr>
          <w:color w:val="000000" w:themeColor="text1"/>
          <w:lang w:val="ru-RU"/>
        </w:rPr>
      </w:pPr>
      <w:r w:rsidRPr="00D03F3E">
        <w:rPr>
          <w:color w:val="000000" w:themeColor="text1"/>
          <w:lang w:val="ru-RU"/>
        </w:rPr>
        <w:t>25 марта 1943 года несмотря на неудовлетворительную кучность и ряд дефектов, свя</w:t>
      </w:r>
      <w:r w:rsidRPr="00D03F3E">
        <w:rPr>
          <w:color w:val="000000" w:themeColor="text1"/>
          <w:lang w:val="ru-RU"/>
        </w:rPr>
        <w:softHyphen/>
        <w:t>занных с лафетом, комиссия по испытаниям вынес</w:t>
      </w:r>
      <w:r w:rsidRPr="00D03F3E">
        <w:rPr>
          <w:color w:val="000000" w:themeColor="text1"/>
          <w:lang w:val="ru-RU"/>
        </w:rPr>
        <w:softHyphen/>
        <w:t>ла положительное заключение по мортире М-4:</w:t>
      </w:r>
    </w:p>
    <w:p w14:paraId="6C198B5E" w14:textId="77777777" w:rsidR="004A45BE" w:rsidRPr="00D03F3E" w:rsidRDefault="004A45BE" w:rsidP="00D03F3E">
      <w:pPr>
        <w:pStyle w:val="Bodytext141"/>
        <w:shd w:val="clear" w:color="auto" w:fill="auto"/>
        <w:spacing w:line="240" w:lineRule="auto"/>
        <w:ind w:firstLine="0"/>
        <w:jc w:val="both"/>
        <w:rPr>
          <w:i w:val="0"/>
          <w:color w:val="000000" w:themeColor="text1"/>
          <w:sz w:val="16"/>
          <w:szCs w:val="16"/>
        </w:rPr>
      </w:pPr>
      <w:r w:rsidRPr="00D03F3E">
        <w:rPr>
          <w:i w:val="0"/>
          <w:color w:val="000000" w:themeColor="text1"/>
          <w:sz w:val="16"/>
          <w:szCs w:val="16"/>
        </w:rPr>
        <w:t>«По устранении недостатков, отмеченных выше и указанных в тек</w:t>
      </w:r>
      <w:r w:rsidRPr="00D03F3E">
        <w:rPr>
          <w:i w:val="0"/>
          <w:color w:val="000000" w:themeColor="text1"/>
          <w:sz w:val="16"/>
          <w:szCs w:val="16"/>
        </w:rPr>
        <w:softHyphen/>
        <w:t>сте настоящего отчета, 203-мм мортира М-4 может быть рекомендо</w:t>
      </w:r>
      <w:r w:rsidRPr="00D03F3E">
        <w:rPr>
          <w:i w:val="0"/>
          <w:color w:val="000000" w:themeColor="text1"/>
          <w:sz w:val="16"/>
          <w:szCs w:val="16"/>
        </w:rPr>
        <w:softHyphen/>
        <w:t>вана на вооружение Красной Армии.</w:t>
      </w:r>
    </w:p>
    <w:p w14:paraId="2B048E89" w14:textId="77777777" w:rsidR="004A45BE" w:rsidRPr="00D03F3E" w:rsidRDefault="004A45BE" w:rsidP="00D03F3E">
      <w:pPr>
        <w:pStyle w:val="Bodytext141"/>
        <w:shd w:val="clear" w:color="auto" w:fill="auto"/>
        <w:spacing w:line="240" w:lineRule="auto"/>
        <w:ind w:firstLine="0"/>
        <w:jc w:val="both"/>
        <w:rPr>
          <w:i w:val="0"/>
          <w:color w:val="000000" w:themeColor="text1"/>
          <w:sz w:val="16"/>
          <w:szCs w:val="16"/>
        </w:rPr>
      </w:pPr>
      <w:r w:rsidRPr="00D03F3E">
        <w:rPr>
          <w:i w:val="0"/>
          <w:color w:val="000000" w:themeColor="text1"/>
          <w:sz w:val="16"/>
          <w:szCs w:val="16"/>
        </w:rPr>
        <w:t>203-мм мортира М-4 заслуживает надлежащего внимания, так как обладает мощным снарядом, способным эффективно действовать по укреплениям противника; обладает небольшим весом, обеспечивающим высокую маневренность; может быть быстро освоена промышленностью и быстро выпущена в надлежащем количестве в войска» (17484).</w:t>
      </w:r>
    </w:p>
    <w:p w14:paraId="68DCDB22" w14:textId="77777777" w:rsidR="004A45BE" w:rsidRPr="00D03F3E" w:rsidRDefault="004A45BE" w:rsidP="00D03F3E">
      <w:pPr>
        <w:spacing w:after="0" w:line="240" w:lineRule="auto"/>
        <w:jc w:val="both"/>
        <w:rPr>
          <w:rFonts w:ascii="Times New Roman" w:hAnsi="Times New Roman"/>
          <w:color w:val="000000" w:themeColor="text1"/>
          <w:sz w:val="16"/>
          <w:szCs w:val="16"/>
        </w:rPr>
      </w:pPr>
    </w:p>
    <w:p w14:paraId="7BCF9E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марта 1943 года приказ № 100 НКВ</w:t>
      </w:r>
    </w:p>
    <w:p w14:paraId="66FFF3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 досрочным и качественным выполнением задания ГКО по разработке проекта, изготовлением опытного образца и освоения в валовом производстве 152 мм самоходной установки “СУ14” (9280).</w:t>
      </w:r>
    </w:p>
    <w:p w14:paraId="043CE4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1D68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марта 1943 вышло Распоряжение ГКО № 3078. Об уменьшении плана производства 85 мм дистанционных гранат и деталей к М-13 заводом им. Сталина НКСМ на март 1943 г. в связи с непоставкой штамповок.РГАНИР, Фонд ГКО, д. 99, лл. 72 (11012).</w:t>
      </w:r>
    </w:p>
    <w:p w14:paraId="1646D9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210B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марта 1943 г. была подготовлена СПРАВКА-ДОКЛАД НАЧАЛЬНИКА ОРГОТДЕЛА ШТАБА БТ и МВ КА О ВЫПОЛНЕНИИ ПОСТАНОВЛЕНИЙ ПРАВИТЕЛЬСТВА ПО СОСТОЯНИЮ НА 1 МАРТА 1943 ГОДА ГЛАВНЫМИ УПРАВЛЕНИЯМИ БРОНЕТАНКОВЫХ И МЕХАНИЗИРОВАННЫХ ВОЙСК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4678"/>
        <w:gridCol w:w="4845"/>
        <w:gridCol w:w="96"/>
      </w:tblGrid>
      <w:tr w:rsidR="00860B4B" w:rsidRPr="00D03F3E" w14:paraId="5042A222" w14:textId="77777777">
        <w:trPr>
          <w:trHeight w:val="278"/>
        </w:trPr>
        <w:tc>
          <w:tcPr>
            <w:tcW w:w="4678" w:type="dxa"/>
            <w:tcBorders>
              <w:top w:val="single" w:sz="6" w:space="0" w:color="auto"/>
              <w:left w:val="single" w:sz="6" w:space="0" w:color="auto"/>
              <w:bottom w:val="single" w:sz="6" w:space="0" w:color="auto"/>
              <w:right w:val="single" w:sz="6" w:space="0" w:color="auto"/>
            </w:tcBorders>
          </w:tcPr>
          <w:p w14:paraId="09D5C9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Краткое содержание постановлений, их номера и дата</w:t>
            </w:r>
          </w:p>
          <w:p w14:paraId="69AB45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6A8D175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Что сделано по постановлениям</w:t>
            </w:r>
          </w:p>
          <w:p w14:paraId="41C57C6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015811D" w14:textId="77777777">
        <w:trPr>
          <w:trHeight w:val="1075"/>
        </w:trPr>
        <w:tc>
          <w:tcPr>
            <w:tcW w:w="4678" w:type="dxa"/>
            <w:tcBorders>
              <w:top w:val="single" w:sz="6" w:space="0" w:color="auto"/>
              <w:left w:val="single" w:sz="6" w:space="0" w:color="auto"/>
              <w:bottom w:val="single" w:sz="6" w:space="0" w:color="auto"/>
              <w:right w:val="single" w:sz="6" w:space="0" w:color="auto"/>
            </w:tcBorders>
          </w:tcPr>
          <w:p w14:paraId="2752D1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ГОКО №2192сс от 20.08.1942 г. Обязать НКТП и завод №183 к 15.09.1942 г. закончить доработку командирской башенки.</w:t>
            </w:r>
          </w:p>
          <w:p w14:paraId="2F4D9B8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4F53E5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Четвертый вариант проекта командирской башенки, пред</w:t>
            </w:r>
            <w:r w:rsidRPr="00D03F3E">
              <w:rPr>
                <w:rFonts w:ascii="Times New Roman" w:hAnsi="Times New Roman"/>
                <w:color w:val="000000" w:themeColor="text1"/>
                <w:sz w:val="16"/>
                <w:szCs w:val="16"/>
              </w:rPr>
              <w:softHyphen/>
              <w:t>ставленный заводом №183, и проект, представленный заво</w:t>
            </w:r>
            <w:r w:rsidRPr="00D03F3E">
              <w:rPr>
                <w:rFonts w:ascii="Times New Roman" w:hAnsi="Times New Roman"/>
                <w:color w:val="000000" w:themeColor="text1"/>
                <w:sz w:val="16"/>
                <w:szCs w:val="16"/>
              </w:rPr>
              <w:softHyphen/>
              <w:t>дом №100, рассмотрены и отклонены, как не отвечающие предъявленным требованиям. 1.03.1943 г. о результатах уведомлен НКТП.</w:t>
            </w:r>
          </w:p>
          <w:p w14:paraId="60A8A02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7C38115" w14:textId="77777777">
        <w:trPr>
          <w:trHeight w:val="1066"/>
        </w:trPr>
        <w:tc>
          <w:tcPr>
            <w:tcW w:w="4678" w:type="dxa"/>
            <w:tcBorders>
              <w:top w:val="single" w:sz="6" w:space="0" w:color="auto"/>
              <w:left w:val="single" w:sz="6" w:space="0" w:color="auto"/>
              <w:bottom w:val="single" w:sz="6" w:space="0" w:color="auto"/>
              <w:right w:val="single" w:sz="6" w:space="0" w:color="auto"/>
            </w:tcBorders>
          </w:tcPr>
          <w:p w14:paraId="14071A2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СНК №1201рс от 20.08.1942 г. НКТП совместно с ГАБТУ КА провести ходовые испыта</w:t>
            </w:r>
            <w:r w:rsidRPr="00D03F3E">
              <w:rPr>
                <w:rFonts w:ascii="Times New Roman" w:hAnsi="Times New Roman"/>
                <w:color w:val="000000" w:themeColor="text1"/>
                <w:sz w:val="16"/>
                <w:szCs w:val="16"/>
              </w:rPr>
              <w:softHyphen/>
              <w:t>ния танков КВ с планетарной трансмиссией и не позднее 20.08.1942 г. представить в ГОКО результаты и свои пред</w:t>
            </w:r>
            <w:r w:rsidRPr="00D03F3E">
              <w:rPr>
                <w:rFonts w:ascii="Times New Roman" w:hAnsi="Times New Roman"/>
                <w:color w:val="000000" w:themeColor="text1"/>
                <w:sz w:val="16"/>
                <w:szCs w:val="16"/>
              </w:rPr>
              <w:softHyphen/>
              <w:t>ложения.</w:t>
            </w:r>
          </w:p>
          <w:p w14:paraId="6F8394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25F50F8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Проведенная с 7 по 19.02.1943 г. предварительная завод</w:t>
            </w:r>
            <w:r w:rsidRPr="00D03F3E">
              <w:rPr>
                <w:rFonts w:ascii="Times New Roman" w:hAnsi="Times New Roman"/>
                <w:color w:val="000000" w:themeColor="text1"/>
                <w:sz w:val="16"/>
                <w:szCs w:val="16"/>
              </w:rPr>
              <w:softHyphen/>
              <w:t>ская обкатка показала неработоспособность фрикционных элементов трансмиссии. Производится реконструкция и совершенствование.</w:t>
            </w:r>
          </w:p>
          <w:p w14:paraId="4560A5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E899B2A" w14:textId="77777777">
        <w:trPr>
          <w:trHeight w:val="682"/>
        </w:trPr>
        <w:tc>
          <w:tcPr>
            <w:tcW w:w="4678" w:type="dxa"/>
            <w:tcBorders>
              <w:top w:val="single" w:sz="6" w:space="0" w:color="auto"/>
              <w:left w:val="single" w:sz="6" w:space="0" w:color="auto"/>
              <w:bottom w:val="single" w:sz="6" w:space="0" w:color="auto"/>
              <w:right w:val="single" w:sz="6" w:space="0" w:color="auto"/>
            </w:tcBorders>
          </w:tcPr>
          <w:p w14:paraId="123BBD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ГОКО №2523 от 18.11.1942 г. Обязать ГАБТУ КА выделить до 20.04.1943 г. для укомплек</w:t>
            </w:r>
            <w:r w:rsidRPr="00D03F3E">
              <w:rPr>
                <w:rFonts w:ascii="Times New Roman" w:hAnsi="Times New Roman"/>
                <w:color w:val="000000" w:themeColor="text1"/>
                <w:sz w:val="16"/>
                <w:szCs w:val="16"/>
              </w:rPr>
              <w:softHyphen/>
              <w:t>тования артиллерийских и зенитных дивизий 136 шт. ПЗС.</w:t>
            </w:r>
          </w:p>
          <w:p w14:paraId="18D9EF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7BB52C9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 реорганизацией ГАБТУ КА поставку ПЗС должно производить ГАВТУ. Зам. командующего артиллерией КА уве</w:t>
            </w:r>
            <w:r w:rsidRPr="00D03F3E">
              <w:rPr>
                <w:rFonts w:ascii="Times New Roman" w:hAnsi="Times New Roman"/>
                <w:color w:val="000000" w:themeColor="text1"/>
                <w:sz w:val="16"/>
                <w:szCs w:val="16"/>
              </w:rPr>
              <w:softHyphen/>
              <w:t>домлен письмом.</w:t>
            </w:r>
          </w:p>
          <w:p w14:paraId="707BF59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CDCCCDE"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601277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СНК №1853 от 20.11.1942 г. Обязать НКТП совместно с ГАБТУ КА до 1.02.1943 г. про</w:t>
            </w:r>
            <w:r w:rsidRPr="00D03F3E">
              <w:rPr>
                <w:rFonts w:ascii="Times New Roman" w:hAnsi="Times New Roman"/>
                <w:color w:val="000000" w:themeColor="text1"/>
                <w:sz w:val="16"/>
                <w:szCs w:val="16"/>
              </w:rPr>
              <w:softHyphen/>
              <w:t>вести испытание деталей КВ и Т-34, изготовленных из черного металла, взамен алюминия. Результат сообщить к 15.02.1943 г.</w:t>
            </w:r>
          </w:p>
          <w:p w14:paraId="3F6FAF9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3AAFB5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Кировском заводе проходит испытание танка Т-34 с пятискоростной коробкой перемены передач, имеющей чугунный картер.</w:t>
            </w:r>
          </w:p>
          <w:p w14:paraId="01C4903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D2BF134"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6DAC406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ГОКО №2594 от 7.12.1942 г.</w:t>
            </w:r>
          </w:p>
          <w:p w14:paraId="042FCBF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НКТП к 1.03.1943 г. изготовить 46 экранированных танков Т-34.</w:t>
            </w:r>
          </w:p>
          <w:p w14:paraId="38AFC7A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4A8A0E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ГАБТУ КА в феврале-марте 1943 г. проверить изготовлен</w:t>
            </w:r>
            <w:r w:rsidRPr="00D03F3E">
              <w:rPr>
                <w:rFonts w:ascii="Times New Roman" w:hAnsi="Times New Roman"/>
                <w:color w:val="000000" w:themeColor="text1"/>
                <w:sz w:val="16"/>
                <w:szCs w:val="16"/>
              </w:rPr>
              <w:softHyphen/>
              <w:t>ные танки в боевых условиях и к 1.04.1943 г. представить в ГОКО заключение.</w:t>
            </w:r>
          </w:p>
          <w:p w14:paraId="2D51B83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в срок не выполнено. Завод №112 на 1.03.1943 г. изготовил всего лишь 23 танка с экранированным корпусом.</w:t>
            </w:r>
          </w:p>
          <w:p w14:paraId="3315FA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2E4D10C"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49D15C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Постановление ГОКО №2331с от 7.02.1943 г.</w:t>
            </w:r>
          </w:p>
          <w:p w14:paraId="7FC5BB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НКТП и директоров УЗТМ Кировского и 76 заво</w:t>
            </w:r>
            <w:r w:rsidRPr="00D03F3E">
              <w:rPr>
                <w:rFonts w:ascii="Times New Roman" w:hAnsi="Times New Roman"/>
                <w:color w:val="000000" w:themeColor="text1"/>
                <w:sz w:val="16"/>
                <w:szCs w:val="16"/>
              </w:rPr>
              <w:softHyphen/>
              <w:t>дов изготовить по 10 дизелей В-2К и В-2-34 с чугунными картерами, испытать и дать предложения к 1.01.1943 г. о порядке перевода их на чугун.</w:t>
            </w:r>
          </w:p>
          <w:p w14:paraId="5FB85B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3EAB4E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в срок не выполнено. Четыре собранных мотора в процессе сдаточных испытаний имели ряд дефек</w:t>
            </w:r>
            <w:r w:rsidRPr="00D03F3E">
              <w:rPr>
                <w:rFonts w:ascii="Times New Roman" w:hAnsi="Times New Roman"/>
                <w:color w:val="000000" w:themeColor="text1"/>
                <w:sz w:val="16"/>
                <w:szCs w:val="16"/>
              </w:rPr>
              <w:softHyphen/>
              <w:t>тов. Моторы не приняты и находятся на переборке.</w:t>
            </w:r>
          </w:p>
          <w:p w14:paraId="4D01389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1FA281A"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5F348B2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ГОКО №2648 от 20.12.1942 г.</w:t>
            </w:r>
          </w:p>
          <w:p w14:paraId="7DCC4B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т. Зальцмана и т. Коробкова в 10-дневный срок рассмотреть и утвердить списки литых танковых деталей, которые можно перевести на литье из бессмеровской стали и чугуна.</w:t>
            </w:r>
          </w:p>
          <w:p w14:paraId="2167849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1B576E0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НКТП и БТУ перечень деталей для литья из бессмеровской стали и чугуна намечали.</w:t>
            </w:r>
          </w:p>
          <w:p w14:paraId="0425BB9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НКТП запросил дополнительный материал с заводов и окончательных списков в ГАБТУ КА не представил.</w:t>
            </w:r>
          </w:p>
          <w:p w14:paraId="369A8C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16A8CEC"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54E165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ГОКО №2661 от 22.12.1942 г.</w:t>
            </w:r>
          </w:p>
          <w:p w14:paraId="6601D8F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Обязать НКСМ т. Акимова в январе полностью отра</w:t>
            </w:r>
            <w:r w:rsidRPr="00D03F3E">
              <w:rPr>
                <w:rFonts w:ascii="Times New Roman" w:hAnsi="Times New Roman"/>
                <w:color w:val="000000" w:themeColor="text1"/>
                <w:sz w:val="16"/>
                <w:szCs w:val="16"/>
              </w:rPr>
              <w:softHyphen/>
              <w:t>ботать мотор М-80 и для серийной проверки его установить за февраль на 20 танках Т-70.</w:t>
            </w:r>
          </w:p>
          <w:p w14:paraId="6FEC860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Обязать БТУ КА т. Коробкова произвести в марте проверку в эксплуатации моторов М-80, установленных на танках Т-70.</w:t>
            </w:r>
          </w:p>
          <w:p w14:paraId="5FDE39F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6B61C15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в срок не выполнено. На 1.03.1943 г. было подготовлено только 5 моторов М-80. Задержка происходит из-за большого брака в литье блоков.</w:t>
            </w:r>
          </w:p>
          <w:p w14:paraId="204425C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1CA6646"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1FAD321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ГОКО №2568сс от 5.12.1942 г.</w:t>
            </w:r>
          </w:p>
          <w:p w14:paraId="5266AB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ГАБТУ КА до 1.04.1943 г. организовать в г. Москв-е и пустить в эксплуатацию специальный бронетанковый завод по изготовлению и восстановлению танковых запасных частей.</w:t>
            </w:r>
          </w:p>
          <w:p w14:paraId="47D18B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4CE2CBC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организован на площадях бывшего завода №49 - пос. Балашиха Московской области и подготовлен к экс</w:t>
            </w:r>
            <w:r w:rsidRPr="00D03F3E">
              <w:rPr>
                <w:rFonts w:ascii="Times New Roman" w:hAnsi="Times New Roman"/>
                <w:color w:val="000000" w:themeColor="text1"/>
                <w:sz w:val="16"/>
                <w:szCs w:val="16"/>
              </w:rPr>
              <w:softHyphen/>
              <w:t>плуатации.</w:t>
            </w:r>
          </w:p>
          <w:p w14:paraId="33B0764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Начинают поступать от фронтов танковые запасные части и детали для их ремонта.</w:t>
            </w:r>
          </w:p>
          <w:p w14:paraId="13B715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7072709"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7CC291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ГОКО №2694сс от 5.01.1943 г. Обязать ГАБТУ КА поставить в феврале месяце 1943 г. для НКБ:</w:t>
            </w:r>
          </w:p>
          <w:p w14:paraId="4F53CD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Корпуса 50-мм мин 200 тыс. шт.</w:t>
            </w:r>
          </w:p>
          <w:p w14:paraId="5CFFEC7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Корпуса ручной гранаты Ф-1 - 50 тыс. шт.</w:t>
            </w:r>
          </w:p>
          <w:p w14:paraId="61203F5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Запал Ковешникова (неснаряженный) - 70 тыс. шт.</w:t>
            </w:r>
          </w:p>
          <w:p w14:paraId="2D2AD4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5F33BC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Выпущено в феврале:</w:t>
            </w:r>
          </w:p>
          <w:p w14:paraId="5EC9F16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Корпуса 50-мм мин 90000 шт.</w:t>
            </w:r>
          </w:p>
          <w:p w14:paraId="043E52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Корпуса ручной гранаты Ф-1 60240 шт.</w:t>
            </w:r>
          </w:p>
          <w:p w14:paraId="65F9B6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Запалы БП - 60000 шт.</w:t>
            </w:r>
          </w:p>
          <w:p w14:paraId="37DF929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473947D"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087153F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СНК №2094-910с от 31.12.1943. О поставке запасных частей в I квартале 1943 г.</w:t>
            </w:r>
          </w:p>
          <w:p w14:paraId="7EB01B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4514459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Поставлено полностью за исключением пусковых магнето по НКСМ и болтов по НКЧМ.</w:t>
            </w:r>
          </w:p>
          <w:p w14:paraId="35BFA6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0168DA8"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3114305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СНК СССР №10-5с от 5.01.1943 г. и №140-50сс от 14.02.1943 г.</w:t>
            </w:r>
          </w:p>
          <w:p w14:paraId="6E8F44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 поставке в 1 квартале 1943 г. бронемашин БА-64 в количестве 1100 шт., из них со сдачей к 1 марта - 700 шт.</w:t>
            </w:r>
          </w:p>
          <w:p w14:paraId="094507D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 поставке мотоциклов в I квартале 1943 г. 1800 шт., из них со сдачей к 1 марта 1943 г. 900 шт.</w:t>
            </w:r>
          </w:p>
          <w:p w14:paraId="3849EB3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 поставке запчастей к мотоциклам на сумму 1200 тыс. руб.</w:t>
            </w:r>
          </w:p>
          <w:p w14:paraId="06D174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2C694C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Поставлено 575 шт.</w:t>
            </w:r>
          </w:p>
          <w:p w14:paraId="5E9E3B5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Поставлено 343 шт.</w:t>
            </w:r>
          </w:p>
          <w:p w14:paraId="7758470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Поставлено запасных частей на сумму 361,5 тыс. руб.</w:t>
            </w:r>
          </w:p>
          <w:p w14:paraId="10A90AF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7C33A8B"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3C453D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ГОКО №2736 от 12.01.1943 г. О поставке запасных частей к бронемашинам БА-64 на сумму 1000 тыс. руб.</w:t>
            </w:r>
          </w:p>
          <w:p w14:paraId="475143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13A8AF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Поставлено запасных частей на сумму 770,5 тыс. руб.</w:t>
            </w:r>
          </w:p>
          <w:p w14:paraId="49645C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4699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097C644"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57A9AF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ГОКО №2736сс от 12.01.1943 г. Обязать ГАБТУ КА отремонтировать капитальным ремон</w:t>
            </w:r>
            <w:r w:rsidRPr="00D03F3E">
              <w:rPr>
                <w:rFonts w:ascii="Times New Roman" w:hAnsi="Times New Roman"/>
                <w:color w:val="000000" w:themeColor="text1"/>
                <w:sz w:val="16"/>
                <w:szCs w:val="16"/>
              </w:rPr>
              <w:softHyphen/>
              <w:t>том в феврале 1943 г. на ремзаводах:</w:t>
            </w:r>
          </w:p>
          <w:p w14:paraId="23CEF1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танков - 415,</w:t>
            </w:r>
          </w:p>
          <w:p w14:paraId="5509785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том числе КВ - 17;</w:t>
            </w:r>
          </w:p>
          <w:p w14:paraId="675A90D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Т-34-108;</w:t>
            </w:r>
          </w:p>
          <w:p w14:paraId="1874B1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Т-60, 70 - 70;</w:t>
            </w:r>
          </w:p>
          <w:p w14:paraId="4FBAF01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иномарок- 110;</w:t>
            </w:r>
          </w:p>
          <w:p w14:paraId="519A4ED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старых марок- 110;</w:t>
            </w:r>
          </w:p>
          <w:p w14:paraId="27CE90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бронеавтомобилей - 25;</w:t>
            </w:r>
          </w:p>
          <w:p w14:paraId="3A82B4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бронетранспортеров - 70;</w:t>
            </w:r>
          </w:p>
          <w:p w14:paraId="435E62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мотоциклов - 225;</w:t>
            </w:r>
          </w:p>
          <w:p w14:paraId="16F7ABC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танковых моторов - 305;</w:t>
            </w:r>
          </w:p>
          <w:p w14:paraId="368551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аэросанных моторов М-П - 20;</w:t>
            </w:r>
          </w:p>
          <w:p w14:paraId="338CBB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автомоторов ГАЗ-М-1 - 600.</w:t>
            </w:r>
          </w:p>
          <w:p w14:paraId="38FA92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7FCD59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отчетам начальников ремзаводов НКО на 9.03.1943 г. в феврале месяце выполнено:</w:t>
            </w:r>
          </w:p>
          <w:p w14:paraId="03F1E5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танков капитального рем. - 35;</w:t>
            </w:r>
          </w:p>
          <w:p w14:paraId="71FD05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среднего ремонта - 93,</w:t>
            </w:r>
          </w:p>
          <w:p w14:paraId="12CFE3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т.ч. КВ кап. рем. - 5, ср. рем. - 1;</w:t>
            </w:r>
          </w:p>
          <w:p w14:paraId="4C4F6A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Т-34 кап. рем. - 112, ср. рем. - 53;</w:t>
            </w:r>
          </w:p>
          <w:p w14:paraId="1DA6F1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Т-60, 70 кап. рем. - 55, ср. рем. - 17;</w:t>
            </w:r>
          </w:p>
          <w:p w14:paraId="2894CE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танков иномарок и трофейных кап. рем. - 77, ср. рем. - 14;</w:t>
            </w:r>
          </w:p>
          <w:p w14:paraId="6FC7D0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танков стар, марок кап рем. - 102, ср рем. - 8;</w:t>
            </w:r>
          </w:p>
          <w:p w14:paraId="5F9E57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бронемашин кап. рем - 27;</w:t>
            </w:r>
          </w:p>
          <w:p w14:paraId="5891345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бронетранспортеров кап. рем. - 34;</w:t>
            </w:r>
          </w:p>
          <w:p w14:paraId="55925E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мотоциклов кап. рем. - 240;</w:t>
            </w:r>
          </w:p>
          <w:p w14:paraId="6B31CE0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танковых моторов кап. рем. - 294;</w:t>
            </w:r>
          </w:p>
          <w:p w14:paraId="70B9218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аэросанных моторов кап. рем. - 0;</w:t>
            </w:r>
          </w:p>
          <w:p w14:paraId="0947389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автомоторов ГАЗ, М-1 кап. рем. - 139.</w:t>
            </w:r>
          </w:p>
          <w:p w14:paraId="0C52D3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7AC9C06"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399E02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ГОКО №2739сс от 13.01.1943 г. Обязать ГБТУ КА отремонтировать на ремзаводах №2 и 8, в течение января-мая 1943 г. Грузовых автомобилей - 500 шт. Моторов автомобильных - 4000 шт.</w:t>
            </w:r>
          </w:p>
          <w:p w14:paraId="7DE16C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4C0565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февраль месяц на ремзаводах НКО №2 и №8 отремон</w:t>
            </w:r>
            <w:r w:rsidRPr="00D03F3E">
              <w:rPr>
                <w:rFonts w:ascii="Times New Roman" w:hAnsi="Times New Roman"/>
                <w:color w:val="000000" w:themeColor="text1"/>
                <w:sz w:val="16"/>
                <w:szCs w:val="16"/>
              </w:rPr>
              <w:softHyphen/>
              <w:t>тировано:</w:t>
            </w:r>
          </w:p>
          <w:p w14:paraId="0623EA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грузовых автомобилей ГАЗ 2А - 156;</w:t>
            </w:r>
          </w:p>
          <w:p w14:paraId="2AE31D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грузовых автомобилей ЗИС-5 - 32.</w:t>
            </w:r>
          </w:p>
          <w:p w14:paraId="66019CA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188.</w:t>
            </w:r>
          </w:p>
          <w:p w14:paraId="66E423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за февраль месяц отремонтировано:</w:t>
            </w:r>
          </w:p>
          <w:p w14:paraId="592C84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легковых автомашин - 10;</w:t>
            </w:r>
          </w:p>
          <w:p w14:paraId="1BE67E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специальных автомашин - 7;</w:t>
            </w:r>
          </w:p>
          <w:p w14:paraId="749D324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автомашин иномарок - 15.</w:t>
            </w:r>
          </w:p>
          <w:p w14:paraId="4D9FD49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1A753CD"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03EA57D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ГОКО №2763 от 19.01.1943 г.</w:t>
            </w:r>
          </w:p>
          <w:p w14:paraId="503990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поставке аэросаней к 20.02.1943 г. в количестве 180 шт.</w:t>
            </w:r>
          </w:p>
          <w:p w14:paraId="4B60C93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5B13F92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Поставлено 77 аэросаней, остальные не поставлены из-за отсутствия моторов.</w:t>
            </w:r>
          </w:p>
          <w:p w14:paraId="284A33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3B6AE49"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4B46BB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ГОКО №2790сс от 27.01.1943 г. Установить план ремонта тракторов для ремзаводов ГБТУ КА на февраль месяц в количестве 210 шт.</w:t>
            </w:r>
          </w:p>
          <w:p w14:paraId="7387E08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3EBC73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отчетам начальников ремзаводов НКО на 9.03.1943 г. за февраль отремонтировано:</w:t>
            </w:r>
          </w:p>
          <w:p w14:paraId="5EB92F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тракторов калит, ремонта - 99 , средн. ремонта - 5.</w:t>
            </w:r>
          </w:p>
          <w:p w14:paraId="015B90F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отремонтировано в январе месяце в счет плана на февраль:</w:t>
            </w:r>
          </w:p>
          <w:p w14:paraId="30D5A0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тракторов капитального ремонта -109.</w:t>
            </w:r>
          </w:p>
          <w:p w14:paraId="0E7B855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B41FC65"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024902A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Постановление ГОКО №2801 от 30.01.1943 г. Об изготовлении в первом полугодии 1943 г. 18 бронепо</w:t>
            </w:r>
            <w:r w:rsidRPr="00D03F3E">
              <w:rPr>
                <w:rFonts w:ascii="Times New Roman" w:hAnsi="Times New Roman"/>
                <w:color w:val="000000" w:themeColor="text1"/>
                <w:sz w:val="16"/>
                <w:szCs w:val="16"/>
              </w:rPr>
              <w:softHyphen/>
              <w:t>ездов.</w:t>
            </w:r>
          </w:p>
          <w:p w14:paraId="45F747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том числе:</w:t>
            </w:r>
          </w:p>
          <w:p w14:paraId="3A715EC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бронепоездов на заводах НКТМ; 13 бронепоездов на заводах НКПС. и 10 баз для дивизионов бронепоездов. Из них: сдать к 1.03.1943 г.</w:t>
            </w:r>
          </w:p>
          <w:p w14:paraId="2A4DC2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на заводах НКПС бронепоездов - 2; баз - 2.</w:t>
            </w:r>
          </w:p>
          <w:p w14:paraId="042D4E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на заводах НКТМ бронепоездов - 1.</w:t>
            </w:r>
          </w:p>
          <w:p w14:paraId="59399A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11E1BC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Выполнено:</w:t>
            </w:r>
          </w:p>
          <w:p w14:paraId="1BF98D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 заводах НКПС: бронепоездов - 1.</w:t>
            </w:r>
          </w:p>
          <w:p w14:paraId="4FBE19F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Второй бронепоезд находится в стадии бронирования; баз - 5, но не приняты. Приемка задерживается из-за не укомплектованности инструментом вагон мастерских.</w:t>
            </w:r>
          </w:p>
          <w:p w14:paraId="4AF60D7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 заводах НКТМ:</w:t>
            </w:r>
          </w:p>
          <w:p w14:paraId="5C6E683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один бронепоезд находится в стадии окончания изготовле</w:t>
            </w:r>
            <w:r w:rsidRPr="00D03F3E">
              <w:rPr>
                <w:rFonts w:ascii="Times New Roman" w:hAnsi="Times New Roman"/>
                <w:color w:val="000000" w:themeColor="text1"/>
                <w:sz w:val="16"/>
                <w:szCs w:val="16"/>
              </w:rPr>
              <w:softHyphen/>
              <w:t>ния.</w:t>
            </w:r>
          </w:p>
          <w:p w14:paraId="129FE5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CEEF028"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4D7C6F8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ГОКО №2866сс от 10.02.1943 г.</w:t>
            </w:r>
          </w:p>
          <w:p w14:paraId="39CE864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ГАБТУ отгрузить заводу №180 НКТП неисполь</w:t>
            </w:r>
            <w:r w:rsidRPr="00D03F3E">
              <w:rPr>
                <w:rFonts w:ascii="Times New Roman" w:hAnsi="Times New Roman"/>
                <w:color w:val="000000" w:themeColor="text1"/>
                <w:sz w:val="16"/>
                <w:szCs w:val="16"/>
              </w:rPr>
              <w:softHyphen/>
              <w:t>зуемые ремонтными базами ГБТУ КА корпуса танков Т-34 в феврале 1943 г. - 140 шт.</w:t>
            </w:r>
          </w:p>
          <w:p w14:paraId="430200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3ECD82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февраль месяц отгружено 91 корпус танков Т-34.</w:t>
            </w:r>
          </w:p>
          <w:p w14:paraId="6D1580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F7A8D31"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258029F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ГОКО №2886с от 14.02.1943 г.</w:t>
            </w:r>
          </w:p>
          <w:p w14:paraId="40D5BC5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Установить план производства передвижных ремонтных мастерских на февраль-март месяцы 1943 г. по ремзаводу №90:</w:t>
            </w:r>
          </w:p>
          <w:p w14:paraId="62A671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передвижных мастерских типа «А» - 220 шт.</w:t>
            </w:r>
          </w:p>
          <w:p w14:paraId="2657623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передвижных мастерских типа «Б» - 48 шт.</w:t>
            </w:r>
          </w:p>
          <w:p w14:paraId="015E92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2431666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выполнено:</w:t>
            </w:r>
          </w:p>
          <w:p w14:paraId="163291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мастерских типа «А» - 9 шт.</w:t>
            </w:r>
          </w:p>
          <w:p w14:paraId="2D09976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мастерских типа «Б» - 20 шт.</w:t>
            </w:r>
          </w:p>
          <w:p w14:paraId="64023E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Основная причина невыполнения плана оборудования мастерских заключается в непредоставлении автомашин ГАВТУ КА.</w:t>
            </w:r>
          </w:p>
          <w:p w14:paraId="452B0C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99641AB" w14:textId="77777777">
        <w:trPr>
          <w:gridAfter w:val="1"/>
          <w:wAfter w:w="96" w:type="dxa"/>
          <w:trHeight w:val="1661"/>
        </w:trPr>
        <w:tc>
          <w:tcPr>
            <w:tcW w:w="4678" w:type="dxa"/>
            <w:tcBorders>
              <w:top w:val="single" w:sz="6" w:space="0" w:color="auto"/>
              <w:left w:val="single" w:sz="6" w:space="0" w:color="auto"/>
              <w:bottom w:val="single" w:sz="6" w:space="0" w:color="auto"/>
              <w:right w:val="single" w:sz="6" w:space="0" w:color="auto"/>
            </w:tcBorders>
          </w:tcPr>
          <w:p w14:paraId="3B8760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ГОКО №2926 от 22.02.1943 г. Обязать НКО (т. Федоренко) и т. Хрулева до 25.02.1943 г. передать НКТП и НКСМ во временное пользование ремсред-ства с людьми и оборудованием: 1) Наркомтанкопрому: подвижной ремзавод №5 и ремзавод №3; 2) Наркомсредмашу: ОРВБ №16 и ремпоезд №49.</w:t>
            </w:r>
          </w:p>
          <w:p w14:paraId="538639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45" w:type="dxa"/>
            <w:tcBorders>
              <w:top w:val="single" w:sz="6" w:space="0" w:color="auto"/>
              <w:left w:val="single" w:sz="6" w:space="0" w:color="auto"/>
              <w:bottom w:val="single" w:sz="6" w:space="0" w:color="auto"/>
              <w:right w:val="single" w:sz="6" w:space="0" w:color="auto"/>
            </w:tcBorders>
          </w:tcPr>
          <w:p w14:paraId="5F4946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НКТП: Подвижной ремзавод №5 передан. Ремзавод №3 заменен ремпоездом №39, который еще на 15.03.1943 г. в пути и не передан. По НКСМ: 16 ОРВБ заменен на ОРВБ 93, который НКСМ передан. 49 ремпоезд заменен на 100 ремпоезд, который передан НКСМ.</w:t>
            </w:r>
          </w:p>
          <w:p w14:paraId="192B34D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61E8D25" w14:textId="77777777">
        <w:trPr>
          <w:gridAfter w:val="1"/>
          <w:wAfter w:w="96" w:type="dxa"/>
          <w:trHeight w:val="874"/>
        </w:trPr>
        <w:tc>
          <w:tcPr>
            <w:tcW w:w="4678" w:type="dxa"/>
            <w:tcBorders>
              <w:top w:val="single" w:sz="6" w:space="0" w:color="auto"/>
              <w:left w:val="single" w:sz="6" w:space="0" w:color="auto"/>
              <w:bottom w:val="single" w:sz="6" w:space="0" w:color="auto"/>
              <w:right w:val="single" w:sz="6" w:space="0" w:color="auto"/>
            </w:tcBorders>
          </w:tcPr>
          <w:p w14:paraId="04620DB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ГКО №2941сс от 24.02.1943 г. Обязать ГБТУ КА передать до 1 марта 1943 г. Главному управлению по ремонту танков НКТП 25 человек специали</w:t>
            </w:r>
            <w:r w:rsidRPr="00D03F3E">
              <w:rPr>
                <w:rFonts w:ascii="Times New Roman" w:hAnsi="Times New Roman"/>
                <w:color w:val="000000" w:themeColor="text1"/>
                <w:sz w:val="16"/>
                <w:szCs w:val="16"/>
              </w:rPr>
              <w:softHyphen/>
              <w:t>стов по ремонту трофейных танков.</w:t>
            </w:r>
          </w:p>
          <w:p w14:paraId="40B61CF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45" w:type="dxa"/>
            <w:tcBorders>
              <w:top w:val="single" w:sz="6" w:space="0" w:color="auto"/>
              <w:left w:val="single" w:sz="6" w:space="0" w:color="auto"/>
              <w:bottom w:val="single" w:sz="6" w:space="0" w:color="auto"/>
              <w:right w:val="single" w:sz="6" w:space="0" w:color="auto"/>
            </w:tcBorders>
          </w:tcPr>
          <w:p w14:paraId="258151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человек специалистов по ремонту трофейных танков выделены и выехали к месту работы в начале марта месяца.</w:t>
            </w:r>
          </w:p>
          <w:p w14:paraId="6D1F557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01C5C51" w14:textId="77777777">
        <w:trPr>
          <w:gridAfter w:val="1"/>
          <w:wAfter w:w="96" w:type="dxa"/>
          <w:trHeight w:val="893"/>
        </w:trPr>
        <w:tc>
          <w:tcPr>
            <w:tcW w:w="4678" w:type="dxa"/>
            <w:tcBorders>
              <w:top w:val="single" w:sz="6" w:space="0" w:color="auto"/>
              <w:left w:val="single" w:sz="6" w:space="0" w:color="auto"/>
              <w:bottom w:val="single" w:sz="6" w:space="0" w:color="auto"/>
              <w:right w:val="single" w:sz="6" w:space="0" w:color="auto"/>
            </w:tcBorders>
          </w:tcPr>
          <w:p w14:paraId="3D19B9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ГОКО №2943сс от 24.02.1943 г. Обязать НКТП изготовить 2 опытных образца танков ИС, один с пушкой 122-мм, другой с пушкой 76-мм со сроком их полигонного испытания 10.03.1943 г.</w:t>
            </w:r>
          </w:p>
          <w:p w14:paraId="1EE4D34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45" w:type="dxa"/>
            <w:tcBorders>
              <w:top w:val="single" w:sz="6" w:space="0" w:color="auto"/>
              <w:left w:val="single" w:sz="6" w:space="0" w:color="auto"/>
              <w:bottom w:val="single" w:sz="6" w:space="0" w:color="auto"/>
              <w:right w:val="single" w:sz="6" w:space="0" w:color="auto"/>
            </w:tcBorders>
          </w:tcPr>
          <w:p w14:paraId="4B89E4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Корпуса и башни танков изготовлены и поданы на завод для монтажа агрегатов и вооружения.</w:t>
            </w:r>
          </w:p>
          <w:p w14:paraId="03FE5C0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B0E73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орготдела штаба БТ и МВ КА инженер-подполковник Мартынов</w:t>
      </w:r>
    </w:p>
    <w:p w14:paraId="248434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 начальника орготдела подполковник Ермаков</w:t>
      </w:r>
    </w:p>
    <w:p w14:paraId="7EED8D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11353. Д. 1138. Л. 3742. Подлинник (11403).</w:t>
      </w:r>
    </w:p>
    <w:p w14:paraId="7A6216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82FD36" w14:textId="77777777" w:rsidR="00B57973" w:rsidRPr="00D03F3E" w:rsidRDefault="00B57973" w:rsidP="00D03F3E">
      <w:pPr>
        <w:pStyle w:val="article-renderblock"/>
        <w:shd w:val="clear" w:color="auto" w:fill="FFFFFF"/>
        <w:spacing w:before="0" w:beforeAutospacing="0" w:after="0" w:afterAutospacing="0"/>
        <w:jc w:val="both"/>
        <w:rPr>
          <w:color w:val="0070C0"/>
          <w:sz w:val="16"/>
          <w:szCs w:val="16"/>
        </w:rPr>
      </w:pPr>
      <w:r w:rsidRPr="00D03F3E">
        <w:rPr>
          <w:color w:val="0070C0"/>
          <w:sz w:val="16"/>
          <w:szCs w:val="16"/>
        </w:rPr>
        <w:t xml:space="preserve">К 25 марта 1943 года орудие ВТ-42 уже успешно прошло заводские испытания в башне танка Т-70. Также был подготовлен альбом чертежей, краткое описание системы и отчет о заводских испытаниях. Два экземпляра данных документов ушли в Артком ГАУ КА и БТУ ГБТУ КА. Как указывалось в письме, орудие было готово к полигонным испытаниям. Впрочем, произошла вполне привычная в таких делах задержка. Документация и расчеты по орудию прибыли 2 апреля, а вот сам танк Т-70, вместе с ВТ-42, прибыл 12 мая (20344) </w:t>
      </w:r>
    </w:p>
    <w:p w14:paraId="6838CFBD" w14:textId="77777777" w:rsidR="00B57973" w:rsidRPr="00D03F3E" w:rsidRDefault="00B57973" w:rsidP="00D03F3E">
      <w:pPr>
        <w:pStyle w:val="article-renderblock"/>
        <w:shd w:val="clear" w:color="auto" w:fill="FFFFFF"/>
        <w:spacing w:before="0" w:beforeAutospacing="0" w:after="0" w:afterAutospacing="0"/>
        <w:jc w:val="both"/>
        <w:rPr>
          <w:color w:val="0070C0"/>
          <w:sz w:val="16"/>
          <w:szCs w:val="16"/>
        </w:rPr>
      </w:pPr>
    </w:p>
    <w:p w14:paraId="201152D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марта 1943 постановлением СНК № 328-103с было создано второе главное управление НКТП, которое должно было производить дизели и электрооборудование для танков. В состав главка вошли дизельные заводы №77 и №76. Кроме того, во втором главном управлении оказались в 1943 году заводы, производящие электрооборудование для танков, а именно № 238, № 254, № 255, а также переданный в состав НКТП 8 июня 1943 года завод № 222 по производству танковых огнеметов, расположенный на станции Тогузак в Казахстане. Также ко второму главному управлению относилось некоторое время в 1944 году несколько заводов, выпускавших запчасти и детали к дизельным двигателям, а именно № 45 и № 39. Дизельное производство было самым сложным из всего, чем занимался НКТП. В этой области труднее всего налаживалось массовое производство.</w:t>
      </w:r>
    </w:p>
    <w:p w14:paraId="53A508D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Дизелей постоянно не хватало. Поэтому создание отдельного главка для управления дизельным производством не вызывает удивления. Самостоятельная структура внутри НКТП, объединяющая всё дизельное производство, могла бы способствовать росту его эффективности. Странно скорее другое - то, что этот главк не был создан раньше. Можно предположить, что на решение о создании второго главка повлияли те же факторы, что вызвали к жизни ГУРТ. Ведь дизель был одним из самых часто выходящих из строя агрегатов танка. Большое число вышедших из строя танков могло быть восстановлено путём замены дизеля. Но для этого требуется, чтобы производство дизелей превышало производство использующих их танков. С этой точки зрения создание второго главка себя оправдало: дизельное производство в 1943 году значительно выросло. Вырос и излишек дизелей по отношению к производимой бронетехнике, на которую они устанавливались. Если в 1942 году такой излишек составлял всего 1785 штук, то в 1943 уже 4340 штук.</w:t>
      </w:r>
    </w:p>
    <w:p w14:paraId="7D519D3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Массовое производство танковых дизелей</w:t>
      </w:r>
    </w:p>
    <w:p w14:paraId="3F0910C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Перейти к массовому производству дизелей оказалось сложнее, чем провести аналогичную перестройку танкового производства. Ведь большинство деталей дизеля изготавливается по второму классу точности, а часть деталей нужно делать по стандартам, превышающим первый класс точности. Но к концу 1942 года меры в этой области начали наконец давать свои плоды.</w:t>
      </w:r>
    </w:p>
    <w:p w14:paraId="59D5C5B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Самым крупным производителем дизелей для танков в СССР был Кировский завод. Его дизельное производство было наследием завода № 75, единственного производителя дизелей до войны. В ходе эвакуации завод понёс значительные потери. Но благодаря организации массового производства дизелисты Кировского завода, имея меньше производственных площадей и квалифицированных рабочих, чем в Харькове, смогли превзойти довоенное производство в два раза.</w:t>
      </w:r>
    </w:p>
    <w:p w14:paraId="790EB70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этого пришлось полностью перестроить всю систему производства, начав с изменения образа мыслей инженерно-технических работников, привыкших рассматривать дизель только как продукт мелкосерийного производства. Под руководством принявших новые взгляды ИТР была проведена перепланировка расстановки и перестановка станков, затронувшая 1218 единиц оборудования2. Станки были сгруппированы в поточные линии, в составе которых было задействовано две трети производящего дизели оборудования. Правда, на производстве наиболее сложной детали, топливного насоса доля оборудования в поточных линиях составляла всего 40%. Для работы поточных линий пришлось организовать систему механизированного межоперационного транспорта. В результате повысилась культура производства, чистота цехов, работа стала более ритмичной, упростилось планирование. Рабочие перестали бросать детали на пол. На деталях уменьшилось число выбоин и царапин. Появилась возможность ввести часовой график, что значительно повысило трудовую дисциплину.</w:t>
      </w:r>
    </w:p>
    <w:p w14:paraId="44904E3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Произошел переход к использованию высокопроизводительных технологий: многорезцового резания, непрерывного фрезерования, многошпиндельного сверления и расточки и т.д. Для этого надо было пересмотреть использование оборудования, максимально задействовав высокопроизводительные, а не универсальные типы станков: полуавтоматы, многорезцовые станки, многошпиндельные станки, револьверные станки и др. Но такого специального оборудования не хватало, и завод заменял его модернизированными станками нестандартного типа собственного изготовления. Фрезерные станки переделывались в станки непрерывного фрезерования. На одношпиндельные сверлильные станки устанавливались изготовленные на самом же Кировском заводе многошпиндельные сверлильные головки, позволяющие одновременно просверливать от 2 до 24 отверстий. У других станков электромоторы заменялись на более мощные, чтобы изменить режимы их работы. Кроме того, обычные станки переделывали в автоматизированные.</w:t>
      </w:r>
    </w:p>
    <w:p w14:paraId="6F14DF74"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конструкцию дизеля постоянно вносились изменения. Главной целью этой работы было создание условий для использования высокопроизводительных технологий. В общей сложности было внесено 1317 изменений. «Не конструктивные искания, а массово-поточная обработка деталей и конвейерная сборка предопределили текущую модернизацию мотора и окончательное оформление сборочных узлов и машины в целом» (12290).</w:t>
      </w:r>
    </w:p>
    <w:p w14:paraId="0ECD58AF"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76CFE8A5"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211CEF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10D7FB"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25 марта</w:t>
      </w:r>
      <w:r w:rsidRPr="00D03F3E">
        <w:rPr>
          <w:rFonts w:ascii="Times New Roman" w:hAnsi="Times New Roman"/>
          <w:color w:val="000000" w:themeColor="text1"/>
          <w:sz w:val="16"/>
          <w:szCs w:val="16"/>
        </w:rPr>
        <w:t xml:space="preserve"> в 1943 году утреннее сообщение Совинформбюро:</w:t>
      </w:r>
    </w:p>
    <w:p w14:paraId="173AA655"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25 марта наши войска вели бои на прежних направлениях.</w:t>
      </w:r>
    </w:p>
    <w:p w14:paraId="400BBEF4"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бойцы Н-ской части ночью атаковали противника, укрепившегося в одном населённом пункте. Гранатами и в рукопашной схватке уничтожено более 100 немецких солдат и офицеров. Захвачены трофеи и пленные. На другом участке фронта наши части заняли несколько населённых пунктов. Захвачены у противника 3 миномёта, 10 пулемётов, много винтовок и склад боеприпасов. Советские танкисты атаковали и разгромили подходившую к фронту немецкую колонну. Уничтожено 20 автомашин и до роты гитлеровцев.</w:t>
      </w:r>
    </w:p>
    <w:p w14:paraId="1DA979B3"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Чугуева два батальона немецкой пехоты при поддержке танков и самоходных орудий заняли одну высоту. Бойцы Н-ской части контратакой выбили гитлеровцев с этой высоты и восстановили положение. В бою за высоту немцы потеряли 6 танков, 4 самоходных орудия и до 200 солдат и офицеров.</w:t>
      </w:r>
    </w:p>
    <w:p w14:paraId="09AE8074"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происходила активная деятельность разведывательных отрядов. Н-ское подразделение окружило и истребило два взвода немецких автоматчиков, пытавшихся пробраться в тыл советских частей. На другом участке отбита атака пехотного батальона противника. На поле боя осталось до 150 вражеских трупов.</w:t>
      </w:r>
    </w:p>
    <w:p w14:paraId="06828D01"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нашими лётчиками в воздушных боях и огнём зенитной артиллерии в течение вчерашнего дня уничтожено 32 немецких самолёта.</w:t>
      </w:r>
    </w:p>
    <w:p w14:paraId="59680EF1"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могилёвских партизан за последние дни разгромил три немецких гарнизона и истребил 180 гитлеровцев. Партизанами захвачены трофеи: 86 винтовок, 6 пулемётов, 71 автомат и 3 мотоцикла. Отряд минских партизан пустил под откос железнодорожный эшелон противника. В результате крушения уничтожено 4 бронемашины, 8 автомашин и убито 35 немецко-фашистских оккупантов.</w:t>
      </w:r>
    </w:p>
    <w:p w14:paraId="08121A82"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Жители деревни Шапково, Смоленской области, Матвей Захаров, Матрёна Базаненкова, Анастасия Крючкова и Татьяна Кузенкова рассказали о зверствах немецко-фашистских мерзавцев: «Гитлеровцы обобрали и ограбили всю деревню. Они унижали советских людей, издевались над ними. Это была не жизнь, а каторга. Фашистские изверги погубили многих жителей. Фельдшер немецкого госпиталя затащил колхозницу Агафью Шароченкову в дом, где пьянствовали немецкие солдаты, они заставили её выпить стакан кофе, в котором был яд. Немецкие бандиты дико гоготали, наблюдая, как мучается в предсмертных судорогах отравленная ими русская женщина. Потом они выбросили Шароченкову на улицу, где она вскоре умерла. Перед отступлением немцы подожгли деревню. Сгорели 167 жилых домов, школа, здание правления колхоза и другие общественные постройки. Колхозники бросились было тушить избы, но немцы открыли стрельбу из автоматов. Немецкий комендант отобрал 150 трудоспособных колхозников и под конвоем угнал их в тыл. Колхозница Мария Чухова и колхозник Митрофан Зюзькин наотрез отказались покинуть деревню и уходить с немцами. Гитлеровцы на глазах у всех убили Чухову иЗюзькина. Если бы не Красная Армия, нас всех погубили бы немецко-фашистские захватчики. Мы остались живыми и теперь детям и внукам навеки закажем мстить немецким разбойникам за всё, что они наделали на русской земле».</w:t>
      </w:r>
    </w:p>
    <w:p w14:paraId="398F905E"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Бельгийские патриоты в Шарлеруа вывели из строя крупную угольную шахту. На участке железной дороги Намюр—Гюи патриоты пустили под откос немецкий воинский эшелон. В районе города Ла-Лувьер вооружённые бельгийцы совершили налёт на немецкий пост и истребили 19 гитлеровцев.» (15079).</w:t>
      </w:r>
    </w:p>
    <w:p w14:paraId="53A24741" w14:textId="77777777" w:rsidR="00835EB7" w:rsidRPr="00D03F3E" w:rsidRDefault="00835EB7" w:rsidP="00D03F3E">
      <w:pPr>
        <w:spacing w:after="0" w:line="240" w:lineRule="auto"/>
        <w:jc w:val="both"/>
        <w:rPr>
          <w:rFonts w:ascii="Times New Roman" w:hAnsi="Times New Roman"/>
          <w:color w:val="000000" w:themeColor="text1"/>
          <w:sz w:val="16"/>
          <w:szCs w:val="16"/>
        </w:rPr>
      </w:pPr>
    </w:p>
    <w:p w14:paraId="1394720A"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25 марта</w:t>
      </w:r>
      <w:r w:rsidRPr="00D03F3E">
        <w:rPr>
          <w:rFonts w:ascii="Times New Roman" w:hAnsi="Times New Roman"/>
          <w:color w:val="000000" w:themeColor="text1"/>
          <w:sz w:val="16"/>
          <w:szCs w:val="16"/>
        </w:rPr>
        <w:t xml:space="preserve"> в 1943 году вечернее сообщение Совинформбюро:</w:t>
      </w:r>
    </w:p>
    <w:p w14:paraId="40E7B2EA"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25 марта наши войска вели бои на прежних направлениях.</w:t>
      </w:r>
    </w:p>
    <w:p w14:paraId="13C78737"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марта частями нашей авиации на различных участках фронта уничтожено или повреждено не менее 50 немецких автомашин с войсками и грузами, взорван склад боеприпасов, подавлен огонь 8 батарей полевой и зенитной артиллерии противника.</w:t>
      </w:r>
    </w:p>
    <w:p w14:paraId="689AF20A"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заняли несколько населённых пунктов. Бойцы Н-ской части обошли сильно укреплённый опорный пункт противника, с тыла атаковали немецкий гарнизон и после короткого боя овладели пунктом. Захвачены склад боеприпасов, 3 орудия, много винтовок, гранат и патронов. Взяты пленные.</w:t>
      </w:r>
    </w:p>
    <w:p w14:paraId="1B445828"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подразделения Н-ской части разгромили немецкую роту автоматчиков, пытавшуюся переправиться через водный рубеж. На поле боя осталось свыше 100 вражеских трупов. Огнём нашей артиллерии подбито 3 танка, 5 противотанковых орудий, рассеяно и частью истреблено до батальона пехоты противника.</w:t>
      </w:r>
    </w:p>
    <w:p w14:paraId="27F6A6F0"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Чугуева наши части вели оборонительные бои. Утром полк немецкой пехоты при поддержке 20 танков атаковал одну высоту. Наступление поддерживалось огнём артиллерии и тяжёлых миномётов., Наши бойцы отразили натиск противника и удержали свои позиции. Подбито и сожжено 7 немецких танков и 5 самоходных пушек. Не увенчалась успехом атака немцев и на другом участке. Попав под убийственный огонь советской артиллерии, гитлеровцы поспешно отступили, оставив на поле боя свыше 200 трупов.</w:t>
      </w:r>
    </w:p>
    <w:p w14:paraId="3C6F05B4"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Харьковской области, совершил налёт на крупный населённый пункт и разгромил находившийся в нём немецкий гарнизон. Убито 80 гитлеровцев. Освобождено 20 советских граждан, приговорённых немцами к расстрелу. Кроме того, партизаны пустили под откос воинский эшелон противника. Под обломками разбитых вагонов погибло несколько десятков немецко-фашистских захватчиков.</w:t>
      </w:r>
    </w:p>
    <w:p w14:paraId="0A3A8CEE"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солдат 11 роты 1 полка дивизии СС «|Адольф Гитлер» Август Зуэр рассказал: «Наша дивизия находилась во Франции. В ноябре прошлого года начались приготовления к переброске дивизии в Северную Африку. Весь личный состав прошёл медицинское освидетельствование. Предполагалось, что все признанные негодными к военной службе в Африке будут отчислены в другие части. Однако неожиданно был получен приказ об отправке дивизии в Россию. В середине января началась переброска подразделении дивизии на Восточный фронт. В дороге солдатам стало известно о тяжёлых поражениях немецких войск в России и о катастрофе, постигшей армию фельдмаршала Паулюса под Сталинградом. Солдаты говорили: «Если немецкие войска потерпят ещё одно такое поражение, то Германия потеряет всё, что она достигла за несколько лет ценою огромных жертв». По мнению многих офицеров и солдат, переброска самых боеспособных дивизий из Франции сопряжена с огромным риском».</w:t>
      </w:r>
    </w:p>
    <w:p w14:paraId="033D4554"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над советскими военнопленными: «В освобождённом от немцев селе Зорино, Курской области, обнаружены трупы 32 советских бойцов. Установлено, что они были ранены на поле боя, захвачены в плен и зверски замучены гитлеровцами. У двух красноармейцев выколоты глаза, у одного — изуродовано лицо. Три трупа сожжены. Военврачу 3 ранга Заливакиной и санитарке Марии Федотовой бандиты проломили голову». Акт подписали: старший лейтенант Толмасов, красноармеец Суханов, колхозники Фетисов и Мелихова.</w:t>
      </w:r>
    </w:p>
    <w:p w14:paraId="60996A33"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действующие в районе железной дороги Загреб — Сплит, рассеяли немецкую охрану и взорвали самый крупный на этой линии Бендерский виадук. Для восстановления нормального движения потребуется несколько месяцев. На подступах города Невесинье партизаны разгромили колонну оккупантов. Уничтожено более 200 солдат и офицеров противника. Захвачены трофеи: 7 тяжёлых миномётов, 111 пулемётов и 100 повозок с военными грузами.» (15079).</w:t>
      </w:r>
    </w:p>
    <w:p w14:paraId="788C19B1" w14:textId="77777777" w:rsidR="00835EB7" w:rsidRPr="00D03F3E" w:rsidRDefault="00835EB7" w:rsidP="00D03F3E">
      <w:pPr>
        <w:spacing w:after="0" w:line="240" w:lineRule="auto"/>
        <w:jc w:val="both"/>
        <w:rPr>
          <w:rFonts w:ascii="Times New Roman" w:hAnsi="Times New Roman"/>
          <w:color w:val="000000" w:themeColor="text1"/>
          <w:sz w:val="16"/>
          <w:szCs w:val="16"/>
        </w:rPr>
      </w:pPr>
    </w:p>
    <w:p w14:paraId="31C293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марта 1943 на фронт прибыли и вошли в состав 1ВА л эскадрильи Н (340,150).</w:t>
      </w:r>
    </w:p>
    <w:p w14:paraId="109284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E26E4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марта 1943 г. была подготовлена СПРАВКА УПРАВЛЕНИЯ БРОНЕПОЕЗДОВ И БРОНЕМАШИН ГБТУ КА О НАЛИЧИИ БРОНЕАВТОМОБИЛЕЙ В БРОНЕПОЕЗДНЫХ ЧАСТЯХ</w:t>
      </w:r>
    </w:p>
    <w:p w14:paraId="0CAD604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Имеется в частях:</w:t>
      </w:r>
    </w:p>
    <w:p w14:paraId="725440E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Бронеавтомобилей: БА-20 - 84 шт. БА-10 - 10шт. Всего: - 94 шт.</w:t>
      </w:r>
    </w:p>
    <w:p w14:paraId="254A39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Из них на железнодорожном ходу: БА-20 - 19 шт.</w:t>
      </w:r>
    </w:p>
    <w:p w14:paraId="2B84398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БА-10 - 7шт.</w:t>
      </w:r>
    </w:p>
    <w:p w14:paraId="0A9FB6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- 26 шт.</w:t>
      </w:r>
    </w:p>
    <w:p w14:paraId="2C2DF6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Из них на резиновом ходу и примитивном железнодорожном ходу:</w:t>
      </w:r>
    </w:p>
    <w:p w14:paraId="7A439B6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БА-20 - 65 шт.</w:t>
      </w:r>
    </w:p>
    <w:p w14:paraId="0EAE38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БА-10 - Зшт.</w:t>
      </w:r>
    </w:p>
    <w:p w14:paraId="4CC9D87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- 68 шт.</w:t>
      </w:r>
    </w:p>
    <w:p w14:paraId="768188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 а) Потребно по штату для 52 дивизионов бронепоездов, находящихся на фронтах — 104 шт.</w:t>
      </w:r>
    </w:p>
    <w:p w14:paraId="6250E18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Потребно по штату для 4 дивизионов бронепоездов, находящихся в округах — 8 шт.</w:t>
      </w:r>
    </w:p>
    <w:p w14:paraId="53E831F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Потребно по штату для 8 отдельных бронепоездов, находящихся на фронтах — 8 шт. Всего потребно по штату — 120 шт.</w:t>
      </w:r>
    </w:p>
    <w:p w14:paraId="0DD270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III. Потребно новых бронеавтомобилей на железнодорожном ходу — БА-64: Для укомплектования до штата - 26 штук Для замены неполноценных - 68 штук Для вновь формируемых 7 дивизионов бронепоездов - 14 штук Для войск НКВД - 22 штук Всего потребно БА-64 ж. д. - 130 штук</w:t>
      </w:r>
    </w:p>
    <w:p w14:paraId="5D3C7E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1 отдела управления бронепоездов и бронемашин ГБТУ КА</w:t>
      </w:r>
    </w:p>
    <w:p w14:paraId="74D354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инженер-майор Смирнов</w:t>
      </w:r>
    </w:p>
    <w:p w14:paraId="6A5648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11358. Д. 94. Л. 67. Подлинник (11403).</w:t>
      </w:r>
    </w:p>
    <w:p w14:paraId="0B3280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8A3D9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марта 1943 вышло Постановление ГКО № 3079 О сохранении морской формы одежды для артиллеристов береговой обороны и летного состава ВВС Военно-</w:t>
      </w:r>
      <w:r w:rsidRPr="00D03F3E">
        <w:rPr>
          <w:rFonts w:ascii="Times New Roman" w:hAnsi="Times New Roman"/>
          <w:color w:val="000000" w:themeColor="text1"/>
          <w:sz w:val="16"/>
          <w:szCs w:val="16"/>
        </w:rPr>
        <w:lastRenderedPageBreak/>
        <w:t>Морского Флота. (7091, 73).</w:t>
      </w:r>
    </w:p>
    <w:p w14:paraId="716912E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082F31" w14:textId="77777777" w:rsidR="00835EB7"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40075905" w14:textId="77777777" w:rsidR="00835EB7" w:rsidRPr="00D03F3E" w:rsidRDefault="00835EB7"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EEF612"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25 марта</w:t>
      </w:r>
      <w:r w:rsidRPr="00D03F3E">
        <w:rPr>
          <w:rFonts w:ascii="Times New Roman" w:hAnsi="Times New Roman"/>
          <w:color w:val="000000" w:themeColor="text1"/>
          <w:sz w:val="16"/>
          <w:szCs w:val="16"/>
        </w:rPr>
        <w:t xml:space="preserve"> в 1943 году опытный </w:t>
      </w:r>
      <w:hyperlink r:id="rId98" w:tgtFrame="_blank" w:history="1">
        <w:r w:rsidRPr="00D03F3E">
          <w:rPr>
            <w:rFonts w:ascii="Times New Roman" w:hAnsi="Times New Roman"/>
            <w:color w:val="000000" w:themeColor="text1"/>
            <w:sz w:val="16"/>
            <w:szCs w:val="16"/>
          </w:rPr>
          <w:t xml:space="preserve">«Не – 219» </w:t>
        </w:r>
      </w:hyperlink>
      <w:r w:rsidRPr="00D03F3E">
        <w:rPr>
          <w:rFonts w:ascii="Times New Roman" w:hAnsi="Times New Roman"/>
          <w:color w:val="000000" w:themeColor="text1"/>
          <w:sz w:val="16"/>
          <w:szCs w:val="16"/>
        </w:rPr>
        <w:t>участвовал в учебном бою с истребителями «Do 217N» и бомбардировщиком «Ju 88S». «Do 217N» был вынужден уступить с самого начала. Ближний бой между майором Штрейбом - командиром I/NJG 1 на Не 219 и полковником фон Лоссбергом из Технического департамента на Ju 88S, закончился победой первого. Результатом этих испытаний стало решение РЛМ увеличить заказ на «Не - 219» со 100 до 300 машин (15079).</w:t>
      </w:r>
    </w:p>
    <w:p w14:paraId="0E6307E7" w14:textId="77777777" w:rsidR="00835EB7" w:rsidRPr="00D03F3E" w:rsidRDefault="00835EB7" w:rsidP="00D03F3E">
      <w:pPr>
        <w:spacing w:after="0" w:line="240" w:lineRule="auto"/>
        <w:jc w:val="both"/>
        <w:rPr>
          <w:rFonts w:ascii="Times New Roman" w:hAnsi="Times New Roman"/>
          <w:color w:val="000000" w:themeColor="text1"/>
          <w:sz w:val="16"/>
          <w:szCs w:val="16"/>
        </w:rPr>
      </w:pPr>
    </w:p>
    <w:p w14:paraId="0832EA09"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25 марта</w:t>
      </w:r>
      <w:r w:rsidRPr="00D03F3E">
        <w:rPr>
          <w:rFonts w:ascii="Times New Roman" w:hAnsi="Times New Roman"/>
          <w:color w:val="000000" w:themeColor="text1"/>
          <w:sz w:val="16"/>
          <w:szCs w:val="16"/>
        </w:rPr>
        <w:t xml:space="preserve"> в 1943 году Б.Муссолини в письме А.Гитлеру вновь предложил заключить сепаратный мир с СССР (15079).</w:t>
      </w:r>
    </w:p>
    <w:p w14:paraId="244908D4" w14:textId="77777777" w:rsidR="00835EB7" w:rsidRPr="00D03F3E" w:rsidRDefault="00835EB7" w:rsidP="00D03F3E">
      <w:pPr>
        <w:spacing w:after="0" w:line="240" w:lineRule="auto"/>
        <w:jc w:val="both"/>
        <w:rPr>
          <w:rFonts w:ascii="Times New Roman" w:hAnsi="Times New Roman"/>
          <w:color w:val="000000" w:themeColor="text1"/>
          <w:sz w:val="16"/>
          <w:szCs w:val="16"/>
        </w:rPr>
      </w:pPr>
    </w:p>
    <w:p w14:paraId="20E4714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76DA76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FFFD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марта 1943 года начальник ЦИАМ д.т.н. Поликовский В.И. писал письмо N 347с Шахурину.</w:t>
      </w:r>
    </w:p>
    <w:p w14:paraId="38A5BB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вопросу: О летных испытаниях и доводке турбокомпрессора ТК-3 на самолете ИЛ-4Т с моторами М-88Б.</w:t>
      </w:r>
    </w:p>
    <w:p w14:paraId="49191A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постановлению Гос. комитета обороны от 18.II.43 г. N 2916сс и Вашему приказу от 25.II.43 г. за N 118с, ЦИАМ должен закончить доводку турбокомпрессора ТК-3 на самолете ИЛ-4Т к 15 апреля с/года.</w:t>
      </w:r>
    </w:p>
    <w:p w14:paraId="630AC6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Проведенные до настоящего времени полеты показали, что при выполненной конструкции турбокомпрессоров и их установки на самолете, мотор М-88Б дает повышение высотности на 1 скорости с 4000 до 7000 м (что будет соответствовать повышению высотности при работе на II скорости с 6000 до 9000 м.</w:t>
      </w:r>
    </w:p>
    <w:p w14:paraId="2F7147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заданию необходимо было повысить высотность на I скорости до 9000 м и на II скорости до 11000 м, следовательно, имеется недобор высотности в 2000 м.</w:t>
      </w:r>
    </w:p>
    <w:p w14:paraId="27CB1F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Основной причиной, вызвавшей недобор, является удаленное расположение турбокомпрессора от мотора, впервые примененное у нас в Союзе. Удлинение газовых труб, связанная с этим утечка газа и его охлаждение, сильно снижают мощность турбины.</w:t>
      </w:r>
    </w:p>
    <w:p w14:paraId="369319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восстановления их мощности требуется несколько изменить конструкцию турбинной части для того, чтобы повысить степень использования энергии выхлопных газов.</w:t>
      </w:r>
    </w:p>
    <w:p w14:paraId="443DEC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Необходимые работы проводятся сейчас в ЦИАМ и к испытанию модифицированного турбокомпрессора на самолете можно будет приступить в начале апреля.</w:t>
      </w:r>
    </w:p>
    <w:p w14:paraId="16B406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Указанные дефекты могли бы быть выявлены раньше, так как оборудование самолета было окончено, уже 18 декабря 1942 года. Столь длительная задержка объясняется небольшим числом полетов (всего лишь 8 полетов), включая и пробные на малых высотах), которые удалось за в это время провести.</w:t>
      </w:r>
    </w:p>
    <w:p w14:paraId="13764C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Проведение полетов задерживалось отсутствием летных дней в отведенной ПВО летной зоне и необходимостью два раза заменять моторы, которые выходили из строя.</w:t>
      </w:r>
    </w:p>
    <w:p w14:paraId="3C5EDC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ЦИАМ принимает все меры к скорейшему окончанию доводки, рассматривая эту работу, как свою основную.</w:t>
      </w:r>
    </w:p>
    <w:p w14:paraId="1E4D1B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то же время ЦИАМ просит Вашего ходатайства перед Гос. комитетом обороны о перенесении срока окончания доводки на 20 мая с/года (1783).</w:t>
      </w:r>
    </w:p>
    <w:p w14:paraId="0F1A58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BBB4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марта 1943 (пятница) согласно письма N 84с ГК завода 134 Ермолаева на Ер-2 2м-30Б было выполнено 4 полета для подбора оборотов винта по 1 час. (1775,46).</w:t>
      </w:r>
    </w:p>
    <w:p w14:paraId="3BF67A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B770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марта 1943 г. он выполнил на И-185 первый кон</w:t>
      </w:r>
      <w:r w:rsidRPr="00D03F3E">
        <w:rPr>
          <w:rFonts w:ascii="Times New Roman" w:hAnsi="Times New Roman"/>
          <w:color w:val="000000" w:themeColor="text1"/>
          <w:sz w:val="16"/>
          <w:szCs w:val="16"/>
        </w:rPr>
        <w:softHyphen/>
        <w:t>трольный полет продолжительностью 23 минуты. Осо</w:t>
      </w:r>
      <w:r w:rsidRPr="00D03F3E">
        <w:rPr>
          <w:rFonts w:ascii="Times New Roman" w:hAnsi="Times New Roman"/>
          <w:color w:val="000000" w:themeColor="text1"/>
          <w:sz w:val="16"/>
          <w:szCs w:val="16"/>
        </w:rPr>
        <w:softHyphen/>
        <w:t>бых замечаний к самолету не было. Во время второго контрольного полета 31 марта Степанченок, еще не ос</w:t>
      </w:r>
      <w:r w:rsidRPr="00D03F3E">
        <w:rPr>
          <w:rFonts w:ascii="Times New Roman" w:hAnsi="Times New Roman"/>
          <w:color w:val="000000" w:themeColor="text1"/>
          <w:sz w:val="16"/>
          <w:szCs w:val="16"/>
        </w:rPr>
        <w:softHyphen/>
        <w:t>воивший полностью технику пилотирования, при по</w:t>
      </w:r>
      <w:r w:rsidRPr="00D03F3E">
        <w:rPr>
          <w:rFonts w:ascii="Times New Roman" w:hAnsi="Times New Roman"/>
          <w:color w:val="000000" w:themeColor="text1"/>
          <w:sz w:val="16"/>
          <w:szCs w:val="16"/>
        </w:rPr>
        <w:softHyphen/>
        <w:t>садке с сильным боковым ветром зацепил консолью правого крыла за землю. И-185 получил небольшие по</w:t>
      </w:r>
      <w:r w:rsidRPr="00D03F3E">
        <w:rPr>
          <w:rFonts w:ascii="Times New Roman" w:hAnsi="Times New Roman"/>
          <w:color w:val="000000" w:themeColor="text1"/>
          <w:sz w:val="16"/>
          <w:szCs w:val="16"/>
        </w:rPr>
        <w:softHyphen/>
        <w:t>вреждения (10667).</w:t>
      </w:r>
    </w:p>
    <w:p w14:paraId="0D72D5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7A9CF8" w14:textId="77777777" w:rsidR="00E36E4C" w:rsidRPr="00D03F3E" w:rsidRDefault="00E36E4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26 марта 1943 г. на Центральном аэродроме Москвы, где находился и завод №51, летчик НИИ ВВС В.А. Степанченок выполнил облет машины №6202 после ремонта. Но на следующий день случилась мелкая неприятность: при посадке с сильным боковым ветром он зацепил крылом за землю. Показательна позиция представителя ОКБ, который при разборе происшествия утверждал, что виноват летчик, который недостаточно хорошо освоил самолет, "козыряя" записью в одном из испытательных актов о том, что И-185 нормально садится с боковым ветром. Это утверждение представителя ОКБ комиссия по расследованию летного происшествия приняла на веру, не учтя ни силы ветра, ни условий посадки. А ведь здесь явно проявилась особенность самолетов с высокой нагрузкой на крыло и малым плечом элеронов - недостаточная управляемость по крену на малых скоростях, когда подъемная сила (а она зависит от квадрата величины скорости) слишком мала.</w:t>
      </w:r>
    </w:p>
    <w:p w14:paraId="3FE485E6" w14:textId="77777777" w:rsidR="00E36E4C" w:rsidRPr="00D03F3E" w:rsidRDefault="00E36E4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Впрочем, разбирательство было недолгим, случаю особого внимания не придали, поломку быстро устранили и полеты продолжились. Главной задачей теперь было определение расходов топлива, которые у М-71 были велики по сравнению с другими моторами, даже в удельном исчислении - в переводе на лошадиные силы мощности (17737).</w:t>
      </w:r>
    </w:p>
    <w:p w14:paraId="3CF19E0C" w14:textId="77777777" w:rsidR="00E36E4C" w:rsidRPr="00D03F3E" w:rsidRDefault="00E36E4C" w:rsidP="00D03F3E">
      <w:pPr>
        <w:spacing w:after="0" w:line="240" w:lineRule="auto"/>
        <w:jc w:val="both"/>
        <w:rPr>
          <w:rFonts w:ascii="Times New Roman" w:hAnsi="Times New Roman"/>
          <w:color w:val="000000" w:themeColor="text1"/>
          <w:sz w:val="16"/>
          <w:szCs w:val="16"/>
        </w:rPr>
      </w:pPr>
    </w:p>
    <w:p w14:paraId="1C4915DE" w14:textId="77777777" w:rsidR="00835EB7"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марта 1943 вышло Постановление ГКО № 3080 Об обеспечении Авиации дальнего действия средствами мощного радиопривода.РГАНИР, Фонд ГКО, д. 99, лл. 74 (11012).</w:t>
      </w:r>
    </w:p>
    <w:p w14:paraId="3AD8A184" w14:textId="77777777" w:rsidR="00835EB7" w:rsidRPr="00D03F3E" w:rsidRDefault="00835EB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B923D0" w14:textId="77777777" w:rsidR="00835EB7"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марта 1943 вышло:</w:t>
      </w:r>
    </w:p>
    <w:p w14:paraId="109FBAC2" w14:textId="77777777" w:rsidR="00835EB7"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ГОСУДАРСТВЕННОГО КОМИТЕТА ОБОРОНЫ 26 марта 1943 г. № 3081сс</w:t>
      </w:r>
    </w:p>
    <w:p w14:paraId="5ACC4F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 обеспечении Авиации дальнего действия радионавигационной аппаратурой и радиоаппаратурой для наведения на цель в 1943 году.</w:t>
      </w:r>
    </w:p>
    <w:p w14:paraId="6B236B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обеспечения новейшими средствами радиосвязи и радионавигации боевой работы Авиации дальнего действия при Ставке Верховного Главнокомандования и разрешения для АДД специальных радиотехнических задач, Государственный Комитет Обороны ПОСТАНОВЛЯЕТ:</w:t>
      </w:r>
    </w:p>
    <w:p w14:paraId="48D27D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Народный комиссариат электропромышленности (т.КАБАНОВА) к 1 сентября 1943г. изготовить первую партию оборудования, обеспечивающего бомбардирование вслепую, в радиусе до 400 километров:</w:t>
      </w:r>
    </w:p>
    <w:p w14:paraId="4E180D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наземных радиомаяков - 2 комплекта (по 3 радиостанции ПАР в каждом комплекте);</w:t>
      </w:r>
    </w:p>
    <w:p w14:paraId="0BD704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самолетной аппаратуры - 30 комплектов.</w:t>
      </w:r>
    </w:p>
    <w:p w14:paraId="52C76E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 целях приближения НИИ-20 к испытательным базам, лучшей связи с частями АДД, другими научно-исследовательскими организациями и скорейшей разработки и создания образцов приборов, - обязать Наркомэлектропром (т.КАБАНОВА) вернуть в Москву из г.Барнаула НИИ-20 и организовать при нем Особый опытный завод для опытного и мелкосерийного производства радионавигационных приборов и аппаратуры радионаведения на цель для Авиации дальнего действия.</w:t>
      </w:r>
    </w:p>
    <w:p w14:paraId="47EE2E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Обязать Народного комиссара электропромышленности т.КАБАНОВА обеспечить поставку АДД в 1943 году:</w:t>
      </w:r>
    </w:p>
    <w:p w14:paraId="178C18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радиомаяков типа "Колба" с антеннами, свободными от ночных ошибок - 6 комплектов, в том числе к 1 июля 1943 года не менее 1 комплекта;</w:t>
      </w:r>
    </w:p>
    <w:p w14:paraId="74906E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приемных радиостанций типа "Шар" - 30 штук, в том числе к 1 июля- 1943г. - 10 штук;</w:t>
      </w:r>
    </w:p>
    <w:p w14:paraId="63E530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радиопеленгаторных пунктов дальнего вождения типа "ПРП" (с рациями "РАФ") - 12 комплектов в счет поставок НКО, в том числе к 1 июля 1943г. не менее 4 комплектов;</w:t>
      </w:r>
    </w:p>
    <w:p w14:paraId="6A7920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аппаратуры буквопечатающей наземной радиосвязи типа "Алмаз" - 8 комплектов в счет поставок БЕО, в том числе к 1 июля 1943г. - 3 комплекта, вместе с радиостанциями типа "РАТ";</w:t>
      </w:r>
    </w:p>
    <w:p w14:paraId="43D454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в двухмесячный срок смонтировать и совместно с АДД испытать на самолете ПЕ-8 комплект самолетной аппаратуры для радиообнаружения самолетов противника "Гнейс-2" и при положительном результате изготовить по заказу АДД до 30 комплектов в 1943 году.</w:t>
      </w:r>
    </w:p>
    <w:p w14:paraId="43AC8A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ГОСУДАРСТВЕННОГО КОМИТЕТА ОБОРОНЫ И.СТАЛИН (11813).</w:t>
      </w:r>
    </w:p>
    <w:p w14:paraId="4D5863C7" w14:textId="77777777" w:rsidR="00835EB7" w:rsidRPr="00D03F3E" w:rsidRDefault="00835EB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F8B0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марта 1943 вышло Постановление ГКО № 3081 Об обеспечении Авиации дальнего действия радионавигационной аппаратурой и радиоаппаратурой для наведения на цель в 1943 году.РГАНИР, Фонд ГКО, д. 99, лл. 75-76 (11012).</w:t>
      </w:r>
    </w:p>
    <w:p w14:paraId="298B4A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B6B58B"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7F5F7E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868DAA" w14:textId="77777777" w:rsidR="00733EBA" w:rsidRPr="00D03F3E"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26 марта 1943 года в ГАУ КА были составлены тактико-технические требования на проектирование и изготовление опытного образца 85 мм танковой пушки. Согласно требованиям, пушка должна была уверенно поражать вражеские танки с толщиной брони 90 мм на дистанции 500 метров. Пушку предполагалось устанавливать не только в тяжёлые, но и средние танки, что вызвало возражения со стороны Грабина.</w:t>
      </w:r>
    </w:p>
    <w:p w14:paraId="7DF56D46" w14:textId="77777777" w:rsidR="00733EBA" w:rsidRPr="00D03F3E"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Стоит подчеркнуть, что всё это происходило в рамках продолжения работ по теме ЗИС-25, которая вполне соответствовала новым ТТТ. Требования эти отправились не только в ЦАКБ, но и на завод №9. Таким образом, неожиданностью постановление ГКО №3289 от 5 мая ни для кого не стало. К тому моменту и в Калининграде, и в Свердловске уже шли проектные работы. Необходимость борьбы с «Тигром» лишь усложнило задачу конструкторов. Для уверенного поражения нового немецкого танка требовалась система с такой же длиной ствола, как у зенитного орудия 52-К.</w:t>
      </w:r>
    </w:p>
    <w:p w14:paraId="4B6E1150" w14:textId="77777777" w:rsidR="00733EBA" w:rsidRPr="00D03F3E"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lastRenderedPageBreak/>
        <w:t>Проектирование системы, получившей обозначение С-31, возглавили начальник 17-го отдела ЦАКБ П. Ф. Муравьев и начальник 3-го отдела ЦАКБ Е. В. Синильщиков. ЦАКБ работало не совсем в равных с КБ завода №9 условиях. В то время, как Петров в конце мая 1943 года выдал заключение о том, что башня ИС-1 и КВ-1с слишком малы для системы калибра 85 мм, в ЦАКБ были вынуждены работать с тем, что есть. Кроме того, специалисты КБ завода №9 проектировали орудия на базе опытных систем, которые сами и разрабатывали. ЦАКБ же подстраивалось под те орудия, которые уже находились в производстве. Согласно ТТТ, в конструкции новой пушки должна была использоваться большая доля деталей серийной 76-мм танковой пушки ЗИС-5.</w:t>
      </w:r>
    </w:p>
    <w:p w14:paraId="589AFFB4" w14:textId="77777777" w:rsidR="00733EBA" w:rsidRPr="00D03F3E"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Имевшийся опыт проектирования ЗИС-25 позволил подготовить эскизный проект С-31 в сжатые сроки. Уже 14 мая была готова пояснительная записка, а также эскизы установки орудия в тяжелые танки ИС-1 и КВ-1с. Стоит отметить, что первоначальная концепция установки С-31 в КВ-1с отличалась от того, что позже было создано в металле. Прежде всего, это касалось башни. ЦАКБ не стало требовать увеличить диаметр башенного погона, как это сделало КБ завода №9, но в конструкцию башни вносился ряд изменений. Приоритетной машиной ЦАКБ считало ИС-1, но благодаря одинаковому башенному погону эту же башню предполагалось ставить и на КВ-1с. В башне увеличивались размеры кормовой ниши, что позволяло разместить в ней 18 патронов к 85-мм пушке. Изменялась командирская башенка и крыша башни, что позволяло заряжающему работать с более длинным патроном. Башенка располагалась во всю ширину крыши башни. Кроме того, башня получала полик. Согласно проекту, боекомплект КВ-1с с новым орудием и башней должен был составлять 76 патронов (17698).</w:t>
      </w:r>
    </w:p>
    <w:p w14:paraId="4D508DD5" w14:textId="77777777" w:rsidR="00733EBA" w:rsidRPr="00D03F3E"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65DFE5F" w14:textId="77777777" w:rsidR="00D92347" w:rsidRPr="00D03F3E" w:rsidRDefault="00D9234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марта 1943 года были подготовлены тактико-технические требования на орудие калибра 85 м, предназначенное для тяжёлых танков </w:t>
      </w:r>
      <w:hyperlink r:id="rId99" w:history="1">
        <w:r w:rsidRPr="00D03F3E">
          <w:rPr>
            <w:rStyle w:val="a5"/>
            <w:rFonts w:ascii="Times New Roman" w:hAnsi="Times New Roman"/>
            <w:color w:val="000000" w:themeColor="text1"/>
            <w:sz w:val="16"/>
            <w:szCs w:val="16"/>
          </w:rPr>
          <w:t>КВ-1с</w:t>
        </w:r>
      </w:hyperlink>
      <w:r w:rsidRPr="00D03F3E">
        <w:rPr>
          <w:rFonts w:ascii="Times New Roman" w:hAnsi="Times New Roman"/>
          <w:color w:val="000000" w:themeColor="text1"/>
          <w:sz w:val="16"/>
          <w:szCs w:val="16"/>
        </w:rPr>
        <w:t> и ИС (имеется в виду второй вариант КВ-13). Т-43 в них не значился, тем не менее в пояснительной записке по орудию С-31, разработанному в ЦАКБ, уже упоминался Т-43 как потенциальный носитель данного орудия. Подробно в ЦАКБ установку С-31 в башню Т-43 не прорабатывали, тем не менее это был первый звоночек. Более того, записка датирована 17 мая 1943 года — к этому моменту общая проработка Т-43 была закончена, и Морозов вряд ли рассчитывал на то, что в башне появится более крупная, чем Ф-34, система. Что же касается Д-5 (разработанной в КБ завода №9 системы, являвшейся главным конкурентом С-31), то там по состоянию на май 1943 года Т-43 даже не упоминался (18587).</w:t>
      </w:r>
    </w:p>
    <w:p w14:paraId="7EF43BC1" w14:textId="77777777" w:rsidR="00D92347" w:rsidRPr="00D03F3E" w:rsidRDefault="00D92347" w:rsidP="00D03F3E">
      <w:pPr>
        <w:spacing w:after="0" w:line="240" w:lineRule="auto"/>
        <w:jc w:val="both"/>
        <w:rPr>
          <w:rFonts w:ascii="Times New Roman" w:hAnsi="Times New Roman"/>
          <w:color w:val="000000" w:themeColor="text1"/>
          <w:sz w:val="16"/>
          <w:szCs w:val="16"/>
        </w:rPr>
      </w:pPr>
    </w:p>
    <w:p w14:paraId="78282CF8" w14:textId="77777777" w:rsidR="00096973" w:rsidRPr="00D03F3E" w:rsidRDefault="00096973" w:rsidP="00D03F3E">
      <w:pPr>
        <w:pStyle w:val="article-renderblock"/>
        <w:shd w:val="clear" w:color="auto" w:fill="FFFFFF"/>
        <w:spacing w:before="0" w:beforeAutospacing="0" w:after="0" w:afterAutospacing="0"/>
        <w:jc w:val="both"/>
        <w:rPr>
          <w:color w:val="0070C0"/>
          <w:sz w:val="16"/>
          <w:szCs w:val="16"/>
        </w:rPr>
      </w:pPr>
      <w:r w:rsidRPr="00D03F3E">
        <w:rPr>
          <w:color w:val="0070C0"/>
          <w:sz w:val="16"/>
          <w:szCs w:val="16"/>
        </w:rPr>
        <w:t>26 марта 1943 года в ГАУ КА были составлены тактико-технические требования на проектирование и изготовление опытного образца 85 мм танковой пушки. Согласно требованиям, пушка должна была уверенно поражать вражеские танки с толщиной брони 90 мм на дистанции 500 метров. Пушку предполагалось устанавливать не только в тяжёлые, но и средние танки. Для справки, обстрел "Тигра" состоялся в конце апреля 1943 года. Разумеется, в дальнейшем обстрел немецкого тяжелого танка повлиял на разработку, но в том ключе, что теперь орудие было "полноценным", то есть со штатной баллистикой зенитки 52-К (20276).</w:t>
      </w:r>
    </w:p>
    <w:p w14:paraId="38521237" w14:textId="77777777" w:rsidR="00096973" w:rsidRPr="00D03F3E" w:rsidRDefault="00096973" w:rsidP="00D03F3E">
      <w:pPr>
        <w:shd w:val="clear" w:color="auto" w:fill="FFFFFF"/>
        <w:spacing w:after="0" w:line="240" w:lineRule="auto"/>
        <w:jc w:val="both"/>
        <w:rPr>
          <w:rFonts w:ascii="Times New Roman" w:hAnsi="Times New Roman"/>
          <w:color w:val="0070C0"/>
          <w:sz w:val="16"/>
          <w:szCs w:val="16"/>
        </w:rPr>
      </w:pPr>
    </w:p>
    <w:p w14:paraId="7AA5529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марта 1943 года вышел приказ НКВ № 153с</w:t>
      </w:r>
    </w:p>
    <w:p w14:paraId="335F932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распоряжения СНК от 19 марта 1943 года за № 6009 рс:</w:t>
      </w:r>
    </w:p>
    <w:p w14:paraId="749DF11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СНК указанным выше распоряжением разрешил НКВ передать завод № 621 (Кокчетав Казахской ССР) в систему Наркомугля (6432, 58).</w:t>
      </w:r>
    </w:p>
    <w:p w14:paraId="6A373E6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62964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марта 1943 года вышел приказ № 328с НКБ</w:t>
      </w:r>
    </w:p>
    <w:p w14:paraId="352B912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распоряжения СНК за № 6013 от 19 марта 1943 года:</w:t>
      </w:r>
    </w:p>
    <w:p w14:paraId="636C9F4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Филиал завода № 70 выделить в самостоятельный завод, присвоив ему номер 557 им. Войкова (5813, 24).</w:t>
      </w:r>
    </w:p>
    <w:p w14:paraId="5927F27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8C85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марта 1943 вышло Постановление ГКО № 3082 О формировании подвижных ремонтных баз по ремонту самоходных артиллерийских установок.РГАНИР, Фонд ГКО, д. 99, лл. 77, 78 (11012).</w:t>
      </w:r>
    </w:p>
    <w:p w14:paraId="65EF74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5980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марта 1943 вышло Распоряжение ГКО № 3083. Об изменении постановления ГКО № 2902 от 14 февраля 1943 г. в отношении плана поставки продукта Губахинского коксохимзавода НКЧМ для Кизеловской ГРЭС.РГАНИР, Фонд ГКО, д. 99, лл. 79 (11012).</w:t>
      </w:r>
    </w:p>
    <w:p w14:paraId="3A935F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BCC7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марта 1943 вышло Постановление ГКО № 3084 О частичном восстановлении Воронежской ГРЭС.РГАНИР, Фонд ГКО, д. 99, лл. 80-84, 85-87 (11012).</w:t>
      </w:r>
    </w:p>
    <w:p w14:paraId="5F47C6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AA11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мая 1943 г. распоряжением Совета Народных Комиссаров СССР на базе Ленинградского всесоюзного института галургии, Центральной научно-исследовательской лаборатории, Горно-геологического отдела НИУИФ был создан Государственный институт горнохимического сырья (ГИГХС). В 1946 г. переименован в Государственный научно-исследовательский институт горнохимического сырья (ГИГХС) (12102).</w:t>
      </w:r>
    </w:p>
    <w:p w14:paraId="1A7FBE5F" w14:textId="77777777" w:rsidR="00835EB7" w:rsidRPr="00D03F3E" w:rsidRDefault="00835EB7"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B6F8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марта 1943 г. УНКВД по Горьковской области докладывало в ГУМ НКВД СССР о росте дезертирства в военной промышленности. Если в январе того года поступило приговоров военных трибуналов на розыск 449 дезертиров и постановлений прокуроров на розыск 1163 человек, то в феврале число разыскиваемых беглецов достигло 2544. Главную причину этого роста энкавэдэшники видели в плохих социально-бытовых условиях: «Подавляющее большинство дезертиров падает на рабочих-одиночек, мобилизованных из других областей СССР и районов области, живущих в общежитиях и бараках. Происходит это главным образом вследствие бездушного отношения к материально-бытовым нуждам рабочих-одиночек со стороны домохозяйственных и партийных органов некоторых промышленных предприятий». [396 — ГОПАНО, Ф. 3, Оп. 1, Д. 3393, Л. 117.] (11741).</w:t>
      </w:r>
    </w:p>
    <w:p w14:paraId="535DF8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1AE23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3D6617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A52A52"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26 марта</w:t>
      </w:r>
      <w:r w:rsidRPr="00D03F3E">
        <w:rPr>
          <w:rFonts w:ascii="Times New Roman" w:hAnsi="Times New Roman"/>
          <w:color w:val="000000" w:themeColor="text1"/>
          <w:sz w:val="16"/>
          <w:szCs w:val="16"/>
        </w:rPr>
        <w:t xml:space="preserve"> в 1943 году утреннее сообщение Совинформбюро:</w:t>
      </w:r>
    </w:p>
    <w:p w14:paraId="2B55536C"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26 марта наши войска вели бои на прежних направлениях.</w:t>
      </w:r>
    </w:p>
    <w:p w14:paraId="036E2297"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закреплялись на достигнутых рубежах, а частью сил вели наступательные бои. Подразделения Н-ской части ворвались в укрепления противника и овладели ими. Уничтожено до роты немецкой пехоты, 3 орудия, разрушено 16 вражеских дзотоа и блиндажей.</w:t>
      </w:r>
    </w:p>
    <w:p w14:paraId="3331B1DB"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численно превосходящие силы противника потеснила наши подразделения и захватили два населённых пункта. Перегруппировав свои силы, Н-ская часть ночью выбила гитлеровцев из этих населённых пунктов и восстановила прежнее положение. Уничтожено более 100 немецких солдат и офицеров. Захвачено у противника 4 орудия, 70 автоматов, несколько пулемётов и другое военное имущество.</w:t>
      </w:r>
    </w:p>
    <w:p w14:paraId="1480DE7A"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части Н-ского соединения продвигались вперёд и заняли нескольконаселённых пунктов. Бойцы одной нашей части переправились через водный рубеж и внезапно напали на противника. Немцы пытались оказать сопротивление, но, потеряв свыше 200 солдат и офицеров убитыми, поспешно отступили. Уничтожены 7 пулемётов, артиллерийская и 4 миномётные батареи противника. На другом участке подразделения Н-ской части, овладев населённым пунктом, захватили 4 орудия, 7 крупнокалиберных пулемётов, 180 винтовок, 20 автомашин и склад боеприпасов.</w:t>
      </w:r>
    </w:p>
    <w:p w14:paraId="2EE39F7A"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Чугуева наши части вели бои с пехотой и танками противника. В течение ночи подразделения Н-ской части подбили 2 немецких танка и уничтожили160 гитлеровцев. На другом участке группа разведчиков под командованием капитана Бондарева ворвалась в населённый пункт, занятый противником. Лейтенант Богачёв застрелил в упор трёх немецких солдат и одного офицера, а когда кончились патроны, убил прикладом ещё трёх немцев. Другие бойцы-разведчики истребили 17 гитлеровцев.</w:t>
      </w:r>
    </w:p>
    <w:p w14:paraId="6D69C4CA"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воздушных боях на подступах к Ленинграду наши лётчики 25 марта сбили 5 немецких самолётов. Кроме того, огнём зенитной артиллерии уничтожено 8 и подбито3 самолёта противника.</w:t>
      </w:r>
    </w:p>
    <w:p w14:paraId="0DAF5F70"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Ленинградской области, напал на немецкий гарнизон, расположенный в населённом пункте, и истребил 26 гитлеровцев. Группа партизан другого отряда пустила под откос немецкий воинский эшелон. В результате крушения разбиты паровоз, 9 вагонов и 2 платформы.</w:t>
      </w:r>
    </w:p>
    <w:p w14:paraId="1BED0E73"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время оккупации Льговского района, Курской области, немецко-фашистские мерзавцы замучили и убили несколько тысяч мирных жителей. Особенно свирепствовали гитлеровцы накануне отступления. Бандиты вырезали много мирных жителей, в разное время схваченных и брошенных немцами в тюрьму. В селе Ольшанка немцы зверски замучили и расстреляли 52 человека, в селе Орловка — 147 человек. Неслыханные пытки не сломили мужества советских людей, они не склонились перед оккупантами и не покорились немцам. Советские патриоты умирали, как герои. Палачи долго мучили Ефросинию Гришаеву, выпытывая у неё сведения о советских активистах, оставшихся в городе. Пятидесятилетняя женщина стойко перенесла все муки и ничего не сказала гитлеровцам. Колхозник Жарких, тяжело раненный немцами, собрав последние силы, крикнул: «Да здравствует советская Родина! Смерть немецким захватчикам!» (15080).</w:t>
      </w:r>
    </w:p>
    <w:p w14:paraId="7050258B" w14:textId="77777777" w:rsidR="00835EB7" w:rsidRPr="00D03F3E" w:rsidRDefault="00835EB7" w:rsidP="00D03F3E">
      <w:pPr>
        <w:spacing w:after="0" w:line="240" w:lineRule="auto"/>
        <w:jc w:val="both"/>
        <w:rPr>
          <w:rFonts w:ascii="Times New Roman" w:hAnsi="Times New Roman"/>
          <w:color w:val="000000" w:themeColor="text1"/>
          <w:sz w:val="16"/>
          <w:szCs w:val="16"/>
        </w:rPr>
      </w:pPr>
    </w:p>
    <w:p w14:paraId="4DBD488C"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26 марта</w:t>
      </w:r>
      <w:r w:rsidRPr="00D03F3E">
        <w:rPr>
          <w:rFonts w:ascii="Times New Roman" w:hAnsi="Times New Roman"/>
          <w:color w:val="000000" w:themeColor="text1"/>
          <w:sz w:val="16"/>
          <w:szCs w:val="16"/>
        </w:rPr>
        <w:t xml:space="preserve"> в 1943 году вечернее сообщение Совинформбюро:</w:t>
      </w:r>
    </w:p>
    <w:p w14:paraId="7194F0DB"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26 марта наши войска вели бои на прежних направлениях.</w:t>
      </w:r>
    </w:p>
    <w:p w14:paraId="79E90521"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марта частями нашей авиации на различных участках фронта уничтожено или повреждено до 100 немецких автомашин с войсками и грузами, взорвано 2 склада боеприпасов, подавлен огонь 5 батарей полевой и зенитной артиллерии, разбит железнодорожный состав противника.</w:t>
      </w:r>
    </w:p>
    <w:p w14:paraId="7B76C1B0"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На Западном фронте наши войска на отдельных участках веди бои за улучшение занимаемых позиций. Бойцы Н-ской части овладели двумя сильно укреплёнными пунктами вражеской обороны, в боях за которые уничтожено более 200 немецких солдат и офицеров. Захвачены у противника 4 орудия, 20 пулемётов, 5 противотанковых ружей и другие трофеи.</w:t>
      </w:r>
    </w:p>
    <w:p w14:paraId="15F18323"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наши части заняли несколько населённых пунктов. На одном участке немцы упорно обороняли населенный пункт, превращенный ими в сильно укреплённый узел обороны. Четыре группы бойцов части, где командиром тов.Петренко, пробрались через лес, переправились через реку и обошли немцев. По условному сигналу советские бойцы нанесли гитлеровцам удар с тыла. Все попытки противника вырваться из огненного мешка провалились. Вражеский гарнизон, насчитывавший около 300 солдат и офицеров, уничтожен. Захвачены трофеи.</w:t>
      </w:r>
    </w:p>
    <w:p w14:paraId="6D40957A"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наши части отразили попытку немецкого батальона пехоты при поддержке танков вклиниться в расположение советских войск. Уничтожено свыше 100 гитлеровцев и сожжено 2 немецких танка. Захвачено 4 пулемёта и 3 миномёта.</w:t>
      </w:r>
    </w:p>
    <w:p w14:paraId="61B35943"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Чугуева наши войска отбили многочисленные атаки танков и пехоты противника. В двухдневных боях Н-ская танковая часть уничтожила 42 немецких танка и до батальона пехоты противника. Ожесточённые бои происходили за одну важную высоту. Наши бойцы огнём из всех видов оружия отбили четыре атаки гитлеровцев и уничтожили 2 самоходных орудия, миномётную батарею и до роты немецкой пехоты.</w:t>
      </w:r>
    </w:p>
    <w:p w14:paraId="38744791"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Киевской области, с 1 по20 марта истребил в боях 380 немецко-фашистских оккупантов. Захвачено много пулемётов, автоматов, винтовок и патронов. За это же время партизаны взорвали 12 мостов и пустили под откос воинский эшелон противника. Разбиты 34 вагона и платформы. При крушении было убито и ранено несколько десятков гитлеровцев.</w:t>
      </w:r>
    </w:p>
    <w:p w14:paraId="5FEA528D"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Добровольно сдавшийся в плен солдат 220 полка 58 немецкой пехотной дивизии Рихард В. сообщил: «В конце февраля в Пскове в военной тюрьме были расстреляны 30 солдат нашего полка. Будучи на фронте, эти солдаты вместе с другими решили с оружием перейти на сторону русских. В тот день, когда был намечен переход, на них кто-то донёс обер-лейтенанту. Начались аресты. 17 человек успели скрыться, остальные были обезоружены и препровождены в псковскую тюрьму. Среди расстрелянных 19 поляков, 9 немцев, один француз из Эльзаса и один чех».</w:t>
      </w:r>
    </w:p>
    <w:p w14:paraId="3B6DD300"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учинили зверскую расправу над мирными жителями деревни Сево, Ленинградской области. Фашистские бандиты расстреляли 40 колхозников, в числе которых было много женщин и детей. Гитлеровские звери сожгли живьём семью колхозника Васильева в составе 9 человек, семьи колхозников Капитонова и Михайлова.</w:t>
      </w:r>
    </w:p>
    <w:p w14:paraId="7F44706D" w14:textId="77777777" w:rsidR="00835EB7" w:rsidRPr="00D03F3E" w:rsidRDefault="00835EB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Недалеко от города Туль (Франция) вольные стрелки совершили нападение на немецкий отряд. В завязавшейся схватке убито и ранено 28 гитлеровцев. В Омикуре французские патриоты взорвали немецкий эшелон с военными материалами.» (15080).</w:t>
      </w:r>
    </w:p>
    <w:p w14:paraId="7F9A0619" w14:textId="77777777" w:rsidR="00835EB7" w:rsidRPr="00D03F3E" w:rsidRDefault="00835EB7" w:rsidP="00D03F3E">
      <w:pPr>
        <w:spacing w:after="0" w:line="240" w:lineRule="auto"/>
        <w:jc w:val="both"/>
        <w:rPr>
          <w:rFonts w:ascii="Times New Roman" w:hAnsi="Times New Roman"/>
          <w:color w:val="000000" w:themeColor="text1"/>
          <w:sz w:val="16"/>
          <w:szCs w:val="16"/>
        </w:rPr>
      </w:pPr>
    </w:p>
    <w:p w14:paraId="52E8DA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марта 1943 за высокое боевое мастерство и вклад в победу под Сталинградом еще 7 полков АДД стали гвардейскими - 4, 7, 14, 103, 749, 751, 752 и появилось 4 первых гвардейских авиадивизии - 3, 17, 24, 222, а в мае - гвардейские корпуса (556,225).</w:t>
      </w:r>
    </w:p>
    <w:p w14:paraId="4A1AFB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290B2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марта 1943 г. семь полков АДД по</w:t>
      </w:r>
      <w:r w:rsidRPr="00D03F3E">
        <w:rPr>
          <w:rFonts w:ascii="Times New Roman" w:hAnsi="Times New Roman"/>
          <w:color w:val="000000" w:themeColor="text1"/>
          <w:sz w:val="16"/>
          <w:szCs w:val="16"/>
        </w:rPr>
        <w:softHyphen/>
        <w:t>лучили звание гвардейских: все они летали на Ил-4 (10734,77).</w:t>
      </w:r>
    </w:p>
    <w:p w14:paraId="299E9DA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1212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марта 1943 г. семь полков АДД получили звание гвардейских и все они летали на Ил-4 (7666).</w:t>
      </w:r>
    </w:p>
    <w:p w14:paraId="616F44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96A0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марта 1943 г. лейтенант Раймонд Дервиль (Raymond Derville) и аспирант Альбер Дюран (Albert Durand) выполнили первый вылет по тревоге на перехват. А 3 апреля четыре истребителя Як-1 впервые приняли участие в сопровождении пяти бомбардировщиков Пе-2. Всего через два дня - 5 апреля, - французские летчики приняли свой первый воздушный бой с 10 FW. 190.</w:t>
      </w:r>
    </w:p>
    <w:p w14:paraId="21AA66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апреля 1943 г. эскадрилья получила еще четыре самолета Як-1 для восполнения потерь. Но на самолетах этого типа ей пришлось летать недолго. В начале июля 1943 г. летчиков известили о перевооружении на истребители Як-9. К 19 июля 1943 г. летчиками Нормандии было сбито 30 немецких самолетов. Потери эскадрильи составили 11 летчиков. К августу эскадрилью развернули в полнокровный авиаполк на новом типе самолета. Оставшиеся 14 машин Як-1 использовались в полку "Нормандия" до ноября для переучивания и тренировки вновь прибывших пилотов.</w:t>
      </w:r>
    </w:p>
    <w:p w14:paraId="212FA6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"Нормандия" из всех иностранных авиационных частей отличалась наибольшей активностью в боевых действиях. На Як-1 в ней выделялся Альбер Дюран, сбивший лично два и в группе один самолет противника. За ним следовал Марсель Лефевр (Marsel Lefevre), лично сбивший два самолета, и Ноэль Кастелен (Noel Castelain), сбивший лично один самолет и один в группе (12048).</w:t>
      </w:r>
    </w:p>
    <w:p w14:paraId="3C0F59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DE7B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марта 1943 г. вышел ПРИКАЗ № 0208 О ПОРЯДКЕ ВЫПЛАТЫ ДЕНЕЖНЫХ НАГРАД И ПОВЫШЕНИИ ОКЛАДОВ СОДЕРЖАНИЯ ЛЕТНО-ПОДЪЕМНОМУ И ИНЖЕНЕРНО-ТЕХНИЧЕСКОМУ СОСТАВУ АВИАЦИИ ДАЛЬНЕГО ДЕЙСТВИЯ</w:t>
      </w:r>
    </w:p>
    <w:p w14:paraId="793D8C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поощрения боевой работы летного состава авиации дальнего действия приказываю:</w:t>
      </w:r>
    </w:p>
    <w:p w14:paraId="493958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Установить следующий порядок выдачи денежных наград:</w:t>
      </w:r>
    </w:p>
    <w:p w14:paraId="37F1C4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w:t>
      </w:r>
    </w:p>
    <w:p w14:paraId="50FB0E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За каждую успешно выполненную бомбардировку политического центра (столицы) противника командир корабля, штурман и борттехник получают денежную награду в размере 2000 рублей, а остальные члены экипажа в размере 1000 рублей каждый.</w:t>
      </w:r>
    </w:p>
    <w:p w14:paraId="4A6AED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За каждую успешно выполненную бомбардировку объектов промышленного и оборонного значения на собственной территории противника командир корабля, штурман и борттехник получают денежную награду в размере 750 рублей, а остальные члены экипажа в размере 350 рублей каждый.</w:t>
      </w:r>
    </w:p>
    <w:p w14:paraId="0331A7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За каждые 10 успешно выполненных бомбардировок военных объектов в тылу противника в пределах временно оккупированной территории СССР</w:t>
      </w:r>
    </w:p>
    <w:p w14:paraId="22F354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95</w:t>
      </w:r>
    </w:p>
    <w:p w14:paraId="6BF706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командир корабля, штурман и борттехник получают денежную награду в размере 1000 рублей, а остальные члены экипажа в размере 500 рублей каждый.</w:t>
      </w:r>
    </w:p>
    <w:p w14:paraId="7EB830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За каждые 10 успешно выполненных бомбардировок военных объектов на переднем крае или в пределах армейских и фронтовых тылов противника командир корабля, штурман и борттехник получают денежную награду в размере 500 рублей, а остальные члены экипажа в размере 250 рублей каждый.</w:t>
      </w:r>
    </w:p>
    <w:p w14:paraId="7B35EB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2</w:t>
      </w:r>
    </w:p>
    <w:p w14:paraId="5E97F6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Летно-подъемному составу авиации дальнего действия увеличить штат-но-должностные оклады содержания на 30% с 1 марта 1943 г.</w:t>
      </w:r>
    </w:p>
    <w:p w14:paraId="06D289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Инженерному и техническому составу частей и соединений авиации дальнего действия увеличить штатно-должностные оклады содержания на 15% с 1 марта 1943 г.</w:t>
      </w:r>
    </w:p>
    <w:p w14:paraId="55ED07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Народный комиссар обороны</w:t>
      </w:r>
    </w:p>
    <w:p w14:paraId="015630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Маршал Советского Союза И. СТАЛИН</w:t>
      </w:r>
      <w:r w:rsidRPr="00D03F3E">
        <w:rPr>
          <w:rFonts w:ascii="Times New Roman" w:hAnsi="Times New Roman"/>
          <w:color w:val="000000" w:themeColor="text1"/>
          <w:sz w:val="16"/>
          <w:szCs w:val="16"/>
        </w:rPr>
        <w:t xml:space="preserve"> (9844).</w:t>
      </w:r>
    </w:p>
    <w:p w14:paraId="628C55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B83D0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030935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4A6CE0"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26 марта</w:t>
      </w:r>
      <w:r w:rsidRPr="00D03F3E">
        <w:rPr>
          <w:rFonts w:ascii="Times New Roman" w:hAnsi="Times New Roman"/>
          <w:color w:val="000000" w:themeColor="text1"/>
          <w:sz w:val="16"/>
          <w:szCs w:val="16"/>
        </w:rPr>
        <w:t xml:space="preserve"> в 1943 году первый полет американского военно-транспортного десантного самолета «CW-20», пилотировал машину Эдмунд Т.Аллен. Первоначально хвостовое оперение было двухкилевым - кили (хвостовые шайбы) были установлены на концах стабилизатора. В такой конфигурации проектных характеристик достичь не удалось. Пришлось самолёт переделывать в однокилевой. Данная модификация получила обозначение «CW-20A». Фирма провела мощную рекламную компанию, в ходе которой машине было присвоено наименование "Substratosphere Transport". Самолёт был продемонстрирован ряду авиакомпаний - некоторые из них проявили к машине интерес</w:t>
      </w:r>
    </w:p>
    <w:p w14:paraId="293F7936" w14:textId="77777777" w:rsidR="00B0220C" w:rsidRPr="00D03F3E" w:rsidRDefault="00B0220C" w:rsidP="00D03F3E">
      <w:pPr>
        <w:spacing w:after="0" w:line="240" w:lineRule="auto"/>
        <w:jc w:val="both"/>
        <w:rPr>
          <w:rFonts w:ascii="Times New Roman" w:hAnsi="Times New Roman"/>
          <w:color w:val="000000" w:themeColor="text1"/>
          <w:sz w:val="16"/>
          <w:szCs w:val="16"/>
        </w:rPr>
      </w:pPr>
    </w:p>
    <w:p w14:paraId="0319E11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марта 1943 в Германии арестованы все лица американского и английского происхождения (4962).</w:t>
      </w:r>
    </w:p>
    <w:p w14:paraId="12DBF17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CC179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марта 1943 Гитлер сообщил Муссолини, что СССР настолько обескровлен победой под Сталинградом, что теперь не представляет серьезной силы (4962).</w:t>
      </w:r>
    </w:p>
    <w:p w14:paraId="22B2AC4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886CF2"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26 марта</w:t>
      </w:r>
      <w:r w:rsidRPr="00D03F3E">
        <w:rPr>
          <w:rFonts w:ascii="Times New Roman" w:hAnsi="Times New Roman"/>
          <w:color w:val="000000" w:themeColor="text1"/>
          <w:sz w:val="16"/>
          <w:szCs w:val="16"/>
        </w:rPr>
        <w:t xml:space="preserve"> в 1943 году морское сражение у Командорских островов между группами крейсеров американского и японского флотов. Единственный крупный дневной артиллерийский бой в Тихом океане. Крейсер «Солт Лейк Сити» участвует в бою и получает тяжелые повреждения от артиллерийского огня японских крейсеров (15080).</w:t>
      </w:r>
    </w:p>
    <w:p w14:paraId="7BC8667D" w14:textId="77777777" w:rsidR="00B0220C" w:rsidRPr="00D03F3E" w:rsidRDefault="00B0220C" w:rsidP="00D03F3E">
      <w:pPr>
        <w:spacing w:after="0" w:line="240" w:lineRule="auto"/>
        <w:jc w:val="both"/>
        <w:rPr>
          <w:rFonts w:ascii="Times New Roman" w:hAnsi="Times New Roman"/>
          <w:color w:val="000000" w:themeColor="text1"/>
          <w:sz w:val="16"/>
          <w:szCs w:val="16"/>
        </w:rPr>
      </w:pPr>
    </w:p>
    <w:p w14:paraId="5210BCCD"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26 марта</w:t>
      </w:r>
      <w:r w:rsidRPr="00D03F3E">
        <w:rPr>
          <w:rFonts w:ascii="Times New Roman" w:hAnsi="Times New Roman"/>
          <w:color w:val="000000" w:themeColor="text1"/>
          <w:sz w:val="16"/>
          <w:szCs w:val="16"/>
        </w:rPr>
        <w:t xml:space="preserve"> в 1943 году в Китае принят закон о мобилизации женщин в возрасте 18-45 лет для нужд обороны страны (15080).</w:t>
      </w:r>
    </w:p>
    <w:p w14:paraId="6727D3D2" w14:textId="77777777" w:rsidR="00B0220C" w:rsidRPr="00D03F3E" w:rsidRDefault="00B0220C" w:rsidP="00D03F3E">
      <w:pPr>
        <w:spacing w:after="0" w:line="240" w:lineRule="auto"/>
        <w:jc w:val="both"/>
        <w:rPr>
          <w:rFonts w:ascii="Times New Roman" w:hAnsi="Times New Roman"/>
          <w:color w:val="000000" w:themeColor="text1"/>
          <w:sz w:val="16"/>
          <w:szCs w:val="16"/>
        </w:rPr>
      </w:pPr>
    </w:p>
    <w:p w14:paraId="7DF606D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27140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D736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27 марта по 7 апреля 1943 г. в НИИ ВВС КА проходили летные испытания Ил-2КР (зав. № 301896) (летчик-испытатель А. К. Долгов, ведущий инженер </w:t>
      </w:r>
      <w:r w:rsidRPr="00D03F3E">
        <w:rPr>
          <w:rFonts w:ascii="Times New Roman" w:hAnsi="Times New Roman"/>
          <w:color w:val="000000" w:themeColor="text1"/>
          <w:sz w:val="16"/>
          <w:szCs w:val="16"/>
        </w:rPr>
        <w:lastRenderedPageBreak/>
        <w:t>Н.С.Куликов).</w:t>
      </w:r>
    </w:p>
    <w:p w14:paraId="346016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отчете по испытаниям указывалось, что объем спецоборудования не в пол</w:t>
      </w:r>
      <w:r w:rsidRPr="00D03F3E">
        <w:rPr>
          <w:rFonts w:ascii="Times New Roman" w:hAnsi="Times New Roman"/>
          <w:color w:val="000000" w:themeColor="text1"/>
          <w:sz w:val="16"/>
          <w:szCs w:val="16"/>
        </w:rPr>
        <w:softHyphen/>
        <w:t>ном объеме удовлетворяет предъявля</w:t>
      </w:r>
      <w:r w:rsidRPr="00D03F3E">
        <w:rPr>
          <w:rFonts w:ascii="Times New Roman" w:hAnsi="Times New Roman"/>
          <w:color w:val="000000" w:themeColor="text1"/>
          <w:sz w:val="16"/>
          <w:szCs w:val="16"/>
        </w:rPr>
        <w:softHyphen/>
        <w:t>емым требованиям к самолету данного назначения. Тем не менее, Постановле</w:t>
      </w:r>
      <w:r w:rsidRPr="00D03F3E">
        <w:rPr>
          <w:rFonts w:ascii="Times New Roman" w:hAnsi="Times New Roman"/>
          <w:color w:val="000000" w:themeColor="text1"/>
          <w:sz w:val="16"/>
          <w:szCs w:val="16"/>
        </w:rPr>
        <w:softHyphen/>
        <w:t>нием ГКО № 3144 от 10 апреля 1943 г. самолет Ил-2КР был запущен в серий</w:t>
      </w:r>
      <w:r w:rsidRPr="00D03F3E">
        <w:rPr>
          <w:rFonts w:ascii="Times New Roman" w:hAnsi="Times New Roman"/>
          <w:color w:val="000000" w:themeColor="text1"/>
          <w:sz w:val="16"/>
          <w:szCs w:val="16"/>
        </w:rPr>
        <w:softHyphen/>
        <w:t>ное производство на заводе № 1, кото</w:t>
      </w:r>
      <w:r w:rsidRPr="00D03F3E">
        <w:rPr>
          <w:rFonts w:ascii="Times New Roman" w:hAnsi="Times New Roman"/>
          <w:color w:val="000000" w:themeColor="text1"/>
          <w:sz w:val="16"/>
          <w:szCs w:val="16"/>
        </w:rPr>
        <w:softHyphen/>
        <w:t>рому передавалась и программа выпус</w:t>
      </w:r>
      <w:r w:rsidRPr="00D03F3E">
        <w:rPr>
          <w:rFonts w:ascii="Times New Roman" w:hAnsi="Times New Roman"/>
          <w:color w:val="000000" w:themeColor="text1"/>
          <w:sz w:val="16"/>
          <w:szCs w:val="16"/>
        </w:rPr>
        <w:softHyphen/>
        <w:t>ка этой модификации штурмовика за</w:t>
      </w:r>
      <w:r w:rsidRPr="00D03F3E">
        <w:rPr>
          <w:rFonts w:ascii="Times New Roman" w:hAnsi="Times New Roman"/>
          <w:color w:val="000000" w:themeColor="text1"/>
          <w:sz w:val="16"/>
          <w:szCs w:val="16"/>
        </w:rPr>
        <w:softHyphen/>
        <w:t>вода № 30, ввиду того что последний получил задание на производство само</w:t>
      </w:r>
      <w:r w:rsidRPr="00D03F3E">
        <w:rPr>
          <w:rFonts w:ascii="Times New Roman" w:hAnsi="Times New Roman"/>
          <w:color w:val="000000" w:themeColor="text1"/>
          <w:sz w:val="16"/>
          <w:szCs w:val="16"/>
        </w:rPr>
        <w:softHyphen/>
        <w:t>летов Ил-2, вооруженных 37-мм авиа</w:t>
      </w:r>
      <w:r w:rsidRPr="00D03F3E">
        <w:rPr>
          <w:rFonts w:ascii="Times New Roman" w:hAnsi="Times New Roman"/>
          <w:color w:val="000000" w:themeColor="text1"/>
          <w:sz w:val="16"/>
          <w:szCs w:val="16"/>
        </w:rPr>
        <w:softHyphen/>
        <w:t>пушками ОКБ-16 конструкции А.Э.Нудельмана и А.С.Суранова (6467).</w:t>
      </w:r>
    </w:p>
    <w:p w14:paraId="654158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DBF8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с 27 марта по 7 апреля 1943 в НИИ ВВС успешно про</w:t>
      </w:r>
      <w:r w:rsidRPr="00D03F3E">
        <w:rPr>
          <w:rFonts w:ascii="Times New Roman" w:hAnsi="Times New Roman"/>
          <w:color w:val="000000" w:themeColor="text1"/>
          <w:sz w:val="16"/>
          <w:szCs w:val="16"/>
        </w:rPr>
        <w:softHyphen/>
        <w:t>шел государственные испытания корректировщик-разведчик Ил-2КР (зав. № 301896) с АМ-38ф производства завода № 30. Ведущим инженером был назначен Н.С. Куликов. Летал лет</w:t>
      </w:r>
      <w:r w:rsidRPr="00D03F3E">
        <w:rPr>
          <w:rFonts w:ascii="Times New Roman" w:hAnsi="Times New Roman"/>
          <w:color w:val="000000" w:themeColor="text1"/>
          <w:sz w:val="16"/>
          <w:szCs w:val="16"/>
        </w:rPr>
        <w:softHyphen/>
        <w:t>чик-испытатель А.К. Долгов. Всего было выполнено 11 поле</w:t>
      </w:r>
      <w:r w:rsidRPr="00D03F3E">
        <w:rPr>
          <w:rFonts w:ascii="Times New Roman" w:hAnsi="Times New Roman"/>
          <w:color w:val="000000" w:themeColor="text1"/>
          <w:sz w:val="16"/>
          <w:szCs w:val="16"/>
        </w:rPr>
        <w:softHyphen/>
        <w:t>тов с общим налетом 4 ч 11 мин.</w:t>
      </w:r>
    </w:p>
    <w:p w14:paraId="0FDE601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Внешне самолет отличался от серийных Ил-2 наличием вы сокой радиоантенны, установленной на переднем неподвиж</w:t>
      </w:r>
      <w:r w:rsidRPr="00D03F3E">
        <w:rPr>
          <w:rFonts w:ascii="Times New Roman" w:hAnsi="Times New Roman"/>
          <w:color w:val="000000" w:themeColor="text1"/>
          <w:sz w:val="16"/>
          <w:szCs w:val="16"/>
        </w:rPr>
        <w:softHyphen/>
        <w:t>ном козырьке фонаря кабины пилота, и антенны РПК-10 вдоль правого борта.</w:t>
      </w:r>
    </w:p>
    <w:p w14:paraId="6119ABF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«следопыте» установили более мощную радиостанцию РСБ-Збис, которую разместили за бронеспинкой летчика над бензобаком уменьшенной высоты. В кабине стрелка дополни</w:t>
      </w:r>
      <w:r w:rsidRPr="00D03F3E">
        <w:rPr>
          <w:rFonts w:ascii="Times New Roman" w:hAnsi="Times New Roman"/>
          <w:color w:val="000000" w:themeColor="text1"/>
          <w:sz w:val="16"/>
          <w:szCs w:val="16"/>
        </w:rPr>
        <w:softHyphen/>
        <w:t>тельно устанавливались: компас, указатель скорости, высоты, термометр наружного воздуха, часы. Вместо генератора ГС-350 и батареи А-10 устанавливались ГС-1000 и А-30. В хвостовой части фюзеляжа имелся фотоаппарат АФА-И. Вес дополнительного оборудования достигал 125 кг, но за счет уменьшения запаса топлива нормальный полетный вес самолета составил 5674 кг.</w:t>
      </w:r>
    </w:p>
    <w:p w14:paraId="30E64F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результатам испытаний был сделан вывод, что объем спецоборудования не в полном объеме соответствует требова</w:t>
      </w:r>
      <w:r w:rsidRPr="00D03F3E">
        <w:rPr>
          <w:rFonts w:ascii="Times New Roman" w:hAnsi="Times New Roman"/>
          <w:color w:val="000000" w:themeColor="text1"/>
          <w:sz w:val="16"/>
          <w:szCs w:val="16"/>
        </w:rPr>
        <w:softHyphen/>
        <w:t>ниям. Дальность связи с наземной радиостанцией 11АК на вы</w:t>
      </w:r>
      <w:r w:rsidRPr="00D03F3E">
        <w:rPr>
          <w:rFonts w:ascii="Times New Roman" w:hAnsi="Times New Roman"/>
          <w:color w:val="000000" w:themeColor="text1"/>
          <w:sz w:val="16"/>
          <w:szCs w:val="16"/>
        </w:rPr>
        <w:softHyphen/>
        <w:t>соте 1000 м составила 130 км. Тем не менее Постановлением ГОКО от 10 апреля самолет запускался в серийное производст</w:t>
      </w:r>
      <w:r w:rsidRPr="00D03F3E">
        <w:rPr>
          <w:rFonts w:ascii="Times New Roman" w:hAnsi="Times New Roman"/>
          <w:color w:val="000000" w:themeColor="text1"/>
          <w:sz w:val="16"/>
          <w:szCs w:val="16"/>
        </w:rPr>
        <w:softHyphen/>
        <w:t>во на заводе № 1. Этому заводу передавалась и программа вы</w:t>
      </w:r>
      <w:r w:rsidRPr="00D03F3E">
        <w:rPr>
          <w:rFonts w:ascii="Times New Roman" w:hAnsi="Times New Roman"/>
          <w:color w:val="000000" w:themeColor="text1"/>
          <w:sz w:val="16"/>
          <w:szCs w:val="16"/>
        </w:rPr>
        <w:softHyphen/>
        <w:t>пуска Ил-2КР завода № 30, ввиду того, что последний получил задание на производство противотанковых самолетов Ил-2 с 37-мм пушками НС-37 (11474,388).</w:t>
      </w:r>
    </w:p>
    <w:p w14:paraId="0E7E69B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AA524C" w14:textId="77777777" w:rsidR="00B0220C" w:rsidRPr="00D03F3E" w:rsidRDefault="00B0220C"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С 27 марта по 7 апреля 1943 г. успешно прошли летные испытания Ил-2КР в НИИ ВВС КА (летчик-испытатель А.К. Долгов, ведущий инженер Н.С. Ку</w:t>
      </w:r>
      <w:r w:rsidRPr="00D03F3E">
        <w:rPr>
          <w:rFonts w:ascii="Times New Roman" w:cs="Times New Roman"/>
          <w:color w:val="000000" w:themeColor="text1"/>
          <w:spacing w:val="0"/>
        </w:rPr>
        <w:softHyphen/>
        <w:t>ликов).</w:t>
      </w:r>
    </w:p>
    <w:p w14:paraId="7B23E5A7" w14:textId="77777777" w:rsidR="00B0220C" w:rsidRPr="00D03F3E" w:rsidRDefault="00B0220C"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отчете по испытаниям указыва</w:t>
      </w:r>
      <w:r w:rsidRPr="00D03F3E">
        <w:rPr>
          <w:rFonts w:ascii="Times New Roman" w:cs="Times New Roman"/>
          <w:color w:val="000000" w:themeColor="text1"/>
          <w:spacing w:val="0"/>
        </w:rPr>
        <w:softHyphen/>
        <w:t>лось, что объем спецоборудования не в полном объеме удовлетворяет предъ</w:t>
      </w:r>
      <w:r w:rsidRPr="00D03F3E">
        <w:rPr>
          <w:rFonts w:ascii="Times New Roman" w:cs="Times New Roman"/>
          <w:color w:val="000000" w:themeColor="text1"/>
          <w:spacing w:val="0"/>
        </w:rPr>
        <w:softHyphen/>
        <w:t>являемым требованиям к самолету дан</w:t>
      </w:r>
      <w:r w:rsidRPr="00D03F3E">
        <w:rPr>
          <w:rFonts w:ascii="Times New Roman" w:cs="Times New Roman"/>
          <w:color w:val="000000" w:themeColor="text1"/>
          <w:spacing w:val="0"/>
        </w:rPr>
        <w:softHyphen/>
        <w:t>ного назначения. Тем не менее, Поста</w:t>
      </w:r>
      <w:r w:rsidRPr="00D03F3E">
        <w:rPr>
          <w:rFonts w:ascii="Times New Roman" w:cs="Times New Roman"/>
          <w:color w:val="000000" w:themeColor="text1"/>
          <w:spacing w:val="0"/>
        </w:rPr>
        <w:softHyphen/>
        <w:t>новлением ГКО от 10 апреля 1943 г. самолет Ил-2КР был запущен в серий</w:t>
      </w:r>
      <w:r w:rsidRPr="00D03F3E">
        <w:rPr>
          <w:rFonts w:ascii="Times New Roman" w:cs="Times New Roman"/>
          <w:color w:val="000000" w:themeColor="text1"/>
          <w:spacing w:val="0"/>
        </w:rPr>
        <w:softHyphen/>
        <w:t>ное производство на заводе №1, кото</w:t>
      </w:r>
      <w:r w:rsidRPr="00D03F3E">
        <w:rPr>
          <w:rFonts w:ascii="Times New Roman" w:cs="Times New Roman"/>
          <w:color w:val="000000" w:themeColor="text1"/>
          <w:spacing w:val="0"/>
        </w:rPr>
        <w:softHyphen/>
        <w:t>рому передавалась и программа вы</w:t>
      </w:r>
      <w:r w:rsidRPr="00D03F3E">
        <w:rPr>
          <w:rFonts w:ascii="Times New Roman" w:cs="Times New Roman"/>
          <w:color w:val="000000" w:themeColor="text1"/>
          <w:spacing w:val="0"/>
        </w:rPr>
        <w:softHyphen/>
        <w:t>пуска этой модификации штурмовика завода №30, ввиду того, что последний получил задание на производство само</w:t>
      </w:r>
      <w:r w:rsidRPr="00D03F3E">
        <w:rPr>
          <w:rFonts w:ascii="Times New Roman" w:cs="Times New Roman"/>
          <w:color w:val="000000" w:themeColor="text1"/>
          <w:spacing w:val="0"/>
        </w:rPr>
        <w:softHyphen/>
        <w:t>летов Ил-2, вооруженных 37-мм авиа</w:t>
      </w:r>
      <w:r w:rsidRPr="00D03F3E">
        <w:rPr>
          <w:rFonts w:ascii="Times New Roman" w:cs="Times New Roman"/>
          <w:color w:val="000000" w:themeColor="text1"/>
          <w:spacing w:val="0"/>
        </w:rPr>
        <w:softHyphen/>
        <w:t>пушками ОКБ-16 конструкции А.Э. Нудельмана и А.С. Суранова (15762).</w:t>
      </w:r>
    </w:p>
    <w:p w14:paraId="2B2E32C7" w14:textId="77777777" w:rsidR="00B0220C" w:rsidRPr="00D03F3E" w:rsidRDefault="00B0220C" w:rsidP="00D03F3E">
      <w:pPr>
        <w:pStyle w:val="27"/>
        <w:shd w:val="clear" w:color="auto" w:fill="auto"/>
        <w:spacing w:after="0" w:line="240" w:lineRule="auto"/>
        <w:ind w:firstLine="0"/>
        <w:rPr>
          <w:rFonts w:ascii="Times New Roman" w:cs="Times New Roman"/>
          <w:color w:val="000000" w:themeColor="text1"/>
          <w:spacing w:val="0"/>
        </w:rPr>
      </w:pPr>
    </w:p>
    <w:p w14:paraId="265EC08E"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27 марта</w:t>
      </w:r>
      <w:r w:rsidRPr="00D03F3E">
        <w:rPr>
          <w:rFonts w:ascii="Times New Roman" w:hAnsi="Times New Roman"/>
          <w:color w:val="000000" w:themeColor="text1"/>
          <w:sz w:val="16"/>
          <w:szCs w:val="16"/>
        </w:rPr>
        <w:t xml:space="preserve"> в 1943 году (по 7 апреля) начались летные испытания самолета-корректировщика </w:t>
      </w:r>
      <w:hyperlink r:id="rId100" w:tgtFrame="_blank" w:history="1">
        <w:r w:rsidRPr="00D03F3E">
          <w:rPr>
            <w:rFonts w:ascii="Times New Roman" w:hAnsi="Times New Roman"/>
            <w:color w:val="000000" w:themeColor="text1"/>
            <w:sz w:val="16"/>
            <w:szCs w:val="16"/>
          </w:rPr>
          <w:t xml:space="preserve">«Ил-2КР» </w:t>
        </w:r>
      </w:hyperlink>
      <w:r w:rsidRPr="00D03F3E">
        <w:rPr>
          <w:rFonts w:ascii="Times New Roman" w:hAnsi="Times New Roman"/>
          <w:color w:val="000000" w:themeColor="text1"/>
          <w:sz w:val="16"/>
          <w:szCs w:val="16"/>
        </w:rPr>
        <w:t xml:space="preserve">(заводской № 301896) в НИИ ВВС КА, (летчик-испытатель А.К.Долгов, ведущий инженер Н.С.Куликов). У «Ил-2КР» полностью сохранилась конструкция и вооружение серийного двухместного "Ила" с «АМ-38ф». Изменения были внесены только в состав оборудования, в топливную систему и в схему бронирования. Радиостанцию «РСИ-4» заменили на более мощную «РСБ-3бис» с большей дальностью действия, которую разместили в средней части фонаря кабины экипажа непосредственно за бронеспинкой пилота над уменьшенным по высоте задним бензобаком. Для фиксации результатов разведки в хвостовой части фюзеляжа установили фотоаппарат «АФА-И» (допускалась установка «АФА-ИМ»). Внешне самолеты «Ил-2КР» отличались от серийных «Ил-2» лишь наличием радиоантенны, установленной на переднем неподвижном козырьке фонаря кабины пилота. В отчете по испытаниям указывалось, что объем спецоборудования не в полном объеме удовлетворяет предъявляемым требованиям к самолету данного назначения. Тем не менее, Постановлением ГКО № 3144 от 10 апреля 1943 г. самолет </w:t>
      </w:r>
      <w:hyperlink r:id="rId101" w:tgtFrame="_blank" w:history="1">
        <w:r w:rsidRPr="00D03F3E">
          <w:rPr>
            <w:rFonts w:ascii="Times New Roman" w:hAnsi="Times New Roman"/>
            <w:color w:val="000000" w:themeColor="text1"/>
            <w:sz w:val="16"/>
            <w:szCs w:val="16"/>
          </w:rPr>
          <w:t xml:space="preserve">«Ил-2КР» </w:t>
        </w:r>
      </w:hyperlink>
      <w:r w:rsidRPr="00D03F3E">
        <w:rPr>
          <w:rFonts w:ascii="Times New Roman" w:hAnsi="Times New Roman"/>
          <w:color w:val="000000" w:themeColor="text1"/>
          <w:sz w:val="16"/>
          <w:szCs w:val="16"/>
        </w:rPr>
        <w:t>был запущен в серийное производство на заводе № 1, которому передавалась и программа выпуска этой модификации штурмовика завода № 30, ввиду того что последний получил задание на производство самолетов «Ил-2», вооруженных 37-мм авиапушками ОКБ-16 конструкции А.Э.Нудельмана и А.С.Суранова (15081).</w:t>
      </w:r>
    </w:p>
    <w:p w14:paraId="1C0DCD46" w14:textId="77777777" w:rsidR="00B0220C" w:rsidRPr="00D03F3E" w:rsidRDefault="00B0220C" w:rsidP="00D03F3E">
      <w:pPr>
        <w:spacing w:after="0" w:line="240" w:lineRule="auto"/>
        <w:jc w:val="both"/>
        <w:rPr>
          <w:rFonts w:ascii="Times New Roman" w:hAnsi="Times New Roman"/>
          <w:color w:val="000000" w:themeColor="text1"/>
          <w:sz w:val="16"/>
          <w:szCs w:val="16"/>
        </w:rPr>
      </w:pPr>
    </w:p>
    <w:p w14:paraId="5888A7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с 27 марта по 7 апреля 1943 г. в НИИ ВВС успешно прошел госиспытания корректировщик-разведчик Ил-2КР с АМ-38ф (зав. №301896).</w:t>
      </w:r>
    </w:p>
    <w:p w14:paraId="0D7DBF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Внешне самолет отличался от серийных Ил-2 наличием высокой радиоантенны, установленной на переднем неподвижном козырьке фонаря кабины пилота, и антенны РПК-10 вдоль правого борта.</w:t>
      </w:r>
    </w:p>
    <w:p w14:paraId="2C3684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"следопыте" установили более мощную радиостанцию РСБ-Збис, которую разместили за бронеспинкой летчика над бензобаком уменьшенной высоты. В кабине стрелка дополнительно устанавливались: компас, указатель скорости, высоты, термометр наружного воздуха, часы. В хвостовой части фюзеляжа имелся фотоаппарат АФА-И.</w:t>
      </w:r>
    </w:p>
    <w:p w14:paraId="4279E5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результатам испытаний был сделан вывод, что объем спецоборудования не в полном объеме соответствует требованиям. Тем не менее, Постановлением ГКО от 10 апреля Ил-2КР запускался в серийное производство.</w:t>
      </w:r>
    </w:p>
    <w:p w14:paraId="596365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фронте самолет проявил себя с лучшей стороны. Летчикам он нравился. Вместе с тем отмечалось, что установка одного фотоаппарата не обеспечивает выполнение всех задач, решаемых Ил-2КР на фронте. Кроме того, указывалось и на совершенно недостаточное для самолета такого назначения бронирование воздушного стрелка-наблюдателя - последние очень часто получали в боевых вылетах ранения и надолго выходили из строя (12020).</w:t>
      </w:r>
    </w:p>
    <w:p w14:paraId="5529B2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AB9A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марта 1943 вышел приказ НКАП N 172с:</w:t>
      </w:r>
    </w:p>
    <w:p w14:paraId="41410A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директоров заводов 23 Иосиловича, 39 Абрамова и 126 Тимофеева по чертежам ГК С.В.И. выпустить к 1 мая 1943 по одному самолету Ил-4 с нижеследующими изменениями:</w:t>
      </w:r>
    </w:p>
    <w:p w14:paraId="773743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сделать установку более передней на 4% посредством отвода концов консолей крыла назад. Консоли обшить фанерой вместо Д3</w:t>
      </w:r>
    </w:p>
    <w:p w14:paraId="1E12B0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элероны и РВ сделать с аэродинамической компенсацией</w:t>
      </w:r>
    </w:p>
    <w:p w14:paraId="4E18FC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установить автопилот</w:t>
      </w:r>
    </w:p>
    <w:p w14:paraId="2FA587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установить в консолях крыла добавочные бензобаки</w:t>
      </w:r>
    </w:p>
    <w:p w14:paraId="7C5892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установить пылефильтры на всасывающие патрубки</w:t>
      </w:r>
    </w:p>
    <w:p w14:paraId="6CF270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Каждому заводу произвести необходимые статические испытания и заводские летные испытания совместно с военными представителями</w:t>
      </w:r>
    </w:p>
    <w:p w14:paraId="2BDFB7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Отчеты о заводских летных испытаниях представить на утверждение к 10 мая 1943 (1704,15).</w:t>
      </w:r>
    </w:p>
    <w:p w14:paraId="408245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014260"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27 марта 1943 Ильюшин отвечал Шахурину:</w:t>
      </w:r>
    </w:p>
    <w:p w14:paraId="255C227C"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«Возвращая письмо командующего Авиацией Дальнего Действия &lt;...&gt; Голованова докладываю:</w:t>
      </w:r>
    </w:p>
    <w:p w14:paraId="5AA3BF12"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Перемещение центра тяжести на 4 процента впе</w:t>
      </w:r>
      <w:r w:rsidRPr="00D03F3E">
        <w:rPr>
          <w:rFonts w:ascii="Times New Roman" w:hAnsi="Times New Roman"/>
          <w:color w:val="0070C0"/>
          <w:sz w:val="16"/>
          <w:szCs w:val="16"/>
        </w:rPr>
        <w:softHyphen/>
        <w:t>ред выполнено в чертежах. Смещение центра тяжести вперед произведено за счет отвода консолей крыла на</w:t>
      </w:r>
      <w:r w:rsidRPr="00D03F3E">
        <w:rPr>
          <w:rFonts w:ascii="Times New Roman" w:hAnsi="Times New Roman"/>
          <w:color w:val="0070C0"/>
          <w:sz w:val="16"/>
          <w:szCs w:val="16"/>
        </w:rPr>
        <w:softHyphen/>
        <w:t>зад (придания ему стреловидности, — Прим. авт.).</w:t>
      </w:r>
    </w:p>
    <w:p w14:paraId="56E5EF14"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Обеспечение управления элеронами выполне</w:t>
      </w:r>
      <w:r w:rsidRPr="00D03F3E">
        <w:rPr>
          <w:rFonts w:ascii="Times New Roman" w:hAnsi="Times New Roman"/>
          <w:color w:val="0070C0"/>
          <w:sz w:val="16"/>
          <w:szCs w:val="16"/>
        </w:rPr>
        <w:softHyphen/>
        <w:t>но в чертежах &lt;...&gt; за счет увеличения аэродинами</w:t>
      </w:r>
      <w:r w:rsidRPr="00D03F3E">
        <w:rPr>
          <w:rFonts w:ascii="Times New Roman" w:hAnsi="Times New Roman"/>
          <w:color w:val="0070C0"/>
          <w:sz w:val="16"/>
          <w:szCs w:val="16"/>
        </w:rPr>
        <w:softHyphen/>
        <w:t>ческой компенсации. Облегчение управления рулем высоты будет сделано в чертежах к 5 апреля 1943 г.</w:t>
      </w:r>
    </w:p>
    <w:p w14:paraId="4E11AE6D"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Установка автопилота внедрена в серийное производство. Автопилоты не устанавливаются по причине ограниченного их количества.</w:t>
      </w:r>
    </w:p>
    <w:p w14:paraId="175D7579"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Установка в консолях дополнительных бензобаков выполнена на Ил-4, который прошел испытания в АДД.</w:t>
      </w:r>
    </w:p>
    <w:p w14:paraId="77706FAE"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Установка колес 1100x400 мм вместо &lt;...&gt; 1000x350 вызовет большие переделки. Ввиду того, что электронные колеса (имеется в виду сплав элек</w:t>
      </w:r>
      <w:r w:rsidRPr="00D03F3E">
        <w:rPr>
          <w:rFonts w:ascii="Times New Roman" w:hAnsi="Times New Roman"/>
          <w:color w:val="0070C0"/>
          <w:sz w:val="16"/>
          <w:szCs w:val="16"/>
        </w:rPr>
        <w:softHyphen/>
        <w:t>трон, из которого их изготавливали. — Прим, авт.) 1000x350 мм значительно усилены, можно продол</w:t>
      </w:r>
      <w:r w:rsidRPr="00D03F3E">
        <w:rPr>
          <w:rFonts w:ascii="Times New Roman" w:hAnsi="Times New Roman"/>
          <w:color w:val="0070C0"/>
          <w:sz w:val="16"/>
          <w:szCs w:val="16"/>
        </w:rPr>
        <w:softHyphen/>
        <w:t>жить дальнейшую эксплуатацию самолета...</w:t>
      </w:r>
    </w:p>
    <w:p w14:paraId="2F79666A"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Установка хвостовых колес 470x210 мм вместо 400x150 мм внедрена в серию.</w:t>
      </w:r>
    </w:p>
    <w:p w14:paraId="5F5AC241"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УБТв люк &lt;... &gt; установить нельзя, так как сама установка весит на 70 кг больше, чем для ШКАС, что сдвинет центр тяжести назад на 2 процента.</w:t>
      </w:r>
    </w:p>
    <w:p w14:paraId="37DB17F9"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Пламегасители &lt;...&gt; в ночном полете разраба</w:t>
      </w:r>
      <w:r w:rsidRPr="00D03F3E">
        <w:rPr>
          <w:rFonts w:ascii="Times New Roman" w:hAnsi="Times New Roman"/>
          <w:color w:val="0070C0"/>
          <w:sz w:val="16"/>
          <w:szCs w:val="16"/>
        </w:rPr>
        <w:softHyphen/>
        <w:t>тываются. Чертежи будут готовы к 15 апреля 1943 г....</w:t>
      </w:r>
    </w:p>
    <w:p w14:paraId="6B33758F"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Было бы желательно Вашим приказом обязать за</w:t>
      </w:r>
      <w:r w:rsidRPr="00D03F3E">
        <w:rPr>
          <w:rFonts w:ascii="Times New Roman" w:hAnsi="Times New Roman"/>
          <w:color w:val="0070C0"/>
          <w:sz w:val="16"/>
          <w:szCs w:val="16"/>
        </w:rPr>
        <w:softHyphen/>
        <w:t>воды № 23, 39 и 126 выпустить по одному самолету Ил-4 с указанными в письме т. Голованова изменени</w:t>
      </w:r>
      <w:r w:rsidRPr="00D03F3E">
        <w:rPr>
          <w:rFonts w:ascii="Times New Roman" w:hAnsi="Times New Roman"/>
          <w:color w:val="0070C0"/>
          <w:sz w:val="16"/>
          <w:szCs w:val="16"/>
        </w:rPr>
        <w:softHyphen/>
        <w:t>ями, за исключением установки в люк пулемета УБТ и пламегасителей.</w:t>
      </w:r>
    </w:p>
    <w:p w14:paraId="3031E171"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Так как объем работ &lt;...&gt; не велик, то заводы имеют полную возможность выпустить эти самолеты к 1 мая 1943 г. » (23188).</w:t>
      </w:r>
    </w:p>
    <w:p w14:paraId="04A27483" w14:textId="77777777" w:rsidR="00096973" w:rsidRPr="00D03F3E" w:rsidRDefault="00096973" w:rsidP="00D03F3E">
      <w:pPr>
        <w:spacing w:after="0" w:line="240" w:lineRule="auto"/>
        <w:jc w:val="both"/>
        <w:rPr>
          <w:rFonts w:ascii="Times New Roman" w:hAnsi="Times New Roman"/>
          <w:color w:val="0070C0"/>
          <w:sz w:val="16"/>
          <w:szCs w:val="16"/>
        </w:rPr>
      </w:pPr>
    </w:p>
    <w:p w14:paraId="60A8CD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марта 1943 г. Приказом наркомата авиапромыш</w:t>
      </w:r>
      <w:r w:rsidRPr="00D03F3E">
        <w:rPr>
          <w:rFonts w:ascii="Times New Roman" w:hAnsi="Times New Roman"/>
          <w:color w:val="000000" w:themeColor="text1"/>
          <w:sz w:val="16"/>
          <w:szCs w:val="16"/>
        </w:rPr>
        <w:softHyphen/>
        <w:t>ленности предусма</w:t>
      </w:r>
      <w:r w:rsidRPr="00D03F3E">
        <w:rPr>
          <w:rFonts w:ascii="Times New Roman" w:hAnsi="Times New Roman"/>
          <w:color w:val="000000" w:themeColor="text1"/>
          <w:sz w:val="16"/>
          <w:szCs w:val="16"/>
        </w:rPr>
        <w:softHyphen/>
        <w:t>тривалось внедрение на всех серийных заводах увеличенной стреловидности консолей, фанерной их обшивки, до</w:t>
      </w:r>
      <w:r w:rsidRPr="00D03F3E">
        <w:rPr>
          <w:rFonts w:ascii="Times New Roman" w:hAnsi="Times New Roman"/>
          <w:color w:val="000000" w:themeColor="text1"/>
          <w:sz w:val="16"/>
          <w:szCs w:val="16"/>
        </w:rPr>
        <w:softHyphen/>
        <w:t>полнительных бензобаков, элеронов с полотняной обтяжкой и аэродинамиче</w:t>
      </w:r>
      <w:r w:rsidRPr="00D03F3E">
        <w:rPr>
          <w:rFonts w:ascii="Times New Roman" w:hAnsi="Times New Roman"/>
          <w:color w:val="000000" w:themeColor="text1"/>
          <w:sz w:val="16"/>
          <w:szCs w:val="16"/>
        </w:rPr>
        <w:softHyphen/>
        <w:t>ской компенсацией, противопыльных фильтров на всасывающих патрубках и пламегасителей. Весь комплекс хотели освоить к маю 1943 г., выпустив на каждом предприятии эталонные само</w:t>
      </w:r>
      <w:r w:rsidRPr="00D03F3E">
        <w:rPr>
          <w:rFonts w:ascii="Times New Roman" w:hAnsi="Times New Roman"/>
          <w:color w:val="000000" w:themeColor="text1"/>
          <w:sz w:val="16"/>
          <w:szCs w:val="16"/>
        </w:rPr>
        <w:softHyphen/>
        <w:t>леты. Завод № 23 подготовил такую ма</w:t>
      </w:r>
      <w:r w:rsidRPr="00D03F3E">
        <w:rPr>
          <w:rFonts w:ascii="Times New Roman" w:hAnsi="Times New Roman"/>
          <w:color w:val="000000" w:themeColor="text1"/>
          <w:sz w:val="16"/>
          <w:szCs w:val="16"/>
        </w:rPr>
        <w:softHyphen/>
        <w:t>шину к середине июня, заводы № 39 и 126 — в июле. Но практически нововве</w:t>
      </w:r>
      <w:r w:rsidRPr="00D03F3E">
        <w:rPr>
          <w:rFonts w:ascii="Times New Roman" w:hAnsi="Times New Roman"/>
          <w:color w:val="000000" w:themeColor="text1"/>
          <w:sz w:val="16"/>
          <w:szCs w:val="16"/>
        </w:rPr>
        <w:softHyphen/>
        <w:t>дения появлялись на серийных машинах не одновременно, а последовательно. Завод № 126 ввел костыльное колесо 470x210 мм с удлиненной стойкой на 121-й серии, а крыло «со стрелкой» — на 128-й. На последней тогда появи</w:t>
      </w:r>
      <w:r w:rsidRPr="00D03F3E">
        <w:rPr>
          <w:rFonts w:ascii="Times New Roman" w:hAnsi="Times New Roman"/>
          <w:color w:val="000000" w:themeColor="text1"/>
          <w:sz w:val="16"/>
          <w:szCs w:val="16"/>
        </w:rPr>
        <w:softHyphen/>
        <w:t>лись еще и элероны, обшитые полотном вместо дюралевого листа и увеличен</w:t>
      </w:r>
      <w:r w:rsidRPr="00D03F3E">
        <w:rPr>
          <w:rFonts w:ascii="Times New Roman" w:hAnsi="Times New Roman"/>
          <w:color w:val="000000" w:themeColor="text1"/>
          <w:sz w:val="16"/>
          <w:szCs w:val="16"/>
        </w:rPr>
        <w:softHyphen/>
        <w:t>ные по хорде, а также рули высоты с аэ</w:t>
      </w:r>
      <w:r w:rsidRPr="00D03F3E">
        <w:rPr>
          <w:rFonts w:ascii="Times New Roman" w:hAnsi="Times New Roman"/>
          <w:color w:val="000000" w:themeColor="text1"/>
          <w:sz w:val="16"/>
          <w:szCs w:val="16"/>
        </w:rPr>
        <w:softHyphen/>
        <w:t>родинамической компенсацией. Поскольку «стрелка» сдвинула центр тя</w:t>
      </w:r>
      <w:r w:rsidRPr="00D03F3E">
        <w:rPr>
          <w:rFonts w:ascii="Times New Roman" w:hAnsi="Times New Roman"/>
          <w:color w:val="000000" w:themeColor="text1"/>
          <w:sz w:val="16"/>
          <w:szCs w:val="16"/>
        </w:rPr>
        <w:softHyphen/>
        <w:t>жести, то вынос шасси одновременно уменьшили на 120 мм. На 127-й серии появились пламега</w:t>
      </w:r>
      <w:r w:rsidRPr="00D03F3E">
        <w:rPr>
          <w:rFonts w:ascii="Times New Roman" w:hAnsi="Times New Roman"/>
          <w:color w:val="000000" w:themeColor="text1"/>
          <w:sz w:val="16"/>
          <w:szCs w:val="16"/>
        </w:rPr>
        <w:softHyphen/>
        <w:t>сители ГАМ-9. Хотя на ДБ-3Ф имелись коллекторы на выхлопных патрубках, ночью яркие вспышки из них демаски</w:t>
      </w:r>
      <w:r w:rsidRPr="00D03F3E">
        <w:rPr>
          <w:rFonts w:ascii="Times New Roman" w:hAnsi="Times New Roman"/>
          <w:color w:val="000000" w:themeColor="text1"/>
          <w:sz w:val="16"/>
          <w:szCs w:val="16"/>
        </w:rPr>
        <w:softHyphen/>
        <w:t>ровали самолет и ослепляли пилота. В частях еще с 1942 г. начали изготовлять самодельные пламегасители. Разработ</w:t>
      </w:r>
      <w:r w:rsidRPr="00D03F3E">
        <w:rPr>
          <w:rFonts w:ascii="Times New Roman" w:hAnsi="Times New Roman"/>
          <w:color w:val="000000" w:themeColor="text1"/>
          <w:sz w:val="16"/>
          <w:szCs w:val="16"/>
        </w:rPr>
        <w:softHyphen/>
      </w:r>
      <w:r w:rsidRPr="00D03F3E">
        <w:rPr>
          <w:rFonts w:ascii="Times New Roman" w:hAnsi="Times New Roman"/>
          <w:color w:val="000000" w:themeColor="text1"/>
          <w:sz w:val="16"/>
          <w:szCs w:val="16"/>
        </w:rPr>
        <w:lastRenderedPageBreak/>
        <w:t>ку пламегасителей осуществляли в ЦИАМ. Там перепробовали несколько конструкций, пока не остановились на ГАМ-9, успешно прошедшем испыта</w:t>
      </w:r>
      <w:r w:rsidRPr="00D03F3E">
        <w:rPr>
          <w:rFonts w:ascii="Times New Roman" w:hAnsi="Times New Roman"/>
          <w:color w:val="000000" w:themeColor="text1"/>
          <w:sz w:val="16"/>
          <w:szCs w:val="16"/>
        </w:rPr>
        <w:softHyphen/>
        <w:t>ния в НИИ ВВС. Войсковые испытания проходили в 8-м и 19-м гв. полках АЛД в июле-августе 1943 г. Экипажи оцени</w:t>
      </w:r>
      <w:r w:rsidRPr="00D03F3E">
        <w:rPr>
          <w:rFonts w:ascii="Times New Roman" w:hAnsi="Times New Roman"/>
          <w:color w:val="000000" w:themeColor="text1"/>
          <w:sz w:val="16"/>
          <w:szCs w:val="16"/>
        </w:rPr>
        <w:softHyphen/>
        <w:t>ли новинку положительно. Более того, в частях стали требовать установки пламегасителей и на остальных самоле</w:t>
      </w:r>
      <w:r w:rsidRPr="00D03F3E">
        <w:rPr>
          <w:rFonts w:ascii="Times New Roman" w:hAnsi="Times New Roman"/>
          <w:color w:val="000000" w:themeColor="text1"/>
          <w:sz w:val="16"/>
          <w:szCs w:val="16"/>
        </w:rPr>
        <w:softHyphen/>
        <w:t>тах. С октября завод стал комплекто</w:t>
      </w:r>
      <w:r w:rsidRPr="00D03F3E">
        <w:rPr>
          <w:rFonts w:ascii="Times New Roman" w:hAnsi="Times New Roman"/>
          <w:color w:val="000000" w:themeColor="text1"/>
          <w:sz w:val="16"/>
          <w:szCs w:val="16"/>
        </w:rPr>
        <w:softHyphen/>
        <w:t>вать ГАМ-9 все выпускающиеся бом</w:t>
      </w:r>
      <w:r w:rsidRPr="00D03F3E">
        <w:rPr>
          <w:rFonts w:ascii="Times New Roman" w:hAnsi="Times New Roman"/>
          <w:color w:val="000000" w:themeColor="text1"/>
          <w:sz w:val="16"/>
          <w:szCs w:val="16"/>
        </w:rPr>
        <w:softHyphen/>
        <w:t>бардировщики. Примерно в это же время (на заводе № 39 — с октября) стали ставить воз</w:t>
      </w:r>
      <w:r w:rsidRPr="00D03F3E">
        <w:rPr>
          <w:rFonts w:ascii="Times New Roman" w:hAnsi="Times New Roman"/>
          <w:color w:val="000000" w:themeColor="text1"/>
          <w:sz w:val="16"/>
          <w:szCs w:val="16"/>
        </w:rPr>
        <w:softHyphen/>
        <w:t>душные фильтры на всасывающих пат</w:t>
      </w:r>
      <w:r w:rsidRPr="00D03F3E">
        <w:rPr>
          <w:rFonts w:ascii="Times New Roman" w:hAnsi="Times New Roman"/>
          <w:color w:val="000000" w:themeColor="text1"/>
          <w:sz w:val="16"/>
          <w:szCs w:val="16"/>
        </w:rPr>
        <w:softHyphen/>
        <w:t>рубках. Поскольку они создавали до</w:t>
      </w:r>
      <w:r w:rsidRPr="00D03F3E">
        <w:rPr>
          <w:rFonts w:ascii="Times New Roman" w:hAnsi="Times New Roman"/>
          <w:color w:val="000000" w:themeColor="text1"/>
          <w:sz w:val="16"/>
          <w:szCs w:val="16"/>
        </w:rPr>
        <w:softHyphen/>
        <w:t>полнительное сопротивление на входе, их использовали только при взлете. Старое освещение кабин заменили современным ультрафиолетовым (УФО). Лампы УФО, дававшие невиди</w:t>
      </w:r>
      <w:r w:rsidRPr="00D03F3E">
        <w:rPr>
          <w:rFonts w:ascii="Times New Roman" w:hAnsi="Times New Roman"/>
          <w:color w:val="000000" w:themeColor="text1"/>
          <w:sz w:val="16"/>
          <w:szCs w:val="16"/>
        </w:rPr>
        <w:softHyphen/>
        <w:t>мый человеку свет и тем самым не ухуд</w:t>
      </w:r>
      <w:r w:rsidRPr="00D03F3E">
        <w:rPr>
          <w:rFonts w:ascii="Times New Roman" w:hAnsi="Times New Roman"/>
          <w:color w:val="000000" w:themeColor="text1"/>
          <w:sz w:val="16"/>
          <w:szCs w:val="16"/>
        </w:rPr>
        <w:softHyphen/>
        <w:t>шавшие обзор в темноте и не демаски</w:t>
      </w:r>
      <w:r w:rsidRPr="00D03F3E">
        <w:rPr>
          <w:rFonts w:ascii="Times New Roman" w:hAnsi="Times New Roman"/>
          <w:color w:val="000000" w:themeColor="text1"/>
          <w:sz w:val="16"/>
          <w:szCs w:val="16"/>
        </w:rPr>
        <w:softHyphen/>
        <w:t>ровавшие самолет, возбуждали свече</w:t>
      </w:r>
      <w:r w:rsidRPr="00D03F3E">
        <w:rPr>
          <w:rFonts w:ascii="Times New Roman" w:hAnsi="Times New Roman"/>
          <w:color w:val="000000" w:themeColor="text1"/>
          <w:sz w:val="16"/>
          <w:szCs w:val="16"/>
        </w:rPr>
        <w:softHyphen/>
        <w:t>ние специальных разноцветных соста</w:t>
      </w:r>
      <w:r w:rsidRPr="00D03F3E">
        <w:rPr>
          <w:rFonts w:ascii="Times New Roman" w:hAnsi="Times New Roman"/>
          <w:color w:val="000000" w:themeColor="text1"/>
          <w:sz w:val="16"/>
          <w:szCs w:val="16"/>
        </w:rPr>
        <w:softHyphen/>
        <w:t>вов, нанесенных на шкалы приборов, ручки и тумблеры управления. Часть самолетов комплектовалась аппарату</w:t>
      </w:r>
      <w:r w:rsidRPr="00D03F3E">
        <w:rPr>
          <w:rFonts w:ascii="Times New Roman" w:hAnsi="Times New Roman"/>
          <w:color w:val="000000" w:themeColor="text1"/>
          <w:sz w:val="16"/>
          <w:szCs w:val="16"/>
        </w:rPr>
        <w:softHyphen/>
        <w:t>рой «Ночь-1», а с середины 1943 г. на каждой второй машине монтировали автомат курса АПГ-1 — нечто вроде примитивного автопилота. Заменили переговорное устройство, кислородные приборы, радиостанцию. В конце осени в проводку управления рулями высоты ввели пружинные компенсаторы. Их появлению предшествовал ряд катаст</w:t>
      </w:r>
      <w:r w:rsidRPr="00D03F3E">
        <w:rPr>
          <w:rFonts w:ascii="Times New Roman" w:hAnsi="Times New Roman"/>
          <w:color w:val="000000" w:themeColor="text1"/>
          <w:sz w:val="16"/>
          <w:szCs w:val="16"/>
        </w:rPr>
        <w:softHyphen/>
        <w:t>роф в частях АДД: самолеты самопро</w:t>
      </w:r>
      <w:r w:rsidRPr="00D03F3E">
        <w:rPr>
          <w:rFonts w:ascii="Times New Roman" w:hAnsi="Times New Roman"/>
          <w:color w:val="000000" w:themeColor="text1"/>
          <w:sz w:val="16"/>
          <w:szCs w:val="16"/>
        </w:rPr>
        <w:softHyphen/>
        <w:t>извольно срывались в штопор и не выходили из него. Дело оказалось в том, что при неправильно отбалансирован-ном летчиком триммере в болтанку или при выполнении противозенитного ма</w:t>
      </w:r>
      <w:r w:rsidRPr="00D03F3E">
        <w:rPr>
          <w:rFonts w:ascii="Times New Roman" w:hAnsi="Times New Roman"/>
          <w:color w:val="000000" w:themeColor="text1"/>
          <w:sz w:val="16"/>
          <w:szCs w:val="16"/>
        </w:rPr>
        <w:softHyphen/>
        <w:t>невра усилие на ручке резко менялось, превышая 40 кг. Компенсатор, сконст</w:t>
      </w:r>
      <w:r w:rsidRPr="00D03F3E">
        <w:rPr>
          <w:rFonts w:ascii="Times New Roman" w:hAnsi="Times New Roman"/>
          <w:color w:val="000000" w:themeColor="text1"/>
          <w:sz w:val="16"/>
          <w:szCs w:val="16"/>
        </w:rPr>
        <w:softHyphen/>
        <w:t>руированный М.Л. Милем, делал пере</w:t>
      </w:r>
      <w:r w:rsidRPr="00D03F3E">
        <w:rPr>
          <w:rFonts w:ascii="Times New Roman" w:hAnsi="Times New Roman"/>
          <w:color w:val="000000" w:themeColor="text1"/>
          <w:sz w:val="16"/>
          <w:szCs w:val="16"/>
        </w:rPr>
        <w:softHyphen/>
        <w:t>пад не столь резким, давая пилоту вре</w:t>
      </w:r>
      <w:r w:rsidRPr="00D03F3E">
        <w:rPr>
          <w:rFonts w:ascii="Times New Roman" w:hAnsi="Times New Roman"/>
          <w:color w:val="000000" w:themeColor="text1"/>
          <w:sz w:val="16"/>
          <w:szCs w:val="16"/>
        </w:rPr>
        <w:softHyphen/>
        <w:t>мя исправить положение. На самолетах появились антиобледе</w:t>
      </w:r>
      <w:r w:rsidRPr="00D03F3E">
        <w:rPr>
          <w:rFonts w:ascii="Times New Roman" w:hAnsi="Times New Roman"/>
          <w:color w:val="000000" w:themeColor="text1"/>
          <w:sz w:val="16"/>
          <w:szCs w:val="16"/>
        </w:rPr>
        <w:softHyphen/>
        <w:t>нители. Как уже говорилось, эту работу начали по приказу НКАП в июле 1942 г. В январе 43-го на одном из самолетов выпуска завода № 23 испытывались три варианта теплового антиобледени</w:t>
      </w:r>
      <w:r w:rsidRPr="00D03F3E">
        <w:rPr>
          <w:rFonts w:ascii="Times New Roman" w:hAnsi="Times New Roman"/>
          <w:color w:val="000000" w:themeColor="text1"/>
          <w:sz w:val="16"/>
          <w:szCs w:val="16"/>
        </w:rPr>
        <w:softHyphen/>
        <w:t>теля. Летал заводской пилот майор По-долякин. Самым легким оказался вари</w:t>
      </w:r>
      <w:r w:rsidRPr="00D03F3E">
        <w:rPr>
          <w:rFonts w:ascii="Times New Roman" w:hAnsi="Times New Roman"/>
          <w:color w:val="000000" w:themeColor="text1"/>
          <w:sz w:val="16"/>
          <w:szCs w:val="16"/>
        </w:rPr>
        <w:softHyphen/>
        <w:t>ант с обогревательными рубашками на выхлопных коллекторах и калорифером для оперения — 117 кг. Он же обеспе</w:t>
      </w:r>
      <w:r w:rsidRPr="00D03F3E">
        <w:rPr>
          <w:rFonts w:ascii="Times New Roman" w:hAnsi="Times New Roman"/>
          <w:color w:val="000000" w:themeColor="text1"/>
          <w:sz w:val="16"/>
          <w:szCs w:val="16"/>
        </w:rPr>
        <w:softHyphen/>
        <w:t>чивал меньшее лобовое сопротивление, чем вариант с тремя бензиновыми под</w:t>
      </w:r>
      <w:r w:rsidRPr="00D03F3E">
        <w:rPr>
          <w:rFonts w:ascii="Times New Roman" w:hAnsi="Times New Roman"/>
          <w:color w:val="000000" w:themeColor="text1"/>
          <w:sz w:val="16"/>
          <w:szCs w:val="16"/>
        </w:rPr>
        <w:softHyphen/>
        <w:t>весными калориферами. Но для серии рекомендовали калориферы, как более простые. Одновременно испытали и одобрили смывание стекол козырька спиртовой смесью. В то же время приход на заводы в 1942-43 годах большого количества не</w:t>
      </w:r>
      <w:r w:rsidRPr="00D03F3E">
        <w:rPr>
          <w:rFonts w:ascii="Times New Roman" w:hAnsi="Times New Roman"/>
          <w:color w:val="000000" w:themeColor="text1"/>
          <w:sz w:val="16"/>
          <w:szCs w:val="16"/>
        </w:rPr>
        <w:softHyphen/>
        <w:t>квалифицированной рабочей силы и спешка с выполнением напряженных планов приводили к значительному проценту брака. Командование АДД констатировало: «Большая часть само</w:t>
      </w:r>
      <w:r w:rsidRPr="00D03F3E">
        <w:rPr>
          <w:rFonts w:ascii="Times New Roman" w:hAnsi="Times New Roman"/>
          <w:color w:val="000000" w:themeColor="text1"/>
          <w:sz w:val="16"/>
          <w:szCs w:val="16"/>
        </w:rPr>
        <w:softHyphen/>
        <w:t>летов Ил-4 нередко приходит с дефек</w:t>
      </w:r>
      <w:r w:rsidRPr="00D03F3E">
        <w:rPr>
          <w:rFonts w:ascii="Times New Roman" w:hAnsi="Times New Roman"/>
          <w:color w:val="000000" w:themeColor="text1"/>
          <w:sz w:val="16"/>
          <w:szCs w:val="16"/>
        </w:rPr>
        <w:softHyphen/>
        <w:t>тами... с завода вследствие недостаточ</w:t>
      </w:r>
      <w:r w:rsidRPr="00D03F3E">
        <w:rPr>
          <w:rFonts w:ascii="Times New Roman" w:hAnsi="Times New Roman"/>
          <w:color w:val="000000" w:themeColor="text1"/>
          <w:sz w:val="16"/>
          <w:szCs w:val="16"/>
        </w:rPr>
        <w:softHyphen/>
        <w:t>но строгой приемки самолетов». Быва</w:t>
      </w:r>
      <w:r w:rsidRPr="00D03F3E">
        <w:rPr>
          <w:rFonts w:ascii="Times New Roman" w:hAnsi="Times New Roman"/>
          <w:color w:val="000000" w:themeColor="text1"/>
          <w:sz w:val="16"/>
          <w:szCs w:val="16"/>
        </w:rPr>
        <w:softHyphen/>
        <w:t>ли даже случаи, когда из полков требо</w:t>
      </w:r>
      <w:r w:rsidRPr="00D03F3E">
        <w:rPr>
          <w:rFonts w:ascii="Times New Roman" w:hAnsi="Times New Roman"/>
          <w:color w:val="000000" w:themeColor="text1"/>
          <w:sz w:val="16"/>
          <w:szCs w:val="16"/>
        </w:rPr>
        <w:softHyphen/>
        <w:t>вали изъять отдельные бомбардиров</w:t>
      </w:r>
      <w:r w:rsidRPr="00D03F3E">
        <w:rPr>
          <w:rFonts w:ascii="Times New Roman" w:hAnsi="Times New Roman"/>
          <w:color w:val="000000" w:themeColor="text1"/>
          <w:sz w:val="16"/>
          <w:szCs w:val="16"/>
        </w:rPr>
        <w:softHyphen/>
        <w:t>щики, от которых отказывались экипа</w:t>
      </w:r>
      <w:r w:rsidRPr="00D03F3E">
        <w:rPr>
          <w:rFonts w:ascii="Times New Roman" w:hAnsi="Times New Roman"/>
          <w:color w:val="000000" w:themeColor="text1"/>
          <w:sz w:val="16"/>
          <w:szCs w:val="16"/>
        </w:rPr>
        <w:softHyphen/>
        <w:t>жи. Встречались несоблюдение профи</w:t>
      </w:r>
      <w:r w:rsidRPr="00D03F3E">
        <w:rPr>
          <w:rFonts w:ascii="Times New Roman" w:hAnsi="Times New Roman"/>
          <w:color w:val="000000" w:themeColor="text1"/>
          <w:sz w:val="16"/>
          <w:szCs w:val="16"/>
        </w:rPr>
        <w:softHyphen/>
        <w:t>ля крыла, закрутка его сечений относи</w:t>
      </w:r>
      <w:r w:rsidRPr="00D03F3E">
        <w:rPr>
          <w:rFonts w:ascii="Times New Roman" w:hAnsi="Times New Roman"/>
          <w:color w:val="000000" w:themeColor="text1"/>
          <w:sz w:val="16"/>
          <w:szCs w:val="16"/>
        </w:rPr>
        <w:softHyphen/>
        <w:t>тельно друг друга, вмятины и хлопуны. Окантовка фонарей отставала от плек</w:t>
      </w:r>
      <w:r w:rsidRPr="00D03F3E">
        <w:rPr>
          <w:rFonts w:ascii="Times New Roman" w:hAnsi="Times New Roman"/>
          <w:color w:val="000000" w:themeColor="text1"/>
          <w:sz w:val="16"/>
          <w:szCs w:val="16"/>
        </w:rPr>
        <w:softHyphen/>
        <w:t>сигласа, люки имели щели, между сдвижной частью фонаря пилота и гарг-ротом фонаря зазор доходил до 40 мм. Допуска на стыковку отдельных частей превышались на 100—120%. Самоле</w:t>
      </w:r>
      <w:r w:rsidRPr="00D03F3E">
        <w:rPr>
          <w:rFonts w:ascii="Times New Roman" w:hAnsi="Times New Roman"/>
          <w:color w:val="000000" w:themeColor="text1"/>
          <w:sz w:val="16"/>
          <w:szCs w:val="16"/>
        </w:rPr>
        <w:softHyphen/>
        <w:t>ты красили кое-как, без грунтовки, с потеками и осевшей пылью. Фанерные гаргроты полагалось шпаклевать, но делали это плохо, шпаклевка треска</w:t>
      </w:r>
      <w:r w:rsidRPr="00D03F3E">
        <w:rPr>
          <w:rFonts w:ascii="Times New Roman" w:hAnsi="Times New Roman"/>
          <w:color w:val="000000" w:themeColor="text1"/>
          <w:sz w:val="16"/>
          <w:szCs w:val="16"/>
        </w:rPr>
        <w:softHyphen/>
        <w:t>лась. Щели у рулей были не постоянны по радиусу. Все это служило причиной не только уменьшения скорости полета, но часто вело к ухудшению посадочных качеств и вызывало тенденцию к свали</w:t>
      </w:r>
      <w:r w:rsidRPr="00D03F3E">
        <w:rPr>
          <w:rFonts w:ascii="Times New Roman" w:hAnsi="Times New Roman"/>
          <w:color w:val="000000" w:themeColor="text1"/>
          <w:sz w:val="16"/>
          <w:szCs w:val="16"/>
        </w:rPr>
        <w:softHyphen/>
        <w:t>ванию на крыло. Командование АДД отреагировало на повторяющиеся де</w:t>
      </w:r>
      <w:r w:rsidRPr="00D03F3E">
        <w:rPr>
          <w:rFonts w:ascii="Times New Roman" w:hAnsi="Times New Roman"/>
          <w:color w:val="000000" w:themeColor="text1"/>
          <w:sz w:val="16"/>
          <w:szCs w:val="16"/>
        </w:rPr>
        <w:softHyphen/>
        <w:t>фекты повышением требований к воен</w:t>
      </w:r>
      <w:r w:rsidRPr="00D03F3E">
        <w:rPr>
          <w:rFonts w:ascii="Times New Roman" w:hAnsi="Times New Roman"/>
          <w:color w:val="000000" w:themeColor="text1"/>
          <w:sz w:val="16"/>
          <w:szCs w:val="16"/>
        </w:rPr>
        <w:softHyphen/>
        <w:t>ной приемке. Наращиванию производства мешали и перебои со снабжением. Чтобы не тормозить конвейер, радиоприемники и радиополукомпасы доставляли на Дальний Восток самолетами. Часть самоле</w:t>
      </w:r>
      <w:r w:rsidRPr="00D03F3E">
        <w:rPr>
          <w:rFonts w:ascii="Times New Roman" w:hAnsi="Times New Roman"/>
          <w:color w:val="000000" w:themeColor="text1"/>
          <w:sz w:val="16"/>
          <w:szCs w:val="16"/>
        </w:rPr>
        <w:softHyphen/>
        <w:t>тов отгружали без пропеллеров и неко</w:t>
      </w:r>
      <w:r w:rsidRPr="00D03F3E">
        <w:rPr>
          <w:rFonts w:ascii="Times New Roman" w:hAnsi="Times New Roman"/>
          <w:color w:val="000000" w:themeColor="text1"/>
          <w:sz w:val="16"/>
          <w:szCs w:val="16"/>
        </w:rPr>
        <w:softHyphen/>
        <w:t>торых приборов. Доукомплектование осуществляли в Москве. В 1943 г. активно пытались усовер</w:t>
      </w:r>
      <w:r w:rsidRPr="00D03F3E">
        <w:rPr>
          <w:rFonts w:ascii="Times New Roman" w:hAnsi="Times New Roman"/>
          <w:color w:val="000000" w:themeColor="text1"/>
          <w:sz w:val="16"/>
          <w:szCs w:val="16"/>
        </w:rPr>
        <w:softHyphen/>
        <w:t>шенствовать мотоустановку. Планиро</w:t>
      </w:r>
      <w:r w:rsidRPr="00D03F3E">
        <w:rPr>
          <w:rFonts w:ascii="Times New Roman" w:hAnsi="Times New Roman"/>
          <w:color w:val="000000" w:themeColor="text1"/>
          <w:sz w:val="16"/>
          <w:szCs w:val="16"/>
        </w:rPr>
        <w:softHyphen/>
        <w:t>вавшийся в свое время для ДБ-3Ф дви</w:t>
      </w:r>
      <w:r w:rsidRPr="00D03F3E">
        <w:rPr>
          <w:rFonts w:ascii="Times New Roman" w:hAnsi="Times New Roman"/>
          <w:color w:val="000000" w:themeColor="text1"/>
          <w:sz w:val="16"/>
          <w:szCs w:val="16"/>
        </w:rPr>
        <w:softHyphen/>
        <w:t>гатель М-89 в серии выпускали недол</w:t>
      </w:r>
      <w:r w:rsidRPr="00D03F3E">
        <w:rPr>
          <w:rFonts w:ascii="Times New Roman" w:hAnsi="Times New Roman"/>
          <w:color w:val="000000" w:themeColor="text1"/>
          <w:sz w:val="16"/>
          <w:szCs w:val="16"/>
        </w:rPr>
        <w:softHyphen/>
        <w:t>го, а надежность его оставляло много лучшего. Использовав некоторые узлы этого мотора, модифицировали М-88Б в М-88Ф мощностью 1250 л.с. Он до</w:t>
      </w:r>
      <w:r w:rsidRPr="00D03F3E">
        <w:rPr>
          <w:rFonts w:ascii="Times New Roman" w:hAnsi="Times New Roman"/>
          <w:color w:val="000000" w:themeColor="text1"/>
          <w:sz w:val="16"/>
          <w:szCs w:val="16"/>
        </w:rPr>
        <w:softHyphen/>
        <w:t>бавил самолету скорость (до 15 км/ч) и практический потолок (примерно на 1000 м). Но и М-88Ф был выпущен в очень небольшом количестве. Основ</w:t>
      </w:r>
      <w:r w:rsidRPr="00D03F3E">
        <w:rPr>
          <w:rFonts w:ascii="Times New Roman" w:hAnsi="Times New Roman"/>
          <w:color w:val="000000" w:themeColor="text1"/>
          <w:sz w:val="16"/>
          <w:szCs w:val="16"/>
        </w:rPr>
        <w:softHyphen/>
        <w:t>ным по-прежнему оставался М-88Б. Ему искали альтернативы — различ</w:t>
      </w:r>
      <w:r w:rsidRPr="00D03F3E">
        <w:rPr>
          <w:rFonts w:ascii="Times New Roman" w:hAnsi="Times New Roman"/>
          <w:color w:val="000000" w:themeColor="text1"/>
          <w:sz w:val="16"/>
          <w:szCs w:val="16"/>
        </w:rPr>
        <w:softHyphen/>
        <w:t>ные отечественные и импортные двига</w:t>
      </w:r>
      <w:r w:rsidRPr="00D03F3E">
        <w:rPr>
          <w:rFonts w:ascii="Times New Roman" w:hAnsi="Times New Roman"/>
          <w:color w:val="000000" w:themeColor="text1"/>
          <w:sz w:val="16"/>
          <w:szCs w:val="16"/>
        </w:rPr>
        <w:softHyphen/>
        <w:t>тели. Делались проработки по установ</w:t>
      </w:r>
      <w:r w:rsidRPr="00D03F3E">
        <w:rPr>
          <w:rFonts w:ascii="Times New Roman" w:hAnsi="Times New Roman"/>
          <w:color w:val="000000" w:themeColor="text1"/>
          <w:sz w:val="16"/>
          <w:szCs w:val="16"/>
        </w:rPr>
        <w:softHyphen/>
        <w:t>ке рядного У-образного М-105, опыт</w:t>
      </w:r>
      <w:r w:rsidRPr="00D03F3E">
        <w:rPr>
          <w:rFonts w:ascii="Times New Roman" w:hAnsi="Times New Roman"/>
          <w:color w:val="000000" w:themeColor="text1"/>
          <w:sz w:val="16"/>
          <w:szCs w:val="16"/>
        </w:rPr>
        <w:softHyphen/>
        <w:t>ных 18-цилиндровыхМ-90 и М-71, ди</w:t>
      </w:r>
      <w:r w:rsidRPr="00D03F3E">
        <w:rPr>
          <w:rFonts w:ascii="Times New Roman" w:hAnsi="Times New Roman"/>
          <w:color w:val="000000" w:themeColor="text1"/>
          <w:sz w:val="16"/>
          <w:szCs w:val="16"/>
        </w:rPr>
        <w:softHyphen/>
        <w:t>зеля М-ЗОБ (АЧ-ЗОБ). Уже в ходе вой</w:t>
      </w:r>
      <w:r w:rsidRPr="00D03F3E">
        <w:rPr>
          <w:rFonts w:ascii="Times New Roman" w:hAnsi="Times New Roman"/>
          <w:color w:val="000000" w:themeColor="text1"/>
          <w:sz w:val="16"/>
          <w:szCs w:val="16"/>
        </w:rPr>
        <w:softHyphen/>
        <w:t>ны оценивали возможность установки американских моторов К-2600, К-1820 и К-1830 (10734,78).</w:t>
      </w:r>
    </w:p>
    <w:p w14:paraId="46E0620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1D2E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марта 1943 НКАП N 174с о сборке самолетов Ил-4, пребывающих с заводов 39 и 126 (1709,120).</w:t>
      </w:r>
    </w:p>
    <w:p w14:paraId="5F876E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B5C5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марта 1943 г. приказом наркомата авиапромышленности предусматривалось внедрение на всех серийных заводах увеличенной стреловидности консолей Ил-4, фанерной их обшивки, дополнительных бензобаков, элеронов с полотняной обтяжкой и аэродинамической компенсацией, противопылевых фильтров на всасывающих патрубках и пламегасителей. Весь комплекс хотели освоить к маю 1943 г., выпустив на каждом предприятии эталонные самолеты. Завод №23 подготовил такую машину к середине июня, заводы №39 и 126 в июле. Но практически нововведения появлялись на серийных машинах не одновременно, а последовательно. Например, завод №126 ввел костыльное колесо 470 х 210 с удлиненной стойкой на 121 -и серии, а крыло “со стрелкой” - на 128-й. На последней тогда появились еще и элероны, обшитые полотном вместо дюралевого листа, и увеличенные по хорде, а также рули высоты с аэродинамической компенсацией. Поскольку “стрелка” сдвинула центр тяжести, то вынос шасси одновременно уменьшили на 120 мм. Окончательное внедрение всех этих усовершенствований пришлось на декабрь 1943 г. (7666).</w:t>
      </w:r>
    </w:p>
    <w:p w14:paraId="7D683F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5857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марта 1943 г. приказом № 174с в соответствии с пост. ГКО № 3028сс от 12.03.1943 г. кадры и оборудование завода № 381 (Завод № 381 НКАП, МАП /г. Ленинград ст. Ижора;  г. Нижний Тагил Свердловской обл.;  г. Москва Ленинградское ш., 31/33/) переведены в Москву на площадку завода № 81 НКАП (реально реэвакуация началась раньше - еще в 04.1942 г.). Планировалось передать их в состав завода № 81. Часть личного состава и оборудования по выпуску М-13 переданы заводу № 183 НКТП, часть оборудования попала на заводы № 1, № 18 и № 207 НКАП.</w:t>
      </w:r>
    </w:p>
    <w:p w14:paraId="0F2799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эвакуации завода № 381 из его состава был выделен бывший завод «Ленкранстрой» в самостоятельный завод № 496 НКАП.</w:t>
      </w:r>
    </w:p>
    <w:p w14:paraId="7D2C48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итоге объединенный завод, образованный на базе завода № 81, оборудовании и личном составе завода № 381, получил название завод № 381 НКАП.</w:t>
      </w:r>
    </w:p>
    <w:p w14:paraId="26ED4C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487с от 10.08.1943 г. в качестве филиала № 1 заводу № 381 НКАП передана мебельная фабрика Горместпрома (далее- это завод № 3 МАП). Кроме того, в 1943 г. заводу в качестве филиала передана еще одна мебельная фабрика, площадка у Центрального аэродрома для подготовки самолетов к испытаниям.</w:t>
      </w:r>
    </w:p>
    <w:p w14:paraId="78A245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1943 г. на заводе организован филиал ОКБ-21 С.А. Лавочкина.</w:t>
      </w:r>
    </w:p>
    <w:p w14:paraId="045177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29.12.1944 г. вышло постановление ГКО № 7231 о выпуске на заводе самолетов Ла-7 с тремя 20-мм пушками УБ.</w:t>
      </w:r>
    </w:p>
    <w:p w14:paraId="446EAD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территорию завода № 381 по приказу № 19с от 1.01.1944 г. переведено ОКБ-3 НКАП гл. конструктора И.П. Братухина. По приказу № 4с от 10.01.1946 г. ОКБ-3 НКАП перебазировано на площадь Филиала № 1 завода № 381 НКАП, который в 1948 г. преобразован в завод № 3 МАП.</w:t>
      </w:r>
    </w:p>
    <w:p w14:paraId="64F745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7D2AC1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6C60DC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1.12.1946 г. завод передан из 1ГУ в ЮГУ, затем с 1.11.1948 г. обратно, из ЮГУ в 1ГУ.</w:t>
      </w:r>
    </w:p>
    <w:p w14:paraId="5AE5DF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3FBEB4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1222C2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(05.1943-10.1946 г.)- П.Д. Грушин, (1947 г.)- В.И. Засульский.</w:t>
      </w:r>
    </w:p>
    <w:p w14:paraId="5A8A75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цехов: (1945 г.)- А.К. Кулагин.</w:t>
      </w:r>
    </w:p>
    <w:p w14:paraId="0CBADF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 самолеты:</w:t>
      </w:r>
      <w:r w:rsidRPr="00D03F3E">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782A88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Заводской номер: Ил-2 М 381355 (11982).</w:t>
      </w:r>
    </w:p>
    <w:p w14:paraId="12C891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925037" w14:textId="77777777" w:rsidR="00733EBA" w:rsidRPr="00D03F3E"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27 марта 1943 г. на Центральном аэродроме Москвы, где находился и завод №51, летчик НИИ ВВС В.А. Степанченок при посадке с сильным боковым ветром он зацепил крылом И-185 за землю. Показательна позиция представителя ОКБ, который при разборе происшествия утверждал, что виноват летчик, который недостаточно хорошо освоил самолет, "козыряя" записью в одном из испытательных актов о том, что И-185 нормально садится с боковым ветром. Это утверждение представителя ОКБ комиссия по расследованию летного происшествия приняла на веру, не учтя ни силы ветра, ни условий посадки. А ведь здесь явно проявилась особенность самолетов с высокой нагрузкой на крыло и малым плечом элеронов - недостаточная управляемость по крену на малых скоростях, когда подъемная сила (а она зависит от квадрата величины скорости) слишком мала.</w:t>
      </w:r>
    </w:p>
    <w:p w14:paraId="0F1C2D25" w14:textId="77777777" w:rsidR="00733EBA" w:rsidRPr="00D03F3E"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Впрочем, разбирательство было недолгим, случаю особого внимания не придали, поломку быстро устранили и полеты продолжились. Главной задачей теперь было определение расходов топлива, которые у М-71 были велики по сравнению с другими моторами, даже в удельном исчислении - в переводе на лошадиные силы мощности (17737).</w:t>
      </w:r>
    </w:p>
    <w:p w14:paraId="46FC8BC7" w14:textId="77777777" w:rsidR="00733EBA" w:rsidRPr="00D03F3E" w:rsidRDefault="00733EBA" w:rsidP="00D03F3E">
      <w:pPr>
        <w:spacing w:after="0" w:line="240" w:lineRule="auto"/>
        <w:jc w:val="both"/>
        <w:rPr>
          <w:rFonts w:ascii="Times New Roman" w:hAnsi="Times New Roman"/>
          <w:color w:val="000000" w:themeColor="text1"/>
          <w:sz w:val="16"/>
          <w:szCs w:val="16"/>
        </w:rPr>
      </w:pPr>
    </w:p>
    <w:p w14:paraId="618B38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марта 1943 закончились заводские испытания серийного самолета У2-ВС N 3882 с мотором М11-Д, производства завода 387, которые начались 12 марта (516).</w:t>
      </w:r>
    </w:p>
    <w:p w14:paraId="351651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320A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марта 1943, л 3 отд. К Бахчиванджи. Аэродром Кольцово (751).</w:t>
      </w:r>
    </w:p>
    <w:p w14:paraId="7EC398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C8D6B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марта 1943 г. на самолете БИ-1 с ЖРД впервые в СССР достигнута скорость около 800 км/час. Полет закончился катастрофой, летчик Г.Я.Бахчиванджи погиб (6395).</w:t>
      </w:r>
    </w:p>
    <w:p w14:paraId="23E2352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1EBB24"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27 марта 1943 году на самолете </w:t>
      </w:r>
      <w:hyperlink r:id="rId102" w:tgtFrame="_blank" w:history="1">
        <w:r w:rsidRPr="00D03F3E">
          <w:rPr>
            <w:rFonts w:ascii="Times New Roman" w:hAnsi="Times New Roman"/>
            <w:color w:val="000000" w:themeColor="text1"/>
            <w:sz w:val="16"/>
            <w:szCs w:val="16"/>
          </w:rPr>
          <w:t xml:space="preserve">«БИ-1» </w:t>
        </w:r>
      </w:hyperlink>
      <w:r w:rsidRPr="00D03F3E">
        <w:rPr>
          <w:rFonts w:ascii="Times New Roman" w:hAnsi="Times New Roman"/>
          <w:color w:val="000000" w:themeColor="text1"/>
          <w:sz w:val="16"/>
          <w:szCs w:val="16"/>
        </w:rPr>
        <w:t>с ЖРД впервые в СССР достигнута скорость ~ 800 км/ч. Полет закончился катастрофой, летчик Г.Я.Бахчиванджи погиб. Задание летчику на седьмой полет предусматривало доведение скорости горизонтального полета самолета до 750 - 800 км/ч по прибору на высоте 2000 м. По наблюдениям с земли, седьмой полет, вплоть до конца работы двигателя на 78-й секунде, протекал нормально. После окончания работы двигателя самолет, находившийся в горизонтальном полете, опустил нос, вошел в пикирование и под углом около 50° ударился о землю. Машина вместе с пилотом упала в 6 км южнее аэродрома. Причина затягивания самолета с прямым крылом в пикирование на скоростях выше 900 км/ч была выяснена уже позже. Причиной катастрофы, как позже выяснилось, послужила неготовность самолета к таким скоростям. 28 апреля 1943 г. летчику-испытателю Г.Я.Бахчиванджи присвоено звание Героя Советского Союза (15081).</w:t>
      </w:r>
    </w:p>
    <w:p w14:paraId="0DFE2BF9" w14:textId="77777777" w:rsidR="00B0220C" w:rsidRPr="00D03F3E" w:rsidRDefault="00B0220C" w:rsidP="00D03F3E">
      <w:pPr>
        <w:spacing w:after="0" w:line="240" w:lineRule="auto"/>
        <w:jc w:val="both"/>
        <w:rPr>
          <w:rFonts w:ascii="Times New Roman" w:hAnsi="Times New Roman"/>
          <w:color w:val="000000" w:themeColor="text1"/>
          <w:sz w:val="16"/>
          <w:szCs w:val="16"/>
        </w:rPr>
      </w:pPr>
    </w:p>
    <w:p w14:paraId="6AE9A567" w14:textId="77777777" w:rsidR="00D92347" w:rsidRPr="00D03F3E" w:rsidRDefault="00D9234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марта 1943 г. задание на седьмой по счёту, шестой в 1943 г. полёт БИ отличалось от предыдущих. Если ранее самолёт испытывался на максимальную высоту и скороподъемность, то теперь он должен был испытываться на максимальную скорость полёта. Для этого лётчик-испытатель должен был на постоянной высоте 2 тыс. метров дождаться выключения двигателя по окончанию топлива. С точки зрения наблюдателей с земли до момента выключения двигателя полёт проходил по плану, однако потом самолёт вошёл в пике и, не совершая попыток выйти из него, столкнулся с землёй. Лётчик-испытатель Григорий Бахчиванджи погиб. Эта катастрофа привела к отмене начала производства БИ и уничтожению уже заложенных 50 штук БИ-ВС. Всего на заводе №293 было собрано 6 опытных экземпляров самолета. Еще два готовых планера без двигателей из Нижнего Тагила с завода №381 было доставлено в Москву, так как туда в 1943 г. вернулся завод В.Ф. Болховитинова (№293). На одном из них был установлен двигатель РД-1 конструкции А.М.Исаева. Этот самолет – БИ-7 – выполнил два полета их включением. На втором – БИ-8 – были установлены два ПВРД ДМ-4 конструкции И.А. Меркулова. В такой конфигурации самолет испытывался в режиме планера. [Сафронова А.А. 65 лет со дня полета первого реактивного самолета в СССР. // Урал индустриальный. Бакунинские чтения. Т.1. Екатеринбург. 2007. С.275-280] (18250).</w:t>
      </w:r>
    </w:p>
    <w:p w14:paraId="207B583B" w14:textId="77777777" w:rsidR="00D92347" w:rsidRPr="00D03F3E" w:rsidRDefault="00D92347" w:rsidP="00D03F3E">
      <w:pPr>
        <w:spacing w:after="0" w:line="240" w:lineRule="auto"/>
        <w:jc w:val="both"/>
        <w:rPr>
          <w:rFonts w:ascii="Times New Roman" w:hAnsi="Times New Roman"/>
          <w:color w:val="000000" w:themeColor="text1"/>
          <w:sz w:val="16"/>
          <w:szCs w:val="16"/>
        </w:rPr>
      </w:pPr>
    </w:p>
    <w:p w14:paraId="36F493FE" w14:textId="77777777" w:rsidR="00D92347" w:rsidRPr="00D03F3E" w:rsidRDefault="00D92347" w:rsidP="00D03F3E">
      <w:pPr>
        <w:pStyle w:val="ae"/>
        <w:shd w:val="clear" w:color="auto" w:fill="FFFFFF"/>
        <w:spacing w:before="0" w:after="0"/>
        <w:jc w:val="both"/>
        <w:rPr>
          <w:color w:val="000000" w:themeColor="text1"/>
          <w:sz w:val="16"/>
          <w:szCs w:val="16"/>
        </w:rPr>
      </w:pPr>
      <w:r w:rsidRPr="00D03F3E">
        <w:rPr>
          <w:color w:val="000000" w:themeColor="text1"/>
          <w:sz w:val="16"/>
          <w:szCs w:val="16"/>
        </w:rPr>
        <w:t>27 марта 1943 на следующий, седьмой, полет БИ было дано задание на достижение наи большей скорости: 750...800 км/ч. При осуществлении задания) на 78-й секунде полета на высоте 200 м самолет вдруг опустил нос и вошел в пикирование под углом 45...50 градусов..</w:t>
      </w:r>
    </w:p>
    <w:p w14:paraId="5FDE58D4" w14:textId="77777777" w:rsidR="00D92347" w:rsidRPr="00D03F3E" w:rsidRDefault="00D92347" w:rsidP="00D03F3E">
      <w:pPr>
        <w:pStyle w:val="ae"/>
        <w:shd w:val="clear" w:color="auto" w:fill="FFFFFF"/>
        <w:spacing w:before="0" w:after="0"/>
        <w:jc w:val="both"/>
        <w:rPr>
          <w:color w:val="000000" w:themeColor="text1"/>
          <w:sz w:val="16"/>
          <w:szCs w:val="16"/>
        </w:rPr>
      </w:pPr>
      <w:r w:rsidRPr="00D03F3E">
        <w:rPr>
          <w:color w:val="000000" w:themeColor="text1"/>
          <w:sz w:val="16"/>
          <w:szCs w:val="16"/>
        </w:rPr>
        <w:t>Самолет врезался в землю, и Бахчиванджи погиб.</w:t>
      </w:r>
    </w:p>
    <w:p w14:paraId="7002A9E2" w14:textId="77777777" w:rsidR="00D92347" w:rsidRPr="00D03F3E" w:rsidRDefault="00D92347" w:rsidP="00D03F3E">
      <w:pPr>
        <w:pStyle w:val="ae"/>
        <w:shd w:val="clear" w:color="auto" w:fill="FFFFFF"/>
        <w:spacing w:before="0" w:after="0"/>
        <w:jc w:val="both"/>
        <w:rPr>
          <w:color w:val="000000" w:themeColor="text1"/>
          <w:sz w:val="16"/>
          <w:szCs w:val="16"/>
        </w:rPr>
      </w:pPr>
      <w:r w:rsidRPr="00D03F3E">
        <w:rPr>
          <w:color w:val="000000" w:themeColor="text1"/>
          <w:sz w:val="16"/>
          <w:szCs w:val="16"/>
        </w:rPr>
        <w:t>Григорий Яковлевич Бахчиванджи был удостоен звания» Героя Советского Союза только в 1973 г. — спустя 30 лет.</w:t>
      </w:r>
    </w:p>
    <w:p w14:paraId="313C4062" w14:textId="77777777" w:rsidR="00D92347" w:rsidRPr="00D03F3E" w:rsidRDefault="00D92347" w:rsidP="00D03F3E">
      <w:pPr>
        <w:pStyle w:val="ae"/>
        <w:shd w:val="clear" w:color="auto" w:fill="FFFFFF"/>
        <w:spacing w:before="0" w:after="0"/>
        <w:jc w:val="both"/>
        <w:rPr>
          <w:color w:val="000000" w:themeColor="text1"/>
          <w:sz w:val="16"/>
          <w:szCs w:val="16"/>
        </w:rPr>
      </w:pPr>
      <w:r w:rsidRPr="00D03F3E">
        <w:rPr>
          <w:color w:val="000000" w:themeColor="text1"/>
          <w:sz w:val="16"/>
          <w:szCs w:val="16"/>
        </w:rPr>
        <w:t>После продолжительного перерыва в летных испытаниях, связанного с расследованием причин катастрофы, на аэродром вышел следующий самолет — БИ № 4, вооруженный настоя щими пушками ШВАК с боекомплектом. Для охлаждения зат ворных механизмов пушек между их стволами был поставлен небольшой воздухозаборник. На этом самолете летал Б.Н. Кудрин, но отстрел орудий при этом не производился. Вообще на БИ не производилось никаких стрельб ни на земле, ни в воз духе. На этом первый этап летных испытаний самолетов БИ был завершен (19586).</w:t>
      </w:r>
    </w:p>
    <w:p w14:paraId="6F7EBE0D" w14:textId="77777777" w:rsidR="00D92347" w:rsidRPr="00D03F3E" w:rsidRDefault="00D92347" w:rsidP="00D03F3E">
      <w:pPr>
        <w:pStyle w:val="ae"/>
        <w:shd w:val="clear" w:color="auto" w:fill="FFFFFF"/>
        <w:spacing w:before="0" w:after="0"/>
        <w:jc w:val="both"/>
        <w:rPr>
          <w:color w:val="000000" w:themeColor="text1"/>
          <w:sz w:val="16"/>
          <w:szCs w:val="16"/>
        </w:rPr>
      </w:pPr>
    </w:p>
    <w:p w14:paraId="6C4DD9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и 27 марта 1943 состоялись полеты БИ-3 (третьего) и в баки заливали 500 кг горючего. Потом испытания Би-2 и Би-3 оформили как совместные гос. и заводские испытания БИ конструкции Болховитинова производства завода 293 с ЖРД Д-1-А-1100 конструкции НИИ-3. Задание: гор. скорость на 2000 м - 750-800 км/час. залили 497 кг. После выключения двигателя на 78 сек. Машина стала резко снижаться и Бахчиванджи погиб (2928,16).</w:t>
      </w:r>
    </w:p>
    <w:p w14:paraId="019944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E093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марта 1943 Г.Я.Бахчиванджи погиб на Би-1. Несмотря на это была построена войсковая серия в 8 машин (146,27).</w:t>
      </w:r>
    </w:p>
    <w:p w14:paraId="15930E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A0CAA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27 марта 1943 начались заводские испытания двигателя М-1. В июле — августе состоялись 70-часовые заводские стендовые испытания. В ноябре того же года два опытных мотора установили на бомбардировщик Пе-2. Первый его полет с двигателями М-1 состоялся 16 декабря 1943 г. Летные испытания М-1 велись до февраля 1944 г.</w:t>
      </w:r>
    </w:p>
    <w:p w14:paraId="448C17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Разработка проекта двигателя М-116П осуществлялась в конструктор</w:t>
      </w:r>
      <w:r w:rsidRPr="00D03F3E">
        <w:rPr>
          <w:rFonts w:ascii="Times New Roman" w:hAnsi="Times New Roman"/>
          <w:color w:val="000000" w:themeColor="text1"/>
          <w:sz w:val="16"/>
          <w:szCs w:val="16"/>
        </w:rPr>
        <w:softHyphen/>
        <w:t>ском бюро завода № 16 в Казани с 1942 г. Он представлял собой мо</w:t>
      </w:r>
      <w:r w:rsidRPr="00D03F3E">
        <w:rPr>
          <w:rFonts w:ascii="Times New Roman" w:hAnsi="Times New Roman"/>
          <w:color w:val="000000" w:themeColor="text1"/>
          <w:sz w:val="16"/>
          <w:szCs w:val="16"/>
        </w:rPr>
        <w:softHyphen/>
        <w:t>дернизацию серийного двигателя М-105П (впоследствии М-105ПФ). На нем вернулись к диаметру цилиндра 150 мм (как на М-103), ввели новые гильзы, четырехклапанный механизм газораспределения с улучшенной гидравликой, усиленные коленвал и редуктор, усовершенствовали охлажде</w:t>
      </w:r>
      <w:r w:rsidRPr="00D03F3E">
        <w:rPr>
          <w:rFonts w:ascii="Times New Roman" w:hAnsi="Times New Roman"/>
          <w:color w:val="000000" w:themeColor="text1"/>
          <w:sz w:val="16"/>
          <w:szCs w:val="16"/>
        </w:rPr>
        <w:softHyphen/>
        <w:t>ние верхней части блока, изменили схему смазки коренных подшипников, внесли еще ряд мелких изменений. По сравнению с М-105ПФ мотор фор</w:t>
      </w:r>
      <w:r w:rsidRPr="00D03F3E">
        <w:rPr>
          <w:rFonts w:ascii="Times New Roman" w:hAnsi="Times New Roman"/>
          <w:color w:val="000000" w:themeColor="text1"/>
          <w:sz w:val="16"/>
          <w:szCs w:val="16"/>
        </w:rPr>
        <w:softHyphen/>
        <w:t>сировали по оборотам. В серийное производство М-1 не запускался, поскольку сочли, что он менее унифицирован с М-105ПФ, чем М-107А (ВК-107А).</w:t>
      </w:r>
    </w:p>
    <w:p w14:paraId="4D7AF6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Характеристики:</w:t>
      </w:r>
    </w:p>
    <w:p w14:paraId="01575DA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12-цилиндровый, У-образный рядный, четырехтактный, жидкостно</w:t>
      </w:r>
      <w:r w:rsidRPr="00D03F3E">
        <w:rPr>
          <w:rFonts w:ascii="Times New Roman" w:hAnsi="Times New Roman"/>
          <w:color w:val="000000" w:themeColor="text1"/>
          <w:sz w:val="16"/>
          <w:szCs w:val="16"/>
        </w:rPr>
        <w:softHyphen/>
        <w:t>го охлаждения, редукторный, с одноступенчатым двухскоростным ПЦН;</w:t>
      </w:r>
    </w:p>
    <w:p w14:paraId="0FB1096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диаметр цилиндра/ход поршня 150/170 мм;</w:t>
      </w:r>
    </w:p>
    <w:p w14:paraId="15C30C5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объем 36,0 л;</w:t>
      </w:r>
    </w:p>
    <w:p w14:paraId="76BE1D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степень сжатия 6,6;</w:t>
      </w:r>
    </w:p>
    <w:p w14:paraId="767E5AD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мощность 1300/1500 л.с.:</w:t>
      </w:r>
    </w:p>
    <w:p w14:paraId="686F56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вес 660 кг.</w:t>
      </w:r>
    </w:p>
    <w:p w14:paraId="125269B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М-1 устанавливался на переделанном серийном самолете Пе-2. Его пред</w:t>
      </w:r>
      <w:r w:rsidRPr="00D03F3E">
        <w:rPr>
          <w:rFonts w:ascii="Times New Roman" w:hAnsi="Times New Roman"/>
          <w:color w:val="000000" w:themeColor="text1"/>
          <w:sz w:val="16"/>
          <w:szCs w:val="16"/>
        </w:rPr>
        <w:softHyphen/>
        <w:t>полагали также установить на одном из истребителей А.С. Яковлева (11852).</w:t>
      </w:r>
    </w:p>
    <w:p w14:paraId="7EAF339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5B80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марта 1943 г. приказом № 174с в соответствии с пост. ГКО № 3028сс от 12.03.1943 г. кадры и оборудование завода № 381 1ГУ НКАП из Нижнего Тагила переведены в Москву на площадку завода № 81 и подлежали передаче в его состав. В связи с этим единый завод № 81 должен был передаваться из 10ГУ в 1ГУ. По этому же приказу весь задел работ по иностранным самолетам вместе с КБ А.П. Голубкова были переведены на завод № 89 НКАП. Одновременно (тот же приказ) на площадку завода № 81 переведены кадры и оборудование по деревообработке с завода № 445 НКАП ( г. Алапаевск).</w:t>
      </w:r>
    </w:p>
    <w:p w14:paraId="2B6800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в итоге объединенный завод получил название завод № 381 НКАП. Директор (1942-43 г.)- Т.А. Филимончук.</w:t>
      </w:r>
    </w:p>
    <w:p w14:paraId="4FD7B2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директора (1942 г.-)- В.М. Курылев. Гл. инженер (1942 г.-)- П.М. Морозов (11982).</w:t>
      </w:r>
    </w:p>
    <w:p w14:paraId="20D715DD" w14:textId="77777777" w:rsidR="00B0220C" w:rsidRPr="00D03F3E" w:rsidRDefault="00B0220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6E71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марта 1943 г. по приказу № 174с заводу № 464 переданы часть личного состава, оборудования и материалы завода № 445 НКАП (10776).</w:t>
      </w:r>
    </w:p>
    <w:p w14:paraId="05F357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701B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27 марта 1943 г. приказом № 174с в соответствии с пост. ГКО № 3028сс от 12.03.1943 г. на заводе № 89 организовано переоборудование и перевооружение иностранных самолетов, для чего весь задел работ по иностранным самолетам (модернизация и перевооружение «Харрикейна» и «Бостон-3») вместе с КБ А.П. Голубкова, а также около 150 работников завода № 81 были переведены с завода № 81 </w:t>
      </w:r>
      <w:r w:rsidRPr="00D03F3E">
        <w:rPr>
          <w:rFonts w:ascii="Times New Roman" w:hAnsi="Times New Roman"/>
          <w:color w:val="000000" w:themeColor="text1"/>
          <w:sz w:val="16"/>
          <w:szCs w:val="16"/>
          <w:lang w:val="en-US"/>
        </w:rPr>
        <w:t>HKA</w:t>
      </w:r>
      <w:r w:rsidRPr="00D03F3E">
        <w:rPr>
          <w:rFonts w:ascii="Times New Roman" w:hAnsi="Times New Roman"/>
          <w:color w:val="000000" w:themeColor="text1"/>
          <w:sz w:val="16"/>
          <w:szCs w:val="16"/>
        </w:rPr>
        <w:t xml:space="preserve">П на завод </w:t>
      </w:r>
      <w:r w:rsidRPr="00D03F3E">
        <w:rPr>
          <w:rFonts w:ascii="Times New Roman" w:hAnsi="Times New Roman"/>
          <w:color w:val="000000" w:themeColor="text1"/>
          <w:sz w:val="16"/>
          <w:szCs w:val="16"/>
          <w:lang w:val="en-US"/>
        </w:rPr>
        <w:t>N</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vertAlign w:val="subscript"/>
        </w:rPr>
        <w:t>:</w:t>
      </w:r>
      <w:r w:rsidRPr="00D03F3E">
        <w:rPr>
          <w:rFonts w:ascii="Times New Roman" w:hAnsi="Times New Roman"/>
          <w:color w:val="000000" w:themeColor="text1"/>
          <w:sz w:val="16"/>
          <w:szCs w:val="16"/>
        </w:rPr>
        <w:t xml:space="preserve"> 89 НКАП. В годы ВОВ Голубков был начальником отдела иностранных самолетов 6ГУ НКАП, затем руководил ОКБ завода № 456.</w:t>
      </w:r>
    </w:p>
    <w:p w14:paraId="5EDE7C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07.1943 г. заводу поручен ремонт Ли-2. Выполнено переоборудование 10 машин в вариант ночного бомбардировщика ПС-84НБ. С 05.1944 г. заданы работы по производству полевых приборов снаряжения средств химвооружения. До 1944 г. проводились работы по планирующим авиабомбам.</w:t>
      </w:r>
    </w:p>
    <w:p w14:paraId="185F85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НКАП № 655с от 11.11.1943 г. на площадку завода № 89 с 1.11.1943 г. перебазирован опытный Завод № 482 НКАП. По приказу НКАП № 424с от 5.07.1944 г. завод № 89 передан из 6ГУ в 7ГУ со статусом опытного завода и с 1.07.1944 г. объединен с заводом № 482 НКАП под общим названием Завод № 482 НКАП. Мясищеву передана часть оборудования и личного состава завода № 89. Тем же приказом около 50% рабочих завода № 89 переведены на завод № 240 НКАП, а большая часть оборудования, корпус «Г» и часть личного состава переданы заводу № 134 НКАЛ. За заводом № 240 был закреплен также ангар завода № 89.</w:t>
      </w:r>
    </w:p>
    <w:p w14:paraId="2389B4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Д.Е. Кофман, (1941 г.)- С.П. Судов, (05.1942 г.)- Н.Н. Леонтьев, (05.1943 г.)- М.С. Лавренов, (07.1943- 05.1944 г.-)- С.С. Ржыщев.</w:t>
      </w:r>
    </w:p>
    <w:p w14:paraId="74ED41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(1941-43 г.-)- А.П. Голубков.</w:t>
      </w:r>
    </w:p>
    <w:p w14:paraId="4CE77E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 самолеты</w:t>
      </w:r>
      <w:r w:rsidRPr="00D03F3E">
        <w:rPr>
          <w:rFonts w:ascii="Times New Roman" w:hAnsi="Times New Roman"/>
          <w:color w:val="000000" w:themeColor="text1"/>
          <w:sz w:val="16"/>
          <w:szCs w:val="16"/>
        </w:rPr>
        <w:t>. ПС-9 (1934), ПС-89- 7 шт. (11982).</w:t>
      </w:r>
    </w:p>
    <w:p w14:paraId="67DC94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2733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марта 1943 г. по приказу № 174с на площадке эвакуированного завода № 18 был создан ремонтный завод № 18 при 6ГУ НКАП. Для формирования нового завода часть кадров завода № 18 возвращена из Куйбышева. Затем по приказам № 185с от 2.04.1943 г. и № 209с от 12.04.1943 г. сформирован ремонтно-сборочный завод № 64 НКАП. С 02.1944 г. завод передан из 6ГУ в ЮГУ для организации производства крыльев Ил-2. Имел наименование «п/я 71».</w:t>
      </w:r>
    </w:p>
    <w:p w14:paraId="3EF430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начала 1945 г. началась сборка Ил-4 из готовых комплектующих.</w:t>
      </w:r>
    </w:p>
    <w:p w14:paraId="38EC11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1945-48 г. проводилось восстановление и реконструкция завода с вводом в строй в 1949 г. Однако у» в 1946 г. началось производство агрегатов для Ил-10, а с 1947 г. строились и сами Ил-10. В 1946 г. заводу </w:t>
      </w:r>
      <w:r w:rsidRPr="00D03F3E">
        <w:rPr>
          <w:rFonts w:ascii="Times New Roman" w:hAnsi="Times New Roman"/>
          <w:color w:val="000000" w:themeColor="text1"/>
          <w:sz w:val="16"/>
          <w:szCs w:val="16"/>
          <w:vertAlign w:val="superscript"/>
        </w:rPr>
        <w:t>р</w:t>
      </w:r>
      <w:r w:rsidRPr="00D03F3E">
        <w:rPr>
          <w:rFonts w:ascii="Times New Roman" w:hAnsi="Times New Roman"/>
          <w:smallCaps/>
          <w:color w:val="000000" w:themeColor="text1"/>
          <w:sz w:val="16"/>
          <w:szCs w:val="16"/>
        </w:rPr>
        <w:t>нуч</w:t>
      </w:r>
      <w:r w:rsidRPr="00D03F3E">
        <w:rPr>
          <w:rFonts w:ascii="Times New Roman" w:hAnsi="Times New Roman"/>
          <w:color w:val="000000" w:themeColor="text1"/>
          <w:sz w:val="16"/>
          <w:szCs w:val="16"/>
        </w:rPr>
        <w:t>1*</w:t>
      </w:r>
      <w:r w:rsidRPr="00D03F3E">
        <w:rPr>
          <w:rFonts w:ascii="Times New Roman" w:hAnsi="Times New Roman"/>
          <w:smallCaps/>
          <w:color w:val="000000" w:themeColor="text1"/>
          <w:sz w:val="16"/>
          <w:szCs w:val="16"/>
        </w:rPr>
        <w:t xml:space="preserve">г </w:t>
      </w:r>
      <w:r w:rsidRPr="00D03F3E">
        <w:rPr>
          <w:rFonts w:ascii="Times New Roman" w:hAnsi="Times New Roman"/>
          <w:color w:val="000000" w:themeColor="text1"/>
          <w:sz w:val="16"/>
          <w:szCs w:val="16"/>
        </w:rPr>
        <w:t>2507 трофейных станков (в т.ч. 907 металлорежущих). Начато освоение выпуска сельскохозяйственных машин.</w:t>
      </w:r>
    </w:p>
    <w:p w14:paraId="53598E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Представителем ОКБ-240 на заводе был  Г.Е. Долгушев (1948 г.), затем (в 1950 г.) было организовано представительство во главе с зам. гл. конструктора Е.С. Фельснером. В том же году Фельснера сменил Д.А. Поликарпов.</w:t>
      </w:r>
    </w:p>
    <w:p w14:paraId="2DAE66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соответствии с пост. </w:t>
      </w:r>
      <w:r w:rsidRPr="00D03F3E">
        <w:rPr>
          <w:rFonts w:ascii="Times New Roman" w:hAnsi="Times New Roman"/>
          <w:color w:val="000000" w:themeColor="text1"/>
          <w:sz w:val="16"/>
          <w:szCs w:val="16"/>
          <w:lang w:val="en-US"/>
        </w:rPr>
        <w:t>CMCCGP</w:t>
      </w:r>
      <w:r w:rsidRPr="00D03F3E">
        <w:rPr>
          <w:rFonts w:ascii="Times New Roman" w:hAnsi="Times New Roman"/>
          <w:color w:val="000000" w:themeColor="text1"/>
          <w:sz w:val="16"/>
          <w:szCs w:val="16"/>
        </w:rPr>
        <w:t xml:space="preserve"> № 713-342 от 26.06.1957 г. передан в Воронежский СНХ РСФСР,</w:t>
      </w:r>
    </w:p>
    <w:p w14:paraId="16AC6B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ПСМ № 163-97сс от 2.02.1955 г. начато производство бомбардировщика Ту-16, первая машина выпущена в 05.1955 г. Построено 22 серии (1-11 по 5 машин, 12-22 по 10 машин).</w:t>
      </w:r>
    </w:p>
    <w:p w14:paraId="6F9297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1961 г. на заводе образован филиал ОКБ Туполева (начальник- А.И. Путилов). Работы по сопровождению серии Ту-128, разработка Ту-128УТ, внедрение Ту-144.</w:t>
      </w:r>
    </w:p>
    <w:p w14:paraId="65B7C2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Был построен корпус № 2 с пролетом 100 м для окончательной сборки Ту-144.</w:t>
      </w:r>
    </w:p>
    <w:p w14:paraId="55A6D6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время выпуска на заводе Ан-10 и Ан-12 организовано представительство ОКБ-473.</w:t>
      </w:r>
    </w:p>
    <w:p w14:paraId="7C8298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1975 г. на заводе создано представительство ОКБ Ильюшина (представитель (1975 г.-)- М.А. Салазкин, Б.М. Тупиков, (1986 г.)- С.Ф. Буяков).</w:t>
      </w:r>
    </w:p>
    <w:p w14:paraId="392F8A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Изготавливал комплектующие для ОК «Буран».</w:t>
      </w:r>
    </w:p>
    <w:p w14:paraId="6FD531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Указом президента РФ № 1532 от 21.07.1994 г. создана холдинговая компания «Ильюшин» в составе АООТ «АК им. С.В. Ильюшина» и ВАСО. 14.04.2000 г. создано ОАО «МАК «Ильюшин», в состав которого вошли ОАО «АК им. С.В. Ильюшина» и ОАО «ВАСО». По решению правительства № 22-р от 9.01.2004 г. вошло в перечень стратегических предприятий.</w:t>
      </w:r>
    </w:p>
    <w:p w14:paraId="60E906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2004 г. велась подготовка к выпуску сельскохозяйственного Ту-54, Ан-148, Ил-76МФ, Ил-112В. В 11.2005 г. подписано лицензионное соглашение с АНТК им. Антонова о производстве Ан-148. В 2007 г. велась подготовка к производству Ил-112.</w:t>
      </w:r>
    </w:p>
    <w:p w14:paraId="66A929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(1.04.2003 г.)- 10.570 чел.</w:t>
      </w:r>
    </w:p>
    <w:p w14:paraId="02B702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(02.1944 г.)- Сердюк, (1950 г.)- г-м В.Н. Смирнов. Гендиректор (1998-30.09.2005 г.)- В.А. Саликов; И.О. гендиректора (10.2005-02.2006 г.)- М.Н. Шушпанов; (16.02.2006-08 г.-)- М.Н. Шушпанов.</w:t>
      </w:r>
    </w:p>
    <w:p w14:paraId="41E9FF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директора (1996 г.)- В. Терентьев. Зам. гендиректора: по материально-финансовым вопросам (1992 г.)- Ю.Т. Киреев; по экономике (10.2004 г.)- Б.С. Гаврилов.</w:t>
      </w:r>
    </w:p>
    <w:p w14:paraId="48FD37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(ВОВ)- Н.Д. Востров, (1950 г.)- В.И. Демин, (1986-98 г.)- В. А. Саликов, (-2003-02.2006 г.)- М.Н. Шушпанов.</w:t>
      </w:r>
    </w:p>
    <w:p w14:paraId="3557C4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технолог (2004 г.)- В.В. Кефели. Гл. диспетчер (1972 г.-)- Ю.Т. Киреев.</w:t>
      </w:r>
    </w:p>
    <w:p w14:paraId="032426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Центра маркетинга и продаж (2005 г.)- В.А. Тулупов.</w:t>
      </w:r>
    </w:p>
    <w:p w14:paraId="1CEFC9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цехов: сборочного- Ю.Т. Киреев; сотовых конструкций- Ю.Т. Киреев.</w:t>
      </w:r>
    </w:p>
    <w:p w14:paraId="36244C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СКО (1950-е)- Вульман.</w:t>
      </w:r>
    </w:p>
    <w:p w14:paraId="29872D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СКО (1950-е)- Мачурин.</w:t>
      </w:r>
    </w:p>
    <w:p w14:paraId="41EE19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самолеты: Ил-4 (1945-), Ил-10 (1947-49), Ил-12 (1949-), Ил-28 (1949-54), Ту-16 (1955-57)- 165</w:t>
      </w:r>
      <w:r w:rsidRPr="00D03F3E">
        <w:rPr>
          <w:rFonts w:ascii="Times New Roman" w:hAnsi="Times New Roman"/>
          <w:color w:val="000000" w:themeColor="text1"/>
          <w:sz w:val="16"/>
          <w:szCs w:val="16"/>
          <w:vertAlign w:val="superscript"/>
        </w:rPr>
        <w:t>31</w:t>
      </w:r>
      <w:r w:rsidRPr="00D03F3E">
        <w:rPr>
          <w:rFonts w:ascii="Times New Roman" w:hAnsi="Times New Roman"/>
          <w:color w:val="000000" w:themeColor="text1"/>
          <w:sz w:val="16"/>
          <w:szCs w:val="16"/>
        </w:rPr>
        <w:t>; Ан-10 (1957-12.1959), Ан-10А (12.1959-61)- всего 104; Ан-12 (1960-65)- 258, Ту-128 (1962-), Ту-144 (1968), Ил-76, Ил-86 (1977-)-103, Су-24М (1980-е), Ил-96-300 (1986-2005-)- 14 (на 08.2005), Ил-96М, Ил-96Т (1995-2005- ), СМ-92 «Финист» (2004); крыло и мотогондолы для Ту-160; ремонт Ил-12 (-1950);</w:t>
      </w:r>
    </w:p>
    <w:p w14:paraId="6662D2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БПЛА: ДБР-1 «Ястреб» (1962-72)- 52, «Стриж», «Рейс»;</w:t>
      </w:r>
    </w:p>
    <w:p w14:paraId="782DBB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сельскохозяйственная техника: комбайн КСС-2,6, сеялка С-12А; катера («Воронеж», «Дельфин», «Кейс», «Максим», «Аргонавт») и моторные лодки; элементы интерьера пассажирских вагонов; весы крановые и платформенные; вибронасосы «Удалец», «Полив»; стиральные машины «Ивушка» (2004).</w:t>
      </w:r>
    </w:p>
    <w:p w14:paraId="0D8630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Заводской №: 2400901 (Ан-12): 2- год выпуска; 4- № завода; 0- не несет информации; 09- № серии; 01- </w:t>
      </w:r>
      <w:r w:rsidRPr="00D03F3E">
        <w:rPr>
          <w:rFonts w:ascii="Times New Roman" w:hAnsi="Times New Roman"/>
          <w:color w:val="000000" w:themeColor="text1"/>
          <w:sz w:val="16"/>
          <w:szCs w:val="16"/>
          <w:lang w:val="en-US"/>
        </w:rPr>
        <w:t>Ms</w:t>
      </w:r>
      <w:r w:rsidRPr="00D03F3E">
        <w:rPr>
          <w:rFonts w:ascii="Times New Roman" w:hAnsi="Times New Roman"/>
          <w:color w:val="000000" w:themeColor="text1"/>
          <w:sz w:val="16"/>
          <w:szCs w:val="16"/>
        </w:rPr>
        <w:t xml:space="preserve"> самолета в серии (11982).</w:t>
      </w:r>
    </w:p>
    <w:p w14:paraId="7007DE54" w14:textId="77777777" w:rsidR="00B0220C" w:rsidRPr="00D03F3E" w:rsidRDefault="00B0220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E934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марта 1943 решением МТУ ВМФ №111637 разрешалось использовать торпеды с деревянным стабилизатором при высоте полета самолета в пределах 10-55 м и минимальной глубине 12 м (12002).</w:t>
      </w:r>
    </w:p>
    <w:p w14:paraId="258C1E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8927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марта 1943 г. приказом № 174с в соответствии с пост. ГКО № 3028сс от 12.03.1943 г. завод № 445 (Завод № 445 НКСП, НКАП /г. Тушино Московской обл.;  г. Алапаевск Свердловской обл./) был реэвакуирован в Москву и выбыл из состава действующих. Заводу № 81 НКАП были переданы кадры и оборудование по деревообработке, остальной личный состав, оборудование и материалы переданы заводу № 464 НКАП.</w:t>
      </w:r>
    </w:p>
    <w:p w14:paraId="27BF44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(1941-05.1942 г.-)- П.П. Перовский.</w:t>
      </w:r>
    </w:p>
    <w:p w14:paraId="6FB5F0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Гл. конструктор (09.1941 г.-)- </w:t>
      </w:r>
      <w:r w:rsidRPr="00D03F3E">
        <w:rPr>
          <w:rFonts w:ascii="Times New Roman" w:hAnsi="Times New Roman"/>
          <w:color w:val="000000" w:themeColor="text1"/>
          <w:sz w:val="16"/>
          <w:szCs w:val="16"/>
          <w:lang w:val="en-US"/>
        </w:rPr>
        <w:t>O</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K</w:t>
      </w:r>
      <w:r w:rsidRPr="00D03F3E">
        <w:rPr>
          <w:rFonts w:ascii="Times New Roman" w:hAnsi="Times New Roman"/>
          <w:color w:val="000000" w:themeColor="text1"/>
          <w:sz w:val="16"/>
          <w:szCs w:val="16"/>
        </w:rPr>
        <w:t>. Антонов.</w:t>
      </w:r>
    </w:p>
    <w:p w14:paraId="31E598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(1942 г.)- В.И. Левков.</w:t>
      </w:r>
    </w:p>
    <w:p w14:paraId="5028FC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ЦКБ-1 гл. конструктора В.И. Левкова НКСП, НКАП</w:t>
      </w:r>
    </w:p>
    <w:p w14:paraId="4F6938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Профессор В.И. Левков начал работы по судам на воздушной подушке (СВП) в 1927 г. в Новочеркасском политехническом институте, затем руководил ОТБ при МАИ. ОТБ имело производственную базу на заводе № 84. В 1938 г. ОКБ базировалось на заводе № 84. Созданы катера: Л-1 (1934 г.); Л-5 (1937 г.), пнв как ТКЛ-1 (торпедный катер Левкова) в 1939 г. и стал первым в мире боевым СВП.</w:t>
      </w:r>
    </w:p>
    <w:p w14:paraId="12BA50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НКСП от 11.03.1939 г. Левков назначен начальником/ гл. конструктором самостоятельного ЦКБ-1 с производственной базой - заводом № 445 НКСП. Продолжены работы по созданию аппаратов на воздушной подушке и воздушных торпед. Созданы катера: Л-9 (1939 г.), Л-11, Л-13 (1941 г.).</w:t>
      </w:r>
    </w:p>
    <w:p w14:paraId="10B83E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1179с от 31.12.1941 г. ЦКБ-1 вместе с заводом эвакуировано в Алапаевск на площадку деревообрабатывающего комбината. Левков назначен гл. инженером завода. В 1942-43 г. Левков разработал проект торпедного катера на воздушной подушке, пр. 171. В 01.1944 г. проект был утвержден в НКСП, но дальше работы не пошли.</w:t>
      </w:r>
    </w:p>
    <w:p w14:paraId="074928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(11.03.1939-44 г.-)- В.И. Левков {-2.01.1954} (11982).</w:t>
      </w:r>
    </w:p>
    <w:p w14:paraId="1CA08C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2F7F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марта 1943 г. по приказу № 174с заводу № 464 переданы часть личного состава, оборудования и материалы завода № 445 НКАП.</w:t>
      </w:r>
    </w:p>
    <w:p w14:paraId="774D98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416с от 14.07.1943 г. завод № 464 для улучшения условий для ремонта самолета Ли-2 перебазирован на ст. Долгопрудная Московской обл. на площадку завода № 462 НКАП и объединен с ним под названием Завод № 464 НКАП в системе Г1ГУ. Одновременно тем же приказом в Тушино на освободившуюся площадку завода № 464 переведен Завод № 289 НКАП из Молотова и завод № 380 из Калининграда. С 07.1943 г. заводу задан ремонт Як-6.</w:t>
      </w:r>
    </w:p>
    <w:p w14:paraId="76EF8B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имел два филиала. Московский филиал завода- Красносельская мебельная фабрика Горместпрома. По приказу № 487с от 10.08.1943 г. она передана в качестве филиала № 1 заводу № 381 НКАП. Другой филиал (возможно, это Мебельная фабрика Управления делами СНК СССР) по приказу № 743с от 11.12.1943 г. также передан заводу № 3 81 НКАП в качестве филиала № 2.</w:t>
      </w:r>
    </w:p>
    <w:p w14:paraId="5ED2B5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1944 г. выпущена экспериментальная партия высокоточных планирующих бомб.</w:t>
      </w:r>
      <w:r w:rsidRPr="00D03F3E">
        <w:rPr>
          <w:rFonts w:ascii="Times New Roman" w:hAnsi="Times New Roman"/>
          <w:color w:val="000000" w:themeColor="text1"/>
          <w:sz w:val="16"/>
          <w:szCs w:val="16"/>
          <w:vertAlign w:val="superscript"/>
        </w:rPr>
        <w:t>104</w:t>
      </w:r>
    </w:p>
    <w:p w14:paraId="54821A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404с от20.10.1945гзаводс 1.10.1945 г. передан из 11ГУв 17ГУ для работ по радиоаппаратуре и электротехническим изделиям. Передан из 17ГУ в 11ГУ с 1.01.1946 г. Передан как опытный завод из 11ГУ в 7ГУ с 1.06.1946 г. Передан из 7ГУ в ИГУ с 1.07.1948 г. как серийный завод. Передан из 11ГУ в 1ГУ с 1.03.1951 г. Передан из 1ГУ в 6ГУ с 1.10.1951 г. С 07.1953 г. переведен в 9ГУ МОП. С 08.1953 г. - в 6ГУ МАП. По приказу № 268с от 19.04.1955 г. передан из 6ГУ МАП в МОП с 1.04.1955 г. В соответствии с пост. СМ СССР № 713-342 от 26.06.1957 г. передан в ведение СНХ РСФСР.</w:t>
      </w:r>
    </w:p>
    <w:p w14:paraId="1E4422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419с от 2.07.1946 г. завод определен в качестве производственной базы А.С. Яковлева. Началось освоение производства планера Як-14.</w:t>
      </w:r>
    </w:p>
    <w:p w14:paraId="36F8C3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06.1951 г. началось освоение ЗУР В-300 для системы С-25 ПВО Москвы, с 1957 г.- освоение В-750. С 1958 г.- подготовка к производству противоракеты В-1000. По решению ВПК от 4.04.1963 г. заводу поручен выпуск противоракет А-350 системы А-35 (но изготовлено лишь несколько опытных).</w:t>
      </w:r>
    </w:p>
    <w:p w14:paraId="005FD8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03.1958 г. при заводе создано ОКБ.</w:t>
      </w:r>
    </w:p>
    <w:p w14:paraId="77F1A2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01.1964 г. началось освоение производства Ан-2М.</w:t>
      </w:r>
    </w:p>
    <w:p w14:paraId="0BED3E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1953  г. назывался Долгопруденский машиностроительный завод. В 1991 г. переименован в ДНПП.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г. вошло в перечень стратегических предприятий.</w:t>
      </w:r>
    </w:p>
    <w:p w14:paraId="277B99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(-02-07.1943 г.-)- П.П. Перовский, (12.1943 г.)- М.И. Шелухин, (-02-11.1944 г.-)- А.В. Агурьев, (-02- 05.1945 г.-)- И.М. Шпаков, (-03.1946-49 г.-)- Борисов, (1959 г.)- И.В. Дорошенко. Гендиректор (1990-е)-  Г.М. Мордвинов, (1999 г.)- В.П. Эктов,</w:t>
      </w:r>
      <w:r w:rsidRPr="00D03F3E">
        <w:rPr>
          <w:rFonts w:ascii="Times New Roman" w:hAnsi="Times New Roman"/>
          <w:color w:val="000000" w:themeColor="text1"/>
          <w:sz w:val="16"/>
          <w:szCs w:val="16"/>
          <w:vertAlign w:val="superscript"/>
        </w:rPr>
        <w:t>58</w:t>
      </w:r>
      <w:r w:rsidRPr="00D03F3E">
        <w:rPr>
          <w:rFonts w:ascii="Times New Roman" w:hAnsi="Times New Roman"/>
          <w:color w:val="000000" w:themeColor="text1"/>
          <w:sz w:val="16"/>
          <w:szCs w:val="16"/>
        </w:rPr>
        <w:t xml:space="preserve"> (1999-2006 г.-)-  Г.П. Ежов.</w:t>
      </w:r>
    </w:p>
    <w:p w14:paraId="4BCD6C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гендиректора: (2004 г.)- В.Г1. Эктов, (2009 г.)- В. Аверчук; по финансово-экономическим вопросам (- 1999 г.)-  Г.П. Ежов; по режиму и охране-  Г.П. Ежов.</w:t>
      </w:r>
    </w:p>
    <w:p w14:paraId="22B8C1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Гл. конструктор (07.1941 г.-)- </w:t>
      </w:r>
      <w:r w:rsidRPr="00D03F3E">
        <w:rPr>
          <w:rFonts w:ascii="Times New Roman" w:hAnsi="Times New Roman"/>
          <w:color w:val="000000" w:themeColor="text1"/>
          <w:sz w:val="16"/>
          <w:szCs w:val="16"/>
          <w:lang w:val="en-US"/>
        </w:rPr>
        <w:t>O</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K</w:t>
      </w:r>
      <w:r w:rsidRPr="00D03F3E">
        <w:rPr>
          <w:rFonts w:ascii="Times New Roman" w:hAnsi="Times New Roman"/>
          <w:color w:val="000000" w:themeColor="text1"/>
          <w:sz w:val="16"/>
          <w:szCs w:val="16"/>
        </w:rPr>
        <w:t>. Антонов, (07.1946-47 г.)- А.С. Яковлев. Ген. конструктор (-1999-2004 г.-)- В.П. Эктов.</w:t>
      </w:r>
      <w:r w:rsidRPr="00D03F3E">
        <w:rPr>
          <w:rFonts w:ascii="Times New Roman" w:hAnsi="Times New Roman"/>
          <w:color w:val="000000" w:themeColor="text1"/>
          <w:sz w:val="16"/>
          <w:szCs w:val="16"/>
          <w:vertAlign w:val="superscript"/>
        </w:rPr>
        <w:t>69</w:t>
      </w:r>
    </w:p>
    <w:p w14:paraId="24ED54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(2004 г.)- А.П. Коробов.</w:t>
      </w:r>
    </w:p>
    <w:p w14:paraId="3FD012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цехов: (2004 г.)- В.В. Кононов.</w:t>
      </w:r>
    </w:p>
    <w:p w14:paraId="2C5590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Ведущие конструкторы: (2004 г.)- А.П. Булашевич, (2004 г.)- В.В. Соков.</w:t>
      </w:r>
    </w:p>
    <w:p w14:paraId="698DB8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w:t>
      </w:r>
      <w:r w:rsidRPr="00D03F3E">
        <w:rPr>
          <w:rFonts w:ascii="Times New Roman" w:hAnsi="Times New Roman"/>
          <w:color w:val="000000" w:themeColor="text1"/>
          <w:sz w:val="16"/>
          <w:szCs w:val="16"/>
        </w:rPr>
        <w:t xml:space="preserve"> планер А-7 (1941-42);</w:t>
      </w:r>
      <w:r w:rsidRPr="00D03F3E">
        <w:rPr>
          <w:rFonts w:ascii="Times New Roman" w:hAnsi="Times New Roman"/>
          <w:iCs/>
          <w:color w:val="000000" w:themeColor="text1"/>
          <w:sz w:val="16"/>
          <w:szCs w:val="16"/>
        </w:rPr>
        <w:t xml:space="preserve"> самолеты:</w:t>
      </w:r>
      <w:r w:rsidRPr="00D03F3E">
        <w:rPr>
          <w:rFonts w:ascii="Times New Roman" w:hAnsi="Times New Roman"/>
          <w:color w:val="000000" w:themeColor="text1"/>
          <w:sz w:val="16"/>
          <w:szCs w:val="16"/>
        </w:rPr>
        <w:t xml:space="preserve"> Як-6 (1942-43)- 50, У-2 (1943-45)- 1364, Як-14, Як-10 (1946)- 2, Як-12 (1948-51), Як-15УТ, Як-16, Ан-2М (1966-71)- 506;</w:t>
      </w:r>
      <w:r w:rsidRPr="00D03F3E">
        <w:rPr>
          <w:rFonts w:ascii="Times New Roman" w:hAnsi="Times New Roman"/>
          <w:iCs/>
          <w:color w:val="000000" w:themeColor="text1"/>
          <w:sz w:val="16"/>
          <w:szCs w:val="16"/>
        </w:rPr>
        <w:t xml:space="preserve"> ЗУР:</w:t>
      </w:r>
      <w:r w:rsidRPr="00D03F3E">
        <w:rPr>
          <w:rFonts w:ascii="Times New Roman" w:hAnsi="Times New Roman"/>
          <w:color w:val="000000" w:themeColor="text1"/>
          <w:sz w:val="16"/>
          <w:szCs w:val="16"/>
        </w:rPr>
        <w:t xml:space="preserve"> В-300 («205», 1952-54), «207А» (1954-57), В-750 (1957-58), В-750В (1959-60), В-755 (1961-), 13Д (1960), ЗМ9 для ЗРК «Куб» (1967-), ЗМ9М1 для «Куб-М1» (1972- ), ЗМ9МЗ для «Куб-МЗ» (1975-), 9М38 для ЗРК «Бук» (1977-), 9М38М1 для «Бук-М1» и «Штиль» (1982-2003-), 9М317 для ЗРК «Бук-М1-2» (1994-2003-);</w:t>
      </w:r>
      <w:r w:rsidRPr="00D03F3E">
        <w:rPr>
          <w:rFonts w:ascii="Times New Roman" w:hAnsi="Times New Roman"/>
          <w:iCs/>
          <w:color w:val="000000" w:themeColor="text1"/>
          <w:sz w:val="16"/>
          <w:szCs w:val="16"/>
        </w:rPr>
        <w:t xml:space="preserve"> УР:</w:t>
      </w:r>
      <w:r w:rsidRPr="00D03F3E">
        <w:rPr>
          <w:rFonts w:ascii="Times New Roman" w:hAnsi="Times New Roman"/>
          <w:color w:val="000000" w:themeColor="text1"/>
          <w:sz w:val="16"/>
          <w:szCs w:val="16"/>
        </w:rPr>
        <w:t xml:space="preserve"> Р-33 (1981-);</w:t>
      </w:r>
      <w:r w:rsidRPr="00D03F3E">
        <w:rPr>
          <w:rFonts w:ascii="Times New Roman" w:hAnsi="Times New Roman"/>
          <w:iCs/>
          <w:color w:val="000000" w:themeColor="text1"/>
          <w:sz w:val="16"/>
          <w:szCs w:val="16"/>
        </w:rPr>
        <w:t xml:space="preserve"> противоракеты:</w:t>
      </w:r>
      <w:r w:rsidRPr="00D03F3E">
        <w:rPr>
          <w:rFonts w:ascii="Times New Roman" w:hAnsi="Times New Roman"/>
          <w:color w:val="000000" w:themeColor="text1"/>
          <w:sz w:val="16"/>
          <w:szCs w:val="16"/>
        </w:rPr>
        <w:t xml:space="preserve"> В-1000 (1959-62) -100, А-350Ж (1963), В-825 (5Я27, 1969-73)- 20; стрелковые установки ГП-9, СППУ-22, УПК-23 (1980-е); пусковая установка АПУ-60-</w:t>
      </w:r>
      <w:r w:rsidRPr="00D03F3E">
        <w:rPr>
          <w:rFonts w:ascii="Times New Roman" w:hAnsi="Times New Roman"/>
          <w:color w:val="000000" w:themeColor="text1"/>
          <w:sz w:val="16"/>
          <w:szCs w:val="16"/>
          <w:lang w:val="en-US"/>
        </w:rPr>
        <w:t>II</w:t>
      </w:r>
      <w:r w:rsidRPr="00D03F3E">
        <w:rPr>
          <w:rFonts w:ascii="Times New Roman" w:hAnsi="Times New Roman"/>
          <w:color w:val="000000" w:themeColor="text1"/>
          <w:sz w:val="16"/>
          <w:szCs w:val="16"/>
        </w:rPr>
        <w:t xml:space="preserve"> для Р-60; пороховые двигатели: ПРД-18М и ПРД-58 для В-750, ПРД-290 для В-755, ПРД-45 для В-625; корпуса РДТТ 5С47 для А-350 (1960-е); корректируемая авиабомба КАБ-500 (2003); программные блоки ракет- мишеней ЗМ20МЗ, запчасти для ракет ЗМ9МЗ и торпед (2003); передвижная контрольно-испытательная станция (КИПС) 5К45; система стартовой автоматики и обмена информацией стартовых комплексов; радиоприемники «Маршалл» (1945-);</w:t>
      </w:r>
      <w:r w:rsidRPr="00D03F3E">
        <w:rPr>
          <w:rFonts w:ascii="Times New Roman" w:hAnsi="Times New Roman"/>
          <w:color w:val="000000" w:themeColor="text1"/>
          <w:sz w:val="16"/>
          <w:szCs w:val="16"/>
          <w:vertAlign w:val="superscript"/>
        </w:rPr>
        <w:t>101</w:t>
      </w:r>
      <w:r w:rsidRPr="00D03F3E">
        <w:rPr>
          <w:rFonts w:ascii="Times New Roman" w:hAnsi="Times New Roman"/>
          <w:color w:val="000000" w:themeColor="text1"/>
          <w:sz w:val="16"/>
          <w:szCs w:val="16"/>
        </w:rPr>
        <w:t xml:space="preserve"> пассажирские кресла для ж/д вагонов (2009).</w:t>
      </w:r>
    </w:p>
    <w:p w14:paraId="7CFB7B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Ремонт:</w:t>
      </w:r>
      <w:r w:rsidRPr="00D03F3E">
        <w:rPr>
          <w:rFonts w:ascii="Times New Roman" w:hAnsi="Times New Roman"/>
          <w:color w:val="000000" w:themeColor="text1"/>
          <w:sz w:val="16"/>
          <w:szCs w:val="16"/>
        </w:rPr>
        <w:t xml:space="preserve"> Як-6 (1943-).</w:t>
      </w:r>
    </w:p>
    <w:p w14:paraId="56BB6B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Заводской №:</w:t>
      </w:r>
      <w:r w:rsidRPr="00D03F3E">
        <w:rPr>
          <w:rFonts w:ascii="Times New Roman" w:hAnsi="Times New Roman"/>
          <w:color w:val="000000" w:themeColor="text1"/>
          <w:sz w:val="16"/>
          <w:szCs w:val="16"/>
        </w:rPr>
        <w:t xml:space="preserve"> Ан-2М</w:t>
      </w:r>
      <w:r w:rsidRPr="00D03F3E">
        <w:rPr>
          <w:rFonts w:ascii="Times New Roman" w:hAnsi="Times New Roman"/>
          <w:iCs/>
          <w:color w:val="000000" w:themeColor="text1"/>
          <w:sz w:val="16"/>
          <w:szCs w:val="16"/>
        </w:rPr>
        <w:t xml:space="preserve"> № 600810:</w:t>
      </w:r>
      <w:r w:rsidRPr="00D03F3E">
        <w:rPr>
          <w:rFonts w:ascii="Times New Roman" w:hAnsi="Times New Roman"/>
          <w:color w:val="000000" w:themeColor="text1"/>
          <w:sz w:val="16"/>
          <w:szCs w:val="16"/>
        </w:rPr>
        <w:t xml:space="preserve"> 6- год выпуска, 008- серия, 10- № самолета в серии.</w:t>
      </w:r>
    </w:p>
    <w:p w14:paraId="6F218C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xml:space="preserve">ОКБ завода № 464 гл. конструктора </w:t>
      </w:r>
      <w:r w:rsidRPr="00D03F3E">
        <w:rPr>
          <w:rFonts w:ascii="Times New Roman" w:hAnsi="Times New Roman"/>
          <w:color w:val="000000" w:themeColor="text1"/>
          <w:sz w:val="16"/>
          <w:szCs w:val="16"/>
          <w:lang w:val="en-US"/>
        </w:rPr>
        <w:t>O</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K</w:t>
      </w:r>
      <w:r w:rsidRPr="00D03F3E">
        <w:rPr>
          <w:rFonts w:ascii="Times New Roman" w:hAnsi="Times New Roman"/>
          <w:color w:val="000000" w:themeColor="text1"/>
          <w:sz w:val="16"/>
          <w:szCs w:val="16"/>
        </w:rPr>
        <w:t>. Антонова</w:t>
      </w:r>
    </w:p>
    <w:p w14:paraId="7518E0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 БП (ВПБ). ОКБ привлекалось к работам по тематике группы Д.А. Михайлова.</w:t>
      </w:r>
    </w:p>
    <w:p w14:paraId="56685C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09.1942 г. работы по планерам приостановлены. Антонов в 1943-46 г. работал в ОКБ Яковлева.</w:t>
      </w:r>
    </w:p>
    <w:p w14:paraId="7CA1F2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«ПМ» при заводе № 464 НКАП</w:t>
      </w:r>
    </w:p>
    <w:p w14:paraId="6BDAC3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428A11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45CBC1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 завода № 464</w:t>
      </w:r>
    </w:p>
    <w:p w14:paraId="34D457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Создано 10.03.1958 г. для разработки и внедрения в серию ЗУР для систем ПВО и ПРО.</w:t>
      </w:r>
    </w:p>
    <w:p w14:paraId="512E0C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Спроектирован и испытан ряд экспериментальных ракет для проведения НИР по заказу ЦАГИ, ЛИИ, ЦИАМ. С 09.1959 г.- разработка 2Я2ТА, по решению ВПК от 21.12.1959 г. создавалась С1А, по решению ВПК от 23.05.1961 г.-Я2ТА, в 1963 г. создана 1Я2ТА.</w:t>
      </w:r>
    </w:p>
    <w:p w14:paraId="6EB51B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1958-60 г.- разработка ракеты для системы ПРО «Сатурн». В 1960 г. по инициативе П.Д. Грушина и директора завода И.В. Дорошенко работы были прекращены.</w:t>
      </w:r>
    </w:p>
    <w:p w14:paraId="34FD41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1970 г. принимало участие в разработке ЗУР и стартовой автоматики для ЗРК «Бук». В 1994-97 г. совместно с НИИП им. Тихомирова и Ульяновским механическим заводом разработан ЗРК «Бук-М1-2» и ракета 9МЗ17.</w:t>
      </w:r>
    </w:p>
    <w:p w14:paraId="72B422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(2005 г.): разработка ракет 9МЗ17М, 9МЗ17А, 9МЗ17МА.</w:t>
      </w:r>
    </w:p>
    <w:p w14:paraId="0393BF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(1958-61 г.)- Л. Г. Головин (снят).</w:t>
      </w:r>
    </w:p>
    <w:p w14:paraId="5634FC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(-1961 г.)- Л. Г. Головин, (1961 г.-)- М.А. Любомудров.</w:t>
      </w:r>
    </w:p>
    <w:p w14:paraId="49CE15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конструкторы: В.П. Эктов (9М317).</w:t>
      </w:r>
    </w:p>
    <w:p w14:paraId="021A85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Создано: ЗУР:</w:t>
      </w:r>
      <w:r w:rsidRPr="00D03F3E">
        <w:rPr>
          <w:rFonts w:ascii="Times New Roman" w:hAnsi="Times New Roman"/>
          <w:color w:val="000000" w:themeColor="text1"/>
          <w:sz w:val="16"/>
          <w:szCs w:val="16"/>
        </w:rPr>
        <w:t xml:space="preserve"> 9М38М1, 9М317; исследовательские ракеты Я2ТА, 1Я2ТА, 2Я2ТА, С1А на базе В-1000; передвижная контрольно-испытательная станция (КИПС) 5К45 для войск ПВО; система стартовой автоматики и обмена информацией стартовых комплексов сухопутных и морских ракет.</w:t>
      </w:r>
    </w:p>
    <w:p w14:paraId="4E7778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ФГУП «Воскресенский государственный казенный агрегатный завод» /ст. Фаустово Московской обл. тел. 556-07-47/</w:t>
      </w:r>
    </w:p>
    <w:p w14:paraId="585263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Входил в ОАО «ДНПП» (2002 г.). По Указу Президента РФ № 1009 от 4.08.2004 г. вошло в перечень стратегических оборонных предприятий.</w:t>
      </w:r>
    </w:p>
    <w:p w14:paraId="6BBB62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Кнмовский завод металлоизделий /г. Кимовск Тульской обл./</w:t>
      </w:r>
    </w:p>
    <w:p w14:paraId="0ECEB3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Входил в ОАО «ДНПП» (2002 г.) (11982).</w:t>
      </w:r>
    </w:p>
    <w:p w14:paraId="2ACFD9AD" w14:textId="77777777" w:rsidR="00B0220C" w:rsidRPr="00D03F3E" w:rsidRDefault="00B0220C"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DE95E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302A2A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AFE07B"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27 марта</w:t>
      </w:r>
      <w:r w:rsidRPr="00D03F3E">
        <w:rPr>
          <w:rFonts w:ascii="Times New Roman" w:hAnsi="Times New Roman"/>
          <w:color w:val="000000" w:themeColor="text1"/>
          <w:sz w:val="16"/>
          <w:szCs w:val="16"/>
        </w:rPr>
        <w:t xml:space="preserve"> в 1943 году утреннее сообщение Совинформбюро:</w:t>
      </w:r>
    </w:p>
    <w:p w14:paraId="6243BD6D"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27 марта наши войска вели бои на прежних направлениях.</w:t>
      </w:r>
    </w:p>
    <w:p w14:paraId="5BC6EA45"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укрепляли занятые рубежи и вели разведку. На одном участке батальон немецкой пехоты при поддержке трёх танков пытался атаковать наши позиций. Огнём бойцов Н-ской части противник был отброшен. На поле боя осталось до 100 вражеских трупов и подбитый немецкий танк.</w:t>
      </w:r>
    </w:p>
    <w:p w14:paraId="79163394"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подразделения Н-ской части атаковали немцев и ворвались в их окопы. В рукопашной схватке наши бойцы истребили до роты гитлеровцев и овладели позицией противника. Захвачены 6 пулемётов, 2 противотанковых орудия, много винтовок, большие запасы патронов и радиостанция. Взяты пленные.</w:t>
      </w:r>
    </w:p>
    <w:p w14:paraId="63C59ECA"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Чугуева наши войска вели оборонительные бои. Многократные атаки, предпринятые немцами, отбиты советскими подразделениями. Огнём нашей артиллерии уничтожено 6 немецких танков. Кроме того, два танка противника подорвались на минном поле.</w:t>
      </w:r>
    </w:p>
    <w:p w14:paraId="2F69861F"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озера Ильмень бойцы Н-ской части вели бои за овладение опорным пунктом противника. Два раза эти выгодные позиции переходила из рук в руки. В результате боя наши подразделения уничтожили 120 гитлеровцев, полностью очистили отпротивника опорный пункт и закрепились в нём. Захвачены различные трофеи.</w:t>
      </w:r>
    </w:p>
    <w:p w14:paraId="7E4B2BD3"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подразделения вели наступательные операции и овладели двумя населёнными пунктами. На улицах этих населённых пунктов подсчитано до 200 вражеских трупов. Захвачено 17 автомашин и повозок с различным военнымимуществом.</w:t>
      </w:r>
    </w:p>
    <w:p w14:paraId="24DD3251"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одной из районов Житомирской области, втечение нескольких дней истребил 80 немецко-фашистских оккупантов. Около одного населённого пункта партизаны напали на жандармов, конвоировавших около 300 подростков. Советские патриоты истребили 36 гитлеровцев и освободили советских подростков, которых немцы хотели угнать на каторгу в Германию.</w:t>
      </w:r>
    </w:p>
    <w:p w14:paraId="54E02038"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публикуются выдержки из дневника фельдфебеля 290 немецкой пехотной дивизии Шуберта: «...Стоим в Двинске. В 50 километрах впереди нас поезд наскочилна мину, и там исправляют путь...</w:t>
      </w:r>
    </w:p>
    <w:p w14:paraId="3540F988"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Вся местность кишит партизанами. Везде наталкиваемся на следы взрывов и крушений. Расстояние в 100 километров приходится ехать 4 дня. Партизаны здесь действуют группами. Каждый пост службы безопасности огорожен колючей проволокой.</w:t>
      </w:r>
    </w:p>
    <w:p w14:paraId="18B1B38B"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Сегодня, пока мы стояли, со станции вышли два поезда. Первый эшелон партизаны, пропустили, а поезд с боеприпасами взорвали. Ввиду недостатка в людях ничего нельзя предпринять против партизан. Железнодорожный транспорт очень страдает от их действий...</w:t>
      </w:r>
    </w:p>
    <w:p w14:paraId="7441ACDE"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Наконец мы тронулись. В час дня проезжаем место, где партизаны взорвали ещё один поезд с боеприпасами. Обломки вагонов загромождают всю местность» (15081).</w:t>
      </w:r>
    </w:p>
    <w:p w14:paraId="1691A488" w14:textId="77777777" w:rsidR="00B0220C" w:rsidRPr="00D03F3E" w:rsidRDefault="00B0220C" w:rsidP="00D03F3E">
      <w:pPr>
        <w:spacing w:after="0" w:line="240" w:lineRule="auto"/>
        <w:jc w:val="both"/>
        <w:rPr>
          <w:rFonts w:ascii="Times New Roman" w:hAnsi="Times New Roman"/>
          <w:color w:val="000000" w:themeColor="text1"/>
          <w:sz w:val="16"/>
          <w:szCs w:val="16"/>
        </w:rPr>
      </w:pPr>
    </w:p>
    <w:p w14:paraId="6C61ADD3"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27 марта</w:t>
      </w:r>
      <w:r w:rsidRPr="00D03F3E">
        <w:rPr>
          <w:rFonts w:ascii="Times New Roman" w:hAnsi="Times New Roman"/>
          <w:color w:val="000000" w:themeColor="text1"/>
          <w:sz w:val="16"/>
          <w:szCs w:val="16"/>
        </w:rPr>
        <w:t xml:space="preserve"> в 1943 году вечернее сообщение Совинформбюро:</w:t>
      </w:r>
    </w:p>
    <w:p w14:paraId="7A566F3C"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27 марта на фронтах существенных изменений не произошло.</w:t>
      </w:r>
    </w:p>
    <w:p w14:paraId="60F64D1A"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марта частями нашей авиации на различных участках фронта уничтожено или повреждено не менее 50 немецких автомашин, с войсками и грузами, взорвано 2 склада боеприпасов, подавлен огонь 7 батарей полевой и зенитной артиллерии противника.</w:t>
      </w:r>
    </w:p>
    <w:p w14:paraId="63F8C578"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на отдельных участках вели бои за улучшение своих позиций. Бойцы Н-ской части, преодолев минные поля и проволочныезаграждения противника, овладели двумя населёнными пунктами. В бою за эти пункты немцы потеряли убитыми более 200 солдат и офицеров. Захвачены трофеи ипленные.</w:t>
      </w:r>
    </w:p>
    <w:p w14:paraId="59BC836E"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на одном участке противнику ценою больших потерь удалось вклиниться в расположение наших войск. Стремительным контрударом немцы были отброшены на исходные позиции. В результате боя уничтожено до двух рот немецкой пехоты, подбиты 2 танка и самоходное орудие противника.</w:t>
      </w:r>
    </w:p>
    <w:p w14:paraId="300AEFF3"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течения Северного Донца батальон пехоты противника при поддержке сильного артиллерийского огня дважды атаковал подразделение, где командиром тов. Краснов. Наши бойцы отбили атаки гитлеровцев. На поле боя осталось более 100 вражеских трупов. На другом участке разведчики Н-ской части ворвались в траншеи противника и истребили 40 немецких солдат и офицеров.</w:t>
      </w:r>
    </w:p>
    <w:p w14:paraId="2EA400B7"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озера Ильмень наши части закреплялись на достигнутых рубежах и вели разведку. 13 бойцов под командованием сержанта Платонова подползли к вражескимпозициям и внезапно атаковали гитлеровцев. После того, как сержант Платонов убил немецкого офицера, 12 немецких солдат сдались в плен. Наши разведчики заняли новый рубеж и удержали его до подхода подкреплений.</w:t>
      </w:r>
    </w:p>
    <w:p w14:paraId="64BC323D"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Снайпер т. Номоконов за время войны истребил 263, а его ученик т. Миронов—126 гитлеровцев.</w:t>
      </w:r>
    </w:p>
    <w:p w14:paraId="22E02C1F"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за три дня наши лётчики в воздушных боях сбили 34 и подбили 8 немецких самолётов. Советские штурмовики и бомбардировщики совершили успешный налёт на аэродром противника. Бомбовыми ударами и пушечно-пулемётным огнём уничтожено много немецких самолётов.</w:t>
      </w:r>
    </w:p>
    <w:p w14:paraId="0D097290"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Карательная экспедиция гитлеровцев пыталась окружить и уничтожить партизанский отряд «За Родину», действующий в одном из районов Орловской области. Немцы бросили в бой против партизан одно подразделение с целью отвлечь их внимание. Главные силы карателей намеревались зайти с тыла, окружить и разгромить партизанский отряд. Партизанская разведка вовремя вскрыла замысел врага. Командир отряда выделил группу партизан и приказал им вступить в бой с немецким подразделением. Остальные бойцы отряда с командиром во главе устроили засаду у лесной дорога, по которой должна была подойти карательная экспедиция. Стремясь окружить партизан, гитлеровцы сами попали в окружение. Советские патриоты уничтожили 94 немецких солдата и офицера, взяли двух пленных. Захвачены трофеи, в том числе автоматическое орудие, 9 пулемётов, 6 миномётов, 50 винтовок, 2 автомата, 450 мин, 54 повозки с провиантом.</w:t>
      </w:r>
    </w:p>
    <w:p w14:paraId="3E7CB4DC"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злодеяниях немецко-фашистских мерзавцев над мирным населением в деревне Гаврилки, Смоленской области: «Накануне отступления немцы собрали в Гаврилки жителей деревень Кузнецове, Никулинки и других и загнали их в несколько домов. Немецкие бандиты потом подожгли деревню. Некоторые жители пытались спастись. Они выскакивали на улицу из домов, охваченных пламенем. Немцы, стоявшие неподалёку, из автоматов расстреливали тех жителей, которые пытались бежать. В огне сгорело свыше 100 человек, в числе которых было много женщин и детей. Подоспевшим частям Красной Армии удалось спасти некоторых советских граждан от страшной гибели». Акт подписали: жители деревни А.Бритвин, Т.Медышкова, О.Свистова, Г.Котов, М.Семёнова, А.Котова, А.Лобанова, М.Жаворонкова.».</w:t>
      </w:r>
    </w:p>
    <w:p w14:paraId="51333EC0"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Гитлеровские фальшивомонетчики не унимаются.</w:t>
      </w:r>
    </w:p>
    <w:p w14:paraId="35FB3BFE"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«Советское Информбюро уже разоблачило немецкую фальшивку о потерях наших войск в районе между Северным Донцом и Днепром. Но гитлеровские фальшивомонетчики не унимаются. Одной опубликованной фальшивки гитлеровцам показалось мало, и они на скорую руку состряпали новую, столь же вздорную и глупую. 24 марта германское информационное бюро опубликовало сообщение о потерях советских войск за последние 8 недель в районе Орла. Гитлеровцы на сей раз объявили уничтоженными или понёсшими «особенно-тяжёлые потери» ни много ни мало, как 41 стрелковую дивизию, 11 стрелковых и 18 танковых бригад. Дело в том, что у нас не было и нет столько войск в районе Орла. Если бы у нас было столько войск в этом районе, от немецких войск не осталось бы и следа.</w:t>
      </w:r>
    </w:p>
    <w:p w14:paraId="02395CDD"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Известно, что гитлеровская пропаганда никогда не отличалась умом и часто своей несусветной ложью сама себя ставила в нелепое положение. Но после поражения немецко-фашистских войск под Сталинградом гитлеровская пропаганда ещё более поглупела и окончательно потеряла всякие остатки здравого смысла. Дикий бред последних сообщений гитлеровцев лучше всего свидетельствует об этом. В самом деле — 20 марта 1943 года немцы, всячески раздувая свои успехи в районе между Северным Донцом и Днепром, объявили уничтоженными десятки советских дивизий и бригад. Через четыре дня, 24 марта, часть этих якобы уничтоженных соединений Красной Армии, как, например, 193-ю стрелковую дивизию, 9-ю лыжную бригаду и другие, гитлеровцы вторично объявляют уничтоженными, но только уже не в районе между Северным Донцом и Днепром, а в районе Орла.</w:t>
      </w:r>
    </w:p>
    <w:p w14:paraId="6DAC38BD"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поверить гитлеровским пустобрёхам, то выходит, что Красная Армия только на двух участках фронта: в районе между Северным Донцом и Днепром с 13 февраля по 20 марта и в районе Орла за 8 недель — потеряла 160 дивизий и бригад. Спрашивается, кто же в таком случае продолжает истреблять и громить немецко-фашистские войска в районе Курска и Орла, в районе Вязьмы и Ярцева, Брянска и Старой Руссы? И почему, собственно, понадобилось немцам сократить свойфронт? Ведь не от хорошей жизни оказались немцы вынужденными сократить фронт. Очевидно, что лжецы из немецкого информационного бюро явно переусердствовали и подвели своих хозяев. Поистине к ним применима русская пословица: заставь дурака богу молиться, он себе лоб расшибёт.</w:t>
      </w:r>
    </w:p>
    <w:p w14:paraId="03099C2F"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Что же касается фактического положения дела в районе Орла, то необходимо отметить следующее. В конце января наши войска, действующие на этом участке фронта, прорвали в ряде мест немецкие линии обороны и завоевали значительную территорию. В ходе этих боёв советские войска уничтожили не менее 20.000 немецких солдат и офицеров, большое количество вражеской техники, захватили трофеи и 5.000 пленных. За это же время наши войска потеряли убитыми и ранеными 8.620 человек.</w:t>
      </w:r>
    </w:p>
    <w:p w14:paraId="22B9624F"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марта немцы в районе Орла, намереваясь восстановить положение, предприняли контрнаступление, но ни на одном участке успеха не добились и понесли новые потери. Только в районе севернее Жиздры противник потерял в четырёхдневных боях с 19 по 23 марта 140 танков, 72 орудия, 202 пулемёта, 137 миномётов и 8 тысяч солдат и офицеров убитыми.</w:t>
      </w:r>
    </w:p>
    <w:p w14:paraId="3CFD4320"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Немцам не удалось взять реванш за Сталинград на поле боя, так теперь они усердно стремятся взять реванш на бумаге. Советские же дивизии и бригады, записанные гитлеровскими лжецами в разряд уничтоженных, продолжают действовать и будут громить немецких захватчиков до полного освобождения советской земли от немецких сволочей.» (15081).</w:t>
      </w:r>
    </w:p>
    <w:p w14:paraId="5B04E59C" w14:textId="77777777" w:rsidR="00B0220C" w:rsidRPr="00D03F3E" w:rsidRDefault="00B0220C" w:rsidP="00D03F3E">
      <w:pPr>
        <w:spacing w:after="0" w:line="240" w:lineRule="auto"/>
        <w:jc w:val="both"/>
        <w:rPr>
          <w:rFonts w:ascii="Times New Roman" w:hAnsi="Times New Roman"/>
          <w:color w:val="000000" w:themeColor="text1"/>
          <w:sz w:val="16"/>
          <w:szCs w:val="16"/>
        </w:rPr>
      </w:pPr>
    </w:p>
    <w:p w14:paraId="65E97A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марта 1943 ас Заполярья П.С.Кутахов писал докладную:</w:t>
      </w:r>
    </w:p>
    <w:p w14:paraId="490778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"Командиру 19-го гиап гв. м Новожилову:</w:t>
      </w:r>
    </w:p>
    <w:p w14:paraId="3EAC94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Докладываю Вам, что сегодня 27 марта 1943 в воздушном бою, который начался на бреющем в районе оз. Домашнее и соотношении сил противника 4 Ме-109Г наших 3 Аэрокобра. С первой атаки мной был сбит Ме-109Г на развороте, который сразу вышел из боя и ушел на С-З. В развернувшемся воздушном бою на вертикалях, я пользуясь особенностью своей машины, по сравнению с машинами Силаева и Лобковича, оторвался от них и начал вести бой выше своих на 600-1000 м с двумя ме-109г. Они делают переворот после 15 минутного боя и пошли в атаку на Лобковича и Силаева. Я пойдя следом за ними сзади, отбил и Лобковича из под хвоста и начал преследовать Ме-109Г, который пытался уйти от меня 4-5 минут на маневрах горизонтально и на вертикалях. Атаки я вел с малых дистанций сзади и сверху, в верхнем положении вертикали Ме-109 был подбит, но сделав переворот я потерял его на камуфляже. Посты сообщили о посадке его, л взят в плен. Командир 1 иэ г.м Кутахов."</w:t>
      </w:r>
    </w:p>
    <w:p w14:paraId="7DB9B5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Докладная наземной команды:</w:t>
      </w:r>
    </w:p>
    <w:p w14:paraId="586D5C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"Командиру 19-го гвиап от Нач. техкоманды N 42 РАБ ст. тех.лейт. Тищенко от 26 июня 1943</w:t>
      </w:r>
    </w:p>
    <w:p w14:paraId="768A70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Сообщаю, что моей разведкой обнаружен самолет противника типа и Ме-109Г N 657, сбитый Вашими л 28 марта 1943. Ваш самолет Аэрокобра хвостовой N 10 преследовал этот самолет и обстреливал в районе озера Тюхменское, затем Ваш л преследование прекратил, думая, что противник ушел, на самом деле Ме-109Г упал в лес и, взорвавшись, сгорел в р-не 3 км восточнее оз. Домашнее. Второй с Ме-109Г разведгруппой обнаружен в 5 км с-в оз. Домашнее. Номер установить не удалось. Самолет сгорел. Сбит в бою Вашими л 12 марта 1943. Моменты падения этих с наблюдались моими разведчиками, находившимися на поисках других аварийных с."</w:t>
      </w:r>
    </w:p>
    <w:p w14:paraId="381776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Действительно, им по нашим и по немецким данным Кутахов сбил Bf-109G-2 Э.Кришовски и не следующий день л был взят в плен в р-не Урл-озера (3796).</w:t>
      </w:r>
    </w:p>
    <w:p w14:paraId="772994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3EF5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марта 1943 г. вышел ПРИКАЗ № 143 О СБОРЕ ПАМЯТНИКОВ И РЕЛИКВИЙ ОТЕЧЕСТВЕННОЙ ВОЙНЫ ПРИ АРТИЛЛЕРИЙСКОМ ИСТОРИЧЕСКОМ МУЗЕЕ КРАСНОЙ АРМИИ</w:t>
      </w:r>
    </w:p>
    <w:p w14:paraId="376F99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Артиллерийский исторический музей Красной Армии собирает памятники и реликвии Отечественной войны для увековечения славы победоносного оружия Красной Армии.</w:t>
      </w:r>
    </w:p>
    <w:p w14:paraId="4F5896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в действующих армиях музею не оказывается должной помощи. Поэтому ряд блестящих боевых эпизодов, характеризующих высокое мастерство и беззаветную храбрость бойцов, командиров, партизан, целых подразделений и частей Красной Армии и партизанских отрядов, не нашли вещественного отражения в материалах музея.</w:t>
      </w:r>
    </w:p>
    <w:p w14:paraId="148FDF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улучшения дела сбора и накопления памятников и реликвий Отечественной войны приказываю:</w:t>
      </w:r>
    </w:p>
    <w:p w14:paraId="6E6C5D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Командирам соединений и частей действующих армий и партизанских отрядов организовать сбор наиболее характерных памятников и реликвий Отечественной войны.</w:t>
      </w:r>
    </w:p>
    <w:p w14:paraId="4E553D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Начальникам штабов фронтов через старших помощников начальников оперативных отделов по изучению опыта и истории войны организовать контроль за представлением частями полноценных материалов.</w:t>
      </w:r>
    </w:p>
    <w:p w14:paraId="372285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При сборе памятников и реликвий Отечественной войны руководствоваться прилагаемой Инструкцией.</w:t>
      </w:r>
    </w:p>
    <w:p w14:paraId="4258C5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Начальнику Главного артиллерийского управления дать фронтам и армиям указания о порядке пересылки материалов музею. Предварительный отбор памятников и реликвий, достойных вечного хранения в музее, организовать на одной из центральных баз в районе гор. Москвы.</w:t>
      </w:r>
    </w:p>
    <w:p w14:paraId="629533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Начальнику* штаба Главного управления командующего артиллерией руководить работой музея по представлению в нем вещественных документов каждого выдающегося боевого эпизода.</w:t>
      </w:r>
    </w:p>
    <w:p w14:paraId="10EB2E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Начальнику Артиллерийского исторического музея иметь постоянно в Москве научного сотрудника по отбору на центральной базе памятников и реликвий и для их документального оформления письменными и иными материалами.</w:t>
      </w:r>
    </w:p>
    <w:p w14:paraId="2968FA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Начальнику Артиллерийского исторического музея докладывать мне раз в три месяца об исполнении настоящего приказа.</w:t>
      </w:r>
    </w:p>
    <w:p w14:paraId="3B4DD8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Ему же практиковать посылку своих представителей, по указанию начальника штаба Главного управления командующего артиллерией Красной Армии, на места наиболее выдающихся событий для полноценного сбора материалов и документов по ним.</w:t>
      </w:r>
    </w:p>
    <w:p w14:paraId="348807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Заместитель Народного комиссара обороны маршал артиллерии ВОРОНОВ</w:t>
      </w:r>
      <w:r w:rsidRPr="00D03F3E">
        <w:rPr>
          <w:rFonts w:ascii="Times New Roman" w:hAnsi="Times New Roman"/>
          <w:color w:val="000000" w:themeColor="text1"/>
          <w:sz w:val="16"/>
          <w:szCs w:val="16"/>
        </w:rPr>
        <w:t xml:space="preserve"> (9844).</w:t>
      </w:r>
    </w:p>
    <w:p w14:paraId="618A94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79E25F" w14:textId="77777777" w:rsidR="00B0220C" w:rsidRPr="00D03F3E" w:rsidRDefault="00B0220C" w:rsidP="00D03F3E">
      <w:pPr>
        <w:pStyle w:val="book"/>
        <w:ind w:firstLine="0"/>
        <w:jc w:val="both"/>
        <w:rPr>
          <w:color w:val="000000" w:themeColor="text1"/>
          <w:sz w:val="16"/>
          <w:szCs w:val="16"/>
        </w:rPr>
      </w:pPr>
      <w:r w:rsidRPr="00D03F3E">
        <w:rPr>
          <w:color w:val="000000" w:themeColor="text1"/>
          <w:sz w:val="16"/>
          <w:szCs w:val="16"/>
        </w:rPr>
        <w:t>27 марта 1943 г., то есть после победы под Сталинградом, маршал артиллерии Н.Н. Воронов издал приказ № 78 «О сборе памятников и реликвий Отечественной войны при Артиллерийском историческом музее Красной армии»:</w:t>
      </w:r>
    </w:p>
    <w:p w14:paraId="0AEE0EB6" w14:textId="77777777" w:rsidR="00B0220C" w:rsidRPr="00D03F3E" w:rsidRDefault="00B0220C" w:rsidP="00D03F3E">
      <w:pPr>
        <w:pStyle w:val="book"/>
        <w:ind w:firstLine="0"/>
        <w:jc w:val="both"/>
        <w:rPr>
          <w:color w:val="000000" w:themeColor="text1"/>
          <w:sz w:val="16"/>
          <w:szCs w:val="16"/>
        </w:rPr>
      </w:pPr>
      <w:r w:rsidRPr="00D03F3E">
        <w:rPr>
          <w:color w:val="000000" w:themeColor="text1"/>
          <w:sz w:val="16"/>
          <w:szCs w:val="16"/>
        </w:rPr>
        <w:t>«Артиллерийский исторический музей Красной армии собирает памятники и реликвии Отечественной войны для увековечения славы победоносного оружия Красной армии.</w:t>
      </w:r>
    </w:p>
    <w:p w14:paraId="69B7186F" w14:textId="77777777" w:rsidR="00B0220C" w:rsidRPr="00D03F3E" w:rsidRDefault="00B0220C" w:rsidP="00D03F3E">
      <w:pPr>
        <w:pStyle w:val="book"/>
        <w:ind w:firstLine="0"/>
        <w:jc w:val="both"/>
        <w:rPr>
          <w:color w:val="000000" w:themeColor="text1"/>
          <w:sz w:val="16"/>
          <w:szCs w:val="16"/>
        </w:rPr>
      </w:pPr>
      <w:r w:rsidRPr="00D03F3E">
        <w:rPr>
          <w:color w:val="000000" w:themeColor="text1"/>
          <w:sz w:val="16"/>
          <w:szCs w:val="16"/>
        </w:rPr>
        <w:t>Однако в действующих армиях музею не оказывается должной помощи.</w:t>
      </w:r>
    </w:p>
    <w:p w14:paraId="30313CA2" w14:textId="77777777" w:rsidR="00B0220C" w:rsidRPr="00D03F3E" w:rsidRDefault="00B0220C" w:rsidP="00D03F3E">
      <w:pPr>
        <w:pStyle w:val="book"/>
        <w:ind w:firstLine="0"/>
        <w:jc w:val="both"/>
        <w:rPr>
          <w:color w:val="000000" w:themeColor="text1"/>
          <w:sz w:val="16"/>
          <w:szCs w:val="16"/>
        </w:rPr>
      </w:pPr>
      <w:r w:rsidRPr="00D03F3E">
        <w:rPr>
          <w:color w:val="000000" w:themeColor="text1"/>
          <w:sz w:val="16"/>
          <w:szCs w:val="16"/>
        </w:rPr>
        <w:t>Приказываю:</w:t>
      </w:r>
    </w:p>
    <w:p w14:paraId="6BEFD250" w14:textId="77777777" w:rsidR="00B0220C" w:rsidRPr="00D03F3E" w:rsidRDefault="00B0220C" w:rsidP="00D03F3E">
      <w:pPr>
        <w:pStyle w:val="book"/>
        <w:ind w:firstLine="0"/>
        <w:jc w:val="both"/>
        <w:rPr>
          <w:color w:val="000000" w:themeColor="text1"/>
          <w:sz w:val="16"/>
          <w:szCs w:val="16"/>
        </w:rPr>
      </w:pPr>
      <w:r w:rsidRPr="00D03F3E">
        <w:rPr>
          <w:color w:val="000000" w:themeColor="text1"/>
          <w:sz w:val="16"/>
          <w:szCs w:val="16"/>
        </w:rPr>
        <w:t>Командирам соединений и частей действующих армий и партизанских отрядов организовать сбор наиболее характерных памятников и реликвий Отечественной войны» (15225).</w:t>
      </w:r>
    </w:p>
    <w:p w14:paraId="6A64417E" w14:textId="77777777" w:rsidR="00B0220C" w:rsidRPr="00D03F3E" w:rsidRDefault="00B0220C" w:rsidP="00D03F3E">
      <w:pPr>
        <w:pStyle w:val="book"/>
        <w:ind w:firstLine="0"/>
        <w:jc w:val="both"/>
        <w:rPr>
          <w:color w:val="000000" w:themeColor="text1"/>
          <w:sz w:val="16"/>
          <w:szCs w:val="16"/>
        </w:rPr>
      </w:pPr>
    </w:p>
    <w:p w14:paraId="2331777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3BC19B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74741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марта 1943 Совнарком Украины принял постановление о создании литературного музея Тараса Шевченко (4962).</w:t>
      </w:r>
    </w:p>
    <w:p w14:paraId="4796B23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3F6DE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4B67F7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9A7F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марта 1943 года было отправлено:</w:t>
      </w:r>
    </w:p>
    <w:p w14:paraId="3814F1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СЕКРЕТНОЕ ПОСЛАНИЕ ПРЕМЬЕРА И. В. СТАЛИНА ПРЕМЬЕР-МИНИСТРУ г. У. ЧЕРЧИЛЛЮ</w:t>
      </w:r>
    </w:p>
    <w:p w14:paraId="167B9F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Ваше сообщение о происходящем в Тунисе главном сражении получил. Желаю английским и американским войскам полного и скорого успеха. Надеюсь, что теперь Вам удастся сломить и разгромить врага, изгнав его окончательно из Туниса.</w:t>
      </w:r>
    </w:p>
    <w:p w14:paraId="1FAE45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Надеюсь также, что воздушное наступление на Германию будет неуклонно усиливаться. За присылку снимков разрушений в Эссене буду Вам благодарен (7430).</w:t>
      </w:r>
    </w:p>
    <w:p w14:paraId="7BA76B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CB7DF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79ACAA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5AE7DA"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27 марта 1943 Люфтваффе решает прекратить разработку реактивного истребителя Heinkel He 280 (20376).</w:t>
      </w:r>
    </w:p>
    <w:p w14:paraId="1B7D744F" w14:textId="77777777" w:rsidR="00096973" w:rsidRPr="00D03F3E" w:rsidRDefault="00096973" w:rsidP="00D03F3E">
      <w:pPr>
        <w:spacing w:after="0" w:line="240" w:lineRule="auto"/>
        <w:jc w:val="both"/>
        <w:rPr>
          <w:rFonts w:ascii="Times New Roman" w:hAnsi="Times New Roman"/>
          <w:color w:val="0070C0"/>
          <w:sz w:val="16"/>
          <w:szCs w:val="16"/>
        </w:rPr>
      </w:pPr>
    </w:p>
    <w:p w14:paraId="36E3B392"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27 марта 1943 г. в письме от Мильх известил Хейнкеля о решении аннулировать программу Не 280 в пользу реактивного истребителя Мессершмитта, обосновывая его тем, что в сложившихся условиях нет возможности реализовывать обе программы (22774).</w:t>
      </w:r>
    </w:p>
    <w:p w14:paraId="586CBCB5" w14:textId="77777777" w:rsidR="00096973" w:rsidRPr="00D03F3E" w:rsidRDefault="00096973" w:rsidP="00D03F3E">
      <w:pPr>
        <w:spacing w:after="0" w:line="240" w:lineRule="auto"/>
        <w:jc w:val="both"/>
        <w:rPr>
          <w:rFonts w:ascii="Times New Roman" w:hAnsi="Times New Roman"/>
          <w:color w:val="0070C0"/>
          <w:sz w:val="16"/>
          <w:szCs w:val="16"/>
        </w:rPr>
      </w:pPr>
    </w:p>
    <w:p w14:paraId="7027F36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марта 1943 из-за взрыва паров бензина взорвался английский авианосец “Дэшер” (4962).</w:t>
      </w:r>
    </w:p>
    <w:p w14:paraId="47B2052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CAA5E8"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27 марта 1943 британский эскортный авианосец HMS Dasher пострадал от мощного случайного внутреннего взрыва и затонул у острова Арран в заливе Клайд, в результате чего погибло 379 человек, а 149 человек выжили (20376).</w:t>
      </w:r>
    </w:p>
    <w:p w14:paraId="054BBC4E" w14:textId="77777777" w:rsidR="00096973" w:rsidRPr="00D03F3E" w:rsidRDefault="00096973" w:rsidP="00D03F3E">
      <w:pPr>
        <w:spacing w:after="0" w:line="240" w:lineRule="auto"/>
        <w:jc w:val="both"/>
        <w:rPr>
          <w:rFonts w:ascii="Times New Roman" w:hAnsi="Times New Roman"/>
          <w:color w:val="0070C0"/>
          <w:sz w:val="16"/>
          <w:szCs w:val="16"/>
        </w:rPr>
      </w:pPr>
    </w:p>
    <w:p w14:paraId="137C3BFA" w14:textId="77777777" w:rsidR="00B0220C" w:rsidRPr="00D03F3E" w:rsidRDefault="00B0220C" w:rsidP="00D03F3E">
      <w:pPr>
        <w:spacing w:after="0" w:line="240" w:lineRule="auto"/>
        <w:jc w:val="both"/>
        <w:rPr>
          <w:rFonts w:ascii="Times New Roman" w:hAnsi="Times New Roman"/>
          <w:color w:val="000000" w:themeColor="text1"/>
          <w:sz w:val="16"/>
          <w:szCs w:val="16"/>
          <w:lang w:val="en-US"/>
        </w:rPr>
      </w:pPr>
      <w:r w:rsidRPr="00D03F3E">
        <w:rPr>
          <w:rFonts w:ascii="Times New Roman" w:hAnsi="Times New Roman"/>
          <w:bCs/>
          <w:color w:val="000000" w:themeColor="text1"/>
          <w:sz w:val="16"/>
          <w:szCs w:val="16"/>
        </w:rPr>
        <w:t>27 марта</w:t>
      </w:r>
      <w:r w:rsidRPr="00D03F3E">
        <w:rPr>
          <w:rFonts w:ascii="Times New Roman" w:hAnsi="Times New Roman"/>
          <w:color w:val="000000" w:themeColor="text1"/>
          <w:sz w:val="16"/>
          <w:szCs w:val="16"/>
        </w:rPr>
        <w:t xml:space="preserve"> в 1943 году британский авианосец "Dasher" погиб от внутреннего взрыва паров бензина. Большоечисложертв</w:t>
      </w:r>
      <w:r w:rsidRPr="00D03F3E">
        <w:rPr>
          <w:rFonts w:ascii="Times New Roman" w:hAnsi="Times New Roman"/>
          <w:color w:val="000000" w:themeColor="text1"/>
          <w:sz w:val="16"/>
          <w:szCs w:val="16"/>
          <w:lang w:val="en-US"/>
        </w:rPr>
        <w:t xml:space="preserve"> (15081).</w:t>
      </w:r>
    </w:p>
    <w:p w14:paraId="2015B000" w14:textId="77777777" w:rsidR="00B0220C" w:rsidRPr="00D03F3E" w:rsidRDefault="00B0220C" w:rsidP="00D03F3E">
      <w:pPr>
        <w:spacing w:after="0" w:line="240" w:lineRule="auto"/>
        <w:jc w:val="both"/>
        <w:rPr>
          <w:rFonts w:ascii="Times New Roman" w:hAnsi="Times New Roman"/>
          <w:color w:val="000000" w:themeColor="text1"/>
          <w:sz w:val="16"/>
          <w:szCs w:val="16"/>
          <w:lang w:val="en-US"/>
        </w:rPr>
      </w:pPr>
    </w:p>
    <w:p w14:paraId="7B0DC3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March 27, 1943 - Tolman writes Oppenheimer about using explosives to collapse a shell into a critical mass. This is the earliest surviving reference to the idea of implosion (although this term was not used) (1039).</w:t>
      </w:r>
    </w:p>
    <w:p w14:paraId="5A025A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75387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марта 1943 Толман писал Оппенгеймеру об использовании взрывчатки для создания критической массы (1039).</w:t>
      </w:r>
    </w:p>
    <w:p w14:paraId="4A82F2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9FE105" w14:textId="77777777" w:rsidR="00D173AA"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3C882F78" w14:textId="77777777" w:rsidR="00D173AA" w:rsidRPr="00D03F3E" w:rsidRDefault="00D173AA"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91E057" w14:textId="77777777" w:rsidR="00D173AA" w:rsidRPr="00D03F3E" w:rsidRDefault="00D173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28 марта</w:t>
      </w:r>
      <w:r w:rsidRPr="00D03F3E">
        <w:rPr>
          <w:rFonts w:ascii="Times New Roman" w:hAnsi="Times New Roman"/>
          <w:color w:val="000000" w:themeColor="text1"/>
          <w:sz w:val="16"/>
          <w:szCs w:val="16"/>
        </w:rPr>
        <w:t xml:space="preserve"> в 1943 году состоялся первый полет самолета «Як-1М» (прототипа серийного истребителя «Як-3») (15082).</w:t>
      </w:r>
    </w:p>
    <w:p w14:paraId="2A5849F7" w14:textId="77777777" w:rsidR="00D173AA" w:rsidRPr="00D03F3E" w:rsidRDefault="00D173AA" w:rsidP="00D03F3E">
      <w:pPr>
        <w:spacing w:after="0" w:line="240" w:lineRule="auto"/>
        <w:jc w:val="both"/>
        <w:rPr>
          <w:rFonts w:ascii="Times New Roman" w:hAnsi="Times New Roman"/>
          <w:color w:val="000000" w:themeColor="text1"/>
          <w:sz w:val="16"/>
          <w:szCs w:val="16"/>
        </w:rPr>
      </w:pPr>
    </w:p>
    <w:p w14:paraId="181A52D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4E8A7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7CDE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марта 1943 г. Приказом по наркомату танковой промышленности № 190 от была образована макетная комис</w:t>
      </w:r>
      <w:r w:rsidRPr="00D03F3E">
        <w:rPr>
          <w:rFonts w:ascii="Times New Roman" w:hAnsi="Times New Roman"/>
          <w:color w:val="000000" w:themeColor="text1"/>
          <w:sz w:val="16"/>
          <w:szCs w:val="16"/>
        </w:rPr>
        <w:softHyphen/>
        <w:t>сия под председательством главного конструктора НКТП Ж. Котина «по рассмотрению макета корпуса танка ИС (бывш. КБ-13)». Макет корпуса был выполнен из дерева и тонких листов кровельной стали по рабочим чертежам. Ко</w:t>
      </w:r>
      <w:r w:rsidRPr="00D03F3E">
        <w:rPr>
          <w:rFonts w:ascii="Times New Roman" w:hAnsi="Times New Roman"/>
          <w:color w:val="000000" w:themeColor="text1"/>
          <w:sz w:val="16"/>
          <w:szCs w:val="16"/>
        </w:rPr>
        <w:softHyphen/>
        <w:t>миссия изучала улучшенную конструкцию корпуса и неко</w:t>
      </w:r>
      <w:r w:rsidRPr="00D03F3E">
        <w:rPr>
          <w:rFonts w:ascii="Times New Roman" w:hAnsi="Times New Roman"/>
          <w:color w:val="000000" w:themeColor="text1"/>
          <w:sz w:val="16"/>
          <w:szCs w:val="16"/>
        </w:rPr>
        <w:softHyphen/>
        <w:t>торых деталей башни с целью определения типов применя</w:t>
      </w:r>
      <w:r w:rsidRPr="00D03F3E">
        <w:rPr>
          <w:rFonts w:ascii="Times New Roman" w:hAnsi="Times New Roman"/>
          <w:color w:val="000000" w:themeColor="text1"/>
          <w:sz w:val="16"/>
          <w:szCs w:val="16"/>
        </w:rPr>
        <w:softHyphen/>
        <w:t>емой брони и требований к ней, унификации отдельных деталей для экономии бронелиста, литья, приспособлений и инструментов, уменьшения механической обработки де</w:t>
      </w:r>
      <w:r w:rsidRPr="00D03F3E">
        <w:rPr>
          <w:rFonts w:ascii="Times New Roman" w:hAnsi="Times New Roman"/>
          <w:color w:val="000000" w:themeColor="text1"/>
          <w:sz w:val="16"/>
          <w:szCs w:val="16"/>
        </w:rPr>
        <w:softHyphen/>
        <w:t>талей и т.д. В целом оценка степени защищенности бронекорпуса макетной комиссией была весьма высокой. Спра</w:t>
      </w:r>
      <w:r w:rsidRPr="00D03F3E">
        <w:rPr>
          <w:rFonts w:ascii="Times New Roman" w:hAnsi="Times New Roman"/>
          <w:color w:val="000000" w:themeColor="text1"/>
          <w:sz w:val="16"/>
          <w:szCs w:val="16"/>
        </w:rPr>
        <w:softHyphen/>
        <w:t>ведливости ради следует заметить, что к моменту начала ра</w:t>
      </w:r>
      <w:r w:rsidRPr="00D03F3E">
        <w:rPr>
          <w:rFonts w:ascii="Times New Roman" w:hAnsi="Times New Roman"/>
          <w:color w:val="000000" w:themeColor="text1"/>
          <w:sz w:val="16"/>
          <w:szCs w:val="16"/>
        </w:rPr>
        <w:softHyphen/>
        <w:t>боты макетной комиссии новые корпуса уже были в целом готовы и один из них уже стоял на шасси. Новые танки были построены необычайно быстро. Тан</w:t>
      </w:r>
      <w:r w:rsidRPr="00D03F3E">
        <w:rPr>
          <w:rFonts w:ascii="Times New Roman" w:hAnsi="Times New Roman"/>
          <w:color w:val="000000" w:themeColor="text1"/>
          <w:sz w:val="16"/>
          <w:szCs w:val="16"/>
        </w:rPr>
        <w:softHyphen/>
        <w:t>ки ИС отличались от «чертовой дюжины» не только индек</w:t>
      </w:r>
      <w:r w:rsidRPr="00D03F3E">
        <w:rPr>
          <w:rFonts w:ascii="Times New Roman" w:hAnsi="Times New Roman"/>
          <w:color w:val="000000" w:themeColor="text1"/>
          <w:sz w:val="16"/>
          <w:szCs w:val="16"/>
        </w:rPr>
        <w:softHyphen/>
        <w:t>сом. Они даже внешне выглядели как-то более аккуратно и элегантно, чем предшественник. Первый образец, назван</w:t>
      </w:r>
      <w:r w:rsidRPr="00D03F3E">
        <w:rPr>
          <w:rFonts w:ascii="Times New Roman" w:hAnsi="Times New Roman"/>
          <w:color w:val="000000" w:themeColor="text1"/>
          <w:sz w:val="16"/>
          <w:szCs w:val="16"/>
        </w:rPr>
        <w:softHyphen/>
        <w:t>ный ИС-1 и сохранивший заводской индекс предшествен</w:t>
      </w:r>
      <w:r w:rsidRPr="00D03F3E">
        <w:rPr>
          <w:rFonts w:ascii="Times New Roman" w:hAnsi="Times New Roman"/>
          <w:color w:val="000000" w:themeColor="text1"/>
          <w:sz w:val="16"/>
          <w:szCs w:val="16"/>
        </w:rPr>
        <w:softHyphen/>
        <w:t>ника, «объект 233», получил трехместную обтекаемую баш</w:t>
      </w:r>
      <w:r w:rsidRPr="00D03F3E">
        <w:rPr>
          <w:rFonts w:ascii="Times New Roman" w:hAnsi="Times New Roman"/>
          <w:color w:val="000000" w:themeColor="text1"/>
          <w:sz w:val="16"/>
          <w:szCs w:val="16"/>
        </w:rPr>
        <w:softHyphen/>
        <w:t>ню с наблюдательной башенкой, вооруженную 76,2-мм пушкой Ф-34М и двумя пулеметами. Второй образец под индексом ИС-2 («Объект 234») был увенчан башней опыт</w:t>
      </w:r>
      <w:r w:rsidRPr="00D03F3E">
        <w:rPr>
          <w:rFonts w:ascii="Times New Roman" w:hAnsi="Times New Roman"/>
          <w:color w:val="000000" w:themeColor="text1"/>
          <w:sz w:val="16"/>
          <w:szCs w:val="16"/>
        </w:rPr>
        <w:softHyphen/>
        <w:t>ного гаубичного танка КВ-9, вооруженной 122-мм гаубицей У-11. Интересная особенность. Несмотря на то что орудие У-11 сохранило баллистику 122-мм гаубицы М-30, оно офи</w:t>
      </w:r>
      <w:r w:rsidRPr="00D03F3E">
        <w:rPr>
          <w:rFonts w:ascii="Times New Roman" w:hAnsi="Times New Roman"/>
          <w:color w:val="000000" w:themeColor="text1"/>
          <w:sz w:val="16"/>
          <w:szCs w:val="16"/>
        </w:rPr>
        <w:softHyphen/>
        <w:t>циально именовалось «танковой пушкой». Танк ИС-2 по изготовлении (как и КВ-2) считался артиллерийским тан</w:t>
      </w:r>
      <w:r w:rsidRPr="00D03F3E">
        <w:rPr>
          <w:rFonts w:ascii="Times New Roman" w:hAnsi="Times New Roman"/>
          <w:color w:val="000000" w:themeColor="text1"/>
          <w:sz w:val="16"/>
          <w:szCs w:val="16"/>
        </w:rPr>
        <w:softHyphen/>
        <w:t>ком усиления танковых и механизированных частей и соединений при прорыве полос обороны противника. Инте</w:t>
      </w:r>
      <w:r w:rsidRPr="00D03F3E">
        <w:rPr>
          <w:rFonts w:ascii="Times New Roman" w:hAnsi="Times New Roman"/>
          <w:color w:val="000000" w:themeColor="text1"/>
          <w:sz w:val="16"/>
          <w:szCs w:val="16"/>
        </w:rPr>
        <w:softHyphen/>
        <w:t>рес к нему в 1943 г. был подогрет еще и тем, что для 122-мм гаубицы М-30 был разработан и в начале года принят на во</w:t>
      </w:r>
      <w:r w:rsidRPr="00D03F3E">
        <w:rPr>
          <w:rFonts w:ascii="Times New Roman" w:hAnsi="Times New Roman"/>
          <w:color w:val="000000" w:themeColor="text1"/>
          <w:sz w:val="16"/>
          <w:szCs w:val="16"/>
        </w:rPr>
        <w:softHyphen/>
        <w:t>оружение бронебойный кумулятивный (тогда писали «бро-непрожигающий») снаряд, пронзавший более 100 мм брони (по нормали зафиксирован случай пробития листа толщи</w:t>
      </w:r>
      <w:r w:rsidRPr="00D03F3E">
        <w:rPr>
          <w:rFonts w:ascii="Times New Roman" w:hAnsi="Times New Roman"/>
          <w:color w:val="000000" w:themeColor="text1"/>
          <w:sz w:val="16"/>
          <w:szCs w:val="16"/>
        </w:rPr>
        <w:softHyphen/>
        <w:t>ной 140 мм). Немудрено, что на него и было обращено осо</w:t>
      </w:r>
      <w:r w:rsidRPr="00D03F3E">
        <w:rPr>
          <w:rFonts w:ascii="Times New Roman" w:hAnsi="Times New Roman"/>
          <w:color w:val="000000" w:themeColor="text1"/>
          <w:sz w:val="16"/>
          <w:szCs w:val="16"/>
        </w:rPr>
        <w:softHyphen/>
        <w:t>бо пристальное внимание (11135).</w:t>
      </w:r>
    </w:p>
    <w:p w14:paraId="4D6F6DD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D6DA67" w14:textId="77777777" w:rsidR="00733EBA" w:rsidRPr="00D03F3E"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28 марта 1943 танк ИС-2 был сдан окончательно. Согласно акту, он получил гаубицу У-11 с серийным номером «6», его полностью укомплектовали запасными частями, инструментами и принадлежностями (ЗИП). Перед сдачей танк полностью отрегулировали и заправили горюче-смазочными материалами.</w:t>
      </w:r>
    </w:p>
    <w:p w14:paraId="3B858BD1" w14:textId="77777777" w:rsidR="00733EBA" w:rsidRPr="00D03F3E"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целом машина вписалась в определённые для неё тактико-технические требования. При взвешивании выяснилось, что её боевая масса составила 37 900 кг, то есть оказалась более чем на полторы тонны меньше расчетной. Соответственно, меньшей оказалась и разница по боевой массе по сравнению с ИС-1 – тот был легче всего на 740 килограмм. Экипаж состоял из 4 человек, из них трое располагались в башне.</w:t>
      </w:r>
    </w:p>
    <w:p w14:paraId="0D51A812" w14:textId="77777777" w:rsidR="00733EBA" w:rsidRPr="00D03F3E"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Шасси танка полностью повторяло шасси ИС-1, главным отличием стала башня. Как уже упоминалось, её отличия от башни КВ-9 были весьма существенными. Полная масса стала меньше почти на 2 тонны. Форма башни тоже чуть изменилась, но куда более существенными стали переделки мелких элементов. На крыше появился воздуховод и антенный порт, поскольку танковая радиостанция переместилась в башню. На бортах появились поручни и рымы. Последних, как и в случае с башней КВ-1с выпуска весны-лета 1943 года, сделали 3 штуки. Также у КВ-1с конструкторы позаимствовали боковые смотровые приборы и башенный люк. Наконец, вместо кормового пулемета появился лючок для выброса стреляных гильз. Одним словом, изменений набралось немало. Для сохранения более-менее нормального объема внутри башни боекомплект внутри нее ограничили 8-ю зарядами. Общий же боекомплект оказался равен 30 выстрелам, что было на четверть меньше, чем у СУ-122 (17694).</w:t>
      </w:r>
    </w:p>
    <w:p w14:paraId="10A97789" w14:textId="77777777" w:rsidR="00733EBA" w:rsidRPr="00D03F3E" w:rsidRDefault="00733EBA" w:rsidP="00D03F3E">
      <w:pPr>
        <w:spacing w:after="0" w:line="240" w:lineRule="auto"/>
        <w:jc w:val="both"/>
        <w:rPr>
          <w:rFonts w:ascii="Times New Roman" w:eastAsia="Times New Roman" w:hAnsi="Times New Roman"/>
          <w:color w:val="000000" w:themeColor="text1"/>
          <w:sz w:val="16"/>
          <w:szCs w:val="16"/>
          <w:lang w:eastAsia="ru-RU"/>
        </w:rPr>
      </w:pPr>
    </w:p>
    <w:p w14:paraId="505B70B3" w14:textId="77777777" w:rsidR="00733EBA" w:rsidRPr="00D03F3E"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28 марта 1943 начались ходовые испытания ИС-2 и продолжались до 15 апреля. Всего за это время танк прошел 773 километра, из них 437 километров по шоссе, 276 по проселку и 60 по целине. Средняя скорость движения по шоссе составила 22–25, по проселку 19,2, а по целине 18,3 км/ч, что примерно соответствовало показателям ИС-1. Таким образом, установка другой башни с более мощным вооружением практически никак не отразилась на динамических характеристиках танка. Что касается надежности, то и здесь в целом два танка оказались равноценными. В основном проблемы были связаны не столько с конструктивными особенностями танка, сколько с низким качеством изготовления ряда узлов и агрегатов.</w:t>
      </w:r>
    </w:p>
    <w:p w14:paraId="5EFF6A21" w14:textId="77777777" w:rsidR="00733EBA" w:rsidRPr="00D03F3E"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Несколько иная картина наблюдалась с вооружением и башней. Место заряжающего было признано тесным, а условия его работы – затрудненными. Не все гладко было с местом наводчика: на больших углах возвышения маховик вертикальной наводки задевал ограждение орудия. Не лучшим образом обстояли дела и с обслуживанием орудия. Комиссия потребовала увеличить объем боевого отделения, в том числе и за счет расширения погона на 150 мм. К слову, это требование касалось и ИС-1. Против такого решения выступило руководство Челябинского Кировского завода (ЧКЗ), аргументировав свою позицию тем, что боевая масса танка в таком случае вырастет на тонну. Вместо перископических приборов КВ-1с комиссия предложила поставить «английские зеркалки MK-IV», то есть перископические приборы с танка </w:t>
      </w:r>
      <w:hyperlink r:id="rId103" w:history="1">
        <w:r w:rsidRPr="00D03F3E">
          <w:rPr>
            <w:rFonts w:ascii="Times New Roman" w:eastAsia="Times New Roman" w:hAnsi="Times New Roman"/>
            <w:color w:val="000000" w:themeColor="text1"/>
            <w:sz w:val="16"/>
            <w:szCs w:val="16"/>
            <w:lang w:eastAsia="ru-RU"/>
          </w:rPr>
          <w:t>Churchill</w:t>
        </w:r>
      </w:hyperlink>
      <w:r w:rsidRPr="00D03F3E">
        <w:rPr>
          <w:rFonts w:ascii="Times New Roman" w:eastAsia="Times New Roman" w:hAnsi="Times New Roman"/>
          <w:color w:val="000000" w:themeColor="text1"/>
          <w:sz w:val="16"/>
          <w:szCs w:val="16"/>
          <w:lang w:eastAsia="ru-RU"/>
        </w:rPr>
        <w:t>. Завод не согласился и с этим предложением, поскольку производство этих устройств не было налажено.</w:t>
      </w:r>
    </w:p>
    <w:p w14:paraId="07974B6F" w14:textId="77777777" w:rsidR="00733EBA" w:rsidRPr="00D03F3E"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По окончании государственных испытаний ИС-2, как и ИС-1, продолжили испытывать. К концу мая машина прошла 1545 км. На ней отрабатывались более эффективные системы охлаждения и новую конструкцию моторной рамы. В первой декаде июня танк преодолел по проселочной дороге еще 428 км, показав при этом среднюю скорость 17 км/ч. Проблемы с системой охлаждения оказались теми же, что и у ИС-1. Это стало результатом не очень удачной конструкции воздухозаборников, через которые летела грязь. В общей же сложности за июнь было пройдено 446 км, а за все время испытаний – 2001 км.</w:t>
      </w:r>
    </w:p>
    <w:p w14:paraId="523593D3" w14:textId="77777777" w:rsidR="00733EBA" w:rsidRPr="00D03F3E"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 тому моменту уже было ясно, что этот ИС-2 в серию не пойдет. Результаты изучения трофейного немецкого танка «Тигр» показали, что в перспективный тяжёлый танк необходимо установить танковую пушку калибра 85 мм. Для этого погон башни расширялся до 1800 мм. Идея Центрального артиллерийского конструкторского бюро (ЦАКБ) поставить пушку С-31 в штатную башню ИС-1 одобрения ГБТУ КА не получила. В результате уже в мае приоритет работ по ИС-2 сильно снизился. Но при этом работы по танковым гаубицам не остановились, а лишь перешли на базу другого танка (17694).</w:t>
      </w:r>
    </w:p>
    <w:p w14:paraId="6C74EFD3" w14:textId="77777777" w:rsidR="00733EBA" w:rsidRPr="00D03F3E" w:rsidRDefault="00733EBA" w:rsidP="00D03F3E">
      <w:pPr>
        <w:spacing w:after="0" w:line="240" w:lineRule="auto"/>
        <w:jc w:val="both"/>
        <w:rPr>
          <w:rFonts w:ascii="Times New Roman" w:eastAsia="Times New Roman" w:hAnsi="Times New Roman"/>
          <w:color w:val="000000" w:themeColor="text1"/>
          <w:sz w:val="16"/>
          <w:szCs w:val="16"/>
          <w:lang w:eastAsia="ru-RU"/>
        </w:rPr>
      </w:pPr>
    </w:p>
    <w:p w14:paraId="5D215A4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марта 1943 года вышел приказ № 189с НКТП</w:t>
      </w:r>
    </w:p>
    <w:p w14:paraId="639038F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постановления СНК от 25 марта 1943 года за № 328-103с:</w:t>
      </w:r>
    </w:p>
    <w:p w14:paraId="2EE6554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Организовать в системе НКТП Гл. управление по производству дизелей и электрооборудования – 2 Гл. управление НКТП.</w:t>
      </w:r>
    </w:p>
    <w:p w14:paraId="5561DD0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Включить во 2 Гл. управление:</w:t>
      </w:r>
    </w:p>
    <w:p w14:paraId="26685E4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76 – Свердловск</w:t>
      </w:r>
    </w:p>
    <w:p w14:paraId="0CF4DD3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77 – Барнаул</w:t>
      </w:r>
    </w:p>
    <w:p w14:paraId="28D7A5F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74 – Новосибирск</w:t>
      </w:r>
    </w:p>
    <w:p w14:paraId="7407529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254 – Москва</w:t>
      </w:r>
    </w:p>
    <w:p w14:paraId="57F864D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Завод № 255 – Челябинск</w:t>
      </w:r>
    </w:p>
    <w:p w14:paraId="6F415AD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238 – Горький</w:t>
      </w:r>
    </w:p>
    <w:p w14:paraId="394759B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Возложить на 2 Гл. управление руководство и контроль над дизельным производством от Кировского, Сталинградского и 183 заводов (6132, 169).</w:t>
      </w:r>
    </w:p>
    <w:p w14:paraId="014A0A3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76AB1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марта 1943 года вышел приказ № 337с НКБ</w:t>
      </w:r>
    </w:p>
    <w:p w14:paraId="338D387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распоряжением № 6334рс от 24 марта 1943 года СНК:</w:t>
      </w:r>
    </w:p>
    <w:p w14:paraId="4BBB0BC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Выделить из состава завода № 568 филиал завода в самостоятельный завод и присвоить ему номер 538 (5813, 87).</w:t>
      </w:r>
    </w:p>
    <w:p w14:paraId="61C070E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B843B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марта 1943 года вышел приказ № 221с НКБ</w:t>
      </w:r>
    </w:p>
    <w:p w14:paraId="6E0A3EE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распоряжением Совнаркома РСФСР от 22 февраля 1943 года № 95-рс:</w:t>
      </w:r>
    </w:p>
    <w:p w14:paraId="1A1C476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Начальнику 1 Гл. управления передать Наркомпищепрому РСФСР законсервированный завод № 565 в Орджоникидзе (бывший крахмальный завод) по балансу на 1 января 1943 года (5809, 35).</w:t>
      </w:r>
    </w:p>
    <w:p w14:paraId="49EC6E2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4B5E7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марта 1943 года вышел приказ № 222с НКБ</w:t>
      </w:r>
    </w:p>
    <w:p w14:paraId="7C738B7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распоряжением СНК № 4006-рс от 24 февраля 1943 года</w:t>
      </w:r>
    </w:p>
    <w:p w14:paraId="77BB243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Начальнику 1 Гл. управления передать Наркомстройматериалов РСФСР Карасевский кирпичный завод (ст. Карасево, Ленинской ж/д) (5809, 38).</w:t>
      </w:r>
    </w:p>
    <w:p w14:paraId="6168F16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00CD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марта 1943 года была подготовлена справка:</w:t>
      </w:r>
    </w:p>
    <w:p w14:paraId="43E83B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Заводы оптического стекла НКВ №№ 354 и 542 (9281).</w:t>
      </w:r>
    </w:p>
    <w:p w14:paraId="3F4F32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4EAF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марта 1943 вышло Распоряжение ГКО № 3085. Об укупорке дополнительных зарядов к 120 мм минам.РГАНИР, Фонд ГКО, д. 99, лл. 88 (11012).</w:t>
      </w:r>
    </w:p>
    <w:p w14:paraId="51B0BA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F9BA3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E6873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2E061D"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28 марта</w:t>
      </w:r>
      <w:r w:rsidRPr="00D03F3E">
        <w:rPr>
          <w:rFonts w:ascii="Times New Roman" w:hAnsi="Times New Roman"/>
          <w:color w:val="000000" w:themeColor="text1"/>
          <w:sz w:val="16"/>
          <w:szCs w:val="16"/>
        </w:rPr>
        <w:t xml:space="preserve"> в 1943 году утреннее сообщение Совинформбюро:</w:t>
      </w:r>
    </w:p>
    <w:p w14:paraId="08AD4D32"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28 марта на фронтах существенных изменений не произошло.</w:t>
      </w:r>
    </w:p>
    <w:p w14:paraId="7B7735A7"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укрепляли занимаемые рубежи и вели разведку. На одном участке бойцы Н-ской части уничтожили до роты немецкой пехоты, подбили 3 танка и бронемашину. На другом участке отряд наших разведчиков под командованием гвардии лейтенанта Шумилова проник в тыл противника и обнаружил вражескую батарею дальнобойных орудий. На огневых позициях батареи находилось до 40 немецких солдат. Советские бойцы внезапно напали на противника, уничтожили 30 гитлеровцев, а остальных взяли в плен. Взорвав 3 дальнобойных немецких орудия, разведчики вернулись в свою часть.</w:t>
      </w:r>
    </w:p>
    <w:p w14:paraId="2752343E"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наши войска, преодолевая упорное сопротивление противника, заняли 7 населённых пунктов. Только на одном участке уничтожено свыше 150 гитлеровцев и подбито 2 немецких танка. Огнём артиллерии Н-ского соединения уничтожены 4 миномётные, 2 артиллерийские батареи и 6 пулемётных точек противника.</w:t>
      </w:r>
    </w:p>
    <w:p w14:paraId="17AAE9A5"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части Н-ского соединения отбили атаку противника и истребили более 100 вражеских солдат и офицеров. Подбито 3 немецких танка и уничтожено 6 противотанковых орудий. Советские артиллеристы и миномётчики мощным огневым налётом разгромили моторизованную колонну немцев, разбили несколько самоходных орудий и 20 автомашин.</w:t>
      </w:r>
    </w:p>
    <w:p w14:paraId="12D21E7C"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подступах к Ленинграду за два дня огнём зенитной артиллерии сбито 9 и подбито 3 немецких самолёта.</w:t>
      </w:r>
    </w:p>
    <w:p w14:paraId="21E82FB9"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Гомельской области, с 1 по15 марта разгромил 3 немецких комендатуры. Истреблено 53 гитлеровца, в том числе 6 офицеров. За это же время партизаны взорвали два немецких эшелона с войсками и один состав с горючим. Партизаны отряда, действующего в Полесской области, в первой половине марта пустили под откос 6 немецких эшелонов. Разбито 3 паровоза и 58 вагонов с грузами.</w:t>
      </w:r>
    </w:p>
    <w:p w14:paraId="637B9A48"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 дня ликвидации 6 немецкой армии под Сталинградом прошло уже почти два месяца. Но гитлеровцы еще до сих пор не могут опомниться. При одном лишь упоминании о Сталинграде им становится не по себе. Этот страх находит своё отражение в письмах немецких солдат, захваченных на различных участках фронта. Ниже публикуется перевод не отправленного письма убитого на советско-немецкомфронте обер-ефрейтора Вилли Клеппера к своей жене: «Судьба 6-й армии, уничтоженной у Сталинграда, гнетёт нас всех, как какой-то кошмар; нет, пожалуй, ни одного солдата, который не был бы глубоко потрясён. Всем никак не верится,чтобы с нами, немцами, могло произойти что-нибудь подобное. Но ведь это правда,какой бы страшной эта правда ни была... Сейчас мы находимся на Донце. С той стороны русские. Сомнительно, сможем ли мы здесь долго удержаться. У меня такое предчувствие, что с нами произойдёт то же, что с дивизиями, которые находились под Сталинградом».</w:t>
      </w:r>
    </w:p>
    <w:p w14:paraId="17DAA057"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Осло норвежские патриоты разгромили штаб отряда организации Тодта. Убито 14 гитлеровцев, в том числе и начальник участка. Уничтожено большое количество строительных материалов, 6 грузовых автомашин и другое имущество. В Бергене патриоты сожгли склад немецких оккупантов с разными военными материалами.» (15082).</w:t>
      </w:r>
    </w:p>
    <w:p w14:paraId="3945D776" w14:textId="77777777" w:rsidR="00B0220C" w:rsidRPr="00D03F3E" w:rsidRDefault="00B0220C" w:rsidP="00D03F3E">
      <w:pPr>
        <w:spacing w:after="0" w:line="240" w:lineRule="auto"/>
        <w:jc w:val="both"/>
        <w:rPr>
          <w:rFonts w:ascii="Times New Roman" w:hAnsi="Times New Roman"/>
          <w:color w:val="000000" w:themeColor="text1"/>
          <w:sz w:val="16"/>
          <w:szCs w:val="16"/>
        </w:rPr>
      </w:pPr>
    </w:p>
    <w:p w14:paraId="4767AA00"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28 марта</w:t>
      </w:r>
      <w:r w:rsidRPr="00D03F3E">
        <w:rPr>
          <w:rFonts w:ascii="Times New Roman" w:hAnsi="Times New Roman"/>
          <w:color w:val="000000" w:themeColor="text1"/>
          <w:sz w:val="16"/>
          <w:szCs w:val="16"/>
        </w:rPr>
        <w:t xml:space="preserve"> в 1943 году вечернее сообщение Совинформбюро:</w:t>
      </w:r>
    </w:p>
    <w:p w14:paraId="6EF19D8F"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28 марта на фронтах существенных изменений не произошло.</w:t>
      </w:r>
    </w:p>
    <w:p w14:paraId="463675CE"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21 по 27 марта включительно, в воздушных боях и на аэродромах противника уничтожен 251 немецкий самолёт. Наши потери за это же время — 95 самолётов.</w:t>
      </w:r>
    </w:p>
    <w:p w14:paraId="3252273E"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марта частями нашей авиации на различных участках фронта уничтожено или повреждено не менее 5 немецких танков, до 100 автомашин с войсками и грузами, разбито два железнодорожных состава, подавлен огонь 11 артиллерийских и миномётных батарей противника.</w:t>
      </w:r>
    </w:p>
    <w:p w14:paraId="14B85356"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на отдельных участках вели бои местного значения. Части Н-ского соединения очистили от немцев лесной участок, в боях за который уничтожено до роты пехоты противника. Захвачены 2 орудия, 6 пулемётов, 3 противотанковых ружья, склад боеприпасов и радиостанция. На другом участке наше подразделение выбило гитлеровцев из укреплённых позиций, уничтожив при этом более 100 немецких солдат и офицеров.</w:t>
      </w:r>
    </w:p>
    <w:p w14:paraId="7E61CD99"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Чугуева наши подразделения уничтожили роту противника, пытавшуюся переправиться на левый берег Северного Донца. Захвачены трофеи и пленные. На другом участке немцам удалось вклиниться в расположение Н-ской части и захватить окраину села. Решительной контратакой наши бойцы выбили противника из этого села и восстановили положение. Уничтожено до 300 гитлеровцев, танк и самоходная пушка противника.</w:t>
      </w:r>
    </w:p>
    <w:p w14:paraId="0919721A"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на ряде участков противник пытался вести разведку. Наши подразделения в боях местного значения истребили до 200 немецких солдат и офицеров и подбили 2 бронемашины противника.</w:t>
      </w:r>
    </w:p>
    <w:p w14:paraId="303B0B50"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Волынской области, в бою с оккупантами уничтожил 80 гитлеровцев. Партизаны отбили у немцев несколько подвод с боеприпасами и захватили 5 пулемётов и 60 винтовок.</w:t>
      </w:r>
    </w:p>
    <w:p w14:paraId="642DDAEB"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лейтенант, старший переводчик разведотдела штаба 13 немецкого армейского корпуса Отто Зинскер рассказал: «Два раза в месяц мы составляли сводки о потерях и состоянии русских частей, расположенных против нашего корпуса. Теперь смешно и стыдно вспоминать, но будь в этих сводках хотя бы десять процентов правды, война уже давно была бы окончена. Представляя какое-либо донесение, каждый офицер или генерал вычёркивал всё то, что неприятно и нежелательно Гитлеру. Кто поступал иначе, тот ломал себе шею. Мы сами себя обманывали и были за это жестоко наказаны. Русские, как известно, прорвали линию нашей обороны. Остатки штаба корпуса и деморализованных солдат пытались пробиться на запад. При штабе было 200 автомашин, но их пришлось бросить, все шли пешком. Я зашёл в деревню и сдался в плен».</w:t>
      </w:r>
    </w:p>
    <w:p w14:paraId="4E3467ED"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Чудовищные злодеяния учинили немецко-фашистские мерзавцы в селе Ивница, Курской области. Перед отступлением гитлеровцы пытались увести с собой всё население. Многие жители попрятались. Тогда немцы подожгли село и начали охотиться за мирным населением. Солдаты выволакивали мужчин, женщин и детей из погребов. Немцы сожгли живьём колхозницу Антонину Дмитриеву с десятилетней дочерью, колхозницу Людмилу Кухтину с тремя малолетними детьми, учительницуНадежду Кириченкову, её двух детей и 60-летнюю мать, учительницу Анну Слотину и её дочь, учительницу Лидию Абросимову с трёхлетним сыном и других. Большинство остальных жителей села немецкие бандиты насильно угнали ссобой.» (15082).</w:t>
      </w:r>
    </w:p>
    <w:p w14:paraId="4B83C0EB" w14:textId="77777777" w:rsidR="00B0220C" w:rsidRPr="00D03F3E" w:rsidRDefault="00B0220C" w:rsidP="00D03F3E">
      <w:pPr>
        <w:spacing w:after="0" w:line="240" w:lineRule="auto"/>
        <w:jc w:val="both"/>
        <w:rPr>
          <w:rFonts w:ascii="Times New Roman" w:hAnsi="Times New Roman"/>
          <w:color w:val="000000" w:themeColor="text1"/>
          <w:sz w:val="16"/>
          <w:szCs w:val="16"/>
        </w:rPr>
      </w:pPr>
    </w:p>
    <w:p w14:paraId="188CDEB3" w14:textId="77777777" w:rsidR="00B0220C" w:rsidRPr="00D03F3E" w:rsidRDefault="00B0220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28 марта</w:t>
      </w:r>
      <w:r w:rsidRPr="00D03F3E">
        <w:rPr>
          <w:rFonts w:ascii="Times New Roman" w:hAnsi="Times New Roman"/>
          <w:color w:val="000000" w:themeColor="text1"/>
          <w:sz w:val="16"/>
          <w:szCs w:val="16"/>
        </w:rPr>
        <w:t xml:space="preserve"> в 1943 году закончилось наступление войск Центрального фронта на орловском направлении: войска левого крыла фронта продвинулись на 150 км (15082).</w:t>
      </w:r>
    </w:p>
    <w:p w14:paraId="6F483F02" w14:textId="77777777" w:rsidR="00B0220C" w:rsidRPr="00D03F3E" w:rsidRDefault="00B0220C" w:rsidP="00D03F3E">
      <w:pPr>
        <w:spacing w:after="0" w:line="240" w:lineRule="auto"/>
        <w:jc w:val="both"/>
        <w:rPr>
          <w:rFonts w:ascii="Times New Roman" w:hAnsi="Times New Roman"/>
          <w:color w:val="000000" w:themeColor="text1"/>
          <w:sz w:val="16"/>
          <w:szCs w:val="16"/>
        </w:rPr>
      </w:pPr>
    </w:p>
    <w:p w14:paraId="41A6229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марта 1943 вышло Постановление ГКО № 3086 О правах и обязанностях органов военных сообщений Красной Армии на ж.-д. транспорте. (7091, 89-90).</w:t>
      </w:r>
    </w:p>
    <w:p w14:paraId="1D89E63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52241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403EC1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80C286" w14:textId="77777777" w:rsidR="00D173AA" w:rsidRPr="00D03F3E" w:rsidRDefault="00D173AA" w:rsidP="00D03F3E">
      <w:pPr>
        <w:spacing w:after="0" w:line="240" w:lineRule="auto"/>
        <w:jc w:val="both"/>
        <w:rPr>
          <w:rFonts w:ascii="Times New Roman" w:hAnsi="Times New Roman"/>
          <w:color w:val="000000" w:themeColor="text1"/>
          <w:sz w:val="16"/>
          <w:szCs w:val="16"/>
          <w:lang w:val="en-US"/>
        </w:rPr>
      </w:pPr>
      <w:r w:rsidRPr="00D03F3E">
        <w:rPr>
          <w:rFonts w:ascii="Times New Roman" w:hAnsi="Times New Roman"/>
          <w:bCs/>
          <w:color w:val="000000" w:themeColor="text1"/>
          <w:sz w:val="16"/>
          <w:szCs w:val="16"/>
        </w:rPr>
        <w:lastRenderedPageBreak/>
        <w:t>28 марта</w:t>
      </w:r>
      <w:r w:rsidRPr="00D03F3E">
        <w:rPr>
          <w:rFonts w:ascii="Times New Roman" w:hAnsi="Times New Roman"/>
          <w:color w:val="000000" w:themeColor="text1"/>
          <w:sz w:val="16"/>
          <w:szCs w:val="16"/>
        </w:rPr>
        <w:t xml:space="preserve"> в 1943 году на аэродроме Фурбара в Риме впервые был показан опытный экземпляр скоростного торпедоносца </w:t>
      </w:r>
      <w:hyperlink r:id="rId104" w:tgtFrame="_blank" w:history="1">
        <w:r w:rsidRPr="00D03F3E">
          <w:rPr>
            <w:rFonts w:ascii="Times New Roman" w:hAnsi="Times New Roman"/>
            <w:color w:val="000000" w:themeColor="text1"/>
            <w:sz w:val="16"/>
            <w:szCs w:val="16"/>
          </w:rPr>
          <w:t xml:space="preserve">«SM.79bis» «Sparviero» </w:t>
        </w:r>
      </w:hyperlink>
      <w:r w:rsidRPr="00D03F3E">
        <w:rPr>
          <w:rFonts w:ascii="Times New Roman" w:hAnsi="Times New Roman"/>
          <w:color w:val="000000" w:themeColor="text1"/>
          <w:sz w:val="16"/>
          <w:szCs w:val="16"/>
        </w:rPr>
        <w:t>(разработчик: «Savoia Marchetti», Италия). На самолет установили двигатели «Альфа-Ромео» «128 RC».18 с винтами-автоматами «SIAI 32» без коков. Новый двигатель имел расчетную высоту 1800 м (вместо 3600 - у старого) и поэтому был выгоднее для низковысотного торпедоносца. Дополнительная мощность моторов несколько повысила максимальную и крейсерскую скорости самолёта. Систему впрыска спирта, разработанную для старых двигателей, сохранили. Убрали ненужную торпедоносцу подфюзеляжную гондолу, а пустующий бомбоотсек заняли бензобаком на 1000 л (предусмотрен был и вариант на 2300 л). В нижнем пулемёте торпедоносец тоже не нуждался - в атаку он выходил над самыми верхушками волн. Модернизировалирадиооборудованиеиприборы</w:t>
      </w:r>
      <w:r w:rsidRPr="00D03F3E">
        <w:rPr>
          <w:rFonts w:ascii="Times New Roman" w:hAnsi="Times New Roman"/>
          <w:color w:val="000000" w:themeColor="text1"/>
          <w:sz w:val="16"/>
          <w:szCs w:val="16"/>
          <w:lang w:val="en-US"/>
        </w:rPr>
        <w:t xml:space="preserve"> (15082).</w:t>
      </w:r>
    </w:p>
    <w:p w14:paraId="60B36E5D" w14:textId="77777777" w:rsidR="00D173AA" w:rsidRPr="00D03F3E" w:rsidRDefault="00D173AA" w:rsidP="00D03F3E">
      <w:pPr>
        <w:spacing w:after="0" w:line="240" w:lineRule="auto"/>
        <w:jc w:val="both"/>
        <w:rPr>
          <w:rFonts w:ascii="Times New Roman" w:hAnsi="Times New Roman"/>
          <w:color w:val="000000" w:themeColor="text1"/>
          <w:sz w:val="16"/>
          <w:szCs w:val="16"/>
          <w:lang w:val="en-US"/>
        </w:rPr>
      </w:pPr>
    </w:p>
    <w:p w14:paraId="0451FD42"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28 марта 1943 57 японских самолетов, базирующихся в Рабауле, 18 пикирующих бомбардировщиков Aichi D3A (союзническое название «Val») и 37 Mitsubishi A6M Zeros атакуют корабли союзников в заливе Оро у Новой Гвинеи, потопив транспорт армии США и голландское торговое судно (20376).</w:t>
      </w:r>
    </w:p>
    <w:p w14:paraId="586D8BEA" w14:textId="77777777" w:rsidR="00096973" w:rsidRPr="00D03F3E" w:rsidRDefault="00096973" w:rsidP="00D03F3E">
      <w:pPr>
        <w:spacing w:after="0" w:line="240" w:lineRule="auto"/>
        <w:jc w:val="both"/>
        <w:rPr>
          <w:rFonts w:ascii="Times New Roman" w:hAnsi="Times New Roman"/>
          <w:color w:val="0070C0"/>
          <w:sz w:val="16"/>
          <w:szCs w:val="16"/>
        </w:rPr>
      </w:pPr>
    </w:p>
    <w:p w14:paraId="5E9DBD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March 28 1943 1st "milch-cows" supply German subs at sea (1052).</w:t>
      </w:r>
    </w:p>
    <w:p w14:paraId="648B11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6359E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марта 1943 была использована первая подлодка-танкер (1052).</w:t>
      </w:r>
    </w:p>
    <w:p w14:paraId="11FBC5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C3C6D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2BAFD9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2F7B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в соответствии с письмом УВВС N 43734 В.К.К. совершил несанкционированный полет на Ил-4 из Нижнего Тагила на Казань и разбил машину в районе Вятских полян (1778,12).</w:t>
      </w:r>
    </w:p>
    <w:p w14:paraId="7C9AD3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A91A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вышло Постановление ГКО № 3088 О плане производства самолетов и моторов на II квартал 1943 года.РГАНИР, Фонд ГКО, д. 99, лл. 92-94 (11012).</w:t>
      </w:r>
    </w:p>
    <w:p w14:paraId="247D83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25D2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вышло Постановление ГКО № 3089 Об увеличении производства самолетной радиоаппаратуры.РГАНИР, Фонд ГКО, д. 99, лл. 95-96, 97-104 (11012).</w:t>
      </w:r>
    </w:p>
    <w:p w14:paraId="0C0707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B1DA7F" w14:textId="77777777" w:rsidR="00E04C7E" w:rsidRPr="00D03F3E" w:rsidRDefault="00E04C7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вышло Постановление ГКО № 3089 Об увеличении производства самолетной радиоаппаратуры</w:t>
      </w:r>
    </w:p>
    <w:p w14:paraId="3617E299" w14:textId="77777777" w:rsidR="00E04C7E" w:rsidRPr="00D03F3E" w:rsidRDefault="00E04C7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Ввиду того, что существукщие мощности радиозаводов Наркомэлектропрома не обеопечивакт потребности Наркомавиапрома в самолетной радиоаппаратуре к дальнейшее оснащение боевых самолетов современными средствами радиосвязи, Государстпенный Комитет Обороны постановляет:</w:t>
      </w:r>
    </w:p>
    <w:p w14:paraId="4D5CE4B8" w14:textId="77777777" w:rsidR="00E04C7E" w:rsidRPr="00D03F3E" w:rsidRDefault="00E04C7E" w:rsidP="00D03F3E">
      <w:pPr>
        <w:tabs>
          <w:tab w:val="left" w:pos="149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Наркомэлектропром - т.Кабанова немедленно начать подготовку производства радиополукомпасов РНК-10 на Ленинградском заподе № 616 и обеспечить выпуск на этом заводе</w:t>
      </w:r>
      <w:r w:rsidRPr="00D03F3E">
        <w:rPr>
          <w:rStyle w:val="Tahoma115pt"/>
          <w:rFonts w:ascii="Times New Roman" w:hAnsi="Times New Roman" w:cs="Times New Roman"/>
          <w:color w:val="000000" w:themeColor="text1"/>
          <w:sz w:val="16"/>
          <w:szCs w:val="16"/>
        </w:rPr>
        <w:t xml:space="preserve"> в</w:t>
      </w:r>
      <w:r w:rsidRPr="00D03F3E">
        <w:rPr>
          <w:rFonts w:ascii="Times New Roman" w:hAnsi="Times New Roman"/>
          <w:color w:val="000000" w:themeColor="text1"/>
          <w:sz w:val="16"/>
          <w:szCs w:val="16"/>
        </w:rPr>
        <w:t xml:space="preserve"> Ш квартале с.г. 200 комплектов радиополукомпасов.</w:t>
      </w:r>
    </w:p>
    <w:p w14:paraId="7FBF3836" w14:textId="77777777" w:rsidR="00E04C7E" w:rsidRPr="00D03F3E" w:rsidRDefault="00E04C7E" w:rsidP="00D03F3E">
      <w:pPr>
        <w:tabs>
          <w:tab w:val="left" w:pos="149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Возвратить Наркомэлектропрому ранее принадлежав</w:t>
      </w:r>
      <w:r w:rsidRPr="00D03F3E">
        <w:rPr>
          <w:rFonts w:ascii="Times New Roman" w:hAnsi="Times New Roman"/>
          <w:color w:val="000000" w:themeColor="text1"/>
          <w:sz w:val="16"/>
          <w:szCs w:val="16"/>
        </w:rPr>
        <w:softHyphen/>
        <w:t>ший ему завод № 2 Наркомата Обороны по балансу на 1 мар</w:t>
      </w:r>
      <w:r w:rsidRPr="00D03F3E">
        <w:rPr>
          <w:rFonts w:ascii="Times New Roman" w:hAnsi="Times New Roman"/>
          <w:color w:val="000000" w:themeColor="text1"/>
          <w:sz w:val="16"/>
          <w:szCs w:val="16"/>
        </w:rPr>
        <w:softHyphen/>
        <w:t>та с.г., сохранив на этом заводе производство</w:t>
      </w:r>
      <w:r w:rsidRPr="00D03F3E">
        <w:rPr>
          <w:rStyle w:val="Tahoma115pt"/>
          <w:rFonts w:ascii="Times New Roman" w:hAnsi="Times New Roman" w:cs="Times New Roman"/>
          <w:color w:val="000000" w:themeColor="text1"/>
          <w:sz w:val="16"/>
          <w:szCs w:val="16"/>
        </w:rPr>
        <w:t xml:space="preserve"> </w:t>
      </w:r>
      <w:r w:rsidRPr="00D03F3E">
        <w:rPr>
          <w:rStyle w:val="Tahoma115pt"/>
          <w:rFonts w:ascii="Times New Roman" w:hAnsi="Times New Roman" w:cs="Times New Roman"/>
          <w:smallCaps w:val="0"/>
          <w:color w:val="000000" w:themeColor="text1"/>
          <w:sz w:val="16"/>
          <w:szCs w:val="16"/>
        </w:rPr>
        <w:t>войсковых</w:t>
      </w:r>
      <w:r w:rsidRPr="00D03F3E">
        <w:rPr>
          <w:rStyle w:val="Tahoma115pt"/>
          <w:rFonts w:ascii="Times New Roman" w:hAnsi="Times New Roman" w:cs="Times New Roman"/>
          <w:color w:val="000000" w:themeColor="text1"/>
          <w:sz w:val="16"/>
          <w:szCs w:val="16"/>
        </w:rPr>
        <w:t xml:space="preserve"> </w:t>
      </w:r>
      <w:r w:rsidRPr="00D03F3E">
        <w:rPr>
          <w:rFonts w:ascii="Times New Roman" w:hAnsi="Times New Roman"/>
          <w:color w:val="000000" w:themeColor="text1"/>
          <w:sz w:val="16"/>
          <w:szCs w:val="16"/>
        </w:rPr>
        <w:t>радиостанций на уровне фактического выпуска в 1 квартала 1943 г.</w:t>
      </w:r>
    </w:p>
    <w:p w14:paraId="65DC79DC" w14:textId="77777777" w:rsidR="00E04C7E" w:rsidRPr="00D03F3E" w:rsidRDefault="00E04C7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Наркомэлектропром - т.Кабанова организовать на заводе № 2 производство радиополукомпасов РПК-2 и РП</w:t>
      </w:r>
      <w:r w:rsidRPr="00D03F3E">
        <w:rPr>
          <w:rFonts w:ascii="Times New Roman" w:hAnsi="Times New Roman"/>
          <w:color w:val="000000" w:themeColor="text1"/>
          <w:sz w:val="16"/>
          <w:szCs w:val="16"/>
          <w:lang w:val="en-US"/>
        </w:rPr>
        <w:t>K</w:t>
      </w:r>
      <w:r w:rsidRPr="00D03F3E">
        <w:rPr>
          <w:rFonts w:ascii="Times New Roman" w:hAnsi="Times New Roman"/>
          <w:color w:val="000000" w:themeColor="text1"/>
          <w:sz w:val="16"/>
          <w:szCs w:val="16"/>
        </w:rPr>
        <w:t xml:space="preserve">-10, обеспечив выпуск в июле с.г. 200 комплектов, в августе-сентябре по 500 комплектов и с октября с.г. по 800 комплектов </w:t>
      </w:r>
      <w:r w:rsidRPr="00D03F3E">
        <w:rPr>
          <w:rFonts w:ascii="Times New Roman" w:hAnsi="Times New Roman"/>
          <w:color w:val="000000" w:themeColor="text1"/>
          <w:sz w:val="16"/>
          <w:szCs w:val="16"/>
          <w:lang w:val="en-US"/>
        </w:rPr>
        <w:t>P</w:t>
      </w:r>
      <w:r w:rsidRPr="00D03F3E">
        <w:rPr>
          <w:rFonts w:ascii="Times New Roman" w:hAnsi="Times New Roman"/>
          <w:color w:val="000000" w:themeColor="text1"/>
          <w:sz w:val="16"/>
          <w:szCs w:val="16"/>
        </w:rPr>
        <w:t>П</w:t>
      </w:r>
      <w:r w:rsidRPr="00D03F3E">
        <w:rPr>
          <w:rFonts w:ascii="Times New Roman" w:hAnsi="Times New Roman"/>
          <w:color w:val="000000" w:themeColor="text1"/>
          <w:sz w:val="16"/>
          <w:szCs w:val="16"/>
          <w:lang w:val="en-US"/>
        </w:rPr>
        <w:t>K</w:t>
      </w:r>
      <w:r w:rsidRPr="00D03F3E">
        <w:rPr>
          <w:rFonts w:ascii="Times New Roman" w:hAnsi="Times New Roman"/>
          <w:color w:val="000000" w:themeColor="text1"/>
          <w:sz w:val="16"/>
          <w:szCs w:val="16"/>
        </w:rPr>
        <w:t>-2 и РПК-10 г месяц.</w:t>
      </w:r>
    </w:p>
    <w:p w14:paraId="563BCBB5" w14:textId="77777777" w:rsidR="00E04C7E" w:rsidRPr="00D03F3E" w:rsidRDefault="00E04C7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3. Подтвердить к выполнению постановление ГОКО 2732с от 10 января 1943 года об организации на заводе № 695 Иаркомэлектропрома производства радиопередатчиков </w:t>
      </w:r>
      <w:bookmarkStart w:id="13" w:name="bookmark1"/>
      <w:r w:rsidRPr="00D03F3E">
        <w:rPr>
          <w:rFonts w:ascii="Times New Roman" w:hAnsi="Times New Roman"/>
          <w:color w:val="000000" w:themeColor="text1"/>
          <w:sz w:val="16"/>
          <w:szCs w:val="16"/>
        </w:rPr>
        <w:t>РСИ-4.</w:t>
      </w:r>
      <w:bookmarkEnd w:id="13"/>
    </w:p>
    <w:p w14:paraId="4F02AFFA" w14:textId="77777777" w:rsidR="00E04C7E" w:rsidRPr="00D03F3E" w:rsidRDefault="00E04C7E" w:rsidP="00D03F3E">
      <w:pPr>
        <w:framePr w:h="420" w:vSpace="638" w:wrap="around" w:hAnchor="margin" w:x="6615" w:y="2"/>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IS</w:t>
      </w:r>
    </w:p>
    <w:p w14:paraId="3525DFC4" w14:textId="77777777" w:rsidR="00E04C7E" w:rsidRPr="00D03F3E" w:rsidRDefault="00E04C7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4. Обязать Наркомэлектропрома - т.Шабанова при всех условиях обеспечить поставку Наркомавиапрому в марте с.г. </w:t>
      </w:r>
      <w:r w:rsidRPr="00D03F3E">
        <w:rPr>
          <w:rStyle w:val="16"/>
          <w:rFonts w:ascii="Times New Roman" w:hAnsi="Times New Roman" w:cs="Times New Roman"/>
          <w:color w:val="000000" w:themeColor="text1"/>
          <w:spacing w:val="0"/>
          <w:u w:val="none"/>
        </w:rPr>
        <w:t xml:space="preserve">радиополукомпасов РПК-2 </w:t>
      </w:r>
      <w:r w:rsidRPr="00D03F3E">
        <w:rPr>
          <w:rFonts w:ascii="Times New Roman" w:hAnsi="Times New Roman"/>
          <w:color w:val="000000" w:themeColor="text1"/>
          <w:sz w:val="16"/>
          <w:szCs w:val="16"/>
        </w:rPr>
        <w:t xml:space="preserve">- </w:t>
      </w:r>
      <w:r w:rsidRPr="00D03F3E">
        <w:rPr>
          <w:rStyle w:val="0pt"/>
          <w:rFonts w:ascii="Times New Roman" w:hAnsi="Times New Roman" w:cs="Times New Roman"/>
          <w:color w:val="000000" w:themeColor="text1"/>
          <w:spacing w:val="0"/>
          <w:sz w:val="16"/>
          <w:szCs w:val="16"/>
        </w:rPr>
        <w:t>230</w:t>
      </w:r>
      <w:r w:rsidRPr="00D03F3E">
        <w:rPr>
          <w:rStyle w:val="16"/>
          <w:rFonts w:ascii="Times New Roman" w:hAnsi="Times New Roman" w:cs="Times New Roman"/>
          <w:color w:val="000000" w:themeColor="text1"/>
          <w:spacing w:val="0"/>
          <w:u w:val="none"/>
        </w:rPr>
        <w:t xml:space="preserve"> комплектов</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радиополуком</w:t>
      </w:r>
      <w:r w:rsidRPr="00D03F3E">
        <w:rPr>
          <w:rStyle w:val="16"/>
          <w:rFonts w:ascii="Times New Roman" w:hAnsi="Times New Roman" w:cs="Times New Roman"/>
          <w:color w:val="000000" w:themeColor="text1"/>
          <w:spacing w:val="0"/>
          <w:u w:val="none"/>
        </w:rPr>
        <w:softHyphen/>
        <w:t xml:space="preserve">пасов </w:t>
      </w:r>
      <w:r w:rsidRPr="00D03F3E">
        <w:rPr>
          <w:rFonts w:ascii="Times New Roman" w:hAnsi="Times New Roman"/>
          <w:color w:val="000000" w:themeColor="text1"/>
          <w:sz w:val="16"/>
          <w:szCs w:val="16"/>
        </w:rPr>
        <w:t xml:space="preserve">РПК—10 - </w:t>
      </w:r>
      <w:r w:rsidRPr="00D03F3E">
        <w:rPr>
          <w:rStyle w:val="16"/>
          <w:rFonts w:ascii="Times New Roman" w:hAnsi="Times New Roman" w:cs="Times New Roman"/>
          <w:color w:val="000000" w:themeColor="text1"/>
          <w:spacing w:val="0"/>
          <w:u w:val="none"/>
        </w:rPr>
        <w:t xml:space="preserve">800 комплектов, радиопередатчиков РСИ-4 </w:t>
      </w:r>
      <w:r w:rsidRPr="00D03F3E">
        <w:rPr>
          <w:rFonts w:ascii="Times New Roman" w:hAnsi="Times New Roman"/>
          <w:color w:val="000000" w:themeColor="text1"/>
          <w:sz w:val="16"/>
          <w:szCs w:val="16"/>
        </w:rPr>
        <w:t xml:space="preserve">- </w:t>
      </w:r>
      <w:r w:rsidRPr="00D03F3E">
        <w:rPr>
          <w:rStyle w:val="0pt"/>
          <w:rFonts w:ascii="Times New Roman" w:hAnsi="Times New Roman" w:cs="Times New Roman"/>
          <w:color w:val="000000" w:themeColor="text1"/>
          <w:spacing w:val="0"/>
          <w:sz w:val="16"/>
          <w:szCs w:val="16"/>
        </w:rPr>
        <w:t>1100</w:t>
      </w:r>
      <w:r w:rsidRPr="00D03F3E">
        <w:rPr>
          <w:rStyle w:val="16"/>
          <w:rFonts w:ascii="Times New Roman" w:hAnsi="Times New Roman" w:cs="Times New Roman"/>
          <w:color w:val="000000" w:themeColor="text1"/>
          <w:spacing w:val="0"/>
          <w:u w:val="none"/>
        </w:rPr>
        <w:t xml:space="preserve"> комплектов и радиоприемников УС-1 </w:t>
      </w:r>
      <w:r w:rsidRPr="00D03F3E">
        <w:rPr>
          <w:rFonts w:ascii="Times New Roman" w:hAnsi="Times New Roman"/>
          <w:color w:val="000000" w:themeColor="text1"/>
          <w:sz w:val="16"/>
          <w:szCs w:val="16"/>
        </w:rPr>
        <w:t xml:space="preserve">- </w:t>
      </w:r>
      <w:r w:rsidRPr="00D03F3E">
        <w:rPr>
          <w:rStyle w:val="0pt"/>
          <w:rFonts w:ascii="Times New Roman" w:hAnsi="Times New Roman" w:cs="Times New Roman"/>
          <w:color w:val="000000" w:themeColor="text1"/>
          <w:spacing w:val="0"/>
          <w:sz w:val="16"/>
          <w:szCs w:val="16"/>
        </w:rPr>
        <w:t>220</w:t>
      </w:r>
      <w:r w:rsidRPr="00D03F3E">
        <w:rPr>
          <w:rStyle w:val="16"/>
          <w:rFonts w:ascii="Times New Roman" w:hAnsi="Times New Roman" w:cs="Times New Roman"/>
          <w:color w:val="000000" w:themeColor="text1"/>
          <w:spacing w:val="0"/>
          <w:u w:val="none"/>
        </w:rPr>
        <w:t xml:space="preserve"> комплектов;</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в апрело </w:t>
      </w:r>
      <w:r w:rsidRPr="00D03F3E">
        <w:rPr>
          <w:rFonts w:ascii="Times New Roman" w:hAnsi="Times New Roman"/>
          <w:color w:val="000000" w:themeColor="text1"/>
          <w:sz w:val="16"/>
          <w:szCs w:val="16"/>
        </w:rPr>
        <w:t xml:space="preserve">с.г. </w:t>
      </w:r>
      <w:r w:rsidRPr="00D03F3E">
        <w:rPr>
          <w:rStyle w:val="16"/>
          <w:rFonts w:ascii="Times New Roman" w:hAnsi="Times New Roman" w:cs="Times New Roman"/>
          <w:color w:val="000000" w:themeColor="text1"/>
          <w:spacing w:val="0"/>
          <w:u w:val="none"/>
        </w:rPr>
        <w:t xml:space="preserve">радиополукомпасов РПК-2 </w:t>
      </w:r>
      <w:r w:rsidRPr="00D03F3E">
        <w:rPr>
          <w:rFonts w:ascii="Times New Roman" w:hAnsi="Times New Roman"/>
          <w:color w:val="000000" w:themeColor="text1"/>
          <w:sz w:val="16"/>
          <w:szCs w:val="16"/>
        </w:rPr>
        <w:t xml:space="preserve">- </w:t>
      </w:r>
      <w:r w:rsidRPr="00D03F3E">
        <w:rPr>
          <w:rStyle w:val="0pt"/>
          <w:rFonts w:ascii="Times New Roman" w:hAnsi="Times New Roman" w:cs="Times New Roman"/>
          <w:color w:val="000000" w:themeColor="text1"/>
          <w:spacing w:val="0"/>
          <w:sz w:val="16"/>
          <w:szCs w:val="16"/>
        </w:rPr>
        <w:t>230</w:t>
      </w:r>
      <w:r w:rsidRPr="00D03F3E">
        <w:rPr>
          <w:rStyle w:val="16"/>
          <w:rFonts w:ascii="Times New Roman" w:hAnsi="Times New Roman" w:cs="Times New Roman"/>
          <w:color w:val="000000" w:themeColor="text1"/>
          <w:spacing w:val="0"/>
          <w:u w:val="none"/>
        </w:rPr>
        <w:t xml:space="preserve"> комплектов,</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радиополукомпасов РШ-10 - комплексов, радиопере</w:t>
      </w:r>
      <w:r w:rsidRPr="00D03F3E">
        <w:rPr>
          <w:rStyle w:val="16"/>
          <w:rFonts w:ascii="Times New Roman" w:hAnsi="Times New Roman" w:cs="Times New Roman"/>
          <w:color w:val="000000" w:themeColor="text1"/>
          <w:spacing w:val="0"/>
          <w:u w:val="none"/>
        </w:rPr>
        <w:softHyphen/>
        <w:t xml:space="preserve">датчиков РСК-4 </w:t>
      </w:r>
      <w:r w:rsidRPr="00D03F3E">
        <w:rPr>
          <w:rFonts w:ascii="Times New Roman" w:hAnsi="Times New Roman"/>
          <w:color w:val="000000" w:themeColor="text1"/>
          <w:sz w:val="16"/>
          <w:szCs w:val="16"/>
        </w:rPr>
        <w:t xml:space="preserve">- </w:t>
      </w:r>
      <w:r w:rsidRPr="00D03F3E">
        <w:rPr>
          <w:rStyle w:val="0pt"/>
          <w:rFonts w:ascii="Times New Roman" w:hAnsi="Times New Roman" w:cs="Times New Roman"/>
          <w:color w:val="000000" w:themeColor="text1"/>
          <w:spacing w:val="0"/>
          <w:sz w:val="16"/>
          <w:szCs w:val="16"/>
        </w:rPr>
        <w:t>1200</w:t>
      </w:r>
      <w:r w:rsidRPr="00D03F3E">
        <w:rPr>
          <w:rStyle w:val="16"/>
          <w:rFonts w:ascii="Times New Roman" w:hAnsi="Times New Roman" w:cs="Times New Roman"/>
          <w:color w:val="000000" w:themeColor="text1"/>
          <w:spacing w:val="0"/>
          <w:u w:val="none"/>
        </w:rPr>
        <w:t xml:space="preserve"> комплектов к радиоприемников УС-1 </w:t>
      </w:r>
      <w:r w:rsidRPr="00D03F3E">
        <w:rPr>
          <w:rFonts w:ascii="Times New Roman" w:hAnsi="Times New Roman"/>
          <w:color w:val="000000" w:themeColor="text1"/>
          <w:sz w:val="16"/>
          <w:szCs w:val="16"/>
        </w:rPr>
        <w:t xml:space="preserve">- </w:t>
      </w:r>
      <w:r w:rsidRPr="00D03F3E">
        <w:rPr>
          <w:rStyle w:val="0pt"/>
          <w:rFonts w:ascii="Times New Roman" w:hAnsi="Times New Roman" w:cs="Times New Roman"/>
          <w:color w:val="000000" w:themeColor="text1"/>
          <w:spacing w:val="0"/>
          <w:sz w:val="16"/>
          <w:szCs w:val="16"/>
        </w:rPr>
        <w:t>300</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комплектов.</w:t>
      </w:r>
    </w:p>
    <w:p w14:paraId="090622CC" w14:textId="77777777" w:rsidR="00E04C7E" w:rsidRPr="00D03F3E" w:rsidRDefault="00E04C7E" w:rsidP="00D03F3E">
      <w:pPr>
        <w:tabs>
          <w:tab w:val="left" w:pos="963"/>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5. В связи с том, что завод № 20З Наркомелектропро</w:t>
      </w:r>
      <w:r w:rsidRPr="00D03F3E">
        <w:rPr>
          <w:rFonts w:ascii="Times New Roman" w:hAnsi="Times New Roman"/>
          <w:color w:val="000000" w:themeColor="text1"/>
          <w:sz w:val="16"/>
          <w:szCs w:val="16"/>
        </w:rPr>
        <w:t xml:space="preserve">ма </w:t>
      </w:r>
      <w:r w:rsidRPr="00D03F3E">
        <w:rPr>
          <w:rStyle w:val="16"/>
          <w:rFonts w:ascii="Times New Roman" w:hAnsi="Times New Roman" w:cs="Times New Roman"/>
          <w:color w:val="000000" w:themeColor="text1"/>
          <w:spacing w:val="0"/>
          <w:u w:val="none"/>
        </w:rPr>
        <w:t xml:space="preserve">сорвал в январе </w:t>
      </w:r>
      <w:r w:rsidRPr="00D03F3E">
        <w:rPr>
          <w:rFonts w:ascii="Times New Roman" w:hAnsi="Times New Roman"/>
          <w:color w:val="000000" w:themeColor="text1"/>
          <w:sz w:val="16"/>
          <w:szCs w:val="16"/>
        </w:rPr>
        <w:t xml:space="preserve">и </w:t>
      </w:r>
      <w:r w:rsidRPr="00D03F3E">
        <w:rPr>
          <w:rStyle w:val="16"/>
          <w:rFonts w:ascii="Times New Roman" w:hAnsi="Times New Roman" w:cs="Times New Roman"/>
          <w:color w:val="000000" w:themeColor="text1"/>
          <w:spacing w:val="0"/>
          <w:u w:val="none"/>
        </w:rPr>
        <w:t xml:space="preserve">феврале </w:t>
      </w:r>
      <w:r w:rsidRPr="00D03F3E">
        <w:rPr>
          <w:rFonts w:ascii="Times New Roman" w:hAnsi="Times New Roman"/>
          <w:color w:val="000000" w:themeColor="text1"/>
          <w:sz w:val="16"/>
          <w:szCs w:val="16"/>
        </w:rPr>
        <w:t>с.</w:t>
      </w:r>
      <w:r w:rsidRPr="00D03F3E">
        <w:rPr>
          <w:rStyle w:val="16"/>
          <w:rFonts w:ascii="Times New Roman" w:hAnsi="Times New Roman" w:cs="Times New Roman"/>
          <w:color w:val="000000" w:themeColor="text1"/>
          <w:spacing w:val="0"/>
          <w:u w:val="none"/>
        </w:rPr>
        <w:t>г, выпуск радиспелукомпасов РПК-10 и радиопередатчиков РСИ</w:t>
      </w:r>
      <w:r w:rsidRPr="00D03F3E">
        <w:rPr>
          <w:rStyle w:val="Consolas105pt0pt"/>
          <w:rFonts w:ascii="Times New Roman" w:hAnsi="Times New Roman" w:cs="Times New Roman"/>
          <w:color w:val="000000" w:themeColor="text1"/>
          <w:spacing w:val="0"/>
          <w:sz w:val="16"/>
          <w:szCs w:val="16"/>
        </w:rPr>
        <w:t>-4</w:t>
      </w:r>
      <w:r w:rsidRPr="00D03F3E">
        <w:rPr>
          <w:rStyle w:val="16"/>
          <w:rFonts w:ascii="Times New Roman" w:hAnsi="Times New Roman" w:cs="Times New Roman"/>
          <w:color w:val="000000" w:themeColor="text1"/>
          <w:spacing w:val="0"/>
          <w:u w:val="none"/>
        </w:rPr>
        <w:t xml:space="preserve"> и продолжает по</w:t>
      </w:r>
      <w:r w:rsidRPr="00D03F3E">
        <w:rPr>
          <w:rStyle w:val="16"/>
          <w:rFonts w:ascii="Times New Roman" w:hAnsi="Times New Roman" w:cs="Times New Roman"/>
          <w:color w:val="000000" w:themeColor="text1"/>
          <w:spacing w:val="0"/>
          <w:u w:val="none"/>
        </w:rPr>
        <w:softHyphen/>
        <w:t>ставлять их авиационным заводам в количествах, не обеспе</w:t>
      </w:r>
      <w:r w:rsidRPr="00D03F3E">
        <w:rPr>
          <w:rStyle w:val="16"/>
          <w:rFonts w:ascii="Times New Roman" w:hAnsi="Times New Roman" w:cs="Times New Roman"/>
          <w:color w:val="000000" w:themeColor="text1"/>
          <w:spacing w:val="0"/>
          <w:u w:val="none"/>
        </w:rPr>
        <w:softHyphen/>
        <w:t>чивающих комплектацию выпускаемых самолотов, разрешить</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Наркомавиапрому </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т.Шахурину временно, до 1 июля с.г.,</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устанавливать радиополукомпасы РПК-1С и радиопередатчики</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РСИ-4 на выпускаемые самолеты исходя из следующего ранее</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существовавшего соотношения:</w:t>
      </w:r>
    </w:p>
    <w:p w14:paraId="4B718F40" w14:textId="77777777" w:rsidR="00E04C7E" w:rsidRPr="00D03F3E" w:rsidRDefault="00E04C7E" w:rsidP="00D03F3E">
      <w:pPr>
        <w:tabs>
          <w:tab w:val="left" w:pos="978"/>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 xml:space="preserve">а) на </w:t>
      </w:r>
      <w:r w:rsidRPr="00D03F3E">
        <w:rPr>
          <w:rFonts w:ascii="Times New Roman" w:hAnsi="Times New Roman"/>
          <w:color w:val="000000" w:themeColor="text1"/>
          <w:sz w:val="16"/>
          <w:szCs w:val="16"/>
        </w:rPr>
        <w:t xml:space="preserve">каждый </w:t>
      </w:r>
      <w:r w:rsidRPr="00D03F3E">
        <w:rPr>
          <w:rStyle w:val="16"/>
          <w:rFonts w:ascii="Times New Roman" w:hAnsi="Times New Roman" w:cs="Times New Roman"/>
          <w:color w:val="000000" w:themeColor="text1"/>
          <w:spacing w:val="0"/>
          <w:u w:val="none"/>
        </w:rPr>
        <w:t>истребительный самолет устанавливать</w:t>
      </w:r>
      <w:r w:rsidRPr="00D03F3E">
        <w:rPr>
          <w:rFonts w:ascii="Times New Roman" w:hAnsi="Times New Roman"/>
          <w:color w:val="000000" w:themeColor="text1"/>
          <w:sz w:val="16"/>
          <w:szCs w:val="16"/>
        </w:rPr>
        <w:t xml:space="preserve"> радиоприемники и </w:t>
      </w:r>
      <w:r w:rsidRPr="00D03F3E">
        <w:rPr>
          <w:rStyle w:val="16"/>
          <w:rFonts w:ascii="Times New Roman" w:hAnsi="Times New Roman" w:cs="Times New Roman"/>
          <w:color w:val="000000" w:themeColor="text1"/>
          <w:spacing w:val="0"/>
          <w:u w:val="none"/>
        </w:rPr>
        <w:t>на каздый пятый самолет приемно-первдаю</w:t>
      </w:r>
      <w:r w:rsidRPr="00D03F3E">
        <w:rPr>
          <w:rStyle w:val="16"/>
          <w:rFonts w:ascii="Times New Roman" w:hAnsi="Times New Roman" w:cs="Times New Roman"/>
          <w:color w:val="000000" w:themeColor="text1"/>
          <w:spacing w:val="0"/>
          <w:u w:val="none"/>
        </w:rPr>
        <w:softHyphen/>
        <w:t xml:space="preserve">щую станцию </w:t>
      </w:r>
      <w:r w:rsidRPr="00D03F3E">
        <w:rPr>
          <w:rFonts w:ascii="Times New Roman" w:hAnsi="Times New Roman"/>
          <w:color w:val="000000" w:themeColor="text1"/>
          <w:sz w:val="16"/>
          <w:szCs w:val="16"/>
        </w:rPr>
        <w:t>РСИ-4;</w:t>
      </w:r>
    </w:p>
    <w:p w14:paraId="5E916B5B" w14:textId="77777777" w:rsidR="00E04C7E" w:rsidRPr="00D03F3E" w:rsidRDefault="00E04C7E" w:rsidP="00D03F3E">
      <w:pPr>
        <w:tabs>
          <w:tab w:val="left" w:pos="978"/>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 xml:space="preserve">б) </w:t>
      </w:r>
      <w:r w:rsidRPr="00D03F3E">
        <w:rPr>
          <w:rFonts w:ascii="Times New Roman" w:hAnsi="Times New Roman"/>
          <w:color w:val="000000" w:themeColor="text1"/>
          <w:sz w:val="16"/>
          <w:szCs w:val="16"/>
        </w:rPr>
        <w:t xml:space="preserve">на </w:t>
      </w:r>
      <w:r w:rsidRPr="00D03F3E">
        <w:rPr>
          <w:rStyle w:val="16"/>
          <w:rFonts w:ascii="Times New Roman" w:hAnsi="Times New Roman" w:cs="Times New Roman"/>
          <w:color w:val="000000" w:themeColor="text1"/>
          <w:spacing w:val="0"/>
          <w:u w:val="none"/>
        </w:rPr>
        <w:t>каждый самслит Ил-2 устанавливать радиоприемники и на каждый пятый самолет радиополукомпас РПК-10, в комплекте с</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приомко-поредающей станцией </w:t>
      </w:r>
      <w:r w:rsidRPr="00D03F3E">
        <w:rPr>
          <w:rFonts w:ascii="Times New Roman" w:hAnsi="Times New Roman"/>
          <w:color w:val="000000" w:themeColor="text1"/>
          <w:sz w:val="16"/>
          <w:szCs w:val="16"/>
        </w:rPr>
        <w:t>РСИ-4;</w:t>
      </w:r>
    </w:p>
    <w:p w14:paraId="0BD06B7C" w14:textId="77777777" w:rsidR="00E04C7E" w:rsidRPr="00D03F3E" w:rsidRDefault="00E04C7E" w:rsidP="00D03F3E">
      <w:pPr>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г) на каждый самолет Пе-2 устанавливать приемне-пе-</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редалщук станциг РСБ-Збис и на каждом третьем самолете</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радиополукомпас РПК-10.</w:t>
      </w:r>
    </w:p>
    <w:p w14:paraId="55B83D53" w14:textId="77777777" w:rsidR="00E04C7E" w:rsidRPr="00D03F3E" w:rsidRDefault="00E04C7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w:t>
      </w:r>
      <w:r w:rsidRPr="00D03F3E">
        <w:rPr>
          <w:rStyle w:val="16"/>
          <w:rFonts w:ascii="Times New Roman" w:hAnsi="Times New Roman" w:cs="Times New Roman"/>
          <w:color w:val="000000" w:themeColor="text1"/>
          <w:spacing w:val="0"/>
          <w:u w:val="none"/>
        </w:rPr>
        <w:t xml:space="preserve">1 июля </w:t>
      </w:r>
      <w:r w:rsidRPr="00D03F3E">
        <w:rPr>
          <w:rFonts w:ascii="Times New Roman" w:hAnsi="Times New Roman"/>
          <w:color w:val="000000" w:themeColor="text1"/>
          <w:sz w:val="16"/>
          <w:szCs w:val="16"/>
        </w:rPr>
        <w:t>с.г. вос</w:t>
      </w:r>
      <w:r w:rsidRPr="00D03F3E">
        <w:rPr>
          <w:rStyle w:val="16"/>
          <w:rFonts w:ascii="Times New Roman" w:hAnsi="Times New Roman" w:cs="Times New Roman"/>
          <w:color w:val="000000" w:themeColor="text1"/>
          <w:spacing w:val="0"/>
          <w:u w:val="none"/>
        </w:rPr>
        <w:t>становить ныне существующую комплек</w:t>
      </w:r>
      <w:r w:rsidRPr="00D03F3E">
        <w:rPr>
          <w:rStyle w:val="16"/>
          <w:rFonts w:ascii="Times New Roman" w:hAnsi="Times New Roman" w:cs="Times New Roman"/>
          <w:color w:val="000000" w:themeColor="text1"/>
          <w:spacing w:val="0"/>
          <w:u w:val="none"/>
        </w:rPr>
        <w:softHyphen/>
        <w:t>тацию самолетов радиопередающей аппаратурой.</w:t>
      </w:r>
    </w:p>
    <w:p w14:paraId="18158BB8" w14:textId="77777777" w:rsidR="00E04C7E" w:rsidRPr="00D03F3E" w:rsidRDefault="00E04C7E" w:rsidP="00D03F3E">
      <w:pPr>
        <w:tabs>
          <w:tab w:val="left" w:pos="1000"/>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 xml:space="preserve">6. Утвердить мероприятия по эаводам радиопремкшленности  (смю приложения) </w:t>
      </w:r>
      <w:r w:rsidRPr="00D03F3E">
        <w:rPr>
          <w:rFonts w:ascii="Times New Roman" w:hAnsi="Times New Roman"/>
          <w:color w:val="000000" w:themeColor="text1"/>
          <w:sz w:val="16"/>
          <w:szCs w:val="16"/>
        </w:rPr>
        <w:t>(19390).</w:t>
      </w:r>
    </w:p>
    <w:p w14:paraId="0D9DE145" w14:textId="77777777" w:rsidR="00EC198A" w:rsidRPr="00D03F3E" w:rsidRDefault="00EC198A"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D7DC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вышло решение ГОКО N 3089сс о комплектации самолетов РПК-10 в ограниченных объемах (1767,84).</w:t>
      </w:r>
    </w:p>
    <w:p w14:paraId="00284D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3101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был утвержден отчет по испытаниям Як-9У (736).</w:t>
      </w:r>
    </w:p>
    <w:p w14:paraId="6425F1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9C3831" w14:textId="77777777" w:rsidR="00D92347" w:rsidRPr="00D03F3E" w:rsidRDefault="00D9234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г. Постановлением Совнаркома СССР заводу № 600 утверждался план выпуска самолётов УТ-2МВ в количестве 200 машин, из них в 1 квартале – 35, во II квартале – 45, в III квартале – 56 и в IV квартале – 64. [9] Этот план оказался выполненным лишь частично в связи с принятым в мае 1943 г. решением об эвакуации завода. По-видимому, все УТ-2МВ, выпущенные заводом № 600, поступили в распоряжение советских ВВС. Правда, у Дёмина есть такой пассаж: «…. Началась организация выпуска учебных самолётов УТ-2 для Кульджинской и других китайских лётных щкол (машины также поставлялись и в СССР)». Однако автор данной статьи не обнаружил в документах завода никаких свидетельств поставки УТ-2МВ Китаю. Наряду с выпуском УТ-2МВ завод осуществлял также капитальный ремонт самолётов других типов СБ, И-16, И-15, Р-5. По предположению историка А.Дёмина, уже в январе 1943 г. у советского руководства возникли определённые сомнения о целесообразности продолжения производственной деятельности завода № 600 НКАП в Урумчи. Спустя некоторое время советское правительство приняло решение начать подготовку к отправке в СССР оборудования и персонала авиазавода, о чём китайскую сторону проинформировал генконсул СССР в Урумчи (19006).</w:t>
      </w:r>
    </w:p>
    <w:p w14:paraId="6A246E70" w14:textId="77777777" w:rsidR="00D92347" w:rsidRPr="00D03F3E" w:rsidRDefault="00D92347" w:rsidP="00D03F3E">
      <w:pPr>
        <w:spacing w:after="0" w:line="240" w:lineRule="auto"/>
        <w:jc w:val="both"/>
        <w:rPr>
          <w:rFonts w:ascii="Times New Roman" w:hAnsi="Times New Roman"/>
          <w:color w:val="000000" w:themeColor="text1"/>
          <w:sz w:val="16"/>
          <w:szCs w:val="16"/>
        </w:rPr>
      </w:pPr>
    </w:p>
    <w:p w14:paraId="12ADB93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2DA68C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6252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года Специальная комиссия, созданная Приказом НКО, в образцах пулемета Силина от первой опытной серийной партии обнаружила недостатки, которые препятствовали принятию данной системы на вооружение. Результаты полигонных испытаний оказались худшими, чем при проверке качества доработки образца перед запуском в серию: снижение надежности работы в затрудненных условиях, выпадение пуль при высоком темпе стрельбы, низкая живучесть отдельных деталей. Полигон объяснил это неполным выполнением своих рекомендаций по доработке. В результате было принято решение произвести дополнительную доработку пулемета, изготовить 5 образцов и провести дополнительные государственные испытания. На эти испытания доработанные ГВГ были поданы в мае, но уже вместе с доработанными ДС</w:t>
      </w:r>
      <w:r w:rsidRPr="00D03F3E">
        <w:rPr>
          <w:rFonts w:ascii="Times New Roman" w:hAnsi="Times New Roman"/>
          <w:color w:val="000000" w:themeColor="text1"/>
          <w:sz w:val="16"/>
          <w:szCs w:val="16"/>
        </w:rPr>
        <w:noBreakHyphen/>
        <w:t>39 (ДС</w:t>
      </w:r>
      <w:r w:rsidRPr="00D03F3E">
        <w:rPr>
          <w:rFonts w:ascii="Times New Roman" w:hAnsi="Times New Roman"/>
          <w:color w:val="000000" w:themeColor="text1"/>
          <w:sz w:val="16"/>
          <w:szCs w:val="16"/>
        </w:rPr>
        <w:noBreakHyphen/>
        <w:t>43).</w:t>
      </w:r>
    </w:p>
    <w:p w14:paraId="7BF846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 Силин начал работу над упрощенной конструкцией станкового пулемета еще в довоенное время (инв. № 11013 ПР). За истекший период его образец прошел шесть туров полигонных испытаний, связанных с различными доработками. Он дорабатывался вместе с пулеметом ГВГ как резервный дублирующий образец, так как имел рациональное короткое запирание ствола поперечно перемещающимся клином затвора и наиболее перспективную конструкцию ленты под прямую подачу патрона и в связи с тем, что у его «соперника» были отдельные недостатки, в возможности устранения которых полной уверенности не было. Но на последнем этапе В.И. Силин, видимо, «передоработал» свою систему, в связи с чем на ней появились новые, ранее не встречавшиеся недостатки (снижение живучести основных деталей, ухудшение кучности стрельбы). Дальнейшие работы по этому пулемету были прекращены в связи с укреплением позиции пулемета ГВГ после его доработки. Но и этот пулемет постигла неудача на первой опытной серии.</w:t>
      </w:r>
    </w:p>
    <w:p w14:paraId="7EBAF2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модернизации, проводившейся длительное время и тоже в конкурсном порядке, эксплуатационные характеристики системы Дегтярева намного повысились, но пулемет ГВГ, созданный на Ковровском заводе, был все же лучше. Он давал меньше задержек в стрельбе, имел меньше поломок деталей, был конструктивно проще для быстрого освоения в массовом производстве и в эксплуатации. Это подтвердил и сам В.А. Дегтярев, когда у Председателя ГКО решался вопрос, какой из этих двух названных пулеметов следует принять на вооружение армии.</w:t>
      </w:r>
    </w:p>
    <w:p w14:paraId="650141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Государственная комиссия под председательством генерал</w:t>
      </w:r>
      <w:r w:rsidRPr="00D03F3E">
        <w:rPr>
          <w:rFonts w:ascii="Times New Roman" w:hAnsi="Times New Roman"/>
          <w:color w:val="000000" w:themeColor="text1"/>
          <w:sz w:val="16"/>
          <w:szCs w:val="16"/>
        </w:rPr>
        <w:noBreakHyphen/>
        <w:t>майора С.А. Смирнова в мае 1943 года на основании результатов сравнительных испытаний двух разных систем рекомендовала пулемет ГВГ на облегченном станке Дегтярева для принятия на вооружение Красной Армии (11746).</w:t>
      </w:r>
    </w:p>
    <w:p w14:paraId="7C31C0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B25B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вышло Постановление ГКО № 3087 О переводе молотов завода № 701 Наркомчермета с сжатого воздуха на пар. (7091, 91).</w:t>
      </w:r>
    </w:p>
    <w:p w14:paraId="75A2B36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CA1D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вышло Распоряжение ГКО № 3090. Об уменьшении плана по производству боеприпасов заводами НКСМ на март 1943 года в связи с непоставкой заготовок и металла и неподачей электроэнергии.РГАНИР, Фонд ГКО, д. 99, лл. 105 (11012).</w:t>
      </w:r>
    </w:p>
    <w:p w14:paraId="4DCE84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AE55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вышло Постановление ГКО № 3092 Об улучшении качества танков, выпускаемых Наркомтанкопромом и Наркомсредмашем.РГАНИР, Фонд ГКО, д. 99, лл. 108-113 (11012).</w:t>
      </w:r>
    </w:p>
    <w:p w14:paraId="6911EB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755714" w14:textId="77777777" w:rsidR="00D173AA" w:rsidRPr="00D03F3E" w:rsidRDefault="00D173AA"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29 марта 1943 года вышло постановление Го</w:t>
      </w:r>
      <w:r w:rsidRPr="00D03F3E">
        <w:rPr>
          <w:rFonts w:ascii="Times New Roman" w:cs="Times New Roman"/>
          <w:color w:val="000000" w:themeColor="text1"/>
          <w:spacing w:val="0"/>
        </w:rPr>
        <w:softHyphen/>
        <w:t>сударственного Комитета Обороны № 3092сс «Об улучшении каче</w:t>
      </w:r>
      <w:r w:rsidRPr="00D03F3E">
        <w:rPr>
          <w:rFonts w:ascii="Times New Roman" w:cs="Times New Roman"/>
          <w:color w:val="000000" w:themeColor="text1"/>
          <w:spacing w:val="0"/>
        </w:rPr>
        <w:softHyphen/>
        <w:t>ства танков, выпускаемых Наркомтанкопро- мом и Наркомсредмашем». Этим докумен</w:t>
      </w:r>
      <w:r w:rsidRPr="00D03F3E">
        <w:rPr>
          <w:rFonts w:ascii="Times New Roman" w:cs="Times New Roman"/>
          <w:color w:val="000000" w:themeColor="text1"/>
          <w:spacing w:val="0"/>
        </w:rPr>
        <w:softHyphen/>
        <w:t>том намечался ряд мер, направленных на по</w:t>
      </w:r>
      <w:r w:rsidRPr="00D03F3E">
        <w:rPr>
          <w:rFonts w:ascii="Times New Roman" w:cs="Times New Roman"/>
          <w:color w:val="000000" w:themeColor="text1"/>
          <w:spacing w:val="0"/>
        </w:rPr>
        <w:softHyphen/>
        <w:t>вышение качества бронетанковой техники, а также вводились обязательные 300-киломе</w:t>
      </w:r>
      <w:r w:rsidRPr="00D03F3E">
        <w:rPr>
          <w:rFonts w:ascii="Times New Roman" w:cs="Times New Roman"/>
          <w:color w:val="000000" w:themeColor="text1"/>
          <w:spacing w:val="0"/>
        </w:rPr>
        <w:softHyphen/>
        <w:t>тровые пробеги (каждой сотой машины ме</w:t>
      </w:r>
      <w:r w:rsidRPr="00D03F3E">
        <w:rPr>
          <w:rFonts w:ascii="Times New Roman" w:cs="Times New Roman"/>
          <w:color w:val="000000" w:themeColor="text1"/>
          <w:spacing w:val="0"/>
        </w:rPr>
        <w:softHyphen/>
        <w:t>сяца) и ежемесячные испытания одного тан</w:t>
      </w:r>
      <w:r w:rsidRPr="00D03F3E">
        <w:rPr>
          <w:rFonts w:ascii="Times New Roman" w:cs="Times New Roman"/>
          <w:color w:val="000000" w:themeColor="text1"/>
          <w:spacing w:val="0"/>
        </w:rPr>
        <w:softHyphen/>
        <w:t>ка из ежемесячного выпуска на гарантийный километраж.</w:t>
      </w:r>
    </w:p>
    <w:p w14:paraId="039A862B" w14:textId="77777777" w:rsidR="00D173AA" w:rsidRPr="00D03F3E" w:rsidRDefault="00D173AA"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Непосредственно на Кировском заводе в апреле были проведены следующие меро</w:t>
      </w:r>
      <w:r w:rsidRPr="00D03F3E">
        <w:rPr>
          <w:rFonts w:ascii="Times New Roman" w:cs="Times New Roman"/>
          <w:color w:val="000000" w:themeColor="text1"/>
          <w:spacing w:val="0"/>
        </w:rPr>
        <w:softHyphen/>
        <w:t>приятия:</w:t>
      </w:r>
    </w:p>
    <w:p w14:paraId="5A19C250" w14:textId="77777777" w:rsidR="00D173AA" w:rsidRPr="00D03F3E" w:rsidRDefault="00D173AA"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Наведен порядок на материальных скла</w:t>
      </w:r>
      <w:r w:rsidRPr="00D03F3E">
        <w:rPr>
          <w:rFonts w:ascii="Times New Roman" w:cs="Times New Roman"/>
          <w:color w:val="000000" w:themeColor="text1"/>
          <w:spacing w:val="0"/>
        </w:rPr>
        <w:softHyphen/>
        <w:t>дах;</w:t>
      </w:r>
    </w:p>
    <w:p w14:paraId="294054B9" w14:textId="77777777" w:rsidR="00D173AA" w:rsidRPr="00D03F3E" w:rsidRDefault="00D173AA"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Введен контроль за заготовками литья и штамповки на их соответствие требуемым маркам стали;</w:t>
      </w:r>
    </w:p>
    <w:p w14:paraId="23FF18FF" w14:textId="77777777" w:rsidR="00D173AA" w:rsidRPr="00D03F3E" w:rsidRDefault="00D173AA"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Проверены все приспособления, штам</w:t>
      </w:r>
      <w:r w:rsidRPr="00D03F3E">
        <w:rPr>
          <w:rFonts w:ascii="Times New Roman" w:cs="Times New Roman"/>
          <w:color w:val="000000" w:themeColor="text1"/>
          <w:spacing w:val="0"/>
        </w:rPr>
        <w:softHyphen/>
        <w:t>пы, контрольный инструмент, используемый для изготовления узлов и деталей;</w:t>
      </w:r>
    </w:p>
    <w:p w14:paraId="0C6EB5AC" w14:textId="77777777" w:rsidR="00D173AA" w:rsidRPr="00D03F3E" w:rsidRDefault="00D173AA"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Проверены все станки на точность изго</w:t>
      </w:r>
      <w:r w:rsidRPr="00D03F3E">
        <w:rPr>
          <w:rFonts w:ascii="Times New Roman" w:cs="Times New Roman"/>
          <w:color w:val="000000" w:themeColor="text1"/>
          <w:spacing w:val="0"/>
        </w:rPr>
        <w:softHyphen/>
        <w:t>товления деталей;</w:t>
      </w:r>
    </w:p>
    <w:p w14:paraId="0E3C4275" w14:textId="77777777" w:rsidR="00D173AA" w:rsidRPr="00D03F3E" w:rsidRDefault="00D173AA"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Внесены все необходимые изменения в чертежи;</w:t>
      </w:r>
    </w:p>
    <w:p w14:paraId="38CE341B" w14:textId="77777777" w:rsidR="00D173AA" w:rsidRPr="00D03F3E" w:rsidRDefault="00D173AA"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Уточнены техпроцессы по всем деталям, сборкам и танкам в целом.</w:t>
      </w:r>
    </w:p>
    <w:p w14:paraId="59B1D316" w14:textId="77777777" w:rsidR="00D173AA" w:rsidRPr="00D03F3E" w:rsidRDefault="00D173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Выполнение всех этих мероприятий кон</w:t>
      </w:r>
      <w:r w:rsidRPr="00D03F3E">
        <w:rPr>
          <w:rFonts w:ascii="Times New Roman" w:hAnsi="Times New Roman"/>
          <w:color w:val="000000" w:themeColor="text1"/>
          <w:sz w:val="16"/>
          <w:szCs w:val="16"/>
        </w:rPr>
        <w:softHyphen/>
        <w:t>тролировалось представителями наркомата танковой промышленности (15226).</w:t>
      </w:r>
    </w:p>
    <w:p w14:paraId="15FBE6AF" w14:textId="77777777" w:rsidR="00D173AA" w:rsidRPr="00D03F3E" w:rsidRDefault="00D173AA" w:rsidP="00D03F3E">
      <w:pPr>
        <w:spacing w:after="0" w:line="240" w:lineRule="auto"/>
        <w:jc w:val="both"/>
        <w:rPr>
          <w:rFonts w:ascii="Times New Roman" w:hAnsi="Times New Roman"/>
          <w:color w:val="000000" w:themeColor="text1"/>
          <w:sz w:val="16"/>
          <w:szCs w:val="16"/>
        </w:rPr>
      </w:pPr>
    </w:p>
    <w:p w14:paraId="7BCD8C6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года постановлением ГКО № 3092 сс заводской и военпредовский пробеги Т-34 разделялись, при этом устанавливался их километраж в 30 и 50 км соответственно. Такое положение сохранялось на заводах, производящих Т-34, вплоть до конца 1946 года.</w:t>
      </w:r>
    </w:p>
    <w:p w14:paraId="17915565"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1942 года, по распоряжению ГАБТУ КА было дополнительно введено так называемое стационарное испытание, проводимое в сборочном цехе. Осуществлялось это таким образом.</w:t>
      </w:r>
    </w:p>
    <w:p w14:paraId="3D85B9D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Собранный танк предъявлялся контрольному мастеру ОТК, который после осмотра передавал его представителю военной приемки. Последний, проверив документацию машины, осматривает монтаж узлов и агрегатов, а также испытание работы двигателя в стационарных условиях на разных передачах. На стационарное испытание отводилось 45 минут, его результаты заносились в дело машины и журнал испытаний, и визируется контрольным мастером и военпредом. При этом если на танке обнаруживалась отступление от чертежей и техусловий, утвержденных ГБТУ КА, то стационарное испытание ей не засчитывалось, и военпред назначал повторное испытание.</w:t>
      </w:r>
    </w:p>
    <w:p w14:paraId="4E3839A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прохождения стационарного испытания, военпред дает заключение о соответствии собранного танка техусловиям и чертежам и готовности его к пробегам, после машина поступала в контрольно-сдаточный цех. При обнаружении каких-либо дефектов или отклонения от чертежей и техусловий. танк к заводскому пробегу не допускался до их устранения, а все дефекты заносились в дело машины.</w:t>
      </w:r>
    </w:p>
    <w:p w14:paraId="5E0800B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1943 году наркоматом танковой промышленности был поставлен вопрос об изменении техусловий, касающихся приемки танков на участках стационарного испытания. Мотивировалось это тем, что машины долго задерживались на этом участке, так как их принимал представитель ОТК, а затем военпред. ГБТУ КА удовлетворило эти требования, и с 2 октября 1943 года приемка на этом участке была снята, а военпреду разрешалось проверять таким образом только одну пятую часть всех танков, выпускаемых сборочным цехом.</w:t>
      </w:r>
    </w:p>
    <w:p w14:paraId="740FAEB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Помимо военпредов ГБТУ КА танки принимали и представители главного артиллерийского управления. При этом монтаж вооружения и оптики в башне производился на стенде, на котором проверяли:</w:t>
      </w:r>
    </w:p>
    <w:p w14:paraId="18AF6F17"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установку пушки, спаренного пулемета, прицела и смотровых приборов;</w:t>
      </w:r>
    </w:p>
    <w:p w14:paraId="1D45848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горизонтальный люфт на цапфах и вертикальный на секторе пушки;</w:t>
      </w:r>
    </w:p>
    <w:p w14:paraId="0EF9C0E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углы ее возвышения и снижения;</w:t>
      </w:r>
    </w:p>
    <w:p w14:paraId="1E69340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установку подъемного механизма и замер усилий на подъемном механизме;</w:t>
      </w:r>
    </w:p>
    <w:p w14:paraId="44FEDF64"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работу механизмов пушки, электрических и ручных спусков;</w:t>
      </w:r>
    </w:p>
    <w:p w14:paraId="00CCE52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производилась проверка пушки искусственным откатом и количество жидкости в тормозе отката и накатнике;</w:t>
      </w:r>
    </w:p>
    <w:p w14:paraId="4F80039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выверка прицела пушки и пулемета;</w:t>
      </w:r>
    </w:p>
    <w:p w14:paraId="7D16FD24"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Выпускброневой стали из мартеновскойпечив ковш. Завод № 174, 1944-1945 год (ЦАМО).</w:t>
      </w:r>
    </w:p>
    <w:p w14:paraId="75FA3D5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проверка установки и крепления верхнего погона башни и ее оборудования.</w:t>
      </w:r>
    </w:p>
    <w:p w14:paraId="1C104F2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установки проверенной башни на корпус танка проверялась работа поворотного механизма (от руки и электромотора), замер горизонтального люфта башни и усилий на маховике поворотного механизма при кренах танка (0, 5, 10 и 15 градусов), а также установка пулемета в лобовом листе корпуса и стопор крепления по-походному башни и пушки.</w:t>
      </w:r>
    </w:p>
    <w:p w14:paraId="38B89010"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Проверка установки башни на корпус осуществляясь до октября 1943 года, после чего была отменена ГБТУ КА.</w:t>
      </w:r>
    </w:p>
    <w:p w14:paraId="1B7B7EF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каждый десятый танк по выбору военпреда испытывался стрельбой на полигоне (из пушки и пулеметов), а также осматривался на предмет приведения пулеметов к нормальному бою. На каждом огнеметном ТО-34 производилось испытание действия огнемета на заводском полигоне.</w:t>
      </w:r>
    </w:p>
    <w:p w14:paraId="6BC1C82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Собранные и прошедшие стационарную проверку и контроль монтажа вооружения танки передавались в контрольно-сдаточный цех, откуда направлялись в заводской пробег, во время которого представители производства и ОТК проверяли правильность монтажа, регулировки и работы механизмов. После этой обкатки и устранения обнаруженных дефектов, машина поступала в приемо-сдаточный военпредовс- кий пробег, но перед этим проводился ее тщательный осмотр, при этом особое внимание уделялось на дефектам, выявленным в предыдущих испытаниях и их устранению. В ходе сдаточного пробега военпред, совместно с представителями ОТК завода, вели наблюдение за работой всех агрегатов, механизмов и приборов. После пробега выявленные дефекты записывались в дело машины и военпредовский журнал пробегов и устранялись. Если неполадка требовала выемки, замены или разборки какого-либо агрегата, пробег танку не засчитывался, и после ремонта он шел на повторное, контрольное испытание. При этом километраж назначался военпредом, но не более 30 км.</w:t>
      </w:r>
    </w:p>
    <w:p w14:paraId="0429646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прохождения военпредовс- кого пробега танк поступал на участок окончательной сдачи, где производилась подтяжка всех соединений, установка боеукладки, комплектование возимым ЗИПом и инструментом.</w:t>
      </w:r>
    </w:p>
    <w:p w14:paraId="42FCA4C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Затем танк осматривался представителем ОТК завода и предъявлялся военпреду для окончательной приемки под пломбу. Эта приемка оформлялась в деле машины, в журнале пробегов военпреда и журнале окончательно принятых машин. На последние военпред, совместно с отделом сбыта завода оформлял акт и выписывал удостоверение на оплату принятого танка.</w:t>
      </w:r>
    </w:p>
    <w:p w14:paraId="714AEB7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Окончательно принятые машины комплектуются экипажами из числа прибывших из запасных частей, находящихся при заводе. Из экипажей формируются маршевые роты, которые проводят учения — как правило, марш в 30 км. После ротных учений производился тщательный осмотр танка в целом и обязательно его коробки перемены передач. Все выявленные дефекты заносились в дело машины и устранялись заводом в течение суток после марша. Исправленный танк после осмотра представителем военной приемки дозаправляется топливом и водой, заправляется новым маслом, и в него загружался боекомплект. Посте этого машина окрашивалась и считалась готовой к отправке.</w:t>
      </w:r>
    </w:p>
    <w:p w14:paraId="6239224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летнее время погрузка танков в эшелоны производилась своим ходом, а консервация проводилась уже на железнодорожной платформе. Зимой же по приказу ГАБТУ КА танки готовились к отправке и грузились для отправки в контрольно-сдаточном цехе, как правило, 30-тонными кранами. При этом после слива воды из системы охлаждения водяная помпа проливалась антифризом и заправлялась одним литром спирта. Масло, антифриз и аккумуляторы перевозились отдельно от танков в теплушках.</w:t>
      </w:r>
    </w:p>
    <w:p w14:paraId="44E3FD97"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Одновременно с машинами тем же железнодорожными транспортами отправлялись два боекомплекта (третий находился в машинах) и ротный ЗИП.</w:t>
      </w:r>
    </w:p>
    <w:p w14:paraId="79846BD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приемке танка экипаж расписывался в формуляре танка, военпред и командир маршевой роты составляли акт о сдаче и приемке машин. После погрузки танков, ЗИПа и боекомплектов, начальник эшелона получал документы на ЗИП и аттестаты на боеприпасы и горючее, и совместно с военпредом составлял приемо-сдаточный акт. На основании этих актов старший военпред завода и высылал в танковое управление ГБТУ КА сведения об отгруженных танках.</w:t>
      </w:r>
    </w:p>
    <w:p w14:paraId="682AC73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дела машины, военная приемка вела следующую документацию:</w:t>
      </w:r>
    </w:p>
    <w:p w14:paraId="4C2A53C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Журнал пробегов, где фиксировались дефекты, вскрытые при стационарном испытании, в заводском пробеге, в приемо-сдаточном пробеге и при окончательной сдаче.</w:t>
      </w:r>
    </w:p>
    <w:p w14:paraId="0EDD440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Журнал окончательной приемки машин (форма № 7), куда заносились номера машин, корпусов, башен, коробок перемены передач, вооружения, оптики и т.д.</w:t>
      </w:r>
    </w:p>
    <w:p w14:paraId="59886E2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Ежедневно по «ВЧ» старший военпред завода докладывает в танковое управление ГБТУ КА о количестве собранных, прошедших военп- редовский пробег, принятых, отгруженных и оставшихся на заводе машинах. Ежемесячно в танковое управление направлялся письменный отчет о количестве и качестве принятых машин, о характерных дефектах, обнаруженных в течение месяца, и принятых мерах по их устранению.</w:t>
      </w:r>
    </w:p>
    <w:p w14:paraId="61F5C5C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Летом 1942 года постановлением ГКО «для проверки обеспечения технологией, надежности и работы механизмов, узлов, креплений и регулировки», каждый сотый выпускаемый заводами танк подвергался испытанию пробегом на 300 км. Сначала программы этих испытаний разрабатывались непосредственно на заводах, главным инженером совместно со старшим военпредом, а с 1943 года утверждались и высылались ГБТУ КА.</w:t>
      </w:r>
    </w:p>
    <w:p w14:paraId="2CB20CD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года появилось постановление Государственного Комитета Обороны № 3092 сс, посвященное повышению качества выпускаемы танков Т-34. Среди прочих мер предписывались проводить испытание на гарантийный километраж (постановлением ГКО установлен в 2000 километров, но с лета 1943 года специальным приказом уменьшен до 1000 км) по одной тридцатьчетверки ежемесячно от завода № 183 (как головного) и раз в два месяца по одному Т-34 всех остальных заводов. В соответствии с этим постановлением была разработана специальная программа, согласно которой танки должны были проходить испытания вдали от заводов, совершая длительные марши на 300-500 км на максимально возможных для данных дорог скоростях. Предписывалось испытывать радийные машины полностью укомплектованные и догруженные до полной боевой массы. Уход за танками должен был производиться на основе инструкций и наставлений по обслуживанию и эксплуатации танков, изданных в 1942-1943 годах, войсковой ремонт разрешалось производить в полевых условиях только инструментом и деталями возимого ЗИПа. Местом проведения испытаний был назначен НИБТ полигон. Программа испытаний включала в себя следующее.</w:t>
      </w:r>
    </w:p>
    <w:p w14:paraId="45A32C8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Общий гарантийный километраж в 1000 километров, из них булыжное шоссе - 250 км, фунтовые и проселочные дороги - 500 км и целина 250 км. В процессе испытаний требовалось провести безостановочный пробег по фунтовой дороге на 100 км, один пробег на полную заправку, 50-километровый пробег с незасто- поренной башней и 50-километровый с закрытыми люками.</w:t>
      </w:r>
    </w:p>
    <w:p w14:paraId="1FF03F7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в ходе испытаний требовалось проверить следующее:</w:t>
      </w:r>
    </w:p>
    <w:p w14:paraId="5EC06F55"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во время движения 50 раз поднять и опустить пушку (на максимальный и минимальные углы) и повести 30 полных оборотов башни от руки и 10 раз электромотором;</w:t>
      </w:r>
    </w:p>
    <w:p w14:paraId="177BF050"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сделать 10 поворотов танка на 360 градусов на мягком фунте;</w:t>
      </w:r>
    </w:p>
    <w:p w14:paraId="08BEFE2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пройти по косогору в 15 - 20 фа- дусов расстояние 1-1,5 километра с разворотами на 180 градусов вправо и влево по четыре раза;</w:t>
      </w:r>
    </w:p>
    <w:p w14:paraId="22284CB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проверить тормоза танка, сделав остановку при движении на высшей передаче на середине стека длиной 30-40 метров с уклоном 10 градусов;</w:t>
      </w:r>
    </w:p>
    <w:p w14:paraId="7F141E0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преодолеть подъем 35 градусов и длиной не менее 25 метров на 1 -й передаче и задним ходом:</w:t>
      </w:r>
    </w:p>
    <w:p w14:paraId="41D12E6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определить среднюю скорость движения танка по шоссе, фунтовой дороге и целине.</w:t>
      </w:r>
    </w:p>
    <w:p w14:paraId="10ED743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проверить работу поворотного механизма башни на крене в 12— 15 фадусов вручную и от электромотора;</w:t>
      </w:r>
    </w:p>
    <w:p w14:paraId="008F48A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произвести буксировку танка такого же типа на расстояние 20 километров, из них 10 по целине и 10 по грунтовой дороге;</w:t>
      </w:r>
    </w:p>
    <w:p w14:paraId="13E3FCA0"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произвести отстрел из пушки и пулеметов полного боекомплекта с последующей проверкой координат</w:t>
      </w:r>
    </w:p>
    <w:p w14:paraId="2C5F4F8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прицела (это испытание проводилось по специальной программе);</w:t>
      </w:r>
    </w:p>
    <w:p w14:paraId="5F7BE03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испытание электрооборудования танка (также проводилось по спецпрограмме).</w:t>
      </w:r>
    </w:p>
    <w:p w14:paraId="2E55E6E7"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Перед гарантийными испытаниями проводилась полная регулировка всех механизмов танка, он пол- ностьтью заправлялся и в него укладывалось все положенное по табелю имущество, после чего производилось взвешивание. Через каждые 500 пройденных километров велась проверка клиренса, прицельных координат, отдельных элементов электрооборудования, а также испытание радиостанции и ТПУ.</w:t>
      </w:r>
    </w:p>
    <w:p w14:paraId="3087F53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испытаний велась следующая документация: путевой журнал. дефектный акт (в нем фиксировались все поломки деталей и механизмов с указанием причин и способа устранения), календарный план испытаний, ведомость</w:t>
      </w:r>
    </w:p>
    <w:p w14:paraId="6AD671B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расхода горюче-смазочных материалов, журнал обслуживания, технического осмотра и регулировки всех механизмов. Отчет о проведении гарантийных испытаний танка оформлялся в четырех экземплярах и в 10-дневный срок направлялся в ГБТУ КА. НИБТ полигон. наркомат танковой промышленности и на завод-изготовитель. Выводы и заключение по результатам испытаний предоставлялись в 5-дневный срок после их окончания. В случае, если во время испытаний обнаруживался преждевременный износ или поломка агрегатов и деталей вследствие конструкторских или производственных дефектов, не ожидая окончания работы НИБТ полигон должен был известить об этом ГБТУ КА для принятия срочных мер к устранению дефекта.</w:t>
      </w:r>
    </w:p>
    <w:p w14:paraId="3FD5E25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считался выдержавшим гарантийные испытания, если он прошел по вышеуказанной программе 2000 километров без поломок агрегатов и деталей. В случае выхода из строя какой-либо детали или агрегата до выполнения всей программы, машина считалась не выдержавшей испытаний по этой детали (агрегата). После замены последней испытания вновь продолжались.</w:t>
      </w:r>
    </w:p>
    <w:p w14:paraId="0B59AB95"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ГКО № 3092 сс сыграло большую роль в повышении качества выпускаемых танков. С этого момента значительно повышалась ответственность руководителей всех уровней за изготовление боевых машин. А введение обязательных гарантийных испытаний позволило в короткие скоки выявить характерные недоработки в конструкции танков того или иного завода и оперативно принять меры к их устранению. Все это позволило с лета 1943 года значительно увеличить надежность работы тридцатьчетверок. Конечно, решить все существующие проблемы одним росчерком пера постановление ГКО не могло, недостатки и в конструкции, и в качестве Т-34 оставались, и зачастую весьма серьезные. Однако этот документ внес в систему приемки и испытаний серийных машин четкую систему, позволил наладить более четкое взаимодействие между различными организациями и ведомствами, что в конечном итоге привело к повышению качества танков Т-34 (12417).</w:t>
      </w:r>
    </w:p>
    <w:p w14:paraId="0A182389"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5B17FF4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года на основании постановления ГКО № 3092 ежемесячно один танк каждого завода испытывался на гарантийный километраж. Всего до конца войны такому испытанию подвергся 31 танк производства завода № 183, из них 16 (51,6%) выдержали испытания, а остальные нет.</w:t>
      </w:r>
    </w:p>
    <w:p w14:paraId="42A9560E"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часть танков испытывалась пробегами на 300 км. Например, из 215 танков завода № 183, испытывавшихся на такую дистанцию в 1942 - 1945 годах, испытания выдержали 136 машин (63,3%). Из оставшихся 79 машин - 29 Т-34 вышли из строя из-за поломок коробки перемены передач и 16 из-за разрушения опорных катков и подшипников ленивцев, 7 из-за неполадки контрольных приборов, 6 из-за поломки двигателей, 5 — водо-мас- ло-топливной системы, 4 - электрооборудования, 4 - вооружения, 3 - из-за течи через уплотнение горловины и главного вала коробки передач, 2 - из-за неполадок в работе бортового фрикциона, 2 - бортовой передачи и 1 - гусеницы.</w:t>
      </w:r>
    </w:p>
    <w:p w14:paraId="75573C50"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Что касается военпредовских приемо-сдаточных пробегов, то из 26007 Т-34, принятых за период войны, с первого пробега приняли 23967 (92,12%), с первого контрольного пробега 1887 (7,3%), со второго - 143 (0,55%) и с третьего 10 (0,03%). Больше всего недостатков во время приемо-сдаточных пробегов было выявлено по отделению трансмиссии (6279 или 78%), затем шла моторная группа (1120 или 14%) и ходовая часть (653 или 8%).</w:t>
      </w:r>
    </w:p>
    <w:p w14:paraId="2EB1B21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Что касается рекламаций, поступивших из Действующей Армии, то за 1942 - 1945 года завод № 183 получил их на 1067 танков, что составляло 4,17% к общему количеству отправленных в войска. Больше всего нареканий приходилось на качество двигателей В-2-34, шестерен коробки перемены передач, разрушение подшипников бортовой передачи и ленивцев, а также трещины в бронекорпусах (12217).</w:t>
      </w:r>
    </w:p>
    <w:p w14:paraId="720ACF7C"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23C6B6CB" w14:textId="77777777" w:rsidR="00DD601B" w:rsidRPr="00D03F3E"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29 марта 1943 года вышло постановление ГКО №3092, в котором у завода потребовали улучшить качество выпускаемых ГАЗ Т-70. В результате конструкторское бюро ГАЗ форсировало работу над улучшениями. С 20 апреля в конструкцию серийного танка был введен новый масляный фильтр, также на машины начали ставиться карбюраторы К-43. С 18 апреля переделали выхлопную систему, устранив возможность получения ожогов у десанта. С 10 апреля изменился кронштейн ленивца. В общей сложности за апрель-май 1943 года было внедрено 37 изменений. Все эти меры привели к тому, что качество заводской продукции заметно выросло. Впрочем, оставались проблемы со смежниками, прежде всего это касалось коробок переключения передач ЗИС-5, которые выпускались в Миассе (17695).</w:t>
      </w:r>
    </w:p>
    <w:p w14:paraId="195F4F35" w14:textId="77777777" w:rsidR="00DD601B" w:rsidRPr="00D03F3E" w:rsidRDefault="00DD601B" w:rsidP="00D03F3E">
      <w:pPr>
        <w:spacing w:after="0" w:line="240" w:lineRule="auto"/>
        <w:jc w:val="both"/>
        <w:rPr>
          <w:rFonts w:ascii="Times New Roman" w:eastAsia="Times New Roman" w:hAnsi="Times New Roman"/>
          <w:color w:val="000000" w:themeColor="text1"/>
          <w:sz w:val="16"/>
          <w:szCs w:val="16"/>
          <w:lang w:eastAsia="ru-RU"/>
        </w:rPr>
      </w:pPr>
    </w:p>
    <w:p w14:paraId="786E66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вышло Постановление ГКО № 3094 О вводе в 1943 году в действие Губахинского азотного завода Наркомхимпрома.РГАНИР, Фонд ГКО, д. 99, лл. 116-120, 121-135 (11012).</w:t>
      </w:r>
    </w:p>
    <w:p w14:paraId="3E58F9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6426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вышло Постановление ГКО № 3095 О мерах обеспечения бесперебойного производства и поставок целлюлозы для пороховых заводов.РГАНИР, Фонд ГКО, д. 99, лл. 136-145, 146-152 (11012).</w:t>
      </w:r>
    </w:p>
    <w:p w14:paraId="7B2401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60A23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г. ИЗ ДОКЛАДНОЙ ЗАПИСКИ СЕКРЕТАРЯ ОБКОМА ВКП(б) А.Ф. ЖИГАЛЬСКОГО «О СОСТОЯНИИ И РАБОТЕ НОВОСИБИРСКИХ ЗАВОДОВ ЭЛЕКТРОПРОМЫШЛЕННОСТИ», НАПРАВЛЕННОЙ СЕКРЕТАРЮ ОБКОМА ВКП(б) М.В. КУЛАГИНУ</w:t>
      </w:r>
    </w:p>
    <w:p w14:paraId="293BC82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дата: 22-01-2011, 22:22просмотров: 306 раздел: </w:t>
      </w:r>
      <w:r w:rsidR="008E66C5" w:rsidRPr="00D03F3E">
        <w:rPr>
          <w:rFonts w:ascii="Times New Roman" w:hAnsi="Times New Roman"/>
          <w:color w:val="000000" w:themeColor="text1"/>
          <w:sz w:val="16"/>
          <w:szCs w:val="16"/>
        </w:rPr>
        <w:fldChar w:fldCharType="begin"/>
      </w:r>
      <w:r w:rsidR="008E66C5" w:rsidRPr="00D03F3E">
        <w:rPr>
          <w:rFonts w:ascii="Times New Roman" w:hAnsi="Times New Roman"/>
          <w:color w:val="000000" w:themeColor="text1"/>
          <w:sz w:val="16"/>
          <w:szCs w:val="16"/>
        </w:rPr>
        <w:instrText xml:space="preserve">ref HYPERLINK "http://war1945.ru/def_industry_novosibirsk/" \* MERGEFORMAT </w:instrText>
      </w:r>
      <w:r w:rsidR="008E66C5" w:rsidRPr="00D03F3E">
        <w:rPr>
          <w:rFonts w:ascii="Times New Roman" w:hAnsi="Times New Roman"/>
          <w:color w:val="000000" w:themeColor="text1"/>
          <w:sz w:val="16"/>
          <w:szCs w:val="16"/>
        </w:rPr>
        <w:fldChar w:fldCharType="separate"/>
      </w:r>
      <w:r w:rsidRPr="00D03F3E">
        <w:rPr>
          <w:rFonts w:ascii="Times New Roman" w:hAnsi="Times New Roman"/>
          <w:color w:val="000000" w:themeColor="text1"/>
          <w:sz w:val="16"/>
          <w:szCs w:val="16"/>
        </w:rPr>
        <w:t>Оборонная промышленность</w:t>
      </w:r>
      <w:r w:rsidR="008E66C5" w:rsidRPr="00D03F3E">
        <w:rPr>
          <w:rFonts w:ascii="Times New Roman" w:hAnsi="Times New Roman"/>
          <w:color w:val="000000" w:themeColor="text1"/>
          <w:sz w:val="16"/>
          <w:szCs w:val="16"/>
        </w:rPr>
        <w:fldChar w:fldCharType="end"/>
      </w:r>
    </w:p>
    <w:p w14:paraId="757A9ED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617</w:t>
      </w:r>
    </w:p>
    <w:p w14:paraId="7C2D798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Строительство завода в основной своей массе удовлетворительное, так как основные здания построены и оборудуются капитально: главное здание, газовый завод, газоочистнтельная станция, стекольный завод, трансформаторная подстанция, водородная станция, компрессорная. Продукция, изготовляемая заводом, в настоящее время максимально сужена, и выпуску подлежат только лампы, идущие на удовлетворение нужд фронта и важнейших оборонных отраслей народного хозяйства. В настоящее время завод располагает достаточной группой крупных специалистов вакуумной техники (Векшинский, Зусмановский, Мошкович и другие), способных обеспечить разработку новейших образцов, организацию производства. Завод также имеет в цехах опытных начальников, хорошо знающих свое дело. Значительно хуже обстоит вопрос с рабочей силой. В настоящее время завод имеет недокомплект в размере 1 000 человек. Из имеющихся в настоящее время 3 000 человек рабочих высокую квалификацию имеет весьма незначительное количество, которое до сих пор не пополнено, вследствие слабой работы по подготовке квалифицированных кадров. Нехватка рабочих кадров, в том числе и неквалифицированных, будет все время нарастать по мере окончания строительством и вводом в строй отдельных </w:t>
      </w:r>
      <w:r w:rsidRPr="00D03F3E">
        <w:rPr>
          <w:rFonts w:ascii="Times New Roman" w:hAnsi="Times New Roman"/>
          <w:color w:val="000000" w:themeColor="text1"/>
          <w:sz w:val="16"/>
          <w:szCs w:val="16"/>
        </w:rPr>
        <w:lastRenderedPageBreak/>
        <w:t>участков завода: газовый завод, стекольный завод, инструментальный цех и другие. Подсобное хозяйство завода в прошлом году дало весьма незначительный урожай, а поэтому питание работников завода не может быть улучшено этим путем. Работа ОРСа не может быть признана удовлетворительной и требует резкого улучшения. Бытовые условия значительного количества рабочих неудовлетворительные, а жилищные условия 150 человек (совместно с членами семьи) - тяжелые.</w:t>
      </w:r>
    </w:p>
    <w:p w14:paraId="779CD40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644</w:t>
      </w:r>
    </w:p>
    <w:p w14:paraId="567F57E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в настоящее время достаточно окреп и набрал темпы, позволяющие выполнять задаваемый наркоматом производственный план как по объему, так и по номенклатуре, чего в настоящее время систематически еще нет из-за исключительных трудностей получения в срок продукции поставщиков: автомашин, автоприцепов, двигателей внутреннего горения и некоторых других изделий. Однако серьезным недостатком по выпуску заводом готовых изделий является незначительный объем этой продукции, который не только не возрос по сравнению с довоенным объемом, а составляет в настоящее время еще 71% от объема мирного времени. Основной причиной такого неудовлетворительного положения является резкое уменьшение производственных площадей, полученных заводом в городе Новосибирске (13 тыс. м против 72 тыс. м , имевшихся у завода в Москве). Кроме того, разбросанность завода в 4 отдельных филиалах на расстоянии 1—1,5 километра не позволяет использовать площади с максимальной эффективностью. Руководство завода пошло по правильному пути, направив максимум внимания на капитальное строительство на одной площадке (бывший трампарк). Строительные работы новых зданий проводятся капитально и по качеству удовлетворительны. Однако сильно затянувшееся по срокам окончание строительством и монтажом отдельных корпусов и цехов не позволяет заводу и до сих пор резко увеличить выпуск прожекторов и других изделий, необходимых фронту. В настоящее время форсируются работы по вводу в строй корпуса площадью 4 000 м2 к 1 апреля и второго корпуса площадью 4 000 м2 к 1 мая. Значительно напряженнее продолжают вести работу подсобные и вспомогательные цеха (чугунолитейный, а также инструментальный цех). Эти участки до сих пор являются серьезным препятствием равномерной работы завода. Завод располагает достаточной группой опытных специалистов по проектированию и производству прожекторов, а также опытных начальников цехов и мастеров, изучивших и знающих свое дело работников. Остро стоит вопрос с нехваткой рабочей силы, в настоящее время недокомплект составляет 475 человек. Подготовка высококвалифицированной рабочей силы, особенно в инструментальном цехе, проходит неудовлетворительными темпами. Нехватка рабочей силы в дальнейшем еще больше возрастет по мере ввода в строй новых производственных площадей. Подсобное хозяйство завода дало летом 1942 года незначительный урожай, и поэтому питание рабочих не может быть улучшено за счет овощей подсобного хозяйства. Работа ОРСа до сих пор также не налажена и не упорядочена должным образом. Бытовые условия значительного количества рабочих неудовлетворительные, а жилищные условия 80 человек (совместно с членами семьи) тяжелые (живут в землянках 80 человек). Для устранения этого заводу, наряду со строительством заводских площадей, необходимо теперь же приступить к строительству деревянных домов из материала, полученного из Нарыма летом 1942 года.</w:t>
      </w:r>
    </w:p>
    <w:p w14:paraId="6E5D0645"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590</w:t>
      </w:r>
    </w:p>
    <w:p w14:paraId="01C689D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590 является единственным заводом из всех эвакуированных предприятий Наркомэлектропрома, который вывез не только полностью свое оборудование, но вывез также весь необходимый монтажный и различный другой материал и инструмент. Это позволило монтаж и пуск завода провести в самые сжатые сроки. Завод № 590 оборудован новейшим специальным импортным оборудованием высокой производительности и новейшей технологии и в довоенное время являлся самым передовым заводом по производству широковещательной радиоприемной аппаратуры.В настоящее время, как это показывают итоги работы, завод быстро перестроился на изготовление специальной приемной аппаратуры и производит ее с большим успехом, чем это имеет место на бывшем московском заводе № 203 в настоящее время в Саранске и заводе № 210 имени Козицкого в Ленинграде и в городе Омске. Несмотря на ряд больших трудностей организации работы завода на новом месте, в совершенно неприспособленных помещениях, коллектив завода, и, в первую очередь, его кадры, сохранили высокую культуру производства массового выпуска радиоприемных устройств. На заводе крепко сложились хорошие традиции: все время совершенствовать организацию производства, технологическая дисциплина является законом для всех работающих, и никто не может ее безнаказанно игнорировать, неустанно бороться за марку завода, отсутствие деляческого подхода при решении вопросов и задач, стоящих перед отдельными участками и всем заводом в целом. Все это создало в итоге условия, когда у завода № 590 много есть чему поучиться другим заводам радиопромышленности. Руководство завода сумело сохранить также крепкий коллектив руководящих кадров, который, будучи воспитан в духе вышеуказанных традиций, успешно обучает молодые кадры высокой производительности и производственной культуре. В настоящее время завод ощущает недостаток в рабочей силе, недокомплект, который в настоящее время составляет 500 человек. Завод размещается в настоящее время на 4 площадках. Основная площадка завода выбрана неудачно, так как ее делит уличная магистраль (ул. Добролюбова) и железнодорожная магистраль, что сильно усложняет межцеховую транспортировку деталей, пропускной режим и другие неудобства. Размер каждой площадки не позволяет и в дальнейшем сосредоточить основную массу цехов в одном заводском дворе. Темпы капитального строительства в настоящее время неудовлетворительны, а это сильно усложняет работу завода, к тому же два филиала далеко отстоят от завода (первый — на 2 километра и второй — на 5 километров). Бытовые условия значительного количества рабочих завода и до настоящего времени продолжают оставаться неудовлетворительными. 350 человек живут в землянках, сырых и плохо сделанных. Форсирование начатого жилстроительства в течение лета устранит эти недостатки.</w:t>
      </w:r>
    </w:p>
    <w:p w14:paraId="38A2D1D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208</w:t>
      </w:r>
    </w:p>
    <w:p w14:paraId="59595C6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настоящее время завод работает неудовлетворительно. Выполнение программы идет каждый месяц неровно, неуверенно. Вторая половина месяца, как правило, является авральной, и работа в цехах и отделах идет без всякого учета времени, т.е. по 15—18 часов в сутки. Завод в настоящее время расположен на 4 площадках, что также отрицательно сказывается на работе завода. Однако основная причина неудовлетворительной работы завода кроется в весьма слабой организации производства, в кустарной технологии. До сих пор на заводе вопросы организации производства не находятся в поле зрения директора завода и особенно главного инженера, вследствие чего эти недопустимые недостатки для любого, даже самого маленького предприятия не устраняются. Необходимо подчеркнуть, что вопросы организации производства на заводах мелкосерийного производства в сочетании с изготовлением единичных заказов, причем с весьма коротким производственным циклом, представляют собой трудную задачу. Руководство завода — директор т. Гуданис, главный инженер т. Зейтленок и парторг ЦК ВКП(б) т. Гецин, вместо преодоления первоначальных трудностей постановки грамотной организации производства и дальнейшего ее улучшения, отмахиваются от этой работы, откладывая ее на дальнейшее время. В итоге на заводе отдельные участки цехов и целые цеха, наряду с большой спешкой, затем в начале месяца подолгу простаивают. Руководство завода недооценило важности капстроительства и поэтому не сумело добиться проведения этих работ. Этот завод является единственным в системе НКЭП в Новосибирской области, который за 1,5 года не только ничего не построил вновь, но даже не закончил приспособления полученных помещений и полного их использования, а также пуска бездействующего оборудования. Завод располагает достаточным количеством инженерно-технических кадров, а также группой высококвалифицированных рабочих, мастеров и начальников цехов по холодной обработке металлов, монтажу радиоизделий и других специфических для радиопромышленности специальностей. На заводе имеется также крупная и наиболее сильная группа специалистов по электроизолирующим материалам, применяемым в радиотехнике. Бытовые условия значительной части рабочих неудовлетворительны. Так как завод до сих пор жилстроительства не производил, то дальнейшее улучшение жилищных условий в ближайшее время возможно только за счет получения свободных комнат от горисполкома. Требует серьезного улучшения работа ОРСа и оказания различных видов помощи рабочим, а семьям военнослужащих особенно.</w:t>
      </w:r>
    </w:p>
    <w:p w14:paraId="5439F15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Секретарь обкома ВКП(б) по электропромышленности Жигальский</w:t>
      </w:r>
    </w:p>
    <w:p w14:paraId="4DEBA8D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ГАНО. Ф. П-4. Оп. 7. Д. 490. Л. 70, 72-82. Подлинник (12159).</w:t>
      </w:r>
    </w:p>
    <w:p w14:paraId="64B8EF9C"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25CD13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вышло Распоряжение ГКО № 3096. О распространении на верфи и судостроительные артели промкооперации РСФСР части постановления ГКО № 2050 от 16 июля 1942 г. "О плане судостроения речного флота в 1942 году и мерах его обеспечения".РГАНИР, Фонд ГКО, д. 99, лл. 153 (11012).</w:t>
      </w:r>
    </w:p>
    <w:p w14:paraId="4777E1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18CAC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B2787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9107E7" w14:textId="77777777" w:rsidR="005D0DC0" w:rsidRPr="00D03F3E" w:rsidRDefault="005D0DC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29 марта</w:t>
      </w:r>
      <w:r w:rsidRPr="00D03F3E">
        <w:rPr>
          <w:rFonts w:ascii="Times New Roman" w:hAnsi="Times New Roman"/>
          <w:color w:val="000000" w:themeColor="text1"/>
          <w:sz w:val="16"/>
          <w:szCs w:val="16"/>
        </w:rPr>
        <w:t xml:space="preserve"> в 1943 году утреннее сообщение Совинформбюро:</w:t>
      </w:r>
    </w:p>
    <w:p w14:paraId="14E9199D" w14:textId="77777777" w:rsidR="005D0DC0" w:rsidRPr="00D03F3E" w:rsidRDefault="005D0DC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29 марта на фронтах существенных изменений не произошло.</w:t>
      </w:r>
    </w:p>
    <w:p w14:paraId="4D8856B4" w14:textId="77777777" w:rsidR="005D0DC0" w:rsidRPr="00D03F3E" w:rsidRDefault="005D0DC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 отдельных участках происходили бои местного значения. Подразделения Н-ской части ночью атаковали противника и в результате рукопашной схватки заняли один населённый пункт. Наши бойцы штыками и гранатами уничтожили более 100 гитлеровцев. Захвачено 5 пулемётов, 2 миномёта, несколько десятков винтовок и автоматов. На другом участке наши разведчики проникли в тыл противника и напали на подходившую к линии фронта колонну немецкой пехоты. Ружейно-пулемётным огнём разведчики уничтожили 70 гитлеровцев.</w:t>
      </w:r>
    </w:p>
    <w:p w14:paraId="027319DA" w14:textId="77777777" w:rsidR="005D0DC0" w:rsidRPr="00D03F3E" w:rsidRDefault="005D0DC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противник, пытаясь вернуть потерянные накануне позиции, предпринял атаку. Гвардейцы Н-ской части отбили атаку и отбросили гитлеровцев на исходные позиции. На поле боя осталось 150 вражеских трупов. На другом участке части Н-ского соединения овладели тремя населёнными пунктами.</w:t>
      </w:r>
    </w:p>
    <w:p w14:paraId="14B3673C" w14:textId="77777777" w:rsidR="005D0DC0" w:rsidRPr="00D03F3E" w:rsidRDefault="005D0DC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подразделения Н-ской части в ночном бою уничтожили 80 вражеских солдат и офицеров. На другом участке наши бойцы, ведя разведку боем, уничтожили более 50 гитлеровцев. Захвачены пленные.</w:t>
      </w:r>
    </w:p>
    <w:p w14:paraId="418C34A0" w14:textId="77777777" w:rsidR="005D0DC0" w:rsidRPr="00D03F3E" w:rsidRDefault="005D0DC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течения Северного Донца на одном участке противнику удалось потеснить наши подразделения. Охватывающими действиями с флангов немцы были окружены и уничтожены. На поле боя осталось свыше 200 вражеских трупов. На другом участке наши бойцы отбили попытки гитлеровцев переправиться через реку Северный Донец.</w:t>
      </w:r>
    </w:p>
    <w:p w14:paraId="3ACBC813" w14:textId="77777777" w:rsidR="005D0DC0" w:rsidRPr="00D03F3E" w:rsidRDefault="005D0DC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Западнее Ростова-на-Дону происходила редкая артиллерийско-миномётная перестрелка с противником. За последние дни немцы пытаются бомбить наши коммуникации, прифронтовые города и сёла. Налёты вражеской авиации встречают решительное противодействие наших лётчиков и зенитчиков. За четыре дня в </w:t>
      </w:r>
      <w:r w:rsidRPr="00D03F3E">
        <w:rPr>
          <w:rFonts w:ascii="Times New Roman" w:hAnsi="Times New Roman"/>
          <w:color w:val="000000" w:themeColor="text1"/>
          <w:sz w:val="16"/>
          <w:szCs w:val="16"/>
        </w:rPr>
        <w:lastRenderedPageBreak/>
        <w:t>воздушных боях и огнём зенитной артиллерии сбито 47 немецких самолётов. Подавляющее большинство самолётов противника было перехвачено и уничтожено, не достигнув намеченной цели.</w:t>
      </w:r>
    </w:p>
    <w:p w14:paraId="36C75499" w14:textId="77777777" w:rsidR="005D0DC0" w:rsidRPr="00D03F3E" w:rsidRDefault="005D0DC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Орловской области, внезапно напал на немецкую охрану одной железнодорожной станции. В завязавшемся бою партизаны истребили 46 гитлеровцев и взяли в плен 4 немецких офицеров. Захвачены вещевой склад и штабные документы. Партизаны другого отряда ночью совершили налёт на немецкий гарнизон в населённом пункте. Советские патриоты захватили 2 пулемёта, 15 винтовок, 25 лошадей и склад с продовольствием.</w:t>
      </w:r>
    </w:p>
    <w:p w14:paraId="1805474E" w14:textId="77777777" w:rsidR="005D0DC0" w:rsidRPr="00D03F3E" w:rsidRDefault="005D0DC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Тулузы французские патриоты обстреляли немецкую автоколонну. В результате перестрелки убито 9 гитлеровцев. Недалеко от Лиона вольные стрелки остановили следовавший в Германию поезд с французскими рабочими, истребили немецкую охрану и вывели из строя паровоз. Рабочие, следовавшие в поезде, разбежались.» (15083).</w:t>
      </w:r>
    </w:p>
    <w:p w14:paraId="1D8D2706" w14:textId="77777777" w:rsidR="005D0DC0" w:rsidRPr="00D03F3E" w:rsidRDefault="005D0DC0" w:rsidP="00D03F3E">
      <w:pPr>
        <w:spacing w:after="0" w:line="240" w:lineRule="auto"/>
        <w:jc w:val="both"/>
        <w:rPr>
          <w:rFonts w:ascii="Times New Roman" w:hAnsi="Times New Roman"/>
          <w:color w:val="000000" w:themeColor="text1"/>
          <w:sz w:val="16"/>
          <w:szCs w:val="16"/>
        </w:rPr>
      </w:pPr>
    </w:p>
    <w:p w14:paraId="4B1EC0AF" w14:textId="77777777" w:rsidR="005D0DC0" w:rsidRPr="00D03F3E" w:rsidRDefault="005D0DC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29 марта</w:t>
      </w:r>
      <w:r w:rsidRPr="00D03F3E">
        <w:rPr>
          <w:rFonts w:ascii="Times New Roman" w:hAnsi="Times New Roman"/>
          <w:color w:val="000000" w:themeColor="text1"/>
          <w:sz w:val="16"/>
          <w:szCs w:val="16"/>
        </w:rPr>
        <w:t xml:space="preserve"> в 1943 году вечернее сообщение Совинформбюро:</w:t>
      </w:r>
    </w:p>
    <w:p w14:paraId="75D2D98E" w14:textId="77777777" w:rsidR="005D0DC0" w:rsidRPr="00D03F3E" w:rsidRDefault="005D0DC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29 марта на фронтах существенных изменений не произошло.</w:t>
      </w:r>
    </w:p>
    <w:p w14:paraId="34F11093" w14:textId="77777777" w:rsidR="005D0DC0" w:rsidRPr="00D03F3E" w:rsidRDefault="005D0DC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марта частями нашей авиации на различных участках фронта уничтожено или повреждено до 100 немецких автомашин с войсками и грузами, взорван склад боеприпасов, подавлен огонь 5 батарей полевой и зенитной артиллерии противника.</w:t>
      </w:r>
    </w:p>
    <w:p w14:paraId="1F15B823" w14:textId="77777777" w:rsidR="005D0DC0" w:rsidRPr="00D03F3E" w:rsidRDefault="005D0DC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Чёрном море нашей авиацией потоплен транспорт противника водоизмещением в 4.000 тонн.</w:t>
      </w:r>
    </w:p>
    <w:p w14:paraId="1F45DD4D" w14:textId="77777777" w:rsidR="005D0DC0" w:rsidRPr="00D03F3E" w:rsidRDefault="005D0DC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на отдельных участках вели бои местного значения. Части Н-ского соединения, преодолев сопротивление противника, овладели его опорным пунктом. Уничтожено 160 вражеских солдат и офицеров. Танковый экипаж в составе гвардии старшего лейтенанта Баландина, старшины Пустовалова и сержанта Еймулина в этом бою подбил 3 немецких танка и гусеницами раздавил миномётную батарею противника. Экипаж танка гвардии младшего лейтенанта Туленкова уничтожил 5 немецких дзотов, 4 орудия и несколько пулемётных точек.</w:t>
      </w:r>
    </w:p>
    <w:p w14:paraId="56478A7E" w14:textId="77777777" w:rsidR="005D0DC0" w:rsidRPr="00D03F3E" w:rsidRDefault="005D0DC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ожесточённый бой произошёл на подступах к сильно укреплённому узлу сопротивления противника. Бойцы части под командованием тов.Кебадзе атаковали немцев и вклинились в их оборону. В это же время лейтенант Жилин с отрядом бойцов пробрался в тыл гитлеровцев и внезапно напал на них. После короткой схватки значительная часть немецкого гарнизона была уничтожена. Пытаясь восстановить положение, немцы дважды переходили в контратаку, но были отброшены с большими для них потерями. Измотав противника, наши подразделения продвинулись вперёд и заняли ещё три населённых пункта.</w:t>
      </w:r>
    </w:p>
    <w:p w14:paraId="1198F478" w14:textId="77777777" w:rsidR="005D0DC0" w:rsidRPr="00D03F3E" w:rsidRDefault="005D0DC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автоматчики Н-ской части внезапно напали и рассеяли батальон пехоты противника. Уничтожено до 100 немецких солдат и офицеров. На другом участке наши сапёры взорвали 3 крупных вражеских дзота вместе с их гарнизонами.</w:t>
      </w:r>
    </w:p>
    <w:p w14:paraId="33E75A43" w14:textId="77777777" w:rsidR="005D0DC0" w:rsidRPr="00D03F3E" w:rsidRDefault="005D0DC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течения Северного Донца противник пытался переправиться на левый берег реки. Советские бойцы огнём из всех видов оружия рассеяли немцев. Истреблено до 200 вражеских солдат и офицеров, уничтожено 4 миномёта, 2 орудия и несколько автомашин. Успешно действуют советские снайперы. Красноармеец тов.Колосов с 5 по 28 марта истребил 40 гитлеровцев. Боец тов. Гришин за один дань уничтожил 4 немцев.</w:t>
      </w:r>
    </w:p>
    <w:p w14:paraId="4D7E9ECC" w14:textId="77777777" w:rsidR="005D0DC0" w:rsidRPr="00D03F3E" w:rsidRDefault="005D0DC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смоленских партизан ночью совершил налёт на немецкий гарнизон и истребил 45 немецких солдат и офицеров. Захвачены 2 пулемёта и 35 винтовок. Вэту же ночь другой партизанский отряд окружил деревню, в которой остановились немецко-фашистские захватчики. Партизаны уничтожили несколько десятков гитлеровцев.</w:t>
      </w:r>
    </w:p>
    <w:p w14:paraId="0D9EC584" w14:textId="77777777" w:rsidR="005D0DC0" w:rsidRPr="00D03F3E" w:rsidRDefault="005D0DC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Тарасовском районе Ростовской области: «В каждой станице Тарасовского района, где ступала нога немцев, остался кровавый след их преступлений. Бандиты опустошили цветущие колхозы, разграбили имущество колхозников. Перед отступлением фашистские звери за одну ночь замучили и расстреляли в Тарасовском зерносовхозе 143 человека. В числе расстрелянных тракторист Иван Свитенко, его жена и двое детей, чабан Семён Шадько, слесарь Николай Медведев, его жена и сын, учительница Вера Крепокова, трактористка Любовь Мановицкая и другие. Невозможно в одном акте перечислить все злодеяния, совершённые гитлеровскими варварами в нашем районе. Жители станицы Тарасовки поклялись отомстить за невинно пролитую немцами кровь и отдать все свои силы для разгрома гитлеровской бандитской шайки». Акт подписали: В.Слепченко, П.Гусаров, М.Халимов, С.Владыкин, А.Пристенская, М.Дунаев, Н.Пимонова, М.Погребняк, Т.Приходченко и другие.» (15083).</w:t>
      </w:r>
    </w:p>
    <w:p w14:paraId="1F0BFE6B" w14:textId="77777777" w:rsidR="005D0DC0" w:rsidRPr="00D03F3E" w:rsidRDefault="005D0DC0" w:rsidP="00D03F3E">
      <w:pPr>
        <w:spacing w:after="0" w:line="240" w:lineRule="auto"/>
        <w:jc w:val="both"/>
        <w:rPr>
          <w:rFonts w:ascii="Times New Roman" w:hAnsi="Times New Roman"/>
          <w:color w:val="000000" w:themeColor="text1"/>
          <w:sz w:val="16"/>
          <w:szCs w:val="16"/>
        </w:rPr>
      </w:pPr>
    </w:p>
    <w:p w14:paraId="2A2C21D2" w14:textId="77777777" w:rsidR="005D0DC0" w:rsidRPr="00D03F3E" w:rsidRDefault="005D0DC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29 марта</w:t>
      </w:r>
      <w:r w:rsidRPr="00D03F3E">
        <w:rPr>
          <w:rFonts w:ascii="Times New Roman" w:hAnsi="Times New Roman"/>
          <w:color w:val="000000" w:themeColor="text1"/>
          <w:sz w:val="16"/>
          <w:szCs w:val="16"/>
        </w:rPr>
        <w:t xml:space="preserve"> в 1943 году подводные лодки Северного флота совместно с авиацией нанесли удары по конвоям противника у побережья Северной Норвегии (4 транспорта потоплены) (15083).</w:t>
      </w:r>
    </w:p>
    <w:p w14:paraId="7A1A2BAF" w14:textId="77777777" w:rsidR="005D0DC0" w:rsidRPr="00D03F3E" w:rsidRDefault="005D0DC0" w:rsidP="00D03F3E">
      <w:pPr>
        <w:spacing w:after="0" w:line="240" w:lineRule="auto"/>
        <w:jc w:val="both"/>
        <w:rPr>
          <w:rFonts w:ascii="Times New Roman" w:hAnsi="Times New Roman"/>
          <w:color w:val="000000" w:themeColor="text1"/>
          <w:sz w:val="16"/>
          <w:szCs w:val="16"/>
        </w:rPr>
      </w:pPr>
    </w:p>
    <w:p w14:paraId="590AD3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29 марта 1943 г. 5 Ил-2 47-го </w:t>
      </w:r>
      <w:r w:rsidRPr="00D03F3E">
        <w:rPr>
          <w:rFonts w:ascii="Times New Roman" w:hAnsi="Times New Roman"/>
          <w:iCs/>
          <w:color w:val="000000" w:themeColor="text1"/>
          <w:sz w:val="16"/>
          <w:szCs w:val="16"/>
        </w:rPr>
        <w:t>шап</w:t>
      </w:r>
      <w:r w:rsidRPr="00D03F3E">
        <w:rPr>
          <w:rFonts w:ascii="Times New Roman" w:hAnsi="Times New Roman"/>
          <w:color w:val="000000" w:themeColor="text1"/>
          <w:sz w:val="16"/>
          <w:szCs w:val="16"/>
        </w:rPr>
        <w:t xml:space="preserve"> (ведущий - комэск м-р В.Х.Кунях) под прикрытием 6 Як-1 6-го </w:t>
      </w:r>
      <w:r w:rsidRPr="00D03F3E">
        <w:rPr>
          <w:rFonts w:ascii="Times New Roman" w:hAnsi="Times New Roman"/>
          <w:iCs/>
          <w:color w:val="000000" w:themeColor="text1"/>
          <w:sz w:val="16"/>
          <w:szCs w:val="16"/>
        </w:rPr>
        <w:t xml:space="preserve">гиап в </w:t>
      </w:r>
      <w:r w:rsidRPr="00D03F3E">
        <w:rPr>
          <w:rFonts w:ascii="Times New Roman" w:hAnsi="Times New Roman"/>
          <w:color w:val="000000" w:themeColor="text1"/>
          <w:sz w:val="16"/>
          <w:szCs w:val="16"/>
        </w:rPr>
        <w:t>13.00 наносили бомбоштурмовой удар по БДБ и СП "Зибель" в порту Гадючий Кут. Истребители сопровождения в районе цели потеряли штурмовиков и возвра</w:t>
      </w:r>
      <w:r w:rsidRPr="00D03F3E">
        <w:rPr>
          <w:rFonts w:ascii="Times New Roman" w:hAnsi="Times New Roman"/>
          <w:color w:val="000000" w:themeColor="text1"/>
          <w:sz w:val="16"/>
          <w:szCs w:val="16"/>
        </w:rPr>
        <w:softHyphen/>
        <w:t>тились на аэродром одни. С задания не вернулись четыре Ил-2 (6467).</w:t>
      </w:r>
    </w:p>
    <w:p w14:paraId="0F6D64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этот же день 6 Ил-2 8-го </w:t>
      </w:r>
      <w:r w:rsidRPr="00D03F3E">
        <w:rPr>
          <w:rFonts w:ascii="Times New Roman" w:hAnsi="Times New Roman"/>
          <w:iCs/>
          <w:color w:val="000000" w:themeColor="text1"/>
          <w:sz w:val="16"/>
          <w:szCs w:val="16"/>
        </w:rPr>
        <w:t>гшап</w:t>
      </w:r>
      <w:r w:rsidRPr="00D03F3E">
        <w:rPr>
          <w:rFonts w:ascii="Times New Roman" w:hAnsi="Times New Roman"/>
          <w:color w:val="000000" w:themeColor="text1"/>
          <w:sz w:val="16"/>
          <w:szCs w:val="16"/>
        </w:rPr>
        <w:t xml:space="preserve"> под прикрытием 7 Як-1 уничтожали плавсредства в Керченском проливе. Ударная группа прикрытия из 3 Як-1 в райо</w:t>
      </w:r>
      <w:r w:rsidRPr="00D03F3E">
        <w:rPr>
          <w:rFonts w:ascii="Times New Roman" w:hAnsi="Times New Roman"/>
          <w:color w:val="000000" w:themeColor="text1"/>
          <w:sz w:val="16"/>
          <w:szCs w:val="16"/>
        </w:rPr>
        <w:softHyphen/>
        <w:t>не цели потеряла штурмовиков и воз</w:t>
      </w:r>
      <w:r w:rsidRPr="00D03F3E">
        <w:rPr>
          <w:rFonts w:ascii="Times New Roman" w:hAnsi="Times New Roman"/>
          <w:color w:val="000000" w:themeColor="text1"/>
          <w:sz w:val="16"/>
          <w:szCs w:val="16"/>
        </w:rPr>
        <w:softHyphen/>
        <w:t>вратилась на свой аэродром. На отходе от цели через Азовское море штурмо</w:t>
      </w:r>
      <w:r w:rsidRPr="00D03F3E">
        <w:rPr>
          <w:rFonts w:ascii="Times New Roman" w:hAnsi="Times New Roman"/>
          <w:color w:val="000000" w:themeColor="text1"/>
          <w:sz w:val="16"/>
          <w:szCs w:val="16"/>
        </w:rPr>
        <w:softHyphen/>
        <w:t>вики и непосредственное прикрытие из 4 Як-1 были атакованы 20 Bf109. В ре</w:t>
      </w:r>
      <w:r w:rsidRPr="00D03F3E">
        <w:rPr>
          <w:rFonts w:ascii="Times New Roman" w:hAnsi="Times New Roman"/>
          <w:color w:val="000000" w:themeColor="text1"/>
          <w:sz w:val="16"/>
          <w:szCs w:val="16"/>
        </w:rPr>
        <w:softHyphen/>
        <w:t>зультате воздушного боя не вернулись с задания 3 Ил-2, один подбитый Як-1 сел на вынужденную посадку на своей территории, остальные самолеты произ</w:t>
      </w:r>
      <w:r w:rsidRPr="00D03F3E">
        <w:rPr>
          <w:rFonts w:ascii="Times New Roman" w:hAnsi="Times New Roman"/>
          <w:color w:val="000000" w:themeColor="text1"/>
          <w:sz w:val="16"/>
          <w:szCs w:val="16"/>
        </w:rPr>
        <w:softHyphen/>
        <w:t>вели посадку на аэродроме Поповичевская 4-й ВА (6467).</w:t>
      </w:r>
    </w:p>
    <w:p w14:paraId="72B83F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5DABF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вышло Распоряжение ГКО № 3091 [О пенсиях военнослужащим рядового и младшего начальствующего состава срочной службы ГВФ, содержащимся по штатам НКО, и их семьям.] (7091, 106-107).</w:t>
      </w:r>
    </w:p>
    <w:p w14:paraId="219C241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2140A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вышло Постановление ГКО № 3093 О пополнении фронтов в апреле месяце 1943 года и доукомплектовании стрелковых дивизий и бригад, выведенных в резерв Ставки Верховного Главнокомандования. (7091, 114-115).</w:t>
      </w:r>
    </w:p>
    <w:p w14:paraId="5CBA064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8FDA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в директиве Командующего ВВС было написано: "Авиакорпуса РГК использовать на направлениях главного удара и ни в коем случае не допускать распыления их для одновременного поражения большого числа объектов и на выполнение многочисленных задач (518,312).</w:t>
      </w:r>
    </w:p>
    <w:p w14:paraId="14B427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4C31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г. вышло РАСПОРЯЖЕНИЕ ГОСУДАРСТВЕННОГО КОМИТЕТА ОБОРОНЫ № ГОКО—3091 “О назначении пособий и пенсий семьям лиц рядового и младшего начальствующего состава отдельных авиадивизий, отдельных авиаполков и отдельных авиаэскадрилий Гражданского воздушного флота”.</w:t>
      </w:r>
    </w:p>
    <w:p w14:paraId="2C0303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Распространить с 1 января 1943 года Постановление Совнаркома СССР от 16 июля 1940 года “О пенсиях военнослужащим рядового и младшего начальствующего состава срочной службы и их семьям”*, а также Указ Президиума Верховного Совета СССР от 26 июня 1941 года “О порядке назначения и выплаты пособий семьям военнослужащих рядового и младшего начальствующего состава в военное время”** на семьи лиц рядового и младшего начальствующего состава отдельных авиадивизий, отдельных авиаполков и отдельных авиаэскадрилий Гражданского воздушного флота, содержащихся по штатам НКО, получающих денежное содержание по нормам, установленным для рядового и младшего начальствующего состава срочной службы Красной Армии.</w:t>
      </w:r>
    </w:p>
    <w:p w14:paraId="0AB8E3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Установить, что назначение пособий и пенсий семьям указанных лиц должно производиться по справкам, выдаваемым командирами отдельных авиадивизий, отдельных авиаполков и отдельных авиаэскадрилий Гражданского воздушного флота.</w:t>
      </w:r>
    </w:p>
    <w:p w14:paraId="71FB61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 случае перевода лиц рядового и младшего начальствующего состава указанных авиачастей в другие организации Гражданского воздушного флота, не содержащиеся по штатам НКО, командиры отдельных авиадивизий, отдельных авиаполков и отдельных авиаэскадрилий Гражданского воздушного флота должны сообщать в отдел по государственному обеспечению и бытовому устройству семей военнослужащих по месту жительства их семей о прекращении выплаты пособий, назначенных в соответствии с Указом Президиума Верховного Совета СССР от 26 июня 1941 года.</w:t>
      </w:r>
    </w:p>
    <w:p w14:paraId="53E34B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Председатель Государственного Комитета Обороны И. СТАЛИН</w:t>
      </w:r>
      <w:r w:rsidRPr="00D03F3E">
        <w:rPr>
          <w:rFonts w:ascii="Times New Roman" w:hAnsi="Times New Roman"/>
          <w:color w:val="000000" w:themeColor="text1"/>
          <w:sz w:val="16"/>
          <w:szCs w:val="16"/>
        </w:rPr>
        <w:t xml:space="preserve"> (9844).</w:t>
      </w:r>
    </w:p>
    <w:p w14:paraId="51C665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419B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29 марта 1943 г. Зам. Народного комиссара обороны маршал артиллерии </w:t>
      </w:r>
      <w:r w:rsidRPr="00D03F3E">
        <w:rPr>
          <w:rFonts w:ascii="Times New Roman" w:hAnsi="Times New Roman"/>
          <w:iCs/>
          <w:color w:val="000000" w:themeColor="text1"/>
          <w:sz w:val="16"/>
          <w:szCs w:val="16"/>
        </w:rPr>
        <w:t xml:space="preserve">ВОРОНОВ </w:t>
      </w:r>
      <w:r w:rsidRPr="00D03F3E">
        <w:rPr>
          <w:rFonts w:ascii="Times New Roman" w:hAnsi="Times New Roman"/>
          <w:color w:val="000000" w:themeColor="text1"/>
          <w:sz w:val="16"/>
          <w:szCs w:val="16"/>
        </w:rPr>
        <w:t>утвердил:</w:t>
      </w:r>
    </w:p>
    <w:p w14:paraId="46F48C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ИНСТРУКЦИЯ ПО СБОРУ ПАМЯТНИКОВ И РЕЛИКВИЙ ОТЕЧЕСТВЕННОЙ ВОЙНЫ В АРТИЛЛЕРИЙСКОМ ИСТОРИЧЕСКОМ МУЗЕЕ КРАСНОЙ АРМИИ</w:t>
      </w:r>
    </w:p>
    <w:p w14:paraId="2EBA08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Артиллерийский исторический музей Красной Армии имеет своей задачей сбор памятников и реликвий Отечественной войны, достойных вечного хранения в музее и могущих служить целям воспитания потомства на образцах героического и мужественного поведения в бою отдельных людей и целых частей Красной Армии в ее борьбе с немецко-фашистскими захватчиками.</w:t>
      </w:r>
    </w:p>
    <w:p w14:paraId="31DD72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Только те памятники и реликвии могут быть помещены в музее, которые непосредственно связаны с описываемым боевым эпизодом. Подлинная историческая правдивость должна лежать в описании и принадлежности данной вещи к упоминаемому событию. Отечественная война безгранично богата событиями, которые, будучи правдиво описаны и представлены в вещах — участниках этих событий, могут и должны служить законной гордостью советского народа.</w:t>
      </w:r>
    </w:p>
    <w:p w14:paraId="177D79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Памятниками и реликвиями могут служить:</w:t>
      </w:r>
    </w:p>
    <w:p w14:paraId="43AB12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Вещи, захваченные у противника</w:t>
      </w:r>
    </w:p>
    <w:p w14:paraId="14FBDF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Предметы артиллерийского и стрелкового вооружения (орудия, пулеметы, автоматы, приборы и др.) противника, захваченные в бою при выполнении важного боевого задания, являются проявлением мужества и отваги отдельными бойцами и командирами или целыми частями и подразделениями.</w:t>
      </w:r>
    </w:p>
    <w:p w14:paraId="1DB1FD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б) Личное оружие, снаряжение, знаки отличия, погоны и пр. убитых в прямом бою (единоборстве) или захваченных в плен офицеров противника (от майора и выше).</w:t>
      </w:r>
    </w:p>
    <w:p w14:paraId="5066C0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Знамена и флаги частей противника, уничтоженных или разбитых частями Красной Армии.</w:t>
      </w:r>
    </w:p>
    <w:p w14:paraId="10EBBF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Наиболее интересные в военно-историческом и политическом отношении служебные и личные документы противника (карты, донесения, приказы, письма, фотоснимки, удостоверения и пр.).</w:t>
      </w:r>
    </w:p>
    <w:p w14:paraId="3F1521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Орудия пытки и казни, применяемые немецко-фашистскими палачами против пленных красноармейцев и гражданского населения временно оккупированных районов.</w:t>
      </w:r>
    </w:p>
    <w:p w14:paraId="28BE21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Вещи, принадлежащие частям, бойцам и командирам Красной Армии и партизанских отрядов</w:t>
      </w:r>
    </w:p>
    <w:p w14:paraId="2127FE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Знаки отличия (ордена и медали), предметы личного вооружения и снаряжения, головные уборы и некоторые вещи личного пользования павших в бою Героев Советского Союза и особо отличившихся в бою, проявивших исключительное мужество, отвагу и беззаветную преданность Родине бойцов и командиров.</w:t>
      </w:r>
    </w:p>
    <w:p w14:paraId="165D3A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Предметы вооружения (винтовка, автомат, пулемет, противотанковое ружье, орудие и пр.), которыми отдельные командиры или бойцы, или группы бойцов, проявив геройство в бою, нанесли особо ощутительный урон врагу. Эти предметы могут быть отобраны для вечного хранения в музее как в испорченном виде, так и сохранившиеся невредимыми.</w:t>
      </w:r>
    </w:p>
    <w:p w14:paraId="119320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Старые знамена частей, переименованных в гвардейские, и знамена частей, полностью погибших в неравном бою с врагом.</w:t>
      </w:r>
    </w:p>
    <w:p w14:paraId="544438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 Исправные предметы личного вооружения и пулеметы могут быть высланы в музей с разрешения командира дивизии. Предметы коллективного вооружения (орудия, минометы, танки и т. п.) — с разрешения командующего фронтом.</w:t>
      </w:r>
    </w:p>
    <w:p w14:paraId="582FCE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На каждый из направляемых в музей предметов за личной подписью командира части составлять краткое описание-справку с указанием: а) когда, кем и при каких обстоятельствах был взят данный предмет у противника; б) фамилия, имя и отчество участников или лица, совершившего подвиг; в) в отношении предметов, указанных в п. Б—“б” и “в” — кому, какой части принадлежит предмет, чем он замечателен, с какими конкретными событиями и проявлением какого подвига он связан и т. д.</w:t>
      </w:r>
    </w:p>
    <w:p w14:paraId="3D1825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описанию, при возможности, прилагать фотоснимки места и лиц, упоминаемых в описании.</w:t>
      </w:r>
    </w:p>
    <w:p w14:paraId="62656B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Собранные памятники и реликвии направляются в Артиллерийский исторический музей через отделы артиллерийского снабжения армий и фронтов по особым накладным и с надписью на укупорке: “Для Артиллерийского исторического музея”.</w:t>
      </w:r>
    </w:p>
    <w:p w14:paraId="67CFD4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Дальнейшее их направление осуществляется по указаниям Главного артиллерийского управления Красной Армии.</w:t>
      </w:r>
    </w:p>
    <w:p w14:paraId="2B27A8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Описания-справки части направляют непосредственно в Военно-исторический отдел штаба Главного управления командующего артиллерией Красной Армии с надписью: “Для Артиллерийского исторического музея” по адресу: Москва, Солянка, 12, штаб Главного управления командующего артиллерией Красной Армии.</w:t>
      </w:r>
    </w:p>
    <w:p w14:paraId="2B7D65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этому же адресу направляют посылками и небольшие вещи: погоны, документы, полотнища знамен и т. д.</w:t>
      </w:r>
    </w:p>
    <w:p w14:paraId="04B2B6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Ордена и медали убитых героев Отечественной войны направляются в соответствующие управления кадров, отдел наград и присвоения звания. О тех орденах и медалях, которые командование части считает необходимым передать в музей, сообщается в штаб Главного управления командующего артиллерией Красной Армии с описанием причин, обстоятельств гибели и номеров орденов и медалей для доклада заместителю Народного комиссара обороны.</w:t>
      </w:r>
    </w:p>
    <w:p w14:paraId="5717DF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Отбор предметов вооружения и знамен, направляемых в музей, производить, по возможности, в торжественной обстановке перед личным составом частей.</w:t>
      </w:r>
    </w:p>
    <w:p w14:paraId="49F354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Начальник штаба Главного управления командующего артиллерией Красной Армии генерал-майор артиллерии САМСОНОВ</w:t>
      </w:r>
    </w:p>
    <w:p w14:paraId="16EE8C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Начальник Артиллерийского исторического музея Красной Армии полковник КУСКЕ</w:t>
      </w:r>
      <w:r w:rsidRPr="00D03F3E">
        <w:rPr>
          <w:rFonts w:ascii="Times New Roman" w:hAnsi="Times New Roman"/>
          <w:color w:val="000000" w:themeColor="text1"/>
          <w:sz w:val="16"/>
          <w:szCs w:val="16"/>
        </w:rPr>
        <w:t xml:space="preserve"> (9844).</w:t>
      </w:r>
    </w:p>
    <w:p w14:paraId="58935A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0BCF4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D03F3E">
        <w:rPr>
          <w:rFonts w:ascii="Times New Roman" w:hAnsi="Times New Roman"/>
          <w:i/>
          <w:iCs/>
          <w:color w:val="000000" w:themeColor="text1"/>
          <w:sz w:val="16"/>
          <w:szCs w:val="16"/>
        </w:rPr>
        <w:t>За</w:t>
      </w:r>
      <w:r w:rsidRPr="00D03F3E">
        <w:rPr>
          <w:rFonts w:ascii="Times New Roman" w:hAnsi="Times New Roman"/>
          <w:i/>
          <w:iCs/>
          <w:color w:val="000000" w:themeColor="text1"/>
          <w:sz w:val="16"/>
          <w:szCs w:val="16"/>
          <w:lang w:val="en-US"/>
        </w:rPr>
        <w:t xml:space="preserve"> </w:t>
      </w:r>
      <w:r w:rsidRPr="00D03F3E">
        <w:rPr>
          <w:rFonts w:ascii="Times New Roman" w:hAnsi="Times New Roman"/>
          <w:i/>
          <w:iCs/>
          <w:color w:val="000000" w:themeColor="text1"/>
          <w:sz w:val="16"/>
          <w:szCs w:val="16"/>
        </w:rPr>
        <w:t>рубежом</w:t>
      </w:r>
      <w:r w:rsidRPr="00D03F3E">
        <w:rPr>
          <w:rFonts w:ascii="Times New Roman" w:hAnsi="Times New Roman"/>
          <w:i/>
          <w:iCs/>
          <w:color w:val="000000" w:themeColor="text1"/>
          <w:sz w:val="16"/>
          <w:szCs w:val="16"/>
          <w:lang w:val="en-US"/>
        </w:rPr>
        <w:t>:</w:t>
      </w:r>
    </w:p>
    <w:p w14:paraId="681AFA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6E0263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March 29 1943 Tests of forward firing rockets projectiles from naval aircraft were completed at the Naval Proving Ground, Dahlgren, using an SB2A-4 aircraft (1090).</w:t>
      </w:r>
    </w:p>
    <w:p w14:paraId="6CA376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5F601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закончились испытания РС в ВВС флота США (1090).</w:t>
      </w:r>
    </w:p>
    <w:p w14:paraId="59A1D8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F2737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1943 в США введены ограничения на торговлю мясом, маслом и сыром (4962).</w:t>
      </w:r>
    </w:p>
    <w:p w14:paraId="60451A2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0986F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68C67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6DB6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марта 1943 года была подготовлена справка:</w:t>
      </w:r>
    </w:p>
    <w:p w14:paraId="72EC5B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КБ-180 – начальник Симонов С.Г. (9282).</w:t>
      </w:r>
    </w:p>
    <w:p w14:paraId="707ED8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4F0244" w14:textId="77777777" w:rsidR="00C5781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6B16B88D" w14:textId="77777777" w:rsidR="00C57815" w:rsidRPr="00D03F3E" w:rsidRDefault="00C5781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B2EEDC"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30 марта</w:t>
      </w:r>
      <w:r w:rsidRPr="00D03F3E">
        <w:rPr>
          <w:rFonts w:ascii="Times New Roman" w:hAnsi="Times New Roman"/>
          <w:color w:val="000000" w:themeColor="text1"/>
          <w:sz w:val="16"/>
          <w:szCs w:val="16"/>
        </w:rPr>
        <w:t xml:space="preserve"> в 1943 году утреннее сообщение Совинформбюро:</w:t>
      </w:r>
    </w:p>
    <w:p w14:paraId="28824EA8"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30 марта на фронтах существенных изменений не произошло.</w:t>
      </w:r>
    </w:p>
    <w:p w14:paraId="2A10499E"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закреплялись на достигнутых рубежах и вели разведку. Бойцы Н-ской части уничтожили артиллерийскую батарею и до роты пехоты противника. Захвачены 6 пулемётов, 18 автоматов, несколько десятков винтовок и склад боеприпасов. Семнадцать немецких бомбардировщиков в сопровождении трёх истребителей пытались бомбить расположение наших войск. Зенитчики части, где командиром тов. Шумихин, открыли огонь и за несколько минут сбили 3 самолёта противника. Остальные немецкие самолёты беспорядочно сбросили несколько бомб и быстро скрылись.</w:t>
      </w:r>
    </w:p>
    <w:p w14:paraId="4DE4E9EB"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части Н-ского соединения, преодолевая упорное сопротивление противника, продвигались вперёд и заняли несколько населённых пунктов. В боях за эти пункты истреблено до 300 гитлеровцев. Захвачены у противника 2 орудия, миномётная батарея и склад боеприпасов.</w:t>
      </w:r>
    </w:p>
    <w:p w14:paraId="61EECD10"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течения Северного Донца немецкие автоматчики пытались атаковать позиции Н-ской части. Наши бойцы отбросили гитлеровцев на исходные позиции и нанесли им серьёзные потери. На другом участке артиллерийским огнём рассеяно большое скопление вражеской пехоты, подавлен огонь 2 миномётных батарей и уничтожено самоходное орудие противника.</w:t>
      </w:r>
    </w:p>
    <w:p w14:paraId="213DBFD9"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рота пехоты противника при поддержке 7 танков и 3 бронемашин пыталась вести разведку нашей обороны. Подразделения Н-ской части артиллерийско-миномётным огнём рассеяли противника и подбили 4 немецких танка. Наши лётчики в воздушных боях сбили 9 немецких самолётов. Огнём зенитчиков, кроме того, уничтожено 2 самолёта противника.</w:t>
      </w:r>
    </w:p>
    <w:p w14:paraId="58F5A3EC"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Сталинской области, разгромил немецкий гарнизон. Убито более 100 гитлеровцев, из них 15 офицеров. Отряд партизан Ровенской области пустил под откос железнодорожный эшелон с живой силой противника. Разбиты паровоз и 10 вагонов. В результате крушения убито и ранено 120 гитлеровцев.</w:t>
      </w:r>
    </w:p>
    <w:p w14:paraId="629E887F"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унтер-офицер 8 роты 88 полка 15 немецкой пехотной дивизии Герман Крайз рассказал: "Наша дивизия прибыла из Франции во второй половине февраля. Я уже участвовал в боях на Восточном фронте и имею два ранения. Настроение солдат, прибывших в Россию из Франции, плохое. Они прекрасно знают, что здесь гораздо больше шансов заработать деревянный крест, чем железный. Эту горькую истину солдаты повторяют на все лады. Год назад мало кто верил в возможность создания второго фронта на Западе. Теперь, в связи с переброской многих немецких дивизий из Франции на Восток, многие солдаты и офицеры считают, что англичане и американцы воспользуются случаем».</w:t>
      </w:r>
    </w:p>
    <w:p w14:paraId="76E76253"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на подступах к городу Невесинье уничтожили 300 вражеских солдат и офицеров и взяли в плен 118 итальянцев. Захвачены у оккупантов трофеи:10 миномётов, 25 пулемётов, много боеприпасов и различное военное имущество. В ожесточённых боях, происходивших у города Кониц и в районе реки Неретва, патриоты нанесли итало-немецким оккупантам большие потери.» (15084).</w:t>
      </w:r>
    </w:p>
    <w:p w14:paraId="25B40377" w14:textId="77777777" w:rsidR="00C57815" w:rsidRPr="00D03F3E" w:rsidRDefault="00C57815" w:rsidP="00D03F3E">
      <w:pPr>
        <w:spacing w:after="0" w:line="240" w:lineRule="auto"/>
        <w:jc w:val="both"/>
        <w:rPr>
          <w:rFonts w:ascii="Times New Roman" w:hAnsi="Times New Roman"/>
          <w:color w:val="000000" w:themeColor="text1"/>
          <w:sz w:val="16"/>
          <w:szCs w:val="16"/>
        </w:rPr>
      </w:pPr>
    </w:p>
    <w:p w14:paraId="05F5A2B5"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30 марта</w:t>
      </w:r>
      <w:r w:rsidRPr="00D03F3E">
        <w:rPr>
          <w:rFonts w:ascii="Times New Roman" w:hAnsi="Times New Roman"/>
          <w:color w:val="000000" w:themeColor="text1"/>
          <w:sz w:val="16"/>
          <w:szCs w:val="16"/>
        </w:rPr>
        <w:t xml:space="preserve"> в 1943 году вечернее сообщение Совинформбюро:</w:t>
      </w:r>
    </w:p>
    <w:p w14:paraId="3B6FAF41"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30 марта на фронтах существенных изменений не произошло.</w:t>
      </w:r>
    </w:p>
    <w:p w14:paraId="46A31E9D"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корабли в Чёрном море потопили транспорт противника водоизмещением в 2.000 тонн.</w:t>
      </w:r>
    </w:p>
    <w:p w14:paraId="7ADA4A3E"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частями нашей авиации на различных участках фронта уничтожено или повреждено до 10 немецких танков, свыше 100 автомашин с войсками и грузами, подавлен огонь 7 батарей полевой изенитной артиллерии противника. В Баренцовом море нашей авиацией потоплено три транспорта противника общим водоизмещением в 6.000 тонн.</w:t>
      </w:r>
    </w:p>
    <w:p w14:paraId="235F2B3B"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 одном участке в районе среднего течения Северного Донца в течение дня происходили ожесточённые бои с противником. Немцы силами танковой дивизии перешли в наступление, пытаясь прорвать нашу оборону. Действия своей дивизии противник поддерживал сильным огнём артиллерии и крупными силами авиации. Наше гвардейское соединение под командованием генерал-майора Тихонова стойко встретило натиск врага и отбило все атаки гитлеровцев. В ходе боя наши бойцы неоднократно сами переходили в контратаки и нанесли противнику тяжёлые потери. По неполным данным, уничтожено 10 немецких самоходных орудий, подбито и </w:t>
      </w:r>
      <w:r w:rsidRPr="00D03F3E">
        <w:rPr>
          <w:rFonts w:ascii="Times New Roman" w:hAnsi="Times New Roman"/>
          <w:color w:val="000000" w:themeColor="text1"/>
          <w:sz w:val="16"/>
          <w:szCs w:val="16"/>
        </w:rPr>
        <w:lastRenderedPageBreak/>
        <w:t>сожжено 22 немецких танка. На поле боя немцы оставили до 500 трупов своих солдат и офицеров. В воздушных боях нашими лётчиками, зенитной артиллерией и ружейно-пулемётным огнём сбито над полем боя 18 самолётов противника.</w:t>
      </w:r>
    </w:p>
    <w:p w14:paraId="150A2FE8"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ваши войска на отдельных участках вели активные боевые действия. Бойцы Н-ской части выбили немцев из населённого пункта, в боях за который уничтожено до 200 гитлеровцев. На другом участке части Н-ского соединения вклинились в оборону немцев и заняли сильно укреплённый населённый пункт. Захвачены трофеи и пленные.</w:t>
      </w:r>
    </w:p>
    <w:p w14:paraId="42DC96F8"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наши войска производили разведку обороны противника и на отдельных участках вели бои местного значения. Под прикрытием тумана советские бойцы скрытно подобрались к одному опорному пункту противника и атаковали находившихся в нём гитлеровцев. Немцы отступили из этого пункта, оставив на поле боя более 100 трупов своих солдат и офицеров.</w:t>
      </w:r>
    </w:p>
    <w:p w14:paraId="23989112"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Орловской области, в ночь на 16 марта разгромил немецкие гарнизоны в двух населённых пунктах. Партизаны уничтожили несколько десятков гитлеровцев и взяли 66 пленных. Захвачены миномёт, 3 пулемёта, 87 винтовок, много мин и патронов. Другой партизанский отряд пустил под откос два железнодорожных эшелона противника. В результате активной деятельности партизан важнейшая магистраль, проходящая через Орловскую область ,выведена из строя по меньшей мере на две недели.</w:t>
      </w:r>
    </w:p>
    <w:p w14:paraId="2F022560"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убитого немецкого солдата найдено письмо от сестры из Марктредвида. В письме говорится: «...Хотя Франц и писал, что в России очень трудно, мне даже не снилось, что с ним тоже может случиться такое несчастье. Вчера у меня был товарищ Франца и всё подробно рассказал. Из 180 человек в роте оставалось общим счётом 12 человек. Франц был единственным уцелевшим унтер-офицером. В 5 часов утра они тронулись, чтобы отойти, а через час Франц был уже убит... Из Марктредвица погибли уже многие. В некоторых семьях убито по два сына. Что же будет дальше?».</w:t>
      </w:r>
    </w:p>
    <w:p w14:paraId="00609272"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Жители города Сычёвки, Смоленской области, Мария Калинина, Наталья Удовенко и Евдокия Орлова рассказали: «Немецко-фашистские мерзавцы устроили в деревне Юшино концентрационный лагерь для гражданского населения. В этот лагерь гитлеровцы бросили многих мирных граждан города Сычёвки и окрестных деревень. Среди заключённых было много подростков и женщин с детьми. Заключённые подвергались нечеловеческим пыткам. В лагере имелась камера пыток, из которой почти никто уже не возвращался. Здесь немецкие бандиты терзали и мучили свои жертвы. Редкий день проходил без расстрелов. Только 15 января было расстреляно 36 человек. В другой раз в двух камерах, в которых мы сидели, за один день расстреляли 28 женщин. За месяц фашисты убили свыше 200 человек, в том числе много детей» (15084).</w:t>
      </w:r>
    </w:p>
    <w:p w14:paraId="13DEC63B" w14:textId="77777777" w:rsidR="00C57815" w:rsidRPr="00D03F3E" w:rsidRDefault="00C57815" w:rsidP="00D03F3E">
      <w:pPr>
        <w:spacing w:after="0" w:line="240" w:lineRule="auto"/>
        <w:jc w:val="both"/>
        <w:rPr>
          <w:rFonts w:ascii="Times New Roman" w:hAnsi="Times New Roman"/>
          <w:color w:val="000000" w:themeColor="text1"/>
          <w:sz w:val="16"/>
          <w:szCs w:val="16"/>
        </w:rPr>
      </w:pPr>
    </w:p>
    <w:p w14:paraId="64677C5B"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711A9C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FBB7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марта 1943 года</w:t>
      </w:r>
    </w:p>
    <w:p w14:paraId="67A891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СТРОГО СЕКРЕТНОЕ ПОСЛАНИЕ ОТ ПРЕМЬЕР-МИНИСТРА г-на УИНСТОНА ЧЕРЧИЛЛЯ МАРШАЛУ И. В. СТАЛИНУ</w:t>
      </w:r>
    </w:p>
    <w:p w14:paraId="48F524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Немцы сконцентрировали в Нарвике мощный линейный флот в составе “Тирпица”, “Шарнгорста”, “Лютцова”, одного крейсера с 6-дюймовыми орудиями и восьми эсминцев. Таким образом, опасность для конвоев 2 в Россию, которую я описывал в моем послании Вам от 19 июля прошлого года, возрождена в еще более угрожающей форме. Я сообщал Вам тогда, что мы не считаем правильным рисковать нашим флотом метрополии в Баренцевом море, где он мог бы подвергнуться нападению германских самолетов, базирующихся на побережье, и подводных лодок, не имея достаточной защиты как против самолетов, так и против подводных лодок, и я пояснял, что если бы были потеряны или даже серьезно повреждены один или два из наших самых современных линейных кораблей, в то время как “Тирпиц” и другие крупные единицы германского линейного флота оставались бы в действии, то все господство в Атлантическом океане подверглось бы угрозе со страшными последствиями для нашего общего дела.</w:t>
      </w:r>
    </w:p>
    <w:p w14:paraId="7F7C6B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Поэтому Президент Рузвельт и я с величайшей неохотой пришли к выводу о невозможности обеспечить соответствующую защиту следующего конвоя в Россию и о том, что без такой защиты не имеется ни малейших шансов на то, что какие-либо из кораблей достигнут Вашей страны ввиду известных германских приготовлений для их уничтожения. Поэтому были отданы распоряжения о том, чтобы отложить отправку мартовского конвоя.</w:t>
      </w:r>
    </w:p>
    <w:p w14:paraId="633381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Президент Рузвельт и я весьма разочарованы тем, что оказывается необходимым отложить мартовский конвой. Если бы не концентрация германских сил, то наше твердое намерение состояло бы в том, чтобы отправить Вам конвой в марте и еще один в начале мая в составе тридцати судов каждый. В то же самое время мы считаем совершенно правильным немедленно известить Вас, что после начала мая не будет возможным продолжать отправку конвоев северным маршрутом, поскольку, начиная с этого времени, каждое отдельное эскортное судно потребуется на Средиземном море для поддержки наших наступательных операций, вследствие чего останется лишь минимум для обеспечения наших жизненных путей на Атлантическом океане. На Атлантическом океане в течение прошлых трех недель мы понесли тяжелые и почти беспрецедентные потери. Предполагая, что “Эскимос”</w:t>
      </w:r>
      <w:r w:rsidRPr="00D03F3E">
        <w:rPr>
          <w:rFonts w:ascii="Times New Roman" w:hAnsi="Times New Roman"/>
          <w:color w:val="000000" w:themeColor="text1"/>
          <w:sz w:val="16"/>
          <w:szCs w:val="16"/>
          <w:vertAlign w:val="superscript"/>
        </w:rPr>
        <w:t>39</w:t>
      </w:r>
      <w:r w:rsidRPr="00D03F3E">
        <w:rPr>
          <w:rFonts w:ascii="Times New Roman" w:hAnsi="Times New Roman"/>
          <w:color w:val="000000" w:themeColor="text1"/>
          <w:sz w:val="16"/>
          <w:szCs w:val="16"/>
        </w:rPr>
        <w:t xml:space="preserve"> пойдет хорошо, мы надеемся возобновить конвои в начале сентября при условии, если это позволит диспозиция основных германских кораблей и если обстановка в Северной Атлантике будет такой, что даст нам возможность обеспечить необходимые эскорты и силы прикрытия.</w:t>
      </w:r>
    </w:p>
    <w:p w14:paraId="49F290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Мы делаем все возможное для увеличения потока снабжения южным путем. В течение последних шести месяцев цифра ежемесячных поставок была более чем удвоена. Мы имеем основание надеяться, что увеличение будет прогрессировать и что цифры на август достигнут 240 тысяч тонн. Если это будет достигнуто, то размеры ежемесячных поставок увеличатся за 12 месяцев в восемь раз. Далее, Соединенные Штаты существенно увеличат поставки через Владивосток. Это в некоторой степени смягчит как Ваше, так и наше чувство досады по поводу перерыва в отправке северных конвоев (7430).</w:t>
      </w:r>
    </w:p>
    <w:p w14:paraId="7997A7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097F4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964AD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5BE28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марта 1943 вышло Постановление ГКО № 3097 О производстве Наркомлегпромом СССР во II квартале 1943 г. парашютно-десантного имущества и парашютов для боеприпасов. (7091, 154-156,157-164).</w:t>
      </w:r>
    </w:p>
    <w:p w14:paraId="1E0E977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D631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марта 1943 вышло Постановление ГКО № 3099 О вооружении самолета Ил-2. РГАНИР, Фонд ГКО, д. 99, лл. 218 (11012).</w:t>
      </w:r>
    </w:p>
    <w:p w14:paraId="242BA5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801114" w14:textId="77777777" w:rsidR="00E04C7E" w:rsidRPr="00D03F3E" w:rsidRDefault="00E04C7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марта 1943 вышло Постановление ГКО № 3099 О вооружении самолета Ил-2</w:t>
      </w:r>
    </w:p>
    <w:p w14:paraId="011BF254" w14:textId="77777777" w:rsidR="00E04C7E" w:rsidRPr="00D03F3E" w:rsidRDefault="00E04C7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усиления вооружения самолета Ил-2, Государствен</w:t>
      </w:r>
      <w:r w:rsidRPr="00D03F3E">
        <w:rPr>
          <w:rFonts w:ascii="Times New Roman" w:hAnsi="Times New Roman"/>
          <w:color w:val="000000" w:themeColor="text1"/>
          <w:sz w:val="16"/>
          <w:szCs w:val="16"/>
        </w:rPr>
        <w:softHyphen/>
        <w:t>ный Комитет Обороны постановляет:</w:t>
      </w:r>
    </w:p>
    <w:p w14:paraId="282C2DA0" w14:textId="77777777" w:rsidR="00E04C7E" w:rsidRPr="00D03F3E" w:rsidRDefault="00E04C7E" w:rsidP="00D03F3E">
      <w:pPr>
        <w:tabs>
          <w:tab w:val="left" w:pos="96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Наркомавиапром, дивектора завода № 1 т.Третья</w:t>
      </w:r>
      <w:r w:rsidRPr="00D03F3E">
        <w:rPr>
          <w:rFonts w:ascii="Times New Roman" w:hAnsi="Times New Roman"/>
          <w:color w:val="000000" w:themeColor="text1"/>
          <w:sz w:val="16"/>
          <w:szCs w:val="16"/>
        </w:rPr>
        <w:softHyphen/>
        <w:t>кова и директора завода № 30 т.Шапиро выпускать самолеты Ил-2 с заводов 1 и 30 с крыльевыми пушками Волкова-Ярцева 23мм, вместо пушек Швак 20мм, в следующие сроки:</w:t>
      </w:r>
    </w:p>
    <w:p w14:paraId="41DF13F0" w14:textId="77777777" w:rsidR="00E04C7E" w:rsidRPr="00D03F3E" w:rsidRDefault="00E04C7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1 в апреле месяце - 30 самолетов</w:t>
      </w:r>
    </w:p>
    <w:p w14:paraId="260CC81A" w14:textId="77777777" w:rsidR="00E04C7E" w:rsidRPr="00D03F3E" w:rsidRDefault="00E04C7E" w:rsidP="00D03F3E">
      <w:pPr>
        <w:numPr>
          <w:ilvl w:val="0"/>
          <w:numId w:val="13"/>
        </w:numPr>
        <w:tabs>
          <w:tab w:val="left" w:pos="1173"/>
          <w:tab w:val="left" w:pos="385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в мае месяце</w:t>
      </w:r>
      <w:r w:rsidRPr="00D03F3E">
        <w:rPr>
          <w:rFonts w:ascii="Times New Roman" w:hAnsi="Times New Roman"/>
          <w:color w:val="000000" w:themeColor="text1"/>
          <w:sz w:val="16"/>
          <w:szCs w:val="16"/>
        </w:rPr>
        <w:tab/>
        <w:t>- 200 самолетов</w:t>
      </w:r>
    </w:p>
    <w:p w14:paraId="53654A70" w14:textId="77777777" w:rsidR="00E04C7E" w:rsidRPr="00D03F3E" w:rsidRDefault="00E04C7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1.У1.1943г. выпускать все самолеты полностью с пушками Волкова-Ярцева;</w:t>
      </w:r>
    </w:p>
    <w:p w14:paraId="6FE57EFB" w14:textId="77777777" w:rsidR="00E04C7E" w:rsidRPr="00D03F3E" w:rsidRDefault="00E04C7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№30 в мае месяце - 50 самолетов</w:t>
      </w:r>
    </w:p>
    <w:p w14:paraId="52454A49" w14:textId="77777777" w:rsidR="00E04C7E" w:rsidRPr="00D03F3E" w:rsidRDefault="00E04C7E" w:rsidP="00D03F3E">
      <w:pPr>
        <w:numPr>
          <w:ilvl w:val="0"/>
          <w:numId w:val="13"/>
        </w:numPr>
        <w:tabs>
          <w:tab w:val="left" w:pos="118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в июне месяце - 150 самолетов</w:t>
      </w:r>
    </w:p>
    <w:p w14:paraId="473FA9F6" w14:textId="77777777" w:rsidR="00E04C7E" w:rsidRPr="00D03F3E" w:rsidRDefault="00E04C7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1.УП.1943г. выпускать все самолеты полностью с пушками Волкова-Ярцева,</w:t>
      </w:r>
    </w:p>
    <w:p w14:paraId="70681B3B" w14:textId="77777777" w:rsidR="00E04C7E" w:rsidRPr="00D03F3E" w:rsidRDefault="00E04C7E" w:rsidP="00D03F3E">
      <w:pPr>
        <w:tabs>
          <w:tab w:val="left" w:pos="95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Обязать Наркома Вооружения - т.Устинова обеспечить поставку Наркомавиапрому 23мм пушек Волкова-Ярцева в следующие сроки:</w:t>
      </w:r>
    </w:p>
    <w:p w14:paraId="64E9909B" w14:textId="77777777" w:rsidR="00E04C7E" w:rsidRPr="00D03F3E" w:rsidRDefault="00E04C7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года - 1000 штук</w:t>
      </w:r>
    </w:p>
    <w:p w14:paraId="6F5D72FB" w14:textId="77777777" w:rsidR="00E04C7E" w:rsidRPr="00D03F3E" w:rsidRDefault="00E04C7E" w:rsidP="00D03F3E">
      <w:pPr>
        <w:tabs>
          <w:tab w:val="left" w:pos="315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года</w:t>
      </w:r>
      <w:r w:rsidRPr="00D03F3E">
        <w:rPr>
          <w:rFonts w:ascii="Times New Roman" w:hAnsi="Times New Roman"/>
          <w:color w:val="000000" w:themeColor="text1"/>
          <w:sz w:val="16"/>
          <w:szCs w:val="16"/>
        </w:rPr>
        <w:tab/>
        <w:t>- 1600 штук</w:t>
      </w:r>
    </w:p>
    <w:p w14:paraId="6F10FDDE" w14:textId="77777777" w:rsidR="00E04C7E" w:rsidRPr="00D03F3E" w:rsidRDefault="00E04C7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начиная с июня месяца 2600 штук ежемесячно (19391).</w:t>
      </w:r>
    </w:p>
    <w:p w14:paraId="79E8230F" w14:textId="77777777" w:rsidR="00E04C7E" w:rsidRPr="00D03F3E" w:rsidRDefault="00E04C7E"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95E8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марта 1943 вышло Постановление ГКО N 3099 о вооружении самолета Ил-2 пушками ВЯ калибра 23 мм вместо ШВАК 20 мм. С апреля 1943 завод 1 должен был дать 30 сам, в мае - 200 и с 1 июня - выпускать все самолеты с пушками ВЯ.</w:t>
      </w:r>
    </w:p>
    <w:p w14:paraId="6707CE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было постановление ГКО N 3099сс от 31 марта 1943 об установке ВЯ вместо ШВАК (1689).</w:t>
      </w:r>
    </w:p>
    <w:p w14:paraId="31929D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Реальное выполнение: с апреля 1943 завод 1 выпускал 30, а с 1 по 10 мая выпустил 60 (там же) (462,24).</w:t>
      </w:r>
    </w:p>
    <w:p w14:paraId="60AE08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8E04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марта 1943 А.И.Ш. писал Г.М.М. письмо N 1458:</w:t>
      </w:r>
    </w:p>
    <w:p w14:paraId="565DA6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постановлению ГКО от 18 февраля 1943 N 2916сс доводка и летные испытания ТК, производимые ЦИАМ совместно с заводами 240 и 21 на самолетах Ил-4 и Ла-5, должны быть закончены к 15 апреля с.г.</w:t>
      </w:r>
    </w:p>
    <w:p w14:paraId="61CBF4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процессе летных испытаний на самолете Ил-4 была выявлена необходимость внесения ряда изменений в конструкцию ТК и элементов установки его на самолете. Эти изменения конструкции в настоящее время вносятся и проходят испытания.</w:t>
      </w:r>
    </w:p>
    <w:p w14:paraId="686CB4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перенесении срока окончания доводки ТК на 20 мая 1943." (1783,59).</w:t>
      </w:r>
    </w:p>
    <w:p w14:paraId="2D5DB6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2AA8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31 марта 1943 вышло Постановление ГКО № 3100 О моторе М-82Ф, устанавливаемом в настоящее время на всех серийных самолетах Ла-5.РГАНИР, Фонд ГКО, д. </w:t>
      </w:r>
      <w:r w:rsidRPr="00D03F3E">
        <w:rPr>
          <w:rFonts w:ascii="Times New Roman" w:hAnsi="Times New Roman"/>
          <w:color w:val="000000" w:themeColor="text1"/>
          <w:sz w:val="16"/>
          <w:szCs w:val="16"/>
        </w:rPr>
        <w:lastRenderedPageBreak/>
        <w:t>99, лл. 219 (11012).</w:t>
      </w:r>
    </w:p>
    <w:p w14:paraId="229469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A61000" w14:textId="77777777" w:rsidR="00E04C7E" w:rsidRPr="00D03F3E" w:rsidRDefault="00E04C7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марта 1943 вышло Постановление ГКО № 3100 О моторе М-82Ф, устанавливаемом в настоящее время на всех серийных самолетах Ла-5</w:t>
      </w:r>
    </w:p>
    <w:p w14:paraId="27C08BCB" w14:textId="77777777" w:rsidR="00E04C7E" w:rsidRPr="00D03F3E" w:rsidRDefault="00E04C7E"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Государственный Комитет Обороны постановляет:</w:t>
      </w:r>
    </w:p>
    <w:p w14:paraId="20BFC2A4" w14:textId="77777777" w:rsidR="00E04C7E" w:rsidRPr="00D03F3E" w:rsidRDefault="00E04C7E"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 xml:space="preserve">Принять к сведению заявление директора завода № 19 т.Солдатова, главного конструктора т.Швецова, главного инженера т.Бутусова и старшего военпреда т.Четверика, что мотор </w:t>
      </w:r>
      <w:r w:rsidRPr="00D03F3E">
        <w:rPr>
          <w:rStyle w:val="0pt"/>
          <w:rFonts w:ascii="Times New Roman" w:cs="Times New Roman"/>
          <w:color w:val="000000" w:themeColor="text1"/>
          <w:spacing w:val="0"/>
          <w:sz w:val="16"/>
          <w:szCs w:val="16"/>
        </w:rPr>
        <w:t>М-82,</w:t>
      </w:r>
      <w:r w:rsidRPr="00D03F3E">
        <w:rPr>
          <w:rFonts w:ascii="Times New Roman" w:cs="Times New Roman"/>
          <w:color w:val="000000" w:themeColor="text1"/>
          <w:spacing w:val="0"/>
          <w:sz w:val="16"/>
          <w:szCs w:val="16"/>
        </w:rPr>
        <w:t xml:space="preserve"> который устанавливается в настоящее время на все серийные самолеты Ла-5, прошел удовлетворительно испы</w:t>
      </w:r>
      <w:r w:rsidRPr="00D03F3E">
        <w:rPr>
          <w:rFonts w:ascii="Times New Roman" w:cs="Times New Roman"/>
          <w:color w:val="000000" w:themeColor="text1"/>
          <w:spacing w:val="0"/>
          <w:sz w:val="16"/>
          <w:szCs w:val="16"/>
        </w:rPr>
        <w:softHyphen/>
        <w:t>тания на форсированных режимах и может работать без ограни</w:t>
      </w:r>
      <w:r w:rsidRPr="00D03F3E">
        <w:rPr>
          <w:rFonts w:ascii="Times New Roman" w:cs="Times New Roman"/>
          <w:color w:val="000000" w:themeColor="text1"/>
          <w:spacing w:val="0"/>
          <w:sz w:val="16"/>
          <w:szCs w:val="16"/>
        </w:rPr>
        <w:softHyphen/>
        <w:t>чения времени на форсированной мощности 1700 л.с. при над</w:t>
      </w:r>
      <w:r w:rsidRPr="00D03F3E">
        <w:rPr>
          <w:rFonts w:ascii="Times New Roman" w:cs="Times New Roman"/>
          <w:color w:val="000000" w:themeColor="text1"/>
          <w:spacing w:val="0"/>
          <w:sz w:val="16"/>
          <w:szCs w:val="16"/>
        </w:rPr>
        <w:softHyphen/>
        <w:t xml:space="preserve">дуве Рк-1140 мм рт. ст. вместо земной номинальной мощности </w:t>
      </w:r>
      <w:r w:rsidRPr="00D03F3E">
        <w:rPr>
          <w:rStyle w:val="9pt0pt"/>
          <w:rFonts w:ascii="Times New Roman" w:hAnsi="Times New Roman" w:cs="Times New Roman"/>
          <w:color w:val="000000" w:themeColor="text1"/>
          <w:sz w:val="16"/>
          <w:szCs w:val="16"/>
        </w:rPr>
        <w:t>1450</w:t>
      </w:r>
      <w:r w:rsidRPr="00D03F3E">
        <w:rPr>
          <w:rFonts w:ascii="Times New Roman" w:cs="Times New Roman"/>
          <w:color w:val="000000" w:themeColor="text1"/>
          <w:spacing w:val="0"/>
          <w:sz w:val="16"/>
          <w:szCs w:val="16"/>
        </w:rPr>
        <w:t xml:space="preserve"> л.с.</w:t>
      </w:r>
    </w:p>
    <w:p w14:paraId="779AC386" w14:textId="77777777" w:rsidR="00E04C7E" w:rsidRPr="00D03F3E" w:rsidRDefault="00E04C7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Указанный мотор </w:t>
      </w:r>
      <w:r w:rsidRPr="00D03F3E">
        <w:rPr>
          <w:rStyle w:val="0pt"/>
          <w:rFonts w:ascii="Times New Roman" w:hAnsi="Times New Roman" w:cs="Times New Roman"/>
          <w:color w:val="000000" w:themeColor="text1"/>
          <w:spacing w:val="0"/>
          <w:sz w:val="16"/>
          <w:szCs w:val="16"/>
        </w:rPr>
        <w:t>М-82</w:t>
      </w:r>
      <w:r w:rsidRPr="00D03F3E">
        <w:rPr>
          <w:rFonts w:ascii="Times New Roman" w:hAnsi="Times New Roman"/>
          <w:color w:val="000000" w:themeColor="text1"/>
          <w:sz w:val="16"/>
          <w:szCs w:val="16"/>
        </w:rPr>
        <w:t xml:space="preserve"> впредь именовать </w:t>
      </w:r>
      <w:r w:rsidRPr="00D03F3E">
        <w:rPr>
          <w:rStyle w:val="0pt"/>
          <w:rFonts w:ascii="Times New Roman" w:hAnsi="Times New Roman" w:cs="Times New Roman"/>
          <w:color w:val="000000" w:themeColor="text1"/>
          <w:spacing w:val="0"/>
          <w:sz w:val="16"/>
          <w:szCs w:val="16"/>
        </w:rPr>
        <w:t>М-82Ф.</w:t>
      </w:r>
      <w:r w:rsidRPr="00D03F3E">
        <w:rPr>
          <w:rFonts w:ascii="Times New Roman" w:hAnsi="Times New Roman"/>
          <w:color w:val="000000" w:themeColor="text1"/>
          <w:sz w:val="16"/>
          <w:szCs w:val="16"/>
        </w:rPr>
        <w:t xml:space="preserve"> Устано</w:t>
      </w:r>
      <w:r w:rsidRPr="00D03F3E">
        <w:rPr>
          <w:rFonts w:ascii="Times New Roman" w:hAnsi="Times New Roman"/>
          <w:color w:val="000000" w:themeColor="text1"/>
          <w:sz w:val="16"/>
          <w:szCs w:val="16"/>
        </w:rPr>
        <w:softHyphen/>
        <w:t xml:space="preserve">вить для всех моторов М-82Ф срок службы до первой переборки </w:t>
      </w:r>
      <w:r w:rsidRPr="00D03F3E">
        <w:rPr>
          <w:rStyle w:val="0pt"/>
          <w:rFonts w:ascii="Times New Roman" w:hAnsi="Times New Roman" w:cs="Times New Roman"/>
          <w:color w:val="000000" w:themeColor="text1"/>
          <w:spacing w:val="0"/>
          <w:sz w:val="16"/>
          <w:szCs w:val="16"/>
        </w:rPr>
        <w:t>150</w:t>
      </w:r>
      <w:r w:rsidRPr="00D03F3E">
        <w:rPr>
          <w:rFonts w:ascii="Times New Roman" w:hAnsi="Times New Roman"/>
          <w:color w:val="000000" w:themeColor="text1"/>
          <w:sz w:val="16"/>
          <w:szCs w:val="16"/>
        </w:rPr>
        <w:t xml:space="preserve"> (19392).</w:t>
      </w:r>
    </w:p>
    <w:p w14:paraId="074BE37E" w14:textId="77777777" w:rsidR="00E04C7E" w:rsidRPr="00D03F3E" w:rsidRDefault="00E04C7E"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631D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марта 1943 г. по Постановлению ГКО № 3101 завод № 381 с мая 1943 г. должен был полностью перейти на выпуск Ла-5 с металлическими лонжеронами. Но в срок сделать это не уда</w:t>
      </w:r>
      <w:r w:rsidRPr="00D03F3E">
        <w:rPr>
          <w:rFonts w:ascii="Times New Roman" w:hAnsi="Times New Roman"/>
          <w:color w:val="000000" w:themeColor="text1"/>
          <w:sz w:val="16"/>
          <w:szCs w:val="16"/>
        </w:rPr>
        <w:softHyphen/>
        <w:t>лось, а план выпуска Ла-5 на 1943 г. это предприятие выполнило лишь на 55%. Остальные производители Ла-5 задание того года пе</w:t>
      </w:r>
      <w:r w:rsidRPr="00D03F3E">
        <w:rPr>
          <w:rFonts w:ascii="Times New Roman" w:hAnsi="Times New Roman"/>
          <w:color w:val="000000" w:themeColor="text1"/>
          <w:sz w:val="16"/>
          <w:szCs w:val="16"/>
        </w:rPr>
        <w:softHyphen/>
        <w:t>ревыполнили: завод № 21 — на 9,2%, а № 99 — на 10,2% (11123).</w:t>
      </w:r>
    </w:p>
    <w:p w14:paraId="466927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1ABA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марта 1943 вышло Постановление ГКО № 3101 О самолете Ла-5 с мотором М-82ФН.РГАНИР, Фонд ГКО, д. 99, лл. 220-221, 222-226 (11012).</w:t>
      </w:r>
    </w:p>
    <w:p w14:paraId="5B65E7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5EDF14" w14:textId="77777777" w:rsidR="00F80E25" w:rsidRPr="00D03F3E" w:rsidRDefault="00F80E2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марта 1943 вышло Постановление ГКО № 3101 О самолете Ла-5 с мотором М-82ФН</w:t>
      </w:r>
    </w:p>
    <w:p w14:paraId="25A0E2ED" w14:textId="77777777" w:rsidR="00F80E25" w:rsidRPr="00D03F3E" w:rsidRDefault="00F80E2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Государственный Комитет Обороны постановляет:</w:t>
      </w:r>
    </w:p>
    <w:p w14:paraId="282E5DDD" w14:textId="77777777" w:rsidR="00F80E25" w:rsidRPr="00D03F3E" w:rsidRDefault="00F80E2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Принять к сведению сообщение наркома авиационной про</w:t>
      </w:r>
      <w:r w:rsidRPr="00D03F3E">
        <w:rPr>
          <w:rFonts w:ascii="Times New Roman" w:hAnsi="Times New Roman"/>
          <w:color w:val="000000" w:themeColor="text1"/>
          <w:sz w:val="16"/>
          <w:szCs w:val="16"/>
        </w:rPr>
        <w:softHyphen/>
        <w:t xml:space="preserve">мышленности т.Шахурина, директора завода № 21 т.Агаджанова, главного конструктора самолета Ла-5 т.Лавочкина и старшего военпреда на заводе 21 т.Ярошенко, что самолет </w:t>
      </w:r>
      <w:r w:rsidRPr="00D03F3E">
        <w:rPr>
          <w:rStyle w:val="0pt"/>
          <w:rFonts w:ascii="Times New Roman" w:hAnsi="Times New Roman" w:cs="Times New Roman"/>
          <w:color w:val="000000" w:themeColor="text1"/>
          <w:spacing w:val="0"/>
          <w:sz w:val="16"/>
          <w:szCs w:val="16"/>
        </w:rPr>
        <w:t>Ла-5,</w:t>
      </w:r>
      <w:r w:rsidRPr="00D03F3E">
        <w:rPr>
          <w:rFonts w:ascii="Times New Roman" w:hAnsi="Times New Roman"/>
          <w:color w:val="000000" w:themeColor="text1"/>
          <w:sz w:val="16"/>
          <w:szCs w:val="16"/>
        </w:rPr>
        <w:t xml:space="preserve"> по</w:t>
      </w:r>
      <w:r w:rsidRPr="00D03F3E">
        <w:rPr>
          <w:rFonts w:ascii="Times New Roman" w:hAnsi="Times New Roman"/>
          <w:color w:val="000000" w:themeColor="text1"/>
          <w:sz w:val="16"/>
          <w:szCs w:val="16"/>
        </w:rPr>
        <w:softHyphen/>
        <w:t>строенный на заводе № 21 с мотором М-82ФН, при испытании по</w:t>
      </w:r>
      <w:r w:rsidRPr="00D03F3E">
        <w:rPr>
          <w:rFonts w:ascii="Times New Roman" w:hAnsi="Times New Roman"/>
          <w:color w:val="000000" w:themeColor="text1"/>
          <w:sz w:val="16"/>
          <w:szCs w:val="16"/>
        </w:rPr>
        <w:softHyphen/>
        <w:t>казал следующие летные данные:</w:t>
      </w:r>
    </w:p>
    <w:p w14:paraId="15D3B0DE" w14:textId="77777777" w:rsidR="00F80E25" w:rsidRPr="00D03F3E" w:rsidRDefault="00F80E25" w:rsidP="00D03F3E">
      <w:pPr>
        <w:tabs>
          <w:tab w:val="left" w:pos="532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у земли</w:t>
      </w:r>
      <w:r w:rsidRPr="00D03F3E">
        <w:rPr>
          <w:rFonts w:ascii="Times New Roman" w:hAnsi="Times New Roman"/>
          <w:color w:val="000000" w:themeColor="text1"/>
          <w:sz w:val="16"/>
          <w:szCs w:val="16"/>
        </w:rPr>
        <w:tab/>
        <w:t xml:space="preserve">- </w:t>
      </w:r>
      <w:r w:rsidRPr="00D03F3E">
        <w:rPr>
          <w:rStyle w:val="0pt"/>
          <w:rFonts w:ascii="Times New Roman" w:hAnsi="Times New Roman" w:cs="Times New Roman"/>
          <w:color w:val="000000" w:themeColor="text1"/>
          <w:spacing w:val="0"/>
          <w:sz w:val="16"/>
          <w:szCs w:val="16"/>
        </w:rPr>
        <w:t>598</w:t>
      </w:r>
      <w:r w:rsidRPr="00D03F3E">
        <w:rPr>
          <w:rFonts w:ascii="Times New Roman" w:hAnsi="Times New Roman"/>
          <w:color w:val="000000" w:themeColor="text1"/>
          <w:sz w:val="16"/>
          <w:szCs w:val="16"/>
        </w:rPr>
        <w:t xml:space="preserve"> клм/час</w:t>
      </w:r>
    </w:p>
    <w:p w14:paraId="7534F65C" w14:textId="77777777" w:rsidR="00F80E25" w:rsidRPr="00D03F3E" w:rsidRDefault="00F80E2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максимальная скорость на высоте </w:t>
      </w:r>
      <w:r w:rsidRPr="00D03F3E">
        <w:rPr>
          <w:rStyle w:val="0pt"/>
          <w:rFonts w:ascii="Times New Roman" w:hAnsi="Times New Roman" w:cs="Times New Roman"/>
          <w:color w:val="000000" w:themeColor="text1"/>
          <w:spacing w:val="0"/>
          <w:sz w:val="16"/>
          <w:szCs w:val="16"/>
        </w:rPr>
        <w:t>1800</w:t>
      </w:r>
      <w:r w:rsidRPr="00D03F3E">
        <w:rPr>
          <w:rFonts w:ascii="Times New Roman" w:hAnsi="Times New Roman"/>
          <w:color w:val="000000" w:themeColor="text1"/>
          <w:sz w:val="16"/>
          <w:szCs w:val="16"/>
        </w:rPr>
        <w:t xml:space="preserve"> мт.</w:t>
      </w:r>
      <w:r w:rsidRPr="00D03F3E">
        <w:rPr>
          <w:rFonts w:ascii="Times New Roman" w:hAnsi="Times New Roman"/>
          <w:color w:val="000000" w:themeColor="text1"/>
          <w:sz w:val="16"/>
          <w:szCs w:val="16"/>
        </w:rPr>
        <w:tab/>
        <w:t xml:space="preserve">- </w:t>
      </w:r>
      <w:r w:rsidRPr="00D03F3E">
        <w:rPr>
          <w:rStyle w:val="0pt"/>
          <w:rFonts w:ascii="Times New Roman" w:hAnsi="Times New Roman" w:cs="Times New Roman"/>
          <w:color w:val="000000" w:themeColor="text1"/>
          <w:spacing w:val="0"/>
          <w:sz w:val="16"/>
          <w:szCs w:val="16"/>
        </w:rPr>
        <w:t>630</w:t>
      </w:r>
      <w:r w:rsidRPr="00D03F3E">
        <w:rPr>
          <w:rFonts w:ascii="Times New Roman" w:hAnsi="Times New Roman"/>
          <w:color w:val="000000" w:themeColor="text1"/>
          <w:sz w:val="16"/>
          <w:szCs w:val="16"/>
        </w:rPr>
        <w:t xml:space="preserve"> клм/час</w:t>
      </w:r>
    </w:p>
    <w:p w14:paraId="0BDC0CBA" w14:textId="77777777" w:rsidR="00F80E25" w:rsidRPr="00D03F3E" w:rsidRDefault="00F80E2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максимальная скорость на высоте </w:t>
      </w:r>
      <w:r w:rsidRPr="00D03F3E">
        <w:rPr>
          <w:rStyle w:val="0pt"/>
          <w:rFonts w:ascii="Times New Roman" w:hAnsi="Times New Roman" w:cs="Times New Roman"/>
          <w:color w:val="000000" w:themeColor="text1"/>
          <w:spacing w:val="0"/>
          <w:sz w:val="16"/>
          <w:szCs w:val="16"/>
        </w:rPr>
        <w:t>6000</w:t>
      </w:r>
      <w:r w:rsidRPr="00D03F3E">
        <w:rPr>
          <w:rFonts w:ascii="Times New Roman" w:hAnsi="Times New Roman"/>
          <w:color w:val="000000" w:themeColor="text1"/>
          <w:sz w:val="16"/>
          <w:szCs w:val="16"/>
        </w:rPr>
        <w:t xml:space="preserve"> мт.</w:t>
      </w:r>
      <w:r w:rsidRPr="00D03F3E">
        <w:rPr>
          <w:rFonts w:ascii="Times New Roman" w:hAnsi="Times New Roman"/>
          <w:color w:val="000000" w:themeColor="text1"/>
          <w:sz w:val="16"/>
          <w:szCs w:val="16"/>
        </w:rPr>
        <w:tab/>
        <w:t xml:space="preserve">- </w:t>
      </w:r>
      <w:r w:rsidRPr="00D03F3E">
        <w:rPr>
          <w:rStyle w:val="TimesNewRoman105pt0pt"/>
          <w:rFonts w:eastAsia="Calibri"/>
          <w:b w:val="0"/>
          <w:color w:val="000000" w:themeColor="text1"/>
          <w:sz w:val="16"/>
          <w:szCs w:val="16"/>
        </w:rPr>
        <w:t>650</w:t>
      </w:r>
      <w:r w:rsidRPr="00D03F3E">
        <w:rPr>
          <w:rFonts w:ascii="Times New Roman" w:hAnsi="Times New Roman"/>
          <w:color w:val="000000" w:themeColor="text1"/>
          <w:sz w:val="16"/>
          <w:szCs w:val="16"/>
        </w:rPr>
        <w:t xml:space="preserve"> клм/час</w:t>
      </w:r>
    </w:p>
    <w:p w14:paraId="13E1053A" w14:textId="77777777" w:rsidR="00F80E25" w:rsidRPr="00D03F3E" w:rsidRDefault="00F80E2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время под'ема на высоту </w:t>
      </w:r>
      <w:r w:rsidRPr="00D03F3E">
        <w:rPr>
          <w:rStyle w:val="0pt"/>
          <w:rFonts w:ascii="Times New Roman" w:hAnsi="Times New Roman" w:cs="Times New Roman"/>
          <w:color w:val="000000" w:themeColor="text1"/>
          <w:spacing w:val="0"/>
          <w:sz w:val="16"/>
          <w:szCs w:val="16"/>
        </w:rPr>
        <w:t>5000</w:t>
      </w:r>
      <w:r w:rsidRPr="00D03F3E">
        <w:rPr>
          <w:rFonts w:ascii="Times New Roman" w:hAnsi="Times New Roman"/>
          <w:color w:val="000000" w:themeColor="text1"/>
          <w:sz w:val="16"/>
          <w:szCs w:val="16"/>
        </w:rPr>
        <w:t xml:space="preserve"> мт.</w:t>
      </w:r>
      <w:r w:rsidRPr="00D03F3E">
        <w:rPr>
          <w:rFonts w:ascii="Times New Roman" w:hAnsi="Times New Roman"/>
          <w:color w:val="000000" w:themeColor="text1"/>
          <w:sz w:val="16"/>
          <w:szCs w:val="16"/>
        </w:rPr>
        <w:tab/>
        <w:t>- 4,7 мин.</w:t>
      </w:r>
    </w:p>
    <w:p w14:paraId="3A924AC0" w14:textId="77777777" w:rsidR="00F80E25" w:rsidRPr="00D03F3E" w:rsidRDefault="00F80E2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полетный вес самолета с металли</w:t>
      </w:r>
      <w:r w:rsidRPr="00D03F3E">
        <w:rPr>
          <w:rFonts w:ascii="Times New Roman" w:hAnsi="Times New Roman"/>
          <w:color w:val="000000" w:themeColor="text1"/>
          <w:sz w:val="16"/>
          <w:szCs w:val="16"/>
        </w:rPr>
        <w:softHyphen/>
        <w:t>ческими лонжеронами</w:t>
      </w:r>
      <w:r w:rsidRPr="00D03F3E">
        <w:rPr>
          <w:rFonts w:ascii="Times New Roman" w:hAnsi="Times New Roman"/>
          <w:color w:val="000000" w:themeColor="text1"/>
          <w:sz w:val="16"/>
          <w:szCs w:val="16"/>
        </w:rPr>
        <w:tab/>
        <w:t xml:space="preserve">- </w:t>
      </w:r>
      <w:r w:rsidRPr="00D03F3E">
        <w:rPr>
          <w:rStyle w:val="0pt"/>
          <w:rFonts w:ascii="Times New Roman" w:hAnsi="Times New Roman" w:cs="Times New Roman"/>
          <w:color w:val="000000" w:themeColor="text1"/>
          <w:spacing w:val="0"/>
          <w:sz w:val="16"/>
          <w:szCs w:val="16"/>
        </w:rPr>
        <w:t>3158</w:t>
      </w:r>
      <w:r w:rsidRPr="00D03F3E">
        <w:rPr>
          <w:rFonts w:ascii="Times New Roman" w:hAnsi="Times New Roman"/>
          <w:color w:val="000000" w:themeColor="text1"/>
          <w:sz w:val="16"/>
          <w:szCs w:val="16"/>
        </w:rPr>
        <w:t xml:space="preserve"> кгр</w:t>
      </w:r>
    </w:p>
    <w:p w14:paraId="194A88EF" w14:textId="77777777" w:rsidR="00F80E25" w:rsidRPr="00D03F3E" w:rsidRDefault="00F80E2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(полетный вес самолета с дере</w:t>
      </w:r>
      <w:r w:rsidRPr="00D03F3E">
        <w:rPr>
          <w:rFonts w:ascii="Times New Roman" w:hAnsi="Times New Roman"/>
          <w:color w:val="000000" w:themeColor="text1"/>
          <w:sz w:val="16"/>
          <w:szCs w:val="16"/>
        </w:rPr>
        <w:softHyphen/>
        <w:t>вянными лонжеронами будет</w:t>
      </w:r>
      <w:r w:rsidRPr="00D03F3E">
        <w:rPr>
          <w:rFonts w:ascii="Times New Roman" w:hAnsi="Times New Roman"/>
          <w:color w:val="000000" w:themeColor="text1"/>
          <w:sz w:val="16"/>
          <w:szCs w:val="16"/>
        </w:rPr>
        <w:tab/>
      </w:r>
      <w:r w:rsidRPr="00D03F3E">
        <w:rPr>
          <w:rFonts w:ascii="Times New Roman" w:hAnsi="Times New Roman"/>
          <w:color w:val="000000" w:themeColor="text1"/>
          <w:sz w:val="16"/>
          <w:szCs w:val="16"/>
        </w:rPr>
        <w:tab/>
        <w:t xml:space="preserve"> - </w:t>
      </w:r>
      <w:r w:rsidRPr="00D03F3E">
        <w:rPr>
          <w:rStyle w:val="0pt"/>
          <w:rFonts w:ascii="Times New Roman" w:hAnsi="Times New Roman" w:cs="Times New Roman"/>
          <w:color w:val="000000" w:themeColor="text1"/>
          <w:spacing w:val="0"/>
          <w:sz w:val="16"/>
          <w:szCs w:val="16"/>
        </w:rPr>
        <w:t>3250</w:t>
      </w:r>
      <w:r w:rsidRPr="00D03F3E">
        <w:rPr>
          <w:rFonts w:ascii="Times New Roman" w:hAnsi="Times New Roman"/>
          <w:color w:val="000000" w:themeColor="text1"/>
          <w:sz w:val="16"/>
          <w:szCs w:val="16"/>
        </w:rPr>
        <w:t xml:space="preserve"> кгр.)</w:t>
      </w:r>
    </w:p>
    <w:p w14:paraId="5B7402DA" w14:textId="77777777" w:rsidR="00F80E25" w:rsidRPr="00D03F3E" w:rsidRDefault="00F80E25" w:rsidP="00D03F3E">
      <w:pPr>
        <w:tabs>
          <w:tab w:val="left" w:pos="125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 целях быстрейшего выпуска самолета Ла-5 с мотором М-82ФН с вышеуказанными летными данными обязать Наркомавиа- пром - директора завода № 21 т.Агаджанова и главного конструк</w:t>
      </w:r>
      <w:r w:rsidRPr="00D03F3E">
        <w:rPr>
          <w:rFonts w:ascii="Times New Roman" w:hAnsi="Times New Roman"/>
          <w:color w:val="000000" w:themeColor="text1"/>
          <w:sz w:val="16"/>
          <w:szCs w:val="16"/>
        </w:rPr>
        <w:softHyphen/>
        <w:t>тора самолета Ла-5 т.Лавочкина немедленно приступить на эаводе № 21 к производству самолетов Ла-5 с мотором М</w:t>
      </w:r>
      <w:r w:rsidRPr="00D03F3E">
        <w:rPr>
          <w:rStyle w:val="0pt"/>
          <w:rFonts w:ascii="Times New Roman" w:hAnsi="Times New Roman" w:cs="Times New Roman"/>
          <w:color w:val="000000" w:themeColor="text1"/>
          <w:spacing w:val="0"/>
          <w:sz w:val="16"/>
          <w:szCs w:val="16"/>
        </w:rPr>
        <w:t>-82ФН,</w:t>
      </w:r>
      <w:r w:rsidRPr="00D03F3E">
        <w:rPr>
          <w:rFonts w:ascii="Times New Roman" w:hAnsi="Times New Roman"/>
          <w:color w:val="000000" w:themeColor="text1"/>
          <w:sz w:val="16"/>
          <w:szCs w:val="16"/>
        </w:rPr>
        <w:t xml:space="preserve"> с дере</w:t>
      </w:r>
      <w:r w:rsidRPr="00D03F3E">
        <w:rPr>
          <w:rFonts w:ascii="Times New Roman" w:hAnsi="Times New Roman"/>
          <w:color w:val="000000" w:themeColor="text1"/>
          <w:sz w:val="16"/>
          <w:szCs w:val="16"/>
        </w:rPr>
        <w:softHyphen/>
        <w:t xml:space="preserve">вянными лонжеронами крыльев и центроплана с полетным весом самолета в </w:t>
      </w:r>
      <w:r w:rsidRPr="00D03F3E">
        <w:rPr>
          <w:rStyle w:val="0pt"/>
          <w:rFonts w:ascii="Times New Roman" w:hAnsi="Times New Roman" w:cs="Times New Roman"/>
          <w:color w:val="000000" w:themeColor="text1"/>
          <w:spacing w:val="0"/>
          <w:sz w:val="16"/>
          <w:szCs w:val="16"/>
        </w:rPr>
        <w:t>3250</w:t>
      </w:r>
      <w:r w:rsidRPr="00D03F3E">
        <w:rPr>
          <w:rFonts w:ascii="Times New Roman" w:hAnsi="Times New Roman"/>
          <w:color w:val="000000" w:themeColor="text1"/>
          <w:sz w:val="16"/>
          <w:szCs w:val="16"/>
        </w:rPr>
        <w:t xml:space="preserve"> кгр.</w:t>
      </w:r>
    </w:p>
    <w:p w14:paraId="0C9E50B9" w14:textId="77777777" w:rsidR="00F80E25" w:rsidRPr="00D03F3E" w:rsidRDefault="00F80E2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Установить выпуск этих самолетов - в апреле </w:t>
      </w:r>
      <w:r w:rsidRPr="00D03F3E">
        <w:rPr>
          <w:rStyle w:val="0pt"/>
          <w:rFonts w:ascii="Times New Roman" w:hAnsi="Times New Roman" w:cs="Times New Roman"/>
          <w:color w:val="000000" w:themeColor="text1"/>
          <w:spacing w:val="0"/>
          <w:sz w:val="16"/>
          <w:szCs w:val="16"/>
        </w:rPr>
        <w:t>1943</w:t>
      </w:r>
      <w:r w:rsidRPr="00D03F3E">
        <w:rPr>
          <w:rFonts w:ascii="Times New Roman" w:hAnsi="Times New Roman"/>
          <w:color w:val="000000" w:themeColor="text1"/>
          <w:sz w:val="16"/>
          <w:szCs w:val="16"/>
        </w:rPr>
        <w:t xml:space="preserve"> года 20 самолетов, в мае -</w:t>
      </w:r>
      <w:r w:rsidRPr="00D03F3E">
        <w:rPr>
          <w:rStyle w:val="0pt"/>
          <w:rFonts w:ascii="Times New Roman" w:hAnsi="Times New Roman" w:cs="Times New Roman"/>
          <w:color w:val="000000" w:themeColor="text1"/>
          <w:spacing w:val="0"/>
          <w:sz w:val="16"/>
          <w:szCs w:val="16"/>
        </w:rPr>
        <w:t xml:space="preserve"> 100</w:t>
      </w:r>
      <w:r w:rsidRPr="00D03F3E">
        <w:rPr>
          <w:rFonts w:ascii="Times New Roman" w:hAnsi="Times New Roman"/>
          <w:color w:val="000000" w:themeColor="text1"/>
          <w:sz w:val="16"/>
          <w:szCs w:val="16"/>
        </w:rPr>
        <w:t xml:space="preserve"> самолетов, в июне - </w:t>
      </w:r>
      <w:r w:rsidRPr="00D03F3E">
        <w:rPr>
          <w:rStyle w:val="0pt"/>
          <w:rFonts w:ascii="Times New Roman" w:hAnsi="Times New Roman" w:cs="Times New Roman"/>
          <w:color w:val="000000" w:themeColor="text1"/>
          <w:spacing w:val="0"/>
          <w:sz w:val="16"/>
          <w:szCs w:val="16"/>
        </w:rPr>
        <w:t>150</w:t>
      </w:r>
      <w:r w:rsidRPr="00D03F3E">
        <w:rPr>
          <w:rFonts w:ascii="Times New Roman" w:hAnsi="Times New Roman"/>
          <w:color w:val="000000" w:themeColor="text1"/>
          <w:sz w:val="16"/>
          <w:szCs w:val="16"/>
        </w:rPr>
        <w:t xml:space="preserve"> самолетов, не снижая выпуска самолетов по установленной на П квартал программе заводу № </w:t>
      </w:r>
      <w:r w:rsidRPr="00D03F3E">
        <w:rPr>
          <w:rStyle w:val="0pt"/>
          <w:rFonts w:ascii="Times New Roman" w:hAnsi="Times New Roman" w:cs="Times New Roman"/>
          <w:color w:val="000000" w:themeColor="text1"/>
          <w:spacing w:val="0"/>
          <w:sz w:val="16"/>
          <w:szCs w:val="16"/>
        </w:rPr>
        <w:t>21.</w:t>
      </w:r>
    </w:p>
    <w:p w14:paraId="308B6F6C" w14:textId="77777777" w:rsidR="00F80E25" w:rsidRPr="00D03F3E" w:rsidRDefault="00F80E25" w:rsidP="00D03F3E">
      <w:pPr>
        <w:tabs>
          <w:tab w:val="left" w:pos="124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3. Обязать ВВС КА т.Новикова, начальника НИИ ВВС КА т.Лосюкова произвести на заводе № 21 проверочные испытания летных данных самолета Ла-5 с мотором </w:t>
      </w:r>
      <w:r w:rsidRPr="00D03F3E">
        <w:rPr>
          <w:rStyle w:val="0pt"/>
          <w:rFonts w:ascii="Times New Roman" w:hAnsi="Times New Roman" w:cs="Times New Roman"/>
          <w:color w:val="000000" w:themeColor="text1"/>
          <w:spacing w:val="0"/>
          <w:sz w:val="16"/>
          <w:szCs w:val="16"/>
        </w:rPr>
        <w:t>И-82ФН,</w:t>
      </w:r>
      <w:r w:rsidRPr="00D03F3E">
        <w:rPr>
          <w:rFonts w:ascii="Times New Roman" w:hAnsi="Times New Roman"/>
          <w:color w:val="000000" w:themeColor="text1"/>
          <w:sz w:val="16"/>
          <w:szCs w:val="16"/>
        </w:rPr>
        <w:t xml:space="preserve"> результаты до</w:t>
      </w:r>
      <w:r w:rsidRPr="00D03F3E">
        <w:rPr>
          <w:rFonts w:ascii="Times New Roman" w:hAnsi="Times New Roman"/>
          <w:color w:val="000000" w:themeColor="text1"/>
          <w:sz w:val="16"/>
          <w:szCs w:val="16"/>
        </w:rPr>
        <w:softHyphen/>
        <w:t xml:space="preserve">ложить ГОКО 10 апреля </w:t>
      </w:r>
      <w:r w:rsidRPr="00D03F3E">
        <w:rPr>
          <w:rStyle w:val="0pt"/>
          <w:rFonts w:ascii="Times New Roman" w:hAnsi="Times New Roman" w:cs="Times New Roman"/>
          <w:color w:val="000000" w:themeColor="text1"/>
          <w:spacing w:val="0"/>
          <w:sz w:val="16"/>
          <w:szCs w:val="16"/>
        </w:rPr>
        <w:t>1943 г.</w:t>
      </w:r>
    </w:p>
    <w:p w14:paraId="703E4E22" w14:textId="77777777" w:rsidR="00F80E25" w:rsidRPr="00D03F3E" w:rsidRDefault="00F80E2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Принять к сведению сообщение наркома авиационной про</w:t>
      </w:r>
      <w:r w:rsidRPr="00D03F3E">
        <w:rPr>
          <w:rFonts w:ascii="Times New Roman" w:hAnsi="Times New Roman"/>
          <w:color w:val="000000" w:themeColor="text1"/>
          <w:sz w:val="16"/>
          <w:szCs w:val="16"/>
        </w:rPr>
        <w:softHyphen/>
        <w:t xml:space="preserve">мышленности т.Шахурина, директора завода № 19 т.Солдатова и главного конструктора т.Швецова, что форсированный мотор </w:t>
      </w:r>
      <w:r w:rsidRPr="00D03F3E">
        <w:rPr>
          <w:rStyle w:val="0pt"/>
          <w:rFonts w:ascii="Times New Roman" w:hAnsi="Times New Roman" w:cs="Times New Roman"/>
          <w:color w:val="000000" w:themeColor="text1"/>
          <w:spacing w:val="0"/>
          <w:sz w:val="16"/>
          <w:szCs w:val="16"/>
        </w:rPr>
        <w:t>М-82ФН</w:t>
      </w:r>
      <w:r w:rsidRPr="00D03F3E">
        <w:rPr>
          <w:rFonts w:ascii="Times New Roman" w:hAnsi="Times New Roman"/>
          <w:color w:val="000000" w:themeColor="text1"/>
          <w:sz w:val="16"/>
          <w:szCs w:val="16"/>
        </w:rPr>
        <w:t xml:space="preserve"> с насосом непосредственного впрыска топлива прошел 100-часовые стендовые испытания и показал следующие данные:</w:t>
      </w:r>
    </w:p>
    <w:p w14:paraId="21486EA2" w14:textId="77777777" w:rsidR="00F80E25" w:rsidRPr="00D03F3E" w:rsidRDefault="00F80E2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взлетная и максимальная мощность мотора - </w:t>
      </w:r>
      <w:r w:rsidRPr="00D03F3E">
        <w:rPr>
          <w:rStyle w:val="0pt"/>
          <w:rFonts w:ascii="Times New Roman" w:hAnsi="Times New Roman" w:cs="Times New Roman"/>
          <w:color w:val="000000" w:themeColor="text1"/>
          <w:spacing w:val="0"/>
          <w:sz w:val="16"/>
          <w:szCs w:val="16"/>
        </w:rPr>
        <w:t xml:space="preserve">1850 </w:t>
      </w:r>
      <w:r w:rsidRPr="00D03F3E">
        <w:rPr>
          <w:rFonts w:ascii="Times New Roman" w:hAnsi="Times New Roman"/>
          <w:color w:val="000000" w:themeColor="text1"/>
          <w:sz w:val="16"/>
          <w:szCs w:val="16"/>
        </w:rPr>
        <w:t>л.с.</w:t>
      </w:r>
    </w:p>
    <w:p w14:paraId="72C8EF20" w14:textId="77777777" w:rsidR="00F80E25" w:rsidRPr="00D03F3E" w:rsidRDefault="00F80E2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номинальная мощность на </w:t>
      </w:r>
      <w:r w:rsidRPr="00D03F3E">
        <w:rPr>
          <w:rStyle w:val="0pt"/>
          <w:rFonts w:ascii="Times New Roman" w:hAnsi="Times New Roman" w:cs="Times New Roman"/>
          <w:color w:val="000000" w:themeColor="text1"/>
          <w:spacing w:val="0"/>
          <w:sz w:val="16"/>
          <w:szCs w:val="16"/>
        </w:rPr>
        <w:t>1-й</w:t>
      </w:r>
      <w:r w:rsidRPr="00D03F3E">
        <w:rPr>
          <w:rFonts w:ascii="Times New Roman" w:hAnsi="Times New Roman"/>
          <w:color w:val="000000" w:themeColor="text1"/>
          <w:sz w:val="16"/>
          <w:szCs w:val="16"/>
        </w:rPr>
        <w:t xml:space="preserve"> скорости</w:t>
      </w:r>
    </w:p>
    <w:p w14:paraId="218A9A42" w14:textId="77777777" w:rsidR="00F80E25" w:rsidRPr="00D03F3E" w:rsidRDefault="00F80E25" w:rsidP="00D03F3E">
      <w:pPr>
        <w:tabs>
          <w:tab w:val="left" w:pos="540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нагнетателя (на высоте </w:t>
      </w:r>
      <w:r w:rsidRPr="00D03F3E">
        <w:rPr>
          <w:rStyle w:val="0pt"/>
          <w:rFonts w:ascii="Times New Roman" w:hAnsi="Times New Roman" w:cs="Times New Roman"/>
          <w:color w:val="000000" w:themeColor="text1"/>
          <w:spacing w:val="0"/>
          <w:sz w:val="16"/>
          <w:szCs w:val="16"/>
        </w:rPr>
        <w:t xml:space="preserve">165С </w:t>
      </w:r>
      <w:r w:rsidRPr="00D03F3E">
        <w:rPr>
          <w:rFonts w:ascii="Times New Roman" w:hAnsi="Times New Roman"/>
          <w:color w:val="000000" w:themeColor="text1"/>
          <w:sz w:val="16"/>
          <w:szCs w:val="16"/>
        </w:rPr>
        <w:t>мт.)</w:t>
      </w:r>
      <w:r w:rsidRPr="00D03F3E">
        <w:rPr>
          <w:rStyle w:val="0pt"/>
          <w:rFonts w:ascii="Times New Roman" w:hAnsi="Times New Roman" w:cs="Times New Roman"/>
          <w:color w:val="000000" w:themeColor="text1"/>
          <w:spacing w:val="0"/>
          <w:sz w:val="16"/>
          <w:szCs w:val="16"/>
        </w:rPr>
        <w:tab/>
        <w:t xml:space="preserve">- 1650 </w:t>
      </w:r>
      <w:r w:rsidRPr="00D03F3E">
        <w:rPr>
          <w:rFonts w:ascii="Times New Roman" w:hAnsi="Times New Roman"/>
          <w:color w:val="000000" w:themeColor="text1"/>
          <w:sz w:val="16"/>
          <w:szCs w:val="16"/>
        </w:rPr>
        <w:t>л.с.</w:t>
      </w:r>
    </w:p>
    <w:p w14:paraId="5D4CA4BA" w14:textId="77777777" w:rsidR="00F80E25" w:rsidRPr="00D03F3E" w:rsidRDefault="00F80E2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номинальная мощность на </w:t>
      </w:r>
      <w:r w:rsidRPr="00D03F3E">
        <w:rPr>
          <w:rStyle w:val="0pt"/>
          <w:rFonts w:ascii="Times New Roman" w:hAnsi="Times New Roman" w:cs="Times New Roman"/>
          <w:color w:val="000000" w:themeColor="text1"/>
          <w:spacing w:val="0"/>
          <w:sz w:val="16"/>
          <w:szCs w:val="16"/>
        </w:rPr>
        <w:t>2-й</w:t>
      </w:r>
      <w:r w:rsidRPr="00D03F3E">
        <w:rPr>
          <w:rFonts w:ascii="Times New Roman" w:hAnsi="Times New Roman"/>
          <w:color w:val="000000" w:themeColor="text1"/>
          <w:sz w:val="16"/>
          <w:szCs w:val="16"/>
        </w:rPr>
        <w:t xml:space="preserve"> скорости</w:t>
      </w:r>
    </w:p>
    <w:p w14:paraId="605849BC" w14:textId="77777777" w:rsidR="00F80E25" w:rsidRPr="00D03F3E" w:rsidRDefault="00F80E25" w:rsidP="00D03F3E">
      <w:pPr>
        <w:tabs>
          <w:tab w:val="left" w:pos="539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нагнетателя (на высоте </w:t>
      </w:r>
      <w:r w:rsidRPr="00D03F3E">
        <w:rPr>
          <w:rStyle w:val="0pt"/>
          <w:rFonts w:ascii="Times New Roman" w:hAnsi="Times New Roman" w:cs="Times New Roman"/>
          <w:color w:val="000000" w:themeColor="text1"/>
          <w:spacing w:val="0"/>
          <w:sz w:val="16"/>
          <w:szCs w:val="16"/>
        </w:rPr>
        <w:t xml:space="preserve">4650 </w:t>
      </w:r>
      <w:r w:rsidRPr="00D03F3E">
        <w:rPr>
          <w:rFonts w:ascii="Times New Roman" w:hAnsi="Times New Roman"/>
          <w:color w:val="000000" w:themeColor="text1"/>
          <w:sz w:val="16"/>
          <w:szCs w:val="16"/>
        </w:rPr>
        <w:t>мт.;</w:t>
      </w:r>
      <w:r w:rsidRPr="00D03F3E">
        <w:rPr>
          <w:rStyle w:val="0pt"/>
          <w:rFonts w:ascii="Times New Roman" w:hAnsi="Times New Roman" w:cs="Times New Roman"/>
          <w:color w:val="000000" w:themeColor="text1"/>
          <w:spacing w:val="0"/>
          <w:sz w:val="16"/>
          <w:szCs w:val="16"/>
        </w:rPr>
        <w:tab/>
        <w:t xml:space="preserve">- 1450 </w:t>
      </w:r>
      <w:r w:rsidRPr="00D03F3E">
        <w:rPr>
          <w:rFonts w:ascii="Times New Roman" w:hAnsi="Times New Roman"/>
          <w:color w:val="000000" w:themeColor="text1"/>
          <w:sz w:val="16"/>
          <w:szCs w:val="16"/>
        </w:rPr>
        <w:t>л.с.</w:t>
      </w:r>
    </w:p>
    <w:p w14:paraId="3611AD27" w14:textId="77777777" w:rsidR="00F80E25" w:rsidRPr="00D03F3E" w:rsidRDefault="00F80E25" w:rsidP="00D03F3E">
      <w:pPr>
        <w:tabs>
          <w:tab w:val="left" w:pos="540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мотора</w:t>
      </w:r>
      <w:r w:rsidRPr="00D03F3E">
        <w:rPr>
          <w:rFonts w:ascii="Times New Roman" w:hAnsi="Times New Roman"/>
          <w:color w:val="000000" w:themeColor="text1"/>
          <w:sz w:val="16"/>
          <w:szCs w:val="16"/>
        </w:rPr>
        <w:tab/>
        <w:t xml:space="preserve">- </w:t>
      </w:r>
      <w:r w:rsidRPr="00D03F3E">
        <w:rPr>
          <w:rStyle w:val="0pt"/>
          <w:rFonts w:ascii="Times New Roman" w:hAnsi="Times New Roman" w:cs="Times New Roman"/>
          <w:color w:val="000000" w:themeColor="text1"/>
          <w:spacing w:val="0"/>
          <w:sz w:val="16"/>
          <w:szCs w:val="16"/>
        </w:rPr>
        <w:t xml:space="preserve">900 </w:t>
      </w:r>
      <w:r w:rsidRPr="00D03F3E">
        <w:rPr>
          <w:rFonts w:ascii="Times New Roman" w:hAnsi="Times New Roman"/>
          <w:color w:val="000000" w:themeColor="text1"/>
          <w:sz w:val="16"/>
          <w:szCs w:val="16"/>
        </w:rPr>
        <w:t>кг.</w:t>
      </w:r>
    </w:p>
    <w:p w14:paraId="5F2C94AC" w14:textId="77777777" w:rsidR="00F80E25" w:rsidRPr="00D03F3E" w:rsidRDefault="00F80E2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Результаты испытаний мотора М-82ФК с насосом непосред</w:t>
      </w:r>
      <w:r w:rsidRPr="00D03F3E">
        <w:rPr>
          <w:rFonts w:ascii="Times New Roman" w:hAnsi="Times New Roman"/>
          <w:color w:val="000000" w:themeColor="text1"/>
          <w:sz w:val="16"/>
          <w:szCs w:val="16"/>
        </w:rPr>
        <w:softHyphen/>
        <w:t>ственного впрыска топлива утвердить и в дальнейшем именовать этот мотор</w:t>
      </w:r>
      <w:r w:rsidRPr="00D03F3E">
        <w:rPr>
          <w:rStyle w:val="95pt0pt"/>
          <w:rFonts w:ascii="Times New Roman" w:hAnsi="Times New Roman" w:cs="Times New Roman"/>
          <w:b w:val="0"/>
          <w:color w:val="000000" w:themeColor="text1"/>
          <w:sz w:val="16"/>
          <w:szCs w:val="16"/>
        </w:rPr>
        <w:t xml:space="preserve"> M</w:t>
      </w:r>
      <w:r w:rsidRPr="00D03F3E">
        <w:rPr>
          <w:rStyle w:val="0pt"/>
          <w:rFonts w:ascii="Times New Roman" w:hAnsi="Times New Roman" w:cs="Times New Roman"/>
          <w:color w:val="000000" w:themeColor="text1"/>
          <w:spacing w:val="0"/>
          <w:sz w:val="16"/>
          <w:szCs w:val="16"/>
        </w:rPr>
        <w:t>-82</w:t>
      </w:r>
      <w:r w:rsidRPr="00D03F3E">
        <w:rPr>
          <w:rStyle w:val="0pt"/>
          <w:rFonts w:ascii="Times New Roman" w:hAnsi="Times New Roman" w:cs="Times New Roman"/>
          <w:color w:val="000000" w:themeColor="text1"/>
          <w:spacing w:val="0"/>
          <w:sz w:val="16"/>
          <w:szCs w:val="16"/>
          <w:lang w:val="en-US"/>
        </w:rPr>
        <w:t>wH</w:t>
      </w:r>
      <w:r w:rsidRPr="00D03F3E">
        <w:rPr>
          <w:rStyle w:val="0pt"/>
          <w:rFonts w:ascii="Times New Roman" w:hAnsi="Times New Roman" w:cs="Times New Roman"/>
          <w:color w:val="000000" w:themeColor="text1"/>
          <w:spacing w:val="0"/>
          <w:sz w:val="16"/>
          <w:szCs w:val="16"/>
        </w:rPr>
        <w:t>.</w:t>
      </w:r>
    </w:p>
    <w:p w14:paraId="4C506CB7" w14:textId="77777777" w:rsidR="00F80E25" w:rsidRPr="00D03F3E" w:rsidRDefault="00F80E25" w:rsidP="00D03F3E">
      <w:pPr>
        <w:tabs>
          <w:tab w:val="left" w:pos="95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5. Обязать директора завода 19 т.Солдатова и главного конструктора т.Швецова обеспечить серийный выпуск моторов </w:t>
      </w:r>
      <w:r w:rsidRPr="00D03F3E">
        <w:rPr>
          <w:rStyle w:val="0pt"/>
          <w:rFonts w:ascii="Times New Roman" w:hAnsi="Times New Roman" w:cs="Times New Roman"/>
          <w:color w:val="000000" w:themeColor="text1"/>
          <w:spacing w:val="0"/>
          <w:sz w:val="16"/>
          <w:szCs w:val="16"/>
          <w:lang w:val="en-US"/>
        </w:rPr>
        <w:t>M</w:t>
      </w:r>
      <w:r w:rsidRPr="00D03F3E">
        <w:rPr>
          <w:rStyle w:val="0pt"/>
          <w:rFonts w:ascii="Times New Roman" w:hAnsi="Times New Roman" w:cs="Times New Roman"/>
          <w:color w:val="000000" w:themeColor="text1"/>
          <w:spacing w:val="0"/>
          <w:sz w:val="16"/>
          <w:szCs w:val="16"/>
        </w:rPr>
        <w:t>-83</w:t>
      </w:r>
      <w:r w:rsidRPr="00D03F3E">
        <w:rPr>
          <w:rStyle w:val="0pt"/>
          <w:rFonts w:ascii="Times New Roman" w:hAnsi="Times New Roman" w:cs="Times New Roman"/>
          <w:color w:val="000000" w:themeColor="text1"/>
          <w:spacing w:val="0"/>
          <w:sz w:val="16"/>
          <w:szCs w:val="16"/>
          <w:lang w:val="en-US"/>
        </w:rPr>
        <w:t>SH</w:t>
      </w:r>
      <w:r w:rsidRPr="00D03F3E">
        <w:rPr>
          <w:rFonts w:ascii="Times New Roman" w:hAnsi="Times New Roman"/>
          <w:color w:val="000000" w:themeColor="text1"/>
          <w:sz w:val="16"/>
          <w:szCs w:val="16"/>
        </w:rPr>
        <w:t xml:space="preserve"> в следующих количествах: в апреле </w:t>
      </w:r>
      <w:r w:rsidRPr="00D03F3E">
        <w:rPr>
          <w:rStyle w:val="0pt"/>
          <w:rFonts w:ascii="Times New Roman" w:hAnsi="Times New Roman" w:cs="Times New Roman"/>
          <w:color w:val="000000" w:themeColor="text1"/>
          <w:spacing w:val="0"/>
          <w:sz w:val="16"/>
          <w:szCs w:val="16"/>
        </w:rPr>
        <w:t>1943</w:t>
      </w:r>
      <w:r w:rsidRPr="00D03F3E">
        <w:rPr>
          <w:rFonts w:ascii="Times New Roman" w:hAnsi="Times New Roman"/>
          <w:color w:val="000000" w:themeColor="text1"/>
          <w:sz w:val="16"/>
          <w:szCs w:val="16"/>
        </w:rPr>
        <w:t xml:space="preserve"> года - 70 мото- роЕ, в мае - </w:t>
      </w:r>
      <w:r w:rsidRPr="00D03F3E">
        <w:rPr>
          <w:rStyle w:val="0pt"/>
          <w:rFonts w:ascii="Times New Roman" w:hAnsi="Times New Roman" w:cs="Times New Roman"/>
          <w:color w:val="000000" w:themeColor="text1"/>
          <w:spacing w:val="0"/>
          <w:sz w:val="16"/>
          <w:szCs w:val="16"/>
          <w:lang w:val="en-US"/>
        </w:rPr>
        <w:t>i</w:t>
      </w:r>
      <w:r w:rsidRPr="00D03F3E">
        <w:rPr>
          <w:rStyle w:val="0pt"/>
          <w:rFonts w:ascii="Times New Roman" w:hAnsi="Times New Roman" w:cs="Times New Roman"/>
          <w:color w:val="000000" w:themeColor="text1"/>
          <w:spacing w:val="0"/>
          <w:sz w:val="16"/>
          <w:szCs w:val="16"/>
        </w:rPr>
        <w:t>20</w:t>
      </w:r>
      <w:r w:rsidRPr="00D03F3E">
        <w:rPr>
          <w:rFonts w:ascii="Times New Roman" w:hAnsi="Times New Roman"/>
          <w:color w:val="000000" w:themeColor="text1"/>
          <w:sz w:val="16"/>
          <w:szCs w:val="16"/>
        </w:rPr>
        <w:t xml:space="preserve"> моторов, в июне - </w:t>
      </w:r>
      <w:r w:rsidRPr="00D03F3E">
        <w:rPr>
          <w:rStyle w:val="0pt"/>
          <w:rFonts w:ascii="Times New Roman" w:hAnsi="Times New Roman" w:cs="Times New Roman"/>
          <w:color w:val="000000" w:themeColor="text1"/>
          <w:spacing w:val="0"/>
          <w:sz w:val="16"/>
          <w:szCs w:val="16"/>
        </w:rPr>
        <w:t>150</w:t>
      </w:r>
      <w:r w:rsidRPr="00D03F3E">
        <w:rPr>
          <w:rFonts w:ascii="Times New Roman" w:hAnsi="Times New Roman"/>
          <w:color w:val="000000" w:themeColor="text1"/>
          <w:sz w:val="16"/>
          <w:szCs w:val="16"/>
        </w:rPr>
        <w:t xml:space="preserve"> моторов.</w:t>
      </w:r>
    </w:p>
    <w:p w14:paraId="44678757" w14:textId="77777777" w:rsidR="00F80E25" w:rsidRPr="00D03F3E" w:rsidRDefault="00F80E25" w:rsidP="00D03F3E">
      <w:pPr>
        <w:tabs>
          <w:tab w:val="left" w:pos="95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6. Обязать НКАП - директора завода К </w:t>
      </w:r>
      <w:r w:rsidRPr="00D03F3E">
        <w:rPr>
          <w:rStyle w:val="0pt"/>
          <w:rFonts w:ascii="Times New Roman" w:hAnsi="Times New Roman" w:cs="Times New Roman"/>
          <w:color w:val="000000" w:themeColor="text1"/>
          <w:spacing w:val="0"/>
          <w:sz w:val="16"/>
          <w:szCs w:val="16"/>
        </w:rPr>
        <w:t>296</w:t>
      </w:r>
      <w:r w:rsidRPr="00D03F3E">
        <w:rPr>
          <w:rFonts w:ascii="Times New Roman" w:hAnsi="Times New Roman"/>
          <w:color w:val="000000" w:themeColor="text1"/>
          <w:sz w:val="16"/>
          <w:szCs w:val="16"/>
        </w:rPr>
        <w:t xml:space="preserve"> т.Еермана обес</w:t>
      </w:r>
      <w:r w:rsidRPr="00D03F3E">
        <w:rPr>
          <w:rFonts w:ascii="Times New Roman" w:hAnsi="Times New Roman"/>
          <w:color w:val="000000" w:themeColor="text1"/>
          <w:sz w:val="16"/>
          <w:szCs w:val="16"/>
        </w:rPr>
        <w:softHyphen/>
        <w:t xml:space="preserve">печить серийное производство насосов непосредственного впрыска НБ-ЗУ для моторов*М-82ФН в следующих количествах: в апреле </w:t>
      </w:r>
      <w:r w:rsidRPr="00D03F3E">
        <w:rPr>
          <w:rStyle w:val="0pt"/>
          <w:rFonts w:ascii="Times New Roman" w:hAnsi="Times New Roman" w:cs="Times New Roman"/>
          <w:color w:val="000000" w:themeColor="text1"/>
          <w:spacing w:val="0"/>
          <w:sz w:val="16"/>
          <w:szCs w:val="16"/>
        </w:rPr>
        <w:t>1943</w:t>
      </w:r>
      <w:r w:rsidRPr="00D03F3E">
        <w:rPr>
          <w:rFonts w:ascii="Times New Roman" w:hAnsi="Times New Roman"/>
          <w:color w:val="000000" w:themeColor="text1"/>
          <w:sz w:val="16"/>
          <w:szCs w:val="16"/>
        </w:rPr>
        <w:t xml:space="preserve"> года - </w:t>
      </w:r>
      <w:r w:rsidRPr="00D03F3E">
        <w:rPr>
          <w:rStyle w:val="0pt"/>
          <w:rFonts w:ascii="Times New Roman" w:hAnsi="Times New Roman" w:cs="Times New Roman"/>
          <w:color w:val="000000" w:themeColor="text1"/>
          <w:spacing w:val="0"/>
          <w:sz w:val="16"/>
          <w:szCs w:val="16"/>
        </w:rPr>
        <w:t>150</w:t>
      </w:r>
      <w:r w:rsidRPr="00D03F3E">
        <w:rPr>
          <w:rFonts w:ascii="Times New Roman" w:hAnsi="Times New Roman"/>
          <w:color w:val="000000" w:themeColor="text1"/>
          <w:sz w:val="16"/>
          <w:szCs w:val="16"/>
        </w:rPr>
        <w:t xml:space="preserve"> комплектов, в мае - </w:t>
      </w:r>
      <w:r w:rsidRPr="00D03F3E">
        <w:rPr>
          <w:rStyle w:val="0pt"/>
          <w:rFonts w:ascii="Times New Roman" w:hAnsi="Times New Roman" w:cs="Times New Roman"/>
          <w:color w:val="000000" w:themeColor="text1"/>
          <w:spacing w:val="0"/>
          <w:sz w:val="16"/>
          <w:szCs w:val="16"/>
        </w:rPr>
        <w:t>200</w:t>
      </w:r>
      <w:r w:rsidRPr="00D03F3E">
        <w:rPr>
          <w:rFonts w:ascii="Times New Roman" w:hAnsi="Times New Roman"/>
          <w:color w:val="000000" w:themeColor="text1"/>
          <w:sz w:val="16"/>
          <w:szCs w:val="16"/>
        </w:rPr>
        <w:t xml:space="preserve"> комплектов, в июне - </w:t>
      </w:r>
      <w:r w:rsidRPr="00D03F3E">
        <w:rPr>
          <w:rStyle w:val="0pt"/>
          <w:rFonts w:ascii="Times New Roman" w:hAnsi="Times New Roman" w:cs="Times New Roman"/>
          <w:color w:val="000000" w:themeColor="text1"/>
          <w:spacing w:val="0"/>
          <w:sz w:val="16"/>
          <w:szCs w:val="16"/>
        </w:rPr>
        <w:t>225</w:t>
      </w:r>
      <w:r w:rsidRPr="00D03F3E">
        <w:rPr>
          <w:rFonts w:ascii="Times New Roman" w:hAnsi="Times New Roman"/>
          <w:color w:val="000000" w:themeColor="text1"/>
          <w:sz w:val="16"/>
          <w:szCs w:val="16"/>
        </w:rPr>
        <w:t xml:space="preserve"> комплектов.</w:t>
      </w:r>
    </w:p>
    <w:p w14:paraId="52BFECCC" w14:textId="77777777" w:rsidR="00F80E25" w:rsidRPr="00D03F3E" w:rsidRDefault="00F80E25" w:rsidP="00D03F3E">
      <w:pPr>
        <w:tabs>
          <w:tab w:val="left" w:pos="95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7. Обязать директора завода № </w:t>
      </w:r>
      <w:r w:rsidRPr="00D03F3E">
        <w:rPr>
          <w:rStyle w:val="0pt"/>
          <w:rFonts w:ascii="Times New Roman" w:hAnsi="Times New Roman" w:cs="Times New Roman"/>
          <w:color w:val="000000" w:themeColor="text1"/>
          <w:spacing w:val="0"/>
          <w:sz w:val="16"/>
          <w:szCs w:val="16"/>
        </w:rPr>
        <w:t>381</w:t>
      </w:r>
      <w:r w:rsidRPr="00D03F3E">
        <w:rPr>
          <w:rFonts w:ascii="Times New Roman" w:hAnsi="Times New Roman"/>
          <w:color w:val="000000" w:themeColor="text1"/>
          <w:sz w:val="16"/>
          <w:szCs w:val="16"/>
        </w:rPr>
        <w:t xml:space="preserve"> т.-Куравлева в мае месяце перейти полностью на выпуск самолетов Ла-5 с металли</w:t>
      </w:r>
      <w:r w:rsidRPr="00D03F3E">
        <w:rPr>
          <w:rFonts w:ascii="Times New Roman" w:hAnsi="Times New Roman"/>
          <w:color w:val="000000" w:themeColor="text1"/>
          <w:sz w:val="16"/>
          <w:szCs w:val="16"/>
        </w:rPr>
        <w:softHyphen/>
        <w:t xml:space="preserve">ческими лонжеронами крыльев и центроплана с моторами </w:t>
      </w:r>
      <w:r w:rsidRPr="00D03F3E">
        <w:rPr>
          <w:rStyle w:val="0pt"/>
          <w:rFonts w:ascii="Times New Roman" w:hAnsi="Times New Roman" w:cs="Times New Roman"/>
          <w:color w:val="000000" w:themeColor="text1"/>
          <w:spacing w:val="0"/>
          <w:sz w:val="16"/>
          <w:szCs w:val="16"/>
        </w:rPr>
        <w:t>И-82ФН.</w:t>
      </w:r>
    </w:p>
    <w:p w14:paraId="27EC1FEF" w14:textId="77777777" w:rsidR="00F80E25" w:rsidRPr="00D03F3E" w:rsidRDefault="00F80E2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Утвердить мероприятия пс обеспечению производства самолетов Ла-5</w:t>
      </w:r>
      <w:r w:rsidRPr="00D03F3E">
        <w:rPr>
          <w:rStyle w:val="0pt"/>
          <w:rFonts w:ascii="Times New Roman" w:hAnsi="Times New Roman" w:cs="Times New Roman"/>
          <w:color w:val="000000" w:themeColor="text1"/>
          <w:spacing w:val="0"/>
          <w:sz w:val="16"/>
          <w:szCs w:val="16"/>
        </w:rPr>
        <w:t xml:space="preserve"> с М-82ФН</w:t>
      </w:r>
      <w:r w:rsidRPr="00D03F3E">
        <w:rPr>
          <w:rFonts w:ascii="Times New Roman" w:hAnsi="Times New Roman"/>
          <w:color w:val="000000" w:themeColor="text1"/>
          <w:sz w:val="16"/>
          <w:szCs w:val="16"/>
        </w:rPr>
        <w:t xml:space="preserve"> и моторов М-82ФН (см.приложение)  (19393).</w:t>
      </w:r>
    </w:p>
    <w:p w14:paraId="2891D4CA" w14:textId="77777777" w:rsidR="00E04C7E" w:rsidRPr="00D03F3E" w:rsidRDefault="00E04C7E"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9D0F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марта 1943 вышло Постановление ГКО N 3101 о том, что с мая 1943 завод 381 должен перейти полностью на выпуск облегченных Ла-5 М-82 с металлическими лонжеронами (1779,237).</w:t>
      </w:r>
    </w:p>
    <w:p w14:paraId="0D6355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C523B6"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31 марта 1943 г.</w:t>
      </w:r>
    </w:p>
    <w:p w14:paraId="0DF7A98E"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Информация руководства завода № 19 им. Сталина и завода № 33 Наркому авиационной промышленности Шахурину о проведении работы по улучшению характеристики расходов топлива карбюратором АК-82 БП</w:t>
      </w:r>
    </w:p>
    <w:p w14:paraId="7130550B"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31 марта 1943 г.</w:t>
      </w:r>
    </w:p>
    <w:p w14:paraId="663B8A7E"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 Молотов</w:t>
      </w:r>
    </w:p>
    <w:p w14:paraId="153CFB96"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соответствии с Вашим приказом № 137 на самолете Ла-5 проведены работы по улучшению характеристики расходов топлива карбюратора АК-82 БП разных серий.</w:t>
      </w:r>
    </w:p>
    <w:p w14:paraId="5F8C6DFA"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результате испытаний достигнуто улучшение характеристики карбюратора путем постановки дополнительного клапана конструкции завода № 33.</w:t>
      </w:r>
    </w:p>
    <w:p w14:paraId="2963EA69"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Наряду с продолжающимися работами по дальнейшему улучшению характеристики карбюратора, считаем необходимым немедленно начать выпуск самолетов на заводе № 21 с установкой на карбюраторах дополнительного клапана, согласно инструкции завода № 33.</w:t>
      </w:r>
    </w:p>
    <w:p w14:paraId="792488C5"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Одновременно с этим просим дать разрешение на постановку дополнительного клапана на карбюраторах, находящихся в эксплуатации в частях ВВС КА.</w:t>
      </w:r>
    </w:p>
    <w:p w14:paraId="099FEA7A"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Директор завода № 19 Солдатов</w:t>
      </w:r>
    </w:p>
    <w:p w14:paraId="56F2F601"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Главный конструктор завода № 19 Швецов</w:t>
      </w:r>
    </w:p>
    <w:p w14:paraId="41D45A3B"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Директор завода № 33 Маланьин</w:t>
      </w:r>
    </w:p>
    <w:p w14:paraId="0A96696C"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Главный конструктор завода № 33 Коротков</w:t>
      </w:r>
    </w:p>
    <w:p w14:paraId="4756FB7F"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Руководитель бригады НКП Масленников</w:t>
      </w:r>
    </w:p>
    <w:p w14:paraId="6EFB17DE"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ПермГАСПИ. Ф. 105. Оп. 9. Д. 102. Л. 178. Копия. Машиннопись (20869).</w:t>
      </w:r>
    </w:p>
    <w:p w14:paraId="31CF8C98" w14:textId="77777777" w:rsidR="00096973" w:rsidRPr="00D03F3E" w:rsidRDefault="00096973" w:rsidP="00D03F3E">
      <w:pPr>
        <w:spacing w:after="0" w:line="240" w:lineRule="auto"/>
        <w:jc w:val="both"/>
        <w:rPr>
          <w:rFonts w:ascii="Times New Roman" w:hAnsi="Times New Roman"/>
          <w:color w:val="0070C0"/>
          <w:sz w:val="16"/>
          <w:szCs w:val="16"/>
        </w:rPr>
      </w:pPr>
    </w:p>
    <w:p w14:paraId="36D9ACAE"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57C24D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31785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31 марта 1943 ЧКЗ изготовил 35 Су-152 (7437, 18).</w:t>
      </w:r>
    </w:p>
    <w:p w14:paraId="08E27AC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8CB7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марта 1943 вышло Постановление ГКО № 3098 О плане заказов Наркомата обороны, Наркомвоенморфлота и Наркомвнудела по вещевому имуществу и снаряжению на II квартал и о закладке теплых вещей к зиме 1943/44 гг.РГАНИР, Фонд ГКО, д. 99, лл. 165-167, 168-217 (11012).</w:t>
      </w:r>
    </w:p>
    <w:p w14:paraId="785EEA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51E3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марта 1943 Балтийский завод за I квартал выполнил ремонт четырех эсминцев, трех ПЛ, пяти ладожских барж, перевооружил две канонерские лодки: на "Норе" вместо двух орудий калибром 100 мм установлены два орудия по 130 мм, один зенитный 37-мм автомат; на "Вире" к двум имевшимся орудиям (калибра 100 мм) добавлены одно орудие калибра 100 мм и одно - 37 мм. Адмиралтейцы отремонтировали ПЛ Щ-318. Рабочие завода им. А. А. Кулакова в марте изготовили 10206 автоматов ППС и по итогам социалистического соревнования завоевали 1-е место по Ленинграду (10671).</w:t>
      </w:r>
    </w:p>
    <w:p w14:paraId="1C7E62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967B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оснащения ТЩ противоминными средствами ленинградцы выпустили в марте 10 катерно-змейковых тралов, 20 катерных параванов, комплект морского трала. Петрозавод отремонтировал БТЩ "Гафель". В первом квартале катеростроители передали флоту 8 боевых катеров (10671).</w:t>
      </w:r>
    </w:p>
    <w:p w14:paraId="23063E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A221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ленинградскую МЗК по постройке малых кораблей вошли заводы им. Второй пятилетки (насосы), "Красногвардеец" (газовые фильтры), им. Воскова (сцепные муфты), "Красный гвоздильщик" (электроды), РТИ (шланги, резиновые шлюпки), Электротехнический институт связи им. Бонч-Бруевича - машинные телеграфы и вентили. Выполняли также задания в связи с постройкой и ремонтом флота заводы "Электросила", "Севкабель" и др (10671).</w:t>
      </w:r>
    </w:p>
    <w:p w14:paraId="03EDAA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B3355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291204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47520D"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31 марта</w:t>
      </w:r>
      <w:r w:rsidRPr="00D03F3E">
        <w:rPr>
          <w:rFonts w:ascii="Times New Roman" w:hAnsi="Times New Roman"/>
          <w:color w:val="000000" w:themeColor="text1"/>
          <w:sz w:val="16"/>
          <w:szCs w:val="16"/>
        </w:rPr>
        <w:t xml:space="preserve"> в 1943 году утреннее сообщение Совинформбюро:</w:t>
      </w:r>
    </w:p>
    <w:p w14:paraId="522388D9"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30 марта на фронтах существенных изменений не произошло.</w:t>
      </w:r>
    </w:p>
    <w:p w14:paraId="3845DBA7"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закреплялись на достигнутых рубежах и вели разведку. Бойцы Н-ской части уничтожили артиллерийскую батарею и до роты пехоты противника. Захвачены 6 пулемётов, 18 автоматов, несколько десятков винтовок и склад боеприпасов. Семнадцать немецких бомбардировщиков в сопровождении трёх истребителей пытались бомбить расположение наших войск. Зенитчики части, где командиром тов. Шумихин, открыли огонь и за несколько минут сбили 3 самолёта противника. Остальные немецкие самолёты беспорядочно сбросили несколько бомб и быстро скрылись.</w:t>
      </w:r>
    </w:p>
    <w:p w14:paraId="6B0861F1"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части Н-ского соединения, преодолевая упорное сопротивление противника, продвигались вперёд и заняли несколько населённых пунктов. В боях за эти пункты истреблено до 300 гитлеровцев. Захвачены у противника 2 орудия, миномётная батарея и склад боеприпасов.</w:t>
      </w:r>
    </w:p>
    <w:p w14:paraId="3BA2574F"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течения Северного Донца немецкие автоматчики пытались атаковать позиции Н-ской части. Наши бойцы отбросили гитлеровцев на исходные позиции и нанесли им серьёзные потери. На другом участке артиллерийским огнём рассеяно большое скопление вражеской пехоты, подавлен огонь 2 миномётных батарей и уничтожено самоходное орудие противника.</w:t>
      </w:r>
    </w:p>
    <w:p w14:paraId="5DFC35CF"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рота пехоты противника при поддержке 7 танков и 3 бронемашин пыталась вести разведку нашей обороны. Подразделения Н-ской части артиллерийско-миномётным огнём рассеяли противника и подбили 4 немецких танка. Наши лётчики в воздушных боях сбили 9 немецких самолётов. Огнём зенитчиков, кроме того, уничтожено 2 самолёта противника.</w:t>
      </w:r>
    </w:p>
    <w:p w14:paraId="2FA9244F"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Сталинской области, разгромил немецкий гарнизон. Убито более 100 гитлеровцев, из них 15 офицеров. Отряд партизан Ровенской области пустил под откос железнодорожный эшелон с живой силой противника. Разбиты паровоз и 10 вагонов. В результате крушения убито и ранено 120 гитлеровцев.</w:t>
      </w:r>
    </w:p>
    <w:p w14:paraId="06E2C9F0"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унтер-офицер 8 роты 88 полка 15 немецкой пехотной дивизии Герман Крайз рассказал: "Наша дивизия прибыла из Франции во второй половине февраля. Яуже участвовал в боях на Восточном фронте и имею два ранения. Настроение солдат, прибывших в Россию из Франции, плохое. Они прекрасно знают, что здесь гораздо больше шансов заработать деревянный крест, чем железный. Эту горькую истину солдаты повторяют на все лады. Год назад мало кто верил в возможность создания второго фронта на Западе. Теперь, в связи с переброской многих немецких дивизийиз Франции на Восток, многие солдаты и офицеры считают, что англичане и американцы воспользуются случаем».</w:t>
      </w:r>
    </w:p>
    <w:p w14:paraId="4569AA7E"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на подступах к городу Невесинье уничтожили 300 вражеских солдат и офицеров и взяли в плен 118 итальянцев. Захвачены у оккупантов трофеи:10 миномётов, 25 пулемётов, много боеприпасов и различное военное имущество. В ожесточённых боях, происходивших у города Кониц и в районе реки Неретва, патриоты нанесли итало-немецким оккупантам большие потери.» (15085).</w:t>
      </w:r>
    </w:p>
    <w:p w14:paraId="01BE875B" w14:textId="77777777" w:rsidR="00C57815" w:rsidRPr="00D03F3E" w:rsidRDefault="00C57815" w:rsidP="00D03F3E">
      <w:pPr>
        <w:spacing w:after="0" w:line="240" w:lineRule="auto"/>
        <w:jc w:val="both"/>
        <w:rPr>
          <w:rFonts w:ascii="Times New Roman" w:hAnsi="Times New Roman"/>
          <w:color w:val="000000" w:themeColor="text1"/>
          <w:sz w:val="16"/>
          <w:szCs w:val="16"/>
        </w:rPr>
      </w:pPr>
    </w:p>
    <w:p w14:paraId="055B70E6"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31 марта</w:t>
      </w:r>
      <w:r w:rsidRPr="00D03F3E">
        <w:rPr>
          <w:rFonts w:ascii="Times New Roman" w:hAnsi="Times New Roman"/>
          <w:color w:val="000000" w:themeColor="text1"/>
          <w:sz w:val="16"/>
          <w:szCs w:val="16"/>
        </w:rPr>
        <w:t xml:space="preserve"> в 1943 году вечернее сообщение Совинформбюро:</w:t>
      </w:r>
    </w:p>
    <w:p w14:paraId="2006DBEF"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30 марта на фронтах существенных изменений не произошло.</w:t>
      </w:r>
    </w:p>
    <w:p w14:paraId="42302905"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корабли в Чёрном море потопили транспорт противника водоизмещением в 2.000 тонн.</w:t>
      </w:r>
    </w:p>
    <w:p w14:paraId="4CA2812A"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марта частями нашей авиации на различных участках фронта уничтожено или повреждено до 10 немецких танков, свыше 100 автомашин с войсками и грузами, подавлен огонь 7 батарей полевой изенитной артиллерии противника. В Баренцовом море нашей авиацией потоплено три транспорта противника общим водоизмещением в 6.000 тонн.</w:t>
      </w:r>
    </w:p>
    <w:p w14:paraId="11421069"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участке в районе среднего течения Северного Донца в течение дня происходили ожесточённые бои с противником. Немцы силами танковой дивизии перешли в наступление, пытаясь прорвать нашу оборону. Действия своей дивизии противник поддерживал сильным огнём артиллерии и крупными силами авиации. Наше гвардейское соединение под командованием генерал-майора Тихонова стойко встретило натиск врага и отбило все атаки гитлеровцев. В ходе боя наши бойцы неоднократно сами переходили в контратаки и нанесли противнику тяжёлые потери. По неполным данным, уничтожено 10 немецких самоходных орудий, подбито и сожжено 22 немецких танка. На поле боя немцы оставили до 500 трупов своих солдат и офицеров. В воздушных боях нашими лётчиками, зенитной артиллерией и ружейно-пулемётным огнём сбито над полем боя 18 самолётов противника.</w:t>
      </w:r>
    </w:p>
    <w:p w14:paraId="2E7C520E"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ваши войска на отдельных участках вели активные боевые действия. Бойцы Н-ской части выбили немцев из населённого пункта, в боях закоторый уничтожено до 200 гитлеровцев. На другом участке части Н-ского соединения вклинились в оборону немцев и заняли сильно укреплённый населённый пункт. Захвачены трофеи и пленные.</w:t>
      </w:r>
    </w:p>
    <w:p w14:paraId="7264A89E"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наши войска производили разведку обороны противника и на отдельных участках вели бои местного значения. Под прикрытием тумана советские бойцы скрытно подобрались к одному опорному пункту противника и атаковали находившихся в нём гитлеровцев. Немцы отступили из этого пункта, оставив на поле боя более 100 трупов своих солдат и офицеров.</w:t>
      </w:r>
    </w:p>
    <w:p w14:paraId="1AA5A4D2"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Орловской области, в ночь на 16 марта разгромил немецкие гарнизоны в двух населённых пунктах. Партизаны уничтожили несколько десятков гитлеровцев и взяли 66 пленных. Захвачены миномёт, 3 пулемёта, 87 винтовок, много мин и патронов. Другой партизанский отряд пустил под откос два железнодорожных эшелона противника. В результате активной деятельности партизан важнейшая магистраль, проходящая через Орловскую область, выведена из строя по меньшей мере на две недели.</w:t>
      </w:r>
    </w:p>
    <w:p w14:paraId="5FB0C3A9"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убитого немецкого солдата найдено письмо от сестры из Марктредвида. В письме говорится: «...Хотя Франц и писал, что в России очень трудно, мне даже не снилось, что с ним тоже может случиться такое несчастье. Вчера у меня был товарищ Франца и всё подробно рассказал. Из 180 человек в роте оставалось общим счётом 12 человек. Франц был единственным уцелевшим унтер-офицером. В 5 часов утра они тронулись, чтобы отойти, а через час Франц был уже убит... Из Марктредвица погибли уже многие. В некоторых семьях убито по два сына. Что же будет дальше?».</w:t>
      </w:r>
    </w:p>
    <w:p w14:paraId="1B4F0D27"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Жители города Сычёвки, Смоленской области, Мария Калинина, Наталья Удовенко и Евдокия Орлова рассказали: «Немецко-фашистские мерзавцы устроили в деревне Юшино концентрационный лагерь для гражданского населения. В этот лагерь гитлеровцы бросили многих мирных граждан города Сычёвки и окрестных деревень. Среди заключённых было много подростков и женщин с детьми. Заключённые подвергались нечеловеческим пыткам. В лагере имелась камера пыток, из которой почти никто ужене возвращался. Здесь немецкие бандиты терзали и мучили свои жертвы. Редкий день проходил без расстрелов. Только 15 января было расстреляно 36 человек. В другой раз в двух камерах, в которых мы сидели, за один день расстреляли 28 женщин. За месяц фашисты убили свыше 200 человек, в том числе много детей».</w:t>
      </w:r>
    </w:p>
    <w:p w14:paraId="42B85414"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течения Северного Донца немецкие автоматчики пытались атаковать позиции Н-ской части. Наши бойцы отбросили гитлеровцев на исходные позиции и нанесли им серьёзные потери.» (15085).</w:t>
      </w:r>
    </w:p>
    <w:p w14:paraId="347E64F9" w14:textId="77777777" w:rsidR="00C57815" w:rsidRPr="00D03F3E" w:rsidRDefault="00C57815" w:rsidP="00D03F3E">
      <w:pPr>
        <w:spacing w:after="0" w:line="240" w:lineRule="auto"/>
        <w:jc w:val="both"/>
        <w:rPr>
          <w:rFonts w:ascii="Times New Roman" w:hAnsi="Times New Roman"/>
          <w:color w:val="000000" w:themeColor="text1"/>
          <w:sz w:val="16"/>
          <w:szCs w:val="16"/>
        </w:rPr>
      </w:pPr>
    </w:p>
    <w:p w14:paraId="6FF478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марта 1943 года морская авиация совершила налет на немецкие транспорты, стоявшие возле Тарханкута. Четыре ДБ-3Ф из 5-го ГМТАП безуспешно атаковали конвой. Немцы смогли сбить самолет капитана В.Н. Беликова. Капитан пошел на таран и потопил один из транспортов (2691).</w:t>
      </w:r>
    </w:p>
    <w:p w14:paraId="10CF04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F00A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марта 1943 в преддверии летней кампании командующий флотом адмирал В.Ф.Трибуц отдал новую директиву, согласно которой главной задачей авиации флота считалась борьба с неприятельскими кораблями, причем не только в базах, но и на водных плёсах. Основной же целью этой борьбы являлась дезорганизация вражеской системы противолодочной обороны и срыв постановок новых минных заграждений в Финском заливе. Информация о том, что противник начал подготовку к отражению нашего нового «подводного наступления» своевременно попала к разведке КБФ, но что именно он готовит, оставалось неясным. На самом же деле немцы ещё 24 марта приступили к постановке мин в самой узкой части Финского залива - между островом Найссаар и полуостровом Порккала-Удд, но, что ещё хуже, начали ставить поперек залива двойное сетевое заграждение. Эта механическая преграда не оставляла нашим подводникам ни малейшего шанса на прорыв в Балтийское море. Соответственно, и все усилия авиации совершались впустую, 1-й ГМТАП не стал здесь исключением (9965).</w:t>
      </w:r>
    </w:p>
    <w:p w14:paraId="43D244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90401B"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5CF840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C595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31 марта и 5 апреля 1943. Из протокола заседания Политбюро N 40, 1943 г.</w:t>
      </w:r>
    </w:p>
    <w:p w14:paraId="48FA41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 тов. Бадаеве А. Е. </w:t>
      </w:r>
    </w:p>
    <w:p w14:paraId="43A1B3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ЦК ВКП(б) стали известны факты безобразного поведения тов. Бадаева во время пребывания его в качестве председателя делегации СССР на празднествах Монгольской Народной Республики и в Тувинской Народной Республике, порочащие его как председателя Президиума Верховного Совета РСФСР и члена ЦК </w:t>
      </w:r>
      <w:r w:rsidRPr="00D03F3E">
        <w:rPr>
          <w:rFonts w:ascii="Times New Roman" w:hAnsi="Times New Roman"/>
          <w:color w:val="000000" w:themeColor="text1"/>
          <w:sz w:val="16"/>
          <w:szCs w:val="16"/>
        </w:rPr>
        <w:lastRenderedPageBreak/>
        <w:t xml:space="preserve">ВКП(б). Бадаев во время пребывания в Монгольской и Тувинской Народных Республиках беспробудно пьянствовал. Бадаев, будучи пьяным, терял чувство всякого личного достоинства и в своем антиморальном поведении опускался до того, что неоднократно приставал к женщинам и требовал, чтобы "доставили ему баб" для разврата. Используя свое положение, Бадаев настойчиво требовал и добился от правительства Тувинской Народной Республики совершенно незаконного награждения орденами Тувинской республики двух технических работников аппарата Президиума Верховного Совета РСФСР. На основании всего этого ЦК ВКП(б) постановляет: </w:t>
      </w:r>
    </w:p>
    <w:p w14:paraId="2D741D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 Снять тов. Бадаева А. Е. с поста Председателя Президиума Верховного Совета РСФСР... </w:t>
      </w:r>
    </w:p>
    <w:p w14:paraId="5AA12E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 связи с недостойным поведением тов. Бадаева А. Е. поставить на ближайшей Всесоюзной партийной конференции вопрос о выводе его из состава членов ЦК ВКП(б) (11652).</w:t>
      </w:r>
    </w:p>
    <w:p w14:paraId="747692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CFCA0A" w14:textId="77777777" w:rsidR="00C5781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558685F9" w14:textId="77777777" w:rsidR="00C57815" w:rsidRPr="00D03F3E" w:rsidRDefault="00C5781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CE7EF8"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31 марта</w:t>
      </w:r>
      <w:r w:rsidRPr="00D03F3E">
        <w:rPr>
          <w:rFonts w:ascii="Times New Roman" w:hAnsi="Times New Roman"/>
          <w:color w:val="000000" w:themeColor="text1"/>
          <w:sz w:val="16"/>
          <w:szCs w:val="16"/>
        </w:rPr>
        <w:t xml:space="preserve"> в 1943 году впервые взлетел NV636 английский палубный истребитель-торпедоносец «Blackburn Firebrand» (15085).</w:t>
      </w:r>
    </w:p>
    <w:p w14:paraId="20E9BDF2" w14:textId="77777777" w:rsidR="00C57815" w:rsidRPr="00D03F3E" w:rsidRDefault="00C57815" w:rsidP="00D03F3E">
      <w:pPr>
        <w:spacing w:after="0" w:line="240" w:lineRule="auto"/>
        <w:jc w:val="both"/>
        <w:rPr>
          <w:rFonts w:ascii="Times New Roman" w:hAnsi="Times New Roman"/>
          <w:color w:val="000000" w:themeColor="text1"/>
          <w:sz w:val="16"/>
          <w:szCs w:val="16"/>
        </w:rPr>
      </w:pPr>
    </w:p>
    <w:p w14:paraId="4228BC30"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31 марта</w:t>
      </w:r>
      <w:r w:rsidRPr="00D03F3E">
        <w:rPr>
          <w:rFonts w:ascii="Times New Roman" w:hAnsi="Times New Roman"/>
          <w:color w:val="000000" w:themeColor="text1"/>
          <w:sz w:val="16"/>
          <w:szCs w:val="16"/>
        </w:rPr>
        <w:t xml:space="preserve"> в 1943 году подписан контракт на постройку двух прототипов многоцелевого морского самолёта «XSC-1» («Model 97А»), разработчик: «Curtiss», США. В серийном производстве получил обозначение </w:t>
      </w:r>
      <w:hyperlink r:id="rId105" w:tgtFrame="_blank" w:history="1">
        <w:r w:rsidRPr="00D03F3E">
          <w:rPr>
            <w:rFonts w:ascii="Times New Roman" w:hAnsi="Times New Roman"/>
            <w:color w:val="000000" w:themeColor="text1"/>
            <w:sz w:val="16"/>
            <w:szCs w:val="16"/>
          </w:rPr>
          <w:t xml:space="preserve">«SC-1» «Seahawk». </w:t>
        </w:r>
      </w:hyperlink>
      <w:r w:rsidRPr="00D03F3E">
        <w:rPr>
          <w:rFonts w:ascii="Times New Roman" w:hAnsi="Times New Roman"/>
          <w:color w:val="000000" w:themeColor="text1"/>
          <w:sz w:val="16"/>
          <w:szCs w:val="16"/>
        </w:rPr>
        <w:t>Экипаж самолёта - 1-2 чел., в фюзеляже имелся багажный отсек, где при спасательных операциях можно было перевезти 1 пассажира. Двигатель «R-1820». Вооружение - два пулемета калибра 12,7-мм, легкие бомбы до 320 кг. Все самолёты поставлялись с колёсным шасси, поплавки поступали отдельно и устанавливались ВМС по необходимости (15085).</w:t>
      </w:r>
    </w:p>
    <w:p w14:paraId="2FC85E05" w14:textId="77777777" w:rsidR="00C57815" w:rsidRPr="00D03F3E" w:rsidRDefault="00C57815" w:rsidP="00D03F3E">
      <w:pPr>
        <w:spacing w:after="0" w:line="240" w:lineRule="auto"/>
        <w:jc w:val="both"/>
        <w:rPr>
          <w:rFonts w:ascii="Times New Roman" w:hAnsi="Times New Roman"/>
          <w:color w:val="000000" w:themeColor="text1"/>
          <w:sz w:val="16"/>
          <w:szCs w:val="16"/>
        </w:rPr>
      </w:pPr>
    </w:p>
    <w:p w14:paraId="562DA9EB" w14:textId="77777777" w:rsidR="00096973" w:rsidRPr="00D03F3E" w:rsidRDefault="0009697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 31 марта с 1 января 1943 бомбардировочное командование Королевских ВВС совершило 12760 самолето-вылетов и потеряло 348 бомбардировщиков, что составляет 2,7 процента потерь. Немецкие ночные истребители сбили 201 бомбардировщик (20376).</w:t>
      </w:r>
    </w:p>
    <w:p w14:paraId="30DC91DA" w14:textId="77777777" w:rsidR="00096973" w:rsidRPr="00D03F3E" w:rsidRDefault="00096973" w:rsidP="00D03F3E">
      <w:pPr>
        <w:spacing w:after="0" w:line="240" w:lineRule="auto"/>
        <w:jc w:val="both"/>
        <w:rPr>
          <w:rFonts w:ascii="Times New Roman" w:hAnsi="Times New Roman"/>
          <w:color w:val="0070C0"/>
          <w:sz w:val="16"/>
          <w:szCs w:val="16"/>
        </w:rPr>
      </w:pPr>
    </w:p>
    <w:p w14:paraId="34CBC4D4"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84AB8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9F9A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марта - апреле 1943 проходили испытания Ил-2 с НС-37. Выяснилось, что ЦТ сместился на 3.5% назад и требовались более опытные пилоты (241,41).</w:t>
      </w:r>
    </w:p>
    <w:p w14:paraId="46ECD7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226B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состоянию на конец марта 1943 г. согласно объяснительной записке к эскизному проекту Гу-ВРД успешно прошла испытания камера сгорания двигателя А.М. Люлька, был построен и опробован двухступенчатый осевой нагнетатель (компрессор), обеспечивавший степень сжатия в одной ступени 1,25 при к.п.д. порядка 0,75. Напомнив о довоенных работах, Гудков упомянул и об изготовленном на 70 % опытном образце двигателя с тягой 750 кг у земли. При этом он особо отметил, что детали и узлы двигателя, а также основные кадры коллектива, его разработавшего, находились в Москве (к этому времени ОКБ Болховитинова вернулось в столицу). Из объяснительной записки следовало, что А.М. Люлька планировал немедленно приступить к созданию двигателя со статической тягой 1500 кг. Однако начальник управления НКАП И. Сафронов и эту информацию фактически проигнорировал (9016).</w:t>
      </w:r>
    </w:p>
    <w:p w14:paraId="4E7BCC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510A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марта 1943 г. военная приемка завода №26 приняла 238-й и последний мотор М-106-1ск. Несомненно, что прекращение выпуска “сто шестого” было вызвано желанием Наркомата обеспечить наконец советской истребительной авиации преимущество над немецкой. Сравнение характеристик М-107А и DB605A показало, что только выше 5500 м немецкий мотор развивал несколько большую мощность (4537).</w:t>
      </w:r>
    </w:p>
    <w:p w14:paraId="060559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55FD35" w14:textId="77777777" w:rsidR="00DD601B" w:rsidRPr="00D03F3E"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конце марта И-185 №6202 стали готовить к полетам на замеры расхода топлива на скоростном крейсерском режиме для того, чтобы определить дальность.</w:t>
      </w:r>
    </w:p>
    <w:p w14:paraId="7BDFA661" w14:textId="77777777" w:rsidR="00DD601B" w:rsidRPr="00D03F3E"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Их проводил пилот НИИ ВВС Василий Андреевич Степанченок. На испытательной работе он был с 1931 г., за это время успел познакомиться с самолетами практически всех ОКБ, а наиболее плотно работал с машинами Туполева и Поликарпова. Степанченок участвовал в ряде экспериментальных работ повышенной сложности, таких как испытания "самолета-звена" Вахмистрова, много летал на планерах. Он успел и повоевать, имел ордена и за испытания, и за боевые заслуги. И эта новая работа была для него обычным повседневным делом.</w:t>
      </w:r>
    </w:p>
    <w:p w14:paraId="4DFEC60F" w14:textId="77777777" w:rsidR="00DD601B" w:rsidRPr="00D03F3E"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Степанченок сделал два полета, в которых мотор М-71 работал по-прежнему неустойчиво. Идти на дальность еще было нельзя и на 4 апреля 1943 г. вновь был намечен подготовительный полет. И он оказался последним...</w:t>
      </w:r>
    </w:p>
    <w:p w14:paraId="4200F9CD" w14:textId="77777777" w:rsidR="00DD601B" w:rsidRPr="00D03F3E"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Самолет взлетел, начал разворот с набором высоты и в это время двигатель остановился. Вот как описывает этот момент П.М. Стефановский:</w:t>
      </w:r>
    </w:p>
    <w:p w14:paraId="3A7C0AD5" w14:textId="77777777" w:rsidR="00DD601B" w:rsidRPr="00D03F3E"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"Произошло это над Центральным аэродромом Москвы, окруженным со всех сторон постройками. Напрасно летчик, совершивший не одну сотню посадок без мотора, опытный планерист-рекордсмен, обладавший в безмоторном полете чуть ли не чутьем птицы, прилагал все свои способности, чтобы дотянуть до летного поля. Высоты ему не хватило.</w:t>
      </w:r>
    </w:p>
    <w:p w14:paraId="43B873A8" w14:textId="77777777" w:rsidR="00DD601B" w:rsidRPr="00D03F3E"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Трагическая гибель В. А. Степанченка окончательно решила печальную участь отличного, но крайне невезучего из-за недоведенного мотора опытного самолета И-185".</w:t>
      </w:r>
    </w:p>
    <w:p w14:paraId="1639CB8D" w14:textId="77777777" w:rsidR="00DD601B" w:rsidRPr="00D03F3E"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Аварийная комиссия записала в своем акте, что причиной катастрофы был, как говорят теперь, "человеческий фактор". Под мембраной карбюратора мотора был найден обрывок контровочной проволоки, к тому же в его жиклере обнаружилось засорение, которое "списали" на некачественный бензин. К тому же по требованию ОКБ в акт была вписана ошибка пилота: заводской летчик Логинов утверждал, что с земли было видно, что мотор начал давать перебои уже в начале набора высоты, тем не менее Степанченок немедленной посадки не произвел, а начал разворачиваться. А коли так - виной всему его ошибка, а самолет и мотор ни при чем.</w:t>
      </w:r>
    </w:p>
    <w:p w14:paraId="424299B1" w14:textId="77777777" w:rsidR="00DD601B" w:rsidRPr="00D03F3E"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Создается такое впечатление, что согласно позиции ОКБ Поликарпова его самолеты настолько хороши, что для них просто не существует достойного пилота - ни Чкалов, ни Сузи, ни Степанченок до их уровня не дотягивают. Но как же тогда на них будет летать тот самый "средний летчик" в строевом полку?!</w:t>
      </w:r>
    </w:p>
    <w:p w14:paraId="100F015B" w14:textId="77777777" w:rsidR="00DD601B" w:rsidRPr="00D03F3E"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 мог ли Степанченок сесть с ходу, прямо перед собой? Хватило бы ему времени, чтобы сбросить скорость и перевести закрылки в посадочное положение, работала ли гидравлика? И наконец - было ли у него пространство для этого?</w:t>
      </w:r>
    </w:p>
    <w:p w14:paraId="2AB3C2AC" w14:textId="77777777" w:rsidR="00DD601B" w:rsidRPr="00D03F3E"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Сейчас вряд ли кто сможет ответить на эти вопросы ответственно. А факт заключается в том, что из-за высокой нагрузки на крыло И-185 без скорости и тяги мотора не смог "перепрыгнуть" через оказавшееся у него на пути здание цеха авиазавода №30 - Центральный аэродром со всех сторон был окружен постройками разной высоты. Фюзеляж попал точно в окно (может быть, туда его направил сам пилот - спросить его об этом было невозможно) и столкнулся с массивным стапелем - там один рабочий погиб и семеро были ранены. Удар пришелся как раз по мотору, который был разрушен и это также вызывает сомнения в достоверности определения причины его отказа (17737).</w:t>
      </w:r>
    </w:p>
    <w:p w14:paraId="4D400651" w14:textId="77777777" w:rsidR="00DD601B" w:rsidRPr="00D03F3E"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C3F365B"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0150E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CFF116" w14:textId="77777777" w:rsidR="00D92347" w:rsidRPr="00D03F3E" w:rsidRDefault="00D92347"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С конца марта 1943 начались проектные работы по модернизации ИС-2. Окончательно их легализовали постановлением ГКО №5583сс «Об изготовлении опытных образцов нового тяжёлого танка на Кировском заводе НКТП» от 8 апреля 1944 года. Помимо разработки и постройки опытных образцов тяжёлого танка Объект 701, в постановлении шла речь о модернизированном ИС-2. В трёхмесячный срок требовалось разработать и изготовить улучшенный вариант танка. Главными требованиями являлись усиление броневой защиты, а также повышение надёжности ходовой части и трансмиссии (19150).</w:t>
      </w:r>
    </w:p>
    <w:p w14:paraId="4E6091F0" w14:textId="77777777" w:rsidR="00D92347" w:rsidRPr="00D03F3E" w:rsidRDefault="00D92347" w:rsidP="00D03F3E">
      <w:pPr>
        <w:pStyle w:val="ae"/>
        <w:shd w:val="clear" w:color="auto" w:fill="FFFFFF"/>
        <w:spacing w:before="0" w:after="0"/>
        <w:jc w:val="both"/>
        <w:textAlignment w:val="baseline"/>
        <w:rPr>
          <w:color w:val="000000" w:themeColor="text1"/>
          <w:sz w:val="16"/>
          <w:szCs w:val="16"/>
        </w:rPr>
      </w:pPr>
    </w:p>
    <w:p w14:paraId="69CB7FD3" w14:textId="77777777" w:rsidR="00D92347" w:rsidRPr="00D03F3E" w:rsidRDefault="00D92347"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марта 1943 г. на ЧКЗ с целью определения типов брони и выработки требований к ней, унификации толщины, размеров и форм отдельных деталей для обеспе</w:t>
      </w:r>
      <w:r w:rsidRPr="00D03F3E">
        <w:rPr>
          <w:rFonts w:ascii="Times New Roman" w:hAnsi="Times New Roman"/>
          <w:color w:val="000000" w:themeColor="text1"/>
          <w:sz w:val="16"/>
          <w:szCs w:val="16"/>
        </w:rPr>
        <w:softHyphen/>
        <w:t>чения их экономного раскроя при вырезке из катаного броневого листа, из дерева был выполнен макет броневого корпуса танка. Так же были решены вопросы уменьшения механической обра</w:t>
      </w:r>
      <w:r w:rsidRPr="00D03F3E">
        <w:rPr>
          <w:rFonts w:ascii="Times New Roman" w:hAnsi="Times New Roman"/>
          <w:color w:val="000000" w:themeColor="text1"/>
          <w:sz w:val="16"/>
          <w:szCs w:val="16"/>
        </w:rPr>
        <w:softHyphen/>
        <w:t>ботки деталей и трудоемкости их изготовления, обеспечения необходи</w:t>
      </w:r>
      <w:r w:rsidRPr="00D03F3E">
        <w:rPr>
          <w:rFonts w:ascii="Times New Roman" w:hAnsi="Times New Roman"/>
          <w:color w:val="000000" w:themeColor="text1"/>
          <w:sz w:val="16"/>
          <w:szCs w:val="16"/>
        </w:rPr>
        <w:softHyphen/>
        <w:t>мой прочности сварных соединений необработанных поверхностей и крепления отдельных деталей. По результатам работы комиссии завод № 100 к 18 апреля произвел изменения в рабочих чертежах бронекорпу-са и передал их на броневой корпусной завод № 200 и УЗТМ (10703).</w:t>
      </w:r>
    </w:p>
    <w:p w14:paraId="3EF3A11D" w14:textId="77777777" w:rsidR="00D92347" w:rsidRPr="00D03F3E" w:rsidRDefault="00D92347"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7898B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последних числах марта 1943 года началось изготовление СУ-76И на заводе № 37, а уже 29 апреля на предприятии прошло совещание, посвященное вопросам изменения конструкции, и приёмки машин СУ-76И. после обсуждений предлагались следующие изменения:</w:t>
      </w:r>
    </w:p>
    <w:p w14:paraId="6488AE9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Изготовить опытный образец горизонтальной укладки снарядов (по типу немецкой) к 15 мая и сдавать машины с новыми укладками через 15 дней после их утверждения;</w:t>
      </w:r>
    </w:p>
    <w:p w14:paraId="6A9F3444"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Ввести брезентовые чехлы на укладку — с 8-й машины;</w:t>
      </w:r>
    </w:p>
    <w:p w14:paraId="78A50B3D"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Ввести окантовку люков для экипажа — с 11-й машины;</w:t>
      </w:r>
    </w:p>
    <w:p w14:paraId="6EAD0AA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Установить дополнительный бронещиток на бронировку противооткатных устройств — с 11-й машины (на ранее сданных самоходках смонтировать не позднее 3 мая);</w:t>
      </w:r>
    </w:p>
    <w:p w14:paraId="7F7DE335"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Установить на корме всех самоходок съемные баки емкостью 100 литров, причем на ранее выпущенных, начиная с 8-й машины сделать это до 3 мая;</w:t>
      </w:r>
    </w:p>
    <w:p w14:paraId="1B8259E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задней дверце люка в кормовом листе рубки сделать отверстие для ППШ — с 11-й машины.</w:t>
      </w:r>
    </w:p>
    <w:p w14:paraId="72C07B5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Кроме того, в связи с отсутствием на большинстве получаемых машин Pz. III фильтров, а также отсутствия в производстве воздушных и масляных фильтров, было принято решение разрешить монтаж в течение апреля-мая 1943 года на СУ-76И сухого сетчатого фильтра двигателя ЗИС-5 производства МКЗ.</w:t>
      </w:r>
    </w:p>
    <w:p w14:paraId="5D4892D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мая предписывалось провести испытания воздухофильтра типа «Циклон» и результаты доложить в ГБТУ не позднее 25 мая (12688).</w:t>
      </w:r>
    </w:p>
    <w:p w14:paraId="44355070"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4C5BC3D6"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марта 1943 года Ярославский автомобильный завод (ЯАЗ) построил и предоставил на испытания три опытных образца (по заводским данным – пять) новых  арттягачей, получивших название  Я-11. После обкатки и кратких контрольных проверок, в апреле на этих машинах совершили пробег в Москву, которым руководил директор завода А.А.Никаноров. Приемка тягачей состоялась прямо перед крыльцом ГАУ. Военные в целом остались довольны машинами, да и выбора у них не было, а пробег Ярославль- Москва на Я-11 засчитали как госиспытания. Тягач сразу приняли на вооружение. В мае - июне 1943 года он прошел краткие испытания на полигоне в Кубинке. Кроме необходимости проведения мелких доработок они выявили потребность в установке ограничителей оборотов двигателей для предотвращения их "перекрутки". Производство первой партии тягачей (50 машин) планировалось начать уже в июне, и завод форсировал подготовку их серийного производства (15646).</w:t>
      </w:r>
    </w:p>
    <w:p w14:paraId="7774B8D6" w14:textId="77777777" w:rsidR="00C57815" w:rsidRPr="00D03F3E" w:rsidRDefault="00C57815" w:rsidP="00D03F3E">
      <w:pPr>
        <w:spacing w:after="0" w:line="240" w:lineRule="auto"/>
        <w:jc w:val="both"/>
        <w:rPr>
          <w:rFonts w:ascii="Times New Roman" w:hAnsi="Times New Roman"/>
          <w:color w:val="000000" w:themeColor="text1"/>
          <w:sz w:val="16"/>
          <w:szCs w:val="16"/>
        </w:rPr>
      </w:pPr>
    </w:p>
    <w:p w14:paraId="53E3F09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6A928F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87B6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марта 1943 эскадрилья Нормандия вылетела на фронт и вошла в состав 1ВА. М Тюлян и к Литольф сбили 1 и 2 Ме-109 (455,157).</w:t>
      </w:r>
    </w:p>
    <w:p w14:paraId="5863BF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B18B1D" w14:textId="77777777" w:rsidR="00381A3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073284B9" w14:textId="77777777" w:rsidR="00381A38" w:rsidRPr="00D03F3E" w:rsidRDefault="00381A3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1A4EA0" w14:textId="77777777" w:rsidR="00381A38" w:rsidRPr="00D03F3E" w:rsidRDefault="00381A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 концу марта 1943 погибшими от бомбардировок непосредственно в Берлине числилось 1700 гражданских лиц. А в ходе всего 3-х налетов в промежутке с </w:t>
      </w:r>
      <w:r w:rsidRPr="00D03F3E">
        <w:rPr>
          <w:rFonts w:ascii="Times New Roman" w:hAnsi="Times New Roman"/>
          <w:bCs/>
          <w:color w:val="000000" w:themeColor="text1"/>
          <w:sz w:val="16"/>
          <w:szCs w:val="16"/>
        </w:rPr>
        <w:t>23.08.43</w:t>
      </w:r>
      <w:r w:rsidRPr="00D03F3E">
        <w:rPr>
          <w:rFonts w:ascii="Times New Roman" w:hAnsi="Times New Roman"/>
          <w:color w:val="000000" w:themeColor="text1"/>
          <w:sz w:val="16"/>
          <w:szCs w:val="16"/>
        </w:rPr>
        <w:t xml:space="preserve"> по </w:t>
      </w:r>
      <w:r w:rsidRPr="00D03F3E">
        <w:rPr>
          <w:rFonts w:ascii="Times New Roman" w:hAnsi="Times New Roman"/>
          <w:bCs/>
          <w:color w:val="000000" w:themeColor="text1"/>
          <w:sz w:val="16"/>
          <w:szCs w:val="16"/>
        </w:rPr>
        <w:t>04.09.43</w:t>
      </w:r>
      <w:r w:rsidRPr="00D03F3E">
        <w:rPr>
          <w:rFonts w:ascii="Times New Roman" w:hAnsi="Times New Roman"/>
          <w:color w:val="000000" w:themeColor="text1"/>
          <w:sz w:val="16"/>
          <w:szCs w:val="16"/>
        </w:rPr>
        <w:t xml:space="preserve"> г.г. погибло уже 1344 человека, в то время как потери бомбардировщиков составили 125 машин из 1669. Конечно это было много, однако ни шло ни в какое сравнение с потерями 1940 года, когда едва ли треть самолетов возвращалась на базу.</w:t>
      </w:r>
    </w:p>
    <w:p w14:paraId="64472A69" w14:textId="77777777" w:rsidR="00381A38" w:rsidRPr="00D03F3E" w:rsidRDefault="00381A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серии последовательных налетов с </w:t>
      </w:r>
      <w:r w:rsidRPr="00D03F3E">
        <w:rPr>
          <w:rFonts w:ascii="Times New Roman" w:hAnsi="Times New Roman"/>
          <w:bCs/>
          <w:color w:val="000000" w:themeColor="text1"/>
          <w:sz w:val="16"/>
          <w:szCs w:val="16"/>
        </w:rPr>
        <w:t>18-27</w:t>
      </w:r>
      <w:r w:rsidRPr="00D03F3E">
        <w:rPr>
          <w:rFonts w:ascii="Times New Roman" w:hAnsi="Times New Roman"/>
          <w:color w:val="000000" w:themeColor="text1"/>
          <w:sz w:val="16"/>
          <w:szCs w:val="16"/>
        </w:rPr>
        <w:t xml:space="preserve"> (с перерывами) </w:t>
      </w:r>
      <w:r w:rsidRPr="00D03F3E">
        <w:rPr>
          <w:rFonts w:ascii="Times New Roman" w:hAnsi="Times New Roman"/>
          <w:bCs/>
          <w:color w:val="000000" w:themeColor="text1"/>
          <w:sz w:val="16"/>
          <w:szCs w:val="16"/>
        </w:rPr>
        <w:t>ноября 1943года</w:t>
      </w:r>
      <w:r w:rsidRPr="00D03F3E">
        <w:rPr>
          <w:rFonts w:ascii="Times New Roman" w:hAnsi="Times New Roman"/>
          <w:color w:val="000000" w:themeColor="text1"/>
          <w:sz w:val="16"/>
          <w:szCs w:val="16"/>
        </w:rPr>
        <w:t xml:space="preserve"> участвовало 2044 самолета из которых сбиты были всего 83 машины. Потери мирного населения составили 4330 человек.</w:t>
      </w:r>
    </w:p>
    <w:p w14:paraId="1932F9A1" w14:textId="77777777" w:rsidR="00381A38" w:rsidRPr="00D03F3E" w:rsidRDefault="00381A38" w:rsidP="00D03F3E">
      <w:pPr>
        <w:pStyle w:val="ae"/>
        <w:spacing w:before="0" w:after="0"/>
        <w:jc w:val="both"/>
        <w:rPr>
          <w:color w:val="000000" w:themeColor="text1"/>
          <w:sz w:val="16"/>
          <w:szCs w:val="16"/>
        </w:rPr>
      </w:pPr>
      <w:r w:rsidRPr="00D03F3E">
        <w:rPr>
          <w:color w:val="000000" w:themeColor="text1"/>
          <w:sz w:val="16"/>
          <w:szCs w:val="16"/>
        </w:rPr>
        <w:t xml:space="preserve">Следующая серия налетов была </w:t>
      </w:r>
      <w:r w:rsidRPr="00D03F3E">
        <w:rPr>
          <w:rStyle w:val="a7"/>
          <w:b w:val="0"/>
          <w:color w:val="000000" w:themeColor="text1"/>
          <w:sz w:val="16"/>
          <w:szCs w:val="16"/>
        </w:rPr>
        <w:t>2-3, 16-17, 23-24, 29-30 декабря 1943 года</w:t>
      </w:r>
      <w:r w:rsidRPr="00D03F3E">
        <w:rPr>
          <w:color w:val="000000" w:themeColor="text1"/>
          <w:sz w:val="16"/>
          <w:szCs w:val="16"/>
        </w:rPr>
        <w:t>, подтвердив тенденцию. Из 2042 самолётов не вернулось 66 машин, на земле погибло 1220 человек (налеты были на заводы, а дело было ночью, поэтому и жертв меньше, чем могло бы быть).</w:t>
      </w:r>
    </w:p>
    <w:p w14:paraId="539F5627" w14:textId="77777777" w:rsidR="00381A38" w:rsidRPr="00D03F3E" w:rsidRDefault="00381A38" w:rsidP="00D03F3E">
      <w:pPr>
        <w:pStyle w:val="ae"/>
        <w:spacing w:before="0" w:after="0"/>
        <w:jc w:val="both"/>
        <w:rPr>
          <w:color w:val="000000" w:themeColor="text1"/>
          <w:sz w:val="16"/>
          <w:szCs w:val="16"/>
        </w:rPr>
      </w:pPr>
      <w:r w:rsidRPr="00D03F3E">
        <w:rPr>
          <w:color w:val="000000" w:themeColor="text1"/>
          <w:sz w:val="16"/>
          <w:szCs w:val="16"/>
        </w:rPr>
        <w:t>За год Берлин претерпел ужасные изменения: район Тиргартен был совершенно разрушен, в руинах лежали замок Шарлоттен- бурга, проспект Унтер-ден-Линден, мемориальная церковь на Курфюрстендамм, танковые заводы Сименса и Алькетта, кварталы Коперник и Трептов. Сильно была повреждена транспортная сеть города.</w:t>
      </w:r>
    </w:p>
    <w:p w14:paraId="22B8E6A5" w14:textId="77777777" w:rsidR="00381A38" w:rsidRPr="00D03F3E" w:rsidRDefault="00381A38" w:rsidP="00D03F3E">
      <w:pPr>
        <w:pStyle w:val="ae"/>
        <w:spacing w:before="0" w:after="0"/>
        <w:jc w:val="both"/>
        <w:rPr>
          <w:color w:val="000000" w:themeColor="text1"/>
          <w:sz w:val="16"/>
          <w:szCs w:val="16"/>
        </w:rPr>
      </w:pPr>
      <w:r w:rsidRPr="00D03F3E">
        <w:rPr>
          <w:color w:val="000000" w:themeColor="text1"/>
          <w:sz w:val="16"/>
          <w:szCs w:val="16"/>
        </w:rPr>
        <w:t>Всего за 1943 год на Берлин было произведено 42 больших и малых авианалета, в которых были задействовано в общей сложности 3900 самолетов (17416).</w:t>
      </w:r>
    </w:p>
    <w:p w14:paraId="2A74FE91" w14:textId="77777777" w:rsidR="00381A38" w:rsidRPr="00D03F3E" w:rsidRDefault="00381A38" w:rsidP="00D03F3E">
      <w:pPr>
        <w:spacing w:after="0" w:line="240" w:lineRule="auto"/>
        <w:jc w:val="both"/>
        <w:rPr>
          <w:rFonts w:ascii="Times New Roman" w:hAnsi="Times New Roman"/>
          <w:color w:val="000000" w:themeColor="text1"/>
          <w:sz w:val="16"/>
          <w:szCs w:val="16"/>
        </w:rPr>
      </w:pPr>
    </w:p>
    <w:p w14:paraId="6AF33F3E" w14:textId="77777777" w:rsidR="00C559A4" w:rsidRPr="00D03F3E" w:rsidRDefault="00C559A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0CE2F87" w14:textId="77777777" w:rsidR="00C559A4" w:rsidRPr="00D03F3E" w:rsidRDefault="00C559A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A5DD85"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Во второй половине марта 1943 г. на аэродроме Дно базировались III./KG 1 «Гинденбург» и III./KG53 «Легион Кондор», на аэродроме Псков – штаб и I./KG53, на аэродроме Городец – III./StG1 и на аэродроме Красногвардейск (Гатчина) – I./JG54 и III./JG51.</w:t>
      </w:r>
    </w:p>
    <w:p w14:paraId="5E2FF701"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Командование ВВС Балтфлота, получив очередные разведданные, приказало командиру 8</w:t>
      </w:r>
      <w:r w:rsidRPr="00D03F3E">
        <w:rPr>
          <w:rFonts w:ascii="Times New Roman" w:hAnsi="Times New Roman"/>
          <w:color w:val="0070C0"/>
          <w:sz w:val="16"/>
          <w:szCs w:val="16"/>
        </w:rPr>
        <w:noBreakHyphen/>
        <w:t xml:space="preserve">й бомбардировочной авиабригады полковнику Е.Н. Преображенскому атаковать аэродром Котлы. Для этого выделялись. </w:t>
      </w:r>
    </w:p>
    <w:p w14:paraId="7123CA56" w14:textId="77777777" w:rsidR="00C559A4" w:rsidRPr="00D03F3E" w:rsidRDefault="00C559A4" w:rsidP="00D03F3E">
      <w:pPr>
        <w:spacing w:after="0" w:line="240" w:lineRule="auto"/>
        <w:jc w:val="both"/>
        <w:rPr>
          <w:rFonts w:ascii="Times New Roman" w:hAnsi="Times New Roman"/>
          <w:color w:val="0070C0"/>
          <w:sz w:val="16"/>
          <w:szCs w:val="16"/>
        </w:rPr>
      </w:pPr>
    </w:p>
    <w:p w14:paraId="6556C41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CAE52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97E5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НС-37 были установлены на двухместный Ил-2. Небольшие обтекатели из 2 шторок. Боекомплект - 2х50. Применили против танков и мотопехоты в Курской битве (177,302).</w:t>
      </w:r>
    </w:p>
    <w:p w14:paraId="1C40F3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другим данным это было в марте-апреле 1943 на двухместных Ил-2 с мотором АМ-38Ф пробовали установить две новые пушки НС-37 (НС-ОКБ-16 или 11П (7,188)) калибра 37 мм с боезапасом по 50 снарядов при ограничении бомбовой нагрузки 200 кг. Эти пушки явились развитием ПТБ-23 и были готовы одновременно с Ш-37, однако, Б.Л.Ванников не сумел убедить И.В.С. в их достоинствах по сравнению с ними.</w:t>
      </w:r>
    </w:p>
    <w:p w14:paraId="02CC45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самолет № 19/78, поступивший в ЛИИ НКАП в мае и испытывавшийся в сентябре после того, как в него были внесены изменения, был испытан в третий раз, причем на нем дополнительно сделали следующие изменения: установили индивидуальные реактивные выхлопные патрубки, а вместо жалюзи на входе тоннелей водорадиаторов - установили заслонки типа ЦАГИ, изменили форму входного отверстия тоннелей водорадиаторов, рамку антенны РПК-10 перенесли внутрь фанерного кока Ф-1. С такими улучшениями самолет добавил в скорости еще примерно 20 км/час у земли (469 км/час) и 16 км/час на второй границе высотности (4650 м) (3542).</w:t>
      </w:r>
    </w:p>
    <w:p w14:paraId="71850C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6AFAEC" w14:textId="77777777" w:rsidR="008C2678" w:rsidRPr="00D03F3E" w:rsidRDefault="008C2678" w:rsidP="00D03F3E">
      <w:pPr>
        <w:pStyle w:val="36"/>
        <w:shd w:val="clear" w:color="auto" w:fill="auto"/>
        <w:spacing w:after="0" w:line="240" w:lineRule="auto"/>
        <w:jc w:val="both"/>
        <w:rPr>
          <w:rFonts w:ascii="Times New Roman" w:cs="Times New Roman"/>
          <w:color w:val="0070C0"/>
          <w:spacing w:val="0"/>
          <w:sz w:val="16"/>
          <w:szCs w:val="16"/>
        </w:rPr>
      </w:pPr>
      <w:r w:rsidRPr="00D03F3E">
        <w:rPr>
          <w:rFonts w:ascii="Times New Roman" w:cs="Times New Roman"/>
          <w:color w:val="0070C0"/>
          <w:spacing w:val="0"/>
          <w:sz w:val="16"/>
          <w:szCs w:val="16"/>
        </w:rPr>
        <w:t>В марте 1943 г. корректировщик-разведчик был построен, получив обозначение</w:t>
      </w:r>
      <w:r w:rsidRPr="00D03F3E">
        <w:rPr>
          <w:rStyle w:val="aff8"/>
          <w:rFonts w:ascii="Times New Roman" w:cs="Times New Roman"/>
          <w:color w:val="0070C0"/>
          <w:spacing w:val="0"/>
          <w:sz w:val="16"/>
          <w:szCs w:val="16"/>
        </w:rPr>
        <w:t xml:space="preserve"> Ил-2КР.</w:t>
      </w:r>
      <w:r w:rsidRPr="00D03F3E">
        <w:rPr>
          <w:rFonts w:ascii="Times New Roman" w:cs="Times New Roman"/>
          <w:color w:val="0070C0"/>
          <w:spacing w:val="0"/>
          <w:sz w:val="16"/>
          <w:szCs w:val="16"/>
        </w:rPr>
        <w:t xml:space="preserve"> Его конструкция и вооружение соответствовали серийному двухместному штурмовику того пе</w:t>
      </w:r>
      <w:r w:rsidRPr="00D03F3E">
        <w:rPr>
          <w:rFonts w:ascii="Times New Roman" w:cs="Times New Roman"/>
          <w:color w:val="0070C0"/>
          <w:spacing w:val="0"/>
          <w:sz w:val="16"/>
          <w:szCs w:val="16"/>
        </w:rPr>
        <w:softHyphen/>
        <w:t>риода. Самолет оснастили радиостанцией РСБ-Збис с большей дальностью действия, а в хвостовой части фюзеляжа устано</w:t>
      </w:r>
      <w:r w:rsidRPr="00D03F3E">
        <w:rPr>
          <w:rFonts w:ascii="Times New Roman" w:cs="Times New Roman"/>
          <w:color w:val="0070C0"/>
          <w:spacing w:val="0"/>
          <w:sz w:val="16"/>
          <w:szCs w:val="16"/>
        </w:rPr>
        <w:softHyphen/>
        <w:t>вили фотоаппарат АФА-И. Характерными внешними отличиями Ил-2КР стали радиоантенна на козырьке фонаря кабины летчи</w:t>
      </w:r>
      <w:r w:rsidRPr="00D03F3E">
        <w:rPr>
          <w:rFonts w:ascii="Times New Roman" w:cs="Times New Roman"/>
          <w:color w:val="0070C0"/>
          <w:spacing w:val="0"/>
          <w:sz w:val="16"/>
          <w:szCs w:val="16"/>
        </w:rPr>
        <w:softHyphen/>
        <w:t>ка и рамка радиополукомпаса РПК-10 на фюзеляже.</w:t>
      </w:r>
    </w:p>
    <w:p w14:paraId="2F291EA1" w14:textId="77777777" w:rsidR="008C2678" w:rsidRPr="00D03F3E" w:rsidRDefault="008C2678" w:rsidP="00D03F3E">
      <w:pPr>
        <w:pStyle w:val="36"/>
        <w:shd w:val="clear" w:color="auto" w:fill="auto"/>
        <w:spacing w:after="0" w:line="240" w:lineRule="auto"/>
        <w:jc w:val="both"/>
        <w:rPr>
          <w:rFonts w:ascii="Times New Roman" w:cs="Times New Roman"/>
          <w:color w:val="0070C0"/>
          <w:spacing w:val="0"/>
          <w:sz w:val="16"/>
          <w:szCs w:val="16"/>
        </w:rPr>
      </w:pPr>
      <w:r w:rsidRPr="00D03F3E">
        <w:rPr>
          <w:rFonts w:ascii="Times New Roman" w:cs="Times New Roman"/>
          <w:color w:val="0070C0"/>
          <w:spacing w:val="0"/>
          <w:sz w:val="16"/>
          <w:szCs w:val="16"/>
        </w:rPr>
        <w:t>Госиспытания Ил-2КР (зав. № 301896) завершились в НИИ ВВС 7 апреля 1943 г. Хотя спецоборудование самолета и не в полной мере отвечало требованиям, машина получила положи</w:t>
      </w:r>
      <w:r w:rsidRPr="00D03F3E">
        <w:rPr>
          <w:rFonts w:ascii="Times New Roman" w:cs="Times New Roman"/>
          <w:color w:val="0070C0"/>
          <w:spacing w:val="0"/>
          <w:sz w:val="16"/>
          <w:szCs w:val="16"/>
        </w:rPr>
        <w:softHyphen/>
        <w:t>тельное заключение. Постановлением ГКО № 3144 от 10 апреля она была запущена в серийное производство на 30-м авиазаво</w:t>
      </w:r>
      <w:r w:rsidRPr="00D03F3E">
        <w:rPr>
          <w:rFonts w:ascii="Times New Roman" w:cs="Times New Roman"/>
          <w:color w:val="0070C0"/>
          <w:spacing w:val="0"/>
          <w:sz w:val="16"/>
          <w:szCs w:val="16"/>
        </w:rPr>
        <w:softHyphen/>
        <w:t>де, который до конца апреля построил 65 таких самолетов. Позже выпуск корректировщиков-разведчиков передали на авиазавод № 1. В мае 1945 г. на всех фронтах насчитывалось 214 экземпляров Ил-2КР.</w:t>
      </w:r>
    </w:p>
    <w:p w14:paraId="5788D9BC" w14:textId="77777777" w:rsidR="008C2678" w:rsidRPr="00D03F3E" w:rsidRDefault="008C2678" w:rsidP="00D03F3E">
      <w:pPr>
        <w:pStyle w:val="36"/>
        <w:shd w:val="clear" w:color="auto" w:fill="auto"/>
        <w:spacing w:after="0" w:line="240" w:lineRule="auto"/>
        <w:jc w:val="both"/>
        <w:rPr>
          <w:rFonts w:ascii="Times New Roman" w:cs="Times New Roman"/>
          <w:color w:val="0070C0"/>
          <w:spacing w:val="0"/>
          <w:sz w:val="16"/>
          <w:szCs w:val="16"/>
        </w:rPr>
      </w:pPr>
      <w:r w:rsidRPr="00D03F3E">
        <w:rPr>
          <w:rFonts w:ascii="Times New Roman" w:cs="Times New Roman"/>
          <w:color w:val="0070C0"/>
          <w:spacing w:val="0"/>
          <w:sz w:val="16"/>
          <w:szCs w:val="16"/>
        </w:rPr>
        <w:t>Строевые летчики новый вариант «Ила» в целом оценили по</w:t>
      </w:r>
      <w:r w:rsidRPr="00D03F3E">
        <w:rPr>
          <w:rFonts w:ascii="Times New Roman" w:cs="Times New Roman"/>
          <w:color w:val="0070C0"/>
          <w:spacing w:val="0"/>
          <w:sz w:val="16"/>
          <w:szCs w:val="16"/>
        </w:rPr>
        <w:softHyphen/>
        <w:t>ложительно. Вместе с тем они отмечали, что одного фотоаппа</w:t>
      </w:r>
      <w:r w:rsidRPr="00D03F3E">
        <w:rPr>
          <w:rFonts w:ascii="Times New Roman" w:cs="Times New Roman"/>
          <w:color w:val="0070C0"/>
          <w:spacing w:val="0"/>
          <w:sz w:val="16"/>
          <w:szCs w:val="16"/>
        </w:rPr>
        <w:softHyphen/>
        <w:t>рата мало для выполнения всех задач. Поэтому в авиачастях Ил-2КР порой дооборудовали. Например, для крупномасштаб</w:t>
      </w:r>
      <w:r w:rsidRPr="00D03F3E">
        <w:rPr>
          <w:rFonts w:ascii="Times New Roman" w:cs="Times New Roman"/>
          <w:color w:val="0070C0"/>
          <w:spacing w:val="0"/>
          <w:sz w:val="16"/>
          <w:szCs w:val="16"/>
        </w:rPr>
        <w:softHyphen/>
        <w:t>ной съемки использовали фотоаппарат АФА-ЗС, размещенный в кабине стрелка (19854).</w:t>
      </w:r>
    </w:p>
    <w:p w14:paraId="3815D392" w14:textId="77777777" w:rsidR="008C2678" w:rsidRPr="00D03F3E" w:rsidRDefault="008C2678" w:rsidP="00D03F3E">
      <w:pPr>
        <w:pStyle w:val="100"/>
        <w:shd w:val="clear" w:color="auto" w:fill="auto"/>
        <w:spacing w:before="0" w:line="240" w:lineRule="auto"/>
        <w:ind w:firstLine="0"/>
        <w:rPr>
          <w:rFonts w:ascii="Times New Roman" w:hAnsi="Times New Roman" w:cs="Times New Roman"/>
          <w:color w:val="0070C0"/>
          <w:lang w:val="ru-RU"/>
        </w:rPr>
      </w:pPr>
      <w:bookmarkStart w:id="14" w:name="bookmark17"/>
    </w:p>
    <w:bookmarkEnd w:id="14"/>
    <w:p w14:paraId="183130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проходил контрольные гос. испытания в НИИ ВВС двухместный Ил-2 N 2046 с АМ-38Ф 18 завода. Полетный вес 6103 кг, скорость у земли 387, на границе высотности - 409 км/час с 600 кг бомб и 4 РС-82 (1867,8).</w:t>
      </w:r>
    </w:p>
    <w:p w14:paraId="322FF5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E2840E" w14:textId="77777777" w:rsidR="00124A4E" w:rsidRPr="00D03F3E" w:rsidRDefault="00124A4E"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марте 1943 вышел приказ НКАП</w:t>
      </w:r>
    </w:p>
    <w:p w14:paraId="30F0FB4F" w14:textId="77777777" w:rsidR="00124A4E" w:rsidRPr="00D03F3E" w:rsidRDefault="00124A4E" w:rsidP="00D03F3E">
      <w:pPr>
        <w:pStyle w:val="ae"/>
        <w:shd w:val="clear" w:color="auto" w:fill="FFFFFF"/>
        <w:spacing w:before="0" w:after="0"/>
        <w:jc w:val="both"/>
        <w:rPr>
          <w:color w:val="000000" w:themeColor="text1"/>
          <w:sz w:val="16"/>
          <w:szCs w:val="16"/>
        </w:rPr>
      </w:pPr>
      <w:r w:rsidRPr="00D03F3E">
        <w:rPr>
          <w:color w:val="000000" w:themeColor="text1"/>
          <w:sz w:val="16"/>
          <w:szCs w:val="16"/>
        </w:rPr>
        <w:t>О выпуске самолетов Ил-2 с двигателем АМ-38Ф, оборудованных подвесным бензобаком 200 л, сбрасываемом в полете, для подвески на наружные бомбовые замки (в апреле 43г. - 200 самолетов, с мая - все) (19706).</w:t>
      </w:r>
    </w:p>
    <w:p w14:paraId="27E5C0AB" w14:textId="77777777" w:rsidR="00124A4E" w:rsidRPr="00D03F3E" w:rsidRDefault="00124A4E" w:rsidP="00D03F3E">
      <w:pPr>
        <w:pStyle w:val="ae"/>
        <w:shd w:val="clear" w:color="auto" w:fill="FFFFFF"/>
        <w:spacing w:before="0" w:after="0"/>
        <w:jc w:val="both"/>
        <w:rPr>
          <w:color w:val="000000" w:themeColor="text1"/>
          <w:sz w:val="16"/>
          <w:szCs w:val="16"/>
        </w:rPr>
      </w:pPr>
    </w:p>
    <w:p w14:paraId="341D38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Ил-2 - корректиров</w:t>
      </w:r>
      <w:r w:rsidRPr="00D03F3E">
        <w:rPr>
          <w:rFonts w:ascii="Times New Roman" w:hAnsi="Times New Roman"/>
          <w:color w:val="000000" w:themeColor="text1"/>
          <w:sz w:val="16"/>
          <w:szCs w:val="16"/>
        </w:rPr>
        <w:softHyphen/>
        <w:t>щик-разведчик был построен. У Ил-2КР полностью сохранилась конструкция и вооружение серийного двухместного "Ила" с АМ-38ф. Изменения были вне</w:t>
      </w:r>
      <w:r w:rsidRPr="00D03F3E">
        <w:rPr>
          <w:rFonts w:ascii="Times New Roman" w:hAnsi="Times New Roman"/>
          <w:color w:val="000000" w:themeColor="text1"/>
          <w:sz w:val="16"/>
          <w:szCs w:val="16"/>
        </w:rPr>
        <w:softHyphen/>
        <w:t>сены только в состав оборудования, в топливную систему и в схему брониро</w:t>
      </w:r>
      <w:r w:rsidRPr="00D03F3E">
        <w:rPr>
          <w:rFonts w:ascii="Times New Roman" w:hAnsi="Times New Roman"/>
          <w:color w:val="000000" w:themeColor="text1"/>
          <w:sz w:val="16"/>
          <w:szCs w:val="16"/>
        </w:rPr>
        <w:softHyphen/>
        <w:t>вания. Радиостанцию РСИ-4 заменили на более мощную РСБ-3бис с большей дальностью действия, которую размес</w:t>
      </w:r>
      <w:r w:rsidRPr="00D03F3E">
        <w:rPr>
          <w:rFonts w:ascii="Times New Roman" w:hAnsi="Times New Roman"/>
          <w:color w:val="000000" w:themeColor="text1"/>
          <w:sz w:val="16"/>
          <w:szCs w:val="16"/>
        </w:rPr>
        <w:softHyphen/>
        <w:t>тили в средней части фонаря кабины экипажа непосредственно за бронеспинкой пилота над уменьшенным по высо</w:t>
      </w:r>
      <w:r w:rsidRPr="00D03F3E">
        <w:rPr>
          <w:rFonts w:ascii="Times New Roman" w:hAnsi="Times New Roman"/>
          <w:color w:val="000000" w:themeColor="text1"/>
          <w:sz w:val="16"/>
          <w:szCs w:val="16"/>
        </w:rPr>
        <w:softHyphen/>
        <w:t>те задним бензобаком. Для фиксации результатов разведки в хвостовой час</w:t>
      </w:r>
      <w:r w:rsidRPr="00D03F3E">
        <w:rPr>
          <w:rFonts w:ascii="Times New Roman" w:hAnsi="Times New Roman"/>
          <w:color w:val="000000" w:themeColor="text1"/>
          <w:sz w:val="16"/>
          <w:szCs w:val="16"/>
        </w:rPr>
        <w:softHyphen/>
        <w:t>ти фюзеляжа установили фотоаппарат АФА-И (допускалась установка АФА-ИМ). Внешне самолеты Ил-2КР отлича</w:t>
      </w:r>
      <w:r w:rsidRPr="00D03F3E">
        <w:rPr>
          <w:rFonts w:ascii="Times New Roman" w:hAnsi="Times New Roman"/>
          <w:color w:val="000000" w:themeColor="text1"/>
          <w:sz w:val="16"/>
          <w:szCs w:val="16"/>
        </w:rPr>
        <w:softHyphen/>
        <w:t>лись от серийных Ил-2 лишь наличием радиоантенны, установленной на пере</w:t>
      </w:r>
      <w:r w:rsidRPr="00D03F3E">
        <w:rPr>
          <w:rFonts w:ascii="Times New Roman" w:hAnsi="Times New Roman"/>
          <w:color w:val="000000" w:themeColor="text1"/>
          <w:sz w:val="16"/>
          <w:szCs w:val="16"/>
        </w:rPr>
        <w:softHyphen/>
        <w:t>днем неподвижном козырьке фонаря кабины пилота (6467).</w:t>
      </w:r>
    </w:p>
    <w:p w14:paraId="5FFD87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3B55C2" w14:textId="77777777" w:rsidR="00C57815" w:rsidRPr="00D03F3E" w:rsidRDefault="00C57815"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марте 1943 г. корректировщик- разведчик Ил-2 был построен. У Ил-2КР полностью сохранилась конструкция и вооружение серийного двухместно</w:t>
      </w:r>
      <w:r w:rsidRPr="00D03F3E">
        <w:rPr>
          <w:rFonts w:ascii="Times New Roman" w:cs="Times New Roman"/>
          <w:color w:val="000000" w:themeColor="text1"/>
          <w:spacing w:val="0"/>
        </w:rPr>
        <w:softHyphen/>
        <w:t>го «Ила» с мотором АМ-38ф. Изменения были внесены только в состав обору</w:t>
      </w:r>
      <w:r w:rsidRPr="00D03F3E">
        <w:rPr>
          <w:rFonts w:ascii="Times New Roman" w:cs="Times New Roman"/>
          <w:color w:val="000000" w:themeColor="text1"/>
          <w:spacing w:val="0"/>
        </w:rPr>
        <w:softHyphen/>
        <w:t>дования, в топливную систему и в схе</w:t>
      </w:r>
      <w:r w:rsidRPr="00D03F3E">
        <w:rPr>
          <w:rFonts w:ascii="Times New Roman" w:cs="Times New Roman"/>
          <w:color w:val="000000" w:themeColor="text1"/>
          <w:spacing w:val="0"/>
        </w:rPr>
        <w:softHyphen/>
        <w:t>му бронирования. Радиостанцию РСИ-4 заменили на более мощную РСБ-Збис с большей дальностью действия, которую разместили в средней части фонаря ка</w:t>
      </w:r>
      <w:r w:rsidRPr="00D03F3E">
        <w:rPr>
          <w:rFonts w:ascii="Times New Roman" w:cs="Times New Roman"/>
          <w:color w:val="000000" w:themeColor="text1"/>
          <w:spacing w:val="0"/>
        </w:rPr>
        <w:softHyphen/>
        <w:t>бины экипажа непосредственно за бро</w:t>
      </w:r>
      <w:r w:rsidRPr="00D03F3E">
        <w:rPr>
          <w:rFonts w:ascii="Times New Roman" w:cs="Times New Roman"/>
          <w:color w:val="000000" w:themeColor="text1"/>
          <w:spacing w:val="0"/>
        </w:rPr>
        <w:softHyphen/>
        <w:t>неспинкой пилота над уменьшенным по высоте задним бензобаком. Для фик</w:t>
      </w:r>
      <w:r w:rsidRPr="00D03F3E">
        <w:rPr>
          <w:rFonts w:ascii="Times New Roman" w:cs="Times New Roman"/>
          <w:color w:val="000000" w:themeColor="text1"/>
          <w:spacing w:val="0"/>
        </w:rPr>
        <w:softHyphen/>
        <w:t>сации результатов разведки в хвосто</w:t>
      </w:r>
      <w:r w:rsidRPr="00D03F3E">
        <w:rPr>
          <w:rFonts w:ascii="Times New Roman" w:cs="Times New Roman"/>
          <w:color w:val="000000" w:themeColor="text1"/>
          <w:spacing w:val="0"/>
        </w:rPr>
        <w:softHyphen/>
        <w:t>вой части фюзеляжа установили фото</w:t>
      </w:r>
      <w:r w:rsidRPr="00D03F3E">
        <w:rPr>
          <w:rFonts w:ascii="Times New Roman" w:cs="Times New Roman"/>
          <w:color w:val="000000" w:themeColor="text1"/>
          <w:spacing w:val="0"/>
        </w:rPr>
        <w:softHyphen/>
        <w:t>аппарат АФА-И (допускалась установка АФА-ИМ). Внешне самолеты Ил-2КР от</w:t>
      </w:r>
      <w:r w:rsidRPr="00D03F3E">
        <w:rPr>
          <w:rFonts w:ascii="Times New Roman" w:cs="Times New Roman"/>
          <w:color w:val="000000" w:themeColor="text1"/>
          <w:spacing w:val="0"/>
        </w:rPr>
        <w:softHyphen/>
        <w:t>личались от серийных Ил-2 лишь нали</w:t>
      </w:r>
      <w:r w:rsidRPr="00D03F3E">
        <w:rPr>
          <w:rFonts w:ascii="Times New Roman" w:cs="Times New Roman"/>
          <w:color w:val="000000" w:themeColor="text1"/>
          <w:spacing w:val="0"/>
        </w:rPr>
        <w:softHyphen/>
        <w:t>чием радиоантенны,установленной на переднем неподвижном козырьке фона</w:t>
      </w:r>
      <w:r w:rsidRPr="00D03F3E">
        <w:rPr>
          <w:rFonts w:ascii="Times New Roman" w:cs="Times New Roman"/>
          <w:color w:val="000000" w:themeColor="text1"/>
          <w:spacing w:val="0"/>
        </w:rPr>
        <w:softHyphen/>
        <w:t>ря кабины пилота (15762).</w:t>
      </w:r>
    </w:p>
    <w:p w14:paraId="2B55B856" w14:textId="77777777" w:rsidR="00C57815" w:rsidRPr="00D03F3E" w:rsidRDefault="00C57815" w:rsidP="00D03F3E">
      <w:pPr>
        <w:pStyle w:val="27"/>
        <w:shd w:val="clear" w:color="auto" w:fill="auto"/>
        <w:spacing w:after="0" w:line="240" w:lineRule="auto"/>
        <w:ind w:firstLine="0"/>
        <w:rPr>
          <w:rFonts w:ascii="Times New Roman" w:cs="Times New Roman"/>
          <w:color w:val="000000" w:themeColor="text1"/>
          <w:spacing w:val="0"/>
        </w:rPr>
      </w:pPr>
    </w:p>
    <w:p w14:paraId="128D92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марте 1943 Ил-2КР проходил испытания. Ил-2КР сохранил конструкцию и вооружение обычного Ил-2, и только в состав оборудования, топливную систему и схему бронирования внесли небольшие изменения. Обычно устанавливаемую на Ил-2 радиостанцию РСИ-4 заменили более мощной РСБ-3бис с большей дальностью действия, разместив ее в средней части фонаря кабины экипажа непосредственно за бронеспинкой пилота над уменьшенным по высоте задним бензобаком. Для фиксации результатов разведки в хвостовой части фюзеляжа установили фотоаппарат АФА-И или АФА-ИМ. Внешне Ил-2КР отличались от обычных Ил-2 </w:t>
      </w:r>
      <w:r w:rsidRPr="00D03F3E">
        <w:rPr>
          <w:rFonts w:ascii="Times New Roman" w:hAnsi="Times New Roman"/>
          <w:color w:val="000000" w:themeColor="text1"/>
          <w:sz w:val="16"/>
          <w:szCs w:val="16"/>
        </w:rPr>
        <w:lastRenderedPageBreak/>
        <w:t>радиоантенной, установленной на переднем неподвижном козырьке фонаря кабины пилота. На фронте самолеты Ил-2КР понравились летчикам и проявили себя с наилучшей стороны. Опыт боевого применения показал, что одного фотоаппарата для регистрации результатов разведки недостаточно и во фронтовых условиях для перспективной маловысотной аэрофотосъемки на самолете устанавливали дополнительную фотоаппаратуру в носках отсеков шасси, иногда на турельных установках в кабине стрелка-корректировщика (9528).</w:t>
      </w:r>
    </w:p>
    <w:p w14:paraId="5C32BD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8CCD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1943г. на завод № 1 была передана часть оборудования завода № 381 НКАП, реэвакуированного из Нижнего Тагила. В начале 1944г. часть оборудования завода передана для формирования нового завода № 473 НКАП (11982).</w:t>
      </w:r>
    </w:p>
    <w:p w14:paraId="31B0F5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C7573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месячный план завода № 45 был выполнен на 112 %, и завод № 45 дал фрон</w:t>
      </w:r>
      <w:r w:rsidRPr="00D03F3E">
        <w:rPr>
          <w:rFonts w:ascii="Times New Roman" w:hAnsi="Times New Roman"/>
          <w:color w:val="000000" w:themeColor="text1"/>
          <w:sz w:val="16"/>
          <w:szCs w:val="16"/>
        </w:rPr>
        <w:softHyphen/>
        <w:t>ту 205 моторов - на треть больше, чем в январе (11159).</w:t>
      </w:r>
    </w:p>
    <w:p w14:paraId="3668B9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B0E1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закончились контрольные испытания Ил-4, проводимые в НИИ ВВС в марте (152,33).</w:t>
      </w:r>
    </w:p>
    <w:p w14:paraId="1ECDC4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0572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опытные образцы М-88ТК (М-88Б с турбонагнетателем ТК-3) испы</w:t>
      </w:r>
      <w:r w:rsidRPr="00D03F3E">
        <w:rPr>
          <w:rFonts w:ascii="Times New Roman" w:hAnsi="Times New Roman"/>
          <w:color w:val="000000" w:themeColor="text1"/>
          <w:sz w:val="16"/>
          <w:szCs w:val="16"/>
        </w:rPr>
        <w:softHyphen/>
        <w:t>тывались на самолете Ил-4ТК; мощность по заданию 900 1100 л.с.; модификация разрабаты</w:t>
      </w:r>
      <w:r w:rsidRPr="00D03F3E">
        <w:rPr>
          <w:rFonts w:ascii="Times New Roman" w:hAnsi="Times New Roman"/>
          <w:color w:val="000000" w:themeColor="text1"/>
          <w:sz w:val="16"/>
          <w:szCs w:val="16"/>
        </w:rPr>
        <w:softHyphen/>
        <w:t>валась с 1939 г. под турбонагнетатель ТК-1 (11852).</w:t>
      </w:r>
    </w:p>
    <w:p w14:paraId="06F35A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E559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в ОКБ П.О.С. был разработан истребитель с двумя М-107 в фюзеляже (1454,66).</w:t>
      </w:r>
    </w:p>
    <w:p w14:paraId="39AAE0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7574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был сделан Як-9П (пушечный) с М-105ПФ, на котором синхронный УБС был заменен на синхронную пушку СП-20 (ШВАК) (65,121).</w:t>
      </w:r>
    </w:p>
    <w:p w14:paraId="13F91B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8ED7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года из сборочного цеха опытного завода № 115 выкатили пушечный Як-ЯП (зав. № 0120) с мотором М-105ПФ и винтом ВИШ-61П с 2-мя пушками ШВАК. Истребитель Як-9П, представлявший собой доработанный Як-9 № 0120 завода № 153. В отличие от серийной машины, на Як-9П пулемет УБС заменили синхронной пушкой СП-20 (ШВАК) с укороченным стволом. Орудие располагалось над мотором с левой стороны и крепилось на ферме, допускавшей замену пулеметом УБС. Одновременно механизм перезарядки мотор-пушки МП-20 дополнили пневмомеханическим устройством, а баллоны со сжатым воздухом (для запуска двигателя) и аккумулятор расположили под верхним гаргротом фюзеляжа около киля. Вооружение усилили, но до установки прозрачной брони дело не дошло.</w:t>
      </w:r>
    </w:p>
    <w:p w14:paraId="40FB86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проходил государственные испытания в НИИ ВВС с 17 по 28 апреля. Ведущими на этом этапе были инженер Г.А. Седов и летчик А.Г. Прошаков.</w:t>
      </w:r>
    </w:p>
    <w:p w14:paraId="0C6E96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показали испытания Як-9П, техника пилотирования по сравнению с серийным Як-9, не изменилась, а секундный залп возрос в 1,25 раза, и самолет мог более эффективно использоваться как в воздушных боях, так и против наземных целей. Вес самолета при этом практически не изменился.</w:t>
      </w:r>
    </w:p>
    <w:p w14:paraId="099173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Специалисты НИИ ВВС не спешили с рекомендацией запуска Як-9П в серийное производство и предложили для начала построить 100-150 самолетов этого типа для войсковых испытаний. Однако это пожелание так и осталось на бумаге, а вместо Як-9П вскоре был создан Як-9Т с пушкой калибра 37 мм (12046).</w:t>
      </w:r>
    </w:p>
    <w:p w14:paraId="2C13CF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данные семейства истребителей Як-9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917"/>
        <w:gridCol w:w="851"/>
        <w:gridCol w:w="850"/>
        <w:gridCol w:w="851"/>
        <w:gridCol w:w="850"/>
        <w:gridCol w:w="851"/>
        <w:gridCol w:w="850"/>
        <w:gridCol w:w="851"/>
        <w:gridCol w:w="850"/>
        <w:gridCol w:w="992"/>
        <w:gridCol w:w="993"/>
        <w:gridCol w:w="992"/>
      </w:tblGrid>
      <w:tr w:rsidR="00860B4B" w:rsidRPr="00D03F3E" w14:paraId="0F0E6BEA" w14:textId="77777777">
        <w:tc>
          <w:tcPr>
            <w:tcW w:w="1601" w:type="dxa"/>
            <w:tcBorders>
              <w:top w:val="single" w:sz="12" w:space="0" w:color="auto"/>
            </w:tcBorders>
          </w:tcPr>
          <w:p w14:paraId="0F0A11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Тип</w:t>
            </w:r>
          </w:p>
        </w:tc>
        <w:tc>
          <w:tcPr>
            <w:tcW w:w="917" w:type="dxa"/>
            <w:tcBorders>
              <w:top w:val="single" w:sz="12" w:space="0" w:color="auto"/>
            </w:tcBorders>
          </w:tcPr>
          <w:p w14:paraId="1055A5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Як-9 №03-016 ВИШ-61П</w:t>
            </w:r>
          </w:p>
        </w:tc>
        <w:tc>
          <w:tcPr>
            <w:tcW w:w="851" w:type="dxa"/>
            <w:tcBorders>
              <w:top w:val="single" w:sz="12" w:space="0" w:color="auto"/>
            </w:tcBorders>
          </w:tcPr>
          <w:p w14:paraId="40C905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Як-9 ВИШ-105СВ</w:t>
            </w:r>
          </w:p>
        </w:tc>
        <w:tc>
          <w:tcPr>
            <w:tcW w:w="850" w:type="dxa"/>
            <w:tcBorders>
              <w:top w:val="single" w:sz="12" w:space="0" w:color="auto"/>
            </w:tcBorders>
          </w:tcPr>
          <w:p w14:paraId="7AD472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Як-ЭТ</w:t>
            </w:r>
          </w:p>
        </w:tc>
        <w:tc>
          <w:tcPr>
            <w:tcW w:w="851" w:type="dxa"/>
            <w:tcBorders>
              <w:top w:val="single" w:sz="12" w:space="0" w:color="auto"/>
            </w:tcBorders>
          </w:tcPr>
          <w:p w14:paraId="432880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Як-9ТК</w:t>
            </w:r>
          </w:p>
        </w:tc>
        <w:tc>
          <w:tcPr>
            <w:tcW w:w="850" w:type="dxa"/>
            <w:tcBorders>
              <w:top w:val="single" w:sz="12" w:space="0" w:color="auto"/>
            </w:tcBorders>
          </w:tcPr>
          <w:p w14:paraId="03CBA5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Як-9К</w:t>
            </w:r>
          </w:p>
        </w:tc>
        <w:tc>
          <w:tcPr>
            <w:tcW w:w="851" w:type="dxa"/>
            <w:tcBorders>
              <w:top w:val="single" w:sz="12" w:space="0" w:color="auto"/>
            </w:tcBorders>
          </w:tcPr>
          <w:p w14:paraId="36860E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Як-9С №01-02</w:t>
            </w:r>
          </w:p>
        </w:tc>
        <w:tc>
          <w:tcPr>
            <w:tcW w:w="850" w:type="dxa"/>
            <w:tcBorders>
              <w:top w:val="single" w:sz="12" w:space="0" w:color="auto"/>
            </w:tcBorders>
          </w:tcPr>
          <w:p w14:paraId="4FDB97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Як-9Д № 08-85</w:t>
            </w:r>
          </w:p>
        </w:tc>
        <w:tc>
          <w:tcPr>
            <w:tcW w:w="851" w:type="dxa"/>
            <w:tcBorders>
              <w:top w:val="single" w:sz="12" w:space="0" w:color="auto"/>
            </w:tcBorders>
          </w:tcPr>
          <w:p w14:paraId="365066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ЯК-9ДД</w:t>
            </w:r>
          </w:p>
        </w:tc>
        <w:tc>
          <w:tcPr>
            <w:tcW w:w="850" w:type="dxa"/>
            <w:tcBorders>
              <w:top w:val="single" w:sz="12" w:space="0" w:color="auto"/>
            </w:tcBorders>
          </w:tcPr>
          <w:p w14:paraId="4574D0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Як-9П</w:t>
            </w:r>
          </w:p>
        </w:tc>
        <w:tc>
          <w:tcPr>
            <w:tcW w:w="992" w:type="dxa"/>
            <w:tcBorders>
              <w:top w:val="single" w:sz="12" w:space="0" w:color="auto"/>
            </w:tcBorders>
          </w:tcPr>
          <w:p w14:paraId="2D5FB9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Як-9ПД</w:t>
            </w:r>
          </w:p>
        </w:tc>
        <w:tc>
          <w:tcPr>
            <w:tcW w:w="993" w:type="dxa"/>
            <w:tcBorders>
              <w:top w:val="single" w:sz="12" w:space="0" w:color="auto"/>
            </w:tcBorders>
          </w:tcPr>
          <w:p w14:paraId="4C6D96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Як-98 "Курьерский"</w:t>
            </w:r>
          </w:p>
        </w:tc>
        <w:tc>
          <w:tcPr>
            <w:tcW w:w="992" w:type="dxa"/>
            <w:tcBorders>
              <w:top w:val="single" w:sz="12" w:space="0" w:color="auto"/>
            </w:tcBorders>
          </w:tcPr>
          <w:p w14:paraId="234452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Як-9Р с АФА-ИМ</w:t>
            </w:r>
          </w:p>
        </w:tc>
      </w:tr>
      <w:tr w:rsidR="00860B4B" w:rsidRPr="00D03F3E" w14:paraId="13FFC9E7" w14:textId="77777777">
        <w:tc>
          <w:tcPr>
            <w:tcW w:w="1601" w:type="dxa"/>
          </w:tcPr>
          <w:p w14:paraId="374EB9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Двигатель</w:t>
            </w:r>
          </w:p>
        </w:tc>
        <w:tc>
          <w:tcPr>
            <w:tcW w:w="917" w:type="dxa"/>
          </w:tcPr>
          <w:p w14:paraId="623E17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М-105ПФ</w:t>
            </w:r>
          </w:p>
        </w:tc>
        <w:tc>
          <w:tcPr>
            <w:tcW w:w="851" w:type="dxa"/>
          </w:tcPr>
          <w:p w14:paraId="030722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М-106</w:t>
            </w:r>
          </w:p>
        </w:tc>
        <w:tc>
          <w:tcPr>
            <w:tcW w:w="850" w:type="dxa"/>
          </w:tcPr>
          <w:p w14:paraId="43C4F9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М-105ПФ</w:t>
            </w:r>
          </w:p>
        </w:tc>
        <w:tc>
          <w:tcPr>
            <w:tcW w:w="851" w:type="dxa"/>
          </w:tcPr>
          <w:p w14:paraId="76AA36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М-105ПФ</w:t>
            </w:r>
          </w:p>
        </w:tc>
        <w:tc>
          <w:tcPr>
            <w:tcW w:w="850" w:type="dxa"/>
          </w:tcPr>
          <w:p w14:paraId="7AF09A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ВК-105ПФ</w:t>
            </w:r>
          </w:p>
        </w:tc>
        <w:tc>
          <w:tcPr>
            <w:tcW w:w="851" w:type="dxa"/>
          </w:tcPr>
          <w:p w14:paraId="7B70A5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М-105ПФ</w:t>
            </w:r>
          </w:p>
        </w:tc>
        <w:tc>
          <w:tcPr>
            <w:tcW w:w="850" w:type="dxa"/>
          </w:tcPr>
          <w:p w14:paraId="2B96CF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ВК-105ПФ</w:t>
            </w:r>
          </w:p>
        </w:tc>
        <w:tc>
          <w:tcPr>
            <w:tcW w:w="851" w:type="dxa"/>
          </w:tcPr>
          <w:p w14:paraId="5393A9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ВК-105ПФ</w:t>
            </w:r>
          </w:p>
        </w:tc>
        <w:tc>
          <w:tcPr>
            <w:tcW w:w="850" w:type="dxa"/>
          </w:tcPr>
          <w:p w14:paraId="62CD2A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М-105ПФ</w:t>
            </w:r>
          </w:p>
        </w:tc>
        <w:tc>
          <w:tcPr>
            <w:tcW w:w="992" w:type="dxa"/>
          </w:tcPr>
          <w:p w14:paraId="73E0F7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М-105ПД</w:t>
            </w:r>
          </w:p>
        </w:tc>
        <w:tc>
          <w:tcPr>
            <w:tcW w:w="993" w:type="dxa"/>
          </w:tcPr>
          <w:p w14:paraId="189339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ВК-105ПФ</w:t>
            </w:r>
          </w:p>
        </w:tc>
        <w:tc>
          <w:tcPr>
            <w:tcW w:w="992" w:type="dxa"/>
          </w:tcPr>
          <w:p w14:paraId="630363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М-105ПФ</w:t>
            </w:r>
          </w:p>
        </w:tc>
      </w:tr>
      <w:tr w:rsidR="00860B4B" w:rsidRPr="00D03F3E" w14:paraId="561AA632" w14:textId="77777777">
        <w:tc>
          <w:tcPr>
            <w:tcW w:w="1601" w:type="dxa"/>
          </w:tcPr>
          <w:p w14:paraId="56F16A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Размах крыла, м</w:t>
            </w:r>
          </w:p>
        </w:tc>
        <w:tc>
          <w:tcPr>
            <w:tcW w:w="917" w:type="dxa"/>
          </w:tcPr>
          <w:p w14:paraId="06944F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B8A1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9,74</w:t>
            </w:r>
          </w:p>
        </w:tc>
        <w:tc>
          <w:tcPr>
            <w:tcW w:w="850" w:type="dxa"/>
          </w:tcPr>
          <w:p w14:paraId="001E6A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9,74</w:t>
            </w:r>
          </w:p>
        </w:tc>
        <w:tc>
          <w:tcPr>
            <w:tcW w:w="851" w:type="dxa"/>
          </w:tcPr>
          <w:p w14:paraId="29E19F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9,74</w:t>
            </w:r>
          </w:p>
        </w:tc>
        <w:tc>
          <w:tcPr>
            <w:tcW w:w="850" w:type="dxa"/>
          </w:tcPr>
          <w:p w14:paraId="4FBBC4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9,74</w:t>
            </w:r>
          </w:p>
        </w:tc>
        <w:tc>
          <w:tcPr>
            <w:tcW w:w="851" w:type="dxa"/>
          </w:tcPr>
          <w:p w14:paraId="716473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9,74</w:t>
            </w:r>
          </w:p>
        </w:tc>
        <w:tc>
          <w:tcPr>
            <w:tcW w:w="850" w:type="dxa"/>
          </w:tcPr>
          <w:p w14:paraId="35AF4A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9,74</w:t>
            </w:r>
          </w:p>
        </w:tc>
        <w:tc>
          <w:tcPr>
            <w:tcW w:w="851" w:type="dxa"/>
          </w:tcPr>
          <w:p w14:paraId="20CF53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9,74</w:t>
            </w:r>
          </w:p>
        </w:tc>
        <w:tc>
          <w:tcPr>
            <w:tcW w:w="850" w:type="dxa"/>
          </w:tcPr>
          <w:p w14:paraId="4CBC06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9,74</w:t>
            </w:r>
          </w:p>
        </w:tc>
        <w:tc>
          <w:tcPr>
            <w:tcW w:w="992" w:type="dxa"/>
          </w:tcPr>
          <w:p w14:paraId="645E69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9,74</w:t>
            </w:r>
          </w:p>
        </w:tc>
        <w:tc>
          <w:tcPr>
            <w:tcW w:w="993" w:type="dxa"/>
          </w:tcPr>
          <w:p w14:paraId="14F6AB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9,74</w:t>
            </w:r>
          </w:p>
        </w:tc>
        <w:tc>
          <w:tcPr>
            <w:tcW w:w="992" w:type="dxa"/>
          </w:tcPr>
          <w:p w14:paraId="5613F1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9,74</w:t>
            </w:r>
          </w:p>
        </w:tc>
      </w:tr>
      <w:tr w:rsidR="00860B4B" w:rsidRPr="00D03F3E" w14:paraId="3194198A" w14:textId="77777777">
        <w:tc>
          <w:tcPr>
            <w:tcW w:w="1601" w:type="dxa"/>
          </w:tcPr>
          <w:p w14:paraId="5766C1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м</w:t>
            </w:r>
          </w:p>
        </w:tc>
        <w:tc>
          <w:tcPr>
            <w:tcW w:w="917" w:type="dxa"/>
          </w:tcPr>
          <w:p w14:paraId="1C22D6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7FAC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w:t>
            </w:r>
          </w:p>
        </w:tc>
        <w:tc>
          <w:tcPr>
            <w:tcW w:w="850" w:type="dxa"/>
          </w:tcPr>
          <w:p w14:paraId="5FFE2C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8,66</w:t>
            </w:r>
          </w:p>
        </w:tc>
        <w:tc>
          <w:tcPr>
            <w:tcW w:w="851" w:type="dxa"/>
          </w:tcPr>
          <w:p w14:paraId="350383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8,67</w:t>
            </w:r>
          </w:p>
        </w:tc>
        <w:tc>
          <w:tcPr>
            <w:tcW w:w="850" w:type="dxa"/>
          </w:tcPr>
          <w:p w14:paraId="62CCD3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8,67</w:t>
            </w:r>
          </w:p>
        </w:tc>
        <w:tc>
          <w:tcPr>
            <w:tcW w:w="851" w:type="dxa"/>
          </w:tcPr>
          <w:p w14:paraId="66C99B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w:t>
            </w:r>
          </w:p>
        </w:tc>
        <w:tc>
          <w:tcPr>
            <w:tcW w:w="850" w:type="dxa"/>
          </w:tcPr>
          <w:p w14:paraId="5F56A8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w:t>
            </w:r>
          </w:p>
        </w:tc>
        <w:tc>
          <w:tcPr>
            <w:tcW w:w="851" w:type="dxa"/>
          </w:tcPr>
          <w:p w14:paraId="1A88D2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w:t>
            </w:r>
          </w:p>
        </w:tc>
        <w:tc>
          <w:tcPr>
            <w:tcW w:w="850" w:type="dxa"/>
          </w:tcPr>
          <w:p w14:paraId="0E1308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w:t>
            </w:r>
          </w:p>
        </w:tc>
        <w:tc>
          <w:tcPr>
            <w:tcW w:w="992" w:type="dxa"/>
          </w:tcPr>
          <w:p w14:paraId="0B4878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8,6</w:t>
            </w:r>
          </w:p>
        </w:tc>
        <w:tc>
          <w:tcPr>
            <w:tcW w:w="993" w:type="dxa"/>
          </w:tcPr>
          <w:p w14:paraId="765035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w:t>
            </w:r>
          </w:p>
        </w:tc>
        <w:tc>
          <w:tcPr>
            <w:tcW w:w="992" w:type="dxa"/>
          </w:tcPr>
          <w:p w14:paraId="7E2A23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w:t>
            </w:r>
          </w:p>
        </w:tc>
      </w:tr>
      <w:tr w:rsidR="00860B4B" w:rsidRPr="00D03F3E" w14:paraId="3DA21BCC" w14:textId="77777777">
        <w:tc>
          <w:tcPr>
            <w:tcW w:w="1601" w:type="dxa"/>
          </w:tcPr>
          <w:p w14:paraId="19A492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крыла, мг</w:t>
            </w:r>
          </w:p>
        </w:tc>
        <w:tc>
          <w:tcPr>
            <w:tcW w:w="917" w:type="dxa"/>
          </w:tcPr>
          <w:p w14:paraId="599FDF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17,5</w:t>
            </w:r>
          </w:p>
        </w:tc>
        <w:tc>
          <w:tcPr>
            <w:tcW w:w="851" w:type="dxa"/>
          </w:tcPr>
          <w:p w14:paraId="655660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17,5</w:t>
            </w:r>
          </w:p>
        </w:tc>
        <w:tc>
          <w:tcPr>
            <w:tcW w:w="850" w:type="dxa"/>
          </w:tcPr>
          <w:p w14:paraId="3DB738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17,5</w:t>
            </w:r>
          </w:p>
        </w:tc>
        <w:tc>
          <w:tcPr>
            <w:tcW w:w="851" w:type="dxa"/>
          </w:tcPr>
          <w:p w14:paraId="390E3A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17,5</w:t>
            </w:r>
          </w:p>
        </w:tc>
        <w:tc>
          <w:tcPr>
            <w:tcW w:w="850" w:type="dxa"/>
          </w:tcPr>
          <w:p w14:paraId="71F298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17,5</w:t>
            </w:r>
          </w:p>
        </w:tc>
        <w:tc>
          <w:tcPr>
            <w:tcW w:w="851" w:type="dxa"/>
          </w:tcPr>
          <w:p w14:paraId="02C797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17,5</w:t>
            </w:r>
          </w:p>
        </w:tc>
        <w:tc>
          <w:tcPr>
            <w:tcW w:w="850" w:type="dxa"/>
          </w:tcPr>
          <w:p w14:paraId="3E0E07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17,15</w:t>
            </w:r>
          </w:p>
        </w:tc>
        <w:tc>
          <w:tcPr>
            <w:tcW w:w="851" w:type="dxa"/>
          </w:tcPr>
          <w:p w14:paraId="3B3D60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17,15</w:t>
            </w:r>
          </w:p>
        </w:tc>
        <w:tc>
          <w:tcPr>
            <w:tcW w:w="850" w:type="dxa"/>
          </w:tcPr>
          <w:p w14:paraId="3CA7B2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17,15</w:t>
            </w:r>
          </w:p>
        </w:tc>
        <w:tc>
          <w:tcPr>
            <w:tcW w:w="992" w:type="dxa"/>
          </w:tcPr>
          <w:p w14:paraId="087787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17,15</w:t>
            </w:r>
          </w:p>
        </w:tc>
        <w:tc>
          <w:tcPr>
            <w:tcW w:w="993" w:type="dxa"/>
          </w:tcPr>
          <w:p w14:paraId="6C9B0E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17,15</w:t>
            </w:r>
          </w:p>
        </w:tc>
        <w:tc>
          <w:tcPr>
            <w:tcW w:w="992" w:type="dxa"/>
          </w:tcPr>
          <w:p w14:paraId="139B08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17,15</w:t>
            </w:r>
          </w:p>
        </w:tc>
      </w:tr>
      <w:tr w:rsidR="00860B4B" w:rsidRPr="00D03F3E" w14:paraId="34DD263B" w14:textId="77777777">
        <w:tc>
          <w:tcPr>
            <w:tcW w:w="1601" w:type="dxa"/>
          </w:tcPr>
          <w:p w14:paraId="0F1140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Взлетный вес, кг</w:t>
            </w:r>
          </w:p>
        </w:tc>
        <w:tc>
          <w:tcPr>
            <w:tcW w:w="917" w:type="dxa"/>
          </w:tcPr>
          <w:p w14:paraId="23DB64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2873</w:t>
            </w:r>
          </w:p>
        </w:tc>
        <w:tc>
          <w:tcPr>
            <w:tcW w:w="851" w:type="dxa"/>
          </w:tcPr>
          <w:p w14:paraId="32B59A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3050</w:t>
            </w:r>
          </w:p>
        </w:tc>
        <w:tc>
          <w:tcPr>
            <w:tcW w:w="850" w:type="dxa"/>
          </w:tcPr>
          <w:p w14:paraId="7C0478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3025*</w:t>
            </w:r>
          </w:p>
        </w:tc>
        <w:tc>
          <w:tcPr>
            <w:tcW w:w="851" w:type="dxa"/>
          </w:tcPr>
          <w:p w14:paraId="5298EF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3246</w:t>
            </w:r>
          </w:p>
        </w:tc>
        <w:tc>
          <w:tcPr>
            <w:tcW w:w="850" w:type="dxa"/>
          </w:tcPr>
          <w:p w14:paraId="50208A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3028</w:t>
            </w:r>
          </w:p>
        </w:tc>
        <w:tc>
          <w:tcPr>
            <w:tcW w:w="851" w:type="dxa"/>
          </w:tcPr>
          <w:p w14:paraId="0B6D44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3130</w:t>
            </w:r>
          </w:p>
        </w:tc>
        <w:tc>
          <w:tcPr>
            <w:tcW w:w="850" w:type="dxa"/>
          </w:tcPr>
          <w:p w14:paraId="79F0C9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753B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D70C9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AFB56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73BFF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3BE41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12550E0" w14:textId="77777777">
        <w:tc>
          <w:tcPr>
            <w:tcW w:w="1601" w:type="dxa"/>
          </w:tcPr>
          <w:p w14:paraId="231082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пустого, кг</w:t>
            </w:r>
          </w:p>
        </w:tc>
        <w:tc>
          <w:tcPr>
            <w:tcW w:w="917" w:type="dxa"/>
          </w:tcPr>
          <w:p w14:paraId="4B768C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E699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2380</w:t>
            </w:r>
          </w:p>
        </w:tc>
        <w:tc>
          <w:tcPr>
            <w:tcW w:w="850" w:type="dxa"/>
          </w:tcPr>
          <w:p w14:paraId="32A321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2298</w:t>
            </w:r>
          </w:p>
        </w:tc>
        <w:tc>
          <w:tcPr>
            <w:tcW w:w="851" w:type="dxa"/>
          </w:tcPr>
          <w:p w14:paraId="3748EB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2348</w:t>
            </w:r>
          </w:p>
        </w:tc>
        <w:tc>
          <w:tcPr>
            <w:tcW w:w="850" w:type="dxa"/>
          </w:tcPr>
          <w:p w14:paraId="037379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2291</w:t>
            </w:r>
          </w:p>
        </w:tc>
        <w:tc>
          <w:tcPr>
            <w:tcW w:w="851" w:type="dxa"/>
          </w:tcPr>
          <w:p w14:paraId="00059D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2347</w:t>
            </w:r>
          </w:p>
        </w:tc>
        <w:tc>
          <w:tcPr>
            <w:tcW w:w="850" w:type="dxa"/>
          </w:tcPr>
          <w:p w14:paraId="7271F7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3174</w:t>
            </w:r>
          </w:p>
        </w:tc>
        <w:tc>
          <w:tcPr>
            <w:tcW w:w="851" w:type="dxa"/>
          </w:tcPr>
          <w:p w14:paraId="19320F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850" w:type="dxa"/>
          </w:tcPr>
          <w:p w14:paraId="309AA2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2820</w:t>
            </w:r>
          </w:p>
        </w:tc>
        <w:tc>
          <w:tcPr>
            <w:tcW w:w="992" w:type="dxa"/>
          </w:tcPr>
          <w:p w14:paraId="374AEF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2845</w:t>
            </w:r>
          </w:p>
        </w:tc>
        <w:tc>
          <w:tcPr>
            <w:tcW w:w="993" w:type="dxa"/>
          </w:tcPr>
          <w:p w14:paraId="50DDA8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3100</w:t>
            </w:r>
          </w:p>
        </w:tc>
        <w:tc>
          <w:tcPr>
            <w:tcW w:w="992" w:type="dxa"/>
          </w:tcPr>
          <w:p w14:paraId="628486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2890</w:t>
            </w:r>
          </w:p>
        </w:tc>
      </w:tr>
      <w:tr w:rsidR="00860B4B" w:rsidRPr="00D03F3E" w14:paraId="7D157058" w14:textId="77777777">
        <w:tc>
          <w:tcPr>
            <w:tcW w:w="1601" w:type="dxa"/>
          </w:tcPr>
          <w:p w14:paraId="5F9C55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топлива, кг</w:t>
            </w:r>
          </w:p>
        </w:tc>
        <w:tc>
          <w:tcPr>
            <w:tcW w:w="917" w:type="dxa"/>
          </w:tcPr>
          <w:p w14:paraId="0B9B1E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322</w:t>
            </w:r>
          </w:p>
        </w:tc>
        <w:tc>
          <w:tcPr>
            <w:tcW w:w="851" w:type="dxa"/>
          </w:tcPr>
          <w:p w14:paraId="58FE52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493</w:t>
            </w:r>
          </w:p>
        </w:tc>
        <w:tc>
          <w:tcPr>
            <w:tcW w:w="850" w:type="dxa"/>
          </w:tcPr>
          <w:p w14:paraId="2FABE6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330</w:t>
            </w:r>
          </w:p>
        </w:tc>
        <w:tc>
          <w:tcPr>
            <w:tcW w:w="851" w:type="dxa"/>
          </w:tcPr>
          <w:p w14:paraId="70C5E9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322</w:t>
            </w:r>
          </w:p>
        </w:tc>
        <w:tc>
          <w:tcPr>
            <w:tcW w:w="850" w:type="dxa"/>
          </w:tcPr>
          <w:p w14:paraId="739086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475</w:t>
            </w:r>
          </w:p>
        </w:tc>
        <w:tc>
          <w:tcPr>
            <w:tcW w:w="851" w:type="dxa"/>
          </w:tcPr>
          <w:p w14:paraId="0A81B3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472</w:t>
            </w:r>
          </w:p>
        </w:tc>
        <w:tc>
          <w:tcPr>
            <w:tcW w:w="850" w:type="dxa"/>
          </w:tcPr>
          <w:p w14:paraId="2CE06B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851" w:type="dxa"/>
          </w:tcPr>
          <w:p w14:paraId="3878D2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3276</w:t>
            </w:r>
          </w:p>
        </w:tc>
        <w:tc>
          <w:tcPr>
            <w:tcW w:w="850" w:type="dxa"/>
          </w:tcPr>
          <w:p w14:paraId="0E26E8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992" w:type="dxa"/>
          </w:tcPr>
          <w:p w14:paraId="05AC64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993" w:type="dxa"/>
          </w:tcPr>
          <w:p w14:paraId="41A842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992" w:type="dxa"/>
          </w:tcPr>
          <w:p w14:paraId="6F1B15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4C6634B5" w14:textId="77777777">
        <w:tc>
          <w:tcPr>
            <w:tcW w:w="1601" w:type="dxa"/>
          </w:tcPr>
          <w:p w14:paraId="3A83E8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Скорость макс., км/ч</w:t>
            </w:r>
          </w:p>
        </w:tc>
        <w:tc>
          <w:tcPr>
            <w:tcW w:w="917" w:type="dxa"/>
          </w:tcPr>
          <w:p w14:paraId="71893A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9EE6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301BE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E3AD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D7ECA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19A1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65FEE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6033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A9FF7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2222</w:t>
            </w:r>
          </w:p>
        </w:tc>
        <w:tc>
          <w:tcPr>
            <w:tcW w:w="992" w:type="dxa"/>
          </w:tcPr>
          <w:p w14:paraId="15E37B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2310</w:t>
            </w:r>
          </w:p>
        </w:tc>
        <w:tc>
          <w:tcPr>
            <w:tcW w:w="993" w:type="dxa"/>
          </w:tcPr>
          <w:p w14:paraId="5315BB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2260</w:t>
            </w:r>
          </w:p>
        </w:tc>
        <w:tc>
          <w:tcPr>
            <w:tcW w:w="992" w:type="dxa"/>
          </w:tcPr>
          <w:p w14:paraId="03B832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2287</w:t>
            </w:r>
          </w:p>
        </w:tc>
      </w:tr>
      <w:tr w:rsidR="00860B4B" w:rsidRPr="00D03F3E" w14:paraId="36D81132" w14:textId="77777777">
        <w:tc>
          <w:tcPr>
            <w:tcW w:w="1601" w:type="dxa"/>
          </w:tcPr>
          <w:p w14:paraId="0800DE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земли</w:t>
            </w:r>
          </w:p>
        </w:tc>
        <w:tc>
          <w:tcPr>
            <w:tcW w:w="917" w:type="dxa"/>
          </w:tcPr>
          <w:p w14:paraId="2472BF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512</w:t>
            </w:r>
          </w:p>
        </w:tc>
        <w:tc>
          <w:tcPr>
            <w:tcW w:w="851" w:type="dxa"/>
          </w:tcPr>
          <w:p w14:paraId="6130C9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531</w:t>
            </w:r>
          </w:p>
        </w:tc>
        <w:tc>
          <w:tcPr>
            <w:tcW w:w="850" w:type="dxa"/>
          </w:tcPr>
          <w:p w14:paraId="27A9A3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533</w:t>
            </w:r>
          </w:p>
        </w:tc>
        <w:tc>
          <w:tcPr>
            <w:tcW w:w="851" w:type="dxa"/>
          </w:tcPr>
          <w:p w14:paraId="31DFAD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518</w:t>
            </w:r>
          </w:p>
        </w:tc>
        <w:tc>
          <w:tcPr>
            <w:tcW w:w="850" w:type="dxa"/>
          </w:tcPr>
          <w:p w14:paraId="6CFF2C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518</w:t>
            </w:r>
          </w:p>
        </w:tc>
        <w:tc>
          <w:tcPr>
            <w:tcW w:w="851" w:type="dxa"/>
          </w:tcPr>
          <w:p w14:paraId="144CEE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513</w:t>
            </w:r>
          </w:p>
        </w:tc>
        <w:tc>
          <w:tcPr>
            <w:tcW w:w="850" w:type="dxa"/>
          </w:tcPr>
          <w:p w14:paraId="666EBE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486</w:t>
            </w:r>
          </w:p>
        </w:tc>
        <w:tc>
          <w:tcPr>
            <w:tcW w:w="851" w:type="dxa"/>
          </w:tcPr>
          <w:p w14:paraId="419763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630</w:t>
            </w:r>
          </w:p>
        </w:tc>
        <w:tc>
          <w:tcPr>
            <w:tcW w:w="850" w:type="dxa"/>
          </w:tcPr>
          <w:p w14:paraId="67CA2F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325</w:t>
            </w:r>
          </w:p>
        </w:tc>
        <w:tc>
          <w:tcPr>
            <w:tcW w:w="992" w:type="dxa"/>
          </w:tcPr>
          <w:p w14:paraId="5296FF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320</w:t>
            </w:r>
          </w:p>
        </w:tc>
        <w:tc>
          <w:tcPr>
            <w:tcW w:w="993" w:type="dxa"/>
          </w:tcPr>
          <w:p w14:paraId="05DBF7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630</w:t>
            </w:r>
          </w:p>
        </w:tc>
        <w:tc>
          <w:tcPr>
            <w:tcW w:w="992" w:type="dxa"/>
          </w:tcPr>
          <w:p w14:paraId="62B0E1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324</w:t>
            </w:r>
          </w:p>
        </w:tc>
      </w:tr>
      <w:tr w:rsidR="00860B4B" w:rsidRPr="00D03F3E" w14:paraId="3177F90E" w14:textId="77777777">
        <w:tc>
          <w:tcPr>
            <w:tcW w:w="1601" w:type="dxa"/>
          </w:tcPr>
          <w:p w14:paraId="1A188B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1-й гр. высотности, м</w:t>
            </w:r>
          </w:p>
        </w:tc>
        <w:tc>
          <w:tcPr>
            <w:tcW w:w="917" w:type="dxa"/>
          </w:tcPr>
          <w:p w14:paraId="3AB31D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552/1800</w:t>
            </w:r>
          </w:p>
        </w:tc>
        <w:tc>
          <w:tcPr>
            <w:tcW w:w="851" w:type="dxa"/>
          </w:tcPr>
          <w:p w14:paraId="048087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602/3250</w:t>
            </w:r>
          </w:p>
        </w:tc>
        <w:tc>
          <w:tcPr>
            <w:tcW w:w="850" w:type="dxa"/>
          </w:tcPr>
          <w:p w14:paraId="51EB7E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574/2100</w:t>
            </w:r>
          </w:p>
        </w:tc>
        <w:tc>
          <w:tcPr>
            <w:tcW w:w="851" w:type="dxa"/>
          </w:tcPr>
          <w:p w14:paraId="52672B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850" w:type="dxa"/>
          </w:tcPr>
          <w:p w14:paraId="5AF715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851" w:type="dxa"/>
          </w:tcPr>
          <w:p w14:paraId="5404A3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850" w:type="dxa"/>
          </w:tcPr>
          <w:p w14:paraId="50F183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5426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344F4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763BC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84E94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9ACB3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6097D97" w14:textId="77777777">
        <w:tc>
          <w:tcPr>
            <w:tcW w:w="1601" w:type="dxa"/>
          </w:tcPr>
          <w:p w14:paraId="629A6C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2-й гр. высотности, м</w:t>
            </w:r>
          </w:p>
        </w:tc>
        <w:tc>
          <w:tcPr>
            <w:tcW w:w="917" w:type="dxa"/>
          </w:tcPr>
          <w:p w14:paraId="592FD9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577/3900</w:t>
            </w:r>
          </w:p>
        </w:tc>
        <w:tc>
          <w:tcPr>
            <w:tcW w:w="851" w:type="dxa"/>
          </w:tcPr>
          <w:p w14:paraId="1BBDDE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850" w:type="dxa"/>
          </w:tcPr>
          <w:p w14:paraId="5E1EA6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597/3930</w:t>
            </w:r>
          </w:p>
        </w:tc>
        <w:tc>
          <w:tcPr>
            <w:tcW w:w="851" w:type="dxa"/>
          </w:tcPr>
          <w:p w14:paraId="58E1C7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573/3900</w:t>
            </w:r>
          </w:p>
        </w:tc>
        <w:tc>
          <w:tcPr>
            <w:tcW w:w="850" w:type="dxa"/>
          </w:tcPr>
          <w:p w14:paraId="68AE97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573/3750</w:t>
            </w:r>
          </w:p>
        </w:tc>
        <w:tc>
          <w:tcPr>
            <w:tcW w:w="851" w:type="dxa"/>
          </w:tcPr>
          <w:p w14:paraId="0CEE06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583/3950</w:t>
            </w:r>
          </w:p>
        </w:tc>
        <w:tc>
          <w:tcPr>
            <w:tcW w:w="850" w:type="dxa"/>
          </w:tcPr>
          <w:p w14:paraId="228AFD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535</w:t>
            </w:r>
          </w:p>
        </w:tc>
        <w:tc>
          <w:tcPr>
            <w:tcW w:w="851" w:type="dxa"/>
          </w:tcPr>
          <w:p w14:paraId="493077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522</w:t>
            </w:r>
          </w:p>
        </w:tc>
        <w:tc>
          <w:tcPr>
            <w:tcW w:w="850" w:type="dxa"/>
          </w:tcPr>
          <w:p w14:paraId="635FB9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505</w:t>
            </w:r>
          </w:p>
        </w:tc>
        <w:tc>
          <w:tcPr>
            <w:tcW w:w="992" w:type="dxa"/>
          </w:tcPr>
          <w:p w14:paraId="6A5E01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w:t>
            </w:r>
          </w:p>
        </w:tc>
        <w:tc>
          <w:tcPr>
            <w:tcW w:w="993" w:type="dxa"/>
          </w:tcPr>
          <w:p w14:paraId="3367D8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511</w:t>
            </w:r>
          </w:p>
        </w:tc>
        <w:tc>
          <w:tcPr>
            <w:tcW w:w="992" w:type="dxa"/>
          </w:tcPr>
          <w:p w14:paraId="31D867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520</w:t>
            </w:r>
          </w:p>
        </w:tc>
      </w:tr>
      <w:tr w:rsidR="00860B4B" w:rsidRPr="00D03F3E" w14:paraId="7CF8DB2A" w14:textId="77777777">
        <w:tc>
          <w:tcPr>
            <w:tcW w:w="1601" w:type="dxa"/>
          </w:tcPr>
          <w:p w14:paraId="4523DC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посадочная</w:t>
            </w:r>
          </w:p>
        </w:tc>
        <w:tc>
          <w:tcPr>
            <w:tcW w:w="917" w:type="dxa"/>
          </w:tcPr>
          <w:p w14:paraId="0BDD61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851" w:type="dxa"/>
          </w:tcPr>
          <w:p w14:paraId="46E319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142</w:t>
            </w:r>
          </w:p>
        </w:tc>
        <w:tc>
          <w:tcPr>
            <w:tcW w:w="850" w:type="dxa"/>
          </w:tcPr>
          <w:p w14:paraId="11593B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144</w:t>
            </w:r>
          </w:p>
        </w:tc>
        <w:tc>
          <w:tcPr>
            <w:tcW w:w="851" w:type="dxa"/>
          </w:tcPr>
          <w:p w14:paraId="275142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142</w:t>
            </w:r>
          </w:p>
        </w:tc>
        <w:tc>
          <w:tcPr>
            <w:tcW w:w="850" w:type="dxa"/>
          </w:tcPr>
          <w:p w14:paraId="736EB0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142</w:t>
            </w:r>
          </w:p>
        </w:tc>
        <w:tc>
          <w:tcPr>
            <w:tcW w:w="851" w:type="dxa"/>
          </w:tcPr>
          <w:p w14:paraId="786E96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142</w:t>
            </w:r>
          </w:p>
        </w:tc>
        <w:tc>
          <w:tcPr>
            <w:tcW w:w="850" w:type="dxa"/>
          </w:tcPr>
          <w:p w14:paraId="459351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567/1659</w:t>
            </w:r>
          </w:p>
        </w:tc>
        <w:tc>
          <w:tcPr>
            <w:tcW w:w="851" w:type="dxa"/>
          </w:tcPr>
          <w:p w14:paraId="3F9D37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564/1000</w:t>
            </w:r>
          </w:p>
        </w:tc>
        <w:tc>
          <w:tcPr>
            <w:tcW w:w="850" w:type="dxa"/>
          </w:tcPr>
          <w:p w14:paraId="0D6A36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992" w:type="dxa"/>
          </w:tcPr>
          <w:p w14:paraId="3ECC0B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993" w:type="dxa"/>
          </w:tcPr>
          <w:p w14:paraId="34E529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992" w:type="dxa"/>
          </w:tcPr>
          <w:p w14:paraId="56685E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44B8C7CB" w14:textId="77777777">
        <w:tc>
          <w:tcPr>
            <w:tcW w:w="1601" w:type="dxa"/>
          </w:tcPr>
          <w:p w14:paraId="71FCE2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w:t>
            </w:r>
          </w:p>
        </w:tc>
        <w:tc>
          <w:tcPr>
            <w:tcW w:w="917" w:type="dxa"/>
          </w:tcPr>
          <w:p w14:paraId="0D7AE5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C042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0BCEE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10AC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9C0AC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A0C7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618D6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591/3650</w:t>
            </w:r>
          </w:p>
        </w:tc>
        <w:tc>
          <w:tcPr>
            <w:tcW w:w="851" w:type="dxa"/>
          </w:tcPr>
          <w:p w14:paraId="31DE05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584/3900</w:t>
            </w:r>
          </w:p>
        </w:tc>
        <w:tc>
          <w:tcPr>
            <w:tcW w:w="850" w:type="dxa"/>
          </w:tcPr>
          <w:p w14:paraId="2D7DF2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576/3950</w:t>
            </w:r>
          </w:p>
        </w:tc>
        <w:tc>
          <w:tcPr>
            <w:tcW w:w="992" w:type="dxa"/>
          </w:tcPr>
          <w:p w14:paraId="53DB53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615/8000</w:t>
            </w:r>
          </w:p>
        </w:tc>
        <w:tc>
          <w:tcPr>
            <w:tcW w:w="993" w:type="dxa"/>
          </w:tcPr>
          <w:p w14:paraId="200D94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564/3800</w:t>
            </w:r>
          </w:p>
        </w:tc>
        <w:tc>
          <w:tcPr>
            <w:tcW w:w="992" w:type="dxa"/>
          </w:tcPr>
          <w:p w14:paraId="440311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598/4250</w:t>
            </w:r>
          </w:p>
        </w:tc>
      </w:tr>
      <w:tr w:rsidR="00860B4B" w:rsidRPr="00D03F3E" w14:paraId="31126EF0" w14:textId="77777777">
        <w:tc>
          <w:tcPr>
            <w:tcW w:w="1601" w:type="dxa"/>
          </w:tcPr>
          <w:p w14:paraId="7FD59B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высоты 5000 м, мин.</w:t>
            </w:r>
          </w:p>
        </w:tc>
        <w:tc>
          <w:tcPr>
            <w:tcW w:w="917" w:type="dxa"/>
          </w:tcPr>
          <w:p w14:paraId="40CAA8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w:t>
            </w:r>
          </w:p>
        </w:tc>
        <w:tc>
          <w:tcPr>
            <w:tcW w:w="851" w:type="dxa"/>
          </w:tcPr>
          <w:p w14:paraId="39B446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w:t>
            </w:r>
          </w:p>
        </w:tc>
        <w:tc>
          <w:tcPr>
            <w:tcW w:w="850" w:type="dxa"/>
          </w:tcPr>
          <w:p w14:paraId="53F66D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w:t>
            </w:r>
          </w:p>
        </w:tc>
        <w:tc>
          <w:tcPr>
            <w:tcW w:w="851" w:type="dxa"/>
          </w:tcPr>
          <w:p w14:paraId="2FC125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w:t>
            </w:r>
          </w:p>
        </w:tc>
        <w:tc>
          <w:tcPr>
            <w:tcW w:w="850" w:type="dxa"/>
          </w:tcPr>
          <w:p w14:paraId="1FD2BE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w:t>
            </w:r>
          </w:p>
        </w:tc>
        <w:tc>
          <w:tcPr>
            <w:tcW w:w="851" w:type="dxa"/>
          </w:tcPr>
          <w:p w14:paraId="72F435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6,4</w:t>
            </w:r>
          </w:p>
        </w:tc>
        <w:tc>
          <w:tcPr>
            <w:tcW w:w="850" w:type="dxa"/>
          </w:tcPr>
          <w:p w14:paraId="1DB896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143</w:t>
            </w:r>
          </w:p>
        </w:tc>
        <w:tc>
          <w:tcPr>
            <w:tcW w:w="851" w:type="dxa"/>
          </w:tcPr>
          <w:p w14:paraId="4D5F8E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850" w:type="dxa"/>
          </w:tcPr>
          <w:p w14:paraId="65E646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137</w:t>
            </w:r>
          </w:p>
        </w:tc>
        <w:tc>
          <w:tcPr>
            <w:tcW w:w="992" w:type="dxa"/>
          </w:tcPr>
          <w:p w14:paraId="4E3060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w:t>
            </w:r>
          </w:p>
        </w:tc>
        <w:tc>
          <w:tcPr>
            <w:tcW w:w="993" w:type="dxa"/>
          </w:tcPr>
          <w:p w14:paraId="30E2FE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140</w:t>
            </w:r>
          </w:p>
        </w:tc>
        <w:tc>
          <w:tcPr>
            <w:tcW w:w="992" w:type="dxa"/>
          </w:tcPr>
          <w:p w14:paraId="0F46FA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140</w:t>
            </w:r>
          </w:p>
        </w:tc>
      </w:tr>
      <w:tr w:rsidR="00860B4B" w:rsidRPr="00D03F3E" w14:paraId="3918B546" w14:textId="77777777">
        <w:tc>
          <w:tcPr>
            <w:tcW w:w="1601" w:type="dxa"/>
          </w:tcPr>
          <w:p w14:paraId="2B36BC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 м</w:t>
            </w:r>
          </w:p>
        </w:tc>
        <w:tc>
          <w:tcPr>
            <w:tcW w:w="917" w:type="dxa"/>
          </w:tcPr>
          <w:p w14:paraId="6DF17B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10750</w:t>
            </w:r>
          </w:p>
        </w:tc>
        <w:tc>
          <w:tcPr>
            <w:tcW w:w="851" w:type="dxa"/>
          </w:tcPr>
          <w:p w14:paraId="640AE7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10100</w:t>
            </w:r>
          </w:p>
        </w:tc>
        <w:tc>
          <w:tcPr>
            <w:tcW w:w="850" w:type="dxa"/>
          </w:tcPr>
          <w:p w14:paraId="115E5A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10000</w:t>
            </w:r>
          </w:p>
        </w:tc>
        <w:tc>
          <w:tcPr>
            <w:tcW w:w="851" w:type="dxa"/>
          </w:tcPr>
          <w:p w14:paraId="6BCF63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9700</w:t>
            </w:r>
          </w:p>
        </w:tc>
        <w:tc>
          <w:tcPr>
            <w:tcW w:w="850" w:type="dxa"/>
          </w:tcPr>
          <w:p w14:paraId="0E23B3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10000</w:t>
            </w:r>
          </w:p>
        </w:tc>
        <w:tc>
          <w:tcPr>
            <w:tcW w:w="851" w:type="dxa"/>
          </w:tcPr>
          <w:p w14:paraId="0AA1E2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9750</w:t>
            </w:r>
          </w:p>
        </w:tc>
        <w:tc>
          <w:tcPr>
            <w:tcW w:w="850" w:type="dxa"/>
          </w:tcPr>
          <w:p w14:paraId="7F8A29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73A4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97B81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233FB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F34C9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71198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EC250D1" w14:textId="77777777">
        <w:tc>
          <w:tcPr>
            <w:tcW w:w="1601" w:type="dxa"/>
          </w:tcPr>
          <w:p w14:paraId="03EF0A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виража</w:t>
            </w:r>
          </w:p>
        </w:tc>
        <w:tc>
          <w:tcPr>
            <w:tcW w:w="917" w:type="dxa"/>
          </w:tcPr>
          <w:p w14:paraId="0460B9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B1F4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F0A16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0B09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F8870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59B9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D2E88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w:t>
            </w:r>
          </w:p>
        </w:tc>
        <w:tc>
          <w:tcPr>
            <w:tcW w:w="851" w:type="dxa"/>
          </w:tcPr>
          <w:p w14:paraId="5D3A02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w:t>
            </w:r>
          </w:p>
        </w:tc>
        <w:tc>
          <w:tcPr>
            <w:tcW w:w="850" w:type="dxa"/>
          </w:tcPr>
          <w:p w14:paraId="157C3B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w:t>
            </w:r>
          </w:p>
        </w:tc>
        <w:tc>
          <w:tcPr>
            <w:tcW w:w="992" w:type="dxa"/>
          </w:tcPr>
          <w:p w14:paraId="59FFF1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w:t>
            </w:r>
          </w:p>
        </w:tc>
        <w:tc>
          <w:tcPr>
            <w:tcW w:w="993" w:type="dxa"/>
          </w:tcPr>
          <w:p w14:paraId="4AEF0A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w:t>
            </w:r>
          </w:p>
        </w:tc>
        <w:tc>
          <w:tcPr>
            <w:tcW w:w="992" w:type="dxa"/>
          </w:tcPr>
          <w:p w14:paraId="4F6708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w:t>
            </w:r>
          </w:p>
        </w:tc>
      </w:tr>
      <w:tr w:rsidR="00860B4B" w:rsidRPr="00D03F3E" w14:paraId="5BC121CE" w14:textId="77777777">
        <w:tc>
          <w:tcPr>
            <w:tcW w:w="1601" w:type="dxa"/>
          </w:tcPr>
          <w:p w14:paraId="3FA33D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высоте 1000 м\ с</w:t>
            </w:r>
          </w:p>
        </w:tc>
        <w:tc>
          <w:tcPr>
            <w:tcW w:w="917" w:type="dxa"/>
          </w:tcPr>
          <w:p w14:paraId="7474FD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16-17</w:t>
            </w:r>
          </w:p>
        </w:tc>
        <w:tc>
          <w:tcPr>
            <w:tcW w:w="851" w:type="dxa"/>
          </w:tcPr>
          <w:p w14:paraId="4720DD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17-18</w:t>
            </w:r>
          </w:p>
        </w:tc>
        <w:tc>
          <w:tcPr>
            <w:tcW w:w="850" w:type="dxa"/>
          </w:tcPr>
          <w:p w14:paraId="52DD1A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18-193</w:t>
            </w:r>
          </w:p>
        </w:tc>
        <w:tc>
          <w:tcPr>
            <w:tcW w:w="851" w:type="dxa"/>
          </w:tcPr>
          <w:p w14:paraId="075B60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w:t>
            </w:r>
          </w:p>
        </w:tc>
        <w:tc>
          <w:tcPr>
            <w:tcW w:w="850" w:type="dxa"/>
          </w:tcPr>
          <w:p w14:paraId="57868A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21-24</w:t>
            </w:r>
          </w:p>
        </w:tc>
        <w:tc>
          <w:tcPr>
            <w:tcW w:w="851" w:type="dxa"/>
          </w:tcPr>
          <w:p w14:paraId="5F7382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c>
          <w:tcPr>
            <w:tcW w:w="850" w:type="dxa"/>
          </w:tcPr>
          <w:p w14:paraId="6D506E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B01A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BEC29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11000</w:t>
            </w:r>
          </w:p>
        </w:tc>
        <w:tc>
          <w:tcPr>
            <w:tcW w:w="992" w:type="dxa"/>
          </w:tcPr>
          <w:p w14:paraId="4E0D40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13100</w:t>
            </w:r>
          </w:p>
        </w:tc>
        <w:tc>
          <w:tcPr>
            <w:tcW w:w="993" w:type="dxa"/>
          </w:tcPr>
          <w:p w14:paraId="6D814D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9500</w:t>
            </w:r>
          </w:p>
        </w:tc>
        <w:tc>
          <w:tcPr>
            <w:tcW w:w="992" w:type="dxa"/>
          </w:tcPr>
          <w:p w14:paraId="148F62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10750</w:t>
            </w:r>
          </w:p>
        </w:tc>
      </w:tr>
      <w:tr w:rsidR="00860B4B" w:rsidRPr="00D03F3E" w14:paraId="332CD00C" w14:textId="77777777">
        <w:tc>
          <w:tcPr>
            <w:tcW w:w="1601" w:type="dxa"/>
          </w:tcPr>
          <w:p w14:paraId="1B3ACC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макс., км</w:t>
            </w:r>
          </w:p>
        </w:tc>
        <w:tc>
          <w:tcPr>
            <w:tcW w:w="917" w:type="dxa"/>
          </w:tcPr>
          <w:p w14:paraId="39D677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8482</w:t>
            </w:r>
          </w:p>
        </w:tc>
        <w:tc>
          <w:tcPr>
            <w:tcW w:w="851" w:type="dxa"/>
          </w:tcPr>
          <w:p w14:paraId="73AB8E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850</w:t>
            </w:r>
          </w:p>
        </w:tc>
        <w:tc>
          <w:tcPr>
            <w:tcW w:w="850" w:type="dxa"/>
          </w:tcPr>
          <w:p w14:paraId="178E5F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735</w:t>
            </w:r>
          </w:p>
        </w:tc>
        <w:tc>
          <w:tcPr>
            <w:tcW w:w="851" w:type="dxa"/>
          </w:tcPr>
          <w:p w14:paraId="4BE0DF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965</w:t>
            </w:r>
          </w:p>
        </w:tc>
        <w:tc>
          <w:tcPr>
            <w:tcW w:w="850" w:type="dxa"/>
          </w:tcPr>
          <w:p w14:paraId="0CF559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598</w:t>
            </w:r>
          </w:p>
        </w:tc>
        <w:tc>
          <w:tcPr>
            <w:tcW w:w="851" w:type="dxa"/>
          </w:tcPr>
          <w:p w14:paraId="3B8830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930</w:t>
            </w:r>
          </w:p>
        </w:tc>
        <w:tc>
          <w:tcPr>
            <w:tcW w:w="850" w:type="dxa"/>
          </w:tcPr>
          <w:p w14:paraId="72A8DA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E200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3426C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65BC6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9E3BC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0D053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BC45E74" w14:textId="77777777">
        <w:tc>
          <w:tcPr>
            <w:tcW w:w="1601" w:type="dxa"/>
          </w:tcPr>
          <w:p w14:paraId="593622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Разбег/пробег, м</w:t>
            </w:r>
          </w:p>
        </w:tc>
        <w:tc>
          <w:tcPr>
            <w:tcW w:w="917" w:type="dxa"/>
          </w:tcPr>
          <w:p w14:paraId="0CDBD5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320/485</w:t>
            </w:r>
          </w:p>
        </w:tc>
        <w:tc>
          <w:tcPr>
            <w:tcW w:w="851" w:type="dxa"/>
          </w:tcPr>
          <w:p w14:paraId="68ABCC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360/530</w:t>
            </w:r>
          </w:p>
        </w:tc>
        <w:tc>
          <w:tcPr>
            <w:tcW w:w="850" w:type="dxa"/>
          </w:tcPr>
          <w:p w14:paraId="21CF5D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380/500</w:t>
            </w:r>
          </w:p>
        </w:tc>
        <w:tc>
          <w:tcPr>
            <w:tcW w:w="851" w:type="dxa"/>
          </w:tcPr>
          <w:p w14:paraId="2B4980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380/500</w:t>
            </w:r>
          </w:p>
        </w:tc>
        <w:tc>
          <w:tcPr>
            <w:tcW w:w="850" w:type="dxa"/>
          </w:tcPr>
          <w:p w14:paraId="3DC15F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345/455</w:t>
            </w:r>
          </w:p>
        </w:tc>
        <w:tc>
          <w:tcPr>
            <w:tcW w:w="851" w:type="dxa"/>
          </w:tcPr>
          <w:p w14:paraId="3E7EDA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385/540</w:t>
            </w:r>
          </w:p>
        </w:tc>
        <w:tc>
          <w:tcPr>
            <w:tcW w:w="850" w:type="dxa"/>
          </w:tcPr>
          <w:p w14:paraId="23A10F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p>
        </w:tc>
        <w:tc>
          <w:tcPr>
            <w:tcW w:w="851" w:type="dxa"/>
          </w:tcPr>
          <w:p w14:paraId="74E299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p>
        </w:tc>
        <w:tc>
          <w:tcPr>
            <w:tcW w:w="850" w:type="dxa"/>
          </w:tcPr>
          <w:p w14:paraId="341E9B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16-17</w:t>
            </w:r>
          </w:p>
        </w:tc>
        <w:tc>
          <w:tcPr>
            <w:tcW w:w="992" w:type="dxa"/>
          </w:tcPr>
          <w:p w14:paraId="154030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tc>
        <w:tc>
          <w:tcPr>
            <w:tcW w:w="993" w:type="dxa"/>
          </w:tcPr>
          <w:p w14:paraId="5A86F9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19,5</w:t>
            </w:r>
          </w:p>
        </w:tc>
        <w:tc>
          <w:tcPr>
            <w:tcW w:w="992" w:type="dxa"/>
          </w:tcPr>
          <w:p w14:paraId="072970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16-17</w:t>
            </w:r>
          </w:p>
        </w:tc>
      </w:tr>
      <w:tr w:rsidR="00860B4B" w:rsidRPr="00D03F3E" w14:paraId="60FA556D" w14:textId="77777777">
        <w:tc>
          <w:tcPr>
            <w:tcW w:w="1601" w:type="dxa"/>
          </w:tcPr>
          <w:p w14:paraId="176877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7" w:type="dxa"/>
          </w:tcPr>
          <w:p w14:paraId="1DAE47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F56F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FB496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0587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532B2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E615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9C792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1360</w:t>
            </w:r>
          </w:p>
        </w:tc>
        <w:tc>
          <w:tcPr>
            <w:tcW w:w="851" w:type="dxa"/>
          </w:tcPr>
          <w:p w14:paraId="08409E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2285</w:t>
            </w:r>
          </w:p>
        </w:tc>
        <w:tc>
          <w:tcPr>
            <w:tcW w:w="850" w:type="dxa"/>
          </w:tcPr>
          <w:p w14:paraId="320C49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730</w:t>
            </w:r>
          </w:p>
        </w:tc>
        <w:tc>
          <w:tcPr>
            <w:tcW w:w="992" w:type="dxa"/>
          </w:tcPr>
          <w:p w14:paraId="1C730A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575</w:t>
            </w:r>
          </w:p>
        </w:tc>
        <w:tc>
          <w:tcPr>
            <w:tcW w:w="993" w:type="dxa"/>
          </w:tcPr>
          <w:p w14:paraId="0463C1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1800</w:t>
            </w:r>
          </w:p>
        </w:tc>
        <w:tc>
          <w:tcPr>
            <w:tcW w:w="992" w:type="dxa"/>
          </w:tcPr>
          <w:p w14:paraId="01F9A3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660</w:t>
            </w:r>
          </w:p>
        </w:tc>
      </w:tr>
      <w:tr w:rsidR="00860B4B" w:rsidRPr="00D03F3E" w14:paraId="6F176A45" w14:textId="77777777">
        <w:tc>
          <w:tcPr>
            <w:tcW w:w="1601" w:type="dxa"/>
            <w:tcBorders>
              <w:bottom w:val="single" w:sz="12" w:space="0" w:color="auto"/>
            </w:tcBorders>
          </w:tcPr>
          <w:p w14:paraId="7EAC26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7" w:type="dxa"/>
            <w:tcBorders>
              <w:bottom w:val="single" w:sz="12" w:space="0" w:color="auto"/>
            </w:tcBorders>
          </w:tcPr>
          <w:p w14:paraId="2D60BA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72DD1E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27E216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279906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3496BD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160250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71D5FE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370/-</w:t>
            </w:r>
          </w:p>
        </w:tc>
        <w:tc>
          <w:tcPr>
            <w:tcW w:w="851" w:type="dxa"/>
            <w:tcBorders>
              <w:bottom w:val="single" w:sz="12" w:space="0" w:color="auto"/>
            </w:tcBorders>
          </w:tcPr>
          <w:p w14:paraId="39815A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tc>
        <w:tc>
          <w:tcPr>
            <w:tcW w:w="850" w:type="dxa"/>
            <w:tcBorders>
              <w:bottom w:val="single" w:sz="12" w:space="0" w:color="auto"/>
            </w:tcBorders>
          </w:tcPr>
          <w:p w14:paraId="3277BA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305/450</w:t>
            </w:r>
          </w:p>
        </w:tc>
        <w:tc>
          <w:tcPr>
            <w:tcW w:w="992" w:type="dxa"/>
            <w:tcBorders>
              <w:bottom w:val="single" w:sz="12" w:space="0" w:color="auto"/>
            </w:tcBorders>
          </w:tcPr>
          <w:p w14:paraId="362C61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375/460</w:t>
            </w:r>
          </w:p>
        </w:tc>
        <w:tc>
          <w:tcPr>
            <w:tcW w:w="993" w:type="dxa"/>
            <w:tcBorders>
              <w:bottom w:val="single" w:sz="12" w:space="0" w:color="auto"/>
            </w:tcBorders>
          </w:tcPr>
          <w:p w14:paraId="5F9F79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375/550</w:t>
            </w:r>
          </w:p>
        </w:tc>
        <w:tc>
          <w:tcPr>
            <w:tcW w:w="992" w:type="dxa"/>
            <w:tcBorders>
              <w:bottom w:val="single" w:sz="12" w:space="0" w:color="auto"/>
            </w:tcBorders>
          </w:tcPr>
          <w:p w14:paraId="04092D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370/550</w:t>
            </w:r>
          </w:p>
        </w:tc>
      </w:tr>
    </w:tbl>
    <w:p w14:paraId="7054BF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Одинарный с углом крена 60-70'.</w:t>
      </w:r>
    </w:p>
    <w:p w14:paraId="7E34CB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Продолжительность полета 2 час 43 минуты. Скоростная дальность -</w:t>
      </w:r>
      <w:r w:rsidRPr="00D03F3E">
        <w:rPr>
          <w:rFonts w:ascii="Times New Roman" w:hAnsi="Times New Roman"/>
          <w:color w:val="000000" w:themeColor="text1"/>
          <w:sz w:val="16"/>
          <w:szCs w:val="16"/>
        </w:rPr>
        <w:tab/>
        <w:t>687 км, продолжительность полета 1 час 18 минут.</w:t>
      </w:r>
    </w:p>
    <w:p w14:paraId="4A5D79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Серийный вираж на высоте 1000 м - 54-58 с.</w:t>
      </w:r>
    </w:p>
    <w:p w14:paraId="7EF8BE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 Без переднего и заднего бронестекол (12046).</w:t>
      </w:r>
    </w:p>
    <w:p w14:paraId="27C0C1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C8F8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года построили Як-1 М с двигателем М-107А (поскольку краткое техническое описание завода №115 датировано 17 апреля). Вооружение его сохранилось, как и на первом опытном экземпляре Як-1 М с двигателем М-105ПФ, - одна мотор-пушка МП-20 и пулемет БС (12047).</w:t>
      </w:r>
    </w:p>
    <w:p w14:paraId="40F2C7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Сведений о его летных испытания обнаружить не удалось, но известно, что после заводских испытаний первый прототип Як-3 с мотором ВК-107А подвергли переделкам на опытном заводе №115. Доработки в основном были связаны с заменой вооружения на два синхронных орудия Б-20С.</w:t>
      </w:r>
    </w:p>
    <w:p w14:paraId="3CD0FB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продолжались с 22 ноября 1943- го по 6 января 1944 года, когда машину выкатили на аэродром. Чтобы выдержать требуемый противокапотажный угол, кабину пилота, как и на Як-9, сместили назад на 400 мм. На самолет установили облегченный винт ВИШ-107 с обтекателями комлей лопастей и изготовили два варианта всасывающих патрубков нагнетателя и входных туннелей маслорадиатора. Для испытаний подготовили также два варианта установки вооружения. 13 января 1944 года Як-3 №1 с двигателем ВК-107А и снятым вооружением (взлетный вес 2800 кг) был поднят в воздух летчиком-испыта- телем генерал-майором инженерно-авиационной службы П.Я. Федрови (ведущий инженер - A.M. Дружинин).</w:t>
      </w:r>
    </w:p>
    <w:p w14:paraId="384456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заводских испытаний трижды меняли двигатели, выполнив 38 полетов обшей продолжительностью 14 часов 50 минут. Причиной тому было недостаточное охлаждение мотора. Фактически основные усилия испытателей были направлены на доводку силовой установки, и лишь после 25 полетов удалось приступить к снятию летных характеристик. К этому времени взлетный вес машины возросло 2984 кг, но продолжал оставаться рекордно низким по сравнению с самолетами противника, а нагрузка на взлетную мощность двигателя у него не превышала 1,81 кг/л.с. В то же время у трехточечного Bfl09G-2 она составляла 1,95 кг/л.с., у Bf 109G-6 - 1,97 кг/л.с., а у FW190A-4 и его варианта "А-8" - 2,52 кг/л.с.</w:t>
      </w:r>
    </w:p>
    <w:p w14:paraId="30BE88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в сочетании с хорошей отделкой планера, позволило получить у земли скорость 611 км/ч, а на 2-й границе высотности (5750 метров) - 720 км/ч. Самолет поднимался на высоту 5000 метров за 3,9 минуты и за боевой разворот (с высоты 1000 метров) набирал 1500 метров, превзойдя Як-3 с мотором ВК-105ПФ2. Практический потолок машины составил 11 800 метров. По времени виража (17 - 18 секунд на высоте 1000 метров) самолет был сопоставим с Як-3 с двигателем ВК-105ПФ2. Правда, взлетно-посадочные данные ухудшились. Так, длина разбега возросла с 275 до 345 метров, а пробега - с 485 до 590 метров.</w:t>
      </w:r>
    </w:p>
    <w:p w14:paraId="189541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По технике пилотирования истребитель, как и его предшественник, был прост и доступен пилотам средней квалификации. Пилотажно-навигационное и специальное оборудование машины позволяло эксплуатировать его лишь в простых метеоусловиях при видимости земных ориентиров. Но был и положительный момент. Дальность устойчивой радиосвязи возросла как минимум до 100 км и отвечала требованиям заказчика.</w:t>
      </w:r>
    </w:p>
    <w:p w14:paraId="30FDD2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заводских испытаний дали о себе знать и дефекты вооружения. После 329 выстрелов сломался передний шкворень крепления правой пушки. Помимо этого, отмечался недостаточный противокапо- тажный угол (20,5 - 23,5 градуса) при требуемом 26,5 градуса.</w:t>
      </w:r>
    </w:p>
    <w:p w14:paraId="147578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все эти достижения "тонули" на фоне тяжелого температурного режима и низкого ресурса двигателя. Свою негативную роль сыграла и плохая герметизация его трущихся частей. Достаточно сказать, что на высотах более 8200 метров падало давление бензина и масла ниже минимального предела 3,5 кг/см2 (12047).</w:t>
      </w:r>
    </w:p>
    <w:p w14:paraId="79A4F9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FC92E7"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Март 1943 г. из СПРАВКИ СЕКРЕТАРЮ НОВОСИБИРСКОГО ОБКОМА ВКП(6) М.В. КУЛАГИНУ ОБ АВАРИЯХ САМОЛЕТОВ ЯК-7Б, ЯК-7В И ЯК-9 В ВОИНСКИХ ЧАСТЯХ</w:t>
      </w:r>
    </w:p>
    <w:p w14:paraId="1C9C8E0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Заводом № 153 за 1942 и 1943 годы (включительно по 1 марта 1943 года) отправлено в воинские части 2 803 самолета, в том числе в 5-ю запасную авиабригаду Сибирского военного округа — 843 самолета, из них 556 машин в 1942 году и 287 машин в 1943 году. Рекламаций по дефектам самолетов из разных воинских частей за этот период поступило 130, из них 103 за 1942 год и 27 за 1943 год. Дефекты, указанные в рекламациях, в основном повторяются, особенно много есть случаев поломки шкорня стоек шасси, поломки штока костыля при посадке и трещины кронштейна труб пламегасителей, переднего крепления левых пулеметов. Все указанные дефекты в настоящее время заводом устранены, за исключением отдельных конструктивных дефектов, над которыми ведется работа по их устранению. К таким дефектам относятся:</w:t>
      </w:r>
    </w:p>
    <w:p w14:paraId="3D022BF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Неравномерная выработка горючего из бензобаков. Для устранения сейчас ставится (с 15 марта) 3-ходовой кран.</w:t>
      </w:r>
    </w:p>
    <w:p w14:paraId="175C7E44"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Замерзание системы нейтрального газа. Для устранения ведутся испытания новых систем, результатов пока еще нет.</w:t>
      </w:r>
    </w:p>
    <w:p w14:paraId="5264B5A4"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рекламаций, поступивших с воинских частей, не указывается на случай катастроф, а также и отдельных сообщений по этому вопросу нет. Кроме того, районный инженер ВВС т. Панкратов, который сейчас находится на заводе № 153, заявил, что сведений о катастрофах с самолетами ЯК-7Б, ЯК-7В и ЯК-9 из других летных подразделений не имеется, за исключением 5-й запасной авиабригады Сибирского военного округа. В 5-й запасной авиабригаде за период 1942 и 1943 годов произошло (известных нам) 10 катастроф, из них 7 — с жертвами, в том числе 6 случаев с самолетами ЯК-7Б № 2 115 332, ЯК-7Б № 2 315 348, ЯК-7Б № 30 153 134, ЯК-7Б № 3 715 381, ЯК-7Б № 3 716 322, ЯК-9 № 0315312. Произошли аварии, по предположению ВВС СибВО, по причинам слабости крыла. Кроме того, в 5-й ЗАБ имеются случаи 5 крупных поломок, 21 случай вынужденной посадки и 180 случаев мелких поломок. Все эти перечисленные факты, по сравнению с количеством рекламаций из других летных частей, говорят о неблагополучном положении с постановкой работы по эксплуатации самолетов в 5-й запасной авиабригаде. По этому вопросу следователь военной прокуратуры т. Журавлев, который ведет сейчас следствие по авариям в 5-й ЗАБ, заявил, что у него имеются сведения о том, что технический персонал ВВС СибВО готовит материальную часть к полетам. Вместе с этим надо отметить, что наблюдение за полетами летчиков совершенно отсутствует и все акты, составленные по происшедшим авариям, основываются на показаниях случайных наблюдателей, которые не могут, хотя бы примерно, установить, на какой высоте и при каких обстоятельствах произошла авария. Вследствие отсутствия наблюдения аэродромного контроля за полетами командование ВВС СибВО не может на сегодня твердо и уверенно заявить о причинах аварий. В актах ссылаются на недоброкачественную проклейку крыла и фюзеляжа, а командующий ВВС СибВО генерал-майор т. Шелухин заявил мне в присутствии заведующего авиационным отделом ЦК ВКП(б) т. Будникова, что он к заводу № 153 не имеет никаких претензий относительно качества выпускаемых самолетов и причины аварий кроются в том, что самолеты ЯК-7Б и ЯК-9 конструктивно не доведены. Самолет не имеет тринадцати кратного запаса прочности, и, по его словам, запас прочности машины не более шестикрат, так как на выводе самолета из пикирования при скоростях примерно 530-560 км/час наблюдаются явления флятора (вибрации) крыла. Развивая далее свою мысль, т. Шелухин делает вывод, что в условиях боя на фронтах самолеты ЯК-7Б больше выходят из строя не от огня противника, а в связи с указанными конструктивными недостатками. О фактах явления флятора крыла из других воинских частей сообщений не имеется. Считаю, что заявление и выводы генерал-майора т. Шелухина недостаточно обоснованы, не может быть такого положения, чтобы подобные конструктивные недоработки прошли незамеченными в других воинских частях. С целью полной проверки заявления генерал-майора т. Шелухина необходимо поставить вопрос на военном совете СибВО с привлечением членов комиссии, работающей по проверке качества выпускаемых самолетов заводом № 153. Одновременно поставить вопрос о проверке состояния летно-эксплуатационной службы в 5-й запасной авиабригаде.</w:t>
      </w:r>
    </w:p>
    <w:p w14:paraId="7C99449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Секретарь обкома ВКП(б)</w:t>
      </w:r>
    </w:p>
    <w:p w14:paraId="1EE96A44"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авиапромышленности Хромов</w:t>
      </w:r>
    </w:p>
    <w:p w14:paraId="7B9E6DA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ГЛНО. Ф. П-4. Оп. 7. Д. 547. Л. 109-110. Подлинник. Подпись-росчерк Хромова фиолетовыми чернилами (12193).</w:t>
      </w:r>
    </w:p>
    <w:p w14:paraId="07E23774"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0C761A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началась серия М-107А (198,55).</w:t>
      </w:r>
    </w:p>
    <w:p w14:paraId="29D83E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E330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марта 1943 г. М- 107А с номинальной мощностью 1600/1500 л.с. (первая/вторая скорости нагнетателя) начали выпускать серийно. Новый мотор тут же попытались "вписать" в конструкцию Як-1. А так как по времени это совпало с созданием Як-IM, то все лучшее, накопленное при его разработке, было перенесено и на новую машину. К апрелю самолет был готов. От Як-1М его отличали мотор М-107А с винтом ВИШ-107, еще меньшая площадь элеронов (0,5 м2 по сравнению с 1,0 м2 на Як-IM). В связи с установкой нового мотора капоты и каркас капотов были удлинены на 100 мм. Запас топлива размещался в четырех крыльевых бензобаках и одном расходном баке. Вес конструкции при этом составил 2438 кг против 2133 кг у Як-1 М (здесь и выше имеется в виду первый прототип Як-1М).</w:t>
      </w:r>
    </w:p>
    <w:p w14:paraId="11D918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Далее в отношении этого варианта Як-1, как и Як-IM с форсированным М-105ПФ. встала проблема соответствия устройств охлаждения новому мотору. Причем для Як- 1М особенно, так как теплоотдача М-107А. по сравнению с М-105ПФ, возросла с 7500 до 9500 кал/мин. Продувками модели Як-1 с М-107 с различными типами охлаждающих устройств в аэродинамической трубе Т-106 ЦАГИ и на основе результатов продувок Як- I М подобрали наиболее рациональную компоновку радиаторов. По результатам этих исследовательских работ самолет в сентябре 1943 г. подвергся переделкам. Ко 2 октября он был готов и 5 октября совершил свой первый полет (12048).</w:t>
      </w:r>
    </w:p>
    <w:p w14:paraId="509320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62D34E" w14:textId="77777777" w:rsidR="00A135BE" w:rsidRPr="00D03F3E" w:rsidRDefault="00A135B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марта 1943 г. началось серийное производство долгожданным моторов М-107А. Новый мотор тут же попытались «вписать» в конструкцию Як-1. По времени это совпало с созданием Як-1M и все лучшее, накопленное при его разработке, было перенесено в новую машину. К апрелю самолет был готов. Далее, как и для Як-1M с форсированным мотором М-105ПФ, встала проблема соответствия устройств охлаждения новому мотору. Продувками модели истребителя Як-1 с мотором М-107 с различными типами охлаждающих устройств в аэродинамической трубе Т-106 и на основе результатов продувок Як-1М подобрали наиболее рациональную компоновку радиаторов. По результатам этих исследовательских работ самолет в сентябре 1943 г. подвергся переделкам. Ко 2 октября он был готов и 5 октября совершил свой первый полет. 17 сентября 1943 г. на основе результатов продувок истребителя Як-1М в аэродинамической трубе ЦАГИ для поиска дополнительных мер по улучшению обводов и работы устройств охлаждения, был выпушен второй самолет Як-1M, или «Дублер». Помимо форсированного мотора, переведенного на повышенный наддув во всем диапазоне высот и получившего обозначение ВК-105ПФ2, на самолет установили воздушный винт ВИШ-105СВ-01, новые водо- и маслорадиаторы с увеличенными площадями охлаждающих поверхностей. Вооружение усилили за счет установки двух синхронных пулеметов УБ, а моторпушку заменили опытной облегченной пушкой. Обшивка хвостовой части фюзеляжа стала полностью фанерной, козырек фонаря выполнили беспереплетным. Этот самолет успешно прошел заводские (с 20 по 30 сентября) и государственные (с 6 по 15 октября) испытания. Сравнительные испытания и учебные воздушные бои показали, что новый истребитель не уступает ни одному из истребителей воюющих на Восточном фронте сторон в скорости (кроме Ла-5ФН на форсаже), а также в скороподъемности и в верти44 Продувочная модель самолета Як-1М Самолет Як-1М кальном маневре до высоты 5000 м. Постановлением ГКО от 26 октября 1943 г. Як-1M переименовали в Як-3 и запустили в серийное производство. В 1944—1945 гг. было выпущено 4512 истребителей Як-3, в том числе к маю 1945 г. — 3550 экземпляров. Первые серийные самолеты начали поступать на фронт в 1944 г. Одним из путей улучшения аэродинамики Як-3 стала разработка на заводе № 153 в Новосибирске под руководством O. K. Антонова нового крыла с ламинарным профилем. Предполагалось, что при сохранении прежней силовой установки это позволит уменьшить площадь крыла до 13.1 м2 при размахе 8.6 м, а переход на электроприводы управления посадочными щитками и триммерами горизонтального оперения дополнительно облегчит истребитель. 20 января 1944 г. было выдано задание на постройку истребителя Як-3 с крылом с ламинарным профилем, а к разработке приступили в сентябре 1944 г. Чтобы компенсировать ухудшение характеристик на посадочных углах атаки, свойственное ламинарным крыльям, угол отклонения крыльевых щитков увеличили до 60°. В ходе проектирования из-за отсутствия ряда комплектующих изделий пришлось отказаться от электрификации машины, пришлось вернуться к исходному крылу и несущая поверхность приобрела форму двойной трапеции (с наплывом в корневой части крыла). Эта часть крыла набиралась из модифицированных профилей ЦАГИ 160545, переходивших к концу наплыва в профиль ЦАГИ 150545 и к середине полуразмаха — в профиль ЦАГИ 14151. В процессе испытаний планировалась проверить возможность использования реакции выхлопа для увеличения максимальной скорости, для чего изготовили второй комплект боковых капотов мотора с туннельными обтекателями выхлопных патрубков. Машину изготовили, но достоверных сведений о ее полетах и дальнейшей судьбе пока не обнаружено. Отсасывание крышек куполов шасси оказалось причиной снижения максимальной скорости истребителя Як-3. На некоторых самолетах потери доходили до 10 км/ч. Измерение распределения давления по крышкам, выполненное в трубе Т-101 показало, что величина отсасывающих нагрузок на максимальной скорости достигает 300 кг. При статической загрузке крышек такими усилиями выяснилось, что отсасывание объясняется недостаточной жесткостью крышек. Для разработки мероприятий, уменьшающих отсасывающие нагрузки, было исследовано влияние щели, вырезанной в крышке в области наибольших разрежений. Оказалось, что щель сильно понижает давление в куполах шасси и равнодействующая нагрузки падает почти до нуля (19727).</w:t>
      </w:r>
    </w:p>
    <w:p w14:paraId="65511B72" w14:textId="77777777" w:rsidR="00A135BE" w:rsidRPr="00D03F3E" w:rsidRDefault="00A135BE" w:rsidP="00D03F3E">
      <w:pPr>
        <w:spacing w:after="0" w:line="240" w:lineRule="auto"/>
        <w:jc w:val="both"/>
        <w:rPr>
          <w:rFonts w:ascii="Times New Roman" w:hAnsi="Times New Roman"/>
          <w:color w:val="000000" w:themeColor="text1"/>
          <w:sz w:val="16"/>
          <w:szCs w:val="16"/>
        </w:rPr>
      </w:pPr>
    </w:p>
    <w:p w14:paraId="7396C28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по просьбе А.С.Я. летчик-испытатель П.Я.Федрови обратился с письмом к наркому авиапромыш</w:t>
      </w:r>
      <w:r w:rsidRPr="00D03F3E">
        <w:rPr>
          <w:rFonts w:ascii="Times New Roman" w:hAnsi="Times New Roman"/>
          <w:color w:val="000000" w:themeColor="text1"/>
          <w:sz w:val="16"/>
          <w:szCs w:val="16"/>
        </w:rPr>
        <w:softHyphen/>
        <w:t>ленности А.И.Шахурину, в котором просил дать распо</w:t>
      </w:r>
      <w:r w:rsidRPr="00D03F3E">
        <w:rPr>
          <w:rFonts w:ascii="Times New Roman" w:hAnsi="Times New Roman"/>
          <w:color w:val="000000" w:themeColor="text1"/>
          <w:sz w:val="16"/>
          <w:szCs w:val="16"/>
        </w:rPr>
        <w:softHyphen/>
        <w:t>ряжение о постройке войсковой серии указанных машин Як-9 М-107А, ссылаясь на то, что «Як» по технике пилотиро</w:t>
      </w:r>
      <w:r w:rsidRPr="00D03F3E">
        <w:rPr>
          <w:rFonts w:ascii="Times New Roman" w:hAnsi="Times New Roman"/>
          <w:color w:val="000000" w:themeColor="text1"/>
          <w:sz w:val="16"/>
          <w:szCs w:val="16"/>
        </w:rPr>
        <w:softHyphen/>
        <w:t>вания проще И-185 (?), и имеет лучшую маневренность. Но реакции на письмо Федрови не последовало (10667).</w:t>
      </w:r>
    </w:p>
    <w:p w14:paraId="79B16D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D27EC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марта 1943 г. после всесторонних испытаний Як-9Т начали выпускать на заводе №153 и до июня 1945 г. построили 2748 машин (10712). Появление значительного количества Як-9Т на фронте произвело большое впечатле</w:t>
      </w:r>
      <w:r w:rsidRPr="00D03F3E">
        <w:rPr>
          <w:rFonts w:ascii="Times New Roman" w:hAnsi="Times New Roman"/>
          <w:color w:val="000000" w:themeColor="text1"/>
          <w:sz w:val="16"/>
          <w:szCs w:val="16"/>
        </w:rPr>
        <w:softHyphen/>
        <w:t>ние на противника и повлияло на некоторые тактические приемы воздушного боя. Особен</w:t>
      </w:r>
      <w:r w:rsidRPr="00D03F3E">
        <w:rPr>
          <w:rFonts w:ascii="Times New Roman" w:hAnsi="Times New Roman"/>
          <w:color w:val="000000" w:themeColor="text1"/>
          <w:sz w:val="16"/>
          <w:szCs w:val="16"/>
        </w:rPr>
        <w:softHyphen/>
        <w:t>но это касалось эскадр, летавших на ФВ 190А. Эти самолеты имели живучий мотор воздушно</w:t>
      </w:r>
      <w:r w:rsidRPr="00D03F3E">
        <w:rPr>
          <w:rFonts w:ascii="Times New Roman" w:hAnsi="Times New Roman"/>
          <w:color w:val="000000" w:themeColor="text1"/>
          <w:sz w:val="16"/>
          <w:szCs w:val="16"/>
        </w:rPr>
        <w:softHyphen/>
        <w:t>го охлаждения, довольно хорошую бронезащи-ту и очень сильное вооружение, включавшее четыре 20-мм пушки. При встрече с «Яками» летчики «Фокке-Вульфов» охотно шли в лобо</w:t>
      </w:r>
      <w:r w:rsidRPr="00D03F3E">
        <w:rPr>
          <w:rFonts w:ascii="Times New Roman" w:hAnsi="Times New Roman"/>
          <w:color w:val="000000" w:themeColor="text1"/>
          <w:sz w:val="16"/>
          <w:szCs w:val="16"/>
        </w:rPr>
        <w:softHyphen/>
        <w:t>вые атаки, где их шансы на успех были гораздо больше, чем в других ситуациях, ведь, не имея превосходства в скорости, ФВ 190А сильно проигрывал советским истребителям в гори</w:t>
      </w:r>
      <w:r w:rsidRPr="00D03F3E">
        <w:rPr>
          <w:rFonts w:ascii="Times New Roman" w:hAnsi="Times New Roman"/>
          <w:color w:val="000000" w:themeColor="text1"/>
          <w:sz w:val="16"/>
          <w:szCs w:val="16"/>
        </w:rPr>
        <w:softHyphen/>
        <w:t>зонтальной маневренности. Но когда немецкие летчики оценили, насколько сокрушителен огонь Як-9Т, они по возможности стали избе</w:t>
      </w:r>
      <w:r w:rsidRPr="00D03F3E">
        <w:rPr>
          <w:rFonts w:ascii="Times New Roman" w:hAnsi="Times New Roman"/>
          <w:color w:val="000000" w:themeColor="text1"/>
          <w:sz w:val="16"/>
          <w:szCs w:val="16"/>
        </w:rPr>
        <w:softHyphen/>
        <w:t>гать идти в лобовую на все истребители Яков</w:t>
      </w:r>
      <w:r w:rsidRPr="00D03F3E">
        <w:rPr>
          <w:rFonts w:ascii="Times New Roman" w:hAnsi="Times New Roman"/>
          <w:color w:val="000000" w:themeColor="text1"/>
          <w:sz w:val="16"/>
          <w:szCs w:val="16"/>
        </w:rPr>
        <w:softHyphen/>
        <w:t>лева, так как из-за внешней схожести отличить их в воздухе, особенно издалека, было трудно. 37-мм пушка позволила увеличить дистан</w:t>
      </w:r>
      <w:r w:rsidRPr="00D03F3E">
        <w:rPr>
          <w:rFonts w:ascii="Times New Roman" w:hAnsi="Times New Roman"/>
          <w:color w:val="000000" w:themeColor="text1"/>
          <w:sz w:val="16"/>
          <w:szCs w:val="16"/>
        </w:rPr>
        <w:softHyphen/>
        <w:t>цию открытия стрельбы по неманевренным бомбардировщикам до 500-600 м и тем самым уменьшить вероятность поражения летчика Як-9Т огнем стрелков противника. Для наруше</w:t>
      </w:r>
      <w:r w:rsidRPr="00D03F3E">
        <w:rPr>
          <w:rFonts w:ascii="Times New Roman" w:hAnsi="Times New Roman"/>
          <w:color w:val="000000" w:themeColor="text1"/>
          <w:sz w:val="16"/>
          <w:szCs w:val="16"/>
        </w:rPr>
        <w:softHyphen/>
        <w:t>ния боевого порядка бомбардировщиков стре</w:t>
      </w:r>
      <w:r w:rsidRPr="00D03F3E">
        <w:rPr>
          <w:rFonts w:ascii="Times New Roman" w:hAnsi="Times New Roman"/>
          <w:color w:val="000000" w:themeColor="text1"/>
          <w:sz w:val="16"/>
          <w:szCs w:val="16"/>
        </w:rPr>
        <w:softHyphen/>
        <w:t>лять можно было с 1000-1200 м, что совершен</w:t>
      </w:r>
      <w:r w:rsidRPr="00D03F3E">
        <w:rPr>
          <w:rFonts w:ascii="Times New Roman" w:hAnsi="Times New Roman"/>
          <w:color w:val="000000" w:themeColor="text1"/>
          <w:sz w:val="16"/>
          <w:szCs w:val="16"/>
        </w:rPr>
        <w:softHyphen/>
        <w:t>но не годилось для самолетов с 20-мм пушка</w:t>
      </w:r>
      <w:r w:rsidRPr="00D03F3E">
        <w:rPr>
          <w:rFonts w:ascii="Times New Roman" w:hAnsi="Times New Roman"/>
          <w:color w:val="000000" w:themeColor="text1"/>
          <w:sz w:val="16"/>
          <w:szCs w:val="16"/>
        </w:rPr>
        <w:softHyphen/>
        <w:t xml:space="preserve">ми. Большая поражающая способность 37-мм снарядов способствовала снижению расхода боезапаса. Если у Як-9 средний расход 20-мм снарядов на один сбитый самолет противника составлял 147, то у Як-9Т только 31. Вот лишь два отрывка из многих отзывов, присланных строевыми летчиками конструкторам пушки НС-37. </w:t>
      </w:r>
      <w:r w:rsidRPr="00D03F3E">
        <w:rPr>
          <w:rFonts w:ascii="Times New Roman" w:hAnsi="Times New Roman"/>
          <w:iCs/>
          <w:color w:val="000000" w:themeColor="text1"/>
          <w:sz w:val="16"/>
          <w:szCs w:val="16"/>
        </w:rPr>
        <w:t xml:space="preserve">«Весь личный состав части благодарит конструкторов за новое оружие... Только </w:t>
      </w:r>
      <w:r w:rsidRPr="00D03F3E">
        <w:rPr>
          <w:rFonts w:ascii="Times New Roman" w:hAnsi="Times New Roman"/>
          <w:color w:val="000000" w:themeColor="text1"/>
          <w:sz w:val="16"/>
          <w:szCs w:val="16"/>
        </w:rPr>
        <w:t xml:space="preserve">за </w:t>
      </w:r>
      <w:r w:rsidRPr="00D03F3E">
        <w:rPr>
          <w:rFonts w:ascii="Times New Roman" w:hAnsi="Times New Roman"/>
          <w:iCs/>
          <w:color w:val="000000" w:themeColor="text1"/>
          <w:sz w:val="16"/>
          <w:szCs w:val="16"/>
        </w:rPr>
        <w:t>че</w:t>
      </w:r>
      <w:r w:rsidRPr="00D03F3E">
        <w:rPr>
          <w:rFonts w:ascii="Times New Roman" w:hAnsi="Times New Roman"/>
          <w:iCs/>
          <w:color w:val="000000" w:themeColor="text1"/>
          <w:sz w:val="16"/>
          <w:szCs w:val="16"/>
        </w:rPr>
        <w:softHyphen/>
        <w:t>тыре дня боевой работы на самолетах Як-9Т летчики нашей части сбили 49 самолетов про</w:t>
      </w:r>
      <w:r w:rsidRPr="00D03F3E">
        <w:rPr>
          <w:rFonts w:ascii="Times New Roman" w:hAnsi="Times New Roman"/>
          <w:iCs/>
          <w:color w:val="000000" w:themeColor="text1"/>
          <w:sz w:val="16"/>
          <w:szCs w:val="16"/>
        </w:rPr>
        <w:softHyphen/>
        <w:t>тивника, потеряв при этом всего лишь 4 само</w:t>
      </w:r>
      <w:r w:rsidRPr="00D03F3E">
        <w:rPr>
          <w:rFonts w:ascii="Times New Roman" w:hAnsi="Times New Roman"/>
          <w:iCs/>
          <w:color w:val="000000" w:themeColor="text1"/>
          <w:sz w:val="16"/>
          <w:szCs w:val="16"/>
        </w:rPr>
        <w:softHyphen/>
        <w:t xml:space="preserve">лета. С </w:t>
      </w:r>
      <w:r w:rsidRPr="00D03F3E">
        <w:rPr>
          <w:rFonts w:ascii="Times New Roman" w:hAnsi="Times New Roman"/>
          <w:color w:val="000000" w:themeColor="text1"/>
          <w:sz w:val="16"/>
          <w:szCs w:val="16"/>
        </w:rPr>
        <w:t xml:space="preserve">25 </w:t>
      </w:r>
      <w:r w:rsidRPr="00D03F3E">
        <w:rPr>
          <w:rFonts w:ascii="Times New Roman" w:hAnsi="Times New Roman"/>
          <w:iCs/>
          <w:color w:val="000000" w:themeColor="text1"/>
          <w:sz w:val="16"/>
          <w:szCs w:val="16"/>
        </w:rPr>
        <w:t>августа по 13 октября 1943 г. летчи</w:t>
      </w:r>
      <w:r w:rsidRPr="00D03F3E">
        <w:rPr>
          <w:rFonts w:ascii="Times New Roman" w:hAnsi="Times New Roman"/>
          <w:iCs/>
          <w:color w:val="000000" w:themeColor="text1"/>
          <w:sz w:val="16"/>
          <w:szCs w:val="16"/>
        </w:rPr>
        <w:softHyphen/>
        <w:t>ки нашей части сбили 70 самолетов противни</w:t>
      </w:r>
      <w:r w:rsidRPr="00D03F3E">
        <w:rPr>
          <w:rFonts w:ascii="Times New Roman" w:hAnsi="Times New Roman"/>
          <w:iCs/>
          <w:color w:val="000000" w:themeColor="text1"/>
          <w:sz w:val="16"/>
          <w:szCs w:val="16"/>
        </w:rPr>
        <w:softHyphen/>
        <w:t xml:space="preserve">ка...”. За этот период часть получила высшую оценку боевой работы и удостоена звания Гвардейской. Потери составили 12 </w:t>
      </w:r>
      <w:r w:rsidRPr="00D03F3E">
        <w:rPr>
          <w:rFonts w:ascii="Times New Roman" w:hAnsi="Times New Roman"/>
          <w:color w:val="000000" w:themeColor="text1"/>
          <w:sz w:val="16"/>
          <w:szCs w:val="16"/>
        </w:rPr>
        <w:t xml:space="preserve">Як-9Т". </w:t>
      </w:r>
      <w:r w:rsidRPr="00D03F3E">
        <w:rPr>
          <w:rFonts w:ascii="Times New Roman" w:hAnsi="Times New Roman"/>
          <w:iCs/>
          <w:color w:val="000000" w:themeColor="text1"/>
          <w:sz w:val="16"/>
          <w:szCs w:val="16"/>
        </w:rPr>
        <w:t>Командир 133 Гвардейского истребитель</w:t>
      </w:r>
      <w:r w:rsidRPr="00D03F3E">
        <w:rPr>
          <w:rFonts w:ascii="Times New Roman" w:hAnsi="Times New Roman"/>
          <w:iCs/>
          <w:color w:val="000000" w:themeColor="text1"/>
          <w:sz w:val="16"/>
          <w:szCs w:val="16"/>
        </w:rPr>
        <w:softHyphen/>
        <w:t>ного авиационного полка Герой Советского Союза подполковник Ф.И.Шинкаренко».</w:t>
      </w:r>
    </w:p>
    <w:p w14:paraId="745576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«Наша часть длительное время громила врага и имеет на своем счету много сбитых са</w:t>
      </w:r>
      <w:r w:rsidRPr="00D03F3E">
        <w:rPr>
          <w:rFonts w:ascii="Times New Roman" w:hAnsi="Times New Roman"/>
          <w:iCs/>
          <w:color w:val="000000" w:themeColor="text1"/>
          <w:sz w:val="16"/>
          <w:szCs w:val="16"/>
        </w:rPr>
        <w:softHyphen/>
        <w:t>молетов противника. Достаточно попадания в цель одного снаряда пушки НС-37, и самолет противника уже не существует в воздухе, па</w:t>
      </w:r>
      <w:r w:rsidRPr="00D03F3E">
        <w:rPr>
          <w:rFonts w:ascii="Times New Roman" w:hAnsi="Times New Roman"/>
          <w:iCs/>
          <w:color w:val="000000" w:themeColor="text1"/>
          <w:sz w:val="16"/>
          <w:szCs w:val="16"/>
        </w:rPr>
        <w:softHyphen/>
        <w:t>дая отдельными обломками на землю...</w:t>
      </w:r>
    </w:p>
    <w:p w14:paraId="0DAB06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Гвардии майор Товсташай» (10712).</w:t>
      </w:r>
    </w:p>
    <w:p w14:paraId="752773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Хотя Як-9Т сохранил, в основном, высо</w:t>
      </w:r>
      <w:r w:rsidRPr="00D03F3E">
        <w:rPr>
          <w:rFonts w:ascii="Times New Roman" w:hAnsi="Times New Roman"/>
          <w:color w:val="000000" w:themeColor="text1"/>
          <w:sz w:val="16"/>
          <w:szCs w:val="16"/>
        </w:rPr>
        <w:softHyphen/>
        <w:t>кие скоростные, маневренные качества и хорошие пилотажные свойства, присущие Як-9, однако возросший из-за более тяже</w:t>
      </w:r>
      <w:r w:rsidRPr="00D03F3E">
        <w:rPr>
          <w:rFonts w:ascii="Times New Roman" w:hAnsi="Times New Roman"/>
          <w:color w:val="000000" w:themeColor="text1"/>
          <w:sz w:val="16"/>
          <w:szCs w:val="16"/>
        </w:rPr>
        <w:softHyphen/>
        <w:t>лой пушки и боезапаса вес давал о себе знать (масса оружия Як-9Т на 157 кг превы</w:t>
      </w:r>
      <w:r w:rsidRPr="00D03F3E">
        <w:rPr>
          <w:rFonts w:ascii="Times New Roman" w:hAnsi="Times New Roman"/>
          <w:color w:val="000000" w:themeColor="text1"/>
          <w:sz w:val="16"/>
          <w:szCs w:val="16"/>
        </w:rPr>
        <w:softHyphen/>
        <w:t>шала этот показатель у Як-9). Скороподъем</w:t>
      </w:r>
      <w:r w:rsidRPr="00D03F3E">
        <w:rPr>
          <w:rFonts w:ascii="Times New Roman" w:hAnsi="Times New Roman"/>
          <w:color w:val="000000" w:themeColor="text1"/>
          <w:sz w:val="16"/>
          <w:szCs w:val="16"/>
        </w:rPr>
        <w:softHyphen/>
        <w:t>ность и горизонтальная маневренность Як-9Т были хуже, чем у Як-9. Тем не менее, на малых и средних высотах, характерных для действий авиации на Восточном фрон</w:t>
      </w:r>
      <w:r w:rsidRPr="00D03F3E">
        <w:rPr>
          <w:rFonts w:ascii="Times New Roman" w:hAnsi="Times New Roman"/>
          <w:color w:val="000000" w:themeColor="text1"/>
          <w:sz w:val="16"/>
          <w:szCs w:val="16"/>
        </w:rPr>
        <w:softHyphen/>
        <w:t>те, Як-9Т оказался вполне боеспособным истребителем даже при выполнении задач, «неудобных» для таких само</w:t>
      </w:r>
      <w:r w:rsidRPr="00D03F3E">
        <w:rPr>
          <w:rFonts w:ascii="Times New Roman" w:hAnsi="Times New Roman"/>
          <w:color w:val="000000" w:themeColor="text1"/>
          <w:sz w:val="16"/>
          <w:szCs w:val="16"/>
        </w:rPr>
        <w:softHyphen/>
        <w:t>летов, например, при сопро</w:t>
      </w:r>
      <w:r w:rsidRPr="00D03F3E">
        <w:rPr>
          <w:rFonts w:ascii="Times New Roman" w:hAnsi="Times New Roman"/>
          <w:color w:val="000000" w:themeColor="text1"/>
          <w:sz w:val="16"/>
          <w:szCs w:val="16"/>
        </w:rPr>
        <w:softHyphen/>
        <w:t>вождении бомбардировщи</w:t>
      </w:r>
      <w:r w:rsidRPr="00D03F3E">
        <w:rPr>
          <w:rFonts w:ascii="Times New Roman" w:hAnsi="Times New Roman"/>
          <w:color w:val="000000" w:themeColor="text1"/>
          <w:sz w:val="16"/>
          <w:szCs w:val="16"/>
        </w:rPr>
        <w:softHyphen/>
        <w:t>ков и штурмовиков. Як-9Т повезло. Он попал на фронт, когда советские летчики в большинстве своем уже освоили совре</w:t>
      </w:r>
      <w:r w:rsidRPr="00D03F3E">
        <w:rPr>
          <w:rFonts w:ascii="Times New Roman" w:hAnsi="Times New Roman"/>
          <w:color w:val="000000" w:themeColor="text1"/>
          <w:sz w:val="16"/>
          <w:szCs w:val="16"/>
        </w:rPr>
        <w:softHyphen/>
        <w:t>менную, по тогдашним меркам, тактику воздушного боя. Используя скоростные качества самолетов, они стали широко применять атакующий вертикальный ма</w:t>
      </w:r>
      <w:r w:rsidRPr="00D03F3E">
        <w:rPr>
          <w:rFonts w:ascii="Times New Roman" w:hAnsi="Times New Roman"/>
          <w:color w:val="000000" w:themeColor="text1"/>
          <w:sz w:val="16"/>
          <w:szCs w:val="16"/>
        </w:rPr>
        <w:softHyphen/>
        <w:t>невр и более эффективные боевые пос</w:t>
      </w:r>
      <w:r w:rsidRPr="00D03F3E">
        <w:rPr>
          <w:rFonts w:ascii="Times New Roman" w:hAnsi="Times New Roman"/>
          <w:color w:val="000000" w:themeColor="text1"/>
          <w:sz w:val="16"/>
          <w:szCs w:val="16"/>
        </w:rPr>
        <w:softHyphen/>
        <w:t>троения. В результате такие недостатки истребителей с повышенным весом, как посредственные скороподъемность и раз</w:t>
      </w:r>
      <w:r w:rsidRPr="00D03F3E">
        <w:rPr>
          <w:rFonts w:ascii="Times New Roman" w:hAnsi="Times New Roman"/>
          <w:color w:val="000000" w:themeColor="text1"/>
          <w:sz w:val="16"/>
          <w:szCs w:val="16"/>
        </w:rPr>
        <w:softHyphen/>
        <w:t>гонные характеристики, проявлялись не так сильно. Это в равной мере касалось не только Як-9Т, но и поставляемых по ленд-лизу американских Р-39 Аэрокобра и Р-63 Кингкобра, которые также были вооружены 37-мм пушками. Если на основании испы таний и богатого фронтового опыта сопос</w:t>
      </w:r>
      <w:r w:rsidRPr="00D03F3E">
        <w:rPr>
          <w:rFonts w:ascii="Times New Roman" w:hAnsi="Times New Roman"/>
          <w:color w:val="000000" w:themeColor="text1"/>
          <w:sz w:val="16"/>
          <w:szCs w:val="16"/>
        </w:rPr>
        <w:softHyphen/>
        <w:t>тавить Як-9Т с самым распространенным в советских ВВС истребителем иностранно</w:t>
      </w:r>
      <w:r w:rsidRPr="00D03F3E">
        <w:rPr>
          <w:rFonts w:ascii="Times New Roman" w:hAnsi="Times New Roman"/>
          <w:color w:val="000000" w:themeColor="text1"/>
          <w:sz w:val="16"/>
          <w:szCs w:val="16"/>
        </w:rPr>
        <w:softHyphen/>
        <w:t>го производства Р-39, то можно заклю</w:t>
      </w:r>
      <w:r w:rsidRPr="00D03F3E">
        <w:rPr>
          <w:rFonts w:ascii="Times New Roman" w:hAnsi="Times New Roman"/>
          <w:color w:val="000000" w:themeColor="text1"/>
          <w:sz w:val="16"/>
          <w:szCs w:val="16"/>
        </w:rPr>
        <w:softHyphen/>
        <w:t>чить, что «Як» обладал превосходством в скорости на небольшой высоте и лучшей маневренностью, выгодно отличался по штопорным характеристикам, но уступал «Кобре» в качестве оборудования, просто</w:t>
      </w:r>
      <w:r w:rsidRPr="00D03F3E">
        <w:rPr>
          <w:rFonts w:ascii="Times New Roman" w:hAnsi="Times New Roman"/>
          <w:color w:val="000000" w:themeColor="text1"/>
          <w:sz w:val="16"/>
          <w:szCs w:val="16"/>
        </w:rPr>
        <w:softHyphen/>
        <w:t>те взлета и особенно посадки (недоста</w:t>
      </w:r>
      <w:r w:rsidRPr="00D03F3E">
        <w:rPr>
          <w:rFonts w:ascii="Times New Roman" w:hAnsi="Times New Roman"/>
          <w:color w:val="000000" w:themeColor="text1"/>
          <w:sz w:val="16"/>
          <w:szCs w:val="16"/>
        </w:rPr>
        <w:softHyphen/>
        <w:t>точный противокапотажный угол Як-9 ог</w:t>
      </w:r>
      <w:r w:rsidRPr="00D03F3E">
        <w:rPr>
          <w:rFonts w:ascii="Times New Roman" w:hAnsi="Times New Roman"/>
          <w:color w:val="000000" w:themeColor="text1"/>
          <w:sz w:val="16"/>
          <w:szCs w:val="16"/>
        </w:rPr>
        <w:softHyphen/>
        <w:t>раничивал использование тормозов на пробеге, в то время как носовая опора шасси Р-39 давала ему в этом отношении явное преимущество)</w:t>
      </w:r>
      <w:r w:rsidRPr="00D03F3E">
        <w:rPr>
          <w:rFonts w:ascii="Times New Roman" w:hAnsi="Times New Roman"/>
          <w:iCs/>
          <w:color w:val="000000" w:themeColor="text1"/>
          <w:sz w:val="16"/>
          <w:szCs w:val="16"/>
        </w:rPr>
        <w:t xml:space="preserve"> (10712).</w:t>
      </w:r>
    </w:p>
    <w:p w14:paraId="05771CB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954690" w14:textId="77777777" w:rsidR="00124A4E" w:rsidRPr="00D03F3E" w:rsidRDefault="00124A4E"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марте 1943 г. из сборочного цеха опыт</w:t>
      </w:r>
      <w:r w:rsidRPr="00D03F3E">
        <w:rPr>
          <w:rFonts w:ascii="Times New Roman" w:cs="Times New Roman"/>
          <w:color w:val="000000" w:themeColor="text1"/>
          <w:spacing w:val="0"/>
        </w:rPr>
        <w:softHyphen/>
        <w:t>ного завода № 115 выкатили пушечный ис</w:t>
      </w:r>
      <w:r w:rsidRPr="00D03F3E">
        <w:rPr>
          <w:rFonts w:ascii="Times New Roman" w:cs="Times New Roman"/>
          <w:color w:val="000000" w:themeColor="text1"/>
          <w:spacing w:val="0"/>
        </w:rPr>
        <w:softHyphen/>
        <w:t>требитель Як-9П (доработанный из Як-9 вы</w:t>
      </w:r>
      <w:r w:rsidRPr="00D03F3E">
        <w:rPr>
          <w:rFonts w:ascii="Times New Roman" w:cs="Times New Roman"/>
          <w:color w:val="000000" w:themeColor="text1"/>
          <w:spacing w:val="0"/>
        </w:rPr>
        <w:softHyphen/>
        <w:t>пуска завода № 153). В отличие от серийной машины пулемёт УБС заменили ещё одной пушкой - СП-20 с укороченным стволом. Орудие располагалось над мотором с левой стороны и крепилось на ферме, допуска</w:t>
      </w:r>
      <w:r w:rsidRPr="00D03F3E">
        <w:rPr>
          <w:rFonts w:ascii="Times New Roman" w:cs="Times New Roman"/>
          <w:color w:val="000000" w:themeColor="text1"/>
          <w:spacing w:val="0"/>
        </w:rPr>
        <w:softHyphen/>
        <w:t>вшей замену вторым пулемётом УБС. Одно</w:t>
      </w:r>
      <w:r w:rsidRPr="00D03F3E">
        <w:rPr>
          <w:rFonts w:ascii="Times New Roman" w:cs="Times New Roman"/>
          <w:color w:val="000000" w:themeColor="text1"/>
          <w:spacing w:val="0"/>
        </w:rPr>
        <w:softHyphen/>
        <w:t>временно механизм перезарядки МП-20 до</w:t>
      </w:r>
      <w:r w:rsidRPr="00D03F3E">
        <w:rPr>
          <w:rFonts w:ascii="Times New Roman" w:cs="Times New Roman"/>
          <w:color w:val="000000" w:themeColor="text1"/>
          <w:spacing w:val="0"/>
        </w:rPr>
        <w:softHyphen/>
        <w:t>полнили пневмомеханическим устройством, а баллоны со сжатым воздухом (для запуска двигателя) и аккумулятор расположили под верхним гаргротом фюзеляжа около киля.</w:t>
      </w:r>
    </w:p>
    <w:p w14:paraId="0AC0D0FE" w14:textId="77777777" w:rsidR="00124A4E" w:rsidRPr="00D03F3E" w:rsidRDefault="00124A4E"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Как показали госиспытания, проходившие с 17 по 28 апреля, техника пилотирования по сравнению с серийным Як-9 не измени</w:t>
      </w:r>
      <w:r w:rsidRPr="00D03F3E">
        <w:rPr>
          <w:rFonts w:ascii="Times New Roman" w:cs="Times New Roman"/>
          <w:color w:val="000000" w:themeColor="text1"/>
          <w:spacing w:val="0"/>
        </w:rPr>
        <w:softHyphen/>
        <w:t>лась, а секундный залп возрос в 1,25 раза. Самолёт мог более эффективно использо</w:t>
      </w:r>
      <w:r w:rsidRPr="00D03F3E">
        <w:rPr>
          <w:rFonts w:ascii="Times New Roman" w:cs="Times New Roman"/>
          <w:color w:val="000000" w:themeColor="text1"/>
          <w:spacing w:val="0"/>
        </w:rPr>
        <w:softHyphen/>
        <w:t>ваться как в воздушных боях, так и против наземных целей. Вес истребителя остался практически в прежних пределах.</w:t>
      </w:r>
    </w:p>
    <w:p w14:paraId="221E491D" w14:textId="77777777" w:rsidR="00124A4E" w:rsidRPr="00D03F3E" w:rsidRDefault="00124A4E"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Специалисты НИИ ВВС предложили по</w:t>
      </w:r>
      <w:r w:rsidRPr="00D03F3E">
        <w:rPr>
          <w:rFonts w:ascii="Times New Roman" w:cs="Times New Roman"/>
          <w:color w:val="000000" w:themeColor="text1"/>
          <w:spacing w:val="0"/>
        </w:rPr>
        <w:softHyphen/>
        <w:t>строить 100 - 150 машин для войсковых испытаний, но это пожелание так и осталось на бумаге (19103).</w:t>
      </w:r>
    </w:p>
    <w:p w14:paraId="7EE790C8" w14:textId="77777777" w:rsidR="00124A4E" w:rsidRPr="00D03F3E" w:rsidRDefault="00124A4E" w:rsidP="00D03F3E">
      <w:pPr>
        <w:spacing w:after="0" w:line="240" w:lineRule="auto"/>
        <w:jc w:val="both"/>
        <w:rPr>
          <w:rFonts w:ascii="Times New Roman" w:hAnsi="Times New Roman"/>
          <w:color w:val="000000" w:themeColor="text1"/>
          <w:sz w:val="16"/>
          <w:szCs w:val="16"/>
        </w:rPr>
      </w:pPr>
    </w:p>
    <w:p w14:paraId="14AA52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началось серийное производство Ла-5ФН - лучшего советского фронтового истребителя 1943 г. Внешне самолет отличался от Ла-5Ф с каплевидным фонарем длинным всасывающим патрубком над капотом двигателя. На Ла-5ФН стоял форсированный с непосредственным впрыском топлива в цилиндры мотор М-82ФН, его взлетная мощность "подросла" еще на 150 л. с. и составила 1850 л. с. Летные испытания Ла-5ФН проводил В.Л.Расторгуев, ведущим инженером был В.Я.Молочаев (4707).</w:t>
      </w:r>
    </w:p>
    <w:p w14:paraId="651E61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9457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марта 1943 года на все без исключения ЛаГГи-3 начали ставить приемники, а на каждом пятом самолете -приемопередатчики РСИ-4. Часть самолетов выпускалась в варианте ближнего разведчика и оборудовалась фотокамерой АФА-1, установленной в хвостовой части фюзеляжа. В середине 1943 года вооружение самолета усилили вторым пулеметом БС. На последних сериях винт ВИШ-61П заменили винтом ВИШ-105СВ, отличавшемся более плоской и широкой ступицей. На заводе № 31 работали над совершенствованием двигательного агрегата с целью улучшить скорость самолета. Предпринимались попытки поставить на истребитель двигатели М-106 и М-107, но, как уже говорилось выше, они закончились безрезультатно. Горбунов предпринял еще одну попытку улучшить летные качества ЛаГГа-3, установив на самолет двигатель М-105ПТ. Истребитель, получивший обозначение «объект 105» в октябре 1943 года прошел государственные испытания. Прежде всего в глаза бросалась каплевидная форма фонаря кабины. Вооружение самолета состояло из пушки ШВАК и пулемета БС с боекомплектом 160 и 200 выстрелов, соответственно. Взлетная масса самолета составила 2818 кг, максимальная скорость 612 км/ч (11749).</w:t>
      </w:r>
    </w:p>
    <w:p w14:paraId="2AFDCA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5EF0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марта 1943 на всех ЛаГГ-3 стали устанавливать приемники, а на каждом пятом самолете - комплектные приемо-передающие радиостанции РСИ-4. Часть машин выпустили в варианте ближнего разведчика с фотоаппаратом АФА-1 в хвостовой части фюзеляжа. С середины 1943 г. состав вооружения дополнили вторым пулеметом БС. На последних сериях винт ВИШ-61П заменили на ВИШ-105СВ с более широкими лопастями. При этом кок стал немного шире и приобрел более плоскую форму. На заводе № 31 продолжали пытаться усовершенствовать мотоустановку с целью повышения тяговооруженности истребителя. Работали над возможной установкой двигателей М-107 и М-106, но из этого ничего не получилось. В 1943 г. Горбунов предпринял последнюю попытку существенно улучшить характеристики ЛаГГ-3. Машину под обозначением "105" с мотором М-105ПФ предъявили на государственные испытания в октябре 1943 г. Первое, что бросалось в глаза, - отсутствие гаргрота за кабиной летчика. При вооружении, включавшем пушку ШВАК и пулемет БС с боезапасом соответственно 160 и 200 патронов, удалось довести полетный вес до 2818 кг, а максимальную скорость - до 612 км/ч (11983).</w:t>
      </w:r>
    </w:p>
    <w:p w14:paraId="063438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663BCB" w14:textId="77777777" w:rsidR="00DD601B" w:rsidRPr="00D03F3E" w:rsidRDefault="00DD601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марте 1943 в связи с появлением течи масла (в феврале 1943 г. в 21-м авиаполку во время эксплуатации самолетов ЛаГГ-3) управление ВВС КА было принято решение об ис</w:t>
      </w:r>
      <w:r w:rsidRPr="00D03F3E">
        <w:rPr>
          <w:color w:val="000000" w:themeColor="text1"/>
          <w:sz w:val="16"/>
          <w:szCs w:val="16"/>
        </w:rPr>
        <w:softHyphen/>
        <w:t>пытании на живучесть 1 самолета ЛаГГ-3 из опыт</w:t>
      </w:r>
      <w:r w:rsidRPr="00D03F3E">
        <w:rPr>
          <w:color w:val="000000" w:themeColor="text1"/>
          <w:sz w:val="16"/>
          <w:szCs w:val="16"/>
        </w:rPr>
        <w:softHyphen/>
        <w:t>ной серии.</w:t>
      </w:r>
    </w:p>
    <w:p w14:paraId="19108E13" w14:textId="77777777" w:rsidR="00DD601B" w:rsidRPr="00D03F3E" w:rsidRDefault="00DD601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связи с тем, что за это время на заводе № 153 проведены отстрелы на живучесть 2 Як-9, а также изготовлено значительное количество этих самоле</w:t>
      </w:r>
      <w:r w:rsidRPr="00D03F3E">
        <w:rPr>
          <w:color w:val="000000" w:themeColor="text1"/>
          <w:sz w:val="16"/>
          <w:szCs w:val="16"/>
        </w:rPr>
        <w:softHyphen/>
        <w:t>тов, испытание на живучесть самолета ЛаГГ-3 пред</w:t>
      </w:r>
      <w:r w:rsidRPr="00D03F3E">
        <w:rPr>
          <w:color w:val="000000" w:themeColor="text1"/>
          <w:sz w:val="16"/>
          <w:szCs w:val="16"/>
        </w:rPr>
        <w:softHyphen/>
        <w:t>ставляется нецелесообразным.</w:t>
      </w:r>
    </w:p>
    <w:p w14:paraId="2B2732A4" w14:textId="77777777" w:rsidR="00DD601B" w:rsidRPr="00D03F3E" w:rsidRDefault="00DD601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Тем более что недоброкачественность мотора завода № 466 может снова послужить поводом для дискредитации пушки ОКБ-16.</w:t>
      </w:r>
    </w:p>
    <w:p w14:paraId="19CE78D9" w14:textId="77777777" w:rsidR="00DD601B" w:rsidRPr="00D03F3E" w:rsidRDefault="00DD601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Прошу отменить решение об испытании на жи</w:t>
      </w:r>
      <w:r w:rsidRPr="00D03F3E">
        <w:rPr>
          <w:color w:val="000000" w:themeColor="text1"/>
          <w:sz w:val="16"/>
          <w:szCs w:val="16"/>
        </w:rPr>
        <w:softHyphen/>
        <w:t>вучесть самолета ЛаГГ-3 и дать указание о срочном проведении отстрела на живучесть серийного са</w:t>
      </w:r>
      <w:r w:rsidRPr="00D03F3E">
        <w:rPr>
          <w:color w:val="000000" w:themeColor="text1"/>
          <w:sz w:val="16"/>
          <w:szCs w:val="16"/>
        </w:rPr>
        <w:softHyphen/>
        <w:t>молета Як-9 с 37-мм пушкой ОКБ-16».</w:t>
      </w:r>
    </w:p>
    <w:p w14:paraId="20FEEA4F" w14:textId="77777777" w:rsidR="00DD601B" w:rsidRPr="00D03F3E" w:rsidRDefault="00DD601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Поставив на вооружение противотанковые ва</w:t>
      </w:r>
      <w:r w:rsidRPr="00D03F3E">
        <w:rPr>
          <w:color w:val="000000" w:themeColor="text1"/>
          <w:sz w:val="16"/>
          <w:szCs w:val="16"/>
        </w:rPr>
        <w:softHyphen/>
        <w:t>рианты истребителей (ЛаГГ-3, Як-9т) и штурмовиков Ил-2, советское командование всерьез рассчитыва</w:t>
      </w:r>
      <w:r w:rsidRPr="00D03F3E">
        <w:rPr>
          <w:color w:val="000000" w:themeColor="text1"/>
          <w:sz w:val="16"/>
          <w:szCs w:val="16"/>
        </w:rPr>
        <w:softHyphen/>
        <w:t>ло в летней кампании 1943 г. сокрушить брониро</w:t>
      </w:r>
      <w:r w:rsidRPr="00D03F3E">
        <w:rPr>
          <w:color w:val="000000" w:themeColor="text1"/>
          <w:sz w:val="16"/>
          <w:szCs w:val="16"/>
        </w:rPr>
        <w:softHyphen/>
        <w:t>ванный «зверинец» вермахта. Однако реальность оказалась более чем приземленной.</w:t>
      </w:r>
    </w:p>
    <w:p w14:paraId="6E6FAB7E" w14:textId="77777777" w:rsidR="00DD601B" w:rsidRPr="00D03F3E" w:rsidRDefault="00DD601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Основная проблема состояла в обеспечении точной стрельбы из пушек 11П по малоразмерным целям. Двухместный Ил-2 был неустойчив в про</w:t>
      </w:r>
      <w:r w:rsidRPr="00D03F3E">
        <w:rPr>
          <w:color w:val="000000" w:themeColor="text1"/>
          <w:sz w:val="16"/>
          <w:szCs w:val="16"/>
        </w:rPr>
        <w:softHyphen/>
        <w:t>дольном отношении в еще большей степени, чем одноместный Ил-2, и в силу этого стрельба из 11П сказывалась на полете самолета значительно сильнее.</w:t>
      </w:r>
    </w:p>
    <w:p w14:paraId="4D12F5F6" w14:textId="77777777" w:rsidR="00DD601B" w:rsidRPr="00D03F3E" w:rsidRDefault="00DD601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Эффективность стрельбы в воздухе из 11П с са</w:t>
      </w:r>
      <w:r w:rsidRPr="00D03F3E">
        <w:rPr>
          <w:color w:val="000000" w:themeColor="text1"/>
          <w:sz w:val="16"/>
          <w:szCs w:val="16"/>
        </w:rPr>
        <w:softHyphen/>
        <w:t>молета Ил-2 по немецким танкам практически ни</w:t>
      </w:r>
      <w:r w:rsidRPr="00D03F3E">
        <w:rPr>
          <w:color w:val="000000" w:themeColor="text1"/>
          <w:sz w:val="16"/>
          <w:szCs w:val="16"/>
        </w:rPr>
        <w:softHyphen/>
        <w:t>чем не отличалась от стрельбы из пушки Ш-37 и ха</w:t>
      </w:r>
      <w:r w:rsidRPr="00D03F3E">
        <w:rPr>
          <w:color w:val="000000" w:themeColor="text1"/>
          <w:sz w:val="16"/>
          <w:szCs w:val="16"/>
        </w:rPr>
        <w:softHyphen/>
        <w:t>рактеризовалась тем, что 52% попаданий снарядов по среднему танку и 73% попаданий по легкому танку выводили их из строя. При этом лишь в 43% вылетов получались попадания в танки, а число по</w:t>
      </w:r>
      <w:r w:rsidRPr="00D03F3E">
        <w:rPr>
          <w:color w:val="000000" w:themeColor="text1"/>
          <w:sz w:val="16"/>
          <w:szCs w:val="16"/>
        </w:rPr>
        <w:softHyphen/>
        <w:t>паданий к израсходованному боекомплекту не пре</w:t>
      </w:r>
      <w:r w:rsidRPr="00D03F3E">
        <w:rPr>
          <w:color w:val="000000" w:themeColor="text1"/>
          <w:sz w:val="16"/>
          <w:szCs w:val="16"/>
        </w:rPr>
        <w:softHyphen/>
        <w:t>вышало 3% (17500).</w:t>
      </w:r>
    </w:p>
    <w:p w14:paraId="6B72BB80" w14:textId="77777777" w:rsidR="00DD601B" w:rsidRPr="00D03F3E" w:rsidRDefault="00DD601B" w:rsidP="00D03F3E">
      <w:pPr>
        <w:pStyle w:val="12a"/>
        <w:shd w:val="clear" w:color="auto" w:fill="auto"/>
        <w:spacing w:after="0" w:line="240" w:lineRule="auto"/>
        <w:jc w:val="both"/>
        <w:rPr>
          <w:color w:val="000000" w:themeColor="text1"/>
          <w:sz w:val="16"/>
          <w:szCs w:val="16"/>
        </w:rPr>
      </w:pPr>
    </w:p>
    <w:p w14:paraId="2B9015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был утвержден отчет по совместным 50 часовым испытаниям мотора АШ-83 (735,13).</w:t>
      </w:r>
    </w:p>
    <w:p w14:paraId="518B82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26C5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Н.Н.П. предъявил в НИИ ВВС эскизный проект модифицированного И-185 с М-71, рассчитанный на скорость 710 км/ч (1204,134).</w:t>
      </w:r>
    </w:p>
    <w:p w14:paraId="1A6BDC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098A70" w14:textId="77777777" w:rsidR="00DD601B" w:rsidRPr="00D03F3E"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марте 1943 г., т.к. возвращение И-185 с фронта задерживалось, чтобы продолжить полеты московский филиал завод №51 ускоренным темпом наконец-то завершил растянувшийся на 17 месяцев ремонт 2-го опытного самолета №6202. На нем можно было хотя бы продолжать испытания М-71.</w:t>
      </w:r>
    </w:p>
    <w:p w14:paraId="0410AAD5" w14:textId="77777777" w:rsidR="00DD601B" w:rsidRPr="00D03F3E"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Но к тому времени у Стефановского случилась еще одна вынужденная посадка - на самолете другого типа, и она закончилась гораздо хуже. Петр Михайлович оказался в госпитале и посоветовал Поликарпову пригласить для продолжения испытаний И-185 своего товарища - не менее опытного летчика НИИ ВВС В.А. Степанченка (17737).</w:t>
      </w:r>
    </w:p>
    <w:p w14:paraId="0E764D14" w14:textId="77777777" w:rsidR="00DD601B" w:rsidRPr="00D03F3E" w:rsidRDefault="00DD601B" w:rsidP="00D03F3E">
      <w:pPr>
        <w:spacing w:after="0" w:line="240" w:lineRule="auto"/>
        <w:jc w:val="both"/>
        <w:rPr>
          <w:rFonts w:ascii="Times New Roman" w:eastAsia="Times New Roman" w:hAnsi="Times New Roman"/>
          <w:color w:val="000000" w:themeColor="text1"/>
          <w:sz w:val="16"/>
          <w:szCs w:val="16"/>
          <w:lang w:eastAsia="ru-RU"/>
        </w:rPr>
      </w:pPr>
    </w:p>
    <w:p w14:paraId="6B77A5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прошел испытания, поступивший в 747 АП ДД в январе 1943 первый серийный Пе-8 с М-82 N 42058 (1792,6).</w:t>
      </w:r>
    </w:p>
    <w:p w14:paraId="681014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F682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серийные машины Пе-2 развивали на высоте 3200-3400 м максимальную скорость всего 475-482 км/ч (без наружных подвесок). Из строевых частей продолжали поступать жалобы на различные дефекты самолета, в частности, на неудачный фонарь кабины. Путилов предпринимал соответствующие меры, но было уже поздно. Наркомат авиапромышленности принял решение сменить главного конструктора ОКО-22. Новым "отчимом" для "пешки" стал В.М. Мясищев (12042).</w:t>
      </w:r>
    </w:p>
    <w:p w14:paraId="4AF644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BFDE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закончились гос. испытания Пе-2 М-82 АВ-5Л-118А - переделанного N 19/31, которые шли с января 1943. Хрипков выполнил 50 полетов на аэродроме Кольцово и подтвердил результаты заводских испытаний с 21 июля по конец сентября 1942. По сравнению с серийной машиной с М-105ПФ выпуска февраля 1943 скорость у земли была 458 км/час, т.е. только на 8 км больше, но на высоте - значительно лучше (2205,37).</w:t>
      </w:r>
    </w:p>
    <w:p w14:paraId="2FC195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8038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марте 1943 г. ВВС заказали уже 100 самолетов Пе-2 в учебном варианте с темпом производства 10 машин в месяц (12042). </w:t>
      </w:r>
    </w:p>
    <w:p w14:paraId="41F2BE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808A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самолет Пе-2 № 19/78 был испытан в третий раз, причем на нем дополнительно сделали следующие изменения: установили индивидуальные реактивные выхлопные патрубки, а вместо жалюзи на входе тоннелей водоради- аторов - установили заслонки типа ЦАГИ, изменили форму входного отверстия тоннелей водорадиаторов, рамку антенны РПК-10 перенесли внутрь фанерного кока Ф-1. Крыло машины зашпаклевали и в третий раз окрасили. С такими улучшениями самолет добавил в скорости еше примерно 20 км/ч у земли (469 км/ч) и 16 км/ч на второй границе высотности (4650 м), перекрыв результат головного серийного Пе-2 на 7 км/ч.</w:t>
      </w:r>
    </w:p>
    <w:p w14:paraId="1644C8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Полностью внедрить в серию все предложенные ЦАГИ изменения не удалось (да и не все они оправдали себя), однако часть улучшений была внедрена в производство с августа 1943 г. (главным образом, начиная с 205-й серии,). Помимо указанных выше изменений с того же времени на самолеты Пе- 2 стали устанавливать обтекатели на тормозные решетки и новый однолопастныи компенсатор турели ВУБ-1, а вот от шпатлевки крыла с целью улучшения качества поверхности пришлось отказаться - покрытие на тонкой металлической обшивке оказалось нестойким и начинало крошиться через 3-5 ч полета.</w:t>
      </w:r>
    </w:p>
    <w:p w14:paraId="67DE6E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этого на 205-й серии сделали другую нижнюю крышку капота мотора, поставили новые всасывающие патрубки, переместили вперед мачту радиоантенны вместе с трубкой приемника воздушного давления, улучшили стыковку фонаря и турели ВУБ-1. Начиная с этой же серии на 100 самолетах установили индивидуальные реактивные выхлопные патрубки (по два одиночных и два спаренных с каждой стороны) вместо стоявших ранее коллекторов. Чуть позднее, на 211-й серии, убрали внутрь крыла балки наружных бомбодержателей, ранее располагавшиеся в выступах под крылом (12042).</w:t>
      </w:r>
    </w:p>
    <w:p w14:paraId="5B306C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B854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марта 1943 г. бомбардировщики Пе-2 стали выпускаться исключительное "пушечным" мотором М-105ПФ, что привело к уменьшению высотности "пешек" примерно на 1000 м. Серийный самолет № 19/205 с полетным весом 8550 кг на испытаниях в Л И И в августе 1943 г. развил на высоте 3700 м максимальную скорость полета 521 км/ч; его моторы работали на винты марки ВИШ-61Б, обычные для "пешек" того времени. Между тем, по результатам испытаний самолета № 5/118 было уже известно, что из трех опробованных винтов (ВИШ-61Б диаметром 3,2 м, ВИШ-61П и ВИШ-105СВ диаметром 3 м) первый обеспечивал наихудшие скоростные показатели. Однако пушечный мотор имел иное, чем М-105РА, передаточное число редуктора, и поэтому для увеличения максимальной скорости оптимальным являлся винт ВИШ-61П. Было решено устанавливать на улучшенных машинах именно эти винты, что реализовывапось с 211-й серии. Но почти сразу же выяснилось, что винты ВИШ-61 обеих модификаций не обеспечивали горизонтального полета Пе-2 на одном моторе (в случае отказа второго).</w:t>
      </w:r>
    </w:p>
    <w:p w14:paraId="199B87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построенные по так называемой "обратной" схеме винты обладали другим неприятным свойством - они давали в ряде случаев раскрутку вала двигателя до неприемлемо высоких оборотов при вводе самолета в пикирование, о чем уже говорилось ранее. Поскольку для отклонения лопастей винтов на большой шаг "обратная" схема нуждалась в притоке масла, а отрицательная перегрузка при вводе самолета в пикирование приводила к его отливу, то в результате уменьшался угол установки лопастей и произвольно увеличивалось число оборотов винта и мотора. Проанализировав ситуацию, специалисты завода № 22 отметили, что винты ВИШ-105СВ, собранные по "прямой" схеме (отлив масла от втулки винта в этом случае приводил к увеличению угла установки лопастей), не давали раскрутки при пикировании, а потеря максимальной скорости по сравнению с ВИШ-61 П оказалась незначительной и составила всего 2-3 км/ч. Кроме того, со "сто пятыми" винтами Пе-2 мог идти на одном моторе без снижения на высотах до 1000 м, поэтому ВИШ-105СВ с 246-й серии стали устанавливать на самолеты во всевозрастающих количествах (12042).</w:t>
      </w:r>
    </w:p>
    <w:p w14:paraId="7EB4EF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4884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майор Хрипков закончил начавшиеся в январе 1943 госиспытания Пе-2 М-82, выполнив 50 полетов с аэродрома Кольцово. Они в основном подтвердили результаты заводских испытаний. Если у земли самолет лишь ненамного (458 км/ч против 451 км/ч) опережал машину с М-Ю5ПФ. выпушенную в феврале 1943 г., то уже на средних высотах преимущество в скорости значительно увеличивалось. Здесь новый вариант Пе-2 обгонял не только отечественные двухмоторные самолеты с двигателями водяного охлаждения, но и американский "Бостон" III, являвшийся вто время одним из самых скоростных серийных средних бомбардировщиков мира. За боевой разворот удавалось набрать 800 м вместо прежних 450-500 м. Большая тяга моторов резко сократила разбег - до 490 м по сравнению с 620 м у серийного самолета с М-105РА. Несколько улучшились продольная и путевая устойчивости самолета. Новый вариант свободно летал на одном моторе.</w:t>
      </w:r>
    </w:p>
    <w:p w14:paraId="3F07D6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недостатков отметили, пожалуй, не меньше, чем достоинств. Громоздкие капоты моторов ухудшили обзор вбок из пилотской кабины. Очень низкой оказалась надежность новой мотоустановки, в эксплуатации она была сложной, капризной и иногда просто опасной. Здесь проявились и не- доведенность самого М-82, и ошибки в конструкции установки, и технологические дефекты ряда кустарно изготовленных опытных агрегатов. Формально моторесурс М-82 выпуска завода № 19 составлял 100 ч, но постоянно отказывали свечи ВГ-12. При испытаниях в НИИ ВВС на машине сменили 210 свечей!</w:t>
      </w:r>
    </w:p>
    <w:p w14:paraId="2ACD76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"Нормальный" Пе-2 имел довольно большую посадочную скорость, а у более тяжелого варианта с М-82 она еще увеличилась. Неустойчивая работа моторов на малом газу заставила выполнять посадку с выключенными двигателями. Для мапоквачифициро- ванных летчиков (а такие на фронте составляли большинство) это было опасно, поскольку исключалось "подтягивание" мотором и уход в случае необходимости на второй круг. И, наконец, имелся целый ряд эксплуатационных недостатков. Механики жаловались на то, что трудно подобраться к сливным кранам маслобаков. Из-за неудачной конструкции мотогондол моторы очень долго прогревались перед вылетом; зимой на эту процедуру уходило до 3-4 ч. Новые двигатели оказались и более "прожорливыми", поэтому дальность полета по сравнению с обычным Пе-2 существенно уменьшилась.</w:t>
      </w:r>
    </w:p>
    <w:p w14:paraId="27517B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достоинства Пе-2 с М-82 на этом этапе перевесили недостатки, и в заключении акта по испытаниям ведущий инженер инженер-подполковник Шашков отметил:</w:t>
      </w:r>
    </w:p>
    <w:p w14:paraId="7BECFF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"Учитывая возможность доводки ВМГ и устранения всех основных дефектов при серийном производстве, рекомендовать постройку малой серии самолетов Пе-2 с М-82...</w:t>
      </w:r>
    </w:p>
    <w:p w14:paraId="4E1DFD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Рекомендовать вооружить один из бомбардировочных полков самолетами Пе-2 с М-82 и провести войсковые испытания. Головной серийный самолет представить на государственные испытания" (12042).</w:t>
      </w:r>
    </w:p>
    <w:p w14:paraId="6F8150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07D4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приказом НКАП № 144сс опытно-конструкторскому отделу завода №22 было выдано задание на разработку экспериментального варианта Пе-2 с реактивной установкой, смонтированной в хвостовой части фюзеляжа. С инициативой выступила конструкторская группа заключенных (руководителем ее был В.П.Глушко, а одним из ведущих специалистов - С.П. Королев), созданная на моторном заводе №16 под эгидой НКВД (4476).</w:t>
      </w:r>
    </w:p>
    <w:p w14:paraId="7A7B7E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9EF6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С.П.К. как главный конструктор реактивной установки РУ-1 для самолета Пе-2 подписал распределение работ с заводом № 22 (АММК, ГИК-159) (10676).</w:t>
      </w:r>
    </w:p>
    <w:p w14:paraId="63689D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65E9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вышел приказ НКАП:</w:t>
      </w:r>
    </w:p>
    <w:p w14:paraId="43B356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форсирования работ по постройке и доводке реактивных двигателей, разработанных в ОКБ завода № 16, директору завода № 16 Лукину М.М. и начальнику ОКБ-16 Бекетову построить ЖРД РД-1 по проекту 4 Спецотдела НКВД, в следующие сроки: 1-й РД-1 ? 1.04.1943, 2-й РД-1 ? 1.05.1943, 3-й РД-1 ? 1.08.1943. Стендовые испытания провести в июне 1943 г.</w:t>
      </w:r>
    </w:p>
    <w:p w14:paraId="51FB39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Директору завода № 22 Окулову и Главному конструктору Путилову изготовить и сдать на заводские летные испытания Пе-2 с однокамерной установкой РД-1 к </w:t>
      </w:r>
      <w:r w:rsidRPr="00D03F3E">
        <w:rPr>
          <w:rFonts w:ascii="Times New Roman" w:hAnsi="Times New Roman"/>
          <w:color w:val="000000" w:themeColor="text1"/>
          <w:sz w:val="16"/>
          <w:szCs w:val="16"/>
        </w:rPr>
        <w:lastRenderedPageBreak/>
        <w:t>15.04.1943.</w:t>
      </w:r>
    </w:p>
    <w:p w14:paraId="2DE082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Директору завода № 16 Лукину изготовить два мотора М-105Р с приводами для реактивного двигателя и поставить их заводу № 22 к 1.04.1943» (12049).</w:t>
      </w:r>
    </w:p>
    <w:p w14:paraId="190CB4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64B9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марта 1943 г. в Москве начали разработку чертежей мотоустановки Ту-2 с использованием М-82ФН. Но двигатели, еще не запущенные в массовое производство, несколько запоздали (11988).</w:t>
      </w:r>
    </w:p>
    <w:p w14:paraId="0E2B89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AAB38D" w14:textId="77777777" w:rsidR="005B485D" w:rsidRPr="00D03F3E" w:rsidRDefault="005B485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С марта 1943 г. в Москве начали разра</w:t>
      </w:r>
      <w:r w:rsidRPr="00D03F3E">
        <w:rPr>
          <w:rFonts w:ascii="Times New Roman" w:hAnsi="Times New Roman"/>
          <w:color w:val="0070C0"/>
          <w:sz w:val="16"/>
          <w:szCs w:val="16"/>
          <w:lang w:eastAsia="ru-RU" w:bidi="ru-RU"/>
        </w:rPr>
        <w:softHyphen/>
        <w:t>ботку чертежей мотоустановки Ту-2 с ис</w:t>
      </w:r>
      <w:r w:rsidRPr="00D03F3E">
        <w:rPr>
          <w:rFonts w:ascii="Times New Roman" w:hAnsi="Times New Roman"/>
          <w:color w:val="0070C0"/>
          <w:sz w:val="16"/>
          <w:szCs w:val="16"/>
          <w:lang w:eastAsia="ru-RU" w:bidi="ru-RU"/>
        </w:rPr>
        <w:softHyphen/>
        <w:t>пользованием М-82ФН. Но двигатели, еще не запущенные в массовое производство, несколько запоздали.</w:t>
      </w:r>
    </w:p>
    <w:p w14:paraId="63B6F193" w14:textId="77777777" w:rsidR="005B485D" w:rsidRPr="00D03F3E" w:rsidRDefault="005B485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Лишь 17 июля 1943 г. самолет «105В» совершил первый полет с ними. Ис</w:t>
      </w:r>
      <w:r w:rsidRPr="00D03F3E">
        <w:rPr>
          <w:rFonts w:ascii="Times New Roman" w:hAnsi="Times New Roman"/>
          <w:color w:val="0070C0"/>
          <w:sz w:val="16"/>
          <w:szCs w:val="16"/>
          <w:lang w:eastAsia="ru-RU" w:bidi="ru-RU"/>
        </w:rPr>
        <w:softHyphen/>
        <w:t>пытания велись до 29 июля экипажем И.И. Шелеста. Результаты оказались бо</w:t>
      </w:r>
      <w:r w:rsidRPr="00D03F3E">
        <w:rPr>
          <w:rFonts w:ascii="Times New Roman" w:hAnsi="Times New Roman"/>
          <w:color w:val="0070C0"/>
          <w:sz w:val="16"/>
          <w:szCs w:val="16"/>
          <w:lang w:eastAsia="ru-RU" w:bidi="ru-RU"/>
        </w:rPr>
        <w:softHyphen/>
        <w:t>лее чем удовлетворительными. У земли скорость поднялась до 528 км/ч, а на вы</w:t>
      </w:r>
      <w:r w:rsidRPr="00D03F3E">
        <w:rPr>
          <w:rFonts w:ascii="Times New Roman" w:hAnsi="Times New Roman"/>
          <w:color w:val="0070C0"/>
          <w:sz w:val="16"/>
          <w:szCs w:val="16"/>
          <w:lang w:eastAsia="ru-RU" w:bidi="ru-RU"/>
        </w:rPr>
        <w:softHyphen/>
        <w:t>соте 5050 м она достигла 568 км/ч. По</w:t>
      </w:r>
      <w:r w:rsidRPr="00D03F3E">
        <w:rPr>
          <w:rFonts w:ascii="Times New Roman" w:hAnsi="Times New Roman"/>
          <w:color w:val="0070C0"/>
          <w:sz w:val="16"/>
          <w:szCs w:val="16"/>
          <w:lang w:eastAsia="ru-RU" w:bidi="ru-RU"/>
        </w:rPr>
        <w:softHyphen/>
        <w:t>следняя цифра на 14 км/ч превышала замеренную у нас максимальную ско</w:t>
      </w:r>
      <w:r w:rsidRPr="00D03F3E">
        <w:rPr>
          <w:rFonts w:ascii="Times New Roman" w:hAnsi="Times New Roman"/>
          <w:color w:val="0070C0"/>
          <w:sz w:val="16"/>
          <w:szCs w:val="16"/>
          <w:lang w:eastAsia="ru-RU" w:bidi="ru-RU"/>
        </w:rPr>
        <w:softHyphen/>
        <w:t>рость немецкого истребителя Мессер</w:t>
      </w:r>
      <w:r w:rsidRPr="00D03F3E">
        <w:rPr>
          <w:rFonts w:ascii="Times New Roman" w:hAnsi="Times New Roman"/>
          <w:color w:val="0070C0"/>
          <w:sz w:val="16"/>
          <w:szCs w:val="16"/>
          <w:lang w:eastAsia="ru-RU" w:bidi="ru-RU"/>
        </w:rPr>
        <w:softHyphen/>
        <w:t xml:space="preserve">шмитт </w:t>
      </w:r>
      <w:r w:rsidRPr="00D03F3E">
        <w:rPr>
          <w:rFonts w:ascii="Times New Roman" w:hAnsi="Times New Roman"/>
          <w:color w:val="0070C0"/>
          <w:sz w:val="16"/>
          <w:szCs w:val="16"/>
          <w:lang w:val="en-US" w:bidi="en-US"/>
        </w:rPr>
        <w:t>Bf</w:t>
      </w:r>
      <w:r w:rsidRPr="00D03F3E">
        <w:rPr>
          <w:rFonts w:ascii="Times New Roman" w:hAnsi="Times New Roman"/>
          <w:color w:val="0070C0"/>
          <w:sz w:val="16"/>
          <w:szCs w:val="16"/>
          <w:lang w:bidi="en-US"/>
        </w:rPr>
        <w:t xml:space="preserve"> 109</w:t>
      </w:r>
      <w:r w:rsidRPr="00D03F3E">
        <w:rPr>
          <w:rFonts w:ascii="Times New Roman" w:hAnsi="Times New Roman"/>
          <w:color w:val="0070C0"/>
          <w:sz w:val="16"/>
          <w:szCs w:val="16"/>
          <w:lang w:val="en-US" w:bidi="en-US"/>
        </w:rPr>
        <w:t>F</w:t>
      </w:r>
      <w:r w:rsidRPr="00D03F3E">
        <w:rPr>
          <w:rFonts w:ascii="Times New Roman" w:hAnsi="Times New Roman"/>
          <w:color w:val="0070C0"/>
          <w:sz w:val="16"/>
          <w:szCs w:val="16"/>
          <w:lang w:bidi="en-US"/>
        </w:rPr>
        <w:t xml:space="preserve">. </w:t>
      </w:r>
      <w:r w:rsidRPr="00D03F3E">
        <w:rPr>
          <w:rFonts w:ascii="Times New Roman" w:hAnsi="Times New Roman"/>
          <w:color w:val="0070C0"/>
          <w:sz w:val="16"/>
          <w:szCs w:val="16"/>
          <w:lang w:eastAsia="ru-RU" w:bidi="ru-RU"/>
        </w:rPr>
        <w:t>Правда, у немцев мо</w:t>
      </w:r>
      <w:r w:rsidRPr="00D03F3E">
        <w:rPr>
          <w:rFonts w:ascii="Times New Roman" w:hAnsi="Times New Roman"/>
          <w:color w:val="0070C0"/>
          <w:sz w:val="16"/>
          <w:szCs w:val="16"/>
          <w:lang w:eastAsia="ru-RU" w:bidi="ru-RU"/>
        </w:rPr>
        <w:softHyphen/>
        <w:t xml:space="preserve">дификация </w:t>
      </w:r>
      <w:r w:rsidRPr="00D03F3E">
        <w:rPr>
          <w:rFonts w:ascii="Times New Roman" w:hAnsi="Times New Roman"/>
          <w:color w:val="0070C0"/>
          <w:sz w:val="16"/>
          <w:szCs w:val="16"/>
          <w:lang w:val="en-US" w:bidi="en-US"/>
        </w:rPr>
        <w:t>F</w:t>
      </w:r>
      <w:r w:rsidRPr="00D03F3E">
        <w:rPr>
          <w:rFonts w:ascii="Times New Roman" w:hAnsi="Times New Roman"/>
          <w:color w:val="0070C0"/>
          <w:sz w:val="16"/>
          <w:szCs w:val="16"/>
          <w:lang w:bidi="en-US"/>
        </w:rPr>
        <w:t xml:space="preserve"> </w:t>
      </w:r>
      <w:r w:rsidRPr="00D03F3E">
        <w:rPr>
          <w:rFonts w:ascii="Times New Roman" w:hAnsi="Times New Roman"/>
          <w:color w:val="0070C0"/>
          <w:sz w:val="16"/>
          <w:szCs w:val="16"/>
          <w:lang w:eastAsia="ru-RU" w:bidi="ru-RU"/>
        </w:rPr>
        <w:t xml:space="preserve">уже вытеснялась новой </w:t>
      </w:r>
      <w:r w:rsidRPr="00D03F3E">
        <w:rPr>
          <w:rFonts w:ascii="Times New Roman" w:hAnsi="Times New Roman"/>
          <w:color w:val="0070C0"/>
          <w:sz w:val="16"/>
          <w:szCs w:val="16"/>
          <w:lang w:val="en-US" w:bidi="en-US"/>
        </w:rPr>
        <w:t>G</w:t>
      </w:r>
      <w:r w:rsidRPr="00D03F3E">
        <w:rPr>
          <w:rFonts w:ascii="Times New Roman" w:hAnsi="Times New Roman"/>
          <w:color w:val="0070C0"/>
          <w:sz w:val="16"/>
          <w:szCs w:val="16"/>
          <w:lang w:bidi="en-US"/>
        </w:rPr>
        <w:t xml:space="preserve"> </w:t>
      </w:r>
      <w:r w:rsidRPr="00D03F3E">
        <w:rPr>
          <w:rFonts w:ascii="Times New Roman" w:hAnsi="Times New Roman"/>
          <w:color w:val="0070C0"/>
          <w:sz w:val="16"/>
          <w:szCs w:val="16"/>
          <w:lang w:eastAsia="ru-RU" w:bidi="ru-RU"/>
        </w:rPr>
        <w:t>с более высокими данными, но все равно Ту-2, безусловно, являлся самым быстро</w:t>
      </w:r>
      <w:r w:rsidRPr="00D03F3E">
        <w:rPr>
          <w:rFonts w:ascii="Times New Roman" w:hAnsi="Times New Roman"/>
          <w:color w:val="0070C0"/>
          <w:sz w:val="16"/>
          <w:szCs w:val="16"/>
          <w:lang w:eastAsia="ru-RU" w:bidi="ru-RU"/>
        </w:rPr>
        <w:softHyphen/>
        <w:t>ходным бомбардировщиком советских ВВС. Он летал быстрее и Пе-2, и Ил-4, и американского Дуглас А-20В. 10 августа Туполев доложил о достигнутых резуль</w:t>
      </w:r>
      <w:r w:rsidRPr="00D03F3E">
        <w:rPr>
          <w:rFonts w:ascii="Times New Roman" w:hAnsi="Times New Roman"/>
          <w:color w:val="0070C0"/>
          <w:sz w:val="16"/>
          <w:szCs w:val="16"/>
          <w:lang w:eastAsia="ru-RU" w:bidi="ru-RU"/>
        </w:rPr>
        <w:softHyphen/>
        <w:t>татах Сталину.</w:t>
      </w:r>
    </w:p>
    <w:p w14:paraId="7C5E8DEF" w14:textId="77777777" w:rsidR="005B485D" w:rsidRPr="00D03F3E" w:rsidRDefault="005B485D" w:rsidP="00D03F3E">
      <w:pPr>
        <w:spacing w:after="0" w:line="240" w:lineRule="auto"/>
        <w:jc w:val="both"/>
        <w:rPr>
          <w:rFonts w:ascii="Times New Roman" w:hAnsi="Times New Roman"/>
          <w:color w:val="0070C0"/>
          <w:sz w:val="16"/>
          <w:szCs w:val="16"/>
          <w:lang w:eastAsia="ru-RU" w:bidi="ru-RU"/>
        </w:rPr>
      </w:pPr>
      <w:r w:rsidRPr="00D03F3E">
        <w:rPr>
          <w:rFonts w:ascii="Times New Roman" w:hAnsi="Times New Roman"/>
          <w:color w:val="0070C0"/>
          <w:sz w:val="16"/>
          <w:szCs w:val="16"/>
          <w:lang w:eastAsia="ru-RU" w:bidi="ru-RU"/>
        </w:rPr>
        <w:t>Успех был неоспорим. Но еще до пер</w:t>
      </w:r>
      <w:r w:rsidRPr="00D03F3E">
        <w:rPr>
          <w:rFonts w:ascii="Times New Roman" w:hAnsi="Times New Roman"/>
          <w:color w:val="0070C0"/>
          <w:sz w:val="16"/>
          <w:szCs w:val="16"/>
          <w:lang w:eastAsia="ru-RU" w:bidi="ru-RU"/>
        </w:rPr>
        <w:softHyphen/>
        <w:t>вого полета Ту-2 с М-82ФН руководство страны уверилось в том, что «младенче</w:t>
      </w:r>
      <w:r w:rsidRPr="00D03F3E">
        <w:rPr>
          <w:rFonts w:ascii="Times New Roman" w:hAnsi="Times New Roman"/>
          <w:color w:val="0070C0"/>
          <w:sz w:val="16"/>
          <w:szCs w:val="16"/>
          <w:lang w:eastAsia="ru-RU" w:bidi="ru-RU"/>
        </w:rPr>
        <w:softHyphen/>
        <w:t>ские болезни» бомбардировщика пра</w:t>
      </w:r>
      <w:r w:rsidRPr="00D03F3E">
        <w:rPr>
          <w:rFonts w:ascii="Times New Roman" w:hAnsi="Times New Roman"/>
          <w:color w:val="0070C0"/>
          <w:sz w:val="16"/>
          <w:szCs w:val="16"/>
          <w:lang w:eastAsia="ru-RU" w:bidi="ru-RU"/>
        </w:rPr>
        <w:softHyphen/>
        <w:t>ктически преодолены. 17 июля 1943 г. по</w:t>
      </w:r>
      <w:r w:rsidRPr="00D03F3E">
        <w:rPr>
          <w:rFonts w:ascii="Times New Roman" w:hAnsi="Times New Roman"/>
          <w:color w:val="0070C0"/>
          <w:sz w:val="16"/>
          <w:szCs w:val="16"/>
          <w:lang w:eastAsia="ru-RU" w:bidi="ru-RU"/>
        </w:rPr>
        <w:softHyphen/>
        <w:t>явилось постановление ГКО о запуске Ту-2 с этими двигателями в производство на заводе №23 (21060).</w:t>
      </w:r>
    </w:p>
    <w:p w14:paraId="5277FB7D" w14:textId="77777777" w:rsidR="005B485D" w:rsidRPr="00D03F3E" w:rsidRDefault="005B485D" w:rsidP="00D03F3E">
      <w:pPr>
        <w:spacing w:after="0" w:line="240" w:lineRule="auto"/>
        <w:jc w:val="both"/>
        <w:rPr>
          <w:rFonts w:ascii="Times New Roman" w:hAnsi="Times New Roman"/>
          <w:color w:val="0070C0"/>
          <w:sz w:val="16"/>
          <w:szCs w:val="16"/>
        </w:rPr>
      </w:pPr>
    </w:p>
    <w:p w14:paraId="374EB4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года в НИН ВВС испытывали DB -7С, доработанный заводом № 81 в торпедоносец. Первые переделки "Бостонов" в торпедоносцы выполняли на базе бомбардировщиков А-20В и DB-7C. Для того, чтобы самолет мог нести торпеды, на бортах слева и справа в нижней части фюзеляжа под крылом ставились так называемые торпедные мосты. Они представляли собой двутавровую балку (часто сваренную или склепанную из двух швеллеров) с деревянными обтекателями на концах, прикрепленную к фюзеляжу системой подкосов. Теоретически таким способом можно было брать две торпеды (и на близкие расстояния с крепкого грунта так иногда летали), но обычно вешали одну торпеду с правого борта. Торпедные мосты делали как прямо в частях, так и в различных мастерских и на заводах. Американские подкрыльные бомбодержатели в этом случае снимались. В данном случае, самолет имел советское вооружение из четырех крупнокалиберных пулеметов. Под крылом у бортов фюзеляжа разместили торпедные мосты с торпедодержателями Т-18, изготовлявшимися заводом № 43. У штурмана поставили советский бомбосбрасыватель ЭСБР-З и торпедный прицел ПТН-5. Испытывал машину майор С.Б.Рейдель. По сравнению с обычным бомбардировщиком торпедоносец стал более инертен, но даже с двумя торпедами DB-7C оказался проще в пилотировании, чем Ил-4 с одной. Выявились вибрации торпедной подвески на максимальной скорости, но с этим дефектом впоследствии успешно справились. Однако массовой переделке в основном подвергались не DB-7C, а более поздние A-20G (3457,107).</w:t>
      </w:r>
    </w:p>
    <w:p w14:paraId="616310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8AEB6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Д-11 под маркой М-10 включили в план кон</w:t>
      </w:r>
      <w:r w:rsidRPr="00D03F3E">
        <w:rPr>
          <w:rFonts w:ascii="Times New Roman" w:hAnsi="Times New Roman"/>
          <w:color w:val="000000" w:themeColor="text1"/>
          <w:sz w:val="16"/>
          <w:szCs w:val="16"/>
        </w:rPr>
        <w:softHyphen/>
        <w:t>структорского бюро завода № 154 в Андижане, но никакой информации о работах по этой теме нет.</w:t>
      </w:r>
    </w:p>
    <w:p w14:paraId="5C7628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Характеристики:</w:t>
      </w:r>
    </w:p>
    <w:p w14:paraId="3BF8208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5-цшиндровый звездообразный дизель, четырехтактный, воздушного охлаждения, безредукторный;</w:t>
      </w:r>
    </w:p>
    <w:p w14:paraId="3903B3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объем 9,8 л;</w:t>
      </w:r>
    </w:p>
    <w:p w14:paraId="5E12CF9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диаметр цилиндра/ход поршня 125/160 мм;</w:t>
      </w:r>
    </w:p>
    <w:p w14:paraId="12B3D39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степень сжатия 15,5;</w:t>
      </w:r>
    </w:p>
    <w:p w14:paraId="17C81C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мощность 100/120 л.с. (по заданию ПО/130 л.с., позже снизили до 105/125 л.с.);</w:t>
      </w:r>
    </w:p>
    <w:p w14:paraId="72EB9E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192 кг (по другим данным, 200 кг) (11852).</w:t>
      </w:r>
    </w:p>
    <w:p w14:paraId="54386B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7A405F"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завод №290 был закрыт, а его сотрудники и оборудование распределены между другими авиазаводами. По распоряжению правительства завод №290 эвакуировался в Билимбай на Урал. Туда были вывезены недостроенный АК, А-15 и вернувшиеся с фронта А-7-ЗА. На новом месте предполагалось отремонтировать и достроить автожиры, развернуть их серийное производство, однако ничего этого осуществить не удалось. Первая в нашей стране попытка создания специализированного завода винтокрылых летательных аппаратов закончилась (15533).</w:t>
      </w:r>
    </w:p>
    <w:p w14:paraId="54044198" w14:textId="77777777" w:rsidR="00C57815" w:rsidRPr="00D03F3E" w:rsidRDefault="00C57815" w:rsidP="00D03F3E">
      <w:pPr>
        <w:spacing w:after="0" w:line="240" w:lineRule="auto"/>
        <w:jc w:val="both"/>
        <w:rPr>
          <w:rFonts w:ascii="Times New Roman" w:hAnsi="Times New Roman"/>
          <w:color w:val="000000" w:themeColor="text1"/>
          <w:sz w:val="16"/>
          <w:szCs w:val="16"/>
        </w:rPr>
      </w:pPr>
    </w:p>
    <w:p w14:paraId="425550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заводу № 500 выдали задание на разработку М-30Д, форсированный тип для штурмовика, мощность 1750/2000 л.с.выдали. Данных о проектировании и постройке нет (11852).</w:t>
      </w:r>
    </w:p>
    <w:p w14:paraId="5DF237D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5473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завод № 293 закончил снятие летных харак</w:t>
      </w:r>
      <w:r w:rsidRPr="00D03F3E">
        <w:rPr>
          <w:rFonts w:ascii="Times New Roman" w:hAnsi="Times New Roman"/>
          <w:color w:val="000000" w:themeColor="text1"/>
          <w:sz w:val="16"/>
          <w:szCs w:val="16"/>
        </w:rPr>
        <w:softHyphen/>
        <w:t>теристик ЖРД (1775,138).</w:t>
      </w:r>
    </w:p>
    <w:p w14:paraId="32D3FA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4F99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в ОКБ была создана группа, подчиненная непосредственно Б.С. Стечкину. Небольшой коллектив занимался проектами реактивных двигателей и расчетами лопаточных машин. Группу возглавил Моисей Григорьевич Дубинский, впоследствии главный конструктор ОКБ ТХМ (турбохолодильных машин). Таким образом, когда завод № 300 приступил к созданию ГТД, сложностей с методиками расчетов принципиально нового двигателя не было. Параллельно разрабатывались все новые образцы поршневых авиамоторов. Первоначально наименование АМ-44 предназначалось для двигателя, создававшегося в развитие мотора АМ-39. Его взлетная мощность - 1950 л.с., взлетная мощность на боевом режиме - 2050 л.с. Разрабатывался и вариант этого мотора с непосредственным впрыском топлива АМ-44НВ. Оба проекта остались на бумаге (9030).</w:t>
      </w:r>
    </w:p>
    <w:p w14:paraId="4DB6AC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AED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Як-6 № 640101 был исследован в трубе Т-101 ЦАГИ. ЦАГИ дал рекомендации, воплощенные потом на одном из серийных:</w:t>
      </w:r>
    </w:p>
    <w:p w14:paraId="7C665D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моторы поставили кольца Тауненда,</w:t>
      </w:r>
    </w:p>
    <w:p w14:paraId="7E0BAF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установили зализы на места сопряжения с фюзеляжем,</w:t>
      </w:r>
    </w:p>
    <w:p w14:paraId="214894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Изменили элероны и увеличили их площадь за счет увеличения размаха на 7%,</w:t>
      </w:r>
    </w:p>
    <w:p w14:paraId="7883D3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Уменьшили поперечное V отъемных законцовок крыла,</w:t>
      </w:r>
    </w:p>
    <w:p w14:paraId="744A41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Ввели изменения в систему управления,</w:t>
      </w:r>
    </w:p>
    <w:p w14:paraId="5FBE48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Сняли резиновую дорожку с левой стороны ЦП (4657, 18).</w:t>
      </w:r>
    </w:p>
    <w:p w14:paraId="21EF26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A4961F" w14:textId="77777777" w:rsidR="00A135BE" w:rsidRPr="00D03F3E" w:rsidRDefault="00A135B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Як-6 № 640101 исследовали в аэродинамической трубе Т-101. На основе полученных рекомендаций один из серийных самолетов в ЦАГИ несколько переделали. На моторы установили кольца Тауненда, места сопряжения крыла и фюзеляжа закрыли зализами, увеличили площадь элеронов, уменьшили поперечное V отъемных законцовок крыла. На испытаниях ЛИИ в августе 1943 г. самолет получил положительную оценку (19727).</w:t>
      </w:r>
    </w:p>
    <w:p w14:paraId="3B20281C" w14:textId="77777777" w:rsidR="00A135BE" w:rsidRPr="00D03F3E" w:rsidRDefault="00A135BE" w:rsidP="00D03F3E">
      <w:pPr>
        <w:spacing w:after="0" w:line="240" w:lineRule="auto"/>
        <w:jc w:val="both"/>
        <w:rPr>
          <w:rFonts w:ascii="Times New Roman" w:hAnsi="Times New Roman"/>
          <w:color w:val="000000" w:themeColor="text1"/>
          <w:sz w:val="16"/>
          <w:szCs w:val="16"/>
        </w:rPr>
      </w:pPr>
    </w:p>
    <w:p w14:paraId="5BAF95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на завод (Завод № 207 НКАП, МАП, Куйбышевский механический завод НКВД, АООТ, ОАО «Салют» / г. Куйбышев ст. Безымянка/ /443028  г. Самара Мехзавод тел. 57-01-01/) была передана часть оборудования завода № 381 НКАП, реэвакуированного из Нижнего Тагила.</w:t>
      </w:r>
    </w:p>
    <w:p w14:paraId="7A18C5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распоряжением СНК № 15248-рс от 22.10.1945 г. и приказом № 416с от 29.10.1945 г. в состав завода № 207 НКАП влит завод № 305 НКАП и с 1.10.1945 г. образован объединенный завод № 207 НКАП.</w:t>
      </w:r>
    </w:p>
    <w:p w14:paraId="2359BB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1955 г. передан из ЮГУ в 6ГУ МАП. В соответствии с пост. СМ СССР № 713-342 от 26.06.1957 г. передан в ведение Куйбышевского СНХ РСФСР.</w:t>
      </w:r>
    </w:p>
    <w:p w14:paraId="44769D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решению правительства № 22-р от 9.01.2004 г. вошло в перечень стратегических предприятий. Входит в состав Корпорации ТРВ (с ~2004 г.).</w:t>
      </w:r>
    </w:p>
    <w:p w14:paraId="157219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(2002 г.): агрегаты для ЛА; механическая обработка и сварка металлов; машины для переработки сельхозпродуктов; мини-тракторы; детали для нефтедобывающего оборудования; центробежные насосы, расходомеры.</w:t>
      </w:r>
    </w:p>
    <w:p w14:paraId="554D65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(12.1941-10.1945 г.-)- Засульский, (1949 г.)- Дубовиков. Гендиректор (-1998-2002 г.-)- Н.А. Поролло.</w:t>
      </w:r>
      <w:r w:rsidRPr="00D03F3E">
        <w:rPr>
          <w:rFonts w:ascii="Times New Roman" w:hAnsi="Times New Roman"/>
          <w:color w:val="000000" w:themeColor="text1"/>
          <w:sz w:val="16"/>
          <w:szCs w:val="16"/>
          <w:vertAlign w:val="superscript"/>
        </w:rPr>
        <w:t>69</w:t>
      </w:r>
    </w:p>
    <w:p w14:paraId="1531C0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ПВРД РД-900 (1958), ПРД-33 для В-1000 (1959-), ускорители для КР «Буря» (11982).</w:t>
      </w:r>
    </w:p>
    <w:p w14:paraId="30BCA6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39FB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в ОКБ А.М.М. была создана группа, глубоко засекре</w:t>
      </w:r>
      <w:r w:rsidRPr="00D03F3E">
        <w:rPr>
          <w:rFonts w:ascii="Times New Roman" w:hAnsi="Times New Roman"/>
          <w:color w:val="000000" w:themeColor="text1"/>
          <w:sz w:val="16"/>
          <w:szCs w:val="16"/>
        </w:rPr>
        <w:softHyphen/>
        <w:t>ченная, главным образом от начальства, подчиненная непосредст</w:t>
      </w:r>
      <w:r w:rsidRPr="00D03F3E">
        <w:rPr>
          <w:rFonts w:ascii="Times New Roman" w:hAnsi="Times New Roman"/>
          <w:color w:val="000000" w:themeColor="text1"/>
          <w:sz w:val="16"/>
          <w:szCs w:val="16"/>
        </w:rPr>
        <w:softHyphen/>
        <w:t>венно Б.С. Стечкину. Небольшой коллектив занимался проектами реактивных двигателей и расчетами лопаточных машин. Группу воз</w:t>
      </w:r>
      <w:r w:rsidRPr="00D03F3E">
        <w:rPr>
          <w:rFonts w:ascii="Times New Roman" w:hAnsi="Times New Roman"/>
          <w:color w:val="000000" w:themeColor="text1"/>
          <w:sz w:val="16"/>
          <w:szCs w:val="16"/>
        </w:rPr>
        <w:softHyphen/>
        <w:t>главил Моисей Григорьевич Дубинский, талантливый выпускник мехмата МГУ, работавший с Борисом Сергеевичем вплоть до его кончины, впоследствии главный конструктор ОКБ ТХМ (турбохо-лодильных машин). Таким образом, когда завод № 300 приступил к созданию ГТД, сложностей с методиками расчетов принципиально нового двигателя не было. Определенный опыт по созданию лопа</w:t>
      </w:r>
      <w:r w:rsidRPr="00D03F3E">
        <w:rPr>
          <w:rFonts w:ascii="Times New Roman" w:hAnsi="Times New Roman"/>
          <w:color w:val="000000" w:themeColor="text1"/>
          <w:sz w:val="16"/>
          <w:szCs w:val="16"/>
        </w:rPr>
        <w:softHyphen/>
        <w:t>точных машин накопили также технологи и работники производст</w:t>
      </w:r>
      <w:r w:rsidRPr="00D03F3E">
        <w:rPr>
          <w:rFonts w:ascii="Times New Roman" w:hAnsi="Times New Roman"/>
          <w:color w:val="000000" w:themeColor="text1"/>
          <w:sz w:val="16"/>
          <w:szCs w:val="16"/>
        </w:rPr>
        <w:softHyphen/>
        <w:t>венных подразделений (10781).</w:t>
      </w:r>
    </w:p>
    <w:p w14:paraId="5B83E6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3490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года директором завода № 1 треста № 41 был назначен Семенов А.Г. В ноябре 1943 года завод № 1 треста № 41 переименован в завод № 11.</w:t>
      </w:r>
    </w:p>
    <w:p w14:paraId="718AE8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1944 года директором завода № 11 назначен Толмазов Н.Н.</w:t>
      </w:r>
    </w:p>
    <w:p w14:paraId="791303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Адрес: Жуковский Московской области</w:t>
      </w:r>
    </w:p>
    <w:p w14:paraId="698A7F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Производственный профиль – изготовление авиационной техники и аэродромного оборудования</w:t>
      </w:r>
    </w:p>
    <w:p w14:paraId="013BDB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декабре 1944 года директором завода назначен Нестеров В.А. (9729).</w:t>
      </w:r>
    </w:p>
    <w:p w14:paraId="705AAE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DE09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в НКАП была конференция по поточному производству (173,225).</w:t>
      </w:r>
    </w:p>
    <w:p w14:paraId="1E291C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C65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"в связи с полным отсутствием цинкового крона" было принято решение "приостановить изготовление грунтов АЛГ-1 и АЛГ-5", применявшихся для покрытия металлических деталей перед окраской их нитроэмалями (3285,17).</w:t>
      </w:r>
    </w:p>
    <w:p w14:paraId="6A19E8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FF0237"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года ГСКБ-47, начальником которого в Миассе в это время был Б. М. Сапрыкин, получило распоряжение возвратиться в Москву. В 1943 году в жизни предприятия произошли серьезные изменения. До этого предприятие находилось в системе Наркомата боеприпасов (нарком Борис Львович Ванников). Однако нарком минометного вооружения Петр Иванович Паршин (заводы этого наркомата изготавливали корпуса всех мин для гладкоствольных минометов) обратился в правительство с просьбой передать ГСКБ-47 в НКМВ, учитывая, что только ГСКБ разрабатывает мины. Наркомат боеприпасов и нарком Б. Л. Ванников к этой передаче отнеслись безразлично. Очевидно имел значение тот факт, что в Наркомате боеприпасов находилось большое количество НИИ и КБ (снарядные, взрывательные, гильзовые и др.) и там же, в наркомате, находились заводы-изготовители продукции, которую создавали эти НИИ и КБ. Кроме того, в Наркомат боеприпасов входили и снаряжательные заводы. В то же время, как ни странно, НКБ не имел заводов-изготовителей корпусов авиабомб и мин для минометов. Техническую помощь заводам-изготовителям авиабомб и мин осуществляло ГСКБ, а технический аппарат Наркомата боеприпасов не был связан с отработкой авиабомб и их производством (15794).</w:t>
      </w:r>
    </w:p>
    <w:p w14:paraId="1804F6FD" w14:textId="77777777" w:rsidR="00C57815" w:rsidRPr="00D03F3E" w:rsidRDefault="00C57815" w:rsidP="00D03F3E">
      <w:pPr>
        <w:spacing w:after="0" w:line="240" w:lineRule="auto"/>
        <w:jc w:val="both"/>
        <w:rPr>
          <w:rFonts w:ascii="Times New Roman" w:hAnsi="Times New Roman"/>
          <w:color w:val="000000" w:themeColor="text1"/>
          <w:sz w:val="16"/>
          <w:szCs w:val="16"/>
        </w:rPr>
      </w:pPr>
    </w:p>
    <w:p w14:paraId="1183F6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поступил на вооружение армии новый реактивный снаряд M-31 дальностью до 4,3 км. Снаряд М-30 с мощной боевой частью имел дальность стрельбы всего 2,8 км, т.е. в три раза меньше, чем дальность стрельбы снарядом M-13. Это было серьезным недостатком. Для повышения дальности стрельбы, хотя бы в полтора раза, необходимо было создание нового ракетного заряда. Такой заряд был разработан сотрудниками Особого бюро среднеуральского завода А.С.Бакаевым, С.Н.Разумовским, С.А.Ильюшенко, Д.И.Гальпериным. Он состоял из пяти пороховых шашек с наружным диаметром 46 мм, диаметром канала 8 мм и длиной шашек 900 мм. Заряд изготовлялся из порохов HM-31 и H-31, специально разработанных для нового снаряда. Масса заряда была около 11,2 кг, т.е. почти в 1,5 раза больше, чем масса заряда для M-13. Воспламенение заряда обеспечивалось воспламенителем массой 75 г из пороха ДТП, расположенным в донной части ракетного двигателя. Зажжение воспламенителя осуществлялось с помощью платиново-иридиевого электрозапала. Заряд с воспламенителем размещались в ракетной камере (11209).</w:t>
      </w:r>
    </w:p>
    <w:p w14:paraId="0EA35E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69332B" w14:textId="77777777" w:rsidR="00ED2FF4" w:rsidRPr="00D03F3E" w:rsidRDefault="00ED2FF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поступил на вооружение армии новый реактивный снаряд M-31 дальностью до 4,3 км. Снаряд М-30 с мощной боевой частью имел дальность стрельбы всего 2,8 км, т.е. в три раза меньше, чем дальность стрельбы снарядом M-13. Это было серьезным недостатком. Для повышения дальности стрельбы, хотя бы в полтора раза, необходимо было создание нового ракетного заряда. Такой заряд был разработан сотрудниками Особого бюро среднеуральского завода А.С.Бакаевым, С.Н.Разумовским, С.А.Ильюшенко, Д.И.Гальпериным. Он состоял из пяти пороховых шашек с наружным диаметром 46 мм, диаметром канала 8 мм и длиной шашек 900 мм. Заряд изготовлялся из порохов HM-31 и H-31, специально разработанных для нового снаряда /13/. Масса заряда была около 11,2 кг, т.е. почти в 1,5 раза больше, чем масса заряда для M-13.</w:t>
      </w:r>
    </w:p>
    <w:p w14:paraId="5ADCB05E" w14:textId="77777777" w:rsidR="00ED2FF4" w:rsidRPr="00D03F3E" w:rsidRDefault="00ED2FF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Воспламенение заряда обеспечивалось воспламенителем массой 75 г из пороха ДТП, расположенным в донной части ракетного двигателя. Зажжение воспламенителя осуществлялось с помощью платиново-иридиевого электрозапала. Заряд с воспламенителем размещались в ракетной камере.</w:t>
      </w:r>
    </w:p>
    <w:p w14:paraId="5F66E561" w14:textId="77777777" w:rsidR="00ED2FF4" w:rsidRPr="00D03F3E" w:rsidRDefault="00ED2FF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целью повышения кучности этого снаряда несколько позднее его ракетный двигатель был снабжен четырьмя штуцерами с Г-образными отверстиями, обеспечивающими проворот снаряда. Этот снаряд поступил на вооружение армии в апреле 1944 г. Он получил наименование М-31УК (18646). </w:t>
      </w:r>
    </w:p>
    <w:p w14:paraId="097AB546" w14:textId="77777777" w:rsidR="00ED2FF4" w:rsidRPr="00D03F3E" w:rsidRDefault="00ED2FF4" w:rsidP="00D03F3E">
      <w:pPr>
        <w:spacing w:after="0" w:line="240" w:lineRule="auto"/>
        <w:jc w:val="both"/>
        <w:rPr>
          <w:rFonts w:ascii="Times New Roman" w:hAnsi="Times New Roman"/>
          <w:color w:val="000000" w:themeColor="text1"/>
          <w:sz w:val="16"/>
          <w:szCs w:val="16"/>
        </w:rPr>
      </w:pPr>
    </w:p>
    <w:p w14:paraId="4388FBA5"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792AD2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CC89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 марта 1943 г. завод № 512 (Завод № 512 НКБ, Опытный завод № 512 МСХМ /г. Люберцы (1941 г.),  г. Дзержинский Московской обл./) работал на привозных порохах, затем начат выпуск собственных, введена в строй полная технологическая линия производства ракетных порохов и зарядов из них, разместившаяся в 10 зданиях; в 03.1943 г. построен цех № 4; в 04.1943 г. выпущена первая партия зарядов для М- 13. В конце 1943 г. создан опытный участок производства нитроглицерина по непрерывной технологии. В составе завода (1943 г.): основные цехи № 4, 5, 6. Проектная мощность завода: на 1.01.1943 г.- 150, на 1.01.1944 г.- 200 т пороха в месяц. В 02.1944 г. построена испытательная база, первое испытание зарядов на ней проведено 20.10.1944 г. В 05.1944 г. вступила в строй ЦЗЛ. Всего завод изготовил около 550 тыс. зарядов для М-13 и М-31.</w:t>
      </w:r>
    </w:p>
    <w:p w14:paraId="13CFEF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12.1942-09.1944 г. - в ведении ЗГУ НКБ.</w:t>
      </w:r>
    </w:p>
    <w:p w14:paraId="2B2663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07.1943 г. сюда перебазируется значительная часть ОТБ-98 с завода № 98, получившая название ОТБ-512 (существовало в период 1943-47 г.). В соответствии с пост. ГКО № 6261 от 28.07.1944 г. серийный завод № 512 был преобразован в Опытно-исследовательский завод № 512 по развитию и внедрению на заводах НКБ новой шнековой технологии производства нитроглицериновых порохов. В 1947 г. завод и ОТБ-512 преобразованы в отраслевой институт НИИ-125 (далее это- ФЦДТ «Союз»).</w:t>
      </w:r>
    </w:p>
    <w:p w14:paraId="7AB18C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войны велись работы по изучению и воспроизводству систем подрыва БЧ немецких ракет.</w:t>
      </w:r>
      <w:r w:rsidRPr="00D03F3E">
        <w:rPr>
          <w:rFonts w:ascii="Times New Roman" w:hAnsi="Times New Roman"/>
          <w:color w:val="000000" w:themeColor="text1"/>
          <w:sz w:val="16"/>
          <w:szCs w:val="16"/>
          <w:vertAlign w:val="superscript"/>
        </w:rPr>
        <w:t>92</w:t>
      </w:r>
    </w:p>
    <w:p w14:paraId="086376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(1943 г.): производственная- 7245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вспомогательная- 23245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w:t>
      </w:r>
    </w:p>
    <w:p w14:paraId="6AB595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(09.1941 г.)- 2695 чел., (12.1942 г.)- 1829 чел.</w:t>
      </w:r>
    </w:p>
    <w:p w14:paraId="532553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строительства- Д.А. Резниченко. Директор (04.1943 г.)- Волгин.</w:t>
      </w:r>
    </w:p>
    <w:p w14:paraId="59F575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(04.1943 г.)- Рабинович, (1944-46 г.)- А.С. Бакаев.</w:t>
      </w:r>
    </w:p>
    <w:p w14:paraId="38B1AB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цехов: (</w:t>
      </w:r>
      <w:r w:rsidRPr="00D03F3E">
        <w:rPr>
          <w:rFonts w:ascii="Times New Roman" w:hAnsi="Times New Roman"/>
          <w:color w:val="000000" w:themeColor="text1"/>
          <w:sz w:val="16"/>
          <w:szCs w:val="16"/>
          <w:lang w:val="en-US"/>
        </w:rPr>
        <w:t>BOB</w:t>
      </w:r>
      <w:r w:rsidRPr="00D03F3E">
        <w:rPr>
          <w:rFonts w:ascii="Times New Roman" w:hAnsi="Times New Roman"/>
          <w:color w:val="000000" w:themeColor="text1"/>
          <w:sz w:val="16"/>
          <w:szCs w:val="16"/>
        </w:rPr>
        <w:t>)- С.А. Мекалин.</w:t>
      </w:r>
      <w:r w:rsidRPr="00D03F3E">
        <w:rPr>
          <w:rFonts w:ascii="Times New Roman" w:hAnsi="Times New Roman"/>
          <w:color w:val="000000" w:themeColor="text1"/>
          <w:sz w:val="16"/>
          <w:szCs w:val="16"/>
          <w:vertAlign w:val="superscript"/>
        </w:rPr>
        <w:t>55</w:t>
      </w:r>
    </w:p>
    <w:p w14:paraId="12FCB7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w:t>
      </w:r>
      <w:r w:rsidRPr="00D03F3E">
        <w:rPr>
          <w:rFonts w:ascii="Times New Roman" w:hAnsi="Times New Roman"/>
          <w:color w:val="000000" w:themeColor="text1"/>
          <w:sz w:val="16"/>
          <w:szCs w:val="16"/>
        </w:rPr>
        <w:t xml:space="preserve"> М-31, П3-34, Н-12; заряды 82-мм, 120-мм, для П3-34 (1943).</w:t>
      </w:r>
      <w:r w:rsidRPr="00D03F3E">
        <w:rPr>
          <w:rFonts w:ascii="Times New Roman" w:hAnsi="Times New Roman"/>
          <w:color w:val="000000" w:themeColor="text1"/>
          <w:sz w:val="16"/>
          <w:szCs w:val="16"/>
          <w:vertAlign w:val="superscript"/>
        </w:rPr>
        <w:t>132</w:t>
      </w:r>
    </w:p>
    <w:p w14:paraId="040DA5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ОТБ-512</w:t>
      </w:r>
    </w:p>
    <w:p w14:paraId="1A9213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коще 1946 г. ОТБ выдано задание на разработку порохового двигателя для РСЗО БМД-20.</w:t>
      </w:r>
    </w:p>
    <w:p w14:paraId="710CDC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(1943-44 г.)- А.С. Бакаев (11982).</w:t>
      </w:r>
    </w:p>
    <w:p w14:paraId="15752C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2D25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начался широкий выпуск 76-мм бронебойных снарядов типа БР-350Б, осваиваемых с лета 1942 г. Причем, ввиду недостатка взрывчатых веществ для снаряжения его каморы, первые партии выпускались с «нейтральным снаряжением (вместо ВВ заполненные ме</w:t>
      </w:r>
      <w:r w:rsidRPr="00D03F3E">
        <w:rPr>
          <w:rFonts w:ascii="Times New Roman" w:hAnsi="Times New Roman"/>
          <w:color w:val="000000" w:themeColor="text1"/>
          <w:sz w:val="16"/>
          <w:szCs w:val="16"/>
        </w:rPr>
        <w:softHyphen/>
        <w:t>лом) или же в «сплошном» исполнении (БР-350БСП) (11135).</w:t>
      </w:r>
    </w:p>
    <w:p w14:paraId="1DF50CF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004F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завод № 2 НКВ по заданию ГАУ РККА с со</w:t>
      </w:r>
      <w:r w:rsidRPr="00D03F3E">
        <w:rPr>
          <w:rFonts w:ascii="Times New Roman" w:hAnsi="Times New Roman"/>
          <w:color w:val="000000" w:themeColor="text1"/>
          <w:sz w:val="16"/>
          <w:szCs w:val="16"/>
        </w:rPr>
        <w:softHyphen/>
        <w:t>гласия ГБТУ изготовил модернизированный танковый пулемет ДТМ, имевший более массивный ствол. После доводки и испытаний пулемет ДТМ постановлением ГКО от 10 октября 1944 г. был принят на воору</w:t>
      </w:r>
      <w:r w:rsidRPr="00D03F3E">
        <w:rPr>
          <w:rFonts w:ascii="Times New Roman" w:hAnsi="Times New Roman"/>
          <w:color w:val="000000" w:themeColor="text1"/>
          <w:sz w:val="16"/>
          <w:szCs w:val="16"/>
        </w:rPr>
        <w:softHyphen/>
        <w:t>жение РККА. Модернизированный пулемет обеспечивал более интен</w:t>
      </w:r>
      <w:r w:rsidRPr="00D03F3E">
        <w:rPr>
          <w:rFonts w:ascii="Times New Roman" w:hAnsi="Times New Roman"/>
          <w:color w:val="000000" w:themeColor="text1"/>
          <w:sz w:val="16"/>
          <w:szCs w:val="16"/>
        </w:rPr>
        <w:softHyphen/>
        <w:t>сивную стрельбу из танка и был более надежен. Возвратно-боевая пру</w:t>
      </w:r>
      <w:r w:rsidRPr="00D03F3E">
        <w:rPr>
          <w:rFonts w:ascii="Times New Roman" w:hAnsi="Times New Roman"/>
          <w:color w:val="000000" w:themeColor="text1"/>
          <w:sz w:val="16"/>
          <w:szCs w:val="16"/>
        </w:rPr>
        <w:softHyphen/>
        <w:t>жина из под ствола была перенесена в спусковую раму, так как от нагре</w:t>
      </w:r>
      <w:r w:rsidRPr="00D03F3E">
        <w:rPr>
          <w:rFonts w:ascii="Times New Roman" w:hAnsi="Times New Roman"/>
          <w:color w:val="000000" w:themeColor="text1"/>
          <w:sz w:val="16"/>
          <w:szCs w:val="16"/>
        </w:rPr>
        <w:softHyphen/>
        <w:t>ва она давала усадку и теряла упругость. Была изменена конструкция крепления направляющей трубки поршня, в результате чего стало воз</w:t>
      </w:r>
      <w:r w:rsidRPr="00D03F3E">
        <w:rPr>
          <w:rFonts w:ascii="Times New Roman" w:hAnsi="Times New Roman"/>
          <w:color w:val="000000" w:themeColor="text1"/>
          <w:sz w:val="16"/>
          <w:szCs w:val="16"/>
        </w:rPr>
        <w:softHyphen/>
        <w:t>можным разбирать пулемет, не вынимая его из шаровой установки и не выходя из танка. Шире при изготовлении деталей стала применяться штамповка, позволившая сократить время на их обработку. Главным же недостатком пулемета ДТ (ДТМ) являлось дисковое пи</w:t>
      </w:r>
      <w:r w:rsidRPr="00D03F3E">
        <w:rPr>
          <w:rFonts w:ascii="Times New Roman" w:hAnsi="Times New Roman"/>
          <w:color w:val="000000" w:themeColor="text1"/>
          <w:sz w:val="16"/>
          <w:szCs w:val="16"/>
        </w:rPr>
        <w:softHyphen/>
        <w:t>тание, которое по боевой скорострельности более чем в три раза уступа</w:t>
      </w:r>
      <w:r w:rsidRPr="00D03F3E">
        <w:rPr>
          <w:rFonts w:ascii="Times New Roman" w:hAnsi="Times New Roman"/>
          <w:color w:val="000000" w:themeColor="text1"/>
          <w:sz w:val="16"/>
          <w:szCs w:val="16"/>
        </w:rPr>
        <w:softHyphen/>
        <w:t>ло ленточному типу питания. Работы по установке пулемета с ленточ</w:t>
      </w:r>
      <w:r w:rsidRPr="00D03F3E">
        <w:rPr>
          <w:rFonts w:ascii="Times New Roman" w:hAnsi="Times New Roman"/>
          <w:color w:val="000000" w:themeColor="text1"/>
          <w:sz w:val="16"/>
          <w:szCs w:val="16"/>
        </w:rPr>
        <w:softHyphen/>
        <w:t>ным типом питания в танк были начаты в 1944 г. после того, как были по</w:t>
      </w:r>
      <w:r w:rsidRPr="00D03F3E">
        <w:rPr>
          <w:rFonts w:ascii="Times New Roman" w:hAnsi="Times New Roman"/>
          <w:color w:val="000000" w:themeColor="text1"/>
          <w:sz w:val="16"/>
          <w:szCs w:val="16"/>
        </w:rPr>
        <w:softHyphen/>
        <w:t>лучены положительные отзывы об эксплуатации 7,62-мм станкового пу</w:t>
      </w:r>
      <w:r w:rsidRPr="00D03F3E">
        <w:rPr>
          <w:rFonts w:ascii="Times New Roman" w:hAnsi="Times New Roman"/>
          <w:color w:val="000000" w:themeColor="text1"/>
          <w:sz w:val="16"/>
          <w:szCs w:val="16"/>
        </w:rPr>
        <w:softHyphen/>
        <w:t>лемета системы П.М. Горюнова (СГ-43). Этот пулемет в третьем перио</w:t>
      </w:r>
      <w:r w:rsidRPr="00D03F3E">
        <w:rPr>
          <w:rFonts w:ascii="Times New Roman" w:hAnsi="Times New Roman"/>
          <w:color w:val="000000" w:themeColor="text1"/>
          <w:sz w:val="16"/>
          <w:szCs w:val="16"/>
        </w:rPr>
        <w:softHyphen/>
        <w:t>де Великой Отечественной войны устанавливался на опытных образцах танков Т-44-100 и Т-54 ("Объект 137"), а в первом послевоенном перио</w:t>
      </w:r>
      <w:r w:rsidRPr="00D03F3E">
        <w:rPr>
          <w:rFonts w:ascii="Times New Roman" w:hAnsi="Times New Roman"/>
          <w:color w:val="000000" w:themeColor="text1"/>
          <w:sz w:val="16"/>
          <w:szCs w:val="16"/>
        </w:rPr>
        <w:softHyphen/>
        <w:t>де после модернизации - на серийных танках и бронетранспортерах (10703).</w:t>
      </w:r>
    </w:p>
    <w:p w14:paraId="6FE788A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73A5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была изготовлена опытная партия пулеметов ГВГ, по результатам испытаний которых в доработанном виде 14 мая 1943 г. станковый пулемет конструкции Горюнова под маркой СГ-43 был принят на : РККА. Масса пулемета не превышала 13,5 кг. Наибольшая прице дальность стрельбы из спаренного пулемета составляла 2200 м. Темп стрельбы - 600 - 700 выстр./мин., а боевая скорострельность - 250-300 выстр./мин. Емкость пулеметной ленты была рассчитана на 2501 патронов. Начальная скорость полета пули составляла 800 м/с (10703).</w:t>
      </w:r>
    </w:p>
    <w:p w14:paraId="0FA1DA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4B0B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заводу № 9 поручили изготовить 2 опытных образца (ЦАКБ еще не имело собственной про</w:t>
      </w:r>
      <w:r w:rsidRPr="00D03F3E">
        <w:rPr>
          <w:rFonts w:ascii="Times New Roman" w:hAnsi="Times New Roman"/>
          <w:color w:val="000000" w:themeColor="text1"/>
          <w:sz w:val="16"/>
          <w:szCs w:val="16"/>
        </w:rPr>
        <w:softHyphen/>
        <w:t>изводственной базы). Но завод, едва справлявшийся с пла</w:t>
      </w:r>
      <w:r w:rsidRPr="00D03F3E">
        <w:rPr>
          <w:rFonts w:ascii="Times New Roman" w:hAnsi="Times New Roman"/>
          <w:color w:val="000000" w:themeColor="text1"/>
          <w:sz w:val="16"/>
          <w:szCs w:val="16"/>
        </w:rPr>
        <w:softHyphen/>
        <w:t>новым выпуском ЗИС-5, не справился с этим заданием в отведенный срок. А когда первое орудие поступило заказ</w:t>
      </w:r>
      <w:r w:rsidRPr="00D03F3E">
        <w:rPr>
          <w:rFonts w:ascii="Times New Roman" w:hAnsi="Times New Roman"/>
          <w:color w:val="000000" w:themeColor="text1"/>
          <w:sz w:val="16"/>
          <w:szCs w:val="16"/>
        </w:rPr>
        <w:softHyphen/>
        <w:t>чику, выяснилось, что пушка изготовлена с отступлениями от чертежей, выпущенных ЦАКБ. КБ завода № 9 под руко</w:t>
      </w:r>
      <w:r w:rsidRPr="00D03F3E">
        <w:rPr>
          <w:rFonts w:ascii="Times New Roman" w:hAnsi="Times New Roman"/>
          <w:color w:val="000000" w:themeColor="text1"/>
          <w:sz w:val="16"/>
          <w:szCs w:val="16"/>
        </w:rPr>
        <w:softHyphen/>
        <w:t xml:space="preserve">водством Ф. Петрова оспорило правомерность внесенных изменений, но ЦАКБ в лице В. Грабина настаивало на своем. Дело окончилось традиционной руганью и волокитой. Испытанные пушки отказывались нормально работать, а проектировщики и </w:t>
      </w:r>
      <w:r w:rsidRPr="00D03F3E">
        <w:rPr>
          <w:rFonts w:ascii="Times New Roman" w:hAnsi="Times New Roman"/>
          <w:color w:val="000000" w:themeColor="text1"/>
          <w:sz w:val="16"/>
          <w:szCs w:val="16"/>
        </w:rPr>
        <w:lastRenderedPageBreak/>
        <w:t>изготовители вместо устранения недо</w:t>
      </w:r>
      <w:r w:rsidRPr="00D03F3E">
        <w:rPr>
          <w:rFonts w:ascii="Times New Roman" w:hAnsi="Times New Roman"/>
          <w:color w:val="000000" w:themeColor="text1"/>
          <w:sz w:val="16"/>
          <w:szCs w:val="16"/>
        </w:rPr>
        <w:softHyphen/>
        <w:t>статков принялись обильно поливать друг друга грязью. Покуда шла брань вокруг С-18, ЦАКБ, наложив 85-мм ствол на люльку 76-мм танковой пушки ЗИС-5, создало еще один вариант 85-мм универсального танкосамоходного орудия, получившего индекс С-31. Уже в апреле завод № 9 получил ТТТ на изготовление 85-мм орудия в башне танков КВ-1С (с погоном диаметром 1560 мм) и ИС (с погоном 1700 мм). Всего к 16 июня завод № 9 отчитался о сдаче трех орудий С-31. На первом орудии при пробном отстреле вы</w:t>
      </w:r>
      <w:r w:rsidRPr="00D03F3E">
        <w:rPr>
          <w:rFonts w:ascii="Times New Roman" w:hAnsi="Times New Roman"/>
          <w:color w:val="000000" w:themeColor="text1"/>
          <w:sz w:val="16"/>
          <w:szCs w:val="16"/>
        </w:rPr>
        <w:softHyphen/>
        <w:t>шел из строя накатник. Орудие было отправлено на ремонт, накатники же двух других пушек были усилены (11135).</w:t>
      </w:r>
    </w:p>
    <w:p w14:paraId="0D05F08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E8D3D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на пленуме техсовета НКТП было рассмотрено предложение конструктора завода № 112 Ревзина снабдить люк командира Т-34 приварной командно-на</w:t>
      </w:r>
      <w:r w:rsidRPr="00D03F3E">
        <w:rPr>
          <w:rFonts w:ascii="Times New Roman" w:hAnsi="Times New Roman"/>
          <w:color w:val="000000" w:themeColor="text1"/>
          <w:sz w:val="16"/>
          <w:szCs w:val="16"/>
        </w:rPr>
        <w:softHyphen/>
        <w:t>блюдательной башенкой диаметром 730 мм, изготовленной из полосы броневой стали толщиной 45 мм. и признано полезным и заслуживающим самого вни</w:t>
      </w:r>
      <w:r w:rsidRPr="00D03F3E">
        <w:rPr>
          <w:rFonts w:ascii="Times New Roman" w:hAnsi="Times New Roman"/>
          <w:color w:val="000000" w:themeColor="text1"/>
          <w:sz w:val="16"/>
          <w:szCs w:val="16"/>
        </w:rPr>
        <w:softHyphen/>
        <w:t>мательного изучения, так как обзор из танка даже с такой башенкой резко улучшился, причем башенку данного типа можно было устанавливать даже на крыше уже изготовлен</w:t>
      </w:r>
      <w:r w:rsidRPr="00D03F3E">
        <w:rPr>
          <w:rFonts w:ascii="Times New Roman" w:hAnsi="Times New Roman"/>
          <w:color w:val="000000" w:themeColor="text1"/>
          <w:sz w:val="16"/>
          <w:szCs w:val="16"/>
        </w:rPr>
        <w:softHyphen/>
        <w:t>ных танков в ходе их ремонта. Башенка, разработанная на заводе № 112, была взята за основу головным предприятием (завод № 183), на котором уже в июне — июле 1943 г. было запущено в серийное производство аналогичное изделие из жидкой брони с толщиной стенок 52—56 мм (11135).</w:t>
      </w:r>
    </w:p>
    <w:p w14:paraId="7A12C6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664F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совместными усилиями трех заводов - ЧКЗ, № 100 и № 200 был изготовлен опытный образец танка, получивший наименование "Иосиф Сталин № 1" (ИС № 1), и с 22 марта по 3 апреля 1943 г. он прошел заводские испытания в районе Че</w:t>
      </w:r>
      <w:r w:rsidRPr="00D03F3E">
        <w:rPr>
          <w:rFonts w:ascii="Times New Roman" w:hAnsi="Times New Roman"/>
          <w:color w:val="000000" w:themeColor="text1"/>
          <w:sz w:val="16"/>
          <w:szCs w:val="16"/>
        </w:rPr>
        <w:softHyphen/>
        <w:t>лябинска. Дальнейшие работы по усовершенствованию опытного об</w:t>
      </w:r>
      <w:r w:rsidRPr="00D03F3E">
        <w:rPr>
          <w:rFonts w:ascii="Times New Roman" w:hAnsi="Times New Roman"/>
          <w:color w:val="000000" w:themeColor="text1"/>
          <w:sz w:val="16"/>
          <w:szCs w:val="16"/>
        </w:rPr>
        <w:softHyphen/>
        <w:t>разца привели к созданию танка "Объект 237". Опытный образец танка ИС № 1 был разработан и изготовлен на ба</w:t>
      </w:r>
      <w:r w:rsidRPr="00D03F3E">
        <w:rPr>
          <w:rFonts w:ascii="Times New Roman" w:hAnsi="Times New Roman"/>
          <w:color w:val="000000" w:themeColor="text1"/>
          <w:sz w:val="16"/>
          <w:szCs w:val="16"/>
        </w:rPr>
        <w:softHyphen/>
        <w:t>зе узлов и агрегатов второго варианта среднего танка КВ-13 ("Объект 233") и поэтому имел то же заводское обозначение "Объект 233". В со</w:t>
      </w:r>
      <w:r w:rsidRPr="00D03F3E">
        <w:rPr>
          <w:rFonts w:ascii="Times New Roman" w:hAnsi="Times New Roman"/>
          <w:color w:val="000000" w:themeColor="text1"/>
          <w:sz w:val="16"/>
          <w:szCs w:val="16"/>
        </w:rPr>
        <w:softHyphen/>
        <w:t>став экипажа входили четыре человека. Боевая машина имела классиче</w:t>
      </w:r>
      <w:r w:rsidRPr="00D03F3E">
        <w:rPr>
          <w:rFonts w:ascii="Times New Roman" w:hAnsi="Times New Roman"/>
          <w:color w:val="000000" w:themeColor="text1"/>
          <w:sz w:val="16"/>
          <w:szCs w:val="16"/>
        </w:rPr>
        <w:softHyphen/>
        <w:t>скую схему общей компоновки (10703).</w:t>
      </w:r>
    </w:p>
    <w:p w14:paraId="18FD62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A6F9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на Челябинском Кировском заводе, который не мог по</w:t>
      </w:r>
      <w:r w:rsidRPr="00D03F3E">
        <w:rPr>
          <w:rFonts w:ascii="Times New Roman" w:hAnsi="Times New Roman"/>
          <w:color w:val="000000" w:themeColor="text1"/>
          <w:sz w:val="16"/>
          <w:szCs w:val="16"/>
        </w:rPr>
        <w:softHyphen/>
        <w:t>хвастаться такими успехами, как свердловчане, что объясня</w:t>
      </w:r>
      <w:r w:rsidRPr="00D03F3E">
        <w:rPr>
          <w:rFonts w:ascii="Times New Roman" w:hAnsi="Times New Roman"/>
          <w:color w:val="000000" w:themeColor="text1"/>
          <w:sz w:val="16"/>
          <w:szCs w:val="16"/>
        </w:rPr>
        <w:softHyphen/>
        <w:t>лось многими факторами, главными из котрых было наличие параллельного производства танков КВ-1с и Т-34, что усу</w:t>
      </w:r>
      <w:r w:rsidRPr="00D03F3E">
        <w:rPr>
          <w:rFonts w:ascii="Times New Roman" w:hAnsi="Times New Roman"/>
          <w:color w:val="000000" w:themeColor="text1"/>
          <w:sz w:val="16"/>
          <w:szCs w:val="16"/>
        </w:rPr>
        <w:softHyphen/>
        <w:t>гублялось к тому же тем, что конструкторско-технологичес-кие службы завода были задействованы в подготовительных работах по переходу на выпуск нового тяжелого танка были разработаны маршрутно-технологические карты изготовления САУ СУ-152(КВ-14), а также в целом переданы в плановую эксплуатацию более 80% приспособлений и ин</w:t>
      </w:r>
      <w:r w:rsidRPr="00D03F3E">
        <w:rPr>
          <w:rFonts w:ascii="Times New Roman" w:hAnsi="Times New Roman"/>
          <w:color w:val="000000" w:themeColor="text1"/>
          <w:sz w:val="16"/>
          <w:szCs w:val="16"/>
        </w:rPr>
        <w:softHyphen/>
        <w:t>струментов. Но только в мае завод отрапортовал о сдаче пер</w:t>
      </w:r>
      <w:r w:rsidRPr="00D03F3E">
        <w:rPr>
          <w:rFonts w:ascii="Times New Roman" w:hAnsi="Times New Roman"/>
          <w:color w:val="000000" w:themeColor="text1"/>
          <w:sz w:val="16"/>
          <w:szCs w:val="16"/>
        </w:rPr>
        <w:softHyphen/>
        <w:t>вой партии САУ для самоходно-артиллерийского полка. Возможно, именно это обстоятелство и явилось причи</w:t>
      </w:r>
      <w:r w:rsidRPr="00D03F3E">
        <w:rPr>
          <w:rFonts w:ascii="Times New Roman" w:hAnsi="Times New Roman"/>
          <w:color w:val="000000" w:themeColor="text1"/>
          <w:sz w:val="16"/>
          <w:szCs w:val="16"/>
        </w:rPr>
        <w:softHyphen/>
        <w:t>ной того, что к началу Курской битвы лишь два тяжелых САП были отправлены в действующую армию и их приме</w:t>
      </w:r>
      <w:r w:rsidRPr="00D03F3E">
        <w:rPr>
          <w:rFonts w:ascii="Times New Roman" w:hAnsi="Times New Roman"/>
          <w:color w:val="000000" w:themeColor="text1"/>
          <w:sz w:val="16"/>
          <w:szCs w:val="16"/>
        </w:rPr>
        <w:softHyphen/>
        <w:t>нение здесь не сыграло заметной роли. Но машины были участниками многих пропагандистских листовок, фильмов, показательных расстрелов трофейной техники. Эта реклама возымела действие, и уже к лету 1943 г. (еще до начала боев) СУ-152 (КВ-14) получила прозвище «Зверобой» (11417).</w:t>
      </w:r>
    </w:p>
    <w:p w14:paraId="5FBA506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ABB93E" w14:textId="77777777" w:rsidR="00C57815" w:rsidRPr="00D03F3E" w:rsidRDefault="00C578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март 1943 года Кировский завод изго</w:t>
      </w:r>
      <w:r w:rsidRPr="00D03F3E">
        <w:rPr>
          <w:rFonts w:ascii="Times New Roman" w:hAnsi="Times New Roman"/>
          <w:color w:val="000000" w:themeColor="text1"/>
          <w:sz w:val="16"/>
          <w:szCs w:val="16"/>
        </w:rPr>
        <w:softHyphen/>
        <w:t xml:space="preserve">товил 52 новых </w:t>
      </w:r>
      <w:r w:rsidRPr="00D03F3E">
        <w:rPr>
          <w:rFonts w:ascii="Times New Roman" w:hAnsi="Times New Roman"/>
          <w:color w:val="000000" w:themeColor="text1"/>
          <w:sz w:val="16"/>
          <w:szCs w:val="16"/>
          <w:lang w:val="en-US"/>
        </w:rPr>
        <w:t>KB</w:t>
      </w:r>
      <w:r w:rsidRPr="00D03F3E">
        <w:rPr>
          <w:rFonts w:ascii="Times New Roman" w:hAnsi="Times New Roman"/>
          <w:color w:val="000000" w:themeColor="text1"/>
          <w:sz w:val="16"/>
          <w:szCs w:val="16"/>
        </w:rPr>
        <w:t>-1С (при плане 60) и от</w:t>
      </w:r>
      <w:r w:rsidRPr="00D03F3E">
        <w:rPr>
          <w:rFonts w:ascii="Times New Roman" w:hAnsi="Times New Roman"/>
          <w:color w:val="000000" w:themeColor="text1"/>
          <w:sz w:val="16"/>
          <w:szCs w:val="16"/>
        </w:rPr>
        <w:softHyphen/>
        <w:t>ремонтировал 11 танков, которые были за</w:t>
      </w:r>
      <w:r w:rsidRPr="00D03F3E">
        <w:rPr>
          <w:rFonts w:ascii="Times New Roman" w:hAnsi="Times New Roman"/>
          <w:color w:val="000000" w:themeColor="text1"/>
          <w:sz w:val="16"/>
          <w:szCs w:val="16"/>
        </w:rPr>
        <w:softHyphen/>
        <w:t>чтены как восемь новых. Таким образом, но</w:t>
      </w:r>
      <w:r w:rsidRPr="00D03F3E">
        <w:rPr>
          <w:rFonts w:ascii="Times New Roman" w:hAnsi="Times New Roman"/>
          <w:color w:val="000000" w:themeColor="text1"/>
          <w:sz w:val="16"/>
          <w:szCs w:val="16"/>
        </w:rPr>
        <w:softHyphen/>
        <w:t>минально предприятие выполнило план, но по сборке новых машин это составляло всего 87%. Основной причиной этого было отсут</w:t>
      </w:r>
      <w:r w:rsidRPr="00D03F3E">
        <w:rPr>
          <w:rFonts w:ascii="Times New Roman" w:hAnsi="Times New Roman"/>
          <w:color w:val="000000" w:themeColor="text1"/>
          <w:sz w:val="16"/>
          <w:szCs w:val="16"/>
        </w:rPr>
        <w:softHyphen/>
        <w:t>ствие корпусов - в течение третьей декады марта завод № 200 не отгрузил ЧКЗ ни одно</w:t>
      </w:r>
      <w:r w:rsidRPr="00D03F3E">
        <w:rPr>
          <w:rFonts w:ascii="Times New Roman" w:hAnsi="Times New Roman"/>
          <w:color w:val="000000" w:themeColor="text1"/>
          <w:sz w:val="16"/>
          <w:szCs w:val="16"/>
        </w:rPr>
        <w:softHyphen/>
        <w:t xml:space="preserve">го корпуса </w:t>
      </w:r>
      <w:r w:rsidRPr="00D03F3E">
        <w:rPr>
          <w:rFonts w:ascii="Times New Roman" w:hAnsi="Times New Roman"/>
          <w:color w:val="000000" w:themeColor="text1"/>
          <w:sz w:val="16"/>
          <w:szCs w:val="16"/>
          <w:lang w:val="en-US"/>
        </w:rPr>
        <w:t>KB</w:t>
      </w:r>
      <w:r w:rsidRPr="00D03F3E">
        <w:rPr>
          <w:rFonts w:ascii="Times New Roman" w:hAnsi="Times New Roman"/>
          <w:color w:val="000000" w:themeColor="text1"/>
          <w:sz w:val="16"/>
          <w:szCs w:val="16"/>
        </w:rPr>
        <w:t xml:space="preserve">-1С, так как занимался только производством корпусов самоходок </w:t>
      </w:r>
      <w:r w:rsidRPr="00D03F3E">
        <w:rPr>
          <w:rFonts w:ascii="Times New Roman" w:hAnsi="Times New Roman"/>
          <w:color w:val="000000" w:themeColor="text1"/>
          <w:sz w:val="16"/>
          <w:szCs w:val="16"/>
          <w:lang w:val="en-US"/>
        </w:rPr>
        <w:t>KB</w:t>
      </w:r>
      <w:r w:rsidRPr="00D03F3E">
        <w:rPr>
          <w:rFonts w:ascii="Times New Roman" w:hAnsi="Times New Roman"/>
          <w:color w:val="000000" w:themeColor="text1"/>
          <w:sz w:val="16"/>
          <w:szCs w:val="16"/>
        </w:rPr>
        <w:t>-14 (СУ-152). По донесению военпреда на Ки</w:t>
      </w:r>
      <w:r w:rsidRPr="00D03F3E">
        <w:rPr>
          <w:rFonts w:ascii="Times New Roman" w:hAnsi="Times New Roman"/>
          <w:color w:val="000000" w:themeColor="text1"/>
          <w:sz w:val="16"/>
          <w:szCs w:val="16"/>
        </w:rPr>
        <w:softHyphen/>
        <w:t>ровском заводе, предприятие могло бы пере</w:t>
      </w:r>
      <w:r w:rsidRPr="00D03F3E">
        <w:rPr>
          <w:rFonts w:ascii="Times New Roman" w:hAnsi="Times New Roman"/>
          <w:color w:val="000000" w:themeColor="text1"/>
          <w:sz w:val="16"/>
          <w:szCs w:val="16"/>
        </w:rPr>
        <w:softHyphen/>
        <w:t>выполнить программу по танкам, но этому помешало следующее:</w:t>
      </w:r>
    </w:p>
    <w:p w14:paraId="1BEE44FC" w14:textId="77777777" w:rsidR="00C57815" w:rsidRPr="00D03F3E" w:rsidRDefault="00C57815"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«1. Частые перебои из-за отсутствия угля, электроэнергии и пара.</w:t>
      </w:r>
    </w:p>
    <w:p w14:paraId="1ED939A3" w14:textId="77777777" w:rsidR="00C57815" w:rsidRPr="00D03F3E" w:rsidRDefault="00C57815" w:rsidP="00D03F3E">
      <w:pPr>
        <w:pStyle w:val="27"/>
        <w:shd w:val="clear" w:color="auto" w:fill="auto"/>
        <w:tabs>
          <w:tab w:val="left" w:pos="326"/>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2. Исключительно плохое обеспечение за</w:t>
      </w:r>
      <w:r w:rsidRPr="00D03F3E">
        <w:rPr>
          <w:rFonts w:ascii="Times New Roman" w:cs="Times New Roman"/>
          <w:color w:val="000000" w:themeColor="text1"/>
          <w:spacing w:val="0"/>
        </w:rPr>
        <w:softHyphen/>
        <w:t xml:space="preserve">вода корпусами башнями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w:t>
      </w:r>
    </w:p>
    <w:p w14:paraId="0E84DDA3" w14:textId="77777777" w:rsidR="00C57815" w:rsidRPr="00D03F3E" w:rsidRDefault="00C57815" w:rsidP="00D03F3E">
      <w:pPr>
        <w:pStyle w:val="27"/>
        <w:shd w:val="clear" w:color="auto" w:fill="auto"/>
        <w:tabs>
          <w:tab w:val="left" w:pos="322"/>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3. Из-за отсутствия металла были перебои с траками».</w:t>
      </w:r>
    </w:p>
    <w:p w14:paraId="1A376B44" w14:textId="77777777" w:rsidR="00C57815" w:rsidRPr="00D03F3E" w:rsidRDefault="00C57815"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Как видно, причины невыполнения плана по КВ-1С повторяются из месяца в месяц — проблемы с электричеством и углем, недопо</w:t>
      </w:r>
      <w:r w:rsidRPr="00D03F3E">
        <w:rPr>
          <w:rFonts w:ascii="Times New Roman" w:cs="Times New Roman"/>
          <w:color w:val="000000" w:themeColor="text1"/>
          <w:spacing w:val="0"/>
        </w:rPr>
        <w:softHyphen/>
        <w:t>ставка бронекорпусов и башен. Особо хочется остановиться на ремонт</w:t>
      </w:r>
      <w:r w:rsidRPr="00D03F3E">
        <w:rPr>
          <w:rFonts w:ascii="Times New Roman" w:cs="Times New Roman"/>
          <w:color w:val="000000" w:themeColor="text1"/>
          <w:spacing w:val="0"/>
        </w:rPr>
        <w:softHyphen/>
        <w:t>ных танках, упомянутых выше. Дело в том, что Кировский завод производил ремонт по</w:t>
      </w:r>
      <w:r w:rsidRPr="00D03F3E">
        <w:rPr>
          <w:rFonts w:ascii="Times New Roman" w:cs="Times New Roman"/>
          <w:color w:val="000000" w:themeColor="text1"/>
          <w:spacing w:val="0"/>
        </w:rPr>
        <w:softHyphen/>
        <w:t>ступающих на него с фронтов танков крайне мало, к тому же с большой неохотой. Но тут была особая ситуация — из 11 ремонтных лишь две машины (КВ-1) прибыли из воин</w:t>
      </w:r>
      <w:r w:rsidRPr="00D03F3E">
        <w:rPr>
          <w:rFonts w:ascii="Times New Roman" w:cs="Times New Roman"/>
          <w:color w:val="000000" w:themeColor="text1"/>
          <w:spacing w:val="0"/>
        </w:rPr>
        <w:softHyphen/>
        <w:t>ских частей, а остальные оказались повреж</w:t>
      </w:r>
      <w:r w:rsidRPr="00D03F3E">
        <w:rPr>
          <w:rFonts w:ascii="Times New Roman" w:cs="Times New Roman"/>
          <w:color w:val="000000" w:themeColor="text1"/>
          <w:spacing w:val="0"/>
        </w:rPr>
        <w:softHyphen/>
        <w:t>дены при аварии.</w:t>
      </w:r>
    </w:p>
    <w:p w14:paraId="5B1ADA41" w14:textId="77777777" w:rsidR="00C57815" w:rsidRPr="00D03F3E" w:rsidRDefault="00C57815"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Вообще говоря, основной причиной невы</w:t>
      </w:r>
      <w:r w:rsidRPr="00D03F3E">
        <w:rPr>
          <w:rFonts w:ascii="Times New Roman" w:cs="Times New Roman"/>
          <w:color w:val="000000" w:themeColor="text1"/>
          <w:spacing w:val="0"/>
        </w:rPr>
        <w:softHyphen/>
        <w:t xml:space="preserve">полнения плана выпуска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являлась не</w:t>
      </w:r>
      <w:r w:rsidRPr="00D03F3E">
        <w:rPr>
          <w:rFonts w:ascii="Times New Roman" w:cs="Times New Roman"/>
          <w:color w:val="000000" w:themeColor="text1"/>
          <w:spacing w:val="0"/>
        </w:rPr>
        <w:softHyphen/>
        <w:t>допоставка бронекорпусов и башен с завода № 200 — при плане 1-го квартала 1943 года в 315 комплектов, предприятие дало всего 209 (66,2%). Кроме этого завод изготовил во</w:t>
      </w:r>
      <w:r w:rsidRPr="00D03F3E">
        <w:rPr>
          <w:rFonts w:ascii="Times New Roman" w:cs="Times New Roman"/>
          <w:color w:val="000000" w:themeColor="text1"/>
          <w:spacing w:val="0"/>
        </w:rPr>
        <w:softHyphen/>
        <w:t xml:space="preserve">семь башен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 это были опытные ра</w:t>
      </w:r>
      <w:r w:rsidRPr="00D03F3E">
        <w:rPr>
          <w:rFonts w:ascii="Times New Roman" w:cs="Times New Roman"/>
          <w:color w:val="000000" w:themeColor="text1"/>
          <w:spacing w:val="0"/>
        </w:rPr>
        <w:softHyphen/>
        <w:t>боты (из стали 8С и отлитые в кокиль). В от</w:t>
      </w:r>
      <w:r w:rsidRPr="00D03F3E">
        <w:rPr>
          <w:rFonts w:ascii="Times New Roman" w:cs="Times New Roman"/>
          <w:color w:val="000000" w:themeColor="text1"/>
          <w:spacing w:val="0"/>
        </w:rPr>
        <w:softHyphen/>
        <w:t>чете о работах завода № 200 за 1-й квартал 1943 года говорилось:</w:t>
      </w:r>
    </w:p>
    <w:p w14:paraId="3033E58D" w14:textId="77777777" w:rsidR="00C57815" w:rsidRPr="00D03F3E" w:rsidRDefault="00C57815"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«Причины невыполнения плана: недоста</w:t>
      </w:r>
      <w:r w:rsidRPr="00D03F3E">
        <w:rPr>
          <w:rFonts w:ascii="Times New Roman" w:cs="Times New Roman"/>
          <w:color w:val="000000" w:themeColor="text1"/>
          <w:spacing w:val="0"/>
        </w:rPr>
        <w:softHyphen/>
        <w:t>ток рабочей силы, большие перебои в снаб</w:t>
      </w:r>
      <w:r w:rsidRPr="00D03F3E">
        <w:rPr>
          <w:rFonts w:ascii="Times New Roman" w:cs="Times New Roman"/>
          <w:color w:val="000000" w:themeColor="text1"/>
          <w:spacing w:val="0"/>
        </w:rPr>
        <w:softHyphen/>
        <w:t>жении завода мазутом, чугуном, углем, электроэнергией, ферросплавами и кисло</w:t>
      </w:r>
      <w:r w:rsidRPr="00D03F3E">
        <w:rPr>
          <w:rFonts w:ascii="Times New Roman" w:cs="Times New Roman"/>
          <w:color w:val="000000" w:themeColor="text1"/>
          <w:spacing w:val="0"/>
        </w:rPr>
        <w:softHyphen/>
        <w:t>родом.</w:t>
      </w:r>
    </w:p>
    <w:p w14:paraId="51FA2851" w14:textId="77777777" w:rsidR="00C57815" w:rsidRPr="00D03F3E" w:rsidRDefault="00C57815"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Для выполнения программы 1-го кварта</w:t>
      </w:r>
      <w:r w:rsidRPr="00D03F3E">
        <w:rPr>
          <w:rFonts w:ascii="Times New Roman" w:cs="Times New Roman"/>
          <w:color w:val="000000" w:themeColor="text1"/>
          <w:spacing w:val="0"/>
        </w:rPr>
        <w:softHyphen/>
        <w:t>ла недоставало квалифицированных рабо</w:t>
      </w:r>
      <w:r w:rsidRPr="00D03F3E">
        <w:rPr>
          <w:rFonts w:ascii="Times New Roman" w:cs="Times New Roman"/>
          <w:color w:val="000000" w:themeColor="text1"/>
          <w:spacing w:val="0"/>
        </w:rPr>
        <w:softHyphen/>
        <w:t>чих - карусельщиков, расточников, сварщи</w:t>
      </w:r>
      <w:r w:rsidRPr="00D03F3E">
        <w:rPr>
          <w:rFonts w:ascii="Times New Roman" w:cs="Times New Roman"/>
          <w:color w:val="000000" w:themeColor="text1"/>
          <w:spacing w:val="0"/>
        </w:rPr>
        <w:softHyphen/>
        <w:t>ков. В помощь заводу № 200 было доставлено на самолетах 200 человек квалифицирован</w:t>
      </w:r>
      <w:r w:rsidRPr="00D03F3E">
        <w:rPr>
          <w:rFonts w:ascii="Times New Roman" w:cs="Times New Roman"/>
          <w:color w:val="000000" w:themeColor="text1"/>
          <w:spacing w:val="0"/>
        </w:rPr>
        <w:softHyphen/>
        <w:t>ных рабочих с заводов № 180, 40 и 112. Кро</w:t>
      </w:r>
      <w:r w:rsidRPr="00D03F3E">
        <w:rPr>
          <w:rFonts w:ascii="Times New Roman" w:cs="Times New Roman"/>
          <w:color w:val="000000" w:themeColor="text1"/>
          <w:spacing w:val="0"/>
        </w:rPr>
        <w:softHyphen/>
        <w:t>ме того, в различных организациях Челябин</w:t>
      </w:r>
      <w:r w:rsidRPr="00D03F3E">
        <w:rPr>
          <w:rFonts w:ascii="Times New Roman" w:cs="Times New Roman"/>
          <w:color w:val="000000" w:themeColor="text1"/>
          <w:spacing w:val="0"/>
        </w:rPr>
        <w:softHyphen/>
        <w:t>ской области было набрано около 60 человек. Однако этого тоже недостаточно...</w:t>
      </w:r>
    </w:p>
    <w:p w14:paraId="04E979F4" w14:textId="77777777" w:rsidR="00C57815" w:rsidRPr="00D03F3E" w:rsidRDefault="00C57815"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настоящее время ведется и частью уже проведена большая и важная работа по ли</w:t>
      </w:r>
      <w:r w:rsidRPr="00D03F3E">
        <w:rPr>
          <w:rFonts w:ascii="Times New Roman" w:cs="Times New Roman"/>
          <w:color w:val="000000" w:themeColor="text1"/>
          <w:spacing w:val="0"/>
        </w:rPr>
        <w:softHyphen/>
        <w:t>тью башен из стали 8С высокой твердости.</w:t>
      </w:r>
    </w:p>
    <w:p w14:paraId="0BF846E8" w14:textId="77777777" w:rsidR="00C57815" w:rsidRPr="00D03F3E" w:rsidRDefault="00C57815"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Проведена опытная работа по сокраще</w:t>
      </w:r>
      <w:r w:rsidRPr="00D03F3E">
        <w:rPr>
          <w:rFonts w:ascii="Times New Roman" w:cs="Times New Roman"/>
          <w:color w:val="000000" w:themeColor="text1"/>
          <w:spacing w:val="0"/>
        </w:rPr>
        <w:softHyphen/>
        <w:t>нию цикла термообработки башен из стали 66</w:t>
      </w:r>
      <w:r w:rsidRPr="00D03F3E">
        <w:rPr>
          <w:rFonts w:ascii="Times New Roman" w:cs="Times New Roman"/>
          <w:color w:val="000000" w:themeColor="text1"/>
          <w:spacing w:val="0"/>
          <w:lang w:val="en-US"/>
        </w:rPr>
        <w:t>JI</w:t>
      </w:r>
      <w:r w:rsidRPr="00D03F3E">
        <w:rPr>
          <w:rFonts w:ascii="Times New Roman" w:cs="Times New Roman"/>
          <w:color w:val="000000" w:themeColor="text1"/>
          <w:spacing w:val="0"/>
        </w:rPr>
        <w:t xml:space="preserve"> (отмена высокого отпуска после норма</w:t>
      </w:r>
      <w:r w:rsidRPr="00D03F3E">
        <w:rPr>
          <w:rFonts w:ascii="Times New Roman" w:cs="Times New Roman"/>
          <w:color w:val="000000" w:themeColor="text1"/>
          <w:spacing w:val="0"/>
        </w:rPr>
        <w:softHyphen/>
        <w:t>лизации)» (15226).</w:t>
      </w:r>
    </w:p>
    <w:p w14:paraId="4EC4EDC6" w14:textId="77777777" w:rsidR="00C57815" w:rsidRPr="00D03F3E" w:rsidRDefault="00C57815" w:rsidP="00D03F3E">
      <w:pPr>
        <w:pStyle w:val="27"/>
        <w:shd w:val="clear" w:color="auto" w:fill="auto"/>
        <w:spacing w:after="0" w:line="240" w:lineRule="auto"/>
        <w:ind w:firstLine="0"/>
        <w:rPr>
          <w:rFonts w:ascii="Times New Roman" w:cs="Times New Roman"/>
          <w:color w:val="000000" w:themeColor="text1"/>
          <w:spacing w:val="0"/>
        </w:rPr>
      </w:pPr>
    </w:p>
    <w:p w14:paraId="73E2A74F" w14:textId="77777777" w:rsidR="004A45BE" w:rsidRPr="00D03F3E" w:rsidRDefault="004A45BE" w:rsidP="00D03F3E">
      <w:pPr>
        <w:pStyle w:val="a3"/>
        <w:rPr>
          <w:color w:val="000000" w:themeColor="text1"/>
          <w:lang w:val="ru-RU"/>
        </w:rPr>
      </w:pPr>
      <w:r w:rsidRPr="00D03F3E">
        <w:rPr>
          <w:color w:val="000000" w:themeColor="text1"/>
          <w:lang w:val="ru-RU"/>
        </w:rPr>
        <w:t>В марте 1943 года внесли первые изменения в конструкцию СУ-152 (так самоходную установ</w:t>
      </w:r>
      <w:r w:rsidRPr="00D03F3E">
        <w:rPr>
          <w:color w:val="000000" w:themeColor="text1"/>
          <w:lang w:val="ru-RU"/>
        </w:rPr>
        <w:softHyphen/>
        <w:t>ку КВ-14 стали именовать с конца апреля 1943 года). Для начала, были проведены изменения по первоочередному списку улучшений, утвержденному по итогам испытаний опытного образца САУ. Из внешних изменений стоит упомянуть целик грубой наводки, появившийся на смотровом приборе механика-водителя. Представлял он наварку прутка посередине смотровой щели. Из более заметных из</w:t>
      </w:r>
      <w:r w:rsidRPr="00D03F3E">
        <w:rPr>
          <w:color w:val="000000" w:themeColor="text1"/>
          <w:lang w:val="ru-RU"/>
        </w:rPr>
        <w:softHyphen/>
        <w:t>менений стоит отметить упрощенную конструкцию поручней. Если на первых СУ-152 поручни были соединены друг с другом, то в марте их сделали раздельными, что упростило производство. Упрощениям подверглась и крышка над неподвижной бронировкой системы. Если раньше она была несколько округлой формы, то теперь ее форма стала более угловатой. На правом заднем борту рубки появилось крепление кирки (17484).</w:t>
      </w:r>
    </w:p>
    <w:p w14:paraId="59396E7E" w14:textId="77777777" w:rsidR="004A45BE" w:rsidRPr="00D03F3E" w:rsidRDefault="004A45BE" w:rsidP="00D03F3E">
      <w:pPr>
        <w:spacing w:after="0" w:line="240" w:lineRule="auto"/>
        <w:jc w:val="both"/>
        <w:rPr>
          <w:rFonts w:ascii="Times New Roman" w:hAnsi="Times New Roman"/>
          <w:color w:val="000000" w:themeColor="text1"/>
          <w:sz w:val="16"/>
          <w:szCs w:val="16"/>
        </w:rPr>
      </w:pPr>
    </w:p>
    <w:p w14:paraId="0B50CE17" w14:textId="77777777" w:rsidR="007F0261" w:rsidRPr="00D03F3E"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марте 1943 года были внесены первые изменения в конструкцию КВ-14. Были проведены изменения по первоочередному списку улучшений, утвержденному по итогам испытаний опытного образца САУ. Из внешних изменений стоит упомянуть целик грубой наводки, появившийся на смотровом приборе механика-водителя. Представлял он наварку прутка посередине смотровой щели. Стоит упомянуть и упрощенную конструкцию поручней. Если на первых СУ-152 поручни были соединены друг с другом, то в марте их сделали раздельными, что упростило производство. Упрощению подверглась и конструкция крышки над неподвижной бронировкой системы. Если раньше она имела немного округлую форму, теперь она стала более угловатой. На правом заднем борту рубки появилось крепление кирки.</w:t>
      </w:r>
    </w:p>
    <w:p w14:paraId="35FEF490" w14:textId="77777777" w:rsidR="007F0261" w:rsidRPr="00D03F3E"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Несмотря на то, что сборкой корпусов СУ-152 занимался только один завод, определенное разнообразие во внешнем облике самоходной установки все же имелось. Поначалу листы для рубки нарезались довольно аккуратно, но уже в марте стало не до красот. Задний люк, который поначалу несколько скруглялся, стал иметь ярко выраженные грубые формы. С бортами рубки не церемонились: их нарезали так, что зачастую кромки листов торчали выше уровня крыши, закрывая обзор перископическим приборам наблюдения. Для того, чтобы через приборы можно было что-то видеть, выступающие кромки частично зачищались. Подобные «украшения» несли далеко не все самоходные установки, да и кромки могли выступать на разную высоту, что придавало машинам некоторую индивидуальность.</w:t>
      </w:r>
    </w:p>
    <w:p w14:paraId="10F91899" w14:textId="77777777" w:rsidR="007F0261" w:rsidRPr="00D03F3E"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Кроме того, при сборке использовались балансиры двух типов – обычные и облегченные, которые ввели для КВ-1с с декабря 1942 года. Еще одной отличительной чертой ряда самоходных установок стал противовес, который иногда крепился на орудийной маске. Наличие противовеса не являлось признаком какой-то одной производственной серии, его можно встретить на машинах практически любого времени выпуска (17696).</w:t>
      </w:r>
    </w:p>
    <w:p w14:paraId="3F3168B8" w14:textId="77777777" w:rsidR="007F0261" w:rsidRPr="00D03F3E" w:rsidRDefault="007F0261" w:rsidP="00D03F3E">
      <w:pPr>
        <w:pStyle w:val="12a"/>
        <w:shd w:val="clear" w:color="auto" w:fill="auto"/>
        <w:spacing w:after="0" w:line="240" w:lineRule="auto"/>
        <w:jc w:val="both"/>
        <w:rPr>
          <w:color w:val="000000" w:themeColor="text1"/>
          <w:sz w:val="16"/>
          <w:szCs w:val="16"/>
        </w:rPr>
      </w:pPr>
    </w:p>
    <w:p w14:paraId="658B2B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установка огнемета ОП-34 была проверена работой на трех танках ОТ-34-76, дальность огнеметания со</w:t>
      </w:r>
      <w:r w:rsidRPr="00D03F3E">
        <w:rPr>
          <w:rFonts w:ascii="Times New Roman" w:hAnsi="Times New Roman"/>
          <w:color w:val="000000" w:themeColor="text1"/>
          <w:sz w:val="16"/>
          <w:szCs w:val="16"/>
        </w:rPr>
        <w:softHyphen/>
        <w:t>ставила 40 - 60 м. Испытания показали целесообразность применения на танке Т-34 огнемета ОП-34 и, после внесения доработок в соответст</w:t>
      </w:r>
      <w:r w:rsidRPr="00D03F3E">
        <w:rPr>
          <w:rFonts w:ascii="Times New Roman" w:hAnsi="Times New Roman"/>
          <w:color w:val="000000" w:themeColor="text1"/>
          <w:sz w:val="16"/>
          <w:szCs w:val="16"/>
        </w:rPr>
        <w:softHyphen/>
        <w:t>вии с замечаниями комиссии по испытаниям, он был рекомендован к принятию на вооружение (10703).</w:t>
      </w:r>
    </w:p>
    <w:p w14:paraId="2700FFC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622B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установка огне</w:t>
      </w:r>
      <w:r w:rsidRPr="00D03F3E">
        <w:rPr>
          <w:rFonts w:ascii="Times New Roman" w:hAnsi="Times New Roman"/>
          <w:color w:val="000000" w:themeColor="text1"/>
          <w:sz w:val="16"/>
          <w:szCs w:val="16"/>
        </w:rPr>
        <w:softHyphen/>
        <w:t>мета ОП-34 была проверена работой на трех танках Т-34-76. Испытания показали целесообразность применения на танке Т-34 огнемета ОП-34 и после внесения соответствующих доработок по замечаниям комиссии он был рекомендован к принятию на вооружение. На вооружение танк Т-34-76 с огнеметом ОП-34 не принимался и в серийном производстве не состоял (10703).</w:t>
      </w:r>
    </w:p>
    <w:p w14:paraId="0D22E1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210B57"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года произошло еще одно событие, позволившее повысить качество и надежность тридцатьчетверок. Правда о нем практически нигде не упоминается. Дело в том, что 29 марта 1943 года было подписано постановление ГКО N° 3092сс, вводившее в действие новые методы приемки и испытаний танков на заводах. При подготовке этого документа использовались и материалы конференции по качеству Т-34, прошедшей в сентябре 1942 года (12217).</w:t>
      </w:r>
    </w:p>
    <w:p w14:paraId="24BCCAFE"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79C44990"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марта 1943 года проводились испытания танков завода № 112 на гарантийный километраж. Всего испытывалось 16 машин, из них выдержали испытания 8 штук. Из не выдержавших 8 тридцатьчетверок четыре сошли с дистанции по вине завода № 76, восставлявшего дизеля В-2 на «Красное Сормово». Поначалу испытания Т-</w:t>
      </w:r>
      <w:r w:rsidRPr="00D03F3E">
        <w:rPr>
          <w:rFonts w:ascii="Times New Roman" w:hAnsi="Times New Roman"/>
          <w:color w:val="000000" w:themeColor="text1"/>
          <w:sz w:val="16"/>
          <w:szCs w:val="16"/>
        </w:rPr>
        <w:lastRenderedPageBreak/>
        <w:t>34 пробегами проводились на небольшой километраж, и по существу не испытывались, а проходили обкатку. В результате этого дефекты не выявлялись и не устранялись. Но уже в середине 1942 года создается специальный сдаточный участок с задачей испытания машин пробегами (12217).</w:t>
      </w:r>
    </w:p>
    <w:p w14:paraId="7A470A9A"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126EA85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старшим техником-лейтенантом В.Д. Фаерштейном было подано пред</w:t>
      </w:r>
      <w:r w:rsidRPr="00D03F3E">
        <w:rPr>
          <w:rFonts w:ascii="Times New Roman" w:hAnsi="Times New Roman"/>
          <w:color w:val="000000" w:themeColor="text1"/>
          <w:sz w:val="16"/>
          <w:szCs w:val="16"/>
        </w:rPr>
        <w:softHyphen/>
        <w:t>ложение по установке на танк Т-34 специальных броневых щитов, при</w:t>
      </w:r>
      <w:r w:rsidRPr="00D03F3E">
        <w:rPr>
          <w:rFonts w:ascii="Times New Roman" w:hAnsi="Times New Roman"/>
          <w:color w:val="000000" w:themeColor="text1"/>
          <w:sz w:val="16"/>
          <w:szCs w:val="16"/>
        </w:rPr>
        <w:softHyphen/>
        <w:t>крывавших перевозимый на танке десант. Согласно предложению бро</w:t>
      </w:r>
      <w:r w:rsidRPr="00D03F3E">
        <w:rPr>
          <w:rFonts w:ascii="Times New Roman" w:hAnsi="Times New Roman"/>
          <w:color w:val="000000" w:themeColor="text1"/>
          <w:sz w:val="16"/>
          <w:szCs w:val="16"/>
        </w:rPr>
        <w:softHyphen/>
        <w:t>невые щиты толщиной 13,5 мм крепились к корпусу танка на петлях в его кормовой части. В боевом положении щиты образовывали броне</w:t>
      </w:r>
      <w:r w:rsidRPr="00D03F3E">
        <w:rPr>
          <w:rFonts w:ascii="Times New Roman" w:hAnsi="Times New Roman"/>
          <w:color w:val="000000" w:themeColor="text1"/>
          <w:sz w:val="16"/>
          <w:szCs w:val="16"/>
        </w:rPr>
        <w:softHyphen/>
        <w:t>вую коробку (платформу) над крышей моторного и трансмиссионного отделений, не мешая вращению башни. Кормовой броневой лист короб</w:t>
      </w:r>
      <w:r w:rsidRPr="00D03F3E">
        <w:rPr>
          <w:rFonts w:ascii="Times New Roman" w:hAnsi="Times New Roman"/>
          <w:color w:val="000000" w:themeColor="text1"/>
          <w:sz w:val="16"/>
          <w:szCs w:val="16"/>
        </w:rPr>
        <w:softHyphen/>
        <w:t>ки связывался с бортовыми щитами с помощью угольников, приварен</w:t>
      </w:r>
      <w:r w:rsidRPr="00D03F3E">
        <w:rPr>
          <w:rFonts w:ascii="Times New Roman" w:hAnsi="Times New Roman"/>
          <w:color w:val="000000" w:themeColor="text1"/>
          <w:sz w:val="16"/>
          <w:szCs w:val="16"/>
        </w:rPr>
        <w:softHyphen/>
        <w:t>ных к его торцам, и крючков. В каждом щите были сделаны отверстия для стрельбы из автоматов. Десант располагался за щитами лежа или полулежа. При высадке десанта щиты откидывались вниз па петлях. Ус</w:t>
      </w:r>
      <w:r w:rsidRPr="00D03F3E">
        <w:rPr>
          <w:rFonts w:ascii="Times New Roman" w:hAnsi="Times New Roman"/>
          <w:color w:val="000000" w:themeColor="text1"/>
          <w:sz w:val="16"/>
          <w:szCs w:val="16"/>
        </w:rPr>
        <w:softHyphen/>
        <w:t>тановка щитов не требовала конструктивной переделки корпуса тапка и могла быть выполнена силами армейских мастерских из ненужных кор</w:t>
      </w:r>
      <w:r w:rsidRPr="00D03F3E">
        <w:rPr>
          <w:rFonts w:ascii="Times New Roman" w:hAnsi="Times New Roman"/>
          <w:color w:val="000000" w:themeColor="text1"/>
          <w:sz w:val="16"/>
          <w:szCs w:val="16"/>
        </w:rPr>
        <w:softHyphen/>
        <w:t>пусов старых легких танков. Представленное предложение еще в 1942 г. было проверено в боевых условиях на Калининском фронте в одной из танковых бригад, когда не</w:t>
      </w:r>
      <w:r w:rsidRPr="00D03F3E">
        <w:rPr>
          <w:rFonts w:ascii="Times New Roman" w:hAnsi="Times New Roman"/>
          <w:color w:val="000000" w:themeColor="text1"/>
          <w:sz w:val="16"/>
          <w:szCs w:val="16"/>
        </w:rPr>
        <w:softHyphen/>
        <w:t>сколько танков были по инициативе автора оборудованы предлагаемыми щитами. Результаты проверки в боевых условиях были положительные. Однако данное предложение было отклонено отделом изобретений ТУ ГБТУ, гак как, по его мнению "не содержало в себе чего-либо нового" (10703).</w:t>
      </w:r>
    </w:p>
    <w:p w14:paraId="3A3DB9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FC62B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после проведения всесторонних испытаний трал ПТ-34 под маркой ПТ-3 был принят для серий</w:t>
      </w:r>
      <w:r w:rsidRPr="00D03F3E">
        <w:rPr>
          <w:rFonts w:ascii="Times New Roman" w:hAnsi="Times New Roman"/>
          <w:color w:val="000000" w:themeColor="text1"/>
          <w:sz w:val="16"/>
          <w:szCs w:val="16"/>
        </w:rPr>
        <w:softHyphen/>
        <w:t>ного производства па Тульском машиностроительном заводе и заводе "Комсомолец". Таким образом, с апреля 1943 г. на вооружение броне</w:t>
      </w:r>
      <w:r w:rsidRPr="00D03F3E">
        <w:rPr>
          <w:rFonts w:ascii="Times New Roman" w:hAnsi="Times New Roman"/>
          <w:color w:val="000000" w:themeColor="text1"/>
          <w:sz w:val="16"/>
          <w:szCs w:val="16"/>
        </w:rPr>
        <w:softHyphen/>
        <w:t>танковых и механизированных войск РККА стал поступать серийно из</w:t>
      </w:r>
      <w:r w:rsidRPr="00D03F3E">
        <w:rPr>
          <w:rFonts w:ascii="Times New Roman" w:hAnsi="Times New Roman"/>
          <w:color w:val="000000" w:themeColor="text1"/>
          <w:sz w:val="16"/>
          <w:szCs w:val="16"/>
        </w:rPr>
        <w:softHyphen/>
        <w:t>готавливавшийся катковый минный трал ПТ-3, созданный под непо</w:t>
      </w:r>
      <w:r w:rsidRPr="00D03F3E">
        <w:rPr>
          <w:rFonts w:ascii="Times New Roman" w:hAnsi="Times New Roman"/>
          <w:color w:val="000000" w:themeColor="text1"/>
          <w:sz w:val="16"/>
          <w:szCs w:val="16"/>
        </w:rPr>
        <w:softHyphen/>
        <w:t>средственным руководством П.М. Мугалева - преподавателя Военно-инженерной академии им. Куйбышева (10703). Трал ПТ-3 вполне оправдал себя в ходе боевых действий. Первое бо</w:t>
      </w:r>
      <w:r w:rsidRPr="00D03F3E">
        <w:rPr>
          <w:rFonts w:ascii="Times New Roman" w:hAnsi="Times New Roman"/>
          <w:color w:val="000000" w:themeColor="text1"/>
          <w:sz w:val="16"/>
          <w:szCs w:val="16"/>
        </w:rPr>
        <w:softHyphen/>
        <w:t>евое крещение отдельная танковая рота, тапки которой были оснащены градами ПТ-3, получила па Центральном фронте в полосе действия 16 Л, а два танковых полка, с установленными на тапки этими же трала</w:t>
      </w:r>
      <w:r w:rsidRPr="00D03F3E">
        <w:rPr>
          <w:rFonts w:ascii="Times New Roman" w:hAnsi="Times New Roman"/>
          <w:color w:val="000000" w:themeColor="text1"/>
          <w:sz w:val="16"/>
          <w:szCs w:val="16"/>
        </w:rPr>
        <w:softHyphen/>
        <w:t>ми, в июле</w:t>
      </w:r>
      <w:r w:rsidRPr="00D03F3E">
        <w:rPr>
          <w:rFonts w:ascii="Times New Roman" w:hAnsi="Times New Roman"/>
          <w:color w:val="000000" w:themeColor="text1"/>
          <w:sz w:val="16"/>
          <w:szCs w:val="16"/>
          <w:vertAlign w:val="superscript"/>
        </w:rPr>
        <w:t>1</w:t>
      </w:r>
      <w:r w:rsidRPr="00D03F3E">
        <w:rPr>
          <w:rFonts w:ascii="Times New Roman" w:hAnsi="Times New Roman"/>
          <w:color w:val="000000" w:themeColor="text1"/>
          <w:sz w:val="16"/>
          <w:szCs w:val="16"/>
        </w:rPr>
        <w:t xml:space="preserve"> 1943 г. в ходе наступления на Курской дуге (10703).</w:t>
      </w:r>
    </w:p>
    <w:p w14:paraId="29633E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71D2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опытный образец Т-43 прошел испытания. Новый танк в основном сохранил форму корпуса, двигатель, трансмиссию, ходовую часть и пушку своего предшественника. С Т-34 было унифицировано 78,5 % деталей. Основное отличие было в усилении бронирования до 75 мм в лобовых, бортовых и кормовых деталях корпуса, а башне - до 90 мм. Место механика-водителя и его люк размещались теперь справа. Лобовой пулемет отсутствовал. Экипаж танка состоял из четырех человек. Самое же главное, танк получил торсионную подвеску. Масса его возросла, что привело к снижению проходимости, запаса хода и максимальной скорости.</w:t>
      </w:r>
    </w:p>
    <w:p w14:paraId="2C961E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Т-43, не имевший никакого преимущества перед Т-34 в части вооружения, на вооружение принят не был, тем более, что освоение производства нового танка привело бы к резкому сокращению выпуска средних танков. Некоторые работы с Т-43 продолжались еще и в 1944 году. Тогда была разработана новая башня с 85-мм пушкой (Т-43-85), что привело к дальнейшему увеличению массы и снижению маневренности танка (3905).</w:t>
      </w:r>
    </w:p>
    <w:p w14:paraId="162242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579F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другим данным с марта 1943 испытания проходили два Т-43, которым предшествовал Т-43-1, построенный в конце 1942. Проводились и фронтовые испытания, в т.ч. в составе отдельной танковой роты им. НКСМ. Выявили снижение скорости и маневренности из-за увеличения веса (4390).</w:t>
      </w:r>
    </w:p>
    <w:p w14:paraId="2B7CBB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3E06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под руководством В.Ниценко была разработана новая башня для Т-43 под 76мм Ф-34 или ЗИС-5 (7637,26).</w:t>
      </w:r>
    </w:p>
    <w:p w14:paraId="458AA5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0C2C78" w14:textId="77777777" w:rsidR="007F0261" w:rsidRPr="00D03F3E" w:rsidRDefault="007F0261"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марте 1943 года прошли заводские испытания 45-мм пушки ВТ-42, установленной в лёгком танке Т-70. Это орудие имело баллистику 45-мм противотанковой пушки обр.1942 года. Возникла закономерная идея поставить это более мощное орудие и в Т-80. Переработанная система получила обозначение ВТ-43. Установили её как раз в один из танков, которые изготовили на ГАЗ им. Молотова. Именно благодаря отчётам об испытаниях ВТ-43 можно увидеть, как выглядел серийный Т-80, построенный в Горьком, но так и не оказавшийся в боевой части.</w:t>
      </w:r>
    </w:p>
    <w:p w14:paraId="3512DA5A" w14:textId="77777777" w:rsidR="007F0261" w:rsidRPr="00D03F3E" w:rsidRDefault="007F0261"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план опытных работ ОКБ-172 и завода №235 тема «45-мм танковой пушки с баллистикой М-42», обеспечивающей ведение огня из Т-80, была включена ещё в конце декабря 1942 года. Кроме того, в январе 1943 года ОКБ-15 запустила программу проектирования «универсальной установки 45-мм пушки ОКБ-15 в танк Т-80». В этом случае речь шла об автоматической авиационной пушке НС-45, развитии темы ЗУТ-37. На этом направлении дальше заказа и эскизного проектирования данные работы не продвинулись (17712).</w:t>
      </w:r>
    </w:p>
    <w:p w14:paraId="2F4F71C2" w14:textId="77777777" w:rsidR="007F0261" w:rsidRPr="00D03F3E"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5CBE8C2" w14:textId="77777777" w:rsidR="007F0261" w:rsidRPr="00D03F3E"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марте 1943 года о серийном производстве Cromwell, Centaur и Cavalier стало известно агентам ГРУ. Был составлен доклад, который через начальника 3 Управления ГРУ КА генерал-майора В. Е. Хлопова передали в Главное бронетанковое управление (ГБТУ). Согласно докладу, количество выпущенных «Кромвелей» достигло к марту 1943 года 8–10 тысяч (!) штук, каждый день их выпускалось по 45 штук силами 15 предприятий. Эту информацию получили от всё того же Ольховского.</w:t>
      </w:r>
    </w:p>
    <w:p w14:paraId="4AAD26AE" w14:textId="77777777" w:rsidR="007F0261" w:rsidRPr="00D03F3E"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На основании полученных сведений Хлопов предлагал более не закупать «Матильды», а запросить танки нового типа. 3 апреля в адрес Молотова с предложением закупать вместо «Матильд» танки «Кромвель» обратился начальник ГБТУ КА генерал-полковник Федоренко. Торговое представительство СССР в Великобритании, а также агенты ГРУ получили задание достать как можно больше информации по новым английским танкам. Быстро выяснилось, что Centaur оснащается двигателем Nuffield-Liberty, потому интерес к нему тут же угас. Впрочем, предложение о поставках Centaur имело место, поскольку 14 мая 1943 года поступил ответ из Британской военной миссии в СССР (17645).</w:t>
      </w:r>
    </w:p>
    <w:p w14:paraId="6FB1B0A2" w14:textId="77777777" w:rsidR="007F0261" w:rsidRPr="00D03F3E" w:rsidRDefault="007F0261" w:rsidP="00D03F3E">
      <w:pPr>
        <w:pStyle w:val="12a"/>
        <w:shd w:val="clear" w:color="auto" w:fill="auto"/>
        <w:spacing w:after="0" w:line="240" w:lineRule="auto"/>
        <w:jc w:val="both"/>
        <w:rPr>
          <w:color w:val="000000" w:themeColor="text1"/>
          <w:sz w:val="16"/>
          <w:szCs w:val="16"/>
        </w:rPr>
      </w:pPr>
    </w:p>
    <w:p w14:paraId="0ED22560" w14:textId="77777777" w:rsidR="007F0261" w:rsidRPr="00D03F3E"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В марте 1943 года в США Комитет по вооружениям составил тактико-технические требования на новую машину – Light Tank T24. На нее решили установить 75-мм орудие T13E1, авиационную версию пушки M3, которая ставилась на бомбардировщики </w:t>
      </w:r>
      <w:hyperlink r:id="rId106" w:history="1">
        <w:r w:rsidRPr="00D03F3E">
          <w:rPr>
            <w:rFonts w:ascii="Times New Roman" w:eastAsia="Times New Roman" w:hAnsi="Times New Roman"/>
            <w:color w:val="000000" w:themeColor="text1"/>
            <w:sz w:val="16"/>
            <w:szCs w:val="16"/>
            <w:lang w:eastAsia="ru-RU"/>
          </w:rPr>
          <w:t>B-25G/H</w:t>
        </w:r>
      </w:hyperlink>
      <w:r w:rsidRPr="00D03F3E">
        <w:rPr>
          <w:rFonts w:ascii="Times New Roman" w:eastAsia="Times New Roman" w:hAnsi="Times New Roman"/>
          <w:color w:val="000000" w:themeColor="text1"/>
          <w:sz w:val="16"/>
          <w:szCs w:val="16"/>
          <w:lang w:eastAsia="ru-RU"/>
        </w:rPr>
        <w:t xml:space="preserve"> и имела гораздо меньшую массу. Смежником по разработке танка выступила фирма Cadillac.</w:t>
      </w:r>
    </w:p>
    <w:p w14:paraId="2EF0845B" w14:textId="77777777" w:rsidR="007F0261" w:rsidRPr="00D03F3E"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В качестве силовой установки были взяты уже опробованные на Light Tank M5A1 двигатели Cadillac Series 42. Это, в том числе, унифицировало новую машину с танками более раннего выпуска. Не менее логичным решением стало использование наработок по самоходной установке </w:t>
      </w:r>
      <w:hyperlink r:id="rId107" w:history="1">
        <w:r w:rsidRPr="00D03F3E">
          <w:rPr>
            <w:rFonts w:ascii="Times New Roman" w:eastAsia="Times New Roman" w:hAnsi="Times New Roman"/>
            <w:color w:val="000000" w:themeColor="text1"/>
            <w:sz w:val="16"/>
            <w:szCs w:val="16"/>
            <w:lang w:eastAsia="ru-RU"/>
          </w:rPr>
          <w:t>Gun Motor Carriage T70</w:t>
        </w:r>
      </w:hyperlink>
      <w:r w:rsidRPr="00D03F3E">
        <w:rPr>
          <w:rFonts w:ascii="Times New Roman" w:eastAsia="Times New Roman" w:hAnsi="Times New Roman"/>
          <w:color w:val="000000" w:themeColor="text1"/>
          <w:sz w:val="16"/>
          <w:szCs w:val="16"/>
          <w:lang w:eastAsia="ru-RU"/>
        </w:rPr>
        <w:t>, по которой работало другое подразделение General Motors – Buick. Особенно это касалось ходовой части с торсионной подвеской (17684).</w:t>
      </w:r>
    </w:p>
    <w:p w14:paraId="5C125E8A" w14:textId="77777777" w:rsidR="007F0261" w:rsidRPr="00D03F3E" w:rsidRDefault="007F0261" w:rsidP="00D03F3E">
      <w:pPr>
        <w:pStyle w:val="12a"/>
        <w:shd w:val="clear" w:color="auto" w:fill="auto"/>
        <w:spacing w:after="0" w:line="240" w:lineRule="auto"/>
        <w:jc w:val="both"/>
        <w:rPr>
          <w:color w:val="000000" w:themeColor="text1"/>
          <w:sz w:val="16"/>
          <w:szCs w:val="16"/>
        </w:rPr>
      </w:pPr>
    </w:p>
    <w:p w14:paraId="47C1B8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завод № 38 из-за систематических поломок коробок передач был вынужден временно приостановить серийное производство СУ-76. Конструктивное несовершенство трансмиссии, связанное с параллельной установкой двух карбюраторных двигателей и двух коробок передач, работавших на общий грузовой вал, а также плохие условия обзора местности экипажем были выявлены в результате первого опыта боевого применения самоходных уста</w:t>
      </w:r>
      <w:r w:rsidRPr="00D03F3E">
        <w:rPr>
          <w:rFonts w:ascii="Times New Roman" w:hAnsi="Times New Roman"/>
          <w:color w:val="000000" w:themeColor="text1"/>
          <w:sz w:val="16"/>
          <w:szCs w:val="16"/>
        </w:rPr>
        <w:softHyphen/>
        <w:t>новок, что потребовало существенной доработки конструкции машины (10703).</w:t>
      </w:r>
    </w:p>
    <w:p w14:paraId="6DDFA83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465E6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конструкторы ОКБ-172 получили уточненные ТТТ на 45-мм танко</w:t>
      </w:r>
      <w:r w:rsidRPr="00D03F3E">
        <w:rPr>
          <w:rFonts w:ascii="Times New Roman" w:hAnsi="Times New Roman"/>
          <w:color w:val="000000" w:themeColor="text1"/>
          <w:sz w:val="16"/>
          <w:szCs w:val="16"/>
        </w:rPr>
        <w:softHyphen/>
        <w:t>вую пушку повышенной мощности. В мае 1943 г. два опытных образца Т-70, вооруженных 45-мм пушкой ВТ-42, были готовы к испытаниям. Испыта</w:t>
      </w:r>
      <w:r w:rsidRPr="00D03F3E">
        <w:rPr>
          <w:rFonts w:ascii="Times New Roman" w:hAnsi="Times New Roman"/>
          <w:color w:val="000000" w:themeColor="text1"/>
          <w:sz w:val="16"/>
          <w:szCs w:val="16"/>
        </w:rPr>
        <w:softHyphen/>
        <w:t>ния, по всей видимости, состоялись в июне 1943 г. Собствен</w:t>
      </w:r>
      <w:r w:rsidRPr="00D03F3E">
        <w:rPr>
          <w:rFonts w:ascii="Times New Roman" w:hAnsi="Times New Roman"/>
          <w:color w:val="000000" w:themeColor="text1"/>
          <w:sz w:val="16"/>
          <w:szCs w:val="16"/>
        </w:rPr>
        <w:softHyphen/>
        <w:t>но, никаких неожиданностей эти испытания не принесли. Танк вел себя аналогично серийному Т-70М, лишь сильно выступающий за габариты танка ствол орудия создавал не</w:t>
      </w:r>
      <w:r w:rsidRPr="00D03F3E">
        <w:rPr>
          <w:rFonts w:ascii="Times New Roman" w:hAnsi="Times New Roman"/>
          <w:color w:val="000000" w:themeColor="text1"/>
          <w:sz w:val="16"/>
          <w:szCs w:val="16"/>
        </w:rPr>
        <w:softHyphen/>
        <w:t>которые неудобства во время маневрирования на сильнопе</w:t>
      </w:r>
      <w:r w:rsidRPr="00D03F3E">
        <w:rPr>
          <w:rFonts w:ascii="Times New Roman" w:hAnsi="Times New Roman"/>
          <w:color w:val="000000" w:themeColor="text1"/>
          <w:sz w:val="16"/>
          <w:szCs w:val="16"/>
        </w:rPr>
        <w:softHyphen/>
        <w:t>ресеченной местности...Но огневая мощь танка усилилось. 45-мм танковая пушка ВТ-42 имела ствол длиной 68,6 калибра и клиновой затвор горизонтального типа. При применении боекомп</w:t>
      </w:r>
      <w:r w:rsidRPr="00D03F3E">
        <w:rPr>
          <w:rFonts w:ascii="Times New Roman" w:hAnsi="Times New Roman"/>
          <w:color w:val="000000" w:themeColor="text1"/>
          <w:sz w:val="16"/>
          <w:szCs w:val="16"/>
        </w:rPr>
        <w:softHyphen/>
        <w:t>лекта орудия М-42, начальная скорость бронебойного сна</w:t>
      </w:r>
      <w:r w:rsidRPr="00D03F3E">
        <w:rPr>
          <w:rFonts w:ascii="Times New Roman" w:hAnsi="Times New Roman"/>
          <w:color w:val="000000" w:themeColor="text1"/>
          <w:sz w:val="16"/>
          <w:szCs w:val="16"/>
        </w:rPr>
        <w:softHyphen/>
        <w:t>ряда БР-243СП массой 1,43 кг составляла 960 м/с и позво</w:t>
      </w:r>
      <w:r w:rsidRPr="00D03F3E">
        <w:rPr>
          <w:rFonts w:ascii="Times New Roman" w:hAnsi="Times New Roman"/>
          <w:color w:val="000000" w:themeColor="text1"/>
          <w:sz w:val="16"/>
          <w:szCs w:val="16"/>
        </w:rPr>
        <w:softHyphen/>
        <w:t>ляла бороться практически со всеми немецкими средними танками в борт на всех дистанциях эффективной стрельбы. Пушка ВТ-42 была рекомендована для принятия на во</w:t>
      </w:r>
      <w:r w:rsidRPr="00D03F3E">
        <w:rPr>
          <w:rFonts w:ascii="Times New Roman" w:hAnsi="Times New Roman"/>
          <w:color w:val="000000" w:themeColor="text1"/>
          <w:sz w:val="16"/>
          <w:szCs w:val="16"/>
        </w:rPr>
        <w:softHyphen/>
        <w:t>оружение, но поскольку уже было принято решение о сня</w:t>
      </w:r>
      <w:r w:rsidRPr="00D03F3E">
        <w:rPr>
          <w:rFonts w:ascii="Times New Roman" w:hAnsi="Times New Roman"/>
          <w:color w:val="000000" w:themeColor="text1"/>
          <w:sz w:val="16"/>
          <w:szCs w:val="16"/>
        </w:rPr>
        <w:softHyphen/>
        <w:t>тии с производства танка Т-70, орудие возвратилось на за</w:t>
      </w:r>
      <w:r w:rsidRPr="00D03F3E">
        <w:rPr>
          <w:rFonts w:ascii="Times New Roman" w:hAnsi="Times New Roman"/>
          <w:color w:val="000000" w:themeColor="text1"/>
          <w:sz w:val="16"/>
          <w:szCs w:val="16"/>
        </w:rPr>
        <w:softHyphen/>
        <w:t>вод для переработки с целью установки ее в танке Т-80, производство которого осваивалось на заводе № 40 (11135).</w:t>
      </w:r>
    </w:p>
    <w:p w14:paraId="7EA0E7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D039B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изготовлен</w:t>
      </w:r>
      <w:r w:rsidRPr="00D03F3E">
        <w:rPr>
          <w:rFonts w:ascii="Times New Roman" w:hAnsi="Times New Roman"/>
          <w:color w:val="000000" w:themeColor="text1"/>
          <w:sz w:val="16"/>
          <w:szCs w:val="16"/>
        </w:rPr>
        <w:softHyphen/>
        <w:t>ный опытный образец установки на базе трофейных немецких САУ "Артштурм" и танка Т-Ш, который успешно прошел испытания на Софринском полигоне НКВ. Постановлением ГКО от 18 января 1943 г. машина была принята на вооружение и находилась в серийном произ</w:t>
      </w:r>
      <w:r w:rsidRPr="00D03F3E">
        <w:rPr>
          <w:rFonts w:ascii="Times New Roman" w:hAnsi="Times New Roman"/>
          <w:color w:val="000000" w:themeColor="text1"/>
          <w:sz w:val="16"/>
          <w:szCs w:val="16"/>
        </w:rPr>
        <w:softHyphen/>
        <w:t>водстве с мая до конца ноября 1943 г. Всего заводом № 37 было выпу</w:t>
      </w:r>
      <w:r w:rsidRPr="00D03F3E">
        <w:rPr>
          <w:rFonts w:ascii="Times New Roman" w:hAnsi="Times New Roman"/>
          <w:color w:val="000000" w:themeColor="text1"/>
          <w:sz w:val="16"/>
          <w:szCs w:val="16"/>
        </w:rPr>
        <w:softHyphen/>
        <w:t>щено 200 самоходных установок за счет трофеев, захваченных после бо</w:t>
      </w:r>
      <w:r w:rsidRPr="00D03F3E">
        <w:rPr>
          <w:rFonts w:ascii="Times New Roman" w:hAnsi="Times New Roman"/>
          <w:color w:val="000000" w:themeColor="text1"/>
          <w:sz w:val="16"/>
          <w:szCs w:val="16"/>
        </w:rPr>
        <w:softHyphen/>
        <w:t>ев в Сталинграде. Самоходная установка СУ-76И была снята с произ</w:t>
      </w:r>
      <w:r w:rsidRPr="00D03F3E">
        <w:rPr>
          <w:rFonts w:ascii="Times New Roman" w:hAnsi="Times New Roman"/>
          <w:color w:val="000000" w:themeColor="text1"/>
          <w:sz w:val="16"/>
          <w:szCs w:val="16"/>
        </w:rPr>
        <w:softHyphen/>
        <w:t>водства из-за отсутствия трофейных танков Т-Ш и самоходных устано</w:t>
      </w:r>
      <w:r w:rsidRPr="00D03F3E">
        <w:rPr>
          <w:rFonts w:ascii="Times New Roman" w:hAnsi="Times New Roman"/>
          <w:color w:val="000000" w:themeColor="text1"/>
          <w:sz w:val="16"/>
          <w:szCs w:val="16"/>
        </w:rPr>
        <w:softHyphen/>
        <w:t>вок "Артштурм". Войсковая эксплуатация затруднялась сложностью ремонта и отсутствием запасных частей (10703).</w:t>
      </w:r>
    </w:p>
    <w:p w14:paraId="384372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9BFC2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изготовленный опытный образец установки СУ-76И прошел заводские испытания, а затем и испытания на Софринском полигоне НКВ. По результатам проведенных испытаний ус</w:t>
      </w:r>
      <w:r w:rsidRPr="00D03F3E">
        <w:rPr>
          <w:rFonts w:ascii="Times New Roman" w:hAnsi="Times New Roman"/>
          <w:color w:val="000000" w:themeColor="text1"/>
          <w:sz w:val="16"/>
          <w:szCs w:val="16"/>
        </w:rPr>
        <w:softHyphen/>
        <w:t>тановка СУ-76И была принята на вооружение (10703).</w:t>
      </w:r>
    </w:p>
    <w:p w14:paraId="112473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74A1B5" w14:textId="77777777" w:rsidR="0046798E" w:rsidRPr="00D03F3E" w:rsidRDefault="0046798E"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марте 1943 года завод №38 из-за систематических поломок коробок передач был вынужден временно приостановить серийное производство СУ-76. Решением ГКО заводу №38 была поставлена задача в короткие сроки устранить выявленные недостатки и разработать новые образцы установок с одним двигателем. Расследование показало, что в процессе работы двух двигателей на общий вал, если их обороты не синхронизированы, на валу неизбежно возникают крутильные колебания, резонансная частота которых находится в рабочем диапазоне оборотов мотора. Самое страшное, что пиковое значение приходилось на наиболее нагруженный режим </w:t>
      </w:r>
      <w:r w:rsidRPr="00D03F3E">
        <w:rPr>
          <w:rFonts w:ascii="Times New Roman" w:hAnsi="Times New Roman"/>
          <w:color w:val="000000" w:themeColor="text1"/>
          <w:sz w:val="16"/>
          <w:szCs w:val="16"/>
        </w:rPr>
        <w:lastRenderedPageBreak/>
        <w:t>работы, соответствующий движению САУ на второй передаче по бездорожью. Надо было срочно найти способ предотвращения возникновения резонансов, чем и занялось спецбюро САУ и ОГК НКТП в целом. Здесь работы велись сразу по двум направлениям: синхронизация работы моторов или гашение крутильных колебаний рабочего вала. Но синхронизация моторов, расположенных далеко друг от друга (тем более, когда между ними механик-водитель), выливалась в особую проблему. Это было возможно в случае повторения пути горьковских танкостроителей – максимального сближения моторных агрегатов, что вело к серьезной переделке конструкции САУ в целом, а значит – реальной и длительной остановке ее выпуска в то время, как они остро требовались для предстоящей летней кампании 1943 года. Поэтому С.А. Гинзбург избрал другой путь – гашение крутильных колебаний на валу (15218).</w:t>
      </w:r>
    </w:p>
    <w:p w14:paraId="1B6C7BC4" w14:textId="77777777" w:rsidR="0046798E" w:rsidRPr="00D03F3E" w:rsidRDefault="0046798E" w:rsidP="00D03F3E">
      <w:pPr>
        <w:widowControl w:val="0"/>
        <w:spacing w:after="0" w:line="240" w:lineRule="auto"/>
        <w:jc w:val="both"/>
        <w:rPr>
          <w:rFonts w:ascii="Times New Roman" w:hAnsi="Times New Roman"/>
          <w:color w:val="000000" w:themeColor="text1"/>
          <w:sz w:val="16"/>
          <w:szCs w:val="16"/>
        </w:rPr>
      </w:pPr>
    </w:p>
    <w:p w14:paraId="2BD4CD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года были сформированы и укомплектованы еще два полка самоходной артиллерии на Су-76 и Су-122. Эти полки поступали в распоряжение командующих армиями и фронтами и использовались во время наступательных операций. Впечатление от новых частей было смешанное. Хотя появление САУ в частях было встречено с восторгом, использовать СУ-76 вместе с СУ-122 оказалось довольно сложно, из-за множества технических недостатков у первых.</w:t>
      </w:r>
    </w:p>
    <w:p w14:paraId="1DEE6C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их устранения, самоходки СУ-76М были выделены в полки легкой самоходной артиллерии, а СУ-122 стали входить в состав полков средней самоходной артиллерии.</w:t>
      </w:r>
    </w:p>
    <w:p w14:paraId="5ECBEA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штату такой полк состоял из 16-ти СУ-122 (4 батареи) и одного Т-34 командира полка. СУ-122 вскоре стали более популярны в частях, чем СУ-76, в основном благодаря их хорошему бронированию и мощному орудию (3862).</w:t>
      </w:r>
    </w:p>
    <w:p w14:paraId="4FF255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Тактико-технические характеристики семейства СУ-76</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69"/>
        <w:gridCol w:w="797"/>
        <w:gridCol w:w="902"/>
        <w:gridCol w:w="720"/>
        <w:gridCol w:w="816"/>
        <w:gridCol w:w="710"/>
      </w:tblGrid>
      <w:tr w:rsidR="00860B4B" w:rsidRPr="00D03F3E" w14:paraId="287C5B03" w14:textId="77777777">
        <w:trPr>
          <w:trHeight w:val="182"/>
        </w:trPr>
        <w:tc>
          <w:tcPr>
            <w:tcW w:w="1469" w:type="dxa"/>
            <w:tcBorders>
              <w:top w:val="single" w:sz="12" w:space="0" w:color="auto"/>
            </w:tcBorders>
          </w:tcPr>
          <w:p w14:paraId="1EBD68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55E7B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12" w:space="0" w:color="auto"/>
            </w:tcBorders>
          </w:tcPr>
          <w:p w14:paraId="71A86B9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76-мм</w:t>
            </w:r>
          </w:p>
          <w:p w14:paraId="65338A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12" w:space="0" w:color="auto"/>
            </w:tcBorders>
          </w:tcPr>
          <w:p w14:paraId="054499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76-мм</w:t>
            </w:r>
          </w:p>
          <w:p w14:paraId="33C9349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12" w:space="0" w:color="auto"/>
            </w:tcBorders>
          </w:tcPr>
          <w:p w14:paraId="48F3EA3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76-мм</w:t>
            </w:r>
          </w:p>
          <w:p w14:paraId="506CF3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12" w:space="0" w:color="auto"/>
            </w:tcBorders>
          </w:tcPr>
          <w:p w14:paraId="7EC781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76-мм</w:t>
            </w:r>
          </w:p>
          <w:p w14:paraId="46AE7E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12" w:space="0" w:color="auto"/>
            </w:tcBorders>
          </w:tcPr>
          <w:p w14:paraId="2F3CB5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85-мм</w:t>
            </w:r>
          </w:p>
          <w:p w14:paraId="4701BB5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842A701" w14:textId="77777777">
        <w:trPr>
          <w:trHeight w:val="202"/>
        </w:trPr>
        <w:tc>
          <w:tcPr>
            <w:tcW w:w="1469" w:type="dxa"/>
          </w:tcPr>
          <w:p w14:paraId="45BC3F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ДТХ/ Марка САУ</w:t>
            </w:r>
          </w:p>
          <w:p w14:paraId="61D29CA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67D104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СУ-76М</w:t>
            </w:r>
          </w:p>
          <w:p w14:paraId="58AAF9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3235E7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СУ-76(И)</w:t>
            </w:r>
          </w:p>
          <w:p w14:paraId="5905BF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C83E7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СУ- 16</w:t>
            </w:r>
          </w:p>
          <w:p w14:paraId="7B4E74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BD398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СУ-76М</w:t>
            </w:r>
          </w:p>
          <w:p w14:paraId="4F8F9DC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53A5C0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СУ-85Б</w:t>
            </w:r>
          </w:p>
          <w:p w14:paraId="18C77E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9A0D8DD" w14:textId="77777777">
        <w:trPr>
          <w:trHeight w:val="182"/>
        </w:trPr>
        <w:tc>
          <w:tcPr>
            <w:tcW w:w="1469" w:type="dxa"/>
          </w:tcPr>
          <w:p w14:paraId="700D97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825D3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283DD14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(СУ-12М)</w:t>
            </w:r>
          </w:p>
          <w:p w14:paraId="66927E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1D1117F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(СУ-С-1)</w:t>
            </w:r>
          </w:p>
          <w:p w14:paraId="33D250E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67586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C52A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7FB6CF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(СУ-15М)</w:t>
            </w:r>
          </w:p>
          <w:p w14:paraId="03917B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7F34452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4E30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8745C48" w14:textId="77777777">
        <w:trPr>
          <w:trHeight w:val="182"/>
        </w:trPr>
        <w:tc>
          <w:tcPr>
            <w:tcW w:w="1469" w:type="dxa"/>
          </w:tcPr>
          <w:p w14:paraId="6AAC61A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Боевая масса, кг</w:t>
            </w:r>
          </w:p>
          <w:p w14:paraId="722B86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0ACA611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11280</w:t>
            </w:r>
          </w:p>
          <w:p w14:paraId="10FBF5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2CF65A9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22500</w:t>
            </w:r>
          </w:p>
          <w:p w14:paraId="01FED1B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7BF1D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9800</w:t>
            </w:r>
          </w:p>
          <w:p w14:paraId="69DDE1D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02F209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10500</w:t>
            </w:r>
          </w:p>
          <w:p w14:paraId="2B0164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6F868A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12400</w:t>
            </w:r>
          </w:p>
          <w:p w14:paraId="177116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7EE1A99" w14:textId="77777777">
        <w:trPr>
          <w:trHeight w:val="182"/>
        </w:trPr>
        <w:tc>
          <w:tcPr>
            <w:tcW w:w="1469" w:type="dxa"/>
          </w:tcPr>
          <w:p w14:paraId="5305163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 чел.</w:t>
            </w:r>
          </w:p>
          <w:p w14:paraId="053210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6CB2B4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1EB0C46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7E6BCA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0847993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DCC7F0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69314E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3AC282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1E8DBA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3E4A31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3F6670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0491C44" w14:textId="77777777">
        <w:trPr>
          <w:trHeight w:val="182"/>
        </w:trPr>
        <w:tc>
          <w:tcPr>
            <w:tcW w:w="5414" w:type="dxa"/>
            <w:gridSpan w:val="6"/>
          </w:tcPr>
          <w:p w14:paraId="647F52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Размерения. мм</w:t>
            </w:r>
          </w:p>
          <w:p w14:paraId="0387EA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D976A08" w14:textId="77777777">
        <w:trPr>
          <w:trHeight w:val="202"/>
        </w:trPr>
        <w:tc>
          <w:tcPr>
            <w:tcW w:w="1469" w:type="dxa"/>
          </w:tcPr>
          <w:p w14:paraId="5FCE0E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общая</w:t>
            </w:r>
          </w:p>
          <w:p w14:paraId="7F04C9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75BC75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5000</w:t>
            </w:r>
          </w:p>
          <w:p w14:paraId="5A0157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007F069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6300</w:t>
            </w:r>
          </w:p>
          <w:p w14:paraId="242D35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57532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4410</w:t>
            </w:r>
          </w:p>
          <w:p w14:paraId="2C2B56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598C1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4965</w:t>
            </w:r>
          </w:p>
          <w:p w14:paraId="2033B7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7B2646B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6130</w:t>
            </w:r>
          </w:p>
          <w:p w14:paraId="0672CF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7E01D6E" w14:textId="77777777">
        <w:trPr>
          <w:trHeight w:val="182"/>
        </w:trPr>
        <w:tc>
          <w:tcPr>
            <w:tcW w:w="1469" w:type="dxa"/>
          </w:tcPr>
          <w:p w14:paraId="34CBAA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Ширина</w:t>
            </w:r>
          </w:p>
          <w:p w14:paraId="0465F6B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56B680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2740</w:t>
            </w:r>
          </w:p>
          <w:p w14:paraId="326F8D2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7C86CD6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2910</w:t>
            </w:r>
          </w:p>
          <w:p w14:paraId="5A8310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11C28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2714</w:t>
            </w:r>
          </w:p>
          <w:p w14:paraId="6052826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862149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2714</w:t>
            </w:r>
          </w:p>
          <w:p w14:paraId="45BDD1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1E24C99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2755</w:t>
            </w:r>
          </w:p>
          <w:p w14:paraId="045625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A7C355C" w14:textId="77777777">
        <w:trPr>
          <w:trHeight w:val="182"/>
        </w:trPr>
        <w:tc>
          <w:tcPr>
            <w:tcW w:w="1469" w:type="dxa"/>
          </w:tcPr>
          <w:p w14:paraId="6BD5F79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Высота</w:t>
            </w:r>
          </w:p>
          <w:p w14:paraId="0A88A5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37417E7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2200</w:t>
            </w:r>
          </w:p>
          <w:p w14:paraId="669D24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358930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2375</w:t>
            </w:r>
          </w:p>
          <w:p w14:paraId="6B1645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07F2A9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2100</w:t>
            </w:r>
          </w:p>
          <w:p w14:paraId="399110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D21F44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2100</w:t>
            </w:r>
          </w:p>
          <w:p w14:paraId="6AA61A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015527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2100</w:t>
            </w:r>
          </w:p>
          <w:p w14:paraId="3AE8A7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AAEB356" w14:textId="77777777">
        <w:trPr>
          <w:trHeight w:val="192"/>
        </w:trPr>
        <w:tc>
          <w:tcPr>
            <w:tcW w:w="1469" w:type="dxa"/>
          </w:tcPr>
          <w:p w14:paraId="5A17BD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Клиренс</w:t>
            </w:r>
          </w:p>
          <w:p w14:paraId="5BC313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65CBBB7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p w14:paraId="53E2CF4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3F364F2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350</w:t>
            </w:r>
          </w:p>
          <w:p w14:paraId="218750C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F32B2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p w14:paraId="36EFA6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2E52DE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p w14:paraId="4D1E6D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23635F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310</w:t>
            </w:r>
          </w:p>
          <w:p w14:paraId="3644DBB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114BF00" w14:textId="77777777">
        <w:trPr>
          <w:trHeight w:val="173"/>
        </w:trPr>
        <w:tc>
          <w:tcPr>
            <w:tcW w:w="5414" w:type="dxa"/>
            <w:gridSpan w:val="6"/>
          </w:tcPr>
          <w:p w14:paraId="6B229D4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w:t>
            </w:r>
          </w:p>
          <w:p w14:paraId="29F82E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5D53A2F" w14:textId="77777777">
        <w:trPr>
          <w:trHeight w:val="202"/>
        </w:trPr>
        <w:tc>
          <w:tcPr>
            <w:tcW w:w="1469" w:type="dxa"/>
          </w:tcPr>
          <w:p w14:paraId="03F02EF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Орудие, кал</w:t>
            </w:r>
          </w:p>
          <w:p w14:paraId="30470D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30E586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76,2-мм,</w:t>
            </w:r>
          </w:p>
          <w:p w14:paraId="70756E4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6414D7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72,6-мм,</w:t>
            </w:r>
          </w:p>
          <w:p w14:paraId="0EADD28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D718C6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76,2-мм</w:t>
            </w:r>
          </w:p>
          <w:p w14:paraId="4824610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6ABFF7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76,2-мм</w:t>
            </w:r>
          </w:p>
          <w:p w14:paraId="7F739C7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114587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85-мм</w:t>
            </w:r>
          </w:p>
          <w:p w14:paraId="3373A0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A82B9B8" w14:textId="77777777">
        <w:trPr>
          <w:trHeight w:val="182"/>
        </w:trPr>
        <w:tc>
          <w:tcPr>
            <w:tcW w:w="1469" w:type="dxa"/>
          </w:tcPr>
          <w:p w14:paraId="10261A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w:t>
            </w:r>
          </w:p>
          <w:p w14:paraId="20DC42F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3D00C4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У-31</w:t>
            </w:r>
          </w:p>
          <w:p w14:paraId="617408F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3B897C5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С-1</w:t>
            </w:r>
          </w:p>
          <w:p w14:paraId="247328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0DD51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С-15</w:t>
            </w:r>
          </w:p>
          <w:p w14:paraId="759945F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41F3D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С-15</w:t>
            </w:r>
          </w:p>
          <w:p w14:paraId="0D9865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2A8AF5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ЛБ-2</w:t>
            </w:r>
          </w:p>
          <w:p w14:paraId="300BA9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B761067" w14:textId="77777777">
        <w:trPr>
          <w:trHeight w:val="192"/>
        </w:trPr>
        <w:tc>
          <w:tcPr>
            <w:tcW w:w="1469" w:type="dxa"/>
          </w:tcPr>
          <w:p w14:paraId="141BB2C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ствола, клб</w:t>
            </w:r>
          </w:p>
          <w:p w14:paraId="05A5EA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492C01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41,6</w:t>
            </w:r>
          </w:p>
          <w:p w14:paraId="383C8A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059087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41,6</w:t>
            </w:r>
          </w:p>
          <w:p w14:paraId="14B2BEB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84A25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41,6</w:t>
            </w:r>
          </w:p>
          <w:p w14:paraId="3F8F74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D6AC5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41,6</w:t>
            </w:r>
          </w:p>
          <w:p w14:paraId="04234B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5914FE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w:t>
            </w:r>
          </w:p>
          <w:p w14:paraId="15676A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EFE7195" w14:textId="77777777">
        <w:trPr>
          <w:trHeight w:val="182"/>
        </w:trPr>
        <w:tc>
          <w:tcPr>
            <w:tcW w:w="1469" w:type="dxa"/>
          </w:tcPr>
          <w:p w14:paraId="3B60070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 скорость сн м/с</w:t>
            </w:r>
          </w:p>
          <w:p w14:paraId="6DFB4A1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5C5598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662</w:t>
            </w:r>
          </w:p>
          <w:p w14:paraId="5ABF28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728BCC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662</w:t>
            </w:r>
          </w:p>
          <w:p w14:paraId="783720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5EB5A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662</w:t>
            </w:r>
          </w:p>
          <w:p w14:paraId="6101083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FA405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662</w:t>
            </w:r>
          </w:p>
          <w:p w14:paraId="527BDCA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74CCBB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800</w:t>
            </w:r>
          </w:p>
          <w:p w14:paraId="6D4A85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7EDF861" w14:textId="77777777">
        <w:trPr>
          <w:trHeight w:val="192"/>
        </w:trPr>
        <w:tc>
          <w:tcPr>
            <w:tcW w:w="1469" w:type="dxa"/>
          </w:tcPr>
          <w:p w14:paraId="62585C8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Угол гориз. наведения</w:t>
            </w:r>
          </w:p>
          <w:p w14:paraId="72E2D3D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02E540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w:t>
            </w:r>
          </w:p>
          <w:p w14:paraId="2FEC7D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1E9200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6224439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44158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79DFFD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0FDB0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p w14:paraId="3F7B3B4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759D6E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33A04E7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23A5A56" w14:textId="77777777">
        <w:trPr>
          <w:trHeight w:val="192"/>
        </w:trPr>
        <w:tc>
          <w:tcPr>
            <w:tcW w:w="1469" w:type="dxa"/>
          </w:tcPr>
          <w:p w14:paraId="6F5E64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Угол верт. наведения</w:t>
            </w:r>
          </w:p>
          <w:p w14:paraId="135486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2CA8ED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-3+25°</w:t>
            </w:r>
          </w:p>
          <w:p w14:paraId="67BBB7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276A12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-5+15°</w:t>
            </w:r>
          </w:p>
          <w:p w14:paraId="2B43CD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328B70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-2+15°</w:t>
            </w:r>
          </w:p>
          <w:p w14:paraId="2C0170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E4AFD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-2+15"</w:t>
            </w:r>
          </w:p>
          <w:p w14:paraId="2DF75A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0549170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-2+15-</w:t>
            </w:r>
          </w:p>
          <w:p w14:paraId="600531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9F61D6C" w14:textId="77777777">
        <w:trPr>
          <w:trHeight w:val="182"/>
        </w:trPr>
        <w:tc>
          <w:tcPr>
            <w:tcW w:w="1469" w:type="dxa"/>
          </w:tcPr>
          <w:p w14:paraId="53A87A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Снарядов, шт.</w:t>
            </w:r>
          </w:p>
          <w:p w14:paraId="0172168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10D68E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p w14:paraId="122ABE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0CC934C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w:t>
            </w:r>
          </w:p>
          <w:p w14:paraId="1DFB704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20F47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p w14:paraId="2F2935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AF5D2E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p w14:paraId="23A7CC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776668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w:t>
            </w:r>
          </w:p>
          <w:p w14:paraId="2EB251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5044716" w14:textId="77777777">
        <w:trPr>
          <w:trHeight w:val="182"/>
        </w:trPr>
        <w:tc>
          <w:tcPr>
            <w:tcW w:w="1469" w:type="dxa"/>
          </w:tcPr>
          <w:p w14:paraId="41D36B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Пулеметов, шт. х кал</w:t>
            </w:r>
          </w:p>
          <w:p w14:paraId="66C997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5EC36B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9F8F5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2EE1437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2E505F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722AC3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836CCB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95894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1х7,62-мм</w:t>
            </w:r>
          </w:p>
          <w:p w14:paraId="1657DE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43EDE75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1х7,62-мм</w:t>
            </w:r>
          </w:p>
          <w:p w14:paraId="18D1004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1A104DF" w14:textId="77777777">
        <w:trPr>
          <w:trHeight w:val="192"/>
        </w:trPr>
        <w:tc>
          <w:tcPr>
            <w:tcW w:w="1469" w:type="dxa"/>
          </w:tcPr>
          <w:p w14:paraId="3027DFA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Патронов, шт.</w:t>
            </w:r>
          </w:p>
          <w:p w14:paraId="04BCAA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54EC2C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36699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1214F8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97E7C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47FB9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302FA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45062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504</w:t>
            </w:r>
          </w:p>
          <w:p w14:paraId="3AE67B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3728B9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504</w:t>
            </w:r>
          </w:p>
          <w:p w14:paraId="306C9B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44B6D9F" w14:textId="77777777">
        <w:trPr>
          <w:trHeight w:val="173"/>
        </w:trPr>
        <w:tc>
          <w:tcPr>
            <w:tcW w:w="5414" w:type="dxa"/>
            <w:gridSpan w:val="6"/>
          </w:tcPr>
          <w:p w14:paraId="2944C83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Толщина брони, мм</w:t>
            </w:r>
          </w:p>
          <w:p w14:paraId="4EC19A5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7C7D31C" w14:textId="77777777">
        <w:trPr>
          <w:trHeight w:val="202"/>
        </w:trPr>
        <w:tc>
          <w:tcPr>
            <w:tcW w:w="1469" w:type="dxa"/>
          </w:tcPr>
          <w:p w14:paraId="0CB9616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Вертик. корпуса</w:t>
            </w:r>
          </w:p>
          <w:p w14:paraId="3EDB65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01CDA28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35-25-15-10</w:t>
            </w:r>
          </w:p>
          <w:p w14:paraId="48E07F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677866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50-30-25</w:t>
            </w:r>
          </w:p>
          <w:p w14:paraId="1109E87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4277F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p w14:paraId="3A5E0D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529521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35-25-15-10</w:t>
            </w:r>
          </w:p>
          <w:p w14:paraId="5D3E5C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3C61EE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25-15-20</w:t>
            </w:r>
          </w:p>
          <w:p w14:paraId="1418D59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A93F01A" w14:textId="77777777">
        <w:trPr>
          <w:trHeight w:val="182"/>
        </w:trPr>
        <w:tc>
          <w:tcPr>
            <w:tcW w:w="1469" w:type="dxa"/>
          </w:tcPr>
          <w:p w14:paraId="67FAA2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Гориз. корпуса</w:t>
            </w:r>
          </w:p>
          <w:p w14:paraId="1531489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1EBB13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p w14:paraId="09EC357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45CB0DD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p w14:paraId="19DF9AA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23C91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7-8</w:t>
            </w:r>
          </w:p>
          <w:p w14:paraId="589727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9DEB4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p w14:paraId="2FBB67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437007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10-8</w:t>
            </w:r>
          </w:p>
          <w:p w14:paraId="3BE426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528079D" w14:textId="77777777">
        <w:trPr>
          <w:trHeight w:val="192"/>
        </w:trPr>
        <w:tc>
          <w:tcPr>
            <w:tcW w:w="1469" w:type="dxa"/>
          </w:tcPr>
          <w:p w14:paraId="586EDE3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Рубка</w:t>
            </w:r>
          </w:p>
          <w:p w14:paraId="304F32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695803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p w14:paraId="707C81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738C382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30-25</w:t>
            </w:r>
          </w:p>
          <w:p w14:paraId="655380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F8873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25-15</w:t>
            </w:r>
          </w:p>
          <w:p w14:paraId="40B49CB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BEBE98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25-15</w:t>
            </w:r>
          </w:p>
          <w:p w14:paraId="546A8E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16E98F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25-15-10</w:t>
            </w:r>
          </w:p>
          <w:p w14:paraId="1938DA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BC235E2" w14:textId="77777777">
        <w:trPr>
          <w:trHeight w:val="173"/>
        </w:trPr>
        <w:tc>
          <w:tcPr>
            <w:tcW w:w="5414" w:type="dxa"/>
            <w:gridSpan w:val="6"/>
          </w:tcPr>
          <w:p w14:paraId="5BB8E3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Силовая установка</w:t>
            </w:r>
          </w:p>
          <w:p w14:paraId="5EFEB06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EF94CB0" w14:textId="77777777">
        <w:trPr>
          <w:trHeight w:val="192"/>
        </w:trPr>
        <w:tc>
          <w:tcPr>
            <w:tcW w:w="1469" w:type="dxa"/>
          </w:tcPr>
          <w:p w14:paraId="149A10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База</w:t>
            </w:r>
          </w:p>
          <w:p w14:paraId="75769EB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62B2B0A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 Т-70</w:t>
            </w:r>
          </w:p>
          <w:p w14:paraId="7C2F29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3865FC8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т. Рг </w:t>
            </w:r>
            <w:r w:rsidRPr="00D03F3E">
              <w:rPr>
                <w:rFonts w:ascii="Times New Roman" w:hAnsi="Times New Roman"/>
                <w:color w:val="000000" w:themeColor="text1"/>
                <w:sz w:val="16"/>
                <w:szCs w:val="16"/>
                <w:lang w:val="en-US"/>
              </w:rPr>
              <w:t>III</w:t>
            </w:r>
          </w:p>
          <w:p w14:paraId="3B95504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A34DA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 Т-70</w:t>
            </w:r>
          </w:p>
          <w:p w14:paraId="08BFA5F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B4ED5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 Т-70</w:t>
            </w:r>
          </w:p>
          <w:p w14:paraId="5A6E5C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56D2A6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Т-70</w:t>
            </w:r>
          </w:p>
          <w:p w14:paraId="6A59B8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CC2D14D" w14:textId="77777777">
        <w:trPr>
          <w:trHeight w:val="192"/>
        </w:trPr>
        <w:tc>
          <w:tcPr>
            <w:tcW w:w="1469" w:type="dxa"/>
          </w:tcPr>
          <w:p w14:paraId="0CFFC4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Мощность макс., л. с</w:t>
            </w:r>
          </w:p>
          <w:p w14:paraId="4B12A37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2516B2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2x70</w:t>
            </w:r>
          </w:p>
          <w:p w14:paraId="72DAF0A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544E5C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320</w:t>
            </w:r>
          </w:p>
          <w:p w14:paraId="5D2F546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BC554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140</w:t>
            </w:r>
          </w:p>
          <w:p w14:paraId="5C381F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02796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140</w:t>
            </w:r>
          </w:p>
          <w:p w14:paraId="39C815E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4BFC7DC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160</w:t>
            </w:r>
          </w:p>
          <w:p w14:paraId="3073279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97EFE13" w14:textId="77777777">
        <w:trPr>
          <w:trHeight w:val="192"/>
        </w:trPr>
        <w:tc>
          <w:tcPr>
            <w:tcW w:w="1469" w:type="dxa"/>
          </w:tcPr>
          <w:p w14:paraId="68E464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част. враш. об/мин</w:t>
            </w:r>
          </w:p>
          <w:p w14:paraId="1CDFCC0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50A1DE1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3400</w:t>
            </w:r>
          </w:p>
          <w:p w14:paraId="6CD1D3C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48B62E5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3000</w:t>
            </w:r>
          </w:p>
          <w:p w14:paraId="101CB08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7ACD4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3400</w:t>
            </w:r>
          </w:p>
          <w:p w14:paraId="7C5797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763C9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3200</w:t>
            </w:r>
          </w:p>
          <w:p w14:paraId="5A2D906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210A3A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3600</w:t>
            </w:r>
          </w:p>
          <w:p w14:paraId="207BD3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1FBAE64" w14:textId="77777777">
        <w:trPr>
          <w:trHeight w:val="192"/>
        </w:trPr>
        <w:tc>
          <w:tcPr>
            <w:tcW w:w="1469" w:type="dxa"/>
          </w:tcPr>
          <w:p w14:paraId="27E5EE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Передач КПП</w:t>
            </w:r>
          </w:p>
          <w:p w14:paraId="3B08F3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617C867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w:t>
            </w:r>
          </w:p>
          <w:p w14:paraId="01402C8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15F9C71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w:t>
            </w:r>
          </w:p>
          <w:p w14:paraId="2A5845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765A9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w:t>
            </w:r>
          </w:p>
          <w:p w14:paraId="323449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AEC84D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w:t>
            </w:r>
          </w:p>
          <w:p w14:paraId="7EB041D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4AD9E9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w:t>
            </w:r>
          </w:p>
          <w:p w14:paraId="24D031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70D7C64" w14:textId="77777777">
        <w:trPr>
          <w:trHeight w:val="182"/>
        </w:trPr>
        <w:tc>
          <w:tcPr>
            <w:tcW w:w="1469" w:type="dxa"/>
          </w:tcPr>
          <w:p w14:paraId="0F5E15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Скорость макс, км/ч</w:t>
            </w:r>
          </w:p>
          <w:p w14:paraId="27758E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63F1CB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 "</w:t>
            </w:r>
          </w:p>
          <w:p w14:paraId="4E1E2A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764D3A0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w:t>
            </w:r>
          </w:p>
          <w:p w14:paraId="0BB840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69C3C5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p w14:paraId="22C4A7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D676D5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p w14:paraId="33DBAA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0D39490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w:t>
            </w:r>
          </w:p>
          <w:p w14:paraId="69B244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4DAF731" w14:textId="77777777">
        <w:trPr>
          <w:trHeight w:val="192"/>
        </w:trPr>
        <w:tc>
          <w:tcPr>
            <w:tcW w:w="1469" w:type="dxa"/>
          </w:tcPr>
          <w:p w14:paraId="5B6A0A6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Среднетехнич км/ч</w:t>
            </w:r>
          </w:p>
          <w:p w14:paraId="0E1DF7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2EB9FE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25</w:t>
            </w:r>
          </w:p>
          <w:p w14:paraId="30757B5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260905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25</w:t>
            </w:r>
          </w:p>
          <w:p w14:paraId="4336439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3CB21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25</w:t>
            </w:r>
          </w:p>
          <w:p w14:paraId="72CCBB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34752E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25</w:t>
            </w:r>
          </w:p>
          <w:p w14:paraId="524436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1DFD93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25</w:t>
            </w:r>
          </w:p>
          <w:p w14:paraId="241AD7F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5CC1D98" w14:textId="77777777">
        <w:trPr>
          <w:trHeight w:val="173"/>
        </w:trPr>
        <w:tc>
          <w:tcPr>
            <w:tcW w:w="1469" w:type="dxa"/>
          </w:tcPr>
          <w:p w14:paraId="4F49E6F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Тип топлива</w:t>
            </w:r>
          </w:p>
          <w:p w14:paraId="612DAB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3008FDF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Бензин 1 с</w:t>
            </w:r>
          </w:p>
          <w:p w14:paraId="64032B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68A48C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Бензин 1 с</w:t>
            </w:r>
          </w:p>
          <w:p w14:paraId="0BB09BF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15B588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Бензин 1 с</w:t>
            </w:r>
          </w:p>
          <w:p w14:paraId="785FDC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0A2BEE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Бензин 1с</w:t>
            </w:r>
          </w:p>
          <w:p w14:paraId="4E838CB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27B9798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Бензин 1с</w:t>
            </w:r>
          </w:p>
          <w:p w14:paraId="117738D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728D835" w14:textId="77777777">
        <w:trPr>
          <w:trHeight w:val="182"/>
        </w:trPr>
        <w:tc>
          <w:tcPr>
            <w:tcW w:w="1469" w:type="dxa"/>
          </w:tcPr>
          <w:p w14:paraId="22981E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Емк. бака, л.</w:t>
            </w:r>
          </w:p>
          <w:p w14:paraId="40D1E74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4FA31E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p w14:paraId="3FDDE6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3ED770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p w14:paraId="69FF237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C013B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320</w:t>
            </w:r>
          </w:p>
          <w:p w14:paraId="5658E1A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AD4D7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p w14:paraId="42582BD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4B968B0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420</w:t>
            </w:r>
          </w:p>
          <w:p w14:paraId="6960870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40FF4DA" w14:textId="77777777">
        <w:trPr>
          <w:trHeight w:val="202"/>
        </w:trPr>
        <w:tc>
          <w:tcPr>
            <w:tcW w:w="1469" w:type="dxa"/>
          </w:tcPr>
          <w:p w14:paraId="34FB39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Запас хода, км</w:t>
            </w:r>
          </w:p>
          <w:p w14:paraId="24E2718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1E2B3E6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w:t>
            </w:r>
          </w:p>
          <w:p w14:paraId="7C0521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6BEB94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170</w:t>
            </w:r>
          </w:p>
          <w:p w14:paraId="47A007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13C02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220</w:t>
            </w:r>
          </w:p>
          <w:p w14:paraId="56295A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B870C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p w14:paraId="56E77E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09FC7F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320</w:t>
            </w:r>
          </w:p>
          <w:p w14:paraId="36A49C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16B8006" w14:textId="77777777">
        <w:trPr>
          <w:trHeight w:val="154"/>
        </w:trPr>
        <w:tc>
          <w:tcPr>
            <w:tcW w:w="5414" w:type="dxa"/>
            <w:gridSpan w:val="6"/>
          </w:tcPr>
          <w:p w14:paraId="5331313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Преодолеваемые препятствия</w:t>
            </w:r>
          </w:p>
          <w:p w14:paraId="213961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DD212A6" w14:textId="77777777">
        <w:trPr>
          <w:trHeight w:val="221"/>
        </w:trPr>
        <w:tc>
          <w:tcPr>
            <w:tcW w:w="1469" w:type="dxa"/>
          </w:tcPr>
          <w:p w14:paraId="041B36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Подъем, град.</w:t>
            </w:r>
          </w:p>
          <w:p w14:paraId="231521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7CAA0B2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p w14:paraId="227A2A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43CEF2E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н.д.</w:t>
            </w:r>
          </w:p>
          <w:p w14:paraId="7549C2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9C299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p w14:paraId="298E30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EEE4A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p w14:paraId="26BA0CD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4A8AB1A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нд.</w:t>
            </w:r>
          </w:p>
          <w:p w14:paraId="45CE139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6F31561" w14:textId="77777777">
        <w:trPr>
          <w:trHeight w:val="182"/>
        </w:trPr>
        <w:tc>
          <w:tcPr>
            <w:tcW w:w="1469" w:type="dxa"/>
          </w:tcPr>
          <w:p w14:paraId="4F2223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Спуск, град.</w:t>
            </w:r>
          </w:p>
          <w:p w14:paraId="6BC348F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3DD3AE2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p w14:paraId="7CCD20C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6470445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Н.Д.</w:t>
            </w:r>
          </w:p>
          <w:p w14:paraId="41FBB99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10ACD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p w14:paraId="4674380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39652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p w14:paraId="68D5256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540841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Н.Д.</w:t>
            </w:r>
          </w:p>
          <w:p w14:paraId="5BB918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4061D85" w14:textId="77777777">
        <w:trPr>
          <w:trHeight w:val="192"/>
        </w:trPr>
        <w:tc>
          <w:tcPr>
            <w:tcW w:w="1469" w:type="dxa"/>
          </w:tcPr>
          <w:p w14:paraId="168827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Крен, град.</w:t>
            </w:r>
          </w:p>
          <w:p w14:paraId="005568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678E834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w:t>
            </w:r>
          </w:p>
          <w:p w14:paraId="614FDF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502E4D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Н.Д.</w:t>
            </w:r>
          </w:p>
          <w:p w14:paraId="1B5EE5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2A321A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w:t>
            </w:r>
          </w:p>
          <w:p w14:paraId="674EA2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ECCBB0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p w14:paraId="1F2FFB7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0ECE20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Н.Д.</w:t>
            </w:r>
          </w:p>
          <w:p w14:paraId="14C491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FB5964C" w14:textId="77777777">
        <w:trPr>
          <w:trHeight w:val="182"/>
        </w:trPr>
        <w:tc>
          <w:tcPr>
            <w:tcW w:w="1469" w:type="dxa"/>
          </w:tcPr>
          <w:p w14:paraId="09A7512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Окоп, мм</w:t>
            </w:r>
          </w:p>
          <w:p w14:paraId="72E13D3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45F5CD4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w:t>
            </w:r>
          </w:p>
          <w:p w14:paraId="01D1117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4C9788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w:t>
            </w:r>
          </w:p>
          <w:p w14:paraId="6C51E0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C2EDC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1800</w:t>
            </w:r>
          </w:p>
          <w:p w14:paraId="4CC87D6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280AD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w:t>
            </w:r>
          </w:p>
          <w:p w14:paraId="5D980D8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2D4ACF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Н.Д.</w:t>
            </w:r>
          </w:p>
          <w:p w14:paraId="2A0CFF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EC9269E" w14:textId="77777777">
        <w:trPr>
          <w:trHeight w:val="182"/>
        </w:trPr>
        <w:tc>
          <w:tcPr>
            <w:tcW w:w="1469" w:type="dxa"/>
          </w:tcPr>
          <w:p w14:paraId="0453D10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Стенка, мм</w:t>
            </w:r>
          </w:p>
          <w:p w14:paraId="1E86D7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35FAC1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w:t>
            </w:r>
          </w:p>
          <w:p w14:paraId="6FE4F73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3DEDE6D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w:t>
            </w:r>
          </w:p>
          <w:p w14:paraId="6ABE379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E67D2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w:t>
            </w:r>
          </w:p>
          <w:p w14:paraId="100FFE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0A685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w:t>
            </w:r>
          </w:p>
          <w:p w14:paraId="1F6504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015BBAA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н.д.</w:t>
            </w:r>
          </w:p>
          <w:p w14:paraId="37157F8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0B07F2F" w14:textId="77777777">
        <w:trPr>
          <w:trHeight w:val="202"/>
        </w:trPr>
        <w:tc>
          <w:tcPr>
            <w:tcW w:w="1469" w:type="dxa"/>
            <w:tcBorders>
              <w:bottom w:val="single" w:sz="12" w:space="0" w:color="auto"/>
            </w:tcBorders>
          </w:tcPr>
          <w:p w14:paraId="15DB6DE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Брод, мм</w:t>
            </w:r>
          </w:p>
          <w:p w14:paraId="1E138C4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bottom w:val="single" w:sz="12" w:space="0" w:color="auto"/>
            </w:tcBorders>
          </w:tcPr>
          <w:p w14:paraId="6EF998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900</w:t>
            </w:r>
          </w:p>
          <w:p w14:paraId="7867A08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bottom w:val="single" w:sz="12" w:space="0" w:color="auto"/>
            </w:tcBorders>
          </w:tcPr>
          <w:p w14:paraId="3A8538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p w14:paraId="23E786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bottom w:val="single" w:sz="12" w:space="0" w:color="auto"/>
            </w:tcBorders>
          </w:tcPr>
          <w:p w14:paraId="042527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800</w:t>
            </w:r>
          </w:p>
          <w:p w14:paraId="2073F4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bottom w:val="single" w:sz="12" w:space="0" w:color="auto"/>
            </w:tcBorders>
          </w:tcPr>
          <w:p w14:paraId="1B6C52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900</w:t>
            </w:r>
          </w:p>
          <w:p w14:paraId="25B30E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bottom w:val="single" w:sz="12" w:space="0" w:color="auto"/>
            </w:tcBorders>
          </w:tcPr>
          <w:p w14:paraId="61328DF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Н.Д.</w:t>
            </w:r>
          </w:p>
          <w:p w14:paraId="6B7C0AA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E0BE6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(11417).</w:t>
      </w:r>
    </w:p>
    <w:p w14:paraId="099C27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94DE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года, Уралмаш предложил проект коренной модернизации СУ-122. Модернизированный вариант машины, получивший индекс СУ-122М, имел новую боевую рубку в которой была смонтирована 122-мм гаубица У-11, имевшей улучшенный механизм наведения.</w:t>
      </w:r>
    </w:p>
    <w:p w14:paraId="581B19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Боеприпасы оставались те же, что и для М-30. Люк-пробка механика-водителя была заменена откидным люком. Проведенные испытания выявили ряд серьезных недоработок, надежность машины оставляла желать лучшего, машина получилась перетяжеленной. Из-за этого, а также высокой себестоимости, САУ на вооружение принята не была.</w:t>
      </w:r>
    </w:p>
    <w:p w14:paraId="22A062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неудачу, Уралмаш предложил другой вариант модернизации. В его основу легло стремление максимально унифицировать ее конструкцию с конструкцией новейшей САУ СУ-85, используя ту же маску пушки. Корпус СУ-85 был перепроектирован, а вместо Д-5Т, в него установили 122-мм гаубицу Д-6, которая будучи компактнее, имела практически равную с У-11 баллистику и одинаковый боеприпас.</w:t>
      </w:r>
    </w:p>
    <w:p w14:paraId="7DFF16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Новая САУ, получив обозначение СУ-122-3, была отправлена на совместные с другими САУ испытания. Несмотря на опыт с СУ-122М, новая машина также оказалась крайне ненадежной, испытаний не выдержала и дальнейшие работы по ней были свернуты (3862).</w:t>
      </w:r>
    </w:p>
    <w:p w14:paraId="3E02A9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8E00D3" w14:textId="77777777" w:rsidR="005B485D" w:rsidRPr="00D03F3E" w:rsidRDefault="005B485D" w:rsidP="00D03F3E">
      <w:pPr>
        <w:shd w:val="clear" w:color="auto" w:fill="FFFFFF"/>
        <w:spacing w:after="0" w:line="240" w:lineRule="auto"/>
        <w:jc w:val="both"/>
        <w:rPr>
          <w:rStyle w:val="790"/>
          <w:rFonts w:ascii="Times New Roman" w:hAnsi="Times New Roman" w:cs="Times New Roman"/>
          <w:color w:val="0070C0"/>
          <w:sz w:val="16"/>
          <w:szCs w:val="16"/>
        </w:rPr>
      </w:pPr>
      <w:r w:rsidRPr="00D03F3E">
        <w:rPr>
          <w:rStyle w:val="790"/>
          <w:rFonts w:ascii="Times New Roman" w:hAnsi="Times New Roman" w:cs="Times New Roman"/>
          <w:color w:val="0070C0"/>
          <w:sz w:val="16"/>
          <w:szCs w:val="16"/>
        </w:rPr>
        <w:t>В марте 1943 года появилось еще один внешний элемент Су-122. На сей раз, его появление было связано с производ</w:t>
      </w:r>
      <w:r w:rsidRPr="00D03F3E">
        <w:rPr>
          <w:rStyle w:val="790"/>
          <w:rFonts w:ascii="Times New Roman" w:hAnsi="Times New Roman" w:cs="Times New Roman"/>
          <w:color w:val="0070C0"/>
          <w:sz w:val="16"/>
          <w:szCs w:val="16"/>
        </w:rPr>
        <w:softHyphen/>
        <w:t>ственным браком. Дело в том, что начали про</w:t>
      </w:r>
      <w:r w:rsidRPr="00D03F3E">
        <w:rPr>
          <w:rStyle w:val="790"/>
          <w:rFonts w:ascii="Times New Roman" w:hAnsi="Times New Roman" w:cs="Times New Roman"/>
          <w:color w:val="0070C0"/>
          <w:sz w:val="16"/>
          <w:szCs w:val="16"/>
        </w:rPr>
        <w:softHyphen/>
        <w:t>исходить массовые случаи появления трещин на броневых листах. Особенно критичной оказалась ситуация с крышей рубки (деталь 35-29-115сб). Данная деталь имела очень сложную форму: на ней размещался колпак панорамы, большой люк, через который в машину попадал экипаж, вентилятор, да еще и были сделаны вырезы под смотровые при</w:t>
      </w:r>
      <w:r w:rsidRPr="00D03F3E">
        <w:rPr>
          <w:rStyle w:val="790"/>
          <w:rFonts w:ascii="Times New Roman" w:hAnsi="Times New Roman" w:cs="Times New Roman"/>
          <w:color w:val="0070C0"/>
          <w:sz w:val="16"/>
          <w:szCs w:val="16"/>
        </w:rPr>
        <w:softHyphen/>
        <w:t>боры. При переходе к крупной серии завод столкнулся с тем, что резко вырос процент брака. В ходе изготовления и термообработ</w:t>
      </w:r>
      <w:r w:rsidRPr="00D03F3E">
        <w:rPr>
          <w:rStyle w:val="790"/>
          <w:rFonts w:ascii="Times New Roman" w:hAnsi="Times New Roman" w:cs="Times New Roman"/>
          <w:color w:val="0070C0"/>
          <w:sz w:val="16"/>
          <w:szCs w:val="16"/>
        </w:rPr>
        <w:softHyphen/>
        <w:t>ки крыши на многих листах образовывались трещины, часто и не по одной. В условиях и так не слишком высоких объемов производства это грозило срывом выпуска. В марте 1943 года было принято решение на листы, где образовались трещины, накладывать экраны. Размер накладываемых экранов мог варьироваться от сравнительно небольшого до трети-половины размера листа. Нередко экраны принимаются за последствия полево</w:t>
      </w:r>
      <w:r w:rsidRPr="00D03F3E">
        <w:rPr>
          <w:rStyle w:val="790"/>
          <w:rFonts w:ascii="Times New Roman" w:hAnsi="Times New Roman" w:cs="Times New Roman"/>
          <w:color w:val="0070C0"/>
          <w:sz w:val="16"/>
          <w:szCs w:val="16"/>
        </w:rPr>
        <w:softHyphen/>
        <w:t>го ремонта, но на самом деле они вполне заводского изготовления (19892).</w:t>
      </w:r>
    </w:p>
    <w:p w14:paraId="58C29A22" w14:textId="77777777" w:rsidR="005B485D" w:rsidRPr="00D03F3E" w:rsidRDefault="005B485D" w:rsidP="00D03F3E">
      <w:pPr>
        <w:shd w:val="clear" w:color="auto" w:fill="FFFFFF"/>
        <w:spacing w:after="0" w:line="240" w:lineRule="auto"/>
        <w:jc w:val="both"/>
        <w:rPr>
          <w:rFonts w:ascii="Times New Roman" w:hAnsi="Times New Roman"/>
          <w:color w:val="0070C0"/>
          <w:sz w:val="16"/>
          <w:szCs w:val="16"/>
        </w:rPr>
      </w:pPr>
    </w:p>
    <w:p w14:paraId="072E1FD2" w14:textId="77777777" w:rsidR="00ED2FF4" w:rsidRPr="00D03F3E" w:rsidRDefault="00ED2FF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Вплоть до марта 1943 года крышу на СУ-12 не ставили, и мелькающие на фотографиях машины без крыш как раз относятся к партиям раннего выпуска. Единственной причиной, по которой СУ-15М лишилась крыши, было облегчение боевой массы. Существовало опасение, что перегруз может спровоцировать массовые поломки, как это было с СУ-12 (18172).</w:t>
      </w:r>
    </w:p>
    <w:p w14:paraId="0F87803A" w14:textId="77777777" w:rsidR="00ED2FF4" w:rsidRPr="00D03F3E" w:rsidRDefault="00ED2FF4" w:rsidP="00D03F3E">
      <w:pPr>
        <w:spacing w:after="0" w:line="240" w:lineRule="auto"/>
        <w:jc w:val="both"/>
        <w:rPr>
          <w:rFonts w:ascii="Times New Roman" w:hAnsi="Times New Roman"/>
          <w:color w:val="000000" w:themeColor="text1"/>
          <w:sz w:val="16"/>
          <w:szCs w:val="16"/>
        </w:rPr>
      </w:pPr>
    </w:p>
    <w:p w14:paraId="5C4EE8BE" w14:textId="77777777" w:rsidR="00ED2FF4" w:rsidRPr="00D03F3E" w:rsidRDefault="00ED2FF4"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В марте 1943 года начались работы по самоходным установкам ГАЗ, и с самого начала машина, имевшая обозначение ГАЗ-74, предназначалась на роль потенциального сменщика СУ-12 (СУ-76). Ведущим инженером машины был А.С. Маклаков. При этом поначалу СУ-74 строили по «классической» для советских лёгких САУ схеме, то есть с кормовым расположением боевого отделения. Вместо спарки моторов ГАЗ использовался мотор ЗИС-16. Опытный образец был построен в мае 1943 года, но довольно быстро на ГАЗ приняли решение перекомпоновать машину. Так появилась вторая машина — СУ-74Б (ГАЗ-76Б) с передним расположением боевого отделения и тем же мотором ЗИС-16. Построили её в июне 1943 года, но испытания она не выдержала из-за поломки двигателя ЗИС-16. В результате было принято решение заменить мотор ЗИС-16 на дизельный двигатель GMC. В июле 1943 года такую машину построили, она получила обозначение СУ-76Д (ГАЗ-74Д). При этом на СУ-74Б позже поставили 57-мм пушку ЗИС-4, далее она проходила под индексом СУ-74Б. Заводские испытания ГАЗ-74Д прошли в августе 1943 года, а с 28 августа по 8 сентября 1943 года обе машины испытывали на НИБТ Полигоне. Испытания они выдержали, и были рекомендованы для принятия на вооружение Красной армии, но ввиду запуска в серию </w:t>
      </w:r>
      <w:hyperlink r:id="rId108" w:history="1">
        <w:r w:rsidRPr="00D03F3E">
          <w:rPr>
            <w:rStyle w:val="a5"/>
            <w:rFonts w:eastAsiaTheme="majorEastAsia"/>
            <w:bCs/>
            <w:i/>
            <w:iCs/>
            <w:color w:val="000000" w:themeColor="text1"/>
            <w:sz w:val="16"/>
            <w:szCs w:val="16"/>
            <w:bdr w:val="none" w:sz="0" w:space="0" w:color="auto" w:frame="1"/>
          </w:rPr>
          <w:t>СУ-76М</w:t>
        </w:r>
      </w:hyperlink>
      <w:r w:rsidRPr="00D03F3E">
        <w:rPr>
          <w:color w:val="000000" w:themeColor="text1"/>
          <w:sz w:val="16"/>
          <w:szCs w:val="16"/>
        </w:rPr>
        <w:t> потребность в них исчезла (19620).</w:t>
      </w:r>
    </w:p>
    <w:p w14:paraId="5A43994A" w14:textId="77777777" w:rsidR="00ED2FF4" w:rsidRPr="00D03F3E" w:rsidRDefault="00ED2FF4" w:rsidP="00D03F3E">
      <w:pPr>
        <w:pStyle w:val="ae"/>
        <w:shd w:val="clear" w:color="auto" w:fill="FFFFFF"/>
        <w:spacing w:before="0" w:after="0"/>
        <w:jc w:val="both"/>
        <w:textAlignment w:val="baseline"/>
        <w:rPr>
          <w:color w:val="000000" w:themeColor="text1"/>
          <w:sz w:val="16"/>
          <w:szCs w:val="16"/>
        </w:rPr>
      </w:pPr>
    </w:p>
    <w:p w14:paraId="6E5C84AC" w14:textId="77777777" w:rsidR="0046798E" w:rsidRPr="00D03F3E" w:rsidRDefault="0046798E"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марте </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1943 г</w:t>
        </w:r>
      </w:smartTag>
      <w:r w:rsidRPr="00D03F3E">
        <w:rPr>
          <w:rFonts w:ascii="Times New Roman" w:hAnsi="Times New Roman"/>
          <w:color w:val="000000" w:themeColor="text1"/>
          <w:sz w:val="16"/>
          <w:szCs w:val="16"/>
        </w:rPr>
        <w:t>. ГАЗ предъявил облегченный вариант своей САУ ГАЗ-71, с усиленной трансмиссией. Но и такая машина не устроила заказчика. Поэтому горьковчане начли проработку эскизного проекта САУ ГАЗ-74 на шасси Т-70, оснащенной одним бензиновым двигателем типа ЗИС-16Ф – ЗИС-80 мощностью 90-</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116 л</w:t>
        </w:r>
      </w:smartTag>
      <w:r w:rsidRPr="00D03F3E">
        <w:rPr>
          <w:rFonts w:ascii="Times New Roman" w:hAnsi="Times New Roman"/>
          <w:color w:val="000000" w:themeColor="text1"/>
          <w:sz w:val="16"/>
          <w:szCs w:val="16"/>
        </w:rPr>
        <w:t>.с., или «Джи-Эм-Си» мощностью 120-</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210 л</w:t>
        </w:r>
      </w:smartTag>
      <w:r w:rsidRPr="00D03F3E">
        <w:rPr>
          <w:rFonts w:ascii="Times New Roman" w:hAnsi="Times New Roman"/>
          <w:color w:val="000000" w:themeColor="text1"/>
          <w:sz w:val="16"/>
          <w:szCs w:val="16"/>
        </w:rPr>
        <w:t xml:space="preserve">.с. Вооружаться же новые САУ должны были оружием С-1, созданным ЦАКБ на основе конструкции Ф-34. Несмотря на то, что двигательный агрегат танка Т-70 (ГАЗ-203) прежде был признан непригодным для СУ-76 из-за чрезмерной длины, его применение в САУ было очень заманчиво. Он был хорошо освоен в производстве, имел малую стоимость и высокую надежность. Главный конструктор завода №38 М.Н. Щукин решил попробовать скомпенсировать чрезмерную длину ГАЗ-203 тщательно продуманной компоновкой боевого отделения, изменением конструкции и компоновки воздухоотводящих каналов, а также коррекцией конструкции орудийной установки. Еще в апреле </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1943 г</w:t>
        </w:r>
      </w:smartTag>
      <w:r w:rsidRPr="00D03F3E">
        <w:rPr>
          <w:rFonts w:ascii="Times New Roman" w:hAnsi="Times New Roman"/>
          <w:color w:val="000000" w:themeColor="text1"/>
          <w:sz w:val="16"/>
          <w:szCs w:val="16"/>
        </w:rPr>
        <w:t>. он обратился к начальнику ЦАКБ В.Г. Грабину с просьбой рассмотреть возможность изменения конструкции орудийного станка и некоторых механизмов ЗИС-3 по предложенным эскизам. К концу мая ЦАКБ предложило заводу №38 опытный образец такого орудия С-15. После неизбежных доработок и «притирания» конструкции орудия к новой боевой рубке оно получило индекс СУ-15, отражавший и название машины, для которой оно создавалось. Фактически КБ завода №38 провело проектирование не одной, а сразу трех САУ, несущих силовой агрегат ГАЗ-203 и пушку СУ-15. Эти машины получили индексы СУ-15, СУ-38 и Су-16. Новые САУ прибыли на Гороховецкий артиллерийский полигон в июле 1943 года, когда под Курском шли тяжелые оборонительные бои. Испытания проводились совместно с доставленной туда же серийной СУ-76М (СУ-12М). Несмотря на то, что СУ-16 была признана лучшей для ведения огня, (у нее не было крыши), а СУ-38 имела прекрасное бронирование, их опорные катки испытывали чрезмерную нагрузку, что сказывалось на проходимости и ресурсе ходовой части. Симпатии практически всех военных (как артиллеристов, так и танкистов) лежали на стороне СУ-15, которая превосходила своих партнеров по подвижности и проходимости. Стояли за нее и представители НКТП, поскольку она имела наивысшую унификацию узлов с уже освоенной СУ-76М (СУ-12М). Единственным крупным недостатком, отмеченным госкомиссией, была масса машины, несколько превышавшая установленные НКТП пределы (11,2 т). Проведенные итоговые испытания СУ-15 выявили необходимость дополнительной конструктивной и технологической доработки некоторых деталей моторно-трансмиссионной группы, заимствованных с танка Т-70, а также снижения массы на 300-</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600 кг</w:t>
        </w:r>
      </w:smartTag>
      <w:r w:rsidRPr="00D03F3E">
        <w:rPr>
          <w:rFonts w:ascii="Times New Roman" w:hAnsi="Times New Roman"/>
          <w:color w:val="000000" w:themeColor="text1"/>
          <w:sz w:val="16"/>
          <w:szCs w:val="16"/>
        </w:rPr>
        <w:t>. В итоговом документе рекомендовалось принять СУ-15 на вооружение взамен СУ-12М с доработками, направленными на снижение веса и увеличение надежности ходовой части и трансмиссии. В ходе освоения серийного производства машины СУ-15, равно как и орудийной установки того же индекса, силами завода №38 и ЦАКБ были проведены некоторые изменения их конструкции. Так, для снижения массы, улучшения обзора и вентиляции боевого отделения, упрощения эвакуации в случае подбития машины и т.д., с нее была демонтирована крыша, после улучшения бронирования противооткатных приспособлений качающаяся часть орудия потребовала оснащения гильзоулавливателя дополнительным грузом. Предъявленная на государственные испытания 23 августа 1943 года СУ-15М была принята на вооружение взамен СУ-12М под индексом СУ-76 (без буквы «М»). Таким образом, после СУ-76М (СУ-12М) в войска вновь пошла самоходная пушка СУ-76, взаимозаменяемость деталей у которой по сравнению с предыдущими моделями была весьма относительной (15218).</w:t>
      </w:r>
    </w:p>
    <w:p w14:paraId="6E5A9DB0" w14:textId="77777777" w:rsidR="0046798E" w:rsidRPr="00D03F3E" w:rsidRDefault="0046798E" w:rsidP="00D03F3E">
      <w:pPr>
        <w:widowControl w:val="0"/>
        <w:spacing w:after="0" w:line="240" w:lineRule="auto"/>
        <w:jc w:val="both"/>
        <w:rPr>
          <w:rFonts w:ascii="Times New Roman" w:hAnsi="Times New Roman"/>
          <w:color w:val="000000" w:themeColor="text1"/>
          <w:sz w:val="16"/>
          <w:szCs w:val="16"/>
        </w:rPr>
      </w:pPr>
    </w:p>
    <w:p w14:paraId="256055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марте 1943 года были сформированы еще 2 полка на Су-76 - 1485-й и 1487-й, которые воевали на западном фронте. По штату 1943 года в легком самоходно-артиллерийском полку имелась 21 САУ СУ-76М (3862).</w:t>
      </w:r>
    </w:p>
    <w:p w14:paraId="7BC2FD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82027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w:t>
      </w:r>
      <w:r w:rsidRPr="00D03F3E">
        <w:rPr>
          <w:rFonts w:ascii="Times New Roman" w:hAnsi="Times New Roman"/>
          <w:color w:val="000000" w:themeColor="text1"/>
          <w:sz w:val="16"/>
          <w:szCs w:val="16"/>
        </w:rPr>
        <w:softHyphen/>
        <w:t>те 1943 г. горьковчане предъявили облегченный вариант своей САУ ГАЗ-71, с усиленной трансмиссией. Но и такая машина не устроила заказчика. Поэтому горьковчане начали проработ</w:t>
      </w:r>
      <w:r w:rsidRPr="00D03F3E">
        <w:rPr>
          <w:rFonts w:ascii="Times New Roman" w:hAnsi="Times New Roman"/>
          <w:color w:val="000000" w:themeColor="text1"/>
          <w:sz w:val="16"/>
          <w:szCs w:val="16"/>
        </w:rPr>
        <w:softHyphen/>
        <w:t>ку эскизного проекта САУ ГАЗ-74 на шасси Т-70, оснащен</w:t>
      </w:r>
      <w:r w:rsidRPr="00D03F3E">
        <w:rPr>
          <w:rFonts w:ascii="Times New Roman" w:hAnsi="Times New Roman"/>
          <w:color w:val="000000" w:themeColor="text1"/>
          <w:sz w:val="16"/>
          <w:szCs w:val="16"/>
        </w:rPr>
        <w:softHyphen/>
        <w:t>ной одним бензиновым двигателем типа ЗИС-16Ф — ЗИС-80 мощностью 90-116 л.с., или «Джи-Эм-Си» мощно</w:t>
      </w:r>
      <w:r w:rsidRPr="00D03F3E">
        <w:rPr>
          <w:rFonts w:ascii="Times New Roman" w:hAnsi="Times New Roman"/>
          <w:color w:val="000000" w:themeColor="text1"/>
          <w:sz w:val="16"/>
          <w:szCs w:val="16"/>
        </w:rPr>
        <w:softHyphen/>
        <w:t>стью 120—210 л.с. Вооружаться же новые САУ должны были орудием С-1, созданным ЦАКБ на основе конструции Ф-34.</w:t>
      </w:r>
    </w:p>
    <w:p w14:paraId="50A45E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то, что двигательный агрегат танка Т-70 (ГАЗ-203) прежде был признан непригодным для СУ-76 из-за чрезмерной длины, его применение в САУ было очень заманчиво. Он был хорошо освоен в производстве, имел малую стоимость и высокую надежность. Главный конструктор за</w:t>
      </w:r>
      <w:r w:rsidRPr="00D03F3E">
        <w:rPr>
          <w:rFonts w:ascii="Times New Roman" w:hAnsi="Times New Roman"/>
          <w:color w:val="000000" w:themeColor="text1"/>
          <w:sz w:val="16"/>
          <w:szCs w:val="16"/>
        </w:rPr>
        <w:softHyphen/>
        <w:t>вода № 38 М.Н. Щукин решил попробовать скомпенсиро</w:t>
      </w:r>
      <w:r w:rsidRPr="00D03F3E">
        <w:rPr>
          <w:rFonts w:ascii="Times New Roman" w:hAnsi="Times New Roman"/>
          <w:color w:val="000000" w:themeColor="text1"/>
          <w:sz w:val="16"/>
          <w:szCs w:val="16"/>
        </w:rPr>
        <w:softHyphen/>
        <w:t>вать чрезмерную длину ГАЗ-203 тщательно продуманной компоновкой боевого отделения, изменением конструкции и компоновки воздухоотводящих каналов, а также коррекци</w:t>
      </w:r>
      <w:r w:rsidRPr="00D03F3E">
        <w:rPr>
          <w:rFonts w:ascii="Times New Roman" w:hAnsi="Times New Roman"/>
          <w:color w:val="000000" w:themeColor="text1"/>
          <w:sz w:val="16"/>
          <w:szCs w:val="16"/>
        </w:rPr>
        <w:softHyphen/>
        <w:t>ей конструкции орудийной установки. Еще в апреле 1943 г. он обратился к начальнику ЦАКБ В.Г. Грабину с просьбой рассмотреть возможность изменения конструкции орудий</w:t>
      </w:r>
      <w:r w:rsidRPr="00D03F3E">
        <w:rPr>
          <w:rFonts w:ascii="Times New Roman" w:hAnsi="Times New Roman"/>
          <w:color w:val="000000" w:themeColor="text1"/>
          <w:sz w:val="16"/>
          <w:szCs w:val="16"/>
        </w:rPr>
        <w:softHyphen/>
        <w:t>ного станка и некоторых механизмов ЗИС-3 по предложен</w:t>
      </w:r>
      <w:r w:rsidRPr="00D03F3E">
        <w:rPr>
          <w:rFonts w:ascii="Times New Roman" w:hAnsi="Times New Roman"/>
          <w:color w:val="000000" w:themeColor="text1"/>
          <w:sz w:val="16"/>
          <w:szCs w:val="16"/>
        </w:rPr>
        <w:softHyphen/>
        <w:t>ным эскизам. К концу мая ЦАКБ предложило заводу № 38 опытный образец такого орудия С-15. После неизбежных до</w:t>
      </w:r>
      <w:r w:rsidRPr="00D03F3E">
        <w:rPr>
          <w:rFonts w:ascii="Times New Roman" w:hAnsi="Times New Roman"/>
          <w:color w:val="000000" w:themeColor="text1"/>
          <w:sz w:val="16"/>
          <w:szCs w:val="16"/>
        </w:rPr>
        <w:softHyphen/>
        <w:t>работок и «притирания» конструкции орудия к новой боевой рубке оно получило индекс СУ-15, отражавший и название машины, для которой оно создавалось. Фактически КБ заво</w:t>
      </w:r>
      <w:r w:rsidRPr="00D03F3E">
        <w:rPr>
          <w:rFonts w:ascii="Times New Roman" w:hAnsi="Times New Roman"/>
          <w:color w:val="000000" w:themeColor="text1"/>
          <w:sz w:val="16"/>
          <w:szCs w:val="16"/>
        </w:rPr>
        <w:softHyphen/>
        <w:t>да № 38 провело проектирование не одной, а сразу трех САУ, несущих силовой агрегат ГАЗ-203 и пушку СУ-15. Эти маши</w:t>
      </w:r>
      <w:r w:rsidRPr="00D03F3E">
        <w:rPr>
          <w:rFonts w:ascii="Times New Roman" w:hAnsi="Times New Roman"/>
          <w:color w:val="000000" w:themeColor="text1"/>
          <w:sz w:val="16"/>
          <w:szCs w:val="16"/>
        </w:rPr>
        <w:softHyphen/>
        <w:t>ны получили индексы СУ-15, СУ-38 и СУ-16.</w:t>
      </w:r>
    </w:p>
    <w:p w14:paraId="4CCEF5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СУ-15 представляла собой слегка измененный корпус и ходовую часть СУ-12, но оснащенные последовательно спа</w:t>
      </w:r>
      <w:r w:rsidRPr="00D03F3E">
        <w:rPr>
          <w:rFonts w:ascii="Times New Roman" w:hAnsi="Times New Roman"/>
          <w:color w:val="000000" w:themeColor="text1"/>
          <w:sz w:val="16"/>
          <w:szCs w:val="16"/>
        </w:rPr>
        <w:softHyphen/>
        <w:t>ренной двигательной установкой ГАЗ-203 с новой компонов</w:t>
      </w:r>
      <w:r w:rsidRPr="00D03F3E">
        <w:rPr>
          <w:rFonts w:ascii="Times New Roman" w:hAnsi="Times New Roman"/>
          <w:color w:val="000000" w:themeColor="text1"/>
          <w:sz w:val="16"/>
          <w:szCs w:val="16"/>
        </w:rPr>
        <w:softHyphen/>
        <w:t>кой воздухоотводящих каналов, новым размещением радиа</w:t>
      </w:r>
      <w:r w:rsidRPr="00D03F3E">
        <w:rPr>
          <w:rFonts w:ascii="Times New Roman" w:hAnsi="Times New Roman"/>
          <w:color w:val="000000" w:themeColor="text1"/>
          <w:sz w:val="16"/>
          <w:szCs w:val="16"/>
        </w:rPr>
        <w:softHyphen/>
        <w:t>тора и орудием СУ-15 в закрытой боевой рубке. Боевая рубка имела несколько большие габаритные размеры, чем боеотсек СУ-12, при все-таки более тесной компоновке, так как в ней размещался радиатор и проходил воздуховод двигателя.</w:t>
      </w:r>
    </w:p>
    <w:p w14:paraId="3A9D89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СУ-38 отличалась от СУ-15 применением штатной базы серийного Т-70 (двигатель, трансмиссия и ходовая часть), но отличалась увеличенной до 45 мм толщиной лобовой брони в боевой рубке, сдвинутой к середине машины. Это было сде</w:t>
      </w:r>
      <w:r w:rsidRPr="00D03F3E">
        <w:rPr>
          <w:rFonts w:ascii="Times New Roman" w:hAnsi="Times New Roman"/>
          <w:color w:val="000000" w:themeColor="text1"/>
          <w:sz w:val="16"/>
          <w:szCs w:val="16"/>
        </w:rPr>
        <w:softHyphen/>
        <w:t>лано для улучшения распределения нагрузки на опорные катки и нижнюю ветвь гусеницы. Командир в СУ-38 распо</w:t>
      </w:r>
      <w:r w:rsidRPr="00D03F3E">
        <w:rPr>
          <w:rFonts w:ascii="Times New Roman" w:hAnsi="Times New Roman"/>
          <w:color w:val="000000" w:themeColor="text1"/>
          <w:sz w:val="16"/>
          <w:szCs w:val="16"/>
        </w:rPr>
        <w:softHyphen/>
        <w:t>лагался «верхом на двигателе», сидя правым боком вперед.</w:t>
      </w:r>
    </w:p>
    <w:p w14:paraId="48BCC0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СУ-16 по базе была подобна СУ-38 (также использова</w:t>
      </w:r>
      <w:r w:rsidRPr="00D03F3E">
        <w:rPr>
          <w:rFonts w:ascii="Times New Roman" w:hAnsi="Times New Roman"/>
          <w:color w:val="000000" w:themeColor="text1"/>
          <w:sz w:val="16"/>
          <w:szCs w:val="16"/>
        </w:rPr>
        <w:softHyphen/>
        <w:t>лись шасси и силовая установка Т-70). Но боевая рубка в ней была открытой сверху. Командир в боевых условиях мог находиться в рубке только сидя боком над двигателем. Новые САУ прибыли на Гороховецкий артиллерийский полигон в июле 1943 г., когда под Курском шли тяжелые оборонительные бои. Испытания проводились совместно с доставленной туда же серийной СУ-76М (СУ-12М). Не</w:t>
      </w:r>
      <w:r w:rsidRPr="00D03F3E">
        <w:rPr>
          <w:rFonts w:ascii="Times New Roman" w:hAnsi="Times New Roman"/>
          <w:color w:val="000000" w:themeColor="text1"/>
          <w:sz w:val="16"/>
          <w:szCs w:val="16"/>
        </w:rPr>
        <w:softHyphen/>
        <w:t>смотря на то, что СУ-16 была признана лучшей для ведения огня (у нее не было крыши), а СУ-38 имела прекрасное бронирование, их опорные катки испытывали чрезмерную нагрузку, что сказывалось на проходимости и ресурсе ходо</w:t>
      </w:r>
      <w:r w:rsidRPr="00D03F3E">
        <w:rPr>
          <w:rFonts w:ascii="Times New Roman" w:hAnsi="Times New Roman"/>
          <w:color w:val="000000" w:themeColor="text1"/>
          <w:sz w:val="16"/>
          <w:szCs w:val="16"/>
        </w:rPr>
        <w:softHyphen/>
        <w:t>вой части. Симпатии практически всех военных (как ар</w:t>
      </w:r>
      <w:r w:rsidRPr="00D03F3E">
        <w:rPr>
          <w:rFonts w:ascii="Times New Roman" w:hAnsi="Times New Roman"/>
          <w:color w:val="000000" w:themeColor="text1"/>
          <w:sz w:val="16"/>
          <w:szCs w:val="16"/>
        </w:rPr>
        <w:softHyphen/>
        <w:t>тиллеристов, так и танкистов) лежали на стороне СУ-15, которая превосходила своих партнеров по подвижности и проходимости. Стояли за нее и представители НКТП, по</w:t>
      </w:r>
      <w:r w:rsidRPr="00D03F3E">
        <w:rPr>
          <w:rFonts w:ascii="Times New Roman" w:hAnsi="Times New Roman"/>
          <w:color w:val="000000" w:themeColor="text1"/>
          <w:sz w:val="16"/>
          <w:szCs w:val="16"/>
        </w:rPr>
        <w:softHyphen/>
        <w:t>скольку она имела наивысшую унификацию узлов с уже освоенной СУ-76М (СУ-12М). Единственным крупным недостатком, отмеченным госкомиссией, была масса ма</w:t>
      </w:r>
      <w:r w:rsidRPr="00D03F3E">
        <w:rPr>
          <w:rFonts w:ascii="Times New Roman" w:hAnsi="Times New Roman"/>
          <w:color w:val="000000" w:themeColor="text1"/>
          <w:sz w:val="16"/>
          <w:szCs w:val="16"/>
        </w:rPr>
        <w:softHyphen/>
        <w:t>шины, несколько превышавшая установленные НКТП пределы (11,2 т.). Проведенные итоговые испытания СУ-15 выявили необходимость дополнительной конструктивной и технологической доработки некоторых деталей моторно-трансмиссионной группы, заимствованных с танка Т-70, а также снижения массы на 300—600 кг. В итоговом докумен</w:t>
      </w:r>
      <w:r w:rsidRPr="00D03F3E">
        <w:rPr>
          <w:rFonts w:ascii="Times New Roman" w:hAnsi="Times New Roman"/>
          <w:color w:val="000000" w:themeColor="text1"/>
          <w:sz w:val="16"/>
          <w:szCs w:val="16"/>
        </w:rPr>
        <w:softHyphen/>
        <w:t>те рекомендовалось принять СУ-15 на вооружение взамен СУ-12М с доработками, направленными на снижение веса и увеличение надежности ходовой части и трансмиссии.</w:t>
      </w:r>
    </w:p>
    <w:p w14:paraId="0C26B4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освоения серийного производства машины СУ-15, равно как и орудийной установки того же индекса, силами завода № 38 и ЦАКБ были проведены некоторые из</w:t>
      </w:r>
      <w:r w:rsidRPr="00D03F3E">
        <w:rPr>
          <w:rFonts w:ascii="Times New Roman" w:hAnsi="Times New Roman"/>
          <w:color w:val="000000" w:themeColor="text1"/>
          <w:sz w:val="16"/>
          <w:szCs w:val="16"/>
        </w:rPr>
        <w:softHyphen/>
        <w:t>менения их конструкции. Так, для снижения массы, улуч</w:t>
      </w:r>
      <w:r w:rsidRPr="00D03F3E">
        <w:rPr>
          <w:rFonts w:ascii="Times New Roman" w:hAnsi="Times New Roman"/>
          <w:color w:val="000000" w:themeColor="text1"/>
          <w:sz w:val="16"/>
          <w:szCs w:val="16"/>
        </w:rPr>
        <w:softHyphen/>
        <w:t>шения обзора и вентиляции боевого отделения, упрощения эвакуации в случае подбития машины и т.д., с нее была де</w:t>
      </w:r>
      <w:r w:rsidRPr="00D03F3E">
        <w:rPr>
          <w:rFonts w:ascii="Times New Roman" w:hAnsi="Times New Roman"/>
          <w:color w:val="000000" w:themeColor="text1"/>
          <w:sz w:val="16"/>
          <w:szCs w:val="16"/>
        </w:rPr>
        <w:softHyphen/>
        <w:t>монтирована крыша. А после улучшения бронирования противооткатных приспособлений качающаяся часть ору</w:t>
      </w:r>
      <w:r w:rsidRPr="00D03F3E">
        <w:rPr>
          <w:rFonts w:ascii="Times New Roman" w:hAnsi="Times New Roman"/>
          <w:color w:val="000000" w:themeColor="text1"/>
          <w:sz w:val="16"/>
          <w:szCs w:val="16"/>
        </w:rPr>
        <w:softHyphen/>
        <w:t>дия потребовала оснащения гильзоулавливателя дополнительным грузом. Предъявленная на государственные испы</w:t>
      </w:r>
      <w:r w:rsidRPr="00D03F3E">
        <w:rPr>
          <w:rFonts w:ascii="Times New Roman" w:hAnsi="Times New Roman"/>
          <w:color w:val="000000" w:themeColor="text1"/>
          <w:sz w:val="16"/>
          <w:szCs w:val="16"/>
        </w:rPr>
        <w:softHyphen/>
        <w:t>тания 23 августа 1943 г. СУ-15М была принята на вооруже</w:t>
      </w:r>
      <w:r w:rsidRPr="00D03F3E">
        <w:rPr>
          <w:rFonts w:ascii="Times New Roman" w:hAnsi="Times New Roman"/>
          <w:color w:val="000000" w:themeColor="text1"/>
          <w:sz w:val="16"/>
          <w:szCs w:val="16"/>
        </w:rPr>
        <w:softHyphen/>
        <w:t>ние взамен СУ-12М под индексом СУ-76 (без буквы «М»).</w:t>
      </w:r>
    </w:p>
    <w:p w14:paraId="43EE41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после СУ-76М (СУ-12М) в войска вновь пошла самоходная пушка СУ-76, взаимозаменяе</w:t>
      </w:r>
      <w:r w:rsidRPr="00D03F3E">
        <w:rPr>
          <w:rFonts w:ascii="Times New Roman" w:hAnsi="Times New Roman"/>
          <w:color w:val="000000" w:themeColor="text1"/>
          <w:sz w:val="16"/>
          <w:szCs w:val="16"/>
        </w:rPr>
        <w:softHyphen/>
        <w:t>мость деталей у которой с предыдущими моделями была весьма относительной (11417).</w:t>
      </w:r>
    </w:p>
    <w:p w14:paraId="26580C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D2939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карбюратор двигателя ГАЗ-203 был моди</w:t>
      </w:r>
      <w:r w:rsidRPr="00D03F3E">
        <w:rPr>
          <w:rFonts w:ascii="Times New Roman" w:hAnsi="Times New Roman"/>
          <w:color w:val="000000" w:themeColor="text1"/>
          <w:sz w:val="16"/>
          <w:szCs w:val="16"/>
        </w:rPr>
        <w:softHyphen/>
        <w:t>фицирован, что позволило питать его летом не только авиа</w:t>
      </w:r>
      <w:r w:rsidRPr="00D03F3E">
        <w:rPr>
          <w:rFonts w:ascii="Times New Roman" w:hAnsi="Times New Roman"/>
          <w:color w:val="000000" w:themeColor="text1"/>
          <w:sz w:val="16"/>
          <w:szCs w:val="16"/>
        </w:rPr>
        <w:softHyphen/>
        <w:t>бензином, но и автомобильным бензином второго сорта (11135).</w:t>
      </w:r>
    </w:p>
    <w:p w14:paraId="1B756F1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33674D" w14:textId="77777777" w:rsidR="007F0261" w:rsidRPr="00D03F3E" w:rsidRDefault="007F0261" w:rsidP="00D03F3E">
      <w:pPr>
        <w:pStyle w:val="ae"/>
        <w:spacing w:before="0" w:after="0"/>
        <w:jc w:val="both"/>
        <w:textAlignment w:val="baseline"/>
        <w:rPr>
          <w:color w:val="000000" w:themeColor="text1"/>
          <w:sz w:val="16"/>
          <w:szCs w:val="16"/>
        </w:rPr>
      </w:pPr>
      <w:r w:rsidRPr="00D03F3E">
        <w:rPr>
          <w:color w:val="000000" w:themeColor="text1"/>
          <w:sz w:val="16"/>
          <w:szCs w:val="16"/>
        </w:rPr>
        <w:t xml:space="preserve">В марте 1943 года специалисты НИБТ Полигона в Кубинке составили краткое описание трофейной немецкой тяжёлой самоходной установки </w:t>
      </w:r>
      <w:hyperlink r:id="rId109" w:history="1">
        <w:r w:rsidRPr="00D03F3E">
          <w:rPr>
            <w:rStyle w:val="a5"/>
            <w:bCs/>
            <w:iCs/>
            <w:color w:val="000000" w:themeColor="text1"/>
            <w:sz w:val="16"/>
            <w:szCs w:val="16"/>
            <w:u w:val="none"/>
            <w:bdr w:val="none" w:sz="0" w:space="0" w:color="auto" w:frame="1"/>
          </w:rPr>
          <w:t>Pz.Sfl.V</w:t>
        </w:r>
      </w:hyperlink>
      <w:r w:rsidRPr="00D03F3E">
        <w:rPr>
          <w:color w:val="000000" w:themeColor="text1"/>
          <w:sz w:val="16"/>
          <w:szCs w:val="16"/>
        </w:rPr>
        <w:t xml:space="preserve">, созданной на базе тяжёлого танка </w:t>
      </w:r>
      <w:hyperlink r:id="rId110" w:history="1">
        <w:r w:rsidRPr="00D03F3E">
          <w:rPr>
            <w:rStyle w:val="a5"/>
            <w:bCs/>
            <w:iCs/>
            <w:color w:val="000000" w:themeColor="text1"/>
            <w:sz w:val="16"/>
            <w:szCs w:val="16"/>
            <w:u w:val="none"/>
            <w:bdr w:val="none" w:sz="0" w:space="0" w:color="auto" w:frame="1"/>
          </w:rPr>
          <w:t>VK 30.01(H)</w:t>
        </w:r>
      </w:hyperlink>
      <w:r w:rsidRPr="00D03F3E">
        <w:rPr>
          <w:color w:val="000000" w:themeColor="text1"/>
          <w:sz w:val="16"/>
          <w:szCs w:val="16"/>
        </w:rPr>
        <w:t>. В конце описания они предложили установить на шасси КВ-1 орудие А-19, создав, таким образом, аналог немецкой машины (17716).</w:t>
      </w:r>
    </w:p>
    <w:p w14:paraId="660EB350" w14:textId="77777777" w:rsidR="007F0261" w:rsidRPr="00D03F3E" w:rsidRDefault="007F0261" w:rsidP="00D03F3E">
      <w:pPr>
        <w:pStyle w:val="12a"/>
        <w:shd w:val="clear" w:color="auto" w:fill="auto"/>
        <w:spacing w:after="0" w:line="240" w:lineRule="auto"/>
        <w:jc w:val="both"/>
        <w:rPr>
          <w:color w:val="000000" w:themeColor="text1"/>
          <w:sz w:val="16"/>
          <w:szCs w:val="16"/>
        </w:rPr>
      </w:pPr>
    </w:p>
    <w:p w14:paraId="5D01E2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года снова вернулись к БА-64 с 14,5мм пятизарядным противотанковым ружьем системы Симонова (ПТРС-41). Судя по архивным документам завода ГАЗ, были попытки модернизации ПТРС с целью увеличения емкости магазина и автоматизации стрельбы путем снятия разобщителя. Однако, все эти работы не были доведены до конца и по не вполне ясным причинам были оставлены. В действующей же армии изредка применялись фронтовые "самоделы" с применением и ПТРС, и ПТРД (3862).</w:t>
      </w:r>
    </w:p>
    <w:p w14:paraId="2C62C7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8543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года собрали второй образец бронетранспортера на базе БА-64, получившего обозначение БА-64Е. Проведенные короткие испытания выявили главный недостаток - затрудненный вход и выход десанта из машины (3862).</w:t>
      </w:r>
    </w:p>
    <w:p w14:paraId="677D12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3C6F2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был изготовлен на базе бронеавтомобиля БА-64 опытный образец машины (БА-64Д) с установкой крупнокалиберного пулемета ЛТК. В марте того же года па базе БА-64Б был разработан проект бро</w:t>
      </w:r>
      <w:r w:rsidRPr="00D03F3E">
        <w:rPr>
          <w:rFonts w:ascii="Times New Roman" w:hAnsi="Times New Roman"/>
          <w:color w:val="000000" w:themeColor="text1"/>
          <w:sz w:val="16"/>
          <w:szCs w:val="16"/>
        </w:rPr>
        <w:softHyphen/>
        <w:t>неавтомобиля с аналогичным вооружением. Кроме того, были начаты проектные работы но размещению в башне бронеавтомобиля БА-64Б 25-мм автоматической пушки, но в металле эти проекты реализованы не были (10703).</w:t>
      </w:r>
    </w:p>
    <w:p w14:paraId="5D81082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22A9F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года па базе БА-64Б был разработан проект бро</w:t>
      </w:r>
      <w:r w:rsidRPr="00D03F3E">
        <w:rPr>
          <w:rFonts w:ascii="Times New Roman" w:hAnsi="Times New Roman"/>
          <w:color w:val="000000" w:themeColor="text1"/>
          <w:sz w:val="16"/>
          <w:szCs w:val="16"/>
        </w:rPr>
        <w:softHyphen/>
        <w:t>неавтомобиля с вооружением ЛТК. Кроме того, были начаты проектные работы но размещению в башне бронеавтомобиля БА-64Б 25-мм автоматической пушки, но в металле эти проекты реализованы не были (10703).</w:t>
      </w:r>
    </w:p>
    <w:p w14:paraId="5EDF54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C70D2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был изготовлен автозаводом Опытный обра</w:t>
      </w:r>
      <w:r w:rsidRPr="00D03F3E">
        <w:rPr>
          <w:rFonts w:ascii="Times New Roman" w:hAnsi="Times New Roman"/>
          <w:color w:val="000000" w:themeColor="text1"/>
          <w:sz w:val="16"/>
          <w:szCs w:val="16"/>
        </w:rPr>
        <w:softHyphen/>
        <w:t>зец машины БА-64Д и в апреле того же года прошел заводские испытания. На вооружение не принимался и в серийном производстве не состоял. Бронеавтомобиль БА-64Д отли-чался от серийного образца выпус</w:t>
      </w:r>
      <w:r w:rsidRPr="00D03F3E">
        <w:rPr>
          <w:rFonts w:ascii="Times New Roman" w:hAnsi="Times New Roman"/>
          <w:color w:val="000000" w:themeColor="text1"/>
          <w:sz w:val="16"/>
          <w:szCs w:val="16"/>
        </w:rPr>
        <w:softHyphen/>
        <w:t>ка 1942 г. установкой увеличенной башни с 12,7-мм пулеметом ДШК с магазинным питанием. Первая попытка установки пулемета ДШК бы</w:t>
      </w:r>
      <w:r w:rsidRPr="00D03F3E">
        <w:rPr>
          <w:rFonts w:ascii="Times New Roman" w:hAnsi="Times New Roman"/>
          <w:color w:val="000000" w:themeColor="text1"/>
          <w:sz w:val="16"/>
          <w:szCs w:val="16"/>
        </w:rPr>
        <w:softHyphen/>
        <w:t>ла произведена "по месту" еще в сентябре 1942 г. (10703).</w:t>
      </w:r>
    </w:p>
    <w:p w14:paraId="475088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9E09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было изготовлено пять опытных образцов нового артиллерийского тягача, позднее Я-11 (5744, 30).</w:t>
      </w:r>
    </w:p>
    <w:p w14:paraId="04EFAB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A39369" w14:textId="77777777" w:rsidR="0046798E" w:rsidRPr="00D03F3E" w:rsidRDefault="0046798E" w:rsidP="00D03F3E">
      <w:pPr>
        <w:pStyle w:val="book"/>
        <w:ind w:firstLine="0"/>
        <w:jc w:val="both"/>
        <w:rPr>
          <w:color w:val="000000" w:themeColor="text1"/>
          <w:sz w:val="16"/>
          <w:szCs w:val="16"/>
        </w:rPr>
      </w:pPr>
      <w:r w:rsidRPr="00D03F3E">
        <w:rPr>
          <w:color w:val="000000" w:themeColor="text1"/>
          <w:sz w:val="16"/>
          <w:szCs w:val="16"/>
        </w:rPr>
        <w:t>В марте 1943 г. вышло распоряжение начальника тыла РККА, которым предписывалось «все трофейные автомобили, имеющие двигатель дизеля, в первую очередь направлять для комплектования автомобильных парков танковых армий». Так, к 10 июля 1943 г. 18-й танковый корпус 5-й гвардейской танковой армии имел в своем составе 17 легковых и 154 грузовых трофейных автомобиля, а ремонтно-эвакуационные подразделения этой армии на 80% были укомплектованы трофейными тягачами «Крупп», «Майбах», «Фамо» и «Краус-Маффей» (15225).</w:t>
      </w:r>
    </w:p>
    <w:p w14:paraId="135B2E11" w14:textId="77777777" w:rsidR="0046798E" w:rsidRPr="00D03F3E" w:rsidRDefault="0046798E" w:rsidP="00D03F3E">
      <w:pPr>
        <w:pStyle w:val="book"/>
        <w:ind w:firstLine="0"/>
        <w:jc w:val="both"/>
        <w:rPr>
          <w:color w:val="000000" w:themeColor="text1"/>
          <w:sz w:val="16"/>
          <w:szCs w:val="16"/>
        </w:rPr>
      </w:pPr>
    </w:p>
    <w:p w14:paraId="2C02ECA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в мастерских Горьковского институ</w:t>
      </w:r>
      <w:r w:rsidRPr="00D03F3E">
        <w:rPr>
          <w:rFonts w:ascii="Times New Roman" w:hAnsi="Times New Roman"/>
          <w:color w:val="000000" w:themeColor="text1"/>
          <w:sz w:val="16"/>
          <w:szCs w:val="16"/>
        </w:rPr>
        <w:softHyphen/>
        <w:t>та инженеров водного транспорта по проек</w:t>
      </w:r>
      <w:r w:rsidRPr="00D03F3E">
        <w:rPr>
          <w:rFonts w:ascii="Times New Roman" w:hAnsi="Times New Roman"/>
          <w:color w:val="000000" w:themeColor="text1"/>
          <w:sz w:val="16"/>
          <w:szCs w:val="16"/>
        </w:rPr>
        <w:softHyphen/>
        <w:t>ту ОКБ НКРФ были построены двухместные, трехлыжные, двухколей</w:t>
      </w:r>
      <w:r w:rsidRPr="00D03F3E">
        <w:rPr>
          <w:rFonts w:ascii="Times New Roman" w:hAnsi="Times New Roman"/>
          <w:color w:val="000000" w:themeColor="text1"/>
          <w:sz w:val="16"/>
          <w:szCs w:val="16"/>
        </w:rPr>
        <w:softHyphen/>
        <w:t>ные аэросани РФ-12. Однако относительно ранняя весна 1943 г. не позволила провести всесто</w:t>
      </w:r>
      <w:r w:rsidRPr="00D03F3E">
        <w:rPr>
          <w:rFonts w:ascii="Times New Roman" w:hAnsi="Times New Roman"/>
          <w:color w:val="000000" w:themeColor="text1"/>
          <w:sz w:val="16"/>
          <w:szCs w:val="16"/>
        </w:rPr>
        <w:softHyphen/>
        <w:t>ронние испытания. Для проверки прочности конструкции машину установили на колес</w:t>
      </w:r>
      <w:r w:rsidRPr="00D03F3E">
        <w:rPr>
          <w:rFonts w:ascii="Times New Roman" w:hAnsi="Times New Roman"/>
          <w:color w:val="000000" w:themeColor="text1"/>
          <w:sz w:val="16"/>
          <w:szCs w:val="16"/>
        </w:rPr>
        <w:softHyphen/>
        <w:t>ный ход. В таком виде она испытывалась в период с апреля по май 1943 г. В дальней</w:t>
      </w:r>
      <w:r w:rsidRPr="00D03F3E">
        <w:rPr>
          <w:rFonts w:ascii="Times New Roman" w:hAnsi="Times New Roman"/>
          <w:color w:val="000000" w:themeColor="text1"/>
          <w:sz w:val="16"/>
          <w:szCs w:val="16"/>
        </w:rPr>
        <w:softHyphen/>
        <w:t>шем РФ-12 совершили пробег на колесах в Москву и обратно. После ряда испытаний и совещаний аэро</w:t>
      </w:r>
      <w:r w:rsidRPr="00D03F3E">
        <w:rPr>
          <w:rFonts w:ascii="Times New Roman" w:hAnsi="Times New Roman"/>
          <w:color w:val="000000" w:themeColor="text1"/>
          <w:sz w:val="16"/>
          <w:szCs w:val="16"/>
        </w:rPr>
        <w:softHyphen/>
        <w:t>сани РФ-12 были рекомендованы к серийно</w:t>
      </w:r>
      <w:r w:rsidRPr="00D03F3E">
        <w:rPr>
          <w:rFonts w:ascii="Times New Roman" w:hAnsi="Times New Roman"/>
          <w:color w:val="000000" w:themeColor="text1"/>
          <w:sz w:val="16"/>
          <w:szCs w:val="16"/>
        </w:rPr>
        <w:softHyphen/>
        <w:t>му производству на ремонтных предприятиях речного флота. В частности, план выпуска этих аэросаней для нужд Верхневолжского речного пароходства составлял 10 экземпляров. В то же время чертежи и описания РФ-12 неоднок</w:t>
      </w:r>
      <w:r w:rsidRPr="00D03F3E">
        <w:rPr>
          <w:rFonts w:ascii="Times New Roman" w:hAnsi="Times New Roman"/>
          <w:color w:val="000000" w:themeColor="text1"/>
          <w:sz w:val="16"/>
          <w:szCs w:val="16"/>
        </w:rPr>
        <w:softHyphen/>
        <w:t>ратно публиковались в открытой печати, что сделало возможным их изготовление силами отдельных энтузиастов. Поэтому число пост</w:t>
      </w:r>
      <w:r w:rsidRPr="00D03F3E">
        <w:rPr>
          <w:rFonts w:ascii="Times New Roman" w:hAnsi="Times New Roman"/>
          <w:color w:val="000000" w:themeColor="text1"/>
          <w:sz w:val="16"/>
          <w:szCs w:val="16"/>
        </w:rPr>
        <w:softHyphen/>
        <w:t>роенных аэросаней типа РФ-12 не может быть определено даже примерно. Помимо ОКБ НКРФ, в период 1941-1945 гг. рядом организаций было построе</w:t>
      </w:r>
      <w:r w:rsidRPr="00D03F3E">
        <w:rPr>
          <w:rFonts w:ascii="Times New Roman" w:hAnsi="Times New Roman"/>
          <w:color w:val="000000" w:themeColor="text1"/>
          <w:sz w:val="16"/>
          <w:szCs w:val="16"/>
        </w:rPr>
        <w:softHyphen/>
        <w:t>но несколько опытных образцов легкий аэро</w:t>
      </w:r>
      <w:r w:rsidRPr="00D03F3E">
        <w:rPr>
          <w:rFonts w:ascii="Times New Roman" w:hAnsi="Times New Roman"/>
          <w:color w:val="000000" w:themeColor="text1"/>
          <w:sz w:val="16"/>
          <w:szCs w:val="16"/>
        </w:rPr>
        <w:softHyphen/>
        <w:t>саней и снегоходов с мотоциклетными мо</w:t>
      </w:r>
      <w:r w:rsidRPr="00D03F3E">
        <w:rPr>
          <w:rFonts w:ascii="Times New Roman" w:hAnsi="Times New Roman"/>
          <w:color w:val="000000" w:themeColor="text1"/>
          <w:sz w:val="16"/>
          <w:szCs w:val="16"/>
        </w:rPr>
        <w:softHyphen/>
        <w:t>торами. В Академии БТ и МВ майор С.В. Фор-степ спроектировал аэросани «Зимний пу</w:t>
      </w:r>
      <w:r w:rsidRPr="00D03F3E">
        <w:rPr>
          <w:rFonts w:ascii="Times New Roman" w:hAnsi="Times New Roman"/>
          <w:color w:val="000000" w:themeColor="text1"/>
          <w:sz w:val="16"/>
          <w:szCs w:val="16"/>
        </w:rPr>
        <w:softHyphen/>
        <w:t>леметовоз». Они были изготовлены в двух экземплярах. Основным отличием первого экземпляра ЗП-1 являлось применение винта в кольце (иногда устройство имену</w:t>
      </w:r>
      <w:r w:rsidRPr="00D03F3E">
        <w:rPr>
          <w:rFonts w:ascii="Times New Roman" w:hAnsi="Times New Roman"/>
          <w:color w:val="000000" w:themeColor="text1"/>
          <w:sz w:val="16"/>
          <w:szCs w:val="16"/>
        </w:rPr>
        <w:softHyphen/>
        <w:t>ется дюзой), что позволяло существенно повысить тягу винта. Недостатком данного конструктивного решения стало то, что ус</w:t>
      </w:r>
      <w:r w:rsidRPr="00D03F3E">
        <w:rPr>
          <w:rFonts w:ascii="Times New Roman" w:hAnsi="Times New Roman"/>
          <w:color w:val="000000" w:themeColor="text1"/>
          <w:sz w:val="16"/>
          <w:szCs w:val="16"/>
        </w:rPr>
        <w:softHyphen/>
        <w:t>тановка винта в кольце требовала тщатель</w:t>
      </w:r>
      <w:r w:rsidRPr="00D03F3E">
        <w:rPr>
          <w:rFonts w:ascii="Times New Roman" w:hAnsi="Times New Roman"/>
          <w:color w:val="000000" w:themeColor="text1"/>
          <w:sz w:val="16"/>
          <w:szCs w:val="16"/>
        </w:rPr>
        <w:softHyphen/>
        <w:t>ного производственного исполнения. За счет вибраций силовой установки, усугубляющей</w:t>
      </w:r>
      <w:r w:rsidRPr="00D03F3E">
        <w:rPr>
          <w:rFonts w:ascii="Times New Roman" w:hAnsi="Times New Roman"/>
          <w:color w:val="000000" w:themeColor="text1"/>
          <w:sz w:val="16"/>
          <w:szCs w:val="16"/>
        </w:rPr>
        <w:softHyphen/>
        <w:t>ся ударными нагрузками при движении по бездорожью, устройство деформировалось, и лопасти винта могли задевать за огражде</w:t>
      </w:r>
      <w:r w:rsidRPr="00D03F3E">
        <w:rPr>
          <w:rFonts w:ascii="Times New Roman" w:hAnsi="Times New Roman"/>
          <w:color w:val="000000" w:themeColor="text1"/>
          <w:sz w:val="16"/>
          <w:szCs w:val="16"/>
        </w:rPr>
        <w:softHyphen/>
        <w:t>ние. Это вынуждало (при невозможности качественной сборки и регулировки и при</w:t>
      </w:r>
      <w:r w:rsidRPr="00D03F3E">
        <w:rPr>
          <w:rFonts w:ascii="Times New Roman" w:hAnsi="Times New Roman"/>
          <w:color w:val="000000" w:themeColor="text1"/>
          <w:sz w:val="16"/>
          <w:szCs w:val="16"/>
        </w:rPr>
        <w:softHyphen/>
        <w:t>менения доступных дешевых материалов) увеличивать внутренний диаметр дюзы или снижать диаметр пропеллера, что делало устройство малоэффективным. Поэтому на втором образце аэросаней ЗП-2 имелась ВМГ традиционной компоновки. Еще одной любопытной особенностью «Зимнего пуле-метовоза» являлась возможность управления аэросанями в положении лежа, что должно было обеспечить максимальную защиту во</w:t>
      </w:r>
      <w:r w:rsidRPr="00D03F3E">
        <w:rPr>
          <w:rFonts w:ascii="Times New Roman" w:hAnsi="Times New Roman"/>
          <w:color w:val="000000" w:themeColor="text1"/>
          <w:sz w:val="16"/>
          <w:szCs w:val="16"/>
        </w:rPr>
        <w:softHyphen/>
        <w:t xml:space="preserve">дителя от огня противника при применении бронирования простейшего типа. Однако в силу </w:t>
      </w:r>
      <w:r w:rsidRPr="00D03F3E">
        <w:rPr>
          <w:rFonts w:ascii="Times New Roman" w:hAnsi="Times New Roman"/>
          <w:color w:val="000000" w:themeColor="text1"/>
          <w:sz w:val="16"/>
          <w:szCs w:val="16"/>
        </w:rPr>
        <w:lastRenderedPageBreak/>
        <w:t>сочетания ряда дефектов эти аэросани не нашли применения в войсках. Также не получили распространения са</w:t>
      </w:r>
      <w:r w:rsidRPr="00D03F3E">
        <w:rPr>
          <w:rFonts w:ascii="Times New Roman" w:hAnsi="Times New Roman"/>
          <w:color w:val="000000" w:themeColor="text1"/>
          <w:sz w:val="16"/>
          <w:szCs w:val="16"/>
        </w:rPr>
        <w:softHyphen/>
        <w:t>нитарный снегоход конструкции НАМИ и сне</w:t>
      </w:r>
      <w:r w:rsidRPr="00D03F3E">
        <w:rPr>
          <w:rFonts w:ascii="Times New Roman" w:hAnsi="Times New Roman"/>
          <w:color w:val="000000" w:themeColor="text1"/>
          <w:sz w:val="16"/>
          <w:szCs w:val="16"/>
        </w:rPr>
        <w:softHyphen/>
        <w:t>гоход Ирбитского завода, как показавшие неудовлетворительные параметры надежно</w:t>
      </w:r>
      <w:r w:rsidRPr="00D03F3E">
        <w:rPr>
          <w:rFonts w:ascii="Times New Roman" w:hAnsi="Times New Roman"/>
          <w:color w:val="000000" w:themeColor="text1"/>
          <w:sz w:val="16"/>
          <w:szCs w:val="16"/>
        </w:rPr>
        <w:softHyphen/>
        <w:t>сти и проходимости. Снегоход (мотосани) НАМИ МС-1 были построены по проекту Б.Шишкина по схеме мотосаней изобретателя Куприянова, реализован</w:t>
      </w:r>
      <w:r w:rsidRPr="00D03F3E">
        <w:rPr>
          <w:rFonts w:ascii="Times New Roman" w:hAnsi="Times New Roman"/>
          <w:color w:val="000000" w:themeColor="text1"/>
          <w:sz w:val="16"/>
          <w:szCs w:val="16"/>
        </w:rPr>
        <w:softHyphen/>
        <w:t>ной в опытном образце еще в 1920-е гг. Из особенностей этих мотосаней можно отме</w:t>
      </w:r>
      <w:r w:rsidRPr="00D03F3E">
        <w:rPr>
          <w:rFonts w:ascii="Times New Roman" w:hAnsi="Times New Roman"/>
          <w:color w:val="000000" w:themeColor="text1"/>
          <w:sz w:val="16"/>
          <w:szCs w:val="16"/>
        </w:rPr>
        <w:softHyphen/>
        <w:t>тить использование так называемого «дви</w:t>
      </w:r>
      <w:r w:rsidRPr="00D03F3E">
        <w:rPr>
          <w:rFonts w:ascii="Times New Roman" w:hAnsi="Times New Roman"/>
          <w:color w:val="000000" w:themeColor="text1"/>
          <w:sz w:val="16"/>
          <w:szCs w:val="16"/>
        </w:rPr>
        <w:softHyphen/>
        <w:t>жителя Неждановского». Для применения на снежной целине этот движитель являлся те</w:t>
      </w:r>
      <w:r w:rsidRPr="00D03F3E">
        <w:rPr>
          <w:rFonts w:ascii="Times New Roman" w:hAnsi="Times New Roman"/>
          <w:color w:val="000000" w:themeColor="text1"/>
          <w:sz w:val="16"/>
          <w:szCs w:val="16"/>
        </w:rPr>
        <w:softHyphen/>
        <w:t>оретически безупречным, однако все попыт</w:t>
      </w:r>
      <w:r w:rsidRPr="00D03F3E">
        <w:rPr>
          <w:rFonts w:ascii="Times New Roman" w:hAnsi="Times New Roman"/>
          <w:color w:val="000000" w:themeColor="text1"/>
          <w:sz w:val="16"/>
          <w:szCs w:val="16"/>
        </w:rPr>
        <w:softHyphen/>
        <w:t>ки его практической реализации неизменно терпели неудачу. Не стал исключением и снегоход НАМИ. Несколько удачнее сложилась судьба легких связных аэросаней НКЛ-34. Они про</w:t>
      </w:r>
      <w:r w:rsidRPr="00D03F3E">
        <w:rPr>
          <w:rFonts w:ascii="Times New Roman" w:hAnsi="Times New Roman"/>
          <w:color w:val="000000" w:themeColor="text1"/>
          <w:sz w:val="16"/>
          <w:szCs w:val="16"/>
        </w:rPr>
        <w:softHyphen/>
        <w:t>ектировались в ЦКБ ГСДП (бывшее ОКБ-41) в 1942 г. в рамках реализации научно-производственных тем №9 и №11 плана работ КБ, предусматривавших составление проекта простейших аэросаней по заданию ГАБТУ. НКЛ-34, как и РФ-7, имели четырехлыж-ную схему. Однако ведущий конструктор НКЛ-34 Ю.К. Барташевич (одним из первых в отечественной практике) применил на аэро</w:t>
      </w:r>
      <w:r w:rsidRPr="00D03F3E">
        <w:rPr>
          <w:rFonts w:ascii="Times New Roman" w:hAnsi="Times New Roman"/>
          <w:color w:val="000000" w:themeColor="text1"/>
          <w:sz w:val="16"/>
          <w:szCs w:val="16"/>
        </w:rPr>
        <w:softHyphen/>
        <w:t>санях торсионную подвеску, что позволило су</w:t>
      </w:r>
      <w:r w:rsidRPr="00D03F3E">
        <w:rPr>
          <w:rFonts w:ascii="Times New Roman" w:hAnsi="Times New Roman"/>
          <w:color w:val="000000" w:themeColor="text1"/>
          <w:sz w:val="16"/>
          <w:szCs w:val="16"/>
        </w:rPr>
        <w:softHyphen/>
        <w:t>щественно снизить их массу и габариты. Еще одной особенностью аэросаней было распо</w:t>
      </w:r>
      <w:r w:rsidRPr="00D03F3E">
        <w:rPr>
          <w:rFonts w:ascii="Times New Roman" w:hAnsi="Times New Roman"/>
          <w:color w:val="000000" w:themeColor="text1"/>
          <w:sz w:val="16"/>
          <w:szCs w:val="16"/>
        </w:rPr>
        <w:softHyphen/>
        <w:t>ложение мотора в нижней части корпуса и применение ременной передачи к винту, что значительно повысило устойчивость машины. На образце, проходившем испытания на по</w:t>
      </w:r>
      <w:r w:rsidRPr="00D03F3E">
        <w:rPr>
          <w:rFonts w:ascii="Times New Roman" w:hAnsi="Times New Roman"/>
          <w:color w:val="000000" w:themeColor="text1"/>
          <w:sz w:val="16"/>
          <w:szCs w:val="16"/>
        </w:rPr>
        <w:softHyphen/>
        <w:t>лигоне ГАБТУ, использовались лыжи специ</w:t>
      </w:r>
      <w:r w:rsidRPr="00D03F3E">
        <w:rPr>
          <w:rFonts w:ascii="Times New Roman" w:hAnsi="Times New Roman"/>
          <w:color w:val="000000" w:themeColor="text1"/>
          <w:sz w:val="16"/>
          <w:szCs w:val="16"/>
        </w:rPr>
        <w:softHyphen/>
        <w:t>альной конструкции, что не исключало при массовой постройке установки на аэросани обычных беговых лыж на 80 кг. К 1944 г. си</w:t>
      </w:r>
      <w:r w:rsidRPr="00D03F3E">
        <w:rPr>
          <w:rFonts w:ascii="Times New Roman" w:hAnsi="Times New Roman"/>
          <w:color w:val="000000" w:themeColor="text1"/>
          <w:sz w:val="16"/>
          <w:szCs w:val="16"/>
        </w:rPr>
        <w:softHyphen/>
        <w:t>лами КБ были изготовлены пять аэросаней НКЛ-34.</w:t>
      </w:r>
    </w:p>
    <w:p w14:paraId="073DE8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ТТХ легких военных аэросаней</w:t>
      </w:r>
    </w:p>
    <w:tbl>
      <w:tblPr>
        <w:tblW w:w="0" w:type="auto"/>
        <w:tblInd w:w="40" w:type="dxa"/>
        <w:tblLayout w:type="fixed"/>
        <w:tblCellMar>
          <w:left w:w="40" w:type="dxa"/>
          <w:right w:w="40" w:type="dxa"/>
        </w:tblCellMar>
        <w:tblLook w:val="0000" w:firstRow="0" w:lastRow="0" w:firstColumn="0" w:lastColumn="0" w:noHBand="0" w:noVBand="0"/>
      </w:tblPr>
      <w:tblGrid>
        <w:gridCol w:w="1103"/>
        <w:gridCol w:w="971"/>
        <w:gridCol w:w="963"/>
        <w:gridCol w:w="971"/>
        <w:gridCol w:w="963"/>
        <w:gridCol w:w="963"/>
        <w:gridCol w:w="946"/>
      </w:tblGrid>
      <w:tr w:rsidR="00860B4B" w:rsidRPr="00D03F3E" w14:paraId="401933F8" w14:textId="77777777">
        <w:trPr>
          <w:trHeight w:val="321"/>
        </w:trPr>
        <w:tc>
          <w:tcPr>
            <w:tcW w:w="1103" w:type="dxa"/>
            <w:tcBorders>
              <w:top w:val="single" w:sz="6" w:space="0" w:color="auto"/>
              <w:left w:val="single" w:sz="6" w:space="0" w:color="auto"/>
              <w:bottom w:val="single" w:sz="6" w:space="0" w:color="auto"/>
              <w:right w:val="single" w:sz="6" w:space="0" w:color="auto"/>
            </w:tcBorders>
          </w:tcPr>
          <w:p w14:paraId="6D1B151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аэросаней</w:t>
            </w:r>
          </w:p>
          <w:p w14:paraId="4305E7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549018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РФ-7</w:t>
            </w:r>
          </w:p>
          <w:p w14:paraId="3712A7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1BDA30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РФ- 12</w:t>
            </w:r>
          </w:p>
          <w:p w14:paraId="4323CE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FAF72B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НКЛ-34</w:t>
            </w:r>
          </w:p>
          <w:p w14:paraId="18D096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51DD89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ЗП-1</w:t>
            </w:r>
          </w:p>
          <w:p w14:paraId="350B2B6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88D667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ЗП-2</w:t>
            </w:r>
          </w:p>
          <w:p w14:paraId="339FA3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0E5E329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Требования ГАБТУ</w:t>
            </w:r>
          </w:p>
          <w:p w14:paraId="4EC6EA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A9684BC" w14:textId="77777777">
        <w:trPr>
          <w:trHeight w:val="444"/>
        </w:trPr>
        <w:tc>
          <w:tcPr>
            <w:tcW w:w="1103" w:type="dxa"/>
            <w:tcBorders>
              <w:top w:val="single" w:sz="6" w:space="0" w:color="auto"/>
              <w:left w:val="single" w:sz="6" w:space="0" w:color="auto"/>
              <w:bottom w:val="single" w:sz="6" w:space="0" w:color="auto"/>
              <w:right w:val="single" w:sz="6" w:space="0" w:color="auto"/>
            </w:tcBorders>
          </w:tcPr>
          <w:p w14:paraId="21EB90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Назначение</w:t>
            </w:r>
          </w:p>
          <w:p w14:paraId="65155A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F491B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Связные</w:t>
            </w:r>
          </w:p>
          <w:p w14:paraId="32AA29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505FD9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Связные</w:t>
            </w:r>
          </w:p>
          <w:p w14:paraId="11DD92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C3B7F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Связные</w:t>
            </w:r>
          </w:p>
          <w:p w14:paraId="11864D7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855F6F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Легкие боевые</w:t>
            </w:r>
          </w:p>
          <w:p w14:paraId="44EF3DF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927F7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Легкие боевые</w:t>
            </w:r>
          </w:p>
          <w:p w14:paraId="7D4DF49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32ADF7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Легкие связные и боевые</w:t>
            </w:r>
          </w:p>
          <w:p w14:paraId="56ECEE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80D9390" w14:textId="77777777">
        <w:trPr>
          <w:trHeight w:val="296"/>
        </w:trPr>
        <w:tc>
          <w:tcPr>
            <w:tcW w:w="1103" w:type="dxa"/>
            <w:tcBorders>
              <w:top w:val="single" w:sz="6" w:space="0" w:color="auto"/>
              <w:left w:val="single" w:sz="6" w:space="0" w:color="auto"/>
              <w:bottom w:val="single" w:sz="6" w:space="0" w:color="auto"/>
              <w:right w:val="single" w:sz="6" w:space="0" w:color="auto"/>
            </w:tcBorders>
          </w:tcPr>
          <w:p w14:paraId="5B6F18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Снаряженный вес, кг</w:t>
            </w:r>
          </w:p>
          <w:p w14:paraId="500DEDE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16BB8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380</w:t>
            </w:r>
          </w:p>
          <w:p w14:paraId="5CA3A89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D882A1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380**</w:t>
            </w:r>
          </w:p>
          <w:p w14:paraId="3BC3576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FFDA4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310</w:t>
            </w:r>
          </w:p>
          <w:p w14:paraId="5097BE0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8630E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330</w:t>
            </w:r>
          </w:p>
          <w:p w14:paraId="3B2A88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9CE44A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420</w:t>
            </w:r>
          </w:p>
          <w:p w14:paraId="292DDA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5F197E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 более 350</w:t>
            </w:r>
          </w:p>
          <w:p w14:paraId="701F33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01A0D70"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3BE2EB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Сухой вес, кг</w:t>
            </w:r>
          </w:p>
          <w:p w14:paraId="0B81E39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10552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235</w:t>
            </w:r>
          </w:p>
          <w:p w14:paraId="142C84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AF314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176</w:t>
            </w:r>
          </w:p>
          <w:p w14:paraId="2A7639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476FA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w:t>
            </w:r>
          </w:p>
          <w:p w14:paraId="3384CB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87B496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_</w:t>
            </w:r>
          </w:p>
          <w:p w14:paraId="7CBC47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DFE3B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D31009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5BF099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_</w:t>
            </w:r>
          </w:p>
          <w:p w14:paraId="383D3B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69E5D1F" w14:textId="77777777">
        <w:trPr>
          <w:trHeight w:val="148"/>
        </w:trPr>
        <w:tc>
          <w:tcPr>
            <w:tcW w:w="1103" w:type="dxa"/>
            <w:tcBorders>
              <w:top w:val="single" w:sz="6" w:space="0" w:color="auto"/>
              <w:left w:val="single" w:sz="6" w:space="0" w:color="auto"/>
              <w:bottom w:val="single" w:sz="6" w:space="0" w:color="auto"/>
              <w:right w:val="single" w:sz="6" w:space="0" w:color="auto"/>
            </w:tcBorders>
          </w:tcPr>
          <w:p w14:paraId="2282483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w:t>
            </w:r>
          </w:p>
          <w:p w14:paraId="7B187D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5835D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4B96A8F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DDE2B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7F3DB0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CB7BAD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2F86F9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82672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2603082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D5D1C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581C6F1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55DF7F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7A3D8ED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E83C3C0"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246747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Пассажиры</w:t>
            </w:r>
          </w:p>
          <w:p w14:paraId="29401F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C00878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w:t>
            </w:r>
          </w:p>
          <w:p w14:paraId="5B5B53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9A6F3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74CC474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5BD6B2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w:t>
            </w:r>
          </w:p>
          <w:p w14:paraId="5689C3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7E2821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w:t>
            </w:r>
          </w:p>
          <w:p w14:paraId="6488CA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EC629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w:t>
            </w:r>
          </w:p>
          <w:p w14:paraId="433D21B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1B4337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CAE87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CD86321" w14:textId="77777777">
        <w:trPr>
          <w:trHeight w:val="148"/>
        </w:trPr>
        <w:tc>
          <w:tcPr>
            <w:tcW w:w="1103" w:type="dxa"/>
            <w:tcBorders>
              <w:top w:val="single" w:sz="6" w:space="0" w:color="auto"/>
              <w:left w:val="single" w:sz="6" w:space="0" w:color="auto"/>
              <w:bottom w:val="single" w:sz="6" w:space="0" w:color="auto"/>
              <w:right w:val="single" w:sz="6" w:space="0" w:color="auto"/>
            </w:tcBorders>
          </w:tcPr>
          <w:p w14:paraId="2FF97BD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м</w:t>
            </w:r>
          </w:p>
          <w:p w14:paraId="111087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22A18C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3,75</w:t>
            </w:r>
          </w:p>
          <w:p w14:paraId="640572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00FC4C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37FDEE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3A9D7C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w:t>
            </w:r>
          </w:p>
          <w:p w14:paraId="45C8C96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2E397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w:t>
            </w:r>
          </w:p>
          <w:p w14:paraId="302DCDB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8389A3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3,555</w:t>
            </w:r>
          </w:p>
          <w:p w14:paraId="5E8078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019729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_</w:t>
            </w:r>
          </w:p>
          <w:p w14:paraId="1F326EF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F96C898"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445FED6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Ширина, м</w:t>
            </w:r>
          </w:p>
          <w:p w14:paraId="2F24373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B66A01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p w14:paraId="4B18F9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83A172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p w14:paraId="079703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765283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w:t>
            </w:r>
          </w:p>
          <w:p w14:paraId="0EC477A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22F524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1,12</w:t>
            </w:r>
          </w:p>
          <w:p w14:paraId="0C745D5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72E7E0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w:t>
            </w:r>
          </w:p>
          <w:p w14:paraId="7DA559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4B620C9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_</w:t>
            </w:r>
          </w:p>
          <w:p w14:paraId="0B88F1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2086EC2" w14:textId="77777777">
        <w:trPr>
          <w:trHeight w:val="296"/>
        </w:trPr>
        <w:tc>
          <w:tcPr>
            <w:tcW w:w="1103" w:type="dxa"/>
            <w:tcBorders>
              <w:top w:val="single" w:sz="6" w:space="0" w:color="auto"/>
              <w:left w:val="single" w:sz="6" w:space="0" w:color="auto"/>
              <w:bottom w:val="single" w:sz="6" w:space="0" w:color="auto"/>
              <w:right w:val="single" w:sz="6" w:space="0" w:color="auto"/>
            </w:tcBorders>
          </w:tcPr>
          <w:p w14:paraId="769A27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Высота по винту, м</w:t>
            </w:r>
          </w:p>
          <w:p w14:paraId="12EF8FC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B6C816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2,34</w:t>
            </w:r>
          </w:p>
          <w:p w14:paraId="5CADA67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CD7C6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2,33</w:t>
            </w:r>
          </w:p>
          <w:p w14:paraId="4CE20B9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6E495D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p w14:paraId="5A5488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7816050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p w14:paraId="7FCBAC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3B76E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1,89</w:t>
            </w:r>
          </w:p>
          <w:p w14:paraId="6F0D64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6FC5B43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E9EED7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A4787D5"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188DC6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База, м</w:t>
            </w:r>
          </w:p>
          <w:p w14:paraId="11FFDF5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027D94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33C68B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2EFD9A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p w14:paraId="267CA8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74B3E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3CB605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DEB0E3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1,76</w:t>
            </w:r>
          </w:p>
          <w:p w14:paraId="2D8C60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7D56E5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09B6F6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4B21D4A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E84F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647C62F" w14:textId="77777777">
        <w:trPr>
          <w:trHeight w:val="148"/>
        </w:trPr>
        <w:tc>
          <w:tcPr>
            <w:tcW w:w="1103" w:type="dxa"/>
            <w:tcBorders>
              <w:top w:val="single" w:sz="6" w:space="0" w:color="auto"/>
              <w:left w:val="single" w:sz="6" w:space="0" w:color="auto"/>
              <w:bottom w:val="single" w:sz="6" w:space="0" w:color="auto"/>
              <w:right w:val="single" w:sz="6" w:space="0" w:color="auto"/>
            </w:tcBorders>
          </w:tcPr>
          <w:p w14:paraId="3532DA8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Колея, м</w:t>
            </w:r>
          </w:p>
          <w:p w14:paraId="7AF774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23075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p w14:paraId="182248C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764DCD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1,62</w:t>
            </w:r>
          </w:p>
          <w:p w14:paraId="21C66A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53FD3B8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34E195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D2548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0,97</w:t>
            </w:r>
          </w:p>
          <w:p w14:paraId="2A6A80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2BFBD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20E33E7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48DF649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p w14:paraId="3D23ECF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A6ACBBF" w14:textId="77777777">
        <w:trPr>
          <w:trHeight w:val="148"/>
        </w:trPr>
        <w:tc>
          <w:tcPr>
            <w:tcW w:w="1103" w:type="dxa"/>
            <w:tcBorders>
              <w:top w:val="single" w:sz="6" w:space="0" w:color="auto"/>
              <w:left w:val="single" w:sz="6" w:space="0" w:color="auto"/>
              <w:bottom w:val="single" w:sz="6" w:space="0" w:color="auto"/>
              <w:right w:val="single" w:sz="6" w:space="0" w:color="auto"/>
            </w:tcBorders>
          </w:tcPr>
          <w:p w14:paraId="2A8AC0D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Клиренс, м</w:t>
            </w:r>
          </w:p>
          <w:p w14:paraId="28156B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58D738F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0,25</w:t>
            </w:r>
          </w:p>
          <w:p w14:paraId="53B0A94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3B5BE5C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0,25</w:t>
            </w:r>
          </w:p>
          <w:p w14:paraId="4F8C13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BC8DBD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0,175</w:t>
            </w:r>
          </w:p>
          <w:p w14:paraId="73A7E6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B3484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0,225</w:t>
            </w:r>
          </w:p>
          <w:p w14:paraId="78C4C28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F66E0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0,27</w:t>
            </w:r>
          </w:p>
          <w:p w14:paraId="18AF13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0F9153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2F80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500C86F"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0E17263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Двигатель</w:t>
            </w:r>
          </w:p>
          <w:p w14:paraId="2922F9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3DD53E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М-72</w:t>
            </w:r>
          </w:p>
          <w:p w14:paraId="38D1741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65EA3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М-72</w:t>
            </w:r>
          </w:p>
          <w:p w14:paraId="07B2E12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47480D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М-72</w:t>
            </w:r>
          </w:p>
          <w:p w14:paraId="347F92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D28A16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М-72</w:t>
            </w:r>
          </w:p>
          <w:p w14:paraId="3AC586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6D4F72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М-72</w:t>
            </w:r>
          </w:p>
          <w:p w14:paraId="731A65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56B8243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_</w:t>
            </w:r>
          </w:p>
          <w:p w14:paraId="7151AA5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C5ED884" w14:textId="77777777">
        <w:trPr>
          <w:trHeight w:val="296"/>
        </w:trPr>
        <w:tc>
          <w:tcPr>
            <w:tcW w:w="1103" w:type="dxa"/>
            <w:tcBorders>
              <w:top w:val="single" w:sz="6" w:space="0" w:color="auto"/>
              <w:left w:val="single" w:sz="6" w:space="0" w:color="auto"/>
              <w:bottom w:val="single" w:sz="6" w:space="0" w:color="auto"/>
              <w:right w:val="single" w:sz="6" w:space="0" w:color="auto"/>
            </w:tcBorders>
          </w:tcPr>
          <w:p w14:paraId="6A163B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км/ч</w:t>
            </w:r>
          </w:p>
          <w:p w14:paraId="720288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662AA94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DADC09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DC1737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p w14:paraId="6177483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381A31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w:t>
            </w:r>
          </w:p>
          <w:p w14:paraId="5FE465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826DDD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61A139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16D88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22AD1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2FB305F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1F7D9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7D62022" w14:textId="77777777">
        <w:trPr>
          <w:trHeight w:val="304"/>
        </w:trPr>
        <w:tc>
          <w:tcPr>
            <w:tcW w:w="1103" w:type="dxa"/>
            <w:tcBorders>
              <w:top w:val="single" w:sz="6" w:space="0" w:color="auto"/>
              <w:left w:val="single" w:sz="6" w:space="0" w:color="auto"/>
              <w:bottom w:val="single" w:sz="6" w:space="0" w:color="auto"/>
              <w:right w:val="single" w:sz="6" w:space="0" w:color="auto"/>
            </w:tcBorders>
          </w:tcPr>
          <w:p w14:paraId="7DA5067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Радиус поворота, м</w:t>
            </w:r>
          </w:p>
          <w:p w14:paraId="3EF5CAC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6716C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w:t>
            </w:r>
          </w:p>
          <w:p w14:paraId="78695C8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7D10958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044D2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6B479C9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p w14:paraId="354F46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3D4C440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1DA37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B91FDD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AC488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70A394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 более 7</w:t>
            </w:r>
          </w:p>
          <w:p w14:paraId="4E741F0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76A5776" w14:textId="77777777">
        <w:trPr>
          <w:trHeight w:val="296"/>
        </w:trPr>
        <w:tc>
          <w:tcPr>
            <w:tcW w:w="1103" w:type="dxa"/>
            <w:tcBorders>
              <w:top w:val="single" w:sz="6" w:space="0" w:color="auto"/>
              <w:left w:val="single" w:sz="6" w:space="0" w:color="auto"/>
              <w:bottom w:val="single" w:sz="6" w:space="0" w:color="auto"/>
              <w:right w:val="single" w:sz="6" w:space="0" w:color="auto"/>
            </w:tcBorders>
          </w:tcPr>
          <w:p w14:paraId="4C9BB01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Запас хода</w:t>
            </w:r>
          </w:p>
          <w:p w14:paraId="0BBF1FE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3E368CB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w:t>
            </w:r>
          </w:p>
          <w:p w14:paraId="4DC15F7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определялся</w:t>
            </w:r>
          </w:p>
          <w:p w14:paraId="0E780BE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E6E90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2989C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3BECEB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часов работы мотора</w:t>
            </w:r>
          </w:p>
          <w:p w14:paraId="1A0E36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E5080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1567D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E15050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76E8A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06C9E97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 км</w:t>
            </w:r>
          </w:p>
          <w:p w14:paraId="0B0EF2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B390E8B" w14:textId="77777777">
        <w:trPr>
          <w:trHeight w:val="296"/>
        </w:trPr>
        <w:tc>
          <w:tcPr>
            <w:tcW w:w="1103" w:type="dxa"/>
            <w:tcBorders>
              <w:top w:val="single" w:sz="6" w:space="0" w:color="auto"/>
              <w:left w:val="single" w:sz="6" w:space="0" w:color="auto"/>
              <w:bottom w:val="single" w:sz="6" w:space="0" w:color="auto"/>
              <w:right w:val="single" w:sz="6" w:space="0" w:color="auto"/>
            </w:tcBorders>
          </w:tcPr>
          <w:p w14:paraId="25AA346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Удельное давление, кг/см</w:t>
            </w:r>
            <w:r w:rsidRPr="00D03F3E">
              <w:rPr>
                <w:rFonts w:ascii="Times New Roman" w:hAnsi="Times New Roman"/>
                <w:color w:val="000000" w:themeColor="text1"/>
                <w:sz w:val="16"/>
                <w:szCs w:val="16"/>
                <w:vertAlign w:val="superscript"/>
              </w:rPr>
              <w:t>2</w:t>
            </w:r>
          </w:p>
          <w:p w14:paraId="0DA9AB9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128749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0,4</w:t>
            </w:r>
          </w:p>
          <w:p w14:paraId="480E33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3D4E3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0,34**</w:t>
            </w:r>
          </w:p>
          <w:p w14:paraId="793237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68FF75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C11981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3A051E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1635A1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B83477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658B1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539530C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 свыше 0,45</w:t>
            </w:r>
          </w:p>
          <w:p w14:paraId="1D7E240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F881EB5"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26EF90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Воздушный винт</w:t>
            </w:r>
          </w:p>
          <w:p w14:paraId="4F86C26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FDCF60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Деревянный</w:t>
            </w:r>
          </w:p>
          <w:p w14:paraId="5AD874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3D0C07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Деревянный</w:t>
            </w:r>
          </w:p>
          <w:p w14:paraId="118B055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D59A9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Деревянный</w:t>
            </w:r>
          </w:p>
          <w:p w14:paraId="13D263A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946A26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Деревянный</w:t>
            </w:r>
          </w:p>
          <w:p w14:paraId="75D189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29BDB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Деревянный</w:t>
            </w:r>
          </w:p>
          <w:p w14:paraId="304E66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4AB7A0F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1A62FE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57437B8"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040F00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Диаметр винта</w:t>
            </w:r>
          </w:p>
          <w:p w14:paraId="4E984E5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401893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9F9CC4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F1DF2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AEE8D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3CC75EE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1550</w:t>
            </w:r>
          </w:p>
          <w:p w14:paraId="4790279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04BD9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1050</w:t>
            </w:r>
          </w:p>
          <w:p w14:paraId="78D456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50BD0A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w:t>
            </w:r>
          </w:p>
          <w:p w14:paraId="314F81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522D193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_</w:t>
            </w:r>
          </w:p>
          <w:p w14:paraId="272C31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3FDFF96" w14:textId="77777777">
        <w:trPr>
          <w:trHeight w:val="148"/>
        </w:trPr>
        <w:tc>
          <w:tcPr>
            <w:tcW w:w="1103" w:type="dxa"/>
            <w:tcBorders>
              <w:top w:val="single" w:sz="6" w:space="0" w:color="auto"/>
              <w:left w:val="single" w:sz="6" w:space="0" w:color="auto"/>
              <w:bottom w:val="single" w:sz="6" w:space="0" w:color="auto"/>
              <w:right w:val="single" w:sz="6" w:space="0" w:color="auto"/>
            </w:tcBorders>
          </w:tcPr>
          <w:p w14:paraId="368A72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Шаг винта</w:t>
            </w:r>
          </w:p>
          <w:p w14:paraId="785663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538B88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C0C17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6E6629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F60827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478BE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73BCC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3C1027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335</w:t>
            </w:r>
          </w:p>
          <w:p w14:paraId="52BFA1B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CACAC6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1050</w:t>
            </w:r>
          </w:p>
          <w:p w14:paraId="275F80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15C3441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_</w:t>
            </w:r>
          </w:p>
          <w:p w14:paraId="7F18C30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012D78A" w14:textId="77777777">
        <w:trPr>
          <w:trHeight w:val="592"/>
        </w:trPr>
        <w:tc>
          <w:tcPr>
            <w:tcW w:w="1103" w:type="dxa"/>
            <w:tcBorders>
              <w:top w:val="single" w:sz="6" w:space="0" w:color="auto"/>
              <w:left w:val="single" w:sz="6" w:space="0" w:color="auto"/>
              <w:bottom w:val="single" w:sz="6" w:space="0" w:color="auto"/>
              <w:right w:val="single" w:sz="6" w:space="0" w:color="auto"/>
            </w:tcBorders>
          </w:tcPr>
          <w:p w14:paraId="7243120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w:t>
            </w:r>
          </w:p>
          <w:p w14:paraId="12169B9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85BA0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Отсутствует</w:t>
            </w:r>
          </w:p>
          <w:p w14:paraId="3E2E4A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0E1A78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Отсутствует</w:t>
            </w:r>
          </w:p>
          <w:p w14:paraId="3BE58C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05D90C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Отсутствует</w:t>
            </w:r>
          </w:p>
          <w:p w14:paraId="50892E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39B9062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Пулемет ДТ</w:t>
            </w:r>
          </w:p>
          <w:p w14:paraId="0A2D3CE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485B7F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Пулемет «Брен»</w:t>
            </w:r>
          </w:p>
          <w:p w14:paraId="18EE6C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0DC4223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Пулемет ДТ с боезапасом в 5 магазинов и 3 гранаты</w:t>
            </w:r>
          </w:p>
          <w:p w14:paraId="3861840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EF8EF78" w14:textId="77777777">
        <w:trPr>
          <w:trHeight w:val="461"/>
        </w:trPr>
        <w:tc>
          <w:tcPr>
            <w:tcW w:w="1103" w:type="dxa"/>
            <w:tcBorders>
              <w:top w:val="single" w:sz="6" w:space="0" w:color="auto"/>
              <w:left w:val="single" w:sz="6" w:space="0" w:color="auto"/>
              <w:bottom w:val="single" w:sz="6" w:space="0" w:color="auto"/>
              <w:right w:val="single" w:sz="6" w:space="0" w:color="auto"/>
            </w:tcBorders>
          </w:tcPr>
          <w:p w14:paraId="3DE3783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Бронирование</w:t>
            </w:r>
          </w:p>
          <w:p w14:paraId="5A86A5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A9A27C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Отсутствует</w:t>
            </w:r>
          </w:p>
          <w:p w14:paraId="06F60EB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89E2B5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Отсутствует</w:t>
            </w:r>
          </w:p>
          <w:p w14:paraId="56F255D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9D3144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Отсутствует</w:t>
            </w:r>
          </w:p>
          <w:p w14:paraId="21BCFFF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AB3A3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Прямой лист 8 мм, наклонный лист 5 мм</w:t>
            </w:r>
          </w:p>
          <w:p w14:paraId="08A0EF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118B7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мм, лобовой лист 10 мм</w:t>
            </w:r>
          </w:p>
          <w:p w14:paraId="4C48D9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21BD96D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15041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F07CF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 лыжам левого борта.</w:t>
      </w:r>
    </w:p>
    <w:p w14:paraId="59C063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 пассажиром.</w:t>
      </w:r>
    </w:p>
    <w:p w14:paraId="44B167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(11855).</w:t>
      </w:r>
    </w:p>
    <w:p w14:paraId="64DC0B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BD1501" w14:textId="77777777" w:rsidR="00E06E40" w:rsidRPr="00D03F3E" w:rsidRDefault="00E06E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марте 1943 г. в мастерских Горьковского института инженеров водного транспорта по проекту ОКБ НКРФ были построены двухместные, трехлыжные, двухколейные аэросани РФ-12. Однако относительно ранняя весна 1943 г. не позволила провести всесторонние испытания. Для проверки прочности конструкции машину установили на колесный ход. В таком виде она испытывалась в период с апреля по май 1943 г. В дальнейшем РФ-12 совершили пробег на колесах в Москву </w:t>
      </w:r>
      <w:r w:rsidRPr="00D03F3E">
        <w:rPr>
          <w:rFonts w:ascii="Times New Roman" w:hAnsi="Times New Roman"/>
          <w:color w:val="000000" w:themeColor="text1"/>
          <w:sz w:val="16"/>
          <w:szCs w:val="16"/>
        </w:rPr>
        <w:lastRenderedPageBreak/>
        <w:t>и обратно. После ряда испытаний и совещаний аэросани РФ-12 были рекомендованы к серийному производству на ремонтных предприятиях речного флота. В частности, план выпуска этих аэросаней для нужд Верхневолжского речного пароходства составлял 10 экземпляров. В то же время чертежи и описания РФ-12 неоднократно публиковались в открытой печати, что сделало возможным их изготовление силами отдельных энтузиастов. Поэтому число построенных аэросаней типа РФ-12 не может быть определено даже примерно.</w:t>
      </w:r>
    </w:p>
    <w:p w14:paraId="38DBB249" w14:textId="77777777" w:rsidR="00E06E40" w:rsidRPr="00D03F3E" w:rsidRDefault="00E06E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Помимо ОКБ НКРФ, в период 1941– 1945 гг. рядом организаций было построено несколько опытных образцов легких аэросаней и снегоходов с мотоциклетными моторами. В Академии БТ и MB майор С. В. Форстеп спроектировал аэросани «Зимний пулеметовоз». Они были изготовлены в двух экземплярах. Основным отличием первого экземпляра ЗП-1 являлось применение винта в кольце (иногда такое устройство именуется дюзой), что позволяло существенно повысить тягу винта. Недостатком данного конструктивного решения стало то, что установка винта в кольце требовала тщательного производственного исполнения. За счет вибраций силовой установки, усугубляющейся ударными нагрузками при движении по бездорожью, устройство деформировалось, и лопасти винта могли задевать за ограждение. Это вынуждало (при невозможности качественной сборки и регулировки, и применения доступных дешевых материалов) увеличивать внутренний диаметр дюзы или снижать диаметр пропеллера, что делало устройство малоэффективным. Поэтому на втором образце аэросаней ЗП-2 имелась ВМГ традиционной компоновки. Еще одной любопытной особенностью «Зимнего пулеметовоза» являлась возможность управления аэросанями в положении лежа, что должно было обеспечить максимальную защиту водителя от огня противника при применении бронирования простейшего типа. Однако в силу сочетания ряда дефектов эти аэросани не нашли применения в войсках (19776).</w:t>
      </w:r>
    </w:p>
    <w:p w14:paraId="5F537C13" w14:textId="77777777" w:rsidR="00E06E40" w:rsidRPr="00D03F3E" w:rsidRDefault="00E06E40" w:rsidP="00D03F3E">
      <w:pPr>
        <w:spacing w:after="0" w:line="240" w:lineRule="auto"/>
        <w:jc w:val="both"/>
        <w:rPr>
          <w:rFonts w:ascii="Times New Roman" w:hAnsi="Times New Roman"/>
          <w:color w:val="000000" w:themeColor="text1"/>
          <w:sz w:val="16"/>
          <w:szCs w:val="16"/>
        </w:rPr>
      </w:pPr>
    </w:p>
    <w:p w14:paraId="20CBD1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Завод № 745 НКЭП (Завод № 745 НКЭП, МПС С, Московский завод «Волна» МРП, А-3486, Московский опытный завод НПО «Волна» МПСС, ГУП, ФГУП, ОАО «НПП «Волна» /113105  г. Москва Варшавское ш., 26 тел. 111-31-00/), созданный в соответствии с пост. ГКО в 1942 г. на месте эвакуированного завода № 18, был восстановлен выпустил первую продукцию - полевые коммутаторы КОФ. В 1944 г. завод (единственный в стране) начал выпуск самолетных переговорных устройств.</w:t>
      </w:r>
    </w:p>
    <w:p w14:paraId="463B6F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войны продолжен выпуск танковых и самолетных переговорных устройств, коммутаторов, газоразрядников, предохранителей, штепселей, аппаратуру телефонизации предприятий, сельских районов. С 1947 г. начат выпуск детекторного радиопремника «Волна». С начала 1950-х  г. завод специализируется на производстве аппаратуры связи и коммутации (АВСК) для МО и МГА. Были разработаны и внедрены в серию новые танковые и самолетные переговорные устройства, аппаратура внутрикабельной телефонной связи, гарнитуры для танкового и авиационного шлемофонов, аппаратура громкоговорящего оповещения для кораблей и наземной техники. В 1957 г. выпущен первый электромегафон.</w:t>
      </w:r>
    </w:p>
    <w:p w14:paraId="713EA6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07.1977 г. создан филиал на Дербентском заводе «Электросигнал». В 1980-е  г. открыты филиалы в Тбилиси, Ереване, Владивостоке.</w:t>
      </w:r>
    </w:p>
    <w:p w14:paraId="0B7DF8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1980-х  г. создано ПО «Волна» в ведении МПСС. В 1985 г. преобразовано в НПО «Волна» (и на 1991 г.), в состав которого вошли ЦНИИ «Волна», Московский опытный завод, филиалы в Дербенте, Тбилиси, Ереване, Владивостоке. В 1992 г. после распада СССР из состава НПО выделились филиалы, находившиеся в союзных республиках, а остальные подразделения преобразованы в самостоятельные предприятия. В 1995 г. НИИ и Опытный завод объединены в ГУП «НЛП «Волна», с 1998 г. - ФГУП.</w:t>
      </w:r>
    </w:p>
    <w:p w14:paraId="7ABF29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Разработка и производство (2002 г.): аппаратуры внутренней связи и коммутации подвижных объектов. Единственный в России и СНГ производитель электромегафонов.</w:t>
      </w:r>
    </w:p>
    <w:p w14:paraId="12AF34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Площадь: территории (2000-е)- 4,5 га; производственная (2000-е)- 54 тыс.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Численность персонала (2000-е)- 900 чел.</w:t>
      </w:r>
    </w:p>
    <w:p w14:paraId="668C83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(1951-73 г.-)- П.И. Кузнецов, (2002 г.)- Ю.Д. Велик, Ю.Л. Булкин. Зам. директора по общим вопросам (2002 г.)- В.М. Полосухин. Гл. инженер (-08.1971-72 г.-)- Ю.П. Емельянов. Гл. механик (1971 г.)- О. Г. Бородкин.</w:t>
      </w:r>
    </w:p>
    <w:p w14:paraId="37AF67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Начальники бюро: КБ (2002 г.)- М.В. Демин; ТБ (1971 г.)- А.А. Кобозев; ревизионного (1973 г.)- Н.Н. Панина. </w:t>
      </w:r>
      <w:r w:rsidRPr="00D03F3E">
        <w:rPr>
          <w:rFonts w:ascii="Times New Roman" w:hAnsi="Times New Roman"/>
          <w:iCs/>
          <w:color w:val="000000" w:themeColor="text1"/>
          <w:sz w:val="16"/>
          <w:szCs w:val="16"/>
        </w:rPr>
        <w:t>Производство:</w:t>
      </w:r>
      <w:r w:rsidRPr="00D03F3E">
        <w:rPr>
          <w:rFonts w:ascii="Times New Roman" w:hAnsi="Times New Roman"/>
          <w:color w:val="000000" w:themeColor="text1"/>
          <w:sz w:val="16"/>
          <w:szCs w:val="16"/>
        </w:rPr>
        <w:t xml:space="preserve"> полевые коммутаторы: КОФ (1943-), ПК-10 (1944-); электронный блок регистрации высоты облачности РВО-1 (1950-е); электромагнитный ларингофон ЛЭМ-3 (1950-е); аппаратура оповещения для орбитальной станции «Салют» «Звук»; радиоприемник «Волна» (1947-); электромегафоны ЭМ-2 (1957-), -7. Московское ЦСКТБ «Волна» МРП, МПСС, А-3526, ЦНИИ «Волна» МИСС / г. Москва ул. Медведева, 5 (1971 г.)/ / г. Москва Варшавское ш., 26 тел. 111-31-00/</w:t>
      </w:r>
    </w:p>
    <w:p w14:paraId="5F268D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1971 г. ЦСКТБ «Волна» - в ведении 15ГУ МРП, в 1977 г. - в ведении МПСС. Имело наименование «</w:t>
      </w:r>
      <w:r w:rsidRPr="00D03F3E">
        <w:rPr>
          <w:rFonts w:ascii="Times New Roman" w:hAnsi="Times New Roman"/>
          <w:color w:val="000000" w:themeColor="text1"/>
          <w:sz w:val="16"/>
          <w:szCs w:val="16"/>
          <w:lang w:val="en-US"/>
        </w:rPr>
        <w:t>u</w:t>
      </w:r>
      <w:r w:rsidRPr="00D03F3E">
        <w:rPr>
          <w:rFonts w:ascii="Times New Roman" w:hAnsi="Times New Roman"/>
          <w:color w:val="000000" w:themeColor="text1"/>
          <w:sz w:val="16"/>
          <w:szCs w:val="16"/>
        </w:rPr>
        <w:t>/я А- 3526». В соответствии с пост. СМ № 275-80 от 1.04.1980 г. и приказом МПСС № 244дсп от 28.05.1980 г. ЦСКТБ преобразовано в ЦНИИ «Волна». В 1999 г. - НПП «Волна».</w:t>
      </w:r>
    </w:p>
    <w:p w14:paraId="64FF4E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 15ГУ № 230 от 8.07.1971 г. утверждена основная задача предприятия - координация работ ГУ по специализации.</w:t>
      </w:r>
    </w:p>
    <w:p w14:paraId="31705F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(1971-73 г.)- А.И. Зотов, (1999 г.)- Ю.Д. Велик.</w:t>
      </w:r>
    </w:p>
    <w:p w14:paraId="3F07AD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(1973 г.)- Б.Ф. Кошелев.</w:t>
      </w:r>
    </w:p>
    <w:p w14:paraId="2486E1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конструкторы: (1972 г.)- Ю.И. Соколов (1Т803).</w:t>
      </w:r>
    </w:p>
    <w:p w14:paraId="65802F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Зам. гл. конструктора: (1972 г.)- </w:t>
      </w:r>
      <w:r w:rsidRPr="00D03F3E">
        <w:rPr>
          <w:rFonts w:ascii="Times New Roman" w:hAnsi="Times New Roman"/>
          <w:color w:val="000000" w:themeColor="text1"/>
          <w:sz w:val="16"/>
          <w:szCs w:val="16"/>
          <w:lang w:val="en-US"/>
        </w:rPr>
        <w:t>JT</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C</w:t>
      </w:r>
      <w:r w:rsidRPr="00D03F3E">
        <w:rPr>
          <w:rFonts w:ascii="Times New Roman" w:hAnsi="Times New Roman"/>
          <w:color w:val="000000" w:themeColor="text1"/>
          <w:sz w:val="16"/>
          <w:szCs w:val="16"/>
        </w:rPr>
        <w:t>. Апарин, (1972 г.)- В.З. Силаев, (1972 г.)- Н.С. Тухикян. Начальники отделов: технического (1971 г.)- В. Г. Данилов; НИООТиУ (1971 г.)- В.Н. Дроздов; ПЭО (1973 г.)- С.А. Эфрос; (1972 г.)- Н.В. Кузьмин.</w:t>
      </w:r>
    </w:p>
    <w:p w14:paraId="01B5EF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отдела: технического (1971 г.)- А.А. Комиссаров, (1971 г.)- А.А. Тугаринов. И.О. начальника экономической лаборатории (1971 г.)- Шварц.</w:t>
      </w:r>
    </w:p>
    <w:p w14:paraId="3BB8F9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секторов: производительности и нормирования (1973 г.)- Т.В. Картамышева; и.о. (1973 г.)- С.В. Рослякова.</w:t>
      </w:r>
    </w:p>
    <w:p w14:paraId="423DC1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НПО «Волна» МПСС В начале 1980-х  г. создано ПО «Волна» в ведении МПСС. В 1985 г. преобразовано в НПО «Волна» (и на 1991 г.), в состав которого вошли ЦНИИ «Волна», Московский опытный завод, филиалы в Дербенте, Тбилиси, Ереване, Владивостоке. В 1992 г. после распада СССР из состава НПО выделились филиалы, находившиеся в союзных республиках, а остальные подразделения преобразованы в самостоятельные предприятия.</w:t>
      </w:r>
    </w:p>
    <w:p w14:paraId="563DA1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Дербентский филиал ЦСКТБ, ЦНИИ «Волна», АООТ, ОАО «Дербентский НИИ «Волна» /Дагестан 368603  г. Дербент ул. Строительная, 3 тел. 42-785/</w:t>
      </w:r>
    </w:p>
    <w:p w14:paraId="156FA6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07.1977 г. на Дербентском заводе «Электросигнал» создан филиал Московского ЦСКТБ «Волна». По приказу Департамента ПСС № 1 от 26.12.1991 г. Дербентский филиал преобразован в самостоятельное предприятие. В соответствии с Указом Президента № 50-066 от 29.01.1992 г. институт 1.07.1992 г. акционирован и преобразован в АООТ.</w:t>
      </w:r>
    </w:p>
    <w:p w14:paraId="776137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Разработка и производство (2002-06 г.): комплексные бортовые системы внутренней связи и коммутации для авиации и подвижной наземной техники.</w:t>
      </w:r>
    </w:p>
    <w:p w14:paraId="6792E4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Имеется (2002 г.)- инженерно-лабораторный корпус, ОП, испытательная лаборатория. Гендиректор (2002 г.)- В.А. Гаджиагаев. Гл. инженер (-2002-06 г.-)- Н.Ф. Сафарбеков. Начальник отдела снабжения (2006 г.)- К.Ф. Фейзуллаев.</w:t>
      </w:r>
    </w:p>
    <w:p w14:paraId="096455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(2002-06 г.): аппаратура внутренней связи и оповещения: «Лайнер-85СТ», «Лайнер-МВЛ»; аппаратура вызова бортпроводника МСОП; аппаратура трансляции развлекательных программ САОП; аппаратура наблюдения за обстановкой в салонах «Обзор», бортовой многоканальный плейер «Лира»; аппаратура выдачи на землю команды «опасность на борту» ССО-Б; аппаратура для развлечения пассажиров БИРС-П.</w:t>
      </w:r>
      <w:r w:rsidRPr="00D03F3E">
        <w:rPr>
          <w:rFonts w:ascii="Times New Roman" w:hAnsi="Times New Roman"/>
          <w:color w:val="000000" w:themeColor="text1"/>
          <w:sz w:val="16"/>
          <w:szCs w:val="16"/>
          <w:vertAlign w:val="superscript"/>
        </w:rPr>
        <w:t xml:space="preserve">69 </w:t>
      </w:r>
      <w:r w:rsidRPr="00D03F3E">
        <w:rPr>
          <w:rFonts w:ascii="Times New Roman" w:hAnsi="Times New Roman"/>
          <w:color w:val="000000" w:themeColor="text1"/>
          <w:sz w:val="16"/>
          <w:szCs w:val="16"/>
        </w:rPr>
        <w:t>Дербентский завод «Электросигнал» МРП, А-1964, ОАО «Электросигнал» /Дагестан 368600  г. Дербент ул. Ленина, 87 тел. 23-453/</w:t>
      </w:r>
    </w:p>
    <w:p w14:paraId="693692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основан в 1959 г. В 1971 г. завод «Электросигнал» - в ведении 15ГУ МРП, имел наименование «п/я А- 1964». В 07.1977 г. на Дербентском заводе «Электросигнал» создан филиал Московского ЦСКТБ «Волна» (затем- Дербентский НИИ «Волна»), Возможно, в 1985 г. вошел в состав НПО «Волна».</w:t>
      </w:r>
    </w:p>
    <w:p w14:paraId="6D8EDB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(2002 г.): самолетные громкоговорящие переговорные устройства; усилители низкой частоты, радиостанции; видеомагнитофоны.</w:t>
      </w:r>
    </w:p>
    <w:p w14:paraId="1C91A1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19E042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(1971 г.)- К. Г. Темирханов, (2002 г.)- Д-М. Миразбеков.</w:t>
      </w:r>
      <w:r w:rsidRPr="00D03F3E">
        <w:rPr>
          <w:rFonts w:ascii="Times New Roman" w:hAnsi="Times New Roman"/>
          <w:color w:val="000000" w:themeColor="text1"/>
          <w:sz w:val="16"/>
          <w:szCs w:val="16"/>
          <w:vertAlign w:val="superscript"/>
        </w:rPr>
        <w:t>69</w:t>
      </w:r>
    </w:p>
    <w:p w14:paraId="4B6F0F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директора (1971 г.)- В.Ф. Дайнеко.</w:t>
      </w:r>
    </w:p>
    <w:p w14:paraId="7EA922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(1971 г.)-  Г.В. Исаев.</w:t>
      </w:r>
    </w:p>
    <w:p w14:paraId="39A06C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w:t>
      </w:r>
      <w:r w:rsidRPr="00D03F3E">
        <w:rPr>
          <w:rFonts w:ascii="Times New Roman" w:hAnsi="Times New Roman"/>
          <w:color w:val="000000" w:themeColor="text1"/>
          <w:sz w:val="16"/>
          <w:szCs w:val="16"/>
        </w:rPr>
        <w:t xml:space="preserve"> радиоприемники; телевизоры: «Элекс» 31ТБ-301, 51ТЦ-5162 (11982).</w:t>
      </w:r>
    </w:p>
    <w:p w14:paraId="5A6296BF" w14:textId="77777777" w:rsidR="0046798E" w:rsidRPr="00D03F3E" w:rsidRDefault="0046798E" w:rsidP="00D03F3E">
      <w:pPr>
        <w:spacing w:after="0" w:line="240" w:lineRule="auto"/>
        <w:jc w:val="both"/>
        <w:rPr>
          <w:rFonts w:ascii="Times New Roman" w:hAnsi="Times New Roman"/>
          <w:color w:val="000000" w:themeColor="text1"/>
          <w:sz w:val="16"/>
          <w:szCs w:val="16"/>
        </w:rPr>
      </w:pPr>
    </w:p>
    <w:p w14:paraId="133DF129" w14:textId="77777777" w:rsidR="00ED2FF4" w:rsidRPr="00D03F3E" w:rsidRDefault="00ED2FF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марте 1943 г. в отделе электропромышленности ЦК ВКП(б) началось всестороннее обсуждение мероприятий, нацеленных на развитие радиолокации. В этой работе участвовали ответственные представители Госплана СССР, наркоматов вооружения, электротехнической, авиационной и судостроительной промышленности ГАУ НКО и радиозавода-института НКЭП. После тщательного изучения вопроса и выработки необходимых мер был сделан вывод, что для руководства и координации деятельности оборонных заводов и радиозаводов НКЭП, привлекаемых к выпуску радиолокационной аппаратуры, следует учредить правительственный орган с широкими полномочиями. Этот орган мог бы взять на себя выработку необходимых мероприятий по всестороннему и ускоренному развитию радиолокации, вносить предложения в ЦК ВКП(б)– ГКО и контролировать исполнение принимаемых правительством решений наркоматами и ведомствами, работающими в этой области техники. Через Г.М. Маленкова на имя И.В. Сталина был подан соответствующий доклад с проектом постановления. И.В. Сталин принял А.И. Берга, который изложил суть радиолокации, необходимость развертывания широкого производства радиолокационных станций, осветил проблемы, которые этому препятствуют, и предложил необходимые государственные меры. По некоторым сведениям, беседа продолжалась четыре часа. Постановление ГКО № 3686сс «О мероприятиях по организации производства радиоэлектронной аппаратуры» вышло 4 июля 1943 г. и явилось для всей отечественной радиолокации и электроники важнейшим государственным актом. В соответствии с постановлением был образован Совет по радиолокации при ГКО, начато создание Всесоюзного института по радиолокации, Всесоюзного электровакуумного института, Центрального проектно-конструкторского бюро. Председателем Совета по радиолокации был назначен секретарь ЦК ВКП(б), член ГКО Г.М. Маленков, заместителем председателя – заместитель наркома электропромышленности профессор А.И. Берг3 . Суть работы Совета сводилась к быстрому </w:t>
      </w:r>
      <w:r w:rsidRPr="00D03F3E">
        <w:rPr>
          <w:rFonts w:ascii="Times New Roman" w:hAnsi="Times New Roman"/>
          <w:color w:val="000000" w:themeColor="text1"/>
          <w:sz w:val="16"/>
          <w:szCs w:val="16"/>
        </w:rPr>
        <w:lastRenderedPageBreak/>
        <w:t>поиску необходимых решений, их согласованию между постоянными членами и выпуску распорядительных документов от имени ГКО, обязательных во время войны к исполнению. Некоторые вопросы вскоре стали решаться уже на уровне самого Совета, без выхода в ГКО (19153).</w:t>
      </w:r>
    </w:p>
    <w:p w14:paraId="4A596838" w14:textId="77777777" w:rsidR="00ED2FF4" w:rsidRPr="00D03F3E" w:rsidRDefault="00ED2FF4" w:rsidP="00D03F3E">
      <w:pPr>
        <w:spacing w:after="0" w:line="240" w:lineRule="auto"/>
        <w:jc w:val="both"/>
        <w:rPr>
          <w:rFonts w:ascii="Times New Roman" w:hAnsi="Times New Roman"/>
          <w:color w:val="000000" w:themeColor="text1"/>
          <w:sz w:val="16"/>
          <w:szCs w:val="16"/>
        </w:rPr>
      </w:pPr>
    </w:p>
    <w:p w14:paraId="62FFFA44" w14:textId="77777777" w:rsidR="0046798E" w:rsidRPr="00D03F3E" w:rsidRDefault="0046798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года, как описывал М.М. Лобанов, в отделе электропромышленности ЦК ВКП(б) началось обсуждение мероприятий, нацеленных на обеспечение развития радиолокации. В нем участвовали ответственные представители Госплана СССР, наркоматов вооружения, электротехнической, авиационной и судостроительной промышленности, ГАУ НКО и завода № 465 (15736).</w:t>
      </w:r>
    </w:p>
    <w:p w14:paraId="1130FF50" w14:textId="77777777" w:rsidR="0046798E" w:rsidRPr="00D03F3E" w:rsidRDefault="0046798E" w:rsidP="00D03F3E">
      <w:pPr>
        <w:spacing w:after="0" w:line="240" w:lineRule="auto"/>
        <w:jc w:val="both"/>
        <w:rPr>
          <w:rFonts w:ascii="Times New Roman" w:hAnsi="Times New Roman"/>
          <w:color w:val="000000" w:themeColor="text1"/>
          <w:sz w:val="16"/>
          <w:szCs w:val="16"/>
        </w:rPr>
      </w:pPr>
    </w:p>
    <w:p w14:paraId="1FBF56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года И.В. Курчатов предложил привлечь к работам по атомному проекту Л.Д. Ландау и П.Л. Капицу. Он отмечал, что уникальные условия протекания ядерного взрыва требуют проведения теоретического анализа процессов на чрезвычайно высоком уровне, и для этого необходимо привлечение профессора Л.Д. Ландау. Разделение изотопов и создание соответствующих аппаратов требует поддержки П.Л. Капицы - крупного ученого, имеющего глубокие знания в области физики и обладающего талантом инженера (10549).</w:t>
      </w:r>
    </w:p>
    <w:p w14:paraId="0A5942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5080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Артиллерийское управление ВМФ запретило использование самодельных установок PC на ТК, приказав демонтировать их. Моряки, однако, не везде исполнили это указание, на многих катерах “самоделки” остались до конца войны (6002).</w:t>
      </w:r>
    </w:p>
    <w:p w14:paraId="345AA4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617A4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7A9CC9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BE8502" w14:textId="77777777" w:rsidR="005B485D" w:rsidRPr="00D03F3E" w:rsidRDefault="005B485D"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марте 1943 года командир 9-го сак резерва ВГК генерал-майор О. В. Толстиков отказался принять в состав авиакорпуса 672-й и 951-й шап по причине их полной не готовности к бою. Боевой опыт на самолёте Ил-2 имели только 7% лётного состава, остальные лётчики были молодыми. Средний налёт одного летающего на Ил-2 лётчика не превышал 6-8 часов. По этой причине весь лётный состав авиаполков был возвращён в Борисоглебск, где в течение 5-6 недель проходил дополнительную подготовку (19906).</w:t>
      </w:r>
    </w:p>
    <w:p w14:paraId="0E0157E0" w14:textId="77777777" w:rsidR="005B485D" w:rsidRPr="00D03F3E" w:rsidRDefault="005B485D" w:rsidP="00D03F3E">
      <w:pPr>
        <w:shd w:val="clear" w:color="auto" w:fill="FFFFFF"/>
        <w:spacing w:after="0" w:line="240" w:lineRule="auto"/>
        <w:jc w:val="both"/>
        <w:rPr>
          <w:rFonts w:ascii="Times New Roman" w:hAnsi="Times New Roman"/>
          <w:color w:val="0070C0"/>
          <w:sz w:val="16"/>
          <w:szCs w:val="16"/>
        </w:rPr>
      </w:pPr>
    </w:p>
    <w:p w14:paraId="6BEA96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в Кратово из Казани перегнали первый модернизированный Пе-8 №42049 с удлиненным носом - этот самолет вошел в боевой состав дивизии в апреле. Тогда же к сдаче готовились еще три самолета с М-82 (№42059, 42069, 42079) и один с АМ-35А-№42089 (12025).</w:t>
      </w:r>
    </w:p>
    <w:p w14:paraId="057E65FF" w14:textId="77777777" w:rsidR="005B485D" w:rsidRPr="00D03F3E" w:rsidRDefault="005B485D"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8E4209" w14:textId="270853AA"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 марта 1943 года Советский Союз получил 30 С-47. Впоследствии масштабы поставки этих самолетов постоянно увеличивались, следуя потребностям советско-германского фронта. Всего американской стороной было выделено 709 С-47, до места приемки-сдачи (Лэнд-филд на Аляске) добрались 707. Все они были приняты советской миссией. В Красноярск прилетели 704 машины. С-53 вопреки первоначальным планам в нашу страну не поставлялись. Шли только С-47, С-47А с измененным электро- и радиооборудованием и С-47В с моторами большей высотности R-1830-90 и возможностью установки дополнительного топливного бака в салоне. С-47 имел 28 пассажирских мест, а С-47А п С-47В-27. При убранных сиденьях можно было взять 18-24 раненых на носилках. У нас все эти машины обычно именовались Си-47, а в народе и Ли-2, и С-47 назывались просто "Дуглас". Это было понятно - внешне их различить даже специалисту довольно трудно. И сейчас сплошь и рядом публикуются фотографии С-47 с подписью "Ли-2" (3457,134).</w:t>
      </w:r>
    </w:p>
    <w:p w14:paraId="698829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A1E3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года первым A-20G "Бостон" с торпедными мостами получил 1-й гвардейский минно-торпедный полк на Балтике (3457,107).</w:t>
      </w:r>
    </w:p>
    <w:p w14:paraId="08A421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A7B2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марта 1943 А-20 Бостон у нас стали использовать в качестве торпедоносцев и первым был DB-7, переделанный на 81 заводе под балку Т-18. Передали 1 гв. мтап на БФ, а в апреле - в 24 мтап на СФ и с июля - 36 бап на ЧМ (561,19).</w:t>
      </w:r>
    </w:p>
    <w:p w14:paraId="0B7BA7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D0B0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марта 1943 А-20В появились в 118-м разведывательном полку на Северном флоте (3457,106).</w:t>
      </w:r>
    </w:p>
    <w:p w14:paraId="5E1B27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D864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марта 1943 г. в морскую авиацию начали поступать американские самолеты "Дуглас" А-20 (у нас за ним прочно закрепилось данное англичанами наименование "Бостон") различных модификаций.</w:t>
      </w:r>
    </w:p>
    <w:p w14:paraId="529C15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Историю появления этого этапного для отечественной минно- торпедной авиации самолета следует начать с декабря 1942 г. - января 1943 г., когда на судах конвоев "JW-51A" и "JW-51B" в Мурманск прибыло 37 А-20 модификации В. Еще 6 машин было доставлено 27 января вместе с караваном "JW-52". Впервые с начала поставок этих самолетов в нашу страну весной 1942 г. часть машин была выделена ВВС ВМФ - 11 для Северного флота и 8 для Балтийского. Основным назначением американского легкого бомбардировщика должны были стать дальняя разведка, торпедометание и минные постановки. В соответствии с этим и произошло распределение самолетов по полкам. В феврале восемь из них были выделены в 1-й гмтап ВВС КБФ, 14 - в 24-й мтап и 118-й орап ВВС СФ. Первое впечатление от самолетов прекрасно изложил в своих мемуарах балтийский летчик А.В. Пресняков, вылетавший на Север для сборки и перегонки первой партии машин. В своей записи от 1.3.1943 он указал:</w:t>
      </w:r>
    </w:p>
    <w:p w14:paraId="48F372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"Теперь мы по-настоящему облетали "Бостоны". Машины нам нравятся. Они легки в управлении, свободно выполняют любой маневр, развивают максимальную скорость до пятисот километров в час. Однако без серьезных заводских переделок мы применить их не можем. В бомболюки нельзя подвесить наши торпеды, мины и бомбы крупных калибров. Маловата и емкость бензиновых баков. Запасы горючего не обеспечивают необходимую дальность полета. Изучив их летные и боевые характеристики, командование решило передать новые самолеты в разведывательный полк". И действительно, 30 апреля все семь машин (одна неисправная осталась в Мурманске) достались 15- м орап ВВС КБФ. На Севере, в 24-м мтап, где к тому времени оставалась всего одна эскадрилья на Ил-4 и одна на "Хэмпденах", с переданей спешить не стали, решив использовать самолеты в качестве горизонтальных бомбардировщиков.</w:t>
      </w:r>
    </w:p>
    <w:p w14:paraId="3E814B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все-таки катастрофическое положение с поставками Ил-4 от авиапромышленности заставило рассмотреть вопрос об использовании А-20 в минно-торпедной авиации повторно. Испытания решили проводить на базе 2-й эскадрильи теперь уже 9- го гмтап ВВС СФ. Между 4 и 11 июня 1943 г. самолеты были оснащены торпедодержателями (один самолет мог нести на внешних узлах до двух торпед) и прицелами ПТН-5, после чего сразу же начались испытания и интенсивная подготовка к боевому применению. На испытаниях, кроме принципиальной возможности использовать "Бостон" в качестве торпедоносца, изучался вопрос максимальной скорости, на которой самолет может сбрасывать торпеду так, чтобы после удара о воду она сохраняла штатные характеристики. Учебные атаки осуществлялись на скоростях до 170-180 узлов (315-334 км/ч). Первые из них окончились полным провалом - торпеды камнем шли на дно. Обнаруженные водолазами на полигоне изделия были подняты на поверхность. Сразу же выяснилось, что почти все они имели те или иные изначальные дефекты или были поданы со склада в некомплектном виде. Достаточно сказать, что латунный стопор на одной из них был заменен расклепанным и примерно схожим по внешнему виду гвоздем. А ведь эти практические торпеды делались из обычных боевых торпед путем замены боевого зарядного отделения! Все это привело к крупному расследованию в деятельности минно-торпедной службы СФ с соответствующими оргвыводами. В конечном итоге испытания завершились успехом, но верхней границей скорости установили 270-280 км/ч - при больших торпеды могли деформироваться при ударе о воду. Одновременно испытания показали, что на скорости 270-280 км/ч американские самолеты ведут себя в воздухе неустойчиво и требуют повышения скорости торпедометания как минимум до 290-300 км/ч. Официального приказа о принятии А-20 на вооружение авиации ВМФ в качестве торпедоносцев не было, но 24.6.1943 приказом НК ВМФ №0481 группа, "принимавшая участие в испытаниях самолета "Бостон" ДБ- 7С (так называлась одна из экспортных модификаций А-20) с отечественным минно-торпедным вооружением" награждалась денежными премиями.</w:t>
      </w:r>
    </w:p>
    <w:p w14:paraId="012727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Одновременно специалисты ВВС пришли к выводу, что машина нуждается и в других изменениях. Торпедоносцы получили дополнительные бензобаки в фюзеляже (использовались баки, снятые со списанных самолетов разных типов - МБР-2, ТБ-3, "Хэмпденов", но чаще всего от Пе-2). С дополнительными баками радиус действия А-20 примерно соответствовал возможностям Ил-4, в то же время "американец" существенно превосходил его по скорости и маневренности. На модификациях ДВ-7В, ДВ-7С, А-20С также, как правило, модифицировалось вооружение с заменой пулеметов калибра 7,62 мм на крупнокалиберные, установкой турелей МВ-3 и УТК-1 вместо задней шкворневой установки, люковой установки от Пе-2 с пулеметом УБТ для нижней установки, а также полной заменой бомбодержателей и электросбрасывателей. Боевое крещение "Бостонов"-торпедо- носцев состоялось на Севере 17.7.1943, на Черном море - 11.9.1943 и на Балтике - 29.9.1943.</w:t>
      </w:r>
    </w:p>
    <w:p w14:paraId="563287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Практически одновременно с испытаниями торпедоносного варианта А-20В в СССР начали поступать машины принципиально новой модификации - A-20G (у нас ее было принято писать как А-20Ж), которые уже к началу 1944 г. практически полностью заменили собой все машины предыдущих типов. По замыслу создателей новый самолет являлся уже не легким бомбардировщиком, а штурмовиком, что технически выражалось в отсутствии штурмана и застекленной кабины в носу, где он ранее находился. Ее место заняла батарея из четырех 20-мм пушек и двух 12,7-мм пулеметов (на серии G-5 и всех последующих - шесть крупнокалиберных пулеметов). Естественно, это не соответствовало отечественной концепции классического самолета- торпедоносца, в которой пилот отвечал только за пилотирование самолета в момент атаки, а штурман - за работу с торпедным прицелом и выработку боевого курса. Разработали проект модификации А-20ДО, в соответствии с которой закрытый нос с четырьмя пушками или пулеметами убирался, и там оборудовалась застекленная кабина штурмана. Он требовал длительной переделки в ремонтных мастерских, поэтому намного более распространенной стала другая модификация - с боевым постом штурмана за задней турелью. Для него по бортам прорезались два окна, к которым добавили еще одно уступом вверх. Над кабиной находился прозрачный люк с куполком-блистером. На рабочем месте ставили приборную доску и </w:t>
      </w:r>
      <w:r w:rsidRPr="00D03F3E">
        <w:rPr>
          <w:rFonts w:ascii="Times New Roman" w:hAnsi="Times New Roman"/>
          <w:color w:val="000000" w:themeColor="text1"/>
          <w:sz w:val="16"/>
          <w:szCs w:val="16"/>
        </w:rPr>
        <w:lastRenderedPageBreak/>
        <w:t>укороченный бомбовый прицел ОПБ-1м. Классический торпедный прицел ПТН-5К оказывался невостребованным, а в кабине летчика ставили простейший реечный прицел ВЛ-1 по типу того, что устанавливался на ранних торпедных катерах. На А-20-топмачтови- ках, кроме того, устанавливался прицел ПБП-1, которым можно было измерить градусное расстояние между целью и визирной сеткой прицела в горизонтальной плоскости.</w:t>
      </w:r>
    </w:p>
    <w:p w14:paraId="6B8FEC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Тут наши авиаторы неожиданно для себя столкнулись с проблемой влияния магнитной массы торпеды на точность показания магнитного компаса самолета. На А-20Ж компас находился в хвосте, а в кабине пилота - лишь связанный с ним индикатор курса. Указанное явление заставило перенести компас в кабину пилота, но тогда штурман потерял возможность с ним работать. В конечном итоге остановились на следующем варианте: компас устанавливался в кабине пилота, индикатор курса - в кабине штурмана. При этом сами торпеды подлежали размагничиванию, вот только эффект от этого мероприятия ограничивался всего несколькими днями (12002).</w:t>
      </w:r>
    </w:p>
    <w:p w14:paraId="0B78B4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9EFC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за мужество, проявленное при выполнении воинского долга, 222-й БАД, имевшей на вооружении В-25, было присвоено почетное звание 4-й гвардейской БАД, а 37, 1би 125-й БАП стали 13, 14 и 15-м гвардейским БАП (3198).</w:t>
      </w:r>
    </w:p>
    <w:p w14:paraId="5E5369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F9C71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март 1943:</w:t>
      </w:r>
    </w:p>
    <w:p w14:paraId="4957AD7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Сравнительная продолжительность боевой службы самолетов ВВС КА (за июнь 1941 г. - март 1943 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816"/>
        <w:gridCol w:w="533"/>
        <w:gridCol w:w="509"/>
        <w:gridCol w:w="442"/>
        <w:gridCol w:w="542"/>
        <w:gridCol w:w="461"/>
        <w:gridCol w:w="427"/>
        <w:gridCol w:w="322"/>
        <w:gridCol w:w="317"/>
        <w:gridCol w:w="317"/>
        <w:gridCol w:w="317"/>
        <w:gridCol w:w="485"/>
        <w:gridCol w:w="590"/>
        <w:gridCol w:w="509"/>
        <w:gridCol w:w="528"/>
        <w:gridCol w:w="566"/>
        <w:gridCol w:w="682"/>
        <w:gridCol w:w="682"/>
        <w:gridCol w:w="682"/>
        <w:gridCol w:w="686"/>
      </w:tblGrid>
      <w:tr w:rsidR="00860B4B" w:rsidRPr="00D03F3E" w14:paraId="57DBA4D3" w14:textId="77777777" w:rsidTr="00CA6303">
        <w:trPr>
          <w:trHeight w:val="192"/>
        </w:trPr>
        <w:tc>
          <w:tcPr>
            <w:tcW w:w="816" w:type="dxa"/>
            <w:vMerge w:val="restart"/>
            <w:shd w:val="clear" w:color="auto" w:fill="FFFFFF"/>
          </w:tcPr>
          <w:p w14:paraId="43A5E46D"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Типы</w:t>
            </w:r>
          </w:p>
        </w:tc>
        <w:tc>
          <w:tcPr>
            <w:tcW w:w="1484" w:type="dxa"/>
            <w:gridSpan w:val="3"/>
            <w:shd w:val="clear" w:color="auto" w:fill="FFFFFF"/>
          </w:tcPr>
          <w:p w14:paraId="4E3906A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Учтено с\в</w:t>
            </w:r>
          </w:p>
        </w:tc>
        <w:tc>
          <w:tcPr>
            <w:tcW w:w="1430" w:type="dxa"/>
            <w:gridSpan w:val="3"/>
            <w:shd w:val="clear" w:color="auto" w:fill="FFFFFF"/>
          </w:tcPr>
          <w:p w14:paraId="7CC14BC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Налет в часах</w:t>
            </w:r>
          </w:p>
        </w:tc>
        <w:tc>
          <w:tcPr>
            <w:tcW w:w="1758" w:type="dxa"/>
            <w:gridSpan w:val="5"/>
            <w:shd w:val="clear" w:color="auto" w:fill="FFFFFF"/>
          </w:tcPr>
          <w:p w14:paraId="1E85B91D"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Боевые потери самолетов</w:t>
            </w:r>
          </w:p>
        </w:tc>
        <w:tc>
          <w:tcPr>
            <w:tcW w:w="1627" w:type="dxa"/>
            <w:gridSpan w:val="3"/>
            <w:shd w:val="clear" w:color="auto" w:fill="FFFFFF"/>
          </w:tcPr>
          <w:p w14:paraId="0B1B458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Небоевые потери</w:t>
            </w:r>
          </w:p>
        </w:tc>
        <w:tc>
          <w:tcPr>
            <w:tcW w:w="566" w:type="dxa"/>
            <w:vMerge w:val="restart"/>
            <w:shd w:val="clear" w:color="auto" w:fill="FFFFFF"/>
          </w:tcPr>
          <w:p w14:paraId="30465A0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потери</w:t>
            </w:r>
          </w:p>
        </w:tc>
        <w:tc>
          <w:tcPr>
            <w:tcW w:w="2732" w:type="dxa"/>
            <w:gridSpan w:val="4"/>
            <w:shd w:val="clear" w:color="auto" w:fill="FFFFFF"/>
          </w:tcPr>
          <w:p w14:paraId="15F7A0A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 вылетов и налет на одну потерю</w:t>
            </w:r>
          </w:p>
        </w:tc>
      </w:tr>
      <w:tr w:rsidR="00860B4B" w:rsidRPr="00D03F3E" w14:paraId="25D2EE8D" w14:textId="77777777" w:rsidTr="00CA6303">
        <w:trPr>
          <w:trHeight w:val="389"/>
        </w:trPr>
        <w:tc>
          <w:tcPr>
            <w:tcW w:w="816" w:type="dxa"/>
            <w:vMerge/>
            <w:shd w:val="clear" w:color="auto" w:fill="FFFFFF"/>
          </w:tcPr>
          <w:p w14:paraId="204F114A" w14:textId="77777777" w:rsidR="0066261B" w:rsidRPr="00D03F3E" w:rsidRDefault="0066261B" w:rsidP="00D03F3E">
            <w:pPr>
              <w:spacing w:after="0" w:line="240" w:lineRule="auto"/>
              <w:jc w:val="both"/>
              <w:rPr>
                <w:rFonts w:ascii="Times New Roman" w:hAnsi="Times New Roman"/>
                <w:color w:val="000000" w:themeColor="text1"/>
                <w:sz w:val="16"/>
                <w:szCs w:val="16"/>
              </w:rPr>
            </w:pPr>
          </w:p>
        </w:tc>
        <w:tc>
          <w:tcPr>
            <w:tcW w:w="533" w:type="dxa"/>
            <w:shd w:val="clear" w:color="auto" w:fill="FFFFFF"/>
          </w:tcPr>
          <w:p w14:paraId="1457072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боевых</w:t>
            </w:r>
          </w:p>
        </w:tc>
        <w:tc>
          <w:tcPr>
            <w:tcW w:w="509" w:type="dxa"/>
            <w:shd w:val="clear" w:color="auto" w:fill="FFFFFF"/>
          </w:tcPr>
          <w:p w14:paraId="69BADAC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небоевых</w:t>
            </w:r>
          </w:p>
        </w:tc>
        <w:tc>
          <w:tcPr>
            <w:tcW w:w="442" w:type="dxa"/>
            <w:shd w:val="clear" w:color="auto" w:fill="FFFFFF"/>
          </w:tcPr>
          <w:p w14:paraId="4068F70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tc>
        <w:tc>
          <w:tcPr>
            <w:tcW w:w="542" w:type="dxa"/>
            <w:shd w:val="clear" w:color="auto" w:fill="FFFFFF"/>
          </w:tcPr>
          <w:p w14:paraId="15DA0B2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боевых</w:t>
            </w:r>
          </w:p>
        </w:tc>
        <w:tc>
          <w:tcPr>
            <w:tcW w:w="461" w:type="dxa"/>
            <w:shd w:val="clear" w:color="auto" w:fill="FFFFFF"/>
          </w:tcPr>
          <w:p w14:paraId="68EBC7A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небоевых</w:t>
            </w:r>
          </w:p>
        </w:tc>
        <w:tc>
          <w:tcPr>
            <w:tcW w:w="427" w:type="dxa"/>
            <w:shd w:val="clear" w:color="auto" w:fill="FFFFFF"/>
          </w:tcPr>
          <w:p w14:paraId="3857AA7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tc>
        <w:tc>
          <w:tcPr>
            <w:tcW w:w="322" w:type="dxa"/>
            <w:shd w:val="clear" w:color="auto" w:fill="FFFFFF"/>
          </w:tcPr>
          <w:p w14:paraId="163250D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ИА</w:t>
            </w:r>
          </w:p>
        </w:tc>
        <w:tc>
          <w:tcPr>
            <w:tcW w:w="317" w:type="dxa"/>
            <w:shd w:val="clear" w:color="auto" w:fill="FFFFFF"/>
          </w:tcPr>
          <w:p w14:paraId="235362B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w:t>
            </w:r>
          </w:p>
        </w:tc>
        <w:tc>
          <w:tcPr>
            <w:tcW w:w="317" w:type="dxa"/>
            <w:shd w:val="clear" w:color="auto" w:fill="FFFFFF"/>
          </w:tcPr>
          <w:p w14:paraId="50FF5CA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АЭ</w:t>
            </w:r>
          </w:p>
        </w:tc>
        <w:tc>
          <w:tcPr>
            <w:tcW w:w="317" w:type="dxa"/>
            <w:shd w:val="clear" w:color="auto" w:fill="FFFFFF"/>
          </w:tcPr>
          <w:p w14:paraId="6F9144E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нбз</w:t>
            </w:r>
          </w:p>
        </w:tc>
        <w:tc>
          <w:tcPr>
            <w:tcW w:w="485" w:type="dxa"/>
            <w:shd w:val="clear" w:color="auto" w:fill="FFFFFF"/>
          </w:tcPr>
          <w:p w14:paraId="330D6FD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tc>
        <w:tc>
          <w:tcPr>
            <w:tcW w:w="590" w:type="dxa"/>
            <w:shd w:val="clear" w:color="auto" w:fill="FFFFFF"/>
          </w:tcPr>
          <w:p w14:paraId="25896D9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ката</w:t>
            </w:r>
            <w:r w:rsidRPr="00D03F3E">
              <w:rPr>
                <w:rFonts w:ascii="Times New Roman" w:hAnsi="Times New Roman"/>
                <w:color w:val="000000" w:themeColor="text1"/>
                <w:sz w:val="16"/>
                <w:szCs w:val="16"/>
              </w:rPr>
              <w:softHyphen/>
              <w:t>строфы</w:t>
            </w:r>
          </w:p>
        </w:tc>
        <w:tc>
          <w:tcPr>
            <w:tcW w:w="509" w:type="dxa"/>
            <w:shd w:val="clear" w:color="auto" w:fill="FFFFFF"/>
          </w:tcPr>
          <w:p w14:paraId="243E20C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аварии</w:t>
            </w:r>
          </w:p>
        </w:tc>
        <w:tc>
          <w:tcPr>
            <w:tcW w:w="528" w:type="dxa"/>
            <w:shd w:val="clear" w:color="auto" w:fill="FFFFFF"/>
          </w:tcPr>
          <w:p w14:paraId="7E7D6EB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tc>
        <w:tc>
          <w:tcPr>
            <w:tcW w:w="566" w:type="dxa"/>
            <w:vMerge/>
            <w:shd w:val="clear" w:color="auto" w:fill="FFFFFF"/>
          </w:tcPr>
          <w:p w14:paraId="2D0CD080" w14:textId="77777777" w:rsidR="0066261B" w:rsidRPr="00D03F3E" w:rsidRDefault="0066261B" w:rsidP="00D03F3E">
            <w:pPr>
              <w:spacing w:after="0" w:line="240" w:lineRule="auto"/>
              <w:jc w:val="both"/>
              <w:rPr>
                <w:rFonts w:ascii="Times New Roman" w:hAnsi="Times New Roman"/>
                <w:color w:val="000000" w:themeColor="text1"/>
                <w:sz w:val="16"/>
                <w:szCs w:val="16"/>
              </w:rPr>
            </w:pPr>
          </w:p>
        </w:tc>
        <w:tc>
          <w:tcPr>
            <w:tcW w:w="682" w:type="dxa"/>
            <w:shd w:val="clear" w:color="auto" w:fill="FFFFFF"/>
          </w:tcPr>
          <w:p w14:paraId="5FA7818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боевые</w:t>
            </w:r>
          </w:p>
        </w:tc>
        <w:tc>
          <w:tcPr>
            <w:tcW w:w="682" w:type="dxa"/>
            <w:shd w:val="clear" w:color="auto" w:fill="FFFFFF"/>
          </w:tcPr>
          <w:p w14:paraId="38223A9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налег, ч</w:t>
            </w:r>
          </w:p>
        </w:tc>
        <w:tc>
          <w:tcPr>
            <w:tcW w:w="682" w:type="dxa"/>
            <w:shd w:val="clear" w:color="auto" w:fill="FFFFFF"/>
          </w:tcPr>
          <w:p w14:paraId="142EA56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небоевые</w:t>
            </w:r>
          </w:p>
        </w:tc>
        <w:tc>
          <w:tcPr>
            <w:tcW w:w="686" w:type="dxa"/>
            <w:shd w:val="clear" w:color="auto" w:fill="FFFFFF"/>
          </w:tcPr>
          <w:p w14:paraId="5C8CEFA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небоевой налет, ч</w:t>
            </w:r>
          </w:p>
        </w:tc>
      </w:tr>
      <w:tr w:rsidR="00860B4B" w:rsidRPr="00D03F3E" w14:paraId="4AA721F9" w14:textId="77777777" w:rsidTr="00CA6303">
        <w:trPr>
          <w:trHeight w:val="226"/>
        </w:trPr>
        <w:tc>
          <w:tcPr>
            <w:tcW w:w="816" w:type="dxa"/>
            <w:shd w:val="clear" w:color="auto" w:fill="FFFFFF"/>
          </w:tcPr>
          <w:p w14:paraId="28166DF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Як-1</w:t>
            </w:r>
          </w:p>
        </w:tc>
        <w:tc>
          <w:tcPr>
            <w:tcW w:w="533" w:type="dxa"/>
            <w:shd w:val="clear" w:color="auto" w:fill="FFFFFF"/>
          </w:tcPr>
          <w:p w14:paraId="7F8669C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9972</w:t>
            </w:r>
          </w:p>
        </w:tc>
        <w:tc>
          <w:tcPr>
            <w:tcW w:w="509" w:type="dxa"/>
            <w:shd w:val="clear" w:color="auto" w:fill="FFFFFF"/>
          </w:tcPr>
          <w:p w14:paraId="62952CE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1182</w:t>
            </w:r>
          </w:p>
        </w:tc>
        <w:tc>
          <w:tcPr>
            <w:tcW w:w="442" w:type="dxa"/>
            <w:shd w:val="clear" w:color="auto" w:fill="FFFFFF"/>
          </w:tcPr>
          <w:p w14:paraId="0FE9189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11154</w:t>
            </w:r>
          </w:p>
        </w:tc>
        <w:tc>
          <w:tcPr>
            <w:tcW w:w="542" w:type="dxa"/>
            <w:shd w:val="clear" w:color="auto" w:fill="FFFFFF"/>
          </w:tcPr>
          <w:p w14:paraId="7C618EA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8495</w:t>
            </w:r>
          </w:p>
        </w:tc>
        <w:tc>
          <w:tcPr>
            <w:tcW w:w="461" w:type="dxa"/>
            <w:shd w:val="clear" w:color="auto" w:fill="FFFFFF"/>
          </w:tcPr>
          <w:p w14:paraId="45A9A9A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580</w:t>
            </w:r>
          </w:p>
        </w:tc>
        <w:tc>
          <w:tcPr>
            <w:tcW w:w="427" w:type="dxa"/>
            <w:shd w:val="clear" w:color="auto" w:fill="FFFFFF"/>
          </w:tcPr>
          <w:p w14:paraId="18DE4C8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9075</w:t>
            </w:r>
          </w:p>
        </w:tc>
        <w:tc>
          <w:tcPr>
            <w:tcW w:w="322" w:type="dxa"/>
            <w:shd w:val="clear" w:color="auto" w:fill="FFFFFF"/>
          </w:tcPr>
          <w:p w14:paraId="232B91B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w:t>
            </w:r>
          </w:p>
        </w:tc>
        <w:tc>
          <w:tcPr>
            <w:tcW w:w="317" w:type="dxa"/>
            <w:shd w:val="clear" w:color="auto" w:fill="FFFFFF"/>
          </w:tcPr>
          <w:p w14:paraId="5982FBA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c>
          <w:tcPr>
            <w:tcW w:w="317" w:type="dxa"/>
            <w:shd w:val="clear" w:color="auto" w:fill="FFFFFF"/>
          </w:tcPr>
          <w:p w14:paraId="10FD9A34"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317" w:type="dxa"/>
            <w:shd w:val="clear" w:color="auto" w:fill="FFFFFF"/>
          </w:tcPr>
          <w:p w14:paraId="6C117084"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117</w:t>
            </w:r>
          </w:p>
        </w:tc>
        <w:tc>
          <w:tcPr>
            <w:tcW w:w="485" w:type="dxa"/>
            <w:shd w:val="clear" w:color="auto" w:fill="FFFFFF"/>
          </w:tcPr>
          <w:p w14:paraId="7416578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222</w:t>
            </w:r>
          </w:p>
        </w:tc>
        <w:tc>
          <w:tcPr>
            <w:tcW w:w="590" w:type="dxa"/>
            <w:shd w:val="clear" w:color="auto" w:fill="FFFFFF"/>
          </w:tcPr>
          <w:p w14:paraId="182A007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509" w:type="dxa"/>
            <w:shd w:val="clear" w:color="auto" w:fill="FFFFFF"/>
          </w:tcPr>
          <w:p w14:paraId="1E607DE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528" w:type="dxa"/>
            <w:shd w:val="clear" w:color="auto" w:fill="FFFFFF"/>
          </w:tcPr>
          <w:p w14:paraId="76CB6C0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tc>
        <w:tc>
          <w:tcPr>
            <w:tcW w:w="566" w:type="dxa"/>
            <w:shd w:val="clear" w:color="auto" w:fill="FFFFFF"/>
          </w:tcPr>
          <w:p w14:paraId="74FCF3B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233</w:t>
            </w:r>
          </w:p>
        </w:tc>
        <w:tc>
          <w:tcPr>
            <w:tcW w:w="682" w:type="dxa"/>
            <w:shd w:val="clear" w:color="auto" w:fill="FFFFFF"/>
          </w:tcPr>
          <w:p w14:paraId="271F3204"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w:t>
            </w:r>
          </w:p>
        </w:tc>
        <w:tc>
          <w:tcPr>
            <w:tcW w:w="682" w:type="dxa"/>
            <w:shd w:val="clear" w:color="auto" w:fill="FFFFFF"/>
          </w:tcPr>
          <w:p w14:paraId="72CE784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w:t>
            </w:r>
          </w:p>
        </w:tc>
        <w:tc>
          <w:tcPr>
            <w:tcW w:w="682" w:type="dxa"/>
            <w:shd w:val="clear" w:color="auto" w:fill="FFFFFF"/>
          </w:tcPr>
          <w:p w14:paraId="75E917CD"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107</w:t>
            </w:r>
          </w:p>
        </w:tc>
        <w:tc>
          <w:tcPr>
            <w:tcW w:w="686" w:type="dxa"/>
            <w:shd w:val="clear" w:color="auto" w:fill="FFFFFF"/>
          </w:tcPr>
          <w:p w14:paraId="0A4315C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w:t>
            </w:r>
          </w:p>
        </w:tc>
      </w:tr>
      <w:tr w:rsidR="00860B4B" w:rsidRPr="00D03F3E" w14:paraId="553171E5" w14:textId="77777777" w:rsidTr="00CA6303">
        <w:trPr>
          <w:trHeight w:val="216"/>
        </w:trPr>
        <w:tc>
          <w:tcPr>
            <w:tcW w:w="816" w:type="dxa"/>
            <w:shd w:val="clear" w:color="auto" w:fill="FFFFFF"/>
          </w:tcPr>
          <w:p w14:paraId="08CF2D8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 "Б</w:t>
            </w:r>
          </w:p>
        </w:tc>
        <w:tc>
          <w:tcPr>
            <w:tcW w:w="533" w:type="dxa"/>
            <w:shd w:val="clear" w:color="auto" w:fill="FFFFFF"/>
          </w:tcPr>
          <w:p w14:paraId="0F11F58D"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 IV</w:t>
            </w:r>
          </w:p>
        </w:tc>
        <w:tc>
          <w:tcPr>
            <w:tcW w:w="509" w:type="dxa"/>
            <w:shd w:val="clear" w:color="auto" w:fill="FFFFFF"/>
          </w:tcPr>
          <w:p w14:paraId="3F05D87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1163</w:t>
            </w:r>
          </w:p>
        </w:tc>
        <w:tc>
          <w:tcPr>
            <w:tcW w:w="442" w:type="dxa"/>
            <w:shd w:val="clear" w:color="auto" w:fill="FFFFFF"/>
          </w:tcPr>
          <w:p w14:paraId="5E4E60E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7870</w:t>
            </w:r>
          </w:p>
        </w:tc>
        <w:tc>
          <w:tcPr>
            <w:tcW w:w="542" w:type="dxa"/>
            <w:shd w:val="clear" w:color="auto" w:fill="FFFFFF"/>
          </w:tcPr>
          <w:p w14:paraId="7FE8CB5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5037</w:t>
            </w:r>
          </w:p>
        </w:tc>
        <w:tc>
          <w:tcPr>
            <w:tcW w:w="461" w:type="dxa"/>
            <w:shd w:val="clear" w:color="auto" w:fill="FFFFFF"/>
          </w:tcPr>
          <w:p w14:paraId="20CED79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454</w:t>
            </w:r>
          </w:p>
        </w:tc>
        <w:tc>
          <w:tcPr>
            <w:tcW w:w="427" w:type="dxa"/>
            <w:shd w:val="clear" w:color="auto" w:fill="FFFFFF"/>
          </w:tcPr>
          <w:p w14:paraId="3A31EB9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5491</w:t>
            </w:r>
          </w:p>
        </w:tc>
        <w:tc>
          <w:tcPr>
            <w:tcW w:w="322" w:type="dxa"/>
            <w:shd w:val="clear" w:color="auto" w:fill="FFFFFF"/>
          </w:tcPr>
          <w:p w14:paraId="2826CB2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w:t>
            </w:r>
          </w:p>
        </w:tc>
        <w:tc>
          <w:tcPr>
            <w:tcW w:w="317" w:type="dxa"/>
            <w:shd w:val="clear" w:color="auto" w:fill="FFFFFF"/>
          </w:tcPr>
          <w:p w14:paraId="734B8654"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c>
          <w:tcPr>
            <w:tcW w:w="317" w:type="dxa"/>
            <w:shd w:val="clear" w:color="auto" w:fill="FFFFFF"/>
          </w:tcPr>
          <w:p w14:paraId="336D407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17" w:type="dxa"/>
            <w:shd w:val="clear" w:color="auto" w:fill="FFFFFF"/>
          </w:tcPr>
          <w:p w14:paraId="014E400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w:t>
            </w:r>
          </w:p>
        </w:tc>
        <w:tc>
          <w:tcPr>
            <w:tcW w:w="485" w:type="dxa"/>
            <w:shd w:val="clear" w:color="auto" w:fill="FFFFFF"/>
          </w:tcPr>
          <w:p w14:paraId="31FB855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1111</w:t>
            </w:r>
          </w:p>
        </w:tc>
        <w:tc>
          <w:tcPr>
            <w:tcW w:w="590" w:type="dxa"/>
            <w:shd w:val="clear" w:color="auto" w:fill="FFFFFF"/>
          </w:tcPr>
          <w:p w14:paraId="19364B6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509" w:type="dxa"/>
            <w:shd w:val="clear" w:color="auto" w:fill="FFFFFF"/>
          </w:tcPr>
          <w:p w14:paraId="52F828C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w:t>
            </w:r>
          </w:p>
        </w:tc>
        <w:tc>
          <w:tcPr>
            <w:tcW w:w="528" w:type="dxa"/>
            <w:shd w:val="clear" w:color="auto" w:fill="FFFFFF"/>
          </w:tcPr>
          <w:p w14:paraId="1541B89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w:t>
            </w:r>
          </w:p>
        </w:tc>
        <w:tc>
          <w:tcPr>
            <w:tcW w:w="566" w:type="dxa"/>
            <w:shd w:val="clear" w:color="auto" w:fill="FFFFFF"/>
          </w:tcPr>
          <w:p w14:paraId="1552797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189</w:t>
            </w:r>
          </w:p>
        </w:tc>
        <w:tc>
          <w:tcPr>
            <w:tcW w:w="682" w:type="dxa"/>
            <w:shd w:val="clear" w:color="auto" w:fill="FFFFFF"/>
          </w:tcPr>
          <w:p w14:paraId="180B1F4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w:t>
            </w:r>
          </w:p>
        </w:tc>
        <w:tc>
          <w:tcPr>
            <w:tcW w:w="682" w:type="dxa"/>
            <w:shd w:val="clear" w:color="auto" w:fill="FFFFFF"/>
          </w:tcPr>
          <w:p w14:paraId="7DBAC39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w:t>
            </w:r>
          </w:p>
        </w:tc>
        <w:tc>
          <w:tcPr>
            <w:tcW w:w="682" w:type="dxa"/>
            <w:shd w:val="clear" w:color="auto" w:fill="FFFFFF"/>
          </w:tcPr>
          <w:p w14:paraId="00EEAD4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w:t>
            </w:r>
          </w:p>
        </w:tc>
        <w:tc>
          <w:tcPr>
            <w:tcW w:w="686" w:type="dxa"/>
            <w:shd w:val="clear" w:color="auto" w:fill="FFFFFF"/>
          </w:tcPr>
          <w:p w14:paraId="5F798D5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tc>
      </w:tr>
      <w:tr w:rsidR="00860B4B" w:rsidRPr="00D03F3E" w14:paraId="244B0379" w14:textId="77777777" w:rsidTr="00CA6303">
        <w:trPr>
          <w:trHeight w:val="226"/>
        </w:trPr>
        <w:tc>
          <w:tcPr>
            <w:tcW w:w="816" w:type="dxa"/>
            <w:shd w:val="clear" w:color="auto" w:fill="FFFFFF"/>
          </w:tcPr>
          <w:p w14:paraId="64EB313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Ла-5</w:t>
            </w:r>
          </w:p>
        </w:tc>
        <w:tc>
          <w:tcPr>
            <w:tcW w:w="533" w:type="dxa"/>
            <w:shd w:val="clear" w:color="auto" w:fill="FFFFFF"/>
          </w:tcPr>
          <w:p w14:paraId="2DCBC85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7937</w:t>
            </w:r>
          </w:p>
        </w:tc>
        <w:tc>
          <w:tcPr>
            <w:tcW w:w="509" w:type="dxa"/>
            <w:shd w:val="clear" w:color="auto" w:fill="FFFFFF"/>
          </w:tcPr>
          <w:p w14:paraId="7DD1CF1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1714</w:t>
            </w:r>
          </w:p>
        </w:tc>
        <w:tc>
          <w:tcPr>
            <w:tcW w:w="442" w:type="dxa"/>
            <w:shd w:val="clear" w:color="auto" w:fill="FFFFFF"/>
          </w:tcPr>
          <w:p w14:paraId="7503114D"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9651</w:t>
            </w:r>
          </w:p>
        </w:tc>
        <w:tc>
          <w:tcPr>
            <w:tcW w:w="542" w:type="dxa"/>
            <w:shd w:val="clear" w:color="auto" w:fill="FFFFFF"/>
          </w:tcPr>
          <w:p w14:paraId="11BBB6B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6534</w:t>
            </w:r>
          </w:p>
        </w:tc>
        <w:tc>
          <w:tcPr>
            <w:tcW w:w="461" w:type="dxa"/>
            <w:shd w:val="clear" w:color="auto" w:fill="FFFFFF"/>
          </w:tcPr>
          <w:p w14:paraId="695DCBD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988</w:t>
            </w:r>
          </w:p>
        </w:tc>
        <w:tc>
          <w:tcPr>
            <w:tcW w:w="427" w:type="dxa"/>
            <w:shd w:val="clear" w:color="auto" w:fill="FFFFFF"/>
          </w:tcPr>
          <w:p w14:paraId="4E62FCB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7522</w:t>
            </w:r>
          </w:p>
        </w:tc>
        <w:tc>
          <w:tcPr>
            <w:tcW w:w="322" w:type="dxa"/>
            <w:shd w:val="clear" w:color="auto" w:fill="FFFFFF"/>
          </w:tcPr>
          <w:p w14:paraId="4686802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w:t>
            </w:r>
          </w:p>
        </w:tc>
        <w:tc>
          <w:tcPr>
            <w:tcW w:w="317" w:type="dxa"/>
            <w:shd w:val="clear" w:color="auto" w:fill="FFFFFF"/>
          </w:tcPr>
          <w:p w14:paraId="30EF396D"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tc>
        <w:tc>
          <w:tcPr>
            <w:tcW w:w="317" w:type="dxa"/>
            <w:shd w:val="clear" w:color="auto" w:fill="FFFFFF"/>
          </w:tcPr>
          <w:p w14:paraId="647ADB9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317" w:type="dxa"/>
            <w:shd w:val="clear" w:color="auto" w:fill="FFFFFF"/>
          </w:tcPr>
          <w:p w14:paraId="58473D9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86</w:t>
            </w:r>
          </w:p>
        </w:tc>
        <w:tc>
          <w:tcPr>
            <w:tcW w:w="485" w:type="dxa"/>
            <w:shd w:val="clear" w:color="auto" w:fill="FFFFFF"/>
          </w:tcPr>
          <w:p w14:paraId="4013C9B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w:t>
            </w:r>
          </w:p>
        </w:tc>
        <w:tc>
          <w:tcPr>
            <w:tcW w:w="590" w:type="dxa"/>
            <w:shd w:val="clear" w:color="auto" w:fill="FFFFFF"/>
          </w:tcPr>
          <w:p w14:paraId="522E39D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tc>
        <w:tc>
          <w:tcPr>
            <w:tcW w:w="509" w:type="dxa"/>
            <w:shd w:val="clear" w:color="auto" w:fill="FFFFFF"/>
          </w:tcPr>
          <w:p w14:paraId="526E989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w:t>
            </w:r>
          </w:p>
        </w:tc>
        <w:tc>
          <w:tcPr>
            <w:tcW w:w="528" w:type="dxa"/>
            <w:shd w:val="clear" w:color="auto" w:fill="FFFFFF"/>
          </w:tcPr>
          <w:p w14:paraId="77E0D9B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w:t>
            </w:r>
          </w:p>
        </w:tc>
        <w:tc>
          <w:tcPr>
            <w:tcW w:w="566" w:type="dxa"/>
            <w:shd w:val="clear" w:color="auto" w:fill="FFFFFF"/>
          </w:tcPr>
          <w:p w14:paraId="080DC4F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255</w:t>
            </w:r>
          </w:p>
        </w:tc>
        <w:tc>
          <w:tcPr>
            <w:tcW w:w="682" w:type="dxa"/>
            <w:shd w:val="clear" w:color="auto" w:fill="FFFFFF"/>
          </w:tcPr>
          <w:p w14:paraId="1349C5B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tc>
        <w:tc>
          <w:tcPr>
            <w:tcW w:w="682" w:type="dxa"/>
            <w:shd w:val="clear" w:color="auto" w:fill="FFFFFF"/>
          </w:tcPr>
          <w:p w14:paraId="1033E29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w:t>
            </w:r>
          </w:p>
        </w:tc>
        <w:tc>
          <w:tcPr>
            <w:tcW w:w="682" w:type="dxa"/>
            <w:shd w:val="clear" w:color="auto" w:fill="FFFFFF"/>
          </w:tcPr>
          <w:p w14:paraId="3188892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w:t>
            </w:r>
          </w:p>
        </w:tc>
        <w:tc>
          <w:tcPr>
            <w:tcW w:w="686" w:type="dxa"/>
            <w:shd w:val="clear" w:color="auto" w:fill="FFFFFF"/>
          </w:tcPr>
          <w:p w14:paraId="5E02964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tc>
      </w:tr>
      <w:tr w:rsidR="00860B4B" w:rsidRPr="00D03F3E" w14:paraId="51DEBD7D" w14:textId="77777777" w:rsidTr="00CA6303">
        <w:trPr>
          <w:trHeight w:val="221"/>
        </w:trPr>
        <w:tc>
          <w:tcPr>
            <w:tcW w:w="816" w:type="dxa"/>
            <w:shd w:val="clear" w:color="auto" w:fill="FFFFFF"/>
          </w:tcPr>
          <w:p w14:paraId="6CD0F3D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МиГ-3</w:t>
            </w:r>
          </w:p>
        </w:tc>
        <w:tc>
          <w:tcPr>
            <w:tcW w:w="533" w:type="dxa"/>
            <w:shd w:val="clear" w:color="auto" w:fill="FFFFFF"/>
          </w:tcPr>
          <w:p w14:paraId="2727C33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2948</w:t>
            </w:r>
          </w:p>
        </w:tc>
        <w:tc>
          <w:tcPr>
            <w:tcW w:w="509" w:type="dxa"/>
            <w:shd w:val="clear" w:color="auto" w:fill="FFFFFF"/>
          </w:tcPr>
          <w:p w14:paraId="3B78164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242</w:t>
            </w:r>
          </w:p>
        </w:tc>
        <w:tc>
          <w:tcPr>
            <w:tcW w:w="442" w:type="dxa"/>
            <w:shd w:val="clear" w:color="auto" w:fill="FFFFFF"/>
          </w:tcPr>
          <w:p w14:paraId="08FB75B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3190</w:t>
            </w:r>
          </w:p>
        </w:tc>
        <w:tc>
          <w:tcPr>
            <w:tcW w:w="542" w:type="dxa"/>
            <w:shd w:val="clear" w:color="auto" w:fill="FFFFFF"/>
          </w:tcPr>
          <w:p w14:paraId="31DFB1B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1361</w:t>
            </w:r>
          </w:p>
        </w:tc>
        <w:tc>
          <w:tcPr>
            <w:tcW w:w="461" w:type="dxa"/>
            <w:shd w:val="clear" w:color="auto" w:fill="FFFFFF"/>
          </w:tcPr>
          <w:p w14:paraId="6DB28BB4"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1811</w:t>
            </w:r>
          </w:p>
        </w:tc>
        <w:tc>
          <w:tcPr>
            <w:tcW w:w="427" w:type="dxa"/>
            <w:shd w:val="clear" w:color="auto" w:fill="FFFFFF"/>
          </w:tcPr>
          <w:p w14:paraId="75A675B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1473</w:t>
            </w:r>
          </w:p>
        </w:tc>
        <w:tc>
          <w:tcPr>
            <w:tcW w:w="322" w:type="dxa"/>
            <w:shd w:val="clear" w:color="auto" w:fill="FFFFFF"/>
          </w:tcPr>
          <w:p w14:paraId="0DFFF5E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tc>
        <w:tc>
          <w:tcPr>
            <w:tcW w:w="317" w:type="dxa"/>
            <w:shd w:val="clear" w:color="auto" w:fill="FFFFFF"/>
          </w:tcPr>
          <w:p w14:paraId="2F889C5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317" w:type="dxa"/>
            <w:shd w:val="clear" w:color="auto" w:fill="FFFFFF"/>
          </w:tcPr>
          <w:p w14:paraId="26E1B8A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317" w:type="dxa"/>
            <w:shd w:val="clear" w:color="auto" w:fill="FFFFFF"/>
          </w:tcPr>
          <w:p w14:paraId="3C74ACDD"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tc>
        <w:tc>
          <w:tcPr>
            <w:tcW w:w="485" w:type="dxa"/>
            <w:shd w:val="clear" w:color="auto" w:fill="FFFFFF"/>
          </w:tcPr>
          <w:p w14:paraId="631872D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w:t>
            </w:r>
          </w:p>
        </w:tc>
        <w:tc>
          <w:tcPr>
            <w:tcW w:w="590" w:type="dxa"/>
            <w:shd w:val="clear" w:color="auto" w:fill="FFFFFF"/>
          </w:tcPr>
          <w:p w14:paraId="3BFAE37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509" w:type="dxa"/>
            <w:shd w:val="clear" w:color="auto" w:fill="FFFFFF"/>
          </w:tcPr>
          <w:p w14:paraId="22F651D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528" w:type="dxa"/>
            <w:shd w:val="clear" w:color="auto" w:fill="FFFFFF"/>
          </w:tcPr>
          <w:p w14:paraId="5EAF2CC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566" w:type="dxa"/>
            <w:shd w:val="clear" w:color="auto" w:fill="FFFFFF"/>
          </w:tcPr>
          <w:p w14:paraId="0155AF8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w:t>
            </w:r>
          </w:p>
        </w:tc>
        <w:tc>
          <w:tcPr>
            <w:tcW w:w="682" w:type="dxa"/>
            <w:shd w:val="clear" w:color="auto" w:fill="FFFFFF"/>
          </w:tcPr>
          <w:p w14:paraId="4F3C853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w:t>
            </w:r>
          </w:p>
        </w:tc>
        <w:tc>
          <w:tcPr>
            <w:tcW w:w="682" w:type="dxa"/>
            <w:shd w:val="clear" w:color="auto" w:fill="FFFFFF"/>
          </w:tcPr>
          <w:p w14:paraId="5FCF9CB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w:t>
            </w:r>
          </w:p>
        </w:tc>
        <w:tc>
          <w:tcPr>
            <w:tcW w:w="682" w:type="dxa"/>
            <w:shd w:val="clear" w:color="auto" w:fill="FFFFFF"/>
          </w:tcPr>
          <w:p w14:paraId="3ABD23C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tc>
        <w:tc>
          <w:tcPr>
            <w:tcW w:w="686" w:type="dxa"/>
            <w:shd w:val="clear" w:color="auto" w:fill="FFFFFF"/>
          </w:tcPr>
          <w:p w14:paraId="05135634"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tc>
      </w:tr>
      <w:tr w:rsidR="00860B4B" w:rsidRPr="00D03F3E" w14:paraId="3E0DE196" w14:textId="77777777" w:rsidTr="00CA6303">
        <w:trPr>
          <w:trHeight w:val="226"/>
        </w:trPr>
        <w:tc>
          <w:tcPr>
            <w:tcW w:w="816" w:type="dxa"/>
            <w:shd w:val="clear" w:color="auto" w:fill="FFFFFF"/>
          </w:tcPr>
          <w:p w14:paraId="691851E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ЛаГГ-3</w:t>
            </w:r>
          </w:p>
        </w:tc>
        <w:tc>
          <w:tcPr>
            <w:tcW w:w="533" w:type="dxa"/>
            <w:shd w:val="clear" w:color="auto" w:fill="FFFFFF"/>
          </w:tcPr>
          <w:p w14:paraId="650A0D0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16272</w:t>
            </w:r>
          </w:p>
        </w:tc>
        <w:tc>
          <w:tcPr>
            <w:tcW w:w="509" w:type="dxa"/>
            <w:shd w:val="clear" w:color="auto" w:fill="FFFFFF"/>
          </w:tcPr>
          <w:p w14:paraId="4DA30C7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862</w:t>
            </w:r>
          </w:p>
        </w:tc>
        <w:tc>
          <w:tcPr>
            <w:tcW w:w="442" w:type="dxa"/>
            <w:shd w:val="clear" w:color="auto" w:fill="FFFFFF"/>
          </w:tcPr>
          <w:p w14:paraId="032287F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17134</w:t>
            </w:r>
          </w:p>
        </w:tc>
        <w:tc>
          <w:tcPr>
            <w:tcW w:w="542" w:type="dxa"/>
            <w:shd w:val="clear" w:color="auto" w:fill="FFFFFF"/>
          </w:tcPr>
          <w:p w14:paraId="5EC74BA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16680</w:t>
            </w:r>
          </w:p>
        </w:tc>
        <w:tc>
          <w:tcPr>
            <w:tcW w:w="461" w:type="dxa"/>
            <w:shd w:val="clear" w:color="auto" w:fill="FFFFFF"/>
          </w:tcPr>
          <w:p w14:paraId="1EAD0FB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417</w:t>
            </w:r>
          </w:p>
        </w:tc>
        <w:tc>
          <w:tcPr>
            <w:tcW w:w="427" w:type="dxa"/>
            <w:shd w:val="clear" w:color="auto" w:fill="FFFFFF"/>
          </w:tcPr>
          <w:p w14:paraId="7041DBF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17097</w:t>
            </w:r>
          </w:p>
        </w:tc>
        <w:tc>
          <w:tcPr>
            <w:tcW w:w="322" w:type="dxa"/>
            <w:shd w:val="clear" w:color="auto" w:fill="FFFFFF"/>
          </w:tcPr>
          <w:p w14:paraId="29A07AC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244</w:t>
            </w:r>
          </w:p>
        </w:tc>
        <w:tc>
          <w:tcPr>
            <w:tcW w:w="317" w:type="dxa"/>
            <w:shd w:val="clear" w:color="auto" w:fill="FFFFFF"/>
          </w:tcPr>
          <w:p w14:paraId="0C94163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w:t>
            </w:r>
          </w:p>
        </w:tc>
        <w:tc>
          <w:tcPr>
            <w:tcW w:w="317" w:type="dxa"/>
            <w:shd w:val="clear" w:color="auto" w:fill="FFFFFF"/>
          </w:tcPr>
          <w:p w14:paraId="28250C9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317" w:type="dxa"/>
            <w:shd w:val="clear" w:color="auto" w:fill="FFFFFF"/>
          </w:tcPr>
          <w:p w14:paraId="30615AD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96</w:t>
            </w:r>
          </w:p>
        </w:tc>
        <w:tc>
          <w:tcPr>
            <w:tcW w:w="485" w:type="dxa"/>
            <w:shd w:val="clear" w:color="auto" w:fill="FFFFFF"/>
          </w:tcPr>
          <w:p w14:paraId="21E7D83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379</w:t>
            </w:r>
          </w:p>
        </w:tc>
        <w:tc>
          <w:tcPr>
            <w:tcW w:w="590" w:type="dxa"/>
            <w:shd w:val="clear" w:color="auto" w:fill="FFFFFF"/>
          </w:tcPr>
          <w:p w14:paraId="565E2FC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c>
          <w:tcPr>
            <w:tcW w:w="509" w:type="dxa"/>
            <w:shd w:val="clear" w:color="auto" w:fill="FFFFFF"/>
          </w:tcPr>
          <w:p w14:paraId="765B22C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w:t>
            </w:r>
          </w:p>
        </w:tc>
        <w:tc>
          <w:tcPr>
            <w:tcW w:w="528" w:type="dxa"/>
            <w:shd w:val="clear" w:color="auto" w:fill="FFFFFF"/>
          </w:tcPr>
          <w:p w14:paraId="21513AE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w:t>
            </w:r>
          </w:p>
        </w:tc>
        <w:tc>
          <w:tcPr>
            <w:tcW w:w="566" w:type="dxa"/>
            <w:shd w:val="clear" w:color="auto" w:fill="FFFFFF"/>
          </w:tcPr>
          <w:p w14:paraId="444E76D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438</w:t>
            </w:r>
          </w:p>
        </w:tc>
        <w:tc>
          <w:tcPr>
            <w:tcW w:w="682" w:type="dxa"/>
            <w:shd w:val="clear" w:color="auto" w:fill="FFFFFF"/>
          </w:tcPr>
          <w:p w14:paraId="11318FF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w:t>
            </w:r>
          </w:p>
        </w:tc>
        <w:tc>
          <w:tcPr>
            <w:tcW w:w="682" w:type="dxa"/>
            <w:shd w:val="clear" w:color="auto" w:fill="FFFFFF"/>
          </w:tcPr>
          <w:p w14:paraId="356CAE4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w:t>
            </w:r>
          </w:p>
        </w:tc>
        <w:tc>
          <w:tcPr>
            <w:tcW w:w="682" w:type="dxa"/>
            <w:shd w:val="clear" w:color="auto" w:fill="FFFFFF"/>
          </w:tcPr>
          <w:p w14:paraId="2565BDF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c>
          <w:tcPr>
            <w:tcW w:w="686" w:type="dxa"/>
            <w:shd w:val="clear" w:color="auto" w:fill="FFFFFF"/>
          </w:tcPr>
          <w:p w14:paraId="4B34A79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r>
      <w:tr w:rsidR="00860B4B" w:rsidRPr="00D03F3E" w14:paraId="58D32251" w14:textId="77777777" w:rsidTr="00CA6303">
        <w:trPr>
          <w:trHeight w:val="216"/>
        </w:trPr>
        <w:tc>
          <w:tcPr>
            <w:tcW w:w="816" w:type="dxa"/>
            <w:shd w:val="clear" w:color="auto" w:fill="FFFFFF"/>
          </w:tcPr>
          <w:p w14:paraId="359404E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Аэрокобра</w:t>
            </w:r>
          </w:p>
        </w:tc>
        <w:tc>
          <w:tcPr>
            <w:tcW w:w="533" w:type="dxa"/>
            <w:shd w:val="clear" w:color="auto" w:fill="FFFFFF"/>
          </w:tcPr>
          <w:p w14:paraId="0A8C910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2780</w:t>
            </w:r>
          </w:p>
        </w:tc>
        <w:tc>
          <w:tcPr>
            <w:tcW w:w="509" w:type="dxa"/>
            <w:shd w:val="clear" w:color="auto" w:fill="FFFFFF"/>
          </w:tcPr>
          <w:p w14:paraId="4DA43FC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490</w:t>
            </w:r>
          </w:p>
        </w:tc>
        <w:tc>
          <w:tcPr>
            <w:tcW w:w="442" w:type="dxa"/>
            <w:shd w:val="clear" w:color="auto" w:fill="FFFFFF"/>
          </w:tcPr>
          <w:p w14:paraId="312EF89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3270</w:t>
            </w:r>
          </w:p>
        </w:tc>
        <w:tc>
          <w:tcPr>
            <w:tcW w:w="542" w:type="dxa"/>
            <w:shd w:val="clear" w:color="auto" w:fill="FFFFFF"/>
          </w:tcPr>
          <w:p w14:paraId="720400D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2724</w:t>
            </w:r>
          </w:p>
        </w:tc>
        <w:tc>
          <w:tcPr>
            <w:tcW w:w="461" w:type="dxa"/>
            <w:shd w:val="clear" w:color="auto" w:fill="FFFFFF"/>
          </w:tcPr>
          <w:p w14:paraId="1EA10A3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209</w:t>
            </w:r>
          </w:p>
        </w:tc>
        <w:tc>
          <w:tcPr>
            <w:tcW w:w="427" w:type="dxa"/>
            <w:shd w:val="clear" w:color="auto" w:fill="FFFFFF"/>
          </w:tcPr>
          <w:p w14:paraId="23122FE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8188</w:t>
            </w:r>
          </w:p>
        </w:tc>
        <w:tc>
          <w:tcPr>
            <w:tcW w:w="322" w:type="dxa"/>
            <w:shd w:val="clear" w:color="auto" w:fill="FFFFFF"/>
          </w:tcPr>
          <w:p w14:paraId="0BC4B32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w:t>
            </w:r>
          </w:p>
        </w:tc>
        <w:tc>
          <w:tcPr>
            <w:tcW w:w="317" w:type="dxa"/>
            <w:shd w:val="clear" w:color="auto" w:fill="FFFFFF"/>
          </w:tcPr>
          <w:p w14:paraId="1419607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317" w:type="dxa"/>
            <w:shd w:val="clear" w:color="auto" w:fill="FFFFFF"/>
          </w:tcPr>
          <w:p w14:paraId="2C95AC4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w:t>
            </w:r>
          </w:p>
        </w:tc>
        <w:tc>
          <w:tcPr>
            <w:tcW w:w="317" w:type="dxa"/>
            <w:shd w:val="clear" w:color="auto" w:fill="FFFFFF"/>
          </w:tcPr>
          <w:p w14:paraId="04FE5EA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w:t>
            </w:r>
          </w:p>
        </w:tc>
        <w:tc>
          <w:tcPr>
            <w:tcW w:w="485" w:type="dxa"/>
            <w:shd w:val="clear" w:color="auto" w:fill="FFFFFF"/>
          </w:tcPr>
          <w:p w14:paraId="2D8318F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w:t>
            </w:r>
          </w:p>
        </w:tc>
        <w:tc>
          <w:tcPr>
            <w:tcW w:w="590" w:type="dxa"/>
            <w:shd w:val="clear" w:color="auto" w:fill="FFFFFF"/>
          </w:tcPr>
          <w:p w14:paraId="1961C12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509" w:type="dxa"/>
            <w:shd w:val="clear" w:color="auto" w:fill="FFFFFF"/>
          </w:tcPr>
          <w:p w14:paraId="563CC87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tc>
        <w:tc>
          <w:tcPr>
            <w:tcW w:w="528" w:type="dxa"/>
            <w:shd w:val="clear" w:color="auto" w:fill="FFFFFF"/>
          </w:tcPr>
          <w:p w14:paraId="74E282D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tc>
        <w:tc>
          <w:tcPr>
            <w:tcW w:w="566" w:type="dxa"/>
            <w:shd w:val="clear" w:color="auto" w:fill="FFFFFF"/>
          </w:tcPr>
          <w:p w14:paraId="30C38D7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w:t>
            </w:r>
          </w:p>
        </w:tc>
        <w:tc>
          <w:tcPr>
            <w:tcW w:w="682" w:type="dxa"/>
            <w:shd w:val="clear" w:color="auto" w:fill="FFFFFF"/>
          </w:tcPr>
          <w:p w14:paraId="5916C9C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w:t>
            </w:r>
          </w:p>
        </w:tc>
        <w:tc>
          <w:tcPr>
            <w:tcW w:w="682" w:type="dxa"/>
            <w:shd w:val="clear" w:color="auto" w:fill="FFFFFF"/>
          </w:tcPr>
          <w:p w14:paraId="5A48807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tc>
        <w:tc>
          <w:tcPr>
            <w:tcW w:w="682" w:type="dxa"/>
            <w:shd w:val="clear" w:color="auto" w:fill="FFFFFF"/>
          </w:tcPr>
          <w:p w14:paraId="2A74F12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w:t>
            </w:r>
          </w:p>
        </w:tc>
        <w:tc>
          <w:tcPr>
            <w:tcW w:w="686" w:type="dxa"/>
            <w:shd w:val="clear" w:color="auto" w:fill="FFFFFF"/>
          </w:tcPr>
          <w:p w14:paraId="6355420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tc>
      </w:tr>
      <w:tr w:rsidR="00860B4B" w:rsidRPr="00D03F3E" w14:paraId="0B0C9390" w14:textId="77777777" w:rsidTr="00CA6303">
        <w:trPr>
          <w:trHeight w:val="226"/>
        </w:trPr>
        <w:tc>
          <w:tcPr>
            <w:tcW w:w="816" w:type="dxa"/>
            <w:shd w:val="clear" w:color="auto" w:fill="FFFFFF"/>
          </w:tcPr>
          <w:p w14:paraId="36D86F7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«Киттихаук»</w:t>
            </w:r>
          </w:p>
        </w:tc>
        <w:tc>
          <w:tcPr>
            <w:tcW w:w="533" w:type="dxa"/>
            <w:shd w:val="clear" w:color="auto" w:fill="FFFFFF"/>
          </w:tcPr>
          <w:p w14:paraId="2839139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1647</w:t>
            </w:r>
          </w:p>
        </w:tc>
        <w:tc>
          <w:tcPr>
            <w:tcW w:w="509" w:type="dxa"/>
            <w:shd w:val="clear" w:color="auto" w:fill="FFFFFF"/>
          </w:tcPr>
          <w:p w14:paraId="30B1DFF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909</w:t>
            </w:r>
          </w:p>
        </w:tc>
        <w:tc>
          <w:tcPr>
            <w:tcW w:w="442" w:type="dxa"/>
            <w:shd w:val="clear" w:color="auto" w:fill="FFFFFF"/>
          </w:tcPr>
          <w:p w14:paraId="32E9416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2556</w:t>
            </w:r>
          </w:p>
        </w:tc>
        <w:tc>
          <w:tcPr>
            <w:tcW w:w="542" w:type="dxa"/>
            <w:shd w:val="clear" w:color="auto" w:fill="FFFFFF"/>
          </w:tcPr>
          <w:p w14:paraId="397FA56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1508</w:t>
            </w:r>
          </w:p>
        </w:tc>
        <w:tc>
          <w:tcPr>
            <w:tcW w:w="461" w:type="dxa"/>
            <w:shd w:val="clear" w:color="auto" w:fill="FFFFFF"/>
          </w:tcPr>
          <w:p w14:paraId="70F919B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384</w:t>
            </w:r>
          </w:p>
        </w:tc>
        <w:tc>
          <w:tcPr>
            <w:tcW w:w="427" w:type="dxa"/>
            <w:shd w:val="clear" w:color="auto" w:fill="FFFFFF"/>
          </w:tcPr>
          <w:p w14:paraId="1F5D3FC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1892</w:t>
            </w:r>
          </w:p>
        </w:tc>
        <w:tc>
          <w:tcPr>
            <w:tcW w:w="322" w:type="dxa"/>
            <w:shd w:val="clear" w:color="auto" w:fill="FFFFFF"/>
          </w:tcPr>
          <w:p w14:paraId="5764802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c>
          <w:tcPr>
            <w:tcW w:w="317" w:type="dxa"/>
            <w:shd w:val="clear" w:color="auto" w:fill="FFFFFF"/>
          </w:tcPr>
          <w:p w14:paraId="4594F6E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17" w:type="dxa"/>
            <w:shd w:val="clear" w:color="auto" w:fill="FFFFFF"/>
          </w:tcPr>
          <w:p w14:paraId="7ED04E6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w:t>
            </w:r>
          </w:p>
        </w:tc>
        <w:tc>
          <w:tcPr>
            <w:tcW w:w="317" w:type="dxa"/>
            <w:shd w:val="clear" w:color="auto" w:fill="FFFFFF"/>
          </w:tcPr>
          <w:p w14:paraId="185DEEB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485" w:type="dxa"/>
            <w:shd w:val="clear" w:color="auto" w:fill="FFFFFF"/>
          </w:tcPr>
          <w:p w14:paraId="669B95A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tc>
        <w:tc>
          <w:tcPr>
            <w:tcW w:w="590" w:type="dxa"/>
            <w:shd w:val="clear" w:color="auto" w:fill="FFFFFF"/>
          </w:tcPr>
          <w:p w14:paraId="79C92A3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509" w:type="dxa"/>
            <w:shd w:val="clear" w:color="auto" w:fill="FFFFFF"/>
          </w:tcPr>
          <w:p w14:paraId="356483AD"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528" w:type="dxa"/>
            <w:shd w:val="clear" w:color="auto" w:fill="FFFFFF"/>
          </w:tcPr>
          <w:p w14:paraId="6C1C50A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566" w:type="dxa"/>
            <w:shd w:val="clear" w:color="auto" w:fill="FFFFFF"/>
          </w:tcPr>
          <w:p w14:paraId="154ED11D"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tc>
        <w:tc>
          <w:tcPr>
            <w:tcW w:w="682" w:type="dxa"/>
            <w:shd w:val="clear" w:color="auto" w:fill="FFFFFF"/>
          </w:tcPr>
          <w:p w14:paraId="0BB9131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183</w:t>
            </w:r>
          </w:p>
        </w:tc>
        <w:tc>
          <w:tcPr>
            <w:tcW w:w="682" w:type="dxa"/>
            <w:shd w:val="clear" w:color="auto" w:fill="FFFFFF"/>
          </w:tcPr>
          <w:p w14:paraId="561E0CC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168</w:t>
            </w:r>
          </w:p>
        </w:tc>
        <w:tc>
          <w:tcPr>
            <w:tcW w:w="682" w:type="dxa"/>
            <w:shd w:val="clear" w:color="auto" w:fill="FFFFFF"/>
          </w:tcPr>
          <w:p w14:paraId="59DC392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455</w:t>
            </w:r>
          </w:p>
        </w:tc>
        <w:tc>
          <w:tcPr>
            <w:tcW w:w="686" w:type="dxa"/>
            <w:shd w:val="clear" w:color="auto" w:fill="FFFFFF"/>
          </w:tcPr>
          <w:p w14:paraId="708A773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192</w:t>
            </w:r>
          </w:p>
        </w:tc>
      </w:tr>
      <w:tr w:rsidR="00860B4B" w:rsidRPr="00D03F3E" w14:paraId="247E2FA2" w14:textId="77777777" w:rsidTr="00CA6303">
        <w:trPr>
          <w:trHeight w:val="221"/>
        </w:trPr>
        <w:tc>
          <w:tcPr>
            <w:tcW w:w="816" w:type="dxa"/>
            <w:shd w:val="clear" w:color="auto" w:fill="FFFFFF"/>
          </w:tcPr>
          <w:p w14:paraId="7C85A44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«Харрикейн»</w:t>
            </w:r>
          </w:p>
        </w:tc>
        <w:tc>
          <w:tcPr>
            <w:tcW w:w="533" w:type="dxa"/>
            <w:shd w:val="clear" w:color="auto" w:fill="FFFFFF"/>
          </w:tcPr>
          <w:p w14:paraId="2DFCDF2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7059</w:t>
            </w:r>
          </w:p>
        </w:tc>
        <w:tc>
          <w:tcPr>
            <w:tcW w:w="509" w:type="dxa"/>
            <w:shd w:val="clear" w:color="auto" w:fill="FFFFFF"/>
          </w:tcPr>
          <w:p w14:paraId="590A02E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5382</w:t>
            </w:r>
          </w:p>
        </w:tc>
        <w:tc>
          <w:tcPr>
            <w:tcW w:w="442" w:type="dxa"/>
            <w:shd w:val="clear" w:color="auto" w:fill="FFFFFF"/>
          </w:tcPr>
          <w:p w14:paraId="701F58E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12441</w:t>
            </w:r>
          </w:p>
        </w:tc>
        <w:tc>
          <w:tcPr>
            <w:tcW w:w="542" w:type="dxa"/>
            <w:shd w:val="clear" w:color="auto" w:fill="FFFFFF"/>
          </w:tcPr>
          <w:p w14:paraId="7DA253B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6144</w:t>
            </w:r>
          </w:p>
        </w:tc>
        <w:tc>
          <w:tcPr>
            <w:tcW w:w="461" w:type="dxa"/>
            <w:shd w:val="clear" w:color="auto" w:fill="FFFFFF"/>
          </w:tcPr>
          <w:p w14:paraId="5773279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1256</w:t>
            </w:r>
          </w:p>
        </w:tc>
        <w:tc>
          <w:tcPr>
            <w:tcW w:w="427" w:type="dxa"/>
            <w:shd w:val="clear" w:color="auto" w:fill="FFFFFF"/>
          </w:tcPr>
          <w:p w14:paraId="77C2B30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7400</w:t>
            </w:r>
          </w:p>
        </w:tc>
        <w:tc>
          <w:tcPr>
            <w:tcW w:w="322" w:type="dxa"/>
            <w:shd w:val="clear" w:color="auto" w:fill="FFFFFF"/>
          </w:tcPr>
          <w:p w14:paraId="035B185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w:t>
            </w:r>
          </w:p>
        </w:tc>
        <w:tc>
          <w:tcPr>
            <w:tcW w:w="317" w:type="dxa"/>
            <w:shd w:val="clear" w:color="auto" w:fill="FFFFFF"/>
          </w:tcPr>
          <w:p w14:paraId="58C0B02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c>
          <w:tcPr>
            <w:tcW w:w="317" w:type="dxa"/>
            <w:shd w:val="clear" w:color="auto" w:fill="FFFFFF"/>
          </w:tcPr>
          <w:p w14:paraId="73334C2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tc>
        <w:tc>
          <w:tcPr>
            <w:tcW w:w="317" w:type="dxa"/>
            <w:shd w:val="clear" w:color="auto" w:fill="FFFFFF"/>
          </w:tcPr>
          <w:p w14:paraId="11FDF2B4"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tc>
        <w:tc>
          <w:tcPr>
            <w:tcW w:w="485" w:type="dxa"/>
            <w:shd w:val="clear" w:color="auto" w:fill="FFFFFF"/>
          </w:tcPr>
          <w:p w14:paraId="5654983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108</w:t>
            </w:r>
          </w:p>
        </w:tc>
        <w:tc>
          <w:tcPr>
            <w:tcW w:w="590" w:type="dxa"/>
            <w:shd w:val="clear" w:color="auto" w:fill="FFFFFF"/>
          </w:tcPr>
          <w:p w14:paraId="066051F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w:t>
            </w:r>
          </w:p>
        </w:tc>
        <w:tc>
          <w:tcPr>
            <w:tcW w:w="509" w:type="dxa"/>
            <w:shd w:val="clear" w:color="auto" w:fill="FFFFFF"/>
          </w:tcPr>
          <w:p w14:paraId="3836593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tc>
        <w:tc>
          <w:tcPr>
            <w:tcW w:w="528" w:type="dxa"/>
            <w:shd w:val="clear" w:color="auto" w:fill="FFFFFF"/>
          </w:tcPr>
          <w:p w14:paraId="1809419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w:t>
            </w:r>
          </w:p>
        </w:tc>
        <w:tc>
          <w:tcPr>
            <w:tcW w:w="566" w:type="dxa"/>
            <w:shd w:val="clear" w:color="auto" w:fill="FFFFFF"/>
          </w:tcPr>
          <w:p w14:paraId="3625F09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132</w:t>
            </w:r>
          </w:p>
        </w:tc>
        <w:tc>
          <w:tcPr>
            <w:tcW w:w="682" w:type="dxa"/>
            <w:shd w:val="clear" w:color="auto" w:fill="FFFFFF"/>
          </w:tcPr>
          <w:p w14:paraId="688B5CD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71</w:t>
            </w:r>
          </w:p>
        </w:tc>
        <w:tc>
          <w:tcPr>
            <w:tcW w:w="682" w:type="dxa"/>
            <w:shd w:val="clear" w:color="auto" w:fill="FFFFFF"/>
          </w:tcPr>
          <w:p w14:paraId="4575A6B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w:t>
            </w:r>
          </w:p>
        </w:tc>
        <w:tc>
          <w:tcPr>
            <w:tcW w:w="682" w:type="dxa"/>
            <w:shd w:val="clear" w:color="auto" w:fill="FFFFFF"/>
          </w:tcPr>
          <w:p w14:paraId="4D89383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224</w:t>
            </w:r>
          </w:p>
        </w:tc>
        <w:tc>
          <w:tcPr>
            <w:tcW w:w="686" w:type="dxa"/>
            <w:shd w:val="clear" w:color="auto" w:fill="FFFFFF"/>
          </w:tcPr>
          <w:p w14:paraId="243F1E6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w:t>
            </w:r>
          </w:p>
        </w:tc>
      </w:tr>
      <w:tr w:rsidR="00860B4B" w:rsidRPr="00D03F3E" w14:paraId="3FF2ECBF" w14:textId="77777777" w:rsidTr="00CA6303">
        <w:trPr>
          <w:trHeight w:val="226"/>
        </w:trPr>
        <w:tc>
          <w:tcPr>
            <w:tcW w:w="816" w:type="dxa"/>
            <w:shd w:val="clear" w:color="auto" w:fill="FFFFFF"/>
          </w:tcPr>
          <w:p w14:paraId="17F6280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«Томахаук»</w:t>
            </w:r>
          </w:p>
        </w:tc>
        <w:tc>
          <w:tcPr>
            <w:tcW w:w="533" w:type="dxa"/>
            <w:shd w:val="clear" w:color="auto" w:fill="FFFFFF"/>
          </w:tcPr>
          <w:p w14:paraId="5969732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4132</w:t>
            </w:r>
          </w:p>
        </w:tc>
        <w:tc>
          <w:tcPr>
            <w:tcW w:w="509" w:type="dxa"/>
            <w:shd w:val="clear" w:color="auto" w:fill="FFFFFF"/>
          </w:tcPr>
          <w:p w14:paraId="3D7348E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1143</w:t>
            </w:r>
          </w:p>
        </w:tc>
        <w:tc>
          <w:tcPr>
            <w:tcW w:w="442" w:type="dxa"/>
            <w:shd w:val="clear" w:color="auto" w:fill="FFFFFF"/>
          </w:tcPr>
          <w:p w14:paraId="0AC0A66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5275</w:t>
            </w:r>
          </w:p>
        </w:tc>
        <w:tc>
          <w:tcPr>
            <w:tcW w:w="542" w:type="dxa"/>
            <w:shd w:val="clear" w:color="auto" w:fill="FFFFFF"/>
          </w:tcPr>
          <w:p w14:paraId="1BBD7BA4"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3630</w:t>
            </w:r>
          </w:p>
        </w:tc>
        <w:tc>
          <w:tcPr>
            <w:tcW w:w="461" w:type="dxa"/>
            <w:shd w:val="clear" w:color="auto" w:fill="FFFFFF"/>
          </w:tcPr>
          <w:p w14:paraId="4F3D067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443</w:t>
            </w:r>
          </w:p>
        </w:tc>
        <w:tc>
          <w:tcPr>
            <w:tcW w:w="427" w:type="dxa"/>
            <w:shd w:val="clear" w:color="auto" w:fill="FFFFFF"/>
          </w:tcPr>
          <w:p w14:paraId="732DCC6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4073</w:t>
            </w:r>
          </w:p>
        </w:tc>
        <w:tc>
          <w:tcPr>
            <w:tcW w:w="322" w:type="dxa"/>
            <w:shd w:val="clear" w:color="auto" w:fill="FFFFFF"/>
          </w:tcPr>
          <w:p w14:paraId="3F08A9E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w:t>
            </w:r>
          </w:p>
        </w:tc>
        <w:tc>
          <w:tcPr>
            <w:tcW w:w="317" w:type="dxa"/>
            <w:shd w:val="clear" w:color="auto" w:fill="FFFFFF"/>
          </w:tcPr>
          <w:p w14:paraId="4A6B964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317" w:type="dxa"/>
            <w:shd w:val="clear" w:color="auto" w:fill="FFFFFF"/>
          </w:tcPr>
          <w:p w14:paraId="1C710FF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317" w:type="dxa"/>
            <w:shd w:val="clear" w:color="auto" w:fill="FFFFFF"/>
          </w:tcPr>
          <w:p w14:paraId="387D447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485" w:type="dxa"/>
            <w:shd w:val="clear" w:color="auto" w:fill="FFFFFF"/>
          </w:tcPr>
          <w:p w14:paraId="38B8D17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w:t>
            </w:r>
          </w:p>
        </w:tc>
        <w:tc>
          <w:tcPr>
            <w:tcW w:w="590" w:type="dxa"/>
            <w:shd w:val="clear" w:color="auto" w:fill="FFFFFF"/>
          </w:tcPr>
          <w:p w14:paraId="25479CB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tc>
        <w:tc>
          <w:tcPr>
            <w:tcW w:w="509" w:type="dxa"/>
            <w:shd w:val="clear" w:color="auto" w:fill="FFFFFF"/>
          </w:tcPr>
          <w:p w14:paraId="4753E8F4"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c>
          <w:tcPr>
            <w:tcW w:w="528" w:type="dxa"/>
            <w:shd w:val="clear" w:color="auto" w:fill="FFFFFF"/>
          </w:tcPr>
          <w:p w14:paraId="791CB5A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c>
          <w:tcPr>
            <w:tcW w:w="566" w:type="dxa"/>
            <w:shd w:val="clear" w:color="auto" w:fill="FFFFFF"/>
          </w:tcPr>
          <w:p w14:paraId="5D70A4E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w:t>
            </w:r>
          </w:p>
        </w:tc>
        <w:tc>
          <w:tcPr>
            <w:tcW w:w="682" w:type="dxa"/>
            <w:shd w:val="clear" w:color="auto" w:fill="FFFFFF"/>
          </w:tcPr>
          <w:p w14:paraId="4573DDD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115</w:t>
            </w:r>
          </w:p>
        </w:tc>
        <w:tc>
          <w:tcPr>
            <w:tcW w:w="682" w:type="dxa"/>
            <w:shd w:val="clear" w:color="auto" w:fill="FFFFFF"/>
          </w:tcPr>
          <w:p w14:paraId="0912F88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101</w:t>
            </w:r>
          </w:p>
        </w:tc>
        <w:tc>
          <w:tcPr>
            <w:tcW w:w="682" w:type="dxa"/>
            <w:shd w:val="clear" w:color="auto" w:fill="FFFFFF"/>
          </w:tcPr>
          <w:p w14:paraId="37D4D79D"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w:t>
            </w:r>
          </w:p>
        </w:tc>
        <w:tc>
          <w:tcPr>
            <w:tcW w:w="686" w:type="dxa"/>
            <w:shd w:val="clear" w:color="auto" w:fill="FFFFFF"/>
          </w:tcPr>
          <w:p w14:paraId="7B607EF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tc>
      </w:tr>
      <w:tr w:rsidR="00860B4B" w:rsidRPr="00D03F3E" w14:paraId="20099A0A" w14:textId="77777777" w:rsidTr="00CA6303">
        <w:trPr>
          <w:trHeight w:val="216"/>
        </w:trPr>
        <w:tc>
          <w:tcPr>
            <w:tcW w:w="816" w:type="dxa"/>
            <w:shd w:val="clear" w:color="auto" w:fill="FFFFFF"/>
          </w:tcPr>
          <w:p w14:paraId="6571255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И-16</w:t>
            </w:r>
          </w:p>
        </w:tc>
        <w:tc>
          <w:tcPr>
            <w:tcW w:w="533" w:type="dxa"/>
            <w:shd w:val="clear" w:color="auto" w:fill="FFFFFF"/>
          </w:tcPr>
          <w:p w14:paraId="40B25F2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1542</w:t>
            </w:r>
          </w:p>
        </w:tc>
        <w:tc>
          <w:tcPr>
            <w:tcW w:w="509" w:type="dxa"/>
            <w:shd w:val="clear" w:color="auto" w:fill="FFFFFF"/>
          </w:tcPr>
          <w:p w14:paraId="15F9789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1172</w:t>
            </w:r>
          </w:p>
        </w:tc>
        <w:tc>
          <w:tcPr>
            <w:tcW w:w="442" w:type="dxa"/>
            <w:shd w:val="clear" w:color="auto" w:fill="FFFFFF"/>
          </w:tcPr>
          <w:p w14:paraId="1E942AC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16524</w:t>
            </w:r>
          </w:p>
        </w:tc>
        <w:tc>
          <w:tcPr>
            <w:tcW w:w="542" w:type="dxa"/>
            <w:shd w:val="clear" w:color="auto" w:fill="FFFFFF"/>
          </w:tcPr>
          <w:p w14:paraId="3538BED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12672</w:t>
            </w:r>
          </w:p>
        </w:tc>
        <w:tc>
          <w:tcPr>
            <w:tcW w:w="461" w:type="dxa"/>
            <w:shd w:val="clear" w:color="auto" w:fill="FFFFFF"/>
          </w:tcPr>
          <w:p w14:paraId="5CFD6B8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406</w:t>
            </w:r>
          </w:p>
        </w:tc>
        <w:tc>
          <w:tcPr>
            <w:tcW w:w="427" w:type="dxa"/>
            <w:shd w:val="clear" w:color="auto" w:fill="FFFFFF"/>
          </w:tcPr>
          <w:p w14:paraId="01133A2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13078</w:t>
            </w:r>
          </w:p>
        </w:tc>
        <w:tc>
          <w:tcPr>
            <w:tcW w:w="322" w:type="dxa"/>
            <w:shd w:val="clear" w:color="auto" w:fill="FFFFFF"/>
          </w:tcPr>
          <w:p w14:paraId="59AB3D7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w:t>
            </w:r>
          </w:p>
        </w:tc>
        <w:tc>
          <w:tcPr>
            <w:tcW w:w="317" w:type="dxa"/>
            <w:shd w:val="clear" w:color="auto" w:fill="FFFFFF"/>
          </w:tcPr>
          <w:p w14:paraId="1961E0C4"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c>
          <w:tcPr>
            <w:tcW w:w="317" w:type="dxa"/>
            <w:shd w:val="clear" w:color="auto" w:fill="FFFFFF"/>
          </w:tcPr>
          <w:p w14:paraId="5AF878A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w:t>
            </w:r>
          </w:p>
        </w:tc>
        <w:tc>
          <w:tcPr>
            <w:tcW w:w="317" w:type="dxa"/>
            <w:shd w:val="clear" w:color="auto" w:fill="FFFFFF"/>
          </w:tcPr>
          <w:p w14:paraId="093A448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c>
          <w:tcPr>
            <w:tcW w:w="485" w:type="dxa"/>
            <w:shd w:val="clear" w:color="auto" w:fill="FFFFFF"/>
          </w:tcPr>
          <w:p w14:paraId="1B6424B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w:t>
            </w:r>
          </w:p>
        </w:tc>
        <w:tc>
          <w:tcPr>
            <w:tcW w:w="590" w:type="dxa"/>
            <w:shd w:val="clear" w:color="auto" w:fill="FFFFFF"/>
          </w:tcPr>
          <w:p w14:paraId="6BE2793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c>
          <w:tcPr>
            <w:tcW w:w="509" w:type="dxa"/>
            <w:shd w:val="clear" w:color="auto" w:fill="FFFFFF"/>
          </w:tcPr>
          <w:p w14:paraId="6A513E4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c>
          <w:tcPr>
            <w:tcW w:w="528" w:type="dxa"/>
            <w:shd w:val="clear" w:color="auto" w:fill="FFFFFF"/>
          </w:tcPr>
          <w:p w14:paraId="49CED0A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w:t>
            </w:r>
          </w:p>
        </w:tc>
        <w:tc>
          <w:tcPr>
            <w:tcW w:w="566" w:type="dxa"/>
            <w:shd w:val="clear" w:color="auto" w:fill="FFFFFF"/>
          </w:tcPr>
          <w:p w14:paraId="1E28877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147</w:t>
            </w:r>
          </w:p>
        </w:tc>
        <w:tc>
          <w:tcPr>
            <w:tcW w:w="682" w:type="dxa"/>
            <w:shd w:val="clear" w:color="auto" w:fill="FFFFFF"/>
          </w:tcPr>
          <w:p w14:paraId="13E1BB6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143</w:t>
            </w:r>
          </w:p>
        </w:tc>
        <w:tc>
          <w:tcPr>
            <w:tcW w:w="682" w:type="dxa"/>
            <w:shd w:val="clear" w:color="auto" w:fill="FFFFFF"/>
          </w:tcPr>
          <w:p w14:paraId="55DFD3E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118</w:t>
            </w:r>
          </w:p>
        </w:tc>
        <w:tc>
          <w:tcPr>
            <w:tcW w:w="682" w:type="dxa"/>
            <w:shd w:val="clear" w:color="auto" w:fill="FFFFFF"/>
          </w:tcPr>
          <w:p w14:paraId="06D0610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w:t>
            </w:r>
          </w:p>
        </w:tc>
        <w:tc>
          <w:tcPr>
            <w:tcW w:w="686" w:type="dxa"/>
            <w:shd w:val="clear" w:color="auto" w:fill="FFFFFF"/>
          </w:tcPr>
          <w:p w14:paraId="0327919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r>
      <w:tr w:rsidR="00860B4B" w:rsidRPr="00D03F3E" w14:paraId="34CB4126" w14:textId="77777777" w:rsidTr="00CA6303">
        <w:trPr>
          <w:trHeight w:val="226"/>
        </w:trPr>
        <w:tc>
          <w:tcPr>
            <w:tcW w:w="816" w:type="dxa"/>
            <w:shd w:val="clear" w:color="auto" w:fill="FFFFFF"/>
          </w:tcPr>
          <w:p w14:paraId="2B6723FD"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И-153</w:t>
            </w:r>
          </w:p>
        </w:tc>
        <w:tc>
          <w:tcPr>
            <w:tcW w:w="533" w:type="dxa"/>
            <w:shd w:val="clear" w:color="auto" w:fill="FFFFFF"/>
          </w:tcPr>
          <w:p w14:paraId="2EDC6DC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8021</w:t>
            </w:r>
          </w:p>
        </w:tc>
        <w:tc>
          <w:tcPr>
            <w:tcW w:w="509" w:type="dxa"/>
            <w:shd w:val="clear" w:color="auto" w:fill="FFFFFF"/>
          </w:tcPr>
          <w:p w14:paraId="596C9FC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571</w:t>
            </w:r>
          </w:p>
        </w:tc>
        <w:tc>
          <w:tcPr>
            <w:tcW w:w="442" w:type="dxa"/>
            <w:shd w:val="clear" w:color="auto" w:fill="FFFFFF"/>
          </w:tcPr>
          <w:p w14:paraId="373B1E8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8592</w:t>
            </w:r>
          </w:p>
        </w:tc>
        <w:tc>
          <w:tcPr>
            <w:tcW w:w="542" w:type="dxa"/>
            <w:shd w:val="clear" w:color="auto" w:fill="FFFFFF"/>
          </w:tcPr>
          <w:p w14:paraId="720F6E4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7785</w:t>
            </w:r>
          </w:p>
        </w:tc>
        <w:tc>
          <w:tcPr>
            <w:tcW w:w="461" w:type="dxa"/>
            <w:shd w:val="clear" w:color="auto" w:fill="FFFFFF"/>
          </w:tcPr>
          <w:p w14:paraId="55063A9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175</w:t>
            </w:r>
          </w:p>
        </w:tc>
        <w:tc>
          <w:tcPr>
            <w:tcW w:w="427" w:type="dxa"/>
            <w:shd w:val="clear" w:color="auto" w:fill="FFFFFF"/>
          </w:tcPr>
          <w:p w14:paraId="6B03621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7960</w:t>
            </w:r>
          </w:p>
        </w:tc>
        <w:tc>
          <w:tcPr>
            <w:tcW w:w="322" w:type="dxa"/>
            <w:shd w:val="clear" w:color="auto" w:fill="FFFFFF"/>
          </w:tcPr>
          <w:p w14:paraId="7BD6EA0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w:t>
            </w:r>
          </w:p>
        </w:tc>
        <w:tc>
          <w:tcPr>
            <w:tcW w:w="317" w:type="dxa"/>
            <w:shd w:val="clear" w:color="auto" w:fill="FFFFFF"/>
          </w:tcPr>
          <w:p w14:paraId="7EDC776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c>
          <w:tcPr>
            <w:tcW w:w="317" w:type="dxa"/>
            <w:shd w:val="clear" w:color="auto" w:fill="FFFFFF"/>
          </w:tcPr>
          <w:p w14:paraId="6ADD0C5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w:t>
            </w:r>
          </w:p>
        </w:tc>
        <w:tc>
          <w:tcPr>
            <w:tcW w:w="317" w:type="dxa"/>
            <w:shd w:val="clear" w:color="auto" w:fill="FFFFFF"/>
          </w:tcPr>
          <w:p w14:paraId="3D3078A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c>
          <w:tcPr>
            <w:tcW w:w="485" w:type="dxa"/>
            <w:shd w:val="clear" w:color="auto" w:fill="FFFFFF"/>
          </w:tcPr>
          <w:p w14:paraId="07912D9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86</w:t>
            </w:r>
          </w:p>
        </w:tc>
        <w:tc>
          <w:tcPr>
            <w:tcW w:w="590" w:type="dxa"/>
            <w:shd w:val="clear" w:color="auto" w:fill="FFFFFF"/>
          </w:tcPr>
          <w:p w14:paraId="678E663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509" w:type="dxa"/>
            <w:shd w:val="clear" w:color="auto" w:fill="FFFFFF"/>
          </w:tcPr>
          <w:p w14:paraId="5CF4824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tc>
        <w:tc>
          <w:tcPr>
            <w:tcW w:w="528" w:type="dxa"/>
            <w:shd w:val="clear" w:color="auto" w:fill="FFFFFF"/>
          </w:tcPr>
          <w:p w14:paraId="2B36DB6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tc>
        <w:tc>
          <w:tcPr>
            <w:tcW w:w="566" w:type="dxa"/>
            <w:shd w:val="clear" w:color="auto" w:fill="FFFFFF"/>
          </w:tcPr>
          <w:p w14:paraId="728AB5D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104</w:t>
            </w:r>
          </w:p>
        </w:tc>
        <w:tc>
          <w:tcPr>
            <w:tcW w:w="682" w:type="dxa"/>
            <w:shd w:val="clear" w:color="auto" w:fill="FFFFFF"/>
          </w:tcPr>
          <w:p w14:paraId="4E6EA2E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93</w:t>
            </w:r>
          </w:p>
        </w:tc>
        <w:tc>
          <w:tcPr>
            <w:tcW w:w="682" w:type="dxa"/>
            <w:shd w:val="clear" w:color="auto" w:fill="FFFFFF"/>
          </w:tcPr>
          <w:p w14:paraId="056CD2A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91</w:t>
            </w:r>
          </w:p>
        </w:tc>
        <w:tc>
          <w:tcPr>
            <w:tcW w:w="682" w:type="dxa"/>
            <w:shd w:val="clear" w:color="auto" w:fill="FFFFFF"/>
          </w:tcPr>
          <w:p w14:paraId="3AD972B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w:t>
            </w:r>
          </w:p>
        </w:tc>
        <w:tc>
          <w:tcPr>
            <w:tcW w:w="686" w:type="dxa"/>
            <w:shd w:val="clear" w:color="auto" w:fill="FFFFFF"/>
          </w:tcPr>
          <w:p w14:paraId="43126C2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r>
      <w:tr w:rsidR="00860B4B" w:rsidRPr="00D03F3E" w14:paraId="04424103" w14:textId="77777777" w:rsidTr="00CA6303">
        <w:trPr>
          <w:trHeight w:val="221"/>
        </w:trPr>
        <w:tc>
          <w:tcPr>
            <w:tcW w:w="816" w:type="dxa"/>
            <w:shd w:val="clear" w:color="auto" w:fill="FFFFFF"/>
          </w:tcPr>
          <w:p w14:paraId="748F1EC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И-15бис</w:t>
            </w:r>
          </w:p>
        </w:tc>
        <w:tc>
          <w:tcPr>
            <w:tcW w:w="533" w:type="dxa"/>
            <w:shd w:val="clear" w:color="auto" w:fill="FFFFFF"/>
          </w:tcPr>
          <w:p w14:paraId="319BA4A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6434</w:t>
            </w:r>
          </w:p>
        </w:tc>
        <w:tc>
          <w:tcPr>
            <w:tcW w:w="509" w:type="dxa"/>
            <w:shd w:val="clear" w:color="auto" w:fill="FFFFFF"/>
          </w:tcPr>
          <w:p w14:paraId="3B09AE0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97с</w:t>
            </w:r>
          </w:p>
        </w:tc>
        <w:tc>
          <w:tcPr>
            <w:tcW w:w="442" w:type="dxa"/>
            <w:shd w:val="clear" w:color="auto" w:fill="FFFFFF"/>
          </w:tcPr>
          <w:p w14:paraId="7D6553C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7410</w:t>
            </w:r>
          </w:p>
        </w:tc>
        <w:tc>
          <w:tcPr>
            <w:tcW w:w="542" w:type="dxa"/>
            <w:shd w:val="clear" w:color="auto" w:fill="FFFFFF"/>
          </w:tcPr>
          <w:p w14:paraId="334CA77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7200</w:t>
            </w:r>
          </w:p>
        </w:tc>
        <w:tc>
          <w:tcPr>
            <w:tcW w:w="461" w:type="dxa"/>
            <w:shd w:val="clear" w:color="auto" w:fill="FFFFFF"/>
          </w:tcPr>
          <w:p w14:paraId="1EC1E29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406</w:t>
            </w:r>
          </w:p>
        </w:tc>
        <w:tc>
          <w:tcPr>
            <w:tcW w:w="427" w:type="dxa"/>
            <w:shd w:val="clear" w:color="auto" w:fill="FFFFFF"/>
          </w:tcPr>
          <w:p w14:paraId="0F1E8A9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7606</w:t>
            </w:r>
          </w:p>
        </w:tc>
        <w:tc>
          <w:tcPr>
            <w:tcW w:w="322" w:type="dxa"/>
            <w:shd w:val="clear" w:color="auto" w:fill="FFFFFF"/>
          </w:tcPr>
          <w:p w14:paraId="21B733C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w:t>
            </w:r>
          </w:p>
        </w:tc>
        <w:tc>
          <w:tcPr>
            <w:tcW w:w="317" w:type="dxa"/>
            <w:shd w:val="clear" w:color="auto" w:fill="FFFFFF"/>
          </w:tcPr>
          <w:p w14:paraId="0C4ADF6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tc>
        <w:tc>
          <w:tcPr>
            <w:tcW w:w="317" w:type="dxa"/>
            <w:shd w:val="clear" w:color="auto" w:fill="FFFFFF"/>
          </w:tcPr>
          <w:p w14:paraId="2F68E7B4"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tc>
        <w:tc>
          <w:tcPr>
            <w:tcW w:w="317" w:type="dxa"/>
            <w:shd w:val="clear" w:color="auto" w:fill="FFFFFF"/>
          </w:tcPr>
          <w:p w14:paraId="668DBF34"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tc>
        <w:tc>
          <w:tcPr>
            <w:tcW w:w="485" w:type="dxa"/>
            <w:shd w:val="clear" w:color="auto" w:fill="FFFFFF"/>
          </w:tcPr>
          <w:p w14:paraId="66ED0D6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tc>
        <w:tc>
          <w:tcPr>
            <w:tcW w:w="590" w:type="dxa"/>
            <w:shd w:val="clear" w:color="auto" w:fill="FFFFFF"/>
          </w:tcPr>
          <w:p w14:paraId="2F28D8C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509" w:type="dxa"/>
            <w:shd w:val="clear" w:color="auto" w:fill="FFFFFF"/>
          </w:tcPr>
          <w:p w14:paraId="4D111D6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c>
          <w:tcPr>
            <w:tcW w:w="528" w:type="dxa"/>
            <w:shd w:val="clear" w:color="auto" w:fill="FFFFFF"/>
          </w:tcPr>
          <w:p w14:paraId="24A149A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tc>
        <w:tc>
          <w:tcPr>
            <w:tcW w:w="566" w:type="dxa"/>
            <w:shd w:val="clear" w:color="auto" w:fill="FFFFFF"/>
          </w:tcPr>
          <w:p w14:paraId="5A93CB6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71</w:t>
            </w:r>
          </w:p>
        </w:tc>
        <w:tc>
          <w:tcPr>
            <w:tcW w:w="682" w:type="dxa"/>
            <w:shd w:val="clear" w:color="auto" w:fill="FFFFFF"/>
          </w:tcPr>
          <w:p w14:paraId="72EF4E0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124</w:t>
            </w:r>
          </w:p>
        </w:tc>
        <w:tc>
          <w:tcPr>
            <w:tcW w:w="682" w:type="dxa"/>
            <w:shd w:val="clear" w:color="auto" w:fill="FFFFFF"/>
          </w:tcPr>
          <w:p w14:paraId="6190C53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138</w:t>
            </w:r>
          </w:p>
        </w:tc>
        <w:tc>
          <w:tcPr>
            <w:tcW w:w="682" w:type="dxa"/>
            <w:shd w:val="clear" w:color="auto" w:fill="FFFFFF"/>
          </w:tcPr>
          <w:p w14:paraId="09EBDAF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89</w:t>
            </w:r>
          </w:p>
        </w:tc>
        <w:tc>
          <w:tcPr>
            <w:tcW w:w="686" w:type="dxa"/>
            <w:shd w:val="clear" w:color="auto" w:fill="FFFFFF"/>
          </w:tcPr>
          <w:p w14:paraId="383C818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w:t>
            </w:r>
          </w:p>
        </w:tc>
      </w:tr>
      <w:tr w:rsidR="00860B4B" w:rsidRPr="00D03F3E" w14:paraId="485B68A8" w14:textId="77777777" w:rsidTr="00CA6303">
        <w:trPr>
          <w:trHeight w:val="221"/>
        </w:trPr>
        <w:tc>
          <w:tcPr>
            <w:tcW w:w="816" w:type="dxa"/>
            <w:shd w:val="clear" w:color="auto" w:fill="FFFFFF"/>
          </w:tcPr>
          <w:p w14:paraId="7CC4B434"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Ил-2</w:t>
            </w:r>
          </w:p>
        </w:tc>
        <w:tc>
          <w:tcPr>
            <w:tcW w:w="533" w:type="dxa"/>
            <w:shd w:val="clear" w:color="auto" w:fill="FFFFFF"/>
          </w:tcPr>
          <w:p w14:paraId="21421DDD"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15656</w:t>
            </w:r>
          </w:p>
        </w:tc>
        <w:tc>
          <w:tcPr>
            <w:tcW w:w="509" w:type="dxa"/>
            <w:shd w:val="clear" w:color="auto" w:fill="FFFFFF"/>
          </w:tcPr>
          <w:p w14:paraId="00805B3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11535</w:t>
            </w:r>
          </w:p>
        </w:tc>
        <w:tc>
          <w:tcPr>
            <w:tcW w:w="442" w:type="dxa"/>
            <w:shd w:val="clear" w:color="auto" w:fill="FFFFFF"/>
          </w:tcPr>
          <w:p w14:paraId="5737FBB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27191</w:t>
            </w:r>
          </w:p>
        </w:tc>
        <w:tc>
          <w:tcPr>
            <w:tcW w:w="542" w:type="dxa"/>
            <w:shd w:val="clear" w:color="auto" w:fill="FFFFFF"/>
          </w:tcPr>
          <w:p w14:paraId="19C14254"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15801</w:t>
            </w:r>
          </w:p>
        </w:tc>
        <w:tc>
          <w:tcPr>
            <w:tcW w:w="461" w:type="dxa"/>
            <w:shd w:val="clear" w:color="auto" w:fill="FFFFFF"/>
          </w:tcPr>
          <w:p w14:paraId="261A461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4422</w:t>
            </w:r>
          </w:p>
        </w:tc>
        <w:tc>
          <w:tcPr>
            <w:tcW w:w="427" w:type="dxa"/>
            <w:shd w:val="clear" w:color="auto" w:fill="FFFFFF"/>
          </w:tcPr>
          <w:p w14:paraId="58FFB55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20223</w:t>
            </w:r>
          </w:p>
        </w:tc>
        <w:tc>
          <w:tcPr>
            <w:tcW w:w="322" w:type="dxa"/>
            <w:shd w:val="clear" w:color="auto" w:fill="FFFFFF"/>
          </w:tcPr>
          <w:p w14:paraId="64DC0A3D"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209</w:t>
            </w:r>
          </w:p>
        </w:tc>
        <w:tc>
          <w:tcPr>
            <w:tcW w:w="317" w:type="dxa"/>
            <w:shd w:val="clear" w:color="auto" w:fill="FFFFFF"/>
          </w:tcPr>
          <w:p w14:paraId="6881C53D"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207</w:t>
            </w:r>
          </w:p>
        </w:tc>
        <w:tc>
          <w:tcPr>
            <w:tcW w:w="317" w:type="dxa"/>
            <w:shd w:val="clear" w:color="auto" w:fill="FFFFFF"/>
          </w:tcPr>
          <w:p w14:paraId="5578916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317" w:type="dxa"/>
            <w:shd w:val="clear" w:color="auto" w:fill="FFFFFF"/>
          </w:tcPr>
          <w:p w14:paraId="0D6EC08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178</w:t>
            </w:r>
          </w:p>
        </w:tc>
        <w:tc>
          <w:tcPr>
            <w:tcW w:w="485" w:type="dxa"/>
            <w:shd w:val="clear" w:color="auto" w:fill="FFFFFF"/>
          </w:tcPr>
          <w:p w14:paraId="6CDD105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599</w:t>
            </w:r>
          </w:p>
        </w:tc>
        <w:tc>
          <w:tcPr>
            <w:tcW w:w="590" w:type="dxa"/>
            <w:shd w:val="clear" w:color="auto" w:fill="FFFFFF"/>
          </w:tcPr>
          <w:p w14:paraId="77CA0D1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tc>
        <w:tc>
          <w:tcPr>
            <w:tcW w:w="509" w:type="dxa"/>
            <w:shd w:val="clear" w:color="auto" w:fill="FFFFFF"/>
          </w:tcPr>
          <w:p w14:paraId="1D64F98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w:t>
            </w:r>
          </w:p>
        </w:tc>
        <w:tc>
          <w:tcPr>
            <w:tcW w:w="528" w:type="dxa"/>
            <w:shd w:val="clear" w:color="auto" w:fill="FFFFFF"/>
          </w:tcPr>
          <w:p w14:paraId="45C4B51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72</w:t>
            </w:r>
          </w:p>
        </w:tc>
        <w:tc>
          <w:tcPr>
            <w:tcW w:w="566" w:type="dxa"/>
            <w:shd w:val="clear" w:color="auto" w:fill="FFFFFF"/>
          </w:tcPr>
          <w:p w14:paraId="2663E41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671</w:t>
            </w:r>
          </w:p>
        </w:tc>
        <w:tc>
          <w:tcPr>
            <w:tcW w:w="682" w:type="dxa"/>
            <w:shd w:val="clear" w:color="auto" w:fill="FFFFFF"/>
          </w:tcPr>
          <w:p w14:paraId="6130EFD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p>
        </w:tc>
        <w:tc>
          <w:tcPr>
            <w:tcW w:w="682" w:type="dxa"/>
            <w:shd w:val="clear" w:color="auto" w:fill="FFFFFF"/>
          </w:tcPr>
          <w:p w14:paraId="2D6DBD2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w:t>
            </w:r>
          </w:p>
        </w:tc>
        <w:tc>
          <w:tcPr>
            <w:tcW w:w="682" w:type="dxa"/>
            <w:shd w:val="clear" w:color="auto" w:fill="FFFFFF"/>
          </w:tcPr>
          <w:p w14:paraId="65FE8E4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160</w:t>
            </w:r>
          </w:p>
        </w:tc>
        <w:tc>
          <w:tcPr>
            <w:tcW w:w="686" w:type="dxa"/>
            <w:shd w:val="clear" w:color="auto" w:fill="FFFFFF"/>
          </w:tcPr>
          <w:p w14:paraId="71A454F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w:t>
            </w:r>
          </w:p>
        </w:tc>
      </w:tr>
      <w:tr w:rsidR="00860B4B" w:rsidRPr="00D03F3E" w14:paraId="6E641EE6" w14:textId="77777777" w:rsidTr="00CA6303">
        <w:trPr>
          <w:trHeight w:val="221"/>
        </w:trPr>
        <w:tc>
          <w:tcPr>
            <w:tcW w:w="816" w:type="dxa"/>
            <w:shd w:val="clear" w:color="auto" w:fill="FFFFFF"/>
          </w:tcPr>
          <w:p w14:paraId="75CADD6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Пе-2</w:t>
            </w:r>
          </w:p>
        </w:tc>
        <w:tc>
          <w:tcPr>
            <w:tcW w:w="533" w:type="dxa"/>
            <w:shd w:val="clear" w:color="auto" w:fill="FFFFFF"/>
          </w:tcPr>
          <w:p w14:paraId="029CB99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3270</w:t>
            </w:r>
          </w:p>
        </w:tc>
        <w:tc>
          <w:tcPr>
            <w:tcW w:w="509" w:type="dxa"/>
            <w:shd w:val="clear" w:color="auto" w:fill="FFFFFF"/>
          </w:tcPr>
          <w:p w14:paraId="5188DBC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8723</w:t>
            </w:r>
          </w:p>
        </w:tc>
        <w:tc>
          <w:tcPr>
            <w:tcW w:w="442" w:type="dxa"/>
            <w:shd w:val="clear" w:color="auto" w:fill="FFFFFF"/>
          </w:tcPr>
          <w:p w14:paraId="0A63454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17393</w:t>
            </w:r>
          </w:p>
        </w:tc>
        <w:tc>
          <w:tcPr>
            <w:tcW w:w="542" w:type="dxa"/>
            <w:shd w:val="clear" w:color="auto" w:fill="FFFFFF"/>
          </w:tcPr>
          <w:p w14:paraId="1D66385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11254</w:t>
            </w:r>
          </w:p>
        </w:tc>
        <w:tc>
          <w:tcPr>
            <w:tcW w:w="461" w:type="dxa"/>
            <w:shd w:val="clear" w:color="auto" w:fill="FFFFFF"/>
          </w:tcPr>
          <w:p w14:paraId="758C699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5117</w:t>
            </w:r>
          </w:p>
        </w:tc>
        <w:tc>
          <w:tcPr>
            <w:tcW w:w="427" w:type="dxa"/>
            <w:shd w:val="clear" w:color="auto" w:fill="FFFFFF"/>
          </w:tcPr>
          <w:p w14:paraId="26BC066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1637!</w:t>
            </w:r>
          </w:p>
        </w:tc>
        <w:tc>
          <w:tcPr>
            <w:tcW w:w="322" w:type="dxa"/>
            <w:shd w:val="clear" w:color="auto" w:fill="FFFFFF"/>
          </w:tcPr>
          <w:p w14:paraId="164F302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w:t>
            </w:r>
          </w:p>
        </w:tc>
        <w:tc>
          <w:tcPr>
            <w:tcW w:w="317" w:type="dxa"/>
            <w:shd w:val="clear" w:color="auto" w:fill="FFFFFF"/>
          </w:tcPr>
          <w:p w14:paraId="76F8317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tc>
        <w:tc>
          <w:tcPr>
            <w:tcW w:w="317" w:type="dxa"/>
            <w:shd w:val="clear" w:color="auto" w:fill="FFFFFF"/>
          </w:tcPr>
          <w:p w14:paraId="2A8EC3D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317" w:type="dxa"/>
            <w:shd w:val="clear" w:color="auto" w:fill="FFFFFF"/>
          </w:tcPr>
          <w:p w14:paraId="41FC5464"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w:t>
            </w:r>
          </w:p>
        </w:tc>
        <w:tc>
          <w:tcPr>
            <w:tcW w:w="485" w:type="dxa"/>
            <w:shd w:val="clear" w:color="auto" w:fill="FFFFFF"/>
          </w:tcPr>
          <w:p w14:paraId="083E642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173</w:t>
            </w:r>
          </w:p>
        </w:tc>
        <w:tc>
          <w:tcPr>
            <w:tcW w:w="590" w:type="dxa"/>
            <w:shd w:val="clear" w:color="auto" w:fill="FFFFFF"/>
          </w:tcPr>
          <w:p w14:paraId="5C94441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tc>
        <w:tc>
          <w:tcPr>
            <w:tcW w:w="509" w:type="dxa"/>
            <w:shd w:val="clear" w:color="auto" w:fill="FFFFFF"/>
          </w:tcPr>
          <w:p w14:paraId="3F051B1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tc>
        <w:tc>
          <w:tcPr>
            <w:tcW w:w="528" w:type="dxa"/>
            <w:shd w:val="clear" w:color="auto" w:fill="FFFFFF"/>
          </w:tcPr>
          <w:p w14:paraId="41ED416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w:t>
            </w:r>
          </w:p>
        </w:tc>
        <w:tc>
          <w:tcPr>
            <w:tcW w:w="566" w:type="dxa"/>
            <w:shd w:val="clear" w:color="auto" w:fill="FFFFFF"/>
          </w:tcPr>
          <w:p w14:paraId="45F31CE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219</w:t>
            </w:r>
          </w:p>
        </w:tc>
        <w:tc>
          <w:tcPr>
            <w:tcW w:w="682" w:type="dxa"/>
            <w:shd w:val="clear" w:color="auto" w:fill="FFFFFF"/>
          </w:tcPr>
          <w:p w14:paraId="1AA7C55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w:t>
            </w:r>
          </w:p>
        </w:tc>
        <w:tc>
          <w:tcPr>
            <w:tcW w:w="682" w:type="dxa"/>
            <w:shd w:val="clear" w:color="auto" w:fill="FFFFFF"/>
          </w:tcPr>
          <w:p w14:paraId="314B9AFD"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w:t>
            </w:r>
          </w:p>
        </w:tc>
        <w:tc>
          <w:tcPr>
            <w:tcW w:w="682" w:type="dxa"/>
            <w:shd w:val="clear" w:color="auto" w:fill="FFFFFF"/>
          </w:tcPr>
          <w:p w14:paraId="3C85AEB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190</w:t>
            </w:r>
          </w:p>
        </w:tc>
        <w:tc>
          <w:tcPr>
            <w:tcW w:w="686" w:type="dxa"/>
            <w:shd w:val="clear" w:color="auto" w:fill="FFFFFF"/>
          </w:tcPr>
          <w:p w14:paraId="6F8C249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111</w:t>
            </w:r>
          </w:p>
        </w:tc>
      </w:tr>
      <w:tr w:rsidR="00860B4B" w:rsidRPr="00D03F3E" w14:paraId="0B5A94A4" w14:textId="77777777" w:rsidTr="00CA6303">
        <w:trPr>
          <w:trHeight w:val="226"/>
        </w:trPr>
        <w:tc>
          <w:tcPr>
            <w:tcW w:w="816" w:type="dxa"/>
            <w:shd w:val="clear" w:color="auto" w:fill="FFFFFF"/>
          </w:tcPr>
          <w:p w14:paraId="1202555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Б-3(«Бостон»)</w:t>
            </w:r>
          </w:p>
        </w:tc>
        <w:tc>
          <w:tcPr>
            <w:tcW w:w="533" w:type="dxa"/>
            <w:shd w:val="clear" w:color="auto" w:fill="FFFFFF"/>
          </w:tcPr>
          <w:p w14:paraId="7E91BBB4"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3551</w:t>
            </w:r>
          </w:p>
        </w:tc>
        <w:tc>
          <w:tcPr>
            <w:tcW w:w="509" w:type="dxa"/>
            <w:shd w:val="clear" w:color="auto" w:fill="FFFFFF"/>
          </w:tcPr>
          <w:p w14:paraId="37DAF05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635</w:t>
            </w:r>
          </w:p>
        </w:tc>
        <w:tc>
          <w:tcPr>
            <w:tcW w:w="442" w:type="dxa"/>
            <w:shd w:val="clear" w:color="auto" w:fill="FFFFFF"/>
          </w:tcPr>
          <w:p w14:paraId="6541F3B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4186</w:t>
            </w:r>
          </w:p>
        </w:tc>
        <w:tc>
          <w:tcPr>
            <w:tcW w:w="542" w:type="dxa"/>
            <w:shd w:val="clear" w:color="auto" w:fill="FFFFFF"/>
          </w:tcPr>
          <w:p w14:paraId="2E2FBEB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5520</w:t>
            </w:r>
          </w:p>
        </w:tc>
        <w:tc>
          <w:tcPr>
            <w:tcW w:w="461" w:type="dxa"/>
            <w:shd w:val="clear" w:color="auto" w:fill="FFFFFF"/>
          </w:tcPr>
          <w:p w14:paraId="78B39F3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182</w:t>
            </w:r>
          </w:p>
        </w:tc>
        <w:tc>
          <w:tcPr>
            <w:tcW w:w="427" w:type="dxa"/>
            <w:shd w:val="clear" w:color="auto" w:fill="FFFFFF"/>
          </w:tcPr>
          <w:p w14:paraId="1DF0A23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5702</w:t>
            </w:r>
          </w:p>
        </w:tc>
        <w:tc>
          <w:tcPr>
            <w:tcW w:w="322" w:type="dxa"/>
            <w:shd w:val="clear" w:color="auto" w:fill="FFFFFF"/>
          </w:tcPr>
          <w:p w14:paraId="338B83D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w:t>
            </w:r>
          </w:p>
        </w:tc>
        <w:tc>
          <w:tcPr>
            <w:tcW w:w="317" w:type="dxa"/>
            <w:shd w:val="clear" w:color="auto" w:fill="FFFFFF"/>
          </w:tcPr>
          <w:p w14:paraId="0A4D14D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p>
        </w:tc>
        <w:tc>
          <w:tcPr>
            <w:tcW w:w="317" w:type="dxa"/>
            <w:shd w:val="clear" w:color="auto" w:fill="FFFFFF"/>
          </w:tcPr>
          <w:p w14:paraId="4A243D4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317" w:type="dxa"/>
            <w:shd w:val="clear" w:color="auto" w:fill="FFFFFF"/>
          </w:tcPr>
          <w:p w14:paraId="6B4F1B0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tc>
        <w:tc>
          <w:tcPr>
            <w:tcW w:w="485" w:type="dxa"/>
            <w:shd w:val="clear" w:color="auto" w:fill="FFFFFF"/>
          </w:tcPr>
          <w:p w14:paraId="54CD377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92</w:t>
            </w:r>
          </w:p>
        </w:tc>
        <w:tc>
          <w:tcPr>
            <w:tcW w:w="590" w:type="dxa"/>
            <w:shd w:val="clear" w:color="auto" w:fill="FFFFFF"/>
          </w:tcPr>
          <w:p w14:paraId="5FD561D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509" w:type="dxa"/>
            <w:shd w:val="clear" w:color="auto" w:fill="FFFFFF"/>
          </w:tcPr>
          <w:p w14:paraId="181742E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528" w:type="dxa"/>
            <w:shd w:val="clear" w:color="auto" w:fill="FFFFFF"/>
          </w:tcPr>
          <w:p w14:paraId="4F6DA06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tc>
        <w:tc>
          <w:tcPr>
            <w:tcW w:w="566" w:type="dxa"/>
            <w:shd w:val="clear" w:color="auto" w:fill="FFFFFF"/>
          </w:tcPr>
          <w:p w14:paraId="3BAF9A7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c>
          <w:tcPr>
            <w:tcW w:w="682" w:type="dxa"/>
            <w:shd w:val="clear" w:color="auto" w:fill="FFFFFF"/>
          </w:tcPr>
          <w:p w14:paraId="5AC665A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w:t>
            </w:r>
          </w:p>
        </w:tc>
        <w:tc>
          <w:tcPr>
            <w:tcW w:w="682" w:type="dxa"/>
            <w:shd w:val="clear" w:color="auto" w:fill="FFFFFF"/>
          </w:tcPr>
          <w:p w14:paraId="0837ADDD"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w:t>
            </w:r>
          </w:p>
        </w:tc>
        <w:tc>
          <w:tcPr>
            <w:tcW w:w="682" w:type="dxa"/>
            <w:shd w:val="clear" w:color="auto" w:fill="FFFFFF"/>
          </w:tcPr>
          <w:p w14:paraId="5B15AF1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79</w:t>
            </w:r>
          </w:p>
        </w:tc>
        <w:tc>
          <w:tcPr>
            <w:tcW w:w="686" w:type="dxa"/>
            <w:shd w:val="clear" w:color="auto" w:fill="FFFFFF"/>
          </w:tcPr>
          <w:p w14:paraId="69EB850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w:t>
            </w:r>
          </w:p>
        </w:tc>
      </w:tr>
      <w:tr w:rsidR="00860B4B" w:rsidRPr="00D03F3E" w14:paraId="48E2B85C" w14:textId="77777777" w:rsidTr="00CA6303">
        <w:trPr>
          <w:trHeight w:val="216"/>
        </w:trPr>
        <w:tc>
          <w:tcPr>
            <w:tcW w:w="816" w:type="dxa"/>
            <w:shd w:val="clear" w:color="auto" w:fill="FFFFFF"/>
          </w:tcPr>
          <w:p w14:paraId="2D05152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СБ</w:t>
            </w:r>
          </w:p>
        </w:tc>
        <w:tc>
          <w:tcPr>
            <w:tcW w:w="533" w:type="dxa"/>
            <w:shd w:val="clear" w:color="auto" w:fill="FFFFFF"/>
          </w:tcPr>
          <w:p w14:paraId="3709F84D"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4547</w:t>
            </w:r>
          </w:p>
        </w:tc>
        <w:tc>
          <w:tcPr>
            <w:tcW w:w="509" w:type="dxa"/>
            <w:shd w:val="clear" w:color="auto" w:fill="FFFFFF"/>
          </w:tcPr>
          <w:p w14:paraId="1487681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1134</w:t>
            </w:r>
          </w:p>
        </w:tc>
        <w:tc>
          <w:tcPr>
            <w:tcW w:w="442" w:type="dxa"/>
            <w:shd w:val="clear" w:color="auto" w:fill="FFFFFF"/>
          </w:tcPr>
          <w:p w14:paraId="29B1AE4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5681</w:t>
            </w:r>
          </w:p>
        </w:tc>
        <w:tc>
          <w:tcPr>
            <w:tcW w:w="542" w:type="dxa"/>
            <w:shd w:val="clear" w:color="auto" w:fill="FFFFFF"/>
          </w:tcPr>
          <w:p w14:paraId="207689F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8591</w:t>
            </w:r>
          </w:p>
        </w:tc>
        <w:tc>
          <w:tcPr>
            <w:tcW w:w="461" w:type="dxa"/>
            <w:shd w:val="clear" w:color="auto" w:fill="FFFFFF"/>
          </w:tcPr>
          <w:p w14:paraId="7E96C15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590</w:t>
            </w:r>
          </w:p>
        </w:tc>
        <w:tc>
          <w:tcPr>
            <w:tcW w:w="427" w:type="dxa"/>
            <w:shd w:val="clear" w:color="auto" w:fill="FFFFFF"/>
          </w:tcPr>
          <w:p w14:paraId="7883D17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8981</w:t>
            </w:r>
          </w:p>
        </w:tc>
        <w:tc>
          <w:tcPr>
            <w:tcW w:w="322" w:type="dxa"/>
            <w:shd w:val="clear" w:color="auto" w:fill="FFFFFF"/>
          </w:tcPr>
          <w:p w14:paraId="7407982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w:t>
            </w:r>
          </w:p>
        </w:tc>
        <w:tc>
          <w:tcPr>
            <w:tcW w:w="317" w:type="dxa"/>
            <w:shd w:val="clear" w:color="auto" w:fill="FFFFFF"/>
          </w:tcPr>
          <w:p w14:paraId="6265B70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c>
          <w:tcPr>
            <w:tcW w:w="317" w:type="dxa"/>
            <w:shd w:val="clear" w:color="auto" w:fill="FFFFFF"/>
          </w:tcPr>
          <w:p w14:paraId="732ABEA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317" w:type="dxa"/>
            <w:shd w:val="clear" w:color="auto" w:fill="FFFFFF"/>
          </w:tcPr>
          <w:p w14:paraId="49E0572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tc>
        <w:tc>
          <w:tcPr>
            <w:tcW w:w="485" w:type="dxa"/>
            <w:shd w:val="clear" w:color="auto" w:fill="FFFFFF"/>
          </w:tcPr>
          <w:p w14:paraId="3E7CF27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w:t>
            </w:r>
          </w:p>
        </w:tc>
        <w:tc>
          <w:tcPr>
            <w:tcW w:w="590" w:type="dxa"/>
            <w:shd w:val="clear" w:color="auto" w:fill="FFFFFF"/>
          </w:tcPr>
          <w:p w14:paraId="5A6DF9D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tc>
        <w:tc>
          <w:tcPr>
            <w:tcW w:w="509" w:type="dxa"/>
            <w:shd w:val="clear" w:color="auto" w:fill="FFFFFF"/>
          </w:tcPr>
          <w:p w14:paraId="4816CC0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tc>
        <w:tc>
          <w:tcPr>
            <w:tcW w:w="528" w:type="dxa"/>
            <w:shd w:val="clear" w:color="auto" w:fill="FFFFFF"/>
          </w:tcPr>
          <w:p w14:paraId="2D9E0C5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w:t>
            </w:r>
          </w:p>
        </w:tc>
        <w:tc>
          <w:tcPr>
            <w:tcW w:w="566" w:type="dxa"/>
            <w:shd w:val="clear" w:color="auto" w:fill="FFFFFF"/>
          </w:tcPr>
          <w:p w14:paraId="234C8A1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125</w:t>
            </w:r>
          </w:p>
        </w:tc>
        <w:tc>
          <w:tcPr>
            <w:tcW w:w="682" w:type="dxa"/>
            <w:shd w:val="clear" w:color="auto" w:fill="FFFFFF"/>
          </w:tcPr>
          <w:p w14:paraId="4A59C94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w:t>
            </w:r>
          </w:p>
        </w:tc>
        <w:tc>
          <w:tcPr>
            <w:tcW w:w="682" w:type="dxa"/>
            <w:shd w:val="clear" w:color="auto" w:fill="FFFFFF"/>
          </w:tcPr>
          <w:p w14:paraId="718B827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89</w:t>
            </w:r>
          </w:p>
        </w:tc>
        <w:tc>
          <w:tcPr>
            <w:tcW w:w="682" w:type="dxa"/>
            <w:shd w:val="clear" w:color="auto" w:fill="FFFFFF"/>
          </w:tcPr>
          <w:p w14:paraId="101992C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w:t>
            </w:r>
          </w:p>
        </w:tc>
        <w:tc>
          <w:tcPr>
            <w:tcW w:w="686" w:type="dxa"/>
            <w:shd w:val="clear" w:color="auto" w:fill="FFFFFF"/>
          </w:tcPr>
          <w:p w14:paraId="4020E44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tc>
      </w:tr>
      <w:tr w:rsidR="00860B4B" w:rsidRPr="00D03F3E" w14:paraId="4C7545E5" w14:textId="77777777" w:rsidTr="00CA6303">
        <w:trPr>
          <w:trHeight w:val="226"/>
        </w:trPr>
        <w:tc>
          <w:tcPr>
            <w:tcW w:w="816" w:type="dxa"/>
            <w:shd w:val="clear" w:color="auto" w:fill="FFFFFF"/>
          </w:tcPr>
          <w:p w14:paraId="3CC7743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Р-5</w:t>
            </w:r>
          </w:p>
        </w:tc>
        <w:tc>
          <w:tcPr>
            <w:tcW w:w="533" w:type="dxa"/>
            <w:shd w:val="clear" w:color="auto" w:fill="FFFFFF"/>
          </w:tcPr>
          <w:p w14:paraId="4AC2572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6841</w:t>
            </w:r>
          </w:p>
        </w:tc>
        <w:tc>
          <w:tcPr>
            <w:tcW w:w="509" w:type="dxa"/>
            <w:shd w:val="clear" w:color="auto" w:fill="FFFFFF"/>
          </w:tcPr>
          <w:p w14:paraId="1C96E9C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1532</w:t>
            </w:r>
          </w:p>
        </w:tc>
        <w:tc>
          <w:tcPr>
            <w:tcW w:w="442" w:type="dxa"/>
            <w:shd w:val="clear" w:color="auto" w:fill="FFFFFF"/>
          </w:tcPr>
          <w:p w14:paraId="649288D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8373</w:t>
            </w:r>
          </w:p>
        </w:tc>
        <w:tc>
          <w:tcPr>
            <w:tcW w:w="542" w:type="dxa"/>
            <w:shd w:val="clear" w:color="auto" w:fill="FFFFFF"/>
          </w:tcPr>
          <w:p w14:paraId="6498D0B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8450</w:t>
            </w:r>
          </w:p>
        </w:tc>
        <w:tc>
          <w:tcPr>
            <w:tcW w:w="461" w:type="dxa"/>
            <w:shd w:val="clear" w:color="auto" w:fill="FFFFFF"/>
          </w:tcPr>
          <w:p w14:paraId="558BB4D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527</w:t>
            </w:r>
          </w:p>
        </w:tc>
        <w:tc>
          <w:tcPr>
            <w:tcW w:w="427" w:type="dxa"/>
            <w:shd w:val="clear" w:color="auto" w:fill="FFFFFF"/>
          </w:tcPr>
          <w:p w14:paraId="6BA4F344"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8977</w:t>
            </w:r>
          </w:p>
        </w:tc>
        <w:tc>
          <w:tcPr>
            <w:tcW w:w="322" w:type="dxa"/>
            <w:shd w:val="clear" w:color="auto" w:fill="FFFFFF"/>
          </w:tcPr>
          <w:p w14:paraId="3215782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317" w:type="dxa"/>
            <w:shd w:val="clear" w:color="auto" w:fill="FFFFFF"/>
          </w:tcPr>
          <w:p w14:paraId="7CAE70B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317" w:type="dxa"/>
            <w:shd w:val="clear" w:color="auto" w:fill="FFFFFF"/>
          </w:tcPr>
          <w:p w14:paraId="4B26F77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317" w:type="dxa"/>
            <w:shd w:val="clear" w:color="auto" w:fill="FFFFFF"/>
          </w:tcPr>
          <w:p w14:paraId="30EF97A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w:t>
            </w:r>
          </w:p>
        </w:tc>
        <w:tc>
          <w:tcPr>
            <w:tcW w:w="485" w:type="dxa"/>
            <w:shd w:val="clear" w:color="auto" w:fill="FFFFFF"/>
          </w:tcPr>
          <w:p w14:paraId="729A715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tc>
        <w:tc>
          <w:tcPr>
            <w:tcW w:w="590" w:type="dxa"/>
            <w:shd w:val="clear" w:color="auto" w:fill="FFFFFF"/>
          </w:tcPr>
          <w:p w14:paraId="29FBA20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c>
          <w:tcPr>
            <w:tcW w:w="509" w:type="dxa"/>
            <w:shd w:val="clear" w:color="auto" w:fill="FFFFFF"/>
          </w:tcPr>
          <w:p w14:paraId="3583A4A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c>
          <w:tcPr>
            <w:tcW w:w="528" w:type="dxa"/>
            <w:shd w:val="clear" w:color="auto" w:fill="FFFFFF"/>
          </w:tcPr>
          <w:p w14:paraId="1650B12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w:t>
            </w:r>
          </w:p>
        </w:tc>
        <w:tc>
          <w:tcPr>
            <w:tcW w:w="566" w:type="dxa"/>
            <w:shd w:val="clear" w:color="auto" w:fill="FFFFFF"/>
          </w:tcPr>
          <w:p w14:paraId="30A7E84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w:t>
            </w:r>
          </w:p>
        </w:tc>
        <w:tc>
          <w:tcPr>
            <w:tcW w:w="682" w:type="dxa"/>
            <w:shd w:val="clear" w:color="auto" w:fill="FFFFFF"/>
          </w:tcPr>
          <w:p w14:paraId="3486A27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311</w:t>
            </w:r>
          </w:p>
        </w:tc>
        <w:tc>
          <w:tcPr>
            <w:tcW w:w="682" w:type="dxa"/>
            <w:shd w:val="clear" w:color="auto" w:fill="FFFFFF"/>
          </w:tcPr>
          <w:p w14:paraId="2C14862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384</w:t>
            </w:r>
          </w:p>
        </w:tc>
        <w:tc>
          <w:tcPr>
            <w:tcW w:w="682" w:type="dxa"/>
            <w:shd w:val="clear" w:color="auto" w:fill="FFFFFF"/>
          </w:tcPr>
          <w:p w14:paraId="2A6C545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109</w:t>
            </w:r>
          </w:p>
        </w:tc>
        <w:tc>
          <w:tcPr>
            <w:tcW w:w="686" w:type="dxa"/>
            <w:shd w:val="clear" w:color="auto" w:fill="FFFFFF"/>
          </w:tcPr>
          <w:p w14:paraId="18ECB8A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w:t>
            </w:r>
          </w:p>
        </w:tc>
      </w:tr>
      <w:tr w:rsidR="00860B4B" w:rsidRPr="00D03F3E" w14:paraId="071AA464" w14:textId="77777777" w:rsidTr="00CA6303">
        <w:trPr>
          <w:trHeight w:val="211"/>
        </w:trPr>
        <w:tc>
          <w:tcPr>
            <w:tcW w:w="816" w:type="dxa"/>
            <w:shd w:val="clear" w:color="auto" w:fill="FFFFFF"/>
          </w:tcPr>
          <w:p w14:paraId="4A0750D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2</w:t>
            </w:r>
          </w:p>
        </w:tc>
        <w:tc>
          <w:tcPr>
            <w:tcW w:w="533" w:type="dxa"/>
            <w:shd w:val="clear" w:color="auto" w:fill="FFFFFF"/>
          </w:tcPr>
          <w:p w14:paraId="15B5ECA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23147</w:t>
            </w:r>
          </w:p>
        </w:tc>
        <w:tc>
          <w:tcPr>
            <w:tcW w:w="509" w:type="dxa"/>
            <w:shd w:val="clear" w:color="auto" w:fill="FFFFFF"/>
          </w:tcPr>
          <w:p w14:paraId="7F4394C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32016</w:t>
            </w:r>
          </w:p>
        </w:tc>
        <w:tc>
          <w:tcPr>
            <w:tcW w:w="442" w:type="dxa"/>
            <w:shd w:val="clear" w:color="auto" w:fill="FFFFFF"/>
          </w:tcPr>
          <w:p w14:paraId="5EAEC02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55163</w:t>
            </w:r>
          </w:p>
        </w:tc>
        <w:tc>
          <w:tcPr>
            <w:tcW w:w="542" w:type="dxa"/>
            <w:shd w:val="clear" w:color="auto" w:fill="FFFFFF"/>
          </w:tcPr>
          <w:p w14:paraId="710D69F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23213</w:t>
            </w:r>
          </w:p>
        </w:tc>
        <w:tc>
          <w:tcPr>
            <w:tcW w:w="461" w:type="dxa"/>
            <w:shd w:val="clear" w:color="auto" w:fill="FFFFFF"/>
          </w:tcPr>
          <w:p w14:paraId="2AA6D02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19533</w:t>
            </w:r>
          </w:p>
        </w:tc>
        <w:tc>
          <w:tcPr>
            <w:tcW w:w="427" w:type="dxa"/>
            <w:shd w:val="clear" w:color="auto" w:fill="FFFFFF"/>
          </w:tcPr>
          <w:p w14:paraId="5C8BE3E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42746</w:t>
            </w:r>
          </w:p>
        </w:tc>
        <w:tc>
          <w:tcPr>
            <w:tcW w:w="322" w:type="dxa"/>
            <w:shd w:val="clear" w:color="auto" w:fill="FFFFFF"/>
          </w:tcPr>
          <w:p w14:paraId="7DB2BAD4"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tc>
        <w:tc>
          <w:tcPr>
            <w:tcW w:w="317" w:type="dxa"/>
            <w:shd w:val="clear" w:color="auto" w:fill="FFFFFF"/>
          </w:tcPr>
          <w:p w14:paraId="4CB653C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317" w:type="dxa"/>
            <w:shd w:val="clear" w:color="auto" w:fill="FFFFFF"/>
          </w:tcPr>
          <w:p w14:paraId="09B8970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317" w:type="dxa"/>
            <w:shd w:val="clear" w:color="auto" w:fill="FFFFFF"/>
          </w:tcPr>
          <w:p w14:paraId="098738B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tc>
        <w:tc>
          <w:tcPr>
            <w:tcW w:w="485" w:type="dxa"/>
            <w:shd w:val="clear" w:color="auto" w:fill="FFFFFF"/>
          </w:tcPr>
          <w:p w14:paraId="2398B04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w:t>
            </w:r>
          </w:p>
        </w:tc>
        <w:tc>
          <w:tcPr>
            <w:tcW w:w="590" w:type="dxa"/>
            <w:shd w:val="clear" w:color="auto" w:fill="FFFFFF"/>
          </w:tcPr>
          <w:p w14:paraId="33AEA8A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509" w:type="dxa"/>
            <w:shd w:val="clear" w:color="auto" w:fill="FFFFFF"/>
          </w:tcPr>
          <w:p w14:paraId="4E88A58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tc>
        <w:tc>
          <w:tcPr>
            <w:tcW w:w="528" w:type="dxa"/>
            <w:shd w:val="clear" w:color="auto" w:fill="FFFFFF"/>
          </w:tcPr>
          <w:p w14:paraId="6B42C88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tc>
        <w:tc>
          <w:tcPr>
            <w:tcW w:w="566" w:type="dxa"/>
            <w:shd w:val="clear" w:color="auto" w:fill="FFFFFF"/>
          </w:tcPr>
          <w:p w14:paraId="7C134AB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w:t>
            </w:r>
          </w:p>
        </w:tc>
        <w:tc>
          <w:tcPr>
            <w:tcW w:w="682" w:type="dxa"/>
            <w:shd w:val="clear" w:color="auto" w:fill="FFFFFF"/>
          </w:tcPr>
          <w:p w14:paraId="0B2540F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701</w:t>
            </w:r>
          </w:p>
        </w:tc>
        <w:tc>
          <w:tcPr>
            <w:tcW w:w="682" w:type="dxa"/>
            <w:shd w:val="clear" w:color="auto" w:fill="FFFFFF"/>
          </w:tcPr>
          <w:p w14:paraId="2F3932E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703</w:t>
            </w:r>
          </w:p>
        </w:tc>
        <w:tc>
          <w:tcPr>
            <w:tcW w:w="682" w:type="dxa"/>
            <w:shd w:val="clear" w:color="auto" w:fill="FFFFFF"/>
          </w:tcPr>
          <w:p w14:paraId="406250C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1067</w:t>
            </w:r>
          </w:p>
        </w:tc>
        <w:tc>
          <w:tcPr>
            <w:tcW w:w="686" w:type="dxa"/>
            <w:shd w:val="clear" w:color="auto" w:fill="FFFFFF"/>
          </w:tcPr>
          <w:p w14:paraId="16C10CF4"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651</w:t>
            </w:r>
          </w:p>
        </w:tc>
      </w:tr>
    </w:tbl>
    <w:p w14:paraId="2421493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(15763).</w:t>
      </w:r>
    </w:p>
    <w:p w14:paraId="2C01FE3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Аналогичный рост продолжительности службы штурмовиков и бомбардировщиков на</w:t>
      </w:r>
      <w:r w:rsidRPr="00D03F3E">
        <w:rPr>
          <w:rFonts w:ascii="Times New Roman" w:hAnsi="Times New Roman"/>
          <w:color w:val="000000" w:themeColor="text1"/>
          <w:sz w:val="16"/>
          <w:szCs w:val="16"/>
        </w:rPr>
        <w:softHyphen/>
        <w:t>блюдается при анализе потерь 17-й ВА и 3-го сак в январе 1943 г. на Юго-Западном фронте, где воздушная и наземная обстановка к тому времени сложилась в нашу пользу и противо</w:t>
      </w:r>
      <w:r w:rsidRPr="00D03F3E">
        <w:rPr>
          <w:rFonts w:ascii="Times New Roman" w:hAnsi="Times New Roman"/>
          <w:color w:val="000000" w:themeColor="text1"/>
          <w:sz w:val="16"/>
          <w:szCs w:val="16"/>
        </w:rPr>
        <w:softHyphen/>
        <w:t>действие противника нашей авиации было по</w:t>
      </w:r>
      <w:r w:rsidRPr="00D03F3E">
        <w:rPr>
          <w:rFonts w:ascii="Times New Roman" w:hAnsi="Times New Roman"/>
          <w:color w:val="000000" w:themeColor="text1"/>
          <w:sz w:val="16"/>
          <w:szCs w:val="16"/>
        </w:rPr>
        <w:softHyphen/>
        <w:t>давлено. Особенно повысилась продолжитель</w:t>
      </w:r>
      <w:r w:rsidRPr="00D03F3E">
        <w:rPr>
          <w:rFonts w:ascii="Times New Roman" w:hAnsi="Times New Roman"/>
          <w:color w:val="000000" w:themeColor="text1"/>
          <w:sz w:val="16"/>
          <w:szCs w:val="16"/>
        </w:rPr>
        <w:softHyphen/>
        <w:t>ность службы штурмовиков - до 59 самолето</w:t>
      </w:r>
      <w:r w:rsidRPr="00D03F3E">
        <w:rPr>
          <w:rFonts w:ascii="Times New Roman" w:hAnsi="Times New Roman"/>
          <w:color w:val="000000" w:themeColor="text1"/>
          <w:sz w:val="16"/>
          <w:szCs w:val="16"/>
        </w:rPr>
        <w:softHyphen/>
        <w:t>вылетов на одну боевую потерю, что в 2,2 раза выше средних цифр.</w:t>
      </w:r>
    </w:p>
    <w:p w14:paraId="6381A7B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Совсем иная обстановка сложилась на Ка</w:t>
      </w:r>
      <w:r w:rsidRPr="00D03F3E">
        <w:rPr>
          <w:rFonts w:ascii="Times New Roman" w:hAnsi="Times New Roman"/>
          <w:color w:val="000000" w:themeColor="text1"/>
          <w:sz w:val="16"/>
          <w:szCs w:val="16"/>
        </w:rPr>
        <w:softHyphen/>
        <w:t>лининском фронте в октябре 1942 г. - январе 1943 г. Наступление здесь большого успеха не имело (в смысле захвата территории), поэто</w:t>
      </w:r>
      <w:r w:rsidRPr="00D03F3E">
        <w:rPr>
          <w:rFonts w:ascii="Times New Roman" w:hAnsi="Times New Roman"/>
          <w:color w:val="000000" w:themeColor="text1"/>
          <w:sz w:val="16"/>
          <w:szCs w:val="16"/>
        </w:rPr>
        <w:softHyphen/>
        <w:t>му целостность системы ПВО войск и объек</w:t>
      </w:r>
      <w:r w:rsidRPr="00D03F3E">
        <w:rPr>
          <w:rFonts w:ascii="Times New Roman" w:hAnsi="Times New Roman"/>
          <w:color w:val="000000" w:themeColor="text1"/>
          <w:sz w:val="16"/>
          <w:szCs w:val="16"/>
        </w:rPr>
        <w:softHyphen/>
        <w:t>тов противника нарушена не была. Следстви</w:t>
      </w:r>
      <w:r w:rsidRPr="00D03F3E">
        <w:rPr>
          <w:rFonts w:ascii="Times New Roman" w:hAnsi="Times New Roman"/>
          <w:color w:val="000000" w:themeColor="text1"/>
          <w:sz w:val="16"/>
          <w:szCs w:val="16"/>
        </w:rPr>
        <w:softHyphen/>
        <w:t>ем этого стал высокий процент потерь бомбар</w:t>
      </w:r>
      <w:r w:rsidRPr="00D03F3E">
        <w:rPr>
          <w:rFonts w:ascii="Times New Roman" w:hAnsi="Times New Roman"/>
          <w:color w:val="000000" w:themeColor="text1"/>
          <w:sz w:val="16"/>
          <w:szCs w:val="16"/>
        </w:rPr>
        <w:softHyphen/>
        <w:t>дировщиков и штурмовиков от зенитного огня. Кроме того, противник имел достаточное коли</w:t>
      </w:r>
      <w:r w:rsidRPr="00D03F3E">
        <w:rPr>
          <w:rFonts w:ascii="Times New Roman" w:hAnsi="Times New Roman"/>
          <w:color w:val="000000" w:themeColor="text1"/>
          <w:sz w:val="16"/>
          <w:szCs w:val="16"/>
        </w:rPr>
        <w:softHyphen/>
        <w:t>чество авиации для того, чтобы активно про</w:t>
      </w:r>
      <w:r w:rsidRPr="00D03F3E">
        <w:rPr>
          <w:rFonts w:ascii="Times New Roman" w:hAnsi="Times New Roman"/>
          <w:color w:val="000000" w:themeColor="text1"/>
          <w:sz w:val="16"/>
          <w:szCs w:val="16"/>
        </w:rPr>
        <w:softHyphen/>
        <w:t>тиводействовать в воздухе нашей авиации. В довершение всего штурмовики и бомбарди</w:t>
      </w:r>
      <w:r w:rsidRPr="00D03F3E">
        <w:rPr>
          <w:rFonts w:ascii="Times New Roman" w:hAnsi="Times New Roman"/>
          <w:color w:val="000000" w:themeColor="text1"/>
          <w:sz w:val="16"/>
          <w:szCs w:val="16"/>
        </w:rPr>
        <w:softHyphen/>
        <w:t>ровщики из-за плохих метеоусловий были вы</w:t>
      </w:r>
      <w:r w:rsidRPr="00D03F3E">
        <w:rPr>
          <w:rFonts w:ascii="Times New Roman" w:hAnsi="Times New Roman"/>
          <w:color w:val="000000" w:themeColor="text1"/>
          <w:sz w:val="16"/>
          <w:szCs w:val="16"/>
        </w:rPr>
        <w:softHyphen/>
        <w:t>нуждены вести боевую работу с очень малых высот и зачастую без прикрытия истребителей. Все это обусловило значительно меньшую про</w:t>
      </w:r>
      <w:r w:rsidRPr="00D03F3E">
        <w:rPr>
          <w:rFonts w:ascii="Times New Roman" w:hAnsi="Times New Roman"/>
          <w:color w:val="000000" w:themeColor="text1"/>
          <w:sz w:val="16"/>
          <w:szCs w:val="16"/>
        </w:rPr>
        <w:softHyphen/>
        <w:t>должительность службы бомбардировщиков и штурмовиков - 30 самолетовылетов (55 ч нале</w:t>
      </w:r>
      <w:r w:rsidRPr="00D03F3E">
        <w:rPr>
          <w:rFonts w:ascii="Times New Roman" w:hAnsi="Times New Roman"/>
          <w:color w:val="000000" w:themeColor="text1"/>
          <w:sz w:val="16"/>
          <w:szCs w:val="16"/>
        </w:rPr>
        <w:softHyphen/>
        <w:t>та) и 17 самолетовылетов (15 ч налета) на одну боевую потерю соответственно.</w:t>
      </w:r>
    </w:p>
    <w:p w14:paraId="000D0D3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Наконец, огромное влияние на продолжи</w:t>
      </w:r>
      <w:r w:rsidRPr="00D03F3E">
        <w:rPr>
          <w:rFonts w:ascii="Times New Roman" w:hAnsi="Times New Roman"/>
          <w:color w:val="000000" w:themeColor="text1"/>
          <w:sz w:val="16"/>
          <w:szCs w:val="16"/>
        </w:rPr>
        <w:softHyphen/>
        <w:t>тельность службы самолетов имел уровень бо</w:t>
      </w:r>
      <w:r w:rsidRPr="00D03F3E">
        <w:rPr>
          <w:rFonts w:ascii="Times New Roman" w:hAnsi="Times New Roman"/>
          <w:color w:val="000000" w:themeColor="text1"/>
          <w:sz w:val="16"/>
          <w:szCs w:val="16"/>
        </w:rPr>
        <w:softHyphen/>
        <w:t>евой подготовки летного состава.</w:t>
      </w:r>
    </w:p>
    <w:p w14:paraId="0FC11E7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Наиболее показательной иллюстрацией этого положения является сравнение потерь ис</w:t>
      </w:r>
      <w:r w:rsidRPr="00D03F3E">
        <w:rPr>
          <w:rFonts w:ascii="Times New Roman" w:hAnsi="Times New Roman"/>
          <w:color w:val="000000" w:themeColor="text1"/>
          <w:sz w:val="16"/>
          <w:szCs w:val="16"/>
        </w:rPr>
        <w:softHyphen/>
        <w:t>требителей 8-й ВА, действовавших на Сталин</w:t>
      </w:r>
      <w:r w:rsidRPr="00D03F3E">
        <w:rPr>
          <w:rFonts w:ascii="Times New Roman" w:hAnsi="Times New Roman"/>
          <w:color w:val="000000" w:themeColor="text1"/>
          <w:sz w:val="16"/>
          <w:szCs w:val="16"/>
        </w:rPr>
        <w:softHyphen/>
        <w:t>градском фронте в сентябре-октябре 1942 г., 4-й и 5-й ВА за март-апрель 1943 г. на Северо-Кавказском фронте. Количественное соотно</w:t>
      </w:r>
      <w:r w:rsidRPr="00D03F3E">
        <w:rPr>
          <w:rFonts w:ascii="Times New Roman" w:hAnsi="Times New Roman"/>
          <w:color w:val="000000" w:themeColor="text1"/>
          <w:sz w:val="16"/>
          <w:szCs w:val="16"/>
        </w:rPr>
        <w:softHyphen/>
        <w:t>шение истребителей на фронтах и противодей</w:t>
      </w:r>
      <w:r w:rsidRPr="00D03F3E">
        <w:rPr>
          <w:rFonts w:ascii="Times New Roman" w:hAnsi="Times New Roman"/>
          <w:color w:val="000000" w:themeColor="text1"/>
          <w:sz w:val="16"/>
          <w:szCs w:val="16"/>
        </w:rPr>
        <w:softHyphen/>
        <w:t>ствие противника боевой работе нашей авиа</w:t>
      </w:r>
      <w:r w:rsidRPr="00D03F3E">
        <w:rPr>
          <w:rFonts w:ascii="Times New Roman" w:hAnsi="Times New Roman"/>
          <w:color w:val="000000" w:themeColor="text1"/>
          <w:sz w:val="16"/>
          <w:szCs w:val="16"/>
        </w:rPr>
        <w:softHyphen/>
        <w:t>ции в обоих случаях было примерно одинако</w:t>
      </w:r>
      <w:r w:rsidRPr="00D03F3E">
        <w:rPr>
          <w:rFonts w:ascii="Times New Roman" w:hAnsi="Times New Roman"/>
          <w:color w:val="000000" w:themeColor="text1"/>
          <w:sz w:val="16"/>
          <w:szCs w:val="16"/>
        </w:rPr>
        <w:softHyphen/>
        <w:t>вым. Однако качество подготовки летчиков в марте-апреле 1943 г. было выше, чем в сентя</w:t>
      </w:r>
      <w:r w:rsidRPr="00D03F3E">
        <w:rPr>
          <w:rFonts w:ascii="Times New Roman" w:hAnsi="Times New Roman"/>
          <w:color w:val="000000" w:themeColor="text1"/>
          <w:sz w:val="16"/>
          <w:szCs w:val="16"/>
        </w:rPr>
        <w:softHyphen/>
        <w:t>бре-октябре 1942 г., когда обстановка на Ста</w:t>
      </w:r>
      <w:r w:rsidRPr="00D03F3E">
        <w:rPr>
          <w:rFonts w:ascii="Times New Roman" w:hAnsi="Times New Roman"/>
          <w:color w:val="000000" w:themeColor="text1"/>
          <w:sz w:val="16"/>
          <w:szCs w:val="16"/>
        </w:rPr>
        <w:softHyphen/>
        <w:t>линградском фронте вынуждала вводить в бой недостаточно подготовленные истребительные авиаполки.</w:t>
      </w:r>
    </w:p>
    <w:p w14:paraId="7EB9D3F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Средняя продолжительность боевой служ</w:t>
      </w:r>
      <w:r w:rsidRPr="00D03F3E">
        <w:rPr>
          <w:rFonts w:ascii="Times New Roman" w:hAnsi="Times New Roman"/>
          <w:color w:val="000000" w:themeColor="text1"/>
          <w:sz w:val="16"/>
          <w:szCs w:val="16"/>
        </w:rPr>
        <w:softHyphen/>
        <w:t>бы истребителей на Сталинградском фронте составляла 23 самолетовылетов (20 ч налета) на одну потерю, тогда как на Северо-Кавказском фронте при тех же условиях боевой работы она равнялась 41 самолетовылетам (45 ч налета).</w:t>
      </w:r>
    </w:p>
    <w:p w14:paraId="3A062024"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этом необходимо иметь в виду, что из 18 истребительных авиаполков, действо</w:t>
      </w:r>
      <w:r w:rsidRPr="00D03F3E">
        <w:rPr>
          <w:rFonts w:ascii="Times New Roman" w:hAnsi="Times New Roman"/>
          <w:color w:val="000000" w:themeColor="text1"/>
          <w:sz w:val="16"/>
          <w:szCs w:val="16"/>
        </w:rPr>
        <w:softHyphen/>
        <w:t>вавших в составе 8-й ВА в сентябре-октябре 1942 г. на Сталинградском фронте, девять пол</w:t>
      </w:r>
      <w:r w:rsidRPr="00D03F3E">
        <w:rPr>
          <w:rFonts w:ascii="Times New Roman" w:hAnsi="Times New Roman"/>
          <w:color w:val="000000" w:themeColor="text1"/>
          <w:sz w:val="16"/>
          <w:szCs w:val="16"/>
        </w:rPr>
        <w:softHyphen/>
        <w:t>ков имели на вооружении самолеты Як-1, три полка - Як-7, четыре полка - Ла-5, один полк - ЛаГГ-3 и один полк - Р-40Е «Киттихаук». То есть располагали вполне современной мате</w:t>
      </w:r>
      <w:r w:rsidRPr="00D03F3E">
        <w:rPr>
          <w:rFonts w:ascii="Times New Roman" w:hAnsi="Times New Roman"/>
          <w:color w:val="000000" w:themeColor="text1"/>
          <w:sz w:val="16"/>
          <w:szCs w:val="16"/>
        </w:rPr>
        <w:softHyphen/>
        <w:t>риальной частью.</w:t>
      </w:r>
    </w:p>
    <w:p w14:paraId="180BD25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7427 самолетовылетов истребителей 4-й и 5-й ВА, выполненных в марте-апреле 1942 г., 1854 самолетовылетов приходится на долю устаревших самолетов И-15бис, И-153 и И-16, а 2573 - на истребители ЛаГГ-3. Потери последних были несколько выше средних по</w:t>
      </w:r>
      <w:r w:rsidRPr="00D03F3E">
        <w:rPr>
          <w:rFonts w:ascii="Times New Roman" w:hAnsi="Times New Roman"/>
          <w:color w:val="000000" w:themeColor="text1"/>
          <w:sz w:val="16"/>
          <w:szCs w:val="16"/>
        </w:rPr>
        <w:softHyphen/>
        <w:t>терь по 4-й и 5-й ВА в целом за рассматрива</w:t>
      </w:r>
      <w:r w:rsidRPr="00D03F3E">
        <w:rPr>
          <w:rFonts w:ascii="Times New Roman" w:hAnsi="Times New Roman"/>
          <w:color w:val="000000" w:themeColor="text1"/>
          <w:sz w:val="16"/>
          <w:szCs w:val="16"/>
        </w:rPr>
        <w:softHyphen/>
        <w:t>емый период. Средняя продолжительность бо</w:t>
      </w:r>
      <w:r w:rsidRPr="00D03F3E">
        <w:rPr>
          <w:rFonts w:ascii="Times New Roman" w:hAnsi="Times New Roman"/>
          <w:color w:val="000000" w:themeColor="text1"/>
          <w:sz w:val="16"/>
          <w:szCs w:val="16"/>
        </w:rPr>
        <w:softHyphen/>
        <w:t>евой службы истребителей Як-1, Як-7, Ла-5, Р-40Е «Киттихаук» и Р-39 «Аэрокобра» за пери</w:t>
      </w:r>
      <w:r w:rsidRPr="00D03F3E">
        <w:rPr>
          <w:rFonts w:ascii="Times New Roman" w:hAnsi="Times New Roman"/>
          <w:color w:val="000000" w:themeColor="text1"/>
          <w:sz w:val="16"/>
          <w:szCs w:val="16"/>
        </w:rPr>
        <w:softHyphen/>
        <w:t>од март-апрель 1943 г. по Северо-Кавказскому фронту оказалась значительно выше среднего уровня - 48 самолетовылетов (58 ч налета).</w:t>
      </w:r>
    </w:p>
    <w:p w14:paraId="1890C4C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Наибольшую продолжительность боевой службы показал легкий ночной бомбардиров</w:t>
      </w:r>
      <w:r w:rsidRPr="00D03F3E">
        <w:rPr>
          <w:rFonts w:ascii="Times New Roman" w:hAnsi="Times New Roman"/>
          <w:color w:val="000000" w:themeColor="text1"/>
          <w:sz w:val="16"/>
          <w:szCs w:val="16"/>
        </w:rPr>
        <w:softHyphen/>
        <w:t>щик У-2 - 609 самолетовылетов (1105 ч боево</w:t>
      </w:r>
      <w:r w:rsidRPr="00D03F3E">
        <w:rPr>
          <w:rFonts w:ascii="Times New Roman" w:hAnsi="Times New Roman"/>
          <w:color w:val="000000" w:themeColor="text1"/>
          <w:sz w:val="16"/>
          <w:szCs w:val="16"/>
        </w:rPr>
        <w:softHyphen/>
        <w:t>го налета). Значительно меньшую продолжи</w:t>
      </w:r>
      <w:r w:rsidRPr="00D03F3E">
        <w:rPr>
          <w:rFonts w:ascii="Times New Roman" w:hAnsi="Times New Roman"/>
          <w:color w:val="000000" w:themeColor="text1"/>
          <w:sz w:val="16"/>
          <w:szCs w:val="16"/>
        </w:rPr>
        <w:softHyphen/>
        <w:t>тельность, чем У-2, имел другой ночной бом</w:t>
      </w:r>
      <w:r w:rsidRPr="00D03F3E">
        <w:rPr>
          <w:rFonts w:ascii="Times New Roman" w:hAnsi="Times New Roman"/>
          <w:color w:val="000000" w:themeColor="text1"/>
          <w:sz w:val="16"/>
          <w:szCs w:val="16"/>
        </w:rPr>
        <w:softHyphen/>
        <w:t>бардировщик - Р-5. Это объясняется частич</w:t>
      </w:r>
      <w:r w:rsidRPr="00D03F3E">
        <w:rPr>
          <w:rFonts w:ascii="Times New Roman" w:hAnsi="Times New Roman"/>
          <w:color w:val="000000" w:themeColor="text1"/>
          <w:sz w:val="16"/>
          <w:szCs w:val="16"/>
        </w:rPr>
        <w:softHyphen/>
        <w:t>ным использованием его в качестве дневного бомбардировщика, а также меньшей манев</w:t>
      </w:r>
      <w:r w:rsidRPr="00D03F3E">
        <w:rPr>
          <w:rFonts w:ascii="Times New Roman" w:hAnsi="Times New Roman"/>
          <w:color w:val="000000" w:themeColor="text1"/>
          <w:sz w:val="16"/>
          <w:szCs w:val="16"/>
        </w:rPr>
        <w:softHyphen/>
        <w:t>ренностью и худшими летными качествами на планировании, вследствие чего на Р-5 было «труднее обеспечить внезапность выхода на цель при действиях ночью».</w:t>
      </w:r>
    </w:p>
    <w:p w14:paraId="04D994C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Американский бомбардировщик А-20 «Бо</w:t>
      </w:r>
      <w:r w:rsidRPr="00D03F3E">
        <w:rPr>
          <w:rFonts w:ascii="Times New Roman" w:hAnsi="Times New Roman"/>
          <w:color w:val="000000" w:themeColor="text1"/>
          <w:sz w:val="16"/>
          <w:szCs w:val="16"/>
        </w:rPr>
        <w:softHyphen/>
        <w:t>стон» по сравнению с Пе-2 показал в 1,6 раза меньшую продолжительность службы, что яв</w:t>
      </w:r>
      <w:r w:rsidRPr="00D03F3E">
        <w:rPr>
          <w:rFonts w:ascii="Times New Roman" w:hAnsi="Times New Roman"/>
          <w:color w:val="000000" w:themeColor="text1"/>
          <w:sz w:val="16"/>
          <w:szCs w:val="16"/>
        </w:rPr>
        <w:softHyphen/>
        <w:t>лялось «следствием малой живучести самоле</w:t>
      </w:r>
      <w:r w:rsidRPr="00D03F3E">
        <w:rPr>
          <w:rFonts w:ascii="Times New Roman" w:hAnsi="Times New Roman"/>
          <w:color w:val="000000" w:themeColor="text1"/>
          <w:sz w:val="16"/>
          <w:szCs w:val="16"/>
        </w:rPr>
        <w:softHyphen/>
        <w:t>та А-20, так как наличие на нем большого за</w:t>
      </w:r>
      <w:r w:rsidRPr="00D03F3E">
        <w:rPr>
          <w:rFonts w:ascii="Times New Roman" w:hAnsi="Times New Roman"/>
          <w:color w:val="000000" w:themeColor="text1"/>
          <w:sz w:val="16"/>
          <w:szCs w:val="16"/>
        </w:rPr>
        <w:softHyphen/>
        <w:t>паса горючего, сложной гидросистемы, элек</w:t>
      </w:r>
      <w:r w:rsidRPr="00D03F3E">
        <w:rPr>
          <w:rFonts w:ascii="Times New Roman" w:hAnsi="Times New Roman"/>
          <w:color w:val="000000" w:themeColor="text1"/>
          <w:sz w:val="16"/>
          <w:szCs w:val="16"/>
        </w:rPr>
        <w:softHyphen/>
        <w:t>тропроводки и большого числа всевозможных трубок, незащищенных от пулеметного огня и осколков снарядов». В среднем на одну по</w:t>
      </w:r>
      <w:r w:rsidRPr="00D03F3E">
        <w:rPr>
          <w:rFonts w:ascii="Times New Roman" w:hAnsi="Times New Roman"/>
          <w:color w:val="000000" w:themeColor="text1"/>
          <w:sz w:val="16"/>
          <w:szCs w:val="16"/>
        </w:rPr>
        <w:softHyphen/>
        <w:t>терю «Бостона» пришлось 39 самолетовыле</w:t>
      </w:r>
      <w:r w:rsidRPr="00D03F3E">
        <w:rPr>
          <w:rFonts w:ascii="Times New Roman" w:hAnsi="Times New Roman"/>
          <w:color w:val="000000" w:themeColor="text1"/>
          <w:sz w:val="16"/>
          <w:szCs w:val="16"/>
        </w:rPr>
        <w:softHyphen/>
        <w:t>тов (60 ч налета), а Пе-2 - 57 самолетовылетов (70 ч налета).</w:t>
      </w:r>
    </w:p>
    <w:p w14:paraId="2A2C8C2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Боевой налет на одну потерю истребите</w:t>
      </w:r>
      <w:r w:rsidRPr="00D03F3E">
        <w:rPr>
          <w:rFonts w:ascii="Times New Roman" w:hAnsi="Times New Roman"/>
          <w:color w:val="000000" w:themeColor="text1"/>
          <w:sz w:val="16"/>
          <w:szCs w:val="16"/>
        </w:rPr>
        <w:softHyphen/>
        <w:t>лей колебался в зависимости от типа самоле</w:t>
      </w:r>
      <w:r w:rsidRPr="00D03F3E">
        <w:rPr>
          <w:rFonts w:ascii="Times New Roman" w:hAnsi="Times New Roman"/>
          <w:color w:val="000000" w:themeColor="text1"/>
          <w:sz w:val="16"/>
          <w:szCs w:val="16"/>
        </w:rPr>
        <w:softHyphen/>
        <w:t>та в широком диапазоне. Наивысший показа</w:t>
      </w:r>
      <w:r w:rsidRPr="00D03F3E">
        <w:rPr>
          <w:rFonts w:ascii="Times New Roman" w:hAnsi="Times New Roman"/>
          <w:color w:val="000000" w:themeColor="text1"/>
          <w:sz w:val="16"/>
          <w:szCs w:val="16"/>
        </w:rPr>
        <w:softHyphen/>
        <w:t>тель боевого налета, равный 183 самолетовы</w:t>
      </w:r>
      <w:r w:rsidRPr="00D03F3E">
        <w:rPr>
          <w:rFonts w:ascii="Times New Roman" w:hAnsi="Times New Roman"/>
          <w:color w:val="000000" w:themeColor="text1"/>
          <w:sz w:val="16"/>
          <w:szCs w:val="16"/>
        </w:rPr>
        <w:softHyphen/>
        <w:t>летам (165 ч налета), имели самолеты Р-40Е «Киттихаук». Большая продолжительность их службы объяснялась наличием мощного стрел</w:t>
      </w:r>
      <w:r w:rsidRPr="00D03F3E">
        <w:rPr>
          <w:rFonts w:ascii="Times New Roman" w:hAnsi="Times New Roman"/>
          <w:color w:val="000000" w:themeColor="text1"/>
          <w:sz w:val="16"/>
          <w:szCs w:val="16"/>
        </w:rPr>
        <w:softHyphen/>
        <w:t>кового вооружения (шесть крупнокалиберных пулеметов «Кольт-Браунинг»), дававшего пре</w:t>
      </w:r>
      <w:r w:rsidRPr="00D03F3E">
        <w:rPr>
          <w:rFonts w:ascii="Times New Roman" w:hAnsi="Times New Roman"/>
          <w:color w:val="000000" w:themeColor="text1"/>
          <w:sz w:val="16"/>
          <w:szCs w:val="16"/>
        </w:rPr>
        <w:softHyphen/>
        <w:t>имущество в воздушном бою при стрельбе на относительно больших дальностях, хорошей горизонтальной маневренностью и лучшим (по сравнению с отечественными самолетами) бронированием летчика.</w:t>
      </w:r>
    </w:p>
    <w:p w14:paraId="0A08839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Здесь следует сказать, что почти все ино</w:t>
      </w:r>
      <w:r w:rsidRPr="00D03F3E">
        <w:rPr>
          <w:rFonts w:ascii="Times New Roman" w:hAnsi="Times New Roman"/>
          <w:color w:val="000000" w:themeColor="text1"/>
          <w:sz w:val="16"/>
          <w:szCs w:val="16"/>
        </w:rPr>
        <w:softHyphen/>
        <w:t>странные самолеты показывали лучший (во всяком случае, далеко не худший) налет на одну боевую потерю, чем советские истреби</w:t>
      </w:r>
      <w:r w:rsidRPr="00D03F3E">
        <w:rPr>
          <w:rFonts w:ascii="Times New Roman" w:hAnsi="Times New Roman"/>
          <w:color w:val="000000" w:themeColor="text1"/>
          <w:sz w:val="16"/>
          <w:szCs w:val="16"/>
        </w:rPr>
        <w:softHyphen/>
        <w:t>тели новых типов. Так, налет на одну боевую потерю у Р-40 «Томахаук» составил 115, у «Хар- рикейна» НВ - 118, у Р-39 «Аэрокобра» - 43 са</w:t>
      </w:r>
      <w:r w:rsidRPr="00D03F3E">
        <w:rPr>
          <w:rFonts w:ascii="Times New Roman" w:hAnsi="Times New Roman"/>
          <w:color w:val="000000" w:themeColor="text1"/>
          <w:sz w:val="16"/>
          <w:szCs w:val="16"/>
        </w:rPr>
        <w:softHyphen/>
        <w:t>молетовылетов.</w:t>
      </w:r>
    </w:p>
    <w:p w14:paraId="03AC004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обстоятельство объяснялось специа</w:t>
      </w:r>
      <w:r w:rsidRPr="00D03F3E">
        <w:rPr>
          <w:rFonts w:ascii="Times New Roman" w:hAnsi="Times New Roman"/>
          <w:color w:val="000000" w:themeColor="text1"/>
          <w:sz w:val="16"/>
          <w:szCs w:val="16"/>
        </w:rPr>
        <w:softHyphen/>
        <w:t>листами оперативного управления штаба ВВС КА значительно лучшим бронированием ино</w:t>
      </w:r>
      <w:r w:rsidRPr="00D03F3E">
        <w:rPr>
          <w:rFonts w:ascii="Times New Roman" w:hAnsi="Times New Roman"/>
          <w:color w:val="000000" w:themeColor="text1"/>
          <w:sz w:val="16"/>
          <w:szCs w:val="16"/>
        </w:rPr>
        <w:softHyphen/>
        <w:t>странных истребителей, которые помимо бро</w:t>
      </w:r>
      <w:r w:rsidRPr="00D03F3E">
        <w:rPr>
          <w:rFonts w:ascii="Times New Roman" w:hAnsi="Times New Roman"/>
          <w:color w:val="000000" w:themeColor="text1"/>
          <w:sz w:val="16"/>
          <w:szCs w:val="16"/>
        </w:rPr>
        <w:softHyphen/>
        <w:t>неспинки и бронекозырька, как на советских машинах, имели еще и броненадголовник. Кро</w:t>
      </w:r>
      <w:r w:rsidRPr="00D03F3E">
        <w:rPr>
          <w:rFonts w:ascii="Times New Roman" w:hAnsi="Times New Roman"/>
          <w:color w:val="000000" w:themeColor="text1"/>
          <w:sz w:val="16"/>
          <w:szCs w:val="16"/>
        </w:rPr>
        <w:softHyphen/>
        <w:t>ме этого, у «Харрикейна» дополнительно стоя</w:t>
      </w:r>
      <w:r w:rsidRPr="00D03F3E">
        <w:rPr>
          <w:rFonts w:ascii="Times New Roman" w:hAnsi="Times New Roman"/>
          <w:color w:val="000000" w:themeColor="text1"/>
          <w:sz w:val="16"/>
          <w:szCs w:val="16"/>
        </w:rPr>
        <w:softHyphen/>
        <w:t xml:space="preserve">ли плиты впереди </w:t>
      </w:r>
      <w:r w:rsidRPr="00D03F3E">
        <w:rPr>
          <w:rFonts w:ascii="Times New Roman" w:hAnsi="Times New Roman"/>
          <w:color w:val="000000" w:themeColor="text1"/>
          <w:sz w:val="16"/>
          <w:szCs w:val="16"/>
        </w:rPr>
        <w:lastRenderedPageBreak/>
        <w:t>расширительного^ резерв</w:t>
      </w:r>
      <w:r w:rsidRPr="00D03F3E">
        <w:rPr>
          <w:rFonts w:ascii="Times New Roman" w:hAnsi="Times New Roman"/>
          <w:color w:val="000000" w:themeColor="text1"/>
          <w:sz w:val="16"/>
          <w:szCs w:val="16"/>
        </w:rPr>
        <w:softHyphen/>
        <w:t>ного баков, у «Киттихаука» - бронеплиты перед приборной доской и спереди бачка с охлажда</w:t>
      </w:r>
      <w:r w:rsidRPr="00D03F3E">
        <w:rPr>
          <w:rFonts w:ascii="Times New Roman" w:hAnsi="Times New Roman"/>
          <w:color w:val="000000" w:themeColor="text1"/>
          <w:sz w:val="16"/>
          <w:szCs w:val="16"/>
        </w:rPr>
        <w:softHyphen/>
        <w:t>ющей жидкостью, а у «Аэрокобры» - бронепли</w:t>
      </w:r>
      <w:r w:rsidRPr="00D03F3E">
        <w:rPr>
          <w:rFonts w:ascii="Times New Roman" w:hAnsi="Times New Roman"/>
          <w:color w:val="000000" w:themeColor="text1"/>
          <w:sz w:val="16"/>
          <w:szCs w:val="16"/>
        </w:rPr>
        <w:softHyphen/>
        <w:t>ты перед редуктором, за мотором и по бокам кислородных баллонов.</w:t>
      </w:r>
    </w:p>
    <w:p w14:paraId="7893A33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главное, истребительные полки на ино-' странной материальной части имели на своих самолетах прекрасно работающие радиостан</w:t>
      </w:r>
      <w:r w:rsidRPr="00D03F3E">
        <w:rPr>
          <w:rFonts w:ascii="Times New Roman" w:hAnsi="Times New Roman"/>
          <w:color w:val="000000" w:themeColor="text1"/>
          <w:sz w:val="16"/>
          <w:szCs w:val="16"/>
        </w:rPr>
        <w:softHyphen/>
        <w:t>ции, что обеспечивало в бою управление дей</w:t>
      </w:r>
      <w:r w:rsidRPr="00D03F3E">
        <w:rPr>
          <w:rFonts w:ascii="Times New Roman" w:hAnsi="Times New Roman"/>
          <w:color w:val="000000" w:themeColor="text1"/>
          <w:sz w:val="16"/>
          <w:szCs w:val="16"/>
        </w:rPr>
        <w:softHyphen/>
        <w:t>ствиями летчиков по радио. Завязка воздушно</w:t>
      </w:r>
      <w:r w:rsidRPr="00D03F3E">
        <w:rPr>
          <w:rFonts w:ascii="Times New Roman" w:hAnsi="Times New Roman"/>
          <w:color w:val="000000" w:themeColor="text1"/>
          <w:sz w:val="16"/>
          <w:szCs w:val="16"/>
        </w:rPr>
        <w:softHyphen/>
        <w:t>го боя, сам бой и выход из него проходили ор</w:t>
      </w:r>
      <w:r w:rsidRPr="00D03F3E">
        <w:rPr>
          <w:rFonts w:ascii="Times New Roman" w:hAnsi="Times New Roman"/>
          <w:color w:val="000000" w:themeColor="text1"/>
          <w:sz w:val="16"/>
          <w:szCs w:val="16"/>
        </w:rPr>
        <w:softHyphen/>
        <w:t>ганизованно.</w:t>
      </w:r>
    </w:p>
    <w:p w14:paraId="52EA809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Средний налет на одну боевую потерю по всем фронтам за период июнь 1941 г. - март 1943 г.</w:t>
      </w:r>
    </w:p>
    <w:p w14:paraId="0954703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данным 2-го отдела ОУ штаба ВВС КА, 23 июня 1943 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605"/>
        <w:gridCol w:w="605"/>
        <w:gridCol w:w="763"/>
        <w:gridCol w:w="408"/>
        <w:gridCol w:w="576"/>
        <w:gridCol w:w="691"/>
        <w:gridCol w:w="782"/>
        <w:gridCol w:w="480"/>
        <w:gridCol w:w="1162"/>
        <w:gridCol w:w="566"/>
        <w:gridCol w:w="696"/>
        <w:gridCol w:w="562"/>
      </w:tblGrid>
      <w:tr w:rsidR="00860B4B" w:rsidRPr="00D03F3E" w14:paraId="5D33420A" w14:textId="77777777" w:rsidTr="00CA6303">
        <w:trPr>
          <w:trHeight w:val="274"/>
        </w:trPr>
        <w:tc>
          <w:tcPr>
            <w:tcW w:w="1210" w:type="dxa"/>
            <w:gridSpan w:val="2"/>
            <w:shd w:val="clear" w:color="auto" w:fill="FFFFFF"/>
          </w:tcPr>
          <w:p w14:paraId="0760858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Учтенные</w:t>
            </w:r>
          </w:p>
        </w:tc>
        <w:tc>
          <w:tcPr>
            <w:tcW w:w="763" w:type="dxa"/>
            <w:shd w:val="clear" w:color="auto" w:fill="FFFFFF"/>
          </w:tcPr>
          <w:p w14:paraId="1CF06132" w14:textId="77777777" w:rsidR="0066261B" w:rsidRPr="00D03F3E" w:rsidRDefault="0066261B" w:rsidP="00D03F3E">
            <w:pPr>
              <w:spacing w:after="0" w:line="240" w:lineRule="auto"/>
              <w:jc w:val="both"/>
              <w:rPr>
                <w:rFonts w:ascii="Times New Roman" w:hAnsi="Times New Roman"/>
                <w:color w:val="000000" w:themeColor="text1"/>
                <w:sz w:val="16"/>
                <w:szCs w:val="16"/>
              </w:rPr>
            </w:pPr>
          </w:p>
        </w:tc>
        <w:tc>
          <w:tcPr>
            <w:tcW w:w="408" w:type="dxa"/>
            <w:shd w:val="clear" w:color="auto" w:fill="FFFFFF"/>
          </w:tcPr>
          <w:p w14:paraId="4CCD6F04" w14:textId="77777777" w:rsidR="0066261B" w:rsidRPr="00D03F3E" w:rsidRDefault="0066261B" w:rsidP="00D03F3E">
            <w:pPr>
              <w:spacing w:after="0" w:line="240" w:lineRule="auto"/>
              <w:jc w:val="both"/>
              <w:rPr>
                <w:rFonts w:ascii="Times New Roman" w:hAnsi="Times New Roman"/>
                <w:color w:val="000000" w:themeColor="text1"/>
                <w:sz w:val="16"/>
                <w:szCs w:val="16"/>
              </w:rPr>
            </w:pPr>
          </w:p>
        </w:tc>
        <w:tc>
          <w:tcPr>
            <w:tcW w:w="576" w:type="dxa"/>
            <w:shd w:val="clear" w:color="auto" w:fill="FFFFFF"/>
          </w:tcPr>
          <w:p w14:paraId="0028BA9C" w14:textId="77777777" w:rsidR="0066261B" w:rsidRPr="00D03F3E" w:rsidRDefault="0066261B" w:rsidP="00D03F3E">
            <w:pPr>
              <w:spacing w:after="0" w:line="240" w:lineRule="auto"/>
              <w:jc w:val="both"/>
              <w:rPr>
                <w:rFonts w:ascii="Times New Roman" w:hAnsi="Times New Roman"/>
                <w:color w:val="000000" w:themeColor="text1"/>
                <w:sz w:val="16"/>
                <w:szCs w:val="16"/>
              </w:rPr>
            </w:pPr>
          </w:p>
        </w:tc>
        <w:tc>
          <w:tcPr>
            <w:tcW w:w="1953" w:type="dxa"/>
            <w:gridSpan w:val="3"/>
            <w:shd w:val="clear" w:color="auto" w:fill="FFFFFF"/>
          </w:tcPr>
          <w:p w14:paraId="358B911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Боевые потери самолетов</w:t>
            </w:r>
          </w:p>
        </w:tc>
        <w:tc>
          <w:tcPr>
            <w:tcW w:w="1162" w:type="dxa"/>
            <w:shd w:val="clear" w:color="auto" w:fill="FFFFFF"/>
          </w:tcPr>
          <w:p w14:paraId="464A15D2" w14:textId="77777777" w:rsidR="0066261B" w:rsidRPr="00D03F3E" w:rsidRDefault="0066261B" w:rsidP="00D03F3E">
            <w:pPr>
              <w:spacing w:after="0" w:line="240" w:lineRule="auto"/>
              <w:jc w:val="both"/>
              <w:rPr>
                <w:rFonts w:ascii="Times New Roman" w:hAnsi="Times New Roman"/>
                <w:color w:val="000000" w:themeColor="text1"/>
                <w:sz w:val="16"/>
                <w:szCs w:val="16"/>
              </w:rPr>
            </w:pPr>
          </w:p>
        </w:tc>
        <w:tc>
          <w:tcPr>
            <w:tcW w:w="566" w:type="dxa"/>
            <w:shd w:val="clear" w:color="auto" w:fill="FFFFFF"/>
          </w:tcPr>
          <w:p w14:paraId="2333E1D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мШшш!</w:t>
            </w:r>
          </w:p>
        </w:tc>
        <w:tc>
          <w:tcPr>
            <w:tcW w:w="1258" w:type="dxa"/>
            <w:gridSpan w:val="2"/>
            <w:shd w:val="clear" w:color="auto" w:fill="FFFFFF"/>
          </w:tcPr>
          <w:p w14:paraId="186B088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w:t>
            </w:r>
          </w:p>
        </w:tc>
      </w:tr>
      <w:tr w:rsidR="00860B4B" w:rsidRPr="00D03F3E" w14:paraId="3661AFF3" w14:textId="77777777" w:rsidTr="00CA6303">
        <w:trPr>
          <w:trHeight w:val="341"/>
        </w:trPr>
        <w:tc>
          <w:tcPr>
            <w:tcW w:w="1210" w:type="dxa"/>
            <w:gridSpan w:val="2"/>
            <w:shd w:val="clear" w:color="auto" w:fill="FFFFFF"/>
          </w:tcPr>
          <w:p w14:paraId="1279646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в и налет</w:t>
            </w:r>
          </w:p>
        </w:tc>
        <w:tc>
          <w:tcPr>
            <w:tcW w:w="763" w:type="dxa"/>
            <w:shd w:val="clear" w:color="auto" w:fill="FFFFFF"/>
          </w:tcPr>
          <w:p w14:paraId="560DBD6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ИА</w:t>
            </w:r>
          </w:p>
        </w:tc>
        <w:tc>
          <w:tcPr>
            <w:tcW w:w="408" w:type="dxa"/>
            <w:shd w:val="clear" w:color="auto" w:fill="FFFFFF"/>
          </w:tcPr>
          <w:p w14:paraId="6827E72A" w14:textId="77777777" w:rsidR="0066261B" w:rsidRPr="00D03F3E" w:rsidRDefault="0066261B" w:rsidP="00D03F3E">
            <w:pPr>
              <w:spacing w:after="0" w:line="240" w:lineRule="auto"/>
              <w:jc w:val="both"/>
              <w:rPr>
                <w:rFonts w:ascii="Times New Roman" w:hAnsi="Times New Roman"/>
                <w:color w:val="000000" w:themeColor="text1"/>
                <w:sz w:val="16"/>
                <w:szCs w:val="16"/>
              </w:rPr>
            </w:pPr>
          </w:p>
        </w:tc>
        <w:tc>
          <w:tcPr>
            <w:tcW w:w="576" w:type="dxa"/>
            <w:shd w:val="clear" w:color="auto" w:fill="FFFFFF"/>
          </w:tcPr>
          <w:p w14:paraId="5DDC32CA" w14:textId="77777777" w:rsidR="0066261B" w:rsidRPr="00D03F3E" w:rsidRDefault="0066261B" w:rsidP="00D03F3E">
            <w:pPr>
              <w:spacing w:after="0" w:line="240" w:lineRule="auto"/>
              <w:jc w:val="both"/>
              <w:rPr>
                <w:rFonts w:ascii="Times New Roman" w:hAnsi="Times New Roman"/>
                <w:color w:val="000000" w:themeColor="text1"/>
                <w:sz w:val="16"/>
                <w:szCs w:val="16"/>
              </w:rPr>
            </w:pPr>
          </w:p>
        </w:tc>
        <w:tc>
          <w:tcPr>
            <w:tcW w:w="691" w:type="dxa"/>
            <w:shd w:val="clear" w:color="auto" w:fill="FFFFFF"/>
          </w:tcPr>
          <w:p w14:paraId="639544E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w:t>
            </w:r>
          </w:p>
          <w:p w14:paraId="708028E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4г ■ </w:t>
            </w:r>
            <w:r w:rsidRPr="00D03F3E">
              <w:rPr>
                <w:rFonts w:ascii="Times New Roman" w:hAnsi="Times New Roman"/>
                <w:color w:val="000000" w:themeColor="text1"/>
                <w:sz w:val="16"/>
                <w:szCs w:val="16"/>
              </w:rPr>
              <w:tab/>
            </w:r>
            <w:r w:rsidRPr="00D03F3E">
              <w:rPr>
                <w:rFonts w:ascii="Times New Roman" w:hAnsi="Times New Roman"/>
                <w:color w:val="000000" w:themeColor="text1"/>
                <w:sz w:val="16"/>
                <w:szCs w:val="16"/>
              </w:rPr>
              <w:tab/>
            </w:r>
            <w:r w:rsidRPr="00D03F3E">
              <w:rPr>
                <w:rFonts w:ascii="Times New Roman" w:hAnsi="Times New Roman"/>
                <w:color w:val="000000" w:themeColor="text1"/>
                <w:sz w:val="16"/>
                <w:szCs w:val="16"/>
              </w:rPr>
              <w:tab/>
            </w:r>
          </w:p>
        </w:tc>
        <w:tc>
          <w:tcPr>
            <w:tcW w:w="782" w:type="dxa"/>
            <w:shd w:val="clear" w:color="auto" w:fill="FFFFFF"/>
          </w:tcPr>
          <w:p w14:paraId="7FAD21F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нбз</w:t>
            </w:r>
          </w:p>
        </w:tc>
        <w:tc>
          <w:tcPr>
            <w:tcW w:w="1642" w:type="dxa"/>
            <w:gridSpan w:val="2"/>
            <w:shd w:val="clear" w:color="auto" w:fill="FFFFFF"/>
          </w:tcPr>
          <w:p w14:paraId="2FFD060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наАЭ</w:t>
            </w:r>
          </w:p>
        </w:tc>
        <w:tc>
          <w:tcPr>
            <w:tcW w:w="566" w:type="dxa"/>
            <w:shd w:val="clear" w:color="auto" w:fill="FFFFFF"/>
          </w:tcPr>
          <w:p w14:paraId="18DD19C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tc>
        <w:tc>
          <w:tcPr>
            <w:tcW w:w="1258" w:type="dxa"/>
            <w:gridSpan w:val="2"/>
            <w:shd w:val="clear" w:color="auto" w:fill="FFFFFF"/>
          </w:tcPr>
          <w:p w14:paraId="7532BBF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в и налет на одН боевую потерю</w:t>
            </w:r>
          </w:p>
        </w:tc>
      </w:tr>
      <w:tr w:rsidR="00860B4B" w:rsidRPr="00D03F3E" w14:paraId="614691AD" w14:textId="77777777" w:rsidTr="00CA6303">
        <w:trPr>
          <w:trHeight w:val="216"/>
        </w:trPr>
        <w:tc>
          <w:tcPr>
            <w:tcW w:w="605" w:type="dxa"/>
            <w:shd w:val="clear" w:color="auto" w:fill="FFFFFF"/>
          </w:tcPr>
          <w:p w14:paraId="5CA7C03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в</w:t>
            </w:r>
          </w:p>
        </w:tc>
        <w:tc>
          <w:tcPr>
            <w:tcW w:w="605" w:type="dxa"/>
            <w:shd w:val="clear" w:color="auto" w:fill="FFFFFF"/>
          </w:tcPr>
          <w:p w14:paraId="2A84D32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часы</w:t>
            </w:r>
          </w:p>
        </w:tc>
        <w:tc>
          <w:tcPr>
            <w:tcW w:w="763" w:type="dxa"/>
            <w:shd w:val="clear" w:color="auto" w:fill="FFFFFF"/>
          </w:tcPr>
          <w:p w14:paraId="44A506E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кол-во</w:t>
            </w:r>
          </w:p>
        </w:tc>
        <w:tc>
          <w:tcPr>
            <w:tcW w:w="408" w:type="dxa"/>
            <w:shd w:val="clear" w:color="auto" w:fill="FFFFFF"/>
          </w:tcPr>
          <w:p w14:paraId="0A06012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267" w:type="dxa"/>
            <w:gridSpan w:val="2"/>
            <w:shd w:val="clear" w:color="auto" w:fill="FFFFFF"/>
          </w:tcPr>
          <w:p w14:paraId="2366914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кол-во %</w:t>
            </w:r>
          </w:p>
        </w:tc>
        <w:tc>
          <w:tcPr>
            <w:tcW w:w="782" w:type="dxa"/>
            <w:shd w:val="clear" w:color="auto" w:fill="FFFFFF"/>
          </w:tcPr>
          <w:p w14:paraId="30E02A6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кол-во</w:t>
            </w:r>
          </w:p>
        </w:tc>
        <w:tc>
          <w:tcPr>
            <w:tcW w:w="480" w:type="dxa"/>
            <w:shd w:val="clear" w:color="auto" w:fill="FFFFFF"/>
          </w:tcPr>
          <w:p w14:paraId="22C7BAE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162" w:type="dxa"/>
            <w:shd w:val="clear" w:color="auto" w:fill="FFFFFF"/>
          </w:tcPr>
          <w:p w14:paraId="635A626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кол-во</w:t>
            </w:r>
          </w:p>
        </w:tc>
        <w:tc>
          <w:tcPr>
            <w:tcW w:w="566" w:type="dxa"/>
            <w:shd w:val="clear" w:color="auto" w:fill="FFFFFF"/>
          </w:tcPr>
          <w:p w14:paraId="1D7DB029" w14:textId="77777777" w:rsidR="0066261B" w:rsidRPr="00D03F3E" w:rsidRDefault="0066261B" w:rsidP="00D03F3E">
            <w:pPr>
              <w:spacing w:after="0" w:line="240" w:lineRule="auto"/>
              <w:jc w:val="both"/>
              <w:rPr>
                <w:rFonts w:ascii="Times New Roman" w:hAnsi="Times New Roman"/>
                <w:color w:val="000000" w:themeColor="text1"/>
                <w:sz w:val="16"/>
                <w:szCs w:val="16"/>
              </w:rPr>
            </w:pPr>
          </w:p>
        </w:tc>
        <w:tc>
          <w:tcPr>
            <w:tcW w:w="696" w:type="dxa"/>
            <w:shd w:val="clear" w:color="auto" w:fill="FFFFFF"/>
          </w:tcPr>
          <w:p w14:paraId="79DBC4D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в</w:t>
            </w:r>
          </w:p>
        </w:tc>
        <w:tc>
          <w:tcPr>
            <w:tcW w:w="562" w:type="dxa"/>
            <w:shd w:val="clear" w:color="auto" w:fill="FFFFFF"/>
          </w:tcPr>
          <w:p w14:paraId="7F1B9C4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часы</w:t>
            </w:r>
          </w:p>
        </w:tc>
      </w:tr>
      <w:tr w:rsidR="00860B4B" w:rsidRPr="00D03F3E" w14:paraId="653CBE97" w14:textId="77777777" w:rsidTr="00CA6303">
        <w:trPr>
          <w:trHeight w:val="235"/>
        </w:trPr>
        <w:tc>
          <w:tcPr>
            <w:tcW w:w="605" w:type="dxa"/>
            <w:shd w:val="clear" w:color="auto" w:fill="FFFFFF"/>
          </w:tcPr>
          <w:p w14:paraId="6B4F83D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79718</w:t>
            </w:r>
          </w:p>
        </w:tc>
        <w:tc>
          <w:tcPr>
            <w:tcW w:w="605" w:type="dxa"/>
            <w:shd w:val="clear" w:color="auto" w:fill="FFFFFF"/>
          </w:tcPr>
          <w:p w14:paraId="6482DCA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69435</w:t>
            </w:r>
          </w:p>
        </w:tc>
        <w:tc>
          <w:tcPr>
            <w:tcW w:w="763" w:type="dxa"/>
            <w:shd w:val="clear" w:color="auto" w:fill="FFFFFF"/>
          </w:tcPr>
          <w:p w14:paraId="0B58AA9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637 I</w:t>
            </w:r>
          </w:p>
        </w:tc>
        <w:tc>
          <w:tcPr>
            <w:tcW w:w="408" w:type="dxa"/>
            <w:shd w:val="clear" w:color="auto" w:fill="FFFFFF"/>
          </w:tcPr>
          <w:p w14:paraId="6395699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55,5</w:t>
            </w:r>
          </w:p>
        </w:tc>
        <w:tc>
          <w:tcPr>
            <w:tcW w:w="576" w:type="dxa"/>
            <w:shd w:val="clear" w:color="auto" w:fill="FFFFFF"/>
          </w:tcPr>
          <w:p w14:paraId="76001CD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133</w:t>
            </w:r>
          </w:p>
        </w:tc>
        <w:tc>
          <w:tcPr>
            <w:tcW w:w="691" w:type="dxa"/>
            <w:shd w:val="clear" w:color="auto" w:fill="FFFFFF"/>
          </w:tcPr>
          <w:p w14:paraId="7D60632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11,6</w:t>
            </w:r>
          </w:p>
        </w:tc>
        <w:tc>
          <w:tcPr>
            <w:tcW w:w="782" w:type="dxa"/>
            <w:shd w:val="clear" w:color="auto" w:fill="FFFFFF"/>
          </w:tcPr>
          <w:p w14:paraId="75C8248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333</w:t>
            </w:r>
          </w:p>
        </w:tc>
        <w:tc>
          <w:tcPr>
            <w:tcW w:w="480" w:type="dxa"/>
            <w:shd w:val="clear" w:color="auto" w:fill="FFFFFF"/>
          </w:tcPr>
          <w:p w14:paraId="1A2E682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29,0</w:t>
            </w:r>
          </w:p>
        </w:tc>
        <w:tc>
          <w:tcPr>
            <w:tcW w:w="1162" w:type="dxa"/>
            <w:shd w:val="clear" w:color="auto" w:fill="FFFFFF"/>
          </w:tcPr>
          <w:p w14:paraId="015D4AB4"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45 3,9</w:t>
            </w:r>
          </w:p>
        </w:tc>
        <w:tc>
          <w:tcPr>
            <w:tcW w:w="566" w:type="dxa"/>
            <w:shd w:val="clear" w:color="auto" w:fill="FFFFFF"/>
          </w:tcPr>
          <w:p w14:paraId="73077BE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1148</w:t>
            </w:r>
          </w:p>
        </w:tc>
        <w:tc>
          <w:tcPr>
            <w:tcW w:w="696" w:type="dxa"/>
            <w:shd w:val="clear" w:color="auto" w:fill="FFFFFF"/>
          </w:tcPr>
          <w:p w14:paraId="01296D0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w:t>
            </w:r>
          </w:p>
        </w:tc>
        <w:tc>
          <w:tcPr>
            <w:tcW w:w="562" w:type="dxa"/>
            <w:shd w:val="clear" w:color="auto" w:fill="FFFFFF"/>
          </w:tcPr>
          <w:p w14:paraId="2D49047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tc>
      </w:tr>
      <w:tr w:rsidR="00860B4B" w:rsidRPr="00D03F3E" w14:paraId="56C42EC6" w14:textId="77777777" w:rsidTr="00CA6303">
        <w:trPr>
          <w:trHeight w:val="288"/>
        </w:trPr>
        <w:tc>
          <w:tcPr>
            <w:tcW w:w="605" w:type="dxa"/>
            <w:shd w:val="clear" w:color="auto" w:fill="FFFFFF"/>
          </w:tcPr>
          <w:p w14:paraId="6668942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15656</w:t>
            </w:r>
          </w:p>
        </w:tc>
        <w:tc>
          <w:tcPr>
            <w:tcW w:w="605" w:type="dxa"/>
            <w:shd w:val="clear" w:color="auto" w:fill="FFFFFF"/>
          </w:tcPr>
          <w:p w14:paraId="5507ECD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13801</w:t>
            </w:r>
          </w:p>
        </w:tc>
        <w:tc>
          <w:tcPr>
            <w:tcW w:w="763" w:type="dxa"/>
            <w:shd w:val="clear" w:color="auto" w:fill="FFFFFF"/>
          </w:tcPr>
          <w:p w14:paraId="2C14C93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ЩЩШ</w:t>
            </w:r>
          </w:p>
        </w:tc>
        <w:tc>
          <w:tcPr>
            <w:tcW w:w="408" w:type="dxa"/>
            <w:shd w:val="clear" w:color="auto" w:fill="FFFFFF"/>
          </w:tcPr>
          <w:p w14:paraId="347750A4"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33.7</w:t>
            </w:r>
          </w:p>
        </w:tc>
        <w:tc>
          <w:tcPr>
            <w:tcW w:w="576" w:type="dxa"/>
            <w:shd w:val="clear" w:color="auto" w:fill="FFFFFF"/>
          </w:tcPr>
          <w:p w14:paraId="605D765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207</w:t>
            </w:r>
          </w:p>
        </w:tc>
        <w:tc>
          <w:tcPr>
            <w:tcW w:w="691" w:type="dxa"/>
            <w:shd w:val="clear" w:color="auto" w:fill="FFFFFF"/>
          </w:tcPr>
          <w:p w14:paraId="7C930FB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34.6</w:t>
            </w:r>
          </w:p>
        </w:tc>
        <w:tc>
          <w:tcPr>
            <w:tcW w:w="782" w:type="dxa"/>
            <w:shd w:val="clear" w:color="auto" w:fill="FFFFFF"/>
          </w:tcPr>
          <w:p w14:paraId="30CE232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178</w:t>
            </w:r>
          </w:p>
        </w:tc>
        <w:tc>
          <w:tcPr>
            <w:tcW w:w="480" w:type="dxa"/>
            <w:shd w:val="clear" w:color="auto" w:fill="FFFFFF"/>
          </w:tcPr>
          <w:p w14:paraId="6F27D3B4"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297</w:t>
            </w:r>
          </w:p>
        </w:tc>
        <w:tc>
          <w:tcPr>
            <w:tcW w:w="1162" w:type="dxa"/>
            <w:shd w:val="clear" w:color="auto" w:fill="FFFFFF"/>
          </w:tcPr>
          <w:p w14:paraId="65F18B3D"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 2,0</w:t>
            </w:r>
          </w:p>
        </w:tc>
        <w:tc>
          <w:tcPr>
            <w:tcW w:w="566" w:type="dxa"/>
            <w:shd w:val="clear" w:color="auto" w:fill="FFFFFF"/>
          </w:tcPr>
          <w:p w14:paraId="7E777DE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599</w:t>
            </w:r>
          </w:p>
        </w:tc>
        <w:tc>
          <w:tcPr>
            <w:tcW w:w="696" w:type="dxa"/>
            <w:shd w:val="clear" w:color="auto" w:fill="FFFFFF"/>
          </w:tcPr>
          <w:p w14:paraId="4925B91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ШШШ</w:t>
            </w:r>
          </w:p>
        </w:tc>
        <w:tc>
          <w:tcPr>
            <w:tcW w:w="562" w:type="dxa"/>
            <w:shd w:val="clear" w:color="auto" w:fill="FFFFFF"/>
          </w:tcPr>
          <w:p w14:paraId="473BA8B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w:t>
            </w:r>
          </w:p>
        </w:tc>
      </w:tr>
      <w:tr w:rsidR="00860B4B" w:rsidRPr="00D03F3E" w14:paraId="3FBF2149" w14:textId="77777777" w:rsidTr="00CA6303">
        <w:trPr>
          <w:trHeight w:val="336"/>
        </w:trPr>
        <w:tc>
          <w:tcPr>
            <w:tcW w:w="605" w:type="dxa"/>
            <w:shd w:val="clear" w:color="auto" w:fill="FFFFFF"/>
          </w:tcPr>
          <w:p w14:paraId="3F4347E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12821</w:t>
            </w:r>
          </w:p>
        </w:tc>
        <w:tc>
          <w:tcPr>
            <w:tcW w:w="605" w:type="dxa"/>
            <w:shd w:val="clear" w:color="auto" w:fill="FFFFFF"/>
          </w:tcPr>
          <w:p w14:paraId="132A714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16774</w:t>
            </w:r>
          </w:p>
        </w:tc>
        <w:tc>
          <w:tcPr>
            <w:tcW w:w="763" w:type="dxa"/>
            <w:shd w:val="clear" w:color="auto" w:fill="FFFFFF"/>
          </w:tcPr>
          <w:p w14:paraId="5E48EDD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135</w:t>
            </w:r>
          </w:p>
        </w:tc>
        <w:tc>
          <w:tcPr>
            <w:tcW w:w="408" w:type="dxa"/>
            <w:shd w:val="clear" w:color="auto" w:fill="FFFFFF"/>
          </w:tcPr>
          <w:p w14:paraId="2ED90F4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50,9</w:t>
            </w:r>
          </w:p>
        </w:tc>
        <w:tc>
          <w:tcPr>
            <w:tcW w:w="576" w:type="dxa"/>
            <w:shd w:val="clear" w:color="auto" w:fill="FFFFFF"/>
          </w:tcPr>
          <w:p w14:paraId="582CA74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w:t>
            </w:r>
          </w:p>
        </w:tc>
        <w:tc>
          <w:tcPr>
            <w:tcW w:w="691" w:type="dxa"/>
            <w:shd w:val="clear" w:color="auto" w:fill="FFFFFF"/>
          </w:tcPr>
          <w:p w14:paraId="441B4D3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21,1</w:t>
            </w:r>
          </w:p>
        </w:tc>
        <w:tc>
          <w:tcPr>
            <w:tcW w:w="782" w:type="dxa"/>
            <w:shd w:val="clear" w:color="auto" w:fill="FFFFFF"/>
          </w:tcPr>
          <w:p w14:paraId="666E878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 !</w:t>
            </w:r>
          </w:p>
        </w:tc>
        <w:tc>
          <w:tcPr>
            <w:tcW w:w="480" w:type="dxa"/>
            <w:shd w:val="clear" w:color="auto" w:fill="FFFFFF"/>
          </w:tcPr>
          <w:p w14:paraId="39514D1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26.0</w:t>
            </w:r>
          </w:p>
        </w:tc>
        <w:tc>
          <w:tcPr>
            <w:tcW w:w="1162" w:type="dxa"/>
            <w:shd w:val="clear" w:color="auto" w:fill="FFFFFF"/>
          </w:tcPr>
          <w:p w14:paraId="7F07FE9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 1,9</w:t>
            </w:r>
          </w:p>
        </w:tc>
        <w:tc>
          <w:tcPr>
            <w:tcW w:w="566" w:type="dxa"/>
            <w:shd w:val="clear" w:color="auto" w:fill="FFFFFF"/>
          </w:tcPr>
          <w:p w14:paraId="70BDE0E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265</w:t>
            </w:r>
          </w:p>
        </w:tc>
        <w:tc>
          <w:tcPr>
            <w:tcW w:w="696" w:type="dxa"/>
            <w:shd w:val="clear" w:color="auto" w:fill="FFFFFF"/>
          </w:tcPr>
          <w:p w14:paraId="3F6920A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w:t>
            </w:r>
          </w:p>
        </w:tc>
        <w:tc>
          <w:tcPr>
            <w:tcW w:w="562" w:type="dxa"/>
            <w:shd w:val="clear" w:color="auto" w:fill="FFFFFF"/>
          </w:tcPr>
          <w:p w14:paraId="3F15BB4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w:t>
            </w:r>
          </w:p>
        </w:tc>
      </w:tr>
      <w:tr w:rsidR="00860B4B" w:rsidRPr="00D03F3E" w14:paraId="13A4DDB2" w14:textId="77777777" w:rsidTr="00CA6303">
        <w:trPr>
          <w:trHeight w:val="283"/>
        </w:trPr>
        <w:tc>
          <w:tcPr>
            <w:tcW w:w="605" w:type="dxa"/>
            <w:shd w:val="clear" w:color="auto" w:fill="FFFFFF"/>
          </w:tcPr>
          <w:p w14:paraId="226CBCB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29988</w:t>
            </w:r>
          </w:p>
        </w:tc>
        <w:tc>
          <w:tcPr>
            <w:tcW w:w="605" w:type="dxa"/>
            <w:shd w:val="clear" w:color="auto" w:fill="FFFFFF"/>
          </w:tcPr>
          <w:p w14:paraId="4090B87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шшш</w:t>
            </w:r>
          </w:p>
        </w:tc>
        <w:tc>
          <w:tcPr>
            <w:tcW w:w="763" w:type="dxa"/>
            <w:shd w:val="clear" w:color="auto" w:fill="FFFFFF"/>
          </w:tcPr>
          <w:p w14:paraId="0B0143A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ЩШшШж</w:t>
            </w:r>
          </w:p>
        </w:tc>
        <w:tc>
          <w:tcPr>
            <w:tcW w:w="408" w:type="dxa"/>
            <w:shd w:val="clear" w:color="auto" w:fill="FFFFFF"/>
          </w:tcPr>
          <w:p w14:paraId="4A8C839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19 0</w:t>
            </w:r>
          </w:p>
        </w:tc>
        <w:tc>
          <w:tcPr>
            <w:tcW w:w="576" w:type="dxa"/>
            <w:shd w:val="clear" w:color="auto" w:fill="FFFFFF"/>
          </w:tcPr>
          <w:p w14:paraId="0BA19E6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ЁВВ</w:t>
            </w:r>
          </w:p>
        </w:tc>
        <w:tc>
          <w:tcPr>
            <w:tcW w:w="691" w:type="dxa"/>
            <w:shd w:val="clear" w:color="auto" w:fill="FFFFFF"/>
          </w:tcPr>
          <w:p w14:paraId="5246F87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14 3</w:t>
            </w:r>
          </w:p>
        </w:tc>
        <w:tc>
          <w:tcPr>
            <w:tcW w:w="782" w:type="dxa"/>
            <w:shd w:val="clear" w:color="auto" w:fill="FFFFFF"/>
          </w:tcPr>
          <w:p w14:paraId="07B6AA4D"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w:t>
            </w:r>
          </w:p>
        </w:tc>
        <w:tc>
          <w:tcPr>
            <w:tcW w:w="480" w:type="dxa"/>
            <w:shd w:val="clear" w:color="auto" w:fill="FFFFFF"/>
          </w:tcPr>
          <w:p w14:paraId="05B000E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ШШ</w:t>
            </w:r>
          </w:p>
        </w:tc>
        <w:tc>
          <w:tcPr>
            <w:tcW w:w="1162" w:type="dxa"/>
            <w:shd w:val="clear" w:color="auto" w:fill="FFFFFF"/>
          </w:tcPr>
          <w:p w14:paraId="4C1E4DF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ЩШшШШШ</w:t>
            </w:r>
          </w:p>
        </w:tc>
        <w:tc>
          <w:tcPr>
            <w:tcW w:w="566" w:type="dxa"/>
            <w:shd w:val="clear" w:color="auto" w:fill="FFFFFF"/>
          </w:tcPr>
          <w:p w14:paraId="41A2E11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w:t>
            </w:r>
          </w:p>
        </w:tc>
        <w:tc>
          <w:tcPr>
            <w:tcW w:w="696" w:type="dxa"/>
            <w:shd w:val="clear" w:color="auto" w:fill="FFFFFF"/>
          </w:tcPr>
          <w:p w14:paraId="20A204B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шшшш</w:t>
            </w:r>
          </w:p>
        </w:tc>
        <w:tc>
          <w:tcPr>
            <w:tcW w:w="562" w:type="dxa"/>
            <w:shd w:val="clear" w:color="auto" w:fill="FFFFFF"/>
          </w:tcPr>
          <w:p w14:paraId="029B1C9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503</w:t>
            </w:r>
          </w:p>
        </w:tc>
      </w:tr>
      <w:tr w:rsidR="00860B4B" w:rsidRPr="00D03F3E" w14:paraId="53557553" w14:textId="77777777" w:rsidTr="00CA6303">
        <w:trPr>
          <w:trHeight w:val="245"/>
        </w:trPr>
        <w:tc>
          <w:tcPr>
            <w:tcW w:w="605" w:type="dxa"/>
            <w:shd w:val="clear" w:color="auto" w:fill="FFFFFF"/>
          </w:tcPr>
          <w:p w14:paraId="36D9AD6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138183</w:t>
            </w:r>
          </w:p>
        </w:tc>
        <w:tc>
          <w:tcPr>
            <w:tcW w:w="605" w:type="dxa"/>
            <w:shd w:val="clear" w:color="auto" w:fill="FFFFFF"/>
          </w:tcPr>
          <w:p w14:paraId="57DE8B61"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131673</w:t>
            </w:r>
          </w:p>
        </w:tc>
        <w:tc>
          <w:tcPr>
            <w:tcW w:w="763" w:type="dxa"/>
            <w:shd w:val="clear" w:color="auto" w:fill="FFFFFF"/>
          </w:tcPr>
          <w:p w14:paraId="0F95FA35"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993</w:t>
            </w:r>
          </w:p>
        </w:tc>
        <w:tc>
          <w:tcPr>
            <w:tcW w:w="408" w:type="dxa"/>
            <w:shd w:val="clear" w:color="auto" w:fill="FFFFFF"/>
          </w:tcPr>
          <w:p w14:paraId="07AC814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47,9</w:t>
            </w:r>
          </w:p>
        </w:tc>
        <w:tc>
          <w:tcPr>
            <w:tcW w:w="576" w:type="dxa"/>
            <w:shd w:val="clear" w:color="auto" w:fill="FFFFFF"/>
          </w:tcPr>
          <w:p w14:paraId="7FE9035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405</w:t>
            </w:r>
          </w:p>
        </w:tc>
        <w:tc>
          <w:tcPr>
            <w:tcW w:w="691" w:type="dxa"/>
            <w:shd w:val="clear" w:color="auto" w:fill="FFFFFF"/>
          </w:tcPr>
          <w:p w14:paraId="29332749"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19,5</w:t>
            </w:r>
          </w:p>
        </w:tc>
        <w:tc>
          <w:tcPr>
            <w:tcW w:w="782" w:type="dxa"/>
            <w:shd w:val="clear" w:color="auto" w:fill="FFFFFF"/>
          </w:tcPr>
          <w:p w14:paraId="2A76D1FE"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614</w:t>
            </w:r>
          </w:p>
        </w:tc>
        <w:tc>
          <w:tcPr>
            <w:tcW w:w="480" w:type="dxa"/>
            <w:shd w:val="clear" w:color="auto" w:fill="FFFFFF"/>
          </w:tcPr>
          <w:p w14:paraId="2B62D92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29,6</w:t>
            </w:r>
          </w:p>
        </w:tc>
        <w:tc>
          <w:tcPr>
            <w:tcW w:w="1162" w:type="dxa"/>
            <w:shd w:val="clear" w:color="auto" w:fill="FFFFFF"/>
          </w:tcPr>
          <w:p w14:paraId="0A30E1B8"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70 3,4</w:t>
            </w:r>
          </w:p>
        </w:tc>
        <w:tc>
          <w:tcPr>
            <w:tcW w:w="566" w:type="dxa"/>
            <w:shd w:val="clear" w:color="auto" w:fill="FFFFFF"/>
          </w:tcPr>
          <w:p w14:paraId="105006B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2075</w:t>
            </w:r>
          </w:p>
        </w:tc>
        <w:tc>
          <w:tcPr>
            <w:tcW w:w="696" w:type="dxa"/>
            <w:shd w:val="clear" w:color="auto" w:fill="FFFFFF"/>
          </w:tcPr>
          <w:p w14:paraId="691D8CA4" w14:textId="77777777" w:rsidR="0066261B" w:rsidRPr="00D03F3E" w:rsidRDefault="0066261B" w:rsidP="00D03F3E">
            <w:pPr>
              <w:spacing w:after="0" w:line="240" w:lineRule="auto"/>
              <w:jc w:val="both"/>
              <w:rPr>
                <w:rFonts w:ascii="Times New Roman" w:hAnsi="Times New Roman"/>
                <w:color w:val="000000" w:themeColor="text1"/>
                <w:sz w:val="16"/>
                <w:szCs w:val="16"/>
              </w:rPr>
            </w:pPr>
          </w:p>
        </w:tc>
        <w:tc>
          <w:tcPr>
            <w:tcW w:w="562" w:type="dxa"/>
            <w:shd w:val="clear" w:color="auto" w:fill="FFFFFF"/>
          </w:tcPr>
          <w:p w14:paraId="2DA94F57"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w:t>
            </w:r>
          </w:p>
        </w:tc>
      </w:tr>
    </w:tbl>
    <w:p w14:paraId="1082DE40"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втором месте по показателю боево</w:t>
      </w:r>
      <w:r w:rsidRPr="00D03F3E">
        <w:rPr>
          <w:rFonts w:ascii="Times New Roman" w:hAnsi="Times New Roman"/>
          <w:color w:val="000000" w:themeColor="text1"/>
          <w:sz w:val="16"/>
          <w:szCs w:val="16"/>
        </w:rPr>
        <w:softHyphen/>
        <w:t>го налета стоит советский истребитель И-16, имеющий 128 самолетовылетов (106 ч нале</w:t>
      </w:r>
      <w:r w:rsidRPr="00D03F3E">
        <w:rPr>
          <w:rFonts w:ascii="Times New Roman" w:hAnsi="Times New Roman"/>
          <w:color w:val="000000" w:themeColor="text1"/>
          <w:sz w:val="16"/>
          <w:szCs w:val="16"/>
        </w:rPr>
        <w:softHyphen/>
        <w:t>та) на каждую боевую потерю. Такая высокая продолжительность службы И-16 объяснялась сильным вооружением (в варианте пушечно</w:t>
      </w:r>
      <w:r w:rsidRPr="00D03F3E">
        <w:rPr>
          <w:rFonts w:ascii="Times New Roman" w:hAnsi="Times New Roman"/>
          <w:color w:val="000000" w:themeColor="text1"/>
          <w:sz w:val="16"/>
          <w:szCs w:val="16"/>
        </w:rPr>
        <w:softHyphen/>
        <w:t>го истребителя), хорошей маневренностью и большой живучестью мотора воздушного ох</w:t>
      </w:r>
      <w:r w:rsidRPr="00D03F3E">
        <w:rPr>
          <w:rFonts w:ascii="Times New Roman" w:hAnsi="Times New Roman"/>
          <w:color w:val="000000" w:themeColor="text1"/>
          <w:sz w:val="16"/>
          <w:szCs w:val="16"/>
        </w:rPr>
        <w:softHyphen/>
        <w:t>лаждения. Считалось, что высокая маневрен</w:t>
      </w:r>
      <w:r w:rsidRPr="00D03F3E">
        <w:rPr>
          <w:rFonts w:ascii="Times New Roman" w:hAnsi="Times New Roman"/>
          <w:color w:val="000000" w:themeColor="text1"/>
          <w:sz w:val="16"/>
          <w:szCs w:val="16"/>
        </w:rPr>
        <w:softHyphen/>
        <w:t>ность и наличие мотора воздушного охлажде</w:t>
      </w:r>
      <w:r w:rsidRPr="00D03F3E">
        <w:rPr>
          <w:rFonts w:ascii="Times New Roman" w:hAnsi="Times New Roman"/>
          <w:color w:val="000000" w:themeColor="text1"/>
          <w:sz w:val="16"/>
          <w:szCs w:val="16"/>
        </w:rPr>
        <w:softHyphen/>
        <w:t>ния являлись одними из основных факторов, которые определяли продолжительность служ</w:t>
      </w:r>
      <w:r w:rsidRPr="00D03F3E">
        <w:rPr>
          <w:rFonts w:ascii="Times New Roman" w:hAnsi="Times New Roman"/>
          <w:color w:val="000000" w:themeColor="text1"/>
          <w:sz w:val="16"/>
          <w:szCs w:val="16"/>
        </w:rPr>
        <w:softHyphen/>
        <w:t>бы боевого самолета на фронте.</w:t>
      </w:r>
    </w:p>
    <w:p w14:paraId="079502B6"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то, что истребители И-15бис и И-153 уже к началу войны являлись устарев</w:t>
      </w:r>
      <w:r w:rsidRPr="00D03F3E">
        <w:rPr>
          <w:rFonts w:ascii="Times New Roman" w:hAnsi="Times New Roman"/>
          <w:color w:val="000000" w:themeColor="text1"/>
          <w:sz w:val="16"/>
          <w:szCs w:val="16"/>
        </w:rPr>
        <w:softHyphen/>
        <w:t>шими и в ходе войны использовались главным образом в качестве штурмовиков, т.е. в зоне, наиболее насыщенной всеми видами зенитно</w:t>
      </w:r>
      <w:r w:rsidRPr="00D03F3E">
        <w:rPr>
          <w:rFonts w:ascii="Times New Roman" w:hAnsi="Times New Roman"/>
          <w:color w:val="000000" w:themeColor="text1"/>
          <w:sz w:val="16"/>
          <w:szCs w:val="16"/>
        </w:rPr>
        <w:softHyphen/>
        <w:t>го огня, их потери по сравнению с истребите</w:t>
      </w:r>
      <w:r w:rsidRPr="00D03F3E">
        <w:rPr>
          <w:rFonts w:ascii="Times New Roman" w:hAnsi="Times New Roman"/>
          <w:color w:val="000000" w:themeColor="text1"/>
          <w:sz w:val="16"/>
          <w:szCs w:val="16"/>
        </w:rPr>
        <w:softHyphen/>
        <w:t>лями новых типов были невелики.</w:t>
      </w:r>
    </w:p>
    <w:p w14:paraId="7A95C23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утверждение справедливо не только для суммарных потерь по всем фронтам, но и для отдельных направлений. Например, на Севе- ро-Кавказском фронте в марте-апреле 1943 г. боевой налет на одну потерЛ И-16 и И-153 со</w:t>
      </w:r>
      <w:r w:rsidRPr="00D03F3E">
        <w:rPr>
          <w:rFonts w:ascii="Times New Roman" w:hAnsi="Times New Roman"/>
          <w:color w:val="000000" w:themeColor="text1"/>
          <w:sz w:val="16"/>
          <w:szCs w:val="16"/>
        </w:rPr>
        <w:softHyphen/>
        <w:t>ставлял 49 самолетовылетов (55 ч налета), а современных истребителей (Як-1, ЛаГГ-3, «Киттихаук», «Аэрокобра», «Спитфайр») - 34 самолетовылетов (38 ч налета).</w:t>
      </w:r>
    </w:p>
    <w:p w14:paraId="5E4826AC"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среднем по всем направлениям из числа лучших современных истребителей (Як-1, Як-7Б, Ла-5 и Р-39 «Аэрокобра») наименьшие поте</w:t>
      </w:r>
      <w:r w:rsidRPr="00D03F3E">
        <w:rPr>
          <w:rFonts w:ascii="Times New Roman" w:hAnsi="Times New Roman"/>
          <w:color w:val="000000" w:themeColor="text1"/>
          <w:sz w:val="16"/>
          <w:szCs w:val="16"/>
        </w:rPr>
        <w:softHyphen/>
        <w:t>ри несла «Аэрокобра», которая имела 52 само</w:t>
      </w:r>
      <w:r w:rsidRPr="00D03F3E">
        <w:rPr>
          <w:rFonts w:ascii="Times New Roman" w:hAnsi="Times New Roman"/>
          <w:color w:val="000000" w:themeColor="text1"/>
          <w:sz w:val="16"/>
          <w:szCs w:val="16"/>
        </w:rPr>
        <w:softHyphen/>
        <w:t>летовылета (50 ч налета) на одну боевую поте</w:t>
      </w:r>
      <w:r w:rsidRPr="00D03F3E">
        <w:rPr>
          <w:rFonts w:ascii="Times New Roman" w:hAnsi="Times New Roman"/>
          <w:color w:val="000000" w:themeColor="text1"/>
          <w:sz w:val="16"/>
          <w:szCs w:val="16"/>
        </w:rPr>
        <w:softHyphen/>
        <w:t>рю. Як-1 и Як-7Б показывали примерно одина</w:t>
      </w:r>
      <w:r w:rsidRPr="00D03F3E">
        <w:rPr>
          <w:rFonts w:ascii="Times New Roman" w:hAnsi="Times New Roman"/>
          <w:color w:val="000000" w:themeColor="text1"/>
          <w:sz w:val="16"/>
          <w:szCs w:val="16"/>
        </w:rPr>
        <w:softHyphen/>
        <w:t>ковые потери - 45 самолетовылетов (38 ч нале</w:t>
      </w:r>
      <w:r w:rsidRPr="00D03F3E">
        <w:rPr>
          <w:rFonts w:ascii="Times New Roman" w:hAnsi="Times New Roman"/>
          <w:color w:val="000000" w:themeColor="text1"/>
          <w:sz w:val="16"/>
          <w:szCs w:val="16"/>
        </w:rPr>
        <w:softHyphen/>
        <w:t>та) у первого и 44 самолетовылета (42 ч налета) у второго. Относительно небольшие потери са</w:t>
      </w:r>
      <w:r w:rsidRPr="00D03F3E">
        <w:rPr>
          <w:rFonts w:ascii="Times New Roman" w:hAnsi="Times New Roman"/>
          <w:color w:val="000000" w:themeColor="text1"/>
          <w:sz w:val="16"/>
          <w:szCs w:val="16"/>
        </w:rPr>
        <w:softHyphen/>
        <w:t>молета «Аэрокобра» являлись следствием хоро</w:t>
      </w:r>
      <w:r w:rsidRPr="00D03F3E">
        <w:rPr>
          <w:rFonts w:ascii="Times New Roman" w:hAnsi="Times New Roman"/>
          <w:color w:val="000000" w:themeColor="text1"/>
          <w:sz w:val="16"/>
          <w:szCs w:val="16"/>
        </w:rPr>
        <w:softHyphen/>
        <w:t>шего бронирования, мощного вооружения, на</w:t>
      </w:r>
      <w:r w:rsidRPr="00D03F3E">
        <w:rPr>
          <w:rFonts w:ascii="Times New Roman" w:hAnsi="Times New Roman"/>
          <w:color w:val="000000" w:themeColor="text1"/>
          <w:sz w:val="16"/>
          <w:szCs w:val="16"/>
        </w:rPr>
        <w:softHyphen/>
        <w:t>личия хорошей радиостанции и лучшего, чем у Як-1 и Як-7Б, обзора, при примерно одинаковых остальных летно-тактических данных. Самолет Ла-5, имеющий мотор воздушно</w:t>
      </w:r>
      <w:r w:rsidRPr="00D03F3E">
        <w:rPr>
          <w:rFonts w:ascii="Times New Roman" w:hAnsi="Times New Roman"/>
          <w:color w:val="000000" w:themeColor="text1"/>
          <w:sz w:val="16"/>
          <w:szCs w:val="16"/>
        </w:rPr>
        <w:softHyphen/>
        <w:t>го охлаждения и значительную общую живу</w:t>
      </w:r>
      <w:r w:rsidRPr="00D03F3E">
        <w:rPr>
          <w:rFonts w:ascii="Times New Roman" w:hAnsi="Times New Roman"/>
          <w:color w:val="000000" w:themeColor="text1"/>
          <w:sz w:val="16"/>
          <w:szCs w:val="16"/>
        </w:rPr>
        <w:softHyphen/>
        <w:t>честь конструкции, нес по сравнению с други</w:t>
      </w:r>
      <w:r w:rsidRPr="00D03F3E">
        <w:rPr>
          <w:rFonts w:ascii="Times New Roman" w:hAnsi="Times New Roman"/>
          <w:color w:val="000000" w:themeColor="text1"/>
          <w:sz w:val="16"/>
          <w:szCs w:val="16"/>
        </w:rPr>
        <w:softHyphen/>
        <w:t>ми скоростными истребителями большие поте</w:t>
      </w:r>
      <w:r w:rsidRPr="00D03F3E">
        <w:rPr>
          <w:rFonts w:ascii="Times New Roman" w:hAnsi="Times New Roman"/>
          <w:color w:val="000000" w:themeColor="text1"/>
          <w:sz w:val="16"/>
          <w:szCs w:val="16"/>
        </w:rPr>
        <w:softHyphen/>
        <w:t>ри. Как отмечалось в документе, «это объясня</w:t>
      </w:r>
      <w:r w:rsidRPr="00D03F3E">
        <w:rPr>
          <w:rFonts w:ascii="Times New Roman" w:hAnsi="Times New Roman"/>
          <w:color w:val="000000" w:themeColor="text1"/>
          <w:sz w:val="16"/>
          <w:szCs w:val="16"/>
        </w:rPr>
        <w:softHyphen/>
        <w:t>ется, по-видимому, меньшей горизонтальной маневренностью самолета, чем у Як-1 и Як-7б, и неумением летного состава в первые меся</w:t>
      </w:r>
      <w:r w:rsidRPr="00D03F3E">
        <w:rPr>
          <w:rFonts w:ascii="Times New Roman" w:hAnsi="Times New Roman"/>
          <w:color w:val="000000" w:themeColor="text1"/>
          <w:sz w:val="16"/>
          <w:szCs w:val="16"/>
        </w:rPr>
        <w:softHyphen/>
        <w:t>цы полностью использовать основные преиму</w:t>
      </w:r>
      <w:r w:rsidRPr="00D03F3E">
        <w:rPr>
          <w:rFonts w:ascii="Times New Roman" w:hAnsi="Times New Roman"/>
          <w:color w:val="000000" w:themeColor="text1"/>
          <w:sz w:val="16"/>
          <w:szCs w:val="16"/>
        </w:rPr>
        <w:softHyphen/>
        <w:t>щества самолета Ла-5: лучшую вертикальную скорость и маневренность, а также горизон</w:t>
      </w:r>
      <w:r w:rsidRPr="00D03F3E">
        <w:rPr>
          <w:rFonts w:ascii="Times New Roman" w:hAnsi="Times New Roman"/>
          <w:color w:val="000000" w:themeColor="text1"/>
          <w:sz w:val="16"/>
          <w:szCs w:val="16"/>
        </w:rPr>
        <w:softHyphen/>
        <w:t>тальную скорость на высотах больше 3000 м».</w:t>
      </w:r>
    </w:p>
    <w:p w14:paraId="11006FF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Незначительные потери МиГ-3 объясня</w:t>
      </w:r>
      <w:r w:rsidRPr="00D03F3E">
        <w:rPr>
          <w:rFonts w:ascii="Times New Roman" w:hAnsi="Times New Roman"/>
          <w:color w:val="000000" w:themeColor="text1"/>
          <w:sz w:val="16"/>
          <w:szCs w:val="16"/>
        </w:rPr>
        <w:softHyphen/>
        <w:t>лись главным образом специфическими усло</w:t>
      </w:r>
      <w:r w:rsidRPr="00D03F3E">
        <w:rPr>
          <w:rFonts w:ascii="Times New Roman" w:hAnsi="Times New Roman"/>
          <w:color w:val="000000" w:themeColor="text1"/>
          <w:sz w:val="16"/>
          <w:szCs w:val="16"/>
        </w:rPr>
        <w:softHyphen/>
        <w:t>виями их боевой работы. В основном они при</w:t>
      </w:r>
      <w:r w:rsidRPr="00D03F3E">
        <w:rPr>
          <w:rFonts w:ascii="Times New Roman" w:hAnsi="Times New Roman"/>
          <w:color w:val="000000" w:themeColor="text1"/>
          <w:sz w:val="16"/>
          <w:szCs w:val="16"/>
        </w:rPr>
        <w:softHyphen/>
        <w:t>менялись (из числа учтенных) в системе ПВО Ленинграда и на относительно спокойном Ка</w:t>
      </w:r>
      <w:r w:rsidRPr="00D03F3E">
        <w:rPr>
          <w:rFonts w:ascii="Times New Roman" w:hAnsi="Times New Roman"/>
          <w:color w:val="000000" w:themeColor="text1"/>
          <w:sz w:val="16"/>
          <w:szCs w:val="16"/>
        </w:rPr>
        <w:softHyphen/>
        <w:t>рельском фронте в ВВС 7-й ОА. В системе ПВО самолет МиГ-3 использовался в качестве ноч</w:t>
      </w:r>
      <w:r w:rsidRPr="00D03F3E">
        <w:rPr>
          <w:rFonts w:ascii="Times New Roman" w:hAnsi="Times New Roman"/>
          <w:color w:val="000000" w:themeColor="text1"/>
          <w:sz w:val="16"/>
          <w:szCs w:val="16"/>
        </w:rPr>
        <w:softHyphen/>
        <w:t>ного истребителя. К тому же общая подготов</w:t>
      </w:r>
      <w:r w:rsidRPr="00D03F3E">
        <w:rPr>
          <w:rFonts w:ascii="Times New Roman" w:hAnsi="Times New Roman"/>
          <w:color w:val="000000" w:themeColor="text1"/>
          <w:sz w:val="16"/>
          <w:szCs w:val="16"/>
        </w:rPr>
        <w:softHyphen/>
        <w:t>ка летного состава в частях ПВО была несколь</w:t>
      </w:r>
      <w:r w:rsidRPr="00D03F3E">
        <w:rPr>
          <w:rFonts w:ascii="Times New Roman" w:hAnsi="Times New Roman"/>
          <w:color w:val="000000" w:themeColor="text1"/>
          <w:sz w:val="16"/>
          <w:szCs w:val="16"/>
        </w:rPr>
        <w:softHyphen/>
        <w:t>ко лучше, чем в воздушных армиях.</w:t>
      </w:r>
    </w:p>
    <w:p w14:paraId="58D474FA"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Небоевые потери труднее поддаются ана</w:t>
      </w:r>
      <w:r w:rsidRPr="00D03F3E">
        <w:rPr>
          <w:rFonts w:ascii="Times New Roman" w:hAnsi="Times New Roman"/>
          <w:color w:val="000000" w:themeColor="text1"/>
          <w:sz w:val="16"/>
          <w:szCs w:val="16"/>
        </w:rPr>
        <w:softHyphen/>
        <w:t>лизу в силу неполноты учета небоевого нале</w:t>
      </w:r>
      <w:r w:rsidRPr="00D03F3E">
        <w:rPr>
          <w:rFonts w:ascii="Times New Roman" w:hAnsi="Times New Roman"/>
          <w:color w:val="000000" w:themeColor="text1"/>
          <w:sz w:val="16"/>
          <w:szCs w:val="16"/>
        </w:rPr>
        <w:softHyphen/>
        <w:t>та. Однако на основании имеющихся данных «со всей очевидностью вытекает, что основ</w:t>
      </w:r>
      <w:r w:rsidRPr="00D03F3E">
        <w:rPr>
          <w:rFonts w:ascii="Times New Roman" w:hAnsi="Times New Roman"/>
          <w:color w:val="000000" w:themeColor="text1"/>
          <w:sz w:val="16"/>
          <w:szCs w:val="16"/>
        </w:rPr>
        <w:softHyphen/>
        <w:t>ной определяющей причиной небоевых по</w:t>
      </w:r>
      <w:r w:rsidRPr="00D03F3E">
        <w:rPr>
          <w:rFonts w:ascii="Times New Roman" w:hAnsi="Times New Roman"/>
          <w:color w:val="000000" w:themeColor="text1"/>
          <w:sz w:val="16"/>
          <w:szCs w:val="16"/>
        </w:rPr>
        <w:softHyphen/>
        <w:t>терь является сложность пилотирования са</w:t>
      </w:r>
      <w:r w:rsidRPr="00D03F3E">
        <w:rPr>
          <w:rFonts w:ascii="Times New Roman" w:hAnsi="Times New Roman"/>
          <w:color w:val="000000" w:themeColor="text1"/>
          <w:sz w:val="16"/>
          <w:szCs w:val="16"/>
        </w:rPr>
        <w:softHyphen/>
        <w:t>молета». Вторым по значимости фактором, влияющим на аварийность, была общая проч</w:t>
      </w:r>
      <w:r w:rsidRPr="00D03F3E">
        <w:rPr>
          <w:rFonts w:ascii="Times New Roman" w:hAnsi="Times New Roman"/>
          <w:color w:val="000000" w:themeColor="text1"/>
          <w:sz w:val="16"/>
          <w:szCs w:val="16"/>
        </w:rPr>
        <w:softHyphen/>
        <w:t>ность конструкции самолета, особенно проч</w:t>
      </w:r>
      <w:r w:rsidRPr="00D03F3E">
        <w:rPr>
          <w:rFonts w:ascii="Times New Roman" w:hAnsi="Times New Roman"/>
          <w:color w:val="000000" w:themeColor="text1"/>
          <w:sz w:val="16"/>
          <w:szCs w:val="16"/>
        </w:rPr>
        <w:softHyphen/>
        <w:t>ность шасси.</w:t>
      </w:r>
    </w:p>
    <w:p w14:paraId="69988CA2"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Выводы оперативного управления ВВС КА сводились к следующему. Основные потери истребительная и бомбардировочная авиация несла в воздушном бою. Потери штурмовиков от огня зенитных средств и в воздушном бою были примерно одинаковыми, а по неустанов</w:t>
      </w:r>
      <w:r w:rsidRPr="00D03F3E">
        <w:rPr>
          <w:rFonts w:ascii="Times New Roman" w:hAnsi="Times New Roman"/>
          <w:color w:val="000000" w:themeColor="text1"/>
          <w:sz w:val="16"/>
          <w:szCs w:val="16"/>
        </w:rPr>
        <w:softHyphen/>
        <w:t>ленным причинам - чрезвычайно большими. Это свидетельствовало о слабом наблюдении экипажами за соседними самолетами и недо</w:t>
      </w:r>
      <w:r w:rsidRPr="00D03F3E">
        <w:rPr>
          <w:rFonts w:ascii="Times New Roman" w:hAnsi="Times New Roman"/>
          <w:color w:val="000000" w:themeColor="text1"/>
          <w:sz w:val="16"/>
          <w:szCs w:val="16"/>
        </w:rPr>
        <w:softHyphen/>
        <w:t>статочной сплоченности групп. Потери истре</w:t>
      </w:r>
      <w:r w:rsidRPr="00D03F3E">
        <w:rPr>
          <w:rFonts w:ascii="Times New Roman" w:hAnsi="Times New Roman"/>
          <w:color w:val="000000" w:themeColor="text1"/>
          <w:sz w:val="16"/>
          <w:szCs w:val="16"/>
        </w:rPr>
        <w:softHyphen/>
        <w:t>бителей в значительной мере зависели от жи</w:t>
      </w:r>
      <w:r w:rsidRPr="00D03F3E">
        <w:rPr>
          <w:rFonts w:ascii="Times New Roman" w:hAnsi="Times New Roman"/>
          <w:color w:val="000000" w:themeColor="text1"/>
          <w:sz w:val="16"/>
          <w:szCs w:val="16"/>
        </w:rPr>
        <w:softHyphen/>
        <w:t>вучести мотора, что особенно наглядно пока</w:t>
      </w:r>
      <w:r w:rsidRPr="00D03F3E">
        <w:rPr>
          <w:rFonts w:ascii="Times New Roman" w:hAnsi="Times New Roman"/>
          <w:color w:val="000000" w:themeColor="text1"/>
          <w:sz w:val="16"/>
          <w:szCs w:val="16"/>
        </w:rPr>
        <w:softHyphen/>
        <w:t>зывает анализ потерь истребителей И-15бис, И-16, И-153. Мотор воздушного охлаждения значительно повышал продолжительность бо</w:t>
      </w:r>
      <w:r w:rsidRPr="00D03F3E">
        <w:rPr>
          <w:rFonts w:ascii="Times New Roman" w:hAnsi="Times New Roman"/>
          <w:color w:val="000000" w:themeColor="text1"/>
          <w:sz w:val="16"/>
          <w:szCs w:val="16"/>
        </w:rPr>
        <w:softHyphen/>
        <w:t>евой службы самолета. Из всех летно-тактиче- ских характеристик самолета определяющее влияние на увеличение продолжительности бо</w:t>
      </w:r>
      <w:r w:rsidRPr="00D03F3E">
        <w:rPr>
          <w:rFonts w:ascii="Times New Roman" w:hAnsi="Times New Roman"/>
          <w:color w:val="000000" w:themeColor="text1"/>
          <w:sz w:val="16"/>
          <w:szCs w:val="16"/>
        </w:rPr>
        <w:softHyphen/>
        <w:t>евой службы истребителей оказывала манев</w:t>
      </w:r>
      <w:r w:rsidRPr="00D03F3E">
        <w:rPr>
          <w:rFonts w:ascii="Times New Roman" w:hAnsi="Times New Roman"/>
          <w:color w:val="000000" w:themeColor="text1"/>
          <w:sz w:val="16"/>
          <w:szCs w:val="16"/>
        </w:rPr>
        <w:softHyphen/>
        <w:t>ренность.</w:t>
      </w:r>
    </w:p>
    <w:p w14:paraId="1C581FA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Считалось, что невысокие потери легких маневренных штурмовиков (истребители ста</w:t>
      </w:r>
      <w:r w:rsidRPr="00D03F3E">
        <w:rPr>
          <w:rFonts w:ascii="Times New Roman" w:hAnsi="Times New Roman"/>
          <w:color w:val="000000" w:themeColor="text1"/>
          <w:sz w:val="16"/>
          <w:szCs w:val="16"/>
        </w:rPr>
        <w:softHyphen/>
        <w:t>рых типов, применяемых в качестве штурмо</w:t>
      </w:r>
      <w:r w:rsidRPr="00D03F3E">
        <w:rPr>
          <w:rFonts w:ascii="Times New Roman" w:hAnsi="Times New Roman"/>
          <w:color w:val="000000" w:themeColor="text1"/>
          <w:sz w:val="16"/>
          <w:szCs w:val="16"/>
        </w:rPr>
        <w:softHyphen/>
        <w:t>виков) по сравнению с одноместным брониро</w:t>
      </w:r>
      <w:r w:rsidRPr="00D03F3E">
        <w:rPr>
          <w:rFonts w:ascii="Times New Roman" w:hAnsi="Times New Roman"/>
          <w:color w:val="000000" w:themeColor="text1"/>
          <w:sz w:val="16"/>
          <w:szCs w:val="16"/>
        </w:rPr>
        <w:softHyphen/>
        <w:t>ванным штурмовиком Ил-2 объясняются нали</w:t>
      </w:r>
      <w:r w:rsidRPr="00D03F3E">
        <w:rPr>
          <w:rFonts w:ascii="Times New Roman" w:hAnsi="Times New Roman"/>
          <w:color w:val="000000" w:themeColor="text1"/>
          <w:sz w:val="16"/>
          <w:szCs w:val="16"/>
        </w:rPr>
        <w:softHyphen/>
        <w:t>чием на них моторов воздушного охлаждения, большей маневренностью и лучшими возмож</w:t>
      </w:r>
      <w:r w:rsidRPr="00D03F3E">
        <w:rPr>
          <w:rFonts w:ascii="Times New Roman" w:hAnsi="Times New Roman"/>
          <w:color w:val="000000" w:themeColor="text1"/>
          <w:sz w:val="16"/>
          <w:szCs w:val="16"/>
        </w:rPr>
        <w:softHyphen/>
        <w:t>ностями по ведению воздушного боя с истре</w:t>
      </w:r>
      <w:r w:rsidRPr="00D03F3E">
        <w:rPr>
          <w:rFonts w:ascii="Times New Roman" w:hAnsi="Times New Roman"/>
          <w:color w:val="000000" w:themeColor="text1"/>
          <w:sz w:val="16"/>
          <w:szCs w:val="16"/>
        </w:rPr>
        <w:softHyphen/>
        <w:t>бителями.</w:t>
      </w:r>
    </w:p>
    <w:p w14:paraId="7BC44793"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Поскольку первый опыт применения двух</w:t>
      </w:r>
      <w:r w:rsidRPr="00D03F3E">
        <w:rPr>
          <w:rFonts w:ascii="Times New Roman" w:hAnsi="Times New Roman"/>
          <w:color w:val="000000" w:themeColor="text1"/>
          <w:sz w:val="16"/>
          <w:szCs w:val="16"/>
        </w:rPr>
        <w:softHyphen/>
        <w:t>местных Ил-2 показал, что они несут мень</w:t>
      </w:r>
      <w:r w:rsidRPr="00D03F3E">
        <w:rPr>
          <w:rFonts w:ascii="Times New Roman" w:hAnsi="Times New Roman"/>
          <w:color w:val="000000" w:themeColor="text1"/>
          <w:sz w:val="16"/>
          <w:szCs w:val="16"/>
        </w:rPr>
        <w:softHyphen/>
        <w:t>шие потери от истребителей противника, чем одноместные, то предлагалось «отдельно со</w:t>
      </w:r>
      <w:r w:rsidRPr="00D03F3E">
        <w:rPr>
          <w:rFonts w:ascii="Times New Roman" w:hAnsi="Times New Roman"/>
          <w:color w:val="000000" w:themeColor="text1"/>
          <w:sz w:val="16"/>
          <w:szCs w:val="16"/>
        </w:rPr>
        <w:softHyphen/>
        <w:t>брать материал о потерях двухместных Ил-2, сравнить с потерями штурмовиков-истребите- лей от ИА противника». При выводах в пользу штурмовика-истребителя считалось целесоо</w:t>
      </w:r>
      <w:r w:rsidRPr="00D03F3E">
        <w:rPr>
          <w:rFonts w:ascii="Times New Roman" w:hAnsi="Times New Roman"/>
          <w:color w:val="000000" w:themeColor="text1"/>
          <w:sz w:val="16"/>
          <w:szCs w:val="16"/>
        </w:rPr>
        <w:softHyphen/>
        <w:t>бразным «поставить вопрос о создании опыт</w:t>
      </w:r>
      <w:r w:rsidRPr="00D03F3E">
        <w:rPr>
          <w:rFonts w:ascii="Times New Roman" w:hAnsi="Times New Roman"/>
          <w:color w:val="000000" w:themeColor="text1"/>
          <w:sz w:val="16"/>
          <w:szCs w:val="16"/>
        </w:rPr>
        <w:softHyphen/>
        <w:t>ного легкого небронированного штурмовика, с хорошей маневренностью и большой скоро</w:t>
      </w:r>
      <w:r w:rsidRPr="00D03F3E">
        <w:rPr>
          <w:rFonts w:ascii="Times New Roman" w:hAnsi="Times New Roman"/>
          <w:color w:val="000000" w:themeColor="text1"/>
          <w:sz w:val="16"/>
          <w:szCs w:val="16"/>
        </w:rPr>
        <w:softHyphen/>
        <w:t>стью для поражения живой силы и легкой ма</w:t>
      </w:r>
      <w:r w:rsidRPr="00D03F3E">
        <w:rPr>
          <w:rFonts w:ascii="Times New Roman" w:hAnsi="Times New Roman"/>
          <w:color w:val="000000" w:themeColor="text1"/>
          <w:sz w:val="16"/>
          <w:szCs w:val="16"/>
        </w:rPr>
        <w:softHyphen/>
        <w:t>териальной части».</w:t>
      </w:r>
    </w:p>
    <w:p w14:paraId="33FACBCA" w14:textId="77777777" w:rsidR="0066261B" w:rsidRPr="00D03F3E" w:rsidRDefault="0066261B" w:rsidP="00D03F3E">
      <w:pPr>
        <w:spacing w:after="0" w:line="240" w:lineRule="auto"/>
        <w:jc w:val="both"/>
        <w:rPr>
          <w:rFonts w:ascii="Times New Roman" w:hAnsi="Times New Roman"/>
          <w:color w:val="000000" w:themeColor="text1"/>
          <w:sz w:val="16"/>
          <w:szCs w:val="16"/>
        </w:rPr>
      </w:pPr>
    </w:p>
    <w:p w14:paraId="3768C1C0"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проводилась первая крупная операция планеров. В ру</w:t>
      </w:r>
      <w:r w:rsidRPr="00D03F3E">
        <w:rPr>
          <w:rFonts w:ascii="Times New Roman" w:hAnsi="Times New Roman"/>
          <w:color w:val="000000" w:themeColor="text1"/>
          <w:sz w:val="16"/>
          <w:szCs w:val="16"/>
        </w:rPr>
        <w:softHyphen/>
        <w:t>ках белорусских партизан находился Бегомльский аэродром, где и произ</w:t>
      </w:r>
      <w:r w:rsidRPr="00D03F3E">
        <w:rPr>
          <w:rFonts w:ascii="Times New Roman" w:hAnsi="Times New Roman"/>
          <w:color w:val="000000" w:themeColor="text1"/>
          <w:sz w:val="16"/>
          <w:szCs w:val="16"/>
        </w:rPr>
        <w:softHyphen/>
        <w:t>водилась посадка. Планёры летали и в другие места, где базировались пар</w:t>
      </w:r>
      <w:r w:rsidRPr="00D03F3E">
        <w:rPr>
          <w:rFonts w:ascii="Times New Roman" w:hAnsi="Times New Roman"/>
          <w:color w:val="000000" w:themeColor="text1"/>
          <w:sz w:val="16"/>
          <w:szCs w:val="16"/>
        </w:rPr>
        <w:softHyphen/>
        <w:t>тизаны.</w:t>
      </w:r>
    </w:p>
    <w:p w14:paraId="48DDB38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2-й уапп был придан 3-й воздушной армии на Калининском фронте. Полё</w:t>
      </w:r>
      <w:r w:rsidRPr="00D03F3E">
        <w:rPr>
          <w:rFonts w:ascii="Times New Roman" w:hAnsi="Times New Roman"/>
          <w:color w:val="000000" w:themeColor="text1"/>
          <w:sz w:val="16"/>
          <w:szCs w:val="16"/>
        </w:rPr>
        <w:softHyphen/>
        <w:t>ты выполнялись с аэродрома Старая Торопа. На лётном поле самолёты и планёры, словно на параде, были выстроены в ряды на линии предва</w:t>
      </w:r>
      <w:r w:rsidRPr="00D03F3E">
        <w:rPr>
          <w:rFonts w:ascii="Times New Roman" w:hAnsi="Times New Roman"/>
          <w:color w:val="000000" w:themeColor="text1"/>
          <w:sz w:val="16"/>
          <w:szCs w:val="16"/>
        </w:rPr>
        <w:softHyphen/>
        <w:t>рительного старта. Стальные тросы длиной 95 - 110 м примыкались кон</w:t>
      </w:r>
      <w:r w:rsidRPr="00D03F3E">
        <w:rPr>
          <w:rFonts w:ascii="Times New Roman" w:hAnsi="Times New Roman"/>
          <w:color w:val="000000" w:themeColor="text1"/>
          <w:sz w:val="16"/>
          <w:szCs w:val="16"/>
        </w:rPr>
        <w:softHyphen/>
        <w:t>цами к замкам на хвостах самолётов и к носам планёров. Замки пломбирова</w:t>
      </w:r>
      <w:r w:rsidRPr="00D03F3E">
        <w:rPr>
          <w:rFonts w:ascii="Times New Roman" w:hAnsi="Times New Roman"/>
          <w:color w:val="000000" w:themeColor="text1"/>
          <w:sz w:val="16"/>
          <w:szCs w:val="16"/>
        </w:rPr>
        <w:softHyphen/>
        <w:t>лись. Если буксировщик не привозил из полёта трос или прилетал с нарушен</w:t>
      </w:r>
      <w:r w:rsidRPr="00D03F3E">
        <w:rPr>
          <w:rFonts w:ascii="Times New Roman" w:hAnsi="Times New Roman"/>
          <w:color w:val="000000" w:themeColor="text1"/>
          <w:sz w:val="16"/>
          <w:szCs w:val="16"/>
        </w:rPr>
        <w:softHyphen/>
        <w:t>ной пломбой, то пилот мог попасть под трибунал «за преднамеренную отцепку планёра».</w:t>
      </w:r>
    </w:p>
    <w:p w14:paraId="7C3CEE2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качестве буксировщиков исполь</w:t>
      </w:r>
      <w:r w:rsidRPr="00D03F3E">
        <w:rPr>
          <w:rFonts w:ascii="Times New Roman" w:hAnsi="Times New Roman"/>
          <w:color w:val="000000" w:themeColor="text1"/>
          <w:sz w:val="16"/>
          <w:szCs w:val="16"/>
        </w:rPr>
        <w:softHyphen/>
        <w:t>зовались самолёты СБ, Ли-2, ТБ-3 или ДБ-ЗФ (Ил-4), иногда применяли Р-6 или истребитель «Харрикейн». Ли-2 и ДБ-ЗФ, имевшие более мощные двига</w:t>
      </w:r>
      <w:r w:rsidRPr="00D03F3E">
        <w:rPr>
          <w:rFonts w:ascii="Times New Roman" w:hAnsi="Times New Roman"/>
          <w:color w:val="000000" w:themeColor="text1"/>
          <w:sz w:val="16"/>
          <w:szCs w:val="16"/>
        </w:rPr>
        <w:softHyphen/>
        <w:t>тели, могли буксировать сразу пару А-7.</w:t>
      </w:r>
    </w:p>
    <w:p w14:paraId="488A0DA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Ли-2 сам являлся транспортным само</w:t>
      </w:r>
      <w:r w:rsidRPr="00D03F3E">
        <w:rPr>
          <w:rFonts w:ascii="Times New Roman" w:hAnsi="Times New Roman"/>
          <w:color w:val="000000" w:themeColor="text1"/>
          <w:sz w:val="16"/>
          <w:szCs w:val="16"/>
        </w:rPr>
        <w:softHyphen/>
        <w:t>лётом. При буксировке одного планё</w:t>
      </w:r>
      <w:r w:rsidRPr="00D03F3E">
        <w:rPr>
          <w:rFonts w:ascii="Times New Roman" w:hAnsi="Times New Roman"/>
          <w:color w:val="000000" w:themeColor="text1"/>
          <w:sz w:val="16"/>
          <w:szCs w:val="16"/>
        </w:rPr>
        <w:softHyphen/>
        <w:t>ра в его кабину брали некоторое коли</w:t>
      </w:r>
      <w:r w:rsidRPr="00D03F3E">
        <w:rPr>
          <w:rFonts w:ascii="Times New Roman" w:hAnsi="Times New Roman"/>
          <w:color w:val="000000" w:themeColor="text1"/>
          <w:sz w:val="16"/>
          <w:szCs w:val="16"/>
        </w:rPr>
        <w:softHyphen/>
        <w:t>чество груза в парашютных десантных мешках. Их сбрасывали после отцепки планёра, на втором заходе. СБ и Ил-4 иногда несли мешки на бомбодержа</w:t>
      </w:r>
      <w:r w:rsidRPr="00D03F3E">
        <w:rPr>
          <w:rFonts w:ascii="Times New Roman" w:hAnsi="Times New Roman"/>
          <w:color w:val="000000" w:themeColor="text1"/>
          <w:sz w:val="16"/>
          <w:szCs w:val="16"/>
        </w:rPr>
        <w:softHyphen/>
        <w:t>телях. Позже в планёрные полки пе</w:t>
      </w:r>
      <w:r w:rsidRPr="00D03F3E">
        <w:rPr>
          <w:rFonts w:ascii="Times New Roman" w:hAnsi="Times New Roman"/>
          <w:color w:val="000000" w:themeColor="text1"/>
          <w:sz w:val="16"/>
          <w:szCs w:val="16"/>
        </w:rPr>
        <w:softHyphen/>
        <w:t>редавались также трофейные самолё</w:t>
      </w:r>
      <w:r w:rsidRPr="00D03F3E">
        <w:rPr>
          <w:rFonts w:ascii="Times New Roman" w:hAnsi="Times New Roman"/>
          <w:color w:val="000000" w:themeColor="text1"/>
          <w:sz w:val="16"/>
          <w:szCs w:val="16"/>
        </w:rPr>
        <w:softHyphen/>
        <w:t>ты, такие как ^ 87, Не 111 и ^ 88. Их использовали до появления опасных для эксплуатации дефектов, потом списывали.</w:t>
      </w:r>
    </w:p>
    <w:p w14:paraId="733AFA0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Полёты выполнялись ночью, одиноч</w:t>
      </w:r>
      <w:r w:rsidRPr="00D03F3E">
        <w:rPr>
          <w:rFonts w:ascii="Times New Roman" w:hAnsi="Times New Roman"/>
          <w:color w:val="000000" w:themeColor="text1"/>
          <w:sz w:val="16"/>
          <w:szCs w:val="16"/>
        </w:rPr>
        <w:softHyphen/>
        <w:t>ными связками с интервалами между ними. Всего в группе могло быть до десятка связок.</w:t>
      </w:r>
    </w:p>
    <w:p w14:paraId="38963B54"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Планерист ориентировался по пламе</w:t>
      </w:r>
      <w:r w:rsidRPr="00D03F3E">
        <w:rPr>
          <w:rFonts w:ascii="Times New Roman" w:hAnsi="Times New Roman"/>
          <w:color w:val="000000" w:themeColor="text1"/>
          <w:sz w:val="16"/>
          <w:szCs w:val="16"/>
        </w:rPr>
        <w:softHyphen/>
        <w:t>ни из выхлопных патрубков моторов са</w:t>
      </w:r>
      <w:r w:rsidRPr="00D03F3E">
        <w:rPr>
          <w:rFonts w:ascii="Times New Roman" w:hAnsi="Times New Roman"/>
          <w:color w:val="000000" w:themeColor="text1"/>
          <w:sz w:val="16"/>
          <w:szCs w:val="16"/>
        </w:rPr>
        <w:softHyphen/>
        <w:t>молёта. Связи между ним и буксировщи</w:t>
      </w:r>
      <w:r w:rsidRPr="00D03F3E">
        <w:rPr>
          <w:rFonts w:ascii="Times New Roman" w:hAnsi="Times New Roman"/>
          <w:color w:val="000000" w:themeColor="text1"/>
          <w:sz w:val="16"/>
          <w:szCs w:val="16"/>
        </w:rPr>
        <w:softHyphen/>
        <w:t>ком не было, общение только условными световыми сигналами и знаками. Цель обозначалась на местности кострами, выложенными определённым образом. О моменте отцепки пилоту сообщали миганием аэронавигационными огнями. Далее он действовал самостоятельно. Предстояло в темноте найти площадку, определиться с направлением захода и собственно приземлиться, по возмож</w:t>
      </w:r>
      <w:r w:rsidRPr="00D03F3E">
        <w:rPr>
          <w:rFonts w:ascii="Times New Roman" w:hAnsi="Times New Roman"/>
          <w:color w:val="000000" w:themeColor="text1"/>
          <w:sz w:val="16"/>
          <w:szCs w:val="16"/>
        </w:rPr>
        <w:softHyphen/>
        <w:t>ности не разбив аппарат. Тем временем буксировщик сбрасывал тот груз, что перевозил сам, и уходил домой.</w:t>
      </w:r>
    </w:p>
    <w:p w14:paraId="766ED144"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расчётам штабов, задача счита</w:t>
      </w:r>
      <w:r w:rsidRPr="00D03F3E">
        <w:rPr>
          <w:rFonts w:ascii="Times New Roman" w:hAnsi="Times New Roman"/>
          <w:color w:val="000000" w:themeColor="text1"/>
          <w:sz w:val="16"/>
          <w:szCs w:val="16"/>
        </w:rPr>
        <w:softHyphen/>
        <w:t>лась выполненной, если в назначенное место прибывал один планёр из трёх. Таким образом, сразу ориентировались на две трети потерь!</w:t>
      </w:r>
    </w:p>
    <w:p w14:paraId="145F100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60 боевых вылетов к партиза</w:t>
      </w:r>
      <w:r w:rsidRPr="00D03F3E">
        <w:rPr>
          <w:rFonts w:ascii="Times New Roman" w:hAnsi="Times New Roman"/>
          <w:color w:val="000000" w:themeColor="text1"/>
          <w:sz w:val="16"/>
          <w:szCs w:val="16"/>
        </w:rPr>
        <w:softHyphen/>
        <w:t>нам были доставлены 142 человека, 4 т взрывчатки, 12 000 ручных гранат, 100 противотанковых ружей, 95 мино</w:t>
      </w:r>
      <w:r w:rsidRPr="00D03F3E">
        <w:rPr>
          <w:rFonts w:ascii="Times New Roman" w:hAnsi="Times New Roman"/>
          <w:color w:val="000000" w:themeColor="text1"/>
          <w:sz w:val="16"/>
          <w:szCs w:val="16"/>
        </w:rPr>
        <w:softHyphen/>
        <w:t>мётов, 1900 автоматов, 700 винтовок, 95 000 патронов, 3 т медикаментов и другие грузы, в том числе и пищевая соль..</w:t>
      </w:r>
    </w:p>
    <w:p w14:paraId="1DF7570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приземления планёр разгру</w:t>
      </w:r>
      <w:r w:rsidRPr="00D03F3E">
        <w:rPr>
          <w:rFonts w:ascii="Times New Roman" w:hAnsi="Times New Roman"/>
          <w:color w:val="000000" w:themeColor="text1"/>
          <w:sz w:val="16"/>
          <w:szCs w:val="16"/>
        </w:rPr>
        <w:softHyphen/>
        <w:t>жали. В большинстве случаев букси</w:t>
      </w:r>
      <w:r w:rsidRPr="00D03F3E">
        <w:rPr>
          <w:rFonts w:ascii="Times New Roman" w:hAnsi="Times New Roman"/>
          <w:color w:val="000000" w:themeColor="text1"/>
          <w:sz w:val="16"/>
          <w:szCs w:val="16"/>
        </w:rPr>
        <w:softHyphen/>
        <w:t>ровщик с партизанской площадки взле</w:t>
      </w:r>
      <w:r w:rsidRPr="00D03F3E">
        <w:rPr>
          <w:rFonts w:ascii="Times New Roman" w:hAnsi="Times New Roman"/>
          <w:color w:val="000000" w:themeColor="text1"/>
          <w:sz w:val="16"/>
          <w:szCs w:val="16"/>
        </w:rPr>
        <w:softHyphen/>
        <w:t>теть не мог, поэтому планёр сжигали, а пилот оставался в отряде, пока его не вывозили (12266).</w:t>
      </w:r>
    </w:p>
    <w:p w14:paraId="34D28A00"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0C04EF6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 проводи</w:t>
      </w:r>
      <w:r w:rsidRPr="00D03F3E">
        <w:rPr>
          <w:rFonts w:ascii="Times New Roman" w:hAnsi="Times New Roman"/>
          <w:color w:val="000000" w:themeColor="text1"/>
          <w:sz w:val="16"/>
          <w:szCs w:val="16"/>
        </w:rPr>
        <w:softHyphen/>
        <w:t>лась первая крупная операция по снабжению партизан с использованием планеров. В руках белорусских партизан находился Бегомльский аэродром, где и производи</w:t>
      </w:r>
      <w:r w:rsidRPr="00D03F3E">
        <w:rPr>
          <w:rFonts w:ascii="Times New Roman" w:hAnsi="Times New Roman"/>
          <w:color w:val="000000" w:themeColor="text1"/>
          <w:sz w:val="16"/>
          <w:szCs w:val="16"/>
        </w:rPr>
        <w:softHyphen/>
        <w:t>лась посадка. Планеры летали и в другие места, где базировались партизаны.</w:t>
      </w:r>
    </w:p>
    <w:p w14:paraId="34610E3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качестве буксировщиков использовались само</w:t>
      </w:r>
      <w:r w:rsidRPr="00D03F3E">
        <w:rPr>
          <w:rFonts w:ascii="Times New Roman" w:hAnsi="Times New Roman"/>
          <w:color w:val="000000" w:themeColor="text1"/>
          <w:sz w:val="16"/>
          <w:szCs w:val="16"/>
        </w:rPr>
        <w:softHyphen/>
        <w:t>леты СБ, Ли-2, ТБ-3 или ДБ-ЗФ (Ил-4), иногда при</w:t>
      </w:r>
      <w:r w:rsidRPr="00D03F3E">
        <w:rPr>
          <w:rFonts w:ascii="Times New Roman" w:hAnsi="Times New Roman"/>
          <w:color w:val="000000" w:themeColor="text1"/>
          <w:sz w:val="16"/>
          <w:szCs w:val="16"/>
        </w:rPr>
        <w:softHyphen/>
        <w:t>меняли Р-6 или истребитель «Харрикейн». Ли-2 и ДБ-ЗФ, имевшие более мощные двигатели, могли буксировать сразу пару А-7. Ли-2 сам являлся транс</w:t>
      </w:r>
      <w:r w:rsidRPr="00D03F3E">
        <w:rPr>
          <w:rFonts w:ascii="Times New Roman" w:hAnsi="Times New Roman"/>
          <w:color w:val="000000" w:themeColor="text1"/>
          <w:sz w:val="16"/>
          <w:szCs w:val="16"/>
        </w:rPr>
        <w:softHyphen/>
        <w:t>портным самолетом. При буксировке одного планера в его кабину брали некоторое количество груза в па</w:t>
      </w:r>
      <w:r w:rsidRPr="00D03F3E">
        <w:rPr>
          <w:rFonts w:ascii="Times New Roman" w:hAnsi="Times New Roman"/>
          <w:color w:val="000000" w:themeColor="text1"/>
          <w:sz w:val="16"/>
          <w:szCs w:val="16"/>
        </w:rPr>
        <w:softHyphen/>
        <w:t>рашютных десантных мешках. Их сбрасывали после отцепки планера, на втором заходе. СБ и Ил-4 иногда несли мешки на бомбодержателях. Позже в планер</w:t>
      </w:r>
      <w:r w:rsidRPr="00D03F3E">
        <w:rPr>
          <w:rFonts w:ascii="Times New Roman" w:hAnsi="Times New Roman"/>
          <w:color w:val="000000" w:themeColor="text1"/>
          <w:sz w:val="16"/>
          <w:szCs w:val="16"/>
        </w:rPr>
        <w:softHyphen/>
        <w:t>ные полки передавались также трофейные самолеты, такие, как ии-87, Не-111 и ч1и-88. Их использовали до появления опасных для эксплуатации дефектов, по</w:t>
      </w:r>
      <w:r w:rsidRPr="00D03F3E">
        <w:rPr>
          <w:rFonts w:ascii="Times New Roman" w:hAnsi="Times New Roman"/>
          <w:color w:val="000000" w:themeColor="text1"/>
          <w:sz w:val="16"/>
          <w:szCs w:val="16"/>
        </w:rPr>
        <w:softHyphen/>
        <w:t>том списывали.</w:t>
      </w:r>
    </w:p>
    <w:p w14:paraId="0A6C59D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Полеты выполнялись ночью, одиночными связка</w:t>
      </w:r>
      <w:r w:rsidRPr="00D03F3E">
        <w:rPr>
          <w:rFonts w:ascii="Times New Roman" w:hAnsi="Times New Roman"/>
          <w:color w:val="000000" w:themeColor="text1"/>
          <w:sz w:val="16"/>
          <w:szCs w:val="16"/>
        </w:rPr>
        <w:softHyphen/>
        <w:t>ми с интервалами между ними. Всего в группе могло быть до десятка аэросцепок.</w:t>
      </w:r>
    </w:p>
    <w:p w14:paraId="79BF1D2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Планерист ориентировался по пламени из выхлоп</w:t>
      </w:r>
      <w:r w:rsidRPr="00D03F3E">
        <w:rPr>
          <w:rFonts w:ascii="Times New Roman" w:hAnsi="Times New Roman"/>
          <w:color w:val="000000" w:themeColor="text1"/>
          <w:sz w:val="16"/>
          <w:szCs w:val="16"/>
        </w:rPr>
        <w:softHyphen/>
        <w:t>ных патрубков моторов самолета. Связи между ним и буксировщиком не было, общение только условными световыми сигналами и знаками. Цель обозначалась на местности кострами, выложенными определен</w:t>
      </w:r>
      <w:r w:rsidRPr="00D03F3E">
        <w:rPr>
          <w:rFonts w:ascii="Times New Roman" w:hAnsi="Times New Roman"/>
          <w:color w:val="000000" w:themeColor="text1"/>
          <w:sz w:val="16"/>
          <w:szCs w:val="16"/>
        </w:rPr>
        <w:softHyphen/>
        <w:t>ным образом. О моменте отцепки пилоту сообщали миганием аэронавигационными огнями. Далее он действовал самостоятельно. Предстояло в темноте найти площадку, определиться с направлением захо</w:t>
      </w:r>
      <w:r w:rsidRPr="00D03F3E">
        <w:rPr>
          <w:rFonts w:ascii="Times New Roman" w:hAnsi="Times New Roman"/>
          <w:color w:val="000000" w:themeColor="text1"/>
          <w:sz w:val="16"/>
          <w:szCs w:val="16"/>
        </w:rPr>
        <w:softHyphen/>
        <w:t>да и, собственно, приземлиться, по возможности не разбив аппарат. Тем временем буксировщик сбрасы</w:t>
      </w:r>
      <w:r w:rsidRPr="00D03F3E">
        <w:rPr>
          <w:rFonts w:ascii="Times New Roman" w:hAnsi="Times New Roman"/>
          <w:color w:val="000000" w:themeColor="text1"/>
          <w:sz w:val="16"/>
          <w:szCs w:val="16"/>
        </w:rPr>
        <w:softHyphen/>
        <w:t>вал тот груз, что перевозил сам, и уходил домой.</w:t>
      </w:r>
    </w:p>
    <w:p w14:paraId="33CDC2F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расчетам штабов, задача считалась выполнен</w:t>
      </w:r>
      <w:r w:rsidRPr="00D03F3E">
        <w:rPr>
          <w:rFonts w:ascii="Times New Roman" w:hAnsi="Times New Roman"/>
          <w:color w:val="000000" w:themeColor="text1"/>
          <w:sz w:val="16"/>
          <w:szCs w:val="16"/>
        </w:rPr>
        <w:softHyphen/>
        <w:t>ной, если в назначенное место прибывал один планер из трех. Таким образом, сразу ориентировались на две трети потерь!</w:t>
      </w:r>
    </w:p>
    <w:p w14:paraId="77BD9CA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приземления планер разгружали. В боль</w:t>
      </w:r>
      <w:r w:rsidRPr="00D03F3E">
        <w:rPr>
          <w:rFonts w:ascii="Times New Roman" w:hAnsi="Times New Roman"/>
          <w:color w:val="000000" w:themeColor="text1"/>
          <w:sz w:val="16"/>
          <w:szCs w:val="16"/>
        </w:rPr>
        <w:softHyphen/>
        <w:t>шинстве случаев буксировщик с партизанской пло</w:t>
      </w:r>
      <w:r w:rsidRPr="00D03F3E">
        <w:rPr>
          <w:rFonts w:ascii="Times New Roman" w:hAnsi="Times New Roman"/>
          <w:color w:val="000000" w:themeColor="text1"/>
          <w:sz w:val="16"/>
          <w:szCs w:val="16"/>
        </w:rPr>
        <w:softHyphen/>
        <w:t>щадки взлететь не мог, поэтому планер сжигали, а пилот оставался в отряде, пока его не вывозил какой- нибудь самолет. Если места хватало, буксировщик садился и увозил планер обратно, заполненный ра</w:t>
      </w:r>
      <w:r w:rsidRPr="00D03F3E">
        <w:rPr>
          <w:rFonts w:ascii="Times New Roman" w:hAnsi="Times New Roman"/>
          <w:color w:val="000000" w:themeColor="text1"/>
          <w:sz w:val="16"/>
          <w:szCs w:val="16"/>
        </w:rPr>
        <w:softHyphen/>
        <w:t>неными.</w:t>
      </w:r>
    </w:p>
    <w:p w14:paraId="402F967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60 боевых вылетов к партизанам было достав</w:t>
      </w:r>
      <w:r w:rsidRPr="00D03F3E">
        <w:rPr>
          <w:rFonts w:ascii="Times New Roman" w:hAnsi="Times New Roman"/>
          <w:color w:val="000000" w:themeColor="text1"/>
          <w:sz w:val="16"/>
          <w:szCs w:val="16"/>
        </w:rPr>
        <w:softHyphen/>
        <w:t>лено 142 человека руководящего состава и специали</w:t>
      </w:r>
      <w:r w:rsidRPr="00D03F3E">
        <w:rPr>
          <w:rFonts w:ascii="Times New Roman" w:hAnsi="Times New Roman"/>
          <w:color w:val="000000" w:themeColor="text1"/>
          <w:sz w:val="16"/>
          <w:szCs w:val="16"/>
        </w:rPr>
        <w:softHyphen/>
        <w:t>стов, 4 т взрывчатки, 12 ООО ручных гранат, 100 про</w:t>
      </w:r>
      <w:r w:rsidRPr="00D03F3E">
        <w:rPr>
          <w:rFonts w:ascii="Times New Roman" w:hAnsi="Times New Roman"/>
          <w:color w:val="000000" w:themeColor="text1"/>
          <w:sz w:val="16"/>
          <w:szCs w:val="16"/>
        </w:rPr>
        <w:softHyphen/>
        <w:t>тивотанковых ружей, 95 минометов, 1900 автоматов, 700 винтовок, 95 000 патронов, 3 т медикаментов и другие грузы, в том числе и пищевая соль. Всего в период с 6 по 20 марта 1943 г. было израсходовано 65 планеров А-7 и Г-11. Перевезли 60 т разных гру</w:t>
      </w:r>
      <w:r w:rsidRPr="00D03F3E">
        <w:rPr>
          <w:rFonts w:ascii="Times New Roman" w:hAnsi="Times New Roman"/>
          <w:color w:val="000000" w:themeColor="text1"/>
          <w:sz w:val="16"/>
          <w:szCs w:val="16"/>
        </w:rPr>
        <w:softHyphen/>
        <w:t>зов, 5 типографий и 10 радиостанций, доставили 106 человек руководящего состава, высадили десант из 150 гвардейцев-подрывников. В тыл врага десан</w:t>
      </w:r>
      <w:r w:rsidRPr="00D03F3E">
        <w:rPr>
          <w:rFonts w:ascii="Times New Roman" w:hAnsi="Times New Roman"/>
          <w:color w:val="000000" w:themeColor="text1"/>
          <w:sz w:val="16"/>
          <w:szCs w:val="16"/>
        </w:rPr>
        <w:softHyphen/>
        <w:t>тировались отдельные диверсионные группы. Из партизанского района вывезли 65 пилотов-планери- стов, 19 партизан, 800 кг ценного груза и 2 миллиона рублей, собранных населением и партизанами на по</w:t>
      </w:r>
      <w:r w:rsidRPr="00D03F3E">
        <w:rPr>
          <w:rFonts w:ascii="Times New Roman" w:hAnsi="Times New Roman"/>
          <w:color w:val="000000" w:themeColor="text1"/>
          <w:sz w:val="16"/>
          <w:szCs w:val="16"/>
        </w:rPr>
        <w:softHyphen/>
        <w:t>стройку самолетов. Партизаны районов Селявщина и Бегомль в результате операции получили оружия и боеприпасов больше, чем за весь предыдущий год (12300).</w:t>
      </w:r>
    </w:p>
    <w:p w14:paraId="7CAC77B2"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7F78DC6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марта 1943 г. начались регулярные полёты планеристов к партизанам. Буксировщик обычно во вражеском тылу не садился, отцеплял планёр и возвращался назад. Посадка и обратный взлёт в сцепке с планёром были возможны только с крупных аэродромов, таких как Бегомль и Селявщина у партизан Белоруссии. Экипажи буксировщиков состояли из пилота и штурмана. Стрелковое и бомбовое вооружение отсутствовало. Защитой самолёту была только темнота, но не всегда она спасала. В марте 1943 г. немецким ночным истребителем был подожжён Р-6 летчика Г. Чепика. Планёр уже успели отцепить, и он благополучно сел на партизанской площадке. Горящий самолёт тоже направился туда. Штурман Чижонков выпрыгнул с парашютом, Чепик пошёл на посадку. Только он успел выскочить из кабины, как Р-6 взорвался (12264).</w:t>
      </w:r>
    </w:p>
    <w:p w14:paraId="5AAC3541"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1B83F6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года для подготовки тяжелых самоходно-артиллерийских полков в Челябинске были сформированы 21-й учебный тяжелый самоходно-артиллерийский полк и 36-й запасной самоходно-артиллерийский полк под Москвой. Сформированные в учебных полках маршевые батареи направлялись в УЦСА, где они распределялись по группам, затем сводились в полки, пополнялись личным составом из запасного полка, специалистами (ремонтниками, связистами, радистами, шоферами и др.), комплектовались военно-техническим имуществом и автомобилями. После этого полки отправляли на фронт. Командиров тяжелых САУ и старших механиков-водителей готовили 2-е Киевское училище самоходной артиллерии, 3-е Горьковское, Соликамское и Буйское танковые училища (11638).</w:t>
      </w:r>
    </w:p>
    <w:p w14:paraId="309CF7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D23FC8"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марта 1943 г. было сформировано несколько тяжелых самоходно-артиллерийских полков — ТСАП, успешно участвовавших в боях. СУ-152 пре</w:t>
      </w:r>
      <w:r w:rsidRPr="00D03F3E">
        <w:rPr>
          <w:rFonts w:ascii="Times New Roman" w:hAnsi="Times New Roman"/>
          <w:color w:val="000000" w:themeColor="text1"/>
          <w:sz w:val="16"/>
          <w:szCs w:val="16"/>
        </w:rPr>
        <w:softHyphen/>
        <w:t>красно зарекомендовали себя в борьбе с новыми немецкими танками «Тигр» и «Пан</w:t>
      </w:r>
      <w:r w:rsidRPr="00D03F3E">
        <w:rPr>
          <w:rFonts w:ascii="Times New Roman" w:hAnsi="Times New Roman"/>
          <w:color w:val="000000" w:themeColor="text1"/>
          <w:sz w:val="16"/>
          <w:szCs w:val="16"/>
        </w:rPr>
        <w:softHyphen/>
        <w:t>тера». Прицельная дальность стрельбы САУ достигала 6200 м при максимальной дально</w:t>
      </w:r>
      <w:r w:rsidRPr="00D03F3E">
        <w:rPr>
          <w:rFonts w:ascii="Times New Roman" w:hAnsi="Times New Roman"/>
          <w:color w:val="000000" w:themeColor="text1"/>
          <w:sz w:val="16"/>
          <w:szCs w:val="16"/>
        </w:rPr>
        <w:softHyphen/>
        <w:t>сти 13 км, а прямой наводкой — 3800 м. В каждом ТСАП насчитывалось 12 само</w:t>
      </w:r>
      <w:r w:rsidRPr="00D03F3E">
        <w:rPr>
          <w:rFonts w:ascii="Times New Roman" w:hAnsi="Times New Roman"/>
          <w:color w:val="000000" w:themeColor="text1"/>
          <w:sz w:val="16"/>
          <w:szCs w:val="16"/>
        </w:rPr>
        <w:softHyphen/>
        <w:t>ходных установок (по мере освоения и расши</w:t>
      </w:r>
      <w:r w:rsidRPr="00D03F3E">
        <w:rPr>
          <w:rFonts w:ascii="Times New Roman" w:hAnsi="Times New Roman"/>
          <w:color w:val="000000" w:themeColor="text1"/>
          <w:sz w:val="16"/>
          <w:szCs w:val="16"/>
        </w:rPr>
        <w:softHyphen/>
        <w:t>рения производства тяжелых САУ их количе</w:t>
      </w:r>
      <w:r w:rsidRPr="00D03F3E">
        <w:rPr>
          <w:rFonts w:ascii="Times New Roman" w:hAnsi="Times New Roman"/>
          <w:color w:val="000000" w:themeColor="text1"/>
          <w:sz w:val="16"/>
          <w:szCs w:val="16"/>
        </w:rPr>
        <w:softHyphen/>
        <w:t>ство в ТСАП увеличилось до 21 шт.). К одному из первых ТСАП в 1943 г. прикомандировали конструктора завода В.С. Старовойтова (впо</w:t>
      </w:r>
      <w:r w:rsidRPr="00D03F3E">
        <w:rPr>
          <w:rFonts w:ascii="Times New Roman" w:hAnsi="Times New Roman"/>
          <w:color w:val="000000" w:themeColor="text1"/>
          <w:sz w:val="16"/>
          <w:szCs w:val="16"/>
        </w:rPr>
        <w:softHyphen/>
        <w:t>следствии — директора ВНИИтрансмаш). В его обязанности входило оказывать помощь артиллеристам в изучении материальной части, вести учет всех замечаний и пожеланий, касающихся функционирования машины, и пересылать эти сведения на завод. Непо</w:t>
      </w:r>
      <w:r w:rsidRPr="00D03F3E">
        <w:rPr>
          <w:rFonts w:ascii="Times New Roman" w:hAnsi="Times New Roman"/>
          <w:color w:val="000000" w:themeColor="text1"/>
          <w:sz w:val="16"/>
          <w:szCs w:val="16"/>
        </w:rPr>
        <w:softHyphen/>
        <w:t>средственно в боевых действиях Старовойтов участия не принимал (12617).</w:t>
      </w:r>
    </w:p>
    <w:p w14:paraId="6CE5A7C8" w14:textId="77777777" w:rsidR="00AC5101" w:rsidRPr="00D03F3E" w:rsidRDefault="00AC5101" w:rsidP="00D03F3E">
      <w:pPr>
        <w:pStyle w:val="a3"/>
        <w:rPr>
          <w:color w:val="000000" w:themeColor="text1"/>
          <w:lang w:val="ru-RU"/>
        </w:rPr>
      </w:pPr>
    </w:p>
    <w:p w14:paraId="4162927A"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1943-го 30-й отдельный дивизион бронепоездов (ОДБП) был переброшен на Южный фронт, под Ростов-на-Дону, и закончил свой боевой путь в мае 1944 года в Крыму. Никаких других упоминаний о наличии в 30-м ОДБП мотоброневагона обнаружить пока не удалось (9634).</w:t>
      </w:r>
    </w:p>
    <w:p w14:paraId="7D9A1EA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1C9789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Введение в действие Положения о радиоконтроле и начало формирования фронтовых и армейских пунктов радиоконтроля (11072).</w:t>
      </w:r>
    </w:p>
    <w:p w14:paraId="7C9009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D87B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года ЦШПД был расформирован (8983).</w:t>
      </w:r>
    </w:p>
    <w:p w14:paraId="580C40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1A47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года на территорию Чехии переброшен Рудольф Ветишка (8983).</w:t>
      </w:r>
    </w:p>
    <w:p w14:paraId="30470E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1603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года на территорию Словакии выведен Карол Шмидке (8983).</w:t>
      </w:r>
    </w:p>
    <w:p w14:paraId="349DBD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8156C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56EB09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93E1B2" w14:textId="77777777" w:rsidR="005B485D" w:rsidRPr="00D03F3E" w:rsidRDefault="005B485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марте 1943 года Даллас сдал 25 самолетов установочной серии B-24G-NT. На следующем серийном блоке G-1-NT в кабине штурмана вместо трех пулеметов М-2 с ограниченными секторами обстрела и ручным управлением появилась современная гидравлическая турель Эмерсон А-15 с парой М-2. Новая верхняя башня A-3D получила увеличенный прозрачный колпак, бортовые окна закрыли плексигласом, а боекомплект пулеметов в них увеличили до 500 патронов на ствол. Самолет получил множество мелких доработок, сделанных для «глубокой модификации» В-24Н, но из-за дефицита моторов R-1830-65 пришлось поставить старые 43-й модификации, несколько менее надежные. На освоение в производстве всех этих новинок ушло несколько месяцев, и головной B-24G-1-NT сдали только 1 ноября. Как только проблемы с поставками двигателей R-1830-65 решились, в серию пошел вариант B-24G-10-NT с увеличенной до 5800 кг бомбовой нагрузкой. Обстановка в небе Европы уже была не такой, как в 1942 году, и начиная с этого варианта «либерейторы» лишились камуфляжной окраски, а поставлялись лакированные по металлу — прятаться от противника больше не было нужды. Всего было построено 430 самолетов B-24G, основным получателем их, как и предыдущих модификаций самолета, стали эскадрильи, действовавшие над Средиземноморьем, Италией и Румынией. Воздушное наступление на эти районы было развернуто раньше, чем на Германию (22838).</w:t>
      </w:r>
    </w:p>
    <w:p w14:paraId="17466E11" w14:textId="77777777" w:rsidR="005B485D" w:rsidRPr="00D03F3E" w:rsidRDefault="005B485D" w:rsidP="00D03F3E">
      <w:pPr>
        <w:spacing w:after="0" w:line="240" w:lineRule="auto"/>
        <w:jc w:val="both"/>
        <w:rPr>
          <w:rFonts w:ascii="Times New Roman" w:hAnsi="Times New Roman"/>
          <w:color w:val="0070C0"/>
          <w:sz w:val="16"/>
          <w:szCs w:val="16"/>
        </w:rPr>
      </w:pPr>
    </w:p>
    <w:p w14:paraId="03F93428" w14:textId="77777777" w:rsidR="005B485D" w:rsidRPr="00D03F3E" w:rsidRDefault="005B485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марте 1943 Consolidated Aircraft Corporation и Vultee Aircraft Inc. сливаются в Consolidated Vultee Aircraft, вскоре неофициально, а затем официально, известную как Convair. Компания Aichi Clock and Electric Company Ltd. образует отдельную фирму, Aichi Aircraft Company , чтобы взять на себя ее бизнес по производству самолетов и двигателей (29376).</w:t>
      </w:r>
    </w:p>
    <w:p w14:paraId="0A529BEE" w14:textId="77777777" w:rsidR="005B485D" w:rsidRPr="00D03F3E" w:rsidRDefault="005B485D" w:rsidP="00D03F3E">
      <w:pPr>
        <w:spacing w:after="0" w:line="240" w:lineRule="auto"/>
        <w:jc w:val="both"/>
        <w:rPr>
          <w:rFonts w:ascii="Times New Roman" w:hAnsi="Times New Roman"/>
          <w:color w:val="0070C0"/>
          <w:sz w:val="16"/>
          <w:szCs w:val="16"/>
        </w:rPr>
      </w:pPr>
    </w:p>
    <w:p w14:paraId="1E34B22F" w14:textId="77777777" w:rsidR="005B485D" w:rsidRPr="00D03F3E" w:rsidRDefault="005B485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марте 1943 года в Боскомб Даун начались испытание бомбардировщика «Галифакс» Mk.III с четырьмя «геркулесами» Mk.VI. Емкость топливной системы в крыле стала меньше, зато увеличили количество подвесных баков, и общий запас бензина вырос на 3664 л. Испытания затянулись, так как фирма боролась с многочисленными дефектами предыдущих вариантов самолета, зато Mk.III получил все необходимые доработки, в т.ч. унифицированные кили типа D, обеспечившие его безопасное пилотирование на любых режимах (22866).</w:t>
      </w:r>
    </w:p>
    <w:p w14:paraId="66A47BCE" w14:textId="77777777" w:rsidR="005B485D" w:rsidRPr="00D03F3E" w:rsidRDefault="005B485D" w:rsidP="00D03F3E">
      <w:pPr>
        <w:spacing w:after="0" w:line="240" w:lineRule="auto"/>
        <w:jc w:val="both"/>
        <w:rPr>
          <w:rFonts w:ascii="Times New Roman" w:hAnsi="Times New Roman"/>
          <w:color w:val="0070C0"/>
          <w:sz w:val="16"/>
          <w:szCs w:val="16"/>
        </w:rPr>
      </w:pPr>
    </w:p>
    <w:p w14:paraId="11D675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года, когда близилось окончание постройки первого сооружения для запуска ракет с французского берега Ла-Манша, Шпеер, подстрекаемый Дорнбергером, обещал доложить Гитлеру еще раз о ракетах дальнего действия. Результат был обескураживающим: Дорнбергеру сообщили, что фюреру приснилось, будто бы ни одна ракета «А-4» не сможет достичь Англии (11688).</w:t>
      </w:r>
    </w:p>
    <w:p w14:paraId="6B7861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4F53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года Р-47С "Тандерболты" приняли участие в первых боевых операциях в Европе (3457,84).</w:t>
      </w:r>
    </w:p>
    <w:p w14:paraId="7230CA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E2AD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английские самолеты получили РЛС ASV-3 10-см диапазона и ее излучение немецкие приемники на ПЛ не обнаруживали. Также стали ставить панорамный радиолокационный прицел (1082,5).</w:t>
      </w:r>
    </w:p>
    <w:p w14:paraId="17181A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AC9A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надзор над Транссирианской ж/д взяли и портами Персидского залива американцы и сразу же увеличился поток грузовиков с юга до 10 тыс. в месяц (3427).</w:t>
      </w:r>
    </w:p>
    <w:p w14:paraId="02A46D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15DC37" w14:textId="77777777" w:rsidR="00ED2FF4" w:rsidRPr="00D03F3E" w:rsidRDefault="00ED2FF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Март 1943 г. стал седьмым по счету месяцем, когда в Атлантике одновременно действовало более сотни германских субмарин. Количество лодок, находившихся в море росло постоянно: менее десяти в 1940 г., 50 в январе 1942 г., 70 – июле 1942 г., сто в сентябре 1942 г. Вместе с тем, не смотря на рост численности у-ботов в море, потери союзников неуклонно снижались. В конце 1942 г. в среднем две германские лодки за один поход топили только один транспорт союзников. Негативная тенденция обеспокоила командование кригсмарине, в ноябре 1942 г. в Париже командующий германским подводным флотом адмирал Карл Денниц провел совещание, посвященное вопросу «Что делать?» (19683).</w:t>
      </w:r>
    </w:p>
    <w:p w14:paraId="56AE1C66" w14:textId="77777777" w:rsidR="00ED2FF4" w:rsidRPr="00D03F3E" w:rsidRDefault="00ED2FF4" w:rsidP="00D03F3E">
      <w:pPr>
        <w:spacing w:after="0" w:line="240" w:lineRule="auto"/>
        <w:jc w:val="both"/>
        <w:rPr>
          <w:rFonts w:ascii="Times New Roman" w:hAnsi="Times New Roman"/>
          <w:color w:val="000000" w:themeColor="text1"/>
          <w:sz w:val="16"/>
          <w:szCs w:val="16"/>
        </w:rPr>
      </w:pPr>
    </w:p>
    <w:p w14:paraId="70844D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марта 1943 г. японское правительство приняло решение о переходе к стратегической обороне (3871).</w:t>
      </w:r>
    </w:p>
    <w:p w14:paraId="1E9FBB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DD1D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4 светящихся диска зависли над американским конвоем в составе четырех торговых судов и трех военных кораблей, следовавших на восток по Норвежскому морю. Сопровождали конвой в течение часа и один следовал за судном, изменившем курс (3710).</w:t>
      </w:r>
    </w:p>
    <w:p w14:paraId="6DC70A6C" w14:textId="77777777" w:rsidR="0066261B" w:rsidRPr="00D03F3E" w:rsidRDefault="0066261B" w:rsidP="00D03F3E">
      <w:pPr>
        <w:spacing w:after="0" w:line="240" w:lineRule="auto"/>
        <w:jc w:val="both"/>
        <w:rPr>
          <w:rFonts w:ascii="Times New Roman" w:hAnsi="Times New Roman"/>
          <w:color w:val="000000" w:themeColor="text1"/>
          <w:sz w:val="16"/>
          <w:szCs w:val="16"/>
        </w:rPr>
      </w:pPr>
    </w:p>
    <w:p w14:paraId="07E7B62B"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марте 1943 </w:t>
      </w:r>
      <w:r w:rsidRPr="00D03F3E">
        <w:rPr>
          <w:rFonts w:ascii="Times New Roman" w:hAnsi="Times New Roman"/>
          <w:color w:val="000000" w:themeColor="text1"/>
          <w:sz w:val="16"/>
          <w:szCs w:val="16"/>
          <w:lang w:val="en-US"/>
        </w:rPr>
        <w:t>Skoda</w:t>
      </w:r>
      <w:r w:rsidRPr="00D03F3E">
        <w:rPr>
          <w:rFonts w:ascii="Times New Roman" w:hAnsi="Times New Roman"/>
          <w:color w:val="000000" w:themeColor="text1"/>
          <w:sz w:val="16"/>
          <w:szCs w:val="16"/>
        </w:rPr>
        <w:t xml:space="preserve"> изготовила первые шесть орудий, следующие 40 — в апреле и по</w:t>
      </w:r>
      <w:r w:rsidRPr="00D03F3E">
        <w:rPr>
          <w:rFonts w:ascii="Times New Roman" w:hAnsi="Times New Roman"/>
          <w:color w:val="000000" w:themeColor="text1"/>
          <w:sz w:val="16"/>
          <w:szCs w:val="16"/>
        </w:rPr>
        <w:softHyphen/>
        <w:t xml:space="preserve">следние 14 — в мае. Соответственно, было выпущено и 60 САУ </w:t>
      </w:r>
      <w:r w:rsidRPr="00D03F3E">
        <w:rPr>
          <w:rFonts w:ascii="Times New Roman" w:hAnsi="Times New Roman"/>
          <w:color w:val="000000" w:themeColor="text1"/>
          <w:sz w:val="16"/>
          <w:szCs w:val="16"/>
          <w:lang w:val="en-US"/>
        </w:rPr>
        <w:t>Sturmpanzer</w:t>
      </w:r>
      <w:r w:rsidRPr="00D03F3E">
        <w:rPr>
          <w:rFonts w:ascii="Times New Roman" w:hAnsi="Times New Roman"/>
          <w:color w:val="000000" w:themeColor="text1"/>
          <w:sz w:val="16"/>
          <w:szCs w:val="16"/>
        </w:rPr>
        <w:t xml:space="preserve"> IV: 20 в апреле и 40 — в мае 1943 года. Для 52 из них использова</w:t>
      </w:r>
      <w:r w:rsidRPr="00D03F3E">
        <w:rPr>
          <w:rFonts w:ascii="Times New Roman" w:hAnsi="Times New Roman"/>
          <w:color w:val="000000" w:themeColor="text1"/>
          <w:sz w:val="16"/>
          <w:szCs w:val="16"/>
        </w:rPr>
        <w:softHyphen/>
        <w:t xml:space="preserve">лись вновь изготовленные на заводе </w:t>
      </w:r>
      <w:r w:rsidRPr="00D03F3E">
        <w:rPr>
          <w:rFonts w:ascii="Times New Roman" w:hAnsi="Times New Roman"/>
          <w:color w:val="000000" w:themeColor="text1"/>
          <w:sz w:val="16"/>
          <w:szCs w:val="16"/>
          <w:lang w:val="en-US"/>
        </w:rPr>
        <w:t>Nibelungenwerk</w:t>
      </w:r>
      <w:r w:rsidRPr="00D03F3E">
        <w:rPr>
          <w:rFonts w:ascii="Times New Roman" w:hAnsi="Times New Roman"/>
          <w:color w:val="000000" w:themeColor="text1"/>
          <w:sz w:val="16"/>
          <w:szCs w:val="16"/>
        </w:rPr>
        <w:t xml:space="preserve"> шасси танка </w:t>
      </w:r>
      <w:r w:rsidRPr="00D03F3E">
        <w:rPr>
          <w:rFonts w:ascii="Times New Roman" w:hAnsi="Times New Roman"/>
          <w:color w:val="000000" w:themeColor="text1"/>
          <w:sz w:val="16"/>
          <w:szCs w:val="16"/>
          <w:lang w:val="en-US"/>
        </w:rPr>
        <w:t>Pz</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IVAusf</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G</w:t>
      </w:r>
      <w:r w:rsidRPr="00D03F3E">
        <w:rPr>
          <w:rFonts w:ascii="Times New Roman" w:hAnsi="Times New Roman"/>
          <w:color w:val="000000" w:themeColor="text1"/>
          <w:sz w:val="16"/>
          <w:szCs w:val="16"/>
        </w:rPr>
        <w:t>, для остальных — шасси посту</w:t>
      </w:r>
      <w:r w:rsidRPr="00D03F3E">
        <w:rPr>
          <w:rFonts w:ascii="Times New Roman" w:hAnsi="Times New Roman"/>
          <w:color w:val="000000" w:themeColor="text1"/>
          <w:sz w:val="16"/>
          <w:szCs w:val="16"/>
        </w:rPr>
        <w:softHyphen/>
        <w:t xml:space="preserve">пивших в ремонт танков </w:t>
      </w:r>
      <w:r w:rsidRPr="00D03F3E">
        <w:rPr>
          <w:rFonts w:ascii="Times New Roman" w:hAnsi="Times New Roman"/>
          <w:color w:val="000000" w:themeColor="text1"/>
          <w:sz w:val="16"/>
          <w:szCs w:val="16"/>
          <w:lang w:val="en-US"/>
        </w:rPr>
        <w:t>Pz</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IVAusf</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E</w:t>
      </w:r>
      <w:r w:rsidRPr="00D03F3E">
        <w:rPr>
          <w:rFonts w:ascii="Times New Roman" w:hAnsi="Times New Roman"/>
          <w:color w:val="000000" w:themeColor="text1"/>
          <w:sz w:val="16"/>
          <w:szCs w:val="16"/>
        </w:rPr>
        <w:t xml:space="preserve"> и </w:t>
      </w:r>
      <w:r w:rsidRPr="00D03F3E">
        <w:rPr>
          <w:rFonts w:ascii="Times New Roman" w:hAnsi="Times New Roman"/>
          <w:color w:val="000000" w:themeColor="text1"/>
          <w:sz w:val="16"/>
          <w:szCs w:val="16"/>
          <w:lang w:val="en-US"/>
        </w:rPr>
        <w:t>Ausf</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F</w:t>
      </w:r>
      <w:r w:rsidRPr="00D03F3E">
        <w:rPr>
          <w:rFonts w:ascii="Times New Roman" w:hAnsi="Times New Roman"/>
          <w:color w:val="000000" w:themeColor="text1"/>
          <w:sz w:val="16"/>
          <w:szCs w:val="16"/>
        </w:rPr>
        <w:t xml:space="preserve">. Сборка самоходных установок, получивших официальное название </w:t>
      </w:r>
      <w:r w:rsidRPr="00D03F3E">
        <w:rPr>
          <w:rFonts w:ascii="Times New Roman" w:hAnsi="Times New Roman"/>
          <w:color w:val="000000" w:themeColor="text1"/>
          <w:sz w:val="16"/>
          <w:szCs w:val="16"/>
          <w:lang w:val="en-US"/>
        </w:rPr>
        <w:t>Sturmpanzer</w:t>
      </w:r>
      <w:r w:rsidRPr="00D03F3E">
        <w:rPr>
          <w:rFonts w:ascii="Times New Roman" w:hAnsi="Times New Roman"/>
          <w:color w:val="000000" w:themeColor="text1"/>
          <w:sz w:val="16"/>
          <w:szCs w:val="16"/>
        </w:rPr>
        <w:t xml:space="preserve"> IV, осуществлялась на ре</w:t>
      </w:r>
      <w:r w:rsidRPr="00D03F3E">
        <w:rPr>
          <w:rFonts w:ascii="Times New Roman" w:hAnsi="Times New Roman"/>
          <w:color w:val="000000" w:themeColor="text1"/>
          <w:sz w:val="16"/>
          <w:szCs w:val="16"/>
        </w:rPr>
        <w:softHyphen/>
        <w:t xml:space="preserve">монтном заводе сухопутных войск в Вене при участии фирм </w:t>
      </w:r>
      <w:r w:rsidRPr="00D03F3E">
        <w:rPr>
          <w:rFonts w:ascii="Times New Roman" w:hAnsi="Times New Roman"/>
          <w:color w:val="000000" w:themeColor="text1"/>
          <w:sz w:val="16"/>
          <w:szCs w:val="16"/>
          <w:lang w:val="en-US"/>
        </w:rPr>
        <w:t>Saurer</w:t>
      </w:r>
      <w:r w:rsidRPr="00D03F3E">
        <w:rPr>
          <w:rFonts w:ascii="Times New Roman" w:hAnsi="Times New Roman"/>
          <w:color w:val="000000" w:themeColor="text1"/>
          <w:sz w:val="16"/>
          <w:szCs w:val="16"/>
        </w:rPr>
        <w:t xml:space="preserve"> и </w:t>
      </w:r>
      <w:r w:rsidRPr="00D03F3E">
        <w:rPr>
          <w:rFonts w:ascii="Times New Roman" w:hAnsi="Times New Roman"/>
          <w:color w:val="000000" w:themeColor="text1"/>
          <w:sz w:val="16"/>
          <w:szCs w:val="16"/>
          <w:lang w:val="en-US"/>
        </w:rPr>
        <w:t>Simmering</w:t>
      </w:r>
      <w:r w:rsidRPr="00D03F3E">
        <w:rPr>
          <w:rFonts w:ascii="Times New Roman" w:hAnsi="Times New Roman"/>
          <w:color w:val="000000" w:themeColor="text1"/>
          <w:sz w:val="16"/>
          <w:szCs w:val="16"/>
        </w:rPr>
        <w:t xml:space="preserve">- </w:t>
      </w:r>
      <w:r w:rsidRPr="00D03F3E">
        <w:rPr>
          <w:rFonts w:ascii="Times New Roman" w:hAnsi="Times New Roman"/>
          <w:color w:val="000000" w:themeColor="text1"/>
          <w:sz w:val="16"/>
          <w:szCs w:val="16"/>
          <w:lang w:val="en-US"/>
        </w:rPr>
        <w:t>Graz</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Pauker</w:t>
      </w:r>
      <w:r w:rsidRPr="00D03F3E">
        <w:rPr>
          <w:rFonts w:ascii="Times New Roman" w:hAnsi="Times New Roman"/>
          <w:color w:val="000000" w:themeColor="text1"/>
          <w:sz w:val="16"/>
          <w:szCs w:val="16"/>
        </w:rPr>
        <w:t>. Впервые новая боевая ма</w:t>
      </w:r>
      <w:r w:rsidRPr="00D03F3E">
        <w:rPr>
          <w:rFonts w:ascii="Times New Roman" w:hAnsi="Times New Roman"/>
          <w:color w:val="000000" w:themeColor="text1"/>
          <w:sz w:val="16"/>
          <w:szCs w:val="16"/>
        </w:rPr>
        <w:softHyphen/>
        <w:t xml:space="preserve">шина была продемонстрирована Гитлеру 15 мая 1943 года на полигоне </w:t>
      </w:r>
      <w:r w:rsidRPr="00D03F3E">
        <w:rPr>
          <w:rFonts w:ascii="Times New Roman" w:hAnsi="Times New Roman"/>
          <w:color w:val="000000" w:themeColor="text1"/>
          <w:sz w:val="16"/>
          <w:szCs w:val="16"/>
          <w:lang w:val="en-US"/>
        </w:rPr>
        <w:t>Arys</w:t>
      </w:r>
      <w:r w:rsidRPr="00D03F3E">
        <w:rPr>
          <w:rFonts w:ascii="Times New Roman" w:hAnsi="Times New Roman"/>
          <w:color w:val="000000" w:themeColor="text1"/>
          <w:sz w:val="16"/>
          <w:szCs w:val="16"/>
        </w:rPr>
        <w:t>. Гит</w:t>
      </w:r>
      <w:r w:rsidRPr="00D03F3E">
        <w:rPr>
          <w:rFonts w:ascii="Times New Roman" w:hAnsi="Times New Roman"/>
          <w:color w:val="000000" w:themeColor="text1"/>
          <w:sz w:val="16"/>
          <w:szCs w:val="16"/>
        </w:rPr>
        <w:softHyphen/>
        <w:t>лер, кстати, настаивал на разработке штурмового танка, вооруженного еще более мощной артсистемой — мортирой калибра 210 или 220 мм. Но его пожела</w:t>
      </w:r>
      <w:r w:rsidRPr="00D03F3E">
        <w:rPr>
          <w:rFonts w:ascii="Times New Roman" w:hAnsi="Times New Roman"/>
          <w:color w:val="000000" w:themeColor="text1"/>
          <w:sz w:val="16"/>
          <w:szCs w:val="16"/>
        </w:rPr>
        <w:softHyphen/>
        <w:t>ние не было выполнено.</w:t>
      </w:r>
    </w:p>
    <w:p w14:paraId="5F443682" w14:textId="77777777" w:rsidR="0066261B" w:rsidRPr="00D03F3E" w:rsidRDefault="0066261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Все </w:t>
      </w:r>
      <w:r w:rsidRPr="00D03F3E">
        <w:rPr>
          <w:rFonts w:ascii="Times New Roman" w:cs="Times New Roman"/>
          <w:color w:val="000000" w:themeColor="text1"/>
          <w:spacing w:val="0"/>
          <w:lang w:val="en-US"/>
        </w:rPr>
        <w:t>Sturmpanzer</w:t>
      </w:r>
      <w:r w:rsidRPr="00D03F3E">
        <w:rPr>
          <w:rFonts w:ascii="Times New Roman" w:cs="Times New Roman"/>
          <w:color w:val="000000" w:themeColor="text1"/>
          <w:spacing w:val="0"/>
        </w:rPr>
        <w:t xml:space="preserve"> IV имели полностью бронированную боевую рубку с располо</w:t>
      </w:r>
      <w:r w:rsidRPr="00D03F3E">
        <w:rPr>
          <w:rFonts w:ascii="Times New Roman" w:cs="Times New Roman"/>
          <w:color w:val="000000" w:themeColor="text1"/>
          <w:spacing w:val="0"/>
        </w:rPr>
        <w:softHyphen/>
        <w:t>женным под большим углом наклона 100-мм лобовым листом. Боевая масса машины достигла 28,2 т (против 23,5 т у базового танка).</w:t>
      </w:r>
    </w:p>
    <w:p w14:paraId="56EBFD7B" w14:textId="77777777" w:rsidR="0066261B" w:rsidRPr="00D03F3E" w:rsidRDefault="0066261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На штурмовом танке были установле</w:t>
      </w:r>
      <w:r w:rsidRPr="00D03F3E">
        <w:rPr>
          <w:rFonts w:ascii="Times New Roman" w:cs="Times New Roman"/>
          <w:color w:val="000000" w:themeColor="text1"/>
          <w:spacing w:val="0"/>
        </w:rPr>
        <w:softHyphen/>
        <w:t xml:space="preserve">ны двигатель </w:t>
      </w:r>
      <w:r w:rsidRPr="00D03F3E">
        <w:rPr>
          <w:rFonts w:ascii="Times New Roman" w:cs="Times New Roman"/>
          <w:color w:val="000000" w:themeColor="text1"/>
          <w:spacing w:val="0"/>
          <w:lang w:val="en-US"/>
        </w:rPr>
        <w:t>MaybachHL</w:t>
      </w:r>
      <w:r w:rsidRPr="00D03F3E">
        <w:rPr>
          <w:rFonts w:ascii="Times New Roman" w:cs="Times New Roman"/>
          <w:color w:val="000000" w:themeColor="text1"/>
          <w:spacing w:val="0"/>
        </w:rPr>
        <w:t xml:space="preserve"> 120</w:t>
      </w:r>
      <w:r w:rsidRPr="00D03F3E">
        <w:rPr>
          <w:rFonts w:ascii="Times New Roman" w:cs="Times New Roman"/>
          <w:color w:val="000000" w:themeColor="text1"/>
          <w:spacing w:val="0"/>
          <w:lang w:val="en-US"/>
        </w:rPr>
        <w:t>TRM</w:t>
      </w:r>
      <w:r w:rsidRPr="00D03F3E">
        <w:rPr>
          <w:rFonts w:ascii="Times New Roman" w:cs="Times New Roman"/>
          <w:color w:val="000000" w:themeColor="text1"/>
          <w:spacing w:val="0"/>
        </w:rPr>
        <w:t xml:space="preserve"> и трансмиссия, состоявшая из карданной передачи, трехдискового главного фрик</w:t>
      </w:r>
      <w:r w:rsidRPr="00D03F3E">
        <w:rPr>
          <w:rFonts w:ascii="Times New Roman" w:cs="Times New Roman"/>
          <w:color w:val="000000" w:themeColor="text1"/>
          <w:spacing w:val="0"/>
        </w:rPr>
        <w:softHyphen/>
        <w:t>циона сухого трения, коробки передач, планетарного механизма поворота, бор</w:t>
      </w:r>
      <w:r w:rsidRPr="00D03F3E">
        <w:rPr>
          <w:rFonts w:ascii="Times New Roman" w:cs="Times New Roman"/>
          <w:color w:val="000000" w:themeColor="text1"/>
          <w:spacing w:val="0"/>
        </w:rPr>
        <w:softHyphen/>
        <w:t>товых передач и тормозов.</w:t>
      </w:r>
    </w:p>
    <w:p w14:paraId="366832DF" w14:textId="77777777" w:rsidR="0066261B" w:rsidRPr="00D03F3E" w:rsidRDefault="0066261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Ходовая часть штурмового танка была аналогична таковой у линейного танка и применительно к одному борту состояла из восьми сдвоенных обрезиненных опор</w:t>
      </w:r>
      <w:r w:rsidRPr="00D03F3E">
        <w:rPr>
          <w:rFonts w:ascii="Times New Roman" w:cs="Times New Roman"/>
          <w:color w:val="000000" w:themeColor="text1"/>
          <w:spacing w:val="0"/>
        </w:rPr>
        <w:softHyphen/>
        <w:t>ных катков диаметром 470 мм, сблокиро</w:t>
      </w:r>
      <w:r w:rsidRPr="00D03F3E">
        <w:rPr>
          <w:rFonts w:ascii="Times New Roman" w:cs="Times New Roman"/>
          <w:color w:val="000000" w:themeColor="text1"/>
          <w:spacing w:val="0"/>
        </w:rPr>
        <w:softHyphen/>
        <w:t>ванных попарно в четыре балансирные тележки, подвешенные на четвертьэллип- тических листовых рессорах; четырех сдвоенных обрезиненных поддерживаю</w:t>
      </w:r>
      <w:r w:rsidRPr="00D03F3E">
        <w:rPr>
          <w:rFonts w:ascii="Times New Roman" w:cs="Times New Roman"/>
          <w:color w:val="000000" w:themeColor="text1"/>
          <w:spacing w:val="0"/>
        </w:rPr>
        <w:softHyphen/>
        <w:t>щих катков.</w:t>
      </w:r>
    </w:p>
    <w:p w14:paraId="56747106" w14:textId="77777777" w:rsidR="0066261B" w:rsidRPr="00D03F3E" w:rsidRDefault="0066261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Несмотря на некоторую перегрузку хо</w:t>
      </w:r>
      <w:r w:rsidRPr="00D03F3E">
        <w:rPr>
          <w:rFonts w:ascii="Times New Roman" w:cs="Times New Roman"/>
          <w:color w:val="000000" w:themeColor="text1"/>
          <w:spacing w:val="0"/>
        </w:rPr>
        <w:softHyphen/>
        <w:t>довой части и силовой установки, макси</w:t>
      </w:r>
      <w:r w:rsidRPr="00D03F3E">
        <w:rPr>
          <w:rFonts w:ascii="Times New Roman" w:cs="Times New Roman"/>
          <w:color w:val="000000" w:themeColor="text1"/>
          <w:spacing w:val="0"/>
        </w:rPr>
        <w:softHyphen/>
        <w:t>мальная скорость машины составляла 40 км/ч, а запас хода — 180 км.</w:t>
      </w:r>
    </w:p>
    <w:p w14:paraId="4C20CF1E" w14:textId="77777777" w:rsidR="0066261B" w:rsidRPr="00D03F3E" w:rsidRDefault="0066261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Боевое крещение штурмпанцеры </w:t>
      </w:r>
      <w:r w:rsidRPr="00D03F3E">
        <w:rPr>
          <w:rFonts w:ascii="Times New Roman" w:cs="Times New Roman"/>
          <w:color w:val="000000" w:themeColor="text1"/>
          <w:spacing w:val="0"/>
          <w:lang w:val="en-US"/>
        </w:rPr>
        <w:t>Sturmpanzer</w:t>
      </w:r>
      <w:r w:rsidRPr="00D03F3E">
        <w:rPr>
          <w:rFonts w:ascii="Times New Roman" w:cs="Times New Roman"/>
          <w:color w:val="000000" w:themeColor="text1"/>
          <w:spacing w:val="0"/>
        </w:rPr>
        <w:t xml:space="preserve"> IV полу</w:t>
      </w:r>
      <w:r w:rsidRPr="00D03F3E">
        <w:rPr>
          <w:rFonts w:ascii="Times New Roman" w:cs="Times New Roman"/>
          <w:color w:val="000000" w:themeColor="text1"/>
          <w:spacing w:val="0"/>
        </w:rPr>
        <w:softHyphen/>
        <w:t>чили на Восточном фронте в ходе опера</w:t>
      </w:r>
      <w:r w:rsidRPr="00D03F3E">
        <w:rPr>
          <w:rFonts w:ascii="Times New Roman" w:cs="Times New Roman"/>
          <w:color w:val="000000" w:themeColor="text1"/>
          <w:spacing w:val="0"/>
        </w:rPr>
        <w:softHyphen/>
        <w:t>ции «Цитадель» летом 1943 года. Они до</w:t>
      </w:r>
      <w:r w:rsidRPr="00D03F3E">
        <w:rPr>
          <w:rFonts w:ascii="Times New Roman" w:cs="Times New Roman"/>
          <w:color w:val="000000" w:themeColor="text1"/>
          <w:spacing w:val="0"/>
        </w:rPr>
        <w:softHyphen/>
        <w:t>статочно эффективно применялись для уничтожения фортификационных соору</w:t>
      </w:r>
      <w:r w:rsidRPr="00D03F3E">
        <w:rPr>
          <w:rFonts w:ascii="Times New Roman" w:cs="Times New Roman"/>
          <w:color w:val="000000" w:themeColor="text1"/>
          <w:spacing w:val="0"/>
        </w:rPr>
        <w:softHyphen/>
        <w:t>жений при прорыве линии обороны со</w:t>
      </w:r>
      <w:r w:rsidRPr="00D03F3E">
        <w:rPr>
          <w:rFonts w:ascii="Times New Roman" w:cs="Times New Roman"/>
          <w:color w:val="000000" w:themeColor="text1"/>
          <w:spacing w:val="0"/>
        </w:rPr>
        <w:softHyphen/>
        <w:t>ветских войск. Поэтому было принято решение о возобновлении их производ</w:t>
      </w:r>
      <w:r w:rsidRPr="00D03F3E">
        <w:rPr>
          <w:rFonts w:ascii="Times New Roman" w:cs="Times New Roman"/>
          <w:color w:val="000000" w:themeColor="text1"/>
          <w:spacing w:val="0"/>
        </w:rPr>
        <w:softHyphen/>
        <w:t>ства с темпом сборки 20 машин в месяц.</w:t>
      </w:r>
    </w:p>
    <w:p w14:paraId="21B686DF" w14:textId="77777777" w:rsidR="0066261B" w:rsidRPr="00D03F3E" w:rsidRDefault="006626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Выпуск САУ вновь начался в декабре 1943 года. В качестве базы использова</w:t>
      </w:r>
      <w:r w:rsidRPr="00D03F3E">
        <w:rPr>
          <w:rFonts w:ascii="Times New Roman" w:hAnsi="Times New Roman"/>
          <w:color w:val="000000" w:themeColor="text1"/>
          <w:sz w:val="16"/>
          <w:szCs w:val="16"/>
        </w:rPr>
        <w:softHyphen/>
        <w:t xml:space="preserve">лось шасси среднего танка </w:t>
      </w:r>
      <w:r w:rsidRPr="00D03F3E">
        <w:rPr>
          <w:rFonts w:ascii="Times New Roman" w:hAnsi="Times New Roman"/>
          <w:color w:val="000000" w:themeColor="text1"/>
          <w:sz w:val="16"/>
          <w:szCs w:val="16"/>
          <w:lang w:val="en-US"/>
        </w:rPr>
        <w:t>Pz</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IV</w:t>
      </w:r>
      <w:r w:rsidRPr="00D03F3E">
        <w:rPr>
          <w:rFonts w:ascii="Times New Roman" w:hAnsi="Times New Roman"/>
          <w:color w:val="000000" w:themeColor="text1"/>
          <w:sz w:val="16"/>
          <w:szCs w:val="16"/>
        </w:rPr>
        <w:t xml:space="preserve"> моди</w:t>
      </w:r>
      <w:r w:rsidRPr="00D03F3E">
        <w:rPr>
          <w:rFonts w:ascii="Times New Roman" w:hAnsi="Times New Roman"/>
          <w:color w:val="000000" w:themeColor="text1"/>
          <w:sz w:val="16"/>
          <w:szCs w:val="16"/>
        </w:rPr>
        <w:softHyphen/>
        <w:t>фикации Н. В конструкцию и форму рубки были внесены незначительные из</w:t>
      </w:r>
      <w:r w:rsidRPr="00D03F3E">
        <w:rPr>
          <w:rFonts w:ascii="Times New Roman" w:hAnsi="Times New Roman"/>
          <w:color w:val="000000" w:themeColor="text1"/>
          <w:sz w:val="16"/>
          <w:szCs w:val="16"/>
        </w:rPr>
        <w:softHyphen/>
        <w:t>менения. В частности, в увеличенной ру- бочке механика-водителя был ликвиди</w:t>
      </w:r>
      <w:r w:rsidRPr="00D03F3E">
        <w:rPr>
          <w:rFonts w:ascii="Times New Roman" w:hAnsi="Times New Roman"/>
          <w:color w:val="000000" w:themeColor="text1"/>
          <w:sz w:val="16"/>
          <w:szCs w:val="16"/>
        </w:rPr>
        <w:softHyphen/>
        <w:t xml:space="preserve">рован заимствованный у танка «Тигр» прибор наблюдения </w:t>
      </w:r>
      <w:r w:rsidRPr="00D03F3E">
        <w:rPr>
          <w:rFonts w:ascii="Times New Roman" w:hAnsi="Times New Roman"/>
          <w:color w:val="000000" w:themeColor="text1"/>
          <w:sz w:val="16"/>
          <w:szCs w:val="16"/>
          <w:lang w:val="en-US"/>
        </w:rPr>
        <w:t>Fahrersehklappe</w:t>
      </w:r>
      <w:r w:rsidRPr="00D03F3E">
        <w:rPr>
          <w:rFonts w:ascii="Times New Roman" w:hAnsi="Times New Roman"/>
          <w:color w:val="000000" w:themeColor="text1"/>
          <w:sz w:val="16"/>
          <w:szCs w:val="16"/>
        </w:rPr>
        <w:t xml:space="preserve"> 80, а вместо него смонтирован перископ. Кро</w:t>
      </w:r>
      <w:r w:rsidRPr="00D03F3E">
        <w:rPr>
          <w:rFonts w:ascii="Times New Roman" w:hAnsi="Times New Roman"/>
          <w:color w:val="000000" w:themeColor="text1"/>
          <w:sz w:val="16"/>
          <w:szCs w:val="16"/>
        </w:rPr>
        <w:softHyphen/>
        <w:t xml:space="preserve">ме того, с февраля 1944 года на боевых машинах начали устанавливать орудие 15 </w:t>
      </w:r>
      <w:r w:rsidRPr="00D03F3E">
        <w:rPr>
          <w:rFonts w:ascii="Times New Roman" w:hAnsi="Times New Roman"/>
          <w:color w:val="000000" w:themeColor="text1"/>
          <w:sz w:val="16"/>
          <w:szCs w:val="16"/>
          <w:lang w:val="en-US"/>
        </w:rPr>
        <w:t>cmSturmhaubitze</w:t>
      </w:r>
      <w:r w:rsidRPr="00D03F3E">
        <w:rPr>
          <w:rFonts w:ascii="Times New Roman" w:hAnsi="Times New Roman"/>
          <w:color w:val="000000" w:themeColor="text1"/>
          <w:sz w:val="16"/>
          <w:szCs w:val="16"/>
        </w:rPr>
        <w:t xml:space="preserve"> 43/1 с удлиненным броневым кожухом ствола. Увеличилось число и расположение вентиляторов и люков на крыше рубки. Всего было вы</w:t>
      </w:r>
      <w:r w:rsidRPr="00D03F3E">
        <w:rPr>
          <w:rFonts w:ascii="Times New Roman" w:hAnsi="Times New Roman"/>
          <w:color w:val="000000" w:themeColor="text1"/>
          <w:sz w:val="16"/>
          <w:szCs w:val="16"/>
        </w:rPr>
        <w:softHyphen/>
        <w:t xml:space="preserve">пущено 73 </w:t>
      </w:r>
      <w:r w:rsidRPr="00D03F3E">
        <w:rPr>
          <w:rFonts w:ascii="Times New Roman" w:hAnsi="Times New Roman"/>
          <w:color w:val="000000" w:themeColor="text1"/>
          <w:sz w:val="16"/>
          <w:szCs w:val="16"/>
          <w:lang w:val="en-US"/>
        </w:rPr>
        <w:t>Sturmpanzer</w:t>
      </w:r>
      <w:r w:rsidRPr="00D03F3E">
        <w:rPr>
          <w:rFonts w:ascii="Times New Roman" w:hAnsi="Times New Roman"/>
          <w:color w:val="000000" w:themeColor="text1"/>
          <w:sz w:val="16"/>
          <w:szCs w:val="16"/>
        </w:rPr>
        <w:t xml:space="preserve"> IV так называемой средней, серии. Кстати, в 1944 году боевая машина получила нео</w:t>
      </w:r>
      <w:r w:rsidRPr="00D03F3E">
        <w:rPr>
          <w:rFonts w:ascii="Times New Roman" w:hAnsi="Times New Roman"/>
          <w:color w:val="000000" w:themeColor="text1"/>
          <w:sz w:val="16"/>
          <w:szCs w:val="16"/>
        </w:rPr>
        <w:softHyphen/>
        <w:t xml:space="preserve">фициальное название </w:t>
      </w:r>
      <w:r w:rsidRPr="00D03F3E">
        <w:rPr>
          <w:rFonts w:ascii="Times New Roman" w:hAnsi="Times New Roman"/>
          <w:color w:val="000000" w:themeColor="text1"/>
          <w:sz w:val="16"/>
          <w:szCs w:val="16"/>
          <w:lang w:val="en-US"/>
        </w:rPr>
        <w:t>Brummbar</w:t>
      </w:r>
      <w:r w:rsidRPr="00D03F3E">
        <w:rPr>
          <w:rFonts w:ascii="Times New Roman" w:hAnsi="Times New Roman"/>
          <w:color w:val="000000" w:themeColor="text1"/>
          <w:sz w:val="16"/>
          <w:szCs w:val="16"/>
        </w:rPr>
        <w:t xml:space="preserve"> («Бруммбер» — «Гризли»), под которым известна значительно больше, чем под своим официальным обозначением (15232).</w:t>
      </w:r>
    </w:p>
    <w:p w14:paraId="7260CBBC" w14:textId="77777777" w:rsidR="0066261B" w:rsidRPr="00D03F3E" w:rsidRDefault="0066261B" w:rsidP="00D03F3E">
      <w:pPr>
        <w:spacing w:after="0" w:line="240" w:lineRule="auto"/>
        <w:jc w:val="both"/>
        <w:rPr>
          <w:rFonts w:ascii="Times New Roman" w:hAnsi="Times New Roman"/>
          <w:color w:val="000000" w:themeColor="text1"/>
          <w:sz w:val="16"/>
          <w:szCs w:val="16"/>
        </w:rPr>
      </w:pPr>
    </w:p>
    <w:p w14:paraId="0674EA61" w14:textId="77777777" w:rsidR="0066261B" w:rsidRPr="00D03F3E" w:rsidRDefault="0066261B"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года о серийном производстве Cromwell, Centaur и Cavalier стало известно агентам ГРУ. Был составлен доклад, который через начальника 3 Управления ГРУ КА генерал-майора В. Е. Хлопова передали в Главное бронетанковое управление (ГБТУ). Согласно докладу, количество выпущенных «Кромвелей» достигло к марту 1943 года 8–10 тысяч (!) штук, каждый день их выпускалось по 45 штук силами 15 предприятий. Эту информацию получили от всё того же Ольховского.</w:t>
      </w:r>
    </w:p>
    <w:p w14:paraId="4E50411C" w14:textId="77777777" w:rsidR="0066261B" w:rsidRPr="00D03F3E" w:rsidRDefault="0066261B"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основании полученных сведений Хлопов предлагал более не закупать «Матильды», а запросить танки нового типа (15737).</w:t>
      </w:r>
    </w:p>
    <w:p w14:paraId="77DEC003" w14:textId="77777777" w:rsidR="0066261B" w:rsidRPr="00D03F3E" w:rsidRDefault="0066261B" w:rsidP="00D03F3E">
      <w:pPr>
        <w:shd w:val="clear" w:color="auto" w:fill="FFFFFF"/>
        <w:spacing w:after="0" w:line="240" w:lineRule="auto"/>
        <w:jc w:val="both"/>
        <w:rPr>
          <w:rFonts w:ascii="Times New Roman" w:hAnsi="Times New Roman"/>
          <w:color w:val="000000" w:themeColor="text1"/>
          <w:sz w:val="16"/>
          <w:szCs w:val="16"/>
        </w:rPr>
      </w:pPr>
    </w:p>
    <w:p w14:paraId="377922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Лябинот. На 1-й Всеалбанской конференции КПА был принят курс на всенародное восстание (7594).</w:t>
      </w:r>
    </w:p>
    <w:p w14:paraId="3D1C73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90EEC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5E252F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952D43" w14:textId="77777777" w:rsidR="00E46C29" w:rsidRPr="00D03F3E" w:rsidRDefault="00E46C29" w:rsidP="00D03F3E">
      <w:pPr>
        <w:pStyle w:val="250"/>
        <w:shd w:val="clear" w:color="auto" w:fill="auto"/>
        <w:spacing w:after="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В марте-апреле 1943 негативные тенденции с боеспособностью материальной части в ВВС КА достигли таких размеров, что поставили под угрозу проведение операций летней кампании.</w:t>
      </w:r>
    </w:p>
    <w:p w14:paraId="1CF64054" w14:textId="77777777" w:rsidR="00E46C29" w:rsidRPr="00D03F3E" w:rsidRDefault="00E46C29" w:rsidP="00D03F3E">
      <w:pPr>
        <w:pStyle w:val="250"/>
        <w:shd w:val="clear" w:color="auto" w:fill="auto"/>
        <w:spacing w:after="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На многих боевых самолетах обнару</w:t>
      </w:r>
      <w:r w:rsidRPr="00D03F3E">
        <w:rPr>
          <w:rFonts w:ascii="Times New Roman" w:cs="Times New Roman"/>
          <w:color w:val="000000" w:themeColor="text1"/>
          <w:sz w:val="16"/>
          <w:szCs w:val="16"/>
        </w:rPr>
        <w:softHyphen/>
        <w:t>жился массовый дефект производствен</w:t>
      </w:r>
      <w:r w:rsidRPr="00D03F3E">
        <w:rPr>
          <w:rFonts w:ascii="Times New Roman" w:cs="Times New Roman"/>
          <w:color w:val="000000" w:themeColor="text1"/>
          <w:sz w:val="16"/>
          <w:szCs w:val="16"/>
        </w:rPr>
        <w:softHyphen/>
        <w:t>ной отделки. Отмечались многочислен</w:t>
      </w:r>
      <w:r w:rsidRPr="00D03F3E">
        <w:rPr>
          <w:rFonts w:ascii="Times New Roman" w:cs="Times New Roman"/>
          <w:color w:val="000000" w:themeColor="text1"/>
          <w:sz w:val="16"/>
          <w:szCs w:val="16"/>
        </w:rPr>
        <w:softHyphen/>
        <w:t>ные случаи, когда в полете с крыла сры- вало фанерную обшивку. Только в одной 16-й ВА вышло ив строя 125 самолетов Ил-2. Кроме них, из-за дефектов обшивки считались небоеспособными еще 27 ис</w:t>
      </w:r>
      <w:r w:rsidRPr="00D03F3E">
        <w:rPr>
          <w:rFonts w:ascii="Times New Roman" w:cs="Times New Roman"/>
          <w:color w:val="000000" w:themeColor="text1"/>
          <w:sz w:val="16"/>
          <w:szCs w:val="16"/>
        </w:rPr>
        <w:softHyphen/>
        <w:t>требителей Ла-5, а также 97 Як-1 и 100 - Як-9 и Як-7. В 13-й ВА из строя вышли 84 штурмовика Ил-2,11 Ла-5 и 70 самолетов Як-1, Як-7. Подобная картина наблюдалась и в других воздушных армиях и внутрен</w:t>
      </w:r>
      <w:r w:rsidRPr="00D03F3E">
        <w:rPr>
          <w:rFonts w:ascii="Times New Roman" w:cs="Times New Roman"/>
          <w:color w:val="000000" w:themeColor="text1"/>
          <w:sz w:val="16"/>
          <w:szCs w:val="16"/>
        </w:rPr>
        <w:softHyphen/>
        <w:t>них Военных округах.</w:t>
      </w:r>
    </w:p>
    <w:p w14:paraId="2E0E99F4" w14:textId="77777777" w:rsidR="00E46C29" w:rsidRPr="00D03F3E" w:rsidRDefault="00E46C29" w:rsidP="00D03F3E">
      <w:pPr>
        <w:pStyle w:val="134"/>
        <w:shd w:val="clear" w:color="auto" w:fill="auto"/>
        <w:spacing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Наметился рост аварий и катастроф самолетов Ил-2. Командование ВВС КА забило тревогу. Требовалось срочно улуч</w:t>
      </w:r>
      <w:r w:rsidRPr="00D03F3E">
        <w:rPr>
          <w:rFonts w:ascii="Times New Roman" w:hAnsi="Times New Roman"/>
          <w:color w:val="000000" w:themeColor="text1"/>
          <w:sz w:val="16"/>
          <w:szCs w:val="16"/>
        </w:rPr>
        <w:softHyphen/>
        <w:t>шить пилотажные и эксплуатационные ка</w:t>
      </w:r>
      <w:r w:rsidRPr="00D03F3E">
        <w:rPr>
          <w:rFonts w:ascii="Times New Roman" w:hAnsi="Times New Roman"/>
          <w:color w:val="000000" w:themeColor="text1"/>
          <w:sz w:val="16"/>
          <w:szCs w:val="16"/>
        </w:rPr>
        <w:softHyphen/>
        <w:t>чества Ил-2.</w:t>
      </w:r>
    </w:p>
    <w:p w14:paraId="0134EB67" w14:textId="77777777" w:rsidR="00E46C29" w:rsidRPr="00D03F3E" w:rsidRDefault="00E46C29" w:rsidP="00D03F3E">
      <w:pPr>
        <w:pStyle w:val="134"/>
        <w:shd w:val="clear" w:color="auto" w:fill="auto"/>
        <w:spacing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Судя по документам, основной брак в это время исходил от заводов №1 и №30. При этом пальму первенства держал мос</w:t>
      </w:r>
      <w:r w:rsidRPr="00D03F3E">
        <w:rPr>
          <w:rFonts w:ascii="Times New Roman" w:hAnsi="Times New Roman"/>
          <w:color w:val="000000" w:themeColor="text1"/>
          <w:sz w:val="16"/>
          <w:szCs w:val="16"/>
        </w:rPr>
        <w:softHyphen/>
        <w:t>ковский завод.</w:t>
      </w:r>
    </w:p>
    <w:p w14:paraId="66378603" w14:textId="77777777" w:rsidR="00E46C29" w:rsidRPr="00D03F3E" w:rsidRDefault="00E46C29" w:rsidP="00D03F3E">
      <w:pPr>
        <w:pStyle w:val="134"/>
        <w:shd w:val="clear" w:color="auto" w:fill="auto"/>
        <w:spacing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Например, в частях 232-й шад 2-го шак Резерва ВГК небоеспособными ока</w:t>
      </w:r>
      <w:r w:rsidRPr="00D03F3E">
        <w:rPr>
          <w:rFonts w:ascii="Times New Roman" w:hAnsi="Times New Roman"/>
          <w:color w:val="000000" w:themeColor="text1"/>
          <w:sz w:val="16"/>
          <w:szCs w:val="16"/>
        </w:rPr>
        <w:softHyphen/>
        <w:t>зались почти все Ил-2, полученные на 30-м заводе: в 704-м шап - 34 самолета, в 801-м шап - 32, в 230-м шап - 34 ма</w:t>
      </w:r>
      <w:r w:rsidRPr="00D03F3E">
        <w:rPr>
          <w:rFonts w:ascii="Times New Roman" w:hAnsi="Times New Roman"/>
          <w:color w:val="000000" w:themeColor="text1"/>
          <w:sz w:val="16"/>
          <w:szCs w:val="16"/>
        </w:rPr>
        <w:softHyphen/>
        <w:t>шины. Всего 100 самолетов Ил-2.</w:t>
      </w:r>
    </w:p>
    <w:p w14:paraId="7B1D18C0" w14:textId="77777777" w:rsidR="00E46C29" w:rsidRPr="00D03F3E" w:rsidRDefault="00E46C29" w:rsidP="00D03F3E">
      <w:pPr>
        <w:pStyle w:val="134"/>
        <w:shd w:val="clear" w:color="auto" w:fill="auto"/>
        <w:spacing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Положение в полках 231-й шад этого же корпуса было несколько лучше. Из строя вышли немногим больше двух тре</w:t>
      </w:r>
      <w:r w:rsidRPr="00D03F3E">
        <w:rPr>
          <w:rFonts w:ascii="Times New Roman" w:hAnsi="Times New Roman"/>
          <w:color w:val="000000" w:themeColor="text1"/>
          <w:sz w:val="16"/>
          <w:szCs w:val="16"/>
        </w:rPr>
        <w:softHyphen/>
        <w:t>тей боевого состава дивизии - 66 Ил-2, также производства завода № 30.</w:t>
      </w:r>
    </w:p>
    <w:p w14:paraId="264B6621" w14:textId="77777777" w:rsidR="00E46C29" w:rsidRPr="00D03F3E" w:rsidRDefault="00E46C29" w:rsidP="00D03F3E">
      <w:pPr>
        <w:pStyle w:val="134"/>
        <w:shd w:val="clear" w:color="auto" w:fill="auto"/>
        <w:spacing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полете при выполнении упражне</w:t>
      </w:r>
      <w:r w:rsidRPr="00D03F3E">
        <w:rPr>
          <w:rFonts w:ascii="Times New Roman" w:hAnsi="Times New Roman"/>
          <w:color w:val="000000" w:themeColor="text1"/>
          <w:sz w:val="16"/>
          <w:szCs w:val="16"/>
        </w:rPr>
        <w:softHyphen/>
        <w:t>ний по учебно-боевой подготовке проис</w:t>
      </w:r>
      <w:r w:rsidRPr="00D03F3E">
        <w:rPr>
          <w:rFonts w:ascii="Times New Roman" w:hAnsi="Times New Roman"/>
          <w:color w:val="000000" w:themeColor="text1"/>
          <w:sz w:val="16"/>
          <w:szCs w:val="16"/>
        </w:rPr>
        <w:softHyphen/>
        <w:t>ходил срыв полотна и фанерной обшивки с консолей крыла. По этой причине имели место аварии и даже катастрофы (19557).</w:t>
      </w:r>
    </w:p>
    <w:p w14:paraId="3599B484" w14:textId="77777777" w:rsidR="00E46C29" w:rsidRPr="00D03F3E" w:rsidRDefault="00E46C29" w:rsidP="00D03F3E">
      <w:pPr>
        <w:pStyle w:val="134"/>
        <w:shd w:val="clear" w:color="auto" w:fill="auto"/>
        <w:spacing w:line="240" w:lineRule="auto"/>
        <w:jc w:val="both"/>
        <w:rPr>
          <w:rFonts w:ascii="Times New Roman" w:hAnsi="Times New Roman"/>
          <w:color w:val="000000" w:themeColor="text1"/>
          <w:sz w:val="16"/>
          <w:szCs w:val="16"/>
        </w:rPr>
      </w:pPr>
    </w:p>
    <w:p w14:paraId="64AEEC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марте-апреле 1943 г. на двухместный Ил-2 с АМ-38Ф установили две новые, более совершенные 37-мм пушки НС-37, созданные под руководством А.Э.Нудельмана. Их ленточное питание позволило разместить пушки непосредственно у нижней поверхности крыла с использованием конструктивно очень простого и быстроразъемного крепления. Пушки закрывались относительно небольшими обтекателями, каждый из них состоял из двух легко открывающихся створок. Боезапас каждой пушки составлял 50 снарядов, укладывавшихся не в снарядные ящики, а непосредственно в отсеки крыла. Максимальная бомбовая нагрузка этого штурмовика была равна 200 кг.</w:t>
      </w:r>
    </w:p>
    <w:p w14:paraId="25A41A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A417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 мае 1943 года АМ-42 облетывали на специально доработанном Ил-2 (Ил-АМ-42). Планировали провести госиспытания АМ-42 в марте 1943 г., но двигатель не успели довести. В мае того же года Микулина освободили от обязанностей главного конструктора завода № 24, и даль</w:t>
      </w:r>
      <w:r w:rsidRPr="00D03F3E">
        <w:rPr>
          <w:rFonts w:ascii="Times New Roman" w:hAnsi="Times New Roman"/>
          <w:color w:val="000000" w:themeColor="text1"/>
          <w:sz w:val="16"/>
          <w:szCs w:val="16"/>
        </w:rPr>
        <w:softHyphen/>
        <w:t>нейшим совершенствованием мотора Флисский занимался самостоятельно. 23 сентября 1943 г. АМ-42 в первый раз представили на госиспытания, с которых его сняли из-за прогара поршней. В ходе доводки опытного дви</w:t>
      </w:r>
      <w:r w:rsidRPr="00D03F3E">
        <w:rPr>
          <w:rFonts w:ascii="Times New Roman" w:hAnsi="Times New Roman"/>
          <w:color w:val="000000" w:themeColor="text1"/>
          <w:sz w:val="16"/>
          <w:szCs w:val="16"/>
        </w:rPr>
        <w:softHyphen/>
        <w:t>гателя доработали беспоплавковый карбюратор К-42БПА, усилили силовые шпильки блока, юбки поршней, утолщили гильзы цилиндров, усилили ре</w:t>
      </w:r>
      <w:r w:rsidRPr="00D03F3E">
        <w:rPr>
          <w:rFonts w:ascii="Times New Roman" w:hAnsi="Times New Roman"/>
          <w:color w:val="000000" w:themeColor="text1"/>
          <w:sz w:val="16"/>
          <w:szCs w:val="16"/>
        </w:rPr>
        <w:softHyphen/>
        <w:t>дуктор. Госиспытания АМ-42 успешно прошел в апреле — мае 1944 г. Еще раньше, с начала 1944 г., двигатель запустили в серию на заводе № 24. АМ-42 изготовлялся в больших количествах до 1948 г., затем его сняли с производства. В начале 1951 г. выпуск мотора восстановили в усовершенствованном варианте с ресурсом 400 ч., но снова прекратили в 1954 г. Всего на заводе № 24 было изготовлено 10 232 экз. С весны 1952 г. АМ-42 изготовлялся по лицензии в Чехословакии на заводе им. Димитрова как М-42. Количество моторов, выпущенных там, неизвестно.</w:t>
      </w:r>
    </w:p>
    <w:p w14:paraId="69307B0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АМ-42 экспортировался в Польшу, Венгрию, Румынию, Чехословакию, Китай, Северную Корею. </w:t>
      </w:r>
    </w:p>
    <w:p w14:paraId="03EC26D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Характеристики:</w:t>
      </w:r>
    </w:p>
    <w:p w14:paraId="159BC10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12-цилиндровый рядный У-образный, четырехтактный, водяного охлаждения, редукторный, с односкоростным ПЦН;</w:t>
      </w:r>
    </w:p>
    <w:p w14:paraId="134914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диаметр цилиндра/ход поршня 160/190 мм (в цилиндрах с прицепными шатунами 196,8 мм);</w:t>
      </w:r>
    </w:p>
    <w:p w14:paraId="75949B6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объем 46,66 л;</w:t>
      </w:r>
    </w:p>
    <w:p w14:paraId="611BCC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степень сжатия 5,5; </w:t>
      </w:r>
      <w:r w:rsidRPr="00D03F3E">
        <w:rPr>
          <w:rFonts w:ascii="Times New Roman" w:hAnsi="Times New Roman"/>
          <w:color w:val="000000" w:themeColor="text1"/>
          <w:sz w:val="16"/>
          <w:szCs w:val="16"/>
          <w:vertAlign w:val="subscript"/>
        </w:rPr>
        <w:t>4</w:t>
      </w:r>
    </w:p>
    <w:p w14:paraId="027EB9B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мощность и вес в зависимости от модификации;</w:t>
      </w:r>
    </w:p>
    <w:p w14:paraId="52A81A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запуск сжатым воздухом. Известны модификации:</w:t>
      </w:r>
    </w:p>
    <w:p w14:paraId="162056D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АМ-42, единственный вариант, находившийся в массовом производ</w:t>
      </w:r>
      <w:r w:rsidRPr="00D03F3E">
        <w:rPr>
          <w:rFonts w:ascii="Times New Roman" w:hAnsi="Times New Roman"/>
          <w:color w:val="000000" w:themeColor="text1"/>
          <w:sz w:val="16"/>
          <w:szCs w:val="16"/>
        </w:rPr>
        <w:softHyphen/>
        <w:t>стве, 1750/2000 л.с., вес 980 кг (поздние серии 996 кг).</w:t>
      </w:r>
    </w:p>
    <w:p w14:paraId="71B176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АМ-42 с форкамерным зажиганием и степенью сжатия 7,0. Опытный образец испытывался на стенде в 1944 г.</w:t>
      </w:r>
    </w:p>
    <w:p w14:paraId="4012CC9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АМ-42Б (АМ-42ТК, АМ-42Б-ТК), вариант 1943 г. с переделанным ПЦН, новыми всасывающими патрубками и воздухо-воздушным интеркулером. Комплектовался турбонагнетателями ТК-ЗООБ. Мощность 1750/2000 л.с. Был изготовлен в марте 1943 г. Испытывался на опыт</w:t>
      </w:r>
      <w:r w:rsidRPr="00D03F3E">
        <w:rPr>
          <w:rFonts w:ascii="Times New Roman" w:hAnsi="Times New Roman"/>
          <w:color w:val="000000" w:themeColor="text1"/>
          <w:sz w:val="16"/>
          <w:szCs w:val="16"/>
        </w:rPr>
        <w:softHyphen/>
        <w:t>ном истребителе «5А» конструкции А.И. Микояна. АМ-42ФНВ с непосредственным впрыском топлива, 1650/2000 л.с., вес 1000 кг. Испытания опытного образца на стенде завершены 22 августа 1945 г.</w:t>
      </w:r>
    </w:p>
    <w:p w14:paraId="2C3FBE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АМ-42ФБ-ТК с двумя турбонагнетателями ТК-1А. Двигатели АМ-42 устанавливались на серийных штурмовиках Ил-10 и Ил-ЮМ. Чехословацкие М-42 монтировались на самолетах В-33 (мест</w:t>
      </w:r>
      <w:r w:rsidRPr="00D03F3E">
        <w:rPr>
          <w:rFonts w:ascii="Times New Roman" w:hAnsi="Times New Roman"/>
          <w:color w:val="000000" w:themeColor="text1"/>
          <w:sz w:val="16"/>
          <w:szCs w:val="16"/>
        </w:rPr>
        <w:softHyphen/>
        <w:t>ный вариант Ил-10). АМ-42 устанавливались также на опытные машины Ил-8, Ил-16, И-225 (5А), Су-6. Применение их предусматривалось про</w:t>
      </w:r>
      <w:r w:rsidRPr="00D03F3E">
        <w:rPr>
          <w:rFonts w:ascii="Times New Roman" w:hAnsi="Times New Roman"/>
          <w:color w:val="000000" w:themeColor="text1"/>
          <w:sz w:val="16"/>
          <w:szCs w:val="16"/>
        </w:rPr>
        <w:softHyphen/>
        <w:t>ектом Ту-8Б (11852).</w:t>
      </w:r>
    </w:p>
    <w:p w14:paraId="247E37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2556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 мае 1943 года АМ-42 облетывали на специально доработанном Ил-2 (Ил-АМ-42). Планировали провести государственные испытания АМ-42 в марте 1943 г., но двигатель не успели довести к этому сроку. В мае того же года Микулина освободили от обязанностей главного конструктора завода № 24, и дальнейшим совершенствованием мотора Флисский занимался самостоятельно. 23 сентября 1943 г. АМ-42 в первый раз представили на государственные испытания, с которых его довольно быстро сняли из-за прогара поршней. Последовала доводка двигателя. В ее ходе доработали беспоплавковый карбюратор К-42БПА, усилили силовые шпильки блока, юбки поршней, утолщили гильзы цилиндров, усилили редуктор. Госиспытания АМ-42 успешно прошел в апреле-мае 1944 г. Номинальная мощность равнялась 1750 л.с., а максимальная дошла до 2000 л.с. При этом вес у моторов первых серий был около 980 кг.</w:t>
      </w:r>
    </w:p>
    <w:p w14:paraId="4872E8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еще раньше, с самого начала 1944 г., двигатель запустили в серию на заводе No 24. Эти моторы ставили на штурмовики Ил- 10. АМ-42 изготовлялся в больших количествах. С 1947 г. усилили картер, щеки коленчатого вала, шатуны, шестерни редуктора.э увеличило вес сухого двигателя на 10 кг (до 1030 кг). Попробовали вариант с непосредственным впрыском, но внедрение его на Ил-10 потребовало бы внесения значительных изменений в винтомоторную установку, и от серийного производства отказались.</w:t>
      </w:r>
    </w:p>
    <w:p w14:paraId="7B5F84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1948 г. АМ-42 сняли с производства, но в начале 1951 г. выпуск мотора восстановили в усовершенствованном варианте с ресурсом 400 часов (за счет нового увеличения веса) для Ил- 10М, но снова прекратили в 1954 г. Масштаб производства в 50-е годы был не сравним, с тем, что имел место во время войны - делали чуть более 300 моторов в год. Всего на заводе № 24 было изготовлено 10 232 двигателей АМ-42.</w:t>
      </w:r>
    </w:p>
    <w:p w14:paraId="1A643A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весны 1952 г. АМ-42 также делали по лицензии в Чехословакии на заводе им. Димитрова как М-42 для штурмовиков В-33 (это был местный вариант Ил-10). Количество моторов, выпущенных там, неизвестно. AJM-42 экспортировался в Польшу, Венгрию, Румынию, Чехословакию, Китай и Северную Корею.</w:t>
      </w:r>
    </w:p>
    <w:p w14:paraId="1212B1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Существовало несколько опытных вариантов АМ-42. Например, имелась модификация с форкамер- ным зажиганием и степенью сжатия 7,0. Опытный образец ее испытывался на стенде в 1944 г. АМ-42Б (он же АМ-42ТК или АМ-42Б-ТК) - это вариант 1943 г. с переделанным ПЦН, новыми всасывающими патрубками и воздухо-воздушным интеркулером. Он комплектовался двумя турбонагнетателями ТК-300Б.</w:t>
      </w:r>
    </w:p>
    <w:p w14:paraId="724192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Мощность была на уровне серийного типа, но номинальную мощность можно было удерживать до гораздо большей высоты. Такой двигатель изготовили в марте 1943 г., он испытывался на опытном истребителе "5А" конструкции А.И. Микояна. Был и еще один вариант с турбонаддувом - АМ-42ФБ-ТК с двумя турбонагнетателями ТК-1А.</w:t>
      </w:r>
    </w:p>
    <w:p w14:paraId="58AB1A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АМ-42ФНВ отличался непосредственным впрыском топлива. Он получился тяжелее карбюраторного "собрата" - вес дошел до 1000 кг. Испытания опытного образца АМ-42ФНВ на стенде были завершены 22 августа 1945 г., но серийно этот вариант строить не стали (11934).</w:t>
      </w:r>
    </w:p>
    <w:p w14:paraId="372826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6C95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марта 1943 по июнь 1945 153 завод выпустил 3748 Як-9Т с НС-37 (65,116) или 2748 (4237,17).</w:t>
      </w:r>
    </w:p>
    <w:p w14:paraId="52B89D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81A8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марта 1943 по июнь 1946 было произведено 3058 Як-9Д (65,119).</w:t>
      </w:r>
    </w:p>
    <w:p w14:paraId="7C36AF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E823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 апреле 1943 г. в огромной натурной аэродинамической трубе Т-104, принадлежавшей ЦАГИ, установили доработанный по рекомендациям специалистов института истребитель Ла-5. От своих серийных собратьев эта машина отличалась улучшенной герметизацией капота мотора и маслорадиатором, перенесённым под фюзеляж (за пятый шпангоут). Расположение радиатора в профилированном туннеле одновременно снижало его сопротивление в два раза и повышало эффективность сброса тепла, так как расход воздуха через него возрастал на 25 - 30 %. Результаты продувок были обнадёживающими: имелся шанс получить прибавку в максимальной скорости в 25 - 30 км/ч, а ряд других, более мелких, улучшений прибавлял ещё 10 - 15 км/ч. Чуть позже специалисты ЦАГИ порекомендовали изменить конструкцию боковых створок капота. Дело в том, что практика эксплуатации показала, что мотор М-82ФН менее склонен к перегреву, чем М-82Ф. Можно было сделать створки поменьше и отодвинуть их вверх от поверхности крыла, уменьшив вредное влияние возмущения потока. Они также предлагали восстановить на центроплане аэродинамический профиль NACA-230 (который ранее заменили при переходе от ЛАГГ-3 к Ла-5) и усовершенствовать форму зализов между крылом и фюзеляжем. Но на Ла-5 эти рекомендации внедрять не стали: значительные переделки могли затормозить темпы выпуска серийных самолётов. Но при этом был сделан первый шаг к будущему Ла-7 (11986).</w:t>
      </w:r>
    </w:p>
    <w:p w14:paraId="5C93BD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E50C2F" w14:textId="77777777" w:rsidR="00E46C29" w:rsidRPr="00D03F3E" w:rsidRDefault="00E46C2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 апреле 1943 г. в аэродинамической трубе Т-104 установили доработанный по рекомендациям специалистов института истребитель Ла-5. От своих серийных собратьев он отличался улучшенной герметизацией капота мотора и маслорадиатором, перенесенным под фюзеляж. Результаты продувок показали возможность увеличить максимальную скорость на 25—30 км/ч. Ряд более мелких, улучшений давал еще 10—15 км/ч. Чуть позже специалисты ЦАГИ порекомендовали изменить конструкцию боковых створок капота. Мотор М-82ФН оказался менее склонен к перегреву, чем мотор М-82Ф, что позволяло сделать створки поменьше и отодвинуть их вверх от поверхности крыла, уменьшив вредное влияние. Также было предложено восстановить на центроплане аэродинамический профиль NACA-230 (который заменили при переходе от ЛАГГ-3 к Ла-5) и усовершенствовать форму зализов между крылом и фюзеляжем. Но на Ла-5 эти рекомендации внедрять не стали: значительные переделки могли затормозить темпы выпуска серийных самолетов. Эти рекомендации внедрили уже на Ла-7 (19727).</w:t>
      </w:r>
    </w:p>
    <w:p w14:paraId="30112F15" w14:textId="77777777" w:rsidR="00E46C29" w:rsidRPr="00D03F3E" w:rsidRDefault="00E46C29" w:rsidP="00D03F3E">
      <w:pPr>
        <w:spacing w:after="0" w:line="240" w:lineRule="auto"/>
        <w:jc w:val="both"/>
        <w:rPr>
          <w:rFonts w:ascii="Times New Roman" w:hAnsi="Times New Roman"/>
          <w:color w:val="000000" w:themeColor="text1"/>
          <w:sz w:val="16"/>
          <w:szCs w:val="16"/>
        </w:rPr>
      </w:pPr>
    </w:p>
    <w:p w14:paraId="1E4801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марте-апреле 1943 Ла-5 с герметизированными капотом мотора и тоннелем маслорадиатора, с воздухозаборником, перенесенным под фюзеляж (за пятый шпангоут), исследовали в натурной аэродинамической трубе ЦАГИ Т-104. Результаты были обнадеживающие, только это мероприятие дало 25-30 км/ч, а ряд более мелких улучшений прибавлял еше 10-15 км/ч. К тому же улучшился температурный режим мотора, поскольку расход воздуха через маслорадиатор возрос почти на четверть. Так был сделан следующий шаг к одному из лучших истребителей второй мировой войны, будущему Ла-7 (12032).</w:t>
      </w:r>
    </w:p>
    <w:p w14:paraId="4B6CD4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25BFEA"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284039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FAB1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марте-апреле 1943 Техсовет НКВ одобрил зскизный проект 600мм мортиры И-13-63 “Сталинский удар”. Одобрили, но средств на постройку опытного образца - не отпустили. И.В.С. засомневался в эффективности. Работы в НИИ-13, которые велись с марта 1942, прекратили (7691,31).</w:t>
      </w:r>
    </w:p>
    <w:p w14:paraId="2687DA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CFF2E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 апре</w:t>
      </w:r>
      <w:r w:rsidRPr="00D03F3E">
        <w:rPr>
          <w:rFonts w:ascii="Times New Roman" w:hAnsi="Times New Roman"/>
          <w:color w:val="000000" w:themeColor="text1"/>
          <w:sz w:val="16"/>
          <w:szCs w:val="16"/>
        </w:rPr>
        <w:softHyphen/>
        <w:t>ле 1943 г. был разработан в КБ-520 завода № 183 под руководством главного конструктора А.А. Морозова танк Т-43 (второй вариант), который являлся дальнейшим совершенствованием первого вариан</w:t>
      </w:r>
      <w:r w:rsidRPr="00D03F3E">
        <w:rPr>
          <w:rFonts w:ascii="Times New Roman" w:hAnsi="Times New Roman"/>
          <w:color w:val="000000" w:themeColor="text1"/>
          <w:sz w:val="16"/>
          <w:szCs w:val="16"/>
        </w:rPr>
        <w:softHyphen/>
        <w:t>та танка Т-43. Три опытных образца были изготовлены в конце апреля 1943 г., два из которых в мае - июне 1943 г. прошли заводские испыта</w:t>
      </w:r>
      <w:r w:rsidRPr="00D03F3E">
        <w:rPr>
          <w:rFonts w:ascii="Times New Roman" w:hAnsi="Times New Roman"/>
          <w:color w:val="000000" w:themeColor="text1"/>
          <w:sz w:val="16"/>
          <w:szCs w:val="16"/>
        </w:rPr>
        <w:softHyphen/>
        <w:t>ния, а в период с 8 по 26 августа того же года успешно прошли испыта</w:t>
      </w:r>
      <w:r w:rsidRPr="00D03F3E">
        <w:rPr>
          <w:rFonts w:ascii="Times New Roman" w:hAnsi="Times New Roman"/>
          <w:color w:val="000000" w:themeColor="text1"/>
          <w:sz w:val="16"/>
          <w:szCs w:val="16"/>
        </w:rPr>
        <w:softHyphen/>
        <w:t>ния и на НИБТ полигоне. В сентябре 1943 г. в НКТП и ГБТУ рассмат</w:t>
      </w:r>
      <w:r w:rsidRPr="00D03F3E">
        <w:rPr>
          <w:rFonts w:ascii="Times New Roman" w:hAnsi="Times New Roman"/>
          <w:color w:val="000000" w:themeColor="text1"/>
          <w:sz w:val="16"/>
          <w:szCs w:val="16"/>
        </w:rPr>
        <w:softHyphen/>
        <w:t>ривался вопрос о принятии тапка Т-43 па вооружение, по в связи с ши</w:t>
      </w:r>
      <w:r w:rsidRPr="00D03F3E">
        <w:rPr>
          <w:rFonts w:ascii="Times New Roman" w:hAnsi="Times New Roman"/>
          <w:color w:val="000000" w:themeColor="text1"/>
          <w:sz w:val="16"/>
          <w:szCs w:val="16"/>
        </w:rPr>
        <w:softHyphen/>
        <w:t>роко развернувшейся работой по созданию танка Т-34-85, а в последую</w:t>
      </w:r>
      <w:r w:rsidRPr="00D03F3E">
        <w:rPr>
          <w:rFonts w:ascii="Times New Roman" w:hAnsi="Times New Roman"/>
          <w:color w:val="000000" w:themeColor="text1"/>
          <w:sz w:val="16"/>
          <w:szCs w:val="16"/>
        </w:rPr>
        <w:softHyphen/>
        <w:t>щем и принятием сто на вооружение, дальнейшие работы по танку Т-43 были прекращены (10703).</w:t>
      </w:r>
    </w:p>
    <w:p w14:paraId="78A663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4BDDC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 апреле 1943 г. к идее экранирования корпуса и башни Т-34 вернулись вновь, но на сей раз тол</w:t>
      </w:r>
      <w:r w:rsidRPr="00D03F3E">
        <w:rPr>
          <w:rFonts w:ascii="Times New Roman" w:hAnsi="Times New Roman"/>
          <w:color w:val="000000" w:themeColor="text1"/>
          <w:sz w:val="16"/>
          <w:szCs w:val="16"/>
        </w:rPr>
        <w:softHyphen/>
        <w:t>щина брони экранов была увеличена до 20 мм, а схема их установки немного упростилась. Теперь все экраны крепились вертикально, образуя во</w:t>
      </w:r>
      <w:r w:rsidRPr="00D03F3E">
        <w:rPr>
          <w:rFonts w:ascii="Times New Roman" w:hAnsi="Times New Roman"/>
          <w:color w:val="000000" w:themeColor="text1"/>
          <w:sz w:val="16"/>
          <w:szCs w:val="16"/>
        </w:rPr>
        <w:softHyphen/>
        <w:t>круг танка коробку со съемными листами, расположенными в нижней части бортов. Высота коробки была таковой, чтобы обеспечить угол склонения орудия в 3 — 5° (11135).</w:t>
      </w:r>
    </w:p>
    <w:p w14:paraId="538849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72D9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марте-июне 1943 КБ Уралмашзавода разработал улучшенный вариант Су-122 - Су-122М с новым 122-мм орудием Д-11 завода 9 (4406).</w:t>
      </w:r>
    </w:p>
    <w:p w14:paraId="07150B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6DB9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марте-апреле 1943 г. в Кирове прошли испытания машины СУ-12М, отличавшейся от СУ-12 рядом уовершенствований. Между моторами и КПП были установлены две пружинные упругие муфты, а между двумя главными передачами на общем валу - фрикционная проскальзывающая муфта. Моторы дополнили подмоторными амортизаторами. Принятые меры резко снизили аварийност! главных передач СУ-12М. Необходимость Е легких САУ была столь велика, что в мае 1943 г. СУ-12М пошли в серию под индексом СУ-76М (6205, 14).</w:t>
      </w:r>
    </w:p>
    <w:p w14:paraId="0565B8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58A052" w14:textId="77777777" w:rsidR="00ED2FF4" w:rsidRPr="00D03F3E" w:rsidRDefault="00ED2FF4"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марте-апреле </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1943 г</w:t>
        </w:r>
      </w:smartTag>
      <w:r w:rsidRPr="00D03F3E">
        <w:rPr>
          <w:rFonts w:ascii="Times New Roman" w:hAnsi="Times New Roman"/>
          <w:color w:val="000000" w:themeColor="text1"/>
          <w:sz w:val="16"/>
          <w:szCs w:val="16"/>
        </w:rPr>
        <w:t xml:space="preserve">. в Кирове прошли испытания машины СУ-12М, отличавшейся от СУ-12 рядом усовершенствований. Между моторами и КПП были установлены две упругие пружинные муфты, а между двумя главными передачами на общем валу – фрикционная проскальзывающая муфта. Моторы были дополнены подмоторными амортизаторами. Принятые меры резко снизили аварийность главных передач СУ-12М, но все же полностью их не исключили. Необходимость в легких САУ была столь велика, что уже в мае </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1943 г</w:t>
        </w:r>
      </w:smartTag>
      <w:r w:rsidRPr="00D03F3E">
        <w:rPr>
          <w:rFonts w:ascii="Times New Roman" w:hAnsi="Times New Roman"/>
          <w:color w:val="000000" w:themeColor="text1"/>
          <w:sz w:val="16"/>
          <w:szCs w:val="16"/>
        </w:rPr>
        <w:t>. СУ-12М пошли в серию и начали поступать в войска под индексом СУ-76М (15218).</w:t>
      </w:r>
    </w:p>
    <w:p w14:paraId="250B462D" w14:textId="77777777" w:rsidR="00ED2FF4" w:rsidRPr="00D03F3E" w:rsidRDefault="00ED2FF4" w:rsidP="00D03F3E">
      <w:pPr>
        <w:widowControl w:val="0"/>
        <w:spacing w:after="0" w:line="240" w:lineRule="auto"/>
        <w:jc w:val="both"/>
        <w:rPr>
          <w:rFonts w:ascii="Times New Roman" w:hAnsi="Times New Roman"/>
          <w:color w:val="000000" w:themeColor="text1"/>
          <w:sz w:val="16"/>
          <w:szCs w:val="16"/>
        </w:rPr>
      </w:pPr>
    </w:p>
    <w:p w14:paraId="3C9004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марта 1943 г. по апрель 1947 г. НИИБТ-Полигон провел гарантийные испытания 129 машин (танки Т-34, Т-44, САУ). Испы-тания показали, что в 1943 г. срок службы основных узлов и агрегатов едва достигал 300-400 км, но к 1945-1946 гг. вырос до 1200-1500 км. Общее число поломок на 1000 км уменьшилось с 26 до 9. При этом доля машин, выдержавших гарантийные испы-тания изменялась следующим образом - рост с 27% до 44% к первой половине 1945 г. и затем вновь падение до 20% к 1947 г. (11224).</w:t>
      </w:r>
    </w:p>
    <w:p w14:paraId="7C1393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10FC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марте—апреле 1943 г. достроенные заводом 638, М-200 ("Месть") и М-201 вошли в состав Кас</w:t>
      </w:r>
      <w:r w:rsidRPr="00D03F3E">
        <w:rPr>
          <w:rFonts w:ascii="Times New Roman" w:hAnsi="Times New Roman"/>
          <w:color w:val="000000" w:themeColor="text1"/>
          <w:sz w:val="16"/>
          <w:szCs w:val="16"/>
        </w:rPr>
        <w:softHyphen/>
        <w:t>пийской флотилии, а летом, вместе с лодками типа "С", были пере</w:t>
      </w:r>
      <w:r w:rsidRPr="00D03F3E">
        <w:rPr>
          <w:rFonts w:ascii="Times New Roman" w:hAnsi="Times New Roman"/>
          <w:color w:val="000000" w:themeColor="text1"/>
          <w:sz w:val="16"/>
          <w:szCs w:val="16"/>
        </w:rPr>
        <w:softHyphen/>
        <w:t>ведены на Север водным путем и участвовали в боевых действиях (3898).</w:t>
      </w:r>
    </w:p>
    <w:p w14:paraId="24B8E6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7C6F9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4D2CC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E900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марте-мае 1943 Создание по инициативе польских коммунистов и других демократических деятелей массовой антифашистской патриотической организации в СССР - "Союза польских патриотов" - в противовес польским вооруженным силам, подчинявшимся польскому правительству в эмигранции в Лондоне (7451).</w:t>
      </w:r>
    </w:p>
    <w:p w14:paraId="06C158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6EA05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290A0D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AB8D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марте-апреле 1943 Создание в Болгарии Народно-освободительной повстанческой армии из партизанских групп и образование штаба для подготовки вооруженного восстания (7448).</w:t>
      </w:r>
    </w:p>
    <w:p w14:paraId="2D529B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136764"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47249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6B92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апрелю 1943 был готов Як-1М с М-107А. От Як-1М его отличали мотор М-107А с винтом ВИШ-107, еще меньшая площадь элеронов (0,5 м2 по сравнению с 1,0 м2 на Як-IM). В связи с установкой нового мотора капоты и каркас капотов были удлинены на 100 мм. Запас топлива размещался в четырех крыльевых бензобаках и одном расходном баке. Вес конструкции при этом составил 2438 кг против 2133 кг у Як-1 М (здесь и выше имеется в виду первый прототип Як-1М).</w:t>
      </w:r>
    </w:p>
    <w:p w14:paraId="2CE34F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Далее в отношении этого варианта Як-1, как и Як-IM с форсированным М-105ПФ. встала проблема соответствия устройств охлаждения новому мотору. Причем для Як- 1М особенно, так как теплоотдача М-107А. по сравнению с М-105ПФ, возросла с 7500 до 9500 кал/мин. Продувками модели Як-1 с М-107 с различными типами охлаждающих устройств в аэродинамической трубе Т-106 ЦАГИ и на основе результатов продувок Як-I М подобрали наиболее рациональную компоновку радиаторов. По результатам этих исследовательских работ самолет в сентябре 1943 г. подвергся переделкам. Ко 2 октября он был готов и 5 октября совершил свой первый полет (12048).</w:t>
      </w:r>
    </w:p>
    <w:p w14:paraId="275C4E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4CFCEB" w14:textId="77777777" w:rsidR="007F0261" w:rsidRPr="00D03F3E" w:rsidRDefault="007F0261"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738F91E5" w14:textId="77777777" w:rsidR="007F0261" w:rsidRPr="00D03F3E" w:rsidRDefault="007F0261"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DCE5D1" w14:textId="77777777" w:rsidR="007F0261" w:rsidRPr="00D03F3E"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 апрелю 1943 года внешний вид СУ-12, которая к этому времени стала именоваться СУ-76, сформировался окончательно. В дальнейшем переделывались некоторые агрегаты машины, что, впрочем, на её внешнем виде не отражалось.</w:t>
      </w:r>
    </w:p>
    <w:p w14:paraId="666964DB" w14:textId="77777777" w:rsidR="007F0261" w:rsidRPr="00D03F3E"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Одним из решений проблемы тесного боевого отделения должна была стать орудийная установка ЗИС-8. Её разработал в мае 1943 года конструкторский отдел завода №92 под руководством инженера Абрамова. Благодаря использованию более компактной установки удалось избавиться от станин внутри боевого отделения. Это заметно улучшило условия размещения расчета, снизило массу, сэкономило детали, а также позволило разместить лишние 14 патронов калибра 76 мм. В мае 1943 года систему ЗИС-8 установили в СУ-12 с серийным номером Л33432. Испытания показали положительный результат, что позволило заводу №92 рекомендовать устанавливать ЗИС-8 серийно.</w:t>
      </w:r>
    </w:p>
    <w:p w14:paraId="744F0EE8" w14:textId="77777777" w:rsidR="007F0261" w:rsidRPr="00D03F3E"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Но к тому моменту звезда СУ-12 начала закатываться. КБ завода №38 работало над САУ СУ-15 и СУ-16, которые безо всяких усовершенствований имели более компактную установку системы. Система ЗИС-8 так и осталась в виде опытного образца (17699).</w:t>
      </w:r>
    </w:p>
    <w:p w14:paraId="17FBC2F5" w14:textId="77777777" w:rsidR="007F0261" w:rsidRPr="00D03F3E" w:rsidRDefault="007F0261" w:rsidP="00D03F3E">
      <w:pPr>
        <w:pStyle w:val="12a"/>
        <w:shd w:val="clear" w:color="auto" w:fill="auto"/>
        <w:spacing w:after="0" w:line="240" w:lineRule="auto"/>
        <w:jc w:val="both"/>
        <w:rPr>
          <w:color w:val="000000" w:themeColor="text1"/>
          <w:sz w:val="16"/>
          <w:szCs w:val="16"/>
        </w:rPr>
      </w:pPr>
    </w:p>
    <w:p w14:paraId="3073016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4709A2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A96A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апрелю 1943 в составе фронтов было 13 ВА и было сформировано 19 ак РВГК (4 и, 9 смеш., 3 ш, 3 б) в составе 2600 боевых самолетов, которые на период проведения сухопутных операций придавались ВА фронтов. У немцев без учета резервов на фронте было 2620. Всего в действующей армии было 5500 самолетов. Почему то это считалось в 1.8 больше, чем у немцев. По другим данным в марте для прикрытия фронтовых аэродромов по решению ГКО было сформировано 34 полка ПВО в составе 3 батарей мза и 2-х зенитно-пулеметных рот (1710 б, 555 и, 355 р) (340,114).</w:t>
      </w:r>
    </w:p>
    <w:p w14:paraId="195DB8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E4F277" w14:textId="77777777" w:rsidR="005B485D" w:rsidRPr="00D03F3E" w:rsidRDefault="005B485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 апрелю 1942-го ПВО Москвы сбила около 1,5 тыс. вражеских самолетов, из них — 17 случаев столкновения бомбардировщиков противника с тросом, при этом семь самолетов разрушились в небе. Определенная эффективность применения аэростатов в комплексе с заградительным огнем и массированностью дневных авианалетов вынуждала ПВО Москвы частично использовать их и в дневное время, что, естественно, приводило к увеличению повреждений аэростатов. Их ремонт и изготовление новых было налажено на московских заводах «Каучук» и «Красная роза». В апреле 1942 года был образован Московский фронт ПВО, что позволило предпринять дополнительные меры защиты города от налетов (22863).</w:t>
      </w:r>
    </w:p>
    <w:p w14:paraId="4A369AA5" w14:textId="77777777" w:rsidR="005B485D" w:rsidRPr="00D03F3E" w:rsidRDefault="005B485D" w:rsidP="00D03F3E">
      <w:pPr>
        <w:spacing w:after="0" w:line="240" w:lineRule="auto"/>
        <w:jc w:val="both"/>
        <w:rPr>
          <w:rFonts w:ascii="Times New Roman" w:hAnsi="Times New Roman"/>
          <w:color w:val="0070C0"/>
          <w:sz w:val="16"/>
          <w:szCs w:val="16"/>
        </w:rPr>
      </w:pPr>
    </w:p>
    <w:p w14:paraId="3B73108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84EB0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E003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1942 и 1 кв. 1943 два Ил-4 были оборудованы ТК-3 (1783,143).</w:t>
      </w:r>
    </w:p>
    <w:p w14:paraId="66019C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E9BBBD" w14:textId="77777777" w:rsidR="00E46C29" w:rsidRPr="00D03F3E" w:rsidRDefault="00E46C29"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2FD43C3F" w14:textId="77777777" w:rsidR="00E46C29" w:rsidRPr="00D03F3E" w:rsidRDefault="00E46C29"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17F6A7" w14:textId="77777777" w:rsidR="00E46C29" w:rsidRPr="00D03F3E" w:rsidRDefault="00E46C2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первом квартале 1943 г. союзнические поставки обеспечили 17% энергетической ценности продовольствия, потребляемого Красной Армией. В дальнейшем они еще более возросли. За год действия Второго Протокола продуктовые поставки почти втрое превысили поставки предыдущего протокольного периода. К июлю 1943 г. в Советский Союз из США и Великобритании поступило дополнительно 885 тыс. т продовольствия. 182 тыс. т зерна было доставлено по "пшеничному соглашению" из Канады. В общем объеме грузов, ввезенных в Россию, они заняли третью часть.</w:t>
      </w:r>
    </w:p>
    <w:p w14:paraId="3E5E6698" w14:textId="77777777" w:rsidR="00E46C29" w:rsidRPr="00D03F3E" w:rsidRDefault="00E46C2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1943 год стал самым тяжелым для сельского хозяйства СССР. Перешедшая в наступление Красная Армия освободила огромные территории, на которых проживали миллионы людей. Их необходимо было кормить. Между тем хозяйства этих земель были совершенно разорены нацистами. Положение осложнила засуха в районах Сибири, Поволжья и Северного Кавказа. В стране разразился острый продовольственный кризис (19582).</w:t>
      </w:r>
    </w:p>
    <w:p w14:paraId="4692ADDC" w14:textId="77777777" w:rsidR="00E46C29" w:rsidRPr="00D03F3E" w:rsidRDefault="00E46C29" w:rsidP="00D03F3E">
      <w:pPr>
        <w:spacing w:after="0" w:line="240" w:lineRule="auto"/>
        <w:jc w:val="both"/>
        <w:rPr>
          <w:rFonts w:ascii="Times New Roman" w:hAnsi="Times New Roman"/>
          <w:color w:val="000000" w:themeColor="text1"/>
          <w:sz w:val="16"/>
          <w:szCs w:val="16"/>
        </w:rPr>
      </w:pPr>
    </w:p>
    <w:p w14:paraId="0424A63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D0874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665B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1943 С.В.И. писал А.И.Ш.:</w:t>
      </w:r>
    </w:p>
    <w:p w14:paraId="29D6CD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Ил-2 АМ-38 был запущен в серийное производство с РС-132. Впоследствии по причине недостатка РС 132 перешли на РС-82</w:t>
      </w:r>
    </w:p>
    <w:p w14:paraId="3084DB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Т.к. в самолете Ил-2 предусмотрена подвеска обоих вариантов РС, то обратный переход с РС-82 на РС-132 никаких изменений в самолете не вызывает, требуется лишь установка нового РО под РС-132.</w:t>
      </w:r>
    </w:p>
    <w:p w14:paraId="73E14E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Сроки перехода заводов на РО 132 будут зависеть от сроков подачи РО 132 мм (1775,48).</w:t>
      </w:r>
    </w:p>
    <w:p w14:paraId="25835B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682818" w14:textId="77777777" w:rsidR="007F0261" w:rsidRPr="00D03F3E"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 1 апреля 1943 г. на заводе №18 в Куйбышеве освоили в серийном производстве фибровые бензобаки для самолетов Ил-2. Партия таких баков к концу мая с удовлетворительной оценкой прошла летно-эксплуатационные испытания в частях 1-й запасной авиабригады. Один из построенных серийных Ил-2 с фибровыми бензобаками в мае проходил государственные испытания в НИИ ВВС. Одновременно на заводе №18 представители НИИ ВВС провели испытания бензобаков на обстрел немецким вооружением. К 15 июня заводчане устранили выявленные в ходе госиспытаний дефекты арматуры, и фибровые баки были запущены в серийное производство (17733).</w:t>
      </w:r>
    </w:p>
    <w:p w14:paraId="25D6EF65" w14:textId="77777777" w:rsidR="007F0261" w:rsidRPr="00D03F3E" w:rsidRDefault="007F0261" w:rsidP="00D03F3E">
      <w:pPr>
        <w:pStyle w:val="12a"/>
        <w:shd w:val="clear" w:color="auto" w:fill="auto"/>
        <w:spacing w:after="0" w:line="240" w:lineRule="auto"/>
        <w:jc w:val="both"/>
        <w:rPr>
          <w:color w:val="000000" w:themeColor="text1"/>
          <w:sz w:val="16"/>
          <w:szCs w:val="16"/>
        </w:rPr>
      </w:pPr>
    </w:p>
    <w:p w14:paraId="41AAC4E4" w14:textId="77777777" w:rsidR="007F0261" w:rsidRPr="00D03F3E" w:rsidRDefault="007F02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1943 Кузнецов писал директору завода 82 Климовицкому письмо N Н-35/1308:</w:t>
      </w:r>
    </w:p>
    <w:p w14:paraId="4F503871" w14:textId="77777777" w:rsidR="007F0261" w:rsidRPr="00D03F3E" w:rsidRDefault="007F02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"Решением ГОКО N 3089сс от 29 марта 1943 комплектация самолетов Ил-2 радиоаппаратурой временно до 1 июля с.г. установлена в след. соотношении:</w:t>
      </w:r>
    </w:p>
    <w:p w14:paraId="53922A2E" w14:textId="77777777" w:rsidR="007F0261" w:rsidRPr="00D03F3E" w:rsidRDefault="007F02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а) РПК в комплекте с передатчиком РСИ-3 на каждом 5-м самолете</w:t>
      </w:r>
    </w:p>
    <w:p w14:paraId="29690C77" w14:textId="77777777" w:rsidR="007F0261" w:rsidRPr="00D03F3E" w:rsidRDefault="007F02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приемная часть (приемник РСИ 4) на всех самолетах (1767,79).</w:t>
      </w:r>
    </w:p>
    <w:p w14:paraId="3E0FFE55" w14:textId="77777777" w:rsidR="007F0261" w:rsidRPr="00D03F3E" w:rsidRDefault="007F02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9CD933" w14:textId="77777777" w:rsidR="007F0261" w:rsidRPr="00D03F3E" w:rsidRDefault="007F02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1943 С.В.И. писал А.И.Ш. НКАП письмо:</w:t>
      </w:r>
    </w:p>
    <w:p w14:paraId="4A453698" w14:textId="77777777" w:rsidR="007F0261" w:rsidRPr="00D03F3E" w:rsidRDefault="007F02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Ил-2 АМ-38был выпущен в серийное производство с РС-132. Впоследствии по причине недостатка РС калибра 132 перешли на РС-82.</w:t>
      </w:r>
    </w:p>
    <w:p w14:paraId="5C4C407B" w14:textId="77777777" w:rsidR="007F0261" w:rsidRPr="00D03F3E" w:rsidRDefault="007F02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Т.к. на Ил-2 предусмотрена подвеска обоих вариантов РС, то обратный переход с РС-82 на РС-132 никаких изменений в самолете не вызывает, требуется лишь установка нового РО под РС-132.</w:t>
      </w:r>
    </w:p>
    <w:p w14:paraId="745291A9" w14:textId="77777777" w:rsidR="007F0261" w:rsidRPr="00D03F3E" w:rsidRDefault="007F02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Срок перехода заводов на РО-132 будет зависеть от сроков подачи РО." (1775,48).</w:t>
      </w:r>
    </w:p>
    <w:p w14:paraId="1EAAFE93" w14:textId="77777777" w:rsidR="007F0261" w:rsidRPr="00D03F3E" w:rsidRDefault="007F02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F522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1943 Кузнецов писал директору завода 30 Шапиро письмо N Н-35/1307:</w:t>
      </w:r>
    </w:p>
    <w:p w14:paraId="7742CE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"Решением ГОКО N 3089сс от 29 марта 1943 комплектация самолетов Як-7 радиоаппаратурой временно до 1 июля с.г. установлена в след. соотношении:</w:t>
      </w:r>
    </w:p>
    <w:p w14:paraId="590A51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передающая часть радиостанции РСИ-4 (передатчик РСИ-3) на каждом 5-м самолете</w:t>
      </w:r>
    </w:p>
    <w:p w14:paraId="7BD6A3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приемная часть (приемник РСИ 4) на всех самолетах.</w:t>
      </w:r>
    </w:p>
    <w:p w14:paraId="7453B0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данном решении доведите до сведения военпреда завода и примите его к немедленному исполнению (2519,84).</w:t>
      </w:r>
    </w:p>
    <w:p w14:paraId="49958C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4B8450" w14:textId="77777777" w:rsidR="007F0261" w:rsidRPr="00D03F3E"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 1 апреля 1943 г. на заводе №292 в Саратове совместно с ВИАМ они были отработаны и испытаны на перегрузку, герметичность и на обстрел. Распоряжением «тов. Яковлева заводу №292 совместно с ВИАМ предложено в 2-х месячный срок (к 1.6.43) изготовить и установить на самолеты Як-1 для эксплоатационных и войсковых испытаний 160 мягких бензобаков».</w:t>
      </w:r>
    </w:p>
    <w:p w14:paraId="311FB759" w14:textId="77777777" w:rsidR="007F0261" w:rsidRPr="00D03F3E"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Изготовление войсковой партии мягких бензобаков конструкции ВИАМ для истребителей Як-1 по ряду субъективных и объективных причин затянулось. Для их изготовления на заводе «Каучук» к 10 апреля заказали необходимые резиновые материалы, однако завод «Каучук» долго не приступал к исполнению заказа. Только к 15 июня на завод №292 поступил материал для изготовления 160 штук мягких бензобаков. Почти сразу же в Саратов выехала бригада специалистов ВИАМ (17733).</w:t>
      </w:r>
    </w:p>
    <w:p w14:paraId="28C99358" w14:textId="77777777" w:rsidR="007F0261" w:rsidRPr="00D03F3E" w:rsidRDefault="007F0261" w:rsidP="00D03F3E">
      <w:pPr>
        <w:pStyle w:val="12a"/>
        <w:shd w:val="clear" w:color="auto" w:fill="auto"/>
        <w:spacing w:after="0" w:line="240" w:lineRule="auto"/>
        <w:jc w:val="both"/>
        <w:rPr>
          <w:color w:val="000000" w:themeColor="text1"/>
          <w:sz w:val="16"/>
          <w:szCs w:val="16"/>
        </w:rPr>
      </w:pPr>
    </w:p>
    <w:p w14:paraId="582671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1943 вышел приказ НКАП N 183 "О моторе М-82Ф, устанавливаемом в настоящее время на всех серийных самолетах Ла-5" - заявление директора 19 завода и ГК Швецова, что мотор прошел удовлетворительно гос. испытания на форсажных режимах и может работать на этом режиме без ограничения по времени. Стали именовать М-82 М-82Ф и срок службы установить 150 часов (935,155).</w:t>
      </w:r>
    </w:p>
    <w:p w14:paraId="55E7E5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моторе М-82Ф, устанавливаемом в настоящее время на всех серийных самолетах Ла-5</w:t>
      </w:r>
    </w:p>
    <w:p w14:paraId="3C5052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ГКОсвоим постановлением....принял к сведению заявление директорара з-да № 19 т. Солдатова и ГК т. Швецова, ги т. Бутусова и старшего в/п т. Четверина, что мотор М-82Ф, который устанавливается в настоящее время на все серийные с-ты Ла-5, прошел удовлетворительно испытания на форсажных режимах и может работать без ограничений времени на форсированной мощности 1700 лс при наддуве Рк 1140мм вместо номинальной мощности 1450 л.с.</w:t>
      </w:r>
    </w:p>
    <w:p w14:paraId="708C3A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исполнение этого постановления ГКО приказываю:</w:t>
      </w:r>
    </w:p>
    <w:p w14:paraId="4EA4A0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Мотор М-82 впредь именовать М-82Ф. Срок службы для всех моторов М-82Ф установить 150 час. До первой переборки</w:t>
      </w:r>
    </w:p>
    <w:p w14:paraId="1CADCE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Плдписал А.И.Ш. (935,155).</w:t>
      </w:r>
    </w:p>
    <w:p w14:paraId="52D4FE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33176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 апреля 1943 г. приказом НКАП №183 сняли ограничение на использование форсажа на Ла-5Ф (11123).</w:t>
      </w:r>
    </w:p>
    <w:p w14:paraId="531509F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2CB3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 по 20 апреля 1943 было сделано пять Як-9 М-105ПД (65,122).</w:t>
      </w:r>
    </w:p>
    <w:p w14:paraId="72FF91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89EF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другим данным с 1 по 20 апреля 1943 из Як-9У сделали Як-9ПД</w:t>
      </w:r>
    </w:p>
    <w:p w14:paraId="33B1C1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1943 вышел приказ НКАП N 182сс в исполнение постановления ГКО N 3099 от 31 марта 1943 в целях усиления самолета Ил-2:</w:t>
      </w:r>
    </w:p>
    <w:p w14:paraId="45683D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Нач. 10 ГУ Тарасевичу, директорам заводов N 1 Третьякову, 30 - Шапиро - выпускать самолеты Ил-2 заводов 1 и 30 с крыльевыми пушками ВЯ 23 мм, вместо ШВАК 20 мм в следующие сроки:</w:t>
      </w:r>
    </w:p>
    <w:p w14:paraId="4B109E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завод 1 в апреле 30, в мае 200, с 1 июня - все</w:t>
      </w:r>
    </w:p>
    <w:p w14:paraId="579F84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завод 30 в мае 50, в июне - 150 с 1 июля - все (1704,148).</w:t>
      </w:r>
    </w:p>
    <w:p w14:paraId="1DA557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1D64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1943 на Пе-2 поставили ГК А.И.Путилова. Аналогичную построил и А.Я.Щербаков (4,170).</w:t>
      </w:r>
    </w:p>
    <w:p w14:paraId="61B630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6C3B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апреля 1943 г ГВФ обладал уже 14 Ю-52 и ещё один немецкий транспортник имелся у наркомата авиапромышленности (НКАП). 11 самолётов (исправность - 100%) сосредоточили в Московском управлении, зона деятельности которого охватывала тогда почти всю не оккупированную немцами Европейскую часть страны. Из числа поступавших далее машин три “юнкерса” отдали НКАП и два - на выставку трофейного вооружения в московском парке им. Горького. Осваивать немецкие самолёты помогала специальная бригада НИИ ГВФ. Она перводи-ла трофейные немецкие инструкции и регламенты, искала замену немецким маслам, разрабатывала схемы замены отсутствующей аппаратуры отечественными аналогами. Планировалось подобрать к Ю-52 отечественные колёса и лыжи, сменить магнето, карбюраторы, полуоси колёс, ввести храповики для автостартёра (немцы заводили моторы электричеством). На “юнкерсах” появились советские радиостанции МРК-005 (но только там, где не имелось немецких). Резину использовали от Г-2 (ТБ-3), лыжи - от Ли-2. На один из самолётов поставили хвостовое колесо от Ил-4 (6393).</w:t>
      </w:r>
    </w:p>
    <w:p w14:paraId="443889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047573" w14:textId="77777777" w:rsidR="002B21DE" w:rsidRPr="00D03F3E" w:rsidRDefault="002B21DE" w:rsidP="00D03F3E">
      <w:pPr>
        <w:spacing w:after="0" w:line="240" w:lineRule="auto"/>
        <w:jc w:val="both"/>
        <w:rPr>
          <w:rFonts w:ascii="Times New Roman" w:hAnsi="Times New Roman"/>
          <w:color w:val="000000" w:themeColor="text1"/>
          <w:sz w:val="16"/>
          <w:szCs w:val="16"/>
          <w:shd w:val="clear" w:color="auto" w:fill="FFFFFF"/>
        </w:rPr>
      </w:pPr>
      <w:r w:rsidRPr="00D03F3E">
        <w:rPr>
          <w:rFonts w:ascii="Times New Roman" w:hAnsi="Times New Roman"/>
          <w:color w:val="000000" w:themeColor="text1"/>
          <w:sz w:val="16"/>
          <w:szCs w:val="16"/>
          <w:shd w:val="clear" w:color="auto" w:fill="FFFFFF"/>
        </w:rPr>
        <w:t>На 1 апреля 1943 года ГВФ обладал уже четырнадцатью Ю-52, и ещё один немецкий транспортник имелся у наркомата авиапромышленности (НКАП). Одиннадцать самолётов (исправность – 100%) сосредоточили в Московском управлении, зона деятельности которого охватывала тогда почти всю не оккупированную немцами Европейскую часть страны. Из числа поступавших далее машин три «юнкерса» отдали НКАП и два – на выставку трофейного вооружения в московском парке им. Горького.</w:t>
      </w:r>
    </w:p>
    <w:p w14:paraId="6E1A8AB3" w14:textId="77777777" w:rsidR="002B21DE" w:rsidRPr="00D03F3E" w:rsidRDefault="002B21D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shd w:val="clear" w:color="auto" w:fill="FFFFFF"/>
        </w:rPr>
        <w:t>Осваивать немецкие самолёты помогала специальная бригада НИИ ГВФ. Она переводила трофейные немецкие инструкции и регламенты, искала замену немецким маслам, разрабатывала схемы замены отсутствующей аппаратуры отечественными аналогами. Планировалось подобрать к Ю-52 отечественные колёса и лыжи, сменить магнето, карбюраторы, полуоси колёс, ввести храповики для автостартёра (немцы заводили моторы электричеством). На «юнкерсах» появились советские радиостанции МРК-005 (но только там, где не имелось немецких). Резину использовали от Г-2 (ТБ-3), лыжи – от Ли-2. На один из самолётов поставили хвостовое колесо от Ил-4 (19686).</w:t>
      </w:r>
    </w:p>
    <w:p w14:paraId="0B47F1A3" w14:textId="77777777" w:rsidR="002B21DE" w:rsidRPr="00D03F3E" w:rsidRDefault="002B21DE" w:rsidP="00D03F3E">
      <w:pPr>
        <w:spacing w:after="0" w:line="240" w:lineRule="auto"/>
        <w:jc w:val="both"/>
        <w:rPr>
          <w:rFonts w:ascii="Times New Roman" w:hAnsi="Times New Roman"/>
          <w:color w:val="000000" w:themeColor="text1"/>
          <w:sz w:val="16"/>
          <w:szCs w:val="16"/>
        </w:rPr>
      </w:pPr>
    </w:p>
    <w:p w14:paraId="620DB0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состоянию на 1 апреля 1943:</w:t>
      </w:r>
    </w:p>
    <w:p w14:paraId="4234AC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Распределение заводов НКАП по областям и крупным промышленным центрам (на 01.04.1943) (РГАЭ, Ф. 8044. </w:t>
      </w:r>
      <w:r w:rsidRPr="00D03F3E">
        <w:rPr>
          <w:rFonts w:ascii="Times New Roman" w:hAnsi="Times New Roman"/>
          <w:color w:val="000000" w:themeColor="text1"/>
          <w:sz w:val="16"/>
          <w:szCs w:val="16"/>
          <w:lang w:val="en-US"/>
        </w:rPr>
        <w:t xml:space="preserve">On. </w:t>
      </w:r>
      <w:r w:rsidRPr="00D03F3E">
        <w:rPr>
          <w:rFonts w:ascii="Times New Roman" w:hAnsi="Times New Roman"/>
          <w:color w:val="000000" w:themeColor="text1"/>
          <w:sz w:val="16"/>
          <w:szCs w:val="16"/>
        </w:rPr>
        <w:t>1. Д. 2873. Л. 55—57)</w:t>
      </w:r>
    </w:p>
    <w:tbl>
      <w:tblPr>
        <w:tblW w:w="0" w:type="auto"/>
        <w:tblInd w:w="8" w:type="dxa"/>
        <w:tblLayout w:type="fixed"/>
        <w:tblCellMar>
          <w:left w:w="0" w:type="dxa"/>
          <w:right w:w="0" w:type="dxa"/>
        </w:tblCellMar>
        <w:tblLook w:val="0000" w:firstRow="0" w:lastRow="0" w:firstColumn="0" w:lastColumn="0" w:noHBand="0" w:noVBand="0"/>
      </w:tblPr>
      <w:tblGrid>
        <w:gridCol w:w="1134"/>
        <w:gridCol w:w="471"/>
        <w:gridCol w:w="7"/>
        <w:gridCol w:w="376"/>
        <w:gridCol w:w="425"/>
        <w:gridCol w:w="397"/>
        <w:gridCol w:w="397"/>
        <w:gridCol w:w="346"/>
        <w:gridCol w:w="425"/>
        <w:gridCol w:w="299"/>
        <w:gridCol w:w="9"/>
        <w:gridCol w:w="412"/>
        <w:gridCol w:w="7"/>
        <w:gridCol w:w="462"/>
        <w:gridCol w:w="6"/>
        <w:gridCol w:w="417"/>
        <w:gridCol w:w="15"/>
        <w:gridCol w:w="360"/>
      </w:tblGrid>
      <w:tr w:rsidR="00860B4B" w:rsidRPr="00D03F3E" w14:paraId="5D432680" w14:textId="77777777">
        <w:trPr>
          <w:trHeight w:val="240"/>
        </w:trPr>
        <w:tc>
          <w:tcPr>
            <w:tcW w:w="1134" w:type="dxa"/>
            <w:tcBorders>
              <w:top w:val="single" w:sz="6" w:space="0" w:color="auto"/>
              <w:left w:val="single" w:sz="6" w:space="0" w:color="auto"/>
              <w:bottom w:val="nil"/>
              <w:right w:val="single" w:sz="6" w:space="0" w:color="auto"/>
            </w:tcBorders>
            <w:shd w:val="clear" w:color="auto" w:fill="FFFFFF"/>
          </w:tcPr>
          <w:p w14:paraId="79C37D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8" w:type="dxa"/>
            <w:gridSpan w:val="2"/>
            <w:tcBorders>
              <w:top w:val="single" w:sz="6" w:space="0" w:color="auto"/>
              <w:left w:val="single" w:sz="6" w:space="0" w:color="auto"/>
              <w:bottom w:val="nil"/>
              <w:right w:val="single" w:sz="6" w:space="0" w:color="auto"/>
            </w:tcBorders>
            <w:shd w:val="clear" w:color="auto" w:fill="FFFFFF"/>
          </w:tcPr>
          <w:p w14:paraId="5BC22F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заво</w:t>
            </w:r>
            <w:r w:rsidRPr="00D03F3E">
              <w:rPr>
                <w:rFonts w:ascii="Times New Roman" w:hAnsi="Times New Roman"/>
                <w:color w:val="000000" w:themeColor="text1"/>
                <w:sz w:val="16"/>
                <w:szCs w:val="16"/>
              </w:rPr>
              <w:softHyphen/>
              <w:t>дов</w:t>
            </w:r>
          </w:p>
        </w:tc>
        <w:tc>
          <w:tcPr>
            <w:tcW w:w="4342" w:type="dxa"/>
            <w:gridSpan w:val="15"/>
            <w:tcBorders>
              <w:top w:val="single" w:sz="6" w:space="0" w:color="auto"/>
              <w:left w:val="single" w:sz="6" w:space="0" w:color="auto"/>
              <w:bottom w:val="single" w:sz="6" w:space="0" w:color="auto"/>
              <w:right w:val="single" w:sz="6" w:space="0" w:color="auto"/>
            </w:tcBorders>
            <w:shd w:val="clear" w:color="auto" w:fill="FFFFFF"/>
          </w:tcPr>
          <w:p w14:paraId="439F9C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Номера заводов по главкам</w:t>
            </w:r>
          </w:p>
        </w:tc>
      </w:tr>
      <w:tr w:rsidR="00860B4B" w:rsidRPr="00D03F3E" w14:paraId="51211729" w14:textId="77777777">
        <w:trPr>
          <w:trHeight w:val="485"/>
        </w:trPr>
        <w:tc>
          <w:tcPr>
            <w:tcW w:w="1134" w:type="dxa"/>
            <w:tcBorders>
              <w:top w:val="nil"/>
              <w:left w:val="single" w:sz="6" w:space="0" w:color="auto"/>
              <w:bottom w:val="single" w:sz="6" w:space="0" w:color="auto"/>
              <w:right w:val="single" w:sz="6" w:space="0" w:color="auto"/>
            </w:tcBorders>
            <w:shd w:val="clear" w:color="auto" w:fill="FFFFFF"/>
          </w:tcPr>
          <w:p w14:paraId="7428D4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8" w:type="dxa"/>
            <w:gridSpan w:val="2"/>
            <w:tcBorders>
              <w:top w:val="nil"/>
              <w:left w:val="single" w:sz="6" w:space="0" w:color="auto"/>
              <w:bottom w:val="single" w:sz="6" w:space="0" w:color="auto"/>
              <w:right w:val="single" w:sz="6" w:space="0" w:color="auto"/>
            </w:tcBorders>
            <w:shd w:val="clear" w:color="auto" w:fill="FFFFFF"/>
          </w:tcPr>
          <w:p w14:paraId="5D5D5D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61CBA9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D30FD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B6F0F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2EB870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IV</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74BB22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V</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A1857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VI</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22EF0B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1Х</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47936E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X</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7E082F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Х1</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1B046B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XIV</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13A8E3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САП</w:t>
            </w:r>
          </w:p>
        </w:tc>
      </w:tr>
      <w:tr w:rsidR="00860B4B" w:rsidRPr="00D03F3E" w14:paraId="33FEAA37" w14:textId="77777777">
        <w:trPr>
          <w:trHeight w:val="509"/>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7D824E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Центр. р-н, в т.ч.</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0B0A26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1F6EC1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710DD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D1C03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16CBE4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26FCD4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C69A5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0BF57E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63F6CD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0E37A8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08589A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4A1C1F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493E5D7" w14:textId="77777777">
        <w:trPr>
          <w:trHeight w:val="1267"/>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4BD4C6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3CCCA0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11347B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56268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43, 124, 487</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B43BC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41,45</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0A623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315, 451, 476</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00B285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118, 122, 133, 339, 382, 282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BC1E6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89</w:t>
            </w:r>
            <w:r w:rsidRPr="00D03F3E">
              <w:rPr>
                <w:rFonts w:ascii="Times New Roman" w:hAnsi="Times New Roman"/>
                <w:color w:val="000000" w:themeColor="text1"/>
                <w:sz w:val="16"/>
                <w:szCs w:val="16"/>
                <w:lang w:val="en-US"/>
              </w:rPr>
              <w:t xml:space="preserve">, </w:t>
            </w:r>
            <w:r w:rsidRPr="00D03F3E">
              <w:rPr>
                <w:rFonts w:ascii="Times New Roman" w:hAnsi="Times New Roman"/>
                <w:color w:val="000000" w:themeColor="text1"/>
                <w:sz w:val="16"/>
                <w:szCs w:val="16"/>
              </w:rPr>
              <w:t>156, 453, 482, 225</w:t>
            </w:r>
            <w:r w:rsidRPr="00D03F3E">
              <w:rPr>
                <w:rFonts w:ascii="Times New Roman" w:hAnsi="Times New Roman"/>
                <w:color w:val="000000" w:themeColor="text1"/>
                <w:sz w:val="16"/>
                <w:szCs w:val="16"/>
                <w:vertAlign w:val="superscript"/>
              </w:rPr>
              <w:t>1</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38B67F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4C40A6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23, </w:t>
            </w:r>
            <w:r w:rsidRPr="00D03F3E">
              <w:rPr>
                <w:rFonts w:ascii="Times New Roman" w:hAnsi="Times New Roman"/>
                <w:color w:val="000000" w:themeColor="text1"/>
                <w:sz w:val="16"/>
                <w:szCs w:val="16"/>
              </w:rPr>
              <w:t>30, 81</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673761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529A0F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27, 383</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7B44AC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 453»</w:t>
            </w:r>
          </w:p>
        </w:tc>
      </w:tr>
      <w:tr w:rsidR="00860B4B" w:rsidRPr="00D03F3E" w14:paraId="13A37296" w14:textId="77777777">
        <w:trPr>
          <w:trHeight w:val="936"/>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08E51B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Моск. обл.</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586F52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41C9AF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82, 301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167B0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219, 455, 459</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1F9DC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988BF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140</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6E31C1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5D683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164, 380, 462, 456</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117198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65, 150</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4DE214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125</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754757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464, 468ф</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4CFC39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033E99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2DAD1793" w14:textId="77777777">
        <w:trPr>
          <w:trHeight w:val="293"/>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006FB0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Ярослав. обл.</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57CF03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3BCA47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A1C1D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3A264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80688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7DB53D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CF688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08E195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513957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1FCDC2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33AC73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79EA54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81F4A22" w14:textId="77777777">
        <w:trPr>
          <w:trHeight w:val="494"/>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646E1D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Иванов</w:t>
            </w:r>
            <w:r w:rsidRPr="00D03F3E">
              <w:rPr>
                <w:rFonts w:ascii="Times New Roman" w:hAnsi="Times New Roman"/>
                <w:color w:val="000000" w:themeColor="text1"/>
                <w:sz w:val="16"/>
                <w:szCs w:val="16"/>
                <w:lang w:val="en-US"/>
              </w:rPr>
              <w:t xml:space="preserve">. </w:t>
            </w:r>
            <w:r w:rsidRPr="00D03F3E">
              <w:rPr>
                <w:rFonts w:ascii="Times New Roman" w:hAnsi="Times New Roman"/>
                <w:color w:val="000000" w:themeColor="text1"/>
                <w:sz w:val="16"/>
                <w:szCs w:val="16"/>
              </w:rPr>
              <w:t>обл.</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6F699D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41CB34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BADC5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478B3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657DFE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2DA65A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328, 452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1F8CB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20A565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04383B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7C4548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090149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116984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FC040D3" w14:textId="77777777">
        <w:trPr>
          <w:trHeight w:val="494"/>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036BAF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Горьк. обл.</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553D6C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307B79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BF8C5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119, 469</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61C1B5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466</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F61D8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47A945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3E211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52D781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309F40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687E2A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4B420E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467</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40372C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1DE7E102" w14:textId="77777777">
        <w:trPr>
          <w:trHeight w:val="317"/>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2D8396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Киров. обл.</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2C3C05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15B14B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D974A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01E0B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BACAD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266</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0A92A7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71F3A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440E2A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269</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6E86CC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44571B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5CD086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46D2BE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12E6F772" w14:textId="77777777">
        <w:trPr>
          <w:trHeight w:val="408"/>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63AFDE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Чуваш. АССР</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6CEDEC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7E97E8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4BEB7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38673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181143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6958D0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F4CA0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09BDDC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53B397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2BD8AE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471, 494</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32B995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14A181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BBAF2B7" w14:textId="77777777">
        <w:trPr>
          <w:trHeight w:val="264"/>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41AF89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Пензен. Обл.</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063849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38790A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6A01E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472</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17ADF9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83BD6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7A93B4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F9157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163</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55D384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_</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2E7BF5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64965D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779131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1818D5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56B73031"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1DFE1B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Воронеж. обл.</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387FCE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1A2C1B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918B5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40513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1D98F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526176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FFC0A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64</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031D49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158D8F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72B6C7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6911B8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67DAFA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1283BBE4" w14:textId="77777777">
        <w:trPr>
          <w:trHeight w:val="226"/>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4CC0AA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Рязан. обл.</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165912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723A59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3917B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F4487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306A0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704977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D7161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11AA67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_</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514F67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6E48CA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463</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797F71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292BDB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6A3283CB"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62CBE7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Марийс. АССР</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43756E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0B0EDD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447E4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65153A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7A6EFE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0F2FEA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C427B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5D7A2E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33500C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21052E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168</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5EE762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6DC2EE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68A84E63"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2EF6E9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Ленинград</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5161E2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332ECE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5A3FD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1F2DC3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9C0C1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32DE0D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BAB64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162</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4940A8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5088E2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496</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2E6F41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7D2CF6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410B46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63BC956F" w14:textId="77777777">
        <w:trPr>
          <w:trHeight w:val="413"/>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1BD407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Поволжье, в т.ч.</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3042DD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104230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6495E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7BB53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88231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459EBD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5E5D0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0C6C43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3057A4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2D3D4B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23868A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7B7572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297E380"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54BDAD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lang w:val="en-US"/>
              </w:rPr>
              <w:t>Ta</w:t>
            </w:r>
            <w:r w:rsidRPr="00D03F3E">
              <w:rPr>
                <w:rFonts w:ascii="Times New Roman" w:hAnsi="Times New Roman"/>
                <w:color w:val="000000" w:themeColor="text1"/>
                <w:sz w:val="16"/>
                <w:szCs w:val="16"/>
              </w:rPr>
              <w:t>т.АССР</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0BBB89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3495F4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7DD0A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75D699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4BECC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66B383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FBFEC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50E841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7923E2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70AF36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387</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0CD1ED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6C8B99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38582930" w14:textId="77777777">
        <w:trPr>
          <w:trHeight w:val="619"/>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57FF8E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Куйб. обл.</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021AE3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5C91CC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305</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05CDA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145, 454, 481</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653659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711391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16BD44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280</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5F226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65C73E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27B089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1,18, 207</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3A969A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3EC385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6DD5A6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165</w:t>
            </w:r>
          </w:p>
        </w:tc>
      </w:tr>
      <w:tr w:rsidR="00860B4B" w:rsidRPr="00D03F3E" w14:paraId="4BCBE830" w14:textId="77777777">
        <w:trPr>
          <w:trHeight w:val="504"/>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2930EF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Сарат. обл.</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557325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3D84F8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12D24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2BD1AC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25C77F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306, 307</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71642E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213</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B5B18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60C931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218B9D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0423D8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6E461D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167</w:t>
            </w: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12E08E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6687B174" w14:textId="77777777">
        <w:trPr>
          <w:trHeight w:val="302"/>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68975A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Сталингр.обл.</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1173B0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1E3AA6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B0817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1070C8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1D105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5ADA28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E5E16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86</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7AA252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405207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25FC9F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677A52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5AB82C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072C2A9" w14:textId="77777777">
        <w:trPr>
          <w:trHeight w:val="475"/>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7EAF8D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Урал, в т.ч.</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2FC7CF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1F7492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6374B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225C11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1075C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527610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65638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04C277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336653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77A5FE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3629F3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026965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B4CBB7E" w14:textId="77777777">
        <w:trPr>
          <w:trHeight w:val="715"/>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6DA2A3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Свердлов. обл.</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137257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249098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A32D2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 261, 286"</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6ACBDF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2A5768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764AA9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214, 474, 384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95B09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247C66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484, 95, 268</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5367DF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52FDC7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468</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6CE2C0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w:t>
            </w: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51F411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r>
      <w:tr w:rsidR="00860B4B" w:rsidRPr="00D03F3E" w14:paraId="7DFACC88"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69C19C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Молотов, обл.</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439053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12E696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31EC1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DF365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D8FC3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4F4863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470</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72841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4E574A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05C5B3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0C8732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3997C4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0E6619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3DA0FE6"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198585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Удмурт. АССР</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3269ED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24BF6E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EFCB5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1FD552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5C24B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284</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19CCDD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3533F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0BC43B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022B59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541BC9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490DAE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2CEB8F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0A78EDBB" w14:textId="77777777">
        <w:trPr>
          <w:trHeight w:val="226"/>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3FA0D2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Башкир. АССР</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17A650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627799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13FFE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2F1265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6FC583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0751E2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B6064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6C06BF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59DAFA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40CB0E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48F43F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5D3D0F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0D2378D0" w14:textId="77777777">
        <w:trPr>
          <w:trHeight w:val="216"/>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5C44C2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Челабин. обл.</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54E773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4E3C95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53FF4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199FB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B4674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132</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28DEC3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508AE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39279F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401D93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49ABA4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58D9D3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379293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789759D9" w14:textId="77777777">
        <w:trPr>
          <w:trHeight w:val="226"/>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24DE87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Чкалов. Обл.</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08104F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74BB77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6D5DC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6575CD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736B2F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71FA14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1FF53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5B27C1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1F38A8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5B9950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23B4B2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663775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9EF85B9" w14:textId="77777777">
        <w:trPr>
          <w:trHeight w:val="413"/>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615EC8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 Сибирь, в т.ч.</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0C3EBB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5DA378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34EA0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A6562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7E901A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795941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04187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1CF01C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427E01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770EFE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153FB0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47635C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5D2EB7A"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04E9DD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Омск. обл.</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1AE17D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57950F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C907D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1E3E48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65DE4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6B0DFF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31C25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39CA51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21AF84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65829F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499</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5F22F9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5BBDA7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52D35667"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57A073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Новосиб. обл.</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41882A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1FD69A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153</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6F305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41F80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7911E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296</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555059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69030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649FCF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61DC91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65B64C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1DA3EE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350D1B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w:t>
            </w:r>
          </w:p>
        </w:tc>
      </w:tr>
      <w:tr w:rsidR="00860B4B" w:rsidRPr="00D03F3E" w14:paraId="207ADCDA" w14:textId="77777777">
        <w:trPr>
          <w:trHeight w:val="418"/>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10A68C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Вост. Сибирь, в т.ч.</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606337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59629A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6C4BD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4AD7E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7EE16A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28C8E8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E8092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65876F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17BC4A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2D745F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648196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5A844C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09C0F72"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247760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Красноярск. Край</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12B175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3CE3E0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D29FB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1E94EC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22F68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7FC47F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0573E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477</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1E037A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068506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386962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3DE2DC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4330C2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FB0AA07" w14:textId="77777777">
        <w:trPr>
          <w:trHeight w:val="226"/>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3E0956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Иркут. обл.</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07507D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35DFFB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CC9AF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10641D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6BDD67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27DEB8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65FAF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3FDB7A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61FCBC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37DB02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67FA1F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0185A8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E79F07D"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3777D0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Читинск. обл.</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0A8B2F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18A4E7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94605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E5039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6AAB7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1E476C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5148E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147</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70BC69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072DE4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06AB16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6C8F8D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5A3C18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A1960EF" w14:textId="77777777">
        <w:trPr>
          <w:trHeight w:val="413"/>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370BC4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Бур-Монг. АССР</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59811B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48F8F3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19344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9A585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E0437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42C28A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C3907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72DBBD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730174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19E4D1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7A36D9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254A2F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A3D82B2" w14:textId="77777777">
        <w:trPr>
          <w:trHeight w:val="408"/>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2AA87B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lang w:val="en-US"/>
              </w:rPr>
              <w:t>Cp</w:t>
            </w:r>
            <w:r w:rsidRPr="00D03F3E">
              <w:rPr>
                <w:rFonts w:ascii="Times New Roman" w:hAnsi="Times New Roman"/>
                <w:color w:val="000000" w:themeColor="text1"/>
                <w:sz w:val="16"/>
                <w:szCs w:val="16"/>
              </w:rPr>
              <w:t>ед. Азия</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1CA626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2D2F71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03108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4322D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413AF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124CD4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87DF1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02A693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4B68A0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07D00A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532A1F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12044E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B90DC27" w14:textId="77777777">
        <w:trPr>
          <w:trHeight w:val="226"/>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34CBB7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Узбек. ССР</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064BF6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2B2B4C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71A2D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25B6A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154</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81A8B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7D6C92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935CF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305B12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30D50D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84</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787CA0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6022E8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363ADF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C076C4B" w14:textId="77777777">
        <w:trPr>
          <w:trHeight w:val="413"/>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4F5A81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 Кавказ, ы т.ч.</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5E3974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5D4163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08CB5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212778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23FF5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6AC75C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D3B20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605432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191D4A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13B03D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6B364B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1CF487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F7C83FD"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73D259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Ростов. обл.</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67CFD9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2BC66B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60441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1C4396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67F2CF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691D90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E3D6D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87</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0597AF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2723F5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2990A6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2D3FFE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0B01CF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494C3DAF" w14:textId="77777777">
        <w:trPr>
          <w:trHeight w:val="408"/>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46E068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Закавказье, в т.ч.</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2A0312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52EAC4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37875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F368D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AE93B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2090C0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C2F6E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72B0B9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00C504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214D4D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2DAC8A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4F3BEE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335114C" w14:textId="77777777">
        <w:trPr>
          <w:trHeight w:val="226"/>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0CE735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Груз. ССР</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1CFFEB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210B9A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521B7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97EB8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D7EF2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6A2FC0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4FA60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544583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09D215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5B830C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4D8D24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3AC99A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A7F35A4"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05E56D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Арм. ССР</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4D962A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14F982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30A1E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7651ED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0111B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6B4D22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942EA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447</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671893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34E1DB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57B51F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5A89AF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6F311F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98A9598" w14:textId="77777777">
        <w:trPr>
          <w:trHeight w:val="600"/>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0D39AB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Дальневост. Край</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786696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129E4A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DA472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8D69C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2C45EC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117E4A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4ED9F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1B1D81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55FEA2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249FC6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208A35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71392D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371DE0A" w14:textId="77777777">
        <w:trPr>
          <w:trHeight w:val="432"/>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1499C6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Хабаров. Край</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6A6E82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2C9E76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63ACA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28859D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28FA5A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277E35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FDAF4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7DEAEA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38431C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126</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01A660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66D220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263828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1A5E5BE7" w14:textId="77777777">
        <w:trPr>
          <w:trHeight w:val="226"/>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5260067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Уссур. Край</w:t>
            </w:r>
          </w:p>
        </w:tc>
        <w:tc>
          <w:tcPr>
            <w:tcW w:w="471" w:type="dxa"/>
            <w:tcBorders>
              <w:top w:val="single" w:sz="6" w:space="0" w:color="auto"/>
              <w:left w:val="single" w:sz="6" w:space="0" w:color="auto"/>
              <w:bottom w:val="single" w:sz="6" w:space="0" w:color="auto"/>
              <w:right w:val="single" w:sz="6" w:space="0" w:color="auto"/>
            </w:tcBorders>
            <w:shd w:val="clear" w:color="auto" w:fill="FFFFFF"/>
          </w:tcPr>
          <w:p w14:paraId="48E3EA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80" w:type="dxa"/>
            <w:gridSpan w:val="2"/>
            <w:tcBorders>
              <w:top w:val="single" w:sz="6" w:space="0" w:color="auto"/>
              <w:left w:val="single" w:sz="6" w:space="0" w:color="auto"/>
              <w:bottom w:val="single" w:sz="6" w:space="0" w:color="auto"/>
              <w:right w:val="single" w:sz="6" w:space="0" w:color="auto"/>
            </w:tcBorders>
            <w:shd w:val="clear" w:color="auto" w:fill="FFFFFF"/>
          </w:tcPr>
          <w:p w14:paraId="6AABEF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117E3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4" w:type="dxa"/>
            <w:tcBorders>
              <w:top w:val="single" w:sz="6" w:space="0" w:color="auto"/>
              <w:left w:val="single" w:sz="6" w:space="0" w:color="auto"/>
              <w:bottom w:val="single" w:sz="6" w:space="0" w:color="auto"/>
              <w:right w:val="single" w:sz="6" w:space="0" w:color="auto"/>
            </w:tcBorders>
            <w:shd w:val="clear" w:color="auto" w:fill="FFFFFF"/>
          </w:tcPr>
          <w:p w14:paraId="6C8BCC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94" w:type="dxa"/>
            <w:tcBorders>
              <w:top w:val="single" w:sz="6" w:space="0" w:color="auto"/>
              <w:left w:val="single" w:sz="6" w:space="0" w:color="auto"/>
              <w:bottom w:val="single" w:sz="6" w:space="0" w:color="auto"/>
              <w:right w:val="single" w:sz="6" w:space="0" w:color="auto"/>
            </w:tcBorders>
            <w:shd w:val="clear" w:color="auto" w:fill="FFFFFF"/>
          </w:tcPr>
          <w:p w14:paraId="4A3CA2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46" w:type="dxa"/>
            <w:tcBorders>
              <w:top w:val="single" w:sz="6" w:space="0" w:color="auto"/>
              <w:left w:val="single" w:sz="6" w:space="0" w:color="auto"/>
              <w:bottom w:val="single" w:sz="6" w:space="0" w:color="auto"/>
              <w:right w:val="single" w:sz="6" w:space="0" w:color="auto"/>
            </w:tcBorders>
            <w:shd w:val="clear" w:color="auto" w:fill="FFFFFF"/>
          </w:tcPr>
          <w:p w14:paraId="132C19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DDB2B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08" w:type="dxa"/>
            <w:gridSpan w:val="2"/>
            <w:tcBorders>
              <w:top w:val="single" w:sz="6" w:space="0" w:color="auto"/>
              <w:left w:val="single" w:sz="6" w:space="0" w:color="auto"/>
              <w:bottom w:val="single" w:sz="6" w:space="0" w:color="auto"/>
              <w:right w:val="single" w:sz="6" w:space="0" w:color="auto"/>
            </w:tcBorders>
            <w:shd w:val="clear" w:color="auto" w:fill="FFFFFF"/>
          </w:tcPr>
          <w:p w14:paraId="7C0F6C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19" w:type="dxa"/>
            <w:gridSpan w:val="2"/>
            <w:tcBorders>
              <w:top w:val="single" w:sz="6" w:space="0" w:color="auto"/>
              <w:left w:val="single" w:sz="6" w:space="0" w:color="auto"/>
              <w:bottom w:val="single" w:sz="6" w:space="0" w:color="auto"/>
              <w:right w:val="single" w:sz="6" w:space="0" w:color="auto"/>
            </w:tcBorders>
            <w:shd w:val="clear" w:color="auto" w:fill="FFFFFF"/>
          </w:tcPr>
          <w:p w14:paraId="76C683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62" w:type="dxa"/>
            <w:tcBorders>
              <w:top w:val="single" w:sz="6" w:space="0" w:color="auto"/>
              <w:left w:val="single" w:sz="6" w:space="0" w:color="auto"/>
              <w:bottom w:val="single" w:sz="6" w:space="0" w:color="auto"/>
              <w:right w:val="single" w:sz="6" w:space="0" w:color="auto"/>
            </w:tcBorders>
            <w:shd w:val="clear" w:color="auto" w:fill="FFFFFF"/>
          </w:tcPr>
          <w:p w14:paraId="38A31B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116</w:t>
            </w:r>
          </w:p>
        </w:tc>
        <w:tc>
          <w:tcPr>
            <w:tcW w:w="423" w:type="dxa"/>
            <w:gridSpan w:val="2"/>
            <w:tcBorders>
              <w:top w:val="single" w:sz="6" w:space="0" w:color="auto"/>
              <w:left w:val="single" w:sz="6" w:space="0" w:color="auto"/>
              <w:bottom w:val="single" w:sz="6" w:space="0" w:color="auto"/>
              <w:right w:val="single" w:sz="6" w:space="0" w:color="auto"/>
            </w:tcBorders>
            <w:shd w:val="clear" w:color="auto" w:fill="FFFFFF"/>
          </w:tcPr>
          <w:p w14:paraId="645F38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71" w:type="dxa"/>
            <w:gridSpan w:val="2"/>
            <w:tcBorders>
              <w:top w:val="single" w:sz="6" w:space="0" w:color="auto"/>
              <w:left w:val="single" w:sz="6" w:space="0" w:color="auto"/>
              <w:bottom w:val="single" w:sz="6" w:space="0" w:color="auto"/>
              <w:right w:val="single" w:sz="6" w:space="0" w:color="auto"/>
            </w:tcBorders>
            <w:shd w:val="clear" w:color="auto" w:fill="FFFFFF"/>
          </w:tcPr>
          <w:p w14:paraId="3400B6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67B07C0C" w14:textId="77777777">
        <w:trPr>
          <w:trHeight w:val="226"/>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30F85B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Монголия</w:t>
            </w:r>
          </w:p>
        </w:tc>
        <w:tc>
          <w:tcPr>
            <w:tcW w:w="471" w:type="dxa"/>
            <w:tcBorders>
              <w:top w:val="single" w:sz="6" w:space="0" w:color="auto"/>
              <w:left w:val="single" w:sz="6" w:space="0" w:color="auto"/>
              <w:bottom w:val="single" w:sz="6" w:space="0" w:color="auto"/>
              <w:right w:val="single" w:sz="6" w:space="0" w:color="auto"/>
            </w:tcBorders>
            <w:shd w:val="clear" w:color="auto" w:fill="FFFFFF"/>
          </w:tcPr>
          <w:p w14:paraId="42E1BC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80" w:type="dxa"/>
            <w:gridSpan w:val="2"/>
            <w:tcBorders>
              <w:top w:val="single" w:sz="6" w:space="0" w:color="auto"/>
              <w:left w:val="single" w:sz="6" w:space="0" w:color="auto"/>
              <w:bottom w:val="single" w:sz="6" w:space="0" w:color="auto"/>
              <w:right w:val="single" w:sz="6" w:space="0" w:color="auto"/>
            </w:tcBorders>
            <w:shd w:val="clear" w:color="auto" w:fill="FFFFFF"/>
          </w:tcPr>
          <w:p w14:paraId="6909BE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5CD48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shd w:val="clear" w:color="auto" w:fill="FFFFFF"/>
          </w:tcPr>
          <w:p w14:paraId="1F6EA3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shd w:val="clear" w:color="auto" w:fill="FFFFFF"/>
          </w:tcPr>
          <w:p w14:paraId="7292E7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14:paraId="08C438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AB3B2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08" w:type="dxa"/>
            <w:gridSpan w:val="2"/>
            <w:tcBorders>
              <w:top w:val="single" w:sz="6" w:space="0" w:color="auto"/>
              <w:left w:val="single" w:sz="6" w:space="0" w:color="auto"/>
              <w:bottom w:val="single" w:sz="6" w:space="0" w:color="auto"/>
              <w:right w:val="single" w:sz="6" w:space="0" w:color="auto"/>
            </w:tcBorders>
            <w:shd w:val="clear" w:color="auto" w:fill="FFFFFF"/>
          </w:tcPr>
          <w:p w14:paraId="0ADACE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9" w:type="dxa"/>
            <w:gridSpan w:val="2"/>
            <w:tcBorders>
              <w:top w:val="single" w:sz="6" w:space="0" w:color="auto"/>
              <w:left w:val="single" w:sz="6" w:space="0" w:color="auto"/>
              <w:bottom w:val="single" w:sz="6" w:space="0" w:color="auto"/>
              <w:right w:val="single" w:sz="6" w:space="0" w:color="auto"/>
            </w:tcBorders>
            <w:shd w:val="clear" w:color="auto" w:fill="FFFFFF"/>
          </w:tcPr>
          <w:p w14:paraId="072DDF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62" w:type="dxa"/>
            <w:tcBorders>
              <w:top w:val="single" w:sz="6" w:space="0" w:color="auto"/>
              <w:left w:val="single" w:sz="6" w:space="0" w:color="auto"/>
              <w:bottom w:val="single" w:sz="6" w:space="0" w:color="auto"/>
              <w:right w:val="single" w:sz="6" w:space="0" w:color="auto"/>
            </w:tcBorders>
            <w:shd w:val="clear" w:color="auto" w:fill="FFFFFF"/>
          </w:tcPr>
          <w:p w14:paraId="05F06C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w:t>
            </w:r>
          </w:p>
        </w:tc>
        <w:tc>
          <w:tcPr>
            <w:tcW w:w="423" w:type="dxa"/>
            <w:gridSpan w:val="2"/>
            <w:tcBorders>
              <w:top w:val="single" w:sz="6" w:space="0" w:color="auto"/>
              <w:left w:val="single" w:sz="6" w:space="0" w:color="auto"/>
              <w:bottom w:val="single" w:sz="6" w:space="0" w:color="auto"/>
              <w:right w:val="single" w:sz="6" w:space="0" w:color="auto"/>
            </w:tcBorders>
            <w:shd w:val="clear" w:color="auto" w:fill="FFFFFF"/>
          </w:tcPr>
          <w:p w14:paraId="7376DC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shd w:val="clear" w:color="auto" w:fill="FFFFFF"/>
          </w:tcPr>
          <w:p w14:paraId="31FD91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9EB4FFD" w14:textId="77777777">
        <w:trPr>
          <w:trHeight w:val="235"/>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7893CA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по главкам</w:t>
            </w:r>
          </w:p>
        </w:tc>
        <w:tc>
          <w:tcPr>
            <w:tcW w:w="471" w:type="dxa"/>
            <w:tcBorders>
              <w:top w:val="single" w:sz="6" w:space="0" w:color="auto"/>
              <w:left w:val="single" w:sz="6" w:space="0" w:color="auto"/>
              <w:bottom w:val="single" w:sz="6" w:space="0" w:color="auto"/>
              <w:right w:val="single" w:sz="6" w:space="0" w:color="auto"/>
            </w:tcBorders>
            <w:shd w:val="clear" w:color="auto" w:fill="FFFFFF"/>
          </w:tcPr>
          <w:p w14:paraId="58C896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132</w:t>
            </w:r>
          </w:p>
        </w:tc>
        <w:tc>
          <w:tcPr>
            <w:tcW w:w="380" w:type="dxa"/>
            <w:gridSpan w:val="2"/>
            <w:tcBorders>
              <w:top w:val="single" w:sz="6" w:space="0" w:color="auto"/>
              <w:left w:val="single" w:sz="6" w:space="0" w:color="auto"/>
              <w:bottom w:val="single" w:sz="6" w:space="0" w:color="auto"/>
              <w:right w:val="single" w:sz="6" w:space="0" w:color="auto"/>
            </w:tcBorders>
            <w:shd w:val="clear" w:color="auto" w:fill="FFFFFF"/>
          </w:tcPr>
          <w:p w14:paraId="223FB8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19C9F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tc>
        <w:tc>
          <w:tcPr>
            <w:tcW w:w="394" w:type="dxa"/>
            <w:tcBorders>
              <w:top w:val="single" w:sz="6" w:space="0" w:color="auto"/>
              <w:left w:val="single" w:sz="6" w:space="0" w:color="auto"/>
              <w:bottom w:val="single" w:sz="6" w:space="0" w:color="auto"/>
              <w:right w:val="single" w:sz="6" w:space="0" w:color="auto"/>
            </w:tcBorders>
            <w:shd w:val="clear" w:color="auto" w:fill="FFFFFF"/>
          </w:tcPr>
          <w:p w14:paraId="70B175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w:t>
            </w:r>
          </w:p>
        </w:tc>
        <w:tc>
          <w:tcPr>
            <w:tcW w:w="394" w:type="dxa"/>
            <w:tcBorders>
              <w:top w:val="single" w:sz="6" w:space="0" w:color="auto"/>
              <w:left w:val="single" w:sz="6" w:space="0" w:color="auto"/>
              <w:bottom w:val="single" w:sz="6" w:space="0" w:color="auto"/>
              <w:right w:val="single" w:sz="6" w:space="0" w:color="auto"/>
            </w:tcBorders>
            <w:shd w:val="clear" w:color="auto" w:fill="FFFFFF"/>
          </w:tcPr>
          <w:p w14:paraId="62F21D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c>
          <w:tcPr>
            <w:tcW w:w="346" w:type="dxa"/>
            <w:tcBorders>
              <w:top w:val="single" w:sz="6" w:space="0" w:color="auto"/>
              <w:left w:val="single" w:sz="6" w:space="0" w:color="auto"/>
              <w:bottom w:val="single" w:sz="6" w:space="0" w:color="auto"/>
              <w:right w:val="single" w:sz="6" w:space="0" w:color="auto"/>
            </w:tcBorders>
            <w:shd w:val="clear" w:color="auto" w:fill="FFFFFF"/>
          </w:tcPr>
          <w:p w14:paraId="7D5734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573A5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w:t>
            </w:r>
          </w:p>
        </w:tc>
        <w:tc>
          <w:tcPr>
            <w:tcW w:w="308" w:type="dxa"/>
            <w:gridSpan w:val="2"/>
            <w:tcBorders>
              <w:top w:val="single" w:sz="6" w:space="0" w:color="auto"/>
              <w:left w:val="single" w:sz="6" w:space="0" w:color="auto"/>
              <w:bottom w:val="single" w:sz="6" w:space="0" w:color="auto"/>
              <w:right w:val="single" w:sz="6" w:space="0" w:color="auto"/>
            </w:tcBorders>
            <w:shd w:val="clear" w:color="auto" w:fill="FFFFFF"/>
          </w:tcPr>
          <w:p w14:paraId="10AA42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c>
          <w:tcPr>
            <w:tcW w:w="419" w:type="dxa"/>
            <w:gridSpan w:val="2"/>
            <w:tcBorders>
              <w:top w:val="single" w:sz="6" w:space="0" w:color="auto"/>
              <w:left w:val="single" w:sz="6" w:space="0" w:color="auto"/>
              <w:bottom w:val="single" w:sz="6" w:space="0" w:color="auto"/>
              <w:right w:val="single" w:sz="6" w:space="0" w:color="auto"/>
            </w:tcBorders>
            <w:shd w:val="clear" w:color="auto" w:fill="FFFFFF"/>
          </w:tcPr>
          <w:p w14:paraId="6ECC49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w:t>
            </w:r>
          </w:p>
        </w:tc>
        <w:tc>
          <w:tcPr>
            <w:tcW w:w="462" w:type="dxa"/>
            <w:tcBorders>
              <w:top w:val="single" w:sz="6" w:space="0" w:color="auto"/>
              <w:left w:val="single" w:sz="6" w:space="0" w:color="auto"/>
              <w:bottom w:val="single" w:sz="6" w:space="0" w:color="auto"/>
              <w:right w:val="single" w:sz="6" w:space="0" w:color="auto"/>
            </w:tcBorders>
            <w:shd w:val="clear" w:color="auto" w:fill="FFFFFF"/>
          </w:tcPr>
          <w:p w14:paraId="2E1A60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tc>
        <w:tc>
          <w:tcPr>
            <w:tcW w:w="423" w:type="dxa"/>
            <w:gridSpan w:val="2"/>
            <w:tcBorders>
              <w:top w:val="single" w:sz="6" w:space="0" w:color="auto"/>
              <w:left w:val="single" w:sz="6" w:space="0" w:color="auto"/>
              <w:bottom w:val="single" w:sz="6" w:space="0" w:color="auto"/>
              <w:right w:val="single" w:sz="6" w:space="0" w:color="auto"/>
            </w:tcBorders>
            <w:shd w:val="clear" w:color="auto" w:fill="FFFFFF"/>
          </w:tcPr>
          <w:p w14:paraId="44E733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371" w:type="dxa"/>
            <w:gridSpan w:val="2"/>
            <w:tcBorders>
              <w:top w:val="single" w:sz="6" w:space="0" w:color="auto"/>
              <w:left w:val="single" w:sz="6" w:space="0" w:color="auto"/>
              <w:bottom w:val="single" w:sz="6" w:space="0" w:color="auto"/>
              <w:right w:val="single" w:sz="6" w:space="0" w:color="auto"/>
            </w:tcBorders>
            <w:shd w:val="clear" w:color="auto" w:fill="FFFFFF"/>
          </w:tcPr>
          <w:p w14:paraId="74B90B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r>
    </w:tbl>
    <w:p w14:paraId="536886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225 — вписав карандашом.</w:t>
      </w:r>
    </w:p>
    <w:p w14:paraId="6C01DA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453 — вписан карандашом.</w:t>
      </w:r>
    </w:p>
    <w:p w14:paraId="1E181A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Исправлено карандашом. Первоначально было 11.</w:t>
      </w:r>
    </w:p>
    <w:p w14:paraId="1DB66261" w14:textId="77777777" w:rsidR="00DB6725" w:rsidRPr="00D03F3E" w:rsidRDefault="00DB6725" w:rsidP="00D03F3E">
      <w:pPr>
        <w:widowControl w:val="0"/>
        <w:tabs>
          <w:tab w:val="left" w:pos="115"/>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286 — добавлено карандашом.</w:t>
      </w:r>
    </w:p>
    <w:p w14:paraId="78E8EB9E" w14:textId="77777777" w:rsidR="00DB6725" w:rsidRPr="00D03F3E" w:rsidRDefault="00DB6725" w:rsidP="00D03F3E">
      <w:pPr>
        <w:widowControl w:val="0"/>
        <w:tabs>
          <w:tab w:val="left" w:pos="86"/>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Исправлено карандашом. Первоначально было 4.</w:t>
      </w:r>
    </w:p>
    <w:p w14:paraId="1AA3F813" w14:textId="77777777" w:rsidR="00DB6725" w:rsidRPr="00D03F3E" w:rsidRDefault="00DB6725" w:rsidP="00D03F3E">
      <w:pPr>
        <w:widowControl w:val="0"/>
        <w:tabs>
          <w:tab w:val="left" w:pos="11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286 — вычеркнут карандашом (12011).</w:t>
      </w:r>
    </w:p>
    <w:p w14:paraId="1F70A521" w14:textId="77777777" w:rsidR="00DB6725" w:rsidRPr="00D03F3E" w:rsidRDefault="00DB6725" w:rsidP="00D03F3E">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p>
    <w:p w14:paraId="3F7BAD9E"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06C05C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BA5B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 апреля ИС-1 прошел 489 км, ИС-2 (начал испыта</w:t>
      </w:r>
      <w:r w:rsidRPr="00D03F3E">
        <w:rPr>
          <w:rFonts w:ascii="Times New Roman" w:hAnsi="Times New Roman"/>
          <w:color w:val="000000" w:themeColor="text1"/>
          <w:sz w:val="16"/>
          <w:szCs w:val="16"/>
        </w:rPr>
        <w:softHyphen/>
        <w:t>ния 27 марта) — 405 км, КБ-1С — 475 км. Потомки «черто</w:t>
      </w:r>
      <w:r w:rsidRPr="00D03F3E">
        <w:rPr>
          <w:rFonts w:ascii="Times New Roman" w:hAnsi="Times New Roman"/>
          <w:color w:val="000000" w:themeColor="text1"/>
          <w:sz w:val="16"/>
          <w:szCs w:val="16"/>
        </w:rPr>
        <w:softHyphen/>
        <w:t>вой дюжины» по всем статьям превосходили КБ-1С. Но удручал тот факт, что при движении с максимальной ско</w:t>
      </w:r>
      <w:r w:rsidRPr="00D03F3E">
        <w:rPr>
          <w:rFonts w:ascii="Times New Roman" w:hAnsi="Times New Roman"/>
          <w:color w:val="000000" w:themeColor="text1"/>
          <w:sz w:val="16"/>
          <w:szCs w:val="16"/>
        </w:rPr>
        <w:softHyphen/>
        <w:t>ростью у танка ИС-2 ломались опорные катки и балансиры подвески. Поэтому еще до окончания испытаний комис</w:t>
      </w:r>
      <w:r w:rsidRPr="00D03F3E">
        <w:rPr>
          <w:rFonts w:ascii="Times New Roman" w:hAnsi="Times New Roman"/>
          <w:color w:val="000000" w:themeColor="text1"/>
          <w:sz w:val="16"/>
          <w:szCs w:val="16"/>
        </w:rPr>
        <w:softHyphen/>
        <w:t>сия пришла к таким выводам по танку ИС:</w:t>
      </w:r>
    </w:p>
    <w:p w14:paraId="3455F29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 увеличить внутренний объем башни под пушку ка</w:t>
      </w:r>
      <w:r w:rsidRPr="00D03F3E">
        <w:rPr>
          <w:rFonts w:ascii="Times New Roman" w:hAnsi="Times New Roman"/>
          <w:color w:val="000000" w:themeColor="text1"/>
          <w:sz w:val="16"/>
          <w:szCs w:val="16"/>
        </w:rPr>
        <w:softHyphen/>
        <w:t>либра 122-мм (У-11);</w:t>
      </w:r>
    </w:p>
    <w:p w14:paraId="6047FBD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сделать командирскую башенку единого типа; устано</w:t>
      </w:r>
      <w:r w:rsidRPr="00D03F3E">
        <w:rPr>
          <w:rFonts w:ascii="Times New Roman" w:hAnsi="Times New Roman"/>
          <w:color w:val="000000" w:themeColor="text1"/>
          <w:sz w:val="16"/>
          <w:szCs w:val="16"/>
        </w:rPr>
        <w:softHyphen/>
        <w:t>вить два смотровых прибора по типу МК-1Уу механика-во</w:t>
      </w:r>
      <w:r w:rsidRPr="00D03F3E">
        <w:rPr>
          <w:rFonts w:ascii="Times New Roman" w:hAnsi="Times New Roman"/>
          <w:color w:val="000000" w:themeColor="text1"/>
          <w:sz w:val="16"/>
          <w:szCs w:val="16"/>
        </w:rPr>
        <w:softHyphen/>
        <w:t>дителя и один смотровой прибор в командирской башенке;</w:t>
      </w:r>
    </w:p>
    <w:p w14:paraId="449667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повысить качество сборки двигателей;</w:t>
      </w:r>
    </w:p>
    <w:p w14:paraId="5904599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продолжить испытания танков ИС-1 и ИС-2 до гаран</w:t>
      </w:r>
      <w:r w:rsidRPr="00D03F3E">
        <w:rPr>
          <w:rFonts w:ascii="Times New Roman" w:hAnsi="Times New Roman"/>
          <w:color w:val="000000" w:themeColor="text1"/>
          <w:sz w:val="16"/>
          <w:szCs w:val="16"/>
        </w:rPr>
        <w:softHyphen/>
        <w:t>тийного километража (не менее 500км);</w:t>
      </w:r>
    </w:p>
    <w:p w14:paraId="16EDF76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немедленно устранить отмеченные дефекты;</w:t>
      </w:r>
    </w:p>
    <w:p w14:paraId="42392C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ускорить изготовление установочной партии ИС-1 «объект 233» и ИС-2 «объект 234» в количестве 10шт., запу</w:t>
      </w:r>
      <w:r w:rsidRPr="00D03F3E">
        <w:rPr>
          <w:rFonts w:ascii="Times New Roman" w:hAnsi="Times New Roman"/>
          <w:color w:val="000000" w:themeColor="text1"/>
          <w:sz w:val="16"/>
          <w:szCs w:val="16"/>
        </w:rPr>
        <w:softHyphen/>
        <w:t>щенной в производство ЧКЗ, не дожидаясь результатов ис</w:t>
      </w:r>
      <w:r w:rsidRPr="00D03F3E">
        <w:rPr>
          <w:rFonts w:ascii="Times New Roman" w:hAnsi="Times New Roman"/>
          <w:color w:val="000000" w:themeColor="text1"/>
          <w:sz w:val="16"/>
          <w:szCs w:val="16"/>
        </w:rPr>
        <w:softHyphen/>
        <w:t>пытаний с целью проверки технологии, срочно устранив на этой партии все дефекты, отмеченные комиссией» (11135).</w:t>
      </w:r>
    </w:p>
    <w:p w14:paraId="267843A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C965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 апреля 1943 г. танк ИС-1 прошел 405 км, но еще до стрельб он не особо радовал танкостроителей. При дви</w:t>
      </w:r>
      <w:r w:rsidRPr="00D03F3E">
        <w:rPr>
          <w:rFonts w:ascii="Times New Roman" w:hAnsi="Times New Roman"/>
          <w:color w:val="000000" w:themeColor="text1"/>
          <w:sz w:val="16"/>
          <w:szCs w:val="16"/>
        </w:rPr>
        <w:softHyphen/>
        <w:t>жении с максимальной скоростью у танка ИС-2, вследствие перегрузки катков, выходили из строя как сами катки, так и балансиры подвески. Еще до окончания всех испытаний ко</w:t>
      </w:r>
      <w:r w:rsidRPr="00D03F3E">
        <w:rPr>
          <w:rFonts w:ascii="Times New Roman" w:hAnsi="Times New Roman"/>
          <w:color w:val="000000" w:themeColor="text1"/>
          <w:sz w:val="16"/>
          <w:szCs w:val="16"/>
        </w:rPr>
        <w:softHyphen/>
        <w:t>миссия пришла к таким выводам по танку ИС-2:</w:t>
      </w:r>
    </w:p>
    <w:p w14:paraId="3F495E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 увеличить внутренний объем башни под пушку кали</w:t>
      </w:r>
      <w:r w:rsidRPr="00D03F3E">
        <w:rPr>
          <w:rFonts w:ascii="Times New Roman" w:hAnsi="Times New Roman"/>
          <w:color w:val="000000" w:themeColor="text1"/>
          <w:sz w:val="16"/>
          <w:szCs w:val="16"/>
        </w:rPr>
        <w:softHyphen/>
        <w:t>бра 122-мм (У-11);</w:t>
      </w:r>
    </w:p>
    <w:p w14:paraId="7CBE79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сделать командирскую башенку единого типа; устано</w:t>
      </w:r>
      <w:r w:rsidRPr="00D03F3E">
        <w:rPr>
          <w:rFonts w:ascii="Times New Roman" w:hAnsi="Times New Roman"/>
          <w:color w:val="000000" w:themeColor="text1"/>
          <w:sz w:val="16"/>
          <w:szCs w:val="16"/>
        </w:rPr>
        <w:softHyphen/>
        <w:t>вить два смотровых прибора по типу МК-1Уу механика-во</w:t>
      </w:r>
      <w:r w:rsidRPr="00D03F3E">
        <w:rPr>
          <w:rFonts w:ascii="Times New Roman" w:hAnsi="Times New Roman"/>
          <w:color w:val="000000" w:themeColor="text1"/>
          <w:sz w:val="16"/>
          <w:szCs w:val="16"/>
        </w:rPr>
        <w:softHyphen/>
        <w:t>дителя и один смотровой прибор в командирской башенке;</w:t>
      </w:r>
    </w:p>
    <w:p w14:paraId="323FA25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повысить качество сборки двигателей;</w:t>
      </w:r>
    </w:p>
    <w:p w14:paraId="4E4490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продолжить испытания танков ИС-1 и ИС-2 до гаран</w:t>
      </w:r>
      <w:r w:rsidRPr="00D03F3E">
        <w:rPr>
          <w:rFonts w:ascii="Times New Roman" w:hAnsi="Times New Roman"/>
          <w:color w:val="000000" w:themeColor="text1"/>
          <w:sz w:val="16"/>
          <w:szCs w:val="16"/>
        </w:rPr>
        <w:softHyphen/>
        <w:t>тийного километража (не менее 500 км);</w:t>
      </w:r>
    </w:p>
    <w:p w14:paraId="375AA46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немедленно устранить отмеченные дефекты;</w:t>
      </w:r>
    </w:p>
    <w:p w14:paraId="2B6299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ускорить изготовление установочной партии ИС-1 «объект 233» и ИС-2 «объект 234» в количестве 10 шт., запущенной в производство ЧКЗ, не дожидаясь результатов испытаний с целью проверки технологии, срочно устранив на этой партии все дефекты, отмеченные комиссией».</w:t>
      </w:r>
    </w:p>
    <w:p w14:paraId="00B7F9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в апреле были проведены испытания обстрелом из 122-мм гаубицы М-30 с баллистикой, близкой к У-11 корпу</w:t>
      </w:r>
      <w:r w:rsidRPr="00D03F3E">
        <w:rPr>
          <w:rFonts w:ascii="Times New Roman" w:hAnsi="Times New Roman"/>
          <w:color w:val="000000" w:themeColor="text1"/>
          <w:sz w:val="16"/>
          <w:szCs w:val="16"/>
        </w:rPr>
        <w:softHyphen/>
        <w:t xml:space="preserve">са трофейного «тигра» (скорее всего Т </w:t>
      </w:r>
      <w:r w:rsidRPr="00D03F3E">
        <w:rPr>
          <w:rFonts w:ascii="Times New Roman" w:hAnsi="Times New Roman"/>
          <w:color w:val="000000" w:themeColor="text1"/>
          <w:sz w:val="16"/>
          <w:szCs w:val="16"/>
          <w:lang w:val="en-US"/>
        </w:rPr>
        <w:t>IVusfF</w:t>
      </w:r>
      <w:r w:rsidRPr="00D03F3E">
        <w:rPr>
          <w:rFonts w:ascii="Times New Roman" w:hAnsi="Times New Roman"/>
          <w:color w:val="000000" w:themeColor="text1"/>
          <w:sz w:val="16"/>
          <w:szCs w:val="16"/>
        </w:rPr>
        <w:t>2-</w:t>
      </w:r>
      <w:r w:rsidRPr="00D03F3E">
        <w:rPr>
          <w:rFonts w:ascii="Times New Roman" w:hAnsi="Times New Roman"/>
          <w:color w:val="000000" w:themeColor="text1"/>
          <w:sz w:val="16"/>
          <w:szCs w:val="16"/>
          <w:lang w:val="en-US"/>
        </w:rPr>
        <w:t>G</w:t>
      </w:r>
      <w:r w:rsidRPr="00D03F3E">
        <w:rPr>
          <w:rFonts w:ascii="Times New Roman" w:hAnsi="Times New Roman"/>
          <w:color w:val="000000" w:themeColor="text1"/>
          <w:sz w:val="16"/>
          <w:szCs w:val="16"/>
        </w:rPr>
        <w:t>) куму</w:t>
      </w:r>
      <w:r w:rsidRPr="00D03F3E">
        <w:rPr>
          <w:rFonts w:ascii="Times New Roman" w:hAnsi="Times New Roman"/>
          <w:color w:val="000000" w:themeColor="text1"/>
          <w:sz w:val="16"/>
          <w:szCs w:val="16"/>
        </w:rPr>
        <w:softHyphen/>
        <w:t>лятивным снарядом. И тут танкостроителей ждало первое разочарование. Из 15 выстрелов, произведенных с дистан</w:t>
      </w:r>
      <w:r w:rsidRPr="00D03F3E">
        <w:rPr>
          <w:rFonts w:ascii="Times New Roman" w:hAnsi="Times New Roman"/>
          <w:color w:val="000000" w:themeColor="text1"/>
          <w:sz w:val="16"/>
          <w:szCs w:val="16"/>
        </w:rPr>
        <w:softHyphen/>
        <w:t>ции 500—600 метров, не было отмечено ни одного прямого попадания даже по неподвижному корпусу немецкого танка.</w:t>
      </w:r>
    </w:p>
    <w:p w14:paraId="2CD8886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F4FC7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 ап</w:t>
      </w:r>
      <w:r w:rsidRPr="00D03F3E">
        <w:rPr>
          <w:rFonts w:ascii="Times New Roman" w:hAnsi="Times New Roman"/>
          <w:color w:val="000000" w:themeColor="text1"/>
          <w:sz w:val="16"/>
          <w:szCs w:val="16"/>
        </w:rPr>
        <w:softHyphen/>
        <w:t>реля 1943 г. УЗТМ отлил 10 увеличенных башен В. Ницен</w:t>
      </w:r>
      <w:r w:rsidRPr="00D03F3E">
        <w:rPr>
          <w:rFonts w:ascii="Times New Roman" w:hAnsi="Times New Roman"/>
          <w:color w:val="000000" w:themeColor="text1"/>
          <w:sz w:val="16"/>
          <w:szCs w:val="16"/>
        </w:rPr>
        <w:softHyphen/>
        <w:t>ко для Т-44, а к июню таких башен было заказано еще 50. Поскольку башня являлась наиболее сложным узлом в новом танке, А. Морозов вновь настоял на изготовлении двух «ездящих лабораторий» из корпуса Т-34 и увеличен</w:t>
      </w:r>
      <w:r w:rsidRPr="00D03F3E">
        <w:rPr>
          <w:rFonts w:ascii="Times New Roman" w:hAnsi="Times New Roman"/>
          <w:color w:val="000000" w:themeColor="text1"/>
          <w:sz w:val="16"/>
          <w:szCs w:val="16"/>
        </w:rPr>
        <w:softHyphen/>
        <w:t>ной башни Т-43. Для того чтобы сделать такой гибрид, кор</w:t>
      </w:r>
      <w:r w:rsidRPr="00D03F3E">
        <w:rPr>
          <w:rFonts w:ascii="Times New Roman" w:hAnsi="Times New Roman"/>
          <w:color w:val="000000" w:themeColor="text1"/>
          <w:sz w:val="16"/>
          <w:szCs w:val="16"/>
        </w:rPr>
        <w:softHyphen/>
        <w:t>пус Т-34 был несколько изменен, на нем была установлена новая крыша с отверстием под бдшню диаметром 1600 мм. А так как высота кольцевого основания башни Т-43 была меньше, чем высота надмоторного кожуха Т-34, то для обеспечения вращения башни кольцевое основание было дополнено кольцевой вставкой (шайбой). Первый танк Т-34 с новой башней закончил первый этап испытаний к 15 мая 1943 г. Башня оказалась удачной. Почти все меха</w:t>
      </w:r>
      <w:r w:rsidRPr="00D03F3E">
        <w:rPr>
          <w:rFonts w:ascii="Times New Roman" w:hAnsi="Times New Roman"/>
          <w:color w:val="000000" w:themeColor="text1"/>
          <w:sz w:val="16"/>
          <w:szCs w:val="16"/>
        </w:rPr>
        <w:softHyphen/>
        <w:t>низмы в ней работали безупречно, лишь одностворчатый люк командира, требовавший уравновешивания, было ре</w:t>
      </w:r>
      <w:r w:rsidRPr="00D03F3E">
        <w:rPr>
          <w:rFonts w:ascii="Times New Roman" w:hAnsi="Times New Roman"/>
          <w:color w:val="000000" w:themeColor="text1"/>
          <w:sz w:val="16"/>
          <w:szCs w:val="16"/>
        </w:rPr>
        <w:softHyphen/>
        <w:t>комендовано заменить двухстворчатым (по типу люка за</w:t>
      </w:r>
      <w:r w:rsidRPr="00D03F3E">
        <w:rPr>
          <w:rFonts w:ascii="Times New Roman" w:hAnsi="Times New Roman"/>
          <w:color w:val="000000" w:themeColor="text1"/>
          <w:sz w:val="16"/>
          <w:szCs w:val="16"/>
        </w:rPr>
        <w:softHyphen/>
        <w:t>вода № 112 танка Т- 34). Новый корпус Т-43 был дополнен полноценным лю</w:t>
      </w:r>
      <w:r w:rsidRPr="00D03F3E">
        <w:rPr>
          <w:rFonts w:ascii="Times New Roman" w:hAnsi="Times New Roman"/>
          <w:color w:val="000000" w:themeColor="text1"/>
          <w:sz w:val="16"/>
          <w:szCs w:val="16"/>
        </w:rPr>
        <w:softHyphen/>
        <w:t>ком механика-водителя вместо люка-пробки, оснащен усиленными торсионами. В июне 1943 г. танк, прежде но</w:t>
      </w:r>
      <w:r w:rsidRPr="00D03F3E">
        <w:rPr>
          <w:rFonts w:ascii="Times New Roman" w:hAnsi="Times New Roman"/>
          <w:color w:val="000000" w:themeColor="text1"/>
          <w:sz w:val="16"/>
          <w:szCs w:val="16"/>
        </w:rPr>
        <w:softHyphen/>
        <w:t>сивший в наркомате индекс Т-44, был переименован в Т-43-П, или Т-43 эталонный (11135).</w:t>
      </w:r>
    </w:p>
    <w:p w14:paraId="1685E63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DD95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1943 вышло Постановление ГКО № 3102 О срочных мерах по усилению завоза горючего и масел для весенних сельскохозяйственных работ в первой половине апреля 1943 года.РГАНИР, Фонд ГКО, д. 100, лл. 1-4, 5 (11012).</w:t>
      </w:r>
    </w:p>
    <w:p w14:paraId="34C3C6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AFA5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1943 вышло Распоряжение ГКО № 3103. О ремонте боевых установок М-13 и М-8 на Московском электромеханическом ремонтном заводе НКПС.РГАНИР, Фонд ГКО, д. 100, лл. 6-8, 9-15 (11012).</w:t>
      </w:r>
    </w:p>
    <w:p w14:paraId="4E6605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DAE1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1943 вышло Постановление ГКО № 3104 Об условиях Всесоюзного социалистического соревнования строителей заводов и цехов, осуществляемых HКвооружения.РГАНИР, Фонд ГКО, д. 100, лл. 16 (11012).</w:t>
      </w:r>
    </w:p>
    <w:p w14:paraId="79FCCE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784D6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1943 вышло Постановление ГКО № 3105 Об улучшении работы Центрального управления движения НКПС. (7092, 17,18-20).</w:t>
      </w:r>
    </w:p>
    <w:p w14:paraId="0C3EACF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7DF7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1943 вышло Постановление ГКО № 3106 О производстве автомобилей-вездеходов.РГАНИР, Фонд ГКО, д. 100, лл. 21-23 (11012).</w:t>
      </w:r>
    </w:p>
    <w:p w14:paraId="0A8F30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52A1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1943 вышло Постановление ГКО № 3107 О плане производства танков, артиллерийских самоходных установок и танковых дизелей на II кв. 1943 года.РГАНИР, Фонд ГКО, д. 100, лл. 24-29 (11012).</w:t>
      </w:r>
    </w:p>
    <w:p w14:paraId="270B42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F8C6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1943 На минном заградителе "Марти" закончен ремонт механизмов (начат в декабре 1942 г.) (10671).</w:t>
      </w:r>
    </w:p>
    <w:p w14:paraId="63DA3F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C49DA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7FDFCC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BCFD77"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в 1943 году утреннее сообщение Совинформбюро:</w:t>
      </w:r>
    </w:p>
    <w:p w14:paraId="3854A39C"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 апреля на фронтах существенных изменений не произошло.</w:t>
      </w:r>
    </w:p>
    <w:p w14:paraId="2215684C"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вели артиллерийскую перестрелку с противником. Н-ское подразделение очистило от немцев выгодную позицию и закрепилось на занятом рубеже. Гитлеровцы неоднократно переходили в контратаки, но не добились каких-либо результатов. В этом бою 13 красноармейцев ружейно-пулемётным огнём истребили более 100 немецких солдат и офицеров.</w:t>
      </w:r>
    </w:p>
    <w:p w14:paraId="2A4EF02C"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течения Северного Донца на одном участке противник атаковал позиции Н-ской части. Наши бойцы встретили врага огнём из всех видов оружия и вынудили его отойти. Вскоре немцы вторично перешли в атаку. Контрударом наши бойцы отбросили гитлеровцев на исходные позиции. На поле боя осталось до 1200 трупов немецких солдат и офицеров. Подбиты танк и 2 бронемашины противника.</w:t>
      </w:r>
    </w:p>
    <w:p w14:paraId="3160832E"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артиллеристы Н-ского соединения уничтожили батарею шестиствольных миномётов и 2 артиллерийские батареи немцев. Наши лётчики бомбили тылы противника и взорвали крупный склад боеприпасов.</w:t>
      </w:r>
    </w:p>
    <w:p w14:paraId="5E954238"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Лётчика части, где командиром Герой Советского Союза тов. Авдеев, и зенитчики части, где командиром тов. Поздняков, отражая налёт авиации противника, сбили 11 и подбили 6 немецких самолётов.</w:t>
      </w:r>
    </w:p>
    <w:p w14:paraId="1F1A3543"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Смоленской области, в ночь на 16 марта взорвал большой железнодорожный мост и пустил под откос немецкий воинский эшелон. В результате крушения погибло много вражеских солдат и офицеров. Другой отряд смоленских партизан в ночь на 20 марта заминировал железнодорожное полотно на важной магистрали. На минах подорвался шедший к фронту эшелон противника. Разбиты паровоз и 20 платформ с орудиями и автомашинами.</w:t>
      </w:r>
    </w:p>
    <w:p w14:paraId="4B7A19CA"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Надежда Степаненко, ученица 9 класса средней школы № 1 города Ровеньки,Ворошиловградской области, рассказала: «Осенью прошлого года немцы насильно отправили почти всю молодёжь нашего района на каторжные работы в Германию. Нас загнали в товарные вагоны, набили, как сельдей в бочку, и поставили охрану. На вокзале во время отъезда стоял стон и плач. Плакали отъезжавшие и провожавшие. Меня и ещё 16 девушек направили в город Швац. Здесь происходила самая настоящая торговля русскими людьми. Немцы и немки поворачивали нас во все стороны, мерилии ощупывали. Меня купил булочник Карл Видман. Он заставлял </w:t>
      </w:r>
      <w:r w:rsidRPr="00D03F3E">
        <w:rPr>
          <w:rFonts w:ascii="Times New Roman" w:hAnsi="Times New Roman"/>
          <w:color w:val="000000" w:themeColor="text1"/>
          <w:sz w:val="16"/>
          <w:szCs w:val="16"/>
        </w:rPr>
        <w:lastRenderedPageBreak/>
        <w:t>меня работать с 6 часов утра до поздней ночи. Хотя я жила у булочника, но хлеба кушала редко. От непосильного труда, голода и побоев я заболела. Оправившись немного, я бежала на родину. В Брест-Литовске меня задержали и посадили в концлагерь. В этом лагере в полуразрушенных сараях томились тысячи советских граждан. Ежедневно из лагеря выносили по 10—16 трупов. Мне и ещё нескольким девушкам во время работы удалось скрыться и бежать. В пути нам помогли партизаны. С большим трудом мы, наконец, вырвались из фашистского ада».</w:t>
      </w:r>
    </w:p>
    <w:p w14:paraId="263C3B0B"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Немецкие военные власти производят чистку в немецких гарнизонах, расположенных в Норвегии. В Осло, Тронхейме, Бергене и других городах арестовано и брошено в концлагеря свыше 300 «неблагонадёжных» солдат и офицеров. В Кристиансанде гестаповцы расстреляли 10 немецких офицеров за попытку дезертировать. На днях в Тронхейме казнены 3 немецких офицера и 19 солдат за связь с патриотической организацией норвежских студентов.» (15086).</w:t>
      </w:r>
    </w:p>
    <w:p w14:paraId="6FB1D49C" w14:textId="77777777" w:rsidR="00832B4C" w:rsidRPr="00D03F3E" w:rsidRDefault="00832B4C" w:rsidP="00D03F3E">
      <w:pPr>
        <w:spacing w:after="0" w:line="240" w:lineRule="auto"/>
        <w:jc w:val="both"/>
        <w:rPr>
          <w:rFonts w:ascii="Times New Roman" w:hAnsi="Times New Roman"/>
          <w:color w:val="000000" w:themeColor="text1"/>
          <w:sz w:val="16"/>
          <w:szCs w:val="16"/>
        </w:rPr>
      </w:pPr>
    </w:p>
    <w:p w14:paraId="143646AE"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в 1943 году вечернее сообщение Совинформбюро:</w:t>
      </w:r>
    </w:p>
    <w:p w14:paraId="01424B2B"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 апреля на фронтах существенных изменений не произошло.</w:t>
      </w:r>
    </w:p>
    <w:p w14:paraId="674A6ECF"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корабли в Баренцевом море потопили транспорт противника водоизмещением в 6000 тонн.</w:t>
      </w:r>
    </w:p>
    <w:p w14:paraId="2D89F243"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марта частями нашей авиации на различных участках фронта уничтожено или повреждено не менее 70 немецких автомашин с войсками и грузами, подавлен огонь 6 артиллерийских и миномётных батарей, взорвано 2 склада боеприпасов и потоплен катер противника.</w:t>
      </w:r>
    </w:p>
    <w:p w14:paraId="201FCB55"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вели бои местного значения. Части Н-ского соединения вклинились в передний край обороны противника и захватили сильно укреплённые позиции немцев. Наши артиллеристы, поддерживая действия пехоты, уничтожили 4 миномётных и 8 артиллерийских батарей противника. На другом участке взятые в плен немецкие солдаты и офицеры показали, что многие подразделения 267 немецкой пехотной дивизии в последних боях потеряли убитыми и ранеными 70—80 процентов своего личного состава.</w:t>
      </w:r>
    </w:p>
    <w:p w14:paraId="7EC8514B"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происходила редкая ружейно-пулемётная перестрелка. Подразделения Н-ской части в результате удачного манёвра создали угрозу окружения немецкому гарнизону в одном укреплённом пункте. Подвергаясь ударам советских бойцов, гитлеровцы поспешно отступили. На поле боя осталось до 150 вражеских трупов. Наши подразделения заняли укреплённый пункт и захватили трофей.</w:t>
      </w:r>
    </w:p>
    <w:p w14:paraId="65E3AD25"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течения Северного Донца наши войска производили оборонительные работы и вели огневой бой с противником. На участке Н-ского соединения огнём наших миномётчиков и снайперов уничтожено до роты немецкой пехоты.</w:t>
      </w:r>
    </w:p>
    <w:p w14:paraId="6A764ADE"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войска продолжали вести наступательные бои, продвинулись вперёд и заняли несколько населённых пунктов. На одном участке разгромлен батальон гитлеровцев и захвачены 5 орудий, 19 пулемётов, 8 миномётов, 13 автомашин с разными грузами и другие трофеи.</w:t>
      </w:r>
    </w:p>
    <w:p w14:paraId="57230C1A"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батальон пехоты и 7 танков противника атаковали наши позиции. Вначале немцам удалось потеснить наше боевое охранение и проникнуть на западную окраину одного населённого пункта. Бойцы Н-ской части контрударом отбросили противника и уничтожили до 200 гитлеровцев. Снайперы части, где командиром тов.Старцев, в течение дня истребили 37 немецких солдат и офицеров.</w:t>
      </w:r>
    </w:p>
    <w:p w14:paraId="76941909"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подступах к Ленинграду наши лётчики в воздушном бою уничтожили 3 немецких самолёта. Сержант тов. Дмитриев огнём из зенитного пулемёта сбил истребитель противника «Мессершмитт-109».</w:t>
      </w:r>
    </w:p>
    <w:p w14:paraId="2A915513"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Кировоградской области, проник в населённый пункт и перебил 37 гитлеровцев, охранявших ремонтные мастерские. Партизаны уничтожили отремонтированные немецкие автомашины и склад запасных частей. Группа партизан-подрывников заминировала железнодорожное полотно. На минах подорвался проходивший эшелон противника. Разбиты паровоз и 23 вагона с разными военными грузами.</w:t>
      </w:r>
    </w:p>
    <w:p w14:paraId="24797579"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Нa одном из участков Волховского фронта взяты в плен солдаты 9 полка 23 немецкой пехотной дивизии Иоганн Хейдер и Курт Кун. У пленных обнаружено 48 писем из Германии, которые они несли из полевой почты солдатам своей роты. Эти письма показывают, что проводимая гитлеровцами тотальная мобилизация вызвала большое недовольство и тревогу среди населения Германии.</w:t>
      </w:r>
    </w:p>
    <w:p w14:paraId="629C65F1"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X. Эккгард из Бранденбурга пишет солдату Вильгельму Хуту: «..Меня призывают в армию. Россия проглатывает одну за другой наши дивизии и бесконечное количество маршевых батальонов. Она поглотит и всех тех, кто до сих пор был в тылу.Тотальную войну в такой форме можно вести относительно короткое время — наше хозяйство скоро и окончательно рухнет». Фриц Штарбек пишет своему брату:«...Скоро Карла тоже призовут в зенитчики. Ученики 6 и 7 классов были призваны в понедельник. Они содержатся, как солдаты, и носят форму. Подумай только, нашу жизнь вверяют детям. Они должны защищать нас от воздушных налётов англичан. Старых, опытных зенитчиков посылают в Россию, где они будут сражаться в качестве пехотинцев». Герберт Ганский из Торна сообщает солдату Карлу Ланге: «У нас здесь царит суматоха. Всех призывают в армию. Теперь даже калеки стали годными».</w:t>
      </w:r>
    </w:p>
    <w:p w14:paraId="24FFB73A"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Солдату Альфреду Отто пишут его родственники из Берлина: «Мы уже по горло сыты войной. После стольких экстренных сообщений об ошеломляющих победах все думали, что война скоро кончится. Вместо этого мы можем себя поздравить с тотальной мобилизацией. Нет, уже лучше пусть наступит конец, даже самый ужасный, какой только может быть. Ужасный конец всё же лучше, чем ужасы без конца».</w:t>
      </w:r>
    </w:p>
    <w:p w14:paraId="0124FC66"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Итоги зимней кампании Красной Армии (с 10 ноября 1942 года по 31 марта 1943 года).</w:t>
      </w:r>
    </w:p>
    <w:p w14:paraId="02F37DBF"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марта с. г. Красная Армия завершила зимнюю кампанию против немецко-фашистских войск.</w:t>
      </w:r>
    </w:p>
    <w:p w14:paraId="522BADB4"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время зимней кампании советские войска нанесли вражеским армиям тяжёлые военные поражения. Красная Армия нанесла немецко-фашистским войскам крупнейшее в истории войн поражение под Сталинградом, разгромила немецкие войска на Северном Кавказе и Кубани, нанесла ряд тяжёлых поражений врагу в районе Среднего Дона и Воронежа, ликвидировала вражеские плацдармы на Центральном фронте (Ржев — Гжатск— Вязьма) и в районе Демянска, прорвала блокаду Ленинграда.</w:t>
      </w:r>
    </w:p>
    <w:p w14:paraId="70B3A2E5"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4 месяца и 20 дней наступления Красная Армия в труднейших условиях зимы продвинулась на запад на некоторых участках до 600—700 километров. Советские войска освободили от немецких захватчиков огромную территорию в 480.000 квадратных километров. В результате наступления Красной Армии были очищены от врага районы страны, имеющие важное экономическое и военно-стратегическое значение. Полностью освобождены Воронежская и Сталинградская области, Чечено-Ингушская, Северо-Осетинская, Кабардино-Балкарская и Калмыцкая автономные республики, Ставропольский край, Черкесская, Карачаевская и Адыгейская автономные области, почти целиком Краснодарский край, Ростовская и Курскаяобласти, значительная часть Ворошиловградской, Смоленской и Орловской областей, с десятками крупных городов и многими тысячами сёл и деревень.</w:t>
      </w:r>
    </w:p>
    <w:p w14:paraId="367D2E3E"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Красная Армия, отбросив врага на запад, освободила важнейшие водные и железнодорожные коммуникации страны, в том числе восстановила прерванный врагом осенью 1942 года волжский путь, очистила от вражеских войск всё течение Дона. Освобождены от врага и пущены в эксплуатацию железнодорожные магистрали: Сталинград — Поворино, Сталинград — Лихая — Ворошиловград, Сталинград —Краснодар, Владикавказ — Ростов-на-Дону, Лиски — Миллерово — Шахты —Ростов-на-Дону, Елец — Касторная — Валуйки — Ворошиловград, Москва — Вязьма, Москва — Ржев — Великие Луки и многие другие.</w:t>
      </w:r>
    </w:p>
    <w:p w14:paraId="7B63CE85"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время наступления Красной Армии с 10 ноября 1942 года по 31 марта 1943 года нашими войсками захвачены следующие трофеи: самолётов — 1.490, танков—4.670, орудий разного калибра—15.860, миномётов — 9.835, пулемётов —30.705, винтовок — свыше 500.000, снарядов— 17 миллионов, патронов — 128 миллионов, автомашин — 123.000, паровозов — 890, вагонов — 22.000, складов с разным военным имуществом — 1.825, а также большое количество радиостанций, мотоциклов и много другого военного имущества.</w:t>
      </w:r>
    </w:p>
    <w:p w14:paraId="3EF6C7E4"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это же время нашими войсками уничтожено 3.600 самолётов противника, 4.520 танков, 4.500 орудий.</w:t>
      </w:r>
    </w:p>
    <w:p w14:paraId="1C5F4E2C"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противник за время нашего зимнего наступления потерял: самолётов —5.090, танков — 9.190, орудий — 20.360.</w:t>
      </w:r>
    </w:p>
    <w:p w14:paraId="0F46A762"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10 ноября 1942 года по 31 марта 1943 года захвачено в плен 343.525 вражеских солдат и офицеров.</w:t>
      </w:r>
    </w:p>
    <w:p w14:paraId="24901353"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это же время противник потерял только убитыми более 850.000 солдат и офицеров.» (15086).</w:t>
      </w:r>
    </w:p>
    <w:p w14:paraId="46421DE2" w14:textId="77777777" w:rsidR="00832B4C" w:rsidRPr="00D03F3E" w:rsidRDefault="00832B4C" w:rsidP="00D03F3E">
      <w:pPr>
        <w:spacing w:after="0" w:line="240" w:lineRule="auto"/>
        <w:jc w:val="both"/>
        <w:rPr>
          <w:rFonts w:ascii="Times New Roman" w:hAnsi="Times New Roman"/>
          <w:color w:val="000000" w:themeColor="text1"/>
          <w:sz w:val="16"/>
          <w:szCs w:val="16"/>
        </w:rPr>
      </w:pPr>
    </w:p>
    <w:p w14:paraId="718152EC"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в 1943 году начальником политотдела 18-й советской армии назначается Леонид Брежнев (15086).</w:t>
      </w:r>
    </w:p>
    <w:p w14:paraId="09571030" w14:textId="77777777" w:rsidR="00832B4C" w:rsidRPr="00D03F3E" w:rsidRDefault="00832B4C" w:rsidP="00D03F3E">
      <w:pPr>
        <w:spacing w:after="0" w:line="240" w:lineRule="auto"/>
        <w:jc w:val="both"/>
        <w:rPr>
          <w:rFonts w:ascii="Times New Roman" w:hAnsi="Times New Roman"/>
          <w:color w:val="000000" w:themeColor="text1"/>
          <w:sz w:val="16"/>
          <w:szCs w:val="16"/>
        </w:rPr>
      </w:pPr>
    </w:p>
    <w:p w14:paraId="6C14BD01"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в 1943 году французская эскадрилья ''Нормандия'' (13 самолетов «Як-1») впервые вступила в бой в составе 303-й авиационной дивизии (генерал-майор Г.Н.Захаров) 1-й воздушной армии Западного фронта СССР (15086).</w:t>
      </w:r>
    </w:p>
    <w:p w14:paraId="72A3B8B6" w14:textId="77777777" w:rsidR="00832B4C" w:rsidRPr="00D03F3E" w:rsidRDefault="00832B4C" w:rsidP="00D03F3E">
      <w:pPr>
        <w:spacing w:after="0" w:line="240" w:lineRule="auto"/>
        <w:jc w:val="both"/>
        <w:rPr>
          <w:rFonts w:ascii="Times New Roman" w:hAnsi="Times New Roman"/>
          <w:color w:val="000000" w:themeColor="text1"/>
          <w:sz w:val="16"/>
          <w:szCs w:val="16"/>
        </w:rPr>
      </w:pPr>
    </w:p>
    <w:p w14:paraId="0DF206F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1943 французская эскадрилья ''Нормандия'' (13 самолетов Як-1) впервые вступила в бой в составе 1-й воздушной армии Западного фронта СССР (4963 ).</w:t>
      </w:r>
    </w:p>
    <w:p w14:paraId="190129E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B0B7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 апреля по 5 июля 1943 в период подготовки к Курской оборонительной операции воздушное фотографирование составило 38.9% всех самолетовылетов (518,213).</w:t>
      </w:r>
    </w:p>
    <w:p w14:paraId="02728D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плане Курской оборонительной операции предусматривалась авиационная контрподготовка с целью ослабления войск противника на исходных позициях для атаки, но на практике до начала оборонительного сражения авиационная контрподготовка ни разу в ходе войны не проводилась (518,229).</w:t>
      </w:r>
    </w:p>
    <w:p w14:paraId="7FB7E2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818B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 апреля но 1 мая 1943 года 9-й гвардейский полк за одни месяц потерял семь "Бостонов" из имевшихся 11 (3457,109).</w:t>
      </w:r>
    </w:p>
    <w:p w14:paraId="20D0C7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9470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апреля 1943 в составе 1-го ГМТАП на Балтике имелось 10 Ил-4, шесть СБ, три ДБ-3Б и восемь только что полученных «Бостонов» (один неисправный оставался в Мурманске). Большинство опытных пилотов попало в перегоночную команду, и в течение месяца дважды вылетали в Красноярск за новыми партиями американских машин (9965).</w:t>
      </w:r>
    </w:p>
    <w:p w14:paraId="4DAF9E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5DB2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апреля 1943 в составе 1 ГМТАП имелось 3 ДБ-ЗБ, 10 Ил-4, 6 СБ и 8 только что полученных "Бостонов" (один из них, неисправный, оставался в Мурманске). Большинство опытных пилотов попали в перегоночную команду и в течение ближайших месяцев дважды вылетали 8 Красноярск за новыми партиями американских машин. С учетом этого боевая деятельность части не могла быть слишком интенсивной. 15 апреля, впервые с декабря 1942 г., два торпедоносца вылетели на "свободную охоту", но, ничего не обнаружив, вернулись в базу. С таким же результатом закончилось и подавляющее большинство других вылетов в тот месяц. Единственная атака состоялась 16-го, когда один из "илов" безуспешно сбросил торпеду по небольшому транспорту (возможно, остову транспорта "Эстиранд") у острова Прангли. Подобный результат не удивляет - помимо того, что в части отсутствовали наиболее опытные летчики, сама отправка торпедоносцев в Финский залив была обречена на безуспешность. Дело в том, что противник не осуществлял перевозок по заливу восточнее меридиана Таллина, за исключением финских шхер, куда наши самолеты не посылались. Что же касается борьбы с минными и сетевыми заградителями, то они выходили на свои постановки по ночам или в условиях плохой видимости, и нам ни разу не удалось застигнуть их в море. К середине месяца немцы и финны завершили создание противолодочного рубежа в западной части залива и с 14 апреля приступили к подновлению минных полей в районе острова Гогланд. Помешать им наличными силами мы не могли (12002).</w:t>
      </w:r>
    </w:p>
    <w:p w14:paraId="569329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Движение самолетов Ил-4, ДБ-ЗБ и А-20 в 1-м гмтап в 1943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860B4B" w:rsidRPr="00D03F3E" w14:paraId="2C7048B5" w14:textId="77777777">
        <w:tc>
          <w:tcPr>
            <w:tcW w:w="2242" w:type="dxa"/>
            <w:tcBorders>
              <w:top w:val="single" w:sz="12" w:space="0" w:color="auto"/>
            </w:tcBorders>
          </w:tcPr>
          <w:p w14:paraId="66A4A5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Месяц</w:t>
            </w:r>
          </w:p>
        </w:tc>
        <w:tc>
          <w:tcPr>
            <w:tcW w:w="2242" w:type="dxa"/>
            <w:tcBorders>
              <w:top w:val="single" w:sz="12" w:space="0" w:color="auto"/>
            </w:tcBorders>
          </w:tcPr>
          <w:p w14:paraId="556DE5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наличие на 1-е число</w:t>
            </w:r>
          </w:p>
        </w:tc>
        <w:tc>
          <w:tcPr>
            <w:tcW w:w="2242" w:type="dxa"/>
            <w:tcBorders>
              <w:top w:val="single" w:sz="12" w:space="0" w:color="auto"/>
            </w:tcBorders>
          </w:tcPr>
          <w:p w14:paraId="7400F2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Поступление*</w:t>
            </w:r>
          </w:p>
        </w:tc>
        <w:tc>
          <w:tcPr>
            <w:tcW w:w="2242" w:type="dxa"/>
            <w:tcBorders>
              <w:top w:val="single" w:sz="12" w:space="0" w:color="auto"/>
            </w:tcBorders>
          </w:tcPr>
          <w:p w14:paraId="6374B2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Потери боевые/эксплуатационные</w:t>
            </w:r>
          </w:p>
        </w:tc>
        <w:tc>
          <w:tcPr>
            <w:tcW w:w="2242" w:type="dxa"/>
            <w:tcBorders>
              <w:top w:val="single" w:sz="12" w:space="0" w:color="auto"/>
            </w:tcBorders>
          </w:tcPr>
          <w:p w14:paraId="0EF01C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Отвод</w:t>
            </w:r>
          </w:p>
        </w:tc>
      </w:tr>
      <w:tr w:rsidR="00860B4B" w:rsidRPr="00D03F3E" w14:paraId="4862A3DF" w14:textId="77777777">
        <w:tc>
          <w:tcPr>
            <w:tcW w:w="2242" w:type="dxa"/>
          </w:tcPr>
          <w:p w14:paraId="6AA20D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65ED38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ИЛ-4+ДБ-ЗБ+А-20</w:t>
            </w:r>
          </w:p>
        </w:tc>
        <w:tc>
          <w:tcPr>
            <w:tcW w:w="2242" w:type="dxa"/>
          </w:tcPr>
          <w:p w14:paraId="589F4A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ИЛ-4+ДБ-ЗБ+А-20</w:t>
            </w:r>
          </w:p>
        </w:tc>
        <w:tc>
          <w:tcPr>
            <w:tcW w:w="2242" w:type="dxa"/>
          </w:tcPr>
          <w:p w14:paraId="71FAAD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Ил-4+ДБ-ЗБ+А-20</w:t>
            </w:r>
          </w:p>
        </w:tc>
        <w:tc>
          <w:tcPr>
            <w:tcW w:w="2242" w:type="dxa"/>
          </w:tcPr>
          <w:p w14:paraId="38D46C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ИЛ-4+ДБ-ЗБ+А-20</w:t>
            </w:r>
          </w:p>
        </w:tc>
      </w:tr>
      <w:tr w:rsidR="00860B4B" w:rsidRPr="00D03F3E" w14:paraId="7E1F1598" w14:textId="77777777">
        <w:tc>
          <w:tcPr>
            <w:tcW w:w="2242" w:type="dxa"/>
          </w:tcPr>
          <w:p w14:paraId="0B3586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1.43</w:t>
            </w:r>
          </w:p>
        </w:tc>
        <w:tc>
          <w:tcPr>
            <w:tcW w:w="2242" w:type="dxa"/>
          </w:tcPr>
          <w:p w14:paraId="1F7839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7+3+0</w:t>
            </w:r>
          </w:p>
        </w:tc>
        <w:tc>
          <w:tcPr>
            <w:tcW w:w="2242" w:type="dxa"/>
          </w:tcPr>
          <w:p w14:paraId="623DE3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242" w:type="dxa"/>
          </w:tcPr>
          <w:p w14:paraId="7B49C3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c>
          <w:tcPr>
            <w:tcW w:w="2242" w:type="dxa"/>
          </w:tcPr>
          <w:p w14:paraId="57EB6F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B6CA347" w14:textId="77777777">
        <w:tc>
          <w:tcPr>
            <w:tcW w:w="2242" w:type="dxa"/>
          </w:tcPr>
          <w:p w14:paraId="098C56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2.43</w:t>
            </w:r>
          </w:p>
        </w:tc>
        <w:tc>
          <w:tcPr>
            <w:tcW w:w="2242" w:type="dxa"/>
          </w:tcPr>
          <w:p w14:paraId="67DA08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6+3+0</w:t>
            </w:r>
          </w:p>
        </w:tc>
        <w:tc>
          <w:tcPr>
            <w:tcW w:w="2242" w:type="dxa"/>
          </w:tcPr>
          <w:p w14:paraId="327A55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0+1+0</w:t>
            </w:r>
          </w:p>
        </w:tc>
        <w:tc>
          <w:tcPr>
            <w:tcW w:w="2242" w:type="dxa"/>
          </w:tcPr>
          <w:p w14:paraId="1A38F8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0+1+0/-</w:t>
            </w:r>
          </w:p>
        </w:tc>
        <w:tc>
          <w:tcPr>
            <w:tcW w:w="2242" w:type="dxa"/>
          </w:tcPr>
          <w:p w14:paraId="16A6E3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AEAF376" w14:textId="77777777">
        <w:tc>
          <w:tcPr>
            <w:tcW w:w="2242" w:type="dxa"/>
          </w:tcPr>
          <w:p w14:paraId="31C09B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3.43</w:t>
            </w:r>
          </w:p>
        </w:tc>
        <w:tc>
          <w:tcPr>
            <w:tcW w:w="2242" w:type="dxa"/>
          </w:tcPr>
          <w:p w14:paraId="4515C8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6+3+0</w:t>
            </w:r>
          </w:p>
        </w:tc>
        <w:tc>
          <w:tcPr>
            <w:tcW w:w="2242" w:type="dxa"/>
          </w:tcPr>
          <w:p w14:paraId="6FAA94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5+0+8</w:t>
            </w:r>
          </w:p>
        </w:tc>
        <w:tc>
          <w:tcPr>
            <w:tcW w:w="2242" w:type="dxa"/>
          </w:tcPr>
          <w:p w14:paraId="7E1FBE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242" w:type="dxa"/>
          </w:tcPr>
          <w:p w14:paraId="22D971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r>
      <w:tr w:rsidR="00860B4B" w:rsidRPr="00D03F3E" w14:paraId="20DB4621" w14:textId="77777777">
        <w:tc>
          <w:tcPr>
            <w:tcW w:w="2242" w:type="dxa"/>
          </w:tcPr>
          <w:p w14:paraId="728AA1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4.43</w:t>
            </w:r>
          </w:p>
        </w:tc>
        <w:tc>
          <w:tcPr>
            <w:tcW w:w="2242" w:type="dxa"/>
          </w:tcPr>
          <w:p w14:paraId="4B6D13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10+3+8</w:t>
            </w:r>
          </w:p>
        </w:tc>
        <w:tc>
          <w:tcPr>
            <w:tcW w:w="2242" w:type="dxa"/>
          </w:tcPr>
          <w:p w14:paraId="3299B4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242" w:type="dxa"/>
          </w:tcPr>
          <w:p w14:paraId="4D9E85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242" w:type="dxa"/>
          </w:tcPr>
          <w:p w14:paraId="557C69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0+0+7</w:t>
            </w:r>
          </w:p>
        </w:tc>
      </w:tr>
      <w:tr w:rsidR="00860B4B" w:rsidRPr="00D03F3E" w14:paraId="6B69368A" w14:textId="77777777">
        <w:tc>
          <w:tcPr>
            <w:tcW w:w="2242" w:type="dxa"/>
          </w:tcPr>
          <w:p w14:paraId="171E19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5.43</w:t>
            </w:r>
          </w:p>
        </w:tc>
        <w:tc>
          <w:tcPr>
            <w:tcW w:w="2242" w:type="dxa"/>
          </w:tcPr>
          <w:p w14:paraId="78C943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10+3+1</w:t>
            </w:r>
          </w:p>
        </w:tc>
        <w:tc>
          <w:tcPr>
            <w:tcW w:w="2242" w:type="dxa"/>
          </w:tcPr>
          <w:p w14:paraId="5C279B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c>
          <w:tcPr>
            <w:tcW w:w="2242" w:type="dxa"/>
          </w:tcPr>
          <w:p w14:paraId="767F45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tc>
        <w:tc>
          <w:tcPr>
            <w:tcW w:w="2242" w:type="dxa"/>
          </w:tcPr>
          <w:p w14:paraId="0B9EEF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w:t>
            </w:r>
          </w:p>
        </w:tc>
      </w:tr>
      <w:tr w:rsidR="00860B4B" w:rsidRPr="00D03F3E" w14:paraId="7E8CA968" w14:textId="77777777">
        <w:tc>
          <w:tcPr>
            <w:tcW w:w="2242" w:type="dxa"/>
          </w:tcPr>
          <w:p w14:paraId="3E5E3B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6.43</w:t>
            </w:r>
          </w:p>
        </w:tc>
        <w:tc>
          <w:tcPr>
            <w:tcW w:w="2242" w:type="dxa"/>
          </w:tcPr>
          <w:p w14:paraId="401C8E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7+0+1</w:t>
            </w:r>
          </w:p>
        </w:tc>
        <w:tc>
          <w:tcPr>
            <w:tcW w:w="2242" w:type="dxa"/>
          </w:tcPr>
          <w:p w14:paraId="2286A8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1+2+10</w:t>
            </w:r>
          </w:p>
        </w:tc>
        <w:tc>
          <w:tcPr>
            <w:tcW w:w="2242" w:type="dxa"/>
          </w:tcPr>
          <w:p w14:paraId="23043F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c>
          <w:tcPr>
            <w:tcW w:w="2242" w:type="dxa"/>
          </w:tcPr>
          <w:p w14:paraId="750291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6610ABED" w14:textId="77777777">
        <w:tc>
          <w:tcPr>
            <w:tcW w:w="2242" w:type="dxa"/>
          </w:tcPr>
          <w:p w14:paraId="754BFF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7.43</w:t>
            </w:r>
          </w:p>
        </w:tc>
        <w:tc>
          <w:tcPr>
            <w:tcW w:w="2242" w:type="dxa"/>
          </w:tcPr>
          <w:p w14:paraId="7FA05F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7+2+11</w:t>
            </w:r>
          </w:p>
        </w:tc>
        <w:tc>
          <w:tcPr>
            <w:tcW w:w="2242" w:type="dxa"/>
          </w:tcPr>
          <w:p w14:paraId="466A01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0+1+5</w:t>
            </w:r>
          </w:p>
        </w:tc>
        <w:tc>
          <w:tcPr>
            <w:tcW w:w="2242" w:type="dxa"/>
          </w:tcPr>
          <w:p w14:paraId="6BCF59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242" w:type="dxa"/>
          </w:tcPr>
          <w:p w14:paraId="0CA30C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0+0+1</w:t>
            </w:r>
          </w:p>
        </w:tc>
      </w:tr>
      <w:tr w:rsidR="00860B4B" w:rsidRPr="00D03F3E" w14:paraId="5398EDAA" w14:textId="77777777">
        <w:tc>
          <w:tcPr>
            <w:tcW w:w="2242" w:type="dxa"/>
          </w:tcPr>
          <w:p w14:paraId="28A07E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8.43</w:t>
            </w:r>
          </w:p>
        </w:tc>
        <w:tc>
          <w:tcPr>
            <w:tcW w:w="2242" w:type="dxa"/>
          </w:tcPr>
          <w:p w14:paraId="303371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7+3+15</w:t>
            </w:r>
          </w:p>
        </w:tc>
        <w:tc>
          <w:tcPr>
            <w:tcW w:w="2242" w:type="dxa"/>
          </w:tcPr>
          <w:p w14:paraId="409100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0+0+10</w:t>
            </w:r>
          </w:p>
        </w:tc>
        <w:tc>
          <w:tcPr>
            <w:tcW w:w="2242" w:type="dxa"/>
          </w:tcPr>
          <w:p w14:paraId="15C7A1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242" w:type="dxa"/>
          </w:tcPr>
          <w:p w14:paraId="269595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0A64E57B" w14:textId="77777777">
        <w:tc>
          <w:tcPr>
            <w:tcW w:w="2242" w:type="dxa"/>
          </w:tcPr>
          <w:p w14:paraId="2CE27F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9.43</w:t>
            </w:r>
          </w:p>
        </w:tc>
        <w:tc>
          <w:tcPr>
            <w:tcW w:w="2242" w:type="dxa"/>
          </w:tcPr>
          <w:p w14:paraId="084FBA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7+3+25</w:t>
            </w:r>
          </w:p>
        </w:tc>
        <w:tc>
          <w:tcPr>
            <w:tcW w:w="2242" w:type="dxa"/>
          </w:tcPr>
          <w:p w14:paraId="75A013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c>
          <w:tcPr>
            <w:tcW w:w="2242" w:type="dxa"/>
          </w:tcPr>
          <w:p w14:paraId="192866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0+0+2/0+0+1</w:t>
            </w:r>
          </w:p>
        </w:tc>
        <w:tc>
          <w:tcPr>
            <w:tcW w:w="2242" w:type="dxa"/>
          </w:tcPr>
          <w:p w14:paraId="3DF8BC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r>
      <w:tr w:rsidR="00860B4B" w:rsidRPr="00D03F3E" w14:paraId="215AE001" w14:textId="77777777">
        <w:tc>
          <w:tcPr>
            <w:tcW w:w="2242" w:type="dxa"/>
          </w:tcPr>
          <w:p w14:paraId="5BC444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10.43</w:t>
            </w:r>
          </w:p>
        </w:tc>
        <w:tc>
          <w:tcPr>
            <w:tcW w:w="2242" w:type="dxa"/>
          </w:tcPr>
          <w:p w14:paraId="138F36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7+3+22</w:t>
            </w:r>
          </w:p>
        </w:tc>
        <w:tc>
          <w:tcPr>
            <w:tcW w:w="2242" w:type="dxa"/>
          </w:tcPr>
          <w:p w14:paraId="7826B2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242" w:type="dxa"/>
          </w:tcPr>
          <w:p w14:paraId="7F89BC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0+0+2/0+0+1</w:t>
            </w:r>
          </w:p>
        </w:tc>
        <w:tc>
          <w:tcPr>
            <w:tcW w:w="2242" w:type="dxa"/>
          </w:tcPr>
          <w:p w14:paraId="62102B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0D3E1685" w14:textId="77777777">
        <w:tc>
          <w:tcPr>
            <w:tcW w:w="2242" w:type="dxa"/>
          </w:tcPr>
          <w:p w14:paraId="365039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11.43</w:t>
            </w:r>
          </w:p>
        </w:tc>
        <w:tc>
          <w:tcPr>
            <w:tcW w:w="2242" w:type="dxa"/>
          </w:tcPr>
          <w:p w14:paraId="3EB95F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7+3+19</w:t>
            </w:r>
          </w:p>
        </w:tc>
        <w:tc>
          <w:tcPr>
            <w:tcW w:w="2242" w:type="dxa"/>
          </w:tcPr>
          <w:p w14:paraId="688EA0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tc>
        <w:tc>
          <w:tcPr>
            <w:tcW w:w="2242" w:type="dxa"/>
          </w:tcPr>
          <w:p w14:paraId="42A5C3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1+0+1/-</w:t>
            </w:r>
          </w:p>
        </w:tc>
        <w:tc>
          <w:tcPr>
            <w:tcW w:w="2242" w:type="dxa"/>
          </w:tcPr>
          <w:p w14:paraId="6C54D3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11978AA4" w14:textId="77777777">
        <w:tc>
          <w:tcPr>
            <w:tcW w:w="2242" w:type="dxa"/>
          </w:tcPr>
          <w:p w14:paraId="21F29D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12.43</w:t>
            </w:r>
          </w:p>
        </w:tc>
        <w:tc>
          <w:tcPr>
            <w:tcW w:w="2242" w:type="dxa"/>
          </w:tcPr>
          <w:p w14:paraId="7392C4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10+3+18</w:t>
            </w:r>
          </w:p>
        </w:tc>
        <w:tc>
          <w:tcPr>
            <w:tcW w:w="2242" w:type="dxa"/>
          </w:tcPr>
          <w:p w14:paraId="608179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242" w:type="dxa"/>
          </w:tcPr>
          <w:p w14:paraId="62208C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-/0+0+1</w:t>
            </w:r>
          </w:p>
        </w:tc>
        <w:tc>
          <w:tcPr>
            <w:tcW w:w="2242" w:type="dxa"/>
          </w:tcPr>
          <w:p w14:paraId="15BD13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1+0+4</w:t>
            </w:r>
          </w:p>
        </w:tc>
      </w:tr>
      <w:tr w:rsidR="00860B4B" w:rsidRPr="00D03F3E" w14:paraId="76437B2C" w14:textId="77777777">
        <w:tc>
          <w:tcPr>
            <w:tcW w:w="2242" w:type="dxa"/>
            <w:tcBorders>
              <w:bottom w:val="single" w:sz="12" w:space="0" w:color="auto"/>
            </w:tcBorders>
          </w:tcPr>
          <w:p w14:paraId="7DAE5E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1943</w:t>
            </w:r>
          </w:p>
        </w:tc>
        <w:tc>
          <w:tcPr>
            <w:tcW w:w="2242" w:type="dxa"/>
            <w:tcBorders>
              <w:bottom w:val="single" w:sz="12" w:space="0" w:color="auto"/>
            </w:tcBorders>
          </w:tcPr>
          <w:p w14:paraId="257181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0E8AE0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12+4+33</w:t>
            </w:r>
          </w:p>
        </w:tc>
        <w:tc>
          <w:tcPr>
            <w:tcW w:w="2242" w:type="dxa"/>
            <w:tcBorders>
              <w:bottom w:val="single" w:sz="12" w:space="0" w:color="auto"/>
            </w:tcBorders>
          </w:tcPr>
          <w:p w14:paraId="00C58C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2+1+5/4+0+3</w:t>
            </w:r>
          </w:p>
        </w:tc>
        <w:tc>
          <w:tcPr>
            <w:tcW w:w="2242" w:type="dxa"/>
            <w:tcBorders>
              <w:bottom w:val="single" w:sz="12" w:space="0" w:color="auto"/>
            </w:tcBorders>
          </w:tcPr>
          <w:p w14:paraId="35AE2E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4+3+12</w:t>
            </w:r>
          </w:p>
        </w:tc>
      </w:tr>
    </w:tbl>
    <w:p w14:paraId="15D937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 ' За исключением 5 Ил-4, полученных в марте, и 3, полученных в ноябре из 1-го запасного авиаполка, все остальные машины поступали в часть из ремонтных органов. Туда же в подавляющем большинстве случаев осуществлялся и отвод самолетов Ил-4; 8 "Бостон-3" получены 10.3.1943 в Ваенге, после чего 7 перегнано на КБФ. 7 "Бостон-3" в апреле и 1 в июле переданы в 15-й орап. С июня самолеты типа А-20Ж поступали из Красноярска. Кроме того, в полку до октября имелись самолеты типа СБ (7 на 1.1.1943, 1 СБ и 2 УСБ на 1.10.1943).</w:t>
      </w:r>
    </w:p>
    <w:p w14:paraId="494548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F5E9C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1943 начальником политотдела 18-й советской армии назначен Леонид Брежнев (4962).</w:t>
      </w:r>
    </w:p>
    <w:p w14:paraId="5215866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D0F4F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515325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D014D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1943 немецкие солдаты обнаружили в Катынском лесу под Смоленском массовые захоронения расстрелянных польских офицеров (4962).</w:t>
      </w:r>
    </w:p>
    <w:p w14:paraId="32BDB16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4AFE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1943 немцы обнаружили в Катынском лесу под Смоленском массовые захоронения (больше 4000 убитых польских офицеров - узников концлагеря для польских военнопленных) (3186).</w:t>
      </w:r>
    </w:p>
    <w:p w14:paraId="0221B8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BEB58E" w14:textId="77777777" w:rsidR="00832B4C"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4947E14E" w14:textId="77777777" w:rsidR="00832B4C" w:rsidRPr="00D03F3E" w:rsidRDefault="00832B4C"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9B3A36"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в 1943 году совершил первый полет немецкий дальний морской разведчик «Blohm und Voss» «BV.222» «Wiking» в качестве прототипа «ВV.222С» (15086).</w:t>
      </w:r>
    </w:p>
    <w:p w14:paraId="0F151165" w14:textId="77777777" w:rsidR="00832B4C" w:rsidRPr="00D03F3E" w:rsidRDefault="00832B4C" w:rsidP="00D03F3E">
      <w:pPr>
        <w:spacing w:after="0" w:line="240" w:lineRule="auto"/>
        <w:jc w:val="both"/>
        <w:rPr>
          <w:rFonts w:ascii="Times New Roman" w:hAnsi="Times New Roman"/>
          <w:color w:val="000000" w:themeColor="text1"/>
          <w:sz w:val="16"/>
          <w:szCs w:val="16"/>
        </w:rPr>
      </w:pPr>
    </w:p>
    <w:p w14:paraId="6ACE2091" w14:textId="77777777" w:rsidR="00D20F8F" w:rsidRPr="00D03F3E" w:rsidRDefault="00D20F8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апреля 1943 первый полет Накадзима Ки-84 Хаяте (" Гейл "), союзное имя "Франк" (20376).</w:t>
      </w:r>
    </w:p>
    <w:p w14:paraId="00C43DE3" w14:textId="77777777" w:rsidR="00D20F8F" w:rsidRPr="00D03F3E" w:rsidRDefault="00D20F8F" w:rsidP="00D03F3E">
      <w:pPr>
        <w:spacing w:after="0" w:line="240" w:lineRule="auto"/>
        <w:jc w:val="both"/>
        <w:rPr>
          <w:rFonts w:ascii="Times New Roman" w:hAnsi="Times New Roman"/>
          <w:color w:val="0070C0"/>
          <w:sz w:val="16"/>
          <w:szCs w:val="16"/>
        </w:rPr>
      </w:pPr>
    </w:p>
    <w:p w14:paraId="242C2B3B" w14:textId="77777777" w:rsidR="00D20F8F" w:rsidRPr="00D03F3E" w:rsidRDefault="00D20F8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апреля 1943 императорский флот Японии начинает операцию по наземно-воздушному наступлению над Соломоновыми островами и Новой Гвинеей, с атаки 58 японских истребителей Mitsubishi A6M Zeroes из Рабаула вниз по проливу Нью-Джорджия в направлении Гуадалканала. Над островами Рассела их перехватывают 41 американский истребитель F4F Wildcats, F4U Corsair и P-38 Lightning. Японцы теряют 18 зеро в обмен на шесть американских истребителей (20376).</w:t>
      </w:r>
    </w:p>
    <w:p w14:paraId="4D833A05" w14:textId="77777777" w:rsidR="00D20F8F" w:rsidRPr="00D03F3E" w:rsidRDefault="00D20F8F" w:rsidP="00D03F3E">
      <w:pPr>
        <w:spacing w:after="0" w:line="240" w:lineRule="auto"/>
        <w:jc w:val="both"/>
        <w:rPr>
          <w:rFonts w:ascii="Times New Roman" w:hAnsi="Times New Roman"/>
          <w:color w:val="0070C0"/>
          <w:sz w:val="16"/>
          <w:szCs w:val="16"/>
        </w:rPr>
      </w:pPr>
    </w:p>
    <w:p w14:paraId="3E55A583" w14:textId="77777777" w:rsidR="00D20F8F" w:rsidRPr="00D03F3E" w:rsidRDefault="00D20F8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1–2 апреля 1943 бомбардировщики 5-го флота военно-воздушных сил США атакуют японский конвой, направлявшийся в Кавиенг, потопив торговое судно и повредив тяжелый крейсер «Аоба» и эсминец. Аоба больше никогда не сможет идти на максимальной скорости (20376).</w:t>
      </w:r>
    </w:p>
    <w:p w14:paraId="76BB684E" w14:textId="77777777" w:rsidR="00D20F8F" w:rsidRPr="00D03F3E" w:rsidRDefault="00D20F8F" w:rsidP="00D03F3E">
      <w:pPr>
        <w:spacing w:after="0" w:line="240" w:lineRule="auto"/>
        <w:jc w:val="both"/>
        <w:rPr>
          <w:rFonts w:ascii="Times New Roman" w:hAnsi="Times New Roman"/>
          <w:color w:val="0070C0"/>
          <w:sz w:val="16"/>
          <w:szCs w:val="16"/>
        </w:rPr>
      </w:pPr>
    </w:p>
    <w:p w14:paraId="3649191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2D5594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2AFA9A"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2 апреля 1943 главный инженер ВВС КА генерал-лейтенант А. К. Репины утвердил отчет по результатам испытаний Ил-2 (зав. № 301379) с 2 37-мм пушками 11П. </w:t>
      </w:r>
    </w:p>
    <w:p w14:paraId="56DCAED9"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11 февраля 1943 закончились пспытания одного из наиболее доведенных по вооружению самолетов Ил-2 (зав. № 301379) с 2 37-мм пушками 11П, который официально был принят для прохождения полигонных испытаний в НИП АВ ВВС 26 января 1943 г.</w:t>
      </w:r>
    </w:p>
    <w:p w14:paraId="6B2CB0EB"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 следующий день материалы отчета были направлены в заинтересо</w:t>
      </w:r>
      <w:r w:rsidRPr="00D03F3E">
        <w:rPr>
          <w:color w:val="000000" w:themeColor="text1"/>
          <w:sz w:val="16"/>
          <w:szCs w:val="16"/>
        </w:rPr>
        <w:softHyphen/>
        <w:t>ванные организации: начальнику 7-го ГУ НКАП, на</w:t>
      </w:r>
      <w:r w:rsidRPr="00D03F3E">
        <w:rPr>
          <w:color w:val="000000" w:themeColor="text1"/>
          <w:sz w:val="16"/>
          <w:szCs w:val="16"/>
        </w:rPr>
        <w:softHyphen/>
        <w:t>чальнику ГУЗ ВВС, главным конструкторам ОКБ-16 и ОКБ-240, директорам и военпредам заводов № 18 и № 30, в Технический совет НКВ.</w:t>
      </w:r>
    </w:p>
    <w:p w14:paraId="2C8C0B67"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Самолет испытывался специалистами 1-го отдела полигона под руководством инженер-пол</w:t>
      </w:r>
      <w:r w:rsidRPr="00D03F3E">
        <w:rPr>
          <w:color w:val="000000" w:themeColor="text1"/>
          <w:sz w:val="16"/>
          <w:szCs w:val="16"/>
        </w:rPr>
        <w:softHyphen/>
        <w:t>ковника Филиппова. Ведущим инженером по ис</w:t>
      </w:r>
      <w:r w:rsidRPr="00D03F3E">
        <w:rPr>
          <w:color w:val="000000" w:themeColor="text1"/>
          <w:sz w:val="16"/>
          <w:szCs w:val="16"/>
        </w:rPr>
        <w:softHyphen/>
        <w:t>пытаниям был назначен инженер-майор С. В. Не</w:t>
      </w:r>
      <w:r w:rsidRPr="00D03F3E">
        <w:rPr>
          <w:color w:val="000000" w:themeColor="text1"/>
          <w:sz w:val="16"/>
          <w:szCs w:val="16"/>
        </w:rPr>
        <w:softHyphen/>
        <w:t>смеянов, помощником ведущего инженера — старший техник-лейтенант А. Г. Губин, ведущим летчиком — майор Н. И. Звонарев. От промыш</w:t>
      </w:r>
      <w:r w:rsidRPr="00D03F3E">
        <w:rPr>
          <w:color w:val="000000" w:themeColor="text1"/>
          <w:sz w:val="16"/>
          <w:szCs w:val="16"/>
        </w:rPr>
        <w:softHyphen/>
        <w:t>ленности в испытаниях участвовали: начальник ОКБ-16 А. Э. Нудельман, начальник сборочного цеха ОКБ-16 Д. Ф. Исаков, конструктор ОКБ-240 С. А.</w:t>
      </w:r>
    </w:p>
    <w:p w14:paraId="139E34C7"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 самолете были установлены пушки 11П зав. № 558 (левая) и № 547 (правая), изготовленные за</w:t>
      </w:r>
      <w:r w:rsidRPr="00D03F3E">
        <w:rPr>
          <w:color w:val="000000" w:themeColor="text1"/>
          <w:sz w:val="16"/>
          <w:szCs w:val="16"/>
        </w:rPr>
        <w:softHyphen/>
        <w:t>водом № 74 НКВ. Боекомплект к пушкам включал 110 снарядов, стрелковый прицел — ВВ-1, лента — рассыпное звено. Управление огнем пневматиче</w:t>
      </w:r>
      <w:r w:rsidRPr="00D03F3E">
        <w:rPr>
          <w:color w:val="000000" w:themeColor="text1"/>
          <w:sz w:val="16"/>
          <w:szCs w:val="16"/>
        </w:rPr>
        <w:softHyphen/>
        <w:t>ское с механическим дублером от гашетки, рас</w:t>
      </w:r>
      <w:r w:rsidRPr="00D03F3E">
        <w:rPr>
          <w:color w:val="000000" w:themeColor="text1"/>
          <w:sz w:val="16"/>
          <w:szCs w:val="16"/>
        </w:rPr>
        <w:softHyphen/>
        <w:t>положенной на ручке управления самолетом. При отклонении гашетки на 10—12 мм работает пнев- моспуск. При дальнейшем ее отклонении включа</w:t>
      </w:r>
      <w:r w:rsidRPr="00D03F3E">
        <w:rPr>
          <w:color w:val="000000" w:themeColor="text1"/>
          <w:sz w:val="16"/>
          <w:szCs w:val="16"/>
        </w:rPr>
        <w:softHyphen/>
        <w:t>ется механический спуск. Стрельба одновременная. Перезарядка пушек — пневматическая от баллона с воздухом под давлением 150 атм. через понижа</w:t>
      </w:r>
      <w:r w:rsidRPr="00D03F3E">
        <w:rPr>
          <w:color w:val="000000" w:themeColor="text1"/>
          <w:sz w:val="16"/>
          <w:szCs w:val="16"/>
        </w:rPr>
        <w:softHyphen/>
        <w:t>ющий редуктор до 35 атм.</w:t>
      </w:r>
    </w:p>
    <w:p w14:paraId="375B7F46"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Пушки крепились на 2 точках. Сила отдачи при стрельбе воспринималась передним креплением. Регулировка установки производилась наружными втулками заднего крепления. Гильзы и звенья не собирались и выбрасывались наружу.</w:t>
      </w:r>
    </w:p>
    <w:p w14:paraId="4C2E771F"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испытаний проверялась прочность кре</w:t>
      </w:r>
      <w:r w:rsidRPr="00D03F3E">
        <w:rPr>
          <w:color w:val="000000" w:themeColor="text1"/>
          <w:sz w:val="16"/>
          <w:szCs w:val="16"/>
        </w:rPr>
        <w:softHyphen/>
        <w:t>пления пушек и проводилась оценка влияния стрельбы из пушек на материальную часть само</w:t>
      </w:r>
      <w:r w:rsidRPr="00D03F3E">
        <w:rPr>
          <w:color w:val="000000" w:themeColor="text1"/>
          <w:sz w:val="16"/>
          <w:szCs w:val="16"/>
        </w:rPr>
        <w:softHyphen/>
        <w:t>лета. Стрельба велась на земле и в воздухе по на</w:t>
      </w:r>
      <w:r w:rsidRPr="00D03F3E">
        <w:rPr>
          <w:color w:val="000000" w:themeColor="text1"/>
          <w:sz w:val="16"/>
          <w:szCs w:val="16"/>
        </w:rPr>
        <w:softHyphen/>
        <w:t>земным целям одиночными выстрелами и очере</w:t>
      </w:r>
      <w:r w:rsidRPr="00D03F3E">
        <w:rPr>
          <w:color w:val="000000" w:themeColor="text1"/>
          <w:sz w:val="16"/>
          <w:szCs w:val="16"/>
        </w:rPr>
        <w:softHyphen/>
        <w:t>дями. При стрельбах определялась работа автома</w:t>
      </w:r>
      <w:r w:rsidRPr="00D03F3E">
        <w:rPr>
          <w:color w:val="000000" w:themeColor="text1"/>
          <w:sz w:val="16"/>
          <w:szCs w:val="16"/>
        </w:rPr>
        <w:softHyphen/>
        <w:t>тики пушек «на земле и в воздухе при различных режимах полета самолета», а также «рассеивание и возможность ведения прицельной стрельбы как при одной, так и при двух работающих пуш</w:t>
      </w:r>
      <w:r w:rsidRPr="00D03F3E">
        <w:rPr>
          <w:color w:val="000000" w:themeColor="text1"/>
          <w:sz w:val="16"/>
          <w:szCs w:val="16"/>
        </w:rPr>
        <w:softHyphen/>
        <w:t>ках». Кроме того, оценивались эксплуатационные характеристики пушек и их установок в полете и удобство действия ими как на земле, так и в воз</w:t>
      </w:r>
      <w:r w:rsidRPr="00D03F3E">
        <w:rPr>
          <w:color w:val="000000" w:themeColor="text1"/>
          <w:sz w:val="16"/>
          <w:szCs w:val="16"/>
        </w:rPr>
        <w:softHyphen/>
        <w:t>духе: «постановка, снятие, зарядка, разрядка, чистка, перезарядка, устранение задержек и при</w:t>
      </w:r>
      <w:r w:rsidRPr="00D03F3E">
        <w:rPr>
          <w:color w:val="000000" w:themeColor="text1"/>
          <w:sz w:val="16"/>
          <w:szCs w:val="16"/>
        </w:rPr>
        <w:softHyphen/>
        <w:t>стрелка».</w:t>
      </w:r>
    </w:p>
    <w:p w14:paraId="2D9CC02C"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9 полетах было выполнено 720 выстрелов. Боекомплект к пушкам полностью был отстрелян только в одном полете. Еще 596 выстрелов было сделано на земле. При стрельбах в общей сложно</w:t>
      </w:r>
      <w:r w:rsidRPr="00D03F3E">
        <w:rPr>
          <w:color w:val="000000" w:themeColor="text1"/>
          <w:sz w:val="16"/>
          <w:szCs w:val="16"/>
        </w:rPr>
        <w:softHyphen/>
        <w:t>сти произошло 23 задержки, в том числе 12 — по вине автоматики, 5 — по вине звена, еще 5 — по вине установки, 1 — по неустановленным причи</w:t>
      </w:r>
      <w:r w:rsidRPr="00D03F3E">
        <w:rPr>
          <w:color w:val="000000" w:themeColor="text1"/>
          <w:sz w:val="16"/>
          <w:szCs w:val="16"/>
        </w:rPr>
        <w:softHyphen/>
        <w:t>нам. Из этого числа 5 задержек оказались неустра</w:t>
      </w:r>
      <w:r w:rsidRPr="00D03F3E">
        <w:rPr>
          <w:color w:val="000000" w:themeColor="text1"/>
          <w:sz w:val="16"/>
          <w:szCs w:val="16"/>
        </w:rPr>
        <w:softHyphen/>
        <w:t>нимыми в воздухе. Произошло 3 поломки, замени</w:t>
      </w:r>
      <w:r w:rsidRPr="00D03F3E">
        <w:rPr>
          <w:color w:val="000000" w:themeColor="text1"/>
          <w:sz w:val="16"/>
          <w:szCs w:val="16"/>
        </w:rPr>
        <w:softHyphen/>
        <w:t>ли 4 детали. Причем почти все задержки и поломки произошли на пушке зав. № 547, которая дала 1,5% отказов в работе. После замены деталей и устране</w:t>
      </w:r>
      <w:r w:rsidRPr="00D03F3E">
        <w:rPr>
          <w:color w:val="000000" w:themeColor="text1"/>
          <w:sz w:val="16"/>
          <w:szCs w:val="16"/>
        </w:rPr>
        <w:softHyphen/>
        <w:t>ния дефектов пушка работала вполне удовлетвори</w:t>
      </w:r>
      <w:r w:rsidRPr="00D03F3E">
        <w:rPr>
          <w:color w:val="000000" w:themeColor="text1"/>
          <w:sz w:val="16"/>
          <w:szCs w:val="16"/>
        </w:rPr>
        <w:softHyphen/>
        <w:t>тельно, показав 0,15% задержек, столько же, сколь</w:t>
      </w:r>
      <w:r w:rsidRPr="00D03F3E">
        <w:rPr>
          <w:color w:val="000000" w:themeColor="text1"/>
          <w:sz w:val="16"/>
          <w:szCs w:val="16"/>
        </w:rPr>
        <w:softHyphen/>
        <w:t>ко и пушка зав. № 558.</w:t>
      </w:r>
    </w:p>
    <w:p w14:paraId="71851EA4"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Стрельба в воздухе производилась при гори</w:t>
      </w:r>
      <w:r w:rsidRPr="00D03F3E">
        <w:rPr>
          <w:color w:val="000000" w:themeColor="text1"/>
          <w:sz w:val="16"/>
          <w:szCs w:val="16"/>
        </w:rPr>
        <w:softHyphen/>
        <w:t>зонтальном полете и с пикирования с 500 м под углом 30—40° и виражей — короткими очередями по 3—5 выстрелов.</w:t>
      </w:r>
    </w:p>
    <w:p w14:paraId="1AF55E6F"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Средний темп стрельбы «пушек серийного изго</w:t>
      </w:r>
      <w:r w:rsidRPr="00D03F3E">
        <w:rPr>
          <w:color w:val="000000" w:themeColor="text1"/>
          <w:sz w:val="16"/>
          <w:szCs w:val="16"/>
        </w:rPr>
        <w:softHyphen/>
        <w:t>товления» оказался ниже на 35 выстр./мин по срав</w:t>
      </w:r>
      <w:r w:rsidRPr="00D03F3E">
        <w:rPr>
          <w:color w:val="000000" w:themeColor="text1"/>
          <w:sz w:val="16"/>
          <w:szCs w:val="16"/>
        </w:rPr>
        <w:softHyphen/>
        <w:t>нению с результатом, показанным опытной пушкой 11П, «испытанной в НИП АВ (исх. 0319 от 23.9.42)». От ОКБ-16 и завода № 74 НКВ требовалось поднять темп стрельбы до 292 выстр./мин.</w:t>
      </w:r>
    </w:p>
    <w:p w14:paraId="52348EAE"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заключению ведущего летчика-испытате</w:t>
      </w:r>
      <w:r w:rsidRPr="00D03F3E">
        <w:rPr>
          <w:color w:val="000000" w:themeColor="text1"/>
          <w:sz w:val="16"/>
          <w:szCs w:val="16"/>
        </w:rPr>
        <w:softHyphen/>
        <w:t>ля майора Н. И. Звонарева от 17 февраля 1943 г., «отдача на самолет не отличается от отдачи при стрельбе из пушек ОКБ-15». Отказ одной из пушек «уводит сильно самолет при стрельбе в сторону работающей пушки». При этом «ногой парировать можно, но прицельную стрельбу с прицелом ВВ-1 вести очень трудно, особенно тяжело будет для мо</w:t>
      </w:r>
      <w:r w:rsidRPr="00D03F3E">
        <w:rPr>
          <w:color w:val="000000" w:themeColor="text1"/>
          <w:sz w:val="16"/>
          <w:szCs w:val="16"/>
        </w:rPr>
        <w:softHyphen/>
        <w:t>лодого не натренированного летного состава».</w:t>
      </w:r>
    </w:p>
    <w:p w14:paraId="4552988E"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Звонарев считал, что «для самолета Ил-2, воору</w:t>
      </w:r>
      <w:r w:rsidRPr="00D03F3E">
        <w:rPr>
          <w:color w:val="000000" w:themeColor="text1"/>
          <w:sz w:val="16"/>
          <w:szCs w:val="16"/>
        </w:rPr>
        <w:softHyphen/>
        <w:t>женного пушками 37 мм, целесообразно поставить прицел ПБП-1б, где не требуется совмещать точки прицеливания». Боекомплект 55 снарядов на каж</w:t>
      </w:r>
      <w:r w:rsidRPr="00D03F3E">
        <w:rPr>
          <w:color w:val="000000" w:themeColor="text1"/>
          <w:sz w:val="16"/>
          <w:szCs w:val="16"/>
        </w:rPr>
        <w:softHyphen/>
        <w:t>дую пушку был вполне достаточным. Предлагалось «просить главного конструктора убрать пушки в крыло, возможность есть полная». Кроме того, «гашетки пневмоперезарядки необходимо перене</w:t>
      </w:r>
      <w:r w:rsidRPr="00D03F3E">
        <w:rPr>
          <w:color w:val="000000" w:themeColor="text1"/>
          <w:sz w:val="16"/>
          <w:szCs w:val="16"/>
        </w:rPr>
        <w:softHyphen/>
        <w:t>сти на левую сторону, так как на небольших высо</w:t>
      </w:r>
      <w:r w:rsidRPr="00D03F3E">
        <w:rPr>
          <w:color w:val="000000" w:themeColor="text1"/>
          <w:sz w:val="16"/>
          <w:szCs w:val="16"/>
        </w:rPr>
        <w:softHyphen/>
        <w:t>тах при стрельбе и отказах молодой летный состав не сможет перезарядить пушки (при перезарядке пушек летчик был вынужден брать штурвал в ле</w:t>
      </w:r>
      <w:r w:rsidRPr="00D03F3E">
        <w:rPr>
          <w:color w:val="000000" w:themeColor="text1"/>
          <w:sz w:val="16"/>
          <w:szCs w:val="16"/>
        </w:rPr>
        <w:softHyphen/>
        <w:t>вую руку. —</w:t>
      </w:r>
      <w:r w:rsidRPr="00D03F3E">
        <w:rPr>
          <w:rStyle w:val="BodytextItalic"/>
          <w:i w:val="0"/>
          <w:color w:val="000000" w:themeColor="text1"/>
          <w:sz w:val="16"/>
          <w:szCs w:val="16"/>
        </w:rPr>
        <w:t xml:space="preserve"> Авт.)».</w:t>
      </w:r>
    </w:p>
    <w:p w14:paraId="0CB35648"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выводах отчета по испытаниям указывалось, что «применение 37-мм пушек под плоскостями Ил-2 возможно. Самолет допускает пилотирова</w:t>
      </w:r>
      <w:r w:rsidRPr="00D03F3E">
        <w:rPr>
          <w:color w:val="000000" w:themeColor="text1"/>
          <w:sz w:val="16"/>
          <w:szCs w:val="16"/>
        </w:rPr>
        <w:softHyphen/>
        <w:t>ние на всех режимах полета и ведение прицель</w:t>
      </w:r>
      <w:r w:rsidRPr="00D03F3E">
        <w:rPr>
          <w:color w:val="000000" w:themeColor="text1"/>
          <w:sz w:val="16"/>
          <w:szCs w:val="16"/>
        </w:rPr>
        <w:softHyphen/>
        <w:t>ной стрельбы с пикирования и бреющего полета. Производство стрельбы наиболее целесообразно очередями по 3—4 выстрела, так как при боль</w:t>
      </w:r>
      <w:r w:rsidRPr="00D03F3E">
        <w:rPr>
          <w:color w:val="000000" w:themeColor="text1"/>
          <w:sz w:val="16"/>
          <w:szCs w:val="16"/>
        </w:rPr>
        <w:softHyphen/>
        <w:t>ших очередях самолет сбивается с точки прице</w:t>
      </w:r>
      <w:r w:rsidRPr="00D03F3E">
        <w:rPr>
          <w:color w:val="000000" w:themeColor="text1"/>
          <w:sz w:val="16"/>
          <w:szCs w:val="16"/>
        </w:rPr>
        <w:softHyphen/>
        <w:t>ливания, вследствие неодновременной стрельбы пушек. Прицельную стрельбу из одной крыльевой пушки вести нельзя, так как сбивается линия при</w:t>
      </w:r>
      <w:r w:rsidRPr="00D03F3E">
        <w:rPr>
          <w:color w:val="000000" w:themeColor="text1"/>
          <w:sz w:val="16"/>
          <w:szCs w:val="16"/>
        </w:rPr>
        <w:softHyphen/>
        <w:t>целивания. /.../ Управление огнем обеспечивает работу пушек и в эксплуатации удобно, но требует устранения растяжки тросов спуска. /.../ Питание пушек из патронного ящика не отлажено, что при</w:t>
      </w:r>
      <w:r w:rsidRPr="00D03F3E">
        <w:rPr>
          <w:color w:val="000000" w:themeColor="text1"/>
          <w:sz w:val="16"/>
          <w:szCs w:val="16"/>
        </w:rPr>
        <w:softHyphen/>
        <w:t>водит к задержкам — заклинению ленты в рукаве питания, выпадению патронов из ленты и раннему съему звена с патрона. Недостатком является отсут</w:t>
      </w:r>
      <w:r w:rsidRPr="00D03F3E">
        <w:rPr>
          <w:color w:val="000000" w:themeColor="text1"/>
          <w:sz w:val="16"/>
          <w:szCs w:val="16"/>
        </w:rPr>
        <w:softHyphen/>
        <w:t>ствие сбора гильз и звеньев. /.../ Кольцевой визир ВВ-1 не обеспечивает ведение прицельной стрель</w:t>
      </w:r>
      <w:r w:rsidRPr="00D03F3E">
        <w:rPr>
          <w:color w:val="000000" w:themeColor="text1"/>
          <w:sz w:val="16"/>
          <w:szCs w:val="16"/>
        </w:rPr>
        <w:softHyphen/>
        <w:t>бы ночью. Необходимо установить светящиеся ви</w:t>
      </w:r>
      <w:r w:rsidRPr="00D03F3E">
        <w:rPr>
          <w:color w:val="000000" w:themeColor="text1"/>
          <w:sz w:val="16"/>
          <w:szCs w:val="16"/>
        </w:rPr>
        <w:softHyphen/>
        <w:t>зирные точки или поставить прицел ПБП-1б».</w:t>
      </w:r>
    </w:p>
    <w:p w14:paraId="5701C1B3"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мнению технического состава, «эксплуатация пушек на самолете удобна, за исключением некото</w:t>
      </w:r>
      <w:r w:rsidRPr="00D03F3E">
        <w:rPr>
          <w:color w:val="000000" w:themeColor="text1"/>
          <w:sz w:val="16"/>
          <w:szCs w:val="16"/>
        </w:rPr>
        <w:softHyphen/>
        <w:t>рых неудобств, возникающих при разрядке пушка</w:t>
      </w:r>
      <w:r w:rsidRPr="00D03F3E">
        <w:rPr>
          <w:color w:val="000000" w:themeColor="text1"/>
          <w:sz w:val="16"/>
          <w:szCs w:val="16"/>
        </w:rPr>
        <w:softHyphen/>
        <w:t>ми из-за неудобного подхода к приемникам пушек». Обтекатели пушек необходимо было упрочнить: «На самолете Ил-2 зав. № 301379 обтекатели изго</w:t>
      </w:r>
      <w:r w:rsidRPr="00D03F3E">
        <w:rPr>
          <w:color w:val="000000" w:themeColor="text1"/>
          <w:sz w:val="16"/>
          <w:szCs w:val="16"/>
        </w:rPr>
        <w:softHyphen/>
        <w:t>товлены плохо, заклепки болтаются и выскакивают, в ходе испытаний наблюдалось срезание заклепок и один случай открывания переднего замка право</w:t>
      </w:r>
      <w:r w:rsidRPr="00D03F3E">
        <w:rPr>
          <w:color w:val="000000" w:themeColor="text1"/>
          <w:sz w:val="16"/>
          <w:szCs w:val="16"/>
        </w:rPr>
        <w:softHyphen/>
        <w:t>го обтекателя в полете. Отсутствие контровки гаек кронштейнов заднего переднего крепления пушки приводит к тому, что части при стрельбе отходят, пришлось их подтягивать».</w:t>
      </w:r>
    </w:p>
    <w:p w14:paraId="7970DD0B"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серийном выпуске «установок под пуш</w:t>
      </w:r>
      <w:r w:rsidRPr="00D03F3E">
        <w:rPr>
          <w:color w:val="000000" w:themeColor="text1"/>
          <w:sz w:val="16"/>
          <w:szCs w:val="16"/>
        </w:rPr>
        <w:softHyphen/>
        <w:t>ки 37 мм ОКБ-16 на самолете Ил-2» требовалось «обеспечить удобную разрядку пушек и сбор гильз и звеньев».</w:t>
      </w:r>
    </w:p>
    <w:p w14:paraId="79DCFA36"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Заключение по результатам испытаний гласило, что установка пушек 11П на самолете Ил-2 поли</w:t>
      </w:r>
      <w:r w:rsidRPr="00D03F3E">
        <w:rPr>
          <w:color w:val="000000" w:themeColor="text1"/>
          <w:sz w:val="16"/>
          <w:szCs w:val="16"/>
        </w:rPr>
        <w:softHyphen/>
        <w:t>гонные испытания выдержала. Заводы № 30 НКАП и № 74 НКВ должны были в кратчайший срок устра</w:t>
      </w:r>
      <w:r w:rsidRPr="00D03F3E">
        <w:rPr>
          <w:color w:val="000000" w:themeColor="text1"/>
          <w:sz w:val="16"/>
          <w:szCs w:val="16"/>
        </w:rPr>
        <w:softHyphen/>
        <w:t>нить выявленные при испытаниях дефекты и не</w:t>
      </w:r>
      <w:r w:rsidRPr="00D03F3E">
        <w:rPr>
          <w:color w:val="000000" w:themeColor="text1"/>
          <w:sz w:val="16"/>
          <w:szCs w:val="16"/>
        </w:rPr>
        <w:softHyphen/>
        <w:t>достатки. Считалось целесообразным проведение отстрела серийных 37-мм пушек ОКБ-16 «на живу</w:t>
      </w:r>
      <w:r w:rsidRPr="00D03F3E">
        <w:rPr>
          <w:color w:val="000000" w:themeColor="text1"/>
          <w:sz w:val="16"/>
          <w:szCs w:val="16"/>
        </w:rPr>
        <w:softHyphen/>
        <w:t>честь в связи с выявленной при данных испытаниях недостаточной живучести основных деталей». Од</w:t>
      </w:r>
      <w:r w:rsidRPr="00D03F3E">
        <w:rPr>
          <w:color w:val="000000" w:themeColor="text1"/>
          <w:sz w:val="16"/>
          <w:szCs w:val="16"/>
        </w:rPr>
        <w:softHyphen/>
        <w:t>новременно требовалось «испытать на живучесть установку под пушку 37 мм, так как живучесть при испытаниях не установлена».</w:t>
      </w:r>
    </w:p>
    <w:p w14:paraId="2D77D657"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Заключение подписали: начальник 1-го отделе</w:t>
      </w:r>
      <w:r w:rsidRPr="00D03F3E">
        <w:rPr>
          <w:color w:val="000000" w:themeColor="text1"/>
          <w:sz w:val="16"/>
          <w:szCs w:val="16"/>
        </w:rPr>
        <w:softHyphen/>
        <w:t>ния опытного отдела НИП АВ инженер-полковник Филиппов, ведущий инженер 1-го отделения инже</w:t>
      </w:r>
      <w:r w:rsidRPr="00D03F3E">
        <w:rPr>
          <w:color w:val="000000" w:themeColor="text1"/>
          <w:sz w:val="16"/>
          <w:szCs w:val="16"/>
        </w:rPr>
        <w:softHyphen/>
        <w:t>нер-майор Несмеянов, начальник опытного отдела НИП АВ подполковник Фомин, начальник НИП АВ инженер-полковник Лобачев (17500).</w:t>
      </w:r>
    </w:p>
    <w:p w14:paraId="696690A9" w14:textId="77777777" w:rsidR="00C327FA" w:rsidRPr="00D03F3E" w:rsidRDefault="00C327FA" w:rsidP="00D03F3E">
      <w:pPr>
        <w:spacing w:after="0" w:line="240" w:lineRule="auto"/>
        <w:jc w:val="both"/>
        <w:rPr>
          <w:rFonts w:ascii="Times New Roman" w:hAnsi="Times New Roman"/>
          <w:color w:val="000000" w:themeColor="text1"/>
          <w:sz w:val="16"/>
          <w:szCs w:val="16"/>
        </w:rPr>
      </w:pPr>
    </w:p>
    <w:p w14:paraId="1EC881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апреля 1943 вышел приказ НКАП N 186сс:</w:t>
      </w:r>
    </w:p>
    <w:p w14:paraId="0D0BD1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ГКО постановлением № от 29 марта 1943 в связи с недостатком существующих мощностей радиозаводов по выпуску авиационной радиоаппаратуры разрешил НКАП временно до 1 июля с.г...., приказываю:</w:t>
      </w:r>
    </w:p>
    <w:p w14:paraId="197F45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на каждый истребительный самолет устанавливать радиоприемник и на каждый 5-й с-т приемо-передатчик РСИ-4</w:t>
      </w:r>
    </w:p>
    <w:p w14:paraId="429688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на каждый Ил-2 устанавливать радиоприемник и на каждый 5-й с-т РПК-10 в комплекте с приемо-передатчиком РСИ-4</w:t>
      </w:r>
    </w:p>
    <w:p w14:paraId="23F098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Подписал А.И.Ш. (925,180).</w:t>
      </w:r>
    </w:p>
    <w:p w14:paraId="601749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764A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апреля 1943 было получено письмо N 4048 Гл. конструктора А.Н.Туполева Шахурину.</w:t>
      </w:r>
    </w:p>
    <w:p w14:paraId="6D276A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Настоящим сообщаю результаты двух полетов на опытном самолете Ту-2 с М-82 в г. Омске:</w:t>
      </w:r>
    </w:p>
    <w:p w14:paraId="1C29EE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Полеты произведены после того как на самолет были поставлены магнето повышенной высотности (переделка выполнена согласно вашего распоряжения) и новые моторы М-82 с нагнетателями имеющими 11 лопаток вместо 22-х, но со старыми серийными карбюраторами.</w:t>
      </w:r>
    </w:p>
    <w:p w14:paraId="0FBFB7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полете на 2-ой скорости пользовались ручным регулятором богатства смеси. На самолете проведены работы по уплотнению капотов и мелкие улучшения. Все цифры скоростей получены на нормальном наддуве 950 мм рт/ст.</w:t>
      </w:r>
    </w:p>
    <w:p w14:paraId="48E2A1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Сейчас ставим карбюраторы доработанные ЦИАМ и будут сняты скорости на наддуве 140 мм рт/ст. Полеты будут возобновлены 4 апреля.</w:t>
      </w:r>
    </w:p>
    <w:p w14:paraId="395B4E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Результаты полета следующие:</w:t>
      </w:r>
    </w:p>
    <w:p w14:paraId="7ED791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сравнения даем график данных войсковых испытаний в НИИ ВВС серийного самолета Ту-2 N 308).</w:t>
      </w:r>
    </w:p>
    <w:p w14:paraId="2EF2D7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Результаты полетов.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268"/>
        <w:gridCol w:w="2835"/>
        <w:gridCol w:w="2977"/>
      </w:tblGrid>
      <w:tr w:rsidR="00860B4B" w:rsidRPr="00D03F3E" w14:paraId="00DD71AE" w14:textId="77777777">
        <w:tc>
          <w:tcPr>
            <w:tcW w:w="2518" w:type="dxa"/>
          </w:tcPr>
          <w:p w14:paraId="35530E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Скорости и высоты</w:t>
            </w:r>
          </w:p>
        </w:tc>
        <w:tc>
          <w:tcPr>
            <w:tcW w:w="2268" w:type="dxa"/>
          </w:tcPr>
          <w:p w14:paraId="4E545F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Полученные скорости</w:t>
            </w:r>
          </w:p>
        </w:tc>
        <w:tc>
          <w:tcPr>
            <w:tcW w:w="2835" w:type="dxa"/>
          </w:tcPr>
          <w:p w14:paraId="15D6A7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77" w:type="dxa"/>
          </w:tcPr>
          <w:p w14:paraId="66E52C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Результаты</w:t>
            </w:r>
          </w:p>
        </w:tc>
      </w:tr>
      <w:tr w:rsidR="00860B4B" w:rsidRPr="00D03F3E" w14:paraId="73E63E26" w14:textId="77777777">
        <w:tc>
          <w:tcPr>
            <w:tcW w:w="2518" w:type="dxa"/>
          </w:tcPr>
          <w:p w14:paraId="4A5EC8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14B0B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Ту-2</w:t>
            </w:r>
          </w:p>
        </w:tc>
        <w:tc>
          <w:tcPr>
            <w:tcW w:w="2835" w:type="dxa"/>
          </w:tcPr>
          <w:p w14:paraId="26FFC3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Ту-2</w:t>
            </w:r>
          </w:p>
        </w:tc>
        <w:tc>
          <w:tcPr>
            <w:tcW w:w="2977" w:type="dxa"/>
          </w:tcPr>
          <w:p w14:paraId="3CF73C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сравнения</w:t>
            </w:r>
          </w:p>
        </w:tc>
      </w:tr>
      <w:tr w:rsidR="00860B4B" w:rsidRPr="00D03F3E" w14:paraId="6C2A1A0F" w14:textId="77777777">
        <w:tc>
          <w:tcPr>
            <w:tcW w:w="2518" w:type="dxa"/>
          </w:tcPr>
          <w:p w14:paraId="62EB38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4E495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опытный</w:t>
            </w:r>
          </w:p>
        </w:tc>
        <w:tc>
          <w:tcPr>
            <w:tcW w:w="2835" w:type="dxa"/>
          </w:tcPr>
          <w:p w14:paraId="004DA5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серийный N 308</w:t>
            </w:r>
          </w:p>
        </w:tc>
        <w:tc>
          <w:tcPr>
            <w:tcW w:w="2977" w:type="dxa"/>
          </w:tcPr>
          <w:p w14:paraId="3DCFE8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DA397F0" w14:textId="77777777">
        <w:tc>
          <w:tcPr>
            <w:tcW w:w="2518" w:type="dxa"/>
          </w:tcPr>
          <w:p w14:paraId="2636AC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высоте 3000 м</w:t>
            </w:r>
          </w:p>
        </w:tc>
        <w:tc>
          <w:tcPr>
            <w:tcW w:w="2268" w:type="dxa"/>
          </w:tcPr>
          <w:p w14:paraId="1A756E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537 км/час</w:t>
            </w:r>
          </w:p>
        </w:tc>
        <w:tc>
          <w:tcPr>
            <w:tcW w:w="2835" w:type="dxa"/>
          </w:tcPr>
          <w:p w14:paraId="262F97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517 км/час</w:t>
            </w:r>
          </w:p>
        </w:tc>
        <w:tc>
          <w:tcPr>
            <w:tcW w:w="2977" w:type="dxa"/>
          </w:tcPr>
          <w:p w14:paraId="0AE566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Увеличение на</w:t>
            </w:r>
          </w:p>
        </w:tc>
      </w:tr>
      <w:tr w:rsidR="00860B4B" w:rsidRPr="00D03F3E" w14:paraId="1991E5B6" w14:textId="77777777">
        <w:tc>
          <w:tcPr>
            <w:tcW w:w="2518" w:type="dxa"/>
          </w:tcPr>
          <w:p w14:paraId="280890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BABC9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384C0C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77" w:type="dxa"/>
          </w:tcPr>
          <w:p w14:paraId="5899A6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км/час</w:t>
            </w:r>
          </w:p>
        </w:tc>
      </w:tr>
      <w:tr w:rsidR="00860B4B" w:rsidRPr="00D03F3E" w14:paraId="1F511827" w14:textId="77777777">
        <w:tc>
          <w:tcPr>
            <w:tcW w:w="2518" w:type="dxa"/>
          </w:tcPr>
          <w:p w14:paraId="0D2629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на высоте 3200</w:t>
            </w:r>
          </w:p>
        </w:tc>
        <w:tc>
          <w:tcPr>
            <w:tcW w:w="2268" w:type="dxa"/>
          </w:tcPr>
          <w:p w14:paraId="0C091D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835" w:type="dxa"/>
          </w:tcPr>
          <w:p w14:paraId="54B2C4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521 -"-</w:t>
            </w:r>
          </w:p>
        </w:tc>
        <w:tc>
          <w:tcPr>
            <w:tcW w:w="2977" w:type="dxa"/>
          </w:tcPr>
          <w:p w14:paraId="691D2C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C1F0056" w14:textId="77777777">
        <w:tc>
          <w:tcPr>
            <w:tcW w:w="2518" w:type="dxa"/>
          </w:tcPr>
          <w:p w14:paraId="05184F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высоте 3000 м</w:t>
            </w:r>
          </w:p>
        </w:tc>
        <w:tc>
          <w:tcPr>
            <w:tcW w:w="2268" w:type="dxa"/>
          </w:tcPr>
          <w:p w14:paraId="10AB2E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480 км/час</w:t>
            </w:r>
          </w:p>
        </w:tc>
        <w:tc>
          <w:tcPr>
            <w:tcW w:w="2835" w:type="dxa"/>
          </w:tcPr>
          <w:p w14:paraId="121C6B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977" w:type="dxa"/>
          </w:tcPr>
          <w:p w14:paraId="674BA5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1C79AC0" w14:textId="77777777">
        <w:tc>
          <w:tcPr>
            <w:tcW w:w="2518" w:type="dxa"/>
          </w:tcPr>
          <w:p w14:paraId="2C5CC9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высоте 4000 м</w:t>
            </w:r>
          </w:p>
        </w:tc>
        <w:tc>
          <w:tcPr>
            <w:tcW w:w="2268" w:type="dxa"/>
          </w:tcPr>
          <w:p w14:paraId="7E9A8B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498 -"-</w:t>
            </w:r>
          </w:p>
        </w:tc>
        <w:tc>
          <w:tcPr>
            <w:tcW w:w="2835" w:type="dxa"/>
          </w:tcPr>
          <w:p w14:paraId="09EAB1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390 км/час</w:t>
            </w:r>
          </w:p>
        </w:tc>
        <w:tc>
          <w:tcPr>
            <w:tcW w:w="2977" w:type="dxa"/>
          </w:tcPr>
          <w:p w14:paraId="0BB675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Увеличение на</w:t>
            </w:r>
          </w:p>
        </w:tc>
      </w:tr>
      <w:tr w:rsidR="00860B4B" w:rsidRPr="00D03F3E" w14:paraId="6C12FC6D" w14:textId="77777777">
        <w:tc>
          <w:tcPr>
            <w:tcW w:w="2518" w:type="dxa"/>
          </w:tcPr>
          <w:p w14:paraId="1188A8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2AFF8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73D4F6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77" w:type="dxa"/>
          </w:tcPr>
          <w:p w14:paraId="4BF0B3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108 км/час</w:t>
            </w:r>
          </w:p>
        </w:tc>
      </w:tr>
      <w:tr w:rsidR="00860B4B" w:rsidRPr="00D03F3E" w14:paraId="5BC20CA2" w14:textId="77777777">
        <w:tc>
          <w:tcPr>
            <w:tcW w:w="2518" w:type="dxa"/>
          </w:tcPr>
          <w:p w14:paraId="2F6ACC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высоте 5000 м</w:t>
            </w:r>
          </w:p>
        </w:tc>
        <w:tc>
          <w:tcPr>
            <w:tcW w:w="2268" w:type="dxa"/>
          </w:tcPr>
          <w:p w14:paraId="2F37CB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528 км/час</w:t>
            </w:r>
          </w:p>
        </w:tc>
        <w:tc>
          <w:tcPr>
            <w:tcW w:w="2835" w:type="dxa"/>
          </w:tcPr>
          <w:p w14:paraId="0A9020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445 км/час</w:t>
            </w:r>
          </w:p>
        </w:tc>
        <w:tc>
          <w:tcPr>
            <w:tcW w:w="2977" w:type="dxa"/>
          </w:tcPr>
          <w:p w14:paraId="564623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Увеличение на</w:t>
            </w:r>
          </w:p>
        </w:tc>
      </w:tr>
      <w:tr w:rsidR="00860B4B" w:rsidRPr="00D03F3E" w14:paraId="59F4433B" w14:textId="77777777">
        <w:tc>
          <w:tcPr>
            <w:tcW w:w="2518" w:type="dxa"/>
          </w:tcPr>
          <w:p w14:paraId="3E6B95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04A39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7A8ECC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77" w:type="dxa"/>
          </w:tcPr>
          <w:p w14:paraId="535AB5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83 км/час</w:t>
            </w:r>
          </w:p>
        </w:tc>
      </w:tr>
      <w:tr w:rsidR="00860B4B" w:rsidRPr="00D03F3E" w14:paraId="359C4B0A" w14:textId="77777777">
        <w:tc>
          <w:tcPr>
            <w:tcW w:w="2518" w:type="dxa"/>
          </w:tcPr>
          <w:p w14:paraId="0AC41A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высоте 6000 м</w:t>
            </w:r>
          </w:p>
        </w:tc>
        <w:tc>
          <w:tcPr>
            <w:tcW w:w="2268" w:type="dxa"/>
          </w:tcPr>
          <w:p w14:paraId="202D38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539 -"-</w:t>
            </w:r>
          </w:p>
        </w:tc>
        <w:tc>
          <w:tcPr>
            <w:tcW w:w="2835" w:type="dxa"/>
          </w:tcPr>
          <w:p w14:paraId="01D195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77" w:type="dxa"/>
          </w:tcPr>
          <w:p w14:paraId="6068F5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75DDA80" w14:textId="77777777">
        <w:tc>
          <w:tcPr>
            <w:tcW w:w="2518" w:type="dxa"/>
          </w:tcPr>
          <w:p w14:paraId="47F793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на 6100 м</w:t>
            </w:r>
          </w:p>
        </w:tc>
        <w:tc>
          <w:tcPr>
            <w:tcW w:w="2268" w:type="dxa"/>
          </w:tcPr>
          <w:p w14:paraId="7FE094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542 -"-</w:t>
            </w:r>
          </w:p>
        </w:tc>
        <w:tc>
          <w:tcPr>
            <w:tcW w:w="2835" w:type="dxa"/>
          </w:tcPr>
          <w:p w14:paraId="65A5E2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514 км/час</w:t>
            </w:r>
          </w:p>
        </w:tc>
        <w:tc>
          <w:tcPr>
            <w:tcW w:w="2977" w:type="dxa"/>
          </w:tcPr>
          <w:p w14:paraId="27E3C0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Увеличение на</w:t>
            </w:r>
          </w:p>
        </w:tc>
      </w:tr>
      <w:tr w:rsidR="00860B4B" w:rsidRPr="00D03F3E" w14:paraId="41219C37" w14:textId="77777777">
        <w:tc>
          <w:tcPr>
            <w:tcW w:w="2518" w:type="dxa"/>
          </w:tcPr>
          <w:p w14:paraId="16944A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1EA92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2EF473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77" w:type="dxa"/>
          </w:tcPr>
          <w:p w14:paraId="72F521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км/час</w:t>
            </w:r>
          </w:p>
        </w:tc>
      </w:tr>
      <w:tr w:rsidR="00860B4B" w:rsidRPr="00D03F3E" w14:paraId="4A0E0C5C" w14:textId="77777777">
        <w:tc>
          <w:tcPr>
            <w:tcW w:w="2518" w:type="dxa"/>
          </w:tcPr>
          <w:p w14:paraId="4172BD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высоте 6400 м</w:t>
            </w:r>
          </w:p>
        </w:tc>
        <w:tc>
          <w:tcPr>
            <w:tcW w:w="2268" w:type="dxa"/>
          </w:tcPr>
          <w:p w14:paraId="69EEEB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539 км/час</w:t>
            </w:r>
          </w:p>
        </w:tc>
        <w:tc>
          <w:tcPr>
            <w:tcW w:w="2835" w:type="dxa"/>
          </w:tcPr>
          <w:p w14:paraId="0DBC13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977" w:type="dxa"/>
          </w:tcPr>
          <w:p w14:paraId="033CAE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87E8362" w14:textId="77777777">
        <w:tc>
          <w:tcPr>
            <w:tcW w:w="2518" w:type="dxa"/>
          </w:tcPr>
          <w:p w14:paraId="17FD13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высоте 6900 м</w:t>
            </w:r>
          </w:p>
        </w:tc>
        <w:tc>
          <w:tcPr>
            <w:tcW w:w="2268" w:type="dxa"/>
          </w:tcPr>
          <w:p w14:paraId="62EA52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530 -"-</w:t>
            </w:r>
          </w:p>
        </w:tc>
        <w:tc>
          <w:tcPr>
            <w:tcW w:w="2835" w:type="dxa"/>
          </w:tcPr>
          <w:p w14:paraId="5273D3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505 км/час</w:t>
            </w:r>
          </w:p>
        </w:tc>
        <w:tc>
          <w:tcPr>
            <w:tcW w:w="2977" w:type="dxa"/>
          </w:tcPr>
          <w:p w14:paraId="409613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Увеличение на</w:t>
            </w:r>
          </w:p>
        </w:tc>
      </w:tr>
      <w:tr w:rsidR="00860B4B" w:rsidRPr="00D03F3E" w14:paraId="6624621C" w14:textId="77777777">
        <w:tc>
          <w:tcPr>
            <w:tcW w:w="2518" w:type="dxa"/>
          </w:tcPr>
          <w:p w14:paraId="088319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8808C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6690A2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77" w:type="dxa"/>
          </w:tcPr>
          <w:p w14:paraId="55B043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км/час</w:t>
            </w:r>
          </w:p>
        </w:tc>
      </w:tr>
    </w:tbl>
    <w:p w14:paraId="1CD4B6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 Обещанные мною данные самолета Ту-2 следующие:</w:t>
      </w:r>
    </w:p>
    <w:p w14:paraId="277B35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V у земли 460 км/час, V на 3200 м на 1-й скорости нагнетателя - 530 км/час, V на 6400 м на 2-й скорости нагнетателя 560 км/час. Таким образом на сегодня на 1-й скорости имеем превышение на 7 км и на 2-й скорости недобор на 18 км.</w:t>
      </w:r>
    </w:p>
    <w:p w14:paraId="3CC197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Результаты дальнейших полетов будут вам доложены немедленно по получении (1458,136).</w:t>
      </w:r>
    </w:p>
    <w:p w14:paraId="69DE9F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992D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апреля 1943 Туполев доложил наркому Шахурину, что на опытном Ту-2М-82 в Омске выполнили два полета после установки магнето повышенной высотности и новых М-82 с нагнетателями, имеющими 11 лопаток вместо 22-х, но со старыми серийными карбюраторами. В итоге, максимальная скорость самолета у земли возросла до 528 км/ч, а на высоте - до 568 км/ч (12035).</w:t>
      </w:r>
    </w:p>
    <w:p w14:paraId="3B74EA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5A51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апреля 1943 было написано письмо N Н-35/1332 Дир. завода 22 Окулову:</w:t>
      </w:r>
    </w:p>
    <w:p w14:paraId="16F361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"Решением ГОКО N 3089сс от 29 марта 1943 комплектация Пе-2 РПК-10 временно, до 1 июля с.г. устанавливать на каждом 3-м самолете." (1767,84).</w:t>
      </w:r>
    </w:p>
    <w:p w14:paraId="11E792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F0AF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апреля 1943 вышел приказ НКАП N 187сс "О самолете Ла-5 с М-82ФН":</w:t>
      </w:r>
    </w:p>
    <w:p w14:paraId="5B8CCE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ГКО постановлением №.... от 31 марта 1943 принял к сведению сообщение:</w:t>
      </w:r>
    </w:p>
    <w:p w14:paraId="43D924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директора завода № 21 т. Агаджанова, ГК с-та Ла-5 т. С.А.Л. и ст. в/п на заводе № 21т. Ярошенко, что с-т Ла-5, построенный на заводе № 21 с мотором М-82ФН, при испытаниях показал следующие данные:</w:t>
      </w:r>
    </w:p>
    <w:p w14:paraId="7C5C7B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скор. 598 км/час у земли</w:t>
      </w:r>
    </w:p>
    <w:p w14:paraId="03058E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скорость 630 км/час на 1800 м</w:t>
      </w:r>
    </w:p>
    <w:p w14:paraId="07455F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скорость 650 км/час на 6000 м</w:t>
      </w:r>
    </w:p>
    <w:p w14:paraId="0B7B7D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Скороподъемность на 5000 м 4,7 мин.</w:t>
      </w:r>
    </w:p>
    <w:p w14:paraId="1B7740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Полный полетный вес 3158 кг (полетный вес с деревянными лонжеронами будет 3250 кг)</w:t>
      </w:r>
    </w:p>
    <w:p w14:paraId="48E14C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б) директора з-да № 19 т. Солдатова и ГК т. Швецова, что форсированный мотор М-82 с насосос непосредственного впрыска топлива прошел 100 час. Стендовые испытания и показал следующие данные:</w:t>
      </w:r>
    </w:p>
    <w:p w14:paraId="0643A7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Взлетная мощность 1850 лс</w:t>
      </w:r>
    </w:p>
    <w:p w14:paraId="6C7DBC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Номинальная мощность на 1650 м - 1650 лс</w:t>
      </w:r>
    </w:p>
    <w:p w14:paraId="2EABF2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Номинальная мощность на 4650 м - 1450 лс</w:t>
      </w:r>
    </w:p>
    <w:p w14:paraId="1591D0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мотора - 900 кг</w:t>
      </w:r>
    </w:p>
    <w:p w14:paraId="15EEDC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Результаты испытаний моторов М-82ФН насосом непосредственного впрыска топлива ГКО утверждены и принято в дальнейшем именовать этот мотор М-82ФН</w:t>
      </w:r>
    </w:p>
    <w:p w14:paraId="078640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исполнение этого постановления ГКО приказываю:</w:t>
      </w:r>
    </w:p>
    <w:p w14:paraId="44664A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быстрейшего самолета Ла-5 с М-82ФН:</w:t>
      </w:r>
    </w:p>
    <w:p w14:paraId="234965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Зам. нач. ПГУ Воронину, директору завода 21 Агаджанову и ГК С.А.Л. немедленно приступить на заводе 21 к производству самолетов Ла-5 с М-82ФН с деревянными лонжеронами крыльев и центроплана и с полетным весом в 3250 кг.</w:t>
      </w:r>
    </w:p>
    <w:p w14:paraId="51C761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Установить выпуск этих самолетов в апреле 1943 - 20, в мае - 100, в июне - 150, не снижая выпуска самолетов по установленной на 2 кв. программе завода 21</w:t>
      </w:r>
    </w:p>
    <w:p w14:paraId="68EC88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Директору завода № 19 т. Солдатову и ГК т. Швецову обеспечить серийный выпуск М-82ФН в следующем количества: в апреле 1943 - 70 шт., в мае - 120 шт., в июне - 180 шт.</w:t>
      </w:r>
    </w:p>
    <w:p w14:paraId="553347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Директору завода 381 Журавлеву в мае перейти полностью на выпуск самолетов Ла-5 с металлическими лонжеронами крыльев и центроплана с М-82ФН</w:t>
      </w:r>
    </w:p>
    <w:p w14:paraId="2B50B4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Этим же постановлением ГКО одязал:</w:t>
      </w:r>
    </w:p>
    <w:p w14:paraId="52181D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ВВС КА т. Новикова, нач. НИИ ВВС т. ...произвести на заводе № 21 проверочные испытания летных данных с-та Ла-5 с М-82ФН , результаты доложить ГКО 10 апреля 1943</w:t>
      </w:r>
    </w:p>
    <w:p w14:paraId="022357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Подписал А.И.Ш. (1704,189).</w:t>
      </w:r>
    </w:p>
    <w:p w14:paraId="20DFDC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1189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апреля 1943 г. вышел приказ НКАП № 187сс, согласно которому завод № 21 должен был немедленно начать выпуск Ла-5 с новой силовой установкой, к кон</w:t>
      </w:r>
      <w:r w:rsidRPr="00D03F3E">
        <w:rPr>
          <w:rFonts w:ascii="Times New Roman" w:hAnsi="Times New Roman"/>
          <w:color w:val="000000" w:themeColor="text1"/>
          <w:sz w:val="16"/>
          <w:szCs w:val="16"/>
        </w:rPr>
        <w:softHyphen/>
        <w:t>цу месяца сдать 20 машин, в мае — 100, а в июне — 150 сверх ра</w:t>
      </w:r>
      <w:r w:rsidRPr="00D03F3E">
        <w:rPr>
          <w:rFonts w:ascii="Times New Roman" w:hAnsi="Times New Roman"/>
          <w:color w:val="000000" w:themeColor="text1"/>
          <w:sz w:val="16"/>
          <w:szCs w:val="16"/>
        </w:rPr>
        <w:softHyphen/>
        <w:t>нее установленного плана по Ла-5Ф (11123).</w:t>
      </w:r>
    </w:p>
    <w:p w14:paraId="06E416B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4771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апреля 1943 вышел приказ НКАП № 185с:</w:t>
      </w:r>
    </w:p>
    <w:p w14:paraId="0AE75A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исполнение постановления ГОКО от 22 марта 1943 № ГОКО-3064с:</w:t>
      </w:r>
    </w:p>
    <w:p w14:paraId="6890D475"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НКАП А.А.Завитаеву организовать на площадях бывшего з-да 16 в Воронеже з-д по ремонту авиамоторов и пр-ву зап. Частей.</w:t>
      </w:r>
    </w:p>
    <w:p w14:paraId="17337781"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Нач. 6 ГУ Ю.Н.Карпову организовать в г. Воронеже, Сталинграде и Ростове на Дону ремонт ст-в:</w:t>
      </w:r>
    </w:p>
    <w:p w14:paraId="2C7C52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Воронеже на площадях б. З-да 18,</w:t>
      </w:r>
    </w:p>
    <w:p w14:paraId="386398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Сталинграде на площадях б. З-да 490</w:t>
      </w:r>
    </w:p>
    <w:p w14:paraId="5FEEB9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Ростове на Дону на площадях б. З-да 458</w:t>
      </w:r>
    </w:p>
    <w:p w14:paraId="6458EC0A"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Присвоитьорганизуемым ремонтным з-м номера:</w:t>
      </w:r>
    </w:p>
    <w:p w14:paraId="42642E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Воронеже 16 – 265 (3 ГУ).</w:t>
      </w:r>
    </w:p>
    <w:p w14:paraId="18476A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 64 (6ГУ).</w:t>
      </w:r>
    </w:p>
    <w:p w14:paraId="06C26A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сталинграде – 86 (6 ГУ).</w:t>
      </w:r>
    </w:p>
    <w:p w14:paraId="6B69F1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Ростове на Дону 87 (6 ГУ).</w:t>
      </w:r>
    </w:p>
    <w:p w14:paraId="5A6176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Шахурин (1704, 173).</w:t>
      </w:r>
    </w:p>
    <w:p w14:paraId="680C6B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8183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апреля 1943 г. на площадке бывшего завода № 16 организован завод по ремонту авиамоторов и производству запчастей, который получил наименование завод № 265 при ЗГУ НКАП.</w:t>
      </w:r>
    </w:p>
    <w:p w14:paraId="66A240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начала 1944 г. началось восстановление мощностей для производства авиамоторов.</w:t>
      </w:r>
    </w:p>
    <w:p w14:paraId="797E1B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1944 г. с завода № 265 переведено на завод № 500 на постоянную работу около 600 специалистов. По 1фиказу № 707с от 29.12.1944 г. завод передан из ЗГУ в 4ГУ и получил задание освоить производство насосов непосредственного впрыска топлива для АШ-82ФН и АШ-83.</w:t>
      </w:r>
    </w:p>
    <w:p w14:paraId="75EE7C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1946 г. заводу выделено 2760 трофейных станков (в т.ч. 561 металлорежущий).</w:t>
      </w:r>
    </w:p>
    <w:p w14:paraId="591A41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приказам № 154с от 23.03.1946 г. и № 184с от 1.04.1946 г. в Воронеж на площадку завода № 265 МАП перебазирован завод № 154 МАП, в результате слияния образован единый завод № 154 МАП.</w:t>
      </w:r>
    </w:p>
    <w:p w14:paraId="5F4E29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(02.1944 г.)- В.И. Сухоруков (11982).</w:t>
      </w:r>
    </w:p>
    <w:p w14:paraId="5487DCBC" w14:textId="77777777" w:rsidR="00832B4C" w:rsidRPr="00D03F3E" w:rsidRDefault="00832B4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2BFC2C" w14:textId="77777777" w:rsidR="00A859E7" w:rsidRPr="00D03F3E" w:rsidRDefault="00A859E7" w:rsidP="00D03F3E">
      <w:pPr>
        <w:pStyle w:val="ae"/>
        <w:shd w:val="clear" w:color="auto" w:fill="FFFFFF"/>
        <w:spacing w:before="0" w:after="0"/>
        <w:jc w:val="both"/>
        <w:rPr>
          <w:color w:val="000000" w:themeColor="text1"/>
          <w:sz w:val="16"/>
          <w:szCs w:val="16"/>
        </w:rPr>
      </w:pPr>
      <w:r w:rsidRPr="00D03F3E">
        <w:rPr>
          <w:color w:val="000000" w:themeColor="text1"/>
          <w:sz w:val="16"/>
          <w:szCs w:val="16"/>
        </w:rPr>
        <w:t>2 апреля 1943 года приказом Народного комиссариата авиационной промышленности №185с на площадях бывшего завода №18 организован завод по ремонту самолетов №64 (19822).</w:t>
      </w:r>
    </w:p>
    <w:p w14:paraId="6176290E" w14:textId="77777777" w:rsidR="00A859E7" w:rsidRPr="00D03F3E" w:rsidRDefault="00A859E7" w:rsidP="00D03F3E">
      <w:pPr>
        <w:pStyle w:val="ae"/>
        <w:shd w:val="clear" w:color="auto" w:fill="FFFFFF"/>
        <w:spacing w:before="0" w:after="0"/>
        <w:jc w:val="both"/>
        <w:rPr>
          <w:color w:val="000000" w:themeColor="text1"/>
          <w:sz w:val="16"/>
          <w:szCs w:val="16"/>
        </w:rPr>
      </w:pPr>
    </w:p>
    <w:p w14:paraId="0D11EEB5" w14:textId="77777777" w:rsidR="00A859E7" w:rsidRPr="00D03F3E" w:rsidRDefault="00A859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апреля 1943 года вышел приказ НКАП во исполнение постановления Государственного комитета обороны от 22 марта 1943 года организовать ремонт самолётов на площадях бывшего завода № 18, присвоить организуемому ремонтному заводу номер 64. Завод имел задачу восстановления и ремонта всех типов самолетов, как на заводе, так и в воинских частях, действующих на ближних фронтах. 12 апреля 1943 по приказу НКАП стал “ремонтно-сборочным заводом № 64” (19829).</w:t>
      </w:r>
    </w:p>
    <w:p w14:paraId="03FF4975" w14:textId="77777777" w:rsidR="00A859E7" w:rsidRPr="00D03F3E" w:rsidRDefault="00A859E7" w:rsidP="00D03F3E">
      <w:pPr>
        <w:spacing w:after="0" w:line="240" w:lineRule="auto"/>
        <w:jc w:val="both"/>
        <w:rPr>
          <w:rFonts w:ascii="Times New Roman" w:hAnsi="Times New Roman"/>
          <w:color w:val="000000" w:themeColor="text1"/>
          <w:sz w:val="16"/>
          <w:szCs w:val="16"/>
        </w:rPr>
      </w:pPr>
    </w:p>
    <w:p w14:paraId="73B1CD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апреля 1943 г. по приказу НКАП № 185с и приказу НКАП № 209с от 12.04.1943 г. на площадке эвакуированного завода № 18 в Воронеже был сформирован ремонтно-сборочный завод № 64 НКАП. С 02.1944 г. завод передан из 6ГУ в 10ГУ для организации производства крыльев Ил-2. Имел наименование «п/я 71».</w:t>
      </w:r>
    </w:p>
    <w:p w14:paraId="072DD8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начала 1945 г. началась сборка Ил-4 из готовых комплектующих.</w:t>
      </w:r>
    </w:p>
    <w:p w14:paraId="04E5B2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1945-48 г. проводилось восстановление и реконструкция завода с вводом в строй в 1949 г. Однако у» в 1946 г. началось производство агрегатов для Ил-10, а с 1947 г. строились и сами Ил-10. В 1946 г. заводу передано2507 трофейных станков (в т.ч. 907 металлорежущих). Начато освоение выпуска сельскохозяйственных машин.</w:t>
      </w:r>
    </w:p>
    <w:p w14:paraId="7AF85A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Представителем ОКБ-240 на заводе был  Г.Е. Долгушев (1948 г.), затем (в 1950 г.) было организовано представительство во главе с зам. гл. конструктора Е.С. Фельснером. В том же году Фельснера сменил Д.А. Поликарпов.</w:t>
      </w:r>
    </w:p>
    <w:p w14:paraId="24C6DD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соответствии с пост. </w:t>
      </w:r>
      <w:r w:rsidRPr="00D03F3E">
        <w:rPr>
          <w:rFonts w:ascii="Times New Roman" w:hAnsi="Times New Roman"/>
          <w:color w:val="000000" w:themeColor="text1"/>
          <w:sz w:val="16"/>
          <w:szCs w:val="16"/>
          <w:lang w:val="en-US"/>
        </w:rPr>
        <w:t>CMCCGP</w:t>
      </w:r>
      <w:r w:rsidRPr="00D03F3E">
        <w:rPr>
          <w:rFonts w:ascii="Times New Roman" w:hAnsi="Times New Roman"/>
          <w:color w:val="000000" w:themeColor="text1"/>
          <w:sz w:val="16"/>
          <w:szCs w:val="16"/>
        </w:rPr>
        <w:t xml:space="preserve"> № 713-342 от 26.06.1957 г. передан в Воронежский СНХ РСФСР,</w:t>
      </w:r>
    </w:p>
    <w:p w14:paraId="7C265F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ПСМ № 163-97сс от 2.02.1955 г. начато производство бомбардировщика Ту-16, первая машина выпущена в 05.1955 г. Построено 22 серии (1-11 по 5 машин, 12-22 по 10 машин).</w:t>
      </w:r>
    </w:p>
    <w:p w14:paraId="672C4A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1961 г. на заводе образован филиал ОКБ Туполева (начальник- А.И. Путилов). Работы по сопровождению серии Ту-128, разработка Ту-128УТ, внедрение Ту-144.</w:t>
      </w:r>
    </w:p>
    <w:p w14:paraId="2941B5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Был построен корпус № 2 с пролетом 100 м для окончательной сборки Ту-144.</w:t>
      </w:r>
    </w:p>
    <w:p w14:paraId="58E8D4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время выпуска на заводе Ан-10 и Ан-12 организовано представительство ОКБ-473.</w:t>
      </w:r>
    </w:p>
    <w:p w14:paraId="771E37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1975 г. на заводе создано представительство ОКБ Ильюшина (представитель (1975 г.-)- М.А. Салазкин, Б.М. Тупиков, (1986 г.)- С.Ф. Буяков).</w:t>
      </w:r>
    </w:p>
    <w:p w14:paraId="5D4110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Изготавливал комплектующие для ОК «Буран».</w:t>
      </w:r>
    </w:p>
    <w:p w14:paraId="242BE8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Указом президента РФ № 1532 от 21.07.1994 г. создана холдинговая компания «Ильюшин» в составе АООТ «АК им. С.В. Ильюшина» и ВАСО. 14.04.2000 г. создано ОАО «МАК «Ильюшин», в состав которого вошли ОАО «АК им. С.В. Ильюшина» и ОАО «ВАСО». По решению правительства № 22-р от 9.01.2004 г. вошло в перечень стратегических предприятий.</w:t>
      </w:r>
    </w:p>
    <w:p w14:paraId="438BAE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2004 г. велась подготовка к выпуску сельскохозяйственного Ту-54, Ан-148, Ил-76МФ, Ил-112В. В 11.2005 г. подписано лицензионное соглашение с АНТК им. Антонова о производстве Ан-148. В 2007 г. велась подготовка к производству Ил-112.</w:t>
      </w:r>
    </w:p>
    <w:p w14:paraId="60AB1A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(1.04.2003 г.)- 10.570 чел.</w:t>
      </w:r>
    </w:p>
    <w:p w14:paraId="1F1A74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(02.1944 г.)- Сердюк, (1950 г.)- г-м В.Н. Смирнов. Гендиректор (1998-30.09.2005 г.)- В.А. Саликов; И.О. гендиректора (10.2005-02.2006 г.)- М.Н. Шушпанов; (16.02.2006-08 г.-)- М.Н. Шушпанов.</w:t>
      </w:r>
    </w:p>
    <w:p w14:paraId="54F6D9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директора (1996 г.)- В. Терентьев. Зам. гендиректора: по материально-финансовым вопросам (1992 г.)- Ю.Т. Киреев; по экономике (10.2004 г.)- Б.С. Гаврилов.</w:t>
      </w:r>
    </w:p>
    <w:p w14:paraId="1D0DB8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(ВОВ)- Н.Д. Востров, (1950 г.)- В.И. Демин, (1986-98 г.)- В. А. Саликов, (-2003-02.2006 г.)- М.Н. Шушпанов.</w:t>
      </w:r>
    </w:p>
    <w:p w14:paraId="326087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технолог (2004 г.)- В.В. Кефели. Гл. диспетчер (1972 г.-)- Ю.Т. Киреев.</w:t>
      </w:r>
    </w:p>
    <w:p w14:paraId="3C4D10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Центра маркетинга и продаж (2005 г.)- В.А. Тулупов.</w:t>
      </w:r>
    </w:p>
    <w:p w14:paraId="737396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цехов: сборочного- Ю.Т. Киреев; сотовых конструкций- Ю.Т. Киреев.</w:t>
      </w:r>
    </w:p>
    <w:p w14:paraId="3459C1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СКО (1950-е)- Вульман.</w:t>
      </w:r>
    </w:p>
    <w:p w14:paraId="726791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СКО (1950-е)- Мачурин.</w:t>
      </w:r>
    </w:p>
    <w:p w14:paraId="0A53B5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самолеты: Ил-4 (1945-), Ил-10 (1947-49), Ил-12 (1949-), Ил-28 (1949-54), Ту-16 (1955-57)- 165</w:t>
      </w:r>
      <w:r w:rsidRPr="00D03F3E">
        <w:rPr>
          <w:rFonts w:ascii="Times New Roman" w:hAnsi="Times New Roman"/>
          <w:color w:val="000000" w:themeColor="text1"/>
          <w:sz w:val="16"/>
          <w:szCs w:val="16"/>
          <w:vertAlign w:val="superscript"/>
        </w:rPr>
        <w:t>31</w:t>
      </w:r>
      <w:r w:rsidRPr="00D03F3E">
        <w:rPr>
          <w:rFonts w:ascii="Times New Roman" w:hAnsi="Times New Roman"/>
          <w:color w:val="000000" w:themeColor="text1"/>
          <w:sz w:val="16"/>
          <w:szCs w:val="16"/>
        </w:rPr>
        <w:t xml:space="preserve">; Ан-10 (1957-12.1959), Ан-ЮА (12.1959-61)- всего 104; </w:t>
      </w:r>
      <w:r w:rsidRPr="00D03F3E">
        <w:rPr>
          <w:rFonts w:ascii="Times New Roman" w:hAnsi="Times New Roman"/>
          <w:color w:val="000000" w:themeColor="text1"/>
          <w:sz w:val="16"/>
          <w:szCs w:val="16"/>
        </w:rPr>
        <w:lastRenderedPageBreak/>
        <w:t>Ан-12 (1960-65)- 258, Ту-128 (1962-), Ту-144 (1968), Ил-76, Ил-86 (1977-)-103, Су-24М (1980-е), Ил-96-300 (1986-2005-)- 14 (на 08.2005), Ил-96М, Ил-96Т (1995-2005- ), СМ-92 «Финист» (2004); крыло и мотогондолы для Ту-160; ремонт Ил-12 (-1950);</w:t>
      </w:r>
    </w:p>
    <w:p w14:paraId="487391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БПЛА: ДБР-1 «Ястреб» (1962-72)- 52, «Стриж», «Рейс»;</w:t>
      </w:r>
    </w:p>
    <w:p w14:paraId="14A5D0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сельскохозяйственная техника: комбайн КСС-2,6, сеялка С-12А; катера («Воронеж», «Дельфин», «Кейс», «Максим», «Аргонавт») и моторные лодки; элементы интерьера пассажирских вагонов; весы крановые и платформенные; вибронасосы «Удалец», «Полив»; стиральные машины «Ивушка» (2004).</w:t>
      </w:r>
    </w:p>
    <w:p w14:paraId="383726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Заводской №: 2400901 (Ан-12): 2- год выпуска; 4- № завода; 0- не несет информации; 09- № серии; 01- </w:t>
      </w:r>
      <w:r w:rsidRPr="00D03F3E">
        <w:rPr>
          <w:rFonts w:ascii="Times New Roman" w:hAnsi="Times New Roman"/>
          <w:color w:val="000000" w:themeColor="text1"/>
          <w:sz w:val="16"/>
          <w:szCs w:val="16"/>
          <w:lang w:val="en-US"/>
        </w:rPr>
        <w:t>Ms</w:t>
      </w:r>
      <w:r w:rsidRPr="00D03F3E">
        <w:rPr>
          <w:rFonts w:ascii="Times New Roman" w:hAnsi="Times New Roman"/>
          <w:color w:val="000000" w:themeColor="text1"/>
          <w:sz w:val="16"/>
          <w:szCs w:val="16"/>
        </w:rPr>
        <w:t xml:space="preserve"> самолета в серии (11982).</w:t>
      </w:r>
    </w:p>
    <w:p w14:paraId="36C23984" w14:textId="77777777" w:rsidR="00832B4C" w:rsidRPr="00D03F3E" w:rsidRDefault="00832B4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254A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апреля 1943 г. на площадке бывшего завода № 16 (Завод № 16 ВСНХ, НКТП, НКОП, Завод № 16 им. Сталина НКАП, МАП, п/я 735, Казанское Моторостроительное ПО (КМПО), ОАО «КМПО» / г. Воронеж ул. Кольцовская;  г. Казань с. Караваево/ /Татарстан 420036  г. Казань ул. Дементьева, 1 тел. 54-14-32, 71-94-01/ /Московское представительство: тел. 755-42-39/) был организован завод по ремонту авиамоторов и производству запчастей, который получил наименование завод № 265 при ЗГУ НКАП.</w:t>
      </w:r>
    </w:p>
    <w:p w14:paraId="35A810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30.05.1942 г. вышло постановление ГКО № 1831 об увеличении выпуска на заводе мотора М-105Р. В соответствии с пост. ГКО № 2412 от 14.10.1942 г. завод перешел с производства М-105Р на М-105ПФ, 25.12.1942 г. вышло постановление ГКО № 2654 об ускорении перевода завода только на выпуск М-105ПФ.</w:t>
      </w:r>
    </w:p>
    <w:p w14:paraId="0B92BB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Приказом МАП № 241 заводу поручено производство трофейного ТРД БМВ-004 с выпуском в 1945 г. 30 двигателей. В соответствии с пост. ГКО в 1946 г. на завод передано 1232 единицы (150 вагонов) трофейного оборудования с завода БМВ в  г. Басдорф (Германия).</w:t>
      </w:r>
    </w:p>
    <w:p w14:paraId="172424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1946 г. на старую площадку завода в Воронеже реэвакуирован завод № 154 из Андижана.</w:t>
      </w:r>
    </w:p>
    <w:p w14:paraId="6091DE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закрытия в 1948 г. ОКБ-16 С.Д. Колосов продолжил работать на заводе № 16 МАП по газотурбинной установке М-1 для ВМФ. С 05.1954 г. он назначен гл. конструктором СКБ газотурбинных установок на ЮТЗ.</w:t>
      </w:r>
    </w:p>
    <w:p w14:paraId="572186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1950 г. создан турбовинтовой двигатель для кораблей ТРДВ-1 (5200 л. е.).</w:t>
      </w:r>
    </w:p>
    <w:p w14:paraId="3C2958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ПСМ № 3193-1214 от 10.07.1952 г. на заводе начата подготовка к производству двигателя АМ-3 для Ту-16.</w:t>
      </w:r>
    </w:p>
    <w:p w14:paraId="193E29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1948-67 г. завод имел наименование «п/я 735». В соответствии с пост. СМ СССР № 713-342 от 26.06.1957 г. передан в ведение СНХ РСФСР.</w:t>
      </w:r>
    </w:p>
    <w:p w14:paraId="00D16B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1976 г. - Казанское МПО, с 1993 г. - ОАО «КМПО». В 03.1997 г. вошло в ФПГ «Двигатели НК».</w:t>
      </w:r>
      <w:r w:rsidRPr="00D03F3E">
        <w:rPr>
          <w:rFonts w:ascii="Times New Roman" w:hAnsi="Times New Roman"/>
          <w:color w:val="000000" w:themeColor="text1"/>
          <w:sz w:val="16"/>
          <w:szCs w:val="16"/>
          <w:vertAlign w:val="superscript"/>
        </w:rPr>
        <w:t>50</w:t>
      </w:r>
      <w:r w:rsidRPr="00D03F3E">
        <w:rPr>
          <w:rFonts w:ascii="Times New Roman" w:hAnsi="Times New Roman"/>
          <w:color w:val="000000" w:themeColor="text1"/>
          <w:sz w:val="16"/>
          <w:szCs w:val="16"/>
        </w:rPr>
        <w:t xml:space="preserve"> По решению правительства № 22-р от 9.01.2004 г. вошло в перечень стратегических предприятий.</w:t>
      </w:r>
    </w:p>
    <w:p w14:paraId="7D0C3F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2002 г. велись работы по организации участка сборки и испытаний ТВлД </w:t>
      </w:r>
      <w:r w:rsidRPr="00D03F3E">
        <w:rPr>
          <w:rFonts w:ascii="Times New Roman" w:hAnsi="Times New Roman"/>
          <w:color w:val="000000" w:themeColor="text1"/>
          <w:sz w:val="16"/>
          <w:szCs w:val="16"/>
          <w:lang w:val="en-US"/>
        </w:rPr>
        <w:t>PW</w:t>
      </w:r>
      <w:r w:rsidRPr="00D03F3E">
        <w:rPr>
          <w:rFonts w:ascii="Times New Roman" w:hAnsi="Times New Roman"/>
          <w:color w:val="000000" w:themeColor="text1"/>
          <w:sz w:val="16"/>
          <w:szCs w:val="16"/>
        </w:rPr>
        <w:t>207 для вертолета «Ансат».</w:t>
      </w:r>
    </w:p>
    <w:p w14:paraId="59F990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(2003 г.)- около 12. 000 чел.</w:t>
      </w:r>
    </w:p>
    <w:p w14:paraId="5619B3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(-06-29.08.1937 г.)-  Г.С. Девдариани (снят), (29.08.1937 г.-)- М.М. Лукин, (-09.1941 г.-)- В.И. Сухорукое, (-08.1942-04.1945 г.-)- М.М. Лукин, (03.1946 г.)- Тарасов, (1960-е  г.)- Р.Е. Загребельный. Гендиректор (1968-82 г.)- П.А. Витер, (1982-2003 г.-)- А.Ф. Павлов,</w:t>
      </w:r>
      <w:r w:rsidRPr="00D03F3E">
        <w:rPr>
          <w:rFonts w:ascii="Times New Roman" w:hAnsi="Times New Roman"/>
          <w:color w:val="000000" w:themeColor="text1"/>
          <w:sz w:val="16"/>
          <w:szCs w:val="16"/>
          <w:vertAlign w:val="superscript"/>
        </w:rPr>
        <w:t>49</w:t>
      </w:r>
      <w:r w:rsidRPr="00D03F3E">
        <w:rPr>
          <w:rFonts w:ascii="Times New Roman" w:hAnsi="Times New Roman"/>
          <w:color w:val="000000" w:themeColor="text1"/>
          <w:sz w:val="16"/>
          <w:szCs w:val="16"/>
        </w:rPr>
        <w:t xml:space="preserve"> (-10.2004-05 г.-&gt; Д.З. Каримуллин.</w:t>
      </w:r>
    </w:p>
    <w:p w14:paraId="32FF54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директора: (06.1937 г.)- М.П. Макарук; начальник филиала (1940-41 г.)- ДА. Морозов; по производству (1975 г.-)- А.Ф. Павлов; по ПВО и охране (25.12.1938 г.-)- А.С. Хорошилов. Помощник директора по найму и увольнению (27.11.1938 г.-)- И.И. Карпов.</w:t>
      </w:r>
    </w:p>
    <w:p w14:paraId="084680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Коммерческий директор (10.2004 г.)- А.В. Березкин.</w:t>
      </w:r>
    </w:p>
    <w:p w14:paraId="13BAD7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(1937 г.)- А.С. Назаров (переведен из ОКБ-29, в том же году арестован из-за катастрофы «7211»), (-1941 г.)- С.Д. Колосов, (1954-63 г.)- П.Ф. Зубец, (2002 г.)- И.Х. Фахрутдинов.</w:t>
      </w:r>
    </w:p>
    <w:p w14:paraId="01D80F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(06.1937 г.)- М.П. Макарук, (2002 г.)- М. Г. Хабибуллин.</w:t>
      </w:r>
      <w:r w:rsidRPr="00D03F3E">
        <w:rPr>
          <w:rFonts w:ascii="Times New Roman" w:hAnsi="Times New Roman"/>
          <w:color w:val="000000" w:themeColor="text1"/>
          <w:sz w:val="16"/>
          <w:szCs w:val="16"/>
          <w:vertAlign w:val="superscript"/>
        </w:rPr>
        <w:t>69</w:t>
      </w:r>
    </w:p>
    <w:p w14:paraId="58CAC6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Серийного КБ (01.1942-04.1944 г.)- С.Д. Колосов.</w:t>
      </w:r>
    </w:p>
    <w:p w14:paraId="762D18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ПД: М-11 (1935-37-), МВ-4, МВ-6, МВ-12, М-105Р (1941-42), М-105ПФ (1942-); ТРД РД-20, РД-500, АЛ-3, ВК-1, РД-ЗМ-500, НК-4, НК-8-2, НК-8-3 (1967-76)- 100, НК-8-4 (1964-79), НК-8-4К- 15, НК-8-2У (1972-2004-)- более 2500, НК-16, НК-86 (1980-2004-), НК-87 (1986-), НК-93 (2004), АИ-22 (2004), поршневой П- 800 (2004), М29П (2004); корпуса для РДТТ 5С47 (1960-е); приводы для газоперекачивающих агрегатов НК- 16СТ, НК-38СТ (2002), ГТ-009, ГПА-8,16; ремонт НК-8-2У, НК-86 (2002); автоматическая газораспределительная станция АГРС «Исток»; гидромеханическая передача для городских автобусов; газовая турбина для ТЭЦ (2004) (11982).</w:t>
      </w:r>
    </w:p>
    <w:p w14:paraId="3B198ED4" w14:textId="77777777" w:rsidR="00832B4C" w:rsidRPr="00D03F3E" w:rsidRDefault="00832B4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8921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апреля 1943 г. вышел приказ № 185с о восстановлении авиазавода в Таганроге. В соответствии с решением ГКО № 4290с от 8.10.1943 г. и приказом № 764с от 23.12.1943 г. на площадке бывшего завода № 31 НКАП организован ремонтный завод № 86 НКАП в ведении 6ГУ и в том же году введен в эксплуатацию. Ремонт авиатехники: Ил-2, По-2, Ер-2, изготовление самолетных агрегатов, модернизация Ер-2 по заданию П.О. Сухого. Переведен в ЮГУ из 6ГУ с 1.01.1944 г. 4.05.1944 г. вышло постановление ГКО № 5800 о заводе.</w:t>
      </w:r>
    </w:p>
    <w:p w14:paraId="4DE927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конца 1944 г. по 05.1945 г. на заводе из деталей завода № 39 собрано пять Ер-2.</w:t>
      </w:r>
      <w:r w:rsidRPr="00D03F3E">
        <w:rPr>
          <w:rFonts w:ascii="Times New Roman" w:hAnsi="Times New Roman"/>
          <w:color w:val="000000" w:themeColor="text1"/>
          <w:sz w:val="16"/>
          <w:szCs w:val="16"/>
          <w:vertAlign w:val="superscript"/>
        </w:rPr>
        <w:t>34</w:t>
      </w:r>
    </w:p>
    <w:p w14:paraId="04A97F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02.1946 г. на завод вернулось ОКБ Бериева. Приказом НКАП от 9.02.1946 г. Бериев назначен директором/ гл. конструктором ОКБ, размещенного на территории серийного завода. 21.06.1946 г. вышло постановление СМ СССР о преобразовании завода № 86 в ГСОЗ морского самолетостроения.</w:t>
      </w:r>
      <w:r w:rsidRPr="00D03F3E">
        <w:rPr>
          <w:rFonts w:ascii="Times New Roman" w:hAnsi="Times New Roman"/>
          <w:color w:val="000000" w:themeColor="text1"/>
          <w:sz w:val="16"/>
          <w:szCs w:val="16"/>
          <w:vertAlign w:val="superscript"/>
        </w:rPr>
        <w:t>38</w:t>
      </w:r>
      <w:r w:rsidRPr="00D03F3E">
        <w:rPr>
          <w:rFonts w:ascii="Times New Roman" w:hAnsi="Times New Roman"/>
          <w:color w:val="000000" w:themeColor="text1"/>
          <w:sz w:val="16"/>
          <w:szCs w:val="16"/>
        </w:rPr>
        <w:t xml:space="preserve"> С 1.10.46 г. получил статус опытного завода. С 1.07.1948 г. вновь преобразован в серийный (в ЮГУ). В 1959 г. - в ведении Ростовского СНХ.</w:t>
      </w:r>
    </w:p>
    <w:p w14:paraId="758868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базе Ли-2Т разработан учебно-штурманский УЧШЛи-2 (А.П. Голубков).</w:t>
      </w:r>
    </w:p>
    <w:p w14:paraId="0D2891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1979 г. на заводе Ту-142МК был переделан в опытный Ту-95МС, затем освоен их серийный выпуск. В 1983 г. производство Ту-95МС передано на Куйбышевский авиазавод.</w:t>
      </w:r>
    </w:p>
    <w:p w14:paraId="6862DB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1986 г. был передан комплект документации на А-40, подготовлено производство, построены новые цеха. Но из-за прекращения финансирования производство не было начато.</w:t>
      </w:r>
    </w:p>
    <w:p w14:paraId="3387DA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1988 г. на базе завода создано ТАПП. По решению правительства № 22-р от 9.01.2004 г. вошло в перечень стратегических предприятий.</w:t>
      </w:r>
    </w:p>
    <w:p w14:paraId="7DD949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2004 г.: производство и ремонт Ту-142, ремонт А-50 (производства Ташкентского ПО), производство легкой авиатехники, оборудования для десантирования грузов, подготовка производства Бе-32.</w:t>
      </w:r>
    </w:p>
    <w:p w14:paraId="13EAE5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(1.07.2003 г.)- 4109 чел.</w:t>
      </w:r>
    </w:p>
    <w:p w14:paraId="356BBB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Директор (-05.1944-48 Г.-)- П.М. Федоренко, (1953-58 г.-)- М.А. Соболев </w:t>
      </w:r>
      <w:r w:rsidRPr="00D03F3E">
        <w:rPr>
          <w:rFonts w:ascii="Times New Roman" w:hAnsi="Times New Roman"/>
          <w:color w:val="000000" w:themeColor="text1"/>
          <w:sz w:val="16"/>
          <w:szCs w:val="16"/>
          <w:vertAlign w:val="superscript"/>
        </w:rPr>
        <w:t>29</w:t>
      </w:r>
      <w:r w:rsidRPr="00D03F3E">
        <w:rPr>
          <w:rFonts w:ascii="Times New Roman" w:hAnsi="Times New Roman"/>
          <w:color w:val="000000" w:themeColor="text1"/>
          <w:sz w:val="16"/>
          <w:szCs w:val="16"/>
        </w:rPr>
        <w:t>, (1958-78 г.)- С.М. Головин</w:t>
      </w:r>
      <w:r w:rsidRPr="00D03F3E">
        <w:rPr>
          <w:rFonts w:ascii="Times New Roman" w:hAnsi="Times New Roman"/>
          <w:color w:val="000000" w:themeColor="text1"/>
          <w:sz w:val="16"/>
          <w:szCs w:val="16"/>
          <w:vertAlign w:val="superscript"/>
        </w:rPr>
        <w:t>35</w:t>
      </w:r>
      <w:r w:rsidRPr="00D03F3E">
        <w:rPr>
          <w:rFonts w:ascii="Times New Roman" w:hAnsi="Times New Roman"/>
          <w:color w:val="000000" w:themeColor="text1"/>
          <w:sz w:val="16"/>
          <w:szCs w:val="16"/>
        </w:rPr>
        <w:t>, (1978- 85 г.)- Н.В. Ожерельев, (1985-2001 г.)- И.С. Семченко. Гендиректор (-2002 г.)- В.Н. Какуркин, (2002 г.-; 02.2005- 06 г.)- Н.В. Савицких, (Ю.2004 г.)- И.С. Семченко, (11.2006 г.-)- В. Кобзев.</w:t>
      </w:r>
    </w:p>
    <w:p w14:paraId="00F87F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гендиректора: по ВЭС- В.Н. Какуркин; по экономике и финансам (2006 г.)- А. Чуркин.</w:t>
      </w:r>
    </w:p>
    <w:p w14:paraId="582DBC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Гл. конструктор (1963-74 г.)- </w:t>
      </w:r>
      <w:r w:rsidRPr="00D03F3E">
        <w:rPr>
          <w:rFonts w:ascii="Times New Roman" w:hAnsi="Times New Roman"/>
          <w:color w:val="000000" w:themeColor="text1"/>
          <w:sz w:val="16"/>
          <w:szCs w:val="16"/>
          <w:lang w:val="en-US"/>
        </w:rPr>
        <w:t>P</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JI</w:t>
      </w:r>
      <w:r w:rsidRPr="00D03F3E">
        <w:rPr>
          <w:rFonts w:ascii="Times New Roman" w:hAnsi="Times New Roman"/>
          <w:color w:val="000000" w:themeColor="text1"/>
          <w:sz w:val="16"/>
          <w:szCs w:val="16"/>
        </w:rPr>
        <w:t>. Бартини.</w:t>
      </w:r>
    </w:p>
    <w:p w14:paraId="6D9A0B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конструктора (-1970 г.)- В.И. Бирюлин, (1970-76 г.)- Н.А. Погорелов (зам. гл. конструктора ОКБ-49).</w:t>
      </w:r>
    </w:p>
    <w:p w14:paraId="49B744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(1944 г.)- В.Н. Малинин, (1954 г.)- С.М. Головин, (1958 г.)- А.Б. Катькалов, (1960-е)- Н.В. Ожерельев, (начало 1970-х  г.)-  Г. Будюк,</w:t>
      </w:r>
      <w:r w:rsidRPr="00D03F3E">
        <w:rPr>
          <w:rFonts w:ascii="Times New Roman" w:hAnsi="Times New Roman"/>
          <w:color w:val="000000" w:themeColor="text1"/>
          <w:sz w:val="16"/>
          <w:szCs w:val="16"/>
          <w:vertAlign w:val="superscript"/>
        </w:rPr>
        <w:t>35</w:t>
      </w:r>
      <w:r w:rsidRPr="00D03F3E">
        <w:rPr>
          <w:rFonts w:ascii="Times New Roman" w:hAnsi="Times New Roman"/>
          <w:color w:val="000000" w:themeColor="text1"/>
          <w:sz w:val="16"/>
          <w:szCs w:val="16"/>
        </w:rPr>
        <w:t xml:space="preserve"> (-2002-04 г.-)- В.Н. Какуркин.</w:t>
      </w:r>
    </w:p>
    <w:p w14:paraId="16DB15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технолог (1944 г.)- Н.Д. Архипов, (-1976 г.)- М.В. Нагибин. Начальник производства (1944 г.)- Духанин, (1950-е)- А.И. Шамров. Начальник СКО (1944 г.)- Н.П. Назаренко. Начальник ЛИС (1944 г.)- Н.И. Мамлеев.</w:t>
      </w:r>
    </w:p>
    <w:p w14:paraId="6DE328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цехов: сборочного (1950-е)- А</w:t>
      </w:r>
      <w:r w:rsidRPr="00D03F3E">
        <w:rPr>
          <w:rFonts w:ascii="Times New Roman" w:hAnsi="Times New Roman"/>
          <w:iCs/>
          <w:color w:val="000000" w:themeColor="text1"/>
          <w:sz w:val="16"/>
          <w:szCs w:val="16"/>
        </w:rPr>
        <w:t xml:space="preserve"> .Я.</w:t>
      </w:r>
      <w:r w:rsidRPr="00D03F3E">
        <w:rPr>
          <w:rFonts w:ascii="Times New Roman" w:hAnsi="Times New Roman"/>
          <w:color w:val="000000" w:themeColor="text1"/>
          <w:sz w:val="16"/>
          <w:szCs w:val="16"/>
        </w:rPr>
        <w:t xml:space="preserve"> Егоров.</w:t>
      </w:r>
    </w:p>
    <w:p w14:paraId="3EA55A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 самолеты:</w:t>
      </w:r>
      <w:r w:rsidRPr="00D03F3E">
        <w:rPr>
          <w:rFonts w:ascii="Times New Roman" w:hAnsi="Times New Roman"/>
          <w:color w:val="000000" w:themeColor="text1"/>
          <w:sz w:val="16"/>
          <w:szCs w:val="16"/>
        </w:rPr>
        <w:t xml:space="preserve"> Бе-6 (1952-57)- 129 (123), Бе-8, Ил-32, УЧШЛи-2 (1950-е), Бе-10 (1957-61)- 26</w:t>
      </w:r>
      <w:r w:rsidRPr="00D03F3E">
        <w:rPr>
          <w:rFonts w:ascii="Times New Roman" w:hAnsi="Times New Roman"/>
          <w:color w:val="000000" w:themeColor="text1"/>
          <w:sz w:val="16"/>
          <w:szCs w:val="16"/>
          <w:vertAlign w:val="superscript"/>
        </w:rPr>
        <w:t xml:space="preserve">29 </w:t>
      </w:r>
      <w:r w:rsidRPr="00D03F3E">
        <w:rPr>
          <w:rFonts w:ascii="Times New Roman" w:hAnsi="Times New Roman"/>
          <w:color w:val="000000" w:themeColor="text1"/>
          <w:sz w:val="16"/>
          <w:szCs w:val="16"/>
        </w:rPr>
        <w:t>(28</w:t>
      </w:r>
      <w:r w:rsidRPr="00D03F3E">
        <w:rPr>
          <w:rFonts w:ascii="Times New Roman" w:hAnsi="Times New Roman"/>
          <w:color w:val="000000" w:themeColor="text1"/>
          <w:sz w:val="16"/>
          <w:szCs w:val="16"/>
          <w:vertAlign w:val="superscript"/>
        </w:rPr>
        <w:t>37</w:t>
      </w:r>
      <w:r w:rsidRPr="00D03F3E">
        <w:rPr>
          <w:rFonts w:ascii="Times New Roman" w:hAnsi="Times New Roman"/>
          <w:color w:val="000000" w:themeColor="text1"/>
          <w:sz w:val="16"/>
          <w:szCs w:val="16"/>
        </w:rPr>
        <w:t>), Бе-12 (1963-73)- 139, Бе-30 (1970)- 5, ВВА-14 (1972-74)- 2, Ту-142 (1973-2004-), Ту-95МС (1981-83)- 88 (вместе с заводом № 18),</w:t>
      </w:r>
      <w:r w:rsidRPr="00D03F3E">
        <w:rPr>
          <w:rFonts w:ascii="Times New Roman" w:hAnsi="Times New Roman"/>
          <w:color w:val="000000" w:themeColor="text1"/>
          <w:sz w:val="16"/>
          <w:szCs w:val="16"/>
          <w:vertAlign w:val="superscript"/>
        </w:rPr>
        <w:t>30</w:t>
      </w:r>
      <w:r w:rsidRPr="00D03F3E">
        <w:rPr>
          <w:rFonts w:ascii="Times New Roman" w:hAnsi="Times New Roman"/>
          <w:color w:val="000000" w:themeColor="text1"/>
          <w:sz w:val="16"/>
          <w:szCs w:val="16"/>
        </w:rPr>
        <w:t xml:space="preserve"> А-50 (2004); оперение для Ту-334 (2004); оборудование для десантирования грузов (2004); УРВП: Х-20 (1960-61), Х-20М (1962-); мишени: ПМ-ЗЖ (1958-59), 77БМ-2М (1959), 77БМ-ЗМ (1960-62);</w:t>
      </w:r>
    </w:p>
    <w:p w14:paraId="687F2B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катера: патрульный пр. 13987 «Боец» (1990-е), малый скоростной пр. 11130 «Орион» (2000-е);</w:t>
      </w:r>
      <w:r w:rsidRPr="00D03F3E">
        <w:rPr>
          <w:rFonts w:ascii="Times New Roman" w:hAnsi="Times New Roman"/>
          <w:color w:val="000000" w:themeColor="text1"/>
          <w:sz w:val="16"/>
          <w:szCs w:val="16"/>
          <w:vertAlign w:val="superscript"/>
        </w:rPr>
        <w:t>69</w:t>
      </w:r>
      <w:r w:rsidRPr="00D03F3E">
        <w:rPr>
          <w:rFonts w:ascii="Times New Roman" w:hAnsi="Times New Roman"/>
          <w:color w:val="000000" w:themeColor="text1"/>
          <w:sz w:val="16"/>
          <w:szCs w:val="16"/>
        </w:rPr>
        <w:t xml:space="preserve"> параппотно- бесплатформенные системы ПБС-915, ПБС-925 (2000-е);</w:t>
      </w:r>
      <w:r w:rsidRPr="00D03F3E">
        <w:rPr>
          <w:rFonts w:ascii="Times New Roman" w:hAnsi="Times New Roman"/>
          <w:color w:val="000000" w:themeColor="text1"/>
          <w:sz w:val="16"/>
          <w:szCs w:val="16"/>
          <w:vertAlign w:val="superscript"/>
        </w:rPr>
        <w:t>101</w:t>
      </w:r>
      <w:r w:rsidRPr="00D03F3E">
        <w:rPr>
          <w:rFonts w:ascii="Times New Roman" w:hAnsi="Times New Roman"/>
          <w:color w:val="000000" w:themeColor="text1"/>
          <w:sz w:val="16"/>
          <w:szCs w:val="16"/>
        </w:rPr>
        <w:t xml:space="preserve"> антенны РЛС дальнего обнаружения «Днестр-М» (1960-е);</w:t>
      </w:r>
    </w:p>
    <w:p w14:paraId="71AB4E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Заводской номер. 3602704: 3-</w:t>
      </w:r>
      <w:r w:rsidRPr="00D03F3E">
        <w:rPr>
          <w:rFonts w:ascii="Times New Roman" w:hAnsi="Times New Roman"/>
          <w:color w:val="000000" w:themeColor="text1"/>
          <w:sz w:val="16"/>
          <w:szCs w:val="16"/>
        </w:rPr>
        <w:t xml:space="preserve"> последняя цифра года выпуска;</w:t>
      </w:r>
      <w:r w:rsidRPr="00D03F3E">
        <w:rPr>
          <w:rFonts w:ascii="Times New Roman" w:hAnsi="Times New Roman"/>
          <w:iCs/>
          <w:color w:val="000000" w:themeColor="text1"/>
          <w:sz w:val="16"/>
          <w:szCs w:val="16"/>
        </w:rPr>
        <w:t xml:space="preserve"> 6-</w:t>
      </w:r>
      <w:r w:rsidRPr="00D03F3E">
        <w:rPr>
          <w:rFonts w:ascii="Times New Roman" w:hAnsi="Times New Roman"/>
          <w:color w:val="000000" w:themeColor="text1"/>
          <w:sz w:val="16"/>
          <w:szCs w:val="16"/>
        </w:rPr>
        <w:t xml:space="preserve"> последняя цифра номера завода; 27- номер серии;</w:t>
      </w:r>
      <w:r w:rsidRPr="00D03F3E">
        <w:rPr>
          <w:rFonts w:ascii="Times New Roman" w:hAnsi="Times New Roman"/>
          <w:iCs/>
          <w:color w:val="000000" w:themeColor="text1"/>
          <w:sz w:val="16"/>
          <w:szCs w:val="16"/>
        </w:rPr>
        <w:t xml:space="preserve"> 04-</w:t>
      </w:r>
      <w:r w:rsidRPr="00D03F3E">
        <w:rPr>
          <w:rFonts w:ascii="Times New Roman" w:hAnsi="Times New Roman"/>
          <w:color w:val="000000" w:themeColor="text1"/>
          <w:sz w:val="16"/>
          <w:szCs w:val="16"/>
        </w:rPr>
        <w:t xml:space="preserve"> номер самолета в серии (11982).</w:t>
      </w:r>
    </w:p>
    <w:p w14:paraId="53E408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3311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апреля 1943 г. по приказу НКАП № 185с на площадке эвакуированного завода № 458 НКАП был организован завод № 87 (как двигательный). Планировалось организовать на заводе переоборудование самолетов Як-7 и серийный выпуск Ще-2 (с 05.1944 г.).</w:t>
      </w:r>
    </w:p>
    <w:p w14:paraId="382E1C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ГКО № 6639сс от 1.10.1944 г. и приказом № 640с/ 721/ ЦЗ от 31.10.1944 г. на площадку завода № 87 переведен из Волжска завод № 168 НКАП. Оба завода слиты в единый завод № 168 НКАП.</w:t>
      </w:r>
    </w:p>
    <w:p w14:paraId="5BF589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(1943 г.)- А.И. Бугров (11982).</w:t>
      </w:r>
    </w:p>
    <w:p w14:paraId="75A577AE" w14:textId="77777777" w:rsidR="00832B4C" w:rsidRPr="00D03F3E" w:rsidRDefault="00832B4C"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ED35A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23174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5FC00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апреля 1943 г. вышел ПРИКАЗ НАРОДНОГО КОМИССАРИАТА ПУТЕЙ СООБЩЕНИЯ О ПЕРЕВООРУЖЕНИИ БРОНЕПОЕЗДОВ, ИМЕЮЩИХ ПУШКИ СТАРЫХ И ИНОСТРАННЫХ ОБРАЗЦОВ № 256/ПЗ</w:t>
      </w:r>
    </w:p>
    <w:p w14:paraId="0A579A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Постановления Государственного комитета обороны №ГОКО-3045-сс от 18 марта 1943 года</w:t>
      </w:r>
    </w:p>
    <w:p w14:paraId="5DD4A9A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ПРИКАЗЫВАЮ:</w:t>
      </w:r>
    </w:p>
    <w:p w14:paraId="427DFD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Начальникам дорог и заводов обеспечить выполнение всех работ, связанных с перевооруже</w:t>
      </w:r>
      <w:r w:rsidRPr="00D03F3E">
        <w:rPr>
          <w:rFonts w:ascii="Times New Roman" w:hAnsi="Times New Roman"/>
          <w:color w:val="000000" w:themeColor="text1"/>
          <w:sz w:val="16"/>
          <w:szCs w:val="16"/>
        </w:rPr>
        <w:softHyphen/>
        <w:t>нием и ремонтом бронепоездов (кроме ремонта и регулировки вооружения) в количестве и сроки согласно приложению</w:t>
      </w:r>
      <w:r w:rsidRPr="00D03F3E">
        <w:rPr>
          <w:rFonts w:ascii="Times New Roman" w:hAnsi="Times New Roman"/>
          <w:color w:val="000000" w:themeColor="text1"/>
          <w:sz w:val="16"/>
          <w:szCs w:val="16"/>
          <w:vertAlign w:val="superscript"/>
        </w:rPr>
        <w:t>1</w:t>
      </w:r>
      <w:r w:rsidRPr="00D03F3E">
        <w:rPr>
          <w:rFonts w:ascii="Times New Roman" w:hAnsi="Times New Roman"/>
          <w:color w:val="000000" w:themeColor="text1"/>
          <w:sz w:val="16"/>
          <w:szCs w:val="16"/>
        </w:rPr>
        <w:t xml:space="preserve"> к настоящему приказу.</w:t>
      </w:r>
    </w:p>
    <w:p w14:paraId="766E60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Начальникам дорог и заводов, не ожидая поступления бронепоездов, приступить к изготовле</w:t>
      </w:r>
      <w:r w:rsidRPr="00D03F3E">
        <w:rPr>
          <w:rFonts w:ascii="Times New Roman" w:hAnsi="Times New Roman"/>
          <w:color w:val="000000" w:themeColor="text1"/>
          <w:sz w:val="16"/>
          <w:szCs w:val="16"/>
        </w:rPr>
        <w:softHyphen/>
        <w:t>нию постаментов (опор), секторов для угла возвышения пушки, поворотных механизмов и обработку бандажей для поворота башен бронеплощадок согласно чертежам и техническим условям, утверж</w:t>
      </w:r>
      <w:r w:rsidRPr="00D03F3E">
        <w:rPr>
          <w:rFonts w:ascii="Times New Roman" w:hAnsi="Times New Roman"/>
          <w:color w:val="000000" w:themeColor="text1"/>
          <w:sz w:val="16"/>
          <w:szCs w:val="16"/>
        </w:rPr>
        <w:softHyphen/>
        <w:t>денным управлением бронепоездов ГАБТУ КА.</w:t>
      </w:r>
    </w:p>
    <w:p w14:paraId="037A29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Начальнику Центрального управления движения НКПС товарищу Ковалеву по заявкам ГАБТУ КА обеспечить своевременную доставку бронепоездов к ремонтным пунктам.</w:t>
      </w:r>
    </w:p>
    <w:p w14:paraId="009BF8C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Начальнику Главного управления материально-технического обеспечения НКПС т. Щурову:</w:t>
      </w:r>
    </w:p>
    <w:p w14:paraId="7AA4BF3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реализовать выделенные Постановлением СНК СССР №37-16сс от 10 января 1943 года мате</w:t>
      </w:r>
      <w:r w:rsidRPr="00D03F3E">
        <w:rPr>
          <w:rFonts w:ascii="Times New Roman" w:hAnsi="Times New Roman"/>
          <w:color w:val="000000" w:themeColor="text1"/>
          <w:sz w:val="16"/>
          <w:szCs w:val="16"/>
        </w:rPr>
        <w:softHyphen/>
        <w:t>риалы и оборудование для ремонта бронепоездов.</w:t>
      </w:r>
    </w:p>
    <w:p w14:paraId="1D488C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обеспечить проводимые работы всеми необходимыми материалами по заявкам центральных управлений НКПС - вагонного хозяйства и паровозного хозяйства, управлений паровозоремонтны</w:t>
      </w:r>
      <w:r w:rsidRPr="00D03F3E">
        <w:rPr>
          <w:rFonts w:ascii="Times New Roman" w:hAnsi="Times New Roman"/>
          <w:color w:val="000000" w:themeColor="text1"/>
          <w:sz w:val="16"/>
          <w:szCs w:val="16"/>
        </w:rPr>
        <w:softHyphen/>
        <w:t>ми и вагоноремонтными заводами НКПС.</w:t>
      </w:r>
    </w:p>
    <w:p w14:paraId="0348C8C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В соответствии с утвержденным планом на перевооружение бронепоездов ГАБТУ КА заклю</w:t>
      </w:r>
      <w:r w:rsidRPr="00D03F3E">
        <w:rPr>
          <w:rFonts w:ascii="Times New Roman" w:hAnsi="Times New Roman"/>
          <w:color w:val="000000" w:themeColor="text1"/>
          <w:sz w:val="16"/>
          <w:szCs w:val="16"/>
        </w:rPr>
        <w:softHyphen/>
        <w:t>чает договор с каждой хоз. единицей и заводом на выполнение этих работ со сроком простоя броне</w:t>
      </w:r>
      <w:r w:rsidRPr="00D03F3E">
        <w:rPr>
          <w:rFonts w:ascii="Times New Roman" w:hAnsi="Times New Roman"/>
          <w:color w:val="000000" w:themeColor="text1"/>
          <w:sz w:val="16"/>
          <w:szCs w:val="16"/>
        </w:rPr>
        <w:softHyphen/>
        <w:t>поездов под перевооружением:</w:t>
      </w:r>
    </w:p>
    <w:p w14:paraId="1A4C03B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при малом и среднем восстановительном ремонте — 20 дней;</w:t>
      </w:r>
    </w:p>
    <w:p w14:paraId="71365F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при капитальном ремонте - 40 дней.</w:t>
      </w:r>
    </w:p>
    <w:p w14:paraId="4DE7F2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заключении договоров предусмотреть использование личного состава бронепоездов в каче</w:t>
      </w:r>
      <w:r w:rsidRPr="00D03F3E">
        <w:rPr>
          <w:rFonts w:ascii="Times New Roman" w:hAnsi="Times New Roman"/>
          <w:color w:val="000000" w:themeColor="text1"/>
          <w:sz w:val="16"/>
          <w:szCs w:val="16"/>
        </w:rPr>
        <w:softHyphen/>
        <w:t>стве рабочей силы по перевооружению и ремонту их.</w:t>
      </w:r>
    </w:p>
    <w:p w14:paraId="564AF3B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Порядок финансовых расчетов за перевооружение бронепоезда установить непосредственно между предприятиями НКПС и заказчиком.</w:t>
      </w:r>
    </w:p>
    <w:p w14:paraId="1474AA5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Запретить производство перевооружения бронепоездов по неутвержденным ГАБТУ КА черте</w:t>
      </w:r>
      <w:r w:rsidRPr="00D03F3E">
        <w:rPr>
          <w:rFonts w:ascii="Times New Roman" w:hAnsi="Times New Roman"/>
          <w:color w:val="000000" w:themeColor="text1"/>
          <w:sz w:val="16"/>
          <w:szCs w:val="16"/>
        </w:rPr>
        <w:softHyphen/>
        <w:t>жам и техническим условиям.</w:t>
      </w:r>
    </w:p>
    <w:p w14:paraId="5AB6C26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Ответственность за выполнение настоящего приказа возложить: на дорогах — на заместите</w:t>
      </w:r>
      <w:r w:rsidRPr="00D03F3E">
        <w:rPr>
          <w:rFonts w:ascii="Times New Roman" w:hAnsi="Times New Roman"/>
          <w:color w:val="000000" w:themeColor="text1"/>
          <w:sz w:val="16"/>
          <w:szCs w:val="16"/>
        </w:rPr>
        <w:softHyphen/>
        <w:t>лей начальников дорог, ведающих паровозным и вагонным хозяйством, на заводах — на начальников заводов и на НКПС — на начальников соответствующих служб — по управлению паровозоремонт</w:t>
      </w:r>
      <w:r w:rsidRPr="00D03F3E">
        <w:rPr>
          <w:rFonts w:ascii="Times New Roman" w:hAnsi="Times New Roman"/>
          <w:color w:val="000000" w:themeColor="text1"/>
          <w:sz w:val="16"/>
          <w:szCs w:val="16"/>
        </w:rPr>
        <w:softHyphen/>
        <w:t>ными заводами — на заместителя начальника управления т. Фокина, по управлению вагоноремонт</w:t>
      </w:r>
      <w:r w:rsidRPr="00D03F3E">
        <w:rPr>
          <w:rFonts w:ascii="Times New Roman" w:hAnsi="Times New Roman"/>
          <w:color w:val="000000" w:themeColor="text1"/>
          <w:sz w:val="16"/>
          <w:szCs w:val="16"/>
        </w:rPr>
        <w:softHyphen/>
        <w:t>ными заводами — на заместителя начальника управления т. Егудкина.</w:t>
      </w:r>
    </w:p>
    <w:p w14:paraId="304D1F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Контроль за ходом выполнения задания возложить на начальника Центрального военного отдела НКПС т. Одинцова.</w:t>
      </w:r>
    </w:p>
    <w:p w14:paraId="19CF4CA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Начальнику Центрального управления сигнализации и связи НКПС предоставить внеочеред</w:t>
      </w:r>
      <w:r w:rsidRPr="00D03F3E">
        <w:rPr>
          <w:rFonts w:ascii="Times New Roman" w:hAnsi="Times New Roman"/>
          <w:color w:val="000000" w:themeColor="text1"/>
          <w:sz w:val="16"/>
          <w:szCs w:val="16"/>
        </w:rPr>
        <w:softHyphen/>
        <w:t>ные переговоры с линией для Центрального военного отдела НКПС по телефону 2-23-73.</w:t>
      </w:r>
    </w:p>
    <w:p w14:paraId="40BD407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народного комиссара путей сообщений Б. Арутюнов</w:t>
      </w:r>
    </w:p>
    <w:p w14:paraId="375E26B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11358. Д. 97. Л. 8а. Копия (11403).</w:t>
      </w:r>
    </w:p>
    <w:p w14:paraId="31FFF10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CE7C6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апреля 1943 вышло Постановление ГКО № 3108 Об общем плане перевозок народнохозяйственных и воинских грузов по железнодорожному и водному транспорту на апрель 1943 года. (7092, 30).</w:t>
      </w:r>
    </w:p>
    <w:p w14:paraId="068638C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3C21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апреля 1943 вышло Постановление ГКО № 3109 О плане распределения угля на апрель 1943 года.РГАНИР, Фонд ГКО, д. 100, лл. 31-32, 33-54 (11012).</w:t>
      </w:r>
    </w:p>
    <w:p w14:paraId="2BE5A4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F1E3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апреля 1943 вышло Постановление ГКО № 3110 О плане распределения нефтепродуктов на апрель 1943 года.РГАНИР, Фонд ГКО, д. 100, лл. 55-56, 57-73 (11012).</w:t>
      </w:r>
    </w:p>
    <w:p w14:paraId="11C41B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5FFF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апреля 1943 вышло Постановление ГКО № 3111 О плане распределения электроэнергии на апрель 1943 года.РГАНИР, Фонд ГКО, д. 100, лл. 74-75, 76-115 (11012).</w:t>
      </w:r>
    </w:p>
    <w:p w14:paraId="1CD3F1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D9BCCD" w14:textId="77777777" w:rsidR="00832B4C"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012CB495" w14:textId="77777777" w:rsidR="00832B4C" w:rsidRPr="00D03F3E" w:rsidRDefault="00832B4C"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185CC5"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апреля в 1943 году утреннее сообщение Совинформбюро:</w:t>
      </w:r>
    </w:p>
    <w:p w14:paraId="60ABC496"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 апреля на фронтах существенных изменений не произошло.</w:t>
      </w:r>
    </w:p>
    <w:p w14:paraId="38A19DB9"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укрепляли свои позиции и вели разведку. Бойцы Н-ской части отбили контратаку противника и истребили до роты немецкой пехоты. На другом участке гитлеровцы ночью пытались вернуть потерянные ими позиции. Группа наших бойцов во главе со старшим лейтенантом Дружининым встретила немцев ружейно-пулемётным огнём. Противник отступил, оставив около проволочных заграждений 60 трупов своих солдат и офицеров.</w:t>
      </w:r>
    </w:p>
    <w:p w14:paraId="2B2CA1AB"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Н-ская часть в бою с противником уничтожила до 200 немецких солдат и офицеров. Захвачено 2 противотанковых орудия, 7 пулемётов, 2 миномёта и 6 автомашин со снарядами и минами.</w:t>
      </w:r>
    </w:p>
    <w:p w14:paraId="6A42E054"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течения Северного Донца наши войска вели артиллерийскую и ружейно-пулемётную перестрелку с противником. Части Н-ского соединения отбили атаку пехоты противника и нанесли немцам большие потери. На другом участке огнём нашей артиллерии разрушено 7 дзотов, взорван склад боеприпасов и подавлен огонь 6 миномётных батарей противника.</w:t>
      </w:r>
    </w:p>
    <w:p w14:paraId="22A4F419"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войска вели наступательные бои. Подразделения Н-ской части, сломив сопротивление противника, заняли три населённых пункта.</w:t>
      </w:r>
    </w:p>
    <w:p w14:paraId="2D35270B"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вчера днём провели воздушный бой с авиацией противника, пытавшейся бомбить один наш объект. B результате воздушного боя сбито 6 немецких самолётов. Кроме того, огнём зенитной артиллерии сбито 3 и подбито 3 немецких бомбардировщика. Таким образом, всего было уничтожено 9 и подбито 3 самолёта противника.</w:t>
      </w:r>
    </w:p>
    <w:p w14:paraId="6B27A12B"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Ленинградской области, в бою с немецкой карательной экспедицией, уничтожил несколько десятков гитлеровцев. Захвачены трофеи. Другой отряд ленинградских партизан пустил под откос железнодорожный эшелон противника. Разбиты паровоз и 16 вагонов с разными военными грузами.</w:t>
      </w:r>
    </w:p>
    <w:p w14:paraId="6A5ED618"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захвачена в плен группа солдат 487 полка 267 немецкой пехотной дивизии. Пленные — солдат Генрих Финэ, обер-ефрейтор Вернер Дунклер, фельдфебель Альберт Пеплау рассказали: «Мы занимали оборону в деревне Большая Каменка. 6 роте было приказано любой ценою удержать позиции. Однако мы не могли устоять, русские ворвались в деревню и заняли её. Только за один день рота потеряла убитыми 75 человек. 1, 2, 5 и 7 роты понесли еще более тяжёлые потери. Убиты командиры рот — лейтенанты Штеменг и Гофман, обер-лейтенант Гауптнер идругие. В 6 роте из строя выбыли все офицеры. Многие подразделения 487 полка перестали существовать». Пленный солдат 7 роты того же полка Курт Гейнерт заявил: «Разгром армии Паулюса под Сталинградом является постоянной темой солдатских разговоров. Теперь солдаты боятся, как бы не оказаться в таком же положении, в какое попала 6 немецкая армия под Сталинградом».</w:t>
      </w:r>
    </w:p>
    <w:p w14:paraId="53485113"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двух заводах близ Магдебурга (Германия) военно-приёмочная комиссия забраковала 45 средних танков и 68 зенитных орудий. Комиссия предложила использовать всю эту негодную технику в качестве лома. Гестаповцы произвели аресты среди работающих на этих предприятиях бельгийцев, французов и итальянцев. Через несколько дней с заводов бежали 86 иностранных рабочих. Накануне бегства они привели в негодность свои станки.» (15087).</w:t>
      </w:r>
    </w:p>
    <w:p w14:paraId="185B377F" w14:textId="77777777" w:rsidR="00832B4C" w:rsidRPr="00D03F3E" w:rsidRDefault="00832B4C" w:rsidP="00D03F3E">
      <w:pPr>
        <w:spacing w:after="0" w:line="240" w:lineRule="auto"/>
        <w:jc w:val="both"/>
        <w:rPr>
          <w:rFonts w:ascii="Times New Roman" w:hAnsi="Times New Roman"/>
          <w:color w:val="000000" w:themeColor="text1"/>
          <w:sz w:val="16"/>
          <w:szCs w:val="16"/>
        </w:rPr>
      </w:pPr>
    </w:p>
    <w:p w14:paraId="7E6CC4B2"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апреля в 1943 году вечернее сообщение Совинформбюро:</w:t>
      </w:r>
    </w:p>
    <w:p w14:paraId="2DC2DE65"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 апреля на фронтах существенных изменений не произошло.</w:t>
      </w:r>
    </w:p>
    <w:p w14:paraId="27DA9ABD"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корабли в Баренцевом море потопили два транспорта противника общим водоизмещением в 115.000 тонн.</w:t>
      </w:r>
    </w:p>
    <w:p w14:paraId="086F1A88"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апреля частями нашей авиации на различных участках фронта уничтожено или повреждено не менее 40 немецких автомашин с войсками и грузами, взорван склад боеприпасов, потоплен транспорт противника водоизмещением в 10.000 тонн.</w:t>
      </w:r>
    </w:p>
    <w:p w14:paraId="29598D07"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укрепляли занимаемые рубежи и на отдельных участках вели бои местного значения. Бойцы Н-ской части, преодолевая сильное огневое сопротивление противника, выбили немцев из одного опорного пункта, имеющего важное значение. Уничтожено 2 артиллерийские, 3 миномётные батареи и до двух рот вражеской пехоты.</w:t>
      </w:r>
    </w:p>
    <w:p w14:paraId="6B84132B"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происходила перестрелка с противником. Артиллеристы Н-ской части удачным огневым налётом рассеяли и частью уничтожили колонну пехоты противника численностью до 300 человек. На другом участке советские артиллеристы подавили огонь 2 артиллерийских батарей противника, батареи шестиствольных миномётов, разрушили 8 вражеских дзотов и блиндажей. Снайперы Н-ской части за день истребили 74 гитлеровца.</w:t>
      </w:r>
    </w:p>
    <w:p w14:paraId="44E0395B"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течения Северного Донца наши войска совершенствовали свои позиции, а частью сил отражали атаки противника. На одном участке немецкая пехота при поддержке танков перешла в наступление. Бойцы Н-ского соединения отбили атаки гитлеровцев и нанесли им тяжёлые потери. Бои продолжаются на прежних рубежах.</w:t>
      </w:r>
    </w:p>
    <w:p w14:paraId="69051EB7"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из участков фронта успешно действует сформированная в СССР чехословацкая воинская часть под командованием полковника Свобода. Южнее города Н. бойцы этой части были атакованы 60 танками и автоматчиками противника. Бойцы чехословацкой части в течение дня и ночи самоотверженно вели борьбу с противником и отразили все атаки гитлеровцев. В результате боя было подбито и сожжено 19 немецких танков и уничтожено до 400 немецких автоматчиков. Другое подразделение чехословацкой воинской части получило задание задержать наступление немцев. Действуя совместно с советскими гвардейцами, бойцы и командиры чехословацкой части уничтожили 3 немецких танка, нанесли потери противнику в живой силе и выполнили боевую задачу, поставленную им командованием.</w:t>
      </w:r>
    </w:p>
    <w:p w14:paraId="04783757"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Авиация противника пыталась совершить налёт на город Батайск. Советские истребители преградили путь врагу и сбили в воздушном бою 4 немецких бомбардировщика.</w:t>
      </w:r>
    </w:p>
    <w:p w14:paraId="12EFA474"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Минской области, в боях против немецкой карательной экспедиции истребил до 200 гитлеровцев. 14 марта минские партизаны совершили смелое нападение на воинский эшелон противника. Советские патриоты уничтожили паровоз и 10 классных вагонов. Ружейно-пулемётным огнём убито и ранено 130 вражеских солдат и офицеров.</w:t>
      </w:r>
    </w:p>
    <w:p w14:paraId="0E84B130"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сторону партизан перешла группа солдат-словаков из охранных частей противника. Словаки заявили: «Мы, солдаты словацкой резервной дивизии, находились в Белоруссии, где несли охрану железнодорожных линий, мостов и других объектов. Немцы творили неслыханные зверства и гнусные преступления в отношении местных советских жителей. Мы убедились, что чехам и словакам с немцами не по пути. Мы не хотим помогать им жечь деревни и расстреливать невинных детей, женщин и стариков. Как сыны великой семьи славянских народов, мы перешли на сторону партизан и вместе с ними в глубоком тылу бьём немцев, помогаем Красной Армии уничтожать фашистских захватчиков. Здесь, в Белоруссии, мы боремся за освобождение славян от фашистского рабства, за свободную и независимую Чехословакию».</w:t>
      </w:r>
    </w:p>
    <w:p w14:paraId="138E3703" w14:textId="77777777" w:rsidR="00832B4C" w:rsidRPr="00D03F3E" w:rsidRDefault="00832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заняли города Гламоч, Невесинье и Калиновик. Итальянский гарнизон, оборонявший Невесинье, разгромлен, а его остатки в беспорядке отступили. Патриоты захватили большие трофеи. В ожесточённых боях у местечка Ловинац гитлеровцы потеряли убитыми и ранеными более 300 солдат и офицеров. Партизаны уничтожили 3 немецких танка, захватили 2 орудия и другое вооружение. Все попытки противника прорвать укрепления партизан у города Кониц потерпели неудачу. На протяжении 35 дней партизаны успешно отбивали многочисленные атаки врага и наносили ему тяжёлые потери. Оккупанты вынуждены были отойти, не добившись успеха в борьбе с патриотами Югославии.» (15087).</w:t>
      </w:r>
    </w:p>
    <w:p w14:paraId="51E126E2" w14:textId="77777777" w:rsidR="00832B4C" w:rsidRPr="00D03F3E" w:rsidRDefault="00832B4C" w:rsidP="00D03F3E">
      <w:pPr>
        <w:spacing w:after="0" w:line="240" w:lineRule="auto"/>
        <w:jc w:val="both"/>
        <w:rPr>
          <w:rFonts w:ascii="Times New Roman" w:hAnsi="Times New Roman"/>
          <w:color w:val="000000" w:themeColor="text1"/>
          <w:sz w:val="16"/>
          <w:szCs w:val="16"/>
        </w:rPr>
      </w:pPr>
    </w:p>
    <w:p w14:paraId="459DA02A"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4B1652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7969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апреля 1943 года было отправлено:</w:t>
      </w:r>
    </w:p>
    <w:p w14:paraId="76DDC8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СЕКРЕТНОЕ ПОСЛАНИЕОТ ПРЕМЬЕРА И. В. СТАЛИНА ПРЕМЬЕР-МИНИСТРУ г. У. ЧЕРЧИЛЛЮ</w:t>
      </w:r>
    </w:p>
    <w:p w14:paraId="355912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Получил Ваше послание от 30 марта с сообщением о том, что нужда заставляет Вас и г. Рузвельта отменить посылку конвоев2 в СССР до сентября. Я понимаю этот неожиданный акт, как катастрофическое сокращение поставок военного сырья и вооружения Советскому Союзу со стороны Великобритании и США, так как путь через Великий океан ограничен тоннажем и мало надежен, а южный путь имеет небольшую пропускную способность, ввиду чего оба эти пути не могут компенсировать прекращения подвоза по северному пути. Понятно, что это обстоятельство не может не отразиться на положении советских войск (7430).</w:t>
      </w:r>
    </w:p>
    <w:p w14:paraId="352B6A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9F82B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B665E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36D66F"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3 апреля 1943 материалы отчета по результатам испытаний Ил-2 (зав. № 301379) с 2 37-мм пушками 11П были направлены в заинтересо</w:t>
      </w:r>
      <w:r w:rsidRPr="00D03F3E">
        <w:rPr>
          <w:color w:val="000000" w:themeColor="text1"/>
          <w:sz w:val="16"/>
          <w:szCs w:val="16"/>
        </w:rPr>
        <w:softHyphen/>
        <w:t>ванные организации: начальнику 7-го ГУ НКАП, на</w:t>
      </w:r>
      <w:r w:rsidRPr="00D03F3E">
        <w:rPr>
          <w:color w:val="000000" w:themeColor="text1"/>
          <w:sz w:val="16"/>
          <w:szCs w:val="16"/>
        </w:rPr>
        <w:softHyphen/>
        <w:t>чальнику ГУЗ ВВС, главным конструкторам ОКБ-16 и ОКБ-240, директорам и военпредам заводов № 18 и № 30, в Технический совет НКВ.</w:t>
      </w:r>
    </w:p>
    <w:p w14:paraId="1FCD391E"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11 февраля 1943 закончились пспытания одного из наиболее доведенных по вооружению самолетов Ил-2 (зав. № 301379) с 2 37-мм пушками 11П, который официально был принят для прохождения полигонных испытаний в НИП АВ ВВС 26 января 1943 г.</w:t>
      </w:r>
    </w:p>
    <w:p w14:paraId="1F14F0BE"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2 апреля 1943 главный инженер ВВС КА генерал-лейтенант А. К. Репины утвердил отчет по результатам испытаний Ил-2 (зав. № 301379) с 2 37-мм пушками 11П. </w:t>
      </w:r>
    </w:p>
    <w:p w14:paraId="01646F63"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Самолет испытывался специалистами 1-го отдела полигона под руководством инженер-пол</w:t>
      </w:r>
      <w:r w:rsidRPr="00D03F3E">
        <w:rPr>
          <w:color w:val="000000" w:themeColor="text1"/>
          <w:sz w:val="16"/>
          <w:szCs w:val="16"/>
        </w:rPr>
        <w:softHyphen/>
        <w:t>ковника Филиппова. Ведущим инженером по ис</w:t>
      </w:r>
      <w:r w:rsidRPr="00D03F3E">
        <w:rPr>
          <w:color w:val="000000" w:themeColor="text1"/>
          <w:sz w:val="16"/>
          <w:szCs w:val="16"/>
        </w:rPr>
        <w:softHyphen/>
        <w:t>пытаниям был назначен инженер-майор С. В. Не</w:t>
      </w:r>
      <w:r w:rsidRPr="00D03F3E">
        <w:rPr>
          <w:color w:val="000000" w:themeColor="text1"/>
          <w:sz w:val="16"/>
          <w:szCs w:val="16"/>
        </w:rPr>
        <w:softHyphen/>
        <w:t>смеянов, помощником ведущего инженера — старший техник-лейтенант А. Г. Губин, ведущим летчиком — майор Н. И. Звонарев. От промыш</w:t>
      </w:r>
      <w:r w:rsidRPr="00D03F3E">
        <w:rPr>
          <w:color w:val="000000" w:themeColor="text1"/>
          <w:sz w:val="16"/>
          <w:szCs w:val="16"/>
        </w:rPr>
        <w:softHyphen/>
        <w:t>ленности в испытаниях участвовали: начальник ОКБ-16 А. Э. Нудельман, начальник сборочного цеха ОКБ-16 Д. Ф. Исаков, конструктор ОКБ-240 С. А.</w:t>
      </w:r>
    </w:p>
    <w:p w14:paraId="0511CB96"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 самолете были установлены пушки 11П зав. № 558 (левая) и № 547 (правая), изготовленные за</w:t>
      </w:r>
      <w:r w:rsidRPr="00D03F3E">
        <w:rPr>
          <w:color w:val="000000" w:themeColor="text1"/>
          <w:sz w:val="16"/>
          <w:szCs w:val="16"/>
        </w:rPr>
        <w:softHyphen/>
        <w:t>водом № 74 НКВ. Боекомплект к пушкам включал 110 снарядов, стрелковый прицел — ВВ-1, лента — рассыпное звено. Управление огнем пневматиче</w:t>
      </w:r>
      <w:r w:rsidRPr="00D03F3E">
        <w:rPr>
          <w:color w:val="000000" w:themeColor="text1"/>
          <w:sz w:val="16"/>
          <w:szCs w:val="16"/>
        </w:rPr>
        <w:softHyphen/>
        <w:t>ское с механическим дублером от гашетки, рас</w:t>
      </w:r>
      <w:r w:rsidRPr="00D03F3E">
        <w:rPr>
          <w:color w:val="000000" w:themeColor="text1"/>
          <w:sz w:val="16"/>
          <w:szCs w:val="16"/>
        </w:rPr>
        <w:softHyphen/>
        <w:t>положенной на ручке управления самолетом. При отклонении гашетки на 10—12 мм работает пнев- моспуск. При дальнейшем ее отклонении включа</w:t>
      </w:r>
      <w:r w:rsidRPr="00D03F3E">
        <w:rPr>
          <w:color w:val="000000" w:themeColor="text1"/>
          <w:sz w:val="16"/>
          <w:szCs w:val="16"/>
        </w:rPr>
        <w:softHyphen/>
        <w:t>ется механический спуск. Стрельба одновременная. Перезарядка пушек — пневматическая от баллона с воздухом под давлением 150 атм. через понижа</w:t>
      </w:r>
      <w:r w:rsidRPr="00D03F3E">
        <w:rPr>
          <w:color w:val="000000" w:themeColor="text1"/>
          <w:sz w:val="16"/>
          <w:szCs w:val="16"/>
        </w:rPr>
        <w:softHyphen/>
        <w:t>ющий редуктор до 35 атм.</w:t>
      </w:r>
    </w:p>
    <w:p w14:paraId="16BBE9D3"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Пушки крепились на 2 точках. Сила отдачи при стрельбе воспринималась передним креплением. Регулировка установки производилась наружными втулками заднего крепления. Гильзы и звенья не собирались и выбрасывались наружу.</w:t>
      </w:r>
    </w:p>
    <w:p w14:paraId="420608B2"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испытаний проверялась прочность кре</w:t>
      </w:r>
      <w:r w:rsidRPr="00D03F3E">
        <w:rPr>
          <w:color w:val="000000" w:themeColor="text1"/>
          <w:sz w:val="16"/>
          <w:szCs w:val="16"/>
        </w:rPr>
        <w:softHyphen/>
        <w:t>пления пушек и проводилась оценка влияния стрельбы из пушек на материальную часть само</w:t>
      </w:r>
      <w:r w:rsidRPr="00D03F3E">
        <w:rPr>
          <w:color w:val="000000" w:themeColor="text1"/>
          <w:sz w:val="16"/>
          <w:szCs w:val="16"/>
        </w:rPr>
        <w:softHyphen/>
        <w:t>лета. Стрельба велась на земле и в воздухе по на</w:t>
      </w:r>
      <w:r w:rsidRPr="00D03F3E">
        <w:rPr>
          <w:color w:val="000000" w:themeColor="text1"/>
          <w:sz w:val="16"/>
          <w:szCs w:val="16"/>
        </w:rPr>
        <w:softHyphen/>
        <w:t>земным целям одиночными выстрелами и очере</w:t>
      </w:r>
      <w:r w:rsidRPr="00D03F3E">
        <w:rPr>
          <w:color w:val="000000" w:themeColor="text1"/>
          <w:sz w:val="16"/>
          <w:szCs w:val="16"/>
        </w:rPr>
        <w:softHyphen/>
        <w:t>дями. При стрельбах определялась работа автома</w:t>
      </w:r>
      <w:r w:rsidRPr="00D03F3E">
        <w:rPr>
          <w:color w:val="000000" w:themeColor="text1"/>
          <w:sz w:val="16"/>
          <w:szCs w:val="16"/>
        </w:rPr>
        <w:softHyphen/>
        <w:t>тики пушек «на земле и в воздухе при различных режимах полета самолета», а также «рассеивание и возможность ведения прицельной стрельбы как при одной, так и при двух работающих пуш</w:t>
      </w:r>
      <w:r w:rsidRPr="00D03F3E">
        <w:rPr>
          <w:color w:val="000000" w:themeColor="text1"/>
          <w:sz w:val="16"/>
          <w:szCs w:val="16"/>
        </w:rPr>
        <w:softHyphen/>
        <w:t>ках». Кроме того, оценивались эксплуатационные характеристики пушек и их установок в полете и удобство действия ими как на земле, так и в воз</w:t>
      </w:r>
      <w:r w:rsidRPr="00D03F3E">
        <w:rPr>
          <w:color w:val="000000" w:themeColor="text1"/>
          <w:sz w:val="16"/>
          <w:szCs w:val="16"/>
        </w:rPr>
        <w:softHyphen/>
        <w:t>духе: «постановка, снятие, зарядка, разрядка, чистка, перезарядка, устранение задержек и при</w:t>
      </w:r>
      <w:r w:rsidRPr="00D03F3E">
        <w:rPr>
          <w:color w:val="000000" w:themeColor="text1"/>
          <w:sz w:val="16"/>
          <w:szCs w:val="16"/>
        </w:rPr>
        <w:softHyphen/>
        <w:t>стрелка».</w:t>
      </w:r>
    </w:p>
    <w:p w14:paraId="7C886258"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9 полетах было выполнено 720 выстрелов. Боекомплект к пушкам полностью был отстрелян только в одном полете. Еще 596 выстрелов было сделано на земле. При стрельбах в общей сложно</w:t>
      </w:r>
      <w:r w:rsidRPr="00D03F3E">
        <w:rPr>
          <w:color w:val="000000" w:themeColor="text1"/>
          <w:sz w:val="16"/>
          <w:szCs w:val="16"/>
        </w:rPr>
        <w:softHyphen/>
        <w:t>сти произошло 23 задержки, в том числе 12 — по вине автоматики, 5 — по вине звена, еще 5 — по вине установки, 1 — по неустановленным причи</w:t>
      </w:r>
      <w:r w:rsidRPr="00D03F3E">
        <w:rPr>
          <w:color w:val="000000" w:themeColor="text1"/>
          <w:sz w:val="16"/>
          <w:szCs w:val="16"/>
        </w:rPr>
        <w:softHyphen/>
        <w:t>нам. Из этого числа 5 задержек оказались неустра</w:t>
      </w:r>
      <w:r w:rsidRPr="00D03F3E">
        <w:rPr>
          <w:color w:val="000000" w:themeColor="text1"/>
          <w:sz w:val="16"/>
          <w:szCs w:val="16"/>
        </w:rPr>
        <w:softHyphen/>
        <w:t>нимыми в воздухе. Произошло 3 поломки, замени</w:t>
      </w:r>
      <w:r w:rsidRPr="00D03F3E">
        <w:rPr>
          <w:color w:val="000000" w:themeColor="text1"/>
          <w:sz w:val="16"/>
          <w:szCs w:val="16"/>
        </w:rPr>
        <w:softHyphen/>
        <w:t>ли 4 детали. Причем почти все задержки и поломки произошли на пушке зав. № 547, которая дала 1,5% отказов в работе. После замены деталей и устране</w:t>
      </w:r>
      <w:r w:rsidRPr="00D03F3E">
        <w:rPr>
          <w:color w:val="000000" w:themeColor="text1"/>
          <w:sz w:val="16"/>
          <w:szCs w:val="16"/>
        </w:rPr>
        <w:softHyphen/>
        <w:t>ния дефектов пушка работала вполне удовлетвори</w:t>
      </w:r>
      <w:r w:rsidRPr="00D03F3E">
        <w:rPr>
          <w:color w:val="000000" w:themeColor="text1"/>
          <w:sz w:val="16"/>
          <w:szCs w:val="16"/>
        </w:rPr>
        <w:softHyphen/>
        <w:t>тельно, показав 0,15% задержек, столько же, сколь</w:t>
      </w:r>
      <w:r w:rsidRPr="00D03F3E">
        <w:rPr>
          <w:color w:val="000000" w:themeColor="text1"/>
          <w:sz w:val="16"/>
          <w:szCs w:val="16"/>
        </w:rPr>
        <w:softHyphen/>
        <w:t>ко и пушка зав. № 558.</w:t>
      </w:r>
    </w:p>
    <w:p w14:paraId="1731B98A"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Стрельба в воздухе производилась при гори</w:t>
      </w:r>
      <w:r w:rsidRPr="00D03F3E">
        <w:rPr>
          <w:color w:val="000000" w:themeColor="text1"/>
          <w:sz w:val="16"/>
          <w:szCs w:val="16"/>
        </w:rPr>
        <w:softHyphen/>
        <w:t>зонтальном полете и с пикирования с 500 м под углом 30—40° и виражей — короткими очередями по 3—5 выстрелов.</w:t>
      </w:r>
    </w:p>
    <w:p w14:paraId="69A7A870"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Средний темп стрельбы «пушек серийного изго</w:t>
      </w:r>
      <w:r w:rsidRPr="00D03F3E">
        <w:rPr>
          <w:color w:val="000000" w:themeColor="text1"/>
          <w:sz w:val="16"/>
          <w:szCs w:val="16"/>
        </w:rPr>
        <w:softHyphen/>
        <w:t>товления» оказался ниже на 35 выстр./мин по срав</w:t>
      </w:r>
      <w:r w:rsidRPr="00D03F3E">
        <w:rPr>
          <w:color w:val="000000" w:themeColor="text1"/>
          <w:sz w:val="16"/>
          <w:szCs w:val="16"/>
        </w:rPr>
        <w:softHyphen/>
        <w:t>нению с результатом, показанным опытной пушкой 11П, «испытанной в НИП АВ (исх. 0319 от 23.9.42)». От ОКБ-16 и завода № 74 НКВ требовалось поднять темп стрельбы до 292 выстр./мин.</w:t>
      </w:r>
    </w:p>
    <w:p w14:paraId="5FF5D190"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заключению ведущего летчика-испытате</w:t>
      </w:r>
      <w:r w:rsidRPr="00D03F3E">
        <w:rPr>
          <w:color w:val="000000" w:themeColor="text1"/>
          <w:sz w:val="16"/>
          <w:szCs w:val="16"/>
        </w:rPr>
        <w:softHyphen/>
        <w:t>ля майора Н. И. Звонарева от 17 февраля 1943 г., «отдача на самолет не отличается от отдачи при стрельбе из пушек ОКБ-15». Отказ одной из пушек «уводит сильно самолет при стрельбе в сторону работающей пушки». При этом «ногой парировать можно, но прицельную стрельбу с прицелом ВВ-1 вести очень трудно, особенно тяжело будет для мо</w:t>
      </w:r>
      <w:r w:rsidRPr="00D03F3E">
        <w:rPr>
          <w:color w:val="000000" w:themeColor="text1"/>
          <w:sz w:val="16"/>
          <w:szCs w:val="16"/>
        </w:rPr>
        <w:softHyphen/>
        <w:t>лодого не натренированного летного состава».</w:t>
      </w:r>
    </w:p>
    <w:p w14:paraId="74756B55"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Звонарев считал, что «для самолета Ил-2, воору</w:t>
      </w:r>
      <w:r w:rsidRPr="00D03F3E">
        <w:rPr>
          <w:color w:val="000000" w:themeColor="text1"/>
          <w:sz w:val="16"/>
          <w:szCs w:val="16"/>
        </w:rPr>
        <w:softHyphen/>
        <w:t>женного пушками 37 мм, целесообразно поставить прицел ПБП-1б, где не требуется совмещать точки прицеливания». Боекомплект 55 снарядов на каж</w:t>
      </w:r>
      <w:r w:rsidRPr="00D03F3E">
        <w:rPr>
          <w:color w:val="000000" w:themeColor="text1"/>
          <w:sz w:val="16"/>
          <w:szCs w:val="16"/>
        </w:rPr>
        <w:softHyphen/>
        <w:t>дую пушку был вполне достаточным. Предлагалось «просить главного конструктора убрать пушки в крыло, возможность есть полная». Кроме того, «гашетки пневмоперезарядки необходимо перене</w:t>
      </w:r>
      <w:r w:rsidRPr="00D03F3E">
        <w:rPr>
          <w:color w:val="000000" w:themeColor="text1"/>
          <w:sz w:val="16"/>
          <w:szCs w:val="16"/>
        </w:rPr>
        <w:softHyphen/>
        <w:t>сти на левую сторону, так как на небольших высо</w:t>
      </w:r>
      <w:r w:rsidRPr="00D03F3E">
        <w:rPr>
          <w:color w:val="000000" w:themeColor="text1"/>
          <w:sz w:val="16"/>
          <w:szCs w:val="16"/>
        </w:rPr>
        <w:softHyphen/>
        <w:t>тах при стрельбе и отказах молодой летный состав не сможет перезарядить пушки (при перезарядке пушек летчик был вынужден брать штурвал в ле</w:t>
      </w:r>
      <w:r w:rsidRPr="00D03F3E">
        <w:rPr>
          <w:color w:val="000000" w:themeColor="text1"/>
          <w:sz w:val="16"/>
          <w:szCs w:val="16"/>
        </w:rPr>
        <w:softHyphen/>
        <w:t>вую руку. —</w:t>
      </w:r>
      <w:r w:rsidRPr="00D03F3E">
        <w:rPr>
          <w:rStyle w:val="BodytextItalic"/>
          <w:i w:val="0"/>
          <w:color w:val="000000" w:themeColor="text1"/>
          <w:sz w:val="16"/>
          <w:szCs w:val="16"/>
        </w:rPr>
        <w:t xml:space="preserve"> Авт.)».</w:t>
      </w:r>
    </w:p>
    <w:p w14:paraId="57A39CE8"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выводах отчета по испытаниям указывалось, что «применение 37-мм пушек под плоскостями Ил-2 возможно. Самолет допускает пилотирова</w:t>
      </w:r>
      <w:r w:rsidRPr="00D03F3E">
        <w:rPr>
          <w:color w:val="000000" w:themeColor="text1"/>
          <w:sz w:val="16"/>
          <w:szCs w:val="16"/>
        </w:rPr>
        <w:softHyphen/>
        <w:t>ние на всех режимах полета и ведение прицель</w:t>
      </w:r>
      <w:r w:rsidRPr="00D03F3E">
        <w:rPr>
          <w:color w:val="000000" w:themeColor="text1"/>
          <w:sz w:val="16"/>
          <w:szCs w:val="16"/>
        </w:rPr>
        <w:softHyphen/>
        <w:t>ной стрельбы с пикирования и бреющего полета. Производство стрельбы наиболее целесообразно очередями по 3—4 выстрела, так как при боль</w:t>
      </w:r>
      <w:r w:rsidRPr="00D03F3E">
        <w:rPr>
          <w:color w:val="000000" w:themeColor="text1"/>
          <w:sz w:val="16"/>
          <w:szCs w:val="16"/>
        </w:rPr>
        <w:softHyphen/>
        <w:t>ших очередях самолет сбивается с точки прице</w:t>
      </w:r>
      <w:r w:rsidRPr="00D03F3E">
        <w:rPr>
          <w:color w:val="000000" w:themeColor="text1"/>
          <w:sz w:val="16"/>
          <w:szCs w:val="16"/>
        </w:rPr>
        <w:softHyphen/>
        <w:t>ливания, вследствие неодновременной стрельбы пушек. Прицельную стрельбу из одной крыльевой пушки вести нельзя, так как сбивается линия при</w:t>
      </w:r>
      <w:r w:rsidRPr="00D03F3E">
        <w:rPr>
          <w:color w:val="000000" w:themeColor="text1"/>
          <w:sz w:val="16"/>
          <w:szCs w:val="16"/>
        </w:rPr>
        <w:softHyphen/>
        <w:t>целивания. /.../ Управление огнем обеспечивает работу пушек и в эксплуатации удобно, но требует устранения растяжки тросов спуска. /.../ Питание пушек из патронного ящика не отлажено, что при</w:t>
      </w:r>
      <w:r w:rsidRPr="00D03F3E">
        <w:rPr>
          <w:color w:val="000000" w:themeColor="text1"/>
          <w:sz w:val="16"/>
          <w:szCs w:val="16"/>
        </w:rPr>
        <w:softHyphen/>
        <w:t>водит к задержкам — заклинению ленты в рукаве питания, выпадению патронов из ленты и раннему съему звена с патрона. Недостатком является отсут</w:t>
      </w:r>
      <w:r w:rsidRPr="00D03F3E">
        <w:rPr>
          <w:color w:val="000000" w:themeColor="text1"/>
          <w:sz w:val="16"/>
          <w:szCs w:val="16"/>
        </w:rPr>
        <w:softHyphen/>
        <w:t>ствие сбора гильз и звеньев. /.../ Кольцевой визир ВВ-1 не обеспечивает ведение прицельной стрель</w:t>
      </w:r>
      <w:r w:rsidRPr="00D03F3E">
        <w:rPr>
          <w:color w:val="000000" w:themeColor="text1"/>
          <w:sz w:val="16"/>
          <w:szCs w:val="16"/>
        </w:rPr>
        <w:softHyphen/>
        <w:t>бы ночью. Необходимо установить светящиеся ви</w:t>
      </w:r>
      <w:r w:rsidRPr="00D03F3E">
        <w:rPr>
          <w:color w:val="000000" w:themeColor="text1"/>
          <w:sz w:val="16"/>
          <w:szCs w:val="16"/>
        </w:rPr>
        <w:softHyphen/>
        <w:t>зирные точки или поставить прицел ПБП-1б».</w:t>
      </w:r>
    </w:p>
    <w:p w14:paraId="3AC74207"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мнению технического состава, «эксплуатация пушек на самолете удобна, за исключением некото</w:t>
      </w:r>
      <w:r w:rsidRPr="00D03F3E">
        <w:rPr>
          <w:color w:val="000000" w:themeColor="text1"/>
          <w:sz w:val="16"/>
          <w:szCs w:val="16"/>
        </w:rPr>
        <w:softHyphen/>
        <w:t>рых неудобств, возникающих при разрядке пушка</w:t>
      </w:r>
      <w:r w:rsidRPr="00D03F3E">
        <w:rPr>
          <w:color w:val="000000" w:themeColor="text1"/>
          <w:sz w:val="16"/>
          <w:szCs w:val="16"/>
        </w:rPr>
        <w:softHyphen/>
        <w:t>ми из-за неудобного подхода к приемникам пушек». Обтекатели пушек необходимо было упрочнить: «На самолете Ил-2 зав. № 301379 обтекатели изго</w:t>
      </w:r>
      <w:r w:rsidRPr="00D03F3E">
        <w:rPr>
          <w:color w:val="000000" w:themeColor="text1"/>
          <w:sz w:val="16"/>
          <w:szCs w:val="16"/>
        </w:rPr>
        <w:softHyphen/>
        <w:t>товлены плохо, заклепки болтаются и выскакивают, в ходе испытаний наблюдалось срезание заклепок и один случай открывания переднего замка право</w:t>
      </w:r>
      <w:r w:rsidRPr="00D03F3E">
        <w:rPr>
          <w:color w:val="000000" w:themeColor="text1"/>
          <w:sz w:val="16"/>
          <w:szCs w:val="16"/>
        </w:rPr>
        <w:softHyphen/>
        <w:t>го обтекателя в полете. Отсутствие контровки гаек кронштейнов заднего переднего крепления пушки приводит к тому, что части при стрельбе отходят, пришлось их подтягивать».</w:t>
      </w:r>
    </w:p>
    <w:p w14:paraId="093CE6E8"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серийном выпуске «установок под пуш</w:t>
      </w:r>
      <w:r w:rsidRPr="00D03F3E">
        <w:rPr>
          <w:color w:val="000000" w:themeColor="text1"/>
          <w:sz w:val="16"/>
          <w:szCs w:val="16"/>
        </w:rPr>
        <w:softHyphen/>
        <w:t>ки 37 мм ОКБ-16 на самолете Ил-2» требовалось «обеспечить удобную разрядку пушек и сбор гильз и звеньев».</w:t>
      </w:r>
    </w:p>
    <w:p w14:paraId="0072F607"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Заключение по результатам испытаний гласило, что установка пушек 11П на самолете Ил-2 поли</w:t>
      </w:r>
      <w:r w:rsidRPr="00D03F3E">
        <w:rPr>
          <w:color w:val="000000" w:themeColor="text1"/>
          <w:sz w:val="16"/>
          <w:szCs w:val="16"/>
        </w:rPr>
        <w:softHyphen/>
        <w:t>гонные испытания выдержала. Заводы № 30 НКАП и № 74 НКВ должны были в кратчайший срок устра</w:t>
      </w:r>
      <w:r w:rsidRPr="00D03F3E">
        <w:rPr>
          <w:color w:val="000000" w:themeColor="text1"/>
          <w:sz w:val="16"/>
          <w:szCs w:val="16"/>
        </w:rPr>
        <w:softHyphen/>
        <w:t>нить выявленные при испытаниях дефекты и не</w:t>
      </w:r>
      <w:r w:rsidRPr="00D03F3E">
        <w:rPr>
          <w:color w:val="000000" w:themeColor="text1"/>
          <w:sz w:val="16"/>
          <w:szCs w:val="16"/>
        </w:rPr>
        <w:softHyphen/>
        <w:t>достатки. Считалось целесообразным проведение отстрела серийных 37-мм пушек ОКБ-16 «на живу</w:t>
      </w:r>
      <w:r w:rsidRPr="00D03F3E">
        <w:rPr>
          <w:color w:val="000000" w:themeColor="text1"/>
          <w:sz w:val="16"/>
          <w:szCs w:val="16"/>
        </w:rPr>
        <w:softHyphen/>
        <w:t>честь в связи с выявленной при данных испытаниях недостаточной живучести основных деталей». Од</w:t>
      </w:r>
      <w:r w:rsidRPr="00D03F3E">
        <w:rPr>
          <w:color w:val="000000" w:themeColor="text1"/>
          <w:sz w:val="16"/>
          <w:szCs w:val="16"/>
        </w:rPr>
        <w:softHyphen/>
        <w:t>новременно требовалось «испытать на живучесть установку под пушку 37 мм, так как живучесть при испытаниях не установлена».</w:t>
      </w:r>
    </w:p>
    <w:p w14:paraId="5555104E"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Заключение подписали: начальник 1-го отделе</w:t>
      </w:r>
      <w:r w:rsidRPr="00D03F3E">
        <w:rPr>
          <w:color w:val="000000" w:themeColor="text1"/>
          <w:sz w:val="16"/>
          <w:szCs w:val="16"/>
        </w:rPr>
        <w:softHyphen/>
        <w:t>ния опытного отдела НИП АВ инженер-полковник Филиппов, ведущий инженер 1-го отделения инже</w:t>
      </w:r>
      <w:r w:rsidRPr="00D03F3E">
        <w:rPr>
          <w:color w:val="000000" w:themeColor="text1"/>
          <w:sz w:val="16"/>
          <w:szCs w:val="16"/>
        </w:rPr>
        <w:softHyphen/>
        <w:t>нер-майор Несмеянов, начальник опытного отдела НИП АВ подполковник Фомин, начальник НИП АВ инженер-полковник Лобачев.</w:t>
      </w:r>
    </w:p>
    <w:p w14:paraId="3B5F6F28"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некоторым сведениям, опытное звено Ил-2 с пушками 11П проходило войсковые испытания в составе 289-го шап 1 ВА Западного фронта.</w:t>
      </w:r>
    </w:p>
    <w:p w14:paraId="57382945"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следует из документов, летный состав 289-го шап оценил новый вариант Ил-2 положительно, от</w:t>
      </w:r>
      <w:r w:rsidRPr="00D03F3E">
        <w:rPr>
          <w:color w:val="000000" w:themeColor="text1"/>
          <w:sz w:val="16"/>
          <w:szCs w:val="16"/>
        </w:rPr>
        <w:softHyphen/>
        <w:t>метив, что для успешного боевого применения тре</w:t>
      </w:r>
      <w:r w:rsidRPr="00D03F3E">
        <w:rPr>
          <w:color w:val="000000" w:themeColor="text1"/>
          <w:sz w:val="16"/>
          <w:szCs w:val="16"/>
        </w:rPr>
        <w:softHyphen/>
        <w:t>буется повышенная подготовка в пилотировании самолетом и прицельной стрельбе из пушек корот</w:t>
      </w:r>
      <w:r w:rsidRPr="00D03F3E">
        <w:rPr>
          <w:color w:val="000000" w:themeColor="text1"/>
          <w:sz w:val="16"/>
          <w:szCs w:val="16"/>
        </w:rPr>
        <w:softHyphen/>
        <w:t>кими очередями. При этом сами пушки показали достаточную надежность в работе.</w:t>
      </w:r>
    </w:p>
    <w:p w14:paraId="209430CF"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Экипажи Ил-2 с 37-мм пушками 11П в основном работали по ж.-д. составам на перегонах и стан</w:t>
      </w:r>
      <w:r w:rsidRPr="00D03F3E">
        <w:rPr>
          <w:color w:val="000000" w:themeColor="text1"/>
          <w:sz w:val="16"/>
          <w:szCs w:val="16"/>
        </w:rPr>
        <w:softHyphen/>
        <w:t>циях. Действие боеприпасов к «большим» пушкам сводилось к поражению паровозов и грузов на платформах и в вагонах. Прекрасные результаты получались, если в составе эшелона находились цистерны с горючим. Как правило, после атаки звена штурмовиков эшелон останавливался — па</w:t>
      </w:r>
      <w:r w:rsidRPr="00D03F3E">
        <w:rPr>
          <w:color w:val="000000" w:themeColor="text1"/>
          <w:sz w:val="16"/>
          <w:szCs w:val="16"/>
        </w:rPr>
        <w:softHyphen/>
        <w:t>ровоз выходил из строя, иногда со взрывом кот</w:t>
      </w:r>
      <w:r w:rsidRPr="00D03F3E">
        <w:rPr>
          <w:color w:val="000000" w:themeColor="text1"/>
          <w:sz w:val="16"/>
          <w:szCs w:val="16"/>
        </w:rPr>
        <w:softHyphen/>
        <w:t>ла, 2—3 вагона загорались, и появлялась возмож</w:t>
      </w:r>
      <w:r w:rsidRPr="00D03F3E">
        <w:rPr>
          <w:color w:val="000000" w:themeColor="text1"/>
          <w:sz w:val="16"/>
          <w:szCs w:val="16"/>
        </w:rPr>
        <w:softHyphen/>
        <w:t>ность его быстрого уничтожения ударами других групп Ил-2.</w:t>
      </w:r>
    </w:p>
    <w:p w14:paraId="70212886" w14:textId="77777777" w:rsidR="00C327FA" w:rsidRPr="00D03F3E" w:rsidRDefault="00C327F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Здесь следует сказать, что летчики 289-го шап прошли специальную подготовку для действий на предельном радиусе и в сложных метеоуслови</w:t>
      </w:r>
      <w:r w:rsidRPr="00D03F3E">
        <w:rPr>
          <w:color w:val="000000" w:themeColor="text1"/>
          <w:sz w:val="16"/>
          <w:szCs w:val="16"/>
        </w:rPr>
        <w:softHyphen/>
        <w:t>ях и имели значительный налет на Ил-2 и боевой опыт. Несомненно, это обстоятельство положитель</w:t>
      </w:r>
      <w:r w:rsidRPr="00D03F3E">
        <w:rPr>
          <w:color w:val="000000" w:themeColor="text1"/>
          <w:sz w:val="16"/>
          <w:szCs w:val="16"/>
        </w:rPr>
        <w:softHyphen/>
        <w:t>но сказалось на оценке боевых возможностей Ил-2 с пушками 11П (17500).</w:t>
      </w:r>
    </w:p>
    <w:p w14:paraId="431C86C7" w14:textId="77777777" w:rsidR="00C327FA" w:rsidRPr="00D03F3E" w:rsidRDefault="00C327FA" w:rsidP="00D03F3E">
      <w:pPr>
        <w:pStyle w:val="12a"/>
        <w:shd w:val="clear" w:color="auto" w:fill="auto"/>
        <w:spacing w:after="0" w:line="240" w:lineRule="auto"/>
        <w:jc w:val="both"/>
        <w:rPr>
          <w:color w:val="000000" w:themeColor="text1"/>
          <w:sz w:val="16"/>
          <w:szCs w:val="16"/>
        </w:rPr>
      </w:pPr>
    </w:p>
    <w:p w14:paraId="386B61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апреля 1943 в 2-х экз. было отпечатано Описание с-та Ла-5 ВНВ, которое было подписано нач. ОКБ С.М.Алексеевым и утверждено С.А.Л.</w:t>
      </w:r>
    </w:p>
    <w:p w14:paraId="0A988E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ЛТД</w:t>
      </w:r>
    </w:p>
    <w:p w14:paraId="19A270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скорости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1276"/>
        <w:gridCol w:w="1276"/>
      </w:tblGrid>
      <w:tr w:rsidR="00860B4B" w:rsidRPr="00D03F3E" w14:paraId="53A285A1" w14:textId="77777777">
        <w:tc>
          <w:tcPr>
            <w:tcW w:w="1242" w:type="dxa"/>
            <w:tcBorders>
              <w:top w:val="single" w:sz="12" w:space="0" w:color="auto"/>
            </w:tcBorders>
          </w:tcPr>
          <w:p w14:paraId="07B723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Высота</w:t>
            </w:r>
          </w:p>
        </w:tc>
        <w:tc>
          <w:tcPr>
            <w:tcW w:w="1276" w:type="dxa"/>
            <w:tcBorders>
              <w:top w:val="single" w:sz="12" w:space="0" w:color="auto"/>
            </w:tcBorders>
          </w:tcPr>
          <w:p w14:paraId="17D410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Номинал</w:t>
            </w:r>
          </w:p>
        </w:tc>
        <w:tc>
          <w:tcPr>
            <w:tcW w:w="1276" w:type="dxa"/>
            <w:tcBorders>
              <w:top w:val="single" w:sz="12" w:space="0" w:color="auto"/>
            </w:tcBorders>
          </w:tcPr>
          <w:p w14:paraId="3D968C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Форсаж</w:t>
            </w:r>
          </w:p>
        </w:tc>
      </w:tr>
      <w:tr w:rsidR="00860B4B" w:rsidRPr="00D03F3E" w14:paraId="2645B16C" w14:textId="77777777">
        <w:tc>
          <w:tcPr>
            <w:tcW w:w="1242" w:type="dxa"/>
          </w:tcPr>
          <w:p w14:paraId="1CED50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w:t>
            </w:r>
          </w:p>
        </w:tc>
        <w:tc>
          <w:tcPr>
            <w:tcW w:w="1276" w:type="dxa"/>
          </w:tcPr>
          <w:p w14:paraId="572A7E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563</w:t>
            </w:r>
          </w:p>
        </w:tc>
        <w:tc>
          <w:tcPr>
            <w:tcW w:w="1276" w:type="dxa"/>
          </w:tcPr>
          <w:p w14:paraId="144E98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588</w:t>
            </w:r>
          </w:p>
        </w:tc>
      </w:tr>
      <w:tr w:rsidR="00860B4B" w:rsidRPr="00D03F3E" w14:paraId="20A12F4D" w14:textId="77777777">
        <w:tc>
          <w:tcPr>
            <w:tcW w:w="1242" w:type="dxa"/>
            <w:tcBorders>
              <w:bottom w:val="single" w:sz="12" w:space="0" w:color="auto"/>
            </w:tcBorders>
          </w:tcPr>
          <w:p w14:paraId="5AB449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5800</w:t>
            </w:r>
          </w:p>
        </w:tc>
        <w:tc>
          <w:tcPr>
            <w:tcW w:w="1276" w:type="dxa"/>
            <w:tcBorders>
              <w:bottom w:val="single" w:sz="12" w:space="0" w:color="auto"/>
            </w:tcBorders>
          </w:tcPr>
          <w:p w14:paraId="516B5E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628</w:t>
            </w:r>
          </w:p>
        </w:tc>
        <w:tc>
          <w:tcPr>
            <w:tcW w:w="1276" w:type="dxa"/>
            <w:tcBorders>
              <w:bottom w:val="single" w:sz="12" w:space="0" w:color="auto"/>
            </w:tcBorders>
          </w:tcPr>
          <w:p w14:paraId="1F1C6D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62A05D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Скороподъемность у земли 20,0</w:t>
      </w:r>
    </w:p>
    <w:p w14:paraId="3D20E7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виража 19,5</w:t>
      </w:r>
    </w:p>
    <w:p w14:paraId="326185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w:t>
      </w:r>
    </w:p>
    <w:p w14:paraId="625298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Разбег - 283</w:t>
      </w:r>
    </w:p>
    <w:p w14:paraId="15A26E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Пробег - 470</w:t>
      </w:r>
    </w:p>
    <w:p w14:paraId="13870E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Расчет крыла на изгиб и крутильный флаттер достигает величины критической скорости у землли 750 км/час и 905 на 5000 м (11448).</w:t>
      </w:r>
    </w:p>
    <w:p w14:paraId="3F4A2D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C36BD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330D18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74E12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ап</w:t>
      </w:r>
      <w:r w:rsidRPr="00D03F3E">
        <w:rPr>
          <w:rFonts w:ascii="Times New Roman" w:hAnsi="Times New Roman"/>
          <w:color w:val="000000" w:themeColor="text1"/>
          <w:sz w:val="16"/>
          <w:szCs w:val="16"/>
        </w:rPr>
        <w:softHyphen/>
        <w:t>реля 1943 г. в районе Челябинска закончились полигонные испытания опытных образцов танков Объект 233 и Объект 234, которые проходили с 22 марта. Одновременно с танками ИС проходил испытания и серийный танк КВ-1С. Танки ИС продемонстрировали лучшие боевые и технические характеристики, чем танк КВ-1 С, вследствие более удачной схемы ком</w:t>
      </w:r>
      <w:r w:rsidRPr="00D03F3E">
        <w:rPr>
          <w:rFonts w:ascii="Times New Roman" w:hAnsi="Times New Roman"/>
          <w:color w:val="000000" w:themeColor="text1"/>
          <w:sz w:val="16"/>
          <w:szCs w:val="16"/>
        </w:rPr>
        <w:softHyphen/>
        <w:t>поновки и установленных новых, более совершенных агрегатов транс</w:t>
      </w:r>
      <w:r w:rsidRPr="00D03F3E">
        <w:rPr>
          <w:rFonts w:ascii="Times New Roman" w:hAnsi="Times New Roman"/>
          <w:color w:val="000000" w:themeColor="text1"/>
          <w:sz w:val="16"/>
          <w:szCs w:val="16"/>
        </w:rPr>
        <w:softHyphen/>
        <w:t>миссии, таких, как коробка передач и планетарный двухступенчатый механизм поворота (ПМП). В результате более рациональной компо</w:t>
      </w:r>
      <w:r w:rsidRPr="00D03F3E">
        <w:rPr>
          <w:rFonts w:ascii="Times New Roman" w:hAnsi="Times New Roman"/>
          <w:color w:val="000000" w:themeColor="text1"/>
          <w:sz w:val="16"/>
          <w:szCs w:val="16"/>
        </w:rPr>
        <w:softHyphen/>
        <w:t>новки, по сравнению с танком КВ-1С, конструкторам удалось создать танк с лучшей броневой защитой, хорошей маневренностью, более вы</w:t>
      </w:r>
      <w:r w:rsidRPr="00D03F3E">
        <w:rPr>
          <w:rFonts w:ascii="Times New Roman" w:hAnsi="Times New Roman"/>
          <w:color w:val="000000" w:themeColor="text1"/>
          <w:sz w:val="16"/>
          <w:szCs w:val="16"/>
        </w:rPr>
        <w:softHyphen/>
        <w:t>сокой средней скоростью, при меньшей массе и равноценном вооруже</w:t>
      </w:r>
      <w:r w:rsidRPr="00D03F3E">
        <w:rPr>
          <w:rFonts w:ascii="Times New Roman" w:hAnsi="Times New Roman"/>
          <w:color w:val="000000" w:themeColor="text1"/>
          <w:sz w:val="16"/>
          <w:szCs w:val="16"/>
        </w:rPr>
        <w:softHyphen/>
        <w:t>нии у танка "Объект 233" и более мощном - у танка "Объект 234". Во время испытаний был выявлен ряд дефектов, основными из ко</w:t>
      </w:r>
      <w:r w:rsidRPr="00D03F3E">
        <w:rPr>
          <w:rFonts w:ascii="Times New Roman" w:hAnsi="Times New Roman"/>
          <w:color w:val="000000" w:themeColor="text1"/>
          <w:sz w:val="16"/>
          <w:szCs w:val="16"/>
        </w:rPr>
        <w:softHyphen/>
        <w:t>торых являлись: высокая температура воды в системе охлаждения; ко</w:t>
      </w:r>
      <w:r w:rsidRPr="00D03F3E">
        <w:rPr>
          <w:rFonts w:ascii="Times New Roman" w:hAnsi="Times New Roman"/>
          <w:color w:val="000000" w:themeColor="text1"/>
          <w:sz w:val="16"/>
          <w:szCs w:val="16"/>
        </w:rPr>
        <w:softHyphen/>
        <w:t>робление проставочного кольца главного фрикциона; недостаточная жесткость подмоторной рамы; разрушение однорядных роликовых под</w:t>
      </w:r>
      <w:r w:rsidRPr="00D03F3E">
        <w:rPr>
          <w:rFonts w:ascii="Times New Roman" w:hAnsi="Times New Roman"/>
          <w:color w:val="000000" w:themeColor="text1"/>
          <w:sz w:val="16"/>
          <w:szCs w:val="16"/>
        </w:rPr>
        <w:softHyphen/>
        <w:t>шипников опорных катков, в основном, передних (10703).</w:t>
      </w:r>
    </w:p>
    <w:p w14:paraId="56EF35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D2BB9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апреля 1943 под Челя</w:t>
      </w:r>
      <w:r w:rsidRPr="00D03F3E">
        <w:rPr>
          <w:rFonts w:ascii="Times New Roman" w:hAnsi="Times New Roman"/>
          <w:color w:val="000000" w:themeColor="text1"/>
          <w:sz w:val="16"/>
          <w:szCs w:val="16"/>
        </w:rPr>
        <w:softHyphen/>
        <w:t>бинском закончились сравнительные полигонные испытания танков ИС-1, ИС-2 и КВ-1С, которые проводились с 22 марта. Планировалось тогда же продолжить испытания первого образца КВ-13, но отремонтировать его к заданно</w:t>
      </w:r>
      <w:r w:rsidRPr="00D03F3E">
        <w:rPr>
          <w:rFonts w:ascii="Times New Roman" w:hAnsi="Times New Roman"/>
          <w:color w:val="000000" w:themeColor="text1"/>
          <w:sz w:val="16"/>
          <w:szCs w:val="16"/>
        </w:rPr>
        <w:softHyphen/>
        <w:t>му сроку не успели (11135).</w:t>
      </w:r>
    </w:p>
    <w:p w14:paraId="7C736C7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 апреля ИС-1 прошел 489 км, ИС-2 (начал испыта</w:t>
      </w:r>
      <w:r w:rsidRPr="00D03F3E">
        <w:rPr>
          <w:rFonts w:ascii="Times New Roman" w:hAnsi="Times New Roman"/>
          <w:color w:val="000000" w:themeColor="text1"/>
          <w:sz w:val="16"/>
          <w:szCs w:val="16"/>
        </w:rPr>
        <w:softHyphen/>
        <w:t>ния 27 марта) — 405 км, КБ-1С — 475 км. Потомки «черто</w:t>
      </w:r>
      <w:r w:rsidRPr="00D03F3E">
        <w:rPr>
          <w:rFonts w:ascii="Times New Roman" w:hAnsi="Times New Roman"/>
          <w:color w:val="000000" w:themeColor="text1"/>
          <w:sz w:val="16"/>
          <w:szCs w:val="16"/>
        </w:rPr>
        <w:softHyphen/>
        <w:t>вой дюжины» по всем статьям превосходили КБ-1С. Но удручал тот факт, что при движении с максимальной ско</w:t>
      </w:r>
      <w:r w:rsidRPr="00D03F3E">
        <w:rPr>
          <w:rFonts w:ascii="Times New Roman" w:hAnsi="Times New Roman"/>
          <w:color w:val="000000" w:themeColor="text1"/>
          <w:sz w:val="16"/>
          <w:szCs w:val="16"/>
        </w:rPr>
        <w:softHyphen/>
        <w:t>ростью у танка ИС-2 ломались опорные катки и балансиры подвески. Поэтому еще до окончания испытаний комис</w:t>
      </w:r>
      <w:r w:rsidRPr="00D03F3E">
        <w:rPr>
          <w:rFonts w:ascii="Times New Roman" w:hAnsi="Times New Roman"/>
          <w:color w:val="000000" w:themeColor="text1"/>
          <w:sz w:val="16"/>
          <w:szCs w:val="16"/>
        </w:rPr>
        <w:softHyphen/>
        <w:t>сия пришла к таким выводам по танку ИС:</w:t>
      </w:r>
    </w:p>
    <w:p w14:paraId="7314FE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 увеличить внутренний объем башни под пушку ка</w:t>
      </w:r>
      <w:r w:rsidRPr="00D03F3E">
        <w:rPr>
          <w:rFonts w:ascii="Times New Roman" w:hAnsi="Times New Roman"/>
          <w:color w:val="000000" w:themeColor="text1"/>
          <w:sz w:val="16"/>
          <w:szCs w:val="16"/>
        </w:rPr>
        <w:softHyphen/>
        <w:t>либра 122-мм (У-11);</w:t>
      </w:r>
    </w:p>
    <w:p w14:paraId="077641A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сделать командирскую башенку единого типа; устано</w:t>
      </w:r>
      <w:r w:rsidRPr="00D03F3E">
        <w:rPr>
          <w:rFonts w:ascii="Times New Roman" w:hAnsi="Times New Roman"/>
          <w:color w:val="000000" w:themeColor="text1"/>
          <w:sz w:val="16"/>
          <w:szCs w:val="16"/>
        </w:rPr>
        <w:softHyphen/>
        <w:t>вить два смотровых прибора по типу МК-1Уу механика-во</w:t>
      </w:r>
      <w:r w:rsidRPr="00D03F3E">
        <w:rPr>
          <w:rFonts w:ascii="Times New Roman" w:hAnsi="Times New Roman"/>
          <w:color w:val="000000" w:themeColor="text1"/>
          <w:sz w:val="16"/>
          <w:szCs w:val="16"/>
        </w:rPr>
        <w:softHyphen/>
        <w:t>дителя и один смотровой прибор в командирской башенке;</w:t>
      </w:r>
    </w:p>
    <w:p w14:paraId="5EC1D3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повысить качество сборки двигателей;</w:t>
      </w:r>
    </w:p>
    <w:p w14:paraId="4CDCA1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продолжить испытания танков ИС-1 и ИС-2 до гаран</w:t>
      </w:r>
      <w:r w:rsidRPr="00D03F3E">
        <w:rPr>
          <w:rFonts w:ascii="Times New Roman" w:hAnsi="Times New Roman"/>
          <w:color w:val="000000" w:themeColor="text1"/>
          <w:sz w:val="16"/>
          <w:szCs w:val="16"/>
        </w:rPr>
        <w:softHyphen/>
        <w:t>тийного километража (не менее 500км);</w:t>
      </w:r>
    </w:p>
    <w:p w14:paraId="4729EC6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немедленно устранить отмеченные дефекты;</w:t>
      </w:r>
    </w:p>
    <w:p w14:paraId="2E5FE7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ускорить изготовление установочной партии ИС-1 «объект 233» и ИС-2 «объект 234» в количестве 10шт., запу</w:t>
      </w:r>
      <w:r w:rsidRPr="00D03F3E">
        <w:rPr>
          <w:rFonts w:ascii="Times New Roman" w:hAnsi="Times New Roman"/>
          <w:color w:val="000000" w:themeColor="text1"/>
          <w:sz w:val="16"/>
          <w:szCs w:val="16"/>
        </w:rPr>
        <w:softHyphen/>
        <w:t>щенной в производство ЧКЗ, не дожидаясь результатов ис</w:t>
      </w:r>
      <w:r w:rsidRPr="00D03F3E">
        <w:rPr>
          <w:rFonts w:ascii="Times New Roman" w:hAnsi="Times New Roman"/>
          <w:color w:val="000000" w:themeColor="text1"/>
          <w:sz w:val="16"/>
          <w:szCs w:val="16"/>
        </w:rPr>
        <w:softHyphen/>
        <w:t>пытаний с целью проверки технологии, срочно устранив на этой партии все дефекты, отмеченные комиссией» (11135).</w:t>
      </w:r>
    </w:p>
    <w:p w14:paraId="3050DF7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98A6F4" w14:textId="77777777" w:rsidR="00C327FA" w:rsidRPr="00D03F3E" w:rsidRDefault="00C327F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3 апреля 1943 СУ-35 переименовали в СУ-122. Помимо переименования, апрельские машины отличались изменением конструкции колпака для прицела. Первые месяцы эксплуатации показали, что необходимо сделать лючок для обзора назад. С начала апреля стали выпускать колпак с четырьмя лючками.</w:t>
      </w:r>
    </w:p>
    <w:p w14:paraId="60499B42" w14:textId="77777777" w:rsidR="00C327FA" w:rsidRPr="00D03F3E" w:rsidRDefault="00C327F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Между тем, еще в январе 1943 года началась работа над модернизированной СУ-122. Машина, известная как СУ-122М, достойна отдельного повествования. Здесь лишь стоит отметить, что в ней КБ УЗТМ решило проблему тесноты боевого отделения, максимально расширив рубку. Предложение сделать то же самое на серийной СУ-122 Горлицкий встретил в штыки, справедливо заметив, что это поднимет боевую массу САУ на 600 килограмм.</w:t>
      </w:r>
    </w:p>
    <w:p w14:paraId="02D60ACC" w14:textId="77777777" w:rsidR="00C327FA" w:rsidRPr="00D03F3E" w:rsidRDefault="00C327F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Апрель для УЗТМ стал очень проблемным месяцем. На завод свалилась целая масса неприятностей. Обнаружились массовые случаи брака бандажей опорных катков, что сказалось как на СУ-122, так и на Т-34. Также имелись массовые случаи появления трещин на броневых листах.</w:t>
      </w:r>
    </w:p>
    <w:p w14:paraId="6868E316" w14:textId="77777777" w:rsidR="00C327FA" w:rsidRPr="00D03F3E" w:rsidRDefault="00C327F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конце апреля УЗТМ обратился в Артиллерийский комитет ГАУ КА с просьбой заменить листы крыши толщиной 20 мм на лист с увеличенной до 30 мм толщиной. Мотивировалось это тем, что крыша перегружена сварными швами и часто возникали трещины, которые приходилось закрывать экранами. Артком ГАУ такое изменение утвердил, поскольку оно поднимало боевую массу машины всего на 100 килограмм. Совсем иначе отреагировали в Главном автобронетанковом управлении (ГАБТУ): решение заменить крышу на более толстый лист средней твердости признали неприемлемым. Правда, случилось это уже в начале июня, так что некоторое количество СУ-122 с утолщенной крышей все же было построено.</w:t>
      </w:r>
    </w:p>
    <w:p w14:paraId="1ADCBEEE" w14:textId="77777777" w:rsidR="00C327FA" w:rsidRPr="00D03F3E" w:rsidRDefault="00C327F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Ряд проблем в апреле привел к тому, что за этот месяц вместо 100 самоходных установок было сдано всего 75. Дополнительные изменения конструкции машины имели место и в мае 1943 года. В соответствии с категоричным требованием ГАУ КА с начала мая 1943 года в нижнем лобовом листе корпуса появился лючок-лаз для подтягивания правой гусеничной ленты. Кроме того, в течение мая было решено отказаться от установки поручня на кормовом листе рубки. Удобство его использования оказалось весьма сомнительным. Ближе к концу мая была введена немного расширенная конструкция башенки под панораму. Указанные переделки стали последними крупными изменениями, которые вносились в конструкцию СУ-122. Стоит отметить, что некоторые исследователи ввели понятие «серий» для незначительно отличающихся по конструкции САУ. В реальности никаких серий ни у СУ-122, ни у последующих самоходных установок не было (17685).</w:t>
      </w:r>
    </w:p>
    <w:p w14:paraId="21956536" w14:textId="77777777" w:rsidR="00C327FA" w:rsidRPr="00D03F3E" w:rsidRDefault="00C327F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B589D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апреля 1943 г. первые пять серийных САУ под индексом СУ С-1, СУ-76 (С-1) или СУ-76И ("Иностранная") были отправлены в учебный самоходно-артиллерийский полк, дислоцированный в пригородах Свердловска. За месяц службы машины "накатали" от 500 до 720 км и содействовали в обучении более 100 будущих самоходчиков. Отзывы о машине были хорошими, и только трудность запуска двигателя на морозе (для быстрого запуска часто приходилось заливать в карбюраторы горячий бензин) отмечалась всеми техниками как "недостаток первой важности".</w:t>
      </w:r>
    </w:p>
    <w:p w14:paraId="11A53C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временем по уточненным чертежам завод начал изготовление "фронтовой" серии из 20 САУ, которые большей частью также попали в учебные подразделения. Лишь с мая 1943 г. СУ-76 (С-1) начали поступать в войска.</w:t>
      </w:r>
    </w:p>
    <w:p w14:paraId="0B0D02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Первые самоходки имели довольно "спартанский" вид. Их боевая рубка была сварена из бронеплит толщиной 35 мм в лобовой части и 25 мм или 15 мм в бортах и корме. Крыша рубки первоначально выкраивалась из цельного листа и крепилась болтами. Это облегчало доступ в боевое отделение САУ для проведения ремонта, но после боев лета 1943 г. на многих САУ крыша была демонтирована для улучшения обитаемости.</w:t>
      </w:r>
    </w:p>
    <w:p w14:paraId="0D3482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Поскольку в начале 1943 г. радиостанции были в дефиците, их устанавливали только на каждую третью машину, тем более что большинство САУ поступали в учебные подразделения. Но уже с середины мая радиостанциями типа 9-Р снабжали практически каждую СУ-76И (С-1).</w:t>
      </w:r>
    </w:p>
    <w:p w14:paraId="3284FF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Производство СУ-76И в 1943 году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74"/>
        <w:gridCol w:w="774"/>
        <w:gridCol w:w="774"/>
        <w:gridCol w:w="774"/>
        <w:gridCol w:w="774"/>
        <w:gridCol w:w="633"/>
        <w:gridCol w:w="735"/>
        <w:gridCol w:w="882"/>
        <w:gridCol w:w="920"/>
        <w:gridCol w:w="737"/>
        <w:gridCol w:w="737"/>
      </w:tblGrid>
      <w:tr w:rsidR="00860B4B" w:rsidRPr="00D03F3E" w14:paraId="6AC0C6B2" w14:textId="77777777">
        <w:tc>
          <w:tcPr>
            <w:tcW w:w="774" w:type="dxa"/>
          </w:tcPr>
          <w:p w14:paraId="33462D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Месяц</w:t>
            </w:r>
          </w:p>
        </w:tc>
        <w:tc>
          <w:tcPr>
            <w:tcW w:w="774" w:type="dxa"/>
          </w:tcPr>
          <w:p w14:paraId="26549A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Март</w:t>
            </w:r>
          </w:p>
        </w:tc>
        <w:tc>
          <w:tcPr>
            <w:tcW w:w="774" w:type="dxa"/>
          </w:tcPr>
          <w:p w14:paraId="16B8E6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Апрель</w:t>
            </w:r>
          </w:p>
        </w:tc>
        <w:tc>
          <w:tcPr>
            <w:tcW w:w="774" w:type="dxa"/>
          </w:tcPr>
          <w:p w14:paraId="4E78B5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Май</w:t>
            </w:r>
          </w:p>
        </w:tc>
        <w:tc>
          <w:tcPr>
            <w:tcW w:w="774" w:type="dxa"/>
          </w:tcPr>
          <w:p w14:paraId="07CE5B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Июнь</w:t>
            </w:r>
          </w:p>
        </w:tc>
        <w:tc>
          <w:tcPr>
            <w:tcW w:w="633" w:type="dxa"/>
          </w:tcPr>
          <w:p w14:paraId="128E87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Июль</w:t>
            </w:r>
          </w:p>
        </w:tc>
        <w:tc>
          <w:tcPr>
            <w:tcW w:w="735" w:type="dxa"/>
          </w:tcPr>
          <w:p w14:paraId="00DEF1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Август</w:t>
            </w:r>
          </w:p>
        </w:tc>
        <w:tc>
          <w:tcPr>
            <w:tcW w:w="882" w:type="dxa"/>
          </w:tcPr>
          <w:p w14:paraId="03F32D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Сентябрь</w:t>
            </w:r>
          </w:p>
        </w:tc>
        <w:tc>
          <w:tcPr>
            <w:tcW w:w="920" w:type="dxa"/>
          </w:tcPr>
          <w:p w14:paraId="232052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Октябрь</w:t>
            </w:r>
          </w:p>
        </w:tc>
        <w:tc>
          <w:tcPr>
            <w:tcW w:w="737" w:type="dxa"/>
          </w:tcPr>
          <w:p w14:paraId="29F8BF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Ноябрь</w:t>
            </w:r>
          </w:p>
        </w:tc>
        <w:tc>
          <w:tcPr>
            <w:tcW w:w="737" w:type="dxa"/>
          </w:tcPr>
          <w:p w14:paraId="46D4BF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tc>
      </w:tr>
      <w:tr w:rsidR="00860B4B" w:rsidRPr="00D03F3E" w14:paraId="3DBDCA64" w14:textId="77777777">
        <w:tc>
          <w:tcPr>
            <w:tcW w:w="774" w:type="dxa"/>
          </w:tcPr>
          <w:p w14:paraId="00939A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Кол-во</w:t>
            </w:r>
          </w:p>
        </w:tc>
        <w:tc>
          <w:tcPr>
            <w:tcW w:w="774" w:type="dxa"/>
          </w:tcPr>
          <w:p w14:paraId="398F29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774" w:type="dxa"/>
          </w:tcPr>
          <w:p w14:paraId="443752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tc>
        <w:tc>
          <w:tcPr>
            <w:tcW w:w="774" w:type="dxa"/>
          </w:tcPr>
          <w:p w14:paraId="1957EB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c>
          <w:tcPr>
            <w:tcW w:w="774" w:type="dxa"/>
          </w:tcPr>
          <w:p w14:paraId="5CF549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c>
          <w:tcPr>
            <w:tcW w:w="633" w:type="dxa"/>
          </w:tcPr>
          <w:p w14:paraId="491E4B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p>
        </w:tc>
        <w:tc>
          <w:tcPr>
            <w:tcW w:w="735" w:type="dxa"/>
          </w:tcPr>
          <w:p w14:paraId="2A48B5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p>
        </w:tc>
        <w:tc>
          <w:tcPr>
            <w:tcW w:w="882" w:type="dxa"/>
          </w:tcPr>
          <w:p w14:paraId="426A06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p>
        </w:tc>
        <w:tc>
          <w:tcPr>
            <w:tcW w:w="920" w:type="dxa"/>
          </w:tcPr>
          <w:p w14:paraId="789262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w:t>
            </w:r>
          </w:p>
        </w:tc>
        <w:tc>
          <w:tcPr>
            <w:tcW w:w="737" w:type="dxa"/>
          </w:tcPr>
          <w:p w14:paraId="22DB6A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w:t>
            </w:r>
          </w:p>
        </w:tc>
        <w:tc>
          <w:tcPr>
            <w:tcW w:w="737" w:type="dxa"/>
          </w:tcPr>
          <w:p w14:paraId="568EC2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201</w:t>
            </w:r>
          </w:p>
        </w:tc>
      </w:tr>
    </w:tbl>
    <w:p w14:paraId="350A35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(9695)</w:t>
      </w:r>
    </w:p>
    <w:p w14:paraId="63AC60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F3ADC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апреля 1943 г. Первые пять серийных СУ С-1 были отправлены в учебный самоходно-артиллерийский полк в пос. Клязьма. Следующие — в учебный самоходно-ар-тиллерийский дивизион в пригородах Свердловска. За месяц службы машины «накатали» от 500 до 720 км и со</w:t>
      </w:r>
      <w:r w:rsidRPr="00D03F3E">
        <w:rPr>
          <w:rFonts w:ascii="Times New Roman" w:hAnsi="Times New Roman"/>
          <w:color w:val="000000" w:themeColor="text1"/>
          <w:sz w:val="16"/>
          <w:szCs w:val="16"/>
        </w:rPr>
        <w:softHyphen/>
        <w:t>действовали в обучении более 150 будущих самоходчиков.</w:t>
      </w:r>
    </w:p>
    <w:p w14:paraId="2D5F04B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Отзывы о машине были неплохими, и только трудность запуска двигателя на морозе (для быстрого запуска, по воспоминанию ветеранов, порой приходилось заливать </w:t>
      </w:r>
      <w:r w:rsidRPr="00D03F3E">
        <w:rPr>
          <w:rFonts w:ascii="Times New Roman" w:hAnsi="Times New Roman"/>
          <w:color w:val="000000" w:themeColor="text1"/>
          <w:sz w:val="16"/>
          <w:szCs w:val="16"/>
        </w:rPr>
        <w:lastRenderedPageBreak/>
        <w:t>в карбюраторы горящий бензин) отмечалась всеми техни</w:t>
      </w:r>
      <w:r w:rsidRPr="00D03F3E">
        <w:rPr>
          <w:rFonts w:ascii="Times New Roman" w:hAnsi="Times New Roman"/>
          <w:color w:val="000000" w:themeColor="text1"/>
          <w:sz w:val="16"/>
          <w:szCs w:val="16"/>
        </w:rPr>
        <w:softHyphen/>
        <w:t>ками, как «недостаток первой важности».</w:t>
      </w:r>
    </w:p>
    <w:p w14:paraId="31457E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временем по уточненным чертежам завод начал из</w:t>
      </w:r>
      <w:r w:rsidRPr="00D03F3E">
        <w:rPr>
          <w:rFonts w:ascii="Times New Roman" w:hAnsi="Times New Roman"/>
          <w:color w:val="000000" w:themeColor="text1"/>
          <w:sz w:val="16"/>
          <w:szCs w:val="16"/>
        </w:rPr>
        <w:softHyphen/>
        <w:t>готовление «фронтовой» серии из 20 САУ, которые, впро</w:t>
      </w:r>
      <w:r w:rsidRPr="00D03F3E">
        <w:rPr>
          <w:rFonts w:ascii="Times New Roman" w:hAnsi="Times New Roman"/>
          <w:color w:val="000000" w:themeColor="text1"/>
          <w:sz w:val="16"/>
          <w:szCs w:val="16"/>
        </w:rPr>
        <w:softHyphen/>
        <w:t>чем, также частично попали в учебные подразделения. Лишь с апреля 1943 г. СУ-76(С-1) начали поступать в войска.</w:t>
      </w:r>
    </w:p>
    <w:p w14:paraId="521D9A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Первые самоходки имели «спартанский» вид, но до</w:t>
      </w:r>
      <w:r w:rsidRPr="00D03F3E">
        <w:rPr>
          <w:rFonts w:ascii="Times New Roman" w:hAnsi="Times New Roman"/>
          <w:color w:val="000000" w:themeColor="text1"/>
          <w:sz w:val="16"/>
          <w:szCs w:val="16"/>
        </w:rPr>
        <w:softHyphen/>
        <w:t>вольно хорошую внешнюю отделку. Их боевая рубка была сварена из бронеплит толщиной 35 мм в лобовой части и 20 мм или 15 мм в бортах и корме. Крыша боевой рубки вы</w:t>
      </w:r>
      <w:r w:rsidRPr="00D03F3E">
        <w:rPr>
          <w:rFonts w:ascii="Times New Roman" w:hAnsi="Times New Roman"/>
          <w:color w:val="000000" w:themeColor="text1"/>
          <w:sz w:val="16"/>
          <w:szCs w:val="16"/>
        </w:rPr>
        <w:softHyphen/>
        <w:t>краивалась из цельного листа и крепилась болтами. Это об</w:t>
      </w:r>
      <w:r w:rsidRPr="00D03F3E">
        <w:rPr>
          <w:rFonts w:ascii="Times New Roman" w:hAnsi="Times New Roman"/>
          <w:color w:val="000000" w:themeColor="text1"/>
          <w:sz w:val="16"/>
          <w:szCs w:val="16"/>
        </w:rPr>
        <w:softHyphen/>
        <w:t>легчало доступ в боевое отделение САУ для проведения ре</w:t>
      </w:r>
      <w:r w:rsidRPr="00D03F3E">
        <w:rPr>
          <w:rFonts w:ascii="Times New Roman" w:hAnsi="Times New Roman"/>
          <w:color w:val="000000" w:themeColor="text1"/>
          <w:sz w:val="16"/>
          <w:szCs w:val="16"/>
        </w:rPr>
        <w:softHyphen/>
        <w:t>монта, но после боев лета 1943 г. на многих САУ крыша бы</w:t>
      </w:r>
      <w:r w:rsidRPr="00D03F3E">
        <w:rPr>
          <w:rFonts w:ascii="Times New Roman" w:hAnsi="Times New Roman"/>
          <w:color w:val="000000" w:themeColor="text1"/>
          <w:sz w:val="16"/>
          <w:szCs w:val="16"/>
        </w:rPr>
        <w:softHyphen/>
        <w:t>ла демонтирована для улучшения вентиляции. Поскольку в начале 1943 г. радиостанции были в дефи</w:t>
      </w:r>
      <w:r w:rsidRPr="00D03F3E">
        <w:rPr>
          <w:rFonts w:ascii="Times New Roman" w:hAnsi="Times New Roman"/>
          <w:color w:val="000000" w:themeColor="text1"/>
          <w:sz w:val="16"/>
          <w:szCs w:val="16"/>
        </w:rPr>
        <w:softHyphen/>
        <w:t>ците, их планировали установить на каждую четвертую ма</w:t>
      </w:r>
      <w:r w:rsidRPr="00D03F3E">
        <w:rPr>
          <w:rFonts w:ascii="Times New Roman" w:hAnsi="Times New Roman"/>
          <w:color w:val="000000" w:themeColor="text1"/>
          <w:sz w:val="16"/>
          <w:szCs w:val="16"/>
        </w:rPr>
        <w:softHyphen/>
        <w:t>шину, тем более что большинство из САУ шли первоначаль</w:t>
      </w:r>
      <w:r w:rsidRPr="00D03F3E">
        <w:rPr>
          <w:rFonts w:ascii="Times New Roman" w:hAnsi="Times New Roman"/>
          <w:color w:val="000000" w:themeColor="text1"/>
          <w:sz w:val="16"/>
          <w:szCs w:val="16"/>
        </w:rPr>
        <w:softHyphen/>
        <w:t>но в учебные подразделения. Но уже к лету радиостанция</w:t>
      </w:r>
      <w:r w:rsidRPr="00D03F3E">
        <w:rPr>
          <w:rFonts w:ascii="Times New Roman" w:hAnsi="Times New Roman"/>
          <w:color w:val="000000" w:themeColor="text1"/>
          <w:sz w:val="16"/>
          <w:szCs w:val="16"/>
        </w:rPr>
        <w:softHyphen/>
        <w:t>ми типа 9-Р снабжали практически каждую СУ-76(С-1) (11417).</w:t>
      </w:r>
    </w:p>
    <w:p w14:paraId="54B7EE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4862DB" w14:textId="77777777" w:rsidR="00767982" w:rsidRPr="00D03F3E" w:rsidRDefault="00767982" w:rsidP="00D03F3E">
      <w:pPr>
        <w:pStyle w:val="book"/>
        <w:ind w:firstLine="0"/>
        <w:jc w:val="both"/>
        <w:rPr>
          <w:color w:val="000000" w:themeColor="text1"/>
          <w:sz w:val="16"/>
          <w:szCs w:val="16"/>
        </w:rPr>
      </w:pPr>
      <w:r w:rsidRPr="00D03F3E">
        <w:rPr>
          <w:color w:val="000000" w:themeColor="text1"/>
          <w:sz w:val="16"/>
          <w:szCs w:val="16"/>
        </w:rPr>
        <w:t>3 апреля 1943 г. первые пять серийных САУ СУ-76И были отправлены в учебный самоходно-артиллерийский полк, дислоцированный в пригородах Свердловска. За месяц службы машины прошли от 500 до 720 км, на них обучались более ста будущих самоходчиков (15225).</w:t>
      </w:r>
    </w:p>
    <w:p w14:paraId="07054327" w14:textId="77777777" w:rsidR="00767982" w:rsidRPr="00D03F3E" w:rsidRDefault="00767982" w:rsidP="00D03F3E">
      <w:pPr>
        <w:pStyle w:val="book"/>
        <w:ind w:firstLine="0"/>
        <w:jc w:val="both"/>
        <w:rPr>
          <w:color w:val="000000" w:themeColor="text1"/>
          <w:sz w:val="16"/>
          <w:szCs w:val="16"/>
        </w:rPr>
      </w:pPr>
    </w:p>
    <w:p w14:paraId="6FEDEF9B" w14:textId="77777777" w:rsidR="00767982" w:rsidRPr="00D03F3E" w:rsidRDefault="00767982"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апреля 1943 в адрес Молотова с предложением закупать вместо «Матильд» танки «Кромвель» обратился начальник ГБТУ КА генерал-полковник Федоренко. Торговое представительство СССР в Великобритании, а также агенты ГРУ получили задание достать как можно больше информации по новым английским танкам. Быстро выяснилось, что Centaur оснащается двигателем Nuffield-Liberty, потому интерес к нему тут же угас. Впрочем, предложение о поставках Centaur имело место, поскольку 14 мая 1943 года поступил ответ из Британской военной миссии в СССР.</w:t>
      </w:r>
    </w:p>
    <w:p w14:paraId="160DEF3E" w14:textId="77777777" w:rsidR="00767982" w:rsidRPr="00D03F3E" w:rsidRDefault="00767982" w:rsidP="00D03F3E">
      <w:pPr>
        <w:pStyle w:val="ae"/>
        <w:shd w:val="clear" w:color="auto" w:fill="FFFFFF"/>
        <w:spacing w:before="0" w:after="0"/>
        <w:jc w:val="both"/>
        <w:rPr>
          <w:color w:val="000000" w:themeColor="text1"/>
          <w:sz w:val="16"/>
          <w:szCs w:val="16"/>
        </w:rPr>
      </w:pPr>
      <w:r w:rsidRPr="00D03F3E">
        <w:rPr>
          <w:color w:val="000000" w:themeColor="text1"/>
          <w:sz w:val="16"/>
          <w:szCs w:val="16"/>
        </w:rPr>
        <w:t>Согласно ответу, англичане были готовы поставлять «Сенторс» (так Centaur указывается в документе), но Военное Министерство предлагало вместо них увеличить поставку танков «Шерман». Речь шла об M4A2 в «английской» комплектации (английские радиостанции и некоторые изменения в оборудовании), которые в английской армии имели индекс Sherman III. То есть, англичане предлагали перепродать Советскому Союзу танки, поставленные, в свою очередь, американцами для англичан.</w:t>
      </w:r>
    </w:p>
    <w:p w14:paraId="2F9FE096" w14:textId="77777777" w:rsidR="00767982" w:rsidRPr="00D03F3E" w:rsidRDefault="00767982" w:rsidP="00D03F3E">
      <w:pPr>
        <w:pStyle w:val="ae"/>
        <w:shd w:val="clear" w:color="auto" w:fill="FFFFFF"/>
        <w:spacing w:before="0" w:after="0"/>
        <w:jc w:val="both"/>
        <w:rPr>
          <w:color w:val="000000" w:themeColor="text1"/>
          <w:sz w:val="16"/>
          <w:szCs w:val="16"/>
        </w:rPr>
      </w:pPr>
      <w:r w:rsidRPr="00D03F3E">
        <w:rPr>
          <w:color w:val="000000" w:themeColor="text1"/>
          <w:sz w:val="16"/>
          <w:szCs w:val="16"/>
        </w:rPr>
        <w:t>Судя по переписке, так оно в итоге и получилось. Тем не менее, англичане были готовы продемонстрировать Centaur советским представителям в Великобритании. На этом активность по новым танкам затихла, поскольку M4A2, даже в английской комплектации, ГБТУ КА показались более интересными (15737).</w:t>
      </w:r>
    </w:p>
    <w:p w14:paraId="2377A3C6" w14:textId="77777777" w:rsidR="00767982" w:rsidRPr="00D03F3E" w:rsidRDefault="00767982" w:rsidP="00D03F3E">
      <w:pPr>
        <w:pStyle w:val="ae"/>
        <w:shd w:val="clear" w:color="auto" w:fill="FFFFFF"/>
        <w:spacing w:before="0" w:after="0"/>
        <w:jc w:val="both"/>
        <w:rPr>
          <w:color w:val="000000" w:themeColor="text1"/>
          <w:sz w:val="16"/>
          <w:szCs w:val="16"/>
        </w:rPr>
      </w:pPr>
    </w:p>
    <w:p w14:paraId="3FD2AF22" w14:textId="77777777" w:rsidR="00C327FA" w:rsidRPr="00D03F3E" w:rsidRDefault="00C327F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3 апреля 1943 в адрес Молотова с предложением закупать вместо «Матильд» танки «Кромвель» обратился начальник ГБТУ КА генерал-полковник Федоренко. Торговое представительство СССР в Великобритании, а также агенты ГРУ получили задание достать как можно больше информации по новым английским танкам. Быстро выяснилось, что Centaur оснащается двигателем Nuffield-Liberty, потому интерес к нему тут же угас. Впрочем, предложение о поставках Centaur имело место, поскольку 14 мая 1943 года поступил ответ из Британской военной миссии в СССР (17645).</w:t>
      </w:r>
    </w:p>
    <w:p w14:paraId="10957AC7" w14:textId="77777777" w:rsidR="00C327FA" w:rsidRPr="00D03F3E" w:rsidRDefault="00C327FA" w:rsidP="00D03F3E">
      <w:pPr>
        <w:pStyle w:val="12a"/>
        <w:shd w:val="clear" w:color="auto" w:fill="auto"/>
        <w:spacing w:after="0" w:line="240" w:lineRule="auto"/>
        <w:jc w:val="both"/>
        <w:rPr>
          <w:color w:val="000000" w:themeColor="text1"/>
          <w:sz w:val="16"/>
          <w:szCs w:val="16"/>
        </w:rPr>
      </w:pPr>
    </w:p>
    <w:p w14:paraId="5193EC7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апреля 1943 года на базе бро</w:t>
      </w:r>
      <w:r w:rsidRPr="00D03F3E">
        <w:rPr>
          <w:rFonts w:ascii="Times New Roman" w:hAnsi="Times New Roman"/>
          <w:color w:val="000000" w:themeColor="text1"/>
          <w:sz w:val="16"/>
          <w:szCs w:val="16"/>
        </w:rPr>
        <w:softHyphen/>
        <w:t>неавтомобиля БА-64Б был изготовлен новый опытный образец броне</w:t>
      </w:r>
      <w:r w:rsidRPr="00D03F3E">
        <w:rPr>
          <w:rFonts w:ascii="Times New Roman" w:hAnsi="Times New Roman"/>
          <w:color w:val="000000" w:themeColor="text1"/>
          <w:sz w:val="16"/>
          <w:szCs w:val="16"/>
        </w:rPr>
        <w:softHyphen/>
        <w:t>автомобиля БА-64Е, который отличался от предыдущего опытного об</w:t>
      </w:r>
      <w:r w:rsidRPr="00D03F3E">
        <w:rPr>
          <w:rFonts w:ascii="Times New Roman" w:hAnsi="Times New Roman"/>
          <w:color w:val="000000" w:themeColor="text1"/>
          <w:sz w:val="16"/>
          <w:szCs w:val="16"/>
        </w:rPr>
        <w:softHyphen/>
        <w:t>разца отсутствием штатного вооружения и наращенных по высоте бро</w:t>
      </w:r>
      <w:r w:rsidRPr="00D03F3E">
        <w:rPr>
          <w:rFonts w:ascii="Times New Roman" w:hAnsi="Times New Roman"/>
          <w:color w:val="000000" w:themeColor="text1"/>
          <w:sz w:val="16"/>
          <w:szCs w:val="16"/>
        </w:rPr>
        <w:softHyphen/>
        <w:t>невых бортов десантного отделения. В бортах корпуса были выполнены два отверстия для наблюдения и ведения стрельбы из оружия десанта, закрываемые броневыми заслонками. Ширина кормовой двери для вы</w:t>
      </w:r>
      <w:r w:rsidRPr="00D03F3E">
        <w:rPr>
          <w:rFonts w:ascii="Times New Roman" w:hAnsi="Times New Roman"/>
          <w:color w:val="000000" w:themeColor="text1"/>
          <w:sz w:val="16"/>
          <w:szCs w:val="16"/>
        </w:rPr>
        <w:softHyphen/>
        <w:t>хода и посадки десанта была увеличена. Дальнейшие работы по совер</w:t>
      </w:r>
      <w:r w:rsidRPr="00D03F3E">
        <w:rPr>
          <w:rFonts w:ascii="Times New Roman" w:hAnsi="Times New Roman"/>
          <w:color w:val="000000" w:themeColor="text1"/>
          <w:sz w:val="16"/>
          <w:szCs w:val="16"/>
        </w:rPr>
        <w:softHyphen/>
        <w:t>шенствованию БА-64Е были приостановлены (10703).</w:t>
      </w:r>
    </w:p>
    <w:p w14:paraId="32E2CE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1A91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3 апреля 1943 года создали следующий вариант бронетранспортера на базе БА-64. Он был сделан уже на основе БА-64Б. Борта этого варианта были подняты выше и в них были сделаны по две бойницы с каждого борта. Вооружение сняли совсем, хотя судя по некоторым данным, вопрос о вооружении еще дискутировался довольно долго и даже были идеи о вооружении БА-64Е легкой 37-мм пушкой ЧК-М-1 (3862).</w:t>
      </w:r>
    </w:p>
    <w:p w14:paraId="1047D2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5FEB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апреля 1943 г. вышло РАСПОРЯЖЕНИЕ СНК СССР О ВЫЯВЛЕНИИ ВОЗМОЖНОСТИ ПОВЫШЕНИЯ СТЕПЕНИ СЖАТИЯ У ОТЕЧЕСТВЕННЫХ АВТОДВИГАТЕЛЕЙ С ЦЕЛЬЮ ЭКОНОМИИ АВТОБЕНЗИНА № 6903-рс</w:t>
      </w:r>
    </w:p>
    <w:p w14:paraId="30D584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ГАВТУ КА (т. Белокоскова) совместно с Академией наук СССР (т. Чудаковым) и Наркомсредмашем (т. Акоповым) в целях установления возможности экономии автобензина за счет повышения степени сжатия у отечественных автодвигателей и применения на них продукта В-20 в качестве антидетонатора провести:</w:t>
      </w:r>
    </w:p>
    <w:p w14:paraId="0A4B55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испытания автомашин ГАЗ-АА и ЗИС-5 в трех автобатах в нормальных эксплуатационных условиях с установкой газогенераторных головок блока цилиндров и применением этилированного автобензина;</w:t>
      </w:r>
    </w:p>
    <w:p w14:paraId="070D1A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стендовые испытания двигателей ГАЗ-АА, ГАЗ-М и ЗИС-5 с газогенераторными головками блока цилиндров, дроссельной шайбой, ограничивающей мощность до номинальной при стандарт</w:t>
      </w:r>
      <w:r w:rsidRPr="00D03F3E">
        <w:rPr>
          <w:rFonts w:ascii="Times New Roman" w:hAnsi="Times New Roman"/>
          <w:color w:val="000000" w:themeColor="text1"/>
          <w:sz w:val="16"/>
          <w:szCs w:val="16"/>
        </w:rPr>
        <w:softHyphen/>
        <w:t>ной головке блока цилиндров, и применением этилированного автобензина.</w:t>
      </w:r>
    </w:p>
    <w:p w14:paraId="1CB86F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результатах испытаний доложить Совнаркому СССР к 1 июля 1943 г.</w:t>
      </w:r>
    </w:p>
    <w:p w14:paraId="6A9B1B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Обязать Наркомсредмаш (т. Акопова) изготовить и передать ГАВТУ КА до 20 апреля 1943 г. для переоборудования указанных в п. 1 настоящего распоряжения автомашин 600 газогенераторных головок блока цилиндров ГАЗ и 50 газогенераторных головок блока цилиндров ЗИС.</w:t>
      </w:r>
    </w:p>
    <w:p w14:paraId="5B6ABF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Обязать УСГ КА (т. Кормилицына) обеспечить проведение указанных в п.1 настоящего распо</w:t>
      </w:r>
      <w:r w:rsidRPr="00D03F3E">
        <w:rPr>
          <w:rFonts w:ascii="Times New Roman" w:hAnsi="Times New Roman"/>
          <w:color w:val="000000" w:themeColor="text1"/>
          <w:sz w:val="16"/>
          <w:szCs w:val="16"/>
        </w:rPr>
        <w:softHyphen/>
        <w:t>ряжения испытаний горюче-смазочными материалами по заявкам ГАВТУ КА за счет фондов НКО.</w:t>
      </w:r>
    </w:p>
    <w:p w14:paraId="293AFD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Заместитель Председателя Совета народных комиссаров СССР</w:t>
      </w:r>
    </w:p>
    <w:p w14:paraId="5717B32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Микоян</w:t>
      </w:r>
    </w:p>
    <w:p w14:paraId="4341BAF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41. Оп. 11584. Д. 747. Л. 55. Копия (11403).</w:t>
      </w:r>
    </w:p>
    <w:p w14:paraId="4BAF36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BC6F0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апреля 1943 года вышел приказ № 178с НКВ</w:t>
      </w:r>
    </w:p>
    <w:p w14:paraId="26FB12C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осуществления восстановительных работ по заводу № 221</w:t>
      </w:r>
    </w:p>
    <w:p w14:paraId="090BB2C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Назначить директором завода № 221 Шачина В.С., гл. инженером Казакова А.И (6433, 5).</w:t>
      </w:r>
    </w:p>
    <w:p w14:paraId="20D68AB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950D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апреля 1943 вышло Постановление ГКО № 3113 Об отпуске продовольственных, госпитальных и фуражных пайков для Красной Армии, Военно-Морского Флота и войск НКВД в апреле 1943 г.РГАНИР, Фонд ГКО, д. 100, лл. 117-119, 120-121 (11012).</w:t>
      </w:r>
    </w:p>
    <w:p w14:paraId="2E29A6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F168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апреля 1943 вышло Постановление ГКО № 3114 Об организации баз по ремонту танков и дизелей в г. Ростове-на-Дону.РГАНИР, Фонд ГКО, д. 100, лл. 122 (11012).</w:t>
      </w:r>
    </w:p>
    <w:p w14:paraId="5E46E3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9222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апреля 1943 вышло Распоряжение ГКО № 3115. О распространении на ТЭЦ Алтайского тракторного завода постановлений ГКО № 2422 и № 2423 от 15 октября 1942 г.РГАНИР, Фонд ГКО, д. 100, лл. 123 (11012).</w:t>
      </w:r>
    </w:p>
    <w:p w14:paraId="614DFD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15EC3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апреля 1943 вышло Постановление ГКО № 3116 Об организации Всесоюзного социалистического соревнования электростанций Наркомцветмета*. * На условиях, установленных для предприятий НКЦМ. (7092, 124).</w:t>
      </w:r>
    </w:p>
    <w:p w14:paraId="4C13C5E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9B4904"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394CF7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B028FC" w14:textId="77777777" w:rsidR="00767982" w:rsidRPr="00D03F3E" w:rsidRDefault="007679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апреля</w:t>
      </w:r>
      <w:r w:rsidRPr="00D03F3E">
        <w:rPr>
          <w:rFonts w:ascii="Times New Roman" w:hAnsi="Times New Roman"/>
          <w:color w:val="000000" w:themeColor="text1"/>
          <w:sz w:val="16"/>
          <w:szCs w:val="16"/>
        </w:rPr>
        <w:t xml:space="preserve"> в 1943 году утреннее сообщение Совинформбюро:</w:t>
      </w:r>
    </w:p>
    <w:p w14:paraId="79214082" w14:textId="77777777" w:rsidR="00767982" w:rsidRPr="00D03F3E" w:rsidRDefault="007679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3 апреля на фронтах существенных изменений не произошло.</w:t>
      </w:r>
    </w:p>
    <w:p w14:paraId="0BB4A9D3" w14:textId="77777777" w:rsidR="00767982" w:rsidRPr="00D03F3E" w:rsidRDefault="007679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из участков Западного фронта отряд противника пытался проникнуть к переднему краю нашей обороны. Ружейно-пулемётным и миномётным огнём гитлеровцы были рассеяны и частью уничтожены. На другом участке наши разведчики истребили более 100 немецких солдат и офицеров и захватили трофеи.</w:t>
      </w:r>
    </w:p>
    <w:p w14:paraId="2CE3BB07" w14:textId="77777777" w:rsidR="00767982" w:rsidRPr="00D03F3E" w:rsidRDefault="007679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районе среднего течения Северного Донца немцы продолжали атаки на позиции, которые обороняет Н-ская часть. Наши бойцы отбили атаки противника и уничтожили немецкий танк, 2 самоходные пушки и 150 немецких солдат и офицеров. Огнём из пехотного оружия сбит бомбардировщик противника.</w:t>
      </w:r>
    </w:p>
    <w:p w14:paraId="378AB7F0" w14:textId="77777777" w:rsidR="00767982" w:rsidRPr="00D03F3E" w:rsidRDefault="007679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советские артиллеристы и миномётчики разрушили 8 вражеских дзотов, подавили огонь артиллерийской и миномётной батарей, рассеяли и частично уничтожили до двух рот пехоты противника.</w:t>
      </w:r>
    </w:p>
    <w:p w14:paraId="5FBF3519" w14:textId="77777777" w:rsidR="00767982" w:rsidRPr="00D03F3E" w:rsidRDefault="007679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войска вели наступательные бои и заняли несколько населённых пунктов. В районе Анастасиевской захвачены у противника 250 автомашин, 25 тракторов и склад боеприпасов. На подступах к одному населённому пункту немцы оказывали особенно упорное сопротивление. Наши артиллеристы выдвинули несколько орудий на открытые позиции и метким огнём разрушили ряд вражеских дзотов. Под прикрытием артиллерийского огня советские бойцы ворвались в населённый пункт и истребили оборонявший его гарнизон противника. На поле боя осталось до 300 вражеских трупов. Захвачены 3 орудия, 22 пулемёта и другие трофеи.</w:t>
      </w:r>
    </w:p>
    <w:p w14:paraId="4564E1CA" w14:textId="77777777" w:rsidR="00767982" w:rsidRPr="00D03F3E" w:rsidRDefault="007679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Партизаны отряда, действующего в одном из районов Могилёвской области, 18 марта разгромили немецкий карательный отряд, производивший расправу над мирными советскими жителями. Убито 18 и ранено 23 гитлеровца. Партизаны другого отряда уничтожили 4 автомашины с немецкими солдатами и офицерами. Захвачены трофеи: 3 пулемёта, 3 автомата, З5 винтовок и боеприпасы.</w:t>
      </w:r>
    </w:p>
    <w:p w14:paraId="4A36D6D4" w14:textId="77777777" w:rsidR="00767982" w:rsidRPr="00D03F3E" w:rsidRDefault="007679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в течение одного дня сдались в плен несколько групп солдат 321 немецкой пехотной дивизии. Пленный солдат 588 полка Станислав Е. рассказал: "В декабре началась массовая переброска немецких войск из Франции в Россию. Мы догадывались, что это связано с неудачами немецкой армии на Восточном фронте. Вскоре наша дивизия, находившаяся в Булони, также была отправлена на Восток. Настроение солдат резко ухудшилось. Даже матёрые нацисты сбавили спесь. Многим стало ясно, что, несмотря на тяжёлые потери, понесённые в 1942 году, немецкая армия не добилась никаких результатов. Лучшие немецкие дивизии уничтожены под Сталинградом. Германия потеряла всякие надежды захватить кавказскую нефть, с которой было связано так много надежд. Отступление немецких войск на Центральном фронте совсем огорошило солдат. Чтобы спасти себе жизнь, группа солдат нашей роты добровольно сдалась в плен».</w:t>
      </w:r>
    </w:p>
    <w:p w14:paraId="34DC51B1" w14:textId="77777777" w:rsidR="00767982" w:rsidRPr="00D03F3E" w:rsidRDefault="007679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Отступая под ударами Красной Армии, немецко-фашистские войска сжигают деревнии сёла. Мирных жителей гитлеровцы насильно угоняют в тыл или расстреливают. Немецко-фашистские мерзавцы сожгли дотла деревню Леоново, Смоленской области. Огнём уничтожены 140 домов, больница, школа и все хозяйственные постройки. Фашистские палачи согнали к оврагу около деревни Иванисово жителей окрестных деревень и расстреляли их из автоматов и пулемётов. В числе убитых много женщин и малолетних детей.» (15088).</w:t>
      </w:r>
    </w:p>
    <w:p w14:paraId="0336C281" w14:textId="77777777" w:rsidR="00767982" w:rsidRPr="00D03F3E" w:rsidRDefault="00767982" w:rsidP="00D03F3E">
      <w:pPr>
        <w:spacing w:after="0" w:line="240" w:lineRule="auto"/>
        <w:jc w:val="both"/>
        <w:rPr>
          <w:rFonts w:ascii="Times New Roman" w:hAnsi="Times New Roman"/>
          <w:color w:val="000000" w:themeColor="text1"/>
          <w:sz w:val="16"/>
          <w:szCs w:val="16"/>
        </w:rPr>
      </w:pPr>
    </w:p>
    <w:p w14:paraId="66D0821D" w14:textId="77777777" w:rsidR="00767982" w:rsidRPr="00D03F3E" w:rsidRDefault="007679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апреля</w:t>
      </w:r>
      <w:r w:rsidRPr="00D03F3E">
        <w:rPr>
          <w:rFonts w:ascii="Times New Roman" w:hAnsi="Times New Roman"/>
          <w:color w:val="000000" w:themeColor="text1"/>
          <w:sz w:val="16"/>
          <w:szCs w:val="16"/>
        </w:rPr>
        <w:t xml:space="preserve"> в 1943 году вечернее сообщение Совинформбюро:</w:t>
      </w:r>
    </w:p>
    <w:p w14:paraId="681C75AA" w14:textId="77777777" w:rsidR="00767982" w:rsidRPr="00D03F3E" w:rsidRDefault="007679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3 апреля на фронтах существенных изменений не произошло.</w:t>
      </w:r>
    </w:p>
    <w:p w14:paraId="26DAF784" w14:textId="77777777" w:rsidR="00767982" w:rsidRPr="00D03F3E" w:rsidRDefault="007679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апреля частями нашей авиации на различных участках фронта уничтожено или повреждено не менее 25 немецких автомашин с войсками и грузами, взорвано 2 склада боеприпасов, рассеяно и частью уничтожено до роты пехоты противника.</w:t>
      </w:r>
    </w:p>
    <w:p w14:paraId="395646FD" w14:textId="77777777" w:rsidR="00767982" w:rsidRPr="00D03F3E" w:rsidRDefault="007679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закреплялись на достигнутых рубежах и уничтожали огневые средства противника. Нашей артиллерией разрушено 9 блиндажей, уничтожено 2 орудия и до 20 пулемётов противника. На одном участке продвижению наших подразделений мешал пулемётный огонь, который вели немцы, укрывшиеся в блиндаже. Автоматчик т. Сабитов пробрался в расположение гитлеровцев, подполз к блиндажу и бросил в него гранату. Огневая точка противника была уничтожена.</w:t>
      </w:r>
    </w:p>
    <w:p w14:paraId="3DEE2F0D" w14:textId="77777777" w:rsidR="00767982" w:rsidRPr="00D03F3E" w:rsidRDefault="007679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наши части вели оборонительные бои. На одном участке немцы бросили в наступление полк мотопехоты, усиленный 20 танками. Советские подразделения мощным огнём отбили атаку гитлеровцев и нанесли им большой урон. По неполным данным, противник потерял только убитыми до 300 солдат и офицеров. Уничтожено 5 немецких танков и 7 самоходных орудий.</w:t>
      </w:r>
    </w:p>
    <w:p w14:paraId="758FE913" w14:textId="77777777" w:rsidR="00767982" w:rsidRPr="00D03F3E" w:rsidRDefault="007679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Н-ское танковое подразделение внезапно атаковало немцев, оборонявших переправу через реку Северный Донец. Смяв оборону противника, танкисты вынудили немцев в беспорядке отступить. Лейтенант т. Глонтий, механик-водитель сержант т. Попов, лейтенант т. Путинцев первыми пробились к переправе, уничтожили две ненецкие самоходные пушки и удержали переправу до подхода наших пехотных подразделений.</w:t>
      </w:r>
    </w:p>
    <w:p w14:paraId="2CED7890" w14:textId="77777777" w:rsidR="00767982" w:rsidRPr="00D03F3E" w:rsidRDefault="007679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бойцы Н-ского соединения вели наступательные бои и овладели населённым пунктом Прикубанский. В бою за этот пункт уничтожено 8 немецких орудий, 6 миномётов и до 250 гитлеровцев. Взяты трофеи, в числе которых несколько пулемётов, много винтовок, мин и патронов.</w:t>
      </w:r>
    </w:p>
    <w:p w14:paraId="2D36ED20" w14:textId="77777777" w:rsidR="00767982" w:rsidRPr="00D03F3E" w:rsidRDefault="007679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«Железняк», действующий в одном из районов Вилейской области, 26 марта совершил успешный налёт на немецкий гарнизон в крупном населённом пункте. Партизаны истребили 210 солдат и офицеров противника и разгромили управления полиции и жандармерии. Захвачены вооружение вражеского гарнизона и два склада с продовольствием. Выполнив боевое задание, партизаны без потерь вернулись на свою базу.</w:t>
      </w:r>
    </w:p>
    <w:p w14:paraId="2F33C309" w14:textId="77777777" w:rsidR="00767982" w:rsidRPr="00D03F3E" w:rsidRDefault="007679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и осенью прошлого года немецкие обыватели сидели у репродукторов и сминуты на минуту ждали экстренного сообщения о падении Сталинграда. У убитого немецкого солдата найдено письмо неизвестного автора, в котором говорилось: «В лимбахской газете уже две недели назад были помещены фотографии: «Сталинград за несколько часов до падения», а экстренного сообщения до сих пор еще нет». Фельдфебеля Пауля Геллера запрашивали его родители: «Когда же падёт Сталинград? Мы все этого ждём, так как тогда обретём покой».</w:t>
      </w:r>
    </w:p>
    <w:p w14:paraId="6FCE0503" w14:textId="77777777" w:rsidR="00767982" w:rsidRPr="00D03F3E" w:rsidRDefault="007679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Вместо экстренного сообщения о падении Сталинграда немцы получили потрясающее известие об уничтожении 6 немецкой армии под Сталинградом, а вместо ликования и покоя — всеобщий траур. Вражеский тыл заскулил. Фельдфебелю Герберту Штиллеру пишут из Ганновера: «...С тех пор, как пришло ужасное известие о Сталинграде, тяжёлое состояние не покидает нас. В голову лезут различные страхи». Солдату Петеру Шютцендеру пишут из Дортмунда: «Времена ужасно изменились. Невозможное стало возможным. Все находившиеся под Сталинградом убиты или попали к русским в плен. Всё пошло крахом». Неизвестному немецкому солдату пишут: «Сегодня сообщили, что с теми, которые были окружены под Сталинградом, всё покончено. Это что-то ужасное! Там остался и Гюнтер Цернехаль. Все в глубоком горе, куда ни посмотришь, всюду люди плачут. Кто знает, что нам предстоит ещё впереди?» Фрида Циммерман сообщает мужу ефрейтору Евгению Циммерману: «...В нашей деревушке тоже царит сильное возбуждение, потому что несколько человек отсюда находились в Сталинграде. Что же будет дальше?» Унтер-офицеру Гюнтеру Шрейберу пишут из Мюнхена: «Не хочется верить, что 6 армия уничтожена... За эти дни многие состарились на несколько лет. Нет никакой охоты слушать радио. В Германии считают, что теперь война проиграна».</w:t>
      </w:r>
    </w:p>
    <w:p w14:paraId="4DA32EA3" w14:textId="77777777" w:rsidR="00767982" w:rsidRPr="00D03F3E" w:rsidRDefault="007679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Французские патриоты разгромили в Руане немецкое бюро по вывозу рабочих в Германию. Французы уничтожили все списки и документы. Гитлеровские чиновники, пытавшиеся оказать сопротивление, были убиты. На авиационном заводе близ Парижа произошёл взрыв. Один цех полностью разрушен. В Тулузе французские железнодорожники вывели из строя три паровоза. В Лионе патриоты сожгли немецкий гараж вместе с находившимися в нём автомашинами.» (15088).</w:t>
      </w:r>
    </w:p>
    <w:p w14:paraId="08410872" w14:textId="77777777" w:rsidR="00767982" w:rsidRPr="00D03F3E" w:rsidRDefault="00767982" w:rsidP="00D03F3E">
      <w:pPr>
        <w:spacing w:after="0" w:line="240" w:lineRule="auto"/>
        <w:jc w:val="both"/>
        <w:rPr>
          <w:rFonts w:ascii="Times New Roman" w:hAnsi="Times New Roman"/>
          <w:color w:val="000000" w:themeColor="text1"/>
          <w:sz w:val="16"/>
          <w:szCs w:val="16"/>
        </w:rPr>
      </w:pPr>
    </w:p>
    <w:p w14:paraId="41EDC0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апреля 1943 четыре истребителя Як-1 французской эскадрильи впервые приняли участие в сопровождении пяти бомбардировщиков Пе-2. Всего через два дня - 5 апреля, - французские летчики приняли свой первый воздушный бой с 10 FW. 190.</w:t>
      </w:r>
    </w:p>
    <w:p w14:paraId="58EF72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апреля 1943 г. эскадрилья получила еще четыре самолета Як-1 для восполнения потерь. Но на самолетах этого типа ей пришлось летать недолго. В начале июля 1943 г. летчиков известили о перевооружении на истребители Як-9. К 19 июля 1943 г. летчиками Нормандии было сбито 30 немецких самолетов. Потери эскадрильи составили 11 летчиков. К августу эскадрилью развернули в полнокровный авиаполк на новом типе самолета. Оставшиеся 14 машин Як-1 использовались в полку "Нормандия" до ноября для переучивания и тренировки вновь прибывших пилотов.</w:t>
      </w:r>
    </w:p>
    <w:p w14:paraId="74FEBB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"Нормандия" из всех иностранных авиационных частей отличалась наибольшей активностью в боевых действиях. На Як-1 в ней выделялся Альбер Дюран, сбивший лично два и в группе один самолет противника. За ним следовал Марсель Лефевр (Marsel Lefevre), лично сбивший два самолета, и Ноэль Кастелен (Noel Castelain), сбивший лично один самолет и один в группе (12048).</w:t>
      </w:r>
    </w:p>
    <w:p w14:paraId="6B7369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983C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апреля 1943 г. вышел ПРИКАЗ № 0230 ОБ ОРГАНИЗАЦИИ ПЕРЕГОНА ИМПОРТНЫХ АВТОМАШИН ИЗ г. ДЖУЛЬФЫ В г. ОРДЖОНИКИДЗЕ</w:t>
      </w:r>
    </w:p>
    <w:p w14:paraId="7C6216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хранения и использования поступающих через Иран импортных автомашин приказываю:</w:t>
      </w:r>
    </w:p>
    <w:p w14:paraId="59F437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Все импортные машины, сосредотачиваемые в г. Джульфа, перегонять своим ходом в г. Орджоникидзе.</w:t>
      </w:r>
    </w:p>
    <w:p w14:paraId="0906E5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Организацию перегона машин возлагаю на начальника Главного автомобильного управления Красной Армии.</w:t>
      </w:r>
    </w:p>
    <w:p w14:paraId="68A884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Перегонку машин производить по маршруту: Джульфа — Ереван — Казах — Тбилиси — Орджоникидзе. Для чего:</w:t>
      </w:r>
    </w:p>
    <w:p w14:paraId="23E026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Начальнику Главного управления автотранспортной и дорожной службы Красной Армии т. Кондратьеву организовать военно-автомобильную дорогу на участке Ереван — Орджоникидзе, использовав дорожно-эксплуатационные части Закавказского и Северо-Кавказского фронтов.</w:t>
      </w:r>
    </w:p>
    <w:p w14:paraId="69347C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ВАДе к 8 апреля 1943 года обеспечить службу регулирования, связь, техническую помощь, заправочные пункты ГСМ и питания личного состава, участвующего в перегоне машин;</w:t>
      </w:r>
    </w:p>
    <w:p w14:paraId="1D8867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Начальнику управления снабжения горючим Красной Армии т. Корми-лицину к 8 апреля обеспечить содержание запасов ГСМ и тары в г.г. Джульфе, Ереване, Казахе, Тбилиси и Орджоникидзе. На снабжение импортных машин топливом выдавать смесь, состоящую из 20% — “КБ-70” и 80% автобензина; в) Начальнику ГУПС Красной Армии т. Павлову создать по маршруту следования машин продовольственные запасы из сухого пайка и бесперебойное снабжение продовольствием перегонщиков машин по норме № 1 приказа НКО № 312 1941 года.*</w:t>
      </w:r>
    </w:p>
    <w:p w14:paraId="14F867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Для хранения импортных автомашин и запасных частей к ним сформировать в г.г. Джульфе, Астаре и Орджоникидзе центральные автомобильные склады по штату № 032/33, подчинив их во всех отношениях начальнику ГАВТУ КА.</w:t>
      </w:r>
    </w:p>
    <w:p w14:paraId="189D1D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Выдачу машин с указанных складов производить с личного разрешения начальника ГАВТУ.</w:t>
      </w:r>
    </w:p>
    <w:p w14:paraId="5E7AB9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Увеличить военную приемку автомашин в Джульфе до 17 человек (штат № 01/372).</w:t>
      </w:r>
    </w:p>
    <w:p w14:paraId="252338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Перегон машин возлагаю на командира 1-й автомобильной бригады Ставки Верховного Главнокомандования подполковника т. Гончарова. С указанной целью — штаб 1-й автобригады и 28-й автомобильный полк Ставки Верховного Главнокомандования передислоцировать из г. Калинина в г. Ереван. Кроме того, в состав 1-й автобригады включить 12-й и 18-й учебные автомобильные полки, 12-й учебный автополк передислоцировать из Степанована в г. Ереван.</w:t>
      </w:r>
    </w:p>
    <w:p w14:paraId="5333DB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Командиру 1-й автомобильной бригады при организации перегона автомашин:</w:t>
      </w:r>
    </w:p>
    <w:p w14:paraId="078455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организовать контрольные посты из командиров штаба в Джульфе, Ереване, на Семеновском перевале, в Казахе, Тбилиси, на Крестовском перевале и в Орджоникидзе;</w:t>
      </w:r>
    </w:p>
    <w:p w14:paraId="7ABE32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перед началом перегона произвести тщательную рекогносцировку маршрута перегона;</w:t>
      </w:r>
    </w:p>
    <w:p w14:paraId="6DA42D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для перегона формировать ротные колонны по 80 автомашин, выпуская их поэшелонно (20 машин) с интервалами в 20—30 минут хода.</w:t>
      </w:r>
    </w:p>
    <w:p w14:paraId="4E688E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На бортах машин иметь литеровку колонн, эшелонов и номера машин.</w:t>
      </w:r>
    </w:p>
    <w:p w14:paraId="1C220D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поддержания порядка, восстановления и эвакуации машин организовать службу технического замыкания, имея в хвосте каждого эшелона по 2—3 незагруженных автомашины, а в хвосте ротной колонны — подвижные ремонтные средства;</w:t>
      </w:r>
    </w:p>
    <w:p w14:paraId="616F2B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суточный пробег автомашин производить в среднем по 150—200 километров, совершая его в дневное время. Через каждые два часа движения организовать привалы по 40—60 минут, во время которых производить технический осмотр машин, устранять недостатки и подтягивать эшелоны и колонны.</w:t>
      </w:r>
    </w:p>
    <w:p w14:paraId="00DBED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местах ночлегов организовать особо тщательную охрану, тщательный технический осмотр, дозаправку машин, питание и отдых личному составу;</w:t>
      </w:r>
    </w:p>
    <w:p w14:paraId="103BD5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на всем маршруте перегона организовать связь и управление, используя местные средства связи.</w:t>
      </w:r>
    </w:p>
    <w:p w14:paraId="6279B2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Ежедневно к 24.00 доносить начальнику Главного автомобильного управления для доклада мне о ходе перегона машин;</w:t>
      </w:r>
    </w:p>
    <w:p w14:paraId="71C247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 сдачу машин на центральной автомобильный склад в Орджоникидзе производить с шоферами 12-го и 18-го учебных автополков; шоферов 28-го автополка, перегоняющих машины, направлять в Джульфу для перегона последующих машин.</w:t>
      </w:r>
    </w:p>
    <w:p w14:paraId="453774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Командующему войсками Закавказского фронта генералу армии т. Тю-леневу обеспечить материально и оказать необходимую помощь в перегоне машин из Джульфы в г. Орджоникидзе.</w:t>
      </w:r>
    </w:p>
    <w:p w14:paraId="7B6CE1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Зам. Народного комиссара обороны генерал-полковник А. ХРУЛЕВ </w:t>
      </w:r>
      <w:r w:rsidRPr="00D03F3E">
        <w:rPr>
          <w:rFonts w:ascii="Times New Roman" w:hAnsi="Times New Roman"/>
          <w:color w:val="000000" w:themeColor="text1"/>
          <w:sz w:val="16"/>
          <w:szCs w:val="16"/>
        </w:rPr>
        <w:t>(9844).</w:t>
      </w:r>
    </w:p>
    <w:p w14:paraId="1B2075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4AA60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апреля 1943 г. вышел ПРИКАЗ НКО СССР ОБ ОРГАНИЗАЦИИ ПЕРЕГОНА ИМПОРТНЫХ АВТОМАШИН ИЗ г. ДЖУЛЬФЫ В г. ОРДЖОНИКИДЗЕ № 0230</w:t>
      </w:r>
    </w:p>
    <w:p w14:paraId="15CFFB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хранения и использования поступающих через Иран импортных автомашин ПРИКАЗЫВАЮ:</w:t>
      </w:r>
    </w:p>
    <w:p w14:paraId="66DF68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Все импортные машины, сосредотачиваемые в г. Джульфа, перегонять своим ходом в г. Орджоникидзе.</w:t>
      </w:r>
    </w:p>
    <w:p w14:paraId="23AD997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Организацию перегона машин возлагаю на начальника Главного автомобильного управления Красной Армии.</w:t>
      </w:r>
    </w:p>
    <w:p w14:paraId="55E526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Перегонку машин производить по маршруту: Джульфе — Ереван — Казах — Тбилиси — Орджоникидзе. Для чего:</w:t>
      </w:r>
    </w:p>
    <w:p w14:paraId="52FEEB6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Начальнику Главного управления автотранспортной и дорожной службы Красной Армии т. Кондратьеву организовать военно-автомобильную дорогу на участке Ереван — Орджоникидзе, использовав дорожно-эксплуатационные части Закавказского и Северо-Кавказского фронтов.</w:t>
      </w:r>
    </w:p>
    <w:p w14:paraId="189A7C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ВАДе к 8 апреля 1943 года обеспечить службу регулирования, связь, техническую помощь, заправочные пункты ГСМ и питания личного состава, участвующего в перегоне машин;</w:t>
      </w:r>
    </w:p>
    <w:p w14:paraId="799F8F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Начальнику управления снабжения горючим Красной Армии т. Кормилицину к 8 апреля обеспе</w:t>
      </w:r>
      <w:r w:rsidRPr="00D03F3E">
        <w:rPr>
          <w:rFonts w:ascii="Times New Roman" w:hAnsi="Times New Roman"/>
          <w:color w:val="000000" w:themeColor="text1"/>
          <w:sz w:val="16"/>
          <w:szCs w:val="16"/>
        </w:rPr>
        <w:softHyphen/>
        <w:t>чить содержание запасов ГСМ и тары в г. Джульфе, Ереване, Казахе, Тбилиси и Орджоникидзе. На снаб</w:t>
      </w:r>
      <w:r w:rsidRPr="00D03F3E">
        <w:rPr>
          <w:rFonts w:ascii="Times New Roman" w:hAnsi="Times New Roman"/>
          <w:color w:val="000000" w:themeColor="text1"/>
          <w:sz w:val="16"/>
          <w:szCs w:val="16"/>
        </w:rPr>
        <w:softHyphen/>
        <w:t>жение импортных машин топливом выдавать смесь, состоящую из 20% - «КБ-70» и 80% автобензина;</w:t>
      </w:r>
    </w:p>
    <w:p w14:paraId="7956F9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Начальнику ГУПС Красной Армии т. Павлову создать по маршруту следования машин продо</w:t>
      </w:r>
      <w:r w:rsidRPr="00D03F3E">
        <w:rPr>
          <w:rFonts w:ascii="Times New Roman" w:hAnsi="Times New Roman"/>
          <w:color w:val="000000" w:themeColor="text1"/>
          <w:sz w:val="16"/>
          <w:szCs w:val="16"/>
        </w:rPr>
        <w:softHyphen/>
        <w:t>вольственные запасы из сухого пайка и бесперебойное снабжение продовольствием перегонщиков машин по норме № 1 приказа НКО № 312 1941 года</w:t>
      </w:r>
      <w:r w:rsidRPr="00D03F3E">
        <w:rPr>
          <w:rFonts w:ascii="Times New Roman" w:hAnsi="Times New Roman"/>
          <w:color w:val="000000" w:themeColor="text1"/>
          <w:sz w:val="16"/>
          <w:szCs w:val="16"/>
          <w:vertAlign w:val="superscript"/>
        </w:rPr>
        <w:t>1</w:t>
      </w:r>
      <w:r w:rsidRPr="00D03F3E">
        <w:rPr>
          <w:rFonts w:ascii="Times New Roman" w:hAnsi="Times New Roman"/>
          <w:color w:val="000000" w:themeColor="text1"/>
          <w:sz w:val="16"/>
          <w:szCs w:val="16"/>
        </w:rPr>
        <w:t>.</w:t>
      </w:r>
    </w:p>
    <w:p w14:paraId="18A5B2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Для хранения импортных автомашин и запасных частей к ним сформировать в г. Джульфе, Астаре и Орджоникидзе центральные автомобильные склады по штату № 032/33, подчинив их во всех отношениях начальнику ГАВТУ КА.</w:t>
      </w:r>
    </w:p>
    <w:p w14:paraId="27C8F0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Выдачу машин с указанных складов производить с личного разрешения начальника ГАВТУ.</w:t>
      </w:r>
    </w:p>
    <w:p w14:paraId="62CA1D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Увеличить военную приемку автомашин в Джульфе до 17 человек (штат № 01/372).</w:t>
      </w:r>
    </w:p>
    <w:p w14:paraId="7ECB05E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Перегон машин возлагаю на командира 1-й автомобильной бригады Ставки Верховного Главнокомандования подполковника т. Гончарова. С указанной целью - штаб 1-й автобригады и 28-й автомобильный полк Ставки Верховного Главнокомандования передислоцировать из г. Калинина в г. Ереван. Кроме того, в состав 1-й автобригады включить 12-й и 18-й учебные автомобильные полки, 12-й учебный автополк передислоцировать из Степанована в г. Ереван.</w:t>
      </w:r>
    </w:p>
    <w:p w14:paraId="4DAE1C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Командиру 1-й автомобильной бригады при организации перегона автомашин: а) организовать контрольные посты из командиров штаба в Джульфе, Ереване, на Семеновском перевале, в Казахе, Тбилиси, на Крестовском перевале и в Орджоникидзе;</w:t>
      </w:r>
    </w:p>
    <w:p w14:paraId="2B92B8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 № 1 устанавливалась приказом НКО № 312 от 22 сентября 1941 г. для суточного довольствия красноармейцев и начальствующего состава боевых частей действующей армии.</w:t>
      </w:r>
    </w:p>
    <w:p w14:paraId="36AC19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перед началом перегона произвести тщательную рекогносцировку маршрута перегона;</w:t>
      </w:r>
    </w:p>
    <w:p w14:paraId="035650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для перегона формировать ротные колонны по 80 автомашин, выпуская их поэшелонно (20 машин) с интервалами в 20-30 минут хода.</w:t>
      </w:r>
    </w:p>
    <w:p w14:paraId="2155ED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бортах машин иметь литеровку колонн, эшелонов и номера машин.</w:t>
      </w:r>
    </w:p>
    <w:p w14:paraId="78845E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поддержания порядка, восстановления и эвакуации машин организовать службу техниче</w:t>
      </w:r>
      <w:r w:rsidRPr="00D03F3E">
        <w:rPr>
          <w:rFonts w:ascii="Times New Roman" w:hAnsi="Times New Roman"/>
          <w:color w:val="000000" w:themeColor="text1"/>
          <w:sz w:val="16"/>
          <w:szCs w:val="16"/>
        </w:rPr>
        <w:softHyphen/>
        <w:t>ского замыкания, имея в хвосте каждого эшелона по 2-3 незагруженных автомашины, а в хвосте ротной колонны - подвижные ремонтные средства;</w:t>
      </w:r>
    </w:p>
    <w:p w14:paraId="092B288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суточный пробег автомашин производить в среднем по 150-200 километров, совершая его в дневное время. Через каждые два часа движения организовывать привалы по 40-60 минут, во время которых производить технический осмотр машин, устранять недостатки и подтягивать эшелоны и колонны.</w:t>
      </w:r>
    </w:p>
    <w:p w14:paraId="57BE819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местах ночлегов организовать особо тщательную охрану, тщательный технический осмотр, дозаправку машин, питание и отдых личному составу.</w:t>
      </w:r>
    </w:p>
    <w:p w14:paraId="427F0A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на всем маршруте перегона организовать связь и управление, используя местные средства связи.</w:t>
      </w:r>
    </w:p>
    <w:p w14:paraId="1ED004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Ежедневно к 24.00 доносить начальнику Главного автомобильного управления для доклада мне о ходе перегона машин;</w:t>
      </w:r>
    </w:p>
    <w:p w14:paraId="2D3AD2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 сдачу машин на центральный автомобильный склад в Орджоникидзе производить с шоферами 12-го и 18-го учебных автополков; шоферов 28-го автополка, перегоняющих машины, направлять в Джульфу для перегона последующих машин.</w:t>
      </w:r>
    </w:p>
    <w:p w14:paraId="449F16E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Командующему войсками Закавказского фронта генералу армии т. Тюленеву обеспечить материально и оказать необходимую помощь в перегоне машин из Джульфы в г. Орджоникидзе.</w:t>
      </w:r>
    </w:p>
    <w:p w14:paraId="263E08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народного комиссара обороны СССР генерал-полковник А. Хрулев</w:t>
      </w:r>
    </w:p>
    <w:p w14:paraId="34D0C2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РГВА. Ф. 4. Оп. 11. Д. 75. Л. 468-470. Подлинник (11403).</w:t>
      </w:r>
    </w:p>
    <w:p w14:paraId="47B2E9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C5602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апреля 1943 г. первые пять серийных САУ были отправлены в учебный самоходно-артиллерийский полк, дислоцированный в пригородах Свердловска. За месяц службы машины прошли от 500 до 720 км, на них обучались более ста будущих самоходчиков. Тем временем по уточненным чертежам завод начал изготовление «фронтовой» серии из 20 САУ, которые большей частью также попали в учебные подразделения. Лишь с мая 1943 г. СУ-76 (С-1) начали поступать в войска. Первые самоходки имели довольно экзотический вид. Их боевая рубка была сварена из бронеплит толщиной 35 мм в лобовой части и 25 мм или 15 мм в бортах и корме. Крыша рубки первоначально выкраивалась из цельного листа и крепилась болтами. Это облегчало доступ в боевое отделение САУ для проведения ремонта, но после боев лета 1943 г. на многих САУ крыша была демонтирована для улучшения обитаемости (12687).</w:t>
      </w:r>
    </w:p>
    <w:p w14:paraId="700661FA"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3FE99B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апреля 1943 вышло Постановление ГКО № 3112 О члене Военного совета Северо-западного фронта.РГАНИР, Фонд ГКО, д. 100, лл. 116 (11012).</w:t>
      </w:r>
    </w:p>
    <w:p w14:paraId="7FF786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F3B38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13B76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4562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апреля 1943 г. ге</w:t>
      </w:r>
      <w:r w:rsidRPr="00D03F3E">
        <w:rPr>
          <w:rFonts w:ascii="Times New Roman" w:hAnsi="Times New Roman"/>
          <w:color w:val="000000" w:themeColor="text1"/>
          <w:sz w:val="16"/>
          <w:szCs w:val="16"/>
        </w:rPr>
        <w:softHyphen/>
        <w:t>нерал Репин утвердил благоприятное заключение по эскизному проекту ис</w:t>
      </w:r>
      <w:r w:rsidRPr="00D03F3E">
        <w:rPr>
          <w:rFonts w:ascii="Times New Roman" w:hAnsi="Times New Roman"/>
          <w:color w:val="000000" w:themeColor="text1"/>
          <w:sz w:val="16"/>
          <w:szCs w:val="16"/>
        </w:rPr>
        <w:softHyphen/>
        <w:t>требительной модификации самолета Су-6 с мотором М-71Ф и двумя турбо</w:t>
      </w:r>
      <w:r w:rsidRPr="00D03F3E">
        <w:rPr>
          <w:rFonts w:ascii="Times New Roman" w:hAnsi="Times New Roman"/>
          <w:color w:val="000000" w:themeColor="text1"/>
          <w:sz w:val="16"/>
          <w:szCs w:val="16"/>
        </w:rPr>
        <w:softHyphen/>
        <w:t>нагнетателями ТК-3. Бронированный истреби</w:t>
      </w:r>
      <w:r w:rsidRPr="00D03F3E">
        <w:rPr>
          <w:rFonts w:ascii="Times New Roman" w:hAnsi="Times New Roman"/>
          <w:color w:val="000000" w:themeColor="text1"/>
          <w:sz w:val="16"/>
          <w:szCs w:val="16"/>
        </w:rPr>
        <w:softHyphen/>
        <w:t>тель Сухого предназначался в первую очередь для борьбы с высотными бом</w:t>
      </w:r>
      <w:r w:rsidRPr="00D03F3E">
        <w:rPr>
          <w:rFonts w:ascii="Times New Roman" w:hAnsi="Times New Roman"/>
          <w:color w:val="000000" w:themeColor="text1"/>
          <w:sz w:val="16"/>
          <w:szCs w:val="16"/>
        </w:rPr>
        <w:softHyphen/>
        <w:t>бардировщиками и разведчиками. Предполагалось, что у земли при нор</w:t>
      </w:r>
      <w:r w:rsidRPr="00D03F3E">
        <w:rPr>
          <w:rFonts w:ascii="Times New Roman" w:hAnsi="Times New Roman"/>
          <w:color w:val="000000" w:themeColor="text1"/>
          <w:sz w:val="16"/>
          <w:szCs w:val="16"/>
        </w:rPr>
        <w:softHyphen/>
        <w:t>мальном полетном весе 4520 кг он бу</w:t>
      </w:r>
      <w:r w:rsidRPr="00D03F3E">
        <w:rPr>
          <w:rFonts w:ascii="Times New Roman" w:hAnsi="Times New Roman"/>
          <w:color w:val="000000" w:themeColor="text1"/>
          <w:sz w:val="16"/>
          <w:szCs w:val="16"/>
        </w:rPr>
        <w:softHyphen/>
        <w:t>дет развивать скорость 520 — 546 км/ч, а на высоте 8300 м — 634 км/ч. Воору</w:t>
      </w:r>
      <w:r w:rsidRPr="00D03F3E">
        <w:rPr>
          <w:rFonts w:ascii="Times New Roman" w:hAnsi="Times New Roman"/>
          <w:color w:val="000000" w:themeColor="text1"/>
          <w:sz w:val="16"/>
          <w:szCs w:val="16"/>
        </w:rPr>
        <w:softHyphen/>
        <w:t>жение включало две пушки ШВАК и два крупнокалиберных пулемета БК. Пото</w:t>
      </w:r>
      <w:r w:rsidRPr="00D03F3E">
        <w:rPr>
          <w:rFonts w:ascii="Times New Roman" w:hAnsi="Times New Roman"/>
          <w:color w:val="000000" w:themeColor="text1"/>
          <w:sz w:val="16"/>
          <w:szCs w:val="16"/>
        </w:rPr>
        <w:softHyphen/>
        <w:t>лок оценивался в 12 000 м, дальность полета —1240 км (10680).</w:t>
      </w:r>
    </w:p>
    <w:p w14:paraId="3DCE9E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AF18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апреля 1943 С.В.И. писал письмо N 1/360с НКАП А.И.Ш.:</w:t>
      </w:r>
    </w:p>
    <w:p w14:paraId="6A416F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в/приказа от 16 января 1943 N 21 завод 240 д.б. установить М-90 на Ил-4 и выпустить его в полет 5 апреля 1943.</w:t>
      </w:r>
    </w:p>
    <w:p w14:paraId="6B64C9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установленные Вами сроки для доставки М-90 (2 мотора к 15 февраля и 1 15 апреля) моторы заводом 29 нам до сих пор не поставлены, благодаря чему срок выпуска самолета срывается.</w:t>
      </w:r>
    </w:p>
    <w:p w14:paraId="14840B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Докладывая о вышеизложенном, прошу Вашего распоряжения установить новый срок выпуска самолета в полет 15 мая в зависимости от получения моторов, т.к. последние обещают дать только в апреле месяце." (1775,49).</w:t>
      </w:r>
    </w:p>
    <w:p w14:paraId="28BB9B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43ACF4" w14:textId="77777777" w:rsidR="00E142A8" w:rsidRPr="00D03F3E"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На 4 апреля 1943 г. вновь был намечен подготовительный полет перед испытанием И-185 на дальность. И он оказался последним...</w:t>
      </w:r>
    </w:p>
    <w:p w14:paraId="7F4EDDA2" w14:textId="77777777" w:rsidR="00E142A8" w:rsidRPr="00D03F3E"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Самолет взлетел, начал разворот с набором высоты и в это время двигатель остановился. Вот как описывает этот момент П.М. Стефановский:</w:t>
      </w:r>
    </w:p>
    <w:p w14:paraId="0F999D9F" w14:textId="77777777" w:rsidR="00E142A8" w:rsidRPr="00D03F3E"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"Произошло это над Центральным аэродромом Москвы, окруженным со всех сторон постройками. Напрасно летчик, совершивший не одну сотню посадок без мотора, опытный планерист-рекордсмен, обладавший в безмоторном полете чуть ли не чутьем птицы, прилагал все свои способности, чтобы дотянуть до летного поля. Высоты ему не хватило.</w:t>
      </w:r>
    </w:p>
    <w:p w14:paraId="1340835A" w14:textId="77777777" w:rsidR="00E142A8" w:rsidRPr="00D03F3E"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Трагическая гибель В. А. Степанченка окончательно решила печальную участь отличного, но крайне невезучего из-за недоведенного мотора опытного самолета И-185".</w:t>
      </w:r>
    </w:p>
    <w:p w14:paraId="2CFBDC14" w14:textId="77777777" w:rsidR="00E142A8" w:rsidRPr="00D03F3E"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lastRenderedPageBreak/>
        <w:t>Аварийная комиссия записала в своем акте, что причиной катастрофы был, как говорят теперь, "человеческий фактор". Под мембраной карбюратора мотора был найден обрывок контровочной проволоки, к тому же в его жиклере обнаружилось засорение, которое "списали" на некачественный бензин. К тому же по требованию ОКБ в акт была вписана ошибка пилота: заводской летчик Логинов утверждал, что с земли было видно, что мотор начал давать перебои уже в начале набора высоты, тем не менее Степанченок немедленной посадки не произвел, а начал разворачиваться. А коли так - виной всему его ошибка, а самолет и мотор ни при чем.</w:t>
      </w:r>
    </w:p>
    <w:p w14:paraId="5536B093" w14:textId="77777777" w:rsidR="00E142A8" w:rsidRPr="00D03F3E"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Создается такое впечатление, что согласно позиции ОКБ Поликарпова его самолеты настолько хороши, что для них просто не существует достойного пилота - ни Чкалов, ни Сузи, ни Степанченок до их уровня не дотягивают. Но как же тогда на них будет летать тот самый "средний летчик" в строевом полку?!</w:t>
      </w:r>
    </w:p>
    <w:p w14:paraId="2E20D1EB" w14:textId="77777777" w:rsidR="00E142A8" w:rsidRPr="00D03F3E"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 мог ли Степанченок сесть с ходу, прямо перед собой? Хватило бы ему времени, чтобы сбросить скорость и перевести закрылки в посадочное положение, работала ли гидравлика? И наконец - было ли у него пространство для этого?</w:t>
      </w:r>
    </w:p>
    <w:p w14:paraId="3C21E808" w14:textId="77777777" w:rsidR="00E142A8" w:rsidRPr="00D03F3E"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Сейчас вряд ли кто сможет ответить на эти вопросы ответственно. А факт заключается в том, что из-за высокой нагрузки на крыло И-185 без скорости и тяги мотора не смог "перепрыгнуть" через оказавшееся у него на пути здание цеха авиазавода №30 - Центральный аэродром со всех сторон был окружен постройками разной высоты. Фюзеляж попал точно в окно (может быть, туда его направил сам пилот - спросить его об этом было невозможно) и столкнулся с массивным стапелем - там один рабочий погиб и семеро были ранены. Удар пришелся как раз по мотору, который был разрушен и это также вызывает сомнения в достоверности определения причины его отказа (17737).</w:t>
      </w:r>
    </w:p>
    <w:p w14:paraId="7BCF5591" w14:textId="77777777" w:rsidR="00E142A8" w:rsidRPr="00D03F3E"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21AAA79" w14:textId="77777777" w:rsidR="003D33ED" w:rsidRPr="00D03F3E" w:rsidRDefault="003D33E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 апреля 1943 г.</w:t>
      </w:r>
    </w:p>
    <w:p w14:paraId="040AE80F" w14:textId="77777777" w:rsidR="003D33ED" w:rsidRPr="00D03F3E" w:rsidRDefault="003D33E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ГЛАВНОМУ КОНСТРУКТОРУ САМОЛЕТА ЛА-5 ТОВ. ЛАВОЧКИНУ ПОЖЕЛАНИЯ ЛЕТНО-ТЕХНИЧЕСКОГО СОСТАВА 5 ГИАП ПО УЛУЧШЕНИЮ КОНСТРУКЦИИ САМОЛЕТА ЛА-5</w:t>
      </w:r>
    </w:p>
    <w:p w14:paraId="317543EB" w14:textId="77777777" w:rsidR="003D33ED" w:rsidRPr="00D03F3E" w:rsidRDefault="003D33E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 апреля 1943 г.</w:t>
      </w:r>
    </w:p>
    <w:p w14:paraId="7ABB583F" w14:textId="77777777" w:rsidR="003D33ED" w:rsidRPr="00D03F3E" w:rsidRDefault="003D33E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Прицел ПБП снять и установить прицел типа ВВ-1 (подобно самолету Ил-2), т.к. прицельный огонь при существующем фонаре и прицеле вести невозможно.</w:t>
      </w:r>
    </w:p>
    <w:p w14:paraId="00356CD7" w14:textId="77777777" w:rsidR="003D33ED" w:rsidRPr="00D03F3E" w:rsidRDefault="003D33E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Увеличить открытие фонаря, т.к. при существующем открытии фонаря в случае необходимости летчик не может выброситься из кабины.</w:t>
      </w:r>
    </w:p>
    <w:p w14:paraId="1C9D22A3" w14:textId="77777777" w:rsidR="003D33ED" w:rsidRPr="00D03F3E" w:rsidRDefault="003D33E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 Установить вариометр.</w:t>
      </w:r>
    </w:p>
    <w:p w14:paraId="53469956" w14:textId="77777777" w:rsidR="003D33ED" w:rsidRPr="00D03F3E" w:rsidRDefault="003D33E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6. Управление радио перенести на штурвал летчика или на левый борт самолета и сделать его кнопочным.</w:t>
      </w:r>
    </w:p>
    <w:p w14:paraId="56756377" w14:textId="77777777" w:rsidR="003D33ED" w:rsidRPr="00D03F3E" w:rsidRDefault="003D33E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7. Установить фару.</w:t>
      </w:r>
    </w:p>
    <w:p w14:paraId="7075A34B" w14:textId="77777777" w:rsidR="003D33ED" w:rsidRPr="00D03F3E" w:rsidRDefault="003D33E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8. Увеличить площадь бронеспинки (у сиденья летчика).</w:t>
      </w:r>
    </w:p>
    <w:p w14:paraId="6C0676FE" w14:textId="77777777" w:rsidR="003D33ED" w:rsidRPr="00D03F3E" w:rsidRDefault="003D33E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9. Усилить конструкцию моторных капотов, т.к. имеются случаи вырывания их в полете верхних капотов при скоростях пикирования выше 500 км/час.</w:t>
      </w:r>
    </w:p>
    <w:p w14:paraId="4F0FED20" w14:textId="77777777" w:rsidR="003D33ED" w:rsidRPr="00D03F3E" w:rsidRDefault="003D33E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ЦАНО. Ф. 2066. Оп. 7. Д.42. Л. 67-68.</w:t>
      </w:r>
    </w:p>
    <w:p w14:paraId="3108D265" w14:textId="77777777" w:rsidR="003D33ED" w:rsidRPr="00D03F3E" w:rsidRDefault="003D33E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Подлинник. Машинопись (20937).</w:t>
      </w:r>
    </w:p>
    <w:p w14:paraId="3A7C4A81" w14:textId="77777777" w:rsidR="003D33ED" w:rsidRPr="00D03F3E" w:rsidRDefault="003D33ED" w:rsidP="00D03F3E">
      <w:pPr>
        <w:spacing w:after="0" w:line="240" w:lineRule="auto"/>
        <w:jc w:val="both"/>
        <w:rPr>
          <w:rFonts w:ascii="Times New Roman" w:hAnsi="Times New Roman"/>
          <w:color w:val="0070C0"/>
          <w:sz w:val="16"/>
          <w:szCs w:val="16"/>
        </w:rPr>
      </w:pPr>
    </w:p>
    <w:p w14:paraId="5C1293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апреля 1943 года НКАП был издан приказ за № 198 об организации на базе Филиала № 3 завода № 140.</w:t>
      </w:r>
    </w:p>
    <w:p w14:paraId="4FB6A6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характеру производства завод должен быть отнесен к агрегатным заводам с большой номенклатурой изделий, выпускаемых в основном мелкими сериями.</w:t>
      </w:r>
    </w:p>
    <w:p w14:paraId="2D266D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Москва Е-58, ул. Ибранимова, д. 31 (9506).</w:t>
      </w:r>
    </w:p>
    <w:p w14:paraId="364102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0CDE0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апреля 1943 г. была подготовлена СПРАВКА ПОМОЩНИКА НАЧАЛЬНИКА 6-го ОТДЕЛА ТУ ГБТУ КА ПО ТРАНСПОРТИРОВКЕ ТАНКОВ АВИАДЕСАНТНЫМИ СОЕДИНЕНИЯМИ</w:t>
      </w:r>
    </w:p>
    <w:p w14:paraId="43AD97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проведенных в 1939-40 гг. опытов транспортировки легких танков самолетами ТБ-3 и ТБ-7 в конце 1940 г. и начале 1941 г. было организовано промышленное производство подвесок под самолет ТБ-3.</w:t>
      </w:r>
    </w:p>
    <w:p w14:paraId="75ABC3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месяце 1941 г. в армии имелось 130 штук подвесок под самолет ТБ-3, приспособленных для перевозки танков Т-37, Т-38 весом до 3,3 тонны.</w:t>
      </w:r>
    </w:p>
    <w:p w14:paraId="596CB85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транспортировки танка Т-40 весом 5,5 тонны подвесок не имелось.</w:t>
      </w:r>
    </w:p>
    <w:p w14:paraId="3AE8FDF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Решением Комитета обороны от 28.02.1941 г. за№23сс Наркомат тяжелого машиностроения был обязан изготовить в 1941 г. 20 подвесок под самолет ТБ-3 грузоподъемностью до 3,3 тонны и 12 под</w:t>
      </w:r>
      <w:r w:rsidRPr="00D03F3E">
        <w:rPr>
          <w:rFonts w:ascii="Times New Roman" w:hAnsi="Times New Roman"/>
          <w:color w:val="000000" w:themeColor="text1"/>
          <w:sz w:val="16"/>
          <w:szCs w:val="16"/>
        </w:rPr>
        <w:softHyphen/>
        <w:t>весок под самолет ТБ-7 грузоподъемностью до 4,5 тонны.</w:t>
      </w:r>
    </w:p>
    <w:p w14:paraId="1764633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решение Комитета обороны НКТМ выполнено не было, о чем начальником ГАБТУ генерал-лейтенантом танковых войск т. Федоренко было доложено начальнику Генерального штаба Красной Армии генералу армии т. Жукову письмом №145965 от 12 мая 1941 г.</w:t>
      </w:r>
    </w:p>
    <w:p w14:paraId="014032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справкам, наведенным в авиадесантном управлении Красной Армии, причиной прекращения производства подвесок под самолеты типа ТБ-3 и ТБ-4 является отсутствие в достаточном количестве в армии самолетов этого типа, так как с производства они сняты.</w:t>
      </w:r>
    </w:p>
    <w:p w14:paraId="16D628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1942 г. делались опыты буксировки в воздухе двумя самолетами ТБ-3 танка Т-60, приделав ему крылья (танк-планер), по той же причине опыты были прекращены.</w:t>
      </w:r>
    </w:p>
    <w:p w14:paraId="30EB447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ближайшее время десантное управление предполагает опыты буксировки танка Т-60 продол</w:t>
      </w:r>
      <w:r w:rsidRPr="00D03F3E">
        <w:rPr>
          <w:rFonts w:ascii="Times New Roman" w:hAnsi="Times New Roman"/>
          <w:color w:val="000000" w:themeColor="text1"/>
          <w:sz w:val="16"/>
          <w:szCs w:val="16"/>
        </w:rPr>
        <w:softHyphen/>
        <w:t>жить, использовав в качестве буксировки два самолета типа П-8.</w:t>
      </w:r>
    </w:p>
    <w:p w14:paraId="4CAD55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основании изложенного считаю, что танки Т-60 для десантных операции при существующих условиях применены быть не могут.</w:t>
      </w:r>
    </w:p>
    <w:p w14:paraId="30C7BBB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Помощник начальника б отдела ТУ ГБТУ КА инженер-капитан Букатин</w:t>
      </w:r>
    </w:p>
    <w:p w14:paraId="79780D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1377. Л. 102. Подлинник (11403).</w:t>
      </w:r>
    </w:p>
    <w:p w14:paraId="0DB37A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7529A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апреля 1943 г. по</w:t>
      </w:r>
      <w:r w:rsidRPr="00D03F3E">
        <w:rPr>
          <w:rFonts w:ascii="Times New Roman" w:hAnsi="Times New Roman"/>
          <w:color w:val="000000" w:themeColor="text1"/>
          <w:sz w:val="16"/>
          <w:szCs w:val="16"/>
        </w:rPr>
        <w:softHyphen/>
        <w:t>мощником начальника 6-го отдела ТУ ГБТУ инженер-капитаном Букатиным была подготовлена справка по «транспортировке тан</w:t>
      </w:r>
      <w:r w:rsidRPr="00D03F3E">
        <w:rPr>
          <w:rFonts w:ascii="Times New Roman" w:hAnsi="Times New Roman"/>
          <w:color w:val="000000" w:themeColor="text1"/>
          <w:sz w:val="16"/>
          <w:szCs w:val="16"/>
        </w:rPr>
        <w:softHyphen/>
        <w:t>ков авиадесантными соединениями»: «После проведенных в 1939-1940 гг. опытов транспортировки легких танков самолетами ТБ-3 и ТБ-7в кон</w:t>
      </w:r>
      <w:r w:rsidRPr="00D03F3E">
        <w:rPr>
          <w:rFonts w:ascii="Times New Roman" w:hAnsi="Times New Roman"/>
          <w:color w:val="000000" w:themeColor="text1"/>
          <w:sz w:val="16"/>
          <w:szCs w:val="16"/>
        </w:rPr>
        <w:softHyphen/>
        <w:t>це 1940 г. и начале 1941 г. было орга</w:t>
      </w:r>
      <w:r w:rsidRPr="00D03F3E">
        <w:rPr>
          <w:rFonts w:ascii="Times New Roman" w:hAnsi="Times New Roman"/>
          <w:color w:val="000000" w:themeColor="text1"/>
          <w:sz w:val="16"/>
          <w:szCs w:val="16"/>
        </w:rPr>
        <w:softHyphen/>
        <w:t>низовано промышленное производ</w:t>
      </w:r>
      <w:r w:rsidRPr="00D03F3E">
        <w:rPr>
          <w:rFonts w:ascii="Times New Roman" w:hAnsi="Times New Roman"/>
          <w:color w:val="000000" w:themeColor="text1"/>
          <w:sz w:val="16"/>
          <w:szCs w:val="16"/>
        </w:rPr>
        <w:softHyphen/>
        <w:t>ство подвесок под самолет ТБ-3. В мае месяце 1941 г. в армии имелось 130 штук подвесок под самолет ТБ-3, приспособленных для перевозки тан</w:t>
      </w:r>
      <w:r w:rsidRPr="00D03F3E">
        <w:rPr>
          <w:rFonts w:ascii="Times New Roman" w:hAnsi="Times New Roman"/>
          <w:color w:val="000000" w:themeColor="text1"/>
          <w:sz w:val="16"/>
          <w:szCs w:val="16"/>
        </w:rPr>
        <w:softHyphen/>
        <w:t>ков Т-37, Т-38 весом до 3,3 тонны. Для транспортировки танка Т-40 весом 5,5 т подвесок не имелось.</w:t>
      </w:r>
    </w:p>
    <w:p w14:paraId="5ECC462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февраля 1941 г. вышло Решение Комитета обороны за №23, согласно которому Наркомат тяжелого машиностроения был обя</w:t>
      </w:r>
      <w:r w:rsidRPr="00D03F3E">
        <w:rPr>
          <w:rFonts w:ascii="Times New Roman" w:hAnsi="Times New Roman"/>
          <w:color w:val="000000" w:themeColor="text1"/>
          <w:sz w:val="16"/>
          <w:szCs w:val="16"/>
        </w:rPr>
        <w:softHyphen/>
        <w:t>зан изготовить в 1941 г. 20 подвесок под самолет ТБ-3 грузоподъемностью до 3,3 т и 12 подвесок под самолет ТБ-7 грузоподъемностью до 4,5 т. Это решение Комитета обороны НКТМвьтолнено не было. По справкам, наведенным в авиадесантном управле</w:t>
      </w:r>
      <w:r w:rsidRPr="00D03F3E">
        <w:rPr>
          <w:rFonts w:ascii="Times New Roman" w:hAnsi="Times New Roman"/>
          <w:color w:val="000000" w:themeColor="text1"/>
          <w:sz w:val="16"/>
          <w:szCs w:val="16"/>
        </w:rPr>
        <w:softHyphen/>
        <w:t>нии Красной Армии, причиной прекра</w:t>
      </w:r>
      <w:r w:rsidRPr="00D03F3E">
        <w:rPr>
          <w:rFonts w:ascii="Times New Roman" w:hAnsi="Times New Roman"/>
          <w:color w:val="000000" w:themeColor="text1"/>
          <w:sz w:val="16"/>
          <w:szCs w:val="16"/>
        </w:rPr>
        <w:softHyphen/>
        <w:t>щения производства подвесок под са</w:t>
      </w:r>
      <w:r w:rsidRPr="00D03F3E">
        <w:rPr>
          <w:rFonts w:ascii="Times New Roman" w:hAnsi="Times New Roman"/>
          <w:color w:val="000000" w:themeColor="text1"/>
          <w:sz w:val="16"/>
          <w:szCs w:val="16"/>
        </w:rPr>
        <w:softHyphen/>
        <w:t>молеты типа ТБ-3 и ТБ-4 (так в тексте документа) является от</w:t>
      </w:r>
      <w:r w:rsidRPr="00D03F3E">
        <w:rPr>
          <w:rFonts w:ascii="Times New Roman" w:hAnsi="Times New Roman"/>
          <w:color w:val="000000" w:themeColor="text1"/>
          <w:sz w:val="16"/>
          <w:szCs w:val="16"/>
        </w:rPr>
        <w:softHyphen/>
        <w:t>сутствие в достаточном коли чествеве в армии самолетов этого типа, так как с производства они сняты (11752).</w:t>
      </w:r>
    </w:p>
    <w:p w14:paraId="5DAC5F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1942 г. делались опыты букси</w:t>
      </w:r>
      <w:r w:rsidRPr="00D03F3E">
        <w:rPr>
          <w:rFonts w:ascii="Times New Roman" w:hAnsi="Times New Roman"/>
          <w:color w:val="000000" w:themeColor="text1"/>
          <w:sz w:val="16"/>
          <w:szCs w:val="16"/>
        </w:rPr>
        <w:softHyphen/>
        <w:t>ровки в воздухе двумя самолстами ТБ-3 танка Т-60, приделав ему кры</w:t>
      </w:r>
      <w:r w:rsidRPr="00D03F3E">
        <w:rPr>
          <w:rFonts w:ascii="Times New Roman" w:hAnsi="Times New Roman"/>
          <w:color w:val="000000" w:themeColor="text1"/>
          <w:sz w:val="16"/>
          <w:szCs w:val="16"/>
        </w:rPr>
        <w:softHyphen/>
        <w:t>лья (танк-планер), по той же причине опыты были прекращены (имеется в виду система «Крылья танка», разработанная О.К. Антоновым).</w:t>
      </w:r>
    </w:p>
    <w:p w14:paraId="38E5D03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ближайшее время десантное управление предполагает опыты буксировки танка Т-60 продолжить, использовав в качестве буксировки два само</w:t>
      </w:r>
      <w:r w:rsidRPr="00D03F3E">
        <w:rPr>
          <w:rFonts w:ascii="Times New Roman" w:hAnsi="Times New Roman"/>
          <w:color w:val="000000" w:themeColor="text1"/>
          <w:sz w:val="16"/>
          <w:szCs w:val="16"/>
        </w:rPr>
        <w:softHyphen/>
        <w:t>лета типа Пе-8.</w:t>
      </w:r>
    </w:p>
    <w:p w14:paraId="637193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основании изложенного считаю, что танки Т-60 для десантных операций при существующих условияхприменены бытьнемогут» (11752).</w:t>
      </w:r>
    </w:p>
    <w:p w14:paraId="172C58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4804B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34E9BB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BD4C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C 4-го апреля 1943 на Строгинском полигоне начались испытания БА-64Д с ДШК в специальной башне. Боевая масса БА-64Д составляла 2425 кг (3862).</w:t>
      </w:r>
    </w:p>
    <w:p w14:paraId="4A1AEE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2B617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апреля 1943 г. вышло ПРИКАЗАНИЕ НАЧАЛЬНИКА ГБТУ КА КОМАНДУЮЩИМ БТ и МВ ФРОНТОВ ПО ПОРЯДКУ РЕМОНТА ДИЗЕЛЬМОТОРОВ В-2 №1155402</w:t>
      </w:r>
    </w:p>
    <w:p w14:paraId="4945AA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приказу командующего БТ и МВ КА № 021с от 21 марта 1943 г. (пункт № 1) на ремсредства фронтов возложено производство текущего и среднего ремонта дизельмоторов В-2.</w:t>
      </w:r>
    </w:p>
    <w:p w14:paraId="10B28AE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 поступающими запросами разъясняю, что производство капитального ремонта дизель-моторов В-2 разрешается только тем ремпредприятиям и отдельным ремонтным частям фронтов, в которых налажен качественный ремонт их и имеется необходимое оборудование, спецприспособле</w:t>
      </w:r>
      <w:r w:rsidRPr="00D03F3E">
        <w:rPr>
          <w:rFonts w:ascii="Times New Roman" w:hAnsi="Times New Roman"/>
          <w:color w:val="000000" w:themeColor="text1"/>
          <w:sz w:val="16"/>
          <w:szCs w:val="16"/>
        </w:rPr>
        <w:softHyphen/>
        <w:t>ния и испытательные стенды, обеспечивающие качественный ремонт танковых дизелей.</w:t>
      </w:r>
    </w:p>
    <w:p w14:paraId="2C871B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Перечень ремонтных частей, которым разрешается производить капитальный ремонт дизельмо</w:t>
      </w:r>
      <w:r w:rsidRPr="00D03F3E">
        <w:rPr>
          <w:rFonts w:ascii="Times New Roman" w:hAnsi="Times New Roman"/>
          <w:color w:val="000000" w:themeColor="text1"/>
          <w:sz w:val="16"/>
          <w:szCs w:val="16"/>
        </w:rPr>
        <w:softHyphen/>
        <w:t>торов В-2, при этом прилагается.</w:t>
      </w:r>
    </w:p>
    <w:p w14:paraId="5648324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капитального ремонта дизельмоторов В-2 в ремчастях, не указанных в настоящем перечне, может быть организовано только с разрешения ГБТУ КА.</w:t>
      </w:r>
    </w:p>
    <w:p w14:paraId="2ABE01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упомянутое на 1 листе.</w:t>
      </w:r>
    </w:p>
    <w:p w14:paraId="5656C7F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ГБТУ КА генерал-лейтенант танковых войск Вершинин</w:t>
      </w:r>
    </w:p>
    <w:p w14:paraId="5A415F8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Перечень ремонтных частей, которым разрешается производить капитальный ремонт дизелей В-2</w:t>
      </w:r>
    </w:p>
    <w:p w14:paraId="18FAF5B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w:t>
      </w:r>
    </w:p>
    <w:tbl>
      <w:tblPr>
        <w:tblW w:w="0" w:type="auto"/>
        <w:tblInd w:w="40" w:type="dxa"/>
        <w:tblLayout w:type="fixed"/>
        <w:tblCellMar>
          <w:left w:w="40" w:type="dxa"/>
          <w:right w:w="40" w:type="dxa"/>
        </w:tblCellMar>
        <w:tblLook w:val="0000" w:firstRow="0" w:lastRow="0" w:firstColumn="0" w:lastColumn="0" w:noHBand="0" w:noVBand="0"/>
      </w:tblPr>
      <w:tblGrid>
        <w:gridCol w:w="538"/>
        <w:gridCol w:w="9"/>
        <w:gridCol w:w="3370"/>
        <w:gridCol w:w="9"/>
        <w:gridCol w:w="2727"/>
        <w:gridCol w:w="9"/>
      </w:tblGrid>
      <w:tr w:rsidR="00860B4B" w:rsidRPr="00D03F3E" w14:paraId="196F61E6" w14:textId="77777777">
        <w:trPr>
          <w:gridAfter w:val="1"/>
          <w:wAfter w:w="9" w:type="dxa"/>
          <w:trHeight w:val="442"/>
        </w:trPr>
        <w:tc>
          <w:tcPr>
            <w:tcW w:w="538" w:type="dxa"/>
            <w:tcBorders>
              <w:top w:val="single" w:sz="6" w:space="0" w:color="auto"/>
              <w:left w:val="single" w:sz="6" w:space="0" w:color="auto"/>
              <w:bottom w:val="single" w:sz="6" w:space="0" w:color="auto"/>
              <w:right w:val="single" w:sz="6" w:space="0" w:color="auto"/>
            </w:tcBorders>
          </w:tcPr>
          <w:p w14:paraId="6EB068D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п/п</w:t>
            </w:r>
          </w:p>
          <w:p w14:paraId="00B386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023900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Наименование ремчастей</w:t>
            </w:r>
          </w:p>
          <w:p w14:paraId="5FE666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24E635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чьем подчинении находятся</w:t>
            </w:r>
          </w:p>
          <w:p w14:paraId="2E9EB41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B7C2EDE" w14:textId="77777777">
        <w:trPr>
          <w:gridAfter w:val="1"/>
          <w:wAfter w:w="9" w:type="dxa"/>
          <w:trHeight w:val="278"/>
        </w:trPr>
        <w:tc>
          <w:tcPr>
            <w:tcW w:w="538" w:type="dxa"/>
            <w:tcBorders>
              <w:top w:val="single" w:sz="6" w:space="0" w:color="auto"/>
              <w:left w:val="single" w:sz="6" w:space="0" w:color="auto"/>
              <w:bottom w:val="single" w:sz="6" w:space="0" w:color="auto"/>
              <w:right w:val="single" w:sz="6" w:space="0" w:color="auto"/>
            </w:tcBorders>
          </w:tcPr>
          <w:p w14:paraId="610B66F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0D7A8E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31B558B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ПРЗ № 2</w:t>
            </w:r>
          </w:p>
          <w:p w14:paraId="151820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59B3AE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Юго-Западный фронт</w:t>
            </w:r>
          </w:p>
          <w:p w14:paraId="5D297B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5D66013" w14:textId="77777777">
        <w:trPr>
          <w:gridAfter w:val="1"/>
          <w:wAfter w:w="9" w:type="dxa"/>
          <w:trHeight w:val="269"/>
        </w:trPr>
        <w:tc>
          <w:tcPr>
            <w:tcW w:w="538" w:type="dxa"/>
            <w:tcBorders>
              <w:top w:val="single" w:sz="6" w:space="0" w:color="auto"/>
              <w:left w:val="single" w:sz="6" w:space="0" w:color="auto"/>
              <w:bottom w:val="single" w:sz="6" w:space="0" w:color="auto"/>
              <w:right w:val="single" w:sz="6" w:space="0" w:color="auto"/>
            </w:tcBorders>
          </w:tcPr>
          <w:p w14:paraId="061EB9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w:t>
            </w:r>
          </w:p>
          <w:p w14:paraId="63B1604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26C7B1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ПРЗ № 3</w:t>
            </w:r>
          </w:p>
          <w:p w14:paraId="5601B00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19CB02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Юго-Западный фронт</w:t>
            </w:r>
          </w:p>
          <w:p w14:paraId="1C1B13E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0B7DBB1" w14:textId="77777777">
        <w:trPr>
          <w:gridAfter w:val="1"/>
          <w:wAfter w:w="9" w:type="dxa"/>
          <w:trHeight w:val="298"/>
        </w:trPr>
        <w:tc>
          <w:tcPr>
            <w:tcW w:w="538" w:type="dxa"/>
            <w:tcBorders>
              <w:top w:val="single" w:sz="6" w:space="0" w:color="auto"/>
              <w:left w:val="single" w:sz="6" w:space="0" w:color="auto"/>
              <w:bottom w:val="single" w:sz="6" w:space="0" w:color="auto"/>
              <w:right w:val="single" w:sz="6" w:space="0" w:color="auto"/>
            </w:tcBorders>
          </w:tcPr>
          <w:p w14:paraId="1C30A1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10B93A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2D12C43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ПРЗ № 4</w:t>
            </w:r>
          </w:p>
          <w:p w14:paraId="43FD31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636ECF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Воронежский фронт</w:t>
            </w:r>
          </w:p>
          <w:p w14:paraId="2D1F9C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B19D1BF" w14:textId="77777777">
        <w:trPr>
          <w:trHeight w:val="269"/>
        </w:trPr>
        <w:tc>
          <w:tcPr>
            <w:tcW w:w="547" w:type="dxa"/>
            <w:gridSpan w:val="2"/>
            <w:tcBorders>
              <w:top w:val="single" w:sz="6" w:space="0" w:color="auto"/>
              <w:left w:val="single" w:sz="6" w:space="0" w:color="auto"/>
              <w:bottom w:val="single" w:sz="6" w:space="0" w:color="auto"/>
              <w:right w:val="single" w:sz="6" w:space="0" w:color="auto"/>
            </w:tcBorders>
          </w:tcPr>
          <w:p w14:paraId="1873F1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3308E57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77588A8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ПРЗ № 5</w:t>
            </w:r>
          </w:p>
          <w:p w14:paraId="1AC75DF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6D6DCA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Наркомтанкопром</w:t>
            </w:r>
          </w:p>
          <w:p w14:paraId="27F849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C6F9B53" w14:textId="77777777">
        <w:trPr>
          <w:trHeight w:val="278"/>
        </w:trPr>
        <w:tc>
          <w:tcPr>
            <w:tcW w:w="547" w:type="dxa"/>
            <w:gridSpan w:val="2"/>
            <w:tcBorders>
              <w:top w:val="single" w:sz="6" w:space="0" w:color="auto"/>
              <w:left w:val="single" w:sz="6" w:space="0" w:color="auto"/>
              <w:bottom w:val="single" w:sz="6" w:space="0" w:color="auto"/>
              <w:right w:val="single" w:sz="6" w:space="0" w:color="auto"/>
            </w:tcBorders>
          </w:tcPr>
          <w:p w14:paraId="2890820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p w14:paraId="4AD900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0204D79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БТМ № 1</w:t>
            </w:r>
          </w:p>
          <w:p w14:paraId="0ECF99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4D49D85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Северо-Западный фронт</w:t>
            </w:r>
          </w:p>
          <w:p w14:paraId="24FDEC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6CC011D" w14:textId="77777777">
        <w:trPr>
          <w:trHeight w:val="278"/>
        </w:trPr>
        <w:tc>
          <w:tcPr>
            <w:tcW w:w="547" w:type="dxa"/>
            <w:gridSpan w:val="2"/>
            <w:tcBorders>
              <w:top w:val="single" w:sz="6" w:space="0" w:color="auto"/>
              <w:left w:val="single" w:sz="6" w:space="0" w:color="auto"/>
              <w:bottom w:val="single" w:sz="6" w:space="0" w:color="auto"/>
              <w:right w:val="single" w:sz="6" w:space="0" w:color="auto"/>
            </w:tcBorders>
          </w:tcPr>
          <w:p w14:paraId="20A68D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p w14:paraId="308A8D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4E7615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БТМ № 24</w:t>
            </w:r>
          </w:p>
          <w:p w14:paraId="231A192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3B4301D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Волховский фронт</w:t>
            </w:r>
          </w:p>
          <w:p w14:paraId="14AB9D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50339DA" w14:textId="77777777">
        <w:trPr>
          <w:trHeight w:val="269"/>
        </w:trPr>
        <w:tc>
          <w:tcPr>
            <w:tcW w:w="547" w:type="dxa"/>
            <w:gridSpan w:val="2"/>
            <w:tcBorders>
              <w:top w:val="single" w:sz="6" w:space="0" w:color="auto"/>
              <w:left w:val="single" w:sz="6" w:space="0" w:color="auto"/>
              <w:bottom w:val="single" w:sz="6" w:space="0" w:color="auto"/>
              <w:right w:val="single" w:sz="6" w:space="0" w:color="auto"/>
            </w:tcBorders>
          </w:tcPr>
          <w:p w14:paraId="2B5369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p w14:paraId="39F6298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33A30B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БТМ № 29</w:t>
            </w:r>
          </w:p>
          <w:p w14:paraId="10EA41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05CEEDE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Калининский фронт</w:t>
            </w:r>
          </w:p>
          <w:p w14:paraId="6E88E69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4912804" w14:textId="77777777">
        <w:trPr>
          <w:trHeight w:val="278"/>
        </w:trPr>
        <w:tc>
          <w:tcPr>
            <w:tcW w:w="547" w:type="dxa"/>
            <w:gridSpan w:val="2"/>
            <w:tcBorders>
              <w:top w:val="single" w:sz="6" w:space="0" w:color="auto"/>
              <w:left w:val="single" w:sz="6" w:space="0" w:color="auto"/>
              <w:bottom w:val="single" w:sz="6" w:space="0" w:color="auto"/>
              <w:right w:val="single" w:sz="6" w:space="0" w:color="auto"/>
            </w:tcBorders>
          </w:tcPr>
          <w:p w14:paraId="37CF119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p w14:paraId="1DE202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029165F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ВТ мает. № 55</w:t>
            </w:r>
          </w:p>
          <w:p w14:paraId="1F02384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333603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Центральный фронт</w:t>
            </w:r>
          </w:p>
          <w:p w14:paraId="3A3C40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0044D70" w14:textId="77777777">
        <w:trPr>
          <w:trHeight w:val="278"/>
        </w:trPr>
        <w:tc>
          <w:tcPr>
            <w:tcW w:w="547" w:type="dxa"/>
            <w:gridSpan w:val="2"/>
            <w:tcBorders>
              <w:top w:val="single" w:sz="6" w:space="0" w:color="auto"/>
              <w:left w:val="single" w:sz="6" w:space="0" w:color="auto"/>
              <w:bottom w:val="single" w:sz="6" w:space="0" w:color="auto"/>
              <w:right w:val="single" w:sz="6" w:space="0" w:color="auto"/>
            </w:tcBorders>
          </w:tcPr>
          <w:p w14:paraId="3FB8F1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p w14:paraId="35064F8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4E24F8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АРВБ № 89</w:t>
            </w:r>
          </w:p>
          <w:p w14:paraId="7B63207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24E239B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Юго-Западный фронт</w:t>
            </w:r>
          </w:p>
          <w:p w14:paraId="15CE22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9D1273F" w14:textId="77777777">
        <w:trPr>
          <w:trHeight w:val="269"/>
        </w:trPr>
        <w:tc>
          <w:tcPr>
            <w:tcW w:w="547" w:type="dxa"/>
            <w:gridSpan w:val="2"/>
            <w:tcBorders>
              <w:top w:val="single" w:sz="6" w:space="0" w:color="auto"/>
              <w:left w:val="single" w:sz="6" w:space="0" w:color="auto"/>
              <w:bottom w:val="single" w:sz="6" w:space="0" w:color="auto"/>
              <w:right w:val="single" w:sz="6" w:space="0" w:color="auto"/>
            </w:tcBorders>
          </w:tcPr>
          <w:p w14:paraId="601B7B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p w14:paraId="196D52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11FAC7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Рембаза № 96</w:t>
            </w:r>
          </w:p>
          <w:p w14:paraId="5CB187A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21AE933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Воронежский фронт</w:t>
            </w:r>
          </w:p>
          <w:p w14:paraId="4151CA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8E03957" w14:textId="77777777">
        <w:trPr>
          <w:trHeight w:val="278"/>
        </w:trPr>
        <w:tc>
          <w:tcPr>
            <w:tcW w:w="547" w:type="dxa"/>
            <w:gridSpan w:val="2"/>
            <w:tcBorders>
              <w:top w:val="single" w:sz="6" w:space="0" w:color="auto"/>
              <w:left w:val="single" w:sz="6" w:space="0" w:color="auto"/>
              <w:bottom w:val="single" w:sz="6" w:space="0" w:color="auto"/>
              <w:right w:val="single" w:sz="6" w:space="0" w:color="auto"/>
            </w:tcBorders>
          </w:tcPr>
          <w:p w14:paraId="67DB8A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p w14:paraId="6C6DADC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46B11CB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ж.д. АБТМ № 30</w:t>
            </w:r>
          </w:p>
          <w:p w14:paraId="13A7558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1589B7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Южный фронт</w:t>
            </w:r>
          </w:p>
          <w:p w14:paraId="5F43033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2CBD251" w14:textId="77777777">
        <w:trPr>
          <w:trHeight w:val="269"/>
        </w:trPr>
        <w:tc>
          <w:tcPr>
            <w:tcW w:w="547" w:type="dxa"/>
            <w:gridSpan w:val="2"/>
            <w:tcBorders>
              <w:top w:val="single" w:sz="6" w:space="0" w:color="auto"/>
              <w:left w:val="single" w:sz="6" w:space="0" w:color="auto"/>
              <w:bottom w:val="single" w:sz="6" w:space="0" w:color="auto"/>
              <w:right w:val="single" w:sz="6" w:space="0" w:color="auto"/>
            </w:tcBorders>
          </w:tcPr>
          <w:p w14:paraId="3D0493F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73ACA6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418996F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ж.д. АБТМ № 39</w:t>
            </w:r>
          </w:p>
          <w:p w14:paraId="567079B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33FB078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Наркомтанкопром</w:t>
            </w:r>
          </w:p>
          <w:p w14:paraId="405B8A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1338736" w14:textId="77777777">
        <w:trPr>
          <w:trHeight w:val="278"/>
        </w:trPr>
        <w:tc>
          <w:tcPr>
            <w:tcW w:w="547" w:type="dxa"/>
            <w:gridSpan w:val="2"/>
            <w:tcBorders>
              <w:top w:val="single" w:sz="6" w:space="0" w:color="auto"/>
              <w:left w:val="single" w:sz="6" w:space="0" w:color="auto"/>
              <w:bottom w:val="single" w:sz="6" w:space="0" w:color="auto"/>
              <w:right w:val="single" w:sz="6" w:space="0" w:color="auto"/>
            </w:tcBorders>
          </w:tcPr>
          <w:p w14:paraId="30502C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w:t>
            </w:r>
          </w:p>
          <w:p w14:paraId="0ED13B2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0BD747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ж.д. АБТМ № 48</w:t>
            </w:r>
          </w:p>
          <w:p w14:paraId="5CF0D8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1EA1089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Центральный фронт</w:t>
            </w:r>
          </w:p>
          <w:p w14:paraId="22D35A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E2207C5" w14:textId="77777777">
        <w:trPr>
          <w:trHeight w:val="278"/>
        </w:trPr>
        <w:tc>
          <w:tcPr>
            <w:tcW w:w="547" w:type="dxa"/>
            <w:gridSpan w:val="2"/>
            <w:tcBorders>
              <w:top w:val="single" w:sz="6" w:space="0" w:color="auto"/>
              <w:left w:val="single" w:sz="6" w:space="0" w:color="auto"/>
              <w:bottom w:val="single" w:sz="6" w:space="0" w:color="auto"/>
              <w:right w:val="single" w:sz="6" w:space="0" w:color="auto"/>
            </w:tcBorders>
          </w:tcPr>
          <w:p w14:paraId="50D6E33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w:t>
            </w:r>
          </w:p>
          <w:p w14:paraId="5ED731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009CC0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АРВБ №17</w:t>
            </w:r>
          </w:p>
          <w:p w14:paraId="1894FD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26CFF9D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Северо-Кавказский фронт</w:t>
            </w:r>
          </w:p>
          <w:p w14:paraId="13B1915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9F070C6" w14:textId="77777777">
        <w:trPr>
          <w:trHeight w:val="288"/>
        </w:trPr>
        <w:tc>
          <w:tcPr>
            <w:tcW w:w="547" w:type="dxa"/>
            <w:gridSpan w:val="2"/>
            <w:tcBorders>
              <w:top w:val="single" w:sz="6" w:space="0" w:color="auto"/>
              <w:left w:val="single" w:sz="6" w:space="0" w:color="auto"/>
              <w:bottom w:val="single" w:sz="6" w:space="0" w:color="auto"/>
              <w:right w:val="single" w:sz="6" w:space="0" w:color="auto"/>
            </w:tcBorders>
          </w:tcPr>
          <w:p w14:paraId="1A90D92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p w14:paraId="41E6D7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4FDD08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Ордена Красного Знамени АРВБ № 22</w:t>
            </w:r>
          </w:p>
          <w:p w14:paraId="6DA4D8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68230AF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Западный фронт</w:t>
            </w:r>
          </w:p>
          <w:p w14:paraId="23694E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82322B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УРТ ГБТУ КА генерал-майор инжен. танковой службы Сосенков</w:t>
      </w:r>
    </w:p>
    <w:p w14:paraId="36F879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2 отдела УРТ ГБТУ КА инженер-майор Псахис</w:t>
      </w:r>
    </w:p>
    <w:p w14:paraId="754A25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11371. Д. 24. Л. 21-22. Подлинник (11403).</w:t>
      </w:r>
    </w:p>
    <w:p w14:paraId="38869CF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3FC7F5" w14:textId="77777777" w:rsidR="003F55F7" w:rsidRPr="00D03F3E" w:rsidRDefault="003F55F7"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bCs/>
          <w:iCs/>
          <w:color w:val="000000" w:themeColor="text1"/>
          <w:sz w:val="16"/>
          <w:szCs w:val="16"/>
        </w:rPr>
        <w:t>4 апреля 1943 г.</w:t>
      </w:r>
      <w:r w:rsidRPr="00D03F3E">
        <w:rPr>
          <w:rFonts w:ascii="Times New Roman" w:hAnsi="Times New Roman"/>
          <w:color w:val="000000" w:themeColor="text1"/>
          <w:sz w:val="16"/>
          <w:szCs w:val="16"/>
        </w:rPr>
        <w:t xml:space="preserve"> Введение в эксплуатацию цеха по производству карбида кальция и цеха по производству тары на химическом заводе № 752 в г.Кирово-Чепецк (Кировская область). С этого момента началось наполнение снарядов и мин («тары») привозными ипритом и люизитом. Собственное производство люизита на основе карбида кальция практически начато не было (17133).</w:t>
      </w:r>
    </w:p>
    <w:p w14:paraId="6CE6C5E3" w14:textId="77777777" w:rsidR="003F55F7" w:rsidRPr="00D03F3E" w:rsidRDefault="003F55F7" w:rsidP="00D03F3E">
      <w:pPr>
        <w:shd w:val="clear" w:color="auto" w:fill="FFFFFF"/>
        <w:spacing w:after="0" w:line="240" w:lineRule="auto"/>
        <w:jc w:val="both"/>
        <w:rPr>
          <w:rFonts w:ascii="Times New Roman" w:hAnsi="Times New Roman"/>
          <w:color w:val="000000" w:themeColor="text1"/>
          <w:sz w:val="16"/>
          <w:szCs w:val="16"/>
        </w:rPr>
      </w:pPr>
    </w:p>
    <w:p w14:paraId="6C42850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4EF66F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235B5A" w14:textId="77777777" w:rsidR="003F55F7" w:rsidRPr="00D03F3E" w:rsidRDefault="003F55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4 апреля</w:t>
      </w:r>
      <w:r w:rsidRPr="00D03F3E">
        <w:rPr>
          <w:rFonts w:ascii="Times New Roman" w:hAnsi="Times New Roman"/>
          <w:color w:val="000000" w:themeColor="text1"/>
          <w:sz w:val="16"/>
          <w:szCs w:val="16"/>
        </w:rPr>
        <w:t xml:space="preserve"> в 1943 году утреннее сообщение Совинформбюро:</w:t>
      </w:r>
    </w:p>
    <w:p w14:paraId="6A747CAF" w14:textId="77777777" w:rsidR="003F55F7" w:rsidRPr="00D03F3E" w:rsidRDefault="003F55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4 апреля на фронтах существенных изменений не произошло.</w:t>
      </w:r>
    </w:p>
    <w:p w14:paraId="11E0427C" w14:textId="77777777" w:rsidR="003F55F7" w:rsidRPr="00D03F3E" w:rsidRDefault="003F55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артиллеристы Н-ского соединения разрушили 7 дзотов и подавили огонь 2 артиллерийских батарей противника. На одном участке отбита попытка противника вести разведку боем. Ружейно-пулеметным огнём гитлеровцы были рассеяны и частью уничтожены.</w:t>
      </w:r>
    </w:p>
    <w:p w14:paraId="63633AA7" w14:textId="77777777" w:rsidR="003F55F7" w:rsidRPr="00D03F3E" w:rsidRDefault="003F55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северо-западнее Белгорода противник безуспешно пытался захватить один населённый пункт. Гитлеровцы два раза бросались в атаку, но были отброшены, потеряв убитыми более 100 солдат и офицеров. На соседнем участке казах красноармеец тов. Абдурахманов с группой разведчиков подполз к зданию, занятому немцами, и первым ворвался в него. Разведчики истребили всех засевших в доме гитлеровцев и овладели выгодной позицией.</w:t>
      </w:r>
    </w:p>
    <w:p w14:paraId="70CE0DEE" w14:textId="77777777" w:rsidR="003F55F7" w:rsidRPr="00D03F3E" w:rsidRDefault="003F55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наши войска вели оборонительные бои. Бойцы Н-ской части отбили несколько следовавших одна за другой атак противника и удержали свои позиции. Истреблено до 400 немецких солдат и офицеров, сожжено и подбито 8 вражеских танков.</w:t>
      </w:r>
    </w:p>
    <w:p w14:paraId="2BF94791" w14:textId="77777777" w:rsidR="003F55F7" w:rsidRPr="00D03F3E" w:rsidRDefault="003F55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течения Северного Донца бойцы Н-ского подразделения внезапно напали на немцев, возводивших оборонительные сооружения. В результате рукопашной схватки уничтожено 80 солдат и офицеров противника, захвачены 3 пулемёта и винтовки гитлеровцев.</w:t>
      </w:r>
    </w:p>
    <w:p w14:paraId="153B52EE" w14:textId="77777777" w:rsidR="003F55F7" w:rsidRPr="00D03F3E" w:rsidRDefault="003F55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Снайперы тт. Черепков, Молоковский и Батум истребили 19 солдат и трёх офицеров противника. Снайпер т. Торопов убил 5 немцев.</w:t>
      </w:r>
    </w:p>
    <w:p w14:paraId="1FE9325B" w14:textId="77777777" w:rsidR="003F55F7" w:rsidRPr="00D03F3E" w:rsidRDefault="003F55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калининских партизан с 19 по 25 марта взорвала два железнодорожных моста в тылу противника. Во время этой операции уничтожено 17 немецких солдат, охранявших мосты. Партизаны другого отряда организовали крушение железнодорожного эшелона противника. Разбиты паровоз и несколько вагонов сразличными военными грузами.</w:t>
      </w:r>
    </w:p>
    <w:p w14:paraId="503D81E2" w14:textId="77777777" w:rsidR="003F55F7" w:rsidRPr="00D03F3E" w:rsidRDefault="003F55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Жители деревни Тараканово, Смоленской области, составили акт о зверствах немецко-фашистских мерзавцев: «Много мучений и издевательств пережили мы за время хозяйничанья немцев в нашей деревне. Гитлеровцы выгнали нас из домов. Население по 20 человек жило в холодных подвалах, ригах и банях. Немцы отобралиу нас хлеб, картофель, тёплую одежду, забирали всё, что им попадалось на глаза. Население питалось жалкими крохами, припрятанными в ямах, трупами павших лошадей, но даже падаль можно было брать лишь с разрешения немцев. Удирая под ударами Красной Армии, гитлеровские бандиты сожгли 24 дома. В деревне осталось только 6 домов, которые также приведены в полную негодность. 70 человек жителей деревни немцы угнали на каторгу в Германию, разлучили детей с матерями. Оставшиеся дети стали теперь сиротами по вине немецких разбойников». Акт подписали: жители деревни Тараканов, Лабанова, Дьякова, Лабанова и другие.</w:t>
      </w:r>
    </w:p>
    <w:p w14:paraId="62AC971D" w14:textId="77777777" w:rsidR="003F55F7" w:rsidRPr="00D03F3E" w:rsidRDefault="003F55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время налета английской авиации на Эссен (Германия) в городе произошли столкновения между иностранными рабочими и немецкой полицией. Рабочие крупного цеха машиностроительного завода, воспользовавшись суматохой, выключили свет, переломали станки и покинули завод. На другом военном предприятии немецкие полицейские заставили иностранных рабочих тушить пожар, охвативший несколько цехов. Толпа бельгийцев и французов окружила полицейских, обезоружила их и вывела из строя пожарные машины. За последнее время из Эссена и его окрестностей сбежали сотни иностранных рабочих.» (15089).</w:t>
      </w:r>
    </w:p>
    <w:p w14:paraId="122E0F7A" w14:textId="77777777" w:rsidR="003F55F7" w:rsidRPr="00D03F3E" w:rsidRDefault="003F55F7" w:rsidP="00D03F3E">
      <w:pPr>
        <w:spacing w:after="0" w:line="240" w:lineRule="auto"/>
        <w:jc w:val="both"/>
        <w:rPr>
          <w:rFonts w:ascii="Times New Roman" w:hAnsi="Times New Roman"/>
          <w:color w:val="000000" w:themeColor="text1"/>
          <w:sz w:val="16"/>
          <w:szCs w:val="16"/>
        </w:rPr>
      </w:pPr>
    </w:p>
    <w:p w14:paraId="0C1469EE" w14:textId="77777777" w:rsidR="003F55F7" w:rsidRPr="00D03F3E" w:rsidRDefault="003F55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4 апреля</w:t>
      </w:r>
      <w:r w:rsidRPr="00D03F3E">
        <w:rPr>
          <w:rFonts w:ascii="Times New Roman" w:hAnsi="Times New Roman"/>
          <w:color w:val="000000" w:themeColor="text1"/>
          <w:sz w:val="16"/>
          <w:szCs w:val="16"/>
        </w:rPr>
        <w:t xml:space="preserve"> в 1943 году вечернее сообщение Совинформбюро:</w:t>
      </w:r>
    </w:p>
    <w:p w14:paraId="06308231" w14:textId="77777777" w:rsidR="003F55F7" w:rsidRPr="00D03F3E" w:rsidRDefault="003F55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4 апреля на фронтах существенных изменений не произошло.</w:t>
      </w:r>
    </w:p>
    <w:p w14:paraId="0DFF4428" w14:textId="77777777" w:rsidR="003F55F7" w:rsidRPr="00D03F3E" w:rsidRDefault="003F55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корабли в Баренцевом море потопили транспорт противника водоизмещением в 8.000 тонн.</w:t>
      </w:r>
    </w:p>
    <w:p w14:paraId="14E66868" w14:textId="77777777" w:rsidR="003F55F7" w:rsidRPr="00D03F3E" w:rsidRDefault="003F55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28 марта по 3 апреля включительно, в воздушных боях и на аэродромах противника уничтожено 124 немецких самолёта. Наши потери за это же время — 73 самолёта.</w:t>
      </w:r>
    </w:p>
    <w:p w14:paraId="66402842" w14:textId="77777777" w:rsidR="003F55F7" w:rsidRPr="00D03F3E" w:rsidRDefault="003F55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апреля частями нашей авиации на различных участках фронта уничтожено или повреждено не менее 20 немецких автомашин с войсками и грузами. В Чёрном море наша авиация потопила три транспорта противника общим водоизмещением в 13.000 тонн, две баржи и два торпедных катера.</w:t>
      </w:r>
    </w:p>
    <w:p w14:paraId="46555AF2" w14:textId="77777777" w:rsidR="003F55F7" w:rsidRPr="00D03F3E" w:rsidRDefault="003F55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наши войска вели оборонительные бои. Не добившись успеха в предшествующие дни, противник сегодня ввёл в бой три батальона моторизованной пехоты и 20 танков. Наступление немцев поддерживалось крупными силами авиации. B ожесточённых оборонительных боях наши части отбили все атаки гитлеровцев. Противник потерял убитыми до 1.000 солдат и офицеров. Подбито и сожжено 9 немецких танков и уничтожено 30 автомашин. В воздушных боях сбито 5 немецких самолётов. Кроме того, два самолёта противника уничтожены огнём нашей зенитной артиллерии.</w:t>
      </w:r>
    </w:p>
    <w:p w14:paraId="538ED020" w14:textId="77777777" w:rsidR="003F55F7" w:rsidRPr="00D03F3E" w:rsidRDefault="003F55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северо-западнее Белгорода происходили бои местного значения. На одном участке наше подразделение за два дня боевых действий истребило до роты гитлеровцев. Лётчицы младшие лейтенанты Тамара Памятных и Рая Сурначевская встретили несколько вражеских бомбардировщиков и атаковали их. Тамара Памятных сбила 2 немецких бомбардировщика. Самолёт тов. Памятных во время боя был подбит, но она дотянула до своей территории и благополучно выбросилась с парашютом. Лётчица тов. Сурначевская, оставшись одна, продолжала вести бой и сбила ещё 2 самолёта противника.</w:t>
      </w:r>
    </w:p>
    <w:p w14:paraId="28D35024" w14:textId="77777777" w:rsidR="003F55F7" w:rsidRPr="00D03F3E" w:rsidRDefault="003F55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закреплялись на достигнутых рубежах и вели боевую разведку. Огнём артиллерии и пехотного оружия уничтожено до 400 немецких солдат и офицеров, разрушено 34 блиндажа и 10 дзотов противника.</w:t>
      </w:r>
    </w:p>
    <w:p w14:paraId="4DB639DD" w14:textId="77777777" w:rsidR="003F55F7" w:rsidRPr="00D03F3E" w:rsidRDefault="003F55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части вели наступательные бои. Бойцы Н-ского соединения, преодолевая упорное сопротивление противника, ворвались на окраины одного населённого пункта и ведут уличные бои. В течение дня уничтожено 4 орудия, 8 миномётов и истреблено свыше 250 немецких солдат и офицеров.</w:t>
      </w:r>
    </w:p>
    <w:p w14:paraId="62D6A362" w14:textId="77777777" w:rsidR="003F55F7" w:rsidRPr="00D03F3E" w:rsidRDefault="003F55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Несколько партизанских отрядов, действующих в одном из районов Витебской области, в конце марта вели ожесточённые бои с карательным отрядом противника. В результате этих боёв партизаны разгромили два батальона себежского гарнизона, срочно прибывших на помощь потерпевшей неудачу карательной экспедиции гитлеровцев. Немецко-фашистские захватчики потеряли в этих боях только убитыми свыше 1.000 солдат и офицеров. Партизанами захвачены большие трофеи. Группа витебских партизан на участке железной дороги Витебск — Полоцк пустила под откос немецкий воинский эшелон. При крушении разбиты паровоз, 19 вагонов и платформ.</w:t>
      </w:r>
    </w:p>
    <w:p w14:paraId="5F46C71C" w14:textId="77777777" w:rsidR="003F55F7" w:rsidRPr="00D03F3E" w:rsidRDefault="003F55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Отступая под ударами Красной Армии, немецко-фашистские мерзавцы сожгли дотла деревню Королёвка, Смоленской области. Наши бойцы, вступившие в Королёвку, нашли там кучи пепла и много обугленных тел. Единственная оставшаяся в живых колхозница Дарья Русакова рассказала о чудовищном злодеянии фашистских людоедов: «Немецкие душегубы перед отступлением согнали население Королёвки, разделили на группы и начали расстреливать. Гитлеровские убийцы многих жителей загнали в дома, а потом подожгли их. Кто пытался выскочить из горящих домов, в тех стреляли. За один день изверги растерзали, убили и сожгли всех односельчан» (15089).</w:t>
      </w:r>
    </w:p>
    <w:p w14:paraId="39515537" w14:textId="77777777" w:rsidR="003F55F7" w:rsidRPr="00D03F3E" w:rsidRDefault="003F55F7" w:rsidP="00D03F3E">
      <w:pPr>
        <w:spacing w:after="0" w:line="240" w:lineRule="auto"/>
        <w:jc w:val="both"/>
        <w:rPr>
          <w:rFonts w:ascii="Times New Roman" w:hAnsi="Times New Roman"/>
          <w:color w:val="000000" w:themeColor="text1"/>
          <w:sz w:val="16"/>
          <w:szCs w:val="16"/>
        </w:rPr>
      </w:pPr>
    </w:p>
    <w:p w14:paraId="003EE2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апреля 1943 возобновилось наступление Северо-Кавказского фронта с целью обойти Крымскую с севера и юга и овладеть ею. До 23 апреля 1943 в состав ВВС СКФ входили 4ВА (г Н.Ф.Науменко) - 250 машин и 5ВА (г С.К.Горюнов) - 200 + 70 машин ВВС ЧФ (г В.В.Ермаченко) (340,116).</w:t>
      </w:r>
    </w:p>
    <w:p w14:paraId="079227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0FC1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апреля 1943 вышло Постановление ГКО № 3118 О временном выделении ГАБТУ КА 50 импортных тяжелых тракторов для эвакуации танков с бывших полей сражений.РГАНИР, Фонд ГКО, д. 100, лл. 145 (11012).</w:t>
      </w:r>
    </w:p>
    <w:p w14:paraId="308A6A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2AFC3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111A91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5100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апреля 1943 вышло Постановление ГКО № 3117 О первоочередных мероприятиях по восстановлению хозяйства Сталинграда и Сталинградской области.РГАНИР, Фонд ГКО, д. 100, лл. 125-139, 140-144 (11012).</w:t>
      </w:r>
    </w:p>
    <w:p w14:paraId="1588B3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545D6E"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17911C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FE5428" w14:textId="77777777" w:rsidR="003F55F7" w:rsidRPr="00D03F3E" w:rsidRDefault="003F55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4 апреля</w:t>
      </w:r>
      <w:r w:rsidRPr="00D03F3E">
        <w:rPr>
          <w:rFonts w:ascii="Times New Roman" w:hAnsi="Times New Roman"/>
          <w:color w:val="000000" w:themeColor="text1"/>
          <w:sz w:val="16"/>
          <w:szCs w:val="16"/>
        </w:rPr>
        <w:t xml:space="preserve"> в 1943 году первый австралийский истребитель </w:t>
      </w:r>
      <w:hyperlink r:id="rId111" w:tgtFrame="_blank" w:history="1">
        <w:r w:rsidRPr="00D03F3E">
          <w:rPr>
            <w:rFonts w:ascii="Times New Roman" w:hAnsi="Times New Roman"/>
            <w:color w:val="000000" w:themeColor="text1"/>
            <w:sz w:val="16"/>
            <w:szCs w:val="16"/>
          </w:rPr>
          <w:t xml:space="preserve">«СA-12» «Бумеранг» </w:t>
        </w:r>
      </w:hyperlink>
      <w:r w:rsidRPr="00D03F3E">
        <w:rPr>
          <w:rFonts w:ascii="Times New Roman" w:hAnsi="Times New Roman"/>
          <w:color w:val="000000" w:themeColor="text1"/>
          <w:sz w:val="16"/>
          <w:szCs w:val="16"/>
        </w:rPr>
        <w:t>появился на тихоокеанском ТВД. Первым боевым соединением, взявшим на вооружение ''Бумеранги'', стала 84 эскадрилья RAAF, направленная в начале 1943 года на аэродром Ричмонд, штат Новый Южный Уэллс. Первый самолет прибыл сюда 2 марта 1943 года. Эскадрилья дважды меняла место дислокации: сперва на остров Горн, затем на аэродром Таунсвилль, штат Куинсленд. Самолеты выполняли патрульные полеты в районе Новой Гвинеи, прикрывая с воздуха базу союзников Мероке, вместе с базировавшимися на том же аэродроме «Р-40» ''Киттихок'' 86 эскадрильи (15089).</w:t>
      </w:r>
    </w:p>
    <w:p w14:paraId="1BEF4239" w14:textId="77777777" w:rsidR="003F55F7" w:rsidRPr="00D03F3E" w:rsidRDefault="003F55F7" w:rsidP="00D03F3E">
      <w:pPr>
        <w:spacing w:after="0" w:line="240" w:lineRule="auto"/>
        <w:jc w:val="both"/>
        <w:rPr>
          <w:rFonts w:ascii="Times New Roman" w:hAnsi="Times New Roman"/>
          <w:color w:val="000000" w:themeColor="text1"/>
          <w:sz w:val="16"/>
          <w:szCs w:val="16"/>
        </w:rPr>
      </w:pPr>
    </w:p>
    <w:p w14:paraId="44CC475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апреля 1943 произведен налет 484 английских бомбардировщиков на немецкий город Эссен, уничтожено около 240 гектаров застроенной площади города (4963 ).</w:t>
      </w:r>
    </w:p>
    <w:p w14:paraId="6BD8DA9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47EAB0" w14:textId="77777777" w:rsidR="003F55F7" w:rsidRPr="00D03F3E" w:rsidRDefault="003F55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4 апреля</w:t>
      </w:r>
      <w:r w:rsidRPr="00D03F3E">
        <w:rPr>
          <w:rFonts w:ascii="Times New Roman" w:hAnsi="Times New Roman"/>
          <w:color w:val="000000" w:themeColor="text1"/>
          <w:sz w:val="16"/>
          <w:szCs w:val="16"/>
        </w:rPr>
        <w:t xml:space="preserve"> в 1943 году авиационный налет американских ВВС на заводы Рено в Париже (15089).</w:t>
      </w:r>
    </w:p>
    <w:p w14:paraId="5703558D" w14:textId="77777777" w:rsidR="003F55F7" w:rsidRPr="00D03F3E" w:rsidRDefault="003F55F7" w:rsidP="00D03F3E">
      <w:pPr>
        <w:spacing w:after="0" w:line="240" w:lineRule="auto"/>
        <w:jc w:val="both"/>
        <w:rPr>
          <w:rFonts w:ascii="Times New Roman" w:hAnsi="Times New Roman"/>
          <w:color w:val="000000" w:themeColor="text1"/>
          <w:sz w:val="16"/>
          <w:szCs w:val="16"/>
        </w:rPr>
      </w:pPr>
    </w:p>
    <w:p w14:paraId="35F5E68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359A91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C80E22" w14:textId="77777777" w:rsidR="00B610FB" w:rsidRPr="00D03F3E" w:rsidRDefault="00B610F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5 апреля 1943 г. начальник 1-го отдела ГУ ИАС ВВС КА генерал-майор А.И. Гребенев на</w:t>
      </w:r>
      <w:r w:rsidRPr="00D03F3E">
        <w:rPr>
          <w:rFonts w:ascii="Times New Roman" w:cs="Times New Roman"/>
          <w:color w:val="000000" w:themeColor="text1"/>
          <w:spacing w:val="0"/>
        </w:rPr>
        <w:softHyphen/>
        <w:t>помнил старшим военпредам на заводах №1, 18 и 30, что в отчете НИИ ВВС по войсковым испытаниям на боевое применение двухмест</w:t>
      </w:r>
      <w:r w:rsidRPr="00D03F3E">
        <w:rPr>
          <w:rFonts w:ascii="Times New Roman" w:cs="Times New Roman"/>
          <w:color w:val="000000" w:themeColor="text1"/>
          <w:spacing w:val="0"/>
        </w:rPr>
        <w:softHyphen/>
        <w:t>ных самолетов Ил-2 с задней огневой точкой завода №30 от 3 марта 1943 г. предписыва</w:t>
      </w:r>
      <w:r w:rsidRPr="00D03F3E">
        <w:rPr>
          <w:rFonts w:ascii="Times New Roman" w:cs="Times New Roman"/>
          <w:color w:val="000000" w:themeColor="text1"/>
          <w:spacing w:val="0"/>
        </w:rPr>
        <w:softHyphen/>
        <w:t>лось</w:t>
      </w:r>
      <w:r w:rsidRPr="00D03F3E">
        <w:rPr>
          <w:rStyle w:val="aff6"/>
          <w:rFonts w:ascii="Times New Roman" w:hAnsi="Times New Roman" w:cs="Times New Roman"/>
          <w:i w:val="0"/>
          <w:color w:val="000000" w:themeColor="text1"/>
          <w:spacing w:val="0"/>
        </w:rPr>
        <w:t xml:space="preserve"> «обязать Главного конструктора тов. Ильюшина:</w:t>
      </w:r>
    </w:p>
    <w:p w14:paraId="66D2E44C" w14:textId="77777777" w:rsidR="00B610FB" w:rsidRPr="00D03F3E" w:rsidRDefault="00B610FB" w:rsidP="00D03F3E">
      <w:pPr>
        <w:pStyle w:val="45"/>
        <w:shd w:val="clear" w:color="auto" w:fill="auto"/>
        <w:tabs>
          <w:tab w:val="left" w:pos="481"/>
        </w:tabs>
        <w:spacing w:before="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а) увеличить бронирование задней кабины стрелка, установив броню с боков и снизу и усилив бронирование сзади сверху;</w:t>
      </w:r>
    </w:p>
    <w:p w14:paraId="438D2F6B" w14:textId="77777777" w:rsidR="00B610FB" w:rsidRPr="00D03F3E" w:rsidRDefault="00B610FB" w:rsidP="00D03F3E">
      <w:pPr>
        <w:pStyle w:val="45"/>
        <w:shd w:val="clear" w:color="auto" w:fill="auto"/>
        <w:tabs>
          <w:tab w:val="left" w:pos="495"/>
        </w:tabs>
        <w:spacing w:before="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б) увеличить углы обстрела задней огне</w:t>
      </w:r>
      <w:r w:rsidRPr="00D03F3E">
        <w:rPr>
          <w:rFonts w:ascii="Times New Roman" w:cs="Times New Roman"/>
          <w:color w:val="000000" w:themeColor="text1"/>
          <w:sz w:val="16"/>
          <w:szCs w:val="16"/>
        </w:rPr>
        <w:softHyphen/>
        <w:t>вой установки до 50-60'в стороны и вверх, а также по возможности вниз до 15-20°;</w:t>
      </w:r>
    </w:p>
    <w:p w14:paraId="1A6106B9" w14:textId="77777777" w:rsidR="00B610FB" w:rsidRPr="00D03F3E" w:rsidRDefault="00B610FB" w:rsidP="00D03F3E">
      <w:pPr>
        <w:pStyle w:val="45"/>
        <w:shd w:val="clear" w:color="auto" w:fill="auto"/>
        <w:tabs>
          <w:tab w:val="left" w:pos="481"/>
        </w:tabs>
        <w:spacing w:before="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в) устранить дефекты задней пулеметной установки, а также оборудования кабины».</w:t>
      </w:r>
    </w:p>
    <w:p w14:paraId="174B9B6F" w14:textId="77777777" w:rsidR="00B610FB" w:rsidRPr="00D03F3E" w:rsidRDefault="00B610F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Однако Ильюшин отказывался от любых мероприятий по навеске дополнительной бро</w:t>
      </w:r>
      <w:r w:rsidRPr="00D03F3E">
        <w:rPr>
          <w:rFonts w:ascii="Times New Roman" w:cs="Times New Roman"/>
          <w:color w:val="000000" w:themeColor="text1"/>
          <w:spacing w:val="0"/>
        </w:rPr>
        <w:softHyphen/>
        <w:t>ни позади кабины летчика.</w:t>
      </w:r>
      <w:r w:rsidRPr="00D03F3E">
        <w:rPr>
          <w:rStyle w:val="aff6"/>
          <w:rFonts w:ascii="Times New Roman" w:hAnsi="Times New Roman" w:cs="Times New Roman"/>
          <w:i w:val="0"/>
          <w:color w:val="000000" w:themeColor="text1"/>
          <w:spacing w:val="0"/>
        </w:rPr>
        <w:t xml:space="preserve"> «На существующих машинах добавить брони невозможно, это бу</w:t>
      </w:r>
      <w:r w:rsidRPr="00D03F3E">
        <w:rPr>
          <w:rStyle w:val="aff6"/>
          <w:rFonts w:ascii="Times New Roman" w:hAnsi="Times New Roman" w:cs="Times New Roman"/>
          <w:i w:val="0"/>
          <w:color w:val="000000" w:themeColor="text1"/>
          <w:spacing w:val="0"/>
        </w:rPr>
        <w:softHyphen/>
        <w:t>дет сделано на модификации Ил-2»,</w:t>
      </w:r>
      <w:r w:rsidRPr="00D03F3E">
        <w:rPr>
          <w:rFonts w:ascii="Times New Roman" w:cs="Times New Roman"/>
          <w:color w:val="000000" w:themeColor="text1"/>
          <w:spacing w:val="0"/>
        </w:rPr>
        <w:t xml:space="preserve"> - утвер</w:t>
      </w:r>
      <w:r w:rsidRPr="00D03F3E">
        <w:rPr>
          <w:rFonts w:ascii="Times New Roman" w:cs="Times New Roman"/>
          <w:color w:val="000000" w:themeColor="text1"/>
          <w:spacing w:val="0"/>
        </w:rPr>
        <w:softHyphen/>
        <w:t>ждал он в ответных письмах.</w:t>
      </w:r>
    </w:p>
    <w:p w14:paraId="4A96BBF4" w14:textId="77777777" w:rsidR="00B610FB" w:rsidRPr="00D03F3E" w:rsidRDefault="00B610F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Действительно, центровка двухместного серийного Ил-2 была излишне задней - ухуд</w:t>
      </w:r>
      <w:r w:rsidRPr="00D03F3E">
        <w:rPr>
          <w:rFonts w:ascii="Times New Roman" w:cs="Times New Roman"/>
          <w:color w:val="000000" w:themeColor="text1"/>
          <w:spacing w:val="0"/>
        </w:rPr>
        <w:softHyphen/>
        <w:t>шились продольная устойчивость, пилотажные качества и маневренность самолета. Поэтому расчет строился на скорое внедрение в серий</w:t>
      </w:r>
      <w:r w:rsidRPr="00D03F3E">
        <w:rPr>
          <w:rFonts w:ascii="Times New Roman" w:cs="Times New Roman"/>
          <w:color w:val="000000" w:themeColor="text1"/>
          <w:spacing w:val="0"/>
        </w:rPr>
        <w:softHyphen/>
        <w:t>ное производство модернизированного вари</w:t>
      </w:r>
      <w:r w:rsidRPr="00D03F3E">
        <w:rPr>
          <w:rFonts w:ascii="Times New Roman" w:cs="Times New Roman"/>
          <w:color w:val="000000" w:themeColor="text1"/>
          <w:spacing w:val="0"/>
        </w:rPr>
        <w:softHyphen/>
        <w:t>анта Ил-2М с двигателем АМ-42. Этот самолет имел исключительно сильное бронирование: вес металлической брони составлял 1461,7 кг, а прозрачной -101,6 кг. Ктомуже параллельно строился разведчик-корректировщик артилле</w:t>
      </w:r>
      <w:r w:rsidRPr="00D03F3E">
        <w:rPr>
          <w:rFonts w:ascii="Times New Roman" w:cs="Times New Roman"/>
          <w:color w:val="000000" w:themeColor="text1"/>
          <w:spacing w:val="0"/>
        </w:rPr>
        <w:softHyphen/>
        <w:t>рийского огня Ил-2(РК) с таким же мотором.</w:t>
      </w:r>
    </w:p>
    <w:p w14:paraId="13B55630" w14:textId="77777777" w:rsidR="00B610FB" w:rsidRPr="00D03F3E" w:rsidRDefault="00B610F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Особенностью Ил-2М являлась шароо</w:t>
      </w:r>
      <w:r w:rsidRPr="00D03F3E">
        <w:rPr>
          <w:rFonts w:ascii="Times New Roman" w:cs="Times New Roman"/>
          <w:color w:val="000000" w:themeColor="text1"/>
          <w:spacing w:val="0"/>
        </w:rPr>
        <w:softHyphen/>
        <w:t>бразная бронированная башня стрелка-ради</w:t>
      </w:r>
      <w:r w:rsidRPr="00D03F3E">
        <w:rPr>
          <w:rFonts w:ascii="Times New Roman" w:cs="Times New Roman"/>
          <w:color w:val="000000" w:themeColor="text1"/>
          <w:spacing w:val="0"/>
        </w:rPr>
        <w:softHyphen/>
        <w:t>ста (по типу башни самолета БШ-М-71), обес</w:t>
      </w:r>
      <w:r w:rsidRPr="00D03F3E">
        <w:rPr>
          <w:rFonts w:ascii="Times New Roman" w:cs="Times New Roman"/>
          <w:color w:val="000000" w:themeColor="text1"/>
          <w:spacing w:val="0"/>
        </w:rPr>
        <w:softHyphen/>
        <w:t>печивающая одновременно хорошую защиту стрелка и большие углы обстрела из крупнока</w:t>
      </w:r>
      <w:r w:rsidRPr="00D03F3E">
        <w:rPr>
          <w:rFonts w:ascii="Times New Roman" w:cs="Times New Roman"/>
          <w:color w:val="000000" w:themeColor="text1"/>
          <w:spacing w:val="0"/>
        </w:rPr>
        <w:softHyphen/>
        <w:t>либерного пулемета УБК.</w:t>
      </w:r>
    </w:p>
    <w:p w14:paraId="2EB81B0C" w14:textId="77777777" w:rsidR="00B610FB" w:rsidRPr="00D03F3E" w:rsidRDefault="00B610F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На самолете в его первоначальном вари</w:t>
      </w:r>
      <w:r w:rsidRPr="00D03F3E">
        <w:rPr>
          <w:rFonts w:ascii="Times New Roman" w:cs="Times New Roman"/>
          <w:color w:val="000000" w:themeColor="text1"/>
          <w:spacing w:val="0"/>
        </w:rPr>
        <w:softHyphen/>
        <w:t>анте предполагалось забронировать экипаж, маслорадиатор, бензо- и маслобаки (толщина брони - 6 мм). Мотор размещался внутри бро- некапота (толщина брони - 6 мм), диск кока винта выполнялся из брони толщиной 8 мм. Летчик со стороны передней полусферы за</w:t>
      </w:r>
      <w:r w:rsidRPr="00D03F3E">
        <w:rPr>
          <w:rFonts w:ascii="Times New Roman" w:cs="Times New Roman"/>
          <w:color w:val="000000" w:themeColor="text1"/>
          <w:spacing w:val="0"/>
        </w:rPr>
        <w:softHyphen/>
        <w:t>щищался прозрачным бронестеклом толщи</w:t>
      </w:r>
      <w:r w:rsidRPr="00D03F3E">
        <w:rPr>
          <w:rFonts w:ascii="Times New Roman" w:cs="Times New Roman"/>
          <w:color w:val="000000" w:themeColor="text1"/>
          <w:spacing w:val="0"/>
        </w:rPr>
        <w:softHyphen/>
        <w:t>ной 62 мм, с боков и снизу - броней толщиной 6 мм, а со стороны задней полусферы - 16-мм броневым листом. На фонаре кабины пилота сверху и с боков устанавливались 6-мм бронеплиты.</w:t>
      </w:r>
    </w:p>
    <w:p w14:paraId="67F26A42" w14:textId="77777777" w:rsidR="00B610FB" w:rsidRPr="00D03F3E" w:rsidRDefault="00B610F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Кабина стрелка также защищалась: со сто</w:t>
      </w:r>
      <w:r w:rsidRPr="00D03F3E">
        <w:rPr>
          <w:rFonts w:ascii="Times New Roman" w:cs="Times New Roman"/>
          <w:color w:val="000000" w:themeColor="text1"/>
          <w:spacing w:val="0"/>
        </w:rPr>
        <w:softHyphen/>
        <w:t>роны хвоста - 16-мм бронеплитой, с боков и снизу - 6-мм броней. Башня турели была пол</w:t>
      </w:r>
      <w:r w:rsidRPr="00D03F3E">
        <w:rPr>
          <w:rFonts w:ascii="Times New Roman" w:cs="Times New Roman"/>
          <w:color w:val="000000" w:themeColor="text1"/>
          <w:spacing w:val="0"/>
        </w:rPr>
        <w:softHyphen/>
        <w:t>ностью прикрыта металлической броней тол</w:t>
      </w:r>
      <w:r w:rsidRPr="00D03F3E">
        <w:rPr>
          <w:rFonts w:ascii="Times New Roman" w:cs="Times New Roman"/>
          <w:color w:val="000000" w:themeColor="text1"/>
          <w:spacing w:val="0"/>
        </w:rPr>
        <w:softHyphen/>
        <w:t>щиной 6 мм. Со стороны установки пулемета на башне монтировалась 62-мм прозрачная броня. Из прозрачной брони такой же толщины выполнялись и смотровые окна по бокам баш</w:t>
      </w:r>
      <w:r w:rsidRPr="00D03F3E">
        <w:rPr>
          <w:rFonts w:ascii="Times New Roman" w:cs="Times New Roman"/>
          <w:color w:val="000000" w:themeColor="text1"/>
          <w:spacing w:val="0"/>
        </w:rPr>
        <w:softHyphen/>
        <w:t>ни. Однако на самолете отсутствовали систе</w:t>
      </w:r>
      <w:r w:rsidRPr="00D03F3E">
        <w:rPr>
          <w:rFonts w:ascii="Times New Roman" w:cs="Times New Roman"/>
          <w:color w:val="000000" w:themeColor="text1"/>
          <w:spacing w:val="0"/>
        </w:rPr>
        <w:softHyphen/>
        <w:t>ма заполнения бензобаков нейтральным газом и дублирование управления рулем высоты и направления.</w:t>
      </w:r>
    </w:p>
    <w:p w14:paraId="59E34A14" w14:textId="77777777" w:rsidR="00B610FB" w:rsidRPr="00D03F3E" w:rsidRDefault="00B610F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Ил-2М должен был иметь максимальную бомбовую нагрузку до 1000 кг, включающую авиабомбы калибра 500 кг, две пушки ВЯ (300 снарядов), два пулемета ШКАС (1500 патро</w:t>
      </w:r>
      <w:r w:rsidRPr="00D03F3E">
        <w:rPr>
          <w:rFonts w:ascii="Times New Roman" w:cs="Times New Roman"/>
          <w:color w:val="000000" w:themeColor="text1"/>
          <w:spacing w:val="0"/>
        </w:rPr>
        <w:softHyphen/>
        <w:t>нов). Ракетное вооружение использовать не предполагалось.</w:t>
      </w:r>
    </w:p>
    <w:p w14:paraId="7F9DD4E0" w14:textId="77777777" w:rsidR="00B610FB" w:rsidRPr="00D03F3E" w:rsidRDefault="00B610F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Как видно, С.В. Ильюшин сделал ставку на сильное бронирование и мощное бомбовое вооружение, что давало возможность исполь</w:t>
      </w:r>
      <w:r w:rsidRPr="00D03F3E">
        <w:rPr>
          <w:rFonts w:ascii="Times New Roman" w:cs="Times New Roman"/>
          <w:color w:val="000000" w:themeColor="text1"/>
          <w:spacing w:val="0"/>
        </w:rPr>
        <w:softHyphen/>
        <w:t>зовать самолет не только в качестве штурмо</w:t>
      </w:r>
      <w:r w:rsidRPr="00D03F3E">
        <w:rPr>
          <w:rFonts w:ascii="Times New Roman" w:cs="Times New Roman"/>
          <w:color w:val="000000" w:themeColor="text1"/>
          <w:spacing w:val="0"/>
        </w:rPr>
        <w:softHyphen/>
        <w:t>вика, но и ближнего дневного бомбардиров</w:t>
      </w:r>
      <w:r w:rsidRPr="00D03F3E">
        <w:rPr>
          <w:rFonts w:ascii="Times New Roman" w:cs="Times New Roman"/>
          <w:color w:val="000000" w:themeColor="text1"/>
          <w:spacing w:val="0"/>
        </w:rPr>
        <w:softHyphen/>
        <w:t>щика. Как известно, в ВВС Красной Армии в то время катастрофически не хватало фронтовой бомбардировочной авиации. По замыслу, мно</w:t>
      </w:r>
      <w:r w:rsidRPr="00D03F3E">
        <w:rPr>
          <w:rFonts w:ascii="Times New Roman" w:cs="Times New Roman"/>
          <w:color w:val="000000" w:themeColor="text1"/>
          <w:spacing w:val="0"/>
        </w:rPr>
        <w:softHyphen/>
        <w:t>гоцелевое назначение Ил-2М АМ-42 должно было обеспечить ему повышенную боевую эф</w:t>
      </w:r>
      <w:r w:rsidRPr="00D03F3E">
        <w:rPr>
          <w:rFonts w:ascii="Times New Roman" w:cs="Times New Roman"/>
          <w:color w:val="000000" w:themeColor="text1"/>
          <w:spacing w:val="0"/>
        </w:rPr>
        <w:softHyphen/>
        <w:t>фективность при решении задач авиационной поддержки войск. Кроме этого, он сохранял преемственность технологии производства Ил-2; предусматривалось частичное (до 25%) использование готовых деталей, узлов и оснастки от «двойки».</w:t>
      </w:r>
    </w:p>
    <w:p w14:paraId="64FC9FFE" w14:textId="77777777" w:rsidR="00B610FB" w:rsidRPr="00D03F3E" w:rsidRDefault="00B610F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Между тем, в строевых частях также пы</w:t>
      </w:r>
      <w:r w:rsidRPr="00D03F3E">
        <w:rPr>
          <w:rFonts w:ascii="Times New Roman" w:cs="Times New Roman"/>
          <w:color w:val="000000" w:themeColor="text1"/>
          <w:spacing w:val="0"/>
        </w:rPr>
        <w:softHyphen/>
        <w:t>тались улучшить защиту воздушного стрелка на Ил-2, используя для этого различные «под</w:t>
      </w:r>
      <w:r w:rsidRPr="00D03F3E">
        <w:rPr>
          <w:rFonts w:ascii="Times New Roman" w:cs="Times New Roman"/>
          <w:color w:val="000000" w:themeColor="text1"/>
          <w:spacing w:val="0"/>
        </w:rPr>
        <w:softHyphen/>
        <w:t>ручные» средства. Так, летом 1943 г. в частях 1-й гшад делались попытки усилить защиту путем размещения на полу кабины стрелка бронекрышек с капота мотора. Эта неслож</w:t>
      </w:r>
      <w:r w:rsidRPr="00D03F3E">
        <w:rPr>
          <w:rFonts w:ascii="Times New Roman" w:cs="Times New Roman"/>
          <w:color w:val="000000" w:themeColor="text1"/>
          <w:spacing w:val="0"/>
        </w:rPr>
        <w:softHyphen/>
        <w:t>ная рационализация в бронировании кабины стрелка незамедлительно сказалась на сни</w:t>
      </w:r>
      <w:r w:rsidRPr="00D03F3E">
        <w:rPr>
          <w:rFonts w:ascii="Times New Roman" w:cs="Times New Roman"/>
          <w:color w:val="000000" w:themeColor="text1"/>
          <w:spacing w:val="0"/>
        </w:rPr>
        <w:softHyphen/>
        <w:t>жении санитарных пртерь. Помощник коман</w:t>
      </w:r>
      <w:r w:rsidRPr="00D03F3E">
        <w:rPr>
          <w:rFonts w:ascii="Times New Roman" w:cs="Times New Roman"/>
          <w:color w:val="000000" w:themeColor="text1"/>
          <w:spacing w:val="0"/>
        </w:rPr>
        <w:softHyphen/>
        <w:t>дира дивизии по воздушно-стрелковой службе инженер-капитан Дмитриев в своем отчете за июль 1943 г. докладывал:</w:t>
      </w:r>
      <w:r w:rsidRPr="00D03F3E">
        <w:rPr>
          <w:rStyle w:val="aff6"/>
          <w:rFonts w:ascii="Times New Roman" w:hAnsi="Times New Roman" w:cs="Times New Roman"/>
          <w:i w:val="0"/>
          <w:color w:val="000000" w:themeColor="text1"/>
          <w:spacing w:val="0"/>
        </w:rPr>
        <w:t xml:space="preserve"> «Проведенный опыт подкладки под пол воздушного стрелка боко</w:t>
      </w:r>
      <w:r w:rsidRPr="00D03F3E">
        <w:rPr>
          <w:rStyle w:val="aff6"/>
          <w:rFonts w:ascii="Times New Roman" w:hAnsi="Times New Roman" w:cs="Times New Roman"/>
          <w:i w:val="0"/>
          <w:color w:val="000000" w:themeColor="text1"/>
          <w:spacing w:val="0"/>
        </w:rPr>
        <w:softHyphen/>
        <w:t>вых бронещечек мотора показал хорошие ре</w:t>
      </w:r>
      <w:r w:rsidRPr="00D03F3E">
        <w:rPr>
          <w:rStyle w:val="aff6"/>
          <w:rFonts w:ascii="Times New Roman" w:hAnsi="Times New Roman" w:cs="Times New Roman"/>
          <w:i w:val="0"/>
          <w:color w:val="000000" w:themeColor="text1"/>
          <w:spacing w:val="0"/>
        </w:rPr>
        <w:softHyphen/>
        <w:t>зультаты. В 76 Гв.шап было два случая прямого попадания снарядов от пушки Эрликон в под</w:t>
      </w:r>
      <w:r w:rsidRPr="00D03F3E">
        <w:rPr>
          <w:rStyle w:val="aff6"/>
          <w:rFonts w:ascii="Times New Roman" w:hAnsi="Times New Roman" w:cs="Times New Roman"/>
          <w:i w:val="0"/>
          <w:color w:val="000000" w:themeColor="text1"/>
          <w:spacing w:val="0"/>
        </w:rPr>
        <w:softHyphen/>
        <w:t>ложенный щит, в обоих случаях стрелки оста</w:t>
      </w:r>
      <w:r w:rsidRPr="00D03F3E">
        <w:rPr>
          <w:rStyle w:val="aff6"/>
          <w:rFonts w:ascii="Times New Roman" w:hAnsi="Times New Roman" w:cs="Times New Roman"/>
          <w:i w:val="0"/>
          <w:color w:val="000000" w:themeColor="text1"/>
          <w:spacing w:val="0"/>
        </w:rPr>
        <w:softHyphen/>
        <w:t>лись невредимыми».</w:t>
      </w:r>
    </w:p>
    <w:p w14:paraId="4A92AE9C" w14:textId="77777777" w:rsidR="00B610FB" w:rsidRPr="00D03F3E" w:rsidRDefault="00B610F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Однако эта практика широкого распро</w:t>
      </w:r>
      <w:r w:rsidRPr="00D03F3E">
        <w:rPr>
          <w:rFonts w:ascii="Times New Roman" w:cs="Times New Roman"/>
          <w:color w:val="000000" w:themeColor="text1"/>
          <w:spacing w:val="0"/>
        </w:rPr>
        <w:softHyphen/>
        <w:t>странения не получила, так как из-за смеще</w:t>
      </w:r>
      <w:r w:rsidRPr="00D03F3E">
        <w:rPr>
          <w:rFonts w:ascii="Times New Roman" w:cs="Times New Roman"/>
          <w:color w:val="000000" w:themeColor="text1"/>
          <w:spacing w:val="0"/>
        </w:rPr>
        <w:softHyphen/>
        <w:t>ния центровки самолета назад полеты стано</w:t>
      </w:r>
      <w:r w:rsidRPr="00D03F3E">
        <w:rPr>
          <w:rFonts w:ascii="Times New Roman" w:cs="Times New Roman"/>
          <w:color w:val="000000" w:themeColor="text1"/>
          <w:spacing w:val="0"/>
        </w:rPr>
        <w:softHyphen/>
        <w:t>вились опасными. По этой причине инженеры полков и дивизий отказывались санкциониро</w:t>
      </w:r>
      <w:r w:rsidRPr="00D03F3E">
        <w:rPr>
          <w:rFonts w:ascii="Times New Roman" w:cs="Times New Roman"/>
          <w:color w:val="000000" w:themeColor="text1"/>
          <w:spacing w:val="0"/>
        </w:rPr>
        <w:softHyphen/>
        <w:t>вать такую доработку Ил-2. К ней вернулись весной 1944 г., когда на фронт стали поступать самолеты с увеличенной стреловидностью крыла по передней кромке, у которых центров</w:t>
      </w:r>
      <w:r w:rsidRPr="00D03F3E">
        <w:rPr>
          <w:rFonts w:ascii="Times New Roman" w:cs="Times New Roman"/>
          <w:color w:val="000000" w:themeColor="text1"/>
          <w:spacing w:val="0"/>
        </w:rPr>
        <w:softHyphen/>
        <w:t>ка была смещена вперед - до 28,4% САХ (так называемое «крыло со стрелкой»), В частно</w:t>
      </w:r>
      <w:r w:rsidRPr="00D03F3E">
        <w:rPr>
          <w:rFonts w:ascii="Times New Roman" w:cs="Times New Roman"/>
          <w:color w:val="000000" w:themeColor="text1"/>
          <w:spacing w:val="0"/>
        </w:rPr>
        <w:softHyphen/>
        <w:t>сти, такие «доработки» кабины стрелка выпол</w:t>
      </w:r>
      <w:r w:rsidRPr="00D03F3E">
        <w:rPr>
          <w:rFonts w:ascii="Times New Roman" w:cs="Times New Roman"/>
          <w:color w:val="000000" w:themeColor="text1"/>
          <w:spacing w:val="0"/>
        </w:rPr>
        <w:softHyphen/>
        <w:t>нялись в частях 1 -го гвардейского и 7-го штур</w:t>
      </w:r>
      <w:r w:rsidRPr="00D03F3E">
        <w:rPr>
          <w:rFonts w:ascii="Times New Roman" w:cs="Times New Roman"/>
          <w:color w:val="000000" w:themeColor="text1"/>
          <w:spacing w:val="0"/>
        </w:rPr>
        <w:softHyphen/>
        <w:t>мовых авиакорпусов. Кроме бронекрышек ка</w:t>
      </w:r>
      <w:r w:rsidRPr="00D03F3E">
        <w:rPr>
          <w:rFonts w:ascii="Times New Roman" w:cs="Times New Roman"/>
          <w:color w:val="000000" w:themeColor="text1"/>
          <w:spacing w:val="0"/>
        </w:rPr>
        <w:softHyphen/>
        <w:t>пота мотора, в кабине стрелка устанавливали и различного рода бронеплитки, какие только могли найти местные умельцы. (17478).</w:t>
      </w:r>
    </w:p>
    <w:p w14:paraId="7841809E" w14:textId="77777777" w:rsidR="00B610FB" w:rsidRPr="00D03F3E" w:rsidRDefault="00B610FB" w:rsidP="00D03F3E">
      <w:pPr>
        <w:pStyle w:val="27"/>
        <w:shd w:val="clear" w:color="auto" w:fill="auto"/>
        <w:spacing w:after="0" w:line="240" w:lineRule="auto"/>
        <w:ind w:firstLine="0"/>
        <w:rPr>
          <w:rFonts w:ascii="Times New Roman" w:cs="Times New Roman"/>
          <w:color w:val="000000" w:themeColor="text1"/>
          <w:spacing w:val="0"/>
        </w:rPr>
      </w:pPr>
    </w:p>
    <w:p w14:paraId="03F027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апреля 1943 С.В.И. писал А.И.Ш. письмо N 1/360:</w:t>
      </w:r>
    </w:p>
    <w:p w14:paraId="2F2689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Вашего приказа от 16 января 1943 N 21с завод 6 должен был установить М-90 на самолете Ил-4 и выпустить его в полет 5 апреля 1943.</w:t>
      </w:r>
    </w:p>
    <w:p w14:paraId="746E01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Моторы до сих пор не поставлены.</w:t>
      </w:r>
    </w:p>
    <w:p w14:paraId="3B4128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Докладывая о вышеизложенном, прошу Вашего распоряжения установить новый срок выпуска самолета в полет 15 мая 1943, в зависимости от получения моторов, т.к. последние обещано дать только в апреле 1943 (1775,49).</w:t>
      </w:r>
    </w:p>
    <w:p w14:paraId="4DC9D3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C18D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апреля 1943 состоялась передача конструкторской документации на Ил-6 с АЧ-30Б на завод 39 в Иркутске (3846,19).</w:t>
      </w:r>
    </w:p>
    <w:p w14:paraId="665DBC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121D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5 апреля 1943 В.А.Степанчонок погиб на И-185 - это был 3 полет при испытаниях на дальность на ЦА (2495,35). При посадочном курсе отказал мотор и машина колесами врезалась в ангар (172,67) и сгорела (2863,111).</w:t>
      </w:r>
    </w:p>
    <w:p w14:paraId="130A4B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F1B298" w14:textId="77777777" w:rsidR="006F26E0" w:rsidRPr="00D03F3E" w:rsidRDefault="006F26E0"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5 апреля 1943 г. другой опытный И-185 с М-71 потер</w:t>
      </w:r>
      <w:r w:rsidRPr="00D03F3E">
        <w:rPr>
          <w:rFonts w:ascii="Times New Roman" w:cs="Times New Roman"/>
          <w:color w:val="000000" w:themeColor="text1"/>
          <w:spacing w:val="0"/>
        </w:rPr>
        <w:softHyphen/>
        <w:t>пел катастрофу из-за отказа мотора при посадке — засорился жиклер карбюратора (погиб лётчик-испытатель В.А. Степанчонок). И хотя в 1943 г. теперь уже ОКБ Лавоч</w:t>
      </w:r>
      <w:r w:rsidRPr="00D03F3E">
        <w:rPr>
          <w:rFonts w:ascii="Times New Roman" w:cs="Times New Roman"/>
          <w:color w:val="000000" w:themeColor="text1"/>
          <w:spacing w:val="0"/>
        </w:rPr>
        <w:softHyphen/>
        <w:t>кина построило модификацию Ла-5 с форсированным М-71Ф; работы по этой маши</w:t>
      </w:r>
      <w:r w:rsidRPr="00D03F3E">
        <w:rPr>
          <w:rFonts w:ascii="Times New Roman" w:cs="Times New Roman"/>
          <w:color w:val="000000" w:themeColor="text1"/>
          <w:spacing w:val="0"/>
        </w:rPr>
        <w:softHyphen/>
        <w:t>не проходили неспешно и в 1944 г. прекратились вовсе (15813).</w:t>
      </w:r>
    </w:p>
    <w:p w14:paraId="2F5D3721" w14:textId="77777777" w:rsidR="006F26E0" w:rsidRPr="00D03F3E" w:rsidRDefault="006F26E0" w:rsidP="00D03F3E">
      <w:pPr>
        <w:pStyle w:val="27"/>
        <w:shd w:val="clear" w:color="auto" w:fill="auto"/>
        <w:spacing w:after="0" w:line="240" w:lineRule="auto"/>
        <w:ind w:firstLine="0"/>
        <w:rPr>
          <w:rFonts w:ascii="Times New Roman" w:cs="Times New Roman"/>
          <w:color w:val="000000" w:themeColor="text1"/>
          <w:spacing w:val="0"/>
        </w:rPr>
      </w:pPr>
    </w:p>
    <w:p w14:paraId="2618B2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апреля 1943 были подготовлена Сравнительные данные по истребителям И-185 с М-71 и Ла-5 с М-82.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925"/>
        <w:gridCol w:w="1343"/>
        <w:gridCol w:w="1418"/>
        <w:gridCol w:w="1417"/>
        <w:gridCol w:w="3545"/>
      </w:tblGrid>
      <w:tr w:rsidR="00860B4B" w:rsidRPr="00D03F3E" w14:paraId="07BBDAA4" w14:textId="77777777">
        <w:tc>
          <w:tcPr>
            <w:tcW w:w="1951" w:type="dxa"/>
          </w:tcPr>
          <w:p w14:paraId="1C8587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9B514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42F1D6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И-185 с М-71</w:t>
            </w:r>
          </w:p>
        </w:tc>
        <w:tc>
          <w:tcPr>
            <w:tcW w:w="1418" w:type="dxa"/>
          </w:tcPr>
          <w:p w14:paraId="52C9F0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Ла-5 с М-82</w:t>
            </w:r>
          </w:p>
        </w:tc>
        <w:tc>
          <w:tcPr>
            <w:tcW w:w="1417" w:type="dxa"/>
          </w:tcPr>
          <w:p w14:paraId="2826E3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Ла-5 с М82ФНВ</w:t>
            </w:r>
          </w:p>
        </w:tc>
        <w:tc>
          <w:tcPr>
            <w:tcW w:w="3545" w:type="dxa"/>
          </w:tcPr>
          <w:p w14:paraId="76F749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w:t>
            </w:r>
          </w:p>
        </w:tc>
      </w:tr>
      <w:tr w:rsidR="00860B4B" w:rsidRPr="00D03F3E" w14:paraId="79B2A0F8" w14:textId="77777777">
        <w:tc>
          <w:tcPr>
            <w:tcW w:w="1951" w:type="dxa"/>
          </w:tcPr>
          <w:p w14:paraId="4CBF6C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w:t>
            </w:r>
          </w:p>
        </w:tc>
        <w:tc>
          <w:tcPr>
            <w:tcW w:w="925" w:type="dxa"/>
          </w:tcPr>
          <w:p w14:paraId="66B6B5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0A5345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78B87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ECF1D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6AB9EC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самолета И-185</w:t>
            </w:r>
          </w:p>
        </w:tc>
      </w:tr>
      <w:tr w:rsidR="00860B4B" w:rsidRPr="00D03F3E" w14:paraId="4696D3A7" w14:textId="77777777">
        <w:tc>
          <w:tcPr>
            <w:tcW w:w="1951" w:type="dxa"/>
          </w:tcPr>
          <w:p w14:paraId="54D64C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земли</w:t>
            </w:r>
          </w:p>
        </w:tc>
        <w:tc>
          <w:tcPr>
            <w:tcW w:w="925" w:type="dxa"/>
          </w:tcPr>
          <w:p w14:paraId="3C3AB3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3315E9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AA558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43AE2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42014A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приведена расчетная при</w:t>
            </w:r>
          </w:p>
        </w:tc>
      </w:tr>
      <w:tr w:rsidR="00860B4B" w:rsidRPr="00D03F3E" w14:paraId="6DFA2185" w14:textId="77777777">
        <w:tc>
          <w:tcPr>
            <w:tcW w:w="1951" w:type="dxa"/>
          </w:tcPr>
          <w:p w14:paraId="234276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номинале</w:t>
            </w:r>
          </w:p>
        </w:tc>
        <w:tc>
          <w:tcPr>
            <w:tcW w:w="925" w:type="dxa"/>
          </w:tcPr>
          <w:p w14:paraId="47D734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км/час</w:t>
            </w:r>
          </w:p>
        </w:tc>
        <w:tc>
          <w:tcPr>
            <w:tcW w:w="1343" w:type="dxa"/>
          </w:tcPr>
          <w:p w14:paraId="260A18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560</w:t>
            </w:r>
          </w:p>
        </w:tc>
        <w:tc>
          <w:tcPr>
            <w:tcW w:w="1418" w:type="dxa"/>
          </w:tcPr>
          <w:p w14:paraId="6C4FE4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FEF79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3124DB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полностью залитых баках</w:t>
            </w:r>
          </w:p>
        </w:tc>
      </w:tr>
      <w:tr w:rsidR="00860B4B" w:rsidRPr="00D03F3E" w14:paraId="750ADFBE" w14:textId="77777777">
        <w:tc>
          <w:tcPr>
            <w:tcW w:w="1951" w:type="dxa"/>
          </w:tcPr>
          <w:p w14:paraId="2FE4DE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форсаже</w:t>
            </w:r>
          </w:p>
        </w:tc>
        <w:tc>
          <w:tcPr>
            <w:tcW w:w="925" w:type="dxa"/>
          </w:tcPr>
          <w:p w14:paraId="7A26B6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3A2E14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w:t>
            </w:r>
          </w:p>
        </w:tc>
        <w:tc>
          <w:tcPr>
            <w:tcW w:w="1418" w:type="dxa"/>
          </w:tcPr>
          <w:p w14:paraId="14E2C2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557</w:t>
            </w:r>
          </w:p>
        </w:tc>
        <w:tc>
          <w:tcPr>
            <w:tcW w:w="1417" w:type="dxa"/>
          </w:tcPr>
          <w:p w14:paraId="5A55BA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598</w:t>
            </w:r>
          </w:p>
        </w:tc>
        <w:tc>
          <w:tcPr>
            <w:tcW w:w="3545" w:type="dxa"/>
          </w:tcPr>
          <w:p w14:paraId="25EC4B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(470 кг).</w:t>
            </w:r>
          </w:p>
        </w:tc>
      </w:tr>
      <w:tr w:rsidR="00860B4B" w:rsidRPr="00D03F3E" w14:paraId="6A6058EB" w14:textId="77777777">
        <w:tc>
          <w:tcPr>
            <w:tcW w:w="1951" w:type="dxa"/>
          </w:tcPr>
          <w:p w14:paraId="3D3663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w:t>
            </w:r>
          </w:p>
        </w:tc>
        <w:tc>
          <w:tcPr>
            <w:tcW w:w="925" w:type="dxa"/>
          </w:tcPr>
          <w:p w14:paraId="6A82BA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км/час</w:t>
            </w:r>
          </w:p>
        </w:tc>
        <w:tc>
          <w:tcPr>
            <w:tcW w:w="1343" w:type="dxa"/>
          </w:tcPr>
          <w:p w14:paraId="3430CD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F361E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A3CB4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35DC95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E43A8EB" w14:textId="77777777">
        <w:tc>
          <w:tcPr>
            <w:tcW w:w="1951" w:type="dxa"/>
          </w:tcPr>
          <w:p w14:paraId="0D400E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высоте</w:t>
            </w:r>
          </w:p>
        </w:tc>
        <w:tc>
          <w:tcPr>
            <w:tcW w:w="925" w:type="dxa"/>
          </w:tcPr>
          <w:p w14:paraId="6D6BE5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5F59F3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8CE47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C8AF4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39BFCD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D3A3521" w14:textId="77777777">
        <w:tc>
          <w:tcPr>
            <w:tcW w:w="1951" w:type="dxa"/>
          </w:tcPr>
          <w:p w14:paraId="54B405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гр. высотности</w:t>
            </w:r>
          </w:p>
        </w:tc>
        <w:tc>
          <w:tcPr>
            <w:tcW w:w="925" w:type="dxa"/>
          </w:tcPr>
          <w:p w14:paraId="1935A0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396C5B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648/3200</w:t>
            </w:r>
          </w:p>
        </w:tc>
        <w:tc>
          <w:tcPr>
            <w:tcW w:w="1418" w:type="dxa"/>
          </w:tcPr>
          <w:p w14:paraId="0D01F3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590/3250</w:t>
            </w:r>
          </w:p>
        </w:tc>
        <w:tc>
          <w:tcPr>
            <w:tcW w:w="1417" w:type="dxa"/>
          </w:tcPr>
          <w:p w14:paraId="1EE026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630/1800</w:t>
            </w:r>
          </w:p>
        </w:tc>
        <w:tc>
          <w:tcPr>
            <w:tcW w:w="3545" w:type="dxa"/>
          </w:tcPr>
          <w:p w14:paraId="1840E9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C61F9D1" w14:textId="77777777">
        <w:tc>
          <w:tcPr>
            <w:tcW w:w="1951" w:type="dxa"/>
          </w:tcPr>
          <w:p w14:paraId="0D14E1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гр. высотности</w:t>
            </w:r>
          </w:p>
        </w:tc>
        <w:tc>
          <w:tcPr>
            <w:tcW w:w="925" w:type="dxa"/>
          </w:tcPr>
          <w:p w14:paraId="75199D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72BEA4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680/6100</w:t>
            </w:r>
          </w:p>
        </w:tc>
        <w:tc>
          <w:tcPr>
            <w:tcW w:w="1418" w:type="dxa"/>
          </w:tcPr>
          <w:p w14:paraId="16BEB6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600/5600</w:t>
            </w:r>
          </w:p>
        </w:tc>
        <w:tc>
          <w:tcPr>
            <w:tcW w:w="1417" w:type="dxa"/>
          </w:tcPr>
          <w:p w14:paraId="2D6BB8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650/6000</w:t>
            </w:r>
          </w:p>
        </w:tc>
        <w:tc>
          <w:tcPr>
            <w:tcW w:w="3545" w:type="dxa"/>
          </w:tcPr>
          <w:p w14:paraId="18A2E6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7238F21" w14:textId="77777777">
        <w:tc>
          <w:tcPr>
            <w:tcW w:w="1951" w:type="dxa"/>
          </w:tcPr>
          <w:p w14:paraId="15B98B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на 0,9</w:t>
            </w:r>
          </w:p>
        </w:tc>
        <w:tc>
          <w:tcPr>
            <w:tcW w:w="925" w:type="dxa"/>
          </w:tcPr>
          <w:p w14:paraId="0A2055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км</w:t>
            </w:r>
          </w:p>
        </w:tc>
        <w:tc>
          <w:tcPr>
            <w:tcW w:w="1343" w:type="dxa"/>
          </w:tcPr>
          <w:p w14:paraId="158FC4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800</w:t>
            </w:r>
          </w:p>
        </w:tc>
        <w:tc>
          <w:tcPr>
            <w:tcW w:w="1418" w:type="dxa"/>
          </w:tcPr>
          <w:p w14:paraId="476495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17" w:type="dxa"/>
          </w:tcPr>
          <w:p w14:paraId="78BDF7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545" w:type="dxa"/>
          </w:tcPr>
          <w:p w14:paraId="2AD8B8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1A6D1DA" w14:textId="77777777">
        <w:tc>
          <w:tcPr>
            <w:tcW w:w="1951" w:type="dxa"/>
          </w:tcPr>
          <w:p w14:paraId="0A36DC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максимальной скор.</w:t>
            </w:r>
          </w:p>
        </w:tc>
        <w:tc>
          <w:tcPr>
            <w:tcW w:w="925" w:type="dxa"/>
          </w:tcPr>
          <w:p w14:paraId="75B309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708448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DD055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C79B4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44126B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B77194D" w14:textId="77777777">
        <w:tc>
          <w:tcPr>
            <w:tcW w:w="1951" w:type="dxa"/>
          </w:tcPr>
          <w:p w14:paraId="47CD61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подъема на</w:t>
            </w:r>
          </w:p>
        </w:tc>
        <w:tc>
          <w:tcPr>
            <w:tcW w:w="925" w:type="dxa"/>
          </w:tcPr>
          <w:p w14:paraId="2D2711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мин.</w:t>
            </w:r>
          </w:p>
        </w:tc>
        <w:tc>
          <w:tcPr>
            <w:tcW w:w="1343" w:type="dxa"/>
          </w:tcPr>
          <w:p w14:paraId="4ECE24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w:t>
            </w:r>
          </w:p>
        </w:tc>
        <w:tc>
          <w:tcPr>
            <w:tcW w:w="1418" w:type="dxa"/>
          </w:tcPr>
          <w:p w14:paraId="5569E1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w:t>
            </w:r>
          </w:p>
        </w:tc>
        <w:tc>
          <w:tcPr>
            <w:tcW w:w="1417" w:type="dxa"/>
          </w:tcPr>
          <w:p w14:paraId="59F7C9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w:t>
            </w:r>
          </w:p>
        </w:tc>
        <w:tc>
          <w:tcPr>
            <w:tcW w:w="3545" w:type="dxa"/>
          </w:tcPr>
          <w:p w14:paraId="11EFE6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7A2D717" w14:textId="77777777">
        <w:tc>
          <w:tcPr>
            <w:tcW w:w="1951" w:type="dxa"/>
          </w:tcPr>
          <w:p w14:paraId="631260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высоту м</w:t>
            </w:r>
          </w:p>
        </w:tc>
        <w:tc>
          <w:tcPr>
            <w:tcW w:w="925" w:type="dxa"/>
          </w:tcPr>
          <w:p w14:paraId="531F7E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7A3F6E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E9077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73919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248D31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D528448" w14:textId="77777777">
        <w:tc>
          <w:tcPr>
            <w:tcW w:w="1951" w:type="dxa"/>
          </w:tcPr>
          <w:p w14:paraId="1D2283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виража на</w:t>
            </w:r>
          </w:p>
        </w:tc>
        <w:tc>
          <w:tcPr>
            <w:tcW w:w="925" w:type="dxa"/>
          </w:tcPr>
          <w:p w14:paraId="5010CA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сек.</w:t>
            </w:r>
          </w:p>
        </w:tc>
        <w:tc>
          <w:tcPr>
            <w:tcW w:w="1343" w:type="dxa"/>
          </w:tcPr>
          <w:p w14:paraId="2F3430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22-23</w:t>
            </w:r>
          </w:p>
        </w:tc>
        <w:tc>
          <w:tcPr>
            <w:tcW w:w="1418" w:type="dxa"/>
          </w:tcPr>
          <w:p w14:paraId="002B7B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18,5</w:t>
            </w:r>
          </w:p>
        </w:tc>
        <w:tc>
          <w:tcPr>
            <w:tcW w:w="1417" w:type="dxa"/>
          </w:tcPr>
          <w:p w14:paraId="1F2A50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545" w:type="dxa"/>
          </w:tcPr>
          <w:p w14:paraId="355FF5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AF7529A" w14:textId="77777777">
        <w:tc>
          <w:tcPr>
            <w:tcW w:w="1951" w:type="dxa"/>
          </w:tcPr>
          <w:p w14:paraId="21A99A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высоте м</w:t>
            </w:r>
          </w:p>
        </w:tc>
        <w:tc>
          <w:tcPr>
            <w:tcW w:w="925" w:type="dxa"/>
          </w:tcPr>
          <w:p w14:paraId="02A8FE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282F48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909A3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1D1E5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2C5599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3265C86" w14:textId="77777777">
        <w:tc>
          <w:tcPr>
            <w:tcW w:w="1951" w:type="dxa"/>
          </w:tcPr>
          <w:p w14:paraId="2D28DC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Полетный вес</w:t>
            </w:r>
          </w:p>
        </w:tc>
        <w:tc>
          <w:tcPr>
            <w:tcW w:w="925" w:type="dxa"/>
          </w:tcPr>
          <w:p w14:paraId="13A2CC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кг</w:t>
            </w:r>
          </w:p>
        </w:tc>
        <w:tc>
          <w:tcPr>
            <w:tcW w:w="1343" w:type="dxa"/>
          </w:tcPr>
          <w:p w14:paraId="678616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3735</w:t>
            </w:r>
          </w:p>
        </w:tc>
        <w:tc>
          <w:tcPr>
            <w:tcW w:w="1418" w:type="dxa"/>
          </w:tcPr>
          <w:p w14:paraId="1E2381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3220</w:t>
            </w:r>
          </w:p>
        </w:tc>
        <w:tc>
          <w:tcPr>
            <w:tcW w:w="1417" w:type="dxa"/>
          </w:tcPr>
          <w:p w14:paraId="5339EB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3158</w:t>
            </w:r>
          </w:p>
        </w:tc>
        <w:tc>
          <w:tcPr>
            <w:tcW w:w="3545" w:type="dxa"/>
          </w:tcPr>
          <w:p w14:paraId="7007B7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0D661B7" w14:textId="77777777">
        <w:tc>
          <w:tcPr>
            <w:tcW w:w="1951" w:type="dxa"/>
          </w:tcPr>
          <w:p w14:paraId="21B871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Вес </w:t>
            </w:r>
          </w:p>
        </w:tc>
        <w:tc>
          <w:tcPr>
            <w:tcW w:w="925" w:type="dxa"/>
          </w:tcPr>
          <w:p w14:paraId="3BEACA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кг</w:t>
            </w:r>
          </w:p>
        </w:tc>
        <w:tc>
          <w:tcPr>
            <w:tcW w:w="1343" w:type="dxa"/>
          </w:tcPr>
          <w:p w14:paraId="395D16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3105</w:t>
            </w:r>
          </w:p>
        </w:tc>
        <w:tc>
          <w:tcPr>
            <w:tcW w:w="1418" w:type="dxa"/>
          </w:tcPr>
          <w:p w14:paraId="4334D0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C3126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6490C4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450BD71C" w14:textId="77777777">
        <w:tc>
          <w:tcPr>
            <w:tcW w:w="1951" w:type="dxa"/>
          </w:tcPr>
          <w:p w14:paraId="5B6F71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самолета</w:t>
            </w:r>
          </w:p>
        </w:tc>
        <w:tc>
          <w:tcPr>
            <w:tcW w:w="925" w:type="dxa"/>
          </w:tcPr>
          <w:p w14:paraId="5D6D10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3C2767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EC78C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86FA6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4E4B97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BB553A2" w14:textId="77777777">
        <w:tc>
          <w:tcPr>
            <w:tcW w:w="1951" w:type="dxa"/>
          </w:tcPr>
          <w:p w14:paraId="724831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горючего</w:t>
            </w:r>
          </w:p>
        </w:tc>
        <w:tc>
          <w:tcPr>
            <w:tcW w:w="925" w:type="dxa"/>
          </w:tcPr>
          <w:p w14:paraId="56917E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кг</w:t>
            </w:r>
          </w:p>
        </w:tc>
        <w:tc>
          <w:tcPr>
            <w:tcW w:w="1343" w:type="dxa"/>
          </w:tcPr>
          <w:p w14:paraId="26A73C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340 норм./</w:t>
            </w:r>
          </w:p>
        </w:tc>
        <w:tc>
          <w:tcPr>
            <w:tcW w:w="1418" w:type="dxa"/>
          </w:tcPr>
          <w:p w14:paraId="78CA81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345</w:t>
            </w:r>
          </w:p>
        </w:tc>
        <w:tc>
          <w:tcPr>
            <w:tcW w:w="1417" w:type="dxa"/>
          </w:tcPr>
          <w:p w14:paraId="0BE659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345</w:t>
            </w:r>
          </w:p>
        </w:tc>
        <w:tc>
          <w:tcPr>
            <w:tcW w:w="3545" w:type="dxa"/>
          </w:tcPr>
          <w:p w14:paraId="1F11DF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9CA6DBB" w14:textId="77777777">
        <w:tc>
          <w:tcPr>
            <w:tcW w:w="1951" w:type="dxa"/>
          </w:tcPr>
          <w:p w14:paraId="46562B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72BF14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277D81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4E23C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470 перегр.</w:t>
            </w:r>
          </w:p>
        </w:tc>
        <w:tc>
          <w:tcPr>
            <w:tcW w:w="1417" w:type="dxa"/>
          </w:tcPr>
          <w:p w14:paraId="463E8E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68DEE3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1C349AD" w14:textId="77777777">
        <w:tc>
          <w:tcPr>
            <w:tcW w:w="1951" w:type="dxa"/>
          </w:tcPr>
          <w:p w14:paraId="75E07C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01B8E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кг/м кв.</w:t>
            </w:r>
          </w:p>
        </w:tc>
        <w:tc>
          <w:tcPr>
            <w:tcW w:w="1343" w:type="dxa"/>
          </w:tcPr>
          <w:p w14:paraId="7C4510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239</w:t>
            </w:r>
          </w:p>
        </w:tc>
        <w:tc>
          <w:tcPr>
            <w:tcW w:w="1418" w:type="dxa"/>
          </w:tcPr>
          <w:p w14:paraId="00A251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184</w:t>
            </w:r>
          </w:p>
        </w:tc>
        <w:tc>
          <w:tcPr>
            <w:tcW w:w="1417" w:type="dxa"/>
          </w:tcPr>
          <w:p w14:paraId="6E2725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w:t>
            </w:r>
          </w:p>
        </w:tc>
        <w:tc>
          <w:tcPr>
            <w:tcW w:w="3545" w:type="dxa"/>
          </w:tcPr>
          <w:p w14:paraId="6ED523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7D85CD6" w14:textId="77777777">
        <w:tc>
          <w:tcPr>
            <w:tcW w:w="1951" w:type="dxa"/>
          </w:tcPr>
          <w:p w14:paraId="3BEE22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w:t>
            </w:r>
          </w:p>
        </w:tc>
        <w:tc>
          <w:tcPr>
            <w:tcW w:w="925" w:type="dxa"/>
          </w:tcPr>
          <w:p w14:paraId="399C38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393105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пушки Швак</w:t>
            </w:r>
          </w:p>
        </w:tc>
        <w:tc>
          <w:tcPr>
            <w:tcW w:w="1418" w:type="dxa"/>
          </w:tcPr>
          <w:p w14:paraId="28BA7D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пушки Швак</w:t>
            </w:r>
          </w:p>
        </w:tc>
        <w:tc>
          <w:tcPr>
            <w:tcW w:w="1417" w:type="dxa"/>
          </w:tcPr>
          <w:p w14:paraId="157124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пушки Швак</w:t>
            </w:r>
          </w:p>
        </w:tc>
        <w:tc>
          <w:tcPr>
            <w:tcW w:w="3545" w:type="dxa"/>
          </w:tcPr>
          <w:p w14:paraId="309825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24702F9" w14:textId="77777777">
        <w:tc>
          <w:tcPr>
            <w:tcW w:w="1951" w:type="dxa"/>
          </w:tcPr>
          <w:p w14:paraId="226E5D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7F1435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456610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кал. 20 мм с</w:t>
            </w:r>
          </w:p>
        </w:tc>
        <w:tc>
          <w:tcPr>
            <w:tcW w:w="1418" w:type="dxa"/>
          </w:tcPr>
          <w:p w14:paraId="779AAA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кал. 20 мм с</w:t>
            </w:r>
          </w:p>
        </w:tc>
        <w:tc>
          <w:tcPr>
            <w:tcW w:w="1417" w:type="dxa"/>
          </w:tcPr>
          <w:p w14:paraId="03904D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кал. 20 мм с</w:t>
            </w:r>
          </w:p>
        </w:tc>
        <w:tc>
          <w:tcPr>
            <w:tcW w:w="3545" w:type="dxa"/>
          </w:tcPr>
          <w:p w14:paraId="51EED3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F3AF4DD" w14:textId="77777777">
        <w:tc>
          <w:tcPr>
            <w:tcW w:w="1951" w:type="dxa"/>
          </w:tcPr>
          <w:p w14:paraId="0949EC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74043B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615A68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боезапасом</w:t>
            </w:r>
          </w:p>
        </w:tc>
        <w:tc>
          <w:tcPr>
            <w:tcW w:w="1418" w:type="dxa"/>
          </w:tcPr>
          <w:p w14:paraId="646887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боезапасом</w:t>
            </w:r>
          </w:p>
        </w:tc>
        <w:tc>
          <w:tcPr>
            <w:tcW w:w="1417" w:type="dxa"/>
          </w:tcPr>
          <w:p w14:paraId="1921AF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боезапасом</w:t>
            </w:r>
          </w:p>
        </w:tc>
        <w:tc>
          <w:tcPr>
            <w:tcW w:w="3545" w:type="dxa"/>
          </w:tcPr>
          <w:p w14:paraId="3C4B48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A6AC8A0" w14:textId="77777777">
        <w:tc>
          <w:tcPr>
            <w:tcW w:w="1951" w:type="dxa"/>
          </w:tcPr>
          <w:p w14:paraId="03D080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70E078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6E8A8A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 снарядов;</w:t>
            </w:r>
          </w:p>
        </w:tc>
        <w:tc>
          <w:tcPr>
            <w:tcW w:w="1418" w:type="dxa"/>
          </w:tcPr>
          <w:p w14:paraId="53E5FD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340 снарядов</w:t>
            </w:r>
          </w:p>
        </w:tc>
        <w:tc>
          <w:tcPr>
            <w:tcW w:w="1417" w:type="dxa"/>
          </w:tcPr>
          <w:p w14:paraId="3941EC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340 снарядов</w:t>
            </w:r>
          </w:p>
        </w:tc>
        <w:tc>
          <w:tcPr>
            <w:tcW w:w="3545" w:type="dxa"/>
          </w:tcPr>
          <w:p w14:paraId="312D1A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86ABA3E" w14:textId="77777777">
        <w:tc>
          <w:tcPr>
            <w:tcW w:w="1951" w:type="dxa"/>
          </w:tcPr>
          <w:p w14:paraId="5D9F6F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894B9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0C92A4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бомбы в</w:t>
            </w:r>
          </w:p>
        </w:tc>
        <w:tc>
          <w:tcPr>
            <w:tcW w:w="1418" w:type="dxa"/>
          </w:tcPr>
          <w:p w14:paraId="70BA2E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1A171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199D08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E08C32F" w14:textId="77777777">
        <w:tc>
          <w:tcPr>
            <w:tcW w:w="1951" w:type="dxa"/>
          </w:tcPr>
          <w:p w14:paraId="7177A4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15FB3D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627B9A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перегрузку -</w:t>
            </w:r>
          </w:p>
        </w:tc>
        <w:tc>
          <w:tcPr>
            <w:tcW w:w="1418" w:type="dxa"/>
          </w:tcPr>
          <w:p w14:paraId="3AE223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08ABF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35D8EC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33096B1" w14:textId="77777777">
        <w:tc>
          <w:tcPr>
            <w:tcW w:w="1951" w:type="dxa"/>
          </w:tcPr>
          <w:p w14:paraId="1134C6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309DE0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33AFB0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2х250 кг (1458,292)</w:t>
            </w:r>
          </w:p>
        </w:tc>
        <w:tc>
          <w:tcPr>
            <w:tcW w:w="1418" w:type="dxa"/>
          </w:tcPr>
          <w:p w14:paraId="762002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50E71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56270D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6A11D20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B231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апреля 1943 г. опытный И-185 М-71 из-за неисправности двигателя потерпел катастрофу. Погиб летчик-испытатель В.А.Степанчонок. Решением инстанции работы по внедрению машины в производство были остановлены (9979).</w:t>
      </w:r>
    </w:p>
    <w:p w14:paraId="772988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73F175"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апреля</w:t>
      </w:r>
      <w:r w:rsidRPr="00D03F3E">
        <w:rPr>
          <w:rFonts w:ascii="Times New Roman" w:hAnsi="Times New Roman"/>
          <w:color w:val="000000" w:themeColor="text1"/>
          <w:sz w:val="16"/>
          <w:szCs w:val="16"/>
        </w:rPr>
        <w:t xml:space="preserve"> в 1943 году, катастрофа самолёта «И-185», лётчик-испытатель полковник Степанчонок В.А. Это был третий полет Василия Андреевича на «И-185». Заходя на посадку на Центральном аэродроме он, то ли из-за ошибки в расчете, то ли по другой причине, решил уйти на второй круг. В это время мотор забарахлил... По словам летчика П.Е.Логинова, имелась полная возможность совершить посадку в пределах аэродрома, но Степанченок продолжил набор высоты... Над заводом № 51 он выполнил второй разворот, над заводом № 1 — третий, и тут «М-71» полностью отказал... Василий Андреевич накренил самолет вправо, затем влево, решая, куда сесть. Высота была мала, и он начал планировать между двумя параллельно расположенными корпусами, но впереди, перпендикулярно курсу, находился сборочный цех. Высоты «перепрыгнуть» его не хватало, и Степанченок направил самолет в окно... Крылья были срезаны, смягчая удар, но фюзеляж врезался в стапель... Один человек погиб, шестеро было ранено. Летчик скончался через час. В акте по данной катастрофе виновниками были названы агрегатный завод (под седлом клапана карбюратора нашли медную контровочную проволоку, из-за чего мотор работал с перебоями, а потом отказал) и сам Степанченок (15090).</w:t>
      </w:r>
    </w:p>
    <w:p w14:paraId="6E02DC75" w14:textId="77777777" w:rsidR="00B54894" w:rsidRPr="00D03F3E" w:rsidRDefault="00B54894" w:rsidP="00D03F3E">
      <w:pPr>
        <w:spacing w:after="0" w:line="240" w:lineRule="auto"/>
        <w:jc w:val="both"/>
        <w:rPr>
          <w:rFonts w:ascii="Times New Roman" w:hAnsi="Times New Roman"/>
          <w:color w:val="000000" w:themeColor="text1"/>
          <w:sz w:val="16"/>
          <w:szCs w:val="16"/>
        </w:rPr>
      </w:pPr>
    </w:p>
    <w:p w14:paraId="7ED0753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апреля 1943 г. состоялось очередное испытание И-185 эталон по замеру расхода горючего. При заходе на посадку, когда истребитель приближался к аэродрому со стороны Ле</w:t>
      </w:r>
      <w:r w:rsidRPr="00D03F3E">
        <w:rPr>
          <w:rFonts w:ascii="Times New Roman" w:hAnsi="Times New Roman"/>
          <w:color w:val="000000" w:themeColor="text1"/>
          <w:sz w:val="16"/>
          <w:szCs w:val="16"/>
        </w:rPr>
        <w:softHyphen/>
        <w:t>нинградского проспекта, остановился мотор. Летчик ре</w:t>
      </w:r>
      <w:r w:rsidRPr="00D03F3E">
        <w:rPr>
          <w:rFonts w:ascii="Times New Roman" w:hAnsi="Times New Roman"/>
          <w:color w:val="000000" w:themeColor="text1"/>
          <w:sz w:val="16"/>
          <w:szCs w:val="16"/>
        </w:rPr>
        <w:softHyphen/>
        <w:t>шил сделать разворот влево на 270° и приземлить И-185 на взлетно-посадочную полосу. Находясь на высоте 100-150 метров над территорией завода №51, Степанче</w:t>
      </w:r>
      <w:r w:rsidRPr="00D03F3E">
        <w:rPr>
          <w:rFonts w:ascii="Times New Roman" w:hAnsi="Times New Roman"/>
          <w:color w:val="000000" w:themeColor="text1"/>
          <w:sz w:val="16"/>
          <w:szCs w:val="16"/>
        </w:rPr>
        <w:softHyphen/>
        <w:t>нок, по-видимому, понял, что осуществить задуманное не удастся. Он резко повел машину на снижение, чтобы попытаться сесть между корпусами цехов завода № 30 (позднее это предприятие получило название «Знамя труда»). Скорость оказалась слишком велика, а ограни</w:t>
      </w:r>
      <w:r w:rsidRPr="00D03F3E">
        <w:rPr>
          <w:rFonts w:ascii="Times New Roman" w:hAnsi="Times New Roman"/>
          <w:color w:val="000000" w:themeColor="text1"/>
          <w:sz w:val="16"/>
          <w:szCs w:val="16"/>
        </w:rPr>
        <w:softHyphen/>
        <w:t>ченную по размерам площадку замыкал стоящий поперек дороги корпус другого цеха. Степанченок направил самолет в окно в надежде на то, что при обрезке крыль</w:t>
      </w:r>
      <w:r w:rsidRPr="00D03F3E">
        <w:rPr>
          <w:rFonts w:ascii="Times New Roman" w:hAnsi="Times New Roman"/>
          <w:color w:val="000000" w:themeColor="text1"/>
          <w:sz w:val="16"/>
          <w:szCs w:val="16"/>
        </w:rPr>
        <w:softHyphen/>
        <w:t>ев оконным проемом поглотится часть кинетической энергии. Но в цехе прямо перед окном находился сбо</w:t>
      </w:r>
      <w:r w:rsidRPr="00D03F3E">
        <w:rPr>
          <w:rFonts w:ascii="Times New Roman" w:hAnsi="Times New Roman"/>
          <w:color w:val="000000" w:themeColor="text1"/>
          <w:sz w:val="16"/>
          <w:szCs w:val="16"/>
        </w:rPr>
        <w:softHyphen/>
        <w:t>рочный стапель. В него и врезался самолет. Погиб сле</w:t>
      </w:r>
      <w:r w:rsidRPr="00D03F3E">
        <w:rPr>
          <w:rFonts w:ascii="Times New Roman" w:hAnsi="Times New Roman"/>
          <w:color w:val="000000" w:themeColor="text1"/>
          <w:sz w:val="16"/>
          <w:szCs w:val="16"/>
        </w:rPr>
        <w:softHyphen/>
        <w:t>сарь Черемихин, еще семь человек получили ранения. Сам Степанченок скончался в машине скорой помощи, не приходя в сознание. Специальная комиссия под председательством заме</w:t>
      </w:r>
      <w:r w:rsidRPr="00D03F3E">
        <w:rPr>
          <w:rFonts w:ascii="Times New Roman" w:hAnsi="Times New Roman"/>
          <w:color w:val="000000" w:themeColor="text1"/>
          <w:sz w:val="16"/>
          <w:szCs w:val="16"/>
        </w:rPr>
        <w:softHyphen/>
        <w:t>стителя наркома авиационной промышленности В.П.Кузнецова, расследовав причину аварии, отметила, что двигатель М-71 остановился ввиду следующих при</w:t>
      </w:r>
      <w:r w:rsidRPr="00D03F3E">
        <w:rPr>
          <w:rFonts w:ascii="Times New Roman" w:hAnsi="Times New Roman"/>
          <w:color w:val="000000" w:themeColor="text1"/>
          <w:sz w:val="16"/>
          <w:szCs w:val="16"/>
        </w:rPr>
        <w:softHyphen/>
        <w:t>чин, связанных с браком продукции завода № 33: а) при сборке карбюратора в полости между мембраной ока</w:t>
      </w:r>
      <w:r w:rsidRPr="00D03F3E">
        <w:rPr>
          <w:rFonts w:ascii="Times New Roman" w:hAnsi="Times New Roman"/>
          <w:color w:val="000000" w:themeColor="text1"/>
          <w:sz w:val="16"/>
          <w:szCs w:val="16"/>
        </w:rPr>
        <w:softHyphen/>
        <w:t>зался кусок медной контровочной проволоки, закли</w:t>
      </w:r>
      <w:r w:rsidRPr="00D03F3E">
        <w:rPr>
          <w:rFonts w:ascii="Times New Roman" w:hAnsi="Times New Roman"/>
          <w:color w:val="000000" w:themeColor="text1"/>
          <w:sz w:val="16"/>
          <w:szCs w:val="16"/>
        </w:rPr>
        <w:softHyphen/>
        <w:t>нивший клапан; б) игла автокорректора произвольно заклинилась в положении крайнего обеднения топлив</w:t>
      </w:r>
      <w:r w:rsidRPr="00D03F3E">
        <w:rPr>
          <w:rFonts w:ascii="Times New Roman" w:hAnsi="Times New Roman"/>
          <w:color w:val="000000" w:themeColor="text1"/>
          <w:sz w:val="16"/>
          <w:szCs w:val="16"/>
        </w:rPr>
        <w:softHyphen/>
        <w:t>ной смеси. Комиссия указала и на ошибку Степанченка, принявшего неправильное решение на разворот. Катастрофа еще более замедлила темпы подготовки к серийному производству. Несмотря на то, что она никак не была связана с конструкцией машины, в мае 1943 г. по решению Инстанции (именно так, с большой буквы на</w:t>
      </w:r>
      <w:r w:rsidRPr="00D03F3E">
        <w:rPr>
          <w:rFonts w:ascii="Times New Roman" w:hAnsi="Times New Roman"/>
          <w:color w:val="000000" w:themeColor="text1"/>
          <w:sz w:val="16"/>
          <w:szCs w:val="16"/>
        </w:rPr>
        <w:softHyphen/>
        <w:t>писано в годовом отчете завода № 51) было принято ре</w:t>
      </w:r>
      <w:r w:rsidRPr="00D03F3E">
        <w:rPr>
          <w:rFonts w:ascii="Times New Roman" w:hAnsi="Times New Roman"/>
          <w:color w:val="000000" w:themeColor="text1"/>
          <w:sz w:val="16"/>
          <w:szCs w:val="16"/>
        </w:rPr>
        <w:softHyphen/>
        <w:t>шение прекратить все работы, связанные с внедрением И-185 в серийное производство. Для Поликарпова это явилось тяжелым ударом, тем более что самолет являлся перспективной машиной, имевшей дальнейшее развитие в виде модификаций, получивших обозначение И-187 и И-188, с еще более высокими летными характеристиками при практически неизменных геометрических размерах (10667).</w:t>
      </w:r>
    </w:p>
    <w:p w14:paraId="1E2E34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A775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апреля 1943 г. опытный экземпляр И-185 М-71 по причине неисправности двигателя потерпел катастрофу. Погиб легчик-испыгатель В.А.Степанчонок. Сразу после этого решением высших инстанций работы по внедрению самолета в серию прекратили. Образцовый экземпляр И-185 М-71 после проведения ремонта в летном состоянии вернули на завод №51.</w:t>
      </w:r>
    </w:p>
    <w:p w14:paraId="4C41D0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Летные и технические характеристики самолетов И-185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gridCol w:w="1019"/>
        <w:gridCol w:w="1019"/>
        <w:gridCol w:w="1019"/>
        <w:gridCol w:w="1019"/>
      </w:tblGrid>
      <w:tr w:rsidR="00860B4B" w:rsidRPr="00D03F3E" w14:paraId="2A1BB894" w14:textId="77777777">
        <w:tc>
          <w:tcPr>
            <w:tcW w:w="1019" w:type="dxa"/>
            <w:tcBorders>
              <w:top w:val="single" w:sz="12" w:space="0" w:color="auto"/>
            </w:tcBorders>
          </w:tcPr>
          <w:p w14:paraId="13DD57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самолета</w:t>
            </w:r>
          </w:p>
        </w:tc>
        <w:tc>
          <w:tcPr>
            <w:tcW w:w="1019" w:type="dxa"/>
            <w:tcBorders>
              <w:top w:val="single" w:sz="12" w:space="0" w:color="auto"/>
            </w:tcBorders>
          </w:tcPr>
          <w:p w14:paraId="2D727F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w:t>
            </w:r>
          </w:p>
        </w:tc>
        <w:tc>
          <w:tcPr>
            <w:tcW w:w="1019" w:type="dxa"/>
            <w:tcBorders>
              <w:top w:val="single" w:sz="12" w:space="0" w:color="auto"/>
            </w:tcBorders>
          </w:tcPr>
          <w:p w14:paraId="1C95EF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ДИТ-185</w:t>
            </w:r>
          </w:p>
        </w:tc>
        <w:tc>
          <w:tcPr>
            <w:tcW w:w="1019" w:type="dxa"/>
            <w:tcBorders>
              <w:top w:val="single" w:sz="12" w:space="0" w:color="auto"/>
            </w:tcBorders>
          </w:tcPr>
          <w:p w14:paraId="3F23B9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И-186</w:t>
            </w:r>
          </w:p>
        </w:tc>
        <w:tc>
          <w:tcPr>
            <w:tcW w:w="1019" w:type="dxa"/>
            <w:tcBorders>
              <w:top w:val="single" w:sz="12" w:space="0" w:color="auto"/>
            </w:tcBorders>
          </w:tcPr>
          <w:p w14:paraId="5889F3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И-187</w:t>
            </w:r>
          </w:p>
        </w:tc>
        <w:tc>
          <w:tcPr>
            <w:tcW w:w="1019" w:type="dxa"/>
            <w:tcBorders>
              <w:top w:val="single" w:sz="12" w:space="0" w:color="auto"/>
            </w:tcBorders>
          </w:tcPr>
          <w:p w14:paraId="3F525E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И-185</w:t>
            </w:r>
          </w:p>
        </w:tc>
        <w:tc>
          <w:tcPr>
            <w:tcW w:w="1019" w:type="dxa"/>
            <w:tcBorders>
              <w:top w:val="single" w:sz="12" w:space="0" w:color="auto"/>
            </w:tcBorders>
          </w:tcPr>
          <w:p w14:paraId="560866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И-185</w:t>
            </w:r>
          </w:p>
        </w:tc>
        <w:tc>
          <w:tcPr>
            <w:tcW w:w="1019" w:type="dxa"/>
            <w:tcBorders>
              <w:top w:val="single" w:sz="12" w:space="0" w:color="auto"/>
            </w:tcBorders>
          </w:tcPr>
          <w:p w14:paraId="1B44A2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И-185</w:t>
            </w:r>
          </w:p>
        </w:tc>
        <w:tc>
          <w:tcPr>
            <w:tcW w:w="1019" w:type="dxa"/>
            <w:tcBorders>
              <w:top w:val="single" w:sz="12" w:space="0" w:color="auto"/>
            </w:tcBorders>
          </w:tcPr>
          <w:p w14:paraId="330A38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И-185</w:t>
            </w:r>
          </w:p>
        </w:tc>
      </w:tr>
      <w:tr w:rsidR="00860B4B" w:rsidRPr="00D03F3E" w14:paraId="5DDC274A" w14:textId="77777777">
        <w:tc>
          <w:tcPr>
            <w:tcW w:w="1019" w:type="dxa"/>
          </w:tcPr>
          <w:p w14:paraId="0484BF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3AF06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сМ-90</w:t>
            </w:r>
          </w:p>
        </w:tc>
        <w:tc>
          <w:tcPr>
            <w:tcW w:w="1019" w:type="dxa"/>
          </w:tcPr>
          <w:p w14:paraId="1C9CAF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w:t>
            </w:r>
          </w:p>
        </w:tc>
        <w:tc>
          <w:tcPr>
            <w:tcW w:w="1019" w:type="dxa"/>
          </w:tcPr>
          <w:p w14:paraId="4208FA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М-71</w:t>
            </w:r>
          </w:p>
        </w:tc>
        <w:tc>
          <w:tcPr>
            <w:tcW w:w="1019" w:type="dxa"/>
          </w:tcPr>
          <w:p w14:paraId="6D7F58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М-81</w:t>
            </w:r>
          </w:p>
        </w:tc>
        <w:tc>
          <w:tcPr>
            <w:tcW w:w="1019" w:type="dxa"/>
          </w:tcPr>
          <w:p w14:paraId="4970D3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М-71</w:t>
            </w:r>
          </w:p>
        </w:tc>
        <w:tc>
          <w:tcPr>
            <w:tcW w:w="1019" w:type="dxa"/>
          </w:tcPr>
          <w:p w14:paraId="08735C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М-71</w:t>
            </w:r>
          </w:p>
        </w:tc>
        <w:tc>
          <w:tcPr>
            <w:tcW w:w="1019" w:type="dxa"/>
          </w:tcPr>
          <w:p w14:paraId="4CA69C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М-82А</w:t>
            </w:r>
          </w:p>
        </w:tc>
        <w:tc>
          <w:tcPr>
            <w:tcW w:w="1019" w:type="dxa"/>
          </w:tcPr>
          <w:p w14:paraId="2ECBDC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М-71</w:t>
            </w:r>
          </w:p>
        </w:tc>
      </w:tr>
      <w:tr w:rsidR="00860B4B" w:rsidRPr="00D03F3E" w14:paraId="794DF1A4" w14:textId="77777777">
        <w:tc>
          <w:tcPr>
            <w:tcW w:w="1019" w:type="dxa"/>
          </w:tcPr>
          <w:p w14:paraId="61DC26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5AD08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6A19FB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1C08A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w:t>
            </w:r>
          </w:p>
        </w:tc>
        <w:tc>
          <w:tcPr>
            <w:tcW w:w="1019" w:type="dxa"/>
          </w:tcPr>
          <w:p w14:paraId="528278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25B8C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6202</w:t>
            </w:r>
          </w:p>
        </w:tc>
        <w:tc>
          <w:tcPr>
            <w:tcW w:w="1019" w:type="dxa"/>
          </w:tcPr>
          <w:p w14:paraId="3D24B9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6204</w:t>
            </w:r>
          </w:p>
        </w:tc>
        <w:tc>
          <w:tcPr>
            <w:tcW w:w="1019" w:type="dxa"/>
          </w:tcPr>
          <w:p w14:paraId="44F23A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BB7E8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эталон</w:t>
            </w:r>
          </w:p>
        </w:tc>
      </w:tr>
      <w:tr w:rsidR="00860B4B" w:rsidRPr="00D03F3E" w14:paraId="0536650A" w14:textId="77777777">
        <w:tc>
          <w:tcPr>
            <w:tcW w:w="1019" w:type="dxa"/>
          </w:tcPr>
          <w:p w14:paraId="3E3C26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49440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668A23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C90FE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178F3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83242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B2787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674E5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D89A9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серии</w:t>
            </w:r>
          </w:p>
        </w:tc>
      </w:tr>
      <w:tr w:rsidR="00860B4B" w:rsidRPr="00D03F3E" w14:paraId="5C6B6DDF" w14:textId="77777777">
        <w:tc>
          <w:tcPr>
            <w:tcW w:w="1019" w:type="dxa"/>
          </w:tcPr>
          <w:p w14:paraId="12CEF6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Дата выпуска проекта</w:t>
            </w:r>
          </w:p>
        </w:tc>
        <w:tc>
          <w:tcPr>
            <w:tcW w:w="1019" w:type="dxa"/>
          </w:tcPr>
          <w:p w14:paraId="28CC58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6.01.40 г.</w:t>
            </w:r>
          </w:p>
        </w:tc>
        <w:tc>
          <w:tcPr>
            <w:tcW w:w="1019" w:type="dxa"/>
          </w:tcPr>
          <w:p w14:paraId="4268D6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10.08.40г.</w:t>
            </w:r>
          </w:p>
        </w:tc>
        <w:tc>
          <w:tcPr>
            <w:tcW w:w="1019" w:type="dxa"/>
          </w:tcPr>
          <w:p w14:paraId="4AF1B1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5.05.40 г.</w:t>
            </w:r>
          </w:p>
        </w:tc>
        <w:tc>
          <w:tcPr>
            <w:tcW w:w="1019" w:type="dxa"/>
          </w:tcPr>
          <w:p w14:paraId="35303C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27.11.40 г.</w:t>
            </w:r>
          </w:p>
        </w:tc>
        <w:tc>
          <w:tcPr>
            <w:tcW w:w="1019" w:type="dxa"/>
          </w:tcPr>
          <w:p w14:paraId="168335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29C74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72EAC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26.5.41 г.</w:t>
            </w:r>
          </w:p>
        </w:tc>
        <w:tc>
          <w:tcPr>
            <w:tcW w:w="1019" w:type="dxa"/>
          </w:tcPr>
          <w:p w14:paraId="2489FA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13.04.42 г.</w:t>
            </w:r>
          </w:p>
        </w:tc>
      </w:tr>
      <w:tr w:rsidR="00860B4B" w:rsidRPr="00D03F3E" w14:paraId="5809749E" w14:textId="77777777">
        <w:tc>
          <w:tcPr>
            <w:tcW w:w="1019" w:type="dxa"/>
          </w:tcPr>
          <w:p w14:paraId="2062EA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Дата первого вылета</w:t>
            </w:r>
          </w:p>
        </w:tc>
        <w:tc>
          <w:tcPr>
            <w:tcW w:w="1019" w:type="dxa"/>
          </w:tcPr>
          <w:p w14:paraId="0DD70F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019" w:type="dxa"/>
          </w:tcPr>
          <w:p w14:paraId="0E7A3E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019" w:type="dxa"/>
          </w:tcPr>
          <w:p w14:paraId="02AE13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019" w:type="dxa"/>
          </w:tcPr>
          <w:p w14:paraId="6B3FAE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11.01.41 г.</w:t>
            </w:r>
          </w:p>
        </w:tc>
        <w:tc>
          <w:tcPr>
            <w:tcW w:w="1019" w:type="dxa"/>
          </w:tcPr>
          <w:p w14:paraId="0516A6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29.05.41 г.</w:t>
            </w:r>
          </w:p>
        </w:tc>
        <w:tc>
          <w:tcPr>
            <w:tcW w:w="1019" w:type="dxa"/>
          </w:tcPr>
          <w:p w14:paraId="5103C4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8.04.41 г.</w:t>
            </w:r>
          </w:p>
        </w:tc>
        <w:tc>
          <w:tcPr>
            <w:tcW w:w="1019" w:type="dxa"/>
          </w:tcPr>
          <w:p w14:paraId="188CFA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21.07.41 г.</w:t>
            </w:r>
          </w:p>
        </w:tc>
        <w:tc>
          <w:tcPr>
            <w:tcW w:w="1019" w:type="dxa"/>
          </w:tcPr>
          <w:p w14:paraId="736A81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10.06.42 г.</w:t>
            </w:r>
          </w:p>
        </w:tc>
      </w:tr>
      <w:tr w:rsidR="00860B4B" w:rsidRPr="00D03F3E" w14:paraId="7AE56381" w14:textId="77777777">
        <w:tc>
          <w:tcPr>
            <w:tcW w:w="1019" w:type="dxa"/>
          </w:tcPr>
          <w:p w14:paraId="7DCBA3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Двигатель, </w:t>
            </w:r>
            <w:r w:rsidRPr="00D03F3E">
              <w:rPr>
                <w:rFonts w:ascii="Times New Roman" w:hAnsi="Times New Roman"/>
                <w:color w:val="000000" w:themeColor="text1"/>
                <w:sz w:val="16"/>
                <w:szCs w:val="16"/>
              </w:rPr>
              <w:lastRenderedPageBreak/>
              <w:t>мощность</w:t>
            </w:r>
          </w:p>
        </w:tc>
        <w:tc>
          <w:tcPr>
            <w:tcW w:w="1019" w:type="dxa"/>
          </w:tcPr>
          <w:p w14:paraId="0855A1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82BAB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E6CA7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95959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3C6C6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BAFF0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7AA05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0B1AA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0D1B8E7" w14:textId="77777777">
        <w:tc>
          <w:tcPr>
            <w:tcW w:w="1019" w:type="dxa"/>
          </w:tcPr>
          <w:p w14:paraId="4D2748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(номинальная/максимальная) л.с.</w:t>
            </w:r>
          </w:p>
        </w:tc>
        <w:tc>
          <w:tcPr>
            <w:tcW w:w="1019" w:type="dxa"/>
          </w:tcPr>
          <w:p w14:paraId="7719BF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М-90</w:t>
            </w:r>
          </w:p>
        </w:tc>
        <w:tc>
          <w:tcPr>
            <w:tcW w:w="1019" w:type="dxa"/>
          </w:tcPr>
          <w:p w14:paraId="31E2AC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М-90</w:t>
            </w:r>
          </w:p>
        </w:tc>
        <w:tc>
          <w:tcPr>
            <w:tcW w:w="1019" w:type="dxa"/>
          </w:tcPr>
          <w:p w14:paraId="5FF200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М-71</w:t>
            </w:r>
          </w:p>
        </w:tc>
        <w:tc>
          <w:tcPr>
            <w:tcW w:w="1019" w:type="dxa"/>
          </w:tcPr>
          <w:p w14:paraId="6209DC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М-81</w:t>
            </w:r>
          </w:p>
        </w:tc>
        <w:tc>
          <w:tcPr>
            <w:tcW w:w="1019" w:type="dxa"/>
          </w:tcPr>
          <w:p w14:paraId="2F68AE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М-71</w:t>
            </w:r>
          </w:p>
        </w:tc>
        <w:tc>
          <w:tcPr>
            <w:tcW w:w="1019" w:type="dxa"/>
          </w:tcPr>
          <w:p w14:paraId="5DF801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М-71</w:t>
            </w:r>
          </w:p>
        </w:tc>
        <w:tc>
          <w:tcPr>
            <w:tcW w:w="1019" w:type="dxa"/>
          </w:tcPr>
          <w:p w14:paraId="0E6657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М-82А</w:t>
            </w:r>
          </w:p>
        </w:tc>
        <w:tc>
          <w:tcPr>
            <w:tcW w:w="1019" w:type="dxa"/>
          </w:tcPr>
          <w:p w14:paraId="073755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М-71</w:t>
            </w:r>
          </w:p>
        </w:tc>
      </w:tr>
      <w:tr w:rsidR="00860B4B" w:rsidRPr="00D03F3E" w14:paraId="297E5C6E" w14:textId="77777777">
        <w:tc>
          <w:tcPr>
            <w:tcW w:w="1019" w:type="dxa"/>
          </w:tcPr>
          <w:p w14:paraId="38AF6F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3D4241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1500/1750</w:t>
            </w:r>
          </w:p>
        </w:tc>
        <w:tc>
          <w:tcPr>
            <w:tcW w:w="1019" w:type="dxa"/>
          </w:tcPr>
          <w:p w14:paraId="31CCE2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1500/1750</w:t>
            </w:r>
          </w:p>
        </w:tc>
        <w:tc>
          <w:tcPr>
            <w:tcW w:w="1019" w:type="dxa"/>
          </w:tcPr>
          <w:p w14:paraId="1C1DFE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1700/2000</w:t>
            </w:r>
          </w:p>
        </w:tc>
        <w:tc>
          <w:tcPr>
            <w:tcW w:w="1019" w:type="dxa"/>
          </w:tcPr>
          <w:p w14:paraId="45CA4A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1280/1500</w:t>
            </w:r>
          </w:p>
        </w:tc>
        <w:tc>
          <w:tcPr>
            <w:tcW w:w="1019" w:type="dxa"/>
          </w:tcPr>
          <w:p w14:paraId="7CAA3F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1625/2000</w:t>
            </w:r>
          </w:p>
        </w:tc>
        <w:tc>
          <w:tcPr>
            <w:tcW w:w="1019" w:type="dxa"/>
          </w:tcPr>
          <w:p w14:paraId="2A5672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1625/2000</w:t>
            </w:r>
          </w:p>
        </w:tc>
        <w:tc>
          <w:tcPr>
            <w:tcW w:w="1019" w:type="dxa"/>
          </w:tcPr>
          <w:p w14:paraId="517743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1390/1600</w:t>
            </w:r>
          </w:p>
        </w:tc>
        <w:tc>
          <w:tcPr>
            <w:tcW w:w="1019" w:type="dxa"/>
          </w:tcPr>
          <w:p w14:paraId="6761AE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1625/2000</w:t>
            </w:r>
          </w:p>
        </w:tc>
      </w:tr>
      <w:tr w:rsidR="00860B4B" w:rsidRPr="00D03F3E" w14:paraId="573120C1" w14:textId="77777777">
        <w:tc>
          <w:tcPr>
            <w:tcW w:w="1019" w:type="dxa"/>
          </w:tcPr>
          <w:p w14:paraId="6FACC3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самолета (м)</w:t>
            </w:r>
          </w:p>
        </w:tc>
        <w:tc>
          <w:tcPr>
            <w:tcW w:w="1019" w:type="dxa"/>
          </w:tcPr>
          <w:p w14:paraId="51D004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7,25</w:t>
            </w:r>
          </w:p>
        </w:tc>
        <w:tc>
          <w:tcPr>
            <w:tcW w:w="1019" w:type="dxa"/>
          </w:tcPr>
          <w:p w14:paraId="3446BF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7,55</w:t>
            </w:r>
          </w:p>
        </w:tc>
        <w:tc>
          <w:tcPr>
            <w:tcW w:w="1019" w:type="dxa"/>
          </w:tcPr>
          <w:p w14:paraId="1931A0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7,68</w:t>
            </w:r>
          </w:p>
        </w:tc>
        <w:tc>
          <w:tcPr>
            <w:tcW w:w="1019" w:type="dxa"/>
          </w:tcPr>
          <w:p w14:paraId="1FF016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7,765</w:t>
            </w:r>
          </w:p>
        </w:tc>
        <w:tc>
          <w:tcPr>
            <w:tcW w:w="1019" w:type="dxa"/>
          </w:tcPr>
          <w:p w14:paraId="58A3B9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7,74</w:t>
            </w:r>
          </w:p>
        </w:tc>
        <w:tc>
          <w:tcPr>
            <w:tcW w:w="1019" w:type="dxa"/>
          </w:tcPr>
          <w:p w14:paraId="1BFE1F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7,68</w:t>
            </w:r>
          </w:p>
        </w:tc>
        <w:tc>
          <w:tcPr>
            <w:tcW w:w="1019" w:type="dxa"/>
          </w:tcPr>
          <w:p w14:paraId="7F19C8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8,1</w:t>
            </w:r>
          </w:p>
        </w:tc>
        <w:tc>
          <w:tcPr>
            <w:tcW w:w="1019" w:type="dxa"/>
          </w:tcPr>
          <w:p w14:paraId="1B2E38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8,05</w:t>
            </w:r>
          </w:p>
        </w:tc>
      </w:tr>
      <w:tr w:rsidR="00860B4B" w:rsidRPr="00D03F3E" w14:paraId="6DDB6374" w14:textId="77777777">
        <w:tc>
          <w:tcPr>
            <w:tcW w:w="1019" w:type="dxa"/>
          </w:tcPr>
          <w:p w14:paraId="12C271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Размах крыла (м)</w:t>
            </w:r>
          </w:p>
        </w:tc>
        <w:tc>
          <w:tcPr>
            <w:tcW w:w="1019" w:type="dxa"/>
          </w:tcPr>
          <w:p w14:paraId="48915F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w:t>
            </w:r>
          </w:p>
        </w:tc>
        <w:tc>
          <w:tcPr>
            <w:tcW w:w="1019" w:type="dxa"/>
          </w:tcPr>
          <w:p w14:paraId="0BF6AE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w:t>
            </w:r>
          </w:p>
        </w:tc>
        <w:tc>
          <w:tcPr>
            <w:tcW w:w="1019" w:type="dxa"/>
          </w:tcPr>
          <w:p w14:paraId="118909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w:t>
            </w:r>
          </w:p>
        </w:tc>
        <w:tc>
          <w:tcPr>
            <w:tcW w:w="1019" w:type="dxa"/>
          </w:tcPr>
          <w:p w14:paraId="5132CB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w:t>
            </w:r>
          </w:p>
        </w:tc>
        <w:tc>
          <w:tcPr>
            <w:tcW w:w="1019" w:type="dxa"/>
          </w:tcPr>
          <w:p w14:paraId="24C290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w:t>
            </w:r>
          </w:p>
        </w:tc>
        <w:tc>
          <w:tcPr>
            <w:tcW w:w="1019" w:type="dxa"/>
          </w:tcPr>
          <w:p w14:paraId="572315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w:t>
            </w:r>
          </w:p>
        </w:tc>
        <w:tc>
          <w:tcPr>
            <w:tcW w:w="1019" w:type="dxa"/>
          </w:tcPr>
          <w:p w14:paraId="77F5E3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w:t>
            </w:r>
          </w:p>
        </w:tc>
        <w:tc>
          <w:tcPr>
            <w:tcW w:w="1019" w:type="dxa"/>
          </w:tcPr>
          <w:p w14:paraId="2F1FB1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w:t>
            </w:r>
          </w:p>
        </w:tc>
      </w:tr>
      <w:tr w:rsidR="00860B4B" w:rsidRPr="00D03F3E" w14:paraId="56F5F9D3" w14:textId="77777777">
        <w:tc>
          <w:tcPr>
            <w:tcW w:w="1019" w:type="dxa"/>
          </w:tcPr>
          <w:p w14:paraId="14834D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крыла (м2)</w:t>
            </w:r>
          </w:p>
        </w:tc>
        <w:tc>
          <w:tcPr>
            <w:tcW w:w="1019" w:type="dxa"/>
          </w:tcPr>
          <w:p w14:paraId="0C4F8A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15,53</w:t>
            </w:r>
          </w:p>
        </w:tc>
        <w:tc>
          <w:tcPr>
            <w:tcW w:w="1019" w:type="dxa"/>
          </w:tcPr>
          <w:p w14:paraId="628421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15,53</w:t>
            </w:r>
          </w:p>
        </w:tc>
        <w:tc>
          <w:tcPr>
            <w:tcW w:w="1019" w:type="dxa"/>
          </w:tcPr>
          <w:p w14:paraId="02039F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15,53</w:t>
            </w:r>
          </w:p>
        </w:tc>
        <w:tc>
          <w:tcPr>
            <w:tcW w:w="1019" w:type="dxa"/>
          </w:tcPr>
          <w:p w14:paraId="5FFA90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15,53</w:t>
            </w:r>
          </w:p>
        </w:tc>
        <w:tc>
          <w:tcPr>
            <w:tcW w:w="1019" w:type="dxa"/>
          </w:tcPr>
          <w:p w14:paraId="2A85FD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15,53</w:t>
            </w:r>
          </w:p>
        </w:tc>
        <w:tc>
          <w:tcPr>
            <w:tcW w:w="1019" w:type="dxa"/>
          </w:tcPr>
          <w:p w14:paraId="715C07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15,53</w:t>
            </w:r>
          </w:p>
        </w:tc>
        <w:tc>
          <w:tcPr>
            <w:tcW w:w="1019" w:type="dxa"/>
          </w:tcPr>
          <w:p w14:paraId="728648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15,53</w:t>
            </w:r>
          </w:p>
        </w:tc>
        <w:tc>
          <w:tcPr>
            <w:tcW w:w="1019" w:type="dxa"/>
          </w:tcPr>
          <w:p w14:paraId="24AB33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15,53</w:t>
            </w:r>
          </w:p>
        </w:tc>
      </w:tr>
      <w:tr w:rsidR="00860B4B" w:rsidRPr="00D03F3E" w14:paraId="1F414391" w14:textId="77777777">
        <w:tc>
          <w:tcPr>
            <w:tcW w:w="1019" w:type="dxa"/>
          </w:tcPr>
          <w:p w14:paraId="357E05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пустого (кг)</w:t>
            </w:r>
          </w:p>
        </w:tc>
        <w:tc>
          <w:tcPr>
            <w:tcW w:w="1019" w:type="dxa"/>
          </w:tcPr>
          <w:p w14:paraId="3E9643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2028,5</w:t>
            </w:r>
          </w:p>
        </w:tc>
        <w:tc>
          <w:tcPr>
            <w:tcW w:w="1019" w:type="dxa"/>
          </w:tcPr>
          <w:p w14:paraId="25B056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2263,67</w:t>
            </w:r>
          </w:p>
        </w:tc>
        <w:tc>
          <w:tcPr>
            <w:tcW w:w="1019" w:type="dxa"/>
          </w:tcPr>
          <w:p w14:paraId="78EDFE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2289</w:t>
            </w:r>
          </w:p>
        </w:tc>
        <w:tc>
          <w:tcPr>
            <w:tcW w:w="1019" w:type="dxa"/>
          </w:tcPr>
          <w:p w14:paraId="5D59E5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2298,1</w:t>
            </w:r>
          </w:p>
        </w:tc>
        <w:tc>
          <w:tcPr>
            <w:tcW w:w="1019" w:type="dxa"/>
          </w:tcPr>
          <w:p w14:paraId="5CD1AE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2471</w:t>
            </w:r>
          </w:p>
        </w:tc>
        <w:tc>
          <w:tcPr>
            <w:tcW w:w="1019" w:type="dxa"/>
          </w:tcPr>
          <w:p w14:paraId="7319C9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2846</w:t>
            </w:r>
          </w:p>
        </w:tc>
        <w:tc>
          <w:tcPr>
            <w:tcW w:w="1019" w:type="dxa"/>
          </w:tcPr>
          <w:p w14:paraId="3F6525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1717</w:t>
            </w:r>
          </w:p>
        </w:tc>
        <w:tc>
          <w:tcPr>
            <w:tcW w:w="1019" w:type="dxa"/>
          </w:tcPr>
          <w:p w14:paraId="2654D3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3130</w:t>
            </w:r>
          </w:p>
        </w:tc>
      </w:tr>
      <w:tr w:rsidR="00860B4B" w:rsidRPr="00D03F3E" w14:paraId="5FE06E1B" w14:textId="77777777">
        <w:tc>
          <w:tcPr>
            <w:tcW w:w="1019" w:type="dxa"/>
          </w:tcPr>
          <w:p w14:paraId="25C9C2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Полетный вес (</w:t>
            </w:r>
          </w:p>
        </w:tc>
        <w:tc>
          <w:tcPr>
            <w:tcW w:w="1019" w:type="dxa"/>
          </w:tcPr>
          <w:p w14:paraId="482A40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7E697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45D05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F9F4D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D77A9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2BBF3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F671D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1E095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9D4B8FF" w14:textId="77777777">
        <w:tc>
          <w:tcPr>
            <w:tcW w:w="1019" w:type="dxa"/>
          </w:tcPr>
          <w:p w14:paraId="3FECF3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нормальный/с перегрузкой) (кг)</w:t>
            </w:r>
          </w:p>
        </w:tc>
        <w:tc>
          <w:tcPr>
            <w:tcW w:w="1019" w:type="dxa"/>
          </w:tcPr>
          <w:p w14:paraId="003F98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2708/2908</w:t>
            </w:r>
          </w:p>
        </w:tc>
        <w:tc>
          <w:tcPr>
            <w:tcW w:w="1019" w:type="dxa"/>
          </w:tcPr>
          <w:p w14:paraId="22BB45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2900/3254</w:t>
            </w:r>
          </w:p>
        </w:tc>
        <w:tc>
          <w:tcPr>
            <w:tcW w:w="1019" w:type="dxa"/>
          </w:tcPr>
          <w:p w14:paraId="056C35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2984/3489</w:t>
            </w:r>
          </w:p>
        </w:tc>
        <w:tc>
          <w:tcPr>
            <w:tcW w:w="1019" w:type="dxa"/>
          </w:tcPr>
          <w:p w14:paraId="235D52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3120/3325</w:t>
            </w:r>
          </w:p>
        </w:tc>
        <w:tc>
          <w:tcPr>
            <w:tcW w:w="1019" w:type="dxa"/>
          </w:tcPr>
          <w:p w14:paraId="4E27B3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3119/3534</w:t>
            </w:r>
          </w:p>
        </w:tc>
        <w:tc>
          <w:tcPr>
            <w:tcW w:w="1019" w:type="dxa"/>
          </w:tcPr>
          <w:p w14:paraId="6415F7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3500/4015</w:t>
            </w:r>
          </w:p>
        </w:tc>
        <w:tc>
          <w:tcPr>
            <w:tcW w:w="1019" w:type="dxa"/>
          </w:tcPr>
          <w:p w14:paraId="39BC06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3328/3418</w:t>
            </w:r>
          </w:p>
        </w:tc>
        <w:tc>
          <w:tcPr>
            <w:tcW w:w="1019" w:type="dxa"/>
          </w:tcPr>
          <w:p w14:paraId="7D5826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3735/3825</w:t>
            </w:r>
          </w:p>
        </w:tc>
      </w:tr>
      <w:tr w:rsidR="00860B4B" w:rsidRPr="00D03F3E" w14:paraId="462E5FC7" w14:textId="77777777">
        <w:tc>
          <w:tcPr>
            <w:tcW w:w="1019" w:type="dxa"/>
          </w:tcPr>
          <w:p w14:paraId="30C9EF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w:t>
            </w:r>
          </w:p>
        </w:tc>
        <w:tc>
          <w:tcPr>
            <w:tcW w:w="1019" w:type="dxa"/>
          </w:tcPr>
          <w:p w14:paraId="4DFC55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БС*.</w:t>
            </w:r>
          </w:p>
        </w:tc>
        <w:tc>
          <w:tcPr>
            <w:tcW w:w="1019" w:type="dxa"/>
          </w:tcPr>
          <w:p w14:paraId="646BDC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БС,</w:t>
            </w:r>
          </w:p>
        </w:tc>
        <w:tc>
          <w:tcPr>
            <w:tcW w:w="1019" w:type="dxa"/>
          </w:tcPr>
          <w:p w14:paraId="18EA29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БС,</w:t>
            </w:r>
          </w:p>
        </w:tc>
        <w:tc>
          <w:tcPr>
            <w:tcW w:w="1019" w:type="dxa"/>
          </w:tcPr>
          <w:p w14:paraId="6A44F3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БС,</w:t>
            </w:r>
          </w:p>
        </w:tc>
        <w:tc>
          <w:tcPr>
            <w:tcW w:w="1019" w:type="dxa"/>
          </w:tcPr>
          <w:p w14:paraId="7246DC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БС,</w:t>
            </w:r>
          </w:p>
        </w:tc>
        <w:tc>
          <w:tcPr>
            <w:tcW w:w="1019" w:type="dxa"/>
          </w:tcPr>
          <w:p w14:paraId="2397EA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БС,</w:t>
            </w:r>
          </w:p>
        </w:tc>
        <w:tc>
          <w:tcPr>
            <w:tcW w:w="1019" w:type="dxa"/>
          </w:tcPr>
          <w:p w14:paraId="161EBE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ШВАК,</w:t>
            </w:r>
          </w:p>
        </w:tc>
        <w:tc>
          <w:tcPr>
            <w:tcW w:w="1019" w:type="dxa"/>
          </w:tcPr>
          <w:p w14:paraId="346FF5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ШВАК,</w:t>
            </w:r>
          </w:p>
        </w:tc>
      </w:tr>
      <w:tr w:rsidR="00860B4B" w:rsidRPr="00D03F3E" w14:paraId="6B030089" w14:textId="77777777">
        <w:tc>
          <w:tcPr>
            <w:tcW w:w="1019" w:type="dxa"/>
          </w:tcPr>
          <w:p w14:paraId="7C1D23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4EE30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ШКАС,</w:t>
            </w:r>
          </w:p>
        </w:tc>
        <w:tc>
          <w:tcPr>
            <w:tcW w:w="1019" w:type="dxa"/>
          </w:tcPr>
          <w:p w14:paraId="40D35F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ШКАС,</w:t>
            </w:r>
          </w:p>
        </w:tc>
        <w:tc>
          <w:tcPr>
            <w:tcW w:w="1019" w:type="dxa"/>
          </w:tcPr>
          <w:p w14:paraId="07FEA8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ШКАС,</w:t>
            </w:r>
          </w:p>
        </w:tc>
        <w:tc>
          <w:tcPr>
            <w:tcW w:w="1019" w:type="dxa"/>
          </w:tcPr>
          <w:p w14:paraId="4F8429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ШКАС,</w:t>
            </w:r>
          </w:p>
        </w:tc>
        <w:tc>
          <w:tcPr>
            <w:tcW w:w="1019" w:type="dxa"/>
          </w:tcPr>
          <w:p w14:paraId="1C47E3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ШКАС,</w:t>
            </w:r>
          </w:p>
        </w:tc>
        <w:tc>
          <w:tcPr>
            <w:tcW w:w="1019" w:type="dxa"/>
          </w:tcPr>
          <w:p w14:paraId="0CDC42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ШКАС,</w:t>
            </w:r>
          </w:p>
        </w:tc>
        <w:tc>
          <w:tcPr>
            <w:tcW w:w="1019" w:type="dxa"/>
          </w:tcPr>
          <w:p w14:paraId="78E872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мм,</w:t>
            </w:r>
          </w:p>
        </w:tc>
        <w:tc>
          <w:tcPr>
            <w:tcW w:w="1019" w:type="dxa"/>
          </w:tcPr>
          <w:p w14:paraId="088B81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мм,</w:t>
            </w:r>
          </w:p>
        </w:tc>
      </w:tr>
      <w:tr w:rsidR="00860B4B" w:rsidRPr="00D03F3E" w14:paraId="429D68F2" w14:textId="77777777">
        <w:tc>
          <w:tcPr>
            <w:tcW w:w="1019" w:type="dxa"/>
          </w:tcPr>
          <w:p w14:paraId="6D3879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A9A66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бомбы</w:t>
            </w:r>
          </w:p>
        </w:tc>
        <w:tc>
          <w:tcPr>
            <w:tcW w:w="1019" w:type="dxa"/>
          </w:tcPr>
          <w:p w14:paraId="00510F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бомбы</w:t>
            </w:r>
          </w:p>
        </w:tc>
        <w:tc>
          <w:tcPr>
            <w:tcW w:w="1019" w:type="dxa"/>
          </w:tcPr>
          <w:p w14:paraId="40C4A7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бомбы</w:t>
            </w:r>
          </w:p>
        </w:tc>
        <w:tc>
          <w:tcPr>
            <w:tcW w:w="1019" w:type="dxa"/>
          </w:tcPr>
          <w:p w14:paraId="536D2C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бомбы</w:t>
            </w:r>
          </w:p>
        </w:tc>
        <w:tc>
          <w:tcPr>
            <w:tcW w:w="1019" w:type="dxa"/>
          </w:tcPr>
          <w:p w14:paraId="1E404E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бомбы</w:t>
            </w:r>
          </w:p>
        </w:tc>
        <w:tc>
          <w:tcPr>
            <w:tcW w:w="1019" w:type="dxa"/>
          </w:tcPr>
          <w:p w14:paraId="242006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бомбы</w:t>
            </w:r>
          </w:p>
        </w:tc>
        <w:tc>
          <w:tcPr>
            <w:tcW w:w="1019" w:type="dxa"/>
          </w:tcPr>
          <w:p w14:paraId="7B96FB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бомбы</w:t>
            </w:r>
          </w:p>
        </w:tc>
        <w:tc>
          <w:tcPr>
            <w:tcW w:w="1019" w:type="dxa"/>
          </w:tcPr>
          <w:p w14:paraId="6A4A61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бомбы</w:t>
            </w:r>
          </w:p>
        </w:tc>
      </w:tr>
      <w:tr w:rsidR="00860B4B" w:rsidRPr="00D03F3E" w14:paraId="1FC97325" w14:textId="77777777">
        <w:tc>
          <w:tcPr>
            <w:tcW w:w="1019" w:type="dxa"/>
          </w:tcPr>
          <w:p w14:paraId="2BCFDD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606EDD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 кг</w:t>
            </w:r>
          </w:p>
        </w:tc>
        <w:tc>
          <w:tcPr>
            <w:tcW w:w="1019" w:type="dxa"/>
          </w:tcPr>
          <w:p w14:paraId="182684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 кг</w:t>
            </w:r>
          </w:p>
        </w:tc>
        <w:tc>
          <w:tcPr>
            <w:tcW w:w="1019" w:type="dxa"/>
          </w:tcPr>
          <w:p w14:paraId="18B7B9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 кг</w:t>
            </w:r>
          </w:p>
        </w:tc>
        <w:tc>
          <w:tcPr>
            <w:tcW w:w="1019" w:type="dxa"/>
          </w:tcPr>
          <w:p w14:paraId="5B6226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 кг</w:t>
            </w:r>
          </w:p>
        </w:tc>
        <w:tc>
          <w:tcPr>
            <w:tcW w:w="1019" w:type="dxa"/>
          </w:tcPr>
          <w:p w14:paraId="5F6462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 кг</w:t>
            </w:r>
          </w:p>
        </w:tc>
        <w:tc>
          <w:tcPr>
            <w:tcW w:w="1019" w:type="dxa"/>
          </w:tcPr>
          <w:p w14:paraId="2912F6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 кг</w:t>
            </w:r>
          </w:p>
        </w:tc>
        <w:tc>
          <w:tcPr>
            <w:tcW w:w="1019" w:type="dxa"/>
          </w:tcPr>
          <w:p w14:paraId="57989A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 кг</w:t>
            </w:r>
          </w:p>
        </w:tc>
        <w:tc>
          <w:tcPr>
            <w:tcW w:w="1019" w:type="dxa"/>
          </w:tcPr>
          <w:p w14:paraId="147677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 кг</w:t>
            </w:r>
          </w:p>
        </w:tc>
      </w:tr>
      <w:tr w:rsidR="00860B4B" w:rsidRPr="00D03F3E" w14:paraId="12EC789B" w14:textId="77777777">
        <w:tc>
          <w:tcPr>
            <w:tcW w:w="1019" w:type="dxa"/>
          </w:tcPr>
          <w:p w14:paraId="0E5322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w:t>
            </w:r>
          </w:p>
        </w:tc>
        <w:tc>
          <w:tcPr>
            <w:tcW w:w="1019" w:type="dxa"/>
          </w:tcPr>
          <w:p w14:paraId="265849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3F675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117AE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47C89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8B011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58D06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E4830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27AFA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03227AF" w14:textId="77777777">
        <w:tc>
          <w:tcPr>
            <w:tcW w:w="1019" w:type="dxa"/>
          </w:tcPr>
          <w:p w14:paraId="14DB8E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земли (км/ч)</w:t>
            </w:r>
          </w:p>
        </w:tc>
        <w:tc>
          <w:tcPr>
            <w:tcW w:w="1019" w:type="dxa"/>
          </w:tcPr>
          <w:p w14:paraId="45F892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576</w:t>
            </w:r>
          </w:p>
        </w:tc>
        <w:tc>
          <w:tcPr>
            <w:tcW w:w="1019" w:type="dxa"/>
          </w:tcPr>
          <w:p w14:paraId="6C1B61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576</w:t>
            </w:r>
          </w:p>
        </w:tc>
        <w:tc>
          <w:tcPr>
            <w:tcW w:w="1019" w:type="dxa"/>
          </w:tcPr>
          <w:p w14:paraId="718788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571</w:t>
            </w:r>
          </w:p>
        </w:tc>
        <w:tc>
          <w:tcPr>
            <w:tcW w:w="1019" w:type="dxa"/>
          </w:tcPr>
          <w:p w14:paraId="7782D5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506</w:t>
            </w:r>
          </w:p>
        </w:tc>
        <w:tc>
          <w:tcPr>
            <w:tcW w:w="1019" w:type="dxa"/>
          </w:tcPr>
          <w:p w14:paraId="7133E0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505</w:t>
            </w:r>
          </w:p>
        </w:tc>
        <w:tc>
          <w:tcPr>
            <w:tcW w:w="1019" w:type="dxa"/>
          </w:tcPr>
          <w:p w14:paraId="6E2884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556</w:t>
            </w:r>
          </w:p>
        </w:tc>
        <w:tc>
          <w:tcPr>
            <w:tcW w:w="1019" w:type="dxa"/>
          </w:tcPr>
          <w:p w14:paraId="237ACF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549</w:t>
            </w:r>
          </w:p>
        </w:tc>
        <w:tc>
          <w:tcPr>
            <w:tcW w:w="1019" w:type="dxa"/>
          </w:tcPr>
          <w:p w14:paraId="3987F7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w:t>
            </w:r>
          </w:p>
        </w:tc>
      </w:tr>
      <w:tr w:rsidR="00860B4B" w:rsidRPr="00D03F3E" w14:paraId="4AD3BAFE" w14:textId="77777777">
        <w:tc>
          <w:tcPr>
            <w:tcW w:w="1019" w:type="dxa"/>
          </w:tcPr>
          <w:p w14:paraId="0F2937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w:t>
            </w:r>
          </w:p>
        </w:tc>
        <w:tc>
          <w:tcPr>
            <w:tcW w:w="1019" w:type="dxa"/>
          </w:tcPr>
          <w:p w14:paraId="3B43C6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3212C2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4AF71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98F83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1AC89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32D32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7F2DD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B1BF6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DEBD958" w14:textId="77777777">
        <w:tc>
          <w:tcPr>
            <w:tcW w:w="1019" w:type="dxa"/>
          </w:tcPr>
          <w:p w14:paraId="37B982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(км/ч)/на высоте (км)</w:t>
            </w:r>
          </w:p>
        </w:tc>
        <w:tc>
          <w:tcPr>
            <w:tcW w:w="1019" w:type="dxa"/>
          </w:tcPr>
          <w:p w14:paraId="62C40B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701/6</w:t>
            </w:r>
          </w:p>
        </w:tc>
        <w:tc>
          <w:tcPr>
            <w:tcW w:w="1019" w:type="dxa"/>
          </w:tcPr>
          <w:p w14:paraId="1602E9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701/6</w:t>
            </w:r>
          </w:p>
        </w:tc>
        <w:tc>
          <w:tcPr>
            <w:tcW w:w="1019" w:type="dxa"/>
          </w:tcPr>
          <w:p w14:paraId="08CFB0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665/5</w:t>
            </w:r>
          </w:p>
        </w:tc>
        <w:tc>
          <w:tcPr>
            <w:tcW w:w="1019" w:type="dxa"/>
          </w:tcPr>
          <w:p w14:paraId="22B672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611/6,4</w:t>
            </w:r>
          </w:p>
        </w:tc>
        <w:tc>
          <w:tcPr>
            <w:tcW w:w="1019" w:type="dxa"/>
          </w:tcPr>
          <w:p w14:paraId="4C4A53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615/6,2</w:t>
            </w:r>
          </w:p>
        </w:tc>
        <w:tc>
          <w:tcPr>
            <w:tcW w:w="1019" w:type="dxa"/>
          </w:tcPr>
          <w:p w14:paraId="5A6983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630/6,17</w:t>
            </w:r>
          </w:p>
        </w:tc>
        <w:tc>
          <w:tcPr>
            <w:tcW w:w="1019" w:type="dxa"/>
          </w:tcPr>
          <w:p w14:paraId="1CEA05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615/6,47</w:t>
            </w:r>
          </w:p>
        </w:tc>
        <w:tc>
          <w:tcPr>
            <w:tcW w:w="1019" w:type="dxa"/>
          </w:tcPr>
          <w:p w14:paraId="58E400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680/6,1</w:t>
            </w:r>
          </w:p>
        </w:tc>
      </w:tr>
      <w:tr w:rsidR="00860B4B" w:rsidRPr="00D03F3E" w14:paraId="66926AB4" w14:textId="77777777">
        <w:tc>
          <w:tcPr>
            <w:tcW w:w="1019" w:type="dxa"/>
          </w:tcPr>
          <w:p w14:paraId="1BFDE3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высоты 5000 м (мин)</w:t>
            </w:r>
          </w:p>
        </w:tc>
        <w:tc>
          <w:tcPr>
            <w:tcW w:w="1019" w:type="dxa"/>
          </w:tcPr>
          <w:p w14:paraId="760315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w:t>
            </w:r>
          </w:p>
        </w:tc>
        <w:tc>
          <w:tcPr>
            <w:tcW w:w="1019" w:type="dxa"/>
          </w:tcPr>
          <w:p w14:paraId="6F52B7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tc>
        <w:tc>
          <w:tcPr>
            <w:tcW w:w="1019" w:type="dxa"/>
          </w:tcPr>
          <w:p w14:paraId="5367C9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w:t>
            </w:r>
          </w:p>
        </w:tc>
        <w:tc>
          <w:tcPr>
            <w:tcW w:w="1019" w:type="dxa"/>
          </w:tcPr>
          <w:p w14:paraId="4FAE21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6,4</w:t>
            </w:r>
          </w:p>
        </w:tc>
        <w:tc>
          <w:tcPr>
            <w:tcW w:w="1019" w:type="dxa"/>
          </w:tcPr>
          <w:p w14:paraId="664989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w:t>
            </w:r>
          </w:p>
        </w:tc>
        <w:tc>
          <w:tcPr>
            <w:tcW w:w="1019" w:type="dxa"/>
          </w:tcPr>
          <w:p w14:paraId="2E3FAD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w:t>
            </w:r>
          </w:p>
        </w:tc>
        <w:tc>
          <w:tcPr>
            <w:tcW w:w="1019" w:type="dxa"/>
          </w:tcPr>
          <w:p w14:paraId="5BEE80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tc>
        <w:tc>
          <w:tcPr>
            <w:tcW w:w="1019" w:type="dxa"/>
          </w:tcPr>
          <w:p w14:paraId="67B35A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w:t>
            </w:r>
          </w:p>
        </w:tc>
      </w:tr>
      <w:tr w:rsidR="00860B4B" w:rsidRPr="00D03F3E" w14:paraId="0F014716" w14:textId="77777777">
        <w:tc>
          <w:tcPr>
            <w:tcW w:w="1019" w:type="dxa"/>
          </w:tcPr>
          <w:p w14:paraId="1A146E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Потолок (м)</w:t>
            </w:r>
          </w:p>
        </w:tc>
        <w:tc>
          <w:tcPr>
            <w:tcW w:w="1019" w:type="dxa"/>
          </w:tcPr>
          <w:p w14:paraId="1CD69E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10250</w:t>
            </w:r>
          </w:p>
        </w:tc>
        <w:tc>
          <w:tcPr>
            <w:tcW w:w="1019" w:type="dxa"/>
          </w:tcPr>
          <w:p w14:paraId="709B2E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10250</w:t>
            </w:r>
          </w:p>
        </w:tc>
        <w:tc>
          <w:tcPr>
            <w:tcW w:w="1019" w:type="dxa"/>
          </w:tcPr>
          <w:p w14:paraId="0C5AA1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10750</w:t>
            </w:r>
          </w:p>
        </w:tc>
        <w:tc>
          <w:tcPr>
            <w:tcW w:w="1019" w:type="dxa"/>
          </w:tcPr>
          <w:p w14:paraId="0BF19E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9900</w:t>
            </w:r>
          </w:p>
        </w:tc>
        <w:tc>
          <w:tcPr>
            <w:tcW w:w="1019" w:type="dxa"/>
          </w:tcPr>
          <w:p w14:paraId="4F513B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10000</w:t>
            </w:r>
          </w:p>
        </w:tc>
        <w:tc>
          <w:tcPr>
            <w:tcW w:w="1019" w:type="dxa"/>
          </w:tcPr>
          <w:p w14:paraId="7A55D2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019" w:type="dxa"/>
          </w:tcPr>
          <w:p w14:paraId="49749C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10450</w:t>
            </w:r>
          </w:p>
        </w:tc>
        <w:tc>
          <w:tcPr>
            <w:tcW w:w="1019" w:type="dxa"/>
          </w:tcPr>
          <w:p w14:paraId="19B6A5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tc>
      </w:tr>
      <w:tr w:rsidR="00860B4B" w:rsidRPr="00D03F3E" w14:paraId="2437608F" w14:textId="77777777">
        <w:tc>
          <w:tcPr>
            <w:tcW w:w="1019" w:type="dxa"/>
          </w:tcPr>
          <w:p w14:paraId="3F10E1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полета</w:t>
            </w:r>
          </w:p>
        </w:tc>
        <w:tc>
          <w:tcPr>
            <w:tcW w:w="1019" w:type="dxa"/>
          </w:tcPr>
          <w:p w14:paraId="05A3C7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730AF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1CECD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5C151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34693F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4AAD1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682124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A73B6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80E3727" w14:textId="77777777">
        <w:tc>
          <w:tcPr>
            <w:tcW w:w="1019" w:type="dxa"/>
            <w:tcBorders>
              <w:bottom w:val="single" w:sz="12" w:space="0" w:color="auto"/>
            </w:tcBorders>
          </w:tcPr>
          <w:p w14:paraId="7B8022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нормальная/максимальная (км)</w:t>
            </w:r>
          </w:p>
        </w:tc>
        <w:tc>
          <w:tcPr>
            <w:tcW w:w="1019" w:type="dxa"/>
            <w:tcBorders>
              <w:bottom w:val="single" w:sz="12" w:space="0" w:color="auto"/>
            </w:tcBorders>
          </w:tcPr>
          <w:p w14:paraId="7DAE8B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680/1100</w:t>
            </w:r>
          </w:p>
        </w:tc>
        <w:tc>
          <w:tcPr>
            <w:tcW w:w="1019" w:type="dxa"/>
            <w:tcBorders>
              <w:bottom w:val="single" w:sz="12" w:space="0" w:color="auto"/>
            </w:tcBorders>
          </w:tcPr>
          <w:p w14:paraId="2C2F50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680/1100</w:t>
            </w:r>
          </w:p>
        </w:tc>
        <w:tc>
          <w:tcPr>
            <w:tcW w:w="1019" w:type="dxa"/>
            <w:tcBorders>
              <w:bottom w:val="single" w:sz="12" w:space="0" w:color="auto"/>
            </w:tcBorders>
          </w:tcPr>
          <w:p w14:paraId="2E32A3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780/1100</w:t>
            </w:r>
          </w:p>
        </w:tc>
        <w:tc>
          <w:tcPr>
            <w:tcW w:w="1019" w:type="dxa"/>
            <w:tcBorders>
              <w:bottom w:val="single" w:sz="12" w:space="0" w:color="auto"/>
            </w:tcBorders>
          </w:tcPr>
          <w:p w14:paraId="67BBAF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962</w:t>
            </w:r>
          </w:p>
        </w:tc>
        <w:tc>
          <w:tcPr>
            <w:tcW w:w="1019" w:type="dxa"/>
            <w:tcBorders>
              <w:bottom w:val="single" w:sz="12" w:space="0" w:color="auto"/>
            </w:tcBorders>
          </w:tcPr>
          <w:p w14:paraId="263C35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900</w:t>
            </w:r>
          </w:p>
        </w:tc>
        <w:tc>
          <w:tcPr>
            <w:tcW w:w="1019" w:type="dxa"/>
            <w:tcBorders>
              <w:bottom w:val="single" w:sz="12" w:space="0" w:color="auto"/>
            </w:tcBorders>
          </w:tcPr>
          <w:p w14:paraId="6EE9CF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895</w:t>
            </w:r>
          </w:p>
        </w:tc>
        <w:tc>
          <w:tcPr>
            <w:tcW w:w="1019" w:type="dxa"/>
            <w:tcBorders>
              <w:bottom w:val="single" w:sz="12" w:space="0" w:color="auto"/>
            </w:tcBorders>
          </w:tcPr>
          <w:p w14:paraId="1AD3A2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1015/1380</w:t>
            </w:r>
          </w:p>
        </w:tc>
        <w:tc>
          <w:tcPr>
            <w:tcW w:w="1019" w:type="dxa"/>
            <w:tcBorders>
              <w:bottom w:val="single" w:sz="12" w:space="0" w:color="auto"/>
            </w:tcBorders>
          </w:tcPr>
          <w:p w14:paraId="43FC10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835</w:t>
            </w:r>
          </w:p>
        </w:tc>
      </w:tr>
    </w:tbl>
    <w:p w14:paraId="1466B7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крупнокалиберный пулемет БС (Березина, синхронный) в I940 г. обозначайся ТКБ-150 (12016).</w:t>
      </w:r>
    </w:p>
    <w:p w14:paraId="438926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864ACA"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апреля 1943 г., вопреки установленному наркомом в приказе от 18 января сроку, совершил первый ознакомительный полёт на Ла-5 с М-82 и ТК-3 без включения турбокомпрессоров. Первый и второй по</w:t>
      </w:r>
      <w:r w:rsidRPr="00D03F3E">
        <w:rPr>
          <w:rFonts w:ascii="Times New Roman" w:hAnsi="Times New Roman"/>
          <w:color w:val="000000" w:themeColor="text1"/>
          <w:sz w:val="16"/>
          <w:szCs w:val="16"/>
        </w:rPr>
        <w:softHyphen/>
        <w:t>лёты с включенными турбокомпрессорами, или третий и четвертый с начала испытаний, состоялись 12 апреля 1943 г. до высоты 3500 м и 4500 м, соответственно. В последнем наблюдался перегрев мотора — температура первого цилиндра мотора достигла 280°С и 245°С — второго, вследствие их плохого охлаждения. В последнем в этой серии полё</w:t>
      </w:r>
      <w:r w:rsidRPr="00D03F3E">
        <w:rPr>
          <w:rFonts w:ascii="Times New Roman" w:hAnsi="Times New Roman"/>
          <w:color w:val="000000" w:themeColor="text1"/>
          <w:sz w:val="16"/>
          <w:szCs w:val="16"/>
        </w:rPr>
        <w:softHyphen/>
        <w:t>тов — пятом от начала испытаний, мотор работал хорошо, и удалось снять площадку с работающими турбокомпрессорами на высоте 6000 м. Так как при установке турбоком</w:t>
      </w:r>
      <w:r w:rsidRPr="00D03F3E">
        <w:rPr>
          <w:rFonts w:ascii="Times New Roman" w:hAnsi="Times New Roman"/>
          <w:color w:val="000000" w:themeColor="text1"/>
          <w:sz w:val="16"/>
          <w:szCs w:val="16"/>
        </w:rPr>
        <w:softHyphen/>
        <w:t>прессоров на Ла-5, в основном, старались это сделать с наименьшим количеством пе</w:t>
      </w:r>
      <w:r w:rsidRPr="00D03F3E">
        <w:rPr>
          <w:rFonts w:ascii="Times New Roman" w:hAnsi="Times New Roman"/>
          <w:color w:val="000000" w:themeColor="text1"/>
          <w:sz w:val="16"/>
          <w:szCs w:val="16"/>
        </w:rPr>
        <w:softHyphen/>
        <w:t>ределок серийной машины, охлаждение мотора было даже хуже, чем у серийных истре</w:t>
      </w:r>
      <w:r w:rsidRPr="00D03F3E">
        <w:rPr>
          <w:rFonts w:ascii="Times New Roman" w:hAnsi="Times New Roman"/>
          <w:color w:val="000000" w:themeColor="text1"/>
          <w:sz w:val="16"/>
          <w:szCs w:val="16"/>
        </w:rPr>
        <w:softHyphen/>
        <w:t>бителей. Из-за установки ТК-3 воздушные створки и выходная щель оказались затене</w:t>
      </w:r>
      <w:r w:rsidRPr="00D03F3E">
        <w:rPr>
          <w:rFonts w:ascii="Times New Roman" w:hAnsi="Times New Roman"/>
          <w:color w:val="000000" w:themeColor="text1"/>
          <w:sz w:val="16"/>
          <w:szCs w:val="16"/>
        </w:rPr>
        <w:softHyphen/>
        <w:t>ны, но вносить изменения в конструкцию самолёта, направленные на устранение дефе</w:t>
      </w:r>
      <w:r w:rsidRPr="00D03F3E">
        <w:rPr>
          <w:rFonts w:ascii="Times New Roman" w:hAnsi="Times New Roman"/>
          <w:color w:val="000000" w:themeColor="text1"/>
          <w:sz w:val="16"/>
          <w:szCs w:val="16"/>
        </w:rPr>
        <w:softHyphen/>
        <w:t>кта, не стали. Забор воздуха в турбокомпрессор производился не через всасывающие патрубки, которые отсоединили, а непосредственно из-под капотов мотора. Воздух че</w:t>
      </w:r>
      <w:r w:rsidRPr="00D03F3E">
        <w:rPr>
          <w:rFonts w:ascii="Times New Roman" w:hAnsi="Times New Roman"/>
          <w:color w:val="000000" w:themeColor="text1"/>
          <w:sz w:val="16"/>
          <w:szCs w:val="16"/>
        </w:rPr>
        <w:softHyphen/>
        <w:t>рез всасывающие патрубки поступал в замоторное пространство, тем самым создавая повышенное давление и ухудшая и без того плохое охлаждения мотора. Ухудшились экс</w:t>
      </w:r>
      <w:r w:rsidRPr="00D03F3E">
        <w:rPr>
          <w:rFonts w:ascii="Times New Roman" w:hAnsi="Times New Roman"/>
          <w:color w:val="000000" w:themeColor="text1"/>
          <w:sz w:val="16"/>
          <w:szCs w:val="16"/>
        </w:rPr>
        <w:softHyphen/>
        <w:t>плуатационные характеристики, теперь даже для проверки зазоров прерывателей магне</w:t>
      </w:r>
      <w:r w:rsidRPr="00D03F3E">
        <w:rPr>
          <w:rFonts w:ascii="Times New Roman" w:hAnsi="Times New Roman"/>
          <w:color w:val="000000" w:themeColor="text1"/>
          <w:sz w:val="16"/>
          <w:szCs w:val="16"/>
        </w:rPr>
        <w:softHyphen/>
        <w:t>то требовался демонтаж турбокомпрессора. Нарекания также вызывало плохое уплот</w:t>
      </w:r>
      <w:r w:rsidRPr="00D03F3E">
        <w:rPr>
          <w:rFonts w:ascii="Times New Roman" w:hAnsi="Times New Roman"/>
          <w:color w:val="000000" w:themeColor="text1"/>
          <w:sz w:val="16"/>
          <w:szCs w:val="16"/>
        </w:rPr>
        <w:softHyphen/>
        <w:t>нение газовых труб и недостаточная герметичность и прочность воздушных труб от тур</w:t>
      </w:r>
      <w:r w:rsidRPr="00D03F3E">
        <w:rPr>
          <w:rFonts w:ascii="Times New Roman" w:hAnsi="Times New Roman"/>
          <w:color w:val="000000" w:themeColor="text1"/>
          <w:sz w:val="16"/>
          <w:szCs w:val="16"/>
        </w:rPr>
        <w:softHyphen/>
        <w:t>бокомпрессора до карбюратора и от карбюратора до турбокомпрессора.</w:t>
      </w:r>
    </w:p>
    <w:p w14:paraId="5DF027CF"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другой стороны, первые пять полётов Ла-5 с ТК-3 показали, вполне хорошую ра</w:t>
      </w:r>
      <w:r w:rsidRPr="00D03F3E">
        <w:rPr>
          <w:rFonts w:ascii="Times New Roman" w:hAnsi="Times New Roman"/>
          <w:color w:val="000000" w:themeColor="text1"/>
          <w:sz w:val="16"/>
          <w:szCs w:val="16"/>
        </w:rPr>
        <w:softHyphen/>
        <w:t>боту этого турбокомпрессора. Хорошую оценку получило крепление ТК-3 и изоляция его горячих частей — ресивера и турбины, от гидравлической части и от замоторного пространства.</w:t>
      </w:r>
    </w:p>
    <w:p w14:paraId="613416ED"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Самолёт отправили в опытный цех для доводки системы охлаждения мотора и гер</w:t>
      </w:r>
      <w:r w:rsidRPr="00D03F3E">
        <w:rPr>
          <w:rFonts w:ascii="Times New Roman" w:hAnsi="Times New Roman"/>
          <w:color w:val="000000" w:themeColor="text1"/>
          <w:sz w:val="16"/>
          <w:szCs w:val="16"/>
        </w:rPr>
        <w:softHyphen/>
        <w:t>метизации газовых и воздушных труб. Однако из-за отсутствия производственных воз</w:t>
      </w:r>
      <w:r w:rsidRPr="00D03F3E">
        <w:rPr>
          <w:rFonts w:ascii="Times New Roman" w:hAnsi="Times New Roman"/>
          <w:color w:val="000000" w:themeColor="text1"/>
          <w:sz w:val="16"/>
          <w:szCs w:val="16"/>
        </w:rPr>
        <w:softHyphen/>
        <w:t>можностей, а если точнее — людей, работы приняли затяжной характер (15830).</w:t>
      </w:r>
    </w:p>
    <w:p w14:paraId="26605D10" w14:textId="77777777" w:rsidR="00B54894" w:rsidRPr="00D03F3E" w:rsidRDefault="00B54894" w:rsidP="00D03F3E">
      <w:pPr>
        <w:spacing w:after="0" w:line="240" w:lineRule="auto"/>
        <w:jc w:val="both"/>
        <w:rPr>
          <w:rFonts w:ascii="Times New Roman" w:hAnsi="Times New Roman"/>
          <w:color w:val="000000" w:themeColor="text1"/>
          <w:sz w:val="16"/>
          <w:szCs w:val="16"/>
        </w:rPr>
      </w:pPr>
    </w:p>
    <w:p w14:paraId="59DEF5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апреля 1943 закончились гос. испытания выпушенный з-дм № 84 ПС-84 № 1845408 с тремя внутренними бомбодержателями для 5х3 ФАБ-100: два параллельно за кабиной и одна в задней части грузовой кабины, которые проходили с 14 марта. Люки закрывались створками. Внешняя подвеска сохранялась без изменений. Мог брать до 2500. Заводские испытания машина прошла в январе и в феврале ее предъявили на гос. испытания. Не прошел и был забракован НИП АВ, т.к. требовались слишком большие усилия на рукоятке сбрасывателя (3404, 11).</w:t>
      </w:r>
    </w:p>
    <w:p w14:paraId="598D20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2B3A55"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3698C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333D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5 апреля 1943 г. строительство производственной линии по новой технологии коллективом среднеуральского завода (98 им. Кирова, пермь) было завершено. Таким образом, огромный объем работы в тяжелых условиях военного был выполнен менее чем за один год. </w:t>
      </w:r>
    </w:p>
    <w:p w14:paraId="6FD644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апреле 1943 г. по новой технологии были изготовлены три становочно-валовые партии зарядов для M-13 по 3 тыс. штук в партии. Особым техническим бюро завода параллельно велись всесторонние исследования пороха, изготовляемого по новой технологии, прежде всего его баллистических характеристик. Было установлено, что скорость его горения примерно на 9% выше, чем у пороха, изготовленного по гидропрессовой технологии, а потому для обеспечения требований по максимальному давлению газа в двигателе, калорийность пороха, изготовляемого по новой технологии, была снижена на 4%. </w:t>
      </w:r>
    </w:p>
    <w:p w14:paraId="0A21E9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Изготовленные заряды были подвергнуты стендовым и стрельбовым испытаниям во всем интервале эксплуатационных температур. </w:t>
      </w:r>
    </w:p>
    <w:p w14:paraId="52188D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Результаты испытаний открыли широкую дорогу новой технологии изготовления зарядов. Все работы по ее созданию проводились под научным руководством А.С. Бакаева, техническим руководителем разработки аппаратуры и внедрения ее в производство был инженер А.Э. Спориус. Ведущими инженерами основных узлов — Ф.М. Хритинин, Б.А. Парфенов и др.</w:t>
      </w:r>
    </w:p>
    <w:p w14:paraId="12F593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xml:space="preserve">Кроме трудностей, типичных для работы всей промышленности в тяжелейших условиях войны, не раз возникали в ходе изготовления порохов и зарядов серьезные технические проблемы, специфичные для порохового производства. Многие из этих проблем требовали для правильного и быстрого решения глубокого научного подхода и широких научно-технических исследований. Огромную помощь заводу в преодолении этих трудностей оказало Особое бюро, переведенное в начале войны из Московского порохового института на среднеуральский завод. </w:t>
      </w:r>
    </w:p>
    <w:p w14:paraId="723671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 Особое бюро, научно-техническая деятельность которого возглавлялась главным инженером А.С.Бакаевым, было возложено не только научно-техническое обеспечение текущего производства, но и проведение работ по совершенствованию порохов и зарядов, а также по повышению производительности основных фаз технологического процесса. </w:t>
      </w:r>
    </w:p>
    <w:p w14:paraId="2DA3C1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Приведу несколько примеров, характеризующих научно-техническую деятельность Особого бюро в период Великой Отечественной Войны. </w:t>
      </w:r>
    </w:p>
    <w:p w14:paraId="7E2FF6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Вопросы обеспечения сырьем для изготовления нигроглицериновых порохов в условиях военного времени приобрели особую остроту. Отсутствие любого из компонентов пороха ставило под угрозу возможность производства ракетных зарядов. Поэтому исключительную важность имели работы по изысканию заменителей, прежде всего централита. Централит, вводимый в состав пороха в качестве стабилизатора химической стойкости, и до войны был самым дорогим и дефицитным компонентом нитроглицериновых порохов, что объяснялось сложностью изготовления как его самого, так и основного сырья для него. </w:t>
      </w:r>
    </w:p>
    <w:p w14:paraId="1111E8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После эвакуации из Москвы Дорогомиловского химзавода, единственного в тот период производителя централита, выпуск его в стране был прекращен. В середине 1942 г. запасы централита на среднеуральском заводе иссякали. Производство зарядов для PC вот-вот должно было остановиться. Однако выход был найден. В связи с отсутствием централита возникла идея вводить в качестве стабилизатора химической стойкости пороха окись магния, являющуюся слабым основанием. На этом порохе, получившем наименование НМ-2, были изготовлены опытные партии зарядов к М-8 и M-13. </w:t>
      </w:r>
    </w:p>
    <w:p w14:paraId="77096F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Широкие стендовые проверки, а также контрольные стрельбовые испытания, проведенные на полигоне, прошли с положительными результатами. При этих испытаниях было установлено, что если заряды, изготовленные из пороха Н, не всегда нормально работали при температурах минус 30°С и ниже, то заряды из пороха, содержавшего окись магния, устойчиво работали во всем диапазоне возможных температур боевого применения РС, давая одновременно более низкий уровень давлений при максимальной положительной температуре заряда. </w:t>
      </w:r>
    </w:p>
    <w:p w14:paraId="3FFE84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Оказалось, что окись магния, введенная только как стабилизатор химической стойкости пороха, заметно улучшила и баллистические качества его. Работы Особого бюро в этом направлении положили начало исследованиям каталитических процессов при горении порохов, поискам наиболее эффективных катализаторов горения и т.д. </w:t>
      </w:r>
    </w:p>
    <w:p w14:paraId="2236CB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7 сентября 1942 г., в связи с полным израсходованием запасов централита, порох с окисью магния был введен в производство. Всего три дня потребовалось заводу, чтобы наладить его внедрение и перейти к массовому изготовлению зарядов. За четыре месяца (по 1 января 1943 г.) среднеуральским заводом было изготовлено более 3000 т пороха НМ-2 для M-13 и М-8. Невозможно переоценить важность этих работ для обеспечения непрерывных поставок зарядов для нужд фронта. </w:t>
      </w:r>
    </w:p>
    <w:p w14:paraId="2B30B2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Еще один пример. В феврале 1942 г. пороховому заводу грозила полная остановка из-за отсутствия вазелина. Особое бюро в результате напряженных исследований предложило заменить вазелин менее дефицитным трансформаторным маслом. Проведенные эксперименты подтвердили не только возможность, но и целесообразность такой замены, так как жидкое трансформаторное масло вводить в пороховую массу значительно удобнее, чем густой и вязкий вазелин. Остановка работы завода была предотвращена. </w:t>
      </w:r>
    </w:p>
    <w:p w14:paraId="063F55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Особым бюро были выполнены и другие, направленные на ликвидацию помех производству зарядов, работы, из которых упомянем следующие. Еще в конце 1941 г. при стендовых испытаниях ряда парий зарядов к M-13 и М-8 были получены в ракетных камерах давления газов, уровень которых превышал требования технической документации, причем по химическому составу и прочим показателям партии зарядов удовлетворяли требованиям ТУ. Приемка ракетных зарядов была приостановлена. В связи с этим сотрудники Особого бюро провели детальное исследование причин, вызывающих некондиционность изготовляемых заводом зарядов и выявили важное влияние калорийности пороховой массы на их баллистические характеристики. </w:t>
      </w:r>
    </w:p>
    <w:p w14:paraId="46B238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Итогом работы являлось установление и введение в техническую документацию нормы на калорийность пороха, а также разработка и внедрение в производство уточненного дозирования компонентов пороха при варке пороховой массы. </w:t>
      </w:r>
    </w:p>
    <w:p w14:paraId="3E3101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Одновременно были улучшены условия вальцевания и прессования пороха. Реализация этих мероприятий обеспечила уже с января 1942 г. стабильный выпуск зарядов, полностью удовлетворяющих требованиям документации. </w:t>
      </w:r>
    </w:p>
    <w:p w14:paraId="791331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Существенная помощь со стороны Особого бюро была оказана заводу по выяснению причин брака, получавшегося при прессовании пороховых шашек на прессах Круппа. Так, например, в феврале 1942 г. брак на фазе прессования зарядов М-8 и M-13 составлял в среднем 30-35%, доходя в отдельные дни до 55-60%. Бригада Особого бюро тщательно проанализирована причины брака и дала точные и конкретные рекомендации. В настоящее время нет необходимости перечислять все рекомендации, но нельзя не дать высокой оценки методической стороне работы Особого бюро, серьезности подхода к поискам причин трудностей, убедительности и доказательности рекомендаций. Достаточно сказать, что после разработки рекомендаций очередное изготовление зарядов круглосуточно во всех сменах проводилось под непосредственным и непрерывным контролем работников Особого бюро. В результате брак на фазе прессования был резко уменьшен, а по воздушным включениям ликвидирован полностью. </w:t>
      </w:r>
    </w:p>
    <w:p w14:paraId="705B85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концу 1944 г. объем продукции завода вырос в десятки раз по сравнению с 1942 г., и хотя к этому времени уже работали на полную мощность другие пороховые заводы, построенные за это время, темпы работы среднеуральского завода непрерывно нарастали (11209).</w:t>
      </w:r>
    </w:p>
    <w:p w14:paraId="022CB3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DCF1BB" w14:textId="77777777" w:rsidR="002B21DE" w:rsidRPr="00D03F3E" w:rsidRDefault="002B21D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апреля 1943 года был утверждён окончательный список доработок Т-43. В их числе значилось расширение погона башни до 1600 мм, а также перенос командирской башенки влево. Впереди вновь появлялся курсовой пулемёт, а механик-водитель получал полноценный люк. Всего в списке изменений значилось 12 пунктов. Таким образом, работы по Т-43 продолжали затягиваться. Это сыграло в судьбе танка роковую роль, поскольку развитие бронетехники (а заодно и средств борьбы с ней) не стояло на месте. Впрочем, об этом мы поговорим уже в следующий раз (18420).</w:t>
      </w:r>
    </w:p>
    <w:p w14:paraId="423252C6" w14:textId="77777777" w:rsidR="002B21DE" w:rsidRPr="00D03F3E" w:rsidRDefault="002B21DE" w:rsidP="00D03F3E">
      <w:pPr>
        <w:spacing w:after="0" w:line="240" w:lineRule="auto"/>
        <w:jc w:val="both"/>
        <w:rPr>
          <w:rFonts w:ascii="Times New Roman" w:hAnsi="Times New Roman"/>
          <w:color w:val="000000" w:themeColor="text1"/>
          <w:sz w:val="16"/>
          <w:szCs w:val="16"/>
        </w:rPr>
      </w:pPr>
    </w:p>
    <w:p w14:paraId="1F9E5D7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апреля 1943 вышло Постановление ГКО № 3119 О мерах по выполнению плана отгрузки спецтары и пиломатериалов для ее изготовления на апрель 1943 года. (7092, 146-148,149-157).</w:t>
      </w:r>
    </w:p>
    <w:p w14:paraId="1974B69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8C705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апреля 1943 вышло Постановление ГКО № 3121 [О наведении порядка на железных дорогах.] (7092, 159).</w:t>
      </w:r>
    </w:p>
    <w:p w14:paraId="7FBF15D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B4ED0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апреля 1943 вышло Постановление ГКО № 3122 О сокращении излишнего количества вагонов нерабочего парка и использовании их для перевозки грузов. (7092, 160).</w:t>
      </w:r>
    </w:p>
    <w:p w14:paraId="17F7354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C40D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апреля 1943 Адмиралтейцы досрочно закончили, аварийно-боевой ремонт (начат 4 декабря 1942 г.) и контрольные ходовые испытания ПЛ Щ-407 (10671).</w:t>
      </w:r>
    </w:p>
    <w:p w14:paraId="594236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358F2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0DC1E0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DCC811"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апреля</w:t>
      </w:r>
      <w:r w:rsidRPr="00D03F3E">
        <w:rPr>
          <w:rFonts w:ascii="Times New Roman" w:hAnsi="Times New Roman"/>
          <w:color w:val="000000" w:themeColor="text1"/>
          <w:sz w:val="16"/>
          <w:szCs w:val="16"/>
        </w:rPr>
        <w:t xml:space="preserve"> в 1943 году утреннее сообщение Совинформбюро:</w:t>
      </w:r>
    </w:p>
    <w:p w14:paraId="6DF41415"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течение ночи на 5 апреля на фронтах существенных изменений не произошло.</w:t>
      </w:r>
    </w:p>
    <w:p w14:paraId="47B356A6"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артиллеристы Н-ского соединения, отражая танковые атакипротивника, подбили и сожгли 6 немецких танков и истребили до 200 вражеских солдат и офицеров. Наши наблюдатели заметили, что в блиндаж противника пришли 20 немецких солдат со станковым пулемётом. Наводчик орудия тов. Денисов открыл огонь и несколькими выстрелами уничтожил блиндаж вместе с находившимися в нём гитлеровцами.</w:t>
      </w:r>
    </w:p>
    <w:p w14:paraId="4610033C"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пехота противника напала на наше боевое охранение. Подразделения Н-ской части контрударом отбросили гитлеровцев и, преследуя их, уничтожили до роты немецкой пехоты. Захвачены самоходное орудие, 8 пулемётов, несколько десятков винтовок и автоматов.</w:t>
      </w:r>
    </w:p>
    <w:p w14:paraId="6F58E1F8"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бойцы Н-ского подразделения ночью атаковали опорный пункт противника. В рукопашной схватке уничтожено 70 немецких солдат и офицеров. Взяты пленные и трофеи. На другом участке советские артиллеристы взорвали склад боеприпасов и рассеяли скопление пехоты противника.</w:t>
      </w:r>
    </w:p>
    <w:p w14:paraId="3FE1EABE"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западнее Ростова-на-Дону отряд пехоты противника пытался боем разведать наши позиции. Залповым ружейным и пулемётным огнём немцы были рассеяны, не достигнув переднего края нашей обороны. Противник потерял убитыми 60 солдат и офицеров.</w:t>
      </w:r>
    </w:p>
    <w:p w14:paraId="58F75A68"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части Н-ского соединения вели наступательные бои. Наши бойцы продвинулись вперёд и заняли выгодные позиции. Захвачены у противника 2 орудия,7 пулемётов, 4 миномёта, несколько автомашин с боеприпасами и другие трофеи.</w:t>
      </w:r>
    </w:p>
    <w:p w14:paraId="24542A64"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Полесской области немецкий конвой гнал на ближайшую железнодорожную станцию 200 жителей Петриковского и Житковичского районов для отправки их на каторгу в Германию. Партизаны напали на немецкий конвой и освободили советских граждан.</w:t>
      </w:r>
    </w:p>
    <w:p w14:paraId="4BEAF34D"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ленинградских партизан взорвал мост через реку. Движение автомобильного и гужевого транспорта противника на этом участке дороги прервано.</w:t>
      </w:r>
    </w:p>
    <w:p w14:paraId="0F84BAED"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опустошают белорусские города и сёла, сравнивают многие деревни с землёй. Только в марте гитлеровские бандиты сожгли в Смолевичском районе, Минской области, деревни Багута, Оды, Прилепы, Погорельцы, Сутовки, Заречье и другие. Огнём уничтожены сотни домов. В некоторых деревнях немецкие палачи вырезали большую часть населения. Спаслись лишь те, кто скрылся в лесах.</w:t>
      </w:r>
    </w:p>
    <w:p w14:paraId="7203C36D"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Население Эльзаса не покорилось немецким оккупантам и ведёт героическую борьбу против фашистских захватчиков. В горах и лесах скрываются сотни эльзасцев, уклоняющихся от трудовой повинности и службы в немецкой армии. Патриоты нападают на немецкие посты на германско-швейцарской границе и уходят в Швейцарию. За один месяц убито 57 немецких солдат из пограничной стражи. Недавно вооружённая группа эльзасцев рассеяла немецкий конвой и освободила 15 арестованных антифашистов. В районе Страсбурга неизвестные взорвали немецкий склад боеприпасов. B Мюлузе патриоты вывели из строя крупный цех одного извоенных заводов.» (15090).</w:t>
      </w:r>
    </w:p>
    <w:p w14:paraId="156D28AF" w14:textId="77777777" w:rsidR="00B54894" w:rsidRPr="00D03F3E" w:rsidRDefault="00B54894" w:rsidP="00D03F3E">
      <w:pPr>
        <w:spacing w:after="0" w:line="240" w:lineRule="auto"/>
        <w:jc w:val="both"/>
        <w:rPr>
          <w:rFonts w:ascii="Times New Roman" w:hAnsi="Times New Roman"/>
          <w:color w:val="000000" w:themeColor="text1"/>
          <w:sz w:val="16"/>
          <w:szCs w:val="16"/>
        </w:rPr>
      </w:pPr>
    </w:p>
    <w:p w14:paraId="17BE6D43"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апреля</w:t>
      </w:r>
      <w:r w:rsidRPr="00D03F3E">
        <w:rPr>
          <w:rFonts w:ascii="Times New Roman" w:hAnsi="Times New Roman"/>
          <w:color w:val="000000" w:themeColor="text1"/>
          <w:sz w:val="16"/>
          <w:szCs w:val="16"/>
        </w:rPr>
        <w:t xml:space="preserve"> в 1943 году вечернее сообщение Совинформбюро:</w:t>
      </w:r>
    </w:p>
    <w:p w14:paraId="7F7252D7"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5 апреля на фронтах существенных изменений не произошло.</w:t>
      </w:r>
    </w:p>
    <w:p w14:paraId="5FE10873"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апреля частями нашей авиации на различных участках фронта уничтожено или повреждено не менее 20 немецких автомашин с войсками и грузами, подавлен огонь 8артиллерийских и миномётных батарей противника.</w:t>
      </w:r>
    </w:p>
    <w:p w14:paraId="570E17D7"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наши войска вели оборонительные бои. Противник с утра возобновил атаки. Немецкие танки и пехота сегодня действовали с двух направлений, пытаясь обойти наши подразделения. Бойцы Н-ской части отбили атаки гитлеровцев, подбили 4 танка и уничтожили свыше роты немецкой пехоты.</w:t>
      </w:r>
    </w:p>
    <w:p w14:paraId="52B57ACE"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укрепляли свои позиции и вели боевую разведку. Огнём пехоты и артиллерии уничтожено до 200 солдат и офицеров противника. Группа наших лётчиков совершила налёт на железнодорожную станцию в тылу противника. Налёт был настолько внезапным, что немецкие зенитчики открыли беспорядочный огонь уже после того, как лётчики сбросили бомбы и уходили от цели. В результате бомбардировки выведены из строя основные сооружения станции и разрушено железнодорожное полотно.</w:t>
      </w:r>
    </w:p>
    <w:p w14:paraId="173519AA"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войска в результате двухдневных ожесточённых боёв, неоднократно переходивших в рукопашные схватки, заняли несколько населённых пунктов. На другом участке наши части вели наступательные бои в сильно заболоченной местности. Советские бойцы ворвались в укреплённую полосу противника и заняли две линии его окопов. Пытаясь восстановить прежнее положение, гитлеровцы бросили в контратаку свыше полка пехоты. Контратака противника отбита с большими для него потерями. На поле боя остались сотни убитых и раненых немцев. Захвачены 4 орудия, 23 пулемёта и другие трофеи. Взяты пленные.</w:t>
      </w:r>
    </w:p>
    <w:p w14:paraId="6B2646A7"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подразделение под командованием старшего лейтенанта Серебрякова ворвалось в расположение противника. Наши бойцы забросали гранатами несколько вражеских дзотов и уничтожили всех находившихся в них гитлеровцев.</w:t>
      </w:r>
    </w:p>
    <w:p w14:paraId="367161D7"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Немецкий карательный отряд 27 марта ворвался в одну деревню Калининскойобласти и начал поджигать дома колхозников. Два партизанских отряда объединёнными силами атаковали немцев. Советские патриоты рассеяли карателей, уничтожив при этом 70 немецких солдат и офицеров. Партизаны захватили одно орудие, 4 пулемёта, миномёт, 14 тысяч патронов и много мин. Группа калининских партизан пустила под откос немецкий эшелон. Разбиты паровоз и 30 вагонов с боеприпасами и военной техникой.</w:t>
      </w:r>
    </w:p>
    <w:p w14:paraId="36C3419C"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взята в плен группа солдат 19 румынской пехотной дивизии. Пленныйсолдат Ион Деметер рассказал: «До февраля месяца 19 румынской дивизией командовал немец — генерал Шмидт. Он был ранен во время налёта русской авиации. Сейчас дивизией командует полковник Вебер — тоже немец. Солдаты его называют «немецкой собакой». Когда русские подошли к станице, в которой мы находились, немцы быстро ушли, а нас оставили в качестве прикрытия. Это вызвало возмущениене только солдат, но и офицеров. Многие солдаты бросили боеприпасы, вооружение и отступили. Некоторые спрятались в домах, дождались прихода русских и сдались в плен».</w:t>
      </w:r>
    </w:p>
    <w:p w14:paraId="7BB8C29A"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время оккупации села Яковлево, Курской области, немецко-фашистские мерзавцы убили 150 мирных жителей, в том числе многих женщин и детей. Колхозницу Анну Булавину, колхозников Василия Подвигина, Андрея Беляева, Гаврила Кобзарева, Михаила Булавина, Ивана Куприянова и других палачи повесили. Фашистские изверги всячески издевались над крестьянами. Немецкие солдаты снимали с колхозников тёплую одежду и валенки и раздетых и босых крестьян заставляли работать на морозе. Отступая из села, гитлеровцы разрушили и сожгли колхозную мельницу, маслобойку и другие постройки, а также 30 домов колхозников.» (15090).</w:t>
      </w:r>
    </w:p>
    <w:p w14:paraId="7A0E9257" w14:textId="77777777" w:rsidR="00B54894" w:rsidRPr="00D03F3E" w:rsidRDefault="00B54894" w:rsidP="00D03F3E">
      <w:pPr>
        <w:spacing w:after="0" w:line="240" w:lineRule="auto"/>
        <w:jc w:val="both"/>
        <w:rPr>
          <w:rFonts w:ascii="Times New Roman" w:hAnsi="Times New Roman"/>
          <w:color w:val="000000" w:themeColor="text1"/>
          <w:sz w:val="16"/>
          <w:szCs w:val="16"/>
        </w:rPr>
      </w:pPr>
    </w:p>
    <w:p w14:paraId="1C11125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апреля 1943 в составе Красной Армии начала действовать французская эскадрилья “Нормандия” (позже “Нормандия-Неман”) (4962).</w:t>
      </w:r>
    </w:p>
    <w:p w14:paraId="55F8408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D087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апреля 1943 состоялось боевое крещение эскадрильи Нормандия (2989). была в составе 1ВА ЗФ (3398,139).</w:t>
      </w:r>
    </w:p>
    <w:p w14:paraId="6DE97C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940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апреля 1943 г. л отдельной авиаэскадрильи Нормандия до</w:t>
      </w:r>
      <w:r w:rsidRPr="00D03F3E">
        <w:rPr>
          <w:rFonts w:ascii="Times New Roman" w:hAnsi="Times New Roman"/>
          <w:color w:val="000000" w:themeColor="text1"/>
          <w:sz w:val="16"/>
          <w:szCs w:val="16"/>
        </w:rPr>
        <w:softHyphen/>
        <w:t>бились первого успеха. Старший лейтенант Прециози и лейтенант Дюран, уничтожившие по “фоккеру” (FW190). Однако стычки с истребителями Люфтваффе на Востоке показали, что победы достаются неде</w:t>
      </w:r>
      <w:r w:rsidRPr="00D03F3E">
        <w:rPr>
          <w:rFonts w:ascii="Times New Roman" w:hAnsi="Times New Roman"/>
          <w:color w:val="000000" w:themeColor="text1"/>
          <w:sz w:val="16"/>
          <w:szCs w:val="16"/>
        </w:rPr>
        <w:softHyphen/>
        <w:t>шево (3956).</w:t>
      </w:r>
    </w:p>
    <w:p w14:paraId="480CEC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E867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апреля 1943 французские летчики приняли свой первый воздушный бой с 10 FW. 190.</w:t>
      </w:r>
    </w:p>
    <w:p w14:paraId="18CEEC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апреля 1943 г. эскадрилья получила еще четыре самолета Як-1 для восполнения потерь. Но на самолетах этого типа ей пришлось летать недолго. В начале июля 1943 г. летчиков известили о перевооружении на истребители Як-9. К 19 июля 1943 г. летчиками Нормандии было сбито 30 немецких самолетов. Потери эскадрильи составили 11 летчиков. К августу эскадрилью развернули в полнокровный авиаполк на новом типе самолета. Оставшиеся 14 машин Як-1 использовались в полку "Нормандия" до ноября для переучивания и тренировки вновь прибывших пилотов.</w:t>
      </w:r>
    </w:p>
    <w:p w14:paraId="55439A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"Нормандия" из всех иностранных авиационных частей отличалась наибольшей активностью в боевых действиях. На Як-1 в ней выделялся Альбер Дюран, сбивший лично два и в группе один самолет противника. За ним следовал Марсель Лефевр (Marsel Lefevre), лично сбивший два самолета, и Ноэль Кастелен (Noel Castelain), сбивший лично один самолет и один в группе (12048).</w:t>
      </w:r>
    </w:p>
    <w:p w14:paraId="1D8DD5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32C017" w14:textId="77777777" w:rsidR="00B54894" w:rsidRPr="00D03F3E" w:rsidRDefault="00B54894"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bCs/>
          <w:color w:val="000000" w:themeColor="text1"/>
          <w:sz w:val="16"/>
          <w:szCs w:val="16"/>
        </w:rPr>
        <w:t>5 апреля</w:t>
      </w:r>
      <w:r w:rsidRPr="00D03F3E">
        <w:rPr>
          <w:rFonts w:ascii="Times New Roman" w:hAnsi="Times New Roman"/>
          <w:color w:val="000000" w:themeColor="text1"/>
          <w:sz w:val="16"/>
          <w:szCs w:val="16"/>
        </w:rPr>
        <w:t xml:space="preserve"> в 1943 году в составе 303-й истребительной авиационной дивизии 1-й Воздушной армии Западного фронта начала свой боевой путь французская добровольческая эскадрилья «Нормандия», действовавшая на советско-германском фронте против фашистcкой Германии в 1943-1945 годах. Первоначально эскадрилья насчитывала 14 летчиков и 58 авиационных техников. Первым ее командиром был известный французский пилот Жан Луи Тюлян, еще до прибытия в Союз сбивший шесть самолетов противника (погиб в бою летом 1943 года). В начале июля 1943 года на базе французской эскадрильи «Нормандия» был сформирован 1-й отдельный истребительный авиационный полк «Нормандия», состоявший уже из четырех эскадрилий: «Руан», «Гавр», «Шербур» и «Кан». За доблестное участие в освобождении Белоруссии получил наименование "Неманский" - так родилось двойное имя "Нормандия-Неман". Полк участвовал в сражении на Курской дуге, освобождении Орла, Брянска, Смоленска, Белоруссии, Литвы. Зимой 1945 года летчики "Нормандии" приняли участие в напряженных боях за Кенигсберг. За период пребывания на советско-германском фронте полк "Нормандия-Неман" совершил более пяти тысяч боевых вылетов, провел свыше 800 воздушных боев. Французские летчики сбили около 300 фашистских самолетов, уничтожили значительное количество боевой техники противника. За совершенные подвиги советское правительство наградило полк орденами Красного Знамени и Александра Невского, а французское - Почетного легиона, Крестом войны с шестью пальмами, Крестом освобождения и Военной медалью. Многих советских орденов и медалей удостоились 83 французских летчика, четверо из них стали Героями Советского Союза.</w:t>
      </w:r>
    </w:p>
    <w:p w14:paraId="67001BED" w14:textId="77777777" w:rsidR="00B54894" w:rsidRPr="00D03F3E" w:rsidRDefault="00B5489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1945 года полк на своих боевых машинах, подаренных им советским правительством, взлетел с аэродрома Эльбинг и взял курс на Париж... Один из самолетов Як-3, на которых воевали летчики "Нормандии", в настоящее время хранится в Национальном Музее Авиации в Ле Бурже (15090).</w:t>
      </w:r>
    </w:p>
    <w:p w14:paraId="0A3C50AE" w14:textId="77777777" w:rsidR="00B54894" w:rsidRPr="00D03F3E" w:rsidRDefault="00B54894" w:rsidP="00D03F3E">
      <w:pPr>
        <w:spacing w:after="0" w:line="240" w:lineRule="auto"/>
        <w:jc w:val="both"/>
        <w:rPr>
          <w:rFonts w:ascii="Times New Roman" w:hAnsi="Times New Roman"/>
          <w:color w:val="000000" w:themeColor="text1"/>
          <w:sz w:val="16"/>
          <w:szCs w:val="16"/>
        </w:rPr>
      </w:pPr>
    </w:p>
    <w:p w14:paraId="46EFE7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апреля 1943 вышло Постановление ГКО № 3120 О заместителе наркома обороны по кадрам и начальнике Главного управления кадров НКО.РГАНИР, Фонд ГКО, д. 100, лл. 158 (11012).</w:t>
      </w:r>
    </w:p>
    <w:p w14:paraId="7C8453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770D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апреля 1943 вышло Постановление ГКО № 3123 О Трофейном комитете при Государственном Комитете Обороны.РГАНИР, Фонд ГКО, д. 100, лл. 161 (11012).</w:t>
      </w:r>
    </w:p>
    <w:p w14:paraId="213AD9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ТРОФЕЙНОМ КОМИТЕТЕ ПРИ ГОСУДАРСТВЕННОМ КОМИТЕТЕ ОБОРОНЫ</w:t>
      </w:r>
    </w:p>
    <w:p w14:paraId="69BF59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 Кремль</w:t>
      </w:r>
    </w:p>
    <w:p w14:paraId="6CD9BF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Государственный комитет Обороны постановляет:</w:t>
      </w:r>
    </w:p>
    <w:p w14:paraId="7885DB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Создать Трофейный комитет при Государственном Комитете Обороны с задачами сбора и вывоза всего трофейного имущества и вооружения, в том числе лома черных и цветных металлов, сортировки и разработки плана использования этого имущества.</w:t>
      </w:r>
    </w:p>
    <w:p w14:paraId="4242DC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Трофейные комиссии тт. Буденного и Шверника ликвидировать с передачей их аппаратов Трофейному комитету.</w:t>
      </w:r>
    </w:p>
    <w:p w14:paraId="1A14BE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Трофейное управление изъять из состава Управления тыла НКО и передать Трофейному комитету.</w:t>
      </w:r>
    </w:p>
    <w:p w14:paraId="28EAAE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При Трофейном комитете иметь Музей трофейного вооружения и техники для широкого демонстрирования.</w:t>
      </w:r>
    </w:p>
    <w:p w14:paraId="4E230D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Утвердить Трофейный комитет в следующем составе: тт. Ворошилов (председатель), Шверник, Хрулев, Яковлев, Коробков.</w:t>
      </w:r>
    </w:p>
    <w:p w14:paraId="31CB86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Государственного Комитета Обороны</w:t>
      </w:r>
    </w:p>
    <w:p w14:paraId="680249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СТАЛИН</w:t>
      </w:r>
    </w:p>
    <w:p w14:paraId="3AC951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РГАСПИ. Ф. 644. Оп. 1. Д. 100. Л. 161 (12013).</w:t>
      </w:r>
    </w:p>
    <w:p w14:paraId="584355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9744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апреля 1943 вышло Постановление ГКО № 3124 [О мерах по продовольственному снабжению и лечению военнопленных.] (7092, 162,163-168).</w:t>
      </w:r>
    </w:p>
    <w:p w14:paraId="792DCF3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7400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5 апреля 1943 вышло Постановление ГКО № 3125 О тов. Лесь Н.С.РГАНИР, Фонд ГКО, д. 100, лл. 169 (11012).</w:t>
      </w:r>
    </w:p>
    <w:p w14:paraId="164A92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D8FA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апреля 1943 вышло Постановление ГКО № 3126 О т.т. Кузьмине П.В., Кальченко Н.Т., Грушевом К.С. и Цветаеве Н.Н.РГАНИР, Фонд ГКО, д. 100, лл. 170 (11012).</w:t>
      </w:r>
    </w:p>
    <w:p w14:paraId="3003D1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87B8F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7AD0BE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210AC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апреля 1943 у берегов Бразилии рыбаками был подобран английский моряк Пун Лим, находившийся в океане на плоту рекордное время - 133 дня (4962).</w:t>
      </w:r>
    </w:p>
    <w:p w14:paraId="4FA8464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9D93B3"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апреля</w:t>
      </w:r>
      <w:r w:rsidRPr="00D03F3E">
        <w:rPr>
          <w:rFonts w:ascii="Times New Roman" w:hAnsi="Times New Roman"/>
          <w:color w:val="000000" w:themeColor="text1"/>
          <w:sz w:val="16"/>
          <w:szCs w:val="16"/>
        </w:rPr>
        <w:t xml:space="preserve"> в 1943 году авиационный налет американских ВВС на Антверпен (15090).</w:t>
      </w:r>
    </w:p>
    <w:p w14:paraId="0937F573" w14:textId="77777777" w:rsidR="00C01EAA" w:rsidRPr="00D03F3E" w:rsidRDefault="00C01EAA" w:rsidP="00D03F3E">
      <w:pPr>
        <w:spacing w:after="0" w:line="240" w:lineRule="auto"/>
        <w:jc w:val="both"/>
        <w:rPr>
          <w:rFonts w:ascii="Times New Roman" w:hAnsi="Times New Roman"/>
          <w:color w:val="000000" w:themeColor="text1"/>
          <w:sz w:val="16"/>
          <w:szCs w:val="16"/>
        </w:rPr>
      </w:pPr>
    </w:p>
    <w:p w14:paraId="42CFF1D4"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апреля</w:t>
      </w:r>
      <w:r w:rsidRPr="00D03F3E">
        <w:rPr>
          <w:rFonts w:ascii="Times New Roman" w:hAnsi="Times New Roman"/>
          <w:color w:val="000000" w:themeColor="text1"/>
          <w:sz w:val="16"/>
          <w:szCs w:val="16"/>
        </w:rPr>
        <w:t xml:space="preserve"> в 1943 году в США на английском языке вышел «Маленький принц» Сент-Экзюпери (Antuan de Sent Exupery), написанный им в 1942 году (15090).</w:t>
      </w:r>
    </w:p>
    <w:p w14:paraId="3E7D1C92" w14:textId="77777777" w:rsidR="00C01EAA" w:rsidRPr="00D03F3E" w:rsidRDefault="00C01EAA" w:rsidP="00D03F3E">
      <w:pPr>
        <w:spacing w:after="0" w:line="240" w:lineRule="auto"/>
        <w:jc w:val="both"/>
        <w:rPr>
          <w:rFonts w:ascii="Times New Roman" w:hAnsi="Times New Roman"/>
          <w:color w:val="000000" w:themeColor="text1"/>
          <w:sz w:val="16"/>
          <w:szCs w:val="16"/>
        </w:rPr>
      </w:pPr>
    </w:p>
    <w:p w14:paraId="60BDDC9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EC549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9345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1943 И.В.С. и А.И.Ш. писали И.В.С. письмо N 1700:</w:t>
      </w:r>
    </w:p>
    <w:p w14:paraId="29DE9A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"Посылаем Вам проект постановления ГКО "О выпуске самолетов Ил-2 с пушками 37 мм"</w:t>
      </w:r>
    </w:p>
    <w:p w14:paraId="5BCF11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 согласован с Устиновым НКВ, Хруничевым НКГБ, Никитиным ВВС и др. заинтересованными наркоматами.</w:t>
      </w:r>
    </w:p>
    <w:p w14:paraId="31EC21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Резолюция: Утвержден решением ГОКО N 3144сс от 8 апреля 1943. Вариант по заводу 30. Подписал Фирсанов</w:t>
      </w:r>
    </w:p>
    <w:p w14:paraId="4ABF8F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ГКО:</w:t>
      </w:r>
    </w:p>
    <w:p w14:paraId="31E002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вооружении самолетов Ил-2 пушками калибра 37 мм"</w:t>
      </w:r>
    </w:p>
    <w:p w14:paraId="79C8D5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ГКО постановляет:</w:t>
      </w:r>
    </w:p>
    <w:p w14:paraId="28B83B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НКАП А.И.Ш. и директора завода 30 Шапиро выпускать на заводе 30 самолеты Ил-2 по чертежам ГК С.В.И. с 2 пушками 37 мм системы ОКБ-16, с запасом снарядов на каждую 50 шт., без балок для РС в следующие сроки: в мае - 50, в июне - 125, в июле - 175 и с августа перейти полностью.</w:t>
      </w:r>
    </w:p>
    <w:p w14:paraId="3ECBEE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Постановление ГКО N 3099сс от 31 марта 1943 об установке ВЯ вместо ШВАК на самолетах Ил-2 в отношении 30 завода отменить</w:t>
      </w:r>
    </w:p>
    <w:p w14:paraId="3083F0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Постановление ГКО N 2841сс от 7 февраля 1943 о выпуске самолетов Ил-2 в варианте корректировщика в отношении завода 30 отменить.</w:t>
      </w:r>
    </w:p>
    <w:p w14:paraId="50A597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Программу завода 30 по выпуску Ил-2 в варианте корректировщика передать для выполнения заводу 1 (1689,65).</w:t>
      </w:r>
    </w:p>
    <w:p w14:paraId="7BBB97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A7B2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1943 вышел приказ ВВС и НКАП N 059/192с "О назначении комиссии для рассмотрения выявленных дефектов самолета Ил2- и установки порядка их устранения":</w:t>
      </w:r>
    </w:p>
    <w:p w14:paraId="4A8AB4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рассмотрения материалов 1-й Тех. конференции при 1-й ЗАБ, состоявшейся 15-17 марта с.г. в г. Куйбышев по самолету Ил-2, установления сроков устранения дефектов, отмечаемых конференцией в серийном производстве и в частях ВВС назначаем комиссию.</w:t>
      </w:r>
    </w:p>
    <w:p w14:paraId="464076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Комиссии начать работу 7 апреля 1943 и закончить 12 апреля 1943 с перечнем дефектов и сроками их устранения на заводах серийного производства самолетов Ил-2 и в частях ВВС. Подписали Репин и Дементьев (1703,12).</w:t>
      </w:r>
    </w:p>
    <w:p w14:paraId="31FEC5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DFC0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1943 вышло Постановление ГКО № 3137 О прицелах для самолетов Ил-2 и Пе-2РГАНИР, Фонд ГКО, д. 102, лл. 20 (11012).</w:t>
      </w:r>
    </w:p>
    <w:p w14:paraId="43DC03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7FCD3F" w14:textId="77777777" w:rsidR="00BB62B0" w:rsidRPr="00D03F3E" w:rsidRDefault="00BB62B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1943 вышло Постановление ГКО № 3137 О прицелах для самолетов Ил-2 и Пе-2</w:t>
      </w:r>
    </w:p>
    <w:p w14:paraId="43F1D21D" w14:textId="77777777" w:rsidR="00BB62B0" w:rsidRPr="00D03F3E" w:rsidRDefault="00BB62B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Государственный Комитет Обороны постановляет:</w:t>
      </w:r>
    </w:p>
    <w:p w14:paraId="2F166F6A" w14:textId="77777777" w:rsidR="00BB62B0" w:rsidRPr="00D03F3E" w:rsidRDefault="00BB62B0" w:rsidP="00D03F3E">
      <w:pPr>
        <w:tabs>
          <w:tab w:val="left" w:pos="129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Принять к сведению сообщение командующего ВВС КА - т.Новикова о том, что прицельный прибор ВМШ-2 для самолета Ил-2 и прицел ПБЛ-1 для самолета Пе-2 успешно выдержали по</w:t>
      </w:r>
      <w:r w:rsidRPr="00D03F3E">
        <w:rPr>
          <w:rFonts w:ascii="Times New Roman" w:hAnsi="Times New Roman"/>
          <w:color w:val="000000" w:themeColor="text1"/>
          <w:sz w:val="16"/>
          <w:szCs w:val="16"/>
        </w:rPr>
        <w:softHyphen/>
        <w:t>лигонные испытания и что установка их на самолеты значи</w:t>
      </w:r>
      <w:r w:rsidRPr="00D03F3E">
        <w:rPr>
          <w:rFonts w:ascii="Times New Roman" w:hAnsi="Times New Roman"/>
          <w:color w:val="000000" w:themeColor="text1"/>
          <w:sz w:val="16"/>
          <w:szCs w:val="16"/>
        </w:rPr>
        <w:softHyphen/>
        <w:t>тельно повышает меткость бомбометания.</w:t>
      </w:r>
    </w:p>
    <w:p w14:paraId="0ABCF6EC" w14:textId="77777777" w:rsidR="00BB62B0" w:rsidRPr="00D03F3E" w:rsidRDefault="00BB62B0" w:rsidP="00D03F3E">
      <w:pPr>
        <w:tabs>
          <w:tab w:val="left" w:pos="128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Обязать Наркомавиапром - т.Шахурнна:</w:t>
      </w:r>
    </w:p>
    <w:p w14:paraId="0E59852B" w14:textId="77777777" w:rsidR="00BB62B0" w:rsidRPr="00D03F3E" w:rsidRDefault="00BB62B0" w:rsidP="00D03F3E">
      <w:pPr>
        <w:tabs>
          <w:tab w:val="left" w:pos="130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оборудовать в апреле с.г. прицельными приборами ВМШ-2 </w:t>
      </w:r>
      <w:r w:rsidRPr="00D03F3E">
        <w:rPr>
          <w:rStyle w:val="0pt"/>
          <w:rFonts w:ascii="Times New Roman" w:hAnsi="Times New Roman" w:cs="Times New Roman"/>
          <w:color w:val="000000" w:themeColor="text1"/>
          <w:spacing w:val="0"/>
          <w:sz w:val="16"/>
          <w:szCs w:val="16"/>
        </w:rPr>
        <w:t>10%</w:t>
      </w:r>
      <w:r w:rsidRPr="00D03F3E">
        <w:rPr>
          <w:rFonts w:ascii="Times New Roman" w:hAnsi="Times New Roman"/>
          <w:color w:val="000000" w:themeColor="text1"/>
          <w:sz w:val="16"/>
          <w:szCs w:val="16"/>
        </w:rPr>
        <w:t xml:space="preserve"> выпускаемых самолетов Ил-2, в мае с.г. - </w:t>
      </w:r>
      <w:r w:rsidRPr="00D03F3E">
        <w:rPr>
          <w:rStyle w:val="0pt"/>
          <w:rFonts w:ascii="Times New Roman" w:hAnsi="Times New Roman" w:cs="Times New Roman"/>
          <w:color w:val="000000" w:themeColor="text1"/>
          <w:spacing w:val="0"/>
          <w:sz w:val="16"/>
          <w:szCs w:val="16"/>
        </w:rPr>
        <w:t xml:space="preserve">50%, в </w:t>
      </w:r>
      <w:r w:rsidRPr="00D03F3E">
        <w:rPr>
          <w:rFonts w:ascii="Times New Roman" w:hAnsi="Times New Roman"/>
          <w:color w:val="000000" w:themeColor="text1"/>
          <w:sz w:val="16"/>
          <w:szCs w:val="16"/>
        </w:rPr>
        <w:t xml:space="preserve">июне - </w:t>
      </w:r>
      <w:r w:rsidRPr="00D03F3E">
        <w:rPr>
          <w:rStyle w:val="0pt"/>
          <w:rFonts w:ascii="Times New Roman" w:hAnsi="Times New Roman" w:cs="Times New Roman"/>
          <w:color w:val="000000" w:themeColor="text1"/>
          <w:spacing w:val="0"/>
          <w:sz w:val="16"/>
          <w:szCs w:val="16"/>
        </w:rPr>
        <w:t>75%</w:t>
      </w:r>
      <w:r w:rsidRPr="00D03F3E">
        <w:rPr>
          <w:rFonts w:ascii="Times New Roman" w:hAnsi="Times New Roman"/>
          <w:color w:val="000000" w:themeColor="text1"/>
          <w:sz w:val="16"/>
          <w:szCs w:val="16"/>
        </w:rPr>
        <w:t xml:space="preserve"> и с июля выпускать все самолеты </w:t>
      </w:r>
      <w:r w:rsidRPr="00D03F3E">
        <w:rPr>
          <w:rStyle w:val="0pt"/>
          <w:rFonts w:ascii="Times New Roman" w:hAnsi="Times New Roman" w:cs="Times New Roman"/>
          <w:color w:val="000000" w:themeColor="text1"/>
          <w:spacing w:val="0"/>
          <w:sz w:val="16"/>
          <w:szCs w:val="16"/>
        </w:rPr>
        <w:t>Ил-2,</w:t>
      </w:r>
      <w:r w:rsidRPr="00D03F3E">
        <w:rPr>
          <w:rFonts w:ascii="Times New Roman" w:hAnsi="Times New Roman"/>
          <w:color w:val="000000" w:themeColor="text1"/>
          <w:sz w:val="16"/>
          <w:szCs w:val="16"/>
        </w:rPr>
        <w:t xml:space="preserve"> оборудо</w:t>
      </w:r>
      <w:r w:rsidRPr="00D03F3E">
        <w:rPr>
          <w:rFonts w:ascii="Times New Roman" w:hAnsi="Times New Roman"/>
          <w:color w:val="000000" w:themeColor="text1"/>
          <w:sz w:val="16"/>
          <w:szCs w:val="16"/>
        </w:rPr>
        <w:softHyphen/>
        <w:t>ванные прибором ВМШ-2;</w:t>
      </w:r>
    </w:p>
    <w:p w14:paraId="1B567666" w14:textId="77777777" w:rsidR="00BB62B0" w:rsidRPr="00D03F3E" w:rsidRDefault="00BB62B0" w:rsidP="00D03F3E">
      <w:pPr>
        <w:tabs>
          <w:tab w:val="left" w:pos="130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оборудовать в апреле с.г. прицелами ПБЛ-1</w:t>
      </w:r>
      <w:r w:rsidRPr="00D03F3E">
        <w:rPr>
          <w:rStyle w:val="11pt0pt"/>
          <w:rFonts w:ascii="Times New Roman" w:hAnsi="Times New Roman" w:cs="Times New Roman"/>
          <w:color w:val="000000" w:themeColor="text1"/>
          <w:spacing w:val="0"/>
          <w:sz w:val="16"/>
          <w:szCs w:val="16"/>
        </w:rPr>
        <w:t xml:space="preserve"> 30%</w:t>
      </w:r>
      <w:r w:rsidRPr="00D03F3E">
        <w:rPr>
          <w:rFonts w:ascii="Times New Roman" w:hAnsi="Times New Roman"/>
          <w:color w:val="000000" w:themeColor="text1"/>
          <w:sz w:val="16"/>
          <w:szCs w:val="16"/>
        </w:rPr>
        <w:t xml:space="preserve"> выпу</w:t>
      </w:r>
      <w:r w:rsidRPr="00D03F3E">
        <w:rPr>
          <w:rFonts w:ascii="Times New Roman" w:hAnsi="Times New Roman"/>
          <w:color w:val="000000" w:themeColor="text1"/>
          <w:sz w:val="16"/>
          <w:szCs w:val="16"/>
        </w:rPr>
        <w:softHyphen/>
        <w:t>скаемых самолетов Пе-2 и с мая с.г. выпускать все самолеты Пе-2 с прицелом ПБЛ-1.</w:t>
      </w:r>
    </w:p>
    <w:p w14:paraId="5F08EE3C" w14:textId="77777777" w:rsidR="00BB62B0" w:rsidRPr="00D03F3E" w:rsidRDefault="00BB62B0" w:rsidP="00D03F3E">
      <w:pPr>
        <w:tabs>
          <w:tab w:val="left" w:pos="1298"/>
        </w:tabs>
        <w:spacing w:after="0" w:line="240" w:lineRule="auto"/>
        <w:jc w:val="both"/>
        <w:rPr>
          <w:rStyle w:val="0pt"/>
          <w:rFonts w:ascii="Times New Roman" w:hAnsi="Times New Roman" w:cs="Times New Roman"/>
          <w:color w:val="000000" w:themeColor="text1"/>
          <w:spacing w:val="0"/>
          <w:sz w:val="16"/>
          <w:szCs w:val="16"/>
        </w:rPr>
      </w:pPr>
      <w:r w:rsidRPr="00D03F3E">
        <w:rPr>
          <w:rFonts w:ascii="Times New Roman" w:hAnsi="Times New Roman"/>
          <w:color w:val="000000" w:themeColor="text1"/>
          <w:sz w:val="16"/>
          <w:szCs w:val="16"/>
        </w:rPr>
        <w:t xml:space="preserve">3. Обязать Наркомвооружения - т.Устинова организовать на заводах </w:t>
      </w:r>
      <w:r w:rsidRPr="00D03F3E">
        <w:rPr>
          <w:rStyle w:val="0pt"/>
          <w:rFonts w:ascii="Times New Roman" w:hAnsi="Times New Roman" w:cs="Times New Roman"/>
          <w:color w:val="000000" w:themeColor="text1"/>
          <w:spacing w:val="0"/>
          <w:sz w:val="16"/>
          <w:szCs w:val="16"/>
        </w:rPr>
        <w:t>589, 237 и 355</w:t>
      </w:r>
      <w:r w:rsidRPr="00D03F3E">
        <w:rPr>
          <w:rFonts w:ascii="Times New Roman" w:hAnsi="Times New Roman"/>
          <w:color w:val="000000" w:themeColor="text1"/>
          <w:sz w:val="16"/>
          <w:szCs w:val="16"/>
        </w:rPr>
        <w:t xml:space="preserve"> производство прицельных прибо</w:t>
      </w:r>
      <w:r w:rsidRPr="00D03F3E">
        <w:rPr>
          <w:rFonts w:ascii="Times New Roman" w:hAnsi="Times New Roman"/>
          <w:color w:val="000000" w:themeColor="text1"/>
          <w:sz w:val="16"/>
          <w:szCs w:val="16"/>
        </w:rPr>
        <w:softHyphen/>
        <w:t xml:space="preserve">ров ВМШ-2 и прицела ПБЛ-1 с выпуском: в апреле с.г. - </w:t>
      </w:r>
      <w:r w:rsidRPr="00D03F3E">
        <w:rPr>
          <w:rStyle w:val="0pt"/>
          <w:rFonts w:ascii="Times New Roman" w:hAnsi="Times New Roman" w:cs="Times New Roman"/>
          <w:color w:val="000000" w:themeColor="text1"/>
          <w:spacing w:val="0"/>
          <w:sz w:val="16"/>
          <w:szCs w:val="16"/>
        </w:rPr>
        <w:t xml:space="preserve">500 </w:t>
      </w:r>
      <w:r w:rsidRPr="00D03F3E">
        <w:rPr>
          <w:rFonts w:ascii="Times New Roman" w:hAnsi="Times New Roman"/>
          <w:color w:val="000000" w:themeColor="text1"/>
          <w:sz w:val="16"/>
          <w:szCs w:val="16"/>
        </w:rPr>
        <w:t>штук ВМШ-2</w:t>
      </w:r>
      <w:r w:rsidRPr="00D03F3E">
        <w:rPr>
          <w:rStyle w:val="MicrosoftSansSerif85pt0pt"/>
          <w:rFonts w:ascii="Times New Roman" w:hAnsi="Times New Roman" w:cs="Times New Roman"/>
          <w:color w:val="000000" w:themeColor="text1"/>
          <w:spacing w:val="0"/>
          <w:sz w:val="16"/>
          <w:szCs w:val="16"/>
        </w:rPr>
        <w:t xml:space="preserve"> и</w:t>
      </w:r>
      <w:r w:rsidRPr="00D03F3E">
        <w:rPr>
          <w:rFonts w:ascii="Times New Roman" w:hAnsi="Times New Roman"/>
          <w:color w:val="000000" w:themeColor="text1"/>
          <w:sz w:val="16"/>
          <w:szCs w:val="16"/>
        </w:rPr>
        <w:t xml:space="preserve"> </w:t>
      </w:r>
      <w:r w:rsidRPr="00D03F3E">
        <w:rPr>
          <w:rStyle w:val="0pt"/>
          <w:rFonts w:ascii="Times New Roman" w:hAnsi="Times New Roman" w:cs="Times New Roman"/>
          <w:color w:val="000000" w:themeColor="text1"/>
          <w:spacing w:val="0"/>
          <w:sz w:val="16"/>
          <w:szCs w:val="16"/>
        </w:rPr>
        <w:t>200</w:t>
      </w:r>
      <w:r w:rsidRPr="00D03F3E">
        <w:rPr>
          <w:rFonts w:ascii="Times New Roman" w:hAnsi="Times New Roman"/>
          <w:color w:val="000000" w:themeColor="text1"/>
          <w:sz w:val="16"/>
          <w:szCs w:val="16"/>
        </w:rPr>
        <w:t xml:space="preserve"> штук ПБЛ-1, в мае с.г. 1000</w:t>
      </w:r>
      <w:r w:rsidRPr="00D03F3E">
        <w:rPr>
          <w:rStyle w:val="MicrosoftSansSerif85pt0pt"/>
          <w:rFonts w:ascii="Times New Roman" w:hAnsi="Times New Roman" w:cs="Times New Roman"/>
          <w:color w:val="000000" w:themeColor="text1"/>
          <w:spacing w:val="0"/>
          <w:sz w:val="16"/>
          <w:szCs w:val="16"/>
        </w:rPr>
        <w:t xml:space="preserve"> штук</w:t>
      </w:r>
      <w:r w:rsidRPr="00D03F3E">
        <w:rPr>
          <w:rFonts w:ascii="Times New Roman" w:hAnsi="Times New Roman"/>
          <w:color w:val="000000" w:themeColor="text1"/>
          <w:sz w:val="16"/>
          <w:szCs w:val="16"/>
        </w:rPr>
        <w:t xml:space="preserve"> ВМШ-2</w:t>
      </w:r>
      <w:r w:rsidRPr="00D03F3E">
        <w:rPr>
          <w:rStyle w:val="MicrosoftSansSerif85pt0pt"/>
          <w:rFonts w:ascii="Times New Roman" w:hAnsi="Times New Roman" w:cs="Times New Roman"/>
          <w:color w:val="000000" w:themeColor="text1"/>
          <w:spacing w:val="0"/>
          <w:sz w:val="16"/>
          <w:szCs w:val="16"/>
        </w:rPr>
        <w:t xml:space="preserve"> и </w:t>
      </w:r>
      <w:r w:rsidRPr="00D03F3E">
        <w:rPr>
          <w:rStyle w:val="0pt"/>
          <w:rFonts w:ascii="Times New Roman" w:hAnsi="Times New Roman" w:cs="Times New Roman"/>
          <w:color w:val="000000" w:themeColor="text1"/>
          <w:spacing w:val="0"/>
          <w:sz w:val="16"/>
          <w:szCs w:val="16"/>
        </w:rPr>
        <w:t>350</w:t>
      </w:r>
      <w:r w:rsidRPr="00D03F3E">
        <w:rPr>
          <w:rFonts w:ascii="Times New Roman" w:hAnsi="Times New Roman"/>
          <w:color w:val="000000" w:themeColor="text1"/>
          <w:sz w:val="16"/>
          <w:szCs w:val="16"/>
        </w:rPr>
        <w:t xml:space="preserve"> штук ПБЛ-1 и с июня с.г. обеспечить выпуск ВМШ-2 и ПБЛ-1 в количествах, необходимых Наркомавиапрому для обору</w:t>
      </w:r>
      <w:r w:rsidRPr="00D03F3E">
        <w:rPr>
          <w:rFonts w:ascii="Times New Roman" w:hAnsi="Times New Roman"/>
          <w:color w:val="000000" w:themeColor="text1"/>
          <w:sz w:val="16"/>
          <w:szCs w:val="16"/>
        </w:rPr>
        <w:softHyphen/>
        <w:t xml:space="preserve">дования ими всего выпуска самолетов Ил-2 и </w:t>
      </w:r>
      <w:r w:rsidRPr="00D03F3E">
        <w:rPr>
          <w:rStyle w:val="0pt"/>
          <w:rFonts w:ascii="Times New Roman" w:hAnsi="Times New Roman" w:cs="Times New Roman"/>
          <w:color w:val="000000" w:themeColor="text1"/>
          <w:spacing w:val="0"/>
          <w:sz w:val="16"/>
          <w:szCs w:val="16"/>
        </w:rPr>
        <w:t>Пе-2.</w:t>
      </w:r>
    </w:p>
    <w:p w14:paraId="74A86310" w14:textId="77777777" w:rsidR="00BB62B0" w:rsidRPr="00D03F3E" w:rsidRDefault="00BB62B0" w:rsidP="00D03F3E">
      <w:pPr>
        <w:tabs>
          <w:tab w:val="left" w:pos="129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Обязать Наркомбоеприпасов - т.Ванникова поставлять Наркомвооружения по его техническим условиям по 1200 часовых механизмов трубки взрывателя ТМ-24 ежемесячно начиная с апреля с.г.</w:t>
      </w:r>
    </w:p>
    <w:p w14:paraId="7AED52E5" w14:textId="77777777" w:rsidR="00BB62B0" w:rsidRPr="00D03F3E" w:rsidRDefault="00BB62B0" w:rsidP="00D03F3E">
      <w:pPr>
        <w:tabs>
          <w:tab w:val="left" w:pos="130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Наркомвнешторгу выделить иг импортных поступлений заводам 58</w:t>
      </w:r>
      <w:r w:rsidRPr="00D03F3E">
        <w:rPr>
          <w:rStyle w:val="0pt"/>
          <w:rFonts w:ascii="Times New Roman" w:hAnsi="Times New Roman" w:cs="Times New Roman"/>
          <w:color w:val="000000" w:themeColor="text1"/>
          <w:spacing w:val="0"/>
          <w:sz w:val="16"/>
          <w:szCs w:val="16"/>
        </w:rPr>
        <w:t>9, 237 и 355</w:t>
      </w:r>
      <w:r w:rsidRPr="00D03F3E">
        <w:rPr>
          <w:rFonts w:ascii="Times New Roman" w:hAnsi="Times New Roman"/>
          <w:color w:val="000000" w:themeColor="text1"/>
          <w:sz w:val="16"/>
          <w:szCs w:val="16"/>
        </w:rPr>
        <w:t xml:space="preserve"> НКВ на 150 тыс.рублей мерительного и режущего инетрумента (19394).</w:t>
      </w:r>
    </w:p>
    <w:p w14:paraId="7D922595" w14:textId="77777777" w:rsidR="00BB62B0" w:rsidRPr="00D03F3E" w:rsidRDefault="00BB62B0"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B8B1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6 апреля 1943 </w:t>
      </w:r>
      <w:r w:rsidR="00BB62B0" w:rsidRPr="00D03F3E">
        <w:rPr>
          <w:rFonts w:ascii="Times New Roman" w:hAnsi="Times New Roman"/>
          <w:color w:val="000000" w:themeColor="text1"/>
          <w:sz w:val="16"/>
          <w:szCs w:val="16"/>
        </w:rPr>
        <w:t xml:space="preserve">ГКО постановлением </w:t>
      </w:r>
      <w:r w:rsidRPr="00D03F3E">
        <w:rPr>
          <w:rFonts w:ascii="Times New Roman" w:hAnsi="Times New Roman"/>
          <w:color w:val="000000" w:themeColor="text1"/>
          <w:sz w:val="16"/>
          <w:szCs w:val="16"/>
        </w:rPr>
        <w:t>N 3137 принял к сведению сообщение командующего ВВС Новикова о том, что прицельный прибор ВМШ-2 для самолета Ил-2 и ПБЛ-1 для самолета Пе-2 успешно выдержали полигонные испытания и что установка их на самолеты значительно повышает меткость бомбометания (1703,68).</w:t>
      </w:r>
    </w:p>
    <w:p w14:paraId="4A8BC1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8191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1943 года Главный ин</w:t>
      </w:r>
      <w:r w:rsidRPr="00D03F3E">
        <w:rPr>
          <w:rFonts w:ascii="Times New Roman" w:hAnsi="Times New Roman"/>
          <w:color w:val="000000" w:themeColor="text1"/>
          <w:sz w:val="16"/>
          <w:szCs w:val="16"/>
        </w:rPr>
        <w:softHyphen/>
        <w:t>женер ВВС КА генерал-полковник НАС А.К.Репин утвердил Заключе</w:t>
      </w:r>
      <w:r w:rsidRPr="00D03F3E">
        <w:rPr>
          <w:rFonts w:ascii="Times New Roman" w:hAnsi="Times New Roman"/>
          <w:color w:val="000000" w:themeColor="text1"/>
          <w:sz w:val="16"/>
          <w:szCs w:val="16"/>
        </w:rPr>
        <w:softHyphen/>
        <w:t>ние по эскизному проекту самолета Су-6 в варианте ис</w:t>
      </w:r>
      <w:r w:rsidRPr="00D03F3E">
        <w:rPr>
          <w:rFonts w:ascii="Times New Roman" w:hAnsi="Times New Roman"/>
          <w:color w:val="000000" w:themeColor="text1"/>
          <w:sz w:val="16"/>
          <w:szCs w:val="16"/>
        </w:rPr>
        <w:softHyphen/>
        <w:t>требителя с гермокабиной и двумя турбокомпрессорами ТК-3.</w:t>
      </w:r>
    </w:p>
    <w:p w14:paraId="7BC7736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расчетные данные ис</w:t>
      </w:r>
      <w:r w:rsidRPr="00D03F3E">
        <w:rPr>
          <w:rFonts w:ascii="Times New Roman" w:hAnsi="Times New Roman"/>
          <w:color w:val="000000" w:themeColor="text1"/>
          <w:sz w:val="16"/>
          <w:szCs w:val="16"/>
        </w:rPr>
        <w:softHyphen/>
        <w:t>требителя</w:t>
      </w:r>
    </w:p>
    <w:p w14:paraId="2DA430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самолета, мм ......... 9243</w:t>
      </w:r>
    </w:p>
    <w:p w14:paraId="0EE2D45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Размах крыла, мм ............. 13500</w:t>
      </w:r>
    </w:p>
    <w:p w14:paraId="2EF8C2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крыла,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xml:space="preserve"> .............. 26,0</w:t>
      </w:r>
    </w:p>
    <w:p w14:paraId="183972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Масса самолета, кг</w:t>
      </w:r>
    </w:p>
    <w:p w14:paraId="6EEF07F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пустого............................... 3481</w:t>
      </w:r>
    </w:p>
    <w:p w14:paraId="63107B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нормальная полетная... 4524</w:t>
      </w:r>
    </w:p>
    <w:p w14:paraId="0A6453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км/ч</w:t>
      </w:r>
    </w:p>
    <w:p w14:paraId="45EC67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 земли.................................. 520</w:t>
      </w:r>
    </w:p>
    <w:p w14:paraId="193C1F3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на Н=8300 м....................... 634</w:t>
      </w:r>
    </w:p>
    <w:p w14:paraId="328597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w:t>
      </w:r>
    </w:p>
    <w:p w14:paraId="4A0B6D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Н=8300 м, мин....................... 10,3</w:t>
      </w:r>
    </w:p>
    <w:p w14:paraId="336FB90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w:t>
      </w:r>
    </w:p>
    <w:p w14:paraId="6019B0A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потолок, м........................... 12150</w:t>
      </w:r>
    </w:p>
    <w:p w14:paraId="549C08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полета 0/=0,9Утах), км ................... 1240</w:t>
      </w:r>
    </w:p>
    <w:p w14:paraId="00FC628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разбега, м..................246 (11845).</w:t>
      </w:r>
    </w:p>
    <w:p w14:paraId="6D5C33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3B1A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1943 года начальник 7 гл. управления Шишкин.</w:t>
      </w:r>
    </w:p>
    <w:p w14:paraId="476B27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Справка</w:t>
      </w:r>
    </w:p>
    <w:p w14:paraId="74DA04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заводу N 55 гл. конструктора Костикова.</w:t>
      </w:r>
    </w:p>
    <w:p w14:paraId="6AF7E4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постановлением ГКО от 26 июня 1942 года N ГОКО-2105сс гл. конструктор Костиков обязан спроектировать и построить реактивный самолет-перехватчик с двумя вариантами воздушно-реактивных двигателей по 2 экз. каждого варианта и 1 экз. самолета для статических испытаний.</w:t>
      </w:r>
    </w:p>
    <w:p w14:paraId="4318FC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Сроки предъявления на совместные испытания:</w:t>
      </w:r>
    </w:p>
    <w:p w14:paraId="3099C4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вариант самолета - 15 марта 1943 года</w:t>
      </w:r>
    </w:p>
    <w:p w14:paraId="161B3F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вариант самолета - 15 мая 1943 года.</w:t>
      </w:r>
    </w:p>
    <w:p w14:paraId="2E61AC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Проектирование.</w:t>
      </w:r>
    </w:p>
    <w:p w14:paraId="742D72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Проектирование самолета согласно указанного постановления, закончено с опозданием на два месяца.</w:t>
      </w:r>
    </w:p>
    <w:p w14:paraId="0E918B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Чертежи сданы в производство в период с 5 февраля по 18 марта с.г. Для ускорения чертежи размножались на заводах NN 155 и 156.</w:t>
      </w:r>
    </w:p>
    <w:p w14:paraId="009CEC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Макет изготовлен с производственной помощью завода N 23 и принят макетной комиссией 10 января с.г.</w:t>
      </w:r>
    </w:p>
    <w:p w14:paraId="1F2C58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II. Производство.</w:t>
      </w:r>
    </w:p>
    <w:p w14:paraId="0358BB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постановления ГКО проектирование и строительство самолета надлежало производить на заводе N 156 с организацией на нем ОКБ Костикова с опытным цехом.</w:t>
      </w:r>
    </w:p>
    <w:p w14:paraId="7E152D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просьбе Костикова НКАП, согласно приказа Наркома от 12 августа 1942 г. N 616сс, для проектирования и строительства самолетов-перехватчиков конструкции Костикова, организовал новый опытный завод N 55 на базе Всесоюзного института с/х машиностроения.</w:t>
      </w:r>
    </w:p>
    <w:p w14:paraId="0D8DF0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Параллельно с организацией, ускоренными темпами, нового завода НКАП привлек для кооперации и оказания производственной помощи Костикову в производстве самолетов-перехватчиков ряд авиационных заводов и организаций:</w:t>
      </w:r>
    </w:p>
    <w:p w14:paraId="195D06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N 23 - изготовил к январю с.г. макет самолета и изготовляет 5 комплектов стальных полок лонжеронов и стыковочных узлов центроплана и крыла со сроком сдачи 3-х комплектов к 20 марта с.г. и 2-х комплектов к 5 апреля с.г.</w:t>
      </w:r>
    </w:p>
    <w:p w14:paraId="20D8D8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N 119 - полностью изготовляет 4 комплекта шасси со сроками подачи 2-х комплектов к 10 апреля с.г. и 2-х комплектов к 20 мая с.г.</w:t>
      </w:r>
    </w:p>
    <w:p w14:paraId="3A0038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N 20 - изготовляет 6 комплектов насосных агрегатов со сроками подачи 3-х комплектов к 20 апреля с.г. и 3-х комплектов к 20 мая с.г.</w:t>
      </w:r>
    </w:p>
    <w:p w14:paraId="357B15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N 305 - изготовляет 6 комплектов нормалей с первоочередным сроком подачи заводу N 55.</w:t>
      </w:r>
    </w:p>
    <w:p w14:paraId="4DE6E5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N 30 - изготовляет стальные поковки разных наименований.</w:t>
      </w:r>
    </w:p>
    <w:p w14:paraId="2E0941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ВИАМ - изготовил модели и цветное литье для парогазогенераторов.</w:t>
      </w:r>
    </w:p>
    <w:p w14:paraId="34341E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Мастерские ЦАГИ - изготовляют лопатки для парогазогенераторов.</w:t>
      </w:r>
    </w:p>
    <w:p w14:paraId="4E90A3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Савеловские мастерские производят литье черных металлов.</w:t>
      </w:r>
    </w:p>
    <w:p w14:paraId="1DCA49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 СТРОИТЕЛЬСТВО 3-ДА № 55</w:t>
      </w:r>
    </w:p>
    <w:p w14:paraId="746C38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Закончены строительные работы по переоборудованию и приспособлению механического корпуса с монтажом обору</w:t>
      </w:r>
      <w:r w:rsidRPr="00D03F3E">
        <w:rPr>
          <w:rFonts w:ascii="Times New Roman" w:hAnsi="Times New Roman"/>
          <w:color w:val="000000" w:themeColor="text1"/>
          <w:sz w:val="16"/>
          <w:szCs w:val="16"/>
        </w:rPr>
        <w:softHyphen/>
        <w:t>дования, слесарно-сварочного, деревообделочного и дюралево-заготовительного цехов.</w:t>
      </w:r>
    </w:p>
    <w:p w14:paraId="76B762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остальным цехам, термическому, гальваническому и покрытий выполнены основные работы и остались доделочные работы (устройство полов, перекрытий каналов, окрас</w:t>
      </w:r>
      <w:r w:rsidRPr="00D03F3E">
        <w:rPr>
          <w:rFonts w:ascii="Times New Roman" w:hAnsi="Times New Roman"/>
          <w:color w:val="000000" w:themeColor="text1"/>
          <w:sz w:val="16"/>
          <w:szCs w:val="16"/>
        </w:rPr>
        <w:softHyphen/>
        <w:t>ка), которые могут быть закончены лишь после установки оборудования.</w:t>
      </w:r>
    </w:p>
    <w:p w14:paraId="7440C0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Необходимое оборудование для пуска указанных цехов имеется;- электропечь 900x400, селитровая ванна и ванна для покрытий.</w:t>
      </w:r>
    </w:p>
    <w:p w14:paraId="732FC3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 пуска этих цехов в эксплоатацию завод может поль</w:t>
      </w:r>
      <w:r w:rsidRPr="00D03F3E">
        <w:rPr>
          <w:rFonts w:ascii="Times New Roman" w:hAnsi="Times New Roman"/>
          <w:color w:val="000000" w:themeColor="text1"/>
          <w:sz w:val="16"/>
          <w:szCs w:val="16"/>
        </w:rPr>
        <w:softHyphen/>
        <w:t>зоваться услугами НИИ-3, пасположеиного на общей с заводом территории.</w:t>
      </w:r>
    </w:p>
    <w:p w14:paraId="0A67C95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1У. ОБОРУДОВАНИЕ</w:t>
      </w:r>
    </w:p>
    <w:p w14:paraId="4AA3EB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заводе имеется и смонтировано 65 единиц оборудо</w:t>
      </w:r>
      <w:r w:rsidRPr="00D03F3E">
        <w:rPr>
          <w:rFonts w:ascii="Times New Roman" w:hAnsi="Times New Roman"/>
          <w:color w:val="000000" w:themeColor="text1"/>
          <w:sz w:val="16"/>
          <w:szCs w:val="16"/>
        </w:rPr>
        <w:softHyphen/>
        <w:t>вания в том числе металлорежущего - 36 единиц (из них 25 новых ивпортных станков, полученных в декабре 1942 г.)</w:t>
      </w:r>
    </w:p>
    <w:p w14:paraId="0D97A9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Оборудование подобрано комплектно. До полного уком</w:t>
      </w:r>
      <w:r w:rsidRPr="00D03F3E">
        <w:rPr>
          <w:rFonts w:ascii="Times New Roman" w:hAnsi="Times New Roman"/>
          <w:color w:val="000000" w:themeColor="text1"/>
          <w:sz w:val="16"/>
          <w:szCs w:val="16"/>
        </w:rPr>
        <w:softHyphen/>
        <w:t>плектования завода оборудованием необходимо выделить 15 единиц вспомогательного станочного оборудования: дерево</w:t>
      </w:r>
      <w:r w:rsidRPr="00D03F3E">
        <w:rPr>
          <w:rFonts w:ascii="Times New Roman" w:hAnsi="Times New Roman"/>
          <w:color w:val="000000" w:themeColor="text1"/>
          <w:sz w:val="16"/>
          <w:szCs w:val="16"/>
        </w:rPr>
        <w:softHyphen/>
        <w:t>обрабатывающих станков - б , металлорежущих - 5 и прочих 4 .</w:t>
      </w:r>
    </w:p>
    <w:p w14:paraId="0E4A6B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V. Кадры.</w:t>
      </w:r>
    </w:p>
    <w:p w14:paraId="580D9EB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завод N 55 переведен весь конструкторский состав быв. ОКБ Архангельского, конструкторы с завода N 153 и из других заводов и организаций НКАП.</w:t>
      </w:r>
    </w:p>
    <w:p w14:paraId="1D8FF60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укомплектования завода производственными кад</w:t>
      </w:r>
      <w:r w:rsidRPr="00D03F3E">
        <w:rPr>
          <w:rFonts w:ascii="Times New Roman" w:hAnsi="Times New Roman"/>
          <w:color w:val="000000" w:themeColor="text1"/>
          <w:sz w:val="16"/>
          <w:szCs w:val="16"/>
        </w:rPr>
        <w:softHyphen/>
        <w:t>рами переведены с других авиазаводов на завод № 55 90 человек квалифицированных рабочих и переводятся дополни</w:t>
      </w:r>
      <w:r w:rsidRPr="00D03F3E">
        <w:rPr>
          <w:rFonts w:ascii="Times New Roman" w:hAnsi="Times New Roman"/>
          <w:color w:val="000000" w:themeColor="text1"/>
          <w:sz w:val="16"/>
          <w:szCs w:val="16"/>
        </w:rPr>
        <w:softHyphen/>
        <w:t>тельно согласно приказа Народного Комиссара от 19 марта с.г., 20 чел. квалифицированных рабочих 5-6 разрядов.</w:t>
      </w:r>
    </w:p>
    <w:p w14:paraId="36DD5E6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имеет 120 чел. производственных рабочих от 3 до 7 разрядов. Имеющийся недостаток в фрезеровщиках, удов</w:t>
      </w:r>
      <w:r w:rsidRPr="00D03F3E">
        <w:rPr>
          <w:rFonts w:ascii="Times New Roman" w:hAnsi="Times New Roman"/>
          <w:color w:val="000000" w:themeColor="text1"/>
          <w:sz w:val="16"/>
          <w:szCs w:val="16"/>
        </w:rPr>
        <w:softHyphen/>
        <w:t>летворяется переводом их с заводов №№ 153 и 471 в коли</w:t>
      </w:r>
      <w:r w:rsidRPr="00D03F3E">
        <w:rPr>
          <w:rFonts w:ascii="Times New Roman" w:hAnsi="Times New Roman"/>
          <w:color w:val="000000" w:themeColor="text1"/>
          <w:sz w:val="16"/>
          <w:szCs w:val="16"/>
        </w:rPr>
        <w:softHyphen/>
        <w:t>честве 6 человек. Для ускорения перевода на эти заводы выехал представитель завода № 55.</w:t>
      </w:r>
    </w:p>
    <w:p w14:paraId="657C62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Конструкторами, инженерно-т ехнше скит работниками и проч.категориями завод обеспечен (1458,140).</w:t>
      </w:r>
    </w:p>
    <w:p w14:paraId="6FCF25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D9A3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1943 вышло Постановление ГКО № 3135 О производстве авиационных бензинов во II квартале 1943 года.РГАНИР, Фонд ГКО, д. 102, лл. 3-9, 10-17 (11012).</w:t>
      </w:r>
    </w:p>
    <w:p w14:paraId="5057A9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0803C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1943 вышло Распоряжение ГКО № 3136 [Об увеличении высокооктановых авиабензинов в мобрезерве НКО.] (7093, 18,19).</w:t>
      </w:r>
    </w:p>
    <w:p w14:paraId="2487058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ECB48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5D6BC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FAB3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1943 года вышло Постановление ГКО № 129сс м 12 мая 1943 года вышел приказ НКВ № 245, которыми на площадке завода № 44 НУВ было организовано ОКБ № 44 (ОКБ-44) по разработке новых и совершенствованию существующих образцов патронов стрелкового оружия. Позже ОКБ-44 было переведено на площадку завода № 304 (Кунцево), а в мае 1946 года – на площадку завода № 711 (платформа 48 км). Приказом Министерства вооружения № 195 от 20 июля 1946 года (во исполнение Постановления СМ № 1540-687сс от 10 июля 1946 года) ОКБ-44 реорганизовано в НИИ-44 по боеприпасам стрелково-пулеметного вооружения с приданием ему опытного завода (№ 711). В соответствии с распоряжением СМ № 12924-рс от 15 ноября 1946 года приказом Министерства вооружения № 333 от 21 ноября 1946 года НИИ-44 передан полигон, принадлежавший Климовскому машиностроительному заводу Министерства машиностроения и приборостроения (полигон, находящийся вблизи ст. Львовская Курской ж/д) (10293).</w:t>
      </w:r>
    </w:p>
    <w:p w14:paraId="51CF58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792DE6" w14:textId="77777777" w:rsidR="00E142A8" w:rsidRPr="00D03F3E"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6 апреля 1943 ИС-1 вышел вновь на испытания, пройдя 24,5 км до Копейского полигона. Средняя скорость движения составила 30 км/ч. В ходе испытаний удалось достигнуть максимальной скорости 55 км/ч. Испытания продолжались до 19 апреля, в общей сложности танк прошёл 536 км по шоссе, 390 км по просёлку и 80 км по целине. Замена радиатора явно пошла на пользу: при движении на 8-й передаче и температуре окружающего воздуха +15 °С температура воды достигала 50 °С.</w:t>
      </w:r>
    </w:p>
    <w:p w14:paraId="35E28F32" w14:textId="77777777" w:rsidR="00E142A8" w:rsidRPr="00D03F3E"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Замена подшипников в опорных катках резко улучшила надёжность, но при этом к ходовой части имелись нарекания, на сей раз принципиального характера. Дело в том, что меньшее, чем у КВ-1с, число опорных катков на борт снижало проходимость танка на мягких грунтах. Комиссия дала указание на последующих образцах ИС число опорных катков увеличить. Нарекания имелись к конструкции командирской башенки и установке вооружения. Ещё одной существенной проблемой оказалось то, что воздухозаборники системы охлаждения при езде по бездорожью забрасывались грязью. Это не означало, что ИС ждёт судьба КВ-13, но списка было достаточно, чтобы вносить серьёзные изменения в конструкцию. Между тем на ЧКЗ и заводе № 200 уже вовсю готовились к выпуску установочной партии из 10 танков.</w:t>
      </w:r>
    </w:p>
    <w:p w14:paraId="4F9C454F" w14:textId="77777777" w:rsidR="00E142A8" w:rsidRPr="00D03F3E"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После окончания государственных испытаний ИС-1 отнюдь не простаивал. В мае ИС-1 прошёл 243 км, на танке испытывалась защита воздухозаборников от грязи, а также усиленная моторная рама. Также на танке испытывались воздухоочистители «Мультциклон», позже ставшие основным типом советских танковых воздушных фильтров. Вместе с тем к началу июня стало окончательно ясно, что перед запуском в серию ИС-1 ожидает ряд радикальных переделок (17688).</w:t>
      </w:r>
    </w:p>
    <w:p w14:paraId="391BC0DD" w14:textId="77777777" w:rsidR="00E142A8" w:rsidRPr="00D03F3E" w:rsidRDefault="00E142A8" w:rsidP="00D03F3E">
      <w:pPr>
        <w:pStyle w:val="12a"/>
        <w:shd w:val="clear" w:color="auto" w:fill="auto"/>
        <w:spacing w:after="0" w:line="240" w:lineRule="auto"/>
        <w:jc w:val="both"/>
        <w:rPr>
          <w:color w:val="000000" w:themeColor="text1"/>
          <w:sz w:val="16"/>
          <w:szCs w:val="16"/>
        </w:rPr>
      </w:pPr>
    </w:p>
    <w:p w14:paraId="78C2BD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6-го апреля 1943 машина БА-64Д с ДШК в специальной башне была продемонстрирована генералам А.И.Лебедеву и И.П.Тягунову. Демонстрация оказалась неудачной, что в основном касалось вооружения. При стрельбе отмечались заедания при подаче патронов из барабанного магазина, а также при сбросе стреляных гильз в гильзосборник. Магазин также был признан неудачным и по емкости - 30 патрон. Из-за большой отдачи ДШК и узкого шасси БА-64, точность стрельбы была низкой при развороте пулемета перпендикулярно оси бронемашины (3862).</w:t>
      </w:r>
    </w:p>
    <w:p w14:paraId="61FEAB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FB01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1943 вышло Постановление ГКО № 3127 О добыче нефти и выработке нефтепродуктов во II квартале и апреле 1943 года.РГАНИР, Фонд ГКО, д. 100, лл. 171-174, 175-177 (11012).</w:t>
      </w:r>
    </w:p>
    <w:p w14:paraId="157444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631F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1943 вышло Постановление ГКО № 3128 О плане производства минометов, лыжных установок, волокуш и снегоступов для вооружения на апрель месяц и II квартал 1943 года.РГАНИР, Фонд ГКО, д. 100, лл. 178-183, 184-206 (11012).</w:t>
      </w:r>
    </w:p>
    <w:p w14:paraId="7DC064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D607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1943 вышло Постановление ГКО № 3129 О плане производства и поставок патронов и звеньев Наркоматом вооружения в апреле и II квартале 1943 г.РГАНИР, Фонд ГКО, д. 100, лл. 207-212, 213-224 (11012).</w:t>
      </w:r>
    </w:p>
    <w:p w14:paraId="25F2D4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D382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1943 вышло Постановление ГКО № 3130 О плане производства и поставок пулеметов-пистолетов Шпагина в апреле и II квартале 1943 года.РГАНИР, Фонд ГКО, д. 100, лл. 225-230, 231-243 (11012).</w:t>
      </w:r>
    </w:p>
    <w:p w14:paraId="204CA3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272B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1943 вышло Постановление ГКО № 3131 О плане производства и поставок артиллерийского и стрелкового вооружения и военных приборов на апрель и II квартал 1943 года.РГАНИР, Фонд ГКО, д. 100, лл. 244-263, 264-319 (11012).</w:t>
      </w:r>
    </w:p>
    <w:p w14:paraId="74B114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75DF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1943 вышло Постановление ГКО № 3132 О плане производства важнейших химикатов для боеприпасов и народного хозяйства на II квартал и апрель 1943 года.РГАНИР, Фонд ГКО, д. 100, лл. 320-331, 332-339 (11012).</w:t>
      </w:r>
    </w:p>
    <w:p w14:paraId="6D1370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C916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1943 вышло Постановление ГКО № 3133 О плане производства боеприпасов в апреле месяце и II квартале 1943 года.РГАНИР, Фонд ГКО, д. 101, лл. 1-16, 17-396 (11012).</w:t>
      </w:r>
    </w:p>
    <w:p w14:paraId="4683C5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2B2EB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1943 вышло Постановление ГКО № 3134 О создании резерва порожних вагонов в НКПС. (7093, 1-2).</w:t>
      </w:r>
    </w:p>
    <w:p w14:paraId="3BAC9FD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7BCD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1943 вышло Постановление ГКО № 3138 О плане добычи угля и сланца на II квартал и апрель 1943 года по Наркомуглю.РГАНИР, Фонд ГКО, д. 102, лл. 21-33, 34-39 (11012).</w:t>
      </w:r>
    </w:p>
    <w:p w14:paraId="707EC0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B2D3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1943 вышло Постановление ГКО № 3139 О дополнительном учреждении одного Красного знамени Государственного Комитета Обороны для танковых заводов Наркомтанкопрома.РГАНИР, Фонд ГКО, д. 102, лл. 40 (11012).</w:t>
      </w:r>
    </w:p>
    <w:p w14:paraId="6C6DFA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40CA8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AA5F1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23747D"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6 апреля</w:t>
      </w:r>
      <w:r w:rsidRPr="00D03F3E">
        <w:rPr>
          <w:rFonts w:ascii="Times New Roman" w:hAnsi="Times New Roman"/>
          <w:color w:val="000000" w:themeColor="text1"/>
          <w:sz w:val="16"/>
          <w:szCs w:val="16"/>
        </w:rPr>
        <w:t xml:space="preserve"> в 1943 году утреннее сообщение Совинформбюро:</w:t>
      </w:r>
    </w:p>
    <w:p w14:paraId="4A38D160"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6 апреля на фронтах существенных изменений не произошло.</w:t>
      </w:r>
    </w:p>
    <w:p w14:paraId="00C5345C"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батальон пехоты в 10 танков противника при поддержке авиации пытались вклиниться в нашу оборону. Бойцы Н-ской части контрударом отбросили гитлеровцев. В результате боя подбито 2 вражеских танка и уничтожено свыше 100 немецких солдат и офицеров.</w:t>
      </w:r>
    </w:p>
    <w:p w14:paraId="287650CA"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течения Северного Донца огнём советской артиллерии подбито 4 немецких орудия, уничтожено 6 автомашин, рассеяно и частью истреблено до роты гитлеровцев. Наши лётчики в воздушных боях сбили 2 самолёта противника.</w:t>
      </w:r>
    </w:p>
    <w:p w14:paraId="5E062508"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происходила артиллерийская перестрелка с противником. Гвардии сержант Потапов выкатил орудие на открытую позицию и меткими выстрелами уничтожил 7 огневых точек противника. Орудийный расчёт сержанта Абрамова разбил 4 вражеских дзота и взорвал склад противника с боеприпасами. Одно наше подразделение штурмовиков совершило несколько налётов на передний край немецкой обороны. Бомбами и пулемётно-пушечным обстрелом подавлен огонь немецкой артиллерийской батареи и уничтожено 15 повозок с боеприпасами.</w:t>
      </w:r>
    </w:p>
    <w:p w14:paraId="2CC78C78"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озера Ильмень бойцы Н-ской части под командованием тов. Чабоненко вышибли немцев из укреплённых позиций. Гитлеровцы перешли в контратаку и пытались восстановить положение. Наши бойцы отбили контратаку противника и закрепились на новом, более выгодном рубеже. Немцы отступили, оставив на поле боя свыше 100 трупов своих солдат и офицеров.</w:t>
      </w:r>
    </w:p>
    <w:p w14:paraId="7E64B09B"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советские артиллеристы обстреляли крупный узел сопротивления немцев. Артиллерийским огнём уничтожено свыше 60 огневых точек противника. На другом участке снайперы Н-ской части за последние дни уничтожили 93 немца. Старший сержант Мармалкин истребил 18 гитлеровцев, снайпер Сметанина Нина уничтожила 15 немцев.</w:t>
      </w:r>
    </w:p>
    <w:p w14:paraId="77D8226A"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Ленинградской области, ночью совершил налёт на лагерь немецкого подразделения. В непродолжительном бою советские патриоты уничтожили 60 гитлеровцев. Захвачены 3 миномёта, 5 пулемётов, несколько десятков винтовок и боеприпасы. Группа партизан этого же отряда взорвала в четырёх местах железнодорожное полотно и уничтожила оборудование ремонтных мастерских противника.</w:t>
      </w:r>
    </w:p>
    <w:p w14:paraId="39AD434E"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Советские партизаны, действующие в тылу противника, наводят страх на немецких солдат. Пленный обер-ефрейтор 11 роты 350 полка 221 немецкой пехотной дивизии Вильгельм Ганнеманн сообщил: «Действия партизан принимают всё более широкий размах. В этом я убедился недавно, возвращаясь из Германии. В оккупированных районах России я через каждые 50—60 километров видел исковерканные паровозы и разбитые вагоны. Эшелон, шедший впереди поезда, на котором я ехал, был взорван партизанами». Пленный обер-ефрейтор 5 мотострелкового полка 12 немецкой танковой дивизии Отто Цейц заявил: «О партизанах я наслышался много, еще будучи в Германии. Солдаты, побывавшие в России, говорили мне, что партизаны сражаются очень храбро и обычно появляются там, где их меньше всего ожидают. Они действуют в любую погоду, в любое время дня и ночи. По дороге на фронт, около Минска, я видел много взорванных железнодорожных составов. Железнодорожники нам говорили, что это работа партизан» (15091).</w:t>
      </w:r>
    </w:p>
    <w:p w14:paraId="46FBD87C" w14:textId="77777777" w:rsidR="00C01EAA" w:rsidRPr="00D03F3E" w:rsidRDefault="00C01EAA" w:rsidP="00D03F3E">
      <w:pPr>
        <w:spacing w:after="0" w:line="240" w:lineRule="auto"/>
        <w:jc w:val="both"/>
        <w:rPr>
          <w:rFonts w:ascii="Times New Roman" w:hAnsi="Times New Roman"/>
          <w:color w:val="000000" w:themeColor="text1"/>
          <w:sz w:val="16"/>
          <w:szCs w:val="16"/>
        </w:rPr>
      </w:pPr>
    </w:p>
    <w:p w14:paraId="46ACDC05"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6 апреля</w:t>
      </w:r>
      <w:r w:rsidRPr="00D03F3E">
        <w:rPr>
          <w:rFonts w:ascii="Times New Roman" w:hAnsi="Times New Roman"/>
          <w:color w:val="000000" w:themeColor="text1"/>
          <w:sz w:val="16"/>
          <w:szCs w:val="16"/>
        </w:rPr>
        <w:t xml:space="preserve"> в 1943 году вечернее сообщение Совинформбюро:</w:t>
      </w:r>
    </w:p>
    <w:p w14:paraId="708196E3"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6 апреля на фронтах существенных изменений не произошло.</w:t>
      </w:r>
    </w:p>
    <w:p w14:paraId="368671F6"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апреля частями нашей авиации на различных участках фронта уничтожено или повреждено до 50 немецких автомашин с войсками и грузами, подавлен огонь7 артиллерийских и миномётных батарей, взорван склад боеприпасов и разбит железнодорожный состав противника.</w:t>
      </w:r>
    </w:p>
    <w:p w14:paraId="5ECEA8A2"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противник неоднократно атаковал наши позиции. Наши части в упорных оборонительных боях измотали немцев, а потом перешли в контратаку и выбили врага из одного выгодного рубежа. Уничтожено до 400 гитлеровцев, подбито 6 немецких танков, разбито 5 орудий и 15 автомашин. На другом участке огнём нашей артиллерии подбито 2 немецких танка, уничтожено 4 орудия и несколько пулемётов.</w:t>
      </w:r>
    </w:p>
    <w:p w14:paraId="39282685"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укрепляли занятые позиции и вели боевую разведку. Пехотным и артиллерийским огнём уничтожено до 200 немецких солдат и офицеров и 215 автомашин с различными грузами. В воздушном бою сбито 2 самолёта противника.</w:t>
      </w:r>
    </w:p>
    <w:p w14:paraId="545A83B9"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Чугуева противник силою до полка пехоты при поддержке 20 танков перешёл в наступление против подразделений Н-ской части. Огнём нашей артиллерии атака гитлеровцев была отбита. Во второй половине дня противник подтянул резервыи вновь атаковал наши позиции. Ценою больших потерь немцам удалось на одном участке несколько потеснить наши подразделения. К исходу дня наши бойцы контратакой восстановили положение. По неполным данным, истреблено свыше роты немецкой пехоты и подбито 3 танка противника.</w:t>
      </w:r>
    </w:p>
    <w:p w14:paraId="2F7C2E05"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 разведывательный отряд ворвался в населённый пункт, занятый противником. В ожесточённом уличном бою наши бойцы уничтожили более 100.гитлеровцев, заняли населённый пункт и захватили 2 орудия, 11 пулемётов, радиостанцию и склад боеприпасов.</w:t>
      </w:r>
    </w:p>
    <w:p w14:paraId="49FE392D"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Пинской области, разгромил два немецких полицейских участка. Уничтожено до 100 гитлеровцев. Захвачены у противника трофеи и секретные документы. Другой отряд пинских партизан организовал крушение немецкого воинского эшелона. В результате крушения разбиты паровоз и несколько вагонов. Уцелевшие 20 вагонов были обстреляны партизанами. При перестрелке убито 60 немецких железнодорожных чиновников.</w:t>
      </w:r>
    </w:p>
    <w:p w14:paraId="38E45880"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опустошили и разорили деревню Подмошье, Смоленской области. Гитлеровцы не щадили ни женщин, ни детей. В деревне нет ни одной семьи, которая не пострадала бы от гитлеровских убийц. Учительницу Анну Конюхову бандиты расстреляли за то, что она оказала сопротивление немцу, пытавшемуся её изнасиловать. Палачи замучили и убили мирных жителей Михаила Степаненко, Александра Степаненко, Бориса Барсукова и его дочь, Василия Феоктистова, 12-летних ребят — Алексея Игнатова и Дмитрия Иванова. Зверским мучениям подвергли немцы 85-летнего старика Кожурова и его жену. На допросах немцы избивали их, требуя указать местонахождение партизан. Советские патриоты стойко перенесли все пытки, приняли мученическую смерть, но не выдали партизан и связанных с ними односельчан.</w:t>
      </w:r>
    </w:p>
    <w:p w14:paraId="2B240895"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Роттердама голландские патриоты подожгли немецкое нефтеналивное судно. В Амстердаме группа голландцев взорвала здание немецкого центрального бюро по вывозу рабочих в Германию. Уничтожены все документы, а также списки голландцев, подлежащих принудительной отправке на германскую каторгу. На военном заводе близ Колховена рабочие, получив срочный военный заказ, выпустили сплошной брак.» (15091).</w:t>
      </w:r>
    </w:p>
    <w:p w14:paraId="206A0D0E" w14:textId="77777777" w:rsidR="00C01EAA" w:rsidRPr="00D03F3E" w:rsidRDefault="00C01EAA" w:rsidP="00D03F3E">
      <w:pPr>
        <w:spacing w:after="0" w:line="240" w:lineRule="auto"/>
        <w:jc w:val="both"/>
        <w:rPr>
          <w:rFonts w:ascii="Times New Roman" w:hAnsi="Times New Roman"/>
          <w:color w:val="000000" w:themeColor="text1"/>
          <w:sz w:val="16"/>
          <w:szCs w:val="16"/>
        </w:rPr>
      </w:pPr>
    </w:p>
    <w:p w14:paraId="1F838C2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1943 в СССР создан Резервный фронт (позже - Степной военный округ) (4962).</w:t>
      </w:r>
    </w:p>
    <w:p w14:paraId="14A4AB9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5821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April 6th, 1943: Units of Heeresgruppe A (von Weichs) begin an offensive against the Black Sea port of Novorossisk in the Caucasus. US and British forces in Tunisia launch an attack against 5.Panzerarmee (von Arnim) (3819).</w:t>
      </w:r>
    </w:p>
    <w:p w14:paraId="2C02E9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6BB51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1943 части Группы А (фон Вайс) начала наступление на Новороссийск. Британские и американские силы начали наступление в Тунисе против 5ТА (фон Арним) (3819).</w:t>
      </w:r>
    </w:p>
    <w:p w14:paraId="5B3B5B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2220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1943 приказом Нач. ГУ ГВФ на базе авиазвена спецназначения при 1-й авиатранспортной дивизии ГВФ создан авиаотряд ОН во главе с Н.И.Новиковым. В июле 1943 преобразовали в отдельную специальную авиатранспортную эскадрилью на 12 С-47 (7485, 35).</w:t>
      </w:r>
    </w:p>
    <w:p w14:paraId="2B5503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72423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756255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835B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1943 года</w:t>
      </w:r>
    </w:p>
    <w:p w14:paraId="425D84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СТРОГО СЕКРЕТНОЕ ПОСЛАНИЕ ОТ ПРЕМЬЕР-МИНИСТРА г-на УИНСТОНА ЧЕРЧИЛЛЯ МАРШАЛУ И.В. СТАЛИНУ</w:t>
      </w:r>
    </w:p>
    <w:p w14:paraId="18C04B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 Я признаю все то, что Вы сказали в Вашей телеграмме относительно конвоев. Я заверяю Вас, что сделаю все, что в моих силах, чтобы принять все возможные меры </w:t>
      </w:r>
      <w:r w:rsidRPr="00D03F3E">
        <w:rPr>
          <w:rFonts w:ascii="Times New Roman" w:hAnsi="Times New Roman"/>
          <w:color w:val="000000" w:themeColor="text1"/>
          <w:sz w:val="16"/>
          <w:szCs w:val="16"/>
        </w:rPr>
        <w:lastRenderedPageBreak/>
        <w:t>к улучшению положения. Я глубоко сознаю гигантское бремя, которое несут русские армии, а также их непревзойденный вклад в общее дело.</w:t>
      </w:r>
    </w:p>
    <w:p w14:paraId="24219A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 субботу мы послали на Эссен 348 тяжелых бомбардировщиков, сбросивших 900 тонн бомб для того, чтобы увеличить ущерб, нанесенный заводам Круппа, которые снова подверглись эффективным ударам, и чтобы разрушить юго-западную часть города, мало пострадавшую в предыдущие налеты. Прошлой ночью 507 самолетов, из которых все, за исключением 166, были тяжелыми бомбардировщиками, сбросили 1400 тонн на Киль. Это один из самых крупных залпов, который мы когда-либо производили. Облачность была более значительной, чем мы ожидали, но мы надеемся, что налет был успешным. Американские дневные налеты летающих крепостей становятся в высшей степени эффективными. Вчера они нанесли удар по заводам Рено около Парижа, которые начали снова оживать. Помимо бомбардировки, которую они производят с большой высоты с замечательной точностью при дневном свете, они вызывают истребителей противника на бои, в которых большое количество их уничтожается тяжелым оружием летающих крепостей. В этих трех операциях было потеряно четыре американских и приблизительно тридцать три британских бомбардировщика. Я должен теперь подчеркнуть, что мы будем из месяца в месяц усиливать бомбардировку Германии и что мы в состоянии находить цели с гораздо большей точностью.</w:t>
      </w:r>
    </w:p>
    <w:p w14:paraId="3835EF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 нынешней неделе начнется генеральное сражение в Тунисе. Британские 8-я и 1-я армии, а также американские и французские вооруженные силы — все вступят в бой согласно плану. Противник готовится к отступлению на свое последнее предмостное укрепление. Он уже начал производить разрушения и вывоз береговых батарей из Сфакса. Под давлением, которому он снова подвергнется, противник, по-видимому, отступит, может быть быстро, на линию, которую он укрепляет от Энфидавилла в Хаммаметском заливе. Эта новая позиция примкнет к обращенному на запад главному фронту, который он в настоящее время держит в Тунисе и северный фланг которого упирается в Средиземное море приблизительно в 30 милях от Бизерты. Мы также наносим удары по этому северному флангу. Я буду Вас информировать о том, как мы продвигаемся, и о том, сможем ли мы отрезать сколь-нибудь значительную часть так называемой “армии Роммеля”, прежде чем она сможет достичь последнего предмостного укрепления.</w:t>
      </w:r>
    </w:p>
    <w:p w14:paraId="08227F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4. Гитлер с его обычным упрямством отправляет в Тунис дивизию “Герман Геринг” и 99-ю германскую дивизию главным образом воздушным транспортом в составе по крайней мере 100 крупных машин. Головные эшелоны обеих этих дивизий уже прибыли. Поэтому мы должны ожидать упорной обороны тунисского выступа силами в составе приблизительно четверти миллиона человек за вычетом потерь, которые они понесут в пути. Наши силы обладают значительным превосходством как в численном отношении, так и в вооружении. Мы уничтожаем значительную часть судов, на которых отправляются горючее, боеприпасы, транспортные средства и пр. Когда мы захватим южные аэродромы, мы будем в состоянии начать очень крупные непрерывные воздушные налеты на порты, и мы производим все приготовления для того, чтобы избежать нового Дюнкерка. Это в особенности важно для “Эскимоса” </w:t>
      </w:r>
      <w:r w:rsidRPr="00D03F3E">
        <w:rPr>
          <w:rFonts w:ascii="Times New Roman" w:hAnsi="Times New Roman"/>
          <w:color w:val="000000" w:themeColor="text1"/>
          <w:sz w:val="16"/>
          <w:szCs w:val="16"/>
          <w:vertAlign w:val="superscript"/>
        </w:rPr>
        <w:t>39</w:t>
      </w:r>
      <w:r w:rsidRPr="00D03F3E">
        <w:rPr>
          <w:rFonts w:ascii="Times New Roman" w:hAnsi="Times New Roman"/>
          <w:color w:val="000000" w:themeColor="text1"/>
          <w:sz w:val="16"/>
          <w:szCs w:val="16"/>
        </w:rPr>
        <w:t>. Примерно через месяц после того, как мы овладеем Бизертой и Тунисом, мы надеемся получить возможность проводить транспорты через Средиземное море и таким образом укоротить путь в Египет и в Персидский залив (7430).</w:t>
      </w:r>
    </w:p>
    <w:p w14:paraId="2E7E6C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2010BE"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402F2B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B51A4E"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6 апреля</w:t>
      </w:r>
      <w:r w:rsidRPr="00D03F3E">
        <w:rPr>
          <w:rFonts w:ascii="Times New Roman" w:hAnsi="Times New Roman"/>
          <w:color w:val="000000" w:themeColor="text1"/>
          <w:sz w:val="16"/>
          <w:szCs w:val="16"/>
        </w:rPr>
        <w:t xml:space="preserve"> в 1943 году американский летчик-испытатель Джон Меерс начал первые испытательные пробежки реактивного истребителя </w:t>
      </w:r>
      <w:hyperlink r:id="rId112" w:tgtFrame="_blank" w:history="1">
        <w:r w:rsidRPr="00D03F3E">
          <w:rPr>
            <w:rFonts w:ascii="Times New Roman" w:hAnsi="Times New Roman"/>
            <w:color w:val="000000" w:themeColor="text1"/>
            <w:sz w:val="16"/>
            <w:szCs w:val="16"/>
          </w:rPr>
          <w:t xml:space="preserve">«Northrop» «XP-56» «Black Bullet» </w:t>
        </w:r>
      </w:hyperlink>
      <w:r w:rsidRPr="00D03F3E">
        <w:rPr>
          <w:rFonts w:ascii="Times New Roman" w:hAnsi="Times New Roman"/>
          <w:color w:val="000000" w:themeColor="text1"/>
          <w:sz w:val="16"/>
          <w:szCs w:val="16"/>
        </w:rPr>
        <w:t>по поверхности сухого озера в Мюроке. При рулении на больших скоростях машину начинало бросать из стороны в сторону (15091).</w:t>
      </w:r>
    </w:p>
    <w:p w14:paraId="7ABF2229" w14:textId="77777777" w:rsidR="00C01EAA" w:rsidRPr="00D03F3E" w:rsidRDefault="00C01EAA" w:rsidP="00D03F3E">
      <w:pPr>
        <w:spacing w:after="0" w:line="240" w:lineRule="auto"/>
        <w:jc w:val="both"/>
        <w:rPr>
          <w:rFonts w:ascii="Times New Roman" w:hAnsi="Times New Roman"/>
          <w:color w:val="000000" w:themeColor="text1"/>
          <w:sz w:val="16"/>
          <w:szCs w:val="16"/>
        </w:rPr>
      </w:pPr>
    </w:p>
    <w:p w14:paraId="118E7A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April 6/7 1943 Axis forces in Tunisia begin withdrawal toward Enfidaville as Americans and British forces join (1050).</w:t>
      </w:r>
    </w:p>
    <w:p w14:paraId="22023B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AB4DA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 апреля 1943 войска стран оси в Тунисе начали отступление после того, как английские и американские войска соединились (1050).</w:t>
      </w:r>
    </w:p>
    <w:p w14:paraId="173FDC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06F72D"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6 апреля</w:t>
      </w:r>
      <w:r w:rsidRPr="00D03F3E">
        <w:rPr>
          <w:rFonts w:ascii="Times New Roman" w:hAnsi="Times New Roman"/>
          <w:color w:val="000000" w:themeColor="text1"/>
          <w:sz w:val="16"/>
          <w:szCs w:val="16"/>
        </w:rPr>
        <w:t xml:space="preserve"> в 1943 году в США на английском языке вышел «Маленький принц» Сент-Экзюпери, написанный им в 1942 году (15091).</w:t>
      </w:r>
    </w:p>
    <w:p w14:paraId="0E452423" w14:textId="77777777" w:rsidR="00C01EAA" w:rsidRPr="00D03F3E" w:rsidRDefault="00C01EAA" w:rsidP="00D03F3E">
      <w:pPr>
        <w:spacing w:after="0" w:line="240" w:lineRule="auto"/>
        <w:jc w:val="both"/>
        <w:rPr>
          <w:rFonts w:ascii="Times New Roman" w:hAnsi="Times New Roman"/>
          <w:color w:val="000000" w:themeColor="text1"/>
          <w:sz w:val="16"/>
          <w:szCs w:val="16"/>
        </w:rPr>
      </w:pPr>
    </w:p>
    <w:p w14:paraId="0D87FB54" w14:textId="77777777" w:rsidR="00C36DA0"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34C18A3A" w14:textId="77777777" w:rsidR="00C36DA0" w:rsidRPr="00D03F3E" w:rsidRDefault="00C36DA0"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E09C32" w14:textId="77777777" w:rsidR="000B4F11" w:rsidRPr="00D03F3E" w:rsidRDefault="000B4F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первых числах апреля 1943 года чтобы не задерживать выход опытного самолета Ил-2М на испытания, завод № 24 передал заводу № 18 экземпляр мотора АМ-42 с гарантированным ресурсом режимной работы в 25 часов (17490).</w:t>
      </w:r>
    </w:p>
    <w:p w14:paraId="66D53527" w14:textId="77777777" w:rsidR="000B4F11" w:rsidRPr="00D03F3E" w:rsidRDefault="000B4F11" w:rsidP="00D03F3E">
      <w:pPr>
        <w:spacing w:after="0" w:line="240" w:lineRule="auto"/>
        <w:jc w:val="both"/>
        <w:rPr>
          <w:rFonts w:ascii="Times New Roman" w:hAnsi="Times New Roman"/>
          <w:color w:val="000000" w:themeColor="text1"/>
          <w:sz w:val="16"/>
          <w:szCs w:val="16"/>
        </w:rPr>
      </w:pPr>
    </w:p>
    <w:p w14:paraId="1C651746" w14:textId="77777777" w:rsidR="000B4F11" w:rsidRPr="00D03F3E" w:rsidRDefault="000B4F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началу апреля 1943 на заводе № 18, где полным ходом шли работы по сборке самолета Ил-2 М, были состыкованы бронекорпус, центроплан и хвостовая часть фюзеляжа вместе с оперением. Установлено шасси. Монтировались спецоборудование и управление. В цехе имелись в наличии масло- и водорадиаторы, масло- и бензобаки, задняя стрелковая установка и большинство агрегатов и деталей, необходимых для окончательной сборки самолета. Отсутствовали только консоли крыла, «которые были заводом изготовлены, но забракованы главным конструктором», воздушный винт и летный мотор АМ-42.</w:t>
      </w:r>
    </w:p>
    <w:p w14:paraId="6D3AA6CD" w14:textId="77777777" w:rsidR="000B4F11" w:rsidRPr="00D03F3E" w:rsidRDefault="000B4F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следующих десяти дней на самолет установили мотор, воздушный винт АВ-5л-18А диаметром 4,0 м производства завода № 35, воздушный тоннель вместе с водо- и маслорадиаторами, смонтировали водяную и масляную системы, а также «воздушную проводку управления передними огневыми точками, бомбовым и химическим вооружением».</w:t>
      </w:r>
    </w:p>
    <w:p w14:paraId="7E1E0686" w14:textId="77777777" w:rsidR="000B4F11" w:rsidRPr="00D03F3E" w:rsidRDefault="000B4F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20 апреля сборка самолета была закончена, и военная приемка ГУ ИАС ВВС на заводе № 18 приступила к осмотру машины. Предполагалось не позже 22 апреля «выкатить самолет из сборочного цеха и приступить к проведению предварительных заводских испытаний». Однако «начало заводских испытаний отодвинулось», так как в ходе приемки были выявлены дефекты сборки. Самолет пришлось поставить на доработку. К тому же главный конструктор самолета С. В. Ильюшин своевременно не подготовил и не выслал заводу программу предварительных заводских летных испытаний.</w:t>
      </w:r>
    </w:p>
    <w:p w14:paraId="60ED2CDA" w14:textId="77777777" w:rsidR="000B4F11" w:rsidRPr="00D03F3E" w:rsidRDefault="000B4F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Планировалось, что в ходе этих испытаний завод № 18 выявит эксплуатационные особенности и выполнит полную доводку винтомоторной группы и всех самолетных систем машины, после чего передаст самолет на завод № 240 для прохождения официальных заводских испытаний (17490).</w:t>
      </w:r>
    </w:p>
    <w:p w14:paraId="05DE8FE0" w14:textId="77777777" w:rsidR="000B4F11" w:rsidRPr="00D03F3E" w:rsidRDefault="000B4F11" w:rsidP="00D03F3E">
      <w:pPr>
        <w:spacing w:after="0" w:line="240" w:lineRule="auto"/>
        <w:jc w:val="both"/>
        <w:rPr>
          <w:rFonts w:ascii="Times New Roman" w:hAnsi="Times New Roman"/>
          <w:color w:val="000000" w:themeColor="text1"/>
          <w:sz w:val="16"/>
          <w:szCs w:val="16"/>
        </w:rPr>
      </w:pPr>
    </w:p>
    <w:p w14:paraId="46422E56" w14:textId="77777777" w:rsidR="006A3BF7" w:rsidRPr="00D03F3E" w:rsidRDefault="006A3BF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начале апреля 1943 г., в связи с тем, что в процессе зимней эксплуатации самолетов Пе-2, оборудованных 2-й зоной НГ, выявились дефекты, затруднявшие их нормальную эксплуатацию, 2-ю зону НГ на Пе-2 «условно сняли» с серии. Условность этого мероприятия заключалась в том, что заводу №22 поручили «впредь до устранения выявленных дефектов выпускать самолеты Пе-2 с отключенной зоной НГ-2», т.е. агрегаты и вся проводка системы монтировались на бомбардировщик. Предполагалось, что систему после доводки можно будет восстановить и доработать на всех выпущенных машинах непосредственно в частях силами заводских бригад или инженерно-технического состава (17733).</w:t>
      </w:r>
    </w:p>
    <w:p w14:paraId="73F8684A" w14:textId="77777777" w:rsidR="006A3BF7" w:rsidRPr="00D03F3E" w:rsidRDefault="006A3BF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BC5D0ED" w14:textId="77777777" w:rsidR="00C36DA0" w:rsidRPr="00D03F3E" w:rsidRDefault="00C36DA0" w:rsidP="00D03F3E">
      <w:pPr>
        <w:pStyle w:val="a3"/>
        <w:rPr>
          <w:color w:val="000000" w:themeColor="text1"/>
          <w:lang w:val="ru-RU"/>
        </w:rPr>
      </w:pPr>
      <w:r w:rsidRPr="00D03F3E">
        <w:rPr>
          <w:color w:val="000000" w:themeColor="text1"/>
          <w:lang w:val="ru-RU"/>
        </w:rPr>
        <w:t>В самом начале апреля 1943 г. два научных сотрудника ЦАГИ направили</w:t>
      </w:r>
      <w:r w:rsidRPr="00D03F3E">
        <w:rPr>
          <w:rStyle w:val="4f1"/>
          <w:rFonts w:ascii="Times New Roman" w:hAnsi="Times New Roman" w:cs="Times New Roman"/>
          <w:i w:val="0"/>
          <w:color w:val="000000" w:themeColor="text1"/>
          <w:sz w:val="16"/>
          <w:szCs w:val="16"/>
          <w:lang w:val="ru-RU"/>
        </w:rPr>
        <w:t xml:space="preserve"> на имя В.М.</w:t>
      </w:r>
      <w:r w:rsidRPr="00D03F3E">
        <w:rPr>
          <w:color w:val="000000" w:themeColor="text1"/>
          <w:lang w:val="ru-RU"/>
        </w:rPr>
        <w:t xml:space="preserve"> Молотова, в то время первого замес</w:t>
      </w:r>
      <w:r w:rsidRPr="00D03F3E">
        <w:rPr>
          <w:color w:val="000000" w:themeColor="text1"/>
          <w:lang w:val="ru-RU"/>
        </w:rPr>
        <w:softHyphen/>
        <w:t>тителя председателя СНК письмо, отражавшее дух времени и мнения, существовавшие в авиационных научных кругах. Вот выдержки из этого обращения:</w:t>
      </w:r>
    </w:p>
    <w:p w14:paraId="0EECD943" w14:textId="77777777" w:rsidR="00C36DA0" w:rsidRPr="00D03F3E" w:rsidRDefault="00C36DA0" w:rsidP="00D03F3E">
      <w:pPr>
        <w:pStyle w:val="a3"/>
        <w:rPr>
          <w:color w:val="000000" w:themeColor="text1"/>
          <w:lang w:val="ru-RU"/>
        </w:rPr>
      </w:pPr>
      <w:r w:rsidRPr="00D03F3E">
        <w:rPr>
          <w:color w:val="000000" w:themeColor="text1"/>
          <w:lang w:val="ru-RU"/>
        </w:rPr>
        <w:t>«Глубокоуважаемый Вячеслав Михайлович!</w:t>
      </w:r>
    </w:p>
    <w:p w14:paraId="2F57858E" w14:textId="77777777" w:rsidR="00C36DA0" w:rsidRPr="00D03F3E" w:rsidRDefault="00C36DA0" w:rsidP="00D03F3E">
      <w:pPr>
        <w:pStyle w:val="a3"/>
        <w:rPr>
          <w:color w:val="000000" w:themeColor="text1"/>
          <w:lang w:val="ru-RU"/>
        </w:rPr>
      </w:pPr>
      <w:r w:rsidRPr="00D03F3E">
        <w:rPr>
          <w:color w:val="000000" w:themeColor="text1"/>
          <w:lang w:val="ru-RU"/>
        </w:rPr>
        <w:t>Зная о Вашем повседневном внимании к советской науке, решаемся поставить перед Вами следующий вопрос.</w:t>
      </w:r>
    </w:p>
    <w:p w14:paraId="4BAB647D" w14:textId="77777777" w:rsidR="00C36DA0" w:rsidRPr="00D03F3E" w:rsidRDefault="00C36DA0" w:rsidP="00D03F3E">
      <w:pPr>
        <w:pStyle w:val="a3"/>
        <w:rPr>
          <w:color w:val="000000" w:themeColor="text1"/>
          <w:lang w:val="ru-RU"/>
        </w:rPr>
      </w:pPr>
      <w:r w:rsidRPr="00D03F3E">
        <w:rPr>
          <w:color w:val="000000" w:themeColor="text1"/>
          <w:lang w:val="ru-RU"/>
        </w:rPr>
        <w:t>Общеизвестно огромное значение авиации в настоящей войне, а также и то, что Со</w:t>
      </w:r>
      <w:r w:rsidRPr="00D03F3E">
        <w:rPr>
          <w:color w:val="000000" w:themeColor="text1"/>
          <w:lang w:val="ru-RU"/>
        </w:rPr>
        <w:softHyphen/>
        <w:t>ветский Союз обладает развитой авиационной промышленностью и научно-исследова</w:t>
      </w:r>
      <w:r w:rsidRPr="00D03F3E">
        <w:rPr>
          <w:color w:val="000000" w:themeColor="text1"/>
          <w:lang w:val="ru-RU"/>
        </w:rPr>
        <w:softHyphen/>
        <w:t>тельскими институтами с первоклассными лабораториями и большим количеством работающих в них крупных учёных. Между тем авиационная наука до сего времени не представлена в Академии Наук СССР. Такое положение кажется нам ненормальным, так как, с одной стороны, оно затрудняет использование в интересах авиационной техники тех крупных научных сил, которые объединены в АН СССР, и, с другой стороны, может] создать неверное представление о том, что авиационные науки в Советском Союзе находятся на более низком уровне, чем ряд других, представленных в Академии Наук.</w:t>
      </w:r>
    </w:p>
    <w:p w14:paraId="093AE954" w14:textId="77777777" w:rsidR="00C36DA0" w:rsidRPr="00D03F3E" w:rsidRDefault="00C36DA0" w:rsidP="00D03F3E">
      <w:pPr>
        <w:pStyle w:val="a3"/>
        <w:rPr>
          <w:color w:val="000000" w:themeColor="text1"/>
          <w:lang w:val="ru-RU"/>
        </w:rPr>
      </w:pPr>
      <w:r w:rsidRPr="00D03F3E">
        <w:rPr>
          <w:color w:val="000000" w:themeColor="text1"/>
          <w:lang w:val="ru-RU"/>
        </w:rPr>
        <w:t>Нам кажется, что, используя предстоящие выборы, необходимо привлечь в Академию Наук выдающихся деятелей советской авиационной науки. Наиболее правильным, с на</w:t>
      </w:r>
      <w:r w:rsidRPr="00D03F3E">
        <w:rPr>
          <w:color w:val="000000" w:themeColor="text1"/>
          <w:lang w:val="ru-RU"/>
        </w:rPr>
        <w:softHyphen/>
        <w:t>шей точки зрения, было бы организовать в АН СССР специальное отделение Авиацион</w:t>
      </w:r>
      <w:r w:rsidRPr="00D03F3E">
        <w:rPr>
          <w:color w:val="000000" w:themeColor="text1"/>
          <w:lang w:val="ru-RU"/>
        </w:rPr>
        <w:softHyphen/>
        <w:t>ных Наук, подобное существующим отделениям геолого-географических наук, химичес</w:t>
      </w:r>
      <w:r w:rsidRPr="00D03F3E">
        <w:rPr>
          <w:color w:val="000000" w:themeColor="text1"/>
          <w:lang w:val="ru-RU"/>
        </w:rPr>
        <w:softHyphen/>
        <w:t>ких наук и т.п. Комплекс авиационных наук сейчас настолько обширен и в то же время специфичен, что существование такого отделения имеет не меньше оснований, чем лю</w:t>
      </w:r>
      <w:r w:rsidRPr="00D03F3E">
        <w:rPr>
          <w:color w:val="000000" w:themeColor="text1"/>
          <w:lang w:val="ru-RU"/>
        </w:rPr>
        <w:softHyphen/>
        <w:t>бого другого отделения АН СССР».</w:t>
      </w:r>
    </w:p>
    <w:p w14:paraId="3415EDCB" w14:textId="77777777" w:rsidR="00C36DA0" w:rsidRPr="00D03F3E" w:rsidRDefault="00C36DA0" w:rsidP="00D03F3E">
      <w:pPr>
        <w:pStyle w:val="a3"/>
        <w:rPr>
          <w:color w:val="000000" w:themeColor="text1"/>
          <w:lang w:val="ru-RU"/>
        </w:rPr>
      </w:pPr>
      <w:r w:rsidRPr="00D03F3E">
        <w:rPr>
          <w:color w:val="000000" w:themeColor="text1"/>
          <w:lang w:val="ru-RU"/>
        </w:rPr>
        <w:t>Далее авторы кратко указывали на примеры организации авиационной науки в Анг</w:t>
      </w:r>
      <w:r w:rsidRPr="00D03F3E">
        <w:rPr>
          <w:color w:val="000000" w:themeColor="text1"/>
          <w:lang w:val="ru-RU"/>
        </w:rPr>
        <w:softHyphen/>
        <w:t>лии и Германии:</w:t>
      </w:r>
    </w:p>
    <w:p w14:paraId="48505A04" w14:textId="77777777" w:rsidR="00C36DA0" w:rsidRPr="00D03F3E" w:rsidRDefault="00C36DA0" w:rsidP="00D03F3E">
      <w:pPr>
        <w:pStyle w:val="a3"/>
        <w:rPr>
          <w:color w:val="000000" w:themeColor="text1"/>
          <w:lang w:val="ru-RU"/>
        </w:rPr>
      </w:pPr>
      <w:r w:rsidRPr="00D03F3E">
        <w:rPr>
          <w:color w:val="000000" w:themeColor="text1"/>
          <w:lang w:val="ru-RU"/>
        </w:rPr>
        <w:t>«За границей имеются даже специальные академии авиационных наук (в Англии и в Германии). В Англии, кроме Академии Наук (</w:t>
      </w:r>
      <w:r w:rsidRPr="00D03F3E">
        <w:rPr>
          <w:color w:val="000000" w:themeColor="text1"/>
        </w:rPr>
        <w:t>RoyalSociety</w:t>
      </w:r>
      <w:r w:rsidRPr="00D03F3E">
        <w:rPr>
          <w:color w:val="000000" w:themeColor="text1"/>
          <w:lang w:val="ru-RU"/>
        </w:rPr>
        <w:t>), существует с 1866 г. Аэронав- тическая Академия (</w:t>
      </w:r>
      <w:r w:rsidRPr="00D03F3E">
        <w:rPr>
          <w:color w:val="000000" w:themeColor="text1"/>
        </w:rPr>
        <w:t>RoyalAeronauticalSociety</w:t>
      </w:r>
      <w:r w:rsidRPr="00D03F3E">
        <w:rPr>
          <w:color w:val="000000" w:themeColor="text1"/>
          <w:lang w:val="ru-RU"/>
        </w:rPr>
        <w:t>), в состав которой входит большое количе</w:t>
      </w:r>
      <w:r w:rsidRPr="00D03F3E">
        <w:rPr>
          <w:color w:val="000000" w:themeColor="text1"/>
          <w:lang w:val="ru-RU"/>
        </w:rPr>
        <w:softHyphen/>
        <w:t>ство действительных членов и членов-корреспондентов по различным отраслям. В Герма</w:t>
      </w:r>
      <w:r w:rsidRPr="00D03F3E">
        <w:rPr>
          <w:color w:val="000000" w:themeColor="text1"/>
          <w:lang w:val="ru-RU"/>
        </w:rPr>
        <w:softHyphen/>
        <w:t>нии в 1938 г. основана наряду с Академией наук (</w:t>
      </w:r>
      <w:r w:rsidRPr="00D03F3E">
        <w:rPr>
          <w:color w:val="000000" w:themeColor="text1"/>
        </w:rPr>
        <w:t>DeutscheAkademiederWissenschaften</w:t>
      </w:r>
      <w:r w:rsidRPr="00D03F3E">
        <w:rPr>
          <w:color w:val="000000" w:themeColor="text1"/>
          <w:lang w:val="ru-RU"/>
        </w:rPr>
        <w:t>) также Академия Авиационных Наук (</w:t>
      </w:r>
      <w:r w:rsidRPr="00D03F3E">
        <w:rPr>
          <w:color w:val="000000" w:themeColor="text1"/>
        </w:rPr>
        <w:t>DeutscheAkademiederLuftfahrtforschung</w:t>
      </w:r>
      <w:r w:rsidRPr="00D03F3E">
        <w:rPr>
          <w:color w:val="000000" w:themeColor="text1"/>
          <w:lang w:val="ru-RU"/>
        </w:rPr>
        <w:t>); её прези</w:t>
      </w:r>
      <w:r w:rsidRPr="00D03F3E">
        <w:rPr>
          <w:color w:val="000000" w:themeColor="text1"/>
          <w:lang w:val="ru-RU"/>
        </w:rPr>
        <w:softHyphen/>
        <w:t>дентом является Геринг, а действительными членами — виднейшие конструкторы, учё</w:t>
      </w:r>
      <w:r w:rsidRPr="00D03F3E">
        <w:rPr>
          <w:color w:val="000000" w:themeColor="text1"/>
          <w:lang w:val="ru-RU"/>
        </w:rPr>
        <w:softHyphen/>
        <w:t>ные и инженеры (Мессершмидт, Прандтль, Граммель, Люренбаум и др.)».</w:t>
      </w:r>
    </w:p>
    <w:p w14:paraId="4D9A1A0D" w14:textId="77777777" w:rsidR="00C36DA0" w:rsidRPr="00D03F3E" w:rsidRDefault="00C36DA0" w:rsidP="00D03F3E">
      <w:pPr>
        <w:pStyle w:val="a3"/>
        <w:rPr>
          <w:color w:val="000000" w:themeColor="text1"/>
          <w:lang w:val="ru-RU"/>
        </w:rPr>
      </w:pPr>
      <w:r w:rsidRPr="00D03F3E">
        <w:rPr>
          <w:color w:val="000000" w:themeColor="text1"/>
          <w:lang w:val="ru-RU"/>
        </w:rPr>
        <w:t>Возвращаясь к своей идее об организации отделения Авиационных Наук, авторы счи</w:t>
      </w:r>
      <w:r w:rsidRPr="00D03F3E">
        <w:rPr>
          <w:color w:val="000000" w:themeColor="text1"/>
          <w:lang w:val="ru-RU"/>
        </w:rPr>
        <w:softHyphen/>
        <w:t>тали вполне реальным избрание 10-15 академиков и 15-20 членов-корреспондентов и создание на этой основе отделения, и называли возможных кандидатов в действительные члены — Яковлева, Ильюшина, Микулина, Климова, Швецова, Туполева, Христиановича, Ушакова, Келдыша. Они также считали, что организовать отделение очень легко, так как не понадобится создавать новые институты, а можно будет опираться на существующие «первоклассные научно-исследовательские институты», и называли ЦАГИ, ЦИАМ, ВИАМ, ЛИИ и др., подчинённые Наркомату авиационной промышленности. Упоминали авторы письма и о том, что обособленное отделение в составе АН позволит обеспечить «необ</w:t>
      </w:r>
      <w:r w:rsidRPr="00D03F3E">
        <w:rPr>
          <w:color w:val="000000" w:themeColor="text1"/>
          <w:lang w:val="ru-RU"/>
        </w:rPr>
        <w:softHyphen/>
      </w:r>
      <w:r w:rsidRPr="00D03F3E">
        <w:rPr>
          <w:color w:val="000000" w:themeColor="text1"/>
          <w:lang w:val="ru-RU"/>
        </w:rPr>
        <w:lastRenderedPageBreak/>
        <w:t>ходимую секретность в работе», особенно если академик-секретарь отделения будет яв</w:t>
      </w:r>
      <w:r w:rsidRPr="00D03F3E">
        <w:rPr>
          <w:color w:val="000000" w:themeColor="text1"/>
          <w:lang w:val="ru-RU"/>
        </w:rPr>
        <w:softHyphen/>
        <w:t>ляться одновременно вице-президентом и «подчиняться лишь Президенту АН СССР и через него Совету Народных Комиссаров».</w:t>
      </w:r>
    </w:p>
    <w:p w14:paraId="2BE65352" w14:textId="77777777" w:rsidR="00C36DA0" w:rsidRPr="00D03F3E" w:rsidRDefault="00C36DA0" w:rsidP="00D03F3E">
      <w:pPr>
        <w:pStyle w:val="a3"/>
        <w:rPr>
          <w:color w:val="000000" w:themeColor="text1"/>
          <w:lang w:val="ru-RU"/>
        </w:rPr>
      </w:pPr>
      <w:r w:rsidRPr="00D03F3E">
        <w:rPr>
          <w:color w:val="000000" w:themeColor="text1"/>
          <w:lang w:val="ru-RU"/>
        </w:rPr>
        <w:t>В заключение они написали, что в случае благоприятного разрешения вопроса «можно было бы успеть ещё на предстоящих выборах» открыть дополнительные вакансии на места по отделению Авиационных наук. Письмо подписали Лауреат Сталинской премии д.т.н. профессор ЦАГИ Г. Абрамович и д.т.н. профессор ЦАГИ Д. Панов. Молотов с ре</w:t>
      </w:r>
      <w:r w:rsidRPr="00D03F3E">
        <w:rPr>
          <w:color w:val="000000" w:themeColor="text1"/>
          <w:lang w:val="ru-RU"/>
        </w:rPr>
        <w:softHyphen/>
        <w:t>золюцией «спросить» уже 3 апреля 1943 г. направил это письмо секретарям ЦК ВКП(б) Г.М. Маленкову и А.С. Щербакову, заместителю председателя СНК и одновременно председателю Госплана Н.А. Вознесенскому и наркому авиационной промышленности А.И. Шахурину.</w:t>
      </w:r>
    </w:p>
    <w:p w14:paraId="3E172829" w14:textId="77777777" w:rsidR="00C36DA0" w:rsidRPr="00D03F3E" w:rsidRDefault="00C36DA0" w:rsidP="00D03F3E">
      <w:pPr>
        <w:pStyle w:val="a3"/>
        <w:rPr>
          <w:color w:val="000000" w:themeColor="text1"/>
          <w:lang w:val="ru-RU"/>
        </w:rPr>
      </w:pPr>
      <w:r w:rsidRPr="00D03F3E">
        <w:rPr>
          <w:color w:val="000000" w:themeColor="text1"/>
          <w:lang w:val="ru-RU"/>
        </w:rPr>
        <w:t>В архиве ЦК ВКП(б) сохранилось мнение Н.А. Вознесенского: «Сомневаюсь в целесо</w:t>
      </w:r>
      <w:r w:rsidRPr="00D03F3E">
        <w:rPr>
          <w:color w:val="000000" w:themeColor="text1"/>
          <w:lang w:val="ru-RU"/>
        </w:rPr>
        <w:softHyphen/>
        <w:t>образности организации отделения авиационных наук АН», — изложенное на одной из копий письма рядом с резолюцией В.М.Молотова «спросить». Вряд ли в то время мог</w:t>
      </w:r>
      <w:r w:rsidRPr="00D03F3E">
        <w:rPr>
          <w:color w:val="000000" w:themeColor="text1"/>
          <w:lang w:val="ru-RU"/>
        </w:rPr>
        <w:softHyphen/>
        <w:t>ло быть принято какое-то решение об организации отделения, но на выборы письмо могло оказать определенное влияние. Во всяком случае, из упоминавшихся в письме кандидатур на выборах 27-29 сентября 1943 г. академиками были избраны А.А. Микулин и С.А. Христианович, а членами-корреспондентами — А.С. Яковлев, В.Я. Климов и М.В. Келдыш. Кроме того, академиком избрали Б.Н. Юрьева, а А.Н. Туполев уже являлся членом-корреспондентом (с 1933 г.). Так как выборы в АН проходили под неусыпным контролем со стороны секретариата ЦК ВКП(б), несомненно все кандидатуры были за</w:t>
      </w:r>
      <w:r w:rsidRPr="00D03F3E">
        <w:rPr>
          <w:color w:val="000000" w:themeColor="text1"/>
          <w:lang w:val="ru-RU"/>
        </w:rPr>
        <w:softHyphen/>
        <w:t>ранее согласованы и одобрены высшим руководством страны, как и беспрецедентный авиационный уклон. Таким образом, в Отделении технических наук АН СССР возникла крупная группа учёных, непосредственно связанная с авиационной наукой.Авиация — не наука!?... или почему в Академии наук СССР так и не создали секцию авиации?</w:t>
      </w:r>
    </w:p>
    <w:p w14:paraId="196C8FA7" w14:textId="77777777" w:rsidR="00C36DA0" w:rsidRPr="00D03F3E" w:rsidRDefault="00C36DA0" w:rsidP="00D03F3E">
      <w:pPr>
        <w:pStyle w:val="a3"/>
        <w:rPr>
          <w:color w:val="000000" w:themeColor="text1"/>
          <w:lang w:val="ru-RU"/>
        </w:rPr>
      </w:pPr>
      <w:r w:rsidRPr="00D03F3E">
        <w:rPr>
          <w:color w:val="000000" w:themeColor="text1"/>
          <w:lang w:val="ru-RU"/>
        </w:rPr>
        <w:t>Инициаторами и главными «двигателями» идеи развития координации исследователь</w:t>
      </w:r>
      <w:r w:rsidRPr="00D03F3E">
        <w:rPr>
          <w:color w:val="000000" w:themeColor="text1"/>
          <w:lang w:val="ru-RU"/>
        </w:rPr>
        <w:softHyphen/>
        <w:t>ских работ различных научных организаций под эгидой Академии наук, а затем и соз</w:t>
      </w:r>
      <w:r w:rsidRPr="00D03F3E">
        <w:rPr>
          <w:color w:val="000000" w:themeColor="text1"/>
          <w:lang w:val="ru-RU"/>
        </w:rPr>
        <w:softHyphen/>
        <w:t>дания Секции авиации, стали академики А.А. Микулин и Б.Н. Юрьев (15798).</w:t>
      </w:r>
    </w:p>
    <w:p w14:paraId="74CFBC93" w14:textId="77777777" w:rsidR="00C36DA0" w:rsidRPr="00D03F3E" w:rsidRDefault="00C36DA0" w:rsidP="00D03F3E">
      <w:pPr>
        <w:pStyle w:val="a3"/>
        <w:rPr>
          <w:color w:val="000000" w:themeColor="text1"/>
          <w:lang w:val="ru-RU"/>
        </w:rPr>
      </w:pPr>
    </w:p>
    <w:p w14:paraId="60825B7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03FC05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099EA2" w14:textId="77777777" w:rsidR="00F378DE" w:rsidRPr="00D03F3E" w:rsidRDefault="00F378DE"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В начале апреля 1943 года, то есть до обстрела немецкого танка Тигр, в ГАУ КА подняли вопрос о запуске работ по более мощным, нежели существующие, образцам танковой и буксируемой артиллерии. Среди них была и 57-мм противотанковая пушка ЗИС-2. Ее возвращение было оформлено постановлением ГКО №3187сс "О мероприятиях по усилению противотанковой обороны", которое Сталин подписал 15 апреля 1943 года. Подготовил доработанное постановление маршал артиллерии Н.Н. Воронов, впоследствии главный маршал артиллерии Красной Армии. Сегодня Николаю Николаевичу исполнилось бы 122 года.</w:t>
      </w:r>
    </w:p>
    <w:p w14:paraId="3F178DF6" w14:textId="77777777" w:rsidR="00F378DE" w:rsidRPr="00D03F3E" w:rsidRDefault="00F378DE"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О том, что ЗИС-2 предстоит возвращаться в полноценном виде, стало очевидно еще в начале апреля 1943 года. "Тигр" в этой истории сыграл ключевую роль: даже до обстрела этого танка было понятно, что требуется срочное усиление танкового и противотанкового вооружения. Предполагалось, что первые 50 орудий данного типа будут сданы заводом №92 еще в апреле 1943 год, в мае их ожидалось 150 штук, а с августа ежемесячно сдавали по 500 орудий. Из них 20% предполагалось выпускать в виде танковых орудий ЗИС-4. Завод №92 срочно приступил к исполнению этого важного поручения. 15 апреля выпустили чертежи орудия, а следующий день был изготовлен первый образец ЗИС-2. Теперь он базировался на лафете дивизионного орудия ЗИС-3 (по иронии судьбы, до того ЗИС-3 появилась путем наложения ствола 76-мм дивизионной пушки УСВ на лафет ЗИС-2). В связи с переводом на лафет ЗИС-3 боевая масса орудия выросла с 1050 до 1200 кг. К 23 апреля завод уже изготовил требуемые 50 ЗИС-2, но одновременно ситуация вокруг орудия стала развиваться весьма странно. Дело в том, что еще в конце 1942 года основная часть коллектива КБ завода №92, под руководством В.Г. Грабина, оказалось в Центральном Артиллерийском КБ. Связи с заводом №92 оставались, но довольно специфичные. Так вот, ЦАКБ разработал свой вариант орудия, который получил обозначение С-37. От ЗИС-3 брались затвор, станины и ряд других деталей. Документация по С-37 поступила на завод №92 к 20 апреля 1943 года и вызвала недоумение. Дело в том, что при разработке системы С-37 в ЦАКБ не учли изменений и улучшений по ЗИС-3. В результате у орудия отсутствовала бронировка накатника, введенная в 1942 году. Имелись недочеты по орудийному щиту, а также в ночной подсветке прицела. В результате документацию по С-37 на заводе №92 забраковали и отправили обратно в ЦАКБ (21143).</w:t>
      </w:r>
    </w:p>
    <w:p w14:paraId="05ADD96F" w14:textId="77777777" w:rsidR="00F378DE" w:rsidRPr="00D03F3E" w:rsidRDefault="00F378DE" w:rsidP="00D03F3E">
      <w:pPr>
        <w:shd w:val="clear" w:color="auto" w:fill="FFFFFF"/>
        <w:spacing w:after="0" w:line="240" w:lineRule="auto"/>
        <w:jc w:val="both"/>
        <w:rPr>
          <w:rFonts w:ascii="Times New Roman" w:eastAsia="Times New Roman" w:hAnsi="Times New Roman"/>
          <w:color w:val="0070C0"/>
          <w:sz w:val="16"/>
          <w:szCs w:val="16"/>
          <w:lang w:eastAsia="ru-RU"/>
        </w:rPr>
      </w:pPr>
    </w:p>
    <w:p w14:paraId="76680F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первых числах апреля 1943 г., когда еще не были завер</w:t>
      </w:r>
      <w:r w:rsidRPr="00D03F3E">
        <w:rPr>
          <w:rFonts w:ascii="Times New Roman" w:hAnsi="Times New Roman"/>
          <w:color w:val="000000" w:themeColor="text1"/>
          <w:sz w:val="16"/>
          <w:szCs w:val="16"/>
        </w:rPr>
        <w:softHyphen/>
        <w:t>шены испытания пятикатковых ИС, опытный завод № 100 получил задание от ОГК НКТП на проектирование новых тяжелых танков. Согласно заданию танки должны были при сохранении существующей массы танка КВ (но не свыше 45 т) нести лобовую броню толщиной не менее 100 мм и во</w:t>
      </w:r>
      <w:r w:rsidRPr="00D03F3E">
        <w:rPr>
          <w:rFonts w:ascii="Times New Roman" w:hAnsi="Times New Roman"/>
          <w:color w:val="000000" w:themeColor="text1"/>
          <w:sz w:val="16"/>
          <w:szCs w:val="16"/>
        </w:rPr>
        <w:softHyphen/>
        <w:t>оружены соответственно 85-мм танковой пушкой большой мощности (башенный погон диаметром 1700 мм) и 107-мм танковой пушкой (башенный погон диаметром 1800 мм). 15 апреля 1943 г. вышло постановление ГКО № 3187 ее, кото</w:t>
      </w:r>
      <w:r w:rsidRPr="00D03F3E">
        <w:rPr>
          <w:rFonts w:ascii="Times New Roman" w:hAnsi="Times New Roman"/>
          <w:color w:val="000000" w:themeColor="text1"/>
          <w:sz w:val="16"/>
          <w:szCs w:val="16"/>
        </w:rPr>
        <w:softHyphen/>
        <w:t>рое обязало Наркомат вооружений (НКВ) создать мощное танковое орудие с целью противодействия немецким тяже</w:t>
      </w:r>
      <w:r w:rsidRPr="00D03F3E">
        <w:rPr>
          <w:rFonts w:ascii="Times New Roman" w:hAnsi="Times New Roman"/>
          <w:color w:val="000000" w:themeColor="text1"/>
          <w:sz w:val="16"/>
          <w:szCs w:val="16"/>
        </w:rPr>
        <w:softHyphen/>
        <w:t>лым танкам и САУ, а также организовать выпуск специальных бронированных самоходных истребителей танков. Новое танковое вооружение должно было при калибре более 85-мм «уметь» пробить броню толщиной не менее 120 мм на дистанции 600 м и 102 мм на дистанции 1000 м по нормали. К слову сказать, такие орудия уже были теорети</w:t>
      </w:r>
      <w:r w:rsidRPr="00D03F3E">
        <w:rPr>
          <w:rFonts w:ascii="Times New Roman" w:hAnsi="Times New Roman"/>
          <w:color w:val="000000" w:themeColor="text1"/>
          <w:sz w:val="16"/>
          <w:szCs w:val="16"/>
        </w:rPr>
        <w:softHyphen/>
        <w:t>чески спроектированы и даже частично изготовлены «в ме</w:t>
      </w:r>
      <w:r w:rsidRPr="00D03F3E">
        <w:rPr>
          <w:rFonts w:ascii="Times New Roman" w:hAnsi="Times New Roman"/>
          <w:color w:val="000000" w:themeColor="text1"/>
          <w:sz w:val="16"/>
          <w:szCs w:val="16"/>
        </w:rPr>
        <w:softHyphen/>
        <w:t>талле» в 1941 г. на заводе № 92, но государственных испы</w:t>
      </w:r>
      <w:r w:rsidRPr="00D03F3E">
        <w:rPr>
          <w:rFonts w:ascii="Times New Roman" w:hAnsi="Times New Roman"/>
          <w:color w:val="000000" w:themeColor="text1"/>
          <w:sz w:val="16"/>
          <w:szCs w:val="16"/>
        </w:rPr>
        <w:softHyphen/>
        <w:t>таний они не проходили и производством боеприпасов для орудий столь большой мощности не занимался никто (11135).</w:t>
      </w:r>
    </w:p>
    <w:p w14:paraId="1117DA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3643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апреля 1943 были получены достоверные данные о броневой защите "Тигра". (3862).</w:t>
      </w:r>
    </w:p>
    <w:p w14:paraId="4BB780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B5C7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noProof/>
          <w:color w:val="000000" w:themeColor="text1"/>
          <w:sz w:val="16"/>
          <w:szCs w:val="16"/>
        </w:rPr>
        <w:t>В начале апреля 1943 г. на НИИБТП в подмосковную Кубинку был доставлен трофейный образец «Тигра». По</w:t>
      </w:r>
      <w:r w:rsidRPr="00D03F3E">
        <w:rPr>
          <w:rFonts w:ascii="Times New Roman" w:hAnsi="Times New Roman"/>
          <w:noProof/>
          <w:color w:val="000000" w:themeColor="text1"/>
          <w:sz w:val="16"/>
          <w:szCs w:val="16"/>
        </w:rPr>
        <w:softHyphen/>
        <w:t>явилась возможность достоверно опреде</w:t>
      </w:r>
      <w:r w:rsidRPr="00D03F3E">
        <w:rPr>
          <w:rFonts w:ascii="Times New Roman" w:hAnsi="Times New Roman"/>
          <w:noProof/>
          <w:color w:val="000000" w:themeColor="text1"/>
          <w:sz w:val="16"/>
          <w:szCs w:val="16"/>
        </w:rPr>
        <w:softHyphen/>
        <w:t>лить его реальную броневую защиту. Постановлением ГКО от 15 апреля 1943 г. №3187сс Наркомату вооружения было по</w:t>
      </w:r>
      <w:r w:rsidRPr="00D03F3E">
        <w:rPr>
          <w:rFonts w:ascii="Times New Roman" w:hAnsi="Times New Roman"/>
          <w:noProof/>
          <w:color w:val="000000" w:themeColor="text1"/>
          <w:sz w:val="16"/>
          <w:szCs w:val="16"/>
        </w:rPr>
        <w:softHyphen/>
        <w:t>ручено создать мощные танковые пушки, способные эффективно бороться с новой бронетанковой техникой врага.</w:t>
      </w:r>
    </w:p>
    <w:p w14:paraId="69A81B3F" w14:textId="77777777" w:rsidR="00DB6725" w:rsidRPr="00D03F3E" w:rsidRDefault="00DB6725" w:rsidP="00D03F3E">
      <w:pPr>
        <w:autoSpaceDE w:val="0"/>
        <w:autoSpaceDN w:val="0"/>
        <w:adjustRightInd w:val="0"/>
        <w:spacing w:after="0" w:line="240" w:lineRule="auto"/>
        <w:jc w:val="both"/>
        <w:rPr>
          <w:rFonts w:ascii="Times New Roman" w:hAnsi="Times New Roman"/>
          <w:noProof/>
          <w:color w:val="000000" w:themeColor="text1"/>
          <w:sz w:val="16"/>
          <w:szCs w:val="16"/>
        </w:rPr>
      </w:pPr>
      <w:r w:rsidRPr="00D03F3E">
        <w:rPr>
          <w:rFonts w:ascii="Times New Roman" w:hAnsi="Times New Roman"/>
          <w:noProof/>
          <w:color w:val="000000" w:themeColor="text1"/>
          <w:sz w:val="16"/>
          <w:szCs w:val="16"/>
        </w:rPr>
        <w:t>В Кубинку были направлены различные артсистемы для определения их сравнитель</w:t>
      </w:r>
      <w:r w:rsidRPr="00D03F3E">
        <w:rPr>
          <w:rFonts w:ascii="Times New Roman" w:hAnsi="Times New Roman"/>
          <w:noProof/>
          <w:color w:val="000000" w:themeColor="text1"/>
          <w:sz w:val="16"/>
          <w:szCs w:val="16"/>
        </w:rPr>
        <w:softHyphen/>
        <w:t>ной эффективности при реальном обстреле трофейного танка. Проведенными в конце апреля стрельбами было установлено, что наиболее эффективно поражает броню «Тиг</w:t>
      </w:r>
      <w:r w:rsidRPr="00D03F3E">
        <w:rPr>
          <w:rFonts w:ascii="Times New Roman" w:hAnsi="Times New Roman"/>
          <w:noProof/>
          <w:color w:val="000000" w:themeColor="text1"/>
          <w:sz w:val="16"/>
          <w:szCs w:val="16"/>
        </w:rPr>
        <w:softHyphen/>
        <w:t>ра» 85-мм зенитная пушка52-Кобр. 1939 г., которая с дистанции до 1000 м уверенно пробивает его 100-мм лобовую броню</w:t>
      </w:r>
      <w:r w:rsidRPr="00D03F3E">
        <w:rPr>
          <w:rFonts w:ascii="Times New Roman" w:hAnsi="Times New Roman"/>
          <w:color w:val="000000" w:themeColor="text1"/>
          <w:sz w:val="16"/>
          <w:szCs w:val="16"/>
        </w:rPr>
        <w:t xml:space="preserve"> (11897)</w:t>
      </w:r>
      <w:r w:rsidRPr="00D03F3E">
        <w:rPr>
          <w:rFonts w:ascii="Times New Roman" w:hAnsi="Times New Roman"/>
          <w:noProof/>
          <w:color w:val="000000" w:themeColor="text1"/>
          <w:sz w:val="16"/>
          <w:szCs w:val="16"/>
        </w:rPr>
        <w:t>.</w:t>
      </w:r>
    </w:p>
    <w:p w14:paraId="712A390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7BDB502E" w14:textId="77777777" w:rsidR="00C36DA0" w:rsidRPr="00D03F3E" w:rsidRDefault="00C36DA0"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начала апреля 1943 года началось формирование самоходно-артиллерийских полков с однотипными установками. Самоходно-артиллерийские полки РГВК по штату №010/456 имели на вооружении установки СУ-76 и состояли из пяти батарей (по 4 установки каждая) и подразделений обеспечения: пункта медицинской помощи, хозяйственного отделения, взвода боепитания, а также ремонтного и транспортного взводов. Командир полка осуществлял управление через штаб полка и взвод управления. Всего в полку числилось 253 человека личного состава и 21 самоходная установка СУ-76. По мере возрастания потребностей фронтов в самоходной артиллерии и расширения производства разных САУ увеличилось и штатное количество боевых машин в полках. В октябре 1943 года по новому штату №010/484 самоходно-артиллерийские полки РГВК, оснащенные уже модернизированными установками СУ-76М, стали четырехбатарейными. В период с октября 1943 года по февраль 1944 года все подобные артполки получили самоходные установки для командиров батарей и были переведены на новые штаты (согласно последним полки имели по четыре батареи и в батареях по 5 САУ). В первой половине 1944 года потребность наших войск в самоходной артиллерии еще более возросла. Особенно войска требовали все большее количество установок сопровождения пехоты КА – СУ-76М. К этому времени самоходная артиллерия уже получила общее признание не только как артиллерия непосредственного сопровождения пехоты и танков, но и как войсковая артиллерия подвижных соединений и мощное средство противотанковой борьбы наземных войск. В связи с потребностями Красной Армии промышленность широко развернула производство легких самоходных установок СУ-76М, удельный вес которых в общем производстве самоходной артиллерии за 1944 год был доведен почти до 60%. Поэтому стало возможным удовлетворить потребности пехоты в орудиях сопровождения и ввести в штат стрелковых дивизий Красной Армии самоходно-артиллерийские подразделения (15218).</w:t>
      </w:r>
    </w:p>
    <w:p w14:paraId="279FF836" w14:textId="77777777" w:rsidR="00C36DA0" w:rsidRPr="00D03F3E" w:rsidRDefault="00C36DA0" w:rsidP="00D03F3E">
      <w:pPr>
        <w:widowControl w:val="0"/>
        <w:spacing w:after="0" w:line="240" w:lineRule="auto"/>
        <w:jc w:val="both"/>
        <w:rPr>
          <w:rFonts w:ascii="Times New Roman" w:hAnsi="Times New Roman"/>
          <w:color w:val="000000" w:themeColor="text1"/>
          <w:sz w:val="16"/>
          <w:szCs w:val="16"/>
        </w:rPr>
      </w:pPr>
    </w:p>
    <w:p w14:paraId="3F02011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AEFAD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E606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апреля 1943 С.В.И. писал письмо N 13/364с НКАП А.И.Ш.:</w:t>
      </w:r>
    </w:p>
    <w:p w14:paraId="7EA6BC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Вашего приказа N 732 от 29 сентября 1942 заводу 24 утвержден срок передачи 2-х моторов АМ-42 на Ил-2 к 15 января 1943, а мне обеспечить окончание гос. испытаний штурмовика с АМ-42 к 1 марта 1943.</w:t>
      </w:r>
    </w:p>
    <w:p w14:paraId="5D8DE0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виду того, что заводом 24 мотор АМ-42 подан лишь 13 марта, прошу Вас установить новый срок выпуска в полет Ил-2 АМ-42: 1-го - 20 апреля, 2-го - 1 мая 1943." (1775,52).</w:t>
      </w:r>
    </w:p>
    <w:p w14:paraId="26F95C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6CD33E"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7 апреля</w:t>
      </w:r>
      <w:r w:rsidRPr="00D03F3E">
        <w:rPr>
          <w:rFonts w:ascii="Times New Roman" w:hAnsi="Times New Roman"/>
          <w:color w:val="000000" w:themeColor="text1"/>
          <w:sz w:val="16"/>
          <w:szCs w:val="16"/>
        </w:rPr>
        <w:t xml:space="preserve"> в 1943 году успешно завершены (начались 27 марта) в НИИ ВВС КА летные испытания </w:t>
      </w:r>
      <w:hyperlink r:id="rId113" w:tgtFrame="_blank" w:history="1">
        <w:r w:rsidRPr="00D03F3E">
          <w:rPr>
            <w:rFonts w:ascii="Times New Roman" w:hAnsi="Times New Roman"/>
            <w:color w:val="000000" w:themeColor="text1"/>
            <w:sz w:val="16"/>
            <w:szCs w:val="16"/>
          </w:rPr>
          <w:t xml:space="preserve">«Ил-2КР» </w:t>
        </w:r>
      </w:hyperlink>
      <w:r w:rsidRPr="00D03F3E">
        <w:rPr>
          <w:rFonts w:ascii="Times New Roman" w:hAnsi="Times New Roman"/>
          <w:color w:val="000000" w:themeColor="text1"/>
          <w:sz w:val="16"/>
          <w:szCs w:val="16"/>
        </w:rPr>
        <w:t>(заводской № 301896), летчик-испытатель А.К.Долгов, ведущий инженер Н.С.Куликов (15092).</w:t>
      </w:r>
    </w:p>
    <w:p w14:paraId="34F0D182" w14:textId="77777777" w:rsidR="00C01EAA" w:rsidRPr="00D03F3E" w:rsidRDefault="00C01EAA" w:rsidP="00D03F3E">
      <w:pPr>
        <w:spacing w:after="0" w:line="240" w:lineRule="auto"/>
        <w:jc w:val="both"/>
        <w:rPr>
          <w:rFonts w:ascii="Times New Roman" w:hAnsi="Times New Roman"/>
          <w:color w:val="000000" w:themeColor="text1"/>
          <w:sz w:val="16"/>
          <w:szCs w:val="16"/>
        </w:rPr>
      </w:pPr>
    </w:p>
    <w:p w14:paraId="15A235DB"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0AF8CC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DA8D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апреля 1943 вышло Постановление ГКО № 3140 О снабжении топливом электростанций Горэнерго Наркомэлектростанций до нового торфяного сезона.РГАНИР, Фонд ГКО, д. 102, лл. 41-43, 44-45 (11012).</w:t>
      </w:r>
    </w:p>
    <w:p w14:paraId="2C61BC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97F46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апреля 1943 вышло Постановление ГКО № 3141 О возврате из Наркомзема СССР 1200 гусеничных тракторов в ГАУ КА. (7093, 46).</w:t>
      </w:r>
    </w:p>
    <w:p w14:paraId="2C8900F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F7F2B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апреля 1943 вышло Постановление ГКО № 3142 Об обеспечении особо срочных перевозок с Дальнего Востока. (7093, 47-49).</w:t>
      </w:r>
    </w:p>
    <w:p w14:paraId="2927BD5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975811" w14:textId="77777777" w:rsidR="00C01EAA"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6D1A7D7B" w14:textId="77777777" w:rsidR="00C01EAA" w:rsidRPr="00D03F3E" w:rsidRDefault="00C01EAA"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4CDAE2"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7 апреля</w:t>
      </w:r>
      <w:r w:rsidRPr="00D03F3E">
        <w:rPr>
          <w:rFonts w:ascii="Times New Roman" w:hAnsi="Times New Roman"/>
          <w:color w:val="000000" w:themeColor="text1"/>
          <w:sz w:val="16"/>
          <w:szCs w:val="16"/>
        </w:rPr>
        <w:t xml:space="preserve"> в 1943 году утреннее сообщение Совинформбюро:</w:t>
      </w:r>
    </w:p>
    <w:p w14:paraId="1B75EC0B"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7 апреля на фронтах существенных изменений не произошло.</w:t>
      </w:r>
    </w:p>
    <w:p w14:paraId="15ED109B"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части Н-ского соединения отбили атаку гитлеровцев. Артиллерийским, миномётным и ружейно-пулемётным огнём истреблено до двух рот немецкой пехоты, подбиты танк и бронемашина противника.</w:t>
      </w:r>
    </w:p>
    <w:p w14:paraId="42A2BD09"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артиллеристы Н-ской части обстреляли автоколонну противника. Разбито до 10 немецких автомашин с боеприпасами. На другом участке наши разведывательные группы истребили 70 немецких солдат и офицеров.</w:t>
      </w:r>
    </w:p>
    <w:p w14:paraId="783ADAFB"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среднего течения Северного Донца бойцы Н-ской части отразили атаку противника. На поле боя осталось 80 вражеских трупов. Огнём артиллерии уничтожен ряд немецких дзотов вместе с их гарнизонами. Советские лётчики в воздушных бояхв течение вчерашнего дня сбили 4 немецких истребителя.</w:t>
      </w:r>
    </w:p>
    <w:p w14:paraId="04EFD1CA"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разведчики одной нашей части ночью совершили налёт на позиции противника, истребили несколько десятков гитлеровцев и взорвали склад боеприпасов. Захватив вражеский миномёт и несколько пулемётов, разведчики вернулись в расположение своей части.</w:t>
      </w:r>
    </w:p>
    <w:p w14:paraId="7F4FD692"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 одном участке противник двумя группами пытался атаковать наши позиции. Огнём из всех видов оружия немцы были отброшены с большими для них потерями. На другом участке артиллеристы Н-ской части подавили огонь миномётной и двух артиллерийских батарей противника.</w:t>
      </w:r>
    </w:p>
    <w:p w14:paraId="34E794FA"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имени Ленина, действующий в одном из районов Украины, взорвал немецкий бронепоезд. Отряд винницких партизан 29 марта ночью проник на узловую железнодорожную станцию и уничтожил немецкую охрану. Партизаны взорвали 2 паровоза и разрушили железнодорожные пути.</w:t>
      </w:r>
    </w:p>
    <w:p w14:paraId="334B1110"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неизвестного немецкого солдата, убитого на Кубани, найдено неотправленное письмо на имя Тильды Баумгартнер. Ниже публикуется перевод письма: «...Я не спал почти трое суток. Могу сказать тебе, что у нас, на фронте, очень плохое настроение. Русские не дают никакой передышки. Мы отдали Кавказ, хотя он стоил нам бесконечно много жертв. Десятки тысяч немецких солдат здесь пожертвовали жизнью и всё без смысла. Русские вернулись и стали хозяевами этих чудесных мест, которые мы уже считали своими.. Я уже говорил, когда был дома, что мы никогда не покорим русских. Со мною не соглашались, мне не верили, а ведь теперь это говорит каждый солдат...».</w:t>
      </w:r>
    </w:p>
    <w:p w14:paraId="61DA6F46"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деревнеБаранове, Смоленской области: «В первые же дни оккупации немецкие бандиты ограбили всех жителей деревни. Перед отступлением гитлеровцы забрали подчистую последние остатки продовольствия, вещи и всё, что случайно уцелело от предыдущих грабежей. Под угрозой смертной казни немцы насильно угнали на каторгу в Германию 40 человек. За отказ ехать в фашистское рабство немецкие палачи расстреляли Евдокию Кожинову, Григория Кожеварова, Петра Кузнецова, Ивана Кудрявцева, Александра Гаврикова и других. Изверги убили 17-летнюю девушку Любовь Трофимовуза сопротивление немецкому офицеру, который пытался её изнасиловать. Заступившуюся за свою дочь Фёклу Трофимову гитлеровцы убили вместе с дочерью. За время хозяйничанья немцев число жителей нашей деревни сократилось наполовину. От имени и по поручению граждан деревни Бараново мы требуем сурово и беспощадно наказать немецких бандитов и разбойников за все их подлые и гнусные злодеяния». Акт подписали: жители деревни Бараново А.Пронникова, Л.Островский и Я.Трофимов.» (15092).</w:t>
      </w:r>
    </w:p>
    <w:p w14:paraId="13EBAFD1" w14:textId="77777777" w:rsidR="00C01EAA" w:rsidRPr="00D03F3E" w:rsidRDefault="00C01EAA" w:rsidP="00D03F3E">
      <w:pPr>
        <w:spacing w:after="0" w:line="240" w:lineRule="auto"/>
        <w:jc w:val="both"/>
        <w:rPr>
          <w:rFonts w:ascii="Times New Roman" w:hAnsi="Times New Roman"/>
          <w:color w:val="000000" w:themeColor="text1"/>
          <w:sz w:val="16"/>
          <w:szCs w:val="16"/>
        </w:rPr>
      </w:pPr>
    </w:p>
    <w:p w14:paraId="53C4A12B"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7 апреля</w:t>
      </w:r>
      <w:r w:rsidRPr="00D03F3E">
        <w:rPr>
          <w:rFonts w:ascii="Times New Roman" w:hAnsi="Times New Roman"/>
          <w:color w:val="000000" w:themeColor="text1"/>
          <w:sz w:val="16"/>
          <w:szCs w:val="16"/>
        </w:rPr>
        <w:t xml:space="preserve"> в 1943 году вечернее сообщение Совинформбюро:</w:t>
      </w:r>
    </w:p>
    <w:p w14:paraId="3967C9F6"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7 апреля на фронтах существенных изменений не произошло.</w:t>
      </w:r>
    </w:p>
    <w:p w14:paraId="5DBBA5F3"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апреля частями нашей авиации на различных участках фронта уничтожено или повреждено не менее 30 немецких автомашин с войсками и грузами, взорван склад боеприпасов, подавлен огонь 10 артиллерийских и миномётных батарей противника.</w:t>
      </w:r>
    </w:p>
    <w:p w14:paraId="02DA5557"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Изюма наши части укрепляли свои позиции. За последние дни противник в бесплодных атаках на этом участке фронта понёс большие потери и в течение дня активности не проявлял. Артиллеристы и миномётчики Н-ской части уничтожили 3 вражеских дзота, 8 автомашин с грузами, подавили огонь миномётной батареи и рассеяли скопление немецкой пехоты.</w:t>
      </w:r>
    </w:p>
    <w:p w14:paraId="0D0899F7"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укрепляли занимаемые рубежи. Огнём артиллерии, миномётов и пулемётов уничтожено до 200 немецких солдат и офицеров и разбито 4 орудия противника. На одном участке рота немецких автоматчиков пыталась разведать систему нашей обороны. После короткого боя гитлеровцы были отброшены на исходные позиции. На поле боя осталось несколько десятков вражеских трупов.</w:t>
      </w:r>
    </w:p>
    <w:p w14:paraId="1E07446B"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бойцы Н-ской части выбили противника из двух населённыхпунктов. Захвачены пленные и трофеи. На другом участке немцы пытались атаковать наши позиции, но были рассеяны ружейно-пулемётным огнём. Артиллеристы части, где командиром тов. Чиннов, произвели огневой налёт на расположение немцев. Разрушено несколько дзотов и уничтожена миномётная батарея противника.</w:t>
      </w:r>
    </w:p>
    <w:p w14:paraId="17D8835F"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районе Белгорода замаскированные в складках местности орудия противника обстреливали наши боевые порядки. Младший сержант Белых, красноармейцы Горелов, Вдовин, Каретин, Тропин, Солощенко и Земляниченко, захватив с собой телефон, незаметно проникли в тыл немцев и обнаружили месторасположение вражеских батарей. Разведчики окружили дом, где находились немецкие артиллеристы, убили часового, затем ворвались в помещение и истребили 20 гитлеровцев. Вызванные по телефону советские танки уничтожили 9 орудий противника.</w:t>
      </w:r>
    </w:p>
    <w:p w14:paraId="68349B2E"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Успешная деятельность партизанских отрядов Ленинградской области вызвала беспокойство среди немецко-фашистских захватчиков. Командующий войсками по охране тыла Северо-Восточной группировки немецких войск генерал-майор Шпейман снарядил против партизан крупную карательную экспедицию. 20 марта немецкие войска начали широкие операции против ленинградских партизан. Советские патриоты, уклоняясь от лобовых ударов численно превосходящих сил противника, совершали непрерывные налёты на тылы и фланги гитлеровцев. За несколько дней боев, по неполным данным, партизаны истребили более 1000 немецких солдат и офицеров, сожгли и подбили 8 вражеских танков. Захвачены трофеи, в числе которых много пулемётов, винтовок и боеприпасов.</w:t>
      </w:r>
    </w:p>
    <w:p w14:paraId="453216BB"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учинили чудовищное злодеяние над жителями деревни Палкино, Смоленской области. Гитлеровцы согнали 30 женщин и детей в три дома и живьём сожгли их. Сгорели Александра Фомина и её четыре дочери в возрасте от 4до 9 лет, Анастасия Васильева и её две дочери, Екатерина Гытина с грудным ребёнком и другие. Немецкие бандиты сожгли в деревне жилые дома и хозяйственные постройки колхозников.</w:t>
      </w:r>
    </w:p>
    <w:p w14:paraId="2D9ECC04"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Парижском районе (Франция) скрывается много немецких солдат, дезертировавших из армии, как только они узнали, что их части перебрасываются на советско-немецкий фронт. Специальные отряды эсэсовцев и жандармов день и ночь охотятся за дезертирами. В конце марта в Париже и его окрестностях задержано около 300 дезертиров. По приказу генерала фон Рундштедта расстреляно 90 немецких солдат, дезертировавших из своих частей.» (15092).</w:t>
      </w:r>
    </w:p>
    <w:p w14:paraId="40058541" w14:textId="77777777" w:rsidR="00C01EAA" w:rsidRPr="00D03F3E" w:rsidRDefault="00C01EAA" w:rsidP="00D03F3E">
      <w:pPr>
        <w:spacing w:after="0" w:line="240" w:lineRule="auto"/>
        <w:jc w:val="both"/>
        <w:rPr>
          <w:rFonts w:ascii="Times New Roman" w:hAnsi="Times New Roman"/>
          <w:color w:val="000000" w:themeColor="text1"/>
          <w:sz w:val="16"/>
          <w:szCs w:val="16"/>
        </w:rPr>
      </w:pPr>
    </w:p>
    <w:p w14:paraId="2ED5D34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5C1600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1AA4E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апреля 1943 советское правительство призвало своих граждан временно прекратить добровольные взносы в поддержку Красной армии в связи с выпуском Займа обороны (4962).</w:t>
      </w:r>
    </w:p>
    <w:p w14:paraId="4034BC7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2FABF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апреля 1943 вышло Постановление ГКО № 3143 Об эвакуации раненых и больных средствами речного флота в навигацию 1943 года. (7093, 50-51,52-54).</w:t>
      </w:r>
    </w:p>
    <w:p w14:paraId="39E561E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E88FD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07E3E1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55CC97"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7 апреля</w:t>
      </w:r>
      <w:r w:rsidRPr="00D03F3E">
        <w:rPr>
          <w:rFonts w:ascii="Times New Roman" w:hAnsi="Times New Roman"/>
          <w:color w:val="000000" w:themeColor="text1"/>
          <w:sz w:val="16"/>
          <w:szCs w:val="16"/>
        </w:rPr>
        <w:t xml:space="preserve"> в 1943 году (7–10 апреля) переговоры Гитлера с Муссолини в Зальцбурге. Муссолини вновь настойчиво советовал Гитлеру заключить мир с СССР. Гитлер наоборот был полон решимости продолжать войну с СССР и отказал итальянской стороне в ее просьбах о помощи в средиземноморском регионе (15092).</w:t>
      </w:r>
    </w:p>
    <w:p w14:paraId="1296AAC7" w14:textId="77777777" w:rsidR="00C01EAA" w:rsidRPr="00D03F3E" w:rsidRDefault="00C01EAA" w:rsidP="00D03F3E">
      <w:pPr>
        <w:spacing w:after="0" w:line="240" w:lineRule="auto"/>
        <w:jc w:val="both"/>
        <w:rPr>
          <w:rFonts w:ascii="Times New Roman" w:hAnsi="Times New Roman"/>
          <w:color w:val="000000" w:themeColor="text1"/>
          <w:sz w:val="16"/>
          <w:szCs w:val="16"/>
        </w:rPr>
      </w:pPr>
    </w:p>
    <w:p w14:paraId="392259A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апреля 1943 Гитлер и Муссолини провели переговоры в Класхейме (4962).</w:t>
      </w:r>
    </w:p>
    <w:p w14:paraId="75D7235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7333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апреля 1943 А.Гитлер и Б.Муссолини встретились в ставке фюрера (2262).</w:t>
      </w:r>
    </w:p>
    <w:p w14:paraId="33886A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7A3A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апреля 1943 войну Германии, Италии и Японии объявила Боливия (2246,2).</w:t>
      </w:r>
    </w:p>
    <w:p w14:paraId="532B89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347F6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апреля 1943 Боливия объявила войну фашистским державам (4962).</w:t>
      </w:r>
    </w:p>
    <w:p w14:paraId="21084C3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5FA900" w14:textId="77777777" w:rsidR="00C01EAA" w:rsidRPr="00D03F3E" w:rsidRDefault="00C01EA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7 апреля</w:t>
      </w:r>
      <w:r w:rsidRPr="00D03F3E">
        <w:rPr>
          <w:rFonts w:ascii="Times New Roman" w:hAnsi="Times New Roman"/>
          <w:color w:val="000000" w:themeColor="text1"/>
          <w:sz w:val="16"/>
          <w:szCs w:val="16"/>
        </w:rPr>
        <w:t xml:space="preserve"> в 1943 году швейцарец Альберт Хофман впервые синтезировал ЛСД. ЛСД - диэтиламид лизергиновой кислоты - один из главных наркотиков, составляющих класс галлюциногенов. ЛСД был обнаружен в 1938 году и представляет собой одно из самых мощных химических соединений, способных менять настроение, он изготавливается из лизергиновой кислоты, которая содержится в спорынье и одноклеточных грибах, которые поражают зерновые культуры. ЛСД - наиболее </w:t>
      </w:r>
      <w:r w:rsidRPr="00D03F3E">
        <w:rPr>
          <w:rFonts w:ascii="Times New Roman" w:hAnsi="Times New Roman"/>
          <w:color w:val="000000" w:themeColor="text1"/>
          <w:sz w:val="16"/>
          <w:szCs w:val="16"/>
        </w:rPr>
        <w:lastRenderedPageBreak/>
        <w:t>распространенный наркотик среди молодежи, которая считает его не опасным и не вызывающим привыкание, часто используется на дискотеках как средство для усиления ощущений от праздника, также считается, что он стимулирует творческие способности и поэтому популярен в среде художников-авангардистов, рок-музыкантов. Эффекты этого, одного из сильнейших наркотиков непредсказуемы (15092).</w:t>
      </w:r>
    </w:p>
    <w:p w14:paraId="2EE33D7E" w14:textId="77777777" w:rsidR="00C01EAA" w:rsidRPr="00D03F3E" w:rsidRDefault="00C01EAA" w:rsidP="00D03F3E">
      <w:pPr>
        <w:spacing w:after="0" w:line="240" w:lineRule="auto"/>
        <w:jc w:val="both"/>
        <w:rPr>
          <w:rFonts w:ascii="Times New Roman" w:hAnsi="Times New Roman"/>
          <w:color w:val="000000" w:themeColor="text1"/>
          <w:sz w:val="16"/>
          <w:szCs w:val="16"/>
        </w:rPr>
      </w:pPr>
    </w:p>
    <w:p w14:paraId="5EBAD21B"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01B2C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8CCA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вышло Постановление ГКО № 3144 О выпуске самолетов Ил-2 с пушками калибра 37 мм.РГАНИР, Фонд ГКО, д. 102, лл. 55-57 (11012).</w:t>
      </w:r>
    </w:p>
    <w:p w14:paraId="4D33F8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D451CE" w14:textId="77777777" w:rsidR="00576841" w:rsidRPr="00D03F3E" w:rsidRDefault="005768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вышло Постановление ГКО № 3144 О выпуске самолетов Ил-2 с пушками калибра 37 мм.</w:t>
      </w:r>
    </w:p>
    <w:p w14:paraId="35533855" w14:textId="77777777" w:rsidR="00576841" w:rsidRPr="00D03F3E" w:rsidRDefault="005768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Государственный Комйтет Обороны постановляет:</w:t>
      </w:r>
    </w:p>
    <w:p w14:paraId="54A4EF51" w14:textId="77777777" w:rsidR="00576841" w:rsidRPr="00D03F3E" w:rsidRDefault="00576841" w:rsidP="00D03F3E">
      <w:pPr>
        <w:tabs>
          <w:tab w:val="left" w:pos="112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 Принять к сведению сообщение ВВС Красной Армии (т.Никитина и т.Репина) и Наркомавиапрома (т.Шахурина) о том, </w:t>
      </w:r>
      <w:r w:rsidRPr="00D03F3E">
        <w:rPr>
          <w:rStyle w:val="16"/>
          <w:rFonts w:ascii="Times New Roman" w:hAnsi="Times New Roman" w:cs="Times New Roman"/>
          <w:color w:val="000000" w:themeColor="text1"/>
          <w:spacing w:val="0"/>
          <w:u w:val="none"/>
        </w:rPr>
        <w:t xml:space="preserve">что </w:t>
      </w:r>
      <w:r w:rsidRPr="00D03F3E">
        <w:rPr>
          <w:rFonts w:ascii="Times New Roman" w:hAnsi="Times New Roman"/>
          <w:color w:val="000000" w:themeColor="text1"/>
          <w:sz w:val="16"/>
          <w:szCs w:val="16"/>
        </w:rPr>
        <w:t>в Научно-испытательном полигоне авиационного вооружения удовлетворительно прошел испытания самолет Ил-2, вооруженный двумя крыльевыми пушками калибра 37мм системы ОКБ-16 с боезапасом по 50 штук патрон на каждую пушку.</w:t>
      </w:r>
    </w:p>
    <w:p w14:paraId="567DD97B" w14:textId="77777777" w:rsidR="00576841" w:rsidRPr="00D03F3E" w:rsidRDefault="00576841" w:rsidP="00D03F3E">
      <w:pPr>
        <w:tabs>
          <w:tab w:val="left" w:pos="115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Обязать Наркомавиапром - т.Шахурина и директора завода № 30 - т.Шапиро выпускать на заводе № 30 самоле</w:t>
      </w:r>
      <w:r w:rsidRPr="00D03F3E">
        <w:rPr>
          <w:rFonts w:ascii="Times New Roman" w:hAnsi="Times New Roman"/>
          <w:color w:val="000000" w:themeColor="text1"/>
          <w:sz w:val="16"/>
          <w:szCs w:val="16"/>
        </w:rPr>
        <w:softHyphen/>
        <w:t>ты Ил-2 по чертежам главного конструктора т.Ильюшина с двумя 37 мм пушками системы ОКБ-16, с запасом патронов на каждую пушку по 50 штук, без реактивных снарядов, с бомбовой нагрузкой 100 кг. в нормальном варианте и 200 кг. в перегрузочном, в следующих количествах и сро</w:t>
      </w:r>
      <w:r w:rsidRPr="00D03F3E">
        <w:rPr>
          <w:rFonts w:ascii="Times New Roman" w:hAnsi="Times New Roman"/>
          <w:color w:val="000000" w:themeColor="text1"/>
          <w:sz w:val="16"/>
          <w:szCs w:val="16"/>
        </w:rPr>
        <w:softHyphen/>
        <w:t>ки: в мае 50 самолетов, в ионе</w:t>
      </w:r>
      <w:r w:rsidRPr="00D03F3E">
        <w:rPr>
          <w:rStyle w:val="0pt2"/>
          <w:rFonts w:ascii="Times New Roman" w:hAnsi="Times New Roman" w:cs="Times New Roman"/>
          <w:b w:val="0"/>
          <w:color w:val="000000" w:themeColor="text1"/>
        </w:rPr>
        <w:t xml:space="preserve"> 125</w:t>
      </w:r>
      <w:r w:rsidRPr="00D03F3E">
        <w:rPr>
          <w:rFonts w:ascii="Times New Roman" w:hAnsi="Times New Roman"/>
          <w:color w:val="000000" w:themeColor="text1"/>
          <w:sz w:val="16"/>
          <w:szCs w:val="16"/>
        </w:rPr>
        <w:t xml:space="preserve"> самолетов, в июле 175 самолетов и с августа месяца перейти на заводе № 30 на выпуск в</w:t>
      </w:r>
      <w:r w:rsidRPr="00D03F3E">
        <w:rPr>
          <w:rFonts w:ascii="Times New Roman" w:hAnsi="Times New Roman"/>
          <w:color w:val="000000" w:themeColor="text1"/>
          <w:sz w:val="16"/>
          <w:szCs w:val="16"/>
          <w:lang w:val="en-US"/>
        </w:rPr>
        <w:t>cex</w:t>
      </w:r>
      <w:r w:rsidRPr="00D03F3E">
        <w:rPr>
          <w:rFonts w:ascii="Times New Roman" w:hAnsi="Times New Roman"/>
          <w:color w:val="000000" w:themeColor="text1"/>
          <w:sz w:val="16"/>
          <w:szCs w:val="16"/>
        </w:rPr>
        <w:t xml:space="preserve"> самолетов с</w:t>
      </w:r>
      <w:r w:rsidRPr="00D03F3E">
        <w:rPr>
          <w:rStyle w:val="0pt2"/>
          <w:rFonts w:ascii="Times New Roman" w:hAnsi="Times New Roman" w:cs="Times New Roman"/>
          <w:b w:val="0"/>
          <w:color w:val="000000" w:themeColor="text1"/>
        </w:rPr>
        <w:t xml:space="preserve"> </w:t>
      </w:r>
      <w:r w:rsidRPr="00D03F3E">
        <w:rPr>
          <w:rStyle w:val="0pt2"/>
          <w:rFonts w:ascii="Times New Roman" w:hAnsi="Times New Roman" w:cs="Times New Roman"/>
          <w:b w:val="0"/>
          <w:smallCaps w:val="0"/>
          <w:color w:val="000000" w:themeColor="text1"/>
        </w:rPr>
        <w:t>37 мм</w:t>
      </w:r>
      <w:r w:rsidRPr="00D03F3E">
        <w:rPr>
          <w:rFonts w:ascii="Times New Roman" w:hAnsi="Times New Roman"/>
          <w:color w:val="000000" w:themeColor="text1"/>
          <w:sz w:val="16"/>
          <w:szCs w:val="16"/>
        </w:rPr>
        <w:t xml:space="preserve"> пушками.</w:t>
      </w:r>
    </w:p>
    <w:p w14:paraId="350D2278" w14:textId="77777777" w:rsidR="00576841" w:rsidRPr="00D03F3E" w:rsidRDefault="005768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Обязать Наркомвооружения - т.Устинова и дирек</w:t>
      </w:r>
      <w:r w:rsidRPr="00D03F3E">
        <w:rPr>
          <w:rFonts w:ascii="Times New Roman" w:hAnsi="Times New Roman"/>
          <w:color w:val="000000" w:themeColor="text1"/>
          <w:sz w:val="16"/>
          <w:szCs w:val="16"/>
        </w:rPr>
        <w:softHyphen/>
        <w:t xml:space="preserve">тора завода </w:t>
      </w:r>
      <w:r w:rsidRPr="00D03F3E">
        <w:rPr>
          <w:rStyle w:val="95pt0"/>
          <w:rFonts w:ascii="Times New Roman" w:hAnsi="Times New Roman" w:cs="Times New Roman"/>
          <w:b w:val="0"/>
          <w:i w:val="0"/>
          <w:color w:val="000000" w:themeColor="text1"/>
          <w:spacing w:val="0"/>
          <w:sz w:val="16"/>
          <w:szCs w:val="16"/>
          <w:lang w:val="ru-RU"/>
        </w:rPr>
        <w:t>№ 74 -</w:t>
      </w:r>
      <w:r w:rsidRPr="00D03F3E">
        <w:rPr>
          <w:rFonts w:ascii="Times New Roman" w:hAnsi="Times New Roman"/>
          <w:color w:val="000000" w:themeColor="text1"/>
          <w:sz w:val="16"/>
          <w:szCs w:val="16"/>
        </w:rPr>
        <w:t xml:space="preserve"> т.Иванова обеспечить поставку Нарком- авиапрому 37 мм пушек системы ОКБ-16 (крыльевых и мотор</w:t>
      </w:r>
      <w:r w:rsidRPr="00D03F3E">
        <w:rPr>
          <w:rFonts w:ascii="Times New Roman" w:hAnsi="Times New Roman"/>
          <w:color w:val="000000" w:themeColor="text1"/>
          <w:sz w:val="16"/>
          <w:szCs w:val="16"/>
        </w:rPr>
        <w:softHyphen/>
        <w:t>ных) в следующих количествах и сроки: в апреле 150 пу</w:t>
      </w:r>
      <w:r w:rsidRPr="00D03F3E">
        <w:rPr>
          <w:rFonts w:ascii="Times New Roman" w:hAnsi="Times New Roman"/>
          <w:color w:val="000000" w:themeColor="text1"/>
          <w:sz w:val="16"/>
          <w:szCs w:val="16"/>
        </w:rPr>
        <w:softHyphen/>
        <w:t xml:space="preserve">шек, г. мае 275, в июне 400 и с июля месяца </w:t>
      </w:r>
      <w:r w:rsidRPr="00D03F3E">
        <w:rPr>
          <w:rStyle w:val="0pt"/>
          <w:rFonts w:ascii="Times New Roman" w:hAnsi="Times New Roman" w:cs="Times New Roman"/>
          <w:color w:val="000000" w:themeColor="text1"/>
          <w:spacing w:val="0"/>
          <w:sz w:val="16"/>
          <w:szCs w:val="16"/>
        </w:rPr>
        <w:t>1943</w:t>
      </w:r>
      <w:r w:rsidRPr="00D03F3E">
        <w:rPr>
          <w:rFonts w:ascii="Times New Roman" w:hAnsi="Times New Roman"/>
          <w:color w:val="000000" w:themeColor="text1"/>
          <w:sz w:val="16"/>
          <w:szCs w:val="16"/>
        </w:rPr>
        <w:t xml:space="preserve"> года в </w:t>
      </w:r>
      <w:r w:rsidRPr="00D03F3E">
        <w:rPr>
          <w:rStyle w:val="16"/>
          <w:rFonts w:ascii="Times New Roman" w:hAnsi="Times New Roman" w:cs="Times New Roman"/>
          <w:color w:val="000000" w:themeColor="text1"/>
          <w:spacing w:val="0"/>
          <w:u w:val="none"/>
        </w:rPr>
        <w:t xml:space="preserve">количествах, в соответствии </w:t>
      </w:r>
      <w:r w:rsidRPr="00D03F3E">
        <w:rPr>
          <w:rFonts w:ascii="Times New Roman" w:hAnsi="Times New Roman"/>
          <w:color w:val="000000" w:themeColor="text1"/>
          <w:sz w:val="16"/>
          <w:szCs w:val="16"/>
        </w:rPr>
        <w:t xml:space="preserve">с </w:t>
      </w:r>
      <w:r w:rsidRPr="00D03F3E">
        <w:rPr>
          <w:rStyle w:val="16"/>
          <w:rFonts w:ascii="Times New Roman" w:hAnsi="Times New Roman" w:cs="Times New Roman"/>
          <w:color w:val="000000" w:themeColor="text1"/>
          <w:spacing w:val="0"/>
          <w:u w:val="none"/>
        </w:rPr>
        <w:t>программой НКАП по выпу</w:t>
      </w:r>
      <w:r w:rsidRPr="00D03F3E">
        <w:rPr>
          <w:rStyle w:val="16"/>
          <w:rFonts w:ascii="Times New Roman" w:hAnsi="Times New Roman" w:cs="Times New Roman"/>
          <w:color w:val="000000" w:themeColor="text1"/>
          <w:spacing w:val="0"/>
          <w:u w:val="none"/>
        </w:rPr>
        <w:softHyphen/>
        <w:t xml:space="preserve">ску самолетов </w:t>
      </w:r>
      <w:r w:rsidRPr="00D03F3E">
        <w:rPr>
          <w:rFonts w:ascii="Times New Roman" w:hAnsi="Times New Roman"/>
          <w:color w:val="000000" w:themeColor="text1"/>
          <w:sz w:val="16"/>
          <w:szCs w:val="16"/>
        </w:rPr>
        <w:t xml:space="preserve">с </w:t>
      </w:r>
      <w:r w:rsidRPr="00D03F3E">
        <w:rPr>
          <w:rStyle w:val="16"/>
          <w:rFonts w:ascii="Times New Roman" w:hAnsi="Times New Roman" w:cs="Times New Roman"/>
          <w:color w:val="000000" w:themeColor="text1"/>
          <w:spacing w:val="0"/>
          <w:u w:val="none"/>
        </w:rPr>
        <w:t xml:space="preserve">37 мм: пушками, доведя выпуск </w:t>
      </w:r>
      <w:r w:rsidRPr="00D03F3E">
        <w:rPr>
          <w:rFonts w:ascii="Times New Roman" w:hAnsi="Times New Roman"/>
          <w:color w:val="000000" w:themeColor="text1"/>
          <w:sz w:val="16"/>
          <w:szCs w:val="16"/>
        </w:rPr>
        <w:t xml:space="preserve">этих </w:t>
      </w:r>
      <w:r w:rsidRPr="00D03F3E">
        <w:rPr>
          <w:rStyle w:val="16"/>
          <w:rFonts w:ascii="Times New Roman" w:hAnsi="Times New Roman" w:cs="Times New Roman"/>
          <w:color w:val="000000" w:themeColor="text1"/>
          <w:spacing w:val="0"/>
          <w:u w:val="none"/>
        </w:rPr>
        <w:t>пушек</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в сентябре </w:t>
      </w:r>
      <w:r w:rsidRPr="00D03F3E">
        <w:rPr>
          <w:rFonts w:ascii="Times New Roman" w:hAnsi="Times New Roman"/>
          <w:color w:val="000000" w:themeColor="text1"/>
          <w:sz w:val="16"/>
          <w:szCs w:val="16"/>
        </w:rPr>
        <w:t xml:space="preserve">с.г. </w:t>
      </w:r>
      <w:r w:rsidRPr="00D03F3E">
        <w:rPr>
          <w:rStyle w:val="16"/>
          <w:rFonts w:ascii="Times New Roman" w:hAnsi="Times New Roman" w:cs="Times New Roman"/>
          <w:color w:val="000000" w:themeColor="text1"/>
          <w:spacing w:val="0"/>
          <w:u w:val="none"/>
        </w:rPr>
        <w:t>до 300 штук в</w:t>
      </w:r>
      <w:r w:rsidRPr="00D03F3E">
        <w:rPr>
          <w:rFonts w:ascii="Times New Roman" w:hAnsi="Times New Roman"/>
          <w:color w:val="000000" w:themeColor="text1"/>
          <w:sz w:val="16"/>
          <w:szCs w:val="16"/>
        </w:rPr>
        <w:t xml:space="preserve"> месяц.</w:t>
      </w:r>
    </w:p>
    <w:p w14:paraId="53F026D1" w14:textId="77777777" w:rsidR="00576841" w:rsidRPr="00D03F3E" w:rsidRDefault="00576841" w:rsidP="00D03F3E">
      <w:pPr>
        <w:tabs>
          <w:tab w:val="left" w:pos="988"/>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 xml:space="preserve">4. Обязать Наркомбоеприпасов </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т.Ванникова:</w:t>
      </w:r>
    </w:p>
    <w:p w14:paraId="3F0DF5DE" w14:textId="77777777" w:rsidR="00576841" w:rsidRPr="00D03F3E" w:rsidRDefault="00576841" w:rsidP="00D03F3E">
      <w:pPr>
        <w:tabs>
          <w:tab w:val="left" w:pos="995"/>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а) поставить ВБС  КА боевые патроны калибра 37мм</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для 37мм пушек ОКБ-16 в комплекте ее звеньями в сле</w:t>
      </w:r>
      <w:r w:rsidRPr="00D03F3E">
        <w:rPr>
          <w:rStyle w:val="16"/>
          <w:rFonts w:ascii="Times New Roman" w:hAnsi="Times New Roman" w:cs="Times New Roman"/>
          <w:color w:val="000000" w:themeColor="text1"/>
          <w:spacing w:val="0"/>
          <w:u w:val="none"/>
        </w:rPr>
        <w:softHyphen/>
        <w:t xml:space="preserve">дующих количествах </w:t>
      </w:r>
      <w:r w:rsidRPr="00D03F3E">
        <w:rPr>
          <w:rFonts w:ascii="Times New Roman" w:hAnsi="Times New Roman"/>
          <w:color w:val="000000" w:themeColor="text1"/>
          <w:sz w:val="16"/>
          <w:szCs w:val="16"/>
        </w:rPr>
        <w:t xml:space="preserve">и </w:t>
      </w:r>
      <w:r w:rsidRPr="00D03F3E">
        <w:rPr>
          <w:rStyle w:val="16"/>
          <w:rFonts w:ascii="Times New Roman" w:hAnsi="Times New Roman" w:cs="Times New Roman"/>
          <w:color w:val="000000" w:themeColor="text1"/>
          <w:spacing w:val="0"/>
          <w:u w:val="none"/>
        </w:rPr>
        <w:t xml:space="preserve">сроки: в мае </w:t>
      </w:r>
      <w:r w:rsidRPr="00D03F3E">
        <w:rPr>
          <w:rStyle w:val="2pt0"/>
          <w:rFonts w:ascii="Times New Roman" w:hAnsi="Times New Roman" w:cs="Times New Roman"/>
          <w:color w:val="000000" w:themeColor="text1"/>
          <w:spacing w:val="0"/>
          <w:sz w:val="16"/>
          <w:szCs w:val="16"/>
        </w:rPr>
        <w:t>с.г.</w:t>
      </w:r>
      <w:r w:rsidRPr="00D03F3E">
        <w:rPr>
          <w:rStyle w:val="16"/>
          <w:rFonts w:ascii="Times New Roman" w:hAnsi="Times New Roman" w:cs="Times New Roman"/>
          <w:color w:val="000000" w:themeColor="text1"/>
          <w:spacing w:val="0"/>
          <w:u w:val="none"/>
        </w:rPr>
        <w:t xml:space="preserve"> 125.000 штук, в</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иене 250.000 штук, в </w:t>
      </w:r>
      <w:r w:rsidRPr="00D03F3E">
        <w:rPr>
          <w:rFonts w:ascii="Times New Roman" w:hAnsi="Times New Roman"/>
          <w:color w:val="000000" w:themeColor="text1"/>
          <w:sz w:val="16"/>
          <w:szCs w:val="16"/>
        </w:rPr>
        <w:t xml:space="preserve">июле </w:t>
      </w:r>
      <w:r w:rsidRPr="00D03F3E">
        <w:rPr>
          <w:rStyle w:val="16"/>
          <w:rFonts w:ascii="Times New Roman" w:hAnsi="Times New Roman" w:cs="Times New Roman"/>
          <w:color w:val="000000" w:themeColor="text1"/>
          <w:spacing w:val="0"/>
          <w:u w:val="none"/>
        </w:rPr>
        <w:t xml:space="preserve">- 450.000 штук </w:t>
      </w:r>
      <w:r w:rsidRPr="00D03F3E">
        <w:rPr>
          <w:rFonts w:ascii="Times New Roman" w:hAnsi="Times New Roman"/>
          <w:color w:val="000000" w:themeColor="text1"/>
          <w:sz w:val="16"/>
          <w:szCs w:val="16"/>
        </w:rPr>
        <w:t xml:space="preserve">и </w:t>
      </w:r>
      <w:r w:rsidRPr="00D03F3E">
        <w:rPr>
          <w:rStyle w:val="16"/>
          <w:rFonts w:ascii="Times New Roman" w:hAnsi="Times New Roman" w:cs="Times New Roman"/>
          <w:color w:val="000000" w:themeColor="text1"/>
          <w:spacing w:val="0"/>
          <w:u w:val="none"/>
        </w:rPr>
        <w:t>в августа</w:t>
      </w:r>
      <w:r w:rsidRPr="00D03F3E">
        <w:rPr>
          <w:rFonts w:ascii="Times New Roman" w:hAnsi="Times New Roman"/>
          <w:color w:val="000000" w:themeColor="text1"/>
          <w:sz w:val="16"/>
          <w:szCs w:val="16"/>
        </w:rPr>
        <w:t xml:space="preserve"> 1</w:t>
      </w:r>
      <w:r w:rsidRPr="00D03F3E">
        <w:rPr>
          <w:rStyle w:val="16"/>
          <w:rFonts w:ascii="Times New Roman" w:hAnsi="Times New Roman" w:cs="Times New Roman"/>
          <w:color w:val="000000" w:themeColor="text1"/>
          <w:spacing w:val="0"/>
          <w:u w:val="none"/>
        </w:rPr>
        <w:t>.000.000 штук.</w:t>
      </w:r>
    </w:p>
    <w:p w14:paraId="159E2C9A" w14:textId="77777777" w:rsidR="00576841" w:rsidRPr="00D03F3E" w:rsidRDefault="00576841" w:rsidP="00D03F3E">
      <w:pPr>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 xml:space="preserve">Патроны поставлять </w:t>
      </w:r>
      <w:r w:rsidRPr="00D03F3E">
        <w:rPr>
          <w:rFonts w:ascii="Times New Roman" w:hAnsi="Times New Roman"/>
          <w:color w:val="000000" w:themeColor="text1"/>
          <w:sz w:val="16"/>
          <w:szCs w:val="16"/>
        </w:rPr>
        <w:t xml:space="preserve">из </w:t>
      </w:r>
      <w:r w:rsidRPr="00D03F3E">
        <w:rPr>
          <w:rStyle w:val="16"/>
          <w:rFonts w:ascii="Times New Roman" w:hAnsi="Times New Roman" w:cs="Times New Roman"/>
          <w:color w:val="000000" w:themeColor="text1"/>
          <w:spacing w:val="0"/>
          <w:u w:val="none"/>
        </w:rPr>
        <w:t>расчета 70% бронебойных и 30% осколочжх от общего количества;</w:t>
      </w:r>
    </w:p>
    <w:p w14:paraId="7021D973" w14:textId="77777777" w:rsidR="00576841" w:rsidRPr="00D03F3E" w:rsidRDefault="00576841" w:rsidP="00D03F3E">
      <w:pPr>
        <w:tabs>
          <w:tab w:val="left" w:pos="995"/>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б) поставить Наркомавиапрому лафето-пробных патро</w:t>
      </w:r>
      <w:r w:rsidRPr="00D03F3E">
        <w:rPr>
          <w:rStyle w:val="16"/>
          <w:rFonts w:ascii="Times New Roman" w:hAnsi="Times New Roman" w:cs="Times New Roman"/>
          <w:color w:val="000000" w:themeColor="text1"/>
          <w:spacing w:val="0"/>
          <w:u w:val="none"/>
        </w:rPr>
        <w:softHyphen/>
        <w:t xml:space="preserve">нов </w:t>
      </w:r>
      <w:r w:rsidRPr="00D03F3E">
        <w:rPr>
          <w:rFonts w:ascii="Times New Roman" w:hAnsi="Times New Roman"/>
          <w:color w:val="000000" w:themeColor="text1"/>
          <w:sz w:val="16"/>
          <w:szCs w:val="16"/>
        </w:rPr>
        <w:t xml:space="preserve">калибра </w:t>
      </w:r>
      <w:r w:rsidRPr="00D03F3E">
        <w:rPr>
          <w:rStyle w:val="16"/>
          <w:rFonts w:ascii="Times New Roman" w:hAnsi="Times New Roman" w:cs="Times New Roman"/>
          <w:color w:val="000000" w:themeColor="text1"/>
          <w:spacing w:val="0"/>
          <w:u w:val="none"/>
        </w:rPr>
        <w:t xml:space="preserve">37 </w:t>
      </w:r>
      <w:r w:rsidRPr="00D03F3E">
        <w:rPr>
          <w:rFonts w:ascii="Times New Roman" w:hAnsi="Times New Roman"/>
          <w:color w:val="000000" w:themeColor="text1"/>
          <w:sz w:val="16"/>
          <w:szCs w:val="16"/>
        </w:rPr>
        <w:t xml:space="preserve">мм и </w:t>
      </w:r>
      <w:r w:rsidRPr="00D03F3E">
        <w:rPr>
          <w:rStyle w:val="16"/>
          <w:rFonts w:ascii="Times New Roman" w:hAnsi="Times New Roman" w:cs="Times New Roman"/>
          <w:color w:val="000000" w:themeColor="text1"/>
          <w:spacing w:val="0"/>
          <w:u w:val="none"/>
        </w:rPr>
        <w:t xml:space="preserve">звеньев </w:t>
      </w:r>
      <w:r w:rsidRPr="00D03F3E">
        <w:rPr>
          <w:rFonts w:ascii="Times New Roman" w:hAnsi="Times New Roman"/>
          <w:color w:val="000000" w:themeColor="text1"/>
          <w:sz w:val="16"/>
          <w:szCs w:val="16"/>
        </w:rPr>
        <w:t>к ним в</w:t>
      </w:r>
      <w:r w:rsidRPr="00D03F3E">
        <w:rPr>
          <w:rStyle w:val="16"/>
          <w:rFonts w:ascii="Times New Roman" w:hAnsi="Times New Roman" w:cs="Times New Roman"/>
          <w:color w:val="000000" w:themeColor="text1"/>
          <w:spacing w:val="0"/>
          <w:u w:val="none"/>
        </w:rPr>
        <w:t xml:space="preserve"> следующих количест</w:t>
      </w:r>
      <w:r w:rsidRPr="00D03F3E">
        <w:rPr>
          <w:rStyle w:val="16"/>
          <w:rFonts w:ascii="Times New Roman" w:hAnsi="Times New Roman" w:cs="Times New Roman"/>
          <w:color w:val="000000" w:themeColor="text1"/>
          <w:spacing w:val="0"/>
          <w:u w:val="none"/>
        </w:rPr>
        <w:softHyphen/>
        <w:t xml:space="preserve">вах </w:t>
      </w:r>
      <w:r w:rsidRPr="00D03F3E">
        <w:rPr>
          <w:rFonts w:ascii="Times New Roman" w:hAnsi="Times New Roman"/>
          <w:color w:val="000000" w:themeColor="text1"/>
          <w:sz w:val="16"/>
          <w:szCs w:val="16"/>
        </w:rPr>
        <w:t xml:space="preserve">и </w:t>
      </w:r>
      <w:r w:rsidRPr="00D03F3E">
        <w:rPr>
          <w:rStyle w:val="16"/>
          <w:rFonts w:ascii="Times New Roman" w:hAnsi="Times New Roman" w:cs="Times New Roman"/>
          <w:color w:val="000000" w:themeColor="text1"/>
          <w:spacing w:val="0"/>
          <w:u w:val="none"/>
        </w:rPr>
        <w:t xml:space="preserve">сроки: в апреле 5.000 </w:t>
      </w:r>
      <w:r w:rsidRPr="00D03F3E">
        <w:rPr>
          <w:rFonts w:ascii="Times New Roman" w:hAnsi="Times New Roman"/>
          <w:color w:val="000000" w:themeColor="text1"/>
          <w:sz w:val="16"/>
          <w:szCs w:val="16"/>
        </w:rPr>
        <w:t xml:space="preserve">штук, </w:t>
      </w:r>
      <w:r w:rsidRPr="00D03F3E">
        <w:rPr>
          <w:rStyle w:val="16"/>
          <w:rFonts w:ascii="Times New Roman" w:hAnsi="Times New Roman" w:cs="Times New Roman"/>
          <w:color w:val="000000" w:themeColor="text1"/>
          <w:spacing w:val="0"/>
          <w:u w:val="none"/>
        </w:rPr>
        <w:t>в мае 7.000 штук, в</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июне 12.000 штук, в июле 12.000 штук </w:t>
      </w:r>
      <w:r w:rsidRPr="00D03F3E">
        <w:rPr>
          <w:rFonts w:ascii="Times New Roman" w:hAnsi="Times New Roman"/>
          <w:color w:val="000000" w:themeColor="text1"/>
          <w:sz w:val="16"/>
          <w:szCs w:val="16"/>
        </w:rPr>
        <w:t xml:space="preserve">и с 1 </w:t>
      </w:r>
      <w:r w:rsidRPr="00D03F3E">
        <w:rPr>
          <w:rStyle w:val="16"/>
          <w:rFonts w:ascii="Times New Roman" w:hAnsi="Times New Roman" w:cs="Times New Roman"/>
          <w:color w:val="000000" w:themeColor="text1"/>
          <w:spacing w:val="0"/>
          <w:u w:val="none"/>
        </w:rPr>
        <w:t>августа</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1943 года в соответствии с программой НКАП по выпуску</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самолетов </w:t>
      </w:r>
      <w:r w:rsidRPr="00D03F3E">
        <w:rPr>
          <w:rFonts w:ascii="Times New Roman" w:hAnsi="Times New Roman"/>
          <w:color w:val="000000" w:themeColor="text1"/>
          <w:sz w:val="16"/>
          <w:szCs w:val="16"/>
        </w:rPr>
        <w:t xml:space="preserve">с </w:t>
      </w:r>
      <w:r w:rsidRPr="00D03F3E">
        <w:rPr>
          <w:rStyle w:val="16"/>
          <w:rFonts w:ascii="Times New Roman" w:hAnsi="Times New Roman" w:cs="Times New Roman"/>
          <w:color w:val="000000" w:themeColor="text1"/>
          <w:spacing w:val="0"/>
          <w:u w:val="none"/>
        </w:rPr>
        <w:t xml:space="preserve">37 </w:t>
      </w:r>
      <w:r w:rsidRPr="00D03F3E">
        <w:rPr>
          <w:rFonts w:ascii="Times New Roman" w:hAnsi="Times New Roman"/>
          <w:color w:val="000000" w:themeColor="text1"/>
          <w:sz w:val="16"/>
          <w:szCs w:val="16"/>
        </w:rPr>
        <w:t>мм пушками;</w:t>
      </w:r>
    </w:p>
    <w:p w14:paraId="5D9FF1E2" w14:textId="77777777" w:rsidR="00576841" w:rsidRPr="00D03F3E" w:rsidRDefault="00576841" w:rsidP="00D03F3E">
      <w:pPr>
        <w:tabs>
          <w:tab w:val="left" w:pos="1003"/>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 xml:space="preserve">в) представить </w:t>
      </w:r>
      <w:r w:rsidRPr="00D03F3E">
        <w:rPr>
          <w:rFonts w:ascii="Times New Roman" w:hAnsi="Times New Roman"/>
          <w:color w:val="000000" w:themeColor="text1"/>
          <w:sz w:val="16"/>
          <w:szCs w:val="16"/>
        </w:rPr>
        <w:t xml:space="preserve">в </w:t>
      </w:r>
      <w:r w:rsidRPr="00D03F3E">
        <w:rPr>
          <w:rStyle w:val="16"/>
          <w:rFonts w:ascii="Times New Roman" w:hAnsi="Times New Roman" w:cs="Times New Roman"/>
          <w:color w:val="000000" w:themeColor="text1"/>
          <w:spacing w:val="0"/>
          <w:u w:val="none"/>
        </w:rPr>
        <w:t>3-дневный срок в Государственный</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Комитет Обороны мероприятия по созданию мощностей на I</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квартал </w:t>
      </w:r>
      <w:r w:rsidRPr="00D03F3E">
        <w:rPr>
          <w:rFonts w:ascii="Times New Roman" w:hAnsi="Times New Roman"/>
          <w:color w:val="000000" w:themeColor="text1"/>
          <w:sz w:val="16"/>
          <w:szCs w:val="16"/>
        </w:rPr>
        <w:t xml:space="preserve">1943 </w:t>
      </w:r>
      <w:r w:rsidRPr="00D03F3E">
        <w:rPr>
          <w:rStyle w:val="16"/>
          <w:rFonts w:ascii="Times New Roman" w:hAnsi="Times New Roman" w:cs="Times New Roman"/>
          <w:color w:val="000000" w:themeColor="text1"/>
          <w:spacing w:val="0"/>
          <w:u w:val="none"/>
        </w:rPr>
        <w:t xml:space="preserve">года </w:t>
      </w:r>
      <w:r w:rsidRPr="00D03F3E">
        <w:rPr>
          <w:rFonts w:ascii="Times New Roman" w:hAnsi="Times New Roman"/>
          <w:color w:val="000000" w:themeColor="text1"/>
          <w:sz w:val="16"/>
          <w:szCs w:val="16"/>
        </w:rPr>
        <w:t xml:space="preserve">в </w:t>
      </w:r>
      <w:r w:rsidRPr="00D03F3E">
        <w:rPr>
          <w:rStyle w:val="16"/>
          <w:rFonts w:ascii="Times New Roman" w:hAnsi="Times New Roman" w:cs="Times New Roman"/>
          <w:color w:val="000000" w:themeColor="text1"/>
          <w:spacing w:val="0"/>
          <w:u w:val="none"/>
        </w:rPr>
        <w:t xml:space="preserve">соответствии- с </w:t>
      </w:r>
      <w:r w:rsidRPr="00D03F3E">
        <w:rPr>
          <w:rFonts w:ascii="Times New Roman" w:hAnsi="Times New Roman"/>
          <w:color w:val="000000" w:themeColor="text1"/>
          <w:sz w:val="16"/>
          <w:szCs w:val="16"/>
        </w:rPr>
        <w:t xml:space="preserve">заявкой </w:t>
      </w:r>
      <w:r w:rsidRPr="00D03F3E">
        <w:rPr>
          <w:rStyle w:val="16"/>
          <w:rFonts w:ascii="Times New Roman" w:hAnsi="Times New Roman" w:cs="Times New Roman"/>
          <w:color w:val="000000" w:themeColor="text1"/>
          <w:spacing w:val="0"/>
          <w:u w:val="none"/>
        </w:rPr>
        <w:t>ВВС К</w:t>
      </w:r>
      <w:r w:rsidRPr="00D03F3E">
        <w:rPr>
          <w:rFonts w:ascii="Times New Roman" w:hAnsi="Times New Roman"/>
          <w:color w:val="000000" w:themeColor="text1"/>
          <w:sz w:val="16"/>
          <w:szCs w:val="16"/>
        </w:rPr>
        <w:t xml:space="preserve">А </w:t>
      </w:r>
      <w:r w:rsidRPr="00D03F3E">
        <w:rPr>
          <w:rStyle w:val="16"/>
          <w:rFonts w:ascii="Times New Roman" w:hAnsi="Times New Roman" w:cs="Times New Roman"/>
          <w:color w:val="000000" w:themeColor="text1"/>
          <w:spacing w:val="0"/>
          <w:u w:val="none"/>
        </w:rPr>
        <w:t>на</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37 мм авиавыстрел.</w:t>
      </w:r>
    </w:p>
    <w:p w14:paraId="5C0F5486" w14:textId="77777777" w:rsidR="00576841" w:rsidRPr="00D03F3E" w:rsidRDefault="00576841" w:rsidP="00D03F3E">
      <w:pPr>
        <w:tabs>
          <w:tab w:val="left" w:pos="995"/>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 xml:space="preserve">5. Обязать Наркомчермет - т.Тевссяна </w:t>
      </w:r>
      <w:r w:rsidRPr="00D03F3E">
        <w:rPr>
          <w:rFonts w:ascii="Times New Roman" w:hAnsi="Times New Roman"/>
          <w:color w:val="000000" w:themeColor="text1"/>
          <w:sz w:val="16"/>
          <w:szCs w:val="16"/>
        </w:rPr>
        <w:t xml:space="preserve">и </w:t>
      </w:r>
      <w:r w:rsidRPr="00D03F3E">
        <w:rPr>
          <w:rStyle w:val="16"/>
          <w:rFonts w:ascii="Times New Roman" w:hAnsi="Times New Roman" w:cs="Times New Roman"/>
          <w:color w:val="000000" w:themeColor="text1"/>
          <w:spacing w:val="0"/>
          <w:u w:val="none"/>
        </w:rPr>
        <w:t>директора</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завода "Серп </w:t>
      </w:r>
      <w:r w:rsidRPr="00D03F3E">
        <w:rPr>
          <w:rFonts w:ascii="Times New Roman" w:hAnsi="Times New Roman"/>
          <w:color w:val="000000" w:themeColor="text1"/>
          <w:sz w:val="16"/>
          <w:szCs w:val="16"/>
        </w:rPr>
        <w:t>и М</w:t>
      </w:r>
      <w:r w:rsidRPr="00D03F3E">
        <w:rPr>
          <w:rStyle w:val="16"/>
          <w:rFonts w:ascii="Times New Roman" w:hAnsi="Times New Roman" w:cs="Times New Roman"/>
          <w:color w:val="000000" w:themeColor="text1"/>
          <w:spacing w:val="0"/>
          <w:u w:val="none"/>
        </w:rPr>
        <w:t>олот" т.Ильина поставить заводу №  30</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НКАП по его моделям 5 наименований стального литья </w:t>
      </w:r>
      <w:r w:rsidRPr="00D03F3E">
        <w:rPr>
          <w:rFonts w:ascii="Times New Roman" w:hAnsi="Times New Roman"/>
          <w:color w:val="000000" w:themeColor="text1"/>
          <w:sz w:val="16"/>
          <w:szCs w:val="16"/>
        </w:rPr>
        <w:t xml:space="preserve">для </w:t>
      </w:r>
      <w:r w:rsidRPr="00D03F3E">
        <w:rPr>
          <w:rStyle w:val="16"/>
          <w:rFonts w:ascii="Times New Roman" w:hAnsi="Times New Roman" w:cs="Times New Roman"/>
          <w:color w:val="000000" w:themeColor="text1"/>
          <w:spacing w:val="0"/>
          <w:u w:val="none"/>
        </w:rPr>
        <w:t xml:space="preserve">лафетов 37 мм пушек в количествах, обеспечивающих </w:t>
      </w:r>
      <w:r w:rsidRPr="00D03F3E">
        <w:rPr>
          <w:rFonts w:ascii="Times New Roman" w:hAnsi="Times New Roman"/>
          <w:color w:val="000000" w:themeColor="text1"/>
          <w:sz w:val="16"/>
          <w:szCs w:val="16"/>
        </w:rPr>
        <w:t>вы</w:t>
      </w:r>
      <w:r w:rsidRPr="00D03F3E">
        <w:rPr>
          <w:rFonts w:ascii="Times New Roman" w:hAnsi="Times New Roman"/>
          <w:color w:val="000000" w:themeColor="text1"/>
          <w:sz w:val="16"/>
          <w:szCs w:val="16"/>
        </w:rPr>
        <w:softHyphen/>
      </w:r>
      <w:r w:rsidRPr="00D03F3E">
        <w:rPr>
          <w:rStyle w:val="16"/>
          <w:rFonts w:ascii="Times New Roman" w:hAnsi="Times New Roman" w:cs="Times New Roman"/>
          <w:color w:val="000000" w:themeColor="text1"/>
          <w:spacing w:val="0"/>
          <w:u w:val="none"/>
        </w:rPr>
        <w:t xml:space="preserve">пуск самолетов </w:t>
      </w:r>
      <w:r w:rsidRPr="00D03F3E">
        <w:rPr>
          <w:rFonts w:ascii="Times New Roman" w:hAnsi="Times New Roman"/>
          <w:color w:val="000000" w:themeColor="text1"/>
          <w:sz w:val="16"/>
          <w:szCs w:val="16"/>
        </w:rPr>
        <w:t xml:space="preserve">Ил-2 с этими пушками, </w:t>
      </w:r>
      <w:r w:rsidRPr="00D03F3E">
        <w:rPr>
          <w:rStyle w:val="16"/>
          <w:rFonts w:ascii="Times New Roman" w:hAnsi="Times New Roman" w:cs="Times New Roman"/>
          <w:color w:val="000000" w:themeColor="text1"/>
          <w:spacing w:val="0"/>
          <w:u w:val="none"/>
        </w:rPr>
        <w:t xml:space="preserve">с поставкой 10 </w:t>
      </w:r>
      <w:r w:rsidRPr="00D03F3E">
        <w:rPr>
          <w:rFonts w:ascii="Times New Roman" w:hAnsi="Times New Roman"/>
          <w:color w:val="000000" w:themeColor="text1"/>
          <w:sz w:val="16"/>
          <w:szCs w:val="16"/>
        </w:rPr>
        <w:t>ап</w:t>
      </w:r>
      <w:r w:rsidRPr="00D03F3E">
        <w:rPr>
          <w:rFonts w:ascii="Times New Roman" w:hAnsi="Times New Roman"/>
          <w:color w:val="000000" w:themeColor="text1"/>
          <w:sz w:val="16"/>
          <w:szCs w:val="16"/>
        </w:rPr>
        <w:softHyphen/>
      </w:r>
      <w:r w:rsidRPr="00D03F3E">
        <w:rPr>
          <w:rStyle w:val="16"/>
          <w:rFonts w:ascii="Times New Roman" w:hAnsi="Times New Roman" w:cs="Times New Roman"/>
          <w:color w:val="000000" w:themeColor="text1"/>
          <w:spacing w:val="0"/>
          <w:u w:val="none"/>
        </w:rPr>
        <w:t xml:space="preserve">реля 25 комплектов. 20 апреле 30 комплектов, </w:t>
      </w:r>
      <w:r w:rsidRPr="00D03F3E">
        <w:rPr>
          <w:rFonts w:ascii="Times New Roman" w:hAnsi="Times New Roman"/>
          <w:color w:val="000000" w:themeColor="text1"/>
          <w:sz w:val="16"/>
          <w:szCs w:val="16"/>
        </w:rPr>
        <w:t xml:space="preserve">1 </w:t>
      </w:r>
      <w:r w:rsidRPr="00D03F3E">
        <w:rPr>
          <w:rStyle w:val="16"/>
          <w:rFonts w:ascii="Times New Roman" w:hAnsi="Times New Roman" w:cs="Times New Roman"/>
          <w:color w:val="000000" w:themeColor="text1"/>
          <w:spacing w:val="0"/>
          <w:u w:val="none"/>
        </w:rPr>
        <w:t>мая</w:t>
      </w:r>
    </w:p>
    <w:p w14:paraId="532A8852" w14:textId="77777777" w:rsidR="00576841" w:rsidRPr="00D03F3E" w:rsidRDefault="00576841" w:rsidP="00D03F3E">
      <w:pPr>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 xml:space="preserve">50 комплектов </w:t>
      </w:r>
      <w:r w:rsidRPr="00D03F3E">
        <w:rPr>
          <w:rFonts w:ascii="Times New Roman" w:hAnsi="Times New Roman"/>
          <w:color w:val="000000" w:themeColor="text1"/>
          <w:sz w:val="16"/>
          <w:szCs w:val="16"/>
        </w:rPr>
        <w:t xml:space="preserve">и </w:t>
      </w:r>
      <w:r w:rsidRPr="00D03F3E">
        <w:rPr>
          <w:rStyle w:val="16"/>
          <w:rFonts w:ascii="Times New Roman" w:hAnsi="Times New Roman" w:cs="Times New Roman"/>
          <w:color w:val="000000" w:themeColor="text1"/>
          <w:spacing w:val="0"/>
          <w:u w:val="none"/>
        </w:rPr>
        <w:t>далее по графику, согласованному м</w:t>
      </w:r>
      <w:r w:rsidRPr="00D03F3E">
        <w:rPr>
          <w:rFonts w:ascii="Times New Roman" w:hAnsi="Times New Roman"/>
          <w:color w:val="000000" w:themeColor="text1"/>
          <w:sz w:val="16"/>
          <w:szCs w:val="16"/>
        </w:rPr>
        <w:t xml:space="preserve">ежду </w:t>
      </w:r>
      <w:r w:rsidRPr="00D03F3E">
        <w:rPr>
          <w:rStyle w:val="16"/>
          <w:rFonts w:ascii="Times New Roman" w:hAnsi="Times New Roman" w:cs="Times New Roman"/>
          <w:color w:val="000000" w:themeColor="text1"/>
          <w:spacing w:val="0"/>
          <w:u w:val="none"/>
        </w:rPr>
        <w:t xml:space="preserve">заводами "Серп </w:t>
      </w:r>
      <w:r w:rsidRPr="00D03F3E">
        <w:rPr>
          <w:rFonts w:ascii="Times New Roman" w:hAnsi="Times New Roman"/>
          <w:color w:val="000000" w:themeColor="text1"/>
          <w:sz w:val="16"/>
          <w:szCs w:val="16"/>
        </w:rPr>
        <w:t xml:space="preserve">и </w:t>
      </w:r>
      <w:r w:rsidRPr="00D03F3E">
        <w:rPr>
          <w:rStyle w:val="16"/>
          <w:rFonts w:ascii="Times New Roman" w:hAnsi="Times New Roman" w:cs="Times New Roman"/>
          <w:color w:val="000000" w:themeColor="text1"/>
          <w:spacing w:val="0"/>
          <w:u w:val="none"/>
        </w:rPr>
        <w:t xml:space="preserve">Молот" </w:t>
      </w:r>
      <w:r w:rsidRPr="00D03F3E">
        <w:rPr>
          <w:rFonts w:ascii="Times New Roman" w:hAnsi="Times New Roman"/>
          <w:color w:val="000000" w:themeColor="text1"/>
          <w:sz w:val="16"/>
          <w:szCs w:val="16"/>
        </w:rPr>
        <w:t>и №</w:t>
      </w:r>
      <w:r w:rsidRPr="00D03F3E">
        <w:rPr>
          <w:rStyle w:val="16"/>
          <w:rFonts w:ascii="Times New Roman" w:hAnsi="Times New Roman" w:cs="Times New Roman"/>
          <w:color w:val="000000" w:themeColor="text1"/>
          <w:spacing w:val="0"/>
          <w:u w:val="none"/>
        </w:rPr>
        <w:t xml:space="preserve"> </w:t>
      </w:r>
      <w:r w:rsidRPr="00D03F3E">
        <w:rPr>
          <w:rFonts w:ascii="Times New Roman" w:hAnsi="Times New Roman"/>
          <w:color w:val="000000" w:themeColor="text1"/>
          <w:sz w:val="16"/>
          <w:szCs w:val="16"/>
        </w:rPr>
        <w:t xml:space="preserve">30 </w:t>
      </w:r>
      <w:r w:rsidRPr="00D03F3E">
        <w:rPr>
          <w:rStyle w:val="16"/>
          <w:rFonts w:ascii="Times New Roman" w:hAnsi="Times New Roman" w:cs="Times New Roman"/>
          <w:color w:val="000000" w:themeColor="text1"/>
          <w:spacing w:val="0"/>
          <w:u w:val="none"/>
        </w:rPr>
        <w:t>НКАП.</w:t>
      </w:r>
    </w:p>
    <w:p w14:paraId="21BCA45B" w14:textId="77777777" w:rsidR="00576841" w:rsidRPr="00D03F3E" w:rsidRDefault="00576841" w:rsidP="00D03F3E">
      <w:pPr>
        <w:tabs>
          <w:tab w:val="left" w:pos="980"/>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 xml:space="preserve">6. Обязать Наркомвооружения - </w:t>
      </w:r>
      <w:r w:rsidRPr="00D03F3E">
        <w:rPr>
          <w:rFonts w:ascii="Times New Roman" w:hAnsi="Times New Roman"/>
          <w:color w:val="000000" w:themeColor="text1"/>
          <w:sz w:val="16"/>
          <w:szCs w:val="16"/>
        </w:rPr>
        <w:t>т.</w:t>
      </w:r>
      <w:r w:rsidRPr="00D03F3E">
        <w:rPr>
          <w:rStyle w:val="16"/>
          <w:rFonts w:ascii="Times New Roman" w:hAnsi="Times New Roman" w:cs="Times New Roman"/>
          <w:color w:val="000000" w:themeColor="text1"/>
          <w:spacing w:val="0"/>
          <w:u w:val="none"/>
        </w:rPr>
        <w:t>Устинова в 3-дневный срок внести на утверждение Государственного Комитета</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Обороны мероприятия </w:t>
      </w:r>
      <w:r w:rsidRPr="00D03F3E">
        <w:rPr>
          <w:rFonts w:ascii="Times New Roman" w:hAnsi="Times New Roman"/>
          <w:color w:val="000000" w:themeColor="text1"/>
          <w:sz w:val="16"/>
          <w:szCs w:val="16"/>
        </w:rPr>
        <w:t xml:space="preserve">по </w:t>
      </w:r>
      <w:r w:rsidRPr="00D03F3E">
        <w:rPr>
          <w:rStyle w:val="16"/>
          <w:rFonts w:ascii="Times New Roman" w:hAnsi="Times New Roman" w:cs="Times New Roman"/>
          <w:color w:val="000000" w:themeColor="text1"/>
          <w:spacing w:val="0"/>
          <w:u w:val="none"/>
        </w:rPr>
        <w:t xml:space="preserve">обеспечению выпуска 37 мм </w:t>
      </w:r>
      <w:r w:rsidRPr="00D03F3E">
        <w:rPr>
          <w:rFonts w:ascii="Times New Roman" w:hAnsi="Times New Roman"/>
          <w:color w:val="000000" w:themeColor="text1"/>
          <w:sz w:val="16"/>
          <w:szCs w:val="16"/>
        </w:rPr>
        <w:t>авиа</w:t>
      </w:r>
      <w:r w:rsidRPr="00D03F3E">
        <w:rPr>
          <w:rFonts w:ascii="Times New Roman" w:hAnsi="Times New Roman"/>
          <w:color w:val="000000" w:themeColor="text1"/>
          <w:sz w:val="16"/>
          <w:szCs w:val="16"/>
        </w:rPr>
        <w:softHyphen/>
      </w:r>
      <w:r w:rsidRPr="00D03F3E">
        <w:rPr>
          <w:rStyle w:val="16"/>
          <w:rFonts w:ascii="Times New Roman" w:hAnsi="Times New Roman" w:cs="Times New Roman"/>
          <w:color w:val="000000" w:themeColor="text1"/>
          <w:spacing w:val="0"/>
          <w:u w:val="none"/>
        </w:rPr>
        <w:t>ционных пушек ОКБ-</w:t>
      </w:r>
      <w:r w:rsidRPr="00D03F3E">
        <w:rPr>
          <w:rFonts w:ascii="Times New Roman" w:hAnsi="Times New Roman"/>
          <w:color w:val="000000" w:themeColor="text1"/>
          <w:sz w:val="16"/>
          <w:szCs w:val="16"/>
        </w:rPr>
        <w:t xml:space="preserve">16, </w:t>
      </w:r>
      <w:r w:rsidRPr="00D03F3E">
        <w:rPr>
          <w:rStyle w:val="16"/>
          <w:rFonts w:ascii="Times New Roman" w:hAnsi="Times New Roman" w:cs="Times New Roman"/>
          <w:color w:val="000000" w:themeColor="text1"/>
          <w:spacing w:val="0"/>
          <w:u w:val="none"/>
        </w:rPr>
        <w:t>в соответствии с программой Нарком-</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авиапрома по выпуску самолетов </w:t>
      </w:r>
      <w:r w:rsidRPr="00D03F3E">
        <w:rPr>
          <w:rFonts w:ascii="Times New Roman" w:hAnsi="Times New Roman"/>
          <w:color w:val="000000" w:themeColor="text1"/>
          <w:sz w:val="16"/>
          <w:szCs w:val="16"/>
        </w:rPr>
        <w:t xml:space="preserve">с 37 мм </w:t>
      </w:r>
      <w:r w:rsidRPr="00D03F3E">
        <w:rPr>
          <w:rStyle w:val="16"/>
          <w:rFonts w:ascii="Times New Roman" w:hAnsi="Times New Roman" w:cs="Times New Roman"/>
          <w:color w:val="000000" w:themeColor="text1"/>
          <w:spacing w:val="0"/>
          <w:u w:val="none"/>
        </w:rPr>
        <w:t>пушками.</w:t>
      </w:r>
    </w:p>
    <w:p w14:paraId="5CFA067B" w14:textId="77777777" w:rsidR="00576841" w:rsidRPr="00D03F3E" w:rsidRDefault="00576841" w:rsidP="00D03F3E">
      <w:pPr>
        <w:tabs>
          <w:tab w:val="left" w:pos="1015"/>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7. В частичное изменение постановления Государст</w:t>
      </w:r>
      <w:r w:rsidRPr="00D03F3E">
        <w:rPr>
          <w:rStyle w:val="16"/>
          <w:rFonts w:ascii="Times New Roman" w:hAnsi="Times New Roman" w:cs="Times New Roman"/>
          <w:color w:val="000000" w:themeColor="text1"/>
          <w:spacing w:val="0"/>
          <w:u w:val="none"/>
        </w:rPr>
        <w:softHyphen/>
        <w:t xml:space="preserve">венного Комитета Обороны № 3099сс от </w:t>
      </w:r>
      <w:r w:rsidRPr="00D03F3E">
        <w:rPr>
          <w:rFonts w:ascii="Times New Roman" w:hAnsi="Times New Roman"/>
          <w:color w:val="000000" w:themeColor="text1"/>
          <w:sz w:val="16"/>
          <w:szCs w:val="16"/>
        </w:rPr>
        <w:t xml:space="preserve">31 </w:t>
      </w:r>
      <w:r w:rsidRPr="00D03F3E">
        <w:rPr>
          <w:rStyle w:val="16"/>
          <w:rFonts w:ascii="Times New Roman" w:hAnsi="Times New Roman" w:cs="Times New Roman"/>
          <w:color w:val="000000" w:themeColor="text1"/>
          <w:spacing w:val="0"/>
          <w:u w:val="none"/>
        </w:rPr>
        <w:t xml:space="preserve">марта </w:t>
      </w:r>
      <w:r w:rsidRPr="00D03F3E">
        <w:rPr>
          <w:rFonts w:ascii="Times New Roman" w:hAnsi="Times New Roman"/>
          <w:color w:val="000000" w:themeColor="text1"/>
          <w:sz w:val="16"/>
          <w:szCs w:val="16"/>
        </w:rPr>
        <w:t xml:space="preserve">1945 г. </w:t>
      </w:r>
      <w:r w:rsidRPr="00D03F3E">
        <w:rPr>
          <w:rStyle w:val="16"/>
          <w:rFonts w:ascii="Times New Roman" w:hAnsi="Times New Roman" w:cs="Times New Roman"/>
          <w:color w:val="000000" w:themeColor="text1"/>
          <w:spacing w:val="0"/>
          <w:u w:val="none"/>
        </w:rPr>
        <w:t>уменьшить поставку Наркоматом вооружения для заводов</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Наркомавиапрсма 23 </w:t>
      </w:r>
      <w:r w:rsidRPr="00D03F3E">
        <w:rPr>
          <w:rFonts w:ascii="Times New Roman" w:hAnsi="Times New Roman"/>
          <w:color w:val="000000" w:themeColor="text1"/>
          <w:sz w:val="16"/>
          <w:szCs w:val="16"/>
        </w:rPr>
        <w:t xml:space="preserve">мм </w:t>
      </w:r>
      <w:r w:rsidRPr="00D03F3E">
        <w:rPr>
          <w:rStyle w:val="16"/>
          <w:rFonts w:ascii="Times New Roman" w:hAnsi="Times New Roman" w:cs="Times New Roman"/>
          <w:color w:val="000000" w:themeColor="text1"/>
          <w:spacing w:val="0"/>
          <w:u w:val="none"/>
        </w:rPr>
        <w:t xml:space="preserve">пушек Волкова-Ярцева в мае </w:t>
      </w:r>
      <w:r w:rsidRPr="00D03F3E">
        <w:rPr>
          <w:rFonts w:ascii="Times New Roman" w:hAnsi="Times New Roman"/>
          <w:color w:val="000000" w:themeColor="text1"/>
          <w:sz w:val="16"/>
          <w:szCs w:val="16"/>
        </w:rPr>
        <w:t xml:space="preserve">с.г. </w:t>
      </w:r>
      <w:r w:rsidRPr="00D03F3E">
        <w:rPr>
          <w:rStyle w:val="16"/>
          <w:rFonts w:ascii="Times New Roman" w:hAnsi="Times New Roman" w:cs="Times New Roman"/>
          <w:color w:val="000000" w:themeColor="text1"/>
          <w:spacing w:val="0"/>
          <w:u w:val="none"/>
        </w:rPr>
        <w:t>па 200</w:t>
      </w:r>
      <w:r w:rsidRPr="00D03F3E">
        <w:rPr>
          <w:rFonts w:ascii="Times New Roman" w:hAnsi="Times New Roman"/>
          <w:color w:val="000000" w:themeColor="text1"/>
          <w:sz w:val="16"/>
          <w:szCs w:val="16"/>
        </w:rPr>
        <w:t xml:space="preserve"> штук, </w:t>
      </w:r>
      <w:r w:rsidRPr="00D03F3E">
        <w:rPr>
          <w:rStyle w:val="16"/>
          <w:rFonts w:ascii="Times New Roman" w:hAnsi="Times New Roman" w:cs="Times New Roman"/>
          <w:color w:val="000000" w:themeColor="text1"/>
          <w:spacing w:val="0"/>
          <w:u w:val="none"/>
        </w:rPr>
        <w:t xml:space="preserve">в июне </w:t>
      </w:r>
      <w:r w:rsidR="00FC3594" w:rsidRPr="00D03F3E">
        <w:rPr>
          <w:rStyle w:val="16"/>
          <w:rFonts w:ascii="Times New Roman" w:hAnsi="Times New Roman" w:cs="Times New Roman"/>
          <w:color w:val="000000" w:themeColor="text1"/>
          <w:spacing w:val="0"/>
          <w:u w:val="none"/>
        </w:rPr>
        <w:t>н</w:t>
      </w:r>
      <w:r w:rsidRPr="00D03F3E">
        <w:rPr>
          <w:rStyle w:val="16"/>
          <w:rFonts w:ascii="Times New Roman" w:hAnsi="Times New Roman" w:cs="Times New Roman"/>
          <w:color w:val="000000" w:themeColor="text1"/>
          <w:spacing w:val="0"/>
          <w:u w:val="none"/>
        </w:rPr>
        <w:t xml:space="preserve">а 300 штук </w:t>
      </w:r>
      <w:r w:rsidRPr="00D03F3E">
        <w:rPr>
          <w:rFonts w:ascii="Times New Roman" w:hAnsi="Times New Roman"/>
          <w:color w:val="000000" w:themeColor="text1"/>
          <w:sz w:val="16"/>
          <w:szCs w:val="16"/>
        </w:rPr>
        <w:t xml:space="preserve">и </w:t>
      </w:r>
      <w:r w:rsidRPr="00D03F3E">
        <w:rPr>
          <w:rStyle w:val="16"/>
          <w:rFonts w:ascii="Times New Roman" w:hAnsi="Times New Roman" w:cs="Times New Roman"/>
          <w:color w:val="000000" w:themeColor="text1"/>
          <w:spacing w:val="0"/>
          <w:u w:val="none"/>
        </w:rPr>
        <w:t>в дальнейшем соответ</w:t>
      </w:r>
      <w:r w:rsidRPr="00D03F3E">
        <w:rPr>
          <w:rStyle w:val="16"/>
          <w:rFonts w:ascii="Times New Roman" w:hAnsi="Times New Roman" w:cs="Times New Roman"/>
          <w:color w:val="000000" w:themeColor="text1"/>
          <w:spacing w:val="0"/>
          <w:u w:val="none"/>
        </w:rPr>
        <w:softHyphen/>
        <w:t xml:space="preserve">ственно выпуску самолетов </w:t>
      </w:r>
      <w:r w:rsidRPr="00D03F3E">
        <w:rPr>
          <w:rFonts w:ascii="Times New Roman" w:hAnsi="Times New Roman"/>
          <w:color w:val="000000" w:themeColor="text1"/>
          <w:sz w:val="16"/>
          <w:szCs w:val="16"/>
        </w:rPr>
        <w:t>Ил-2, в</w:t>
      </w:r>
      <w:r w:rsidRPr="00D03F3E">
        <w:rPr>
          <w:rStyle w:val="16"/>
          <w:rFonts w:ascii="Times New Roman" w:hAnsi="Times New Roman" w:cs="Times New Roman"/>
          <w:color w:val="000000" w:themeColor="text1"/>
          <w:spacing w:val="0"/>
          <w:u w:val="none"/>
        </w:rPr>
        <w:t xml:space="preserve">ооруженных </w:t>
      </w:r>
      <w:r w:rsidRPr="00D03F3E">
        <w:rPr>
          <w:rFonts w:ascii="Times New Roman" w:hAnsi="Times New Roman"/>
          <w:color w:val="000000" w:themeColor="text1"/>
          <w:sz w:val="16"/>
          <w:szCs w:val="16"/>
        </w:rPr>
        <w:t>37 мм пуш</w:t>
      </w:r>
      <w:r w:rsidRPr="00D03F3E">
        <w:rPr>
          <w:rFonts w:ascii="Times New Roman" w:hAnsi="Times New Roman"/>
          <w:color w:val="000000" w:themeColor="text1"/>
          <w:sz w:val="16"/>
          <w:szCs w:val="16"/>
        </w:rPr>
        <w:softHyphen/>
        <w:t>ками.</w:t>
      </w:r>
    </w:p>
    <w:p w14:paraId="7ED78B33" w14:textId="77777777" w:rsidR="00576841" w:rsidRPr="00D03F3E" w:rsidRDefault="00576841" w:rsidP="00D03F3E">
      <w:pPr>
        <w:tabs>
          <w:tab w:val="left" w:pos="1023"/>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8. Постановление Государственного Комитета Обороны</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 3099сс от </w:t>
      </w:r>
      <w:r w:rsidRPr="00D03F3E">
        <w:rPr>
          <w:rFonts w:ascii="Times New Roman" w:hAnsi="Times New Roman"/>
          <w:color w:val="000000" w:themeColor="text1"/>
          <w:sz w:val="16"/>
          <w:szCs w:val="16"/>
        </w:rPr>
        <w:t xml:space="preserve">31 </w:t>
      </w:r>
      <w:r w:rsidRPr="00D03F3E">
        <w:rPr>
          <w:rStyle w:val="16"/>
          <w:rFonts w:ascii="Times New Roman" w:hAnsi="Times New Roman" w:cs="Times New Roman"/>
          <w:color w:val="000000" w:themeColor="text1"/>
          <w:spacing w:val="0"/>
          <w:u w:val="none"/>
        </w:rPr>
        <w:t xml:space="preserve">марта </w:t>
      </w:r>
      <w:r w:rsidRPr="00D03F3E">
        <w:rPr>
          <w:rFonts w:ascii="Times New Roman" w:hAnsi="Times New Roman"/>
          <w:color w:val="000000" w:themeColor="text1"/>
          <w:sz w:val="16"/>
          <w:szCs w:val="16"/>
        </w:rPr>
        <w:t xml:space="preserve">1943 </w:t>
      </w:r>
      <w:r w:rsidRPr="00D03F3E">
        <w:rPr>
          <w:rStyle w:val="16"/>
          <w:rFonts w:ascii="Times New Roman" w:hAnsi="Times New Roman" w:cs="Times New Roman"/>
          <w:color w:val="000000" w:themeColor="text1"/>
          <w:spacing w:val="0"/>
          <w:u w:val="none"/>
        </w:rPr>
        <w:t xml:space="preserve">года об установке </w:t>
      </w:r>
      <w:r w:rsidRPr="00D03F3E">
        <w:rPr>
          <w:rFonts w:ascii="Times New Roman" w:hAnsi="Times New Roman"/>
          <w:color w:val="000000" w:themeColor="text1"/>
          <w:sz w:val="16"/>
          <w:szCs w:val="16"/>
        </w:rPr>
        <w:t xml:space="preserve">23 мм </w:t>
      </w:r>
      <w:r w:rsidRPr="00D03F3E">
        <w:rPr>
          <w:rStyle w:val="16"/>
          <w:rFonts w:ascii="Times New Roman" w:hAnsi="Times New Roman" w:cs="Times New Roman"/>
          <w:color w:val="000000" w:themeColor="text1"/>
          <w:spacing w:val="0"/>
          <w:u w:val="none"/>
        </w:rPr>
        <w:t>пушек</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Волкова-Ярцева вместо пушек ШВАК</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па самолетах Ил</w:t>
      </w:r>
      <w:r w:rsidRPr="00D03F3E">
        <w:rPr>
          <w:rFonts w:ascii="Times New Roman" w:hAnsi="Times New Roman"/>
          <w:color w:val="000000" w:themeColor="text1"/>
          <w:sz w:val="16"/>
          <w:szCs w:val="16"/>
        </w:rPr>
        <w:t xml:space="preserve">-2 </w:t>
      </w:r>
      <w:r w:rsidRPr="00D03F3E">
        <w:rPr>
          <w:rStyle w:val="16"/>
          <w:rFonts w:ascii="Times New Roman" w:hAnsi="Times New Roman" w:cs="Times New Roman"/>
          <w:color w:val="000000" w:themeColor="text1"/>
          <w:spacing w:val="0"/>
          <w:u w:val="none"/>
        </w:rPr>
        <w:t>в</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отношении завода №</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30 </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отменить.</w:t>
      </w:r>
    </w:p>
    <w:p w14:paraId="2E0420A9" w14:textId="77777777" w:rsidR="00576841" w:rsidRPr="00D03F3E" w:rsidRDefault="0057684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9. </w:t>
      </w:r>
      <w:r w:rsidRPr="00D03F3E">
        <w:rPr>
          <w:rStyle w:val="16"/>
          <w:rFonts w:ascii="Times New Roman" w:hAnsi="Times New Roman" w:cs="Times New Roman"/>
          <w:color w:val="000000" w:themeColor="text1"/>
          <w:spacing w:val="0"/>
          <w:u w:val="none"/>
        </w:rPr>
        <w:t>Постановление Государственного Комитета Обороны</w:t>
      </w:r>
      <w:r w:rsidRPr="00D03F3E">
        <w:rPr>
          <w:rFonts w:ascii="Times New Roman" w:hAnsi="Times New Roman"/>
          <w:color w:val="000000" w:themeColor="text1"/>
          <w:sz w:val="16"/>
          <w:szCs w:val="16"/>
        </w:rPr>
        <w:t xml:space="preserve"> № 2841 сс о</w:t>
      </w:r>
      <w:r w:rsidRPr="00D03F3E">
        <w:rPr>
          <w:rStyle w:val="16"/>
          <w:rFonts w:ascii="Times New Roman" w:hAnsi="Times New Roman" w:cs="Times New Roman"/>
          <w:color w:val="000000" w:themeColor="text1"/>
          <w:spacing w:val="0"/>
          <w:u w:val="none"/>
        </w:rPr>
        <w:t xml:space="preserve">т 7 февраля </w:t>
      </w:r>
      <w:r w:rsidRPr="00D03F3E">
        <w:rPr>
          <w:rFonts w:ascii="Times New Roman" w:hAnsi="Times New Roman"/>
          <w:color w:val="000000" w:themeColor="text1"/>
          <w:sz w:val="16"/>
          <w:szCs w:val="16"/>
        </w:rPr>
        <w:t xml:space="preserve">1943 </w:t>
      </w:r>
      <w:r w:rsidRPr="00D03F3E">
        <w:rPr>
          <w:rStyle w:val="16"/>
          <w:rFonts w:ascii="Times New Roman" w:hAnsi="Times New Roman" w:cs="Times New Roman"/>
          <w:color w:val="000000" w:themeColor="text1"/>
          <w:spacing w:val="0"/>
          <w:u w:val="none"/>
        </w:rPr>
        <w:t xml:space="preserve">года о выпуске самолете в </w:t>
      </w:r>
      <w:r w:rsidRPr="00D03F3E">
        <w:rPr>
          <w:rFonts w:ascii="Times New Roman" w:hAnsi="Times New Roman"/>
          <w:color w:val="000000" w:themeColor="text1"/>
          <w:sz w:val="16"/>
          <w:szCs w:val="16"/>
        </w:rPr>
        <w:t xml:space="preserve">Ил-2 в варианте </w:t>
      </w:r>
      <w:r w:rsidRPr="00D03F3E">
        <w:rPr>
          <w:rStyle w:val="16"/>
          <w:rFonts w:ascii="Times New Roman" w:hAnsi="Times New Roman" w:cs="Times New Roman"/>
          <w:color w:val="000000" w:themeColor="text1"/>
          <w:spacing w:val="0"/>
          <w:u w:val="none"/>
        </w:rPr>
        <w:t>корректировщика в</w:t>
      </w:r>
      <w:r w:rsidRPr="00D03F3E">
        <w:rPr>
          <w:rFonts w:ascii="Times New Roman" w:hAnsi="Times New Roman"/>
          <w:color w:val="000000" w:themeColor="text1"/>
          <w:sz w:val="16"/>
          <w:szCs w:val="16"/>
        </w:rPr>
        <w:t xml:space="preserve"> о</w:t>
      </w:r>
      <w:r w:rsidRPr="00D03F3E">
        <w:rPr>
          <w:rStyle w:val="16"/>
          <w:rFonts w:ascii="Times New Roman" w:hAnsi="Times New Roman" w:cs="Times New Roman"/>
          <w:color w:val="000000" w:themeColor="text1"/>
          <w:spacing w:val="0"/>
          <w:u w:val="none"/>
        </w:rPr>
        <w:t xml:space="preserve">тношении завода № </w:t>
      </w:r>
      <w:r w:rsidRPr="00D03F3E">
        <w:rPr>
          <w:rFonts w:ascii="Times New Roman" w:hAnsi="Times New Roman"/>
          <w:color w:val="000000" w:themeColor="text1"/>
          <w:sz w:val="16"/>
          <w:szCs w:val="16"/>
        </w:rPr>
        <w:t>30 - отменить.</w:t>
      </w:r>
    </w:p>
    <w:p w14:paraId="6F65B40E" w14:textId="77777777" w:rsidR="00576841" w:rsidRPr="00D03F3E" w:rsidRDefault="00576841" w:rsidP="00D03F3E">
      <w:pPr>
        <w:tabs>
          <w:tab w:val="left" w:pos="1158"/>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Программу завода № 30 по выпуску самолетов Ил-2 в</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варианте корректировщика передать для выполнения заводу</w:t>
      </w:r>
      <w:r w:rsidRPr="00D03F3E">
        <w:rPr>
          <w:rFonts w:ascii="Times New Roman" w:hAnsi="Times New Roman"/>
          <w:color w:val="000000" w:themeColor="text1"/>
          <w:sz w:val="16"/>
          <w:szCs w:val="16"/>
        </w:rPr>
        <w:t xml:space="preserve"> № 1 ККАП (19395).</w:t>
      </w:r>
    </w:p>
    <w:p w14:paraId="2BB973EC" w14:textId="77777777" w:rsidR="00576841" w:rsidRPr="00D03F3E" w:rsidRDefault="0057684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A101E0"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8 апреля</w:t>
      </w:r>
      <w:r w:rsidRPr="00D03F3E">
        <w:rPr>
          <w:rFonts w:ascii="Times New Roman" w:hAnsi="Times New Roman"/>
          <w:color w:val="000000" w:themeColor="text1"/>
          <w:sz w:val="16"/>
          <w:szCs w:val="16"/>
        </w:rPr>
        <w:t xml:space="preserve"> в 1943 году постановление ГКО № 3144 , завод № 30 с целью повышения противотанковых свойств штурмовой авиации обязывался выпускать двухместные штурмовики </w:t>
      </w:r>
      <w:hyperlink r:id="rId114" w:tgtFrame="_blank" w:history="1">
        <w:r w:rsidRPr="00D03F3E">
          <w:rPr>
            <w:rFonts w:ascii="Times New Roman" w:hAnsi="Times New Roman"/>
            <w:color w:val="000000" w:themeColor="text1"/>
            <w:sz w:val="16"/>
            <w:szCs w:val="16"/>
          </w:rPr>
          <w:t xml:space="preserve">«Ил-2» «АМ-38ф» </w:t>
        </w:r>
      </w:hyperlink>
      <w:r w:rsidRPr="00D03F3E">
        <w:rPr>
          <w:rFonts w:ascii="Times New Roman" w:hAnsi="Times New Roman"/>
          <w:color w:val="000000" w:themeColor="text1"/>
          <w:sz w:val="16"/>
          <w:szCs w:val="16"/>
        </w:rPr>
        <w:t xml:space="preserve">с двумя пушками калибра 37 мм 11П-37 ОКБ-16 с боекомплектом по 50 снарядов на пушку, без реактивных снарядов, с бомбовой нагрузкой 100 кг в нормальном варианте и 200 кг в перегрузочном. Боезапас пулеметов «ШКАС» и УБТ сохранялся прежним. В мае месяце завод должен был изготовить 50 новых штурмовиков, в июне - 125, в июле - 175 и с августа перейти на выпуск всех </w:t>
      </w:r>
      <w:hyperlink r:id="rId115" w:tgtFrame="_blank" w:history="1">
        <w:r w:rsidRPr="00D03F3E">
          <w:rPr>
            <w:rFonts w:ascii="Times New Roman" w:hAnsi="Times New Roman"/>
            <w:color w:val="000000" w:themeColor="text1"/>
            <w:sz w:val="16"/>
            <w:szCs w:val="16"/>
          </w:rPr>
          <w:t>самолетов с крупнокалиберными авиапушками.</w:t>
        </w:r>
      </w:hyperlink>
    </w:p>
    <w:p w14:paraId="2FD19963" w14:textId="77777777" w:rsidR="004A4CDC" w:rsidRPr="00D03F3E" w:rsidRDefault="004A4CDC" w:rsidP="00D03F3E">
      <w:pPr>
        <w:spacing w:after="0" w:line="240" w:lineRule="auto"/>
        <w:jc w:val="both"/>
        <w:rPr>
          <w:rFonts w:ascii="Times New Roman" w:hAnsi="Times New Roman"/>
          <w:color w:val="000000" w:themeColor="text1"/>
          <w:sz w:val="16"/>
          <w:szCs w:val="16"/>
        </w:rPr>
      </w:pPr>
    </w:p>
    <w:p w14:paraId="16F628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вышло постановление ГКО N 3144 о выпуске самолета Ил-2 с пушками 37 мм ОКБ 16 в следующие сроки: в мае - 50, в июне 125, в июле 175, а с августа перейти на заводе 30 на выпуск всех самолетов с 37 мм пушками.</w:t>
      </w:r>
    </w:p>
    <w:p w14:paraId="7C7BD5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ГКО N 3144 от 8 апреля 1943:</w:t>
      </w:r>
    </w:p>
    <w:p w14:paraId="35B64D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вооружении самолетов Ил-2 пушками калибра 37 мм"</w:t>
      </w:r>
    </w:p>
    <w:p w14:paraId="2DD917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ГКО постановляет:</w:t>
      </w:r>
    </w:p>
    <w:p w14:paraId="7C563B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НКАП А.И.Ш. и директора завода 30 Шапиро выпускать на заводе 30 самолеты Ил-2 по чертежам ГК С.В.И. с 2 пушками 37 мм системы ОКБ-16, с запасом снарядов на каждую 50 шт., без балок для РС в следующие сроки: в мае - 50, в июне - 125, в июле - 175 и с августа перейти полностью.</w:t>
      </w:r>
    </w:p>
    <w:p w14:paraId="132C8E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Постановление ГКО N 3099сс от 31 марта 1943 об установке ВЯ вместо ШВАК на самолетах Ил-2 в отношении 30 завода отменить</w:t>
      </w:r>
    </w:p>
    <w:p w14:paraId="2F75B6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Постановление ГКО N 2841сс от 7 февраля 1943 о выпуске самолетов Ил-2 в варианте корректировщика в отношении завода 30 отменить.</w:t>
      </w:r>
    </w:p>
    <w:p w14:paraId="51DDC6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Программу завода 30 по выпуску Ил-2 в варианте корректировщика передать для выполнения заводу 1 (1689,65).</w:t>
      </w:r>
    </w:p>
    <w:p w14:paraId="441937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Реальное выполнение: на заводе 30 выпущено в апреле - 5 Ил-2, а с 1 по 10 мая - 2 самолета (462,24).</w:t>
      </w:r>
    </w:p>
    <w:p w14:paraId="166761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2425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вышел приказ НКАП N 197сс "О прицелах для самолетов Ил-2 и Пе-2":</w:t>
      </w:r>
    </w:p>
    <w:p w14:paraId="60B7C5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"ГКО постановлением от 6 апреля 1943 N 3137 принял к сведению сообщение командующего ВВС Новикова о том, что прицельный прибор ВМШ-2 для самолета Ил-2 и ПБЛ-1 для самолета Пе-2 успешно выдержали полигонные испытания и что установка их на самолеты значительно повышает меткость бомбометания.</w:t>
      </w:r>
    </w:p>
    <w:p w14:paraId="052FFA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указанного постановления:</w:t>
      </w:r>
    </w:p>
    <w:p w14:paraId="1CBBE3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Директорам заводов: 30 - Шапиро, 1 - Третьякову и 18 - Белянскому оборудовать в апреле с.г. прицельными приборами ВМШ-2 10: выпускаемых самолетов Ил-2, в мае - 55%, в июне - 75% и с июля выпускать все самолеты И-2, оборудованные приборами ВМШ-2.</w:t>
      </w:r>
    </w:p>
    <w:p w14:paraId="6F248B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Директору завода 22 Окулову оборудовать в апреле с.г. прицелами ПБЛ-1 30: выпускаемых самолетов Пе-2 и с мая выпускать все самолеты Пе-2 с прицелом ПБЛ-1 (1703,68).</w:t>
      </w:r>
    </w:p>
    <w:p w14:paraId="680152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B6B7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г. тройка Ер-2 2М-105 747 дбап выполнила последний боевой вылет. В том же месяце уцелевшие ермолаевские бомбардировщики были переданы в Челябинскую школу штурманов АДД, а полк начал перевооружение на Ил-44. Сменилось и руководство: 17 июля 1943 г. в командование полком вступил ветеран части майор И.Ф.Галинский. По состоянию на 4 августа 1942 г. в части осталось всего десять Ер-2. К концу года их количество уменьшилось до восьми, а к началу апреля 1943 г. - до шести. На последнем этапе в строю оставались только машины с голубыми хвостовыми номерами "2", "З", "4", "5", "8" и "9" (3322,24).</w:t>
      </w:r>
    </w:p>
    <w:p w14:paraId="1D9E71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8166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согласно записи в журнале наблюдения за проектированием, постройкой и испытаниями МиГ-5 2АМ-37 и 2М-82 от 9 апреля закончили установку новых (беспоплавковых) карбюраторов, проходивших перерегулировку в ЦИАМе. Моторы 2 экз. ДИС (МиГ-5) с М-82 на земле работают нормально. С-т готов к летным испытаниям (из донесения Князева от 18 марта 1943). В связи с тем, что летный состав завода занят летными испытаниями других самолетов, полеты на с-те МиГ-5 не производились (из дорнесения Князева от 30 марта 1943) (990,8).</w:t>
      </w:r>
    </w:p>
    <w:p w14:paraId="195079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50CB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в НИИ ВВС А.Прошаков и ви Г.Седов закончили испытания Як-9П (пушечный) с 2хШВАК, которые шли с 18 марта. Признали, что по ЛТТ, технике пилотирования, устойчивости и управляемости, а также взлетно-посадочным свойствам ничем не отличался от Як-9, но при стрельбе очередями нарушалось прицеливание, особенно на небольшой скорости. Из-за этого от серии воздержались (4238,22).</w:t>
      </w:r>
    </w:p>
    <w:p w14:paraId="19A0D3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EF0F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г. с целью повышения противотанковых свойств штурмовой авиации Красной Армии Постановлени</w:t>
      </w:r>
      <w:r w:rsidRPr="00D03F3E">
        <w:rPr>
          <w:rFonts w:ascii="Times New Roman" w:hAnsi="Times New Roman"/>
          <w:color w:val="000000" w:themeColor="text1"/>
          <w:sz w:val="16"/>
          <w:szCs w:val="16"/>
        </w:rPr>
        <w:softHyphen/>
        <w:t>ем ГКО № 3144 за</w:t>
      </w:r>
      <w:r w:rsidRPr="00D03F3E">
        <w:rPr>
          <w:rFonts w:ascii="Times New Roman" w:hAnsi="Times New Roman"/>
          <w:color w:val="000000" w:themeColor="text1"/>
          <w:sz w:val="16"/>
          <w:szCs w:val="16"/>
        </w:rPr>
        <w:softHyphen/>
        <w:t>вод № 30 обязывался выпускать двухме</w:t>
      </w:r>
      <w:r w:rsidRPr="00D03F3E">
        <w:rPr>
          <w:rFonts w:ascii="Times New Roman" w:hAnsi="Times New Roman"/>
          <w:color w:val="000000" w:themeColor="text1"/>
          <w:sz w:val="16"/>
          <w:szCs w:val="16"/>
        </w:rPr>
        <w:softHyphen/>
        <w:t>стные штурмовики Ил-2 АМ-38ф с дву</w:t>
      </w:r>
      <w:r w:rsidRPr="00D03F3E">
        <w:rPr>
          <w:rFonts w:ascii="Times New Roman" w:hAnsi="Times New Roman"/>
          <w:color w:val="000000" w:themeColor="text1"/>
          <w:sz w:val="16"/>
          <w:szCs w:val="16"/>
        </w:rPr>
        <w:softHyphen/>
        <w:t xml:space="preserve">мя пушками калибра 37 мм 11 П-37 ОКБ-16 с боекомплектом по 50 снарядов на пушку, без реактивных снарядов, с </w:t>
      </w:r>
      <w:r w:rsidRPr="00D03F3E">
        <w:rPr>
          <w:rFonts w:ascii="Times New Roman" w:hAnsi="Times New Roman"/>
          <w:color w:val="000000" w:themeColor="text1"/>
          <w:sz w:val="16"/>
          <w:szCs w:val="16"/>
        </w:rPr>
        <w:lastRenderedPageBreak/>
        <w:t>бом</w:t>
      </w:r>
      <w:r w:rsidRPr="00D03F3E">
        <w:rPr>
          <w:rFonts w:ascii="Times New Roman" w:hAnsi="Times New Roman"/>
          <w:color w:val="000000" w:themeColor="text1"/>
          <w:sz w:val="16"/>
          <w:szCs w:val="16"/>
        </w:rPr>
        <w:softHyphen/>
        <w:t>бовой нагрузкой 100 кг в нормальном варианте и 200 кг в перегрузочном. Бо</w:t>
      </w:r>
      <w:r w:rsidRPr="00D03F3E">
        <w:rPr>
          <w:rFonts w:ascii="Times New Roman" w:hAnsi="Times New Roman"/>
          <w:color w:val="000000" w:themeColor="text1"/>
          <w:sz w:val="16"/>
          <w:szCs w:val="16"/>
        </w:rPr>
        <w:softHyphen/>
        <w:t>езапас пулеметов ШКАС и УБТ сохра</w:t>
      </w:r>
      <w:r w:rsidRPr="00D03F3E">
        <w:rPr>
          <w:rFonts w:ascii="Times New Roman" w:hAnsi="Times New Roman"/>
          <w:color w:val="000000" w:themeColor="text1"/>
          <w:sz w:val="16"/>
          <w:szCs w:val="16"/>
        </w:rPr>
        <w:softHyphen/>
        <w:t>нялся прежним. В мае месяце завод должен был изготовить 50 новых штур</w:t>
      </w:r>
      <w:r w:rsidRPr="00D03F3E">
        <w:rPr>
          <w:rFonts w:ascii="Times New Roman" w:hAnsi="Times New Roman"/>
          <w:color w:val="000000" w:themeColor="text1"/>
          <w:sz w:val="16"/>
          <w:szCs w:val="16"/>
        </w:rPr>
        <w:softHyphen/>
        <w:t>мовиков, в июне - 125, в июле - 175 и с августа перейти на выпуск всех самоле</w:t>
      </w:r>
      <w:r w:rsidRPr="00D03F3E">
        <w:rPr>
          <w:rFonts w:ascii="Times New Roman" w:hAnsi="Times New Roman"/>
          <w:color w:val="000000" w:themeColor="text1"/>
          <w:sz w:val="16"/>
          <w:szCs w:val="16"/>
        </w:rPr>
        <w:softHyphen/>
        <w:t>тов с крупнокалиберными авиапушками. Боекомплект к пушке НС-37 состоял из патронов с бронебойно-зажигательно-трассирующими (БЗТ-37) и осколоч-но-зажигательно-трассирующими (ОЗТ-37) снарядами. Бронебойные снаряды предназначались для поражения назем</w:t>
      </w:r>
      <w:r w:rsidRPr="00D03F3E">
        <w:rPr>
          <w:rFonts w:ascii="Times New Roman" w:hAnsi="Times New Roman"/>
          <w:color w:val="000000" w:themeColor="text1"/>
          <w:sz w:val="16"/>
          <w:szCs w:val="16"/>
        </w:rPr>
        <w:softHyphen/>
        <w:t>ных бронированных целей, а осколочные -для поражения воздушных целей. Кро</w:t>
      </w:r>
      <w:r w:rsidRPr="00D03F3E">
        <w:rPr>
          <w:rFonts w:ascii="Times New Roman" w:hAnsi="Times New Roman"/>
          <w:color w:val="000000" w:themeColor="text1"/>
          <w:sz w:val="16"/>
          <w:szCs w:val="16"/>
        </w:rPr>
        <w:softHyphen/>
        <w:t>ме того, для новой пушки был разрабо</w:t>
      </w:r>
      <w:r w:rsidRPr="00D03F3E">
        <w:rPr>
          <w:rFonts w:ascii="Times New Roman" w:hAnsi="Times New Roman"/>
          <w:color w:val="000000" w:themeColor="text1"/>
          <w:sz w:val="16"/>
          <w:szCs w:val="16"/>
        </w:rPr>
        <w:softHyphen/>
        <w:t>тан и подкалиберный снаряд, обеспечи</w:t>
      </w:r>
      <w:r w:rsidRPr="00D03F3E">
        <w:rPr>
          <w:rFonts w:ascii="Times New Roman" w:hAnsi="Times New Roman"/>
          <w:color w:val="000000" w:themeColor="text1"/>
          <w:sz w:val="16"/>
          <w:szCs w:val="16"/>
        </w:rPr>
        <w:softHyphen/>
        <w:t>вающий пробитие брони толщиной до 110 мм (6467).</w:t>
      </w:r>
    </w:p>
    <w:p w14:paraId="7329EB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29B2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г. вышло Постановление ГКО № 3144, которым завод № 30 обязывался выпускать двухместные штурмовики Ил-2 АМ-38ф с двумя пушками калибра 37 мм 11П-37 (в серии НС-37) (8687).</w:t>
      </w:r>
    </w:p>
    <w:p w14:paraId="1CA710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 же как и в случае установки на Ил-2 пушек ШФК-37, в заключение акта по войсковым испытаниям Ил-2 с НС-37 был сделан вывод, что новый штурмовик по совокупности боевых качеств войсковые испытания прошел неудовлетворительно (8687).</w:t>
      </w:r>
    </w:p>
    <w:p w14:paraId="502ADF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результатам войсковых испытаний Ил-2 с НС-37 было также решено не запускать в массовое производство подкалиберный бронебойный снаряд к этой пушке, который обеспечивал повышенную бронепробиваемость немецкой танковой брони в сравнении со штатным бронебойно-зажигательным снарядом БЗТ-37.</w:t>
      </w:r>
    </w:p>
    <w:p w14:paraId="17CA42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наш взгляд, вывод фронтовых летчиков и государственной комиссии был не совсем корректным и обуславливался. главным образом, недостаточной летно-боевой подготовкой основной массы строевых летчиков - участников войсковых испытаний, которым было все же очень сложно обеспечить в бою прицельную стрельбу из пушки НС-37 по малоразмерным целям.</w:t>
      </w:r>
    </w:p>
    <w:p w14:paraId="455969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Расчеты, основанные на результатах полигонных испытаний и анализе боевого опыта, показывают, что хорошо подготовленный летчик-штурмовик, используя весь арсенал вооружения Ил-2 с НС-37, в типовых условиях боев второго периода войны вполне мог в одном вылете обеспечить вероятность боевого успеха при нанесении удара по средним немецким танкам около 0,08, что было примерно в 1,2 раза выше, чем для Ил-2 с пушками ВЯ-23.</w:t>
      </w:r>
    </w:p>
    <w:p w14:paraId="1225B3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 есть, Ил-2 с пушками НС-37 в руках опытных бойцов с отличной летной и стрелковой подготовкой мог стать неплохим противотанковым средством и при условии массового применения этого штурмовика на узких участках фронта серьезное поражение германским средним танкам всех типов и САУ на их основе было делом реальным.</w:t>
      </w:r>
    </w:p>
    <w:p w14:paraId="4B7182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Более того, учитывая, что к этому времени промышленность уже освоила массовое производство бронебойных и осколочно-фугасных ракетных снарядов РБС-132 и РОФС-132, эффективность действий Ил-2 с НС-37 по танкам могла быть повышена за счет увеличения на штурмовике числа ракетных орудий - с 4-х до 12-16. А такая переделка штурмовика была вполне возможной. Действительно, бомбовая нагрузка в 100 кг при любой номенклатуре бомб не могла обеспечить высокую вероятность поражения наземных целей всех типов. В то же время при залповой стрельбе РСами по 8 снарядов в залпе с дистанций 300-400 м вероятность поражения любого среднего немецкого танка, а при стрельбе РБСами и тяжелых танков, как показывают расчеты, могла достигать 0,2-0,25. В этом случае вероятность боевого успеха Ил-2 с НС-37 в одном боевом вылете при атаке средних немецких танков могла составить величину уже 0,11-0,12.</w:t>
      </w:r>
    </w:p>
    <w:p w14:paraId="5CA337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Отметим, что при использовании на Ил-2 пушек Б. Г. Шпитального Ш-37 с ленточным питанием результаты были бы еще выше вследствие меньшей отдачи этих пушек при стрельбе по сравнению с пушками НС-37.</w:t>
      </w:r>
    </w:p>
    <w:p w14:paraId="7C99C9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Напрашивалась очевидная переделка Ил-2 в чистый противотанковый самолет с мощным ракетно-пушечным вооружением и формирование на его основе противотанковых авиаполков, летный состав которых прошел бы специальную подготовку в ведении прицельной стрельбы короткими очередями из пушек и РСами по малоразмерным бронированным и небронированным целям (отдельный танк, бронемашина, паровоз и т.д.). При этом имело смысл, в составе каждой штурмовой авиационной дивизии иметь по одному штатному противотанковому авиаполку, а также формировать на основе таких полков отдельные однородные противотанковые авиадивизии, которые рассматривались бы как противотанковый резерв Главного командования и придавались воздушным армиям для действий на танкоопасных направлениях или на направлении главного удара фронта.</w:t>
      </w:r>
    </w:p>
    <w:p w14:paraId="32C295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Учитывая, что устойчивость оперативных порядков наступающих и обороняющихся войск во многом определяется плотностью бронетехники на 1 км фронта, противотанковые авиаполки и авиадивизии нам бы сильно пригодились при отражении контрударов танковых "таранов" вермахта и при прорыве укрепленных районов. Выводя из строя танки противника в боевых порядках в наступлении (контрнаступлении) и в обороне, было возможным снизить общую устойчивость оперативных порядков войск и решить исход боя в свою пользу.</w:t>
      </w:r>
    </w:p>
    <w:p w14:paraId="6DF2BA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Особенно важным было поражение с воздуха танков и САУ противника в обороне, "врытых" в землю и действующих из засад. Такие танки и САУ, как правило, располагались на танкоопасных направлениях и включались в единую систему ПТО. Находясь в укрытиях полевого типа, немецкие "Тигры" и "Пантеры" могли с высокой точностью и на больших дистанциях поражать атакующие советские танки и поддерживающие их САУ, оставаясь практически неуязвимыми от их огня. По сути, немецкие танки ПТО являлись ключевыми элементами системы ПТО и обеспечивали повышенную устойчивость всей войсковой обороны.</w:t>
      </w:r>
    </w:p>
    <w:p w14:paraId="13EA5E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то же время наступающие советские войска для борьбы с немецкими танками и САУ ПТО не имели в своих боевых порядках эффективных огневых средств - орудия ПТО и тяжелая артиллерия обычно не поспевали за ушедшей вперед пехотой и танками. Оставалось уничтожать немецкие танки ПТО силами самих танкистов и "самоходов" и нести большие потери...(8687).</w:t>
      </w:r>
    </w:p>
    <w:p w14:paraId="212F9B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635E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года Пе-8 4М-82 №42049 был принят АДЦ как эталон 1943 года (7685).</w:t>
      </w:r>
    </w:p>
    <w:p w14:paraId="111A4D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14E70E"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8 апреля</w:t>
      </w:r>
      <w:r w:rsidRPr="00D03F3E">
        <w:rPr>
          <w:rFonts w:ascii="Times New Roman" w:hAnsi="Times New Roman"/>
          <w:color w:val="000000" w:themeColor="text1"/>
          <w:sz w:val="16"/>
          <w:szCs w:val="16"/>
        </w:rPr>
        <w:t xml:space="preserve"> в 1943 году </w:t>
      </w:r>
      <w:hyperlink r:id="rId116" w:tgtFrame="_blank" w:history="1">
        <w:r w:rsidRPr="00D03F3E">
          <w:rPr>
            <w:rFonts w:ascii="Times New Roman" w:hAnsi="Times New Roman"/>
            <w:color w:val="000000" w:themeColor="text1"/>
            <w:sz w:val="16"/>
            <w:szCs w:val="16"/>
          </w:rPr>
          <w:t xml:space="preserve">«Пе-8» «4М-82» </w:t>
        </w:r>
      </w:hyperlink>
      <w:r w:rsidRPr="00D03F3E">
        <w:rPr>
          <w:rFonts w:ascii="Times New Roman" w:hAnsi="Times New Roman"/>
          <w:color w:val="000000" w:themeColor="text1"/>
          <w:sz w:val="16"/>
          <w:szCs w:val="16"/>
        </w:rPr>
        <w:t xml:space="preserve">№42049 был принят АДД как эталон 1943 года. Первый серийный «Пе-8» №42058 поступил на вооружение 746 авиационного полка в январе 1943 года, затем последовало еще несколько машин, поступивших в полк к лету. Всего за 1943 год завод №22 выпустил 18 </w:t>
      </w:r>
      <w:hyperlink r:id="rId117" w:tgtFrame="_blank" w:history="1">
        <w:r w:rsidRPr="00D03F3E">
          <w:rPr>
            <w:rFonts w:ascii="Times New Roman" w:hAnsi="Times New Roman"/>
            <w:color w:val="000000" w:themeColor="text1"/>
            <w:sz w:val="16"/>
            <w:szCs w:val="16"/>
          </w:rPr>
          <w:t xml:space="preserve">«Пе-8», </w:t>
        </w:r>
      </w:hyperlink>
      <w:r w:rsidRPr="00D03F3E">
        <w:rPr>
          <w:rFonts w:ascii="Times New Roman" w:hAnsi="Times New Roman"/>
          <w:color w:val="000000" w:themeColor="text1"/>
          <w:sz w:val="16"/>
          <w:szCs w:val="16"/>
        </w:rPr>
        <w:t>и все они были с «М-82». В заключении к отчету по испытаниям говорилось: "Установка на самолете «Пе-8» «M-82» вместо «АМ-35А»:улучшает взлетные характеристики, снижая длину разбега на 20%; увеличивает дальность по боевому профилю до 4400 км при 3000 кг бомб; повышает живучесть самолета (отсутствие водосистемы); снижает максимальную скорость на 10 км/ч и снижает потолок на 1000 м за счет недоведенности «М-82» и карбюратора АК-82БП; учитывая, что полученные преимущества являются основными для данного типа самолета, как ночного дальнего бомбардировщика, рекомендовать установку «М-82» на самолете «Пе-8»; заводам №19 и №33 устранить указанные дефекты «М-82» и АК-82БП; заводу №22 устранить дефекты, указанные выше, после чего передать один самолет в АДД к 15 ноября 1942 года, для опытной эксплуатации, в процессе которой НИИ ВВС совместно с АДД снять летные характеристики самолета" (15093).</w:t>
      </w:r>
    </w:p>
    <w:p w14:paraId="71F0DAA0" w14:textId="77777777" w:rsidR="004A4CDC" w:rsidRPr="00D03F3E" w:rsidRDefault="004A4CDC" w:rsidP="00D03F3E">
      <w:pPr>
        <w:spacing w:after="0" w:line="240" w:lineRule="auto"/>
        <w:jc w:val="both"/>
        <w:rPr>
          <w:rFonts w:ascii="Times New Roman" w:hAnsi="Times New Roman"/>
          <w:color w:val="000000" w:themeColor="text1"/>
          <w:sz w:val="16"/>
          <w:szCs w:val="16"/>
        </w:rPr>
      </w:pPr>
    </w:p>
    <w:p w14:paraId="400024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вышел приказ НКАП № 198с:</w:t>
      </w:r>
    </w:p>
    <w:p w14:paraId="608391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 возросшим объемом работ ф-ла з-да № 266 по пр-ву электрооборудования:</w:t>
      </w:r>
    </w:p>
    <w:p w14:paraId="3281B00D"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Преобразовать ф-л зхда 266 в самостоятельный з-д, присвоив ему № 140,</w:t>
      </w:r>
    </w:p>
    <w:p w14:paraId="344BA7BC"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З-д 140 подчинить 4 ГУ.</w:t>
      </w:r>
    </w:p>
    <w:p w14:paraId="556E95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Шахурин (1703, 75).</w:t>
      </w:r>
    </w:p>
    <w:p w14:paraId="0E7AEC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C952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8 апреля 1943 г. на базе филиала завода № 266 (Завод № 266 ИМ. И.И. </w:t>
      </w:r>
      <w:r w:rsidRPr="00D03F3E">
        <w:rPr>
          <w:rFonts w:ascii="Times New Roman" w:hAnsi="Times New Roman"/>
          <w:color w:val="000000" w:themeColor="text1"/>
          <w:sz w:val="16"/>
          <w:szCs w:val="16"/>
          <w:lang w:val="en-US"/>
        </w:rPr>
        <w:t>Jlence</w:t>
      </w:r>
      <w:r w:rsidRPr="00D03F3E">
        <w:rPr>
          <w:rFonts w:ascii="Times New Roman" w:hAnsi="Times New Roman"/>
          <w:color w:val="000000" w:themeColor="text1"/>
          <w:sz w:val="16"/>
          <w:szCs w:val="16"/>
        </w:rPr>
        <w:t xml:space="preserve"> НКАП, МАП, Электромоторный завод им. Лепсе НКЭП, НКЭС, Кировский электромашиностроительный завод им. И.И. Лепсе, Кировское электромашиностроительное ПО (КЭМПО) «Лепсе», ОАО «Электромашиностроительный завод (ЭМСЗ) «Лепсе» РАКА, ФАП /г. Москва ул. Ткацкая, 15 ст. Черкизово (1940 г.);  г. Киров Филейское ш. (1942 г.)/ /610006  г. Киров пр. Октябрьский, 24 тел. 23-74-47/ /Московское представительство: ул. Б. Садовая, 8/) образован самостоятельный завод № 140 НКАП (11982).</w:t>
      </w:r>
    </w:p>
    <w:p w14:paraId="725D4F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C69E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г. приказом НКАП № 198с филиала завода № 266 МАП (ул. Ткацкая, 15; 1942 г.) был преобразован в самостоятельный завод № 140 по электрооборудованию (ГС Завод № 140 НКАП, МАП, Московский машиностроительный завод (ММЗ) «Маяк», ОАО «Машиностроительный завод «Маяк», НПО «Якорь» / г. Москва ул. Мочальская, 31 (1947 г.)/ /105058  г. Москва ул. Ибрагимова, 31 тел. 369-10-92/) на площадке эвакуированного завода № 25 НКАП. Действовал сначала в 7ГУ, затем передан в 4ГУ. По приказу № 280с от 7.05.1946 г. передан с 1.04.1946 г. во 2ГУ.</w:t>
      </w:r>
    </w:p>
    <w:p w14:paraId="5EB4C7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528с от 2.09.1943 г. на завод № 140 НКАП переведено производство электродрелей с оборудованием и кадрами ликвидированного завода № 25 НКАП. В 1946 г. заводу поставлено 623 трофейных металлорежущих станка.</w:t>
      </w:r>
    </w:p>
    <w:p w14:paraId="58514C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СМ СССР № 713-342 от 26.06.1957 г. передан в Московский СНХ РСФСР.</w:t>
      </w:r>
    </w:p>
    <w:p w14:paraId="41F45A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ММЗ «Маяк» вместе с АКБ «Якорь» и Московским заводом электромеханизмов входил в НПО «Якорь». В 1994 г. завод акционирован и преобразован в ОАО. По Указу Президента РФ № 1009 от 4.08.2004 г. ОАО вошло в число стратегических оборонных предприятий.</w:t>
      </w:r>
    </w:p>
    <w:p w14:paraId="5646A7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(2002 г.): автоматы защиты для систем электроснабжения, электромеханизмы, электрорегуляторы, преобразователи.</w:t>
      </w:r>
    </w:p>
    <w:p w14:paraId="6F82F3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территории (2007 г.)- 7 га.</w:t>
      </w:r>
    </w:p>
    <w:p w14:paraId="0DC2E4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(1941-05.1943 г.-)- Доценко, (-1944 г.)- С.А. Горюнов, (1966 г.)- Е.И. Маслов. Гендиректор (-2000- 02 г.-)- С.Ф. Зюбин, (2005 г.)- Э.А. Воронец; и.о. гендиректора (03.2007 г.)- В. Попков.</w:t>
      </w:r>
    </w:p>
    <w:p w14:paraId="08D77F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гендиректора (2002 г.)-  Г.В. Коровин.</w:t>
      </w:r>
    </w:p>
    <w:p w14:paraId="4E4D9B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(2002 г.)- В.А. Караваев.</w:t>
      </w:r>
      <w:r w:rsidRPr="00D03F3E">
        <w:rPr>
          <w:rFonts w:ascii="Times New Roman" w:hAnsi="Times New Roman"/>
          <w:color w:val="000000" w:themeColor="text1"/>
          <w:sz w:val="16"/>
          <w:szCs w:val="16"/>
          <w:vertAlign w:val="superscript"/>
        </w:rPr>
        <w:t>69</w:t>
      </w:r>
    </w:p>
    <w:p w14:paraId="125F15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отделов: КО (-1938-46 г.)- Ф.И. Голгофский.</w:t>
      </w:r>
    </w:p>
    <w:p w14:paraId="64CCF1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Производство: (ВОВ) приборы, электроагрегаты, электродрели, мотор МУ-80; генераторы для АШ-73 (середина 1940-х), генераторы для ПВРД РД-012, фильтр Ф-14А; (1990-е) аппаратура для систем электроснабжения: автоматы защиты, реле, коробки, электромеханизмы, регуляторы, преобразователи (11982).</w:t>
      </w:r>
    </w:p>
    <w:p w14:paraId="25583C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10CF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года помощник члена ГОКО И. Семичастнов:</w:t>
      </w:r>
    </w:p>
    <w:p w14:paraId="30FCA8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доклада Микояну А.И. прошу дать Ваше заключение и предложения по письму ст. инженера НИИ-3 при Совнаркоме Раева по вопросу организации НИР и производства лаков на бакелитовой основе (8917).</w:t>
      </w:r>
    </w:p>
    <w:p w14:paraId="67DBB8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BF4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года начальник Технического отдела НКАП Голяев писал письмо помощнику члена ГОКО Семичастнову</w:t>
      </w:r>
    </w:p>
    <w:p w14:paraId="43FDD5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вопросу организации НИР, производства и применения лаков на бакелитовой основе.</w:t>
      </w:r>
    </w:p>
    <w:p w14:paraId="7BEC86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НКАП сообщает, что указанные лаки и клея под названием ВИАМ-Б3 применяются на самолетостроительных заводах в большом количестве.</w:t>
      </w:r>
    </w:p>
    <w:p w14:paraId="3BFB1C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числу их недостатков относится исключительный дефицит сырья для их получения (фенол, формальдегид, спирт).</w:t>
      </w:r>
    </w:p>
    <w:p w14:paraId="2B7A26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31EB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Ввиду этого НКАП проводятся исследовательские работы по замене бакелитовых лаков и клеев на другие не требующие дефицитного сырья.</w:t>
      </w:r>
    </w:p>
    <w:p w14:paraId="7E24EA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ознакомления с лаками разработанными Лобовичем установлено:</w:t>
      </w:r>
    </w:p>
    <w:p w14:paraId="694F2370"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Указанные лаки требуют для своего производства значительно увеличенного против применяемых лаков, расхода дефицитных видов сырья.</w:t>
      </w:r>
    </w:p>
    <w:p w14:paraId="1C0F6F68"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может иметь только полукустарный характер, из-за необходимости применения для варки малых объемов (не свыше 15 литров) и большой продолжительности процесса.</w:t>
      </w:r>
    </w:p>
    <w:p w14:paraId="1731BBF4"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своей стойкости к бензину, маслам, влаге, кислотам – пленка лака не выдерживает динамических нагрузок и изгибов.</w:t>
      </w:r>
    </w:p>
    <w:p w14:paraId="6A044AF1" w14:textId="77777777" w:rsidR="00DB6725" w:rsidRPr="00D03F3E"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целей придания огнестойкости самолету – лак Лобовича не может быть применен из-за увеличения веса квадратного метра древесины на 250 гр после покрытия, а также невозможности окраски им х/б поверхностей.</w:t>
      </w:r>
    </w:p>
    <w:p w14:paraId="41BBEE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производства бензобаков в настоящее время в авиапромышленности применяется фибра, исключающая применение дефицитных видов сырья, для деревянных баков внутреннее покрытие производится не дефицитными красками.</w:t>
      </w:r>
    </w:p>
    <w:p w14:paraId="61B75E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Ввиду вышеизложенного НКАП считает организацию в своей системе специальной лаборатории по бакелитовым лакам нецелесообразной (8917).</w:t>
      </w:r>
    </w:p>
    <w:p w14:paraId="52B74B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DEA38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64346C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2117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вышло Постановление ГКО № 3146 О плане снабжения горюче-смазочными материалами Красной Армии и Военно-Морского Флота на апрель 1943 года.РГАНИР, Фонд ГКО, д. 102, лл. 59-61, 62-92 (11012).</w:t>
      </w:r>
    </w:p>
    <w:p w14:paraId="72876E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A3AE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вышло Постановление ГКО № 3147 О назначении Правительственной комиссии по приемке объекта № 01 Метростроя.РГАНИР, Фонд ГКО, д. 102, лл. 93 (11012).</w:t>
      </w:r>
    </w:p>
    <w:p w14:paraId="325719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7D2B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вышло Распоряжение ГКО № 3148. О передаче Наркомхозу Казахской ССР двух трансформаторов с завода № 175 НКСП для укомплектования гидростанций, строящихся в районе Алма-Ата.РГАНИР, Фонд ГКО, д. 102, лл. 94 (11012).</w:t>
      </w:r>
    </w:p>
    <w:p w14:paraId="270C7D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363D2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вышло Постановление ГКО № 3149 Об увеличении производства литейных концентратов на предприятиях Главлесоспирта при Совнаркоме СССР. (7093, 95-96).</w:t>
      </w:r>
    </w:p>
    <w:p w14:paraId="2CD51C3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A77CE4" w14:textId="77777777" w:rsidR="00C36DA0"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626ED852" w14:textId="77777777" w:rsidR="00C36DA0" w:rsidRPr="00D03F3E" w:rsidRDefault="00C36DA0"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6DA30C" w14:textId="77777777" w:rsidR="00C36DA0" w:rsidRPr="00D03F3E" w:rsidRDefault="00C36DA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8 апреля</w:t>
      </w:r>
      <w:r w:rsidRPr="00D03F3E">
        <w:rPr>
          <w:rFonts w:ascii="Times New Roman" w:hAnsi="Times New Roman"/>
          <w:color w:val="000000" w:themeColor="text1"/>
          <w:sz w:val="16"/>
          <w:szCs w:val="16"/>
        </w:rPr>
        <w:t xml:space="preserve"> в 1943 году утреннее сообщение Совинформбюро:</w:t>
      </w:r>
    </w:p>
    <w:p w14:paraId="7614D45B" w14:textId="77777777" w:rsidR="00C36DA0" w:rsidRPr="00D03F3E" w:rsidRDefault="00C36DA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8 апреля на фронтах существенных изменений не произошло.</w:t>
      </w:r>
    </w:p>
    <w:p w14:paraId="18238E76" w14:textId="77777777" w:rsidR="00C36DA0" w:rsidRPr="00D03F3E" w:rsidRDefault="00C36DA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наши подразделения овладели несколькими выгодными позициями. Уничтожено до 200 гитлеровцев, 4 орудия, 9 пулемётов, миномёт и 2 автомашины противника с боеприпасами. Наши лётчики в воздушных боях сбили 4 немецких самолёта «Мессершмитт-109».</w:t>
      </w:r>
    </w:p>
    <w:p w14:paraId="271D11D2" w14:textId="77777777" w:rsidR="00C36DA0" w:rsidRPr="00D03F3E" w:rsidRDefault="00C36DA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происходила редкая артиллерийская и миномётная перестрелкас противником. Снайперы Н-ского подразделения за последние дни истребили 64 гитлеровца. Снайпер т. Везбердев при отражении атаки противника уничтожил 12 немцев, подавил огонь пулемётной точки и, кроме того, захватил в плен четырёх гитлеровцев. Снайпер т. Афанасьев в течение одного дня подавил огонь 4 пулемётных точек противника.</w:t>
      </w:r>
    </w:p>
    <w:p w14:paraId="21416DAC" w14:textId="77777777" w:rsidR="00C36DA0" w:rsidRPr="00D03F3E" w:rsidRDefault="00C36DA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противник пытался атаковать наши позиции. Ружейно-пулемётным огнём гитлеровцы были рассеяны, не достигнув переднего края нашей обороны. На поле боя осталось до 100 трупов немецких солдат и офицеров.</w:t>
      </w:r>
    </w:p>
    <w:p w14:paraId="661924CB" w14:textId="77777777" w:rsidR="00C36DA0" w:rsidRPr="00D03F3E" w:rsidRDefault="00C36DA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Советские лётчики уничтожили 10 вагонов с боеприпасами и несколько автомашин противника.</w:t>
      </w:r>
    </w:p>
    <w:p w14:paraId="6DA55A42" w14:textId="77777777" w:rsidR="00C36DA0" w:rsidRPr="00D03F3E" w:rsidRDefault="00C36DA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 одном из участков противник тремя отрядами атаковал высоту, которую обороняла Н-ская часть. Наши бойцы контратакой отбросили немцев на исходные рубежи. На поле боя осталось 120 трупов вражеских солдат и офицеров.</w:t>
      </w:r>
    </w:p>
    <w:p w14:paraId="7B847FFF" w14:textId="77777777" w:rsidR="00C36DA0" w:rsidRPr="00D03F3E" w:rsidRDefault="00C36DA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Житомирской области, заминировал в нескольких местах железнодорожное полотно. На минах подорвался проходивший эшелон противника. Уничтожены паровоз и 9 вагонов. Убито и раненосвыше 100 вражеских солдат и офицеров. Группа партизан этого же отряда устроила засаду на шоссейной дороге. Рано утром по шоссе проходило 5 автомашин с гитлеровцами. Партизаны из пулемётов и винтовок обстреляли противника и уничтожили 25 немецко-фашистских оккупантов. Захвачены пулемёт, 2 автомата, 25 винтовок, гранаты и патроны.</w:t>
      </w:r>
    </w:p>
    <w:p w14:paraId="252F5ABD" w14:textId="77777777" w:rsidR="00C36DA0" w:rsidRPr="00D03F3E" w:rsidRDefault="00C36DA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Колхозники и колхозницы, жители Батуринского района, Смоленской области, рассказали о зверствах немецко-фашистских мерзавцев. Осенью прошлого года немецкие убийцы за одну ночь истребили почти всё население деревни Никитино. Спасаясь от немецких бандитов, многие колхозники окрестных деревень убежали влес. Немцы прочёсывали леса, охотились за мирными жителями. Всех пойманных они согнали в деревню Глисница и заперли в сарай. Здесь колхозников гитлеровцы избивали до потери сознания. Колхознице Анастасии Васильевой изверги изуродовали лицо, перебили нос и выбили зубы. Сергею Короткову вывернули руки. После долгих пыток немцы вывели всех пойманных ими мирных жителей на берег реки Вопь и расстреляли.</w:t>
      </w:r>
    </w:p>
    <w:p w14:paraId="24B8DD4D" w14:textId="77777777" w:rsidR="00C36DA0" w:rsidRPr="00D03F3E" w:rsidRDefault="00C36DA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на подступах к городу Столац уничтожили до 300 солдат и офицеров противника. Взяты трофеи и пленные. В районе гор. Енин партизаны истребили 50 гитлеровцев. Партизанский отряд совершил налёт на железнодорожную станцию, занятую оккупантами, и захватил большие трофеи.» (15093).</w:t>
      </w:r>
    </w:p>
    <w:p w14:paraId="630EA83D" w14:textId="77777777" w:rsidR="00C36DA0" w:rsidRPr="00D03F3E" w:rsidRDefault="00C36DA0" w:rsidP="00D03F3E">
      <w:pPr>
        <w:spacing w:after="0" w:line="240" w:lineRule="auto"/>
        <w:jc w:val="both"/>
        <w:rPr>
          <w:rFonts w:ascii="Times New Roman" w:hAnsi="Times New Roman"/>
          <w:color w:val="000000" w:themeColor="text1"/>
          <w:sz w:val="16"/>
          <w:szCs w:val="16"/>
        </w:rPr>
      </w:pPr>
    </w:p>
    <w:p w14:paraId="44592120" w14:textId="77777777" w:rsidR="00C36DA0" w:rsidRPr="00D03F3E" w:rsidRDefault="00C36DA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8 апреля</w:t>
      </w:r>
      <w:r w:rsidRPr="00D03F3E">
        <w:rPr>
          <w:rFonts w:ascii="Times New Roman" w:hAnsi="Times New Roman"/>
          <w:color w:val="000000" w:themeColor="text1"/>
          <w:sz w:val="16"/>
          <w:szCs w:val="16"/>
        </w:rPr>
        <w:t xml:space="preserve"> в 1943 году вечернее сообщение Совинформбюро:</w:t>
      </w:r>
    </w:p>
    <w:p w14:paraId="2A5890DC" w14:textId="77777777" w:rsidR="00C36DA0" w:rsidRPr="00D03F3E" w:rsidRDefault="00C36DA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8 апреля на фронтах существенных изменений не произошло.</w:t>
      </w:r>
    </w:p>
    <w:p w14:paraId="22B9FF4C" w14:textId="77777777" w:rsidR="00C36DA0" w:rsidRPr="00D03F3E" w:rsidRDefault="00C36DA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кораблями в Баренцевом море потоплен немецкий транспорт водоизмещениемв 2.500 тонн.</w:t>
      </w:r>
    </w:p>
    <w:p w14:paraId="5483C300" w14:textId="77777777" w:rsidR="00C36DA0" w:rsidRPr="00D03F3E" w:rsidRDefault="00C36DA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апреля частями нашей авиации на различных участках фронта уничтожено или повреждено не менее 20 немецких автомашин с войсками и грузами, взорван склад боеприпасов и разбит железнодорожный эшелон противника.</w:t>
      </w:r>
    </w:p>
    <w:p w14:paraId="5DDCC046" w14:textId="77777777" w:rsidR="00C36DA0" w:rsidRPr="00D03F3E" w:rsidRDefault="00C36DA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батальон пехоты противника, усиленный 12 танками, атаковал наши позиции. Гитлеровцы были встречены огнём нашей артиллерии и миномётов. Когда боевые порядки немцев были расстроены, наши бойцы контратакой отбросили противника на исходные позиции. Уничтожено 350 немецких солдат и офицеров, подбито и сожжено 4 немецких танка. На другом участке советские бойцы атаковали гитлеровцев и захватили выгодный рубеж. B бою за этот рубеж уничтожено до роты пехоты противника.</w:t>
      </w:r>
    </w:p>
    <w:p w14:paraId="78C91F22" w14:textId="77777777" w:rsidR="00C36DA0" w:rsidRPr="00D03F3E" w:rsidRDefault="00C36DA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укрепляли свои позиции и вели боевую разведку. Огнём артиллерии и пехотного оружия уничтожено более 160 немецких солдат и офицеров, подавлен огонь 2 артиллерийских батарей противника.</w:t>
      </w:r>
    </w:p>
    <w:p w14:paraId="56BC5628" w14:textId="77777777" w:rsidR="00C36DA0" w:rsidRPr="00D03F3E" w:rsidRDefault="00C36DA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происходила редкая перестрелка с противником. Н-ская артиллерийская часть разгромила 6 вражеских дзотов, рассеяла и частью уничтожила до роты гитлеровцев. За время Отечественной войны снайпер лейтенант Михаил Белоусов истребил 234 немецких солдата и офицера, старший сержант Хаит Хужматов— 159, гвардии красноармеец Дмитрий Чечиков — 154, гвардии старшина Иван Петров уничтожил 113 немцев.</w:t>
      </w:r>
    </w:p>
    <w:p w14:paraId="124231A6" w14:textId="77777777" w:rsidR="00C36DA0" w:rsidRPr="00D03F3E" w:rsidRDefault="00C36DA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Карело-финские партизанские отряды «Онежец», «Буревестник», «Железняк» и«Вперёд» после тщательно проведённой разведки внезапно ворвались в населённыйпункт, занятый противником. В ожесточённой схватке партизаны уничтожили 113 белофиннов. Сожжены 8 автомашин, авторемонтная мастерская, склад запасныхчастей, склад боеприпасов, склад с горючим и вещевой склад противника.</w:t>
      </w:r>
    </w:p>
    <w:p w14:paraId="10775D1D" w14:textId="77777777" w:rsidR="00C36DA0" w:rsidRPr="00D03F3E" w:rsidRDefault="00C36DA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 приказу Гитлера немецкая авиация совершила немало террористических налёто вна мирные города в разных странах. Гитлеровцы уничтожали исторические памятники, культурные учреждения, школы и больницы, убивали женщин и детей. Геринг тогда клятвенно заверял немцев, что небо Германии защищено и ни один самолёт противника никогда не появится над немецкими городами. Это хвастовство гитлеровского ублюдка очень скоро было опровергнуто. Советская авиация много разбомбила военные объекты Берлина и других городов Германии. Вопреки хвастливым заверениям Геринга, немецкие города подвергаются массированным налётам </w:t>
      </w:r>
      <w:r w:rsidRPr="00D03F3E">
        <w:rPr>
          <w:rFonts w:ascii="Times New Roman" w:hAnsi="Times New Roman"/>
          <w:color w:val="000000" w:themeColor="text1"/>
          <w:sz w:val="16"/>
          <w:szCs w:val="16"/>
        </w:rPr>
        <w:lastRenderedPageBreak/>
        <w:t>англо-американской авиации. Теперь немецкие обыватели в своих письмах солдатам на советско-немецкий фронт всё чаще и чаще начинают скулить и проливать крокодиловы слёзы по поводу этих налётов. Мать ефрейтора Адольфа Штупфеля жалуется в письме к сыну: «...Воздушные тревоги не дают нам покоя. Каждую ночь бомбят города Западной Германии». Солдату 5 роты 279 полка 95 немецкой пехотнойдивизии Герману Поле пишут: «B прошлую ночь был уничтожающий воздушный налёт. Так можно сойти с ума». Солдату Эриху пишет его мать: «...Дюссельдорф превращенв груду развалин. Англичане забросали наш город воздушными торпедами и зажигательными бомбами...» Неизвестному солдату пишет некая Мария: «...На прошлой неделе лётчики побывали в Карлсруэ. Они причинили огромный вред». Эрна Инцмер пишет обер-ефрейтору Гейнцу Зауэру: «14 дней тому назад томми побывали в Берлине и нанесли ему большой ущерб. Англичане не пожалели бомб. Раньше война была для нас чем-то далёким, сейчас она придвинулась к нашему дому. К чему нам пространство, если не можем защитить Берлин».</w:t>
      </w:r>
    </w:p>
    <w:p w14:paraId="4E3BD0AA" w14:textId="77777777" w:rsidR="00C36DA0" w:rsidRPr="00D03F3E" w:rsidRDefault="00C36DA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учинили жестокую расправу над мирным населением Суражского и Городокского районов, Витебской области. Фашистские варвары сожгли дотла целый ряд сёл и деревень и расстреляли несколько тысяч крестьян. Многие жители отправлены на каторгу. Немцы связали им руки и под конвоем угнали в Германию.» (15093).</w:t>
      </w:r>
    </w:p>
    <w:p w14:paraId="67C0ED43" w14:textId="77777777" w:rsidR="00C36DA0" w:rsidRPr="00D03F3E" w:rsidRDefault="00C36DA0" w:rsidP="00D03F3E">
      <w:pPr>
        <w:spacing w:after="0" w:line="240" w:lineRule="auto"/>
        <w:jc w:val="both"/>
        <w:rPr>
          <w:rFonts w:ascii="Times New Roman" w:hAnsi="Times New Roman"/>
          <w:color w:val="000000" w:themeColor="text1"/>
          <w:sz w:val="16"/>
          <w:szCs w:val="16"/>
        </w:rPr>
      </w:pPr>
    </w:p>
    <w:p w14:paraId="6F5B0591" w14:textId="77777777" w:rsidR="00C36DA0" w:rsidRPr="00D03F3E" w:rsidRDefault="00C36DA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8 апреля</w:t>
      </w:r>
      <w:r w:rsidRPr="00D03F3E">
        <w:rPr>
          <w:rFonts w:ascii="Times New Roman" w:hAnsi="Times New Roman"/>
          <w:color w:val="000000" w:themeColor="text1"/>
          <w:sz w:val="16"/>
          <w:szCs w:val="16"/>
        </w:rPr>
        <w:t xml:space="preserve"> в 1943 году «Пе-2» из 81-го гвардейского БАП 1-й гвардейской БАД отбомбились по деревне уже занятой нашими войсками и находившейся в тылу, в пятнадцати километрах от линии фронта (15093).</w:t>
      </w:r>
    </w:p>
    <w:p w14:paraId="11F190E7" w14:textId="77777777" w:rsidR="00C36DA0" w:rsidRPr="00D03F3E" w:rsidRDefault="00C36DA0" w:rsidP="00D03F3E">
      <w:pPr>
        <w:spacing w:after="0" w:line="240" w:lineRule="auto"/>
        <w:jc w:val="both"/>
        <w:rPr>
          <w:rFonts w:ascii="Times New Roman" w:hAnsi="Times New Roman"/>
          <w:color w:val="000000" w:themeColor="text1"/>
          <w:sz w:val="16"/>
          <w:szCs w:val="16"/>
        </w:rPr>
      </w:pPr>
    </w:p>
    <w:p w14:paraId="7B509FE4" w14:textId="77777777" w:rsidR="004A4CDC" w:rsidRPr="00D03F3E" w:rsidRDefault="004A4C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г. вышел ПРИКАЗ № 0062 О ФОРМИРОВАНИИ БОМБАРДИРОВОЧНЫХ АВИАПОЛКОВ У-2 РЕЗЕРВА СТАВКИ ВЕРХОВНОГО ГЛАВНОКОМАНДОВАНИЯ</w:t>
      </w:r>
    </w:p>
    <w:p w14:paraId="5F12F3F3" w14:textId="77777777" w:rsidR="004A4CDC" w:rsidRPr="00D03F3E" w:rsidRDefault="004A4C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формирования бомбардировочных авиаполков на самолетах У-2 резерва Ставки Верховного Главнокомандования провести следующие мероприятия:</w:t>
      </w:r>
    </w:p>
    <w:p w14:paraId="75259082" w14:textId="77777777" w:rsidR="004A4CDC" w:rsidRPr="00D03F3E" w:rsidRDefault="004A4C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Командующему ВВС Красной Армии к 5 июня 1943 года сформировать и сосредоточить на аэродромах в районе г. Москвы 28 авиаполков ночных бомбардировщиков У-2 в составе 896 самолетов, в том числе:</w:t>
      </w:r>
    </w:p>
    <w:p w14:paraId="3D25C642" w14:textId="77777777" w:rsidR="004A4CDC" w:rsidRPr="00D03F3E" w:rsidRDefault="004A4C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к 15 апреля 7 авиаполков У-2 за счет 213-й ночной бомбардировочной авиадивизии Западного фронта (24-й гвардейский авиаполк, 615-й авиаполк, 634-й авиаполк, 644-й авиаполк) и 3-х ночных бомбардировочных авиаполков У-2 за счет ГВФ;</w:t>
      </w:r>
    </w:p>
    <w:p w14:paraId="6D33B5B4" w14:textId="77777777" w:rsidR="004A4CDC" w:rsidRPr="00D03F3E" w:rsidRDefault="004A4C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к 25 апреля дополнительно сформировать 7 авиаполков У-2 за счет укомплектования 3-х авиаполков из резерва ВВС (4-й транспортный авиаполк 4-й авиадивизии, 384-й и 992-й авиаполки), 2-х авиаполков Калининского фронта (23-й гвардейский авиаполк и 930-й авиаполк) и 2-х авиаполков Северо-Западного фронта (717-й авиаполк и 597-й авиаполк);</w:t>
      </w:r>
    </w:p>
    <w:p w14:paraId="73CEB186" w14:textId="77777777" w:rsidR="004A4CDC" w:rsidRPr="00D03F3E" w:rsidRDefault="004A4C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 15 мая дополнительно сформировать 10 авиаполков У-2 за счет поступления 320 самолетов У-2 от промышленности;</w:t>
      </w:r>
    </w:p>
    <w:p w14:paraId="5B7D5AB0" w14:textId="77777777" w:rsidR="004A4CDC" w:rsidRPr="00D03F3E" w:rsidRDefault="004A4C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к 5 июня дополнительно сформировать 4 авиаполка У-2 за счет поступления 128 самолетов У-2 от промышленности.</w:t>
      </w:r>
    </w:p>
    <w:p w14:paraId="730CF943" w14:textId="77777777" w:rsidR="004A4CDC" w:rsidRPr="00D03F3E" w:rsidRDefault="004A4C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Командующему ВВС для управления авиаполками резерва Ставки Верховного Главнокомандования к 1 мая 1943 года сформировать 3 управления авиадивизий с ротами связи.</w:t>
      </w:r>
    </w:p>
    <w:p w14:paraId="53C36BAF" w14:textId="77777777" w:rsidR="004A4CDC" w:rsidRPr="00D03F3E" w:rsidRDefault="004A4C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Начальникам главных управлений НКО обеспечить проводимые мероприятия всеми видами довольствия.</w:t>
      </w:r>
    </w:p>
    <w:p w14:paraId="0B070B98" w14:textId="77777777" w:rsidR="004A4CDC" w:rsidRPr="00D03F3E" w:rsidRDefault="004A4C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Народный комиссар обороны СССР Маршал Советского Союза И. СТАЛИН </w:t>
      </w:r>
      <w:r w:rsidRPr="00D03F3E">
        <w:rPr>
          <w:rFonts w:ascii="Times New Roman" w:hAnsi="Times New Roman"/>
          <w:color w:val="000000" w:themeColor="text1"/>
          <w:sz w:val="16"/>
          <w:szCs w:val="16"/>
        </w:rPr>
        <w:t>(9844).</w:t>
      </w:r>
    </w:p>
    <w:p w14:paraId="285472BA" w14:textId="77777777" w:rsidR="004A4CDC" w:rsidRPr="00D03F3E" w:rsidRDefault="004A4C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C21F5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143A0B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E3893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вышло Постановление ГКО № 3145 [Об импорте лошадей из Монголии, Тувы и Ирана в 1943 г.] (7093, 58).</w:t>
      </w:r>
    </w:p>
    <w:p w14:paraId="611409B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C5087E"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19E3BC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BA4528"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8 апреля</w:t>
      </w:r>
      <w:r w:rsidRPr="00D03F3E">
        <w:rPr>
          <w:rFonts w:ascii="Times New Roman" w:hAnsi="Times New Roman"/>
          <w:color w:val="000000" w:themeColor="text1"/>
          <w:sz w:val="16"/>
          <w:szCs w:val="16"/>
        </w:rPr>
        <w:t xml:space="preserve"> в 1943 году опытный образец </w:t>
      </w:r>
      <w:hyperlink r:id="rId118" w:tgtFrame="_blank" w:history="1">
        <w:r w:rsidRPr="00D03F3E">
          <w:rPr>
            <w:rFonts w:ascii="Times New Roman" w:hAnsi="Times New Roman"/>
            <w:color w:val="000000" w:themeColor="text1"/>
            <w:sz w:val="16"/>
            <w:szCs w:val="16"/>
          </w:rPr>
          <w:t xml:space="preserve">«Douglas» «XSB2D-1» «Destroyer» </w:t>
        </w:r>
      </w:hyperlink>
      <w:r w:rsidRPr="00D03F3E">
        <w:rPr>
          <w:rFonts w:ascii="Times New Roman" w:hAnsi="Times New Roman"/>
          <w:color w:val="000000" w:themeColor="text1"/>
          <w:sz w:val="16"/>
          <w:szCs w:val="16"/>
        </w:rPr>
        <w:t>(03551) совершил свой первый полет. Но в серию эта машина не пошла (15093).</w:t>
      </w:r>
    </w:p>
    <w:p w14:paraId="14FC022D" w14:textId="77777777" w:rsidR="004A4CDC" w:rsidRPr="00D03F3E" w:rsidRDefault="004A4CDC" w:rsidP="00D03F3E">
      <w:pPr>
        <w:spacing w:after="0" w:line="240" w:lineRule="auto"/>
        <w:jc w:val="both"/>
        <w:rPr>
          <w:rFonts w:ascii="Times New Roman" w:hAnsi="Times New Roman"/>
          <w:color w:val="000000" w:themeColor="text1"/>
          <w:sz w:val="16"/>
          <w:szCs w:val="16"/>
        </w:rPr>
      </w:pPr>
    </w:p>
    <w:p w14:paraId="7253B3DE" w14:textId="77777777" w:rsidR="00E44D1F" w:rsidRPr="00D03F3E" w:rsidRDefault="00E44D1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8 апреля 1943 первый полет Douglas BTD Destroyer (20376).</w:t>
      </w:r>
    </w:p>
    <w:p w14:paraId="10283E4B" w14:textId="77777777" w:rsidR="00E44D1F" w:rsidRPr="00D03F3E" w:rsidRDefault="00E44D1F" w:rsidP="00D03F3E">
      <w:pPr>
        <w:spacing w:after="0" w:line="240" w:lineRule="auto"/>
        <w:jc w:val="both"/>
        <w:rPr>
          <w:rFonts w:ascii="Times New Roman" w:hAnsi="Times New Roman"/>
          <w:color w:val="0070C0"/>
          <w:sz w:val="16"/>
          <w:szCs w:val="16"/>
        </w:rPr>
      </w:pPr>
    </w:p>
    <w:p w14:paraId="22EC2861"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8 апреля</w:t>
      </w:r>
      <w:r w:rsidRPr="00D03F3E">
        <w:rPr>
          <w:rFonts w:ascii="Times New Roman" w:hAnsi="Times New Roman"/>
          <w:color w:val="000000" w:themeColor="text1"/>
          <w:sz w:val="16"/>
          <w:szCs w:val="16"/>
        </w:rPr>
        <w:t xml:space="preserve"> в 1943 году (8-14 апреля) совещание в Лондоне представителей президента США Дж.Маршалла и Г.Гопкинса с У.Черчиллем и английским комитетом обороны по выработке стратегического плана действий против Германии (план Маршалла). Принятие планов накапливания сил и средств США на Британских островах («Болеро») и вторжения через Ла-Манш во Францию в 1943 г. («Раундап») (15093).</w:t>
      </w:r>
    </w:p>
    <w:p w14:paraId="58D5D546" w14:textId="77777777" w:rsidR="004A4CDC" w:rsidRPr="00D03F3E" w:rsidRDefault="004A4CDC" w:rsidP="00D03F3E">
      <w:pPr>
        <w:spacing w:after="0" w:line="240" w:lineRule="auto"/>
        <w:jc w:val="both"/>
        <w:rPr>
          <w:rFonts w:ascii="Times New Roman" w:hAnsi="Times New Roman"/>
          <w:color w:val="000000" w:themeColor="text1"/>
          <w:sz w:val="16"/>
          <w:szCs w:val="16"/>
        </w:rPr>
      </w:pPr>
    </w:p>
    <w:p w14:paraId="1E63B5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April 8th, 1943: Units of the British Eighth Army (Montgomery) capture Sfax in Tunisia (3819).</w:t>
      </w:r>
    </w:p>
    <w:p w14:paraId="723985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3BF47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части британской 8А заняли Сфакс в Тунисе (3819).</w:t>
      </w:r>
    </w:p>
    <w:p w14:paraId="7C3975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6618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г Роммель покинул СА и вместо него командующим стал Г. фон Арним (3907,241).</w:t>
      </w:r>
    </w:p>
    <w:p w14:paraId="3ECB3A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8261A1"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8 апреля</w:t>
      </w:r>
      <w:r w:rsidRPr="00D03F3E">
        <w:rPr>
          <w:rFonts w:ascii="Times New Roman" w:hAnsi="Times New Roman"/>
          <w:color w:val="000000" w:themeColor="text1"/>
          <w:sz w:val="16"/>
          <w:szCs w:val="16"/>
        </w:rPr>
        <w:t xml:space="preserve"> в 1943 году Адольф Гитлер отзывает из Северной Африки генерала Роммеля . Вместо него командующим войсками стран "оси" в Африке назначается генерал Ганс-Юрген фон Арним (15093).</w:t>
      </w:r>
    </w:p>
    <w:p w14:paraId="45E81C34" w14:textId="77777777" w:rsidR="004A4CDC" w:rsidRPr="00D03F3E" w:rsidRDefault="004A4CDC" w:rsidP="00D03F3E">
      <w:pPr>
        <w:spacing w:after="0" w:line="240" w:lineRule="auto"/>
        <w:jc w:val="both"/>
        <w:rPr>
          <w:rFonts w:ascii="Times New Roman" w:hAnsi="Times New Roman"/>
          <w:color w:val="000000" w:themeColor="text1"/>
          <w:sz w:val="16"/>
          <w:szCs w:val="16"/>
        </w:rPr>
      </w:pPr>
    </w:p>
    <w:p w14:paraId="748ED2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г. Абдаллах обратился к сирийскому народу с посланием о "Плане Великой Сирии". Согласно ему создавалось федеративное или конфедеративное государство, включающее в себя Сирию, Ливан, Трансиорданию и Палестину, которое заключало с Великобританией союзный договор по образцу британско-египетского 1936 г. или британско-иракского 1930 г. Проект также предусматривал создание автономных областей для маронитов в Ливане и евреев в Палестине, но декларация Бальфура отменялась и иммиграция евреев прекращалась (3871).</w:t>
      </w:r>
    </w:p>
    <w:p w14:paraId="261B45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0B7A48" w14:textId="77777777" w:rsidR="00E44D1F" w:rsidRPr="00D03F3E" w:rsidRDefault="00E44D1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8 апреля 1943 177 японских самолетов, базирующихся в Рабауле - 67 пикирующих бомбардировщиков Aichi D3A (союзников по заявлению «Вал») в сопровождении 110 зеро - проводят крупнейшую воздушную атаку Японии с момента нападения на Перл-Харбор, нацеливаясь на американские корабли в проливе Айронботтом у побережья Гуадалканала и Тулаги. Они топят американский эсминец, новозеландский корвет и американский танкер. Семьдесят шесть американских истребителей перехватывают японцев, потеряв семь из своего числа, сбив 12 Валов и примерно 27 Зеро. Первый лейтенант запаса морской пехоты США Джеймс Э. Светт сбивает семь японских самолетов, все Vals во время одного полета (20376).</w:t>
      </w:r>
    </w:p>
    <w:p w14:paraId="2F5EDACC" w14:textId="77777777" w:rsidR="00E44D1F" w:rsidRPr="00D03F3E" w:rsidRDefault="00E44D1F" w:rsidP="00D03F3E">
      <w:pPr>
        <w:spacing w:after="0" w:line="240" w:lineRule="auto"/>
        <w:jc w:val="both"/>
        <w:rPr>
          <w:rFonts w:ascii="Times New Roman" w:hAnsi="Times New Roman"/>
          <w:color w:val="0070C0"/>
          <w:sz w:val="16"/>
          <w:szCs w:val="16"/>
        </w:rPr>
      </w:pPr>
    </w:p>
    <w:p w14:paraId="7F4286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в США были заморожены цены и зарплаты (3481).</w:t>
      </w:r>
    </w:p>
    <w:p w14:paraId="363E9A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BCABA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1943 в США заморожен рост цен и зарплаты (4962).</w:t>
      </w:r>
    </w:p>
    <w:p w14:paraId="5313077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12C84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179A60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7E837D"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1943 испытания самолёта «Пегас» № 01 возобновились. Однако лётную грамму в полном объёме завершить не удалось, так как самолёт после 36 ч 30 мин. налёта (96 полётов, включая заводские испытания) пришёл в полную негодность. По этой причине 16 мая испытания при</w:t>
      </w:r>
      <w:r w:rsidRPr="00D03F3E">
        <w:rPr>
          <w:rFonts w:ascii="Times New Roman" w:hAnsi="Times New Roman"/>
          <w:color w:val="000000" w:themeColor="text1"/>
          <w:sz w:val="16"/>
          <w:szCs w:val="16"/>
        </w:rPr>
        <w:softHyphen/>
        <w:t>шлось прекратить.</w:t>
      </w:r>
    </w:p>
    <w:p w14:paraId="48870ECD"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изменения в ходе доработки самолёта своди</w:t>
      </w:r>
      <w:r w:rsidRPr="00D03F3E">
        <w:rPr>
          <w:rFonts w:ascii="Times New Roman" w:hAnsi="Times New Roman"/>
          <w:color w:val="000000" w:themeColor="text1"/>
          <w:sz w:val="16"/>
          <w:szCs w:val="16"/>
        </w:rPr>
        <w:softHyphen/>
        <w:t>лись к следующему. Отрабо</w:t>
      </w:r>
      <w:r w:rsidRPr="00D03F3E">
        <w:rPr>
          <w:rFonts w:ascii="Times New Roman" w:hAnsi="Times New Roman"/>
          <w:color w:val="000000" w:themeColor="text1"/>
          <w:sz w:val="16"/>
          <w:szCs w:val="16"/>
        </w:rPr>
        <w:softHyphen/>
        <w:t>тана подвеска под фюзеляжем легкосъёмного лафета с двумя пушками ВЯ с боекомплектом по 80 снарядов на ствол. Дове</w:t>
      </w:r>
      <w:r w:rsidRPr="00D03F3E">
        <w:rPr>
          <w:rFonts w:ascii="Times New Roman" w:hAnsi="Times New Roman"/>
          <w:color w:val="000000" w:themeColor="text1"/>
          <w:sz w:val="16"/>
          <w:szCs w:val="16"/>
        </w:rPr>
        <w:softHyphen/>
        <w:t>дена носовая пулемётная уста</w:t>
      </w:r>
      <w:r w:rsidRPr="00D03F3E">
        <w:rPr>
          <w:rFonts w:ascii="Times New Roman" w:hAnsi="Times New Roman"/>
          <w:color w:val="000000" w:themeColor="text1"/>
          <w:sz w:val="16"/>
          <w:szCs w:val="16"/>
        </w:rPr>
        <w:softHyphen/>
        <w:t>новка в части обеспечения сбо</w:t>
      </w:r>
      <w:r w:rsidRPr="00D03F3E">
        <w:rPr>
          <w:rFonts w:ascii="Times New Roman" w:hAnsi="Times New Roman"/>
          <w:color w:val="000000" w:themeColor="text1"/>
          <w:sz w:val="16"/>
          <w:szCs w:val="16"/>
        </w:rPr>
        <w:softHyphen/>
        <w:t>ра гильз и звеньев в носовой части фюзеляжа. Боекомплект</w:t>
      </w:r>
      <w:r w:rsidRPr="00D03F3E">
        <w:rPr>
          <w:rStyle w:val="aff8"/>
          <w:rFonts w:ascii="Times New Roman" w:hAnsi="Times New Roman" w:cs="Times New Roman"/>
          <w:b w:val="0"/>
          <w:color w:val="000000" w:themeColor="text1"/>
          <w:spacing w:val="0"/>
          <w:sz w:val="16"/>
          <w:szCs w:val="16"/>
        </w:rPr>
        <w:t xml:space="preserve"> к </w:t>
      </w:r>
      <w:r w:rsidRPr="00D03F3E">
        <w:rPr>
          <w:rFonts w:ascii="Times New Roman" w:hAnsi="Times New Roman"/>
          <w:color w:val="000000" w:themeColor="text1"/>
          <w:sz w:val="16"/>
          <w:szCs w:val="16"/>
        </w:rPr>
        <w:t>пулемёту сократился до 140 па</w:t>
      </w:r>
      <w:r w:rsidRPr="00D03F3E">
        <w:rPr>
          <w:rFonts w:ascii="Times New Roman" w:hAnsi="Times New Roman"/>
          <w:color w:val="000000" w:themeColor="text1"/>
          <w:sz w:val="16"/>
          <w:szCs w:val="16"/>
        </w:rPr>
        <w:softHyphen/>
        <w:t>тронов. Доработали бомбовый мост. Вместо трёх на него смон</w:t>
      </w:r>
      <w:r w:rsidRPr="00D03F3E">
        <w:rPr>
          <w:rFonts w:ascii="Times New Roman" w:hAnsi="Times New Roman"/>
          <w:color w:val="000000" w:themeColor="text1"/>
          <w:sz w:val="16"/>
          <w:szCs w:val="16"/>
        </w:rPr>
        <w:softHyphen/>
        <w:t xml:space="preserve">тировали пять замков МДЗ-40. </w:t>
      </w:r>
      <w:r w:rsidRPr="00D03F3E">
        <w:rPr>
          <w:rStyle w:val="75pt"/>
          <w:rFonts w:ascii="Times New Roman" w:hAnsi="Times New Roman" w:cs="Times New Roman"/>
          <w:color w:val="000000" w:themeColor="text1"/>
          <w:sz w:val="16"/>
          <w:szCs w:val="16"/>
        </w:rPr>
        <w:t xml:space="preserve">Тепёрь допускалась подвеска </w:t>
      </w:r>
      <w:r w:rsidRPr="00D03F3E">
        <w:rPr>
          <w:rFonts w:ascii="Times New Roman" w:hAnsi="Times New Roman"/>
          <w:color w:val="000000" w:themeColor="text1"/>
          <w:sz w:val="16"/>
          <w:szCs w:val="16"/>
        </w:rPr>
        <w:t>бомбовой нагрузки в 500 кг, в том числе, одной ФАБ-500. При этом подвеска бомб на два крайних замка осуществлялась вручную, а на три средних - при помощи лебедки. Как и прежде, бомбометание обеспечивалось только с горизонтального по</w:t>
      </w:r>
      <w:r w:rsidRPr="00D03F3E">
        <w:rPr>
          <w:rFonts w:ascii="Times New Roman" w:hAnsi="Times New Roman"/>
          <w:color w:val="000000" w:themeColor="text1"/>
          <w:sz w:val="16"/>
          <w:szCs w:val="16"/>
        </w:rPr>
        <w:softHyphen/>
        <w:t>лёта. Прицел для бомбомета</w:t>
      </w:r>
      <w:r w:rsidRPr="00D03F3E">
        <w:rPr>
          <w:rFonts w:ascii="Times New Roman" w:hAnsi="Times New Roman"/>
          <w:color w:val="000000" w:themeColor="text1"/>
          <w:sz w:val="16"/>
          <w:szCs w:val="16"/>
        </w:rPr>
        <w:softHyphen/>
        <w:t>ния не устанавливался. Емкость бронированных бензиновых бачков в мотогондолах и основ</w:t>
      </w:r>
      <w:r w:rsidRPr="00D03F3E">
        <w:rPr>
          <w:rFonts w:ascii="Times New Roman" w:hAnsi="Times New Roman"/>
          <w:color w:val="000000" w:themeColor="text1"/>
          <w:sz w:val="16"/>
          <w:szCs w:val="16"/>
        </w:rPr>
        <w:softHyphen/>
        <w:t>ных бензобаков немного увели</w:t>
      </w:r>
      <w:r w:rsidRPr="00D03F3E">
        <w:rPr>
          <w:rFonts w:ascii="Times New Roman" w:hAnsi="Times New Roman"/>
          <w:color w:val="000000" w:themeColor="text1"/>
          <w:sz w:val="16"/>
          <w:szCs w:val="16"/>
        </w:rPr>
        <w:softHyphen/>
        <w:t>чили - до 20 и 153 л каждый, соответственно.</w:t>
      </w:r>
    </w:p>
    <w:p w14:paraId="004FB7C0"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пустого самолёта воз</w:t>
      </w:r>
      <w:r w:rsidRPr="00D03F3E">
        <w:rPr>
          <w:rFonts w:ascii="Times New Roman" w:hAnsi="Times New Roman"/>
          <w:color w:val="000000" w:themeColor="text1"/>
          <w:sz w:val="16"/>
          <w:szCs w:val="16"/>
        </w:rPr>
        <w:softHyphen/>
        <w:t>рос до 1450 кг. Полётный вес в варианте штурмовика с пушка</w:t>
      </w:r>
      <w:r w:rsidRPr="00D03F3E">
        <w:rPr>
          <w:rFonts w:ascii="Times New Roman" w:hAnsi="Times New Roman"/>
          <w:color w:val="000000" w:themeColor="text1"/>
          <w:sz w:val="16"/>
          <w:szCs w:val="16"/>
        </w:rPr>
        <w:softHyphen/>
        <w:t xml:space="preserve">ми ВЯ достигал 2150 кг, а в варианте лёгкого бомбардировщика с 500 кг бомб - 2320 кг. Центровка самолёта при всех вариантах нагрузки находилась в диапазоне от 29,45% САХ </w:t>
      </w:r>
      <w:r w:rsidRPr="00D03F3E">
        <w:rPr>
          <w:rFonts w:ascii="Times New Roman" w:hAnsi="Times New Roman"/>
          <w:color w:val="000000" w:themeColor="text1"/>
          <w:sz w:val="16"/>
          <w:szCs w:val="16"/>
          <w:lang w:val="en-US"/>
        </w:rPr>
        <w:t>j</w:t>
      </w:r>
      <w:r w:rsidRPr="00D03F3E">
        <w:rPr>
          <w:rFonts w:ascii="Times New Roman" w:hAnsi="Times New Roman"/>
          <w:color w:val="000000" w:themeColor="text1"/>
          <w:sz w:val="16"/>
          <w:szCs w:val="16"/>
        </w:rPr>
        <w:t xml:space="preserve"> (пустой самолёт) до 30,2% САХ (с ВЯ).</w:t>
      </w:r>
    </w:p>
    <w:p w14:paraId="0D48FC19"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Из-за роста веса лётные данные ухудшились. В варианте штурмовика максимальная скорость у земли составила 172 км/ч. Вертикальная скорость у земли - 2,7 м/сек. На высоту 1000 м самолёт забирался за 7,7 мин. Вираж на 1000 м выполнялся за 39-41 сек. Практический потолок не превышал 2620 м.</w:t>
      </w:r>
    </w:p>
    <w:p w14:paraId="43FBF92A"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варианте бомбардировщика (500 кг бомб) характеристики были ещё ниже: скорость у земли - 167 км/ч, вертикальная скорость - 1,6 м/с, время подъёма на 1000 м - 12,6 мин, практический потолок - 1900 м.</w:t>
      </w:r>
    </w:p>
    <w:p w14:paraId="34929D4F"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При полётном весе 1868 кг (без бомб) разбег не превышал 230 м, пробег (50% горюче</w:t>
      </w:r>
      <w:r w:rsidRPr="00D03F3E">
        <w:rPr>
          <w:rFonts w:ascii="Times New Roman" w:hAnsi="Times New Roman"/>
          <w:color w:val="000000" w:themeColor="text1"/>
          <w:sz w:val="16"/>
          <w:szCs w:val="16"/>
        </w:rPr>
        <w:softHyphen/>
        <w:t>го) - 440 м. При увеличении полётного веса до 2068 кг разбег возрастал до 345 м.</w:t>
      </w:r>
    </w:p>
    <w:p w14:paraId="77A9C12E"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Дальность полёта в варианте штурмовика на скорости 0,85 максимальной (150 км/ч </w:t>
      </w:r>
      <w:r w:rsidRPr="00D03F3E">
        <w:rPr>
          <w:rFonts w:ascii="Times New Roman" w:hAnsi="Times New Roman"/>
          <w:color w:val="000000" w:themeColor="text1"/>
          <w:sz w:val="16"/>
          <w:szCs w:val="16"/>
          <w:vertAlign w:val="superscript"/>
        </w:rPr>
        <w:t xml:space="preserve">- </w:t>
      </w:r>
      <w:r w:rsidRPr="00D03F3E">
        <w:rPr>
          <w:rFonts w:ascii="Times New Roman" w:hAnsi="Times New Roman"/>
          <w:color w:val="000000" w:themeColor="text1"/>
          <w:sz w:val="16"/>
          <w:szCs w:val="16"/>
        </w:rPr>
        <w:t>минимальная скорость из условий безопасности полёта) достигала 410 км.</w:t>
      </w:r>
    </w:p>
    <w:p w14:paraId="4664E79D"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Модернизированный «Пегас» оказался не столь простым в управлении, как ожидалось. Наблюдались раскачивание при подвешенном вооружении (особенно с бомбами) и тряска хвоста на некоторых режимах полёта.</w:t>
      </w:r>
    </w:p>
    <w:p w14:paraId="28164D13"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Лётчики отмечали, что из-за отсутствия управляемого триммера самолёт балансируется только на определённых режимах и центровках: при наборе высоты - на скорости 155- 160 км/ч, при планировании - на скорости 180-190 км/ч и в горизонтальном полёте - на скорости 160-170 км/ч.</w:t>
      </w:r>
    </w:p>
    <w:p w14:paraId="7A979FF9" w14:textId="77777777" w:rsidR="004A4CDC" w:rsidRPr="00D03F3E" w:rsidRDefault="004A4CDC" w:rsidP="00D03F3E">
      <w:pPr>
        <w:pStyle w:val="80"/>
        <w:shd w:val="clear" w:color="auto" w:fill="auto"/>
        <w:spacing w:line="240" w:lineRule="auto"/>
        <w:jc w:val="both"/>
        <w:rPr>
          <w:rFonts w:ascii="Times New Roman" w:hAnsi="Times New Roman" w:cs="Times New Roman"/>
          <w:color w:val="000000" w:themeColor="text1"/>
        </w:rPr>
      </w:pPr>
      <w:r w:rsidRPr="00D03F3E">
        <w:rPr>
          <w:rStyle w:val="885pt"/>
          <w:rFonts w:ascii="Times New Roman" w:hAnsi="Times New Roman" w:cs="Times New Roman"/>
          <w:color w:val="000000" w:themeColor="text1"/>
          <w:sz w:val="16"/>
          <w:szCs w:val="16"/>
        </w:rPr>
        <w:t>Самолёт характеризовался недостаточной путевой и близкой к нейтральной попереч</w:t>
      </w:r>
      <w:r w:rsidRPr="00D03F3E">
        <w:rPr>
          <w:rStyle w:val="885pt"/>
          <w:rFonts w:ascii="Times New Roman" w:hAnsi="Times New Roman" w:cs="Times New Roman"/>
          <w:color w:val="000000" w:themeColor="text1"/>
          <w:sz w:val="16"/>
          <w:szCs w:val="16"/>
        </w:rPr>
        <w:softHyphen/>
      </w:r>
      <w:r w:rsidRPr="00D03F3E">
        <w:rPr>
          <w:rFonts w:ascii="Times New Roman" w:hAnsi="Times New Roman" w:cs="Times New Roman"/>
          <w:color w:val="000000" w:themeColor="text1"/>
        </w:rPr>
        <w:t>ной устойчивостью. Руля высоты для трёхточечной посадки при предельно передней цен</w:t>
      </w:r>
      <w:r w:rsidRPr="00D03F3E">
        <w:rPr>
          <w:rFonts w:ascii="Times New Roman" w:hAnsi="Times New Roman" w:cs="Times New Roman"/>
          <w:color w:val="000000" w:themeColor="text1"/>
        </w:rPr>
        <w:softHyphen/>
        <w:t xml:space="preserve">тровке 26,7% САХ хватало, но запас мал. Вводить самолёт в пикирование с газом было </w:t>
      </w:r>
      <w:r w:rsidRPr="00D03F3E">
        <w:rPr>
          <w:rStyle w:val="885pt"/>
          <w:rFonts w:ascii="Times New Roman" w:hAnsi="Times New Roman" w:cs="Times New Roman"/>
          <w:color w:val="000000" w:themeColor="text1"/>
          <w:sz w:val="16"/>
          <w:szCs w:val="16"/>
        </w:rPr>
        <w:t>очень тяжело.</w:t>
      </w:r>
    </w:p>
    <w:p w14:paraId="25E11E00" w14:textId="77777777" w:rsidR="004A4CDC" w:rsidRPr="00D03F3E" w:rsidRDefault="004A4CDC" w:rsidP="00D03F3E">
      <w:pPr>
        <w:pStyle w:val="45"/>
        <w:shd w:val="clear" w:color="auto" w:fill="auto"/>
        <w:spacing w:before="0" w:line="240" w:lineRule="auto"/>
        <w:jc w:val="both"/>
        <w:rPr>
          <w:rFonts w:ascii="Times New Roman" w:cs="Times New Roman"/>
          <w:color w:val="000000" w:themeColor="text1"/>
          <w:sz w:val="16"/>
          <w:szCs w:val="16"/>
        </w:rPr>
      </w:pPr>
      <w:r w:rsidRPr="00D03F3E">
        <w:rPr>
          <w:rStyle w:val="475pt"/>
          <w:rFonts w:ascii="Times New Roman" w:hAnsi="Times New Roman" w:cs="Times New Roman"/>
          <w:i w:val="0"/>
          <w:color w:val="000000" w:themeColor="text1"/>
          <w:sz w:val="16"/>
          <w:szCs w:val="16"/>
        </w:rPr>
        <w:t xml:space="preserve">В полёте сильно задувало в кабину с пола. В горизонтальном полёте и на пикировании </w:t>
      </w:r>
      <w:r w:rsidRPr="00D03F3E">
        <w:rPr>
          <w:rFonts w:ascii="Times New Roman" w:cs="Times New Roman"/>
          <w:color w:val="000000" w:themeColor="text1"/>
          <w:sz w:val="16"/>
          <w:szCs w:val="16"/>
        </w:rPr>
        <w:t>винты дают раскрутку, поэтому полностью использовать мощность моторов невозможно».</w:t>
      </w:r>
    </w:p>
    <w:p w14:paraId="4848BA4B"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Style w:val="6pt150"/>
          <w:rFonts w:ascii="Times New Roman" w:eastAsia="Arial Unicode MS" w:hAnsi="Times New Roman" w:cs="Times New Roman"/>
          <w:color w:val="000000" w:themeColor="text1"/>
          <w:w w:val="100"/>
          <w:sz w:val="16"/>
          <w:szCs w:val="16"/>
        </w:rPr>
        <w:t>Диапазон возможных скоростей</w:t>
      </w:r>
      <w:r w:rsidRPr="00D03F3E">
        <w:rPr>
          <w:rFonts w:ascii="Times New Roman" w:hAnsi="Times New Roman"/>
          <w:color w:val="000000" w:themeColor="text1"/>
          <w:sz w:val="16"/>
          <w:szCs w:val="16"/>
        </w:rPr>
        <w:t xml:space="preserve"> полёта</w:t>
      </w:r>
      <w:r w:rsidRPr="00D03F3E">
        <w:rPr>
          <w:rStyle w:val="aff6"/>
          <w:rFonts w:ascii="Times New Roman" w:eastAsia="Arial Unicode MS" w:hAnsi="Times New Roman" w:cs="Times New Roman"/>
          <w:i w:val="0"/>
          <w:color w:val="000000" w:themeColor="text1"/>
        </w:rPr>
        <w:t xml:space="preserve"> «при большой минимальной скорости»</w:t>
      </w:r>
      <w:r w:rsidRPr="00D03F3E">
        <w:rPr>
          <w:rFonts w:ascii="Times New Roman" w:hAnsi="Times New Roman"/>
          <w:color w:val="000000" w:themeColor="text1"/>
          <w:sz w:val="16"/>
          <w:szCs w:val="16"/>
        </w:rPr>
        <w:t xml:space="preserve"> сочли совершенно недостаточным для выполнения манёвров при построении захода на цель и ухода от неё и при полётах в строю, особенно большими группами.</w:t>
      </w:r>
    </w:p>
    <w:p w14:paraId="291FB659"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Стрелковое и пушечное вооружение в ходе испытаний постоянно доводилось силами специалистов НИИ ВВС. На отработку оружия было выполнено 11 полётов. Стрельба ве</w:t>
      </w:r>
      <w:r w:rsidRPr="00D03F3E">
        <w:rPr>
          <w:rFonts w:ascii="Times New Roman" w:hAnsi="Times New Roman"/>
          <w:color w:val="000000" w:themeColor="text1"/>
          <w:sz w:val="16"/>
          <w:szCs w:val="16"/>
        </w:rPr>
        <w:softHyphen/>
        <w:t>лась в горизонтальном полёте и с пикирования. Из пушек всего сделали 1842 выстрела, в 1том числе: 454 - на земле, 1388 - в воздухе. Получено 6,8% задержек в стрельбе и три поломки. Из пулемёта УБК отстреляли в воздухе 875 и на земле 475 патронов. Было за</w:t>
      </w:r>
      <w:r w:rsidRPr="00D03F3E">
        <w:rPr>
          <w:rFonts w:ascii="Times New Roman" w:hAnsi="Times New Roman"/>
          <w:color w:val="000000" w:themeColor="text1"/>
          <w:sz w:val="16"/>
          <w:szCs w:val="16"/>
        </w:rPr>
        <w:softHyphen/>
        <w:t>фиксировано 10% задержек и четыре поломки.</w:t>
      </w:r>
    </w:p>
    <w:p w14:paraId="40A34BC6"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Рассеивание определялось стрельбой в воздухе по щитам (12x12 м). Стрельба велась с I пикирования под углами 25-30° с дистанции 800-900 м очередями по 2-10 снарядов.</w:t>
      </w:r>
    </w:p>
    <w:p w14:paraId="539EC3CB"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Выяснилось, что при стрельбе из пулемёта УБК на скорости 150-160 км/ч самолёт стремился кабрировать, а при стрельбе из пушек, наоборот - пикировать. При стрельбе </w:t>
      </w:r>
      <w:r w:rsidRPr="00D03F3E">
        <w:rPr>
          <w:rStyle w:val="aff8"/>
          <w:rFonts w:ascii="Times New Roman" w:hAnsi="Times New Roman" w:cs="Times New Roman"/>
          <w:b w:val="0"/>
          <w:color w:val="000000" w:themeColor="text1"/>
          <w:spacing w:val="0"/>
          <w:sz w:val="16"/>
          <w:szCs w:val="16"/>
        </w:rPr>
        <w:t>из</w:t>
      </w:r>
      <w:r w:rsidRPr="00D03F3E">
        <w:rPr>
          <w:rFonts w:ascii="Times New Roman" w:hAnsi="Times New Roman"/>
          <w:color w:val="000000" w:themeColor="text1"/>
          <w:sz w:val="16"/>
          <w:szCs w:val="16"/>
        </w:rPr>
        <w:t xml:space="preserve"> всех трёх точек - из пушек и пулемёта,</w:t>
      </w:r>
      <w:r w:rsidRPr="00D03F3E">
        <w:rPr>
          <w:rStyle w:val="aff6"/>
          <w:rFonts w:ascii="Times New Roman" w:eastAsia="Arial Unicode MS" w:hAnsi="Times New Roman" w:cs="Times New Roman"/>
          <w:i w:val="0"/>
          <w:color w:val="000000" w:themeColor="text1"/>
        </w:rPr>
        <w:t xml:space="preserve"> «моменты кабрирования и пикирования уравно</w:t>
      </w:r>
      <w:r w:rsidRPr="00D03F3E">
        <w:rPr>
          <w:rStyle w:val="aff6"/>
          <w:rFonts w:ascii="Times New Roman" w:eastAsia="Arial Unicode MS" w:hAnsi="Times New Roman" w:cs="Times New Roman"/>
          <w:i w:val="0"/>
          <w:color w:val="000000" w:themeColor="text1"/>
        </w:rPr>
        <w:softHyphen/>
        <w:t>вешиваются, но самолёт раскачивается, и продолжительное время вести стрельбу невоз</w:t>
      </w:r>
      <w:r w:rsidRPr="00D03F3E">
        <w:rPr>
          <w:rStyle w:val="aff6"/>
          <w:rFonts w:ascii="Times New Roman" w:eastAsia="Arial Unicode MS" w:hAnsi="Times New Roman" w:cs="Times New Roman"/>
          <w:i w:val="0"/>
          <w:color w:val="000000" w:themeColor="text1"/>
        </w:rPr>
        <w:softHyphen/>
        <w:t>можно».</w:t>
      </w:r>
    </w:p>
    <w:p w14:paraId="0CCA2CEC"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стрельбе из пушек в горизонтальном полёте длинными очередями до 10 снарядов самолёт терял в скорости полёта до 15 км/ч (примерно 9% от максимальной скорости). При этом штурмовик сильно трясся, и лётчик был не в состоянии удерживать линию визиро</w:t>
      </w:r>
      <w:r w:rsidRPr="00D03F3E">
        <w:rPr>
          <w:rFonts w:ascii="Times New Roman" w:hAnsi="Times New Roman"/>
          <w:color w:val="000000" w:themeColor="text1"/>
          <w:sz w:val="16"/>
          <w:szCs w:val="16"/>
        </w:rPr>
        <w:softHyphen/>
        <w:t xml:space="preserve">вания на цели. Прицельность стрельбы из пушек нарушалась уже после первых 1-2 выстрелов. Кроме того, из-за слишком длинных пламегасителей стволы пушек при стрельбе сильно вибрировали. Все это вместе взятое вызывало большое рассеивание снарядов. Так, при стрельбе короткими очередями (2-4 выстрела) боковое отклонение и отклонение по дальности достигали 7,2 и 13,2 м, соответственно. Прицеливаться, используя кольцо и мушку, </w:t>
      </w:r>
      <w:r w:rsidRPr="00D03F3E">
        <w:rPr>
          <w:rFonts w:ascii="Times New Roman" w:hAnsi="Times New Roman"/>
          <w:color w:val="000000" w:themeColor="text1"/>
          <w:sz w:val="16"/>
          <w:szCs w:val="16"/>
          <w:lang w:val="en-US"/>
        </w:rPr>
        <w:t>j</w:t>
      </w:r>
      <w:r w:rsidRPr="00D03F3E">
        <w:rPr>
          <w:rFonts w:ascii="Times New Roman" w:hAnsi="Times New Roman"/>
          <w:color w:val="000000" w:themeColor="text1"/>
          <w:sz w:val="16"/>
          <w:szCs w:val="16"/>
        </w:rPr>
        <w:t xml:space="preserve"> было крайне неудобно. После первой очереди поймать цель снова в прицел трудно, поэ</w:t>
      </w:r>
      <w:r w:rsidRPr="00D03F3E">
        <w:rPr>
          <w:rFonts w:ascii="Times New Roman" w:hAnsi="Times New Roman"/>
          <w:color w:val="000000" w:themeColor="text1"/>
          <w:sz w:val="16"/>
          <w:szCs w:val="16"/>
        </w:rPr>
        <w:softHyphen/>
        <w:t>тому прицельно вести стрельбу по одной и той же цели невозможно. Не обеспечена перезарядка пулемёта в воздухе. Обзор лётчику вперед-вниз 15° признавался недостаточным.</w:t>
      </w:r>
    </w:p>
    <w:p w14:paraId="432A1BF9"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Бомбовое вооружение в воздухе не испытывалось из-за отсутствия прицела для бом</w:t>
      </w:r>
      <w:r w:rsidRPr="00D03F3E">
        <w:rPr>
          <w:rFonts w:ascii="Times New Roman" w:hAnsi="Times New Roman"/>
          <w:color w:val="000000" w:themeColor="text1"/>
          <w:sz w:val="16"/>
          <w:szCs w:val="16"/>
        </w:rPr>
        <w:softHyphen/>
        <w:t>бометания и изношенности шасси. Мнение лётчиков-испытателей было неутешительным и сводилось к тому, что полученные при испытании лётно-боевые данные</w:t>
      </w:r>
      <w:r w:rsidRPr="00D03F3E">
        <w:rPr>
          <w:rStyle w:val="aff6"/>
          <w:rFonts w:ascii="Times New Roman" w:eastAsia="Arial Narrow" w:hAnsi="Times New Roman" w:cs="Times New Roman"/>
          <w:i w:val="0"/>
          <w:color w:val="000000" w:themeColor="text1"/>
        </w:rPr>
        <w:t xml:space="preserve"> «не обеспечивают для самолёта «Пегас» успешноговыполнения боевых задач»</w:t>
      </w:r>
      <w:r w:rsidRPr="00D03F3E">
        <w:rPr>
          <w:rFonts w:ascii="Times New Roman" w:hAnsi="Times New Roman"/>
          <w:color w:val="000000" w:themeColor="text1"/>
          <w:sz w:val="16"/>
          <w:szCs w:val="16"/>
        </w:rPr>
        <w:t xml:space="preserve"> в качестве штурмовика и лёгкого бомбардировщика.</w:t>
      </w:r>
    </w:p>
    <w:p w14:paraId="417FE8D0" w14:textId="77777777" w:rsidR="004A4CDC" w:rsidRPr="00D03F3E" w:rsidRDefault="004A4CDC" w:rsidP="00D03F3E">
      <w:pPr>
        <w:pStyle w:val="45"/>
        <w:shd w:val="clear" w:color="auto" w:fill="auto"/>
        <w:spacing w:before="0" w:line="240" w:lineRule="auto"/>
        <w:jc w:val="both"/>
        <w:rPr>
          <w:rFonts w:ascii="Times New Roman" w:cs="Times New Roman"/>
          <w:color w:val="000000" w:themeColor="text1"/>
          <w:sz w:val="16"/>
          <w:szCs w:val="16"/>
        </w:rPr>
      </w:pPr>
      <w:r w:rsidRPr="00D03F3E">
        <w:rPr>
          <w:rStyle w:val="4f0"/>
          <w:rFonts w:ascii="Times New Roman" w:hAnsi="Times New Roman" w:cs="Times New Roman"/>
          <w:i w:val="0"/>
          <w:color w:val="000000" w:themeColor="text1"/>
          <w:sz w:val="16"/>
          <w:szCs w:val="16"/>
        </w:rPr>
        <w:t>Боевую живучесть сочли совершенно недостаточной:</w:t>
      </w:r>
      <w:r w:rsidRPr="00D03F3E">
        <w:rPr>
          <w:rFonts w:ascii="Times New Roman" w:cs="Times New Roman"/>
          <w:color w:val="000000" w:themeColor="text1"/>
          <w:sz w:val="16"/>
          <w:szCs w:val="16"/>
        </w:rPr>
        <w:t xml:space="preserve"> «Бронирование лётчика обеспе-1 чивает защиту только от пуль калибра 7,62 мм с дистанции 700-1000 м. Недостаточная угловая защита головы лётчика спереди (малая площадь прозрачной брони) на козырьке. Недостаточная броня сзади от пуль калибра 12,7 мм и выше... Нет брони моторов, основ- [ ные бензобаки не защищены, нет протектора и нет системы нейтральных газов... Сброс | бензобаков не исключает пожара, так как лётчик может не засечь его начало, противо</w:t>
      </w:r>
      <w:r w:rsidRPr="00D03F3E">
        <w:rPr>
          <w:rFonts w:ascii="Times New Roman" w:cs="Times New Roman"/>
          <w:color w:val="000000" w:themeColor="text1"/>
          <w:sz w:val="16"/>
          <w:szCs w:val="16"/>
        </w:rPr>
        <w:softHyphen/>
        <w:t>пожарная перегородка отсутствует... При малых горизонтальных скоростях легко уязвим от 1 наземного огня, плохая маневренность (время виража на 1000 м - 40 сек) делает его без</w:t>
      </w:r>
      <w:r w:rsidRPr="00D03F3E">
        <w:rPr>
          <w:rFonts w:ascii="Times New Roman" w:cs="Times New Roman"/>
          <w:color w:val="000000" w:themeColor="text1"/>
          <w:sz w:val="16"/>
          <w:szCs w:val="16"/>
        </w:rPr>
        <w:softHyphen/>
        <w:t>защитным перед истребительной авиацией противника, что приведёт к большим потерям | лётчиков и матчасти».</w:t>
      </w:r>
    </w:p>
    <w:p w14:paraId="631346BB"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Констатировалось, что по технике пилотирования самолёт недоступен</w:t>
      </w:r>
      <w:r w:rsidRPr="00D03F3E">
        <w:rPr>
          <w:rStyle w:val="aff6"/>
          <w:rFonts w:ascii="Times New Roman" w:eastAsia="Arial Narrow" w:hAnsi="Times New Roman" w:cs="Times New Roman"/>
          <w:i w:val="0"/>
          <w:color w:val="000000" w:themeColor="text1"/>
        </w:rPr>
        <w:t xml:space="preserve"> «массовому лёт</w:t>
      </w:r>
      <w:r w:rsidRPr="00D03F3E">
        <w:rPr>
          <w:rStyle w:val="aff6"/>
          <w:rFonts w:ascii="Times New Roman" w:eastAsia="Arial Narrow" w:hAnsi="Times New Roman" w:cs="Times New Roman"/>
          <w:i w:val="0"/>
          <w:color w:val="000000" w:themeColor="text1"/>
        </w:rPr>
        <w:softHyphen/>
        <w:t>ному составу из-за малого диапазона скорости (20-25 км/ч) между максимальной и эволютивной»,</w:t>
      </w:r>
      <w:r w:rsidRPr="00D03F3E">
        <w:rPr>
          <w:rFonts w:ascii="Times New Roman" w:hAnsi="Times New Roman"/>
          <w:color w:val="000000" w:themeColor="text1"/>
          <w:sz w:val="16"/>
          <w:szCs w:val="16"/>
        </w:rPr>
        <w:t xml:space="preserve"> недостаточной боковой устойчивости и крутой глиссады планирования. К полётам на «Пегасе» допускались только лётчики с лётной подготовкой не ниже средней и лишь днём в простых метеоусловиях.</w:t>
      </w:r>
    </w:p>
    <w:p w14:paraId="758D6599" w14:textId="77777777" w:rsidR="004A4CDC" w:rsidRPr="00D03F3E" w:rsidRDefault="004A4CDC" w:rsidP="00D03F3E">
      <w:pPr>
        <w:pStyle w:val="109"/>
        <w:shd w:val="clear" w:color="auto" w:fill="auto"/>
        <w:spacing w:line="240" w:lineRule="auto"/>
        <w:jc w:val="both"/>
        <w:rPr>
          <w:rStyle w:val="1085pt"/>
          <w:rFonts w:ascii="Times New Roman" w:hAnsi="Times New Roman" w:cs="Times New Roman"/>
          <w:i w:val="0"/>
          <w:color w:val="000000" w:themeColor="text1"/>
          <w:sz w:val="16"/>
          <w:szCs w:val="16"/>
        </w:rPr>
      </w:pPr>
      <w:r w:rsidRPr="00D03F3E">
        <w:rPr>
          <w:rFonts w:ascii="Times New Roman" w:hAnsi="Times New Roman"/>
          <w:color w:val="000000" w:themeColor="text1"/>
          <w:sz w:val="16"/>
          <w:szCs w:val="16"/>
        </w:rPr>
        <w:t>Вероятно, большинство замечаний были объективными. Но явно сказывалось и нежелание ВВС брать новый самолёт. Напомним, что угол обзора вперёд-вниз на самолёте Ил-2 составлял только 8° - в два раза меньше, чем у «Пегаса»</w:t>
      </w:r>
    </w:p>
    <w:p w14:paraId="4C7F8D7A" w14:textId="77777777" w:rsidR="004A4CDC" w:rsidRPr="00D03F3E" w:rsidRDefault="004A4CDC" w:rsidP="00D03F3E">
      <w:pPr>
        <w:pStyle w:val="109"/>
        <w:shd w:val="clear" w:color="auto" w:fill="auto"/>
        <w:spacing w:line="240" w:lineRule="auto"/>
        <w:jc w:val="both"/>
        <w:rPr>
          <w:rFonts w:ascii="Times New Roman" w:hAnsi="Times New Roman"/>
          <w:color w:val="000000" w:themeColor="text1"/>
          <w:sz w:val="16"/>
          <w:szCs w:val="16"/>
        </w:rPr>
      </w:pPr>
      <w:r w:rsidRPr="00D03F3E">
        <w:rPr>
          <w:rStyle w:val="4f0"/>
          <w:rFonts w:ascii="Times New Roman" w:hAnsi="Times New Roman" w:cs="Times New Roman"/>
          <w:i w:val="0"/>
          <w:color w:val="000000" w:themeColor="text1"/>
          <w:sz w:val="16"/>
          <w:szCs w:val="16"/>
        </w:rPr>
        <w:t xml:space="preserve"> Боевое применение имело смысл в перегрузочном вариан</w:t>
      </w:r>
      <w:r w:rsidRPr="00D03F3E">
        <w:rPr>
          <w:rStyle w:val="4f0"/>
          <w:rFonts w:ascii="Times New Roman" w:hAnsi="Times New Roman" w:cs="Times New Roman"/>
          <w:i w:val="0"/>
          <w:color w:val="000000" w:themeColor="text1"/>
          <w:sz w:val="16"/>
          <w:szCs w:val="16"/>
        </w:rPr>
        <w:softHyphen/>
        <w:t>те нагрузки,</w:t>
      </w:r>
      <w:r w:rsidRPr="00D03F3E">
        <w:rPr>
          <w:rFonts w:ascii="Times New Roman" w:hAnsi="Times New Roman"/>
          <w:color w:val="000000" w:themeColor="text1"/>
          <w:sz w:val="16"/>
          <w:szCs w:val="16"/>
        </w:rPr>
        <w:t xml:space="preserve"> «но в этом случае прочность шасси не обеспечи</w:t>
      </w:r>
      <w:r w:rsidRPr="00D03F3E">
        <w:rPr>
          <w:rFonts w:ascii="Times New Roman" w:hAnsi="Times New Roman"/>
          <w:color w:val="000000" w:themeColor="text1"/>
          <w:sz w:val="16"/>
          <w:szCs w:val="16"/>
        </w:rPr>
        <w:softHyphen/>
        <w:t>вает длительной эксплуатации самолёта».</w:t>
      </w:r>
    </w:p>
    <w:p w14:paraId="54635491"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Прицельная стрельба из пушек возможна только очере</w:t>
      </w:r>
      <w:r w:rsidRPr="00D03F3E">
        <w:rPr>
          <w:rFonts w:ascii="Times New Roman" w:hAnsi="Times New Roman"/>
          <w:color w:val="000000" w:themeColor="text1"/>
          <w:sz w:val="16"/>
          <w:szCs w:val="16"/>
        </w:rPr>
        <w:softHyphen/>
        <w:t>дями по 2-4 снаряда с восста</w:t>
      </w:r>
      <w:r w:rsidRPr="00D03F3E">
        <w:rPr>
          <w:rFonts w:ascii="Times New Roman" w:hAnsi="Times New Roman"/>
          <w:color w:val="000000" w:themeColor="text1"/>
          <w:sz w:val="16"/>
          <w:szCs w:val="16"/>
        </w:rPr>
        <w:softHyphen/>
        <w:t>новлением прицеливания после каждой очереди. Установка пушек калибра 23 и 37 мм не</w:t>
      </w:r>
      <w:r w:rsidRPr="00D03F3E">
        <w:rPr>
          <w:rFonts w:ascii="Times New Roman" w:hAnsi="Times New Roman"/>
          <w:color w:val="000000" w:themeColor="text1"/>
          <w:sz w:val="16"/>
          <w:szCs w:val="16"/>
        </w:rPr>
        <w:softHyphen/>
        <w:t>целесообразна из-за большой силы отдачи.</w:t>
      </w:r>
    </w:p>
    <w:p w14:paraId="01B010F4"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существующей кон</w:t>
      </w:r>
      <w:r w:rsidRPr="00D03F3E">
        <w:rPr>
          <w:rFonts w:ascii="Times New Roman" w:hAnsi="Times New Roman"/>
          <w:color w:val="000000" w:themeColor="text1"/>
          <w:sz w:val="16"/>
          <w:szCs w:val="16"/>
        </w:rPr>
        <w:softHyphen/>
        <w:t>струкции носовой части, рас</w:t>
      </w:r>
      <w:r w:rsidRPr="00D03F3E">
        <w:rPr>
          <w:rFonts w:ascii="Times New Roman" w:hAnsi="Times New Roman"/>
          <w:color w:val="000000" w:themeColor="text1"/>
          <w:sz w:val="16"/>
          <w:szCs w:val="16"/>
        </w:rPr>
        <w:softHyphen/>
        <w:t>положения брони и лётчика установка прицельных приспо</w:t>
      </w:r>
      <w:r w:rsidRPr="00D03F3E">
        <w:rPr>
          <w:rFonts w:ascii="Times New Roman" w:hAnsi="Times New Roman"/>
          <w:color w:val="000000" w:themeColor="text1"/>
          <w:sz w:val="16"/>
          <w:szCs w:val="16"/>
        </w:rPr>
        <w:softHyphen/>
        <w:t>соблений для бомбометания невозможна. Это исключает возможность бомбометания по целям ограниченных размеров.</w:t>
      </w:r>
    </w:p>
    <w:p w14:paraId="5A86FEB0"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Применение второсортных материалов в значительной мере удешевило производст</w:t>
      </w:r>
      <w:r w:rsidRPr="00D03F3E">
        <w:rPr>
          <w:rFonts w:ascii="Times New Roman" w:hAnsi="Times New Roman"/>
          <w:color w:val="000000" w:themeColor="text1"/>
          <w:sz w:val="16"/>
          <w:szCs w:val="16"/>
        </w:rPr>
        <w:softHyphen/>
        <w:t>во самолёта, но вместе с этим</w:t>
      </w:r>
    </w:p>
    <w:p w14:paraId="07E57990"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сделало его недолговечным и привело к многочисленным дефектам и эксплуатации.</w:t>
      </w:r>
    </w:p>
    <w:p w14:paraId="097548B5"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w:t>
      </w:r>
      <w:r w:rsidRPr="00D03F3E">
        <w:rPr>
          <w:rStyle w:val="aff6"/>
          <w:rFonts w:ascii="Times New Roman" w:eastAsia="Arial Narrow" w:hAnsi="Times New Roman" w:cs="Times New Roman"/>
          <w:i w:val="0"/>
          <w:color w:val="000000" w:themeColor="text1"/>
        </w:rPr>
        <w:t xml:space="preserve"> «в основных бензобаках, изготовленных из низкосортного листового материала, образуется постоянная течь по швам и заклёпкам».</w:t>
      </w:r>
      <w:r w:rsidRPr="00D03F3E">
        <w:rPr>
          <w:rFonts w:ascii="Times New Roman" w:hAnsi="Times New Roman"/>
          <w:color w:val="000000" w:themeColor="text1"/>
          <w:sz w:val="16"/>
          <w:szCs w:val="16"/>
        </w:rPr>
        <w:t xml:space="preserve"> Ленты крепления маслобаков быстро </w:t>
      </w:r>
      <w:r w:rsidRPr="00D03F3E">
        <w:rPr>
          <w:rFonts w:ascii="Times New Roman" w:hAnsi="Times New Roman"/>
          <w:color w:val="000000" w:themeColor="text1"/>
          <w:sz w:val="16"/>
          <w:szCs w:val="16"/>
          <w:lang w:val="en-US"/>
        </w:rPr>
        <w:t>t</w:t>
      </w:r>
      <w:r w:rsidRPr="00D03F3E">
        <w:rPr>
          <w:rFonts w:ascii="Times New Roman" w:hAnsi="Times New Roman"/>
          <w:color w:val="000000" w:themeColor="text1"/>
          <w:sz w:val="16"/>
          <w:szCs w:val="16"/>
        </w:rPr>
        <w:t>приходили в негодность и разрушались. Маслобаки начинали вибрировать, что приводи</w:t>
      </w:r>
      <w:r w:rsidRPr="00D03F3E">
        <w:rPr>
          <w:rFonts w:ascii="Times New Roman" w:hAnsi="Times New Roman"/>
          <w:color w:val="000000" w:themeColor="text1"/>
          <w:sz w:val="16"/>
          <w:szCs w:val="16"/>
        </w:rPr>
        <w:softHyphen/>
      </w:r>
      <w:r w:rsidRPr="00D03F3E">
        <w:rPr>
          <w:rStyle w:val="aff8"/>
          <w:rFonts w:ascii="Times New Roman" w:hAnsi="Times New Roman" w:cs="Times New Roman"/>
          <w:b w:val="0"/>
          <w:color w:val="000000" w:themeColor="text1"/>
          <w:spacing w:val="0"/>
          <w:sz w:val="16"/>
          <w:szCs w:val="16"/>
        </w:rPr>
        <w:t>ло</w:t>
      </w:r>
      <w:r w:rsidRPr="00D03F3E">
        <w:rPr>
          <w:rFonts w:ascii="Times New Roman" w:hAnsi="Times New Roman"/>
          <w:color w:val="000000" w:themeColor="text1"/>
          <w:sz w:val="16"/>
          <w:szCs w:val="16"/>
        </w:rPr>
        <w:t xml:space="preserve"> к течи по швам и в местах пайки. Прочность обшивки центроплана не обеспечивала -свободный проход к горловинам бензо- и маслобаков при заправке, обшивка деформировалась и проламывалась. Фанерная обшивка самолёта везде покрылась трещинами и шелушилась.</w:t>
      </w:r>
    </w:p>
    <w:p w14:paraId="7372EE7D"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низкое расположение двигателей (под крылом) не позволяло запускать мо- эы при помощи автостартёра и не обеспечивало достаточного зазора между концами эпастей винтов и землёй в линии полёта (при разбеге с поднятым хвостом). Помимо лётчиков НИИ ВВС, «Пегас» облетал инспектор Управления боевой подготов- ВВС КА гвардии подполковник К.Н. Холобаев, который в составе 4-го шап (с 7 марта 942 г. - 7-й гшап) был одним из первых, кто применил бронированный штурмовик Ил-2 на зонтах войны.</w:t>
      </w:r>
    </w:p>
    <w:p w14:paraId="1B342E18"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После облета Холобаев также отметил, что вследствие небольшой скорости, низкой знёвренности, а также недостаточных мер по обеспечению боевой живучести противо- внковый «Пегас» легко уязвим от огня зенитной артиллерии. Возможность бомбометания тько по площадным целям «делает самолёт неэффективным в борьбе с танками». В то же эмя «действовать по живой силе с бреющего полёта также нельзя». </w:t>
      </w:r>
      <w:r w:rsidRPr="00D03F3E">
        <w:rPr>
          <w:rStyle w:val="aff6"/>
          <w:rFonts w:ascii="Times New Roman" w:eastAsia="Arial Narrow" w:hAnsi="Times New Roman" w:cs="Times New Roman"/>
          <w:i w:val="0"/>
          <w:color w:val="000000" w:themeColor="text1"/>
        </w:rPr>
        <w:t>«В таком виде, в котором он предъявлен на государственные испытания, в условиях боевой обстановки самолёт эксплуатироваться не может»,</w:t>
      </w:r>
      <w:r w:rsidRPr="00D03F3E">
        <w:rPr>
          <w:rFonts w:ascii="Times New Roman" w:hAnsi="Times New Roman"/>
          <w:color w:val="000000" w:themeColor="text1"/>
          <w:sz w:val="16"/>
          <w:szCs w:val="16"/>
        </w:rPr>
        <w:t xml:space="preserve"> - записал в своём отзыве Холобаев. Общий итог испытаний был сформулирован в официальных выводах отчёта:</w:t>
      </w:r>
      <w:r w:rsidRPr="00D03F3E">
        <w:rPr>
          <w:rStyle w:val="aff6"/>
          <w:rFonts w:ascii="Times New Roman" w:eastAsia="Arial Narrow" w:hAnsi="Times New Roman" w:cs="Times New Roman"/>
          <w:i w:val="0"/>
          <w:color w:val="000000" w:themeColor="text1"/>
        </w:rPr>
        <w:t xml:space="preserve"> «Самолёт, едназначенный как штурмовик, использован над полем боя быть не может из-за плохой иневренности, малой скорости, плохой прицельности, большого рассеивания при стрель- е, плохого обзора и малой живучести. Всё это делает его уязвимым от различного огня, собенно в дневное время».</w:t>
      </w:r>
      <w:r w:rsidRPr="00D03F3E">
        <w:rPr>
          <w:rFonts w:ascii="Times New Roman" w:hAnsi="Times New Roman"/>
          <w:color w:val="000000" w:themeColor="text1"/>
          <w:sz w:val="16"/>
          <w:szCs w:val="16"/>
        </w:rPr>
        <w:t xml:space="preserve"> Вывод подписали: помощник начальника 3-го отдела по лётной ти подполковник Хомяков, начальник 4-го отделения 3-го отдела НИИ ВВС майор Холопов, дущий инженер 3-го отдела майор Аброщенко и ведущий лётчик подполковник Жданов.</w:t>
      </w:r>
    </w:p>
    <w:p w14:paraId="3BD90BC9" w14:textId="77777777" w:rsidR="004A4CDC" w:rsidRPr="00D03F3E" w:rsidRDefault="004A4CDC" w:rsidP="00D03F3E">
      <w:pPr>
        <w:pStyle w:val="45"/>
        <w:shd w:val="clear" w:color="auto" w:fill="auto"/>
        <w:spacing w:before="0" w:line="240" w:lineRule="auto"/>
        <w:jc w:val="both"/>
        <w:rPr>
          <w:rFonts w:ascii="Times New Roman" w:cs="Times New Roman"/>
          <w:color w:val="000000" w:themeColor="text1"/>
          <w:sz w:val="16"/>
          <w:szCs w:val="16"/>
        </w:rPr>
      </w:pPr>
      <w:r w:rsidRPr="00D03F3E">
        <w:rPr>
          <w:rStyle w:val="4f0"/>
          <w:rFonts w:ascii="Times New Roman" w:hAnsi="Times New Roman" w:cs="Times New Roman"/>
          <w:i w:val="0"/>
          <w:color w:val="000000" w:themeColor="text1"/>
          <w:sz w:val="16"/>
          <w:szCs w:val="16"/>
        </w:rPr>
        <w:t>В заключении отчёта констатировалось, что самолёт «Пегас»</w:t>
      </w:r>
      <w:r w:rsidRPr="00D03F3E">
        <w:rPr>
          <w:rFonts w:ascii="Times New Roman" w:cs="Times New Roman"/>
          <w:color w:val="000000" w:themeColor="text1"/>
          <w:sz w:val="16"/>
          <w:szCs w:val="16"/>
        </w:rPr>
        <w:t xml:space="preserve"> «государственные испы-</w:t>
      </w:r>
      <w:r w:rsidRPr="00D03F3E">
        <w:rPr>
          <w:rStyle w:val="46pt40"/>
          <w:rFonts w:ascii="Times New Roman" w:hAnsi="Times New Roman" w:cs="Times New Roman"/>
          <w:i w:val="0"/>
          <w:color w:val="000000" w:themeColor="text1"/>
          <w:w w:val="100"/>
          <w:sz w:val="16"/>
          <w:szCs w:val="16"/>
        </w:rPr>
        <w:t>j</w:t>
      </w:r>
      <w:r w:rsidRPr="00D03F3E">
        <w:rPr>
          <w:rFonts w:ascii="Times New Roman" w:cs="Times New Roman"/>
          <w:color w:val="000000" w:themeColor="text1"/>
          <w:sz w:val="16"/>
          <w:szCs w:val="16"/>
        </w:rPr>
        <w:t>тания не выдержал; дальнейшие работы по доводке самолёта «Пегас» считать нецеле</w:t>
      </w:r>
      <w:r w:rsidRPr="00D03F3E">
        <w:rPr>
          <w:rFonts w:ascii="Times New Roman" w:cs="Times New Roman"/>
          <w:color w:val="000000" w:themeColor="text1"/>
          <w:sz w:val="16"/>
          <w:szCs w:val="16"/>
        </w:rPr>
        <w:softHyphen/>
        <w:t>сообразными».</w:t>
      </w:r>
      <w:r w:rsidRPr="00D03F3E">
        <w:rPr>
          <w:rStyle w:val="4f0"/>
          <w:rFonts w:ascii="Times New Roman" w:hAnsi="Times New Roman" w:cs="Times New Roman"/>
          <w:i w:val="0"/>
          <w:color w:val="000000" w:themeColor="text1"/>
          <w:sz w:val="16"/>
          <w:szCs w:val="16"/>
        </w:rPr>
        <w:t xml:space="preserve"> Предлагалось</w:t>
      </w:r>
      <w:r w:rsidRPr="00D03F3E">
        <w:rPr>
          <w:rFonts w:ascii="Times New Roman" w:cs="Times New Roman"/>
          <w:color w:val="000000" w:themeColor="text1"/>
          <w:sz w:val="16"/>
          <w:szCs w:val="16"/>
        </w:rPr>
        <w:t xml:space="preserve"> «испытанный экземпляр самолёта оставить в НИИ ВВС и использовать как макет для полигона»,</w:t>
      </w:r>
      <w:r w:rsidRPr="00D03F3E">
        <w:rPr>
          <w:rStyle w:val="4f0"/>
          <w:rFonts w:ascii="Times New Roman" w:hAnsi="Times New Roman" w:cs="Times New Roman"/>
          <w:i w:val="0"/>
          <w:color w:val="000000" w:themeColor="text1"/>
          <w:sz w:val="16"/>
          <w:szCs w:val="16"/>
        </w:rPr>
        <w:t xml:space="preserve"> а оставшиеся четыре опытных самолёта,</w:t>
      </w:r>
      <w:r w:rsidRPr="00D03F3E">
        <w:rPr>
          <w:rFonts w:ascii="Times New Roman" w:cs="Times New Roman"/>
          <w:color w:val="000000" w:themeColor="text1"/>
          <w:sz w:val="16"/>
          <w:szCs w:val="16"/>
        </w:rPr>
        <w:t xml:space="preserve"> «заканчивающихся постройкой на заводе № 288, передать в один из запасных авиаполков для использования в качестве мишеней в целях тренировок в стрельбе по наземным целям».</w:t>
      </w:r>
    </w:p>
    <w:p w14:paraId="10A5F949"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Заключение подписали начальник НИИ ВВС генерал-лейтенант Лосюков и начальник 3-го отдела института полковник Сафронов П июня 1943 г. Акт по результатам испытаний самолёта «Пегас» главный инженер ВВС генерал-полковник Репин утвердил через три дня - 14 июня (15846).</w:t>
      </w:r>
    </w:p>
    <w:p w14:paraId="4A592223" w14:textId="77777777" w:rsidR="004A4CDC" w:rsidRPr="00D03F3E" w:rsidRDefault="004A4CDC" w:rsidP="00D03F3E">
      <w:pPr>
        <w:spacing w:after="0" w:line="240" w:lineRule="auto"/>
        <w:jc w:val="both"/>
        <w:rPr>
          <w:rFonts w:ascii="Times New Roman" w:hAnsi="Times New Roman"/>
          <w:color w:val="000000" w:themeColor="text1"/>
          <w:sz w:val="16"/>
          <w:szCs w:val="16"/>
        </w:rPr>
      </w:pPr>
    </w:p>
    <w:p w14:paraId="587F7088"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9 апреля 1943 испытания самолета «Пегас» № 01 возобнови</w:t>
      </w:r>
      <w:r w:rsidRPr="00D03F3E">
        <w:rPr>
          <w:color w:val="000000" w:themeColor="text1"/>
          <w:sz w:val="16"/>
          <w:szCs w:val="16"/>
        </w:rPr>
        <w:softHyphen/>
        <w:t>лись. Однако летную программу в полном объеме завершить не удалось, так как самолет после 36 ч 30 мин налета (96 полетов, включая заводские испытания) пришел в полную негодность. По этой причине 16 мая испытания пришлось прекратить.</w:t>
      </w:r>
    </w:p>
    <w:p w14:paraId="2C0CE6C0"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Основные изменения в ходе доработки самоле</w:t>
      </w:r>
      <w:r w:rsidRPr="00D03F3E">
        <w:rPr>
          <w:color w:val="000000" w:themeColor="text1"/>
          <w:sz w:val="16"/>
          <w:szCs w:val="16"/>
        </w:rPr>
        <w:softHyphen/>
        <w:t>та сводились к следующему. Отработана подвеска под фюзеляжем легкосъемного лафета с двумя пуш</w:t>
      </w:r>
      <w:r w:rsidRPr="00D03F3E">
        <w:rPr>
          <w:color w:val="000000" w:themeColor="text1"/>
          <w:sz w:val="16"/>
          <w:szCs w:val="16"/>
        </w:rPr>
        <w:softHyphen/>
        <w:t>ками ВЯ с боекомплектом по 80 снарядов на ствол. Доведена носовая пулеметная установка в части обеспечения сбора гильз и звеньев в носовой ча</w:t>
      </w:r>
      <w:r w:rsidRPr="00D03F3E">
        <w:rPr>
          <w:color w:val="000000" w:themeColor="text1"/>
          <w:sz w:val="16"/>
          <w:szCs w:val="16"/>
        </w:rPr>
        <w:softHyphen/>
        <w:t>сти фюзеляжа. Боекомплект к пулемету сократил</w:t>
      </w:r>
      <w:r w:rsidRPr="00D03F3E">
        <w:rPr>
          <w:color w:val="000000" w:themeColor="text1"/>
          <w:sz w:val="16"/>
          <w:szCs w:val="16"/>
        </w:rPr>
        <w:softHyphen/>
        <w:t>ся до 140 патронов. Доработали бомбовый мост. Вместо 3 на него смонтировали 5 замков МДЗ-40. Теперь на него допускалась подвеска бомбовой нагрузки в 500 кг, в том числе одной ФАБ-500. При этом подвеска бомб на 2 крайних замка осущест</w:t>
      </w:r>
      <w:r w:rsidRPr="00D03F3E">
        <w:rPr>
          <w:color w:val="000000" w:themeColor="text1"/>
          <w:sz w:val="16"/>
          <w:szCs w:val="16"/>
        </w:rPr>
        <w:softHyphen/>
        <w:t>влялась вручную, а на 3 средних — при помощи лебедки. Как и прежде, бомбометание обеспечива</w:t>
      </w:r>
      <w:r w:rsidRPr="00D03F3E">
        <w:rPr>
          <w:color w:val="000000" w:themeColor="text1"/>
          <w:sz w:val="16"/>
          <w:szCs w:val="16"/>
        </w:rPr>
        <w:softHyphen/>
        <w:t>лось только с горизонтального полета. Прицел для бомбометания не устанавливался. Емкость бро</w:t>
      </w:r>
      <w:r w:rsidRPr="00D03F3E">
        <w:rPr>
          <w:color w:val="000000" w:themeColor="text1"/>
          <w:sz w:val="16"/>
          <w:szCs w:val="16"/>
        </w:rPr>
        <w:softHyphen/>
        <w:t>нированных бензиновых бачков в мотогондолах и основных бензобаков немного увеличили — до 20 и 153 л каждый соответственно.</w:t>
      </w:r>
    </w:p>
    <w:p w14:paraId="05FD2952"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Вес пустого самолета возрос до 1450 кг. Полет</w:t>
      </w:r>
      <w:r w:rsidRPr="00D03F3E">
        <w:rPr>
          <w:color w:val="000000" w:themeColor="text1"/>
          <w:sz w:val="16"/>
          <w:szCs w:val="16"/>
        </w:rPr>
        <w:softHyphen/>
        <w:t>ный вес самолета в варианте штурмовика с пушка</w:t>
      </w:r>
      <w:r w:rsidRPr="00D03F3E">
        <w:rPr>
          <w:color w:val="000000" w:themeColor="text1"/>
          <w:sz w:val="16"/>
          <w:szCs w:val="16"/>
        </w:rPr>
        <w:softHyphen/>
        <w:t>ми ВЯ достигал 2150 кг, а в варианте легкого бом</w:t>
      </w:r>
      <w:r w:rsidRPr="00D03F3E">
        <w:rPr>
          <w:color w:val="000000" w:themeColor="text1"/>
          <w:sz w:val="16"/>
          <w:szCs w:val="16"/>
        </w:rPr>
        <w:softHyphen/>
        <w:t>бардировщика с 500 кг бомб — 2320 кг. Центровка самолета при всех вариантах нагрузки находилась в диапазоне от 29,45% САХ (пустой самолет) до 30,2% САХ (с ВЯ).</w:t>
      </w:r>
    </w:p>
    <w:p w14:paraId="5C26F2E6"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варианте штурмовика максимальная скорость у земли составила 172 км/ч. Вертикальная скорость у земли — 2,7 м/с. На высоту 1000 м самолет за</w:t>
      </w:r>
      <w:r w:rsidRPr="00D03F3E">
        <w:rPr>
          <w:color w:val="000000" w:themeColor="text1"/>
          <w:sz w:val="16"/>
          <w:szCs w:val="16"/>
        </w:rPr>
        <w:softHyphen/>
        <w:t>бирался за 7,7 мин. Вираж на 1000 м выполнялся за 39—41 с. Практический потолок не превышал 2620 м.</w:t>
      </w:r>
    </w:p>
    <w:p w14:paraId="5D413FAA"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варианте бомбардировщика (500 кг бомб) летные данные ухудшались: скорость у земли — 167 км/ч, вертикальная скорость — 1,6 м/с, время подъема на 1000 м — 12,6 мин, практический по</w:t>
      </w:r>
      <w:r w:rsidRPr="00D03F3E">
        <w:rPr>
          <w:color w:val="000000" w:themeColor="text1"/>
          <w:sz w:val="16"/>
          <w:szCs w:val="16"/>
        </w:rPr>
        <w:softHyphen/>
        <w:t>толок — 1900 м.</w:t>
      </w:r>
    </w:p>
    <w:p w14:paraId="2B343BFE"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При полетном весе 1868 кг (без бомб) разбег не превышал 230 м, пробег (50% горючего) — 440 м. При увеличении полетного веса до 2068 кг разбег возрастал до 345 м.</w:t>
      </w:r>
    </w:p>
    <w:p w14:paraId="0DEE53F2"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Дальность полета в варианте штурмовика на скорости 0,85 максимальной (150 км/ч — мини</w:t>
      </w:r>
      <w:r w:rsidRPr="00D03F3E">
        <w:rPr>
          <w:color w:val="000000" w:themeColor="text1"/>
          <w:sz w:val="16"/>
          <w:szCs w:val="16"/>
        </w:rPr>
        <w:softHyphen/>
        <w:t>мальная скорость из условий безопасности полета) достигала 410 км.</w:t>
      </w:r>
    </w:p>
    <w:p w14:paraId="0B172822"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Модернизированный «Пегас» оказался не столь простым в управлении, как ожидалось. В полете наблюдались раскачивание при подвешенном во</w:t>
      </w:r>
      <w:r w:rsidRPr="00D03F3E">
        <w:rPr>
          <w:color w:val="000000" w:themeColor="text1"/>
          <w:sz w:val="16"/>
          <w:szCs w:val="16"/>
        </w:rPr>
        <w:softHyphen/>
        <w:t>оружении (особенно с бомбами) и тряска хвоста на некоторых режимах полета.</w:t>
      </w:r>
    </w:p>
    <w:p w14:paraId="126B6331"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Летчики отмечали, что из-за отсутствия управля</w:t>
      </w:r>
      <w:r w:rsidRPr="00D03F3E">
        <w:rPr>
          <w:color w:val="000000" w:themeColor="text1"/>
          <w:sz w:val="16"/>
          <w:szCs w:val="16"/>
        </w:rPr>
        <w:softHyphen/>
        <w:t>емого триммера самолет балансируется только на определенных режимах и центровках: при наборе высоты — на скорости 155—160 км/ч, на планиро</w:t>
      </w:r>
      <w:r w:rsidRPr="00D03F3E">
        <w:rPr>
          <w:color w:val="000000" w:themeColor="text1"/>
          <w:sz w:val="16"/>
          <w:szCs w:val="16"/>
        </w:rPr>
        <w:softHyphen/>
        <w:t>вании — на скорости 180—190 км/ч и в горизон</w:t>
      </w:r>
      <w:r w:rsidRPr="00D03F3E">
        <w:rPr>
          <w:color w:val="000000" w:themeColor="text1"/>
          <w:sz w:val="16"/>
          <w:szCs w:val="16"/>
        </w:rPr>
        <w:softHyphen/>
        <w:t>тальном полете — на скорости 160—170 км/ч.</w:t>
      </w:r>
    </w:p>
    <w:p w14:paraId="3CC9032D"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Самолет характеризовался недостаточной путе</w:t>
      </w:r>
      <w:r w:rsidRPr="00D03F3E">
        <w:rPr>
          <w:color w:val="000000" w:themeColor="text1"/>
          <w:sz w:val="16"/>
          <w:szCs w:val="16"/>
        </w:rPr>
        <w:softHyphen/>
        <w:t>вой и близкой к нейтральной поперечной устойчи</w:t>
      </w:r>
      <w:r w:rsidRPr="00D03F3E">
        <w:rPr>
          <w:color w:val="000000" w:themeColor="text1"/>
          <w:sz w:val="16"/>
          <w:szCs w:val="16"/>
        </w:rPr>
        <w:softHyphen/>
        <w:t>востью. Руля высоты для трехточечной посадки при предельно передней центровке 26,7% САХ хватает, но запас мал. Вводить самолет в пикирование с га</w:t>
      </w:r>
      <w:r w:rsidRPr="00D03F3E">
        <w:rPr>
          <w:color w:val="000000" w:themeColor="text1"/>
          <w:sz w:val="16"/>
          <w:szCs w:val="16"/>
        </w:rPr>
        <w:softHyphen/>
        <w:t>зом очень тяжело.</w:t>
      </w:r>
    </w:p>
    <w:p w14:paraId="068BADEB"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полете сильно задувает в кабину с пола. В го</w:t>
      </w:r>
      <w:r w:rsidRPr="00D03F3E">
        <w:rPr>
          <w:color w:val="000000" w:themeColor="text1"/>
          <w:sz w:val="16"/>
          <w:szCs w:val="16"/>
        </w:rPr>
        <w:softHyphen/>
        <w:t>ризонтальном полете и на пикировании «винты дают раскрутку, поэтому полностью использовать мощность моторов невозможно».</w:t>
      </w:r>
    </w:p>
    <w:p w14:paraId="379BB84F"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Диапазон возможных скоростей полета («при большой минимальной скорости») сочли совершен</w:t>
      </w:r>
      <w:r w:rsidRPr="00D03F3E">
        <w:rPr>
          <w:color w:val="000000" w:themeColor="text1"/>
          <w:sz w:val="16"/>
          <w:szCs w:val="16"/>
        </w:rPr>
        <w:softHyphen/>
        <w:t>но недостаточным для выполнения маневров при построении захода на цель и ухода от нее и при по</w:t>
      </w:r>
      <w:r w:rsidRPr="00D03F3E">
        <w:rPr>
          <w:color w:val="000000" w:themeColor="text1"/>
          <w:sz w:val="16"/>
          <w:szCs w:val="16"/>
        </w:rPr>
        <w:softHyphen/>
        <w:t>летах в строю, особенно большими группами.</w:t>
      </w:r>
    </w:p>
    <w:p w14:paraId="6BFA816B"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Стрелковое и пушечное вооружение в ходе ис</w:t>
      </w:r>
      <w:r w:rsidRPr="00D03F3E">
        <w:rPr>
          <w:color w:val="000000" w:themeColor="text1"/>
          <w:sz w:val="16"/>
          <w:szCs w:val="16"/>
        </w:rPr>
        <w:softHyphen/>
        <w:t>пытаний постоянно доводилось силами специали</w:t>
      </w:r>
      <w:r w:rsidRPr="00D03F3E">
        <w:rPr>
          <w:color w:val="000000" w:themeColor="text1"/>
          <w:sz w:val="16"/>
          <w:szCs w:val="16"/>
        </w:rPr>
        <w:softHyphen/>
        <w:t>стов НИИ ВВС. На отработку оружия было выпол</w:t>
      </w:r>
      <w:r w:rsidRPr="00D03F3E">
        <w:rPr>
          <w:color w:val="000000" w:themeColor="text1"/>
          <w:sz w:val="16"/>
          <w:szCs w:val="16"/>
        </w:rPr>
        <w:softHyphen/>
        <w:t>нено 11 полетов. Стрельба велась в горизонталь ном полете и с пикирования. Из пушек всего было выполнено 1842 выстрела, в том числе 454 — на земле, 1388 — в воздухе. Получено 6,8% задержек в стрельбе и 3 поломки. Из пулемета УБК отстреля</w:t>
      </w:r>
      <w:r w:rsidRPr="00D03F3E">
        <w:rPr>
          <w:color w:val="000000" w:themeColor="text1"/>
          <w:sz w:val="16"/>
          <w:szCs w:val="16"/>
        </w:rPr>
        <w:softHyphen/>
        <w:t>ли в воздухе 875 и на земле 475 патронов. Было за</w:t>
      </w:r>
      <w:r w:rsidRPr="00D03F3E">
        <w:rPr>
          <w:color w:val="000000" w:themeColor="text1"/>
          <w:sz w:val="16"/>
          <w:szCs w:val="16"/>
        </w:rPr>
        <w:softHyphen/>
        <w:t>фиксировано 10% задержек и 4 поломки.</w:t>
      </w:r>
    </w:p>
    <w:p w14:paraId="0443D418"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Рассеивание определялось стрельбой в воздухе по щитам (12x12 м). Стрельба велась с пикирова</w:t>
      </w:r>
      <w:r w:rsidRPr="00D03F3E">
        <w:rPr>
          <w:color w:val="000000" w:themeColor="text1"/>
          <w:sz w:val="16"/>
          <w:szCs w:val="16"/>
        </w:rPr>
        <w:softHyphen/>
        <w:t>ния под углом 25—30° с дистанции 800—900 м оче</w:t>
      </w:r>
      <w:r w:rsidRPr="00D03F3E">
        <w:rPr>
          <w:color w:val="000000" w:themeColor="text1"/>
          <w:sz w:val="16"/>
          <w:szCs w:val="16"/>
        </w:rPr>
        <w:softHyphen/>
        <w:t>редями по 2—10 снарядов.</w:t>
      </w:r>
    </w:p>
    <w:p w14:paraId="392C57B0"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Выяснилось, что при стрельбе из пулемета УБК на скорости 150—160 км/ч самолет стремился ка- брировать, а при стрельбе из пушек, наоборот — пикировать. При стрельбе из всех 3 точек — из пушек и пулемета — «моменты кабрирования и пикирования уравновешиваются, но самолет раска</w:t>
      </w:r>
      <w:r w:rsidRPr="00D03F3E">
        <w:rPr>
          <w:color w:val="000000" w:themeColor="text1"/>
          <w:sz w:val="16"/>
          <w:szCs w:val="16"/>
        </w:rPr>
        <w:softHyphen/>
        <w:t>чивается, и продолжительное время вести стрель</w:t>
      </w:r>
      <w:r w:rsidRPr="00D03F3E">
        <w:rPr>
          <w:color w:val="000000" w:themeColor="text1"/>
          <w:sz w:val="16"/>
          <w:szCs w:val="16"/>
        </w:rPr>
        <w:softHyphen/>
        <w:t>бу невозможно».</w:t>
      </w:r>
    </w:p>
    <w:p w14:paraId="752CD2E7"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стрельбе из пушек в горизонтальном по</w:t>
      </w:r>
      <w:r w:rsidRPr="00D03F3E">
        <w:rPr>
          <w:color w:val="000000" w:themeColor="text1"/>
          <w:sz w:val="16"/>
          <w:szCs w:val="16"/>
        </w:rPr>
        <w:softHyphen/>
        <w:t>лете длинными очередями до 10 снарядов само</w:t>
      </w:r>
      <w:r w:rsidRPr="00D03F3E">
        <w:rPr>
          <w:color w:val="000000" w:themeColor="text1"/>
          <w:sz w:val="16"/>
          <w:szCs w:val="16"/>
        </w:rPr>
        <w:softHyphen/>
        <w:t>лет терял в скорости полета до 15 км/ч (примерно 9% от максимальной скорости). При этом самолет испытывал значительную тряску и летчик не в со</w:t>
      </w:r>
      <w:r w:rsidRPr="00D03F3E">
        <w:rPr>
          <w:color w:val="000000" w:themeColor="text1"/>
          <w:sz w:val="16"/>
          <w:szCs w:val="16"/>
        </w:rPr>
        <w:softHyphen/>
        <w:t>стоянии при стрельбе удерживать линию визиро</w:t>
      </w:r>
      <w:r w:rsidRPr="00D03F3E">
        <w:rPr>
          <w:color w:val="000000" w:themeColor="text1"/>
          <w:sz w:val="16"/>
          <w:szCs w:val="16"/>
        </w:rPr>
        <w:softHyphen/>
        <w:t>вания на цели. Прицельность стрельбы из пушек нарушалась уже после первых 1—2 выстрелов. Кроме того, из-за слишком длинных пламегасите</w:t>
      </w:r>
      <w:r w:rsidRPr="00D03F3E">
        <w:rPr>
          <w:color w:val="000000" w:themeColor="text1"/>
          <w:sz w:val="16"/>
          <w:szCs w:val="16"/>
        </w:rPr>
        <w:softHyphen/>
        <w:t>лей стволы пушек при стрельбе сильно вибрирова</w:t>
      </w:r>
      <w:r w:rsidRPr="00D03F3E">
        <w:rPr>
          <w:color w:val="000000" w:themeColor="text1"/>
          <w:sz w:val="16"/>
          <w:szCs w:val="16"/>
        </w:rPr>
        <w:softHyphen/>
        <w:t>ли. Все это, вместе взятое, вызывало большое рас</w:t>
      </w:r>
      <w:r w:rsidRPr="00D03F3E">
        <w:rPr>
          <w:color w:val="000000" w:themeColor="text1"/>
          <w:sz w:val="16"/>
          <w:szCs w:val="16"/>
        </w:rPr>
        <w:softHyphen/>
        <w:t>сеивание снарядов. Так, при стрельбе короткими очередями (2—4 выстрела) боковое отклонение и отклонение по дальности достигало 7,2 и 13,2 м соответственно. Прицеливаться, используя кольцо и мушку, было крайне неудобно. После первой оче</w:t>
      </w:r>
      <w:r w:rsidRPr="00D03F3E">
        <w:rPr>
          <w:color w:val="000000" w:themeColor="text1"/>
          <w:sz w:val="16"/>
          <w:szCs w:val="16"/>
        </w:rPr>
        <w:softHyphen/>
        <w:t>реди поймать цель снова в прицел трудно, поэтому прицельно вести стрельбу по одной и той же цели невозможно. Не обеспечена перезарядка пулемета в воздухе. Обзор летчику вперед-вниз на 15° при</w:t>
      </w:r>
      <w:r w:rsidRPr="00D03F3E">
        <w:rPr>
          <w:color w:val="000000" w:themeColor="text1"/>
          <w:sz w:val="16"/>
          <w:szCs w:val="16"/>
        </w:rPr>
        <w:softHyphen/>
        <w:t>знавался недостаточным.</w:t>
      </w:r>
    </w:p>
    <w:p w14:paraId="53A3CB32"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Бомбовое вооружение в воздухе не испытыва- лось ввиду отсутствия прицела для бомбометания и изношенности шасси. Дело в том, что после по</w:t>
      </w:r>
      <w:r w:rsidRPr="00D03F3E">
        <w:rPr>
          <w:color w:val="000000" w:themeColor="text1"/>
          <w:sz w:val="16"/>
          <w:szCs w:val="16"/>
        </w:rPr>
        <w:softHyphen/>
        <w:t>летов на определение летных данных и испытание стрелково-пушечного вооружения «Пегас» № 01 пришел в негодность. Летать на нем было нельзя. Самолету требовался капитальный ремонт.</w:t>
      </w:r>
    </w:p>
    <w:p w14:paraId="4DB730EE"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Мнение летчиков-испытателей было неутеши</w:t>
      </w:r>
      <w:r w:rsidRPr="00D03F3E">
        <w:rPr>
          <w:color w:val="000000" w:themeColor="text1"/>
          <w:sz w:val="16"/>
          <w:szCs w:val="16"/>
        </w:rPr>
        <w:softHyphen/>
        <w:t>тельным. Основной вывод сводился к тому, что полученные при испытании летно-боевые данные «не обеспечивают для самолета «Пегас» успешного выполнения боевых задач» в качестве штурмовика и легкого бомбардировщика.</w:t>
      </w:r>
    </w:p>
    <w:p w14:paraId="07DCE64B"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Боевую живучесть машины сочли совершенно недостаточной: «Бронирование летчика обеспечи</w:t>
      </w:r>
      <w:r w:rsidRPr="00D03F3E">
        <w:rPr>
          <w:color w:val="000000" w:themeColor="text1"/>
          <w:sz w:val="16"/>
          <w:szCs w:val="16"/>
        </w:rPr>
        <w:softHyphen/>
        <w:t>вает защиту только от пуль калибра 7,62 мм с дис</w:t>
      </w:r>
      <w:r w:rsidRPr="00D03F3E">
        <w:rPr>
          <w:color w:val="000000" w:themeColor="text1"/>
          <w:sz w:val="16"/>
          <w:szCs w:val="16"/>
        </w:rPr>
        <w:softHyphen/>
        <w:t>танции 700—1000 м. Недостаточная угловая защита головы летчика спереди (малая площадь прозрач</w:t>
      </w:r>
      <w:r w:rsidRPr="00D03F3E">
        <w:rPr>
          <w:color w:val="000000" w:themeColor="text1"/>
          <w:sz w:val="16"/>
          <w:szCs w:val="16"/>
        </w:rPr>
        <w:softHyphen/>
        <w:t>ной брони) на козырьке. Недостаточная броня сза</w:t>
      </w:r>
      <w:r w:rsidRPr="00D03F3E">
        <w:rPr>
          <w:color w:val="000000" w:themeColor="text1"/>
          <w:sz w:val="16"/>
          <w:szCs w:val="16"/>
        </w:rPr>
        <w:softHyphen/>
        <w:t>ди от пуль калибра 12,7 мм и выше. /.../ Нет брони моторов, основные бензобаки не защищены, нет протектора и нет системы нейтральных газов. /.../ Сброс бензобаков не исключает пожара, так как летчик может не засечь его начало, противопо</w:t>
      </w:r>
      <w:r w:rsidRPr="00D03F3E">
        <w:rPr>
          <w:color w:val="000000" w:themeColor="text1"/>
          <w:sz w:val="16"/>
          <w:szCs w:val="16"/>
        </w:rPr>
        <w:softHyphen/>
        <w:t>жарная перегородка отсутствует. /. / При малых горизонтальных скоростях легко уязвим от назем</w:t>
      </w:r>
      <w:r w:rsidRPr="00D03F3E">
        <w:rPr>
          <w:color w:val="000000" w:themeColor="text1"/>
          <w:sz w:val="16"/>
          <w:szCs w:val="16"/>
        </w:rPr>
        <w:softHyphen/>
        <w:t>ного огня, плохая маневренность (время виража на 1000 м — 40 сек) делает его беззащитным перед ис</w:t>
      </w:r>
      <w:r w:rsidRPr="00D03F3E">
        <w:rPr>
          <w:color w:val="000000" w:themeColor="text1"/>
          <w:sz w:val="16"/>
          <w:szCs w:val="16"/>
        </w:rPr>
        <w:softHyphen/>
        <w:t>требительной авиацией противника, что приведет к большим потерям летчиков и матчасти».</w:t>
      </w:r>
    </w:p>
    <w:p w14:paraId="407B77D4"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Констатировалось, что по технике пилотирова</w:t>
      </w:r>
      <w:r w:rsidRPr="00D03F3E">
        <w:rPr>
          <w:color w:val="000000" w:themeColor="text1"/>
          <w:sz w:val="16"/>
          <w:szCs w:val="16"/>
        </w:rPr>
        <w:softHyphen/>
        <w:t>ния самолет недоступен «массовому летному соста</w:t>
      </w:r>
      <w:r w:rsidRPr="00D03F3E">
        <w:rPr>
          <w:color w:val="000000" w:themeColor="text1"/>
          <w:sz w:val="16"/>
          <w:szCs w:val="16"/>
        </w:rPr>
        <w:softHyphen/>
        <w:t>ву, из-за малого диапазона скорости (20—25 км/ч) между максимальной и эволютивной», недоста</w:t>
      </w:r>
      <w:r w:rsidRPr="00D03F3E">
        <w:rPr>
          <w:color w:val="000000" w:themeColor="text1"/>
          <w:sz w:val="16"/>
          <w:szCs w:val="16"/>
        </w:rPr>
        <w:softHyphen/>
        <w:t>точной боковой устойчивости и крутой глиссады планирования. К полетам на «Пегасе» допускались только летчики с летной подготовкой не ниже средней и лишь днем в простых метеоусловиях.</w:t>
      </w:r>
    </w:p>
    <w:p w14:paraId="5BB0DCC7"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Боевое применение имело смысл в перегру</w:t>
      </w:r>
      <w:r w:rsidRPr="00D03F3E">
        <w:rPr>
          <w:color w:val="000000" w:themeColor="text1"/>
          <w:sz w:val="16"/>
          <w:szCs w:val="16"/>
        </w:rPr>
        <w:softHyphen/>
        <w:t>зочном варианте нагрузки, «но в этом случае проч</w:t>
      </w:r>
      <w:r w:rsidRPr="00D03F3E">
        <w:rPr>
          <w:color w:val="000000" w:themeColor="text1"/>
          <w:sz w:val="16"/>
          <w:szCs w:val="16"/>
        </w:rPr>
        <w:softHyphen/>
        <w:t>ность шасси не обеспечивает длительной эксплуа</w:t>
      </w:r>
      <w:r w:rsidRPr="00D03F3E">
        <w:rPr>
          <w:color w:val="000000" w:themeColor="text1"/>
          <w:sz w:val="16"/>
          <w:szCs w:val="16"/>
        </w:rPr>
        <w:softHyphen/>
        <w:t>тации самолета».</w:t>
      </w:r>
    </w:p>
    <w:p w14:paraId="2B129330"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Прицельная стрельба из пушек возможна толь</w:t>
      </w:r>
      <w:r w:rsidRPr="00D03F3E">
        <w:rPr>
          <w:color w:val="000000" w:themeColor="text1"/>
          <w:sz w:val="16"/>
          <w:szCs w:val="16"/>
        </w:rPr>
        <w:softHyphen/>
        <w:t>ко очередями по 2—4 снаряда с восстановлением прицеливания после каждой очереди. Установка пушек калибра 23 и 37 мм нецелесообразна из-за большой силы отдачи.</w:t>
      </w:r>
    </w:p>
    <w:p w14:paraId="02A56A90"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существующей конструкции носовой части, расположения брони и летчика установка прицель</w:t>
      </w:r>
      <w:r w:rsidRPr="00D03F3E">
        <w:rPr>
          <w:color w:val="000000" w:themeColor="text1"/>
          <w:sz w:val="16"/>
          <w:szCs w:val="16"/>
        </w:rPr>
        <w:softHyphen/>
        <w:t>ных приспособлений для бомбометания невозмож</w:t>
      </w:r>
      <w:r w:rsidRPr="00D03F3E">
        <w:rPr>
          <w:color w:val="000000" w:themeColor="text1"/>
          <w:sz w:val="16"/>
          <w:szCs w:val="16"/>
        </w:rPr>
        <w:softHyphen/>
        <w:t>на. Это исключает возможность бомбометания по целям ограниченных размеров.</w:t>
      </w:r>
    </w:p>
    <w:p w14:paraId="1EF5CCCA"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Применение второсортных материалов в зна</w:t>
      </w:r>
      <w:r w:rsidRPr="00D03F3E">
        <w:rPr>
          <w:color w:val="000000" w:themeColor="text1"/>
          <w:sz w:val="16"/>
          <w:szCs w:val="16"/>
        </w:rPr>
        <w:softHyphen/>
        <w:t>чительной мере удешевило производство самоле</w:t>
      </w:r>
      <w:r w:rsidRPr="00D03F3E">
        <w:rPr>
          <w:color w:val="000000" w:themeColor="text1"/>
          <w:sz w:val="16"/>
          <w:szCs w:val="16"/>
        </w:rPr>
        <w:softHyphen/>
        <w:t>та, но вместе с этим этот же факт сделал самолет недолговечным и одновременно привел к много</w:t>
      </w:r>
      <w:r w:rsidRPr="00D03F3E">
        <w:rPr>
          <w:color w:val="000000" w:themeColor="text1"/>
          <w:sz w:val="16"/>
          <w:szCs w:val="16"/>
        </w:rPr>
        <w:softHyphen/>
        <w:t>численным дефектам и поломкам в ходе эксплуа</w:t>
      </w:r>
      <w:r w:rsidRPr="00D03F3E">
        <w:rPr>
          <w:color w:val="000000" w:themeColor="text1"/>
          <w:sz w:val="16"/>
          <w:szCs w:val="16"/>
        </w:rPr>
        <w:softHyphen/>
        <w:t>тации.</w:t>
      </w:r>
    </w:p>
    <w:p w14:paraId="56BE16E2"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Так, «в основных бензобаках, изготовленных из низкосортного листового материала, образует</w:t>
      </w:r>
      <w:r w:rsidRPr="00D03F3E">
        <w:rPr>
          <w:color w:val="000000" w:themeColor="text1"/>
          <w:sz w:val="16"/>
          <w:szCs w:val="16"/>
        </w:rPr>
        <w:softHyphen/>
        <w:t>ся постоянная течь по швам и заклепкам». Ленты крепления маслобаков быстро приходили в негод</w:t>
      </w:r>
      <w:r w:rsidRPr="00D03F3E">
        <w:rPr>
          <w:color w:val="000000" w:themeColor="text1"/>
          <w:sz w:val="16"/>
          <w:szCs w:val="16"/>
        </w:rPr>
        <w:softHyphen/>
        <w:t>ность и разрушались. Маслобаки начинали вибри</w:t>
      </w:r>
      <w:r w:rsidRPr="00D03F3E">
        <w:rPr>
          <w:color w:val="000000" w:themeColor="text1"/>
          <w:sz w:val="16"/>
          <w:szCs w:val="16"/>
        </w:rPr>
        <w:softHyphen/>
        <w:t>ровать, что приводило к течи по швам и в местах пайки. Прочность обшивки центроплана не обе</w:t>
      </w:r>
      <w:r w:rsidRPr="00D03F3E">
        <w:rPr>
          <w:color w:val="000000" w:themeColor="text1"/>
          <w:sz w:val="16"/>
          <w:szCs w:val="16"/>
        </w:rPr>
        <w:softHyphen/>
        <w:t>спечивала свободный проход к горловинам бен- зо- и маслобаков при заправке, обшивка дефор</w:t>
      </w:r>
      <w:r w:rsidRPr="00D03F3E">
        <w:rPr>
          <w:color w:val="000000" w:themeColor="text1"/>
          <w:sz w:val="16"/>
          <w:szCs w:val="16"/>
        </w:rPr>
        <w:softHyphen/>
        <w:t>мировалась и проламывалась. Фанерная обшивка самолета везде покрывалась трещинами и шелуши</w:t>
      </w:r>
      <w:r w:rsidRPr="00D03F3E">
        <w:rPr>
          <w:color w:val="000000" w:themeColor="text1"/>
          <w:sz w:val="16"/>
          <w:szCs w:val="16"/>
        </w:rPr>
        <w:softHyphen/>
        <w:t>лась.</w:t>
      </w:r>
    </w:p>
    <w:p w14:paraId="5580C11B"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Кроме того, низкое располо</w:t>
      </w:r>
      <w:r w:rsidRPr="00D03F3E">
        <w:rPr>
          <w:color w:val="000000" w:themeColor="text1"/>
          <w:sz w:val="16"/>
          <w:szCs w:val="16"/>
        </w:rPr>
        <w:softHyphen/>
        <w:t>жение моторов (под крылом) не позволяло запускать моторы при помощи автостартера и не обеспе</w:t>
      </w:r>
      <w:r w:rsidRPr="00D03F3E">
        <w:rPr>
          <w:color w:val="000000" w:themeColor="text1"/>
          <w:sz w:val="16"/>
          <w:szCs w:val="16"/>
        </w:rPr>
        <w:softHyphen/>
        <w:t>чивало необходимого расстояния между концами лопастей винтов и землей в линии полета.</w:t>
      </w:r>
    </w:p>
    <w:p w14:paraId="477CFCF4"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Помимо летчиков НИИ ВВС, «Пе</w:t>
      </w:r>
      <w:r w:rsidRPr="00D03F3E">
        <w:rPr>
          <w:color w:val="000000" w:themeColor="text1"/>
          <w:sz w:val="16"/>
          <w:szCs w:val="16"/>
        </w:rPr>
        <w:softHyphen/>
        <w:t>гас» облетал инспектор Управления боевой подготовки ВВС КА гвардии подполковник К. Н. Холобаев, кото</w:t>
      </w:r>
      <w:r w:rsidRPr="00D03F3E">
        <w:rPr>
          <w:color w:val="000000" w:themeColor="text1"/>
          <w:sz w:val="16"/>
          <w:szCs w:val="16"/>
        </w:rPr>
        <w:softHyphen/>
        <w:t>рый в составе 4-го шап (с 7.3.42 г. — 7-й гшап) был одним из первых, кто применил бронированный штурмо</w:t>
      </w:r>
      <w:r w:rsidRPr="00D03F3E">
        <w:rPr>
          <w:color w:val="000000" w:themeColor="text1"/>
          <w:sz w:val="16"/>
          <w:szCs w:val="16"/>
        </w:rPr>
        <w:softHyphen/>
        <w:t>вик Ил-2 на фронтах войны.</w:t>
      </w:r>
    </w:p>
    <w:p w14:paraId="2100F5CF" w14:textId="77777777" w:rsidR="00D739F9" w:rsidRPr="00D03F3E" w:rsidRDefault="00D739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заключении отчета констатировалось, что са</w:t>
      </w:r>
      <w:r w:rsidRPr="00D03F3E">
        <w:rPr>
          <w:rFonts w:ascii="Times New Roman" w:hAnsi="Times New Roman"/>
          <w:color w:val="000000" w:themeColor="text1"/>
          <w:sz w:val="16"/>
          <w:szCs w:val="16"/>
        </w:rPr>
        <w:softHyphen/>
        <w:t>молет «Пегас» «государственные испытания не вы</w:t>
      </w:r>
      <w:r w:rsidRPr="00D03F3E">
        <w:rPr>
          <w:rFonts w:ascii="Times New Roman" w:hAnsi="Times New Roman"/>
          <w:color w:val="000000" w:themeColor="text1"/>
          <w:sz w:val="16"/>
          <w:szCs w:val="16"/>
        </w:rPr>
        <w:softHyphen/>
        <w:t>держал; дальнейшие работы по доводке самолета «Пегас» считать нецелесообразными».</w:t>
      </w:r>
    </w:p>
    <w:p w14:paraId="3CE2BF85"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НИИ ВВС и использовать как макет для полиго</w:t>
      </w:r>
      <w:r w:rsidRPr="00D03F3E">
        <w:rPr>
          <w:color w:val="000000" w:themeColor="text1"/>
          <w:sz w:val="16"/>
          <w:szCs w:val="16"/>
        </w:rPr>
        <w:softHyphen/>
        <w:t>на», а оставшиеся 4 опытных самолета, «заканчи</w:t>
      </w:r>
      <w:r w:rsidRPr="00D03F3E">
        <w:rPr>
          <w:color w:val="000000" w:themeColor="text1"/>
          <w:sz w:val="16"/>
          <w:szCs w:val="16"/>
        </w:rPr>
        <w:softHyphen/>
        <w:t>вающихся постройкой на заводе № 288, передать в один из запасных авиаполков для использования в качестве мишеней в целях тренировок в стрельбе по наземным целям».</w:t>
      </w:r>
    </w:p>
    <w:p w14:paraId="61DA296E" w14:textId="77777777" w:rsidR="00D739F9" w:rsidRPr="00D03F3E" w:rsidRDefault="00D739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Заключение подписали начальник НИИ ВВС ге</w:t>
      </w:r>
      <w:r w:rsidRPr="00D03F3E">
        <w:rPr>
          <w:color w:val="000000" w:themeColor="text1"/>
          <w:sz w:val="16"/>
          <w:szCs w:val="16"/>
        </w:rPr>
        <w:softHyphen/>
        <w:t>нерал-лейтенант П. А. Лосюков и начальник 3-го отдела института полковник С. И. Сафронов 11 ию</w:t>
      </w:r>
      <w:r w:rsidRPr="00D03F3E">
        <w:rPr>
          <w:color w:val="000000" w:themeColor="text1"/>
          <w:sz w:val="16"/>
          <w:szCs w:val="16"/>
        </w:rPr>
        <w:softHyphen/>
        <w:t>ня 1943 г. Акт по результатам испытаний самолета «Пегас» главный инженер ВВС генерал-полковник Репин утвердил через 3 дня — 14 июня (17500).</w:t>
      </w:r>
    </w:p>
    <w:p w14:paraId="0974522E" w14:textId="77777777" w:rsidR="00D739F9" w:rsidRPr="00D03F3E" w:rsidRDefault="00D739F9" w:rsidP="00D03F3E">
      <w:pPr>
        <w:spacing w:after="0" w:line="240" w:lineRule="auto"/>
        <w:jc w:val="both"/>
        <w:rPr>
          <w:rFonts w:ascii="Times New Roman" w:hAnsi="Times New Roman"/>
          <w:color w:val="000000" w:themeColor="text1"/>
          <w:sz w:val="16"/>
          <w:szCs w:val="16"/>
        </w:rPr>
      </w:pPr>
    </w:p>
    <w:p w14:paraId="1EB40079"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9 апреля 1943 возобновились испытания самолета «Пегас» №01. Однако летную программу в полном объеме за</w:t>
      </w:r>
      <w:r w:rsidRPr="00D03F3E">
        <w:rPr>
          <w:rFonts w:ascii="Times New Roman" w:hAnsi="Times New Roman"/>
          <w:color w:val="0070C0"/>
          <w:sz w:val="16"/>
          <w:szCs w:val="16"/>
        </w:rPr>
        <w:softHyphen/>
        <w:t>вершить не удалось,так как самолет по</w:t>
      </w:r>
      <w:r w:rsidRPr="00D03F3E">
        <w:rPr>
          <w:rFonts w:ascii="Times New Roman" w:hAnsi="Times New Roman"/>
          <w:color w:val="0070C0"/>
          <w:sz w:val="16"/>
          <w:szCs w:val="16"/>
        </w:rPr>
        <w:softHyphen/>
        <w:t>сле 36 ч 30 мин налета (96 полетов, вклю</w:t>
      </w:r>
      <w:r w:rsidRPr="00D03F3E">
        <w:rPr>
          <w:rFonts w:ascii="Times New Roman" w:hAnsi="Times New Roman"/>
          <w:color w:val="0070C0"/>
          <w:sz w:val="16"/>
          <w:szCs w:val="16"/>
        </w:rPr>
        <w:softHyphen/>
        <w:t>чая заводские испытания) пришел в пол</w:t>
      </w:r>
      <w:r w:rsidRPr="00D03F3E">
        <w:rPr>
          <w:rFonts w:ascii="Times New Roman" w:hAnsi="Times New Roman"/>
          <w:color w:val="0070C0"/>
          <w:sz w:val="16"/>
          <w:szCs w:val="16"/>
        </w:rPr>
        <w:softHyphen/>
        <w:t>ную негодность. По этой причине 16 мая испытания пришлось прекратить.</w:t>
      </w:r>
    </w:p>
    <w:p w14:paraId="7A82F68C"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Основные изменения в ходе дора</w:t>
      </w:r>
      <w:r w:rsidRPr="00D03F3E">
        <w:rPr>
          <w:rFonts w:ascii="Times New Roman" w:hAnsi="Times New Roman"/>
          <w:color w:val="0070C0"/>
          <w:sz w:val="16"/>
          <w:szCs w:val="16"/>
        </w:rPr>
        <w:softHyphen/>
        <w:t>ботки самолета сводились к следующе</w:t>
      </w:r>
      <w:r w:rsidRPr="00D03F3E">
        <w:rPr>
          <w:rFonts w:ascii="Times New Roman" w:hAnsi="Times New Roman"/>
          <w:color w:val="0070C0"/>
          <w:sz w:val="16"/>
          <w:szCs w:val="16"/>
        </w:rPr>
        <w:softHyphen/>
        <w:t>му. Отработана подвеска под фюзеля</w:t>
      </w:r>
      <w:r w:rsidRPr="00D03F3E">
        <w:rPr>
          <w:rFonts w:ascii="Times New Roman" w:hAnsi="Times New Roman"/>
          <w:color w:val="0070C0"/>
          <w:sz w:val="16"/>
          <w:szCs w:val="16"/>
        </w:rPr>
        <w:softHyphen/>
        <w:t>жем легкосъемного лафета с двумя пуш</w:t>
      </w:r>
      <w:r w:rsidRPr="00D03F3E">
        <w:rPr>
          <w:rFonts w:ascii="Times New Roman" w:hAnsi="Times New Roman"/>
          <w:color w:val="0070C0"/>
          <w:sz w:val="16"/>
          <w:szCs w:val="16"/>
        </w:rPr>
        <w:softHyphen/>
        <w:t>ками ВЯ с боекомплектом по 80 снарядов на ствол. Доведена носовая пулемет</w:t>
      </w:r>
      <w:r w:rsidRPr="00D03F3E">
        <w:rPr>
          <w:rFonts w:ascii="Times New Roman" w:hAnsi="Times New Roman"/>
          <w:color w:val="0070C0"/>
          <w:sz w:val="16"/>
          <w:szCs w:val="16"/>
        </w:rPr>
        <w:softHyphen/>
        <w:t>ная установка в части обеспечения сбо</w:t>
      </w:r>
      <w:r w:rsidRPr="00D03F3E">
        <w:rPr>
          <w:rFonts w:ascii="Times New Roman" w:hAnsi="Times New Roman"/>
          <w:color w:val="0070C0"/>
          <w:sz w:val="16"/>
          <w:szCs w:val="16"/>
        </w:rPr>
        <w:softHyphen/>
        <w:t>ра гильз и звеньев в носовой части фюзе</w:t>
      </w:r>
      <w:r w:rsidRPr="00D03F3E">
        <w:rPr>
          <w:rFonts w:ascii="Times New Roman" w:hAnsi="Times New Roman"/>
          <w:color w:val="0070C0"/>
          <w:sz w:val="16"/>
          <w:szCs w:val="16"/>
        </w:rPr>
        <w:softHyphen/>
        <w:t>ляжа. Боекомплект к пулемету сократился до 140 патронов. Доработали бомбовый мост. Вместо трех на него смонтирова</w:t>
      </w:r>
      <w:r w:rsidRPr="00D03F3E">
        <w:rPr>
          <w:rFonts w:ascii="Times New Roman" w:hAnsi="Times New Roman"/>
          <w:color w:val="0070C0"/>
          <w:sz w:val="16"/>
          <w:szCs w:val="16"/>
        </w:rPr>
        <w:softHyphen/>
        <w:t>ли пять замков МДЗ-40. Теперь на него допускалась подвеска бомбовой нагруз</w:t>
      </w:r>
      <w:r w:rsidRPr="00D03F3E">
        <w:rPr>
          <w:rFonts w:ascii="Times New Roman" w:hAnsi="Times New Roman"/>
          <w:color w:val="0070C0"/>
          <w:sz w:val="16"/>
          <w:szCs w:val="16"/>
        </w:rPr>
        <w:softHyphen/>
        <w:t>ки в 500 кг, в том числе одной ФАБ-500. При этом подвеска бомб на два край</w:t>
      </w:r>
      <w:r w:rsidRPr="00D03F3E">
        <w:rPr>
          <w:rFonts w:ascii="Times New Roman" w:hAnsi="Times New Roman"/>
          <w:color w:val="0070C0"/>
          <w:sz w:val="16"/>
          <w:szCs w:val="16"/>
        </w:rPr>
        <w:softHyphen/>
        <w:t>них замка осуществлялась вручную, а на три средних - при помощи лебедки. Как и прежде, бомбометание обеспечивалось только с горизонтального полета. Прицел для бомбометания не устанавливался. Ем</w:t>
      </w:r>
      <w:r w:rsidRPr="00D03F3E">
        <w:rPr>
          <w:rFonts w:ascii="Times New Roman" w:hAnsi="Times New Roman"/>
          <w:color w:val="0070C0"/>
          <w:sz w:val="16"/>
          <w:szCs w:val="16"/>
        </w:rPr>
        <w:softHyphen/>
        <w:t>кость бронированных бензиновых бачков в мотогондолах и основных бензобаков немного увеличили - до 20 и 153 л каж</w:t>
      </w:r>
      <w:r w:rsidRPr="00D03F3E">
        <w:rPr>
          <w:rFonts w:ascii="Times New Roman" w:hAnsi="Times New Roman"/>
          <w:color w:val="0070C0"/>
          <w:sz w:val="16"/>
          <w:szCs w:val="16"/>
        </w:rPr>
        <w:softHyphen/>
        <w:t>дый, соответственно.</w:t>
      </w:r>
    </w:p>
    <w:p w14:paraId="0D395BD6"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Вес пустого самолета возрос до 1450 кг. Полетный вес самолета в вари</w:t>
      </w:r>
      <w:r w:rsidRPr="00D03F3E">
        <w:rPr>
          <w:rFonts w:ascii="Times New Roman" w:hAnsi="Times New Roman"/>
          <w:color w:val="0070C0"/>
          <w:sz w:val="16"/>
          <w:szCs w:val="16"/>
        </w:rPr>
        <w:softHyphen/>
        <w:t>анте штурмовика с пушками ВЯ дости</w:t>
      </w:r>
      <w:r w:rsidRPr="00D03F3E">
        <w:rPr>
          <w:rFonts w:ascii="Times New Roman" w:hAnsi="Times New Roman"/>
          <w:color w:val="0070C0"/>
          <w:sz w:val="16"/>
          <w:szCs w:val="16"/>
        </w:rPr>
        <w:softHyphen/>
        <w:t>гал 2150 кг, а в варианте легкого бомбар</w:t>
      </w:r>
      <w:r w:rsidRPr="00D03F3E">
        <w:rPr>
          <w:rFonts w:ascii="Times New Roman" w:hAnsi="Times New Roman"/>
          <w:color w:val="0070C0"/>
          <w:sz w:val="16"/>
          <w:szCs w:val="16"/>
        </w:rPr>
        <w:softHyphen/>
        <w:t>дировщика с 500 кг бомб - 2320 кг. Цен</w:t>
      </w:r>
      <w:r w:rsidRPr="00D03F3E">
        <w:rPr>
          <w:rFonts w:ascii="Times New Roman" w:hAnsi="Times New Roman"/>
          <w:color w:val="0070C0"/>
          <w:sz w:val="16"/>
          <w:szCs w:val="16"/>
        </w:rPr>
        <w:softHyphen/>
        <w:t>тровка самолета при всех вариантах на</w:t>
      </w:r>
      <w:r w:rsidRPr="00D03F3E">
        <w:rPr>
          <w:rFonts w:ascii="Times New Roman" w:hAnsi="Times New Roman"/>
          <w:color w:val="0070C0"/>
          <w:sz w:val="16"/>
          <w:szCs w:val="16"/>
        </w:rPr>
        <w:softHyphen/>
        <w:t>грузки находилась в диапазоне от 29,45% САХ (пустой самолет) до 30,2% САХ (с ВЯ).</w:t>
      </w:r>
    </w:p>
    <w:p w14:paraId="6C84E7B2"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варианте штурмовика максималь</w:t>
      </w:r>
      <w:r w:rsidRPr="00D03F3E">
        <w:rPr>
          <w:rFonts w:ascii="Times New Roman" w:hAnsi="Times New Roman"/>
          <w:color w:val="0070C0"/>
          <w:sz w:val="16"/>
          <w:szCs w:val="16"/>
        </w:rPr>
        <w:softHyphen/>
        <w:t>ная скорость у земли составила 172 км/ч. Вертикальная скорость у земли - 2,7 м/с. На высоту 1000 м самолет забирался за 7,7 мин. Вираж на 1000 м выполнялся за 39-41 с. Практический потолок не превы</w:t>
      </w:r>
      <w:r w:rsidRPr="00D03F3E">
        <w:rPr>
          <w:rFonts w:ascii="Times New Roman" w:hAnsi="Times New Roman"/>
          <w:color w:val="0070C0"/>
          <w:sz w:val="16"/>
          <w:szCs w:val="16"/>
        </w:rPr>
        <w:softHyphen/>
        <w:t>шал 2620 м.</w:t>
      </w:r>
    </w:p>
    <w:p w14:paraId="41B99864"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варианте бомбардировщика (500 кг бомб) летные данные ухудшались: ско</w:t>
      </w:r>
      <w:r w:rsidRPr="00D03F3E">
        <w:rPr>
          <w:rFonts w:ascii="Times New Roman" w:hAnsi="Times New Roman"/>
          <w:color w:val="0070C0"/>
          <w:sz w:val="16"/>
          <w:szCs w:val="16"/>
        </w:rPr>
        <w:softHyphen/>
        <w:t>рость у земли - 167 км/ч, вертикаль</w:t>
      </w:r>
      <w:r w:rsidRPr="00D03F3E">
        <w:rPr>
          <w:rFonts w:ascii="Times New Roman" w:hAnsi="Times New Roman"/>
          <w:color w:val="0070C0"/>
          <w:sz w:val="16"/>
          <w:szCs w:val="16"/>
        </w:rPr>
        <w:softHyphen/>
        <w:t>ная скорость - 1,6 м/с, время подъема на 1000 м - 12,6 мин, практический пото</w:t>
      </w:r>
      <w:r w:rsidRPr="00D03F3E">
        <w:rPr>
          <w:rFonts w:ascii="Times New Roman" w:hAnsi="Times New Roman"/>
          <w:color w:val="0070C0"/>
          <w:sz w:val="16"/>
          <w:szCs w:val="16"/>
        </w:rPr>
        <w:softHyphen/>
        <w:t>лок - 1900 м.</w:t>
      </w:r>
    </w:p>
    <w:p w14:paraId="08181092"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 полетном весе 1868 кг (без бомб) разбег не превышал 230 м, пробег (50% горючего) - 440 м. При увеличении по</w:t>
      </w:r>
      <w:r w:rsidRPr="00D03F3E">
        <w:rPr>
          <w:rFonts w:ascii="Times New Roman" w:hAnsi="Times New Roman"/>
          <w:color w:val="0070C0"/>
          <w:sz w:val="16"/>
          <w:szCs w:val="16"/>
        </w:rPr>
        <w:softHyphen/>
        <w:t>летного веса до 2068 кг разбег возрастал до 345 м.</w:t>
      </w:r>
    </w:p>
    <w:p w14:paraId="1E405528"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Дальность полета в варианте штур</w:t>
      </w:r>
      <w:r w:rsidRPr="00D03F3E">
        <w:rPr>
          <w:rFonts w:ascii="Times New Roman" w:hAnsi="Times New Roman"/>
          <w:color w:val="0070C0"/>
          <w:sz w:val="16"/>
          <w:szCs w:val="16"/>
        </w:rPr>
        <w:softHyphen/>
        <w:t>мовика на скорости 0,85 максимальной (150 км/ч - минимальная скорость из ус</w:t>
      </w:r>
      <w:r w:rsidRPr="00D03F3E">
        <w:rPr>
          <w:rFonts w:ascii="Times New Roman" w:hAnsi="Times New Roman"/>
          <w:color w:val="0070C0"/>
          <w:sz w:val="16"/>
          <w:szCs w:val="16"/>
        </w:rPr>
        <w:softHyphen/>
        <w:t>ловий безопасности полета) достига</w:t>
      </w:r>
      <w:r w:rsidRPr="00D03F3E">
        <w:rPr>
          <w:rFonts w:ascii="Times New Roman" w:hAnsi="Times New Roman"/>
          <w:color w:val="0070C0"/>
          <w:sz w:val="16"/>
          <w:szCs w:val="16"/>
        </w:rPr>
        <w:softHyphen/>
        <w:t>ла 410 км.</w:t>
      </w:r>
    </w:p>
    <w:p w14:paraId="250FA824"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Модернизированный «Пегас» ока</w:t>
      </w:r>
      <w:r w:rsidRPr="00D03F3E">
        <w:rPr>
          <w:rFonts w:ascii="Times New Roman" w:hAnsi="Times New Roman"/>
          <w:color w:val="0070C0"/>
          <w:sz w:val="16"/>
          <w:szCs w:val="16"/>
        </w:rPr>
        <w:softHyphen/>
        <w:t>зался не столь простым в управлении как ожидалось. В полете наблюдались рас</w:t>
      </w:r>
      <w:r w:rsidRPr="00D03F3E">
        <w:rPr>
          <w:rFonts w:ascii="Times New Roman" w:hAnsi="Times New Roman"/>
          <w:color w:val="0070C0"/>
          <w:sz w:val="16"/>
          <w:szCs w:val="16"/>
        </w:rPr>
        <w:softHyphen/>
        <w:t>качивание при подвешенном вооруже</w:t>
      </w:r>
      <w:r w:rsidRPr="00D03F3E">
        <w:rPr>
          <w:rFonts w:ascii="Times New Roman" w:hAnsi="Times New Roman"/>
          <w:color w:val="0070C0"/>
          <w:sz w:val="16"/>
          <w:szCs w:val="16"/>
        </w:rPr>
        <w:softHyphen/>
        <w:t>нии (особенно с бомбами) и тряска хвоста на некоторых режимах полета.</w:t>
      </w:r>
    </w:p>
    <w:p w14:paraId="64B220ED"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Летчики отмечали, что из-за отсутст</w:t>
      </w:r>
      <w:r w:rsidRPr="00D03F3E">
        <w:rPr>
          <w:rFonts w:ascii="Times New Roman" w:hAnsi="Times New Roman"/>
          <w:color w:val="0070C0"/>
          <w:sz w:val="16"/>
          <w:szCs w:val="16"/>
        </w:rPr>
        <w:softHyphen/>
        <w:t>вия управляемого триммера самолет ба</w:t>
      </w:r>
      <w:r w:rsidRPr="00D03F3E">
        <w:rPr>
          <w:rFonts w:ascii="Times New Roman" w:hAnsi="Times New Roman"/>
          <w:color w:val="0070C0"/>
          <w:sz w:val="16"/>
          <w:szCs w:val="16"/>
        </w:rPr>
        <w:softHyphen/>
        <w:t>лансируется только на определенных ре</w:t>
      </w:r>
      <w:r w:rsidRPr="00D03F3E">
        <w:rPr>
          <w:rFonts w:ascii="Times New Roman" w:hAnsi="Times New Roman"/>
          <w:color w:val="0070C0"/>
          <w:sz w:val="16"/>
          <w:szCs w:val="16"/>
        </w:rPr>
        <w:softHyphen/>
        <w:t>жимах и центровках: при наборе высо</w:t>
      </w:r>
      <w:r w:rsidRPr="00D03F3E">
        <w:rPr>
          <w:rFonts w:ascii="Times New Roman" w:hAnsi="Times New Roman"/>
          <w:color w:val="0070C0"/>
          <w:sz w:val="16"/>
          <w:szCs w:val="16"/>
        </w:rPr>
        <w:softHyphen/>
        <w:t>ты - на скорости 155-160 км/ч, на пла</w:t>
      </w:r>
      <w:r w:rsidRPr="00D03F3E">
        <w:rPr>
          <w:rFonts w:ascii="Times New Roman" w:hAnsi="Times New Roman"/>
          <w:color w:val="0070C0"/>
          <w:sz w:val="16"/>
          <w:szCs w:val="16"/>
        </w:rPr>
        <w:softHyphen/>
        <w:t>нировании - на скорости 180-190 км/ч, и в горизонтальном полете - на скорости 160-170 км/ч.</w:t>
      </w:r>
    </w:p>
    <w:p w14:paraId="20A6189D"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Самолет характеризовался недоста</w:t>
      </w:r>
      <w:r w:rsidRPr="00D03F3E">
        <w:rPr>
          <w:rFonts w:ascii="Times New Roman" w:hAnsi="Times New Roman"/>
          <w:color w:val="0070C0"/>
          <w:sz w:val="16"/>
          <w:szCs w:val="16"/>
        </w:rPr>
        <w:softHyphen/>
        <w:t>точной путевой и близкой к нейтральной поперечной устойчивостью. Руля высоты для трехточечной посадки при предель</w:t>
      </w:r>
      <w:r w:rsidRPr="00D03F3E">
        <w:rPr>
          <w:rFonts w:ascii="Times New Roman" w:hAnsi="Times New Roman"/>
          <w:color w:val="0070C0"/>
          <w:sz w:val="16"/>
          <w:szCs w:val="16"/>
        </w:rPr>
        <w:softHyphen/>
        <w:t>но передней центровке 26,7% САХ хвата</w:t>
      </w:r>
      <w:r w:rsidRPr="00D03F3E">
        <w:rPr>
          <w:rFonts w:ascii="Times New Roman" w:hAnsi="Times New Roman"/>
          <w:color w:val="0070C0"/>
          <w:sz w:val="16"/>
          <w:szCs w:val="16"/>
        </w:rPr>
        <w:softHyphen/>
        <w:t>ет, но запас мал. Вводить самолет в пики</w:t>
      </w:r>
      <w:r w:rsidRPr="00D03F3E">
        <w:rPr>
          <w:rFonts w:ascii="Times New Roman" w:hAnsi="Times New Roman"/>
          <w:color w:val="0070C0"/>
          <w:sz w:val="16"/>
          <w:szCs w:val="16"/>
        </w:rPr>
        <w:softHyphen/>
        <w:t>рование с газом очень тяжело.</w:t>
      </w:r>
    </w:p>
    <w:p w14:paraId="1F0B03D2"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полете сильно задувает в кабину с пола. В горизонтальном полете и на пи</w:t>
      </w:r>
      <w:r w:rsidRPr="00D03F3E">
        <w:rPr>
          <w:rFonts w:ascii="Times New Roman" w:hAnsi="Times New Roman"/>
          <w:color w:val="0070C0"/>
          <w:sz w:val="16"/>
          <w:szCs w:val="16"/>
        </w:rPr>
        <w:softHyphen/>
        <w:t>кировании «винты дают раскрутку, поэто</w:t>
      </w:r>
      <w:r w:rsidRPr="00D03F3E">
        <w:rPr>
          <w:rFonts w:ascii="Times New Roman" w:hAnsi="Times New Roman"/>
          <w:color w:val="0070C0"/>
          <w:sz w:val="16"/>
          <w:szCs w:val="16"/>
        </w:rPr>
        <w:softHyphen/>
        <w:t>му полностью использовать мощность мо</w:t>
      </w:r>
      <w:r w:rsidRPr="00D03F3E">
        <w:rPr>
          <w:rFonts w:ascii="Times New Roman" w:hAnsi="Times New Roman"/>
          <w:color w:val="0070C0"/>
          <w:sz w:val="16"/>
          <w:szCs w:val="16"/>
        </w:rPr>
        <w:softHyphen/>
        <w:t>торов невозможно».</w:t>
      </w:r>
    </w:p>
    <w:p w14:paraId="049E5F64"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Диапазон возможных скоростей по</w:t>
      </w:r>
      <w:r w:rsidRPr="00D03F3E">
        <w:rPr>
          <w:rFonts w:ascii="Times New Roman" w:hAnsi="Times New Roman"/>
          <w:color w:val="0070C0"/>
          <w:sz w:val="16"/>
          <w:szCs w:val="16"/>
        </w:rPr>
        <w:softHyphen/>
        <w:t>лета («при большой минимальной ско</w:t>
      </w:r>
      <w:r w:rsidRPr="00D03F3E">
        <w:rPr>
          <w:rFonts w:ascii="Times New Roman" w:hAnsi="Times New Roman"/>
          <w:color w:val="0070C0"/>
          <w:sz w:val="16"/>
          <w:szCs w:val="16"/>
        </w:rPr>
        <w:softHyphen/>
        <w:t>рости») сочли совершенно недостаточ</w:t>
      </w:r>
      <w:r w:rsidRPr="00D03F3E">
        <w:rPr>
          <w:rFonts w:ascii="Times New Roman" w:hAnsi="Times New Roman"/>
          <w:color w:val="0070C0"/>
          <w:sz w:val="16"/>
          <w:szCs w:val="16"/>
        </w:rPr>
        <w:softHyphen/>
        <w:t>ным для выполнения маневров при по</w:t>
      </w:r>
      <w:r w:rsidRPr="00D03F3E">
        <w:rPr>
          <w:rFonts w:ascii="Times New Roman" w:hAnsi="Times New Roman"/>
          <w:color w:val="0070C0"/>
          <w:sz w:val="16"/>
          <w:szCs w:val="16"/>
        </w:rPr>
        <w:softHyphen/>
        <w:t>строении захода на цель и ухода от нее и при полетах в строю, особенно больши</w:t>
      </w:r>
      <w:r w:rsidRPr="00D03F3E">
        <w:rPr>
          <w:rFonts w:ascii="Times New Roman" w:hAnsi="Times New Roman"/>
          <w:color w:val="0070C0"/>
          <w:sz w:val="16"/>
          <w:szCs w:val="16"/>
        </w:rPr>
        <w:softHyphen/>
        <w:t>ми группами.</w:t>
      </w:r>
    </w:p>
    <w:p w14:paraId="4ABE3979"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Стрелковое и пушечное вооружение в ходе испытаний постоянно доводилось силами специалистов НИИ ВВС. На отра</w:t>
      </w:r>
      <w:r w:rsidRPr="00D03F3E">
        <w:rPr>
          <w:rFonts w:ascii="Times New Roman" w:hAnsi="Times New Roman"/>
          <w:color w:val="0070C0"/>
          <w:sz w:val="16"/>
          <w:szCs w:val="16"/>
        </w:rPr>
        <w:softHyphen/>
        <w:t>ботку оружия было выполнено И полетов. Стрельба велась в горизонтальном поле</w:t>
      </w:r>
      <w:r w:rsidRPr="00D03F3E">
        <w:rPr>
          <w:rFonts w:ascii="Times New Roman" w:hAnsi="Times New Roman"/>
          <w:color w:val="0070C0"/>
          <w:sz w:val="16"/>
          <w:szCs w:val="16"/>
        </w:rPr>
        <w:softHyphen/>
        <w:t>те и с пикирования. Из пушек всего было выполнено 1842 выстрела, в том числе: 454 - на земле, 1388 - в воздухе. Полу</w:t>
      </w:r>
      <w:r w:rsidRPr="00D03F3E">
        <w:rPr>
          <w:rFonts w:ascii="Times New Roman" w:hAnsi="Times New Roman"/>
          <w:color w:val="0070C0"/>
          <w:sz w:val="16"/>
          <w:szCs w:val="16"/>
        </w:rPr>
        <w:softHyphen/>
        <w:t>чено 6,8% задержек в стрельбе и три по</w:t>
      </w:r>
      <w:r w:rsidRPr="00D03F3E">
        <w:rPr>
          <w:rFonts w:ascii="Times New Roman" w:hAnsi="Times New Roman"/>
          <w:color w:val="0070C0"/>
          <w:sz w:val="16"/>
          <w:szCs w:val="16"/>
        </w:rPr>
        <w:softHyphen/>
        <w:t>ломки. Из пулемета УБК отстреляли в воз</w:t>
      </w:r>
      <w:r w:rsidRPr="00D03F3E">
        <w:rPr>
          <w:rFonts w:ascii="Times New Roman" w:hAnsi="Times New Roman"/>
          <w:color w:val="0070C0"/>
          <w:sz w:val="16"/>
          <w:szCs w:val="16"/>
        </w:rPr>
        <w:softHyphen/>
        <w:t>духе 875 и на земле 475 патронов. Было зафиксировано 10% задержек и четы</w:t>
      </w:r>
      <w:r w:rsidRPr="00D03F3E">
        <w:rPr>
          <w:rFonts w:ascii="Times New Roman" w:hAnsi="Times New Roman"/>
          <w:color w:val="0070C0"/>
          <w:sz w:val="16"/>
          <w:szCs w:val="16"/>
        </w:rPr>
        <w:softHyphen/>
        <w:t>ре поломки.</w:t>
      </w:r>
    </w:p>
    <w:p w14:paraId="7EAFAEFF"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Рассеивание определялось стрельбой в воздухе по щитам (12»12 м). Стрель</w:t>
      </w:r>
      <w:r w:rsidRPr="00D03F3E">
        <w:rPr>
          <w:rFonts w:ascii="Times New Roman" w:hAnsi="Times New Roman"/>
          <w:color w:val="0070C0"/>
          <w:sz w:val="16"/>
          <w:szCs w:val="16"/>
        </w:rPr>
        <w:softHyphen/>
        <w:t>ба велась с пикирования под углами 25-30’ с дистанции 800-900 м очередя</w:t>
      </w:r>
      <w:r w:rsidRPr="00D03F3E">
        <w:rPr>
          <w:rFonts w:ascii="Times New Roman" w:hAnsi="Times New Roman"/>
          <w:color w:val="0070C0"/>
          <w:sz w:val="16"/>
          <w:szCs w:val="16"/>
        </w:rPr>
        <w:softHyphen/>
        <w:t>ми по 2-10 снарядов.</w:t>
      </w:r>
    </w:p>
    <w:p w14:paraId="34D956E3"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Выяснилось, что при стрельбе из пу</w:t>
      </w:r>
      <w:r w:rsidRPr="00D03F3E">
        <w:rPr>
          <w:rFonts w:ascii="Times New Roman" w:hAnsi="Times New Roman"/>
          <w:color w:val="0070C0"/>
          <w:sz w:val="16"/>
          <w:szCs w:val="16"/>
        </w:rPr>
        <w:softHyphen/>
        <w:t>лемета УБК на скорости 150-160 км/ч самолет стремился кабрировать, а при стрельбе из пушек, наоборот - пикировать. При стрельбе из всех трех точек - из пу</w:t>
      </w:r>
      <w:r w:rsidRPr="00D03F3E">
        <w:rPr>
          <w:rFonts w:ascii="Times New Roman" w:hAnsi="Times New Roman"/>
          <w:color w:val="0070C0"/>
          <w:sz w:val="16"/>
          <w:szCs w:val="16"/>
        </w:rPr>
        <w:softHyphen/>
        <w:t>шек и пулемета, «моменты кабрирования и пикирования уравновешиваются, но са</w:t>
      </w:r>
      <w:r w:rsidRPr="00D03F3E">
        <w:rPr>
          <w:rFonts w:ascii="Times New Roman" w:hAnsi="Times New Roman"/>
          <w:color w:val="0070C0"/>
          <w:sz w:val="16"/>
          <w:szCs w:val="16"/>
        </w:rPr>
        <w:softHyphen/>
        <w:t>молет раскачивается и продолжительное время вести стрельбу невозможно».</w:t>
      </w:r>
    </w:p>
    <w:p w14:paraId="10E70BD3"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 стрельбе из пушек в горизон</w:t>
      </w:r>
      <w:r w:rsidRPr="00D03F3E">
        <w:rPr>
          <w:rFonts w:ascii="Times New Roman" w:hAnsi="Times New Roman"/>
          <w:color w:val="0070C0"/>
          <w:sz w:val="16"/>
          <w:szCs w:val="16"/>
        </w:rPr>
        <w:softHyphen/>
        <w:t>тальном полете длинными очередями до 10 снарядов самолет терял в скорости полета до 15 км/ч (примерно, 9% от мак</w:t>
      </w:r>
      <w:r w:rsidRPr="00D03F3E">
        <w:rPr>
          <w:rFonts w:ascii="Times New Roman" w:hAnsi="Times New Roman"/>
          <w:color w:val="0070C0"/>
          <w:sz w:val="16"/>
          <w:szCs w:val="16"/>
        </w:rPr>
        <w:softHyphen/>
        <w:t>симальной скорости). При этом самолет испытывал значительную тряску и лет</w:t>
      </w:r>
      <w:r w:rsidRPr="00D03F3E">
        <w:rPr>
          <w:rFonts w:ascii="Times New Roman" w:hAnsi="Times New Roman"/>
          <w:color w:val="0070C0"/>
          <w:sz w:val="16"/>
          <w:szCs w:val="16"/>
        </w:rPr>
        <w:softHyphen/>
        <w:t>чик не в состоянии при стрельбе удержи</w:t>
      </w:r>
      <w:r w:rsidRPr="00D03F3E">
        <w:rPr>
          <w:rFonts w:ascii="Times New Roman" w:hAnsi="Times New Roman"/>
          <w:color w:val="0070C0"/>
          <w:sz w:val="16"/>
          <w:szCs w:val="16"/>
        </w:rPr>
        <w:softHyphen/>
        <w:t>вать линию визирования на цели. При</w:t>
      </w:r>
      <w:r w:rsidRPr="00D03F3E">
        <w:rPr>
          <w:rFonts w:ascii="Times New Roman" w:hAnsi="Times New Roman"/>
          <w:color w:val="0070C0"/>
          <w:sz w:val="16"/>
          <w:szCs w:val="16"/>
        </w:rPr>
        <w:softHyphen/>
        <w:t>цельность стрельбы из пушек нарушалась уже после первых 1-2 выстрелов. Кро</w:t>
      </w:r>
      <w:r w:rsidRPr="00D03F3E">
        <w:rPr>
          <w:rFonts w:ascii="Times New Roman" w:hAnsi="Times New Roman"/>
          <w:color w:val="0070C0"/>
          <w:sz w:val="16"/>
          <w:szCs w:val="16"/>
        </w:rPr>
        <w:softHyphen/>
        <w:t>ме того, из-за слишком длинных пламе</w:t>
      </w:r>
      <w:r w:rsidRPr="00D03F3E">
        <w:rPr>
          <w:rFonts w:ascii="Times New Roman" w:hAnsi="Times New Roman"/>
          <w:color w:val="0070C0"/>
          <w:sz w:val="16"/>
          <w:szCs w:val="16"/>
        </w:rPr>
        <w:softHyphen/>
        <w:t>гасителей, стволы пушек при стрельбе сильно вибрировали. Все это вместе взя</w:t>
      </w:r>
      <w:r w:rsidRPr="00D03F3E">
        <w:rPr>
          <w:rFonts w:ascii="Times New Roman" w:hAnsi="Times New Roman"/>
          <w:color w:val="0070C0"/>
          <w:sz w:val="16"/>
          <w:szCs w:val="16"/>
        </w:rPr>
        <w:softHyphen/>
        <w:t>тое вызывало большое рассеивание сна</w:t>
      </w:r>
      <w:r w:rsidRPr="00D03F3E">
        <w:rPr>
          <w:rFonts w:ascii="Times New Roman" w:hAnsi="Times New Roman"/>
          <w:color w:val="0070C0"/>
          <w:sz w:val="16"/>
          <w:szCs w:val="16"/>
        </w:rPr>
        <w:softHyphen/>
        <w:t>рядов. Так, при стрельбе короткими оче</w:t>
      </w:r>
      <w:r w:rsidRPr="00D03F3E">
        <w:rPr>
          <w:rFonts w:ascii="Times New Roman" w:hAnsi="Times New Roman"/>
          <w:color w:val="0070C0"/>
          <w:sz w:val="16"/>
          <w:szCs w:val="16"/>
        </w:rPr>
        <w:softHyphen/>
        <w:t>редями (2-4 выстрела) боковое отклоне</w:t>
      </w:r>
      <w:r w:rsidRPr="00D03F3E">
        <w:rPr>
          <w:rFonts w:ascii="Times New Roman" w:hAnsi="Times New Roman"/>
          <w:color w:val="0070C0"/>
          <w:sz w:val="16"/>
          <w:szCs w:val="16"/>
        </w:rPr>
        <w:softHyphen/>
        <w:t>ние и отклонение по дальности достигало 7,2 и 15,2 м, соответственно. Прицеливать</w:t>
      </w:r>
      <w:r w:rsidRPr="00D03F3E">
        <w:rPr>
          <w:rFonts w:ascii="Times New Roman" w:hAnsi="Times New Roman"/>
          <w:color w:val="0070C0"/>
          <w:sz w:val="16"/>
          <w:szCs w:val="16"/>
        </w:rPr>
        <w:softHyphen/>
        <w:t>ся, используя кольцо и мушку, было край</w:t>
      </w:r>
      <w:r w:rsidRPr="00D03F3E">
        <w:rPr>
          <w:rFonts w:ascii="Times New Roman" w:hAnsi="Times New Roman"/>
          <w:color w:val="0070C0"/>
          <w:sz w:val="16"/>
          <w:szCs w:val="16"/>
        </w:rPr>
        <w:softHyphen/>
        <w:t>не неудобно. После первой очереди пой</w:t>
      </w:r>
      <w:r w:rsidRPr="00D03F3E">
        <w:rPr>
          <w:rFonts w:ascii="Times New Roman" w:hAnsi="Times New Roman"/>
          <w:color w:val="0070C0"/>
          <w:sz w:val="16"/>
          <w:szCs w:val="16"/>
        </w:rPr>
        <w:softHyphen/>
        <w:t>мать цель снова в прицел трудно, поэтому прицельно вести стрельбу по одной и той же цели невозможно. Не обеспечена пе</w:t>
      </w:r>
      <w:r w:rsidRPr="00D03F3E">
        <w:rPr>
          <w:rFonts w:ascii="Times New Roman" w:hAnsi="Times New Roman"/>
          <w:color w:val="0070C0"/>
          <w:sz w:val="16"/>
          <w:szCs w:val="16"/>
        </w:rPr>
        <w:softHyphen/>
        <w:t>резарядка пулемета в воздухе. Обзор лет</w:t>
      </w:r>
      <w:r w:rsidRPr="00D03F3E">
        <w:rPr>
          <w:rFonts w:ascii="Times New Roman" w:hAnsi="Times New Roman"/>
          <w:color w:val="0070C0"/>
          <w:sz w:val="16"/>
          <w:szCs w:val="16"/>
        </w:rPr>
        <w:softHyphen/>
        <w:t>чику вперед-вниз 15° признавался недо</w:t>
      </w:r>
      <w:r w:rsidRPr="00D03F3E">
        <w:rPr>
          <w:rFonts w:ascii="Times New Roman" w:hAnsi="Times New Roman"/>
          <w:color w:val="0070C0"/>
          <w:sz w:val="16"/>
          <w:szCs w:val="16"/>
        </w:rPr>
        <w:softHyphen/>
        <w:t>статочным.</w:t>
      </w:r>
    </w:p>
    <w:p w14:paraId="0ABD4A77"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Бомбовое вооружение в воздухе не испытывалось ввиду отсутствия при</w:t>
      </w:r>
      <w:r w:rsidRPr="00D03F3E">
        <w:rPr>
          <w:rFonts w:ascii="Times New Roman" w:hAnsi="Times New Roman"/>
          <w:color w:val="0070C0"/>
          <w:sz w:val="16"/>
          <w:szCs w:val="16"/>
        </w:rPr>
        <w:softHyphen/>
        <w:t>цела для бомбометания и изношенности шасси. Дело в том, что после полетов на определение летных данных и испытание стрелково-пушечного вооружения «Пегас» №01 пришел в негодность. Летать на нем было нельзя. Самолету требовался капи</w:t>
      </w:r>
      <w:r w:rsidRPr="00D03F3E">
        <w:rPr>
          <w:rFonts w:ascii="Times New Roman" w:hAnsi="Times New Roman"/>
          <w:color w:val="0070C0"/>
          <w:sz w:val="16"/>
          <w:szCs w:val="16"/>
        </w:rPr>
        <w:softHyphen/>
        <w:t>тальный ремонт.</w:t>
      </w:r>
    </w:p>
    <w:p w14:paraId="1ADE5C2C"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Мнение летчиков-испытателей было неутешительным. Основной вывод сво</w:t>
      </w:r>
      <w:r w:rsidRPr="00D03F3E">
        <w:rPr>
          <w:rFonts w:ascii="Times New Roman" w:hAnsi="Times New Roman"/>
          <w:color w:val="0070C0"/>
          <w:sz w:val="16"/>
          <w:szCs w:val="16"/>
        </w:rPr>
        <w:softHyphen/>
        <w:t>дился к тому, что полученные при испыта</w:t>
      </w:r>
      <w:r w:rsidRPr="00D03F3E">
        <w:rPr>
          <w:rFonts w:ascii="Times New Roman" w:hAnsi="Times New Roman"/>
          <w:color w:val="0070C0"/>
          <w:sz w:val="16"/>
          <w:szCs w:val="16"/>
        </w:rPr>
        <w:softHyphen/>
        <w:t>нии летно-боевые данные «не обеспечи</w:t>
      </w:r>
      <w:r w:rsidRPr="00D03F3E">
        <w:rPr>
          <w:rFonts w:ascii="Times New Roman" w:hAnsi="Times New Roman"/>
          <w:color w:val="0070C0"/>
          <w:sz w:val="16"/>
          <w:szCs w:val="16"/>
        </w:rPr>
        <w:softHyphen/>
        <w:t>вают для самолета «Пегас» успешного вы</w:t>
      </w:r>
      <w:r w:rsidRPr="00D03F3E">
        <w:rPr>
          <w:rFonts w:ascii="Times New Roman" w:hAnsi="Times New Roman"/>
          <w:color w:val="0070C0"/>
          <w:sz w:val="16"/>
          <w:szCs w:val="16"/>
        </w:rPr>
        <w:softHyphen/>
        <w:t>полнения боевых задач» в качестве штур</w:t>
      </w:r>
      <w:r w:rsidRPr="00D03F3E">
        <w:rPr>
          <w:rFonts w:ascii="Times New Roman" w:hAnsi="Times New Roman"/>
          <w:color w:val="0070C0"/>
          <w:sz w:val="16"/>
          <w:szCs w:val="16"/>
        </w:rPr>
        <w:softHyphen/>
        <w:t>мовика и легкого бомбардировщика.</w:t>
      </w:r>
    </w:p>
    <w:p w14:paraId="5F82CC83"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Боевую живучесть машины сочли со</w:t>
      </w:r>
      <w:r w:rsidRPr="00D03F3E">
        <w:rPr>
          <w:rFonts w:ascii="Times New Roman" w:hAnsi="Times New Roman"/>
          <w:color w:val="0070C0"/>
          <w:sz w:val="16"/>
          <w:szCs w:val="16"/>
        </w:rPr>
        <w:softHyphen/>
        <w:t>вершенно недостаточной: «Бронирова</w:t>
      </w:r>
      <w:r w:rsidRPr="00D03F3E">
        <w:rPr>
          <w:rFonts w:ascii="Times New Roman" w:hAnsi="Times New Roman"/>
          <w:color w:val="0070C0"/>
          <w:sz w:val="16"/>
          <w:szCs w:val="16"/>
        </w:rPr>
        <w:softHyphen/>
        <w:t>ние летчика обеспечивает защиту толь</w:t>
      </w:r>
      <w:r w:rsidRPr="00D03F3E">
        <w:rPr>
          <w:rFonts w:ascii="Times New Roman" w:hAnsi="Times New Roman"/>
          <w:color w:val="0070C0"/>
          <w:sz w:val="16"/>
          <w:szCs w:val="16"/>
        </w:rPr>
        <w:softHyphen/>
        <w:t>ко от пуль калибра 7,62 мм с дистанции 700-1000 м. Недостаточная угловая за</w:t>
      </w:r>
      <w:r w:rsidRPr="00D03F3E">
        <w:rPr>
          <w:rFonts w:ascii="Times New Roman" w:hAnsi="Times New Roman"/>
          <w:color w:val="0070C0"/>
          <w:sz w:val="16"/>
          <w:szCs w:val="16"/>
        </w:rPr>
        <w:softHyphen/>
        <w:t>щита летчика головы спереди (малая пло</w:t>
      </w:r>
      <w:r w:rsidRPr="00D03F3E">
        <w:rPr>
          <w:rFonts w:ascii="Times New Roman" w:hAnsi="Times New Roman"/>
          <w:color w:val="0070C0"/>
          <w:sz w:val="16"/>
          <w:szCs w:val="16"/>
        </w:rPr>
        <w:softHyphen/>
        <w:t>щадь прозрачной брони) на козырьке. Не</w:t>
      </w:r>
      <w:r w:rsidRPr="00D03F3E">
        <w:rPr>
          <w:rFonts w:ascii="Times New Roman" w:hAnsi="Times New Roman"/>
          <w:color w:val="0070C0"/>
          <w:sz w:val="16"/>
          <w:szCs w:val="16"/>
        </w:rPr>
        <w:softHyphen/>
        <w:t>достаточная броня сзади от пуль калибра 12,7мм и выше./.../Нет брони моторов, основные бензобаки не защищены, нет протектора и нет системы нейтральных газов./..У Сброс бензобаков не исключает пожара, так как летчик может не засечь его начало, противопожарная перегород</w:t>
      </w:r>
      <w:r w:rsidRPr="00D03F3E">
        <w:rPr>
          <w:rFonts w:ascii="Times New Roman" w:hAnsi="Times New Roman"/>
          <w:color w:val="0070C0"/>
          <w:sz w:val="16"/>
          <w:szCs w:val="16"/>
        </w:rPr>
        <w:softHyphen/>
        <w:t>ка отсутствует. /.../ При малых горизон</w:t>
      </w:r>
      <w:r w:rsidRPr="00D03F3E">
        <w:rPr>
          <w:rFonts w:ascii="Times New Roman" w:hAnsi="Times New Roman"/>
          <w:color w:val="0070C0"/>
          <w:sz w:val="16"/>
          <w:szCs w:val="16"/>
        </w:rPr>
        <w:softHyphen/>
        <w:t>тальных скоростях легко уязвим от на</w:t>
      </w:r>
      <w:r w:rsidRPr="00D03F3E">
        <w:rPr>
          <w:rFonts w:ascii="Times New Roman" w:hAnsi="Times New Roman"/>
          <w:color w:val="0070C0"/>
          <w:sz w:val="16"/>
          <w:szCs w:val="16"/>
        </w:rPr>
        <w:softHyphen/>
        <w:t>земного огня, плохая маневренность (вре</w:t>
      </w:r>
      <w:r w:rsidRPr="00D03F3E">
        <w:rPr>
          <w:rFonts w:ascii="Times New Roman" w:hAnsi="Times New Roman"/>
          <w:color w:val="0070C0"/>
          <w:sz w:val="16"/>
          <w:szCs w:val="16"/>
        </w:rPr>
        <w:softHyphen/>
        <w:t>мя виража на 1000 м - 40 сек) делает его беззащитным перед истребительной ави</w:t>
      </w:r>
      <w:r w:rsidRPr="00D03F3E">
        <w:rPr>
          <w:rFonts w:ascii="Times New Roman" w:hAnsi="Times New Roman"/>
          <w:color w:val="0070C0"/>
          <w:sz w:val="16"/>
          <w:szCs w:val="16"/>
        </w:rPr>
        <w:softHyphen/>
        <w:t>ацией противника, что приведет к боль</w:t>
      </w:r>
      <w:r w:rsidRPr="00D03F3E">
        <w:rPr>
          <w:rFonts w:ascii="Times New Roman" w:hAnsi="Times New Roman"/>
          <w:color w:val="0070C0"/>
          <w:sz w:val="16"/>
          <w:szCs w:val="16"/>
        </w:rPr>
        <w:softHyphen/>
        <w:t>шим потерям летчиков и матчасти».</w:t>
      </w:r>
    </w:p>
    <w:p w14:paraId="37ECB733"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Констатировалось, что по технике пи</w:t>
      </w:r>
      <w:r w:rsidRPr="00D03F3E">
        <w:rPr>
          <w:rFonts w:ascii="Times New Roman" w:hAnsi="Times New Roman"/>
          <w:color w:val="0070C0"/>
          <w:sz w:val="16"/>
          <w:szCs w:val="16"/>
        </w:rPr>
        <w:softHyphen/>
        <w:t>лотирования самолет недоступен «мас</w:t>
      </w:r>
      <w:r w:rsidRPr="00D03F3E">
        <w:rPr>
          <w:rFonts w:ascii="Times New Roman" w:hAnsi="Times New Roman"/>
          <w:color w:val="0070C0"/>
          <w:sz w:val="16"/>
          <w:szCs w:val="16"/>
        </w:rPr>
        <w:softHyphen/>
        <w:t>совому летному составу, из-за малого ди</w:t>
      </w:r>
      <w:r w:rsidRPr="00D03F3E">
        <w:rPr>
          <w:rFonts w:ascii="Times New Roman" w:hAnsi="Times New Roman"/>
          <w:color w:val="0070C0"/>
          <w:sz w:val="16"/>
          <w:szCs w:val="16"/>
        </w:rPr>
        <w:softHyphen/>
        <w:t>апазона скорости (20-25 км/ч) между максимальной и эволютивной», недоста</w:t>
      </w:r>
      <w:r w:rsidRPr="00D03F3E">
        <w:rPr>
          <w:rFonts w:ascii="Times New Roman" w:hAnsi="Times New Roman"/>
          <w:color w:val="0070C0"/>
          <w:sz w:val="16"/>
          <w:szCs w:val="16"/>
        </w:rPr>
        <w:softHyphen/>
        <w:t>точной боковой устойчивости и кру</w:t>
      </w:r>
      <w:r w:rsidRPr="00D03F3E">
        <w:rPr>
          <w:rFonts w:ascii="Times New Roman" w:hAnsi="Times New Roman"/>
          <w:color w:val="0070C0"/>
          <w:sz w:val="16"/>
          <w:szCs w:val="16"/>
        </w:rPr>
        <w:softHyphen/>
        <w:t>той глиссады планирования. К полетам на «Пегасе» допускались только летчики с летной подготовкой не ниже средней и лишь днем в простых метеоусловиях.</w:t>
      </w:r>
    </w:p>
    <w:p w14:paraId="0F3CF1CD"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Боевое применение имело смысл в перегрузочном варианте нагрузки, «но в этом случае прочность шасси не обеспечивает длительной эксплуатации самолета».</w:t>
      </w:r>
    </w:p>
    <w:p w14:paraId="301509E2"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Прицельная стрельба из пушек воз</w:t>
      </w:r>
      <w:r w:rsidRPr="00D03F3E">
        <w:rPr>
          <w:rFonts w:ascii="Times New Roman" w:hAnsi="Times New Roman"/>
          <w:color w:val="0070C0"/>
          <w:sz w:val="16"/>
          <w:szCs w:val="16"/>
        </w:rPr>
        <w:softHyphen/>
        <w:t>можна только очередями по 2-4 снаря</w:t>
      </w:r>
      <w:r w:rsidRPr="00D03F3E">
        <w:rPr>
          <w:rFonts w:ascii="Times New Roman" w:hAnsi="Times New Roman"/>
          <w:color w:val="0070C0"/>
          <w:sz w:val="16"/>
          <w:szCs w:val="16"/>
        </w:rPr>
        <w:softHyphen/>
        <w:t>да с восстановлением прицеливания по</w:t>
      </w:r>
      <w:r w:rsidRPr="00D03F3E">
        <w:rPr>
          <w:rFonts w:ascii="Times New Roman" w:hAnsi="Times New Roman"/>
          <w:color w:val="0070C0"/>
          <w:sz w:val="16"/>
          <w:szCs w:val="16"/>
        </w:rPr>
        <w:softHyphen/>
        <w:t>сле каждой очереди. Установка пушек ка</w:t>
      </w:r>
      <w:r w:rsidRPr="00D03F3E">
        <w:rPr>
          <w:rFonts w:ascii="Times New Roman" w:hAnsi="Times New Roman"/>
          <w:color w:val="0070C0"/>
          <w:sz w:val="16"/>
          <w:szCs w:val="16"/>
        </w:rPr>
        <w:softHyphen/>
        <w:t>либра 25 и 57 мм нецелесообразна из-за большой силы отдачи.</w:t>
      </w:r>
    </w:p>
    <w:p w14:paraId="3228F6B9"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 существующей конструкции но</w:t>
      </w:r>
      <w:r w:rsidRPr="00D03F3E">
        <w:rPr>
          <w:rFonts w:ascii="Times New Roman" w:hAnsi="Times New Roman"/>
          <w:color w:val="0070C0"/>
          <w:sz w:val="16"/>
          <w:szCs w:val="16"/>
        </w:rPr>
        <w:softHyphen/>
        <w:t>совой части, расположения брони и лет</w:t>
      </w:r>
      <w:r w:rsidRPr="00D03F3E">
        <w:rPr>
          <w:rFonts w:ascii="Times New Roman" w:hAnsi="Times New Roman"/>
          <w:color w:val="0070C0"/>
          <w:sz w:val="16"/>
          <w:szCs w:val="16"/>
        </w:rPr>
        <w:softHyphen/>
        <w:t>чика установка прицельных приспособле</w:t>
      </w:r>
      <w:r w:rsidRPr="00D03F3E">
        <w:rPr>
          <w:rFonts w:ascii="Times New Roman" w:hAnsi="Times New Roman"/>
          <w:color w:val="0070C0"/>
          <w:sz w:val="16"/>
          <w:szCs w:val="16"/>
        </w:rPr>
        <w:softHyphen/>
        <w:t>ний для бомбометания невозможна. Это исключает возможность бомбометания по целям ограниченных размеров.</w:t>
      </w:r>
    </w:p>
    <w:p w14:paraId="688DE5F4"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Применение второсортных материа</w:t>
      </w:r>
      <w:r w:rsidRPr="00D03F3E">
        <w:rPr>
          <w:rFonts w:ascii="Times New Roman" w:hAnsi="Times New Roman"/>
          <w:color w:val="0070C0"/>
          <w:sz w:val="16"/>
          <w:szCs w:val="16"/>
        </w:rPr>
        <w:softHyphen/>
        <w:t>лов в значительной мере удешевило про</w:t>
      </w:r>
      <w:r w:rsidRPr="00D03F3E">
        <w:rPr>
          <w:rFonts w:ascii="Times New Roman" w:hAnsi="Times New Roman"/>
          <w:color w:val="0070C0"/>
          <w:sz w:val="16"/>
          <w:szCs w:val="16"/>
        </w:rPr>
        <w:softHyphen/>
        <w:t>изводство самолета, но вместе с этим этот же факт сделал самолет недолговеч</w:t>
      </w:r>
      <w:r w:rsidRPr="00D03F3E">
        <w:rPr>
          <w:rFonts w:ascii="Times New Roman" w:hAnsi="Times New Roman"/>
          <w:color w:val="0070C0"/>
          <w:sz w:val="16"/>
          <w:szCs w:val="16"/>
        </w:rPr>
        <w:softHyphen/>
        <w:t>ным и одновременно привел к многочи</w:t>
      </w:r>
      <w:r w:rsidRPr="00D03F3E">
        <w:rPr>
          <w:rFonts w:ascii="Times New Roman" w:hAnsi="Times New Roman"/>
          <w:color w:val="0070C0"/>
          <w:sz w:val="16"/>
          <w:szCs w:val="16"/>
        </w:rPr>
        <w:softHyphen/>
        <w:t>сленным дефектам и поломкам в ходе эксплуатации.</w:t>
      </w:r>
    </w:p>
    <w:p w14:paraId="26BBBE2C"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Так, «в основных бензобаках, изго</w:t>
      </w:r>
      <w:r w:rsidRPr="00D03F3E">
        <w:rPr>
          <w:rFonts w:ascii="Times New Roman" w:hAnsi="Times New Roman"/>
          <w:color w:val="0070C0"/>
          <w:sz w:val="16"/>
          <w:szCs w:val="16"/>
        </w:rPr>
        <w:softHyphen/>
        <w:t>товленных из низкосортного листово</w:t>
      </w:r>
      <w:r w:rsidRPr="00D03F3E">
        <w:rPr>
          <w:rFonts w:ascii="Times New Roman" w:hAnsi="Times New Roman"/>
          <w:color w:val="0070C0"/>
          <w:sz w:val="16"/>
          <w:szCs w:val="16"/>
        </w:rPr>
        <w:softHyphen/>
        <w:t>го материала, образуется постоянная течь по швам и заклепкам». Ленты крепле</w:t>
      </w:r>
      <w:r w:rsidRPr="00D03F3E">
        <w:rPr>
          <w:rFonts w:ascii="Times New Roman" w:hAnsi="Times New Roman"/>
          <w:color w:val="0070C0"/>
          <w:sz w:val="16"/>
          <w:szCs w:val="16"/>
        </w:rPr>
        <w:softHyphen/>
        <w:t>ния маслобаков быстро приходили в не</w:t>
      </w:r>
      <w:r w:rsidRPr="00D03F3E">
        <w:rPr>
          <w:rFonts w:ascii="Times New Roman" w:hAnsi="Times New Roman"/>
          <w:color w:val="0070C0"/>
          <w:sz w:val="16"/>
          <w:szCs w:val="16"/>
        </w:rPr>
        <w:softHyphen/>
        <w:t>годность и разрушались. Маслобаки начи</w:t>
      </w:r>
      <w:r w:rsidRPr="00D03F3E">
        <w:rPr>
          <w:rFonts w:ascii="Times New Roman" w:hAnsi="Times New Roman"/>
          <w:color w:val="0070C0"/>
          <w:sz w:val="16"/>
          <w:szCs w:val="16"/>
        </w:rPr>
        <w:softHyphen/>
        <w:t>нали вибрировать, что приводило к течи по швам и в местах пайки. Прочность об</w:t>
      </w:r>
      <w:r w:rsidRPr="00D03F3E">
        <w:rPr>
          <w:rFonts w:ascii="Times New Roman" w:hAnsi="Times New Roman"/>
          <w:color w:val="0070C0"/>
          <w:sz w:val="16"/>
          <w:szCs w:val="16"/>
        </w:rPr>
        <w:softHyphen/>
        <w:t>шивки центроплана не обеспечивала сво</w:t>
      </w:r>
      <w:r w:rsidRPr="00D03F3E">
        <w:rPr>
          <w:rFonts w:ascii="Times New Roman" w:hAnsi="Times New Roman"/>
          <w:color w:val="0070C0"/>
          <w:sz w:val="16"/>
          <w:szCs w:val="16"/>
        </w:rPr>
        <w:softHyphen/>
        <w:t>бодный проход к горловинам бензо- и маслобаков при заправке, обшивка де</w:t>
      </w:r>
      <w:r w:rsidRPr="00D03F3E">
        <w:rPr>
          <w:rFonts w:ascii="Times New Roman" w:hAnsi="Times New Roman"/>
          <w:color w:val="0070C0"/>
          <w:sz w:val="16"/>
          <w:szCs w:val="16"/>
        </w:rPr>
        <w:softHyphen/>
        <w:t>формировалась и проламывалась. Фанер</w:t>
      </w:r>
      <w:r w:rsidRPr="00D03F3E">
        <w:rPr>
          <w:rFonts w:ascii="Times New Roman" w:hAnsi="Times New Roman"/>
          <w:color w:val="0070C0"/>
          <w:sz w:val="16"/>
          <w:szCs w:val="16"/>
        </w:rPr>
        <w:softHyphen/>
        <w:t>ная обшивка самолета везде покрылась трещинами и шелушилась.</w:t>
      </w:r>
    </w:p>
    <w:p w14:paraId="0B7B737B"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Кроме того, низкое расположение мо</w:t>
      </w:r>
      <w:r w:rsidRPr="00D03F3E">
        <w:rPr>
          <w:rFonts w:ascii="Times New Roman" w:hAnsi="Times New Roman"/>
          <w:color w:val="0070C0"/>
          <w:sz w:val="16"/>
          <w:szCs w:val="16"/>
        </w:rPr>
        <w:softHyphen/>
        <w:t>торов (под крылом) не позволяло запу</w:t>
      </w:r>
      <w:r w:rsidRPr="00D03F3E">
        <w:rPr>
          <w:rFonts w:ascii="Times New Roman" w:hAnsi="Times New Roman"/>
          <w:color w:val="0070C0"/>
          <w:sz w:val="16"/>
          <w:szCs w:val="16"/>
        </w:rPr>
        <w:softHyphen/>
        <w:t>скать моторы при помощи автостартера и не обеспечивало необходимого рассто</w:t>
      </w:r>
      <w:r w:rsidRPr="00D03F3E">
        <w:rPr>
          <w:rFonts w:ascii="Times New Roman" w:hAnsi="Times New Roman"/>
          <w:color w:val="0070C0"/>
          <w:sz w:val="16"/>
          <w:szCs w:val="16"/>
        </w:rPr>
        <w:softHyphen/>
        <w:t>яния между концами лопастей винтов и землей в линии полета.</w:t>
      </w:r>
    </w:p>
    <w:p w14:paraId="1A09F2D4"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Помимо летчиков НИИ ВВС, «Пегас» облетал инспектор Управления боевой подготовки ВВС КА гвардии подполковник К.Н. Холобаев, который в составе 4-го шап (с 7 марта 1942 г. - 7-й гшап) был одним из первых, кто применил бронированный штурмовик Ил-2 на фронтах войны.</w:t>
      </w:r>
    </w:p>
    <w:p w14:paraId="0AB56AE3"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После облета Холобаев отметил, что вследствие небольшой скорости, низ</w:t>
      </w:r>
      <w:r w:rsidRPr="00D03F3E">
        <w:rPr>
          <w:rFonts w:ascii="Times New Roman" w:hAnsi="Times New Roman"/>
          <w:color w:val="0070C0"/>
          <w:sz w:val="16"/>
          <w:szCs w:val="16"/>
        </w:rPr>
        <w:softHyphen/>
        <w:t>кой маневренности, а также недостаточ</w:t>
      </w:r>
      <w:r w:rsidRPr="00D03F3E">
        <w:rPr>
          <w:rFonts w:ascii="Times New Roman" w:hAnsi="Times New Roman"/>
          <w:color w:val="0070C0"/>
          <w:sz w:val="16"/>
          <w:szCs w:val="16"/>
        </w:rPr>
        <w:softHyphen/>
        <w:t>ных мер боевой живучести противотан</w:t>
      </w:r>
      <w:r w:rsidRPr="00D03F3E">
        <w:rPr>
          <w:rFonts w:ascii="Times New Roman" w:hAnsi="Times New Roman"/>
          <w:color w:val="0070C0"/>
          <w:sz w:val="16"/>
          <w:szCs w:val="16"/>
        </w:rPr>
        <w:softHyphen/>
        <w:t>ковый «Пегас» легко уязвим от огня зе</w:t>
      </w:r>
      <w:r w:rsidRPr="00D03F3E">
        <w:rPr>
          <w:rFonts w:ascii="Times New Roman" w:hAnsi="Times New Roman"/>
          <w:color w:val="0070C0"/>
          <w:sz w:val="16"/>
          <w:szCs w:val="16"/>
        </w:rPr>
        <w:softHyphen/>
        <w:t>нитной артиллерии. Возможность бом бометания только по площадным целям «делает самолет неэффективным в борь</w:t>
      </w:r>
      <w:r w:rsidRPr="00D03F3E">
        <w:rPr>
          <w:rFonts w:ascii="Times New Roman" w:hAnsi="Times New Roman"/>
          <w:color w:val="0070C0"/>
          <w:sz w:val="16"/>
          <w:szCs w:val="16"/>
        </w:rPr>
        <w:softHyphen/>
        <w:t>бе с танками». В то же время «действо</w:t>
      </w:r>
      <w:r w:rsidRPr="00D03F3E">
        <w:rPr>
          <w:rFonts w:ascii="Times New Roman" w:hAnsi="Times New Roman"/>
          <w:color w:val="0070C0"/>
          <w:sz w:val="16"/>
          <w:szCs w:val="16"/>
        </w:rPr>
        <w:softHyphen/>
        <w:t>вать по живой силе с бреющего полета также нельзя».</w:t>
      </w:r>
    </w:p>
    <w:p w14:paraId="6CD23EF5"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таком виде, в котором он предъ</w:t>
      </w:r>
      <w:r w:rsidRPr="00D03F3E">
        <w:rPr>
          <w:rFonts w:ascii="Times New Roman" w:hAnsi="Times New Roman"/>
          <w:color w:val="0070C0"/>
          <w:sz w:val="16"/>
          <w:szCs w:val="16"/>
        </w:rPr>
        <w:softHyphen/>
        <w:t>явлен на государственные испытания, в условиях боевой обстановки самолет эксплуатироваться не может», - записал в своем отзыве Холобаев.</w:t>
      </w:r>
    </w:p>
    <w:p w14:paraId="58C63B8E"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Общий итог результатов испыта</w:t>
      </w:r>
      <w:r w:rsidRPr="00D03F3E">
        <w:rPr>
          <w:rFonts w:ascii="Times New Roman" w:hAnsi="Times New Roman"/>
          <w:color w:val="0070C0"/>
          <w:sz w:val="16"/>
          <w:szCs w:val="16"/>
        </w:rPr>
        <w:softHyphen/>
        <w:t>ний был сформулирован в официаль</w:t>
      </w:r>
      <w:r w:rsidRPr="00D03F3E">
        <w:rPr>
          <w:rFonts w:ascii="Times New Roman" w:hAnsi="Times New Roman"/>
          <w:color w:val="0070C0"/>
          <w:sz w:val="16"/>
          <w:szCs w:val="16"/>
        </w:rPr>
        <w:softHyphen/>
        <w:t>ных выводах отчета: «Самолет, предназ</w:t>
      </w:r>
      <w:r w:rsidRPr="00D03F3E">
        <w:rPr>
          <w:rFonts w:ascii="Times New Roman" w:hAnsi="Times New Roman"/>
          <w:color w:val="0070C0"/>
          <w:sz w:val="16"/>
          <w:szCs w:val="16"/>
        </w:rPr>
        <w:softHyphen/>
        <w:t>наченный как штурмовик, использован над полем боя быть не может из-за пло</w:t>
      </w:r>
      <w:r w:rsidRPr="00D03F3E">
        <w:rPr>
          <w:rFonts w:ascii="Times New Roman" w:hAnsi="Times New Roman"/>
          <w:color w:val="0070C0"/>
          <w:sz w:val="16"/>
          <w:szCs w:val="16"/>
        </w:rPr>
        <w:softHyphen/>
        <w:t>хой маневренности, малой скорости, пло</w:t>
      </w:r>
      <w:r w:rsidRPr="00D03F3E">
        <w:rPr>
          <w:rFonts w:ascii="Times New Roman" w:hAnsi="Times New Roman"/>
          <w:color w:val="0070C0"/>
          <w:sz w:val="16"/>
          <w:szCs w:val="16"/>
        </w:rPr>
        <w:softHyphen/>
        <w:t>хой прицельности, большого рассеивания при стрельбе, плохого обзора и малой жи</w:t>
      </w:r>
      <w:r w:rsidRPr="00D03F3E">
        <w:rPr>
          <w:rFonts w:ascii="Times New Roman" w:hAnsi="Times New Roman"/>
          <w:color w:val="0070C0"/>
          <w:sz w:val="16"/>
          <w:szCs w:val="16"/>
        </w:rPr>
        <w:softHyphen/>
        <w:t>вучести. Все это делает его уязвимым от различного огня, особенно в дневное вре</w:t>
      </w:r>
      <w:r w:rsidRPr="00D03F3E">
        <w:rPr>
          <w:rFonts w:ascii="Times New Roman" w:hAnsi="Times New Roman"/>
          <w:color w:val="0070C0"/>
          <w:sz w:val="16"/>
          <w:szCs w:val="16"/>
        </w:rPr>
        <w:softHyphen/>
        <w:t>мя». Вывод подписали: помощник началь</w:t>
      </w:r>
      <w:r w:rsidRPr="00D03F3E">
        <w:rPr>
          <w:rFonts w:ascii="Times New Roman" w:hAnsi="Times New Roman"/>
          <w:color w:val="0070C0"/>
          <w:sz w:val="16"/>
          <w:szCs w:val="16"/>
        </w:rPr>
        <w:softHyphen/>
        <w:t>ника 3-го отдела по летной части подпол</w:t>
      </w:r>
      <w:r w:rsidRPr="00D03F3E">
        <w:rPr>
          <w:rFonts w:ascii="Times New Roman" w:hAnsi="Times New Roman"/>
          <w:color w:val="0070C0"/>
          <w:sz w:val="16"/>
          <w:szCs w:val="16"/>
        </w:rPr>
        <w:softHyphen/>
        <w:t>ковник Хомяков, начальник 4-го отделе</w:t>
      </w:r>
      <w:r w:rsidRPr="00D03F3E">
        <w:rPr>
          <w:rFonts w:ascii="Times New Roman" w:hAnsi="Times New Roman"/>
          <w:color w:val="0070C0"/>
          <w:sz w:val="16"/>
          <w:szCs w:val="16"/>
        </w:rPr>
        <w:softHyphen/>
        <w:t>ния 3-го отдела НИИ ВВС майор Холопов, ведущий инженер 3-го отдела майор Аб- рощенко и ведущий летчик подполков</w:t>
      </w:r>
      <w:r w:rsidRPr="00D03F3E">
        <w:rPr>
          <w:rFonts w:ascii="Times New Roman" w:hAnsi="Times New Roman"/>
          <w:color w:val="0070C0"/>
          <w:sz w:val="16"/>
          <w:szCs w:val="16"/>
        </w:rPr>
        <w:softHyphen/>
        <w:t>ник Жданов.</w:t>
      </w:r>
    </w:p>
    <w:p w14:paraId="47E7AED8"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заключении отчета констатирова</w:t>
      </w:r>
      <w:r w:rsidRPr="00D03F3E">
        <w:rPr>
          <w:rFonts w:ascii="Times New Roman" w:hAnsi="Times New Roman"/>
          <w:color w:val="0070C0"/>
          <w:sz w:val="16"/>
          <w:szCs w:val="16"/>
        </w:rPr>
        <w:softHyphen/>
        <w:t>лось, что самолет «Пегас» «государствен</w:t>
      </w:r>
      <w:r w:rsidRPr="00D03F3E">
        <w:rPr>
          <w:rFonts w:ascii="Times New Roman" w:hAnsi="Times New Roman"/>
          <w:color w:val="0070C0"/>
          <w:sz w:val="16"/>
          <w:szCs w:val="16"/>
        </w:rPr>
        <w:softHyphen/>
        <w:t>ные испытания не выдержал; дальнейшие работы по доводке самолета «Пегас» счи</w:t>
      </w:r>
      <w:r w:rsidRPr="00D03F3E">
        <w:rPr>
          <w:rFonts w:ascii="Times New Roman" w:hAnsi="Times New Roman"/>
          <w:color w:val="0070C0"/>
          <w:sz w:val="16"/>
          <w:szCs w:val="16"/>
        </w:rPr>
        <w:softHyphen/>
        <w:t>тать нецелесообразными». Предлагалось «испытанный экземпляр самолета оста</w:t>
      </w:r>
      <w:r w:rsidRPr="00D03F3E">
        <w:rPr>
          <w:rFonts w:ascii="Times New Roman" w:hAnsi="Times New Roman"/>
          <w:color w:val="0070C0"/>
          <w:sz w:val="16"/>
          <w:szCs w:val="16"/>
        </w:rPr>
        <w:softHyphen/>
        <w:t>вить в НИИ ВВС и использовать как ма</w:t>
      </w:r>
      <w:r w:rsidRPr="00D03F3E">
        <w:rPr>
          <w:rFonts w:ascii="Times New Roman" w:hAnsi="Times New Roman"/>
          <w:color w:val="0070C0"/>
          <w:sz w:val="16"/>
          <w:szCs w:val="16"/>
        </w:rPr>
        <w:softHyphen/>
        <w:t>кет для полигона», а оставшиеся четы</w:t>
      </w:r>
      <w:r w:rsidRPr="00D03F3E">
        <w:rPr>
          <w:rFonts w:ascii="Times New Roman" w:hAnsi="Times New Roman"/>
          <w:color w:val="0070C0"/>
          <w:sz w:val="16"/>
          <w:szCs w:val="16"/>
        </w:rPr>
        <w:softHyphen/>
        <w:t>ре опытных самолета, «заканчивающих</w:t>
      </w:r>
      <w:r w:rsidRPr="00D03F3E">
        <w:rPr>
          <w:rFonts w:ascii="Times New Roman" w:hAnsi="Times New Roman"/>
          <w:color w:val="0070C0"/>
          <w:sz w:val="16"/>
          <w:szCs w:val="16"/>
        </w:rPr>
        <w:softHyphen/>
        <w:t>ся постройкой на заводе №288, передать в один из запасных авиаполков для исполь</w:t>
      </w:r>
      <w:r w:rsidRPr="00D03F3E">
        <w:rPr>
          <w:rFonts w:ascii="Times New Roman" w:hAnsi="Times New Roman"/>
          <w:color w:val="0070C0"/>
          <w:sz w:val="16"/>
          <w:szCs w:val="16"/>
        </w:rPr>
        <w:softHyphen/>
        <w:t>зования в качестве мишеней в целях тре</w:t>
      </w:r>
      <w:r w:rsidRPr="00D03F3E">
        <w:rPr>
          <w:rFonts w:ascii="Times New Roman" w:hAnsi="Times New Roman"/>
          <w:color w:val="0070C0"/>
          <w:sz w:val="16"/>
          <w:szCs w:val="16"/>
        </w:rPr>
        <w:softHyphen/>
        <w:t>нировок в стрельбе по наземным целям» (23181).</w:t>
      </w:r>
    </w:p>
    <w:p w14:paraId="1E2B82C4" w14:textId="77777777" w:rsidR="00676AD3" w:rsidRPr="00D03F3E" w:rsidRDefault="00676AD3" w:rsidP="00D03F3E">
      <w:pPr>
        <w:spacing w:after="0" w:line="240" w:lineRule="auto"/>
        <w:jc w:val="both"/>
        <w:rPr>
          <w:rFonts w:ascii="Times New Roman" w:hAnsi="Times New Roman"/>
          <w:color w:val="0070C0"/>
          <w:sz w:val="16"/>
          <w:szCs w:val="16"/>
        </w:rPr>
      </w:pPr>
    </w:p>
    <w:p w14:paraId="4E8173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1943 вышел приказ НКАП N 201с в развитие приказа НКАП N 131сс от 7 марта 1943 о постройке самолетов Ил-6 на заводе 39 (1703,101).</w:t>
      </w:r>
    </w:p>
    <w:p w14:paraId="57441E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5B48DD" w14:textId="77777777" w:rsidR="00D739F9" w:rsidRPr="00D03F3E" w:rsidRDefault="00D739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9 апреля 1943 в части 204-й бад, где проходили войсковые испытания самолеты Пе-2 со 2-й зоной НГ, выехали специалисты завода №156 и НИИ ВВС.</w:t>
      </w:r>
    </w:p>
    <w:p w14:paraId="28074631" w14:textId="77777777" w:rsidR="00D739F9" w:rsidRPr="00D03F3E" w:rsidRDefault="00D739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 20 апреля два эталонных самолета Пе-2 оборудовали системой НГ-2 по улучшенным схемам: один - на заводе №22 и один - в 204-й бад. Самолеты прошли наземные испытания с удовлетворительной оценкой работы системы НГ-2. Затем начались испытания НГ-2 в воздухе. В ходе полетов удалось получить необходимую температуру выхлопных газов на входе в заполняемые отсеки, но обеспечить потребную концентрацию газов в отсеках не получалось.</w:t>
      </w:r>
    </w:p>
    <w:p w14:paraId="3A1C7BAD" w14:textId="77777777" w:rsidR="00D739F9" w:rsidRPr="00D03F3E" w:rsidRDefault="00D739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общей сложности к 25 мая отработали и испытали семь различных вариантов 2-й зоны НГ для Пе-2. После обобщения результатов испытаний специалисты НИИ ВВС отобрали два варианта, которые рекомендовались «как временные для оборудования ими самолетов Пе-2, находящихся в войсковых частях». Одновременно было принято решение «впредь до отработки удовлетворительной серийной системы 2-й зоны НГ для самолета Пе-2» приостановить разработку аналогичных систем такого назначения для самолетов других типов (17733).</w:t>
      </w:r>
    </w:p>
    <w:p w14:paraId="71C16653" w14:textId="77777777" w:rsidR="00D739F9" w:rsidRPr="00D03F3E" w:rsidRDefault="00D739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37F6D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1943 согласно записи в журнале наблюдения за проектированием, постройкой и испытаниями МиГ-5 2АМ-37 и 2М-82 8 апреля закончили установку новых (беспоплавковых) карбюраторов, проходивших перерегулировку в ЦИАМе. Моторы 2 экз. ДИС (МиГ-5) с М-82 на земле работают нормально. С-т готов к летным испытаниям (из донесения Князева от 18 марта 1943). В связи с тем, что летный состав завода занят летными испытаниями других самолетов, полеты на с-те МиГ-5 не производились (из дорнесения Князева от 30 марта 1943) (990,8).</w:t>
      </w:r>
    </w:p>
    <w:p w14:paraId="6A8A18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DCAE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1943 были отпечатаны данные о с/с в 1942 и ценах на самолеты, планируемые к введению с 2 апреля 1943:</w:t>
      </w:r>
    </w:p>
    <w:p w14:paraId="031926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Ла-5 завода 21</w:t>
      </w:r>
    </w:p>
    <w:p w14:paraId="76EBE5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Як-1 завода 292</w:t>
      </w:r>
    </w:p>
    <w:p w14:paraId="52C97E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Як-7 завода 82</w:t>
      </w:r>
    </w:p>
    <w:p w14:paraId="16F905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Як-7 завода 153</w:t>
      </w:r>
    </w:p>
    <w:p w14:paraId="6A557C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Як-9 завода 153</w:t>
      </w:r>
    </w:p>
    <w:p w14:paraId="6C8337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Ил-2 завода 1:</w:t>
      </w:r>
    </w:p>
    <w:p w14:paraId="00F56D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"Разногласий с Госпланом нет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1843"/>
        <w:gridCol w:w="837"/>
        <w:gridCol w:w="837"/>
        <w:gridCol w:w="837"/>
        <w:gridCol w:w="2027"/>
      </w:tblGrid>
      <w:tr w:rsidR="00860B4B" w:rsidRPr="00D03F3E" w14:paraId="40B4DFBB" w14:textId="77777777">
        <w:tc>
          <w:tcPr>
            <w:tcW w:w="4077" w:type="dxa"/>
          </w:tcPr>
          <w:p w14:paraId="62829A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Действующая отпускная цена</w:t>
            </w:r>
          </w:p>
        </w:tc>
        <w:tc>
          <w:tcPr>
            <w:tcW w:w="1843" w:type="dxa"/>
          </w:tcPr>
          <w:p w14:paraId="476E2D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195.0 тыс. руб.</w:t>
            </w:r>
          </w:p>
        </w:tc>
        <w:tc>
          <w:tcPr>
            <w:tcW w:w="837" w:type="dxa"/>
          </w:tcPr>
          <w:p w14:paraId="68E07F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07974D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527C9B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27" w:type="dxa"/>
          </w:tcPr>
          <w:p w14:paraId="117496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A0F3DD6" w14:textId="77777777">
        <w:tc>
          <w:tcPr>
            <w:tcW w:w="4077" w:type="dxa"/>
          </w:tcPr>
          <w:p w14:paraId="75F7D1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Проектируемая отпускная цена с 1 апреля 1944</w:t>
            </w:r>
          </w:p>
        </w:tc>
        <w:tc>
          <w:tcPr>
            <w:tcW w:w="1843" w:type="dxa"/>
          </w:tcPr>
          <w:p w14:paraId="3F2E75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152.0 (с ВЯ 162.0)</w:t>
            </w:r>
          </w:p>
        </w:tc>
        <w:tc>
          <w:tcPr>
            <w:tcW w:w="837" w:type="dxa"/>
          </w:tcPr>
          <w:p w14:paraId="7458A5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07D14A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03309D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27" w:type="dxa"/>
          </w:tcPr>
          <w:p w14:paraId="7B1BF1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43A1A63" w14:textId="77777777">
        <w:tc>
          <w:tcPr>
            <w:tcW w:w="4077" w:type="dxa"/>
          </w:tcPr>
          <w:p w14:paraId="35C43C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Отчетная с/с за 1942</w:t>
            </w:r>
          </w:p>
        </w:tc>
        <w:tc>
          <w:tcPr>
            <w:tcW w:w="1843" w:type="dxa"/>
          </w:tcPr>
          <w:p w14:paraId="445B24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166.9</w:t>
            </w:r>
          </w:p>
        </w:tc>
        <w:tc>
          <w:tcPr>
            <w:tcW w:w="837" w:type="dxa"/>
          </w:tcPr>
          <w:p w14:paraId="77964C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5BF361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22E04D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27" w:type="dxa"/>
          </w:tcPr>
          <w:p w14:paraId="12063C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CBB5E75" w14:textId="77777777">
        <w:tc>
          <w:tcPr>
            <w:tcW w:w="4077" w:type="dxa"/>
          </w:tcPr>
          <w:p w14:paraId="1412F7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Динамика с/с</w:t>
            </w:r>
          </w:p>
        </w:tc>
        <w:tc>
          <w:tcPr>
            <w:tcW w:w="1843" w:type="dxa"/>
          </w:tcPr>
          <w:p w14:paraId="36B816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4F3320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778412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20D4D3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27" w:type="dxa"/>
          </w:tcPr>
          <w:p w14:paraId="1FD0EA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183E85B" w14:textId="77777777">
        <w:tc>
          <w:tcPr>
            <w:tcW w:w="4077" w:type="dxa"/>
          </w:tcPr>
          <w:p w14:paraId="2B2367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83BE2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1942</w:t>
            </w:r>
          </w:p>
        </w:tc>
        <w:tc>
          <w:tcPr>
            <w:tcW w:w="837" w:type="dxa"/>
          </w:tcPr>
          <w:p w14:paraId="7C78BE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3F292B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297E2D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1943</w:t>
            </w:r>
          </w:p>
        </w:tc>
        <w:tc>
          <w:tcPr>
            <w:tcW w:w="2027" w:type="dxa"/>
          </w:tcPr>
          <w:p w14:paraId="68A809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E008002" w14:textId="77777777">
        <w:tc>
          <w:tcPr>
            <w:tcW w:w="4077" w:type="dxa"/>
          </w:tcPr>
          <w:p w14:paraId="0C7595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5E2AF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Октябрь</w:t>
            </w:r>
          </w:p>
        </w:tc>
        <w:tc>
          <w:tcPr>
            <w:tcW w:w="837" w:type="dxa"/>
          </w:tcPr>
          <w:p w14:paraId="3481A3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Ноябрь</w:t>
            </w:r>
          </w:p>
        </w:tc>
        <w:tc>
          <w:tcPr>
            <w:tcW w:w="837" w:type="dxa"/>
          </w:tcPr>
          <w:p w14:paraId="6C6392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Декабрь</w:t>
            </w:r>
          </w:p>
        </w:tc>
        <w:tc>
          <w:tcPr>
            <w:tcW w:w="837" w:type="dxa"/>
          </w:tcPr>
          <w:p w14:paraId="42F903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Январь</w:t>
            </w:r>
          </w:p>
        </w:tc>
        <w:tc>
          <w:tcPr>
            <w:tcW w:w="2027" w:type="dxa"/>
          </w:tcPr>
          <w:p w14:paraId="660F24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Февраль</w:t>
            </w:r>
          </w:p>
        </w:tc>
      </w:tr>
      <w:tr w:rsidR="00860B4B" w:rsidRPr="00D03F3E" w14:paraId="0B09EB70" w14:textId="77777777">
        <w:tc>
          <w:tcPr>
            <w:tcW w:w="4077" w:type="dxa"/>
          </w:tcPr>
          <w:p w14:paraId="243BAC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Полная заводская с/с</w:t>
            </w:r>
          </w:p>
        </w:tc>
        <w:tc>
          <w:tcPr>
            <w:tcW w:w="1843" w:type="dxa"/>
          </w:tcPr>
          <w:p w14:paraId="205210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139.4</w:t>
            </w:r>
          </w:p>
        </w:tc>
        <w:tc>
          <w:tcPr>
            <w:tcW w:w="837" w:type="dxa"/>
          </w:tcPr>
          <w:p w14:paraId="074985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145.6</w:t>
            </w:r>
          </w:p>
        </w:tc>
        <w:tc>
          <w:tcPr>
            <w:tcW w:w="837" w:type="dxa"/>
          </w:tcPr>
          <w:p w14:paraId="2A829E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145.7</w:t>
            </w:r>
          </w:p>
        </w:tc>
        <w:tc>
          <w:tcPr>
            <w:tcW w:w="837" w:type="dxa"/>
          </w:tcPr>
          <w:p w14:paraId="6FF991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162.3</w:t>
            </w:r>
          </w:p>
        </w:tc>
        <w:tc>
          <w:tcPr>
            <w:tcW w:w="2027" w:type="dxa"/>
          </w:tcPr>
          <w:p w14:paraId="543EDF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159.3</w:t>
            </w:r>
          </w:p>
        </w:tc>
      </w:tr>
      <w:tr w:rsidR="00860B4B" w:rsidRPr="00D03F3E" w14:paraId="5AD171D3" w14:textId="77777777">
        <w:tc>
          <w:tcPr>
            <w:tcW w:w="4077" w:type="dxa"/>
          </w:tcPr>
          <w:p w14:paraId="1699E6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т.ч. собственные</w:t>
            </w:r>
          </w:p>
        </w:tc>
        <w:tc>
          <w:tcPr>
            <w:tcW w:w="1843" w:type="dxa"/>
          </w:tcPr>
          <w:p w14:paraId="2925F8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30C144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017001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40FB7B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27" w:type="dxa"/>
          </w:tcPr>
          <w:p w14:paraId="0ACFA3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385C667" w14:textId="77777777">
        <w:tc>
          <w:tcPr>
            <w:tcW w:w="4077" w:type="dxa"/>
          </w:tcPr>
          <w:p w14:paraId="30088F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затраты завода</w:t>
            </w:r>
          </w:p>
        </w:tc>
        <w:tc>
          <w:tcPr>
            <w:tcW w:w="1843" w:type="dxa"/>
          </w:tcPr>
          <w:p w14:paraId="537A12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82.3</w:t>
            </w:r>
          </w:p>
        </w:tc>
        <w:tc>
          <w:tcPr>
            <w:tcW w:w="837" w:type="dxa"/>
          </w:tcPr>
          <w:p w14:paraId="0D373A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85.9</w:t>
            </w:r>
          </w:p>
        </w:tc>
        <w:tc>
          <w:tcPr>
            <w:tcW w:w="837" w:type="dxa"/>
          </w:tcPr>
          <w:p w14:paraId="1ABA92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82.4</w:t>
            </w:r>
          </w:p>
        </w:tc>
        <w:tc>
          <w:tcPr>
            <w:tcW w:w="837" w:type="dxa"/>
          </w:tcPr>
          <w:p w14:paraId="02908F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83.9</w:t>
            </w:r>
          </w:p>
        </w:tc>
        <w:tc>
          <w:tcPr>
            <w:tcW w:w="2027" w:type="dxa"/>
          </w:tcPr>
          <w:p w14:paraId="7ED95B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90.5</w:t>
            </w:r>
          </w:p>
        </w:tc>
      </w:tr>
    </w:tbl>
    <w:p w14:paraId="6E194A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 пониженная стоимость самолетов в 4 кв. обусловлена одноместным вариантом.</w:t>
      </w:r>
    </w:p>
    <w:p w14:paraId="5B498F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Модификации и изменения, подлежащие внедрению в 1943:</w:t>
      </w:r>
    </w:p>
    <w:p w14:paraId="30176D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установка форсированного мотора</w:t>
      </w:r>
    </w:p>
    <w:p w14:paraId="0DD65D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дополнительная установка стрелкового и бомбардировочного вооружения</w:t>
      </w:r>
    </w:p>
    <w:p w14:paraId="73D012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усиление шасси, костыльная установка и новое хвостовое колесо</w:t>
      </w:r>
    </w:p>
    <w:p w14:paraId="1054A4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удлинение хвостовой части фюзеляжа</w:t>
      </w:r>
    </w:p>
    <w:p w14:paraId="1A404F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работы, связанные с новыми требованиями к зимнему варианту</w:t>
      </w:r>
    </w:p>
    <w:p w14:paraId="303703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 введение новой металлизации</w:t>
      </w:r>
    </w:p>
    <w:p w14:paraId="49826E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 установка воздушного фильтра и др.</w:t>
      </w:r>
    </w:p>
    <w:p w14:paraId="2BCC8C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Стоимость перечисленных дополнительных работ - 8.5 тыс. руб.</w:t>
      </w:r>
    </w:p>
    <w:p w14:paraId="61304E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Добавление: Отчетные данные по месяцам 1943: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1417"/>
        <w:gridCol w:w="810"/>
        <w:gridCol w:w="810"/>
        <w:gridCol w:w="810"/>
        <w:gridCol w:w="810"/>
        <w:gridCol w:w="810"/>
        <w:gridCol w:w="1339"/>
      </w:tblGrid>
      <w:tr w:rsidR="00860B4B" w:rsidRPr="00D03F3E" w14:paraId="214A9479" w14:textId="77777777">
        <w:tc>
          <w:tcPr>
            <w:tcW w:w="3794" w:type="dxa"/>
          </w:tcPr>
          <w:p w14:paraId="154A0C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4D1EB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810" w:type="dxa"/>
          </w:tcPr>
          <w:p w14:paraId="1450D7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810" w:type="dxa"/>
          </w:tcPr>
          <w:p w14:paraId="7C762D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810" w:type="dxa"/>
          </w:tcPr>
          <w:p w14:paraId="5CC7D6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810" w:type="dxa"/>
          </w:tcPr>
          <w:p w14:paraId="797372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810" w:type="dxa"/>
          </w:tcPr>
          <w:p w14:paraId="5CF1E3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1339" w:type="dxa"/>
          </w:tcPr>
          <w:p w14:paraId="46A41F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r>
      <w:tr w:rsidR="00860B4B" w:rsidRPr="00D03F3E" w14:paraId="399DFDB8" w14:textId="77777777">
        <w:tc>
          <w:tcPr>
            <w:tcW w:w="3794" w:type="dxa"/>
          </w:tcPr>
          <w:p w14:paraId="452E9F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Заводская с/с</w:t>
            </w:r>
          </w:p>
        </w:tc>
        <w:tc>
          <w:tcPr>
            <w:tcW w:w="1417" w:type="dxa"/>
          </w:tcPr>
          <w:p w14:paraId="28B83D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162.3</w:t>
            </w:r>
          </w:p>
        </w:tc>
        <w:tc>
          <w:tcPr>
            <w:tcW w:w="810" w:type="dxa"/>
          </w:tcPr>
          <w:p w14:paraId="3F2A8A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159.3</w:t>
            </w:r>
          </w:p>
        </w:tc>
        <w:tc>
          <w:tcPr>
            <w:tcW w:w="810" w:type="dxa"/>
          </w:tcPr>
          <w:p w14:paraId="5E14E4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165.1</w:t>
            </w:r>
          </w:p>
        </w:tc>
        <w:tc>
          <w:tcPr>
            <w:tcW w:w="810" w:type="dxa"/>
          </w:tcPr>
          <w:p w14:paraId="628395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156,2</w:t>
            </w:r>
          </w:p>
        </w:tc>
        <w:tc>
          <w:tcPr>
            <w:tcW w:w="810" w:type="dxa"/>
          </w:tcPr>
          <w:p w14:paraId="6CF9FE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169.3</w:t>
            </w:r>
          </w:p>
        </w:tc>
        <w:tc>
          <w:tcPr>
            <w:tcW w:w="810" w:type="dxa"/>
          </w:tcPr>
          <w:p w14:paraId="4DADC1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162.9</w:t>
            </w:r>
          </w:p>
        </w:tc>
        <w:tc>
          <w:tcPr>
            <w:tcW w:w="1339" w:type="dxa"/>
          </w:tcPr>
          <w:p w14:paraId="1DE01B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165.5" (2105)</w:t>
            </w:r>
          </w:p>
        </w:tc>
      </w:tr>
      <w:tr w:rsidR="00860B4B" w:rsidRPr="00D03F3E" w14:paraId="7B324EFB" w14:textId="77777777">
        <w:tc>
          <w:tcPr>
            <w:tcW w:w="3794" w:type="dxa"/>
          </w:tcPr>
          <w:p w14:paraId="7D1B42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Ил-2 завода 18:</w:t>
            </w:r>
          </w:p>
        </w:tc>
        <w:tc>
          <w:tcPr>
            <w:tcW w:w="1417" w:type="dxa"/>
          </w:tcPr>
          <w:p w14:paraId="19D8CD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2D40F6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02C0C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24E8FB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191269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7270EF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7191A3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57E17BD" w14:textId="77777777">
        <w:tc>
          <w:tcPr>
            <w:tcW w:w="3794" w:type="dxa"/>
          </w:tcPr>
          <w:p w14:paraId="540CF2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"Разногласий с Госпланом нет</w:t>
            </w:r>
          </w:p>
        </w:tc>
        <w:tc>
          <w:tcPr>
            <w:tcW w:w="1417" w:type="dxa"/>
          </w:tcPr>
          <w:p w14:paraId="0FB3F0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528FE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10ADBB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73F2B1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09CA4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4607D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14B882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69A65BD" w14:textId="77777777">
        <w:tc>
          <w:tcPr>
            <w:tcW w:w="3794" w:type="dxa"/>
          </w:tcPr>
          <w:p w14:paraId="516162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Действующая отпускная цена</w:t>
            </w:r>
          </w:p>
        </w:tc>
        <w:tc>
          <w:tcPr>
            <w:tcW w:w="1417" w:type="dxa"/>
          </w:tcPr>
          <w:p w14:paraId="20092B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208.0 тыс. руб.</w:t>
            </w:r>
          </w:p>
        </w:tc>
        <w:tc>
          <w:tcPr>
            <w:tcW w:w="810" w:type="dxa"/>
          </w:tcPr>
          <w:p w14:paraId="1ACAB0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CE1CC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2D77FE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F6D07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4D1B7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3C716E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63A5EFD" w14:textId="77777777">
        <w:tc>
          <w:tcPr>
            <w:tcW w:w="3794" w:type="dxa"/>
          </w:tcPr>
          <w:p w14:paraId="4C3DF2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Проектируемая отпускная цена с 1 апреля 1944</w:t>
            </w:r>
          </w:p>
        </w:tc>
        <w:tc>
          <w:tcPr>
            <w:tcW w:w="1417" w:type="dxa"/>
          </w:tcPr>
          <w:p w14:paraId="7F91E4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162.0</w:t>
            </w:r>
          </w:p>
        </w:tc>
        <w:tc>
          <w:tcPr>
            <w:tcW w:w="810" w:type="dxa"/>
          </w:tcPr>
          <w:p w14:paraId="1AFF9B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AFEE8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024C2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1D3822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D7DA5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28433A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325B5E6" w14:textId="77777777">
        <w:tc>
          <w:tcPr>
            <w:tcW w:w="3794" w:type="dxa"/>
          </w:tcPr>
          <w:p w14:paraId="785AE5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Отчетная с/с за 1942</w:t>
            </w:r>
          </w:p>
        </w:tc>
        <w:tc>
          <w:tcPr>
            <w:tcW w:w="1417" w:type="dxa"/>
          </w:tcPr>
          <w:p w14:paraId="521F83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172.0</w:t>
            </w:r>
          </w:p>
        </w:tc>
        <w:tc>
          <w:tcPr>
            <w:tcW w:w="810" w:type="dxa"/>
          </w:tcPr>
          <w:p w14:paraId="1E14D6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2087A0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E2899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68433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8AC53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65FA6C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1A96C27" w14:textId="77777777">
        <w:tc>
          <w:tcPr>
            <w:tcW w:w="3794" w:type="dxa"/>
          </w:tcPr>
          <w:p w14:paraId="68C023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Динамика с/с</w:t>
            </w:r>
          </w:p>
        </w:tc>
        <w:tc>
          <w:tcPr>
            <w:tcW w:w="1417" w:type="dxa"/>
          </w:tcPr>
          <w:p w14:paraId="2E2C40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72A8EF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6007E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C0DFB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F6AED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742931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6B6F8E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23E8FF0" w14:textId="77777777">
        <w:tc>
          <w:tcPr>
            <w:tcW w:w="3794" w:type="dxa"/>
          </w:tcPr>
          <w:p w14:paraId="4BA6EF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E3F11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1942</w:t>
            </w:r>
          </w:p>
        </w:tc>
        <w:tc>
          <w:tcPr>
            <w:tcW w:w="810" w:type="dxa"/>
          </w:tcPr>
          <w:p w14:paraId="349B2C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FFDB5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1943</w:t>
            </w:r>
          </w:p>
        </w:tc>
        <w:tc>
          <w:tcPr>
            <w:tcW w:w="810" w:type="dxa"/>
          </w:tcPr>
          <w:p w14:paraId="03303F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D08FE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D2AE9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424DEB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5BA2290" w14:textId="77777777">
        <w:tc>
          <w:tcPr>
            <w:tcW w:w="3794" w:type="dxa"/>
          </w:tcPr>
          <w:p w14:paraId="7524B1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BBDF2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Ноябрь</w:t>
            </w:r>
          </w:p>
        </w:tc>
        <w:tc>
          <w:tcPr>
            <w:tcW w:w="810" w:type="dxa"/>
          </w:tcPr>
          <w:p w14:paraId="60FAE0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Декабрь</w:t>
            </w:r>
          </w:p>
        </w:tc>
        <w:tc>
          <w:tcPr>
            <w:tcW w:w="810" w:type="dxa"/>
          </w:tcPr>
          <w:p w14:paraId="137A75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Январь</w:t>
            </w:r>
          </w:p>
        </w:tc>
        <w:tc>
          <w:tcPr>
            <w:tcW w:w="810" w:type="dxa"/>
          </w:tcPr>
          <w:p w14:paraId="5C0834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Февраль</w:t>
            </w:r>
          </w:p>
        </w:tc>
        <w:tc>
          <w:tcPr>
            <w:tcW w:w="810" w:type="dxa"/>
          </w:tcPr>
          <w:p w14:paraId="41D848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216236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4FE23F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BEA8896" w14:textId="77777777">
        <w:tc>
          <w:tcPr>
            <w:tcW w:w="3794" w:type="dxa"/>
          </w:tcPr>
          <w:p w14:paraId="40CCB7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Полная заводская с/с</w:t>
            </w:r>
          </w:p>
        </w:tc>
        <w:tc>
          <w:tcPr>
            <w:tcW w:w="1417" w:type="dxa"/>
          </w:tcPr>
          <w:p w14:paraId="089ACF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169.9</w:t>
            </w:r>
          </w:p>
        </w:tc>
        <w:tc>
          <w:tcPr>
            <w:tcW w:w="810" w:type="dxa"/>
          </w:tcPr>
          <w:p w14:paraId="360B99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160.4</w:t>
            </w:r>
          </w:p>
        </w:tc>
        <w:tc>
          <w:tcPr>
            <w:tcW w:w="810" w:type="dxa"/>
          </w:tcPr>
          <w:p w14:paraId="76057E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164.6</w:t>
            </w:r>
          </w:p>
        </w:tc>
        <w:tc>
          <w:tcPr>
            <w:tcW w:w="810" w:type="dxa"/>
          </w:tcPr>
          <w:p w14:paraId="4BCC6E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171.7</w:t>
            </w:r>
          </w:p>
        </w:tc>
        <w:tc>
          <w:tcPr>
            <w:tcW w:w="810" w:type="dxa"/>
          </w:tcPr>
          <w:p w14:paraId="7CC291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F4EE0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201A4C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19B0AE9" w14:textId="77777777">
        <w:tc>
          <w:tcPr>
            <w:tcW w:w="3794" w:type="dxa"/>
          </w:tcPr>
          <w:p w14:paraId="5F86BB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т.ч. собственные</w:t>
            </w:r>
          </w:p>
        </w:tc>
        <w:tc>
          <w:tcPr>
            <w:tcW w:w="1417" w:type="dxa"/>
          </w:tcPr>
          <w:p w14:paraId="4ED71B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2D5409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C052F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DF1D9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22E1E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E59FB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1CFF1A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859DF8E" w14:textId="77777777">
        <w:tc>
          <w:tcPr>
            <w:tcW w:w="3794" w:type="dxa"/>
          </w:tcPr>
          <w:p w14:paraId="33FE3D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затраты завода</w:t>
            </w:r>
          </w:p>
        </w:tc>
        <w:tc>
          <w:tcPr>
            <w:tcW w:w="1417" w:type="dxa"/>
          </w:tcPr>
          <w:p w14:paraId="3B92BB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85.5</w:t>
            </w:r>
          </w:p>
        </w:tc>
        <w:tc>
          <w:tcPr>
            <w:tcW w:w="810" w:type="dxa"/>
          </w:tcPr>
          <w:p w14:paraId="071F97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81.9</w:t>
            </w:r>
          </w:p>
        </w:tc>
        <w:tc>
          <w:tcPr>
            <w:tcW w:w="810" w:type="dxa"/>
          </w:tcPr>
          <w:p w14:paraId="61F8E9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86.1</w:t>
            </w:r>
          </w:p>
        </w:tc>
        <w:tc>
          <w:tcPr>
            <w:tcW w:w="810" w:type="dxa"/>
          </w:tcPr>
          <w:p w14:paraId="253223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93.2</w:t>
            </w:r>
          </w:p>
        </w:tc>
        <w:tc>
          <w:tcPr>
            <w:tcW w:w="810" w:type="dxa"/>
          </w:tcPr>
          <w:p w14:paraId="0F8304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05AC1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24C0ED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4AE20C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 рост с/с в январе и феврале связан с внедрением конструктивных изменений.</w:t>
      </w:r>
    </w:p>
    <w:p w14:paraId="5D0184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Модификации и изменения, подлежащие внедрению в 1943:</w:t>
      </w:r>
    </w:p>
    <w:p w14:paraId="1E4FD8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установка форсированного мотора</w:t>
      </w:r>
    </w:p>
    <w:p w14:paraId="783388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дополнительная установка стрелкового и бомбардировочного вооружения</w:t>
      </w:r>
    </w:p>
    <w:p w14:paraId="6C0DD9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усиление шасси, костыльная установка и новое хвостовое колесо</w:t>
      </w:r>
    </w:p>
    <w:p w14:paraId="6A53D5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переход на обшивку крыла из древесных пластиков</w:t>
      </w:r>
    </w:p>
    <w:p w14:paraId="2D22F5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удлинение хвостовой части фюзеляжа</w:t>
      </w:r>
    </w:p>
    <w:p w14:paraId="3122AC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 работы, связанные с новыми требованиями к зимнему варианту (разжижение масла, дополнительные фильтры подъема шасси и др.).</w:t>
      </w:r>
    </w:p>
    <w:p w14:paraId="1A478A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 установка воздушного фильтра и др.</w:t>
      </w:r>
    </w:p>
    <w:p w14:paraId="458C70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Стоимость перечисленных дополнительных работ - 9.0 тыс. руб.</w:t>
      </w:r>
    </w:p>
    <w:p w14:paraId="37BA74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Добавление: Отчетные данные по месяцам 1943: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3118"/>
        <w:gridCol w:w="885"/>
        <w:gridCol w:w="884"/>
        <w:gridCol w:w="783"/>
        <w:gridCol w:w="796"/>
        <w:gridCol w:w="905"/>
      </w:tblGrid>
      <w:tr w:rsidR="00860B4B" w:rsidRPr="00D03F3E" w14:paraId="460464E2" w14:textId="77777777">
        <w:tc>
          <w:tcPr>
            <w:tcW w:w="3794" w:type="dxa"/>
          </w:tcPr>
          <w:p w14:paraId="071DEA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18" w:type="dxa"/>
          </w:tcPr>
          <w:p w14:paraId="21B926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885" w:type="dxa"/>
          </w:tcPr>
          <w:p w14:paraId="570346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884" w:type="dxa"/>
          </w:tcPr>
          <w:p w14:paraId="33BB9E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783" w:type="dxa"/>
          </w:tcPr>
          <w:p w14:paraId="3FC75E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796" w:type="dxa"/>
          </w:tcPr>
          <w:p w14:paraId="5E8090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905" w:type="dxa"/>
          </w:tcPr>
          <w:p w14:paraId="052A62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кв.</w:t>
            </w:r>
          </w:p>
        </w:tc>
      </w:tr>
      <w:tr w:rsidR="00860B4B" w:rsidRPr="00D03F3E" w14:paraId="5A0C468F" w14:textId="77777777">
        <w:tc>
          <w:tcPr>
            <w:tcW w:w="3794" w:type="dxa"/>
          </w:tcPr>
          <w:p w14:paraId="319F0F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Заводская с/с</w:t>
            </w:r>
          </w:p>
        </w:tc>
        <w:tc>
          <w:tcPr>
            <w:tcW w:w="3118" w:type="dxa"/>
          </w:tcPr>
          <w:p w14:paraId="3E2108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164.6</w:t>
            </w:r>
          </w:p>
        </w:tc>
        <w:tc>
          <w:tcPr>
            <w:tcW w:w="885" w:type="dxa"/>
          </w:tcPr>
          <w:p w14:paraId="14424A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171.7</w:t>
            </w:r>
          </w:p>
        </w:tc>
        <w:tc>
          <w:tcPr>
            <w:tcW w:w="884" w:type="dxa"/>
          </w:tcPr>
          <w:p w14:paraId="4E4278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163.5</w:t>
            </w:r>
          </w:p>
        </w:tc>
        <w:tc>
          <w:tcPr>
            <w:tcW w:w="783" w:type="dxa"/>
          </w:tcPr>
          <w:p w14:paraId="67228F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796" w:type="dxa"/>
          </w:tcPr>
          <w:p w14:paraId="33F347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905" w:type="dxa"/>
          </w:tcPr>
          <w:p w14:paraId="17134A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166.5 (2105)</w:t>
            </w:r>
          </w:p>
        </w:tc>
      </w:tr>
      <w:tr w:rsidR="00860B4B" w:rsidRPr="00D03F3E" w14:paraId="4BB01D9A" w14:textId="77777777">
        <w:tc>
          <w:tcPr>
            <w:tcW w:w="3794" w:type="dxa"/>
          </w:tcPr>
          <w:p w14:paraId="23FBCF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Ил-2 завода 30:</w:t>
            </w:r>
          </w:p>
        </w:tc>
        <w:tc>
          <w:tcPr>
            <w:tcW w:w="3118" w:type="dxa"/>
          </w:tcPr>
          <w:p w14:paraId="0E53CB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3FBA4A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8DB0E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Pr>
          <w:p w14:paraId="36B88E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61333D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5" w:type="dxa"/>
          </w:tcPr>
          <w:p w14:paraId="05DB5D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0A78378" w14:textId="77777777">
        <w:tc>
          <w:tcPr>
            <w:tcW w:w="3794" w:type="dxa"/>
          </w:tcPr>
          <w:p w14:paraId="3E6C6D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"Предложение Госплана - 172.0</w:t>
            </w:r>
          </w:p>
        </w:tc>
        <w:tc>
          <w:tcPr>
            <w:tcW w:w="3118" w:type="dxa"/>
          </w:tcPr>
          <w:p w14:paraId="60A2FF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Предложение НКАП - 175.0 (с ВЯ 185.0)</w:t>
            </w:r>
          </w:p>
        </w:tc>
        <w:tc>
          <w:tcPr>
            <w:tcW w:w="885" w:type="dxa"/>
          </w:tcPr>
          <w:p w14:paraId="682BD9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54F2B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Pr>
          <w:p w14:paraId="793FA1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1917D2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5" w:type="dxa"/>
          </w:tcPr>
          <w:p w14:paraId="41EBDD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1038C9F" w14:textId="77777777">
        <w:tc>
          <w:tcPr>
            <w:tcW w:w="3794" w:type="dxa"/>
          </w:tcPr>
          <w:p w14:paraId="056B4F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Действующая отпускная цена</w:t>
            </w:r>
          </w:p>
        </w:tc>
        <w:tc>
          <w:tcPr>
            <w:tcW w:w="3118" w:type="dxa"/>
          </w:tcPr>
          <w:p w14:paraId="00CAA2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242.0 тыс. руб.</w:t>
            </w:r>
          </w:p>
        </w:tc>
        <w:tc>
          <w:tcPr>
            <w:tcW w:w="885" w:type="dxa"/>
          </w:tcPr>
          <w:p w14:paraId="78C651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B37E2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Pr>
          <w:p w14:paraId="5A006F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5DD39A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5" w:type="dxa"/>
          </w:tcPr>
          <w:p w14:paraId="19D7A5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F2047FA" w14:textId="77777777">
        <w:tc>
          <w:tcPr>
            <w:tcW w:w="3794" w:type="dxa"/>
          </w:tcPr>
          <w:p w14:paraId="003668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Проектируемая отпускная цена с 1 апреля 1944</w:t>
            </w:r>
          </w:p>
        </w:tc>
        <w:tc>
          <w:tcPr>
            <w:tcW w:w="3118" w:type="dxa"/>
          </w:tcPr>
          <w:p w14:paraId="4244C4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175.0</w:t>
            </w:r>
          </w:p>
        </w:tc>
        <w:tc>
          <w:tcPr>
            <w:tcW w:w="885" w:type="dxa"/>
          </w:tcPr>
          <w:p w14:paraId="63306F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42559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Pr>
          <w:p w14:paraId="37D43E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646BA4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5" w:type="dxa"/>
          </w:tcPr>
          <w:p w14:paraId="10A117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D362F6B" w14:textId="77777777">
        <w:tc>
          <w:tcPr>
            <w:tcW w:w="3794" w:type="dxa"/>
          </w:tcPr>
          <w:p w14:paraId="647609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Отчетная с/с за 1942</w:t>
            </w:r>
          </w:p>
        </w:tc>
        <w:tc>
          <w:tcPr>
            <w:tcW w:w="3118" w:type="dxa"/>
          </w:tcPr>
          <w:p w14:paraId="1F6992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246.0</w:t>
            </w:r>
          </w:p>
        </w:tc>
        <w:tc>
          <w:tcPr>
            <w:tcW w:w="885" w:type="dxa"/>
          </w:tcPr>
          <w:p w14:paraId="30296B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008DE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Pr>
          <w:p w14:paraId="2F3B57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129BFE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5" w:type="dxa"/>
          </w:tcPr>
          <w:p w14:paraId="0580E7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5F5B7F2" w14:textId="77777777">
        <w:tc>
          <w:tcPr>
            <w:tcW w:w="3794" w:type="dxa"/>
          </w:tcPr>
          <w:p w14:paraId="62C5E9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Динамика с/с</w:t>
            </w:r>
          </w:p>
        </w:tc>
        <w:tc>
          <w:tcPr>
            <w:tcW w:w="3118" w:type="dxa"/>
          </w:tcPr>
          <w:p w14:paraId="5D98AD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455800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C1FD6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Pr>
          <w:p w14:paraId="4C8429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054339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5" w:type="dxa"/>
          </w:tcPr>
          <w:p w14:paraId="7F0ECD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11C1A4E" w14:textId="77777777">
        <w:tc>
          <w:tcPr>
            <w:tcW w:w="3794" w:type="dxa"/>
          </w:tcPr>
          <w:p w14:paraId="6E9EA5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18" w:type="dxa"/>
          </w:tcPr>
          <w:p w14:paraId="572E60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1942</w:t>
            </w:r>
          </w:p>
        </w:tc>
        <w:tc>
          <w:tcPr>
            <w:tcW w:w="885" w:type="dxa"/>
          </w:tcPr>
          <w:p w14:paraId="293EAF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4DCAA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Pr>
          <w:p w14:paraId="00815D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1943</w:t>
            </w:r>
          </w:p>
        </w:tc>
        <w:tc>
          <w:tcPr>
            <w:tcW w:w="796" w:type="dxa"/>
          </w:tcPr>
          <w:p w14:paraId="7DFB1F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5" w:type="dxa"/>
          </w:tcPr>
          <w:p w14:paraId="2603F6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8BF1AA3" w14:textId="77777777">
        <w:tc>
          <w:tcPr>
            <w:tcW w:w="3794" w:type="dxa"/>
          </w:tcPr>
          <w:p w14:paraId="2E29DD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18" w:type="dxa"/>
          </w:tcPr>
          <w:p w14:paraId="172A30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Октябрь</w:t>
            </w:r>
          </w:p>
        </w:tc>
        <w:tc>
          <w:tcPr>
            <w:tcW w:w="885" w:type="dxa"/>
          </w:tcPr>
          <w:p w14:paraId="489977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Ноябрь</w:t>
            </w:r>
          </w:p>
        </w:tc>
        <w:tc>
          <w:tcPr>
            <w:tcW w:w="884" w:type="dxa"/>
          </w:tcPr>
          <w:p w14:paraId="427F0A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Декабрь</w:t>
            </w:r>
          </w:p>
        </w:tc>
        <w:tc>
          <w:tcPr>
            <w:tcW w:w="783" w:type="dxa"/>
          </w:tcPr>
          <w:p w14:paraId="1EB361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Январь</w:t>
            </w:r>
          </w:p>
        </w:tc>
        <w:tc>
          <w:tcPr>
            <w:tcW w:w="796" w:type="dxa"/>
          </w:tcPr>
          <w:p w14:paraId="62B09E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Февраль</w:t>
            </w:r>
          </w:p>
        </w:tc>
        <w:tc>
          <w:tcPr>
            <w:tcW w:w="905" w:type="dxa"/>
          </w:tcPr>
          <w:p w14:paraId="2CC911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77345C9" w14:textId="77777777">
        <w:tc>
          <w:tcPr>
            <w:tcW w:w="3794" w:type="dxa"/>
          </w:tcPr>
          <w:p w14:paraId="166DA0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Полная заводская с/с</w:t>
            </w:r>
          </w:p>
        </w:tc>
        <w:tc>
          <w:tcPr>
            <w:tcW w:w="3118" w:type="dxa"/>
          </w:tcPr>
          <w:p w14:paraId="06AF6A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204.7</w:t>
            </w:r>
          </w:p>
        </w:tc>
        <w:tc>
          <w:tcPr>
            <w:tcW w:w="885" w:type="dxa"/>
          </w:tcPr>
          <w:p w14:paraId="128E18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205.2</w:t>
            </w:r>
          </w:p>
        </w:tc>
        <w:tc>
          <w:tcPr>
            <w:tcW w:w="884" w:type="dxa"/>
          </w:tcPr>
          <w:p w14:paraId="705BB6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211.1</w:t>
            </w:r>
          </w:p>
        </w:tc>
        <w:tc>
          <w:tcPr>
            <w:tcW w:w="783" w:type="dxa"/>
          </w:tcPr>
          <w:p w14:paraId="09683C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201.9</w:t>
            </w:r>
          </w:p>
        </w:tc>
        <w:tc>
          <w:tcPr>
            <w:tcW w:w="796" w:type="dxa"/>
          </w:tcPr>
          <w:p w14:paraId="7EEE92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198.5</w:t>
            </w:r>
          </w:p>
        </w:tc>
        <w:tc>
          <w:tcPr>
            <w:tcW w:w="905" w:type="dxa"/>
          </w:tcPr>
          <w:p w14:paraId="218647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7D3E263" w14:textId="77777777">
        <w:tc>
          <w:tcPr>
            <w:tcW w:w="3794" w:type="dxa"/>
          </w:tcPr>
          <w:p w14:paraId="5C4902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т.ч. собственные</w:t>
            </w:r>
          </w:p>
        </w:tc>
        <w:tc>
          <w:tcPr>
            <w:tcW w:w="3118" w:type="dxa"/>
          </w:tcPr>
          <w:p w14:paraId="7800BA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4F043E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E92A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Pr>
          <w:p w14:paraId="3BFEA1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329957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5" w:type="dxa"/>
          </w:tcPr>
          <w:p w14:paraId="3FBFB0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3C33449" w14:textId="77777777">
        <w:tc>
          <w:tcPr>
            <w:tcW w:w="3794" w:type="dxa"/>
          </w:tcPr>
          <w:p w14:paraId="56A0BC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затраты завода</w:t>
            </w:r>
          </w:p>
        </w:tc>
        <w:tc>
          <w:tcPr>
            <w:tcW w:w="3118" w:type="dxa"/>
          </w:tcPr>
          <w:p w14:paraId="6F7F2B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7CB95A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129.5</w:t>
            </w:r>
          </w:p>
        </w:tc>
        <w:tc>
          <w:tcPr>
            <w:tcW w:w="884" w:type="dxa"/>
          </w:tcPr>
          <w:p w14:paraId="6DCA8A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130.1</w:t>
            </w:r>
          </w:p>
        </w:tc>
        <w:tc>
          <w:tcPr>
            <w:tcW w:w="783" w:type="dxa"/>
          </w:tcPr>
          <w:p w14:paraId="0E20D5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130.4</w:t>
            </w:r>
          </w:p>
        </w:tc>
        <w:tc>
          <w:tcPr>
            <w:tcW w:w="796" w:type="dxa"/>
          </w:tcPr>
          <w:p w14:paraId="1CAF13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123.7</w:t>
            </w:r>
          </w:p>
        </w:tc>
        <w:tc>
          <w:tcPr>
            <w:tcW w:w="905" w:type="dxa"/>
          </w:tcPr>
          <w:p w14:paraId="0389AD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120.3</w:t>
            </w:r>
          </w:p>
        </w:tc>
      </w:tr>
    </w:tbl>
    <w:p w14:paraId="02B9AC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Модификации и изменения, подлежащие внедрению в 1943:</w:t>
      </w:r>
    </w:p>
    <w:p w14:paraId="282C33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установка форсированного мотора</w:t>
      </w:r>
    </w:p>
    <w:p w14:paraId="42C283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дополнительная установка стрелкового и бомбардировочного вооружения</w:t>
      </w:r>
    </w:p>
    <w:p w14:paraId="3B2FA6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усиление шасси, костыльная установка и новое хвостовое колесо</w:t>
      </w:r>
    </w:p>
    <w:p w14:paraId="2E1528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переход на обшивку крыла из древесных пластиков</w:t>
      </w:r>
    </w:p>
    <w:p w14:paraId="7CAFF5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удлинение хвостовой части фюзеляжа</w:t>
      </w:r>
    </w:p>
    <w:p w14:paraId="0565BA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 работы, связанные с новыми требованиями к зимнему варианту (разжижение масла, дополнительные фильтры подъема шасси и др.).</w:t>
      </w:r>
    </w:p>
    <w:p w14:paraId="2AB24F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 установка воздушного фильтра и др.</w:t>
      </w:r>
    </w:p>
    <w:p w14:paraId="15AB1A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Стоимость перечисленных дополнительных работ - 11.0 тыс. руб.</w:t>
      </w:r>
    </w:p>
    <w:p w14:paraId="601BC3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Добавление: Отчетные данные по месяцам 1943: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1417"/>
        <w:gridCol w:w="975"/>
        <w:gridCol w:w="975"/>
        <w:gridCol w:w="975"/>
        <w:gridCol w:w="975"/>
        <w:gridCol w:w="1485"/>
      </w:tblGrid>
      <w:tr w:rsidR="00860B4B" w:rsidRPr="00D03F3E" w14:paraId="4B32EF60" w14:textId="77777777">
        <w:tc>
          <w:tcPr>
            <w:tcW w:w="3794" w:type="dxa"/>
          </w:tcPr>
          <w:p w14:paraId="243637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EEABC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975" w:type="dxa"/>
          </w:tcPr>
          <w:p w14:paraId="1E5E83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975" w:type="dxa"/>
          </w:tcPr>
          <w:p w14:paraId="2AE1D0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975" w:type="dxa"/>
          </w:tcPr>
          <w:p w14:paraId="340724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975" w:type="dxa"/>
          </w:tcPr>
          <w:p w14:paraId="1114B4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1485" w:type="dxa"/>
          </w:tcPr>
          <w:p w14:paraId="626B58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r>
      <w:tr w:rsidR="00860B4B" w:rsidRPr="00D03F3E" w14:paraId="6249E03B" w14:textId="77777777">
        <w:tc>
          <w:tcPr>
            <w:tcW w:w="3794" w:type="dxa"/>
          </w:tcPr>
          <w:p w14:paraId="7C1611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Заводская с/с</w:t>
            </w:r>
          </w:p>
        </w:tc>
        <w:tc>
          <w:tcPr>
            <w:tcW w:w="1417" w:type="dxa"/>
          </w:tcPr>
          <w:p w14:paraId="759C4E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201.9</w:t>
            </w:r>
          </w:p>
        </w:tc>
        <w:tc>
          <w:tcPr>
            <w:tcW w:w="975" w:type="dxa"/>
          </w:tcPr>
          <w:p w14:paraId="0883DA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198.5</w:t>
            </w:r>
          </w:p>
        </w:tc>
        <w:tc>
          <w:tcPr>
            <w:tcW w:w="975" w:type="dxa"/>
          </w:tcPr>
          <w:p w14:paraId="456455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189.7</w:t>
            </w:r>
          </w:p>
        </w:tc>
        <w:tc>
          <w:tcPr>
            <w:tcW w:w="975" w:type="dxa"/>
          </w:tcPr>
          <w:p w14:paraId="354309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190.1</w:t>
            </w:r>
          </w:p>
        </w:tc>
        <w:tc>
          <w:tcPr>
            <w:tcW w:w="975" w:type="dxa"/>
          </w:tcPr>
          <w:p w14:paraId="67DE96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192.9</w:t>
            </w:r>
          </w:p>
        </w:tc>
        <w:tc>
          <w:tcPr>
            <w:tcW w:w="1485" w:type="dxa"/>
          </w:tcPr>
          <w:p w14:paraId="6149AB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190.8 (2105)</w:t>
            </w:r>
          </w:p>
        </w:tc>
      </w:tr>
      <w:tr w:rsidR="00860B4B" w:rsidRPr="00D03F3E" w14:paraId="2E37BE8F" w14:textId="77777777">
        <w:tc>
          <w:tcPr>
            <w:tcW w:w="3794" w:type="dxa"/>
          </w:tcPr>
          <w:p w14:paraId="472C1F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Ил-4 завода 126:</w:t>
            </w:r>
          </w:p>
        </w:tc>
        <w:tc>
          <w:tcPr>
            <w:tcW w:w="1417" w:type="dxa"/>
          </w:tcPr>
          <w:p w14:paraId="02CA43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47E9F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8C2B9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14408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9F644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5" w:type="dxa"/>
          </w:tcPr>
          <w:p w14:paraId="379D72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F69D8A9" w14:textId="77777777">
        <w:tc>
          <w:tcPr>
            <w:tcW w:w="3794" w:type="dxa"/>
          </w:tcPr>
          <w:p w14:paraId="2B9636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"Разногласий с Госпланом нет</w:t>
            </w:r>
          </w:p>
        </w:tc>
        <w:tc>
          <w:tcPr>
            <w:tcW w:w="1417" w:type="dxa"/>
          </w:tcPr>
          <w:p w14:paraId="3CBDB7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5445C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A9012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412F8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6E5D1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5" w:type="dxa"/>
          </w:tcPr>
          <w:p w14:paraId="59AF91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B11C1CA" w14:textId="77777777">
        <w:tc>
          <w:tcPr>
            <w:tcW w:w="3794" w:type="dxa"/>
          </w:tcPr>
          <w:p w14:paraId="5AA9A6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Действующая отпускная цена</w:t>
            </w:r>
          </w:p>
        </w:tc>
        <w:tc>
          <w:tcPr>
            <w:tcW w:w="1417" w:type="dxa"/>
          </w:tcPr>
          <w:p w14:paraId="396E3D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468.0 тыс. руб.</w:t>
            </w:r>
          </w:p>
        </w:tc>
        <w:tc>
          <w:tcPr>
            <w:tcW w:w="975" w:type="dxa"/>
          </w:tcPr>
          <w:p w14:paraId="5548DA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6FE99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0602C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48737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5" w:type="dxa"/>
          </w:tcPr>
          <w:p w14:paraId="226FEE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440DA02" w14:textId="77777777">
        <w:tc>
          <w:tcPr>
            <w:tcW w:w="3794" w:type="dxa"/>
          </w:tcPr>
          <w:p w14:paraId="334443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Проектируемая отпускная цена с 1 апреля 1944</w:t>
            </w:r>
          </w:p>
        </w:tc>
        <w:tc>
          <w:tcPr>
            <w:tcW w:w="1417" w:type="dxa"/>
          </w:tcPr>
          <w:p w14:paraId="5CCF9C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350.0</w:t>
            </w:r>
          </w:p>
        </w:tc>
        <w:tc>
          <w:tcPr>
            <w:tcW w:w="975" w:type="dxa"/>
          </w:tcPr>
          <w:p w14:paraId="23B2F8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3F6C3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CB1CE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C3F9D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5" w:type="dxa"/>
          </w:tcPr>
          <w:p w14:paraId="0F7D48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7820B60" w14:textId="77777777">
        <w:tc>
          <w:tcPr>
            <w:tcW w:w="3794" w:type="dxa"/>
          </w:tcPr>
          <w:p w14:paraId="56F851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Отчетная с/с за 1942</w:t>
            </w:r>
          </w:p>
        </w:tc>
        <w:tc>
          <w:tcPr>
            <w:tcW w:w="1417" w:type="dxa"/>
          </w:tcPr>
          <w:p w14:paraId="0F6210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404.5</w:t>
            </w:r>
          </w:p>
        </w:tc>
        <w:tc>
          <w:tcPr>
            <w:tcW w:w="975" w:type="dxa"/>
          </w:tcPr>
          <w:p w14:paraId="401615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A4E6B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D898E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11E63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5" w:type="dxa"/>
          </w:tcPr>
          <w:p w14:paraId="45E970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B8673D9" w14:textId="77777777">
        <w:tc>
          <w:tcPr>
            <w:tcW w:w="3794" w:type="dxa"/>
          </w:tcPr>
          <w:p w14:paraId="42FB3A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Динамика с/с</w:t>
            </w:r>
          </w:p>
        </w:tc>
        <w:tc>
          <w:tcPr>
            <w:tcW w:w="1417" w:type="dxa"/>
          </w:tcPr>
          <w:p w14:paraId="3AF52F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B3544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59B1A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A45DC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53167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5" w:type="dxa"/>
          </w:tcPr>
          <w:p w14:paraId="135769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946ECD1" w14:textId="77777777">
        <w:tc>
          <w:tcPr>
            <w:tcW w:w="3794" w:type="dxa"/>
          </w:tcPr>
          <w:p w14:paraId="101716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0D102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кв. 1942</w:t>
            </w:r>
          </w:p>
        </w:tc>
        <w:tc>
          <w:tcPr>
            <w:tcW w:w="975" w:type="dxa"/>
          </w:tcPr>
          <w:p w14:paraId="4D68CC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1943</w:t>
            </w:r>
          </w:p>
        </w:tc>
        <w:tc>
          <w:tcPr>
            <w:tcW w:w="975" w:type="dxa"/>
          </w:tcPr>
          <w:p w14:paraId="4880FF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7DAD9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1DE22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5" w:type="dxa"/>
          </w:tcPr>
          <w:p w14:paraId="01EC17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389DC85" w14:textId="77777777">
        <w:tc>
          <w:tcPr>
            <w:tcW w:w="3794" w:type="dxa"/>
          </w:tcPr>
          <w:p w14:paraId="10F7F3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351FE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B8C4A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Январь</w:t>
            </w:r>
          </w:p>
        </w:tc>
        <w:tc>
          <w:tcPr>
            <w:tcW w:w="975" w:type="dxa"/>
          </w:tcPr>
          <w:p w14:paraId="60114F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32402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77BCF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5" w:type="dxa"/>
          </w:tcPr>
          <w:p w14:paraId="13DAFF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4120AF5" w14:textId="77777777">
        <w:tc>
          <w:tcPr>
            <w:tcW w:w="3794" w:type="dxa"/>
          </w:tcPr>
          <w:p w14:paraId="6ADDCB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Полная заводская с/с</w:t>
            </w:r>
          </w:p>
        </w:tc>
        <w:tc>
          <w:tcPr>
            <w:tcW w:w="1417" w:type="dxa"/>
          </w:tcPr>
          <w:p w14:paraId="59D60B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367.8</w:t>
            </w:r>
          </w:p>
        </w:tc>
        <w:tc>
          <w:tcPr>
            <w:tcW w:w="975" w:type="dxa"/>
          </w:tcPr>
          <w:p w14:paraId="039196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369.2</w:t>
            </w:r>
          </w:p>
        </w:tc>
        <w:tc>
          <w:tcPr>
            <w:tcW w:w="975" w:type="dxa"/>
          </w:tcPr>
          <w:p w14:paraId="03407F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C63CA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B5349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5" w:type="dxa"/>
          </w:tcPr>
          <w:p w14:paraId="452E16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3420082" w14:textId="77777777">
        <w:tc>
          <w:tcPr>
            <w:tcW w:w="3794" w:type="dxa"/>
          </w:tcPr>
          <w:p w14:paraId="133B1E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т.ч. собственные</w:t>
            </w:r>
          </w:p>
        </w:tc>
        <w:tc>
          <w:tcPr>
            <w:tcW w:w="1417" w:type="dxa"/>
          </w:tcPr>
          <w:p w14:paraId="5E209C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41D53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416F4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F9EC8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97564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5" w:type="dxa"/>
          </w:tcPr>
          <w:p w14:paraId="47A796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E2B4D34" w14:textId="77777777">
        <w:tc>
          <w:tcPr>
            <w:tcW w:w="3794" w:type="dxa"/>
          </w:tcPr>
          <w:p w14:paraId="161A1D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затраты завода</w:t>
            </w:r>
          </w:p>
        </w:tc>
        <w:tc>
          <w:tcPr>
            <w:tcW w:w="1417" w:type="dxa"/>
          </w:tcPr>
          <w:p w14:paraId="02F7BE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271.2</w:t>
            </w:r>
          </w:p>
        </w:tc>
        <w:tc>
          <w:tcPr>
            <w:tcW w:w="975" w:type="dxa"/>
          </w:tcPr>
          <w:p w14:paraId="754721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284.5</w:t>
            </w:r>
          </w:p>
        </w:tc>
        <w:tc>
          <w:tcPr>
            <w:tcW w:w="975" w:type="dxa"/>
          </w:tcPr>
          <w:p w14:paraId="44E8BF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012A5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6561A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5" w:type="dxa"/>
          </w:tcPr>
          <w:p w14:paraId="4034A1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E3D98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Модификации и изменения, подлежащие внедрению в 1943:</w:t>
      </w:r>
    </w:p>
    <w:p w14:paraId="3C042A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установка антиобледенителя</w:t>
      </w:r>
    </w:p>
    <w:p w14:paraId="06D2D7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усиление шасси и новые колеса</w:t>
      </w:r>
    </w:p>
    <w:p w14:paraId="61AD39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работы, связанные с новыми требованиями к зимнему варианту</w:t>
      </w:r>
    </w:p>
    <w:p w14:paraId="4D7A10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переход на деревянное крыла</w:t>
      </w:r>
    </w:p>
    <w:p w14:paraId="5EC6F8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перевод на дерево носовой части фюзеляжа и хвостовика и др.</w:t>
      </w:r>
    </w:p>
    <w:p w14:paraId="1226D4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Стоимость перечисленных дополнительных работ - 20.0 тыс. руб.</w:t>
      </w:r>
    </w:p>
    <w:p w14:paraId="76A2D6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Добавление: Отчетные данные по месяцам 1943: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gridCol w:w="1409"/>
        <w:gridCol w:w="1409"/>
      </w:tblGrid>
      <w:tr w:rsidR="00860B4B" w:rsidRPr="00D03F3E" w14:paraId="1B32768E" w14:textId="77777777">
        <w:tc>
          <w:tcPr>
            <w:tcW w:w="1409" w:type="dxa"/>
          </w:tcPr>
          <w:p w14:paraId="600951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09B45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1409" w:type="dxa"/>
          </w:tcPr>
          <w:p w14:paraId="3FD4A2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1409" w:type="dxa"/>
          </w:tcPr>
          <w:p w14:paraId="5B7C38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1409" w:type="dxa"/>
          </w:tcPr>
          <w:p w14:paraId="479B88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1409" w:type="dxa"/>
          </w:tcPr>
          <w:p w14:paraId="34D199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1409" w:type="dxa"/>
          </w:tcPr>
          <w:p w14:paraId="67FACA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r>
      <w:tr w:rsidR="00860B4B" w:rsidRPr="00D03F3E" w14:paraId="5B4F1CC8" w14:textId="77777777">
        <w:tc>
          <w:tcPr>
            <w:tcW w:w="1409" w:type="dxa"/>
          </w:tcPr>
          <w:p w14:paraId="79FAE9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Заводская с/с</w:t>
            </w:r>
          </w:p>
        </w:tc>
        <w:tc>
          <w:tcPr>
            <w:tcW w:w="1409" w:type="dxa"/>
          </w:tcPr>
          <w:p w14:paraId="29DB90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369.2</w:t>
            </w:r>
          </w:p>
        </w:tc>
        <w:tc>
          <w:tcPr>
            <w:tcW w:w="1409" w:type="dxa"/>
          </w:tcPr>
          <w:p w14:paraId="673660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374.3</w:t>
            </w:r>
          </w:p>
        </w:tc>
        <w:tc>
          <w:tcPr>
            <w:tcW w:w="1409" w:type="dxa"/>
          </w:tcPr>
          <w:p w14:paraId="2C2375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399.4</w:t>
            </w:r>
          </w:p>
        </w:tc>
        <w:tc>
          <w:tcPr>
            <w:tcW w:w="1409" w:type="dxa"/>
          </w:tcPr>
          <w:p w14:paraId="67539C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395.5</w:t>
            </w:r>
          </w:p>
        </w:tc>
        <w:tc>
          <w:tcPr>
            <w:tcW w:w="1409" w:type="dxa"/>
          </w:tcPr>
          <w:p w14:paraId="0DA635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386.5</w:t>
            </w:r>
          </w:p>
        </w:tc>
        <w:tc>
          <w:tcPr>
            <w:tcW w:w="1409" w:type="dxa"/>
          </w:tcPr>
          <w:p w14:paraId="3C6074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387.3 (2105)</w:t>
            </w:r>
          </w:p>
        </w:tc>
      </w:tr>
    </w:tbl>
    <w:p w14:paraId="05101D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Ли-2 завода 84</w:t>
      </w:r>
    </w:p>
    <w:p w14:paraId="56436A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Пе-2 завода 22</w:t>
      </w:r>
    </w:p>
    <w:p w14:paraId="735A8C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Мотор М-105ПФ завода 16</w:t>
      </w:r>
    </w:p>
    <w:p w14:paraId="73CE7F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Мотор М-82Ф завода 19</w:t>
      </w:r>
    </w:p>
    <w:p w14:paraId="5402C9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Мотор М-82ФН завода 19</w:t>
      </w:r>
    </w:p>
    <w:p w14:paraId="09F582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Мотор АМ-38Ф завода 24</w:t>
      </w:r>
    </w:p>
    <w:p w14:paraId="2A8D32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"Предложение Госплана - 52.0</w:t>
      </w:r>
      <w:r w:rsidRPr="00D03F3E">
        <w:rPr>
          <w:rFonts w:ascii="Times New Roman" w:hAnsi="Times New Roman"/>
          <w:color w:val="000000" w:themeColor="text1"/>
          <w:sz w:val="16"/>
          <w:szCs w:val="16"/>
        </w:rPr>
        <w:tab/>
        <w:t>Предложение НКАП - 55.0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503"/>
        <w:gridCol w:w="1636"/>
        <w:gridCol w:w="1636"/>
        <w:gridCol w:w="2681"/>
      </w:tblGrid>
      <w:tr w:rsidR="00860B4B" w:rsidRPr="00D03F3E" w14:paraId="68BEB7B9" w14:textId="77777777">
        <w:tc>
          <w:tcPr>
            <w:tcW w:w="4503" w:type="dxa"/>
          </w:tcPr>
          <w:p w14:paraId="05C9F5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36" w:type="dxa"/>
          </w:tcPr>
          <w:p w14:paraId="2FCA1F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36" w:type="dxa"/>
          </w:tcPr>
          <w:p w14:paraId="781BEB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81" w:type="dxa"/>
          </w:tcPr>
          <w:p w14:paraId="6236BB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BBDA826" w14:textId="77777777">
        <w:tc>
          <w:tcPr>
            <w:tcW w:w="4503" w:type="dxa"/>
          </w:tcPr>
          <w:p w14:paraId="779B25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Действующая отпускная цена</w:t>
            </w:r>
          </w:p>
        </w:tc>
        <w:tc>
          <w:tcPr>
            <w:tcW w:w="1636" w:type="dxa"/>
          </w:tcPr>
          <w:p w14:paraId="15F4AB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w:t>
            </w:r>
          </w:p>
        </w:tc>
        <w:tc>
          <w:tcPr>
            <w:tcW w:w="1636" w:type="dxa"/>
          </w:tcPr>
          <w:p w14:paraId="667014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81" w:type="dxa"/>
          </w:tcPr>
          <w:p w14:paraId="74CA30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6653CAE" w14:textId="77777777">
        <w:tc>
          <w:tcPr>
            <w:tcW w:w="4503" w:type="dxa"/>
          </w:tcPr>
          <w:p w14:paraId="05E85E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Проектируемая отпускная цена с 1 апреля 1943</w:t>
            </w:r>
          </w:p>
        </w:tc>
        <w:tc>
          <w:tcPr>
            <w:tcW w:w="1636" w:type="dxa"/>
          </w:tcPr>
          <w:p w14:paraId="3E764E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55.0</w:t>
            </w:r>
          </w:p>
        </w:tc>
        <w:tc>
          <w:tcPr>
            <w:tcW w:w="1636" w:type="dxa"/>
          </w:tcPr>
          <w:p w14:paraId="5BB5C8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81" w:type="dxa"/>
          </w:tcPr>
          <w:p w14:paraId="67D0F5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DDEB1C0" w14:textId="77777777">
        <w:tc>
          <w:tcPr>
            <w:tcW w:w="4503" w:type="dxa"/>
          </w:tcPr>
          <w:p w14:paraId="04D5BB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Убыток от реализации моторной продукции за 1942</w:t>
            </w:r>
          </w:p>
        </w:tc>
        <w:tc>
          <w:tcPr>
            <w:tcW w:w="1636" w:type="dxa"/>
          </w:tcPr>
          <w:p w14:paraId="168215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56.0 млн.</w:t>
            </w:r>
          </w:p>
        </w:tc>
        <w:tc>
          <w:tcPr>
            <w:tcW w:w="1636" w:type="dxa"/>
          </w:tcPr>
          <w:p w14:paraId="177B43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81" w:type="dxa"/>
          </w:tcPr>
          <w:p w14:paraId="6EE0B7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787D97F" w14:textId="77777777">
        <w:tc>
          <w:tcPr>
            <w:tcW w:w="4503" w:type="dxa"/>
          </w:tcPr>
          <w:p w14:paraId="2355EC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Динамика фактической с/с</w:t>
            </w:r>
          </w:p>
        </w:tc>
        <w:tc>
          <w:tcPr>
            <w:tcW w:w="1636" w:type="dxa"/>
          </w:tcPr>
          <w:p w14:paraId="3256AF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1942</w:t>
            </w:r>
          </w:p>
        </w:tc>
        <w:tc>
          <w:tcPr>
            <w:tcW w:w="1636" w:type="dxa"/>
          </w:tcPr>
          <w:p w14:paraId="428622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1943</w:t>
            </w:r>
          </w:p>
        </w:tc>
        <w:tc>
          <w:tcPr>
            <w:tcW w:w="2681" w:type="dxa"/>
          </w:tcPr>
          <w:p w14:paraId="2EF491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572F0EA" w14:textId="77777777">
        <w:tc>
          <w:tcPr>
            <w:tcW w:w="4503" w:type="dxa"/>
          </w:tcPr>
          <w:p w14:paraId="31AFD5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36" w:type="dxa"/>
          </w:tcPr>
          <w:p w14:paraId="4191D2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36" w:type="dxa"/>
          </w:tcPr>
          <w:p w14:paraId="12463A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январь</w:t>
            </w:r>
          </w:p>
        </w:tc>
        <w:tc>
          <w:tcPr>
            <w:tcW w:w="2681" w:type="dxa"/>
          </w:tcPr>
          <w:p w14:paraId="2B4C33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февраль</w:t>
            </w:r>
          </w:p>
        </w:tc>
      </w:tr>
      <w:tr w:rsidR="00860B4B" w:rsidRPr="00D03F3E" w14:paraId="2B89CBEF" w14:textId="77777777">
        <w:tc>
          <w:tcPr>
            <w:tcW w:w="4503" w:type="dxa"/>
          </w:tcPr>
          <w:p w14:paraId="4590F4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36" w:type="dxa"/>
          </w:tcPr>
          <w:p w14:paraId="65000A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55.703</w:t>
            </w:r>
          </w:p>
        </w:tc>
        <w:tc>
          <w:tcPr>
            <w:tcW w:w="1636" w:type="dxa"/>
          </w:tcPr>
          <w:p w14:paraId="4DA80E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53.904</w:t>
            </w:r>
          </w:p>
        </w:tc>
        <w:tc>
          <w:tcPr>
            <w:tcW w:w="2681" w:type="dxa"/>
          </w:tcPr>
          <w:p w14:paraId="4336E2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54.063</w:t>
            </w:r>
          </w:p>
        </w:tc>
      </w:tr>
    </w:tbl>
    <w:p w14:paraId="60615B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Влияние модификации на увеличение с/с</w:t>
      </w:r>
    </w:p>
    <w:p w14:paraId="120BA8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Вносятся следующие конструктивные изменения:</w:t>
      </w:r>
    </w:p>
    <w:p w14:paraId="64467F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новой конструкции специальная центрифуга для очистки масла</w:t>
      </w:r>
    </w:p>
    <w:p w14:paraId="7F9926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заменяется винтовая передача распределения на коническую</w:t>
      </w:r>
    </w:p>
    <w:p w14:paraId="316355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редуктор новой конструкции</w:t>
      </w:r>
    </w:p>
    <w:p w14:paraId="4AC945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против АМ-38 на АМ-38Ф вводятся совершенно новые детали в количестве 180 шт.</w:t>
      </w:r>
    </w:p>
    <w:p w14:paraId="26895D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в связи с конструктивными изменениями потребуется изготовить большое количество специального инструмента и приспособлений</w:t>
      </w:r>
    </w:p>
    <w:p w14:paraId="7EC22B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Стоимость перечисленных конструктивных изменения - 5.0</w:t>
      </w:r>
    </w:p>
    <w:p w14:paraId="7A0638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Отчетные данные по месяцам 1943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gridCol w:w="1252"/>
        <w:gridCol w:w="1252"/>
      </w:tblGrid>
      <w:tr w:rsidR="00860B4B" w:rsidRPr="00D03F3E" w14:paraId="52CC5022" w14:textId="77777777">
        <w:tc>
          <w:tcPr>
            <w:tcW w:w="1252" w:type="dxa"/>
          </w:tcPr>
          <w:p w14:paraId="5BA4C7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52" w:type="dxa"/>
          </w:tcPr>
          <w:p w14:paraId="5B8533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1252" w:type="dxa"/>
          </w:tcPr>
          <w:p w14:paraId="200E73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1252" w:type="dxa"/>
          </w:tcPr>
          <w:p w14:paraId="656E33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1252" w:type="dxa"/>
          </w:tcPr>
          <w:p w14:paraId="4FB988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1252" w:type="dxa"/>
          </w:tcPr>
          <w:p w14:paraId="1BC473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1252" w:type="dxa"/>
          </w:tcPr>
          <w:p w14:paraId="5A885C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1252" w:type="dxa"/>
          </w:tcPr>
          <w:p w14:paraId="3C458A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r>
      <w:tr w:rsidR="00860B4B" w:rsidRPr="00D03F3E" w14:paraId="3D35EB58" w14:textId="77777777">
        <w:tc>
          <w:tcPr>
            <w:tcW w:w="1252" w:type="dxa"/>
          </w:tcPr>
          <w:p w14:paraId="032B07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Заводская с/с</w:t>
            </w:r>
          </w:p>
        </w:tc>
        <w:tc>
          <w:tcPr>
            <w:tcW w:w="1252" w:type="dxa"/>
          </w:tcPr>
          <w:p w14:paraId="24C35A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53.9</w:t>
            </w:r>
          </w:p>
        </w:tc>
        <w:tc>
          <w:tcPr>
            <w:tcW w:w="1252" w:type="dxa"/>
          </w:tcPr>
          <w:p w14:paraId="757A92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54.1</w:t>
            </w:r>
          </w:p>
        </w:tc>
        <w:tc>
          <w:tcPr>
            <w:tcW w:w="1252" w:type="dxa"/>
          </w:tcPr>
          <w:p w14:paraId="7A62F3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51.7</w:t>
            </w:r>
          </w:p>
        </w:tc>
        <w:tc>
          <w:tcPr>
            <w:tcW w:w="1252" w:type="dxa"/>
          </w:tcPr>
          <w:p w14:paraId="411E7D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49.2</w:t>
            </w:r>
          </w:p>
        </w:tc>
        <w:tc>
          <w:tcPr>
            <w:tcW w:w="1252" w:type="dxa"/>
          </w:tcPr>
          <w:p w14:paraId="49B49A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49.9</w:t>
            </w:r>
          </w:p>
        </w:tc>
        <w:tc>
          <w:tcPr>
            <w:tcW w:w="1252" w:type="dxa"/>
          </w:tcPr>
          <w:p w14:paraId="309391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55.6</w:t>
            </w:r>
          </w:p>
        </w:tc>
        <w:tc>
          <w:tcPr>
            <w:tcW w:w="1252" w:type="dxa"/>
          </w:tcPr>
          <w:p w14:paraId="284369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52.6 (2105)</w:t>
            </w:r>
          </w:p>
        </w:tc>
      </w:tr>
    </w:tbl>
    <w:p w14:paraId="589258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Мотор М-105ПФ завода 26 (2105).</w:t>
      </w:r>
    </w:p>
    <w:p w14:paraId="015EBA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152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9 по 17 апреля 1943 в НИИ ВВС неудовлетворительно прошел испытания Як-1 N 07127 292 завода (1784,271).</w:t>
      </w:r>
    </w:p>
    <w:p w14:paraId="412453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B17C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9 по 17 апреля 1943 самолет Як-1 N 07127 производства завода 292 неудовлетворительно прошел гос. испытания по причине:</w:t>
      </w:r>
    </w:p>
    <w:p w14:paraId="1901C9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высоких температурных режимов</w:t>
      </w:r>
    </w:p>
    <w:p w14:paraId="748A41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неправильной выработки горючего</w:t>
      </w:r>
    </w:p>
    <w:p w14:paraId="76F60C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забрызгивания маслом козырька кабины пилота</w:t>
      </w:r>
    </w:p>
    <w:p w14:paraId="5839BD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тяжелого управления самолетом (1778,271).</w:t>
      </w:r>
    </w:p>
    <w:p w14:paraId="3A286C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E8E472"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1943 г. Гудков направил в НИИ ВВС пояснительную записку к эскизному проекту. В ней он излагал совершенно правильные взгляды на преимущества самолетов с ТРД по сравнению с самолетами, на которых используются ЖРД и ПВРД большую продолжительность полета — около 1 часа (у самолета БИ продолжительность моторного полета 100 с, а у «302» — 15 мин), что «делает машину боевой машиной, очень грозной для противника». В связи с этим Гудков писал, что создание полноценных боевых самолетов с использованием в качестве основного двигателя ЖРД бесперспективно. С ЖРД целесообразно создавать лишь экспериментальные самолеты для исследовательских полетов на больших скоростях. Последующая практика подтвердила справедливость этой точки зрения (15577).</w:t>
      </w:r>
    </w:p>
    <w:p w14:paraId="7090C366" w14:textId="77777777" w:rsidR="004A4CDC" w:rsidRPr="00D03F3E" w:rsidRDefault="004A4CDC" w:rsidP="00D03F3E">
      <w:pPr>
        <w:spacing w:after="0" w:line="240" w:lineRule="auto"/>
        <w:jc w:val="both"/>
        <w:rPr>
          <w:rFonts w:ascii="Times New Roman" w:hAnsi="Times New Roman"/>
          <w:color w:val="000000" w:themeColor="text1"/>
          <w:sz w:val="16"/>
          <w:szCs w:val="16"/>
        </w:rPr>
      </w:pPr>
    </w:p>
    <w:p w14:paraId="7CA52606"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1943 Гудков направил в НИИ ВВС пояснительную записку Гу-ВРД, в которой убедительно изложил преимущества применения ТКВРД по сравнению с обычными ПВРД и ЖРД, которые тогда большей частью использовались как ускорители. В частности, упор делался на гораздо большую продолжительность полета, доходившую до 1 часа, в то время как ЖРД мог работать только 100 секунд, а ПРВД – не более 15 минут.</w:t>
      </w:r>
    </w:p>
    <w:p w14:paraId="66B0ABB0"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Разработанный М.И. Гудковым самолет представлял собой моноплан с ТКВРД конструкции А.М. Люлька, размещенным по так называемой "реданной" схеме в носовой части машины. Нос самолета был заострен и имел четыре входных канала для забора воздуха. Крыло площадью 11 м.кв. спроектировали трапециевидным в плане с закруглениями на концах, шасси – убирающимся, с хвостовым колесом. Взлетная масса самолета по расчетам должна была составить всего 2250 кг при запасе топлива 400 кг и масла 12 кг. Вооружение самолета размещалось в носовой части фюзеляжа над двигателем и включало одну пушку ШВАК с запасом 200 снарядов и один крупнокалиберный пулемет БС с запасом 200 патронов.</w:t>
      </w:r>
    </w:p>
    <w:p w14:paraId="22B7745A" w14:textId="77777777" w:rsidR="004A4CDC" w:rsidRPr="00D03F3E" w:rsidRDefault="004A4CD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Двигатель массой 700 кг по проекту имел диаметр 0,9 м, длину 2,1 м и статическую тягу 1500 кг. По расчетам М.И. Гудкова максимальная скорость полета Гу-ВРД у земли должна была составить 870 км/ч, на высоте 6000 м – 900...1000 км/ч, а время набора высоты 5000 м – 1,39 мин. Дальность полета на скорости 0,8 от максимальной оценивалась равной 700 км, а продолжительность полета – около 1 часа. Длина разбега по расчету – 222 м. Опыт постройки самолетов с ТКВРД впоследствии показал, что этот показатель оценили чересчур оптимистично. В заключительной части записки М.И. Гудков сообщал, что он заканчивает разработку проекта скоростного бомбардировщика с двумя ТКВРД, а Люлька – двигателя со статической тягой 1500 кг. Полетная масса этого самолета должна была составить 6500 кг. При экипаже, состоявшем из 3 человек, максимальная скорость полета машины на высоте 600 м оценивалась равной 780...800 км/ч, дальность полета – 1200...1500 км. Масса бомбовой нагрузки должна была составить 1200...1500 кг, а стрелково-пушечное вооружение включало одну пушку и один пулемет БС (15570).</w:t>
      </w:r>
    </w:p>
    <w:p w14:paraId="72F76C5F" w14:textId="77777777" w:rsidR="004A4CDC" w:rsidRPr="00D03F3E" w:rsidRDefault="004A4CDC" w:rsidP="00D03F3E">
      <w:pPr>
        <w:spacing w:after="0" w:line="240" w:lineRule="auto"/>
        <w:jc w:val="both"/>
        <w:rPr>
          <w:rFonts w:ascii="Times New Roman" w:hAnsi="Times New Roman"/>
          <w:color w:val="000000" w:themeColor="text1"/>
          <w:sz w:val="16"/>
          <w:szCs w:val="16"/>
        </w:rPr>
      </w:pPr>
    </w:p>
    <w:p w14:paraId="190563E3" w14:textId="77777777" w:rsidR="002B21DE" w:rsidRPr="00D03F3E" w:rsidRDefault="002B21DE" w:rsidP="00D03F3E">
      <w:pPr>
        <w:pStyle w:val="ae"/>
        <w:shd w:val="clear" w:color="auto" w:fill="FFFFFF"/>
        <w:spacing w:before="0" w:after="0"/>
        <w:jc w:val="both"/>
        <w:rPr>
          <w:color w:val="000000" w:themeColor="text1"/>
          <w:sz w:val="16"/>
          <w:szCs w:val="16"/>
        </w:rPr>
      </w:pPr>
      <w:r w:rsidRPr="00D03F3E">
        <w:rPr>
          <w:color w:val="000000" w:themeColor="text1"/>
          <w:sz w:val="16"/>
          <w:szCs w:val="16"/>
        </w:rPr>
        <w:t>9 апреля 1943 г. Гудков направил в НИИ ВВС пояснитель ную записку к эскизному проекту. В ней он излагал совершенно правильные взгляды на преимущества самолетов с ТРД по срав нению с самолетами, на которых используются ЖРД и ПВРД большую продолжительность полета — около 1 часа (у самолета БИ продолжительность моторного полета 100 с, а у «302» — 15 мин), что «делает машину боевой машиной, очень грозной для противника». В связи с этим Гудков писал, что создание полноценных боевых самолетов с использованием в качестве ос новного двигателя ЖРД бесперспективно. С ЖРД целесообраз но создавать лишь экспериментальные самолеты для исследова* тельских полетов на больших скоростях. Последующая практи ка подтвердила справедливость этой точки зрения.</w:t>
      </w:r>
    </w:p>
    <w:p w14:paraId="7ED5BA2D" w14:textId="77777777" w:rsidR="002B21DE" w:rsidRPr="00D03F3E" w:rsidRDefault="002B21DE"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записке Гудков указывал, что на тот момент уже была успешно испытана к мера сгорания двигателя A.M. Люльки, построен и испытан двухступенчатый осевой нагнетатель (компрессор), дающий степень сжатия в одной ступени 1,25 при КПД 0,75, что тоже было вполне успешным. Был спроектирован и на 70 % изго товлен опытный образец двигателя с тягой 750 кгс у земли, а не 530 кгс, как говорилось выше. При этом Гудков отмечал, что изготовленный двигатель, а также основные кадры кол лектива его создателей находятся в Москве. Люлька планиро вал приступить к созданию двигателя со статической тягой 1500 кгс. Никакой реакции на эту информацию не последова ло: нет двигателя и все тут</w:t>
      </w:r>
    </w:p>
    <w:p w14:paraId="685451D2" w14:textId="77777777" w:rsidR="002B21DE" w:rsidRPr="00D03F3E" w:rsidRDefault="002B21DE"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конце письма Гудков сообщил, что он заканчивает раз работку проекта скоростного бомбардировщика с двумя ТРД А.И. Люльки со статической тягой по 1500 кгс. Полетная масса самолета 6500 кг. Экипаж — 3 чел. Максимальная скорость на высоте 6000 м — 780...800 км/ч. Дальность полета — 1200...1500 км. Бомбовая нагрузка— 1200...1500 кг. Стрелко во-пушечное вооружение — одна пушка и один пулемет БС.</w:t>
      </w:r>
    </w:p>
    <w:p w14:paraId="05D3E0B3" w14:textId="77777777" w:rsidR="002B21DE" w:rsidRPr="00D03F3E" w:rsidRDefault="002B21DE" w:rsidP="00D03F3E">
      <w:pPr>
        <w:pStyle w:val="ae"/>
        <w:shd w:val="clear" w:color="auto" w:fill="FFFFFF"/>
        <w:spacing w:before="0" w:after="0"/>
        <w:jc w:val="both"/>
        <w:rPr>
          <w:color w:val="000000" w:themeColor="text1"/>
          <w:sz w:val="16"/>
          <w:szCs w:val="16"/>
        </w:rPr>
      </w:pPr>
      <w:r w:rsidRPr="00D03F3E">
        <w:rPr>
          <w:color w:val="000000" w:themeColor="text1"/>
          <w:sz w:val="16"/>
          <w:szCs w:val="16"/>
        </w:rPr>
        <w:lastRenderedPageBreak/>
        <w:t>Схема самолета Гу-ВРД, помещенная в материалах эскиз ного проекта, имеет значительное отличие от самолета на ри сунке, который часто публикуется в различных источниках.</w:t>
      </w:r>
    </w:p>
    <w:p w14:paraId="2C5FECB9" w14:textId="77777777" w:rsidR="002B21DE" w:rsidRPr="00D03F3E" w:rsidRDefault="002B21DE"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частности, такой рисунок опубликован во втором томе кни ги «Советское самолетостроение» издательства ЦАГИ.</w:t>
      </w:r>
    </w:p>
    <w:p w14:paraId="770949CC" w14:textId="77777777" w:rsidR="002B21DE" w:rsidRPr="00D03F3E" w:rsidRDefault="002B21DE" w:rsidP="00D03F3E">
      <w:pPr>
        <w:pStyle w:val="ae"/>
        <w:shd w:val="clear" w:color="auto" w:fill="FFFFFF"/>
        <w:spacing w:before="0" w:after="0"/>
        <w:jc w:val="both"/>
        <w:rPr>
          <w:color w:val="000000" w:themeColor="text1"/>
          <w:sz w:val="16"/>
          <w:szCs w:val="16"/>
        </w:rPr>
      </w:pPr>
      <w:r w:rsidRPr="00D03F3E">
        <w:rPr>
          <w:color w:val="000000" w:themeColor="text1"/>
          <w:sz w:val="16"/>
          <w:szCs w:val="16"/>
        </w:rPr>
        <w:t>Из всего этого можно сделать вывод о том, что, возможно, существовало два проекта: один ЛаГГ-3 РД-1 под ТРД РД-1 с тягой 530 кгс действительно на базе истребителя ЛаГГ-3 и дру гой под ТРД РД-1 с тягой 750 кгс совершенно новый под на званием Гу-ВРД (19586).</w:t>
      </w:r>
    </w:p>
    <w:p w14:paraId="3A611A16" w14:textId="77777777" w:rsidR="002B21DE" w:rsidRPr="00D03F3E" w:rsidRDefault="002B21DE" w:rsidP="00D03F3E">
      <w:pPr>
        <w:pStyle w:val="ae"/>
        <w:shd w:val="clear" w:color="auto" w:fill="FFFFFF"/>
        <w:spacing w:before="0" w:after="0"/>
        <w:jc w:val="both"/>
        <w:rPr>
          <w:color w:val="000000" w:themeColor="text1"/>
          <w:sz w:val="16"/>
          <w:szCs w:val="16"/>
        </w:rPr>
      </w:pPr>
    </w:p>
    <w:p w14:paraId="3A3284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1943 г. М.И.Гудков направил в НИИ ВВС пояснительную записку к эскизному проекту, в которой излагал совершенно правильные (с современной точки зрения) взгляды на преимущества самолетов с ТКВРД по сравнению с самолетами, на которых использовались ЖРД и ПВРД.</w:t>
      </w:r>
    </w:p>
    <w:p w14:paraId="3F2338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положительным качествам машин с ТКВРД он относил "большую продолжительность полета (около 1 часа, у Болховитинова продолжительность моторного полета с ЖРД - 100 с, у Костикова будет 15 мин ), что делает машину боевой, очень грозной для противника". В связи с этим он утверждал, что создание полноценных самолетов с использованием ЖРД в качестве основного двигателя бесперспективно: "С ЖРД целесообразно создавать лишь экспериментальные самолеты для исследовательских полетов на больших скоростях". Впоследствии практика подтвердила справедливость этой точки зрения.</w:t>
      </w:r>
    </w:p>
    <w:p w14:paraId="4540C7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Разработанный М.И. Гудковым самолет представлял собой моноплан с ТКВРД конструкции А.М. Люлька, размещенным по так называемой "реданной" схеме в носовой части машины. Нос самолета был заострен и имел четыре входных канала для забора воздуха. Крыло площадью 11 м2 спроектировали трапециевидным в плане с закруглениями на концах, шасси - убирающимся, с хвостовым колесом. Взлетная масса самолета по расчетам должна была составить всего 2250 кг при запасе топлива 400 кг и масла 12 кг. Вооружение самолета размещалось в носовой части фюзеляжа над двигателем и включало одну пушку ШВАК с запасом 200 снарядов и один крупнокалиберный пулемет БС с запасом 200 патронов.</w:t>
      </w:r>
    </w:p>
    <w:p w14:paraId="6138A7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Двигатель массой 700 кг по проекту имел диаметр 0,9 м, длину 2,1 м и статическую тягу 1500 кг. По расчетам М.И. Гудкова максимальная скорость полета Гу-ВРД у земли должна была составить 870 км/ч, на высоте 6000 м - 900...1000 км/ч, а время набора высоты 5000 м - 1,39 мин. Дальность полета на скорости 0,8 от максимальной оценивалась равной 700 км, а продолжительность полета - около 1 часа. Длина разбега по расчету - 222 м. Опыт постройки самолетов с ТКВРД впоследствии показал, что этот показатель оценили чересчур оптимистично.</w:t>
      </w:r>
    </w:p>
    <w:p w14:paraId="5584F5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заключительной части записки М.И. Гудков сообщал, что он заканчивает разработку проекта скоростного бомбардировщика с двумя ТКВРД, а Люлька - двигателя со статической тягой 1500 кг. Полетная масса этого самолета должна была составить 6500 кг. При экипаже, состоявшем из 3 человек, максимальная скорость полета машины на высоте 600 м оценивалась равной 780...800 км/ч, дальность полета - 1200...1500 км. Масса бомбовой нагрузки должна была составить 1200...1500 кг, а стрелково-пушечное вооружение включало одну пушку и один пулемет БС.</w:t>
      </w:r>
    </w:p>
    <w:p w14:paraId="68CF14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Резолюция руководства НИИ ВВС КА в адрес Начальника самолетного управления НИИ ВВС гласила: "Срочно дайте заключение по проекту сверхскоростного истребителя-перехватчика с двигателем Люлька конструкции Гудкова". Начальник управления И. Сафронов в своей резолюции исполнителю от 17 апреля 1943 г. написал "самолет летать, по-видимому, будет с указанной скоростью, но беда в том, что двигателя, кроме фамилии автора, на сегодня нет “(9016).</w:t>
      </w:r>
    </w:p>
    <w:p w14:paraId="6B5CC5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03244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5092C4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82A7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1943 года была подготовлена справка:</w:t>
      </w:r>
    </w:p>
    <w:p w14:paraId="146F22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54 НКМВ поставляет 90% гильзового и пульного биметалла патронным заводам – ст. Нытва Пермской ж/д (9269)</w:t>
      </w:r>
    </w:p>
    <w:p w14:paraId="069138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2542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1943 года завод № 332 передан в число заводов НКБ.</w:t>
      </w:r>
    </w:p>
    <w:p w14:paraId="0C84A4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до 1927 года принадлежал частному владельцу Аркинду.</w:t>
      </w:r>
    </w:p>
    <w:p w14:paraId="57A139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 национализации и некоторое время после нее завод изготовлял предметы потребления, относящиеся к галантерее, в силу чего был включен в число предприятий треста “Галантерейщик”. В дальнейшем преобразованный в трест “Мосштамп” и “Мосгорместпром” НК местной промышленности РСФСР. Завод именовался – завод № 5 “Мосштамп”, “Металлоштамп”.</w:t>
      </w:r>
    </w:p>
    <w:p w14:paraId="5F354C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1934 года б. Завод № 332 НКБ начинает выпускать боеприпасы.</w:t>
      </w:r>
    </w:p>
    <w:p w14:paraId="1AC07D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Москва, Б-5, Бакунинская ул., 82</w:t>
      </w:r>
    </w:p>
    <w:p w14:paraId="65921A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Рядом с заводом № 332 находится филиал завода № 498 Радиотехнической промышленности (9622).</w:t>
      </w:r>
    </w:p>
    <w:p w14:paraId="310227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B06C7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1943 вышло Распоряжение ГКО № 3150 [О передаче НКВД 10 экскаваторов для добычи угля в Карагандинском бассейне.] (7093, 97).</w:t>
      </w:r>
    </w:p>
    <w:p w14:paraId="1D3D536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B5E8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1943 вышло Распоряжение ГКО № 3151. Об изготовлении опытно-серийных партий бумажных и металлических ручных противотанковых гранат кумулятивного действия.РГАНИР, Фонд ГКО, д. 102, лл. 98-100, 101 (11012).</w:t>
      </w:r>
    </w:p>
    <w:p w14:paraId="61B735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84C88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1943 вышло Постановление ГКО № 3152 О завозе торфа для электростанций г. Ленинграда с Назиевского торфопредприятия Наркомэлектростанций. (7093, 102-103).</w:t>
      </w:r>
    </w:p>
    <w:p w14:paraId="1D0EB38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0AD2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1943 вышло Постановление ГКО № 3153 О мероприятиях по увеличению производства цемента, оконного стекла и кровельных материалов во II кв. 1943 года.РГАНИР, Фонд ГКО, д. 102, лл. 104-109, 110-111 (11012).</w:t>
      </w:r>
    </w:p>
    <w:p w14:paraId="322864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9FD7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1943 вышло Постановление ГКО № 3154 О плане снабжения торфом на II квартал 1943 г.РГАНИР, Фонд ГКО, д. 102, лл. 112, 113-126 (11012).</w:t>
      </w:r>
    </w:p>
    <w:p w14:paraId="591BF3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6A2A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1943 вышло Постановление ГКО № 3155 О заключении договора на техническую помощь с американской фирмой "Браун Инструмент Компани".РГАНИР, Фонд ГКО, д. 102, лл. 127 (11012).</w:t>
      </w:r>
    </w:p>
    <w:p w14:paraId="23E316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EE18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1943 вышло Постановление ГКО № 3156 Об учреждении Красного знамени Государственного Комитета Обороны лучшему торфопредприятияю НКЭС, занявшему первое место во Всесоюзном социалистическом соревновании.РГАНИР, Фонд ГКО, д. 102, лл. 128 (11012).</w:t>
      </w:r>
    </w:p>
    <w:p w14:paraId="1E3A4D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A92C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1943 вышло Постановление ГКО № 3157 О дополнительном учреждении одного переходящего Красного Знамени Государственного Комитета Обороны для предприятий НКЛП.РГАНИР, Фонд ГКО, д. 102, лл. 129 (11012).</w:t>
      </w:r>
    </w:p>
    <w:p w14:paraId="1E0CD9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0A76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1943 НКВД на основании постановления СНК N Х 1874-874 от 24 ноября 1942 и 3124 от 5 апреля 1943 издал приказ N 00683 Об изменении норм продовольственного снабжения для военнопленных - улучшили. Для занятых на тяжелых работах увеличили на 25% - в основном хлеб - увеличили калорийность до 1839 кал. и до 2014.5 кал для занятых на тяжелых работах (3428).</w:t>
      </w:r>
    </w:p>
    <w:p w14:paraId="226F73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A6E9C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26632F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21B117"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в 1943 году утреннее сообщение Совинформбюро:</w:t>
      </w:r>
    </w:p>
    <w:p w14:paraId="1593A1AA"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течение ночи на 9 апреля на фронтах существенных изменений не произошло.</w:t>
      </w:r>
    </w:p>
    <w:p w14:paraId="5BADB639"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противник ночью пытался атаковать советские подразделения. Миномётным и ружейно-пулемётным огнём немцы были рассеяны и отступили, оставив перед нашими позициями до 200 трупов своих солдат и офицеров.</w:t>
      </w:r>
    </w:p>
    <w:p w14:paraId="32347CC7"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части Н-ского соединения, отражая атаки противника, истребили до роты немецкой пехоты. Артиллерийским огнём уничтожено 2 вражеских танка. Красноармейцы-разведчики тт. Глазков и Бровкин ночью пробрались в населённый пункт, занятый немцами, и открыли огонь из автоматов. Среди гитлеровцев началась беспорядочная стрельба. Наши разведчики, воспользовавшись паникой, уничтожили 10 вражеских солдат и благополучно вернулись в свою часть.</w:t>
      </w:r>
    </w:p>
    <w:p w14:paraId="22A3B07E"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артиллеристы Н-ской части подавили огонь 2 артиллерийских и 3 миномётных батарей противника. Гвардии старшина Фатеев, находясь в разведке, заметил 6 немцев. Разведчик скрытно подполз к гитлеровцам и огнём из автомата убил немецкого офицера, двух солдат, а одного ранил. Остальные немцы убежали. Разведчик доставил раненого немца в свою часть.</w:t>
      </w:r>
    </w:p>
    <w:p w14:paraId="7CB68F36"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войска закреплялись на достигнутых рубежах и вели разведку противника. На ряде участков прошедшие дожди затруднили активные боевые действия. Н-ское соединение, действуя передовыми отрядами, уничтожило 180 гитлеровцев. Захвачено у противника 3 орудия, 8 пулемётов, 10 тысяч патронов. Взяты пленные.</w:t>
      </w:r>
    </w:p>
    <w:p w14:paraId="02A108BA"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Партизанский отряд, действующий в одном из районов Латвийской ССР, за последнее время уничтожил до 200 гитлеровцев, взорвал 6 складов и разгромил 3 немецких полицейских участка. Группа партизан этого же отряда пустила под откос железнодорожный эшелон противника. Разбиты паровоз и несколько платформ с военной техникой. Другой отряд латвийских партизан совершил налёт на штаб немецкой части. Советские патриоты уничтожили 6 офицеров противника.</w:t>
      </w:r>
    </w:p>
    <w:p w14:paraId="76D86FA7"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станице Ивановской, Краснодарского края: «В четырёх километрах юго-западнее станицы Ивановской в старых карьерах кирпичного завода мы обнаружили трупы советских граждан, замученных и расстрелянных гитлеровцами. Опознаны колхозник. Пётр Бойко, его жена Татьяна и четверо их детей, колхозник Федот Карпушкин, рабочий Лысенко, рабочий Иван Галушко, его жена Мария и дети Людмила — 2 лет и Александра — двух месяцев и другие мирные жители. Установлено, что перед расстрелом гитлеровцы подвергли свои жертвы пыткам, а детей Ивана Галушко палачи закопали в землю живыми». Акт подписали: жители станицы Ивановской К.Выж, Е.Дешура, М.Галушко, О.Синельникова и военфельдшер В.Воронцова.</w:t>
      </w:r>
    </w:p>
    <w:p w14:paraId="684060B0"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провинции Брабант бельгийские железнодорожники привели в негодность 11 паровозов и много вагонов, реквизированных вещами для военных перевозок. На участке железной дороги Малин—Лувен патриоты пустили под откос немецкий военный эшелон. Убито несколько десятков гитлеровцев.» (15094).</w:t>
      </w:r>
    </w:p>
    <w:p w14:paraId="08CA3CFF" w14:textId="77777777" w:rsidR="00184721" w:rsidRPr="00D03F3E" w:rsidRDefault="00184721" w:rsidP="00D03F3E">
      <w:pPr>
        <w:spacing w:after="0" w:line="240" w:lineRule="auto"/>
        <w:jc w:val="both"/>
        <w:rPr>
          <w:rFonts w:ascii="Times New Roman" w:hAnsi="Times New Roman"/>
          <w:color w:val="000000" w:themeColor="text1"/>
          <w:sz w:val="16"/>
          <w:szCs w:val="16"/>
        </w:rPr>
      </w:pPr>
    </w:p>
    <w:p w14:paraId="5192BC2E"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в 1943 году вечернее сообщение Совинформбюро:</w:t>
      </w:r>
    </w:p>
    <w:p w14:paraId="054A1DBC"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течение 9 апреля на фронтах существенных изменений не произошло.</w:t>
      </w:r>
    </w:p>
    <w:p w14:paraId="076373CA"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апреля частями нашей авиации на различных участках фронта уничтожено или повреждено не менее 20 немецких автомашин с войсками и грузами, взорван склад боеприпасов, подавлен огонь 5 артиллерийских и миномётных батарей противника.</w:t>
      </w:r>
    </w:p>
    <w:p w14:paraId="0D5DD298"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противник силами трёх батальонов пехоты и 20 танков атаковал позиции Н-ской части. Пехота противника была встречена огнём из всех видов оружия, понесла большие потери и была вынуждена залечь перед передним краем нашей обороны. Наши бойцы перешли в контратаку и в рукопашной схватке нанесли немцам тяжёлые потери. Гитлеровцы в беспорядке отступили. В этом бою немцы потеряли убитыми 1.200 солдат и офицеров. Сожжено и подбито 9 танков противника.</w:t>
      </w:r>
    </w:p>
    <w:p w14:paraId="6364CC43"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совершенствовали свои позиции, артиллерийскими миномётным огнём уничтожали живую силу и боевую технику гитлеровцев. Истреблено до двух рот немецкой пехоты, подавлен огонь миномётной и 9 артиллерийских батарей противника.</w:t>
      </w:r>
    </w:p>
    <w:p w14:paraId="2CFD0547"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Н-ская часть вела бои местного значения, в ходе которых несколько потеснила противника и улучшила свои позиции. Уничтожены 3 немецких танка, 2 самоходных орудия и шестиствольный миномёт. На поле боя осталось 120 вражеских трупов.</w:t>
      </w:r>
    </w:p>
    <w:p w14:paraId="01C02D98"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19 снайперов Н-ской части за последние дни истребили свыше 200 немецких солдат и офицеров. Снайпер Концедал убил 18 солдат и одного немецкого офицера, снайпер Гайдаров истребил 27 немцев, старшина Галицяни—28, сержант Гавриков—60, старшина Мазницын уничтожил до 50 гитлеровцев.</w:t>
      </w:r>
    </w:p>
    <w:p w14:paraId="44A1C78E"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Киевской области, внезапно ворвался в районный центр. В завязавшемся ожесточённом бою немецкий гарнизон был уничтожен. Партизаны разрушили: телефонно-телеграфную станцию и захватили большие трофеи. Много хлеба, 8 тонн сахару и 10 тонн соли партизаны роздали местному населению.</w:t>
      </w:r>
    </w:p>
    <w:p w14:paraId="0D717A4B"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украинских партизан в Сумской области организовал крушение железнодорожного эшелона противника, следовавшего к линии франта. Разбиты паровоз и 6 вагонов.</w:t>
      </w:r>
    </w:p>
    <w:p w14:paraId="556D4259"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Добровольно сдавшийся в плен ефрейтор 218 немецкой пехотной дивизии Ганс Д. рассказал: «В прошлом году мы с нетерпением ждали окончания зимы. Мы надеялись, что весна и лето принесут нам долгожданную победу. Наши надежды не оправдались. Немецкая армия ничего не добилась и потерпела жуткую катастрофу под Сталинградом. С тревогой и страхом мы ждём приближающегося лета. Многие теперь утратили веру в победу. Среди солдат распространена поговорка: «Кто пойдёт за Гитлером, тот не только ничего не выиграет, но и проиграет то, что у него есть». Уходя на пост или в разведку, солдаты, прощаясь, говорят друг другу: «До свидания в братской могиле».</w:t>
      </w:r>
    </w:p>
    <w:p w14:paraId="5B972586"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чудовищных зверствах немецко-фашистских мерзавцев в посёлке шахты имени Красина, Ростовской области: «3a время оккупации гитлеровские бандиты убили многих жителей посёлка. У ствола разрушенной шахты немцы соорудили застенок, в котором производились массовые расстрелы мужчин,женщин и детей. Трупы убитых сбрасывались в ствол. Перед расстрелом фашистские изверги брали у своих жертв кровь для немецких военных госпиталей. Выкачивание крови производилось в таких больших дозах, что арестованные, привезённые к месту казни, не могли стоять на ногах. После изощрённых пыток гитлеровцы бросили в ствол Антонину Сапельникову, её сына — 14 лет и дочь — 18 лет, Ф.Кузовлева, В.Моисеенко, И.Антоновича, Ф.Антоновича, П.Щеглова, М.Мельникова, П.Попова иего дочь, О.Силютина, А.Иванникову, И.Василенко и многих других. Немцы раздевали всех обречённых на смерть и делили между собой их одежду. Семьям расстрелянных гестаповцы сообщали, что арестованные отправлены на работу в Германию. Установлено, что ствол шахты стал могилой для многих мирных советских граждан, замученных и растерзанных гестаповцами.</w:t>
      </w:r>
    </w:p>
    <w:p w14:paraId="508773AC"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Пусть весь советский народ от мала до велика знает об этих неслыханных преступлениях гитлеровских зверей. Мы призываем доблестных воинов Красной Армиии всех советских патриотов беспощадно мстить фашистским кровопийцам». Акт подписали: Д.Захарченко, С.Фисенко, Д.Андропов, П.Козьменко, Н.Пересада,Житникова, М.Поводарский и В.Кузнецов.» (15094).</w:t>
      </w:r>
    </w:p>
    <w:p w14:paraId="776D8032" w14:textId="77777777" w:rsidR="00184721" w:rsidRPr="00D03F3E" w:rsidRDefault="00184721" w:rsidP="00D03F3E">
      <w:pPr>
        <w:spacing w:after="0" w:line="240" w:lineRule="auto"/>
        <w:jc w:val="both"/>
        <w:rPr>
          <w:rFonts w:ascii="Times New Roman" w:hAnsi="Times New Roman"/>
          <w:color w:val="000000" w:themeColor="text1"/>
          <w:sz w:val="16"/>
          <w:szCs w:val="16"/>
        </w:rPr>
      </w:pPr>
    </w:p>
    <w:p w14:paraId="3EDC01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1943 г. вышел ПРИКАЗ № 0243 О МЕРАХ ПРОТИВОВОЗДУШНОЙ ОБОРОНЫ ВОЙСК ПРИ ПЕРЕДВИЖЕНИЯХ</w:t>
      </w:r>
    </w:p>
    <w:p w14:paraId="194147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Практика переброски войск по железным, шоссейным и грунтовым дорогам показала, что благодаря плохой организации ПВО походного движения и игнорирования мер, снижающих эффективность воздушных налетов противника, войска не прибывают к указанному сроку и несут потери в личном составе и вооружении не только в прифронтовой зоне, но и в глубоких тылах.</w:t>
      </w:r>
    </w:p>
    <w:p w14:paraId="786FDB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Причинами задержек и потерь в пути являются:</w:t>
      </w:r>
    </w:p>
    <w:p w14:paraId="763C30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плохая организация, а в большинстве случаев полное отсутствие войсковой системы воздушного наблюдения, оповещения и связи;</w:t>
      </w:r>
    </w:p>
    <w:p w14:paraId="7E26F6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грубые нарушения требований маскировки и светомаскировочной дисциплины в местах сосредоточения войск для погрузки, после выгрузки, на переправах, в походных колоннах, на привалах и отдыхе;</w:t>
      </w:r>
    </w:p>
    <w:p w14:paraId="37C251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неправильное построение походных колонн и их эшелонирование, особенно смешанных родов войск, имеющих разную маршевую скорость;</w:t>
      </w:r>
    </w:p>
    <w:p w14:paraId="34B656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нарушение маршевой дисциплины при преодолении теснин и переправ;</w:t>
      </w:r>
    </w:p>
    <w:p w14:paraId="521AE6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отсутствие в походных колоннах и воинских эшелонах специально выделенных средств пехотного и приспособленного оружия для организованной борьбы с авиацией противника в движении и на остановках.</w:t>
      </w:r>
    </w:p>
    <w:p w14:paraId="6D1429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немедленного устранения указанных недочетов — приказываю:</w:t>
      </w:r>
    </w:p>
    <w:p w14:paraId="398318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Командирам всех частей и соединений независимо от удаления противника и от наличия специальных средств ПВО:</w:t>
      </w:r>
    </w:p>
    <w:p w14:paraId="7562A4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организовать противовоздушную оборону своими средствами, имея постоянно готовыми к действию не менее одной трети стрелкового и полностью приспособленное оружие;</w:t>
      </w:r>
    </w:p>
    <w:p w14:paraId="644280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обеспечивать все мероприятия, снижающие эффективность налетов авиации противника: расчленение, рассредоточение, строгое соблюдение маскировочной и светомаскировочной дисциплины, оборудование щелей и бомбоубежищ на дорогах по маршруту движения войск, в районе переправ и в местах расположения на привал и отдых;</w:t>
      </w:r>
    </w:p>
    <w:p w14:paraId="664BD3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не допускать сосредоточения войск, автотранспорта и материальной части в открытых местах и скученно у переправ, на погрузке и выгрузке, особенно не прикрытых специальными зенитными средствами;</w:t>
      </w:r>
    </w:p>
    <w:p w14:paraId="060693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категорически воспретить разведение костров (особенно ночью) в местах сосредоточения войск для погрузки и после выгрузки, на привалах и отдыхе;</w:t>
      </w:r>
    </w:p>
    <w:p w14:paraId="4558B5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движение автомашин и тракторов ночью допускать при затемненных фарах, при остановках выключать свет.</w:t>
      </w:r>
    </w:p>
    <w:p w14:paraId="773747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Штабам частей и войсковых соединений при выполнении задач перевозок по железным дорогам и передвижения автотранспортом или походным порядком организовать службу ВНОС, имея:</w:t>
      </w:r>
    </w:p>
    <w:p w14:paraId="1EC420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подвижные посты ВНОС при подразделениях разведки, охранения и главных силах;</w:t>
      </w:r>
    </w:p>
    <w:p w14:paraId="6511DC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неподвижные посты ВНОС, заблаговременно высылаемые, в районах теснин и переправ;</w:t>
      </w:r>
    </w:p>
    <w:p w14:paraId="7945B3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наблюдателей за воздухом в каждом подразделении;</w:t>
      </w:r>
    </w:p>
    <w:p w14:paraId="01F7D5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посты ВНОС при всех штабах дивизий и корпусов.</w:t>
      </w:r>
    </w:p>
    <w:p w14:paraId="1BD527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Командующим фронтов и армий требовать точного исполнения от всех командиров частей и соединений мероприятий по противовоздушной обороне войск, привлекая к суровой ответственности за потери от налетов авиации противника командиров, не принявших мер ПВО.</w:t>
      </w:r>
    </w:p>
    <w:p w14:paraId="5B63CD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Заместитель Народного комиссара обороны маршал артиллерии ВОРОНОВ </w:t>
      </w:r>
      <w:r w:rsidRPr="00D03F3E">
        <w:rPr>
          <w:rFonts w:ascii="Times New Roman" w:hAnsi="Times New Roman"/>
          <w:color w:val="000000" w:themeColor="text1"/>
          <w:sz w:val="16"/>
          <w:szCs w:val="16"/>
        </w:rPr>
        <w:t>(9844).</w:t>
      </w:r>
    </w:p>
    <w:p w14:paraId="1ED40C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EE80C0" w14:textId="77777777" w:rsidR="00184721"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23CE31F3" w14:textId="77777777" w:rsidR="00184721" w:rsidRPr="00D03F3E" w:rsidRDefault="00184721"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5EF5D8"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в 1943 году решение президента США о замораживании заработной платы и цен в целях борьбы с инфляцией (15094).</w:t>
      </w:r>
    </w:p>
    <w:p w14:paraId="2E0A2CA5" w14:textId="77777777" w:rsidR="00184721" w:rsidRPr="00D03F3E" w:rsidRDefault="00184721" w:rsidP="00D03F3E">
      <w:pPr>
        <w:spacing w:after="0" w:line="240" w:lineRule="auto"/>
        <w:jc w:val="both"/>
        <w:rPr>
          <w:rFonts w:ascii="Times New Roman" w:hAnsi="Times New Roman"/>
          <w:color w:val="000000" w:themeColor="text1"/>
          <w:sz w:val="16"/>
          <w:szCs w:val="16"/>
        </w:rPr>
      </w:pPr>
    </w:p>
    <w:p w14:paraId="575F933A"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89FF7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E21F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1943 вышел приказ НКАП N 203сс "О выпуске самолетов Ил-2 с пушками 37 мм в исполнение постановления ГКО N 3144с от 8 апреля 1943 (1703,120).</w:t>
      </w:r>
    </w:p>
    <w:p w14:paraId="2CEDB3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18DC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1943 г. Постановле</w:t>
      </w:r>
      <w:r w:rsidRPr="00D03F3E">
        <w:rPr>
          <w:rFonts w:ascii="Times New Roman" w:hAnsi="Times New Roman"/>
          <w:color w:val="000000" w:themeColor="text1"/>
          <w:sz w:val="16"/>
          <w:szCs w:val="16"/>
        </w:rPr>
        <w:softHyphen/>
        <w:t>нием ГКО № 3144 самолет Ил-2КР был запущен в серий</w:t>
      </w:r>
      <w:r w:rsidRPr="00D03F3E">
        <w:rPr>
          <w:rFonts w:ascii="Times New Roman" w:hAnsi="Times New Roman"/>
          <w:color w:val="000000" w:themeColor="text1"/>
          <w:sz w:val="16"/>
          <w:szCs w:val="16"/>
        </w:rPr>
        <w:softHyphen/>
        <w:t>ное производство на заводе № 1, кото</w:t>
      </w:r>
      <w:r w:rsidRPr="00D03F3E">
        <w:rPr>
          <w:rFonts w:ascii="Times New Roman" w:hAnsi="Times New Roman"/>
          <w:color w:val="000000" w:themeColor="text1"/>
          <w:sz w:val="16"/>
          <w:szCs w:val="16"/>
        </w:rPr>
        <w:softHyphen/>
        <w:t>рому передавалась и программа выпус</w:t>
      </w:r>
      <w:r w:rsidRPr="00D03F3E">
        <w:rPr>
          <w:rFonts w:ascii="Times New Roman" w:hAnsi="Times New Roman"/>
          <w:color w:val="000000" w:themeColor="text1"/>
          <w:sz w:val="16"/>
          <w:szCs w:val="16"/>
        </w:rPr>
        <w:softHyphen/>
        <w:t>ка этой модификации штурмовика за</w:t>
      </w:r>
      <w:r w:rsidRPr="00D03F3E">
        <w:rPr>
          <w:rFonts w:ascii="Times New Roman" w:hAnsi="Times New Roman"/>
          <w:color w:val="000000" w:themeColor="text1"/>
          <w:sz w:val="16"/>
          <w:szCs w:val="16"/>
        </w:rPr>
        <w:softHyphen/>
        <w:t>вода № 30, ввиду того что последний получил задание на производство само</w:t>
      </w:r>
      <w:r w:rsidRPr="00D03F3E">
        <w:rPr>
          <w:rFonts w:ascii="Times New Roman" w:hAnsi="Times New Roman"/>
          <w:color w:val="000000" w:themeColor="text1"/>
          <w:sz w:val="16"/>
          <w:szCs w:val="16"/>
        </w:rPr>
        <w:softHyphen/>
        <w:t>летов Ил-2, вооруженных 37-мм авиа</w:t>
      </w:r>
      <w:r w:rsidRPr="00D03F3E">
        <w:rPr>
          <w:rFonts w:ascii="Times New Roman" w:hAnsi="Times New Roman"/>
          <w:color w:val="000000" w:themeColor="text1"/>
          <w:sz w:val="16"/>
          <w:szCs w:val="16"/>
        </w:rPr>
        <w:softHyphen/>
        <w:t>пушками ОКБ-16 конструкции А.Э.Нудельмана и А.С.Суранова (6467).</w:t>
      </w:r>
    </w:p>
    <w:p w14:paraId="72C0B6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29EDA9" w14:textId="77777777" w:rsidR="00184721" w:rsidRPr="00D03F3E" w:rsidRDefault="0018472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10 апреля 1943 г. Поста</w:t>
      </w:r>
      <w:r w:rsidRPr="00D03F3E">
        <w:rPr>
          <w:rFonts w:ascii="Times New Roman" w:cs="Times New Roman"/>
          <w:color w:val="000000" w:themeColor="text1"/>
          <w:spacing w:val="0"/>
        </w:rPr>
        <w:softHyphen/>
        <w:t>новлением ГКО от амолет Ил-2КР был запущен в серий</w:t>
      </w:r>
      <w:r w:rsidRPr="00D03F3E">
        <w:rPr>
          <w:rFonts w:ascii="Times New Roman" w:cs="Times New Roman"/>
          <w:color w:val="000000" w:themeColor="text1"/>
          <w:spacing w:val="0"/>
        </w:rPr>
        <w:softHyphen/>
        <w:t>ное производство на заводе №1, кото</w:t>
      </w:r>
      <w:r w:rsidRPr="00D03F3E">
        <w:rPr>
          <w:rFonts w:ascii="Times New Roman" w:cs="Times New Roman"/>
          <w:color w:val="000000" w:themeColor="text1"/>
          <w:spacing w:val="0"/>
        </w:rPr>
        <w:softHyphen/>
        <w:t>рому передавалась и программа вы</w:t>
      </w:r>
      <w:r w:rsidRPr="00D03F3E">
        <w:rPr>
          <w:rFonts w:ascii="Times New Roman" w:cs="Times New Roman"/>
          <w:color w:val="000000" w:themeColor="text1"/>
          <w:spacing w:val="0"/>
        </w:rPr>
        <w:softHyphen/>
        <w:t>пуска этой модификации штурмовика завода №30, ввиду того, что последний получил задание на производство само</w:t>
      </w:r>
      <w:r w:rsidRPr="00D03F3E">
        <w:rPr>
          <w:rFonts w:ascii="Times New Roman" w:cs="Times New Roman"/>
          <w:color w:val="000000" w:themeColor="text1"/>
          <w:spacing w:val="0"/>
        </w:rPr>
        <w:softHyphen/>
        <w:t>летов Ил-2, вооруженных 37-мм авиа</w:t>
      </w:r>
      <w:r w:rsidRPr="00D03F3E">
        <w:rPr>
          <w:rFonts w:ascii="Times New Roman" w:cs="Times New Roman"/>
          <w:color w:val="000000" w:themeColor="text1"/>
          <w:spacing w:val="0"/>
        </w:rPr>
        <w:softHyphen/>
        <w:t>пушками ОКБ-16 конструкции А.Э. Нудельмана и А.С. Суранова (15762).</w:t>
      </w:r>
    </w:p>
    <w:p w14:paraId="718F63C1" w14:textId="77777777" w:rsidR="00184721" w:rsidRPr="00D03F3E" w:rsidRDefault="00184721" w:rsidP="00D03F3E">
      <w:pPr>
        <w:pStyle w:val="27"/>
        <w:shd w:val="clear" w:color="auto" w:fill="auto"/>
        <w:spacing w:after="0" w:line="240" w:lineRule="auto"/>
        <w:ind w:firstLine="0"/>
        <w:rPr>
          <w:rFonts w:ascii="Times New Roman" w:cs="Times New Roman"/>
          <w:color w:val="000000" w:themeColor="text1"/>
          <w:spacing w:val="0"/>
        </w:rPr>
      </w:pPr>
    </w:p>
    <w:p w14:paraId="24F2CA84"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в 1943 году постановлением ГКО № 3144 разведчик-корректировщик «Ил-2КР» был запущен в серийное производство на заводе № 1, которому передавалась и программа выпуска этой модификации штурмовика завода № 30, ввиду того что последний получил задание на производство самолетов «Ил-2», вооруженных 37-мм авиапушками ОКБ-16 конструкции А.Э.Нудельмана и А.С.Суранова (15095).</w:t>
      </w:r>
    </w:p>
    <w:p w14:paraId="114FF6E8" w14:textId="77777777" w:rsidR="008006E7" w:rsidRPr="00D03F3E" w:rsidRDefault="008006E7" w:rsidP="00D03F3E">
      <w:pPr>
        <w:spacing w:after="0" w:line="240" w:lineRule="auto"/>
        <w:jc w:val="both"/>
        <w:rPr>
          <w:rFonts w:ascii="Times New Roman" w:hAnsi="Times New Roman"/>
          <w:color w:val="000000" w:themeColor="text1"/>
          <w:sz w:val="16"/>
          <w:szCs w:val="16"/>
        </w:rPr>
      </w:pPr>
    </w:p>
    <w:p w14:paraId="43BFEA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1943г. Пост. ГКО № 3144 на заводе № 1 был запущен в серию Ил- 2КР. 3.04.1944г. вышло постановление ГКО № 5526 об ускорении производства Ил-2 с металлическими крыльями на заводе (11982).</w:t>
      </w:r>
    </w:p>
    <w:p w14:paraId="349A41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BF03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1943 года Приказом НКАП за № 202сс во исполнение постановления ГКО за № 8063сс от 22 февраля 1943 года завод № 45 перешел на изготовление форсированного мотора АМ-38Ф, а 1 июня 1943 года выпуск моторов АМ-38 заводом полностью прекращен. С марта 1944 года завод параллельно с выпуском моторов АМ-38Ф включил в производство изготовление деталей и агрегатов дизеля АЧ-30Б. С сентября 1945 года выпуск моторов АМ-38Ф с производства снят и оставлен в производстве только дизель-мотор АЧ-30Б</w:t>
      </w:r>
    </w:p>
    <w:p w14:paraId="66FD60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Москва, Мейеровский пр., 14 (территория Б, В), территория А – Ткацкая ул.</w:t>
      </w:r>
    </w:p>
    <w:p w14:paraId="217D98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Производственный профиль – моторный (9829).</w:t>
      </w:r>
    </w:p>
    <w:p w14:paraId="6A3E3C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A3F3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1943 С.В.И. писал А.И.Ш. письмо N 1/402:</w:t>
      </w:r>
    </w:p>
    <w:p w14:paraId="5CB909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"Ходатайствую перед Вами о представлении ли В.К.К. к Правительственной награде ордену ТКЗ.</w:t>
      </w:r>
    </w:p>
    <w:p w14:paraId="41BC55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В.К.К. провел летные испытания двух самолетов Ил-2 и Ил-4, которые участвуют в нашей ВОВ с фашистской Германией.</w:t>
      </w:r>
    </w:p>
    <w:p w14:paraId="71199C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В.К.К. провел испытания модификаций этих самолетов и во время войны принимает деятельное участие по контролю выпускаемых заводами самолетов Ил-2 и Ил-4 и помогает своими советами улучшать их качества.</w:t>
      </w:r>
    </w:p>
    <w:p w14:paraId="7EA588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Точно также В.К.К. ведет непрерывную работу в боевых авиачастях особенно по самолетам Ил-4, помогая осваивать более высокую дальность на этом самолете (1775,82).</w:t>
      </w:r>
    </w:p>
    <w:p w14:paraId="2F5FAE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AA2BDA"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Style w:val="2fa"/>
          <w:rFonts w:ascii="Times New Roman" w:hAnsi="Times New Roman" w:cs="Times New Roman"/>
          <w:i w:val="0"/>
          <w:color w:val="000000" w:themeColor="text1"/>
          <w:sz w:val="16"/>
          <w:szCs w:val="16"/>
        </w:rPr>
        <w:t>10 ап</w:t>
      </w:r>
      <w:r w:rsidRPr="00D03F3E">
        <w:rPr>
          <w:rStyle w:val="2fa"/>
          <w:rFonts w:ascii="Times New Roman" w:hAnsi="Times New Roman" w:cs="Times New Roman"/>
          <w:i w:val="0"/>
          <w:color w:val="000000" w:themeColor="text1"/>
          <w:sz w:val="16"/>
          <w:szCs w:val="16"/>
        </w:rPr>
        <w:softHyphen/>
        <w:t>реля 1943 Премьер-министр Великобритании У. Черчиль в письме к И.В. Сталину от указывал:</w:t>
      </w:r>
      <w:r w:rsidRPr="00D03F3E">
        <w:rPr>
          <w:rFonts w:ascii="Times New Roman" w:hAnsi="Times New Roman"/>
          <w:color w:val="000000" w:themeColor="text1"/>
          <w:sz w:val="16"/>
          <w:szCs w:val="16"/>
        </w:rPr>
        <w:t xml:space="preserve"> «Во время недавних боев в Тунисе эти (Харрикейны в птотивотанковом варианте) самолеты с успехом дей</w:t>
      </w:r>
      <w:r w:rsidRPr="00D03F3E">
        <w:rPr>
          <w:rFonts w:ascii="Times New Roman" w:hAnsi="Times New Roman"/>
          <w:color w:val="000000" w:themeColor="text1"/>
          <w:sz w:val="16"/>
          <w:szCs w:val="16"/>
        </w:rPr>
        <w:softHyphen/>
        <w:t>ствовали против танков Роммеля. Одна эскадрилья в составе 16 самолетов уничтожила 19 танков в течение четырех дней. Самолет известен под названи</w:t>
      </w:r>
      <w:r w:rsidRPr="00D03F3E">
        <w:rPr>
          <w:rFonts w:ascii="Times New Roman" w:hAnsi="Times New Roman"/>
          <w:color w:val="000000" w:themeColor="text1"/>
          <w:sz w:val="16"/>
          <w:szCs w:val="16"/>
        </w:rPr>
        <w:softHyphen/>
        <w:t>ем ««Харрикейн» 1Ю. Он вооружен двумя 40-мм пушками с 16 снарядами на пуш</w:t>
      </w:r>
      <w:r w:rsidRPr="00D03F3E">
        <w:rPr>
          <w:rFonts w:ascii="Times New Roman" w:hAnsi="Times New Roman"/>
          <w:color w:val="000000" w:themeColor="text1"/>
          <w:sz w:val="16"/>
          <w:szCs w:val="16"/>
        </w:rPr>
        <w:softHyphen/>
        <w:t>ку и двумя пулеметами калибра 0,303 дюйма с 303 патронами на пулемет. В других отношениях он не отличается от «Харрикейнов» НС, за исключением того, что он тяжелее на 430 фунтов и скорость его приблизительно меньше на 20 миль/ч. Я мог бы послать Вам максимум 60 само</w:t>
      </w:r>
      <w:r w:rsidRPr="00D03F3E">
        <w:rPr>
          <w:rFonts w:ascii="Times New Roman" w:hAnsi="Times New Roman"/>
          <w:color w:val="000000" w:themeColor="text1"/>
          <w:sz w:val="16"/>
          <w:szCs w:val="16"/>
        </w:rPr>
        <w:softHyphen/>
        <w:t>летов этого типа. Сообщите мне, желаете ли Вы их получить».</w:t>
      </w:r>
    </w:p>
    <w:p w14:paraId="0F60F775"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Style w:val="2fa"/>
          <w:rFonts w:ascii="Times New Roman" w:hAnsi="Times New Roman" w:cs="Times New Roman"/>
          <w:i w:val="0"/>
          <w:color w:val="000000" w:themeColor="text1"/>
          <w:sz w:val="16"/>
          <w:szCs w:val="16"/>
        </w:rPr>
        <w:t xml:space="preserve">В ответном письме 12 апреля Сталин вежливо поблагодарил и согласился: </w:t>
      </w:r>
      <w:r w:rsidRPr="00D03F3E">
        <w:rPr>
          <w:rFonts w:ascii="Times New Roman" w:hAnsi="Times New Roman"/>
          <w:color w:val="000000" w:themeColor="text1"/>
          <w:sz w:val="16"/>
          <w:szCs w:val="16"/>
        </w:rPr>
        <w:t>«Намечаемые Вами поставки самолетов- истребителей, снимаемых с отмененных конвоев, для нас весьма ценны. Я также признателен Вам за предложение послать нам 60 самолетов «Харрикейн» 1Ю с пуш</w:t>
      </w:r>
      <w:r w:rsidRPr="00D03F3E">
        <w:rPr>
          <w:rFonts w:ascii="Times New Roman" w:hAnsi="Times New Roman"/>
          <w:color w:val="000000" w:themeColor="text1"/>
          <w:sz w:val="16"/>
          <w:szCs w:val="16"/>
        </w:rPr>
        <w:softHyphen/>
        <w:t>кой 40 мм. Такие самолеты очень нужны, особенно против тяжелых танков» (12735).</w:t>
      </w:r>
    </w:p>
    <w:p w14:paraId="1601EBE5" w14:textId="77777777" w:rsidR="002F5AD4" w:rsidRPr="00D03F3E" w:rsidRDefault="002F5AD4" w:rsidP="00D03F3E">
      <w:pPr>
        <w:spacing w:after="0" w:line="240" w:lineRule="auto"/>
        <w:jc w:val="both"/>
        <w:rPr>
          <w:rFonts w:ascii="Times New Roman" w:hAnsi="Times New Roman"/>
          <w:color w:val="000000" w:themeColor="text1"/>
          <w:sz w:val="16"/>
          <w:szCs w:val="16"/>
        </w:rPr>
      </w:pPr>
    </w:p>
    <w:p w14:paraId="62C35FFE" w14:textId="77777777" w:rsidR="00322E05" w:rsidRPr="00D03F3E" w:rsidRDefault="00322E0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10 апре</w:t>
      </w:r>
      <w:r w:rsidRPr="00D03F3E">
        <w:rPr>
          <w:color w:val="000000" w:themeColor="text1"/>
          <w:sz w:val="16"/>
          <w:szCs w:val="16"/>
        </w:rPr>
        <w:softHyphen/>
        <w:t>ля 1943 Премьер-министр Великобрита</w:t>
      </w:r>
      <w:r w:rsidRPr="00D03F3E">
        <w:rPr>
          <w:color w:val="000000" w:themeColor="text1"/>
          <w:sz w:val="16"/>
          <w:szCs w:val="16"/>
        </w:rPr>
        <w:softHyphen/>
        <w:t>нии У. Черчилль в письме к И. В. Сталину указывал, что «во время недавних боев в Тунисе самолеты «Харрикейн» в штурмовом варианте, вооруженные 40-мм пуш</w:t>
      </w:r>
      <w:r w:rsidRPr="00D03F3E">
        <w:rPr>
          <w:color w:val="000000" w:themeColor="text1"/>
          <w:sz w:val="16"/>
          <w:szCs w:val="16"/>
        </w:rPr>
        <w:softHyphen/>
        <w:t xml:space="preserve">ками Виккерс </w:t>
      </w:r>
      <w:r w:rsidRPr="00D03F3E">
        <w:rPr>
          <w:color w:val="000000" w:themeColor="text1"/>
          <w:sz w:val="16"/>
          <w:szCs w:val="16"/>
          <w:lang w:val="en-US"/>
        </w:rPr>
        <w:t>S</w:t>
      </w:r>
      <w:r w:rsidRPr="00D03F3E">
        <w:rPr>
          <w:color w:val="000000" w:themeColor="text1"/>
          <w:sz w:val="16"/>
          <w:szCs w:val="16"/>
        </w:rPr>
        <w:t>, с успехом действовали против танков Роммеля. Одна эскадрилья в составе 16 самолетов уничтожила 19 танков в течение 4 дней. /.../ Я мог бы послать Вам максимум 60 самолетов этого типа. Сообщите мне, желаете ли Вы их получить». В от</w:t>
      </w:r>
      <w:r w:rsidRPr="00D03F3E">
        <w:rPr>
          <w:color w:val="000000" w:themeColor="text1"/>
          <w:sz w:val="16"/>
          <w:szCs w:val="16"/>
        </w:rPr>
        <w:softHyphen/>
        <w:t>ветном письме 12 апреля Сталин вежливо побла</w:t>
      </w:r>
      <w:r w:rsidRPr="00D03F3E">
        <w:rPr>
          <w:color w:val="000000" w:themeColor="text1"/>
          <w:sz w:val="16"/>
          <w:szCs w:val="16"/>
        </w:rPr>
        <w:softHyphen/>
        <w:t>годарил и согласился: «Намечаемые Вами поставки самолетов-истребителей, снимаемых с отмененных конвоев, для нас весьма ценны. Я также признате</w:t>
      </w:r>
      <w:r w:rsidRPr="00D03F3E">
        <w:rPr>
          <w:color w:val="000000" w:themeColor="text1"/>
          <w:sz w:val="16"/>
          <w:szCs w:val="16"/>
        </w:rPr>
        <w:softHyphen/>
        <w:t xml:space="preserve">лен Вам за предложение послать нам 60 самолетов «Харрикейн» </w:t>
      </w:r>
      <w:r w:rsidRPr="00D03F3E">
        <w:rPr>
          <w:color w:val="000000" w:themeColor="text1"/>
          <w:sz w:val="16"/>
          <w:szCs w:val="16"/>
          <w:lang w:val="en-US"/>
        </w:rPr>
        <w:t>IID</w:t>
      </w:r>
      <w:r w:rsidRPr="00D03F3E">
        <w:rPr>
          <w:color w:val="000000" w:themeColor="text1"/>
          <w:sz w:val="16"/>
          <w:szCs w:val="16"/>
        </w:rPr>
        <w:t xml:space="preserve"> с пушкой 40 мм. Такие самолеты очень нужны, особенно против тяжелых танков» (17500).</w:t>
      </w:r>
    </w:p>
    <w:p w14:paraId="7C468F20" w14:textId="77777777" w:rsidR="00322E05" w:rsidRPr="00D03F3E" w:rsidRDefault="00322E05" w:rsidP="00D03F3E">
      <w:pPr>
        <w:spacing w:after="0" w:line="240" w:lineRule="auto"/>
        <w:jc w:val="both"/>
        <w:rPr>
          <w:rFonts w:ascii="Times New Roman" w:hAnsi="Times New Roman"/>
          <w:color w:val="000000" w:themeColor="text1"/>
          <w:sz w:val="16"/>
          <w:szCs w:val="16"/>
        </w:rPr>
      </w:pPr>
    </w:p>
    <w:p w14:paraId="39EDC8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1943 г. Гудков направил письмо Маленкову и Шахурину "по вопросу постройки сверхскоростного истребителя-перехватчика". Письмо представляло собой, по сути, краткое изложение разработанного эскизного проекта. На экземпляре Шахурина никаких резолюций не осталось (9016).</w:t>
      </w:r>
    </w:p>
    <w:p w14:paraId="72316C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0941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1943 апреля НИИ ВВС после месячного рассмотрения отклонил проект самолета с ВРД Гу-ВРД 1943 М.И.Гудкова (546).</w:t>
      </w:r>
    </w:p>
    <w:p w14:paraId="171800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C6AC32"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1943 г. резолюция НИИ ВВС по проекту ЛаГГ-ЗВРД (Гу-1) в адрес начальника самолетного отдела гласила: «Срочно дайте заключение по проекту сверхскоростного истребителя-перехватчика с двигателем Люльки конструкции Гудкова». Начальник отдела И.И. Сафронов в своей резолюции исполнителю от 17 апреля 1943 г. писал: «... самолет летать, по-видимому, будет с указанной скоростью, но беда в том, что двигателя, кроме фамилии автора, на сегодня нет. Следовательно, упор на двигатель».</w:t>
      </w:r>
    </w:p>
    <w:p w14:paraId="76C8B9DA"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тем в объяснительной записке к проекту Гудков указывал, что на тот момент уже была успешно испытана камера сгорания двигателя A.M. Люльки, построен и испытан двухступенчатый осевой нагнетатель (компрессор), дающий степень сжатия в одной ступени 1,25 при КПД 0,75, что тоже было вполне успешным. Был спроектирован и на 70 % изготовлен опытный образец двигателя с тягой 750 кгс у земли, а не 530 кгс, как говорилось выше. При этом Гудков отмечал, что изготовленный двигатель, а также основные кадры коллектива его создателей находятся в Москве. Люлька планировал приступить к созданию двигателя со статической тягой 1500 кгс (15577).</w:t>
      </w:r>
    </w:p>
    <w:p w14:paraId="0D8EC92C" w14:textId="77777777" w:rsidR="00184721" w:rsidRPr="00D03F3E" w:rsidRDefault="00184721" w:rsidP="00D03F3E">
      <w:pPr>
        <w:spacing w:after="0" w:line="240" w:lineRule="auto"/>
        <w:jc w:val="both"/>
        <w:rPr>
          <w:rFonts w:ascii="Times New Roman" w:hAnsi="Times New Roman"/>
          <w:color w:val="000000" w:themeColor="text1"/>
          <w:sz w:val="16"/>
          <w:szCs w:val="16"/>
        </w:rPr>
      </w:pPr>
    </w:p>
    <w:p w14:paraId="39C862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1943 вышел приказ НКАП N 206с "Об улучшении летных качеств самолетов Пе-2, выпускаемых в серийное производство заводом 22"</w:t>
      </w:r>
    </w:p>
    <w:p w14:paraId="5786B0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"Исследования, произведенные в большой аэродинамической трубе ЦАГИ показали, что макс. скорость серийных самолетов Пе-2 с серийными М-105ПФ и при усиленном вооружении с пулеметами БС с тороповской установкой могут быть доведены до скорости 525 км/час, путем улучшения аэродинамики отдельных частей самолета. Кроме увеличения скорости, на основе предложенного ЦАГИ увеличения скорости, на основе предложений ЦАГИ увеличена скороподъемность самолета с 10.5 мин. до 8.5 мин. на 5000 м и улучшены его пилотажные свойства.</w:t>
      </w:r>
    </w:p>
    <w:p w14:paraId="653698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Мероприятия ЦАГИ были реализованы Институтом на одном серийном самолете N 19/78 и подтверждены летными испытаниями ЛИИ.</w:t>
      </w:r>
    </w:p>
    <w:p w14:paraId="7A8A0F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повышения скорости серийного самолета Пе-2:</w:t>
      </w:r>
    </w:p>
    <w:p w14:paraId="1D8C6D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Директору завода 22 Окулова и ГК Путилову:</w:t>
      </w:r>
    </w:p>
    <w:p w14:paraId="2F5D65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к 1 июня с.г. обеспечить увеличение скорости выпускаемых серийных самолетов Пе-2 до 528 км/час с М-15ПФ и винтами ВИШ-61 с лопастями СВП диаметром 3.4 м, внедрив в серийное производство предложенные ЦАГИ усовершенствования по прилагаемому перечню</w:t>
      </w:r>
    </w:p>
    <w:p w14:paraId="2D0449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перенести РПК-10 внутрь фюзеляжа и стойку антенны на козырек пилота (1703,160).</w:t>
      </w:r>
    </w:p>
    <w:p w14:paraId="1889C6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DCE820"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10 апреля 1943 г. вышел приказ НКАП № 206с «Об улучшении летных качеств самолетов Пе-2, выпускаемых в серийное производство заводом 22», предусматривавший улучшение и конструкции самолета. Была поставлена задача довести скорость до 525 км/ч на высоте 5 000 м и сократить время набора этой высоты с 10,5 до 8,5 минуты.</w:t>
      </w:r>
    </w:p>
    <w:p w14:paraId="14C2030C"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На самолетах 205-й серии улучшили форму воздухозаборников приводных центробежных нагнетателей моторов (ПЦН), на выходе тоннелей водорадиаторов вместо жалюзи установили заслонки типа ЦАГИ, изменили саму форму их тоннелей. Попутно улучшили подгонку щитков, капотов, люков, зализов и герметизацию самолета — уплотнили стыки панелей обшивки и внутреннего каркаса, проходы тяг управления сквозь каркас закрыли чехлами и т. п. Круглую рамку антенны РПК перенесли под носовой кок фюзеляжа, который сделали из фанеры, уменьшили сопротивление некоторых мелких деталей в потоке. Все это было уже проверено на улучшенном Пе-2 №19/78, но кроме того, переделали нижние крышки капотов, уменьшив сечение входа тоннелей маслорадиаторов и убрав отверстие для продува подкапотного пространства. Новый замок лючка заправочной горловины бака № 4 быстрее открывался и надежнее закрывался. На 100 самолетах этой серии общие выхлопные </w:t>
      </w:r>
      <w:r w:rsidRPr="00D03F3E">
        <w:rPr>
          <w:rFonts w:ascii="Times New Roman" w:hAnsi="Times New Roman"/>
          <w:color w:val="0070C0"/>
          <w:sz w:val="16"/>
          <w:szCs w:val="16"/>
        </w:rPr>
        <w:lastRenderedPageBreak/>
        <w:t>коллекторы моторов заменили сдвоенными (один на два цилиндра) патрубками. Результаты эксплуатационных испытаний оказались положительными, и в дальнейшем такую выхлопную систему стали ставить на все Пе-2. Обтекатели тормозных решеток, новый замок рычажного типа на патронном ящике правого курсового пулемета (крупнокалиберного), смещение вперед мачты антенны радиостанции и улучшение стыка башни турели и кабины улучшили аэродинамику. Вдобавок с 211-й серии громоздкие балки крыльевых бомбодержателей убрали под обшивку. Благодаря всему этому скорость серийных «Пешек» у земли удалось довести до 455 … 465 км/ч, а на границе высотности — до 507 … 527 км/ч. Улучшенный Пе-2 № 19/205 вообще давал 498 км/ч на малой высоте и 555 км/ч на 3 700 м. Однако для внедрения в серию его доработок потребовалось бы менять слишком много оснастки, а ведь даже новшества 205-й серии пришлось внедрять постепенно (22828).</w:t>
      </w:r>
    </w:p>
    <w:p w14:paraId="71FB9ABB" w14:textId="77777777" w:rsidR="00676AD3" w:rsidRPr="00D03F3E" w:rsidRDefault="00676AD3" w:rsidP="00D03F3E">
      <w:pPr>
        <w:spacing w:after="0" w:line="240" w:lineRule="auto"/>
        <w:jc w:val="both"/>
        <w:rPr>
          <w:rFonts w:ascii="Times New Roman" w:hAnsi="Times New Roman"/>
          <w:color w:val="0070C0"/>
          <w:sz w:val="16"/>
          <w:szCs w:val="16"/>
        </w:rPr>
      </w:pPr>
    </w:p>
    <w:p w14:paraId="7880111A" w14:textId="77777777" w:rsidR="0073416B" w:rsidRPr="00D03F3E" w:rsidRDefault="0073416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1943 г. вышел приказ НКАП № 206 «Об улучшении летных качеств самолетов Пе-2, выпускаемых заводом 22». В нем говорилось: «Иссле - дования, произведенные в большой аэродинамической трубе ЦАГИ показали, что макс. скорость серийных самолетов Пе-2... могут быть доведены до скорости 525 км/ч, путем улучшения аэродинамики отдельных частей самолета. Кроме увеличения скорости, на основе предложений ЦАГИ увеличена скороподъемность самолета с 10.5 мин. до 8.5 мин. на 5000 м и улучшены его пилотажные свойства... Директору завода 22... к 1 июня с.г. обеспечить увеличение скорости выпускаемых серийных самолетов Пе-2 до 528 км/ч..., внедрив в серийное производство предложенные ЦАГИ усовершенствования по прилагаемому перечню» (19727).</w:t>
      </w:r>
    </w:p>
    <w:p w14:paraId="641D029C" w14:textId="77777777" w:rsidR="0073416B" w:rsidRPr="00D03F3E" w:rsidRDefault="0073416B" w:rsidP="00D03F3E">
      <w:pPr>
        <w:spacing w:after="0" w:line="240" w:lineRule="auto"/>
        <w:jc w:val="both"/>
        <w:rPr>
          <w:rFonts w:ascii="Times New Roman" w:hAnsi="Times New Roman"/>
          <w:color w:val="000000" w:themeColor="text1"/>
          <w:sz w:val="16"/>
          <w:szCs w:val="16"/>
        </w:rPr>
      </w:pPr>
    </w:p>
    <w:p w14:paraId="47FA17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1943 С.П.К. завершил подготовку электрической схемы реактивной установки РУ-1 с двигателем РД-1 и согласовал схему с В.П. Глушко (ААН, р. 4, оп. 17, № 120, л. 15) (10676).</w:t>
      </w:r>
    </w:p>
    <w:p w14:paraId="606D1A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9DA7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10 по 13 апреля 1943 в НИИ ВВС проходили контрольные испытания Як-6 № 640211 з-да № 464.</w:t>
      </w:r>
    </w:p>
    <w:p w14:paraId="3F2999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Изменения по сравнения с опытным:</w:t>
      </w:r>
    </w:p>
    <w:p w14:paraId="39F10A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Усилен пол грузовой кабины,</w:t>
      </w:r>
    </w:p>
    <w:p w14:paraId="6F1C5C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Грузовая кабина оборудована откидными сидениями для 4 пассажиров,</w:t>
      </w:r>
    </w:p>
    <w:p w14:paraId="2E0E21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Установлен авиагоризонт,</w:t>
      </w:r>
    </w:p>
    <w:p w14:paraId="6F2D23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 приборной доской установленкозырек для устранения бликов,</w:t>
      </w:r>
    </w:p>
    <w:p w14:paraId="31A7D7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Фанерные баки заменены металлическими.</w:t>
      </w:r>
    </w:p>
    <w:p w14:paraId="0F0952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Машина испытания выдержала (4657, 18).</w:t>
      </w:r>
    </w:p>
    <w:p w14:paraId="73A066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85298C" w14:textId="77777777" w:rsidR="003E62C1" w:rsidRPr="00D03F3E" w:rsidRDefault="003E62C1" w:rsidP="00D03F3E">
      <w:pPr>
        <w:pStyle w:val="ae"/>
        <w:shd w:val="clear" w:color="auto" w:fill="FFFFFF"/>
        <w:spacing w:before="0" w:after="0"/>
        <w:jc w:val="both"/>
        <w:rPr>
          <w:color w:val="000000" w:themeColor="text1"/>
          <w:sz w:val="16"/>
          <w:szCs w:val="16"/>
        </w:rPr>
      </w:pPr>
      <w:r w:rsidRPr="00D03F3E">
        <w:rPr>
          <w:color w:val="000000" w:themeColor="text1"/>
          <w:sz w:val="16"/>
          <w:szCs w:val="16"/>
        </w:rPr>
        <w:t>10 апреля 1943 г. была резолюция руководства НИИ ВВСЧ в ад рес начальника самолетного отдела: «Срочно дайте заключение по проекту сверхскоростного истребителя-перехватчика с двигателем Люльки конструкции Гудкова». Начальник отдела И.И. Сафронов в своей резолюции исполнителю от 17 ап реля 1943 г. писал: «... самолет летать, по-видимому, будет с указанной скоростью, но беда в том, что двигателя, кроме фа милии автора, на сегодня нет. Следовательно, упор на двига тель». Под этим предлогом эскизный проект Гу-ВРД был от клонен, инициатива Гудкова не нашла поддержки.</w:t>
      </w:r>
    </w:p>
    <w:p w14:paraId="6E97DF9C" w14:textId="77777777" w:rsidR="003E62C1" w:rsidRPr="00D03F3E" w:rsidRDefault="003E62C1" w:rsidP="00D03F3E">
      <w:pPr>
        <w:pStyle w:val="ae"/>
        <w:shd w:val="clear" w:color="auto" w:fill="FFFFFF"/>
        <w:spacing w:before="0" w:after="0"/>
        <w:jc w:val="both"/>
        <w:rPr>
          <w:color w:val="000000" w:themeColor="text1"/>
          <w:sz w:val="16"/>
          <w:szCs w:val="16"/>
        </w:rPr>
      </w:pPr>
      <w:r w:rsidRPr="00D03F3E">
        <w:rPr>
          <w:color w:val="000000" w:themeColor="text1"/>
          <w:sz w:val="16"/>
          <w:szCs w:val="16"/>
        </w:rPr>
        <w:t>Между тем в объяснительной записке к проекту Гудков указывал, что на тот момент уже была успешно испытана к мера сгорания двигателя A.M. Люльки, построен и испытан двухступенчатый осевой нагнетатель (компрессор), дающий степень сжатия в одной ступени 1,25 при КПД 0,75, что тоже было вполне успешным. Был спроектирован и на 70 % изго товлен опытный образец двигателя с тягой 750 кгс у земли, а не 530 кгс, как говорилось выше. При этом Гудков отмечал, что изготовленный двигатель, а также основные кадры кол лектива его создателей находятся в Москве. Люлька планиро вал приступить к созданию двигателя со статической тягой 1500 кгс. Никакой реакции на эту информацию не последова ло: нет двигателя и все тут (19586).</w:t>
      </w:r>
    </w:p>
    <w:p w14:paraId="536A5856" w14:textId="77777777" w:rsidR="003E62C1" w:rsidRPr="00D03F3E" w:rsidRDefault="003E62C1" w:rsidP="00D03F3E">
      <w:pPr>
        <w:pStyle w:val="ae"/>
        <w:shd w:val="clear" w:color="auto" w:fill="FFFFFF"/>
        <w:spacing w:before="0" w:after="0"/>
        <w:jc w:val="both"/>
        <w:rPr>
          <w:color w:val="000000" w:themeColor="text1"/>
          <w:sz w:val="16"/>
          <w:szCs w:val="16"/>
        </w:rPr>
      </w:pPr>
    </w:p>
    <w:p w14:paraId="31CBAE0A" w14:textId="77777777" w:rsidR="0073416B" w:rsidRPr="00D03F3E" w:rsidRDefault="0073416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194З г. по приказу наркома авиационной промышленности СССР, наряду с научными группами, занимающимися исследованием аэродинамики самолетов и прочности самолетных конструкций, филиал № 2. ЦАГИ в своем составе должен был иметь моторную группу (для исследования авиационных двигателей) и группу технологии (для исследования авиационных материалов и методов организации производства). В этих целях начальники ЦИАМ и ВИАМ обязаны были усилить филиал своими квалифицированными специалистами и необходимым оборудованием. Этим же приказом НКАП в составе Ново сибирского филиала создавался отдел летных исследований. Начальник ЛИИ должен был перевести в филиал летную группу в составе 20 человек и выделить 5 самолетов (У-2, УТ-1 Су-2, Пе-3, Як-7). Приказом НКАП от 21 августа 1943 г. филиал обязали также проводить летные контрольные испытания се - рий ных самолетов двух авиазаводов. 4 декабря 1943 г., когда эту задачу сняли, все сотрудники ЛИИ вернулись в свой институт (19727).</w:t>
      </w:r>
    </w:p>
    <w:p w14:paraId="6DE08474" w14:textId="77777777" w:rsidR="0073416B" w:rsidRPr="00D03F3E" w:rsidRDefault="0073416B" w:rsidP="00D03F3E">
      <w:pPr>
        <w:spacing w:after="0" w:line="240" w:lineRule="auto"/>
        <w:jc w:val="both"/>
        <w:rPr>
          <w:rFonts w:ascii="Times New Roman" w:hAnsi="Times New Roman"/>
          <w:color w:val="000000" w:themeColor="text1"/>
          <w:sz w:val="16"/>
          <w:szCs w:val="16"/>
        </w:rPr>
      </w:pPr>
    </w:p>
    <w:p w14:paraId="594659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1943 был утвержден "Каталог материалов для ремонта самолетов и моторов", а в 1943 "Нормы расхода материалов на один восстановительный и полевой ремонт", которые регламентировали использование для окраски наружных поверхностей всех типов самолетов тех же зеленого, черного и голубого аэролаков и масляных эмалей. Краски, пригодные для окраски наружных поверхностей, но других цветов или марок в документах до 1943 г. даже не упоминаются. Из аэролаков All, кроме уже довольно редко применявшегося светло-голубого, встречаются только красный и белый (для опознавательных знаков) и алюминиевый (для грунтовочного слоя под аэролаки АМТ, что в условиях военного времени, впрочем, вскоре было отменено). Таким образом, до середины лета 1943 г. стандартное сочетание цветов в камуфляже было зеленый + черный (3092).</w:t>
      </w:r>
    </w:p>
    <w:p w14:paraId="7AE9BA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9263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1943 года:</w:t>
      </w:r>
    </w:p>
    <w:p w14:paraId="51EDDE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Строительство завода № 377 НКАП (Ново-Киевский Увал Амурской области), предназначенный для выпуска самолетов, постановлением СНК от 30 июня 1941 года № 1718-786 было законсервировано (8915).</w:t>
      </w:r>
    </w:p>
    <w:p w14:paraId="2D7548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768F6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6A674A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AEE2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1943 г. была подготовлена:</w:t>
      </w:r>
    </w:p>
    <w:p w14:paraId="2B2DDA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Записка наркома танковой промышленности СССР В. А. Малышева «О новом немецком танке Т-VI («Тигр»)»</w:t>
      </w:r>
    </w:p>
    <w:p w14:paraId="19368B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Совершенно секретно</w:t>
      </w:r>
    </w:p>
    <w:p w14:paraId="5C956F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Товарищу Сталину И. В. Товарищу Молотову В. М.</w:t>
      </w:r>
    </w:p>
    <w:p w14:paraId="6BEA21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немцев появился новый тяжелый танк T-VI («Тигр»). Танк T-VI имеет броню толщиной: лобовую 110 мм, основную бортовую 82 мм, кормовую—82 мм, башни (переднюю часть)—110 мм, башни (основной лист — 82 мм). Артиллерийское вооружение — 88 мм, пушку с начальной скоростью снаряда 830—850 м/сек.</w:t>
      </w:r>
    </w:p>
    <w:p w14:paraId="101619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приспособлен для подводного хождения на глубине до 4 метров. Мотор «Майбах», бензиновый, мощностью 650 л. с. Вес ориентировочно 54—58 тн.</w:t>
      </w:r>
    </w:p>
    <w:p w14:paraId="3ACB16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Мощное бронирование и артиллерийское вооружение, а также приспособление для подводного хождения танка показывают, что этот танк предназначается для прорыва укрепленной полосы и для борьбы с нашими танками Т-34 и «KB».</w:t>
      </w:r>
    </w:p>
    <w:p w14:paraId="1C3101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Имеющаяся у нас противотанковая и танковая артиллерия (76 мм и 122 мм) не способна будет пробивать броню танка T-VI с дистанции свыше 400—500 метров (а в лоб и с дистанций 200—300 метров).</w:t>
      </w:r>
    </w:p>
    <w:p w14:paraId="1F07D7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успешной борьбы с танком T-VI необходимо:</w:t>
      </w:r>
    </w:p>
    <w:p w14:paraId="0AD0BE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Дать в боекомплект пушки М-30 калибра 122 мм и артсамоходов СУ-122 кумулятивный снаряд.</w:t>
      </w:r>
    </w:p>
    <w:p w14:paraId="052232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Срочно обязать Наркомат вооружения переконструировать имеющуюся зенитную пушку 85 мм в противотанковую и танковую и наладить их серийное производство.</w:t>
      </w:r>
    </w:p>
    <w:p w14:paraId="0BE5C8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Дать задание Наркомтанкопрому срочно изготовить образцы с установкой 85 мм пушки в танковом исполнении на артсамоходе на базе танка Т-34 и попытаться вписать эту же пушку в танки «KB» и «ИС».</w:t>
      </w:r>
    </w:p>
    <w:p w14:paraId="09506D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Срочно обязать Наркомат боеприпасов подготовить производство бронебойных (обязательно остроголовых) снарядов для пушек 85 мм и 152 мм (МЛ-20).</w:t>
      </w:r>
    </w:p>
    <w:p w14:paraId="6D73EA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Дать задание Инженерному управлению КА испытать действие наших противотанковых мин на ходовую часть и днище танка T-VI.</w:t>
      </w:r>
    </w:p>
    <w:p w14:paraId="12F64B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Малышев (АПРФ. Ф. 3. On. 46. Д. 353. Л. 129).</w:t>
      </w:r>
    </w:p>
    <w:p w14:paraId="0DBA00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B7DA24" w14:textId="77777777" w:rsidR="00184721" w:rsidRPr="00D03F3E" w:rsidRDefault="00184721" w:rsidP="00D03F3E">
      <w:pPr>
        <w:tabs>
          <w:tab w:val="left" w:pos="7776"/>
        </w:tabs>
        <w:spacing w:after="0" w:line="240" w:lineRule="auto"/>
        <w:jc w:val="both"/>
        <w:rPr>
          <w:rFonts w:ascii="Times New Roman" w:hAnsi="Times New Roman"/>
          <w:color w:val="000000" w:themeColor="text1"/>
          <w:sz w:val="16"/>
          <w:szCs w:val="16"/>
        </w:rPr>
      </w:pPr>
      <w:r w:rsidRPr="00D03F3E">
        <w:rPr>
          <w:rStyle w:val="Bodytext2"/>
          <w:rFonts w:eastAsia="Calibri"/>
          <w:color w:val="000000" w:themeColor="text1"/>
          <w:sz w:val="16"/>
          <w:szCs w:val="16"/>
        </w:rPr>
        <w:t xml:space="preserve">10 апреля 1943 г. </w:t>
      </w:r>
      <w:r w:rsidRPr="00D03F3E">
        <w:rPr>
          <w:rStyle w:val="Heading22"/>
          <w:rFonts w:eastAsia="Calibri"/>
          <w:color w:val="000000" w:themeColor="text1"/>
          <w:sz w:val="16"/>
          <w:szCs w:val="16"/>
        </w:rPr>
        <w:t>Доклад наркома танковой промышленности В. А. Малышева о новых немецких танках и способах борьбы с ними*</w:t>
      </w:r>
    </w:p>
    <w:p w14:paraId="2F3857E4" w14:textId="77777777" w:rsidR="00184721" w:rsidRPr="00D03F3E" w:rsidRDefault="00184721" w:rsidP="00D03F3E">
      <w:pPr>
        <w:spacing w:after="0" w:line="240" w:lineRule="auto"/>
        <w:jc w:val="both"/>
        <w:rPr>
          <w:rFonts w:ascii="Times New Roman" w:hAnsi="Times New Roman"/>
          <w:color w:val="000000" w:themeColor="text1"/>
          <w:sz w:val="16"/>
          <w:szCs w:val="16"/>
        </w:rPr>
      </w:pPr>
      <w:r w:rsidRPr="00D03F3E">
        <w:rPr>
          <w:rStyle w:val="Bodytext2"/>
          <w:rFonts w:eastAsia="Calibri"/>
          <w:color w:val="000000" w:themeColor="text1"/>
          <w:sz w:val="16"/>
          <w:szCs w:val="16"/>
        </w:rPr>
        <w:t>Товарищу Сталину И. В. Товарищу Молотову В. М.</w:t>
      </w:r>
    </w:p>
    <w:p w14:paraId="1F90A43D" w14:textId="77777777" w:rsidR="00184721" w:rsidRPr="00D03F3E" w:rsidRDefault="00184721" w:rsidP="00D03F3E">
      <w:pPr>
        <w:pStyle w:val="621"/>
        <w:shd w:val="clear" w:color="auto" w:fill="auto"/>
        <w:spacing w:before="0" w:line="240" w:lineRule="auto"/>
        <w:rPr>
          <w:color w:val="000000" w:themeColor="text1"/>
          <w:sz w:val="16"/>
          <w:szCs w:val="16"/>
        </w:rPr>
      </w:pPr>
      <w:r w:rsidRPr="00D03F3E">
        <w:rPr>
          <w:rStyle w:val="16"/>
          <w:rFonts w:ascii="Times New Roman" w:cs="Times New Roman"/>
          <w:color w:val="000000" w:themeColor="text1"/>
          <w:spacing w:val="0"/>
          <w:u w:val="none"/>
        </w:rPr>
        <w:t>У немцев появился новый тяжелый танк Т-</w:t>
      </w:r>
      <w:r w:rsidRPr="00D03F3E">
        <w:rPr>
          <w:rStyle w:val="16"/>
          <w:rFonts w:ascii="Times New Roman" w:cs="Times New Roman"/>
          <w:color w:val="000000" w:themeColor="text1"/>
          <w:spacing w:val="0"/>
          <w:u w:val="none"/>
          <w:lang w:val="en-US"/>
        </w:rPr>
        <w:t>VI</w:t>
      </w:r>
      <w:r w:rsidRPr="00D03F3E">
        <w:rPr>
          <w:rStyle w:val="16"/>
          <w:rFonts w:ascii="Times New Roman" w:cs="Times New Roman"/>
          <w:color w:val="000000" w:themeColor="text1"/>
          <w:spacing w:val="0"/>
          <w:u w:val="none"/>
        </w:rPr>
        <w:t xml:space="preserve"> («тигр»). Танк Т-</w:t>
      </w:r>
      <w:r w:rsidRPr="00D03F3E">
        <w:rPr>
          <w:rStyle w:val="16"/>
          <w:rFonts w:ascii="Times New Roman" w:cs="Times New Roman"/>
          <w:color w:val="000000" w:themeColor="text1"/>
          <w:spacing w:val="0"/>
          <w:u w:val="none"/>
          <w:lang w:val="en-US"/>
        </w:rPr>
        <w:t>VI</w:t>
      </w:r>
      <w:r w:rsidRPr="00D03F3E">
        <w:rPr>
          <w:rStyle w:val="16"/>
          <w:rFonts w:ascii="Times New Roman" w:cs="Times New Roman"/>
          <w:color w:val="000000" w:themeColor="text1"/>
          <w:spacing w:val="0"/>
          <w:u w:val="none"/>
        </w:rPr>
        <w:t xml:space="preserve"> имеет броню толщи</w:t>
      </w:r>
      <w:r w:rsidRPr="00D03F3E">
        <w:rPr>
          <w:rStyle w:val="16"/>
          <w:rFonts w:ascii="Times New Roman" w:cs="Times New Roman"/>
          <w:color w:val="000000" w:themeColor="text1"/>
          <w:spacing w:val="0"/>
          <w:u w:val="none"/>
        </w:rPr>
        <w:softHyphen/>
        <w:t>ной: лобовую — 110 мм, основную бортовую — 82 мм, кормовую — 82 мм, башни (переднюю часть) — 110 мм, башни (основной лист) — 82 мм. Артиллерийское вооружение — 88-мм пушку с начальной скоростью снаряда 830—850 м/сек.</w:t>
      </w:r>
    </w:p>
    <w:p w14:paraId="0AF98CE8" w14:textId="77777777" w:rsidR="00184721" w:rsidRPr="00D03F3E" w:rsidRDefault="00184721" w:rsidP="00D03F3E">
      <w:pPr>
        <w:pStyle w:val="621"/>
        <w:shd w:val="clear" w:color="auto" w:fill="auto"/>
        <w:spacing w:before="0" w:line="240" w:lineRule="auto"/>
        <w:rPr>
          <w:color w:val="000000" w:themeColor="text1"/>
          <w:sz w:val="16"/>
          <w:szCs w:val="16"/>
        </w:rPr>
      </w:pPr>
      <w:r w:rsidRPr="00D03F3E">
        <w:rPr>
          <w:rStyle w:val="16"/>
          <w:rFonts w:ascii="Times New Roman" w:cs="Times New Roman"/>
          <w:color w:val="000000" w:themeColor="text1"/>
          <w:spacing w:val="0"/>
          <w:u w:val="none"/>
        </w:rPr>
        <w:t>Танк приспособлен для подводного хождения на глубине до 4 метров. Мотор «Майбах», бензиновый, мощностью 650 л. с. Вес танка ориентировочно 54—58 т.</w:t>
      </w:r>
    </w:p>
    <w:p w14:paraId="229F6478" w14:textId="77777777" w:rsidR="00184721" w:rsidRPr="00D03F3E" w:rsidRDefault="00184721" w:rsidP="00D03F3E">
      <w:pPr>
        <w:pStyle w:val="621"/>
        <w:shd w:val="clear" w:color="auto" w:fill="auto"/>
        <w:spacing w:before="0" w:line="240" w:lineRule="auto"/>
        <w:rPr>
          <w:color w:val="000000" w:themeColor="text1"/>
          <w:sz w:val="16"/>
          <w:szCs w:val="16"/>
        </w:rPr>
      </w:pPr>
      <w:r w:rsidRPr="00D03F3E">
        <w:rPr>
          <w:rStyle w:val="16"/>
          <w:rFonts w:ascii="Times New Roman" w:cs="Times New Roman"/>
          <w:color w:val="000000" w:themeColor="text1"/>
          <w:spacing w:val="0"/>
          <w:u w:val="none"/>
        </w:rPr>
        <w:lastRenderedPageBreak/>
        <w:t>Мощное бронирование и артиллерийское вооружение, а также приспособление для под</w:t>
      </w:r>
      <w:r w:rsidRPr="00D03F3E">
        <w:rPr>
          <w:rStyle w:val="16"/>
          <w:rFonts w:ascii="Times New Roman" w:cs="Times New Roman"/>
          <w:color w:val="000000" w:themeColor="text1"/>
          <w:spacing w:val="0"/>
          <w:u w:val="none"/>
        </w:rPr>
        <w:softHyphen/>
        <w:t>водного хождения танка показывают, что этот танк предназначается для прорыва укреплен</w:t>
      </w:r>
      <w:r w:rsidRPr="00D03F3E">
        <w:rPr>
          <w:rStyle w:val="16"/>
          <w:rFonts w:ascii="Times New Roman" w:cs="Times New Roman"/>
          <w:color w:val="000000" w:themeColor="text1"/>
          <w:spacing w:val="0"/>
          <w:u w:val="none"/>
        </w:rPr>
        <w:softHyphen/>
        <w:t xml:space="preserve">ной полосы и для борьбы с нашими танками Т-34 и КВ. Имеющаяся у нас противотанковая и танковая артиллерия (76-мм и 122-мм) не способна будет пробивать броню танка </w:t>
      </w:r>
      <w:r w:rsidRPr="00D03F3E">
        <w:rPr>
          <w:rStyle w:val="16"/>
          <w:rFonts w:ascii="Times New Roman" w:cs="Times New Roman"/>
          <w:color w:val="000000" w:themeColor="text1"/>
          <w:spacing w:val="0"/>
          <w:u w:val="none"/>
          <w:lang w:val="en-US"/>
        </w:rPr>
        <w:t>T</w:t>
      </w:r>
      <w:r w:rsidRPr="00D03F3E">
        <w:rPr>
          <w:rStyle w:val="16"/>
          <w:rFonts w:ascii="Times New Roman" w:cs="Times New Roman"/>
          <w:color w:val="000000" w:themeColor="text1"/>
          <w:spacing w:val="0"/>
          <w:u w:val="none"/>
        </w:rPr>
        <w:t>-</w:t>
      </w:r>
      <w:r w:rsidRPr="00D03F3E">
        <w:rPr>
          <w:rStyle w:val="16"/>
          <w:rFonts w:ascii="Times New Roman" w:cs="Times New Roman"/>
          <w:color w:val="000000" w:themeColor="text1"/>
          <w:spacing w:val="0"/>
          <w:u w:val="none"/>
          <w:lang w:val="en-US"/>
        </w:rPr>
        <w:t>VI</w:t>
      </w:r>
      <w:r w:rsidRPr="00D03F3E">
        <w:rPr>
          <w:rStyle w:val="16"/>
          <w:rFonts w:ascii="Times New Roman" w:cs="Times New Roman"/>
          <w:color w:val="000000" w:themeColor="text1"/>
          <w:spacing w:val="0"/>
          <w:u w:val="none"/>
        </w:rPr>
        <w:t xml:space="preserve"> с дистанции свыше 400—500 метров (а в лоб и с дистанций 200—300 метров).</w:t>
      </w:r>
    </w:p>
    <w:p w14:paraId="57DE0E4F" w14:textId="77777777" w:rsidR="00184721" w:rsidRPr="00D03F3E" w:rsidRDefault="00184721" w:rsidP="00D03F3E">
      <w:pPr>
        <w:pStyle w:val="621"/>
        <w:shd w:val="clear" w:color="auto" w:fill="auto"/>
        <w:spacing w:before="0" w:line="240" w:lineRule="auto"/>
        <w:rPr>
          <w:color w:val="000000" w:themeColor="text1"/>
          <w:sz w:val="16"/>
          <w:szCs w:val="16"/>
        </w:rPr>
      </w:pPr>
      <w:r w:rsidRPr="00D03F3E">
        <w:rPr>
          <w:rStyle w:val="16"/>
          <w:rFonts w:ascii="Times New Roman" w:cs="Times New Roman"/>
          <w:color w:val="000000" w:themeColor="text1"/>
          <w:spacing w:val="0"/>
          <w:u w:val="none"/>
        </w:rPr>
        <w:t>Для успешной борьбы с танком Т-</w:t>
      </w:r>
      <w:r w:rsidRPr="00D03F3E">
        <w:rPr>
          <w:rStyle w:val="16"/>
          <w:rFonts w:ascii="Times New Roman" w:cs="Times New Roman"/>
          <w:color w:val="000000" w:themeColor="text1"/>
          <w:spacing w:val="0"/>
          <w:u w:val="none"/>
          <w:lang w:val="en-US"/>
        </w:rPr>
        <w:t>VI</w:t>
      </w:r>
      <w:r w:rsidRPr="00D03F3E">
        <w:rPr>
          <w:rStyle w:val="16"/>
          <w:rFonts w:ascii="Times New Roman" w:cs="Times New Roman"/>
          <w:color w:val="000000" w:themeColor="text1"/>
          <w:spacing w:val="0"/>
          <w:u w:val="none"/>
        </w:rPr>
        <w:t xml:space="preserve"> необходимо:</w:t>
      </w:r>
    </w:p>
    <w:p w14:paraId="7CD7C7CF" w14:textId="77777777" w:rsidR="00184721" w:rsidRPr="00D03F3E" w:rsidRDefault="00184721" w:rsidP="00D03F3E">
      <w:pPr>
        <w:pStyle w:val="621"/>
        <w:shd w:val="clear" w:color="auto" w:fill="auto"/>
        <w:tabs>
          <w:tab w:val="left" w:pos="630"/>
        </w:tabs>
        <w:spacing w:before="0" w:line="240" w:lineRule="auto"/>
        <w:rPr>
          <w:color w:val="000000" w:themeColor="text1"/>
          <w:sz w:val="16"/>
          <w:szCs w:val="16"/>
        </w:rPr>
      </w:pPr>
      <w:r w:rsidRPr="00D03F3E">
        <w:rPr>
          <w:rStyle w:val="16"/>
          <w:rFonts w:ascii="Times New Roman" w:cs="Times New Roman"/>
          <w:color w:val="000000" w:themeColor="text1"/>
          <w:spacing w:val="0"/>
          <w:u w:val="none"/>
        </w:rPr>
        <w:t>1. Дать в боекомплект пушки М-30 калибра 122 мм и артсамоходов СУ-122 кумулятив</w:t>
      </w:r>
      <w:r w:rsidRPr="00D03F3E">
        <w:rPr>
          <w:rStyle w:val="16"/>
          <w:rFonts w:ascii="Times New Roman" w:cs="Times New Roman"/>
          <w:color w:val="000000" w:themeColor="text1"/>
          <w:spacing w:val="0"/>
          <w:u w:val="none"/>
        </w:rPr>
        <w:softHyphen/>
        <w:t>ный снаряд.</w:t>
      </w:r>
    </w:p>
    <w:p w14:paraId="7D194B9A" w14:textId="77777777" w:rsidR="00184721" w:rsidRPr="00D03F3E" w:rsidRDefault="00184721" w:rsidP="00D03F3E">
      <w:pPr>
        <w:pStyle w:val="621"/>
        <w:shd w:val="clear" w:color="auto" w:fill="auto"/>
        <w:tabs>
          <w:tab w:val="left" w:pos="673"/>
        </w:tabs>
        <w:spacing w:before="0" w:line="240" w:lineRule="auto"/>
        <w:rPr>
          <w:color w:val="000000" w:themeColor="text1"/>
          <w:sz w:val="16"/>
          <w:szCs w:val="16"/>
        </w:rPr>
      </w:pPr>
      <w:r w:rsidRPr="00D03F3E">
        <w:rPr>
          <w:rStyle w:val="16"/>
          <w:rFonts w:ascii="Times New Roman" w:cs="Times New Roman"/>
          <w:color w:val="000000" w:themeColor="text1"/>
          <w:spacing w:val="0"/>
          <w:u w:val="none"/>
        </w:rPr>
        <w:t>2. Срочно обязать Наркомат вооружения переконструировать имеющуюся зенитную пушку 85-мм в противотанковую и танковую и наладить их серийное производство.</w:t>
      </w:r>
    </w:p>
    <w:p w14:paraId="4E765971" w14:textId="77777777" w:rsidR="00184721" w:rsidRPr="00D03F3E" w:rsidRDefault="00184721" w:rsidP="00D03F3E">
      <w:pPr>
        <w:pStyle w:val="621"/>
        <w:shd w:val="clear" w:color="auto" w:fill="auto"/>
        <w:tabs>
          <w:tab w:val="left" w:pos="658"/>
        </w:tabs>
        <w:spacing w:before="0" w:line="240" w:lineRule="auto"/>
        <w:rPr>
          <w:color w:val="000000" w:themeColor="text1"/>
          <w:sz w:val="16"/>
          <w:szCs w:val="16"/>
        </w:rPr>
      </w:pPr>
      <w:r w:rsidRPr="00D03F3E">
        <w:rPr>
          <w:rStyle w:val="16"/>
          <w:rFonts w:ascii="Times New Roman" w:cs="Times New Roman"/>
          <w:color w:val="000000" w:themeColor="text1"/>
          <w:spacing w:val="0"/>
          <w:u w:val="none"/>
        </w:rPr>
        <w:t>3. Дать задание Наркомтанкопрому срочно изготовить образцы с установкой 85-мм пушки в танковом исполнении на артсамоходе на базе танка Т-34 и попытаться вписать эту пушку в танки КВ и ИС.</w:t>
      </w:r>
    </w:p>
    <w:p w14:paraId="2D521FB1" w14:textId="77777777" w:rsidR="00184721" w:rsidRPr="00D03F3E" w:rsidRDefault="00184721" w:rsidP="00D03F3E">
      <w:pPr>
        <w:pStyle w:val="621"/>
        <w:shd w:val="clear" w:color="auto" w:fill="auto"/>
        <w:tabs>
          <w:tab w:val="left" w:pos="625"/>
        </w:tabs>
        <w:spacing w:before="0" w:line="240" w:lineRule="auto"/>
        <w:rPr>
          <w:color w:val="000000" w:themeColor="text1"/>
          <w:sz w:val="16"/>
          <w:szCs w:val="16"/>
        </w:rPr>
      </w:pPr>
      <w:r w:rsidRPr="00D03F3E">
        <w:rPr>
          <w:rStyle w:val="16"/>
          <w:rFonts w:ascii="Times New Roman" w:cs="Times New Roman"/>
          <w:color w:val="000000" w:themeColor="text1"/>
          <w:spacing w:val="0"/>
          <w:u w:val="none"/>
        </w:rPr>
        <w:t>4. Срочно обязать Наркомат боеприпасов подготовить производство бронебойных (обя</w:t>
      </w:r>
      <w:r w:rsidRPr="00D03F3E">
        <w:rPr>
          <w:rStyle w:val="16"/>
          <w:rFonts w:ascii="Times New Roman" w:cs="Times New Roman"/>
          <w:color w:val="000000" w:themeColor="text1"/>
          <w:spacing w:val="0"/>
          <w:u w:val="none"/>
        </w:rPr>
        <w:softHyphen/>
        <w:t>зательно остроголовых) снарядов для пушек 85-мм и 152-мм (МЛ-20).</w:t>
      </w:r>
    </w:p>
    <w:p w14:paraId="42968265" w14:textId="77777777" w:rsidR="00184721" w:rsidRPr="00D03F3E" w:rsidRDefault="00184721" w:rsidP="00D03F3E">
      <w:pPr>
        <w:pStyle w:val="621"/>
        <w:shd w:val="clear" w:color="auto" w:fill="auto"/>
        <w:tabs>
          <w:tab w:val="left" w:pos="639"/>
        </w:tabs>
        <w:spacing w:before="0" w:line="240" w:lineRule="auto"/>
        <w:rPr>
          <w:color w:val="000000" w:themeColor="text1"/>
          <w:sz w:val="16"/>
          <w:szCs w:val="16"/>
        </w:rPr>
      </w:pPr>
      <w:r w:rsidRPr="00D03F3E">
        <w:rPr>
          <w:rStyle w:val="16"/>
          <w:rFonts w:ascii="Times New Roman" w:cs="Times New Roman"/>
          <w:color w:val="000000" w:themeColor="text1"/>
          <w:spacing w:val="0"/>
          <w:u w:val="none"/>
        </w:rPr>
        <w:t>5. Дать задание Инженерному управлению КА испытать действие наших противотан</w:t>
      </w:r>
      <w:r w:rsidRPr="00D03F3E">
        <w:rPr>
          <w:rStyle w:val="16"/>
          <w:rFonts w:ascii="Times New Roman" w:cs="Times New Roman"/>
          <w:color w:val="000000" w:themeColor="text1"/>
          <w:spacing w:val="0"/>
          <w:u w:val="none"/>
        </w:rPr>
        <w:softHyphen/>
        <w:t>ковых мин на ходовую часть и днище танка Т-</w:t>
      </w:r>
      <w:r w:rsidRPr="00D03F3E">
        <w:rPr>
          <w:rStyle w:val="16"/>
          <w:rFonts w:ascii="Times New Roman" w:cs="Times New Roman"/>
          <w:color w:val="000000" w:themeColor="text1"/>
          <w:spacing w:val="0"/>
          <w:u w:val="none"/>
          <w:lang w:val="en-US"/>
        </w:rPr>
        <w:t>VI</w:t>
      </w:r>
      <w:r w:rsidRPr="00D03F3E">
        <w:rPr>
          <w:rStyle w:val="16"/>
          <w:rFonts w:ascii="Times New Roman" w:cs="Times New Roman"/>
          <w:color w:val="000000" w:themeColor="text1"/>
          <w:spacing w:val="0"/>
          <w:u w:val="none"/>
        </w:rPr>
        <w:t>.</w:t>
      </w:r>
    </w:p>
    <w:p w14:paraId="23154644" w14:textId="77777777" w:rsidR="00184721" w:rsidRPr="00D03F3E" w:rsidRDefault="00184721" w:rsidP="00D03F3E">
      <w:pPr>
        <w:spacing w:after="0" w:line="240" w:lineRule="auto"/>
        <w:jc w:val="both"/>
        <w:rPr>
          <w:rStyle w:val="Bodytext2"/>
          <w:rFonts w:eastAsia="Calibri"/>
          <w:color w:val="000000" w:themeColor="text1"/>
          <w:sz w:val="16"/>
          <w:szCs w:val="16"/>
        </w:rPr>
      </w:pPr>
      <w:r w:rsidRPr="00D03F3E">
        <w:rPr>
          <w:rStyle w:val="Bodytext2"/>
          <w:rFonts w:eastAsia="Calibri"/>
          <w:color w:val="000000" w:themeColor="text1"/>
          <w:sz w:val="16"/>
          <w:szCs w:val="16"/>
        </w:rPr>
        <w:t>В. Малышев (15123).</w:t>
      </w:r>
    </w:p>
    <w:p w14:paraId="023575EC" w14:textId="77777777" w:rsidR="00184721" w:rsidRPr="00D03F3E" w:rsidRDefault="00184721" w:rsidP="00D03F3E">
      <w:pPr>
        <w:spacing w:after="0" w:line="240" w:lineRule="auto"/>
        <w:jc w:val="both"/>
        <w:rPr>
          <w:rFonts w:ascii="Times New Roman" w:hAnsi="Times New Roman"/>
          <w:color w:val="000000" w:themeColor="text1"/>
          <w:sz w:val="16"/>
          <w:szCs w:val="16"/>
        </w:rPr>
      </w:pPr>
    </w:p>
    <w:p w14:paraId="57F9A2B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1943 г. было подготовлено письмо:</w:t>
      </w:r>
    </w:p>
    <w:p w14:paraId="1EE356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Товарищу Сталину И. В, Товарищу Молотову В. М.</w:t>
      </w:r>
    </w:p>
    <w:p w14:paraId="12874E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Совершенно секретно</w:t>
      </w:r>
    </w:p>
    <w:p w14:paraId="6BD0AB8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немцев появился новый тяжелый танк Т-\/1 («Тигр»). Танк Т-У1 имеет броню толщиной: лобовую 110 мм, основную бортовую 82 мм, кормовую 82 мм, башни (переднюю часть) -110 мм, башни (основной лист) - 82 мм. Артиллерийское вооружение - 88 мм, пушку с начальной скоростью снаряда 830-850 м/сек.</w:t>
      </w:r>
    </w:p>
    <w:p w14:paraId="3F5278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приспособлен для подводного хождения на глубине до 4 метров. Мотор «Майбах», бензиновый, мощностью 650 л. с. Вес танка ориентировочно 54-58 тн.</w:t>
      </w:r>
    </w:p>
    <w:p w14:paraId="59E1A6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Мощное бронирование и артиллерийское вооружение, а также приспособление для подводного хождения танка показывают, что этот танк предназначается для прорыва укрепленной полосы и для борьбы с нашими танками Т-34 и «КВ». Имеющаяся у нас противо</w:t>
      </w:r>
      <w:r w:rsidRPr="00D03F3E">
        <w:rPr>
          <w:rFonts w:ascii="Times New Roman" w:hAnsi="Times New Roman"/>
          <w:color w:val="000000" w:themeColor="text1"/>
          <w:sz w:val="16"/>
          <w:szCs w:val="16"/>
        </w:rPr>
        <w:softHyphen/>
        <w:t>танковая и танковая артиллерия (76 мм и 122 мм) не способна будет пробивать броню танка Т-\Л с дистанции свыше 400-500 метров (а в лоб и с дистанций 200-300 метров).</w:t>
      </w:r>
    </w:p>
    <w:p w14:paraId="40C957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успешной борьбы с танком Т-У! необходимо:</w:t>
      </w:r>
    </w:p>
    <w:p w14:paraId="072F80F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Дать в боекомплект пушки М-30 калибра 122 мм и артсамоходов СУ-122 кумулятивный снаряд.</w:t>
      </w:r>
    </w:p>
    <w:p w14:paraId="4473D3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Срочно обязать Наркомат вооружения переконструировать имею</w:t>
      </w:r>
      <w:r w:rsidRPr="00D03F3E">
        <w:rPr>
          <w:rFonts w:ascii="Times New Roman" w:hAnsi="Times New Roman"/>
          <w:color w:val="000000" w:themeColor="text1"/>
          <w:sz w:val="16"/>
          <w:szCs w:val="16"/>
        </w:rPr>
        <w:softHyphen/>
        <w:t>щуюся зенитную пушку 85 мм в противотанковую и танковую и нала</w:t>
      </w:r>
      <w:r w:rsidRPr="00D03F3E">
        <w:rPr>
          <w:rFonts w:ascii="Times New Roman" w:hAnsi="Times New Roman"/>
          <w:color w:val="000000" w:themeColor="text1"/>
          <w:sz w:val="16"/>
          <w:szCs w:val="16"/>
        </w:rPr>
        <w:softHyphen/>
        <w:t>дить их серийное производство.</w:t>
      </w:r>
    </w:p>
    <w:p w14:paraId="2A8E8F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Дать задание Наркомтанкопрому срочно изготовить образцы с уста</w:t>
      </w:r>
      <w:r w:rsidRPr="00D03F3E">
        <w:rPr>
          <w:rFonts w:ascii="Times New Roman" w:hAnsi="Times New Roman"/>
          <w:color w:val="000000" w:themeColor="text1"/>
          <w:sz w:val="16"/>
          <w:szCs w:val="16"/>
        </w:rPr>
        <w:softHyphen/>
        <w:t>новкой 85 мм пушки в танковом исполнении на артсамоходе на базе танка Т-34 и попытаться вписать эту пушку в танки «КВ» и «ИС».</w:t>
      </w:r>
    </w:p>
    <w:p w14:paraId="3A2E1C1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Срочно обязать Наркомат боеприпасов подготовить производ</w:t>
      </w:r>
      <w:r w:rsidRPr="00D03F3E">
        <w:rPr>
          <w:rFonts w:ascii="Times New Roman" w:hAnsi="Times New Roman"/>
          <w:color w:val="000000" w:themeColor="text1"/>
          <w:sz w:val="16"/>
          <w:szCs w:val="16"/>
        </w:rPr>
        <w:softHyphen/>
        <w:t>ство бронебойных (обязательно остроголовых) снарядов для пушек 85 мм и 152мм (МЛ-20). ,</w:t>
      </w:r>
    </w:p>
    <w:p w14:paraId="15F82F3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Дать задание Инженерному управлению КА испытать действие наших противотанковых мин на ходовую часть и днище танка Т-У1.</w:t>
      </w:r>
    </w:p>
    <w:p w14:paraId="6D3825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Малышев (11135).</w:t>
      </w:r>
    </w:p>
    <w:p w14:paraId="1E0EF4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CB7F28" w14:textId="77777777" w:rsidR="00AC5101" w:rsidRPr="00D03F3E" w:rsidRDefault="00AC5101" w:rsidP="00D03F3E">
      <w:pPr>
        <w:pStyle w:val="a3"/>
        <w:rPr>
          <w:color w:val="000000" w:themeColor="text1"/>
          <w:lang w:val="ru-RU"/>
        </w:rPr>
      </w:pPr>
      <w:r w:rsidRPr="00D03F3E">
        <w:rPr>
          <w:color w:val="000000" w:themeColor="text1"/>
          <w:lang w:val="ru-RU"/>
        </w:rPr>
        <w:t>10 апреля 1943 года бывший нарком танковой промышленности В. А. Малышев направил письмо И. В. Сталину и В. М. Молотову. В этом письме Малышев сообщал:</w:t>
      </w:r>
    </w:p>
    <w:p w14:paraId="1FDA03FD" w14:textId="77777777" w:rsidR="00AC5101" w:rsidRPr="00D03F3E" w:rsidRDefault="00AC5101" w:rsidP="00D03F3E">
      <w:pPr>
        <w:pStyle w:val="a3"/>
        <w:rPr>
          <w:color w:val="000000" w:themeColor="text1"/>
          <w:lang w:val="ru-RU"/>
        </w:rPr>
      </w:pPr>
      <w:r w:rsidRPr="00D03F3E">
        <w:rPr>
          <w:color w:val="000000" w:themeColor="text1"/>
          <w:lang w:val="ru-RU"/>
        </w:rPr>
        <w:t>«У немцев появился новый тяжелый танк Т-У1 («Тигр»). Танк Т-У1 имеет броню толщиной: лобовую 110 мм, основную бортовую 82 мм, кормовую 82 мм, башни (передняя часть) 110 мм, башни (основной лист) - 82 мм. Артиллерийское вооружение - 88 мм пушка с начальной скоростью снаряда 830-850 м/сек.</w:t>
      </w:r>
    </w:p>
    <w:p w14:paraId="09D7CE51" w14:textId="77777777" w:rsidR="00AC5101" w:rsidRPr="00D03F3E" w:rsidRDefault="00AC5101" w:rsidP="00D03F3E">
      <w:pPr>
        <w:pStyle w:val="a3"/>
        <w:rPr>
          <w:color w:val="000000" w:themeColor="text1"/>
          <w:lang w:val="ru-RU"/>
        </w:rPr>
      </w:pPr>
      <w:r w:rsidRPr="00D03F3E">
        <w:rPr>
          <w:color w:val="000000" w:themeColor="text1"/>
          <w:lang w:val="ru-RU"/>
        </w:rPr>
        <w:t>Танк приспособлен для подводного хождения на глубине до 4 метров. Мотор «Майбах», бензиновый, мощностью 650 л.с. Вес танка ориентировочно 54-58 тн.</w:t>
      </w:r>
    </w:p>
    <w:p w14:paraId="37129EE4" w14:textId="77777777" w:rsidR="00AC5101" w:rsidRPr="00D03F3E" w:rsidRDefault="00AC5101" w:rsidP="00D03F3E">
      <w:pPr>
        <w:pStyle w:val="a3"/>
        <w:rPr>
          <w:color w:val="000000" w:themeColor="text1"/>
          <w:lang w:val="ru-RU"/>
        </w:rPr>
      </w:pPr>
      <w:r w:rsidRPr="00D03F3E">
        <w:rPr>
          <w:color w:val="000000" w:themeColor="text1"/>
          <w:lang w:val="ru-RU"/>
        </w:rPr>
        <w:t>Мощное бронирование и артиллерийское вооружение, а также приспособление для подводного хождения танка показывают, что этот танк предназначается для прорыва укреплённой полосы и для борьбы с нашими танками Т-34 и «КВ». Имеющаяся у нас противотанковая и танковая артиллерия (76 мм и 122 мм) не способна будет пробивать броню танка Т-У1 с дистанции свыше 400-500метров (а в лоб с дистанции 200-300 метров). Для успешной борьбы с танком Т-У1 необходимо:</w:t>
      </w:r>
    </w:p>
    <w:p w14:paraId="606663C6" w14:textId="77777777" w:rsidR="00AC5101" w:rsidRPr="00D03F3E" w:rsidRDefault="00AC5101" w:rsidP="00D03F3E">
      <w:pPr>
        <w:pStyle w:val="a3"/>
        <w:tabs>
          <w:tab w:val="left" w:pos="366"/>
        </w:tabs>
        <w:rPr>
          <w:color w:val="000000" w:themeColor="text1"/>
          <w:lang w:val="ru-RU"/>
        </w:rPr>
      </w:pPr>
      <w:r w:rsidRPr="00D03F3E">
        <w:rPr>
          <w:color w:val="000000" w:themeColor="text1"/>
          <w:lang w:val="ru-RU"/>
        </w:rPr>
        <w:t>1.</w:t>
      </w:r>
      <w:r w:rsidRPr="00D03F3E">
        <w:rPr>
          <w:color w:val="000000" w:themeColor="text1"/>
          <w:lang w:val="ru-RU"/>
        </w:rPr>
        <w:tab/>
        <w:t>Дать в боекомплект пушки М-30 калибра 122 мм и артсамоходов СУ-122 кумулятивный снаряд.</w:t>
      </w:r>
    </w:p>
    <w:p w14:paraId="530E7FB1" w14:textId="77777777" w:rsidR="00AC5101" w:rsidRPr="00D03F3E" w:rsidRDefault="00AC5101" w:rsidP="00D03F3E">
      <w:pPr>
        <w:pStyle w:val="a3"/>
        <w:tabs>
          <w:tab w:val="left" w:pos="433"/>
        </w:tabs>
        <w:rPr>
          <w:color w:val="000000" w:themeColor="text1"/>
          <w:lang w:val="ru-RU"/>
        </w:rPr>
      </w:pPr>
      <w:r w:rsidRPr="00D03F3E">
        <w:rPr>
          <w:color w:val="000000" w:themeColor="text1"/>
          <w:lang w:val="ru-RU"/>
        </w:rPr>
        <w:t>2.</w:t>
      </w:r>
      <w:r w:rsidRPr="00D03F3E">
        <w:rPr>
          <w:color w:val="000000" w:themeColor="text1"/>
          <w:lang w:val="ru-RU"/>
        </w:rPr>
        <w:tab/>
        <w:t>Срочно обязать Наркомат вооружения переконструировать имеющуюся зенитную пушку 85-мм в противотанковую и танковую и наладить их серийное производство.</w:t>
      </w:r>
    </w:p>
    <w:p w14:paraId="6E457E31" w14:textId="77777777" w:rsidR="00AC5101" w:rsidRPr="00D03F3E" w:rsidRDefault="00AC5101" w:rsidP="00D03F3E">
      <w:pPr>
        <w:pStyle w:val="a3"/>
        <w:tabs>
          <w:tab w:val="left" w:pos="380"/>
        </w:tabs>
        <w:rPr>
          <w:color w:val="000000" w:themeColor="text1"/>
          <w:lang w:val="ru-RU"/>
        </w:rPr>
      </w:pPr>
      <w:r w:rsidRPr="00D03F3E">
        <w:rPr>
          <w:color w:val="000000" w:themeColor="text1"/>
          <w:lang w:val="ru-RU"/>
        </w:rPr>
        <w:t>3.</w:t>
      </w:r>
      <w:r w:rsidRPr="00D03F3E">
        <w:rPr>
          <w:color w:val="000000" w:themeColor="text1"/>
          <w:lang w:val="ru-RU"/>
        </w:rPr>
        <w:tab/>
        <w:t>Дать задание Наркомтанкопрому срочно изготовить образцы с установкой 85 мм пушки в танковом исполнении на артсамоходе на базе танка Т-34 и попытаться вписать эту пушку в танки «КВ» и «ИС».</w:t>
      </w:r>
    </w:p>
    <w:p w14:paraId="7B071648" w14:textId="77777777" w:rsidR="00AC5101" w:rsidRPr="00D03F3E" w:rsidRDefault="00AC5101" w:rsidP="00D03F3E">
      <w:pPr>
        <w:pStyle w:val="a3"/>
        <w:tabs>
          <w:tab w:val="left" w:pos="385"/>
        </w:tabs>
        <w:rPr>
          <w:color w:val="000000" w:themeColor="text1"/>
          <w:lang w:val="ru-RU"/>
        </w:rPr>
      </w:pPr>
      <w:r w:rsidRPr="00D03F3E">
        <w:rPr>
          <w:color w:val="000000" w:themeColor="text1"/>
          <w:lang w:val="ru-RU"/>
        </w:rPr>
        <w:t>4.</w:t>
      </w:r>
      <w:r w:rsidRPr="00D03F3E">
        <w:rPr>
          <w:color w:val="000000" w:themeColor="text1"/>
          <w:lang w:val="ru-RU"/>
        </w:rPr>
        <w:tab/>
        <w:t>Срочно обязать Наркомат боеприпасов подготовить производство бронебойных (обязательно остроголовых) снарядов для пушек 85 мм и 152 мм (МЛ-20).</w:t>
      </w:r>
    </w:p>
    <w:p w14:paraId="59EECB5B" w14:textId="77777777" w:rsidR="00AC5101" w:rsidRPr="00D03F3E" w:rsidRDefault="00AC5101" w:rsidP="00D03F3E">
      <w:pPr>
        <w:pStyle w:val="a3"/>
        <w:tabs>
          <w:tab w:val="left" w:pos="380"/>
        </w:tabs>
        <w:rPr>
          <w:color w:val="000000" w:themeColor="text1"/>
          <w:lang w:val="ru-RU"/>
        </w:rPr>
      </w:pPr>
      <w:r w:rsidRPr="00D03F3E">
        <w:rPr>
          <w:color w:val="000000" w:themeColor="text1"/>
          <w:lang w:val="ru-RU"/>
        </w:rPr>
        <w:t>5.</w:t>
      </w:r>
      <w:r w:rsidRPr="00D03F3E">
        <w:rPr>
          <w:color w:val="000000" w:themeColor="text1"/>
          <w:lang w:val="ru-RU"/>
        </w:rPr>
        <w:tab/>
        <w:t>Дать задание Инженерному управлению КА испытать действие наших противотанковых мин на ходовую часть и днище танка Т-УТ».</w:t>
      </w:r>
    </w:p>
    <w:p w14:paraId="38FC3DFF" w14:textId="77777777" w:rsidR="00AC5101" w:rsidRPr="00D03F3E" w:rsidRDefault="00AC5101" w:rsidP="00D03F3E">
      <w:pPr>
        <w:pStyle w:val="a3"/>
        <w:rPr>
          <w:color w:val="000000" w:themeColor="text1"/>
          <w:lang w:val="ru-RU"/>
        </w:rPr>
      </w:pPr>
      <w:r w:rsidRPr="00D03F3E">
        <w:rPr>
          <w:color w:val="000000" w:themeColor="text1"/>
          <w:lang w:val="ru-RU"/>
        </w:rPr>
        <w:t>Таким образом, письмо Малышева содержало не только предупреждение, но и конкретную программу мер борьбы с новой угрозой. Как показали последующие события, руководство страны приняло эту программу как руководство к действию, а для бывшего наркома это письмо стало первым шагом к восстановлению прежних позиций в отрасли (12290).</w:t>
      </w:r>
    </w:p>
    <w:p w14:paraId="3FE3349B" w14:textId="77777777" w:rsidR="00AC5101" w:rsidRPr="00D03F3E" w:rsidRDefault="00AC5101" w:rsidP="00D03F3E">
      <w:pPr>
        <w:pStyle w:val="a3"/>
        <w:rPr>
          <w:color w:val="000000" w:themeColor="text1"/>
          <w:lang w:val="ru-RU"/>
        </w:rPr>
      </w:pPr>
    </w:p>
    <w:p w14:paraId="0A65F767" w14:textId="77777777" w:rsidR="00B610FB" w:rsidRPr="00D03F3E" w:rsidRDefault="00B610FB" w:rsidP="00D03F3E">
      <w:pPr>
        <w:pStyle w:val="162"/>
        <w:shd w:val="clear" w:color="auto" w:fill="auto"/>
        <w:spacing w:line="240" w:lineRule="auto"/>
        <w:jc w:val="both"/>
        <w:rPr>
          <w:color w:val="000000" w:themeColor="text1"/>
          <w:sz w:val="16"/>
          <w:szCs w:val="16"/>
        </w:rPr>
      </w:pPr>
      <w:r w:rsidRPr="00D03F3E">
        <w:rPr>
          <w:rFonts w:eastAsia="Calibri"/>
          <w:color w:val="000000" w:themeColor="text1"/>
          <w:sz w:val="16"/>
          <w:szCs w:val="16"/>
        </w:rPr>
        <w:t>10 апреля 1943 года в Свердловск, куда в 1941 году был эвакуиро</w:t>
      </w:r>
      <w:r w:rsidRPr="00D03F3E">
        <w:rPr>
          <w:rFonts w:eastAsia="Calibri"/>
          <w:color w:val="000000" w:themeColor="text1"/>
          <w:sz w:val="16"/>
          <w:szCs w:val="16"/>
        </w:rPr>
        <w:softHyphen/>
        <w:t>ван НИИ-48, ушло письмо за подписью ВРИД председателя Арткома ГАУ генерал-майора инженерно-артиллерийской службы Сергиенко. В нем были высказаны серьезные сомнения в эффективности как во</w:t>
      </w:r>
      <w:r w:rsidRPr="00D03F3E">
        <w:rPr>
          <w:rFonts w:eastAsia="Calibri"/>
          <w:color w:val="000000" w:themeColor="text1"/>
          <w:sz w:val="16"/>
          <w:szCs w:val="16"/>
        </w:rPr>
        <w:softHyphen/>
        <w:t>оружения, так и бронезащиты. По мнению членов Арткома, в качестве замены СУ-12 проект явно не тянул. Вердикт был однозначный:</w:t>
      </w:r>
    </w:p>
    <w:p w14:paraId="04D0DCC6" w14:textId="77777777" w:rsidR="00B610FB" w:rsidRPr="00D03F3E" w:rsidRDefault="00B610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«Резюмируя все вышеперечисленное, Артиллерийский комитет счита</w:t>
      </w:r>
      <w:r w:rsidRPr="00D03F3E">
        <w:rPr>
          <w:rFonts w:ascii="Times New Roman" w:hAnsi="Times New Roman"/>
          <w:color w:val="000000" w:themeColor="text1"/>
          <w:sz w:val="16"/>
          <w:szCs w:val="16"/>
        </w:rPr>
        <w:softHyphen/>
        <w:t>ет проект ЦНИИ-48 не представляющим интереса.</w:t>
      </w:r>
    </w:p>
    <w:p w14:paraId="5BB24DCD" w14:textId="77777777" w:rsidR="00B610FB" w:rsidRPr="00D03F3E" w:rsidRDefault="00B610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Дальнейшие работы по разработке этой самоходной установки долж</w:t>
      </w:r>
      <w:r w:rsidRPr="00D03F3E">
        <w:rPr>
          <w:rFonts w:ascii="Times New Roman" w:hAnsi="Times New Roman"/>
          <w:color w:val="000000" w:themeColor="text1"/>
          <w:sz w:val="16"/>
          <w:szCs w:val="16"/>
        </w:rPr>
        <w:softHyphen/>
        <w:t>ны быть прекращены» (17485).</w:t>
      </w:r>
    </w:p>
    <w:p w14:paraId="625FA250" w14:textId="77777777" w:rsidR="00B610FB" w:rsidRPr="00D03F3E" w:rsidRDefault="00B610FB" w:rsidP="00D03F3E">
      <w:pPr>
        <w:pStyle w:val="27"/>
        <w:shd w:val="clear" w:color="auto" w:fill="auto"/>
        <w:spacing w:after="0" w:line="240" w:lineRule="auto"/>
        <w:ind w:firstLine="0"/>
        <w:rPr>
          <w:rFonts w:ascii="Times New Roman" w:cs="Times New Roman"/>
          <w:color w:val="000000" w:themeColor="text1"/>
          <w:spacing w:val="0"/>
        </w:rPr>
      </w:pPr>
    </w:p>
    <w:p w14:paraId="09E2C6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1943 вышло Распоряжение ГКО № 3158. О мобилизации на УЗТМ 500 неработающих и служащих учреждений Свердловска.РГАНИР, Фонд ГКО, д. 102, лл. 130 (11012).</w:t>
      </w:r>
    </w:p>
    <w:p w14:paraId="5BD3FB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55A26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1943 вышло Постановление ГКО № 3160 Об улучшении пропуска поездов по направлениям Ртищево - Лиски - Купянск, Кочетовка - Грязи - Лиски - Миллерово, Ожерелье - Елец - Касторная - Валуйки и Воронеж - Касторная - Курск. (7093, 132-135,136-141).</w:t>
      </w:r>
    </w:p>
    <w:p w14:paraId="6644814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20EA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1943 Балтийцы завершили ремонт и модернизацию вооружения на канонерских лодках "Бурея" и "Селемджа". Осуществлялась переработка проекта ТЩ (стотонника), созданного на Большой земле, применительно к производственным возможностям Ленинграда. В цехах завода изготавливали детали для разводной части Республиканского моста, поврежденного при бомбежке (10671).</w:t>
      </w:r>
    </w:p>
    <w:p w14:paraId="22D0D2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1D7E4B"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4682D5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519336"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в 1943 году утреннее сообщение Совинформбюро:</w:t>
      </w:r>
    </w:p>
    <w:p w14:paraId="688941C0"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10 апреля на фронтах существенных изменений не произошло.</w:t>
      </w:r>
    </w:p>
    <w:p w14:paraId="74AC595C"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бойцы Н-ской части отбили атаку немецкой пехоты, пытавшейся прорваться к одному населённому пункту. В результате боя подбито 2 немецких танка и уничтожено более 100 солдат и офицеров противника. Снайперы части, гдекомандиром тов. Морозов, за прошедший день истребили 34 немецких солдата и офицера.</w:t>
      </w:r>
    </w:p>
    <w:p w14:paraId="12ED0CDF"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Ha Западном фронте разведывательный отряд противника атаковал населённый пункт, который обороняло Н-ское подразделение. Пользуясь численным превосходством, немцы заняли несколько домов. С помощью соседнего подразделения наши бойцы к утру полностью уничтожили немецкий отряд. На другом участке артиллеристы Н-ского соединения разбили 4 вражеских дзота, подавили огонь 7 артиллерийских батарей, рассеяли и частью уничтожили до роты гитлеровцев.</w:t>
      </w:r>
    </w:p>
    <w:p w14:paraId="2B137099"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Огнём зенитной артиллерии сбито 2 немецких самолёта.</w:t>
      </w:r>
    </w:p>
    <w:p w14:paraId="23D37028"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 Белый разведывательный отряд Н-ской гвардейской части уничтожил до 40 гитлеровцев и овладел высотой, имеющей важное значение. Закрепившись на этой высоте, разведчики отбили три контратаки противника, пытавшегося восстановить положение. Не добившись успеха и оставив на поле боя десятки трупов своих солдат и офицеров, немцы отступили. Снайперы Н-ского соединения истребила 60 немецких солдат и офицеров.</w:t>
      </w:r>
    </w:p>
    <w:p w14:paraId="01826874"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продолжалась артиллерийская и миномётная перестрелка с противником. Огнём артиллерии уничтожено 3 орудия, 9 пулемётов, разрушено 13 дзотов и блиндажей противника. На другом участке наши артиллеристы обстреляли колонну немецких автомашин и уничтожили по меньшей мере 10 автомашин противника.</w:t>
      </w:r>
    </w:p>
    <w:p w14:paraId="02EDED48"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Партизанский отряд имени Ворошилова, действующий в одном из районов Полесскойобласти, в течение марта месяца пустил под откос 5 воинских эшелонов противника, следовавших к линии фронта. Группа партизан этого отряда разгромила немецкий полицейский участок. Уничтожено 23 гитлеровца, остальные, побросав оружие, разбежались. Партизанами захвачены пулемёт, 32 винтовки, много гранат и патронов.</w:t>
      </w:r>
    </w:p>
    <w:p w14:paraId="7CB48D0A"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Минской области, организовали крушение железнодорожного эшелона противника.</w:t>
      </w:r>
    </w:p>
    <w:p w14:paraId="3593B294"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Разбиты паровоз, 4 вагона и повреждено 25 метров пути.</w:t>
      </w:r>
    </w:p>
    <w:p w14:paraId="7E369F52"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грабежах и зверствах немецко-фашистских мерзавцев в деревнях Быково, Шорово и Власово, Смоленской области: «Немецкие бандиты разграбили и опустошили наши деревни. Всех трудоспособных жителей в возрасте от 14 до 50 лет немцы угнали на каторжные работы в Германию. Гитлеровцы забрали скот, всё продовольствие и обрекли оставшихся стариков и детей на голодную смерть. Во всех трёх деревнях не осталось ни одной коровы. Деревню Быково гитлеровцы сожгли, в ней осталось только пять полуразрушенных домов». Акт подписали: медицинская сестра Пулина, Прокопий Карпов, Екатерина Малышева и другие жители деревни Быково (15095).</w:t>
      </w:r>
    </w:p>
    <w:p w14:paraId="108AF88A" w14:textId="77777777" w:rsidR="008006E7" w:rsidRPr="00D03F3E" w:rsidRDefault="008006E7" w:rsidP="00D03F3E">
      <w:pPr>
        <w:spacing w:after="0" w:line="240" w:lineRule="auto"/>
        <w:jc w:val="both"/>
        <w:rPr>
          <w:rFonts w:ascii="Times New Roman" w:hAnsi="Times New Roman"/>
          <w:color w:val="000000" w:themeColor="text1"/>
          <w:sz w:val="16"/>
          <w:szCs w:val="16"/>
        </w:rPr>
      </w:pPr>
    </w:p>
    <w:p w14:paraId="3E6D8167"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в 1943 году вечернее сообщение Совинформбюро:</w:t>
      </w:r>
    </w:p>
    <w:p w14:paraId="0A0A19E6"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течение 10 апреля на фронтах существенных изменений не произошло.</w:t>
      </w:r>
    </w:p>
    <w:p w14:paraId="409038FD"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частями нашей авиации на различных участках фронта уничтожено или повреждено не менее 30 немецких автомашин с войсками и грузами, взорвано 2 склада боеприпасов и разбит железнодорожный состав противника.</w:t>
      </w:r>
    </w:p>
    <w:p w14:paraId="77E710BB"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подразделения Н-ской части отбили атаку противника. Артиллерийским и миномётным огнём уничтожено 3 немецких танка, 2 самоходных орудия и подавлен огонь 4 артиллерийских батарей. На поле боя осталось более 200 вражеских трупов. За последние дни снайпер Сухарев уничтожил 21 гитлеровца, снайпер Минзарев — 15 и снайпер Бочкунов истребил 11 немцев.</w:t>
      </w:r>
    </w:p>
    <w:p w14:paraId="7679D96E"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вели обстрел вражеских позиций и подавилиогонь 10 артиллерийских и 2 миномётных батарей противника. В воздушных боях сбито 3 немецких самолёта.</w:t>
      </w:r>
    </w:p>
    <w:p w14:paraId="3B9748C6"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разведчиков под командованием гвардии младшего лейтенанта Цицарева проникла в тыл противника. Наши бойцы заметили несколько десятков немецких солдат, производивших оборонительные работы. Гвардейцы-разведчики внезапно напали на противника, истребили 40 немецких солдат и без потерь вернулись обратно в свою часть.</w:t>
      </w:r>
    </w:p>
    <w:p w14:paraId="35CF987D"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артиллеристы разрушили 8 вражеских дзотов, подавили огонь 4 артиллерийских и миномётных батарей противника. Немецкая разведывательная группа под прикрытием миномётного огня пыталась проникнуть в глубину нашей обороны. Бойцы под командованием гвардии лейтенанта Шахова вначале пропустили немцев, а затем внезапно атаковали их с тыла и флангов. Уничтожено несколько десятков гитлеровцев. Взяты пленные.</w:t>
      </w:r>
    </w:p>
    <w:p w14:paraId="7819D4F7"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войска вели артиллерийскую перестрелку и разведку противника. На одном участке батальон немецкой пехоты пытался вклиниться в наши боевые порядки. Подразделения Н-ской части подпустили немцев на близкое расстояние и открыли по ним залповый огонь. Гитлеровцы отступили, оставив на поле боя свыше 100 трупов своих солдат и офицеров.</w:t>
      </w:r>
    </w:p>
    <w:p w14:paraId="120BF49B"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в воздушных боях сбили 3 немецких самолёта.</w:t>
      </w:r>
    </w:p>
    <w:p w14:paraId="6FB38EEF"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Советским Информбюро получено сообщение о чудовищных зверствах немецких захватчиков в оккупированных ими районах Ленинградской области. Немецкое командование наводнило Дедовичский, Дновский, Порховский, Славковский, Псковский, Островский и Сошихинский районы карательными отрядами. Эти карательные отряды немцев, в которых собраны матёрые бандиты и головорезы с офицерами во главе, заливают кровью и сравнивают с землёй советские деревни и сёла. Врываясь в населённые пункты, гитлеровцы убивают поголовно всех женщин, детей и стариков, а трудоспособную часть населения угоняют на каторгу в Германию или на строительство оборонительных рубежей. Всё имущество населения до нитки конфискуется и присваивается карателями. Советские граждане, которым удалось бежать из этих районов, рассказали: «В Порховском районе немецко-фашистскиемерзавцы сожгли деревни Дубье, Ровняк, Буяницы, Тосницы, Оклад, Плосково, Подгорье и другие. Палачи истребили большинство жителей, а остальных отправили в район Старой Руссы на строительство оборонительных укреплений. Немцы сожгли также деревню Палицы. Гитлеровцы собрали 90 жителей этой деревни и объявили, чтоих отправляют в Германию. Крестьяне отказались ехать на каторгу. Фашистские изверги зверски избили крестьян, загнали их в сарай и сожгли живьём. В деревне Бродовичи немецкие каратели надругались над верующими. Во время богослужения гитлеровцы ворвались в церковь и, не разрешив ни одному присутствовавшему вцеркви зайти домой, угнали их на принудительные работы. Некоторые жители пытались протестовать против такого неслыханного произвола. Немцы расстреляли их тут же у церкви».</w:t>
      </w:r>
    </w:p>
    <w:p w14:paraId="567F629B"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сообщают бежавшие из этих районов жители, массовые убийства мирных советских граждан и уничтожение селений производятся по приказу командующеговойсками охраны тыла Северо-Восточной группировки немецких войск генерал-майора Шпеймана. Этот палач и вешатель приказал своим подручным стереть с лица земли мирные сёла и деревни, а их жителей уничтожать или угонять в рабство.</w:t>
      </w:r>
    </w:p>
    <w:p w14:paraId="6FF6B0D8"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Недалек тот день, когда гитлеровский бандит в чине генерал-майора вместе совсей своей шайкой получит заслуженную кару и возмездие.» (15095).</w:t>
      </w:r>
    </w:p>
    <w:p w14:paraId="65EB34D2" w14:textId="77777777" w:rsidR="008006E7" w:rsidRPr="00D03F3E" w:rsidRDefault="008006E7" w:rsidP="00D03F3E">
      <w:pPr>
        <w:spacing w:after="0" w:line="240" w:lineRule="auto"/>
        <w:jc w:val="both"/>
        <w:rPr>
          <w:rFonts w:ascii="Times New Roman" w:hAnsi="Times New Roman"/>
          <w:color w:val="000000" w:themeColor="text1"/>
          <w:sz w:val="16"/>
          <w:szCs w:val="16"/>
        </w:rPr>
      </w:pPr>
    </w:p>
    <w:p w14:paraId="0B563AED" w14:textId="77777777" w:rsidR="0073416B" w:rsidRPr="00D03F3E" w:rsidRDefault="0073416B" w:rsidP="00D03F3E">
      <w:pPr>
        <w:pStyle w:val="ae"/>
        <w:spacing w:before="0" w:after="0"/>
        <w:jc w:val="both"/>
        <w:textAlignment w:val="baseline"/>
        <w:rPr>
          <w:color w:val="000000" w:themeColor="text1"/>
          <w:sz w:val="16"/>
          <w:szCs w:val="16"/>
        </w:rPr>
      </w:pPr>
      <w:r w:rsidRPr="00D03F3E">
        <w:rPr>
          <w:color w:val="000000" w:themeColor="text1"/>
          <w:sz w:val="16"/>
          <w:szCs w:val="16"/>
        </w:rPr>
        <w:t>К 10 апреля 1943 года 29-й танковый полк получил 31 танк М4А2, позже это число выросло до 39 танков. На Северном Кавказе первые танки попали в боевые части практически сразу. 4 января 1943 года 9 машин данного типа попало в 563-й отдельный танковый батальон, 12 числа 2 танка ушло в 5-ю ГвТБр, куда вскоре передали машины из 563-го ОТБ. В итоге 5-я ГвТБр стала первой частью, которая реально применила М4А2 (19038).</w:t>
      </w:r>
    </w:p>
    <w:p w14:paraId="061F5963" w14:textId="77777777" w:rsidR="0073416B" w:rsidRPr="00D03F3E" w:rsidRDefault="0073416B" w:rsidP="00D03F3E">
      <w:pPr>
        <w:pStyle w:val="ae"/>
        <w:spacing w:before="0" w:after="0"/>
        <w:jc w:val="both"/>
        <w:textAlignment w:val="baseline"/>
        <w:rPr>
          <w:color w:val="000000" w:themeColor="text1"/>
          <w:sz w:val="16"/>
          <w:szCs w:val="16"/>
        </w:rPr>
      </w:pPr>
    </w:p>
    <w:p w14:paraId="7BB4E2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1943 вышла директива наркома ВМФ Н.К.Кузнецова N 8/104 о повседневной готовности авиационной группы на КБФ (2120).</w:t>
      </w:r>
    </w:p>
    <w:p w14:paraId="656D1F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539E4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70EB07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8E2B5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1943 вышло Постановление ГКО № 3159 О заказе и завозе из США паровозов и рельсов для НКПС в 1943-44 гг. (7093, 131).</w:t>
      </w:r>
    </w:p>
    <w:p w14:paraId="0022084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A3FA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1943 года</w:t>
      </w:r>
    </w:p>
    <w:p w14:paraId="11BEE3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СТРОГО СЕКРЕТНОЕ И ЛИЧНОЕ ПОСЛАНИЕ ОТ ПРЕМЬЕР-МИНИСТРА г-на УИНСТОНА ЧЕРЧИЛЛЯ МАРШАЛУ И. В. СТАЛИНУ</w:t>
      </w:r>
    </w:p>
    <w:p w14:paraId="631B70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 двух отмененных конвоях JW 54 и JW 55 находилось 375 Ваших “Харрикейнов”40, а также 285 Ваших “Аэрокобр” и “Китигауков”. Последние являются частью американской квоты. Мы работаем день и ночь над составлением плана отправки Вам всех этих самолетов по возможности скорее другими путями.</w:t>
      </w:r>
    </w:p>
    <w:p w14:paraId="2EB21B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“Аэрркобры” и “Китигауки” могут быть отправлены через Гибралтар и Северную Африку в Абадан. “Харрикейны” не обладают достаточным радиусом действия для перелета в Гибралтар, и поэтому их придется, возможно, отправить морем в Такоради или Касабланку, собрать там, тропикализировать и перебросить своим ходом в Тегеран, где мы сможем их детропикализировать. В альтернативном случае, если Тунис будет в скором времени завоеван, мы, возможно, будем в состоянии отправить некоторое количество “Харрикейнов” морским путем через Средиземное море и собрать их в Египте или Басре. Каждая из этих альтернатив связана со своими трудностями. Транспортировка большого количества запасных частей к самолетам также представляет серьезную проблему. Тем не менее мы преодолеем эти трудности.</w:t>
      </w:r>
    </w:p>
    <w:p w14:paraId="01E7A2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Мне пришла мысль, что, быть может, Вы пожелаете получить для Ваших операций против германских бронетанковых сил на русском фронте несколько наших “Харрикейнов”, вооруженных 40-миллиметровыми пушками. Во время недавних боев в Тунисе эти самолеты с успехом действовали против танков Роммеля. Одна эскадрилья в составе 16 самолетов уничтожила 19 танков в течение четырех дней. Самолет известен под названием “Харрикейн IID”, и он вооружен двумя 40-миллиметровыми пушками с 16 снарядами на пушку и двумя пулеметами калибра 0,303 дюйма с 303 патронами на пулемет. В других отношениях он не отличается от “Харрикейнов IIС”, за исключением того, что он тяжелее на 430 фунтов и скорость его приблизительно меньше на 20 миль в час. Я мог бы послать Вам максимум 60 самолетов этого типа. Сообщите мне, желаете ли Вы их получить. Их, вероятно, пришлось бы отправить через Такоради, и они могли бы быть включены в составляемый план поставок “Харрикейнов”, “Аэрокобр” и “Китигауков”, находившихся в конвоях.</w:t>
      </w:r>
    </w:p>
    <w:p w14:paraId="2E5020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С одобрения Президента г-н Гарриман сотрудничает с нами в составлении этого плана. На следующей неделе я надеюсь сообщить Вам наши конкретные предложения. Я принял твердое решение, чтобы Вы получили самолеты так скоро, как только окажется в человеческих силах доставить их Вам (7430).</w:t>
      </w:r>
    </w:p>
    <w:p w14:paraId="52EEFE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9D76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1943 У.Черчиль писал И.В.С....MHЕ пришла мысль, что, может быть, Вы пожелаете получить для Ваших операций против германских бронетанковых сил на русском фронте несколько наших "Харрикейнов", вооруженных 40-мм пушками. Во время недавних боев в Тунисе эти самолеты с успехом действовали против танков Роммеля. Одна эскадрилья в составе 16 самолетов уничтожила 19 танков в течение 4 дней. Самолет известен под названием "Харрикейн" IID... Я мог бы послать Вам максимум 60 самолетов этого типа. Сообщите мне, желаете ли Вы их получить...(Из строго секретного и личного послания премьер-министра г-на У.Черчиля маршалу И.В.Сталину от 10 апреля 1943 г.) (3187).</w:t>
      </w:r>
    </w:p>
    <w:p w14:paraId="74C7D5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1A43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24165C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D638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с 10 на 11 апреля 1943 АДД произвела налет на Кенигсберг, впервые применив пятитонки. Через день - повторили (438,867).</w:t>
      </w:r>
    </w:p>
    <w:p w14:paraId="1D4D5D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0C839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721C7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DCF2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апреля 1943 С.В.И. писал А.И.Ш.</w:t>
      </w:r>
    </w:p>
    <w:p w14:paraId="384ADB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"Базируясь в основном на самолете Ил-2, представляется возможность сделать бронированный истребитель с высокими ЛД, вооруженный пушками ВЯ. Проект такого истребителя разработан и имеет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860B4B" w:rsidRPr="00D03F3E" w14:paraId="0DEAF246" w14:textId="77777777">
        <w:tc>
          <w:tcPr>
            <w:tcW w:w="3757" w:type="dxa"/>
          </w:tcPr>
          <w:p w14:paraId="2AC1CE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Максимальная скорость у земли</w:t>
            </w:r>
          </w:p>
        </w:tc>
        <w:tc>
          <w:tcPr>
            <w:tcW w:w="3757" w:type="dxa"/>
          </w:tcPr>
          <w:p w14:paraId="682927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480-490 км/час</w:t>
            </w:r>
          </w:p>
        </w:tc>
      </w:tr>
      <w:tr w:rsidR="00860B4B" w:rsidRPr="00D03F3E" w14:paraId="5C39A705" w14:textId="77777777">
        <w:tc>
          <w:tcPr>
            <w:tcW w:w="3757" w:type="dxa"/>
          </w:tcPr>
          <w:p w14:paraId="095D28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Максимальная скорость на высоте</w:t>
            </w:r>
          </w:p>
        </w:tc>
        <w:tc>
          <w:tcPr>
            <w:tcW w:w="3757" w:type="dxa"/>
          </w:tcPr>
          <w:p w14:paraId="55EC10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500-510 км/час</w:t>
            </w:r>
          </w:p>
        </w:tc>
      </w:tr>
    </w:tbl>
    <w:p w14:paraId="2AC957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Усиливается задняя бронированная стенка. Вместо существующей 12 мм ставится экранированная стенка 17 мм. Существующая сегодня у немцев 20 мм пушка и 15 мм снаряды не будут в состоянии пробить эту стенку...</w:t>
      </w:r>
    </w:p>
    <w:p w14:paraId="092492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Было бы желательно дать задание заводу 1 построить один такой самолет вместо самолета Ил-2 с улучшенной аэродинамикой с мотором АМ-42" После согласований срок передачи на испытания установили 240 заводу 20 ноября 1943" (1605,2).</w:t>
      </w:r>
    </w:p>
    <w:p w14:paraId="5B1A11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2485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апреля 1943 г. в процессе подготовки решения по вопросу нового штурмовика С.В.Ильюшин направил Наркому авиапромышленности А.И.Шахурину письмо, в котором писал:</w:t>
      </w:r>
    </w:p>
    <w:p w14:paraId="1E1597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"Базируясь в основном на самолет Ил-2, представляется возможность сделать бронированный истребитель с высокими летными данными, вооруженный пушками Волкова-Ярцева. Проект такого самолета разработан и имеет следующие основные данные:</w:t>
      </w:r>
    </w:p>
    <w:p w14:paraId="3D5CB5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Максимальная скорость у земли - 480-490 км/ч,</w:t>
      </w:r>
    </w:p>
    <w:p w14:paraId="28A562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Максимальная скорость на высоте - 500-510 км/ч.</w:t>
      </w:r>
    </w:p>
    <w:p w14:paraId="6BD22C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Усиливается задняя бронированная стенка. Вместо существующей 12-мм ставится экранированная стенка 17 мм. Существующая сегодня у немцев 20-мм пушка и 15-мм снаряды не будут в состоянии пробить эту стенку</w:t>
      </w:r>
    </w:p>
    <w:p w14:paraId="78F34F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Было бы желательно дать задание заводу № 1 построить один такой самолет вместо самолета Ил-2 с улучшенной аэродинамикой с мотором АМ-42" (7442).</w:t>
      </w:r>
    </w:p>
    <w:p w14:paraId="294EB0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обсуждения этого предложения "в верхах" 17 мая 1943 г. вышло Постановление ГОКО № 3386, которое предусматривало (кроме постройки серии самолетов Ил-2И АМ-38ф в количестве 50 штук) разработку и постройку на авиазаводе № 18 двух экземпляров бронированного истребителя Ил-1 с мотором АМ-42 в одноместном и двухместном вариантах с представлением машин на испытания в июле месяце, при этом постройка Ил-2 АМ-42 с авиазавода не снималась (7442).</w:t>
      </w:r>
    </w:p>
    <w:p w14:paraId="4ADD05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документам строилось два варианта самолета Ил-2 с мотором АМ-42: первый "с улучшенной аэродинамикой” имел обозначение С-42, а второй - Ил-2М. Работы по С-42 завершены не были, а Ил-2М был построен в августе 1943 г. и испытывался (7442).</w:t>
      </w:r>
    </w:p>
    <w:p w14:paraId="1C1DC8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916A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апреля 1943 г. С.В.Ильюшин направил Наркому авиапромышленности А. И.Шахурину письмо, в котором писал, что: “Базируясь в основном на самолет Ил-2, представляется возможность сделать бронированный истребитель с высокими летными данными, вооруженный пушками Волкова-Ярцева, Проект такого самолета разработан и имеет следующие основные данные:</w:t>
      </w:r>
    </w:p>
    <w:p w14:paraId="0EAEA1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Максимальная скорость у земли -480-490 км/ч.</w:t>
      </w:r>
    </w:p>
    <w:p w14:paraId="5C77EF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Максимальная скорость на высоте - 500-510 км/ч.</w:t>
      </w:r>
    </w:p>
    <w:p w14:paraId="001C3B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Усиливается задняя бронированная стенка. Вместо существующей 12-мм ставится экранированная стенка 17 мм. Существующая сегодня у немцев 20-м м пушка и 15-мм снаряды не будут в состоянии пробить эту стенку...</w:t>
      </w:r>
    </w:p>
    <w:p w14:paraId="563281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Было бы желательно дать задание заводу №1 построить один такой самолет вместо самолета Ил-2 с улучшенной аэродинамикой с мотором АМ-42” (9649).</w:t>
      </w:r>
    </w:p>
    <w:p w14:paraId="6A9761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1B3CC6" w14:textId="77777777" w:rsidR="00676AD3" w:rsidRPr="00D03F3E" w:rsidRDefault="00676AD3"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11 апреля 1943 г. Ильюшин обратился в Наркомат авиапромышленности с пред</w:t>
      </w:r>
      <w:r w:rsidRPr="00D03F3E">
        <w:rPr>
          <w:rFonts w:ascii="Times New Roman" w:hAnsi="Times New Roman" w:cs="Times New Roman"/>
          <w:color w:val="0070C0"/>
          <w:sz w:val="16"/>
          <w:szCs w:val="16"/>
        </w:rPr>
        <w:softHyphen/>
        <w:t>ложением включить в план опытного са</w:t>
      </w:r>
      <w:r w:rsidRPr="00D03F3E">
        <w:rPr>
          <w:rFonts w:ascii="Times New Roman" w:hAnsi="Times New Roman" w:cs="Times New Roman"/>
          <w:color w:val="0070C0"/>
          <w:sz w:val="16"/>
          <w:szCs w:val="16"/>
        </w:rPr>
        <w:softHyphen/>
        <w:t>молетостроения на 1943 г. постройку на основе Ил-2 бронированного истребителя с мотором АМ-42 и максимальной ско</w:t>
      </w:r>
      <w:r w:rsidRPr="00D03F3E">
        <w:rPr>
          <w:rFonts w:ascii="Times New Roman" w:hAnsi="Times New Roman" w:cs="Times New Roman"/>
          <w:color w:val="0070C0"/>
          <w:sz w:val="16"/>
          <w:szCs w:val="16"/>
        </w:rPr>
        <w:softHyphen/>
        <w:t>ростью 480-490 км/ч - у земли, и 500- 510 км/ч - на высоте. Сохранив бомбо</w:t>
      </w:r>
      <w:r w:rsidRPr="00D03F3E">
        <w:rPr>
          <w:rFonts w:ascii="Times New Roman" w:hAnsi="Times New Roman" w:cs="Times New Roman"/>
          <w:color w:val="0070C0"/>
          <w:sz w:val="16"/>
          <w:szCs w:val="16"/>
        </w:rPr>
        <w:softHyphen/>
        <w:t>держатели, при необходимости самолет можно использовать как штурмовик (од</w:t>
      </w:r>
      <w:r w:rsidRPr="00D03F3E">
        <w:rPr>
          <w:rFonts w:ascii="Times New Roman" w:hAnsi="Times New Roman" w:cs="Times New Roman"/>
          <w:color w:val="0070C0"/>
          <w:sz w:val="16"/>
          <w:szCs w:val="16"/>
        </w:rPr>
        <w:softHyphen/>
        <w:t>номестный).</w:t>
      </w:r>
    </w:p>
    <w:p w14:paraId="27F75ECF" w14:textId="77777777" w:rsidR="00676AD3" w:rsidRPr="00D03F3E" w:rsidRDefault="00676AD3"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Основными противниками для бро</w:t>
      </w:r>
      <w:r w:rsidRPr="00D03F3E">
        <w:rPr>
          <w:rFonts w:ascii="Times New Roman" w:hAnsi="Times New Roman" w:cs="Times New Roman"/>
          <w:color w:val="0070C0"/>
          <w:sz w:val="16"/>
          <w:szCs w:val="16"/>
        </w:rPr>
        <w:softHyphen/>
        <w:t>нированного истребителя должны были стать бомбардировщики и транспортные самолеты. Броня защитила бы истреби</w:t>
      </w:r>
      <w:r w:rsidRPr="00D03F3E">
        <w:rPr>
          <w:rFonts w:ascii="Times New Roman" w:hAnsi="Times New Roman" w:cs="Times New Roman"/>
          <w:color w:val="0070C0"/>
          <w:sz w:val="16"/>
          <w:szCs w:val="16"/>
        </w:rPr>
        <w:softHyphen/>
        <w:t>тель от огня пулеметов и пушек неприя</w:t>
      </w:r>
      <w:r w:rsidRPr="00D03F3E">
        <w:rPr>
          <w:rFonts w:ascii="Times New Roman" w:hAnsi="Times New Roman" w:cs="Times New Roman"/>
          <w:color w:val="0070C0"/>
          <w:sz w:val="16"/>
          <w:szCs w:val="16"/>
        </w:rPr>
        <w:softHyphen/>
        <w:t>тельских машин, позволяя сравнительно безопасно лезть вглубь их строя, а мощ</w:t>
      </w:r>
      <w:r w:rsidRPr="00D03F3E">
        <w:rPr>
          <w:rFonts w:ascii="Times New Roman" w:hAnsi="Times New Roman" w:cs="Times New Roman"/>
          <w:color w:val="0070C0"/>
          <w:sz w:val="16"/>
          <w:szCs w:val="16"/>
        </w:rPr>
        <w:softHyphen/>
        <w:t>ное собственное вооружение обеспечи</w:t>
      </w:r>
      <w:r w:rsidRPr="00D03F3E">
        <w:rPr>
          <w:rFonts w:ascii="Times New Roman" w:hAnsi="Times New Roman" w:cs="Times New Roman"/>
          <w:color w:val="0070C0"/>
          <w:sz w:val="16"/>
          <w:szCs w:val="16"/>
        </w:rPr>
        <w:softHyphen/>
        <w:t>вало уверенное поражение целей.</w:t>
      </w:r>
    </w:p>
    <w:p w14:paraId="57FCEDBC" w14:textId="77777777" w:rsidR="00676AD3" w:rsidRPr="00D03F3E" w:rsidRDefault="00676AD3"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Поводом для этого шага послужили два обстоятельства: опыт применения Ил-2 против немецких транспортных и бомбардировочных самолетов в районе Сталинграда и шаги П.О. Сухого по созда</w:t>
      </w:r>
      <w:r w:rsidRPr="00D03F3E">
        <w:rPr>
          <w:rFonts w:ascii="Times New Roman" w:hAnsi="Times New Roman" w:cs="Times New Roman"/>
          <w:color w:val="0070C0"/>
          <w:sz w:val="16"/>
          <w:szCs w:val="16"/>
        </w:rPr>
        <w:softHyphen/>
        <w:t>нию на основе одноместного штурмовика Су-6 бронированного истребителя для борьбы с бомбардировщиками (19846).</w:t>
      </w:r>
    </w:p>
    <w:p w14:paraId="1D392A87" w14:textId="77777777" w:rsidR="00676AD3" w:rsidRPr="00D03F3E" w:rsidRDefault="00676AD3"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p>
    <w:p w14:paraId="4C7AF3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апреля 1943 г. С.В.Илью</w:t>
      </w:r>
      <w:r w:rsidRPr="00D03F3E">
        <w:rPr>
          <w:rFonts w:ascii="Times New Roman" w:hAnsi="Times New Roman"/>
          <w:color w:val="000000" w:themeColor="text1"/>
          <w:sz w:val="16"/>
          <w:szCs w:val="16"/>
        </w:rPr>
        <w:softHyphen/>
        <w:t>шин направил наркому Шахурину пись</w:t>
      </w:r>
      <w:r w:rsidRPr="00D03F3E">
        <w:rPr>
          <w:rFonts w:ascii="Times New Roman" w:hAnsi="Times New Roman"/>
          <w:color w:val="000000" w:themeColor="text1"/>
          <w:sz w:val="16"/>
          <w:szCs w:val="16"/>
        </w:rPr>
        <w:softHyphen/>
        <w:t>мо, в котором говорилось:</w:t>
      </w:r>
    </w:p>
    <w:p w14:paraId="23E1020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«Базируясь в основном на самолет Ил-2, представляется возможность сде</w:t>
      </w:r>
      <w:r w:rsidRPr="00D03F3E">
        <w:rPr>
          <w:rFonts w:ascii="Times New Roman" w:hAnsi="Times New Roman"/>
          <w:color w:val="000000" w:themeColor="text1"/>
          <w:sz w:val="16"/>
          <w:szCs w:val="16"/>
        </w:rPr>
        <w:softHyphen/>
        <w:t>лать бронированный истребитель с вы</w:t>
      </w:r>
      <w:r w:rsidRPr="00D03F3E">
        <w:rPr>
          <w:rFonts w:ascii="Times New Roman" w:hAnsi="Times New Roman"/>
          <w:color w:val="000000" w:themeColor="text1"/>
          <w:sz w:val="16"/>
          <w:szCs w:val="16"/>
        </w:rPr>
        <w:softHyphen/>
        <w:t>сокими летными данными, вооруженный пушками Волкова — Ярцева. Проект та</w:t>
      </w:r>
      <w:r w:rsidRPr="00D03F3E">
        <w:rPr>
          <w:rFonts w:ascii="Times New Roman" w:hAnsi="Times New Roman"/>
          <w:color w:val="000000" w:themeColor="text1"/>
          <w:sz w:val="16"/>
          <w:szCs w:val="16"/>
        </w:rPr>
        <w:softHyphen/>
        <w:t>кого самолета разработан и имеет сле</w:t>
      </w:r>
      <w:r w:rsidRPr="00D03F3E">
        <w:rPr>
          <w:rFonts w:ascii="Times New Roman" w:hAnsi="Times New Roman"/>
          <w:color w:val="000000" w:themeColor="text1"/>
          <w:sz w:val="16"/>
          <w:szCs w:val="16"/>
        </w:rPr>
        <w:softHyphen/>
        <w:t>дующие основные данные:</w:t>
      </w:r>
    </w:p>
    <w:p w14:paraId="0A1712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Максимальная скорость у земли — 480—490 км/ч.</w:t>
      </w:r>
    </w:p>
    <w:p w14:paraId="322C563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Максимальная скорость на высо</w:t>
      </w:r>
      <w:r w:rsidRPr="00D03F3E">
        <w:rPr>
          <w:rFonts w:ascii="Times New Roman" w:hAnsi="Times New Roman"/>
          <w:color w:val="000000" w:themeColor="text1"/>
          <w:sz w:val="16"/>
          <w:szCs w:val="16"/>
        </w:rPr>
        <w:softHyphen/>
        <w:t>те—500—510 км/ч.</w:t>
      </w:r>
    </w:p>
    <w:p w14:paraId="69F466E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Усиливается задняя бронированная стенка. Вместо существующей 12-мм ставится экранированная стенка 17 мм.</w:t>
      </w:r>
    </w:p>
    <w:p w14:paraId="601C8D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Существующая сегодня у немцев 20-мм пушка и 15-мм снаряды не будут в со</w:t>
      </w:r>
      <w:r w:rsidRPr="00D03F3E">
        <w:rPr>
          <w:rFonts w:ascii="Times New Roman" w:hAnsi="Times New Roman"/>
          <w:color w:val="000000" w:themeColor="text1"/>
          <w:sz w:val="16"/>
          <w:szCs w:val="16"/>
        </w:rPr>
        <w:softHyphen/>
        <w:t>стоянии пробить эту стенку.</w:t>
      </w:r>
    </w:p>
    <w:p w14:paraId="426C47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Было бы желательно дать задание заводу № 1 построить один такой само</w:t>
      </w:r>
      <w:r w:rsidRPr="00D03F3E">
        <w:rPr>
          <w:rFonts w:ascii="Times New Roman" w:hAnsi="Times New Roman"/>
          <w:color w:val="000000" w:themeColor="text1"/>
          <w:sz w:val="16"/>
          <w:szCs w:val="16"/>
        </w:rPr>
        <w:softHyphen/>
        <w:t>лет вместо самолета Ил-2 с улучшенной аэродинамикой с мотором АМ-42». (10680).</w:t>
      </w:r>
    </w:p>
    <w:p w14:paraId="4F0C66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D5AD47" w14:textId="77777777" w:rsidR="0001145E" w:rsidRPr="00D03F3E" w:rsidRDefault="0001145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апреля 1943 Ильюшин обратился в наркомат авиапромышленности с предложением включить в план опытного самолетостроения на 1943 год постройку бронированного истребителя с максимальной скоростью более 500 км/ч взамен самолета Ил-2 с облагороженной аэродинамикой и мотором АМ-42. Сохранив бомбодержатели, при необходимости самолет можно было бы использовать как штурмовик.</w:t>
      </w:r>
    </w:p>
    <w:p w14:paraId="05653717" w14:textId="77777777" w:rsidR="0001145E" w:rsidRPr="00D03F3E" w:rsidRDefault="0001145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Основными противниками для бронированного штурмовика-истребителя должны были стать бомбардировщики и транспортные самолеты. Броня защитила бы истребитель от огня пулеметов и пушек неприятельских машин, позволяя сравнительно безопасно лезть в глубь их строя, а мощное собственное вооружение обеспечивало уверенное поражение целей.</w:t>
      </w:r>
    </w:p>
    <w:p w14:paraId="16FF2CF9" w14:textId="77777777" w:rsidR="0001145E" w:rsidRPr="00D03F3E" w:rsidRDefault="0001145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письме на имя Шахурина Ильюшин указывал: «Базируясь в основном на самолет Ил-2, представляется возможность сделать бронированный истребитель с высокими летными данными, вооруженный пушками Волкова – Ярцева. Проект такого самолета разработан и имеет следующие основные данные: 1. Максимальная скорость у земли – 480–490 км/ч. 2. Максимальная скорость на высоте – 500–510 км/ч. Усиливается задняя бронированная стенка. Вместо существующей 12-мм ставится экранированная стенка 17 мм. Существующая сегодня у немцев 20-мм пушка и 15-мм снаряды не будут в состоянии пробить эту стенку. Было бы желательно дать задание заводу № 1 построить один такой самолет вместо самолета Ил-2 с улучшенной аэродинамикой с мотором АМ-42».</w:t>
      </w:r>
    </w:p>
    <w:p w14:paraId="566D0819" w14:textId="77777777" w:rsidR="0001145E" w:rsidRPr="00D03F3E" w:rsidRDefault="0001145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Поводом для этого обращения послужили два обстоятельства: опыт применения Ил-2 против немецких транспортных и бомбардировочных самолетов в районе Сталинграда и шаги П. О. Сухого по созданию на основе одноместного штурмовика Су-6 бронированного истребителя для борьбы с бомбардировщиками.</w:t>
      </w:r>
    </w:p>
    <w:p w14:paraId="2FDC9767" w14:textId="77777777" w:rsidR="0001145E" w:rsidRPr="00D03F3E" w:rsidRDefault="0001145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известно, первый проект истребительного варианта Су-6 Сухой предъявил в НИИ ВВС еще в июле 1942 года, второй с двумя турбокомпрессорами ТК-3 – в феврале 1943 года. С самолета снималось все вооружение, кроме пушек, и большая часть брони. С мотором М-71ф максимальная скорость Су-6, по расчетам, составляла 602 км/ч – на высоте 5000 м и 535 км/ч – у земли. Вертикальная скорость на 1000 м – не менее 13 м/с. При установке двух турбокомпрессоров ТК-3 максимальная скорость достигала 634 км/ч на высоте 8300 м, время подъема на 8000 м – 10,3 мин. Скоростная дальность полета – 1240 км.</w:t>
      </w:r>
    </w:p>
    <w:p w14:paraId="3CA9089C" w14:textId="77777777" w:rsidR="0001145E" w:rsidRPr="00D03F3E" w:rsidRDefault="0001145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Надо сказать, военные довольно скептически относились к идее бронированного истребителя. Особенно к его низковысотному варианту. Не ясными и весьма спорными были вопросы тактики его применения и взаимодействия с обычными истребителями в воздушном бою с противником. Вертикальная маневренность бронированного истребителя не позволяла на равных вести бой с немецкими истребителями, тогда как вертикальный маневр был основным маневром современного воздушного боя. То есть штурмовик-истребитель в воздушном бою с истребителями будет больше обороняться, чем наступать. Очевидно, свои истребители обычного типа должны будут его защищать от атак вражеских истребителей так же, как чистых штурмовиков и бомбардировщиков.</w:t>
      </w:r>
    </w:p>
    <w:p w14:paraId="3BBC195F" w14:textId="77777777" w:rsidR="0001145E" w:rsidRPr="00D03F3E" w:rsidRDefault="0001145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Необходимо отметить, что к этому времени военные предполагали иметь в составе боевых сил авиации три типа истребителей: фронтовой истребитель, высотный истребитель-перехватчик и истребитель дальнего действия.</w:t>
      </w:r>
    </w:p>
    <w:p w14:paraId="3A261D0A" w14:textId="77777777" w:rsidR="0001145E" w:rsidRPr="00D03F3E" w:rsidRDefault="0001145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Первый тип истребителя предназначался для уничтожения неприятельских самолетов над полем боя и в ближайшем тылу. Фронтовой истребитель должен быть основным (массовым) типом самолета-истребителя с летными данными, обеспечивающими ведение активного воздушного боя с истребителями противника. Максимальная скорость у земли – 600 км/ч, на высоте 4000 м – 680 км/ч. Время подъема на высоту 5000 м – 4,2–4,5 мин. Время виража – 18 с. Дальность полета на скорости 500 км/ч – 1000 км. Вооружение: пушка ВЯ и 2–4 пулемета БС.</w:t>
      </w:r>
    </w:p>
    <w:p w14:paraId="6334E611" w14:textId="77777777" w:rsidR="0001145E" w:rsidRPr="00D03F3E" w:rsidRDefault="0001145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Основным назначением истребителя-перехватчика считалось «уничтожение бомбардировщиков и разведчиков, действующих с больших высот, а также оборона крупных пунктов». На фронте этот тип истребителя планировалось использовать в составе специальных высотных групп прикрытия и для «охоты» в тылу противника. </w:t>
      </w:r>
      <w:r w:rsidRPr="00D03F3E">
        <w:rPr>
          <w:rFonts w:ascii="Times New Roman" w:hAnsi="Times New Roman"/>
          <w:color w:val="000000" w:themeColor="text1"/>
          <w:sz w:val="16"/>
          <w:szCs w:val="16"/>
        </w:rPr>
        <w:lastRenderedPageBreak/>
        <w:t>Обязательным условием являлась однотипность перехватчика с фронтовым истребителем, «но высотность его мотора должна быть примерно вдвое больше высотности мотора фронтового истребителя». Потребный потолок перехватчика оценивался в 13 000–14 000 м. Максимальная скорость на высоте 5000 м – не менее 700 км/ч и на 8000 м – 750 км/ч. Время подъема на высоту 8000 м – 7–8 мин. Время виража – 25–27 с. Дальность полета – 1000 км. Состав вооружения: одна пушка ВЯ и 4 пулемета БС или 2 ВЯ и 2 БС.</w:t>
      </w:r>
    </w:p>
    <w:p w14:paraId="7F6B076B" w14:textId="77777777" w:rsidR="0001145E" w:rsidRPr="00D03F3E" w:rsidRDefault="0001145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Истребитель дальнего действия предназначался для сопровождения своих бомбардировщиков на большую глубину и для борьбы с бомбардировщиками противника (ночью и днем) как над своей территорией, так и над территорией неприятеля. Соответственно, дальность полета должна быть не менее 2000 км (скорость полета 450–500 км/ч). Максимальная скорость у земли – 580 км/ч, на высоте 5000 м – 660 км/ч. Время подъема на высоту 5000 м – 6–7 мин. Время виража – 20–18 с. Вооружение включало: 2 пушки ВЯ, 4 пулемета УБ – для стрельбы вперед, один УБТ – у стрелка и 600 кг бомб (в счет перегрузки).</w:t>
      </w:r>
    </w:p>
    <w:p w14:paraId="48088DA1" w14:textId="77777777" w:rsidR="0001145E" w:rsidRPr="00D03F3E" w:rsidRDefault="0001145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видно, летные данные бронированного штурмовика-истребителя требованиям ВВС в полном объеме не отвечали. Соответственно, и места в составе боевых сил авиации ему не находилось. Единственной возможностью встать в боевой строй ВВС КА была ниша высотного истребителя-перехватчика. Но здесь имелся менее затратный путь – доработка серийных фронтовых истребителей в высотные варианты. Хотя постройка нового типа самолета не исключалась.</w:t>
      </w:r>
    </w:p>
    <w:p w14:paraId="0B2E39C6" w14:textId="77777777" w:rsidR="0001145E" w:rsidRPr="00D03F3E" w:rsidRDefault="0001145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Именно по этим причинам специалисты НИИ ВВС и в 1942-м, и в 1943 году рекомендовали доработать проекты истребительных вариантов Су-6 и вновь предъявить на рассмотрение. Официального задания по этому типу самолета П. О. Сухой не получил. В то же время военные согласились с предложением испытать одноместный Су-6 (прошедший государственные испытания) в конфигурации истребителя бомбардировщиков с мотором М-71ф и дать по нему заключение.</w:t>
      </w:r>
    </w:p>
    <w:p w14:paraId="076B2412" w14:textId="77777777" w:rsidR="0001145E" w:rsidRPr="00D03F3E" w:rsidRDefault="0001145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Что касается опыта применения Ил-2 в качестве истребителя бомбардировщиков и транспортных самолетов, то здесь оказалось не все так просто. Так, если действия Ил-2 по перехвату немецких транспортных самолетов в районе окруженной группировки германской 6 А Паулюса можно признать в целом успешными, то попытки использовать штурмовики для отражения ударов бомбардировщиков по позициям советских войск (как это было в 17 ВА) всякий раз заканчивались большими для нас потерями. Немцы оперативно подтягивали дополнительные силы истребительной авиации, после чего Ил-2 не возвращались с заданий целыми группами. Штурмовиков при действии по бомбардировщикам требовалось прикрывать своими истребителями так же, как и при выполнении других боевых задач. Но в этом случае было проще для борьбы с бомбардировщиками задействовать чистые истребители. Поэтому никаких иллюзий в отношении истребительного «потенциала» Ил-2 военные не строили (17490).</w:t>
      </w:r>
    </w:p>
    <w:p w14:paraId="3453706D" w14:textId="77777777" w:rsidR="0001145E" w:rsidRPr="00D03F3E" w:rsidRDefault="0001145E" w:rsidP="00D03F3E">
      <w:pPr>
        <w:spacing w:after="0" w:line="240" w:lineRule="auto"/>
        <w:jc w:val="both"/>
        <w:rPr>
          <w:rFonts w:ascii="Times New Roman" w:hAnsi="Times New Roman"/>
          <w:color w:val="000000" w:themeColor="text1"/>
          <w:sz w:val="16"/>
          <w:szCs w:val="16"/>
        </w:rPr>
      </w:pPr>
    </w:p>
    <w:p w14:paraId="000CCD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апреля 1943 вышло Распоряжение ГКО № 3161. О передаче оборудования на строительство завода № 161 НКАП.РГАНИР, Фонд ГКО, д. 102, лл. 142 (11012).</w:t>
      </w:r>
    </w:p>
    <w:p w14:paraId="063B5C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45A3BA"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0A6E6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E1471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апреля 1943 вышло Распоряжение ГКО № 3162 [О недостатках в производстве гальванических батарей и щелочных аккумуляторов и о мерах по их устранению.] (7093, 143-147).</w:t>
      </w:r>
    </w:p>
    <w:p w14:paraId="2671497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1C740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апреля 1943 вышло Распоряжение ГКО № 3163 [Об обеспечении нужд КА источниками постоянного тока для питания радиостанций, аэродромных электроприборов, телефонно-телеграфных узлов.] (7093, 148-149,150).</w:t>
      </w:r>
    </w:p>
    <w:p w14:paraId="559D39C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BDF7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апреля 1943 Адмиралтейцы спустили на воду головной МБК (10671).</w:t>
      </w:r>
    </w:p>
    <w:p w14:paraId="11D1DD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1C8484"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501493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75C1E9"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апреля в 1943 году утреннее сообщение Совинформбюро:</w:t>
      </w:r>
    </w:p>
    <w:p w14:paraId="009CDD38"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11 апреля на фронтах существенных изменений не произошло.</w:t>
      </w:r>
    </w:p>
    <w:p w14:paraId="1CDF4B18"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Балаклеи происходила артиллерийская перестрелка с противником. Огнём нашей артиллерии уничтожены миномётная батарея, 6 автомашин, рассеяно и частью истреблено до роты немецкой пехоты. Группа снайперов Н-ского подразделения под руководством т. Залуцкого истребила 15 немецких солдат и офицеров. Снайперы тт.Жарков и Кудрявцев ночью выследили миномётный расчёт противника, а утром уничтожили его.</w:t>
      </w:r>
    </w:p>
    <w:p w14:paraId="3D508F78"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укрепляли свои позиции. На одном участке разведывательный отряд гитлеровцев пытался ночью атаковать наш опорный пункт. Бойцы Н-ского подразделения ружейно-пулемётным огнём отбили атаку противника и истребили до 60 немецких солдат и офицеров.</w:t>
      </w:r>
    </w:p>
    <w:p w14:paraId="569CB2F7"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бойцы Н-ской части уничтожили отряд вражеских автоматчиков, пытавшихся зайти в тыл наших подразделений. На другом участке в течение двух дней ружейно-пулемётным огнём истреблено до роты немецкой пехоты, пытавшейся вернуть высоту, занятую нашими подразделениями и имеющую для противника важное значение.</w:t>
      </w:r>
    </w:p>
    <w:p w14:paraId="548A9116"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«Смерть немецким оккупантам», действующий в одном израйонов Орловской области, совершил налёт на немецкий гарнизон. В ожесточённом бою партизаны уничтожили до 200 гитлеровцев и захватили большие трофеи. Партизаны другого отряда пустили под откос железнодорожный эшелон противника. Во время крушения убито и ранено много гитлеровцев.</w:t>
      </w:r>
    </w:p>
    <w:p w14:paraId="62ECCD49"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врач-ассистент 4 дивизиона 387 артиллерийского полка 387 немецкой пехотной дивизии Стефан Кагер рассказал: «В Германии многие не верят лживым, явно преуменьшенным данным о потерях немецкой армии. Всё, что я видел и узнал на фронте и в тылу, окончательно убедило меня в этом. Только с конца июля и до сентября прошлого года 387 дивизия потеряла под Воронежем 6 тысяч человек. В зимних боях русские окончательно разгромили все полки дивизии. B декабре 1942 года я был в отпуску в городе Бамберге и там узнал, что из 15 моих школьных товарищей 13 призваны в армию. Из них 4 человека уже убиты, двое тяжело ранены, а один попал в плен. Таким образом, из 13 человек 7 уже навсегда выбыли изстроя. Один приятель сообщил мне, что его деревня за четыре года первой мировой войны потеряла на всех фронтах 7 человек, а за полтора года войны против России уже убито 28 жителей этой деревушки. Это было в декабре, т. е. ещё до уничтожения 6 немецкой армии под Сталинградом и разгрома многих немецких дивизий на других участках фронта. Нe случайно правительство объявило тотальную мобилизацию в стране. Каждый понимает, что эта мобилизация была бы излишней и ненужной, если бы потери немецкой армии соответствовали цифрам, опубликованным в сводках немецкого командования».</w:t>
      </w:r>
    </w:p>
    <w:p w14:paraId="318C509F"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Получено сообщение о зверствах немецко-фашистских мерзавцев в городе Новороссийске. Гитлеровцы разграбили и разрушили город. Целые улицы превращены в развалины. Фашистские палачи замучили, расстреляли и повесили тысячи мирных советских граждан. В пригородных посёлках Кирилловне, Владимировке, а также на кирпичном заводе гитлеровцы устроили концентрационные лагери для гражданского населения. В лагере на кирпичном заводе томятся 4 тысячи жителей города. Голодных и обессилевших людей немцы заставляют выполнять различные тяжёлые работы. Недавно в пригородном селе Борисовка гитлеровцы расстреляли 30 рабочих совхоза «Абрау Дюрсо» вместе с жёнами и детьми. Оставшиеся в городе жители ютятся в подвалах и многие умирают с голоду.» (15096).</w:t>
      </w:r>
    </w:p>
    <w:p w14:paraId="6EFDBB33" w14:textId="77777777" w:rsidR="008006E7" w:rsidRPr="00D03F3E" w:rsidRDefault="008006E7" w:rsidP="00D03F3E">
      <w:pPr>
        <w:spacing w:after="0" w:line="240" w:lineRule="auto"/>
        <w:jc w:val="both"/>
        <w:rPr>
          <w:rFonts w:ascii="Times New Roman" w:hAnsi="Times New Roman"/>
          <w:color w:val="000000" w:themeColor="text1"/>
          <w:sz w:val="16"/>
          <w:szCs w:val="16"/>
        </w:rPr>
      </w:pPr>
    </w:p>
    <w:p w14:paraId="170392C2"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апреля в 1943 году вечернее сообщение Совинформбюро:</w:t>
      </w:r>
    </w:p>
    <w:p w14:paraId="7F21E06F"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11 апреля на фронтах существенных изменений не произошло.</w:t>
      </w:r>
    </w:p>
    <w:p w14:paraId="51ABF8DC"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4 по 10 апреля включительно, в воздушных боях и на аэродромах противника уничтожено 117 немецких самолётов. Наши потери за это же время — 48 самолётов.</w:t>
      </w:r>
    </w:p>
    <w:p w14:paraId="4D76F78C"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частями нашей авиации на различных участках фронта уничтожено или повреждено не менее 20 немецких автомашин с войсками и грузами, взорвано 2 склада боеприпасов, подавлен огонь 5 артиллерийских и миномётных батарей противника.</w:t>
      </w:r>
    </w:p>
    <w:p w14:paraId="680397B7"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происходили упорные бои. Противник, несмотря на тяжёлые потери, понесённые им в предыдущих боях, стремится потеснить наши войска. Сегодня утром немцы ввели в бой полк пехоты, 15 танков и несколько самоходных орудий. Гитлеровцы имели на этом участке значительное превосходство в силах и рассчитывали одним ударом захватить наши позиции. Советские бойцы в ожесточённом бою нанесли противнику большой урон и вынудили его отступить. Все последующие атаки немцев также успеха не имели. В результате боя уничтожено 7 немецких танков и 2 самоходных орудия. Противник потерял только убитыми до 300 солдат и офицеров.</w:t>
      </w:r>
    </w:p>
    <w:p w14:paraId="6CE029DC"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 отдельных участках действовали небольшие разведывательные отряды. Ружейно-пулемётным и миномётным огнём уничтожено до роты немецкой пехоты. Артиллеристы Н-ского соединения подавили огонь 5 артиллерийских батарей противника.</w:t>
      </w:r>
    </w:p>
    <w:p w14:paraId="6EB2C9B7"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группа наших разведчиков, уничтожив сторожевое охранение немцев, внезапно атаковала противника и после короткого боя овладела сильно укреплённой высотой. В рукопашной схватке уничтожен немецкий гарнизон. На другом участке отряд разведчиков пробрался в расположение противника и противотанковыми гранатами взорвал вражеский дзот. Разведчики захватили вооружение гитлеровцев и благополучно вернулись в свою часть.</w:t>
      </w:r>
    </w:p>
    <w:p w14:paraId="5BF167CA"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артиллеристы Н-ской части уничтожили 12 вражеских пулемётов, 3 миномёта, орудие и подавили огонь 2 артиллерийских батарей противника. В воздушных боях и огнём зенитной артиллерии сбито 8 немецких самолётов.</w:t>
      </w:r>
    </w:p>
    <w:p w14:paraId="5727A964"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районе Севска снайперы части, где командиром тов. Голосов, за десять дней истребили 220 немецких солдат и офицеров.</w:t>
      </w:r>
    </w:p>
    <w:p w14:paraId="279A4895"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Партизанский отряд, действующий в одном из районов Украины, после тщательно проведённой разведки внезапно атаковал крупный отряд немцев у одной днепровскойпристани. В ожесточённом бою советские патриоты нанесли гитлеровцам большие потери. Убито до 200 немецких солдат и офицеров. Захвачены 2 </w:t>
      </w:r>
      <w:r w:rsidRPr="00D03F3E">
        <w:rPr>
          <w:rFonts w:ascii="Times New Roman" w:hAnsi="Times New Roman"/>
          <w:color w:val="000000" w:themeColor="text1"/>
          <w:sz w:val="16"/>
          <w:szCs w:val="16"/>
        </w:rPr>
        <w:lastRenderedPageBreak/>
        <w:t>орудия, 8 пулемётов, много автоматов и винтовок, 50 снарядов, 15 тысяч патронов, гранаты,мины и другие боеприпасы. Партизаны потопили в Днепре 3 парохода, 4 катера, моторную лодку и 5 барж с различными военными грузами противника.</w:t>
      </w:r>
    </w:p>
    <w:p w14:paraId="64DF3B24"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унтер-офицер 252 немецкой пехотнойдивизии Карл М. рассказал: «Летом и осенью прошлого года на линии Орёл — Брянск много воинских поездов с немецкими солдатами терпели крушения или сходили срельсов. Даже в глубоком тылу партизаны пускают поезда под откос. В декабре поезд, в котором я ехал, потерпел крушение близ станции Сарны. В районе Брест-Литовска один поезд подорвался на мине и сошёл с рельсов. В это время на него налетел встречный эшелон. В результате крушения погибло 66 солдат и офицеров. Железнодорожный служащий мне говорил, что, несмотря на усиленную охрану, партизаны беспрерывно нарушают движение на линии Волковыск—Минск. Он же рассказал мне, что близ Пинска партизаны подорвали воинский эшелон с немецкими солдатами».</w:t>
      </w:r>
    </w:p>
    <w:p w14:paraId="62ECCB10" w14:textId="77777777" w:rsidR="008006E7" w:rsidRPr="00D03F3E" w:rsidRDefault="008006E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разграбили и разрушили все больницы и лечебницы во временно оккупированных ими районах Белоруссии. Мирное население лишено какой бы то ни было медицинской помощи. В некоторых городах и сёлах в связи с этим свирепствуют тиф и другие болезни. В городе Слуцке, Минской области, гитлеровские людоеды сожгли живьём тифозных больных.» (15096).</w:t>
      </w:r>
    </w:p>
    <w:p w14:paraId="31370FBD" w14:textId="77777777" w:rsidR="008006E7" w:rsidRPr="00D03F3E" w:rsidRDefault="008006E7" w:rsidP="00D03F3E">
      <w:pPr>
        <w:spacing w:after="0" w:line="240" w:lineRule="auto"/>
        <w:jc w:val="both"/>
        <w:rPr>
          <w:rFonts w:ascii="Times New Roman" w:hAnsi="Times New Roman"/>
          <w:color w:val="000000" w:themeColor="text1"/>
          <w:sz w:val="16"/>
          <w:szCs w:val="16"/>
        </w:rPr>
      </w:pPr>
    </w:p>
    <w:p w14:paraId="286380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апреля 1943 г. вышел ПРИКАЗ №164 ОБ УВЕЛИЧЕНИИ НОРМЫ ВЫДАЧИ МЫЛА ЖЕНЩИНАМ-ВОЕННОСЛУЖАЩИМ</w:t>
      </w:r>
    </w:p>
    <w:p w14:paraId="0C5318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D03F3E">
        <w:rPr>
          <w:rFonts w:ascii="Times New Roman" w:hAnsi="Times New Roman"/>
          <w:color w:val="000000" w:themeColor="text1"/>
          <w:sz w:val="16"/>
          <w:szCs w:val="16"/>
        </w:rPr>
        <w:t>В соответствии с Постановлением ГОКО от 3 апреля 1943 года № ЗИЗсс, установить с 1 апреля 1943 года для женщин-военнослужащих дополнительно к нормам пайков по приказу НКО 1941 года № 312 по 100 граммов мыла на человека в месяц.</w:t>
      </w:r>
    </w:p>
    <w:p w14:paraId="6ACF1B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Заместитель Народного комиссара обороны генерал-полковник интендантской службы А. ХРУЛЕВ </w:t>
      </w:r>
      <w:r w:rsidRPr="00D03F3E">
        <w:rPr>
          <w:rFonts w:ascii="Times New Roman" w:hAnsi="Times New Roman"/>
          <w:color w:val="000000" w:themeColor="text1"/>
          <w:sz w:val="16"/>
          <w:szCs w:val="16"/>
        </w:rPr>
        <w:t>(9844).</w:t>
      </w:r>
    </w:p>
    <w:p w14:paraId="264F36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DDF05A"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285A99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C506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апреля 1943 года</w:t>
      </w:r>
    </w:p>
    <w:p w14:paraId="3F95CD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СЕКРЕТНОЕ ПОСЛАНИЕ ОТ ПРЕМЬЕР-МИНИСТРА г-на УИНСТОНА ЧЕРЧИЛЛЯ МАРШАЛУ И. В. СТАЛИНУ</w:t>
      </w:r>
    </w:p>
    <w:p w14:paraId="70FBC7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Все нацистско-фашистские войска отступают на линию Энфидавилла, о которой я Вам сообщал. Наши бронетанковые силы прорвались с запада к Кайруану. 8-я армия продвигается в северном направлении, и мы готовимся нанести сильный удар 1-й армией. Прилагаются большие усилия, чтобы нанести противнику тяжелые потери при попытке бежать морем. Я надеюсь вскоре получить из Африки хорошие вести для Вас. В сетях еще имеется свыше 200 000 человек противника, включая раненых, и мы захватили пока 25 000 пленных, не считая убитых, количество которых можно оценить от 5 000 до 10 000 человек.</w:t>
      </w:r>
    </w:p>
    <w:p w14:paraId="0633CA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Воздух. Мы послали 378 самолетов на Дуйсбург и повторно еще 100 самолетов следующей ночью. Прошлой ночью 502 самолета были посланы на Франкфурт. Мы нанесли тяжелый удар по обоим этим городам, но нам мешала сильная облачность. Я надеюсь, что Вы получили небольшой фильм о разрушениях, а также фотографии. Я регулярно буду посылать Вам эти фильмы, так как они могут доставить удовольствие Вашим солдатам, которые видели так много разрушенных русских городов.</w:t>
      </w:r>
    </w:p>
    <w:p w14:paraId="0BF1C3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Я стараюсь принять меры для того, чтобы провести несколько быстроходных судов через Средиземное море, как только оно будет открыто, для перевозки Ваших первоочередных грузов в Персидский залив. В число этих грузов войдут некоторые специально отобранные лекарства и медицинское оборудование, купленные за счет фонда моей жены</w:t>
      </w:r>
      <w:r w:rsidRPr="00D03F3E">
        <w:rPr>
          <w:rFonts w:ascii="Times New Roman" w:hAnsi="Times New Roman"/>
          <w:color w:val="000000" w:themeColor="text1"/>
          <w:sz w:val="16"/>
          <w:szCs w:val="16"/>
          <w:vertAlign w:val="superscript"/>
        </w:rPr>
        <w:t>4l</w:t>
      </w:r>
      <w:r w:rsidRPr="00D03F3E">
        <w:rPr>
          <w:rFonts w:ascii="Times New Roman" w:hAnsi="Times New Roman"/>
          <w:color w:val="000000" w:themeColor="text1"/>
          <w:sz w:val="16"/>
          <w:szCs w:val="16"/>
        </w:rPr>
        <w:t>, который в скором времени достигнет 3 миллионов фунтов стерлингов и который был создан добровольными пожертвованиями как бедных, так и богатых. Этот фонд является одним из доказательств теплого отношения британского народа к русскому народу (7430).</w:t>
      </w:r>
    </w:p>
    <w:p w14:paraId="54D7A2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8B90D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583F7F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08B98A"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апреля в 1943 году совершил свой первый полёт первый вертолёт Пясецкого «PV-2» (разработчик: «Piasecki», США). Машина была спроектирована по одновинтовой схеме. «PV-2» стал вторым удачным вертолетом американской постройки (первым был «VS-300» И.И. Сикорского). Равно как и Сикорский, Пясецкий сам выполнил первый полет на своем первым вертолете. Молодой авиаконструктор первым в США получил официальные "права" пилота вертолета. «PV-2» был показан в Национальном аэропорту Вашингтона представителям вооруженных сил и конгрессменам. Участие в судьбе талантливого авиаконструктора принял сенатор Гарри С.Трумэн, будущий президент США. Трумэн предложил Пясецкому разработать на базе «PV-2» вертолет большей грузоподъемности, который мог бы быть использован для борьбы с подводными лодками. 1 января 1944 г. фирма «P-V Engineering Forum» заключила контракт на создание такого вертолета (15096).</w:t>
      </w:r>
    </w:p>
    <w:p w14:paraId="44C2B268" w14:textId="77777777" w:rsidR="00862B97" w:rsidRPr="00D03F3E" w:rsidRDefault="00862B97" w:rsidP="00D03F3E">
      <w:pPr>
        <w:spacing w:after="0" w:line="240" w:lineRule="auto"/>
        <w:jc w:val="both"/>
        <w:rPr>
          <w:rFonts w:ascii="Times New Roman" w:hAnsi="Times New Roman"/>
          <w:color w:val="000000" w:themeColor="text1"/>
          <w:sz w:val="16"/>
          <w:szCs w:val="16"/>
        </w:rPr>
      </w:pPr>
    </w:p>
    <w:p w14:paraId="2206A17B"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11 апреля 1943 94 японских самолетов, базирующихся в Рабауле - 22 Aichi D3A и 72 Mitsubishi A6M Zeroes - атаковали корабли союзников в заливе Оро у Новой Гвинеи, потопив торговое судно и повредив торговое судно и тральщик. 50 истребителей союзников, базирующиеся в Дободуре, Новая Гвинея, перехватывают японцев, сбив без потерь шесть японских самолетов (20376).</w:t>
      </w:r>
    </w:p>
    <w:p w14:paraId="736DB9C2" w14:textId="77777777" w:rsidR="00676AD3" w:rsidRPr="00D03F3E" w:rsidRDefault="00676AD3" w:rsidP="00D03F3E">
      <w:pPr>
        <w:spacing w:after="0" w:line="240" w:lineRule="auto"/>
        <w:jc w:val="both"/>
        <w:rPr>
          <w:rFonts w:ascii="Times New Roman" w:hAnsi="Times New Roman"/>
          <w:color w:val="0070C0"/>
          <w:sz w:val="16"/>
          <w:szCs w:val="16"/>
        </w:rPr>
      </w:pPr>
    </w:p>
    <w:p w14:paraId="7C43205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апреля 1943 Геринг провозгласил обязанностью каждого немца участие в мероприятиях гражданской обороны (4962).</w:t>
      </w:r>
    </w:p>
    <w:p w14:paraId="363D6EC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D047D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апреля 1943 в Клесхейме Муссолини безуспешно пытался уговорить Гитлера заключить перемирие с СССР (4962).</w:t>
      </w:r>
    </w:p>
    <w:p w14:paraId="6A6225F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56E9D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B56B6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A51A74" w14:textId="77777777" w:rsidR="006418B6" w:rsidRPr="00D03F3E" w:rsidRDefault="006418B6"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12 апреля 1943 Сталин вежливо побла</w:t>
      </w:r>
      <w:r w:rsidRPr="00D03F3E">
        <w:rPr>
          <w:color w:val="000000" w:themeColor="text1"/>
          <w:sz w:val="16"/>
          <w:szCs w:val="16"/>
        </w:rPr>
        <w:softHyphen/>
        <w:t>годарил У.Черчиля и согласился: «Намечаемые Вами поставки самолетов-истребителей, снимаемых с отмененных конвоев, для нас весьма ценны. Я также признате</w:t>
      </w:r>
      <w:r w:rsidRPr="00D03F3E">
        <w:rPr>
          <w:color w:val="000000" w:themeColor="text1"/>
          <w:sz w:val="16"/>
          <w:szCs w:val="16"/>
        </w:rPr>
        <w:softHyphen/>
        <w:t xml:space="preserve">лен Вам за предложение послать нам 60 самолетов «Харрикейн» </w:t>
      </w:r>
      <w:r w:rsidRPr="00D03F3E">
        <w:rPr>
          <w:color w:val="000000" w:themeColor="text1"/>
          <w:sz w:val="16"/>
          <w:szCs w:val="16"/>
          <w:lang w:val="en-US"/>
        </w:rPr>
        <w:t>IID</w:t>
      </w:r>
      <w:r w:rsidRPr="00D03F3E">
        <w:rPr>
          <w:color w:val="000000" w:themeColor="text1"/>
          <w:sz w:val="16"/>
          <w:szCs w:val="16"/>
        </w:rPr>
        <w:t xml:space="preserve"> с пушкой 40 мм. Такие самолеты очень нужны, особенно против тяжелых танков» (17500).</w:t>
      </w:r>
    </w:p>
    <w:p w14:paraId="70F4C402" w14:textId="77777777" w:rsidR="006418B6" w:rsidRPr="00D03F3E" w:rsidRDefault="006418B6" w:rsidP="00D03F3E">
      <w:pPr>
        <w:spacing w:after="0" w:line="240" w:lineRule="auto"/>
        <w:jc w:val="both"/>
        <w:rPr>
          <w:rFonts w:ascii="Times New Roman" w:hAnsi="Times New Roman"/>
          <w:color w:val="000000" w:themeColor="text1"/>
          <w:sz w:val="16"/>
          <w:szCs w:val="16"/>
        </w:rPr>
      </w:pPr>
    </w:p>
    <w:p w14:paraId="791061E8"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 г. состоялись первый и второй по</w:t>
      </w:r>
      <w:r w:rsidRPr="00D03F3E">
        <w:rPr>
          <w:rFonts w:ascii="Times New Roman" w:hAnsi="Times New Roman"/>
          <w:color w:val="000000" w:themeColor="text1"/>
          <w:sz w:val="16"/>
          <w:szCs w:val="16"/>
        </w:rPr>
        <w:softHyphen/>
        <w:t>лёты на Ла-5 с М-82 и ТК-3 с включенными турбокомпрессорами, или третий и четвертый с начала испытаний до высоты 3500 м и 4500 м, соответственно. В последнем наблюдался перегрев мотора — температура первого цилиндра мотора достигла 280°С и 245°С — второго, вследствие их плохого охлаждения. В последнем в этой серии полё</w:t>
      </w:r>
      <w:r w:rsidRPr="00D03F3E">
        <w:rPr>
          <w:rFonts w:ascii="Times New Roman" w:hAnsi="Times New Roman"/>
          <w:color w:val="000000" w:themeColor="text1"/>
          <w:sz w:val="16"/>
          <w:szCs w:val="16"/>
        </w:rPr>
        <w:softHyphen/>
        <w:t>тов — пятом от начала испытаний, мотор работал хорошо, и удалось снять площадку с работающими турбокомпрессорами на высоте 6000 м. Так как при установке турбоком</w:t>
      </w:r>
      <w:r w:rsidRPr="00D03F3E">
        <w:rPr>
          <w:rFonts w:ascii="Times New Roman" w:hAnsi="Times New Roman"/>
          <w:color w:val="000000" w:themeColor="text1"/>
          <w:sz w:val="16"/>
          <w:szCs w:val="16"/>
        </w:rPr>
        <w:softHyphen/>
        <w:t>прессоров на Ла-5, в основном, старались это сделать с наименьшим количеством пе</w:t>
      </w:r>
      <w:r w:rsidRPr="00D03F3E">
        <w:rPr>
          <w:rFonts w:ascii="Times New Roman" w:hAnsi="Times New Roman"/>
          <w:color w:val="000000" w:themeColor="text1"/>
          <w:sz w:val="16"/>
          <w:szCs w:val="16"/>
        </w:rPr>
        <w:softHyphen/>
        <w:t>ределок серийной машины, охлаждение мотора было даже хуже, чем у серийных истре</w:t>
      </w:r>
      <w:r w:rsidRPr="00D03F3E">
        <w:rPr>
          <w:rFonts w:ascii="Times New Roman" w:hAnsi="Times New Roman"/>
          <w:color w:val="000000" w:themeColor="text1"/>
          <w:sz w:val="16"/>
          <w:szCs w:val="16"/>
        </w:rPr>
        <w:softHyphen/>
        <w:t>бителей. Из-за установки ТК-3 воздушные створки и выходная щель оказались затене</w:t>
      </w:r>
      <w:r w:rsidRPr="00D03F3E">
        <w:rPr>
          <w:rFonts w:ascii="Times New Roman" w:hAnsi="Times New Roman"/>
          <w:color w:val="000000" w:themeColor="text1"/>
          <w:sz w:val="16"/>
          <w:szCs w:val="16"/>
        </w:rPr>
        <w:softHyphen/>
        <w:t>ны, но вносить изменения в конструкцию самолёта, направленные на устранение дефе</w:t>
      </w:r>
      <w:r w:rsidRPr="00D03F3E">
        <w:rPr>
          <w:rFonts w:ascii="Times New Roman" w:hAnsi="Times New Roman"/>
          <w:color w:val="000000" w:themeColor="text1"/>
          <w:sz w:val="16"/>
          <w:szCs w:val="16"/>
        </w:rPr>
        <w:softHyphen/>
        <w:t>кта, не стали. Забор воздуха в турбокомпрессор производился не через всасывающие патрубки, которые отсоединили, а непосредственно из-под капотов мотора. Воздух че</w:t>
      </w:r>
      <w:r w:rsidRPr="00D03F3E">
        <w:rPr>
          <w:rFonts w:ascii="Times New Roman" w:hAnsi="Times New Roman"/>
          <w:color w:val="000000" w:themeColor="text1"/>
          <w:sz w:val="16"/>
          <w:szCs w:val="16"/>
        </w:rPr>
        <w:softHyphen/>
        <w:t>рез всасывающие патрубки поступал в замоторное пространство, тем самым создавая повышенное давление и ухудшая и без того плохое охлаждения мотора. Ухудшились экс</w:t>
      </w:r>
      <w:r w:rsidRPr="00D03F3E">
        <w:rPr>
          <w:rFonts w:ascii="Times New Roman" w:hAnsi="Times New Roman"/>
          <w:color w:val="000000" w:themeColor="text1"/>
          <w:sz w:val="16"/>
          <w:szCs w:val="16"/>
        </w:rPr>
        <w:softHyphen/>
        <w:t>плуатационные характеристики, теперь даже для проверки зазоров прерывателей магне</w:t>
      </w:r>
      <w:r w:rsidRPr="00D03F3E">
        <w:rPr>
          <w:rFonts w:ascii="Times New Roman" w:hAnsi="Times New Roman"/>
          <w:color w:val="000000" w:themeColor="text1"/>
          <w:sz w:val="16"/>
          <w:szCs w:val="16"/>
        </w:rPr>
        <w:softHyphen/>
        <w:t>то требовался демонтаж турбокомпрессора. Нарекания также вызывало плохое уплот</w:t>
      </w:r>
      <w:r w:rsidRPr="00D03F3E">
        <w:rPr>
          <w:rFonts w:ascii="Times New Roman" w:hAnsi="Times New Roman"/>
          <w:color w:val="000000" w:themeColor="text1"/>
          <w:sz w:val="16"/>
          <w:szCs w:val="16"/>
        </w:rPr>
        <w:softHyphen/>
        <w:t>нение газовых труб и недостаточная герметичность и прочность воздушных труб от тур</w:t>
      </w:r>
      <w:r w:rsidRPr="00D03F3E">
        <w:rPr>
          <w:rFonts w:ascii="Times New Roman" w:hAnsi="Times New Roman"/>
          <w:color w:val="000000" w:themeColor="text1"/>
          <w:sz w:val="16"/>
          <w:szCs w:val="16"/>
        </w:rPr>
        <w:softHyphen/>
        <w:t>бокомпрессора до карбюратора и от карбюратора до турбокомпрессора.</w:t>
      </w:r>
    </w:p>
    <w:p w14:paraId="0488F1C1"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другой стороны, первые пять полётов Ла-5 с ТК-3 показали, вполне хорошую ра</w:t>
      </w:r>
      <w:r w:rsidRPr="00D03F3E">
        <w:rPr>
          <w:rFonts w:ascii="Times New Roman" w:hAnsi="Times New Roman"/>
          <w:color w:val="000000" w:themeColor="text1"/>
          <w:sz w:val="16"/>
          <w:szCs w:val="16"/>
        </w:rPr>
        <w:softHyphen/>
        <w:t>боту этого турбокомпрессора. Хорошую оценку получило крепление ТК-3 и изоляция его горячих частей — ресивера и турбины, от гидравлической части и от замоторного пространства.</w:t>
      </w:r>
    </w:p>
    <w:p w14:paraId="14AF1EF4"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Самолёт отправили в опытный цех для доводки системы охлаждения мотора и гер</w:t>
      </w:r>
      <w:r w:rsidRPr="00D03F3E">
        <w:rPr>
          <w:rFonts w:ascii="Times New Roman" w:hAnsi="Times New Roman"/>
          <w:color w:val="000000" w:themeColor="text1"/>
          <w:sz w:val="16"/>
          <w:szCs w:val="16"/>
        </w:rPr>
        <w:softHyphen/>
        <w:t>метизации газовых и воздушных труб. Однако из-за отсутствия производственных воз</w:t>
      </w:r>
      <w:r w:rsidRPr="00D03F3E">
        <w:rPr>
          <w:rFonts w:ascii="Times New Roman" w:hAnsi="Times New Roman"/>
          <w:color w:val="000000" w:themeColor="text1"/>
          <w:sz w:val="16"/>
          <w:szCs w:val="16"/>
        </w:rPr>
        <w:softHyphen/>
        <w:t>можностей, а если точнее — людей, работы приняли затяжной характер (15830).</w:t>
      </w:r>
    </w:p>
    <w:p w14:paraId="1D434611" w14:textId="77777777" w:rsidR="00862B97" w:rsidRPr="00D03F3E" w:rsidRDefault="00862B97" w:rsidP="00D03F3E">
      <w:pPr>
        <w:spacing w:after="0" w:line="240" w:lineRule="auto"/>
        <w:jc w:val="both"/>
        <w:rPr>
          <w:rFonts w:ascii="Times New Roman" w:hAnsi="Times New Roman"/>
          <w:color w:val="000000" w:themeColor="text1"/>
          <w:sz w:val="16"/>
          <w:szCs w:val="16"/>
        </w:rPr>
      </w:pPr>
    </w:p>
    <w:p w14:paraId="138D3174" w14:textId="77777777" w:rsidR="00676AD3" w:rsidRPr="00D03F3E" w:rsidRDefault="00676AD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 12 апреля по 4 мая 1943 года ЛаГГ-3 № 6066 (что означало 66-й самолет 60-й серии) проходил контрольные испытания В НИИ ВВС. Так уж получилось, что этот самолет, а также все облегченные машины производства 1943-44 годов завода № 31, в популярной литературе ошибочно именуют «ЛаГГ-3 66-й серии», хотя корректнее все же называть их истребителями 60-х серий. По мнению военных, этот самолет прошел испытания неудовлетворительно. Начальник ГУЗ ВВС генерал-лейтенант ИАС Селезнев в письме № 555840 от 12 июня 1943 года А.И. Шахурину отмечал, что ЛаГГ-3 № 6066 перетяжелен на 73 кг, имеет недобор скоростей на 10-15 км/час и недостаточную дальность радиосвязи. Помимо этого, военных совершенно не устраивали высокие температурные режимы, выброс масла из суфлера и заниженная дальность полета по запасу горючего. Возможно, 6066 сам по себе имел какие-то индивидуальные недостатки, но вот претензии по недобору скорости выглядят как-то неубедительно. Дело в том, что по постановлению ГКО № 2604сс от 9 декабря 42 года «Об улучшении самолетов-истребителей Як-1, Як-7 и Ла-5», от НКАП требовалось организовать ежемесячную проверку летных данных серийных истребителей и ежеквартальные испытания на выносливость, поэтому с начала 1943 года в ЛИИ стали проводить контрольные испытания всех типов серийных машин. Как можно видеть максимальный «перевес» по сравнению с величиной, заданной постановлением ГКО № 2467сс, составлял 42 кг, а самый значительный недобор скорости – 9 км/ч. Вместе с тем, специалисты ЛИИ отмечали в качестве основных дефектов ЛаГГ-3 недостаточное охлаждение масла, недопустимо высокий уровень помех радиоприему, неудовлетворительное крепление всасывающих патрубков, отставания обшивки центроплана, разрушение гибких шлангов гидросистемы самолета, а также плохую окраску крыльев и лопастей винтов (23197).</w:t>
      </w:r>
    </w:p>
    <w:p w14:paraId="2AAEF161" w14:textId="77777777" w:rsidR="00676AD3" w:rsidRPr="00D03F3E" w:rsidRDefault="00676AD3" w:rsidP="00D03F3E">
      <w:pPr>
        <w:spacing w:after="0" w:line="240" w:lineRule="auto"/>
        <w:jc w:val="both"/>
        <w:rPr>
          <w:rFonts w:ascii="Times New Roman" w:hAnsi="Times New Roman"/>
          <w:color w:val="0070C0"/>
          <w:sz w:val="16"/>
          <w:szCs w:val="16"/>
        </w:rPr>
      </w:pPr>
    </w:p>
    <w:p w14:paraId="38E3C2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 приказом МАП N 209 на базе бывшего 18 завода в Воронеже создали авиаремонтный завод 64 (236,42).</w:t>
      </w:r>
    </w:p>
    <w:p w14:paraId="14A30D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4F59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 года согласно приказа МАП за № 209 на базе бывш. завода № 18 и на его территории был организован завод № 64, расположенный в Воронеже по ул. Циолковского, как самолеторемонтный завод. В 1943 году завод № 64 имел задачу восстановления и ремонта всех типов самолетов, как на заводе, так и в воинских частях, действующих на ближних фронтах.</w:t>
      </w:r>
    </w:p>
    <w:p w14:paraId="55358F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приказа МАП за № 121 от 21 февраля 1944 года завод № 64 переведен в ведение 10 гл. управления и получил задание изготовлять (крылья) агрегаты самолета ИЛ-2, этим же приказом завод № 64 переведен в разряд агрегатных заводов второй категории. Оснастка была получена с завода № 18 на крыло старой конструкции самолета ИЛ-2.</w:t>
      </w:r>
    </w:p>
    <w:p w14:paraId="02DB76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Приказом МАП за № 30 от 9 января 1945 года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w:t>
      </w:r>
    </w:p>
    <w:p w14:paraId="386C7E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1946 и 1947 гг. заводом освоены следующие агрегаты:</w:t>
      </w:r>
    </w:p>
    <w:p w14:paraId="3548D8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хвостовая часть фюзеляжа;</w:t>
      </w:r>
    </w:p>
    <w:p w14:paraId="469A7A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оперение;</w:t>
      </w:r>
    </w:p>
    <w:p w14:paraId="2F691A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шасси.</w:t>
      </w:r>
    </w:p>
    <w:p w14:paraId="6E3BB6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03E32D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3D4CD3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47545C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0A6278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w:t>
      </w:r>
    </w:p>
    <w:p w14:paraId="7EC433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 Белявский</w:t>
      </w:r>
    </w:p>
    <w:p w14:paraId="4805B2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Производственный профиль – самолет Ан-10 конструкции Антонова</w:t>
      </w:r>
    </w:p>
    <w:p w14:paraId="1DA621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Характеристика аэродрома завода</w:t>
      </w:r>
    </w:p>
    <w:p w14:paraId="095377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620E77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1D4167" w14:textId="77777777" w:rsidR="00AC5101" w:rsidRPr="00D03F3E" w:rsidRDefault="00AC5101" w:rsidP="00D03F3E">
      <w:pPr>
        <w:spacing w:after="0" w:line="240" w:lineRule="auto"/>
        <w:jc w:val="both"/>
        <w:rPr>
          <w:rFonts w:ascii="Times New Roman" w:eastAsia="TimesNewRoman" w:hAnsi="Times New Roman"/>
          <w:color w:val="000000" w:themeColor="text1"/>
          <w:sz w:val="16"/>
          <w:szCs w:val="16"/>
        </w:rPr>
      </w:pPr>
      <w:r w:rsidRPr="00D03F3E">
        <w:rPr>
          <w:rFonts w:ascii="Times New Roman" w:eastAsia="TimesNewRoman" w:hAnsi="Times New Roman"/>
          <w:color w:val="000000" w:themeColor="text1"/>
          <w:sz w:val="16"/>
          <w:szCs w:val="16"/>
        </w:rPr>
        <w:t>12 апреля 1943 г. на базе завода № 18 в г. Воронеже по приказу наркома авиационной промышленности (НКАП) № 209 был организован Завод № 64 как самолеторемонтный завод. Все производственные, вспомогательные, а также бытовые помещения были разрушены. Не осталось никакого оборудования [4, д. 2856, л. 87]. В ходе восстановления предприятия удалось наладить ремонт и производство агрегатов самолетов. Так, в 1946 г. завод № 64 провел полевой ремонт истребителей: Ла-7 - 11 штук, Як-3 - 21, Як-9 - 102 и Ла-5 - 5 машин. Кроме того, велось изготовление крыла штурмовиков Ил-2 (19 шт. в 1946 г.) и сборка бомбардировщиков Ил-4 (12 штук в 1947 г. при плане 10 машин) [Там же, д. 1307, л. 3-4]. На 1 января 1948 г. производственные площади завода составляли 199 123 кв. м., в том числе под производственными цехами - 62 373 и 26 244 кв. м. соответственно, а количество единиц оборудования - 1842 (металлорежущего - 1042, кузнечнопрессового - 98, литейного - 9, сварочного - 57 и т.д.) [Там же, л. 2].</w:t>
      </w:r>
    </w:p>
    <w:p w14:paraId="5D63043A" w14:textId="77777777" w:rsidR="00AC5101" w:rsidRPr="00D03F3E" w:rsidRDefault="00AC5101" w:rsidP="00D03F3E">
      <w:pPr>
        <w:spacing w:after="0" w:line="240" w:lineRule="auto"/>
        <w:jc w:val="both"/>
        <w:rPr>
          <w:rFonts w:ascii="Times New Roman" w:eastAsia="TimesNewRoman" w:hAnsi="Times New Roman"/>
          <w:color w:val="000000" w:themeColor="text1"/>
          <w:sz w:val="16"/>
          <w:szCs w:val="16"/>
        </w:rPr>
      </w:pPr>
      <w:r w:rsidRPr="00D03F3E">
        <w:rPr>
          <w:rFonts w:ascii="Times New Roman" w:eastAsia="TimesNewRoman" w:hAnsi="Times New Roman"/>
          <w:color w:val="000000" w:themeColor="text1"/>
          <w:sz w:val="16"/>
          <w:szCs w:val="16"/>
        </w:rPr>
        <w:t>Постановлением Совета Министров СССР (ПСМ) № 5223-1994сс от 14 ноября 1949 г. и приказом Министерства авиационной промышленности завод № 64 был переведен на производство реактивных бомбардировщиков Ил-28 и переведен в разряд самолетостроительных заводов первой категории. В 1950 г. была восстановлена производственная площадь и организован цех № 45 магниевого литья; восстановлена и введена в эксплуатацию вторая очередь малярного отделения, помещения корпуса Летно-испытательной станции (ЛИС). В течение 1953 года была проделана работа по окончательному восстановлению главного корпуса [Там же, д. 2856, л. 89-90]. В 1954 г. были восстановлены южные бытовые помещения главного корпуса и главная контора [Там же, л. 91].</w:t>
      </w:r>
    </w:p>
    <w:p w14:paraId="3AA60FEB" w14:textId="77777777" w:rsidR="00AC5101" w:rsidRPr="00D03F3E" w:rsidRDefault="00AC5101" w:rsidP="00D03F3E">
      <w:pPr>
        <w:spacing w:after="0" w:line="240" w:lineRule="auto"/>
        <w:jc w:val="both"/>
        <w:rPr>
          <w:rFonts w:ascii="Times New Roman" w:eastAsia="TimesNewRoman" w:hAnsi="Times New Roman"/>
          <w:color w:val="000000" w:themeColor="text1"/>
          <w:sz w:val="16"/>
          <w:szCs w:val="16"/>
        </w:rPr>
      </w:pPr>
      <w:r w:rsidRPr="00D03F3E">
        <w:rPr>
          <w:rFonts w:ascii="Times New Roman" w:eastAsia="TimesNewRoman" w:hAnsi="Times New Roman"/>
          <w:color w:val="000000" w:themeColor="text1"/>
          <w:sz w:val="16"/>
          <w:szCs w:val="16"/>
        </w:rPr>
        <w:t>Планы выпуска самолетов постоянно наращивались. Например, по постановлению Совмина, вышедшему в октябре 1950 г., МАП предписывалось увеличить план 1951 г. с 450 до 530 машин. Из них на долю завода № 64 приходилось 75 бомбардировщиков. В предыдущем году завод сделал фактически только пробную серию. В мае-июне 1952 г. в НИИ ВВС провели контрольные испытания самолетов Ил-28, выпущенных заводами № 30 (Москва), № 64 (Воронеж) и № 166 (Омск). Выяснилось, что все они полностью соответствуют техническим условиям заказчика [7, с. 12].</w:t>
      </w:r>
    </w:p>
    <w:p w14:paraId="0FBD84F6" w14:textId="77777777" w:rsidR="00AC5101" w:rsidRPr="00D03F3E" w:rsidRDefault="00AC5101" w:rsidP="00D03F3E">
      <w:pPr>
        <w:spacing w:after="0" w:line="240" w:lineRule="auto"/>
        <w:jc w:val="both"/>
        <w:rPr>
          <w:rFonts w:ascii="Times New Roman" w:eastAsia="TimesNewRoman" w:hAnsi="Times New Roman"/>
          <w:color w:val="000000" w:themeColor="text1"/>
          <w:sz w:val="16"/>
          <w:szCs w:val="16"/>
        </w:rPr>
      </w:pPr>
      <w:r w:rsidRPr="00D03F3E">
        <w:rPr>
          <w:rFonts w:ascii="Times New Roman" w:eastAsia="TimesNewRoman" w:hAnsi="Times New Roman"/>
          <w:color w:val="000000" w:themeColor="text1"/>
          <w:sz w:val="16"/>
          <w:szCs w:val="16"/>
        </w:rPr>
        <w:t>При подготовке производства самолетов Ту-16 в соответствии с приказом МАП № 33сс от 24 мая 1954 г. на заводе № 64 была произведена перепланировка всех цехов [4, д. 2856, л. 93]. Заводские постройки, жилой фонд завода № 64, больница и другие здания восстанавливались вплоть до 1955 года [1, с. 57] (12696).</w:t>
      </w:r>
    </w:p>
    <w:p w14:paraId="74A29BFE" w14:textId="77777777" w:rsidR="00AC5101" w:rsidRPr="00D03F3E" w:rsidRDefault="00AC5101" w:rsidP="00D03F3E">
      <w:pPr>
        <w:spacing w:after="0" w:line="240" w:lineRule="auto"/>
        <w:jc w:val="both"/>
        <w:rPr>
          <w:rFonts w:ascii="Times New Roman" w:eastAsia="TimesNewRoman" w:hAnsi="Times New Roman"/>
          <w:color w:val="000000" w:themeColor="text1"/>
          <w:sz w:val="16"/>
          <w:szCs w:val="16"/>
        </w:rPr>
      </w:pPr>
    </w:p>
    <w:p w14:paraId="1D475C2E"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Style w:val="2fa"/>
          <w:rFonts w:ascii="Times New Roman" w:hAnsi="Times New Roman" w:cs="Times New Roman"/>
          <w:i w:val="0"/>
          <w:color w:val="000000" w:themeColor="text1"/>
          <w:sz w:val="16"/>
          <w:szCs w:val="16"/>
        </w:rPr>
        <w:t xml:space="preserve">12 апреля 1943 Сталин вежливо поблагодарил Черчиля за письмо от 10 апреля и согласился: </w:t>
      </w:r>
      <w:r w:rsidRPr="00D03F3E">
        <w:rPr>
          <w:rFonts w:ascii="Times New Roman" w:hAnsi="Times New Roman"/>
          <w:color w:val="000000" w:themeColor="text1"/>
          <w:sz w:val="16"/>
          <w:szCs w:val="16"/>
        </w:rPr>
        <w:t>«Намечаемые Вами поставки самолетов-истребителей, снимаемых с отмененных конвоев, для нас весьма ценны. Я также признателен Вам за предложение послать нам 60 самолетов «Харрикейн» 1Ю с пуш</w:t>
      </w:r>
      <w:r w:rsidRPr="00D03F3E">
        <w:rPr>
          <w:rFonts w:ascii="Times New Roman" w:hAnsi="Times New Roman"/>
          <w:color w:val="000000" w:themeColor="text1"/>
          <w:sz w:val="16"/>
          <w:szCs w:val="16"/>
        </w:rPr>
        <w:softHyphen/>
        <w:t>кой 40 мм. Такие самолеты очень нужны, особенно против тяжелых танков» (12735).</w:t>
      </w:r>
    </w:p>
    <w:p w14:paraId="55A822C2" w14:textId="77777777" w:rsidR="002F5AD4" w:rsidRPr="00D03F3E" w:rsidRDefault="002F5AD4" w:rsidP="00D03F3E">
      <w:pPr>
        <w:spacing w:after="0" w:line="240" w:lineRule="auto"/>
        <w:jc w:val="both"/>
        <w:rPr>
          <w:rFonts w:ascii="Times New Roman" w:hAnsi="Times New Roman"/>
          <w:color w:val="000000" w:themeColor="text1"/>
          <w:sz w:val="16"/>
          <w:szCs w:val="16"/>
        </w:rPr>
      </w:pPr>
    </w:p>
    <w:p w14:paraId="2E4A42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12 апреля по 4 мая 1943 самолет ЛаГГ-3 N 6066 производства 31 завода неудовлетворительно прошли гос. испытания по причине:</w:t>
      </w:r>
    </w:p>
    <w:p w14:paraId="71E009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недобора скоростей на 10-15 км/час</w:t>
      </w:r>
    </w:p>
    <w:p w14:paraId="3AEAA3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выброса масла из суфлера</w:t>
      </w:r>
    </w:p>
    <w:p w14:paraId="568648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высоких температурных режимов</w:t>
      </w:r>
    </w:p>
    <w:p w14:paraId="7895B7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перетяжеленности на 73 кг</w:t>
      </w:r>
    </w:p>
    <w:p w14:paraId="22A4AF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недостаточной дальности радиосвязи</w:t>
      </w:r>
    </w:p>
    <w:p w14:paraId="22FEEE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 заниженной дальности по запасу горючего (1778,271).</w:t>
      </w:r>
    </w:p>
    <w:p w14:paraId="28FF04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492BF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428BD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F06F1A"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 года постановлением ГКО № 3165сс в состав НКТП из Наркомата станкостроения были переданы: завод имени компартии Франции в Муроме (далее - им. КПФ), завод Станкопатрон в Саратове, Саратовский завод зуборезных станков, завод «Коммунист» в городе Марксе с филиалом в городе Энгельсе, завод имени Ленина в Ижевске. В мае 1943 года эти заводы были переданы в состав ГУРТ и им были присвоены номера: № 42, № 43, № 44, № 45, № 46 соответственно. 8 июня в дополнение к этим заводам НКТП был передан завод № 37 (не следует его путать с довоенным заводом с тем же номером).</w:t>
      </w:r>
    </w:p>
    <w:p w14:paraId="47E31D26"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составе ГУРТ имелись не только стационарные предприятия и ремонтные базы. 15 апреля ГКО в распоряжении 3188 указало ГУРТ сформировать 25 подвижных ремонтных баз и направить их в места прошедших боёв (12290).</w:t>
      </w:r>
    </w:p>
    <w:p w14:paraId="6EE21970"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72F6C755" w14:textId="77777777" w:rsidR="006418B6" w:rsidRPr="00D03F3E" w:rsidRDefault="006418B6" w:rsidP="00D03F3E">
      <w:pPr>
        <w:pStyle w:val="ae"/>
        <w:shd w:val="clear" w:color="auto" w:fill="FFFFFF"/>
        <w:spacing w:before="0" w:after="0"/>
        <w:jc w:val="both"/>
        <w:rPr>
          <w:color w:val="000000" w:themeColor="text1"/>
          <w:sz w:val="16"/>
          <w:szCs w:val="16"/>
        </w:rPr>
      </w:pPr>
      <w:r w:rsidRPr="00D03F3E">
        <w:rPr>
          <w:color w:val="000000" w:themeColor="text1"/>
          <w:sz w:val="16"/>
          <w:szCs w:val="16"/>
        </w:rPr>
        <w:t xml:space="preserve">12 апреля 1943 Артиллерийский комитет Главного артиллерийского управления Красной армии (ГАУ КА) разработал предварительные тактико-технические требования на «85-мм самоходную пушку «истребитель танков». Начало работ напрямую увязывалось с появлением на вооружении вермахта «Тигра». Основными целями для перспективной машины указывались тяжёлые немецкие танки с толщиной брони 90-120 мм, которые 85-мм пушке предстояло уверенно поражать на дистанции 500-1000 метров. Согласно требованиям, орудие планировалось установить на шасси СУ-35М (СУ-122М), массу которого требовалось уменьшить на 1-1,5 тонны. Требуемый боекомплект к 85-мм пушке составлял 60 патронов, разрешалась как горизонтальная, так и вертикальная укладки. Интересно, что в качестве альтернативного шасси указывались трофейные немецкие танки </w:t>
      </w:r>
      <w:hyperlink r:id="rId119" w:history="1">
        <w:r w:rsidRPr="00D03F3E">
          <w:rPr>
            <w:rStyle w:val="a5"/>
            <w:color w:val="000000" w:themeColor="text1"/>
            <w:sz w:val="16"/>
            <w:szCs w:val="16"/>
          </w:rPr>
          <w:t>Pz.Kpfw.III</w:t>
        </w:r>
      </w:hyperlink>
      <w:r w:rsidRPr="00D03F3E">
        <w:rPr>
          <w:color w:val="000000" w:themeColor="text1"/>
          <w:sz w:val="16"/>
          <w:szCs w:val="16"/>
        </w:rPr>
        <w:t xml:space="preserve"> и </w:t>
      </w:r>
      <w:hyperlink r:id="rId120" w:history="1">
        <w:r w:rsidRPr="00D03F3E">
          <w:rPr>
            <w:rStyle w:val="a5"/>
            <w:color w:val="000000" w:themeColor="text1"/>
            <w:sz w:val="16"/>
            <w:szCs w:val="16"/>
          </w:rPr>
          <w:t>Pz.Kpfw.IV</w:t>
        </w:r>
      </w:hyperlink>
      <w:r w:rsidRPr="00D03F3E">
        <w:rPr>
          <w:color w:val="000000" w:themeColor="text1"/>
          <w:sz w:val="16"/>
          <w:szCs w:val="16"/>
        </w:rPr>
        <w:t>.</w:t>
      </w:r>
    </w:p>
    <w:p w14:paraId="004A0C95" w14:textId="77777777" w:rsidR="006418B6" w:rsidRPr="00D03F3E" w:rsidRDefault="006418B6" w:rsidP="00D03F3E">
      <w:pPr>
        <w:pStyle w:val="ae"/>
        <w:shd w:val="clear" w:color="auto" w:fill="FFFFFF"/>
        <w:spacing w:before="0" w:after="0"/>
        <w:jc w:val="both"/>
        <w:rPr>
          <w:color w:val="000000" w:themeColor="text1"/>
          <w:sz w:val="16"/>
          <w:szCs w:val="16"/>
        </w:rPr>
      </w:pPr>
      <w:r w:rsidRPr="00D03F3E">
        <w:rPr>
          <w:color w:val="000000" w:themeColor="text1"/>
          <w:sz w:val="16"/>
          <w:szCs w:val="16"/>
        </w:rPr>
        <w:t>Составленные требования Артиллерийский Комитет ГАУ КА утвердил 14 апреля. В тот же день они отправились в подмосковный Калининград, где находилось Центральное Артиллерийское КБ (ЦАКБ). В прилагаемом письме председатель Арткома ГАУ КА генерал-лейтенант В.И. Хохлов указал возглавлявшему ЦАКБ В.Г. Грабину на приоритетный вариант 85-мм системы. Она должна была стать результатом наложения ствола с баллистикой 52-К на люльку с противооткатными устройствами 76,2-мм танковой пушки ЗИС-5. Появление такой схемы неудивительно: тактико-технические требования на 85-мм самоходную пушку во многом базировались на конструкции ЗИС-25. Само это орудие было отвергнуто из-за ряда недостатков, но его общая концепция была признана правильной.</w:t>
      </w:r>
    </w:p>
    <w:p w14:paraId="33D1579E" w14:textId="77777777" w:rsidR="006418B6" w:rsidRPr="00D03F3E" w:rsidRDefault="006418B6" w:rsidP="00D03F3E">
      <w:pPr>
        <w:pStyle w:val="ae"/>
        <w:shd w:val="clear" w:color="auto" w:fill="FFFFFF"/>
        <w:spacing w:before="0" w:after="0"/>
        <w:jc w:val="both"/>
        <w:rPr>
          <w:color w:val="000000" w:themeColor="text1"/>
          <w:sz w:val="16"/>
          <w:szCs w:val="16"/>
        </w:rPr>
      </w:pPr>
      <w:r w:rsidRPr="00D03F3E">
        <w:rPr>
          <w:color w:val="000000" w:themeColor="text1"/>
          <w:sz w:val="16"/>
          <w:szCs w:val="16"/>
        </w:rPr>
        <w:t>6 марта 1943 года в ГАУ КА были составлены тактико-технические требования на проектирование и изготовление опытного образца 85 мм танковой пушки, которая стала наследницей ЗИС-25. Именно эту систему и взяли за основу при проектировании 85-мм самоходной пушки. Помимо ЦАКБ 14 апреля 1943 года письмо с ТТТ на 85-мм самоходную пушку было отправлено в Свердловск директору завода №9 Л.Р. Гонору, а также директору Уральского завода тяжёлого машиностроения (УЗТМ) Б.Г. Мурзукову. КБ завода №9 занималось орудийной частью, а УЗТМ — шасси.</w:t>
      </w:r>
    </w:p>
    <w:p w14:paraId="011B17AE" w14:textId="77777777" w:rsidR="006418B6" w:rsidRPr="00D03F3E" w:rsidRDefault="006418B6" w:rsidP="00D03F3E">
      <w:pPr>
        <w:pStyle w:val="ae"/>
        <w:shd w:val="clear" w:color="auto" w:fill="FFFFFF"/>
        <w:spacing w:before="0" w:after="0"/>
        <w:jc w:val="both"/>
        <w:rPr>
          <w:color w:val="000000" w:themeColor="text1"/>
          <w:sz w:val="16"/>
          <w:szCs w:val="16"/>
        </w:rPr>
      </w:pPr>
      <w:r w:rsidRPr="00D03F3E">
        <w:rPr>
          <w:color w:val="000000" w:themeColor="text1"/>
          <w:sz w:val="16"/>
          <w:szCs w:val="16"/>
        </w:rPr>
        <w:t>Сроком изготовления эскизных проектов и ЦАКБ, и КБ завода №9 было определено 5 мая. По состоянию на 29 апреля ЦАКБ уже заканчивало предварительный проект. К той же дате завод №9 официально даже не принял заказ. Тем не менее, из телефонного разговора стало известно, что завод №9 уже приступил к проектированию системы. Таким образом, к моменту подписания 5 мая 1943 года постановления Государственного комитета обороны (ГКО) №3289 «Об усилении артиллерийского вооружения танков и самоходных установок» у советских конструкторов уже имелся определённый багаж наработок по этой теме (17704).</w:t>
      </w:r>
    </w:p>
    <w:p w14:paraId="07681075" w14:textId="77777777" w:rsidR="006418B6" w:rsidRPr="00D03F3E" w:rsidRDefault="006418B6" w:rsidP="00D03F3E">
      <w:pPr>
        <w:spacing w:after="0" w:line="240" w:lineRule="auto"/>
        <w:jc w:val="both"/>
        <w:rPr>
          <w:rFonts w:ascii="Times New Roman" w:hAnsi="Times New Roman"/>
          <w:color w:val="000000" w:themeColor="text1"/>
          <w:sz w:val="16"/>
          <w:szCs w:val="16"/>
        </w:rPr>
      </w:pPr>
    </w:p>
    <w:p w14:paraId="3E4C0C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 года БА-64Д с ДШК в специальной башне был направлен в Москву для показа командованию Бронетанковых войск РККА. Основные претензии также касались питания пулемета с рекомендацией перейти на ленту с металлическими звеньями. Однако, такое решение было тоже неудачным из-за недостаточных размеров башни. В результате из-за того, что ГАЗ не соглашался с установкой ленточного питания, а ГБТУ не соглашалось с установкой пулемета с магазинным питанием, то дальнейшие работы по перевооружению БА-64 пулеметом ДШК были оставлены (3862).</w:t>
      </w:r>
    </w:p>
    <w:p w14:paraId="0682D8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C091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 вышло Постановление ГКО № 3165 О плане ремонта танков, артиллерийских самоходов, танковых моторов и о плане поставки запасных частей к ним на II квартал 1943 года.РГАНИР, Фонд ГКО, д. 102, лл. 154-166, 167-241 (11012).</w:t>
      </w:r>
    </w:p>
    <w:p w14:paraId="4A9E0E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A594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 вышло Постановление ГКО № 3166 Об изготовлении опытного образца 152 мм гаубицы М-10 путем наложения ствола гаубицы М-10 на лафет 122 мм гаубицы М-30.РГАНИР, Фонд ГКО, д. 103, лл. 1 (11012).</w:t>
      </w:r>
    </w:p>
    <w:p w14:paraId="673FFA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6C6E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 вышло Постановление ГКО № 3168 О плане поставок военно-полевых средств и имущества связи на II квартал 1943 года.РГАНИР, Фонд ГКО, д. 103, лл. 3-5, 6-44 (11012).</w:t>
      </w:r>
    </w:p>
    <w:p w14:paraId="06D257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7E22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 вышло Распоряжение ГКО № 3169. О мерах по увеличению выпуска корпусов 76 мм снарядов.РГАНИР, Фонд ГКО, д. 103, лл. 45 (11012).</w:t>
      </w:r>
    </w:p>
    <w:p w14:paraId="57ECD5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B5C0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 вышло Распоряжение ГКО № 3170. В частичное изменение пункта 18 приложения 1 к постановлению ГКО № 2948 от 27 февраля 1943 г. отсрочить для НКЭС возврат оборудования гибочной мастерской НКТМ.РГАНИР, Фонд ГКО, д. 103, лл. 46 (11012).</w:t>
      </w:r>
    </w:p>
    <w:p w14:paraId="5EAE1A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4A9FC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 вышло Постановление ГКО № 3171 О мероприятиях по обеспечению производства автомобильных, авиационных и артиллерийских шин, а также других резинотехнических и асбестовых изделий. (7094, 47-57,58-60).</w:t>
      </w:r>
    </w:p>
    <w:p w14:paraId="41E168C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7E0E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 вышло Распоряжение ГКО № 3173. Об использовании проката мерной броневой полосы, освоенного КМК, для производства бронекорпусов танков Т-34.РГАНИР, Фонд ГКО, д. 103, лл. 65 (11012).</w:t>
      </w:r>
    </w:p>
    <w:p w14:paraId="21F024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ABDAF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 вышло Постановление ГКО № 3174 Об обеспечении отгрузки дров железным дорогам во втором квартале 1943 года. (7094, 66,67-69).</w:t>
      </w:r>
    </w:p>
    <w:p w14:paraId="1FFBC0D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210D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12 апреля 1943 г. в системе ПВО страны имелось 55 отдельных зенитных бронепоездов, а к концу войны - более 200. В основном они находились в составе прифронтовых соединений ПВО и использовались для самостоятельной обороны железнодорожных объектов, усиления противовоздушной обороны крупных железнодорожных узлов и мостов, временной противовоздушной обороны железнодорожных объектов, сопровождения поездов в пути.</w:t>
      </w:r>
    </w:p>
    <w:p w14:paraId="4714D5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длительной дислокации в одном пункте пушки малого калибра и пулеметы снимались с бронеплощадок и ставились на грунт на удалении 200-300 м от обороняемого объекта. Часть пулеметов устанавливалась у стоянки паровоза и крытых вагонов. Средства управления огнем снимались с бронеплощадок и ставились на грунт в сторону наилучшего обзора на удалении, определяемом длиной кабелей синхронной передачи.</w:t>
      </w:r>
    </w:p>
    <w:p w14:paraId="054C54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сопровождении железнодорожных составов огневые средства бронепоезда рассредоточивались: орудия - в голове и хвосте эшелона, а зенитные пулеметы - в середине. Для прикрытия группы эшелонов считалось целесообразным иметь бронепоезд через каждые 2-3 эшелона. Зенитные бронепоезда при этом организовывали единую систему огня.</w:t>
      </w:r>
    </w:p>
    <w:p w14:paraId="5C4C92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 подтвердил возможность быстро перебрасывать бронепоезда ПВО в районы, где авиация противника проявляла повышенную активность. Боевой успех достигался прежде всего высокоманевренными действиями и как следствие - внезапностью огня для фашистских летчиков. Появление бронепоезда у объекта, ранее не прикрытого средствами ПВО, почти всегда приводило к уничтожению самолетов противника (11148).</w:t>
      </w:r>
    </w:p>
    <w:p w14:paraId="008CE8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C04B2B"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в 1943 году в соответствии с постановлением ГКО подписано распоряжение об организации при Академии Наук СССР секретной «Лаборатории № 2» (с 1955 г. – Институт атомной энергии имени И.В.Курчатова; с ноября 1991 г. – ГНЦ Российской Федерации «Курчатовский институт»). С 1988 г. институт возглавляет российский физик, академик Российской Академии Наук Е.П.Велихов (15097).</w:t>
      </w:r>
    </w:p>
    <w:p w14:paraId="44109434" w14:textId="77777777" w:rsidR="00862B97" w:rsidRPr="00D03F3E" w:rsidRDefault="00862B97" w:rsidP="00D03F3E">
      <w:pPr>
        <w:spacing w:after="0" w:line="240" w:lineRule="auto"/>
        <w:jc w:val="both"/>
        <w:rPr>
          <w:rFonts w:ascii="Times New Roman" w:hAnsi="Times New Roman"/>
          <w:color w:val="000000" w:themeColor="text1"/>
          <w:sz w:val="16"/>
          <w:szCs w:val="16"/>
        </w:rPr>
      </w:pPr>
    </w:p>
    <w:p w14:paraId="4B125D3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A8DF3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C42389"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в 1943 году утреннее сообщение Совинформбюро:</w:t>
      </w:r>
    </w:p>
    <w:p w14:paraId="49942007"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12 апреля на фронтах существенных изменений не произошло.</w:t>
      </w:r>
    </w:p>
    <w:p w14:paraId="529D7D8A"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противник предпринял несколько атак. Наши части отбросили гитлеровцев и прочно удерживают свои рубежи. Огнём артиллерии уничтожено 11 автомашин, разрушено 3 блиндажа, подавлен огонь 6 орудий и шестиствольного миномёта, рассеяно и частью уничтожено до двух рот пехоты противника.</w:t>
      </w:r>
    </w:p>
    <w:p w14:paraId="7EE5FE88"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вели боевую разведку. Взвод под командованием тов. Любила ночью проник в расположение противника и атаковал немецкие траншеи. Гранатами и огнём из автоматов разведчики уничтожили 20 немецких солдат и одного офицера, захватили пулемёт, винтовки и другие трофеи.</w:t>
      </w:r>
    </w:p>
    <w:p w14:paraId="58629AB8"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наше подразделение ночью ворвалось в окопы противника и овладело ими. Уничтожено до 100 немецких солдат и офицеров. Захвачены у противника 2 противотанковых орудия, 7 пулемётов, несколько десятков винтовок и боеприпасы.</w:t>
      </w:r>
    </w:p>
    <w:p w14:paraId="59D673A9"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артиллеристы под командованием тт. Глаголева и Аршинцева разрушили12 блиндажей и дзотов и уничтожили 22 огневые точки противника. Гвардейцы-миномётчики совершили огневой налёт на скопление немецкой пехоты, рассеяли и частью уничтожили до трёх рот гитлеровцев.</w:t>
      </w:r>
    </w:p>
    <w:p w14:paraId="13200D0A"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Могилёвской области, за месяц боевых действий разгромил 8 немецких полицейских участков и истребил свыше 100 гитлеровцев. Кроме того, партизаны уничтожили 7 автомашин, взорвали 2 железнодорожных и 5 шоссейных мостов и разрушили 2 километра телефонной линии связи. Группа полесских партизан в марте месяце пустила под откос 4 железнодорожных эшелона противника. В результате крушений убито много немецко-фашистских оккупантов</w:t>
      </w:r>
    </w:p>
    <w:p w14:paraId="4FA0E8A9"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Семь месяцев хозяйничали немцы в станице Славянская, Краснодарского края. За это время немецко-фашистские мерзавцы замучили и расстреляли более трёх тысяч мирных жителей. Гитлеровские разбойники разграбили станицу. Нет такой семьи, которая не пострадала бы от фашистских бандитов. Немцы разрушили многие жилые дома, два винных завода, маслозавод, рисовый завод, мельницу, водокачку, разгромили пять школ и сельхозтехникум. Немецкие солдаты и офицеры среди бела дня врывались в дома, насиловали женщин и девушек. Многих девушек насильники заразили венерическими болезнями. 14-летняя Мария Уварова, </w:t>
      </w:r>
      <w:r w:rsidRPr="00D03F3E">
        <w:rPr>
          <w:rFonts w:ascii="Times New Roman" w:hAnsi="Times New Roman"/>
          <w:color w:val="000000" w:themeColor="text1"/>
          <w:sz w:val="16"/>
          <w:szCs w:val="16"/>
        </w:rPr>
        <w:lastRenderedPageBreak/>
        <w:t>изнасилованная немцами, покончила жизнь самоубийством. Отступая из станицы, немцы под угрозой расстрела угнали в рабство несколько тысяч жителей станицы.» (15097).</w:t>
      </w:r>
    </w:p>
    <w:p w14:paraId="6B0A85CA" w14:textId="77777777" w:rsidR="00862B97" w:rsidRPr="00D03F3E" w:rsidRDefault="00862B97" w:rsidP="00D03F3E">
      <w:pPr>
        <w:spacing w:after="0" w:line="240" w:lineRule="auto"/>
        <w:jc w:val="both"/>
        <w:rPr>
          <w:rFonts w:ascii="Times New Roman" w:hAnsi="Times New Roman"/>
          <w:color w:val="000000" w:themeColor="text1"/>
          <w:sz w:val="16"/>
          <w:szCs w:val="16"/>
        </w:rPr>
      </w:pPr>
    </w:p>
    <w:p w14:paraId="0DBB93E4"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в 1943 году вечернее сообщение Совинформбюро:</w:t>
      </w:r>
    </w:p>
    <w:p w14:paraId="70254EE4"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12 апреля на фронтах существенных изменений не произошло.</w:t>
      </w:r>
    </w:p>
    <w:p w14:paraId="62508274"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апреля частями нашей авиации на различных участках фронта уничтожено или повреждено не менее 30 немецких автомашин с войсками и грузами, взорвано 2 склада боеприпасов, подавлен огонь 4 артиллерийских и миномётных батарей противника.</w:t>
      </w:r>
    </w:p>
    <w:p w14:paraId="45A97F45"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участке Волховского фронта противник значительными силами предпринял атаку наших позиций. Первые атаки гитлеровцев были отбиты нашими частями с большими для противника потерями. После пятой атаки, сопровождавшейся сильным артиллерийским огнём, немцам удалось вклиниться в боевые порядки наших частей. Контрударом наши бойцы отбросили противника и полностью восстановили прежнее положение. Все последующие атаки гитлеровцев также отбиты. По неполным данным, на поле боя и в траншеях, где происходил рукопашный бой, подсчитано более 2.000 трупов немецких солдат и офицеров. Несколько десятков гитлеровцев взято в плен. Захвачены трофеи: орудий—3, миномётов— 11, пулемётов — 46, радиостанций — 9, много винтовок и другое военное имущество.</w:t>
      </w:r>
    </w:p>
    <w:p w14:paraId="12845FD2"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наши войска отражали атаки противника. На одном участке подразделению немцев удалось приблизиться к переднему краю советской обороны. Контратакой наши бойцы отбросили противника и уничтожили 160 немецких солдат и офицеров.</w:t>
      </w:r>
    </w:p>
    <w:p w14:paraId="7B5CC863"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артиллерийским и ружейно-пулемётным огнём уничтожили до 200 немецких солдат и офицеров, подавили огонь миномётной и 8 артиллерийских батарей противника.</w:t>
      </w:r>
    </w:p>
    <w:p w14:paraId="31807AA6"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районе Белгорода группа разведчиков под командованием младшего лейтенанта Пивоварова проникла в расположение противника, взорвала два блиндажа и уничтожила 30 гитлеровцев. Захватив документы и оружие убитых, наши бойцы возвратились в свою часть. Другая группа разведчиков пробралась в населённый пункт, занятый немцами. Разведчики установили, что в одном доме собрались немецкие солдаты. Бесшумно сняв вражеские патрули, наши бойцы ворвались в дом и в рукопашной схватке уничтожили 19 гитлеровцев. Захватив нескольких пленных, наши разведчики вернулись в свою часть.</w:t>
      </w:r>
    </w:p>
    <w:p w14:paraId="28EDEF5F"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огнём советской артиллерии уничтожено 2 орудия, разрушено 6 дзотов и взорван склад противника с боеприпасами.</w:t>
      </w:r>
    </w:p>
    <w:p w14:paraId="4B04EAC6"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Несколько отрядов украинских партизан в марте месяце провели ряд успешных боевых операций по разрушению железнодорожного транспорта в тылу противника. Партизаны организовали крушение 18 воинских эшелонов с солдатами, техникой и боеприпасами. Уничтожено до 300 вагонов, 20 автомашин, взорвано 8 железнодорожных мостов. Разгромлено 10 складов с различным военным имуществом. За это же время партизанские отряды уничтожили до 3.000 гитлеровцев. Взяты трофеи: 3 орудия, 28 пулемётов, свыше 1.000 винтовок и около 200 тысяч патронов.</w:t>
      </w:r>
    </w:p>
    <w:p w14:paraId="16AF90EA"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городеШлиссельбурге, Ленинградской области: «Немецко-фашистские захватчики превратилив груду развалин город Шлиссельбург. Когда гитлеровцы захватили город, в нём оставалось более 5 тысяч жителей, не успевших эвакуироваться. За 16 месяцев число жителей уменьшилось до 300 человек. Остальные сосланы в концентрационные лагери, насильно увезены на каторгу в Германию либо расстреляны. Сотни людей погибли от голода и болезней. Из 953 домов, принадлежавших предприятиям, учреждениям, жилищно-коммунальному отделу и частным владельцам, сохранилось всего лишь 72 дома. Немецкие оккупанты разрушили ситценабивную фабрику имени Петра Алексеева, судоремонтный завод, лесопильный завод, уничтожили водопроводную и канализационную сеть. Наиболее ценное оборудование они вывезли в Германию. Разгромлены все культурные учреждения города, сожжены 2 больницы, 2 поликлиники и детские ясли.</w:t>
      </w:r>
    </w:p>
    <w:p w14:paraId="68571275"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Мы призываем всех сынов и дочерей советского народа беспощадно мстить немецким сволочам, уничтожившим русский город Шлиссельбург». Акт подписали: Павловцев, Губкин, Слащева, Мельникова, Войнич, Жукова, Чистоделов, Жуков и Морозова.» (15097).</w:t>
      </w:r>
    </w:p>
    <w:p w14:paraId="6F6C0E35" w14:textId="77777777" w:rsidR="00862B97" w:rsidRPr="00D03F3E" w:rsidRDefault="00862B97" w:rsidP="00D03F3E">
      <w:pPr>
        <w:spacing w:after="0" w:line="240" w:lineRule="auto"/>
        <w:jc w:val="both"/>
        <w:rPr>
          <w:rFonts w:ascii="Times New Roman" w:hAnsi="Times New Roman"/>
          <w:color w:val="000000" w:themeColor="text1"/>
          <w:sz w:val="16"/>
          <w:szCs w:val="16"/>
        </w:rPr>
      </w:pPr>
    </w:p>
    <w:p w14:paraId="1F6A03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 согласно дневниковых записей Валентина Ивановича Аккуратова за 1943 год, ходили на Кенигсберг. Прорвались нормально, но в 100 км от объекта неожиданно встретили фронт циклона. С высоты 7 тыс. м снизились над целью до 500 м, но облачность не пробили. По- видимому, она простиралась до земли, а калибр наших бомб не позволял бросать их ниже 500 м, поскольку был риск попасть под свои же осколки. Зенитный огонь был слабым, истребители в такую погоду не летали, и мы ушли на запасную цель, где и отбомбились. Все самолеты вернулись на базу.</w:t>
      </w:r>
    </w:p>
    <w:p w14:paraId="41090C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Получили задание вновь бомбить военные объекты Кенигсберга. Циклон прошел. Очень интересен огонь крупнокалиберных зениток. Цель поражена. Полет занял 9 ч. 20 мин. Вернулись без потерь.</w:t>
      </w:r>
    </w:p>
    <w:p w14:paraId="1338F4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14-15 апреля. Бомбили объекты в Данциге - порт и заводы. Много прожекторов, значит, в воздухе находились их истребители. Дважды попадали в лучи прожекторов, и нашим стрелкам - подшассийным и башенным - пришлось немало поработать, отражая атаки противника. Все самолеты вернулись на базу. Летали около 10 ч, из них 6 ч на высоте 6 тыс.м.</w:t>
      </w:r>
    </w:p>
    <w:p w14:paraId="0B10C1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20 апреля. Бомбили военные объекты и скопления войск в Тильзите. Море огня, взрывы эшелонов с боеприпасами, огненные трассы зенитных автоматов, ослепительные лучи прожекторов - все это напоминает описание ада у Данте. Все самолеты вернулись на базы. </w:t>
      </w:r>
    </w:p>
    <w:p w14:paraId="1CCD24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Продолжаем уничтожать военные объекты в Восточной Пруссии. Сегодня бомбили Инстербург. Налет был массированным, кроме нашей дивизии, нель обрабатывало около 200 средних бомбардировщиков. От многочисленных пожаров внизу стало светло, как днем, - отчетливо просматривалась станция с пылающими эшелонами, улицы, заводы. Запах гари проникал даже в самолет... На базу не вернулся один бомбардировщик.</w:t>
      </w:r>
    </w:p>
    <w:p w14:paraId="050191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Сегодня опять ходили на Кенигсберг. Наш самолет, по прозвищу "Борода", хоть и не серийный, но быстроходнее и легче остальных, пришел на 20 мин раньше товарищей, чтобы обнаружить цель и развесить над нею осветительные бомбы на парашютах.</w:t>
      </w:r>
    </w:p>
    <w:p w14:paraId="28338F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После налета на Кенигсберг были атакованы группой истребителей. Отстреливаясь, ушли в облака, куда они сунуться не рискнули, видимо, опасаясь столкнуться друг с другом. Уже на подходе к линии фронта, снижаясь в облаках, неожиданно напоролись на сильный заградительный огонь. Вырвались, резко меняя курсы и высоту, но все же получили несколько осколочных пробоин. Обидно за книгу - эпос "Калевала", которую урывками читал на обратном пути, - осколки снаряда пробили ее в нескольких местах, а один, пронзив том, содрал у меня кожу со лба и расцарапал шлемофон (эту книгу, списанную из дивизионной библиотеки, я храню по сей день - как- никак. но она спасла мне жизнь).</w:t>
      </w:r>
    </w:p>
    <w:p w14:paraId="5D1BE4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Ходили на Брест - там разведка обнаружила скопление танков и тяжелой артиллерии. Очевидно, фрицы не ожидали появления здесь нашей дальней авиации - зенитки и прожекторы бездействовали. После массированного налета эшелоны превратились в месиво огня и дыма, которое мы, уходя, видели за 120-140 км.</w:t>
      </w:r>
    </w:p>
    <w:p w14:paraId="12215C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5, 10, 12 мая. Все ночи напролет громим эшелоны на железнодорожных узлах. Не нужно быть стратегом, чтобы по расположению целей понять, что готовится очередное грандиозное наступление. И тщетно фашисты пытаются замаскировать свою технику - мы находим ее в любых условиях.</w:t>
      </w:r>
    </w:p>
    <w:p w14:paraId="24E1B5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секрет прост - противник сам наводил нас на цели. Однажды в ясную, но безлунную ночь, идя над вражеской территорией, мы заметили на черном бархате затаившейся земли вспыхивающие огни. Присмотревшись, поняли, что вспышки соответствуют знакам азбуки Морзе. То были свето- маяки, установленные у крупных населенных пунктов и у естественных ориентиров. Каждый маяк давал вспышки из двух определенных букв, которые менялись раз в десять дней. Перенеся эти данные на карту, наши штурманы быстро и точно выводили свои корабли на заданную цель. Помогали нам чужие огни и при возвращении, особенно на подбитой машине, когда штурманы </w:t>
      </w:r>
    </w:p>
    <w:p w14:paraId="01F530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каждым боевым вылетом росло наше мастерство и понимание тактики врага. К примеру, если год назад мы с опаской думали о том, как бы не встретить над целью аэростаты заграждения, то теперь, отбомбившись, искали их, чтобы сжечь огнем тяжелых пулеметов. Ведь эти аэростаты представляли для нас серьезную угрозу, - обычно спаренные, они поднимали стальной трос на 6 тыс. м. Невидимые в ночи, да еше увешанные электромагнитными дистанционными минами, они были для нас куда опаснее зенитной артиллерии: Вот почему наши стрелки столь беспощадно разделывались с их серебристыми тушами.</w:t>
      </w:r>
    </w:p>
    <w:p w14:paraId="364F9D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успехе боевого вылета огромную роль играло знание штурманами фактической погоды над территорией врага. В частности, необходимо было иметь представление о нижней границе облачности над целью. Однако карты, которые мы получали от синоптиков, были прогностическими, расчетными. До войны было иначе - сводки погоды поступали к синоптикам со всей Европы, и их прогнозы были более или менее точными. С войной поступление такой информации прекратилось. А положение усугублялось тем, что погода над оккупированной нацистами Европой формировалась под воздействием воздушных масс, движущихся с запада и северо-запада (со стороны Бельгии, Голландии и Норвегии, захваченных гитлеровцами еще в 1940 году). Поэтому доразведку погоды пришлось возложить на экипаж самолета-осветителя. Выйдя на цель за полчаса до появления основной массы бомбардировщиков, он передавал на базу сводку, а та сообщала ее штурманам машин, идущих на цель с интервалом в 5-Ю мин. Выпускать разведчика раньше было нежелательно, так как в этом случае терялся фактор внезапности и противник успевал привести в готовность противовоздушную оборону.</w:t>
      </w:r>
    </w:p>
    <w:p w14:paraId="274E21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и здесь нам помогала самоуверенность нацистов. Дело в том, что их аэродромные станции методически передавали для летчиков Люфтваффе сводки погоды на ультракоротких волнах по международному метеокоду. А его отлично знали летчики полярной авиации, работавшие до войны на разведке ледовой обстановки в Арктике. Хотя дальность действия этих радиостанций была небольшой, но это не мешало нам получать полную картину погоды над целью" (12025).</w:t>
      </w:r>
    </w:p>
    <w:p w14:paraId="7B5E1A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1BEB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 на обсуждении в Кремле возобладал оборонительный вариант как стратегический на 1943. Он поддерживался Г.К.Ж. и Василевским, а Рокосовский был за наступательный (2070,88).</w:t>
      </w:r>
    </w:p>
    <w:p w14:paraId="1E1348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ВВС получили из Генштаба ориентировку и стали создавать сильную авиагруппировку и изучать противника (340,136).</w:t>
      </w:r>
    </w:p>
    <w:p w14:paraId="64D406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0EC5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12 апреля 1943 г. Ставкой было принято решение о преднамеренной обороне, имеющей целью измотать про</w:t>
      </w:r>
      <w:r w:rsidRPr="00D03F3E">
        <w:rPr>
          <w:rFonts w:ascii="Times New Roman" w:hAnsi="Times New Roman"/>
          <w:color w:val="000000" w:themeColor="text1"/>
          <w:sz w:val="16"/>
          <w:szCs w:val="16"/>
        </w:rPr>
        <w:softHyphen/>
        <w:t>тивника активной глубокоэшелонированной обороной, обескровить его ударные группировки и резервы, а затем, перей</w:t>
      </w:r>
      <w:r w:rsidRPr="00D03F3E">
        <w:rPr>
          <w:rFonts w:ascii="Times New Roman" w:hAnsi="Times New Roman"/>
          <w:color w:val="000000" w:themeColor="text1"/>
          <w:sz w:val="16"/>
          <w:szCs w:val="16"/>
        </w:rPr>
        <w:softHyphen/>
        <w:t>дя в контрнаступление, разгромить их. В соответствии с этим командование, Военный совет и штаб ВВС КА, получив ориентировку Генерального штаба, на</w:t>
      </w:r>
      <w:r w:rsidRPr="00D03F3E">
        <w:rPr>
          <w:rFonts w:ascii="Times New Roman" w:hAnsi="Times New Roman"/>
          <w:color w:val="000000" w:themeColor="text1"/>
          <w:sz w:val="16"/>
          <w:szCs w:val="16"/>
        </w:rPr>
        <w:softHyphen/>
        <w:t>чали подготовку к предстоящим сраже</w:t>
      </w:r>
      <w:r w:rsidRPr="00D03F3E">
        <w:rPr>
          <w:rFonts w:ascii="Times New Roman" w:hAnsi="Times New Roman"/>
          <w:color w:val="000000" w:themeColor="text1"/>
          <w:sz w:val="16"/>
          <w:szCs w:val="16"/>
        </w:rPr>
        <w:softHyphen/>
        <w:t>ниям. Она выражалась, прежде всего, в создании крупной авиационной группи</w:t>
      </w:r>
      <w:r w:rsidRPr="00D03F3E">
        <w:rPr>
          <w:rFonts w:ascii="Times New Roman" w:hAnsi="Times New Roman"/>
          <w:color w:val="000000" w:themeColor="text1"/>
          <w:sz w:val="16"/>
          <w:szCs w:val="16"/>
        </w:rPr>
        <w:softHyphen/>
        <w:t>ровки в районе Курского выступа, в под</w:t>
      </w:r>
      <w:r w:rsidRPr="00D03F3E">
        <w:rPr>
          <w:rFonts w:ascii="Times New Roman" w:hAnsi="Times New Roman"/>
          <w:color w:val="000000" w:themeColor="text1"/>
          <w:sz w:val="16"/>
          <w:szCs w:val="16"/>
        </w:rPr>
        <w:softHyphen/>
        <w:t>готовке аэродромной сети, в укомплек</w:t>
      </w:r>
      <w:r w:rsidRPr="00D03F3E">
        <w:rPr>
          <w:rFonts w:ascii="Times New Roman" w:hAnsi="Times New Roman"/>
          <w:color w:val="000000" w:themeColor="text1"/>
          <w:sz w:val="16"/>
          <w:szCs w:val="16"/>
        </w:rPr>
        <w:softHyphen/>
        <w:t>товании частей и соединений личным составом и техникой. Вместе с этим Ставкой было решено активными дей</w:t>
      </w:r>
      <w:r w:rsidRPr="00D03F3E">
        <w:rPr>
          <w:rFonts w:ascii="Times New Roman" w:hAnsi="Times New Roman"/>
          <w:color w:val="000000" w:themeColor="text1"/>
          <w:sz w:val="16"/>
          <w:szCs w:val="16"/>
        </w:rPr>
        <w:softHyphen/>
        <w:t>ствиями авиацией нарушить планомер</w:t>
      </w:r>
      <w:r w:rsidRPr="00D03F3E">
        <w:rPr>
          <w:rFonts w:ascii="Times New Roman" w:hAnsi="Times New Roman"/>
          <w:color w:val="000000" w:themeColor="text1"/>
          <w:sz w:val="16"/>
          <w:szCs w:val="16"/>
        </w:rPr>
        <w:softHyphen/>
        <w:t>ную подготовку вермахта к летним опе</w:t>
      </w:r>
      <w:r w:rsidRPr="00D03F3E">
        <w:rPr>
          <w:rFonts w:ascii="Times New Roman" w:hAnsi="Times New Roman"/>
          <w:color w:val="000000" w:themeColor="text1"/>
          <w:sz w:val="16"/>
          <w:szCs w:val="16"/>
        </w:rPr>
        <w:softHyphen/>
        <w:t>рациям.</w:t>
      </w:r>
    </w:p>
    <w:p w14:paraId="12C41A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34E2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 в Ставке состоялось совещание, на котором было принято предварительное решение о переходе наших войск к преднамеренной обороне. Большое беспокойство у Сгавки вызывала способность войск выдержать удар танковых группировок противника, оснащенных к ТОМУ же новыми тяжелыми танками. По указанию ГКО в срочном порядке различными наркоматами были подготовлены предложения по разработке мероприятии. направленных на усиление противотанковой обороны (6001,21).</w:t>
      </w:r>
    </w:p>
    <w:p w14:paraId="6FEA5A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9AE5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1943г. Став</w:t>
      </w:r>
      <w:r w:rsidRPr="00D03F3E">
        <w:rPr>
          <w:rFonts w:ascii="Times New Roman" w:hAnsi="Times New Roman"/>
          <w:color w:val="000000" w:themeColor="text1"/>
          <w:sz w:val="16"/>
          <w:szCs w:val="16"/>
        </w:rPr>
        <w:softHyphen/>
        <w:t>кой было принято решение о предна</w:t>
      </w:r>
      <w:r w:rsidRPr="00D03F3E">
        <w:rPr>
          <w:rFonts w:ascii="Times New Roman" w:hAnsi="Times New Roman"/>
          <w:color w:val="000000" w:themeColor="text1"/>
          <w:sz w:val="16"/>
          <w:szCs w:val="16"/>
        </w:rPr>
        <w:softHyphen/>
        <w:t>меренной обороне, имеющей целью измотать противника активной глубо</w:t>
      </w:r>
      <w:r w:rsidRPr="00D03F3E">
        <w:rPr>
          <w:rFonts w:ascii="Times New Roman" w:hAnsi="Times New Roman"/>
          <w:color w:val="000000" w:themeColor="text1"/>
          <w:sz w:val="16"/>
          <w:szCs w:val="16"/>
        </w:rPr>
        <w:softHyphen/>
        <w:t>коэшелонированной обороной, обес</w:t>
      </w:r>
      <w:r w:rsidRPr="00D03F3E">
        <w:rPr>
          <w:rFonts w:ascii="Times New Roman" w:hAnsi="Times New Roman"/>
          <w:color w:val="000000" w:themeColor="text1"/>
          <w:sz w:val="16"/>
          <w:szCs w:val="16"/>
        </w:rPr>
        <w:softHyphen/>
        <w:t>кровить его ударные группировки и ре</w:t>
      </w:r>
      <w:r w:rsidRPr="00D03F3E">
        <w:rPr>
          <w:rFonts w:ascii="Times New Roman" w:hAnsi="Times New Roman"/>
          <w:color w:val="000000" w:themeColor="text1"/>
          <w:sz w:val="16"/>
          <w:szCs w:val="16"/>
        </w:rPr>
        <w:softHyphen/>
        <w:t>зервы, а затем, перейдя в контрнас</w:t>
      </w:r>
      <w:r w:rsidRPr="00D03F3E">
        <w:rPr>
          <w:rFonts w:ascii="Times New Roman" w:hAnsi="Times New Roman"/>
          <w:color w:val="000000" w:themeColor="text1"/>
          <w:sz w:val="16"/>
          <w:szCs w:val="16"/>
        </w:rPr>
        <w:softHyphen/>
        <w:t>тупление, разгромить их. Вместе с этим Ставкой было реше</w:t>
      </w:r>
      <w:r w:rsidRPr="00D03F3E">
        <w:rPr>
          <w:rFonts w:ascii="Times New Roman" w:hAnsi="Times New Roman"/>
          <w:color w:val="000000" w:themeColor="text1"/>
          <w:sz w:val="16"/>
          <w:szCs w:val="16"/>
        </w:rPr>
        <w:softHyphen/>
        <w:t>но активными действиями авиации на</w:t>
      </w:r>
      <w:r w:rsidRPr="00D03F3E">
        <w:rPr>
          <w:rFonts w:ascii="Times New Roman" w:hAnsi="Times New Roman"/>
          <w:color w:val="000000" w:themeColor="text1"/>
          <w:sz w:val="16"/>
          <w:szCs w:val="16"/>
        </w:rPr>
        <w:softHyphen/>
        <w:t>рушить планомерную подготовку вер</w:t>
      </w:r>
      <w:r w:rsidRPr="00D03F3E">
        <w:rPr>
          <w:rFonts w:ascii="Times New Roman" w:hAnsi="Times New Roman"/>
          <w:color w:val="000000" w:themeColor="text1"/>
          <w:sz w:val="16"/>
          <w:szCs w:val="16"/>
        </w:rPr>
        <w:softHyphen/>
        <w:t>махта к летним операциям. С этой целью Верховный Главноко</w:t>
      </w:r>
      <w:r w:rsidRPr="00D03F3E">
        <w:rPr>
          <w:rFonts w:ascii="Times New Roman" w:hAnsi="Times New Roman"/>
          <w:color w:val="000000" w:themeColor="text1"/>
          <w:sz w:val="16"/>
          <w:szCs w:val="16"/>
        </w:rPr>
        <w:softHyphen/>
        <w:t>мандующий И.В. Сталин и Ставка ВГК 4 мая поставили перед Военными со</w:t>
      </w:r>
      <w:r w:rsidRPr="00D03F3E">
        <w:rPr>
          <w:rFonts w:ascii="Times New Roman" w:hAnsi="Times New Roman"/>
          <w:color w:val="000000" w:themeColor="text1"/>
          <w:sz w:val="16"/>
          <w:szCs w:val="16"/>
        </w:rPr>
        <w:softHyphen/>
        <w:t>ветами фронтов и командованием ВВС КА задачи по уничтожению немецких самолетов на аэродромах базирова</w:t>
      </w:r>
      <w:r w:rsidRPr="00D03F3E">
        <w:rPr>
          <w:rFonts w:ascii="Times New Roman" w:hAnsi="Times New Roman"/>
          <w:color w:val="000000" w:themeColor="text1"/>
          <w:sz w:val="16"/>
          <w:szCs w:val="16"/>
        </w:rPr>
        <w:softHyphen/>
        <w:t>ния и в воздухе, срыву железнодорож</w:t>
      </w:r>
      <w:r w:rsidRPr="00D03F3E">
        <w:rPr>
          <w:rFonts w:ascii="Times New Roman" w:hAnsi="Times New Roman"/>
          <w:color w:val="000000" w:themeColor="text1"/>
          <w:sz w:val="16"/>
          <w:szCs w:val="16"/>
        </w:rPr>
        <w:softHyphen/>
        <w:t>ных перевозок и дезорганизации автомобильного движения на дорогах. Поскольку, по данным агентурной разведки, наступление противника ожи</w:t>
      </w:r>
      <w:r w:rsidRPr="00D03F3E">
        <w:rPr>
          <w:rFonts w:ascii="Times New Roman" w:hAnsi="Times New Roman"/>
          <w:color w:val="000000" w:themeColor="text1"/>
          <w:sz w:val="16"/>
          <w:szCs w:val="16"/>
        </w:rPr>
        <w:softHyphen/>
        <w:t>далось 10-12 мая 1943г., то опера</w:t>
      </w:r>
      <w:r w:rsidRPr="00D03F3E">
        <w:rPr>
          <w:rFonts w:ascii="Times New Roman" w:hAnsi="Times New Roman"/>
          <w:color w:val="000000" w:themeColor="text1"/>
          <w:sz w:val="16"/>
          <w:szCs w:val="16"/>
        </w:rPr>
        <w:softHyphen/>
        <w:t>ция по уничтожению немецких само</w:t>
      </w:r>
      <w:r w:rsidRPr="00D03F3E">
        <w:rPr>
          <w:rFonts w:ascii="Times New Roman" w:hAnsi="Times New Roman"/>
          <w:color w:val="000000" w:themeColor="text1"/>
          <w:sz w:val="16"/>
          <w:szCs w:val="16"/>
        </w:rPr>
        <w:softHyphen/>
        <w:t>летов на аэродромах была назначена на 6 мая 1943г. Время первого масси</w:t>
      </w:r>
      <w:r w:rsidRPr="00D03F3E">
        <w:rPr>
          <w:rFonts w:ascii="Times New Roman" w:hAnsi="Times New Roman"/>
          <w:color w:val="000000" w:themeColor="text1"/>
          <w:sz w:val="16"/>
          <w:szCs w:val="16"/>
        </w:rPr>
        <w:softHyphen/>
        <w:t>рованного удара по аэродромам для всех воздушных армий, привлекавших</w:t>
      </w:r>
      <w:r w:rsidRPr="00D03F3E">
        <w:rPr>
          <w:rFonts w:ascii="Times New Roman" w:hAnsi="Times New Roman"/>
          <w:color w:val="000000" w:themeColor="text1"/>
          <w:sz w:val="16"/>
          <w:szCs w:val="16"/>
        </w:rPr>
        <w:softHyphen/>
        <w:t>ся для проведения воздушной опера</w:t>
      </w:r>
      <w:r w:rsidRPr="00D03F3E">
        <w:rPr>
          <w:rFonts w:ascii="Times New Roman" w:hAnsi="Times New Roman"/>
          <w:color w:val="000000" w:themeColor="text1"/>
          <w:sz w:val="16"/>
          <w:szCs w:val="16"/>
        </w:rPr>
        <w:softHyphen/>
        <w:t>ции, определялось с 4.30 до 5.00. Пла</w:t>
      </w:r>
      <w:r w:rsidRPr="00D03F3E">
        <w:rPr>
          <w:rFonts w:ascii="Times New Roman" w:hAnsi="Times New Roman"/>
          <w:color w:val="000000" w:themeColor="text1"/>
          <w:sz w:val="16"/>
          <w:szCs w:val="16"/>
        </w:rPr>
        <w:softHyphen/>
        <w:t>нировалось держать авиацию против</w:t>
      </w:r>
      <w:r w:rsidRPr="00D03F3E">
        <w:rPr>
          <w:rFonts w:ascii="Times New Roman" w:hAnsi="Times New Roman"/>
          <w:color w:val="000000" w:themeColor="text1"/>
          <w:sz w:val="16"/>
          <w:szCs w:val="16"/>
        </w:rPr>
        <w:softHyphen/>
        <w:t>ника под боевым воздействием на про</w:t>
      </w:r>
      <w:r w:rsidRPr="00D03F3E">
        <w:rPr>
          <w:rFonts w:ascii="Times New Roman" w:hAnsi="Times New Roman"/>
          <w:color w:val="000000" w:themeColor="text1"/>
          <w:sz w:val="16"/>
          <w:szCs w:val="16"/>
        </w:rPr>
        <w:softHyphen/>
        <w:t>тяжении трех суток, затем после двух</w:t>
      </w:r>
      <w:r w:rsidRPr="00D03F3E">
        <w:rPr>
          <w:rFonts w:ascii="Times New Roman" w:hAnsi="Times New Roman"/>
          <w:color w:val="000000" w:themeColor="text1"/>
          <w:sz w:val="16"/>
          <w:szCs w:val="16"/>
        </w:rPr>
        <w:softHyphen/>
        <w:t>суточного перерыва вновь трое суток действовать по аэродромам. На проведение операции команду</w:t>
      </w:r>
      <w:r w:rsidRPr="00D03F3E">
        <w:rPr>
          <w:rFonts w:ascii="Times New Roman" w:hAnsi="Times New Roman"/>
          <w:color w:val="000000" w:themeColor="text1"/>
          <w:sz w:val="16"/>
          <w:szCs w:val="16"/>
        </w:rPr>
        <w:softHyphen/>
        <w:t>ющему ВВС КА разрешалось израс</w:t>
      </w:r>
      <w:r w:rsidRPr="00D03F3E">
        <w:rPr>
          <w:rFonts w:ascii="Times New Roman" w:hAnsi="Times New Roman"/>
          <w:color w:val="000000" w:themeColor="text1"/>
          <w:sz w:val="16"/>
          <w:szCs w:val="16"/>
        </w:rPr>
        <w:softHyphen/>
        <w:t>ходовать до 1 500 самолето-вылетов штурмовой, истребительной и бомбар</w:t>
      </w:r>
      <w:r w:rsidRPr="00D03F3E">
        <w:rPr>
          <w:rFonts w:ascii="Times New Roman" w:hAnsi="Times New Roman"/>
          <w:color w:val="000000" w:themeColor="text1"/>
          <w:sz w:val="16"/>
          <w:szCs w:val="16"/>
        </w:rPr>
        <w:softHyphen/>
        <w:t>дировочной авиации и до 400 самоле</w:t>
      </w:r>
      <w:r w:rsidRPr="00D03F3E">
        <w:rPr>
          <w:rFonts w:ascii="Times New Roman" w:hAnsi="Times New Roman"/>
          <w:color w:val="000000" w:themeColor="text1"/>
          <w:sz w:val="16"/>
          <w:szCs w:val="16"/>
        </w:rPr>
        <w:softHyphen/>
        <w:t>то-вылетов ночных бомбардировщиков из состава каждой воздушной армии, задействованной в операции. Одновременно Ставка ВГК в своей директиве от 5.05.43г., помимо укреп</w:t>
      </w:r>
      <w:r w:rsidRPr="00D03F3E">
        <w:rPr>
          <w:rFonts w:ascii="Times New Roman" w:hAnsi="Times New Roman"/>
          <w:color w:val="000000" w:themeColor="text1"/>
          <w:sz w:val="16"/>
          <w:szCs w:val="16"/>
        </w:rPr>
        <w:softHyphen/>
        <w:t>ления обороны и усиления бдительно</w:t>
      </w:r>
      <w:r w:rsidRPr="00D03F3E">
        <w:rPr>
          <w:rFonts w:ascii="Times New Roman" w:hAnsi="Times New Roman"/>
          <w:color w:val="000000" w:themeColor="text1"/>
          <w:sz w:val="16"/>
          <w:szCs w:val="16"/>
        </w:rPr>
        <w:softHyphen/>
        <w:t>сти войск, потребовала от командую</w:t>
      </w:r>
      <w:r w:rsidRPr="00D03F3E">
        <w:rPr>
          <w:rFonts w:ascii="Times New Roman" w:hAnsi="Times New Roman"/>
          <w:color w:val="000000" w:themeColor="text1"/>
          <w:sz w:val="16"/>
          <w:szCs w:val="16"/>
        </w:rPr>
        <w:softHyphen/>
        <w:t>щих Брянским, Центральным, Воронеж</w:t>
      </w:r>
      <w:r w:rsidRPr="00D03F3E">
        <w:rPr>
          <w:rFonts w:ascii="Times New Roman" w:hAnsi="Times New Roman"/>
          <w:color w:val="000000" w:themeColor="text1"/>
          <w:sz w:val="16"/>
          <w:szCs w:val="16"/>
        </w:rPr>
        <w:softHyphen/>
        <w:t>ским и Юго-Западным фронтами обес</w:t>
      </w:r>
      <w:r w:rsidRPr="00D03F3E">
        <w:rPr>
          <w:rFonts w:ascii="Times New Roman" w:hAnsi="Times New Roman"/>
          <w:color w:val="000000" w:themeColor="text1"/>
          <w:sz w:val="16"/>
          <w:szCs w:val="16"/>
        </w:rPr>
        <w:softHyphen/>
        <w:t>печить полное выполнение плана ис</w:t>
      </w:r>
      <w:r w:rsidRPr="00D03F3E">
        <w:rPr>
          <w:rFonts w:ascii="Times New Roman" w:hAnsi="Times New Roman"/>
          <w:color w:val="000000" w:themeColor="text1"/>
          <w:sz w:val="16"/>
          <w:szCs w:val="16"/>
        </w:rPr>
        <w:softHyphen/>
        <w:t>пользования фронтовой авиации в пре</w:t>
      </w:r>
      <w:r w:rsidRPr="00D03F3E">
        <w:rPr>
          <w:rFonts w:ascii="Times New Roman" w:hAnsi="Times New Roman"/>
          <w:color w:val="000000" w:themeColor="text1"/>
          <w:sz w:val="16"/>
          <w:szCs w:val="16"/>
        </w:rPr>
        <w:softHyphen/>
        <w:t>делах своего фронта для уничтожения авиасил противника и срыва всех ви</w:t>
      </w:r>
      <w:r w:rsidRPr="00D03F3E">
        <w:rPr>
          <w:rFonts w:ascii="Times New Roman" w:hAnsi="Times New Roman"/>
          <w:color w:val="000000" w:themeColor="text1"/>
          <w:sz w:val="16"/>
          <w:szCs w:val="16"/>
        </w:rPr>
        <w:softHyphen/>
        <w:t>дов его перевозок: "В эти дни от авиа</w:t>
      </w:r>
      <w:r w:rsidRPr="00D03F3E">
        <w:rPr>
          <w:rFonts w:ascii="Times New Roman" w:hAnsi="Times New Roman"/>
          <w:color w:val="000000" w:themeColor="text1"/>
          <w:sz w:val="16"/>
          <w:szCs w:val="16"/>
        </w:rPr>
        <w:softHyphen/>
        <w:t>ции надо выжать все, чтобы выполнить эту задачу и тем самым сорвать под</w:t>
      </w:r>
      <w:r w:rsidRPr="00D03F3E">
        <w:rPr>
          <w:rFonts w:ascii="Times New Roman" w:hAnsi="Times New Roman"/>
          <w:color w:val="000000" w:themeColor="text1"/>
          <w:sz w:val="16"/>
          <w:szCs w:val="16"/>
        </w:rPr>
        <w:softHyphen/>
        <w:t>готовку противника к наступлению". В соответствии с директивой Став</w:t>
      </w:r>
      <w:r w:rsidRPr="00D03F3E">
        <w:rPr>
          <w:rFonts w:ascii="Times New Roman" w:hAnsi="Times New Roman"/>
          <w:color w:val="000000" w:themeColor="text1"/>
          <w:sz w:val="16"/>
          <w:szCs w:val="16"/>
        </w:rPr>
        <w:softHyphen/>
        <w:t>ки ВГК штаб ВВС КА дал конкретные указания командующим воздушными армиями по выполнению поставленных задач. Действия воздушных армий направ</w:t>
      </w:r>
      <w:r w:rsidRPr="00D03F3E">
        <w:rPr>
          <w:rFonts w:ascii="Times New Roman" w:hAnsi="Times New Roman"/>
          <w:color w:val="000000" w:themeColor="text1"/>
          <w:sz w:val="16"/>
          <w:szCs w:val="16"/>
        </w:rPr>
        <w:softHyphen/>
        <w:t>лялись против основных авиационных группировок 4-го воздушного флота и авиагруппы "Ост-Митте" (с июня 6-й ВФ). От командующих воздушными армиями требовалось: "6.05.43г. в пе</w:t>
      </w:r>
      <w:r w:rsidRPr="00D03F3E">
        <w:rPr>
          <w:rFonts w:ascii="Times New Roman" w:hAnsi="Times New Roman"/>
          <w:color w:val="000000" w:themeColor="text1"/>
          <w:sz w:val="16"/>
          <w:szCs w:val="16"/>
        </w:rPr>
        <w:softHyphen/>
        <w:t>риод 4.30-5.00 подвергнуть одновре</w:t>
      </w:r>
      <w:r w:rsidRPr="00D03F3E">
        <w:rPr>
          <w:rFonts w:ascii="Times New Roman" w:hAnsi="Times New Roman"/>
          <w:color w:val="000000" w:themeColor="text1"/>
          <w:sz w:val="16"/>
          <w:szCs w:val="16"/>
        </w:rPr>
        <w:softHyphen/>
        <w:t>менному нападению все основные аэродромы противника (на которых установлено скопление самолетов) с та</w:t>
      </w:r>
      <w:r w:rsidRPr="00D03F3E">
        <w:rPr>
          <w:rFonts w:ascii="Times New Roman" w:hAnsi="Times New Roman"/>
          <w:color w:val="000000" w:themeColor="text1"/>
          <w:sz w:val="16"/>
          <w:szCs w:val="16"/>
        </w:rPr>
        <w:softHyphen/>
        <w:t>ким расчетом, чтобы основную массу авиации противника подавить в пер</w:t>
      </w:r>
      <w:r w:rsidRPr="00D03F3E">
        <w:rPr>
          <w:rFonts w:ascii="Times New Roman" w:hAnsi="Times New Roman"/>
          <w:color w:val="000000" w:themeColor="text1"/>
          <w:sz w:val="16"/>
          <w:szCs w:val="16"/>
        </w:rPr>
        <w:softHyphen/>
        <w:t>вый же день". Для этого ставилась за</w:t>
      </w:r>
      <w:r w:rsidRPr="00D03F3E">
        <w:rPr>
          <w:rFonts w:ascii="Times New Roman" w:hAnsi="Times New Roman"/>
          <w:color w:val="000000" w:themeColor="text1"/>
          <w:sz w:val="16"/>
          <w:szCs w:val="16"/>
        </w:rPr>
        <w:softHyphen/>
        <w:t>дача нанести повторные удары по всем атакованным аэродромам и разруше</w:t>
      </w:r>
      <w:r w:rsidRPr="00D03F3E">
        <w:rPr>
          <w:rFonts w:ascii="Times New Roman" w:hAnsi="Times New Roman"/>
          <w:color w:val="000000" w:themeColor="text1"/>
          <w:sz w:val="16"/>
          <w:szCs w:val="16"/>
        </w:rPr>
        <w:softHyphen/>
        <w:t>ния поддерживать действиями ночной бомбардировочной авиации. В течение следующих двух суток тре</w:t>
      </w:r>
      <w:r w:rsidRPr="00D03F3E">
        <w:rPr>
          <w:rFonts w:ascii="Times New Roman" w:hAnsi="Times New Roman"/>
          <w:color w:val="000000" w:themeColor="text1"/>
          <w:sz w:val="16"/>
          <w:szCs w:val="16"/>
        </w:rPr>
        <w:softHyphen/>
        <w:t>бовалось, "...не снижая упорства и на</w:t>
      </w:r>
      <w:r w:rsidRPr="00D03F3E">
        <w:rPr>
          <w:rFonts w:ascii="Times New Roman" w:hAnsi="Times New Roman"/>
          <w:color w:val="000000" w:themeColor="text1"/>
          <w:sz w:val="16"/>
          <w:szCs w:val="16"/>
        </w:rPr>
        <w:softHyphen/>
        <w:t>стойчивости, продолжать поражение авиации противника, как на основных аэродромах, так и на вновь обнару</w:t>
      </w:r>
      <w:r w:rsidRPr="00D03F3E">
        <w:rPr>
          <w:rFonts w:ascii="Times New Roman" w:hAnsi="Times New Roman"/>
          <w:color w:val="000000" w:themeColor="text1"/>
          <w:sz w:val="16"/>
          <w:szCs w:val="16"/>
        </w:rPr>
        <w:softHyphen/>
        <w:t>женных воздушной разведкой в отве</w:t>
      </w:r>
      <w:r w:rsidRPr="00D03F3E">
        <w:rPr>
          <w:rFonts w:ascii="Times New Roman" w:hAnsi="Times New Roman"/>
          <w:color w:val="000000" w:themeColor="text1"/>
          <w:sz w:val="16"/>
          <w:szCs w:val="16"/>
        </w:rPr>
        <w:softHyphen/>
        <w:t>денном районе". После двухсуточного перерыва авиационные удары по немецким аэро</w:t>
      </w:r>
      <w:r w:rsidRPr="00D03F3E">
        <w:rPr>
          <w:rFonts w:ascii="Times New Roman" w:hAnsi="Times New Roman"/>
          <w:color w:val="000000" w:themeColor="text1"/>
          <w:sz w:val="16"/>
          <w:szCs w:val="16"/>
        </w:rPr>
        <w:softHyphen/>
        <w:t>дромам возобновлялись и продолжа</w:t>
      </w:r>
      <w:r w:rsidRPr="00D03F3E">
        <w:rPr>
          <w:rFonts w:ascii="Times New Roman" w:hAnsi="Times New Roman"/>
          <w:color w:val="000000" w:themeColor="text1"/>
          <w:sz w:val="16"/>
          <w:szCs w:val="16"/>
        </w:rPr>
        <w:softHyphen/>
        <w:t>лись также в течение трех суток. "Удар по аэродромам наносить крупными группами, выделяя из их со</w:t>
      </w:r>
      <w:r w:rsidRPr="00D03F3E">
        <w:rPr>
          <w:rFonts w:ascii="Times New Roman" w:hAnsi="Times New Roman"/>
          <w:color w:val="000000" w:themeColor="text1"/>
          <w:sz w:val="16"/>
          <w:szCs w:val="16"/>
        </w:rPr>
        <w:softHyphen/>
        <w:t>става необходимое количество авиа</w:t>
      </w:r>
      <w:r w:rsidRPr="00D03F3E">
        <w:rPr>
          <w:rFonts w:ascii="Times New Roman" w:hAnsi="Times New Roman"/>
          <w:color w:val="000000" w:themeColor="text1"/>
          <w:sz w:val="16"/>
          <w:szCs w:val="16"/>
        </w:rPr>
        <w:softHyphen/>
        <w:t>ционных средств для по</w:t>
      </w:r>
      <w:r w:rsidRPr="00D03F3E">
        <w:rPr>
          <w:rFonts w:ascii="Times New Roman" w:hAnsi="Times New Roman"/>
          <w:color w:val="000000" w:themeColor="text1"/>
          <w:sz w:val="16"/>
          <w:szCs w:val="16"/>
        </w:rPr>
        <w:softHyphen/>
        <w:t>давления зенитной оборо</w:t>
      </w:r>
      <w:r w:rsidRPr="00D03F3E">
        <w:rPr>
          <w:rFonts w:ascii="Times New Roman" w:hAnsi="Times New Roman"/>
          <w:color w:val="000000" w:themeColor="text1"/>
          <w:sz w:val="16"/>
          <w:szCs w:val="16"/>
        </w:rPr>
        <w:softHyphen/>
        <w:t>ны противника. Штурмо</w:t>
      </w:r>
      <w:r w:rsidRPr="00D03F3E">
        <w:rPr>
          <w:rFonts w:ascii="Times New Roman" w:hAnsi="Times New Roman"/>
          <w:color w:val="000000" w:themeColor="text1"/>
          <w:sz w:val="16"/>
          <w:szCs w:val="16"/>
        </w:rPr>
        <w:softHyphen/>
        <w:t>викам, бомбардировщи</w:t>
      </w:r>
      <w:r w:rsidRPr="00D03F3E">
        <w:rPr>
          <w:rFonts w:ascii="Times New Roman" w:hAnsi="Times New Roman"/>
          <w:color w:val="000000" w:themeColor="text1"/>
          <w:sz w:val="16"/>
          <w:szCs w:val="16"/>
        </w:rPr>
        <w:softHyphen/>
        <w:t>кам при нападении на аэродромы в составе бомбозаправок иметь: 60% осколочных, 30% за</w:t>
      </w:r>
      <w:r w:rsidRPr="00D03F3E">
        <w:rPr>
          <w:rFonts w:ascii="Times New Roman" w:hAnsi="Times New Roman"/>
          <w:color w:val="000000" w:themeColor="text1"/>
          <w:sz w:val="16"/>
          <w:szCs w:val="16"/>
        </w:rPr>
        <w:softHyphen/>
        <w:t>жигательных и 10% фугас</w:t>
      </w:r>
      <w:r w:rsidRPr="00D03F3E">
        <w:rPr>
          <w:rFonts w:ascii="Times New Roman" w:hAnsi="Times New Roman"/>
          <w:color w:val="000000" w:themeColor="text1"/>
          <w:sz w:val="16"/>
          <w:szCs w:val="16"/>
        </w:rPr>
        <w:softHyphen/>
        <w:t>ных бомб...", — требовал в директиве исполняющий обязанности командую</w:t>
      </w:r>
      <w:r w:rsidRPr="00D03F3E">
        <w:rPr>
          <w:rFonts w:ascii="Times New Roman" w:hAnsi="Times New Roman"/>
          <w:color w:val="000000" w:themeColor="text1"/>
          <w:sz w:val="16"/>
          <w:szCs w:val="16"/>
        </w:rPr>
        <w:softHyphen/>
        <w:t>щего ВВС КА генерал-полковник Г. А. Ворожейкин. Выбор конкретных аэродромов, а также рас</w:t>
      </w:r>
      <w:r w:rsidRPr="00D03F3E">
        <w:rPr>
          <w:rFonts w:ascii="Times New Roman" w:hAnsi="Times New Roman"/>
          <w:color w:val="000000" w:themeColor="text1"/>
          <w:sz w:val="16"/>
          <w:szCs w:val="16"/>
        </w:rPr>
        <w:softHyphen/>
        <w:t>пределение сил и средств для действий по ним ос</w:t>
      </w:r>
      <w:r w:rsidRPr="00D03F3E">
        <w:rPr>
          <w:rFonts w:ascii="Times New Roman" w:hAnsi="Times New Roman"/>
          <w:color w:val="000000" w:themeColor="text1"/>
          <w:sz w:val="16"/>
          <w:szCs w:val="16"/>
        </w:rPr>
        <w:softHyphen/>
        <w:t>тавалось за командующи</w:t>
      </w:r>
      <w:r w:rsidRPr="00D03F3E">
        <w:rPr>
          <w:rFonts w:ascii="Times New Roman" w:hAnsi="Times New Roman"/>
          <w:color w:val="000000" w:themeColor="text1"/>
          <w:sz w:val="16"/>
          <w:szCs w:val="16"/>
        </w:rPr>
        <w:softHyphen/>
        <w:t>ми воздушными армиями. По данным авиационной и агентур</w:t>
      </w:r>
      <w:r w:rsidRPr="00D03F3E">
        <w:rPr>
          <w:rFonts w:ascii="Times New Roman" w:hAnsi="Times New Roman"/>
          <w:color w:val="000000" w:themeColor="text1"/>
          <w:sz w:val="16"/>
          <w:szCs w:val="16"/>
        </w:rPr>
        <w:softHyphen/>
        <w:t>ной разведки на 1 мая 1943г. только на Смоленском, Орловском, Шаталов-ском, Брянском, Харьковском и Ста</w:t>
      </w:r>
      <w:r w:rsidRPr="00D03F3E">
        <w:rPr>
          <w:rFonts w:ascii="Times New Roman" w:hAnsi="Times New Roman"/>
          <w:color w:val="000000" w:themeColor="text1"/>
          <w:sz w:val="16"/>
          <w:szCs w:val="16"/>
        </w:rPr>
        <w:softHyphen/>
        <w:t>линском аэроузлах в общей сложнос</w:t>
      </w:r>
      <w:r w:rsidRPr="00D03F3E">
        <w:rPr>
          <w:rFonts w:ascii="Times New Roman" w:hAnsi="Times New Roman"/>
          <w:color w:val="000000" w:themeColor="text1"/>
          <w:sz w:val="16"/>
          <w:szCs w:val="16"/>
        </w:rPr>
        <w:softHyphen/>
        <w:t>ти находилось свыше 1100-1200 бое</w:t>
      </w:r>
      <w:r w:rsidRPr="00D03F3E">
        <w:rPr>
          <w:rFonts w:ascii="Times New Roman" w:hAnsi="Times New Roman"/>
          <w:color w:val="000000" w:themeColor="text1"/>
          <w:sz w:val="16"/>
          <w:szCs w:val="16"/>
        </w:rPr>
        <w:softHyphen/>
        <w:t>вых самолетов люфтваффе различно</w:t>
      </w:r>
      <w:r w:rsidRPr="00D03F3E">
        <w:rPr>
          <w:rFonts w:ascii="Times New Roman" w:hAnsi="Times New Roman"/>
          <w:color w:val="000000" w:themeColor="text1"/>
          <w:sz w:val="16"/>
          <w:szCs w:val="16"/>
        </w:rPr>
        <w:softHyphen/>
        <w:t>го типа (10783).</w:t>
      </w:r>
    </w:p>
    <w:p w14:paraId="2D6A09F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0D4D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April 12th, 1943: German troops of Heeresgruppe Mitte (von Kluge) evacuate Vjasma. The British Eighth Army captures Sousse in Tunisia (3819).</w:t>
      </w:r>
    </w:p>
    <w:p w14:paraId="1151E3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D8D03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lang w:val="en-US"/>
        </w:rPr>
        <w:t xml:space="preserve">12 </w:t>
      </w:r>
      <w:r w:rsidRPr="00D03F3E">
        <w:rPr>
          <w:rFonts w:ascii="Times New Roman" w:hAnsi="Times New Roman"/>
          <w:color w:val="000000" w:themeColor="text1"/>
          <w:sz w:val="16"/>
          <w:szCs w:val="16"/>
        </w:rPr>
        <w:t>апреля</w:t>
      </w:r>
      <w:r w:rsidRPr="00D03F3E">
        <w:rPr>
          <w:rFonts w:ascii="Times New Roman" w:hAnsi="Times New Roman"/>
          <w:color w:val="000000" w:themeColor="text1"/>
          <w:sz w:val="16"/>
          <w:szCs w:val="16"/>
          <w:lang w:val="en-US"/>
        </w:rPr>
        <w:t xml:space="preserve"> 1943 </w:t>
      </w:r>
      <w:r w:rsidRPr="00D03F3E">
        <w:rPr>
          <w:rFonts w:ascii="Times New Roman" w:hAnsi="Times New Roman"/>
          <w:color w:val="000000" w:themeColor="text1"/>
          <w:sz w:val="16"/>
          <w:szCs w:val="16"/>
        </w:rPr>
        <w:t>частиГруппыЦентр</w:t>
      </w:r>
      <w:r w:rsidRPr="00D03F3E">
        <w:rPr>
          <w:rFonts w:ascii="Times New Roman" w:hAnsi="Times New Roman"/>
          <w:color w:val="000000" w:themeColor="text1"/>
          <w:sz w:val="16"/>
          <w:szCs w:val="16"/>
          <w:lang w:val="en-US"/>
        </w:rPr>
        <w:t xml:space="preserve"> (</w:t>
      </w:r>
      <w:r w:rsidRPr="00D03F3E">
        <w:rPr>
          <w:rFonts w:ascii="Times New Roman" w:hAnsi="Times New Roman"/>
          <w:color w:val="000000" w:themeColor="text1"/>
          <w:sz w:val="16"/>
          <w:szCs w:val="16"/>
        </w:rPr>
        <w:t>фонКлюге</w:t>
      </w:r>
      <w:r w:rsidRPr="00D03F3E">
        <w:rPr>
          <w:rFonts w:ascii="Times New Roman" w:hAnsi="Times New Roman"/>
          <w:color w:val="000000" w:themeColor="text1"/>
          <w:sz w:val="16"/>
          <w:szCs w:val="16"/>
          <w:lang w:val="en-US"/>
        </w:rPr>
        <w:t xml:space="preserve">) </w:t>
      </w:r>
      <w:r w:rsidRPr="00D03F3E">
        <w:rPr>
          <w:rFonts w:ascii="Times New Roman" w:hAnsi="Times New Roman"/>
          <w:color w:val="000000" w:themeColor="text1"/>
          <w:sz w:val="16"/>
          <w:szCs w:val="16"/>
        </w:rPr>
        <w:t>оставилиВязьму</w:t>
      </w:r>
      <w:r w:rsidRPr="00D03F3E">
        <w:rPr>
          <w:rFonts w:ascii="Times New Roman" w:hAnsi="Times New Roman"/>
          <w:color w:val="000000" w:themeColor="text1"/>
          <w:sz w:val="16"/>
          <w:szCs w:val="16"/>
          <w:lang w:val="en-US"/>
        </w:rPr>
        <w:t xml:space="preserve">. </w:t>
      </w:r>
      <w:r w:rsidRPr="00D03F3E">
        <w:rPr>
          <w:rFonts w:ascii="Times New Roman" w:hAnsi="Times New Roman"/>
          <w:color w:val="000000" w:themeColor="text1"/>
          <w:sz w:val="16"/>
          <w:szCs w:val="16"/>
        </w:rPr>
        <w:t>Британская 8А заняла Суссе в Тунисе (3819).</w:t>
      </w:r>
    </w:p>
    <w:p w14:paraId="75CC9B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7348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 вышло Постановление ГКО № 3164 О сформировании четырех артиллерийских корпусов прорыва и восьми отдельных тяжелых пушечных артиллерийских бригаРГАНИР, Фонд ГКО, д. РГАНИР, Фонд ГКО, д. 102, лл. 151-153 (11012).</w:t>
      </w:r>
    </w:p>
    <w:p w14:paraId="72A25E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075FD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67F3E4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9A09C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 вышло Распоряжение ГКО № 3167 [О мобилизации 1500 грузовых автомашин в Хабаровском и Приморском краях для ДВФ.] (7094, 2).</w:t>
      </w:r>
    </w:p>
    <w:p w14:paraId="3A754A0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A6576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487492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20DD1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 вышло Постановление ГКО № 3172 О заказе и завозе из США железнодорожных платформ, оборудования и материалов для НКПС в 1943 году. (7094, 61,62-64).</w:t>
      </w:r>
    </w:p>
    <w:p w14:paraId="76CEC89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F258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 года</w:t>
      </w:r>
    </w:p>
    <w:p w14:paraId="6D2B5C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СЕКРЕТНОЕ ПОСЛАНИЕ ПРЕМЬЕРА И. В. СТАЛИНА ПРЕМЬЕР-МИНИСТРУ г. У. ЧЕРЧИЛЛЮ</w:t>
      </w:r>
    </w:p>
    <w:p w14:paraId="337A20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Получил Ваши послания от 10 и 11 апреля.</w:t>
      </w:r>
    </w:p>
    <w:p w14:paraId="6F4739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Быстрое развитие наступления британских и американских войск в Тунисе является важным успехом в войне с Гитлером и Муссолини. Желаю Вам добить врага и захватить побольше пленных и трофеев.</w:t>
      </w:r>
    </w:p>
    <w:p w14:paraId="1A795F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Нас радует, что Вы не даёте передышки Гитлеру. К Вашим сильным и успешным бомбардировкам крупных германских городов мы добавляем теперь наши воздушные налеты на германские промышленные центры в Восточной Пруссии. Я благодарен Вам за фильм, показывающий результаты бомбардировки Эссена. Как этот фильм, так и другие фильмы, которые Вы обещаете прислать, будут широко показаны нашему населению и армии.</w:t>
      </w:r>
    </w:p>
    <w:p w14:paraId="3D5FDE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Намечаемые Вами поставки самолетов-истребителей, снимаемых с отмененных конвоев, для нас весьма ценны. Я также признателен Вам за предложение послать нам 60 самолетов “Харрикейн IID” с пушкой 40 мм. Такие самолеты очень нужны, особенно против тяжелых танков. Надеюсь, что Ваши и г-на Гарримана усилия по составлению плана и по обеспечению отправки самолетов в СССР увенчаются быстрым успехом.</w:t>
      </w:r>
    </w:p>
    <w:p w14:paraId="21E121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 народ высоко ценит теплые чувства и симпатии к нему британского народа, которые выразились в создании упомянутого Вами фонда медицинской помощи Советскому Союзу. Прошу передать благодарность за активную деятельность в этой области Вашей супруге, руководительнице этого фонда.</w:t>
      </w:r>
    </w:p>
    <w:p w14:paraId="54BE80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Сегодня я принял генерал-лейтенанта Мартеля, который вручил мне Ваше письмо. Конечно, генералу Мартелю будет оказано всяческое содействие для ознакомления с Красной Армией и ее боевым опытом (7430).</w:t>
      </w:r>
    </w:p>
    <w:p w14:paraId="2B4A6F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AB905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 Сталин поблагодарил Черчилля за урон, нанесенный английской авиацией германским промышленным центрам (4962).</w:t>
      </w:r>
    </w:p>
    <w:p w14:paraId="0DCE79C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21DA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 И.В.С. писал У.Ч. в ответ на письмо от 10 апреля 1943: "...Я также признателен Вам за предложение послать нам 60 самолетов "Харрикейн "IID с пушкой 40 мм. Такие самолеты нам очень нужны, особенно против тяжелых танков. (Из личного и секретного послания И.В.Сталина премьер-министру г-ну У.Черчилю от 12 апреля 1943 г.) (3187).</w:t>
      </w:r>
    </w:p>
    <w:p w14:paraId="3ED67D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8EAFE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0DFDF8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9299EE" w14:textId="77777777" w:rsidR="00F07737" w:rsidRPr="00D03F3E" w:rsidRDefault="00F0773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12 апреля 1943 японцы совершают самый крупный воздушный налет в юго-западной части Тихого океана за время Второй мировой войны, 174 самолета - 131 истребитель и 43 средних бомбардировщика - атакуют Порт-Морсби, Новая Гвинея. Рейд наносит небольшой урон, и 44 истребителя союзников, перехватывающих японцев, сбили пять самолетов, все истребители, потеряв два своих (20376).</w:t>
      </w:r>
    </w:p>
    <w:p w14:paraId="5827FB7A" w14:textId="77777777" w:rsidR="00F07737" w:rsidRPr="00D03F3E" w:rsidRDefault="00F07737" w:rsidP="00D03F3E">
      <w:pPr>
        <w:spacing w:after="0" w:line="240" w:lineRule="auto"/>
        <w:jc w:val="both"/>
        <w:rPr>
          <w:rFonts w:ascii="Times New Roman" w:hAnsi="Times New Roman"/>
          <w:color w:val="0070C0"/>
          <w:sz w:val="16"/>
          <w:szCs w:val="16"/>
        </w:rPr>
      </w:pPr>
    </w:p>
    <w:p w14:paraId="633C7F1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1943 Гитлер назначил Мартина Бормана своим заместителем по партии (4962).</w:t>
      </w:r>
    </w:p>
    <w:p w14:paraId="22E48F0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504BE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47B90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699D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1943 Нач. инспекции при НКАП Волоконский писал Справку N 1078 НКАП А.И.Ш. по вопросу неподачи в срок АМ-42 заводу 240:</w:t>
      </w:r>
    </w:p>
    <w:p w14:paraId="35D5C0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решением ГОКО N 2347 и приказом НКАП N 732 от 29 сентября 1942 завод 24 обязывался подать ГК С.В.И. к 15 января 1943 2 АМ-42 2 мотора АМ-42 с 50 час. ресурсом после проведения совместных 50-ти часовых испытаний, которые завод 24 д.б. закончить к 1 января 1943.</w:t>
      </w:r>
    </w:p>
    <w:p w14:paraId="6440B1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Доводка мотора АМ-42 задержалась по причинам большого числа дефектов, выявленных при заводских испытаниях.</w:t>
      </w:r>
    </w:p>
    <w:p w14:paraId="20E785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Первый мотор прошел внутризаводские 50-час. испытания лишь 9 января 1943. все последующие моторы с испытаний снимались из-за дефектов (разрушение шестерни редуктора, прогар клапанов, поломка шатунов, задир поршней и т.д.). Для того, чтобы не затягивать еще более выход Ил-2 с АМ-42, завод 24 в марте с.г. передал ГК С.В.И. мотор АМ-42СИ с гарантийным сроком надежной работы 25 час." (1775,51).</w:t>
      </w:r>
    </w:p>
    <w:p w14:paraId="6D03CE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2262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13 по 26 апреля 1943 самолеты Як-7 N 3920, 3979, 4097, 4114, 4123, 4103, 4055 производства 153 завода неудовлетворительно прошли гос. испытания по причине:</w:t>
      </w:r>
    </w:p>
    <w:p w14:paraId="303AC6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заниженных скоростей</w:t>
      </w:r>
    </w:p>
    <w:p w14:paraId="59D01F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наличия дефектов, опасных для полетов (1778,271).</w:t>
      </w:r>
    </w:p>
    <w:p w14:paraId="2066BB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30C1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1943 была третья рулежка самолета Гу-1 и машину уводило вправо. Ви был Фоменко (1458,152).</w:t>
      </w:r>
    </w:p>
    <w:p w14:paraId="097481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89FC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1943 закончились войсковые испытания Ту-2 М-82 в 132 ОБАП на Юго-Западном фронте, где машины использовались как в качестве бомбардировщиков, так и разведчиков с 5 февраля 1943 (1835,22).</w:t>
      </w:r>
    </w:p>
    <w:p w14:paraId="29B0E7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отчете было написано:</w:t>
      </w:r>
    </w:p>
    <w:p w14:paraId="02B780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"Войсковые испытания проходили самолеты Ту-2 от первой до пятой серии включительно производства завода 166 с моторами производства завода 19 с винтами АВ-5-167А диаметром 3.8 м. На самолетах до пятой серии были установлены тормоза типа Юнкерс, а с пятой - типа Дуглас.</w:t>
      </w:r>
    </w:p>
    <w:p w14:paraId="54C885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самолеты оборудованы установками для подвески 10 РС-132...</w:t>
      </w:r>
    </w:p>
    <w:p w14:paraId="2BC901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Калининском фронте с 4 декабря до 4 января сделали 46 боевых вылета, а на Юго-западном фронте - с 12 февраля по 16 марта 1943 - 38 вылетов на бомбометание и 8 на разведку. Всего было выполнено 93 вылета.</w:t>
      </w:r>
    </w:p>
    <w:p w14:paraId="593FB4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один групповой вылет в среднем приходилось 4 самолета-вылета. Из 93 вылетов в 23 вылетах задания не были выполнены по различным причинам.</w:t>
      </w:r>
    </w:p>
    <w:p w14:paraId="7BF01A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время войсковых испытаний потеряно и повреждено 9 самолетов: не вернулось с задания - 2, разбиты при катастрофах на своей территории - 2, поломаны при выполнении посадки на своей территории - 4 из-за отказа матчасти и 1 - по вине л.</w:t>
      </w:r>
    </w:p>
    <w:p w14:paraId="4533DA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16 марта 1943 в 132 ОБАП по списку числилось 14 самолетов и 8 из них требовали смены одного или двух моторов.</w:t>
      </w:r>
    </w:p>
    <w:p w14:paraId="71601A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Сбросили 386 бомб весом 67550 кг, в т.ч. 25 ФАБ-1000 и 9 ФАБ-500...</w:t>
      </w:r>
    </w:p>
    <w:p w14:paraId="0EE6FA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Войсковые испытания подтвердили анализ дефектов, выявленных при испытаниях Ту-2 в НИИ ВВС КА...</w:t>
      </w:r>
    </w:p>
    <w:p w14:paraId="4E1936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Исправный самолет м.б. подготовлен к боевому вылету за 1.5-2 часа зимой и за 1-1.5 час. летом...</w:t>
      </w:r>
    </w:p>
    <w:p w14:paraId="385BA3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Заключение. Подтвердить выводы и заключения по техническим испытаниям в боевых условиях самолетов Ту-2, проведенных в НИИ ВВС в 1942 и в 3 ВА. Просить НКАП о принятии срочных мероприятий по устранению дефектов моторов М-82 и его агрегатов, выявленных при испытаниях Ту-2." (1835,23).</w:t>
      </w:r>
    </w:p>
    <w:p w14:paraId="2EA769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94B8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1943 в НИИ ВВС закончились контрольные испытания Як-6 № 10971 з-да № 471, которые проходили с 25 марта 1942.</w:t>
      </w:r>
    </w:p>
    <w:p w14:paraId="4F76B3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Изменения по сравнения с опытным:</w:t>
      </w:r>
    </w:p>
    <w:p w14:paraId="17E387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Усилен пол грузовой кабины,</w:t>
      </w:r>
    </w:p>
    <w:p w14:paraId="0EDF0C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Грузовая кабина оборудована откидными сидениями для 4 пассажиров,</w:t>
      </w:r>
    </w:p>
    <w:p w14:paraId="1DFF1D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Установлен авиагоризонт,</w:t>
      </w:r>
    </w:p>
    <w:p w14:paraId="5F126C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 приборной доской установленкозырек для устранения бликов,</w:t>
      </w:r>
    </w:p>
    <w:p w14:paraId="60D0D0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Фанерные баки заменены металлическими.</w:t>
      </w:r>
    </w:p>
    <w:p w14:paraId="45EC45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Машина испытаний не выдержала из-за перетяжеления - 48 кг и большого числа дефектов (4657, 18).</w:t>
      </w:r>
    </w:p>
    <w:p w14:paraId="142B8B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82DA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1943 в НИИ ВВС закончились контрольные испытания Як-6 № 640211 з-да № 464, которые проходили с 10 апреля 1943.</w:t>
      </w:r>
    </w:p>
    <w:p w14:paraId="6811AD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Изменения по сравнения с опытным:</w:t>
      </w:r>
    </w:p>
    <w:p w14:paraId="09420F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Усилен пол грузовой кабины,</w:t>
      </w:r>
    </w:p>
    <w:p w14:paraId="466839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Грузовая кабина оборудована откидными сидениями для 4 пассажиров,</w:t>
      </w:r>
    </w:p>
    <w:p w14:paraId="276378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Установлен авиагоризонт,</w:t>
      </w:r>
    </w:p>
    <w:p w14:paraId="2E1D5E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 приборной доской установленкозырек для устранения бликов,</w:t>
      </w:r>
    </w:p>
    <w:p w14:paraId="37BC90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Фанерные баки заменены металлическими.</w:t>
      </w:r>
    </w:p>
    <w:p w14:paraId="580555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Машина испытания выдержала (4657, 18).</w:t>
      </w:r>
    </w:p>
    <w:p w14:paraId="5FA217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69E6F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1CEBC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27C5C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1943 года вышел приказ № 186с НКВ</w:t>
      </w:r>
    </w:p>
    <w:p w14:paraId="17DB5A3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постановлением ГОКО № 2477с от 5 ноября 1942 года и в развитие приказа № 599с от 17 ноября 1942 года об организации ЦАКБ г. Калининград).</w:t>
      </w:r>
    </w:p>
    <w:p w14:paraId="552060D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Конструкторский отдел морских вооружений при заводе № 75 с 10 апреля 1943 года передать ЦАКБ (6433, 64).</w:t>
      </w:r>
    </w:p>
    <w:p w14:paraId="5630242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E78B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1943 вышло Распоряжение ГКО № 3175. О передаче НКЭС железнодорожного оборудования от НКБП с возвратом.РГАНИР, Фонд ГКО, д. 103, лл. 70 (11012).</w:t>
      </w:r>
    </w:p>
    <w:p w14:paraId="40F050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51ED2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1943 вышло Распоряжение ГКО № 3176 [О мерах по обеспечению к навигации 1943 г. железнодорожной переправы через Сев. Двину.] (7094, 71-72).</w:t>
      </w:r>
    </w:p>
    <w:p w14:paraId="0804DC8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8BC5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1943 года Петров был извещен Устиновым по телефону о решении ГКО по поставке 5 экземпляров новой 122-мм гаубицы Д-1 к 1 мая 1943 года для полигонных испытаний (3861).</w:t>
      </w:r>
    </w:p>
    <w:p w14:paraId="361F30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8F46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1943 г. Д.Ф.Устинов направил члену ГКО Л.П.Берия предложения НКВ следующего содержания:</w:t>
      </w:r>
    </w:p>
    <w:p w14:paraId="44998A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 Увеличение программы выпуска 122-мм пушек Л-19 в счет программы по 152-мм пушкам-гаубицам МЛ-20; 122-мм пушка А-19, имея бpoнe6oйный снаряд 25 кг, с начальной скоростью 800 м/сек. обладает бронепробиваемостью 128 мм на дистанции 500 м и 122 мм на 1000 м (К=2400, угол 30 градусов). Таким образом. Л-19 пробивает немецкий танк Т-6 при всех условиях. Л-19 может подаваться частям Красной Армии: а) на полевом колесном лафете (в своем штатном виде), б) на самоходной установке СУ-14, вместо 152-мм ПУШКИ-гаубицы. Это можно сделать немедленно” (6001,21).</w:t>
      </w:r>
    </w:p>
    <w:p w14:paraId="51564E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092F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1943 г. была подготовлена ДОКЛАДНАЯ ЗАПИСКА ЗАМЕСТИТЕЛЯ КОМАНДУЮЩЕГО БТ и МВ КА ЗАМЕСТИТЕЛЮ ПРЕДСЕДАТЕЛЯ ГКО МОЛОТОВУ ПО ИСПЫТАНИЮ ОПЫТНЫХ ОБРАЗЦОВ ТАНКОВ №1150403</w:t>
      </w:r>
    </w:p>
    <w:p w14:paraId="3664F3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Докладываю, что в соответствии с Постановлением ГОКО № 2943сс от 24.02.1943 г. Кировским и заводом № 100 изготовлены два опытных образца танка ИС:</w:t>
      </w:r>
    </w:p>
    <w:p w14:paraId="59ED8A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Танк ИС-1 с 76-мм пушкой (Ф-34);</w:t>
      </w:r>
    </w:p>
    <w:p w14:paraId="08F6C3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Танк ИС-2 с 122-мм пушкой-гаубицей (У-11).</w:t>
      </w:r>
    </w:p>
    <w:p w14:paraId="7DBC50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Опытные образцы были предъявлены на полигонные испытания:</w:t>
      </w:r>
    </w:p>
    <w:p w14:paraId="3C76B9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ИС-1 - 22 марта 1943 года,</w:t>
      </w:r>
    </w:p>
    <w:p w14:paraId="31A6EDB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ИС-2 - 28 марта 1943 года.</w:t>
      </w:r>
    </w:p>
    <w:p w14:paraId="6BFB2B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момента предъявления по 3.04.1943 г. опытные образцы прошли:</w:t>
      </w:r>
    </w:p>
    <w:p w14:paraId="1DBADE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ИС-1 -542км,</w:t>
      </w:r>
    </w:p>
    <w:p w14:paraId="24EF42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ИС-2 - 449 км.</w:t>
      </w:r>
    </w:p>
    <w:p w14:paraId="09DB20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Комиссией по испытанию опытных образцов на основе результатов первого этапа испытаний,с-деланы следующие предварительные выводы:</w:t>
      </w:r>
    </w:p>
    <w:p w14:paraId="366F5A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Предъявленные на полигонные испытания опытные образцы танков ИС-1 и ИС-2 соответ</w:t>
      </w:r>
      <w:r w:rsidRPr="00D03F3E">
        <w:rPr>
          <w:rFonts w:ascii="Times New Roman" w:hAnsi="Times New Roman"/>
          <w:color w:val="000000" w:themeColor="text1"/>
          <w:sz w:val="16"/>
          <w:szCs w:val="16"/>
        </w:rPr>
        <w:softHyphen/>
        <w:t>ствуют основным тактико-техническим требованиям, заданным Постановлением ГОКО.</w:t>
      </w:r>
    </w:p>
    <w:p w14:paraId="68E8665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 Тактико-техническая характеристика танков ИС вследствие удачного выбора компоновки всех агрегатов лучше, чем у танка КВ-1С.</w:t>
      </w:r>
    </w:p>
    <w:p w14:paraId="36ABB33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предъявленных к испытаниям образцах танков ИС за указанный километраж ходовых испы</w:t>
      </w:r>
      <w:r w:rsidRPr="00D03F3E">
        <w:rPr>
          <w:rFonts w:ascii="Times New Roman" w:hAnsi="Times New Roman"/>
          <w:color w:val="000000" w:themeColor="text1"/>
          <w:sz w:val="16"/>
          <w:szCs w:val="16"/>
        </w:rPr>
        <w:softHyphen/>
        <w:t>таний выявлен ряд дефектов, из которых основным являются следующие:</w:t>
      </w:r>
    </w:p>
    <w:p w14:paraId="7406E5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Система охлаждения не обеспечивает нормального теплового режима двигателя-.</w:t>
      </w:r>
    </w:p>
    <w:p w14:paraId="47A4F2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Главный фрикцион слаб и часто выходит из строя.</w:t>
      </w:r>
    </w:p>
    <w:p w14:paraId="1DFD2F4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Подмоторная рама не обладает достаточной жесткостью, что приводит к ее поломке.</w:t>
      </w:r>
    </w:p>
    <w:p w14:paraId="150ABA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Уравновешивающий механизм пушки Ф-34 в танке ИС-1 конструктивно не отработан.</w:t>
      </w:r>
    </w:p>
    <w:p w14:paraId="57AF79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Комиссия особо отмечает низкое качество установленных в танках ИС дизель-моторов. Всего за время испытаний вышло из строя два двигателя.</w:t>
      </w:r>
    </w:p>
    <w:p w14:paraId="01D49C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Силовые агрегаты трансмиссии за время испытаний работали удовлетворительно.</w:t>
      </w:r>
    </w:p>
    <w:p w14:paraId="5471CC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Комиссия считает целесообразным:</w:t>
      </w:r>
    </w:p>
    <w:p w14:paraId="2CB6613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Продолжить испытания опытных образцов танков ИС-1 и ИС-2 до гарантийного километража с целью отработки в процессе испытаний надежности и работоспособности агрегатов и танков в целом.</w:t>
      </w:r>
    </w:p>
    <w:p w14:paraId="6BBC45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Принять заводу все меры к немедленному устранению замеченных выше дефектов.</w:t>
      </w:r>
    </w:p>
    <w:p w14:paraId="30D2C7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 танках ИС-1 и ИС-2, уже запущенных в производство Кировским заводом в количестве 10 штук с целью проверки технологии устранить все дефекты первых опытных образцов, причем два танка подвергнуть испытанию на гарантийный километраж с целью отработки всех агрегатов для окончательного решения о принятии этих танков на вооружение Красной Армии и о запуске их в серийное производство.</w:t>
      </w:r>
    </w:p>
    <w:p w14:paraId="2143DF9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выводами согласен:</w:t>
      </w:r>
    </w:p>
    <w:p w14:paraId="43E57B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посланный для проверки работы комиссии заместитель начальника ГБТУ КА генерал-майор Лебедев;</w:t>
      </w:r>
    </w:p>
    <w:p w14:paraId="55B50B9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Кировского завода т. Длугач и главный инженер завода т. Махонин.</w:t>
      </w:r>
    </w:p>
    <w:p w14:paraId="1D8B013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Подробный доклад и окончательное заключение по танкам будут представлены после оконча</w:t>
      </w:r>
      <w:r w:rsidRPr="00D03F3E">
        <w:rPr>
          <w:rFonts w:ascii="Times New Roman" w:hAnsi="Times New Roman"/>
          <w:color w:val="000000" w:themeColor="text1"/>
          <w:sz w:val="16"/>
          <w:szCs w:val="16"/>
        </w:rPr>
        <w:softHyphen/>
        <w:t>ния испытаний.</w:t>
      </w:r>
    </w:p>
    <w:p w14:paraId="78BB69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предварительное заключение на 5 листах только в адрес</w:t>
      </w:r>
      <w:r w:rsidRPr="00D03F3E">
        <w:rPr>
          <w:rFonts w:ascii="Times New Roman" w:hAnsi="Times New Roman"/>
          <w:color w:val="000000" w:themeColor="text1"/>
          <w:sz w:val="16"/>
          <w:szCs w:val="16"/>
          <w:vertAlign w:val="superscript"/>
        </w:rPr>
        <w:t>1</w:t>
      </w:r>
      <w:r w:rsidRPr="00D03F3E">
        <w:rPr>
          <w:rFonts w:ascii="Times New Roman" w:hAnsi="Times New Roman"/>
          <w:color w:val="000000" w:themeColor="text1"/>
          <w:sz w:val="16"/>
          <w:szCs w:val="16"/>
        </w:rPr>
        <w:t>.</w:t>
      </w:r>
    </w:p>
    <w:p w14:paraId="48C6C7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Заместитель командующего БТ и МВ КА генерал-лейтенант танковых войск Коробков</w:t>
      </w:r>
    </w:p>
    <w:p w14:paraId="0CED6B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Член военного совета генерал-лейтенант танковых войск Бирюков</w:t>
      </w:r>
    </w:p>
    <w:p w14:paraId="0B2FE9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1660. Л. 12,12об. Копия (11403).</w:t>
      </w:r>
    </w:p>
    <w:p w14:paraId="4814F4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EE027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1943 года известный советский военачальник, командующий 1 -й Танковой армией М. Е. Катуков, член военного совета 1 -й Танковой армии Н. К. Попель и заместитель командующего 1-й Танковой армией П. Г. Дынер написали пространное письмо с изложением наиболее часто встречающихся дефектов Т-34 члену Военного совета Воронежского фронта Н. С. Хрущёву. Они отмечали следующие, часто выходящие из строя, узлы танка: пятискоростная коробка перемены передач (внедрение новой конструкции само по себе не стало панацеей), главный фрикцион, привод бортового фрикциона, катки с «внутренней амортизацией», некачественные приборы и электрооборудование (ГАРФ. Ф. Р-5446. Оп. 44а. Д. 7521. Л. 25 - 23) (12290).</w:t>
      </w:r>
    </w:p>
    <w:p w14:paraId="53E0B7A3"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6EF1DB7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1943 г. был подготовлен ПРОТОКОЛ ЗАСЕДАНИЯ ПОСТОЯННОЙ КОМИССИИ ПО ДЕЛАМ ВОССТАНОВЛЕНИЯ ТАНКОВ ПРИ ГОСУДАРСТВЕННОМ КОМИТЕТЕ ОБОРОНЫ</w:t>
      </w:r>
    </w:p>
    <w:p w14:paraId="4F7CD8E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 ходе выполнения плана поставки танковых запасных частей в апреле месяце 1943 года Наркомтанкопромом и Наркомсредмашем.</w:t>
      </w:r>
    </w:p>
    <w:p w14:paraId="039A78E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Решение:</w:t>
      </w:r>
    </w:p>
    <w:p w14:paraId="581C0A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Считать целесообразным послать на заводы Наркомтанкопрома уполномоченных Государственного комитета обороны для обеспечения выполнения плана II квартала 1943 года по выпуску и отгрузке запасных частей к танкам и дизелям для ГБТУ КА.</w:t>
      </w:r>
    </w:p>
    <w:p w14:paraId="46CAFA1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Рекомендовать уполномоченными ГОКО следующих товарищей:</w:t>
      </w:r>
    </w:p>
    <w:p w14:paraId="73E9CD7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Кировский завод т. Цыпко А.Я. (НКГК СССР);</w:t>
      </w:r>
    </w:p>
    <w:p w14:paraId="6B7BA75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Уралмашзавод — т. Воробейчика М.Я. (СНК СССР);</w:t>
      </w:r>
    </w:p>
    <w:p w14:paraId="01CFAA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завод № 183 - т. Чикова О.И. (ГБТУ КА);</w:t>
      </w:r>
    </w:p>
    <w:p w14:paraId="16CB8C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завод № 174 - т. Сыча А.Ф. (ГБТУ КА);</w:t>
      </w:r>
    </w:p>
    <w:p w14:paraId="19E5215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завод № 76 - т. Френкеля Я.Н. (СНК СССР);</w:t>
      </w:r>
    </w:p>
    <w:p w14:paraId="063DC0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завод № 77 - т. Сергеева И.С. (ГБТУ КА);</w:t>
      </w:r>
    </w:p>
    <w:p w14:paraId="0A10E4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завод № 112 НКТП и № 113 Наркомстанкостроения — т. Первушина (ГБТУ КА).</w:t>
      </w:r>
    </w:p>
    <w:p w14:paraId="45121F5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Поручить т. Зальцману завести учет запасных частей, отгружаемых заводами НКТП для ГБТУ КА, отдельно от запасных частей, отгружаемых для Главного управления по ремонту танков Наркомтанкопрома.</w:t>
      </w:r>
    </w:p>
    <w:p w14:paraId="6349BC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 первоочередных районах ремонта танков во II квартале 1943 года.</w:t>
      </w:r>
    </w:p>
    <w:p w14:paraId="1EC9B27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Решение:</w:t>
      </w:r>
    </w:p>
    <w:p w14:paraId="3ACF2B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Постоянная комиссия по делам восстановления танков при Государственном комитете оборо</w:t>
      </w:r>
      <w:r w:rsidRPr="00D03F3E">
        <w:rPr>
          <w:rFonts w:ascii="Times New Roman" w:hAnsi="Times New Roman"/>
          <w:color w:val="000000" w:themeColor="text1"/>
          <w:sz w:val="16"/>
          <w:szCs w:val="16"/>
        </w:rPr>
        <w:softHyphen/>
        <w:t>ны считает, что в первую очередь должны быть отремонтированы танки, находящиеся в непосред</w:t>
      </w:r>
      <w:r w:rsidRPr="00D03F3E">
        <w:rPr>
          <w:rFonts w:ascii="Times New Roman" w:hAnsi="Times New Roman"/>
          <w:color w:val="000000" w:themeColor="text1"/>
          <w:sz w:val="16"/>
          <w:szCs w:val="16"/>
        </w:rPr>
        <w:softHyphen/>
        <w:t>ственной близости от фронта. В соответствии с этим предлагает тт. Бирюкову и Вершинину:</w:t>
      </w:r>
    </w:p>
    <w:p w14:paraId="38CCA1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проверить дислокацию всех подвижных ремонтных средств Наркомата обороны и произве</w:t>
      </w:r>
      <w:r w:rsidRPr="00D03F3E">
        <w:rPr>
          <w:rFonts w:ascii="Times New Roman" w:hAnsi="Times New Roman"/>
          <w:color w:val="000000" w:themeColor="text1"/>
          <w:sz w:val="16"/>
          <w:szCs w:val="16"/>
        </w:rPr>
        <w:softHyphen/>
        <w:t>сти перераспределение их с целью первоочередного ремонта танков, находящихся в непосредствен</w:t>
      </w:r>
      <w:r w:rsidRPr="00D03F3E">
        <w:rPr>
          <w:rFonts w:ascii="Times New Roman" w:hAnsi="Times New Roman"/>
          <w:color w:val="000000" w:themeColor="text1"/>
          <w:sz w:val="16"/>
          <w:szCs w:val="16"/>
        </w:rPr>
        <w:softHyphen/>
        <w:t>ной близости от фронта;</w:t>
      </w:r>
    </w:p>
    <w:p w14:paraId="1D5721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вывести все подвижные ремонтные средства ГБТУ КА из районов: Сталинграда, Воронежа, Кантимировки, Давыдовки, Россош, Калач-Воронежский и перебросить их для ремонта танков, находящихся непосредственно в прифронтовой полосе.</w:t>
      </w:r>
    </w:p>
    <w:p w14:paraId="32B6F96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Ремонт танков в перечисленных районах во II квартале 1943 года производить ремсредствами Наркомтанкопрома и Наркомсредмаша.</w:t>
      </w:r>
    </w:p>
    <w:p w14:paraId="308B9E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Разрешить Главному управлению по ремонту танков Наркомтанкопрома по договоренности с ГБТУ КА производить ремонт танков КВ в районах Ржева и Сычсзки.</w:t>
      </w:r>
    </w:p>
    <w:p w14:paraId="774478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Разрешить Главному управлению по ремонту танков Наркомсредмаша по договоренности с ГБТУ КА производить ремонт танков Т-60 и Т-70 на Западном, Северо-Западном и Калининском фронтах.</w:t>
      </w:r>
    </w:p>
    <w:p w14:paraId="18E16D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постоянной комиссии по делам восстановления танков при ГОКО В. Малышев</w:t>
      </w:r>
    </w:p>
    <w:p w14:paraId="1B3D41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И.о. секретаря комиссии А. Фомин</w:t>
      </w:r>
    </w:p>
    <w:p w14:paraId="17FC81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11371. Д. 24. Л. 43-44. Подлинник (11403).</w:t>
      </w:r>
    </w:p>
    <w:p w14:paraId="4D0A6C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E7DAB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0BEAE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305658"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в 1943 году утреннее сообщение Совинформбюро:</w:t>
      </w:r>
    </w:p>
    <w:p w14:paraId="1F6D6089"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13 апреля на фронтах существенных изменений не произошло.</w:t>
      </w:r>
    </w:p>
    <w:p w14:paraId="421D3745"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укрепляли свои позиции и вели разведку. Группа разведчиков под командованием старшего лейтенанта Шершнева ночью проникла в расположение противника. Разведчики подползли к немецким блиндажам и забросали их гранатами. Находившиеся в блиндажах гитлеровцы были уничтожены.</w:t>
      </w:r>
    </w:p>
    <w:p w14:paraId="75DE2130"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велась редкая артиллерийско-миномётная перестрелка с противником. Отряд немецкой пехоты на одном участке под покровом ночи пытался проникнуть к нашему опорному пункту. Бойцы Н-ской части подпустили гитлеровцев на близкое расстояние и открыли по ним ружейно-пулемётный огонь. Противник отступил, оставив на поле боя несколько десятков трупов. Артиллеристы Н-ской части обстреляли немецкие позиции и уничтожили артиллерийскую батарею, 2 миномёта, разрушили 7 дзотов и блиндажей противника.</w:t>
      </w:r>
    </w:p>
    <w:p w14:paraId="65AC2772"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лётчики Н-ского соединения за двадцать дней подавили и частью уничтожили до 70 немецких полевых орудий, 12 орудий зенитной артиллерии и взорвали 12 складов противника.</w:t>
      </w:r>
    </w:p>
    <w:p w14:paraId="187227BE"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озера Ильмень артиллеристы подразделения, где командиром старший лейтенант Олейник, разбили 3 дзота и уничтожили несколько немецких орудий вместе с их расчётами. Снайперы Н-ской части в течение дня истребили 32 гитлеровца.</w:t>
      </w:r>
    </w:p>
    <w:p w14:paraId="6E6B6A01"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части вели разведку и артиллерийскую перестрелку с противником. За последние дни усилила активность немецкая авиация. В течение вчерашнего дня наши лётчики в воздушных боях и при налёте на аэродром противника уничтожили 18 немецких самолётов.</w:t>
      </w:r>
    </w:p>
    <w:p w14:paraId="29CE9B3B"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Орловской области, разгромил две немецких комендатуры. Убито 18 и взято в плен 12 гитлеровцев. Партизаны уничтожили 2 орудия и захватили 6 пулемётов, 27 винтовок и различные документы. Группы подрывников этого отряда взорвали 3 моста на шоссейной дороге. Партизанский отряд имени Щорса разрушил полкилометра железнодорожного пути и пустил под откос немецкий воинский эшелон.</w:t>
      </w:r>
    </w:p>
    <w:p w14:paraId="7625EB71"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Ниже публикуется акт о зверствах немецко-фашистских мерзавцев над советскими бойцами, захваченными ими в плен: «На юго-западной окраине деревни Поречье, Калининской области, в блиндаже нами обнаружены трупы трёх красноармейцев, зверски замученных немцами. Установлено, что гитлеровцы, захватив советских бойцов в плен, долго их пытали. Одному бойцу немецкие бандиты отрубили пальцы рук, другому — отрезали уши и третьему — размозжили голову. Все трупы </w:t>
      </w:r>
      <w:r w:rsidRPr="00D03F3E">
        <w:rPr>
          <w:rFonts w:ascii="Times New Roman" w:hAnsi="Times New Roman"/>
          <w:color w:val="000000" w:themeColor="text1"/>
          <w:sz w:val="16"/>
          <w:szCs w:val="16"/>
        </w:rPr>
        <w:lastRenderedPageBreak/>
        <w:t>изрешечены пулями». Акт подписали: майор Графов, майор Кузьмин, старший сержант Мельник, старший лейтенант Чуриков, сержант Побережный, старшина Чубаров, красноармеец Бабков.</w:t>
      </w:r>
    </w:p>
    <w:p w14:paraId="27C6330E"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патриоты после упорных боёв выбили итальянских оккупантов с сильно укреплённых позиций. Партизанами захвачены 200 винтовок, 25 пулемётов, 6 миномётов, 260 тысяч патронов и другие трофеи. В другом районе югославские партизаны переправились через реку и ведут успешные бои с противником.» (15098).</w:t>
      </w:r>
    </w:p>
    <w:p w14:paraId="79A1743A" w14:textId="77777777" w:rsidR="00862B97" w:rsidRPr="00D03F3E" w:rsidRDefault="00862B97" w:rsidP="00D03F3E">
      <w:pPr>
        <w:spacing w:after="0" w:line="240" w:lineRule="auto"/>
        <w:jc w:val="both"/>
        <w:rPr>
          <w:rFonts w:ascii="Times New Roman" w:hAnsi="Times New Roman"/>
          <w:color w:val="000000" w:themeColor="text1"/>
          <w:sz w:val="16"/>
          <w:szCs w:val="16"/>
        </w:rPr>
      </w:pPr>
    </w:p>
    <w:p w14:paraId="41F4D499"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в 1943 году вечернее сообщение Совинформбюро:</w:t>
      </w:r>
    </w:p>
    <w:p w14:paraId="688CD16A"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13 апреля на фронтах существенных изменений не произошло.</w:t>
      </w:r>
    </w:p>
    <w:p w14:paraId="7D4AB58F"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на одном участке наши подразделения захватили окопы противника, истребив при этом более 100 гитлеровцев. Огнём артиллерии уничтожено несколько вражеских блиндажей и огневых точек. Советские лётчики произвели налёт на аэродром противника и уничтожили 5 немецких самолётов.</w:t>
      </w:r>
    </w:p>
    <w:p w14:paraId="362417ED"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огнём артиллерии и пехотного оружия уничтожено до двух рот немецкой пехоты. На одном участке наш разведывательный отрад переправился через реку. Проделав проход в минном поле, разведчики атаковали немцев и выбили их из укреплённых позиций на высоте, имеющей важное значение. На поле боя осталось несколько десятков вражеских трупов.</w:t>
      </w:r>
    </w:p>
    <w:p w14:paraId="21B6A502"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участке Ленинградского фронта немецкая пехота при поддержке танков в течение всего дня атаковала наши позиции. Все атаки гитлеровцев отбиты. Противник понёс большие потери в живой силе и оставил на поле боя 3 подбитых танка.</w:t>
      </w:r>
    </w:p>
    <w:p w14:paraId="76E50342"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артиллеристы Н-ской части произвели огневой налёт на позиции противника и разрушили 17 дзотов и блиндажей. Группа наших разведчиков проникла во вражеские окопы и, захватив пленных, вернулась в свою часть.</w:t>
      </w:r>
    </w:p>
    <w:p w14:paraId="4ABAEA65"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Смоленской области, 26 марта пустил под откос немецкий воинский эшелон. Разбиты паровоз и 9 вагонов. Убито 20 и ранено 25 немецких солдат и офицеров. Через день на другом участке партизаны заминировали железнодорожное полотно. На минах подорвался эшелон с немецкими войсками. В результате крушения разбиты паровоз и 13 вагонов. Убито и ранено свыше 300 немецких солдат и офицеров.</w:t>
      </w:r>
    </w:p>
    <w:p w14:paraId="7FBF026C"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обер-ефрейтор 322 немецкого гренадерского полка Вилли Ран рассказал: «В феврале я ездил в Германию, в город Дюссельдорф. Настроение жителей города подавленное. Частые налеты английской авиации держат население в постоянной тревоге. Городу причинены большие разрушения. Сильно пострадал главный вокзал. Однажды, находясь в подвале, мать сказала мне, что в городе называют Геринга «болтливым Мейером». Она напомнила мне, что Геринг в одной своей речи заявил: «Ямогу заверить германский народ, что пока я являюсь министром авиации, ни одна вражеская бомба не будет сброшена над Германией. Если это будет не так, то моя фамилия не Геринг, а Мейер». Укрываясь почти каждый вечер в подвале, я понял, как глупо хвастался Геринг».</w:t>
      </w:r>
    </w:p>
    <w:p w14:paraId="5DCCF25A"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разграбили и разорили население Подгорненского сельсовета, Курской области. Немецкие убийцы истребили десятки мирных граждан, разрушили и сожгли много домов, уничтожили сельскохозяйственный инвентарь и другое имущество колхозников. В деревне 2-я Подгорная Слобода немцы сожгли 35 домов и насильно угнали на каторгу в Германию 45 человек. В деревне Репеевка гитлеровцы сожгли 9 домов, колхозные амбары, молотилку, расстреляли колхозницу Веру Пехтереву, её сына Семёна Пехтерева, Василия Степанова и других. В колхозе Кулино-Ржавец немецкие палачи убили колхозницу Анну Полякову, Елену Полякову и её детей: Алексея—14 лет, Петра—13 лет, Екатерину— 12 лет, Валентину— 9 лет и трёхмесячного Михаила. В колхозе «Прогресс» фашистские изверти выпороли колхозников за то, что они не сдали последние остатки продовольствия.» (15098).</w:t>
      </w:r>
    </w:p>
    <w:p w14:paraId="1A7A501F" w14:textId="77777777" w:rsidR="00862B97" w:rsidRPr="00D03F3E" w:rsidRDefault="00862B97" w:rsidP="00D03F3E">
      <w:pPr>
        <w:spacing w:after="0" w:line="240" w:lineRule="auto"/>
        <w:jc w:val="both"/>
        <w:rPr>
          <w:rFonts w:ascii="Times New Roman" w:hAnsi="Times New Roman"/>
          <w:color w:val="000000" w:themeColor="text1"/>
          <w:sz w:val="16"/>
          <w:szCs w:val="16"/>
        </w:rPr>
      </w:pPr>
    </w:p>
    <w:p w14:paraId="61607E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1943 132-й полк отозвали с фронта и отправили на переформирование в Йошкар- Олу. Десять исправных машин вместе с экипажами передали 47-му гвардейскому дальнеразведывательно- му полку. На этом войсковые испытания бомбардировщика завершились. Но деятельностью 132-го полка боевое применение Ту-2, построенных в Омске, далеко не исчерпывалось. Всего на фронт попали 63 машины (11988).</w:t>
      </w:r>
    </w:p>
    <w:p w14:paraId="4DE366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E7B0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1943, согласно дневниковых записей Валентина Ивановича Аккуратова (летал на АНТ-42 “дублер”) за 1943 год, получили задание вновь бомбить военные объекты Кенигсберга. Циклон прошел. Очень интересен огонь крупнокалиберных зениток. Цель поражена. Полет занял 9 ч. 20 мин. Вернулись без потерь.</w:t>
      </w:r>
    </w:p>
    <w:p w14:paraId="7E691A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14-15 апреля. Бомбили объекты в Данциге - порт и заводы. Много прожекторов, значит, в воздухе находились их истребители. Дважды попадали в лучи прожекторов, и нашим стрелкам - подшассийным и башенным - пришлось немало поработать, отражая атаки противника. Все самолеты вернулись на базу. Летали около 10 ч, из них 6 ч на высоте 6 тыс.м.</w:t>
      </w:r>
    </w:p>
    <w:p w14:paraId="2122AC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20 апреля. Бомбили военные объекты и скопления войск в Тильзите. Море огня, взрывы эшелонов с боеприпасами, огненные трассы зенитных автоматов, ослепительные лучи прожекторов - все это напоминает описание ада у Данте. Все самолеты вернулись на базы. </w:t>
      </w:r>
    </w:p>
    <w:p w14:paraId="4A3BC5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Продолжаем уничтожать военные объекты в Восточной Пруссии. Сегодня бомбили Инстербург. Налет был массированным, кроме нашей дивизии, нель обрабатывало около 200 средних бомбардировщиков. От многочисленных пожаров внизу стало светло, как днем, - отчетливо просматривалась станция с пылающими эшелонами, улицы, заводы. Запах гари проникал даже в самолет... На базу не вернулся один бомбардировщик.</w:t>
      </w:r>
    </w:p>
    <w:p w14:paraId="7223FF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Сегодня опять ходили на Кенигсберг. Наш самолет, по прозвищу "Борода", хоть и не серийный, но быстроходнее и легче остальных, пришел на 20 мин раньше товарищей, чтобы обнаружить цель и развесить над нею осветительные бомбы на парашютах.</w:t>
      </w:r>
    </w:p>
    <w:p w14:paraId="6A097C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После налета на Кенигсберг были атакованы группой истребителей. Отстреливаясь, ушли в облака, куда они сунуться не рискнули, видимо, опасаясь столкнуться друг с другом. Уже на подходе к линии фронта, снижаясь в облаках, неожиданно напоролись на сильный заградительный огонь. Вырвались, резко меняя курсы и высоту, но все же получили несколько осколочных пробоин. Обидно за книгу - эпос "Калевала", которую урывками читал на обратном пути, - осколки снаряда пробили ее в нескольких местах, а один, пронзив том, содрал у меня кожу со лба и расцарапал шлемофон (эту книгу, списанную из дивизионной библиотеки, я храню по сей день - как- никак. но она спасла мне жизнь).</w:t>
      </w:r>
    </w:p>
    <w:p w14:paraId="08F2F2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Ходили на Брест - там разведка обнаружила скопление танков и тяжелой артиллерии. Очевидно, фрицы не ожидали появления здесь нашей дальней авиации - зенитки и прожекторы бездействовали. После массированного налета эшелоны превратились в месиво огня и дыма, которое мы, уходя, видели за 120-140 км.</w:t>
      </w:r>
    </w:p>
    <w:p w14:paraId="6B5EAD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5, 10, 12 мая. Все ночи напролет громим эшелоны на железнодорожных узлах. Не нужно быть стратегом, чтобы по расположению целей понять, что готовится очередное грандиозное наступление. И тщетно фашисты пытаются замаскировать свою технику - мы находим ее в любых условиях.</w:t>
      </w:r>
    </w:p>
    <w:p w14:paraId="2A42C3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секрет прост - противник сам наводил нас на цели. Однажды в ясную, но безлунную ночь, идя над вражеской территорией, мы заметили на черном бархате затаившейся земли вспыхивающие огни. Присмотревшись, поняли, что вспышки соответствуют знакам азбуки Морзе. То были свето- маяки, установленные у крупных населенных пунктов и у естественных ориентиров. Каждый маяк давал вспышки из двух определенных букв, которые менялись раз в десять дней. Перенеся эти данные на карту, наши штурманы быстро и точно выводили свои корабли на заданную цель. Помогали нам чужие огни и при возвращении, особенно на подбитой машине, когда штурманы </w:t>
      </w:r>
    </w:p>
    <w:p w14:paraId="5E602D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каждым боевым вылетом росло наше мастерство и понимание тактики врага. К примеру, если год назад мы с опаской думали о том, как бы не встретить над целью аэростаты заграждения, то теперь, отбомбившись, искали их, чтобы сжечь огнем тяжелых пулеметов. Ведь эти аэростаты представляли для нас серьезную угрозу, - обычно спаренные, они поднимали стальной трос на 6 тыс. м. Невидимые в ночи, да еше увешанные электромагнитными дистанционными минами, они были для нас куда опаснее зенитной артиллерии: Вот почему наши стрелки столь беспощадно разделывались с их серебристыми тушами.</w:t>
      </w:r>
    </w:p>
    <w:p w14:paraId="2AC167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успехе боевого вылета огромную роль играло знание штурманами фактической погоды над территорией врага. В частности, необходимо было иметь представление о нижней границе облачности над целью. Однако карты, которые мы получали от синоптиков, были прогностическими, расчетными. До войны было иначе - сводки погоды поступали к синоптикам со всей Европы, и их прогнозы были более или менее точными. С войной поступление такой информации прекратилось. А положение усугублялось тем, что погода над оккупированной нацистами Европой формировалась под воздействием воздушных масс, движущихся с запада и северо-запада (со стороны Бельгии, Голландии и Норвегии, захваченных гитлеровцами еще в 1940 году). Поэтому доразведку погоды пришлось возложить на экипаж самолета-осветителя. Выйдя на цель за полчаса до появления основной массы бомбардировщиков, он передавал на базу сводку, а та сообщала ее штурманам машин, идущих на цель с интервалом в 5-Ю мин. Выпускать разведчика раньше было нежелательно, так как в этом случае терялся фактор внезапности и противник успевал привести в готовность противовоздушную оборону.</w:t>
      </w:r>
    </w:p>
    <w:p w14:paraId="589E00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и здесь нам помогала самоуверенность нацистов. Дело в том, что их аэродромные станции методически передавали для летчиков Люфтваффе сводки погоды на ультракоротких волнах по международному метеокоду. А его отлично знали летчики полярной авиации, работавшие до войны на разведке ледовой обстановки в Арктике. Хотя дальность действия этих радиостанций была небольшой, но это не мешало нам получать полную картину погоды над целью" (12025).</w:t>
      </w:r>
    </w:p>
    <w:p w14:paraId="408ED2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1D78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1943 не вернулись на аэродром сразу три летчика отдельной французской авиаэскадрильи Нормандия: Р.Дервиль, А.Познанский и И.Бизьен. Выяви</w:t>
      </w:r>
      <w:r w:rsidRPr="00D03F3E">
        <w:rPr>
          <w:rFonts w:ascii="Times New Roman" w:hAnsi="Times New Roman"/>
          <w:color w:val="000000" w:themeColor="text1"/>
          <w:sz w:val="16"/>
          <w:szCs w:val="16"/>
        </w:rPr>
        <w:softHyphen/>
        <w:t>лось, что слабо освоившим русский язык французам плохо давалось взаи</w:t>
      </w:r>
      <w:r w:rsidRPr="00D03F3E">
        <w:rPr>
          <w:rFonts w:ascii="Times New Roman" w:hAnsi="Times New Roman"/>
          <w:color w:val="000000" w:themeColor="text1"/>
          <w:sz w:val="16"/>
          <w:szCs w:val="16"/>
        </w:rPr>
        <w:softHyphen/>
        <w:t>модействие с бомбардировщиками, а управление боем с появлением враже</w:t>
      </w:r>
      <w:r w:rsidRPr="00D03F3E">
        <w:rPr>
          <w:rFonts w:ascii="Times New Roman" w:hAnsi="Times New Roman"/>
          <w:color w:val="000000" w:themeColor="text1"/>
          <w:sz w:val="16"/>
          <w:szCs w:val="16"/>
        </w:rPr>
        <w:softHyphen/>
        <w:t>ских истребителей почти всегда нару</w:t>
      </w:r>
      <w:r w:rsidRPr="00D03F3E">
        <w:rPr>
          <w:rFonts w:ascii="Times New Roman" w:hAnsi="Times New Roman"/>
          <w:color w:val="000000" w:themeColor="text1"/>
          <w:sz w:val="16"/>
          <w:szCs w:val="16"/>
        </w:rPr>
        <w:softHyphen/>
        <w:t>шалось. Это объяснялось тем, что при обучении летчиков французской ис</w:t>
      </w:r>
      <w:r w:rsidRPr="00D03F3E">
        <w:rPr>
          <w:rFonts w:ascii="Times New Roman" w:hAnsi="Times New Roman"/>
          <w:color w:val="000000" w:themeColor="text1"/>
          <w:sz w:val="16"/>
          <w:szCs w:val="16"/>
        </w:rPr>
        <w:softHyphen/>
        <w:t>требительной авиации главенствовал принцип максимальной самостоятель</w:t>
      </w:r>
      <w:r w:rsidRPr="00D03F3E">
        <w:rPr>
          <w:rFonts w:ascii="Times New Roman" w:hAnsi="Times New Roman"/>
          <w:color w:val="000000" w:themeColor="text1"/>
          <w:sz w:val="16"/>
          <w:szCs w:val="16"/>
        </w:rPr>
        <w:softHyphen/>
        <w:t>ности в бою - каждый надеялся лишь на себя. Все эти причины заставили командо</w:t>
      </w:r>
      <w:r w:rsidRPr="00D03F3E">
        <w:rPr>
          <w:rFonts w:ascii="Times New Roman" w:hAnsi="Times New Roman"/>
          <w:color w:val="000000" w:themeColor="text1"/>
          <w:sz w:val="16"/>
          <w:szCs w:val="16"/>
        </w:rPr>
        <w:softHyphen/>
        <w:t>вание 1 ВА передать эскадрилью “Нор</w:t>
      </w:r>
      <w:r w:rsidRPr="00D03F3E">
        <w:rPr>
          <w:rFonts w:ascii="Times New Roman" w:hAnsi="Times New Roman"/>
          <w:color w:val="000000" w:themeColor="text1"/>
          <w:sz w:val="16"/>
          <w:szCs w:val="16"/>
        </w:rPr>
        <w:softHyphen/>
        <w:t>мандия” в оперативное подчинение 303-й истребительной авиационной дивизии (иад) генерал-майора Г.Н. За</w:t>
      </w:r>
      <w:r w:rsidRPr="00D03F3E">
        <w:rPr>
          <w:rFonts w:ascii="Times New Roman" w:hAnsi="Times New Roman"/>
          <w:color w:val="000000" w:themeColor="text1"/>
          <w:sz w:val="16"/>
          <w:szCs w:val="16"/>
        </w:rPr>
        <w:softHyphen/>
        <w:t>харова. В соединении, помимо “Яков”, на вооружении имелись истребители Ла-5 (сам генерал летал на одном из них). Вопреки широко растиражированному впоследствии мнению о “жгу</w:t>
      </w:r>
      <w:r w:rsidRPr="00D03F3E">
        <w:rPr>
          <w:rFonts w:ascii="Times New Roman" w:hAnsi="Times New Roman"/>
          <w:color w:val="000000" w:themeColor="text1"/>
          <w:sz w:val="16"/>
          <w:szCs w:val="16"/>
        </w:rPr>
        <w:softHyphen/>
        <w:t>чей любви” французов только к “Якам”, лавочкинские машины настолько при</w:t>
      </w:r>
      <w:r w:rsidRPr="00D03F3E">
        <w:rPr>
          <w:rFonts w:ascii="Times New Roman" w:hAnsi="Times New Roman"/>
          <w:color w:val="000000" w:themeColor="text1"/>
          <w:sz w:val="16"/>
          <w:szCs w:val="16"/>
        </w:rPr>
        <w:softHyphen/>
        <w:t>глянулись пилотам “Нормандии”, что они обратились к комдиву с просьбой о перевооружении эскадрильи. Впро</w:t>
      </w:r>
      <w:r w:rsidRPr="00D03F3E">
        <w:rPr>
          <w:rFonts w:ascii="Times New Roman" w:hAnsi="Times New Roman"/>
          <w:color w:val="000000" w:themeColor="text1"/>
          <w:sz w:val="16"/>
          <w:szCs w:val="16"/>
        </w:rPr>
        <w:softHyphen/>
        <w:t>чем, от этой идеи пришлось отказать</w:t>
      </w:r>
      <w:r w:rsidRPr="00D03F3E">
        <w:rPr>
          <w:rFonts w:ascii="Times New Roman" w:hAnsi="Times New Roman"/>
          <w:color w:val="000000" w:themeColor="text1"/>
          <w:sz w:val="16"/>
          <w:szCs w:val="16"/>
        </w:rPr>
        <w:softHyphen/>
        <w:t>ся, поскольку, как ответил генерал За</w:t>
      </w:r>
      <w:r w:rsidRPr="00D03F3E">
        <w:rPr>
          <w:rFonts w:ascii="Times New Roman" w:hAnsi="Times New Roman"/>
          <w:color w:val="000000" w:themeColor="text1"/>
          <w:sz w:val="16"/>
          <w:szCs w:val="16"/>
        </w:rPr>
        <w:softHyphen/>
        <w:t>харов, по своим боевым возможностям Як-1 и Ла-5 были примерно экви</w:t>
      </w:r>
      <w:r w:rsidRPr="00D03F3E">
        <w:rPr>
          <w:rFonts w:ascii="Times New Roman" w:hAnsi="Times New Roman"/>
          <w:color w:val="000000" w:themeColor="text1"/>
          <w:sz w:val="16"/>
          <w:szCs w:val="16"/>
        </w:rPr>
        <w:softHyphen/>
        <w:t>валентны (3956).</w:t>
      </w:r>
    </w:p>
    <w:p w14:paraId="7F9BBB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6EF55D"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в 1943 году несчастливым днем стало 13 апреля, когда не вернулись на аэродром сразу три лётчика: Р.Дервиль, А.Познанский и И.Бизьен, воевавших в составе ВВС РККА. Выявилось, что слабо освоившим русский язык французам плохо давалось взаимодействие с бомбардировщиками, а управление боем с появлением вражеских истребителей почти всегда нарушалось. Это объяснялось тем, что при обучении лётчиков французской истребительной авиации главенствовал принцип максимальной самостоятельности в бою - каждый надеялся лишь на себя (15098).</w:t>
      </w:r>
    </w:p>
    <w:p w14:paraId="7FC7B4E4" w14:textId="77777777" w:rsidR="00862B97" w:rsidRPr="00D03F3E" w:rsidRDefault="00862B97" w:rsidP="00D03F3E">
      <w:pPr>
        <w:spacing w:after="0" w:line="240" w:lineRule="auto"/>
        <w:jc w:val="both"/>
        <w:rPr>
          <w:rFonts w:ascii="Times New Roman" w:hAnsi="Times New Roman"/>
          <w:color w:val="000000" w:themeColor="text1"/>
          <w:sz w:val="16"/>
          <w:szCs w:val="16"/>
        </w:rPr>
      </w:pPr>
    </w:p>
    <w:p w14:paraId="2B7393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1943 г. вышел ПРИКАЗ № 0064 ОБ УСИЛЕНИИ ПРОТИВОВОЗДУШНОЙ ОБОРОНЫ ЖЕЛЕЗНОДОРОЖНЫХ МОСТОВ И УЗЛОВ И НАСЕЛЕННЫХ ПУНКТОВ</w:t>
      </w:r>
    </w:p>
    <w:p w14:paraId="0BE6D0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усиления противовоздушной обороны важнейших железнодорожных мостов и узлов приказываю:</w:t>
      </w:r>
    </w:p>
    <w:p w14:paraId="30CE55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Командующему войсками ПВО территории страны сформировать:</w:t>
      </w:r>
    </w:p>
    <w:p w14:paraId="76C322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к 1 мая 1943 г.</w:t>
      </w:r>
    </w:p>
    <w:p w14:paraId="370840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два зенитно-артиллерийских полка по штату № 050/4 для Ростовского и Рыбинско-Ярославского дивизионных районов ПВО;</w:t>
      </w:r>
    </w:p>
    <w:p w14:paraId="529625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два 60-орудийных полка МЗА пятидивизионного состава каждый по штату № 050/54 для Сталинградского корпусного и Воронежско-Борисоглебского дивизионного районов ПВО и два зенитно-пулеметных полка по штату № 050/13 для Ростовского и Воронежско-Борисоглебского дивизионных районов ПВО;</w:t>
      </w:r>
    </w:p>
    <w:p w14:paraId="651948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к 1 июня 1943 г.</w:t>
      </w:r>
    </w:p>
    <w:p w14:paraId="160BE1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два зенитно-артиллерийских полка по штату № 050/4 для Сталинградского корпусного и один зенитно-артиллерийский полк по штату № 050/4 для Воронежско-Борисоглебского дивизионного районов ПВО;</w:t>
      </w:r>
    </w:p>
    <w:p w14:paraId="60DDA2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три 60-орудийных полка МЗА пятидивизионного состава каждый по штату № 050/54 для Ростовского, Тульского и Харьковского дивизионных районов ПВО и два зенитно-пулеметных полка по штату № 050/13 для Сталинградского корпусного и Бологоевского дивизионного районов ПВО;</w:t>
      </w:r>
    </w:p>
    <w:p w14:paraId="31C072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 1 июля 1943 г.</w:t>
      </w:r>
    </w:p>
    <w:p w14:paraId="3EFC5E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два зенитно-артиллерийских полка по штату № 050/4 для Закавказской зоны ПВО и Тульского дивизионного района ПВО;</w:t>
      </w:r>
    </w:p>
    <w:p w14:paraId="72C0F2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два 60-орудийных полка МЗА пятидивизионного состава каждый по штату № 050/54 для Закавказской зоны ПВО и Рыбинско-Ярославского дивизионного района ПВО и</w:t>
      </w:r>
    </w:p>
    <w:p w14:paraId="6F2772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два зенитно-пулеметных полка по штату № 050/13 для Харьковского и Ряжско-Тамбовского дивизионных районов ПВО.</w:t>
      </w:r>
    </w:p>
    <w:p w14:paraId="57571A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Начальнику Главного артиллерийского управления Красной Армии выделить для формируемых частей:</w:t>
      </w:r>
    </w:p>
    <w:p w14:paraId="43B0E4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20.4.43 — 120 85-мм орудий, 126 37-мм и 25-мм орудий и 170 пулеметов ДШК;</w:t>
      </w:r>
    </w:p>
    <w:p w14:paraId="744AD7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15.5.43 — 150 85-мм орудий, 150 37-мм и 25-мм орудий и 150 пулеметов ДШК;</w:t>
      </w:r>
    </w:p>
    <w:p w14:paraId="763FD1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15.6.43 — 150 85-мм орудий, 150 37-мм и 25-мм орудий и 150 пулеметов ДШК.</w:t>
      </w:r>
    </w:p>
    <w:p w14:paraId="095C84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Начальнику Главного автомобильного управления Красной Армии выделить для формируемых частей автотранспорт в соответствии со штатами.</w:t>
      </w:r>
    </w:p>
    <w:p w14:paraId="3D4610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Начальнику Главупраформа Красной Армии формируемые части укомплектовать рядовым составом в числе 22370 человек.</w:t>
      </w:r>
    </w:p>
    <w:p w14:paraId="44032D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Начальникам центральных управлений НКО обеспечить формируемые части положенным по штату имуществом.</w:t>
      </w:r>
    </w:p>
    <w:p w14:paraId="48FF3C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Народный комиссар обороны СССР Маршал Советского Союза И. СТАЛИН </w:t>
      </w:r>
      <w:r w:rsidRPr="00D03F3E">
        <w:rPr>
          <w:rFonts w:ascii="Times New Roman" w:hAnsi="Times New Roman"/>
          <w:color w:val="000000" w:themeColor="text1"/>
          <w:sz w:val="16"/>
          <w:szCs w:val="16"/>
        </w:rPr>
        <w:t>(9844).</w:t>
      </w:r>
    </w:p>
    <w:p w14:paraId="02AE96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C27C0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061D05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57422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1943 вышло Постановление ГКО № 3177 О создании Музея трофейного вооружения и техники. (7094, 73).</w:t>
      </w:r>
    </w:p>
    <w:p w14:paraId="08918CC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D1F05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1943 г. вышло ПОСТАНОВЛЕНИЕ ГОСУДАРСТВЕННОГО КОМИТЕТА ОБОРОНЫ СССР О СОЗДАНИИ МУЗЕЯ ТРОФЕЙНОГО ВООРУЖЕНИЯ И ТЕХНИКИ №3177</w:t>
      </w:r>
    </w:p>
    <w:p w14:paraId="5AFD98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Государственный комитет обороны постановляет:</w:t>
      </w:r>
    </w:p>
    <w:p w14:paraId="4DBE831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Создать музей трофейного вооружения и трофейной техники в г. Москве на территории Центрального парка культуры и отдыха им. Горького.</w:t>
      </w:r>
    </w:p>
    <w:p w14:paraId="20B7B97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Начальникам главных управлений Наркомата обороны СССР оказать трофейному комитету всестороннее содействие по отбору и транспортировке необходимых образцов трофейного воору</w:t>
      </w:r>
      <w:r w:rsidRPr="00D03F3E">
        <w:rPr>
          <w:rFonts w:ascii="Times New Roman" w:hAnsi="Times New Roman"/>
          <w:color w:val="000000" w:themeColor="text1"/>
          <w:sz w:val="16"/>
          <w:szCs w:val="16"/>
        </w:rPr>
        <w:softHyphen/>
        <w:t>жения и техники для музея.</w:t>
      </w:r>
    </w:p>
    <w:p w14:paraId="4352AED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Государственного комитата обороны СССР</w:t>
      </w:r>
    </w:p>
    <w:p w14:paraId="560B740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Сталин</w:t>
      </w:r>
    </w:p>
    <w:p w14:paraId="106F3A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11353. Д. 33 Л. 74. Копия (11403).</w:t>
      </w:r>
    </w:p>
    <w:p w14:paraId="16294F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EE6F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1943 г. на заводе № 704 Наркомата минометного вооружения была испытана первая конная сеялка (9697).</w:t>
      </w:r>
    </w:p>
    <w:p w14:paraId="5B34C2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07005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31A4D9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380F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1943 Германское руководство сообщает о найденных под Катынью многочисленных останках польских военнопленных и направляет в Смоленск международную комиссию (1348,224).</w:t>
      </w:r>
    </w:p>
    <w:p w14:paraId="2DAF47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6711DC"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в 1943 году cообщение берлинского радио о найденных в Катынском лесу массовых захоронениях. Отдельно подчёркивалось, что расстрелы были проведены органами НКВД весной 1940 (15098).</w:t>
      </w:r>
    </w:p>
    <w:p w14:paraId="6524F8B1" w14:textId="77777777" w:rsidR="00862B97" w:rsidRPr="00D03F3E" w:rsidRDefault="00862B97" w:rsidP="00D03F3E">
      <w:pPr>
        <w:spacing w:after="0" w:line="240" w:lineRule="auto"/>
        <w:jc w:val="both"/>
        <w:rPr>
          <w:rFonts w:ascii="Times New Roman" w:hAnsi="Times New Roman"/>
          <w:color w:val="000000" w:themeColor="text1"/>
          <w:sz w:val="16"/>
          <w:szCs w:val="16"/>
        </w:rPr>
      </w:pPr>
    </w:p>
    <w:p w14:paraId="56657AF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1943 г. Беpлин. Немцы сообщили, что в Катынском лесу под Смоленском обнаружены захоронения поляков, расстрелянных в 1940 году НКВД (9712).</w:t>
      </w:r>
    </w:p>
    <w:p w14:paraId="0E2C09D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4A822CF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7F049C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E1D81C" w14:textId="77777777" w:rsidR="00862B97" w:rsidRPr="00D03F3E" w:rsidRDefault="00862B9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в 1943 году фирма «Boeing» представила на рассмотрение комиссии Бюро проект истребителя, получивший фирменное обозначение «Модель 400». Он стал первым истребителем, разработанным фирмой за последние 10 лет. Конструкция истребителя была цельнометаллической, с убираемым трёхстоечным шасси с носовым колесом и полностью закрытой кабиной пилота. На самолёте планировалось установить 3000-сильный радиальный двигатель «Pratt &amp; Whitney» «XT-4630-10» с трехлопастным винтом изменяемого шага. Вооружение могло состоять из шести 12,7-мм крыльевых пулеметов Browning, или из шести 20-мм \ 30-мм пушек. Интересной особенностью проекта была внутренняя подвеска бомб: в фюзеляжном бомбоотсеке можно было разместить до 1452 кг бомб или дополнительный топливный бак на 1022 литра. На шести внешних держателях можно было подвесить самый разнообразный арсенал вооружений, включавший бомбы, ракеты или даже торпеды. В стандартный комплект также должны были входить два ПТБ на 568 литров. До окончания войны успели полностью собрать только один прототип, постройку двух других завершили уже после войны, однако из-за появления реактивных самолетов интерес к поршневым истребителям угас и программу закрыли. Проект вырос в прототип истребителя - бомбардировщика «XF8В» (15098).</w:t>
      </w:r>
    </w:p>
    <w:p w14:paraId="692C8CDA" w14:textId="77777777" w:rsidR="00862B97" w:rsidRPr="00D03F3E" w:rsidRDefault="00862B97" w:rsidP="00D03F3E">
      <w:pPr>
        <w:spacing w:after="0" w:line="240" w:lineRule="auto"/>
        <w:jc w:val="both"/>
        <w:rPr>
          <w:rFonts w:ascii="Times New Roman" w:hAnsi="Times New Roman"/>
          <w:color w:val="000000" w:themeColor="text1"/>
          <w:sz w:val="16"/>
          <w:szCs w:val="16"/>
        </w:rPr>
      </w:pPr>
    </w:p>
    <w:p w14:paraId="6D24699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1943 в Вашингтоне открыт мемориал Томаса Джефферсона (4962).</w:t>
      </w:r>
    </w:p>
    <w:p w14:paraId="28F3193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1A897B"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218DF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520E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1943 Воронин писал письмо N Н-35/2375 директорам заводов 1, 18 и 30, а также нач. 10 ГУ Тарасевичу:</w:t>
      </w:r>
    </w:p>
    <w:p w14:paraId="19F431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"Сообщаю для руководства и исполнения:</w:t>
      </w:r>
    </w:p>
    <w:p w14:paraId="482263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Начиная с 1 июля с.г. выпуск самолетов Ил-2 с РПК производить в след. комплектации:</w:t>
      </w:r>
    </w:p>
    <w:p w14:paraId="6A58EB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приемник РСИ-4 (малютка) на каждом выпускаемом самолете</w:t>
      </w:r>
    </w:p>
    <w:p w14:paraId="704AB8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передатчик РСИ-3 (Орел) и РПК-10 (Чаенок) на каждом 3-м самолете</w:t>
      </w:r>
    </w:p>
    <w:p w14:paraId="7D831C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Предупреждаю о необходимости соблюдения строжайшей дисциплины в расходовании радиоаппаратуры, учитывая ее дефицитность.</w:t>
      </w:r>
    </w:p>
    <w:p w14:paraId="29E045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Ежемесячный отчет о расходовании радиоаппаратуры предоставлять в 12 ГУ по прилагаемой форме (1768,157).</w:t>
      </w:r>
    </w:p>
    <w:p w14:paraId="1BCCAA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C4F1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14 апреля 1943 (в среду) согласно письма N 86с Ермолаева л Алексеев на Ер-2 2М-30Б стартовал для полета по маршруту Москва-Омск-Москва - 4500 км с 1000 кг бомб. Выполнить задание не удалось, т.к. в районе Елабуги (900 км от Москвы) самолет встретил фронтальную облачность высотой 7000 м. Попытки обойти </w:t>
      </w:r>
      <w:r w:rsidRPr="00D03F3E">
        <w:rPr>
          <w:rFonts w:ascii="Times New Roman" w:hAnsi="Times New Roman"/>
          <w:color w:val="000000" w:themeColor="text1"/>
          <w:sz w:val="16"/>
          <w:szCs w:val="16"/>
        </w:rPr>
        <w:lastRenderedPageBreak/>
        <w:t>облачность и пробить ее снизу не удались и было решено вернуться обратно. Летали 5:30 (1775,53).</w:t>
      </w:r>
    </w:p>
    <w:p w14:paraId="3F6FB5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A3F7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1943 г. полковник А.Д.Алексеев стартовал на Ер-2 2М-30Б для беспосадочного полета по маршруту Москва-Омск-Москва на дальность 4500 км с грузом 1000 кг. Взлетная масса машины составляла 17700 кг, в баках плескалось 4900 кг керосина. Из-за встречи с грозовым фронтом в районе Елабуги Алексееву пришлось вернуться. Более успешно прошел полет по маршруту Раменское-Казань-Свердловск и обратно, его общая протяженность составила 3950 км (3322,40).</w:t>
      </w:r>
    </w:p>
    <w:p w14:paraId="1C6298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89AD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1943 Алексеев отправился в первый беспосадочный перелет на Ер-2 с моторами М-30Б по маршруту Москва - Омск - Москва. Предстояло пролететь 4500 км с грузом 1000 кг. Однако, встретившись в районе Елабуги с грозовым фронтом, ему пришлось вернуться. Дальний полет повторили чуть позже и по другому маршруту: Москва (Кратово) - Казань - Свердловск и обратно протяженностью 3950 км. На этот раз все прошло благополучно, а беспосадочная дальность превзошла аналогичный показатель бомбардировщика Ил-4 более чем на 1000 км. Согласно результатам испытаний самолет был прост в пилотировании (если не считать, что заход на посадку приходилось осуществлять с выключенными двигателями из-за отсутствия регуляторов малых оборотов) и, по сравнению с предшественником, оснащенным двигателями АМ-37, его расчетная дальность достигала 5500 км.</w:t>
      </w:r>
    </w:p>
    <w:p w14:paraId="75BEB0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то же время у машины сохранились недостатки предшественника: большая взлетная дистанция и малая скороподъемность, невозможность лететь на одном моторе без снижения при весе свыше 14 200 кг. Но главным показателем для дальней авиации по-прежнему являлся большой радиус действия. Было от чего прийти в восторг, и командующий Авиацией дальнего действия (АДД) А.Е. Голованов настоял на запуске еще "сырого" дизельного варианта Ер-2 в серийное производство.</w:t>
      </w:r>
    </w:p>
    <w:p w14:paraId="2F94F7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обсуждении результатов госиспытаний представители АДД предложили ввести в экипаж второго пилота, разместив его рядом с командиром. Это позволяло существенно снизить нагрузку на летчиков во время длительных полетов. Тогда же высказали пожелание усилить оборонительное вооружение, заменив верхнюю пулеметную установку пушечной (11994).</w:t>
      </w:r>
    </w:p>
    <w:p w14:paraId="00D9F1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138C87"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14/19 апреля 1943 вышел приказ НКАП № 233с:</w:t>
      </w:r>
    </w:p>
    <w:p w14:paraId="3D02F1A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решения ГОКО о доводках и дальнейшем развити с-та Ту-2:</w:t>
      </w:r>
    </w:p>
    <w:p w14:paraId="34FCA9F2" w14:textId="77777777" w:rsidR="00DB6725" w:rsidRPr="00D03F3E" w:rsidRDefault="00DB6725" w:rsidP="00D03F3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Создать на з-де № 156 ф-л ОКБ А.Н.Т.</w:t>
      </w:r>
    </w:p>
    <w:p w14:paraId="5C107770" w14:textId="77777777" w:rsidR="00DB6725" w:rsidRPr="00D03F3E" w:rsidRDefault="00DB6725" w:rsidP="00D03F3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ГК и ответственным руководителем з-да назначаю А.Н.Т.</w:t>
      </w:r>
    </w:p>
    <w:p w14:paraId="7EC2EB4F" w14:textId="77777777" w:rsidR="00DB6725" w:rsidRPr="00D03F3E" w:rsidRDefault="00DB6725" w:rsidP="00D03F3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З-д № 156 передать из 6 ГУ в 7 ГУ</w:t>
      </w:r>
    </w:p>
    <w:p w14:paraId="16CA3DE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Шахурин (1709, 18).</w:t>
      </w:r>
    </w:p>
    <w:p w14:paraId="67B642E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56316C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14-19 апреля 1943 вышел приказ НКАП N 233 о создании на заводе 156 филиала ОКБ А.Н.Т., но полностью КБ А.Н.Т. приехало и разместилось в Москве на ул. Радио только в сентябре-ноябре 1943 (1835,25).</w:t>
      </w:r>
    </w:p>
    <w:p w14:paraId="41141A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4CE6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1943 г. Туполеву дали завод, но небольшой - опытный. Это был хорошо знакомый завод № 156 в Москве, который он сам же и создавал. Приказом наркома авиапромышленности там прекращали ремонт самолетов других типов и производство подвесных бензобаков. Зато там сосредоточили капитальный ремонт всех Ту-2, их доработку и модернизацию, а также опытные работы по совершенствованию бомбардировщика. В Москву из Омска требовалось перевезти приспособления, инструмент, задел деталей и узлов. Туполев получил статус главного конструктора завода. В Москве формировался филиал конструкторского бюро, которое пока оставалось в Омске. Его разместили в том же здании КОСОС, где прежде находилась спецтюрьма НКВД. Прибывшие с Туполевым бывшие заключенные разглядывали зарешеченные окна и затянутые сетками лестничные пролеты, напоминавшие им о уже прошедшем. Но привезти в Москву удалось немногих. Директор омского завода вовсе не желал отдавать хороших специалистов. Он запретил выдавать им паспорта, хранившиеся в заводоуправлении. А без паспорта, тем более в условиях военного времени, доехать до Москвы было невозможно. Туполеву пришлось приложить немало усилий по вызволению своих людей из "плена". Первоочередной задачей являлось достижение предписанной постановлением ГКО максимальной скорости полета - 550 км/ч. В Омске экспериментировали с опытной машиной "103В". На нее поставили новые моторы с усовершенствованными нагнетателями, доработанные магнето, изменили регулировку карбюраторов, немного улучшили аэродинамику планера. По расчетам, планировали получить 560 км/ч. Экипаж И.И. Шелеста проводил испытания с 19 марта по 28 апреля 1943 г. Данные на малых и средних высотах действительно улучшились. Скорость у земли возросла на 36 км/ч. Но с подъемом на высоту прирост уменьшался, и перейти границу 545 км/ч не удалось (11988).</w:t>
      </w:r>
    </w:p>
    <w:p w14:paraId="102725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8F0A30" w14:textId="77777777" w:rsidR="00F40F75" w:rsidRPr="00D03F3E" w:rsidRDefault="00F40F7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14 апреля 1943 г. Тупо</w:t>
      </w:r>
      <w:r w:rsidRPr="00D03F3E">
        <w:rPr>
          <w:rFonts w:ascii="Times New Roman" w:hAnsi="Times New Roman"/>
          <w:color w:val="0070C0"/>
          <w:sz w:val="16"/>
          <w:szCs w:val="16"/>
          <w:lang w:eastAsia="ru-RU" w:bidi="ru-RU"/>
        </w:rPr>
        <w:softHyphen/>
        <w:t>леву дали завод, но не</w:t>
      </w:r>
      <w:r w:rsidRPr="00D03F3E">
        <w:rPr>
          <w:rFonts w:ascii="Times New Roman" w:hAnsi="Times New Roman"/>
          <w:color w:val="0070C0"/>
          <w:sz w:val="16"/>
          <w:szCs w:val="16"/>
          <w:lang w:eastAsia="ru-RU" w:bidi="ru-RU"/>
        </w:rPr>
        <w:softHyphen/>
        <w:t>большой - опытный. Это был хорошо зна</w:t>
      </w:r>
      <w:r w:rsidRPr="00D03F3E">
        <w:rPr>
          <w:rFonts w:ascii="Times New Roman" w:hAnsi="Times New Roman"/>
          <w:color w:val="0070C0"/>
          <w:sz w:val="16"/>
          <w:szCs w:val="16"/>
          <w:lang w:eastAsia="ru-RU" w:bidi="ru-RU"/>
        </w:rPr>
        <w:softHyphen/>
        <w:t>комый завод №156 в Москве, который он сам же и создавал. Приказом наркома авиапромышленности там прекращали ремонт самолетов других типов и про</w:t>
      </w:r>
      <w:r w:rsidRPr="00D03F3E">
        <w:rPr>
          <w:rFonts w:ascii="Times New Roman" w:hAnsi="Times New Roman"/>
          <w:color w:val="0070C0"/>
          <w:sz w:val="16"/>
          <w:szCs w:val="16"/>
          <w:lang w:eastAsia="ru-RU" w:bidi="ru-RU"/>
        </w:rPr>
        <w:softHyphen/>
        <w:t>изводство подвесных бензобаков. Зато там сосредоточили капитальный ремонт всех Ту-2, их доработку и модернизацию, а также опытные работы по совершенст</w:t>
      </w:r>
      <w:r w:rsidRPr="00D03F3E">
        <w:rPr>
          <w:rFonts w:ascii="Times New Roman" w:hAnsi="Times New Roman"/>
          <w:color w:val="0070C0"/>
          <w:sz w:val="16"/>
          <w:szCs w:val="16"/>
          <w:lang w:eastAsia="ru-RU" w:bidi="ru-RU"/>
        </w:rPr>
        <w:softHyphen/>
        <w:t>вованию бомбардировщика. В Москву из Омска требовалось перевезти приспосо</w:t>
      </w:r>
      <w:r w:rsidRPr="00D03F3E">
        <w:rPr>
          <w:rFonts w:ascii="Times New Roman" w:hAnsi="Times New Roman"/>
          <w:color w:val="0070C0"/>
          <w:sz w:val="16"/>
          <w:szCs w:val="16"/>
          <w:lang w:eastAsia="ru-RU" w:bidi="ru-RU"/>
        </w:rPr>
        <w:softHyphen/>
        <w:t>бления, инструмент, задел деталей и узлов.</w:t>
      </w:r>
    </w:p>
    <w:p w14:paraId="0686A33D" w14:textId="77777777" w:rsidR="00F40F75" w:rsidRPr="00D03F3E" w:rsidRDefault="00F40F7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Туполев получил статус главного кон</w:t>
      </w:r>
      <w:r w:rsidRPr="00D03F3E">
        <w:rPr>
          <w:rFonts w:ascii="Times New Roman" w:hAnsi="Times New Roman"/>
          <w:color w:val="0070C0"/>
          <w:sz w:val="16"/>
          <w:szCs w:val="16"/>
          <w:lang w:eastAsia="ru-RU" w:bidi="ru-RU"/>
        </w:rPr>
        <w:softHyphen/>
        <w:t>структора завода. В Москве формиро</w:t>
      </w:r>
      <w:r w:rsidRPr="00D03F3E">
        <w:rPr>
          <w:rFonts w:ascii="Times New Roman" w:hAnsi="Times New Roman"/>
          <w:color w:val="0070C0"/>
          <w:sz w:val="16"/>
          <w:szCs w:val="16"/>
          <w:lang w:eastAsia="ru-RU" w:bidi="ru-RU"/>
        </w:rPr>
        <w:softHyphen/>
        <w:t>вался филиал конструкторского бюро, ко</w:t>
      </w:r>
      <w:r w:rsidRPr="00D03F3E">
        <w:rPr>
          <w:rFonts w:ascii="Times New Roman" w:hAnsi="Times New Roman"/>
          <w:color w:val="0070C0"/>
          <w:sz w:val="16"/>
          <w:szCs w:val="16"/>
          <w:lang w:eastAsia="ru-RU" w:bidi="ru-RU"/>
        </w:rPr>
        <w:softHyphen/>
        <w:t>торое пока оставалось в Омске. Его раз</w:t>
      </w:r>
      <w:r w:rsidRPr="00D03F3E">
        <w:rPr>
          <w:rFonts w:ascii="Times New Roman" w:hAnsi="Times New Roman"/>
          <w:color w:val="0070C0"/>
          <w:sz w:val="16"/>
          <w:szCs w:val="16"/>
          <w:lang w:eastAsia="ru-RU" w:bidi="ru-RU"/>
        </w:rPr>
        <w:softHyphen/>
        <w:t>местили в том же здании КОСОС, где пре</w:t>
      </w:r>
      <w:r w:rsidRPr="00D03F3E">
        <w:rPr>
          <w:rFonts w:ascii="Times New Roman" w:hAnsi="Times New Roman"/>
          <w:color w:val="0070C0"/>
          <w:sz w:val="16"/>
          <w:szCs w:val="16"/>
          <w:lang w:eastAsia="ru-RU" w:bidi="ru-RU"/>
        </w:rPr>
        <w:softHyphen/>
        <w:t>жде находилась спецтюрьма НКВД.</w:t>
      </w:r>
    </w:p>
    <w:p w14:paraId="76311FCB" w14:textId="77777777" w:rsidR="00F40F75" w:rsidRPr="00D03F3E" w:rsidRDefault="00F40F75" w:rsidP="00D03F3E">
      <w:pPr>
        <w:spacing w:after="0" w:line="240" w:lineRule="auto"/>
        <w:jc w:val="both"/>
        <w:rPr>
          <w:rFonts w:ascii="Times New Roman" w:hAnsi="Times New Roman"/>
          <w:color w:val="0070C0"/>
          <w:sz w:val="16"/>
          <w:szCs w:val="16"/>
          <w:lang w:eastAsia="ru-RU" w:bidi="ru-RU"/>
        </w:rPr>
      </w:pPr>
      <w:r w:rsidRPr="00D03F3E">
        <w:rPr>
          <w:rFonts w:ascii="Times New Roman" w:hAnsi="Times New Roman"/>
          <w:color w:val="0070C0"/>
          <w:sz w:val="16"/>
          <w:szCs w:val="16"/>
          <w:lang w:eastAsia="ru-RU" w:bidi="ru-RU"/>
        </w:rPr>
        <w:t>Первоочередной задачей являлось увеличение максимальной скорости по</w:t>
      </w:r>
      <w:r w:rsidRPr="00D03F3E">
        <w:rPr>
          <w:rFonts w:ascii="Times New Roman" w:hAnsi="Times New Roman"/>
          <w:color w:val="0070C0"/>
          <w:sz w:val="16"/>
          <w:szCs w:val="16"/>
          <w:lang w:eastAsia="ru-RU" w:bidi="ru-RU"/>
        </w:rPr>
        <w:softHyphen/>
        <w:t>лета. В Омске экспериментировали с ма</w:t>
      </w:r>
      <w:r w:rsidRPr="00D03F3E">
        <w:rPr>
          <w:rFonts w:ascii="Times New Roman" w:hAnsi="Times New Roman"/>
          <w:color w:val="0070C0"/>
          <w:sz w:val="16"/>
          <w:szCs w:val="16"/>
          <w:lang w:eastAsia="ru-RU" w:bidi="ru-RU"/>
        </w:rPr>
        <w:softHyphen/>
        <w:t>шиной «103В». На нее поставили новые моторы с усовершенствованными нагне</w:t>
      </w:r>
      <w:r w:rsidRPr="00D03F3E">
        <w:rPr>
          <w:rFonts w:ascii="Times New Roman" w:hAnsi="Times New Roman"/>
          <w:color w:val="0070C0"/>
          <w:sz w:val="16"/>
          <w:szCs w:val="16"/>
          <w:lang w:eastAsia="ru-RU" w:bidi="ru-RU"/>
        </w:rPr>
        <w:softHyphen/>
        <w:t>тателями, доработанные магнето, изме</w:t>
      </w:r>
      <w:r w:rsidRPr="00D03F3E">
        <w:rPr>
          <w:rFonts w:ascii="Times New Roman" w:hAnsi="Times New Roman"/>
          <w:color w:val="0070C0"/>
          <w:sz w:val="16"/>
          <w:szCs w:val="16"/>
          <w:lang w:eastAsia="ru-RU" w:bidi="ru-RU"/>
        </w:rPr>
        <w:softHyphen/>
        <w:t>нили регулировку карбюраторов, немного улучшили аэродинамику планера. По рас</w:t>
      </w:r>
      <w:r w:rsidRPr="00D03F3E">
        <w:rPr>
          <w:rFonts w:ascii="Times New Roman" w:hAnsi="Times New Roman"/>
          <w:color w:val="0070C0"/>
          <w:sz w:val="16"/>
          <w:szCs w:val="16"/>
          <w:lang w:eastAsia="ru-RU" w:bidi="ru-RU"/>
        </w:rPr>
        <w:softHyphen/>
        <w:t>четам, планировали получить 560 км/ч (21060).</w:t>
      </w:r>
    </w:p>
    <w:p w14:paraId="559D9745" w14:textId="77777777" w:rsidR="00F40F75" w:rsidRPr="00D03F3E" w:rsidRDefault="00F40F75" w:rsidP="00D03F3E">
      <w:pPr>
        <w:spacing w:after="0" w:line="240" w:lineRule="auto"/>
        <w:jc w:val="both"/>
        <w:rPr>
          <w:rFonts w:ascii="Times New Roman" w:hAnsi="Times New Roman"/>
          <w:color w:val="0070C0"/>
          <w:sz w:val="16"/>
          <w:szCs w:val="16"/>
          <w:lang w:eastAsia="ru-RU" w:bidi="ru-RU"/>
        </w:rPr>
      </w:pPr>
    </w:p>
    <w:p w14:paraId="48D9D2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14/19 апреля 1943 г. по приказу № 233с гл. конструктором/ответственным руководителем завода № 156 (Завод № 156 НКОП, НКАП, МАП, ГКАТ, Завод опытных конструкций (ЗОК) ЦАГИ, ЗОК НКТП, НКОП, п/я-116, В-2877, ММЗ «Опыт» МАП, ММЗ им. А.Н. Туполева, АНТК им. А.Н. Туполева, АООТ «АНТК им. А.Н. Туполева» /г. Москва ул. Салтыковская, 3 (1942 г.); ул. Салтыковская, 5 (1947 г.)/ /111250  г. Москва наб. Академика Туполева, 15; 105005 наб. Академика Туполева, 17 тел. 267-25-33/) назначен А.Н. Туполев.</w:t>
      </w:r>
    </w:p>
    <w:p w14:paraId="675FA9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октября 1941 г. на площадке эвакуированного завода № 156 в Москве (Завод № 156 НКОП, НКАП, МАП, ГКАТ, Завод опытных конструкций (ЗОК) ЦАГИ, ЗОК НКТП, НКОП, п/я-116, В-2877, ММЗ «Опыт» МАП, ММЗ им. А.Н. Туполева, АНТК им. А.Н. Туполева, АООТ «АНТК им. А.Н. Туполева» /г. Москва ул. Салтыковская, 3 (1942 г.); ул. Салтыковская, 5 (1947 г.)/ /111250  г. Москва наб. Академика Туполева, 15; 105005 наб. Академика Туполева, 17 тел. 267-25-33/) по приказу № 1073с образованы ремонтные мастерские по приборам и изготовлению металлических деталей винтов при Ремотделе НКАП. Далее в системе 6ГУ НКАП начал действовать завод № 156. По приказу № 1168с от 16.12.1941 г. на завод № 156 переведена часть личного состава с завода № 207 НКАП, в 1942 г. они возвращены обратно. Пост. ГКО № 1293 от 16.02.1942 г. и приказом № 150с от 24.02.1942 г. было принято решение о переброске оборудования завода № 156 из г. Нейвинска в Москву и организации производства подвесных бензобаков для бомбардировщиков. Завод № 156 в 1942 г. действовал на старом месте (ул. Салтыковская). Производство амортизаторов для лыж, подвесных бензо- и маслобаков из целлюлозы конструкции ОКБ гл. конструктора П.В. Гулянского. Освоено производство ВАП-250 го целлюлозы.</w:t>
      </w:r>
    </w:p>
    <w:p w14:paraId="5BF3F8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на территории завода № 156 размещалось КБ М.И. Гудкова (переведено с завода № 21). Работы поГу-1.</w:t>
      </w:r>
    </w:p>
    <w:p w14:paraId="39A110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04.1943 г. завод № 156 передан из 6ГУ в 7ГУ НКАП, и началось возобновление работ по опытному самолетостроению.</w:t>
      </w:r>
    </w:p>
    <w:p w14:paraId="731378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Осенью 1943 г. КБ вернулось на площадку завода № 156 и продолжило работу как ОКБ-156 НКАП. В начале 1944 г. при заводе образован филиал ОКБ-166 НКАП для доводки Ту-2.</w:t>
      </w:r>
    </w:p>
    <w:p w14:paraId="4CF6C1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08.1943 г. заводу дано задание освоить производство бензофильтров, бензопистолетов, арматуры к бензо- и маслозаправщикам.</w:t>
      </w:r>
    </w:p>
    <w:p w14:paraId="3171B8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1946 г. на завод передано 150 станков с завода Эрля в  г. Гройтш (Германия), а всего - 208 трофейных металлорежущих станков.</w:t>
      </w:r>
    </w:p>
    <w:p w14:paraId="72ADFA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1960 г. завод № 156 - в ведении ГКАТ.</w:t>
      </w:r>
    </w:p>
    <w:p w14:paraId="176080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Ответственный руководитель (04.1943 г.-)- А.Н. Туполев.</w:t>
      </w:r>
    </w:p>
    <w:p w14:paraId="6C230C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(-05-13.11.1937 г.)- А.А. Осипов, (13.11.1937-13.04.1938 г.)- А.Т. Туманов, (13.04-11.1938 г.-)- М.А. Усачев, (1939 г.)- Ленкин, (09.1940-07.1941 г.; -11.1943-02.1945 г.-)- А.В. Ляпидевский, (12.1941 г.)- П.В. Гулянский, (-07.1943 г.)- С.С. Ржыщев; И.О. директора (08.1943 г.)- Новосельский; (1955 г.)- И.Б. Иосилович.</w:t>
      </w:r>
    </w:p>
    <w:p w14:paraId="17AD14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директора (06.1937 г.)- Б.А. Новосельский. Помощник директора по найму и увольнению рабочей силы (1.02.1937 г.-)- Н.Б. Суровцев.</w:t>
      </w:r>
    </w:p>
    <w:p w14:paraId="660B15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Технический директор (07.1936 г.-)- В.М. Петляков, (28.05-08.1938 г.-)- Н.Н. Поликарпов. Директор по общим вопросам (-2005-06 г.-)- </w:t>
      </w:r>
      <w:r w:rsidRPr="00D03F3E">
        <w:rPr>
          <w:rFonts w:ascii="Times New Roman" w:hAnsi="Times New Roman"/>
          <w:color w:val="000000" w:themeColor="text1"/>
          <w:sz w:val="16"/>
          <w:szCs w:val="16"/>
          <w:lang w:val="en-US"/>
        </w:rPr>
        <w:t>A</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M</w:t>
      </w:r>
      <w:r w:rsidRPr="00D03F3E">
        <w:rPr>
          <w:rFonts w:ascii="Times New Roman" w:hAnsi="Times New Roman"/>
          <w:color w:val="000000" w:themeColor="text1"/>
          <w:sz w:val="16"/>
          <w:szCs w:val="16"/>
        </w:rPr>
        <w:t>. Затучный.</w:t>
      </w:r>
    </w:p>
    <w:p w14:paraId="52518A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(06.1937 г.)- Б.А. Новосельский.</w:t>
      </w:r>
    </w:p>
    <w:p w14:paraId="1D2C26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(1940 г.)- С.А. Кочеригин, (04.1943 г.-)- А.Н. Туполев.</w:t>
      </w:r>
    </w:p>
    <w:p w14:paraId="41BD48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конструктора (07.1936 г.-)- П.О. Сухой.</w:t>
      </w:r>
    </w:p>
    <w:p w14:paraId="15920B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отделов: КО (07.1936 г.-)- В.М. Петляков.</w:t>
      </w:r>
    </w:p>
    <w:p w14:paraId="1EDC44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отдела: КО (07.1936 г.-)- П.О. Сухой; ОТК (07.1938 г.)- А.С. Комаленков.</w:t>
      </w:r>
    </w:p>
    <w:p w14:paraId="032FE7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КО (1937 г.-)- П.О. Сухой.</w:t>
      </w:r>
    </w:p>
    <w:p w14:paraId="5FBF0D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департамента по связям с общественностью (2005 г.)- Т.В. Скворцова.</w:t>
      </w:r>
    </w:p>
    <w:p w14:paraId="3F7D66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Производство: самолеты: «Иванов» (1938)- 1, И-180 (1938)- 2, «100». (1939)- 1, ДБ-Ж (1940)- 1, «103» (1940)- 1, «ЮЗУ» (04.1941)- 1, «103В» (1941)- 1, «370» (1941)- 1, Ту-2Д («62», 1944-45)- 2, Ту-14 («73», 1947)- 3, «82» (1949)- 1, Ту-16 («88», 1952-53)- 2, Ту-91 (1954)- 1, Ту-98 («98», 1955-)- 2, «105» (1958)- 1, Ту-160 (1981)- 3 (из деталей КАПО); торпедные катера: Г-6 (1935)- 1, Г-8 (1937)- 1 (11982).</w:t>
      </w:r>
    </w:p>
    <w:p w14:paraId="48C55DCE" w14:textId="77777777" w:rsidR="00F14A5F" w:rsidRPr="00D03F3E" w:rsidRDefault="00F14A5F"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AC8E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14/19.04.1943 г. Приказом № 233с Туполев назначен гл. конструктором/ ответственным руководителем завода № 156. Осенью 1943 г. КБ вернулось из Омска на площадку завода № 156 и действовало как ОКБ-156 НКАП.</w:t>
      </w:r>
    </w:p>
    <w:p w14:paraId="34D1E6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вновь организованном заводе № 156 созданы отделы: вооружения, в который входили бригады Д.А. Горского, С.И. Савельева; специальных конструкций (средства спасения, высотное и бытовое оборудование).</w:t>
      </w:r>
    </w:p>
    <w:p w14:paraId="737856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Во время ВОВ в состав ОКБ-156 вошло КБ Голубкова, занимавшееся до этого внедрением в серию самолетов В-25, </w:t>
      </w:r>
      <w:r w:rsidRPr="00D03F3E">
        <w:rPr>
          <w:rFonts w:ascii="Times New Roman" w:hAnsi="Times New Roman"/>
          <w:color w:val="000000" w:themeColor="text1"/>
          <w:sz w:val="16"/>
          <w:szCs w:val="16"/>
          <w:lang w:val="en-US"/>
        </w:rPr>
        <w:t>DC</w:t>
      </w:r>
      <w:r w:rsidRPr="00D03F3E">
        <w:rPr>
          <w:rFonts w:ascii="Times New Roman" w:hAnsi="Times New Roman"/>
          <w:color w:val="000000" w:themeColor="text1"/>
          <w:sz w:val="16"/>
          <w:szCs w:val="16"/>
        </w:rPr>
        <w:t>-3. Затем Голубков работал самостоятельно. В 1954 г. в состав ОКБ-156 вновь влился штат ликвидированного ОКБ-ЗО МАП гл. конструктора А.П. Голубкова, который стал замом Туполева по гражданским самолетам.</w:t>
      </w:r>
    </w:p>
    <w:p w14:paraId="6AA19D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возвращения коллектива в Москву продолжены работы по модификациям Ту-2. В соответствии с пост. ГКО № 5947 от 22.05.1944 г. создан опытный СДБ («63»), По пр. № 444 от 20.07.1944 г. создан опытный Ту-2М с АШ-83ФН. В соответствии с ПСМ № 472-191 от 26.02.1946 г. разрабатывались варианты Ту-2 с двигателями М- 250 и с М-93 (Ту-6), пост. № 2548-1065 от 30.11.1946 г. и № 493-192 от 11.03.1947 г., соответственно, работы прекращены. Создан фоторазведчик Ту-2Ф, пост. СМ СССР № 2941-957 от 22.08.1947 г. он пнв под обозначением Ту-6. В 1946 г. создан опытный Ту-2Д («65»), по пр. № 766 от 4.12.1946 г. работы по нему прекращены. В 1947 г. выпущена малая серия Ту-10 - последнего отечественного бомбардировщика с поршневыми двигателями. В соответствии с ПСМ № 760-288 от 22.02.1949 г. проводились работы по буксировке за Ту-2 истребителя Як-23 с возможностью отцепки и повторной сцепки в воздухе.</w:t>
      </w:r>
    </w:p>
    <w:p w14:paraId="552197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1944 г.- разработка проекта тяжелого бомбардировщика «64», приказом № 223 от 16.04.1947 г. работы прекращены.</w:t>
      </w:r>
    </w:p>
    <w:p w14:paraId="04CD0D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 началом масштабных работ по Б-4 (Ту-4) в соответствии с пост. ГКО № 8934 от 6.06.1945 г., по приказу № 263сс от 22.06.1945 г. образован филиал ОКБ на заводе № 22. Для этого в подчинение ОКБ-156 передано ОКБ-22 гл. конструктора И.Ф. Незваля с остатками коллектива гл. конструктора В.М. Мясищева. Далее по приказам № 341с от 14.08.1945 г. и № 371с от 8.09.1945 г. в распоряжение ОКБ-156 в качестве филиала передан филиал завода № 301 (переведен из 1ГУ в 7ГУ), включивший также в свой состав штат и оборудование филиала завода № 134 НКАП. В 1948 г. ОКБ-22 переведено в состав завода № 22. В 1957 г. вновь действовал филиал ОКБ- 156 на заводе № 22.</w:t>
      </w:r>
    </w:p>
    <w:p w14:paraId="498F85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1949-51 г. сформирована Летно-доводочная база (ДЦБ, затем- ЛИиДБ) ОКБ в Жуковском. Там имелись административно-бытовое здание, ангарный комплекс, ангар-навес.</w:t>
      </w:r>
    </w:p>
    <w:p w14:paraId="2201F8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1954 г. образован филиал в Томилино. Работы по Ту-4, Ту-16, Ту-95ЛАЛ, Ту-124, БПЛА Ту-123.</w:t>
      </w:r>
    </w:p>
    <w:p w14:paraId="40983E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03.1956 г. создан филиал ОКБ-156 на заводе № 18. Проектировались Ту-115, Ту-126. Работы по Ту-95, Ту- 142, Ту-154.</w:t>
      </w:r>
    </w:p>
    <w:p w14:paraId="2B986B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1956-57 г. в ОКБ создан отдел «К» по разработке БПЛА, который возглавил А.А. Туполев.</w:t>
      </w:r>
    </w:p>
    <w:p w14:paraId="1160CF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1940-е  г. проекты самолетов в ОКБ имели нумерацию: «471» - 1-й проект 1947 г.; «485» - 5-й проект 1948 г.</w:t>
      </w:r>
      <w:r w:rsidRPr="00D03F3E">
        <w:rPr>
          <w:rFonts w:ascii="Times New Roman" w:hAnsi="Times New Roman"/>
          <w:color w:val="000000" w:themeColor="text1"/>
          <w:sz w:val="16"/>
          <w:szCs w:val="16"/>
          <w:vertAlign w:val="superscript"/>
        </w:rPr>
        <w:t>30</w:t>
      </w:r>
    </w:p>
    <w:p w14:paraId="4A16EE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ПСМ № 472-191 от 02.1946 г. начата разработка пассажирского варианта Ту-4 - самолета Ту- 70 («70», Ту-12). В соответствии с ПСМ № 3140-1028 от 8.09.1947 г. начата разработка Ту-4К в составе РК «Комета», в 1953 г. он пнв. В соответствии с ПСМ № 3159-1317 от 14.07.1950 г. велось создание системы «Бурлаки»: буксировке за Ту-4 истребителя МиГ-15бис. Пост, правительства № 3193-1214 от 10.07.1952 г. серийный выпуск Ту-4 прекращен.</w:t>
      </w:r>
    </w:p>
    <w:p w14:paraId="6CCD5D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1947 г. разработан проект фронтового бомбардировщика «73». Пост, правительства № 493-192 от 11.03.1947 г. утверждена его постройка, а также начата разработка дальнего бомбардировщика «69» (Ту-8). Пост. № 2941-957 от 22.08.1947 г. определена разработка «73» в варианте разведчика. Была начата подготовка к серийному выпуску самолета на заводе № 23, но пост. № 1890-700 от 14.05.1949 г. работы прекращены.</w:t>
      </w:r>
    </w:p>
    <w:p w14:paraId="1D80F9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ПСМ № 2052-804 от 12.06.1948 г. начата разработка тяжелого бомбардировщика Ту-80 со сроком предъявления на испытания в середине 1949 г. Пост. № 3929-1608 от 16.09.1949 г. опытный самолет был передан для проведения летных исследований; этим же постановлением задана разработка бомбардировщика Ту- 85. В соответствии с ПСМ № 4764-2062 от 28.11.1950 г. и приказом МАП № 240 начата подготовка к серийному выпуску самолета на заводах № 18, 22 и 23, но самолет не строился. Ту-85 стал последним построенным отечественным бомбардировщиком с поршневыми двигателями; его взлетная масса впервые в СССР превысила 100 т.</w:t>
      </w:r>
    </w:p>
    <w:p w14:paraId="77DEB2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ПСМ № 2474-974 от 10.06.1950 г. на базе проектов 1949 г. «494» и «495» начата разработка дальнего бомбардировщика «88» с 2 двигателями АМ-3. 1-й опытный экземпляр взлетел 27.04.1952 г. Пост. № 3193-1214 от 10.07.1952 г. Ту-16 запущен в серию на заводе № 22. В соответствии с ПСМ № 1034-443 от 28.05.1954 г. Ту-16 пнв. В соответствии с ПСМ № 1659-657 от 3.07.1953 г. создан разведчик Ту-16Р («92»), пост. № 1545-777 от 3.12.1956 г. Ту-16Р пнв. В соответствии с ПСМ № 788-437 от 11.06.1956 г. разработан Ту-16Р-1 с новым комплексом оборудования. По пр. № 44 от 17.09.1953 г. создан заправщик Ту-163, по постановлению от 24.05.1954 г. создан опытный заправщик Ту-16Н для дозаправки двух МиГ-19. В соответствии с ПСМ № 2253- 1069 от 3.11.1954 г. был испытан опытный Ту-16 с кормовой оборонительной установкой, стреляющей реактивными ТРС. По распоряжению от 12.07.1954 г. создан торпедоносец Ту-16Т. В соответствии с ПСМ № 163- 97сс от 2.02.1955 г. Ту-16Т пнв. В соответствии с пост.ениями правительства № 178-110 от 3.02.1955 г. и № 1946- 1045 от 16.11.1955 г. начата разработка носителя Ту-16К-10 ПКР К-10С комплекса «Комета-10». Решением от 31.12.1958 г. самолет запущен в серию на заводе № 22, пост. № 742-315 от 12.08.1961 г. он пнв. По постановлению от 26.11.1955 г. велись работы (шифр «Архангельск») по размещению на Ту-16 радиоуправляемой спасательной лодки. В соответствии с ПСМ № 424-261сс от 28.03.1956 г. построен опытный Ту-16Б с двигателями М16-15. В соответствии с ПСМ № 1528-768 от 23.11.1956 г. начата разработка радиоуправляемой мишени М-16 на базе Ту- 16. Пост, от 4.02.1961 г. начаты работы по Ту-16КСР-2 комплекса К-16 с предъявлением на испытания к 15.04.1961 г., пост. № 1184-514 от 30.12.1961 г. он пнв. Пост. № 314-157 от 13.04.1962 г. пнв Ту-16КСР-2-11 комплекса К-11. В соответствии с ПСМ № 838-357 от 11.08.1962 г. начата отработка Ту-16К-26 комплекса К-26, пост. № 882-315 от 12.11.1969 г. он пнв. Пост. № 123-43 от 7.02.1964 г. задана разработка Ту-16К-26П, носителя КСР-5П с пассивной ГСН, пост. № 643-205 от 4.09.1973 г. он пнв. Пост. № 552-229 от 23.06.1964 г. задана разработка Ту-16К-10-26 комплекса К-34, пост. № 882-315 от 12.11.1969 г. и пр. МО от 4.12.1969 г. он пнв. В соответствии с ПСМ № 1081-370 от 22.11.1967 г. создан радиационный разведчик Ту-16РР.</w:t>
      </w:r>
    </w:p>
    <w:p w14:paraId="357679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1950 г. разработан проект палубного торпедоносца «507». В соответствии с ПСМ от 04.1951 г. на его базе в 1954 г. построен опытный пикирующий бомбардировщик-торпедоносец Ту-91 (в ОКБ неофициально именовался «Чиж-Пин-Бог-15Ш»).</w:t>
      </w:r>
    </w:p>
    <w:p w14:paraId="1D291F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соответствии с ПСМ № 2396-1137 от 11.07.1951 г. начата разработка скоростного тяжелого бомбардировщика Ту-95. В соответствии с ПСМ № 1551-544 от 29.03.1952 г. создан высотный Ту-96, в 03.1956 г. работы прекращены. Пост, от 11.03.1954 г. задана разработка Ту-95К комплекса К-20 с УР Х-20, 9.09.1960 г. он пнв. В соответствии с пост.ениями от 2.07.1959 г. и от 20.05.1960 г. разработан Ту-95КД с системой дозаправки. Пост. № 1606-727 от 30.07.1954 г. была задана разработка летающей лаборатории на базе Ту-95 для испытаний самолета «100». Пост. № 710-338 от 2.07.1958 г. задана разработка Ту-95К-10 - ностиеля УР К-10С. В соответствии с ПСМ от 12.08.1955 г. на базе Ту-95 начата разработка пассажирского Ту-114. В соответствии с ПСМ от 31.07.1958 г. разрабатывался Ту-95С - носитель стратегической КР С-30, в 02.1960 г. тема закрыта. В соответствии с ПСМ от 21.07.1959 г. начата разработка самолета </w:t>
      </w:r>
      <w:r w:rsidRPr="00D03F3E">
        <w:rPr>
          <w:rFonts w:ascii="Times New Roman" w:hAnsi="Times New Roman"/>
          <w:color w:val="000000" w:themeColor="text1"/>
          <w:sz w:val="16"/>
          <w:szCs w:val="16"/>
          <w:lang w:val="en-US"/>
        </w:rPr>
        <w:t>PJI</w:t>
      </w:r>
      <w:r w:rsidRPr="00D03F3E">
        <w:rPr>
          <w:rFonts w:ascii="Times New Roman" w:hAnsi="Times New Roman"/>
          <w:color w:val="000000" w:themeColor="text1"/>
          <w:sz w:val="16"/>
          <w:szCs w:val="16"/>
        </w:rPr>
        <w:t>, радиотехнической и фоторазведки Ту-95РЦ, пост, от 30.05.1966 г. самолет пнв. В соответствии с ПСМ от 20.05.1960 г. начата разработка разведчика Ту-95Р, распоряжением № 65 от 9.01.1962 г. серийный Ту-95М переоборудован в Ту-95Р. Пост. СМ № 358-128 от 30.04.1965 г. задана разработка и постройка дальнего противолодочного самолета Ту-142. В соответствии с ПСМ № 104-36 от 13.02.1973 г. Ту-95 был переоборудован в Ту-95М-5 - носитель УР КСР-5, в 05.1977 г. работы прекращены; в соответствии с тем же пост. Ту-95К переоборудовались в Ту-95К-22 - носители Х-22. В соответствии с ПСМ от 9.12.1976 г. разрабатывался Ту-95МА - носитель ракет «Метеорит-А», в 1984 г. работы прекращены.</w:t>
      </w:r>
    </w:p>
    <w:p w14:paraId="4DB200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1953 г. велись работы по подвесному бомбардировщику «100» - носителю ядерной бомбы в составе стратегической системы «108». Официально создание самолета задано пост. № 1606-727 от 30.07.1954 г. Работы прекращены в 1958 г.</w:t>
      </w:r>
    </w:p>
    <w:p w14:paraId="40C16D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12.04.1954 г. вышло постановление СМ СССР № 683-301сс «О постройке фронтового бомбардировщика со сверхзвуковыми скоростями конструкции Туполева» с предъявлением на Госиспытания в 12.1956 г. Пост. № 1013-482 от 02.1958 г. работы по Ту-98 прекращены.</w:t>
      </w:r>
    </w:p>
    <w:p w14:paraId="577F5E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соответствии с ПСМ № 1605-726 от 30.07.1954 г. начата разработка дальних бомбардировщиков: «105» с двигателями ВД-5Ф и «106» с </w:t>
      </w:r>
      <w:r w:rsidRPr="00D03F3E">
        <w:rPr>
          <w:rFonts w:ascii="Times New Roman" w:hAnsi="Times New Roman"/>
          <w:color w:val="000000" w:themeColor="text1"/>
          <w:sz w:val="16"/>
          <w:szCs w:val="16"/>
          <w:lang w:val="en-US"/>
        </w:rPr>
        <w:t>AM</w:t>
      </w:r>
      <w:r w:rsidRPr="00D03F3E">
        <w:rPr>
          <w:rFonts w:ascii="Times New Roman" w:hAnsi="Times New Roman"/>
          <w:color w:val="000000" w:themeColor="text1"/>
          <w:sz w:val="16"/>
          <w:szCs w:val="16"/>
        </w:rPr>
        <w:t>-19 или ВД-9. Пост. № 1317-752 уже ставилась задача создания бомбардировщика с двигателями НК-6, которые должны были быть представлены на Госиспытания в 4-м квартале 1957 г. Пост. № 426-201 от 17.04.1958 г. ОКБ поручена разработка Ту-22 на базе проектов «105» и «106». 23.02.1960 г. вышло постановление СМ СССР № 219-82 «О создании дальнего сверхзвукового самолета- разведчика ТУ-22Р». 23.04.1960 г. - постановление № 440-177 «О дальнейшем производстве самолетов Ту-22». В соответствии с решением ВПК от 01.1974 г. и ПСМ № 534-187 от 26.06.1974 г. начата разработка Ту-22МЗ с двигателями НК-25.</w:t>
      </w:r>
    </w:p>
    <w:p w14:paraId="4C4EF7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соответствии с ПСМ № 1561-868 от 12.08.1955 г. ОКБ поручено создание первого отечественного самолета с ЯСУ, выполнена комплексная НИР. В соответствии с ПСМ от 26.03.1956 г. начато проектирование </w:t>
      </w:r>
      <w:r w:rsidRPr="00D03F3E">
        <w:rPr>
          <w:rFonts w:ascii="Times New Roman" w:hAnsi="Times New Roman"/>
          <w:color w:val="000000" w:themeColor="text1"/>
          <w:sz w:val="16"/>
          <w:szCs w:val="16"/>
          <w:lang w:val="en-US"/>
        </w:rPr>
        <w:t>Ty</w:t>
      </w:r>
      <w:r w:rsidRPr="00D03F3E">
        <w:rPr>
          <w:rFonts w:ascii="Times New Roman" w:hAnsi="Times New Roman"/>
          <w:color w:val="000000" w:themeColor="text1"/>
          <w:sz w:val="16"/>
          <w:szCs w:val="16"/>
        </w:rPr>
        <w:t>-95</w:t>
      </w:r>
      <w:r w:rsidRPr="00D03F3E">
        <w:rPr>
          <w:rFonts w:ascii="Times New Roman" w:hAnsi="Times New Roman"/>
          <w:color w:val="000000" w:themeColor="text1"/>
          <w:sz w:val="16"/>
          <w:szCs w:val="16"/>
          <w:lang w:val="en-US"/>
        </w:rPr>
        <w:t>JIAJI</w:t>
      </w:r>
      <w:r w:rsidRPr="00D03F3E">
        <w:rPr>
          <w:rFonts w:ascii="Times New Roman" w:hAnsi="Times New Roman"/>
          <w:color w:val="000000" w:themeColor="text1"/>
          <w:sz w:val="16"/>
          <w:szCs w:val="16"/>
        </w:rPr>
        <w:t>. В 05-08.1961 г. выполнено 34 полета, в т.ч. с работающим реактором. Дальнейшее развитие - «119».</w:t>
      </w:r>
    </w:p>
    <w:p w14:paraId="0C73B2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соответствии с пост. СМ СССР № 1172-516сс от 11.06.1954 г. начато создание Ту-104. 11.04.1958 г. вышло распоряжение правительства № 1144-рс о доработке Ту-104 под десантное и санитарное оборудование; 18.07.1958 г. - распоряжение № 2314-рс о выпуске Ту-104А, приспособленных под санитарное оборудование. 27.12.1958 г. вышло постановление правительства № 1408-688 «О катастрофах самолётов Ту-104 и мерах повышения безопасности полётов на этих самолётах». В 11.1960 г. на базе Ту-104 создана </w:t>
      </w:r>
      <w:r w:rsidRPr="00D03F3E">
        <w:rPr>
          <w:rFonts w:ascii="Times New Roman" w:hAnsi="Times New Roman"/>
          <w:color w:val="000000" w:themeColor="text1"/>
          <w:sz w:val="16"/>
          <w:szCs w:val="16"/>
          <w:lang w:val="en-US"/>
        </w:rPr>
        <w:t>JIJI</w:t>
      </w:r>
      <w:r w:rsidRPr="00D03F3E">
        <w:rPr>
          <w:rFonts w:ascii="Times New Roman" w:hAnsi="Times New Roman"/>
          <w:color w:val="000000" w:themeColor="text1"/>
          <w:sz w:val="16"/>
          <w:szCs w:val="16"/>
        </w:rPr>
        <w:t xml:space="preserve"> для подготовки космонавтов в невесомости.</w:t>
      </w:r>
    </w:p>
    <w:p w14:paraId="4D9D4A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соответствии с пост. СМ № 1145-519 от 23.09.1957 г. началась разработка изд. «С» («121»), в 1959 г.- бросковые пуски. Пост. СМ от 1960 г. работы по Ту-121 прекращены. В соответствии с пост. СМ № 900-376 от 16.08.1960 г. на базе «С» начались работы по системе дальней беспилотной разведки ДБР-1 «Ястреб» с Ту-123. </w:t>
      </w:r>
      <w:r w:rsidRPr="00D03F3E">
        <w:rPr>
          <w:rFonts w:ascii="Times New Roman" w:hAnsi="Times New Roman"/>
          <w:color w:val="000000" w:themeColor="text1"/>
          <w:sz w:val="16"/>
          <w:szCs w:val="16"/>
        </w:rPr>
        <w:lastRenderedPageBreak/>
        <w:t>Пост. СМ от 23.05.1964 г. он принят на вооружение. На вооружении- до 1979 г. В соответствии с пост.ениями правительства от 08.1968 г. и от 09.1975 г. создан оперативно-тактический разведчик «123П». В соответствии с пост. Правительства от 03.1981 г. создан разведчик «243» («Рейс-Д»), строился серийно с 1999 г. С 1983 г. разрабатывался многоцелевой Ту-300 «Коршун».</w:t>
      </w:r>
    </w:p>
    <w:p w14:paraId="262E36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18.07.1958 г. вышло постановление СМ СССР о создании Ту-124.</w:t>
      </w:r>
    </w:p>
    <w:p w14:paraId="55F74A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ПСМ № 867-408 от 31.07.1958 г. начато проектирование низковысотного дальнего бомбардировщика «132», эскизный проект создан в 1960 г.</w:t>
      </w:r>
    </w:p>
    <w:p w14:paraId="0AFC84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30.05.1960 г. вышло постановление СМ СССР № 567-230 «О мероприятиях по обеспечению разработки самолета радиолокационного дозора Ту-126». Пост. СМ № 363-133 от 30.04.1965 г. Ту-126 пнв.</w:t>
      </w:r>
    </w:p>
    <w:p w14:paraId="147E30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правительства № 826-341 от 1.08.1960 г. началась разработка Ту-124А (Ту-134).</w:t>
      </w:r>
    </w:p>
    <w:p w14:paraId="480B8B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ПСМ№ 1084-444 от 12.10.1960 г. начата разработка самолета Ту-110Д.</w:t>
      </w:r>
    </w:p>
    <w:p w14:paraId="7DE968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1963 г. было принято постановление СМ СССР о создании сверхзвукового пассажирского самолета Ту- 144 («044»),</w:t>
      </w:r>
    </w:p>
    <w:p w14:paraId="7E6ADD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ПСМ № 362-132 от 30.04.1965 г. комплекс перехвата Ту-28-80 пнв.</w:t>
      </w:r>
    </w:p>
    <w:p w14:paraId="64B9D7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ПСМ № 1098-378 от 8.11.1967 г. начата разработка Ту-22М с изменяемой геометрией крыла.</w:t>
      </w:r>
    </w:p>
    <w:p w14:paraId="488676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1960-е  г. созданы, строились серийно аэросани 2-го поколения А-3. В 2000-е  г. созданы аэросани-амфибия АС-2.</w:t>
      </w:r>
    </w:p>
    <w:p w14:paraId="696C98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ОКБ-156 имело испытательную базу во Владимировке ( г. Ахтубинск), в 08.1959 г. здесь испытан Ту-121; экспериментальную базу Половинка в районе  г. Семипалатинска (здесь в 1961 г. испытывался Ту-95ЛАЛ).</w:t>
      </w:r>
    </w:p>
    <w:p w14:paraId="0621AD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Имелся Томилинский филиал (1957 г.), здесь велись работы по поисково-спасательному Ту-16С с катером «Фрегат».</w:t>
      </w:r>
    </w:p>
    <w:p w14:paraId="550512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1961 г. образован филиал ОКБ на заводе № 64 МАП ( г. Воронеж). Работы по сопровождению серии Ту-16, Ту-128, Ту-144. Действовал в 2006 г. (серийный выпуск аэросаней АС-2).</w:t>
      </w:r>
    </w:p>
    <w:p w14:paraId="3EAEC4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1978 г. в качестве филиала в ОКБ-156 вошел Закарпатский машиностроительный завод, далее- ЗВПО.</w:t>
      </w:r>
    </w:p>
    <w:p w14:paraId="51A992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СМ СССР № 127-39 от 28.01.1981 г. на базе Ту-134А создан Ту-134СХ.</w:t>
      </w:r>
    </w:p>
    <w:p w14:paraId="717268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1988 г. образован филиал ОКБ на УАПК (Ульяновск) по внедрению в производство Ту-204.</w:t>
      </w:r>
    </w:p>
    <w:p w14:paraId="4D16DA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 принимало участие в программе создания ОК «Буран».</w:t>
      </w:r>
    </w:p>
    <w:p w14:paraId="00D142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состав ОКБ входили: здание ЛИК с лабораторией статических испытаний; лабораторно-производственный корпус № 9 (фасад выходит на набережную Яузы).</w:t>
      </w:r>
    </w:p>
    <w:p w14:paraId="76E091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08.1957 г. - в ведении 1ГУ МАП. ОКБ-156 ГКАТ в 1966 г. переименовано в Московский машиностроительный завод (ММЗ) «Опыт», с 1973 г. - ММЗ «Опыт» им. А.Н. Туполева МАП. В 1989 г. преобразовано в АНТК им. А.Н. Туполева. С 1993 г. - АООТ «АНТК им. А.Н. Туполева». В соответствии с пост. Правительства № 720 от 30.06.1999 г. образовано ОАО «Туполев», в которое вошли «АНТК им. Туполева» со всеми конструкторскими мощностями и АО «Авиастар». По решению правительства № 22-р от 9.01.2004 г. и Указу Президента РФ № 1009 от 4.08.2004 г. ОАО «Туполев» вошло в число стратегических оборонных предприятий. По Указу Президента РФ от 20.02.2006 г. вошло в ОАО </w:t>
      </w:r>
      <w:r w:rsidRPr="00D03F3E">
        <w:rPr>
          <w:rFonts w:ascii="Times New Roman" w:hAnsi="Times New Roman"/>
          <w:color w:val="000000" w:themeColor="text1"/>
          <w:sz w:val="16"/>
          <w:szCs w:val="16"/>
          <w:lang w:val="en-US"/>
        </w:rPr>
        <w:t>OAK</w:t>
      </w:r>
      <w:r w:rsidRPr="00D03F3E">
        <w:rPr>
          <w:rFonts w:ascii="Times New Roman" w:hAnsi="Times New Roman"/>
          <w:color w:val="000000" w:themeColor="text1"/>
          <w:sz w:val="16"/>
          <w:szCs w:val="16"/>
        </w:rPr>
        <w:t>.</w:t>
      </w:r>
    </w:p>
    <w:p w14:paraId="202B16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1990-х  г. на КАПО действовало АО «Казанское КБ «АНТК им. А.Н. Туполева» (начальник- Э.М. Соркин). Действовали филиалы в Воронеже, Ульяновске, Самаре, Томилино; представительства- в Киеве и Таганроге.</w:t>
      </w:r>
    </w:p>
    <w:p w14:paraId="3007DE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2000-м  г. за время существования ОКБ было разработано более 300 проектов ЛА, аэросаней и катеров. Более 80 проектов реализованы в металле, 35- строились серийно.</w:t>
      </w:r>
    </w:p>
    <w:p w14:paraId="38DCFC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Работы (2002 г.): по пассажирским самолетам Ту-334, Ту-324, Ту-234, Ту-214, грузовьм Ту-330, Ту-230, Ту- 130, сельскохозяйственному Ту-54, легкому многоцелевому Ту-34, ВКС Ту-2000. (2006 г.): модернизация Ту- 142МЭ в </w:t>
      </w:r>
      <w:r w:rsidRPr="00D03F3E">
        <w:rPr>
          <w:rFonts w:ascii="Times New Roman" w:hAnsi="Times New Roman"/>
          <w:color w:val="000000" w:themeColor="text1"/>
          <w:sz w:val="16"/>
          <w:szCs w:val="16"/>
          <w:lang w:val="en-US"/>
        </w:rPr>
        <w:t>Ty</w:t>
      </w:r>
      <w:r w:rsidRPr="00D03F3E">
        <w:rPr>
          <w:rFonts w:ascii="Times New Roman" w:hAnsi="Times New Roman"/>
          <w:color w:val="000000" w:themeColor="text1"/>
          <w:sz w:val="16"/>
          <w:szCs w:val="16"/>
        </w:rPr>
        <w:t>-142</w:t>
      </w:r>
      <w:r w:rsidRPr="00D03F3E">
        <w:rPr>
          <w:rFonts w:ascii="Times New Roman" w:hAnsi="Times New Roman"/>
          <w:color w:val="000000" w:themeColor="text1"/>
          <w:sz w:val="16"/>
          <w:szCs w:val="16"/>
          <w:lang w:val="en-US"/>
        </w:rPr>
        <w:t>MSD</w:t>
      </w:r>
      <w:r w:rsidRPr="00D03F3E">
        <w:rPr>
          <w:rFonts w:ascii="Times New Roman" w:hAnsi="Times New Roman"/>
          <w:color w:val="000000" w:themeColor="text1"/>
          <w:sz w:val="16"/>
          <w:szCs w:val="16"/>
        </w:rPr>
        <w:t xml:space="preserve"> для Индии. (2008 г.): правительственные Ту-214СР, Ту-214ПУ и Ту-214СУС.</w:t>
      </w:r>
    </w:p>
    <w:p w14:paraId="10CD75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состав АНТК входили (2002 г.): ЦКБ ( г. Москва), Экспериментальный завод ( г. Москва), Жуковская ЛИиДБ, Томилинский филиал, Казанское КБ, Воронежское КБ, Самарское КБ, Ульяновский филиал, Таганрогское представительство, Украинское отделение ( г. Киев).</w:t>
      </w:r>
      <w:r w:rsidRPr="00D03F3E">
        <w:rPr>
          <w:rFonts w:ascii="Times New Roman" w:hAnsi="Times New Roman"/>
          <w:color w:val="000000" w:themeColor="text1"/>
          <w:sz w:val="16"/>
          <w:szCs w:val="16"/>
          <w:vertAlign w:val="superscript"/>
        </w:rPr>
        <w:t>69</w:t>
      </w:r>
    </w:p>
    <w:p w14:paraId="352987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территории (наб. Академика Туполева, 2009 г.)- 7 га.</w:t>
      </w:r>
    </w:p>
    <w:p w14:paraId="154DB4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(19.04.1943-56 г.)- А.Н. Туполев. Ген. конструктор (12.1956-72 г.)- г-п академик (1953 г.) А.Н. Туполев {29.10.1888-22.12.1972}, (1973-12.1992 г.)- академик (1984 г.) А.А. Туполев {20.05.1925-12.05.2001}, (12Л992 г.-&gt; В.Т. Климов, (2001-07 г.-)- И.С. Шевчук {30.01.1953-}.</w:t>
      </w:r>
    </w:p>
    <w:p w14:paraId="60FF3C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1-й зам. ген. конструктора (1947 г.-)- А.А. Архангельский, (начало 1970-х  г.)- Н.И. Базенков, (2005 г.)- О. Алашеев. Помощник гл. конструктора по вооружению (1931 г.-)- А.В. Надашкевич. Зам. гл., Ген. конструктора (1945-; 1960-е)- И.Ф. Незваль, (1930-е; 11.1949-53 г.)- П.О. Сухой, (1953 г.-)- </w:t>
      </w:r>
      <w:r w:rsidRPr="00D03F3E">
        <w:rPr>
          <w:rFonts w:ascii="Times New Roman" w:hAnsi="Times New Roman"/>
          <w:color w:val="000000" w:themeColor="text1"/>
          <w:sz w:val="16"/>
          <w:szCs w:val="16"/>
          <w:lang w:val="en-US"/>
        </w:rPr>
        <w:t>A</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M</w:t>
      </w:r>
      <w:r w:rsidRPr="00D03F3E">
        <w:rPr>
          <w:rFonts w:ascii="Times New Roman" w:hAnsi="Times New Roman"/>
          <w:color w:val="000000" w:themeColor="text1"/>
          <w:sz w:val="16"/>
          <w:szCs w:val="16"/>
        </w:rPr>
        <w:t>. Черемухин, (1962 г.-)- Л.Л. Селяков, (1941-66 г.-)- А.А. Архангельский, (1970-е)- С.М. Егер, (1963-73 г.)- А.А. Туполев, (1990-е)- А.И. Кандалов; по пассажирским и транспортным самолетам (1954 г.-)- А.П. Голубков; по Ту-204- О.Ю. Алашеев; (2005 г.)- С. Ильюшенко, (2008 г.)- В. Солозобов.</w:t>
      </w:r>
    </w:p>
    <w:p w14:paraId="3ACED4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(1924-31 г.; 01.1933 г.-)- А.Н. Туполев. Ответственный руководитель (19.04.1943 г.-)- А.Н. Туполев, (1973 г.-)- А.А. Туполев. Гендиректор (-1992 г.)- А.А. Туполев, (12.1992-97 г.)- В.Т. Климов, (1997 г.-)- И.С. Шевчук, (1998-2002 г.-)- В.Е. Александров.</w:t>
      </w:r>
    </w:p>
    <w:p w14:paraId="2BB975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Помощник начальника (1932 г.)- А.В. Надашкевич. Зам. начальника (1933 г.)- И.И. Погосский, (1930-е)- В.М. Петляков.</w:t>
      </w:r>
    </w:p>
    <w:p w14:paraId="04CE56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ЦКБ (2008 г.)- В. Солозобов; военных программ (2006 г.)- В. Бендеров; центра ВЭД и информации (2002 г.)- С.М. Раевский.</w:t>
      </w:r>
    </w:p>
    <w:p w14:paraId="7ACC5C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Жуковской ЛИиДБ (1953 г.)- П.О. Сухой, (1960-е)- А.С. Благовещенский, (1980-е)- В.Т. Климов; филиала на заводе № 22 (1945-48 г.-)- И.Ф. Незваль; филиала на заводе № 18 (1956 г.-)- А.И. Путилов; Томилинского филиала (1957 г.-)- И.Ф. Незваль; Воронежского филиала (1961 г.-)- А.И. Путилов. Гл. инженер ЛДБ (1949-53 г.)~ Е.А. Иванов.</w:t>
      </w:r>
    </w:p>
    <w:p w14:paraId="0D02B3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конструкторы: (1936 г.-)- П.О. Сухой («Иванов»), (1938 г.)- И.Ф. Незваль (АНТ-42), (1944-92 г.)- Д.С. Марков («64», «106», «145», Ту-4, -80, -16, -16КС, -16К-10, -16К-26, -98, -22, -22Б, -22М, -22М2), (-1952-74 Г.-)- Н.И. Базенков (Ту-95, -95М, -95М-5, -95К, -95К-22, -96, -116, -119, -142), (1953 г.)- В.А. Чижевский (Ту-91), (1960-е)-  Г.А. Озеров (Ту-119), (1963-73 г.)- А.А. Туполев (Ту-144), (-1958-73 г.)- С.М. Егер («105», «106», Ту-154; уволен после катастрофы Ту-144), (1974 г.-)- Н.В. Кирсанов (Ту-95К, -95К-22, -95МС), (1981-88 г.-)- Д.А. Антонов (Ту-95К, -95К-22, -95МС, -142М), (1976 г.-)- Л.Л. Селяков (Ту-134), А.С. Шенгардт, (1980-е)- В.И. Близнюк (Ту-160), (1992 г.-)- Б.Е. Леванович (Ту-16, -22, -22М, -22М2),</w:t>
      </w:r>
    </w:p>
    <w:p w14:paraId="3BA400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(-1985-96 г.-)- А.Л. Пухов (Ту-260, -334, -360, -144ЛЛ), (2003 г.)- И.С. Калыгин (Ту-334), (2008 г.)- Л.А. Лановский (Ту-204), Ю.В. Воробьев (Ту-214).</w:t>
      </w:r>
    </w:p>
    <w:p w14:paraId="1DACB0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конструкторов: (1947 г.-)- Д.С. Марков (Ту-4), (-1963 г.)- А.А. Туполев, (1968 г.-)- Н.В. Кирсанов (Ту- 95), (1981 г.-)- Д.А. Антонов (Ту-95), Ю. Попов (Ту-144), В.И. Близнюк (Ту-144), (-1992 г.)- Б.Е. Леванович (Ту-16, Ту-22, Ту-22М).</w:t>
      </w:r>
    </w:p>
    <w:p w14:paraId="050BCF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 конструкторской частью (1925 г.)- А.И. Путилов.</w:t>
      </w:r>
    </w:p>
    <w:p w14:paraId="31171C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отделов: вооружения (1931-37 г.; 1943-64 г.-)- А.В. Надашкевич; КО № 15 (1936-06.1939 г.)- П.О. Сухой; технических проектов (1943-58 г.-)- С.М. Егер («125», «127»); спецконструкций (1943-68 г.-)- Н.В. Кирсанов; «К» (1957 г.-)- А.А. Туполев, (1960-е  г.)-  Г.М. Гофбауэр, (1990-е  г.)- Л.Т. Куликов; экспортного (1990- е)- А.И. Автоманов; В.И. Близнюк.</w:t>
      </w:r>
    </w:p>
    <w:p w14:paraId="5EB40F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отдела: (-1939 г.)- С.Я. Горбунов. Зам. начальника испытательной базы- Э. Крупянский. Начальники бригад: № 1 (10.1931-35 г.)- В.М. Петляков; № 2 (-21.04.1934 г.)- И.И. Погосский (погиб в катастрофе МДР-4), (1934 г.-)- А.П. Голубков; № 3 (1930-32 г.-&gt; П.О. Сухой; № 4 (09.1930-32 г.)- П.О. Сухой; № 5 (1932-36 г.)- А.А. Архангельский; № 6 (1934-37 г.)- В.М. Мясищев; № 7- В.Л. Александров; № 8- Е.И. Погосский; № 9- М.Н. Петров; № 10 (-1931-37 г.)- Н.С. Некрасов (репрессирован); № 12- (1931 г.-)- А.А. Рапп, (1934-36 г.)- И.П. Шебанов; № 13 (-1936 г.)- А.И. Шульгин; № 14 (-1936 г.)- М.Н. Родионов; испытаний вооружения (1931 г.)- Б.С. Вахмистров; двигательных установок (1950 г.)- П. Г. Климков; по АНТ-42 (1930-е)- В.М. Петляков; (1924- 32 г.)- А.А. Архангельский, (-1939 г.)- В.А. Алыбин, (-1939 г.)- А.С. Воскресенский, (1943 г.)- Д.А. Горский, (- 1939 г.)-  Г.С. Еленевский, (-1939 г.)- Л.С. Каменомостский, (1948 г.)- Б.М. Кондорский («487»), (-1939 г.)- Н.П. Поленов, (-1939 г.)- Д.А. Ромейко-Гурко, (1943 г.)- С.И. Савельев, (-1939 г.)- Е.С. Фельснер, (-1939 г.)- Н.А. Фомин.</w:t>
      </w:r>
    </w:p>
    <w:p w14:paraId="3CBC2A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бригады: № 2 (-1934 г.)- А.П. Голубков; № 3 (07-11.1932 г.)- Н.Н. Поликарпов, (11.1932 г.-)-  Г.О. Бертош; (-1939 г.)- В.П. Балуев, (-1939 г.)- Н.С. Дубинин, (-1939 г.)- М.М. Зуев, (-1939 г.)- В.А. Иванов, (-1939 г.)- М.И. Козлов, (-1939 г.)- Е.М. Мен, (-1939 г.)- Я.Б. Нодельман, (-1939 г.)- С.Н. Строгачев, (- 1939 г.)- А.Н. Титов, (-1939 г.)- Н.И. Щербинин.</w:t>
      </w:r>
    </w:p>
    <w:p w14:paraId="19AC0B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Ведущие конструкторы: (1980-е)- В.А. Андреев (Ту-360), (1930-е-49 г.-)- А.А. Архангельский (АНТ-40, «73», «81», «82»), (-1960-69 г.-)- С.М. Егер («132», Ту-128Б), (1980-е-98 г.)- Н.В. Кирсанов, Б.Е. Леванович, (1950-е)- А.В. Надашкевич (Ту-4К), (1960-е)- И.Ф. Незваль (Ту-148), (1956 г.)-  Г.А. Озеров (Ту-95ЛАЛ), (1949-63 г.)- А.А. Туполев, (1985 г.)- Ю.А. Фазылов (Ту-260).</w:t>
      </w:r>
    </w:p>
    <w:p w14:paraId="783A26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Руководители групп: прочности и аэродинамики (1932 г.)- В.Н. Беляев.</w:t>
      </w:r>
    </w:p>
    <w:p w14:paraId="69E39F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Ведущие инженеры: по испытаниям: (1935 г.)- Е.К. Стоман (АНТ-25), О. Купцов (Ту-144), (-1973 г.)- Б. Первухин (погиб на Ту-144); по прочности Ту-2 (1940-е)-  Г.А. Озеров. Летчики-испытатели: А.Д. Калина.</w:t>
      </w:r>
    </w:p>
    <w:p w14:paraId="5C64B8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Создано: самолеты: АНТ-1 (21.10.1923 г.), АНТ-2 (26.05.1924 г.), пассажирский АНТ-9 (5.05.1929 г.), АНТ-10 (Р-7, 31.01.1930 г.), АНТ-20 «Максим Горький» (17.06.1934 г.), морской крейсер АНТ-22 (МК-1, 8.08.1934 г.), АНТ- 25 («РД», 22.06.1933 г.), многоцелевой АНТ-51 («Иванов», 25.08.1937 г.); разведчики: АНТ-3 (10.07.1925 г.), АНТ-7 (Р-6, 11.09.1929 г.), морской дальний АНТ-8 (МДР-2, 30.01.1931 г.); истребители: И-4 (АНТ-5, 10.08.1927 г.), И-8 «Жокей» (АНТ-13, 12.12.1930 г.), многоместный МИ-3 (АНТ-21, 23.05.1933 г.), двухместный пушечный ДИП (14.02.1935 г.), И-12 (АНТ-23, 29.08.1931 г.), И-12бис (1931, не реализован), И-14 (АНТ-31, 27.05.1931 г.), ДИ-8 (АНТ-46, 1.08.1935 г.); бомбардировщики: скоростной СБ (АНТ-40, 7.10.1934 г.), торпедоносец Т-1 (АНТ-41, 2.06.1936 г.); тяжелые: ТБ-1 (АНТ-4, 26.11.1925 г.), ТБ-3 (АНТ-6, 22.12.1930 г.), ТБ-7 (АНТ-42, 27.12.1936 г.), морской МТБ-2 (АНТ-44,19.04.1937 г.), Ту-4 (19.05.1947 г., пнв в 1947 г.), Ту-4К (пнв в 1953 г.), Ту-80 (1.12.1949 г.), Ту-85 («85», 9.01.1951 г.), Ту-95 (12.11.1952 г.), Ту-95М (22.02.1957 г., пнв 26.09.1957 г.), Ту-95К (пнв 9.09.1960 г.), </w:t>
      </w:r>
      <w:r w:rsidRPr="00D03F3E">
        <w:rPr>
          <w:rFonts w:ascii="Times New Roman" w:hAnsi="Times New Roman"/>
          <w:color w:val="000000" w:themeColor="text1"/>
          <w:sz w:val="16"/>
          <w:szCs w:val="16"/>
        </w:rPr>
        <w:lastRenderedPageBreak/>
        <w:t>целеуказатель Ту-95РЦ (пнв в 1965 г.), Ту-95М-5 (1976), Ту-95К-22 (пнв в 1987 г.), Ту-95МС (09.1979 г., пнв в 1981(3) г.), Ту-160 («К», «70», 18.12.1981 г.), высотный Ту-96 («96», 1955); дальние: ДБ-2 (АНТ-37, 16.06.1935 г.), ДБ-2Б (АНТ-37бис, 25.02.1936 г.), Ту-2Д («62», 12.07.1944), высотный «65» (1.07.1946 г.), «67» (12.02.1946 г.), Ту- 10 («68», Ту-4, 19.5.1945 г.), Ту-8 («69», 24.05.1947 г.), Ту-16 («88», 27.04.1952 г., пнв 28.05.1954 г.), Ту-16А (пнв в 1955 г.), Ту-16Б, -В (1955-57), Ту-16КС (пнв в 1955 г.), Ту-16К-10 («НК-10», пнв 12.08.1961 г.), Ту-16К-10-26, Ту- 16КСР-2 (Ту-16К-16, «НК-3», пнв 30.12.1961 г.), Ту-16КСР-2-11 («НК-2», пнв 13.04.1962 г.), Ту-16К-26 («НК-4», пнв 12.11.1969 г.), Ту-16К-26П («НК-26П», пнв 4.09.1973 г.), Ту-16К-10-26 («НК-6», пнв 12.11.1969 г.), разведчики Ту-16Р, -РМ-1, -РМ-2 (1960-е), целеуказатель Ту-16РЦ (пнв в 1965 г.), «105» (21.07.1958 г.), Ту-22 («105А», «Ю», 7.09.1959 г.), Ту-22Б («Ю»), Ту-22К (пнв в 1967 г.), Ту-22М0 («АМ», изд. 45-00, 30.08.1969 г.), Ту-22М1 (изд. 45-01, 28.07.1971 г.), Ту-22М2 (изд. 45-02, 7.05.1973 г., пнв в 08.1976 г.), Ту-22МЗ (изд. 45-03, 20.06.1977 г., пнв в 03.1989 г.), противолодочные Ту-142 (18.06.1968 г.), Ту-142МЗ (пнв в 1993 г.); фронтовые: скоростной дневной С ДБ («63», АНТ-63, 21.05.1944 г.), перехватчик «104» (1944), Ту-2М (18.05.1945 г.), фоторазведчик Ту-6 (Ту-2Ф, пнв 22.08.1947 г.), Ту-14 («73», 20.12.1947 г.), Ту-12 («77», 27.07.1947 г.), разведчик «78» («73Р», 1948), Ту-14 («81», 13.10.1949 г.), «82» (Ту-22, Ту-82, 24.03.1949 г.), Ту-14Р («89»), Ту-98 («98», 1956), перехватчик Ту-28 (пнв 30.04.1965 г.), дальний перехватчик Ту-128 («128», 18.03.1961); торпедоносцы: Ту-2Т («К», 1944), «62Т» (2.08.1946 г.), Ту-14Т («81Т», 13.10.1949 г., пнв в 07.1951 г.), Ту-91 «Бычок» («194», 2.09.1954 г.); ДРЛО Ту-126 (23.01.1962 г., пнв 30.04.1965 г.); военно-транспортные: Ту-75 («75», 22.01.1950г,), Ту-107 («107»); пассажирские: АНТ-14 «Правда» (14.08.1931 г.), ПС-35 (АНТ-35, 20.08.1936 г.), Ту-70 («70», 27.11.1946 г.), Ту-104 (17.07.1955 г.), Ту-110 (11.03.1957 г.), Ту-114 (15.11.1957 г.), Ту-116 (Ту-114Д, 1958), Ту-124 (24.03.1960 г.), Ту-134 (Ту-124А, 29.07.1963 г.), сверхзвуковой Ту-144 (31.12.1968 г.), Ту-144Д (30.11.1974 г.), Ту-154 (3.10.1968 г.), Ту-154М (Ту-164, 11.06.1980 г.), Ту-204 (2.01.1989 г.), Ту-214 (Ту-204-200, 21.03.1996 г.), Ту-334 (8.02.1999 г.); экспериментальные: с ЯСУ Ту-95ЛАЛ (1961), на криогенном топливе Ту-155 (15.04.1988 г.); проекты самолетов: бомбардировщиков: тяжелых: «64» (1944), «471», «473», «474» (1947), стратегических: «485», «487», «489» (1948), высотного «99», летающей лодки «504» (1950), «108» (1956), «109» (1950-е); дальних: пикирующего «57» (ПБ, 1939), «61» (Ту-2Д, АНТ-61, 1941), среднего «72» (1946), «76» (Ту-32, 1947), «86» и «87» (1951), «90» (1954), «97» (1950-е), «103» (1950-е), «106» (1050-е-60-е), с ЯСУ «120» (1960-е), «124» (1957), «125» (1960-е), «132» (1960), «135» (1960-е), «137» (1960-е), «145» («ЮМ», 1967); фронтовых: Ту-6 (Ту-2 с М-93, 1946), «71» (1946), «76» (Ту-32, 1948), «81» (Ту-18), «83» (1949), «112» (1950-е), «122» (1950-е), «127» (1958), Ту-128Б (1969), «129»; «98А» (Ту-24, 1950-е), «100» (1954); многоцелевого Ту-148 (1960-е); гиперзвуковых ударных «230» (Ту-260, 1985), «360» (Ту-360, 1980- е), воздушно-космического «2000» (Ту-2000, 1990-е); разведчиков: «74» и «79» (1949), «84»; торпедоносцев: палубного «509» (1950), «93» (1952); военно-транспортного Ту-115, «117» (1950-е); экспериментального с ЯСУ «119» (Ту-119,1960-е); пассажирского «118» (1950-е), административного Ту-334 на базе Ту-22МЗ (1990-е);</w:t>
      </w:r>
      <w:r w:rsidRPr="00D03F3E">
        <w:rPr>
          <w:rFonts w:ascii="Times New Roman" w:hAnsi="Times New Roman"/>
          <w:color w:val="000000" w:themeColor="text1"/>
          <w:sz w:val="16"/>
          <w:szCs w:val="16"/>
          <w:vertAlign w:val="superscript"/>
        </w:rPr>
        <w:t>31</w:t>
      </w:r>
    </w:p>
    <w:p w14:paraId="1EFE56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самолеты-снаряды: Ту-121 («С», 25.08.1959), Ту-130 («ДП»), Ту-140 («140»); ЗУР Ту-131 («3», 1959, не реализован); БПЛА: разведчики: Ту-123 (ДБР-1 «Ястреб-1»), Ту-133 («СД»), «136» (1960), Ту-139 (ДБР-2 «Ястреб-2», 1964), Ту-141 (123П», ВР-2 «Стриж»), тактический Ту-143 (ВР-3 «Рейс», пнв в 1976 г.), «243» («Рейс- Д»), «Орел», Ту-300 «Коршун» (1983), «Коршун-У»; ударный с ЯСУ Ту-123 (не реализован); мишени: «123М» (Ту-123М, не реализован), «143МВ» (ВР-ЗМВ, 1983), М-243; воздушно-космический Ту-136 «Звезда» (не реализован);</w:t>
      </w:r>
    </w:p>
    <w:p w14:paraId="1E41D8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катапультные кресла: для Ту-16, КТ-1 для Ту-128, КТ-1М для Ту-22М (11982).</w:t>
      </w:r>
    </w:p>
    <w:p w14:paraId="5F161C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4049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1943 вышло Постановление ГКО № 3182 О дальнейшем строительстве авиационных заводов в г. Куйбышеве.РГАНИР, Фонд ГКО, д. 103, лл. 177-182, 183-199 (11012).</w:t>
      </w:r>
    </w:p>
    <w:p w14:paraId="3353F8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688E24"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121C6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C746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1943 вышло Постановление ГКО № 3184 О самоходных установках СУ-76.РГАНИР, Фонд ГКО, д. 103, лл. 201-204 (11012).</w:t>
      </w:r>
    </w:p>
    <w:p w14:paraId="42D563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56850F" w14:textId="77777777" w:rsidR="009C45A2" w:rsidRPr="00D03F3E" w:rsidRDefault="009C45A2" w:rsidP="00D03F3E">
      <w:pPr>
        <w:pStyle w:val="ae"/>
        <w:shd w:val="clear" w:color="auto" w:fill="FFFFFF"/>
        <w:spacing w:before="0" w:after="0"/>
        <w:jc w:val="both"/>
        <w:rPr>
          <w:color w:val="000000" w:themeColor="text1"/>
          <w:sz w:val="16"/>
          <w:szCs w:val="16"/>
        </w:rPr>
      </w:pPr>
      <w:r w:rsidRPr="00D03F3E">
        <w:rPr>
          <w:color w:val="000000" w:themeColor="text1"/>
          <w:sz w:val="16"/>
          <w:szCs w:val="16"/>
        </w:rPr>
        <w:t xml:space="preserve">14 апреля 1943 года вышло постановление Государственного комитета обороны (ГКО) №3184сс «О самоходных установках СУ-76». Согласно ему, к 1 мая 1943 года завод №38 был обязан подготовить две 4-орудийные батареи СУ-76. Первая батарея строилась на шасси Т-70Б, вторая — на шасси СУ-12, но с моторно-трансмиссионной группой </w:t>
      </w:r>
      <w:hyperlink r:id="rId121" w:history="1">
        <w:r w:rsidRPr="00D03F3E">
          <w:rPr>
            <w:rStyle w:val="a5"/>
            <w:color w:val="000000" w:themeColor="text1"/>
            <w:sz w:val="16"/>
            <w:szCs w:val="16"/>
          </w:rPr>
          <w:t>Т-70Б</w:t>
        </w:r>
      </w:hyperlink>
      <w:r w:rsidRPr="00D03F3E">
        <w:rPr>
          <w:color w:val="000000" w:themeColor="text1"/>
          <w:sz w:val="16"/>
          <w:szCs w:val="16"/>
        </w:rPr>
        <w:t>.</w:t>
      </w:r>
    </w:p>
    <w:p w14:paraId="053B5157" w14:textId="77777777" w:rsidR="009C45A2" w:rsidRPr="00D03F3E" w:rsidRDefault="009C45A2" w:rsidP="00D03F3E">
      <w:pPr>
        <w:pStyle w:val="ae"/>
        <w:shd w:val="clear" w:color="auto" w:fill="FFFFFF"/>
        <w:spacing w:before="0" w:after="0"/>
        <w:jc w:val="both"/>
        <w:rPr>
          <w:color w:val="000000" w:themeColor="text1"/>
          <w:sz w:val="16"/>
          <w:szCs w:val="16"/>
        </w:rPr>
      </w:pPr>
      <w:r w:rsidRPr="00D03F3E">
        <w:rPr>
          <w:color w:val="000000" w:themeColor="text1"/>
          <w:sz w:val="16"/>
          <w:szCs w:val="16"/>
        </w:rPr>
        <w:t>Данный пункт постановления ГКО №3183 стал началом работ по самоходным установкам СУ-38 и СУ-16. Их конструкция во многом пересекалась с проектом САУ ИС-10 разработки КБ №92. Началась разработка и ещё одного семейства лёгких САУ — СУ-74. Эти машины разрабатывались КБ ГАЗ им. Молотова. Горьковские машины предполагалось оснащать двигателями ЗИС-16. Работа сразу над тремя однотипными проектами объясняется просто: скверная ситуация с надёжностью СУ-76 могла сорвать планы по насыщению войск лёгкими САУ. Нужна была подстраховка.</w:t>
      </w:r>
    </w:p>
    <w:p w14:paraId="4FAC359F" w14:textId="77777777" w:rsidR="009C45A2" w:rsidRPr="00D03F3E" w:rsidRDefault="009C45A2" w:rsidP="00D03F3E">
      <w:pPr>
        <w:pStyle w:val="ae"/>
        <w:shd w:val="clear" w:color="auto" w:fill="FFFFFF"/>
        <w:spacing w:before="0" w:after="0"/>
        <w:jc w:val="both"/>
        <w:rPr>
          <w:color w:val="000000" w:themeColor="text1"/>
          <w:sz w:val="16"/>
          <w:szCs w:val="16"/>
        </w:rPr>
      </w:pPr>
      <w:r w:rsidRPr="00D03F3E">
        <w:rPr>
          <w:color w:val="000000" w:themeColor="text1"/>
          <w:sz w:val="16"/>
          <w:szCs w:val="16"/>
        </w:rPr>
        <w:t>Самоходная установка с моторно-трансмиссионной группой Т-70Б получила заводское обозначение СУ-15. Хотя от заводского КБ требовалось просто перекомпоновать машину под новые агрегаты, переделке подверглось и её боевое отделение. Причиной тому стали недостаточно просторные рабочие места командира и заряжающего. Из-за переделки моторного отделения внутри боевого отделения появился достаточно большой выступ, под которым скрывались радиатор и воздуховод системы охлаждения. Поскольку двигатель располагался теперь только справа, воздухозаборник и воздуховод системы охлаждения также остались только справа. Лючок для системы запуска двигателя расположился в правой части центрального лобового листа корпуса, люк доступа к главной передаче — в правой части верхнего лобового листа. Слева от механика-водителя находился отсек с топливными баками общим объёмом 412 литров.</w:t>
      </w:r>
    </w:p>
    <w:p w14:paraId="1C91E563" w14:textId="77777777" w:rsidR="009C45A2" w:rsidRPr="00D03F3E" w:rsidRDefault="009C45A2" w:rsidP="00D03F3E">
      <w:pPr>
        <w:pStyle w:val="ae"/>
        <w:shd w:val="clear" w:color="auto" w:fill="FFFFFF"/>
        <w:spacing w:before="0" w:after="0"/>
        <w:jc w:val="both"/>
        <w:rPr>
          <w:color w:val="000000" w:themeColor="text1"/>
          <w:sz w:val="16"/>
          <w:szCs w:val="16"/>
        </w:rPr>
      </w:pPr>
      <w:r w:rsidRPr="00D03F3E">
        <w:rPr>
          <w:color w:val="000000" w:themeColor="text1"/>
          <w:sz w:val="16"/>
          <w:szCs w:val="16"/>
        </w:rPr>
        <w:t>Для увеличения объёма боевого отделения конструкторы немного расширили рубку влево, здесь появился небольшой выступ. Влево сместилась и орудийная установка, которая претерпела некоторые изменения и стала похожей на орудийную установку ЗИС-8, разработанную КБ завода №92. Появилась специальная балка с литым основанием под штырь верхнего станка. В средней части балка крепилась к лобовому листу рубки. С помощью этой конструкции удалось избавиться от старого варианта орудия с укороченными станинами, которые занимали немало места в боевом отделении.</w:t>
      </w:r>
    </w:p>
    <w:p w14:paraId="2419CB87" w14:textId="77777777" w:rsidR="009C45A2" w:rsidRPr="00D03F3E" w:rsidRDefault="009C45A2" w:rsidP="00D03F3E">
      <w:pPr>
        <w:pStyle w:val="ae"/>
        <w:shd w:val="clear" w:color="auto" w:fill="FFFFFF"/>
        <w:spacing w:before="0" w:after="0"/>
        <w:jc w:val="both"/>
        <w:rPr>
          <w:color w:val="000000" w:themeColor="text1"/>
          <w:sz w:val="16"/>
          <w:szCs w:val="16"/>
        </w:rPr>
      </w:pPr>
      <w:r w:rsidRPr="00D03F3E">
        <w:rPr>
          <w:color w:val="000000" w:themeColor="text1"/>
          <w:sz w:val="16"/>
          <w:szCs w:val="16"/>
        </w:rPr>
        <w:t>Боевое отделение сохранило крышу по типу СУ-12. Боевая масса машины составила 11,2 тонны.</w:t>
      </w:r>
    </w:p>
    <w:p w14:paraId="0CA1B53D" w14:textId="77777777" w:rsidR="009C45A2" w:rsidRPr="00D03F3E" w:rsidRDefault="009C45A2" w:rsidP="00D03F3E">
      <w:pPr>
        <w:pStyle w:val="ae"/>
        <w:shd w:val="clear" w:color="auto" w:fill="FFFFFF"/>
        <w:spacing w:before="0" w:after="0"/>
        <w:jc w:val="both"/>
        <w:rPr>
          <w:color w:val="000000" w:themeColor="text1"/>
          <w:sz w:val="16"/>
          <w:szCs w:val="16"/>
        </w:rPr>
      </w:pPr>
      <w:r w:rsidRPr="00D03F3E">
        <w:rPr>
          <w:color w:val="000000" w:themeColor="text1"/>
          <w:sz w:val="16"/>
          <w:szCs w:val="16"/>
        </w:rPr>
        <w:t>Два сомнительных факта из истории СУ-15 переходят из одной публикации в другую. Первый заключается в том, что к созданию этой САУ якобы имел отношение Н.А. Астров. На самом деле Николай Александрович разрабатывал не СУ-15, а её прямого конкурента — СУ-74. Вторая ошибка касается количества выпущенных образцов и их времени постройки. На самом деле никакого опытного экземпляра СУ-15 не строилось. В постановлении ГКО №3184сс ясно говорится о производстве 4-орудийной батареи, именно столько СУ-15 и выпустил завод №38. Машины были построены в апреле 1943 года и получили серийные номера с 15-601 по 15-604.</w:t>
      </w:r>
    </w:p>
    <w:p w14:paraId="32B2ABAB" w14:textId="77777777" w:rsidR="009C45A2" w:rsidRPr="00D03F3E" w:rsidRDefault="009C45A2" w:rsidP="00D03F3E">
      <w:pPr>
        <w:pStyle w:val="ae"/>
        <w:shd w:val="clear" w:color="auto" w:fill="FFFFFF"/>
        <w:spacing w:before="0" w:after="0"/>
        <w:jc w:val="both"/>
        <w:rPr>
          <w:color w:val="000000" w:themeColor="text1"/>
          <w:sz w:val="16"/>
          <w:szCs w:val="16"/>
        </w:rPr>
      </w:pPr>
      <w:r w:rsidRPr="00D03F3E">
        <w:rPr>
          <w:color w:val="000000" w:themeColor="text1"/>
          <w:sz w:val="16"/>
          <w:szCs w:val="16"/>
        </w:rPr>
        <w:t>У СУ-38 и СУ-74 на испытаниях были обнаружены серьёзные дефекты. В результате машины существенно переделали (17728).</w:t>
      </w:r>
    </w:p>
    <w:p w14:paraId="0B70960B" w14:textId="77777777" w:rsidR="009C45A2" w:rsidRPr="00D03F3E" w:rsidRDefault="009C45A2" w:rsidP="00D03F3E">
      <w:pPr>
        <w:pStyle w:val="12a"/>
        <w:shd w:val="clear" w:color="auto" w:fill="auto"/>
        <w:spacing w:after="0" w:line="240" w:lineRule="auto"/>
        <w:jc w:val="both"/>
        <w:rPr>
          <w:color w:val="000000" w:themeColor="text1"/>
          <w:sz w:val="16"/>
          <w:szCs w:val="16"/>
        </w:rPr>
      </w:pPr>
    </w:p>
    <w:p w14:paraId="7938CC14" w14:textId="77777777" w:rsidR="009C45A2" w:rsidRPr="00D03F3E" w:rsidRDefault="009C45A2" w:rsidP="00D03F3E">
      <w:pPr>
        <w:pStyle w:val="ae"/>
        <w:shd w:val="clear" w:color="auto" w:fill="FFFFFF"/>
        <w:spacing w:before="0" w:after="0"/>
        <w:jc w:val="both"/>
        <w:rPr>
          <w:color w:val="000000" w:themeColor="text1"/>
          <w:sz w:val="16"/>
          <w:szCs w:val="16"/>
        </w:rPr>
      </w:pPr>
      <w:r w:rsidRPr="00D03F3E">
        <w:rPr>
          <w:color w:val="000000" w:themeColor="text1"/>
          <w:sz w:val="16"/>
          <w:szCs w:val="16"/>
        </w:rPr>
        <w:t xml:space="preserve">14 апреля 1943 Артиллерийский комитет Главного артиллерийского управления Красной армии (ГАУ КА) утвердил предварительные тактико-технические требования на «85-мм самоходную пушку «истребитель танков». Начало работ напрямую увязывалось с появлением на вооружении вермахта «Тигра». Основными целями для перспективной машины указывались тяжёлые немецкие танки с толщиной брони 90-120 мм, которые 85-мм пушке предстояло уверенно поражать на дистанции 500-1000 метров. Согласно требованиям, орудие планировалось установить на шасси СУ-35М (СУ-122М), массу которого требовалось уменьшить на 1-1,5 тонны. Требуемый боекомплект к 85-мм пушке составлял 60 патронов, разрешалась как горизонтальная, так и вертикальная укладки. Интересно, что в качестве альтернативного шасси указывались трофейные немецкие танки </w:t>
      </w:r>
      <w:hyperlink r:id="rId122" w:history="1">
        <w:r w:rsidRPr="00D03F3E">
          <w:rPr>
            <w:rStyle w:val="a5"/>
            <w:color w:val="000000" w:themeColor="text1"/>
            <w:sz w:val="16"/>
            <w:szCs w:val="16"/>
          </w:rPr>
          <w:t>Pz.Kpfw.III</w:t>
        </w:r>
      </w:hyperlink>
      <w:r w:rsidRPr="00D03F3E">
        <w:rPr>
          <w:color w:val="000000" w:themeColor="text1"/>
          <w:sz w:val="16"/>
          <w:szCs w:val="16"/>
        </w:rPr>
        <w:t xml:space="preserve"> и </w:t>
      </w:r>
      <w:hyperlink r:id="rId123" w:history="1">
        <w:r w:rsidRPr="00D03F3E">
          <w:rPr>
            <w:rStyle w:val="a5"/>
            <w:color w:val="000000" w:themeColor="text1"/>
            <w:sz w:val="16"/>
            <w:szCs w:val="16"/>
          </w:rPr>
          <w:t>Pz.Kpfw.IV</w:t>
        </w:r>
      </w:hyperlink>
      <w:r w:rsidRPr="00D03F3E">
        <w:rPr>
          <w:color w:val="000000" w:themeColor="text1"/>
          <w:sz w:val="16"/>
          <w:szCs w:val="16"/>
        </w:rPr>
        <w:t>.</w:t>
      </w:r>
    </w:p>
    <w:p w14:paraId="12FA224A" w14:textId="77777777" w:rsidR="009C45A2" w:rsidRPr="00D03F3E" w:rsidRDefault="009C45A2" w:rsidP="00D03F3E">
      <w:pPr>
        <w:pStyle w:val="ae"/>
        <w:shd w:val="clear" w:color="auto" w:fill="FFFFFF"/>
        <w:spacing w:before="0" w:after="0"/>
        <w:jc w:val="both"/>
        <w:rPr>
          <w:color w:val="000000" w:themeColor="text1"/>
          <w:sz w:val="16"/>
          <w:szCs w:val="16"/>
        </w:rPr>
      </w:pPr>
      <w:r w:rsidRPr="00D03F3E">
        <w:rPr>
          <w:color w:val="000000" w:themeColor="text1"/>
          <w:sz w:val="16"/>
          <w:szCs w:val="16"/>
        </w:rPr>
        <w:t>14 апреля ТТТ отправились в подмосковный Калининград, где находилось Центральное Артиллерийское КБ (ЦАКБ). В прилагаемом письме председатель Арткома ГАУ КА генерал-лейтенант В.И. Хохлов указал возглавлявшему ЦАКБ В.Г. Грабину на приоритетный вариант 85-мм системы. Она должна была стать результатом наложения ствола с баллистикой 52-К на люльку с противооткатными устройствами 76,2-мм танковой пушки ЗИС-5. Появление такой схемы неудивительно: тактико-технические требования на 85-мм самоходную пушку во многом базировались на конструкции ЗИС-25. Само это орудие было отвергнуто из-за ряда недостатков, но его общая концепция была признана правильной.</w:t>
      </w:r>
    </w:p>
    <w:p w14:paraId="210230A6" w14:textId="77777777" w:rsidR="009C45A2" w:rsidRPr="00D03F3E" w:rsidRDefault="009C45A2" w:rsidP="00D03F3E">
      <w:pPr>
        <w:pStyle w:val="ae"/>
        <w:shd w:val="clear" w:color="auto" w:fill="FFFFFF"/>
        <w:spacing w:before="0" w:after="0"/>
        <w:jc w:val="both"/>
        <w:rPr>
          <w:color w:val="000000" w:themeColor="text1"/>
          <w:sz w:val="16"/>
          <w:szCs w:val="16"/>
        </w:rPr>
      </w:pPr>
      <w:r w:rsidRPr="00D03F3E">
        <w:rPr>
          <w:color w:val="000000" w:themeColor="text1"/>
          <w:sz w:val="16"/>
          <w:szCs w:val="16"/>
        </w:rPr>
        <w:t>6 марта 1943 года в ГАУ КА были составлены тактико-технические требования на проектирование и изготовление опытного образца 85 мм танковой пушки, которая стала наследницей ЗИС-25. Именно эту систему и взяли за основу при проектировании 85-мм самоходной пушки. Помимо ЦАКБ 14 апреля 1943 года письмо с ТТТ на 85-мм самоходную пушку было отправлено в Свердловск директору завода №9 Л.Р. Гонору, а также директору Уральского завода тяжёлого машиностроения (УЗТМ) Б.Г. Мурзукову. КБ завода №9 занималось орудийной частью, а УЗТМ — шасси.</w:t>
      </w:r>
    </w:p>
    <w:p w14:paraId="6C1119E2" w14:textId="77777777" w:rsidR="009C45A2" w:rsidRPr="00D03F3E" w:rsidRDefault="009C45A2" w:rsidP="00D03F3E">
      <w:pPr>
        <w:pStyle w:val="ae"/>
        <w:shd w:val="clear" w:color="auto" w:fill="FFFFFF"/>
        <w:spacing w:before="0" w:after="0"/>
        <w:jc w:val="both"/>
        <w:rPr>
          <w:color w:val="000000" w:themeColor="text1"/>
          <w:sz w:val="16"/>
          <w:szCs w:val="16"/>
        </w:rPr>
      </w:pPr>
      <w:r w:rsidRPr="00D03F3E">
        <w:rPr>
          <w:color w:val="000000" w:themeColor="text1"/>
          <w:sz w:val="16"/>
          <w:szCs w:val="16"/>
        </w:rPr>
        <w:t>Сроком изготовления эскизных проектов и ЦАКБ, и КБ завода №9 было определено 5 мая. По состоянию на 29 апреля ЦАКБ уже заканчивало предварительный проект. К той же дате завод №9 официально даже не принял заказ. Тем не менее, из телефонного разговора стало известно, что завод №9 уже приступил к проектированию системы. Таким образом, к моменту подписания 5 мая 1943 года постановления Государственного комитета обороны (ГКО) №3289 «Об усилении артиллерийского вооружения танков и самоходных установок» у советских конструкторов уже имелся определённый багаж наработок по этой теме (17704).</w:t>
      </w:r>
    </w:p>
    <w:p w14:paraId="671ADB2D" w14:textId="77777777" w:rsidR="009C45A2" w:rsidRPr="00D03F3E" w:rsidRDefault="009C45A2" w:rsidP="00D03F3E">
      <w:pPr>
        <w:spacing w:after="0" w:line="240" w:lineRule="auto"/>
        <w:jc w:val="both"/>
        <w:rPr>
          <w:rFonts w:ascii="Times New Roman" w:hAnsi="Times New Roman"/>
          <w:color w:val="000000" w:themeColor="text1"/>
          <w:sz w:val="16"/>
          <w:szCs w:val="16"/>
        </w:rPr>
      </w:pPr>
    </w:p>
    <w:p w14:paraId="0C5732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1943 г. был подготовлен ПРОЕКТ ПРИКАЗА НАРОДНОГО КОМИССАРА ОБОРОНЫ О СОЗДАНИИ КОМИССИИ ПО ИЗЫСКАНИЮ СПОСОБОВ БОРЬБЫ С НЕМЕЦКИМИ ТЯЖЕЛЫМИ ТАНКАМИ Т-VI</w:t>
      </w:r>
    </w:p>
    <w:p w14:paraId="0841DA3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документе сделана надпись: «Настоящий приказ генерал-полковником Федоренко еще не подписан ввиду его болез</w:t>
      </w:r>
      <w:r w:rsidRPr="00D03F3E">
        <w:rPr>
          <w:rFonts w:ascii="Times New Roman" w:hAnsi="Times New Roman"/>
          <w:color w:val="000000" w:themeColor="text1"/>
          <w:sz w:val="16"/>
          <w:szCs w:val="16"/>
        </w:rPr>
        <w:softHyphen/>
        <w:t>ни. Генерал-майор танковых войск т. Сафир. 22.04.1943».</w:t>
      </w:r>
    </w:p>
    <w:p w14:paraId="615C74B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Для изыскания действительных способов борьбы с немецкими тяжелыми танками Т-VI соз</w:t>
      </w:r>
      <w:r w:rsidRPr="00D03F3E">
        <w:rPr>
          <w:rFonts w:ascii="Times New Roman" w:hAnsi="Times New Roman"/>
          <w:color w:val="000000" w:themeColor="text1"/>
          <w:sz w:val="16"/>
          <w:szCs w:val="16"/>
        </w:rPr>
        <w:softHyphen/>
        <w:t>дать комиссию в составе: председателя — заместителя начальника УБП БТМВ КА генерал-майора танковых войск т. Сафир, заместителя председателя — начальника 2 отдела артиллерийского коми</w:t>
      </w:r>
      <w:r w:rsidRPr="00D03F3E">
        <w:rPr>
          <w:rFonts w:ascii="Times New Roman" w:hAnsi="Times New Roman"/>
          <w:color w:val="000000" w:themeColor="text1"/>
          <w:sz w:val="16"/>
          <w:szCs w:val="16"/>
        </w:rPr>
        <w:softHyphen/>
        <w:t xml:space="preserve">тета ГАУ инженер-полковника Комарова </w:t>
      </w:r>
      <w:r w:rsidRPr="00D03F3E">
        <w:rPr>
          <w:rFonts w:ascii="Times New Roman" w:hAnsi="Times New Roman"/>
          <w:color w:val="000000" w:themeColor="text1"/>
          <w:sz w:val="16"/>
          <w:szCs w:val="16"/>
        </w:rPr>
        <w:lastRenderedPageBreak/>
        <w:t>и членов — помощника начальника 6 отдела танкового управления ГБТУ КА инженер-майора Дикина, начальника конструкторского отдела научно-иссле</w:t>
      </w:r>
      <w:r w:rsidRPr="00D03F3E">
        <w:rPr>
          <w:rFonts w:ascii="Times New Roman" w:hAnsi="Times New Roman"/>
          <w:color w:val="000000" w:themeColor="text1"/>
          <w:sz w:val="16"/>
          <w:szCs w:val="16"/>
        </w:rPr>
        <w:softHyphen/>
        <w:t>довательского полигона БТМВ КА инженер-подполковника 2 отдела УБП БТМВ КА подполковника Легез, старшего помощника начальника 4 отдела УБП БТМВ КА майора Нечипоренко.</w:t>
      </w:r>
    </w:p>
    <w:p w14:paraId="32F6BE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Для наиболее полного и всестороннего определения степени возможного воздействия на немецкий танк комиссии использовать:</w:t>
      </w:r>
    </w:p>
    <w:p w14:paraId="3F012BB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артиллерийские системы;</w:t>
      </w:r>
    </w:p>
    <w:p w14:paraId="2AF6BC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инженерные и химические средства войск;</w:t>
      </w:r>
    </w:p>
    <w:p w14:paraId="569873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противотанковые средства пехоты;</w:t>
      </w:r>
    </w:p>
    <w:p w14:paraId="319C3A8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танки;</w:t>
      </w:r>
    </w:p>
    <w:p w14:paraId="517D26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штурмовые самолеты.</w:t>
      </w:r>
    </w:p>
    <w:p w14:paraId="4939F85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Все изыскания провести на научно-исследовательском полигоне БТМВ КА.</w:t>
      </w:r>
    </w:p>
    <w:p w14:paraId="4FF878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Начальнику научно-исследовательского полигона полковнику Романову полностью обеспечить успешную работу комиссии личным составом, материальной частью и необходимыми средствами, согласно требований председателя комиссии.</w:t>
      </w:r>
    </w:p>
    <w:p w14:paraId="0A32782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Начальнику Главного артиллерийского управления Красной Армии выделить для обеспечения испытаний танка потребное количество артиллерийских выстрелов согласно плану испытаний.</w:t>
      </w:r>
    </w:p>
    <w:p w14:paraId="4D381A8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Комиссии приступить к работе 20 апреля 1943 года. Результаты работы комиссии доложить 30 апреля 1943 года.</w:t>
      </w:r>
    </w:p>
    <w:p w14:paraId="7C5D926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Заместитель народного комиссара обороны маршал артиллерии Воронов</w:t>
      </w:r>
    </w:p>
    <w:p w14:paraId="2CC5E3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Заместитель народного комиссара обороны генерал-полковник танковых войск Федоренко</w:t>
      </w:r>
    </w:p>
    <w:p w14:paraId="3EBF9D2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11351. Д. 169. Л. 11-12. Копия (11403).</w:t>
      </w:r>
    </w:p>
    <w:p w14:paraId="57FD084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32A8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1943 вышло Постановление ГКО № 3186 О вводе новых мощностей электростанций в 1943 г.РГАНИР, Фонд ГКО, д. 104, лл. 1-9, 10-219 (11012).</w:t>
      </w:r>
    </w:p>
    <w:p w14:paraId="2F6650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3373B2" w14:textId="77777777" w:rsidR="00F14A5F" w:rsidRPr="00D03F3E" w:rsidRDefault="00F14A5F"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за № Орг/2/133558 распоряжением ЗАМЕСТИТЕЛЯ НАРКОМА ОБОРОНЫ СССР Е.А. ЩАДЕНКО ОБ ИСПОЛЬЗОВАНИИ ТЯГАЧА ВИЛЛИС №1181618 было разрешено положенные трактора для перевозки 76-мм пушек УСВ-ЗИС-3 заменить тягачами Виллис</w:t>
      </w:r>
    </w:p>
    <w:p w14:paraId="67EA26C3" w14:textId="77777777" w:rsidR="00F14A5F" w:rsidRPr="00D03F3E" w:rsidRDefault="00F14A5F"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11584. Д. 12. Л. 139. Копия (11403).</w:t>
      </w:r>
    </w:p>
    <w:p w14:paraId="1CDE0267" w14:textId="77777777" w:rsidR="00F14A5F" w:rsidRPr="00D03F3E" w:rsidRDefault="00F14A5F"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0EE1B1" w14:textId="77777777" w:rsidR="00F14A5F" w:rsidRPr="00D03F3E" w:rsidRDefault="00F14A5F"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1943 вышло Постановление ГКО № 3179 Об учреждении дополнительно двух переходящих Красных знамен и установлении премий для областей, краев и республик - победителей во Всесоюзном социалистическом соревновании по сельскому хозяйству.РГАНИР, Фонд ГКО, д. 103, лл. 76 (11012).</w:t>
      </w:r>
    </w:p>
    <w:p w14:paraId="31F50696" w14:textId="77777777" w:rsidR="00F14A5F" w:rsidRPr="00D03F3E" w:rsidRDefault="00F14A5F"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0A86AE" w14:textId="77777777" w:rsidR="00F14A5F" w:rsidRPr="00D03F3E" w:rsidRDefault="00F14A5F"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1943 вышло Постановление ГКО № 3181 О строительстве импортных нефтеперерабатывающих заводов.РГАНИР, Фонд ГКО, д. 103, лл. 168-172, 173-176 (11012).</w:t>
      </w:r>
    </w:p>
    <w:p w14:paraId="4EDD810D" w14:textId="77777777" w:rsidR="00F14A5F" w:rsidRPr="00D03F3E" w:rsidRDefault="00F14A5F"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ACA046" w14:textId="77777777" w:rsidR="00F14A5F" w:rsidRPr="00D03F3E" w:rsidRDefault="00F14A5F"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1943 вышло Постановление ГКО № 3183 О строительстве моста через Волгу у Астрахани на линии Кизляр - Астрахань. (7094, 200).</w:t>
      </w:r>
    </w:p>
    <w:p w14:paraId="538D5B05" w14:textId="77777777" w:rsidR="00F14A5F" w:rsidRPr="00D03F3E" w:rsidRDefault="00F14A5F"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E9B47E" w14:textId="77777777" w:rsidR="00F14A5F" w:rsidRPr="00D03F3E" w:rsidRDefault="00F14A5F"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1943 вышло Постановление ГКО № 3185 О перевозке грузов для города Ленинграда и войск Ленинградского фронта через Ладожское озеро в навигацию 1943 года. (7094, 205).</w:t>
      </w:r>
    </w:p>
    <w:p w14:paraId="50BE3245" w14:textId="77777777" w:rsidR="00F14A5F" w:rsidRPr="00D03F3E" w:rsidRDefault="00F14A5F"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9B5B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1943 г. Военный совет Ленинградского фронта ут</w:t>
      </w:r>
      <w:r w:rsidRPr="00D03F3E">
        <w:rPr>
          <w:rFonts w:ascii="Times New Roman" w:hAnsi="Times New Roman"/>
          <w:color w:val="000000" w:themeColor="text1"/>
          <w:sz w:val="16"/>
          <w:szCs w:val="16"/>
        </w:rPr>
        <w:softHyphen/>
        <w:t>вердил программу постройки 12 малых тральщиков типа МТ-1 по пр. 253Л. В дальнейшем программа была расширена, и Воен</w:t>
      </w:r>
      <w:r w:rsidRPr="00D03F3E">
        <w:rPr>
          <w:rFonts w:ascii="Times New Roman" w:hAnsi="Times New Roman"/>
          <w:color w:val="000000" w:themeColor="text1"/>
          <w:sz w:val="16"/>
          <w:szCs w:val="16"/>
        </w:rPr>
        <w:softHyphen/>
        <w:t>ный совет Балтийского флота выделил 650 краснофлотцев для не</w:t>
      </w:r>
      <w:r w:rsidRPr="00D03F3E">
        <w:rPr>
          <w:rFonts w:ascii="Times New Roman" w:hAnsi="Times New Roman"/>
          <w:color w:val="000000" w:themeColor="text1"/>
          <w:sz w:val="16"/>
          <w:szCs w:val="16"/>
        </w:rPr>
        <w:softHyphen/>
        <w:t>посредственного участия в постройке 32 тральщиков типа МТ-1 на трех ленинградских заводах (3898).</w:t>
      </w:r>
    </w:p>
    <w:p w14:paraId="021246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3784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1943 Военный совет фронта утвердил программу постройки 12 малых ТЩ типа МТ-1 по пр. 253-Л, откорректированному на Балтийском заводе (водоизмещение нормальное 108 т, длина 38, ширина 5,7, осадка 1,27 м, скорость полного хода без трала 12,5 узла при работе трех дизелей мощностью 3x160 л. с., вооружение - два зенитных орудия калибра 45 мм, два крупнокалиберных пулемета на тумбах, 24 мины, тралы - акустический и электро-магнитный, параван-трал) (10671).</w:t>
      </w:r>
    </w:p>
    <w:p w14:paraId="76D5C3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C3B01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4B460D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802650"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в 1943 году вечернее сообщение Совинформбюро:</w:t>
      </w:r>
    </w:p>
    <w:p w14:paraId="244ABADC"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14 апреля на фронтах существенных изменений не произошло.</w:t>
      </w:r>
    </w:p>
    <w:p w14:paraId="61EF3DB2"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бойцы Н-ской части в ожесточённом бою уничтожили до 200 немецких солдат и офицеров, 5 противотанковых орудий и подбили 2 немецких танка. Ночью отряд советских разведчиков ворвался в село, занятое гитлеровцами, и истребил 40 солдат противника.</w:t>
      </w:r>
    </w:p>
    <w:p w14:paraId="321EC336"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артиллеристы Н-ской части обстреляли скопление немецкой пехоты. Разведка установила, что артиллерийским огнём уничтожено до роты гитлеровцев. Семь снайперов Н-ской части за два дня истребили 20 немецких солдат и офицеров.</w:t>
      </w:r>
    </w:p>
    <w:p w14:paraId="6133B785"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происходила артиллерийская перестрелка спротивником. Огнём нашей артиллерии уничтожены артиллерийская и 2 миномётные батареи, 15 автомашин и несколько вражеских блиндажей. На одном участке противник пытался вести разведку боем, но был встречен залповым огнём нашей пехоты. Понеся большие потери, немцы отошли на исходные рубежи.</w:t>
      </w:r>
    </w:p>
    <w:p w14:paraId="18145F68"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наши артиллеристы подавили огонь 6 артиллерийских и 2 миномётных батарей противника. Кроме того, огнём нашей артиллерии разрушено 8 дзотов и блиндажей, уничтожено 9 пулемётов и взорвано 2 склада с боеприпасами. Ружейно-пулемётным огнём истреблено свыше 200 немецких солдат и офицеров.</w:t>
      </w:r>
    </w:p>
    <w:p w14:paraId="609CD672"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Рано утром 25 белорусских партизан устроили засаду на шоссейной дороге. Выследив, когда прошёл передовой отряд немцев, партизаны заложили на дороге мину и стали выжидать. Вскоре подъехала грузовая автомашина, а следом за ней двигалась колонна немецкой пехоты численностью в 300 человек. Как только автомашина наскочила на мину, партизаны открыли пулемётный, автоматный и ружейный огонь по вражеской пехоте. В короткой перестрелке советские патриоты нанесли серьёзные потери противнику и вышли из боя. Через несколько дней партизанская разведка доставила достоверные данные о потерях гитлеровцев. Выяснилось, что после боя на шоссе немцы похоронили 102 солдат и офицеров, убитых партизанами.</w:t>
      </w:r>
    </w:p>
    <w:p w14:paraId="7BDBC00F"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кровавых злодеяниях немецко-фашистских мерзавцев: «Вдеревне Мирополье, Смоленской области, немецкие бандиты согнали 75 мирных жителей, взрослых и детей, и после страшных пыток убили их. В деревне Суховарино немцы также погубили много людей. Бандиты загнали 7 крестьян в сарай, продержалиих несколько суток без пищи и воды, а затем зверски замучили их». Акт подписали: капитан Путянский. колхозники деревни Суховарино Анна Титова, Полина Карпенко и Николай Влавров.» (15099).</w:t>
      </w:r>
    </w:p>
    <w:p w14:paraId="3863E7D3" w14:textId="77777777" w:rsidR="00F14A5F" w:rsidRPr="00D03F3E" w:rsidRDefault="00F14A5F" w:rsidP="00D03F3E">
      <w:pPr>
        <w:spacing w:after="0" w:line="240" w:lineRule="auto"/>
        <w:jc w:val="both"/>
        <w:rPr>
          <w:rFonts w:ascii="Times New Roman" w:hAnsi="Times New Roman"/>
          <w:color w:val="000000" w:themeColor="text1"/>
          <w:sz w:val="16"/>
          <w:szCs w:val="16"/>
        </w:rPr>
      </w:pPr>
    </w:p>
    <w:p w14:paraId="6BC1648A"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в 1943 году вечернее сообщение Совинформбюро:</w:t>
      </w:r>
    </w:p>
    <w:p w14:paraId="753AE8A2"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14 апреля на фронтах существенных изменений не произошло.</w:t>
      </w:r>
    </w:p>
    <w:p w14:paraId="6FFB7B45"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апреля частями нашей авиации на различных участках фронта уничтожено или повреждено не менее 30 немецких, автомашин с войсками и грузами, взорван склад боеприпасов и разбит железнодорожный состав противника.</w:t>
      </w:r>
    </w:p>
    <w:p w14:paraId="1DB4FFFA"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совершенствовали свои позиции и вели разведку. Огнём артиллерии и пехотного оружия уничтожено до 200 немецких солдат и офицеров. На одном участке отряд советских бойцов проник в тыл противника и атаковал подходивший к фронту немецкий обоз. Разведчики перебили несколько десятков гитлеровцев и взорвали 15 повозок с боеприпасами. Советские лётчики в воздушном бою сбили 2 немецких истребителя.</w:t>
      </w:r>
    </w:p>
    <w:p w14:paraId="43CCE1AD"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противник атаковал позиции подразделения, где командиром лейтенант Кожемякин. Подпустив врага на близкое расстояние, бойцы открыли залповый огонь. Гитлеровцы через трупы своих солдат продолжали рваться вперёд. Забросав немцев гранатами, наши бойцы штыковым ударом отбросили их на исходные позиции. На другом участке наши артиллеристы уничтожили 3 орудия, 8 пулемётных точек, рассеяли и частью истребили до роты пехоты противника.</w:t>
      </w:r>
    </w:p>
    <w:p w14:paraId="25FA8B1B"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районе Севска наши войска на отдельных участках вели огневой бой с противником. Артиллеристы Н-ской части уничтожили немецкую миномётную батарею, 3 станковых пулемёта, 9 повозок с боеприпасами, разрушили 8 блиндажей и 2 наблюдательных пункта. Огнём зенитной артиллерии сбито 2 немецких бомбардировщика.</w:t>
      </w:r>
    </w:p>
    <w:p w14:paraId="17B75BCF"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подразделения на рассвете переправились через водный рубеж и овладели блиндажами и окопами противника. Гитлеровцы бежали, оставив 4 станковых пулемёта, большое количество винтовок, гранат, патронов и до 80 трупов своих солдат и офицеров. Вскоре немцы, подтянув резервы, предприняли одну за другой несколько контратак. Советские бойцы отбили все контратаки гитлеровцев и удержали захваченные позиции.</w:t>
      </w:r>
    </w:p>
    <w:p w14:paraId="7049D53C"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На одном участке Волховского фронта немцы пытались атаковать наши позиции. Ружейно-пулемётным и миномётным огнём противник был отброшен в исходное положение, оставив перед нашими позициями до 70 трупов своих солдат и офицеров.</w:t>
      </w:r>
    </w:p>
    <w:p w14:paraId="5B86521C"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Несколько партизанских отрядов, действующих во временно захваченных немцами районах Калининской области, в марте месяце провели ряд боевых операций. Партизаны взорвали 29 железнодорожных и 39 шоссейных мостов, разрушили более пяти километров железнодорожного пути и пустили под откос 8 немецких эшелонов. В результате крушений разбито 5 паровозов, 16 вагонов с войсками и 37 вагонов с вооружением и боеприпасами. Эти же отряды партизан в боях с карательными экспедициями гитлеровцев истребили до 2.000 немецких солдат и офицеров.</w:t>
      </w:r>
    </w:p>
    <w:p w14:paraId="4B08EAFE"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унтер-офицер 14 полка 78 немецкой пехотной дивизии Фриц Германн рассказал: «Немецкая пропаганда теперь действует осторожнее, чем раньше. Она боится называть сроки окончания войны, так как уже не раз обожгла себе на этом руки. Сейчас немецкие газеты всячески запугивают всевозможными ужасами, которые якобы ожидают немцев в случае поражения Германии. На многих солдат эта пропаганда производит обратное действие. Они недоумевают: почему после бесконечных сводок об успехах и победах вдруг стали так много говорить о том, что немецкой армии угрожает разгром? Почему вдруг понадобилась тотальная мобилизация, свалившаяся, как снег на голову, на германский тыл? Если кадровые отборные дивизии не могли победить русских и были разгромлены и разбиты, то что же можно ожидать от слабо обученных пожилых людей и подростков, призванных в последнее время. Я думаю, что новые немецкие части наверняка обречены на гибель».</w:t>
      </w:r>
    </w:p>
    <w:p w14:paraId="302BDE8D"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Моравской Остравы (Чехословакия) чешские патриоты вывели из строя шахту. Важнейшие механизмы приведены в негодность. В Пильзене группа молодых чехов, переодевшись в форму эсэсовцев, проникла на военный завод, вскрыла склад и захватила 27 пулемётов. Перед уходом патриоты подожгли склад. В Праге за последнее время участились нападения на немецких солдат и офицеров.» (15099).</w:t>
      </w:r>
    </w:p>
    <w:p w14:paraId="1E059D9E" w14:textId="77777777" w:rsidR="00F14A5F" w:rsidRPr="00D03F3E" w:rsidRDefault="00F14A5F" w:rsidP="00D03F3E">
      <w:pPr>
        <w:spacing w:after="0" w:line="240" w:lineRule="auto"/>
        <w:jc w:val="both"/>
        <w:rPr>
          <w:rFonts w:ascii="Times New Roman" w:hAnsi="Times New Roman"/>
          <w:color w:val="000000" w:themeColor="text1"/>
          <w:sz w:val="16"/>
          <w:szCs w:val="16"/>
        </w:rPr>
      </w:pPr>
    </w:p>
    <w:p w14:paraId="587C7A6F"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в 1943 году Образовано Главное управление контрразведки "Смерш" («Смерть шпионам»; упразднено в мае 1946 г.). Начальником Главного управления контрразведки (ГУКР) назначен В.С.Абакумов. Управление входило не в НКВД или НКГБ, а в наркомат обороны и подчинялось непосредственно Сталину как наркому обороны (15099).</w:t>
      </w:r>
    </w:p>
    <w:p w14:paraId="3A71CB77" w14:textId="77777777" w:rsidR="00F14A5F" w:rsidRPr="00D03F3E" w:rsidRDefault="00F14A5F" w:rsidP="00D03F3E">
      <w:pPr>
        <w:spacing w:after="0" w:line="240" w:lineRule="auto"/>
        <w:jc w:val="both"/>
        <w:rPr>
          <w:rFonts w:ascii="Times New Roman" w:hAnsi="Times New Roman"/>
          <w:color w:val="000000" w:themeColor="text1"/>
          <w:sz w:val="16"/>
          <w:szCs w:val="16"/>
        </w:rPr>
      </w:pPr>
    </w:p>
    <w:p w14:paraId="3A9777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14-15 апреля 1943, согласно дневниковых записей Валентина Ивановича Аккуратова (летал на АНТ-42 “дублер”) за 1943 год, бомбили объекты в Данциге - порт и заводы. Много прожекторов, значит, в воздухе находились их истребители. Дважды попадали в лучи прожекторов, и нашим стрелкам - подшассийным и башенным - пришлось немало поработать, отражая атаки противника. Все самолеты вернулись на базу. Летали около 10 ч, из них 6 ч на высоте 6 тыс.м.</w:t>
      </w:r>
    </w:p>
    <w:p w14:paraId="5FD389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20 апреля. Бомбили военные объекты и скопления войск в Тильзите. Море огня, взрывы эшелонов с боеприпасами, огненные трассы зенитных автоматов, ослепительные лучи прожекторов - все это напоминает описание ада у Данте. Все самолеты вернулись на базы. </w:t>
      </w:r>
    </w:p>
    <w:p w14:paraId="5159CB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Продолжаем уничтожать военные объекты в Восточной Пруссии. Сегодня бомбили Инстербург. Налет был массированным, кроме нашей дивизии, нель обрабатывало около 200 средних бомбардировщиков. От многочисленных пожаров внизу стало светло, как днем, - отчетливо просматривалась станция с пылающими эшелонами, улицы, заводы. Запах гари проникал даже в самолет... На базу не вернулся один бомбардировщик.</w:t>
      </w:r>
    </w:p>
    <w:p w14:paraId="7CD23B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Сегодня опять ходили на Кенигсберг. Наш самолет, по прозвищу "Борода", хоть и не серийный, но быстроходнее и легче остальных, пришел на 20 мин раньше товарищей, чтобы обнаружить цель и развесить над нею осветительные бомбы на парашютах.</w:t>
      </w:r>
    </w:p>
    <w:p w14:paraId="284941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После налета на Кенигсберг были атакованы группой истребителей. Отстреливаясь, ушли в облака, куда они сунуться не рискнули, видимо, опасаясь столкнуться друг с другом. Уже на подходе к линии фронта, снижаясь в облаках, неожиданно напоролись на сильный заградительный огонь. Вырвались, резко меняя курсы и высоту, но все же получили несколько осколочных пробоин. Обидно за книгу - эпос "Калевала", которую урывками читал на обратном пути, - осколки снаряда пробили ее в нескольких местах, а один, пронзив том, содрал у меня кожу со лба и расцарапал шлемофон (эту книгу, списанную из дивизионной библиотеки, я храню по сей день - как- никак. но она спасла мне жизнь).</w:t>
      </w:r>
    </w:p>
    <w:p w14:paraId="1D5944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Ходили на Брест - там разведка обнаружила скопление танков и тяжелой артиллерии. Очевидно, фрицы не ожидали появления здесь нашей дальней авиации - зенитки и прожекторы бездействовали. После массированного налета эшелоны превратились в месиво огня и дыма, которое мы, уходя, видели за 120-140 км.</w:t>
      </w:r>
    </w:p>
    <w:p w14:paraId="04B67B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5, 10, 12 мая. Все ночи напролет громим эшелоны на железнодорожных узлах. Не нужно быть стратегом, чтобы по расположению целей понять, что готовится очередное грандиозное наступление. И тщетно фашисты пытаются замаскировать свою технику - мы находим ее в любых условиях.</w:t>
      </w:r>
    </w:p>
    <w:p w14:paraId="67A75F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секрет прост - противник сам наводил нас на цели. Однажды в ясную, но безлунную ночь, идя над вражеской территорией, мы заметили на черном бархате затаившейся земли вспыхивающие огни. Присмотревшись, поняли, что вспышки соответствуют знакам азбуки Морзе. То были свето- маяки, установленные у крупных населенных пунктов и у естественных ориентиров. Каждый маяк давал вспышки из двух определенных букв, которые менялись раз в десять дней. Перенеся эти данные на карту, наши штурманы быстро и точно выводили свои корабли на заданную цель. Помогали нам чужие огни и при возвращении, особенно на подбитой машине, когда штурманы </w:t>
      </w:r>
    </w:p>
    <w:p w14:paraId="1B16CE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каждым боевым вылетом росло наше мастерство и понимание тактики врага. К примеру, если год назад мы с опаской думали о том, как бы не встретить над целью аэростаты заграждения, то теперь, отбомбившись, искали их, чтобы сжечь огнем тяжелых пулеметов. Ведь эти аэростаты представляли для нас серьезную угрозу, - обычно спаренные, они поднимали стальной трос на 6 тыс. м. Невидимые в ночи, да еше увешанные электромагнитными дистанционными минами, они были для нас куда опаснее зенитной артиллерии: Вот почему наши стрелки столь беспощадно разделывались с их серебристыми тушами.</w:t>
      </w:r>
    </w:p>
    <w:p w14:paraId="54FBE2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успехе боевого вылета огромную роль играло знание штурманами фактической погоды над территорией врага. В частности, необходимо было иметь представление о нижней границе облачности над целью. Однако карты, которые мы получали от синоптиков, были прогностическими, расчетными. До войны было иначе - сводки погоды поступали к синоптикам со всей Европы, и их прогнозы были более или менее точными. С войной поступление такой информации прекратилось. А положение усугублялось тем, что погода над оккупированной нацистами Европой формировалась под воздействием воздушных масс, движущихся с запада и северо-запада (со стороны Бельгии, Голландии и Норвегии, захваченных гитлеровцами еще в 1940 году). Поэтому доразведку погоды пришлось возложить на экипаж самолета-осветителя. Выйдя на цель за полчаса до появления основной массы бомбардировщиков, он передавал на базу сводку, а та сообщала ее штурманам машин, идущих на цель с интервалом в 5-Ю мин. Выпускать разведчика раньше было нежелательно, так как в этом случае терялся фактор внезапности и противник успевал привести в готовность противовоздушную оборону.</w:t>
      </w:r>
    </w:p>
    <w:p w14:paraId="5E3033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и здесь нам помогала самоуверенность нацистов. Дело в том, что их аэродромные станции методически передавали для летчиков Люфтваффе сводки погоды на ультракоротких волнах по международному метеокоду. А его отлично знали летчики полярной авиации, работавшие до войны на разведке ледовой обстановки в Арктике. Хотя дальность действия этих радиостанций была небольшой, но это не мешало нам получать полную картину погоды над целью" (12025).</w:t>
      </w:r>
    </w:p>
    <w:p w14:paraId="7A4089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E9E20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1943 в немецком концлагере застрелен сын Сталина Яков Джугашвили (4962).</w:t>
      </w:r>
    </w:p>
    <w:p w14:paraId="5F901CE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B189E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1943 г. погиб Я.Джугашвили (6395).</w:t>
      </w:r>
    </w:p>
    <w:p w14:paraId="540467C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0DA5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1943 Я.Джугашвили, сын И.В.С. покончил жизнь самоубийством в лагере Заксенхаузен. Он бросился на проволоку под током и одновременно был застрелен в голову охранником (1681,35).</w:t>
      </w:r>
    </w:p>
    <w:p w14:paraId="4EA2E8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BBCF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1943 г. постановлением ГКО было образовано Главное управление контрразведки НКО СССР “Смерш” — “Смерть шпионам” — органы борьбы с подрывной деятельностью разведок империалистических государств против Красной Армии и ВМФ. Начальник Главного управления являлся заместителем Наркома обороны. Оно работало в тесном контакте с наркоматами внутренних дел и государственной безопасности. Совместно с ними разрабатывались и осуществлялись оперативные планы по борьбе с вражеской разведкой на фронте, в советском тылу и на временно оккупированной территории (9844).</w:t>
      </w:r>
    </w:p>
    <w:p w14:paraId="721EDC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0CB0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1943 г. вышел ПРИКАЗ № 0066/00109 О ПОРЯДКЕ ВЗАИМОДЕЙСТВИЯ ВОЙСК ПРОТИВОВОЗДУШНОЙ ОБОРОНЫ ТЕРРИТОРИИ СТРАНЫ И ВОЛЖСКОЙ ВОЕННОЙ ФЛОТИЛИИ ПО ПРОТИВОВОЗДУШНОЙ ОБОРОНЕ КОММУНИКАЦИЙ, КАРАВАНОВ И ОТДЕЛЬНЫХ СУДОВ НА УЧАСТКЕ АСТРАХАНЬ—САРАТОВ</w:t>
      </w:r>
    </w:p>
    <w:p w14:paraId="72EB6F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постановления Государственного Комитета Обороны № ГОКО—3072с от 24.3.43 г. установить в период навигации 1943 года следующий порядок взаимодействия Войск противовоздушной обороны территории страны и Волжской военной флотилии по противовоздушной обороне коммуникаций, караванов и отдельных судов НКРФ на участке Астрахань—Саратов реки Волги:</w:t>
      </w:r>
    </w:p>
    <w:p w14:paraId="4D2EC1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Прикрытие коммуникаций по реке Волга на участке Астрахань — Саратов в целях недопущения минных постановок с самолетов противника и защита караванов и судов НКРФ на переходе и в отстойных пунктах на данном участке от боевого воздействия противника с воздуха возлагается на Войска противовоздушной обороны территории страны. Степень обеспечения определяется обстановкой и ценностью караванов и судов НКРФ на переходе.</w:t>
      </w:r>
    </w:p>
    <w:p w14:paraId="15B5EA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Волжская флотилия выделяет конвойные суда, организует движение их конвоем и непосредственное прикрытие корабельной зенитной артиллерией.</w:t>
      </w:r>
    </w:p>
    <w:p w14:paraId="7EF368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этом случае средства ПВО оперативной группы Волжского бассейна Войск ПВО ТС, установленные на судах НКРФ, следующих в составе конвоя, подчиняются в оперативном отношении командиру конвоя, который определяет боевое использование их.</w:t>
      </w:r>
    </w:p>
    <w:p w14:paraId="5AEAC1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3. При стоянке конвоев в отстойных пунктах все средства ПВО конвоя в оперативном отношении подчиняются (через командира конвоя) командиру ПВО отстойного пункта, назначенному командующим оперативной группой ПВО Волжского бассейна и действуют согласно “Инструкции по взаимодействию конвоя на переходе с истребителями и со средствами ПВО отстойного пункта”, разрабатываемой штабом оперативной группы ПВО Волжского бассейна совместно со штабом Волжской военной флотилии.</w:t>
      </w:r>
    </w:p>
    <w:p w14:paraId="7B1655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На оперативную группу ПВО Волжского бассейна возлагается организация оповещения штаба ВВФ и участков СНиС ВВФ и конвоев о воздушной обстановке на участке Астрахань—Саратов.</w:t>
      </w:r>
    </w:p>
    <w:p w14:paraId="22ED69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На Волжскую военную флотилию возлагается:</w:t>
      </w:r>
    </w:p>
    <w:p w14:paraId="08F471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организация оповещения караванов и судов НКРФ на переходе о воздушной обстановке через участки СНиС ВВФ;</w:t>
      </w:r>
    </w:p>
    <w:p w14:paraId="24BB78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организация учета движения караванов и судов НКРФ на участке Астрахань—Саратов и информация штаба оперативной группы ПВО Волжского бассейна о их движении;</w:t>
      </w:r>
    </w:p>
    <w:p w14:paraId="46FBA2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передача донесений постов СНиС о воздушном противнике штабу оперативной группы ПВО Волжского бассейна.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408"/>
        <w:gridCol w:w="3408"/>
      </w:tblGrid>
      <w:tr w:rsidR="00860B4B" w:rsidRPr="00D03F3E" w14:paraId="758664D1" w14:textId="77777777">
        <w:tc>
          <w:tcPr>
            <w:tcW w:w="3408" w:type="dxa"/>
          </w:tcPr>
          <w:p w14:paraId="3EA79A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Народный комиссар Военно-</w:t>
            </w:r>
          </w:p>
        </w:tc>
        <w:tc>
          <w:tcPr>
            <w:tcW w:w="3408" w:type="dxa"/>
          </w:tcPr>
          <w:p w14:paraId="3EE1BF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Заместитель Народного комиссара</w:t>
            </w:r>
          </w:p>
        </w:tc>
      </w:tr>
      <w:tr w:rsidR="00860B4B" w:rsidRPr="00D03F3E" w14:paraId="6E17DA3F" w14:textId="77777777">
        <w:tc>
          <w:tcPr>
            <w:tcW w:w="3408" w:type="dxa"/>
          </w:tcPr>
          <w:p w14:paraId="3FD6A2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Морского флота СССР</w:t>
            </w:r>
          </w:p>
        </w:tc>
        <w:tc>
          <w:tcPr>
            <w:tcW w:w="3408" w:type="dxa"/>
          </w:tcPr>
          <w:p w14:paraId="283757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обороны СССР</w:t>
            </w:r>
          </w:p>
        </w:tc>
      </w:tr>
      <w:tr w:rsidR="00860B4B" w:rsidRPr="00D03F3E" w14:paraId="0A5EBABA" w14:textId="77777777">
        <w:tc>
          <w:tcPr>
            <w:tcW w:w="3408" w:type="dxa"/>
          </w:tcPr>
          <w:p w14:paraId="241C83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адмирал КУЗНЕЦОВ</w:t>
            </w:r>
          </w:p>
        </w:tc>
        <w:tc>
          <w:tcPr>
            <w:tcW w:w="3408" w:type="dxa"/>
          </w:tcPr>
          <w:p w14:paraId="74F231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генерал-лейтенант ГРОМАДИН </w:t>
            </w:r>
            <w:r w:rsidRPr="00D03F3E">
              <w:rPr>
                <w:rFonts w:ascii="Times New Roman" w:hAnsi="Times New Roman"/>
                <w:color w:val="000000" w:themeColor="text1"/>
                <w:sz w:val="16"/>
                <w:szCs w:val="16"/>
              </w:rPr>
              <w:t>(9844).</w:t>
            </w:r>
          </w:p>
        </w:tc>
      </w:tr>
    </w:tbl>
    <w:p w14:paraId="6F2E37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246E7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1FADBB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0E07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1943 Указом Президиума ВС из НКВД выделили НКГБ (В.Н.Меркулов) (3398,147).</w:t>
      </w:r>
    </w:p>
    <w:p w14:paraId="204936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B38D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1943 НКВД СССР был в очередной раз разделен на два наркомата: НКВД и НКГБ. Наркомом внутренних дел СССР был вновь назначен Берия, наркомом госбезопасности СССР - В. Н. Меркулов. В НКГБ перешли оперативно-чекистские управления и отделы прежнего НКВД; все лагерные управления и главки остались в НКВД. 26 апреля С. Н. Круглов был вновь назначен первым заместителем наркома внутренних дел.</w:t>
      </w:r>
    </w:p>
    <w:p w14:paraId="0A593C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F841F3" w14:textId="2F428D84" w:rsidR="00F40F75" w:rsidRPr="00D03F3E" w:rsidRDefault="00F40F75"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D03F3E">
        <w:rPr>
          <w:rFonts w:ascii="Times New Roman" w:hAnsi="Times New Roman"/>
          <w:i/>
          <w:iCs/>
          <w:color w:val="000000" w:themeColor="text1"/>
          <w:sz w:val="16"/>
          <w:szCs w:val="16"/>
        </w:rPr>
        <w:t>За рубежом:</w:t>
      </w:r>
    </w:p>
    <w:p w14:paraId="03C37B6A" w14:textId="77777777" w:rsidR="00F40F75" w:rsidRPr="00D03F3E" w:rsidRDefault="00F40F75"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73BDEEA" w14:textId="77777777" w:rsidR="00F40F75" w:rsidRPr="00D03F3E" w:rsidRDefault="00F40F7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14 апреля 1943 188 японских самолетов из Рабаула совершили набег на залив Милн в Новой Гвинее, уничтожив одно торговое судно и повредив другие. Двадцать четыре самолета Curtiss Kittyhawk Королевских ВВС Австралии перехватывают их, сбив семь японских самолетов в обмен на три Kittyhawk (20376).</w:t>
      </w:r>
    </w:p>
    <w:p w14:paraId="3EE3884E" w14:textId="77777777" w:rsidR="00F40F75" w:rsidRPr="00D03F3E" w:rsidRDefault="00F40F75" w:rsidP="00D03F3E">
      <w:pPr>
        <w:spacing w:after="0" w:line="240" w:lineRule="auto"/>
        <w:jc w:val="both"/>
        <w:rPr>
          <w:rFonts w:ascii="Times New Roman" w:hAnsi="Times New Roman"/>
          <w:color w:val="0070C0"/>
          <w:sz w:val="16"/>
          <w:szCs w:val="16"/>
        </w:rPr>
      </w:pPr>
    </w:p>
    <w:p w14:paraId="39F0F53F" w14:textId="77777777" w:rsidR="00F40F75" w:rsidRPr="00D03F3E" w:rsidRDefault="00F40F7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14 апреля 1943 MV Empire MacAlpine поступает на вооружение как первый британский торговый авианосец, или «корабль MAC. Каждый из 19 кораблей MAC, в конечном итоге введенных в эксплуатацию, представляет собой судно для массовых грузов или танкер, которое продолжает перевозить грузы, будучи оснащенным полноразмерным экипажем. Идя в составе конвоев, корабли MAC несут от трех до четырех самолетов Swordfish для противолодочного патрулирования. Хотя самолеты MAC ни разу не топять немецкую подводную лодку, но и конвой, включающий MAC-корабль никогда не теряет корабль, и ни один из кораблей MAC не будет потерян (20376).</w:t>
      </w:r>
    </w:p>
    <w:p w14:paraId="6BFD54B7" w14:textId="77777777" w:rsidR="00F40F75" w:rsidRPr="00D03F3E" w:rsidRDefault="00F40F75" w:rsidP="00D03F3E">
      <w:pPr>
        <w:spacing w:after="0" w:line="240" w:lineRule="auto"/>
        <w:jc w:val="both"/>
        <w:rPr>
          <w:rFonts w:ascii="Times New Roman" w:hAnsi="Times New Roman"/>
          <w:color w:val="0070C0"/>
          <w:sz w:val="16"/>
          <w:szCs w:val="16"/>
        </w:rPr>
      </w:pPr>
    </w:p>
    <w:p w14:paraId="1C62A9D4" w14:textId="4A06D919"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1019E6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B4EF23" w14:textId="77777777" w:rsidR="00F40F75" w:rsidRPr="00D03F3E" w:rsidRDefault="00F40F75"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 15 апреля 1943 в армию стали передавать самолеты Ил-2 (начиная зав. №1870153), оборудованные привязными рем</w:t>
      </w:r>
      <w:r w:rsidRPr="00D03F3E">
        <w:rPr>
          <w:rFonts w:ascii="Times New Roman" w:hAnsi="Times New Roman"/>
          <w:color w:val="0070C0"/>
          <w:sz w:val="16"/>
          <w:szCs w:val="16"/>
        </w:rPr>
        <w:softHyphen/>
        <w:t>нями воздушного стрелка (19879).</w:t>
      </w:r>
    </w:p>
    <w:p w14:paraId="454708ED" w14:textId="77777777" w:rsidR="00F40F75" w:rsidRPr="00D03F3E" w:rsidRDefault="00F40F75" w:rsidP="00D03F3E">
      <w:pPr>
        <w:shd w:val="clear" w:color="auto" w:fill="FFFFFF"/>
        <w:spacing w:after="0" w:line="240" w:lineRule="auto"/>
        <w:jc w:val="both"/>
        <w:rPr>
          <w:rFonts w:ascii="Times New Roman" w:hAnsi="Times New Roman"/>
          <w:color w:val="0070C0"/>
          <w:sz w:val="16"/>
          <w:szCs w:val="16"/>
        </w:rPr>
      </w:pPr>
    </w:p>
    <w:p w14:paraId="4CA62D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15 апре</w:t>
      </w:r>
      <w:r w:rsidRPr="00D03F3E">
        <w:rPr>
          <w:rFonts w:ascii="Times New Roman" w:hAnsi="Times New Roman"/>
          <w:color w:val="000000" w:themeColor="text1"/>
          <w:sz w:val="16"/>
          <w:szCs w:val="16"/>
        </w:rPr>
        <w:softHyphen/>
        <w:t>ля 1943 года по сводкам НИИ ВВС КА само</w:t>
      </w:r>
      <w:r w:rsidRPr="00D03F3E">
        <w:rPr>
          <w:rFonts w:ascii="Times New Roman" w:hAnsi="Times New Roman"/>
          <w:color w:val="000000" w:themeColor="text1"/>
          <w:sz w:val="16"/>
          <w:szCs w:val="16"/>
        </w:rPr>
        <w:softHyphen/>
        <w:t>лет Су-4 М-90, который летом 1943 передали эвакуиро</w:t>
      </w:r>
      <w:r w:rsidRPr="00D03F3E">
        <w:rPr>
          <w:rFonts w:ascii="Times New Roman" w:hAnsi="Times New Roman"/>
          <w:color w:val="000000" w:themeColor="text1"/>
          <w:sz w:val="16"/>
          <w:szCs w:val="16"/>
        </w:rPr>
        <w:softHyphen/>
        <w:t>ванному в г. Омск заводу №29 для проведения летных испытаний М-90, выполнил 9 полетов с налетом 4 часа 30 минут. По самолету Су-4 АМ-37 рабо</w:t>
      </w:r>
      <w:r w:rsidRPr="00D03F3E">
        <w:rPr>
          <w:rFonts w:ascii="Times New Roman" w:hAnsi="Times New Roman"/>
          <w:color w:val="000000" w:themeColor="text1"/>
          <w:sz w:val="16"/>
          <w:szCs w:val="16"/>
        </w:rPr>
        <w:softHyphen/>
        <w:t>ты в эвакуации не проводились и в связи с прекращением серийного выпуска самолета Су-2, перед Нар</w:t>
      </w:r>
      <w:r w:rsidRPr="00D03F3E">
        <w:rPr>
          <w:rFonts w:ascii="Times New Roman" w:hAnsi="Times New Roman"/>
          <w:color w:val="000000" w:themeColor="text1"/>
          <w:sz w:val="16"/>
          <w:szCs w:val="16"/>
        </w:rPr>
        <w:softHyphen/>
        <w:t>комом было возбуждено ходатайство о снятии этого задания с плана за</w:t>
      </w:r>
      <w:r w:rsidRPr="00D03F3E">
        <w:rPr>
          <w:rFonts w:ascii="Times New Roman" w:hAnsi="Times New Roman"/>
          <w:color w:val="000000" w:themeColor="text1"/>
          <w:sz w:val="16"/>
          <w:szCs w:val="16"/>
        </w:rPr>
        <w:softHyphen/>
        <w:t>вода (11849).</w:t>
      </w:r>
    </w:p>
    <w:p w14:paraId="1E2049E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BFF6FD" w14:textId="77777777" w:rsidR="00F14A5F" w:rsidRPr="00D03F3E" w:rsidRDefault="00F14A5F" w:rsidP="00D03F3E">
      <w:pPr>
        <w:pStyle w:val="a3"/>
        <w:rPr>
          <w:color w:val="000000" w:themeColor="text1"/>
          <w:lang w:val="ru-RU"/>
        </w:rPr>
      </w:pPr>
      <w:r w:rsidRPr="00D03F3E">
        <w:rPr>
          <w:color w:val="000000" w:themeColor="text1"/>
          <w:lang w:val="ru-RU"/>
        </w:rPr>
        <w:t>К 15 апреля 1943 года по сводкам НИИ ВВС КА самолёт Су-4 М-90 выполнил 9 полётов с налётом 4 часа 30 минут (15975).</w:t>
      </w:r>
    </w:p>
    <w:p w14:paraId="7A731A1A" w14:textId="77777777" w:rsidR="00F14A5F" w:rsidRPr="00D03F3E" w:rsidRDefault="00F14A5F" w:rsidP="00D03F3E">
      <w:pPr>
        <w:pStyle w:val="a3"/>
        <w:rPr>
          <w:color w:val="000000" w:themeColor="text1"/>
          <w:lang w:val="ru-RU"/>
        </w:rPr>
      </w:pPr>
    </w:p>
    <w:p w14:paraId="2CBD619D" w14:textId="77777777" w:rsidR="006A4DE0" w:rsidRPr="00D03F3E" w:rsidRDefault="006A4DE0"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 15 апреля 1943 г. по сводкам НИИ ВВС самолет Су-4 с М-90, который летом 1942 пе</w:t>
      </w:r>
      <w:r w:rsidRPr="00D03F3E">
        <w:rPr>
          <w:rFonts w:ascii="Times New Roman" w:cs="Times New Roman"/>
          <w:color w:val="000000" w:themeColor="text1"/>
          <w:spacing w:val="0"/>
        </w:rPr>
        <w:softHyphen/>
        <w:t>редали эвакуированному в Омск заводу № 29 для проведения летных испытаний двигателя М-90, выполнил девять полетов с налетом 4 ч 30 мин. (19102).</w:t>
      </w:r>
    </w:p>
    <w:p w14:paraId="78569BC6" w14:textId="77777777" w:rsidR="006A4DE0" w:rsidRPr="00D03F3E" w:rsidRDefault="006A4DE0" w:rsidP="00D03F3E">
      <w:pPr>
        <w:pStyle w:val="27"/>
        <w:shd w:val="clear" w:color="auto" w:fill="auto"/>
        <w:spacing w:after="0" w:line="240" w:lineRule="auto"/>
        <w:ind w:firstLine="0"/>
        <w:rPr>
          <w:rFonts w:ascii="Times New Roman" w:cs="Times New Roman"/>
          <w:color w:val="000000" w:themeColor="text1"/>
          <w:spacing w:val="0"/>
        </w:rPr>
      </w:pPr>
    </w:p>
    <w:p w14:paraId="2DA2EF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15 апреля 1943 ОКБ А.Н.Т. вернулось в Москву, где наладило производство Ту-2, потом еще на 3 заводах (4,176).</w:t>
      </w:r>
    </w:p>
    <w:p w14:paraId="5ED14C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другим данным это было к осени (346,5).</w:t>
      </w:r>
    </w:p>
    <w:p w14:paraId="1E824B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8598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Пе-8 (ТБ-7) N 42029 c только что испытанными моторами АЧ-30В перелетел из Казани в Кратово для испытаний ФАБ-5000 (1103,116).</w:t>
      </w:r>
    </w:p>
    <w:p w14:paraId="2B25EC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Есть мнение, что АШ-82 на Пе-8 в это время еще не были испытаны, но это не так.</w:t>
      </w:r>
    </w:p>
    <w:p w14:paraId="68EB1D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D8DC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вышел приказ НКАП N 215с по переходу завода 166 на Як-9 (2519,227).</w:t>
      </w:r>
    </w:p>
    <w:p w14:paraId="00996C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DB6797" w14:textId="77777777" w:rsidR="006A4DE0" w:rsidRPr="00D03F3E" w:rsidRDefault="006A4D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г. НКАП предписал заводским администрациям взять под строгий контроль процесс обработки авиационной древесины и создать в лабораториях специальные отделения клеев, а также ввести должность заместителя начальника ОТК по деревообрабатывающему производству. 10 мая НКАП издал новый приказ, которым ужесточил техусловия приемки изделий и материалов от поставщиков, ввел клеймение принятой продукции и восстановил учет рекламаций (18305).</w:t>
      </w:r>
    </w:p>
    <w:p w14:paraId="3421BB23" w14:textId="77777777" w:rsidR="006A4DE0" w:rsidRPr="00D03F3E" w:rsidRDefault="006A4DE0" w:rsidP="00D03F3E">
      <w:pPr>
        <w:spacing w:after="0" w:line="240" w:lineRule="auto"/>
        <w:jc w:val="both"/>
        <w:rPr>
          <w:rFonts w:ascii="Times New Roman" w:hAnsi="Times New Roman"/>
          <w:color w:val="000000" w:themeColor="text1"/>
          <w:sz w:val="16"/>
          <w:szCs w:val="16"/>
        </w:rPr>
      </w:pPr>
    </w:p>
    <w:p w14:paraId="0D15044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7A5299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E653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вышло постановление ГКО № 3187сс, которое обязывало Наркомат вооружения создать мощные танковые пушки, способные бороться с новой техникой врага. (3862).</w:t>
      </w:r>
    </w:p>
    <w:p w14:paraId="180FB0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F673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г. вышло постановление ГКО № 3187 ее, кото</w:t>
      </w:r>
      <w:r w:rsidRPr="00D03F3E">
        <w:rPr>
          <w:rFonts w:ascii="Times New Roman" w:hAnsi="Times New Roman"/>
          <w:color w:val="000000" w:themeColor="text1"/>
          <w:sz w:val="16"/>
          <w:szCs w:val="16"/>
        </w:rPr>
        <w:softHyphen/>
        <w:t>рое обязало Наркомат вооружений (НКВ) создать мощное танковое орудие с целью противодействия немецким тяже</w:t>
      </w:r>
      <w:r w:rsidRPr="00D03F3E">
        <w:rPr>
          <w:rFonts w:ascii="Times New Roman" w:hAnsi="Times New Roman"/>
          <w:color w:val="000000" w:themeColor="text1"/>
          <w:sz w:val="16"/>
          <w:szCs w:val="16"/>
        </w:rPr>
        <w:softHyphen/>
        <w:t>лым танкам и САУ, а также организовать выпуск специальных бронированных самоходных истребителей танков. Новое танковое вооружение должно было при калибре более 85-мм «уметь» пробить броню толщиной не менее 120 мм на дистанции 600 м и 102 мм на дистанции 1000 м по нормали. К слову сказать, такие орудия уже были теорети</w:t>
      </w:r>
      <w:r w:rsidRPr="00D03F3E">
        <w:rPr>
          <w:rFonts w:ascii="Times New Roman" w:hAnsi="Times New Roman"/>
          <w:color w:val="000000" w:themeColor="text1"/>
          <w:sz w:val="16"/>
          <w:szCs w:val="16"/>
        </w:rPr>
        <w:softHyphen/>
        <w:t>чески спроектированы и даже частично изготовлены «в ме</w:t>
      </w:r>
      <w:r w:rsidRPr="00D03F3E">
        <w:rPr>
          <w:rFonts w:ascii="Times New Roman" w:hAnsi="Times New Roman"/>
          <w:color w:val="000000" w:themeColor="text1"/>
          <w:sz w:val="16"/>
          <w:szCs w:val="16"/>
        </w:rPr>
        <w:softHyphen/>
        <w:t>талле» в 1941 г. на заводе № 92, но государственных испы</w:t>
      </w:r>
      <w:r w:rsidRPr="00D03F3E">
        <w:rPr>
          <w:rFonts w:ascii="Times New Roman" w:hAnsi="Times New Roman"/>
          <w:color w:val="000000" w:themeColor="text1"/>
          <w:sz w:val="16"/>
          <w:szCs w:val="16"/>
        </w:rPr>
        <w:softHyphen/>
        <w:t>таний они не проходили и производством боеприпасов для орудий столь большой мощности не занимался никто (11135).</w:t>
      </w:r>
    </w:p>
    <w:p w14:paraId="05A711F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Создаваемые на ЧКЗ и заводе № 100 под руководством Ж. Котина новые танки должны были стать достойным отве</w:t>
      </w:r>
      <w:r w:rsidRPr="00D03F3E">
        <w:rPr>
          <w:rFonts w:ascii="Times New Roman" w:hAnsi="Times New Roman"/>
          <w:color w:val="000000" w:themeColor="text1"/>
          <w:sz w:val="16"/>
          <w:szCs w:val="16"/>
        </w:rPr>
        <w:softHyphen/>
        <w:t>том «немецкому зверинцу» и их проектированию давали, что называется, «зеленую улицу». После обсуждения в ОГК НКТП к изготовлению утвердили проекты танков «ИС обра</w:t>
      </w:r>
      <w:r w:rsidRPr="00D03F3E">
        <w:rPr>
          <w:rFonts w:ascii="Times New Roman" w:hAnsi="Times New Roman"/>
          <w:color w:val="000000" w:themeColor="text1"/>
          <w:sz w:val="16"/>
          <w:szCs w:val="16"/>
        </w:rPr>
        <w:softHyphen/>
        <w:t>зец № 3» (или ИС-3) с 85-мм пушкой и «ИС образец № 4» (или ИС-4) со 107-мм пушкой. В проектах конструкторы вернулись к хорошо отработанной шестикатковой ходовой части, по типу КВ-1, было применено широко опробованное на КВ-13 и первых ИС броневое литье носовой части (11135).</w:t>
      </w:r>
    </w:p>
    <w:p w14:paraId="7569A6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2527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г. вышло Постановление ГКО N 3187 (4406) об усилении противотанковой обороны. Требовалось создать противотанковую пушку, способную пробивать броню "Тигра", "Фердинанда" и других перспективных немецких танков. Создавать пушку с новой баллистикой было некогда и пришлось выбирать между баллистикой 107-мм пушки М-60, 100-мм пушки Б-34 и 122-мм пушки А-19. Грабин счел оптимальным вариантом 100-мм корабельную пушку Б-34 с глубокой нарезкой (1,5 мм). В кратчайшие сроки ЦАКБ разработало документацию на пушку, получившую индекс ЦАКБ "С-3"</w:t>
      </w:r>
    </w:p>
    <w:p w14:paraId="396C6A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вышло постановление ГОКО N 3187сс, которое обязало НКВ создать мощное танковое орудие с целью противодействия тяжелым немецким танкам и САУ, а также организовать выпуск специальных бронированных самоходных истребителей танков. В начале апреля ЧКЗ получил задание на проектирование двух новых тяжелых танков при сохранении существующей массы КВ (46 т), но иметь более мощную броню (100 мм) и вооружение из 85 мм и 107 мм пушек (2453,8).</w:t>
      </w:r>
    </w:p>
    <w:p w14:paraId="0F2D56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56AE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г. ГКО, приняв за основу предложения различных наркоматов,. издал постановление № 3187 “О меронриятнях по усилению противотанковой обороны”. Данное постановление явилось ключевым для дальнейшего развития наших танков и САУ на весь военный период (6001,20).</w:t>
      </w:r>
    </w:p>
    <w:p w14:paraId="6D7290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20D98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15 апреля 1943 г. Постановление ГОКО № 3187 требовало значительно усилить танковое вооружение с целью противодействия немецким тяжелым танкам и САУ, а так</w:t>
      </w:r>
      <w:r w:rsidRPr="00D03F3E">
        <w:rPr>
          <w:rFonts w:ascii="Times New Roman" w:hAnsi="Times New Roman"/>
          <w:color w:val="000000" w:themeColor="text1"/>
          <w:sz w:val="16"/>
          <w:szCs w:val="16"/>
        </w:rPr>
        <w:softHyphen/>
        <w:t>же создать высокоэффективные специализированные бронированные самоходные истребители танков. Эти САУ, согласно требованиям ГАУ, должны были уметь про</w:t>
      </w:r>
      <w:r w:rsidRPr="00D03F3E">
        <w:rPr>
          <w:rFonts w:ascii="Times New Roman" w:hAnsi="Times New Roman"/>
          <w:color w:val="000000" w:themeColor="text1"/>
          <w:sz w:val="16"/>
          <w:szCs w:val="16"/>
        </w:rPr>
        <w:softHyphen/>
        <w:t>бивать по нормали броню толщиной 90—120 мм на дис</w:t>
      </w:r>
      <w:r w:rsidRPr="00D03F3E">
        <w:rPr>
          <w:rFonts w:ascii="Times New Roman" w:hAnsi="Times New Roman"/>
          <w:color w:val="000000" w:themeColor="text1"/>
          <w:sz w:val="16"/>
          <w:szCs w:val="16"/>
        </w:rPr>
        <w:softHyphen/>
        <w:t>танции 500-1000 м (11417).</w:t>
      </w:r>
    </w:p>
    <w:p w14:paraId="0A44E0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6A9E9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г. было принято постановление ГКО, со</w:t>
      </w:r>
      <w:r w:rsidRPr="00D03F3E">
        <w:rPr>
          <w:rFonts w:ascii="Times New Roman" w:hAnsi="Times New Roman"/>
          <w:color w:val="000000" w:themeColor="text1"/>
          <w:sz w:val="16"/>
          <w:szCs w:val="16"/>
        </w:rPr>
        <w:softHyphen/>
        <w:t>гласно которому заводу № 183 необходимо было в мае 1943 г. изгото</w:t>
      </w:r>
      <w:r w:rsidRPr="00D03F3E">
        <w:rPr>
          <w:rFonts w:ascii="Times New Roman" w:hAnsi="Times New Roman"/>
          <w:color w:val="000000" w:themeColor="text1"/>
          <w:sz w:val="16"/>
          <w:szCs w:val="16"/>
        </w:rPr>
        <w:softHyphen/>
        <w:t>вить, а в нюне - представить на полигонные испытания четыре опыт</w:t>
      </w:r>
      <w:r w:rsidRPr="00D03F3E">
        <w:rPr>
          <w:rFonts w:ascii="Times New Roman" w:hAnsi="Times New Roman"/>
          <w:color w:val="000000" w:themeColor="text1"/>
          <w:sz w:val="16"/>
          <w:szCs w:val="16"/>
        </w:rPr>
        <w:softHyphen/>
        <w:t>ных танка Т-34 с установленными в них 57-мм танковыми пушками ЗИС-4. Из-за того, что завод №183 изготовил опытные образцы только во второй половине июля 1943 г., полигонные испытания опытных тан</w:t>
      </w:r>
      <w:r w:rsidRPr="00D03F3E">
        <w:rPr>
          <w:rFonts w:ascii="Times New Roman" w:hAnsi="Times New Roman"/>
          <w:color w:val="000000" w:themeColor="text1"/>
          <w:sz w:val="16"/>
          <w:szCs w:val="16"/>
        </w:rPr>
        <w:softHyphen/>
        <w:t>ков Т-34 с пушками ЗИС-4 начались с большим опозданием (10703).</w:t>
      </w:r>
    </w:p>
    <w:p w14:paraId="0852C4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444F3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г. постановлением ГКО № 3187сс заводу № 183 было предписано изготовить в кратчайшие сроки и представить на полигонные испытания четыре опытных об</w:t>
      </w:r>
      <w:r w:rsidRPr="00D03F3E">
        <w:rPr>
          <w:rFonts w:ascii="Times New Roman" w:hAnsi="Times New Roman"/>
          <w:color w:val="000000" w:themeColor="text1"/>
          <w:sz w:val="16"/>
          <w:szCs w:val="16"/>
        </w:rPr>
        <w:softHyphen/>
        <w:t>разца танка Т-34, вооруженных 57-мм пушкой ЗИС-4. Од</w:t>
      </w:r>
      <w:r w:rsidRPr="00D03F3E">
        <w:rPr>
          <w:rFonts w:ascii="Times New Roman" w:hAnsi="Times New Roman"/>
          <w:color w:val="000000" w:themeColor="text1"/>
          <w:sz w:val="16"/>
          <w:szCs w:val="16"/>
        </w:rPr>
        <w:softHyphen/>
        <w:t>новременно завод № 92 должен был начать выпуск указан</w:t>
      </w:r>
      <w:r w:rsidRPr="00D03F3E">
        <w:rPr>
          <w:rFonts w:ascii="Times New Roman" w:hAnsi="Times New Roman"/>
          <w:color w:val="000000" w:themeColor="text1"/>
          <w:sz w:val="16"/>
          <w:szCs w:val="16"/>
        </w:rPr>
        <w:softHyphen/>
        <w:t>ной пушки, а боеприпасный завод № 179 обязывался отра</w:t>
      </w:r>
      <w:r w:rsidRPr="00D03F3E">
        <w:rPr>
          <w:rFonts w:ascii="Times New Roman" w:hAnsi="Times New Roman"/>
          <w:color w:val="000000" w:themeColor="text1"/>
          <w:sz w:val="16"/>
          <w:szCs w:val="16"/>
        </w:rPr>
        <w:softHyphen/>
        <w:t>ботать улучшенный бронебойный выстрел для ЗИС-4, обес</w:t>
      </w:r>
      <w:r w:rsidRPr="00D03F3E">
        <w:rPr>
          <w:rFonts w:ascii="Times New Roman" w:hAnsi="Times New Roman"/>
          <w:color w:val="000000" w:themeColor="text1"/>
          <w:sz w:val="16"/>
          <w:szCs w:val="16"/>
        </w:rPr>
        <w:softHyphen/>
        <w:t>печивающий начальную скорость снаряда 995-1000 м/с.</w:t>
      </w:r>
    </w:p>
    <w:p w14:paraId="59A007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Уже в мае завод № 92, видимо используя задел, закон</w:t>
      </w:r>
      <w:r w:rsidRPr="00D03F3E">
        <w:rPr>
          <w:rFonts w:ascii="Times New Roman" w:hAnsi="Times New Roman"/>
          <w:color w:val="000000" w:themeColor="text1"/>
          <w:sz w:val="16"/>
          <w:szCs w:val="16"/>
        </w:rPr>
        <w:softHyphen/>
        <w:t>сервированный в конце 1941 г., подал заводу № 183 пять об</w:t>
      </w:r>
      <w:r w:rsidRPr="00D03F3E">
        <w:rPr>
          <w:rFonts w:ascii="Times New Roman" w:hAnsi="Times New Roman"/>
          <w:color w:val="000000" w:themeColor="text1"/>
          <w:sz w:val="16"/>
          <w:szCs w:val="16"/>
        </w:rPr>
        <w:softHyphen/>
        <w:t>разцов орудия ЗИС-4, но танковый завод, несмотря на ка</w:t>
      </w:r>
      <w:r w:rsidRPr="00D03F3E">
        <w:rPr>
          <w:rFonts w:ascii="Times New Roman" w:hAnsi="Times New Roman"/>
          <w:color w:val="000000" w:themeColor="text1"/>
          <w:sz w:val="16"/>
          <w:szCs w:val="16"/>
        </w:rPr>
        <w:softHyphen/>
        <w:t>жущуюся простоту задачи, был занят более важными делами (шло технологическое оснащение производства) и до сере</w:t>
      </w:r>
      <w:r w:rsidRPr="00D03F3E">
        <w:rPr>
          <w:rFonts w:ascii="Times New Roman" w:hAnsi="Times New Roman"/>
          <w:color w:val="000000" w:themeColor="text1"/>
          <w:sz w:val="16"/>
          <w:szCs w:val="16"/>
        </w:rPr>
        <w:softHyphen/>
        <w:t>дины июня не смог начать работы по изготовлению «танков-истребителей». Лишь к 10 июля, в ходе ожесточенных боев под Курском, завод рапортовал об изготовлении первого танка, а спустя неделю отчитался о готовности еще трех.</w:t>
      </w:r>
    </w:p>
    <w:p w14:paraId="6B5E42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начались 20 июля на Гороховецком полиго</w:t>
      </w:r>
      <w:r w:rsidRPr="00D03F3E">
        <w:rPr>
          <w:rFonts w:ascii="Times New Roman" w:hAnsi="Times New Roman"/>
          <w:color w:val="000000" w:themeColor="text1"/>
          <w:sz w:val="16"/>
          <w:szCs w:val="16"/>
        </w:rPr>
        <w:softHyphen/>
        <w:t>не ГАУ и продлились без малого месяц. В них участвовали орудия ЗИС-4 со стволами выпуска еще 1941 г. (№ 22, 24, 38 и 47), установленные в серийные танки завода № 183. Ору</w:t>
      </w:r>
      <w:r w:rsidRPr="00D03F3E">
        <w:rPr>
          <w:rFonts w:ascii="Times New Roman" w:hAnsi="Times New Roman"/>
          <w:color w:val="000000" w:themeColor="text1"/>
          <w:sz w:val="16"/>
          <w:szCs w:val="16"/>
        </w:rPr>
        <w:softHyphen/>
        <w:t>дия испытывались возкой в застопоренном и расстопорен-ном состоянии и стрельбой с места и с хода. В целом итоги испытаний были признаны удовлетворительными, но были выявлены некоторые дефекты производственного и конст</w:t>
      </w:r>
      <w:r w:rsidRPr="00D03F3E">
        <w:rPr>
          <w:rFonts w:ascii="Times New Roman" w:hAnsi="Times New Roman"/>
          <w:color w:val="000000" w:themeColor="text1"/>
          <w:sz w:val="16"/>
          <w:szCs w:val="16"/>
        </w:rPr>
        <w:softHyphen/>
        <w:t>руктивного характера. В заключение комиссия рекомендо</w:t>
      </w:r>
      <w:r w:rsidRPr="00D03F3E">
        <w:rPr>
          <w:rFonts w:ascii="Times New Roman" w:hAnsi="Times New Roman"/>
          <w:color w:val="000000" w:themeColor="text1"/>
          <w:sz w:val="16"/>
          <w:szCs w:val="16"/>
        </w:rPr>
        <w:softHyphen/>
        <w:t>вала принять орудие ЗИС-4 на вооружение танка Т-34 при условии устранения всех отмеченных недостатков.</w:t>
      </w:r>
    </w:p>
    <w:p w14:paraId="1A275C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осколочный снаряд к 57-мм пушке еще не был как следует отработан, к тому же на производстве шло «ле</w:t>
      </w:r>
      <w:r w:rsidRPr="00D03F3E">
        <w:rPr>
          <w:rFonts w:ascii="Times New Roman" w:hAnsi="Times New Roman"/>
          <w:color w:val="000000" w:themeColor="text1"/>
          <w:sz w:val="16"/>
          <w:szCs w:val="16"/>
        </w:rPr>
        <w:softHyphen/>
        <w:t>чение» отмеченных в ходе испытаний «болячек», и потому серийное производство пушки ЗИС-4М было перенесено с 3-го на 4-й квартал. Тем временем 19 августа три опытных танка Т-34-57 в составе «особой танковой роты № 100 НКТП» под командованием капитана Г.П. Волосатова бы</w:t>
      </w:r>
      <w:r w:rsidRPr="00D03F3E">
        <w:rPr>
          <w:rFonts w:ascii="Times New Roman" w:hAnsi="Times New Roman"/>
          <w:color w:val="000000" w:themeColor="text1"/>
          <w:sz w:val="16"/>
          <w:szCs w:val="16"/>
        </w:rPr>
        <w:softHyphen/>
        <w:t>ли отправлены на фронт, где находились с 21 августа по 5 сентября. В указанной роте танки составили 2-й взвод, но по иронии судьбы в ходе единственного боевого столкно</w:t>
      </w:r>
      <w:r w:rsidRPr="00D03F3E">
        <w:rPr>
          <w:rFonts w:ascii="Times New Roman" w:hAnsi="Times New Roman"/>
          <w:color w:val="000000" w:themeColor="text1"/>
          <w:sz w:val="16"/>
          <w:szCs w:val="16"/>
        </w:rPr>
        <w:softHyphen/>
        <w:t>вения с немецкой бронетехникой он находился в резерве, а «отдувались» в бою танки Т-43 третьего взвода.</w:t>
      </w:r>
    </w:p>
    <w:p w14:paraId="7315E7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Уже перед окончанием испытаний согласно распоря</w:t>
      </w:r>
      <w:r w:rsidRPr="00D03F3E">
        <w:rPr>
          <w:rFonts w:ascii="Times New Roman" w:hAnsi="Times New Roman"/>
          <w:color w:val="000000" w:themeColor="text1"/>
          <w:sz w:val="16"/>
          <w:szCs w:val="16"/>
        </w:rPr>
        <w:softHyphen/>
        <w:t>жению представителя ГБТУ инженера-подполковника Зайцева танки Т-34-57 испытывались стрельбой по бро</w:t>
      </w:r>
      <w:r w:rsidRPr="00D03F3E">
        <w:rPr>
          <w:rFonts w:ascii="Times New Roman" w:hAnsi="Times New Roman"/>
          <w:color w:val="000000" w:themeColor="text1"/>
          <w:sz w:val="16"/>
          <w:szCs w:val="16"/>
        </w:rPr>
        <w:softHyphen/>
        <w:t>шенным и подбитым немецким танкам и САУ, а также ам</w:t>
      </w:r>
      <w:r w:rsidRPr="00D03F3E">
        <w:rPr>
          <w:rFonts w:ascii="Times New Roman" w:hAnsi="Times New Roman"/>
          <w:color w:val="000000" w:themeColor="text1"/>
          <w:sz w:val="16"/>
          <w:szCs w:val="16"/>
        </w:rPr>
        <w:softHyphen/>
        <w:t>бразурам ДЗОТ и пулеметным бронеколпакам. Бронепро-биваемость орудия была сочтена удовлетворительной (ло</w:t>
      </w:r>
      <w:r w:rsidRPr="00D03F3E">
        <w:rPr>
          <w:rFonts w:ascii="Times New Roman" w:hAnsi="Times New Roman"/>
          <w:color w:val="000000" w:themeColor="text1"/>
          <w:sz w:val="16"/>
          <w:szCs w:val="16"/>
        </w:rPr>
        <w:softHyphen/>
        <w:t>бовая 82-мм броня танка РгКрг\у ГУ пробивалась с дистан</w:t>
      </w:r>
      <w:r w:rsidRPr="00D03F3E">
        <w:rPr>
          <w:rFonts w:ascii="Times New Roman" w:hAnsi="Times New Roman"/>
          <w:color w:val="000000" w:themeColor="text1"/>
          <w:sz w:val="16"/>
          <w:szCs w:val="16"/>
        </w:rPr>
        <w:softHyphen/>
        <w:t>ции 500—600 м), нб эффективность осколочных снарядов — недостаточной, тем более что три снаряда не разорвались.</w:t>
      </w:r>
    </w:p>
    <w:p w14:paraId="2A54BF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Покуда велась доводка орудия ЗИС-4М и танка-истреби</w:t>
      </w:r>
      <w:r w:rsidRPr="00D03F3E">
        <w:rPr>
          <w:rFonts w:ascii="Times New Roman" w:hAnsi="Times New Roman"/>
          <w:color w:val="000000" w:themeColor="text1"/>
          <w:sz w:val="16"/>
          <w:szCs w:val="16"/>
        </w:rPr>
        <w:softHyphen/>
        <w:t>теля Т-34-57 в целом, завод № 92 выпустил установочную се</w:t>
      </w:r>
      <w:r w:rsidRPr="00D03F3E">
        <w:rPr>
          <w:rFonts w:ascii="Times New Roman" w:hAnsi="Times New Roman"/>
          <w:color w:val="000000" w:themeColor="text1"/>
          <w:sz w:val="16"/>
          <w:szCs w:val="16"/>
        </w:rPr>
        <w:softHyphen/>
        <w:t>рию ЗИС-4. К декабрю 1943 г. НКВ отчитался о выпуске 200 шт. 57-мм танковых пушек (правда, это, по-видимому, с учетом пушек, изготовленных в 1941 г.). Но установка орудий в танки, видимо, не производилась, хоть были утверждены нормы отпуска боеприпасов. В сентябре 1943 г. 57-мм пушка в вооружении Т-34 уже не считалась перспективной (11417).</w:t>
      </w:r>
    </w:p>
    <w:p w14:paraId="10349E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C344FE" w14:textId="77777777" w:rsidR="006A4DE0" w:rsidRPr="00D03F3E" w:rsidRDefault="006A4D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года в постановлении ГКО №3187сс «О мероприятиях по усилению противотанковой обороны» речь также шла о 100-мм орудии. Одновременно с разработкой корпусной пушки запускался выпуск бронебойных снарядов к ней, таким образом, вопрос по боеприпасам данного типа снимался сам собой (18252).</w:t>
      </w:r>
    </w:p>
    <w:p w14:paraId="573AA741" w14:textId="77777777" w:rsidR="006A4DE0" w:rsidRPr="00D03F3E" w:rsidRDefault="006A4DE0" w:rsidP="00D03F3E">
      <w:pPr>
        <w:spacing w:after="0" w:line="240" w:lineRule="auto"/>
        <w:jc w:val="both"/>
        <w:rPr>
          <w:rFonts w:ascii="Times New Roman" w:hAnsi="Times New Roman"/>
          <w:color w:val="000000" w:themeColor="text1"/>
          <w:sz w:val="16"/>
          <w:szCs w:val="16"/>
        </w:rPr>
      </w:pPr>
    </w:p>
    <w:p w14:paraId="002F406F" w14:textId="77777777" w:rsidR="006A4DE0" w:rsidRPr="00D03F3E" w:rsidRDefault="006A4D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года дивизион передали 44-й армии Южного фронта и он занял участок Ростов - Таганрог. В течение июня - августа бронепоезда дивизиона огнем орудий поддерживали действия пехотных частей, обстреливали немецкие тылы, катера на море и цели в Таганроге. 29-30 августа 30 ОДБП поддерживал наши части, ведущие бой за Таганрог, после чего его вывели в Ростов. С 25 сентября по 7 декабря 1943 года мотоброневагон МБВ № 01 проходил ремонт на Тамбовском паровозоремонтном заводе, посте чего 30-й дивизион вошел в состав 51-й армии 4-го Украинского фронта и до апреля 1944 года обстреливал немецкие позиции на Чонгарском перешейке. При этом бронепоезд № 2 (МБВ № 01), имевший на вооружении 76-мм пушки КТ-28, производил обстрел переднего края обороны противника, а бепо № 1 с пушками Ф-34 вел контрбатарейную борьбу (18626).</w:t>
      </w:r>
    </w:p>
    <w:p w14:paraId="2FC7914E" w14:textId="77777777" w:rsidR="006A4DE0" w:rsidRPr="00D03F3E" w:rsidRDefault="006A4DE0" w:rsidP="00D03F3E">
      <w:pPr>
        <w:spacing w:after="0" w:line="240" w:lineRule="auto"/>
        <w:jc w:val="both"/>
        <w:rPr>
          <w:rFonts w:ascii="Times New Roman" w:hAnsi="Times New Roman"/>
          <w:color w:val="000000" w:themeColor="text1"/>
          <w:sz w:val="16"/>
          <w:szCs w:val="16"/>
        </w:rPr>
      </w:pPr>
    </w:p>
    <w:p w14:paraId="161E32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г. была подготовлена ДОКЛАДНАЯ ЗАПИСКА ГЛАВНОГО ИНЖЕНЕРА ГЛАВШИНПРОМА НАЧАЛЬНИКУ 6-го ОТДЕЛА ТУ ГБТУ КА О ПРОВЕДЕНИИ СРАВНИТЕЛЬНЫХ ИСПЫТАНИЙ РЕЗИНОВЫХ КАТКОВ Т-34 №04/4-17</w:t>
      </w:r>
    </w:p>
    <w:p w14:paraId="1F93C0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со срочной необходимостью сравнительной проверки в условиях эксплуатации рези</w:t>
      </w:r>
      <w:r w:rsidRPr="00D03F3E">
        <w:rPr>
          <w:rFonts w:ascii="Times New Roman" w:hAnsi="Times New Roman"/>
          <w:color w:val="000000" w:themeColor="text1"/>
          <w:sz w:val="16"/>
          <w:szCs w:val="16"/>
        </w:rPr>
        <w:softHyphen/>
        <w:t>новых катков Т-34, изготовленных из резины повышенного качества, прошу Вашего указания НИИ полигону БТУ о выделении для этой цели специальных машин, могущих обеспечить проведение испытания в кратчайшие сроки, и желательно до 20-25 мая с.г. Полигону будут переданы четыре опытные партии колес с различными резинами, по 20 шт. в каждой партии из расчета монтажа каждой пробы на одну сторону машины и оставлении по 10 шт. запасных колес. Указанные колеса должны поступить на полигон к 1 мая с.г., о чем Вы будете своевременно уведомлены. Для систе</w:t>
      </w:r>
      <w:r w:rsidRPr="00D03F3E">
        <w:rPr>
          <w:rFonts w:ascii="Times New Roman" w:hAnsi="Times New Roman"/>
          <w:color w:val="000000" w:themeColor="text1"/>
          <w:sz w:val="16"/>
          <w:szCs w:val="16"/>
        </w:rPr>
        <w:softHyphen/>
        <w:t>матического наблюдения за поведением резины, проведения учета и отчетности на полигон будут направлены специалисты, фамилии которых будут Вам сообщены до начала испытаний.</w:t>
      </w:r>
    </w:p>
    <w:p w14:paraId="02576B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Вашем решении просим нас уведомить.</w:t>
      </w:r>
    </w:p>
    <w:p w14:paraId="6EC806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Главный инженер Главшинпрома Иванов</w:t>
      </w:r>
    </w:p>
    <w:p w14:paraId="0ABEA8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11355а. Д. 3606. Л. 49. Подлинник (11403).</w:t>
      </w:r>
    </w:p>
    <w:p w14:paraId="4F4CCD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84B9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г. был подготовлен материал ОЦЕНКА СОВЕТСКИХ ТАНКОВ НЕМЕЦКИМ ВОЕННЫМ КОМАНДОВАНИЕМ (ПО ТРОФЕЙНЫМ ДОКУМЕНТАМ)</w:t>
      </w:r>
    </w:p>
    <w:p w14:paraId="0EBB9A7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борьбе против России встретились два хорошо оснащенных государства, солдаты которых являлись стойкими, храбрыми бойцами. Оба государства располагали сильными танковыми войска</w:t>
      </w:r>
      <w:r w:rsidRPr="00D03F3E">
        <w:rPr>
          <w:rFonts w:ascii="Times New Roman" w:hAnsi="Times New Roman"/>
          <w:color w:val="000000" w:themeColor="text1"/>
          <w:sz w:val="16"/>
          <w:szCs w:val="16"/>
        </w:rPr>
        <w:softHyphen/>
        <w:t>ми, оба имели хороших инженеров и высокопроизводительные фабрики.</w:t>
      </w:r>
    </w:p>
    <w:p w14:paraId="4E2174F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Результаты русско-финляндской компании показали, что в техническом отношении русские маши</w:t>
      </w:r>
      <w:r w:rsidRPr="00D03F3E">
        <w:rPr>
          <w:rFonts w:ascii="Times New Roman" w:hAnsi="Times New Roman"/>
          <w:color w:val="000000" w:themeColor="text1"/>
          <w:sz w:val="16"/>
          <w:szCs w:val="16"/>
        </w:rPr>
        <w:softHyphen/>
        <w:t>ны не отвечали предъявленным требованиям. Давление на почву при узких гусеницах слишком велико, клиренс при снеге слишком мал, запас мощности мотора слишком мал, толщина брони недостаточная.</w:t>
      </w:r>
    </w:p>
    <w:p w14:paraId="748FED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Оправдало себя сравнительно мощное вооружение танков: 45-мм пушка и даже 76,2-мм.</w:t>
      </w:r>
    </w:p>
    <w:p w14:paraId="5092AC6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Боевой дух русских танкистов отмечался как очень высокий. Мы недооценивали боевой дух рус</w:t>
      </w:r>
      <w:r w:rsidRPr="00D03F3E">
        <w:rPr>
          <w:rFonts w:ascii="Times New Roman" w:hAnsi="Times New Roman"/>
          <w:color w:val="000000" w:themeColor="text1"/>
          <w:sz w:val="16"/>
          <w:szCs w:val="16"/>
        </w:rPr>
        <w:softHyphen/>
        <w:t>ских, их организационные способности и их маневренность.</w:t>
      </w:r>
    </w:p>
    <w:p w14:paraId="25ECE9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войны с русскими мы встретились с новыми типами танков. Наши снаряды отскакивали от толстой брони, которую мы не ожидали встретить. Сюрприз был неприятный. Русские учились во время финской компании и учились основательно, но это не прибавило им времени, они вынужде</w:t>
      </w:r>
      <w:r w:rsidRPr="00D03F3E">
        <w:rPr>
          <w:rFonts w:ascii="Times New Roman" w:hAnsi="Times New Roman"/>
          <w:color w:val="000000" w:themeColor="text1"/>
          <w:sz w:val="16"/>
          <w:szCs w:val="16"/>
        </w:rPr>
        <w:softHyphen/>
        <w:t>ны были вводить в действие новые типы с их техническими и детскими болезнями и с недостаточно обученными экипажами.</w:t>
      </w:r>
    </w:p>
    <w:p w14:paraId="0CC788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Какие русские танки придется встретить в 1942 г.</w:t>
      </w:r>
    </w:p>
    <w:p w14:paraId="5DBB5A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Устаревшие типы танков:</w:t>
      </w:r>
    </w:p>
    <w:p w14:paraId="7796480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Танк амфибия — Т-37.</w:t>
      </w:r>
    </w:p>
    <w:p w14:paraId="5B5616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Легкий танк — Т-26.</w:t>
      </w:r>
    </w:p>
    <w:p w14:paraId="109D89E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Легкий танк — БТ (Кристи).</w:t>
      </w:r>
    </w:p>
    <w:p w14:paraId="06C016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Тяжелый танк — Т-28.</w:t>
      </w:r>
    </w:p>
    <w:p w14:paraId="122512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Тяжелый танк — Т-35.</w:t>
      </w:r>
    </w:p>
    <w:p w14:paraId="3343494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типы вышеперечисленные надо считать устаревшими, они, очевидно, больше не выпускают</w:t>
      </w:r>
      <w:r w:rsidRPr="00D03F3E">
        <w:rPr>
          <w:rFonts w:ascii="Times New Roman" w:hAnsi="Times New Roman"/>
          <w:color w:val="000000" w:themeColor="text1"/>
          <w:sz w:val="16"/>
          <w:szCs w:val="16"/>
        </w:rPr>
        <w:softHyphen/>
        <w:t>ся. Броня всех этих машин не соответствует современным требованиям. Тяжелые танки оказывают сильное моральное влияние, но только на тех, кто с ними не знаком. Любой русский танк с числом башен более одной, ничего не стоит, «мы пробьем».</w:t>
      </w:r>
    </w:p>
    <w:p w14:paraId="375F43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Современные русские танки.</w:t>
      </w:r>
    </w:p>
    <w:p w14:paraId="5CA862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Легкий танк — Т-60.</w:t>
      </w:r>
    </w:p>
    <w:p w14:paraId="42E2999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Танк амфибия — Т-40.</w:t>
      </w:r>
    </w:p>
    <w:p w14:paraId="0A2B87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Средний танк — Т-34.</w:t>
      </w:r>
    </w:p>
    <w:p w14:paraId="430B81C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Тяжелый танк — КВ-1.</w:t>
      </w:r>
    </w:p>
    <w:p w14:paraId="2B7E2C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Тяжелый танк — КВ-2.</w:t>
      </w:r>
    </w:p>
    <w:p w14:paraId="22706F8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рассмотреть современные типы русских танков, надо признать, что за удивительно корот</w:t>
      </w:r>
      <w:r w:rsidRPr="00D03F3E">
        <w:rPr>
          <w:rFonts w:ascii="Times New Roman" w:hAnsi="Times New Roman"/>
          <w:color w:val="000000" w:themeColor="text1"/>
          <w:sz w:val="16"/>
          <w:szCs w:val="16"/>
        </w:rPr>
        <w:softHyphen/>
        <w:t>кий период времени возникли танки, стоящие на значительно высоком конструктивном уровне. Основное внимание было уделено броне и действенности вооружения.</w:t>
      </w:r>
    </w:p>
    <w:p w14:paraId="4E7300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Отмечено стремление к стандартизации типов моторов, например в Т-34 и обоих типах КБ уста</w:t>
      </w:r>
      <w:r w:rsidRPr="00D03F3E">
        <w:rPr>
          <w:rFonts w:ascii="Times New Roman" w:hAnsi="Times New Roman"/>
          <w:color w:val="000000" w:themeColor="text1"/>
          <w:sz w:val="16"/>
          <w:szCs w:val="16"/>
        </w:rPr>
        <w:softHyphen/>
        <w:t>новлен одинаковый 12-цилиндровый дизель мощностью в 500 л.с.</w:t>
      </w:r>
    </w:p>
    <w:p w14:paraId="2CDDADA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Слабыми местами являются муфта сцепления, механизм переключения и управления. Выдающейся является, наоборот, технически совершенная форма Т-34.</w:t>
      </w:r>
    </w:p>
    <w:p w14:paraId="4F5AE8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Броневая сталь русских очень хороша. Гнутые боевые листы толщиной 75 мм свидетельствуют о хорошем оборудовании заводов.</w:t>
      </w:r>
    </w:p>
    <w:p w14:paraId="6D978A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Вместо устаревшего типа Т-26 они встретили малый, современный танк Т-60 в большом количе</w:t>
      </w:r>
      <w:r w:rsidRPr="00D03F3E">
        <w:rPr>
          <w:rFonts w:ascii="Times New Roman" w:hAnsi="Times New Roman"/>
          <w:color w:val="000000" w:themeColor="text1"/>
          <w:sz w:val="16"/>
          <w:szCs w:val="16"/>
        </w:rPr>
        <w:softHyphen/>
        <w:t>стве. Из танка БТ возник лучший русский танк Т-34, а Т-28 и 35 будут заменены КВ (Клим Ворошилов) типа I (с пушкой 76,2) и тип II (с пушкой 152,0). Выпускается серией танк-амфибия (Т-40).</w:t>
      </w:r>
    </w:p>
    <w:p w14:paraId="69AC8C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Легкий танк Т-60</w:t>
      </w:r>
    </w:p>
    <w:p w14:paraId="1BA5A5A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Этот танк изготовляется в Горьком, очевидно, в значительном количестве. Его вес достигает 6-8 тонн. Он очень мал. (3,95x2,30x1,75); имеет мотор приблизительно в 85 л.с. и скорость более 40 км/час. Толщина брони указана в 25 мм. Вооружение составляет пушка 2 см, делающая 160 выстрелов в мину</w:t>
      </w:r>
      <w:r w:rsidRPr="00D03F3E">
        <w:rPr>
          <w:rFonts w:ascii="Times New Roman" w:hAnsi="Times New Roman"/>
          <w:color w:val="000000" w:themeColor="text1"/>
          <w:sz w:val="16"/>
          <w:szCs w:val="16"/>
        </w:rPr>
        <w:softHyphen/>
        <w:t>ту. При беглом взгляде машину можно перепутать с танком-амфибией (Т-40) (см. §2), хотя он даже в принципе не такой же. Судя по иллюстрациям, вооружение более крупного калибра. По агентурным сведениям, эта машина должна быть массовым танком легких рот (30, Т-60, 5-Т-34).</w:t>
      </w:r>
    </w:p>
    <w:p w14:paraId="3CCFB7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конструкции и вооружению она должна быть использована в качестве разведывательной машины (см. германский танк И).</w:t>
      </w:r>
    </w:p>
    <w:p w14:paraId="07C7404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Особые приметы: очень маленькая башня с углами, колебание корпуса при езде, 4 катка средней величины, подрессоривание с помощью с поворотных стержней.</w:t>
      </w:r>
    </w:p>
    <w:p w14:paraId="01FA57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Танк амфибия Т-40</w:t>
      </w:r>
    </w:p>
    <w:p w14:paraId="7BEE98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Этот танк весом 5 тонн явился первой машиной за пределами Германии, снабженной торсион</w:t>
      </w:r>
      <w:r w:rsidRPr="00D03F3E">
        <w:rPr>
          <w:rFonts w:ascii="Times New Roman" w:hAnsi="Times New Roman"/>
          <w:color w:val="000000" w:themeColor="text1"/>
          <w:sz w:val="16"/>
          <w:szCs w:val="16"/>
        </w:rPr>
        <w:softHyphen/>
        <w:t>ной подвеской. Она обладает хорошей скоростью на дорогах в 40 км и на воде - 10 км. Броня (впере</w:t>
      </w:r>
      <w:r w:rsidRPr="00D03F3E">
        <w:rPr>
          <w:rFonts w:ascii="Times New Roman" w:hAnsi="Times New Roman"/>
          <w:color w:val="000000" w:themeColor="text1"/>
          <w:sz w:val="16"/>
          <w:szCs w:val="16"/>
        </w:rPr>
        <w:softHyphen/>
        <w:t>ди - 14 мм) и вооружение (1 пулемет 12,6-мм и 1 пулемет) является хорошим для танка амфибия, но недостаточным для боевой машины. Танк Т-60 похож по устройству шасси, по размерам и прочим данным на Т-40, который себя, очевидно, не оправдал. Весьма возможно, что серийное производство Т-40 приостановлено в пользу Т-60.</w:t>
      </w:r>
    </w:p>
    <w:p w14:paraId="0B5E95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Тяжелый танк Т-34 (наиболее опасный танк Красной Армии)</w:t>
      </w:r>
    </w:p>
    <w:p w14:paraId="468886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Большой неожиданностью явилось появление этого нового танка в большом количестве и в раз</w:t>
      </w:r>
      <w:r w:rsidRPr="00D03F3E">
        <w:rPr>
          <w:rFonts w:ascii="Times New Roman" w:hAnsi="Times New Roman"/>
          <w:color w:val="000000" w:themeColor="text1"/>
          <w:sz w:val="16"/>
          <w:szCs w:val="16"/>
        </w:rPr>
        <w:softHyphen/>
        <w:t>личных типах.</w:t>
      </w:r>
    </w:p>
    <w:p w14:paraId="7E9571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Он является лучшим танком Красной Армии. Его действенное вооружение, очень искусное ска-шивание толстой брони и его подвижность делают его очень серьезным противником.</w:t>
      </w:r>
    </w:p>
    <w:p w14:paraId="4624659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Дизель в 500 л.с. (уменьшение пожарной опасности по сравнению с моторами Отто) движет эту машину весом в 25 тонн со скоростью более 50 км на дорогах. Вооружение хорошее: пушка 76,2 (дл. 30,5 или 41,5) и два пулемета. Пробивная сила пушки 1000 м и выше. Умело приданная форма делает машину плоской и изящной.</w:t>
      </w:r>
    </w:p>
    <w:p w14:paraId="7D5AA81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Броня представляет собой катанный металл исключительной крепости. Угол наклона передне</w:t>
      </w:r>
      <w:r w:rsidRPr="00D03F3E">
        <w:rPr>
          <w:rFonts w:ascii="Times New Roman" w:hAnsi="Times New Roman"/>
          <w:color w:val="000000" w:themeColor="text1"/>
          <w:sz w:val="16"/>
          <w:szCs w:val="16"/>
        </w:rPr>
        <w:softHyphen/>
        <w:t>го листа 30°, с боков 50°, чем и объясняется частые рикошеты при сравнительной малой толщине брони. Некоторые серии снабжены литой стальной башней, и форма танка от этого стала еще более изящной. Стальное литье увеличено с 52 до 70 мм.</w:t>
      </w:r>
    </w:p>
    <w:p w14:paraId="19EEC6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Т-34 имеет высокую проходимость по местности и для борьбы с ним необходимы особые меры, прежде всего использование танко-недоступной местности. Широкие гусеницы на шарнирах затрудняют разрушение гранатами корпуса танка. Большие катки защищают корпус от обстрелива-ния.</w:t>
      </w:r>
    </w:p>
    <w:p w14:paraId="7847E8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Недостатки танка.</w:t>
      </w:r>
    </w:p>
    <w:p w14:paraId="79A6F66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Плохие условия для обозрения, нет командирской башни. Эту слабость орудия ПТО должны использовать для открытия внезапного огня по танкам с ближней дистанции.</w:t>
      </w:r>
    </w:p>
    <w:p w14:paraId="1547F57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Плохая связь между отдельными танками в непосредственном наступлении. Радиоаппаратура плохая и установлена не на всех танках, только в командирских, поэтому при прорыве в глубину обороны танки быстро теряют управление и становятся беспомощными, легко уничтожаются истре</w:t>
      </w:r>
      <w:r w:rsidRPr="00D03F3E">
        <w:rPr>
          <w:rFonts w:ascii="Times New Roman" w:hAnsi="Times New Roman"/>
          <w:color w:val="000000" w:themeColor="text1"/>
          <w:sz w:val="16"/>
          <w:szCs w:val="16"/>
        </w:rPr>
        <w:softHyphen/>
        <w:t>бителем танков и орудием ПТО с близких дистанций. Внутри мало места для экипажа.</w:t>
      </w:r>
    </w:p>
    <w:p w14:paraId="04A159B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Сравнительно медленное вращение башни - этот недостаток рекомендуется учитывать экипа</w:t>
      </w:r>
      <w:r w:rsidRPr="00D03F3E">
        <w:rPr>
          <w:rFonts w:ascii="Times New Roman" w:hAnsi="Times New Roman"/>
          <w:color w:val="000000" w:themeColor="text1"/>
          <w:sz w:val="16"/>
          <w:szCs w:val="16"/>
        </w:rPr>
        <w:softHyphen/>
        <w:t>жам штурмовых орудий для стрельбы по танку для смены позиций.</w:t>
      </w:r>
    </w:p>
    <w:p w14:paraId="3CFB4F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Отсутствие резины на роликах приводит к быстрому износу гусеницы.</w:t>
      </w:r>
    </w:p>
    <w:p w14:paraId="10228D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Борьба с этим лучшим советским танком является не простым делом.</w:t>
      </w:r>
    </w:p>
    <w:p w14:paraId="189A070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Спереди его опознают по скошенным боковым стенкам, а сбоку по 5 большим каткам (БТ Кристи 4).</w:t>
      </w:r>
    </w:p>
    <w:p w14:paraId="680BF6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Легкие противотанковые пушки (или пушки на танках) концентрируют свой огонь лучше всего на одной гусенице, чтобы лишить танк подвижности. Утверждение, что танк может продолжать дви</w:t>
      </w:r>
      <w:r w:rsidRPr="00D03F3E">
        <w:rPr>
          <w:rFonts w:ascii="Times New Roman" w:hAnsi="Times New Roman"/>
          <w:color w:val="000000" w:themeColor="text1"/>
          <w:sz w:val="16"/>
          <w:szCs w:val="16"/>
        </w:rPr>
        <w:softHyphen/>
        <w:t>гаться без гусеницы, является вымыслом.</w:t>
      </w:r>
    </w:p>
    <w:p w14:paraId="2E07E1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Тяжелые противотанковые пушки (или пушки на танках) (ст. 5 см) должны целиться в гусеницу только для разрушения, а противотанковыми гранатами 40 в выступ башни. Сбоку точку прицели</w:t>
      </w:r>
      <w:r w:rsidRPr="00D03F3E">
        <w:rPr>
          <w:rFonts w:ascii="Times New Roman" w:hAnsi="Times New Roman"/>
          <w:color w:val="000000" w:themeColor="text1"/>
          <w:sz w:val="16"/>
          <w:szCs w:val="16"/>
        </w:rPr>
        <w:softHyphen/>
        <w:t>вания надо выбирать повыше. Когда танк приблизился достаточно близко, впереди наискось влево под пушкой замечают шаровую заслонку для пулемета. Она не выдерживает попаданий в 3,7 см или 5 см, но является очень маленькой целью.</w:t>
      </w:r>
    </w:p>
    <w:p w14:paraId="7F7037B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Пулеметчики направляют огонь наискось вправо (глядя спереди), под пушку. Там находят</w:t>
      </w:r>
      <w:r w:rsidRPr="00D03F3E">
        <w:rPr>
          <w:rFonts w:ascii="Times New Roman" w:hAnsi="Times New Roman"/>
          <w:color w:val="000000" w:themeColor="text1"/>
          <w:sz w:val="16"/>
          <w:szCs w:val="16"/>
        </w:rPr>
        <w:softHyphen/>
        <w:t>ся 3 призматических зеркала для водителя, которые могут быть разрушены сравнительно легко. Водитель, не имеющий перед собой смотровой цели, делается в этом случае слепым.</w:t>
      </w:r>
    </w:p>
    <w:p w14:paraId="0F1576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подавления с ближней дистанции имеется позади башни горизонтально расположенный верхний лист корпуса. Надо бросать связку гранат в имеющуюся там сетку. Под ней расположены вентиляционные жалюзи (сталь 25 мм), которые вдавливаются от взрыва. В результате разрушения частей двигателя танк останавливается и тогда нетрудно вызвать в этом же месте пожар.</w:t>
      </w:r>
    </w:p>
    <w:p w14:paraId="457AF60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близком расстоянии сбоку на верхнем крае корпуса позади видна решетка. Пулеметный обстрел (бронебойными пулями) дает хорошие результаты.</w:t>
      </w:r>
    </w:p>
    <w:p w14:paraId="193D51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Особые приметы: плоская форма. Скошенные передние и боковые листы. 5 больших катков, очень длинный ствол пушки.</w:t>
      </w:r>
    </w:p>
    <w:p w14:paraId="6077BE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Тяжелый танк КВ-1</w:t>
      </w:r>
    </w:p>
    <w:p w14:paraId="6CC5A23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Танки типа «Клим Ворошилов» являются тоже новым вооружением. Тележка с подрессоривани-ем с помощью вращающихся стержней сделана аналогично германским танкам Т-3.</w:t>
      </w:r>
    </w:p>
    <w:p w14:paraId="74EE35C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 представляет собой 12 цил. дизель также, как в типе Т-34. Число оборотов несколько уве</w:t>
      </w:r>
      <w:r w:rsidRPr="00D03F3E">
        <w:rPr>
          <w:rFonts w:ascii="Times New Roman" w:hAnsi="Times New Roman"/>
          <w:color w:val="000000" w:themeColor="text1"/>
          <w:sz w:val="16"/>
          <w:szCs w:val="16"/>
        </w:rPr>
        <w:softHyphen/>
        <w:t>личено, но так как вес в КВ-1 увеличен до 43 тонн, а в КВ-2 даже до 52 тонн скорость снижена; она достигает всего 35 км/час.</w:t>
      </w:r>
    </w:p>
    <w:p w14:paraId="719327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одной пушкой 76,2 (длина 30,0 калибров) хорошее, но уступает новейшим типам танков Т-34 (пушка 76,2 дл. 41,5). Пулеметы расположены вместе, в задней части башни, а в неко</w:t>
      </w:r>
      <w:r w:rsidRPr="00D03F3E">
        <w:rPr>
          <w:rFonts w:ascii="Times New Roman" w:hAnsi="Times New Roman"/>
          <w:color w:val="000000" w:themeColor="text1"/>
          <w:sz w:val="16"/>
          <w:szCs w:val="16"/>
        </w:rPr>
        <w:softHyphen/>
        <w:t>торых сериях также в носовой части. Броня крутом 75 мм. Крутые плоскости стенок представляют более благоприятный угол встречи, чем в Т-34.</w:t>
      </w:r>
    </w:p>
    <w:p w14:paraId="356BE3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того, как 5 см противотанковая пушка вывела из строя первые типы КВ, русские усилили броню в некоторых машинах. Это можно без труда заметить по толстым головкам болтов.</w:t>
      </w:r>
    </w:p>
    <w:p w14:paraId="0713FB4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Эксплуатационные свойства танка плохие. Скорость можно переключать только при остановке.</w:t>
      </w:r>
    </w:p>
    <w:p w14:paraId="249C8AA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Поэтому неправдоподобной кажется скорость в 35 км. Возможность наблюдения для водителя чрезвычайно плохая.</w:t>
      </w:r>
    </w:p>
    <w:p w14:paraId="247FB5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Сцепление отличается легкостью конструкции. Почти все застрявшие КВ имели повреждения сцепления. Танки слишком тяжелы для саперно-понтонных мостов, и даже для более простых. Подавление его не легкое дело. Лишь немногие орудия пробивают сталь толщиной 75 мм (противо</w:t>
      </w:r>
      <w:r w:rsidRPr="00D03F3E">
        <w:rPr>
          <w:rFonts w:ascii="Times New Roman" w:hAnsi="Times New Roman"/>
          <w:color w:val="000000" w:themeColor="text1"/>
          <w:sz w:val="16"/>
          <w:szCs w:val="16"/>
        </w:rPr>
        <w:softHyphen/>
        <w:t>танковые пушки 5 см, противотанковые гранаты 40 на близкой дистанции), поэтому рекомендует</w:t>
      </w:r>
      <w:r w:rsidRPr="00D03F3E">
        <w:rPr>
          <w:rFonts w:ascii="Times New Roman" w:hAnsi="Times New Roman"/>
          <w:color w:val="000000" w:themeColor="text1"/>
          <w:sz w:val="16"/>
          <w:szCs w:val="16"/>
        </w:rPr>
        <w:softHyphen/>
        <w:t>ся и в этом случае направлять сосредоточенный огонь на одну гусеницу машины, хотя бы для того, чтобы остановить танк. На близком расстоянии надо целиться под круглый изгиб в верхнем листе корпуса в задней части танка. (Это возможно только сзади). Там помещается выходное отверстие для охлаждения воздуха по всей ширине машины, оно защищено сеткой. Рикошетом (бронебойны</w:t>
      </w:r>
      <w:r w:rsidRPr="00D03F3E">
        <w:rPr>
          <w:rFonts w:ascii="Times New Roman" w:hAnsi="Times New Roman"/>
          <w:color w:val="000000" w:themeColor="text1"/>
          <w:sz w:val="16"/>
          <w:szCs w:val="16"/>
        </w:rPr>
        <w:softHyphen/>
        <w:t>ми пулями) туда можно попасть и разрушить части двигателя. В ближнем бою туда можно попасть также трассирующим снарядом, т.к. в задней площадке танка расположена отражательная планка, надо целиться в этом случае по возможности наискось назад, в верхний лист. На верхнем листе помещаются круглые крышки над монтажным отверстием. Они имеют толщину приблизительно 30 мм. Обстрел из противотанкового ружья 41, например, сверху из домов обещает успех. Против усиленных типов танков имеется возможность действовать 5 см противотанковыми гранатами 40 на близком расстоянии: 1. Перед башни. 2. Верхняя часть корпуса позади инструментального ящика. 3. Задняя часть корпуса ниже закругления.</w:t>
      </w:r>
    </w:p>
    <w:p w14:paraId="525C4C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ближнем бою грибовидные утолщения на всех русских танках должны быть взяты под наблю</w:t>
      </w:r>
      <w:r w:rsidRPr="00D03F3E">
        <w:rPr>
          <w:rFonts w:ascii="Times New Roman" w:hAnsi="Times New Roman"/>
          <w:color w:val="000000" w:themeColor="text1"/>
          <w:sz w:val="16"/>
          <w:szCs w:val="16"/>
        </w:rPr>
        <w:softHyphen/>
        <w:t>дение. Они представляют собой конусообразные пробки, которые без труда выталкиваются изну</w:t>
      </w:r>
      <w:r w:rsidRPr="00D03F3E">
        <w:rPr>
          <w:rFonts w:ascii="Times New Roman" w:hAnsi="Times New Roman"/>
          <w:color w:val="000000" w:themeColor="text1"/>
          <w:sz w:val="16"/>
          <w:szCs w:val="16"/>
        </w:rPr>
        <w:softHyphen/>
        <w:t>три. Они остаются висеть на цепи и могут быть снова втянуты обратно в отверстие, которое пред</w:t>
      </w:r>
      <w:r w:rsidRPr="00D03F3E">
        <w:rPr>
          <w:rFonts w:ascii="Times New Roman" w:hAnsi="Times New Roman"/>
          <w:color w:val="000000" w:themeColor="text1"/>
          <w:sz w:val="16"/>
          <w:szCs w:val="16"/>
        </w:rPr>
        <w:softHyphen/>
        <w:t>усмотрено для обороны с револьвером на ближней дистанции.</w:t>
      </w:r>
    </w:p>
    <w:p w14:paraId="39E073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Особые приметы: КВ опознают по его размеру при одной только башне. Наиболее заметной является ширина машины и гусениц, б средних по размеру катков. КВ-1 имеет толстую броневую защиту, мощное вооружение, но из-за слабой маневренности для ведения операций мало пригоден, особенно успешно применяется в позиционной войне. Танк КВ-1 усиленный, трудно поражаемый.</w:t>
      </w:r>
    </w:p>
    <w:p w14:paraId="72BE274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Тяжелый танк КВ-2</w:t>
      </w:r>
    </w:p>
    <w:p w14:paraId="03F622C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Только в этом тяжелом танке достигнут действительно вес в 52 тонны. На тележку танка КВ-1 русские поставили четырехугольную башню весом 12 тонн. Размеры стали такими, что, например, ширина превосходит германскую ж.д. колею, а высота допускает транспортировку только со снятой башней. В русских докладах можно часто видеть сообщение о продавленных мостах.</w:t>
      </w:r>
    </w:p>
    <w:p w14:paraId="14A08DC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составляет гаубица 15,2 см. Раздельные выстрелы обуславливают длительные интервалы между ними. 36 снарядов являются недостаточным запасом.</w:t>
      </w:r>
    </w:p>
    <w:p w14:paraId="6E6CA7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КВ-2 нетрудно узнать по большой башне, имеющей форму коробки. Бороться с ним можно также, как с КВ-1. Борьба с ближней дистанции стала легче, так как машина имеет больше мертвых углов, а громадная башня при наклонном положении танка делается неподвижной.</w:t>
      </w:r>
    </w:p>
    <w:p w14:paraId="596B2B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КВ-2 имеет толстую броневую защиту, мощное вооружение. Неповоротлив. Используется в позиционной войне. Слишком сильная нагрузка на шасси является </w:t>
      </w:r>
      <w:r w:rsidRPr="00D03F3E">
        <w:rPr>
          <w:rFonts w:ascii="Times New Roman" w:hAnsi="Times New Roman"/>
          <w:color w:val="000000" w:themeColor="text1"/>
          <w:sz w:val="16"/>
          <w:szCs w:val="16"/>
        </w:rPr>
        <w:lastRenderedPageBreak/>
        <w:t>недостатком танка.</w:t>
      </w:r>
    </w:p>
    <w:p w14:paraId="7F63C4B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на всех русских танках составляет пушка 4,5 или 7,62 до 15,2 см. Таким образом, вооружение лучше, чем в германских танках такого же веса.</w:t>
      </w:r>
    </w:p>
    <w:p w14:paraId="317DC3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Возможности наблюдения во всех танках хуже, чем в германских. В отношении эксплуатацион</w:t>
      </w:r>
      <w:r w:rsidRPr="00D03F3E">
        <w:rPr>
          <w:rFonts w:ascii="Times New Roman" w:hAnsi="Times New Roman"/>
          <w:color w:val="000000" w:themeColor="text1"/>
          <w:sz w:val="16"/>
          <w:szCs w:val="16"/>
        </w:rPr>
        <w:softHyphen/>
        <w:t>ных свойств русские танки значительно уступают германским.</w:t>
      </w:r>
    </w:p>
    <w:p w14:paraId="40CA48C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Английские танки</w:t>
      </w:r>
    </w:p>
    <w:p w14:paraId="2B56D97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МК-2 (Матильда-2) — толстая бронезащита, трудно поражаем, особенно со стороны бортов, малая скорость, неповоротлив, для ведения операций мало пригоден.</w:t>
      </w:r>
    </w:p>
    <w:p w14:paraId="3DE104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МК-3 (Валентин) легче, чем МК-2, отсюда быстроходнее и маневреннее.</w:t>
      </w:r>
    </w:p>
    <w:p w14:paraId="7C8393C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Американские танки</w:t>
      </w:r>
    </w:p>
    <w:p w14:paraId="5ECA2EA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М-3 — генерал Стюарт — быстроходный, легкий, маневренный, хорошая бронезащита. Большое изнашивание гусеничной ленты.</w:t>
      </w:r>
    </w:p>
    <w:p w14:paraId="0D6CE7B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М-3 — генерал Лий — относительно быстроходный, мощное вооружение.</w:t>
      </w:r>
    </w:p>
    <w:p w14:paraId="2602BEB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разведотдела штаба БТ и МВ КА</w:t>
      </w:r>
    </w:p>
    <w:p w14:paraId="525B146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подполковник Сидорович</w:t>
      </w:r>
    </w:p>
    <w:p w14:paraId="0B2B57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11355а. Д. 360р. Л. 47-51. Копия (11403).</w:t>
      </w:r>
    </w:p>
    <w:p w14:paraId="18D970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CA11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вышло Постановление ГКО № 3187 О мероприятиях по усилению противотанковой обороны.РГАНИР, Фонд ГКО, д. 10, лл. 5, лл. 1-3 (11012).</w:t>
      </w:r>
    </w:p>
    <w:p w14:paraId="2B1F02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AADCB6" w14:textId="77777777" w:rsidR="00F14A5F"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г. ГОСУДАРСТВЕННЫЙ КОМИТЕТ ОБОРОНЫПОСТАНОВЛЕНИЕ № ГКО-3187сс</w:t>
      </w:r>
    </w:p>
    <w:p w14:paraId="38E22907" w14:textId="77777777" w:rsidR="00F14A5F"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 Кремль</w:t>
      </w:r>
    </w:p>
    <w:p w14:paraId="574CD57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мероприятиях по усилению противотанковой обороны.</w:t>
      </w:r>
    </w:p>
    <w:p w14:paraId="39A74ED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целях усиления противотанковой обороны Государственный Комитет Обороны ПОСТАНОВЛЯЕТ: </w:t>
      </w:r>
    </w:p>
    <w:p w14:paraId="62876E0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Народного Комиссара Вооружения тов. Устинова перевести производство завода № 172 на изготовление 45-мм противотанковых пушек "М-42", вместо 45-мм противотанковых пушек бор. 1937 г. по следующему графику выпуска пушек "М-42":</w:t>
      </w:r>
    </w:p>
    <w:tbl>
      <w:tblPr>
        <w:tblW w:w="102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9"/>
        <w:gridCol w:w="966"/>
        <w:gridCol w:w="5901"/>
      </w:tblGrid>
      <w:tr w:rsidR="00860B4B" w:rsidRPr="00D03F3E" w14:paraId="416DE52B" w14:textId="77777777" w:rsidTr="00420B57">
        <w:tc>
          <w:tcPr>
            <w:tcW w:w="0" w:type="auto"/>
            <w:shd w:val="clear" w:color="auto" w:fill="auto"/>
            <w:hideMark/>
          </w:tcPr>
          <w:p w14:paraId="00960FE4"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апреле</w:t>
            </w:r>
          </w:p>
        </w:tc>
        <w:tc>
          <w:tcPr>
            <w:tcW w:w="0" w:type="auto"/>
            <w:shd w:val="clear" w:color="auto" w:fill="auto"/>
            <w:hideMark/>
          </w:tcPr>
          <w:p w14:paraId="17EC5A86"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w:t>
            </w:r>
          </w:p>
        </w:tc>
        <w:tc>
          <w:tcPr>
            <w:tcW w:w="0" w:type="auto"/>
            <w:shd w:val="clear" w:color="auto" w:fill="auto"/>
            <w:hideMark/>
          </w:tcPr>
          <w:p w14:paraId="61597F1A"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250 шт.;</w:t>
            </w:r>
          </w:p>
        </w:tc>
      </w:tr>
      <w:tr w:rsidR="00860B4B" w:rsidRPr="00D03F3E" w14:paraId="443FA6E7" w14:textId="77777777" w:rsidTr="00420B57">
        <w:tc>
          <w:tcPr>
            <w:tcW w:w="0" w:type="auto"/>
            <w:shd w:val="clear" w:color="auto" w:fill="auto"/>
            <w:hideMark/>
          </w:tcPr>
          <w:p w14:paraId="2FFD872D"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мае</w:t>
            </w:r>
          </w:p>
        </w:tc>
        <w:tc>
          <w:tcPr>
            <w:tcW w:w="0" w:type="auto"/>
            <w:shd w:val="clear" w:color="auto" w:fill="auto"/>
            <w:hideMark/>
          </w:tcPr>
          <w:p w14:paraId="2C379A0C"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w:t>
            </w:r>
          </w:p>
        </w:tc>
        <w:tc>
          <w:tcPr>
            <w:tcW w:w="0" w:type="auto"/>
            <w:shd w:val="clear" w:color="auto" w:fill="auto"/>
            <w:hideMark/>
          </w:tcPr>
          <w:p w14:paraId="6C1D89E2"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30 шт.;</w:t>
            </w:r>
          </w:p>
        </w:tc>
      </w:tr>
      <w:tr w:rsidR="00860B4B" w:rsidRPr="00D03F3E" w14:paraId="1531B55F" w14:textId="77777777" w:rsidTr="00420B57">
        <w:tc>
          <w:tcPr>
            <w:tcW w:w="0" w:type="auto"/>
            <w:shd w:val="clear" w:color="auto" w:fill="auto"/>
            <w:hideMark/>
          </w:tcPr>
          <w:p w14:paraId="58F2B2E0"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июне</w:t>
            </w:r>
          </w:p>
        </w:tc>
        <w:tc>
          <w:tcPr>
            <w:tcW w:w="0" w:type="auto"/>
            <w:shd w:val="clear" w:color="auto" w:fill="auto"/>
            <w:hideMark/>
          </w:tcPr>
          <w:p w14:paraId="71C515BC"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w:t>
            </w:r>
          </w:p>
        </w:tc>
        <w:tc>
          <w:tcPr>
            <w:tcW w:w="0" w:type="auto"/>
            <w:shd w:val="clear" w:color="auto" w:fill="auto"/>
            <w:hideMark/>
          </w:tcPr>
          <w:p w14:paraId="30DFCFC0"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400 шт.;</w:t>
            </w:r>
          </w:p>
        </w:tc>
      </w:tr>
      <w:tr w:rsidR="00860B4B" w:rsidRPr="00D03F3E" w14:paraId="2713E312" w14:textId="77777777" w:rsidTr="00420B57">
        <w:tc>
          <w:tcPr>
            <w:tcW w:w="0" w:type="auto"/>
            <w:shd w:val="clear" w:color="auto" w:fill="auto"/>
            <w:hideMark/>
          </w:tcPr>
          <w:p w14:paraId="2F07AEF7"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июле</w:t>
            </w:r>
          </w:p>
        </w:tc>
        <w:tc>
          <w:tcPr>
            <w:tcW w:w="0" w:type="auto"/>
            <w:shd w:val="clear" w:color="auto" w:fill="auto"/>
            <w:hideMark/>
          </w:tcPr>
          <w:p w14:paraId="54D00F13"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w:t>
            </w:r>
          </w:p>
        </w:tc>
        <w:tc>
          <w:tcPr>
            <w:tcW w:w="0" w:type="auto"/>
            <w:shd w:val="clear" w:color="auto" w:fill="auto"/>
            <w:hideMark/>
          </w:tcPr>
          <w:p w14:paraId="4CDF2178"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600 шт.;</w:t>
            </w:r>
          </w:p>
        </w:tc>
      </w:tr>
      <w:tr w:rsidR="00860B4B" w:rsidRPr="00D03F3E" w14:paraId="2E088863" w14:textId="77777777" w:rsidTr="00420B57">
        <w:tc>
          <w:tcPr>
            <w:tcW w:w="0" w:type="auto"/>
            <w:shd w:val="clear" w:color="auto" w:fill="auto"/>
            <w:hideMark/>
          </w:tcPr>
          <w:p w14:paraId="40FAE149"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августе</w:t>
            </w:r>
          </w:p>
        </w:tc>
        <w:tc>
          <w:tcPr>
            <w:tcW w:w="0" w:type="auto"/>
            <w:shd w:val="clear" w:color="auto" w:fill="auto"/>
            <w:hideMark/>
          </w:tcPr>
          <w:p w14:paraId="73A18CC0"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w:t>
            </w:r>
          </w:p>
        </w:tc>
        <w:tc>
          <w:tcPr>
            <w:tcW w:w="0" w:type="auto"/>
            <w:shd w:val="clear" w:color="auto" w:fill="auto"/>
            <w:hideMark/>
          </w:tcPr>
          <w:p w14:paraId="17A19CC9"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800 шт.;</w:t>
            </w:r>
          </w:p>
        </w:tc>
      </w:tr>
      <w:tr w:rsidR="00860B4B" w:rsidRPr="00D03F3E" w14:paraId="0277BA18" w14:textId="77777777" w:rsidTr="00420B57">
        <w:tc>
          <w:tcPr>
            <w:tcW w:w="0" w:type="auto"/>
            <w:shd w:val="clear" w:color="auto" w:fill="auto"/>
            <w:hideMark/>
          </w:tcPr>
          <w:p w14:paraId="18650EBE"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сентябре</w:t>
            </w:r>
          </w:p>
        </w:tc>
        <w:tc>
          <w:tcPr>
            <w:tcW w:w="0" w:type="auto"/>
            <w:shd w:val="clear" w:color="auto" w:fill="auto"/>
            <w:hideMark/>
          </w:tcPr>
          <w:p w14:paraId="77F33B27"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w:t>
            </w:r>
          </w:p>
        </w:tc>
        <w:tc>
          <w:tcPr>
            <w:tcW w:w="0" w:type="auto"/>
            <w:shd w:val="clear" w:color="auto" w:fill="auto"/>
            <w:hideMark/>
          </w:tcPr>
          <w:p w14:paraId="493146D8"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полностью по плану.</w:t>
            </w:r>
          </w:p>
        </w:tc>
      </w:tr>
    </w:tbl>
    <w:p w14:paraId="462AD43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Обязать Народного Комиссара Вооружения тов. Устинова и директора завода № 92 т. Елян организовать и поставить с апреля м-ца 1943 г. производство 57-мм противотанковых пушек "ЗИС-2" и танковых пушек "ЗИС-4", за счет 76-мм дивизионных пушек образца 1942 г. и танковых пушек "Ф-34" из расчета выпуска:</w:t>
      </w:r>
    </w:p>
    <w:tbl>
      <w:tblPr>
        <w:tblW w:w="102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4"/>
        <w:gridCol w:w="1503"/>
        <w:gridCol w:w="4309"/>
      </w:tblGrid>
      <w:tr w:rsidR="00860B4B" w:rsidRPr="00D03F3E" w14:paraId="04DDCBC0" w14:textId="77777777" w:rsidTr="00420B57">
        <w:tc>
          <w:tcPr>
            <w:tcW w:w="0" w:type="auto"/>
            <w:shd w:val="clear" w:color="auto" w:fill="auto"/>
            <w:hideMark/>
          </w:tcPr>
          <w:p w14:paraId="741CA709"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апреле</w:t>
            </w:r>
          </w:p>
        </w:tc>
        <w:tc>
          <w:tcPr>
            <w:tcW w:w="0" w:type="auto"/>
            <w:shd w:val="clear" w:color="auto" w:fill="auto"/>
            <w:hideMark/>
          </w:tcPr>
          <w:p w14:paraId="0A40FFAE"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w:t>
            </w:r>
          </w:p>
        </w:tc>
        <w:tc>
          <w:tcPr>
            <w:tcW w:w="0" w:type="auto"/>
            <w:shd w:val="clear" w:color="auto" w:fill="auto"/>
            <w:hideMark/>
          </w:tcPr>
          <w:p w14:paraId="7A9D6FFA"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50 шт.;</w:t>
            </w:r>
          </w:p>
        </w:tc>
      </w:tr>
      <w:tr w:rsidR="00860B4B" w:rsidRPr="00D03F3E" w14:paraId="487AA17D" w14:textId="77777777" w:rsidTr="00420B57">
        <w:tc>
          <w:tcPr>
            <w:tcW w:w="0" w:type="auto"/>
            <w:shd w:val="clear" w:color="auto" w:fill="auto"/>
            <w:hideMark/>
          </w:tcPr>
          <w:p w14:paraId="4BDE3707"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мае</w:t>
            </w:r>
          </w:p>
        </w:tc>
        <w:tc>
          <w:tcPr>
            <w:tcW w:w="0" w:type="auto"/>
            <w:shd w:val="clear" w:color="auto" w:fill="auto"/>
            <w:hideMark/>
          </w:tcPr>
          <w:p w14:paraId="26F1DCD0"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w:t>
            </w:r>
          </w:p>
        </w:tc>
        <w:tc>
          <w:tcPr>
            <w:tcW w:w="0" w:type="auto"/>
            <w:shd w:val="clear" w:color="auto" w:fill="auto"/>
            <w:hideMark/>
          </w:tcPr>
          <w:p w14:paraId="27B0E62A"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150 шт.;</w:t>
            </w:r>
          </w:p>
        </w:tc>
      </w:tr>
      <w:tr w:rsidR="00860B4B" w:rsidRPr="00D03F3E" w14:paraId="5C89E164" w14:textId="77777777" w:rsidTr="00420B57">
        <w:tc>
          <w:tcPr>
            <w:tcW w:w="0" w:type="auto"/>
            <w:shd w:val="clear" w:color="auto" w:fill="auto"/>
            <w:hideMark/>
          </w:tcPr>
          <w:p w14:paraId="23921626"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июне</w:t>
            </w:r>
          </w:p>
        </w:tc>
        <w:tc>
          <w:tcPr>
            <w:tcW w:w="0" w:type="auto"/>
            <w:shd w:val="clear" w:color="auto" w:fill="auto"/>
            <w:hideMark/>
          </w:tcPr>
          <w:p w14:paraId="36686C33"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w:t>
            </w:r>
          </w:p>
        </w:tc>
        <w:tc>
          <w:tcPr>
            <w:tcW w:w="0" w:type="auto"/>
            <w:shd w:val="clear" w:color="auto" w:fill="auto"/>
            <w:hideMark/>
          </w:tcPr>
          <w:p w14:paraId="5F0BA370"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250 шт.;</w:t>
            </w:r>
          </w:p>
        </w:tc>
      </w:tr>
      <w:tr w:rsidR="00860B4B" w:rsidRPr="00D03F3E" w14:paraId="77BC8CBB" w14:textId="77777777" w:rsidTr="00420B57">
        <w:tc>
          <w:tcPr>
            <w:tcW w:w="0" w:type="auto"/>
            <w:shd w:val="clear" w:color="auto" w:fill="auto"/>
            <w:hideMark/>
          </w:tcPr>
          <w:p w14:paraId="3098B423"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июле</w:t>
            </w:r>
          </w:p>
        </w:tc>
        <w:tc>
          <w:tcPr>
            <w:tcW w:w="0" w:type="auto"/>
            <w:shd w:val="clear" w:color="auto" w:fill="auto"/>
            <w:hideMark/>
          </w:tcPr>
          <w:p w14:paraId="6D437163"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w:t>
            </w:r>
          </w:p>
        </w:tc>
        <w:tc>
          <w:tcPr>
            <w:tcW w:w="0" w:type="auto"/>
            <w:shd w:val="clear" w:color="auto" w:fill="auto"/>
            <w:hideMark/>
          </w:tcPr>
          <w:p w14:paraId="4F61D887"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350 шт.;</w:t>
            </w:r>
          </w:p>
        </w:tc>
      </w:tr>
      <w:tr w:rsidR="00860B4B" w:rsidRPr="00D03F3E" w14:paraId="36F3308A" w14:textId="77777777" w:rsidTr="00420B57">
        <w:tc>
          <w:tcPr>
            <w:tcW w:w="0" w:type="auto"/>
            <w:gridSpan w:val="3"/>
            <w:shd w:val="clear" w:color="auto" w:fill="auto"/>
            <w:hideMark/>
          </w:tcPr>
          <w:p w14:paraId="176FCC09"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и с августа по 500 штук ежемесячно. Из указанного числа 20% танковых пушек "ЗИС-4". </w:t>
            </w:r>
          </w:p>
        </w:tc>
      </w:tr>
    </w:tbl>
    <w:p w14:paraId="2A99EB9C"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Отработку чертежей ЦАКБ НКВ закончить к 1 июня 1943 г., представив их к этому сроку в ГАУ на утверждение. </w:t>
      </w:r>
    </w:p>
    <w:p w14:paraId="6DF09277"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 четыре орудия противотанковых и танковых пушек, из числа апрельского выпуска, Главному Артиллерийскому Управлению (тов. Яковлев) подвергнуть полигонным испытаниям и в декадный срок представить заключение в ГОКО. </w:t>
      </w:r>
    </w:p>
    <w:p w14:paraId="412FD46B"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Обязать Наркомат Вооружения (тов. Устинова) и начальника ЦАКБ НКВ тов. Грабина представить в ГАУ к 25 апреля 1943 г. соображения по разработке новой мощной корпусной пушки, обладающей вместе с тем качествами противотанкового орудия, на основе 107-мм пушки "М-60" и 100-мм морской зенитной пушки "Б-34". Одновременно представить соображения по по разработке новой специальной противотанковой, танковой и самоходной пушек с бронепробивной способностью 150 мм под углом 30</w:t>
      </w:r>
      <w:r w:rsidRPr="00D03F3E">
        <w:rPr>
          <w:rFonts w:ascii="Times New Roman" w:hAnsi="Times New Roman"/>
          <w:color w:val="000000" w:themeColor="text1"/>
          <w:sz w:val="16"/>
          <w:szCs w:val="16"/>
          <w:vertAlign w:val="superscript"/>
        </w:rPr>
        <w:t>o</w:t>
      </w:r>
      <w:r w:rsidRPr="00D03F3E">
        <w:rPr>
          <w:rFonts w:ascii="Times New Roman" w:hAnsi="Times New Roman"/>
          <w:color w:val="000000" w:themeColor="text1"/>
          <w:sz w:val="16"/>
          <w:szCs w:val="16"/>
        </w:rPr>
        <w:t xml:space="preserve"> на дистанцию 750-1000 метров. </w:t>
      </w:r>
    </w:p>
    <w:p w14:paraId="62F4EA01"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ГАУ Красной Армии в трехдневный срок рассмотреть материалы, которые будут представлены НКВ, принять решение по заказу опытных образцов и доложить совместно с НКВ ГОКО. </w:t>
      </w:r>
    </w:p>
    <w:p w14:paraId="68C22019"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Обязать Народного Коииссара Боеприпасов т. Ванникова поставить на производство 57-мм и 76-мм подкалиберные снаряды с ежемесячным выпуском по следующему плану:</w:t>
      </w:r>
    </w:p>
    <w:tbl>
      <w:tblPr>
        <w:tblW w:w="102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32"/>
        <w:gridCol w:w="1179"/>
        <w:gridCol w:w="1179"/>
        <w:gridCol w:w="1179"/>
        <w:gridCol w:w="1247"/>
      </w:tblGrid>
      <w:tr w:rsidR="00860B4B" w:rsidRPr="00D03F3E" w14:paraId="72EAFCF3" w14:textId="77777777" w:rsidTr="00420B57">
        <w:tc>
          <w:tcPr>
            <w:tcW w:w="0" w:type="auto"/>
            <w:shd w:val="clear" w:color="auto" w:fill="auto"/>
            <w:hideMark/>
          </w:tcPr>
          <w:p w14:paraId="7A5642F5"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w:t>
            </w:r>
          </w:p>
        </w:tc>
        <w:tc>
          <w:tcPr>
            <w:tcW w:w="0" w:type="auto"/>
            <w:shd w:val="clear" w:color="auto" w:fill="auto"/>
            <w:hideMark/>
          </w:tcPr>
          <w:p w14:paraId="5A53B613"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Май</w:t>
            </w:r>
          </w:p>
        </w:tc>
        <w:tc>
          <w:tcPr>
            <w:tcW w:w="0" w:type="auto"/>
            <w:shd w:val="clear" w:color="auto" w:fill="auto"/>
            <w:hideMark/>
          </w:tcPr>
          <w:p w14:paraId="587CE785"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Июнь</w:t>
            </w:r>
          </w:p>
        </w:tc>
        <w:tc>
          <w:tcPr>
            <w:tcW w:w="0" w:type="auto"/>
            <w:shd w:val="clear" w:color="auto" w:fill="auto"/>
            <w:hideMark/>
          </w:tcPr>
          <w:p w14:paraId="4ACAB361"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Июль</w:t>
            </w:r>
          </w:p>
        </w:tc>
        <w:tc>
          <w:tcPr>
            <w:tcW w:w="0" w:type="auto"/>
            <w:shd w:val="clear" w:color="auto" w:fill="auto"/>
            <w:hideMark/>
          </w:tcPr>
          <w:p w14:paraId="5D5076D0"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Август</w:t>
            </w:r>
          </w:p>
        </w:tc>
      </w:tr>
      <w:tr w:rsidR="00860B4B" w:rsidRPr="00D03F3E" w14:paraId="6F4EB957" w14:textId="77777777" w:rsidTr="00420B57">
        <w:tc>
          <w:tcPr>
            <w:tcW w:w="0" w:type="auto"/>
            <w:shd w:val="clear" w:color="auto" w:fill="auto"/>
            <w:hideMark/>
          </w:tcPr>
          <w:p w14:paraId="3BF6EBFE"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Подкалиберный снаряд к пушке "ЗИС-2"</w:t>
            </w:r>
          </w:p>
        </w:tc>
        <w:tc>
          <w:tcPr>
            <w:tcW w:w="0" w:type="auto"/>
            <w:shd w:val="clear" w:color="auto" w:fill="auto"/>
            <w:hideMark/>
          </w:tcPr>
          <w:p w14:paraId="0AC8308A"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3.000</w:t>
            </w:r>
          </w:p>
        </w:tc>
        <w:tc>
          <w:tcPr>
            <w:tcW w:w="0" w:type="auto"/>
            <w:shd w:val="clear" w:color="auto" w:fill="auto"/>
            <w:hideMark/>
          </w:tcPr>
          <w:p w14:paraId="3CFAD9A0"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10.000</w:t>
            </w:r>
          </w:p>
        </w:tc>
        <w:tc>
          <w:tcPr>
            <w:tcW w:w="0" w:type="auto"/>
            <w:shd w:val="clear" w:color="auto" w:fill="auto"/>
            <w:hideMark/>
          </w:tcPr>
          <w:p w14:paraId="7E7BB181"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10.000</w:t>
            </w:r>
          </w:p>
        </w:tc>
        <w:tc>
          <w:tcPr>
            <w:tcW w:w="0" w:type="auto"/>
            <w:shd w:val="clear" w:color="auto" w:fill="auto"/>
            <w:hideMark/>
          </w:tcPr>
          <w:p w14:paraId="6A558EA8"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15.000</w:t>
            </w:r>
          </w:p>
        </w:tc>
      </w:tr>
      <w:tr w:rsidR="00860B4B" w:rsidRPr="00D03F3E" w14:paraId="5DDF7374" w14:textId="77777777" w:rsidTr="00420B57">
        <w:tc>
          <w:tcPr>
            <w:tcW w:w="0" w:type="auto"/>
            <w:shd w:val="clear" w:color="auto" w:fill="auto"/>
            <w:hideMark/>
          </w:tcPr>
          <w:p w14:paraId="3A29378A"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Подкалиберный снаряд к пушке "ЗИС-3"</w:t>
            </w:r>
          </w:p>
        </w:tc>
        <w:tc>
          <w:tcPr>
            <w:tcW w:w="0" w:type="auto"/>
            <w:shd w:val="clear" w:color="auto" w:fill="auto"/>
            <w:hideMark/>
          </w:tcPr>
          <w:p w14:paraId="5A448990"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15.000</w:t>
            </w:r>
          </w:p>
        </w:tc>
        <w:tc>
          <w:tcPr>
            <w:tcW w:w="0" w:type="auto"/>
            <w:shd w:val="clear" w:color="auto" w:fill="auto"/>
            <w:hideMark/>
          </w:tcPr>
          <w:p w14:paraId="125E50C0"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30.000</w:t>
            </w:r>
          </w:p>
        </w:tc>
        <w:tc>
          <w:tcPr>
            <w:tcW w:w="0" w:type="auto"/>
            <w:shd w:val="clear" w:color="auto" w:fill="auto"/>
            <w:hideMark/>
          </w:tcPr>
          <w:p w14:paraId="474C9DC2"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35.000</w:t>
            </w:r>
          </w:p>
        </w:tc>
        <w:tc>
          <w:tcPr>
            <w:tcW w:w="0" w:type="auto"/>
            <w:shd w:val="clear" w:color="auto" w:fill="auto"/>
            <w:hideMark/>
          </w:tcPr>
          <w:p w14:paraId="614CE44E" w14:textId="77777777" w:rsidR="00AC5101" w:rsidRPr="00D03F3E"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40.000</w:t>
            </w:r>
          </w:p>
        </w:tc>
      </w:tr>
    </w:tbl>
    <w:p w14:paraId="605D114A"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6D6D3027" w14:textId="77777777" w:rsidR="00DB6725" w:rsidRPr="00D03F3E" w:rsidRDefault="00DB6725" w:rsidP="00D03F3E">
      <w:pPr>
        <w:autoSpaceDE w:val="0"/>
        <w:autoSpaceDN w:val="0"/>
        <w:adjustRightInd w:val="0"/>
        <w:spacing w:after="0" w:line="240" w:lineRule="auto"/>
        <w:jc w:val="both"/>
        <w:rPr>
          <w:rFonts w:ascii="Times New Roman" w:hAnsi="Times New Roman"/>
          <w:noProof/>
          <w:color w:val="000000" w:themeColor="text1"/>
          <w:sz w:val="16"/>
          <w:szCs w:val="16"/>
        </w:rPr>
      </w:pPr>
      <w:r w:rsidRPr="00D03F3E">
        <w:rPr>
          <w:rFonts w:ascii="Times New Roman" w:hAnsi="Times New Roman"/>
          <w:noProof/>
          <w:color w:val="000000" w:themeColor="text1"/>
          <w:sz w:val="16"/>
          <w:szCs w:val="16"/>
        </w:rPr>
        <w:t>15 апреля 1943 г. Постановлением ГКО №3187сс Наркомату вооружения было по</w:t>
      </w:r>
      <w:r w:rsidRPr="00D03F3E">
        <w:rPr>
          <w:rFonts w:ascii="Times New Roman" w:hAnsi="Times New Roman"/>
          <w:noProof/>
          <w:color w:val="000000" w:themeColor="text1"/>
          <w:sz w:val="16"/>
          <w:szCs w:val="16"/>
        </w:rPr>
        <w:softHyphen/>
        <w:t>ручено создать мощные танковые пушки, способные эффективно бороться с новой бронетанковой техникой врага.В Кубинку были направлены различные артсистемы для определения их сравнитель</w:t>
      </w:r>
      <w:r w:rsidRPr="00D03F3E">
        <w:rPr>
          <w:rFonts w:ascii="Times New Roman" w:hAnsi="Times New Roman"/>
          <w:noProof/>
          <w:color w:val="000000" w:themeColor="text1"/>
          <w:sz w:val="16"/>
          <w:szCs w:val="16"/>
        </w:rPr>
        <w:softHyphen/>
        <w:t>ной эффективности при реальном обстреле трофейного танка. Проведенными в конце апреля стрельбами было установлено, что наиболее эффективно поражает броню «Тиг</w:t>
      </w:r>
      <w:r w:rsidRPr="00D03F3E">
        <w:rPr>
          <w:rFonts w:ascii="Times New Roman" w:hAnsi="Times New Roman"/>
          <w:noProof/>
          <w:color w:val="000000" w:themeColor="text1"/>
          <w:sz w:val="16"/>
          <w:szCs w:val="16"/>
        </w:rPr>
        <w:softHyphen/>
        <w:t>ра» 85-мм зенитная пушка52-Кобр. 1939 г., которая с дистанции до 1000 м уверенно пробивает его 100-мм лобовую броню</w:t>
      </w:r>
      <w:r w:rsidRPr="00D03F3E">
        <w:rPr>
          <w:rFonts w:ascii="Times New Roman" w:hAnsi="Times New Roman"/>
          <w:color w:val="000000" w:themeColor="text1"/>
          <w:sz w:val="16"/>
          <w:szCs w:val="16"/>
        </w:rPr>
        <w:t xml:space="preserve"> (11897)</w:t>
      </w:r>
      <w:r w:rsidRPr="00D03F3E">
        <w:rPr>
          <w:rFonts w:ascii="Times New Roman" w:hAnsi="Times New Roman"/>
          <w:noProof/>
          <w:color w:val="000000" w:themeColor="text1"/>
          <w:sz w:val="16"/>
          <w:szCs w:val="16"/>
        </w:rPr>
        <w:t>.</w:t>
      </w:r>
    </w:p>
    <w:p w14:paraId="10DD3411"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1123393C" w14:textId="77777777" w:rsidR="00AC5101" w:rsidRPr="00D03F3E" w:rsidRDefault="00AC5101" w:rsidP="00D03F3E">
      <w:pPr>
        <w:pStyle w:val="a3"/>
        <w:rPr>
          <w:color w:val="000000" w:themeColor="text1"/>
          <w:lang w:val="ru-RU"/>
        </w:rPr>
      </w:pPr>
      <w:r w:rsidRPr="00D03F3E">
        <w:rPr>
          <w:color w:val="000000" w:themeColor="text1"/>
          <w:lang w:val="ru-RU"/>
        </w:rPr>
        <w:t>15 апреля 1943 года вышло постановление ГКО № 3187сс от «О мероприятиях по усилению противотанковой обороны» (РГАСПИ. Ф. 644. Оп. 1. Д. 105. Л. 1-3). Меры этого постановления почти не затрагивали танковую промышленность. В основном речь шла о производстве новых противотанковых орудий, из предложений Малышева принимались разработка 122-мм кумулятивного и 152-мм бронебойного снарядов (12290).</w:t>
      </w:r>
    </w:p>
    <w:p w14:paraId="0F576A19" w14:textId="77777777" w:rsidR="00AC5101" w:rsidRPr="00D03F3E" w:rsidRDefault="00AC5101" w:rsidP="00D03F3E">
      <w:pPr>
        <w:pStyle w:val="a3"/>
        <w:rPr>
          <w:color w:val="000000" w:themeColor="text1"/>
          <w:lang w:val="ru-RU"/>
        </w:rPr>
      </w:pPr>
    </w:p>
    <w:p w14:paraId="278DF682"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года постановлением ГКО № 3187сс заводу № 183 предписывалось изготовить в мае четыре образца танка Т-34 с пушками ЗИС-4, а в июне провести их испытание с последующей организацией серийного производства. Но из-за того, что завод затянул изготовление танков, их испытания прошли с 20 июля по 18 августа 1943 года на Гороховец- ком полигоне. В заключении говорилось, что 57-мм пушка ЗИС-4 «может быть рекомендована для принятия на вооружение танков типа Т-34. Необходимо в срочно порядке устранить недостатки и мелкие дефекты».</w:t>
      </w:r>
    </w:p>
    <w:p w14:paraId="0C36A043"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Еще до окончания испытаний - 15 августа - три тридцатьчетверки с орудиями ЗИС-4 отправили на фронт в составе «особой танковой роты 100». Танки роты проходили фронтовые испытания с 15 августа по 5 сентября 1943 года, но тридцатьчетверками не повезло: в течение трех недель нахождения в Действующей Армии, немецкие танки были встречены всего один раз, причем Т-34 с ЗИС-4 в этот момент находились в резерве и не смогли продемонстрировать свою эффективность против немецкой брони. Тем не менее, командир танковой роты, капитан Волосатое и представитель ГАБТУ инженер-полковник Зайцев, дали танкам высокую оценку по результатам стрельб по подбитым и брошенным вражеским машинам, а также амбразурам ДЗОТ. Единственным недостаткам 57-мм танковой пушки ЗИС-4, который отмечали все, принимавшие участие в испытаниях, было низкое качество осколочных снарядов.</w:t>
      </w:r>
    </w:p>
    <w:p w14:paraId="26AEE54F" w14:textId="77777777" w:rsidR="00AC5101" w:rsidRPr="00D03F3E" w:rsidRDefault="00AC510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Доработка 57-мм пушки ЗИС-4 заводом № 92 продолжалась до октября 1943 года. К этому моменту здесь изготовили и отправили в Нижний Тагил 170 орудий ЗИС-4,. из которых четыре смонтировали на танках. Но к этому времени уже шла испытания более мощных 85-мм танковых пушек, и работы по ЗИС-4 свернули. Всего, как уже говорилось, в 1943 году изготовили 4 образца Т-34 с ЗИС-4, причем в документах эти машины, как и их предшественницы в 1941 году, никогда не назывались «танк-истребитель» (12217).</w:t>
      </w:r>
    </w:p>
    <w:p w14:paraId="1E9FDFAB" w14:textId="77777777" w:rsidR="00AC5101" w:rsidRPr="00D03F3E" w:rsidRDefault="00AC5101" w:rsidP="00D03F3E">
      <w:pPr>
        <w:spacing w:after="0" w:line="240" w:lineRule="auto"/>
        <w:jc w:val="both"/>
        <w:rPr>
          <w:rFonts w:ascii="Times New Roman" w:hAnsi="Times New Roman"/>
          <w:color w:val="000000" w:themeColor="text1"/>
          <w:sz w:val="16"/>
          <w:szCs w:val="16"/>
        </w:rPr>
      </w:pPr>
    </w:p>
    <w:p w14:paraId="765460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вышло Распоряжение ГКО № 3188. О формировании к 15 мая 25 подвижных ремонтных баз для ремонта танков КВ и Т-34.РГАНИР, Фонд ГКО, д. 10, лл. 5, лл. 4, 5-6 (11012).</w:t>
      </w:r>
    </w:p>
    <w:p w14:paraId="1DF52C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CA9E3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вышло Распоряжение ГКО № 3189 [О разгрузке нефтеналивных барж для Сталинграда.] (7096, 7).</w:t>
      </w:r>
    </w:p>
    <w:p w14:paraId="3524EE2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D0911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вышло Постановление ГКО № 3191 О производстве и поставках перевязочных изделий. (7096, 13-14,15-21).</w:t>
      </w:r>
    </w:p>
    <w:p w14:paraId="305B6AD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1F60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железные дороги были переведены на военное положение, а вскоре утвердили Указ о дисциплине рабочих и служащих железнодорожного транспорта (338,36).</w:t>
      </w:r>
    </w:p>
    <w:p w14:paraId="54CB9B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106D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15 апреля 1943 г. вышел ПРИКАЗ № 0273 ОБ УСИЛЕНИИ КОНТРОЛЯ ЗА ВЫПОЛНЕНИЕМ НЕФТЯНОЙ ПРОМЫШЛЕННОСТЬЮ ПЛАНОВ ПРОИЗВОДСТВА, </w:t>
      </w:r>
      <w:r w:rsidRPr="00D03F3E">
        <w:rPr>
          <w:rFonts w:ascii="Times New Roman" w:hAnsi="Times New Roman"/>
          <w:color w:val="000000" w:themeColor="text1"/>
          <w:sz w:val="16"/>
          <w:szCs w:val="16"/>
        </w:rPr>
        <w:lastRenderedPageBreak/>
        <w:t>ПОСТАВОК И КАЧЕСТВОМ АВИАБЕНЗИНОВ И АВИАМАСЕЛ, ПОСТУПАЮЩИХ НА СНАБЖЕНИЕ КРАСНОЙ АРМИИ</w:t>
      </w:r>
    </w:p>
    <w:p w14:paraId="6B3919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усиления контроля за выполнением нефтяной промышленностью планов производства, выполнением поставок и качеством авиабензинов и авиамасел, поступающих на снабжение Красной Армии, приказываю:</w:t>
      </w:r>
    </w:p>
    <w:p w14:paraId="088BD9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Сформировать в Управлении снабжения горючим Красной Армии специальный отдел контроля за выполнением нефтяной промышленностью планов производства авиационных бензинов для Красной Армии численностью отдела 6 военнослужащих.</w:t>
      </w:r>
    </w:p>
    <w:p w14:paraId="781EA8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Начальником отдела назначить инженер-полковника Парфенова Евгения Ивановича.</w:t>
      </w:r>
    </w:p>
    <w:p w14:paraId="4B33A0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Увеличить аппарат военной приемки УСГ КА на 28 человек военнослужащих по контролю за качеством авиационных бензинов (приложение № 1).</w:t>
      </w:r>
    </w:p>
    <w:p w14:paraId="16A9D2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Вменить в обязанность военноприемного аппарата:</w:t>
      </w:r>
    </w:p>
    <w:p w14:paraId="0BF26F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контроль за ходом выполнения производственных планов по авиационным бензинам и своевременную отгрузку их для Красной Армии в соответствии с установленными государственными стандартами;</w:t>
      </w:r>
    </w:p>
    <w:p w14:paraId="6EA20F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немедленную информацию Управления снабжения горючим Красной Армии о каждом случае срыва выполнения планов и каждом случае поставки некондиционных материалов.</w:t>
      </w:r>
    </w:p>
    <w:p w14:paraId="5A456F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Возложить на существующий технический отдел Управления снабжения горючим Красной Армии контроль за антидетонационными качествами бензинов и изучение трофейных ГСМ.</w:t>
      </w:r>
    </w:p>
    <w:p w14:paraId="34C748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этой целью разрешить увеличение штата технического отдела с 10 до 15 человек.</w:t>
      </w:r>
    </w:p>
    <w:p w14:paraId="5C4840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Начальнику Управления снабжения горючим Красной Армии генерал-майору технических войск т. Кормилицыну:</w:t>
      </w:r>
    </w:p>
    <w:p w14:paraId="5AD384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докладывать мне не реже одного раза в неделю о работе нефтяной промышленности в части выполнения постановления ГОКО № 3135 от 6.4.43 г.;</w:t>
      </w:r>
    </w:p>
    <w:p w14:paraId="7F9591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увеличение численности инженерно-технического состава Управления и приемного аппарата произвести за счет сокращения военнослужащих на менее ответственных участках работы в тыловых учреждениях службы снабжения горючим — приложение № 2.</w:t>
      </w:r>
    </w:p>
    <w:p w14:paraId="27F7EA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на 2 листах несекретно*.</w:t>
      </w:r>
    </w:p>
    <w:p w14:paraId="6CFA27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Заместитель Народного комиссара обороны генерал-полковник интендантской службы А. ХРУЛЕВ </w:t>
      </w:r>
      <w:r w:rsidRPr="00D03F3E">
        <w:rPr>
          <w:rFonts w:ascii="Times New Roman" w:hAnsi="Times New Roman"/>
          <w:color w:val="000000" w:themeColor="text1"/>
          <w:sz w:val="16"/>
          <w:szCs w:val="16"/>
        </w:rPr>
        <w:t>(9844).</w:t>
      </w:r>
    </w:p>
    <w:p w14:paraId="53C5A1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C566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На Адмиралтейском заводе закончен средний ремонт (начат 24 декабря 1942 г.) ПЛ Щ-309; продолжался аварийно-боевой ремонт ПЛ Щ-323 (закончен 22 апреля). Велась постройка шести мониторов. При участии 180 краснофлотцев строили 12 БМО (10671).</w:t>
      </w:r>
    </w:p>
    <w:p w14:paraId="32EB18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15597B"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4E1680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4D8167"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в 1943 году утреннее сообщение Совинформбюро:</w:t>
      </w:r>
    </w:p>
    <w:p w14:paraId="486A2309"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15 апреля на фронтах существенных изменений не произошло.</w:t>
      </w:r>
    </w:p>
    <w:p w14:paraId="2ACEE936"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 одном участке лейтенант Лебедев, старший сержант Забиякнн, старший сержант Ковриков, сержант Якимов и красноармеец Зубанов совершили вылазку в расположение противника. Разведчики проникли на передний край немецкой обороны, ворвались в траншею, гранатами и огнём автоматов уничтожили 35 гитлеровцев. Захватив немецкий ручной пулемёт, разведчики вернулись в своё подразделение.</w:t>
      </w:r>
    </w:p>
    <w:p w14:paraId="5ED58765"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Чугуева огнём нашей артиллерии рассеян двигавшийся походной колонной батальон пехоты противника. На дороге осталось до 150 вражеских трупов и 5 разбитых автомашин.</w:t>
      </w:r>
    </w:p>
    <w:p w14:paraId="40B8122C"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бойцы Н-ской части отбили атаку противника, пытавшегося овладеть одной высотой. В результате боя уничтожено до 100 немецких солдат и офицеров, подбит немецкий танк и 2 противотанковых орудия. На другом участке наша разведывательная группа, пробравшись в тыл противника, открыла огонь по подходившей колонне гитлеровцев. Не разобравшись, в чём дело, по этой же колонне открыли огонь и немцы, находившиеся в одном населённом пункте. Выйдя из-под обстрела, наши разведчики вернулись в свою часть, а гитлеровцы в течение двух часов вели между собой перестрелку.</w:t>
      </w:r>
    </w:p>
    <w:p w14:paraId="709DEBB6"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огнём артиллерии Н-ского соединения уничтожены артиллерийская и 3 миномётные батареи противника, взорвано 2 склада боеприпасов и рассеяно до роты немецкой пехоты.</w:t>
      </w:r>
    </w:p>
    <w:p w14:paraId="75689B20"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лётчик гвардии майор Крюков, патрулируя над расположением наших войск, заметил 3 немецких истребителя «Мессершмитт-109» и навязал им бой. Майор Крюков сбил 2 самолёта противника. Сбитые немецкие самолёты упали на нашей территории.</w:t>
      </w:r>
    </w:p>
    <w:p w14:paraId="49141E20"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Волынской области, установил, что на ближайшую станцию ожидается прибытие воинского эшелона противника. Партизаны в нескольких местах заминировали железнодорожные пути. Немецкий поезд, шедший двойной тягой, подорвался на минах и упал с высокой насыпи. Разбиты 35 классных вагонов и оба паровоза. Убито и ранено несколько сот гитлеровцев. На следующий день группа партизан этого же отряда, наблюдая за железной дорогой, пропустила немецкую контрольную дрезину, проверявшую исправность пути. Когда дрезина прошла, партизаны заминировали полотно и скрылись. Следовавший за дрезиной поезд наскочил на мины и полетел под откос. Разбито 28 вагонов, в которых находились немецкие солдаты и офицеры.</w:t>
      </w:r>
    </w:p>
    <w:p w14:paraId="23D48313"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патриоты одержали ряд успехов в боях с оккупантами. B районе Оточаца партизаны очистили от противника населённый пункт Брлог, истребили более 100 вражеских солдат и офицеров и взяли в плен 80 итальянцев. Захвачены трофеи: 25 станковых пулемётов и 200 тысяч патронов. Патриоты заняли также населённый пункт Велика Писаница. В уличных боях в этом пункте уничтожено 160 немцев. Вся территория вокруг города Книн полностью очищена от оккупантов. В этом районе партизаны истребили до батальона итальянских солдат и офицеров.» (15100).</w:t>
      </w:r>
    </w:p>
    <w:p w14:paraId="2AB53463" w14:textId="77777777" w:rsidR="00F14A5F" w:rsidRPr="00D03F3E" w:rsidRDefault="00F14A5F" w:rsidP="00D03F3E">
      <w:pPr>
        <w:spacing w:after="0" w:line="240" w:lineRule="auto"/>
        <w:jc w:val="both"/>
        <w:rPr>
          <w:rFonts w:ascii="Times New Roman" w:hAnsi="Times New Roman"/>
          <w:color w:val="000000" w:themeColor="text1"/>
          <w:sz w:val="16"/>
          <w:szCs w:val="16"/>
        </w:rPr>
      </w:pPr>
    </w:p>
    <w:p w14:paraId="04A7948F"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в 1943 году вечернее сообщение Совинформбюро:</w:t>
      </w:r>
    </w:p>
    <w:p w14:paraId="2BFAD637"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15 апреля на фронтах существенных изменений не произошло.</w:t>
      </w:r>
    </w:p>
    <w:p w14:paraId="50F8D286"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апреля частями нашей авиации на различных участках фронта уничтожено или повреждено не менее 40 немецких автомашин с войсками и грузами, разбит железнодорожный состав, подавлен огонь 8 батарей полевой и зенитной артиллерии противника.</w:t>
      </w:r>
    </w:p>
    <w:p w14:paraId="74B130A6"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части Н-ского соединения вели активные боевые действия. Немцы подтянули на этот участок подкрепления и силами пехоты и 46 танков всю вторую половину дня вели ожесточённые контратаки. Наши бойцы отбили все контратаки гитлеровцев и нанесли противнику тяжёлые потери. Особенно большие потери понесли немцы от огня нашей артиллерии. Подбито и сожжено 19 немецких танков. На поле боя подсчитано свыше 600 трупов немецких солдат и офицеров. Взяты пленные и трофеи.</w:t>
      </w:r>
    </w:p>
    <w:p w14:paraId="4CA44591"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огнём пехоты и артиллерии уничтожено более 100 немецких солдат и офицеров. На одном участке усиленная рота пехоты противника атаковала наши позиции. Гитлеровцы были отброшены на исходные рубежи с большими для них потерями.</w:t>
      </w:r>
    </w:p>
    <w:p w14:paraId="550DAFDB"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наши подразделения вели бои местного значения, в ходе которых уничтожили 120 немецких солдат и офицеров, 2 орудия и 8 пулемётов. Снайпер т.Ломакин за последние дни истребил 8 гитлеровцев и поджёг зажигательными пулями два вражеских склада с боеприпасами. Снайпер т. Попов уничтожил 22 немца, т.Петухов—18, т. Черняк истребил 15 немцев.</w:t>
      </w:r>
    </w:p>
    <w:p w14:paraId="092038C8"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артиллеристы подразделения, где командиром капитал Зубреев, произвели огневой налёт на занятую немцами железнодорожную станцию. Первыми же снарядами был подожжён вражеский бронепоезд. Кроме того, уничтожены артиллерийская батарея и 80 повозок с различными грузами.</w:t>
      </w:r>
    </w:p>
    <w:p w14:paraId="342F0A6D"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немецкая пехота при поддержке танков несколько раз атаковала позиции Н-ской части. Наши подразделения ружейно-пулемётным и миномётным огнём отбили все атаки и уничтожили до роты гитлеровцев. Советские артиллеристы подбили 2 немецких танка, уничтожили 2 орудия, 4 миномёта и 5 автомашин. На подступах к Ленинграду наши лётчики и зенитчики сбили 6 немецких самолётов.</w:t>
      </w:r>
    </w:p>
    <w:p w14:paraId="0BAFD32A"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Разведчики партизанского отряда, действующего в одном из районов Минской области, установили, что утром на участке железной дороги Минск — Славное должен пройти воинский поезд. Ночью партизаны заминировали в нескольких местах железнодорожное полотно. На рассвете, когда поезд противника проходил по заминированному участку, командир отряда включил ток. Раздался оглушительный взрыв. Вагоны, громоздясь один на другой, полетели под откос. Немецко-фашистские оккупанты, пытавшиеся выскочить из вагонов, попадали под огонь партизанских пулемётчиков и снайперов. Много гитлеровцев было убито и ранено. Партизаны отошли, не понеся никаких потерь.</w:t>
      </w:r>
    </w:p>
    <w:p w14:paraId="7344A462"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деревне Малый Заход, Ленинградской области: «Немецкие оккупанты разграбили колхоз, забрали у крестьян всё продовольствие и обрекли их на голодную смерть. Гитлеровцы превратили нас в своих рабов. Комендант приказал всем носить нарукавные нашивки или бирки с номером. Немцы выселили всех колхозников из домов. Население ютилось в банях, погребах и землянках. Нас заставляли работать с раннего утра до позднего вечера на строительстве дорог и лесозаготовках. Немецкие бандиты запрягали колхозников и колхозниц в повозки и перевозили на них тяжёлые брёвна. За время оккупации от непосильного труда и голода в деревне умерло свыше 250 человек. При отступлении немцы зажгли деревню. Сгорело 16 домов с надворными постройками, остальные дома удалось отстоять от огня». Акт подписали: депутат Шумилоборского сельсовета Хазова, жители деревни Малый Заход Данилова,Терентьева и другие.».</w:t>
      </w:r>
    </w:p>
    <w:p w14:paraId="2B63314C"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Гнусные измышления немецко-фашистских палачей.</w:t>
      </w:r>
    </w:p>
    <w:p w14:paraId="17670774"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«Геббельсовские клеветники в течение последних двух-трёх дней распространяют гнусные клеветнические измышления о якобы имевшем место весной 1940 г. в районе Смоленска массовом расстреле советскими органами польских офицеров. Немецко-фашистские мерзавцы в этой своей новой чудовищной выдумке не </w:t>
      </w:r>
      <w:r w:rsidRPr="00D03F3E">
        <w:rPr>
          <w:rFonts w:ascii="Times New Roman" w:hAnsi="Times New Roman"/>
          <w:color w:val="000000" w:themeColor="text1"/>
          <w:sz w:val="16"/>
          <w:szCs w:val="16"/>
        </w:rPr>
        <w:lastRenderedPageBreak/>
        <w:t>останавливаются перед самой беззастенчивой и подлой ложью, которой они пытаются прикрыть неслыханные преступления, совершённые, как это теперь очевидно, ими самими.</w:t>
      </w:r>
    </w:p>
    <w:p w14:paraId="6695B49F"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сообщения по этому поводу не оставляют никакого сомнения в трагической судьбе бывших польских военнопленных, находившихся в 1941 году в районах западнее Смоленска на строительных работах и попавших вместе со многими советскими людьми, жителями Смоленской области, в руки немецко-фашистских палачей летом 1941 года после отхода советских войск из района Смоленска.</w:t>
      </w:r>
    </w:p>
    <w:p w14:paraId="183F1C8B"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 подлежит никакому сомнению, что геббельсовские клеветники ложью и клеветой пытаются теперь замазать кровавые преступления гитлеровских разбойников. В своей неуклюже состряпанной брехне о многочисленных могилах, якобы открытых немцами около Смоленска, геббельсовские лжецы упоминают деревню Гнездовую, но они жульнически умалчивают о том, что именно близ деревни Гнездовой находятся археологические раскопки исторического «Гнездовского могильника». Гитлеровские сих дел мастера пускаются на самую грубую подделку и подтасовку фактов, распространяя клеветнические вымыслы о каких-то советских зверствах весной 1940 г. и стараясь, таким образом, отвести от себя ответственность за совершённые гитлеровцами зверские преступления.</w:t>
      </w:r>
    </w:p>
    <w:p w14:paraId="4836BFBC"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Патентованным немецко-фашистским убийцам, обагрившим свои руки в крови сотен тысяч невинных жертв, систематически истребляющим население оккупированных ими стран, не щадя ни детей, ни женщин, ни стариков, истребившим в самой Польше многие сотни тысяч польских граждан, никого не удастся обмануть своей подлой ложью и клеветой. Гитлеровские убийцы не уйдут от справедливого и неминуемого возмездия за свои кровавые преступления. Совинформбюро.» (15100).</w:t>
      </w:r>
    </w:p>
    <w:p w14:paraId="776674D2" w14:textId="77777777" w:rsidR="00F14A5F" w:rsidRPr="00D03F3E" w:rsidRDefault="00F14A5F" w:rsidP="00D03F3E">
      <w:pPr>
        <w:spacing w:after="0" w:line="240" w:lineRule="auto"/>
        <w:jc w:val="both"/>
        <w:rPr>
          <w:rFonts w:ascii="Times New Roman" w:hAnsi="Times New Roman"/>
          <w:color w:val="000000" w:themeColor="text1"/>
          <w:sz w:val="16"/>
          <w:szCs w:val="16"/>
        </w:rPr>
      </w:pPr>
    </w:p>
    <w:p w14:paraId="309CA137" w14:textId="77777777" w:rsidR="00F14A5F"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вышло Постановление ГКО № 3190 Об усилении и развитии Авиации дальнего действия при Ставке Верховного Главнокомандования. (7096, 8-11,12).</w:t>
      </w:r>
    </w:p>
    <w:p w14:paraId="03E17774" w14:textId="77777777" w:rsidR="00F14A5F" w:rsidRPr="00D03F3E" w:rsidRDefault="00F14A5F"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B040A7" w14:textId="77777777" w:rsidR="000048F9" w:rsidRPr="00D03F3E" w:rsidRDefault="000048F9"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г. ГОСУДАРСТВЕННЫЙ КОМИТЕТ ОБОРОНЫ ПОСТАНОВЛЕНИЕ № ГОКО-3190сс</w:t>
      </w:r>
    </w:p>
    <w:p w14:paraId="33AD4A9E" w14:textId="77777777" w:rsidR="00F14A5F" w:rsidRPr="00D03F3E" w:rsidRDefault="000048F9"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 Кремль</w:t>
      </w:r>
    </w:p>
    <w:p w14:paraId="1A14644B" w14:textId="77777777" w:rsidR="000048F9" w:rsidRPr="00D03F3E" w:rsidRDefault="000048F9"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 усилении и развитии Авиации Дальнего Действия при Ставке Верховного Главнокомандования</w:t>
      </w:r>
    </w:p>
    <w:p w14:paraId="1B58635F"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Государственный Комитет Обороны постановляет: </w:t>
      </w:r>
    </w:p>
    <w:p w14:paraId="28E8E9FC"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 Довести в 1943 году боевой состав Авиации Дальнего Действия до 1.200 ночных экипажей. </w:t>
      </w:r>
    </w:p>
    <w:p w14:paraId="0A65446A"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 Перевести Авиацию Дальнего Действия на самостоятельное снабжение самолетно-моторным парком, запасными частями, горюче-смазочными материалами, боеприпасами, имуществом связи, специальными приборами, оборудованием и другими видами имущества. </w:t>
      </w:r>
    </w:p>
    <w:p w14:paraId="69FE3E25"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3. Обязать командующего ВВС Красной Армии – т. Новикова: </w:t>
      </w:r>
    </w:p>
    <w:p w14:paraId="59A2EEA7"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передать АДД Новосибирскую школу летчиков, 2-ю высшую школу штурманов; Челябинскую школу стрелков-бомбардиров; Челябинскую школу авиамехаников; стационарные авиационные мастерские №№ 3, 9, 14, 16, 115, 138, 164, 266, 282, 284 и подвижные авиационные мастерские ПАМ №№ 5 и 10. Передачу произвести по балансу на 1 апреля 1943 года; </w:t>
      </w:r>
    </w:p>
    <w:p w14:paraId="5AAA5502"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б) передать Авиации Дальнего Действия военную приемку на заводах НКАП №№ 23, 29, 39, 84 и 126; </w:t>
      </w:r>
    </w:p>
    <w:p w14:paraId="538C0D7C"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передать из авиации Гражданского Воздушного Флота перегоночную группу в составе 63-х экипажей, созданную по постановлению ГОКО (№ 1392сс); </w:t>
      </w:r>
    </w:p>
    <w:p w14:paraId="3EEE2D22"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 передать до 20 апреля 1943 года из 113 авиационной дивизии все ночные экипажи, летающие на самолете Ил-4, обязав командующего АДД т. Голованова до 20 апреля с. г. передать взамен ночных экипажей дневные экипажи, летающие на самолетах Ил-4. </w:t>
      </w:r>
    </w:p>
    <w:p w14:paraId="52463815"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Оформление передачи экипажей, с целью сохранения боеспособности 113 авиадивизии, возложить на генерал-лейтенанта т. Шевелева и генерал-майора т. Шиманова; </w:t>
      </w:r>
    </w:p>
    <w:p w14:paraId="6AE26973"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 до начала выпуска летчиков из летной школы АДД передавать в Авиацию Дальнего Действия ежемесячно по 80 летчиков, окончивших нормальные школы ВВС КА на самолетах СБ; </w:t>
      </w:r>
    </w:p>
    <w:p w14:paraId="0AF4493B"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е) при выполнении боевых задач АДД а районе фронтов беспрепятственно предоставлять пригодную для АДД аэродромную сеть в полосе 150-250 километров от линии фронта с соответствующим обслуживанием аэродромными батальонами фронта; </w:t>
      </w:r>
    </w:p>
    <w:p w14:paraId="58AA1800"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ж) для создания маневренных запасов АДД выделить из наличия боеприпасов Воздушных Армий и резерва ГОКО 8 боекомплектов авиационных бомб, согласно прилагаемой ведомости. Зачислить эти запасы в мобрезерв и хранить их на головных складах Северо-Кавказского, Южного, Воронежского, Центрального, Западного, Калининского, Северо-Западного фронтов. </w:t>
      </w:r>
    </w:p>
    <w:p w14:paraId="1067A15A"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Обязать т. Хрулева (НКО) обеспечить перевозку маневренных запасов авиабомб, выделяемых для АДД в количествах, указанных в приложении, по заявкам ВВС КА, до 15 мая 1943 года; </w:t>
      </w:r>
    </w:p>
    <w:p w14:paraId="72A5BC01"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з) передать Авиации Дальнего Действия ранее выделенные фонды и кредиты на 1943 год для АДД. </w:t>
      </w:r>
    </w:p>
    <w:p w14:paraId="5B2A690C"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4. Сформировать к 1.VI-1943 года для АДД 10 батальонов аэродромного обслуживания и 6 головных авиационных складов. </w:t>
      </w:r>
    </w:p>
    <w:p w14:paraId="050CE6C7"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Формирование и укомплектование рядовым составом и всем положенным имуществом по штату возложить:</w:t>
      </w:r>
    </w:p>
    <w:tbl>
      <w:tblPr>
        <w:tblW w:w="1010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93"/>
        <w:gridCol w:w="2013"/>
        <w:gridCol w:w="1902"/>
      </w:tblGrid>
      <w:tr w:rsidR="00860B4B" w:rsidRPr="00D03F3E" w14:paraId="3DCEED1A" w14:textId="77777777" w:rsidTr="00420B57">
        <w:tc>
          <w:tcPr>
            <w:tcW w:w="6193" w:type="dxa"/>
            <w:shd w:val="clear" w:color="auto" w:fill="auto"/>
            <w:hideMark/>
          </w:tcPr>
          <w:p w14:paraId="5AFE059B"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w:t>
            </w:r>
          </w:p>
        </w:tc>
        <w:tc>
          <w:tcPr>
            <w:tcW w:w="0" w:type="auto"/>
            <w:shd w:val="clear" w:color="auto" w:fill="auto"/>
            <w:hideMark/>
          </w:tcPr>
          <w:p w14:paraId="5E29F6AE"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батальонов</w:t>
            </w:r>
          </w:p>
          <w:p w14:paraId="0AE95638"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аэродромного</w:t>
            </w:r>
          </w:p>
          <w:p w14:paraId="349D5020"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обслуживания</w:t>
            </w:r>
          </w:p>
        </w:tc>
        <w:tc>
          <w:tcPr>
            <w:tcW w:w="0" w:type="auto"/>
            <w:shd w:val="clear" w:color="auto" w:fill="auto"/>
            <w:hideMark/>
          </w:tcPr>
          <w:p w14:paraId="1217B4CB"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головных</w:t>
            </w:r>
          </w:p>
          <w:p w14:paraId="327F8911"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авиационных</w:t>
            </w:r>
          </w:p>
          <w:p w14:paraId="61BA294A"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складов</w:t>
            </w:r>
          </w:p>
        </w:tc>
      </w:tr>
      <w:tr w:rsidR="00860B4B" w:rsidRPr="00D03F3E" w14:paraId="4DD4B4DC" w14:textId="77777777" w:rsidTr="00420B57">
        <w:tc>
          <w:tcPr>
            <w:tcW w:w="6193" w:type="dxa"/>
            <w:shd w:val="clear" w:color="auto" w:fill="auto"/>
            <w:hideMark/>
          </w:tcPr>
          <w:p w14:paraId="466AC387"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на Военный Совет Приволжского Военного Округа</w:t>
            </w:r>
          </w:p>
        </w:tc>
        <w:tc>
          <w:tcPr>
            <w:tcW w:w="0" w:type="auto"/>
            <w:shd w:val="clear" w:color="auto" w:fill="auto"/>
            <w:hideMark/>
          </w:tcPr>
          <w:p w14:paraId="08DBFE05"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3</w:t>
            </w:r>
          </w:p>
        </w:tc>
        <w:tc>
          <w:tcPr>
            <w:tcW w:w="0" w:type="auto"/>
            <w:shd w:val="clear" w:color="auto" w:fill="auto"/>
            <w:hideMark/>
          </w:tcPr>
          <w:p w14:paraId="7AACAF79"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w:t>
            </w:r>
          </w:p>
        </w:tc>
      </w:tr>
      <w:tr w:rsidR="00860B4B" w:rsidRPr="00D03F3E" w14:paraId="3A4E66A4" w14:textId="77777777" w:rsidTr="00420B57">
        <w:tc>
          <w:tcPr>
            <w:tcW w:w="6193" w:type="dxa"/>
            <w:shd w:val="clear" w:color="auto" w:fill="auto"/>
            <w:hideMark/>
          </w:tcPr>
          <w:p w14:paraId="742B3828"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на Военный Совет Московского Военного Округа</w:t>
            </w:r>
          </w:p>
        </w:tc>
        <w:tc>
          <w:tcPr>
            <w:tcW w:w="0" w:type="auto"/>
            <w:shd w:val="clear" w:color="auto" w:fill="auto"/>
            <w:hideMark/>
          </w:tcPr>
          <w:p w14:paraId="39164760"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7</w:t>
            </w:r>
          </w:p>
        </w:tc>
        <w:tc>
          <w:tcPr>
            <w:tcW w:w="0" w:type="auto"/>
            <w:shd w:val="clear" w:color="auto" w:fill="auto"/>
            <w:hideMark/>
          </w:tcPr>
          <w:p w14:paraId="26BCF6A2"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4</w:t>
            </w:r>
          </w:p>
        </w:tc>
      </w:tr>
    </w:tbl>
    <w:p w14:paraId="6CC4677C"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5. Обязать заместителя народного комиссара обороны т. Хрулева: </w:t>
      </w:r>
    </w:p>
    <w:p w14:paraId="45C2EBF2"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обеспечить формируемые батальоны, головные склады и вновь формируемую летную школу АДД положенным автотранспортом и спецавтомашинами; </w:t>
      </w:r>
    </w:p>
    <w:p w14:paraId="61E26BF8"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б) доукомплектовать автотранспортом и спецавтотранспортом существующие батальоны аэродромного обслуживания Авиации ДД и вновь передаваемые части в АДД из ВВС КА. </w:t>
      </w:r>
    </w:p>
    <w:p w14:paraId="4654E6C1"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6. Обязать командующего Авиации Дальнего Действия т. Голованова: </w:t>
      </w:r>
    </w:p>
    <w:p w14:paraId="422555E7"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сформировать к 15 мая 1943 года ночную авиационную школу летчиков Авиации ДД с численным составом курсантов 800 человек. </w:t>
      </w:r>
    </w:p>
    <w:p w14:paraId="2D5D45F4"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Командующему ВВС Красной Армии – т. Новикову выделить для формирования этой школы постоянный состав и учебные самолеты. </w:t>
      </w:r>
    </w:p>
    <w:p w14:paraId="6E515C9B"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Место формирования и базирования школы т. Новикову и т. Голованову определить в 5-дневный срок; </w:t>
      </w:r>
    </w:p>
    <w:p w14:paraId="425AA4A3"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б) перевести до 1 июня 1943 года 1 Высшую школу летчиков и штурманов Авиации ДД из Карш на Челябинский и Троицкий аэродромные узлы. </w:t>
      </w:r>
    </w:p>
    <w:p w14:paraId="2A6AE4A5"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7. Обязать НКПС (т. Кагановича) предоставить в течение апреля – мая 1943 года по заявкам АДД 10 железнодорожных эшелонов для переброски 1 Высшей школы штурманов из Карш в Челябинск. </w:t>
      </w:r>
    </w:p>
    <w:p w14:paraId="61D26934"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8. Обязать начальника УСГ КА – т. Кормилицина создать к 1 мая 1943 года для АДД маневренный запас авиагорючего Б-78 – 2000 тонн, Б-64 – 7000 тонн, масел – 834 тонны и продукта Р-9 – 56 тонн. </w:t>
      </w:r>
    </w:p>
    <w:p w14:paraId="601AD2DF"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Маневренные запасы горючего и масел сосредоточить на складах Северо-Кавказского, Южного, Воронежского, Центрального, Калининского, Северо-Западного и Западного фронтов. </w:t>
      </w:r>
    </w:p>
    <w:p w14:paraId="00188CD5"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Хранение авиагорючего и масел возложить на начальников тыла соответствующих фронтов. </w:t>
      </w:r>
    </w:p>
    <w:p w14:paraId="48DF765C"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Завозимый запас авиагорючего и масел зачислить в мобрезерв НКО и расходовать только по решению Правительства. </w:t>
      </w:r>
    </w:p>
    <w:p w14:paraId="3FCC7CFE"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Обязать начальника УСГ Красной Армии т. Кормилицина систематически пополнять и не допускать снижения маневренных запасов авиагорючего и масел. </w:t>
      </w:r>
    </w:p>
    <w:p w14:paraId="22E3EE06"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9. Обязать народного комиссара авиационной промышленности – т. Шахурина продукцию заводов №№ 23, 29, 39, 84 и 126 передавать в распоряжение командующего Авиацией ДД. </w:t>
      </w:r>
    </w:p>
    <w:p w14:paraId="1D2F162D"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10. Предоставить командующему Авиацией Дальнего Действия права командующего фронтом, а также право утверждения штатов частей Авиации Дальнего Действия, формируемых по указанию Ставки Верховного Главнокомандования. </w:t>
      </w:r>
    </w:p>
    <w:p w14:paraId="32728674"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11. Обязать Центральные довольствующие управления НКО обеспечивать формируемые части всеми видами довольствия по штатам, утвержденным командующим АДД. </w:t>
      </w:r>
    </w:p>
    <w:p w14:paraId="6E9CDC44" w14:textId="77777777" w:rsidR="000048F9" w:rsidRPr="00D03F3E" w:rsidRDefault="000048F9"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12. Назначить Членом Военного Совета Авиации Дальнего Действия заместителя народного комиссара авиационной промышленности т. Дементьева П.В. </w:t>
      </w:r>
    </w:p>
    <w:p w14:paraId="12BB0B86" w14:textId="77777777" w:rsidR="000048F9" w:rsidRPr="00D03F3E" w:rsidRDefault="000048F9"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ГОСУДАРСТВЕННОГО КОМИТЕТА ОБОРОНЫ И. СТАЛИН</w:t>
      </w:r>
    </w:p>
    <w:p w14:paraId="2CB5E008"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Послано </w:t>
      </w:r>
    </w:p>
    <w:p w14:paraId="58607044"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т.т. Молотову, Маленкову, Новикову, Голованову, Шиманову, Жукову – все; </w:t>
      </w:r>
    </w:p>
    <w:p w14:paraId="06BFC6FC"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Шахурину – 2, 3б, 9, 12; Вознесенскому, Берия, Чадаеву – 2; </w:t>
      </w:r>
    </w:p>
    <w:p w14:paraId="064162B4"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Астахову – 3в; Шевелеву – 3г; Хрулеву – 3ж, 4, 5, 8, 10, 11; </w:t>
      </w:r>
    </w:p>
    <w:p w14:paraId="15744CDD"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Артемьеву – 4, 5а; Военсовету ПриВО – 4, 5а; </w:t>
      </w:r>
    </w:p>
    <w:p w14:paraId="29B579FA"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Кагановичу, Измайлову, Голубеву – 7; Кормилицину, Соколову – 8; </w:t>
      </w:r>
    </w:p>
    <w:p w14:paraId="32152E6F" w14:textId="77777777" w:rsidR="000048F9" w:rsidRPr="00D03F3E" w:rsidRDefault="000048F9"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Дементьеву, Щербакову, Шаталину – 12.</w:t>
      </w:r>
    </w:p>
    <w:p w14:paraId="71A31E28"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Сов. секретно </w:t>
      </w:r>
    </w:p>
    <w:p w14:paraId="19C8C976"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к постановлению ГОКО № 3190сс от 15.IV-1943 г.</w:t>
      </w:r>
    </w:p>
    <w:p w14:paraId="46E5811E"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xml:space="preserve">ЗАПАСЫ </w:t>
      </w:r>
    </w:p>
    <w:p w14:paraId="6D974026"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авиабомб, выделяемые для Авиации Дальнего Действия (в штуках)</w:t>
      </w:r>
    </w:p>
    <w:tbl>
      <w:tblPr>
        <w:tblW w:w="1010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6"/>
        <w:gridCol w:w="2000"/>
        <w:gridCol w:w="2128"/>
        <w:gridCol w:w="1337"/>
        <w:gridCol w:w="3197"/>
      </w:tblGrid>
      <w:tr w:rsidR="00860B4B" w:rsidRPr="00D03F3E" w14:paraId="4521932E" w14:textId="77777777" w:rsidTr="00420B57">
        <w:tc>
          <w:tcPr>
            <w:tcW w:w="1446" w:type="dxa"/>
            <w:vMerge w:val="restart"/>
            <w:shd w:val="clear" w:color="auto" w:fill="auto"/>
            <w:hideMark/>
          </w:tcPr>
          <w:p w14:paraId="5E84F35B"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Наименование бомб</w:t>
            </w:r>
          </w:p>
        </w:tc>
        <w:tc>
          <w:tcPr>
            <w:tcW w:w="0" w:type="auto"/>
            <w:vMerge w:val="restart"/>
            <w:shd w:val="clear" w:color="auto" w:fill="auto"/>
            <w:hideMark/>
          </w:tcPr>
          <w:p w14:paraId="2D78C626"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Всего подлежит выделению</w:t>
            </w:r>
          </w:p>
        </w:tc>
        <w:tc>
          <w:tcPr>
            <w:tcW w:w="0" w:type="auto"/>
            <w:gridSpan w:val="3"/>
            <w:shd w:val="clear" w:color="auto" w:fill="auto"/>
            <w:hideMark/>
          </w:tcPr>
          <w:p w14:paraId="0D565C5A"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том числе:</w:t>
            </w:r>
          </w:p>
        </w:tc>
      </w:tr>
      <w:tr w:rsidR="00860B4B" w:rsidRPr="00D03F3E" w14:paraId="3C20F602" w14:textId="77777777" w:rsidTr="00420B57">
        <w:tc>
          <w:tcPr>
            <w:tcW w:w="1446" w:type="dxa"/>
            <w:vMerge/>
            <w:shd w:val="clear" w:color="auto" w:fill="auto"/>
            <w:hideMark/>
          </w:tcPr>
          <w:p w14:paraId="3418252D"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p>
        </w:tc>
        <w:tc>
          <w:tcPr>
            <w:tcW w:w="0" w:type="auto"/>
            <w:vMerge/>
            <w:shd w:val="clear" w:color="auto" w:fill="auto"/>
            <w:hideMark/>
          </w:tcPr>
          <w:p w14:paraId="1D57048B"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hideMark/>
          </w:tcPr>
          <w:p w14:paraId="2E561021"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Из наличия воздушных армий</w:t>
            </w:r>
          </w:p>
        </w:tc>
        <w:tc>
          <w:tcPr>
            <w:tcW w:w="0" w:type="auto"/>
            <w:shd w:val="clear" w:color="auto" w:fill="auto"/>
            <w:hideMark/>
          </w:tcPr>
          <w:p w14:paraId="36B58E57"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Из резерва ГОКО</w:t>
            </w:r>
          </w:p>
        </w:tc>
        <w:tc>
          <w:tcPr>
            <w:tcW w:w="0" w:type="auto"/>
            <w:shd w:val="clear" w:color="auto" w:fill="auto"/>
            <w:hideMark/>
          </w:tcPr>
          <w:p w14:paraId="6E227CF7"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За счет поставок НКБ во 2-м квартале 1943 года</w:t>
            </w:r>
          </w:p>
        </w:tc>
      </w:tr>
      <w:tr w:rsidR="00860B4B" w:rsidRPr="00D03F3E" w14:paraId="7FCBBE16" w14:textId="77777777" w:rsidTr="00420B57">
        <w:tc>
          <w:tcPr>
            <w:tcW w:w="1446" w:type="dxa"/>
            <w:shd w:val="clear" w:color="auto" w:fill="auto"/>
            <w:hideMark/>
          </w:tcPr>
          <w:p w14:paraId="578A8251"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ФАБ-500</w:t>
            </w:r>
          </w:p>
        </w:tc>
        <w:tc>
          <w:tcPr>
            <w:tcW w:w="0" w:type="auto"/>
            <w:shd w:val="clear" w:color="auto" w:fill="auto"/>
            <w:hideMark/>
          </w:tcPr>
          <w:p w14:paraId="77B64439"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2.400</w:t>
            </w:r>
          </w:p>
        </w:tc>
        <w:tc>
          <w:tcPr>
            <w:tcW w:w="0" w:type="auto"/>
            <w:shd w:val="clear" w:color="auto" w:fill="auto"/>
            <w:hideMark/>
          </w:tcPr>
          <w:p w14:paraId="26644701"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1.450</w:t>
            </w:r>
          </w:p>
        </w:tc>
        <w:tc>
          <w:tcPr>
            <w:tcW w:w="0" w:type="auto"/>
            <w:shd w:val="clear" w:color="auto" w:fill="auto"/>
            <w:hideMark/>
          </w:tcPr>
          <w:p w14:paraId="7004B46C"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950</w:t>
            </w:r>
          </w:p>
        </w:tc>
        <w:tc>
          <w:tcPr>
            <w:tcW w:w="0" w:type="auto"/>
            <w:shd w:val="clear" w:color="auto" w:fill="auto"/>
            <w:hideMark/>
          </w:tcPr>
          <w:p w14:paraId="7F8A82E0"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w:t>
            </w:r>
          </w:p>
        </w:tc>
      </w:tr>
      <w:tr w:rsidR="00860B4B" w:rsidRPr="00D03F3E" w14:paraId="3476282C" w14:textId="77777777" w:rsidTr="00420B57">
        <w:tc>
          <w:tcPr>
            <w:tcW w:w="1446" w:type="dxa"/>
            <w:shd w:val="clear" w:color="auto" w:fill="auto"/>
            <w:hideMark/>
          </w:tcPr>
          <w:p w14:paraId="464855CA"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-"- 250</w:t>
            </w:r>
          </w:p>
        </w:tc>
        <w:tc>
          <w:tcPr>
            <w:tcW w:w="0" w:type="auto"/>
            <w:shd w:val="clear" w:color="auto" w:fill="auto"/>
            <w:hideMark/>
          </w:tcPr>
          <w:p w14:paraId="601013B4"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6.720</w:t>
            </w:r>
          </w:p>
        </w:tc>
        <w:tc>
          <w:tcPr>
            <w:tcW w:w="0" w:type="auto"/>
            <w:shd w:val="clear" w:color="auto" w:fill="auto"/>
            <w:hideMark/>
          </w:tcPr>
          <w:p w14:paraId="63D0BAC1"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840</w:t>
            </w:r>
          </w:p>
        </w:tc>
        <w:tc>
          <w:tcPr>
            <w:tcW w:w="0" w:type="auto"/>
            <w:shd w:val="clear" w:color="auto" w:fill="auto"/>
            <w:hideMark/>
          </w:tcPr>
          <w:p w14:paraId="59995A33"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5.880</w:t>
            </w:r>
          </w:p>
        </w:tc>
        <w:tc>
          <w:tcPr>
            <w:tcW w:w="0" w:type="auto"/>
            <w:shd w:val="clear" w:color="auto" w:fill="auto"/>
            <w:hideMark/>
          </w:tcPr>
          <w:p w14:paraId="6B26396E"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w:t>
            </w:r>
          </w:p>
        </w:tc>
      </w:tr>
      <w:tr w:rsidR="00860B4B" w:rsidRPr="00D03F3E" w14:paraId="6CCE25B7" w14:textId="77777777" w:rsidTr="00420B57">
        <w:tc>
          <w:tcPr>
            <w:tcW w:w="1446" w:type="dxa"/>
            <w:shd w:val="clear" w:color="auto" w:fill="auto"/>
            <w:hideMark/>
          </w:tcPr>
          <w:p w14:paraId="33EFF986"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-"- 100</w:t>
            </w:r>
          </w:p>
        </w:tc>
        <w:tc>
          <w:tcPr>
            <w:tcW w:w="0" w:type="auto"/>
            <w:shd w:val="clear" w:color="auto" w:fill="auto"/>
            <w:hideMark/>
          </w:tcPr>
          <w:p w14:paraId="184465D8"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33.600</w:t>
            </w:r>
          </w:p>
        </w:tc>
        <w:tc>
          <w:tcPr>
            <w:tcW w:w="0" w:type="auto"/>
            <w:shd w:val="clear" w:color="auto" w:fill="auto"/>
            <w:hideMark/>
          </w:tcPr>
          <w:p w14:paraId="1303D2FB"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12.600</w:t>
            </w:r>
          </w:p>
        </w:tc>
        <w:tc>
          <w:tcPr>
            <w:tcW w:w="0" w:type="auto"/>
            <w:shd w:val="clear" w:color="auto" w:fill="auto"/>
            <w:hideMark/>
          </w:tcPr>
          <w:p w14:paraId="14C1B3EA"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21.000</w:t>
            </w:r>
          </w:p>
        </w:tc>
        <w:tc>
          <w:tcPr>
            <w:tcW w:w="0" w:type="auto"/>
            <w:shd w:val="clear" w:color="auto" w:fill="auto"/>
            <w:hideMark/>
          </w:tcPr>
          <w:p w14:paraId="661FCB7B"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w:t>
            </w:r>
          </w:p>
        </w:tc>
      </w:tr>
      <w:tr w:rsidR="00860B4B" w:rsidRPr="00D03F3E" w14:paraId="2AF7FA19" w14:textId="77777777" w:rsidTr="00420B57">
        <w:tc>
          <w:tcPr>
            <w:tcW w:w="1446" w:type="dxa"/>
            <w:shd w:val="clear" w:color="auto" w:fill="auto"/>
            <w:hideMark/>
          </w:tcPr>
          <w:p w14:paraId="3B89DD3C"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-"- 100 тга</w:t>
            </w:r>
          </w:p>
        </w:tc>
        <w:tc>
          <w:tcPr>
            <w:tcW w:w="0" w:type="auto"/>
            <w:shd w:val="clear" w:color="auto" w:fill="auto"/>
            <w:hideMark/>
          </w:tcPr>
          <w:p w14:paraId="32F91519"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2.880</w:t>
            </w:r>
          </w:p>
        </w:tc>
        <w:tc>
          <w:tcPr>
            <w:tcW w:w="0" w:type="auto"/>
            <w:shd w:val="clear" w:color="auto" w:fill="auto"/>
            <w:hideMark/>
          </w:tcPr>
          <w:p w14:paraId="18AB32CE"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0</w:t>
            </w:r>
          </w:p>
        </w:tc>
        <w:tc>
          <w:tcPr>
            <w:tcW w:w="0" w:type="auto"/>
            <w:shd w:val="clear" w:color="auto" w:fill="auto"/>
            <w:hideMark/>
          </w:tcPr>
          <w:p w14:paraId="7AC8D0B0"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0</w:t>
            </w:r>
          </w:p>
        </w:tc>
        <w:tc>
          <w:tcPr>
            <w:tcW w:w="0" w:type="auto"/>
            <w:shd w:val="clear" w:color="auto" w:fill="auto"/>
            <w:hideMark/>
          </w:tcPr>
          <w:p w14:paraId="04FAF790"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2.880</w:t>
            </w:r>
          </w:p>
        </w:tc>
      </w:tr>
      <w:tr w:rsidR="00860B4B" w:rsidRPr="00D03F3E" w14:paraId="05DA5C0F" w14:textId="77777777" w:rsidTr="00420B57">
        <w:tc>
          <w:tcPr>
            <w:tcW w:w="1446" w:type="dxa"/>
            <w:shd w:val="clear" w:color="auto" w:fill="auto"/>
            <w:hideMark/>
          </w:tcPr>
          <w:p w14:paraId="0642600F"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ЗАБ 100 цк</w:t>
            </w:r>
          </w:p>
        </w:tc>
        <w:tc>
          <w:tcPr>
            <w:tcW w:w="0" w:type="auto"/>
            <w:shd w:val="clear" w:color="auto" w:fill="auto"/>
            <w:hideMark/>
          </w:tcPr>
          <w:p w14:paraId="3B6BE429"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1.440</w:t>
            </w:r>
          </w:p>
        </w:tc>
        <w:tc>
          <w:tcPr>
            <w:tcW w:w="0" w:type="auto"/>
            <w:shd w:val="clear" w:color="auto" w:fill="auto"/>
            <w:hideMark/>
          </w:tcPr>
          <w:p w14:paraId="351CC207"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810</w:t>
            </w:r>
          </w:p>
        </w:tc>
        <w:tc>
          <w:tcPr>
            <w:tcW w:w="0" w:type="auto"/>
            <w:shd w:val="clear" w:color="auto" w:fill="auto"/>
            <w:hideMark/>
          </w:tcPr>
          <w:p w14:paraId="2B4C44CF"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630</w:t>
            </w:r>
          </w:p>
        </w:tc>
        <w:tc>
          <w:tcPr>
            <w:tcW w:w="0" w:type="auto"/>
            <w:shd w:val="clear" w:color="auto" w:fill="auto"/>
            <w:hideMark/>
          </w:tcPr>
          <w:p w14:paraId="27F890DE"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w:t>
            </w:r>
          </w:p>
        </w:tc>
      </w:tr>
      <w:tr w:rsidR="00860B4B" w:rsidRPr="00D03F3E" w14:paraId="74EDBC74" w14:textId="77777777" w:rsidTr="00420B57">
        <w:tc>
          <w:tcPr>
            <w:tcW w:w="1446" w:type="dxa"/>
            <w:shd w:val="clear" w:color="auto" w:fill="auto"/>
            <w:hideMark/>
          </w:tcPr>
          <w:p w14:paraId="250A62E6"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-"- 2.5</w:t>
            </w:r>
          </w:p>
        </w:tc>
        <w:tc>
          <w:tcPr>
            <w:tcW w:w="0" w:type="auto"/>
            <w:shd w:val="clear" w:color="auto" w:fill="auto"/>
            <w:hideMark/>
          </w:tcPr>
          <w:p w14:paraId="1A80D4EB"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64.000</w:t>
            </w:r>
          </w:p>
        </w:tc>
        <w:tc>
          <w:tcPr>
            <w:tcW w:w="0" w:type="auto"/>
            <w:shd w:val="clear" w:color="auto" w:fill="auto"/>
            <w:hideMark/>
          </w:tcPr>
          <w:p w14:paraId="5B74FA29"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64.000</w:t>
            </w:r>
          </w:p>
        </w:tc>
        <w:tc>
          <w:tcPr>
            <w:tcW w:w="0" w:type="auto"/>
            <w:shd w:val="clear" w:color="auto" w:fill="auto"/>
            <w:hideMark/>
          </w:tcPr>
          <w:p w14:paraId="31ADD8FA"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0</w:t>
            </w:r>
          </w:p>
        </w:tc>
        <w:tc>
          <w:tcPr>
            <w:tcW w:w="0" w:type="auto"/>
            <w:shd w:val="clear" w:color="auto" w:fill="auto"/>
            <w:hideMark/>
          </w:tcPr>
          <w:p w14:paraId="7569BFBD"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w:t>
            </w:r>
          </w:p>
        </w:tc>
      </w:tr>
      <w:tr w:rsidR="00860B4B" w:rsidRPr="00D03F3E" w14:paraId="70C782B1" w14:textId="77777777" w:rsidTr="00420B57">
        <w:tc>
          <w:tcPr>
            <w:tcW w:w="1446" w:type="dxa"/>
            <w:shd w:val="clear" w:color="auto" w:fill="auto"/>
            <w:hideMark/>
          </w:tcPr>
          <w:p w14:paraId="5F63A5A6"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САБ-100</w:t>
            </w:r>
          </w:p>
        </w:tc>
        <w:tc>
          <w:tcPr>
            <w:tcW w:w="0" w:type="auto"/>
            <w:shd w:val="clear" w:color="auto" w:fill="auto"/>
            <w:hideMark/>
          </w:tcPr>
          <w:p w14:paraId="0CD6C6B9"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1.280</w:t>
            </w:r>
          </w:p>
        </w:tc>
        <w:tc>
          <w:tcPr>
            <w:tcW w:w="0" w:type="auto"/>
            <w:shd w:val="clear" w:color="auto" w:fill="auto"/>
            <w:hideMark/>
          </w:tcPr>
          <w:p w14:paraId="26924C86"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1.280</w:t>
            </w:r>
          </w:p>
        </w:tc>
        <w:tc>
          <w:tcPr>
            <w:tcW w:w="0" w:type="auto"/>
            <w:shd w:val="clear" w:color="auto" w:fill="auto"/>
            <w:hideMark/>
          </w:tcPr>
          <w:p w14:paraId="558E75B0"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0</w:t>
            </w:r>
          </w:p>
        </w:tc>
        <w:tc>
          <w:tcPr>
            <w:tcW w:w="0" w:type="auto"/>
            <w:shd w:val="clear" w:color="auto" w:fill="auto"/>
            <w:hideMark/>
          </w:tcPr>
          <w:p w14:paraId="5545C5F1"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w:t>
            </w:r>
          </w:p>
        </w:tc>
      </w:tr>
      <w:tr w:rsidR="00860B4B" w:rsidRPr="00D03F3E" w14:paraId="5D2D3D02" w14:textId="77777777" w:rsidTr="00420B57">
        <w:tc>
          <w:tcPr>
            <w:tcW w:w="1446" w:type="dxa"/>
            <w:shd w:val="clear" w:color="auto" w:fill="auto"/>
            <w:hideMark/>
          </w:tcPr>
          <w:p w14:paraId="30EDBFD4"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-"- 50</w:t>
            </w:r>
          </w:p>
        </w:tc>
        <w:tc>
          <w:tcPr>
            <w:tcW w:w="0" w:type="auto"/>
            <w:shd w:val="clear" w:color="auto" w:fill="auto"/>
            <w:hideMark/>
          </w:tcPr>
          <w:p w14:paraId="2BE507DA"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4.720</w:t>
            </w:r>
          </w:p>
        </w:tc>
        <w:tc>
          <w:tcPr>
            <w:tcW w:w="0" w:type="auto"/>
            <w:shd w:val="clear" w:color="auto" w:fill="auto"/>
            <w:hideMark/>
          </w:tcPr>
          <w:p w14:paraId="0C6AF5E3"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0</w:t>
            </w:r>
          </w:p>
        </w:tc>
        <w:tc>
          <w:tcPr>
            <w:tcW w:w="0" w:type="auto"/>
            <w:shd w:val="clear" w:color="auto" w:fill="auto"/>
            <w:hideMark/>
          </w:tcPr>
          <w:p w14:paraId="7E67C813"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0</w:t>
            </w:r>
          </w:p>
        </w:tc>
        <w:tc>
          <w:tcPr>
            <w:tcW w:w="0" w:type="auto"/>
            <w:shd w:val="clear" w:color="auto" w:fill="auto"/>
            <w:hideMark/>
          </w:tcPr>
          <w:p w14:paraId="6E736D19"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4.720</w:t>
            </w:r>
          </w:p>
        </w:tc>
      </w:tr>
      <w:tr w:rsidR="00860B4B" w:rsidRPr="00D03F3E" w14:paraId="5C1482F1" w14:textId="77777777" w:rsidTr="00420B57">
        <w:tc>
          <w:tcPr>
            <w:tcW w:w="1446" w:type="dxa"/>
            <w:shd w:val="clear" w:color="auto" w:fill="auto"/>
            <w:hideMark/>
          </w:tcPr>
          <w:p w14:paraId="2B8A6958"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РАББ-3</w:t>
            </w:r>
          </w:p>
        </w:tc>
        <w:tc>
          <w:tcPr>
            <w:tcW w:w="0" w:type="auto"/>
            <w:shd w:val="clear" w:color="auto" w:fill="auto"/>
            <w:hideMark/>
          </w:tcPr>
          <w:p w14:paraId="77F812DB"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3.760</w:t>
            </w:r>
          </w:p>
        </w:tc>
        <w:tc>
          <w:tcPr>
            <w:tcW w:w="0" w:type="auto"/>
            <w:shd w:val="clear" w:color="auto" w:fill="auto"/>
            <w:hideMark/>
          </w:tcPr>
          <w:p w14:paraId="02F85D1D"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3.760</w:t>
            </w:r>
          </w:p>
        </w:tc>
        <w:tc>
          <w:tcPr>
            <w:tcW w:w="0" w:type="auto"/>
            <w:shd w:val="clear" w:color="auto" w:fill="auto"/>
            <w:hideMark/>
          </w:tcPr>
          <w:p w14:paraId="0D18D743"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0</w:t>
            </w:r>
          </w:p>
        </w:tc>
        <w:tc>
          <w:tcPr>
            <w:tcW w:w="0" w:type="auto"/>
            <w:shd w:val="clear" w:color="auto" w:fill="auto"/>
            <w:hideMark/>
          </w:tcPr>
          <w:p w14:paraId="0D06E1E3"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w:t>
            </w:r>
          </w:p>
        </w:tc>
      </w:tr>
      <w:tr w:rsidR="00860B4B" w:rsidRPr="00D03F3E" w14:paraId="0FA52392" w14:textId="77777777" w:rsidTr="00420B57">
        <w:tc>
          <w:tcPr>
            <w:tcW w:w="1446" w:type="dxa"/>
            <w:shd w:val="clear" w:color="auto" w:fill="auto"/>
            <w:hideMark/>
          </w:tcPr>
          <w:p w14:paraId="19F03F0F"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АО-25</w:t>
            </w:r>
          </w:p>
        </w:tc>
        <w:tc>
          <w:tcPr>
            <w:tcW w:w="0" w:type="auto"/>
            <w:shd w:val="clear" w:color="auto" w:fill="auto"/>
            <w:hideMark/>
          </w:tcPr>
          <w:p w14:paraId="30AFD76D"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19.200</w:t>
            </w:r>
          </w:p>
        </w:tc>
        <w:tc>
          <w:tcPr>
            <w:tcW w:w="0" w:type="auto"/>
            <w:shd w:val="clear" w:color="auto" w:fill="auto"/>
            <w:hideMark/>
          </w:tcPr>
          <w:p w14:paraId="64E8342E"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16.800</w:t>
            </w:r>
          </w:p>
        </w:tc>
        <w:tc>
          <w:tcPr>
            <w:tcW w:w="0" w:type="auto"/>
            <w:shd w:val="clear" w:color="auto" w:fill="auto"/>
            <w:hideMark/>
          </w:tcPr>
          <w:p w14:paraId="3B26C2C5"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2.400</w:t>
            </w:r>
          </w:p>
        </w:tc>
        <w:tc>
          <w:tcPr>
            <w:tcW w:w="0" w:type="auto"/>
            <w:shd w:val="clear" w:color="auto" w:fill="auto"/>
            <w:hideMark/>
          </w:tcPr>
          <w:p w14:paraId="590AD548"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w:t>
            </w:r>
          </w:p>
        </w:tc>
      </w:tr>
      <w:tr w:rsidR="00860B4B" w:rsidRPr="00D03F3E" w14:paraId="3C8CF42B" w14:textId="77777777" w:rsidTr="00420B57">
        <w:tc>
          <w:tcPr>
            <w:tcW w:w="1446" w:type="dxa"/>
            <w:shd w:val="clear" w:color="auto" w:fill="auto"/>
            <w:hideMark/>
          </w:tcPr>
          <w:p w14:paraId="4D52478B"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АО-10-8</w:t>
            </w:r>
          </w:p>
        </w:tc>
        <w:tc>
          <w:tcPr>
            <w:tcW w:w="0" w:type="auto"/>
            <w:shd w:val="clear" w:color="auto" w:fill="auto"/>
            <w:hideMark/>
          </w:tcPr>
          <w:p w14:paraId="688F7F7A"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34.000</w:t>
            </w:r>
          </w:p>
        </w:tc>
        <w:tc>
          <w:tcPr>
            <w:tcW w:w="0" w:type="auto"/>
            <w:shd w:val="clear" w:color="auto" w:fill="auto"/>
            <w:hideMark/>
          </w:tcPr>
          <w:p w14:paraId="641A5F4F"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34.000</w:t>
            </w:r>
          </w:p>
        </w:tc>
        <w:tc>
          <w:tcPr>
            <w:tcW w:w="0" w:type="auto"/>
            <w:shd w:val="clear" w:color="auto" w:fill="auto"/>
            <w:hideMark/>
          </w:tcPr>
          <w:p w14:paraId="62C73A6E"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0</w:t>
            </w:r>
          </w:p>
        </w:tc>
        <w:tc>
          <w:tcPr>
            <w:tcW w:w="0" w:type="auto"/>
            <w:shd w:val="clear" w:color="auto" w:fill="auto"/>
            <w:hideMark/>
          </w:tcPr>
          <w:p w14:paraId="10197AE9" w14:textId="77777777" w:rsidR="000048F9" w:rsidRPr="00D03F3E"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w:t>
            </w:r>
          </w:p>
        </w:tc>
      </w:tr>
    </w:tbl>
    <w:p w14:paraId="067FDFF4" w14:textId="77777777" w:rsidR="000048F9" w:rsidRPr="00D03F3E" w:rsidRDefault="000048F9"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Верно: Феоктистова (13654)</w:t>
      </w:r>
    </w:p>
    <w:p w14:paraId="72BF4E4F" w14:textId="77777777" w:rsidR="000048F9" w:rsidRPr="00D03F3E" w:rsidRDefault="000048F9"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2C0F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вышло постановление ГКО, которое потребовало довести ДА до 1200 ночных экипажей, перевода его на аиакорпуса и самостоятельное снабжение самолетами, двигателями, запчастями (556,152).</w:t>
      </w:r>
    </w:p>
    <w:p w14:paraId="254E3F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D6E2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(впервые с декабря 1942 г.) два торпедоносца вылетели на «свободную охоту», но, ничего не обнаружив, вернулись в базу. С таким же результатом закончилось и подавляющее большинство других вылетов в тот месяц. Единственная атака состоялась 16-го, когда один из «Илов» безуспешно сбросил торпеду по небольшому транспорту (а скорее всего сторожевому кораблю) у острова Прангли. Подобный результат не удивляет - помимо того, что в части отсутствовали наиболее опытные летчики, сама отправка торпедоносцев в Финский залив была обречена на неудачу. Дело в том, что вопреки сведениям, получаемым нашей разведкой и снабжавшей ими командование ВВС КБФ, противник не осуществлял перевозок по заливу за исключением финских шхер, куда наши самолеты не посылались. Что же касается борьбы с минными и сетевыми заградителями, то они выходили на свои постановки по ночам или в условиях плохой видимости, и нам ни разу не удалось застигнуть их в море. К середине месяца немцы и финны завершили создание противолодочного рубежа в западной части залива и с 14 апреля приступили к подновлению минных полей в районе острова Гогланд. Помешать им наличными силами мы не могли (9965).</w:t>
      </w:r>
    </w:p>
    <w:p w14:paraId="5FB807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008B34"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59E917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40A34C" w14:textId="77777777" w:rsidR="00F14A5F" w:rsidRPr="00D03F3E" w:rsidRDefault="00F14A5F"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в Уичито был готов первый предсерийный YB-29 (1051,18).</w:t>
      </w:r>
    </w:p>
    <w:p w14:paraId="70C57B30" w14:textId="77777777" w:rsidR="00F14A5F" w:rsidRPr="00D03F3E" w:rsidRDefault="00F14A5F"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13E5CF" w14:textId="77777777" w:rsidR="00F14A5F" w:rsidRPr="00D03F3E" w:rsidRDefault="00F14A5F" w:rsidP="00D03F3E">
      <w:pPr>
        <w:pStyle w:val="95"/>
        <w:shd w:val="clear" w:color="auto" w:fill="auto"/>
        <w:spacing w:after="0" w:line="240" w:lineRule="auto"/>
        <w:ind w:firstLine="0"/>
        <w:jc w:val="both"/>
        <w:rPr>
          <w:color w:val="000000" w:themeColor="text1"/>
          <w:sz w:val="16"/>
          <w:szCs w:val="16"/>
        </w:rPr>
      </w:pPr>
      <w:r w:rsidRPr="00D03F3E">
        <w:rPr>
          <w:color w:val="000000" w:themeColor="text1"/>
          <w:sz w:val="16"/>
          <w:szCs w:val="16"/>
        </w:rPr>
        <w:t>15 апреля 1943 года первый из четырнадцати предсерийных УВ-29 (№41-36954 - 41-36967), предназначавших</w:t>
      </w:r>
      <w:r w:rsidRPr="00D03F3E">
        <w:rPr>
          <w:color w:val="000000" w:themeColor="text1"/>
          <w:sz w:val="16"/>
          <w:szCs w:val="16"/>
        </w:rPr>
        <w:softHyphen/>
        <w:t>ся для эксплуатационных испытаний, по</w:t>
      </w:r>
      <w:r w:rsidRPr="00D03F3E">
        <w:rPr>
          <w:color w:val="000000" w:themeColor="text1"/>
          <w:sz w:val="16"/>
          <w:szCs w:val="16"/>
        </w:rPr>
        <w:softHyphen/>
        <w:t>строенных на заводе в Уичите, покинул сборочный цех предприятия и взлетел 26 июня того же года. Как и предшественники, эти самолеты были укомплектованы моторами К-3350, но 21-й серии.</w:t>
      </w:r>
    </w:p>
    <w:p w14:paraId="0D641C54" w14:textId="77777777" w:rsidR="00F14A5F" w:rsidRPr="00D03F3E" w:rsidRDefault="00F14A5F" w:rsidP="00D03F3E">
      <w:pPr>
        <w:pStyle w:val="95"/>
        <w:shd w:val="clear" w:color="auto" w:fill="auto"/>
        <w:spacing w:after="0" w:line="240" w:lineRule="auto"/>
        <w:ind w:firstLine="0"/>
        <w:jc w:val="both"/>
        <w:rPr>
          <w:color w:val="000000" w:themeColor="text1"/>
          <w:sz w:val="16"/>
          <w:szCs w:val="16"/>
        </w:rPr>
      </w:pPr>
      <w:r w:rsidRPr="00D03F3E">
        <w:rPr>
          <w:color w:val="000000" w:themeColor="text1"/>
          <w:sz w:val="16"/>
          <w:szCs w:val="16"/>
        </w:rPr>
        <w:t>По сравнению с опытными машинами на УВ-29 турельные установки компании “Сперри” заменили невыдвижны</w:t>
      </w:r>
      <w:r w:rsidRPr="00D03F3E">
        <w:rPr>
          <w:color w:val="000000" w:themeColor="text1"/>
          <w:sz w:val="16"/>
          <w:szCs w:val="16"/>
        </w:rPr>
        <w:softHyphen/>
        <w:t>ми фирмы «Дженерал Электрик» с механическим вычислителем упреждения цели.</w:t>
      </w:r>
    </w:p>
    <w:p w14:paraId="549F8C18" w14:textId="77777777" w:rsidR="00F14A5F" w:rsidRPr="00D03F3E" w:rsidRDefault="00F14A5F" w:rsidP="00D03F3E">
      <w:pPr>
        <w:pStyle w:val="95"/>
        <w:shd w:val="clear" w:color="auto" w:fill="auto"/>
        <w:spacing w:after="0" w:line="240" w:lineRule="auto"/>
        <w:ind w:firstLine="0"/>
        <w:jc w:val="both"/>
        <w:rPr>
          <w:color w:val="000000" w:themeColor="text1"/>
          <w:sz w:val="16"/>
          <w:szCs w:val="16"/>
        </w:rPr>
      </w:pPr>
      <w:r w:rsidRPr="00D03F3E">
        <w:rPr>
          <w:color w:val="000000" w:themeColor="text1"/>
          <w:sz w:val="16"/>
          <w:szCs w:val="16"/>
        </w:rPr>
        <w:t>Передняя надфюзеляжная турельная уста</w:t>
      </w:r>
      <w:r w:rsidRPr="00D03F3E">
        <w:rPr>
          <w:color w:val="000000" w:themeColor="text1"/>
          <w:sz w:val="16"/>
          <w:szCs w:val="16"/>
        </w:rPr>
        <w:softHyphen/>
        <w:t>новка обслуживалась, как правило, бомбар</w:t>
      </w:r>
      <w:r w:rsidRPr="00D03F3E">
        <w:rPr>
          <w:color w:val="000000" w:themeColor="text1"/>
          <w:sz w:val="16"/>
          <w:szCs w:val="16"/>
        </w:rPr>
        <w:softHyphen/>
        <w:t>диром. Заднюю надфюзеляжную установку и обе подфюзеляжные установки обслужива</w:t>
      </w:r>
      <w:r w:rsidRPr="00D03F3E">
        <w:rPr>
          <w:color w:val="000000" w:themeColor="text1"/>
          <w:sz w:val="16"/>
          <w:szCs w:val="16"/>
        </w:rPr>
        <w:softHyphen/>
        <w:t>ли три стрелка, находившиеся в задней каби</w:t>
      </w:r>
      <w:r w:rsidRPr="00D03F3E">
        <w:rPr>
          <w:color w:val="000000" w:themeColor="text1"/>
          <w:sz w:val="16"/>
          <w:szCs w:val="16"/>
        </w:rPr>
        <w:softHyphen/>
        <w:t>не. При этом любой стрелок (кроме кормою- го) мог вести одновременный огонь из двух установок. Централизованная система позво</w:t>
      </w:r>
      <w:r w:rsidRPr="00D03F3E">
        <w:rPr>
          <w:color w:val="000000" w:themeColor="text1"/>
          <w:sz w:val="16"/>
          <w:szCs w:val="16"/>
        </w:rPr>
        <w:softHyphen/>
        <w:t>ляла среднему стрелку (на Ту-4 он называл</w:t>
      </w:r>
      <w:r w:rsidRPr="00D03F3E">
        <w:rPr>
          <w:color w:val="000000" w:themeColor="text1"/>
          <w:sz w:val="16"/>
          <w:szCs w:val="16"/>
        </w:rPr>
        <w:softHyphen/>
        <w:t>ся старшим стрелком, впоследствии коман</w:t>
      </w:r>
      <w:r w:rsidRPr="00D03F3E">
        <w:rPr>
          <w:color w:val="000000" w:themeColor="text1"/>
          <w:sz w:val="16"/>
          <w:szCs w:val="16"/>
        </w:rPr>
        <w:softHyphen/>
        <w:t>диром огневых установок), находившемуся взадней кабине, распределять с помощью спе</w:t>
      </w:r>
      <w:r w:rsidRPr="00D03F3E">
        <w:rPr>
          <w:color w:val="000000" w:themeColor="text1"/>
          <w:sz w:val="16"/>
          <w:szCs w:val="16"/>
        </w:rPr>
        <w:softHyphen/>
        <w:t>циального пульта цели между стрелками и ог</w:t>
      </w:r>
      <w:r w:rsidRPr="00D03F3E">
        <w:rPr>
          <w:color w:val="000000" w:themeColor="text1"/>
          <w:sz w:val="16"/>
          <w:szCs w:val="16"/>
        </w:rPr>
        <w:softHyphen/>
        <w:t>невыми точками. Для этого его рабочее место располагалось выше соседних кресел других стрелков. Применение системы наведения оружия компании «Дженерал Электрик» по</w:t>
      </w:r>
      <w:r w:rsidRPr="00D03F3E">
        <w:rPr>
          <w:color w:val="000000" w:themeColor="text1"/>
          <w:sz w:val="16"/>
          <w:szCs w:val="16"/>
        </w:rPr>
        <w:softHyphen/>
        <w:t>зволило сократить экипаж до 10 человек: ко</w:t>
      </w:r>
      <w:r w:rsidRPr="00D03F3E">
        <w:rPr>
          <w:color w:val="000000" w:themeColor="text1"/>
          <w:sz w:val="16"/>
          <w:szCs w:val="16"/>
        </w:rPr>
        <w:softHyphen/>
        <w:t>мандира, второго пилота, бомбардира, штур</w:t>
      </w:r>
      <w:r w:rsidRPr="00D03F3E">
        <w:rPr>
          <w:color w:val="000000" w:themeColor="text1"/>
          <w:sz w:val="16"/>
          <w:szCs w:val="16"/>
        </w:rPr>
        <w:softHyphen/>
        <w:t>мана, бортинженера, бортрадиста, стрелка, управлявшего системой централизованного огня, левого стрелка, правого стрелка и хво</w:t>
      </w:r>
      <w:r w:rsidRPr="00D03F3E">
        <w:rPr>
          <w:color w:val="000000" w:themeColor="text1"/>
          <w:sz w:val="16"/>
          <w:szCs w:val="16"/>
        </w:rPr>
        <w:softHyphen/>
        <w:t>стового стрелка. Впоследствии к ним доба</w:t>
      </w:r>
      <w:r w:rsidRPr="00D03F3E">
        <w:rPr>
          <w:color w:val="000000" w:themeColor="text1"/>
          <w:sz w:val="16"/>
          <w:szCs w:val="16"/>
        </w:rPr>
        <w:softHyphen/>
        <w:t>вился оператор РЛС.</w:t>
      </w:r>
    </w:p>
    <w:p w14:paraId="07CE5CCC" w14:textId="77777777" w:rsidR="00F14A5F" w:rsidRPr="00D03F3E" w:rsidRDefault="00F14A5F" w:rsidP="00D03F3E">
      <w:pPr>
        <w:pStyle w:val="95"/>
        <w:shd w:val="clear" w:color="auto" w:fill="auto"/>
        <w:spacing w:after="0" w:line="240" w:lineRule="auto"/>
        <w:ind w:firstLine="0"/>
        <w:jc w:val="both"/>
        <w:rPr>
          <w:color w:val="000000" w:themeColor="text1"/>
          <w:sz w:val="16"/>
          <w:szCs w:val="16"/>
        </w:rPr>
      </w:pPr>
      <w:r w:rsidRPr="00D03F3E">
        <w:rPr>
          <w:color w:val="000000" w:themeColor="text1"/>
          <w:sz w:val="16"/>
          <w:szCs w:val="16"/>
        </w:rPr>
        <w:t>Новая система вооружения, опробован</w:t>
      </w:r>
      <w:r w:rsidRPr="00D03F3E">
        <w:rPr>
          <w:color w:val="000000" w:themeColor="text1"/>
          <w:sz w:val="16"/>
          <w:szCs w:val="16"/>
        </w:rPr>
        <w:softHyphen/>
        <w:t>ная на третьем опытном самолете ХВ-29, в отличие от «Сперри» потребовала намного больше электроэнергии, что привело к уста</w:t>
      </w:r>
      <w:r w:rsidRPr="00D03F3E">
        <w:rPr>
          <w:color w:val="000000" w:themeColor="text1"/>
          <w:sz w:val="16"/>
          <w:szCs w:val="16"/>
        </w:rPr>
        <w:softHyphen/>
        <w:t>новке на двигатели дополнительных генера</w:t>
      </w:r>
      <w:r w:rsidRPr="00D03F3E">
        <w:rPr>
          <w:color w:val="000000" w:themeColor="text1"/>
          <w:sz w:val="16"/>
          <w:szCs w:val="16"/>
        </w:rPr>
        <w:softHyphen/>
        <w:t>торов. Эти и ряд других изменений привели к задержке начала серийного производства.</w:t>
      </w:r>
    </w:p>
    <w:p w14:paraId="12CABD0D" w14:textId="77777777" w:rsidR="00F14A5F" w:rsidRPr="00D03F3E" w:rsidRDefault="00F14A5F" w:rsidP="00D03F3E">
      <w:pPr>
        <w:pStyle w:val="95"/>
        <w:shd w:val="clear" w:color="auto" w:fill="auto"/>
        <w:spacing w:after="0" w:line="240" w:lineRule="auto"/>
        <w:ind w:firstLine="0"/>
        <w:jc w:val="both"/>
        <w:rPr>
          <w:color w:val="000000" w:themeColor="text1"/>
          <w:sz w:val="16"/>
          <w:szCs w:val="16"/>
        </w:rPr>
      </w:pPr>
      <w:r w:rsidRPr="00D03F3E">
        <w:rPr>
          <w:color w:val="000000" w:themeColor="text1"/>
          <w:sz w:val="16"/>
          <w:szCs w:val="16"/>
        </w:rPr>
        <w:t>В ходе испытаний трехлопастные воз</w:t>
      </w:r>
      <w:r w:rsidRPr="00D03F3E">
        <w:rPr>
          <w:color w:val="000000" w:themeColor="text1"/>
          <w:sz w:val="16"/>
          <w:szCs w:val="16"/>
        </w:rPr>
        <w:softHyphen/>
        <w:t>душные винты заменили четырехлопаст- ными компании «Гамильтон-Стандарт» (12292).</w:t>
      </w:r>
    </w:p>
    <w:p w14:paraId="06C36562" w14:textId="77777777" w:rsidR="00F14A5F" w:rsidRPr="00D03F3E" w:rsidRDefault="00F14A5F" w:rsidP="00D03F3E">
      <w:pPr>
        <w:spacing w:after="0" w:line="240" w:lineRule="auto"/>
        <w:jc w:val="both"/>
        <w:rPr>
          <w:rFonts w:ascii="Times New Roman" w:hAnsi="Times New Roman"/>
          <w:color w:val="000000" w:themeColor="text1"/>
          <w:sz w:val="16"/>
          <w:szCs w:val="16"/>
        </w:rPr>
      </w:pPr>
    </w:p>
    <w:p w14:paraId="111502EC" w14:textId="77777777" w:rsidR="00F14A5F" w:rsidRPr="00D03F3E" w:rsidRDefault="00F14A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в 1943 году сошел с конвейера авиазавода в Уичита первый предсерийный «YB-29» (серийный номер 41-36954), он совершил первый полет 26 июня 1943 года. Серия «YB-29» оснащалась улучшенными двигателями «R-3350-21» с трехлопастными пропеллерами и имела полный комплект оборонительного вооружения  (15100).</w:t>
      </w:r>
    </w:p>
    <w:p w14:paraId="6E1DD28D" w14:textId="77777777" w:rsidR="00F14A5F" w:rsidRPr="00D03F3E" w:rsidRDefault="00F14A5F" w:rsidP="00D03F3E">
      <w:pPr>
        <w:spacing w:after="0" w:line="240" w:lineRule="auto"/>
        <w:jc w:val="both"/>
        <w:rPr>
          <w:rFonts w:ascii="Times New Roman" w:hAnsi="Times New Roman"/>
          <w:color w:val="000000" w:themeColor="text1"/>
          <w:sz w:val="16"/>
          <w:szCs w:val="16"/>
        </w:rPr>
      </w:pPr>
    </w:p>
    <w:p w14:paraId="36FE0CEA" w14:textId="77777777" w:rsidR="00F40F75" w:rsidRPr="00D03F3E" w:rsidRDefault="00F40F7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15 апреля 1943 осуществляется операция «Лен» - систематическое наведение летчиков-истребителей союзников на транспортные самолеты Люфтваффе, направляющиеся в Северную Африку. Происходит первое столкновение P-47 Thunderbolt ВВС США с истребителями противника: 335-я истребительная эскадрилья P-47C сбивает три немецких истребителя в обмен на потерю трех P-47C (20376).</w:t>
      </w:r>
    </w:p>
    <w:p w14:paraId="4B424F63" w14:textId="77777777" w:rsidR="00F40F75" w:rsidRPr="00D03F3E" w:rsidRDefault="00F40F75" w:rsidP="00D03F3E">
      <w:pPr>
        <w:spacing w:after="0" w:line="240" w:lineRule="auto"/>
        <w:jc w:val="both"/>
        <w:rPr>
          <w:rFonts w:ascii="Times New Roman" w:hAnsi="Times New Roman"/>
          <w:color w:val="0070C0"/>
          <w:sz w:val="16"/>
          <w:szCs w:val="16"/>
        </w:rPr>
      </w:pPr>
    </w:p>
    <w:p w14:paraId="49EC75C3" w14:textId="77777777" w:rsidR="00F40F75" w:rsidRPr="00D03F3E" w:rsidRDefault="00F40F7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15 апреля 1943 в течение одного 12-часового периода, 11 армия военно - воздушных сил США совершил 112 вылетов против японских баз на Алеутских островах и сбросил 180000 фунтов (82000 кг) бомб на Киска и 4000 фунтов (1800 кг) на Атту (20736). </w:t>
      </w:r>
    </w:p>
    <w:p w14:paraId="0F6E89CB" w14:textId="77777777" w:rsidR="00F40F75" w:rsidRPr="00D03F3E" w:rsidRDefault="00F40F75" w:rsidP="00D03F3E">
      <w:pPr>
        <w:spacing w:after="0" w:line="240" w:lineRule="auto"/>
        <w:jc w:val="both"/>
        <w:rPr>
          <w:rFonts w:ascii="Times New Roman" w:hAnsi="Times New Roman"/>
          <w:color w:val="0070C0"/>
          <w:sz w:val="16"/>
          <w:szCs w:val="16"/>
        </w:rPr>
      </w:pPr>
    </w:p>
    <w:p w14:paraId="09235B9E" w14:textId="77777777" w:rsidR="000D6961" w:rsidRPr="00D03F3E" w:rsidRDefault="000D6961"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April 15 1943 Prime Minister Winston Churchill of England was informed of reports on German experiments with long-range rockets (1038).</w:t>
      </w:r>
    </w:p>
    <w:p w14:paraId="2C7E818F" w14:textId="77777777" w:rsidR="000D6961" w:rsidRPr="00D03F3E" w:rsidRDefault="000D6961"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C3D1788" w14:textId="77777777" w:rsidR="000D6961" w:rsidRPr="00D03F3E" w:rsidRDefault="000D69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У.Черчиля проинформировали о немецких экспериментах с ракетами дальнего действия (1038).</w:t>
      </w:r>
    </w:p>
    <w:p w14:paraId="1EBC61F3" w14:textId="77777777" w:rsidR="000D6961" w:rsidRPr="00D03F3E" w:rsidRDefault="000D69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065AD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союзники создали объединенное командование морскими операциями в Средиземном море (4962).</w:t>
      </w:r>
    </w:p>
    <w:p w14:paraId="5AD74FA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17B54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1943 авиация союзников забросила в Черногорию десант из канадцев югославского происхождения для присоединения к партизанам И. Тито (4962).</w:t>
      </w:r>
    </w:p>
    <w:p w14:paraId="5593199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48E4A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277F8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8875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 середины апреля 1943 г. несмотря на захват Тигра особой активности НКО не проявляло. Только ГАУ оперативно отреагировало, выдав нескольким КБ ТТТ на разработку 85-мм пушки для САУ (6001,21).</w:t>
      </w:r>
    </w:p>
    <w:p w14:paraId="5106DB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B7F572" w14:textId="77777777" w:rsidR="00F40F75" w:rsidRPr="00D03F3E" w:rsidRDefault="00F40F75" w:rsidP="00D03F3E">
      <w:pPr>
        <w:pStyle w:val="1162"/>
        <w:shd w:val="clear" w:color="auto" w:fill="auto"/>
        <w:spacing w:after="0" w:line="240" w:lineRule="auto"/>
        <w:ind w:firstLine="0"/>
        <w:jc w:val="both"/>
        <w:rPr>
          <w:rStyle w:val="930"/>
          <w:rFonts w:ascii="Times New Roman" w:hAnsi="Times New Roman" w:cs="Times New Roman"/>
          <w:color w:val="0070C0"/>
          <w:sz w:val="16"/>
          <w:szCs w:val="16"/>
        </w:rPr>
      </w:pPr>
      <w:r w:rsidRPr="00D03F3E">
        <w:rPr>
          <w:rStyle w:val="930"/>
          <w:rFonts w:ascii="Times New Roman" w:hAnsi="Times New Roman" w:cs="Times New Roman"/>
          <w:color w:val="0070C0"/>
          <w:sz w:val="16"/>
          <w:szCs w:val="16"/>
        </w:rPr>
        <w:t>В середине апреля</w:t>
      </w:r>
      <w:r w:rsidRPr="00D03F3E">
        <w:rPr>
          <w:rStyle w:val="930"/>
          <w:rFonts w:ascii="Times New Roman" w:hAnsi="Times New Roman" w:cs="Times New Roman"/>
          <w:color w:val="0070C0"/>
          <w:sz w:val="16"/>
          <w:szCs w:val="16"/>
          <w:lang w:val="ru-RU"/>
        </w:rPr>
        <w:t xml:space="preserve"> 1943</w:t>
      </w:r>
      <w:r w:rsidRPr="00D03F3E">
        <w:rPr>
          <w:rStyle w:val="930"/>
          <w:rFonts w:ascii="Times New Roman" w:hAnsi="Times New Roman" w:cs="Times New Roman"/>
          <w:color w:val="0070C0"/>
          <w:sz w:val="16"/>
          <w:szCs w:val="16"/>
        </w:rPr>
        <w:t>, то есть еще до испы</w:t>
      </w:r>
      <w:r w:rsidRPr="00D03F3E">
        <w:rPr>
          <w:rStyle w:val="930"/>
          <w:rFonts w:ascii="Times New Roman" w:hAnsi="Times New Roman" w:cs="Times New Roman"/>
          <w:color w:val="0070C0"/>
          <w:sz w:val="16"/>
          <w:szCs w:val="16"/>
        </w:rPr>
        <w:softHyphen/>
        <w:t>таний обстрелом, ГАУ КА инициировало воз</w:t>
      </w:r>
      <w:r w:rsidRPr="00D03F3E">
        <w:rPr>
          <w:rStyle w:val="930"/>
          <w:rFonts w:ascii="Times New Roman" w:hAnsi="Times New Roman" w:cs="Times New Roman"/>
          <w:color w:val="0070C0"/>
          <w:sz w:val="16"/>
          <w:szCs w:val="16"/>
        </w:rPr>
        <w:softHyphen/>
        <w:t>обновление работ по 85-мм танковым пуш</w:t>
      </w:r>
      <w:r w:rsidRPr="00D03F3E">
        <w:rPr>
          <w:rStyle w:val="930"/>
          <w:rFonts w:ascii="Times New Roman" w:hAnsi="Times New Roman" w:cs="Times New Roman"/>
          <w:color w:val="0070C0"/>
          <w:sz w:val="16"/>
          <w:szCs w:val="16"/>
        </w:rPr>
        <w:softHyphen/>
        <w:t>кам</w:t>
      </w:r>
      <w:r w:rsidRPr="00D03F3E">
        <w:rPr>
          <w:rStyle w:val="930"/>
          <w:rFonts w:ascii="Times New Roman" w:hAnsi="Times New Roman" w:cs="Times New Roman"/>
          <w:color w:val="0070C0"/>
          <w:sz w:val="16"/>
          <w:szCs w:val="16"/>
          <w:lang w:val="ru-RU"/>
        </w:rPr>
        <w:t xml:space="preserve"> (19872)</w:t>
      </w:r>
      <w:r w:rsidRPr="00D03F3E">
        <w:rPr>
          <w:rStyle w:val="930"/>
          <w:rFonts w:ascii="Times New Roman" w:hAnsi="Times New Roman" w:cs="Times New Roman"/>
          <w:color w:val="0070C0"/>
          <w:sz w:val="16"/>
          <w:szCs w:val="16"/>
        </w:rPr>
        <w:t>.</w:t>
      </w:r>
    </w:p>
    <w:p w14:paraId="704FBFD9" w14:textId="77777777" w:rsidR="00F40F75" w:rsidRPr="00D03F3E" w:rsidRDefault="00F40F75" w:rsidP="00D03F3E">
      <w:pPr>
        <w:pStyle w:val="1162"/>
        <w:shd w:val="clear" w:color="auto" w:fill="auto"/>
        <w:spacing w:after="0" w:line="240" w:lineRule="auto"/>
        <w:ind w:firstLine="0"/>
        <w:jc w:val="both"/>
        <w:rPr>
          <w:rStyle w:val="930"/>
          <w:rFonts w:ascii="Times New Roman" w:hAnsi="Times New Roman" w:cs="Times New Roman"/>
          <w:color w:val="0070C0"/>
          <w:sz w:val="16"/>
          <w:szCs w:val="16"/>
        </w:rPr>
      </w:pPr>
    </w:p>
    <w:p w14:paraId="0F12959B"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570209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2F10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середине апреля 1943 1 гмтап на Балтике начал боевые операции, когда в этой части имелось всего четыре "Бостона" - торпедоносца. Полк затем всю войну действовал со смешанным составом из A-20G и Ил-4.</w:t>
      </w:r>
    </w:p>
    <w:p w14:paraId="1C85C5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F8FE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середине апреля 1943 года противник сосредоточил на аэродромах Крыма и Кубани основные силы 4-го воздушного флота, имевшего 820 самолетов. Кроме того, он мог привлекать более 200 бомбардировщиков с аэродромов юга Украины. Сосредоточение с обеих сторон большого количества самолетов для действий в ограниченном районе предопределило упорную и напряженную борьбу в воздухе (3573).</w:t>
      </w:r>
    </w:p>
    <w:p w14:paraId="3558AD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На Тамани оборонялась 17-я немецкая армия и румынские войска. Поддерживала их авиация 4-го воздушного флота под командованием генерала Отто Деслоха, насчитывающая в марте 1943 года свыше 1000 боевых самолетов: 580 бомбардировщиков, 250 истребителей и 220 разведчиков. Штаб 4-го воздушного флота находился в Днепропетровске. Штаб VIII-гo воздушного корпуса - в Полтаве, IV-ro воздушного корпуса - в Донецке, а штаб 1-го воздушного корпуса - в Симферополе. На Кубань и в Крым прибыли лучшие истребительные эскадры Люфтваффе: 3-я "Удет", 51-я "Мельдерс", и 52-я, а также пикирующие бомбардировщики, которыми командовал полковник Эрнст Купфер (3573).</w:t>
      </w:r>
    </w:p>
    <w:p w14:paraId="25FA6F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I-м воздушным корпусом командовал генерал Гюнтер Кортен, который первым делом разместил истребительные эскадры как можно ближе к линии фронта. Там же действовало по одной эскадрилье словаков, хорватов и румын, которые находились в оперативном подчинении у немцев. Летали они на "мессершмиттах". Собрав такой мощный авиационный кулак на относительно узком участке фронта, немцы начали авиационное наступление. Так, 6 апреля 1943 года силы Люфтваффе совершили здесь 750 вылетов, а советские авиачасти - всего 307. 12 апреля - соответственно 862 и 300, 15 апреля - 1560 и 447 (3573).</w:t>
      </w:r>
    </w:p>
    <w:p w14:paraId="13A0BE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над Кубанью произошло три воздушных сражения. По количеству воздушных боев и участвовавших в них самолетов на узком участке фронта они были первыми такими крупными за всю войну (3573).</w:t>
      </w:r>
    </w:p>
    <w:p w14:paraId="18C2C8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900765"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77862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6B1DD5" w14:textId="77777777" w:rsidR="000E2987" w:rsidRPr="00D03F3E" w:rsidRDefault="000E298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апреля 1943 г. закончились государственные испытания самолета Пегас, которые проходили с 28 февраля 1943. Ведущим инженером по испытаниям был П.Т.Аброщенко. Облет самолета осуществляли П.М.Стефановский, Ашитков, А.К.Долгов, М.А.Нюхтиков и еще б летчиков-испытателей.</w:t>
      </w:r>
    </w:p>
    <w:p w14:paraId="5864728F" w14:textId="77777777" w:rsidR="000E2987" w:rsidRPr="00D03F3E" w:rsidRDefault="000E298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“Пегаса” состояло из неподвижного пулемета М.Е.Березина УБК с боекомплектом 140 патронов в носовой части фюзеляжа и двух вариантов легкосъемной подфюзеляж-ной подвески: фюзеляжного бомбового моста, рассчитанного на 500 кг авиабомб (пять ФАБ-50, или пять ФАБ-100, или две ФАБ-250, или одна ФАБ-500), и пушечного лафета с двумя пуш-ками ВЯ-23 с боекомплектом 160 снарядов на обе пушки. Вес пушечной установки с боекомплектом - 366,5 кг.</w:t>
      </w:r>
    </w:p>
    <w:p w14:paraId="208BAD4B" w14:textId="77777777" w:rsidR="000E2987" w:rsidRPr="00D03F3E" w:rsidRDefault="000E298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пустого самолета составил -1450 кг, нормальный взлетный вес (пушечный вариант) - 2150 кг.</w:t>
      </w:r>
    </w:p>
    <w:p w14:paraId="2983EBD1" w14:textId="77777777" w:rsidR="000E2987" w:rsidRPr="00D03F3E" w:rsidRDefault="000E298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полета у земли в варианте с пушками ВЯ-23 не превышала 172 км/ч, с пятью бомбами ФАБ-100 - 167 км/ч. Максимальная скорость полета на высоте 1000 м уменьшалась на 3-5 км/ч. Время набора высоты 1000 м находилось в пределах от 7,7 мин (с пушками ВЯ) до 12,6 мин (с 500 кг бомб).</w:t>
      </w:r>
    </w:p>
    <w:p w14:paraId="44FA7509" w14:textId="77777777" w:rsidR="000E2987" w:rsidRPr="00D03F3E" w:rsidRDefault="000E298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разбега с двумя ФАБ-100 -345 м, пробега - 440 м. Дальность полета - от 285 до 320 км.</w:t>
      </w:r>
    </w:p>
    <w:p w14:paraId="5768B861" w14:textId="77777777" w:rsidR="000E2987" w:rsidRPr="00D03F3E" w:rsidRDefault="000E298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Отмечалось, что самолет строился без ТТТ, без официального предъявления эскизного проекта, без постройки макета, без аэродинамических продувок моделей, без заключения ЦАГИ по прочности.</w:t>
      </w:r>
    </w:p>
    <w:p w14:paraId="67764078" w14:textId="77777777" w:rsidR="000E2987" w:rsidRPr="00D03F3E" w:rsidRDefault="000E298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заключении отчета по испытаниям констатировалось, что самолет требованиям, предъявляемым к штурмовикам и ближним дневным бомбардировщикам не удовлетворяет: “...Живучесть самолета недостаточная....По технике пилотирования самолет не доступен для массовых летчиков.... Прицельная стрельба из пушек калибра 23 мм практически невозможна из-за сильной отдачи. Прицельное бомбометание практически неосуществимо.... Самолет представляет собой хорошую мишень для зенитной артиллерии....Полет на одном моторе самолет совершать не может”.</w:t>
      </w:r>
    </w:p>
    <w:p w14:paraId="3E9436A0" w14:textId="77777777" w:rsidR="000E2987" w:rsidRPr="00D03F3E" w:rsidRDefault="000E298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был сделан вывод о нецелесообразности доводки самолета. Испытанный экземпляр самолета предлагалось использовать в качестве мишени на полигоне, поскольку после заводских и госиспытаний он нуждался в капитальном ремонте, а четвертый экземпляр,заканчиваемый на заводе № 288, - передать в один из запасных авиаполков для тренировки в стельбе из пушки...(9649).</w:t>
      </w:r>
    </w:p>
    <w:p w14:paraId="57007BB4" w14:textId="77777777" w:rsidR="000E2987" w:rsidRPr="00D03F3E" w:rsidRDefault="000E298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9691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апреля 1943 года начальник ПЭО НКАП Голубцов писал письмо N Н37.</w:t>
      </w:r>
    </w:p>
    <w:p w14:paraId="535C28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Справка</w:t>
      </w:r>
    </w:p>
    <w:p w14:paraId="118E27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стоимости заправки самолетов горючим при отправке летом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tblGrid>
      <w:tr w:rsidR="00860B4B" w:rsidRPr="00D03F3E" w14:paraId="1BBAB0F2" w14:textId="77777777">
        <w:tc>
          <w:tcPr>
            <w:tcW w:w="1610" w:type="dxa"/>
          </w:tcPr>
          <w:p w14:paraId="159918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D46D4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ИЛ-2</w:t>
            </w:r>
          </w:p>
        </w:tc>
        <w:tc>
          <w:tcPr>
            <w:tcW w:w="1610" w:type="dxa"/>
          </w:tcPr>
          <w:p w14:paraId="11536D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ИЛ-4</w:t>
            </w:r>
          </w:p>
        </w:tc>
        <w:tc>
          <w:tcPr>
            <w:tcW w:w="1610" w:type="dxa"/>
          </w:tcPr>
          <w:p w14:paraId="489A8F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ПЕ-2</w:t>
            </w:r>
          </w:p>
        </w:tc>
        <w:tc>
          <w:tcPr>
            <w:tcW w:w="1610" w:type="dxa"/>
          </w:tcPr>
          <w:p w14:paraId="6C868A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ЛИ-2</w:t>
            </w:r>
          </w:p>
        </w:tc>
        <w:tc>
          <w:tcPr>
            <w:tcW w:w="1610" w:type="dxa"/>
          </w:tcPr>
          <w:p w14:paraId="007B78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ЯК-1</w:t>
            </w:r>
          </w:p>
        </w:tc>
      </w:tr>
      <w:tr w:rsidR="00860B4B" w:rsidRPr="00D03F3E" w14:paraId="49E24E39" w14:textId="77777777">
        <w:tc>
          <w:tcPr>
            <w:tcW w:w="1610" w:type="dxa"/>
          </w:tcPr>
          <w:p w14:paraId="6422FC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D35C0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223B2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E7337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151C77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01BE9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1A25968" w14:textId="77777777">
        <w:tc>
          <w:tcPr>
            <w:tcW w:w="1610" w:type="dxa"/>
          </w:tcPr>
          <w:p w14:paraId="09DFCF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Бензин</w:t>
            </w:r>
          </w:p>
        </w:tc>
        <w:tc>
          <w:tcPr>
            <w:tcW w:w="1610" w:type="dxa"/>
          </w:tcPr>
          <w:p w14:paraId="6A31E8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17AA57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7CD954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38942B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74FF6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854462B" w14:textId="77777777">
        <w:tc>
          <w:tcPr>
            <w:tcW w:w="1610" w:type="dxa"/>
          </w:tcPr>
          <w:p w14:paraId="0C4CC9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w:t>
            </w:r>
          </w:p>
        </w:tc>
        <w:tc>
          <w:tcPr>
            <w:tcW w:w="1610" w:type="dxa"/>
          </w:tcPr>
          <w:p w14:paraId="78DD90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700 кг</w:t>
            </w:r>
          </w:p>
        </w:tc>
        <w:tc>
          <w:tcPr>
            <w:tcW w:w="1610" w:type="dxa"/>
          </w:tcPr>
          <w:p w14:paraId="670C9D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 кг</w:t>
            </w:r>
          </w:p>
        </w:tc>
        <w:tc>
          <w:tcPr>
            <w:tcW w:w="1610" w:type="dxa"/>
          </w:tcPr>
          <w:p w14:paraId="6A02F8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 кг</w:t>
            </w:r>
          </w:p>
        </w:tc>
        <w:tc>
          <w:tcPr>
            <w:tcW w:w="1610" w:type="dxa"/>
          </w:tcPr>
          <w:p w14:paraId="0EF733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 кг</w:t>
            </w:r>
          </w:p>
        </w:tc>
        <w:tc>
          <w:tcPr>
            <w:tcW w:w="1610" w:type="dxa"/>
          </w:tcPr>
          <w:p w14:paraId="3C8869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480 кг</w:t>
            </w:r>
          </w:p>
        </w:tc>
      </w:tr>
      <w:tr w:rsidR="00860B4B" w:rsidRPr="00D03F3E" w14:paraId="4A9E2A75" w14:textId="77777777">
        <w:tc>
          <w:tcPr>
            <w:tcW w:w="1610" w:type="dxa"/>
          </w:tcPr>
          <w:p w14:paraId="3414CB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Цена за кг</w:t>
            </w:r>
          </w:p>
        </w:tc>
        <w:tc>
          <w:tcPr>
            <w:tcW w:w="1610" w:type="dxa"/>
          </w:tcPr>
          <w:p w14:paraId="1CD915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w:t>
            </w:r>
          </w:p>
        </w:tc>
        <w:tc>
          <w:tcPr>
            <w:tcW w:w="1610" w:type="dxa"/>
          </w:tcPr>
          <w:p w14:paraId="4F2D35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w:t>
            </w:r>
          </w:p>
        </w:tc>
        <w:tc>
          <w:tcPr>
            <w:tcW w:w="1610" w:type="dxa"/>
          </w:tcPr>
          <w:p w14:paraId="14777C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w:t>
            </w:r>
          </w:p>
        </w:tc>
        <w:tc>
          <w:tcPr>
            <w:tcW w:w="1610" w:type="dxa"/>
          </w:tcPr>
          <w:p w14:paraId="46EB78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w:t>
            </w:r>
          </w:p>
        </w:tc>
        <w:tc>
          <w:tcPr>
            <w:tcW w:w="1610" w:type="dxa"/>
          </w:tcPr>
          <w:p w14:paraId="526A14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w:t>
            </w:r>
          </w:p>
        </w:tc>
      </w:tr>
      <w:tr w:rsidR="00860B4B" w:rsidRPr="00D03F3E" w14:paraId="5F31B461" w14:textId="77777777">
        <w:tc>
          <w:tcPr>
            <w:tcW w:w="1610" w:type="dxa"/>
          </w:tcPr>
          <w:p w14:paraId="30CF9F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Сумма</w:t>
            </w:r>
          </w:p>
        </w:tc>
        <w:tc>
          <w:tcPr>
            <w:tcW w:w="1610" w:type="dxa"/>
          </w:tcPr>
          <w:p w14:paraId="281FFE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840 р.</w:t>
            </w:r>
          </w:p>
        </w:tc>
        <w:tc>
          <w:tcPr>
            <w:tcW w:w="1610" w:type="dxa"/>
          </w:tcPr>
          <w:p w14:paraId="6E6BD7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1800-</w:t>
            </w:r>
          </w:p>
        </w:tc>
        <w:tc>
          <w:tcPr>
            <w:tcW w:w="1610" w:type="dxa"/>
          </w:tcPr>
          <w:p w14:paraId="3A2F33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1800-</w:t>
            </w:r>
          </w:p>
        </w:tc>
        <w:tc>
          <w:tcPr>
            <w:tcW w:w="1610" w:type="dxa"/>
          </w:tcPr>
          <w:p w14:paraId="3FE084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2400-</w:t>
            </w:r>
          </w:p>
        </w:tc>
        <w:tc>
          <w:tcPr>
            <w:tcW w:w="1610" w:type="dxa"/>
          </w:tcPr>
          <w:p w14:paraId="235717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576-</w:t>
            </w:r>
          </w:p>
        </w:tc>
      </w:tr>
      <w:tr w:rsidR="00860B4B" w:rsidRPr="00D03F3E" w14:paraId="7FDF2A78" w14:textId="77777777">
        <w:tc>
          <w:tcPr>
            <w:tcW w:w="1610" w:type="dxa"/>
          </w:tcPr>
          <w:p w14:paraId="10E1DE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Масло</w:t>
            </w:r>
          </w:p>
        </w:tc>
        <w:tc>
          <w:tcPr>
            <w:tcW w:w="1610" w:type="dxa"/>
          </w:tcPr>
          <w:p w14:paraId="443412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1CBD92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FB1AF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4EAD40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679951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6575219" w14:textId="77777777">
        <w:tc>
          <w:tcPr>
            <w:tcW w:w="1610" w:type="dxa"/>
          </w:tcPr>
          <w:p w14:paraId="2F6D28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w:t>
            </w:r>
          </w:p>
        </w:tc>
        <w:tc>
          <w:tcPr>
            <w:tcW w:w="1610" w:type="dxa"/>
          </w:tcPr>
          <w:p w14:paraId="09B831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 кг</w:t>
            </w:r>
          </w:p>
        </w:tc>
        <w:tc>
          <w:tcPr>
            <w:tcW w:w="1610" w:type="dxa"/>
          </w:tcPr>
          <w:p w14:paraId="7A5314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 кг</w:t>
            </w:r>
          </w:p>
        </w:tc>
        <w:tc>
          <w:tcPr>
            <w:tcW w:w="1610" w:type="dxa"/>
          </w:tcPr>
          <w:p w14:paraId="605840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 кг</w:t>
            </w:r>
          </w:p>
        </w:tc>
        <w:tc>
          <w:tcPr>
            <w:tcW w:w="1610" w:type="dxa"/>
          </w:tcPr>
          <w:p w14:paraId="34BE39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w:t>
            </w:r>
          </w:p>
        </w:tc>
        <w:tc>
          <w:tcPr>
            <w:tcW w:w="1610" w:type="dxa"/>
          </w:tcPr>
          <w:p w14:paraId="00B978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 кг</w:t>
            </w:r>
          </w:p>
        </w:tc>
      </w:tr>
      <w:tr w:rsidR="00860B4B" w:rsidRPr="00D03F3E" w14:paraId="4027C373" w14:textId="77777777">
        <w:tc>
          <w:tcPr>
            <w:tcW w:w="1610" w:type="dxa"/>
          </w:tcPr>
          <w:p w14:paraId="3EF56D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Цена за кг</w:t>
            </w:r>
          </w:p>
        </w:tc>
        <w:tc>
          <w:tcPr>
            <w:tcW w:w="1610" w:type="dxa"/>
          </w:tcPr>
          <w:p w14:paraId="687062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2-20</w:t>
            </w:r>
          </w:p>
        </w:tc>
        <w:tc>
          <w:tcPr>
            <w:tcW w:w="1610" w:type="dxa"/>
          </w:tcPr>
          <w:p w14:paraId="3A8EBF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2-20</w:t>
            </w:r>
          </w:p>
        </w:tc>
        <w:tc>
          <w:tcPr>
            <w:tcW w:w="1610" w:type="dxa"/>
          </w:tcPr>
          <w:p w14:paraId="11495F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2-20</w:t>
            </w:r>
          </w:p>
        </w:tc>
        <w:tc>
          <w:tcPr>
            <w:tcW w:w="1610" w:type="dxa"/>
          </w:tcPr>
          <w:p w14:paraId="46E7E4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2-20</w:t>
            </w:r>
          </w:p>
        </w:tc>
        <w:tc>
          <w:tcPr>
            <w:tcW w:w="1610" w:type="dxa"/>
          </w:tcPr>
          <w:p w14:paraId="493CE4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2-20</w:t>
            </w:r>
          </w:p>
        </w:tc>
      </w:tr>
      <w:tr w:rsidR="00860B4B" w:rsidRPr="00D03F3E" w14:paraId="067A1EC4" w14:textId="77777777">
        <w:tc>
          <w:tcPr>
            <w:tcW w:w="1610" w:type="dxa"/>
          </w:tcPr>
          <w:p w14:paraId="5081DA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Сумма</w:t>
            </w:r>
          </w:p>
        </w:tc>
        <w:tc>
          <w:tcPr>
            <w:tcW w:w="1610" w:type="dxa"/>
          </w:tcPr>
          <w:p w14:paraId="20B039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265 р.</w:t>
            </w:r>
          </w:p>
        </w:tc>
        <w:tc>
          <w:tcPr>
            <w:tcW w:w="1610" w:type="dxa"/>
          </w:tcPr>
          <w:p w14:paraId="23AD1F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440 р.</w:t>
            </w:r>
          </w:p>
        </w:tc>
        <w:tc>
          <w:tcPr>
            <w:tcW w:w="1610" w:type="dxa"/>
          </w:tcPr>
          <w:p w14:paraId="438D6A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440 р.</w:t>
            </w:r>
          </w:p>
        </w:tc>
        <w:tc>
          <w:tcPr>
            <w:tcW w:w="1610" w:type="dxa"/>
          </w:tcPr>
          <w:p w14:paraId="2330FC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550 р.</w:t>
            </w:r>
          </w:p>
        </w:tc>
        <w:tc>
          <w:tcPr>
            <w:tcW w:w="1610" w:type="dxa"/>
          </w:tcPr>
          <w:p w14:paraId="295394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 р.</w:t>
            </w:r>
          </w:p>
        </w:tc>
      </w:tr>
      <w:tr w:rsidR="00860B4B" w:rsidRPr="00D03F3E" w14:paraId="4A03E243" w14:textId="77777777">
        <w:tc>
          <w:tcPr>
            <w:tcW w:w="1610" w:type="dxa"/>
          </w:tcPr>
          <w:p w14:paraId="15FAE7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Продукт РД</w:t>
            </w:r>
          </w:p>
        </w:tc>
        <w:tc>
          <w:tcPr>
            <w:tcW w:w="1610" w:type="dxa"/>
          </w:tcPr>
          <w:p w14:paraId="55995A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7722C8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C6739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6F0935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4F56A4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35C78BB" w14:textId="77777777">
        <w:tc>
          <w:tcPr>
            <w:tcW w:w="1610" w:type="dxa"/>
          </w:tcPr>
          <w:p w14:paraId="120BFD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w:t>
            </w:r>
          </w:p>
        </w:tc>
        <w:tc>
          <w:tcPr>
            <w:tcW w:w="1610" w:type="dxa"/>
          </w:tcPr>
          <w:p w14:paraId="70FD9E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кг</w:t>
            </w:r>
          </w:p>
        </w:tc>
        <w:tc>
          <w:tcPr>
            <w:tcW w:w="1610" w:type="dxa"/>
          </w:tcPr>
          <w:p w14:paraId="4CA5B4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кг</w:t>
            </w:r>
          </w:p>
        </w:tc>
        <w:tc>
          <w:tcPr>
            <w:tcW w:w="1610" w:type="dxa"/>
          </w:tcPr>
          <w:p w14:paraId="0C070F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кг</w:t>
            </w:r>
          </w:p>
        </w:tc>
        <w:tc>
          <w:tcPr>
            <w:tcW w:w="1610" w:type="dxa"/>
          </w:tcPr>
          <w:p w14:paraId="05F864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кг</w:t>
            </w:r>
          </w:p>
        </w:tc>
        <w:tc>
          <w:tcPr>
            <w:tcW w:w="1610" w:type="dxa"/>
          </w:tcPr>
          <w:p w14:paraId="2532A7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кг</w:t>
            </w:r>
          </w:p>
        </w:tc>
      </w:tr>
      <w:tr w:rsidR="00860B4B" w:rsidRPr="00D03F3E" w14:paraId="32FE6CDC" w14:textId="77777777">
        <w:tc>
          <w:tcPr>
            <w:tcW w:w="1610" w:type="dxa"/>
          </w:tcPr>
          <w:p w14:paraId="2D9071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Цена за кг</w:t>
            </w:r>
          </w:p>
        </w:tc>
        <w:tc>
          <w:tcPr>
            <w:tcW w:w="1610" w:type="dxa"/>
          </w:tcPr>
          <w:p w14:paraId="1952C3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tc>
        <w:tc>
          <w:tcPr>
            <w:tcW w:w="1610" w:type="dxa"/>
          </w:tcPr>
          <w:p w14:paraId="17355E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tc>
        <w:tc>
          <w:tcPr>
            <w:tcW w:w="1610" w:type="dxa"/>
          </w:tcPr>
          <w:p w14:paraId="7588B0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tc>
        <w:tc>
          <w:tcPr>
            <w:tcW w:w="1610" w:type="dxa"/>
          </w:tcPr>
          <w:p w14:paraId="17ECB8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tc>
        <w:tc>
          <w:tcPr>
            <w:tcW w:w="1610" w:type="dxa"/>
          </w:tcPr>
          <w:p w14:paraId="6F7D3F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tc>
      </w:tr>
      <w:tr w:rsidR="00860B4B" w:rsidRPr="00D03F3E" w14:paraId="2865DC07" w14:textId="77777777">
        <w:tc>
          <w:tcPr>
            <w:tcW w:w="1610" w:type="dxa"/>
          </w:tcPr>
          <w:p w14:paraId="65A313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Сумма</w:t>
            </w:r>
          </w:p>
        </w:tc>
        <w:tc>
          <w:tcPr>
            <w:tcW w:w="1610" w:type="dxa"/>
          </w:tcPr>
          <w:p w14:paraId="3C2E39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w:t>
            </w:r>
          </w:p>
        </w:tc>
        <w:tc>
          <w:tcPr>
            <w:tcW w:w="1610" w:type="dxa"/>
          </w:tcPr>
          <w:p w14:paraId="5467C1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220-</w:t>
            </w:r>
          </w:p>
        </w:tc>
        <w:tc>
          <w:tcPr>
            <w:tcW w:w="1610" w:type="dxa"/>
          </w:tcPr>
          <w:p w14:paraId="2B7DA7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220-</w:t>
            </w:r>
          </w:p>
        </w:tc>
        <w:tc>
          <w:tcPr>
            <w:tcW w:w="1610" w:type="dxa"/>
          </w:tcPr>
          <w:p w14:paraId="0E9BEF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270-</w:t>
            </w:r>
          </w:p>
        </w:tc>
        <w:tc>
          <w:tcPr>
            <w:tcW w:w="1610" w:type="dxa"/>
          </w:tcPr>
          <w:p w14:paraId="0F50C3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88 р. (2105,18)</w:t>
            </w:r>
          </w:p>
        </w:tc>
      </w:tr>
    </w:tbl>
    <w:p w14:paraId="66B6D1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922C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апреля 1943 вышел приказ НКАП N 220 о том, что на самолетах Як-7 завода № 153 еще в августе 1942 при эксплуатации имело место разрушение крыльев в полете воздухе. По той же причине в октябре 1942-марте 1943 произошло 3 катастрофы...</w:t>
      </w:r>
    </w:p>
    <w:p w14:paraId="18C989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Помимо этого ГИ з-да Тер-Маркарян, Зам. ГК т. Вигант... имели результаты статистических испытаний, которые показали наличие снижения прочности лонжеронов в производстве до 70% от расчетной нагрузки. (вероятно плохое качество склейки крыла и ошибки технологии приклейки)</w:t>
      </w:r>
    </w:p>
    <w:p w14:paraId="069A75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Приказываю: 1. </w:t>
      </w:r>
    </w:p>
    <w:p w14:paraId="6E923D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Директору з-да, ги - строгий выговор</w:t>
      </w:r>
    </w:p>
    <w:p w14:paraId="7B53D1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ГК А.С.Я.</w:t>
      </w:r>
    </w:p>
    <w:p w14:paraId="59A2F2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в недельный срок разработать и после проверки статиспытаниями внедрить в производство усиление обшивки крыла под узел крепления шасси. </w:t>
      </w:r>
    </w:p>
    <w:p w14:paraId="5B321F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на основании ранее проведенных статиспытаний в 2-х дневный срок разработать ремонтный вариант с металлическими накладками, окаймляющими вырез под узел крепления шасси, и установить на машины на запасных аэродромах ВВС.</w:t>
      </w:r>
    </w:p>
    <w:p w14:paraId="2CE52E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Нач. ПГУ т. Воронину в декадный срок обеспечить постановку металлических накладок по эскизам ГК т. Яковлева, на одном экз. С-та Як-7, нахходящемся в запасных полках ВВС КА (936,170).</w:t>
      </w:r>
    </w:p>
    <w:p w14:paraId="6F242F6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5A3AEF89"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16 апреля по 25 июня 1943 г. в ходе войсковых испытаний Як-9 с М-105ПД, отличались от серийных Як-9Д только мотором - с высотными нагнетателями воздуха системы Доллежаля и вооружением, проводившихся в период в 12-м гвардейском ИАП 6-го ИАК ПВО ТС (территории страны), базировавшемся на Центральном аэродроме им. М.В. Фрунзе, их сразу же включили в дежурное зве</w:t>
      </w:r>
      <w:r w:rsidRPr="00D03F3E">
        <w:rPr>
          <w:rFonts w:ascii="Times New Roman" w:hAnsi="Times New Roman"/>
          <w:color w:val="000000" w:themeColor="text1"/>
          <w:sz w:val="16"/>
          <w:szCs w:val="16"/>
        </w:rPr>
        <w:softHyphen/>
        <w:t>но, хотя, как писал Шелест,- «отладочные работы всё ещё продолжались. Работали днём и ночью: на приангарной площадке, когда самолёты выводились на дежурство; при свете софитов в затемнённом ангаре; работали так, чтобы в любой момент ясной погоды при появлении немца можно было поднять истребитель в воздух.</w:t>
      </w:r>
    </w:p>
    <w:p w14:paraId="22043D4D"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Главный конструктор Доллежаль все эти дни не отходил от самолётов. По многу раз на день сюда, на Центральный аэродром, приезжал Александр Сергеевич Яковлев. Оба конструктора пребывали в том взвинченном состоянии, при котором и в короткие часы сна не перестают посещать кошмары. Сталину всё время докладывали о состо</w:t>
      </w:r>
      <w:r w:rsidRPr="00D03F3E">
        <w:rPr>
          <w:rFonts w:ascii="Times New Roman" w:hAnsi="Times New Roman"/>
          <w:color w:val="000000" w:themeColor="text1"/>
          <w:sz w:val="16"/>
          <w:szCs w:val="16"/>
        </w:rPr>
        <w:softHyphen/>
        <w:t>янии работ на самолетах».</w:t>
      </w:r>
    </w:p>
    <w:p w14:paraId="17B08758"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гласит легенда, «...при одной из встреч Яковлева с Доллежалем у самолётов про</w:t>
      </w:r>
      <w:r w:rsidRPr="00D03F3E">
        <w:rPr>
          <w:rFonts w:ascii="Times New Roman" w:hAnsi="Times New Roman"/>
          <w:color w:val="000000" w:themeColor="text1"/>
          <w:sz w:val="16"/>
          <w:szCs w:val="16"/>
        </w:rPr>
        <w:softHyphen/>
        <w:t>изошёл примерно такой разговор.</w:t>
      </w:r>
    </w:p>
    <w:p w14:paraId="6A4502AC"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Александр Сергеевич увидел на одном из самолётов вмонтированный в крыло новый заборник воздуха к нагнетателю мотора. Раструб всасывающего патрубка был развит чуть ли не до размеров граммофонной трубы и показался главному конструктору са</w:t>
      </w:r>
      <w:r w:rsidRPr="00D03F3E">
        <w:rPr>
          <w:rFonts w:ascii="Times New Roman" w:hAnsi="Times New Roman"/>
          <w:color w:val="000000" w:themeColor="text1"/>
          <w:sz w:val="16"/>
          <w:szCs w:val="16"/>
        </w:rPr>
        <w:softHyphen/>
        <w:t>молёта эстетической несуразностью, а с точки зрения аэродинамики — недопустимым. Яковлев сразу же понял, что такой удобный для мотора «раструб с запасом» мог поя</w:t>
      </w:r>
      <w:r w:rsidRPr="00D03F3E">
        <w:rPr>
          <w:rFonts w:ascii="Times New Roman" w:hAnsi="Times New Roman"/>
          <w:color w:val="000000" w:themeColor="text1"/>
          <w:sz w:val="16"/>
          <w:szCs w:val="16"/>
        </w:rPr>
        <w:softHyphen/>
        <w:t>виться по указанию конструктора-моториста. Подойдя вплотную и сдерживая раздра</w:t>
      </w:r>
      <w:r w:rsidRPr="00D03F3E">
        <w:rPr>
          <w:rFonts w:ascii="Times New Roman" w:hAnsi="Times New Roman"/>
          <w:color w:val="000000" w:themeColor="text1"/>
          <w:sz w:val="16"/>
          <w:szCs w:val="16"/>
        </w:rPr>
        <w:softHyphen/>
        <w:t>жение, Яковлев достал из кармана кителя красный карандаш и прочертил им линию на металле раструба. Затем, обернувшись, более чем сухо сказал ведущему инженеру:</w:t>
      </w:r>
    </w:p>
    <w:p w14:paraId="74847A2A" w14:textId="77777777" w:rsidR="000E2987" w:rsidRPr="00D03F3E" w:rsidRDefault="000E2987" w:rsidP="00D03F3E">
      <w:pPr>
        <w:tabs>
          <w:tab w:val="left" w:pos="42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Резать так! Вокруг завальцевать и загладить.</w:t>
      </w:r>
    </w:p>
    <w:p w14:paraId="194F9CDD" w14:textId="77777777" w:rsidR="000E2987" w:rsidRPr="00D03F3E" w:rsidRDefault="000E2987" w:rsidP="00D03F3E">
      <w:pPr>
        <w:tabs>
          <w:tab w:val="left" w:pos="404"/>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Прошу прощения, — шагнул вперед Доллежаль. Яковлев быстро обернулся и очень недовольно взглянул на него.</w:t>
      </w:r>
    </w:p>
    <w:p w14:paraId="1E418AA7" w14:textId="77777777" w:rsidR="000E2987" w:rsidRPr="00D03F3E" w:rsidRDefault="000E2987" w:rsidP="00D03F3E">
      <w:pPr>
        <w:tabs>
          <w:tab w:val="left" w:pos="409"/>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Перед тем как резать, Александр Сергеевич, мне хотелось бы выяснить, в каком со</w:t>
      </w:r>
      <w:r w:rsidRPr="00D03F3E">
        <w:rPr>
          <w:rFonts w:ascii="Times New Roman" w:hAnsi="Times New Roman"/>
          <w:color w:val="000000" w:themeColor="text1"/>
          <w:sz w:val="16"/>
          <w:szCs w:val="16"/>
        </w:rPr>
        <w:softHyphen/>
        <w:t>отношении мы с вами действуем: если на правах главных конструкторов, то я возражаю. Если как главный конструктор с заместителем наркома — пусть режут по карандашу...»</w:t>
      </w:r>
    </w:p>
    <w:p w14:paraId="5370DD44"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мнению Шелеста, «этот разговор приобрёл теперь потешный оттенок. Во всяком случае, может вызвать улыбку. Но в то время, когда председатель Моссовета Пронин, отвечая за ПВО Москвы, докладывал обо всем Сталину, у собеседников вряд ли воз</w:t>
      </w:r>
      <w:r w:rsidRPr="00D03F3E">
        <w:rPr>
          <w:rFonts w:ascii="Times New Roman" w:hAnsi="Times New Roman"/>
          <w:color w:val="000000" w:themeColor="text1"/>
          <w:sz w:val="16"/>
          <w:szCs w:val="16"/>
        </w:rPr>
        <w:softHyphen/>
        <w:t xml:space="preserve">никало желание состязаться в светском остроумии... Стоит ли </w:t>
      </w:r>
      <w:r w:rsidRPr="00D03F3E">
        <w:rPr>
          <w:rFonts w:ascii="Times New Roman" w:hAnsi="Times New Roman"/>
          <w:color w:val="000000" w:themeColor="text1"/>
          <w:sz w:val="16"/>
          <w:szCs w:val="16"/>
        </w:rPr>
        <w:lastRenderedPageBreak/>
        <w:t>распространяться о том, насколько время было суровое и что тучи над головами специалистов сгущались тем мрачнее, чем меньше оставалось в небе облаков и чем реальней становилась возмо</w:t>
      </w:r>
      <w:r w:rsidRPr="00D03F3E">
        <w:rPr>
          <w:rFonts w:ascii="Times New Roman" w:hAnsi="Times New Roman"/>
          <w:color w:val="000000" w:themeColor="text1"/>
          <w:sz w:val="16"/>
          <w:szCs w:val="16"/>
        </w:rPr>
        <w:softHyphen/>
        <w:t>жность появления вражеского высотного разведчика над столицей».</w:t>
      </w:r>
    </w:p>
    <w:p w14:paraId="2BE5672D"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первые же полёты высотных Яков никого не успокоили. Оказалось, что моторы с на</w:t>
      </w:r>
      <w:r w:rsidRPr="00D03F3E">
        <w:rPr>
          <w:rFonts w:ascii="Times New Roman" w:hAnsi="Times New Roman"/>
          <w:color w:val="000000" w:themeColor="text1"/>
          <w:sz w:val="16"/>
          <w:szCs w:val="16"/>
        </w:rPr>
        <w:softHyphen/>
        <w:t>гнетателями Доллежаля не желают правильно работать на высоте и вызывают тряску са</w:t>
      </w:r>
      <w:r w:rsidRPr="00D03F3E">
        <w:rPr>
          <w:rFonts w:ascii="Times New Roman" w:hAnsi="Times New Roman"/>
          <w:color w:val="000000" w:themeColor="text1"/>
          <w:sz w:val="16"/>
          <w:szCs w:val="16"/>
        </w:rPr>
        <w:softHyphen/>
        <w:t>молёта. Выяснилось, что непрерывный набор практического потолка на режиме наивы</w:t>
      </w:r>
      <w:r w:rsidRPr="00D03F3E">
        <w:rPr>
          <w:rFonts w:ascii="Times New Roman" w:hAnsi="Times New Roman"/>
          <w:color w:val="000000" w:themeColor="text1"/>
          <w:sz w:val="16"/>
          <w:szCs w:val="16"/>
        </w:rPr>
        <w:softHyphen/>
        <w:t>годнейшей скороподъёмности просто невозможен, так как уже на высоте 7000 м темпе</w:t>
      </w:r>
      <w:r w:rsidRPr="00D03F3E">
        <w:rPr>
          <w:rFonts w:ascii="Times New Roman" w:hAnsi="Times New Roman"/>
          <w:color w:val="000000" w:themeColor="text1"/>
          <w:sz w:val="16"/>
          <w:szCs w:val="16"/>
        </w:rPr>
        <w:softHyphen/>
        <w:t>ратура воды достигла 120°С, а масла — 100°С. Продолжать полёт, не делая горизонталь</w:t>
      </w:r>
      <w:r w:rsidRPr="00D03F3E">
        <w:rPr>
          <w:rFonts w:ascii="Times New Roman" w:hAnsi="Times New Roman"/>
          <w:color w:val="000000" w:themeColor="text1"/>
          <w:sz w:val="16"/>
          <w:szCs w:val="16"/>
        </w:rPr>
        <w:softHyphen/>
        <w:t>ных площадок для снижения температур воды и масла не представлялось возможным и, как следствие, скороподъёмность самолёта оказалась значительно хуже, чем ожидалось. В итоге практический потолок, оказавшийся равным всего 11650 м, Як-9 набирал 25 ми</w:t>
      </w:r>
      <w:r w:rsidRPr="00D03F3E">
        <w:rPr>
          <w:rFonts w:ascii="Times New Roman" w:hAnsi="Times New Roman"/>
          <w:color w:val="000000" w:themeColor="text1"/>
          <w:sz w:val="16"/>
          <w:szCs w:val="16"/>
        </w:rPr>
        <w:softHyphen/>
        <w:t>нут. Вооружение самолёта — пушка ШВАК с боезапасом 120 снарядов, и его практичес</w:t>
      </w:r>
      <w:r w:rsidRPr="00D03F3E">
        <w:rPr>
          <w:rFonts w:ascii="Times New Roman" w:hAnsi="Times New Roman"/>
          <w:color w:val="000000" w:themeColor="text1"/>
          <w:sz w:val="16"/>
          <w:szCs w:val="16"/>
        </w:rPr>
        <w:softHyphen/>
        <w:t>кий потолок не соответствовали Постановлению ГКО, а винтомоторная группа самолёта нуждалась в доводке. Кроме того, обычная продолжительность полёта самолёта не пре</w:t>
      </w:r>
      <w:r w:rsidRPr="00D03F3E">
        <w:rPr>
          <w:rFonts w:ascii="Times New Roman" w:hAnsi="Times New Roman"/>
          <w:color w:val="000000" w:themeColor="text1"/>
          <w:sz w:val="16"/>
          <w:szCs w:val="16"/>
        </w:rPr>
        <w:softHyphen/>
        <w:t>вышала 1 час. Поэтому для высотных истребителей требовалось увеличивать запас го</w:t>
      </w:r>
      <w:r w:rsidRPr="00D03F3E">
        <w:rPr>
          <w:rFonts w:ascii="Times New Roman" w:hAnsi="Times New Roman"/>
          <w:color w:val="000000" w:themeColor="text1"/>
          <w:sz w:val="16"/>
          <w:szCs w:val="16"/>
        </w:rPr>
        <w:softHyphen/>
        <w:t>рючего, необходимый для полёта и боя на максимальной высоте полёта (15830).</w:t>
      </w:r>
    </w:p>
    <w:p w14:paraId="1AB3EB4A" w14:textId="77777777" w:rsidR="000E2987" w:rsidRPr="00D03F3E" w:rsidRDefault="000E2987" w:rsidP="00D03F3E">
      <w:pPr>
        <w:spacing w:after="0" w:line="240" w:lineRule="auto"/>
        <w:jc w:val="both"/>
        <w:rPr>
          <w:rFonts w:ascii="Times New Roman" w:hAnsi="Times New Roman"/>
          <w:color w:val="000000" w:themeColor="text1"/>
          <w:sz w:val="16"/>
          <w:szCs w:val="16"/>
        </w:rPr>
      </w:pPr>
    </w:p>
    <w:p w14:paraId="0356235E" w14:textId="77777777" w:rsidR="00837C1B" w:rsidRPr="00D03F3E" w:rsidRDefault="00837C1B"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16 апреля по 25 июня 1943 проходили войсковые испытания Як-9ПД в 12 гв. иап 6 иак ПВО ТС и сделали 69 полетов налетав 43:12, в т.ч. 39 на высоте 10000-12000 м (65,122).</w:t>
      </w:r>
    </w:p>
    <w:p w14:paraId="1A978A71" w14:textId="77777777" w:rsidR="00837C1B" w:rsidRPr="00D03F3E" w:rsidRDefault="00837C1B"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A6DADB"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апреля в 1943 году в 12-ом гвардейском истребительном авиационном полку (командир полка майор К.В.Маренков) 6-го истребительного авиационного корпуса ПВО ТС (территории страны) начались (по 25 июня) войсковые испытания высотного истребителя-перехватчика «Як-9ПД», ОКБ Яковлева. На пяти «Як-9» было произведено 69 полетов с налетом 43 ч 12 мин, из них 39 полетов на высоте 10000...12000 м. «Як-9ПД» с двигателем «М-105ПД», снабженным двухступенчатым нагнетателем «Э-100» В.А.Доллежаля, представлял собой высотный истребитель-перехватчик и предназначался для работы в системе ПВО. Самолет был создан специально для борьбы с высотными разведчиками противника «Ju-86R», периодически совершавшими в 1942-1943 гг. полеты над Москвой на больших высотах (порядка 12000...13000 м) (15101).</w:t>
      </w:r>
    </w:p>
    <w:p w14:paraId="1626DA2E" w14:textId="77777777" w:rsidR="00837C1B" w:rsidRPr="00D03F3E" w:rsidRDefault="00837C1B" w:rsidP="00D03F3E">
      <w:pPr>
        <w:spacing w:after="0" w:line="240" w:lineRule="auto"/>
        <w:jc w:val="both"/>
        <w:rPr>
          <w:rFonts w:ascii="Times New Roman" w:hAnsi="Times New Roman"/>
          <w:color w:val="000000" w:themeColor="text1"/>
          <w:sz w:val="16"/>
          <w:szCs w:val="16"/>
        </w:rPr>
      </w:pPr>
    </w:p>
    <w:p w14:paraId="6B8CC9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апреля 1943 года Шахурин писал И.В.Сталину.</w:t>
      </w:r>
    </w:p>
    <w:p w14:paraId="1312E6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Докладываю о результатах расчетов по применению на боевых самолетах мотора М-250 конструкции Добрынина:</w:t>
      </w:r>
    </w:p>
    <w:p w14:paraId="5727C6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Постановка мотора М-250 на серийный истребитель типа Як-1 или Лагг-3 невозможна, так как вызовет увеличение полетного веса до 4500 кг из-за значительного увеличения веса винтомоторной группы, количества горючего для сохранения дальности полета, а также из-за увеличения площади крыла и веса всех основных агрегатов самолета.</w:t>
      </w:r>
    </w:p>
    <w:p w14:paraId="2BE4AB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Такое увеличение веса самолета потребует создания нового самолета, больших общих габаритов, чем у серийных истребителей.</w:t>
      </w:r>
    </w:p>
    <w:p w14:paraId="7EA16B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Постановка мотора М-250 на двухместный штурмовик Ил-2 вызовет также увеличение веса до 7000-7300 кг и трудности с центровкой самолета. Указанная модификация самолета Ил-2 потребует увеличения крыла, оперения и перекомпоновки размещения радиаторов.</w:t>
      </w:r>
    </w:p>
    <w:p w14:paraId="119BE0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Постановка мотора М-250 на бомбардировщик Ту-2 вызовет затруднения главным образом с размещением горючего, количество которого для сохранения дальности придется увеличить примерно на 1000 кг. Кроме этого, увеличение веса винтомоторной группы и веса горючего приведет к чрезмерно большой нагрузке на крыло и потребует увеличения крыла, а, следовательно и оперения.</w:t>
      </w:r>
    </w:p>
    <w:p w14:paraId="241273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выявления возможности применения мотора М-250 на опытных самолетах и объема связанных с ним конструктивных переделок, произведена компоновка и расчеты под этот мотор двух опытных истребителей конструкции Поликарпова: И-185, проходившего испытания в начале этого года с мотором М-71 и одноместного тяжелого противотанкового истребителя ИТП, заканчивающегося постройкой и выпускаемого с мотором М-107А.</w:t>
      </w:r>
    </w:p>
    <w:p w14:paraId="72F1FE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данным Поликарпова на самолете И-185 возможна установка мотора М-250 с двухскоростным нагнетателем без капитальных переделок существующей конструкции самолета.</w:t>
      </w:r>
    </w:p>
    <w:p w14:paraId="48AD27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этом потребуется переделка агрегатов винтомоторной группы установки вооружения, а также потребуется произвести перемещение водяных помп на моторе, так как они не увязываются с колесами самолета при убранном положении шасси.</w:t>
      </w:r>
    </w:p>
    <w:p w14:paraId="35CB52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опытного истребителя ИТП возможна установка мотора М-250 с трехскоростным нагнетателем с меньшими переделками, чем в случае установки на самолет И-185. Кроме изменения агрегатов винтомоторной группы, установка мотора М-250 на самолете ИТП вызовет изменения шасси и установки вооружения.</w:t>
      </w:r>
    </w:p>
    <w:p w14:paraId="542247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необходимо считать, что применение мотора М-250 на истребитель требует создания нового самолета или переделки строящегося опытного и невозможно для серийных истребителей из-за значительного увеличения полетного веса; установка мотора М-250 на штурмовике и бомбардировщике потребует новой компоновки крыльев, оперения и частично фюзеляжа.</w:t>
      </w:r>
    </w:p>
    <w:p w14:paraId="422DCF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прилагаемой таблице приведены расчетные данные самолетов с мотором М-250; характеристика мотора взята по данным Добрынина с учетом введения в мотор последних улучшений.</w:t>
      </w:r>
    </w:p>
    <w:p w14:paraId="72776B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видно из таблицы, наибольший эффект по скорости при применении мотора М-250 получается для истребителя. Для штурмовика и бомбардировщика получаемый эффект оказывается меньшим.</w:t>
      </w:r>
    </w:p>
    <w:p w14:paraId="6A652C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Следует отметить, что при трехскоростном нагнетателе у истребителя и бомбардировщика очень хорошие данные по высотности.</w:t>
      </w:r>
    </w:p>
    <w:p w14:paraId="4658D5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целом, мотор М-250 с характеристиками, заявленными Добрыниным, представляет несомненный интерес для самолетостроения, несмотря на то, что внедрение его потребует создания нового истребителя и значительных переделок бомбардировщика и штурмовика.</w:t>
      </w:r>
    </w:p>
    <w:p w14:paraId="5910FD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Таблица расчетных данных самолетов с мотором М-250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799"/>
        <w:gridCol w:w="925"/>
        <w:gridCol w:w="1061"/>
        <w:gridCol w:w="1610"/>
        <w:gridCol w:w="1555"/>
        <w:gridCol w:w="2270"/>
      </w:tblGrid>
      <w:tr w:rsidR="00860B4B" w:rsidRPr="00D03F3E" w14:paraId="3CD1ED6D" w14:textId="77777777">
        <w:tc>
          <w:tcPr>
            <w:tcW w:w="2376" w:type="dxa"/>
          </w:tcPr>
          <w:p w14:paraId="7BCDF0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самолета</w:t>
            </w:r>
          </w:p>
        </w:tc>
        <w:tc>
          <w:tcPr>
            <w:tcW w:w="799" w:type="dxa"/>
          </w:tcPr>
          <w:p w14:paraId="26A29F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7C090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w:t>
            </w:r>
          </w:p>
        </w:tc>
        <w:tc>
          <w:tcPr>
            <w:tcW w:w="1061" w:type="dxa"/>
          </w:tcPr>
          <w:p w14:paraId="41776F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Штурмов.</w:t>
            </w:r>
          </w:p>
        </w:tc>
        <w:tc>
          <w:tcPr>
            <w:tcW w:w="1610" w:type="dxa"/>
          </w:tcPr>
          <w:p w14:paraId="1E091D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Бомбард.</w:t>
            </w:r>
          </w:p>
        </w:tc>
        <w:tc>
          <w:tcPr>
            <w:tcW w:w="1555" w:type="dxa"/>
          </w:tcPr>
          <w:p w14:paraId="5EB25F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данным Поликарпова</w:t>
            </w:r>
          </w:p>
        </w:tc>
        <w:tc>
          <w:tcPr>
            <w:tcW w:w="2270" w:type="dxa"/>
          </w:tcPr>
          <w:p w14:paraId="7BFD3B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6DCB870" w14:textId="77777777">
        <w:tc>
          <w:tcPr>
            <w:tcW w:w="2376" w:type="dxa"/>
          </w:tcPr>
          <w:p w14:paraId="5C8E4E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A63B8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3E9734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49B536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47E5CF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565C2D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Опытный</w:t>
            </w:r>
          </w:p>
        </w:tc>
        <w:tc>
          <w:tcPr>
            <w:tcW w:w="2270" w:type="dxa"/>
          </w:tcPr>
          <w:p w14:paraId="293F27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Опытный</w:t>
            </w:r>
          </w:p>
        </w:tc>
      </w:tr>
      <w:tr w:rsidR="00860B4B" w:rsidRPr="00D03F3E" w14:paraId="1CCB4C05" w14:textId="77777777">
        <w:tc>
          <w:tcPr>
            <w:tcW w:w="2376" w:type="dxa"/>
          </w:tcPr>
          <w:p w14:paraId="0C9CA2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01A19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345001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7C486E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1D5A5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7C4049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w:t>
            </w:r>
          </w:p>
        </w:tc>
        <w:tc>
          <w:tcPr>
            <w:tcW w:w="2270" w:type="dxa"/>
          </w:tcPr>
          <w:p w14:paraId="4942A5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w:t>
            </w:r>
          </w:p>
        </w:tc>
      </w:tr>
      <w:tr w:rsidR="00860B4B" w:rsidRPr="00D03F3E" w14:paraId="4BFF51B6" w14:textId="77777777">
        <w:tc>
          <w:tcPr>
            <w:tcW w:w="2376" w:type="dxa"/>
          </w:tcPr>
          <w:p w14:paraId="3E300A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406EA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286237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5AE822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167F9A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384BAE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И-185</w:t>
            </w:r>
          </w:p>
        </w:tc>
        <w:tc>
          <w:tcPr>
            <w:tcW w:w="2270" w:type="dxa"/>
          </w:tcPr>
          <w:p w14:paraId="4A7A2C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ИТП</w:t>
            </w:r>
          </w:p>
        </w:tc>
      </w:tr>
      <w:tr w:rsidR="00860B4B" w:rsidRPr="00D03F3E" w14:paraId="633B30B4" w14:textId="77777777">
        <w:tc>
          <w:tcPr>
            <w:tcW w:w="2376" w:type="dxa"/>
          </w:tcPr>
          <w:p w14:paraId="1CEE86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Полетный вес</w:t>
            </w:r>
          </w:p>
        </w:tc>
        <w:tc>
          <w:tcPr>
            <w:tcW w:w="799" w:type="dxa"/>
          </w:tcPr>
          <w:p w14:paraId="059CD0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кг</w:t>
            </w:r>
          </w:p>
        </w:tc>
        <w:tc>
          <w:tcPr>
            <w:tcW w:w="925" w:type="dxa"/>
          </w:tcPr>
          <w:p w14:paraId="6BF576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4500</w:t>
            </w:r>
          </w:p>
        </w:tc>
        <w:tc>
          <w:tcPr>
            <w:tcW w:w="1061" w:type="dxa"/>
          </w:tcPr>
          <w:p w14:paraId="42C3E1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7000-7300</w:t>
            </w:r>
          </w:p>
        </w:tc>
        <w:tc>
          <w:tcPr>
            <w:tcW w:w="1610" w:type="dxa"/>
          </w:tcPr>
          <w:p w14:paraId="6FBF67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13500-14000</w:t>
            </w:r>
          </w:p>
        </w:tc>
        <w:tc>
          <w:tcPr>
            <w:tcW w:w="1555" w:type="dxa"/>
          </w:tcPr>
          <w:p w14:paraId="1CE777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3900</w:t>
            </w:r>
          </w:p>
        </w:tc>
        <w:tc>
          <w:tcPr>
            <w:tcW w:w="2270" w:type="dxa"/>
          </w:tcPr>
          <w:p w14:paraId="76D4F8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4100</w:t>
            </w:r>
          </w:p>
        </w:tc>
      </w:tr>
      <w:tr w:rsidR="00860B4B" w:rsidRPr="00D03F3E" w14:paraId="2E4A44AE" w14:textId="77777777">
        <w:tc>
          <w:tcPr>
            <w:tcW w:w="2376" w:type="dxa"/>
          </w:tcPr>
          <w:p w14:paraId="70C84A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крыльев</w:t>
            </w:r>
          </w:p>
        </w:tc>
        <w:tc>
          <w:tcPr>
            <w:tcW w:w="799" w:type="dxa"/>
          </w:tcPr>
          <w:p w14:paraId="4EDBF3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кв. м</w:t>
            </w:r>
          </w:p>
        </w:tc>
        <w:tc>
          <w:tcPr>
            <w:tcW w:w="925" w:type="dxa"/>
          </w:tcPr>
          <w:p w14:paraId="67209A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tc>
        <w:tc>
          <w:tcPr>
            <w:tcW w:w="1061" w:type="dxa"/>
          </w:tcPr>
          <w:p w14:paraId="68E176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45-48</w:t>
            </w:r>
          </w:p>
        </w:tc>
        <w:tc>
          <w:tcPr>
            <w:tcW w:w="1610" w:type="dxa"/>
          </w:tcPr>
          <w:p w14:paraId="2C9D86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65-70</w:t>
            </w:r>
          </w:p>
        </w:tc>
        <w:tc>
          <w:tcPr>
            <w:tcW w:w="1555" w:type="dxa"/>
          </w:tcPr>
          <w:p w14:paraId="322D3E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w:t>
            </w:r>
          </w:p>
        </w:tc>
        <w:tc>
          <w:tcPr>
            <w:tcW w:w="2270" w:type="dxa"/>
          </w:tcPr>
          <w:p w14:paraId="0CB246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16,5</w:t>
            </w:r>
          </w:p>
        </w:tc>
      </w:tr>
      <w:tr w:rsidR="00860B4B" w:rsidRPr="00D03F3E" w14:paraId="62BF671A" w14:textId="77777777">
        <w:tc>
          <w:tcPr>
            <w:tcW w:w="2376" w:type="dxa"/>
          </w:tcPr>
          <w:p w14:paraId="723981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горючего</w:t>
            </w:r>
          </w:p>
        </w:tc>
        <w:tc>
          <w:tcPr>
            <w:tcW w:w="799" w:type="dxa"/>
          </w:tcPr>
          <w:p w14:paraId="232737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кг</w:t>
            </w:r>
          </w:p>
        </w:tc>
        <w:tc>
          <w:tcPr>
            <w:tcW w:w="925" w:type="dxa"/>
          </w:tcPr>
          <w:p w14:paraId="329B0B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w:t>
            </w:r>
          </w:p>
        </w:tc>
        <w:tc>
          <w:tcPr>
            <w:tcW w:w="1061" w:type="dxa"/>
          </w:tcPr>
          <w:p w14:paraId="010A53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700</w:t>
            </w:r>
          </w:p>
        </w:tc>
        <w:tc>
          <w:tcPr>
            <w:tcW w:w="1610" w:type="dxa"/>
          </w:tcPr>
          <w:p w14:paraId="0429FF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 1350</w:t>
            </w:r>
          </w:p>
        </w:tc>
        <w:tc>
          <w:tcPr>
            <w:tcW w:w="1555" w:type="dxa"/>
          </w:tcPr>
          <w:p w14:paraId="5A3F4F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405</w:t>
            </w:r>
          </w:p>
        </w:tc>
        <w:tc>
          <w:tcPr>
            <w:tcW w:w="2270" w:type="dxa"/>
          </w:tcPr>
          <w:p w14:paraId="49DA9C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480</w:t>
            </w:r>
          </w:p>
        </w:tc>
      </w:tr>
      <w:tr w:rsidR="00860B4B" w:rsidRPr="00D03F3E" w14:paraId="5B7309EF" w14:textId="77777777">
        <w:tc>
          <w:tcPr>
            <w:tcW w:w="2376" w:type="dxa"/>
          </w:tcPr>
          <w:p w14:paraId="63E334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E60F2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0847E6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495BB2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DDF9D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66A941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перегр. 3100</w:t>
            </w:r>
          </w:p>
        </w:tc>
        <w:tc>
          <w:tcPr>
            <w:tcW w:w="2270" w:type="dxa"/>
          </w:tcPr>
          <w:p w14:paraId="06508E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F658C46" w14:textId="77777777">
        <w:tc>
          <w:tcPr>
            <w:tcW w:w="2376" w:type="dxa"/>
          </w:tcPr>
          <w:p w14:paraId="675108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 скор.</w:t>
            </w:r>
          </w:p>
        </w:tc>
        <w:tc>
          <w:tcPr>
            <w:tcW w:w="799" w:type="dxa"/>
          </w:tcPr>
          <w:p w14:paraId="2ACCF2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км/час</w:t>
            </w:r>
          </w:p>
        </w:tc>
        <w:tc>
          <w:tcPr>
            <w:tcW w:w="925" w:type="dxa"/>
          </w:tcPr>
          <w:p w14:paraId="139236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610</w:t>
            </w:r>
          </w:p>
        </w:tc>
        <w:tc>
          <w:tcPr>
            <w:tcW w:w="1061" w:type="dxa"/>
          </w:tcPr>
          <w:p w14:paraId="6B45FE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450</w:t>
            </w:r>
          </w:p>
        </w:tc>
        <w:tc>
          <w:tcPr>
            <w:tcW w:w="1610" w:type="dxa"/>
          </w:tcPr>
          <w:p w14:paraId="77300A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555" w:type="dxa"/>
          </w:tcPr>
          <w:p w14:paraId="090E7E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номинале 644</w:t>
            </w:r>
          </w:p>
        </w:tc>
        <w:tc>
          <w:tcPr>
            <w:tcW w:w="2270" w:type="dxa"/>
          </w:tcPr>
          <w:p w14:paraId="0C05A3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номинале 650</w:t>
            </w:r>
          </w:p>
        </w:tc>
      </w:tr>
      <w:tr w:rsidR="00860B4B" w:rsidRPr="00D03F3E" w14:paraId="2F5B0975" w14:textId="77777777">
        <w:tc>
          <w:tcPr>
            <w:tcW w:w="2376" w:type="dxa"/>
          </w:tcPr>
          <w:p w14:paraId="05C344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земли</w:t>
            </w:r>
          </w:p>
        </w:tc>
        <w:tc>
          <w:tcPr>
            <w:tcW w:w="799" w:type="dxa"/>
          </w:tcPr>
          <w:p w14:paraId="2F27D1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25AFE1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677A32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5F36B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767F34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форсаже 665</w:t>
            </w:r>
          </w:p>
        </w:tc>
        <w:tc>
          <w:tcPr>
            <w:tcW w:w="2270" w:type="dxa"/>
          </w:tcPr>
          <w:p w14:paraId="0908BD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форсаже 675</w:t>
            </w:r>
          </w:p>
        </w:tc>
      </w:tr>
      <w:tr w:rsidR="00860B4B" w:rsidRPr="00D03F3E" w14:paraId="152552D2" w14:textId="77777777">
        <w:tc>
          <w:tcPr>
            <w:tcW w:w="2376" w:type="dxa"/>
          </w:tcPr>
          <w:p w14:paraId="528690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 скор.</w:t>
            </w:r>
          </w:p>
        </w:tc>
        <w:tc>
          <w:tcPr>
            <w:tcW w:w="799" w:type="dxa"/>
          </w:tcPr>
          <w:p w14:paraId="0F5674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км/час/</w:t>
            </w:r>
          </w:p>
        </w:tc>
        <w:tc>
          <w:tcPr>
            <w:tcW w:w="925" w:type="dxa"/>
          </w:tcPr>
          <w:p w14:paraId="02C418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730/6000</w:t>
            </w:r>
          </w:p>
        </w:tc>
        <w:tc>
          <w:tcPr>
            <w:tcW w:w="1061" w:type="dxa"/>
          </w:tcPr>
          <w:p w14:paraId="37F671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610" w:type="dxa"/>
          </w:tcPr>
          <w:p w14:paraId="047360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630-640/6000</w:t>
            </w:r>
          </w:p>
        </w:tc>
        <w:tc>
          <w:tcPr>
            <w:tcW w:w="1555" w:type="dxa"/>
          </w:tcPr>
          <w:p w14:paraId="594AD6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775/6500</w:t>
            </w:r>
          </w:p>
        </w:tc>
        <w:tc>
          <w:tcPr>
            <w:tcW w:w="2270" w:type="dxa"/>
          </w:tcPr>
          <w:p w14:paraId="270F68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780/6500</w:t>
            </w:r>
          </w:p>
        </w:tc>
      </w:tr>
      <w:tr w:rsidR="00860B4B" w:rsidRPr="00D03F3E" w14:paraId="32A829ED" w14:textId="77777777">
        <w:tc>
          <w:tcPr>
            <w:tcW w:w="2376" w:type="dxa"/>
          </w:tcPr>
          <w:p w14:paraId="53E711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боевой высоте</w:t>
            </w:r>
          </w:p>
        </w:tc>
        <w:tc>
          <w:tcPr>
            <w:tcW w:w="799" w:type="dxa"/>
          </w:tcPr>
          <w:p w14:paraId="6296C2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w:t>
            </w:r>
          </w:p>
        </w:tc>
        <w:tc>
          <w:tcPr>
            <w:tcW w:w="925" w:type="dxa"/>
          </w:tcPr>
          <w:p w14:paraId="4C9E43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6E8913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1BBC16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19AE1E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0" w:type="dxa"/>
          </w:tcPr>
          <w:p w14:paraId="47E4E1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28466E7" w14:textId="77777777">
        <w:tc>
          <w:tcPr>
            <w:tcW w:w="2376" w:type="dxa"/>
          </w:tcPr>
          <w:p w14:paraId="785D26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 скор.</w:t>
            </w:r>
          </w:p>
        </w:tc>
        <w:tc>
          <w:tcPr>
            <w:tcW w:w="799" w:type="dxa"/>
          </w:tcPr>
          <w:p w14:paraId="288B14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км/час/</w:t>
            </w:r>
          </w:p>
        </w:tc>
        <w:tc>
          <w:tcPr>
            <w:tcW w:w="925" w:type="dxa"/>
          </w:tcPr>
          <w:p w14:paraId="7AA40B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770/10000</w:t>
            </w:r>
          </w:p>
        </w:tc>
        <w:tc>
          <w:tcPr>
            <w:tcW w:w="1061" w:type="dxa"/>
          </w:tcPr>
          <w:p w14:paraId="02594C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610" w:type="dxa"/>
          </w:tcPr>
          <w:p w14:paraId="36C909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670-680/10000</w:t>
            </w:r>
          </w:p>
        </w:tc>
        <w:tc>
          <w:tcPr>
            <w:tcW w:w="1555" w:type="dxa"/>
          </w:tcPr>
          <w:p w14:paraId="597CDE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270" w:type="dxa"/>
          </w:tcPr>
          <w:p w14:paraId="266D84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800/9500</w:t>
            </w:r>
          </w:p>
        </w:tc>
      </w:tr>
      <w:tr w:rsidR="00860B4B" w:rsidRPr="00D03F3E" w14:paraId="116C0B2E" w14:textId="77777777">
        <w:tc>
          <w:tcPr>
            <w:tcW w:w="2376" w:type="dxa"/>
          </w:tcPr>
          <w:p w14:paraId="3C6C81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высоте в случае</w:t>
            </w:r>
          </w:p>
        </w:tc>
        <w:tc>
          <w:tcPr>
            <w:tcW w:w="799" w:type="dxa"/>
          </w:tcPr>
          <w:p w14:paraId="29BBDC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w:t>
            </w:r>
          </w:p>
        </w:tc>
        <w:tc>
          <w:tcPr>
            <w:tcW w:w="925" w:type="dxa"/>
          </w:tcPr>
          <w:p w14:paraId="26F3DF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74E4CD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8B1F9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2EBE67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0" w:type="dxa"/>
          </w:tcPr>
          <w:p w14:paraId="599DAF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B4F44E3" w14:textId="77777777">
        <w:tc>
          <w:tcPr>
            <w:tcW w:w="2376" w:type="dxa"/>
          </w:tcPr>
          <w:p w14:paraId="78F5A0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трехскоростного</w:t>
            </w:r>
          </w:p>
        </w:tc>
        <w:tc>
          <w:tcPr>
            <w:tcW w:w="799" w:type="dxa"/>
          </w:tcPr>
          <w:p w14:paraId="021D2D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347865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09ECB8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978B6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070DA0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0" w:type="dxa"/>
          </w:tcPr>
          <w:p w14:paraId="30C973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678C99C" w14:textId="77777777">
        <w:tc>
          <w:tcPr>
            <w:tcW w:w="2376" w:type="dxa"/>
          </w:tcPr>
          <w:p w14:paraId="6B1294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нагнетателя</w:t>
            </w:r>
          </w:p>
        </w:tc>
        <w:tc>
          <w:tcPr>
            <w:tcW w:w="799" w:type="dxa"/>
          </w:tcPr>
          <w:p w14:paraId="42E267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02B2A8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1AFA3D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D1D4F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387DB6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0" w:type="dxa"/>
          </w:tcPr>
          <w:p w14:paraId="49C8C6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89D016B" w14:textId="77777777">
        <w:tc>
          <w:tcPr>
            <w:tcW w:w="2376" w:type="dxa"/>
          </w:tcPr>
          <w:p w14:paraId="52DB25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полета</w:t>
            </w:r>
          </w:p>
        </w:tc>
        <w:tc>
          <w:tcPr>
            <w:tcW w:w="799" w:type="dxa"/>
          </w:tcPr>
          <w:p w14:paraId="3C2F63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км</w:t>
            </w:r>
          </w:p>
        </w:tc>
        <w:tc>
          <w:tcPr>
            <w:tcW w:w="925" w:type="dxa"/>
          </w:tcPr>
          <w:p w14:paraId="010EF2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800</w:t>
            </w:r>
          </w:p>
        </w:tc>
        <w:tc>
          <w:tcPr>
            <w:tcW w:w="1061" w:type="dxa"/>
          </w:tcPr>
          <w:p w14:paraId="356AD9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700</w:t>
            </w:r>
          </w:p>
        </w:tc>
        <w:tc>
          <w:tcPr>
            <w:tcW w:w="1610" w:type="dxa"/>
          </w:tcPr>
          <w:p w14:paraId="5F3993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 1000</w:t>
            </w:r>
          </w:p>
        </w:tc>
        <w:tc>
          <w:tcPr>
            <w:tcW w:w="1555" w:type="dxa"/>
          </w:tcPr>
          <w:p w14:paraId="3ECE44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625</w:t>
            </w:r>
          </w:p>
        </w:tc>
        <w:tc>
          <w:tcPr>
            <w:tcW w:w="2270" w:type="dxa"/>
          </w:tcPr>
          <w:p w14:paraId="0A2A02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770</w:t>
            </w:r>
          </w:p>
        </w:tc>
      </w:tr>
      <w:tr w:rsidR="00860B4B" w:rsidRPr="00D03F3E" w14:paraId="5DDEC63E" w14:textId="77777777">
        <w:tc>
          <w:tcPr>
            <w:tcW w:w="2376" w:type="dxa"/>
          </w:tcPr>
          <w:p w14:paraId="0A4C19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4867C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5658A4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219C23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7E0CDB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4E5059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перегр. 2400</w:t>
            </w:r>
          </w:p>
        </w:tc>
        <w:tc>
          <w:tcPr>
            <w:tcW w:w="2270" w:type="dxa"/>
          </w:tcPr>
          <w:p w14:paraId="7B9352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A229347" w14:textId="77777777">
        <w:tc>
          <w:tcPr>
            <w:tcW w:w="2376" w:type="dxa"/>
          </w:tcPr>
          <w:p w14:paraId="466830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w:t>
            </w:r>
          </w:p>
        </w:tc>
        <w:tc>
          <w:tcPr>
            <w:tcW w:w="799" w:type="dxa"/>
          </w:tcPr>
          <w:p w14:paraId="261317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мин.</w:t>
            </w:r>
          </w:p>
        </w:tc>
        <w:tc>
          <w:tcPr>
            <w:tcW w:w="925" w:type="dxa"/>
          </w:tcPr>
          <w:p w14:paraId="458215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w:t>
            </w:r>
          </w:p>
        </w:tc>
        <w:tc>
          <w:tcPr>
            <w:tcW w:w="1061" w:type="dxa"/>
          </w:tcPr>
          <w:p w14:paraId="2A7290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w:t>
            </w:r>
          </w:p>
        </w:tc>
        <w:tc>
          <w:tcPr>
            <w:tcW w:w="1610" w:type="dxa"/>
          </w:tcPr>
          <w:p w14:paraId="081F3B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w:t>
            </w:r>
          </w:p>
        </w:tc>
        <w:tc>
          <w:tcPr>
            <w:tcW w:w="1555" w:type="dxa"/>
          </w:tcPr>
          <w:p w14:paraId="312FCB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w:t>
            </w:r>
          </w:p>
        </w:tc>
        <w:tc>
          <w:tcPr>
            <w:tcW w:w="2270" w:type="dxa"/>
          </w:tcPr>
          <w:p w14:paraId="11A5A1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tc>
      </w:tr>
      <w:tr w:rsidR="00860B4B" w:rsidRPr="00D03F3E" w14:paraId="0A1F719E" w14:textId="77777777">
        <w:tc>
          <w:tcPr>
            <w:tcW w:w="2376" w:type="dxa"/>
          </w:tcPr>
          <w:p w14:paraId="3B78D8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высоты 5000 м (1458,134)</w:t>
            </w:r>
          </w:p>
        </w:tc>
        <w:tc>
          <w:tcPr>
            <w:tcW w:w="799" w:type="dxa"/>
          </w:tcPr>
          <w:p w14:paraId="260502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29342C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5199A0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DB6CE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392EAE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0" w:type="dxa"/>
          </w:tcPr>
          <w:p w14:paraId="4EF0E2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735670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1DF7E8" w14:textId="77777777" w:rsidR="008D4EFF" w:rsidRPr="00D03F3E" w:rsidRDefault="008D4EF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апреля 1943 года Шахурин доложил Сталину, что: «мотор М-250 с характеристиками, заявленными Добрыниным, представляет несомненный интерес для самолетостроения, несмотря на то, что внедрение его потребует создания нового истребителя и значительных переделок бомбардировщика и штурмовика» (17490).</w:t>
      </w:r>
    </w:p>
    <w:p w14:paraId="56BC6E66" w14:textId="77777777" w:rsidR="008D4EFF" w:rsidRPr="00D03F3E" w:rsidRDefault="008D4EFF" w:rsidP="00D03F3E">
      <w:pPr>
        <w:spacing w:after="0" w:line="240" w:lineRule="auto"/>
        <w:jc w:val="both"/>
        <w:rPr>
          <w:rFonts w:ascii="Times New Roman" w:hAnsi="Times New Roman"/>
          <w:color w:val="000000" w:themeColor="text1"/>
          <w:sz w:val="16"/>
          <w:szCs w:val="16"/>
        </w:rPr>
      </w:pPr>
    </w:p>
    <w:p w14:paraId="15E42735"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6CC0E2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B12ACB" w14:textId="77777777" w:rsidR="006A4DE0" w:rsidRPr="00D03F3E" w:rsidRDefault="006A4DE0" w:rsidP="00D03F3E">
      <w:pPr>
        <w:spacing w:after="0" w:line="240" w:lineRule="auto"/>
        <w:jc w:val="both"/>
        <w:textAlignment w:val="baseline"/>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16 апреля 1943-го кумулятивная противотанковая граната Н. П. Белякова из ГСКБ-30 (КБ-30) прошла первые полигонные испытания. Приказом заместителя наркома обороны, начальника ГАУ маршала Н. Н. Воронова от 18 апреля 1943 года на период 20–30 апреля назначались испытания на НИБТ полигоне в Кубинке «противотанковых гранат направленного действия конструкции КБ-30 в присутствии начальника КБ-30 Вицени и конструктора Белякова». Испытания проводились бойцами из войск 22–28 апреля и прошли удачно, и вскоре кумулятивная РПГ-43 (ручная противотанковая граната обр. 1943 г.) была принята на вооружение. </w:t>
      </w:r>
      <w:r w:rsidRPr="00D03F3E">
        <w:rPr>
          <w:rFonts w:ascii="Times New Roman" w:eastAsia="Times New Roman" w:hAnsi="Times New Roman"/>
          <w:color w:val="000000" w:themeColor="text1"/>
          <w:sz w:val="16"/>
          <w:szCs w:val="16"/>
          <w:lang w:eastAsia="ru-RU"/>
        </w:rPr>
        <w:lastRenderedPageBreak/>
        <w:t>Обращают на себя внимание короткие сроки создания нового оружия – от полигонных испытаний до войсковых прошло всего шесть дней, проводились они незадолго до начала сражения на Курской дуге, так что вопрос был более чем актуален. Уже летом 1943 года РПГ-43 начала поступать в войска.</w:t>
      </w:r>
    </w:p>
    <w:p w14:paraId="2DC376CD" w14:textId="77777777" w:rsidR="006A4DE0" w:rsidRPr="00D03F3E" w:rsidRDefault="006A4DE0" w:rsidP="00D03F3E">
      <w:pPr>
        <w:spacing w:after="0" w:line="240" w:lineRule="auto"/>
        <w:jc w:val="both"/>
        <w:textAlignment w:val="baseline"/>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Граната имела плоское дно и коническую крышку, под которой помещались жало и пружина запала. В корпусе размещались основной заряд с конической кумулятивной воронкой и дополнительный детонатор. Съемная рукоятка вмещала инерционный запал, двухленточный стабилизатор и предохранительный механизм. Уложенный стабилизатор прикрывался колпаком. Перед броском следовало снять рукоятку и вращением запала поджать его пружину. Рукоятка вновь присоединялась, за кольцо выдергивался предохранительный шплинт. После броска отлетала предохранительная планка, колпак стабилизатора сползал с рукоятки, вытягивая стабилизатор и при этом взводя запал. Стабилизатор обеспечивал правильный полет гранаты головной частью вперед и минимальный угол встречи.</w:t>
      </w:r>
    </w:p>
    <w:p w14:paraId="3EB17422" w14:textId="77777777" w:rsidR="006A4DE0" w:rsidRPr="00D03F3E" w:rsidRDefault="006A4DE0" w:rsidP="00D03F3E">
      <w:pPr>
        <w:spacing w:after="0" w:line="240" w:lineRule="auto"/>
        <w:jc w:val="both"/>
        <w:textAlignment w:val="baseline"/>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Появление на Курской дуге германских танков Pz.V «Пантера», Pz.VI «Тигр» и тяжелого танка-истребителя «Элефант» («Фердинанд») потребовало повысить бронепробиваемость гранат до 100–120 мм. В московском филиале НИИ-6 М. З. Полевиков, Л. Б. Иоффе, Н. С. Житких при участии Г. В. Хрусталева, А. Н. Осина и Е. И. Пыховой разработали кумулятивную гранату РПГ-6, в которой нетрудно увидеть сходство с появившейся несколько раньше на фронте германской гранатой PWM1 (L) (18988).</w:t>
      </w:r>
    </w:p>
    <w:p w14:paraId="38C11824" w14:textId="77777777" w:rsidR="006A4DE0" w:rsidRPr="00D03F3E" w:rsidRDefault="006A4DE0" w:rsidP="00D03F3E">
      <w:pPr>
        <w:spacing w:after="0" w:line="240" w:lineRule="auto"/>
        <w:jc w:val="both"/>
        <w:textAlignment w:val="baseline"/>
        <w:rPr>
          <w:rFonts w:ascii="Times New Roman" w:eastAsia="Times New Roman" w:hAnsi="Times New Roman"/>
          <w:color w:val="000000" w:themeColor="text1"/>
          <w:sz w:val="16"/>
          <w:szCs w:val="16"/>
          <w:lang w:eastAsia="ru-RU"/>
        </w:rPr>
      </w:pPr>
    </w:p>
    <w:p w14:paraId="62C7E4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апреля 1943 вышло Распоряжение ГКО № 3192. О расширении завода № 70 НКБ.РГАНИР, Фонд ГКО, д. 10, лл. 5, лл. 22-24, 25-27 (11012).</w:t>
      </w:r>
    </w:p>
    <w:p w14:paraId="2986E7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6C17D4"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48DB03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1A47F0"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апреля в 1943 году утреннее сообщение Совинформбюро:</w:t>
      </w:r>
    </w:p>
    <w:p w14:paraId="2C46870C"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16 апреля на фронтах существенных изменений не произошло.</w:t>
      </w:r>
    </w:p>
    <w:p w14:paraId="28B7AE6E"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части атаковали противника и заняли опорный пункт немцев. Гитлеровцы пытались контратаками восстановить положение, но понесли большие потери и не добились успеха. Захвачены у противника 2 танка, 6 орудий и другие трофеи.</w:t>
      </w:r>
    </w:p>
    <w:p w14:paraId="29AB67FC"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продолжали совершенствовать занимаемые рубежи. Артиллеристы Н-ской части разбили 3 дзота и взорвали склад противника с боеприпасами. Группа снайперов во главе с сержантом Авдеевым за два дня истребила 14 немецких солдат и офицеров.</w:t>
      </w:r>
    </w:p>
    <w:p w14:paraId="2FC106F7"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Чугуева противник атаковал позиции Н-ского подразделения. Наши бойцы встретили гитлеровцев залповым огнём, а затем перешли в контратаку и улучшили свои позиции. На поле боя подсчитано 90 вражеских трупов. Захвачено 5 пулемётов, несколько десятков автоматов и винтовок. На другом участке огнём бронепоезда сбит немецкий самолёт «Хейнкель-111».</w:t>
      </w:r>
    </w:p>
    <w:p w14:paraId="1B34F219"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штурмовики под командованием тт. Павличенко и Манохина и бомбардировщики под командованием т. Кованева совершили налёт на аэродром противника. Бомбами и пушечным огнём наши лётчики уничтожили 13 находившихся на земле немецких самолётов. В результате бомбардировки в районе аэродрома возникло 6 очагов пожара.</w:t>
      </w:r>
    </w:p>
    <w:p w14:paraId="59385DAE"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молдавских партизан в течение нескольких дней вёл активные действия против немецкой карательной экспедиции. Несмотря на численное превосходство противника, партизаны уничтожили более 50 гитлеровцев. Захвачены 2 пулемёта, несколько тысяч патронов, гранаты и другие трофеи.</w:t>
      </w:r>
    </w:p>
    <w:p w14:paraId="626EC9AE"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украинских партизан пустил под откос немецкий воинский эшелон, следовавший к линии фронта. При крушении разбиты паровоз и 18 классных вагонов. Движение на этом участке железной дороги прервано.</w:t>
      </w:r>
    </w:p>
    <w:p w14:paraId="4F3C0083"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ефрейтор 1 батареи 68 немецкого артиллерийского дивизиона Гергардт Блеек рассказал: «Поражение 6 немецкой армии под Сталинградом вызвало в Германии всеобщее уныние. Теперь многих грызёт сомнение, страшит неизвестность. На фронте офицеры стараются рассеять мрачное настроение солдат, вселяя в них несбыточные надежды, но речи офицеров теперь звучат неубедительно. За время войны против России немецкая армия стала не сильнее, а гораздо слабее. Она потеряла уже миллионы солдат и лучшие дивизии. Отступая из «Демянского котла», я видел бесчисленное множество кладбищ, где похоронены немецкие солдаты. В Залучье я насчитал на трёх кладбищах 4.000 крестов. Между деревнями Бяково и Омычкино я видел два огромных кладбища по 3 тысячи могил на каждом. Почти в любой деревушке есть немецкие кладбища. Я видел только небольшой район боёв. На других участках фронта, где происходили более ожесточённые бои, могил, пожалуй, не меньше, а больше. На этих кладбищах похоронены не только немецкие солдаты, но и авантюристические планы немецкого командования».</w:t>
      </w:r>
    </w:p>
    <w:p w14:paraId="4BEC756F"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Получено сообщение о кровавой расправе немецко-фашистских мерзавцев над мирными жителями села Красный Двор, Витебской области. Гитлеровские бандиты расстреляли семьи Москалёва, Гущенко, Суворова и других колхозников. Зверски убит врач Козырецкий. Фашистские изверги расстреляли также и всю семью врача Козырецкого.».</w:t>
      </w:r>
    </w:p>
    <w:p w14:paraId="496206FB"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1943 году вечернее сообщение Совинформбюро:</w:t>
      </w:r>
    </w:p>
    <w:p w14:paraId="50B294FD"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16 апреля на фронтах существенных изменений не произошло.</w:t>
      </w:r>
    </w:p>
    <w:p w14:paraId="6E0A8486"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апреля частями нашей авиации на различных участках фронта уничтожено или повреждено не менее 5 немецких танков, 30 автомашин с войсками и грузами, подавлен огонь зенитной батареи противника.</w:t>
      </w:r>
    </w:p>
    <w:p w14:paraId="248B07FC"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части Н-ского соединения отбивали контратаки противника. На одном участке превосходящим силам противника утром удалось захватить одну высоту. К исходу дня наши бойцы отбросили гитлеровцев и вновь овладели этой высотой, имеющей важное значение. На другом участке немцы предприняли несколько контратак силами двух полков пехоты и 50 танков. Все контратаки противника отбиты с большими для него потерями.</w:t>
      </w:r>
    </w:p>
    <w:p w14:paraId="04BE1967"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на одном участке немцы ввели в бой мотоциклетный и два пехотных батальона, 6 танков и 5 самоходных пушек. Огнём артиллерии, а также контратаками наши подразделения нанесли гитлеровцам значительный урон и вынудили их отступить. В результате боя уничтожено до 300 вражеских солдат и офицеров, подбито 4 немецких танка и 2 самоходные пушки.</w:t>
      </w:r>
    </w:p>
    <w:p w14:paraId="0BE14981"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укрепляли занимаемые рубежи. Отряд разведчиков Н-ской части проник в тыл противника и пустил под откос воинский эшелон, следовавший к линии фронта. При крушении разбиты паровоз и 25 платформ с военной техникой. Бойцы другого отряда в тылу противника взорвали два больших моста на шоссейной дороге.</w:t>
      </w:r>
    </w:p>
    <w:p w14:paraId="5CCD9F78"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экипаж танка гвардии лейтенанта Фёдорова, находившийся в засаде, заметил на дороге 3 танка противника. Лейтенант открыл огонь по ведущему танку и подбил его. Два других немецких танка повернули обратно и пытались скрыться. Преследуя вражеские машины, советские танкисты нагнали их и сожгли оба танка.</w:t>
      </w:r>
    </w:p>
    <w:p w14:paraId="576BB4FB"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артиллерийское подразделение, где командиром старший лейтенант Гусак, разрушило 5 дзотов, 6 блиндажей и уничтожило 8 пулемётных точек противника. Зенитчики подразделения под командованием лейтенанта Куренкина сбили немецкий самолёт «Хейнкель-111».</w:t>
      </w:r>
    </w:p>
    <w:p w14:paraId="5A0ADAB9"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Ленинградской области, 5 апреля совершил налёт на гарнизон противника в одном населённом пункте. Партизаны перерезали связь, сняли часовых и внезапно напали на немецких солдат и офицеров. Уничтожено 40 гитлеровцев, 11 автомашин и взорван склад с боеприпасами. Партизаны другого отряда на железнодорожном перегоне пустили под откос эшелон немецко-фашистских оккупантов. Разбиты паровоз и 7 вагонов с боеприпасами и разным военным имуществом.</w:t>
      </w:r>
    </w:p>
    <w:p w14:paraId="6D75C75E" w14:textId="77777777" w:rsidR="000E2987" w:rsidRPr="00D03F3E" w:rsidRDefault="000E29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убили в селе Ивня, Курской области, 138 мирных советских граждан. Перед казнью немецкие палачи зверски мучили и пытали свои жертвы. Немцы повесили советских работников Башмакова и Наумова. Зверски замучен фашистами герой гражданской войны орденоносец Кирилл Ельцов. Бандиты прострелили ему руки и ноги, разбили голову, а потом расстреляли. Избитого и истерзанного председателя колхоза «Красный кооператор» Филиппа Ховякова гитлеровцы трижды вешали и, продержав по нескольку секунд, снимали с виселицы. Сыну колхозника Беликова убийцы вывернули руки и разбили голову. Перед отступлением немцы загнали 600 жителей в сарай и продержали их три дня взаперти без пищи и воды. Гитлеровцы намеревались угнать всех этих советских людей на каторгу в Германию, но не успели. Подошедшие части Красной Армии спасли колхозников и колхозниц от фашистского рабства.» (15101).</w:t>
      </w:r>
    </w:p>
    <w:p w14:paraId="5A6E4B05" w14:textId="77777777" w:rsidR="000E2987" w:rsidRPr="00D03F3E" w:rsidRDefault="000E2987" w:rsidP="00D03F3E">
      <w:pPr>
        <w:spacing w:after="0" w:line="240" w:lineRule="auto"/>
        <w:jc w:val="both"/>
        <w:rPr>
          <w:rFonts w:ascii="Times New Roman" w:hAnsi="Times New Roman"/>
          <w:color w:val="000000" w:themeColor="text1"/>
          <w:sz w:val="16"/>
          <w:szCs w:val="16"/>
        </w:rPr>
      </w:pPr>
    </w:p>
    <w:p w14:paraId="5440F1F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апреля 1943 24,66,21,64,62,30 и 16-ая общевойсковые армии были удостоены звания гвардейских, став соответственно: 4,5,6,7,8,10 и 11-ой гвардейскими армиями (4963 ).</w:t>
      </w:r>
    </w:p>
    <w:p w14:paraId="5A900AF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027F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апреля 1943 вышло Постановление ГКО № 3193 О члене Военного совета Волховского фронта.РГАНИР, Фонд ГКО, д. 10, лл. 5, лл. 28 (11012).</w:t>
      </w:r>
    </w:p>
    <w:p w14:paraId="71EE9B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CD229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7DB43E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6D7641" w14:textId="77777777" w:rsidR="00F40F75" w:rsidRPr="00D03F3E" w:rsidRDefault="00F40F7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16 апреля 1943 - Самолет Me.261-V3 (BJ+CR), управляемй Карлом Бауром, за 10 часов совершил перелет в 4500 км, таким образом установив неофициальный рекорд.</w:t>
      </w:r>
    </w:p>
    <w:p w14:paraId="1D5E8F3B" w14:textId="77777777" w:rsidR="00F40F75" w:rsidRPr="00D03F3E" w:rsidRDefault="00F40F7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Этот прототип отличался от остальных двигателем DB 610 (также парный) и дополнительным местом еще для двух членов экипажа. Первый полет прошел в начале 1943 года. Данный прототип подвергся более длительным летным испытаниям, нежели остальные. В июле 1943 года была выявлена поломка гидравлики и самолет отправили на ремонт в Ораниенбург. Впоследствии прототип был передан Люфтваффе для выполнения разведывательных миссий на большие расстояния (22533).</w:t>
      </w:r>
    </w:p>
    <w:p w14:paraId="4FA98853" w14:textId="77777777" w:rsidR="00F40F75" w:rsidRPr="00D03F3E" w:rsidRDefault="00F40F75" w:rsidP="00D03F3E">
      <w:pPr>
        <w:spacing w:after="0" w:line="240" w:lineRule="auto"/>
        <w:jc w:val="both"/>
        <w:rPr>
          <w:rFonts w:ascii="Times New Roman" w:hAnsi="Times New Roman"/>
          <w:color w:val="0070C0"/>
          <w:sz w:val="16"/>
          <w:szCs w:val="16"/>
        </w:rPr>
      </w:pPr>
    </w:p>
    <w:p w14:paraId="35DFB357" w14:textId="77777777" w:rsidR="00F40F75" w:rsidRPr="00D03F3E" w:rsidRDefault="00F40F7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16 апреля 1943, полагая, что они потопили крейсер, два эсминца и 25 транспортов и сбили 175 самолетов союзников , японцы прекращают воздушное наступление. Фактические потери союзников: один эсминец, один танкер, один корвет, два грузовых корабля потоплены и около 25 самолетов сбито (20736).</w:t>
      </w:r>
    </w:p>
    <w:p w14:paraId="61EFEC9E" w14:textId="77777777" w:rsidR="00F40F75" w:rsidRPr="00D03F3E" w:rsidRDefault="00F40F75" w:rsidP="00D03F3E">
      <w:pPr>
        <w:spacing w:after="0" w:line="240" w:lineRule="auto"/>
        <w:jc w:val="both"/>
        <w:rPr>
          <w:rFonts w:ascii="Times New Roman" w:hAnsi="Times New Roman"/>
          <w:color w:val="0070C0"/>
          <w:sz w:val="16"/>
          <w:szCs w:val="16"/>
        </w:rPr>
      </w:pPr>
    </w:p>
    <w:p w14:paraId="06E144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апреля 1943 в Лондоне было объявлено об обнаружении массовых захоронений польских офицеров в Катынском лесу (2262).</w:t>
      </w:r>
    </w:p>
    <w:p w14:paraId="0B1685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FC7DF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апреля 1943 польское правительство в изгнании обратилось к Красному Кресту с просьбой расследовать массовое убийство поляков в Катынском лесу (4962).</w:t>
      </w:r>
    </w:p>
    <w:p w14:paraId="6678AEC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D566C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1BD598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575B89"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апреля в 1943 году самолет «Me.261-V3» («BJ+CR»), управляемй Карлом Бауром, за 10 часов совершил перелет в 4500 км, таким образом установив неофициальный рекорд. Этот прототип отличался от остальных двигателем «DB 610» (также парный) и дополнительным местом еще для двух членов экипажа. Первый полет прошел в начале 1943 года. Данный прототип подвергся более длительным летным испытаниям, нежели остальные. В июле 1943 года была выявлена поломка гидравлики и самолет отправили на ремонт в Ораниенбург. Впоследствии прототип был передан Люфтваффе для выполнения разведывательных миссий на большие расстояния. Тактико-технические характеристики «Me 261 V3»: длина: 16,68 м; размах крыльев: 26,86 м; высота: 4,71 м; двигатели: два 24-цилиндровых V-образных двигателя "Даймлер-Бенц" «DB610А/В» (пара «DB 605»), мощностью 2133 кВт (при 2900 оборотов в минуту) каждый; максимальная скорость: 620 км/ч на высоте 3000 м; дальность действия: 11024 км; потолок: 8260 м (15101).</w:t>
      </w:r>
    </w:p>
    <w:p w14:paraId="6E5F8882" w14:textId="77777777" w:rsidR="00837C1B" w:rsidRPr="00D03F3E" w:rsidRDefault="00837C1B" w:rsidP="00D03F3E">
      <w:pPr>
        <w:spacing w:after="0" w:line="240" w:lineRule="auto"/>
        <w:jc w:val="both"/>
        <w:rPr>
          <w:rFonts w:ascii="Times New Roman" w:hAnsi="Times New Roman"/>
          <w:color w:val="000000" w:themeColor="text1"/>
          <w:sz w:val="16"/>
          <w:szCs w:val="16"/>
        </w:rPr>
      </w:pPr>
    </w:p>
    <w:p w14:paraId="6204D93D" w14:textId="77777777" w:rsidR="0004098B" w:rsidRPr="00D03F3E" w:rsidRDefault="0004098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апреля в 1943 году рейхсфюрер СС и имперский министр внутренних дел Генрих Гиммлер посетил ракетный центр «Пенемюнде» и заявил главному конструктору Вернеру фон Брауну: «Если фюрер решил оказать свою поддержку производству ракетного оружия, то ваша работа... принадлежит теперь всему немецкому народу. Я беру на себя задачу ее охраны от саботажа и измены». В качестве рабочей силы в «Пенемюнде» использовали лишенных всякой связи с внешним миром заключенных из концлагерей. Через два месяца Гиммлер снова приехал туда, и в его присутствии были проведены два пробных ракетных запуска. Однако сохранить программу в тайне гитлеровцам не удалось: в августе союзники подвергли центр жесточайшей бомбардировке. Более половины всех сооружений «Пенемюнде» были уничтожены. Начальник штаба люфтваффе Ганс Ешоннек на следующий день застрелился (15101).</w:t>
      </w:r>
    </w:p>
    <w:p w14:paraId="6F0ED64B" w14:textId="77777777" w:rsidR="0004098B" w:rsidRPr="00D03F3E" w:rsidRDefault="0004098B" w:rsidP="00D03F3E">
      <w:pPr>
        <w:spacing w:after="0" w:line="240" w:lineRule="auto"/>
        <w:jc w:val="both"/>
        <w:rPr>
          <w:rFonts w:ascii="Times New Roman" w:hAnsi="Times New Roman"/>
          <w:color w:val="000000" w:themeColor="text1"/>
          <w:sz w:val="16"/>
          <w:szCs w:val="16"/>
        </w:rPr>
      </w:pPr>
    </w:p>
    <w:p w14:paraId="273FF2F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апреля 1943 в Мехико Жак Монар приговорен к 20 годам тюрьмы и 6 месяцам ношения ледоруба за участие в убийстве Троцкого (4962).</w:t>
      </w:r>
    </w:p>
    <w:p w14:paraId="5B596B3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72E344" w14:textId="77777777" w:rsidR="0004098B" w:rsidRPr="00D03F3E" w:rsidRDefault="0004098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апреля в 1943 году Альберт Хофман (Albert Hofmann) открыл психотропные свойства ЛСД (15101).</w:t>
      </w:r>
    </w:p>
    <w:p w14:paraId="228569B8" w14:textId="77777777" w:rsidR="0004098B" w:rsidRPr="00D03F3E" w:rsidRDefault="0004098B" w:rsidP="00D03F3E">
      <w:pPr>
        <w:spacing w:after="0" w:line="240" w:lineRule="auto"/>
        <w:jc w:val="both"/>
        <w:rPr>
          <w:rFonts w:ascii="Times New Roman" w:hAnsi="Times New Roman"/>
          <w:color w:val="000000" w:themeColor="text1"/>
          <w:sz w:val="16"/>
          <w:szCs w:val="16"/>
        </w:rPr>
      </w:pPr>
    </w:p>
    <w:p w14:paraId="73356C4A"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38858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C2BA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1943 вышел приказ НКАП N 222с:</w:t>
      </w:r>
    </w:p>
    <w:p w14:paraId="498956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изучения причин увеличения количества дефектов на моторах М-88Б, эксплуатариуемых на самолетах Ил-4 частями АДД, создать комиссию" (1708,196).</w:t>
      </w:r>
    </w:p>
    <w:p w14:paraId="34D044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DA49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1943 в НИИ ВВС неудовлетворительно закончились испытания Як-1 N 07127 292 завода, которые шли с 9 апреля (1784,271).</w:t>
      </w:r>
    </w:p>
    <w:p w14:paraId="353D88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B79D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1943 неудовлетворительно закончились гос. испытания самолет Як-1 N 07127 производства завода 292, которые шли с 9 апреля 1943, по причине:</w:t>
      </w:r>
    </w:p>
    <w:p w14:paraId="631ACD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высоких температурных режимов</w:t>
      </w:r>
    </w:p>
    <w:p w14:paraId="164C32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неправильной выработки горючего</w:t>
      </w:r>
    </w:p>
    <w:p w14:paraId="04318D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забрызгивания маслом козырька кабины пилота</w:t>
      </w:r>
    </w:p>
    <w:p w14:paraId="7BFC51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тяжелого управления самолетом (1778,271).</w:t>
      </w:r>
    </w:p>
    <w:p w14:paraId="19CCED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CED9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17 по 28 апреля 1943 л А.Г.Прошаков и и Г.А.Седов проводили гос. испытания Як-9П с М-105ПФ и одной синхронной ШВАК. Оказалось маловато будет (65,121).</w:t>
      </w:r>
    </w:p>
    <w:p w14:paraId="4B8B6F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4929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17 по 28 апреля 1943 Як-9П проходил государственные испытания в НИИ ВВС. Ведущими на этом этапе были инженер Г.А. Седов и летчик А.Г. Прошаков.</w:t>
      </w:r>
    </w:p>
    <w:p w14:paraId="74DC30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года из сборочного цеха опытного завода № 115 выкатили пушечный Як-9П (зав. № 0120) с мотором М-105ПФ и винтом ВИШ-61П с 2-мя пушками ШВАК. Истребитель Як-9П, представлявший собой доработанный Як-9 № 0120 завода № 153. В отличие от серийной машины, на Як-9П пулемет УБС заменили синхронной пушкой СП-20 (ШВАК) с укороченным стволом. Орудие располагалось над мотором с левой стороны и крепилось на ферме, допускавшей замену пулеметом УБС. Одновременно механизм перезарядки мотор-пушки МП-20 дополнили пневмомеханическим устройством, а баллоны со сжатым воздухом (для запуска двигателя) и аккумулятор расположили под верхним гаргротом фюзеляжа около киля. Вооружение усилили, но до установки прозрачной брони дело не дошло.</w:t>
      </w:r>
    </w:p>
    <w:p w14:paraId="3E42CE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показали испытания Як-9П, техника пилотирования по сравнению с серийным Як-9, не изменилась, а секундный залп возрос в 1,25 раза, и самолет мог более эффективно использоваться как в воздушных боях, так и против наземных целей. Вес самолета при этом практически не изменился.</w:t>
      </w:r>
    </w:p>
    <w:p w14:paraId="2401BC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Специалисты НИИ ВВС не спешили с рекомендацией запуска Як-9П в серийное производство и предложили для начала построить 100-150 самолетов этого типа для войсковых испытаний. Однако это пожелание так и осталось на бумаге, а вместо Як-9П вскоре был создан Як-9Т с пушкой калибра 37 мм (12046).</w:t>
      </w:r>
    </w:p>
    <w:p w14:paraId="71BB32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8128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1943 датировано краткое техническое описание Як-1 М с двигателем М-107А завода №115. Вооружение его сохранилось, как и на первом опытном экземпляре Як-1 М с двигателем М-105ПФ, - одна мотор-пушка МП-20 и пулемет БС (12047).</w:t>
      </w:r>
    </w:p>
    <w:p w14:paraId="37088C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Сведений о его летных испытания обнаружить не удалось, но известно, что после заводских испытаний первый прототип Як-3 с мотором ВК-107А подвергли переделкам на опытном заводе №115. Доработки в основном были связаны с заменой вооружения на два синхронных орудия Б-20С.</w:t>
      </w:r>
    </w:p>
    <w:p w14:paraId="5DF002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продолжались с 22 ноября 1943- го по 6 января 1944 года, когда машину выкатили на аэродром. Чтобы выдержать требуемый противокапотажный угол, кабину пилота, как и на Як-9, сместили назад на 400 мм. На самолет установили облегченный винт ВИШ-107 с обтекателями комлей лопастей и изготовили два варианта всасывающих патрубков нагнетателя и входных туннелей маслорадиатора. Для испытаний подготовили также два варианта установки вооружения. 13 января 1944 года Як-3 №1 с двигателем ВК-107А и снятым вооружением (взлетный вес 2800 кг) был поднят в воздух летчиком-испыта- телем генерал-майором инженерно-авиационной службы П.Я. Федрови (ведущий инженер - A.M. Дружинин).</w:t>
      </w:r>
    </w:p>
    <w:p w14:paraId="5BA226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заводских испытаний трижды меняли двигатели, выполнив 38 полетов обшей продолжительностью 14 часов 50 минут. Причиной тому было недостаточное охлаждение мотора. Фактически основные усилия испытателей были направлены на доводку силовой установки, и лишь после 25 полетов удалось приступить к снятию летных характеристик. К этому времени взлетный вес машины возросло 2984 кг, но продолжал оставаться рекордно низким по сравнению с самолетами противника, а нагрузка на взлетную мощность двигателя у него не превышала 1,81 кг/л.с. В то же время у трехточечного Bfl09G-2 она составляла 1,95 кг/л.с., у Bf 109G-6 - 1,97 кг/л.с., а у FW190A-4 и его варианта "А-8" - 2,52 кг/л.с.</w:t>
      </w:r>
    </w:p>
    <w:p w14:paraId="76A107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в сочетании с хорошей отделкой планера, позволило получить у земли скорость 611 км/ч, а на 2-й границе высотности (5750 метров) - 720 км/ч. Самолет поднимался на высоту 5000 метров за 3,9 минуты и за боевой разворот (с высоты 1000 метров) набирал 1500 метров, превзойдя Як-3 с мотором ВК-105ПФ2. Практический потолок машины составил 11 800 метров. По времени виража (17 - 18 секунд на высоте 1000 метров) самолет был сопоставим с Як-3 с двигателем ВК-105ПФ2. Правда, взлетно-посадочные данные ухудшились. Так, длина разбега возросла с 275 до 345 метров, а пробега - с 485 до 590 метров.</w:t>
      </w:r>
    </w:p>
    <w:p w14:paraId="1AADE0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технике пилотирования истребитель, как и его предшественник, был прост и доступен пилотам средней квалификации. Пилотажно-навигационное и специальное оборудование машины позволяло эксплуатировать его лишь в простых метеоусловиях при видимости земных ориентиров. Но был и положительный момент. Дальность устойчивой радиосвязи возросла как минимум до 100 км и отвечала требованиям заказчика.</w:t>
      </w:r>
    </w:p>
    <w:p w14:paraId="1B8F95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заводских испытаний дали о себе знать и дефекты вооружения. После 329 выстрелов сломался передний шкворень крепления правой пушки. Помимо этого, отмечался недостаточный противокапо- тажный угол (20,5 - 23,5 градуса) при требуемом 26,5 градуса.</w:t>
      </w:r>
    </w:p>
    <w:p w14:paraId="6E67F4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все эти достижения "тонули" на фоне тяжелого температурного режима и низкого ресурса двигателя. Свою негативную роль сыграла и плохая герметизация его трущихся частей. Достаточно сказать, что на высотах более 8200 метров падало давление бензина и масла ниже минимального предела 3,5 кг/см2 (12047).</w:t>
      </w:r>
    </w:p>
    <w:p w14:paraId="250942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471F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17 по 28 апреля 1943 в НИИ ВВС проходили контрольные испытания Як-6 № 01347 з-да № 47.</w:t>
      </w:r>
    </w:p>
    <w:p w14:paraId="169056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Изменения по сравнения с опытным:</w:t>
      </w:r>
    </w:p>
    <w:p w14:paraId="3A5926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Усилен пол грузовой кабины,</w:t>
      </w:r>
    </w:p>
    <w:p w14:paraId="093624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Грузовая кабина оборудована откидными сидениями для 4 пассажиров,</w:t>
      </w:r>
    </w:p>
    <w:p w14:paraId="7D1FCE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Дверь грузовой кабины сделана съемной,</w:t>
      </w:r>
    </w:p>
    <w:p w14:paraId="48497A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Установлен авиагоризонт,</w:t>
      </w:r>
    </w:p>
    <w:p w14:paraId="45FABE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 приборной доской установленкозырек для устранения бликов,</w:t>
      </w:r>
    </w:p>
    <w:p w14:paraId="3F5DF0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Увеличено на 2 гр поперечное V крыла,</w:t>
      </w:r>
    </w:p>
    <w:p w14:paraId="11EEB4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Фанерные баки заменены металлическими.</w:t>
      </w:r>
    </w:p>
    <w:p w14:paraId="0D8573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Машина испытания выдержала (4657, 18).</w:t>
      </w:r>
    </w:p>
    <w:p w14:paraId="53AB2D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FEDF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1943 г. Ла-5 с ТК-3 (Ла-5ТК) впер</w:t>
      </w:r>
      <w:r w:rsidRPr="00D03F3E">
        <w:rPr>
          <w:rFonts w:ascii="Times New Roman" w:hAnsi="Times New Roman"/>
          <w:color w:val="000000" w:themeColor="text1"/>
          <w:sz w:val="16"/>
          <w:szCs w:val="16"/>
        </w:rPr>
        <w:softHyphen/>
        <w:t>вые поднялся в воздух. Уже в первых полетах была получена скорость 660 км/ч на 8000 м и потолок 12200 м, компрессор работал нор</w:t>
      </w:r>
      <w:r w:rsidRPr="00D03F3E">
        <w:rPr>
          <w:rFonts w:ascii="Times New Roman" w:hAnsi="Times New Roman"/>
          <w:color w:val="000000" w:themeColor="text1"/>
          <w:sz w:val="16"/>
          <w:szCs w:val="16"/>
        </w:rPr>
        <w:softHyphen/>
        <w:t>мально, правда, мотор перегревался. По летным дан</w:t>
      </w:r>
      <w:r w:rsidRPr="00D03F3E">
        <w:rPr>
          <w:rFonts w:ascii="Times New Roman" w:hAnsi="Times New Roman"/>
          <w:color w:val="000000" w:themeColor="text1"/>
          <w:sz w:val="16"/>
          <w:szCs w:val="16"/>
        </w:rPr>
        <w:softHyphen/>
        <w:t>ным и характеристикам Ла-5 М-82Ф с ТК-3 превосхо</w:t>
      </w:r>
      <w:r w:rsidRPr="00D03F3E">
        <w:rPr>
          <w:rFonts w:ascii="Times New Roman" w:hAnsi="Times New Roman"/>
          <w:color w:val="000000" w:themeColor="text1"/>
          <w:sz w:val="16"/>
          <w:szCs w:val="16"/>
        </w:rPr>
        <w:softHyphen/>
        <w:t>дил Як-9ПД, но уступал истребителю Микояна И-231 с двигателем АМ-39 (11123).</w:t>
      </w:r>
    </w:p>
    <w:p w14:paraId="14CD24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0B55AD" w14:textId="77777777" w:rsidR="008D4EFF" w:rsidRPr="00D03F3E" w:rsidRDefault="008D4EF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1943 на запрос НИИ ВВС у начальника самолётного управления И.Сафронова резолюции о возможности постройки опытного экземпляра Гу-ВРД был получен ответ: “… самолет летать, по-видимому, будет с указанной скоростью, но беда в том, что двигателя, кроме фамилии автора, на сегодня нет. Следовательно, упор на двигатель". То есть, проект истребителя отклонялся по причине отсутствия ТКВРД.</w:t>
      </w:r>
    </w:p>
    <w:p w14:paraId="56E29434" w14:textId="77777777" w:rsidR="008D4EFF" w:rsidRPr="00D03F3E" w:rsidRDefault="008D4EF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Гудков в корне не согласился с мнением Сафронова и в объяснительной записке упомянул что Люлька уже построил на 70% двигатель с тягой 750 кгс, а в конце марта 1943 года прошел испытания двуступенчатый осевой компрессор – стало быть, появление полноценного ТКВРД можно было ожидать уже в 1944 году. Со своей стороны, Сафронов не придал этому факту никакого значения, фактически проигнорировав мнение конструкторов. И все жё, Гудкову удалось сдвинуть дело с мертвой точки. За неделю до этого было послано ещё несколько писем на имя Маленкова и Шухарина (15570).</w:t>
      </w:r>
    </w:p>
    <w:p w14:paraId="4D5C7E3C" w14:textId="77777777" w:rsidR="008D4EFF" w:rsidRPr="00D03F3E" w:rsidRDefault="008D4EFF" w:rsidP="00D03F3E">
      <w:pPr>
        <w:spacing w:after="0" w:line="240" w:lineRule="auto"/>
        <w:jc w:val="both"/>
        <w:rPr>
          <w:rFonts w:ascii="Times New Roman" w:hAnsi="Times New Roman"/>
          <w:color w:val="000000" w:themeColor="text1"/>
          <w:sz w:val="16"/>
          <w:szCs w:val="16"/>
        </w:rPr>
      </w:pPr>
    </w:p>
    <w:p w14:paraId="70639A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1943 г. по приказу № 225с ОКБ завода № 34 с 1.04.1943 г. получило наименование ОКБ-124 НКАП и передано в подчинение заводу № 124. Головное ОКБ по радиаторам. С 1.07.1946 г. ОКБ-124 объединено с заводом № 124 в единый опытный завод № 124 в системе 7ГУ. По приказу № 440с от 21.06.1948 г. завод преобразован в серийный, ОКБ-124 выделилось из его состава. С 1957 г. ОКБ передано из 7ГУ в 6ГУ. С 01.1960 г. для усиления опытно-конструкторской и экспериментальной базы ОКБ вновь объединено с заводом в единое предприятие. Вместо ликвидированного серийного КБ при ОКБ образован техотдел. В послевоенный период работы по криогенно-вакуумной технике, системам кондиционирования воздуха в кабинах ЛА. Радиаторы и обогреватели, турбохолодильники, ТМР, арматура, оборудование для высотных полетов. Гл. конструктор (04.1943-85 г.)- Г.И. Воронин (10776).</w:t>
      </w:r>
    </w:p>
    <w:p w14:paraId="382A8D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7C49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1943 г. по приказу № 225с ОКБ завода № 34, в августе 1942 г. переведенное в Москву на площадку завода № 124, с 1.04.1943 г. получило наименование ОКБ-124 НКАП и передано в подчинение заводу № 124. Головное ОКБ по радиаторам. В 1944 г. создан первый воздухо-воздушный радиатор, в 06.1948 г. - первый авиационный турбохолодильник.</w:t>
      </w:r>
    </w:p>
    <w:p w14:paraId="621A7F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1.07.1946 г. ОКБ-124 объединено с заводом № 124 в единый опытный завод № 124 в системе 7ГУ. По приказу № 440с от 21.06.1948 г. завод преобразован в серийный, ОКБ-124 выделено из его состава. С 1957 г. ОКБ передано из 7ГУ в 6ГУ, с 08.1957 г.- в ведении 2ГУ МАП. С 01.1960 г. для усиления опытно-конструкторской и экспериментальной базы ОКБ вновь объединено с заводом в единое предприятие. Вместо ликвидированного серийного КБ при ОКБ образован техотдел.</w:t>
      </w:r>
    </w:p>
    <w:p w14:paraId="2D9140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послевоенный период работы по криогенно-вакуумной технике, системам кондиционирования воздуха в кабинах </w:t>
      </w:r>
      <w:r w:rsidRPr="00D03F3E">
        <w:rPr>
          <w:rFonts w:ascii="Times New Roman" w:hAnsi="Times New Roman"/>
          <w:color w:val="000000" w:themeColor="text1"/>
          <w:sz w:val="16"/>
          <w:szCs w:val="16"/>
          <w:lang w:val="en-US"/>
        </w:rPr>
        <w:t>JIA</w:t>
      </w:r>
      <w:r w:rsidRPr="00D03F3E">
        <w:rPr>
          <w:rFonts w:ascii="Times New Roman" w:hAnsi="Times New Roman"/>
          <w:color w:val="000000" w:themeColor="text1"/>
          <w:sz w:val="16"/>
          <w:szCs w:val="16"/>
        </w:rPr>
        <w:t>. Радиаторы и обогреватели, турбохолодильники, ТМР, арматура, оборудование для высотных полетов.</w:t>
      </w:r>
    </w:p>
    <w:p w14:paraId="385B9E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(04.1943-85 г.)-  Г.И. Воронин (11982).</w:t>
      </w:r>
    </w:p>
    <w:p w14:paraId="2DE956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AF0A0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351FBC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8C89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1943 г. вышло РАСПОРЯЖЕНИЕ НАЧАЛЬНИКА ГБТУ КА НАЧАЛЬНИКУ НИ ПОЛИГОНА О ПРОВЕДЕНИИ ИСПЫТАНИЯ 37-мм ТАНКОВОЙ ПУШКИ №0311</w:t>
      </w:r>
    </w:p>
    <w:p w14:paraId="337EF14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ГБТУ КА генерал-лейтенант танковых войск т. Вершинин приказал представить воз</w:t>
      </w:r>
      <w:r w:rsidRPr="00D03F3E">
        <w:rPr>
          <w:rFonts w:ascii="Times New Roman" w:hAnsi="Times New Roman"/>
          <w:color w:val="000000" w:themeColor="text1"/>
          <w:sz w:val="16"/>
          <w:szCs w:val="16"/>
        </w:rPr>
        <w:softHyphen/>
        <w:t>можность ОКБ-46 провести на НИ полигоне ГБТУ КА испытания 37-мм танковой пушки. Испытания необходимо провести на имеющихся на полигоне корпусах трофейных танков.</w:t>
      </w:r>
    </w:p>
    <w:p w14:paraId="27FC17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сроках и порядке проведения испытаний договоритесь с представителем ОКБ-46 инженер-подполковником т. Горносталевым.</w:t>
      </w:r>
    </w:p>
    <w:p w14:paraId="0D1D6A8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6 отдела ТУ ГБТУ КА инженер-подполковник Солонин</w:t>
      </w:r>
    </w:p>
    <w:p w14:paraId="3C8B9F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11355а. Д. 352а. Л. 18. Копия (11403).</w:t>
      </w:r>
    </w:p>
    <w:p w14:paraId="537D18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19B2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1943г. была подготовлена СПРАВКА-ДОКЛАД НАЧАЛЬНИКА ШТАБА БТ и МВ КА О ПРИМЕНЕНИИ АНГЛИЙСКИХ ТАНКОВ НА ФРОНТАХ ОТЕЧЕСТВЕННОЙ ВОЙНЫ</w:t>
      </w:r>
    </w:p>
    <w:p w14:paraId="51F181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Английские танки типа МК-2 «Матильда» и МК-3 «Валентин» применялись на фронтах Отечественной войны, организационно входя:</w:t>
      </w:r>
    </w:p>
    <w:p w14:paraId="38F9DC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в состав отдельных танковых бригад и отдельных танковых батальонов, где они были объеди</w:t>
      </w:r>
      <w:r w:rsidRPr="00D03F3E">
        <w:rPr>
          <w:rFonts w:ascii="Times New Roman" w:hAnsi="Times New Roman"/>
          <w:color w:val="000000" w:themeColor="text1"/>
          <w:sz w:val="16"/>
          <w:szCs w:val="16"/>
        </w:rPr>
        <w:softHyphen/>
        <w:t>нены с танками отечественных марок, главным образом типа Т-70, Т-бО;</w:t>
      </w:r>
    </w:p>
    <w:p w14:paraId="6483B6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в состав танковых полков 5-го механизированного корпуса, вооруженных исключительно английскими танками МК-2, МК-3;</w:t>
      </w:r>
    </w:p>
    <w:p w14:paraId="2BF3B32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 состав танковых бригад 9, 10, 11-го танковых корпусов в объединении с легкими танками Т-60, Т-70.</w:t>
      </w:r>
    </w:p>
    <w:p w14:paraId="3F2BD8D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Танки типа МК-2 и МК-3 применялись в течение 1942-1943 гг. в условиях зимы и лета, преиму</w:t>
      </w:r>
      <w:r w:rsidRPr="00D03F3E">
        <w:rPr>
          <w:rFonts w:ascii="Times New Roman" w:hAnsi="Times New Roman"/>
          <w:color w:val="000000" w:themeColor="text1"/>
          <w:sz w:val="16"/>
          <w:szCs w:val="16"/>
        </w:rPr>
        <w:softHyphen/>
        <w:t>щественно на Западном (до 200 танков), Брянском (до 250 танков) и Северо-Кавказском фронтах (до 150 танков) и в 5-м мех. корпусе на Юго-Западном фронте (до 180 танков).</w:t>
      </w:r>
    </w:p>
    <w:p w14:paraId="1029D65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Английский танк типа «Черчилль» применялся только на Донском и Волховском фронтах зимой 1942-1943 гг. в составе отдельных танковых полков прорыва, вооруженных исключительно этой маркой танков.</w:t>
      </w:r>
    </w:p>
    <w:p w14:paraId="3010B09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Практика боевого применения английских танков показала, что танки МК-2, МК-3 и «Черчилль» с успехом вели боевые действия, но в их конструкции, эксплуатации и вооружении имеется ряд существенных недочетов, отрицательно влияющих на использование этих танков в условиях ряда фронтов нашего театра военных действий.</w:t>
      </w:r>
    </w:p>
    <w:p w14:paraId="0B5309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Наиболее существенными из этих недочетов являются:</w:t>
      </w:r>
    </w:p>
    <w:p w14:paraId="0BB207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система охлаждения танков МК-2 и МК-3 расположена в труднодоступных для экипажей местах; трубопроводы от двигателя к радиаторам идут по днищу танка, в зимних условиях вода в трубопроводах замерзает даже при работающем двигателе.</w:t>
      </w:r>
    </w:p>
    <w:p w14:paraId="47CEBB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сильно затрудняет подогрев танка и делает почти невозможным заправку системы охлажде</w:t>
      </w:r>
      <w:r w:rsidRPr="00D03F3E">
        <w:rPr>
          <w:rFonts w:ascii="Times New Roman" w:hAnsi="Times New Roman"/>
          <w:color w:val="000000" w:themeColor="text1"/>
          <w:sz w:val="16"/>
          <w:szCs w:val="16"/>
        </w:rPr>
        <w:softHyphen/>
        <w:t>ния водой при низких температурах.</w:t>
      </w:r>
    </w:p>
    <w:p w14:paraId="6106EB4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конструкция танков сложна, что усложняет работу по ремонтам и требует в 3-4 раза больше затрат времени;</w:t>
      </w:r>
    </w:p>
    <w:p w14:paraId="617DEE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маневренность танков и их проходимость в силу маломощности двигателей, большого удельного давления (0,7-1,0) и низкого коэффициента сцепления с грунтом очень ограниченна, особенно зимой. Запас хода 70-100 км.</w:t>
      </w:r>
    </w:p>
    <w:p w14:paraId="37390B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в танке МК-2 фальшборт сильно затрудняет замену узлов и агрегатов ходовой части, а также при незначительном прогибе брони фальшборта от удара артснаряда заклинивает гусеницы и выво</w:t>
      </w:r>
      <w:r w:rsidRPr="00D03F3E">
        <w:rPr>
          <w:rFonts w:ascii="Times New Roman" w:hAnsi="Times New Roman"/>
          <w:color w:val="000000" w:themeColor="text1"/>
          <w:sz w:val="16"/>
          <w:szCs w:val="16"/>
        </w:rPr>
        <w:softHyphen/>
        <w:t>дит танк из строя;</w:t>
      </w:r>
    </w:p>
    <w:p w14:paraId="227E0C3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танки вооружены 40-мм пушкой, снабженной только бронебойным снарядом (болванка), предназначенным для ведения огня по танкам. Не имея осколочного и осколочно-фугасного снаряда, танки не могут вести эффективного пушечного огня по живой силе и огневым точкам противника;</w:t>
      </w:r>
    </w:p>
    <w:p w14:paraId="58A7D04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 танки «Черчилль» практически достаточно не изучены в силу еще ограниченного боевого применения, но опыт их боевых действий на Донском и Волховском фронтах показал их низкую проходимость, плохое наблюдение из танка, особенно для механика-водителя, большую опасность в пожарном отношении из-за бензинового двигателя и большого количества не огнестойких материа</w:t>
      </w:r>
      <w:r w:rsidRPr="00D03F3E">
        <w:rPr>
          <w:rFonts w:ascii="Times New Roman" w:hAnsi="Times New Roman"/>
          <w:color w:val="000000" w:themeColor="text1"/>
          <w:sz w:val="16"/>
          <w:szCs w:val="16"/>
        </w:rPr>
        <w:softHyphen/>
        <w:t>лов в оборудовании. Неудачное размещение ветви гусеницы танка «Черчиль». В зимнее время наби-вание снега на салазки вызывает поднятие гусеницы выше погона башни и заклинивание последней, а это ведет к выводу из строя поворотного механизма башни.</w:t>
      </w:r>
    </w:p>
    <w:p w14:paraId="38EE31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Практика боевого применения и боевых действий английских танков дает возможность установить:</w:t>
      </w:r>
    </w:p>
    <w:p w14:paraId="24E8F3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целесообразность использования этих танков в частях и соединениях танков непосредствен</w:t>
      </w:r>
      <w:r w:rsidRPr="00D03F3E">
        <w:rPr>
          <w:rFonts w:ascii="Times New Roman" w:hAnsi="Times New Roman"/>
          <w:color w:val="000000" w:themeColor="text1"/>
          <w:sz w:val="16"/>
          <w:szCs w:val="16"/>
        </w:rPr>
        <w:softHyphen/>
        <w:t>ной поддержки пехоты;</w:t>
      </w:r>
    </w:p>
    <w:p w14:paraId="17DF28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организационно объединять эти танки с отечественными танками типов Т-34, Т-70 с целью повышения огневой мощи соединения (части);</w:t>
      </w:r>
    </w:p>
    <w:p w14:paraId="673180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применение этих танков наиболее целесообразно на южных участках театра боевых действий в течение всего года. На остальных участках применение их в зимних условиях затруднительно.</w:t>
      </w:r>
    </w:p>
    <w:p w14:paraId="711AE8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штаба БТ и МВ КА полковник Заев</w:t>
      </w:r>
    </w:p>
    <w:p w14:paraId="3068365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11353. Д. 33. Л. 66-68. Копия (11403).</w:t>
      </w:r>
    </w:p>
    <w:p w14:paraId="28FA06D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E45DE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1943 года вышел приказ № 395сс НКБ</w:t>
      </w:r>
    </w:p>
    <w:p w14:paraId="45F29EC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дополнение к приказу № 1195 от 15 апреля 1943 года:</w:t>
      </w:r>
    </w:p>
    <w:p w14:paraId="07C17BC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Присвоить заводу “Металлоштамп” № 332, подчинив его 6 Гл. Управлению (5817, 99).</w:t>
      </w:r>
    </w:p>
    <w:p w14:paraId="24B5579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EDB9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1943 вышло Постановление ГКО № 3196 О нормах выработки на лесозаготовках.РГАНИР, Фонд ГКО, д. 105, лл. 33 (11012).</w:t>
      </w:r>
    </w:p>
    <w:p w14:paraId="49DF5F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5854E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1943 вышло Постановление ГКО № 3194 О восстановлении Верхне-Волжского бейшлота. (7096, 29-30,31).</w:t>
      </w:r>
    </w:p>
    <w:p w14:paraId="6CBD2D4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7DF7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1943 Завод им. А. А. Жданова восстанавливал лидер "Минск", ремонтировал эсминец "Опытный" и СКР "Тайфун". Достраивались эсминцы "Стройный", "Строгий", СКР "Ястреб" (10671).</w:t>
      </w:r>
    </w:p>
    <w:p w14:paraId="6B8F77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EF074E"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61F825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B295AE"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в 1943 году утреннее сообщение Совинформбюро:</w:t>
      </w:r>
    </w:p>
    <w:p w14:paraId="6924F6E5"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17 апреля на фронтах существенных изменений не произошло.</w:t>
      </w:r>
    </w:p>
    <w:p w14:paraId="4A20A25B"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вели артиллерийскую и ружейно-пулемётную перестрелку с противником. Огнём нашей артиллерии разбито 6 вражеских дзотов, уничтожено 2 орудия и несколько миномётов. Девять снайперов Н-ской части истребили 19 немцев. Снайперы другого подразделения лейтенант Соколов и красноармейцы Григорьев и Рязанов уничтожили 9 гитлеровцев.</w:t>
      </w:r>
    </w:p>
    <w:p w14:paraId="61015DDD"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 Белый небольшая группа наших разведчиков проникла в расположение противника и устроила засаду на шоссейной дороге. Вскоре показался немецкийобоз. Подпустив врага на близкое расстояние, разведчики напали на обоз, перебили немцев, захватили лошадей, грузы и без потерь вернулись в своё подразделение. Лётчики-штурмовики Н-ского соединения атаковали железнодорожную станцию. В результате налёта уничтожены 6 вагонов с боеприпасами, паровоз и 15 автомашин противника.</w:t>
      </w:r>
    </w:p>
    <w:p w14:paraId="0C7ADB34"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наши части вели бои местного значения. Ночью отряду немецкой пехоты численностью в 120 солдат удалось вклиниться в нашу оборону. Бойцы Н-ской части окружили и полностью истребили этот отряд гитлеровцев. Захвачены 6 станковых и 10 ручных пулемётов, 15 автомашин и другие трофеи.</w:t>
      </w:r>
    </w:p>
    <w:p w14:paraId="60380D4A"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Чугуева огнём нашей артиллерии разбито 4 немецких дзота, подавлен огонь 2 миномётных батарей и рассеян батальон немецкой пехоты. Разведчики Н-скойчасти совершили вылазку в расположение противника и взяли в плен нескольких гитлеровцев.</w:t>
      </w:r>
    </w:p>
    <w:p w14:paraId="6162C0F3"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лётчики-истребители тт. Петренко и Поносов атаковали группы немецких бомбардировщиков и в течение нескольких минут сбили два «Юнкерса-88». Гвардии капитан т. Покрышкин на большой высоте заметил четыре немецких истребителя, ввязался с ними в бой и сбил три вражеских самолёта.</w:t>
      </w:r>
    </w:p>
    <w:p w14:paraId="249107CA"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Немецкая карательная экспедиция, вооружённая автоматическими пушками, пыталась окружить и уничтожить отряд черниговских партизан. Советские патриоты подпустили гитлеровцев на близкое расстояние и внезапно из засад открыли ружейно-пулемётный огонь. В этом бою партизаны уничтожили 80 немцев и захватили 24 пленных. Взяты трофеи: 2 орудия, 6 пулемётов, 26 тысяч патронов, радиостанция и другое военное имущество.</w:t>
      </w:r>
    </w:p>
    <w:p w14:paraId="6AE49E3B"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лейтенант 5 батареи 21 немецкого артиллерийского полка Вернер Фельке рассказал: «Я учился в школе лейтенантов в Гроссборне. Генерал-лейтенант Майндль, командовавший на Восточном фронте авиаполевой дивизией, читал в школе лекции об особенностях ведения войны в России. Майндль особенно подчёркивал трудности борьбы против партизан. Он говорил, что партизаны разрушают жизненно важные коммуникации, нападают на обозы и гарнизоны. В заключение Майндль сказал, что, несмотря на все принятые меры, партизан не удалось ликвидировать. Напротив, деятельность партизанских групп в России принимает всё более крупные, масштабы и причиняет немецкой армии огромный ущерб».</w:t>
      </w:r>
    </w:p>
    <w:p w14:paraId="5F973312"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деревне Калиты, Ленинградской области: «Захватив нашу деревню, гитлеровцы ограбили всех жителей. За время немецкой оккупации в деревне умерло от голода 150 человек. Крестьянам было воспрещено ходить в лес. Немецкие палачи расстреляли собиравших в лесу хворост Василия Ширяева, Авдотью Трофимову, Александру Багрову, Антонину Иванову, Михаила Блинова, Анну Быстрову и других жителей. Отступая, гитлеровские убийцы подожгли деревню. Огнём уничтожено 46 жилых домов и много хозяйственных построек». Акт подписали: Иван Стулов, Е.Стулова и другие жители деревни.» (15102).</w:t>
      </w:r>
    </w:p>
    <w:p w14:paraId="468F1A45" w14:textId="77777777" w:rsidR="00837C1B" w:rsidRPr="00D03F3E" w:rsidRDefault="00837C1B" w:rsidP="00D03F3E">
      <w:pPr>
        <w:spacing w:after="0" w:line="240" w:lineRule="auto"/>
        <w:jc w:val="both"/>
        <w:rPr>
          <w:rFonts w:ascii="Times New Roman" w:hAnsi="Times New Roman"/>
          <w:color w:val="000000" w:themeColor="text1"/>
          <w:sz w:val="16"/>
          <w:szCs w:val="16"/>
        </w:rPr>
      </w:pPr>
    </w:p>
    <w:p w14:paraId="7AEFB602"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в 1943 году вечернее сообщение Совинформбюро:</w:t>
      </w:r>
    </w:p>
    <w:p w14:paraId="59266EF9"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17 апреля на фронтах существенных изменений не произошло.</w:t>
      </w:r>
    </w:p>
    <w:p w14:paraId="327C373A"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кораблями в Баренцевом море потоплен транспорт противника водоизмещением в 12.000 тонн.</w:t>
      </w:r>
    </w:p>
    <w:p w14:paraId="625F6DB5"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апреля частями нашей авиации на различных участках фронта уничтожено или повреждено не менее 6 немецких танков, 40 автомашин с войсками и грузами, взорван склад боеприпасов, подавлен огонь 8 артиллерийских и миномётных батарей противника.</w:t>
      </w:r>
    </w:p>
    <w:p w14:paraId="02009718"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части Н-ского соединения вели активные боевые действия и на отдельных участках отбивали контратаки противника. 3а два дня боёв на этом участке фронта уничтожено до 4.000 немецких солдат и офицеров, подбито и сожжено17 танков, уничтожено 39 орудий, 31 миномёт и более 100 пулемётов. Нашими бойцами захвачены трофеи, в числе которых 8 орудий. На другом участке противник предпринял несколько контратак. На наши позиции впереди двигались румыны, а за ними шли немецкие автоматчики. Попав под убийственный огонь советских подразделений, румыны повернули назад. Тогда немцы открыли стрельбу по своим «союзникам» румынам. Наши бойцы контрударом опрокинули противника и улучшили свои позиции. Только на этом участке противник оставил 3 подбитых танка и до 300 трупов своих солдат и офицеров.</w:t>
      </w:r>
    </w:p>
    <w:p w14:paraId="6BB11B21"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вели огонь по скоплениям пехоты и огневым точкам противника. Артиллеристы и миномётчики Н-ской части уничтожили до роты немецкой пехоты, подавили огонь 5 артиллерийских и 2 миномётных батарей. Огнём зенитной артиллерии сбит немецкий самолёт.</w:t>
      </w:r>
    </w:p>
    <w:p w14:paraId="046AAFAA"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подразделения Н-ской части вели бои местного значения и истребили до 200 немецких солдат и офицеров. Подбито 2 немецких танка и уничтожено 20 автомашин с войсками и грузами.</w:t>
      </w:r>
    </w:p>
    <w:p w14:paraId="0BE1BBBE"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зенитчики батареи, которой командует капитан Жичинский, сбили три немецких бомбардировщика. Экипаж одного самолёта захвачен в плен. Старший сержант Колесников сбил из противотанкового ружья вражеский бомбардировщик «Юнкерс-87».</w:t>
      </w:r>
    </w:p>
    <w:p w14:paraId="6DEC173A"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Несколько партизанских отрядов, действующих в Орловской области, с 31 марта по 14 апреля пустили под откос 13 немецких эшелонов с войсками и грузами. На участке дороги Дубровка — Орджоникидзеград взорваны железнодорожные пути и приостановлено движение поездов. На другом участке партизаны отряда имени Кравцова 8 апреля заминировали железнодорожные пути. На минах взорвался немецкий эшелон. Уничтожено 17 вагонов, 2 зенитных орудия и убито несколько десятков гитлеровцев. Шедший по второму пути воинский поезд также потерпел крушение и загорелся.</w:t>
      </w:r>
    </w:p>
    <w:p w14:paraId="1543F68C"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время хозяйничанья в Новошахтинске, Ростовской области, немецко-фашистские мерзавцы убили около 4 тысяч мирных жителей города и его окрестностей. Во время немецкой оккупации каждый день из застенков гестапо вывозили группы заключённых на расстрел. Казни происходили на аэродроме, в балке Багалтай, а также у водонапорной башни. Перед расстрелом палачи измывались и глумились над своими жертвами. Организованная после освобождения Новошахтинска комиссия по похоронам жертв фашизма производит раскопки рвов и ям, в которые гитлеровцы бросали трупы расстрелянных советских граждан. Комиссия составила акты и поименные списки мирных жителей, погибших от рук немецких палачей. Почти на всех трупах сохранились следы зверских пыток. Немцы растерзали всеми уважаемого в городе старого горняка Даниила Писменского, а его труп бросили в каменоломню. Машинисту электровоза Антонине Ивановой гитлеровцы нанесли 15 штыковых ран в спину и голову; заведующей детсадом Екатерине Паршиной перед расстрелом немцы отрубили кисти рук; крепильщику шахты № 3 Василию Долгову отрезали нос и выкололи глаза.</w:t>
      </w:r>
    </w:p>
    <w:p w14:paraId="6B5610AE"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Фашистские изверги убили Зинаиду Чебакину, её девятилетнюю дочь и семилетнего сына. Зверски замучены шахтёр Борзенко, инженер Берестянский и многие другие жители. Несколько сот трупов замученных и расстрелянных немцами советских людей перенесены в городской сад и похоронены в братской могиле.» (15102).</w:t>
      </w:r>
    </w:p>
    <w:p w14:paraId="5FCAC969" w14:textId="77777777" w:rsidR="00837C1B" w:rsidRPr="00D03F3E" w:rsidRDefault="00837C1B" w:rsidP="00D03F3E">
      <w:pPr>
        <w:spacing w:after="0" w:line="240" w:lineRule="auto"/>
        <w:jc w:val="both"/>
        <w:rPr>
          <w:rFonts w:ascii="Times New Roman" w:hAnsi="Times New Roman"/>
          <w:color w:val="000000" w:themeColor="text1"/>
          <w:sz w:val="16"/>
          <w:szCs w:val="16"/>
        </w:rPr>
      </w:pPr>
    </w:p>
    <w:p w14:paraId="019DB80F"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в 1943 году (17 апреля – 7 июня) начало воздушных сражений над Кубанью. Они проводились до июня 1943 г. авиацией Северо-Кавказского фронта, усиленной 3 авиационными корпусами Резерва ВГК и частью сил авиации Черноморского флота под руководством К.А.Вершинина. Цель — завоевание господства в воздухе на южном крыле советско-германского фронта. В результате сражений противник потерял свыше 1100 самолетов, из которых свыше 800 были сбиты в воздушных боях. В отдельные дни проводились до 50 групповых воздушных боев с участием 30-50 самолетов и более с каждой стороны (15102).</w:t>
      </w:r>
    </w:p>
    <w:p w14:paraId="1AAAD50B" w14:textId="77777777" w:rsidR="00837C1B" w:rsidRPr="00D03F3E" w:rsidRDefault="00837C1B" w:rsidP="00D03F3E">
      <w:pPr>
        <w:spacing w:after="0" w:line="240" w:lineRule="auto"/>
        <w:jc w:val="both"/>
        <w:rPr>
          <w:rFonts w:ascii="Times New Roman" w:hAnsi="Times New Roman"/>
          <w:color w:val="000000" w:themeColor="text1"/>
          <w:sz w:val="16"/>
          <w:szCs w:val="16"/>
        </w:rPr>
      </w:pPr>
    </w:p>
    <w:p w14:paraId="26BBC650"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в 1943 году звание Героя Советского Союза посмертно присвоено капитану Отакару Ярошу, офицеру чехословацкого батальона, сражавшегося на советско-германском фронте. Ярош стал первым иностранцем, удостоенным этого высокого звания (15102).</w:t>
      </w:r>
    </w:p>
    <w:p w14:paraId="0CB3BCB3" w14:textId="77777777" w:rsidR="00837C1B" w:rsidRPr="00D03F3E" w:rsidRDefault="00837C1B" w:rsidP="00D03F3E">
      <w:pPr>
        <w:spacing w:after="0" w:line="240" w:lineRule="auto"/>
        <w:jc w:val="both"/>
        <w:rPr>
          <w:rFonts w:ascii="Times New Roman" w:hAnsi="Times New Roman"/>
          <w:color w:val="000000" w:themeColor="text1"/>
          <w:sz w:val="16"/>
          <w:szCs w:val="16"/>
        </w:rPr>
      </w:pPr>
    </w:p>
    <w:p w14:paraId="665AE1C0"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в 1943 году фельдмаршал В.Кейтель отдал приказ о запрещении какой бы то ни было политической деятельности А.А.Власова «вследствие его наглых высказываний» (15102).</w:t>
      </w:r>
    </w:p>
    <w:p w14:paraId="47936638" w14:textId="77777777" w:rsidR="00837C1B" w:rsidRPr="00D03F3E" w:rsidRDefault="00837C1B" w:rsidP="00D03F3E">
      <w:pPr>
        <w:spacing w:after="0" w:line="240" w:lineRule="auto"/>
        <w:jc w:val="both"/>
        <w:rPr>
          <w:rFonts w:ascii="Times New Roman" w:hAnsi="Times New Roman"/>
          <w:color w:val="000000" w:themeColor="text1"/>
          <w:sz w:val="16"/>
          <w:szCs w:val="16"/>
        </w:rPr>
      </w:pPr>
    </w:p>
    <w:p w14:paraId="7CC53DDE" w14:textId="77777777" w:rsidR="00837C1B" w:rsidRPr="00D03F3E" w:rsidRDefault="00837C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в 1943 году в Баренцевом море советской подлодкой затоплен немецкий ледокол «Пасвик» (15102).</w:t>
      </w:r>
    </w:p>
    <w:p w14:paraId="35E37173" w14:textId="77777777" w:rsidR="00837C1B" w:rsidRPr="00D03F3E" w:rsidRDefault="00837C1B" w:rsidP="00D03F3E">
      <w:pPr>
        <w:spacing w:after="0" w:line="240" w:lineRule="auto"/>
        <w:jc w:val="both"/>
        <w:rPr>
          <w:rFonts w:ascii="Times New Roman" w:hAnsi="Times New Roman"/>
          <w:color w:val="000000" w:themeColor="text1"/>
          <w:sz w:val="16"/>
          <w:szCs w:val="16"/>
        </w:rPr>
      </w:pPr>
    </w:p>
    <w:p w14:paraId="71840F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17 апреля 1943, когда противник попытался ликвидировать десантные части на плацдарме в районе Мысхако началось первое воздушное сражение на Кубани. На войска 18-й армии противник бросил 450 бомбардировщиков и около 200 истребителей. С советской стороны для противодействия немецкому наступлению в районе Мысхако привлекалось 500 самолетов, в том числе 100 бомбардировщиков. В этот день немецкие бомбардировщики совершили более 1000 самолето-вылетов в район </w:t>
      </w:r>
      <w:r w:rsidRPr="00D03F3E">
        <w:rPr>
          <w:rFonts w:ascii="Times New Roman" w:hAnsi="Times New Roman"/>
          <w:color w:val="000000" w:themeColor="text1"/>
          <w:sz w:val="16"/>
          <w:szCs w:val="16"/>
        </w:rPr>
        <w:lastRenderedPageBreak/>
        <w:t>Мысхако (3573).</w:t>
      </w:r>
    </w:p>
    <w:p w14:paraId="725C79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воздушных сражений на Кубани советская авиация произвела около 35 тысяч самолето-вылетов, из них 77% - фронтовая, 9% - авиация дальнего действия и 14% - авиация Черноморского флота. По советским данным, противник потерял 1100 самолетов, в том числе более 800 - в воздушных боях (3573).</w:t>
      </w:r>
    </w:p>
    <w:p w14:paraId="60B424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EE25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1943 немецкие войска силами 5-го армейского корпуса начали операцию "Нептун" по уничтожению советского плацдарма на Мысхако. С утра до вечера волнами по 25 самолетов пикирующие бомбардировщики атаковали позиции десантников (3573).</w:t>
      </w:r>
    </w:p>
    <w:p w14:paraId="401DD6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B537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1943 началась битва за Кубань (когда в 6:30 началась атака противника на части 18А. На 30 км фронта бросили 450 б и 200 и и за день сделали 1000 вылетов. Мы привлекли 500 машин, в т.ч. 100 б), а перелом произошел 24 апреля. С 17 по 29 апреля 1943 уничтожили на аэродромах 260 (340,119). Участвовали 4, 5, 17 и 8 ВА (518,44). 5 немецкий армейский корпус начал операцию Нептун наступая на Малую землю - Мысхако и 17 апреля немцы выполнили по мысу 511, а всего 1560 вылетов по сравнению с 538 нашими. По Мысхако работало 450 бомбардировщиков и 200 истребителей, а у нас было 500, в т.ч. 100 бомбардировщиков (2390,1).</w:t>
      </w:r>
    </w:p>
    <w:p w14:paraId="6A1761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01BE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1943 пикировщики сделали 511 самолето-вылетов. Всего же немецкая авиация 17 апреля совершила 1560 самолето-вылетов а советская - всего 538, но немцы не смогли уничтожить советских десантников (3573).</w:t>
      </w:r>
    </w:p>
    <w:p w14:paraId="43FE08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938C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17 по 29 апреля 1943 ВВС по указанию Ставки наряду с воздушным наступлением проводили воздушную операцию - систематически бомбили аэродромы в Тамани, в Крыму, на юге Украины. Принимала участие 4ВА, соединения 8ВА ЮФ, 17ВА Ю-ЗФ, ВВС ЧФ и АДД. Бомбили аэродромы Саки, Сарабуз, Керчь, Тамань, Анапа. Только в Саках и Сарабузе АДД уничтожили 170, а всего - 260 (340,120).</w:t>
      </w:r>
    </w:p>
    <w:p w14:paraId="4E8BD8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FAA1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1943 по сообщению Совинформбюро А.И.Покрышкин заметил на большой высоте 4 и и сбил три (438,868).</w:t>
      </w:r>
    </w:p>
    <w:p w14:paraId="5B0A8F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41C8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1943 управление НКВД направило в Саратовский обком ВКП(б) сообщение, в котором, в частности, говорилось:  «Состояние местной противовоздушной обороны города не отвечает требованиям обстановки. Намеченные мероприятия городским штабом МПВО из месяца в месяц не выполняются, особенно по светомаскировке, аварийно-восстановительной работе и оборудованию убежищ, что ставит г. Саратов под угрозу при возможных налетах вражеской авиации».  Аналогичное положение было и в других городах Поволжья. Так, 26 марта на заседании Горьковского горкома ВКП(б) отмечалось запущенное состояние МПВО:  «…укрытия не подготовлены, нарушается светомаскировка, вода из водоемов уходит, ночные дежурства не соблюдаются. Городской штаб ПВО работает формально бюрократически». В то же время один из выступавших заявил:  «В своей звериной ярости и злобе фашистские изверги и кровопийцы готовят новое чудовищное злодеяние. Как установлено по захваченным материалам, фашистские бандиты готовятся применить против наших городов в тылу боевые отравляющие вещества!»  Начальникам МПВО районов было приказано срочно форсировать постройку газоубежищ и обеспечение населения противогазами. В течение 20—21 апреля комиссия МПВО УНКВД по Горьковской области во главе с полковником Н. Н. Горянским провела проверку состояния местной противовоздушной обороны на танковом заводе № 112 «Красное Сормово». Оказалось, что оперативный план объекта до сих пор, а прошло почти два года войны,  «разработкой не закончен». Отсутствовала прямая телефонная связь завода с командным пунктом корпусного района ПВО и КП штаба МПВО города. План особого режима работы завода в условиях «ВТ» был составлен, но  «не подписан» и  «не утвержден». Поэтому во время воздушной тревоги завод работал, как в обычных условиях. Некоторые инструкции по предприятию оказались совершенно бредовыми. Так, расчет времени на приведение объектовых формирований в боевую готовность по сигналу «ВТ» ориентировал личный состав на длительность сбора днем до 35 минут, ночью до 1 часа 10 минут. Как обычно, оказалось, что и укрытий на заводе не хватает. Убежища требовались на 11 000 человек, фактически имелись лишь на 5000 человек. Заводской объектовый КП находился в специальном подвале, укрепленном деревянными балками. Светомаскировка световых проемов зданий была выполнена путем зашивки досками и горбылями. Для освещения площадок, на которых производились работы в ночное время, имелось около 50 световых точек. Техническая маскировка объекта по зимнему плану была закончена с опозданием, а по летнему – еще не начиналась. Пожарная охрана «Красного Сормова» располагала девятью автомобилями: четырьмя автонасосами ГАЗ-АА, тремя автонасосами АМО Ф-15, двумя ЗиС-2, а также пожарным поездом. Пожарное оснащение комиссия признала достаточным, но, как и на других заводах, в зачаточном состоянии находились средства противохимической обороны. По окончании проверки полковник Горянский составил акт с предсказуемым заключением –  «завод к МПВО не готов». На основании этих выводов было подготовлено спецсообщение УНКВД и УНКГБ в Горьковский обком ВКП(б) (11774).</w:t>
      </w:r>
    </w:p>
    <w:p w14:paraId="59C050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D014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1943 вышло Постановление ГКО № 3195 Вопросы партизанского движения.РГАНИР, Фонд ГКО, д. 105, лл. 32 (11012).</w:t>
      </w:r>
    </w:p>
    <w:p w14:paraId="66BDC9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E2D58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1943 в Баренцевом море советской подлодкой затоплен немецкий ледокол “Пасвик” (4962).</w:t>
      </w:r>
    </w:p>
    <w:p w14:paraId="2E2615E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22F672" w14:textId="77777777" w:rsidR="00FB553C" w:rsidRPr="00D03F3E" w:rsidRDefault="00FB553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в 1943 году черный день 3-го истребительного авиационного корпуса. Для борьбы за господство в воздухе, в конце декабря 1942 г. был сформирован 3-й истребительный авиационный корпус резерва Верховного Главнокомандования, под командованием генерал-майора Е.Я.Савицкого. В корпус входило две истребительные авиационные дивизии трехполкового состава - 265-я и 278-я. Всего 3-й истребительный авиационный корпус РВГК насчитывал около двухсот новейших истребителей «Як» («Як-1» и «Як-7»).</w:t>
      </w:r>
    </w:p>
    <w:p w14:paraId="06551762" w14:textId="77777777" w:rsidR="00FB553C" w:rsidRPr="00D03F3E" w:rsidRDefault="00FB553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Перебазирование корпуса на Кубань началось 16 апреля 1943 г., а уже через день 17-го "грянул гром". Семь из шестнадцати лидировавших истребителей «Пе-2» потеряли ориентировку при перелете. Три группы вместо аэродрома в Миллерово прилетели в Чертково, где при посадке в поле разбили два «Як-7» и две «пешки», одна группа вместо того же Миллерово прилетела в Вешенскую, разбив на посадке еще один «Як-7».</w:t>
      </w:r>
    </w:p>
    <w:p w14:paraId="096EC546" w14:textId="77777777" w:rsidR="00FB553C" w:rsidRPr="00D03F3E" w:rsidRDefault="00FB553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довершении всего экипаж ещё одной "пешки" умудрился вообще заблудиться между Ростовом и Таганрогом. Ведомым истребителям пришлось самим восстанавливать ориентировку и привести своего горе-лидера на ростовский аэродром.</w:t>
      </w:r>
    </w:p>
    <w:p w14:paraId="7992CA85" w14:textId="77777777" w:rsidR="00FB553C" w:rsidRPr="00D03F3E" w:rsidRDefault="00FB553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основные события этого трагического дня разыгрались в небе над оккупированным немцами Таганрогом, когда лидировавший эскадрилью Егорова штурман «Пе-2» старший лейтенант Каримов, не смотря на вполне сносные по воспоминаниям ветеранов корпуса метеоусловия, потерял ориентировку и привел свою группу во второй половине дня 17 апреля, вместо Ростова в ещё занятый немцами Таганрог.</w:t>
      </w:r>
    </w:p>
    <w:p w14:paraId="0F704415" w14:textId="77777777" w:rsidR="00FB553C" w:rsidRPr="00D03F3E" w:rsidRDefault="00FB553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Вероятнее всего наши самолеты вышли на немецкий аэродром «Таганрог-Вест», нынешний «Таганрог-Центральный», расположенный на западной окраине города. Летное поле второго аэродрома «Таганрог-Зюйд» (в настоящее время заводской «Таганрог-Южный») располагалось у самого берега Таганрогского залива, и спутать его с Ростовом просто невозможно. Напротив, «Таганрог-Вест»" находился рядом с широким Миусским лиманом, который, заходя на посадку с запада или северо-запада, вполне можно принять за Дон. Отметим, что в этот период в Таганроге авиационные части Люфтваффе постоянно не базировались. Ничего не подозревающая эскадрилья встала в круг над вражеским аэродромом и истребители начали заходить на посадку. Видимо все произошедшее было и для немцев не меньшим сюрпризом, поэтому зенитный огонь был открыт только следующей заходившей на посадку тройке, а к севшим «Якам» кинулись немецкие солдаты. В сложившейся ситуации помочь оказавшимся на вражеском аэродроме комэска остальные пилоты его эскадрильи ничем не могли. Полный боекомплект самолеты должны были получить только в Ростове. Егоров, успевший уже выбраться из кабины, начал отстреливаться из пистолета и в завязавшейся перестрелке был убит. Единархов был убит, видимо сразу ещё в кабине своего самолета, а его «ястребок» был подожжен атакующими и полностью сгорел. Горбачев же попал в плен. Мужество командира эскадрильи и его заместителя произвело должное впечатление и на противника. По приказу командира 111-й пехотной дивизии, занимавшей таганрогский участок «Миус-фронта», генерал-майора Рекнагеля, Егоров и Единархов были похоронены на городском кладбище с отданием всех положенных в таких случаях воинских почестей (15102).</w:t>
      </w:r>
    </w:p>
    <w:p w14:paraId="60F0A588" w14:textId="77777777" w:rsidR="00FB553C" w:rsidRPr="00D03F3E" w:rsidRDefault="00FB553C" w:rsidP="00D03F3E">
      <w:pPr>
        <w:spacing w:after="0" w:line="240" w:lineRule="auto"/>
        <w:jc w:val="both"/>
        <w:rPr>
          <w:rFonts w:ascii="Times New Roman" w:hAnsi="Times New Roman"/>
          <w:color w:val="000000" w:themeColor="text1"/>
          <w:sz w:val="16"/>
          <w:szCs w:val="16"/>
        </w:rPr>
      </w:pPr>
    </w:p>
    <w:p w14:paraId="0B0B2C5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46B01E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8C37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1943 года</w:t>
      </w:r>
    </w:p>
    <w:p w14:paraId="372FA1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СЕКРЕТНОЕ ПОСЛАНИЕ ОТ ПРЕМЬЕР-МИНИСТРА г-на УИНСТОНА ЧЕРЧИЛЛЯ МАРШАЛУ И. В. СТАЛИНУ</w:t>
      </w:r>
    </w:p>
    <w:p w14:paraId="39419E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Недавно в телеграмме, адресованной мне, Вы сказали: “Приветствую развитие дела бомбежки Эссена, Берлина и других промышленных центров Германии. Каждый удар Вашей авиации по жизненным центрам немцев встречает живейший отклик в сердцах многих миллионов людей в нашей стране”.</w:t>
      </w:r>
    </w:p>
    <w:p w14:paraId="256D52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Главнокомандующий нашей бомбардировочной авиацией очень хочет передать это своим эскадрильям, которые действительно были бы весьма довольны этими словами. Разрешите ли Вы это сделать? Возможно, что это проникнет в прессу. Я лично не вижу, чтобы это могло иметь какие-либо иные результаты, кроме хороших. Что Вы скажете об этом?</w:t>
      </w:r>
    </w:p>
    <w:p w14:paraId="6DF3B4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 На этой неделе мы нанесли три хороших удара, а именно: по Специи, Штутгарту и прошлой ночью как по заводам компании Шкода в Пильзеие, так и по Маннгейму. В первом налете 174 самолета сбросили 460 тонн бомб, но вследствие тумана и дыма нанесли больше ущерба городу Специя, чем судам, находившимся в порту. Второй удар — по Штутгарту— увенчался блестящим успехом. В налете приняло участие 462 бомбардировщика, сбросивших 750 тонн. Прошлой ночью мы послали 598 самолетов на бомбардировку упомянутых двух целей, и при этом было сброшено около 850 тонн. Полученные пока донесения о размерах ущерба, нанесенного </w:t>
      </w:r>
      <w:r w:rsidRPr="00D03F3E">
        <w:rPr>
          <w:rFonts w:ascii="Times New Roman" w:hAnsi="Times New Roman"/>
          <w:color w:val="000000" w:themeColor="text1"/>
          <w:sz w:val="16"/>
          <w:szCs w:val="16"/>
        </w:rPr>
        <w:lastRenderedPageBreak/>
        <w:t>заводам Шкода, говорят о хороших результатах, хотя фотографии еще не поступили. Налет на заводы Шкода был особенно важным потому, что туда вследствие ущерба, нанесенного Эссену, с заводов Крупна были переведены рабочие и переданы важные заказы. В этих трех налетах мы потеряли 81 бомбардировщик, из которых 64 были тяжелыми бомбардировщиками, и приблизительно 500 человек высококвалифицированного личного состава воздушных сил. Я повторяю свое заверение, что налеты будут продолжаться в течение лета во все увеличивающемся масштабе. Мы очень рады, что Вы также со своей стороны наносите удары по военным заводам нацистов.</w:t>
      </w:r>
    </w:p>
    <w:p w14:paraId="395E3C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 настоящее время в Тунисе необходим короткий перерыв, во время которого генерал Александер перегруппирует свои войска на севере, в то время как генерал Монтгомери подтянет ту массу артиллерии, которую он обычно применяет в своих сражениях. Но очень скоро начнется крупнейшее сражение из тех, которые мы до сих пор проводили в нынешней войне, и, раз начавшись, оно не прекратится до тех пор, пока Африка не будет очищена от войск держав оси (7430).</w:t>
      </w:r>
    </w:p>
    <w:p w14:paraId="6F4B7D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15269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1943 г. Лондон. Из Коммюнике Совета министров Польши стало ясно,что польское правительство в изгнании намерено обратиться в Международный Красный Крест по поводу Катыни (9712).</w:t>
      </w:r>
    </w:p>
    <w:p w14:paraId="4C752AC5"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45F693D8" w14:textId="77777777" w:rsidR="00FB553C"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1F929BDD" w14:textId="77777777" w:rsidR="00FB553C" w:rsidRPr="00D03F3E" w:rsidRDefault="00FB553C"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723152" w14:textId="77777777" w:rsidR="00FB553C" w:rsidRPr="00D03F3E" w:rsidRDefault="00FB553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в 1943 году летчик испытатель Майкл Донт перегнал английский экспериментальный самолет «Gloster» «E.28/39» «Pioneer» из Эджхилла в Хэтфилд, совершив первый трансбританский перелет на реактивном самолете. Лидировщиком для «W4046» в этом рейсе выступил один из "Тайфунов". Навстречу им из Хэтфилда была поднята пара "Спитфайров", которые быстро нашли гостей и заняли место в общем строю В этот момент Донт выполнил трюк, который заранее оговорил с коллегой лидировщиком - дал двигателю полный газ. «Пионер»" быстро скрылся из глаз изумленных летчиков «Спитфайров». Когда они подходили к Хэтфилду, механики уже закатывали "Пионер" в ангар. Черчилль был в восторге, развитие реактивной техники получило мощную поддержку в британских "верхах" (15102).</w:t>
      </w:r>
    </w:p>
    <w:p w14:paraId="75DAEDED" w14:textId="77777777" w:rsidR="00FB553C" w:rsidRPr="00D03F3E" w:rsidRDefault="00FB553C" w:rsidP="00D03F3E">
      <w:pPr>
        <w:spacing w:after="0" w:line="240" w:lineRule="auto"/>
        <w:jc w:val="both"/>
        <w:rPr>
          <w:rFonts w:ascii="Times New Roman" w:hAnsi="Times New Roman"/>
          <w:color w:val="000000" w:themeColor="text1"/>
          <w:sz w:val="16"/>
          <w:szCs w:val="16"/>
        </w:rPr>
      </w:pPr>
    </w:p>
    <w:p w14:paraId="6AE6A6D0" w14:textId="77777777" w:rsidR="00FB553C" w:rsidRPr="00D03F3E" w:rsidRDefault="00FB553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в 1943 году Джэк Фрай, Говард Хьюз и 12 VIP-пассажиров вылетели из аэропорта Бэрбанка на втором построенном «Constellation», окрашенном в цвета «TWA» по направлению в Вашингтон. Примерно на полпути между двумя городами, Фрай и Хьюз поменялись местами. Хьюз сел на место пилота. Спустя 6 часов 58 минут самолёт Хьюз посадил самолёт в аэропорту Вашингтона, и, установив новый авиационный рекорд, сделал соответствующую запись в бортжурнале (15102).</w:t>
      </w:r>
    </w:p>
    <w:p w14:paraId="2D9A745F" w14:textId="77777777" w:rsidR="00FB553C" w:rsidRPr="00D03F3E" w:rsidRDefault="00FB553C" w:rsidP="00D03F3E">
      <w:pPr>
        <w:spacing w:after="0" w:line="240" w:lineRule="auto"/>
        <w:jc w:val="both"/>
        <w:rPr>
          <w:rFonts w:ascii="Times New Roman" w:hAnsi="Times New Roman"/>
          <w:color w:val="000000" w:themeColor="text1"/>
          <w:sz w:val="16"/>
          <w:szCs w:val="16"/>
        </w:rPr>
      </w:pPr>
    </w:p>
    <w:p w14:paraId="1629EB1C" w14:textId="77777777" w:rsidR="00F40F75" w:rsidRPr="00D03F3E" w:rsidRDefault="00F40F7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17 апреля 1943 - Джэк Фрай, Говард Хьюз и 12 VIP-пассажиров вылетели из аэропорта Бэрбанка на втором построенном Lockheed L-049 Constellation, окрашенном в цвета TWA по направлению в Вашингтон. Примерно на полпути между двумя городами, Фрай и Хьюз поменялись местами. Хьюз сел на место пилота. Спустя 6 часов 58 минут самолёт Хьюз посадил самолёт в аэропорту Вашингтона, и, установив новый авиационный рекорд, сделал соответствующую запись в бортжурнале (22532).</w:t>
      </w:r>
    </w:p>
    <w:p w14:paraId="612D5ECC" w14:textId="77777777" w:rsidR="00F40F75" w:rsidRPr="00D03F3E" w:rsidRDefault="00F40F75" w:rsidP="00D03F3E">
      <w:pPr>
        <w:spacing w:after="0" w:line="240" w:lineRule="auto"/>
        <w:jc w:val="both"/>
        <w:rPr>
          <w:rFonts w:ascii="Times New Roman" w:hAnsi="Times New Roman"/>
          <w:color w:val="0070C0"/>
          <w:sz w:val="16"/>
          <w:szCs w:val="16"/>
        </w:rPr>
      </w:pPr>
    </w:p>
    <w:p w14:paraId="249A98D8" w14:textId="77777777" w:rsidR="00F40F75" w:rsidRPr="00D03F3E" w:rsidRDefault="00F40F7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17 апреля 1943 - 115 Flying Fortress B-17 атаковали заводы Focke-Wulf в Бремене. Самолеты Люфтваффе оказали сильное противодей-ствие нападавшим, которые понесли самые тяжелые до этого времени потери - назад не возвратились 16 B-17. Еще 48 Flying Fortress получили различные повреждения. Начиная с этого дня атаки немецких истребителей становились все более эффективными и скоординированными, и потери бомбардировщиков составляли 10 процентов и более, особенно когда Flying Fortress действовали за пределами дальности полета эскортных истребителей. Немецкие истребители почти всегда стали атаковать формации Flying Fortress из передней полусферы из положения "на 12 часов выше" на встречных курсах. В попытке усилить передовую огневую мощь в полевых условиях стали спешно устанавливать дополнительные пулеметы в носовой части. Однако уязвимость к фронтальным нападениям была больше обусловлена расположением бронирования экипажа, которое совершенно не защищало против фронтальных атак, чем недостатком носового вооружения. Другой проблемой была крайне опасная тенденция B-17 загораться от зенитного огня или попаданий снарядов немецких истребителей. Эта "болезнь" преследовала В-17 вплоть до окончания карьеры (22532).</w:t>
      </w:r>
    </w:p>
    <w:p w14:paraId="59E65D0D" w14:textId="77777777" w:rsidR="00F40F75" w:rsidRPr="00D03F3E" w:rsidRDefault="00F40F75" w:rsidP="00D03F3E">
      <w:pPr>
        <w:spacing w:after="0" w:line="240" w:lineRule="auto"/>
        <w:jc w:val="both"/>
        <w:rPr>
          <w:rFonts w:ascii="Times New Roman" w:hAnsi="Times New Roman"/>
          <w:color w:val="0070C0"/>
          <w:sz w:val="16"/>
          <w:szCs w:val="16"/>
        </w:rPr>
      </w:pPr>
    </w:p>
    <w:p w14:paraId="196F2F44" w14:textId="77777777" w:rsidR="00FB553C" w:rsidRPr="00D03F3E" w:rsidRDefault="00FB553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в 1943 году 115 «Flying Fortress» атаковали заводы «Focke-Wulf» в Бремене. Самолеты Люфтваффе оказали сильное противодей-ствие нападавшим, которые понесли самые тяжелые до этого времени потери - назад не возвратились 16 «B-17». Еще 48 «Flying Fortress» получили различные повреждения. Начиная с этого дня атаки немецких истребителей становились все более эффективными и скоординированными, и потери бомбардировщиков составляли 10 процентов и более, особенно когда «Flying Fortress» действовали за пределами дальности полета эскортных истребителей. Немецкие истребители почти всегда стали атаковать формации «Flying Fortress» из передней полусферы из положения "на 12 часов выше" на встречных курсах. В попытке усилить передовую огневую мощь в полевых условиях стали спешно устанавливать дополнительные пулеметы в носовой части. Однако уязвимость к фронтальным нападениям была больше обусловлена расположением бронирования экипажа, которое совершенно не защищало против фронтальных атак, чем недостатком носового вооружения. Другой проблемой была крайне опасная тенденция «B-17» загораться от зенитного огня или попаданий снарядов немецких истребителей. Эта "болезнь" преследовала «В-17» вплоть до окончания карьеры (15102).</w:t>
      </w:r>
    </w:p>
    <w:p w14:paraId="5974F382" w14:textId="77777777" w:rsidR="00FB553C" w:rsidRPr="00D03F3E" w:rsidRDefault="00FB553C" w:rsidP="00D03F3E">
      <w:pPr>
        <w:spacing w:after="0" w:line="240" w:lineRule="auto"/>
        <w:jc w:val="both"/>
        <w:rPr>
          <w:rFonts w:ascii="Times New Roman" w:hAnsi="Times New Roman"/>
          <w:color w:val="000000" w:themeColor="text1"/>
          <w:sz w:val="16"/>
          <w:szCs w:val="16"/>
        </w:rPr>
      </w:pPr>
    </w:p>
    <w:p w14:paraId="76AE97B7" w14:textId="77777777" w:rsidR="006A4DE0" w:rsidRPr="00D03F3E" w:rsidRDefault="006A4DE0"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17 апреля 1943 г. Британское министерство авиации сообщило: «В ночь на субботу 600 британских бомбардировщиков приняли участие в самой крупной в этом году воздушной операции и атаковали два очень важных немецких центра по производству вооружения. Большое число бомбардировщиков типа «Ланкастер» и «Галифакс» проникли вплоть до месторасположения заводов «Шкода» на территории Чехословакии. 37 британских бомбардировщиков были сбиты. Одновременно с этим другое британское соединение, состоящее из бомбардировщиков «Веллингтон», «Стирлинг» и «Галифакс», атаковали немецкие районы по производству вооружения в Мангейме - Людвигсхафене. С этого задания 18 машин не вернулись. По имеющимся на данный момент сведениям, оба этих налета были очень концентрированными и успешными.</w:t>
      </w:r>
    </w:p>
    <w:p w14:paraId="22FF515A" w14:textId="77777777" w:rsidR="006A4DE0" w:rsidRPr="00D03F3E" w:rsidRDefault="006A4D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Один из пилотов-бомбардировщиков, участвовавших в операции против заводов «Шкода», вспоминал: «2400 километров полета над вражеской территорией были настолько опасны, насколько безоблачным было небо, а свет луны давал немецким ночным истребителям наилучшую возможность для атаки. Все экипажи прекрасно понимали, что этот полет может стать для них последним. Но полет туда был на удивление спокойным, и только по возвращении произошли некоторые вооруженные столкновения. Но над заводами «Шкода» нас здорово «поприветствовали» многочисленные ночные истребители и сильный зенитный огонь.</w:t>
      </w:r>
    </w:p>
    <w:p w14:paraId="37E0A590" w14:textId="77777777" w:rsidR="006A4DE0" w:rsidRPr="00D03F3E" w:rsidRDefault="006A4DE0"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Заводы «Шкода» занимали площадь в 130 гектаров и были прекрасно видны нам при свете луны. Но, несмотря на это, наши разведчики сбросили сотни осветительных бомб, которые сделали наши цели - заводы по производству стали, ангары для машин, доменные печи и кузни, сборочные цеха - видимыми, как днем. Между тем подошли другие эскадрильи и начали свою работу, которая имела опустошительный результат. Множество бомб новой модификации от 2 до 4 тонн с увеличенным разрывным воздействием одна за другой взрывались на промышленной территории. Уже через несколько минут стали рушиться заводские корпуса, и через 25 минут после начала атаки территория «Шкоды» представляла собой огромную пылающую площадь. Специальное соединение, составленное из «Галифаксов» и «Ланкастеров», провело в конце операции целевые атаки на бреющем полете, уничтожило пять оставшихся целыми строений. У нас всех было впечатление, что под нами ад».</w:t>
      </w:r>
    </w:p>
    <w:p w14:paraId="403C642C" w14:textId="77777777" w:rsidR="006A4DE0" w:rsidRPr="00D03F3E" w:rsidRDefault="006A4DE0"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На самом же деле заводы «Шкода» не пострадали. Бомбы упали лишь на макет завода. В ночь на 14 мая 1943 г. англичане вновь атаковали заводы «Шкода» в чехословацком Пльзене. 140 бомбардировщиков сбросили 527 тонн бомб в нескольких километрах от нужного места. При этом потери союзников составили 9 самолетов. И опять бомбы упали мимо или на макет (19083).</w:t>
      </w:r>
    </w:p>
    <w:p w14:paraId="67DBC42C" w14:textId="77777777" w:rsidR="006A4DE0" w:rsidRPr="00D03F3E" w:rsidRDefault="006A4DE0" w:rsidP="00D03F3E">
      <w:pPr>
        <w:pStyle w:val="11c"/>
        <w:shd w:val="clear" w:color="auto" w:fill="auto"/>
        <w:spacing w:after="0" w:line="240" w:lineRule="auto"/>
        <w:jc w:val="both"/>
        <w:rPr>
          <w:rFonts w:ascii="Times New Roman" w:hAnsi="Times New Roman" w:cs="Times New Roman"/>
          <w:color w:val="000000" w:themeColor="text1"/>
          <w:sz w:val="16"/>
          <w:szCs w:val="16"/>
        </w:rPr>
      </w:pPr>
    </w:p>
    <w:p w14:paraId="7501C42B" w14:textId="77777777" w:rsidR="00FB553C" w:rsidRPr="00D03F3E" w:rsidRDefault="00FB553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в 1943 году отремонтирован завод тяжелой воды в Норвегии, ранее выведенный из строя партизанами (15102).</w:t>
      </w:r>
    </w:p>
    <w:p w14:paraId="5FCF8CF2" w14:textId="77777777" w:rsidR="00FB553C" w:rsidRPr="00D03F3E" w:rsidRDefault="00FB553C" w:rsidP="00D03F3E">
      <w:pPr>
        <w:spacing w:after="0" w:line="240" w:lineRule="auto"/>
        <w:jc w:val="both"/>
        <w:rPr>
          <w:rFonts w:ascii="Times New Roman" w:hAnsi="Times New Roman"/>
          <w:color w:val="000000" w:themeColor="text1"/>
          <w:sz w:val="16"/>
          <w:szCs w:val="16"/>
        </w:rPr>
      </w:pPr>
    </w:p>
    <w:p w14:paraId="385F0C56" w14:textId="77777777" w:rsidR="00FB553C" w:rsidRPr="00D03F3E" w:rsidRDefault="00FB553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в 1943 году вечером командование американских 13-х ВВС получило сверхсекретное сообщение из Вашингтона. Морская разведка перехватила информацию о том, что следующим утром командующий японским Объединенным флотом предпримет перелет из Рабаула на Бугенвилль. Адмирал Исороку Ямомото совершал инспекционную поездку по передовым военно-морским базам, и случай привел его в область досягаемости американских истребителей «Р-38», базировавшихся на аэродроме острова Гуадалканал. Голубой бланк телеграммы наивысшей секретности содержал приказ: «Для уничтожения адмирала Ямомото должны предпринять все возможные усилия» (15102).</w:t>
      </w:r>
    </w:p>
    <w:p w14:paraId="316912B7" w14:textId="77777777" w:rsidR="00FB553C" w:rsidRPr="00D03F3E" w:rsidRDefault="00FB553C" w:rsidP="00D03F3E">
      <w:pPr>
        <w:spacing w:after="0" w:line="240" w:lineRule="auto"/>
        <w:jc w:val="both"/>
        <w:rPr>
          <w:rFonts w:ascii="Times New Roman" w:hAnsi="Times New Roman"/>
          <w:color w:val="000000" w:themeColor="text1"/>
          <w:sz w:val="16"/>
          <w:szCs w:val="16"/>
        </w:rPr>
      </w:pPr>
    </w:p>
    <w:p w14:paraId="26FFB74C" w14:textId="77777777" w:rsidR="00FB553C" w:rsidRPr="00D03F3E" w:rsidRDefault="00FB553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в 1943 году химик Альберт Хоффман открыл наркотическое действие LSD, случайно капнув небольшое количество раствора этого вещества себе на палец (15102).</w:t>
      </w:r>
    </w:p>
    <w:p w14:paraId="3B2796A8" w14:textId="77777777" w:rsidR="00FB553C" w:rsidRPr="00D03F3E" w:rsidRDefault="00FB553C" w:rsidP="00D03F3E">
      <w:pPr>
        <w:spacing w:after="0" w:line="240" w:lineRule="auto"/>
        <w:jc w:val="both"/>
        <w:rPr>
          <w:rFonts w:ascii="Times New Roman" w:hAnsi="Times New Roman"/>
          <w:color w:val="000000" w:themeColor="text1"/>
          <w:sz w:val="16"/>
          <w:szCs w:val="16"/>
        </w:rPr>
      </w:pPr>
    </w:p>
    <w:p w14:paraId="78CB7FC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31F1B9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6562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апреля 1943 г. вышел ПРИКАЗ № 0280 О ПРОВЕДЕНИИ ВОЙСКОВЫХ ИСПЫТАНИЙ РУЧНЫХ ПРОТИВОТАНКОВЫХ ГРАНАТ НАПРАВЛЕННОГО ДЕЙСТВИЯ КОНСТРУКЦИИ КБ-30</w:t>
      </w:r>
    </w:p>
    <w:p w14:paraId="49827D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 период с 20 по 30 апреля с. г. провести войсковые испытания ручных противотанковых гранат направленного действия конструкции КБ-30.</w:t>
      </w:r>
    </w:p>
    <w:p w14:paraId="2E2520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Объем испытаний — по программе Главного артиллерийского управления Красной Армии.</w:t>
      </w:r>
    </w:p>
    <w:p w14:paraId="615A96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Место испытаний — Научно-испытательный бронетанковый полигон Главного бронетанкового управления Красной Армии.</w:t>
      </w:r>
    </w:p>
    <w:p w14:paraId="6B41D6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Для проведения войсковых испытаний назначаю комиссию в составе:</w:t>
      </w:r>
    </w:p>
    <w:p w14:paraId="57C57B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 полковник т. Романов (начальник Научно-испытательного бронетанкового полигона ГБТУ КА).</w:t>
      </w:r>
    </w:p>
    <w:p w14:paraId="4E28F2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Члены: инженер-майор Новиков (от УЗПСВ ГАУ КА),</w:t>
      </w:r>
    </w:p>
    <w:p w14:paraId="13FA66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майор Заровский (от Арткома ГАУ КА),</w:t>
      </w:r>
    </w:p>
    <w:p w14:paraId="084772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инженер-майор Василевский (от БТМВ КА).</w:t>
      </w:r>
    </w:p>
    <w:p w14:paraId="37F744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Представитель от курсов “Выстрел” — по назначению начальника курсов “Выстрел”.</w:t>
      </w:r>
    </w:p>
    <w:p w14:paraId="24067D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3-х представителей от начальника артиллерии МВО — по назначению начальника артиллерии МВО.</w:t>
      </w:r>
    </w:p>
    <w:p w14:paraId="2802B5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присутствию при испытаниях допустить начальника КБ-30 тов. Вицени и конструктора Белякова.</w:t>
      </w:r>
    </w:p>
    <w:p w14:paraId="0AF2A7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Обеспечение испытаний боеприпасами в количестве, предусмотренном программой, возлагаю на начальника УСБ ГАУ КА.</w:t>
      </w:r>
    </w:p>
    <w:p w14:paraId="1A216E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Начальнику Автодорожного управления КА выделить в распоряжение начальника УСБ ГАУ КА одну 3-тонную машину для доставки боеприпасов к месту испытаний, обеспечив ее запасом горючего на 400 км.</w:t>
      </w:r>
    </w:p>
    <w:p w14:paraId="0FA8E0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Обеспечение испытаний трофейными танками, предусмотренными программой, возлагаю на начальника ГБТУ КА.</w:t>
      </w:r>
    </w:p>
    <w:p w14:paraId="5CC6B6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Обеспечение работы комиссии и выделение обслуживающих расчетов для метания гранат возлагаю на председателя комиссии.</w:t>
      </w:r>
    </w:p>
    <w:p w14:paraId="4E544C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Начальнику Управления снабжения горючим выделить в распоряжение начальника НИБТП 1000 кг. горючего для обеспечения комиссии средствами передвижения.</w:t>
      </w:r>
    </w:p>
    <w:p w14:paraId="12FE27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Начальнику Управления продовольственным снабжением выделить в распоряжение начальника НИБТП пять красноармейских пайков для обеспечения Комиссии и конструкторов питанием.</w:t>
      </w:r>
    </w:p>
    <w:p w14:paraId="3B4B2E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Заместитель Народного комиссара обороны маршал артиллерии ВОРОНОВ</w:t>
      </w:r>
      <w:r w:rsidRPr="00D03F3E">
        <w:rPr>
          <w:rFonts w:ascii="Times New Roman" w:hAnsi="Times New Roman"/>
          <w:color w:val="000000" w:themeColor="text1"/>
          <w:sz w:val="16"/>
          <w:szCs w:val="16"/>
        </w:rPr>
        <w:t xml:space="preserve"> (9844).</w:t>
      </w:r>
    </w:p>
    <w:p w14:paraId="4E5179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BE4D7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18 апреля 1943 по результатам работы комиссии завод № 100 произвел изменения в рабочих чертежах бронекорпуса и передал их на броневой корпусной завод № 200 и УЗТМ. Разработкой всех приспособлений и инструмента, необходимых для механической обработки деталей, сборки и сварки броневых корпусов занималась рабочая бригада, созданная в 8-м Государственном проект</w:t>
      </w:r>
      <w:r w:rsidRPr="00D03F3E">
        <w:rPr>
          <w:rFonts w:ascii="Times New Roman" w:hAnsi="Times New Roman"/>
          <w:color w:val="000000" w:themeColor="text1"/>
          <w:sz w:val="16"/>
          <w:szCs w:val="16"/>
        </w:rPr>
        <w:softHyphen/>
        <w:t>ном институте (ГПИ № 8) НКТП, которым в то время руководил А.И. Солин. Разработкой технологии автоматической сварки бронекорпусов танка ИС занималась лаборатория НИИ электросварки академика Е.О. Патока. ЦНИИ-48 разрабатывал технологию кокильной отливки дета</w:t>
      </w:r>
      <w:r w:rsidRPr="00D03F3E">
        <w:rPr>
          <w:rFonts w:ascii="Times New Roman" w:hAnsi="Times New Roman"/>
          <w:color w:val="000000" w:themeColor="text1"/>
          <w:sz w:val="16"/>
          <w:szCs w:val="16"/>
        </w:rPr>
        <w:softHyphen/>
        <w:t>лей броневого корпуса (10703).</w:t>
      </w:r>
    </w:p>
    <w:p w14:paraId="6DAD963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6844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апреля 1943г. вышел ПРИКАЗ НАРОДНОГО КОМИССАРА ОБОРОНЫ СССР О ПЕРЕВОДЕ ИМПОРТНОГО И ТРОФЕЙНОГО АВТОМОБИЛЬНОГО ПАРКА КРАСНОЙ АРМИИ НА ПИТАНИЕ ЭТИЛИРОВАННЫМ ПРОДУКТОМ В-20 № 0279</w:t>
      </w:r>
    </w:p>
    <w:p w14:paraId="3627F6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Постановлением Государственного комитета обороны №3146сс от 8 апреля 1943 г. и Распоряжением СНК Союза ССР №6903рс от 3 апреля 1943 г. ПРИКАЗЫВАЮ:</w:t>
      </w:r>
    </w:p>
    <w:p w14:paraId="36305EB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 25 апреля 1943 г. перевести импортный и трофейный автомобильный парк Красной Армии на снабжение автобензином с добавкой 2 куб. см продукта В-20 на 1 кг бензина.</w:t>
      </w:r>
    </w:p>
    <w:p w14:paraId="78AE479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Начальнику управления снабжения горючим Красной Армии т. Кормилицину обеспечить снаб</w:t>
      </w:r>
      <w:r w:rsidRPr="00D03F3E">
        <w:rPr>
          <w:rFonts w:ascii="Times New Roman" w:hAnsi="Times New Roman"/>
          <w:color w:val="000000" w:themeColor="text1"/>
          <w:sz w:val="16"/>
          <w:szCs w:val="16"/>
        </w:rPr>
        <w:softHyphen/>
        <w:t>жение продуктом В-20 и организацию подачи этилированного автобензина воинским соединениям в готовом виде по заявкам фронтов, армий и округов.</w:t>
      </w:r>
    </w:p>
    <w:p w14:paraId="50FDD6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 целях установления возможности экономии автобензина за счет повышения степени сжа</w:t>
      </w:r>
      <w:r w:rsidRPr="00D03F3E">
        <w:rPr>
          <w:rFonts w:ascii="Times New Roman" w:hAnsi="Times New Roman"/>
          <w:color w:val="000000" w:themeColor="text1"/>
          <w:sz w:val="16"/>
          <w:szCs w:val="16"/>
        </w:rPr>
        <w:softHyphen/>
        <w:t>тия у отечественных автодвигателей и применения на них продукта В-20 в качестве антидетонато</w:t>
      </w:r>
      <w:r w:rsidRPr="00D03F3E">
        <w:rPr>
          <w:rFonts w:ascii="Times New Roman" w:hAnsi="Times New Roman"/>
          <w:color w:val="000000" w:themeColor="text1"/>
          <w:sz w:val="16"/>
          <w:szCs w:val="16"/>
        </w:rPr>
        <w:softHyphen/>
        <w:t>ра Главному автомобильному управлению Красной Армии совместно с Академией наук СССР и Наркомсредмашем провести:</w:t>
      </w:r>
    </w:p>
    <w:p w14:paraId="352774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испытания автомашин ГАЗ-АА и ЗИС-5 в трех автоколоннах газогенераторных головок блока цилиндра и применением этилированного автобензина;</w:t>
      </w:r>
    </w:p>
    <w:p w14:paraId="45B9E5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стендовые испытания двигателей ГАЗ-АА, ГАЗ-М и ЗИС-5 с газогенераторными головками блока цилиндров и с установкой дроссельной шайбы, ограничивающей мощность до номинальной при стандартной головке блока цилиндров и применением этилированного автобензина.</w:t>
      </w:r>
    </w:p>
    <w:p w14:paraId="07B380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Командующему войсками Западного фронта выделить для проведения испытаний 2 автотран</w:t>
      </w:r>
      <w:r w:rsidRPr="00D03F3E">
        <w:rPr>
          <w:rFonts w:ascii="Times New Roman" w:hAnsi="Times New Roman"/>
          <w:color w:val="000000" w:themeColor="text1"/>
          <w:sz w:val="16"/>
          <w:szCs w:val="16"/>
        </w:rPr>
        <w:softHyphen/>
        <w:t>спортных батальона и начальнику Главного управления автотранспортной и дорожной службы Красной Армии в 5 автотранспортном полку — 1 автобатальон.</w:t>
      </w:r>
    </w:p>
    <w:p w14:paraId="0C6264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провести в период с 20 апреля по 20 июня 1943 г.</w:t>
      </w:r>
    </w:p>
    <w:p w14:paraId="35C0709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Начальнику Главного автомобильного управления Красной Армии т. Белокоскову утвердить программу испытаний.</w:t>
      </w:r>
    </w:p>
    <w:p w14:paraId="32AB61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Результат испытаний доложить мне к 25 июня с.г.</w:t>
      </w:r>
    </w:p>
    <w:p w14:paraId="73D43B0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Начальнику управления снабжения горючим т. Кормилицину обеспечить проведение указан</w:t>
      </w:r>
      <w:r w:rsidRPr="00D03F3E">
        <w:rPr>
          <w:rFonts w:ascii="Times New Roman" w:hAnsi="Times New Roman"/>
          <w:color w:val="000000" w:themeColor="text1"/>
          <w:sz w:val="16"/>
          <w:szCs w:val="16"/>
        </w:rPr>
        <w:softHyphen/>
        <w:t>ных испытаний ГСМ.</w:t>
      </w:r>
    </w:p>
    <w:p w14:paraId="2FEA87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Начальнику Главного автомобильного управления Красной Армии т. Белокоскову и начальни</w:t>
      </w:r>
      <w:r w:rsidRPr="00D03F3E">
        <w:rPr>
          <w:rFonts w:ascii="Times New Roman" w:hAnsi="Times New Roman"/>
          <w:color w:val="000000" w:themeColor="text1"/>
          <w:sz w:val="16"/>
          <w:szCs w:val="16"/>
        </w:rPr>
        <w:softHyphen/>
        <w:t>ку управления снабжения горючим т. Кормилицину издать к 25 апреля Инструкцию по применению этилированных автобензинов.</w:t>
      </w:r>
    </w:p>
    <w:p w14:paraId="5367317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Технический контроль и наблюдение за внедрением и правильным применением этилирован</w:t>
      </w:r>
      <w:r w:rsidRPr="00D03F3E">
        <w:rPr>
          <w:rFonts w:ascii="Times New Roman" w:hAnsi="Times New Roman"/>
          <w:color w:val="000000" w:themeColor="text1"/>
          <w:sz w:val="16"/>
          <w:szCs w:val="16"/>
        </w:rPr>
        <w:softHyphen/>
        <w:t>ных автобензинов возлагаю на начальника Главного автомобильного управления Красной Армии.</w:t>
      </w:r>
    </w:p>
    <w:p w14:paraId="38E14B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Пункт 1-й приказа ввести в действие по телеграфу.</w:t>
      </w:r>
    </w:p>
    <w:p w14:paraId="362383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Заместитель народного комиссара обороны СССР генерал-полковник и/с А. Хрулев</w:t>
      </w:r>
    </w:p>
    <w:p w14:paraId="0B7D75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41. Оп. 11592. Д. 79. Л. 21. Копия (11403).</w:t>
      </w:r>
    </w:p>
    <w:p w14:paraId="6712A5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5736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апреля 1943 года была подготовлена справка:</w:t>
      </w:r>
    </w:p>
    <w:p w14:paraId="19CE77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Проведение восстановительных работ на заводе № 221 – Сталинград (9271)</w:t>
      </w:r>
    </w:p>
    <w:p w14:paraId="20B8A2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314 НКВ – Медногорск (9271).</w:t>
      </w:r>
    </w:p>
    <w:p w14:paraId="663A39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BC00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апреля 1943 вышло Постановление ГКО № 3197 О форсировании строительства Орского завода металлургического оборудования.РГАНИР, Фонд ГКО, д. 105, лл. 34-42, 43-48 (11012).</w:t>
      </w:r>
    </w:p>
    <w:p w14:paraId="615E6A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3503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апреля 1943 вышло Распоряжение ГКО № 3198. О мерах по обеспечению апрельского плана снабжения нефтетопливом и маслами.РГАНИР, Фонд ГКО, д. 105, лл. 49-50, 51 (11012).</w:t>
      </w:r>
    </w:p>
    <w:p w14:paraId="52CAD6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8CA51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0A617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E659A1" w14:textId="77777777" w:rsidR="0048312E" w:rsidRPr="00D03F3E" w:rsidRDefault="004831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апреля в 1943 году утреннее сообщение Совинформбюро:</w:t>
      </w:r>
    </w:p>
    <w:p w14:paraId="760947E8" w14:textId="77777777" w:rsidR="0048312E" w:rsidRPr="00D03F3E" w:rsidRDefault="004831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18 апреля на фронтах существенных изменений не произошло.</w:t>
      </w:r>
    </w:p>
    <w:p w14:paraId="5D1887FD" w14:textId="77777777" w:rsidR="0048312E" w:rsidRPr="00D03F3E" w:rsidRDefault="004831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полк пехоты противника ночью предпринял контратаку. Гвардейцы под командованием тов. Рубанюка подпустили двигавшихся колоннами пьяных гитлеровцевна близкое расстояние, а затем открыли организованный огонь из всех видов оружия. Миномётные залпы накрыли колонны противника. Многие гитлеровцы были уничтожены, а остальные в беспорядке отступили. На другом участке, отбивая контратаки противника, наши части истребили до батальона немецкой пехоты.Сожжено и подбито 5 немецких танков.</w:t>
      </w:r>
    </w:p>
    <w:p w14:paraId="1125E6BB" w14:textId="77777777" w:rsidR="0048312E" w:rsidRPr="00D03F3E" w:rsidRDefault="004831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наши подразделения вели бои местного значения. На одном участке рассеян и частью уничтожен отряд гитлеровцев, пытавшийся вести разведку боем. Перед нашими позициями противник оставил 60 трупов своих солдат и офицеров.</w:t>
      </w:r>
    </w:p>
    <w:p w14:paraId="76114409" w14:textId="77777777" w:rsidR="0048312E" w:rsidRPr="00D03F3E" w:rsidRDefault="004831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артиллеристы Н-ской части произвели огневой налёт на скопление противника. Уничтожено до 200 гитлеровцев и 8 автомашин с боеприпасами.</w:t>
      </w:r>
    </w:p>
    <w:p w14:paraId="0F6BFEA4" w14:textId="77777777" w:rsidR="0048312E" w:rsidRPr="00D03F3E" w:rsidRDefault="004831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огнём нашей артиллерии разрушено 12 немецких дзотов и блиндажей, подавлен огонь артиллерийской и 5 миномётных батарей, взорван склад противника с боеприпасами. Снайперы Н-ской части истребили 35 гитлеровцев.</w:t>
      </w:r>
    </w:p>
    <w:p w14:paraId="3D148650" w14:textId="77777777" w:rsidR="0048312E" w:rsidRPr="00D03F3E" w:rsidRDefault="004831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батарея, где командиром старший лейтенант Чирков, уничтожила три немецкие миномётные батареи, в том числе батарею шестиствольных миномётов. На другом участке группа разведчиков во главе со старшим сержантом Василием Поздняковым пробралась ночью в расположение противника и атаковала боевое охранение немцев. Захватив пленных, разведчики вернулись в свою часть.</w:t>
      </w:r>
    </w:p>
    <w:p w14:paraId="57716F65" w14:textId="77777777" w:rsidR="0048312E" w:rsidRPr="00D03F3E" w:rsidRDefault="004831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Могилёвской области, за месяц боевых действий подорвал и пустил под откос 8 железнодорожных эшелонов противника. В результате крушений разбито 98 платформ с танками и автомашинами и 23 вагона с продовольствием. Партизаны другого белорусского отряда организовали крушение воинского эшелона в составе двух паровозов и 20 классных вагонов. Во время крушения поезда убито и ранено более 100 гитлеровцев.</w:t>
      </w:r>
    </w:p>
    <w:p w14:paraId="35CB68B5" w14:textId="77777777" w:rsidR="0048312E" w:rsidRPr="00D03F3E" w:rsidRDefault="004831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Пленный фельдфебель, лётчик 4 немецкого воздушного флота, Вильгельм Рист рассказал: «На Восточный фронт я прибыл в начале января 1943 года из Африки. Два раза—11 и 18 января—летал в Сталинград с продовольствием и боеприпасами для окружённых немецких войск. Под Сталинградом немецкая армия потерпела самое крупное поражение. Там, у реки Волги, все планы летнего похода 1942 года потерпели полный крах. Никакая тотальная мобилизация не сможет заменить погибших </w:t>
      </w:r>
      <w:r w:rsidRPr="00D03F3E">
        <w:rPr>
          <w:rFonts w:ascii="Times New Roman" w:hAnsi="Times New Roman"/>
          <w:color w:val="000000" w:themeColor="text1"/>
          <w:sz w:val="16"/>
          <w:szCs w:val="16"/>
        </w:rPr>
        <w:lastRenderedPageBreak/>
        <w:t>под Сталинградом обученных, опытных и закалённых в боях солдат. В Тунисе армии Роммеля поставлена задача — любой ценой продержаться как можно дольше. Многие лётчики считают, что армия Роммеля неизбежно погибнет. Итальянцы не хотят воевать. Они целыми подразделениями переходили на сторону англичан. Мне часто приходилось слышать такие заявления: «Для нас, итальянцев, лучше быть в плену у англичан, чем находиться под сапогом у немцев» (15103).</w:t>
      </w:r>
    </w:p>
    <w:p w14:paraId="577CBAA0" w14:textId="77777777" w:rsidR="0048312E" w:rsidRPr="00D03F3E" w:rsidRDefault="0048312E" w:rsidP="00D03F3E">
      <w:pPr>
        <w:spacing w:after="0" w:line="240" w:lineRule="auto"/>
        <w:jc w:val="both"/>
        <w:rPr>
          <w:rFonts w:ascii="Times New Roman" w:hAnsi="Times New Roman"/>
          <w:color w:val="000000" w:themeColor="text1"/>
          <w:sz w:val="16"/>
          <w:szCs w:val="16"/>
        </w:rPr>
      </w:pPr>
    </w:p>
    <w:p w14:paraId="671061EA" w14:textId="77777777" w:rsidR="0048312E" w:rsidRPr="00D03F3E" w:rsidRDefault="004831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апреля в 1943 году вечернее сообщение Совинформбюро</w:t>
      </w:r>
    </w:p>
    <w:p w14:paraId="7A894D62" w14:textId="77777777" w:rsidR="0048312E" w:rsidRPr="00D03F3E" w:rsidRDefault="004831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18 апреля на фронтах существенных изменении не произошло.</w:t>
      </w:r>
    </w:p>
    <w:p w14:paraId="006AA0B7" w14:textId="77777777" w:rsidR="0048312E" w:rsidRPr="00D03F3E" w:rsidRDefault="004831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11 по 17 апреля включительно, в воздушных боях и на аэродромах противника уничтожено 302 немецких самолёта. Наши потери за это же время 103 самолёта.</w:t>
      </w:r>
    </w:p>
    <w:p w14:paraId="15A4468E" w14:textId="77777777" w:rsidR="0048312E" w:rsidRPr="00D03F3E" w:rsidRDefault="004831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апреля частями нашей авиации на различных участках фронта уничтожено или повреждено не менее 20 немецких автомашин с войсками и грузами, взорвано 2 склада боеприпасов, подавлен огонь 10 артиллерийских и миномётных батарей, разбит железнодорожный эшелон противника.</w:t>
      </w:r>
    </w:p>
    <w:p w14:paraId="5A33604C" w14:textId="77777777" w:rsidR="0048312E" w:rsidRPr="00D03F3E" w:rsidRDefault="004831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части отбивали контратаки пехоты и танков противника. На одном участке бойцы Н-ского соединения несколько дней назад заняли высоту, имеющую важное значение. Сегодня немцы семь раз переходили в атаки, пытаясь вновь овладеть этой высотой. Все атаки гитлеровцев отбиты. Только в течение дня противник потерял на этом участке убитыми до 1.400 солдат и офицеров. Ожесточённые бои развернулись и на другом участке фронта, где немцы бросили в атаки более двух полков пехоты. Действия пехотных частей противник поддерживал крупными силами авиации. Наши части, обороняющие эти позиции, отбили атаки противника и нанесли ему тяжёлые потери. По неполным данным, сбито 25 и подбито 8 немецких самолётов.</w:t>
      </w:r>
    </w:p>
    <w:p w14:paraId="0002171F" w14:textId="77777777" w:rsidR="0048312E" w:rsidRPr="00D03F3E" w:rsidRDefault="004831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продолжали совершенствовать занимаемые позиции. Артиллерийским и миномётным огнём уничтожено более роты немецкой пехоты. Подавлен огонь миномётной и 2 артиллерийских батарей противника.</w:t>
      </w:r>
    </w:p>
    <w:p w14:paraId="6B3DB16A" w14:textId="77777777" w:rsidR="0048312E" w:rsidRPr="00D03F3E" w:rsidRDefault="004831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бомбили аэродром противника. Уничтожено и частично повреждено до 30 немецких самолётов и сожжён склад с горючим.</w:t>
      </w:r>
    </w:p>
    <w:p w14:paraId="38CC0F58" w14:textId="77777777" w:rsidR="0048312E" w:rsidRPr="00D03F3E" w:rsidRDefault="004831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наше подразделение, ведя разведку боем, истребило 80 гитлеровцев. Огнём советской артиллерии разрушено 3 вражеских дзота и разбито 16 повозок с грузами.</w:t>
      </w:r>
    </w:p>
    <w:p w14:paraId="07757086" w14:textId="77777777" w:rsidR="0048312E" w:rsidRPr="00D03F3E" w:rsidRDefault="004831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артиллеристы Н-ской части подавили огонь двух немецких артиллерийских батарей и двух шестиствольных миномётов. Отряд немцев численностью в 70 человек пытался разведать передний край нашей обороны. Гитлеровцы были обстреляны ружейно-пулемётным огнём и в беспорядке отошли, оставив на поле боя 40 трупов.</w:t>
      </w:r>
    </w:p>
    <w:p w14:paraId="3F6A7815" w14:textId="77777777" w:rsidR="0048312E" w:rsidRPr="00D03F3E" w:rsidRDefault="004831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подступах к Ленинграду огнём зенитной артиллерии сбито 6 немецких бомбардировщиков «Юнкерс-88». Кроме того, наши лётчики в воздушных боях сбили 2 самолёта противника.</w:t>
      </w:r>
    </w:p>
    <w:p w14:paraId="728D8854" w14:textId="77777777" w:rsidR="0048312E" w:rsidRPr="00D03F3E" w:rsidRDefault="004831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обер-ефрейтор 8 роты 94 полка 32 немецкой гренадерской дивизии Курт Косвейлер рассказал: «В городе Грауденце (Польша) я был свидетелем страшной сцены. На моих глазах были расстреляны сотни мирных польских граждан. В середине дня отряды СС согнали сотни жителей, повели за город и там заставили их рыть могилы. Потом эсэсовцы выстроили в ряды обезумевших от страха людей и поочерёдно расстреливали их. Эту ужасную картину наблюдали очень многие солдаты местного гарнизона».</w:t>
      </w:r>
    </w:p>
    <w:p w14:paraId="3AB40264" w14:textId="77777777" w:rsidR="0048312E" w:rsidRPr="00D03F3E" w:rsidRDefault="004831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Греции ширится партизанское движение. Недавно партизаны совершили нападение на итальянскую моторизованную колонну. В завязавшемся бою греческие патриоты уничтожили 57 итальянцев. Партизаны захватили 7 автомашин, 5 пулемётов и много патронов. В порту Пирей патриоты подожгли итальянское грузовое судно.» (15103).</w:t>
      </w:r>
    </w:p>
    <w:p w14:paraId="26CC842E" w14:textId="77777777" w:rsidR="0048312E" w:rsidRPr="00D03F3E" w:rsidRDefault="0048312E" w:rsidP="00D03F3E">
      <w:pPr>
        <w:spacing w:after="0" w:line="240" w:lineRule="auto"/>
        <w:jc w:val="both"/>
        <w:rPr>
          <w:rFonts w:ascii="Times New Roman" w:hAnsi="Times New Roman"/>
          <w:color w:val="000000" w:themeColor="text1"/>
          <w:sz w:val="16"/>
          <w:szCs w:val="16"/>
        </w:rPr>
      </w:pPr>
    </w:p>
    <w:p w14:paraId="0EF7A7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апреля 1943 на Северо-Кавказский фронт по приказу Ставки прибыли маршал Г.К.Жуков и командующий ВВС генерал А.А.Новиков. Новиков приказал из резерва немедленно перебросить на Кубань 2-й бомбардировочный, 3-й истребительный, 2-й смешанный авиационные корпуса и 282-ю истребительную дивизию. Силы советской авиации увеличились до 900 самолетов. Из них: 370 истребителей, 170 штурмовиков, 165 бомбардировщиков, 195 ночных бомбардировщиков. Советские ВВС здесь уже имели до 65% новых самолетов типа Як-1, Як-7б и Ла-5, а также английские и американские самолеты-бомбардировщики Б-20 и Б-3, а также истребители "Аэрокобра" и "Спитфайр" (3573).</w:t>
      </w:r>
    </w:p>
    <w:p w14:paraId="4DF44F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8C84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апреля 1943 на СКФ прибыли представители Ставки - Г.К.Ж. и м авиации А.А.Новиков. Посетили 18А (340,117).</w:t>
      </w:r>
    </w:p>
    <w:p w14:paraId="19B0B3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ED2F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апреля 1943 вышло Постановление ГКО № 3199 О командующем Черноморским флотом.РГАНИР, Фонд ГКО, д. 105, лл. 52 (11012).</w:t>
      </w:r>
    </w:p>
    <w:p w14:paraId="684EF3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E9323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апреля 1943 вышло Постановление ГКО № 3200 [О создании подготовительного курса при Военно-воздушной академии им. Жуковского.] (7096, 53).</w:t>
      </w:r>
    </w:p>
    <w:p w14:paraId="083917D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53759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49D39C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2757C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апреля 1943 СССР заявил, что поляков в Катынском лесу расстреляли гестаповцы (4962).</w:t>
      </w:r>
    </w:p>
    <w:p w14:paraId="3E603EF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5D8938" w14:textId="77777777" w:rsidR="0048312E" w:rsidRPr="00D03F3E" w:rsidRDefault="004831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апреля в 1943 году в Стокгольме происходили секретные переговоры посла СССР А.Коллонтай с послом Германии Томпсоном. Переговоры продолжались несколько дней и затрагивали вопросы создания автономного Украинского государства как буфера между СССР и Германией, достижения сепаратного мира между двумя государствами и передачи Балтийских республик СССР (15103).</w:t>
      </w:r>
    </w:p>
    <w:p w14:paraId="5865CEE2" w14:textId="77777777" w:rsidR="0048312E" w:rsidRPr="00D03F3E" w:rsidRDefault="0048312E" w:rsidP="00D03F3E">
      <w:pPr>
        <w:spacing w:after="0" w:line="240" w:lineRule="auto"/>
        <w:jc w:val="both"/>
        <w:rPr>
          <w:rFonts w:ascii="Times New Roman" w:hAnsi="Times New Roman"/>
          <w:color w:val="000000" w:themeColor="text1"/>
          <w:sz w:val="16"/>
          <w:szCs w:val="16"/>
        </w:rPr>
      </w:pPr>
    </w:p>
    <w:p w14:paraId="54BE8E04"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2D5B08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5255F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апреля 1943 в ходе спецоперации английской авиации на Соломоновых островах погиб командующий японским флотом адмирал И. Ямамото, главный стратег японской армии, автор плана атаки на Перл-Харбор (4962).</w:t>
      </w:r>
    </w:p>
    <w:p w14:paraId="29B9998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42FE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April 18 Sun. 1943 Admiral Yamamoto, Commander in Chief Japanese Combined Fleet, is killed when his aircraft if shot down by Army aircraft. (1064).</w:t>
      </w:r>
    </w:p>
    <w:p w14:paraId="35369C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B0C74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April 18, 1943. P-38 pilots from Henderson Field, Guadalcanal, intercept and shoot down two Mitsubishi "Betty" bombers over Bougainville. The Aerial ambush kills Japanese admiral Isoroku Yamamoto, who planned the Pearl Harbor attack (1089).</w:t>
      </w:r>
    </w:p>
    <w:p w14:paraId="77EEDE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1CB46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lang w:val="en-US"/>
        </w:rPr>
        <w:t xml:space="preserve">April 18 1943 Japanese Admiral Isoroku Yamamoto is shot down and killed by Rex T. Barber. </w:t>
      </w:r>
      <w:r w:rsidRPr="00D03F3E">
        <w:rPr>
          <w:rFonts w:ascii="Times New Roman" w:hAnsi="Times New Roman"/>
          <w:color w:val="000000" w:themeColor="text1"/>
          <w:sz w:val="16"/>
          <w:szCs w:val="16"/>
        </w:rPr>
        <w:t>(1769).</w:t>
      </w:r>
    </w:p>
    <w:p w14:paraId="0E6787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4338EF" w14:textId="77777777" w:rsidR="00CE6618" w:rsidRPr="00D03F3E" w:rsidRDefault="00CE661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18 апреля 1943 точно через год после Raid Дулитл, адмирал Ямамото, главнокомандующий Императорского японского флота был убит , когда Mitsubishi G4M ( имя отчетности Allied „Бетти“) , в котором он летел в качестве пассажир попал в засаду и был сбит истребителями ВВС США P-38 Lightning над Бугенвилем в ходе операции «Месть». Атакующие P-38s также сбивают Бетти США сопровождения. Ероме того, критически ранен начальника штаба Yamamoto, вице - адмирал Угаки - и три из шести истребителей Зеро эскорта их. Сбит один Р-38 (20736).</w:t>
      </w:r>
    </w:p>
    <w:p w14:paraId="30EC0417" w14:textId="77777777" w:rsidR="00CE6618" w:rsidRPr="00D03F3E" w:rsidRDefault="00CE6618" w:rsidP="00D03F3E">
      <w:pPr>
        <w:spacing w:after="0" w:line="240" w:lineRule="auto"/>
        <w:jc w:val="both"/>
        <w:rPr>
          <w:rFonts w:ascii="Times New Roman" w:hAnsi="Times New Roman"/>
          <w:color w:val="0070C0"/>
          <w:sz w:val="16"/>
          <w:szCs w:val="16"/>
        </w:rPr>
      </w:pPr>
    </w:p>
    <w:p w14:paraId="34D29E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апреля 1943 американский Р-38 перехватил и сбил 2 самолета Митсубиси Бетти в одном из которых погиб а Ямамото (1064;1089;1769).</w:t>
      </w:r>
    </w:p>
    <w:p w14:paraId="0F1EBB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0BF71E" w14:textId="77777777" w:rsidR="00BA0934" w:rsidRPr="00D03F3E" w:rsidRDefault="00BA093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апреля в 1943 году пилоты 339-й эскадрильи авиации США перехватили у острова Бугенвиля самолет командующего флотом Японии адмирала Ямамото и уничтожили его. Точка и время перехвата были определены на основании дешифровки радиопереговоров японцев, основная сложность заключалась в том, что у истребителей «Р-38», действовавших на пределе дальности, было всего 5-10 минут на обнаружение и атаку цели. Так был выполнен план "мести за Перл-Харбор", утвержденный Рузвельтом - "настичь и уничтожить Ямамото любой ценой". Потери США составили 4 истребителя (15103).</w:t>
      </w:r>
    </w:p>
    <w:p w14:paraId="4B13F6AA" w14:textId="77777777" w:rsidR="00BA0934" w:rsidRPr="00D03F3E" w:rsidRDefault="00BA0934" w:rsidP="00D03F3E">
      <w:pPr>
        <w:spacing w:after="0" w:line="240" w:lineRule="auto"/>
        <w:jc w:val="both"/>
        <w:rPr>
          <w:rFonts w:ascii="Times New Roman" w:hAnsi="Times New Roman"/>
          <w:color w:val="000000" w:themeColor="text1"/>
          <w:sz w:val="16"/>
          <w:szCs w:val="16"/>
        </w:rPr>
      </w:pPr>
    </w:p>
    <w:p w14:paraId="57EABD82" w14:textId="77777777" w:rsidR="00BA0934" w:rsidRPr="00D03F3E" w:rsidRDefault="00BA093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апреля в 1943 году на Европейском ТВД, 47 самолетов «Р-40» "Уорхаук" и 12 "Спитфайр" разгромили большую группу немецких транспортных самолетов, пытавшихся доставить груз окруженной армии Роммеля. Немцы потеряли 58 самолетов «Юнкерс» «Ju 52/3м» и 18 истребителей сопровождения «Макки» «С.200» и «Мессершмитт» «Bf 109». Потери союзников составили лишь четыре «Р-40» и один "Спитфайр". Три пилота 57-й группы сбили по пять машин каждый, что по американским меркам давало право на звание "ас" (15103).</w:t>
      </w:r>
    </w:p>
    <w:p w14:paraId="637517B0" w14:textId="77777777" w:rsidR="00BA0934" w:rsidRPr="00D03F3E" w:rsidRDefault="00BA0934" w:rsidP="00D03F3E">
      <w:pPr>
        <w:spacing w:after="0" w:line="240" w:lineRule="auto"/>
        <w:jc w:val="both"/>
        <w:rPr>
          <w:rFonts w:ascii="Times New Roman" w:hAnsi="Times New Roman"/>
          <w:color w:val="000000" w:themeColor="text1"/>
          <w:sz w:val="16"/>
          <w:szCs w:val="16"/>
        </w:rPr>
      </w:pPr>
    </w:p>
    <w:p w14:paraId="1E1AB79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2030B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E99F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19 апреля 1943 вышел совместный приказ ВВС и НКАП N 236/072, поручивший заводу 149 изготовить опытную серию регулятора температуры "АРТЦ-43" (744,3) </w:t>
      </w:r>
      <w:r w:rsidRPr="00D03F3E">
        <w:rPr>
          <w:rFonts w:ascii="Times New Roman" w:hAnsi="Times New Roman"/>
          <w:color w:val="000000" w:themeColor="text1"/>
          <w:sz w:val="16"/>
          <w:szCs w:val="16"/>
        </w:rPr>
        <w:lastRenderedPageBreak/>
        <w:t>(автомат регулирования температуры головок цилиндров).</w:t>
      </w:r>
    </w:p>
    <w:p w14:paraId="229049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6B1FC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вышл совместный приказ ВВС и НКАП № 236/672, который поручил з-ду № 149 НКАП изготовить опытную серию АРТЦ-43 для оборудования Ла-5. Образцы прошли контрольные испытания на с-те Ла-5 М-82 и опытная партия была допущена для проведения войсковых испытаний.</w:t>
      </w:r>
    </w:p>
    <w:p w14:paraId="6CADD506"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1944 автомат АРТЦ-43 удовлетворительно прошел войсковые испытания на Ла-5 фн и был принят на вооружение ВВС.</w:t>
      </w:r>
    </w:p>
    <w:p w14:paraId="63D243EF"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ГУЗ ВВС КА было предложено ввести АРТЦ-43 в спецификацию спецоборудования с-та Ла-5 и Ла-7, а серийный выпуск и установку на ст-тах производить по графику, согласованному с НКАП.</w:t>
      </w:r>
    </w:p>
    <w:p w14:paraId="1485124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Автомат работал надежно и практически безинерционно регулировал на с-те температуру головок цилиндров (744,1).</w:t>
      </w:r>
    </w:p>
    <w:p w14:paraId="501BCBB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556331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вышел совместный приказ НКАП и Командующего ВВС КА N 236/072 (подписал зам - Репин)</w:t>
      </w:r>
    </w:p>
    <w:p w14:paraId="595EA0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внедрения в эксплуатацию автоматов регулировки температуры головок цилиндров воздушного охлаждения (АРТЦ-43) в пр-во:</w:t>
      </w:r>
    </w:p>
    <w:p w14:paraId="1E50D4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Директору завода № 149 т. Молодому и Нач. ЛИИ т. Чесалову закончить доводку и летные испытания аппарата регулировки температуры головок цилиндров мотора М-82Ф на самолете Ла-5 к 15 мая 1943 (АРТЦ)</w:t>
      </w:r>
    </w:p>
    <w:p w14:paraId="1DF15C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Директору завода № 21 т. Агаджанову и ГК Лавочкину оборудовать 20 самолетов автоматами регулировки температуры головок цилиндров для войсковых испытаний к 15 июня 1943 г.</w:t>
      </w:r>
    </w:p>
    <w:p w14:paraId="4F7AF4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Нач. НИИ ВВС ИА гм ИАС Лосюкову организовать и провести войсковые испытания к 1 июля 1943 (937,67).</w:t>
      </w:r>
    </w:p>
    <w:p w14:paraId="3AF4BB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187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вышел совместный приказ НКАП и Командующего ВВС КА N 237/073 (подписал зам - Репин)</w:t>
      </w:r>
    </w:p>
    <w:p w14:paraId="707666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внедрения в эксплуатацию автоматов регулировки температуры головок цилиндров водяного охлаждения (ФКТ-41) в пр-во:</w:t>
      </w:r>
    </w:p>
    <w:p w14:paraId="093C86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т. Яковлеву разработать чертежи установки АРТ-41 на с-ты Як-1, Як-7, Як-9 ук 1 июля 1943</w:t>
      </w:r>
    </w:p>
    <w:p w14:paraId="721113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т. Ильюшину разработать чертежи установки АРТ-41 на с-ты ... и Ил-2 к 15 июня 1943 г. (937,73).</w:t>
      </w:r>
    </w:p>
    <w:p w14:paraId="14233A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9879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вышел совместный приказ НКАП и Командующего ВВС КА (подписал зам - Репин):</w:t>
      </w:r>
    </w:p>
    <w:p w14:paraId="427B0B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 НИИ ВВС т. Лосюкову разработать и представить в НКАП ТТТ на автомат ограничения времени форсажа мотора АМ-38 к 25 апреля 1943 (937,87).</w:t>
      </w:r>
    </w:p>
    <w:p w14:paraId="056D92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9305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вышел совместный приказ НКАП и Командующего ВВС КА (подписал зам - Репин):</w:t>
      </w:r>
    </w:p>
    <w:p w14:paraId="3E3CF0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внедрении в эксплоатацию переключателя скоростей нагнетателя Э-67 и подготовке серийного производства.</w:t>
      </w:r>
    </w:p>
    <w:p w14:paraId="42F14A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Директору завода № 301 Смирнову оборудовать с-т Як-7 автоматом Э-67 к 1 мая 1943</w:t>
      </w:r>
    </w:p>
    <w:p w14:paraId="3DB90A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Нач. НИИ ВВС гм ИАС Лосюкову и нач. ЦИАМ т. Полонскому провести к 15 мая 1943 совместные летные испытания с-та Як-7 с автоматом Э-67</w:t>
      </w:r>
    </w:p>
    <w:p w14:paraId="7ED2E2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Нач. ЛИИ т. Чесалову оборудовать с-т Ла-5 автоматом Э-67 и провести дополнительные испытания автомата Э-67 на моторе М-82Ф к 15 мая 1943</w:t>
      </w:r>
    </w:p>
    <w:p w14:paraId="7B3E90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Директору завода № 19 т. Солдатову и ГК т. Швецову провести дополнительные испытания Э-67 на М-82Ф к 15 мая 1943</w:t>
      </w:r>
    </w:p>
    <w:p w14:paraId="2A39B9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ГК т. Яковлеву и т. Лавочкину представить чертежи установки Э-67 на с-тах Як-7 и Ла-5 для серийного производства к 20 апреля 1943</w:t>
      </w:r>
    </w:p>
    <w:p w14:paraId="039965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Директору завода № 292 т. Левину оборудовать автоматами Э-67 20 с-тов Як-1 в 3 ЗАБ для проведения войсковых испытаний к 15 мая 1943</w:t>
      </w:r>
    </w:p>
    <w:p w14:paraId="2EC4C3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Директору завода № 21 т. Агаджанову и ГК т. Лавочкину оборудовать 20 самолетов Ла-5 автоматами Э-67 в 2 ЗАБ для войсковых испытаний к 15 июня 1943</w:t>
      </w:r>
    </w:p>
    <w:p w14:paraId="4D896A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 НИИ ВВС провести войсковые испытания с-тов Як-1 и Ла-5 с автоматами Э-67 к 1 июля 1943 (937,94).</w:t>
      </w:r>
    </w:p>
    <w:p w14:paraId="2BB996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C172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А.А.Новиковым было утверждено "Положение о НИИ-тах и спец. отделах ГУ ИАС ВВС СА (753)</w:t>
      </w:r>
    </w:p>
    <w:p w14:paraId="5D6154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Институты, созданные согласно постановлению ГКО N 2515 от 18 февраля 1943, являются техническими организациями ВВС КА по развитию и усовершенствованию техники ВВС...</w:t>
      </w:r>
    </w:p>
    <w:p w14:paraId="79FFB4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распределением работ по объектам и темам и-ты разрабатывают перспективные ежегодные и текущие планы опытного строительства образцов авиатехники и НИР в области авиации</w:t>
      </w:r>
    </w:p>
    <w:p w14:paraId="61B8FB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утверждению планов проводят их в жизнь и заключает договора на постройку опытных объектов и опытных партий.</w:t>
      </w:r>
    </w:p>
    <w:p w14:paraId="10A2E6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Проводят все государственные, войсковые и контрольные испытанияопытных, модифицированных образцов, опытных партий и войсковых серий.</w:t>
      </w:r>
    </w:p>
    <w:p w14:paraId="548437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контролируют качество серийной продукции путем инспекций и наблюдения за полнотой и своевременностью внесения в серию всех изменений, утвержденных ГИ ВВС.</w:t>
      </w:r>
    </w:p>
    <w:p w14:paraId="6F3ED2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Отвечают за целесообразность состояния серийных объектов на вооружении ВВС КА, дают заключения о принятии опытных или модифицированных образцов на вооружение ВВС и и следит за своевременностью снятия с серийного производства устаревших объектов.</w:t>
      </w:r>
    </w:p>
    <w:p w14:paraId="5821D1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основе научных исследовательских работ, испытаний и систематизации опыта боевого применения образцов по материалам частей, разрабатывают предложения по совершенствованию конструктивных и боевых свойств серийной продукции и по утверждению их ГИ ВВС передают их заинтересованным КБ, заводам промышленности и управлениям ВВС КА для реализации.</w:t>
      </w:r>
    </w:p>
    <w:p w14:paraId="2474FB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Разрабатывают предложения по необходимым изменениям в эксплуатации и боевом применении усовершенствованных серийных образцов и представляет их на утверждение ГИ ВВС;</w:t>
      </w:r>
    </w:p>
    <w:p w14:paraId="36F2F5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Рассматривают эскизные проекты и макеты опытных и модифицированных образцов и дают по ним замечания;</w:t>
      </w:r>
    </w:p>
    <w:p w14:paraId="21C956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Разрабатывают ТТТ на опытные и модифицированные образцы и составляет ТУ на постройку опытных и модифицированных образцов, опытных и войсковых партий.</w:t>
      </w:r>
    </w:p>
    <w:p w14:paraId="43FB0C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Разрабатывают методики наиболее эффективного боевого применения и эксплуатации матчасти как состоящей, так и принимаемой на вооружение ВВС.</w:t>
      </w:r>
    </w:p>
    <w:p w14:paraId="1128FC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Систематически изучают и исследует трофейную и иностранную матчасть.</w:t>
      </w:r>
    </w:p>
    <w:p w14:paraId="6C6FB8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Следят за путями развития иностранной авиатехники, издают технические сборники и научные труды (753,8).</w:t>
      </w:r>
    </w:p>
    <w:p w14:paraId="150019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положению институт был создан по постановлению ГКО N 2515 от 18 февраля 1943, предусмотревшему развитие и совершенствование техники ВВС. Институт:</w:t>
      </w:r>
    </w:p>
    <w:p w14:paraId="3FE6F3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разрабатывает перспективные ежегодные и текущие планы опытного строительства образцов авиатехники и НИР в области авиации;</w:t>
      </w:r>
    </w:p>
    <w:p w14:paraId="1A171D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 утверждению планов проводит их в жизнь и заключает договора на постройку опытных объектов и опытных...;</w:t>
      </w:r>
    </w:p>
    <w:p w14:paraId="03DB7D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проводит все государственные, войсковые и контрольные испытания...;</w:t>
      </w:r>
    </w:p>
    <w:p w14:paraId="1675DB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контролирует качество серийной продукции путем инспекций и наблюдения за полнотой и своевременностью внесения в серию всех изменений, утвержденных ГИ ВВС;</w:t>
      </w:r>
    </w:p>
    <w:p w14:paraId="4265D5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отвечает за целесообразность состояния серийных объектов на вооружении ВВС КА, дает заключения о принятии опытных или модифицированных образцов на вооружение ВВС и следит за своевременностью снятия с серийного производства устаревших объектов;</w:t>
      </w:r>
    </w:p>
    <w:p w14:paraId="57B17B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на основе научных исследовательских работ, испытаний и систематизации опыта боевого применения образцов по материалам частей, разрабатывает предложения по совершенствованию конструктивных и боевых свойств серийной продукции и по утверждению их ГИ ВВС передают их непосредственно заинтересованным КБ, заводам промышленности и управлениям ВВС КА для реализации;</w:t>
      </w:r>
    </w:p>
    <w:p w14:paraId="4EDF3D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разрабатывает предложения по необходимым изменениям в эксплуатации и боевом применении усовершенствованных серийных образцов и представляет их на утверждение ГИ ВВС;</w:t>
      </w:r>
    </w:p>
    <w:p w14:paraId="653AC1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рассматривает эскизные проекты и макеты опытных и модифицированных образцов и дает по ним замечания;</w:t>
      </w:r>
    </w:p>
    <w:p w14:paraId="1A263F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разрабатывает ТТТ на опытные и модифицированные образцы и составляет ТУ на постройку опытных и модифицированных образцов, опытных и...;</w:t>
      </w:r>
    </w:p>
    <w:p w14:paraId="485390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разрабатывает методики наиболее эффективного боевого применения и эксплуатации матчасти как состоящей, так и принимаемой на вооружение ВВС;</w:t>
      </w:r>
    </w:p>
    <w:p w14:paraId="48E6B2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Систематически изучает и исследует трофейную и иностранную матчасть, следит за путями развития иностранной авиатехники... (753,8).</w:t>
      </w:r>
    </w:p>
    <w:p w14:paraId="556C3A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0BE2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г. вышел ПРИКАЗ № 180 О ВВЕДЕНИИ В ДЕЙСТВИЕ ПОЛОЖЕНИЯ О ЛЕТЧИКАХ-ИСПЫТАТЕЛЯХ ВОЕННОГО ПРЕДСТАВИТЕЛЬСТВА ВВС КРАСНОЙ АРМИИ</w:t>
      </w:r>
    </w:p>
    <w:p w14:paraId="470827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Ввести в действие с 15 апреля 1943 года объявляемое при сем Положение о летчиках-испытателях военного представительства ВВС Красной Армии.</w:t>
      </w:r>
    </w:p>
    <w:p w14:paraId="1ECD90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Главному инженеру ВВС Красной Армии и начальнику Главного управления заказов ВВС создать постоянную квалификационную комиссию при НИИ ВВС и к 1 мая 1943 года представить мне на утверждение проект приказа о присвоении квалификации летному составу военного представительства.</w:t>
      </w:r>
    </w:p>
    <w:p w14:paraId="4F390C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Заместитель Народного комиссара обороны маршал авиации НОВИКОВ </w:t>
      </w:r>
      <w:r w:rsidRPr="00D03F3E">
        <w:rPr>
          <w:rFonts w:ascii="Times New Roman" w:hAnsi="Times New Roman"/>
          <w:color w:val="000000" w:themeColor="text1"/>
          <w:sz w:val="16"/>
          <w:szCs w:val="16"/>
        </w:rPr>
        <w:t>(9844).</w:t>
      </w:r>
    </w:p>
    <w:p w14:paraId="5A95C0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0486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19 апреля 1943 года Заместитель Народного комиссара обороны маршал авиации </w:t>
      </w:r>
      <w:r w:rsidRPr="00D03F3E">
        <w:rPr>
          <w:rFonts w:ascii="Times New Roman" w:hAnsi="Times New Roman"/>
          <w:iCs/>
          <w:color w:val="000000" w:themeColor="text1"/>
          <w:sz w:val="16"/>
          <w:szCs w:val="16"/>
        </w:rPr>
        <w:t xml:space="preserve">НОВИКОВ </w:t>
      </w:r>
      <w:r w:rsidRPr="00D03F3E">
        <w:rPr>
          <w:rFonts w:ascii="Times New Roman" w:hAnsi="Times New Roman"/>
          <w:color w:val="000000" w:themeColor="text1"/>
          <w:sz w:val="16"/>
          <w:szCs w:val="16"/>
        </w:rPr>
        <w:t>утвердил:</w:t>
      </w:r>
    </w:p>
    <w:p w14:paraId="4EAB48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ПОЛОЖЕНИЕ О ЛЕТЧИКАХ-ИСПЫТАТЕЛЯХ ВОЕННОГО ПРЕДСТАВИТЕЛЬСТВА ВВС КРАСНОЙ АРМИИ</w:t>
      </w:r>
    </w:p>
    <w:p w14:paraId="1C0989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 В состав военного представительства ВВС Красной Армии на авиазаводах входят летчики-испытатели, имеющие своей задачей испытание, облет, приемку и сдачу самолетов, поступающих на вооружение ВВС Касной Армии.</w:t>
      </w:r>
    </w:p>
    <w:p w14:paraId="34E451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 опыту работы и имеющейся квалификации летчики-испытатели военного представительства разделяются на четыре разряда согласно нижеследующей классификации:</w:t>
      </w:r>
    </w:p>
    <w:p w14:paraId="3621B8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Летчик-испытатель 1-го разряда</w:t>
      </w:r>
    </w:p>
    <w:p w14:paraId="46AC05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получения классификации летчика-испытателя 1-го разряда необходимо иметь стаж работы на летных должностях в военном представительстве не менее 5 лет и сдать специальный теоретический зачет по программе НИИ на знание предметов: снятие летных характеристик; испытание на устойчивость; маневренность и управляемость; определение летно-посадочных свойств; испытание винтомоторной группы; теория штопора, фляттера и бофтинга в объеме курса экспериментальной аэродинамики, а также по знанию приборного оборудования и центровки самолета.</w:t>
      </w:r>
    </w:p>
    <w:p w14:paraId="506E61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Летчикам-испытателям 1-го радряда предоставляется право проведения облета и испытания опытных самолетов и самолетов различных типов.</w:t>
      </w:r>
    </w:p>
    <w:p w14:paraId="35A7D3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Военное звание летчика-испытателя 1-го разряда — подполковник, полковник. Оклад денежного содержания для летчика-испытателя 1-го разряда устанавливается 2200 рублей в месяц.</w:t>
      </w:r>
    </w:p>
    <w:p w14:paraId="026968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Летчик-испытатель 2-го разряда</w:t>
      </w:r>
    </w:p>
    <w:p w14:paraId="20CAC9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Классификация летчика-испытателя 2-го разряда присваивается летчикам-испытателям 3-го разряда при наличии следующих условий:</w:t>
      </w:r>
    </w:p>
    <w:p w14:paraId="1E9815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стаж работы на летных должностях в военном представительстве не менее 3 лет; 2) сдача специального теоретического зачета по программе, установленной для летчиков-испытателей 1-го радряда.</w:t>
      </w:r>
    </w:p>
    <w:p w14:paraId="4B70C6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Летчикам-испытателям 2-го разряда предоставляется право облета и испытания головных серийных самолетов.</w:t>
      </w:r>
    </w:p>
    <w:p w14:paraId="407ADE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Военное звание летчика-испытателя 2-го разряда — майор, подполковник. Оклад денежного содержания для летчика-испытателя 2-го разряда устанавливается 1800 рублей в месяц.</w:t>
      </w:r>
    </w:p>
    <w:p w14:paraId="44A79C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Летчик-испытатель 3-го разряда</w:t>
      </w:r>
    </w:p>
    <w:p w14:paraId="6D3D33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получения классификации летчика-испытателя 3-го разряда необходимо иметь стаж летной работы в авиачастях не менее 5 лет и навыки длительной эксплуатации данного типа самолета.</w:t>
      </w:r>
    </w:p>
    <w:p w14:paraId="5FDE4C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Классификация летчика-испытателя 3-го разряда присваивается военным летчикам (пилотам), назначаемым в военное представительство из строевых авиачастей, или имевшим классификацию летчика-испытателя 4-го разряда после сдачи зачетов по знанию материальной части и тактико-технических требований, предъявляемых к данному типу самолета.</w:t>
      </w:r>
    </w:p>
    <w:p w14:paraId="6E3B04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Летчик-испытатель 3-го разряда должен уметь определить пригодность для эксплуатации на земле и в воздухе в строевых частях ВВС, сдаваемых ЛИС НКАП серийных самолетов, а также дать исчерпывающее заключение и доказать необходимость устранения выявляемых в полете и на земле дефектов. Военное звание летчика-испытателя 3-го разряда — капитан, майор с окладом денежного содержания в 1600 рублей в месяц.</w:t>
      </w:r>
    </w:p>
    <w:p w14:paraId="692F71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Летчик-испытатель 4-го разряда</w:t>
      </w:r>
    </w:p>
    <w:p w14:paraId="5C2085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получения классификации летчика-испытателя 4-го разряда необходимо иметь стаж летной работы в авиачастях или школах не менее 3 лет.</w:t>
      </w:r>
    </w:p>
    <w:p w14:paraId="66A3AE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Летчики-испытатели 4-го разряда должны иметь отличную технику пилотирования на небоевых (учебных, тренировочных) самолетах, уметь проверять в воздухе и выявлять дефекты сдаваемой заводами НКАП материальной части учебных и тренировочных самолетов на предмет пригодности ее к эксплуатации в ВВС Красной Армии.</w:t>
      </w:r>
    </w:p>
    <w:p w14:paraId="3078B9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Военное звание летчиков-испытателей 4-го разряда — старший лейтенант, капитан с окладом содержания 1400 рублей в месяц.</w:t>
      </w:r>
    </w:p>
    <w:p w14:paraId="225FA3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Летчики-испытатели несут материальную и судебную ответственность за принимаемую от заводов продукцию, а также за рекламации, поступающие из частей.</w:t>
      </w:r>
    </w:p>
    <w:p w14:paraId="4A1145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Отнесение летчиков-испытателей к тому или иному разряду и перевод в высший разряд производится по представлению НИИ ВВ Красной Армии через начальника Главного управления заказов ВВС Красной Армии и объявляется приказом ВВС Красной Армии.</w:t>
      </w:r>
    </w:p>
    <w:p w14:paraId="139BFA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При наличии особо выдающихся показателей в работе и большого летного стажа службы в строевых авиачастях перевод из одного разряда в другой допускается при снижении требуемого п. 2 “Положения” стажа работы в военном представительстве, но при соблюдении порядка представления, установленного п. 4 “Положения”.</w:t>
      </w:r>
    </w:p>
    <w:p w14:paraId="61D894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Врид. начальника штаба ВВС Красной Армии генерал-майор авиации КРОЛЕНКО</w:t>
      </w:r>
    </w:p>
    <w:p w14:paraId="4CD6B5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Начальник Орг-моб. управления штаба ВВС Красной Армии генерал-майор авиации СОКОЛОВЕРОВ </w:t>
      </w:r>
      <w:r w:rsidRPr="00D03F3E">
        <w:rPr>
          <w:rFonts w:ascii="Times New Roman" w:hAnsi="Times New Roman"/>
          <w:color w:val="000000" w:themeColor="text1"/>
          <w:sz w:val="16"/>
          <w:szCs w:val="16"/>
        </w:rPr>
        <w:t>(9844).</w:t>
      </w:r>
    </w:p>
    <w:p w14:paraId="63F127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8E2D7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2A7303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62B3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года два опытных экземпляра ЛПП-25, разработанной Сидоренко, Самусенко и Жуковым в артиллерийской академии им. Дзержинского, прибыли на Гороховецкий полигон для проведения полигонных испытаний. Заводу № 92 был выдан заказ на изготовление 30 пушек ЛПП-25, но изготовлены они не были. В настоящее время опытный образец № 3 находится в музее академии им. Дзержинского. Подкалиберный снаряд имел диаметр 12 мм, на дистанции 100 м по нормали пробивалась броня толщиной 100 мм. Гильза взята от 37-мм зенитной пушки обр. 1939 г. Плотность заряжания 0,77 (3861).</w:t>
      </w:r>
    </w:p>
    <w:p w14:paraId="7A952F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4648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вышло Постановление ГКО № 3201 О мероприятиях по обеспечению выполнения плана черной металлургии в апреле и II квартале 1943 года.РГАНИР, Фонд ГКО, д. 105, лл. 54-94, 95-189 (11012).</w:t>
      </w:r>
    </w:p>
    <w:p w14:paraId="4B4C58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DE3C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вышло Постановление ГКО № 3202 О плане строительства и наращения мощностей черной металлургии в 1943 году.РГАНИР, Фонд ГКО, д. 106, лл. 1-35, 36-152 (11012).</w:t>
      </w:r>
    </w:p>
    <w:p w14:paraId="4AD0BC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E8D7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вышло Постановление ГКО № 3203 Об обеспечении трубами нефтяной промышленности.РГАНИР, Фонд ГКО, д. 106, лл. 153-162, 163-173 (11012).</w:t>
      </w:r>
    </w:p>
    <w:p w14:paraId="33A9A6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5A27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вышло Постановление ГКО № 3204 О шахтном строительстве Наркомугля в 1943 году.РГАНИР, Фонд ГКО, д. 106, лл. 174-185, 186-201 (11012).</w:t>
      </w:r>
    </w:p>
    <w:p w14:paraId="33B206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A3A1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вышло Постановление ГКО № 3205 О материально-техническом обеспечении подшипниковых заводов Наркомсредмаша.РГАНИР, Фонд ГКО, д. 106, лл. 202-209, 210-227 (11012).</w:t>
      </w:r>
    </w:p>
    <w:p w14:paraId="537390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7F80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вышло Постановление ГКО № 3206 О мероприятиях по обеспечению бесперебойной работы цветной металлургии во II квартале 1943 г.РГАНИР, Фонд ГКО, д. 107, лл. 1-6, 7-49 (11012).</w:t>
      </w:r>
    </w:p>
    <w:p w14:paraId="1D67C6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4959B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вышло Распоряжение ГКО № 3209 [О консервации шахт треста "Бурейшахтстрой" и вывозе оттуда оборудования, материалов, рельсов и переводе рабочих, ИТР и служащих.] (7097, 52).</w:t>
      </w:r>
    </w:p>
    <w:p w14:paraId="66035C6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FBD71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вышло Постановление ГКО № 3210 Об улучшении сбора и вывоза трофейного вооружения, имущества и лома черных металлов с полей сражений. (7097, 53-58).</w:t>
      </w:r>
    </w:p>
    <w:p w14:paraId="3D7796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 УЛУЧШЕНИИ СБОРА И ВЫВОЗА ТРОФЕЙНОГО ВООРУЖЕНИЯ, ИМУЩЕСТВА И ЛОМА ЧЕРНЫХ МЕТАЛЛОВ С ПОЛЕЙ СРАЖЕНИЯ</w:t>
      </w:r>
    </w:p>
    <w:p w14:paraId="2FC629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 Кремль</w:t>
      </w:r>
    </w:p>
    <w:p w14:paraId="60416C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целях улучшения сбора и вывоза трофейного вооружения, имущества и металлолома с полей сражения, в дополнение к </w:t>
      </w:r>
      <w:r w:rsidR="008E66C5" w:rsidRPr="00D03F3E">
        <w:rPr>
          <w:rFonts w:ascii="Times New Roman" w:hAnsi="Times New Roman"/>
          <w:color w:val="000000" w:themeColor="text1"/>
          <w:sz w:val="16"/>
          <w:szCs w:val="16"/>
        </w:rPr>
        <w:fldChar w:fldCharType="begin"/>
      </w:r>
      <w:r w:rsidR="008E66C5" w:rsidRPr="00D03F3E">
        <w:rPr>
          <w:rFonts w:ascii="Times New Roman" w:hAnsi="Times New Roman"/>
          <w:color w:val="000000" w:themeColor="text1"/>
          <w:sz w:val="16"/>
          <w:szCs w:val="16"/>
        </w:rPr>
        <w:instrText xml:space="preserve">ref HYPERLINK "/wiki/%D0%9F%D0%BE%D1%81%D1%82%D0%B0%D0%BD%D0%BE%D0%B2%D0%BB%D0%B5%D0%BD%D0%B8%D0%B5_%D0%93%D0%9A%D0%9E_%E2%84%96_3123%D1%81_%D0%BE%D1%82_5.04.43" \* MERGEFORMAT </w:instrText>
      </w:r>
      <w:r w:rsidR="008E66C5" w:rsidRPr="00D03F3E">
        <w:rPr>
          <w:rFonts w:ascii="Times New Roman" w:hAnsi="Times New Roman"/>
          <w:color w:val="000000" w:themeColor="text1"/>
          <w:sz w:val="16"/>
          <w:szCs w:val="16"/>
        </w:rPr>
        <w:fldChar w:fldCharType="separate"/>
      </w:r>
      <w:r w:rsidRPr="00D03F3E">
        <w:rPr>
          <w:rFonts w:ascii="Times New Roman" w:hAnsi="Times New Roman"/>
          <w:color w:val="000000" w:themeColor="text1"/>
          <w:sz w:val="16"/>
          <w:szCs w:val="16"/>
        </w:rPr>
        <w:t>Постановлению ГОКО №3123с</w:t>
      </w:r>
      <w:r w:rsidR="008E66C5" w:rsidRPr="00D03F3E">
        <w:rPr>
          <w:rFonts w:ascii="Times New Roman" w:hAnsi="Times New Roman"/>
          <w:color w:val="000000" w:themeColor="text1"/>
          <w:sz w:val="16"/>
          <w:szCs w:val="16"/>
        </w:rPr>
        <w:fldChar w:fldCharType="end"/>
      </w:r>
      <w:r w:rsidRPr="00D03F3E">
        <w:rPr>
          <w:rFonts w:ascii="Times New Roman" w:hAnsi="Times New Roman"/>
          <w:color w:val="000000" w:themeColor="text1"/>
          <w:sz w:val="16"/>
          <w:szCs w:val="16"/>
        </w:rPr>
        <w:t xml:space="preserve"> от 5 апреля 1943 года, Государственный Комитет Обороны постановляет:</w:t>
      </w:r>
    </w:p>
    <w:p w14:paraId="48F36E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Возложить на Трофейный комитет при Государственном Комитете Обороны:</w:t>
      </w:r>
    </w:p>
    <w:p w14:paraId="3DE351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организацию сбора и вывоза всего трофейного вооружения, военного имущества, продфуража и других народно-хозяйственных ценностей;</w:t>
      </w:r>
    </w:p>
    <w:p w14:paraId="54BAD1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организацию рассортировки трофейного вооружения и имущества (годное для дальнейшего использования, требующее ремонта, подлежащее использованию как лом);</w:t>
      </w:r>
    </w:p>
    <w:p w14:paraId="1E0C9C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организацию сбора в прифронтовой полосе и вывоз в тыл всего металлического лома;</w:t>
      </w:r>
    </w:p>
    <w:p w14:paraId="64E8EC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организацию разделки металлического лома до транспортабельного габаритного состояния и вывоз лома на разделочные базы Главвторчермета и Главвторцветмета, устанавливаемые Трофейным комитетом при ГОКО;</w:t>
      </w:r>
    </w:p>
    <w:p w14:paraId="56C0C8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учет всего собранного, вывезенного на армейские склады, переданного войскам и на рембазы НКО и наркоматов промышленности трофейного вооружения и имущества.</w:t>
      </w:r>
    </w:p>
    <w:p w14:paraId="3CD169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 Трофейный комитет свою работу организует и проводит через Управление трофейного вооружения, имущества и металлолома (УТВИМ) и его фронтовые и </w:t>
      </w:r>
      <w:r w:rsidRPr="00D03F3E">
        <w:rPr>
          <w:rFonts w:ascii="Times New Roman" w:hAnsi="Times New Roman"/>
          <w:color w:val="000000" w:themeColor="text1"/>
          <w:sz w:val="16"/>
          <w:szCs w:val="16"/>
        </w:rPr>
        <w:lastRenderedPageBreak/>
        <w:t>армейские органы (трофейные отделы).</w:t>
      </w:r>
    </w:p>
    <w:p w14:paraId="48D0BA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Передать в непосредственное подчинение начальнику УТВИМ Трофейного комитета при ГОКО сформированные в соответствии с постановлениями ГОКО № 2686сс от 2 января 1943 года и № 2812с от 2 февраля 1943 года 6 отдельных фронтовых трофейных бригад и 39 отдельных армейских трофейных батальонов, полностью укомплектованных личным составом, автотранспортом и материальной частью.</w:t>
      </w:r>
    </w:p>
    <w:p w14:paraId="0A83AC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Запретить Военным советам фронтов и армий изымать из трофейных частей технические средства разделки, транспорт и личный состав без разрешения Трофейного комитета при ГОКО.</w:t>
      </w:r>
    </w:p>
    <w:p w14:paraId="787184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Существующие трофейные отделы фронтов непосредственно подчинить УТВИМ, а в оперативном отношении — соответствующим Военным советам фронтов.</w:t>
      </w:r>
    </w:p>
    <w:p w14:paraId="35FDC4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Армейские трофейные отделы подчинить непосредственно начальникам трофейных отделов фронтов и в оперативном отношении — Военным советам армий.</w:t>
      </w:r>
    </w:p>
    <w:p w14:paraId="63761E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Армейские трофейные роты оставить в непосредственном подчинении начальников трофейных отделов.</w:t>
      </w:r>
    </w:p>
    <w:p w14:paraId="4576B1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Трофейные отделения при стрелковых дивизиях (отдельных бригадах) подчинить непосредственно начальникам трофейных отделов армий, а в оперативном отношении — зам. командира дивизии по тылу. На трофейные отделения дивизий возложить руководство сбором вооружения и боевого имущества на полях боя в границах дивизий (бригад) при помощи формирования по мере необходимости внештатных воинских команд.</w:t>
      </w:r>
    </w:p>
    <w:p w14:paraId="7574B6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Установить, что Военные советы фронтов и армий не имеют права использовать своим распоряжениям трофейное вооружение и имущество.</w:t>
      </w:r>
    </w:p>
    <w:p w14:paraId="197B72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Порядок использования трофейного вооружения и военного имущества в войсках допускается только в соответствии с инструкцией, утвержденной Трофейным комитетом при ГОКО.</w:t>
      </w:r>
    </w:p>
    <w:p w14:paraId="2FF468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Обязать начальников тыла фронтов и армий по требованию начальника УТВИМ при Трофейном комитете ГОКО трофейных отделов фронтов и армий:</w:t>
      </w:r>
    </w:p>
    <w:p w14:paraId="4E6A37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предоставлять средства транспорта для вывоза трофейного вооружения, имущества и металлолома из армейских тылов к железнодорожным станциям, с использованием в первую очередь обратного автопорожняка;</w:t>
      </w:r>
    </w:p>
    <w:p w14:paraId="5BED3A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предоставлять железнодорожный транспорт для погрузки и вывоза трофейного вооружения, имущества и металлолома в глубокий тыл;</w:t>
      </w:r>
    </w:p>
    <w:p w14:paraId="36FB62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зачислять трофейные органы и части на все виды довольствия, в том числе и на снабжение горючим.</w:t>
      </w:r>
    </w:p>
    <w:p w14:paraId="64F259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Для эвакуации тяжелой военной техники обязать НКО (тт. Хрулева и Щаденко):</w:t>
      </w:r>
    </w:p>
    <w:p w14:paraId="4069E8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сформировать пять специально оборудованных железнодорожных эвакопоездов по 200 человек и 20 мощных тракторов-тягачей в каждом с соответствующей оснащенностью подъемно-такелажными средствами для эвакуации тяжеловесов с бывших полей сражений;</w:t>
      </w:r>
    </w:p>
    <w:p w14:paraId="3A15CA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сформировать специальные демонтажные группы по 30 человек в каждой из специалистов-танкистов, автомобилистов, артиллеристов и слесарей для извлечения годных агрегатов и узлов из разбитой техники при армейских трофейных складах на Северо-Западном, Западном, Калининском, Брянском, Воронежском, Юго-Западном, Южном и Северо-Кавказском фронтах;</w:t>
      </w:r>
    </w:p>
    <w:p w14:paraId="711321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начальника Главного управления формирования и укомплектования войск Красной Армии (т. Щаденко) к 5 мая 1943 года укомплектовать личным составом формируемые эвакопоезда и демонтажные группы.</w:t>
      </w:r>
    </w:p>
    <w:p w14:paraId="05FCCA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Обязать Председателя Моссовета (т. Пронина) выделить из треста по передвижке зданий Мосгорисполкома в дополнение к ранее выделенным два эвакоотряда по 20 человек в каждом с соответствующими такелажными средствами.</w:t>
      </w:r>
    </w:p>
    <w:p w14:paraId="4DF9AA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Обязать Народного Комиссара Военно-Морского Флота (т. Кузнецова) выделить из морских такелажных специалистов пять команд по 25 человек в каждой с соответствующими такелажными средствами.</w:t>
      </w:r>
    </w:p>
    <w:p w14:paraId="7E0020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Выделенные команды передать в распоряжение начальника УТВИМ для использования по эвакуации тяжеловесов.</w:t>
      </w:r>
    </w:p>
    <w:p w14:paraId="65E62C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Обязать НКПС (т. Кагановича) выделить для пяти формируемых эвакопоездов 5 маневренных паровозов (из числа трофейных), 15 классных вагонов, 70 платформ 20-тонных, 15 цистерн (из коих 10 малых и 5 больших) и 20 товарных вагонов.</w:t>
      </w:r>
    </w:p>
    <w:p w14:paraId="4A4B1A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Действующие базы НКО (приказ НКО № 0181 от 11 марта 1943 г.) при разделочных базах Главвторчермета передать в ведение УТВИМ.</w:t>
      </w:r>
    </w:p>
    <w:p w14:paraId="3E36C8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Обязать УТВИМ своими силами организовать на разделочных базах лома Главвторчермета полную отборку годных деталей и узлов военной техники, а также установить контроль за разделкой лома, производимой силами Главвторчермета, в целях сохранения годных деталей.</w:t>
      </w:r>
    </w:p>
    <w:p w14:paraId="56B1B0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Сбор авиационного трофейного вооружения, авиационной техники и самолетного лома оставить за начальником тыла ВВС Красной Армии. На начальника УТВИМ при Трофейном комитете ГОКО возложить контроль за сбором металлолома и учет по данным отчетности ВВС собранных авиационных трофеев и самолетного лома.</w:t>
      </w:r>
    </w:p>
    <w:p w14:paraId="79CF6C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Обязать главные и центральные управления НКО и их местные органы во фронтах и армиях:</w:t>
      </w:r>
    </w:p>
    <w:p w14:paraId="257557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по представлению Управления трофейного вооружения и его фронтовых отделов организовать ремонт и составлять планы использования годного и отремонтированного трофейного вооружения и имущества и представлять их на утверждение Трофейному комитету при ГОКО;</w:t>
      </w:r>
    </w:p>
    <w:p w14:paraId="21B09E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представлять в установленные Трофейным комитетом при ГОКО сроки сведения об отремонтированном и годном к использованию вооружении и имуществе;</w:t>
      </w:r>
    </w:p>
    <w:p w14:paraId="0FAF00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периодически иметь своих представителей на базах и складах трофейного вооружения и имущества, для дачи технических консультаций и адресов по отправке вооружения и имущества.</w:t>
      </w:r>
    </w:p>
    <w:p w14:paraId="47A599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Обязать ГБТУКА (т. Вершинина) и ГАУКА (т. Яковлева) оказывать помощь трофейным частям своими эвакосредствами по эвакуации тяжеловесов.</w:t>
      </w:r>
    </w:p>
    <w:p w14:paraId="36FBF2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Предоставить право Трофейному комитету при ГОКО давать задания НКПС и ВОСО КА на перевозку трофейного вооружения, имущества и металлического лома.</w:t>
      </w:r>
    </w:p>
    <w:p w14:paraId="7A9F1E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Предоставить право управлениям тыла фронтов и армий по заявкам начальников трофейных отделов фронтов привлекать местное население и автогужтранспорт для организации сбора и вывоза трофейного вооружения, имущества и металлического лома.</w:t>
      </w:r>
    </w:p>
    <w:p w14:paraId="455A83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Разрешить начальникам трофейных отделов фронтов и армий производить премирование командного и рядового состава подразделений, отличившихся в проведении сбора металлического лома, из средств, выделяемых Наркомчерметом и Нарком-цветметом.</w:t>
      </w:r>
    </w:p>
    <w:p w14:paraId="3C657F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Установить фонд премирования в размере 15% от стоимости отгруженного лома черных металлов и 5% от стоимости отгруженного лома цветных металлов.</w:t>
      </w:r>
    </w:p>
    <w:p w14:paraId="1CD17F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Шоферов, погрузивших и доставивших обратным порожняком на склады и пункты металлолом, премировать в размере 3—5 рублей (в зависимости от расстояния) за тонну доставленного металлического лома.</w:t>
      </w:r>
    </w:p>
    <w:p w14:paraId="2C16D7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Трофейному комитету при ГОКО в 10-дневный срок пересмотреть все инструкции и указания, действующие по трофейным делам, и утвердить их в соответствии с настоящим Постановлением.</w:t>
      </w:r>
    </w:p>
    <w:p w14:paraId="0360D6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При Трофейном комитете при ГОКО иметь в Москве музей-выставку трофейного вооружения и военного имущества. Экспонаты музея трофейного вооружения при ЦДКА передать Трофейному комитету для использования музеем-выставкой.</w:t>
      </w:r>
    </w:p>
    <w:p w14:paraId="351CF9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23.Музей трофейного вооружения при ЦДКА ликвидировать.</w:t>
      </w:r>
    </w:p>
    <w:p w14:paraId="33AF73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Постановление Государственного Комитета Обороны № 1481с от 22 марта 1942 года — отменить.</w:t>
      </w:r>
    </w:p>
    <w:p w14:paraId="6CF729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Государственного</w:t>
      </w:r>
    </w:p>
    <w:p w14:paraId="610563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Комитета Обороны</w:t>
      </w:r>
    </w:p>
    <w:p w14:paraId="26C9E6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СТАЛИН</w:t>
      </w:r>
    </w:p>
    <w:p w14:paraId="2AACFA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РГАСПИ. Ф. 644. Оп. 1. Д. 107, л. 53—58 (12013).</w:t>
      </w:r>
    </w:p>
    <w:p w14:paraId="49202E2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964C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вступил в строй Челябинский металлургический з-д - качественная сталь и листовой прокат (3960, 154).</w:t>
      </w:r>
    </w:p>
    <w:p w14:paraId="0B03AF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75E824" w14:textId="77777777" w:rsidR="002B1187" w:rsidRPr="00D03F3E" w:rsidRDefault="002B118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в 1943 году была выпущена первая плавка электросталеплавильного цеха Челябинского металлургического завода (с июня 1983 г. металлургический комбинат, с 1992 г. – ОАО «Мечел») – одного из крупнейших предприятий в Российской Федерации и в Европе по выпуску качественных и высококачественных сталей и сплавов. На предприятии разработана и освоена технология производства свыше тысячи марок сталей и сплавов и более 400 профилеразмеров проката (15104).</w:t>
      </w:r>
    </w:p>
    <w:p w14:paraId="71578471" w14:textId="77777777" w:rsidR="002B1187" w:rsidRPr="00D03F3E" w:rsidRDefault="002B1187" w:rsidP="00D03F3E">
      <w:pPr>
        <w:spacing w:after="0" w:line="240" w:lineRule="auto"/>
        <w:jc w:val="both"/>
        <w:rPr>
          <w:rFonts w:ascii="Times New Roman" w:hAnsi="Times New Roman"/>
          <w:color w:val="000000" w:themeColor="text1"/>
          <w:sz w:val="16"/>
          <w:szCs w:val="16"/>
        </w:rPr>
      </w:pPr>
    </w:p>
    <w:p w14:paraId="4580DB5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7B6A54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27FF5F" w14:textId="77777777" w:rsidR="00BA0934" w:rsidRPr="00D03F3E" w:rsidRDefault="00BA093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в 1943 году утреннее сообщение Совинформбюро:</w:t>
      </w:r>
    </w:p>
    <w:p w14:paraId="4E7CA844" w14:textId="77777777" w:rsidR="00BA0934" w:rsidRPr="00D03F3E" w:rsidRDefault="00BA093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19 апреля на фронтах существенных изменений не произошло.</w:t>
      </w:r>
    </w:p>
    <w:p w14:paraId="1F5020DB" w14:textId="77777777" w:rsidR="00BA0934" w:rsidRPr="00D03F3E" w:rsidRDefault="00BA093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бойцы Н-ской части отбивали атаки противника. Немцы, не добившись втечение вчерашнего дня никаких результатов, подтянули новые силы и атаковали наши позиции. На одном участке гитлеровцам вначале удалось ворваться в наши окопы. В результате ожесточённого боя, местами переходившего в рукопашные схватки, противник был отброшен с большими для него потерями.</w:t>
      </w:r>
    </w:p>
    <w:p w14:paraId="60093777" w14:textId="77777777" w:rsidR="00BA0934" w:rsidRPr="00D03F3E" w:rsidRDefault="00BA093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Ha Западном фронте артиллеристы и миномётчики Н-ской части произвели огневой налёт на позиции противника. Разрушено 4 вражеских дзота, взорван склад боеприпасов и уничтожена миномётная батарея. Снайперы подразделения, где командиром тов. Соколов, истребили 21 гитлеровца.</w:t>
      </w:r>
    </w:p>
    <w:p w14:paraId="5CA1BC20" w14:textId="77777777" w:rsidR="00BA0934" w:rsidRPr="00D03F3E" w:rsidRDefault="00BA093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бойцы Н-ского подразделения ночью захватили выгодный рубеж, в бою за который уничтожено до 100 немецких солдат и офицеров.</w:t>
      </w:r>
    </w:p>
    <w:p w14:paraId="43BB070B" w14:textId="77777777" w:rsidR="00BA0934" w:rsidRPr="00D03F3E" w:rsidRDefault="00BA093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Ha Волховском фронте артиллеристы Н-ской части рассеяли скопление пехоты противника и взорвали склад с боеприпасами. На другом участке две группы наших снайперов устроили засаду в тылу противника и истребили 87 немецких солдат и офицеров.</w:t>
      </w:r>
    </w:p>
    <w:p w14:paraId="790A0EA7" w14:textId="77777777" w:rsidR="00BA0934" w:rsidRPr="00D03F3E" w:rsidRDefault="00BA093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наши войска вели артиллерийскую перестрелку. Подавлен огонь 10 артиллерийских и 6 миномётных батарей противника. Уничтожено 5 немецких орудий, 4 миномёта и взорвано 2 склада боеприпасов. Разведчиками Н-ской части окружена и уничтожена группа гитлеровцев численностью в 30 человек.</w:t>
      </w:r>
    </w:p>
    <w:p w14:paraId="11E11ED2" w14:textId="77777777" w:rsidR="00BA0934" w:rsidRPr="00D03F3E" w:rsidRDefault="00BA093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украинских партизан напал на крупный немецкий гарнизон. В пятичасовом бою партизаны уничтожили 87 и захватили в плен 96 гитлеровцев. Партизанами взяты трофеи: 2 орудия, 5 миномётов, 18 пулемётов, 102 винтовки, много боеприпасов и снаряжения. Отряд житомирских партизан за месяц пустил под откос 7 воинскихэшелонов противника. Уничтожены 7 паровозов и 71 вагон. Под обломками вагонов погибло много немецких солдат и офицеров.</w:t>
      </w:r>
    </w:p>
    <w:p w14:paraId="04682566" w14:textId="77777777" w:rsidR="00BA0934" w:rsidRPr="00D03F3E" w:rsidRDefault="00BA093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станице Лабинская, Краснодарского края: «Гитлеровские бандиты замучили и расстреляли большое количество мирных жителей станицы Лабинская. За истекшие полтора месяца после освобождения станицы от немецких захватчиков в траншеях и ямах в районе аэродрома и вокзала, а также во дворе МТС и других местах обнаружено 1.316 трупов советских граждан, замученных немцами, в том числе женщин — 793, мужчин —229 и детей — 294. Врачебный осмотр показал, что перед казнью убийцы подвергли арестованных зверским пыткам. 600 трупов невозможно опознать, до того они истерзаны и изуродованы». Акт подписали: А.Никитин, Н.Кривенко, Л.Лапин, М.Васюков, врачи М.Дьякова, А.Хлебович.</w:t>
      </w:r>
    </w:p>
    <w:p w14:paraId="2A6F7BFE" w14:textId="77777777" w:rsidR="00BA0934" w:rsidRPr="00D03F3E" w:rsidRDefault="00BA093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в районе города Чайниче нанесли тяжёлые потери итальянской дивизии. Партизаны захватили весь обоз дивизии, архив, знамя 4 итальянского полка и большое количество военного имущества. За последние дни партизаны в разных районах заняли ряд населённых пунктов. После двухдневного боя очищен от войск оккупантов древний монастырь Плетерье.» (15104).</w:t>
      </w:r>
    </w:p>
    <w:p w14:paraId="11F4931F" w14:textId="77777777" w:rsidR="00BA0934" w:rsidRPr="00D03F3E" w:rsidRDefault="00BA0934" w:rsidP="00D03F3E">
      <w:pPr>
        <w:spacing w:after="0" w:line="240" w:lineRule="auto"/>
        <w:jc w:val="both"/>
        <w:rPr>
          <w:rFonts w:ascii="Times New Roman" w:hAnsi="Times New Roman"/>
          <w:color w:val="000000" w:themeColor="text1"/>
          <w:sz w:val="16"/>
          <w:szCs w:val="16"/>
        </w:rPr>
      </w:pPr>
    </w:p>
    <w:p w14:paraId="6EBCC98D" w14:textId="77777777" w:rsidR="00BA0934" w:rsidRPr="00D03F3E" w:rsidRDefault="00BA093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в 1943 году вечернее сообщение Совинформбюро:</w:t>
      </w:r>
    </w:p>
    <w:p w14:paraId="5B8D1664" w14:textId="77777777" w:rsidR="00BA0934" w:rsidRPr="00D03F3E" w:rsidRDefault="00BA093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19 апреля на фронтах существенных изменений не произошло.</w:t>
      </w:r>
    </w:p>
    <w:p w14:paraId="4EA0D105" w14:textId="77777777" w:rsidR="00BA0934" w:rsidRPr="00D03F3E" w:rsidRDefault="00BA093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части Н-ского соединения отбивали ожесточённые атаки противника, стремившегося любой ценой добиться успеха. Наши бойцы подпускали штурмующие колонны немцев на близкое расстояние и расстреливали их огнём из всех видов оружия. На ряде участков бои переходили в рукопашные схватки. Наши части отбили все атаки гитлеровцев и истребили свыше двух батальонов пехоты противника. Как и вчера, на этом участке действовали крупные силы немецкой авиации. В течение дня нашими истребителями сбито 13 самолётов противника. Кроме того, 4 немецких самолёта сбито огнём зенитной артиллерии. Всего уничтожено 17 и подбито 7 самолётов противника.</w:t>
      </w:r>
    </w:p>
    <w:p w14:paraId="0A7F8CBA" w14:textId="77777777" w:rsidR="00BA0934" w:rsidRPr="00D03F3E" w:rsidRDefault="00BA093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происходила редкая перестрелка. Огнем артиллерии и пехотного оружия наши части уничтожили до 150 солдат и офицеров противника и подавили огонь двух немецких миномётных батарей.</w:t>
      </w:r>
    </w:p>
    <w:p w14:paraId="5A46823A" w14:textId="77777777" w:rsidR="00BA0934" w:rsidRPr="00D03F3E" w:rsidRDefault="00BA093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группа наших разведчиков проникла в расположение противника, ворвалась в траншеи и уничтожила находившихся в них гитлеровцев. Захватив с собой пулемёт, миномёт и винтовки немцев, разведчики вернулись в свою часть.Советские лётчики произвели налёт на крупную железнодорожную станцию в тылу противника. Уничтожено и повреждено 13 железнодорожных эшелонов, разрушены пути и склады. Наблюдались сильные взрывы.</w:t>
      </w:r>
    </w:p>
    <w:p w14:paraId="5DFECFEC" w14:textId="77777777" w:rsidR="00BA0934" w:rsidRPr="00D03F3E" w:rsidRDefault="00BA093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бойцы под командованием младшего лейтенанта Махнева и старшины Гостева устроили засаду. Когда к балке, где была организована засада, подошли немцы, наши бойцы открыли пулемётный и ружейный огонь. 25 гитлеровцев были убиты. 3 немецких унтер-офицера и 2 солдата захвачены вплен.</w:t>
      </w:r>
    </w:p>
    <w:p w14:paraId="137B7D4F" w14:textId="77777777" w:rsidR="00BA0934" w:rsidRPr="00D03F3E" w:rsidRDefault="00BA093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партизанских отрядов Ленинградской области в ожесточённых боях с карательной экспедицией противника истребила до 200 немецких солдат и офицеров. Кроме того, партизаны взорвали два моста и пустили под откос железнодорожный эшелон немецко-фашистских оккупантов, следовавший к линии фронта.</w:t>
      </w:r>
    </w:p>
    <w:p w14:paraId="0382FABF" w14:textId="77777777" w:rsidR="00BA0934" w:rsidRPr="00D03F3E" w:rsidRDefault="00BA093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Взятый в плен на Западном фронте ефрейтор 4 роты отдельного батальона 98 немецкой пехотной дивизии Эрнст Мюллер рассказал: «Весь март месяц 98 дивизия с боями отступала, оставив значительную территорию. На всём пути, начиная отдеревни Карпишево и кончая деревней Сидоровичи, где я попал в плен, солдаты нашего батальона дотла сжигали многие населённые пункты. 5 марта была сожжена деревня Карпишево. Приказ о поджоге отдал командир батальона майор Кюбель. Через два дня наши подразделения сожгли деревни Прудки и Знаменки. Отступая дальше, по приказу офицеров они сожгли деревни Субботники, Сельцо и Сидоровичи. Поджигая дома, солдаты никогда не предупреждали об этом жителей. Часто люди, застигнутые врасплох, не успевали выскочить из домов, охваченных пламенем, и спасти детей».</w:t>
      </w:r>
    </w:p>
    <w:p w14:paraId="52DA29F5" w14:textId="77777777" w:rsidR="00BA0934" w:rsidRPr="00D03F3E" w:rsidRDefault="00BA093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Жители освобождённых от немецких захватчиков сёл и деревень Ленинградскойобласти рассказали о чудовищных зверствах гитлеровцев. В деревне Пескинемецко-фашистские убийцы повесили колхозника Ивана Морозова и сожгли его дом зато, что он спрятал свою дочь от немецкого офицера, который хотел её изнасиловать. Шестнадцатилетняя девушка Настя Земскова ударила пристававшего к ней немецкого офицера и сказала: «Не видать вам ни Москвы, ни Ленинграда, как свинье не видать неба». Гитлеровцы схватили девушку и увезли. С тех пор о её судьбе ничего не известно. В селе Чёрный Ручей до немецкой оккупации было 250 жителей. Свыше 100 человек немцы угнали на каторгу в Германию. Несколько десятков мирных жителей гитлеровцы замучили и расстреляли. Многие колхозники и колхозницы умерли от голода и лишений. В настоящее время в селе осталось только39 жителей.» (15104).</w:t>
      </w:r>
    </w:p>
    <w:p w14:paraId="16887B2A" w14:textId="77777777" w:rsidR="00BA0934" w:rsidRPr="00D03F3E" w:rsidRDefault="00BA0934" w:rsidP="00D03F3E">
      <w:pPr>
        <w:spacing w:after="0" w:line="240" w:lineRule="auto"/>
        <w:jc w:val="both"/>
        <w:rPr>
          <w:rFonts w:ascii="Times New Roman" w:hAnsi="Times New Roman"/>
          <w:color w:val="000000" w:themeColor="text1"/>
          <w:sz w:val="16"/>
          <w:szCs w:val="16"/>
        </w:rPr>
      </w:pPr>
    </w:p>
    <w:p w14:paraId="0CE9C7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года при отражении налета немецкой авиации на город Мурманск произошел групповой бон: 14 немецких истребителей дрались с 10 "Кобрами" и 6 "Харрикейнами". Потери разделились в соотношении пять к одному к нашу пользу (3457,71).</w:t>
      </w:r>
    </w:p>
    <w:p w14:paraId="7FA8E9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1A87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л ВВС СФ мл.л Н.А.Бокий, на счету которого было 9 побед, сбил и принудил сесть на нашу территорию аса Р.Мюллера, на счету которого числилось 91 победа (438,868). Вернувшись на аэродром доложил об уничтожении ФВ-190 (3796).</w:t>
      </w:r>
    </w:p>
    <w:p w14:paraId="2AC227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6B1C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наблюдатели постов ВНОС доложили о падении 4-х самолетов противника, хотя в действительности был сбит один Ме-109, одна Аэрокобра и два Харрикейна (3796).</w:t>
      </w:r>
    </w:p>
    <w:p w14:paraId="2925BF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4C5F2"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 апреля по 20 мая 1943 г. в 20 боевых вылетах пилоты 2-го оапп доставили партизанам 19 т вооружения и других предметов снабжения, в том числе средства связи и пропагандист</w:t>
      </w:r>
      <w:r w:rsidRPr="00D03F3E">
        <w:rPr>
          <w:rFonts w:ascii="Times New Roman" w:hAnsi="Times New Roman"/>
          <w:color w:val="000000" w:themeColor="text1"/>
          <w:sz w:val="16"/>
          <w:szCs w:val="16"/>
        </w:rPr>
        <w:softHyphen/>
        <w:t>ские материалы. Буксировка выполня</w:t>
      </w:r>
      <w:r w:rsidRPr="00D03F3E">
        <w:rPr>
          <w:rFonts w:ascii="Times New Roman" w:hAnsi="Times New Roman"/>
          <w:color w:val="000000" w:themeColor="text1"/>
          <w:sz w:val="16"/>
          <w:szCs w:val="16"/>
        </w:rPr>
        <w:softHyphen/>
        <w:t>лась самолётами Ли-2, СБ или ДБ-ЗФ (Ил-4) (12266).</w:t>
      </w:r>
    </w:p>
    <w:p w14:paraId="25CA9428" w14:textId="77777777" w:rsidR="000048F9" w:rsidRPr="00D03F3E" w:rsidRDefault="000048F9" w:rsidP="00D03F3E">
      <w:pPr>
        <w:spacing w:after="0" w:line="240" w:lineRule="auto"/>
        <w:jc w:val="both"/>
        <w:rPr>
          <w:rFonts w:ascii="Times New Roman" w:hAnsi="Times New Roman"/>
          <w:color w:val="000000" w:themeColor="text1"/>
          <w:sz w:val="16"/>
          <w:szCs w:val="16"/>
        </w:rPr>
      </w:pPr>
    </w:p>
    <w:p w14:paraId="67A281B2"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один из КЦ-20, вылетевший из Киржача, потерпел катастрофу на оперативном аэродроме Белейки. В условиях плохой видимости командир экипажа старший сержант А.К. Данков, выполняя заход на посадку с попутным ветром, не рас</w:t>
      </w:r>
      <w:r w:rsidRPr="00D03F3E">
        <w:rPr>
          <w:rFonts w:ascii="Times New Roman" w:hAnsi="Times New Roman"/>
          <w:color w:val="000000" w:themeColor="text1"/>
          <w:sz w:val="16"/>
          <w:szCs w:val="16"/>
        </w:rPr>
        <w:softHyphen/>
        <w:t>считал глиссаду и врезался в лес. При этом погиб сам командир и инженер 173-го сбап капитан Алексеев (12266).</w:t>
      </w:r>
    </w:p>
    <w:p w14:paraId="60566839" w14:textId="77777777" w:rsidR="000048F9" w:rsidRPr="00D03F3E" w:rsidRDefault="000048F9" w:rsidP="00D03F3E">
      <w:pPr>
        <w:spacing w:after="0" w:line="240" w:lineRule="auto"/>
        <w:jc w:val="both"/>
        <w:rPr>
          <w:rFonts w:ascii="Times New Roman" w:hAnsi="Times New Roman"/>
          <w:color w:val="000000" w:themeColor="text1"/>
          <w:sz w:val="16"/>
          <w:szCs w:val="16"/>
        </w:rPr>
      </w:pPr>
    </w:p>
    <w:p w14:paraId="6DE93563"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 апреля по 20 мая 1943 г. в 20 боевых выле</w:t>
      </w:r>
      <w:r w:rsidRPr="00D03F3E">
        <w:rPr>
          <w:rFonts w:ascii="Times New Roman" w:hAnsi="Times New Roman"/>
          <w:color w:val="000000" w:themeColor="text1"/>
          <w:sz w:val="16"/>
          <w:szCs w:val="16"/>
        </w:rPr>
        <w:softHyphen/>
        <w:t>тах пилоты 2-го оапп доставили партизанам 19 т во</w:t>
      </w:r>
      <w:r w:rsidRPr="00D03F3E">
        <w:rPr>
          <w:rFonts w:ascii="Times New Roman" w:hAnsi="Times New Roman"/>
          <w:color w:val="000000" w:themeColor="text1"/>
          <w:sz w:val="16"/>
          <w:szCs w:val="16"/>
        </w:rPr>
        <w:softHyphen/>
        <w:t>оружения и других предметов снабжения, в том чис</w:t>
      </w:r>
      <w:r w:rsidRPr="00D03F3E">
        <w:rPr>
          <w:rFonts w:ascii="Times New Roman" w:hAnsi="Times New Roman"/>
          <w:color w:val="000000" w:themeColor="text1"/>
          <w:sz w:val="16"/>
          <w:szCs w:val="16"/>
        </w:rPr>
        <w:softHyphen/>
        <w:t>ле средства связи и пропагандистские материалы. Буксировка выполнялась самолетами Ли-2, СБ или ДБ-ЗФ (Ил-4) (12300).</w:t>
      </w:r>
    </w:p>
    <w:p w14:paraId="26B1F946"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в тыл врага было отбуксировано 135 плане</w:t>
      </w:r>
      <w:r w:rsidRPr="00D03F3E">
        <w:rPr>
          <w:rFonts w:ascii="Times New Roman" w:hAnsi="Times New Roman"/>
          <w:color w:val="000000" w:themeColor="text1"/>
          <w:sz w:val="16"/>
          <w:szCs w:val="16"/>
        </w:rPr>
        <w:softHyphen/>
        <w:t>ров, загруженных боевым снаряжением. Перевозили командиров, диверсионные группы, медикаменты, а также продукты питания, в которых партизаны очень нуждались. Вот выдержка из докладной записки с ука</w:t>
      </w:r>
      <w:r w:rsidRPr="00D03F3E">
        <w:rPr>
          <w:rFonts w:ascii="Times New Roman" w:hAnsi="Times New Roman"/>
          <w:color w:val="000000" w:themeColor="text1"/>
          <w:sz w:val="16"/>
          <w:szCs w:val="16"/>
        </w:rPr>
        <w:softHyphen/>
        <w:t>занием груза, полученного народными мстителями за одну ночь: «Винтовок — 420 шт., пулеметов ДП — 21, дисков — 84, автоматов — 240, минометов 50-мм — 7; патронов винтовочных, для ТТ, браунингов, наганов — 1433 940; гранат Ф-1, РГД, ПГ — 3820; мин 50-мм — 1288, ПМК-40 - 1900; ружей ПТР — 50, патронов к ним — 7760; тола — 450 кг; приборов Брамит — 450; соли — 480 кг; мыла — 690 кусков; медикамен</w:t>
      </w:r>
      <w:r w:rsidRPr="00D03F3E">
        <w:rPr>
          <w:rFonts w:ascii="Times New Roman" w:hAnsi="Times New Roman"/>
          <w:color w:val="000000" w:themeColor="text1"/>
          <w:sz w:val="16"/>
          <w:szCs w:val="16"/>
        </w:rPr>
        <w:softHyphen/>
        <w:t>тов — 15 тюков; табаку — 65 кг; МУВ — 320 шт.; питания к раци</w:t>
      </w:r>
      <w:r w:rsidRPr="00D03F3E">
        <w:rPr>
          <w:rFonts w:ascii="Times New Roman" w:hAnsi="Times New Roman"/>
          <w:color w:val="000000" w:themeColor="text1"/>
          <w:sz w:val="16"/>
          <w:szCs w:val="16"/>
        </w:rPr>
        <w:softHyphen/>
        <w:t>ям — 5; бикфордова шнура — 200 м; посылок детям — 700 кг; литературы — 1337 кг...»</w:t>
      </w:r>
    </w:p>
    <w:p w14:paraId="14B4B1E6"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Были случаи самопроиз</w:t>
      </w:r>
      <w:r w:rsidRPr="00D03F3E">
        <w:rPr>
          <w:rFonts w:ascii="Times New Roman" w:hAnsi="Times New Roman"/>
          <w:color w:val="000000" w:themeColor="text1"/>
          <w:sz w:val="16"/>
          <w:szCs w:val="16"/>
        </w:rPr>
        <w:softHyphen/>
        <w:t>вольных отцепок планера от самолета, обрывов тросов, а также блуждания из-за плохой погоды. Однажды планер сер</w:t>
      </w:r>
      <w:r w:rsidRPr="00D03F3E">
        <w:rPr>
          <w:rFonts w:ascii="Times New Roman" w:hAnsi="Times New Roman"/>
          <w:color w:val="000000" w:themeColor="text1"/>
          <w:sz w:val="16"/>
          <w:szCs w:val="16"/>
        </w:rPr>
        <w:softHyphen/>
        <w:t>жанта Ю. Соболева из-за не</w:t>
      </w:r>
      <w:r w:rsidRPr="00D03F3E">
        <w:rPr>
          <w:rFonts w:ascii="Times New Roman" w:hAnsi="Times New Roman"/>
          <w:color w:val="000000" w:themeColor="text1"/>
          <w:sz w:val="16"/>
          <w:szCs w:val="16"/>
        </w:rPr>
        <w:softHyphen/>
        <w:t>исправности буксировочного замка отцепился от самолета за 60 км от партизанской площад</w:t>
      </w:r>
      <w:r w:rsidRPr="00D03F3E">
        <w:rPr>
          <w:rFonts w:ascii="Times New Roman" w:hAnsi="Times New Roman"/>
          <w:color w:val="000000" w:themeColor="text1"/>
          <w:sz w:val="16"/>
          <w:szCs w:val="16"/>
        </w:rPr>
        <w:softHyphen/>
        <w:t>ки на небольшой высоте. Внизу занятой врагом. Соболев разгрузил планер и спря</w:t>
      </w:r>
      <w:r w:rsidRPr="00D03F3E">
        <w:rPr>
          <w:rFonts w:ascii="Times New Roman" w:hAnsi="Times New Roman"/>
          <w:color w:val="000000" w:themeColor="text1"/>
          <w:sz w:val="16"/>
          <w:szCs w:val="16"/>
        </w:rPr>
        <w:softHyphen/>
        <w:t>тал все в вырытую им за ночь яму. Пока заваливал ее землей и маскировал, силы иссякли. Заполз в мелкий ельник, положил под голову автомат и мгновенно ус</w:t>
      </w:r>
      <w:r w:rsidRPr="00D03F3E">
        <w:rPr>
          <w:rFonts w:ascii="Times New Roman" w:hAnsi="Times New Roman"/>
          <w:color w:val="000000" w:themeColor="text1"/>
          <w:sz w:val="16"/>
          <w:szCs w:val="16"/>
        </w:rPr>
        <w:softHyphen/>
        <w:t>нул.</w:t>
      </w:r>
    </w:p>
    <w:p w14:paraId="73197242"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Счастье, что бесшумно планирующий А-7 враги не засекли. Проснувшись, летчик сориентировался и пошел искать партизан. Он наткнулся на их дозоры и попал в расположение бригады Героя Советского Со</w:t>
      </w:r>
      <w:r w:rsidRPr="00D03F3E">
        <w:rPr>
          <w:rFonts w:ascii="Times New Roman" w:hAnsi="Times New Roman"/>
          <w:color w:val="000000" w:themeColor="text1"/>
          <w:sz w:val="16"/>
          <w:szCs w:val="16"/>
        </w:rPr>
        <w:softHyphen/>
        <w:t>юза В. Лобанка. Через ночь группа партизан на теле</w:t>
      </w:r>
      <w:r w:rsidRPr="00D03F3E">
        <w:rPr>
          <w:rFonts w:ascii="Times New Roman" w:hAnsi="Times New Roman"/>
          <w:color w:val="000000" w:themeColor="text1"/>
          <w:sz w:val="16"/>
          <w:szCs w:val="16"/>
        </w:rPr>
        <w:softHyphen/>
        <w:t>гах вывезла в бригаду весь спрятанный груз. Соболе</w:t>
      </w:r>
      <w:r w:rsidRPr="00D03F3E">
        <w:rPr>
          <w:rFonts w:ascii="Times New Roman" w:hAnsi="Times New Roman"/>
          <w:color w:val="000000" w:themeColor="text1"/>
          <w:sz w:val="16"/>
          <w:szCs w:val="16"/>
        </w:rPr>
        <w:softHyphen/>
        <w:t>ва наградили орденом.</w:t>
      </w:r>
    </w:p>
    <w:p w14:paraId="3241468A"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операции в тыл к противнику отправились и три КЦ-20. 19 апреля один из них, вылетевший из Киржача, потерпел катастрофу на оперативном аэро</w:t>
      </w:r>
      <w:r w:rsidRPr="00D03F3E">
        <w:rPr>
          <w:rFonts w:ascii="Times New Roman" w:hAnsi="Times New Roman"/>
          <w:color w:val="000000" w:themeColor="text1"/>
          <w:sz w:val="16"/>
          <w:szCs w:val="16"/>
        </w:rPr>
        <w:softHyphen/>
        <w:t>дроме Белейки. В условиях плохой видимости коман</w:t>
      </w:r>
      <w:r w:rsidRPr="00D03F3E">
        <w:rPr>
          <w:rFonts w:ascii="Times New Roman" w:hAnsi="Times New Roman"/>
          <w:color w:val="000000" w:themeColor="text1"/>
          <w:sz w:val="16"/>
          <w:szCs w:val="16"/>
        </w:rPr>
        <w:softHyphen/>
        <w:t>дир экипажа старший сержант А.К. Данков, выполняя заход на посадку с попутным ветром, не рассчитал глиссаду и врезался в лес. При этом погибли сам командир и инженер 173-го сбап капитан Алексеев.</w:t>
      </w:r>
    </w:p>
    <w:p w14:paraId="0D3BD9A7"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Немцы боролись с планерными перевозками все</w:t>
      </w:r>
      <w:r w:rsidRPr="00D03F3E">
        <w:rPr>
          <w:rFonts w:ascii="Times New Roman" w:hAnsi="Times New Roman"/>
          <w:color w:val="000000" w:themeColor="text1"/>
          <w:sz w:val="16"/>
          <w:szCs w:val="16"/>
        </w:rPr>
        <w:softHyphen/>
        <w:t>ми средствами, в том числе строили ложные пло</w:t>
      </w:r>
      <w:r w:rsidRPr="00D03F3E">
        <w:rPr>
          <w:rFonts w:ascii="Times New Roman" w:hAnsi="Times New Roman"/>
          <w:color w:val="000000" w:themeColor="text1"/>
          <w:sz w:val="16"/>
          <w:szCs w:val="16"/>
        </w:rPr>
        <w:softHyphen/>
        <w:t>щадки. Пилот Педченко после отцепки приземлился на одну из них. Фашисты сразу составили листовку, суть которой состояла в том, что пилот сознательно перелетел к немцам и призывает к этому своих това</w:t>
      </w:r>
      <w:r w:rsidRPr="00D03F3E">
        <w:rPr>
          <w:rFonts w:ascii="Times New Roman" w:hAnsi="Times New Roman"/>
          <w:color w:val="000000" w:themeColor="text1"/>
          <w:sz w:val="16"/>
          <w:szCs w:val="16"/>
        </w:rPr>
        <w:softHyphen/>
        <w:t>рищей. Для восстановления его честного имени была организована разведывательная операция, в кото</w:t>
      </w:r>
      <w:r w:rsidRPr="00D03F3E">
        <w:rPr>
          <w:rFonts w:ascii="Times New Roman" w:hAnsi="Times New Roman"/>
          <w:color w:val="000000" w:themeColor="text1"/>
          <w:sz w:val="16"/>
          <w:szCs w:val="16"/>
        </w:rPr>
        <w:softHyphen/>
        <w:t>рой участвовал планерист И. Альбистеги (испанец). Он нашел ложную площадку в 30 км от настоящей. Площадка-ловушка была маленькой, в густом лесу. Оказалось, что планер Педченко врезался в деревья и был полностью разбит. По состоянию аппарата и груза стало ясно, что планерист погиб при посадке. Об этом и было доложено руководству.</w:t>
      </w:r>
    </w:p>
    <w:p w14:paraId="4C199403" w14:textId="77777777" w:rsidR="000048F9" w:rsidRPr="00D03F3E" w:rsidRDefault="000048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ряде случаев немецкие самолеты пристраива</w:t>
      </w:r>
      <w:r w:rsidRPr="00D03F3E">
        <w:rPr>
          <w:rFonts w:ascii="Times New Roman" w:hAnsi="Times New Roman"/>
          <w:color w:val="000000" w:themeColor="text1"/>
          <w:sz w:val="16"/>
          <w:szCs w:val="16"/>
        </w:rPr>
        <w:softHyphen/>
        <w:t>лись в хвост к «воздушному поезду», который при</w:t>
      </w:r>
      <w:r w:rsidRPr="00D03F3E">
        <w:rPr>
          <w:rFonts w:ascii="Times New Roman" w:hAnsi="Times New Roman"/>
          <w:color w:val="000000" w:themeColor="text1"/>
          <w:sz w:val="16"/>
          <w:szCs w:val="16"/>
        </w:rPr>
        <w:softHyphen/>
        <w:t>водил их к партизанскому аэродрому. Тогда посадка производилась под вражескими бомбами. Были эпи</w:t>
      </w:r>
      <w:r w:rsidRPr="00D03F3E">
        <w:rPr>
          <w:rFonts w:ascii="Times New Roman" w:hAnsi="Times New Roman"/>
          <w:color w:val="000000" w:themeColor="text1"/>
          <w:sz w:val="16"/>
          <w:szCs w:val="16"/>
        </w:rPr>
        <w:softHyphen/>
        <w:t>зоды, когда десантники из окон и люков вели огонь из своего оружия по самолетам противника в воздухе. Такого не отмечалось ни у союзников, ни у немцев (12300).</w:t>
      </w:r>
    </w:p>
    <w:p w14:paraId="0C5027B6" w14:textId="77777777" w:rsidR="000048F9" w:rsidRPr="00D03F3E" w:rsidRDefault="000048F9"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1024D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г. создано Главное управление контрразведки "Смерш" НКО и Управление контрразведки "Смерш" НК ВМФ. (6395).</w:t>
      </w:r>
    </w:p>
    <w:p w14:paraId="58614C8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C0BD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был создан СМЕРШ (2989) постановлением СНК N 415-138сс. Управление особых отделов было передано из состава НКВД в НКО и там организовали ГУ Контрразведки Смерш (В.С.Абакумов). 21 апреля 1943 ГКО постановлением N 322сс/ов утвердил положение об органах Смерш. Потом 15 и 31 мая - то же на флоте (3398,152).</w:t>
      </w:r>
    </w:p>
    <w:p w14:paraId="284483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6446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г. вышел ПРИКАЗ № 0071 О РЕОРГАНИЗАЦИИ УПРАВЛЕНИЯ ВОЙСКОВОЙ РАЗВЕДКИ ГЕНЕРАЛЬНОГО ШТАБА КРАСНОЙ АРМИИ</w:t>
      </w:r>
    </w:p>
    <w:p w14:paraId="0CFC8E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Реорганизовать Управление войсковой разведки Генштаба в Разведывательное управление Генерального штаба Красной Армии, возложив на него: руководство войсковой и агентурной разведкой фронтов, регулярную информацию о действиях и намерениях врага и проведение дезинформации противника.</w:t>
      </w:r>
    </w:p>
    <w:p w14:paraId="4FF932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Предоставить право ведения агентурной разведки и диверсионной работы на временно оккупированной территории Союза ССР Разведывательному управлению Генштаба и разведывательным отделам фронтов. Разведывательным отделам армий агентурной разведки не вести.</w:t>
      </w:r>
    </w:p>
    <w:p w14:paraId="26235F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Упразднить в составе Главного разведывательного управления Красной Армии 2-е управление, ведущее агентурную разведку на временно оккупированной территории Союза ССР. Передать Разведывательному управлению Генерального штаба Красной Армии агентурную сеть, материальные средства и кадры этого управления.</w:t>
      </w:r>
    </w:p>
    <w:p w14:paraId="361579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Главному разведывательному управлению Красной Армии вести агентурную разведку только за рубежом.</w:t>
      </w:r>
    </w:p>
    <w:p w14:paraId="70E585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При начальнике Генерального штаба Красной Армии создать группу командиров во главе с генерал-полковником т. Голиковым с задачей обобщения и анализа поступающих данных о противнике от всех органов разведки и контрразведки (НКО, НКВД, НКВМФ, Главное управление “Смерш” и партизанских штабов).</w:t>
      </w:r>
    </w:p>
    <w:p w14:paraId="303585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Для более квалифицированного допроса военнопленных ввести в штаты разведывательных отделов фронтов и армий следственные части.</w:t>
      </w:r>
    </w:p>
    <w:p w14:paraId="106265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местах заключения органов “Смерш” (контрразведки) выделить специальные помещения с охраной для содержания заключенных военнопленных, находящихся в ведении разведывательных отделов фронтов и армий.</w:t>
      </w:r>
    </w:p>
    <w:p w14:paraId="29E90F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Утвердить структуру Разведывательного управления Генерального штаба Красной Армии, разведывательных органов штабов, фронтов, армий, корпусов, дивизий и полков.</w:t>
      </w:r>
    </w:p>
    <w:p w14:paraId="6D0425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Главному управлению “Смерш” по материалам следствия информировать Разведывательное управление Генерального штаба Красной Армии:</w:t>
      </w:r>
    </w:p>
    <w:p w14:paraId="53189E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о причинах провала агентов разведывательных органов Красной Армии, перевербованных противником;</w:t>
      </w:r>
    </w:p>
    <w:p w14:paraId="728EC4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о методах работы разведки противника по вербовке агентуры, ее подготовке, документации, организации радиосвязи и способах заброски.</w:t>
      </w:r>
    </w:p>
    <w:p w14:paraId="6A22B3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Разведывательному управлению Генерального штаба Красной Армии все получаемые данные об агентуре противника, подготовляемой для заброски в Красную Армию, немедленно сообщать органам “Смерш”.</w:t>
      </w:r>
    </w:p>
    <w:p w14:paraId="50440A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Назначить:</w:t>
      </w:r>
    </w:p>
    <w:p w14:paraId="5D4260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заместителем начальника Генерального штаба Красной Армии по разведке и начальником Разведывательного управления Генерального штаба Красной Армии — генерал-лейтенанта т. Кузнецова Федора Федоровича;</w:t>
      </w:r>
    </w:p>
    <w:p w14:paraId="566D94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заместителями начальника Разведывательного управления Генерального штаба Красной Армии — генерал-майора т. Онянова Л. В. и генерал-майора т. Вавилова П. Н.</w:t>
      </w:r>
    </w:p>
    <w:p w14:paraId="44F7D7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Реорганизацию закончить к 1 мая 1943 года.</w:t>
      </w:r>
    </w:p>
    <w:p w14:paraId="73016D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на 2-х листах.</w:t>
      </w:r>
    </w:p>
    <w:p w14:paraId="18CA24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Народный комиссар обороны СССР Маршал Советского Союза И. СТАЛИН</w:t>
      </w:r>
      <w:r w:rsidRPr="00D03F3E">
        <w:rPr>
          <w:rFonts w:ascii="Times New Roman" w:hAnsi="Times New Roman"/>
          <w:color w:val="000000" w:themeColor="text1"/>
          <w:sz w:val="16"/>
          <w:szCs w:val="16"/>
        </w:rPr>
        <w:t xml:space="preserve"> (9844).</w:t>
      </w:r>
    </w:p>
    <w:p w14:paraId="1DD59F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к приказу НКО СССР от 19 апреля 1943 г. № 0071</w:t>
      </w:r>
    </w:p>
    <w:p w14:paraId="2755B6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СТРУКТУРА РАЗВЕДЫВАТЕЛЬНОГО УПРАВЛЕНИЯ ГЕНЕРАЛЬНОГО ШТАБА КРАСНОЙ АРМИИ</w:t>
      </w:r>
    </w:p>
    <w:p w14:paraId="1E3D24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Разведывательное управление Генерального штаба Красной Армии иметь в составе:</w:t>
      </w:r>
    </w:p>
    <w:p w14:paraId="2ABB2E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Первый отдел (войсковой разведки)</w:t>
      </w:r>
    </w:p>
    <w:p w14:paraId="69F057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Второй отдел (агентурной разведки)</w:t>
      </w:r>
    </w:p>
    <w:p w14:paraId="446BBF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Третий отдел (по руководству агентурной разведкой фронтов)</w:t>
      </w:r>
    </w:p>
    <w:p w14:paraId="749F70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Четвертый отдел (оперативной информации)</w:t>
      </w:r>
    </w:p>
    <w:p w14:paraId="23A1B7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Пятый отдел (радио-разведки и забивки радиостанций противника)</w:t>
      </w:r>
    </w:p>
    <w:p w14:paraId="0E1B56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Шестой отдел (радио-связи)</w:t>
      </w:r>
    </w:p>
    <w:p w14:paraId="49D12E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Седьмой отдел (кадров)</w:t>
      </w:r>
    </w:p>
    <w:p w14:paraId="78EB4C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Восьмой отдел (шифровальный)</w:t>
      </w:r>
      <w:r w:rsidRPr="00D03F3E">
        <w:rPr>
          <w:rFonts w:ascii="Times New Roman" w:hAnsi="Times New Roman"/>
          <w:color w:val="000000" w:themeColor="text1"/>
          <w:sz w:val="16"/>
          <w:szCs w:val="16"/>
        </w:rPr>
        <w:tab/>
        <w:t>,</w:t>
      </w:r>
    </w:p>
    <w:p w14:paraId="75E540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Административно-хозяйственный отдел.</w:t>
      </w:r>
    </w:p>
    <w:p w14:paraId="76F2CD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Специальное отделение (дезинформации)</w:t>
      </w:r>
    </w:p>
    <w:p w14:paraId="5BC4DA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Отделение оперативной техники</w:t>
      </w:r>
    </w:p>
    <w:p w14:paraId="2A0D2A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Финансовое отделение</w:t>
      </w:r>
    </w:p>
    <w:p w14:paraId="5615DF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Следственная часть</w:t>
      </w:r>
    </w:p>
    <w:p w14:paraId="202440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Секретариат Управления</w:t>
      </w:r>
    </w:p>
    <w:p w14:paraId="29B80E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Авиационный отряд</w:t>
      </w:r>
    </w:p>
    <w:p w14:paraId="150692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Радиоузел связи</w:t>
      </w:r>
    </w:p>
    <w:p w14:paraId="383B74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Школа агунтурной подготовки</w:t>
      </w:r>
    </w:p>
    <w:p w14:paraId="5BF625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СТРУКТУРА РАЗВЕДЫВАТЕЛЬНОГО ОТДЕЛА ШТАБА ФРОНТА</w:t>
      </w:r>
    </w:p>
    <w:p w14:paraId="0D0482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Разведывательный отдел штаба фронта иметь в составе:</w:t>
      </w:r>
    </w:p>
    <w:p w14:paraId="00FD42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Первое отделение (войсковой разведки)</w:t>
      </w:r>
    </w:p>
    <w:p w14:paraId="0EEEE6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Второе отделение (агентурной разведки)</w:t>
      </w:r>
    </w:p>
    <w:p w14:paraId="7E05F1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Третье отделение (диверсионных действий)</w:t>
      </w:r>
    </w:p>
    <w:p w14:paraId="452055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Четвертое отделение (информационное)</w:t>
      </w:r>
    </w:p>
    <w:p w14:paraId="047C09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Пятое отделение (авиационной разведки)</w:t>
      </w:r>
    </w:p>
    <w:p w14:paraId="257803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Шестое отделение (радиоразведки)</w:t>
      </w:r>
    </w:p>
    <w:p w14:paraId="082064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Седьмое отделение (агентурной техники)</w:t>
      </w:r>
    </w:p>
    <w:p w14:paraId="5DB563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Восьмое отделение (шифровальное)</w:t>
      </w:r>
    </w:p>
    <w:p w14:paraId="12BBAF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Следственная часть</w:t>
      </w:r>
    </w:p>
    <w:p w14:paraId="454FE6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Административно-хозяйственная часть</w:t>
      </w:r>
    </w:p>
    <w:p w14:paraId="2549B3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Отделение кадров</w:t>
      </w:r>
    </w:p>
    <w:p w14:paraId="177C20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Финансовая часть</w:t>
      </w:r>
    </w:p>
    <w:p w14:paraId="0FFC29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Секретная часть</w:t>
      </w:r>
    </w:p>
    <w:p w14:paraId="57BF1D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Радиоузел разведотдела штаба фронта</w:t>
      </w:r>
    </w:p>
    <w:p w14:paraId="59E452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Моторизованная разведывательная рота.</w:t>
      </w:r>
    </w:p>
    <w:p w14:paraId="27302C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СТРУКТУРА РАЗВЕДЫВАТЕЛЬНОГО ОТДЕЛА ШТАБА АРМИИ</w:t>
      </w:r>
    </w:p>
    <w:p w14:paraId="7E2E13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Разведывательный отдел штаба армии создать в составе:</w:t>
      </w:r>
    </w:p>
    <w:p w14:paraId="48A95A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Первое отделение (войсковой разведки)</w:t>
      </w:r>
    </w:p>
    <w:p w14:paraId="23F771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Второе отделение (информационное)</w:t>
      </w:r>
    </w:p>
    <w:p w14:paraId="66B92E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Следственная часть</w:t>
      </w:r>
    </w:p>
    <w:p w14:paraId="693248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Делопроизводство отдела</w:t>
      </w:r>
    </w:p>
    <w:p w14:paraId="491C81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СТРУКТУРА РАЗВЕДЫВАТЕЛЬНОГО ОТДЕЛА ШТАБА КОРПУСА</w:t>
      </w:r>
    </w:p>
    <w:p w14:paraId="659850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Разведывательный отдел штаба корпуса создать в составе:</w:t>
      </w:r>
    </w:p>
    <w:p w14:paraId="1F5E5B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Начальник разведывательного отдела штаба корпуса, он же заместитель начальника штаба корпуса по разведке.</w:t>
      </w:r>
    </w:p>
    <w:p w14:paraId="01ECB6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 Старший помощник начальника разведывательного отдела по войсковой разведке.</w:t>
      </w:r>
    </w:p>
    <w:p w14:paraId="712235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Старший помощник начальника разведывательного отдела по информации.</w:t>
      </w:r>
    </w:p>
    <w:p w14:paraId="487E6E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Два переводчика.</w:t>
      </w:r>
    </w:p>
    <w:p w14:paraId="35586C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СТРУКТУРА РАЗВЕДЫВАТЕЛЬНОГО ОТДЕЛЕНИЯ ШТАБА ДИВИЗИИ</w:t>
      </w:r>
    </w:p>
    <w:p w14:paraId="1C40E5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Разведывательное отделение штаба дивизии создать в составе:</w:t>
      </w:r>
    </w:p>
    <w:p w14:paraId="00C36D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Начальник разведывательного отделения штаба дивизии, он же заместитель начальника штаба по разведке.</w:t>
      </w:r>
    </w:p>
    <w:p w14:paraId="644425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Помощник начальника разведывательного отделения.</w:t>
      </w:r>
    </w:p>
    <w:p w14:paraId="25559D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Переводчик</w:t>
      </w:r>
    </w:p>
    <w:p w14:paraId="6080A0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Разведывательная рота</w:t>
      </w:r>
    </w:p>
    <w:p w14:paraId="418F20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СТРУКТУРА РАЗВЕДЫВАТЕЛЬНОГО ОРГАНА ПОЛКА</w:t>
      </w:r>
    </w:p>
    <w:p w14:paraId="2ADF4D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Пом. начальника штаба полка по разведке.</w:t>
      </w:r>
    </w:p>
    <w:p w14:paraId="53A0C6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Переводчик</w:t>
      </w:r>
    </w:p>
    <w:p w14:paraId="59F5F3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Взвод пешей разведки</w:t>
      </w:r>
    </w:p>
    <w:p w14:paraId="4B90BB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Взвод конной разведки (9844).</w:t>
      </w:r>
    </w:p>
    <w:p w14:paraId="0A7192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0EABB8"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в 1943 году организовано Главное управление контрразведки «Смерш» («Смерть шпионам»); в апреле и мае были утверждены положения об органах контрразведки "Смерш" в армии и на флоте. 19 апреля 1943 года Постановлением Совнаркома СССР Управление особых отделов, а также Морской отдел были изъяты из ведения НКВД. На их базе образовывались Главное управление контрразведки НКО «Смерш» - «Смерть шпионам» и несколько позднее - Управление контрразведки «Смерш» Наркомата ВМФ. Решение о создании Главного управления контрразведки "Смерш" НКО СССР вытекало из сложившейся к тому времени обстановки на советско-германском фронте: Московская битва сорвала план "молниеносной войны", под Сталинградом из рук противника была вырвана стратегическая инициатива, однако его спецслужбам еще не был нанесен смертельный удар. Поэтому на решающем этапе войны надо было объединить руководство двумя важными сферами - обороной страны и безопасностью войск, должным образом скоординировать работу военных контрразведчиков и командования. На органы «Смерша» были возложены задачи по борьбе со шпионской, диверсионной, террористической деятельностью иностранных разведок, принятию совместно с командованием мер, исключающих возможность безнаказанного прохода агентуры противника через линию фронта, борьбе с предательством и изменой Родине в частях и учреждениях Красной Армии, дезертирством и членовредительством на фронтах. В военной контрразведке состояло несколько тысяч человек. За годы ВОВ ими было обезврежено более 30 тысяч шпионов, около трех с половиной тысяч диверсантов и свыше шести тысяч террористов. Военная контрразведка, в том числе органы «Смерша», достойно выполнила все возложенные на нее задачи. В ожесточенной схватке с абвером и "Цеппелином" показала свое превосходство и тем самым внесла свой вклад в победу в Великой Отечественной войне (15104).</w:t>
      </w:r>
    </w:p>
    <w:p w14:paraId="47DE7C8C" w14:textId="77777777" w:rsidR="00057C15" w:rsidRPr="00D03F3E" w:rsidRDefault="00057C15" w:rsidP="00D03F3E">
      <w:pPr>
        <w:spacing w:after="0" w:line="240" w:lineRule="auto"/>
        <w:jc w:val="both"/>
        <w:rPr>
          <w:rFonts w:ascii="Times New Roman" w:hAnsi="Times New Roman"/>
          <w:color w:val="000000" w:themeColor="text1"/>
          <w:sz w:val="16"/>
          <w:szCs w:val="16"/>
        </w:rPr>
      </w:pPr>
    </w:p>
    <w:p w14:paraId="3D5CE4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г. вышел ПРИКАЗ № 0072 О СОСТОЯНИИ ОРГАНОВ ВОЙСКОВОЙ РАЗВЕДКИ И О МЕРОПРИЯТИЯХ ПО УЛУЧШЕНИЮ ЕЕ БОЕВОЙ ДЕЯТЕЛЬНОСТИ</w:t>
      </w:r>
    </w:p>
    <w:p w14:paraId="2FB1DE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 боевой деятельности войск показал, что командиры частей и соединений не уделяют войсковой разведке должного внимания. Командующие фронтами и армиями мало спрашивают с командиров дивизий, полков за состояние войсковой разведки и не добиваются повышения разведывательной грамотности общевойсковых командиров.</w:t>
      </w:r>
    </w:p>
    <w:p w14:paraId="55AC65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Разведывательные подразделения очень часто используются не по прямому назначению.</w:t>
      </w:r>
    </w:p>
    <w:p w14:paraId="51ADD1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Разведывательные подразделения, как правило, не обеспечены материальными средствами, не дается никакого предпочтения командирам и бойцам-разведчикам в деле материально-бытового обеспечения и награждений, тем самым, не создается стимула для того, чтобы в разведывательные подразделения и органы разведки шли лучшие боевые командиры и бойцы, желающие проявить себя в области разведки.</w:t>
      </w:r>
    </w:p>
    <w:p w14:paraId="1438FE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Подготовка кадров разведчиков по настоящему не организована. Подразделения войсковой разведки не укомплектованы.</w:t>
      </w:r>
    </w:p>
    <w:p w14:paraId="69983D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Органы разведок специальных родов войск ведут свою работу обособленно и не считают себя обязанными немедленно сообщать все полученные ими данные в разведывательные отделы фронтов и армий.</w:t>
      </w:r>
    </w:p>
    <w:p w14:paraId="106E31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Разведывательные отделы фронтов и армий не располагают средствами авиационной разведки. Имеющиеся в воздушных армиях разведывательные полки, как правило, ведут разведку ограниченно в интересах ВВС и укомплектовываются неопытными в оперативно-тактическом отношении летчиками-наблюдателями, в результате данные авиаразведки о противнике малоценны.</w:t>
      </w:r>
    </w:p>
    <w:p w14:paraId="6E65F2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Боевая деятельность разведывательных подразделений и органов разведки стоит еще на низком уровне и недостаточно обеспечивает войска необходимыми данными о противнике.</w:t>
      </w:r>
    </w:p>
    <w:p w14:paraId="580E19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Мало проявляется инициативы и изобретательности в применении различных форм и методов ведения войсковой разведки.</w:t>
      </w:r>
    </w:p>
    <w:p w14:paraId="2FE577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Неудовлетворительно поставлено дело со сбором и обработкой всех разведывательных данных и особенно неудовлетворительно организован допрос военнопленных и обработка трофейных документов.</w:t>
      </w:r>
    </w:p>
    <w:p w14:paraId="112166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улучшения работы войсковой разведки приказываю:</w:t>
      </w:r>
    </w:p>
    <w:p w14:paraId="496836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командиров полков, дивизий, корпусов, командующих армиями и фронтами уделить серьезное внимание делу разведки.</w:t>
      </w:r>
    </w:p>
    <w:p w14:paraId="3E09ED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Начальникам штабов повседневно руководить работой начальников разведки, ставить им задачи по разведке и проверять их выполнение.</w:t>
      </w:r>
    </w:p>
    <w:p w14:paraId="1DECCB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Разведывательные подразделения и командиров-разведчиков использовать только по прямому назначению для выполнения боевых задач по разведке, ни в коем случае не ставить им задач как обычным стрелковым ротам в бою и не назначать для охраны штабов.</w:t>
      </w:r>
    </w:p>
    <w:p w14:paraId="205104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 боевой деятельности разведывательных органов шире практиковать различные формы и методы разведки, проявляя изобретательность и военную хитрость во всех областях разведки, в том числе в использовании лазутчиков, в организации засад и диверсионных налетов на линии и узлы связи, на отдельных офицеров и штабы противника с целью их разгрома, захвата пленных и оперативных документов.</w:t>
      </w:r>
    </w:p>
    <w:p w14:paraId="5F2A53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К 10 мая 1943 г. полностью укомплектовать все разведывательные органы и подразделения Карельского, Ленинградского, Волховского, Северо-Западного, Калининского, Западного, Брянского, Центрального, Воронежско го, Юго-Западного, Южного и Северо-Кавказского фронтов и 7-й отдельной армии, не допуская в дальнейшем содержания разведорганов и разведуправ-ления в некомплекте. Разведывательные органы и подразделения укомплек товать инициативными командирами и красноармейцами, способными быть настоящими разведчиками, в том числе добровольцами из военнослужащих.</w:t>
      </w:r>
    </w:p>
    <w:p w14:paraId="75DF85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Все захваченные у противника документы немедленно доставлять в разведывательные отделы штабов фронтов и армий.</w:t>
      </w:r>
    </w:p>
    <w:p w14:paraId="1B1AC9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В целях улучшения подготовки разведывательных кадров провести следующие мероприятия:</w:t>
      </w:r>
    </w:p>
    <w:p w14:paraId="6D9EE6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при Высшей специальной школе Красной Армии сформировать факультет для подготовки работников разведотделов штабов фронтов и армий;</w:t>
      </w:r>
    </w:p>
    <w:p w14:paraId="040C68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на Высших разведывательных курсах переподготовки готовить командиров-разведчиков для полков, дивизий и армий;</w:t>
      </w:r>
    </w:p>
    <w:p w14:paraId="6AFFE5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из числа курсантов-выпускников пехотных училищ отбирать наиболее способных для укомплектования органов войсковой разведки. Перед назначением в войска с выделенными, в течение месяца, проходить специальную программу по разведке;</w:t>
      </w:r>
    </w:p>
    <w:p w14:paraId="761558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при курсах младших лейтенантов фронтов и армий создать учебные подразделения для подготовки командиров разведывательных рот и взводов;</w:t>
      </w:r>
    </w:p>
    <w:p w14:paraId="2BE141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в запасных частях фронтов, армий и учебных батальонах дивизий иметь постоянно действующие подразделения для подготовки младшего командного состава разведки.</w:t>
      </w:r>
    </w:p>
    <w:p w14:paraId="7B9A88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Начальнику Разведывательного управления Генерального штаба Красной Армии разработать и представить на утверждение систему поощрений и оплаты командиров и бойцов разведчиков.</w:t>
      </w:r>
    </w:p>
    <w:p w14:paraId="7275FD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Установить, что начальники разведывательных отделов фронтов, армий, корпусов и разведывательных отделений дивизий являются заместителями начальников соответствующих штабов по разведке.</w:t>
      </w:r>
    </w:p>
    <w:p w14:paraId="339BC3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Для подразделений войсковой разведки и специальных подразделений разведывательного отдела штаба фронта установить питание по норме № 9*.</w:t>
      </w:r>
    </w:p>
    <w:p w14:paraId="79A0E0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При разведывательных отделах штабов Северо-Западного, Калининского, Западного, Брянского, Центрального, Воронежского, Юго-Западного, Южного и Северо-Кавказского фронтов создать моторизованные разведывательные роты в составе от 6 до 10 бронемашин, от 30 до 40 мотоциклов с колясками и от 15 до 20 “Виллисов” (в зависимости от размеров фронта) для использования их на главных направлениях наступательных операций.</w:t>
      </w:r>
    </w:p>
    <w:p w14:paraId="2BC7F1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Начальникам соответствующих управлений НКО к 15 мая 1943 г. полностью их укомплектовать, согласно штату.</w:t>
      </w:r>
    </w:p>
    <w:p w14:paraId="308F98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Восстановить разведывательные подразделения во всех кавалерийских частях и соединениях (разведывательные дивизионы в кавалерийских корпусах, разведывательные эскадроны в кавалерийских дивизиях и разведывательные взводы в кавалерийских полках).</w:t>
      </w:r>
    </w:p>
    <w:p w14:paraId="0FEA61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Предоставить право начальникам разведывательных отделов фронтов и армий ставить задачи начальникам разведывательных органов специальных родов войск и контролировать их выполнение.</w:t>
      </w:r>
    </w:p>
    <w:p w14:paraId="2D9C65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Разведывательные авиационные полки воздушных армий подчинить в оперативном отношении начальникам разведывательных отделов штабов фронтов. Иметь в составе авиационных разведывательных полков самолеты: Як-7 и Пе-2.</w:t>
      </w:r>
    </w:p>
    <w:p w14:paraId="63DCD9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14. В составе разведывательных отделов штабов фронтов иметь отделения авиационной разведки, укомплектовав их тактически грамотными общевойсковыми командирами.</w:t>
      </w:r>
    </w:p>
    <w:p w14:paraId="2A8CCA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Командующему ВВС Красной Армии к 1 мая 1943 г. передать в распоряжение начальников разведывательных отделов штабов Ленинградского, Волховского, Северо-Западного, Калининского, Западного, Брянского, Центрального, Воронежского, Юго-Западного, Южного и Северо-Кавказского фронтов по одному самолету “Дуглас” и по два самолета У-2 для выполнения специальных заданий по разведке, укомплектовав их лучшими экипажами-ночниками.</w:t>
      </w:r>
    </w:p>
    <w:p w14:paraId="763B2C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Начальнику Главного политического управления Красной Армии выделить 150 человек политработников в распоряжение начальника Разведывательного управления Генерального штаба Красной Армии для работы в органах разведки.</w:t>
      </w:r>
    </w:p>
    <w:p w14:paraId="5726C3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С целью повышения теоретического уровня разведчиков и популяризации разведывательной службы, Главному политическому управлению Красной Армии организовать выпуск разведывательной отечественной и иностранной литературы.</w:t>
      </w:r>
    </w:p>
    <w:p w14:paraId="05197F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Систематически популяризовать в периодической печати боевые действия разведывательных органов и отдельных отличившихся разведчиков.</w:t>
      </w:r>
    </w:p>
    <w:p w14:paraId="3E4B33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Настоящий приказ довести до командиров полков, начальников штабов и их помощников по разведке включительно.</w:t>
      </w:r>
    </w:p>
    <w:p w14:paraId="65F722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Народный комиссар обороны СССР Маршал Советского Союза И. СТАЛИН </w:t>
      </w:r>
      <w:r w:rsidRPr="00D03F3E">
        <w:rPr>
          <w:rFonts w:ascii="Times New Roman" w:hAnsi="Times New Roman"/>
          <w:color w:val="000000" w:themeColor="text1"/>
          <w:sz w:val="16"/>
          <w:szCs w:val="16"/>
        </w:rPr>
        <w:t>(9844).</w:t>
      </w:r>
    </w:p>
    <w:p w14:paraId="54FE3F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E654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г. вышел ПРИКАЗ № 0073 ОБ УЛУЧШЕНИИ РАЗВЕДЫВАТЕЛЬНОЙ РАБОТЫ ПАРТИЗАНСКИХ ОТРЯДОВ</w:t>
      </w:r>
    </w:p>
    <w:p w14:paraId="773D61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улучшения разведывательной работы партизанских отрядов в интересах Красной Армии, а также в целях своевременного использования разведывательных данных партизан штабами фронтов и Генеральным штабом Красной Армии приказываю:</w:t>
      </w:r>
    </w:p>
    <w:p w14:paraId="08C976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Назначить заместителями начальников разведывательных отделов республиканских и фронтовых штабов партизанского движения командиров Разведывательного управления Генерального штаба Красной Армии.</w:t>
      </w:r>
    </w:p>
    <w:p w14:paraId="33D7A0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 партизанские отряды, действующие в районах, интересующих Разведывательное управление Генерального штаба, назначить командиров Разведывательного управления генерального штаба Красной Армии на должности заместителей командиров партизанских отрядов и командиров соединений по разведке.</w:t>
      </w:r>
    </w:p>
    <w:p w14:paraId="7222FB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Установить, что разведывательные донесения от партизанских отрядов подписываются командиром и комиссаром отряда и заместителем командира отряда по разведке.</w:t>
      </w:r>
    </w:p>
    <w:p w14:paraId="430C62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Обязать Центральный, республиканские и фронтовые штабы партизанского движения оказывать полное содействие разведывательным органам Красной Армии в насаждении специальной агентуры, изолированной и законспирированной от партизанских отрядов.</w:t>
      </w:r>
    </w:p>
    <w:p w14:paraId="4D2D48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Народный комиссар обороны СССР Маршал Советского Союза И. СТАЛИН </w:t>
      </w:r>
      <w:r w:rsidRPr="00D03F3E">
        <w:rPr>
          <w:rFonts w:ascii="Times New Roman" w:hAnsi="Times New Roman"/>
          <w:color w:val="000000" w:themeColor="text1"/>
          <w:sz w:val="16"/>
          <w:szCs w:val="16"/>
        </w:rPr>
        <w:t>(9844).</w:t>
      </w:r>
    </w:p>
    <w:p w14:paraId="5D371D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6702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года вышел приказ НКО СССР №0073 "Об улучшении разведывательной работы партизанских отрядов" (8983).</w:t>
      </w:r>
    </w:p>
    <w:p w14:paraId="58DC34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E548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г. вышел УКАЗ ПРЕЗИДИУМА ВЕРХОВНОГО СОВЕТА СССР О МЕРАХ НАКАЗАНИЯ ДЛЯ НЕМЕЦКО-ФАШИСТСКИХ ЗЛОДЕЕВ, ВИНОВНЫХ В УБИЙСТВАХ И ИСТЯЗАНИЯХ СОВЕТСКОГО ГРАЖДАНСКОГО НАСЕЛЕНИЯ И ПЛЕННЫХ КРАСНОАРМЕЙЦЕВ, ДЛЯ ШПИОНОВ, ИЗМЕННИКОВ РОДИНЫ ИЗ ЧИСЛА СОВЕТСКИХ ГРАЖДАН И ДЛЯ ИХ ПОСОБНИКОВ</w:t>
      </w:r>
    </w:p>
    <w:p w14:paraId="010E8E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освобожденных Красной Армией от немецко-фашистских захватчиков городах и селах обнаружено множество фактов неслыханных зверств и чудовищных насилий, учиненных немецкими, итальянскими, румынскими, венгерскими, финскими фашистскими извергами, гитлеровскими агентами, а также шпионами и изменниками Родины из числа советских граждан над мирным советским населением и пленными красноармейцами. Многие десятки тысяч ни в чем неповинных женщин, детей и стариков, а также пленных красноармейцев зверски замучены, повешены, расстреляны, заживо сожжены по приказам командиров воинских частей и частей жандармского корпуса гитлеровской армии, начальников гестапо, бургомистров и военных комендантов городов и сел, начальников лагерей для военнопленных и других представителей фашистских властей.</w:t>
      </w:r>
    </w:p>
    <w:p w14:paraId="268978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тем, ко всем этим преступникам, виновным в совершении кровавых расправ над мирным советским населением и пленными красноармейцами, и к их пособникам из местного населения применяется в настоящее время мера возмездия, явно не соответствующая содеянным ими злодеяниям.</w:t>
      </w:r>
    </w:p>
    <w:p w14:paraId="02DA4C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Имея в виду, что расправы и насилия над беззащитными советскими гражданами и пленными красноармейцами и измена Родине являются самыми позорными и тяжкими преступлениями, самыми гнусными злодеяниями, Президиум Верховного Совета СССР постановляет:</w:t>
      </w:r>
    </w:p>
    <w:p w14:paraId="0BBA12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Установить, что немецкие, итальянские, румынские, венгерские, финские фашистские злодеи, уличенные в совершении убийств и истязаний гражданского населения и пленных красноармейцев, а также шпионы и изменники Родины из числа советских граждан караются смертной казнью через повешение.*</w:t>
      </w:r>
    </w:p>
    <w:p w14:paraId="7C6159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Пособники из местного населения, уличенные в оказании содействия злодеям в совершении расправ и насилий над гражданским населением и пленными красноармейцами, караются ссылкой в каторжные работы на срок от 15 до 20 лет.</w:t>
      </w:r>
    </w:p>
    <w:p w14:paraId="3DC17B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Рассмотрение дел о фашистских злодеях, виновных в расправах и насилиях над мирным советским населением и пленными красноармейцами, а также о шпионах, изменниках Родины из числа советских граждан и об их пособниках из местного населения возложить на военно-полевые суды, образуемые при дивизиях действующей армии в составе: председателя военного трибунала дивизии (председатель суда), начальника особого отдела дивизии и заместителя командира дивизии по политической части (члены суда), с участием прокурора дивизии.</w:t>
      </w:r>
    </w:p>
    <w:p w14:paraId="42A45A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Приговоры военно-полевых судов при дивизиях утверждать командиру дивизии и приводить в исполнение немедленно.</w:t>
      </w:r>
    </w:p>
    <w:p w14:paraId="36344B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Приведение в исполнение приговоров военно-полевых судов при дивизиях — повешение осужденных к смертной казни — производить публично, при народе, а тела повешенных оставлять на виселице в течение нескольких дней, чтобы все знали, как караются и какое возмездие постигнет всякого, кто совершает насилие и расправу над гражданским населением и кто предает свою Родину.</w:t>
      </w:r>
    </w:p>
    <w:p w14:paraId="0F3B25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Председатель Президиума Верховного Совета СССР М. КАЛИНИН</w:t>
      </w:r>
    </w:p>
    <w:p w14:paraId="6B183B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Секретарь Президиума Верховного Совета ССР А. ГОРКИН</w:t>
      </w:r>
    </w:p>
    <w:p w14:paraId="1BBF4E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 Кремль (9844).</w:t>
      </w:r>
    </w:p>
    <w:p w14:paraId="152080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DBD26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указом Президиума Верховного Совета СССР введены каторжные работы для “пособников оккупантов” (4962).</w:t>
      </w:r>
    </w:p>
    <w:p w14:paraId="7E236EB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5A5B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появился указ ПВС “О мерах наказания для немецко-фашистских злодеев, виновных в убийствах и истязаниях советского гражданского населения и пленных красноармейцев, для шпионов, изменников родины из числа советских граждан и для их пособников” имел гриф “Не для печати” и гласил:</w:t>
      </w:r>
    </w:p>
    <w:p w14:paraId="157F0B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освобожденных Красной Армией от немецко-фашистских захватчиков городах и селах обнаружено множество фактов неслыханных зверств и чудовищных насилий, учиненных немецкими, итальянскими, румынскими, венгерскими, финскими фашистскими извергами, гитлеровскими агентами, а также шпионами и изменниками родины из числа советских граждан, над мирным советским населением и пленными красноармейцами. Многие десятки тысяч ни в чем не повинных женщин, детей и стариков, а также пленных красноармейцев зверски замучены, повешены, расстреляны, заживо сожжены по приказам командиров воинских частей и частей жандармского корпуса гитлеровской армии, начальников гестапо, бургомистров и военных комендантов городов и сел, начальников лагерей для военнопленных и других представителей фашистских властей.</w:t>
      </w:r>
    </w:p>
    <w:p w14:paraId="45DD88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тем, ко всем этим преступникам, виновным в совершении кровавых расправ над мирным советским населением и пленными красноармейцами и к их пособникам из местного населения, применяется в настоящее время мера возмездия, явно не соответствующая содеянным ими злодеяниям.</w:t>
      </w:r>
    </w:p>
    <w:p w14:paraId="5ED15D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Имея в виду, что расправы и насилия над беззащитными советскими гражданами и пленными красноармейцами и измена родине являются самыми позорными и тяжкими преступлениями, самыми гнусными злодеяниями, Президиум Верховного Совета СССР постановляет:</w:t>
      </w:r>
    </w:p>
    <w:p w14:paraId="20F4D7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Установить, что немецкие, итальянские, румынские, венгерские, финские фашистские злодеи, уличенные в совершении убийств и истязаний гражданского населения и пленных красноармейцев, а также шпионы и изменники родины из числа советских граждан, караются смертной казнью через повешение.</w:t>
      </w:r>
    </w:p>
    <w:p w14:paraId="6BEF6D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Пособники из местного населения, уличенные в оказании содействия злодеям в совершении расправ и насилий над гражданским населением и пленными красноармейцами, караются ссылкой в каторжные работы на срок от 15 до 20 лет.</w:t>
      </w:r>
    </w:p>
    <w:p w14:paraId="5B3783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Рассмотрение дел о фашистских злодеях, виновных в расправах и насилиях над мирным советским населением и пленными красноармейцами, а также о шпионах, изменниках родины из числа советских граждан и о их пособниках из местного населения возложить на военно-полевые суды, образуемые при дивизиях Действующей армии в составе: председателя военного трибунала дивизии (председатель суда), начальника особого отдела дивизии и заместителя командира дивизии по политической части (члены суда), с участием прокурора дивизии.</w:t>
      </w:r>
    </w:p>
    <w:p w14:paraId="7BAF84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Приговоры военно-полевых судов при дивизиях утверждать командиру дивизии и приводить в исполнение немедленно.</w:t>
      </w:r>
    </w:p>
    <w:p w14:paraId="1769BD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Приведение в исполнение приговоров военно-полевых судов при дивизиях - повешение осужденных к смертной казни - производить публично, при народе, а тела повешенных оставлять на виселице в течение нескольких дней, чтобы все знали, как карается и какое возмездие постигнет всякого, кто совершает насилие и расправу над гражданским населением и кто предает свою родину” (7560).</w:t>
      </w:r>
    </w:p>
    <w:p w14:paraId="4E974B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35D82A" w14:textId="77777777" w:rsidR="00BA0934" w:rsidRPr="00D03F3E" w:rsidRDefault="00BA093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19 апреля в 1943 году Указом Президиума ВС СССР N 39 установлено, что "немецкие, итальянские, румынские, венгерские, финские фашистские злодеи, уличенные в совершении убийств и истязаний гражданского населения и пленных красноармейцев, а также шпионы и изменники родины из числа советских граждан караются смертной казнью через повешение. Приведение в исполнение приговоров - повешение осужденных к смертной казни - производить публично, при народе, а тела повешенных оставлять на виселице в течение нескольких дней, чтобы все знали, как караются и какое возмездие постигнет всякого, кто совершает насилие и расправу над гражданским населением и кто предает свою родину" (15104).</w:t>
      </w:r>
    </w:p>
    <w:p w14:paraId="35B279E2" w14:textId="77777777" w:rsidR="00BA0934" w:rsidRPr="00D03F3E" w:rsidRDefault="00BA0934" w:rsidP="00D03F3E">
      <w:pPr>
        <w:spacing w:after="0" w:line="240" w:lineRule="auto"/>
        <w:jc w:val="both"/>
        <w:rPr>
          <w:rFonts w:ascii="Times New Roman" w:hAnsi="Times New Roman"/>
          <w:color w:val="000000" w:themeColor="text1"/>
          <w:sz w:val="16"/>
          <w:szCs w:val="16"/>
        </w:rPr>
      </w:pPr>
    </w:p>
    <w:p w14:paraId="1AFA968A" w14:textId="77777777" w:rsidR="00BA0934" w:rsidRPr="00D03F3E" w:rsidRDefault="00BA093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в 1943 году Указ Президиума ВС СССР от 19.04.1943 N 39 "О мерах наказания для немецко-фашистских злодеев, виновных в убийствах и истязаниях советского гражданского населения и пленных красноармейцев, для шпионов, изменников родины из числа советских граждан и для их пособников» (15104).</w:t>
      </w:r>
    </w:p>
    <w:p w14:paraId="1A6DF1E5" w14:textId="77777777" w:rsidR="00BA0934" w:rsidRPr="00D03F3E" w:rsidRDefault="00BA0934" w:rsidP="00D03F3E">
      <w:pPr>
        <w:spacing w:after="0" w:line="240" w:lineRule="auto"/>
        <w:jc w:val="both"/>
        <w:rPr>
          <w:rFonts w:ascii="Times New Roman" w:hAnsi="Times New Roman"/>
          <w:color w:val="000000" w:themeColor="text1"/>
          <w:sz w:val="16"/>
          <w:szCs w:val="16"/>
        </w:rPr>
      </w:pPr>
    </w:p>
    <w:p w14:paraId="06E595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вышло Постановление ГКО № 3207 О т.т. Мехлисе Л.З. и Грушецком И.С..РГАНИР, Фонд ГКО, д. 107, лл. 50 (11012).</w:t>
      </w:r>
    </w:p>
    <w:p w14:paraId="30B037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54EB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вышло Постановление ГКО № 3208 О т.т. Тевченкове А.Н. и Белик Т.Я.РГАНИР, Фонд ГКО, д. 107, лл. 51 (11012).</w:t>
      </w:r>
    </w:p>
    <w:p w14:paraId="1BCCE7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CA4D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вышло Постановление ГКО № 3211 О формировании подвижных танковых агрегатно-ремонтных заводов ГАБТУ КА.РГАНИР, Фонд ГКО, д. 107, лл. 59-60, 61-63 (11012).</w:t>
      </w:r>
    </w:p>
    <w:p w14:paraId="5212A4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2BE455" w14:textId="77777777" w:rsidR="00393177"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1EE35C69" w14:textId="77777777" w:rsidR="00393177" w:rsidRPr="00D03F3E" w:rsidRDefault="00393177"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5CDF38" w14:textId="77777777" w:rsidR="00393177" w:rsidRPr="00D03F3E" w:rsidRDefault="003931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г. вышел Указ Президиума Верховного Совета СССР “О мерах наказания для немецко- фашистских злодеев, виновных в убийствах и истязаниях советского гражданского населения и пленных красноармейцев, а также для шпионов, изменников Родины из числа советских граждан и для их пособников”, которым были предусмотрены особые виды наказания и особый порядок их применения. Указ предусматривал в качестве наказания для виновных лиц смертную казнь через повешение или ссылку на каторжные работы на срок от 15 до 20 лет.</w:t>
      </w:r>
    </w:p>
    <w:p w14:paraId="6CEC2E39" w14:textId="77777777" w:rsidR="00393177" w:rsidRPr="00D03F3E" w:rsidRDefault="003931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Рассмотрение дел оккупантов и их пособников возлагалось на военно- полевые суды, образовавшиеся при дивизиях действующей армии (в последующем Указе от 2 августа 1943 г. военно-полевые суды были образованы при кавалерийских, танковых, механизированных корпусах), в составе председателя военного трибунала дивизии, начальника отдела контрразведки дивизии и замполита дивизии и с участием прокурора дивизии.</w:t>
      </w:r>
    </w:p>
    <w:p w14:paraId="3BB63A77" w14:textId="77777777" w:rsidR="00393177" w:rsidRPr="00D03F3E" w:rsidRDefault="0039317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Приговоры военно-полевых судов подлежали утверждению командиром дивизии и приводились в исполнение немедленно. Кассационному обжалованию приговоры этих судов не подлежали. Однако, командир дивизии мог заменить смертную казнь каторжными работами (17460).</w:t>
      </w:r>
    </w:p>
    <w:p w14:paraId="58EDC783" w14:textId="77777777" w:rsidR="00393177" w:rsidRPr="00D03F3E" w:rsidRDefault="00393177" w:rsidP="00D03F3E">
      <w:pPr>
        <w:spacing w:after="0" w:line="240" w:lineRule="auto"/>
        <w:jc w:val="both"/>
        <w:rPr>
          <w:rFonts w:ascii="Times New Roman" w:hAnsi="Times New Roman"/>
          <w:color w:val="000000" w:themeColor="text1"/>
          <w:sz w:val="16"/>
          <w:szCs w:val="16"/>
        </w:rPr>
      </w:pPr>
    </w:p>
    <w:p w14:paraId="350BD617" w14:textId="77777777" w:rsidR="009D4B5B" w:rsidRPr="00D03F3E" w:rsidRDefault="009D4B5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bdr w:val="none" w:sz="0" w:space="0" w:color="auto" w:frame="1"/>
          <w:shd w:val="clear" w:color="auto" w:fill="FBFCFC"/>
        </w:rPr>
        <w:t>19 апреля 1943 г.</w:t>
      </w:r>
    </w:p>
    <w:p w14:paraId="2221009B" w14:textId="77777777" w:rsidR="009D4B5B" w:rsidRPr="00D03F3E" w:rsidRDefault="009D4B5B" w:rsidP="00D03F3E">
      <w:pPr>
        <w:spacing w:after="0" w:line="240" w:lineRule="auto"/>
        <w:jc w:val="both"/>
        <w:rPr>
          <w:rFonts w:ascii="Times New Roman" w:hAnsi="Times New Roman"/>
          <w:bCs/>
          <w:color w:val="000000" w:themeColor="text1"/>
          <w:sz w:val="16"/>
          <w:szCs w:val="16"/>
          <w:bdr w:val="none" w:sz="0" w:space="0" w:color="auto" w:frame="1"/>
          <w:shd w:val="clear" w:color="auto" w:fill="FBFCFC"/>
        </w:rPr>
      </w:pPr>
      <w:r w:rsidRPr="00D03F3E">
        <w:rPr>
          <w:rStyle w:val="a7"/>
          <w:rFonts w:ascii="Times New Roman" w:hAnsi="Times New Roman"/>
          <w:b w:val="0"/>
          <w:color w:val="000000" w:themeColor="text1"/>
          <w:sz w:val="16"/>
          <w:szCs w:val="16"/>
          <w:bdr w:val="none" w:sz="0" w:space="0" w:color="auto" w:frame="1"/>
          <w:shd w:val="clear" w:color="auto" w:fill="FBFCFC"/>
        </w:rPr>
        <w:t>ПРЕЗИДИУМ ВЕРХОВНОГО СОВЕТА СССР</w:t>
      </w:r>
    </w:p>
    <w:p w14:paraId="67210263" w14:textId="77777777" w:rsidR="009D4B5B" w:rsidRPr="00D03F3E" w:rsidRDefault="009D4B5B" w:rsidP="00D03F3E">
      <w:pPr>
        <w:spacing w:after="0" w:line="240" w:lineRule="auto"/>
        <w:jc w:val="both"/>
        <w:rPr>
          <w:rFonts w:ascii="Times New Roman" w:hAnsi="Times New Roman"/>
          <w:color w:val="000000" w:themeColor="text1"/>
          <w:sz w:val="16"/>
          <w:szCs w:val="16"/>
        </w:rPr>
      </w:pPr>
      <w:r w:rsidRPr="00D03F3E">
        <w:rPr>
          <w:rStyle w:val="a7"/>
          <w:rFonts w:ascii="Times New Roman" w:hAnsi="Times New Roman"/>
          <w:b w:val="0"/>
          <w:color w:val="000000" w:themeColor="text1"/>
          <w:sz w:val="16"/>
          <w:szCs w:val="16"/>
          <w:bdr w:val="none" w:sz="0" w:space="0" w:color="auto" w:frame="1"/>
          <w:shd w:val="clear" w:color="auto" w:fill="FBFCFC"/>
        </w:rPr>
        <w:t>УКАЗ</w:t>
      </w:r>
    </w:p>
    <w:p w14:paraId="78658620" w14:textId="77777777" w:rsidR="009D4B5B" w:rsidRPr="00D03F3E" w:rsidRDefault="009D4B5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bdr w:val="none" w:sz="0" w:space="0" w:color="auto" w:frame="1"/>
          <w:shd w:val="clear" w:color="auto" w:fill="FBFCFC"/>
        </w:rPr>
        <w:t>от 19 апреля 1943 г.</w:t>
      </w:r>
    </w:p>
    <w:p w14:paraId="69D7649F" w14:textId="77777777" w:rsidR="009D4B5B" w:rsidRPr="00D03F3E" w:rsidRDefault="009D4B5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bdr w:val="none" w:sz="0" w:space="0" w:color="auto" w:frame="1"/>
          <w:shd w:val="clear" w:color="auto" w:fill="FBFCFC"/>
        </w:rPr>
        <w:t>О мерах наказания для немецко-фашистских злодеев, виновных в убийствах и истязаниях советского гражданского населения и пленных красноармейцев, для шпионов, изменников родины из числа советских граждан и для их пособников.</w:t>
      </w:r>
    </w:p>
    <w:p w14:paraId="073C104A" w14:textId="77777777" w:rsidR="009D4B5B" w:rsidRPr="00D03F3E" w:rsidRDefault="009D4B5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bdr w:val="none" w:sz="0" w:space="0" w:color="auto" w:frame="1"/>
          <w:shd w:val="clear" w:color="auto" w:fill="FBFCFC"/>
        </w:rPr>
        <w:t>В освобожденных Красной Армией от немецко-фашистских захватчиков городах и селах обнаружено множество фактов неслыханных зверств и чудовищных насилий, учиненных немецкими, итальянскими, румынскими, венгерскими, финскими фашистскими извергами, гитлеровскими агентами, а также шпионами и изменниками родины из числа советских граждан над мирным советским населением и пленными красноармейцами. Многие десятки тысяч ни в чем неповинных женщин, детей и стариков, а также пленных красноармейцев зверски замучены, повешены, расстреляны, заживо сожжены по приказам командиров воинских частей и частей жандармского корпуса гитлеровской армии, начальников гестапо, бургомистров и военных комендантов городов и сел, начальников лагерей для военнопленных и других представителей фашистских властей.</w:t>
      </w:r>
    </w:p>
    <w:p w14:paraId="2649A945" w14:textId="77777777" w:rsidR="009D4B5B" w:rsidRPr="00D03F3E" w:rsidRDefault="009D4B5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bdr w:val="none" w:sz="0" w:space="0" w:color="auto" w:frame="1"/>
          <w:shd w:val="clear" w:color="auto" w:fill="FBFCFC"/>
        </w:rPr>
        <w:t>Между тем, ко всем этим преступникам, виновным в совершении кровавых расправ над мирным советским населением и пленными красноармейцами, и к их пособникам из местного населения применяется в настоящее время мера возмездия, явно не соответствующая содеянным ими злодеяниям.</w:t>
      </w:r>
    </w:p>
    <w:p w14:paraId="72EF935B" w14:textId="77777777" w:rsidR="009D4B5B" w:rsidRPr="00D03F3E" w:rsidRDefault="009D4B5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bdr w:val="none" w:sz="0" w:space="0" w:color="auto" w:frame="1"/>
          <w:shd w:val="clear" w:color="auto" w:fill="FBFCFC"/>
        </w:rPr>
        <w:t>Имея в виду, что расправы и насилия над беззащитными советскими гражданами и пленными красноармейцами и измена родине являются самыми позорными и тяжкими преступлениями, самыми гнусными злодеяниями, Президиум Верховного Совета СССР постановляет:</w:t>
      </w:r>
    </w:p>
    <w:p w14:paraId="6BF4FB59" w14:textId="77777777" w:rsidR="009D4B5B" w:rsidRPr="00D03F3E" w:rsidRDefault="009D4B5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bdr w:val="none" w:sz="0" w:space="0" w:color="auto" w:frame="1"/>
          <w:shd w:val="clear" w:color="auto" w:fill="FBFCFC"/>
        </w:rPr>
        <w:t>1. Установить, что немецкие, итальянские, румынские, венгерские, финские фашистские злодеи, уличенные в совершении убийств и истязаний гражданского населения и пленных красноармейцев, а также шпионы и изменники родины из числа советских граждан караются смертной казнью через повешение.</w:t>
      </w:r>
    </w:p>
    <w:p w14:paraId="305B77C0" w14:textId="77777777" w:rsidR="009D4B5B" w:rsidRPr="00D03F3E" w:rsidRDefault="009D4B5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bdr w:val="none" w:sz="0" w:space="0" w:color="auto" w:frame="1"/>
          <w:shd w:val="clear" w:color="auto" w:fill="FBFCFC"/>
        </w:rPr>
        <w:t>2. Пособники из местного населения, уличенные в оказании содействия злодеям в совершении расправ и насилий над гражданским населением и пленными красноармейцами, караются ссылкой в каторжные работы на срок от 15 до 20 лет.</w:t>
      </w:r>
    </w:p>
    <w:p w14:paraId="400DC250" w14:textId="77777777" w:rsidR="009D4B5B" w:rsidRPr="00D03F3E" w:rsidRDefault="009D4B5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bdr w:val="none" w:sz="0" w:space="0" w:color="auto" w:frame="1"/>
          <w:shd w:val="clear" w:color="auto" w:fill="FBFCFC"/>
        </w:rPr>
        <w:t>3. Рассмотрение дел о фашистских злодеях, виновных в расправах и насилиях над мирным советским населением и пленными красноармейцами, а также о шпионах, изменниках родины из числа советских граждан и о их пособниках из местного населения возложить на военно-полевые суды, образуемые при дивизиях действующей армии в составе: председателя военного трибунала дивизии (председатель суда), начальника особого отдела дивизии и заместителя командира дивизии по политической части (члены суда), с участием прокурора дивизии.</w:t>
      </w:r>
    </w:p>
    <w:p w14:paraId="6AE44E6D" w14:textId="77777777" w:rsidR="009D4B5B" w:rsidRPr="00D03F3E" w:rsidRDefault="009D4B5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bdr w:val="none" w:sz="0" w:space="0" w:color="auto" w:frame="1"/>
          <w:shd w:val="clear" w:color="auto" w:fill="FBFCFC"/>
        </w:rPr>
        <w:t>4. Приговоры военно-полевых судов при дивизиях утверждать командиру дивизии и приводить в исполнение немедленно.</w:t>
      </w:r>
    </w:p>
    <w:p w14:paraId="53A1A3DB" w14:textId="77777777" w:rsidR="009D4B5B" w:rsidRPr="00D03F3E" w:rsidRDefault="009D4B5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bdr w:val="none" w:sz="0" w:space="0" w:color="auto" w:frame="1"/>
          <w:shd w:val="clear" w:color="auto" w:fill="FBFCFC"/>
        </w:rPr>
        <w:t>5. Приведение в исполнение приговоров военно-полевых судов при дивизиях - повешение осужденных к смертной казни - производить публично, при народе, а тела повешенных оставлять на виселице в течение нескольких дней, чтобы все знали, как караются и какое возмездие постигнет всякого, кто совершает насилие и расправу над гражданским населением и кто предает свою родину.</w:t>
      </w:r>
    </w:p>
    <w:p w14:paraId="7B17F6ED" w14:textId="77777777" w:rsidR="009D4B5B" w:rsidRPr="00D03F3E" w:rsidRDefault="009D4B5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bdr w:val="none" w:sz="0" w:space="0" w:color="auto" w:frame="1"/>
          <w:shd w:val="clear" w:color="auto" w:fill="FBFCFC"/>
        </w:rPr>
        <w:t>Председатель Президиума</w:t>
      </w:r>
    </w:p>
    <w:p w14:paraId="6168D14A" w14:textId="77777777" w:rsidR="009D4B5B" w:rsidRPr="00D03F3E" w:rsidRDefault="009D4B5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bdr w:val="none" w:sz="0" w:space="0" w:color="auto" w:frame="1"/>
          <w:shd w:val="clear" w:color="auto" w:fill="FBFCFC"/>
        </w:rPr>
        <w:t>Верховного Совета СССР</w:t>
      </w:r>
    </w:p>
    <w:p w14:paraId="0D31F301" w14:textId="77777777" w:rsidR="009D4B5B" w:rsidRPr="00D03F3E" w:rsidRDefault="009D4B5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bdr w:val="none" w:sz="0" w:space="0" w:color="auto" w:frame="1"/>
          <w:shd w:val="clear" w:color="auto" w:fill="FBFCFC"/>
        </w:rPr>
        <w:t>М. КАЛИНИН</w:t>
      </w:r>
    </w:p>
    <w:p w14:paraId="50442F26" w14:textId="77777777" w:rsidR="009D4B5B" w:rsidRPr="00D03F3E" w:rsidRDefault="009D4B5B" w:rsidP="00D03F3E">
      <w:pPr>
        <w:spacing w:after="0" w:line="240" w:lineRule="auto"/>
        <w:jc w:val="both"/>
        <w:rPr>
          <w:rFonts w:ascii="Times New Roman" w:hAnsi="Times New Roman"/>
          <w:color w:val="000000" w:themeColor="text1"/>
          <w:sz w:val="16"/>
          <w:szCs w:val="16"/>
          <w:bdr w:val="none" w:sz="0" w:space="0" w:color="auto" w:frame="1"/>
          <w:shd w:val="clear" w:color="auto" w:fill="FBFCFC"/>
        </w:rPr>
      </w:pPr>
      <w:r w:rsidRPr="00D03F3E">
        <w:rPr>
          <w:rFonts w:ascii="Times New Roman" w:hAnsi="Times New Roman"/>
          <w:color w:val="000000" w:themeColor="text1"/>
          <w:sz w:val="16"/>
          <w:szCs w:val="16"/>
          <w:bdr w:val="none" w:sz="0" w:space="0" w:color="auto" w:frame="1"/>
          <w:shd w:val="clear" w:color="auto" w:fill="FBFCFC"/>
        </w:rPr>
        <w:t>Секретарь Президиума</w:t>
      </w:r>
    </w:p>
    <w:p w14:paraId="62D1B113" w14:textId="77777777" w:rsidR="009D4B5B" w:rsidRPr="00D03F3E" w:rsidRDefault="009D4B5B" w:rsidP="00D03F3E">
      <w:pPr>
        <w:spacing w:after="0" w:line="240" w:lineRule="auto"/>
        <w:jc w:val="both"/>
        <w:rPr>
          <w:rFonts w:ascii="Times New Roman" w:hAnsi="Times New Roman"/>
          <w:color w:val="000000" w:themeColor="text1"/>
          <w:sz w:val="16"/>
          <w:szCs w:val="16"/>
          <w:bdr w:val="none" w:sz="0" w:space="0" w:color="auto" w:frame="1"/>
          <w:shd w:val="clear" w:color="auto" w:fill="FBFCFC"/>
        </w:rPr>
      </w:pPr>
      <w:r w:rsidRPr="00D03F3E">
        <w:rPr>
          <w:rFonts w:ascii="Times New Roman" w:hAnsi="Times New Roman"/>
          <w:color w:val="000000" w:themeColor="text1"/>
          <w:sz w:val="16"/>
          <w:szCs w:val="16"/>
          <w:bdr w:val="none" w:sz="0" w:space="0" w:color="auto" w:frame="1"/>
          <w:shd w:val="clear" w:color="auto" w:fill="FBFCFC"/>
        </w:rPr>
        <w:t>Верховного Совета СССР</w:t>
      </w:r>
    </w:p>
    <w:p w14:paraId="218311CD" w14:textId="77777777" w:rsidR="009D4B5B" w:rsidRPr="00D03F3E" w:rsidRDefault="009D4B5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bdr w:val="none" w:sz="0" w:space="0" w:color="auto" w:frame="1"/>
          <w:shd w:val="clear" w:color="auto" w:fill="FBFCFC"/>
        </w:rPr>
        <w:t>А. ГОРКИН (19838).</w:t>
      </w:r>
    </w:p>
    <w:p w14:paraId="3C4EAE87" w14:textId="77777777" w:rsidR="009D4B5B" w:rsidRPr="00D03F3E" w:rsidRDefault="009D4B5B" w:rsidP="00D03F3E">
      <w:pPr>
        <w:spacing w:after="0" w:line="240" w:lineRule="auto"/>
        <w:jc w:val="both"/>
        <w:rPr>
          <w:rFonts w:ascii="Times New Roman" w:hAnsi="Times New Roman"/>
          <w:color w:val="000000" w:themeColor="text1"/>
          <w:sz w:val="16"/>
          <w:szCs w:val="16"/>
        </w:rPr>
      </w:pPr>
    </w:p>
    <w:p w14:paraId="318A4EB4" w14:textId="77777777" w:rsidR="009D4B5B" w:rsidRPr="00D03F3E" w:rsidRDefault="009D4B5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shd w:val="clear" w:color="auto" w:fill="FFFFFF"/>
        </w:rPr>
        <w:t>19 апреля 1943 года, когда в ходе Великой Отечественной войны наметился перелом, появился указ Президиума Верховного Совета </w:t>
      </w:r>
      <w:r w:rsidRPr="00D03F3E">
        <w:rPr>
          <w:rStyle w:val="resh-link"/>
          <w:rFonts w:ascii="Times New Roman" w:hAnsi="Times New Roman"/>
          <w:color w:val="000000" w:themeColor="text1"/>
          <w:sz w:val="16"/>
          <w:szCs w:val="16"/>
          <w:shd w:val="clear" w:color="auto" w:fill="FFFFFF"/>
        </w:rPr>
        <w:t>СССР</w:t>
      </w:r>
      <w:r w:rsidRPr="00D03F3E">
        <w:rPr>
          <w:rFonts w:ascii="Times New Roman" w:hAnsi="Times New Roman"/>
          <w:color w:val="000000" w:themeColor="text1"/>
          <w:sz w:val="16"/>
          <w:szCs w:val="16"/>
          <w:shd w:val="clear" w:color="auto" w:fill="FFFFFF"/>
        </w:rPr>
        <w:t> с длинным названием «О мерах наказания для немецко-фашистских злодеев, виновных в убийствах и истязаниях советского гражданского населения и пленных красноармейцев, для шпионов, изменников родины из числа советских граждан и для их пособников». Согласно указу «фашистские злодеи, уличенные в совершении убийств и истязаний гражданского населения и пленных красноармейцев, а также шпионы и изменники родины из числа советских граждан караются смертной казнью через повешение». И далее: «Приведение в исполнение приговоров производить публично, при народе, а тела повешенных оставлять на виселице в течение нескольких дней, чтобы все знали, как караются и какое возмездие постигнет всякого, кто совершает насилие и расправу над гражданским населением и кто предает свою родину» (19833).</w:t>
      </w:r>
    </w:p>
    <w:p w14:paraId="21FA2B2E" w14:textId="77777777" w:rsidR="009D4B5B" w:rsidRPr="00D03F3E" w:rsidRDefault="009D4B5B" w:rsidP="00D03F3E">
      <w:pPr>
        <w:spacing w:after="0" w:line="240" w:lineRule="auto"/>
        <w:jc w:val="both"/>
        <w:rPr>
          <w:rFonts w:ascii="Times New Roman" w:hAnsi="Times New Roman"/>
          <w:color w:val="000000" w:themeColor="text1"/>
          <w:sz w:val="16"/>
          <w:szCs w:val="16"/>
        </w:rPr>
      </w:pPr>
    </w:p>
    <w:p w14:paraId="15574AB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50DB3C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A747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года</w:t>
      </w:r>
    </w:p>
    <w:p w14:paraId="7D5C94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СТРОГО СЕКРЕТНОЕ ПОСЛАНИЕ ОТ ПРЕМЬЕР-МИНИСТРА г-на УИНСТОНА ЧЕРЧИЛЛЯ МАРШАЛУ И. В. СТАЛИНУ</w:t>
      </w:r>
    </w:p>
    <w:p w14:paraId="63B840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Испании до нас доходят слухи о намерении немцев применить газы на русском фронте, и я предполагаю, что Вы также располагаете некоторыми сведениями такого же рода. То же самое также имело место в прошлом году приблизительно в это же время. Сообщите мне, желаете ли Вы, чтобы я вновь повторил заявление, которое я сделал в прошлом году, о том, что на любое химическое нападение на Вашу страну мы немедленно ответим химическим нападением на Германию с воздуха в самых широких масштабах. Мы вполне способны выполнить любую угрозу, с которой мы выступили бы (7430).</w:t>
      </w:r>
    </w:p>
    <w:p w14:paraId="2E8383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4654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года</w:t>
      </w:r>
    </w:p>
    <w:p w14:paraId="531AD1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СЕКРЕТНОЕ ПОСЛАНИЕ ПРЕМЬЕРА И. В. СТАЛИНА ПРЕМЬЕР-МИНИСТРУ г-ну У. ЧЕРЧИЛЛЮ</w:t>
      </w:r>
    </w:p>
    <w:p w14:paraId="46DB42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Получил Ваше послание, в котором Вы просите моего согласия на передачу английским бомбардировочным эскадрильям моего приветствия по поводу бомбежки Эссена, Берлина и других промышленных центров Германии. Конечно, я не возражаю против Вашего предложения и предоставляю этот вопрос на Ваше усмотрение. Я рад, что Вы намерены продолжать бомбежки германских городов во все усиливающемся масштабе.</w:t>
      </w:r>
    </w:p>
    <w:p w14:paraId="64A03F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События в Тунисе развиваются, как видно, благоприятно. Желаю Вам полной победы.</w:t>
      </w:r>
    </w:p>
    <w:p w14:paraId="72A53C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Ваши сведения о намерениях немцев применить газы на нашем фронте подтверждаются также сведениями, поступающими к нам. Разумеется, я всецело поддерживаю Ваше предложение, чтобы Вы выступили с предупреждением Гитлеру и его союзникам и пригрозили бы им мощным химическим нападением в случае их газового нападения на нашем фронте. Советские войска в свою очередь подготовятся к отпору (7430).</w:t>
      </w:r>
    </w:p>
    <w:p w14:paraId="480085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FED21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08CEBD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49E9F0"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в 1943 году облетали второй прототип итальянского истребителя-перехватчика «MC.205N» «Orione N-2» (серийный номер М.М.500). Взамен пулеметов на нем монтировали две крыльевые пушки «MG-151», а мотор-пушку не устанавливали. На испытаниях самолеты «MC.205N» «Orione N-2» показали отличные летные характеристики, даже лучшие чем у «G.55» и «Re.2005», однако оказались значительно сложнее в управлении. Несмотря на отличные летные характеристики самолет не был принят на вооружение, так как к концу испытаний был уже заказан как основной перехватчик «Fiat» «G.55». Хотя в январе 1943 года и был выданы два контракта на строительство 1200 экземпляров самолета, но уже в марте они были были аннулированы (15104).</w:t>
      </w:r>
    </w:p>
    <w:p w14:paraId="74A08CBA" w14:textId="77777777" w:rsidR="00057C15" w:rsidRPr="00D03F3E" w:rsidRDefault="00057C15" w:rsidP="00D03F3E">
      <w:pPr>
        <w:spacing w:after="0" w:line="240" w:lineRule="auto"/>
        <w:jc w:val="both"/>
        <w:rPr>
          <w:rFonts w:ascii="Times New Roman" w:hAnsi="Times New Roman"/>
          <w:color w:val="000000" w:themeColor="text1"/>
          <w:sz w:val="16"/>
          <w:szCs w:val="16"/>
        </w:rPr>
      </w:pPr>
    </w:p>
    <w:p w14:paraId="4E43B52E"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в 1943 году первый полет в DFS (немецкий НИИ планеризма) на буксире за «Не-111» совершил самолет «Не - 280V7» (NU+EB). Испытания продолжались до ноября 1943 года. По непроверенным данным, после этого «Не 280V7» оснастили двумя «HeS8A». С ними он летал до февраля 1944 года, когда из-за отказа двигателя сел на вынужденную посадку и получил серьезные повреждения. После восстановления самолет получил гражданский код D-IEXM и снова без двигателей участвовал в сравнительных испытаниях с «Не 280V8» (NU+EC), который оснастили V-образным хвостовым оперением (15104).</w:t>
      </w:r>
    </w:p>
    <w:p w14:paraId="168A780F" w14:textId="77777777" w:rsidR="00057C15" w:rsidRPr="00D03F3E" w:rsidRDefault="00057C15" w:rsidP="00D03F3E">
      <w:pPr>
        <w:spacing w:after="0" w:line="240" w:lineRule="auto"/>
        <w:jc w:val="both"/>
        <w:rPr>
          <w:rFonts w:ascii="Times New Roman" w:hAnsi="Times New Roman"/>
          <w:color w:val="000000" w:themeColor="text1"/>
          <w:sz w:val="16"/>
          <w:szCs w:val="16"/>
        </w:rPr>
      </w:pPr>
    </w:p>
    <w:p w14:paraId="592CA2D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евреи варшавского гетто начали вооруженное восстание против нацистов (4962), части СС, вошедшие в еврейское гетто в Варшаве, для проведения депортации его жителей в лагеря смерти, наткнулись на вооружённое сопротивление. Началось восстание в Варшавском гетто , продолжавшееся 28 дней (4963 ).</w:t>
      </w:r>
    </w:p>
    <w:p w14:paraId="206F6E8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EF8D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April 19 1943 Waffen SS attacks Jewish resistance in Warsaw ghetto (1050).</w:t>
      </w:r>
    </w:p>
    <w:p w14:paraId="1A040A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373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1943 началось второе восстание в варшавском гетто и войска СС разгромили его (1050) и шло до 16 мая (3907,242).</w:t>
      </w:r>
    </w:p>
    <w:p w14:paraId="7324DD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50048D"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в 1943 году Альберт Хофманн (Albert Hofmann) преднамеренно впервые принял ЛСД. В этот день он преднамеренно принял 250 мкг ЛСД. Опасаясь, что заболел, он поехал из лаборатории домой на велосипеде. Во время поездки он ощутил эффекты ЛСД, сделав этот день датой первого в мире «кислотного трипа» (15104).</w:t>
      </w:r>
    </w:p>
    <w:p w14:paraId="60CB8098" w14:textId="77777777" w:rsidR="00057C15" w:rsidRPr="00D03F3E" w:rsidRDefault="00057C15" w:rsidP="00D03F3E">
      <w:pPr>
        <w:spacing w:after="0" w:line="240" w:lineRule="auto"/>
        <w:jc w:val="both"/>
        <w:rPr>
          <w:rFonts w:ascii="Times New Roman" w:hAnsi="Times New Roman"/>
          <w:color w:val="000000" w:themeColor="text1"/>
          <w:sz w:val="16"/>
          <w:szCs w:val="16"/>
        </w:rPr>
      </w:pPr>
    </w:p>
    <w:p w14:paraId="7A112C3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7FDA5A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DC366F" w14:textId="77777777" w:rsidR="00FD396D" w:rsidRPr="00D03F3E" w:rsidRDefault="00FD39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20 апреля 1943 сборка самолета Ил-2 М была закончена, и военная приемка ГУ ИАС ВВС на заводе № 18 приступила к осмотру машины. Предполагалось не позже 22 апреля «выкатить самолет из сборочного цеха и приступить к проведению предварительных заводских испытаний». Однако «начало заводских испытаний отодвинулось», так как в ходе приемки были выявлены дефекты сборки. Самолет пришлось поставить на доработку. К тому же главный конструктор самолета С. В. Ильюшин своевременно не подготовил и не выслал заводу программу предварительных заводских летных испытаний. Планировалось, что в ходе этих испытаний завод № 18 выявит эксплуатационные особенности и выполнит полную доводку винтомоторной группы и всех самолетных систем машины, после чего передаст самолет на завод № 240 для прохождения официальных заводских испытаний (17490).</w:t>
      </w:r>
    </w:p>
    <w:p w14:paraId="7921270C" w14:textId="77777777" w:rsidR="00FD396D" w:rsidRPr="00D03F3E" w:rsidRDefault="00FD396D" w:rsidP="00D03F3E">
      <w:pPr>
        <w:spacing w:after="0" w:line="240" w:lineRule="auto"/>
        <w:jc w:val="both"/>
        <w:rPr>
          <w:rFonts w:ascii="Times New Roman" w:hAnsi="Times New Roman"/>
          <w:color w:val="000000" w:themeColor="text1"/>
          <w:sz w:val="16"/>
          <w:szCs w:val="16"/>
        </w:rPr>
      </w:pPr>
    </w:p>
    <w:p w14:paraId="24EEF5EA" w14:textId="77777777" w:rsidR="00CE6618" w:rsidRPr="00D03F3E" w:rsidRDefault="00CE661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апреля 1943 вышло Постановление ГКО № 3212 Об обеспечении выпуска 37 мм выстрелов к пушке ОКБ-16.РГАНИР, Фонд ГКО, д. 107, лл. 64-70, 71-87 (11012).</w:t>
      </w:r>
    </w:p>
    <w:p w14:paraId="7E5CDE5B" w14:textId="77777777" w:rsidR="00CE6618" w:rsidRPr="00D03F3E" w:rsidRDefault="00CE661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E3F8C4" w14:textId="77777777" w:rsidR="00FD396D" w:rsidRPr="00D03F3E" w:rsidRDefault="00FD396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 20 апреля 1943 два эталонных самолета Пе-2 204-й бад, где проходили войсковые испытания самолеты Пе-2 со 2-й зоной НГ, оборудовали системой НГ-2 по улучшенным схемам: один - на заводе №22 и один - в 204-й бад. Самолеты прошли наземные испытания с удовлетворительной оценкой работы системы НГ-2. Затем начались испытания НГ-2 в воздухе. В ходе полетов удалось получить необходимую температуру выхлопных газов на входе в заполняемые отсеки, но обеспечить потребную концентрацию газов в отсеках не получалось.</w:t>
      </w:r>
    </w:p>
    <w:p w14:paraId="4FCB1EFD" w14:textId="77777777" w:rsidR="00FD396D" w:rsidRPr="00D03F3E" w:rsidRDefault="00FD396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общей сложности к 25 мая отработали и испытали семь различных вариантов 2-й зоны НГ для Пе-2. После обобщения результатов испытаний специалисты НИИ ВВС отобрали два варианта, которые рекомендовались «как временные для оборудования ими самолетов Пе-2, находящихся в войсковых частях». Одновременно было принято решение «впредь до отработки удовлетворительной серийной системы 2-й зоны НГ для самолета Пе-2» приостановить разработку аналогичных систем такого назначения для самолетов других типов (17733).</w:t>
      </w:r>
    </w:p>
    <w:p w14:paraId="3E70BB0F" w14:textId="77777777" w:rsidR="00FD396D" w:rsidRPr="00D03F3E" w:rsidRDefault="00FD396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5C4FE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20 апреля с 1 апреля 1943 в ОКБ А.С.Я. было сделано пять Як-9 М-105ПД. это были обычные серийные Як-9Д с новым двигателем и одной пушкой ШВАК (65,122).</w:t>
      </w:r>
    </w:p>
    <w:p w14:paraId="716621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1AEB30"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апреля в 1943 году изготовлен первый истребитель-перехватчик «Як-9ПД», ОКБ Яковлева. В конструктивном отношении это были обычные серийные «Як-9ПД», отличающиеся только двигателем и вооружением, а также некоторыми мелкими изменениями (частично переделана передняя ферма фюзеляжа, моторама и др.). Вооружение «Як-9ПД» состояло из одной мотор-пушки ШВАК с боезапасом 120 снарядов (15105).</w:t>
      </w:r>
    </w:p>
    <w:p w14:paraId="01BD7AC4" w14:textId="77777777" w:rsidR="00057C15" w:rsidRPr="00D03F3E" w:rsidRDefault="00057C15" w:rsidP="00D03F3E">
      <w:pPr>
        <w:spacing w:after="0" w:line="240" w:lineRule="auto"/>
        <w:jc w:val="both"/>
        <w:rPr>
          <w:rFonts w:ascii="Times New Roman" w:hAnsi="Times New Roman"/>
          <w:color w:val="000000" w:themeColor="text1"/>
          <w:sz w:val="16"/>
          <w:szCs w:val="16"/>
        </w:rPr>
      </w:pPr>
    </w:p>
    <w:p w14:paraId="542FAC8C" w14:textId="77777777" w:rsidR="00CE6618" w:rsidRPr="00D03F3E" w:rsidRDefault="00CE661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20 апреля 1943 г. в НИИ ВВС провели конференцию летчиков, освоивших пилотирование немецкого истребителя </w:t>
      </w:r>
      <w:r w:rsidRPr="00D03F3E">
        <w:rPr>
          <w:rFonts w:ascii="Times New Roman" w:hAnsi="Times New Roman"/>
          <w:color w:val="0070C0"/>
          <w:sz w:val="16"/>
          <w:szCs w:val="16"/>
          <w:lang w:val="en-US"/>
        </w:rPr>
        <w:t>Bf</w:t>
      </w:r>
      <w:r w:rsidRPr="00D03F3E">
        <w:rPr>
          <w:rFonts w:ascii="Times New Roman" w:hAnsi="Times New Roman"/>
          <w:color w:val="0070C0"/>
          <w:sz w:val="16"/>
          <w:szCs w:val="16"/>
        </w:rPr>
        <w:t xml:space="preserve"> 109. На ней обменивались опытом, оценивали достоинства и недостатки машины, давали рекомендации по ведению воздушного боя с «мессершмиттом». Отремонтированные трофейные машины использовались в советских ВВС для ознакомления летчиков с основным противником. Они имелись, например, в 9-м, 31-м, 42-м и 54-м гвардейских истребительных полках (23186).</w:t>
      </w:r>
    </w:p>
    <w:p w14:paraId="43FB52F2" w14:textId="77777777" w:rsidR="00CE6618" w:rsidRPr="00D03F3E" w:rsidRDefault="00CE6618" w:rsidP="00D03F3E">
      <w:pPr>
        <w:spacing w:after="0" w:line="240" w:lineRule="auto"/>
        <w:jc w:val="both"/>
        <w:rPr>
          <w:rFonts w:ascii="Times New Roman" w:hAnsi="Times New Roman"/>
          <w:color w:val="0070C0"/>
          <w:sz w:val="16"/>
          <w:szCs w:val="16"/>
        </w:rPr>
      </w:pPr>
    </w:p>
    <w:p w14:paraId="0A48347E"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0F1281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F8CF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апреля 1943 г. была подготовлена ДОКЛАДНАЯ ЗАПИСКА НАЧАЛЬНИКА ГАВТУ КА ЗАМЕСТИТЕЛЮ НАРКОМА ОБОРОНЫ СССР Е.А. ЩАДЕНКО ОБ ИСПОЛЬЗОВАНИИ ТЯГАЧА ВИЛЛИС №1181618</w:t>
      </w:r>
    </w:p>
    <w:p w14:paraId="0B4EAC5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Вашим распоряжением от 14 апреля за № Орг/2/133558 разрешено положенные трактора для перевозки 76-мм пушек УСВ-ЗИС-3 заменить тягачами Виллис.</w:t>
      </w:r>
    </w:p>
    <w:p w14:paraId="64356FB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Докладываю, что тягач Виллис рассчитан на тягу 45-мм пушки и использование его как тягача 76-мм пушки вызывает перегрузку машины и выводит ее преждевременно из строя — вместо поло</w:t>
      </w:r>
      <w:r w:rsidRPr="00D03F3E">
        <w:rPr>
          <w:rFonts w:ascii="Times New Roman" w:hAnsi="Times New Roman"/>
          <w:color w:val="000000" w:themeColor="text1"/>
          <w:sz w:val="16"/>
          <w:szCs w:val="16"/>
        </w:rPr>
        <w:softHyphen/>
        <w:t>женных межремонтных сроков 60 000 километров до капитального ремонта при перегрузке машина Виллис выбывает через 3000 — 4000 километров.</w:t>
      </w:r>
    </w:p>
    <w:p w14:paraId="710CE7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Вашего распоряжения отменить использование тягача Виллис для 76-мм пушки.</w:t>
      </w:r>
    </w:p>
    <w:p w14:paraId="17256F2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Главного автомобильного управления Красной Армии</w:t>
      </w:r>
    </w:p>
    <w:p w14:paraId="1225F05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генерал-лейтенант Белокосков</w:t>
      </w:r>
    </w:p>
    <w:p w14:paraId="548193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11584. Д. 12. Л. 139. Копия (11403).</w:t>
      </w:r>
    </w:p>
    <w:p w14:paraId="09F4CB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77BA15" w14:textId="77777777" w:rsidR="00CE6618" w:rsidRPr="00D03F3E" w:rsidRDefault="00CE6618"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К 20 апреля 1943 года документация ЦАКБ по С-37 поступила на завод №92 и вызвала недоумение. Дело в том, что при разработке системы С-37 в ЦАКБ не учли изменений и улучшений по ЗИС-3. В результате у орудия отсутствовала бронировка накатника, введенная в 1942 году. Имелись недочеты по орудийному щиту, а также в ночной подсветке прицела. В результате документацию по С-37 на заводе №92 забраковали и отправили обратно в ЦАКБ (21143).</w:t>
      </w:r>
    </w:p>
    <w:p w14:paraId="202A8F39" w14:textId="77777777" w:rsidR="00CE6618" w:rsidRPr="00D03F3E" w:rsidRDefault="00CE6618" w:rsidP="00D03F3E">
      <w:pPr>
        <w:shd w:val="clear" w:color="auto" w:fill="FFFFFF"/>
        <w:spacing w:after="0" w:line="240" w:lineRule="auto"/>
        <w:jc w:val="both"/>
        <w:rPr>
          <w:rFonts w:ascii="Times New Roman" w:eastAsia="Times New Roman" w:hAnsi="Times New Roman"/>
          <w:color w:val="0070C0"/>
          <w:sz w:val="16"/>
          <w:szCs w:val="16"/>
          <w:lang w:eastAsia="ru-RU"/>
        </w:rPr>
      </w:pPr>
    </w:p>
    <w:p w14:paraId="0F346CA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апреля 1943 года вышел приказ № 189/223с Наркомата тяжелого машиностроения и НКТП</w:t>
      </w:r>
    </w:p>
    <w:p w14:paraId="693A017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постановления ГКО от 12 апреля 1943 года за № ГОКО-3165-сс об увеличении выпуска запчастей для танков и дизелей:</w:t>
      </w:r>
    </w:p>
    <w:p w14:paraId="7157EDA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Передать в систему НКТП из системы Наркомтяжмаша следующие заводы:</w:t>
      </w:r>
    </w:p>
    <w:p w14:paraId="5545FAC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им. Ленина в Ижевске</w:t>
      </w:r>
    </w:p>
    <w:p w14:paraId="78B3C5D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“Коммунист” в Марксе с его филиалом в Энгельсе (6133, 214).</w:t>
      </w:r>
    </w:p>
    <w:p w14:paraId="23BABA5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8BED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апреля 1943 вышло Постановление ГКО № 3213 О мероприятиях по частичному восстановлению Грозненской нефтяной промышленности.РГАНИР, Фонд ГКО, д. 107, лл. 88-93, 94-104 (11012).*</w:t>
      </w:r>
    </w:p>
    <w:p w14:paraId="0C1C99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2CBE71" w14:textId="77777777" w:rsidR="00057C1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апреля 1943 вышло Постановление ГКО № 3214 Об улучшении кучности реактивных снарядов.РГАНИР, Фонд ГКО, д. 107, лл. 105 (11012).</w:t>
      </w:r>
    </w:p>
    <w:p w14:paraId="0F92DB42" w14:textId="77777777" w:rsidR="00057C15" w:rsidRPr="00D03F3E" w:rsidRDefault="00057C1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F21D2A" w14:textId="77777777" w:rsidR="002E357C" w:rsidRPr="00D03F3E"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апреля 1943 г. ГОСУДАРСТВЕННЫЙ КОМИТЕТ ОБОРОНЫ ПОСТАНОВЛЕНИЕ № ГКО-3214сс</w:t>
      </w:r>
    </w:p>
    <w:p w14:paraId="565591D9" w14:textId="77777777" w:rsidR="002E357C" w:rsidRPr="00D03F3E"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 Кремль</w:t>
      </w:r>
    </w:p>
    <w:p w14:paraId="2BC91783" w14:textId="77777777" w:rsidR="002E357C" w:rsidRPr="00D03F3E"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 улучшении кучности реактивных снарядов</w:t>
      </w:r>
    </w:p>
    <w:p w14:paraId="5C97C2B9"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 В целях уменьшения рассеивания снарядов М-13 и М-20, обязать НКБ (т. Ванникова) и НКО (т. Аборенкова) к 10 мая 1943 г. провести следующую работу: </w:t>
      </w:r>
    </w:p>
    <w:p w14:paraId="45160DA5"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обеспечить подгонку по весу снаряхенного снаряда, установив отклонения по весу в пределах не более +/- 0.5%; </w:t>
      </w:r>
    </w:p>
    <w:p w14:paraId="7A1655FE"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б) обеспечить точную подгонку порохового заряда по весу, установив отклонения зарядов по весу в пределах не более +/- 10 гр.; </w:t>
      </w:r>
    </w:p>
    <w:p w14:paraId="45EDF66C"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усилить контроль за качеством приварки стабилизаторов и параллельностью оперения относительно оси снаряда; </w:t>
      </w:r>
    </w:p>
    <w:p w14:paraId="55135E88"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 закончить работы по улучшению конструкции сопла. </w:t>
      </w:r>
    </w:p>
    <w:p w14:paraId="631E6451"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 Обязать НКО (т. Аборенкова) и НКБ (т. Ванникова) провести до 15 мая 1943 г. испытания снарядов М-13 и М-20 с улучшенной кучностью и представить в ГОКО предложения о выпуске снарядов М-13 и М-20 с улучшенной кучностью, считая при этом желательным добиться улучшения кучности до следующих показателей: </w:t>
      </w:r>
    </w:p>
    <w:p w14:paraId="1FFB5A42"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рассеивания по дальности на предельной дистанции стрельбы (Вбх) до 1/100 дистанции стрельбы, вместо существующего рассеивания - 1/80; </w:t>
      </w:r>
    </w:p>
    <w:p w14:paraId="08C25FDC" w14:textId="77777777" w:rsidR="002E357C" w:rsidRPr="00D03F3E"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рассеивания по ширине на предельной дистанции стрельбы (Вдх) до 1/60 дистанции стрельбы, вместо существующего рассеивания - 1/42.</w:t>
      </w:r>
    </w:p>
    <w:p w14:paraId="23E43225" w14:textId="77777777" w:rsidR="002E357C" w:rsidRPr="00D03F3E"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ГОСУДАРСТВЕННОГО КОМИТЕТА ОБОРОНЫ И. СТАЛИН</w:t>
      </w:r>
    </w:p>
    <w:p w14:paraId="04648A44"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Выписки посланы: </w:t>
      </w:r>
    </w:p>
    <w:p w14:paraId="2018F77F" w14:textId="77777777" w:rsidR="002E357C" w:rsidRPr="00D03F3E"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т.т. Маленкову, Воронову, Ванникову, Аборенкову, Яковлеву, Гайдукову, Жукову, Костикову (12657).</w:t>
      </w:r>
    </w:p>
    <w:p w14:paraId="78DB7DBA" w14:textId="77777777" w:rsidR="002E357C" w:rsidRPr="00D03F3E"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734A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апреля 1943 Адмиралтейцы выполнили ремонт и провели контрольный выход ПЛ К-52. В эти же дни сданы после ремонта четыре БК и три ТК. В связи с нехваткой электроэнергии и частыми артобстрелами задерживались работы на постройке ТЩ пр. 53-У. Балтийцы отремонтировали 3 ПЛ и 11 барж на Ладоге, подняли пар на эсминце "Сторожевой". Ленинградские катеростроители закончили проект МО, по которому в одном корпусе можно строить МО или ТК при одинаковом типе механизмов (10671).</w:t>
      </w:r>
    </w:p>
    <w:p w14:paraId="3CFAE2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DCD7C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564FA5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9934BE"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апреля в 1943 году утреннее сообщение Совинформбюро:</w:t>
      </w:r>
    </w:p>
    <w:p w14:paraId="3889337E"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20 апреля на фронтах существенных изменений не произошло.</w:t>
      </w:r>
    </w:p>
    <w:p w14:paraId="028933C8"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полк пехоты противника, усиленный танками, ночью атаковал позицииН-ского гвардейского подразделения. Немцам, обладавшим на этом участке численным превосходством, удалось вклиниться в наши боевые порядки. Решительной контратакой гвардейцы смяли гитлеровцев и вынудили их отступить. Ружейно-пулемётным огнём и в рукопашных схватках истреблено до 400 немецкихсолдат и офицеров и подбито 4 танка противника.</w:t>
      </w:r>
    </w:p>
    <w:p w14:paraId="64942C50"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отряд немецких солдат пытался приблизиться к нашим позициям. Ружейно-пулемётным огнём гитлеровцы были рассеяны и частью уничтожены.Группа снайперов Н-ского подразделения истребила 38 немецких солдат и офицеров. Старший сержант Карамирза Джаватханов за десять дней уничтожил 17 немцев.</w:t>
      </w:r>
    </w:p>
    <w:p w14:paraId="2374DCCC"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противник пытался вклиниться в нашу оборону. Советские бойцы огнём из всех видов оружия нанесли немцам большой урон и вынудили их отступить. На поле боя осталось до 100 трупов гитлеровцев.</w:t>
      </w:r>
    </w:p>
    <w:p w14:paraId="55473F85"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наши части вели огневой бой. На одном участке огнём нашей артиллерии уничтожены 2 артиллерийские батареи противника и до роты немецкой пехоты. Снайперы подразделения, где командиром капитан Добровольский, за последние дни истребили 80 гитлеровцев.</w:t>
      </w:r>
    </w:p>
    <w:p w14:paraId="295CC11C"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немецких самолётов пыталась совершить налёт на один наш объект. Огнём зенитной артиллерии самолёты противника были рассеяны и беспорядочно сбросили бомбы, не достигнув цели. Зенитчики подразделений, где командирами майор Опахов и капитан Иващенко, сбили 5 немецких самолётов.</w:t>
      </w:r>
    </w:p>
    <w:p w14:paraId="6669294F"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имени Щорса, действующий в одном из районов Украины, из засады обстрелял колонну немецкой пехоты. Ружейно-пулемётным огнём советские патриоты уничтожили 60 вражеских солдат и офицеров. Партизаны другого отряда 10 апреля заминировали железнодорожное полотно. В результате взрыва мин произошло крушение проходившего по этому пути поезда противника.</w:t>
      </w:r>
    </w:p>
    <w:p w14:paraId="6B62A93E"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Пленные солдаты немецкой армии, поляки по национальности, сообщают, что гитлеровские изверги истребляют польское население. Пленный солдат 336 полка 161 немецкой пехотной дивизии Роман Сабатинский заявил: «Немцы расстреляли многих жителей города Бродницы (Поморье). Они казнили бургомистра Блокуза, общественного деятеля Березовского и других представителей интеллигенции. Директора гимназии и многих учителей немцы замучили в концентрационном лагере. Мой товарищ, с которым я встретился на фронте, рассказал о кровавых событиях, разыгравшихся в его родных местах. В деревне Касперы после уборки урожая кто-то поджёг постройки немецкого колониста. Прибывший отряд эсэсовцев арестовал ксендза Фельхнеровского и 10 крестьян и расстрелял их на глазах у всей деревни. Поляки, насильно мобилизованные в немецкую армию, получают с родины безрадостные письма. Чуть ли не в каждом письме сообщают о родных и земляках, расстрелянных гестаповцами, либо сгнивших в немецких концентрационных лагерях, или замученных на каторге в Германии».</w:t>
      </w:r>
    </w:p>
    <w:p w14:paraId="43039ECB"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Получено сообщение о новых чудовищных преступлениях немецко-фашистских мерзавцев. Недавно близ деревни Виски, Витебской области, был найден убитый немецкий солдат. Гитлеровцы сровняли деревню с землёй и убили всех 256 жителей этой деревни, в числе которых было много женщин и детей.» (15105).</w:t>
      </w:r>
    </w:p>
    <w:p w14:paraId="7CEFA18B" w14:textId="77777777" w:rsidR="00057C15" w:rsidRPr="00D03F3E" w:rsidRDefault="00057C15" w:rsidP="00D03F3E">
      <w:pPr>
        <w:spacing w:after="0" w:line="240" w:lineRule="auto"/>
        <w:jc w:val="both"/>
        <w:rPr>
          <w:rFonts w:ascii="Times New Roman" w:hAnsi="Times New Roman"/>
          <w:color w:val="000000" w:themeColor="text1"/>
          <w:sz w:val="16"/>
          <w:szCs w:val="16"/>
        </w:rPr>
      </w:pPr>
    </w:p>
    <w:p w14:paraId="10153C7F"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апреля в 1943 году вечернее сообщение Совинформбюро:</w:t>
      </w:r>
    </w:p>
    <w:p w14:paraId="19BE964D"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20 апреля на фронтах существенных изменений не произошло.</w:t>
      </w:r>
    </w:p>
    <w:p w14:paraId="3F98CA5C"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корабли в Баренцевом море потопили два транспорта противника.</w:t>
      </w:r>
    </w:p>
    <w:p w14:paraId="639802B6"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части Н-ского соединения продолжали отбивать ожесточённые атаки противника. Немецкой пехоте, действующей при поддержке танков и крупных сил авиации, несмотря на неоднократные попытки, не удалось ни на одном участке прорвать нашу оборону. Все атаки гитлеровцев отбиты с большими для них потерями: В течение дня огнём зенитной артиллерии и из пехотного оружия сбито 12 немецких самолётов. Кроме того, нашей авиацией уничтожено 11 самолётов на аэродроме противника.</w:t>
      </w:r>
    </w:p>
    <w:p w14:paraId="59ACF168"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происходила редкая перестрелка. Наши части артиллерийско-миномётным и ружейно-пулемётным огнём уничтожили до 100 немецких солдат и офицеров, подавили огонь артиллерийской и двух миномётных батарей противника. Снайпер старшина Константин Бондаренко со своим учеником красноармейцем Александром Логиновым устроил засаду. Вскоре бойцы заметили и уничтожили четырёх гитлеровцев. Обнаружив наших снайперов, противник открыл сильный пулемётный огонь. Две группы немецких солдат начали обходить и окружать снайперов. Бондаренко и Логинов вступили в неравный бой и метким огнём истребили 17 гитлеровцев.</w:t>
      </w:r>
    </w:p>
    <w:p w14:paraId="5AB61532"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Калининском фронте подразделение, где командиром тов. Чернов, внезапно атаковало сильно укреплённые позиции противника. Сломив сопротивление немцев, наши бойцы овладели господствующей над местностью высотой. Шесть раз противник переходил в контратаки, стремясь вернуть утраченные позиции, но неизменно откатывался назад. Перед высотой гитлеровцы оставили до 400 трупов своих солдат и офицеров.</w:t>
      </w:r>
    </w:p>
    <w:p w14:paraId="16580704"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артиллеристы Н-ской части уничтожили немецкий дзот, наблюдательный пункт, 2 огневые точки и автомашину с боеприпасами. На другом участке наши миномётчики обстреляли скопление противника и истребили до роты немецкой пехоты.</w:t>
      </w:r>
    </w:p>
    <w:p w14:paraId="4A11F4DA"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Немцы снарядили крупную карательную экспедицию против действующего на Украине партизанского отряда имени Богдана Хмельницкого. Группа партизан вступила в бой с противником и отвлекла на себя основные его силы. В это время две другие группы партизан атаковали гитлеровцев с флангов. Потеряв 50 человек убитыми и 70 ранеными, противник начал отходить. Преследуя по пятам отступающего врага, партизаны ворвались в районный центр, уничтожили немецкий гарнизон и разгромили 4 склада с военным снаряжением и продовольствием. Много зерна и продуктов роздано населению.</w:t>
      </w:r>
    </w:p>
    <w:p w14:paraId="2DEB2537"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станице Красноармейской, Краснодарского края: «Немецкие палачи замучили и расстреляли десятки ни в чём не повинных станичников. Ежедневно немцы врывались в жилища и уводили с собой мирных граждан. Люди бесследно исчезали. После освобождения Красноармейской от гитлеровцев 1 апреля на окраине станицы были обнаружены три ямы, залитые водой. В ямах оказалось 57 трупов станичников, замученных гитлеровцами. Нашим глазам представилось ужасное зрелище. Перед казнью немецкие убийцы подвергли советских граждан страшным пыткам. Врачу Надежде Ладыгиной изверги переломали рёбра, затем расстреляли её. Фашистские звери замучили и десятимесячную дочь Ладыгиной. Всё тело ребёнка в кровоподтеках. Убит инвалид Отечественной войны колхозник Ефим Курлов, колхозник Григорий Нечаев, у которого три сына служат в Красной Армии. От рук фашистских головорезов погибли Иван Абрамов и его жена Анна Прокофьевна, медицинская сестра районной больницы Мария Орлова, колхозник Тихон Любушкин и другие. Немцы уничтожили, разрушили и осквернили всё, что связано с культурой и новым бытом казачьей станицы. Немецкие солдаты сожгли пять средних школ, здания начальных школ. Фашистские дикари сожгли библиотеку сельскохозяйственного техникума, районную больницу со всем её оборудованием и инструментами, Дом культуры и десятки жилых домов. Мы просим бойцов Красной Армии отомстить подлым фашистским бандитам за кровь замученных советских людей, за страшные предсмертные муки стариков, женщин и детей, за чудовищные разрушения, совершённые гитлеровскими выродками на нашей советской земле». Акт подписали по поручению жителей станицы: П.Кущевский, П.Буримов, директор средней школы М.Сытник, библиотекарь О.Чеканова, учительница М.Курлова, отец Героя Советского Союза капитана Николая Дудина колхозник Максим Дудин и колхозница Дерновская.» (15105).</w:t>
      </w:r>
    </w:p>
    <w:p w14:paraId="30FF768A" w14:textId="77777777" w:rsidR="00057C15" w:rsidRPr="00D03F3E" w:rsidRDefault="00057C15" w:rsidP="00D03F3E">
      <w:pPr>
        <w:spacing w:after="0" w:line="240" w:lineRule="auto"/>
        <w:jc w:val="both"/>
        <w:rPr>
          <w:rFonts w:ascii="Times New Roman" w:hAnsi="Times New Roman"/>
          <w:color w:val="000000" w:themeColor="text1"/>
          <w:sz w:val="16"/>
          <w:szCs w:val="16"/>
        </w:rPr>
      </w:pPr>
    </w:p>
    <w:p w14:paraId="537351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20 апреля 1943 в ВВС С-КФ из резерва Ставки добавили 2 бак (г В.А.Ушаков, 3-1 иак (к Е.Я.Савицкий, 2-й сак (г И.Т.Еременко) и 282 иад (п С.П.Данилов). От АДД было 50 ад (п С.С.Лебедев) и прибыла 62 ад (Г.Н.Тупиков). Довели группировку до 900 самолетов, в т.ч. 800 фронтовой авиации : 270 и, 170 ш, 165 дневных бомбардировщиков и 195 ночных). 11% - ленд-лизовские (340,117).</w:t>
      </w:r>
    </w:p>
    <w:p w14:paraId="0A0B16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6886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апреля 1943 Г.К.Ж. и ма А.А.Н. был утвержден План авиационного наступления ВВС С-КФ с приданной авиацией резерва Ставки по разгрому группировки противника на Таманском полуострове. Планом предусматривалось:</w:t>
      </w:r>
    </w:p>
    <w:p w14:paraId="52F23A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завоевание господства в воздухе;</w:t>
      </w:r>
    </w:p>
    <w:p w14:paraId="31AC12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бомбардировочными и штурмовыми ударами уничтожать живую силу и артиллерию противника, способствуя упорной обороне наших десантных частей юго-западнее Новороссийска и наступлению войск 56 армии</w:t>
      </w:r>
    </w:p>
    <w:p w14:paraId="3144DF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вести разведку в интересах войск и авиации фронта (340,118).</w:t>
      </w:r>
    </w:p>
    <w:p w14:paraId="3A2E63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 ВВС СК-Ф взяли 733, от ВВС ЧФ - 79, от ВВС ЮФ -36, от АДД - 200, всего 1048 (580 б, 170 ш, 370 и) + часть авиации Ю-ЗФ (340,118).</w:t>
      </w:r>
    </w:p>
    <w:p w14:paraId="20A7F9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Много внимания уделили взаимодействию. Часть и 5ВА подчинили ВВС ЧФ, у станицы Абнинской совместно с п командования фронта развернули вспомогательный п/у ВВС и продвинули п/у 4ВА и 5ВА. Для управления и развернули 5 радиостанций (340,118).</w:t>
      </w:r>
    </w:p>
    <w:p w14:paraId="6727EF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10E9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20 по 28 апреля 1943 8 ВА и флотские ВВС атаковали 18 аэродромов и за 1100 вылетов уничтожили 260 машин (340,129). Немцы готовили в этот день наступление и 60 бомбардировщиков и 30 истребителей нанесли упреждающий удар, а потом снова удар группой из 100 машин (2390,2).</w:t>
      </w:r>
    </w:p>
    <w:p w14:paraId="5DD98E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3483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апреля 1943 адмирал В.Ф. Трибуц дал новые указания, на этот раз уже непосредственно касающиеся действий авиации по обеспечению выхода подлодок в море. Минно-торпедной авиации ставились задачи нанесения ударов по вражеским противолодочным дозорам и уничтожения минных полей. Последнее планировалось достигнуть ковровыми бомбардировками. Наверное, в штабах понимали малую эффективность подобных действий, но никаких эффективных средств борьбы ни с минной опасностью, ни с минно-заградительными силами противника флот не имел. С 23 апреля по 7 мая 1-й гмтап совместно с МБРами 58-й отдельной эскадрильи произвел 120 самолето-вылетов на бомбардировку акватории в районе острова Гогланд, сбросил 646 бомб, после чего наблюдалось "до 40 сильных взрывов - предположительно мин". Только Ил-4 в апреле и мае затратили на выполнение этой задачи 38 само- лето-вылетов, сбросив 256 ФАБ-100 и 209 ПЛАБ-100. Стоит отметить, что. даже если отбросить несколько тысяч мин, выставленных на гогландском рубеже еще в кампанию 1942 г., только между 10 апреля и 15 мая 1943 г. немцы и финны выставили здесь же еще 2651 мину. Впрочем, по имеемым к настоящему времени данным, все три выходившие подводные лодки смогли форсировать гогландский рубеж, но попытка продвинуться дальше на запад стала для двух из них роковой. Противник потопил "Щ-408" и "Щ-406" и только благодаря необычайному везению "Щ-303" капитана 3 ранга Ивана Травкина удалось вернуться назад. От него-то командование впервые и узнало о существовании противолодочной сети, перегораживающей залив. Лишь 6 июня эти данные были подтверждены аэрофотосъемкой. Для 1-го авиаполка полеты на бомбардировку минных заграждений оказались не только бесполезной тратой времени и сил, но и косвенной причиной негативных кадровых перестановок. Дело в том, что в ночь на 2 мая при снятии с "ильюшина" неиспользованной бомбы ПЛАБ-100 произошла катастрофа. Сильный взрыв убил не только нарушившего инструкции техника, но и нанес повреждения пяти Ил-4. Два из них сгорели полностью. С формулировкой "за невыполнение приказа командования" были преданы суду командир полка Челноков, инженер Морозов и инженер по вооружению Лебедев. Звезда Героя спасла Челнокова, но с командованием полком ему пришлось расстаться. Последовал перевод в ВВС Черноморского флота на должность помощника командира 8-го гвардейского штурмового авиаполка. Однако судьба обошлась благосклонно с талантливым летчиком В январе 1944 г. он вновь дослужился до должности командира полка, в августе стал командиром 9-й штурмовой авиадивизии ВВС КБФ и в том же месяце был удостоен второй Золотой Звезды (12002).</w:t>
      </w:r>
    </w:p>
    <w:p w14:paraId="3FAE55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01D5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20 апреля 1943, согласно дневниковых записей Валентина Ивановича Аккуратова (летал на АНТ-42 “дублер”) за 1943 год, бомбили военные объекты и скопления войск в Тильзите. Море огня, взрывы эшелонов с боеприпасами, огненные трассы зенитных автоматов, ослепительные лучи прожекторов - все это напоминает описание ада у Данте. Все самолеты вернулись на базы. </w:t>
      </w:r>
    </w:p>
    <w:p w14:paraId="4776B9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Продолжаем уничтожать военные объекты в Восточной Пруссии. Сегодня бомбили Инстербург. Налет был массированным, кроме нашей дивизии, нель обрабатывало около 200 средних бомбардировщиков. От многочисленных пожаров внизу стало светло, как днем, - отчетливо просматривалась станция с пылающими эшелонами, улицы, заводы. Запах гари проникал даже в самолет... На базу не вернулся один бомбардировщик.</w:t>
      </w:r>
    </w:p>
    <w:p w14:paraId="30B3AC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Сегодня опять ходили на Кенигсберг. Наш самолет, по прозвищу "Борода", хоть и не серийный, но быстроходнее и легче остальных, пришел на 20 мин раньше товарищей, чтобы обнаружить цель и развесить над нею осветительные бомбы на парашютах.</w:t>
      </w:r>
    </w:p>
    <w:p w14:paraId="77DEAC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После налета на Кенигсберг были атакованы группой истребителей. Отстреливаясь, ушли в облака, куда они сунуться не рискнули, видимо, опасаясь столкнуться друг с другом. Уже на подходе к линии фронта, снижаясь в облаках, неожиданно напоролись на сильный заградительный огонь. Вырвались, резко меняя курсы и высоту, но все же получили несколько осколочных пробоин. Обидно за книгу - эпос "Калевала", которую урывками читал на обратном пути, - осколки снаряда пробили ее в нескольких местах, а один, пронзив том, содрал у меня кожу со лба и расцарапал шлемофон (эту книгу, списанную из дивизионной библиотеки, я храню по сей день - как- никак. но она спасла мне жизнь).</w:t>
      </w:r>
    </w:p>
    <w:p w14:paraId="348C8D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Ходили на Брест - там разведка обнаружила скопление танков и тяжелой артиллерии. Очевидно, фрицы не ожидали появления здесь нашей дальней авиации - зенитки и прожекторы бездействовали. После массированного налета эшелоны превратились в месиво огня и дыма, которое мы, уходя, видели за 120-140 км.</w:t>
      </w:r>
    </w:p>
    <w:p w14:paraId="0F27FF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5, 10, 12 мая. Все ночи напролет громим эшелоны на железнодорожных узлах. Не нужно быть стратегом, чтобы по расположению целей понять, что готовится очередное грандиозное наступление. И тщетно фашисты пытаются замаскировать свою технику - мы находим ее в любых условиях.</w:t>
      </w:r>
    </w:p>
    <w:p w14:paraId="0C70AE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секрет прост - противник сам наводил нас на цели. Однажды в ясную, но безлунную ночь, идя над вражеской территорией, мы заметили на черном бархате затаившейся земли вспыхивающие огни. Присмотревшись, поняли, что вспышки соответствуют знакам азбуки Морзе. То были свето- маяки, установленные у крупных населенных пунктов и у естественных ориентиров. Каждый маяк давал вспышки из двух определенных букв, которые менялись раз в десять дней. Перенеся эти данные на карту, наши штурманы быстро и точно выводили свои корабли на заданную цель. Помогали нам чужие огни и при возвращении, особенно на подбитой машине, когда штурманы </w:t>
      </w:r>
    </w:p>
    <w:p w14:paraId="59DAAC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каждым боевым вылетом росло наше мастерство и понимание тактики врага. К примеру, если год назад мы с опаской думали о том, как бы не встретить над целью аэростаты заграждения, то теперь, отбомбившись, искали их, чтобы сжечь огнем тяжелых пулеметов. Ведь эти аэростаты представляли для нас серьезную угрозу, - обычно спаренные, они поднимали стальной трос на 6 тыс. м. Невидимые в ночи, да еше увешанные электромагнитными дистанционными минами, они были для нас куда опаснее зенитной артиллерии: Вот почему наши стрелки столь беспощадно разделывались с их серебристыми тушами.</w:t>
      </w:r>
    </w:p>
    <w:p w14:paraId="3521AB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успехе боевого вылета огромную роль играло знание штурманами фактической погоды над территорией врага. В частности, необходимо было иметь представление о нижней границе облачности над целью. Однако карты, которые мы получали от синоптиков, были прогностическими, расчетными. До войны было иначе - сводки погоды поступали к синоптикам со всей Европы, и их прогнозы были более или менее точными. С войной поступление такой информации прекратилось. А положение усугублялось тем, что погода над оккупированной нацистами Европой формировалась под воздействием воздушных масс, движущихся с запада и северо-запада (со стороны Бельгии, Голландии и Норвегии, захваченных гитлеровцами еще в 1940 году). Поэтому доразведку погоды пришлось возложить на экипаж самолета-осветителя. Выйдя на цель за полчаса до появления основной массы бомбардировщиков, он передавал на базу сводку, а та сообщала ее штурманам машин, идущих на цель с интервалом в 5-Ю мин. Выпускать разведчика раньше было нежелательно, так как в этом случае терялся фактор внезапности и противник успевал привести в готовность противовоздушную оборону.</w:t>
      </w:r>
    </w:p>
    <w:p w14:paraId="67BA23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и здесь нам помогала самоуверенность нацистов. Дело в том, что их аэродромные станции методически передавали для летчиков Люфтваффе сводки погоды на ультракоротких волнах по международному метеокоду. А его отлично знали летчики полярной авиации, работавшие до войны на разведке ледовой обстановки в Арктике. Хотя дальность действия этих радиостанций была небольшой, но это не мешало нам получать полную картину погоды над целью" (12025).</w:t>
      </w:r>
    </w:p>
    <w:p w14:paraId="6AE27B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9BE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апреля 1943 вышел приказ командующего ВВС о более широком использовании радиосвязи (340,138).</w:t>
      </w:r>
    </w:p>
    <w:p w14:paraId="5E1B2E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Кстати, только радиосвязь дала возможность не летать плотной группой и использовать эшелонирование по высоте и вертикальный маневр.</w:t>
      </w:r>
    </w:p>
    <w:p w14:paraId="53DA04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 "Основным средством управления авиацией как на земле, так и в воздухе считать радиосвязь. Отсутствие проводной радиосвязи не должно служить основанием для потери управления." (518,282).</w:t>
      </w:r>
    </w:p>
    <w:p w14:paraId="6DF42C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6228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апреля 1943 противник вновь предпринял мощное наступление, но за 30 минут до начала наступления советская авиация силами 60 бомбардировщиков и 30 истребителей нанесла по противнику упреждающий удар, а через несколько минут - снова удар группой в 100 самолетов, что сорвало наступление противника (3573).</w:t>
      </w:r>
    </w:p>
    <w:p w14:paraId="0FA996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FC04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20 апреля 1943 вновь началось мощное наступление на Малую землю. 60 наших б и 30 и нанесли упреждающий удар. Через несколько минут - еще один - силами 100 машин. Ком. 18А К.Н.Леселидзе писал: "Массированные удары нашей авиации по противнику, пытавшемуся уничтожить десантные части, сорвали его планы. У </w:t>
      </w:r>
      <w:r w:rsidRPr="00D03F3E">
        <w:rPr>
          <w:rFonts w:ascii="Times New Roman" w:hAnsi="Times New Roman"/>
          <w:color w:val="000000" w:themeColor="text1"/>
          <w:sz w:val="16"/>
          <w:szCs w:val="16"/>
        </w:rPr>
        <w:lastRenderedPageBreak/>
        <w:t>личного состава десантной группы появилась уверенность в своих силах." А.А.Гречко писал: "Важную роль в отражении атак противника на Мысхако сыграла наша авиация. Своими массированными действиями она сковала наступление противника, заставила вражескую авиацию снизить свою активность." И сбили 50 машин, а с 17 по 24 - 182 9152 - и) (340,119).</w:t>
      </w:r>
    </w:p>
    <w:p w14:paraId="1A4A36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227E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20 по 28 апреля 1943 при подготовке наступления войск СКФ в районе Крымской была проведена воздушная операция по ослаблению воздушной группировки немцев. Приняли участие 4 и 5 ВА СКФ, 17 ВА ЮЗФ, 8ВА ЮФ, ВВС ЧМФ и группа АДД согласно плану, утвержденному Г.К.Ж. и А.А.Новиковым. Ударили по 18 аэродромам и бомбили в основном ночью. Фронтовая на дистанции 50-100 км и АДД - 300-350 км по 30-35 машин против одного аэродрома. Особо эффективными были удары АДД по аэродромам в Саках и Сарабузе, где уничтожили и повредили 100 машин, а всего вывели из строя 260 (518,75).</w:t>
      </w:r>
    </w:p>
    <w:p w14:paraId="425125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24F6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апреля 1943 н подтянули свежие резервы и наметили решающую атаку под Новороссийском. за полчаса до наступления советская авиация б под прикрытием и нанесли удар по боевым порядкам, изготовившимся к атаке и через несколько часов выполнили второй налет. Наступление провалилось (340,154).</w:t>
      </w:r>
    </w:p>
    <w:p w14:paraId="2B1841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9CB3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апреля 1943 временно исполняющий должность командующего ВВС КА генерал-лейтенант авиации А. В. Никитин издал приказ № 071, в котором потребовал от командующих воздушных армий организовать самое широкое использование радиосредств для управления авиацией в воздухе и на земле, благо, что каждый поступающий с заводов НКАП боевой самолет теперь оснащался приемо-передающей радиостанцией (8687).</w:t>
      </w:r>
    </w:p>
    <w:p w14:paraId="02A15E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BCB1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апреля 1943 адмирал В.Ф.Трибуц дал новые указания, на этот раз уже непосредственно касающиеся действий авиации по обеспечению выхода подлодок в море. Минно-торпедной авиации ставились задачи нанесения ударов по вражеским противолодочным дозорам и уничтожения минных полей. Последнее планировалось обеспечить их «ковровыми» бомбардировками. Наверное в штабах понимали малую эффективность подобных действий, но никаких эффективных средств борьбы ни с минной опасностью, ни с минно-заградительными силами противника флот не имел (9965).</w:t>
      </w:r>
    </w:p>
    <w:p w14:paraId="78F2A6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DE67B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апреля 1943 вышло Постановление ГКО № 3215 О введении отличительного знака числа ранений для раненых членов экипажей судов морского и речного флотов и флота ГУСМП. (7097, 106).</w:t>
      </w:r>
    </w:p>
    <w:p w14:paraId="623E35A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9CC41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241ACB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F108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апреля 1943 польское правительство в очередной раз потребовало информации от Москвы. Москва в ответ разорвала дипломатические отношения с польским правительством (3871).</w:t>
      </w:r>
    </w:p>
    <w:p w14:paraId="63D7C6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DEE2B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6CAB8A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DAED56"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апреля в 1943 году на аэродроме Штаакен в районе Берлина было создано Nachtjagd-Versuchskommando (опытное ночное истребительное командование) во главе с майором Гансом Херрманом «Хайо». Это командование предназначалось для отработки на практике тактики действий одномоторных истребителей при ночных перехватах, которая позднее получила название "Wilde Sau". Первоначально в него Херрман отобрал 8 пилотов, имевших опыт "слепых" полетов по приборам и в его распоряжение были выделены в качестве эксперимента 4 «Bf.109» (15105).</w:t>
      </w:r>
    </w:p>
    <w:p w14:paraId="68CFB81C" w14:textId="77777777" w:rsidR="00057C15" w:rsidRPr="00D03F3E" w:rsidRDefault="00057C15" w:rsidP="00D03F3E">
      <w:pPr>
        <w:spacing w:after="0" w:line="240" w:lineRule="auto"/>
        <w:jc w:val="both"/>
        <w:rPr>
          <w:rFonts w:ascii="Times New Roman" w:hAnsi="Times New Roman"/>
          <w:color w:val="000000" w:themeColor="text1"/>
          <w:sz w:val="16"/>
          <w:szCs w:val="16"/>
        </w:rPr>
      </w:pPr>
    </w:p>
    <w:p w14:paraId="4332A9A6" w14:textId="77777777" w:rsidR="00CE6618" w:rsidRPr="00D03F3E" w:rsidRDefault="00CE661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20 апреля 1943 во главе лично с командующем ВВС седьмого, генерал - майором Уиллисом Х. Хейллом B-24 бомбили и фотографировали Науру. Японские самолеты следовали за ними домой и атаковали Фунафути рано утром 21 апреля, уничтожив два B-24 и убив шестерых человек (20736).</w:t>
      </w:r>
    </w:p>
    <w:p w14:paraId="09A30C1E" w14:textId="77777777" w:rsidR="00CE6618" w:rsidRPr="00D03F3E" w:rsidRDefault="00CE6618" w:rsidP="00D03F3E">
      <w:pPr>
        <w:spacing w:after="0" w:line="240" w:lineRule="auto"/>
        <w:jc w:val="both"/>
        <w:rPr>
          <w:rFonts w:ascii="Times New Roman" w:hAnsi="Times New Roman"/>
          <w:color w:val="0070C0"/>
          <w:sz w:val="16"/>
          <w:szCs w:val="16"/>
        </w:rPr>
      </w:pPr>
    </w:p>
    <w:p w14:paraId="03D6E90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апреля 1943 Черчилль объявил отмену запрета на колокольный звон церквей, введенный в начале войны (4962).</w:t>
      </w:r>
    </w:p>
    <w:p w14:paraId="66B6B01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8E80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April 20, 1943 - A contract is concluded with the University of California to manage Los Alamos, acting as paymaster, accountant, and procurement agency. This contract (back dated to January 1 for work already performed) is still in existence and serves as the basis for University of California management of both the Los Alamos and Lawrence Livermore laboratories (1039).</w:t>
      </w:r>
    </w:p>
    <w:p w14:paraId="3AF405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E7A07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апреля 1943 Калифорнийский университет получил контракт на управление Лос Аламосом (1039).</w:t>
      </w:r>
    </w:p>
    <w:p w14:paraId="6A8CC2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0F06E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1C8810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EDD6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с 21 по 23 апреля 1943 в НИИ ВВС КА проводились дополнительные контрольные испытания другого экземпляра Ил-2КР (зав. № 302127) АМ-38ф, которые в основном под</w:t>
      </w:r>
      <w:r w:rsidRPr="00D03F3E">
        <w:rPr>
          <w:rFonts w:ascii="Times New Roman" w:hAnsi="Times New Roman"/>
          <w:color w:val="000000" w:themeColor="text1"/>
          <w:sz w:val="16"/>
          <w:szCs w:val="16"/>
        </w:rPr>
        <w:softHyphen/>
        <w:t>твердили результаты предыдущей серии испытаний.</w:t>
      </w:r>
    </w:p>
    <w:p w14:paraId="0154F5F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30-й авиазавод сумел выпустить 65 самоле</w:t>
      </w:r>
      <w:r w:rsidRPr="00D03F3E">
        <w:rPr>
          <w:rFonts w:ascii="Times New Roman" w:hAnsi="Times New Roman"/>
          <w:color w:val="000000" w:themeColor="text1"/>
          <w:sz w:val="16"/>
          <w:szCs w:val="16"/>
        </w:rPr>
        <w:softHyphen/>
        <w:t>тов Ил-2КР, и уже 1 июля в действующей армии имелся 41 са</w:t>
      </w:r>
      <w:r w:rsidRPr="00D03F3E">
        <w:rPr>
          <w:rFonts w:ascii="Times New Roman" w:hAnsi="Times New Roman"/>
          <w:color w:val="000000" w:themeColor="text1"/>
          <w:sz w:val="16"/>
          <w:szCs w:val="16"/>
        </w:rPr>
        <w:softHyphen/>
        <w:t>молет этого типа.</w:t>
      </w:r>
    </w:p>
    <w:p w14:paraId="336DF4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фронте самолет про</w:t>
      </w:r>
      <w:r w:rsidRPr="00D03F3E">
        <w:rPr>
          <w:rFonts w:ascii="Times New Roman" w:hAnsi="Times New Roman"/>
          <w:color w:val="000000" w:themeColor="text1"/>
          <w:sz w:val="16"/>
          <w:szCs w:val="16"/>
        </w:rPr>
        <w:softHyphen/>
        <w:t>явил себя с лучшей стороны. Летчикам он нравился. Вместе с тем отмечалось, что установ</w:t>
      </w:r>
      <w:r w:rsidRPr="00D03F3E">
        <w:rPr>
          <w:rFonts w:ascii="Times New Roman" w:hAnsi="Times New Roman"/>
          <w:color w:val="000000" w:themeColor="text1"/>
          <w:sz w:val="16"/>
          <w:szCs w:val="16"/>
        </w:rPr>
        <w:softHyphen/>
        <w:t>ка одного фотоаппарата не обеспечивает выполнение всех задач, решаемых Ил-2КР на фронте. Кроме того, указыва</w:t>
      </w:r>
      <w:r w:rsidRPr="00D03F3E">
        <w:rPr>
          <w:rFonts w:ascii="Times New Roman" w:hAnsi="Times New Roman"/>
          <w:color w:val="000000" w:themeColor="text1"/>
          <w:sz w:val="16"/>
          <w:szCs w:val="16"/>
        </w:rPr>
        <w:softHyphen/>
        <w:t>лось и на совершенно недос</w:t>
      </w:r>
      <w:r w:rsidRPr="00D03F3E">
        <w:rPr>
          <w:rFonts w:ascii="Times New Roman" w:hAnsi="Times New Roman"/>
          <w:color w:val="000000" w:themeColor="text1"/>
          <w:sz w:val="16"/>
          <w:szCs w:val="16"/>
        </w:rPr>
        <w:softHyphen/>
        <w:t>таточное для самолета такого назначения бронирование воздушного стрелка-наблюда</w:t>
      </w:r>
      <w:r w:rsidRPr="00D03F3E">
        <w:rPr>
          <w:rFonts w:ascii="Times New Roman" w:hAnsi="Times New Roman"/>
          <w:color w:val="000000" w:themeColor="text1"/>
          <w:sz w:val="16"/>
          <w:szCs w:val="16"/>
        </w:rPr>
        <w:softHyphen/>
        <w:t>теля — последние очень часто получали в боевых вылетах ра</w:t>
      </w:r>
      <w:r w:rsidRPr="00D03F3E">
        <w:rPr>
          <w:rFonts w:ascii="Times New Roman" w:hAnsi="Times New Roman"/>
          <w:color w:val="000000" w:themeColor="text1"/>
          <w:sz w:val="16"/>
          <w:szCs w:val="16"/>
        </w:rPr>
        <w:softHyphen/>
        <w:t>нения и надолго выходили из строя.</w:t>
      </w:r>
    </w:p>
    <w:p w14:paraId="1C48D9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понимали и в ОКБ С.В. Ильюшина, но любая коренная переделка броне-корпуса означала снижение выпуска штурмовиков, а на такой шаг в то время пойти не могли. Только с появлением Ил-2 «крыло со стрелкой» появилась возможность улуч</w:t>
      </w:r>
      <w:r w:rsidRPr="00D03F3E">
        <w:rPr>
          <w:rFonts w:ascii="Times New Roman" w:hAnsi="Times New Roman"/>
          <w:color w:val="000000" w:themeColor="text1"/>
          <w:sz w:val="16"/>
          <w:szCs w:val="16"/>
        </w:rPr>
        <w:softHyphen/>
        <w:t>шить защиту воздушного стрелка (11474,388).</w:t>
      </w:r>
    </w:p>
    <w:p w14:paraId="31BB4F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E4E0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закончились испытания ПТАБ и было показано, что они пробивали броню толщиной до 70 мм. По инициативе И.В.С. в срочном порядке решили принять на вооружение как ПТАБ-2.5-1.5 и немедленно организовать их массовое производство. Б.Л.Ванникову было поручено к 15 мая 1943 сделать 800 тыс. бомб с донным АДА и к выполнению заказа привлекли 150 предприятий. С мая по август 1943 сделали 1612 тыс. И.В.Сталин категорически запретил применение ПТАБ до получения спецразрешения. Дал на Курскую битву (177,420).</w:t>
      </w:r>
    </w:p>
    <w:p w14:paraId="5C8B93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AEAD51" w14:textId="77777777" w:rsidR="009D17FB" w:rsidRPr="00D03F3E" w:rsidRDefault="009D17F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21 апреля 1943 г. в НИИ ВВС были проведены показательные полигонные испытания на эффек</w:t>
      </w:r>
      <w:r w:rsidRPr="00D03F3E">
        <w:rPr>
          <w:color w:val="000000" w:themeColor="text1"/>
          <w:sz w:val="16"/>
          <w:szCs w:val="16"/>
        </w:rPr>
        <w:softHyphen/>
        <w:t>тивность действия ПТАБ-2,5-1,5.</w:t>
      </w:r>
    </w:p>
    <w:p w14:paraId="553BF476" w14:textId="77777777" w:rsidR="009D17FB" w:rsidRPr="00D03F3E" w:rsidRDefault="009D17F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 испытаниях присутствовали: член Военного совета ВВС генерал-майор Шиманов, заместители командующего ВВС генерал-лейтенанты Никитин и Кондратюк, главный инженер ВВС генерал-лей</w:t>
      </w:r>
      <w:r w:rsidRPr="00D03F3E">
        <w:rPr>
          <w:color w:val="000000" w:themeColor="text1"/>
          <w:sz w:val="16"/>
          <w:szCs w:val="16"/>
        </w:rPr>
        <w:softHyphen/>
        <w:t>тенант Репин со своим заместителем генерал-май</w:t>
      </w:r>
      <w:r w:rsidRPr="00D03F3E">
        <w:rPr>
          <w:color w:val="000000" w:themeColor="text1"/>
          <w:sz w:val="16"/>
          <w:szCs w:val="16"/>
        </w:rPr>
        <w:softHyphen/>
        <w:t>ором Лапиным, заместитель начальника штаба ВВС генерал-майор Машнин, начальник ГУЗ ВВС генерал-майор Селезнев, начальник УЗВиБ гене</w:t>
      </w:r>
      <w:r w:rsidRPr="00D03F3E">
        <w:rPr>
          <w:color w:val="000000" w:themeColor="text1"/>
          <w:sz w:val="16"/>
          <w:szCs w:val="16"/>
        </w:rPr>
        <w:softHyphen/>
        <w:t>рал-майор Солдатов, начальник 3-го отдела ГУ ИАС инженер-полковник Матаев.</w:t>
      </w:r>
    </w:p>
    <w:p w14:paraId="781E2C67" w14:textId="77777777" w:rsidR="009D17FB" w:rsidRPr="00D03F3E" w:rsidRDefault="009D17F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Кроме авиационного руководства, в работе комиссии участвовали представитель ГКО гене</w:t>
      </w:r>
      <w:r w:rsidRPr="00D03F3E">
        <w:rPr>
          <w:color w:val="000000" w:themeColor="text1"/>
          <w:sz w:val="16"/>
          <w:szCs w:val="16"/>
        </w:rPr>
        <w:softHyphen/>
        <w:t>рал-майор Александров, заместитель наркома ми</w:t>
      </w:r>
      <w:r w:rsidRPr="00D03F3E">
        <w:rPr>
          <w:color w:val="000000" w:themeColor="text1"/>
          <w:sz w:val="16"/>
          <w:szCs w:val="16"/>
        </w:rPr>
        <w:softHyphen/>
        <w:t>нометного вооружения Андреев, главный инженер наркомата боеприпасов Ларионов и автор кон</w:t>
      </w:r>
      <w:r w:rsidRPr="00D03F3E">
        <w:rPr>
          <w:color w:val="000000" w:themeColor="text1"/>
          <w:sz w:val="16"/>
          <w:szCs w:val="16"/>
        </w:rPr>
        <w:softHyphen/>
        <w:t>струкции бомбы старший инженер ЦКБ-22 И. А. Ла</w:t>
      </w:r>
      <w:r w:rsidRPr="00D03F3E">
        <w:rPr>
          <w:color w:val="000000" w:themeColor="text1"/>
          <w:sz w:val="16"/>
          <w:szCs w:val="16"/>
        </w:rPr>
        <w:softHyphen/>
        <w:t>рионов.</w:t>
      </w:r>
    </w:p>
    <w:p w14:paraId="389A6DF2" w14:textId="77777777" w:rsidR="009D17FB" w:rsidRPr="00D03F3E" w:rsidRDefault="009D17F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 НИИ ВВС испытания обеспечивали сотрудни</w:t>
      </w:r>
      <w:r w:rsidRPr="00D03F3E">
        <w:rPr>
          <w:color w:val="000000" w:themeColor="text1"/>
          <w:sz w:val="16"/>
          <w:szCs w:val="16"/>
        </w:rPr>
        <w:softHyphen/>
        <w:t>ки Управления испытания авиационного вооруже</w:t>
      </w:r>
      <w:r w:rsidRPr="00D03F3E">
        <w:rPr>
          <w:color w:val="000000" w:themeColor="text1"/>
          <w:sz w:val="16"/>
          <w:szCs w:val="16"/>
        </w:rPr>
        <w:softHyphen/>
        <w:t>ния института: начальник 3-го отдела инженер-под</w:t>
      </w:r>
      <w:r w:rsidRPr="00D03F3E">
        <w:rPr>
          <w:color w:val="000000" w:themeColor="text1"/>
          <w:sz w:val="16"/>
          <w:szCs w:val="16"/>
        </w:rPr>
        <w:softHyphen/>
        <w:t>полковник Сатонин, начальник 1-го отделения 3-го отдела инженер-майор Дьячков, летчики-испыта</w:t>
      </w:r>
      <w:r w:rsidRPr="00D03F3E">
        <w:rPr>
          <w:color w:val="000000" w:themeColor="text1"/>
          <w:sz w:val="16"/>
          <w:szCs w:val="16"/>
        </w:rPr>
        <w:softHyphen/>
        <w:t>тели — майор Звонарев, капитаны Кусакин, Девят- ников, Толузаров и Сироткин, лейтенант Евсеев, а также штурманы-испытатели — капитан Лизяев, старшие лейтенанты Быхал и Аронов.</w:t>
      </w:r>
    </w:p>
    <w:p w14:paraId="1778A094" w14:textId="77777777" w:rsidR="009D17FB" w:rsidRPr="00D03F3E" w:rsidRDefault="009D17F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Программа испытаний включала наземную и воздушную части. В ходе наземной части члены комиссии знакомились с устройством ПТАБ-2,5-1,5 и взрывателя к ней, с процессом подготовки бомб и снаряжения кассет мелких бомб самолетов Ил-2, У-2, СБ, а также определялась эффективность бомб путем их подрывов на бронеплитах толщиной 40—60 мм отечественного производства и на не</w:t>
      </w:r>
      <w:r w:rsidRPr="00D03F3E">
        <w:rPr>
          <w:color w:val="000000" w:themeColor="text1"/>
          <w:sz w:val="16"/>
          <w:szCs w:val="16"/>
        </w:rPr>
        <w:softHyphen/>
        <w:t xml:space="preserve">мецкой трофейной технике — танк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IV</w:t>
      </w:r>
      <w:r w:rsidRPr="00D03F3E">
        <w:rPr>
          <w:color w:val="000000" w:themeColor="text1"/>
          <w:sz w:val="16"/>
          <w:szCs w:val="16"/>
        </w:rPr>
        <w:t>, бронема</w:t>
      </w:r>
      <w:r w:rsidRPr="00D03F3E">
        <w:rPr>
          <w:color w:val="000000" w:themeColor="text1"/>
          <w:sz w:val="16"/>
          <w:szCs w:val="16"/>
        </w:rPr>
        <w:softHyphen/>
        <w:t>шины и артиллерийские орудия. Для выявления эффективности действия бомб в 2 бронемашины на расстоянии 750 мм от броневого покрытия были помещены в клетках собака и кошка, а на расстоя</w:t>
      </w:r>
      <w:r w:rsidRPr="00D03F3E">
        <w:rPr>
          <w:color w:val="000000" w:themeColor="text1"/>
          <w:sz w:val="16"/>
          <w:szCs w:val="16"/>
        </w:rPr>
        <w:softHyphen/>
        <w:t>нии 1200 мм — бензобаки, заполненные бензином. Как и прежде, с целью имитации удара о преграду головная часть бомб предварительно деформиро</w:t>
      </w:r>
      <w:r w:rsidRPr="00D03F3E">
        <w:rPr>
          <w:color w:val="000000" w:themeColor="text1"/>
          <w:sz w:val="16"/>
          <w:szCs w:val="16"/>
        </w:rPr>
        <w:softHyphen/>
        <w:t>валась.</w:t>
      </w:r>
    </w:p>
    <w:p w14:paraId="09B50212" w14:textId="77777777" w:rsidR="009D17FB" w:rsidRPr="00D03F3E" w:rsidRDefault="009D17F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Воздушная часть предполагала показательные бомбометания ПТАБами с самолетов У-2, Ил-2 и СБ по мишенной обстановке. Целями служили: 6 не</w:t>
      </w:r>
      <w:r w:rsidRPr="00D03F3E">
        <w:rPr>
          <w:color w:val="000000" w:themeColor="text1"/>
          <w:sz w:val="16"/>
          <w:szCs w:val="16"/>
        </w:rPr>
        <w:softHyphen/>
        <w:t xml:space="preserve">мецких бронемашин и 4 бронированных тягача, 3 американских легких танка, 1 немецкий средний танк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IV</w:t>
      </w:r>
      <w:r w:rsidRPr="00D03F3E">
        <w:rPr>
          <w:color w:val="000000" w:themeColor="text1"/>
          <w:sz w:val="16"/>
          <w:szCs w:val="16"/>
        </w:rPr>
        <w:t>, 13 немецких артиллерийских орудий калибра 75 и 150 мм, 33 бронеплиты толщиной от 7 до 60 мм, рельсовая укладка. Орудийная прислу</w:t>
      </w:r>
      <w:r w:rsidRPr="00D03F3E">
        <w:rPr>
          <w:color w:val="000000" w:themeColor="text1"/>
          <w:sz w:val="16"/>
          <w:szCs w:val="16"/>
        </w:rPr>
        <w:softHyphen/>
        <w:t>га, танковый десант и лошади — всего 73 макета — имитировались деревянными щитами толщиной 25 мм соответствующей формы.</w:t>
      </w:r>
    </w:p>
    <w:p w14:paraId="001D17C7" w14:textId="77777777" w:rsidR="009D17FB" w:rsidRPr="00D03F3E" w:rsidRDefault="009D17F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общей сложности было выполнено 8 полетов. Из них 5 вылетов на одноместных и двухместных Ил-2 (Звонарев, Кусакин, Евсеев), 1 вылет на само</w:t>
      </w:r>
      <w:r w:rsidRPr="00D03F3E">
        <w:rPr>
          <w:color w:val="000000" w:themeColor="text1"/>
          <w:sz w:val="16"/>
          <w:szCs w:val="16"/>
        </w:rPr>
        <w:softHyphen/>
        <w:t>лете У-2 (Толузаров и Быхал), 2 вылета на бомбарди</w:t>
      </w:r>
      <w:r w:rsidRPr="00D03F3E">
        <w:rPr>
          <w:color w:val="000000" w:themeColor="text1"/>
          <w:sz w:val="16"/>
          <w:szCs w:val="16"/>
        </w:rPr>
        <w:softHyphen/>
        <w:t>ровщике СБ (Девятников и Аронов, Сироткин и Ли зяев). В кассеты мелких бомб самолета У-2 загружа</w:t>
      </w:r>
      <w:r w:rsidRPr="00D03F3E">
        <w:rPr>
          <w:color w:val="000000" w:themeColor="text1"/>
          <w:sz w:val="16"/>
          <w:szCs w:val="16"/>
        </w:rPr>
        <w:softHyphen/>
        <w:t>ли 106, СБ — 144, а штурмовиков Ил-2 — 278 и 312 ПТАБ-2,5-1,5. Сброс бомб осуществлялся с высоты 75—100 м на скоростях 120 км/ч (У-2) и 300 км/ч (Ил-2, СБ) одиночно кассетами (У-2, Ил-2) и серией из 4 (Ил-2) и 6 кассет (СБ) с временным интервалом 0,1 сек. После 4, 6 и 8-го полетов члены комиссии производили осмотр мишеней.</w:t>
      </w:r>
    </w:p>
    <w:p w14:paraId="7725D959" w14:textId="77777777" w:rsidR="009D17FB" w:rsidRPr="00D03F3E" w:rsidRDefault="009D17F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Результаты наземных испытаний сводились в ос</w:t>
      </w:r>
      <w:r w:rsidRPr="00D03F3E">
        <w:rPr>
          <w:color w:val="000000" w:themeColor="text1"/>
          <w:sz w:val="16"/>
          <w:szCs w:val="16"/>
        </w:rPr>
        <w:softHyphen/>
        <w:t>новном к следующему. Было продемонстрировано, что под углом встречи до 30° кумулятивная струя ПТАБ-2,5-1,5 устойчиво пробивает броню толщиной 60 мм, а под углом 45° — 45 мм. При этом диаметр отверстия на входе составлял 26 мм и на выходе — 16 мм, а также образовывались отколы брони раз</w:t>
      </w:r>
      <w:r w:rsidRPr="00D03F3E">
        <w:rPr>
          <w:color w:val="000000" w:themeColor="text1"/>
          <w:sz w:val="16"/>
          <w:szCs w:val="16"/>
        </w:rPr>
        <w:softHyphen/>
        <w:t>мером 60—70 мм.</w:t>
      </w:r>
    </w:p>
    <w:p w14:paraId="0210240C" w14:textId="77777777" w:rsidR="009D17FB" w:rsidRPr="00D03F3E" w:rsidRDefault="009D17F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действии по броневому покрытию толщи</w:t>
      </w:r>
      <w:r w:rsidRPr="00D03F3E">
        <w:rPr>
          <w:color w:val="000000" w:themeColor="text1"/>
          <w:sz w:val="16"/>
          <w:szCs w:val="16"/>
        </w:rPr>
        <w:softHyphen/>
        <w:t>ной 15 мм кумулятивная струя проламывает броню, пробивает бензобаки и воспламеняет бензин. Жи</w:t>
      </w:r>
      <w:r w:rsidRPr="00D03F3E">
        <w:rPr>
          <w:color w:val="000000" w:themeColor="text1"/>
          <w:sz w:val="16"/>
          <w:szCs w:val="16"/>
        </w:rPr>
        <w:softHyphen/>
        <w:t>вотные (собака и кошка), помещенные внутри бро</w:t>
      </w:r>
      <w:r w:rsidRPr="00D03F3E">
        <w:rPr>
          <w:color w:val="000000" w:themeColor="text1"/>
          <w:sz w:val="16"/>
          <w:szCs w:val="16"/>
        </w:rPr>
        <w:softHyphen/>
        <w:t>немашины, погибли.</w:t>
      </w:r>
    </w:p>
    <w:p w14:paraId="404393D6" w14:textId="77777777" w:rsidR="009D17FB" w:rsidRPr="00D03F3E" w:rsidRDefault="009D17F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Кроме того, при подрыве бомбы на казенной части 150-мм артиллерийского орудия толщиной 95 мм имело место несквозное пробитие глубиной 80 мм и диаметром 23 мм (угол встречи 0°). С про</w:t>
      </w:r>
      <w:r w:rsidRPr="00D03F3E">
        <w:rPr>
          <w:color w:val="000000" w:themeColor="text1"/>
          <w:sz w:val="16"/>
          <w:szCs w:val="16"/>
        </w:rPr>
        <w:softHyphen/>
        <w:t>тивоположной стороны «получена выпуклость ме</w:t>
      </w:r>
      <w:r w:rsidRPr="00D03F3E">
        <w:rPr>
          <w:color w:val="000000" w:themeColor="text1"/>
          <w:sz w:val="16"/>
          <w:szCs w:val="16"/>
        </w:rPr>
        <w:softHyphen/>
        <w:t>талла».</w:t>
      </w:r>
    </w:p>
    <w:p w14:paraId="7B8B4A6A" w14:textId="77777777" w:rsidR="009D17FB" w:rsidRPr="00D03F3E" w:rsidRDefault="009D17F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Неприятным моментом стало довольно про</w:t>
      </w:r>
      <w:r w:rsidRPr="00D03F3E">
        <w:rPr>
          <w:color w:val="000000" w:themeColor="text1"/>
          <w:sz w:val="16"/>
          <w:szCs w:val="16"/>
        </w:rPr>
        <w:softHyphen/>
        <w:t>должительное время, затрачиваемое на снаряже</w:t>
      </w:r>
      <w:r w:rsidRPr="00D03F3E">
        <w:rPr>
          <w:color w:val="000000" w:themeColor="text1"/>
          <w:sz w:val="16"/>
          <w:szCs w:val="16"/>
        </w:rPr>
        <w:softHyphen/>
        <w:t>ние самолетов бомбами. Например, на подготов</w:t>
      </w:r>
      <w:r w:rsidRPr="00D03F3E">
        <w:rPr>
          <w:color w:val="000000" w:themeColor="text1"/>
          <w:sz w:val="16"/>
          <w:szCs w:val="16"/>
        </w:rPr>
        <w:softHyphen/>
        <w:t>ку штурмовика Ил-2 к вылету при использовании кассет мелких бомб у трех специалистов авиаво</w:t>
      </w:r>
      <w:r w:rsidRPr="00D03F3E">
        <w:rPr>
          <w:color w:val="000000" w:themeColor="text1"/>
          <w:sz w:val="16"/>
          <w:szCs w:val="16"/>
        </w:rPr>
        <w:softHyphen/>
        <w:t>оружения уходило до 2 ч 50 мин, в том числе 1 ч 30 мин — на подготовку 272 бомб до полного снаряжения, 1 ч — на загрузку бомб в кассеты, 20 мин — на подвеску кассет в бомбоотсеки. При загрузке бомб в универсальные бомбоотсеки Ил-2 (312 бомб) время готовности к вылету возрастало до 3 ч 08 мин.</w:t>
      </w:r>
    </w:p>
    <w:p w14:paraId="29B2B4E7" w14:textId="77777777" w:rsidR="009D17FB" w:rsidRPr="00D03F3E" w:rsidRDefault="009D17F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Из числа бомб, сброшенных в воздухе с самоле</w:t>
      </w:r>
      <w:r w:rsidRPr="00D03F3E">
        <w:rPr>
          <w:color w:val="000000" w:themeColor="text1"/>
          <w:sz w:val="16"/>
          <w:szCs w:val="16"/>
        </w:rPr>
        <w:softHyphen/>
        <w:t>тов, подействовало 1816 и отказало 25 бомб, в том числе 20 — из-за несвертывания ветрянки и 5 — из-за невыхода походной чеки. Из 27 целей мишен</w:t>
      </w:r>
      <w:r w:rsidRPr="00D03F3E">
        <w:rPr>
          <w:color w:val="000000" w:themeColor="text1"/>
          <w:sz w:val="16"/>
          <w:szCs w:val="16"/>
        </w:rPr>
        <w:softHyphen/>
        <w:t>ной обстановки 20 были поражены. В них зафикси</w:t>
      </w:r>
      <w:r w:rsidRPr="00D03F3E">
        <w:rPr>
          <w:color w:val="000000" w:themeColor="text1"/>
          <w:sz w:val="16"/>
          <w:szCs w:val="16"/>
        </w:rPr>
        <w:softHyphen/>
        <w:t>ровали 38 попаданий бомб. Все макеты орудийного расчета, танкового десанта и лошадей были разби</w:t>
      </w:r>
      <w:r w:rsidRPr="00D03F3E">
        <w:rPr>
          <w:color w:val="000000" w:themeColor="text1"/>
          <w:sz w:val="16"/>
          <w:szCs w:val="16"/>
        </w:rPr>
        <w:softHyphen/>
        <w:t>ты. Кроме того, 35 бомб попали в рельсовую уклад</w:t>
      </w:r>
      <w:r w:rsidRPr="00D03F3E">
        <w:rPr>
          <w:color w:val="000000" w:themeColor="text1"/>
          <w:sz w:val="16"/>
          <w:szCs w:val="16"/>
        </w:rPr>
        <w:softHyphen/>
        <w:t>ку и 3 бомбы поразили 3 бронеплиты, лежащие на земле. Бронеплиты получили сквозные пробоины, а 18 рельсов и 15 шпал — перебиты.</w:t>
      </w:r>
    </w:p>
    <w:p w14:paraId="47D2C714" w14:textId="77777777" w:rsidR="009D17FB" w:rsidRPr="00D03F3E" w:rsidRDefault="009D17F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Выводы комиссии были более чем положи</w:t>
      </w:r>
      <w:r w:rsidRPr="00D03F3E">
        <w:rPr>
          <w:color w:val="000000" w:themeColor="text1"/>
          <w:sz w:val="16"/>
          <w:szCs w:val="16"/>
        </w:rPr>
        <w:softHyphen/>
        <w:t>тельными. Как следствие, противотанковая бомба ПТАБ-2,5-1,5 конструкции ЦКБ-22 рекомендовалась «для применения по танкам, бронемашинам, ар</w:t>
      </w:r>
      <w:r w:rsidRPr="00D03F3E">
        <w:rPr>
          <w:color w:val="000000" w:themeColor="text1"/>
          <w:sz w:val="16"/>
          <w:szCs w:val="16"/>
        </w:rPr>
        <w:softHyphen/>
        <w:t>тиллерии, мотомехколонн, живой силе противни</w:t>
      </w:r>
      <w:r w:rsidRPr="00D03F3E">
        <w:rPr>
          <w:color w:val="000000" w:themeColor="text1"/>
          <w:sz w:val="16"/>
          <w:szCs w:val="16"/>
        </w:rPr>
        <w:softHyphen/>
        <w:t>ка, эшелонам, ж.-д. мостам, матчасти самолетов, по наземным нефте- и бензохранилищам и по надво</w:t>
      </w:r>
      <w:r w:rsidRPr="00D03F3E">
        <w:rPr>
          <w:color w:val="000000" w:themeColor="text1"/>
          <w:sz w:val="16"/>
          <w:szCs w:val="16"/>
        </w:rPr>
        <w:softHyphen/>
        <w:t>дным переправам».</w:t>
      </w:r>
    </w:p>
    <w:p w14:paraId="7C2C16D7" w14:textId="77777777" w:rsidR="009D17FB" w:rsidRPr="00D03F3E" w:rsidRDefault="009D17F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Поскольку увеличение на 3 мм диаметра кор</w:t>
      </w:r>
      <w:r w:rsidRPr="00D03F3E">
        <w:rPr>
          <w:color w:val="000000" w:themeColor="text1"/>
          <w:sz w:val="16"/>
          <w:szCs w:val="16"/>
        </w:rPr>
        <w:softHyphen/>
        <w:t>пуса бомбы практически не влияло на эксплуа</w:t>
      </w:r>
      <w:r w:rsidRPr="00D03F3E">
        <w:rPr>
          <w:color w:val="000000" w:themeColor="text1"/>
          <w:sz w:val="16"/>
          <w:szCs w:val="16"/>
        </w:rPr>
        <w:softHyphen/>
        <w:t>тацию бомб, то комиссия разрешила «допустить ПТАБ-2,5-1,5 к валовому производству с отступле</w:t>
      </w:r>
      <w:r w:rsidRPr="00D03F3E">
        <w:rPr>
          <w:color w:val="000000" w:themeColor="text1"/>
          <w:sz w:val="16"/>
          <w:szCs w:val="16"/>
        </w:rPr>
        <w:softHyphen/>
        <w:t>нием от ТУ-5-40 по размерам диаметра бомбы».</w:t>
      </w:r>
    </w:p>
    <w:p w14:paraId="4275285F" w14:textId="77777777" w:rsidR="009D17FB" w:rsidRPr="00D03F3E" w:rsidRDefault="009D17F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Предложенный ЦКБ-22 контрящий механизм бомбы сочли неудобным. Конструктору бомбы И. А. Ларионову рекомендовалось «в дальней</w:t>
      </w:r>
      <w:r w:rsidRPr="00D03F3E">
        <w:rPr>
          <w:color w:val="000000" w:themeColor="text1"/>
          <w:sz w:val="16"/>
          <w:szCs w:val="16"/>
        </w:rPr>
        <w:softHyphen/>
        <w:t>шем разработать более удобное контрящее при</w:t>
      </w:r>
      <w:r w:rsidRPr="00D03F3E">
        <w:rPr>
          <w:color w:val="000000" w:themeColor="text1"/>
          <w:sz w:val="16"/>
          <w:szCs w:val="16"/>
        </w:rPr>
        <w:softHyphen/>
        <w:t>способление и подать на контрольные испы</w:t>
      </w:r>
      <w:r w:rsidRPr="00D03F3E">
        <w:rPr>
          <w:color w:val="000000" w:themeColor="text1"/>
          <w:sz w:val="16"/>
          <w:szCs w:val="16"/>
        </w:rPr>
        <w:softHyphen/>
        <w:t>тания».</w:t>
      </w:r>
    </w:p>
    <w:p w14:paraId="239A9E81" w14:textId="77777777" w:rsidR="009D17FB" w:rsidRPr="00D03F3E" w:rsidRDefault="009D17F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 целью сокращения времени на подготовку к боевому вылету самолетов с ПТАБ-2,5-1,5 от нар</w:t>
      </w:r>
      <w:r w:rsidRPr="00D03F3E">
        <w:rPr>
          <w:color w:val="000000" w:themeColor="text1"/>
          <w:sz w:val="16"/>
          <w:szCs w:val="16"/>
        </w:rPr>
        <w:softHyphen/>
        <w:t>комата боеприпасов потребовали окончательное снаряжение бомб производить на заводах и «в строевые части подавать бомбы в окончательном снаряженном виде».</w:t>
      </w:r>
    </w:p>
    <w:p w14:paraId="7DBF741B" w14:textId="77777777" w:rsidR="009D17FB" w:rsidRPr="00D03F3E" w:rsidRDefault="009D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Отчет по испытаниям заместитель начальни</w:t>
      </w:r>
      <w:r w:rsidRPr="00D03F3E">
        <w:rPr>
          <w:rFonts w:ascii="Times New Roman" w:hAnsi="Times New Roman"/>
          <w:color w:val="000000" w:themeColor="text1"/>
          <w:sz w:val="16"/>
          <w:szCs w:val="16"/>
        </w:rPr>
        <w:softHyphen/>
        <w:t>ка НИИ ВВС генерал-майор М. В. Гуревич утвердил 23 апреля 1943 г. (17500).</w:t>
      </w:r>
    </w:p>
    <w:p w14:paraId="34D62752" w14:textId="77777777" w:rsidR="009D17FB" w:rsidRPr="00D03F3E" w:rsidRDefault="009D17FB" w:rsidP="00D03F3E">
      <w:pPr>
        <w:spacing w:after="0" w:line="240" w:lineRule="auto"/>
        <w:jc w:val="both"/>
        <w:rPr>
          <w:rFonts w:ascii="Times New Roman" w:hAnsi="Times New Roman"/>
          <w:color w:val="000000" w:themeColor="text1"/>
          <w:sz w:val="16"/>
          <w:szCs w:val="16"/>
        </w:rPr>
      </w:pPr>
    </w:p>
    <w:p w14:paraId="16AF43D7" w14:textId="77777777" w:rsidR="00B610FB" w:rsidRPr="00D03F3E" w:rsidRDefault="00B610FB" w:rsidP="00D03F3E">
      <w:pPr>
        <w:spacing w:after="0" w:line="240" w:lineRule="auto"/>
        <w:jc w:val="both"/>
        <w:rPr>
          <w:rStyle w:val="73"/>
          <w:rFonts w:ascii="Times New Roman" w:cs="Times New Roman"/>
          <w:color w:val="000000" w:themeColor="text1"/>
          <w:spacing w:val="0"/>
          <w:sz w:val="16"/>
          <w:szCs w:val="16"/>
        </w:rPr>
      </w:pPr>
      <w:r w:rsidRPr="00D03F3E">
        <w:rPr>
          <w:rFonts w:ascii="Times New Roman" w:hAnsi="Times New Roman"/>
          <w:color w:val="000000" w:themeColor="text1"/>
          <w:sz w:val="16"/>
          <w:szCs w:val="16"/>
        </w:rPr>
        <w:t>21 апреля 1943 г. согласно по</w:t>
      </w:r>
      <w:r w:rsidRPr="00D03F3E">
        <w:rPr>
          <w:rFonts w:ascii="Times New Roman" w:hAnsi="Times New Roman"/>
          <w:color w:val="000000" w:themeColor="text1"/>
          <w:sz w:val="16"/>
          <w:szCs w:val="16"/>
        </w:rPr>
        <w:softHyphen/>
        <w:t>становлению ГОКО от для Люберецкого завода №233 предполагалось закупить в США шлифовально-полировочный конвейер, прокатную машину для стекла и печь для отжига. Однако до середины 1944 г.</w:t>
      </w:r>
      <w:r w:rsidRPr="00D03F3E">
        <w:rPr>
          <w:rStyle w:val="aff6"/>
          <w:rFonts w:ascii="Times New Roman" w:hAnsi="Times New Roman" w:cs="Times New Roman"/>
          <w:i w:val="0"/>
          <w:color w:val="000000" w:themeColor="text1"/>
        </w:rPr>
        <w:t xml:space="preserve"> «на</w:t>
      </w:r>
      <w:r w:rsidRPr="00D03F3E">
        <w:rPr>
          <w:rStyle w:val="aff6"/>
          <w:rFonts w:ascii="Times New Roman" w:hAnsi="Times New Roman" w:cs="Times New Roman"/>
          <w:i w:val="0"/>
          <w:color w:val="000000" w:themeColor="text1"/>
        </w:rPr>
        <w:softHyphen/>
        <w:t>меченные специалисты в США по закупке и освоению этих агрегатов»</w:t>
      </w:r>
      <w:r w:rsidRPr="00D03F3E">
        <w:rPr>
          <w:rFonts w:ascii="Times New Roman" w:hAnsi="Times New Roman"/>
          <w:color w:val="000000" w:themeColor="text1"/>
          <w:sz w:val="16"/>
          <w:szCs w:val="16"/>
        </w:rPr>
        <w:t xml:space="preserve"> так и не были коман</w:t>
      </w:r>
      <w:r w:rsidRPr="00D03F3E">
        <w:rPr>
          <w:rFonts w:ascii="Times New Roman" w:hAnsi="Times New Roman"/>
          <w:color w:val="000000" w:themeColor="text1"/>
          <w:sz w:val="16"/>
          <w:szCs w:val="16"/>
        </w:rPr>
        <w:softHyphen/>
        <w:t>дированы -</w:t>
      </w:r>
      <w:r w:rsidRPr="00D03F3E">
        <w:rPr>
          <w:rStyle w:val="73"/>
          <w:rFonts w:ascii="Times New Roman" w:cs="Times New Roman"/>
          <w:color w:val="000000" w:themeColor="text1"/>
          <w:spacing w:val="0"/>
          <w:sz w:val="16"/>
          <w:szCs w:val="16"/>
        </w:rPr>
        <w:t xml:space="preserve"> «до сих пор идет лишь переписка с фирмами» (17481).</w:t>
      </w:r>
    </w:p>
    <w:p w14:paraId="5CCA5AC8" w14:textId="77777777" w:rsidR="00B610FB" w:rsidRPr="00D03F3E" w:rsidRDefault="00B610FB" w:rsidP="00D03F3E">
      <w:pPr>
        <w:spacing w:after="0" w:line="240" w:lineRule="auto"/>
        <w:jc w:val="both"/>
        <w:rPr>
          <w:rFonts w:ascii="Times New Roman" w:hAnsi="Times New Roman"/>
          <w:color w:val="000000" w:themeColor="text1"/>
          <w:sz w:val="16"/>
          <w:szCs w:val="16"/>
        </w:rPr>
      </w:pPr>
    </w:p>
    <w:p w14:paraId="5A0996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было написано письмо директора завода 23 Иосилович N 1555 А.И.Ш. о том, что выполнение приказа N 174с от 23 марта 1943 о передаче с завода 81 на завод 23 сборки самолетов Ил-4 изготовления заводов 39 и 126 нецелесообразна (1767,97).</w:t>
      </w:r>
    </w:p>
    <w:p w14:paraId="3CCD6F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3D22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вышел приказ НКАП N 233с во изменение приказа НКАП N 174с от 27 марта 1943 в части сборки самолетов Ил-4, пребывающих с заводов 39 и 126:</w:t>
      </w:r>
    </w:p>
    <w:p w14:paraId="344E59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Снять с завода 23 сборку самолетов Ил-4 заводов 39 и 126</w:t>
      </w:r>
    </w:p>
    <w:p w14:paraId="3CCD6F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Нач. 6 ГУ Ю.Н.Карпову и директору завода 456 Бугрову:</w:t>
      </w:r>
    </w:p>
    <w:p w14:paraId="30440A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организовать на заводе 456 сборку, облет и сдачу самолетов Ил-4, прибывающих эшелонами с заводов 39 и 126 к 1 мая 1943</w:t>
      </w:r>
    </w:p>
    <w:p w14:paraId="3D5ACC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Эшелоны N 19688, 19689 и 19690, отправленных с завода 126 с 21 марта по 1 апреля, адресованные на завод 81 и эшелон N 13072, отправленный 8 апреля в адрес завода 23 переадресовать на завод 156 (1709,12).</w:t>
      </w:r>
    </w:p>
    <w:p w14:paraId="5F6F4C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E34C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в НИИ ВВС А.Кабанов закончил испытания Fw 200C-3/U2, захваченного 31 января 1943 у Гумрака, которые шли с 23 марта 1943. Потом в 1948 на машину поставили АШ-62ИР (2466,148).</w:t>
      </w:r>
    </w:p>
    <w:p w14:paraId="6A0D55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A68B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21 апреля по 27 мая 1944 в НИИ ВВС проходили гос. испытания В-25-DP с РЦ R-2600 29 серии с ВИШ Гамильтон стандарт 1700 нр. ВИ В.Я.Магон, вл Г.А.Ашитков, ш Филиппов. Облетали М.А.Нюхтиков, А.М.Хрипков, В.М.Шульгин, ш Литвинчук, Цветков. Всего нам поставили 862 В-25 (2237,42).</w:t>
      </w:r>
    </w:p>
    <w:p w14:paraId="3C3D4A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710F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также начались войсковые испытания НС-37 на ЛаГГ-3 на Калининском фронте в 1-й воздушной армии и после этого НС-37 окончательно приняли на вооружение (263,61). Летали до 6 июня 1943 на боевое применение с ОКБ-16 (150 кг) с 36 патронами (по 1.6 кг) вместо ШВАК и пулеметом УБС со 170. Вед. ли Масляков и произвели 174 с/в общей продолжительностью 12 часов совместно с Ла-5. Выдержали (757,1).</w:t>
      </w:r>
    </w:p>
    <w:p w14:paraId="0A7785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сделали на 21 заводе 13 машин (757,4).</w:t>
      </w:r>
    </w:p>
    <w:p w14:paraId="263A5D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июня 1943 ГИ ВВС гп ИАС Репиным был утвержден отчет о войсковых испытаниях на боевое применение ЛаГГ-3 с 37 мм пушкой ОКБ-16 и пулеметов УБС, которые проводились с 24 апреля по 6 июня 1943, а по другим данным с 21 апреля по 5 июня 1943.</w:t>
      </w:r>
    </w:p>
    <w:p w14:paraId="280F0D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 Исполнитель к-р 21 ИАП м-р Нестоянов</w:t>
      </w:r>
    </w:p>
    <w:p w14:paraId="648FCB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 политрук, нач-к 3 отд. ГУ ИАС ВВС и м-р Мохов</w:t>
      </w:r>
    </w:p>
    <w:p w14:paraId="7B7464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 инж. 4 отд. НИИ ВВС и к-н Зюскевич</w:t>
      </w:r>
    </w:p>
    <w:p w14:paraId="3B4673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 л-к 4 отд. НИИ ВВС КА ст. л. Масляков</w:t>
      </w:r>
    </w:p>
    <w:p w14:paraId="18BC44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Объект испытаний: с-т ЛаГГ-3 М-105ПФ постройки з-да № 21 1943 г.</w:t>
      </w:r>
    </w:p>
    <w:p w14:paraId="09AA6D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отличие от серийного с-та ЛаГГ-3:</w:t>
      </w:r>
    </w:p>
    <w:p w14:paraId="6A3425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установлена пушка ОКБ-16 калибра 37 мм с б/к 36 патронов вместо пушки ШВАК кал. 20 мм</w:t>
      </w:r>
    </w:p>
    <w:p w14:paraId="6D911B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УБС с б/з в 170 патронов оставлены без изменений</w:t>
      </w:r>
    </w:p>
    <w:p w14:paraId="72D95E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пушки - 150 кг, темп стрельбы - 240-250 в/мин, вес установки на с-т - 35 кг, вес патрона - 1,6 кг, вес снаряда 0,702 кг. Вес боевомплекта - 63 кг. Общий вес пушечного вооружения - 250 кг.</w:t>
      </w:r>
    </w:p>
    <w:p w14:paraId="180B8D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Войсковые испытания проведены в 21 иап согласно приказу командования ВВС № 114 от 22 февраля 1942 г. и № 089 от 26 апреля 1943 г.</w:t>
      </w:r>
    </w:p>
    <w:p w14:paraId="0E2EED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Полк получил 13 с-тов ЛаГГ-3 с завода № 21 с этими пушками и кроме того Ла-5 21 шт.</w:t>
      </w:r>
    </w:p>
    <w:p w14:paraId="3968DF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Летный состав - в основном молодые л-ки, подготовленные в 23 АПс Сейлин</w:t>
      </w:r>
    </w:p>
    <w:p w14:paraId="076085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период испытаний с 21 апреля по 5 июня 1943 г. выполнено 174 с/в, из которых 71 были боевыми</w:t>
      </w:r>
    </w:p>
    <w:p w14:paraId="1CEDD7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Полком уничтожено:</w:t>
      </w:r>
    </w:p>
    <w:p w14:paraId="6B6AF0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с-тов противника 12 (Ме-110 - 1, ФВ-189 - 6, Хш-126 -5)</w:t>
      </w:r>
    </w:p>
    <w:p w14:paraId="009F44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паровозов - 3</w:t>
      </w:r>
    </w:p>
    <w:p w14:paraId="792262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 - 26</w:t>
      </w:r>
    </w:p>
    <w:p w14:paraId="372F5E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ЛаГГ с пушкой сбили 5 с-тов (ФВ-189 -1. Хш-126 - 4)</w:t>
      </w:r>
    </w:p>
    <w:p w14:paraId="2F3FFB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уничтоженис с-та противника достаточно 1-2 прямых попаданий снарядов</w:t>
      </w:r>
    </w:p>
    <w:p w14:paraId="449472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были на Калининском фронте в 21 иап 3ВА (аэродромы Старица, Торопа, Равонь, Борки - почва песчаная)</w:t>
      </w:r>
    </w:p>
    <w:p w14:paraId="0DEFC6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ЛаГГ-3 ходили под прикрытием Ла-5</w:t>
      </w:r>
    </w:p>
    <w:p w14:paraId="42ACB5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Боевое применение: борьба с корректировщиками противника по вызову наземных частей, перехват разведчиков противника, свободный полет (охота), сопровождение штурмовиков Ил-2. Ла-5 применячлись в основном при полетах над территорией противника (перехват и барражирование не дали положительных результатов).</w:t>
      </w:r>
    </w:p>
    <w:p w14:paraId="76CCDE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Заключение:</w:t>
      </w:r>
    </w:p>
    <w:p w14:paraId="2C7EE4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Войсковые испытания с-тов ЛаГГ-3 с 37мм пушкой ОКБ-16 подтвердили эффективность использования истребителей для уничтожения с-тов-бомбардировщиков и корректировщиков противника, а также для действия по наземным целям (ж/д эшелоны, переправы, мотомехколлонны, автотранспорт) при слабой ПВО этих целей</w:t>
      </w:r>
    </w:p>
    <w:p w14:paraId="1B0948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С-ты ЛаГГ-3, вооруженные 37мм пушками, по своим ЛТД уступают современным истребителям Ла-5 и Як-9, поэтому применение их для выполнения боевых задач при противодействии со стороны истребителей противника требует совместных действий с с-тами ла-5 или Як-9 в смешанных боевых порядках.</w:t>
      </w:r>
    </w:p>
    <w:p w14:paraId="4E1BDC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Пушки ОКБ-16 калтюра 37 мм войсковые испытания на боевое применение выдержали.</w:t>
      </w:r>
    </w:p>
    <w:p w14:paraId="1DDF47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 НИИ Лосюков 16 июня, Ком. 3ВА ш=гма Папив, Нач. 4 отд. НИИ Шишкин 6 июня 1943 (757,1).</w:t>
      </w:r>
    </w:p>
    <w:p w14:paraId="19C97E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054736" w14:textId="77777777" w:rsidR="00962150" w:rsidRPr="00D03F3E" w:rsidRDefault="009621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21 апреля в 1943 году на Калининском фронте в составе 1-й воздушной армии начались войсковые испытания (по 7 июня) «ЛаГГ-3» с пушкой «НС-37» (15106).</w:t>
      </w:r>
    </w:p>
    <w:p w14:paraId="7F89D45B" w14:textId="77777777" w:rsidR="00962150" w:rsidRPr="00D03F3E" w:rsidRDefault="00962150" w:rsidP="00D03F3E">
      <w:pPr>
        <w:spacing w:after="0" w:line="240" w:lineRule="auto"/>
        <w:jc w:val="both"/>
        <w:rPr>
          <w:rFonts w:ascii="Times New Roman" w:hAnsi="Times New Roman"/>
          <w:color w:val="000000" w:themeColor="text1"/>
          <w:sz w:val="16"/>
          <w:szCs w:val="16"/>
        </w:rPr>
      </w:pPr>
    </w:p>
    <w:p w14:paraId="65A49CEB" w14:textId="77777777" w:rsidR="00B676DB" w:rsidRPr="00D03F3E" w:rsidRDefault="00B676DB"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С 21 апреля по 7 июня 1943 года на Калининском фронте в составе 1-й воздушной армии проходили Войсковые испытания ЛаГГ-3 с НС-37. Точное количество выпущенных ЛаГГов с НС-37 неизвестно, но вряд ли превышало несколько десятков машин. А основным потребителем этой пушки стали самолеты А.С. Яковлева (19170).</w:t>
      </w:r>
    </w:p>
    <w:p w14:paraId="7724D8EE" w14:textId="77777777" w:rsidR="00B676DB" w:rsidRPr="00D03F3E" w:rsidRDefault="00B676DB" w:rsidP="00D03F3E">
      <w:pPr>
        <w:pStyle w:val="rtejustify"/>
        <w:shd w:val="clear" w:color="auto" w:fill="FFFFFF"/>
        <w:spacing w:before="0" w:beforeAutospacing="0" w:after="0" w:afterAutospacing="0"/>
        <w:jc w:val="both"/>
        <w:textAlignment w:val="baseline"/>
        <w:rPr>
          <w:color w:val="000000" w:themeColor="text1"/>
          <w:sz w:val="16"/>
          <w:szCs w:val="16"/>
        </w:rPr>
      </w:pPr>
    </w:p>
    <w:p w14:paraId="5BA3227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г. Лавочкин ут</w:t>
      </w:r>
      <w:r w:rsidRPr="00D03F3E">
        <w:rPr>
          <w:rFonts w:ascii="Times New Roman" w:hAnsi="Times New Roman"/>
          <w:color w:val="000000" w:themeColor="text1"/>
          <w:sz w:val="16"/>
          <w:szCs w:val="16"/>
        </w:rPr>
        <w:softHyphen/>
        <w:t>вердил технические условия на Ла-5 «тип 39» с М-82ФНВ. Окончательно режимы серийному двигате</w:t>
      </w:r>
      <w:r w:rsidRPr="00D03F3E">
        <w:rPr>
          <w:rFonts w:ascii="Times New Roman" w:hAnsi="Times New Roman"/>
          <w:color w:val="000000" w:themeColor="text1"/>
          <w:sz w:val="16"/>
          <w:szCs w:val="16"/>
        </w:rPr>
        <w:softHyphen/>
        <w:t>лю были установлены такие: взлетная (кратковременная) мощность 1850 л.с., мощность на высоте 600 м — 1530 л.с., на I границе высот</w:t>
      </w:r>
      <w:r w:rsidRPr="00D03F3E">
        <w:rPr>
          <w:rFonts w:ascii="Times New Roman" w:hAnsi="Times New Roman"/>
          <w:color w:val="000000" w:themeColor="text1"/>
          <w:sz w:val="16"/>
          <w:szCs w:val="16"/>
        </w:rPr>
        <w:softHyphen/>
        <w:t>ности 1650 м — 1630 л.с., на II границе высотности 4650 м — 1430 л.с. По сравнению с Ла-5Ф масса нового самолета возросла на 55 кг за счет более тяжелого мотора (11123).</w:t>
      </w:r>
    </w:p>
    <w:p w14:paraId="1C6D05D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8508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ГК 21 завода С.А.Л. утвердил ТУ на установку мотора М-82ФНВ на Ла-5 типа 39, подписанные Нач. ОКБ Алексеевым и Нач. группы Затван, а т. Нач. 17 отдела Маслеевым.</w:t>
      </w:r>
    </w:p>
    <w:p w14:paraId="13AAC8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Ла-5 М-82 с фонарем увеличенного обзора и бронестеклами - 2230-3240 кг</w:t>
      </w:r>
    </w:p>
    <w:p w14:paraId="19D37B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Ла-5 с М-82ФН - 3285-3295. Утяжеление происходит за счет замены мотора - 40 кг, выхлопных патрубков - 7.5 кг, оковки центроплана и фюзеляжа - 7 кг и всего 55 кг (2519,124).</w:t>
      </w:r>
    </w:p>
    <w:p w14:paraId="61311B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FF4A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года вышло Постановление ГКО № 3218с, 26 апреля 1943 года вышел приказ НКАП № 253с и 8 мая 1943 года вышел приказ 5 ГУ № 28с, в соответствии с которыми в июне 1943 года производство приборов “АК-1Д” было передано с завода № 133 заводу № 122, а ремонт электрических приборов на завод № 339. С завода № 213 (Энгельс) на завод № 133 было переведено производство анероидно-мембранных приборов (указатели скорости, высотомеры, вариометры, моновакуумметры, бензиномеры гидростатические, трубки ПИТО, вакуумметры, указатели азота и антифриза). Завод приступил к реорганизации производства. К началу 1944 года завод стал окончательно организованным предприятием.</w:t>
      </w:r>
    </w:p>
    <w:p w14:paraId="63D574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1944 году по Постановлению ГКО и приказу НКАП № 517 от 27 августа 1943 года, завод производил выпуск ампульных терморегуляторов для инкубаторов.</w:t>
      </w:r>
    </w:p>
    <w:p w14:paraId="0EE64F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Приказом НКАП № 431с от 14 июля 1944 года при заводе № 133 было организовано ОКБ анероидно-мембранных, трубчато-пружинных и сильфонных приборов.</w:t>
      </w:r>
    </w:p>
    <w:p w14:paraId="3495CC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приказом МАП № 683с от 27 августа 1949 года для размещения ОКБ-133 были предоставлены строения и площадка бывш. цеха ширпотреба завода № 140 МАП.</w:t>
      </w:r>
    </w:p>
    <w:p w14:paraId="71C9D5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первом квартале 1951 года ОКБ-133 полностью перебазировалось на новую площадку.</w:t>
      </w:r>
    </w:p>
    <w:p w14:paraId="67121F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января 1959 года</w:t>
      </w:r>
    </w:p>
    <w:p w14:paraId="3D614B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Москва, Б. Божениновский пер., д. 17</w:t>
      </w:r>
    </w:p>
    <w:p w14:paraId="5891C8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Директора завода:</w:t>
      </w:r>
    </w:p>
    <w:p w14:paraId="6BD8AF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Качкачьян М.М. – с октября 1941 года по август 1942 года</w:t>
      </w:r>
    </w:p>
    <w:p w14:paraId="72C582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Комиссаров М.И. – с 18 августа 1942 года по 16 января 1951 года</w:t>
      </w:r>
    </w:p>
    <w:p w14:paraId="1E1A2C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Павлов П.А. – с 16 января 1951 года по 20 апреля 1953 года</w:t>
      </w:r>
    </w:p>
    <w:p w14:paraId="6D250C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Михайлов К.И. – с 20 апреля 1953 года по 31 января 1958 года</w:t>
      </w:r>
    </w:p>
    <w:p w14:paraId="416362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Касьянов Н.Я. – с 31 января 1958 года (9456).</w:t>
      </w:r>
    </w:p>
    <w:p w14:paraId="1CBAF8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C8D7B0" w14:textId="77777777" w:rsidR="002E357C" w:rsidRPr="00D03F3E"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вышло Постановление ГКО № 3217 О плане капитального строительства и материально-технического обеспечения строительств Наркомавиапрома во втором квартале 1943 года.РГАНИР, Фонд ГКО, д. 107, лл. 115-119, 120-133 (11012).</w:t>
      </w:r>
    </w:p>
    <w:p w14:paraId="730763E9" w14:textId="77777777" w:rsidR="002E357C" w:rsidRPr="00D03F3E"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90CD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года вышло Постановление ГОКО за № 3218/с о том, что ЛИИ НКАП должен ликвидироватьт свои филиалы в Казани и Новосибирске и произвести реэвакуацию сотрудников в пос. Стаханово Московской области (8913).</w:t>
      </w:r>
    </w:p>
    <w:p w14:paraId="373596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C9A486" w14:textId="77777777" w:rsidR="002E357C" w:rsidRPr="00D03F3E"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вышло Постановление ГКО № 3218 О материально-техническом обеспечении Наркомавиапрома во II квартале 1943 года.РГАНИР, Фонд ГКО, д. 108, лл. 1-14, 15-143 (11012).</w:t>
      </w:r>
    </w:p>
    <w:p w14:paraId="5BB96692" w14:textId="77777777" w:rsidR="002E357C" w:rsidRPr="00D03F3E"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A0CA39"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г. Постановлением ГКО от № 3218с «областные исполнительные комитеты, Совнаркомы и уполномоченные Госплана на местах обязывались, совместно с директорами заводов НКАП… изыскать дополнительные ресурсы республиканской промышленности для удовлетворения текущих нужд авиапромышленности». Запрещались изъятие и мобилизация рабочих и транспорта с предприятий НКАП. Наркому А.И.Шахурину были предоставлены дополнительные права: заключать прямые договоры с заводами-поставщиками, минуя сбытовые конторы наркоматов, производить «изменения заказов и спецификаций, вызываемые конструктивными…изменениями, а также некомплектностью поставок», «производить переброску материалов, поковок, черных и цветных металлов между предприятиями НКАП», использовать для нужд авиапромышленности весь выпуск станков, гильотинных ножниц, инструмента и др., все отходы алюминиевых сплавов (стружку и т.п.) (12291).</w:t>
      </w:r>
    </w:p>
    <w:p w14:paraId="1D7AEF16" w14:textId="77777777" w:rsidR="002E357C" w:rsidRPr="00D03F3E" w:rsidRDefault="002E357C" w:rsidP="00D03F3E">
      <w:pPr>
        <w:spacing w:after="0" w:line="240" w:lineRule="auto"/>
        <w:jc w:val="both"/>
        <w:rPr>
          <w:rFonts w:ascii="Times New Roman" w:hAnsi="Times New Roman"/>
          <w:color w:val="000000" w:themeColor="text1"/>
          <w:sz w:val="16"/>
          <w:szCs w:val="16"/>
        </w:rPr>
      </w:pPr>
    </w:p>
    <w:p w14:paraId="1032D492"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21 апреля 1943 г. в НИИ ВВС были проведены показательные полигонные испытания на эффективность действия ПТАБ-2,5-1,5.</w:t>
      </w:r>
    </w:p>
    <w:p w14:paraId="091193A6"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На испытаниях присутствовали: член Военного Совета ВВС генерал-майор Ши- манов, заместители командующего ВВС генерал-лейтенанты Никитин и Кондратюк, главный инженер ВВС генерал-лейтенант Репин со своим заместителем генерал- майором Лапиным, заместитель начальни</w:t>
      </w:r>
      <w:r w:rsidRPr="00D03F3E">
        <w:rPr>
          <w:rFonts w:ascii="Times New Roman" w:cs="Times New Roman"/>
          <w:color w:val="000000" w:themeColor="text1"/>
          <w:spacing w:val="0"/>
        </w:rPr>
        <w:softHyphen/>
        <w:t>ка штаба ВВС генерал-майор Машнин, на</w:t>
      </w:r>
      <w:r w:rsidRPr="00D03F3E">
        <w:rPr>
          <w:rFonts w:ascii="Times New Roman" w:cs="Times New Roman"/>
          <w:color w:val="000000" w:themeColor="text1"/>
          <w:spacing w:val="0"/>
        </w:rPr>
        <w:softHyphen/>
        <w:t>чальник ГУЗ ВВС генерал-майор Селезнев, начальник УЗВиБ генерал-майор Солдатов, начальник 3-го отдела ГУ ИАС инженер-пол</w:t>
      </w:r>
      <w:r w:rsidRPr="00D03F3E">
        <w:rPr>
          <w:rFonts w:ascii="Times New Roman" w:cs="Times New Roman"/>
          <w:color w:val="000000" w:themeColor="text1"/>
          <w:spacing w:val="0"/>
        </w:rPr>
        <w:softHyphen/>
        <w:t>ковник Матаев.</w:t>
      </w:r>
    </w:p>
    <w:p w14:paraId="0259FA09"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Кроме авиационного руководства в работе комиссии участвовали предста</w:t>
      </w:r>
      <w:r w:rsidRPr="00D03F3E">
        <w:rPr>
          <w:rFonts w:ascii="Times New Roman" w:cs="Times New Roman"/>
          <w:color w:val="000000" w:themeColor="text1"/>
          <w:spacing w:val="0"/>
        </w:rPr>
        <w:softHyphen/>
        <w:t>витель ГКО генерал-майор Александров, заместитель наркома минометного во</w:t>
      </w:r>
      <w:r w:rsidRPr="00D03F3E">
        <w:rPr>
          <w:rFonts w:ascii="Times New Roman" w:cs="Times New Roman"/>
          <w:color w:val="000000" w:themeColor="text1"/>
          <w:spacing w:val="0"/>
        </w:rPr>
        <w:softHyphen/>
        <w:t>оружения Андреев, главный инженер нар</w:t>
      </w:r>
      <w:r w:rsidRPr="00D03F3E">
        <w:rPr>
          <w:rFonts w:ascii="Times New Roman" w:cs="Times New Roman"/>
          <w:color w:val="000000" w:themeColor="text1"/>
          <w:spacing w:val="0"/>
        </w:rPr>
        <w:softHyphen/>
        <w:t>комата боеприпасов Ларионов и автор кон</w:t>
      </w:r>
      <w:r w:rsidRPr="00D03F3E">
        <w:rPr>
          <w:rFonts w:ascii="Times New Roman" w:cs="Times New Roman"/>
          <w:color w:val="000000" w:themeColor="text1"/>
          <w:spacing w:val="0"/>
        </w:rPr>
        <w:softHyphen/>
        <w:t>струкции бомбы старший инженер ЦКБ-22 И.А. Ларионов.</w:t>
      </w:r>
    </w:p>
    <w:p w14:paraId="50D9DD9F"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От НИИ ВВС испытания обеспечивали сотрудники Управления испытания авиа</w:t>
      </w:r>
      <w:r w:rsidRPr="00D03F3E">
        <w:rPr>
          <w:rFonts w:ascii="Times New Roman" w:cs="Times New Roman"/>
          <w:color w:val="000000" w:themeColor="text1"/>
          <w:spacing w:val="0"/>
        </w:rPr>
        <w:softHyphen/>
        <w:t>ционного вооружения института: начальник 3-го отдела инженер-подполковник Сато- нин, начальник 1-го отделения 3-го отдела инженер-майор Дьячков, летчики-испыта</w:t>
      </w:r>
      <w:r w:rsidRPr="00D03F3E">
        <w:rPr>
          <w:rFonts w:ascii="Times New Roman" w:cs="Times New Roman"/>
          <w:color w:val="000000" w:themeColor="text1"/>
          <w:spacing w:val="0"/>
        </w:rPr>
        <w:softHyphen/>
        <w:t>тели майор Звонарев, капитаны Кусакин, Девятников, Толузаров и Сироткин, лейте</w:t>
      </w:r>
      <w:r w:rsidRPr="00D03F3E">
        <w:rPr>
          <w:rFonts w:ascii="Times New Roman" w:cs="Times New Roman"/>
          <w:color w:val="000000" w:themeColor="text1"/>
          <w:spacing w:val="0"/>
        </w:rPr>
        <w:softHyphen/>
        <w:t>нант Евсеев, а также штурманы-испытатели капитан Лизяев, старшие лейтенанты Быхал и Аронов.</w:t>
      </w:r>
    </w:p>
    <w:p w14:paraId="5117F900"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Программа испытаний включала на</w:t>
      </w:r>
      <w:r w:rsidRPr="00D03F3E">
        <w:rPr>
          <w:rFonts w:ascii="Times New Roman" w:cs="Times New Roman"/>
          <w:color w:val="000000" w:themeColor="text1"/>
          <w:spacing w:val="0"/>
        </w:rPr>
        <w:softHyphen/>
        <w:t>земную и воздушную части. В ходе назем</w:t>
      </w:r>
      <w:r w:rsidRPr="00D03F3E">
        <w:rPr>
          <w:rFonts w:ascii="Times New Roman" w:cs="Times New Roman"/>
          <w:color w:val="000000" w:themeColor="text1"/>
          <w:spacing w:val="0"/>
        </w:rPr>
        <w:softHyphen/>
        <w:t>ной части члены комиссии знакомились с устройством ПТАБ-2,5-1,5 и взрывателя к ней, с процессом подготовки бомб и сна</w:t>
      </w:r>
      <w:r w:rsidRPr="00D03F3E">
        <w:rPr>
          <w:rFonts w:ascii="Times New Roman" w:cs="Times New Roman"/>
          <w:color w:val="000000" w:themeColor="text1"/>
          <w:spacing w:val="0"/>
        </w:rPr>
        <w:softHyphen/>
        <w:t>ряжения кассет мелких бомб самолетов Ил-2, У-2, СБ, а также определялась эф</w:t>
      </w:r>
      <w:r w:rsidRPr="00D03F3E">
        <w:rPr>
          <w:rFonts w:ascii="Times New Roman" w:cs="Times New Roman"/>
          <w:color w:val="000000" w:themeColor="text1"/>
          <w:spacing w:val="0"/>
        </w:rPr>
        <w:softHyphen/>
        <w:t>фективность бомб путем их подрывов на бронеплитах толщиной 40-60 мм отече</w:t>
      </w:r>
      <w:r w:rsidRPr="00D03F3E">
        <w:rPr>
          <w:rFonts w:ascii="Times New Roman" w:cs="Times New Roman"/>
          <w:color w:val="000000" w:themeColor="text1"/>
          <w:spacing w:val="0"/>
        </w:rPr>
        <w:softHyphen/>
        <w:t>ственного производства и на немецкой трофейной технике (танк Рг.IV, бронема</w:t>
      </w:r>
      <w:r w:rsidRPr="00D03F3E">
        <w:rPr>
          <w:rFonts w:ascii="Times New Roman" w:cs="Times New Roman"/>
          <w:color w:val="000000" w:themeColor="text1"/>
          <w:spacing w:val="0"/>
        </w:rPr>
        <w:softHyphen/>
        <w:t>шины и артиллерийские орудия). Для вы</w:t>
      </w:r>
      <w:r w:rsidRPr="00D03F3E">
        <w:rPr>
          <w:rFonts w:ascii="Times New Roman" w:cs="Times New Roman"/>
          <w:color w:val="000000" w:themeColor="text1"/>
          <w:spacing w:val="0"/>
        </w:rPr>
        <w:softHyphen/>
        <w:t>явления эффективности действия бомб в две бронемашины на расстоянии 750 мм от броневого покрытия были помещены в клетках собака и кошка, а на расстоянии 1200 мм - бензобаки, заполненные бензи</w:t>
      </w:r>
      <w:r w:rsidRPr="00D03F3E">
        <w:rPr>
          <w:rFonts w:ascii="Times New Roman" w:cs="Times New Roman"/>
          <w:color w:val="000000" w:themeColor="text1"/>
          <w:spacing w:val="0"/>
        </w:rPr>
        <w:softHyphen/>
        <w:t>ном. Как и прежде, с целью имитации удара о преграду головная часть бомб предвари</w:t>
      </w:r>
      <w:r w:rsidRPr="00D03F3E">
        <w:rPr>
          <w:rFonts w:ascii="Times New Roman" w:cs="Times New Roman"/>
          <w:color w:val="000000" w:themeColor="text1"/>
          <w:spacing w:val="0"/>
        </w:rPr>
        <w:softHyphen/>
        <w:t>тельно деформировалась.</w:t>
      </w:r>
    </w:p>
    <w:p w14:paraId="1FB8567C"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Воздушная часть предполагала показа</w:t>
      </w:r>
      <w:r w:rsidRPr="00D03F3E">
        <w:rPr>
          <w:rFonts w:ascii="Times New Roman" w:cs="Times New Roman"/>
          <w:color w:val="000000" w:themeColor="text1"/>
          <w:spacing w:val="0"/>
        </w:rPr>
        <w:softHyphen/>
        <w:t>тельные бомбометания ПТАБами с самоле</w:t>
      </w:r>
      <w:r w:rsidRPr="00D03F3E">
        <w:rPr>
          <w:rFonts w:ascii="Times New Roman" w:cs="Times New Roman"/>
          <w:color w:val="000000" w:themeColor="text1"/>
          <w:spacing w:val="0"/>
        </w:rPr>
        <w:softHyphen/>
        <w:t>тов У-2, Ил-2 и СБ по мишенной обстановке. Целями служили: 6 немецких бронемашин и 4 бронированных тягача, 3 американских легких танка, один немецкий средний танк Рг.1\/, 13 немецких артиллерийских орудий калибра 75 и 150 мм, 33 бронеплиты тол</w:t>
      </w:r>
      <w:r w:rsidRPr="00D03F3E">
        <w:rPr>
          <w:rFonts w:ascii="Times New Roman" w:cs="Times New Roman"/>
          <w:color w:val="000000" w:themeColor="text1"/>
          <w:spacing w:val="0"/>
        </w:rPr>
        <w:softHyphen/>
        <w:t>щиной от 7 до 60 мм, рельсовая укладка. Орудийная прислуга, танковый десант и лошади (73 макета) имитировались дере</w:t>
      </w:r>
      <w:r w:rsidRPr="00D03F3E">
        <w:rPr>
          <w:rFonts w:ascii="Times New Roman" w:cs="Times New Roman"/>
          <w:color w:val="000000" w:themeColor="text1"/>
          <w:spacing w:val="0"/>
        </w:rPr>
        <w:softHyphen/>
        <w:t>вянными щитами толщиной 25 мм соответ</w:t>
      </w:r>
      <w:r w:rsidRPr="00D03F3E">
        <w:rPr>
          <w:rFonts w:ascii="Times New Roman" w:cs="Times New Roman"/>
          <w:color w:val="000000" w:themeColor="text1"/>
          <w:spacing w:val="0"/>
        </w:rPr>
        <w:softHyphen/>
        <w:t>ствующей формы.</w:t>
      </w:r>
    </w:p>
    <w:p w14:paraId="7DDA9295"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общей слржности было выполнено 8 полетов. Из них 5 вылетов на одномест</w:t>
      </w:r>
      <w:r w:rsidRPr="00D03F3E">
        <w:rPr>
          <w:rFonts w:ascii="Times New Roman" w:cs="Times New Roman"/>
          <w:color w:val="000000" w:themeColor="text1"/>
          <w:spacing w:val="0"/>
        </w:rPr>
        <w:softHyphen/>
        <w:t>ных и двухместных Ил-2 (Звонарев, Куса</w:t>
      </w:r>
      <w:r w:rsidRPr="00D03F3E">
        <w:rPr>
          <w:rFonts w:ascii="Times New Roman" w:cs="Times New Roman"/>
          <w:color w:val="000000" w:themeColor="text1"/>
          <w:spacing w:val="0"/>
        </w:rPr>
        <w:softHyphen/>
        <w:t>кин, Евсеев), один вылет на самолете У-2 (Толузаров и Быхал), два вылета на бомбар</w:t>
      </w:r>
      <w:r w:rsidRPr="00D03F3E">
        <w:rPr>
          <w:rFonts w:ascii="Times New Roman" w:cs="Times New Roman"/>
          <w:color w:val="000000" w:themeColor="text1"/>
          <w:spacing w:val="0"/>
        </w:rPr>
        <w:softHyphen/>
        <w:t>дировщике СБ (Девятников и Аронов, Си</w:t>
      </w:r>
      <w:r w:rsidRPr="00D03F3E">
        <w:rPr>
          <w:rFonts w:ascii="Times New Roman" w:cs="Times New Roman"/>
          <w:color w:val="000000" w:themeColor="text1"/>
          <w:spacing w:val="0"/>
        </w:rPr>
        <w:softHyphen/>
        <w:t>роткин и Лизяев). В кассеты мелких бомб самолета У-2 загружали 106, СБ - 144, а штурмовиков Ил-2 - 278 и 312 ПТАБ-2,5-1,5. Сброс бомб осуществлялся с высоты 75-100 м на скоростях 120 км/ч (У-2) и 300 км/ч (Ил-2, СБ) одиночно кассетами (У-2, Ил-2) и серией из четырех (Ил-2) и шести кассет (СБ) с временным интервалом 0,1с. После 4-го, 6-го и 8-го полетов члены комиссии производили осмотр мишеней.Результаты наземных испытаний своди</w:t>
      </w:r>
      <w:r w:rsidRPr="00D03F3E">
        <w:rPr>
          <w:rFonts w:ascii="Times New Roman" w:cs="Times New Roman"/>
          <w:color w:val="000000" w:themeColor="text1"/>
          <w:spacing w:val="0"/>
        </w:rPr>
        <w:softHyphen/>
        <w:t>лись в основном к следующему. Было про</w:t>
      </w:r>
      <w:r w:rsidRPr="00D03F3E">
        <w:rPr>
          <w:rFonts w:ascii="Times New Roman" w:cs="Times New Roman"/>
          <w:color w:val="000000" w:themeColor="text1"/>
          <w:spacing w:val="0"/>
        </w:rPr>
        <w:softHyphen/>
        <w:t>демонстрировано, что под углом встречи до 30° кумулятивная струя ПТАБ-2,5-1,5 устойчиво пробивает броню толщиной 60 мм, а под углом 45' - 45 мм. При этом ди</w:t>
      </w:r>
      <w:r w:rsidRPr="00D03F3E">
        <w:rPr>
          <w:rFonts w:ascii="Times New Roman" w:cs="Times New Roman"/>
          <w:color w:val="000000" w:themeColor="text1"/>
          <w:spacing w:val="0"/>
        </w:rPr>
        <w:softHyphen/>
        <w:t>аметр отверстия на входе составлял 26 мм и на выходе - 16 мм, а также образовыва</w:t>
      </w:r>
      <w:r w:rsidRPr="00D03F3E">
        <w:rPr>
          <w:rFonts w:ascii="Times New Roman" w:cs="Times New Roman"/>
          <w:color w:val="000000" w:themeColor="text1"/>
          <w:spacing w:val="0"/>
        </w:rPr>
        <w:softHyphen/>
        <w:t>лись отколы брони размерами 60-70 мм.</w:t>
      </w:r>
    </w:p>
    <w:p w14:paraId="45365F88"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При действии по броневому покрытию толщиной 15 мм кумулятивная струя прола</w:t>
      </w:r>
      <w:r w:rsidRPr="00D03F3E">
        <w:rPr>
          <w:rFonts w:ascii="Times New Roman" w:cs="Times New Roman"/>
          <w:color w:val="000000" w:themeColor="text1"/>
          <w:spacing w:val="0"/>
        </w:rPr>
        <w:softHyphen/>
        <w:t>мывает броню, пробивает бензобаки и вос</w:t>
      </w:r>
      <w:r w:rsidRPr="00D03F3E">
        <w:rPr>
          <w:rFonts w:ascii="Times New Roman" w:cs="Times New Roman"/>
          <w:color w:val="000000" w:themeColor="text1"/>
          <w:spacing w:val="0"/>
        </w:rPr>
        <w:softHyphen/>
        <w:t>пламеняет бензин. Животные, помещенные внутри бронемашины, погибли.</w:t>
      </w:r>
    </w:p>
    <w:p w14:paraId="51FBB28E"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Кроме того, при подрыве бомбы на казенной части 150-мм артиллерийского орудия толщиной 95 мм имело место не</w:t>
      </w:r>
      <w:r w:rsidRPr="00D03F3E">
        <w:rPr>
          <w:rFonts w:ascii="Times New Roman" w:cs="Times New Roman"/>
          <w:color w:val="000000" w:themeColor="text1"/>
          <w:spacing w:val="0"/>
        </w:rPr>
        <w:softHyphen/>
        <w:t>сквозное пробитие глубиной 80 мм и диа</w:t>
      </w:r>
      <w:r w:rsidRPr="00D03F3E">
        <w:rPr>
          <w:rFonts w:ascii="Times New Roman" w:cs="Times New Roman"/>
          <w:color w:val="000000" w:themeColor="text1"/>
          <w:spacing w:val="0"/>
        </w:rPr>
        <w:softHyphen/>
        <w:t>метром 23 мм (угол встречи 0°). С противо</w:t>
      </w:r>
      <w:r w:rsidRPr="00D03F3E">
        <w:rPr>
          <w:rFonts w:ascii="Times New Roman" w:cs="Times New Roman"/>
          <w:color w:val="000000" w:themeColor="text1"/>
          <w:spacing w:val="0"/>
        </w:rPr>
        <w:softHyphen/>
        <w:t>положной стороны «получена выпуклость металла».</w:t>
      </w:r>
    </w:p>
    <w:p w14:paraId="3FFDDCBC"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Неприятным моментом стало довольно продолжительное время, затрачиваемое на снаряжение самолетов бомбами. Напри</w:t>
      </w:r>
      <w:r w:rsidRPr="00D03F3E">
        <w:rPr>
          <w:rFonts w:ascii="Times New Roman" w:cs="Times New Roman"/>
          <w:color w:val="000000" w:themeColor="text1"/>
          <w:spacing w:val="0"/>
        </w:rPr>
        <w:softHyphen/>
        <w:t>мер, на подготовку штурмовика Ил-2 к вы</w:t>
      </w:r>
      <w:r w:rsidRPr="00D03F3E">
        <w:rPr>
          <w:rFonts w:ascii="Times New Roman" w:cs="Times New Roman"/>
          <w:color w:val="000000" w:themeColor="text1"/>
          <w:spacing w:val="0"/>
        </w:rPr>
        <w:softHyphen/>
        <w:t>лету при использовании кассет мелких бомб у трех специалистов авиавооружения ухо</w:t>
      </w:r>
      <w:r w:rsidRPr="00D03F3E">
        <w:rPr>
          <w:rFonts w:ascii="Times New Roman" w:cs="Times New Roman"/>
          <w:color w:val="000000" w:themeColor="text1"/>
          <w:spacing w:val="0"/>
        </w:rPr>
        <w:softHyphen/>
        <w:t>дило до 2 ч 50 мин, в том числе: 1 ч 30 мин - на подготовку 272 бомб до полного сна</w:t>
      </w:r>
      <w:r w:rsidRPr="00D03F3E">
        <w:rPr>
          <w:rFonts w:ascii="Times New Roman" w:cs="Times New Roman"/>
          <w:color w:val="000000" w:themeColor="text1"/>
          <w:spacing w:val="0"/>
        </w:rPr>
        <w:softHyphen/>
        <w:t>ряжения, 1 ч - на загрузку бомб в кассеты, 20 мин - на подвеску кассет в бомбоотсеки. При загрузке бомб в универсальные бомбо</w:t>
      </w:r>
      <w:r w:rsidRPr="00D03F3E">
        <w:rPr>
          <w:rFonts w:ascii="Times New Roman" w:cs="Times New Roman"/>
          <w:color w:val="000000" w:themeColor="text1"/>
          <w:spacing w:val="0"/>
        </w:rPr>
        <w:softHyphen/>
        <w:t>отсеки Ил-2 (312 бомб) время готовности к вылету возрастало до 3 ч 08 мин.</w:t>
      </w:r>
    </w:p>
    <w:p w14:paraId="0909E866"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lastRenderedPageBreak/>
        <w:t>Из числа бомб, сброшенных в воздухе с самолетов, подействовало 1816 и отказало 25 бомб, в том числе: 20 - из-за несверты</w:t>
      </w:r>
      <w:r w:rsidRPr="00D03F3E">
        <w:rPr>
          <w:rFonts w:ascii="Times New Roman" w:cs="Times New Roman"/>
          <w:color w:val="000000" w:themeColor="text1"/>
          <w:spacing w:val="0"/>
        </w:rPr>
        <w:softHyphen/>
        <w:t>вания ветрянки и 5 - из-за не выхода чеки. Из 27 целей мишенной обстановки 20 были поражены, в них зафиксировали 38 попада</w:t>
      </w:r>
      <w:r w:rsidRPr="00D03F3E">
        <w:rPr>
          <w:rFonts w:ascii="Times New Roman" w:cs="Times New Roman"/>
          <w:color w:val="000000" w:themeColor="text1"/>
          <w:spacing w:val="0"/>
        </w:rPr>
        <w:softHyphen/>
        <w:t>ний бомб. Все макеты орудийного расчета, танкового десанта и лошадей были разби</w:t>
      </w:r>
      <w:r w:rsidRPr="00D03F3E">
        <w:rPr>
          <w:rFonts w:ascii="Times New Roman" w:cs="Times New Roman"/>
          <w:color w:val="000000" w:themeColor="text1"/>
          <w:spacing w:val="0"/>
        </w:rPr>
        <w:softHyphen/>
        <w:t>ты. Кроме того, 35 бомб попали в рельсовую укладку и три бомбы поразили три бронеплиты, лежащие на земле. Бронеплиты по</w:t>
      </w:r>
      <w:r w:rsidRPr="00D03F3E">
        <w:rPr>
          <w:rFonts w:ascii="Times New Roman" w:cs="Times New Roman"/>
          <w:color w:val="000000" w:themeColor="text1"/>
          <w:spacing w:val="0"/>
        </w:rPr>
        <w:softHyphen/>
        <w:t>лучили сквозные пробоины, а 18 рельсов и 15 шпал - перебиты.</w:t>
      </w:r>
    </w:p>
    <w:p w14:paraId="5C254B33"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Выводы комиссии были положительны</w:t>
      </w:r>
      <w:r w:rsidRPr="00D03F3E">
        <w:rPr>
          <w:rFonts w:ascii="Times New Roman" w:cs="Times New Roman"/>
          <w:color w:val="000000" w:themeColor="text1"/>
          <w:spacing w:val="0"/>
        </w:rPr>
        <w:softHyphen/>
        <w:t>ми. Как следствие, противотанковая бомба ПТАБ-2,5-1,5 конструкции ЦКБ-22 реко</w:t>
      </w:r>
      <w:r w:rsidRPr="00D03F3E">
        <w:rPr>
          <w:rFonts w:ascii="Times New Roman" w:cs="Times New Roman"/>
          <w:color w:val="000000" w:themeColor="text1"/>
          <w:spacing w:val="0"/>
        </w:rPr>
        <w:softHyphen/>
        <w:t>мендовалась «для применения по танкам, бронемашинам, артиллерии, мотомехко- лоннам, живой силе противника, эшело</w:t>
      </w:r>
      <w:r w:rsidRPr="00D03F3E">
        <w:rPr>
          <w:rFonts w:ascii="Times New Roman" w:cs="Times New Roman"/>
          <w:color w:val="000000" w:themeColor="text1"/>
          <w:spacing w:val="0"/>
        </w:rPr>
        <w:softHyphen/>
        <w:t>нам, ж.д. мостам, матчасти самолетов, по наземным нефте- и бензохранилищам и по надводным переправам».</w:t>
      </w:r>
    </w:p>
    <w:p w14:paraId="1DC2BB92"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Поскольку увеличение на 3 мм диаме</w:t>
      </w:r>
      <w:r w:rsidRPr="00D03F3E">
        <w:rPr>
          <w:rFonts w:ascii="Times New Roman" w:cs="Times New Roman"/>
          <w:color w:val="000000" w:themeColor="text1"/>
          <w:spacing w:val="0"/>
        </w:rPr>
        <w:softHyphen/>
        <w:t>тра корпуса бомбы практически не влияло на эксплуатацию бомб, то комиссия разре</w:t>
      </w:r>
      <w:r w:rsidRPr="00D03F3E">
        <w:rPr>
          <w:rFonts w:ascii="Times New Roman" w:cs="Times New Roman"/>
          <w:color w:val="000000" w:themeColor="text1"/>
          <w:spacing w:val="0"/>
        </w:rPr>
        <w:softHyphen/>
        <w:t>шила «допустить ПТАБ-2,5-1,5 к валовому производству с отступлением от ТУ-5-40 по размерам диаметра бомбы».</w:t>
      </w:r>
    </w:p>
    <w:p w14:paraId="52A293EC"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Предложенный ЦКБ-22 контрящий механизм бомбы сочли неудобным. Кон</w:t>
      </w:r>
      <w:r w:rsidRPr="00D03F3E">
        <w:rPr>
          <w:rFonts w:ascii="Times New Roman" w:cs="Times New Roman"/>
          <w:color w:val="000000" w:themeColor="text1"/>
          <w:spacing w:val="0"/>
        </w:rPr>
        <w:softHyphen/>
        <w:t>структору бомбы И.А. Ларионову рекомен</w:t>
      </w:r>
      <w:r w:rsidRPr="00D03F3E">
        <w:rPr>
          <w:rFonts w:ascii="Times New Roman" w:cs="Times New Roman"/>
          <w:color w:val="000000" w:themeColor="text1"/>
          <w:spacing w:val="0"/>
        </w:rPr>
        <w:softHyphen/>
        <w:t>довалось «в дальнейшем разработать более удобное контрящее приспособление и по</w:t>
      </w:r>
      <w:r w:rsidRPr="00D03F3E">
        <w:rPr>
          <w:rFonts w:ascii="Times New Roman" w:cs="Times New Roman"/>
          <w:color w:val="000000" w:themeColor="text1"/>
          <w:spacing w:val="0"/>
        </w:rPr>
        <w:softHyphen/>
        <w:t>дать на контрольные испытания».</w:t>
      </w:r>
    </w:p>
    <w:p w14:paraId="4211B44E"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С целью сокращения времени на под</w:t>
      </w:r>
      <w:r w:rsidRPr="00D03F3E">
        <w:rPr>
          <w:rFonts w:ascii="Times New Roman" w:cs="Times New Roman"/>
          <w:color w:val="000000" w:themeColor="text1"/>
          <w:spacing w:val="0"/>
        </w:rPr>
        <w:softHyphen/>
        <w:t>готовку к боевому вылету самолетов с ПТАБ-2,5-1,5 от наркомата боеприпасов потребовали окончательное снаряжение бомб производить на заводах, а «в строе</w:t>
      </w:r>
      <w:r w:rsidRPr="00D03F3E">
        <w:rPr>
          <w:rFonts w:ascii="Times New Roman" w:cs="Times New Roman"/>
          <w:color w:val="000000" w:themeColor="text1"/>
          <w:spacing w:val="0"/>
        </w:rPr>
        <w:softHyphen/>
        <w:t>вые части подавать бомбы в окончательном снаряженном виде».</w:t>
      </w:r>
    </w:p>
    <w:p w14:paraId="3C3ED992"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Отчет по испытаниям ктвердил заместитель начальника НИИ ВВСгенерал-майор М.В. Гуревич 23 апреля 1943 г. (12739).</w:t>
      </w:r>
    </w:p>
    <w:p w14:paraId="522D8995"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p>
    <w:p w14:paraId="3804074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0D97E2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E181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г были начаты стрельбы из опытного образца 107-мм пушки 9С-1 на Гороховецком полигоне. Всего было сделано 723 выстрела, из них 457 на усиленном заряде. В ходе испытаний возкой пушка прошли 521 км, причем часть пути без передка. Кучность стрельбы удовлетворительная, и в ряде случаев была лучше, чем у 107-мм пушки обр. 1910/30 г. Согласно заключению комиссии опытный образец полигонные испытания выдержал. Отмечены неудовлетворительная экстракция гильзы и появление трещин в ходовой части лафета при стрельбе с бетона. После устранения этих неисправностей пушка была рекомендована к принятию на вооружение. 9С-1 представляла неплохую дивизионную артсистему. Основной недостаток М-60 большой вес был ликвидирован. Вес в боевом положении уменьшился с 4000 кг до 2683 кг и стал соизмерим со 107-мм пушкой обр. 1910/30 г. (2530 кг) и 122-мм гаубицей М-30 (2500 кг). Если в дивизии успешно маневрировали с М-30, почему того же нельзя было сделать и с 9С-1? По сравнению же со 107-мм пушкой обр. 1910/30 г. при одинаковом весе и баллистике 9С-1 имела большую скорость возки 50 км/час против 12 км/час, больший угол ГН 48 против 6, что особенно было важно для борьбы с танками. Однако в серию 9С-1 не пошла. По-видимому это было связано с появлением в 1942 году немецких танков "Тигр" с толстой броней и желанием советского военного руководства иметь полевые пушки с большей начальной скоростью калиберного снаряда 900 м/с и выше. Другой вопрос, что вместо проектирования новых пушек можно было создать хороший кумулятивный 107-мм снаряд, способный пробить броню любого немецкого танка, включая "Королевский Тигр".</w:t>
      </w:r>
    </w:p>
    <w:p w14:paraId="6443A1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Данные 107-мм снарядов к 107-мм пушкам М-60, обр. 1910/30 г. и 9С-1 смотри в таблице. Примечание: * взрывчатое вещество/ зажигательное или дымообразующее, или отравляющее вещество.</w:t>
      </w:r>
    </w:p>
    <w:p w14:paraId="119370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Заряды 107-мм пушек обр. 1910/30 г. и 9С-1.</w:t>
      </w:r>
    </w:p>
    <w:p w14:paraId="6042D8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Заряжание раздельно-гильзовое. Гильза латунная длиной 550 мм.</w:t>
      </w:r>
    </w:p>
    <w:p w14:paraId="7F6EAC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Индекс заряда Ж-423 или ЖН-423. Вес полного заряда 2,79 кг, а уменьшенного 2,34 кг. Давление в канале соответственно 2500 кг/см2 и 2250 кг/см2.</w:t>
      </w:r>
    </w:p>
    <w:p w14:paraId="53D5B1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Заряды 107-мм пушки М-60.</w:t>
      </w:r>
    </w:p>
    <w:p w14:paraId="481715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Заряжание разджельно-гильзовое.</w:t>
      </w:r>
    </w:p>
    <w:p w14:paraId="38A78C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Первоначально были "старые заряды" (без индекса) , марки НФ-16/1. Во второй половине 1941 года введены новые заряды ЖН-425 и Ж-425 того же веса.</w:t>
      </w:r>
    </w:p>
    <w:p w14:paraId="0EC4FD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1941 и 1942 годах использовались и старые, и новые заряды.</w:t>
      </w:r>
    </w:p>
    <w:p w14:paraId="362EFE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Полный заряд состоял из основного пакета и двух равновесных пучков.</w:t>
      </w:r>
    </w:p>
    <w:p w14:paraId="43E195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Пушка М-60 стреляла всеми снарядами от 107-мм пушки обр. 1910/30 г. со "своими" зарядами в "своей" гильзе (3861).</w:t>
      </w:r>
    </w:p>
    <w:p w14:paraId="4034D7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3E8601" w14:textId="77777777" w:rsidR="009418F8" w:rsidRPr="00D03F3E" w:rsidRDefault="009418F8" w:rsidP="00D03F3E">
      <w:pPr>
        <w:pStyle w:val="ae"/>
        <w:shd w:val="clear" w:color="auto" w:fill="FFFFFF"/>
        <w:spacing w:before="0" w:after="0"/>
        <w:jc w:val="both"/>
        <w:rPr>
          <w:color w:val="000000" w:themeColor="text1"/>
          <w:sz w:val="16"/>
          <w:szCs w:val="16"/>
        </w:rPr>
      </w:pPr>
      <w:r w:rsidRPr="00D03F3E">
        <w:rPr>
          <w:color w:val="000000" w:themeColor="text1"/>
          <w:sz w:val="16"/>
          <w:szCs w:val="16"/>
        </w:rPr>
        <w:t>21 апреля 1943 года первый образец СУ-15 вышел на заводские испытания. Машина должна была пройти 1000 километров, из которых 300 по булыжному шоссе. В акте отмечалось, что машина 15-601 была собрана с массой недочётов, вызванных спешкой. Например, двигатель она получила ремонтный, не новой была и главная передача, а ленивец оказался с резиновым бандажом.</w:t>
      </w:r>
    </w:p>
    <w:p w14:paraId="67A7B445" w14:textId="77777777" w:rsidR="009418F8" w:rsidRPr="00D03F3E" w:rsidRDefault="009418F8" w:rsidP="00D03F3E">
      <w:pPr>
        <w:pStyle w:val="ae"/>
        <w:shd w:val="clear" w:color="auto" w:fill="FFFFFF"/>
        <w:spacing w:before="0" w:after="0"/>
        <w:jc w:val="both"/>
        <w:rPr>
          <w:color w:val="000000" w:themeColor="text1"/>
          <w:sz w:val="16"/>
          <w:szCs w:val="16"/>
        </w:rPr>
      </w:pPr>
      <w:r w:rsidRPr="00D03F3E">
        <w:rPr>
          <w:color w:val="000000" w:themeColor="text1"/>
          <w:sz w:val="16"/>
          <w:szCs w:val="16"/>
        </w:rPr>
        <w:t>К 30 апреля машина прошла 804 километра. Вместо булыжного шоссе ехать пришлось по грязному просёлку. Средняя скорость движения в тяжёлых дорожных условиях составила 15,2 км/ч, машина расходовала 280 литров горючего на 100 километров. Для сравнения в пробег отправился и танк Т-70Б. Температурный режим у системы охлаждения СУ-15 оказался немного ниже, плавность хода машин оказалась одинаковой. Испытания стрельбой позволили сделать вывод о достаточно удобном размещении расчёта орудия.</w:t>
      </w:r>
    </w:p>
    <w:p w14:paraId="27BBA817" w14:textId="77777777" w:rsidR="009418F8" w:rsidRPr="00D03F3E" w:rsidRDefault="009418F8" w:rsidP="00D03F3E">
      <w:pPr>
        <w:pStyle w:val="ae"/>
        <w:shd w:val="clear" w:color="auto" w:fill="FFFFFF"/>
        <w:spacing w:before="0" w:after="0"/>
        <w:jc w:val="both"/>
        <w:rPr>
          <w:color w:val="000000" w:themeColor="text1"/>
          <w:sz w:val="16"/>
          <w:szCs w:val="16"/>
        </w:rPr>
      </w:pPr>
      <w:r w:rsidRPr="00D03F3E">
        <w:rPr>
          <w:color w:val="000000" w:themeColor="text1"/>
          <w:sz w:val="16"/>
          <w:szCs w:val="16"/>
        </w:rPr>
        <w:t>К середине мая 1943 года СУ-15 с номером 15-601 прошла 960 километров, остальные три машины по 50–100 километров. В целом машина получилась удачной, но у комиссии возник целый ряд претензий. Среди них, помимо производственных дефектов, указывался и высокий износ ходовой части (17728).</w:t>
      </w:r>
    </w:p>
    <w:p w14:paraId="652C38D8" w14:textId="77777777" w:rsidR="009418F8" w:rsidRPr="00D03F3E" w:rsidRDefault="009418F8" w:rsidP="00D03F3E">
      <w:pPr>
        <w:spacing w:after="0" w:line="240" w:lineRule="auto"/>
        <w:jc w:val="both"/>
        <w:rPr>
          <w:rFonts w:ascii="Times New Roman" w:hAnsi="Times New Roman"/>
          <w:color w:val="000000" w:themeColor="text1"/>
          <w:sz w:val="16"/>
          <w:szCs w:val="16"/>
        </w:rPr>
      </w:pPr>
    </w:p>
    <w:p w14:paraId="6C8DA3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г. распоряжения Совета Народных Комиссаров СССР и приказом Народного Комиссариата химической промышленности от 29 апреля 1943 г. на базе Государственного научно-исследовательского института азота (ГИА), созданного на основании постановления ВСНХ СССР от 15 марта 1931 г., и Государственного института по проектированию азотно-туковых заводов и комбинатов "Гипроазот", созданного приказом Государственного Всесоюзного треста "Союзазот" Народного комиссариата тяжелой промышленности СССР от 15 июня 1932 г., был создан Государственный научно-исследовательский и проектный институт (ГИАП). В 1959 г. институт был переименован в Государственный научно-исследовательский и проектный институт азотной промышленности и продуктов органического синтеза (ГИАП). Указом Президиума Верховного Совета СССР от 17 февраля 1976 г. он был награжден орденом Трудового Красного Знамени. Распоряжением Госкомимущества РФ от 17 января 1994 г. институт был преобразован в Акционерное общество открытого типа "Научно-исследовательский и проектный институт азотной промышленности и продуктов органического синтеза" (АООТ "ГИАП"), которое в соответствии с уставом, зарегистрированным Московской регистрационной палатой 17 февраля 1994 г., было переименовано в Открытое акционерное общество "Научно-исследовательский и проектный институт азотной промышленности и продуктов органического синтеза" (ОАО "ГИАП").</w:t>
      </w:r>
    </w:p>
    <w:p w14:paraId="10B498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3996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вышло Постановление ГКО № 3216 О мероприятиях по обеспечению строительства второй очереди завода № 577 по производству нитроглицериновых порохов Наркомбоеприпасов.РГАНИР, Фонд ГКО, д. 107, лл. 107-109, 110-114 (11012).</w:t>
      </w:r>
    </w:p>
    <w:p w14:paraId="6B5217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693A9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вышло Распоряжение ГКО № 3219 О восстановлении производства прессмасленок Фридмана на Калужском машиностроительном заводе НКПС. (7098, 144).</w:t>
      </w:r>
    </w:p>
    <w:p w14:paraId="2AF9A89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C4AA3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вышло Распоряжение ГКО № 3220 О производстве дноуглубительных работ в Архангельском и Молотовском портах. (7098, 145-146).</w:t>
      </w:r>
    </w:p>
    <w:p w14:paraId="01C34DF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9296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вышло Распоряжение ГКО № 3221. О поставках комплектующих изделий и полуфабрикатов черных и цветных металлов в НКПС во II кв.РГАНИР, Фонд ГКО, д. 108, лл. 147, 148-151 (11012).</w:t>
      </w:r>
    </w:p>
    <w:p w14:paraId="5EA4BF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4B3DF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вышло Постановление ГКО № 3224 Об увеличении пропускной способности Владивостокского порта и о строительстве порта в бухте Находка. (7098, 159-164,165-176).</w:t>
      </w:r>
    </w:p>
    <w:p w14:paraId="6E96176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0BE9D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вышло Постановление ГКО № 3225 О накоплении запасов угля на железных дорогах к зиме 1943-44 года. (7098, 177-179,180).</w:t>
      </w:r>
    </w:p>
    <w:p w14:paraId="57168B7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F1FE9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вышло Постановление ГКО № 3226 Об улучшении использования крупнотоннажных 4-осных полувагонов и хопперов для обеспечения погрузки угля, руды и кокса. (7098, 181-183).</w:t>
      </w:r>
    </w:p>
    <w:p w14:paraId="5CC0F24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1C28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вышло Постановление ГКО № 3227 О поставке во II квартале 1943 года Наркомвоенморфлоту трального вооружения, судового оборудования и запасных частей к механизмам.РГАНИР, Фонд ГКО, д. 108, лл. 184-187, 188-220 (11012).</w:t>
      </w:r>
    </w:p>
    <w:p w14:paraId="605316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89756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вышло Постановление ГКО № 3228 Об упорядочении перевозок массовых грузов на коротких расстояниях. (7098, 221-222).</w:t>
      </w:r>
    </w:p>
    <w:p w14:paraId="2A690C2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047F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21 апреля 1943 вышло Постановление ГКО № 3229 О плане ремонта боевых кораблей, вспомогательных судов и оборудования береговых установок Военно-Морского Флота на II квартал 1943 г.РГАНИР, Фонд ГКО, д. 108, лл. 223-226, 227-247 (11012).</w:t>
      </w:r>
    </w:p>
    <w:p w14:paraId="16AB6F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EDC04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года вышел приказ № 354/224с Наркомата станкостроения и НКТП</w:t>
      </w:r>
    </w:p>
    <w:p w14:paraId="40F545D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постановления ГКО от 12 апреля 1943 года за № ГОКО-3165-сс об увеличении выпуска запчастей для танков и дизелей:</w:t>
      </w:r>
    </w:p>
    <w:p w14:paraId="1C854D3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Начальнику Главстанкопрома передать НКТП Саратовский завод зуборезных станков</w:t>
      </w:r>
    </w:p>
    <w:p w14:paraId="40EFA6A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Начальнику Главстанкомежпрома передать НКТП завод “Станкопатрон” в Муроме</w:t>
      </w:r>
    </w:p>
    <w:p w14:paraId="44D8F13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Начальнику ГУКМАШа передать НКТП завод им. Компартии Франции в Муроме (6133, 218-217).</w:t>
      </w:r>
    </w:p>
    <w:p w14:paraId="51AAACB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AFB06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3E0E6E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A968FE"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в 1943 году утреннее сообщение Совинформбюро:</w:t>
      </w:r>
    </w:p>
    <w:p w14:paraId="602DB1E3"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21 апреля на фронтах существенных изменений не произошло.</w:t>
      </w:r>
    </w:p>
    <w:p w14:paraId="540E3498"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части Н-ского соединения вели ожесточённые бои с противником. К утру все атаки немецкой пехоты были отбиты. Тяжёлые потери нанесены противнику огнём нашей артиллерии и миномётов. По неполным данным, артиллеристами подбито 6 танков и уничтожено до батальона немецкой пехоты. Кроме того, подавлен огонь артиллерийской батареи и потоплено два торпедных катера противника.</w:t>
      </w:r>
    </w:p>
    <w:p w14:paraId="400490F9"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Чугуева наши разведчики проникли в тыл противника, взорвали склад боеприпасов и сожгли бензохранилище.</w:t>
      </w:r>
    </w:p>
    <w:p w14:paraId="0A3A6D90"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наши части вели огневой бой. Советские артиллеристы уничтожили немецкий танк, 4 орудия, 30 повозок с боеприпасами, разрушили 5 блиндажей и 2 наблюдательных пункта противника. Огнём зенитной артиллерии сбит немецкий самолёт-корректировщик.</w:t>
      </w:r>
    </w:p>
    <w:p w14:paraId="7E89DD43"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в результате обстрела вражеских позиций разбито 7 дзотов блиндажей и уничтожена артиллерийская батарея противника. Группа разведчиков под командованием гвардии лейтенанта Шахова ночью проникла в расположение противника и разгромила командный пункт 5 роты 513 немецкого пехотного полка. Разведчики истребили до 40 гитлеровцев, уничтожили автоматическую пушку и, захватив пленных и трофеи, вернулись в свою часть.</w:t>
      </w:r>
    </w:p>
    <w:p w14:paraId="09FA5D23"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наши артиллеристы подавили огонь 10 артиллерийских и 6 миномётных батарей, взорвали 2 склада боеприпасов и истребили до роты немецкой пехоты.</w:t>
      </w:r>
    </w:p>
    <w:p w14:paraId="64D3BCB0"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Подразделение гитлеровцев, переодетых в красноармейскую форму, 8 апреля пыталось проникнуть на базу отряда витебских партизан и уничтожить их. Однако немецко-фашистским оккупантам не удалось обмануть партизан и усыпить их бдительность. Советские патриоты своевременно разгадали подлый приём врага и полностью уничтожили переодевшихся немцев.</w:t>
      </w:r>
    </w:p>
    <w:p w14:paraId="29FA95E3"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солдат 7 роты 111 полка 35 немецкой пехотной дивизии поляк Август Годзинский заявил: «Немцы заливают кровью польские города и сёла. Меня гитлеровцы бросили в концентрационный лагерь за то, что я не хотел пойти работать к немецкому помещику.</w:t>
      </w:r>
    </w:p>
    <w:p w14:paraId="0D54F92A"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Восемь месяцев просидел я в концентрационном лагере в городе Зольдау. Здесь находилось свыше 3.000 поляков. За 8 месяцев гитлеровцы замучили насмерть более 2.000 человек. На моих глазах гестаповцы выводили из лагеря целые семьи и расстреливали их. В лагере немцы убили моего товарища — 26-летнего учителя поляка Цедлерского. Трупы замученных и расстрелянных закопаны в лесу возле Зольдау. Особенно свирепствовали в лагере палачи: штурмфюрер Краузе, эсэсовец Вагнер — владелец галантерейного магазина в Зольдау, Скуза — агент гестапо, впоследствии ставший надсмотрщиком в лагере русских военнопленных, Курмский —агент гестапо и провокатор, Шмогилевский — поляк, предатель, продавшийся немецким оккупантам».</w:t>
      </w:r>
    </w:p>
    <w:p w14:paraId="0FE76F9E"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Жители деревни Горки, Ленинградской области, Мария Самодурова, Мария Семёнова и Анна Озерова, рассказали: «Когда немцы заняли нашу деревню, в ней проживало137 человек. За полтора года фашистские убийцы разорили деревню. За это время 29 человек умерло с голоду. 96 человек гитлеровцы угнали на каторгу в Германию. Сейчас во всей деревне осталось только 6 женщин и четверо ребят от 7 до 12 лет. Отступая, немецкие душегубы подожгли все дома. Во время пожара сгорели две больные колхозницы, которые не могли выбежать из дома» (15106).</w:t>
      </w:r>
    </w:p>
    <w:p w14:paraId="3CB1AC15" w14:textId="77777777" w:rsidR="00057C15" w:rsidRPr="00D03F3E" w:rsidRDefault="00057C15" w:rsidP="00D03F3E">
      <w:pPr>
        <w:spacing w:after="0" w:line="240" w:lineRule="auto"/>
        <w:jc w:val="both"/>
        <w:rPr>
          <w:rFonts w:ascii="Times New Roman" w:hAnsi="Times New Roman"/>
          <w:color w:val="000000" w:themeColor="text1"/>
          <w:sz w:val="16"/>
          <w:szCs w:val="16"/>
        </w:rPr>
      </w:pPr>
    </w:p>
    <w:p w14:paraId="07237780"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в 1943 году вечернее сообщение Совинформбюро:</w:t>
      </w:r>
    </w:p>
    <w:p w14:paraId="76AC231E"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21 апреля на фронтах существенных изменений не произошло.</w:t>
      </w:r>
    </w:p>
    <w:p w14:paraId="44CC29E3"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апреля частями нашей авиации на различных участках фронта уничтожено или повреждено не менее 20 немецких автомашин с войсками и грузами, взорвано 3 склада боеприпасов, подавлен огонь 6 артиллерийских батарей, потоплены сторожевой корабль, транспорт и два десантных судна противника.</w:t>
      </w:r>
    </w:p>
    <w:p w14:paraId="676FCA32"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части Н-ского соединения отражали ожесточённые атаки значительных сил противника. Гитлеровцы непрерывно штурмовали советские позиции, стремясь любой ценой добиться успеха. В наиболее напряжённый момент боя советские самолёты произвели мощный удар по боевым порядкам наступающих частей противника и нанесли в его рядах опустошительные потери. В результате упорного боя все атаки немцев были отбиты.</w:t>
      </w:r>
    </w:p>
    <w:p w14:paraId="46ACCD1C"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велась редкая артиллерийско-миномётная перестрелка. Наши части уничтожили 3 немецких миномёта и подавили огонь 2 артиллерийских батарей противника. На некоторых участках немцы пытались вести разведку боем. Огнём наших подразделений разведывательные отряды гитлеровцев были рассеяны и частью уничтожены.</w:t>
      </w:r>
    </w:p>
    <w:p w14:paraId="6E45890E"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Чугуева огнём советской артиллерии подбит немецкий танк и подожжено несколько складов противника с боеприпасами.</w:t>
      </w:r>
    </w:p>
    <w:p w14:paraId="7CA7CEC6"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артиллеристы и миномётчики Н-ской части уничтожили артиллерийскую батарею и разрушили 6 блиндажей противника. Ружейно-пулемётным огнём сбит немецкий самолёт «Мессершмитт-109».</w:t>
      </w:r>
    </w:p>
    <w:p w14:paraId="4CB48953"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две группы разведчиков под командованием старшего лейтенанта Мальцева и лейтенанта Степанова совершили вылазку в расположение противника. Под прикрытием артиллерийского огня наши бойцы с двух сторон ворвались в немецкие траншеи и истребили 60 гитлеровцев. Снайперы Н-ской части за последние дни уничтожили 108 гитлеровцев. Снайпер т. Блинов за день убил 9 немцев.</w:t>
      </w:r>
    </w:p>
    <w:p w14:paraId="450517AF"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украинского отряда атаковали немцев, охранявших крупный железнодорожный мост. Нападение было настолько внезапным, что гитлеровцы не успели оказать серьёзного сопротивления. Партизаны истребили 40 вражеских солдат, а остальные разбежались. Специальные подрывники заминировали мост и взорвали его. Движение поездов на этом крайне важном для противника участке железной дороги прервано.</w:t>
      </w:r>
    </w:p>
    <w:p w14:paraId="6F6A68F1" w14:textId="77777777" w:rsidR="00057C15" w:rsidRPr="00D03F3E" w:rsidRDefault="00057C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заняли несколько городов. В Оточаце и Бринье патриоты захватили полтора миллиона патронов, два вагона снарядов, 13 тысяч литров бензина и много оружия. Партизаны разгромили сильную вражескую колонну, прорвавшуюся в город Невесинье. Город полностью очищен от гитлеровцев. Противник потерял только убитыми более 100 солдат и офицеров. В Словенском приморье партизаны совершили успешный налёт на итальянские укрепления. Истреблено 80 итальянцев. Захвачено в плен 69 солдат противника. Взяты трофеи: 14 пулемётов, 100 винтовок и много патронов.» (15106).</w:t>
      </w:r>
    </w:p>
    <w:p w14:paraId="6048D39E" w14:textId="77777777" w:rsidR="00057C15" w:rsidRPr="00D03F3E" w:rsidRDefault="00057C15" w:rsidP="00D03F3E">
      <w:pPr>
        <w:spacing w:after="0" w:line="240" w:lineRule="auto"/>
        <w:jc w:val="both"/>
        <w:rPr>
          <w:rFonts w:ascii="Times New Roman" w:hAnsi="Times New Roman"/>
          <w:color w:val="000000" w:themeColor="text1"/>
          <w:sz w:val="16"/>
          <w:szCs w:val="16"/>
        </w:rPr>
      </w:pPr>
    </w:p>
    <w:p w14:paraId="64EB4E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л 805 шап Н.В.Рыхлин на Ил-2 атаковал наземные цели. Вместе со стрелком сбили 2 и. Смогли вернуться. Видел А.А.Новиков. Повысил Рыхлина до ст. л, а стрелку - ст. с - мл.л (340,120).</w:t>
      </w:r>
    </w:p>
    <w:p w14:paraId="322234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4E19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года в северной части Нарвского залива произошла большая воздушная битва. Советские самолеты получили приказ нанести удар по группе немецких кораблей и судов. Основную ударную силу составляли две эскадрильи Ил-2, сопровождаемых 18 Як-7, в то время как 16 Ла-5 из 4го ГИАП должны были нейтрализовать истребители противника. Первым вылетело звено капитана Цыганова, спустя 20 минут стартовало звено капитана Васильева, а еще 10 минут спустя в воздух поднялось звено комполка В. Голубева. Четыре Ла-5 оставались в резерве. Над Нарвским Заливом советские самолеты были атакованы тремя четверками, которые принял на себя Цыганов и в коротком бою сбил один самолет противника. Финны вышли из боя. Вскоре Илы были атакованы шестью FW-190, но пара Голубев-Бычков смогли отразить атаку, сбив одного Фокке-Вульфа. Тогда немцы направили в этот район 16-18 истребителей Вf-109 и FW-190. Однако к этому времени там уже оказалось звено Васильева. Тем временем четверка Цыганова сбила еще одного Вf-109 и вернулась на аэродром. Место улетевших заняло звено командира полка. Тут в бой вступили 14 финских истребителей. Советские пилоты записали на свой счет четыре финские машины, однако противоположная сторона не зарегистрировала подобных потерь. Всего в бою, продолжавшемся 45 минут, советские летчики одержали 19 побед, потеряв 3 Як-7, 2 Ил-2 и одного Ла-5. Один из участников описанной битвы, В. Голубев, будущий командир 4-го ГИАП, 1 июля 1943 года сбил разведывательный Ю-88. По дороге домой. Голубев попал под огонь своей же зенитной артиллерии и едва дотянул на поврежденной машине до аэродрома. Это происшествие удачно прокомментировала одна из кухарок: "Проклятые зенитчики! Ходят в кино, на танцы, а вот заглянуть на аэродром и посмотреть как выглядят наши самолеты у них времени нет" (2691).</w:t>
      </w:r>
    </w:p>
    <w:p w14:paraId="002941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B5FC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21 апреля с. г. пилот 805-го штурмового полка младший лейтенанат Рыхлин Николай Владиславович и стрелок сержант Бфременко Иван Сергеевич на двухместном самолете Ил-2 после выполнения боевого задания в районе цели были встречены и неоднократно атакованы четырьмя вражескими истребителями. Младший лейтенант Рыхлин Н. В., хорошо знающий возможности самолета Ил-2, несмотря на то, что остался один на поле боя, мужественно и отважно вступает в неравный бой с численно превосходящим противником. Правильно используя огонь своего самолета, искусно маневрируя и давая возможность стрелку вести прицельный огонь по атакующим самолетам противника, горя желанием победить врага, младший лейтенант Рыхлин Н. В. и сержант Ефременко И. С. сбивают двух истребителей противника, которые падают на нашей территории, а два других выходят из боя и удирают на свою территорию. Несмотря на полученные в бою ранения экипажа, </w:t>
      </w:r>
      <w:r w:rsidRPr="00D03F3E">
        <w:rPr>
          <w:rFonts w:ascii="Times New Roman" w:hAnsi="Times New Roman"/>
          <w:color w:val="000000" w:themeColor="text1"/>
          <w:sz w:val="16"/>
          <w:szCs w:val="16"/>
        </w:rPr>
        <w:lastRenderedPageBreak/>
        <w:t>младший лейтенант Рыхлин Н. В. поврежденный самолет посадил на свой аэродром (9844).</w:t>
      </w:r>
    </w:p>
    <w:p w14:paraId="65ABE5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94EC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21 апреля по 7 июня 1943 г. на Калининском фронте в составе 1-й воздушной армии Войсковые испытания истребителей с пушками НС-37 проходили. Хотя результаты их были признаны успешными, кроме небольшой партии машин, направленных туда, эта пушка на серийных ЛаГГ-3 не устанавливалась. Позднее НС-37 начали монтировать на истребители Як-9Т и штурмовики Ил-2 (11983).</w:t>
      </w:r>
    </w:p>
    <w:p w14:paraId="023D73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9121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w:t>
      </w:r>
    </w:p>
    <w:p w14:paraId="7CC589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Боевая живучесть экипажей Ил-2 175-го гшап в 1942-45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860B4B" w:rsidRPr="00D03F3E" w14:paraId="4E5B6203" w14:textId="77777777">
        <w:tc>
          <w:tcPr>
            <w:tcW w:w="1601" w:type="dxa"/>
            <w:tcBorders>
              <w:top w:val="single" w:sz="12" w:space="0" w:color="auto"/>
            </w:tcBorders>
          </w:tcPr>
          <w:p w14:paraId="4148E3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Периоды </w:t>
            </w:r>
          </w:p>
        </w:tc>
        <w:tc>
          <w:tcPr>
            <w:tcW w:w="1601" w:type="dxa"/>
            <w:tcBorders>
              <w:top w:val="single" w:sz="12" w:space="0" w:color="auto"/>
            </w:tcBorders>
          </w:tcPr>
          <w:p w14:paraId="244554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27.06.42-18.09.42</w:t>
            </w:r>
          </w:p>
        </w:tc>
        <w:tc>
          <w:tcPr>
            <w:tcW w:w="1601" w:type="dxa"/>
            <w:tcBorders>
              <w:top w:val="single" w:sz="12" w:space="0" w:color="auto"/>
            </w:tcBorders>
          </w:tcPr>
          <w:p w14:paraId="12D2DC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26.01.43-01.04.43</w:t>
            </w:r>
          </w:p>
        </w:tc>
        <w:tc>
          <w:tcPr>
            <w:tcW w:w="1601" w:type="dxa"/>
            <w:tcBorders>
              <w:top w:val="single" w:sz="12" w:space="0" w:color="auto"/>
            </w:tcBorders>
          </w:tcPr>
          <w:p w14:paraId="3E6950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05.07.43-30.07.43</w:t>
            </w:r>
          </w:p>
        </w:tc>
        <w:tc>
          <w:tcPr>
            <w:tcW w:w="1601" w:type="dxa"/>
            <w:tcBorders>
              <w:top w:val="single" w:sz="12" w:space="0" w:color="auto"/>
            </w:tcBorders>
          </w:tcPr>
          <w:p w14:paraId="69360B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01.08.43-31.08.43 </w:t>
            </w:r>
          </w:p>
        </w:tc>
        <w:tc>
          <w:tcPr>
            <w:tcW w:w="1601" w:type="dxa"/>
            <w:tcBorders>
              <w:top w:val="single" w:sz="12" w:space="0" w:color="auto"/>
            </w:tcBorders>
          </w:tcPr>
          <w:p w14:paraId="596E3F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01.09.43-27.04.45</w:t>
            </w:r>
          </w:p>
        </w:tc>
        <w:tc>
          <w:tcPr>
            <w:tcW w:w="1601" w:type="dxa"/>
            <w:tcBorders>
              <w:top w:val="single" w:sz="12" w:space="0" w:color="auto"/>
            </w:tcBorders>
          </w:tcPr>
          <w:p w14:paraId="757CC3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27.06.42-27.04.45</w:t>
            </w:r>
          </w:p>
        </w:tc>
      </w:tr>
      <w:tr w:rsidR="00860B4B" w:rsidRPr="00D03F3E" w14:paraId="4F563E28" w14:textId="77777777">
        <w:tc>
          <w:tcPr>
            <w:tcW w:w="1601" w:type="dxa"/>
          </w:tcPr>
          <w:p w14:paraId="22CBFF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Общее кол-во боевых вылетов полка</w:t>
            </w:r>
          </w:p>
        </w:tc>
        <w:tc>
          <w:tcPr>
            <w:tcW w:w="1601" w:type="dxa"/>
          </w:tcPr>
          <w:p w14:paraId="07101F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236</w:t>
            </w:r>
          </w:p>
        </w:tc>
        <w:tc>
          <w:tcPr>
            <w:tcW w:w="1601" w:type="dxa"/>
          </w:tcPr>
          <w:p w14:paraId="10A76C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210</w:t>
            </w:r>
          </w:p>
        </w:tc>
        <w:tc>
          <w:tcPr>
            <w:tcW w:w="1601" w:type="dxa"/>
          </w:tcPr>
          <w:p w14:paraId="01EAD0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258</w:t>
            </w:r>
          </w:p>
        </w:tc>
        <w:tc>
          <w:tcPr>
            <w:tcW w:w="1601" w:type="dxa"/>
          </w:tcPr>
          <w:p w14:paraId="2847DB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253</w:t>
            </w:r>
          </w:p>
        </w:tc>
        <w:tc>
          <w:tcPr>
            <w:tcW w:w="1601" w:type="dxa"/>
          </w:tcPr>
          <w:p w14:paraId="67B4BA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3325</w:t>
            </w:r>
          </w:p>
        </w:tc>
        <w:tc>
          <w:tcPr>
            <w:tcW w:w="1601" w:type="dxa"/>
          </w:tcPr>
          <w:p w14:paraId="1B70BE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4282</w:t>
            </w:r>
          </w:p>
        </w:tc>
      </w:tr>
      <w:tr w:rsidR="00860B4B" w:rsidRPr="00D03F3E" w14:paraId="2EDC5F1F" w14:textId="77777777">
        <w:tc>
          <w:tcPr>
            <w:tcW w:w="1601" w:type="dxa"/>
          </w:tcPr>
          <w:p w14:paraId="3A9B6E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Кол-во боевых дней по отношению к общему кол-ву дней пребывания полка на фронте, %</w:t>
            </w:r>
          </w:p>
        </w:tc>
        <w:tc>
          <w:tcPr>
            <w:tcW w:w="1601" w:type="dxa"/>
          </w:tcPr>
          <w:p w14:paraId="77EFF8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33,3</w:t>
            </w:r>
          </w:p>
        </w:tc>
        <w:tc>
          <w:tcPr>
            <w:tcW w:w="1601" w:type="dxa"/>
          </w:tcPr>
          <w:p w14:paraId="4C0E8A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34,9</w:t>
            </w:r>
          </w:p>
        </w:tc>
        <w:tc>
          <w:tcPr>
            <w:tcW w:w="1601" w:type="dxa"/>
          </w:tcPr>
          <w:p w14:paraId="64ED47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63,3</w:t>
            </w:r>
          </w:p>
        </w:tc>
        <w:tc>
          <w:tcPr>
            <w:tcW w:w="1601" w:type="dxa"/>
          </w:tcPr>
          <w:p w14:paraId="7DE0E2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w:t>
            </w:r>
          </w:p>
        </w:tc>
        <w:tc>
          <w:tcPr>
            <w:tcW w:w="1601" w:type="dxa"/>
          </w:tcPr>
          <w:p w14:paraId="374DA1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33,3</w:t>
            </w:r>
          </w:p>
        </w:tc>
        <w:tc>
          <w:tcPr>
            <w:tcW w:w="1601" w:type="dxa"/>
          </w:tcPr>
          <w:p w14:paraId="3836F1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45,6</w:t>
            </w:r>
          </w:p>
        </w:tc>
      </w:tr>
      <w:tr w:rsidR="00860B4B" w:rsidRPr="00D03F3E" w14:paraId="57E7DF95" w14:textId="77777777">
        <w:tc>
          <w:tcPr>
            <w:tcW w:w="1601" w:type="dxa"/>
          </w:tcPr>
          <w:p w14:paraId="573A00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Кол-во боевых вылетов, приходящихся на одну боевую потерю Ил-2</w:t>
            </w:r>
          </w:p>
        </w:tc>
        <w:tc>
          <w:tcPr>
            <w:tcW w:w="1601" w:type="dxa"/>
          </w:tcPr>
          <w:p w14:paraId="671EF4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tc>
        <w:tc>
          <w:tcPr>
            <w:tcW w:w="1601" w:type="dxa"/>
          </w:tcPr>
          <w:p w14:paraId="299FD0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12,4</w:t>
            </w:r>
          </w:p>
        </w:tc>
        <w:tc>
          <w:tcPr>
            <w:tcW w:w="1601" w:type="dxa"/>
          </w:tcPr>
          <w:p w14:paraId="7308D0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10,8</w:t>
            </w:r>
          </w:p>
        </w:tc>
        <w:tc>
          <w:tcPr>
            <w:tcW w:w="1601" w:type="dxa"/>
          </w:tcPr>
          <w:p w14:paraId="3430ED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42,2</w:t>
            </w:r>
          </w:p>
        </w:tc>
        <w:tc>
          <w:tcPr>
            <w:tcW w:w="1601" w:type="dxa"/>
          </w:tcPr>
          <w:p w14:paraId="5417AD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69,3</w:t>
            </w:r>
          </w:p>
        </w:tc>
        <w:tc>
          <w:tcPr>
            <w:tcW w:w="1601" w:type="dxa"/>
          </w:tcPr>
          <w:p w14:paraId="2B7238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28,7</w:t>
            </w:r>
          </w:p>
        </w:tc>
      </w:tr>
      <w:tr w:rsidR="00860B4B" w:rsidRPr="00D03F3E" w14:paraId="2BAA7FC8" w14:textId="77777777">
        <w:tc>
          <w:tcPr>
            <w:tcW w:w="1601" w:type="dxa"/>
            <w:tcBorders>
              <w:bottom w:val="single" w:sz="12" w:space="0" w:color="auto"/>
            </w:tcBorders>
          </w:tcPr>
          <w:p w14:paraId="757934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Кол-во боевых вылетов, приходящихся на одну боевую безвозвратную потерю летчика</w:t>
            </w:r>
          </w:p>
        </w:tc>
        <w:tc>
          <w:tcPr>
            <w:tcW w:w="1601" w:type="dxa"/>
            <w:tcBorders>
              <w:bottom w:val="single" w:sz="12" w:space="0" w:color="auto"/>
            </w:tcBorders>
          </w:tcPr>
          <w:p w14:paraId="45E545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18,2</w:t>
            </w:r>
          </w:p>
        </w:tc>
        <w:tc>
          <w:tcPr>
            <w:tcW w:w="1601" w:type="dxa"/>
            <w:tcBorders>
              <w:bottom w:val="single" w:sz="12" w:space="0" w:color="auto"/>
            </w:tcBorders>
          </w:tcPr>
          <w:p w14:paraId="07A55C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tc>
        <w:tc>
          <w:tcPr>
            <w:tcW w:w="1601" w:type="dxa"/>
            <w:tcBorders>
              <w:bottom w:val="single" w:sz="12" w:space="0" w:color="auto"/>
            </w:tcBorders>
          </w:tcPr>
          <w:p w14:paraId="6DD32A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14,3</w:t>
            </w:r>
          </w:p>
        </w:tc>
        <w:tc>
          <w:tcPr>
            <w:tcW w:w="1601" w:type="dxa"/>
            <w:tcBorders>
              <w:bottom w:val="single" w:sz="12" w:space="0" w:color="auto"/>
            </w:tcBorders>
          </w:tcPr>
          <w:p w14:paraId="5908B4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84,3</w:t>
            </w:r>
          </w:p>
        </w:tc>
        <w:tc>
          <w:tcPr>
            <w:tcW w:w="1601" w:type="dxa"/>
            <w:tcBorders>
              <w:bottom w:val="single" w:sz="12" w:space="0" w:color="auto"/>
            </w:tcBorders>
          </w:tcPr>
          <w:p w14:paraId="3DF389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127,9</w:t>
            </w:r>
          </w:p>
        </w:tc>
        <w:tc>
          <w:tcPr>
            <w:tcW w:w="1601" w:type="dxa"/>
            <w:tcBorders>
              <w:bottom w:val="single" w:sz="12" w:space="0" w:color="auto"/>
            </w:tcBorders>
          </w:tcPr>
          <w:p w14:paraId="42E6CF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55,9</w:t>
            </w:r>
          </w:p>
        </w:tc>
      </w:tr>
    </w:tbl>
    <w:p w14:paraId="46F4DC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(12020).</w:t>
      </w:r>
    </w:p>
    <w:p w14:paraId="3AC925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AAFA8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вышло Постановление ГКО № 3222 [Об утверждении положения о Главном управлении контрразведки НКО ("Смерш") и его органах на местах.] (7098, 152,153-157).</w:t>
      </w:r>
    </w:p>
    <w:p w14:paraId="275B2C5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C20BF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вышло Постановление ГКО № 3223 [О временной приостановке перебазирования 4 школ ВВС.] (7098, 158).</w:t>
      </w:r>
    </w:p>
    <w:p w14:paraId="0252835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EE9406" w14:textId="77777777" w:rsidR="00CE6618" w:rsidRPr="00D03F3E" w:rsidRDefault="00CE661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21 апреля 1943 г. ураган порвал крепления аэростата заграждения поста, которым командо</w:t>
      </w:r>
      <w:r w:rsidRPr="00D03F3E">
        <w:rPr>
          <w:rFonts w:ascii="Times New Roman" w:hAnsi="Times New Roman"/>
          <w:color w:val="0070C0"/>
          <w:sz w:val="16"/>
          <w:szCs w:val="16"/>
        </w:rPr>
        <w:softHyphen/>
        <w:t>вала ефрейтор А.И. Васильева. Васильева и крас</w:t>
      </w:r>
      <w:r w:rsidRPr="00D03F3E">
        <w:rPr>
          <w:rFonts w:ascii="Times New Roman" w:hAnsi="Times New Roman"/>
          <w:color w:val="0070C0"/>
          <w:sz w:val="16"/>
          <w:szCs w:val="16"/>
        </w:rPr>
        <w:softHyphen/>
        <w:t>ноармеец Андреева повисли на такелаже, пыта</w:t>
      </w:r>
      <w:r w:rsidRPr="00D03F3E">
        <w:rPr>
          <w:rFonts w:ascii="Times New Roman" w:hAnsi="Times New Roman"/>
          <w:color w:val="0070C0"/>
          <w:sz w:val="16"/>
          <w:szCs w:val="16"/>
        </w:rPr>
        <w:softHyphen/>
        <w:t>ясь удержать огромную оболочку. Аэростат рва</w:t>
      </w:r>
      <w:r w:rsidRPr="00D03F3E">
        <w:rPr>
          <w:rFonts w:ascii="Times New Roman" w:hAnsi="Times New Roman"/>
          <w:color w:val="0070C0"/>
          <w:sz w:val="16"/>
          <w:szCs w:val="16"/>
        </w:rPr>
        <w:softHyphen/>
        <w:t>нуло вверх, но из-за балласта подняться высоко он не смог. Аэростат спасли, но Васильева полу</w:t>
      </w:r>
      <w:r w:rsidRPr="00D03F3E">
        <w:rPr>
          <w:rFonts w:ascii="Times New Roman" w:hAnsi="Times New Roman"/>
          <w:color w:val="0070C0"/>
          <w:sz w:val="16"/>
          <w:szCs w:val="16"/>
        </w:rPr>
        <w:softHyphen/>
        <w:t>чила смертельные ушибы. Отважную девушку наградили посмертно. Командующим войсками Московского фронта ПВО приказал зачислить её навечно в списки части и отделения, которым она командовала (20120).</w:t>
      </w:r>
    </w:p>
    <w:p w14:paraId="31B17BA1" w14:textId="77777777" w:rsidR="00CE6618" w:rsidRPr="00D03F3E" w:rsidRDefault="00CE6618" w:rsidP="00D03F3E">
      <w:pPr>
        <w:spacing w:after="0" w:line="240" w:lineRule="auto"/>
        <w:jc w:val="both"/>
        <w:rPr>
          <w:rFonts w:ascii="Times New Roman" w:hAnsi="Times New Roman"/>
          <w:color w:val="0070C0"/>
          <w:sz w:val="16"/>
          <w:szCs w:val="16"/>
        </w:rPr>
      </w:pPr>
    </w:p>
    <w:p w14:paraId="32863EE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632825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467E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21 и 27 апреля 1943. Из протокола заседания Политбюро N 40, 1943 г.</w:t>
      </w:r>
    </w:p>
    <w:p w14:paraId="29779B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 мерах наказания для немецко-фашистских злодеев, для шпионов, изменников Родины из числа советских граждан и для их пособников </w:t>
      </w:r>
    </w:p>
    <w:p w14:paraId="6C9FF9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Утвердить проект Указа Президиума Верховного Совета СССР: </w:t>
      </w:r>
    </w:p>
    <w:p w14:paraId="503B7B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освобожденных Красной Армией от немецко-фашистских захватчиков городах и селах обнаружено множество фактов неслыханных зверств и чудовищных насилий... Многие десятки тысяч ни в чем не повинных женщин, детей и стариков, а также пленных красноармейцев зверски замучены, повешены, расстреляны, заживо сожжены по приказам командиров воинских частей и частей жандармского корпуса гитлеровской армии, начальников гестапо, бургомистров и военных комендантов городов и сел, начальников лагерей для военнопленных и других представителей фашистских властей... Президиум Верховного Совета СССР постановляет: </w:t>
      </w:r>
    </w:p>
    <w:p w14:paraId="14FCF8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 Установить, что немецкие, итальянские, румынские, венгерские, финские фашистские злодеи, уличенные в совершении убийств и истязаний гражданского населения и пленных красноармейцев, а также шпионы и изменники Родины из числа советских граждан караются смертной казнью через повешение. </w:t>
      </w:r>
    </w:p>
    <w:p w14:paraId="47DE9F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 Пособники из местного населения, уличенные в оказании содействия злодеям и совершении расправ и насилий над гражданским населением и пленными красноармейцами, караются ссылкой в каторжные работы на срок от 15 до 20 лет. </w:t>
      </w:r>
    </w:p>
    <w:p w14:paraId="429171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3. Рассмотрение дел о фашистских злодеях, виновных в расправах и насилиях над мирным советским населением и пленными красноармейцами, а также о шпионах, изменниках Родины из числа советских граждан и о их пособниках из местного населения возложить на военно-полевые суды. </w:t>
      </w:r>
    </w:p>
    <w:p w14:paraId="60B5C4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4. Приговора военно-полевых судов при дивизиях утверждать командиру дивизии и приводить в исполнение немедленно. </w:t>
      </w:r>
    </w:p>
    <w:p w14:paraId="383EC3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Приведение в исполнение приговоров военно-полевых судов при дивизиях — повешение осужденных к смертной казни — производить публично, при народе, а тела повешенных оставлять на виселице в течение нескольких дней, чтобы все знали, как карается и какое возмездие постигает всякого, кто совершает насилие и расправу над гражданским населением и кто предает свою Родину" (11652).</w:t>
      </w:r>
    </w:p>
    <w:p w14:paraId="5ACBB2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8E16C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0D0DA4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5FDC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года</w:t>
      </w:r>
    </w:p>
    <w:p w14:paraId="7B9988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СЕКРЕТНОЕ ПОСЛАНИЕ ПРЕМЬЕРА И. В. СТАЛИНА ПРЕМЬЕР-МИНИСТРУ г-ну У. ЧЕРЧИЛЛЮ</w:t>
      </w:r>
    </w:p>
    <w:p w14:paraId="4C1E92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Поведение Польского Правительства в отношении СССР в последнее время Советское Правительство считает совершенно ненормальным, нарушающим все правила и нормы во взаимоотношениях двух союзных государств.</w:t>
      </w:r>
    </w:p>
    <w:p w14:paraId="4BF640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Враждебная Советскому Союзу клеветническая кампания, начатая немецкими фашистами по поводу ими же убитых польских офицеров в районе Смоленска, на оккупированной германскими войсками территории, была сразу же подхвачена правительством г. Сикорского и всячески разжигается польской официальной печатью. Правительство г. Сикорского не только не дало отпора подлой фашистской клевете на СССР, но даже не сочло нужным обратиться к Советскому Правительству с какими-либо вопросами или за разъяснениями по этому поводу.</w:t>
      </w:r>
    </w:p>
    <w:p w14:paraId="412371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Гитлеровские власти, совершив чудовищное преступление над польскими офицерами, разыгрывают следственную комедию, в инсценировке которой они использовали некоторые подобранные ими же самими польские профашистские элементы из оккупированной Польши, где все находится под пятой Гитлера и где честный поляк не может открыто сказать своего слова.</w:t>
      </w:r>
    </w:p>
    <w:p w14:paraId="07B872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“расследования” привлечен как правительством г. Сикорского, так и гитлеровским правительством Международный Красный Крест, который вынужден в обстановке террористического режима с его виселицами и массовым истреблением мирного населения принять участие в этой следственной комедии, режиссером которой является Гитлер. Понятно, что такое “расследование”, осуществляемое к тому же за спиной Советского Правительства, не может вызвать доверия у сколько-нибудь честных людей.</w:t>
      </w:r>
    </w:p>
    <w:p w14:paraId="4A1C04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 обстоятельство, что враждебная кампания против Советского Союза начата одновременно в немецкой и польской печати и ведется в одном и том же плане,— это обстоятельство не оставляет сомнения в том, что между врагом союзников—Гитлером и правительством г. Сикорского имеется контакт и сговор в проведении этой враждебной кампании.</w:t>
      </w:r>
    </w:p>
    <w:p w14:paraId="2FF0BE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то время как народы Советского Союза, обливаясь кровью в тяжелой борьбе с гитлеровской Германией, напрягают все свои силы для разгрома общего врага свободолюбивых демократических стран, правительство г. Сикорского в угоду тирании Гитлера наносит вероломный удар Советскому Союзу.</w:t>
      </w:r>
    </w:p>
    <w:p w14:paraId="41CA38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Все эти обстоятельства вынуждают Советское Правительство признать, что нынешнее правительство Польши, скатившись на путь сговора с гитлеровским </w:t>
      </w:r>
      <w:r w:rsidRPr="00D03F3E">
        <w:rPr>
          <w:rFonts w:ascii="Times New Roman" w:hAnsi="Times New Roman"/>
          <w:color w:val="000000" w:themeColor="text1"/>
          <w:sz w:val="16"/>
          <w:szCs w:val="16"/>
        </w:rPr>
        <w:lastRenderedPageBreak/>
        <w:t>правительством, прекратило на деле союзные отношения с СССР и стало на позицию враждебных отношений к Советскому Союзу.</w:t>
      </w:r>
    </w:p>
    <w:p w14:paraId="05EB4E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основании всего этого Советское Правительство пришло к выводу о необходимости прервать отношения с этим правительством.</w:t>
      </w:r>
    </w:p>
    <w:p w14:paraId="2F2CB8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 считаю нужным информировать Вас об изложенном и надеюсь, что Британское Правительство поймет необходимость этого вынужденного шага Советского Правительства (7430).</w:t>
      </w:r>
    </w:p>
    <w:p w14:paraId="61BEB2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D32CB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D03F3E">
        <w:rPr>
          <w:rFonts w:ascii="Times New Roman" w:hAnsi="Times New Roman"/>
          <w:i/>
          <w:iCs/>
          <w:color w:val="000000" w:themeColor="text1"/>
          <w:sz w:val="16"/>
          <w:szCs w:val="16"/>
        </w:rPr>
        <w:t>За</w:t>
      </w:r>
      <w:r w:rsidRPr="00D03F3E">
        <w:rPr>
          <w:rFonts w:ascii="Times New Roman" w:hAnsi="Times New Roman"/>
          <w:i/>
          <w:iCs/>
          <w:color w:val="000000" w:themeColor="text1"/>
          <w:sz w:val="16"/>
          <w:szCs w:val="16"/>
          <w:lang w:val="en-US"/>
        </w:rPr>
        <w:t xml:space="preserve"> </w:t>
      </w:r>
      <w:r w:rsidRPr="00D03F3E">
        <w:rPr>
          <w:rFonts w:ascii="Times New Roman" w:hAnsi="Times New Roman"/>
          <w:i/>
          <w:iCs/>
          <w:color w:val="000000" w:themeColor="text1"/>
          <w:sz w:val="16"/>
          <w:szCs w:val="16"/>
        </w:rPr>
        <w:t>рубежом</w:t>
      </w:r>
      <w:r w:rsidRPr="00D03F3E">
        <w:rPr>
          <w:rFonts w:ascii="Times New Roman" w:hAnsi="Times New Roman"/>
          <w:i/>
          <w:iCs/>
          <w:color w:val="000000" w:themeColor="text1"/>
          <w:sz w:val="16"/>
          <w:szCs w:val="16"/>
          <w:lang w:val="en-US"/>
        </w:rPr>
        <w:t>:</w:t>
      </w:r>
    </w:p>
    <w:p w14:paraId="1F6692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3CFF45B6" w14:textId="77777777" w:rsidR="00962150" w:rsidRPr="00D03F3E" w:rsidRDefault="00962150"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April 21 1943 Captain Frederick M. Trapnell made a flight in the Bell XP-59A jet Airacomet at Muroc, Calif., the first jet flight by a U.S. Naval Aviator (1090).</w:t>
      </w:r>
    </w:p>
    <w:p w14:paraId="28222A4A" w14:textId="77777777" w:rsidR="00962150" w:rsidRPr="00D03F3E" w:rsidRDefault="00962150"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1BD2430" w14:textId="77777777" w:rsidR="00962150" w:rsidRPr="00D03F3E" w:rsidRDefault="00962150"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 xml:space="preserve">21 </w:t>
      </w:r>
      <w:r w:rsidRPr="00D03F3E">
        <w:rPr>
          <w:rFonts w:ascii="Times New Roman" w:hAnsi="Times New Roman"/>
          <w:color w:val="000000" w:themeColor="text1"/>
          <w:sz w:val="16"/>
          <w:szCs w:val="16"/>
        </w:rPr>
        <w:t>апреля</w:t>
      </w:r>
      <w:r w:rsidRPr="00D03F3E">
        <w:rPr>
          <w:rFonts w:ascii="Times New Roman" w:hAnsi="Times New Roman"/>
          <w:color w:val="000000" w:themeColor="text1"/>
          <w:sz w:val="16"/>
          <w:szCs w:val="16"/>
          <w:lang w:val="en-US"/>
        </w:rPr>
        <w:t xml:space="preserve"> 1943 Captain Frederick M. Trapnell </w:t>
      </w:r>
      <w:r w:rsidRPr="00D03F3E">
        <w:rPr>
          <w:rFonts w:ascii="Times New Roman" w:hAnsi="Times New Roman"/>
          <w:color w:val="000000" w:themeColor="text1"/>
          <w:sz w:val="16"/>
          <w:szCs w:val="16"/>
        </w:rPr>
        <w:t>былвыполненпервыйполетна</w:t>
      </w:r>
      <w:r w:rsidRPr="00D03F3E">
        <w:rPr>
          <w:rFonts w:ascii="Times New Roman" w:hAnsi="Times New Roman"/>
          <w:color w:val="000000" w:themeColor="text1"/>
          <w:sz w:val="16"/>
          <w:szCs w:val="16"/>
          <w:lang w:val="en-US"/>
        </w:rPr>
        <w:t xml:space="preserve"> Bell XP-59A Airacomet (1090).</w:t>
      </w:r>
    </w:p>
    <w:p w14:paraId="10220DF9" w14:textId="77777777" w:rsidR="00962150" w:rsidRPr="00D03F3E" w:rsidRDefault="00962150"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57EB658" w14:textId="77777777" w:rsidR="00962150" w:rsidRPr="00D03F3E" w:rsidRDefault="009621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в 1943 году завершен беспосадочный перелет на японском экспериментальном дальнем самолете «Ки 77» из Фусса под Токио до Сингапура протяженностью 5330 км за 19 часов 13 минут (15106).</w:t>
      </w:r>
    </w:p>
    <w:p w14:paraId="6925F9E0" w14:textId="77777777" w:rsidR="00962150" w:rsidRPr="00D03F3E" w:rsidRDefault="00962150" w:rsidP="00D03F3E">
      <w:pPr>
        <w:spacing w:after="0" w:line="240" w:lineRule="auto"/>
        <w:jc w:val="both"/>
        <w:rPr>
          <w:rFonts w:ascii="Times New Roman" w:hAnsi="Times New Roman"/>
          <w:color w:val="000000" w:themeColor="text1"/>
          <w:sz w:val="16"/>
          <w:szCs w:val="16"/>
        </w:rPr>
      </w:pPr>
    </w:p>
    <w:p w14:paraId="270F518E" w14:textId="77777777" w:rsidR="00431667" w:rsidRPr="00D03F3E" w:rsidRDefault="0043166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 21 апреля 1943 со второй недели апреля, 11 армия ВВС США 83 раза нападала на Киску (20736).</w:t>
      </w:r>
    </w:p>
    <w:p w14:paraId="11B86B36" w14:textId="77777777" w:rsidR="00431667" w:rsidRPr="00D03F3E" w:rsidRDefault="00431667" w:rsidP="00D03F3E">
      <w:pPr>
        <w:spacing w:after="0" w:line="240" w:lineRule="auto"/>
        <w:jc w:val="both"/>
        <w:rPr>
          <w:rFonts w:ascii="Times New Roman" w:hAnsi="Times New Roman"/>
          <w:color w:val="0070C0"/>
          <w:sz w:val="16"/>
          <w:szCs w:val="16"/>
        </w:rPr>
      </w:pPr>
    </w:p>
    <w:p w14:paraId="70EFF12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1943 у Лондона во время предполетной инспекции были обнаружены неполадки в самолете генерала Де Голля (проверка показала, что кто-то пытался повредить самолет сознательно) (4962).</w:t>
      </w:r>
    </w:p>
    <w:p w14:paraId="4003126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E6AE5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3CBB62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BE9D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1943 года начальник 7-го гл. управления Шишкин писал письмо Шахурину.</w:t>
      </w:r>
    </w:p>
    <w:p w14:paraId="5ABFFC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Справка</w:t>
      </w:r>
    </w:p>
    <w:p w14:paraId="125140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состоянию строительства высотных самолетов.</w:t>
      </w:r>
    </w:p>
    <w:p w14:paraId="522533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Высотный вариант самолета Як-9 с мотором М-105П с нагнетателем Доллежаля.</w:t>
      </w:r>
    </w:p>
    <w:p w14:paraId="78370D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результатам гос. испытаний, проходивших в октябре 1942 г., самолет Як-7 с М-105ПД имеет следующие данные:</w:t>
      </w:r>
    </w:p>
    <w:p w14:paraId="7306FA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у земли - 500 км/час</w:t>
      </w:r>
    </w:p>
    <w:p w14:paraId="6DD709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на высоте 7600 м - 611 км/час</w:t>
      </w:r>
    </w:p>
    <w:p w14:paraId="6D9F2A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на высоте 10000 м - 591 км/час</w:t>
      </w:r>
    </w:p>
    <w:p w14:paraId="0E1E14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подъема на высоту 10000 м - 13,8 мин</w:t>
      </w:r>
    </w:p>
    <w:p w14:paraId="331137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 - 11300 м</w:t>
      </w:r>
    </w:p>
    <w:p w14:paraId="3687E5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заводских испытаниях потолок доведен до 12000 м</w:t>
      </w:r>
    </w:p>
    <w:p w14:paraId="166DF3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1 пушка калибра 20 мм</w:t>
      </w:r>
    </w:p>
    <w:p w14:paraId="1335F1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боезапасом 120 снарядов</w:t>
      </w:r>
    </w:p>
    <w:p w14:paraId="178FC4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Состояние работ.</w:t>
      </w:r>
    </w:p>
    <w:p w14:paraId="0167D3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N 115 выпускает 5 самолетов без герметических кабин, но с кислородным оборудованием. Из них сданы в эксплуатацию частям ПВО 4 экземпляра. На 5-м экземпляре самолета заканчиваются работы по улучшению маслосистемы и увеличению размаха крыла на 1 метр для получения потолка свыше 12000 м.</w:t>
      </w:r>
    </w:p>
    <w:p w14:paraId="0735BE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Отработка герметической кабины и всей связанной с ней высотной аппаратуры производится заводом N 482 на самолете Як-7, который закончен производством и передается в ЛИИ на летные испытания.</w:t>
      </w:r>
    </w:p>
    <w:p w14:paraId="33CFDE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 высотному варианту самолета Як-9 с мотором М-106 с двухскоростным нагнетателем работы не производятся из-за отсутствия мотора.</w:t>
      </w:r>
    </w:p>
    <w:p w14:paraId="489072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Высотный вариант самолета Ла-5 с мотором М-82 с ТК-3 и с мотором М-82ФВК с ТК-3 без герметических кабин.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1108"/>
        <w:gridCol w:w="1868"/>
        <w:gridCol w:w="4252"/>
      </w:tblGrid>
      <w:tr w:rsidR="00860B4B" w:rsidRPr="00D03F3E" w14:paraId="2448D498" w14:textId="77777777">
        <w:tc>
          <w:tcPr>
            <w:tcW w:w="3369" w:type="dxa"/>
          </w:tcPr>
          <w:p w14:paraId="687ADE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Расчетные данные самолета</w:t>
            </w:r>
          </w:p>
        </w:tc>
        <w:tc>
          <w:tcPr>
            <w:tcW w:w="1108" w:type="dxa"/>
          </w:tcPr>
          <w:p w14:paraId="4CA437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2FD0F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М-82 с ТК-3</w:t>
            </w:r>
          </w:p>
        </w:tc>
        <w:tc>
          <w:tcPr>
            <w:tcW w:w="4252" w:type="dxa"/>
          </w:tcPr>
          <w:p w14:paraId="514021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М-82ФВК с ТК-3</w:t>
            </w:r>
          </w:p>
        </w:tc>
      </w:tr>
      <w:tr w:rsidR="00860B4B" w:rsidRPr="00D03F3E" w14:paraId="325A4C4F" w14:textId="77777777">
        <w:tc>
          <w:tcPr>
            <w:tcW w:w="3369" w:type="dxa"/>
          </w:tcPr>
          <w:p w14:paraId="191089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у земли</w:t>
            </w:r>
          </w:p>
        </w:tc>
        <w:tc>
          <w:tcPr>
            <w:tcW w:w="1108" w:type="dxa"/>
          </w:tcPr>
          <w:p w14:paraId="2A68D2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км/час</w:t>
            </w:r>
          </w:p>
        </w:tc>
        <w:tc>
          <w:tcPr>
            <w:tcW w:w="1868" w:type="dxa"/>
          </w:tcPr>
          <w:p w14:paraId="125AEF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540</w:t>
            </w:r>
          </w:p>
        </w:tc>
        <w:tc>
          <w:tcPr>
            <w:tcW w:w="4252" w:type="dxa"/>
          </w:tcPr>
          <w:p w14:paraId="45A051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550</w:t>
            </w:r>
          </w:p>
        </w:tc>
      </w:tr>
      <w:tr w:rsidR="00860B4B" w:rsidRPr="00D03F3E" w14:paraId="47E3E7AC" w14:textId="77777777">
        <w:tc>
          <w:tcPr>
            <w:tcW w:w="3369" w:type="dxa"/>
          </w:tcPr>
          <w:p w14:paraId="4D2E4B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на высоте 8000 м</w:t>
            </w:r>
          </w:p>
        </w:tc>
        <w:tc>
          <w:tcPr>
            <w:tcW w:w="1108" w:type="dxa"/>
          </w:tcPr>
          <w:p w14:paraId="041E5D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км/час</w:t>
            </w:r>
          </w:p>
        </w:tc>
        <w:tc>
          <w:tcPr>
            <w:tcW w:w="1868" w:type="dxa"/>
          </w:tcPr>
          <w:p w14:paraId="1BE664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660</w:t>
            </w:r>
          </w:p>
        </w:tc>
        <w:tc>
          <w:tcPr>
            <w:tcW w:w="4252" w:type="dxa"/>
          </w:tcPr>
          <w:p w14:paraId="70A368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670</w:t>
            </w:r>
          </w:p>
        </w:tc>
      </w:tr>
      <w:tr w:rsidR="00860B4B" w:rsidRPr="00D03F3E" w14:paraId="66A47EAC" w14:textId="77777777">
        <w:tc>
          <w:tcPr>
            <w:tcW w:w="3369" w:type="dxa"/>
          </w:tcPr>
          <w:p w14:paraId="0D3B8B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подъема на высоту 5000 м</w:t>
            </w:r>
          </w:p>
        </w:tc>
        <w:tc>
          <w:tcPr>
            <w:tcW w:w="1108" w:type="dxa"/>
          </w:tcPr>
          <w:p w14:paraId="406E00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мин</w:t>
            </w:r>
          </w:p>
        </w:tc>
        <w:tc>
          <w:tcPr>
            <w:tcW w:w="1868" w:type="dxa"/>
          </w:tcPr>
          <w:p w14:paraId="5704B3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w:t>
            </w:r>
          </w:p>
        </w:tc>
        <w:tc>
          <w:tcPr>
            <w:tcW w:w="4252" w:type="dxa"/>
          </w:tcPr>
          <w:p w14:paraId="6A62AD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tc>
      </w:tr>
      <w:tr w:rsidR="00860B4B" w:rsidRPr="00D03F3E" w14:paraId="4BE26F0E" w14:textId="77777777">
        <w:tc>
          <w:tcPr>
            <w:tcW w:w="3369" w:type="dxa"/>
          </w:tcPr>
          <w:p w14:paraId="4F9C76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w:t>
            </w:r>
          </w:p>
        </w:tc>
        <w:tc>
          <w:tcPr>
            <w:tcW w:w="1108" w:type="dxa"/>
          </w:tcPr>
          <w:p w14:paraId="407294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w:t>
            </w:r>
          </w:p>
        </w:tc>
        <w:tc>
          <w:tcPr>
            <w:tcW w:w="1868" w:type="dxa"/>
          </w:tcPr>
          <w:p w14:paraId="06AF45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12200</w:t>
            </w:r>
          </w:p>
        </w:tc>
        <w:tc>
          <w:tcPr>
            <w:tcW w:w="4252" w:type="dxa"/>
          </w:tcPr>
          <w:p w14:paraId="0D13CE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12200</w:t>
            </w:r>
          </w:p>
        </w:tc>
      </w:tr>
    </w:tbl>
    <w:p w14:paraId="48CB4E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2 пушки калибра 20 мм с боезапасом 340 снарядов.</w:t>
      </w:r>
    </w:p>
    <w:p w14:paraId="3A9F57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Состояние работ.</w:t>
      </w:r>
    </w:p>
    <w:p w14:paraId="0DE30F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1-й экземпляр самолета находится на летных испытаниях и на 17 апреля с.г. произвел 7 полетов для отработки винтомоторной группы.</w:t>
      </w:r>
    </w:p>
    <w:p w14:paraId="5AE359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процессе испытаний выявлено, что агрегат ТК-3 работает нормально, мотор перегревается. Предположительной причиной перегрева является неудовлетворительная работа карбюратора, не обеспечивающего постоянства смеси.</w:t>
      </w:r>
    </w:p>
    <w:p w14:paraId="5EEFB4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2-й экземпляр самолета с мотором М-82ФВК с ТК-3 находится в производстве и на нем устраняются дефекты, имеющие место на первом экземпляре.</w:t>
      </w:r>
    </w:p>
    <w:p w14:paraId="2CEB1A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Герметическая кабина к этому самолету строится заводом N 482. срок выпуска 1 июня с.г.</w:t>
      </w:r>
    </w:p>
    <w:p w14:paraId="52587E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улучшенный самолет МИГ-3 с мотором АМ-35А без герметической кабины.</w:t>
      </w:r>
    </w:p>
    <w:p w14:paraId="280A1B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строится в 6 экземплярах для обеспечения частей противовоздушной обороны.</w:t>
      </w:r>
    </w:p>
    <w:p w14:paraId="26D26E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Повышение летных данных самолета достигается улучшением его аэродинамики, уборкой радиаторов в крыло и облегчением полетного веса до 3100 кг.</w:t>
      </w:r>
    </w:p>
    <w:p w14:paraId="71DB0A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Расчетные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2551"/>
        <w:gridCol w:w="4253"/>
      </w:tblGrid>
      <w:tr w:rsidR="00860B4B" w:rsidRPr="00D03F3E" w14:paraId="4DFD8360" w14:textId="77777777">
        <w:tc>
          <w:tcPr>
            <w:tcW w:w="3794" w:type="dxa"/>
          </w:tcPr>
          <w:p w14:paraId="7B2CA8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максимальная скорость у земли </w:t>
            </w:r>
          </w:p>
        </w:tc>
        <w:tc>
          <w:tcPr>
            <w:tcW w:w="2551" w:type="dxa"/>
          </w:tcPr>
          <w:p w14:paraId="7B53D3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км/час</w:t>
            </w:r>
          </w:p>
        </w:tc>
        <w:tc>
          <w:tcPr>
            <w:tcW w:w="4253" w:type="dxa"/>
          </w:tcPr>
          <w:p w14:paraId="59EF57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520</w:t>
            </w:r>
          </w:p>
        </w:tc>
      </w:tr>
      <w:tr w:rsidR="00860B4B" w:rsidRPr="00D03F3E" w14:paraId="1A411B06" w14:textId="77777777">
        <w:tc>
          <w:tcPr>
            <w:tcW w:w="3794" w:type="dxa"/>
          </w:tcPr>
          <w:p w14:paraId="11A5CF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на высоте 7600 м</w:t>
            </w:r>
          </w:p>
        </w:tc>
        <w:tc>
          <w:tcPr>
            <w:tcW w:w="2551" w:type="dxa"/>
          </w:tcPr>
          <w:p w14:paraId="2119CC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3" w:type="dxa"/>
          </w:tcPr>
          <w:p w14:paraId="75BE22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670</w:t>
            </w:r>
          </w:p>
        </w:tc>
      </w:tr>
      <w:tr w:rsidR="00860B4B" w:rsidRPr="00D03F3E" w14:paraId="064E2DDA" w14:textId="77777777">
        <w:tc>
          <w:tcPr>
            <w:tcW w:w="3794" w:type="dxa"/>
          </w:tcPr>
          <w:p w14:paraId="4EB682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подъема на высоту 5000 м</w:t>
            </w:r>
          </w:p>
        </w:tc>
        <w:tc>
          <w:tcPr>
            <w:tcW w:w="2551" w:type="dxa"/>
          </w:tcPr>
          <w:p w14:paraId="4AC7D9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мин</w:t>
            </w:r>
          </w:p>
        </w:tc>
        <w:tc>
          <w:tcPr>
            <w:tcW w:w="4253" w:type="dxa"/>
          </w:tcPr>
          <w:p w14:paraId="6FED86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w:t>
            </w:r>
          </w:p>
        </w:tc>
      </w:tr>
      <w:tr w:rsidR="00860B4B" w:rsidRPr="00D03F3E" w14:paraId="7B39B523" w14:textId="77777777">
        <w:tc>
          <w:tcPr>
            <w:tcW w:w="3794" w:type="dxa"/>
          </w:tcPr>
          <w:p w14:paraId="0041CB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подъема на высоту 10000 м</w:t>
            </w:r>
          </w:p>
        </w:tc>
        <w:tc>
          <w:tcPr>
            <w:tcW w:w="2551" w:type="dxa"/>
          </w:tcPr>
          <w:p w14:paraId="771B71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3" w:type="dxa"/>
          </w:tcPr>
          <w:p w14:paraId="72DF4A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w:t>
            </w:r>
          </w:p>
        </w:tc>
      </w:tr>
      <w:tr w:rsidR="00860B4B" w:rsidRPr="00D03F3E" w14:paraId="35C5EAB4" w14:textId="77777777">
        <w:tc>
          <w:tcPr>
            <w:tcW w:w="3794" w:type="dxa"/>
          </w:tcPr>
          <w:p w14:paraId="6FE6F9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w:t>
            </w:r>
          </w:p>
        </w:tc>
        <w:tc>
          <w:tcPr>
            <w:tcW w:w="2551" w:type="dxa"/>
          </w:tcPr>
          <w:p w14:paraId="0AF1F7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w:t>
            </w:r>
          </w:p>
        </w:tc>
        <w:tc>
          <w:tcPr>
            <w:tcW w:w="4253" w:type="dxa"/>
          </w:tcPr>
          <w:p w14:paraId="7FBAA1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12500</w:t>
            </w:r>
          </w:p>
        </w:tc>
      </w:tr>
    </w:tbl>
    <w:p w14:paraId="04C9CD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2 синхронных пушки калибра 20 мм с боезапасом 400 снарядов.</w:t>
      </w:r>
    </w:p>
    <w:p w14:paraId="4CDB178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Состояние работ.</w:t>
      </w:r>
    </w:p>
    <w:p w14:paraId="0C2382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1-й экземпляр самолета выпускается на летные испытания к 1 мая с.г. Остальные 5 экземпляров к 1 июня с.г.</w:t>
      </w:r>
    </w:p>
    <w:p w14:paraId="4954E8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Одновременно гл. конструктором Микояном выпускается опытный самолет "МИГ" с мотором АМ-39 с хорошей высотностью.</w:t>
      </w:r>
    </w:p>
    <w:p w14:paraId="596EA2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Расчетные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2551"/>
        <w:gridCol w:w="4253"/>
      </w:tblGrid>
      <w:tr w:rsidR="00860B4B" w:rsidRPr="00D03F3E" w14:paraId="1DA94B8F" w14:textId="77777777">
        <w:tc>
          <w:tcPr>
            <w:tcW w:w="3794" w:type="dxa"/>
          </w:tcPr>
          <w:p w14:paraId="045C82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у земли</w:t>
            </w:r>
          </w:p>
        </w:tc>
        <w:tc>
          <w:tcPr>
            <w:tcW w:w="2551" w:type="dxa"/>
          </w:tcPr>
          <w:p w14:paraId="6C01BA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км/час</w:t>
            </w:r>
          </w:p>
        </w:tc>
        <w:tc>
          <w:tcPr>
            <w:tcW w:w="4253" w:type="dxa"/>
          </w:tcPr>
          <w:p w14:paraId="196DA0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605</w:t>
            </w:r>
          </w:p>
        </w:tc>
      </w:tr>
      <w:tr w:rsidR="00860B4B" w:rsidRPr="00D03F3E" w14:paraId="6077640C" w14:textId="77777777">
        <w:tc>
          <w:tcPr>
            <w:tcW w:w="3794" w:type="dxa"/>
          </w:tcPr>
          <w:p w14:paraId="02C469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на высоте 7600 м</w:t>
            </w:r>
          </w:p>
        </w:tc>
        <w:tc>
          <w:tcPr>
            <w:tcW w:w="2551" w:type="dxa"/>
          </w:tcPr>
          <w:p w14:paraId="43FE98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3" w:type="dxa"/>
          </w:tcPr>
          <w:p w14:paraId="19294C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715</w:t>
            </w:r>
          </w:p>
        </w:tc>
      </w:tr>
      <w:tr w:rsidR="00860B4B" w:rsidRPr="00D03F3E" w14:paraId="043AADCA" w14:textId="77777777">
        <w:tc>
          <w:tcPr>
            <w:tcW w:w="3794" w:type="dxa"/>
          </w:tcPr>
          <w:p w14:paraId="5F461A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подъема на высоту 5000 м</w:t>
            </w:r>
          </w:p>
        </w:tc>
        <w:tc>
          <w:tcPr>
            <w:tcW w:w="2551" w:type="dxa"/>
          </w:tcPr>
          <w:p w14:paraId="1F7050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мин</w:t>
            </w:r>
          </w:p>
        </w:tc>
        <w:tc>
          <w:tcPr>
            <w:tcW w:w="4253" w:type="dxa"/>
          </w:tcPr>
          <w:p w14:paraId="32D082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w:t>
            </w:r>
          </w:p>
        </w:tc>
      </w:tr>
      <w:tr w:rsidR="00860B4B" w:rsidRPr="00D03F3E" w14:paraId="1BB7E587" w14:textId="77777777">
        <w:tc>
          <w:tcPr>
            <w:tcW w:w="3794" w:type="dxa"/>
          </w:tcPr>
          <w:p w14:paraId="5A29D8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подъема на высоту 10000 м</w:t>
            </w:r>
          </w:p>
        </w:tc>
        <w:tc>
          <w:tcPr>
            <w:tcW w:w="2551" w:type="dxa"/>
          </w:tcPr>
          <w:p w14:paraId="12506B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3" w:type="dxa"/>
          </w:tcPr>
          <w:p w14:paraId="324BA9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tc>
      </w:tr>
      <w:tr w:rsidR="00860B4B" w:rsidRPr="00D03F3E" w14:paraId="5C26AC25" w14:textId="77777777">
        <w:tc>
          <w:tcPr>
            <w:tcW w:w="3794" w:type="dxa"/>
          </w:tcPr>
          <w:p w14:paraId="78ED23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w:t>
            </w:r>
          </w:p>
        </w:tc>
        <w:tc>
          <w:tcPr>
            <w:tcW w:w="2551" w:type="dxa"/>
          </w:tcPr>
          <w:p w14:paraId="3C7A3C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w:t>
            </w:r>
          </w:p>
        </w:tc>
        <w:tc>
          <w:tcPr>
            <w:tcW w:w="4253" w:type="dxa"/>
          </w:tcPr>
          <w:p w14:paraId="385CD3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12000</w:t>
            </w:r>
          </w:p>
        </w:tc>
      </w:tr>
    </w:tbl>
    <w:p w14:paraId="52A6FB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4 синхронных пушки калибра 20 мм с боезапасом 600 снарядов; бомбы в перегрузку - 200 кг.</w:t>
      </w:r>
    </w:p>
    <w:p w14:paraId="6AFFEC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Состояние работ.</w:t>
      </w:r>
    </w:p>
    <w:p w14:paraId="7710B4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Выпуск самолета на летные испытания намечен на 20 мая с.г.</w:t>
      </w:r>
    </w:p>
    <w:p w14:paraId="56EC48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 задержкой в поставке мотора АМ-39 самолет для отработки винтомоторной группы проходил летные испытания с мотором АМ-38. Снятые у земли характеристики подтверждают расчетные данные этого самолета при установке на него мотора Ам-39, т.е. скорость у земли по сообщению Гл. конструктора равна 608 км.</w:t>
      </w:r>
    </w:p>
    <w:p w14:paraId="419C28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Высотный двухмоторный истребитель с двумя моторами М-105П с нагнетателем Доллежаля (модификация самолета Пе-2).</w:t>
      </w:r>
    </w:p>
    <w:p w14:paraId="1EBB1C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Расчетные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2551"/>
        <w:gridCol w:w="4253"/>
      </w:tblGrid>
      <w:tr w:rsidR="00860B4B" w:rsidRPr="00D03F3E" w14:paraId="06027464" w14:textId="77777777">
        <w:tc>
          <w:tcPr>
            <w:tcW w:w="3794" w:type="dxa"/>
          </w:tcPr>
          <w:p w14:paraId="0B2FF7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у земли</w:t>
            </w:r>
          </w:p>
        </w:tc>
        <w:tc>
          <w:tcPr>
            <w:tcW w:w="2551" w:type="dxa"/>
          </w:tcPr>
          <w:p w14:paraId="4A42BF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км/час</w:t>
            </w:r>
          </w:p>
        </w:tc>
        <w:tc>
          <w:tcPr>
            <w:tcW w:w="4253" w:type="dxa"/>
          </w:tcPr>
          <w:p w14:paraId="7DB0E3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460</w:t>
            </w:r>
          </w:p>
        </w:tc>
      </w:tr>
      <w:tr w:rsidR="00860B4B" w:rsidRPr="00D03F3E" w14:paraId="028FE066" w14:textId="77777777">
        <w:tc>
          <w:tcPr>
            <w:tcW w:w="3794" w:type="dxa"/>
          </w:tcPr>
          <w:p w14:paraId="2737C2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на высоте 10000 м</w:t>
            </w:r>
          </w:p>
        </w:tc>
        <w:tc>
          <w:tcPr>
            <w:tcW w:w="2551" w:type="dxa"/>
          </w:tcPr>
          <w:p w14:paraId="2135F4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3" w:type="dxa"/>
          </w:tcPr>
          <w:p w14:paraId="2E04A0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530</w:t>
            </w:r>
          </w:p>
        </w:tc>
      </w:tr>
      <w:tr w:rsidR="00860B4B" w:rsidRPr="00D03F3E" w14:paraId="5A5D9522" w14:textId="77777777">
        <w:tc>
          <w:tcPr>
            <w:tcW w:w="3794" w:type="dxa"/>
          </w:tcPr>
          <w:p w14:paraId="64A04B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подъема на высоту 10000</w:t>
            </w:r>
          </w:p>
        </w:tc>
        <w:tc>
          <w:tcPr>
            <w:tcW w:w="2551" w:type="dxa"/>
          </w:tcPr>
          <w:p w14:paraId="7486BC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мин</w:t>
            </w:r>
          </w:p>
        </w:tc>
        <w:tc>
          <w:tcPr>
            <w:tcW w:w="4253" w:type="dxa"/>
          </w:tcPr>
          <w:p w14:paraId="6FE90B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tc>
      </w:tr>
      <w:tr w:rsidR="00860B4B" w:rsidRPr="00D03F3E" w14:paraId="4BDCFA44" w14:textId="77777777">
        <w:tc>
          <w:tcPr>
            <w:tcW w:w="3794" w:type="dxa"/>
          </w:tcPr>
          <w:p w14:paraId="532F1B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практический потолок</w:t>
            </w:r>
          </w:p>
        </w:tc>
        <w:tc>
          <w:tcPr>
            <w:tcW w:w="2551" w:type="dxa"/>
          </w:tcPr>
          <w:p w14:paraId="514201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w:t>
            </w:r>
          </w:p>
        </w:tc>
        <w:tc>
          <w:tcPr>
            <w:tcW w:w="4253" w:type="dxa"/>
          </w:tcPr>
          <w:p w14:paraId="6C531F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12000</w:t>
            </w:r>
          </w:p>
        </w:tc>
      </w:tr>
    </w:tbl>
    <w:p w14:paraId="7779EA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1 пушка калибра 20 мм с боезапасом 250 снарядов</w:t>
      </w:r>
    </w:p>
    <w:p w14:paraId="1B13FA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пулемет калибра 12,7 мм с боезапасом 250 патронов</w:t>
      </w:r>
    </w:p>
    <w:p w14:paraId="688CC9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Состояние работ.</w:t>
      </w:r>
    </w:p>
    <w:p w14:paraId="7C1A46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строится в 3-х экземплярах. 1 экземпляр без герметической кабины и 2 экземпляра с герметическими кабинами.</w:t>
      </w:r>
    </w:p>
    <w:p w14:paraId="17118B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1-й экземпляр находится на летных испытаниях и сделал 2 полета по отработке винтомоторной группы.</w:t>
      </w:r>
    </w:p>
    <w:p w14:paraId="171CE1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2-й экземпляр с герметической кабиной закончен постройкой и проходит наземные испытания.</w:t>
      </w:r>
    </w:p>
    <w:p w14:paraId="49FD2C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улучшения высотных данных, на заводе N 23 для самолета изготовляются деревянные крылья с измененным профилем и увеличенной площадью, подача которых ожидается в ближайшее время.</w:t>
      </w:r>
    </w:p>
    <w:p w14:paraId="1096AF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3-й экземпляр самолета находится в сборке в опытном цехе. Герметическая кабина для этого самолета строится заводом N 482 и будет закончена к 15 мая с.г.</w:t>
      </w:r>
    </w:p>
    <w:p w14:paraId="7FDE23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Пе-2 в высотном варианте с моторами М-106 с двухскоростным нагнетателем не изготавливается ввиду отсутствия моторов.</w:t>
      </w:r>
    </w:p>
    <w:p w14:paraId="081683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Высотный бомбардировщик Ил-4 с 2М-88 с ТК-3.</w:t>
      </w:r>
    </w:p>
    <w:p w14:paraId="62B954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Расчетные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2551"/>
        <w:gridCol w:w="4253"/>
      </w:tblGrid>
      <w:tr w:rsidR="00860B4B" w:rsidRPr="00D03F3E" w14:paraId="775E52ED" w14:textId="77777777">
        <w:tc>
          <w:tcPr>
            <w:tcW w:w="3794" w:type="dxa"/>
          </w:tcPr>
          <w:p w14:paraId="7AECBA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у земли</w:t>
            </w:r>
          </w:p>
        </w:tc>
        <w:tc>
          <w:tcPr>
            <w:tcW w:w="2551" w:type="dxa"/>
          </w:tcPr>
          <w:p w14:paraId="66BC8D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км/час</w:t>
            </w:r>
          </w:p>
        </w:tc>
        <w:tc>
          <w:tcPr>
            <w:tcW w:w="4253" w:type="dxa"/>
          </w:tcPr>
          <w:p w14:paraId="6A9529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362</w:t>
            </w:r>
          </w:p>
        </w:tc>
      </w:tr>
      <w:tr w:rsidR="00860B4B" w:rsidRPr="00D03F3E" w14:paraId="72B44D15" w14:textId="77777777">
        <w:tc>
          <w:tcPr>
            <w:tcW w:w="3794" w:type="dxa"/>
          </w:tcPr>
          <w:p w14:paraId="78A033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на высоте 11000 м</w:t>
            </w:r>
          </w:p>
        </w:tc>
        <w:tc>
          <w:tcPr>
            <w:tcW w:w="2551" w:type="dxa"/>
          </w:tcPr>
          <w:p w14:paraId="34EF1F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253" w:type="dxa"/>
          </w:tcPr>
          <w:p w14:paraId="549852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460</w:t>
            </w:r>
          </w:p>
        </w:tc>
      </w:tr>
      <w:tr w:rsidR="00860B4B" w:rsidRPr="00D03F3E" w14:paraId="18D4AB0C" w14:textId="77777777">
        <w:tc>
          <w:tcPr>
            <w:tcW w:w="3794" w:type="dxa"/>
          </w:tcPr>
          <w:p w14:paraId="09FE20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подъема на высоту 9000 м</w:t>
            </w:r>
          </w:p>
        </w:tc>
        <w:tc>
          <w:tcPr>
            <w:tcW w:w="2551" w:type="dxa"/>
          </w:tcPr>
          <w:p w14:paraId="751FA1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мин</w:t>
            </w:r>
          </w:p>
        </w:tc>
        <w:tc>
          <w:tcPr>
            <w:tcW w:w="4253" w:type="dxa"/>
          </w:tcPr>
          <w:p w14:paraId="597281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w:t>
            </w:r>
          </w:p>
        </w:tc>
      </w:tr>
      <w:tr w:rsidR="00860B4B" w:rsidRPr="00D03F3E" w14:paraId="581DAD8A" w14:textId="77777777">
        <w:tc>
          <w:tcPr>
            <w:tcW w:w="3794" w:type="dxa"/>
          </w:tcPr>
          <w:p w14:paraId="31B2B3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w:t>
            </w:r>
          </w:p>
        </w:tc>
        <w:tc>
          <w:tcPr>
            <w:tcW w:w="2551" w:type="dxa"/>
          </w:tcPr>
          <w:p w14:paraId="2F9AC5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w:t>
            </w:r>
          </w:p>
        </w:tc>
        <w:tc>
          <w:tcPr>
            <w:tcW w:w="4253" w:type="dxa"/>
          </w:tcPr>
          <w:p w14:paraId="5FA500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12000</w:t>
            </w:r>
          </w:p>
        </w:tc>
      </w:tr>
    </w:tbl>
    <w:p w14:paraId="05976F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Состояние работ.</w:t>
      </w:r>
    </w:p>
    <w:p w14:paraId="1DAC08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1-й экземпляр самолета построен без герметической кабины, для отработки в воздухе винтомоторной группы. Самолет с 18.XII.42 г. находится на летных испытаниях. Окончание испытаний задерживается доводочными работами по установке ТК-3.</w:t>
      </w:r>
    </w:p>
    <w:p w14:paraId="6BCAD5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время испытаний вышли из строя 3 мотора М-88 по причине задиров поршней.</w:t>
      </w:r>
    </w:p>
    <w:p w14:paraId="5F7200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Основным дефектом системы ТК-3, выявленным в процессе летных испытаний, является утечка выхлопных газов, из-за негерметичности выхлопной системы.</w:t>
      </w:r>
    </w:p>
    <w:p w14:paraId="339613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по улучшению герметизации продолжаются.</w:t>
      </w:r>
    </w:p>
    <w:p w14:paraId="1F7679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самолет совершил 11 полетов. Полеты производились до высоты 6500 м.</w:t>
      </w:r>
    </w:p>
    <w:p w14:paraId="1F2A99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Последующие 2 экземпляра самолета должны быть с герметическими кабинами. Согласно вашего разрешения Гл. конструктор Ильюшин изготовил один экземпляр самолета с герметической кабиной вместо двух и предъявил его на летные испытания 12 марта с.г.</w:t>
      </w:r>
    </w:p>
    <w:p w14:paraId="4043B4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выполнено 8 полетов. В этих полетах устранялись дефекты по самолету и винтомоторной группе.</w:t>
      </w:r>
    </w:p>
    <w:p w14:paraId="007952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настоящее время на 2-м экземпляре самолета осуществляется герметизация выхлопной системы, аналогично первому экземпляру. На этот же экземпляр будет установлен 2-й вариант герметической кабины с улучшенным обзором летчика в сторону и назад.</w:t>
      </w:r>
    </w:p>
    <w:p w14:paraId="4951BB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Самолет "102" с 2М-71Ф с ТК-3 и с 2МБ-102 с герметическими кабинами.</w:t>
      </w:r>
    </w:p>
    <w:p w14:paraId="5F9D5C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Расчетные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2268"/>
        <w:gridCol w:w="2463"/>
        <w:gridCol w:w="2073"/>
      </w:tblGrid>
      <w:tr w:rsidR="00860B4B" w:rsidRPr="00D03F3E" w14:paraId="2AAF3F58" w14:textId="77777777">
        <w:tc>
          <w:tcPr>
            <w:tcW w:w="3794" w:type="dxa"/>
          </w:tcPr>
          <w:p w14:paraId="32EC70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3B2A0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63" w:type="dxa"/>
          </w:tcPr>
          <w:p w14:paraId="66C092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2М-71Ф с ТК-3</w:t>
            </w:r>
          </w:p>
        </w:tc>
        <w:tc>
          <w:tcPr>
            <w:tcW w:w="2073" w:type="dxa"/>
          </w:tcPr>
          <w:p w14:paraId="04C593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2МБ-102</w:t>
            </w:r>
          </w:p>
        </w:tc>
      </w:tr>
      <w:tr w:rsidR="00860B4B" w:rsidRPr="00D03F3E" w14:paraId="35010B60" w14:textId="77777777">
        <w:tc>
          <w:tcPr>
            <w:tcW w:w="3794" w:type="dxa"/>
          </w:tcPr>
          <w:p w14:paraId="201DC9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у земли</w:t>
            </w:r>
          </w:p>
        </w:tc>
        <w:tc>
          <w:tcPr>
            <w:tcW w:w="2268" w:type="dxa"/>
          </w:tcPr>
          <w:p w14:paraId="31D42F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км/час</w:t>
            </w:r>
          </w:p>
        </w:tc>
        <w:tc>
          <w:tcPr>
            <w:tcW w:w="2463" w:type="dxa"/>
          </w:tcPr>
          <w:p w14:paraId="342623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440</w:t>
            </w:r>
          </w:p>
        </w:tc>
        <w:tc>
          <w:tcPr>
            <w:tcW w:w="2073" w:type="dxa"/>
          </w:tcPr>
          <w:p w14:paraId="362B44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480</w:t>
            </w:r>
          </w:p>
        </w:tc>
      </w:tr>
      <w:tr w:rsidR="00860B4B" w:rsidRPr="00D03F3E" w14:paraId="1684DBBC" w14:textId="77777777">
        <w:tc>
          <w:tcPr>
            <w:tcW w:w="3794" w:type="dxa"/>
          </w:tcPr>
          <w:p w14:paraId="041E27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на высоте</w:t>
            </w:r>
          </w:p>
        </w:tc>
        <w:tc>
          <w:tcPr>
            <w:tcW w:w="2268" w:type="dxa"/>
          </w:tcPr>
          <w:p w14:paraId="13D7D0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км/час/м</w:t>
            </w:r>
          </w:p>
        </w:tc>
        <w:tc>
          <w:tcPr>
            <w:tcW w:w="2463" w:type="dxa"/>
          </w:tcPr>
          <w:p w14:paraId="596008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560/9000</w:t>
            </w:r>
          </w:p>
        </w:tc>
        <w:tc>
          <w:tcPr>
            <w:tcW w:w="2073" w:type="dxa"/>
          </w:tcPr>
          <w:p w14:paraId="542B27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580/8000</w:t>
            </w:r>
          </w:p>
        </w:tc>
      </w:tr>
      <w:tr w:rsidR="00860B4B" w:rsidRPr="00D03F3E" w14:paraId="275C5C2B" w14:textId="77777777">
        <w:tc>
          <w:tcPr>
            <w:tcW w:w="3794" w:type="dxa"/>
          </w:tcPr>
          <w:p w14:paraId="01EE8A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подъема на высоту 5000 м</w:t>
            </w:r>
          </w:p>
        </w:tc>
        <w:tc>
          <w:tcPr>
            <w:tcW w:w="2268" w:type="dxa"/>
          </w:tcPr>
          <w:p w14:paraId="375263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мин</w:t>
            </w:r>
          </w:p>
        </w:tc>
        <w:tc>
          <w:tcPr>
            <w:tcW w:w="2463" w:type="dxa"/>
          </w:tcPr>
          <w:p w14:paraId="6EB0D1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w:t>
            </w:r>
          </w:p>
        </w:tc>
        <w:tc>
          <w:tcPr>
            <w:tcW w:w="2073" w:type="dxa"/>
          </w:tcPr>
          <w:p w14:paraId="105BA8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r>
      <w:tr w:rsidR="00860B4B" w:rsidRPr="00D03F3E" w14:paraId="4FF976DD" w14:textId="77777777">
        <w:tc>
          <w:tcPr>
            <w:tcW w:w="3794" w:type="dxa"/>
          </w:tcPr>
          <w:p w14:paraId="1D48A8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w:t>
            </w:r>
          </w:p>
        </w:tc>
        <w:tc>
          <w:tcPr>
            <w:tcW w:w="2268" w:type="dxa"/>
          </w:tcPr>
          <w:p w14:paraId="077135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w:t>
            </w:r>
          </w:p>
        </w:tc>
        <w:tc>
          <w:tcPr>
            <w:tcW w:w="2463" w:type="dxa"/>
          </w:tcPr>
          <w:p w14:paraId="1D1F92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10500</w:t>
            </w:r>
          </w:p>
        </w:tc>
        <w:tc>
          <w:tcPr>
            <w:tcW w:w="2073" w:type="dxa"/>
          </w:tcPr>
          <w:p w14:paraId="5F4408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11000</w:t>
            </w:r>
          </w:p>
        </w:tc>
      </w:tr>
    </w:tbl>
    <w:p w14:paraId="3051ED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1 пушка калибра 20 мм с боезапасом 150 снарядов</w:t>
      </w:r>
    </w:p>
    <w:p w14:paraId="51FFF3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пулемета калибра 12,7 мм с боезапасом 900 патронов.</w:t>
      </w:r>
    </w:p>
    <w:p w14:paraId="6335DE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Состояние работ.</w:t>
      </w:r>
    </w:p>
    <w:p w14:paraId="24A748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находится на совместных испытаниях с моторами М-71. Моторы и ТК для высотного варианта заводом N 288 еще не получены. Строится стенд для отработки винтомоторной группы с ТК.</w:t>
      </w:r>
    </w:p>
    <w:p w14:paraId="408C6D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под моторы МБ-102 находится в производстве, его готовность составляет 40%. Поступление моторов предполагается не ранее 15 октября 1943 г (1458,170).</w:t>
      </w:r>
    </w:p>
    <w:p w14:paraId="665AAA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38A0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1943 вышел приказ N 2 по 7 ГУ:</w:t>
      </w:r>
    </w:p>
    <w:p w14:paraId="7A7750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снятия летных характеристик самолета Ла-7 с доп. двигателем системы Меркулова:</w:t>
      </w:r>
    </w:p>
    <w:p w14:paraId="4E581C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Нач. ЛИИ Чесалову провести летные испытания Як-7 с доп. ВРД системы Меркулова..." (А.С.Я.) (2534,2).</w:t>
      </w:r>
    </w:p>
    <w:p w14:paraId="25514B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D7C1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1943 вышло Постановление ГКО № 3234 О строительстве оперативных аэродромов и взлетно-посадочных полос для ВВС Красной Армии, НКВМФ и ГУГВФ в 1943 году.РГАНИР, Фонд ГКО, д. 109, лл. 39-44, 45-56 (11012).</w:t>
      </w:r>
    </w:p>
    <w:p w14:paraId="022F42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284A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1943 вышло Постановление ГКО № 3236 Об особых мероприятиях по обеспечению увеличения выпуска пушечного вооружения авиации.РГАНИР, Фонд ГКО, д. 109, лл. 60-65, 66-71 (11012).</w:t>
      </w:r>
    </w:p>
    <w:p w14:paraId="26B861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80FB9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1416B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C734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1943 вышло Постановление ГКО № 3230 О восстановлении Сталинградского тракторного завода и завода № 264 Наркомтанкопрома.РГАНИР, Фонд ГКО, д. 109, лл. 1-14, 15-27 (11012).</w:t>
      </w:r>
    </w:p>
    <w:p w14:paraId="164046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E818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1943 г. в соответствии с пост. ГКО № 3230 начато восстановление завода № 264 НКТП (Завод № 264 НКСП, НКТП, Сарептская верфь, Сталинградская судоверфь МРФ, ОАО «Волгоградский судостроительный завод» (ВгСЗ) /г. Сарепта,  г. Красноармейск Сталинградской обл./ /400024 (400112)  г. Волгоград ул. Арсеньева, 2/) на прежнем месте; ЗОЛ 1.1943 г. вышло распоряжение ГКО № 4706 о мерах по восстановлению завода, строился в 1949 г.</w:t>
      </w:r>
    </w:p>
    <w:p w14:paraId="7505DE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ГКО № 2777 от 20.01.1943 г. на заводе организован ремонт танков. В соответствии с пост. ГКО № 6209 от 18.07.1944 г. на заводе организовано производство танка Т-44.</w:t>
      </w:r>
    </w:p>
    <w:p w14:paraId="7D39E5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войны Сталинградская судоверфь передана в МРФ. С 1946 г. начато строительство сухогрузных барж, буксиров, земснарядов.</w:t>
      </w:r>
    </w:p>
    <w:p w14:paraId="31300A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Далее- это ОАО «Волгоградский судостроительный завод».</w:t>
      </w:r>
    </w:p>
    <w:p w14:paraId="1B075F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05.2003 г. завод вошел в корпорацию ОМЗ, в 2004 г.- в ГК МНП (и на 2008 г.). По решению правительства № 22-р от 9.01.2004 г. вошло в перечень стратегических предприятий.</w:t>
      </w:r>
    </w:p>
    <w:p w14:paraId="04D52E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площадке завода располагались (2007 г.) спецпроизводства по выпуску БМД-3.</w:t>
      </w:r>
    </w:p>
    <w:p w14:paraId="0156EC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(ВОВ)-  Г. Суворов, (ВОВ)- В. Фомин. Гендиректор (-2003-05 г.)- А. Литра, (2005-07 г.)- В. Прудыус, (2007 г.-)- И. Глушаков.</w:t>
      </w:r>
    </w:p>
    <w:p w14:paraId="7EBE75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(1970-е)- М.Н. Чемоданов.</w:t>
      </w:r>
    </w:p>
    <w:p w14:paraId="6BA70A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 баржи:</w:t>
      </w:r>
      <w:r w:rsidRPr="00D03F3E">
        <w:rPr>
          <w:rFonts w:ascii="Times New Roman" w:hAnsi="Times New Roman"/>
          <w:color w:val="000000" w:themeColor="text1"/>
          <w:sz w:val="16"/>
          <w:szCs w:val="16"/>
        </w:rPr>
        <w:t xml:space="preserve"> наливная «Нева» (-1935), сварные (1939), палубная пр. 425 (1950-е); сухогрузные пр. 617 (1952), на 2860 т (1960-е); буксиры: 400 л.с. пр. СБ-25 (1936), разборные 200 л.с. (1930-е); катера «речные трамваи» (1930-е); бронекатера пр. 1124, пр. 1125 (1930-е-41-); сетевые заградители пр. С-149 «Вятка», «Онега» (1938-40), «Искатель», «Тура» (1941, не достроены), «Молога», «Сухона», «Мезень», «Вычегда» (1941, достройка на заводе 368); пассажирские морские дизель-электроходы «Баку», «Волгоград» (1963); земснаряды (1951-60-е), самоходные краны (1960-е);</w:t>
      </w:r>
      <w:r w:rsidRPr="00D03F3E">
        <w:rPr>
          <w:rFonts w:ascii="Times New Roman" w:hAnsi="Times New Roman"/>
          <w:iCs/>
          <w:color w:val="000000" w:themeColor="text1"/>
          <w:sz w:val="16"/>
          <w:szCs w:val="16"/>
        </w:rPr>
        <w:t xml:space="preserve"> танкеры:</w:t>
      </w:r>
      <w:r w:rsidRPr="00D03F3E">
        <w:rPr>
          <w:rFonts w:ascii="Times New Roman" w:hAnsi="Times New Roman"/>
          <w:color w:val="000000" w:themeColor="text1"/>
          <w:sz w:val="16"/>
          <w:szCs w:val="16"/>
        </w:rPr>
        <w:t xml:space="preserve"> речные пр. 587 «Лось» (1958), река-море пр. 558 «Великий», пр. 1577 «Волгонефть» (1963-2002)-140; пр. 1677М «Олег Кошевой» (1979-89)- 16; СРТ пр. 502 типа «Маяк» (1960-е-73); траулер-сейнер пр. 503 типа «Альпинист» (1979-80-е)- 180;</w:t>
      </w:r>
      <w:r w:rsidRPr="00D03F3E">
        <w:rPr>
          <w:rFonts w:ascii="Times New Roman" w:hAnsi="Times New Roman"/>
          <w:iCs/>
          <w:color w:val="000000" w:themeColor="text1"/>
          <w:sz w:val="16"/>
          <w:szCs w:val="16"/>
        </w:rPr>
        <w:t xml:space="preserve"> сухогрузы:</w:t>
      </w:r>
      <w:r w:rsidRPr="00D03F3E">
        <w:rPr>
          <w:rFonts w:ascii="Times New Roman" w:hAnsi="Times New Roman"/>
          <w:color w:val="000000" w:themeColor="text1"/>
          <w:sz w:val="16"/>
          <w:szCs w:val="16"/>
        </w:rPr>
        <w:t xml:space="preserve"> типа «Шестая пятилетка» (1950-е), пр. 1557 «50 лет Советской власти» (1967-)- более 80 (вместе с заводами «Красное Сормово» и им. Володарского); «река-море» пр. 16290/291 (1994-98)- 10, пр. 006</w:t>
      </w:r>
      <w:r w:rsidRPr="00D03F3E">
        <w:rPr>
          <w:rFonts w:ascii="Times New Roman" w:hAnsi="Times New Roman"/>
          <w:color w:val="000000" w:themeColor="text1"/>
          <w:sz w:val="16"/>
          <w:szCs w:val="16"/>
          <w:lang w:val="en-US"/>
        </w:rPr>
        <w:t>RSD</w:t>
      </w:r>
      <w:r w:rsidRPr="00D03F3E">
        <w:rPr>
          <w:rFonts w:ascii="Times New Roman" w:hAnsi="Times New Roman"/>
          <w:color w:val="000000" w:themeColor="text1"/>
          <w:sz w:val="16"/>
          <w:szCs w:val="16"/>
        </w:rPr>
        <w:t>05 для Азербайджана "</w:t>
      </w:r>
      <w:r w:rsidRPr="00D03F3E">
        <w:rPr>
          <w:rFonts w:ascii="Times New Roman" w:hAnsi="Times New Roman"/>
          <w:color w:val="000000" w:themeColor="text1"/>
          <w:sz w:val="16"/>
          <w:szCs w:val="16"/>
          <w:lang w:val="en-US"/>
        </w:rPr>
        <w:t>HeidarAliyev</w:t>
      </w:r>
      <w:r w:rsidRPr="00D03F3E">
        <w:rPr>
          <w:rFonts w:ascii="Times New Roman" w:hAnsi="Times New Roman"/>
          <w:color w:val="000000" w:themeColor="text1"/>
          <w:sz w:val="16"/>
          <w:szCs w:val="16"/>
        </w:rPr>
        <w:t>" (2003-04), "</w:t>
      </w:r>
      <w:r w:rsidRPr="00D03F3E">
        <w:rPr>
          <w:rFonts w:ascii="Times New Roman" w:hAnsi="Times New Roman"/>
          <w:color w:val="000000" w:themeColor="text1"/>
          <w:sz w:val="16"/>
          <w:szCs w:val="16"/>
          <w:lang w:val="en-US"/>
        </w:rPr>
        <w:t>PalmaliVoyager</w:t>
      </w:r>
      <w:r w:rsidRPr="00D03F3E">
        <w:rPr>
          <w:rFonts w:ascii="Times New Roman" w:hAnsi="Times New Roman"/>
          <w:color w:val="000000" w:themeColor="text1"/>
          <w:sz w:val="16"/>
          <w:szCs w:val="16"/>
        </w:rPr>
        <w:t>" (2003-04), "</w:t>
      </w:r>
      <w:r w:rsidRPr="00D03F3E">
        <w:rPr>
          <w:rFonts w:ascii="Times New Roman" w:hAnsi="Times New Roman"/>
          <w:color w:val="000000" w:themeColor="text1"/>
          <w:sz w:val="16"/>
          <w:szCs w:val="16"/>
          <w:lang w:val="en-US"/>
        </w:rPr>
        <w:t>IlyasEfendiev</w:t>
      </w:r>
      <w:r w:rsidRPr="00D03F3E">
        <w:rPr>
          <w:rFonts w:ascii="Times New Roman" w:hAnsi="Times New Roman"/>
          <w:color w:val="000000" w:themeColor="text1"/>
          <w:sz w:val="16"/>
          <w:szCs w:val="16"/>
        </w:rPr>
        <w:t>" (-08.2005), "</w:t>
      </w:r>
      <w:r w:rsidRPr="00D03F3E">
        <w:rPr>
          <w:rFonts w:ascii="Times New Roman" w:hAnsi="Times New Roman"/>
          <w:color w:val="000000" w:themeColor="text1"/>
          <w:sz w:val="16"/>
          <w:szCs w:val="16"/>
          <w:lang w:val="en-US"/>
        </w:rPr>
        <w:t>Nakhichevan</w:t>
      </w:r>
      <w:r w:rsidRPr="00D03F3E">
        <w:rPr>
          <w:rFonts w:ascii="Times New Roman" w:hAnsi="Times New Roman"/>
          <w:color w:val="000000" w:themeColor="text1"/>
          <w:sz w:val="16"/>
          <w:szCs w:val="16"/>
        </w:rPr>
        <w:t>" (-10.2005), "</w:t>
      </w:r>
      <w:r w:rsidRPr="00D03F3E">
        <w:rPr>
          <w:rFonts w:ascii="Times New Roman" w:hAnsi="Times New Roman"/>
          <w:color w:val="000000" w:themeColor="text1"/>
          <w:sz w:val="16"/>
          <w:szCs w:val="16"/>
          <w:lang w:val="en-US"/>
        </w:rPr>
        <w:t>ZeynalabdinTagiev</w:t>
      </w:r>
      <w:r w:rsidRPr="00D03F3E">
        <w:rPr>
          <w:rFonts w:ascii="Times New Roman" w:hAnsi="Times New Roman"/>
          <w:color w:val="000000" w:themeColor="text1"/>
          <w:sz w:val="16"/>
          <w:szCs w:val="16"/>
        </w:rPr>
        <w:t>" (-05.2006), "</w:t>
      </w:r>
      <w:r w:rsidRPr="00D03F3E">
        <w:rPr>
          <w:rFonts w:ascii="Times New Roman" w:hAnsi="Times New Roman"/>
          <w:color w:val="000000" w:themeColor="text1"/>
          <w:sz w:val="16"/>
          <w:szCs w:val="16"/>
          <w:lang w:val="en-US"/>
        </w:rPr>
        <w:t>MirJalalPashajev</w:t>
      </w:r>
      <w:r w:rsidRPr="00D03F3E">
        <w:rPr>
          <w:rFonts w:ascii="Times New Roman" w:hAnsi="Times New Roman"/>
          <w:color w:val="000000" w:themeColor="text1"/>
          <w:sz w:val="16"/>
          <w:szCs w:val="16"/>
        </w:rPr>
        <w:t>" (10.2005-07.2006); большегрузный секционный толкаемый состав (1958); овощевоз пр. 19620 (1983-92)- более 55 (вместе с заводом им. Володарского);</w:t>
      </w:r>
      <w:r w:rsidRPr="00D03F3E">
        <w:rPr>
          <w:rFonts w:ascii="Times New Roman" w:hAnsi="Times New Roman"/>
          <w:iCs/>
          <w:color w:val="000000" w:themeColor="text1"/>
          <w:sz w:val="16"/>
          <w:szCs w:val="16"/>
        </w:rPr>
        <w:t xml:space="preserve"> танки:</w:t>
      </w:r>
      <w:r w:rsidRPr="00D03F3E">
        <w:rPr>
          <w:rFonts w:ascii="Times New Roman" w:hAnsi="Times New Roman"/>
          <w:color w:val="000000" w:themeColor="text1"/>
          <w:sz w:val="16"/>
          <w:szCs w:val="16"/>
        </w:rPr>
        <w:t xml:space="preserve"> Т-60 (12.1941-42-)- 830 (по 06.1942), Т-44 (1944- ); корпуса и башни танка Т-34 (1941-).</w:t>
      </w:r>
    </w:p>
    <w:p w14:paraId="023C5C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КБ завода № 264</w:t>
      </w:r>
    </w:p>
    <w:p w14:paraId="60B34D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1959 г. спроктирован крупнейший в мире речной танкер грузоподъемностью 5000 т пр. 558.</w:t>
      </w:r>
    </w:p>
    <w:p w14:paraId="59BB35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(-1968-70-е)- М.Н. Чемоданов (пр. 1577, 1677М).</w:t>
      </w:r>
    </w:p>
    <w:p w14:paraId="7E02D2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конструкторы: (1959 г.)- П.М. Кожевников (пр. 558, 587).</w:t>
      </w:r>
    </w:p>
    <w:p w14:paraId="4D55DF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lastRenderedPageBreak/>
        <w:t>Создано: танкеры:</w:t>
      </w:r>
      <w:r w:rsidRPr="00D03F3E">
        <w:rPr>
          <w:rFonts w:ascii="Times New Roman" w:hAnsi="Times New Roman"/>
          <w:color w:val="000000" w:themeColor="text1"/>
          <w:sz w:val="16"/>
          <w:szCs w:val="16"/>
        </w:rPr>
        <w:t xml:space="preserve"> речные пр. 558 типа «Великий» (1959), пр. 587 (1950-е), пр. 1577 (1968); морской пр. 1677М типа «Олег Кошевой» (1979) (11982).</w:t>
      </w:r>
    </w:p>
    <w:p w14:paraId="727283DA" w14:textId="77777777" w:rsidR="00962150" w:rsidRPr="00D03F3E" w:rsidRDefault="00962150"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392F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1943 вышло Постановление ГКО № 3235 О неотложных мерах по вывозу горючего и масел для весеннего сева.РГАНИР, Фонд ГКО, д. 109, лл. 57-59 (11012).</w:t>
      </w:r>
    </w:p>
    <w:p w14:paraId="62D256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3E6E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1943 г. согласно поста</w:t>
      </w:r>
      <w:r w:rsidRPr="00D03F3E">
        <w:rPr>
          <w:rFonts w:ascii="Times New Roman" w:hAnsi="Times New Roman"/>
          <w:color w:val="000000" w:themeColor="text1"/>
          <w:sz w:val="16"/>
          <w:szCs w:val="16"/>
        </w:rPr>
        <w:softHyphen/>
        <w:t>новлению ГКО пл С-12 и С-103 завода № 112, а также С-104 и С-15 завода 638 были переведены на Север по внутренним водным путям. Лодки переводили в виде экспе</w:t>
      </w:r>
      <w:r w:rsidRPr="00D03F3E">
        <w:rPr>
          <w:rFonts w:ascii="Times New Roman" w:hAnsi="Times New Roman"/>
          <w:color w:val="000000" w:themeColor="text1"/>
          <w:sz w:val="16"/>
          <w:szCs w:val="16"/>
        </w:rPr>
        <w:softHyphen/>
        <w:t>диции особого назначения с привлечением АСС ВМФ, пароходств Наркомречфлота и судостроителей. Для преодоления мелководный Северо-Двинской водной системы лодки были максимально раз</w:t>
      </w:r>
      <w:r w:rsidRPr="00D03F3E">
        <w:rPr>
          <w:rFonts w:ascii="Times New Roman" w:hAnsi="Times New Roman"/>
          <w:color w:val="000000" w:themeColor="text1"/>
          <w:sz w:val="16"/>
          <w:szCs w:val="16"/>
        </w:rPr>
        <w:softHyphen/>
        <w:t>гружены с демонтажем части механизмов и вооружения и установ</w:t>
      </w:r>
      <w:r w:rsidRPr="00D03F3E">
        <w:rPr>
          <w:rFonts w:ascii="Times New Roman" w:hAnsi="Times New Roman"/>
          <w:color w:val="000000" w:themeColor="text1"/>
          <w:sz w:val="16"/>
          <w:szCs w:val="16"/>
        </w:rPr>
        <w:softHyphen/>
        <w:t>лены в специальные доки. Сборка и сдача их Северному флоту осу</w:t>
      </w:r>
      <w:r w:rsidRPr="00D03F3E">
        <w:rPr>
          <w:rFonts w:ascii="Times New Roman" w:hAnsi="Times New Roman"/>
          <w:color w:val="000000" w:themeColor="text1"/>
          <w:sz w:val="16"/>
          <w:szCs w:val="16"/>
        </w:rPr>
        <w:softHyphen/>
        <w:t>ществлялась в Молотовске. Таким же способом были переведены на Север С-16 ("Герой Советского Союза Нурсеитов") и С-19, сдан</w:t>
      </w:r>
      <w:r w:rsidRPr="00D03F3E">
        <w:rPr>
          <w:rFonts w:ascii="Times New Roman" w:hAnsi="Times New Roman"/>
          <w:color w:val="000000" w:themeColor="text1"/>
          <w:sz w:val="16"/>
          <w:szCs w:val="16"/>
        </w:rPr>
        <w:softHyphen/>
        <w:t>ные астраханским заводом на Каспии в феврале 1944 г. (3898).</w:t>
      </w:r>
    </w:p>
    <w:p w14:paraId="082D87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AAF88B"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B0DD9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530252" w14:textId="77777777" w:rsidR="00962150" w:rsidRPr="00D03F3E" w:rsidRDefault="009621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в 1943 году утреннее сообщение Совинформбюро:</w:t>
      </w:r>
    </w:p>
    <w:p w14:paraId="748D00D7" w14:textId="77777777" w:rsidR="00962150" w:rsidRPr="00D03F3E" w:rsidRDefault="009621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течение ночи на 22 апреля на фронтах существенных изменений не произошло.</w:t>
      </w:r>
    </w:p>
    <w:p w14:paraId="60663E73" w14:textId="77777777" w:rsidR="00962150" w:rsidRPr="00D03F3E" w:rsidRDefault="009621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в течение ночи противник пытался вновь атаковать позиция Н-ского соединения. Наши бойцы встретили гитлеровцев мощным миномётным и ружейно-пулемётным огнём и нанесли им большой урон. Отдельные группы немцев, прорвавшиеся к переднему краю советской обороны, уничтожены в рукопашной схватке. В этом бою противник потерял убитыми свыше 400 солдат и офицеров. На поле боя осталось 3 подбитых немецких танка.</w:t>
      </w:r>
    </w:p>
    <w:p w14:paraId="4D76B5D7" w14:textId="77777777" w:rsidR="00962150" w:rsidRPr="00D03F3E" w:rsidRDefault="009621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укрепляли занимаемые рубежи. Рассеяно несколько разведывательных групп противника. Снайперы подразделения, где командиром тов. Ужегов, за один день уничтожили 80 немецких солдат иофицеров.</w:t>
      </w:r>
    </w:p>
    <w:p w14:paraId="5E2AE0CE" w14:textId="77777777" w:rsidR="00962150" w:rsidRPr="00D03F3E" w:rsidRDefault="009621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Чугуева бойцы Н-ской части ружейно-пулемётным огнём рассеяли отряд немецких разведчиков. Уничтожено 30 гитлеровцев и захвачены пленные. На другом участке наши разведчики проникли в тыл противника и взорвали склад боеприпасов.</w:t>
      </w:r>
    </w:p>
    <w:p w14:paraId="2DFF27A9" w14:textId="77777777" w:rsidR="00962150" w:rsidRPr="00D03F3E" w:rsidRDefault="009621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противник пытался вести разведку боем. Подпустив немцев на близкое расстояние, наши бойцы огнём из всех видов оружия уничтожили вражеских разведчиков. Лишь немногим гитлеровцам удалось спастись бегством. На другом участке огнём советской артиллерии разрушено 7 дзотов и блиндажей, подавлены артиллерийская и миномётная батареи противника.</w:t>
      </w:r>
    </w:p>
    <w:p w14:paraId="30A15CA8" w14:textId="77777777" w:rsidR="00962150" w:rsidRPr="00D03F3E" w:rsidRDefault="009621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Ровенской области, в ночь на 10 апреля заминировал участок шоссейной дороги. Утром на расставленных минах подорвались 2 легковые автомашины противника. При взрыве убито 7 немецких офицеров и фашистский чиновник. В другом районе карательный отряд немцев окружилв лесу группу партизан. Советские патриоты в течение дня вели ружейно-пулемётную перестрелку с противником и уничтожили несколько десятков гитлеровцев. Ночью партизаны прорвали кольцо окружения и благополучно вернулись на свою базу.</w:t>
      </w:r>
    </w:p>
    <w:p w14:paraId="396C5FD7" w14:textId="77777777" w:rsidR="00962150" w:rsidRPr="00D03F3E" w:rsidRDefault="009621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убитого на Волховском фронте немецкого солдата найдено письмо от его жены из города Эссена. Приводим выдержки из этого письма: «Дорогой Эвальд, я сейчас уже немного пришла в себя и хочу тебе сообщить о том, что нам здесь пришлось пережить. 5 марта после 8 часов вечера была объявлена тревога. Налёт длился 40 минут. Это был какой-то ад. Бомбы падали за бомбами, и целые потоки фосфора лились сверху, беспрерывно падали зажигательные бомбы. Это просто чудо, что мы ещё живы. Наш район полностью разрушен, только западная часть Эссена, Фронгаузеяи Рюттеншейд уцелели. Трудно себе представить, как всё это выглядит, это нужно самому видеть. Сотни тысяч человек остались без крова. Мы все совершенно измучены. У Клерхен в доме сгорела вся крыша, а дом рядом сгорел дотла. Куда ни глянешь, одни только развалины. Если всё будет уничтожено и у нас не будет больше своего угла, тебе не надо приезжать. Здесь я больше не выдержу. Как только наступает вечер, мы уже дрожим в ожидании тревоги. Твои жена и сын».</w:t>
      </w:r>
    </w:p>
    <w:p w14:paraId="0DA58789" w14:textId="77777777" w:rsidR="00962150" w:rsidRPr="00D03F3E" w:rsidRDefault="009621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Близ Лиона французские патриоты пустили под откос немецкий воинский эшелон. В результате крушения убито и ранено много гитлеровцев. В Валлере группа молодых французов совершила нападение на немецкий патруль и истребила 8 гитлеровцев. Тамже убит агент гестапо. В Гренобле 90 рабочих, получивших приказ выехать на принудительные работы в Германию, скрылись и примкнули к вольным стрелкам.» (15107).</w:t>
      </w:r>
    </w:p>
    <w:p w14:paraId="224D50BD" w14:textId="77777777" w:rsidR="00962150" w:rsidRPr="00D03F3E" w:rsidRDefault="00962150" w:rsidP="00D03F3E">
      <w:pPr>
        <w:spacing w:after="0" w:line="240" w:lineRule="auto"/>
        <w:jc w:val="both"/>
        <w:rPr>
          <w:rFonts w:ascii="Times New Roman" w:hAnsi="Times New Roman"/>
          <w:color w:val="000000" w:themeColor="text1"/>
          <w:sz w:val="16"/>
          <w:szCs w:val="16"/>
        </w:rPr>
      </w:pPr>
    </w:p>
    <w:p w14:paraId="0B1F1E75" w14:textId="77777777" w:rsidR="00962150" w:rsidRPr="00D03F3E" w:rsidRDefault="009621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в 1943 году вечернее сообщение Совинформбюро:</w:t>
      </w:r>
    </w:p>
    <w:p w14:paraId="43E02008" w14:textId="77777777" w:rsidR="00962150" w:rsidRPr="00D03F3E" w:rsidRDefault="009621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22 апреля на фронтах существенных изменений не произошло.</w:t>
      </w:r>
    </w:p>
    <w:p w14:paraId="0839AF39" w14:textId="77777777" w:rsidR="00962150" w:rsidRPr="00D03F3E" w:rsidRDefault="009621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частями нашей авиации на различных участках фронта уничтожено или повреждено до 50 немецких автомашин с войсками и грузами, взорваны 2 склада боеприпасов и склад с горючим. Разбит железнодорожный состав, подавлен огонь 6 артиллерийских батарей противника.</w:t>
      </w:r>
    </w:p>
    <w:p w14:paraId="2803C8CB" w14:textId="77777777" w:rsidR="00962150" w:rsidRPr="00D03F3E" w:rsidRDefault="009621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части Н-ского соединения отбили несколько ожесточённых атак противника. На поле боя остались сотни вражеских трупов. На другом участке гитлеровцы атаковали наши подразделения, оборонявшие одну безымянную высоту. После упорной схватки немцы, потеряв убитыми до 300 солдат и офицеров, были вынуждены отойти на исходные рубежи. Наша авиация наносила массированные бомбовые удары по боевым порядкам и военным объектам противника.</w:t>
      </w:r>
    </w:p>
    <w:p w14:paraId="343AD83B" w14:textId="77777777" w:rsidR="00962150" w:rsidRPr="00D03F3E" w:rsidRDefault="009621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продолжали укреплять свои позиции и вели разведывательные операции. Артиллерийским и ружейно-пулемётным огнём уничтожено до |роты немецкой пехоты, подавлен огонь миномётной и двух артиллерийских батарей.</w:t>
      </w:r>
    </w:p>
    <w:p w14:paraId="50862A05" w14:textId="77777777" w:rsidR="00962150" w:rsidRPr="00D03F3E" w:rsidRDefault="009621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 Белый наше подразделение ворвалось в расположение противника, взорвало два дзота и истребило 60 немецких солдат и офицеров. На другом участке огнём нашей артиллерии уничтожена артиллерийская батарея противника.</w:t>
      </w:r>
    </w:p>
    <w:p w14:paraId="4606F2CF" w14:textId="77777777" w:rsidR="00962150" w:rsidRPr="00D03F3E" w:rsidRDefault="009621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группа наших разведчиков произвела вылазку в расположение противника. Советские бойцы истребили несколько десятков гитлеровцев, захватили пленных и благополучно вернулись в свою часть.</w:t>
      </w:r>
    </w:p>
    <w:p w14:paraId="139DC5BF" w14:textId="77777777" w:rsidR="00962150" w:rsidRPr="00D03F3E" w:rsidRDefault="009621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Авиация Краснознамённого Балтийского флота вчера произвела налёт на один из портов противника. Нанесены серьёзные повреждения портовым сооружениям, уничтожены сторожевой корабль и три десантных судна. В воздушных боях сбито 13 самолётов противника.</w:t>
      </w:r>
    </w:p>
    <w:p w14:paraId="26B7DBFF" w14:textId="77777777" w:rsidR="00962150" w:rsidRPr="00D03F3E" w:rsidRDefault="009621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Могилёвской области, утром 13 апреля совершил одновременное нападение на несколько немецких гарнизонов. В результате ожесточённых боёв вражеские гарнизоны были разбиты. Уничтожено более 200 гитлеровцев. Партизаны захватили 120 винтовок, 3 миномёта и много боеприпасов. Группа партизан отряда имени Чапаева взорвала немецкий эшелон с боеприпасами. Разбиты паровоз и 8 вагонов.</w:t>
      </w:r>
    </w:p>
    <w:p w14:paraId="767F9489" w14:textId="77777777" w:rsidR="00962150" w:rsidRPr="00D03F3E" w:rsidRDefault="009621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Кровавые злодеяния учинили немецко-фашистские мерзавцы в небольшом донбасском городке — Свердловске. После освобождения города от немецких захватчиков из шурфа шахты № 14—17 было извлечено 560 трупов советских граждан, расстрелянных немецкими бандитами. В числе убитых: колхозник сельскохозяйственной артели «Червона Зирка» Дмитрий Звягинцев, горный мастер шахты № 14 — 17 Павел Аносов, заведующий магазином Василий Ковалёв, шофёр Яков Солянко, заведующий Дворцом культуры Григорий Романченко, ученица 9 класса средней школы Надежда Свинарёва, учитель украинского языка Михаил Сокирка, рабочий шахты имени Волкова Иван Овсянников и другие. В застенке гестапо на площади Куйбышева обнаружены надписи, сделанные кровью. На одной стене выведено 45 фамилий. Под ними подпись: «Ищите наши тела в балке». Перед казнью немцы подвергали арестованных страшным пыткам. Отступая под ударами Красной Армии, немецкие бандиты уничтожили все общественные здания города и сожгли 170 домов, принадлежавших шахтёрам. Все эти здания не имели никакого военного значения. Гитлеровцы сожгли их только для того, чтобы разорить население города.» (15107).</w:t>
      </w:r>
    </w:p>
    <w:p w14:paraId="17722FE0" w14:textId="77777777" w:rsidR="00962150" w:rsidRPr="00D03F3E" w:rsidRDefault="00962150" w:rsidP="00D03F3E">
      <w:pPr>
        <w:spacing w:after="0" w:line="240" w:lineRule="auto"/>
        <w:jc w:val="both"/>
        <w:rPr>
          <w:rFonts w:ascii="Times New Roman" w:hAnsi="Times New Roman"/>
          <w:color w:val="000000" w:themeColor="text1"/>
          <w:sz w:val="16"/>
          <w:szCs w:val="16"/>
        </w:rPr>
      </w:pPr>
    </w:p>
    <w:p w14:paraId="12A371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1943, согласно дневниковых записей Валентина Ивановича Аккуратова (летал на АНТ-42 “дублер”) за 1943 год, продолжаем уничтожать военные объекты в Восточной Пруссии. Сегодня бомбили Инстербург. Налет был массированным, кроме нашей дивизии, нель обрабатывало около 200 средних бомбардировщиков. От многочисленных пожаров внизу стало светло, как днем, - отчетливо просматривалась станция с пылающими эшелонами, улицы, заводы. Запах гари проникал даже в самолет... На базу не вернулся один бомбардировщик.</w:t>
      </w:r>
    </w:p>
    <w:p w14:paraId="234AEB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Сегодня опять ходили на Кенигсберг. Наш самолет, по прозвищу "Борода", хоть и не серийный, но быстроходнее и легче остальных, пришел на 20 мин раньше товарищей, чтобы обнаружить цель и развесить над нею осветительные бомбы на парашютах.</w:t>
      </w:r>
    </w:p>
    <w:p w14:paraId="0C34C3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После налета на Кенигсберг были атакованы группой истребителей. Отстреливаясь, ушли в облака, куда они сунуться не рискнули, видимо, опасаясь столкнуться друг с другом. Уже на подходе к линии фронта, снижаясь в облаках, неожиданно напоролись на сильный заградительный огонь. Вырвались, резко меняя курсы и высоту, но все же получили несколько осколочных пробоин. Обидно за книгу - эпос "Калевала", которую урывками читал на обратном пути, - осколки снаряда пробили ее в нескольких местах, а один, пронзив том, содрал у меня кожу со лба и расцарапал шлемофон (эту книгу, списанную из дивизионной библиотеки, я храню по сей день - как- никак. но она спасла мне жизнь).</w:t>
      </w:r>
    </w:p>
    <w:p w14:paraId="5F3A08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Ходили на Брест - там разведка обнаружила скопление танков и тяжелой артиллерии. Очевидно, фрицы не ожидали появления здесь нашей дальней авиации - зенитки и прожекторы бездействовали. После массированного налета эшелоны превратились в месиво огня и дыма, которое мы, уходя, видели за 120-140 км.</w:t>
      </w:r>
    </w:p>
    <w:p w14:paraId="506924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5, 10, 12 мая. Все ночи напролет громим эшелоны на железнодорожных узлах. Не нужно быть стратегом, чтобы по расположению целей понять, что готовится очередное грандиозное наступление. И тщетно фашисты пытаются замаскировать свою технику - мы находим ее в любых условиях.</w:t>
      </w:r>
    </w:p>
    <w:p w14:paraId="6CAE49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секрет прост - противник сам наводил нас на цели. Однажды в ясную, но безлунную ночь, идя над вражеской территорией, мы заметили на черном бархате затаившейся земли вспыхивающие огни. Присмотревшись, поняли, что вспышки соответствуют знакам азбуки Морзе. То были свето- маяки, установленные у крупных населенных пунктов и у естественных ориентиров. Каждый маяк давал вспышки из двух определенных букв, которые менялись раз в десять дней. Перенеся эти данные на карту, наши штурманы быстро и точно выводили свои корабли на заданную цель. Помогали нам чужие огни и при возвращении, особенно на подбитой </w:t>
      </w:r>
      <w:r w:rsidRPr="00D03F3E">
        <w:rPr>
          <w:rFonts w:ascii="Times New Roman" w:hAnsi="Times New Roman"/>
          <w:color w:val="000000" w:themeColor="text1"/>
          <w:sz w:val="16"/>
          <w:szCs w:val="16"/>
        </w:rPr>
        <w:lastRenderedPageBreak/>
        <w:t xml:space="preserve">машине, когда штурманы </w:t>
      </w:r>
    </w:p>
    <w:p w14:paraId="754BF1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каждым боевым вылетом росло наше мастерство и понимание тактики врага. К примеру, если год назад мы с опаской думали о том, как бы не встретить над целью аэростаты заграждения, то теперь, отбомбившись, искали их, чтобы сжечь огнем тяжелых пулеметов. Ведь эти аэростаты представляли для нас серьезную угрозу, - обычно спаренные, они поднимали стальной трос на 6 тыс. м. Невидимые в ночи, да еше увешанные электромагнитными дистанционными минами, они были для нас куда опаснее зенитной артиллерии: Вот почему наши стрелки столь беспощадно разделывались с их серебристыми тушами.</w:t>
      </w:r>
    </w:p>
    <w:p w14:paraId="7D8305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успехе боевого вылета огромную роль играло знание штурманами фактической погоды над территорией врага. В частности, необходимо было иметь представление о нижней границе облачности над целью. Однако карты, которые мы получали от синоптиков, были прогностическими, расчетными. До войны было иначе - сводки погоды поступали к синоптикам со всей Европы, и их прогнозы были более или менее точными. С войной поступление такой информации прекратилось. А положение усугублялось тем, что погода над оккупированной нацистами Европой формировалась под воздействием воздушных масс, движущихся с запада и северо-запада (со стороны Бельгии, Голландии и Норвегии, захваченных гитлеровцами еще в 1940 году). Поэтому доразведку погоды пришлось возложить на экипаж самолета-осветителя. Выйдя на цель за полчаса до появления основной массы бомбардировщиков, он передавал на базу сводку, а та сообщала ее штурманам машин, идущих на цель с интервалом в 5-Ю мин. Выпускать разведчика раньше было нежелательно, так как в этом случае терялся фактор внезапности и противник успевал привести в готовность противовоздушную оборону.</w:t>
      </w:r>
    </w:p>
    <w:p w14:paraId="26869E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и здесь нам помогала самоуверенность нацистов. Дело в том, что их аэродромные станции методически передавали для летчиков Люфтваффе сводки погоды на ультракоротких волнах по международному метеокоду. А его отлично знали летчики полярной авиации, работавшие до войны на разведке ледовой обстановки в Арктике. Хотя дальность действия этих радиостанций была небольшой, но это не мешало нам получать полную картину погоды над целью" (12025).</w:t>
      </w:r>
    </w:p>
    <w:p w14:paraId="158BB7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0B75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1943 года в отражении массированного налета на Поти участвовали "Киттихауки". Командир 7-го истребительного полка К.Д.Денисов на американском истребителе у поселка Кулеви сбил при этом Ю-88. За 1943 гол "Киттихауков" прибыло еще больше - 939 штук и, соответственно, круг оснащенных ими частей н соединении стал шире. Более двух десятков полков в разное время воевали на этих машинах. С 1943 года "Киттихауки" начали применять на Черноморском флоте. Их получили 7-й и 62-й полки. К 1 января 1944 года они уже имели по десятку Р-40К. Состав обоих полков был очень пестрым: в 7-м полку наряду с Р-40К служили МиГ-3, "Спитфайры" VB и И-15бис, а в 62-м - ЛаГГ-3, И-153 и И-15бис. Первой боевой задачей, поставленной перед американскими истребителями, являлось прикрытие с воздуха черноморского побережья Кавказа на участках Джубиа-Гагры и Гагры-Кобулети. Эскадрильи "Киттихауков" размещались на аэродромах Мысхако, Лазаревская и Миха-Цхакая, обеспечивая рутинное патрулирование и эпизодические вылеты иа перехват немецких разведчиков (3457,66).</w:t>
      </w:r>
    </w:p>
    <w:p w14:paraId="4EA0EA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4F8D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1943 вышло Постановление ГКО № 3231 О назначении т. Рыжикова И.И. представителем Центрального штаба партизанского движения на Калининском фронте и членом Военного совета Калининского фронта.РГАНИР, Фонд ГКО, д. 109, лл. 28 (11012).</w:t>
      </w:r>
    </w:p>
    <w:p w14:paraId="1CF92E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7537B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1943 вышло Постановление ГКО № 3232 О переводе из Каспийского моря в состав Северного флота 4 подводных лодок типа С и 2 подводных лодок типа М 15-й серии. (7099, 29-30).</w:t>
      </w:r>
    </w:p>
    <w:p w14:paraId="11E7910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B42ED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1943 вышло Постановление ГКО № 3233 О переводе северным морским путем в навигацию 1943 года из Тихоокеанского флота в состав Северного флота крейсера "Калинин" и одного миноносца. (7099, 31-34,35-38).</w:t>
      </w:r>
    </w:p>
    <w:p w14:paraId="4A767BE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7CEA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1943 в ночь на 23 апреля 200 самолетов АДД произвели массированный налет на Имтенбрук (Восточная Пруссия). Не вернулся только один (438,868).</w:t>
      </w:r>
    </w:p>
    <w:p w14:paraId="592AA1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74244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299FFD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D864A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1943 года Указ узаконил "каторгу усиленного режима", настоящие "лагеря смерти", где заключенных эксплуатировали в условиях, не оставляющих им шансов на выживание: изнурительная работа по 12 часов в день на рудниках радиоактивных руд, расположенных в районах Воркуты и Колымы (6804).</w:t>
      </w:r>
    </w:p>
    <w:p w14:paraId="7D9B64C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7683B5" w14:textId="77777777" w:rsidR="00DC7006"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56A78700" w14:textId="77777777" w:rsidR="00DC7006" w:rsidRPr="00D03F3E" w:rsidRDefault="00DC7006"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8CD50E" w14:textId="77777777" w:rsidR="00431667" w:rsidRPr="00D03F3E" w:rsidRDefault="0043166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22 апреля 1943 первый полет Brewster XA-32 (20376).</w:t>
      </w:r>
    </w:p>
    <w:p w14:paraId="5AD6768A" w14:textId="77777777" w:rsidR="00431667" w:rsidRPr="00D03F3E" w:rsidRDefault="00431667" w:rsidP="00D03F3E">
      <w:pPr>
        <w:spacing w:after="0" w:line="240" w:lineRule="auto"/>
        <w:jc w:val="both"/>
        <w:rPr>
          <w:rFonts w:ascii="Times New Roman" w:hAnsi="Times New Roman"/>
          <w:color w:val="0070C0"/>
          <w:sz w:val="16"/>
          <w:szCs w:val="16"/>
        </w:rPr>
      </w:pPr>
    </w:p>
    <w:p w14:paraId="73F2F971"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в 1943 году генерал-лейтенант Адольф Галланд посетил Лекфельд и сам совершил полет на четвертом опытном «Ме 262» «V4» (PC+UD) (15107).</w:t>
      </w:r>
    </w:p>
    <w:p w14:paraId="4B585A36" w14:textId="77777777" w:rsidR="00DC7006" w:rsidRPr="00D03F3E" w:rsidRDefault="00DC7006" w:rsidP="00D03F3E">
      <w:pPr>
        <w:spacing w:after="0" w:line="240" w:lineRule="auto"/>
        <w:jc w:val="both"/>
        <w:rPr>
          <w:rFonts w:ascii="Times New Roman" w:hAnsi="Times New Roman"/>
          <w:color w:val="000000" w:themeColor="text1"/>
          <w:sz w:val="16"/>
          <w:szCs w:val="16"/>
        </w:rPr>
      </w:pPr>
    </w:p>
    <w:p w14:paraId="1789B4B1"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в 1943 году рейхсфюрер СС Гиммлер сообщил рейхсминистру иностранных дел Риббентропу: "Военнопленный Яков Джугашвили, сын Сталина, был застрелен при попытке к бегству из особого блока "А" в Заксенхаузене близ Ораниенбурга". Фактически это был род самоубийства, так как Яков Джугашвили сознательно вышел за ограждение лагеря, чтобы спровоцировать часового на стрельбу (15107).</w:t>
      </w:r>
    </w:p>
    <w:p w14:paraId="18E5B36F" w14:textId="77777777" w:rsidR="00DC7006" w:rsidRPr="00D03F3E" w:rsidRDefault="00DC7006" w:rsidP="00D03F3E">
      <w:pPr>
        <w:spacing w:after="0" w:line="240" w:lineRule="auto"/>
        <w:jc w:val="both"/>
        <w:rPr>
          <w:rFonts w:ascii="Times New Roman" w:hAnsi="Times New Roman"/>
          <w:color w:val="000000" w:themeColor="text1"/>
          <w:sz w:val="16"/>
          <w:szCs w:val="16"/>
        </w:rPr>
      </w:pPr>
    </w:p>
    <w:p w14:paraId="3F216797"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в 1943 году во время личной встречи с главой Государства Словакии Й.Тисо Адольф Гитлер заверил его, что Германия не поддерживает претензии Венгрии на территорию Словакии и не допустит ее присоединения к Венгрии (15107).</w:t>
      </w:r>
    </w:p>
    <w:p w14:paraId="7F8FE385" w14:textId="77777777" w:rsidR="00DC7006" w:rsidRPr="00D03F3E" w:rsidRDefault="00DC7006" w:rsidP="00D03F3E">
      <w:pPr>
        <w:spacing w:after="0" w:line="240" w:lineRule="auto"/>
        <w:jc w:val="both"/>
        <w:rPr>
          <w:rFonts w:ascii="Times New Roman" w:hAnsi="Times New Roman"/>
          <w:color w:val="000000" w:themeColor="text1"/>
          <w:sz w:val="16"/>
          <w:szCs w:val="16"/>
        </w:rPr>
      </w:pPr>
    </w:p>
    <w:p w14:paraId="4E185316"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апреля в 1943 году Альберт Хофманн (Albert Hofmann) делает первое сообщение о галлюциногенных свойствах ЛСД (15107).</w:t>
      </w:r>
    </w:p>
    <w:p w14:paraId="163850E1" w14:textId="77777777" w:rsidR="00DC7006" w:rsidRPr="00D03F3E" w:rsidRDefault="00DC7006" w:rsidP="00D03F3E">
      <w:pPr>
        <w:spacing w:after="0" w:line="240" w:lineRule="auto"/>
        <w:jc w:val="both"/>
        <w:rPr>
          <w:rFonts w:ascii="Times New Roman" w:hAnsi="Times New Roman"/>
          <w:color w:val="000000" w:themeColor="text1"/>
          <w:sz w:val="16"/>
          <w:szCs w:val="16"/>
        </w:rPr>
      </w:pPr>
    </w:p>
    <w:p w14:paraId="0983921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178777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F50E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23 апреля 1943 вышел совместный приказ ВВС и НКАП N 247/084 "О назначении комиссии для проведения совместных 50 часовых испытаний мотора АМ-42" </w:t>
      </w:r>
    </w:p>
    <w:p w14:paraId="4E4229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В.А.Черноказов ви, ви2р (НИИ ВВС)</w:t>
      </w:r>
    </w:p>
    <w:p w14:paraId="5B3F9F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М.П.Кочетков ст. в/пред завода № 24</w:t>
      </w:r>
    </w:p>
    <w:p w14:paraId="32C921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Е.М.Юдин - нач. СКО завода № 24</w:t>
      </w:r>
    </w:p>
    <w:p w14:paraId="6912AF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Комиссии приступить к испытаниям мотора АМ-42 немедленно.</w:t>
      </w:r>
    </w:p>
    <w:p w14:paraId="0CEC47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Отчет и заключение по испытаниям представить на утверждение не позднее, чем через 10 после окончания испытаний (937,143).</w:t>
      </w:r>
    </w:p>
    <w:p w14:paraId="5F7E72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F5C3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1943 г. начались высотные полеты Ил-4ТК и было выполнено пять таких полетов, достигнута максимальная высота 9300 м. Испытания показали несоответствие расчетных характеристик ТК-3 данным, полученым в полетах до максимальной высоты. Кроме того, воздушные винты ВИШ-61ИФ диаметром 3,5 м не обеспечивали самолету требуемой скороподъемности. Подъем до высоты до 8100 м продолжался 1 ч. 12 мин. Были замечания к самолету и у летчика-испытателя. По его ценке, вследствие перемещения пилота в самый нос фюзеляжа управление Ил-4ТК стало сложнее из-за ограниченного обзора, усложнилось выполнение посадки. В заключении по результатам первого этапа заводских испытаний на самолете предлагалось применить усовершенствованные турбокомпрессоры ТК-М и высотные воздушные винты АВ-9Ф, а гермокабину, установленную на самолете, заменить гермокабиной второго варианта, имевшей большую площадь остекления и напоминавшую кабину, использованную позднее на самолете Ил-22. Но эти рекомендации так и не были выполнены: в условиях завоеванного в 1943 г. советской виацией стратегического превосходства в воздухе обычные Ил-4, сопровождаемые истребителями, успешно справлялись с выполнением поставленных перед ними боевых задач, и дальнейшая работа по совершенствованию самолета Ил-4ТК становилась нецелесообразной. Опыт создания и летных испытаний Ил-4ТК был использован в дальнейшей работе конструкторского коллектива (9528).</w:t>
      </w:r>
    </w:p>
    <w:p w14:paraId="3F5B14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25691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1943 вышло Распоряжение ГКО № 3242 О производстве бугелей к трофейным авиабомбам. (7099, 181-182,183-185).</w:t>
      </w:r>
    </w:p>
    <w:p w14:paraId="4A3C8E6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2F44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1943 Нач. 3У ГРУ Хлопов и Нач. 2 отдела 3у Лапкин писали письмо N 236405 Зам. НКАП А.С.Я. с материалами по новым итальянским самолетам (1780,113).</w:t>
      </w:r>
    </w:p>
    <w:p w14:paraId="005C44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AD2B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1943 на Пе-8 (ТБ-7) N 42048 из Англии вернулся Э.К.Пуссеп. Машина вылетела в Англию 14 марта 1943 в 0 час. 4 мин. из Кратово с группой наших пилотов для перегонки боевых машин (1103,107).</w:t>
      </w:r>
    </w:p>
    <w:p w14:paraId="047644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3168E2"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23 апреля 1943 г. заместитель начальника НИИ ВВС генерал-майор М.В. Гуревич утведил Отчет по испытаниям ПТАБ-2,5-1,5.</w:t>
      </w:r>
    </w:p>
    <w:p w14:paraId="2A9189C2"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21 апреля 1943 г. в НИИ ВВС были проведены показательные полигонные испытания на эффективность действия ПТАБ-2,5-1,5.</w:t>
      </w:r>
    </w:p>
    <w:p w14:paraId="2C5EA148"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lastRenderedPageBreak/>
        <w:t>На испытаниях присутствовали: член Военного Совета ВВС генерал-майор Ши- манов, заместители командующего ВВС генерал-лейтенанты Никитин и Кондратюк, главный инженер ВВС генерал-лейтенант Репин со своим заместителем генерал- майором Лапиным, заместитель начальни</w:t>
      </w:r>
      <w:r w:rsidRPr="00D03F3E">
        <w:rPr>
          <w:rFonts w:ascii="Times New Roman" w:cs="Times New Roman"/>
          <w:color w:val="000000" w:themeColor="text1"/>
          <w:spacing w:val="0"/>
        </w:rPr>
        <w:softHyphen/>
        <w:t>ка штаба ВВС генерал-майор Машнин, на</w:t>
      </w:r>
      <w:r w:rsidRPr="00D03F3E">
        <w:rPr>
          <w:rFonts w:ascii="Times New Roman" w:cs="Times New Roman"/>
          <w:color w:val="000000" w:themeColor="text1"/>
          <w:spacing w:val="0"/>
        </w:rPr>
        <w:softHyphen/>
        <w:t>чальник ГУЗ ВВС генерал-майор Селезнев, начальник УЗВиБ генерал-майор Солдатов, начальник 3-го отдела ГУ ИАС инженер-пол</w:t>
      </w:r>
      <w:r w:rsidRPr="00D03F3E">
        <w:rPr>
          <w:rFonts w:ascii="Times New Roman" w:cs="Times New Roman"/>
          <w:color w:val="000000" w:themeColor="text1"/>
          <w:spacing w:val="0"/>
        </w:rPr>
        <w:softHyphen/>
        <w:t>ковник Матаев.</w:t>
      </w:r>
    </w:p>
    <w:p w14:paraId="455E1DC6"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Кроме авиационного руководства в работе комиссии участвовали предста</w:t>
      </w:r>
      <w:r w:rsidRPr="00D03F3E">
        <w:rPr>
          <w:rFonts w:ascii="Times New Roman" w:cs="Times New Roman"/>
          <w:color w:val="000000" w:themeColor="text1"/>
          <w:spacing w:val="0"/>
        </w:rPr>
        <w:softHyphen/>
        <w:t>витель ГКО генерал-майор Александров, заместитель наркома минометного во</w:t>
      </w:r>
      <w:r w:rsidRPr="00D03F3E">
        <w:rPr>
          <w:rFonts w:ascii="Times New Roman" w:cs="Times New Roman"/>
          <w:color w:val="000000" w:themeColor="text1"/>
          <w:spacing w:val="0"/>
        </w:rPr>
        <w:softHyphen/>
        <w:t>оружения Андреев, главный инженер нар</w:t>
      </w:r>
      <w:r w:rsidRPr="00D03F3E">
        <w:rPr>
          <w:rFonts w:ascii="Times New Roman" w:cs="Times New Roman"/>
          <w:color w:val="000000" w:themeColor="text1"/>
          <w:spacing w:val="0"/>
        </w:rPr>
        <w:softHyphen/>
        <w:t>комата боеприпасов Ларионов и автор кон</w:t>
      </w:r>
      <w:r w:rsidRPr="00D03F3E">
        <w:rPr>
          <w:rFonts w:ascii="Times New Roman" w:cs="Times New Roman"/>
          <w:color w:val="000000" w:themeColor="text1"/>
          <w:spacing w:val="0"/>
        </w:rPr>
        <w:softHyphen/>
        <w:t>струкции бомбы старший инженер ЦКБ-22 И.А. Ларионов.</w:t>
      </w:r>
    </w:p>
    <w:p w14:paraId="46A90DDF"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От НИИ ВВС испытания обеспечивали сотрудники Управления испытания авиа</w:t>
      </w:r>
      <w:r w:rsidRPr="00D03F3E">
        <w:rPr>
          <w:rFonts w:ascii="Times New Roman" w:cs="Times New Roman"/>
          <w:color w:val="000000" w:themeColor="text1"/>
          <w:spacing w:val="0"/>
        </w:rPr>
        <w:softHyphen/>
        <w:t>ционного вооружения института: начальник 3-го отдела инженер-подполковник Сато- нин, начальник 1-го отделения 3-го отдела инженер-майор Дьячков, летчики-испыта</w:t>
      </w:r>
      <w:r w:rsidRPr="00D03F3E">
        <w:rPr>
          <w:rFonts w:ascii="Times New Roman" w:cs="Times New Roman"/>
          <w:color w:val="000000" w:themeColor="text1"/>
          <w:spacing w:val="0"/>
        </w:rPr>
        <w:softHyphen/>
        <w:t>тели майор Звонарев, капитаны Кусакин, Девятников, Толузаров и Сироткин, лейте</w:t>
      </w:r>
      <w:r w:rsidRPr="00D03F3E">
        <w:rPr>
          <w:rFonts w:ascii="Times New Roman" w:cs="Times New Roman"/>
          <w:color w:val="000000" w:themeColor="text1"/>
          <w:spacing w:val="0"/>
        </w:rPr>
        <w:softHyphen/>
        <w:t>нант Евсеев, а также штурманы-испытатели капитан Лизяев, старшие лейтенанты Быхал и Аронов.</w:t>
      </w:r>
    </w:p>
    <w:p w14:paraId="5E85EECA"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Программа испытаний включала на</w:t>
      </w:r>
      <w:r w:rsidRPr="00D03F3E">
        <w:rPr>
          <w:rFonts w:ascii="Times New Roman" w:cs="Times New Roman"/>
          <w:color w:val="000000" w:themeColor="text1"/>
          <w:spacing w:val="0"/>
        </w:rPr>
        <w:softHyphen/>
        <w:t>земную и воздушную части. В ходе назем</w:t>
      </w:r>
      <w:r w:rsidRPr="00D03F3E">
        <w:rPr>
          <w:rFonts w:ascii="Times New Roman" w:cs="Times New Roman"/>
          <w:color w:val="000000" w:themeColor="text1"/>
          <w:spacing w:val="0"/>
        </w:rPr>
        <w:softHyphen/>
        <w:t>ной части члены комиссии знакомились с устройством ПТАБ-2,5-1,5 и взрывателя к ней, с процессом подготовки бомб и сна</w:t>
      </w:r>
      <w:r w:rsidRPr="00D03F3E">
        <w:rPr>
          <w:rFonts w:ascii="Times New Roman" w:cs="Times New Roman"/>
          <w:color w:val="000000" w:themeColor="text1"/>
          <w:spacing w:val="0"/>
        </w:rPr>
        <w:softHyphen/>
        <w:t>ряжения кассет мелких бомб самолетов Ил-2, У-2, СБ, а также определялась эф</w:t>
      </w:r>
      <w:r w:rsidRPr="00D03F3E">
        <w:rPr>
          <w:rFonts w:ascii="Times New Roman" w:cs="Times New Roman"/>
          <w:color w:val="000000" w:themeColor="text1"/>
          <w:spacing w:val="0"/>
        </w:rPr>
        <w:softHyphen/>
        <w:t>фективность бомб путем их подрывов на бронеплитах толщиной 40-60 мм отече</w:t>
      </w:r>
      <w:r w:rsidRPr="00D03F3E">
        <w:rPr>
          <w:rFonts w:ascii="Times New Roman" w:cs="Times New Roman"/>
          <w:color w:val="000000" w:themeColor="text1"/>
          <w:spacing w:val="0"/>
        </w:rPr>
        <w:softHyphen/>
        <w:t>ственного производства и на немецкой трофейной технике (танк Рг.IV, бронема</w:t>
      </w:r>
      <w:r w:rsidRPr="00D03F3E">
        <w:rPr>
          <w:rFonts w:ascii="Times New Roman" w:cs="Times New Roman"/>
          <w:color w:val="000000" w:themeColor="text1"/>
          <w:spacing w:val="0"/>
        </w:rPr>
        <w:softHyphen/>
        <w:t>шины и артиллерийские орудия). Для вы</w:t>
      </w:r>
      <w:r w:rsidRPr="00D03F3E">
        <w:rPr>
          <w:rFonts w:ascii="Times New Roman" w:cs="Times New Roman"/>
          <w:color w:val="000000" w:themeColor="text1"/>
          <w:spacing w:val="0"/>
        </w:rPr>
        <w:softHyphen/>
        <w:t>явления эффективности действия бомб в две бронемашины на расстоянии 750 мм от броневого покрытия были помещены в клетках собака и кошка, а на расстоянии 1200 мм - бензобаки, заполненные бензи</w:t>
      </w:r>
      <w:r w:rsidRPr="00D03F3E">
        <w:rPr>
          <w:rFonts w:ascii="Times New Roman" w:cs="Times New Roman"/>
          <w:color w:val="000000" w:themeColor="text1"/>
          <w:spacing w:val="0"/>
        </w:rPr>
        <w:softHyphen/>
        <w:t>ном. Как и прежде, с целью имитации удара о преграду головная часть бомб предвари</w:t>
      </w:r>
      <w:r w:rsidRPr="00D03F3E">
        <w:rPr>
          <w:rFonts w:ascii="Times New Roman" w:cs="Times New Roman"/>
          <w:color w:val="000000" w:themeColor="text1"/>
          <w:spacing w:val="0"/>
        </w:rPr>
        <w:softHyphen/>
        <w:t>тельно деформировалась.</w:t>
      </w:r>
    </w:p>
    <w:p w14:paraId="53269FDC"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Воздушная часть предполагала показа</w:t>
      </w:r>
      <w:r w:rsidRPr="00D03F3E">
        <w:rPr>
          <w:rFonts w:ascii="Times New Roman" w:cs="Times New Roman"/>
          <w:color w:val="000000" w:themeColor="text1"/>
          <w:spacing w:val="0"/>
        </w:rPr>
        <w:softHyphen/>
        <w:t>тельные бомбометания ПТАБами с самоле</w:t>
      </w:r>
      <w:r w:rsidRPr="00D03F3E">
        <w:rPr>
          <w:rFonts w:ascii="Times New Roman" w:cs="Times New Roman"/>
          <w:color w:val="000000" w:themeColor="text1"/>
          <w:spacing w:val="0"/>
        </w:rPr>
        <w:softHyphen/>
        <w:t>тов У-2, Ил-2 и СБ по мишенной обстановке. Целями служили: 6 немецких бронемашин и 4 бронированных тягача, 3 американских легких танка, один немецкий средний танк Рг.1\/, 13 немецких артиллерийских орудий калибра 75 и 150 мм, 33 бронеплиты тол</w:t>
      </w:r>
      <w:r w:rsidRPr="00D03F3E">
        <w:rPr>
          <w:rFonts w:ascii="Times New Roman" w:cs="Times New Roman"/>
          <w:color w:val="000000" w:themeColor="text1"/>
          <w:spacing w:val="0"/>
        </w:rPr>
        <w:softHyphen/>
        <w:t>щиной от 7 до 60 мм, рельсовая укладка. Орудийная прислуга, танковый десант и лошади (73 макета) имитировались дере</w:t>
      </w:r>
      <w:r w:rsidRPr="00D03F3E">
        <w:rPr>
          <w:rFonts w:ascii="Times New Roman" w:cs="Times New Roman"/>
          <w:color w:val="000000" w:themeColor="text1"/>
          <w:spacing w:val="0"/>
        </w:rPr>
        <w:softHyphen/>
        <w:t>вянными щитами толщиной 25 мм соответ</w:t>
      </w:r>
      <w:r w:rsidRPr="00D03F3E">
        <w:rPr>
          <w:rFonts w:ascii="Times New Roman" w:cs="Times New Roman"/>
          <w:color w:val="000000" w:themeColor="text1"/>
          <w:spacing w:val="0"/>
        </w:rPr>
        <w:softHyphen/>
        <w:t>ствующей формы.</w:t>
      </w:r>
    </w:p>
    <w:p w14:paraId="0BCFAB05"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общей слржности было выполнено 8 полетов. Из них 5 вылетов на одномест</w:t>
      </w:r>
      <w:r w:rsidRPr="00D03F3E">
        <w:rPr>
          <w:rFonts w:ascii="Times New Roman" w:cs="Times New Roman"/>
          <w:color w:val="000000" w:themeColor="text1"/>
          <w:spacing w:val="0"/>
        </w:rPr>
        <w:softHyphen/>
        <w:t>ных и двухместных Ил-2 (Звонарев, Куса</w:t>
      </w:r>
      <w:r w:rsidRPr="00D03F3E">
        <w:rPr>
          <w:rFonts w:ascii="Times New Roman" w:cs="Times New Roman"/>
          <w:color w:val="000000" w:themeColor="text1"/>
          <w:spacing w:val="0"/>
        </w:rPr>
        <w:softHyphen/>
        <w:t>кин, Евсеев), один вылет на самолете У-2 (Толузаров и Быхал), два вылета на бомбар</w:t>
      </w:r>
      <w:r w:rsidRPr="00D03F3E">
        <w:rPr>
          <w:rFonts w:ascii="Times New Roman" w:cs="Times New Roman"/>
          <w:color w:val="000000" w:themeColor="text1"/>
          <w:spacing w:val="0"/>
        </w:rPr>
        <w:softHyphen/>
        <w:t>дировщике СБ (Девятников и Аронов, Си</w:t>
      </w:r>
      <w:r w:rsidRPr="00D03F3E">
        <w:rPr>
          <w:rFonts w:ascii="Times New Roman" w:cs="Times New Roman"/>
          <w:color w:val="000000" w:themeColor="text1"/>
          <w:spacing w:val="0"/>
        </w:rPr>
        <w:softHyphen/>
        <w:t>роткин и Лизяев). В кассеты мелких бомб самолета У-2 загружали 106, СБ - 144, а штурмовиков Ил-2 - 278 и 312 ПТАБ-2,5-1,5. Сброс бомб осуществлялся с высоты 75-100 м на скоростях 120 км/ч (У-2) и 300 км/ч (Ил-2, СБ) одиночно кассетами (У-2, Ил-2) и серией из четырех (Ил-2) и шести кассет (СБ) с временным интервалом 0,1с. После 4-го, 6-го и 8-го полетов члены комиссии производили осмотр мишеней.Результаты наземных испытаний своди</w:t>
      </w:r>
      <w:r w:rsidRPr="00D03F3E">
        <w:rPr>
          <w:rFonts w:ascii="Times New Roman" w:cs="Times New Roman"/>
          <w:color w:val="000000" w:themeColor="text1"/>
          <w:spacing w:val="0"/>
        </w:rPr>
        <w:softHyphen/>
        <w:t>лись в основном к следующему. Было про</w:t>
      </w:r>
      <w:r w:rsidRPr="00D03F3E">
        <w:rPr>
          <w:rFonts w:ascii="Times New Roman" w:cs="Times New Roman"/>
          <w:color w:val="000000" w:themeColor="text1"/>
          <w:spacing w:val="0"/>
        </w:rPr>
        <w:softHyphen/>
        <w:t>демонстрировано, что под углом встречи до 30° кумулятивная струя ПТАБ-2,5-1,5 устойчиво пробивает броню толщиной 60 мм, а под углом 45' - 45 мм. При этом ди</w:t>
      </w:r>
      <w:r w:rsidRPr="00D03F3E">
        <w:rPr>
          <w:rFonts w:ascii="Times New Roman" w:cs="Times New Roman"/>
          <w:color w:val="000000" w:themeColor="text1"/>
          <w:spacing w:val="0"/>
        </w:rPr>
        <w:softHyphen/>
        <w:t>аметр отверстия на входе составлял 26 мм и на выходе - 16 мм, а также образовыва</w:t>
      </w:r>
      <w:r w:rsidRPr="00D03F3E">
        <w:rPr>
          <w:rFonts w:ascii="Times New Roman" w:cs="Times New Roman"/>
          <w:color w:val="000000" w:themeColor="text1"/>
          <w:spacing w:val="0"/>
        </w:rPr>
        <w:softHyphen/>
        <w:t>лись отколы брони размерами 60-70 мм.</w:t>
      </w:r>
    </w:p>
    <w:p w14:paraId="38E0881A"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При действии по броневому покрытию толщиной 15 мм кумулятивная струя прола</w:t>
      </w:r>
      <w:r w:rsidRPr="00D03F3E">
        <w:rPr>
          <w:rFonts w:ascii="Times New Roman" w:cs="Times New Roman"/>
          <w:color w:val="000000" w:themeColor="text1"/>
          <w:spacing w:val="0"/>
        </w:rPr>
        <w:softHyphen/>
        <w:t>мывает броню, пробивает бензобаки и вос</w:t>
      </w:r>
      <w:r w:rsidRPr="00D03F3E">
        <w:rPr>
          <w:rFonts w:ascii="Times New Roman" w:cs="Times New Roman"/>
          <w:color w:val="000000" w:themeColor="text1"/>
          <w:spacing w:val="0"/>
        </w:rPr>
        <w:softHyphen/>
        <w:t>пламеняет бензин. Животные, помещенные внутри бронемашины, погибли.</w:t>
      </w:r>
    </w:p>
    <w:p w14:paraId="18D22A82"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Кроме того, при подрыве бомбы на казенной части 150-мм артиллерийского орудия толщиной 95 мм имело место не</w:t>
      </w:r>
      <w:r w:rsidRPr="00D03F3E">
        <w:rPr>
          <w:rFonts w:ascii="Times New Roman" w:cs="Times New Roman"/>
          <w:color w:val="000000" w:themeColor="text1"/>
          <w:spacing w:val="0"/>
        </w:rPr>
        <w:softHyphen/>
        <w:t>сквозное пробитие глубиной 80 мм и диа</w:t>
      </w:r>
      <w:r w:rsidRPr="00D03F3E">
        <w:rPr>
          <w:rFonts w:ascii="Times New Roman" w:cs="Times New Roman"/>
          <w:color w:val="000000" w:themeColor="text1"/>
          <w:spacing w:val="0"/>
        </w:rPr>
        <w:softHyphen/>
        <w:t>метром 23 мм (угол встречи 0°). С противо</w:t>
      </w:r>
      <w:r w:rsidRPr="00D03F3E">
        <w:rPr>
          <w:rFonts w:ascii="Times New Roman" w:cs="Times New Roman"/>
          <w:color w:val="000000" w:themeColor="text1"/>
          <w:spacing w:val="0"/>
        </w:rPr>
        <w:softHyphen/>
        <w:t>положной стороны «получена выпуклость металла».</w:t>
      </w:r>
    </w:p>
    <w:p w14:paraId="51B587A1"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Неприятным моментом стало довольно продолжительное время, затрачиваемое на снаряжение самолетов бомбами. Напри</w:t>
      </w:r>
      <w:r w:rsidRPr="00D03F3E">
        <w:rPr>
          <w:rFonts w:ascii="Times New Roman" w:cs="Times New Roman"/>
          <w:color w:val="000000" w:themeColor="text1"/>
          <w:spacing w:val="0"/>
        </w:rPr>
        <w:softHyphen/>
        <w:t>мер, на подготовку штурмовика Ил-2 к вы</w:t>
      </w:r>
      <w:r w:rsidRPr="00D03F3E">
        <w:rPr>
          <w:rFonts w:ascii="Times New Roman" w:cs="Times New Roman"/>
          <w:color w:val="000000" w:themeColor="text1"/>
          <w:spacing w:val="0"/>
        </w:rPr>
        <w:softHyphen/>
        <w:t>лету при использовании кассет мелких бомб у трех специалистов авиавооружения ухо</w:t>
      </w:r>
      <w:r w:rsidRPr="00D03F3E">
        <w:rPr>
          <w:rFonts w:ascii="Times New Roman" w:cs="Times New Roman"/>
          <w:color w:val="000000" w:themeColor="text1"/>
          <w:spacing w:val="0"/>
        </w:rPr>
        <w:softHyphen/>
        <w:t>дило до 2 ч 50 мин, в том числе: 1 ч 30 мин - на подготовку 272 бомб до полного сна</w:t>
      </w:r>
      <w:r w:rsidRPr="00D03F3E">
        <w:rPr>
          <w:rFonts w:ascii="Times New Roman" w:cs="Times New Roman"/>
          <w:color w:val="000000" w:themeColor="text1"/>
          <w:spacing w:val="0"/>
        </w:rPr>
        <w:softHyphen/>
        <w:t>ряжения, 1 ч - на загрузку бомб в кассеты, 20 мин - на подвеску кассет в бомбоотсеки. При загрузке бомб в универсальные бомбо</w:t>
      </w:r>
      <w:r w:rsidRPr="00D03F3E">
        <w:rPr>
          <w:rFonts w:ascii="Times New Roman" w:cs="Times New Roman"/>
          <w:color w:val="000000" w:themeColor="text1"/>
          <w:spacing w:val="0"/>
        </w:rPr>
        <w:softHyphen/>
        <w:t>отсеки Ил-2 (312 бомб) время готовности к вылету возрастало до 3 ч 08 мин.</w:t>
      </w:r>
    </w:p>
    <w:p w14:paraId="3C21137D"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Из числа бомб, сброшенных в воздухе с самолетов, подействовало 1816 и отказало 25 бомб, в том числе: 20 - из-за несверты</w:t>
      </w:r>
      <w:r w:rsidRPr="00D03F3E">
        <w:rPr>
          <w:rFonts w:ascii="Times New Roman" w:cs="Times New Roman"/>
          <w:color w:val="000000" w:themeColor="text1"/>
          <w:spacing w:val="0"/>
        </w:rPr>
        <w:softHyphen/>
        <w:t>вания ветрянки и 5 - из-за не выхода чеки. Из 27 целей мишенной обстановки 20 были поражены, в них зафиксировали 38 попада</w:t>
      </w:r>
      <w:r w:rsidRPr="00D03F3E">
        <w:rPr>
          <w:rFonts w:ascii="Times New Roman" w:cs="Times New Roman"/>
          <w:color w:val="000000" w:themeColor="text1"/>
          <w:spacing w:val="0"/>
        </w:rPr>
        <w:softHyphen/>
        <w:t>ний бомб. Все макеты орудийного расчета, танкового десанта и лошадей были разби</w:t>
      </w:r>
      <w:r w:rsidRPr="00D03F3E">
        <w:rPr>
          <w:rFonts w:ascii="Times New Roman" w:cs="Times New Roman"/>
          <w:color w:val="000000" w:themeColor="text1"/>
          <w:spacing w:val="0"/>
        </w:rPr>
        <w:softHyphen/>
        <w:t>ты. Кроме того, 35 бомб попали в рельсовую укладку и три бомбы поразили три бронеплиты, лежащие на земле. Бронеплиты по</w:t>
      </w:r>
      <w:r w:rsidRPr="00D03F3E">
        <w:rPr>
          <w:rFonts w:ascii="Times New Roman" w:cs="Times New Roman"/>
          <w:color w:val="000000" w:themeColor="text1"/>
          <w:spacing w:val="0"/>
        </w:rPr>
        <w:softHyphen/>
        <w:t>лучили сквозные пробоины, а 18 рельсов и 15 шпал - перебиты.</w:t>
      </w:r>
    </w:p>
    <w:p w14:paraId="5BF580BE"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Выводы комиссии были положительны</w:t>
      </w:r>
      <w:r w:rsidRPr="00D03F3E">
        <w:rPr>
          <w:rFonts w:ascii="Times New Roman" w:cs="Times New Roman"/>
          <w:color w:val="000000" w:themeColor="text1"/>
          <w:spacing w:val="0"/>
        </w:rPr>
        <w:softHyphen/>
        <w:t>ми. Как следствие, противотанковая бомба ПТАБ-2,5-1,5 конструкции ЦКБ-22 реко</w:t>
      </w:r>
      <w:r w:rsidRPr="00D03F3E">
        <w:rPr>
          <w:rFonts w:ascii="Times New Roman" w:cs="Times New Roman"/>
          <w:color w:val="000000" w:themeColor="text1"/>
          <w:spacing w:val="0"/>
        </w:rPr>
        <w:softHyphen/>
        <w:t>мендовалась «для применения по танкам, бронемашинам, артиллерии, мотомехко- лоннам, живой силе противника, эшело</w:t>
      </w:r>
      <w:r w:rsidRPr="00D03F3E">
        <w:rPr>
          <w:rFonts w:ascii="Times New Roman" w:cs="Times New Roman"/>
          <w:color w:val="000000" w:themeColor="text1"/>
          <w:spacing w:val="0"/>
        </w:rPr>
        <w:softHyphen/>
        <w:t>нам, ж.д. мостам, матчасти самолетов, по наземным нефте- и бензохранилищам и по надводным переправам».</w:t>
      </w:r>
    </w:p>
    <w:p w14:paraId="7458ED29"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Поскольку увеличение на 3 мм диаме</w:t>
      </w:r>
      <w:r w:rsidRPr="00D03F3E">
        <w:rPr>
          <w:rFonts w:ascii="Times New Roman" w:cs="Times New Roman"/>
          <w:color w:val="000000" w:themeColor="text1"/>
          <w:spacing w:val="0"/>
        </w:rPr>
        <w:softHyphen/>
        <w:t>тра корпуса бомбы практически не влияло на эксплуатацию бомб, то комиссия разре</w:t>
      </w:r>
      <w:r w:rsidRPr="00D03F3E">
        <w:rPr>
          <w:rFonts w:ascii="Times New Roman" w:cs="Times New Roman"/>
          <w:color w:val="000000" w:themeColor="text1"/>
          <w:spacing w:val="0"/>
        </w:rPr>
        <w:softHyphen/>
        <w:t>шила «допустить ПТАБ-2,5-1,5 к валовому производству с отступлением от ТУ-5-40 по размерам диаметра бомбы».</w:t>
      </w:r>
    </w:p>
    <w:p w14:paraId="128F2C91"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Предложенный ЦКБ-22 контрящий механизм бомбы сочли неудобным. Кон</w:t>
      </w:r>
      <w:r w:rsidRPr="00D03F3E">
        <w:rPr>
          <w:rFonts w:ascii="Times New Roman" w:cs="Times New Roman"/>
          <w:color w:val="000000" w:themeColor="text1"/>
          <w:spacing w:val="0"/>
        </w:rPr>
        <w:softHyphen/>
        <w:t>структору бомбы И.А. Ларионову рекомен</w:t>
      </w:r>
      <w:r w:rsidRPr="00D03F3E">
        <w:rPr>
          <w:rFonts w:ascii="Times New Roman" w:cs="Times New Roman"/>
          <w:color w:val="000000" w:themeColor="text1"/>
          <w:spacing w:val="0"/>
        </w:rPr>
        <w:softHyphen/>
        <w:t>довалось «в дальнейшем разработать более удобное контрящее приспособление и по</w:t>
      </w:r>
      <w:r w:rsidRPr="00D03F3E">
        <w:rPr>
          <w:rFonts w:ascii="Times New Roman" w:cs="Times New Roman"/>
          <w:color w:val="000000" w:themeColor="text1"/>
          <w:spacing w:val="0"/>
        </w:rPr>
        <w:softHyphen/>
        <w:t>дать на контрольные испытания».</w:t>
      </w:r>
    </w:p>
    <w:p w14:paraId="19AD7518"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С целью сокращения времени на под</w:t>
      </w:r>
      <w:r w:rsidRPr="00D03F3E">
        <w:rPr>
          <w:rFonts w:ascii="Times New Roman" w:cs="Times New Roman"/>
          <w:color w:val="000000" w:themeColor="text1"/>
          <w:spacing w:val="0"/>
        </w:rPr>
        <w:softHyphen/>
        <w:t>готовку к боевому вылету самолетов с ПТАБ-2,5-1,5 от наркомата боеприпасов потребовали окончательное снаряжение бомб производить на заводах, а «в строе</w:t>
      </w:r>
      <w:r w:rsidRPr="00D03F3E">
        <w:rPr>
          <w:rFonts w:ascii="Times New Roman" w:cs="Times New Roman"/>
          <w:color w:val="000000" w:themeColor="text1"/>
          <w:spacing w:val="0"/>
        </w:rPr>
        <w:softHyphen/>
        <w:t>вые части подавать бомбы в окончательном снаряженном виде» (12739).</w:t>
      </w:r>
    </w:p>
    <w:p w14:paraId="2E71D8F6" w14:textId="77777777" w:rsidR="002F5AD4" w:rsidRPr="00D03F3E" w:rsidRDefault="002F5AD4" w:rsidP="00D03F3E">
      <w:pPr>
        <w:tabs>
          <w:tab w:val="left" w:pos="2083"/>
        </w:tabs>
        <w:spacing w:after="0" w:line="240" w:lineRule="auto"/>
        <w:jc w:val="both"/>
        <w:rPr>
          <w:rFonts w:ascii="Times New Roman" w:hAnsi="Times New Roman"/>
          <w:color w:val="000000" w:themeColor="text1"/>
          <w:sz w:val="16"/>
          <w:szCs w:val="16"/>
        </w:rPr>
      </w:pPr>
    </w:p>
    <w:p w14:paraId="609D1488" w14:textId="77777777" w:rsidR="009418F8" w:rsidRPr="00D03F3E" w:rsidRDefault="009418F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23 апреля 1943 г. заместитель начальни</w:t>
      </w:r>
      <w:r w:rsidRPr="00D03F3E">
        <w:rPr>
          <w:color w:val="000000" w:themeColor="text1"/>
          <w:sz w:val="16"/>
          <w:szCs w:val="16"/>
        </w:rPr>
        <w:softHyphen/>
        <w:t>ка НИИ ВВС генерал-майор М. В. Гуревич утвердил Отчет по испытаниям на эффек</w:t>
      </w:r>
      <w:r w:rsidRPr="00D03F3E">
        <w:rPr>
          <w:color w:val="000000" w:themeColor="text1"/>
          <w:sz w:val="16"/>
          <w:szCs w:val="16"/>
        </w:rPr>
        <w:softHyphen/>
        <w:t>тивность действия ПТАБ-2,5-1,5.</w:t>
      </w:r>
    </w:p>
    <w:p w14:paraId="052983F8" w14:textId="77777777" w:rsidR="009418F8" w:rsidRPr="00D03F3E" w:rsidRDefault="009418F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21 апреля 1943 г. в НИИ ВВС были проведены показательные полигонные испытания на эффек</w:t>
      </w:r>
      <w:r w:rsidRPr="00D03F3E">
        <w:rPr>
          <w:color w:val="000000" w:themeColor="text1"/>
          <w:sz w:val="16"/>
          <w:szCs w:val="16"/>
        </w:rPr>
        <w:softHyphen/>
        <w:t>тивность действия ПТАБ-2,5-1,5.</w:t>
      </w:r>
    </w:p>
    <w:p w14:paraId="24B87D6A" w14:textId="77777777" w:rsidR="009418F8" w:rsidRPr="00D03F3E" w:rsidRDefault="009418F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 испытаниях присутствовали: член Военного совета ВВС генерал-майор Шиманов, заместители командующего ВВС генерал-лейтенанты Никитин и Кондратюк, главный инженер ВВС генерал-лей</w:t>
      </w:r>
      <w:r w:rsidRPr="00D03F3E">
        <w:rPr>
          <w:color w:val="000000" w:themeColor="text1"/>
          <w:sz w:val="16"/>
          <w:szCs w:val="16"/>
        </w:rPr>
        <w:softHyphen/>
        <w:t>тенант Репин со своим заместителем генерал-май</w:t>
      </w:r>
      <w:r w:rsidRPr="00D03F3E">
        <w:rPr>
          <w:color w:val="000000" w:themeColor="text1"/>
          <w:sz w:val="16"/>
          <w:szCs w:val="16"/>
        </w:rPr>
        <w:softHyphen/>
        <w:t>ором Лапиным, заместитель начальника штаба ВВС генерал-майор Машнин, начальник ГУЗ ВВС генерал-майор Селезнев, начальник УЗВиБ гене</w:t>
      </w:r>
      <w:r w:rsidRPr="00D03F3E">
        <w:rPr>
          <w:color w:val="000000" w:themeColor="text1"/>
          <w:sz w:val="16"/>
          <w:szCs w:val="16"/>
        </w:rPr>
        <w:softHyphen/>
        <w:t>рал-майор Солдатов, начальник 3-го отдела ГУ ИАС инженер-полковник Матаев.</w:t>
      </w:r>
    </w:p>
    <w:p w14:paraId="54B00773" w14:textId="77777777" w:rsidR="009418F8" w:rsidRPr="00D03F3E" w:rsidRDefault="009418F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Кроме авиационного руководства, в работе комиссии участвовали представитель ГКО гене</w:t>
      </w:r>
      <w:r w:rsidRPr="00D03F3E">
        <w:rPr>
          <w:color w:val="000000" w:themeColor="text1"/>
          <w:sz w:val="16"/>
          <w:szCs w:val="16"/>
        </w:rPr>
        <w:softHyphen/>
        <w:t>рал-майор Александров, заместитель наркома ми</w:t>
      </w:r>
      <w:r w:rsidRPr="00D03F3E">
        <w:rPr>
          <w:color w:val="000000" w:themeColor="text1"/>
          <w:sz w:val="16"/>
          <w:szCs w:val="16"/>
        </w:rPr>
        <w:softHyphen/>
        <w:t>нометного вооружения Андреев, главный инженер наркомата боеприпасов Ларионов и автор кон</w:t>
      </w:r>
      <w:r w:rsidRPr="00D03F3E">
        <w:rPr>
          <w:color w:val="000000" w:themeColor="text1"/>
          <w:sz w:val="16"/>
          <w:szCs w:val="16"/>
        </w:rPr>
        <w:softHyphen/>
        <w:t>струкции бомбы старший инженер ЦКБ-22 И. А. Ла</w:t>
      </w:r>
      <w:r w:rsidRPr="00D03F3E">
        <w:rPr>
          <w:color w:val="000000" w:themeColor="text1"/>
          <w:sz w:val="16"/>
          <w:szCs w:val="16"/>
        </w:rPr>
        <w:softHyphen/>
        <w:t>рионов.</w:t>
      </w:r>
    </w:p>
    <w:p w14:paraId="001AAC9C" w14:textId="77777777" w:rsidR="009418F8" w:rsidRPr="00D03F3E" w:rsidRDefault="009418F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 НИИ ВВС испытания обеспечивали сотрудни</w:t>
      </w:r>
      <w:r w:rsidRPr="00D03F3E">
        <w:rPr>
          <w:color w:val="000000" w:themeColor="text1"/>
          <w:sz w:val="16"/>
          <w:szCs w:val="16"/>
        </w:rPr>
        <w:softHyphen/>
        <w:t>ки Управления испытания авиационного вооруже</w:t>
      </w:r>
      <w:r w:rsidRPr="00D03F3E">
        <w:rPr>
          <w:color w:val="000000" w:themeColor="text1"/>
          <w:sz w:val="16"/>
          <w:szCs w:val="16"/>
        </w:rPr>
        <w:softHyphen/>
        <w:t>ния института: начальник 3-го отдела инженер-под</w:t>
      </w:r>
      <w:r w:rsidRPr="00D03F3E">
        <w:rPr>
          <w:color w:val="000000" w:themeColor="text1"/>
          <w:sz w:val="16"/>
          <w:szCs w:val="16"/>
        </w:rPr>
        <w:softHyphen/>
        <w:t>полковник Сатонин, начальник 1-го отделения 3-го отдела инженер-майор Дьячков, летчики-испыта</w:t>
      </w:r>
      <w:r w:rsidRPr="00D03F3E">
        <w:rPr>
          <w:color w:val="000000" w:themeColor="text1"/>
          <w:sz w:val="16"/>
          <w:szCs w:val="16"/>
        </w:rPr>
        <w:softHyphen/>
        <w:t>тели — майор Звонарев, капитаны Кусакин, Девят- ников, Толузаров и Сироткин, лейтенант Евсеев, а также штурманы-испытатели — капитан Лизяев, старшие лейтенанты Быхал и Аронов.</w:t>
      </w:r>
    </w:p>
    <w:p w14:paraId="1A5C8A61" w14:textId="77777777" w:rsidR="009418F8" w:rsidRPr="00D03F3E" w:rsidRDefault="009418F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Программа испытаний включала наземную и воздушную части. В ходе наземной части члены комиссии знакомились с устройством ПТАБ-2,5-1,5 и взрывателя к ней, с процессом подготовки бомб и снаряжения кассет мелких бомб самолетов Ил-2, У-2, СБ, а также определялась эффективность бомб путем их подрывов на бронеплитах толщиной 40—60 мм отечественного производства и на не</w:t>
      </w:r>
      <w:r w:rsidRPr="00D03F3E">
        <w:rPr>
          <w:color w:val="000000" w:themeColor="text1"/>
          <w:sz w:val="16"/>
          <w:szCs w:val="16"/>
        </w:rPr>
        <w:softHyphen/>
        <w:t xml:space="preserve">мецкой трофейной технике — танк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IV</w:t>
      </w:r>
      <w:r w:rsidRPr="00D03F3E">
        <w:rPr>
          <w:color w:val="000000" w:themeColor="text1"/>
          <w:sz w:val="16"/>
          <w:szCs w:val="16"/>
        </w:rPr>
        <w:t>, бронема</w:t>
      </w:r>
      <w:r w:rsidRPr="00D03F3E">
        <w:rPr>
          <w:color w:val="000000" w:themeColor="text1"/>
          <w:sz w:val="16"/>
          <w:szCs w:val="16"/>
        </w:rPr>
        <w:softHyphen/>
        <w:t>шины и артиллерийские орудия. Для выявления эффективности действия бомб в 2 бронемашины на расстоянии 750 мм от броневого покрытия были помещены в клетках собака и кошка, а на расстоя</w:t>
      </w:r>
      <w:r w:rsidRPr="00D03F3E">
        <w:rPr>
          <w:color w:val="000000" w:themeColor="text1"/>
          <w:sz w:val="16"/>
          <w:szCs w:val="16"/>
        </w:rPr>
        <w:softHyphen/>
        <w:t>нии 1200 мм — бензобаки, заполненные бензином. Как и прежде, с целью имитации удара о преграду головная часть бомб предварительно деформиро</w:t>
      </w:r>
      <w:r w:rsidRPr="00D03F3E">
        <w:rPr>
          <w:color w:val="000000" w:themeColor="text1"/>
          <w:sz w:val="16"/>
          <w:szCs w:val="16"/>
        </w:rPr>
        <w:softHyphen/>
        <w:t>валась.</w:t>
      </w:r>
    </w:p>
    <w:p w14:paraId="6B357D6F" w14:textId="77777777" w:rsidR="009418F8" w:rsidRPr="00D03F3E" w:rsidRDefault="009418F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Воздушная часть предполагала показательные бомбометания ПТАБами с самолетов У-2, Ил-2 и СБ по мишенной обстановке. Целями служили: 6 не</w:t>
      </w:r>
      <w:r w:rsidRPr="00D03F3E">
        <w:rPr>
          <w:color w:val="000000" w:themeColor="text1"/>
          <w:sz w:val="16"/>
          <w:szCs w:val="16"/>
        </w:rPr>
        <w:softHyphen/>
        <w:t xml:space="preserve">мецких бронемашин и 4 бронированных тягача, 3 американских легких танка, 1 немецкий средний танк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IV</w:t>
      </w:r>
      <w:r w:rsidRPr="00D03F3E">
        <w:rPr>
          <w:color w:val="000000" w:themeColor="text1"/>
          <w:sz w:val="16"/>
          <w:szCs w:val="16"/>
        </w:rPr>
        <w:t>, 13 немецких артиллерийских орудий калибра 75 и 150 мм, 33 бронеплиты толщиной от 7 до 60 мм, рельсовая укладка. Орудийная прислу</w:t>
      </w:r>
      <w:r w:rsidRPr="00D03F3E">
        <w:rPr>
          <w:color w:val="000000" w:themeColor="text1"/>
          <w:sz w:val="16"/>
          <w:szCs w:val="16"/>
        </w:rPr>
        <w:softHyphen/>
        <w:t>га, танковый десант и лошади — всего 73 макета — имитировались деревянными щитами толщиной 25 мм соответствующей формы.</w:t>
      </w:r>
    </w:p>
    <w:p w14:paraId="7E19FD7E" w14:textId="77777777" w:rsidR="009418F8" w:rsidRPr="00D03F3E" w:rsidRDefault="009418F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общей сложности было выполнено 8 полетов. Из них 5 вылетов на одноместных и двухместных Ил-2 (Звонарев, Кусакин, Евсеев), 1 вылет на само</w:t>
      </w:r>
      <w:r w:rsidRPr="00D03F3E">
        <w:rPr>
          <w:color w:val="000000" w:themeColor="text1"/>
          <w:sz w:val="16"/>
          <w:szCs w:val="16"/>
        </w:rPr>
        <w:softHyphen/>
        <w:t>лете У-2 (Толузаров и Быхал), 2 вылета на бомбарди</w:t>
      </w:r>
      <w:r w:rsidRPr="00D03F3E">
        <w:rPr>
          <w:color w:val="000000" w:themeColor="text1"/>
          <w:sz w:val="16"/>
          <w:szCs w:val="16"/>
        </w:rPr>
        <w:softHyphen/>
        <w:t>ровщике СБ (Девятников и Аронов, Сироткин и Ли зяев). В кассеты мелких бомб самолета У-2 загружа</w:t>
      </w:r>
      <w:r w:rsidRPr="00D03F3E">
        <w:rPr>
          <w:color w:val="000000" w:themeColor="text1"/>
          <w:sz w:val="16"/>
          <w:szCs w:val="16"/>
        </w:rPr>
        <w:softHyphen/>
        <w:t>ли 106, СБ — 144, а штурмовиков Ил-2 — 278 и 312 ПТАБ-2,5-1,5. Сброс бомб осуществлялся с высоты 75—100 м на скоростях 120 км/ч (У-2) и 300 км/ч (Ил-2, СБ) одиночно кассетами (У-2, Ил-2) и серией из 4 (Ил-2) и 6 кассет (СБ) с временным интервалом 0,1 сек. После 4, 6 и 8-го полетов члены комиссии производили осмотр мишеней.</w:t>
      </w:r>
    </w:p>
    <w:p w14:paraId="461ECC06" w14:textId="77777777" w:rsidR="009418F8" w:rsidRPr="00D03F3E" w:rsidRDefault="009418F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Результаты наземных испытаний сводились в ос</w:t>
      </w:r>
      <w:r w:rsidRPr="00D03F3E">
        <w:rPr>
          <w:color w:val="000000" w:themeColor="text1"/>
          <w:sz w:val="16"/>
          <w:szCs w:val="16"/>
        </w:rPr>
        <w:softHyphen/>
        <w:t>новном к следующему. Было продемонстрировано, что под углом встречи до 30° кумулятивная струя ПТАБ-2,5-1,5 устойчиво пробивает броню толщиной 60 мм, а под углом 45° — 45 мм. При этом диаметр отверстия на входе составлял 26 мм и на выходе — 16 мм, а также образовывались отколы брони раз</w:t>
      </w:r>
      <w:r w:rsidRPr="00D03F3E">
        <w:rPr>
          <w:color w:val="000000" w:themeColor="text1"/>
          <w:sz w:val="16"/>
          <w:szCs w:val="16"/>
        </w:rPr>
        <w:softHyphen/>
        <w:t>мером 60—70 мм.</w:t>
      </w:r>
    </w:p>
    <w:p w14:paraId="2685E8C2" w14:textId="77777777" w:rsidR="009418F8" w:rsidRPr="00D03F3E" w:rsidRDefault="009418F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действии по броневому покрытию толщи</w:t>
      </w:r>
      <w:r w:rsidRPr="00D03F3E">
        <w:rPr>
          <w:color w:val="000000" w:themeColor="text1"/>
          <w:sz w:val="16"/>
          <w:szCs w:val="16"/>
        </w:rPr>
        <w:softHyphen/>
        <w:t>ной 15 мм кумулятивная струя проламывает броню, пробивает бензобаки и воспламеняет бензин. Жи</w:t>
      </w:r>
      <w:r w:rsidRPr="00D03F3E">
        <w:rPr>
          <w:color w:val="000000" w:themeColor="text1"/>
          <w:sz w:val="16"/>
          <w:szCs w:val="16"/>
        </w:rPr>
        <w:softHyphen/>
        <w:t>вотные (собака и кошка), помещенные внутри бро</w:t>
      </w:r>
      <w:r w:rsidRPr="00D03F3E">
        <w:rPr>
          <w:color w:val="000000" w:themeColor="text1"/>
          <w:sz w:val="16"/>
          <w:szCs w:val="16"/>
        </w:rPr>
        <w:softHyphen/>
        <w:t>немашины, погибли.</w:t>
      </w:r>
    </w:p>
    <w:p w14:paraId="7A3F2780" w14:textId="77777777" w:rsidR="009418F8" w:rsidRPr="00D03F3E" w:rsidRDefault="009418F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Кроме того, при подрыве бомбы на казенной части 150-мм артиллерийского орудия толщиной 95 мм имело место несквозное пробитие глубиной 80 мм и диаметром 23 мм (угол встречи 0°). С про</w:t>
      </w:r>
      <w:r w:rsidRPr="00D03F3E">
        <w:rPr>
          <w:color w:val="000000" w:themeColor="text1"/>
          <w:sz w:val="16"/>
          <w:szCs w:val="16"/>
        </w:rPr>
        <w:softHyphen/>
        <w:t>тивоположной стороны «получена выпуклость ме</w:t>
      </w:r>
      <w:r w:rsidRPr="00D03F3E">
        <w:rPr>
          <w:color w:val="000000" w:themeColor="text1"/>
          <w:sz w:val="16"/>
          <w:szCs w:val="16"/>
        </w:rPr>
        <w:softHyphen/>
        <w:t>талла».</w:t>
      </w:r>
    </w:p>
    <w:p w14:paraId="63DB4F36" w14:textId="77777777" w:rsidR="009418F8" w:rsidRPr="00D03F3E" w:rsidRDefault="009418F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Неприятным моментом стало довольно про</w:t>
      </w:r>
      <w:r w:rsidRPr="00D03F3E">
        <w:rPr>
          <w:color w:val="000000" w:themeColor="text1"/>
          <w:sz w:val="16"/>
          <w:szCs w:val="16"/>
        </w:rPr>
        <w:softHyphen/>
        <w:t>должительное время, затрачиваемое на снаряже</w:t>
      </w:r>
      <w:r w:rsidRPr="00D03F3E">
        <w:rPr>
          <w:color w:val="000000" w:themeColor="text1"/>
          <w:sz w:val="16"/>
          <w:szCs w:val="16"/>
        </w:rPr>
        <w:softHyphen/>
        <w:t>ние самолетов бомбами. Например, на подготов</w:t>
      </w:r>
      <w:r w:rsidRPr="00D03F3E">
        <w:rPr>
          <w:color w:val="000000" w:themeColor="text1"/>
          <w:sz w:val="16"/>
          <w:szCs w:val="16"/>
        </w:rPr>
        <w:softHyphen/>
        <w:t>ку штурмовика Ил-2 к вылету при использовании кассет мелких бомб у трех специалистов авиаво</w:t>
      </w:r>
      <w:r w:rsidRPr="00D03F3E">
        <w:rPr>
          <w:color w:val="000000" w:themeColor="text1"/>
          <w:sz w:val="16"/>
          <w:szCs w:val="16"/>
        </w:rPr>
        <w:softHyphen/>
        <w:t>оружения уходило до 2 ч 50 мин, в том числе 1 ч 30 мин — на подготовку 272 бомб до полного снаряжения, 1 ч — на загрузку бомб в кассеты, 20 мин — на подвеску кассет в бомбоотсеки. При загрузке бомб в универсальные бомбоотсеки Ил-2 (312 бомб) время готовности к вылету возрастало до 3 ч 08 мин.</w:t>
      </w:r>
    </w:p>
    <w:p w14:paraId="6F7AB23E" w14:textId="77777777" w:rsidR="009418F8" w:rsidRPr="00D03F3E" w:rsidRDefault="009418F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Из числа бомб, сброшенных в воздухе с самоле</w:t>
      </w:r>
      <w:r w:rsidRPr="00D03F3E">
        <w:rPr>
          <w:color w:val="000000" w:themeColor="text1"/>
          <w:sz w:val="16"/>
          <w:szCs w:val="16"/>
        </w:rPr>
        <w:softHyphen/>
        <w:t>тов, подействовало 1816 и отказало 25 бомб, в том числе 20 — из-за несвертывания ветрянки и 5 — из-за невыхода походной чеки. Из 27 целей мишен</w:t>
      </w:r>
      <w:r w:rsidRPr="00D03F3E">
        <w:rPr>
          <w:color w:val="000000" w:themeColor="text1"/>
          <w:sz w:val="16"/>
          <w:szCs w:val="16"/>
        </w:rPr>
        <w:softHyphen/>
        <w:t>ной обстановки 20 были поражены. В них зафикси</w:t>
      </w:r>
      <w:r w:rsidRPr="00D03F3E">
        <w:rPr>
          <w:color w:val="000000" w:themeColor="text1"/>
          <w:sz w:val="16"/>
          <w:szCs w:val="16"/>
        </w:rPr>
        <w:softHyphen/>
        <w:t>ровали 38 попаданий бомб. Все макеты орудийного расчета, танкового десанта и лошадей были разби</w:t>
      </w:r>
      <w:r w:rsidRPr="00D03F3E">
        <w:rPr>
          <w:color w:val="000000" w:themeColor="text1"/>
          <w:sz w:val="16"/>
          <w:szCs w:val="16"/>
        </w:rPr>
        <w:softHyphen/>
        <w:t>ты. Кроме того, 35 бомб попали в рельсовую уклад</w:t>
      </w:r>
      <w:r w:rsidRPr="00D03F3E">
        <w:rPr>
          <w:color w:val="000000" w:themeColor="text1"/>
          <w:sz w:val="16"/>
          <w:szCs w:val="16"/>
        </w:rPr>
        <w:softHyphen/>
        <w:t>ку и 3 бомбы поразили 3 бронеплиты, лежащие на земле. Бронеплиты получили сквозные пробоины, а 18 рельсов и 15 шпал — перебиты.</w:t>
      </w:r>
    </w:p>
    <w:p w14:paraId="5114D661" w14:textId="77777777" w:rsidR="009418F8" w:rsidRPr="00D03F3E" w:rsidRDefault="009418F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Выводы комиссии были более чем положи</w:t>
      </w:r>
      <w:r w:rsidRPr="00D03F3E">
        <w:rPr>
          <w:color w:val="000000" w:themeColor="text1"/>
          <w:sz w:val="16"/>
          <w:szCs w:val="16"/>
        </w:rPr>
        <w:softHyphen/>
        <w:t>тельными. Как следствие, противотанковая бомба ПТАБ-2,5-1,5 конструкции ЦКБ-22 рекомендовалась «для применения по танкам, бронемашинам, ар</w:t>
      </w:r>
      <w:r w:rsidRPr="00D03F3E">
        <w:rPr>
          <w:color w:val="000000" w:themeColor="text1"/>
          <w:sz w:val="16"/>
          <w:szCs w:val="16"/>
        </w:rPr>
        <w:softHyphen/>
        <w:t>тиллерии, мотомехколонн, живой силе противни</w:t>
      </w:r>
      <w:r w:rsidRPr="00D03F3E">
        <w:rPr>
          <w:color w:val="000000" w:themeColor="text1"/>
          <w:sz w:val="16"/>
          <w:szCs w:val="16"/>
        </w:rPr>
        <w:softHyphen/>
        <w:t>ка, эшелонам, ж.-д. мостам, матчасти самолетов, по наземным нефте- и бензохранилищам и по надво</w:t>
      </w:r>
      <w:r w:rsidRPr="00D03F3E">
        <w:rPr>
          <w:color w:val="000000" w:themeColor="text1"/>
          <w:sz w:val="16"/>
          <w:szCs w:val="16"/>
        </w:rPr>
        <w:softHyphen/>
        <w:t>дным переправам».</w:t>
      </w:r>
    </w:p>
    <w:p w14:paraId="277129C5" w14:textId="77777777" w:rsidR="009418F8" w:rsidRPr="00D03F3E" w:rsidRDefault="009418F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Поскольку увеличение на 3 мм диаметра кор</w:t>
      </w:r>
      <w:r w:rsidRPr="00D03F3E">
        <w:rPr>
          <w:color w:val="000000" w:themeColor="text1"/>
          <w:sz w:val="16"/>
          <w:szCs w:val="16"/>
        </w:rPr>
        <w:softHyphen/>
        <w:t>пуса бомбы практически не влияло на эксплуа</w:t>
      </w:r>
      <w:r w:rsidRPr="00D03F3E">
        <w:rPr>
          <w:color w:val="000000" w:themeColor="text1"/>
          <w:sz w:val="16"/>
          <w:szCs w:val="16"/>
        </w:rPr>
        <w:softHyphen/>
        <w:t>тацию бомб, то комиссия разрешила «допустить ПТАБ-2,5-1,5 к валовому производству с отступле</w:t>
      </w:r>
      <w:r w:rsidRPr="00D03F3E">
        <w:rPr>
          <w:color w:val="000000" w:themeColor="text1"/>
          <w:sz w:val="16"/>
          <w:szCs w:val="16"/>
        </w:rPr>
        <w:softHyphen/>
        <w:t>нием от ТУ-5-40 по размерам диаметра бомбы».</w:t>
      </w:r>
    </w:p>
    <w:p w14:paraId="3B5C3EF0" w14:textId="77777777" w:rsidR="009418F8" w:rsidRPr="00D03F3E" w:rsidRDefault="009418F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Предложенный ЦКБ-22 контрящий механизм бомбы сочли неудобным. Конструктору бомбы И. А. Ларионову рекомендовалось «в дальней</w:t>
      </w:r>
      <w:r w:rsidRPr="00D03F3E">
        <w:rPr>
          <w:color w:val="000000" w:themeColor="text1"/>
          <w:sz w:val="16"/>
          <w:szCs w:val="16"/>
        </w:rPr>
        <w:softHyphen/>
        <w:t>шем разработать более удобное контрящее при</w:t>
      </w:r>
      <w:r w:rsidRPr="00D03F3E">
        <w:rPr>
          <w:color w:val="000000" w:themeColor="text1"/>
          <w:sz w:val="16"/>
          <w:szCs w:val="16"/>
        </w:rPr>
        <w:softHyphen/>
        <w:t>способление и подать на контрольные испы</w:t>
      </w:r>
      <w:r w:rsidRPr="00D03F3E">
        <w:rPr>
          <w:color w:val="000000" w:themeColor="text1"/>
          <w:sz w:val="16"/>
          <w:szCs w:val="16"/>
        </w:rPr>
        <w:softHyphen/>
        <w:t>тания».</w:t>
      </w:r>
    </w:p>
    <w:p w14:paraId="5CE744E4" w14:textId="77777777" w:rsidR="009418F8" w:rsidRPr="00D03F3E" w:rsidRDefault="009418F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 целью сокращения времени на подготовку к боевому вылету самолетов с ПТАБ-2,5-1,5 от нар</w:t>
      </w:r>
      <w:r w:rsidRPr="00D03F3E">
        <w:rPr>
          <w:color w:val="000000" w:themeColor="text1"/>
          <w:sz w:val="16"/>
          <w:szCs w:val="16"/>
        </w:rPr>
        <w:softHyphen/>
        <w:t>комата боеприпасов потребовали окончательное снаряжение бомб производить на заводах и «в строевые части подавать бомбы в окончательном снаряженном виде» (17500).</w:t>
      </w:r>
    </w:p>
    <w:p w14:paraId="2F4AD883" w14:textId="77777777" w:rsidR="009418F8" w:rsidRPr="00D03F3E" w:rsidRDefault="009418F8" w:rsidP="00D03F3E">
      <w:pPr>
        <w:spacing w:after="0" w:line="240" w:lineRule="auto"/>
        <w:jc w:val="both"/>
        <w:rPr>
          <w:rFonts w:ascii="Times New Roman" w:hAnsi="Times New Roman"/>
          <w:color w:val="000000" w:themeColor="text1"/>
          <w:sz w:val="16"/>
          <w:szCs w:val="16"/>
        </w:rPr>
      </w:pPr>
    </w:p>
    <w:p w14:paraId="6560F2D4"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535095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8A951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1943 года вышел приказ НКБ № 419с</w:t>
      </w:r>
    </w:p>
    <w:p w14:paraId="40876B2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постановлением Правительства от 6 апреля 1943 года за № 3133</w:t>
      </w:r>
    </w:p>
    <w:p w14:paraId="2625928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Директору комбината № 352 принять завод № 573 как ремонтно-механический цех для изготовления запасных частей и оборудования для пороховых и химических заводов 3 Гл. управления (5946, 42).</w:t>
      </w:r>
    </w:p>
    <w:p w14:paraId="0A74029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942C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1943 вышло Постановление ГКО № 3237 Об изготовлении танковых противоминных тралов ПТ-3.РГАНИР, Фонд ГКО, д. 109, лл. 72 (11012).</w:t>
      </w:r>
    </w:p>
    <w:p w14:paraId="1285B0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BF7E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1943 вышло Постановление ГКО № 3238 О плане ремонта тракторов (арттягачей) для Красной Армии на II квартал 1943 года.РГАНИР, Фонд ГКО, д. 109, лл. 73-75, 76-103 (11012).</w:t>
      </w:r>
    </w:p>
    <w:p w14:paraId="265A1D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2DC4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1943 вышло Распоряжение ГКО № 3239. О поставках Алтайскому тракторному заводу оборудования, сырья и топлива.РГАНИР, Фонд ГКО, д. 109, лл. 104-106, 107-112 (11012).</w:t>
      </w:r>
    </w:p>
    <w:p w14:paraId="78E7C1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FF3D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1943 вышло Постановление ГКО № 3240 О плане ремонта автомобилей и автомобильных агрегатов для Красной Армии и Военно-Морского Флота на II квартал 1943 года.РГАНИР, Фонд ГКО, д. 109, лл. 113-120, 121-179 (11012).</w:t>
      </w:r>
    </w:p>
    <w:p w14:paraId="73DDD4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23D1B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1943 вышло Распоряжение ГКО № 3241 [О сохранении совхоза "Большевик" в ведении Главнефтеснаба при СНК СССР.] (7099, 180).</w:t>
      </w:r>
    </w:p>
    <w:p w14:paraId="19325F0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749D2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1943 вышло Распоряжение ГКО № 3243 [Об отгрузке 10 300 т бумаги госрезерва в городах Сибири, Дальнего Востока, Закавказья и Средней Азии.] (7099, 186,187-191).</w:t>
      </w:r>
    </w:p>
    <w:p w14:paraId="60BDECE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3677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1943 вышло Постановление ГКО № 3244 О разрешении военизированному флоту Ленгосрыбтреста Наркомрыбпрома СССР производить лов рыбы в южной части Ладожского озера.РГАНИР, Фонд ГКО, д. 109, лл. 192 (11012).</w:t>
      </w:r>
    </w:p>
    <w:p w14:paraId="518A56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2A19C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412AF4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040770"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в 1943 году утреннее сообщение Совинформбюро:</w:t>
      </w:r>
    </w:p>
    <w:p w14:paraId="3D9E2283"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23 апреля на фронтах существенных изменении не произошло.</w:t>
      </w:r>
    </w:p>
    <w:p w14:paraId="769ED8B9"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продолжались ожесточённые бои. Бойцы Н-ской части отбили три атаки противника и уничтожили до 300 немецких солдат и офицеров. На другом участке противник бросил в наступление два батальона пехоты. Подпустив гитлеровцев на близкое расстояние, наши бойцы открыли мощный миномётный и ружейно-пулемётный огонь. Оставив на поле боя более 200 трупов и много вооружения, немцы в беспорядке отступили.</w:t>
      </w:r>
    </w:p>
    <w:p w14:paraId="46ED28F1"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огневым налётом советской артиллерии разбито 5 немецких дзотов и блиндажей. Снайперы Н-ского подразделения истребили 67 немецких солдат и офицеров. Снайперы тт. Петраковский и Шестаков уничтожили 10 гитлеровцев.</w:t>
      </w:r>
    </w:p>
    <w:p w14:paraId="13488995"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Чугуева противник под прикрытием миномётного и ружейно-пулемётного огня пытался переправиться на левый берег Северного Донца. Артиллерийским огнём немцы были рассеяны и отступили, оставив на берегу реки несколько десятков трупов. На другом участке артиллеристы Н-ской части уничтожили до роты немецкой пехоты и взорвали 3 склада боеприпасов противника.</w:t>
      </w:r>
    </w:p>
    <w:p w14:paraId="60D2DF69"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происходила перестрелка с противником. Огнём советской артиллерии разрушено 9 немецких дзотов и блиндажей, подавлен огонь 2 артиллерийских и 4 миномётных батарей. Разведывательный отряд противника атаковал позиции отделения, где командиром тов. Шапка. Подпустив гитлеровцев на близкое расстояние, наши бойцы открыли залповый огонь и уничтожили 15 немецких солдат. Остальные гитлеровцы бежали.</w:t>
      </w:r>
    </w:p>
    <w:p w14:paraId="14D1A786"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Советские зенитчики сбили немецкий самолёт.</w:t>
      </w:r>
    </w:p>
    <w:p w14:paraId="4A147421"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Ленинградской области, 15 апреля атаковал немецкий гарнизон в одном населённом пункте. B ожесточённой схватке с противником советские патриоты уничтожили 40 гитлеровцев. Другой отряд ленинградских партизан отбил несколько атак немецкой карательной экспедиции. Измотав противника, партизаны перешли в контратаку и вынудили немцев отступить. На поле боя осталось до 100 вражеских трупов. Захвачено 3 пулемёта, много винтовок и 11 тысяч патронов.</w:t>
      </w:r>
    </w:p>
    <w:p w14:paraId="0DB7F586"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лётчик 2 группы 1 немецкой бомбардировочной эскадры обер-фельдфебель Генрих Титьен рассказал: «Два отряда второй группы с Брянского аэродрома и два отряда третьей группы с Орловского аэродрома получили задание 11 апреля подвергнуть бомбардировке город Курск. На подступах к городу наши самолёты были рассеяны советскими истребителями. Мне, как и большинству лётчиков, не удалось достигнуть Курска. Самолёт был подбит русскими зенитчиками, и я даже не успел сбросить бомбы. Недавно я побывал в Германии. Тотальная мобилизация была в полном разгаре. В армию призвали новые тысячи людей. Они должны заполнить бреши, образовавшиеся зимой в рядах немецких войск. Но то, чего не могли добиться отборные кадровые немецкие дивизии, тем более окажется не под силу глубоко штатским людям, теперь призванным в армию. Все эти пожилые торговцы и служащие, лакеи и кельнеры, наспех одетые в солдатские мундиры, не отвечают суровым требованиям войны на Востоке и будут перемолоты в первых же крупных сражениях» (15108).</w:t>
      </w:r>
    </w:p>
    <w:p w14:paraId="6552DFDB" w14:textId="77777777" w:rsidR="00DC7006" w:rsidRPr="00D03F3E" w:rsidRDefault="00DC7006" w:rsidP="00D03F3E">
      <w:pPr>
        <w:spacing w:after="0" w:line="240" w:lineRule="auto"/>
        <w:jc w:val="both"/>
        <w:rPr>
          <w:rFonts w:ascii="Times New Roman" w:hAnsi="Times New Roman"/>
          <w:color w:val="000000" w:themeColor="text1"/>
          <w:sz w:val="16"/>
          <w:szCs w:val="16"/>
        </w:rPr>
      </w:pPr>
    </w:p>
    <w:p w14:paraId="3762CE05"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в 1943 году вечернее сообщение Совинформбюро:</w:t>
      </w:r>
    </w:p>
    <w:p w14:paraId="64865A26"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23 апреля на фронтах существенных изменений не произошло.</w:t>
      </w:r>
    </w:p>
    <w:p w14:paraId="113D56D3"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кораблями в Баренцевом море потоплен транспорт противника.</w:t>
      </w:r>
    </w:p>
    <w:p w14:paraId="79388928"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противник предпринял несколько атак, но, потеряв убитыми и ранеными до 500 солдат и офицеров, был вынужден отойти на исходные позиции. Танкисты под командованием капитана Сушкина за несколько дней сожгли и подбили 17 немецких танков. По-прежнему активно действовала наша авиация и авиация противника. В воздушных боях нашими лётчиками сбито 36 немецких самолётов.</w:t>
      </w:r>
    </w:p>
    <w:p w14:paraId="08F2BFB1"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укрепляли свои позиции, ружейно-пулемётным иартиллерийским огнём уничтожали живую силу и огневые точки противника. На одном участке батальон немецкой пехоты пытался вести разведку боем. Огнём из всех видов оружия уничтожено более 100 немецких солдат и офицеров. Остальные гитлеровцы были рассеяны.</w:t>
      </w:r>
    </w:p>
    <w:p w14:paraId="63B09C06"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Ворошиловграда огнём нашей артиллерии разрушено 4 дзота, уничтожено 7 автомашин и 12 повозок противника с различными грузами.</w:t>
      </w:r>
    </w:p>
    <w:p w14:paraId="095E9143"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Советская авиация произвела крупный налёт на аэродром противника. При первом же заходе наши лётчики уничтожили на земле 20 немецких самолётов. Результаты последующих бомбовых ударов невозможно было точно установить из-за густого дыма от возникшего пожара. Кроме того, советские лётчики бомбили железнодорожные станции в тылу врага и уничтожили немецкий эшелон с вооружением и боеприпасами.</w:t>
      </w:r>
    </w:p>
    <w:p w14:paraId="0BF76D37"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происходила редкая перестрелка. Снайперы подразделения, где командиром лейтенант Вагин, за последние дни истребили 324 гитлеровца. Наблюдатель-разведчик гвардии лейтенант Волобуев обнаружил вражескую колонну в составе 30 повозок и до 150 немецких солдат и офицеров. Артиллеристы подразделения, где командиром т. Писарев, открыли прицельный огонь и несколькими залпами разгромили колонну противника.</w:t>
      </w:r>
    </w:p>
    <w:p w14:paraId="2E25A176"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Украинские партизаны узнали, что в город Н. прибыла крупная карательная экспедиция противника. Ночью несколько отрядов партизан объединёнными силами перехватили все дороги и ворвались в северную и центральную части города. Завязались ожесточённые уличные бои с немцами. К концу дня немецкий гарнизон и каратели были разгромлены. В результате этой операции советские патриоты истребили до 400 гитлеровцев. В числе убитых немецкий генерал и много офицеров. Разгромлено несколько складов с военным имуществом. Захвачены трофеи: 15 пулемётов, 3 миномёта. 105 автоматов и винтовок и 20 тысяч патронов. Партизаны освободили из тюрьмы 20 советских граждан, присуждённых гитлеровцами к расстрелу.</w:t>
      </w:r>
    </w:p>
    <w:p w14:paraId="74AFF478"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Пленный солдат 1 роты 513 полка 294 немецкой пехотной дивизии Герберт К.рассказал: «У меня больное сердце, и поэтому я был освобождён от военной службы. В январе 1943 года меня, однако, призвали и совершенно неожиданно с маршевым батальоном отправили в Россию. Батальон производил весьма жалкое впечатление. Тут были собраны больные пороком сердца, туберкулёзом и просто полуинвалиды. Нас направили в 294 дивизию. В первой роте 513 полка, куда я попал, было всего лишь7 солдат. Солдаты опасаются, что русские устроят им ещё один Сталинград. Один из них мне сказал, что он страшно устал и желает любым способом вырваться отсюда. При первой же возможности мы с ним вместе сдались в плен».</w:t>
      </w:r>
    </w:p>
    <w:p w14:paraId="1D42A02C"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злодеяниях немецко-фашистских мерзавцев в деревне Борки, Калининской области: «Отступая из деревни Борки, немецкие захватчики сожгли все дома. В деревне не осталось ни души. Бойцы и командиры Н-ской части, вступившие в Борки, обнаружили на пепелище 27 трупов женщин, детей и стариков. Четыре трупа зверски замученных девушек лежали посредине улицы. На западной окраине деревни найден труп молодой женщины. Все её тело было в ранах, голова разбита, груди вырезаны. Рядом лежали двое убитых детей в возрасте от одного до трёх лет. Гитлеровские звери и убийцы снесли с лица земли деревню Борки, сожгли и убили всех жителей деревни». Акт подписали: лейтенанты Р.Степаненко, С.Жрутеев, старший сержант Т.Кургаев, красноармеец С.Тиркин.» (15108).</w:t>
      </w:r>
    </w:p>
    <w:p w14:paraId="20078623" w14:textId="77777777" w:rsidR="00DC7006" w:rsidRPr="00D03F3E" w:rsidRDefault="00DC7006" w:rsidP="00D03F3E">
      <w:pPr>
        <w:spacing w:after="0" w:line="240" w:lineRule="auto"/>
        <w:jc w:val="both"/>
        <w:rPr>
          <w:rFonts w:ascii="Times New Roman" w:hAnsi="Times New Roman"/>
          <w:color w:val="000000" w:themeColor="text1"/>
          <w:sz w:val="16"/>
          <w:szCs w:val="16"/>
        </w:rPr>
      </w:pPr>
    </w:p>
    <w:p w14:paraId="5BB1B1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1943 впервые была применена ФАБ-5000НГ, - 5.4 т (3.2 т - заряд ВВ), разработанная КБ Н.И.Гальперина. Использовали по береговым укреплениям Кенигсберга (177,422).</w:t>
      </w:r>
    </w:p>
    <w:p w14:paraId="4AF34B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A80D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23 апреля по 7 мая 1943 «Илы» 1-го ГМТАП совместно с МБР-2 из состава 58-й отдельной эскадрильи произвели 120 самолето-вылетов на бомбардировку акватории в районе острова Гогланд, сбросив 646 бомб, после чего наблюдалось «до 40 сильных взрывов - предположительно мин». В последующие дни самолеты несколько раз вылетали бомбить Нарген-Поркаллауддский рубеж. Стоит отметить, что даже если отбросить несколько тысяч мин, выставленных на гогландском рубеже еще в кампанию 1942 г., то только между 10 апреля и 15 мая 1943 г. немцы и финны выставили здесь же ещё 2651 мину. Впрочем, по имеемым к настоящему времени данным, все три выходившие подводные лодки смогли форсировать гогландский рубеж, но попытка продвинуться дальше на запад стала для двух из них роковой. Противник потопил «Щ-408» и «Щ-406», и только благодаря необычайному везению «Щ-303» капитана 3 ранга И.Травкина удалось вернуться назад. От него-то командование впервые и узнало о существовании противолодочной сети, перегораживающей залив. Лишь 6 июня эти данные были подтверждены аэрофотоснимками, сделанными нашими разведывательными самолётами (9965).</w:t>
      </w:r>
    </w:p>
    <w:p w14:paraId="340B03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8E24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1943 Д.Глинка, П.Крюков и А.И.Покрышкин в одном бою сбили по три самолета каждый (438,868).</w:t>
      </w:r>
    </w:p>
    <w:p w14:paraId="59087D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C84A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1943 года вышло Постановление ЦК КП(б)Б об усилении разведывательной и контрразведывательной работы в партизанских отрядах Белоруссии, решено ввести во всех бригадах и отрядах должности замкомандира по разведке (8983).</w:t>
      </w:r>
    </w:p>
    <w:p w14:paraId="5FE2C9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670D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1943 г. вышел ПРИКАЗ НКО СССР О ПЕРЕДАЧЕ САМОХОДНОЙ АРТИЛЛЕРИИ В ВЕДЕНИЕ КОМАНДУЮЩЕГО БРОНЕТАНКОВЫМИ И МЕХАНИЗИРОВАННЫМИ ВОЙСКАМИ КРАСНОЙ АРМИИ №0291</w:t>
      </w:r>
    </w:p>
    <w:p w14:paraId="7E8D69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Самоходную артиллерию передать в ведение командующего бронетанковыми и механизиро</w:t>
      </w:r>
      <w:r w:rsidRPr="00D03F3E">
        <w:rPr>
          <w:rFonts w:ascii="Times New Roman" w:hAnsi="Times New Roman"/>
          <w:color w:val="000000" w:themeColor="text1"/>
          <w:sz w:val="16"/>
          <w:szCs w:val="16"/>
        </w:rPr>
        <w:softHyphen/>
        <w:t>ванными войсками Красной Армии.</w:t>
      </w:r>
    </w:p>
    <w:p w14:paraId="120E92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Командующему артиллерией Красной Армии передать, а командующему бронетанковыми и механизированными войсками Красной Армии принять:</w:t>
      </w:r>
    </w:p>
    <w:p w14:paraId="54175A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полки самоходной артиллерии, находящиеся на фронтах и в резерве Ставки Верховного Главного Командования;</w:t>
      </w:r>
    </w:p>
    <w:p w14:paraId="1F0028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учебный центр самоходной артиллерии со всем личным составом и всей учебной материаль</w:t>
      </w:r>
      <w:r w:rsidRPr="00D03F3E">
        <w:rPr>
          <w:rFonts w:ascii="Times New Roman" w:hAnsi="Times New Roman"/>
          <w:color w:val="000000" w:themeColor="text1"/>
          <w:sz w:val="16"/>
          <w:szCs w:val="16"/>
        </w:rPr>
        <w:softHyphen/>
        <w:t>ной частью, складами и формируемые артиллерийские полки;</w:t>
      </w:r>
    </w:p>
    <w:p w14:paraId="6418C0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18, 19, 21-й учебные полки самоходной артиллерии со всем личным составом и всей учебно-материальной базой;</w:t>
      </w:r>
    </w:p>
    <w:p w14:paraId="24A033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2-е Киевское и 2-е Ростовское артиллерийские училища самоходной артиллерии со всем лич</w:t>
      </w:r>
      <w:r w:rsidRPr="00D03F3E">
        <w:rPr>
          <w:rFonts w:ascii="Times New Roman" w:hAnsi="Times New Roman"/>
          <w:color w:val="000000" w:themeColor="text1"/>
          <w:sz w:val="16"/>
          <w:szCs w:val="16"/>
        </w:rPr>
        <w:softHyphen/>
        <w:t>ным составом и всей учебно-материальной базой;</w:t>
      </w:r>
    </w:p>
    <w:p w14:paraId="30D7F72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личный состав отдела самоходной артиллерии управления формирования артиллерийских частей и 3-го отдела управления боевой подготовки, ведающих боевой подготовкой самоходной артиллерии, всего 13 человек военнослужащих и 4 вольнонаемных.</w:t>
      </w:r>
    </w:p>
    <w:p w14:paraId="68324B2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Начальнику Главного артиллерийского управления Красной Армии передать, а командующе</w:t>
      </w:r>
      <w:r w:rsidRPr="00D03F3E">
        <w:rPr>
          <w:rFonts w:ascii="Times New Roman" w:hAnsi="Times New Roman"/>
          <w:color w:val="000000" w:themeColor="text1"/>
          <w:sz w:val="16"/>
          <w:szCs w:val="16"/>
        </w:rPr>
        <w:softHyphen/>
        <w:t>му бронетанковыми и механизированными войсками Красной Армии принять:</w:t>
      </w:r>
    </w:p>
    <w:p w14:paraId="6C7A97F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отдел самоходной артиллерии управления механической тяги и самоходной артиллерии в количестве б человек военнослужащих;</w:t>
      </w:r>
    </w:p>
    <w:p w14:paraId="36240B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из управления механической тяги и самоходной артиллерии инженерно-технический и командный состав в количестве 9 человек военнослужащих и 10 человек вольнонаемных, ведаю</w:t>
      </w:r>
      <w:r w:rsidRPr="00D03F3E">
        <w:rPr>
          <w:rFonts w:ascii="Times New Roman" w:hAnsi="Times New Roman"/>
          <w:color w:val="000000" w:themeColor="text1"/>
          <w:sz w:val="16"/>
          <w:szCs w:val="16"/>
        </w:rPr>
        <w:softHyphen/>
        <w:t>щих заказами самоходных артиллерийских установок, ремонтом, запасными частями, их планиро</w:t>
      </w:r>
      <w:r w:rsidRPr="00D03F3E">
        <w:rPr>
          <w:rFonts w:ascii="Times New Roman" w:hAnsi="Times New Roman"/>
          <w:color w:val="000000" w:themeColor="text1"/>
          <w:sz w:val="16"/>
          <w:szCs w:val="16"/>
        </w:rPr>
        <w:softHyphen/>
        <w:t>ванием и распределением;</w:t>
      </w:r>
    </w:p>
    <w:p w14:paraId="1FD0D5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военную приемку на заводах промышленности № 37, 38, УЗТМ и Кировского завода;</w:t>
      </w:r>
    </w:p>
    <w:p w14:paraId="29AE44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материальную часть опытных и серийных установок, находящихся в ведении Главного артил</w:t>
      </w:r>
      <w:r w:rsidRPr="00D03F3E">
        <w:rPr>
          <w:rFonts w:ascii="Times New Roman" w:hAnsi="Times New Roman"/>
          <w:color w:val="000000" w:themeColor="text1"/>
          <w:sz w:val="16"/>
          <w:szCs w:val="16"/>
        </w:rPr>
        <w:softHyphen/>
        <w:t>лерийского управления Красной Армии;</w:t>
      </w:r>
    </w:p>
    <w:p w14:paraId="1D7915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все чертежное хозяйство по самоходной артиллерии, дела по заказам промышленности, по опытным работам, постановления Правительства по вопросу самоходных установок и разработки новых образцов.</w:t>
      </w:r>
    </w:p>
    <w:p w14:paraId="493077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Разработку артиллерийского вооружения и артиллерийских приборов для самоходных уста</w:t>
      </w:r>
      <w:r w:rsidRPr="00D03F3E">
        <w:rPr>
          <w:rFonts w:ascii="Times New Roman" w:hAnsi="Times New Roman"/>
          <w:color w:val="000000" w:themeColor="text1"/>
          <w:sz w:val="16"/>
          <w:szCs w:val="16"/>
        </w:rPr>
        <w:softHyphen/>
        <w:t>новок оставить за Главным артиллерийским управлением Красной Армии.</w:t>
      </w:r>
    </w:p>
    <w:p w14:paraId="637138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Добавить в штат командующего бронетанковыми и механизированными войсками Красной Армии:</w:t>
      </w:r>
    </w:p>
    <w:p w14:paraId="098A0F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заместителя командующего бронетанковыми и механизированными войсками по артиллерии;</w:t>
      </w:r>
    </w:p>
    <w:p w14:paraId="10707C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в управление кадров бронетанковыми и механизированными войсками Красной Армии - группу в 5 человек, а по управлениям командующих бронетанковыми и механизированными войсками фронтов - по 1 человеку для обеспечения работы по укомплектованию кадрами частей самоходной артиллерии;</w:t>
      </w:r>
    </w:p>
    <w:p w14:paraId="46671FB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помощника генерал-инспектора по артиллерии, старшего инспектора и инспектора по артиллерии.</w:t>
      </w:r>
    </w:p>
    <w:p w14:paraId="7D3877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Командующему артиллерией Красной Армии для укомплектования формируемых полков самоходной артиллерии выделять по заявкам командующего бронетанковыми и механизированны</w:t>
      </w:r>
      <w:r w:rsidRPr="00D03F3E">
        <w:rPr>
          <w:rFonts w:ascii="Times New Roman" w:hAnsi="Times New Roman"/>
          <w:color w:val="000000" w:themeColor="text1"/>
          <w:sz w:val="16"/>
          <w:szCs w:val="16"/>
        </w:rPr>
        <w:softHyphen/>
        <w:t>ми войсками Красной Армии командиров орудий (к 152-мм пушкам-гаубицам и 122-мм гаубицам).</w:t>
      </w:r>
    </w:p>
    <w:p w14:paraId="7A5DFE7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Изменения в штатах соответствующих управлений командующего бронетанковыми и механизиро</w:t>
      </w:r>
      <w:r w:rsidRPr="00D03F3E">
        <w:rPr>
          <w:rFonts w:ascii="Times New Roman" w:hAnsi="Times New Roman"/>
          <w:color w:val="000000" w:themeColor="text1"/>
          <w:sz w:val="16"/>
          <w:szCs w:val="16"/>
        </w:rPr>
        <w:softHyphen/>
        <w:t>ванными войсками Красной Армии утвердить заместителю народного комиссара обороны т. Щаденко.</w:t>
      </w:r>
    </w:p>
    <w:p w14:paraId="02F7F1C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Передачу и прием закончить к 30 апреля 1943 года и доложить мне.</w:t>
      </w:r>
    </w:p>
    <w:p w14:paraId="7D030A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Народный комиссар обороны СССР Маршал Советского Союза И. Сталин</w:t>
      </w:r>
    </w:p>
    <w:p w14:paraId="78C8EEB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РГВА. Ф. 4. Оп. 11. Д. 75. Л. 588-589. Подлинник (11403).</w:t>
      </w:r>
    </w:p>
    <w:p w14:paraId="4F79CCF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BA449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1943г. была подготовлена ДОКЛАДНАЯ ЗАПИСКА КОМАНДИРА 4-го ГВ. КАНТЕМИРОВСКОГО ТК ЗАМЕСТИТЕЛЮ КОМАНДУЮЩЕГО БТ и МВ КА О ВЫДЕЛЕНИИ МАТЕРИАЛОВ ДЛЯ ИЗГОТОВЛЕНИЯ МАКЕТОВ ТАНКОВ</w:t>
      </w:r>
    </w:p>
    <w:p w14:paraId="1AE6AC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4-й гвардейский Кантемировский танковый корпус в своей боевой работе в период 1942-1943 годов применял целый ряд новшеств, давших возможность корпусу со значительно меньшими поте</w:t>
      </w:r>
      <w:r w:rsidRPr="00D03F3E">
        <w:rPr>
          <w:rFonts w:ascii="Times New Roman" w:hAnsi="Times New Roman"/>
          <w:color w:val="000000" w:themeColor="text1"/>
          <w:sz w:val="16"/>
          <w:szCs w:val="16"/>
        </w:rPr>
        <w:softHyphen/>
        <w:t>рями выполнять поставленные задачи.</w:t>
      </w:r>
    </w:p>
    <w:p w14:paraId="1E6EBB7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Одним их этих мероприятий было введение противника в заблуждение ложными сосредо</w:t>
      </w:r>
      <w:r w:rsidRPr="00D03F3E">
        <w:rPr>
          <w:rFonts w:ascii="Times New Roman" w:hAnsi="Times New Roman"/>
          <w:color w:val="000000" w:themeColor="text1"/>
          <w:sz w:val="16"/>
          <w:szCs w:val="16"/>
        </w:rPr>
        <w:softHyphen/>
        <w:t>точениями танков. Корпус в конце 1942 года своими силами, без всякой помощи из вне постро</w:t>
      </w:r>
      <w:r w:rsidRPr="00D03F3E">
        <w:rPr>
          <w:rFonts w:ascii="Times New Roman" w:hAnsi="Times New Roman"/>
          <w:color w:val="000000" w:themeColor="text1"/>
          <w:sz w:val="16"/>
          <w:szCs w:val="16"/>
        </w:rPr>
        <w:softHyphen/>
        <w:t>ил несколько десятков танк-макетов, которые очень удачно применялись под Воронежем и в районе Волошине.</w:t>
      </w:r>
    </w:p>
    <w:p w14:paraId="191A4B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Последние образцы танк-макетов делались облегченного типа, без использования дорогостоя</w:t>
      </w:r>
      <w:r w:rsidRPr="00D03F3E">
        <w:rPr>
          <w:rFonts w:ascii="Times New Roman" w:hAnsi="Times New Roman"/>
          <w:color w:val="000000" w:themeColor="text1"/>
          <w:sz w:val="16"/>
          <w:szCs w:val="16"/>
        </w:rPr>
        <w:softHyphen/>
        <w:t>щей фанеры. В качестве основного материала использовались легкие каркасы и материя.</w:t>
      </w:r>
    </w:p>
    <w:p w14:paraId="20C699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настоящий момент корпус, проводя деформирование в р-не Касторная, только своими силами сделать ничего не сможет. Все материалы необходимо получить, здесь, в центре.</w:t>
      </w:r>
    </w:p>
    <w:p w14:paraId="7DECE1D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Вас всемерно помочь мне в получении всех необходимых материалов для постройки 100 шт. танк-макетов танка Т-34, а при возможности придать 4 гв. ТК на период предстоящих летних операций дополнительно к имеющимся средствам одну квалифицированную маск-роту.</w:t>
      </w:r>
    </w:p>
    <w:p w14:paraId="03A031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материалов для доделки макетов мне срочно необходимо</w:t>
      </w:r>
    </w:p>
    <w:p w14:paraId="33A6FA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Досок размером 1" -20куб.м. 6. Краски черной -50кг</w:t>
      </w:r>
    </w:p>
    <w:p w14:paraId="27ED97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Полотна (мешковины) - 5000 м 7. Кистей - 10 шт.</w:t>
      </w:r>
    </w:p>
    <w:p w14:paraId="60EA173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- 40 кг 8. Петель оконных 80x40 - 1000 шт.</w:t>
      </w:r>
    </w:p>
    <w:p w14:paraId="0F899B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-100кг 9. Шурупов 30 мм -50кг</w:t>
      </w:r>
    </w:p>
    <w:p w14:paraId="2D0E4E8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- 150кг 10. Железа листового 1 мм - 150</w:t>
      </w:r>
    </w:p>
    <w:p w14:paraId="18E6DD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Гвоздей 1"</w:t>
      </w:r>
    </w:p>
    <w:p w14:paraId="6BBAC6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Гвоздей 3"</w:t>
      </w:r>
    </w:p>
    <w:p w14:paraId="77614F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Краски зеленой</w:t>
      </w:r>
    </w:p>
    <w:p w14:paraId="6B2BD22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листов.</w:t>
      </w:r>
    </w:p>
    <w:p w14:paraId="0B2AF1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Командир 4 гв. Кантемировского танкового корпуса гвардии генерал-лейтенант танковых войск Полубояров</w:t>
      </w:r>
    </w:p>
    <w:p w14:paraId="098A02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ЦАМО. Ф. 38. Оп. 11353. Д. 39. Л. 102. Подлинник (11403).</w:t>
      </w:r>
    </w:p>
    <w:p w14:paraId="0E867D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0BA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1943 вышло Постановление ГКО № 3245 О тов. Окорокове А.РГАНИР, Фонд ГКО, д. РГАНИР, Фонд ГКО, д. 109, лл. 193 (11012).</w:t>
      </w:r>
    </w:p>
    <w:p w14:paraId="435394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81CF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1943 вышло Постановление ГКО № 3246 О назначении Басистого Н.Е. командующим эскадрой Черноморского флота.РГАНИР, Фонд ГКО, д. 109, лл. 194 (11012).</w:t>
      </w:r>
    </w:p>
    <w:p w14:paraId="26FC81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12CB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1943 вышло Постановление ГКО № 3247 О сформировании дополнительно одного артиллерийского корпуса прорыва и внесении изменений в организацию артиллерийской дивизии прорыва.РГАНИР, Фонд ГКО, д. 109, лл. 195-195об (11012).</w:t>
      </w:r>
    </w:p>
    <w:p w14:paraId="2C1BA7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EB22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1943 вышло Постановление ГКО № 3248 О сформировании десяти отдельных истребительно-противотанковых артиллерийских бригад резерва Главнокомандования.РГАНИР, Фонд ГКО, д. 109, лл. 196-198 (11012).</w:t>
      </w:r>
    </w:p>
    <w:p w14:paraId="469A5E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2F2E0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4C057C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9303B9"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в 1943 году конструктора"Мессершмитта" предложили высотный истребитель на базе «Ме 209-II» взамен «Bf 109H». Этот "проект 1091а" предусматривал использование либо специального высотного двигателя «DB 628A», либо «DB 603U» - варианта «DB 603E» с турбокомпрессором «TKL 15». По расчетам "проект 1091а" должен был иметь потолок в 17500 м. Hо в то же время было очевидно, что новый истребитель "Мессершмитта" сможет пойти в серию только в конце 1944 г, а высотный истребитель был нужен люфтваффе как можно скорее. "Мессершмитт" получила указание вернуться к проекту «Bf 109H», но с учетом решений по "проекту 1091а", в том числе двигателя «DB 628» (15108).</w:t>
      </w:r>
    </w:p>
    <w:p w14:paraId="68028BD9" w14:textId="77777777" w:rsidR="00DC7006" w:rsidRPr="00D03F3E" w:rsidRDefault="00DC7006" w:rsidP="00D03F3E">
      <w:pPr>
        <w:spacing w:after="0" w:line="240" w:lineRule="auto"/>
        <w:jc w:val="both"/>
        <w:rPr>
          <w:rFonts w:ascii="Times New Roman" w:hAnsi="Times New Roman"/>
          <w:color w:val="000000" w:themeColor="text1"/>
          <w:sz w:val="16"/>
          <w:szCs w:val="16"/>
        </w:rPr>
      </w:pPr>
    </w:p>
    <w:p w14:paraId="44BBF4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1943 А.Гитлер издал приказ о жестоком подавлении восстания в Варшавском гетто (2262).</w:t>
      </w:r>
    </w:p>
    <w:p w14:paraId="79923A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D5AC1E"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в 1943 году австралийские ВВС заказали 100 «P-51D» (15108).</w:t>
      </w:r>
    </w:p>
    <w:p w14:paraId="1538ECDE" w14:textId="77777777" w:rsidR="00DC7006" w:rsidRPr="00D03F3E" w:rsidRDefault="00DC7006" w:rsidP="00D03F3E">
      <w:pPr>
        <w:spacing w:after="0" w:line="240" w:lineRule="auto"/>
        <w:jc w:val="both"/>
        <w:rPr>
          <w:rFonts w:ascii="Times New Roman" w:hAnsi="Times New Roman"/>
          <w:color w:val="000000" w:themeColor="text1"/>
          <w:sz w:val="16"/>
          <w:szCs w:val="16"/>
        </w:rPr>
      </w:pPr>
    </w:p>
    <w:p w14:paraId="2A52DC15" w14:textId="1C73E1FC" w:rsidR="00431667" w:rsidRPr="00D03F3E" w:rsidRDefault="0043166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23 апреля 1943 B-24 Liberators седьмой армии воздушных сил США бомбят атолл Тарава (20736).</w:t>
      </w:r>
    </w:p>
    <w:p w14:paraId="47D1E1F4" w14:textId="77777777" w:rsidR="00431667" w:rsidRPr="00D03F3E" w:rsidRDefault="00431667" w:rsidP="00D03F3E">
      <w:pPr>
        <w:spacing w:after="0" w:line="240" w:lineRule="auto"/>
        <w:jc w:val="both"/>
        <w:rPr>
          <w:rFonts w:ascii="Times New Roman" w:hAnsi="Times New Roman"/>
          <w:color w:val="0070C0"/>
          <w:sz w:val="16"/>
          <w:szCs w:val="16"/>
        </w:rPr>
      </w:pPr>
    </w:p>
    <w:p w14:paraId="43E3BEC4"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131A2E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8756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апреля 1943 вышло Постановление ГКО № 3250 Об организации производства противотанковых кумулятивных авиабомб (ПТАБ-1,5).РГАНИР, Фонд ГКО, д. 110, лл. 3-9, 10-21 (11012).</w:t>
      </w:r>
    </w:p>
    <w:p w14:paraId="590D3D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EAB35E"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апреля 1943 вышло Постановление ГКО № 3250 Об организации производства противотанковых кумулятивных авиабомб (ПТАБ-1,5)</w:t>
      </w:r>
    </w:p>
    <w:p w14:paraId="25F01316" w14:textId="77777777" w:rsidR="000449CB" w:rsidRPr="00D03F3E"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В целях усиления авиационных средств противотанко</w:t>
      </w:r>
      <w:r w:rsidRPr="00D03F3E">
        <w:rPr>
          <w:rFonts w:ascii="Times New Roman" w:cs="Times New Roman"/>
          <w:color w:val="000000" w:themeColor="text1"/>
          <w:spacing w:val="0"/>
          <w:sz w:val="16"/>
          <w:szCs w:val="16"/>
        </w:rPr>
        <w:softHyphen/>
        <w:t>вой борьбы Государственный Комитет Обороны постановля</w:t>
      </w:r>
      <w:r w:rsidRPr="00D03F3E">
        <w:rPr>
          <w:rFonts w:ascii="Times New Roman" w:cs="Times New Roman"/>
          <w:color w:val="000000" w:themeColor="text1"/>
          <w:spacing w:val="0"/>
          <w:sz w:val="16"/>
          <w:szCs w:val="16"/>
        </w:rPr>
        <w:softHyphen/>
        <w:t>ет :</w:t>
      </w:r>
    </w:p>
    <w:p w14:paraId="0619093D" w14:textId="77777777" w:rsidR="000449CB" w:rsidRPr="00D03F3E" w:rsidRDefault="000449CB" w:rsidP="00D03F3E">
      <w:pPr>
        <w:pStyle w:val="36"/>
        <w:shd w:val="clear" w:color="auto" w:fill="auto"/>
        <w:tabs>
          <w:tab w:val="left" w:pos="1723"/>
        </w:tabs>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1. Обязать Наркомбоеприпасов (тов.Ванникова) по</w:t>
      </w:r>
      <w:r w:rsidRPr="00D03F3E">
        <w:rPr>
          <w:rFonts w:ascii="Times New Roman" w:cs="Times New Roman"/>
          <w:color w:val="000000" w:themeColor="text1"/>
          <w:spacing w:val="0"/>
          <w:sz w:val="16"/>
          <w:szCs w:val="16"/>
        </w:rPr>
        <w:softHyphen/>
        <w:t>ставить ВВС КА противотанковые кумулятивные авиабомбы (ПТАБ-1, о) конструкции ЦКБ-22 НКБ комплектно в следующих количествах: в мае - 125 тыс.штук и в июне - 300 тыс.штук.</w:t>
      </w:r>
    </w:p>
    <w:p w14:paraId="09841F43" w14:textId="77777777" w:rsidR="000449CB" w:rsidRPr="00D03F3E" w:rsidRDefault="000449CB" w:rsidP="00D03F3E">
      <w:pPr>
        <w:pStyle w:val="36"/>
        <w:shd w:val="clear" w:color="auto" w:fill="auto"/>
        <w:tabs>
          <w:tab w:val="left" w:pos="1715"/>
        </w:tabs>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 xml:space="preserve">3. Обязать Наркомминвооруження (тов.Андреева),Наркоимясомолпром (тов.Смирнова), Наркомсредмаш (т.Акопова), Совнарком РСФСР (тов.Уткина), Наркомместпром </w:t>
      </w:r>
      <w:r w:rsidRPr="00D03F3E">
        <w:rPr>
          <w:rFonts w:ascii="Times New Roman" w:cs="Times New Roman"/>
          <w:color w:val="000000" w:themeColor="text1"/>
          <w:spacing w:val="0"/>
          <w:sz w:val="16"/>
          <w:szCs w:val="16"/>
          <w:lang w:val="en-US"/>
        </w:rPr>
        <w:t>PC</w:t>
      </w:r>
      <w:r w:rsidRPr="00D03F3E">
        <w:rPr>
          <w:rFonts w:ascii="Times New Roman" w:cs="Times New Roman"/>
          <w:color w:val="000000" w:themeColor="text1"/>
          <w:spacing w:val="0"/>
          <w:sz w:val="16"/>
          <w:szCs w:val="16"/>
        </w:rPr>
        <w:t>ФС</w:t>
      </w:r>
      <w:r w:rsidRPr="00D03F3E">
        <w:rPr>
          <w:rFonts w:ascii="Times New Roman" w:cs="Times New Roman"/>
          <w:color w:val="000000" w:themeColor="text1"/>
          <w:spacing w:val="0"/>
          <w:sz w:val="16"/>
          <w:szCs w:val="16"/>
          <w:lang w:val="en-US"/>
        </w:rPr>
        <w:t>P</w:t>
      </w:r>
      <w:r w:rsidRPr="00D03F3E">
        <w:rPr>
          <w:rFonts w:ascii="Times New Roman" w:cs="Times New Roman"/>
          <w:color w:val="000000" w:themeColor="text1"/>
          <w:spacing w:val="0"/>
          <w:sz w:val="16"/>
          <w:szCs w:val="16"/>
        </w:rPr>
        <w:t xml:space="preserve"> (т.Смиряева) и Управление Промкооперации при Совнаркоме </w:t>
      </w:r>
      <w:r w:rsidRPr="00D03F3E">
        <w:rPr>
          <w:rStyle w:val="afffff4"/>
          <w:rFonts w:ascii="Times New Roman" w:hAnsi="Times New Roman" w:cs="Times New Roman"/>
          <w:color w:val="000000" w:themeColor="text1"/>
        </w:rPr>
        <w:t>РСфСР</w:t>
      </w:r>
      <w:r w:rsidRPr="00D03F3E">
        <w:rPr>
          <w:rFonts w:ascii="Times New Roman" w:cs="Times New Roman"/>
          <w:color w:val="000000" w:themeColor="text1"/>
          <w:spacing w:val="0"/>
          <w:sz w:val="16"/>
          <w:szCs w:val="16"/>
        </w:rPr>
        <w:t xml:space="preserve"> (тов.Кравчука) изготовить корпуса противотанковых кумулятивных авиабомб ПТАБ-1,5 в следующих количествах:</w:t>
      </w:r>
    </w:p>
    <w:p w14:paraId="2CB0065D" w14:textId="77777777" w:rsidR="000449CB" w:rsidRPr="00D03F3E"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на заводах № 67, 777 и 846 Наркомминвооруження в мае - 90 тыс.штук и в июне - 280 тыс.штук;</w:t>
      </w:r>
    </w:p>
    <w:p w14:paraId="77F0DA06" w14:textId="77777777" w:rsidR="000449CB" w:rsidRPr="00D03F3E"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на заводах 37 и 60 Наркоммясомолпрома СССР в мае - 65 тыс.штук и в июне - 275 тыс.штук за счет сня</w:t>
      </w:r>
      <w:r w:rsidRPr="00D03F3E">
        <w:rPr>
          <w:rFonts w:ascii="Times New Roman" w:cs="Times New Roman"/>
          <w:color w:val="000000" w:themeColor="text1"/>
          <w:spacing w:val="0"/>
          <w:sz w:val="16"/>
          <w:szCs w:val="16"/>
        </w:rPr>
        <w:softHyphen/>
        <w:t>тия на этих заводах с производства корпусов ручных гра</w:t>
      </w:r>
      <w:r w:rsidRPr="00D03F3E">
        <w:rPr>
          <w:rFonts w:ascii="Times New Roman" w:cs="Times New Roman"/>
          <w:color w:val="000000" w:themeColor="text1"/>
          <w:spacing w:val="0"/>
          <w:sz w:val="16"/>
          <w:szCs w:val="16"/>
        </w:rPr>
        <w:softHyphen/>
        <w:t>нат РПГ-40, РГ-42 и деталей противогазов;</w:t>
      </w:r>
    </w:p>
    <w:p w14:paraId="6DE919E1" w14:textId="77777777" w:rsidR="000449CB" w:rsidRPr="00D03F3E"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на Ярославском тормозном заводе Наркомсредмаша в мае - 10 тыс.штук и в июне - 20 тыс.штук за счет снятия с производства корпусов авиабомб ЗАБ-2,5;</w:t>
      </w:r>
    </w:p>
    <w:p w14:paraId="2292B6C4" w14:textId="77777777" w:rsidR="000449CB" w:rsidRPr="00D03F3E"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на заводе "Красный Октябрь" Наркомместпрома РОФСР в мае - 20 тыс.штук и в нюне - 100 тыс.штук за счет сня</w:t>
      </w:r>
      <w:r w:rsidRPr="00D03F3E">
        <w:rPr>
          <w:rFonts w:ascii="Times New Roman" w:cs="Times New Roman"/>
          <w:color w:val="000000" w:themeColor="text1"/>
          <w:spacing w:val="0"/>
          <w:sz w:val="16"/>
          <w:szCs w:val="16"/>
        </w:rPr>
        <w:softHyphen/>
        <w:t>тия с производства ручных гранат РГ-42;</w:t>
      </w:r>
    </w:p>
    <w:p w14:paraId="717A3193" w14:textId="77777777" w:rsidR="000449CB" w:rsidRPr="00D03F3E"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на заводах механическом заводе "Радиофронт" Управ</w:t>
      </w:r>
      <w:r w:rsidRPr="00D03F3E">
        <w:rPr>
          <w:rFonts w:ascii="Times New Roman" w:cs="Times New Roman"/>
          <w:color w:val="000000" w:themeColor="text1"/>
          <w:spacing w:val="0"/>
          <w:sz w:val="16"/>
          <w:szCs w:val="16"/>
        </w:rPr>
        <w:softHyphen/>
        <w:t xml:space="preserve">ления Промкооперации при Совнаркоме </w:t>
      </w:r>
      <w:r w:rsidRPr="00D03F3E">
        <w:rPr>
          <w:rStyle w:val="16"/>
          <w:rFonts w:ascii="Times New Roman" w:cs="Times New Roman"/>
          <w:color w:val="000000" w:themeColor="text1"/>
          <w:spacing w:val="0"/>
        </w:rPr>
        <w:t xml:space="preserve">РСФСР </w:t>
      </w:r>
      <w:r w:rsidRPr="00D03F3E">
        <w:rPr>
          <w:rFonts w:ascii="Times New Roman" w:cs="Times New Roman"/>
          <w:color w:val="000000" w:themeColor="text1"/>
          <w:spacing w:val="0"/>
          <w:sz w:val="16"/>
          <w:szCs w:val="16"/>
        </w:rPr>
        <w:t>в м</w:t>
      </w:r>
      <w:r w:rsidRPr="00D03F3E">
        <w:rPr>
          <w:rFonts w:ascii="Times New Roman" w:cs="Times New Roman"/>
          <w:color w:val="000000" w:themeColor="text1"/>
          <w:spacing w:val="0"/>
          <w:sz w:val="16"/>
          <w:szCs w:val="16"/>
          <w:lang w:val="en-US"/>
        </w:rPr>
        <w:t>ae</w:t>
      </w:r>
      <w:r w:rsidRPr="00D03F3E">
        <w:rPr>
          <w:rFonts w:ascii="Times New Roman" w:cs="Times New Roman"/>
          <w:color w:val="000000" w:themeColor="text1"/>
          <w:spacing w:val="0"/>
          <w:sz w:val="16"/>
          <w:szCs w:val="16"/>
        </w:rPr>
        <w:t xml:space="preserve"> - 40тыс. штук и в июне - 160 тыс.штук за счет снятия с производ</w:t>
      </w:r>
      <w:r w:rsidRPr="00D03F3E">
        <w:rPr>
          <w:rFonts w:ascii="Times New Roman" w:cs="Times New Roman"/>
          <w:color w:val="000000" w:themeColor="text1"/>
          <w:spacing w:val="0"/>
          <w:sz w:val="16"/>
          <w:szCs w:val="16"/>
        </w:rPr>
        <w:softHyphen/>
        <w:t>ства ручных гранат РГ-42 и поставить эти корпуса заводу 12 Наркомбоеприпасов для снаряжения в сроки, согласно приложению № 1,</w:t>
      </w:r>
    </w:p>
    <w:p w14:paraId="77CCD354" w14:textId="77777777" w:rsidR="000449CB" w:rsidRPr="00D03F3E" w:rsidRDefault="000449CB" w:rsidP="00D03F3E">
      <w:pPr>
        <w:pStyle w:val="36"/>
        <w:shd w:val="clear" w:color="auto" w:fill="auto"/>
        <w:tabs>
          <w:tab w:val="left" w:pos="1003"/>
        </w:tabs>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3. Обязать Наркомбоеприпасов (тов.Ванникова), Наркомминвооружения ( тов.Андреева) и Наркомсредмаш (тов.Акопо</w:t>
      </w:r>
      <w:r w:rsidRPr="00D03F3E">
        <w:rPr>
          <w:rFonts w:ascii="Times New Roman" w:cs="Times New Roman"/>
          <w:color w:val="000000" w:themeColor="text1"/>
          <w:spacing w:val="0"/>
          <w:sz w:val="16"/>
          <w:szCs w:val="16"/>
        </w:rPr>
        <w:softHyphen/>
        <w:t>ва) изготовить взрыватели к противотанковым авиабомбам ПТАБ-1,5 в следующих количествах:</w:t>
      </w:r>
    </w:p>
    <w:p w14:paraId="07D43255" w14:textId="77777777" w:rsidR="000449CB" w:rsidRPr="00D03F3E"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на заводе № 42 НКБ - в мае 50 тыс .штук и в июне 100 тыс.штук;</w:t>
      </w:r>
    </w:p>
    <w:p w14:paraId="729BA13F" w14:textId="77777777" w:rsidR="000449CB" w:rsidRPr="00D03F3E"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на заводе № 846 Наркомминвооружения в мае - 40 тыс. штук и в июне - 120 тыс.штук;</w:t>
      </w:r>
    </w:p>
    <w:p w14:paraId="5785DAD5" w14:textId="77777777" w:rsidR="000449CB" w:rsidRPr="00D03F3E"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на заводе № 843 Наркомминвооружения в июне 10 тыс. штук с дальнейшим развитием мощности завода до выпуска 150 тыс.штук в сентябре 1943 года;</w:t>
      </w:r>
    </w:p>
    <w:p w14:paraId="4528FB6A" w14:textId="77777777" w:rsidR="000449CB" w:rsidRPr="00D03F3E"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на заводах "Автоприбор" и "КАТЭК" Наркомсредмаша в мае - 80, тыс.штук и в июне - 150 тыс.штук за счет умень</w:t>
      </w:r>
      <w:r w:rsidRPr="00D03F3E">
        <w:rPr>
          <w:rFonts w:ascii="Times New Roman" w:cs="Times New Roman"/>
          <w:color w:val="000000" w:themeColor="text1"/>
          <w:spacing w:val="0"/>
          <w:sz w:val="16"/>
          <w:szCs w:val="16"/>
        </w:rPr>
        <w:softHyphen/>
        <w:t>шения на 50% в мае и июне деталей, литых под давлением запалов УЗРГ и поставить взрыватели заводу № 358 Наркомбоеприпасов для снаряжения в сроки, согласно приложению №</w:t>
      </w:r>
      <w:r w:rsidRPr="00D03F3E">
        <w:rPr>
          <w:rStyle w:val="12pt1pt"/>
          <w:rFonts w:ascii="Times New Roman" w:hAnsi="Times New Roman" w:cs="Times New Roman"/>
          <w:color w:val="000000" w:themeColor="text1"/>
          <w:spacing w:val="0"/>
          <w:sz w:val="16"/>
          <w:szCs w:val="16"/>
        </w:rPr>
        <w:t xml:space="preserve"> 2.</w:t>
      </w:r>
    </w:p>
    <w:p w14:paraId="5041E9C6" w14:textId="77777777" w:rsidR="000449CB" w:rsidRPr="00D03F3E" w:rsidRDefault="000449CB" w:rsidP="00D03F3E">
      <w:pPr>
        <w:pStyle w:val="36"/>
        <w:shd w:val="clear" w:color="auto" w:fill="auto"/>
        <w:tabs>
          <w:tab w:val="left" w:pos="1003"/>
        </w:tabs>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4. Обязать Наркомбоеприпасов (тов.Ванникова) и Нар</w:t>
      </w:r>
      <w:r w:rsidRPr="00D03F3E">
        <w:rPr>
          <w:rFonts w:ascii="Times New Roman" w:cs="Times New Roman"/>
          <w:color w:val="000000" w:themeColor="text1"/>
          <w:spacing w:val="0"/>
          <w:sz w:val="16"/>
          <w:szCs w:val="16"/>
        </w:rPr>
        <w:softHyphen/>
        <w:t>комминвооружения (тов.Андреева) изготовить на заводе 42 НКБ и на заводе № 843 Н</w:t>
      </w:r>
      <w:r w:rsidRPr="00D03F3E">
        <w:rPr>
          <w:rStyle w:val="-1pt"/>
          <w:rFonts w:ascii="Times New Roman" w:hAnsi="Times New Roman" w:cs="Times New Roman"/>
          <w:color w:val="000000" w:themeColor="text1"/>
          <w:spacing w:val="0"/>
          <w:sz w:val="16"/>
          <w:szCs w:val="16"/>
        </w:rPr>
        <w:t>KМB</w:t>
      </w:r>
      <w:r w:rsidRPr="00D03F3E">
        <w:rPr>
          <w:rFonts w:ascii="Times New Roman" w:cs="Times New Roman"/>
          <w:color w:val="000000" w:themeColor="text1"/>
          <w:spacing w:val="0"/>
          <w:sz w:val="16"/>
          <w:szCs w:val="16"/>
        </w:rPr>
        <w:t xml:space="preserve"> переходные втулки к про</w:t>
      </w:r>
      <w:r w:rsidRPr="00D03F3E">
        <w:rPr>
          <w:rFonts w:ascii="Times New Roman" w:cs="Times New Roman"/>
          <w:color w:val="000000" w:themeColor="text1"/>
          <w:spacing w:val="0"/>
          <w:sz w:val="16"/>
          <w:szCs w:val="16"/>
        </w:rPr>
        <w:softHyphen/>
        <w:t>тивотанковым авиабомбам ПТАБ-1,5 в мае - 260 тыс.штук и в июне - 720 тыс.штук и поставить их заводам-изготовите</w:t>
      </w:r>
      <w:r w:rsidRPr="00D03F3E">
        <w:rPr>
          <w:rFonts w:ascii="Times New Roman" w:cs="Times New Roman"/>
          <w:color w:val="000000" w:themeColor="text1"/>
          <w:spacing w:val="0"/>
          <w:sz w:val="16"/>
          <w:szCs w:val="16"/>
        </w:rPr>
        <w:softHyphen/>
        <w:t>лям корпусов ПТАБ-1,5 в количествах и сроки, согласно приложению № 3.</w:t>
      </w:r>
    </w:p>
    <w:p w14:paraId="0BB229B9" w14:textId="77777777" w:rsidR="000449CB" w:rsidRPr="00D03F3E" w:rsidRDefault="000449CB" w:rsidP="00D03F3E">
      <w:pPr>
        <w:pStyle w:val="36"/>
        <w:shd w:val="clear" w:color="auto" w:fill="auto"/>
        <w:tabs>
          <w:tab w:val="left" w:pos="973"/>
        </w:tabs>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5. В связи с организацией производства ПТАБ-1,5 внести следующие изменения в существующие планы производ</w:t>
      </w:r>
      <w:r w:rsidRPr="00D03F3E">
        <w:rPr>
          <w:rFonts w:ascii="Times New Roman" w:cs="Times New Roman"/>
          <w:color w:val="000000" w:themeColor="text1"/>
          <w:spacing w:val="0"/>
          <w:sz w:val="16"/>
          <w:szCs w:val="16"/>
        </w:rPr>
        <w:softHyphen/>
        <w:t>ства заводов Наркомминвооружения:</w:t>
      </w:r>
    </w:p>
    <w:p w14:paraId="4CF75B0C"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прекратить с мая месяца на заводе </w:t>
      </w:r>
      <w:r w:rsidRPr="00D03F3E">
        <w:rPr>
          <w:rStyle w:val="aff0"/>
          <w:rFonts w:ascii="Times New Roman" w:hAnsi="Times New Roman" w:cs="Times New Roman"/>
          <w:color w:val="000000" w:themeColor="text1"/>
          <w:spacing w:val="0"/>
          <w:sz w:val="16"/>
          <w:szCs w:val="16"/>
        </w:rPr>
        <w:t>846</w:t>
      </w:r>
      <w:r w:rsidRPr="00D03F3E">
        <w:rPr>
          <w:rFonts w:ascii="Times New Roman" w:hAnsi="Times New Roman"/>
          <w:color w:val="000000" w:themeColor="text1"/>
          <w:sz w:val="16"/>
          <w:szCs w:val="16"/>
        </w:rPr>
        <w:t xml:space="preserve"> произ</w:t>
      </w:r>
      <w:r w:rsidRPr="00D03F3E">
        <w:rPr>
          <w:rFonts w:ascii="Times New Roman" w:hAnsi="Times New Roman"/>
          <w:color w:val="000000" w:themeColor="text1"/>
          <w:sz w:val="16"/>
          <w:szCs w:val="16"/>
        </w:rPr>
        <w:softHyphen/>
        <w:t>водство литья под давлением детали № 10 УЗРГ, детали М3 и №</w:t>
      </w:r>
      <w:r w:rsidRPr="00D03F3E">
        <w:rPr>
          <w:rStyle w:val="-1pt"/>
          <w:rFonts w:ascii="Times New Roman" w:hAnsi="Times New Roman" w:cs="Times New Roman"/>
          <w:color w:val="000000" w:themeColor="text1"/>
          <w:spacing w:val="0"/>
          <w:sz w:val="16"/>
          <w:szCs w:val="16"/>
        </w:rPr>
        <w:t xml:space="preserve">. </w:t>
      </w:r>
      <w:r w:rsidRPr="00D03F3E">
        <w:rPr>
          <w:rFonts w:ascii="Times New Roman" w:hAnsi="Times New Roman"/>
          <w:color w:val="000000" w:themeColor="text1"/>
          <w:sz w:val="16"/>
          <w:szCs w:val="16"/>
        </w:rPr>
        <w:t>26а к М-13, а также деталей затворной к магазинной коробок ППШ;</w:t>
      </w:r>
    </w:p>
    <w:p w14:paraId="486CC815"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уменьшить по заводу № 843 план производства литья и .механической обработки детали № 10 УЗРГ.</w:t>
      </w:r>
    </w:p>
    <w:p w14:paraId="1044969D"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Передать производство снимаемых изделий УЗРГ и ППШ: на другие заводы, согласно приложения 3.</w:t>
      </w:r>
    </w:p>
    <w:p w14:paraId="3252B55D" w14:textId="77777777" w:rsidR="000449CB" w:rsidRPr="00D03F3E" w:rsidRDefault="000449CB" w:rsidP="00D03F3E">
      <w:pPr>
        <w:tabs>
          <w:tab w:val="left" w:pos="100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6. В связи с необходимостью подготовки производства ПТАБ-1,5, разрешить Наркоммясомолпрому и Совнаркому </w:t>
      </w:r>
      <w:r w:rsidRPr="00D03F3E">
        <w:rPr>
          <w:rFonts w:ascii="Times New Roman" w:hAnsi="Times New Roman"/>
          <w:color w:val="000000" w:themeColor="text1"/>
          <w:sz w:val="16"/>
          <w:szCs w:val="16"/>
          <w:lang w:val="en-US"/>
        </w:rPr>
        <w:t>P</w:t>
      </w:r>
      <w:r w:rsidRPr="00D03F3E">
        <w:rPr>
          <w:rFonts w:ascii="Times New Roman" w:hAnsi="Times New Roman"/>
          <w:color w:val="000000" w:themeColor="text1"/>
          <w:sz w:val="16"/>
          <w:szCs w:val="16"/>
        </w:rPr>
        <w:t>СФС</w:t>
      </w:r>
      <w:r w:rsidRPr="00D03F3E">
        <w:rPr>
          <w:rFonts w:ascii="Times New Roman" w:hAnsi="Times New Roman"/>
          <w:color w:val="000000" w:themeColor="text1"/>
          <w:sz w:val="16"/>
          <w:szCs w:val="16"/>
          <w:lang w:val="en-US"/>
        </w:rPr>
        <w:t>P</w:t>
      </w:r>
      <w:r w:rsidRPr="00D03F3E">
        <w:rPr>
          <w:rFonts w:ascii="Times New Roman" w:hAnsi="Times New Roman"/>
          <w:color w:val="000000" w:themeColor="text1"/>
          <w:sz w:val="16"/>
          <w:szCs w:val="16"/>
        </w:rPr>
        <w:t xml:space="preserve"> внести коррективы в планы производства на апрель месяц по корпусам ручных гранат на заводах № 37 и 60 Наркоммясомолпрома, "Красный Октябрь" Наркомместпрома </w:t>
      </w:r>
      <w:r w:rsidRPr="00D03F3E">
        <w:rPr>
          <w:rFonts w:ascii="Times New Roman" w:hAnsi="Times New Roman"/>
          <w:color w:val="000000" w:themeColor="text1"/>
          <w:sz w:val="16"/>
          <w:szCs w:val="16"/>
          <w:lang w:val="en-US"/>
        </w:rPr>
        <w:t>PC</w:t>
      </w:r>
      <w:r w:rsidRPr="00D03F3E">
        <w:rPr>
          <w:rFonts w:ascii="Times New Roman" w:hAnsi="Times New Roman"/>
          <w:color w:val="000000" w:themeColor="text1"/>
          <w:sz w:val="16"/>
          <w:szCs w:val="16"/>
        </w:rPr>
        <w:t>Ф</w:t>
      </w:r>
      <w:r w:rsidRPr="00D03F3E">
        <w:rPr>
          <w:rFonts w:ascii="Times New Roman" w:hAnsi="Times New Roman"/>
          <w:color w:val="000000" w:themeColor="text1"/>
          <w:sz w:val="16"/>
          <w:szCs w:val="16"/>
          <w:lang w:val="en-US"/>
        </w:rPr>
        <w:t>CP</w:t>
      </w:r>
      <w:r w:rsidRPr="00D03F3E">
        <w:rPr>
          <w:rFonts w:ascii="Times New Roman" w:hAnsi="Times New Roman"/>
          <w:color w:val="000000" w:themeColor="text1"/>
          <w:sz w:val="16"/>
          <w:szCs w:val="16"/>
        </w:rPr>
        <w:t>, 8 механического и "Радиофронт" Управления Промкооперации при Совнаркоме РСФСР.</w:t>
      </w:r>
    </w:p>
    <w:p w14:paraId="2A0490B2" w14:textId="77777777" w:rsidR="000449CB" w:rsidRPr="00D03F3E" w:rsidRDefault="000449CB" w:rsidP="00D03F3E">
      <w:pPr>
        <w:tabs>
          <w:tab w:val="left" w:pos="101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Обязать Наркомэлектропром (тов.Кабанова) увели</w:t>
      </w:r>
      <w:r w:rsidRPr="00D03F3E">
        <w:rPr>
          <w:rFonts w:ascii="Times New Roman" w:hAnsi="Times New Roman"/>
          <w:color w:val="000000" w:themeColor="text1"/>
          <w:sz w:val="16"/>
          <w:szCs w:val="16"/>
        </w:rPr>
        <w:softHyphen/>
        <w:t>чить с мая месяца поставку заводам</w:t>
      </w:r>
      <w:r w:rsidRPr="00D03F3E">
        <w:rPr>
          <w:rStyle w:val="Gungsuh9pt"/>
          <w:rFonts w:ascii="Times New Roman" w:hAnsi="Times New Roman" w:cs="Times New Roman"/>
          <w:color w:val="000000" w:themeColor="text1"/>
          <w:sz w:val="16"/>
          <w:szCs w:val="16"/>
        </w:rPr>
        <w:t xml:space="preserve"> №</w:t>
      </w:r>
      <w:r w:rsidRPr="00D03F3E">
        <w:rPr>
          <w:rFonts w:ascii="Times New Roman" w:hAnsi="Times New Roman"/>
          <w:color w:val="000000" w:themeColor="text1"/>
          <w:sz w:val="16"/>
          <w:szCs w:val="16"/>
        </w:rPr>
        <w:t xml:space="preserve"> 843 и</w:t>
      </w:r>
      <w:r w:rsidRPr="00D03F3E">
        <w:rPr>
          <w:rStyle w:val="Gungsuh9pt"/>
          <w:rFonts w:ascii="Times New Roman" w:hAnsi="Times New Roman" w:cs="Times New Roman"/>
          <w:color w:val="000000" w:themeColor="text1"/>
          <w:sz w:val="16"/>
          <w:szCs w:val="16"/>
        </w:rPr>
        <w:t xml:space="preserve"> №</w:t>
      </w:r>
      <w:r w:rsidRPr="00D03F3E">
        <w:rPr>
          <w:rFonts w:ascii="Times New Roman" w:hAnsi="Times New Roman"/>
          <w:color w:val="000000" w:themeColor="text1"/>
          <w:sz w:val="16"/>
          <w:szCs w:val="16"/>
        </w:rPr>
        <w:t xml:space="preserve"> 846 НКМВ деталей № 10 УЗРГ с завода "Изолит" в количествах, сог</w:t>
      </w:r>
      <w:r w:rsidRPr="00D03F3E">
        <w:rPr>
          <w:rFonts w:ascii="Times New Roman" w:hAnsi="Times New Roman"/>
          <w:color w:val="000000" w:themeColor="text1"/>
          <w:sz w:val="16"/>
          <w:szCs w:val="16"/>
        </w:rPr>
        <w:softHyphen/>
        <w:t>ласно приложению 4.</w:t>
      </w:r>
    </w:p>
    <w:p w14:paraId="0C2FC353" w14:textId="77777777" w:rsidR="000449CB" w:rsidRPr="00D03F3E" w:rsidRDefault="000449CB" w:rsidP="00D03F3E">
      <w:pPr>
        <w:tabs>
          <w:tab w:val="left" w:pos="101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Обязать Наркомречфлот (тов.Шашкова) перевезти к 10 мая из Костромы с завода № 773 30 тыс. спецукупор</w:t>
      </w:r>
      <w:r w:rsidRPr="00D03F3E">
        <w:rPr>
          <w:rFonts w:ascii="Times New Roman" w:hAnsi="Times New Roman"/>
          <w:color w:val="000000" w:themeColor="text1"/>
          <w:sz w:val="16"/>
          <w:szCs w:val="16"/>
        </w:rPr>
        <w:softHyphen/>
        <w:t>ки в адрес Московской базы Главснаблеса для заводов, из</w:t>
      </w:r>
      <w:r w:rsidRPr="00D03F3E">
        <w:rPr>
          <w:rFonts w:ascii="Times New Roman" w:hAnsi="Times New Roman"/>
          <w:color w:val="000000" w:themeColor="text1"/>
          <w:sz w:val="16"/>
          <w:szCs w:val="16"/>
        </w:rPr>
        <w:softHyphen/>
        <w:t>готовляющих корпуса и взрыватели ПТАБ-1,5.</w:t>
      </w:r>
    </w:p>
    <w:p w14:paraId="1F6505A5" w14:textId="77777777" w:rsidR="000449CB" w:rsidRPr="00D03F3E" w:rsidRDefault="000449CB" w:rsidP="00D03F3E">
      <w:pPr>
        <w:tabs>
          <w:tab w:val="left" w:pos="100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Обязать Наркомлес СССР (т.Салтыкова) организовать на московских заводах производство спецукупорки для авиа</w:t>
      </w:r>
      <w:r w:rsidRPr="00D03F3E">
        <w:rPr>
          <w:rFonts w:ascii="Times New Roman" w:hAnsi="Times New Roman"/>
          <w:color w:val="000000" w:themeColor="text1"/>
          <w:sz w:val="16"/>
          <w:szCs w:val="16"/>
        </w:rPr>
        <w:softHyphen/>
        <w:t xml:space="preserve">бомб ПТАБ-1,5 с выпуском в мае </w:t>
      </w:r>
      <w:r w:rsidRPr="00D03F3E">
        <w:rPr>
          <w:rStyle w:val="16"/>
          <w:rFonts w:ascii="Times New Roman" w:hAnsi="Times New Roman" w:cs="Times New Roman"/>
          <w:color w:val="000000" w:themeColor="text1"/>
          <w:spacing w:val="0"/>
        </w:rPr>
        <w:t>8,5</w:t>
      </w:r>
      <w:r w:rsidRPr="00D03F3E">
        <w:rPr>
          <w:rFonts w:ascii="Times New Roman" w:hAnsi="Times New Roman"/>
          <w:color w:val="000000" w:themeColor="text1"/>
          <w:sz w:val="16"/>
          <w:szCs w:val="16"/>
        </w:rPr>
        <w:t xml:space="preserve"> тыс.штук и в июне 32 тыс.штук и поставить ее заводам-потребителям, согласно приложению № 5.</w:t>
      </w:r>
    </w:p>
    <w:p w14:paraId="01965127" w14:textId="77777777" w:rsidR="000449CB" w:rsidRPr="00D03F3E" w:rsidRDefault="000449CB" w:rsidP="00D03F3E">
      <w:pPr>
        <w:tabs>
          <w:tab w:val="left" w:pos="113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Обязать Наркомчермет (тов. Тевосяна), Наркомцветмет (тов.Ломако), Наркомхимпром (тов.Первухина), Наркомстройматериалов (тов.Соснина), УПК при Совнаркоме РСФСР (тов.Кравчука) и Главнефтеснаб при Совнаркоме СССР (т.Широкова) поставить вне всякой очереди целевые назна</w:t>
      </w:r>
      <w:r w:rsidRPr="00D03F3E">
        <w:rPr>
          <w:rFonts w:ascii="Times New Roman" w:hAnsi="Times New Roman"/>
          <w:color w:val="000000" w:themeColor="text1"/>
          <w:sz w:val="16"/>
          <w:szCs w:val="16"/>
        </w:rPr>
        <w:softHyphen/>
        <w:t>чением для производства противотанковых авиабомб ГТАБ-1,5 металл, топливо и вспомогательные материалы заводам-из готовителям корпусов и взрывателей ПТАБ-1,5 в количест</w:t>
      </w:r>
      <w:r w:rsidRPr="00D03F3E">
        <w:rPr>
          <w:rFonts w:ascii="Times New Roman" w:hAnsi="Times New Roman"/>
          <w:color w:val="000000" w:themeColor="text1"/>
          <w:sz w:val="16"/>
          <w:szCs w:val="16"/>
        </w:rPr>
        <w:softHyphen/>
        <w:t>вах, согласно приложению № 6.</w:t>
      </w:r>
    </w:p>
    <w:p w14:paraId="7EB40035"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Поставку указанных материалов произвести не менее 30% к 1 мая из наличия на базах сбытовых контор, 30% к 10 мая и остальные 40% к 15 мая 1943 года.</w:t>
      </w:r>
    </w:p>
    <w:p w14:paraId="5A78F68D" w14:textId="77777777" w:rsidR="000449CB" w:rsidRPr="00D03F3E" w:rsidRDefault="000449CB" w:rsidP="00D03F3E">
      <w:pPr>
        <w:tabs>
          <w:tab w:val="left" w:pos="115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В целях ускорения выпуска первых партий авиа</w:t>
      </w:r>
      <w:r w:rsidRPr="00D03F3E">
        <w:rPr>
          <w:rFonts w:ascii="Times New Roman" w:hAnsi="Times New Roman"/>
          <w:color w:val="000000" w:themeColor="text1"/>
          <w:sz w:val="16"/>
          <w:szCs w:val="16"/>
        </w:rPr>
        <w:softHyphen/>
        <w:t>бомб ПТАБ-1,5 обязать Наркомминвооружения (тов.Андреева), Наркоммясомолпром СССР (тов.Смирнова), Наркомередмаш (тов.Акопова), Совнарком РСФСР (тов.Уткина) использовать наличные запасы металла и материалов на заводах своей системы.</w:t>
      </w:r>
    </w:p>
    <w:p w14:paraId="6D9769FE" w14:textId="77777777" w:rsidR="000449CB" w:rsidRPr="00D03F3E" w:rsidRDefault="000449CB" w:rsidP="00D03F3E">
      <w:pPr>
        <w:tabs>
          <w:tab w:val="left" w:pos="116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Обязать Наркомстанкостроения (тов.Ефремова) из</w:t>
      </w:r>
      <w:r w:rsidRPr="00D03F3E">
        <w:rPr>
          <w:rFonts w:ascii="Times New Roman" w:hAnsi="Times New Roman"/>
          <w:color w:val="000000" w:themeColor="text1"/>
          <w:sz w:val="16"/>
          <w:szCs w:val="16"/>
        </w:rPr>
        <w:softHyphen/>
        <w:t>готовить вне всякой очереди в мае месяце на московских заводах штампы, прессформы, контрольно-мерительный и ре</w:t>
      </w:r>
      <w:r w:rsidRPr="00D03F3E">
        <w:rPr>
          <w:rFonts w:ascii="Times New Roman" w:hAnsi="Times New Roman"/>
          <w:color w:val="000000" w:themeColor="text1"/>
          <w:sz w:val="16"/>
          <w:szCs w:val="16"/>
        </w:rPr>
        <w:softHyphen/>
        <w:t>жущий инструмент для производства корпусов и взрывателей противотанковых авиабомб ПТАБ-1,5 и поставить их заводам- изготовителям ПТАБ-1,5 в количествах и сроки, согласно приложению № 7.</w:t>
      </w:r>
    </w:p>
    <w:p w14:paraId="64CA2F41" w14:textId="77777777" w:rsidR="000449CB" w:rsidRPr="00D03F3E" w:rsidRDefault="000449CB" w:rsidP="00D03F3E">
      <w:pPr>
        <w:tabs>
          <w:tab w:val="left" w:pos="117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Обязать НКО (тов.Щаденко) в 10-дневный срок направить, для производства авиабомб ПТАБ-1,5 из числа мобилизованных, не годных к строевой службе, но годных к физическому труду 1.700 человек с распределением по заво</w:t>
      </w:r>
      <w:r w:rsidRPr="00D03F3E">
        <w:rPr>
          <w:rFonts w:ascii="Times New Roman" w:hAnsi="Times New Roman"/>
          <w:color w:val="000000" w:themeColor="text1"/>
          <w:sz w:val="16"/>
          <w:szCs w:val="16"/>
        </w:rPr>
        <w:softHyphen/>
        <w:t>дам, согласно приложению № 8.</w:t>
      </w:r>
    </w:p>
    <w:p w14:paraId="3B83C5BA" w14:textId="77777777" w:rsidR="000449CB" w:rsidRPr="00D03F3E" w:rsidRDefault="000449CB" w:rsidP="00D03F3E">
      <w:pPr>
        <w:tabs>
          <w:tab w:val="left" w:pos="115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Обязать НКО (тов.Хрулева) выделить в распоряже</w:t>
      </w:r>
      <w:r w:rsidRPr="00D03F3E">
        <w:rPr>
          <w:rFonts w:ascii="Times New Roman" w:hAnsi="Times New Roman"/>
          <w:color w:val="000000" w:themeColor="text1"/>
          <w:sz w:val="16"/>
          <w:szCs w:val="16"/>
        </w:rPr>
        <w:softHyphen/>
        <w:t>ние 2 Главного Управления Наркомминвооружения 15 автома</w:t>
      </w:r>
      <w:r w:rsidRPr="00D03F3E">
        <w:rPr>
          <w:rFonts w:ascii="Times New Roman" w:hAnsi="Times New Roman"/>
          <w:color w:val="000000" w:themeColor="text1"/>
          <w:sz w:val="16"/>
          <w:szCs w:val="16"/>
        </w:rPr>
        <w:softHyphen/>
        <w:t>шин на ходу, из них 5 машин 3-тонных ЗИС-5 и 10 машин 1,5-тонных ГАЗ-АА со специальным назначением для обслу</w:t>
      </w:r>
      <w:r w:rsidRPr="00D03F3E">
        <w:rPr>
          <w:rFonts w:ascii="Times New Roman" w:hAnsi="Times New Roman"/>
          <w:color w:val="000000" w:themeColor="text1"/>
          <w:sz w:val="16"/>
          <w:szCs w:val="16"/>
        </w:rPr>
        <w:softHyphen/>
        <w:t>живания московских заводов, изготовляющих авиабомбы ПТАБ-1,5.</w:t>
      </w:r>
    </w:p>
    <w:p w14:paraId="494546BD" w14:textId="77777777" w:rsidR="000449CB" w:rsidRPr="00D03F3E" w:rsidRDefault="000449CB" w:rsidP="00D03F3E">
      <w:pPr>
        <w:tabs>
          <w:tab w:val="left" w:pos="115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15. Выделить в распоряжение Наркомминвооружения 500 тыс.руб. для премирования наиболее отличившихся работни</w:t>
      </w:r>
      <w:r w:rsidRPr="00D03F3E">
        <w:rPr>
          <w:rFonts w:ascii="Times New Roman" w:hAnsi="Times New Roman"/>
          <w:color w:val="000000" w:themeColor="text1"/>
          <w:sz w:val="16"/>
          <w:szCs w:val="16"/>
        </w:rPr>
        <w:softHyphen/>
        <w:t>ков как своих заводов, так и заводов других наркоматов за освоение производства противотанковых авиабомб (ПТАБ-1,5).</w:t>
      </w:r>
    </w:p>
    <w:p w14:paraId="01B79628"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Обязать Наркомбоеприпасов (тов.Ванникова) в 15-дневный срок отработать, совместно с ВВС КА испытать противотанковые авиабомбы с пластмассовыми деталями (корпус взрывателя и переходная втулка) в случае удовлетворителвных результатов испытаний организовать массо</w:t>
      </w:r>
      <w:r w:rsidRPr="00D03F3E">
        <w:rPr>
          <w:rFonts w:ascii="Times New Roman" w:hAnsi="Times New Roman"/>
          <w:color w:val="000000" w:themeColor="text1"/>
          <w:sz w:val="16"/>
          <w:szCs w:val="16"/>
        </w:rPr>
        <w:softHyphen/>
        <w:t>вое их производство.</w:t>
      </w:r>
    </w:p>
    <w:p w14:paraId="7B0839AB" w14:textId="77777777" w:rsidR="000449CB" w:rsidRPr="00D03F3E" w:rsidRDefault="000449CB" w:rsidP="00D03F3E">
      <w:pPr>
        <w:tabs>
          <w:tab w:val="left" w:pos="113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Освободить на 1943 год заводы, изготовляющие корпуса и взрыватели ПТАБ-1,5, от всех видов мобилизации рабочих, ИТР и транспорта, в ток числе и от призыва в Красную Армию.</w:t>
      </w:r>
    </w:p>
    <w:p w14:paraId="05995DB9" w14:textId="77777777" w:rsidR="000449CB" w:rsidRPr="00D03F3E" w:rsidRDefault="000449CB" w:rsidP="00D03F3E">
      <w:pPr>
        <w:tabs>
          <w:tab w:val="left" w:pos="113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Обязать Наркомторг СССР (т.Любимова) выделить на май и июнь сверх контингентов, установленных на П-</w:t>
      </w:r>
      <w:r w:rsidRPr="00D03F3E">
        <w:rPr>
          <w:rFonts w:ascii="Times New Roman" w:hAnsi="Times New Roman"/>
          <w:color w:val="000000" w:themeColor="text1"/>
          <w:sz w:val="16"/>
          <w:szCs w:val="16"/>
          <w:lang w:val="en-US"/>
        </w:rPr>
        <w:t>ii</w:t>
      </w:r>
      <w:r w:rsidRPr="00D03F3E">
        <w:rPr>
          <w:rFonts w:ascii="Times New Roman" w:hAnsi="Times New Roman"/>
          <w:color w:val="000000" w:themeColor="text1"/>
          <w:sz w:val="16"/>
          <w:szCs w:val="16"/>
        </w:rPr>
        <w:t xml:space="preserve"> квартал, дополнительных обедов с хлебом без вырезки талонов из продкарточек, а также выделить дополнительно по 200 гр. табаку в месяц на каждого курящего для рабо</w:t>
      </w:r>
      <w:r w:rsidRPr="00D03F3E">
        <w:rPr>
          <w:rFonts w:ascii="Times New Roman" w:hAnsi="Times New Roman"/>
          <w:color w:val="000000" w:themeColor="text1"/>
          <w:sz w:val="16"/>
          <w:szCs w:val="16"/>
        </w:rPr>
        <w:softHyphen/>
        <w:t>чих и ИТР, занятых организацией производства и на произ</w:t>
      </w:r>
      <w:r w:rsidRPr="00D03F3E">
        <w:rPr>
          <w:rFonts w:ascii="Times New Roman" w:hAnsi="Times New Roman"/>
          <w:color w:val="000000" w:themeColor="text1"/>
          <w:sz w:val="16"/>
          <w:szCs w:val="16"/>
        </w:rPr>
        <w:softHyphen/>
        <w:t>водстве противотанковых авиабоглб (ПТАБ-1,5) с распреде</w:t>
      </w:r>
      <w:r w:rsidRPr="00D03F3E">
        <w:rPr>
          <w:rFonts w:ascii="Times New Roman" w:hAnsi="Times New Roman"/>
          <w:color w:val="000000" w:themeColor="text1"/>
          <w:sz w:val="16"/>
          <w:szCs w:val="16"/>
        </w:rPr>
        <w:softHyphen/>
        <w:t>лением, согласно приложению № 9.</w:t>
      </w:r>
    </w:p>
    <w:p w14:paraId="67AD2B57" w14:textId="77777777" w:rsidR="000449CB" w:rsidRPr="00D03F3E" w:rsidRDefault="000449CB" w:rsidP="00D03F3E">
      <w:pPr>
        <w:tabs>
          <w:tab w:val="left" w:pos="113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19. Обязать Главнефтеснаб при Совнаркоме СССР т. Ши рокова выделить в мае и июне в распоряжение начальника </w:t>
      </w:r>
      <w:r w:rsidRPr="00D03F3E">
        <w:rPr>
          <w:rStyle w:val="95pt"/>
          <w:rFonts w:ascii="Times New Roman" w:hAnsi="Times New Roman" w:cs="Times New Roman"/>
          <w:color w:val="000000" w:themeColor="text1"/>
          <w:spacing w:val="0"/>
          <w:sz w:val="16"/>
          <w:szCs w:val="16"/>
        </w:rPr>
        <w:t>2</w:t>
      </w:r>
      <w:r w:rsidRPr="00D03F3E">
        <w:rPr>
          <w:rFonts w:ascii="Times New Roman" w:hAnsi="Times New Roman"/>
          <w:color w:val="000000" w:themeColor="text1"/>
          <w:sz w:val="16"/>
          <w:szCs w:val="16"/>
        </w:rPr>
        <w:t xml:space="preserve"> Главного Управления Наркоммпнвооруженпя сверх</w:t>
      </w:r>
      <w:r w:rsidRPr="00D03F3E">
        <w:rPr>
          <w:rStyle w:val="95pt"/>
          <w:rFonts w:ascii="Times New Roman" w:hAnsi="Times New Roman" w:cs="Times New Roman"/>
          <w:color w:val="000000" w:themeColor="text1"/>
          <w:spacing w:val="0"/>
          <w:sz w:val="16"/>
          <w:szCs w:val="16"/>
        </w:rPr>
        <w:t xml:space="preserve"> фондов </w:t>
      </w:r>
      <w:r w:rsidRPr="00D03F3E">
        <w:rPr>
          <w:rFonts w:ascii="Times New Roman" w:hAnsi="Times New Roman"/>
          <w:color w:val="000000" w:themeColor="text1"/>
          <w:sz w:val="16"/>
          <w:szCs w:val="16"/>
        </w:rPr>
        <w:t>на П квартал, выделенных Наркомминвооружения,30 тонн бензина (по 15 тонн в месяц) специально для обеспечения меж заводских перевозок, обеспечивающих производство ПТАБ-1,5.</w:t>
      </w:r>
    </w:p>
    <w:p w14:paraId="79649E17" w14:textId="77777777" w:rsidR="000449CB" w:rsidRPr="00D03F3E" w:rsidRDefault="000449CB" w:rsidP="00D03F3E">
      <w:pPr>
        <w:tabs>
          <w:tab w:val="left" w:pos="113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Обязать ВВС КА (тов.Новикова) организовать пе</w:t>
      </w:r>
      <w:r w:rsidRPr="00D03F3E">
        <w:rPr>
          <w:rFonts w:ascii="Times New Roman" w:hAnsi="Times New Roman"/>
          <w:color w:val="000000" w:themeColor="text1"/>
          <w:sz w:val="16"/>
          <w:szCs w:val="16"/>
        </w:rPr>
        <w:softHyphen/>
        <w:t>ревозку из Куйбышева в Москву самолетами с завода № 42 НКБ и завода "КАТЗК" Наркомсредмаша взрывателей ПТАБ-1,5 и деталей к ним.</w:t>
      </w:r>
    </w:p>
    <w:p w14:paraId="2411D15E" w14:textId="77777777" w:rsidR="000449CB" w:rsidRPr="00D03F3E" w:rsidRDefault="000449CB" w:rsidP="00D03F3E">
      <w:pPr>
        <w:tabs>
          <w:tab w:val="left" w:pos="113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Обязать Наркомстанкостроения (тов.Ефремова),Наркомавиапром (тов.Шахурина) и Наркомалектропром (т.Кабано ва) в 10-дневный срок отгрузить из наличия заводам Нар- комминвооружения, привлеченным к изготовлению авиабомб ПТАБ-1,5, оборудование, согласно приложению № 10, за счет передвижки сроков поставки другим потребителям.</w:t>
      </w:r>
    </w:p>
    <w:p w14:paraId="5A99C41C" w14:textId="77777777" w:rsidR="000449CB" w:rsidRPr="00D03F3E" w:rsidRDefault="000449CB" w:rsidP="00D03F3E">
      <w:pPr>
        <w:tabs>
          <w:tab w:val="left" w:pos="114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Обязать Моссовет(тов.Пронина):</w:t>
      </w:r>
    </w:p>
    <w:p w14:paraId="58055284"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произвести к 15 мая работы по подводке газа к новому помещению завода</w:t>
      </w:r>
      <w:r w:rsidRPr="00D03F3E">
        <w:rPr>
          <w:rStyle w:val="2135pt-1pt"/>
          <w:rFonts w:ascii="Times New Roman" w:hAnsi="Times New Roman" w:cs="Times New Roman"/>
          <w:color w:val="000000" w:themeColor="text1"/>
          <w:spacing w:val="0"/>
          <w:sz w:val="16"/>
          <w:szCs w:val="16"/>
          <w:lang w:val="ru-RU"/>
        </w:rPr>
        <w:t xml:space="preserve"> № </w:t>
      </w:r>
      <w:r w:rsidRPr="00D03F3E">
        <w:rPr>
          <w:rFonts w:ascii="Times New Roman" w:hAnsi="Times New Roman"/>
          <w:color w:val="000000" w:themeColor="text1"/>
          <w:sz w:val="16"/>
          <w:szCs w:val="16"/>
        </w:rPr>
        <w:t>843 Наркомминвооружения (быв. школа);</w:t>
      </w:r>
    </w:p>
    <w:p w14:paraId="5F3B84D1" w14:textId="77777777" w:rsidR="000449CB" w:rsidRPr="00D03F3E" w:rsidRDefault="000449CB" w:rsidP="00D03F3E">
      <w:pPr>
        <w:tabs>
          <w:tab w:val="left" w:pos="104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обеспечить первоочередную и бесперебойную пода</w:t>
      </w:r>
      <w:r w:rsidRPr="00D03F3E">
        <w:rPr>
          <w:rFonts w:ascii="Times New Roman" w:hAnsi="Times New Roman"/>
          <w:color w:val="000000" w:themeColor="text1"/>
          <w:sz w:val="16"/>
          <w:szCs w:val="16"/>
        </w:rPr>
        <w:softHyphen/>
        <w:t>чу газа заводу № 715 Наркомэлектропрома и № 843 Наркомминвооружеения;</w:t>
      </w:r>
    </w:p>
    <w:p w14:paraId="0963313A" w14:textId="77777777" w:rsidR="000449CB" w:rsidRPr="00D03F3E" w:rsidRDefault="000449CB" w:rsidP="00D03F3E">
      <w:pPr>
        <w:tabs>
          <w:tab w:val="left" w:pos="103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предоставить в м</w:t>
      </w:r>
      <w:r w:rsidRPr="00D03F3E">
        <w:rPr>
          <w:rFonts w:ascii="Times New Roman" w:hAnsi="Times New Roman"/>
          <w:color w:val="000000" w:themeColor="text1"/>
          <w:sz w:val="16"/>
          <w:szCs w:val="16"/>
          <w:lang w:val="en-US"/>
        </w:rPr>
        <w:t>ae</w:t>
      </w:r>
      <w:r w:rsidRPr="00D03F3E">
        <w:rPr>
          <w:rFonts w:ascii="Times New Roman" w:hAnsi="Times New Roman"/>
          <w:color w:val="000000" w:themeColor="text1"/>
          <w:sz w:val="16"/>
          <w:szCs w:val="16"/>
        </w:rPr>
        <w:t xml:space="preserve"> для руководящих специалистов 2 Главного Управления Наркомминвооружения - пять 2-3 комнатных квартир в г.Москве.</w:t>
      </w:r>
    </w:p>
    <w:p w14:paraId="3D6435BE"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Обязать Нарком электростанций тов.Жимернна и Мос</w:t>
      </w:r>
      <w:r w:rsidRPr="00D03F3E">
        <w:rPr>
          <w:rFonts w:ascii="Times New Roman" w:hAnsi="Times New Roman"/>
          <w:color w:val="000000" w:themeColor="text1"/>
          <w:sz w:val="16"/>
          <w:szCs w:val="16"/>
        </w:rPr>
        <w:softHyphen/>
        <w:t>энерго тов.Уфаева:</w:t>
      </w:r>
    </w:p>
    <w:p w14:paraId="486E924A" w14:textId="77777777" w:rsidR="000449CB" w:rsidRPr="00D03F3E" w:rsidRDefault="000449CB" w:rsidP="00D03F3E">
      <w:pPr>
        <w:tabs>
          <w:tab w:val="left" w:pos="104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оборудовать до 1 июня 1943 года в новом поме</w:t>
      </w:r>
      <w:r w:rsidRPr="00D03F3E">
        <w:rPr>
          <w:rFonts w:ascii="Times New Roman" w:hAnsi="Times New Roman"/>
          <w:color w:val="000000" w:themeColor="text1"/>
          <w:sz w:val="16"/>
          <w:szCs w:val="16"/>
        </w:rPr>
        <w:softHyphen/>
        <w:t>щении завода № 843 Наркомминвооружения (быв.школа) трансформаторную с установкой трансформатора 180 квт;</w:t>
      </w:r>
    </w:p>
    <w:p w14:paraId="54EEF9AC" w14:textId="77777777" w:rsidR="000449CB" w:rsidRPr="00D03F3E" w:rsidRDefault="000449CB" w:rsidP="00D03F3E">
      <w:pPr>
        <w:tabs>
          <w:tab w:val="left" w:pos="103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установить на май-июнь 1943 года дополнительный лимит электроэнергии заводам Наркомкннвооругжения № 846 - 300 квт и № 843 - 80</w:t>
      </w:r>
      <w:r w:rsidRPr="00D03F3E">
        <w:rPr>
          <w:rStyle w:val="1pt2"/>
          <w:rFonts w:ascii="Times New Roman" w:hAnsi="Times New Roman" w:cs="Times New Roman"/>
          <w:color w:val="000000" w:themeColor="text1"/>
          <w:spacing w:val="0"/>
          <w:sz w:val="16"/>
          <w:szCs w:val="16"/>
        </w:rPr>
        <w:t xml:space="preserve"> kbt.</w:t>
      </w:r>
    </w:p>
    <w:p w14:paraId="6EED1EB0" w14:textId="77777777" w:rsidR="000449CB" w:rsidRPr="00D03F3E" w:rsidRDefault="000449CB" w:rsidP="00D03F3E">
      <w:pPr>
        <w:tabs>
          <w:tab w:val="left" w:pos="114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Поручить Госплану СССР тов.Вознесенскому выде</w:t>
      </w:r>
      <w:r w:rsidRPr="00D03F3E">
        <w:rPr>
          <w:rFonts w:ascii="Times New Roman" w:hAnsi="Times New Roman"/>
          <w:color w:val="000000" w:themeColor="text1"/>
          <w:sz w:val="16"/>
          <w:szCs w:val="16"/>
        </w:rPr>
        <w:softHyphen/>
        <w:t>лить заводам, привлеченным к изготовлению корпусов  взрывателей авиабомб ПТАБ-1,5 дополнительные фонды на май -июнь 1943 года на оборудование, металл, основные и вспомогательные материалы, согласно приложения № 5,6,7 и 10, за счет перераспределения фондов на II квартал.</w:t>
      </w:r>
    </w:p>
    <w:p w14:paraId="19BF32A9" w14:textId="77777777" w:rsidR="000449CB" w:rsidRPr="00D03F3E" w:rsidRDefault="000449CB" w:rsidP="00D03F3E">
      <w:pPr>
        <w:tabs>
          <w:tab w:val="left" w:pos="115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 Поручить секретарю Ленинградского горкома ВКП(б) тов.Басову и уполномоченному Госплана по Ленинграду тов.Петрову подобрать на ленинградских предприятиях из числа неиспользуемых гидравлические пресса, гидронасосы, аккумуляторы и вальцы пригодные для производства пласт</w:t>
      </w:r>
      <w:r w:rsidRPr="00D03F3E">
        <w:rPr>
          <w:rFonts w:ascii="Times New Roman" w:hAnsi="Times New Roman"/>
          <w:color w:val="000000" w:themeColor="text1"/>
          <w:sz w:val="16"/>
          <w:szCs w:val="16"/>
        </w:rPr>
        <w:softHyphen/>
        <w:t>массовых деталей к ПТАБ-1,5, и отгрузить это оборудова</w:t>
      </w:r>
      <w:r w:rsidRPr="00D03F3E">
        <w:rPr>
          <w:rFonts w:ascii="Times New Roman" w:hAnsi="Times New Roman"/>
          <w:color w:val="000000" w:themeColor="text1"/>
          <w:sz w:val="16"/>
          <w:szCs w:val="16"/>
        </w:rPr>
        <w:softHyphen/>
        <w:t>ние заводу № 521 Наркомбоеприпасов в г.Москву.</w:t>
      </w:r>
    </w:p>
    <w:p w14:paraId="57074673" w14:textId="77777777" w:rsidR="000449CB" w:rsidRPr="00D03F3E" w:rsidRDefault="000449CB" w:rsidP="00D03F3E">
      <w:pPr>
        <w:tabs>
          <w:tab w:val="left" w:pos="115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Обязать НКО тов.Шаденко к НКАТ РСФСР тов.Куршева выделить 2-му Главному Управлению</w:t>
      </w:r>
      <w:r w:rsidRPr="00D03F3E">
        <w:rPr>
          <w:rStyle w:val="7pt"/>
          <w:rFonts w:ascii="Times New Roman" w:hAnsi="Times New Roman" w:cs="Times New Roman"/>
          <w:color w:val="000000" w:themeColor="text1"/>
          <w:sz w:val="16"/>
          <w:szCs w:val="16"/>
        </w:rPr>
        <w:t xml:space="preserve"> Наркоммин</w:t>
      </w:r>
      <w:r w:rsidRPr="00D03F3E">
        <w:rPr>
          <w:rFonts w:ascii="Times New Roman" w:hAnsi="Times New Roman"/>
          <w:color w:val="000000" w:themeColor="text1"/>
          <w:sz w:val="16"/>
          <w:szCs w:val="16"/>
        </w:rPr>
        <w:t>вооружения 30 человек шоферов из ближайшего выпуска шоферских школ.</w:t>
      </w:r>
    </w:p>
    <w:p w14:paraId="4D268770"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Обязать секретарей обкомов ВКП(с): Московского - т.т.Черноусова и Попова, Ярославского - т.Ларионова, Куйбышевского - т.Жаворонкова, Ивановского - т.Пальцева взять под особое наблюдение освоение производства и ва</w:t>
      </w:r>
      <w:r w:rsidRPr="00D03F3E">
        <w:rPr>
          <w:rFonts w:ascii="Times New Roman" w:hAnsi="Times New Roman"/>
          <w:color w:val="000000" w:themeColor="text1"/>
          <w:sz w:val="16"/>
          <w:szCs w:val="16"/>
        </w:rPr>
        <w:softHyphen/>
        <w:t>ловый выпуск противотанковых авиабомб (ПТАБ-1,5) к деталей к ним на заводах Нарконбоеприпасов, Наркоминнвооружкения, Наркомсредмаша, Наркоммясомолпрома СССР, Наркомместпрома РСФСР и Управления Промкооперации при Совнар</w:t>
      </w:r>
      <w:r w:rsidRPr="00D03F3E">
        <w:rPr>
          <w:rFonts w:ascii="Times New Roman" w:hAnsi="Times New Roman"/>
          <w:color w:val="000000" w:themeColor="text1"/>
          <w:sz w:val="16"/>
          <w:szCs w:val="16"/>
        </w:rPr>
        <w:softHyphen/>
        <w:t>коме РСФСР и оказывать этим заводам повседневную помощь в части обеспечения их электроэнергией, топливом, рабо</w:t>
      </w:r>
      <w:r w:rsidRPr="00D03F3E">
        <w:rPr>
          <w:rFonts w:ascii="Times New Roman" w:hAnsi="Times New Roman"/>
          <w:color w:val="000000" w:themeColor="text1"/>
          <w:sz w:val="16"/>
          <w:szCs w:val="16"/>
        </w:rPr>
        <w:softHyphen/>
        <w:t>чей силой, материалами и транспортом (19396).</w:t>
      </w:r>
    </w:p>
    <w:p w14:paraId="5A26AF79" w14:textId="77777777" w:rsidR="00F73442" w:rsidRPr="00D03F3E" w:rsidRDefault="00F7344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26A2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апреля 1943 Постановлением ГКО на вооружение ВВС КА была принята противотанковая авиабомба ПТАБ-2,5-1,5. Действие ПТАБ сводилось к следующему. При ударе о броню танка создавалась кумулятивная струя, которая пробивала броню толщиной до 60 мм при углах встречи от 90 до 30° с последующим разрушающим действием за броней: поражение экипажа, инициирование детонации боеприпасов, а также воспламенение горючего или его паров. Поскольку, кассеты мелких бомб Ил-2 вмещали до 280 ПТАБ, то обеспечивалась довольно высокая вероятность попадания в танки, даже в рассредоточенных боевых порядках. Полоса разлета бомб, сброшенных с одного самолета, перекрывала 2-3 танка, удаленных один от другого на 60-75 м (12020).</w:t>
      </w:r>
    </w:p>
    <w:p w14:paraId="7A2F38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853C83"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апреля в 1943 году принята на вооружение противотанковая кумулятивная авиабомба «ПТАБ-2,5-1,5», разработанная в ЦКБ-22 (руководитель И.А.Ларионов) для штурмовиков «Ил-2». В середине 1942 года известный разработчик взрывателей Ларионов И.А, предложил конструкцию легкой противотанковой авиабомбы кумулятивного действия. Командование ВВС проявило заинтересованность в реализации предложения. ЦКБ-22 быстро провело проектировочные работы и испытания новой бомбы начались в конце 1942 г. Действие противотанковой бомбы было следующим: при ударе о броню танка срабатывал взрыватель, который через тетриловую детонаторную шашку подрывал основной заряд взрывчатого вещества. Основной заряд имел воронкообразную выемку - кумулятивная выемка - на нижней стороне по вертикали. В момент подрыва благодаря наличию воронки образовывалась кумулятивная струя диаметром 1-3 мм и скоростью 12-15 км/с. В месте соударения струи с броней возникало давление до 105 МПа (1000 атм). Для усиления воздействия в кумулятивную воронку вкладывался металлический тонкий конус. Расплавляясь в момент взрыва, металл служил тараном, увеличивающим воздействие на броню. Кумулятивная струя прожигала броню (поэтому первые кумулятивные снаряды у нас назывались бронепрожигающими), поражая экипаж, вызывая взрыв боекомплекта, зажигая топливо. Осколками корпуса авиабомбы поражалась живая сила и легкоуязвимая техника. Максимальное бронепробивающее действие достигается при условии, что в момент взрыва заряд бомбы находится на определенном расстоянии от брони, которое называется фокусным. Взрыв кумулятивного заряда на фокусном расстоянии обеспечивался соответствующими размерами носовой части бомбы.</w:t>
      </w:r>
    </w:p>
    <w:p w14:paraId="126F2AA9"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Испытания кумулятивных авиабомб проводились с декабря 1942 г. по 21 апреля 1943 г. Полевые испытания показали, что надежно обеспечивалось пробитие брони толщиной до 60 мм при угле встречи 30°. Минимальная высота, обеспечивавшая выравнивание бомбы до встречи с броней танка и безоказность ее действия, равнялась 70 м. Окончательный вариант представлял собой «ПТАБ-2,5-1,5», т.е. противотанковую авиационную бомбу кумулятивного действия массой 1,5 кг в габаритах 2,5-кг авиационной бомбы. ГКО в срочном порядке решил принять на вооружение «ПТАБ-2,5-1,5» и организовать ее массовое производство. Наркому боеприпасов Ванникову Б.Л. было поручено изготовить к 15 мая 1943 г. 800 тыс. авиабомб «ПТАБ-2,5-1,5» с донным взрывателем АДА. Заказ выполняли более 150 предприятий различных наркоматов и ведомств. Верховный главнокомандующий Сталин И.В. категорически запретил применять авиабомбы «ПТАБ» до получения специального разрешения. Их существование держалось в строгом секрете. Но как только начались танковые сражения на Курской дуге, бомбы применили в массовых количествах. В бомбовую зарядку штурмовика «Ил-2» входило до 192 «ПТАБ» в 4-х кассетах для мелких бомб или до 220 штук навалом в 4-х бомбоотсеках. При сбрасывании «ПТАБ» с высоты 200 м при скорости полета 340-360 км/ч одна бомба попадала в площадь в среднем 15 кв.м., при этом, в зависимости от бомбовой нагрузки, общая полоса составляла 15х(190-210) кв.м. Этого было достаточно для гарантированного поражения (в основном безвозвратно) любого танка Вермахта, имевшего несчастье оказаться в полосе разрывов, т.к. площадь, занимаемая одним танком, составляет 20-22 кв.м. Первыми «ПТАБ» применили летчики 2-й гвардейской и 299-й штурмовой авиадивизий 16-ой Воздушной Армии 5 июля 1943 г. На участке станиц Малоархангельск, Ясная Поляна танки и мотопехота противника провели в течении дня 10 атак, подвергаясь бомбовым ударам с применением «ПТАБ». Массовое применение «ПТАБ» имело ошеломляющий эффект тактической неожиданности и оказало сильное моральное воздействие на экипажи бронетехники противника (помимо самой техники). Немецкие и советские танкисты к 3-му году войны привыкли к относительно низкой эффективности бомбоштурмовых ударов авиации. Поэтому в первые дни сражения немцы не применяли рассредоточенные походные и предбоевые порядки, т.е на маршрутах движения в составе колонн, в местах сосредоточения и на исходных позициях, за что и были наказаны - полоса разлета «ПТАБ» перекрывала 2-3 танка, удаленных друг от друга на расстояние 70-75 м. Вследствии чего потери достигали ощутимых размеров даже в отсутствии массированного применения «Ил-2». Летчики 291 штурмовой авиационной дивизии полковника Витрука А.Н. 2-ой Воздушной Армии, применяя «ПТАБ», уничтожили и вывели из строя в течение 5 июля до 30 немецких танков. Штурмовики 3-го и 9-го авиакорпусов 17-ой Воздушной Армии доложили о поражении до 90 единиц бронетехники противника на поле боя и в районе переправ через р. Северный Донец. На обоянском направлении 7 июля штурмовики «Ил-2» 1-го штурмового авиационного корпуса 2-й Воздушной Армии, оказывая поддержку 3-му механизированному корпусу 1-й Танковой Армии, в период с 4.40 до 6.40 утра двумя группами в 46 и 33 самолетов при поддержке 66 истребителей нанесли удары по скоплениям танков в районе Сырцево-Яковлево, сосредоточенных для атаки в направлении на Красную Дубраву (300-500 танков) и Большие Маячки (100 танков). Удары увенчались успехом, противник не смог прорвать 2-ю полосу обороны 1-й Танковой Армии. Дешифровка фотоснимков поля боя на 13.15 показала наличие более 200 подбитых танков и САУ. По немецким данным, подвергшись в течение дня нескольким массированным штурмовым ударам, 3-я танковая дивизия СС "Мертвая голова" в районе Большие Маячки лишилась в общей сложности 270 танков, САУ и БТР. Плотность накрытия «ПТАБ» была такова, что было зафиксировано свыше 2000 прямых попаданий «ПТАБ-2,5-1,5». Оправившись от шока, немецкие танкисты уже через несколько дней перешли исключительно к рассредоточенным походным и боевым порядкам. Естественно, это сильно затруднило управление танковыми частями и подразделениями, увеличило сроки их развертывания, сосредоточения и передислокации, усложнило боевое взаимодействие. Эффективность ударов «Ил-2» с примененим «ПТАБ» снизилось примерно в 4-4,5 раза, оставаясь в среднем в 2-3 раза выше, чем при использовании фугасных и осколочно-фугасных </w:t>
      </w:r>
      <w:r w:rsidRPr="00D03F3E">
        <w:rPr>
          <w:rFonts w:ascii="Times New Roman" w:hAnsi="Times New Roman"/>
          <w:color w:val="000000" w:themeColor="text1"/>
          <w:sz w:val="16"/>
          <w:szCs w:val="16"/>
        </w:rPr>
        <w:lastRenderedPageBreak/>
        <w:t>бомб. В операциях русской авиации на Курской дуге было израсходовано более 500 тысяч противотанковых бомб. В дальнейшем их успешно применяли в течении всей войны. В 1943 г. было изготовлено 6.044 тысяч бомб «ПТАБ-2,5-1,5», в 1944 г. - 6.792 тысяч. Всего за время войны было изготовлено 13.370 тысяч «ПТАБ-2,5-1,5». Главный конструктор ЦКБ-22 Ларионов И.А. за создание «ПТАБ-2,5-1,5» и взрывателя «АД-А» к ней в январе 1944 г. был награжден орденом Ленина, а в 1946 г. удостоен званиея лауреата Государственной премии СССР (15109).</w:t>
      </w:r>
    </w:p>
    <w:p w14:paraId="4DC44A4B" w14:textId="77777777" w:rsidR="0061275F" w:rsidRPr="00D03F3E" w:rsidRDefault="0061275F" w:rsidP="00D03F3E">
      <w:pPr>
        <w:spacing w:after="0" w:line="240" w:lineRule="auto"/>
        <w:jc w:val="both"/>
        <w:rPr>
          <w:rFonts w:ascii="Times New Roman" w:hAnsi="Times New Roman"/>
          <w:color w:val="000000" w:themeColor="text1"/>
          <w:sz w:val="16"/>
          <w:szCs w:val="16"/>
        </w:rPr>
      </w:pPr>
    </w:p>
    <w:p w14:paraId="7E630DB9" w14:textId="77777777" w:rsidR="008341EF" w:rsidRPr="00D03F3E" w:rsidRDefault="008341EF"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24 апреля 1943 постановлением ГКО бомба ПТАБ-2,5-1,5 была принята на вооружение ВВС КА. Соот</w:t>
      </w:r>
      <w:r w:rsidRPr="00D03F3E">
        <w:rPr>
          <w:color w:val="000000" w:themeColor="text1"/>
          <w:sz w:val="16"/>
          <w:szCs w:val="16"/>
        </w:rPr>
        <w:softHyphen/>
        <w:t>ветствующий приказ командующего ВВС маршала А. А. Новикова вышел 6 мая.</w:t>
      </w:r>
    </w:p>
    <w:p w14:paraId="39127F13" w14:textId="77777777" w:rsidR="008341EF" w:rsidRPr="00D03F3E" w:rsidRDefault="008341EF"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показали более поздние исследования, па</w:t>
      </w:r>
      <w:r w:rsidRPr="00D03F3E">
        <w:rPr>
          <w:color w:val="000000" w:themeColor="text1"/>
          <w:sz w:val="16"/>
          <w:szCs w:val="16"/>
        </w:rPr>
        <w:softHyphen/>
        <w:t>раметры конструкции ПТАБ-2,5-1,5 были выбраны не самым лучшим образом.</w:t>
      </w:r>
    </w:p>
    <w:p w14:paraId="15A1C1F7" w14:textId="77777777" w:rsidR="008341EF" w:rsidRPr="00D03F3E" w:rsidRDefault="008341EF"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Оказалось, что добавление алюминиевой пудры в смесь тротила и гексогена ослабляет бронепро- бивные свойства кумулятивной струи, не усиливая при этом ее зажигающие свойства. Жестяной кор</w:t>
      </w:r>
      <w:r w:rsidRPr="00D03F3E">
        <w:rPr>
          <w:color w:val="000000" w:themeColor="text1"/>
          <w:sz w:val="16"/>
          <w:szCs w:val="16"/>
        </w:rPr>
        <w:softHyphen/>
        <w:t>пус ПТАБ-2,5-1,5 при ударе о броню танка сминался настолько быстро, что кумулятивная струя начина</w:t>
      </w:r>
      <w:r w:rsidRPr="00D03F3E">
        <w:rPr>
          <w:color w:val="000000" w:themeColor="text1"/>
          <w:sz w:val="16"/>
          <w:szCs w:val="16"/>
        </w:rPr>
        <w:softHyphen/>
        <w:t>ла формироваться на неоптимальном (примерно 50—60%) расстоянии до поверхности брони, а это существенно снижало ее эффективность. Опти</w:t>
      </w:r>
      <w:r w:rsidRPr="00D03F3E">
        <w:rPr>
          <w:color w:val="000000" w:themeColor="text1"/>
          <w:sz w:val="16"/>
          <w:szCs w:val="16"/>
        </w:rPr>
        <w:softHyphen/>
        <w:t>мальная толщина металлической облицовки куму</w:t>
      </w:r>
      <w:r w:rsidRPr="00D03F3E">
        <w:rPr>
          <w:color w:val="000000" w:themeColor="text1"/>
          <w:sz w:val="16"/>
          <w:szCs w:val="16"/>
        </w:rPr>
        <w:softHyphen/>
        <w:t>лятивной выемки была в два раза выше, поэтому мощность кумулятивной струи оказывалась замет</w:t>
      </w:r>
      <w:r w:rsidRPr="00D03F3E">
        <w:rPr>
          <w:color w:val="000000" w:themeColor="text1"/>
          <w:sz w:val="16"/>
          <w:szCs w:val="16"/>
        </w:rPr>
        <w:softHyphen/>
        <w:t>но сниженной. Более того, из-за неверно выбран</w:t>
      </w:r>
      <w:r w:rsidRPr="00D03F3E">
        <w:rPr>
          <w:color w:val="000000" w:themeColor="text1"/>
          <w:sz w:val="16"/>
          <w:szCs w:val="16"/>
        </w:rPr>
        <w:softHyphen/>
        <w:t>ной высоты заряда (диаметр заряда плюс высота выемки) около 40% взрывчатого вещества вообще не участвовало в формировании кумулятивной струи.</w:t>
      </w:r>
    </w:p>
    <w:p w14:paraId="799ACDD6" w14:textId="77777777" w:rsidR="008341EF" w:rsidRPr="00D03F3E" w:rsidRDefault="008341EF"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Если бы ПТАБ-2,5-1,5 имела хотя бы оптималь</w:t>
      </w:r>
      <w:r w:rsidRPr="00D03F3E">
        <w:rPr>
          <w:color w:val="000000" w:themeColor="text1"/>
          <w:sz w:val="16"/>
          <w:szCs w:val="16"/>
        </w:rPr>
        <w:softHyphen/>
        <w:t>ную толщину металлической облицовки кумулятив</w:t>
      </w:r>
      <w:r w:rsidRPr="00D03F3E">
        <w:rPr>
          <w:color w:val="000000" w:themeColor="text1"/>
          <w:sz w:val="16"/>
          <w:szCs w:val="16"/>
        </w:rPr>
        <w:softHyphen/>
        <w:t>ной выемки и действовала с оптимального рассто</w:t>
      </w:r>
      <w:r w:rsidRPr="00D03F3E">
        <w:rPr>
          <w:color w:val="000000" w:themeColor="text1"/>
          <w:sz w:val="16"/>
          <w:szCs w:val="16"/>
        </w:rPr>
        <w:softHyphen/>
        <w:t>яния от брони, то ее бронепробиваемость была бы выше в 1,6 раза.</w:t>
      </w:r>
    </w:p>
    <w:p w14:paraId="42D771EB" w14:textId="77777777" w:rsidR="008341EF" w:rsidRPr="00D03F3E" w:rsidRDefault="008341E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не менее для своего времени ПТАБ-2,5-1,5 представляла собой грозное оружие. К слову ска</w:t>
      </w:r>
      <w:r w:rsidRPr="00D03F3E">
        <w:rPr>
          <w:rFonts w:ascii="Times New Roman" w:hAnsi="Times New Roman"/>
          <w:color w:val="000000" w:themeColor="text1"/>
          <w:sz w:val="16"/>
          <w:szCs w:val="16"/>
        </w:rPr>
        <w:softHyphen/>
        <w:t>зать, И. А. Ларионов за создание бомбы и взрыва</w:t>
      </w:r>
      <w:r w:rsidRPr="00D03F3E">
        <w:rPr>
          <w:rFonts w:ascii="Times New Roman" w:hAnsi="Times New Roman"/>
          <w:color w:val="000000" w:themeColor="text1"/>
          <w:sz w:val="16"/>
          <w:szCs w:val="16"/>
        </w:rPr>
        <w:softHyphen/>
        <w:t>теля к ней АД-А в январе 1944 г. был награжден орденом Ленина (17500).</w:t>
      </w:r>
    </w:p>
    <w:p w14:paraId="5E3A22DB" w14:textId="77777777" w:rsidR="008341EF" w:rsidRPr="00D03F3E" w:rsidRDefault="008341EF" w:rsidP="00D03F3E">
      <w:pPr>
        <w:spacing w:after="0" w:line="240" w:lineRule="auto"/>
        <w:jc w:val="both"/>
        <w:rPr>
          <w:rFonts w:ascii="Times New Roman" w:hAnsi="Times New Roman"/>
          <w:color w:val="000000" w:themeColor="text1"/>
          <w:sz w:val="16"/>
          <w:szCs w:val="16"/>
        </w:rPr>
      </w:pPr>
    </w:p>
    <w:p w14:paraId="775807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24 апреля по 6 июня 1943, а по другим данным с 21 апреля по 5 июня 1943 проходили войсковые испытания на боевое применение ЛаГГ-3 с 37 мм пушкой ОКБ-16 и пулеметов УБС.</w:t>
      </w:r>
    </w:p>
    <w:p w14:paraId="071BC8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июня 1943 ГИ ВВС гп ИАС Репиным был утвержден отчет</w:t>
      </w:r>
    </w:p>
    <w:p w14:paraId="4FE76F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 Исполнитель к-р 21 ИАП м-р Нестоянов</w:t>
      </w:r>
    </w:p>
    <w:p w14:paraId="7CA5BB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 политрук, нач-к 3 отд. ГУ ИАС ВВС и м-р Мохов</w:t>
      </w:r>
    </w:p>
    <w:p w14:paraId="7D1833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 инж. 4 отд. НИИ ВВС и к-н Зюскевич</w:t>
      </w:r>
    </w:p>
    <w:p w14:paraId="246CB5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 л-к 4 отд. НИИ ВВС КА ст. л. Масляков</w:t>
      </w:r>
    </w:p>
    <w:p w14:paraId="7976EA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Объект испытаний: с-т ЛаГГ-3 М-105ПФ постройки з-да № 21 1943 г.</w:t>
      </w:r>
    </w:p>
    <w:p w14:paraId="620A88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отличие от серийного с-та ЛаГГ-3:</w:t>
      </w:r>
    </w:p>
    <w:p w14:paraId="492424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установлена пушка ОКБ-16 калибра 37 мм с б/к 36 патронов вместо пушки ШВАК кал. 20 мм</w:t>
      </w:r>
    </w:p>
    <w:p w14:paraId="0AA353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УБС с б/з в 170 патронов оставлены без изменений</w:t>
      </w:r>
    </w:p>
    <w:p w14:paraId="36D504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пушки - 150 кг, темп стрельбы - 240-250 в/мин, вес установки на с-т - 35 кг, вес патрона - 1,6 кг, вес снаряда 0,702 кг. Вес боевомплекта - 63 кг. Общий вес пушечного вооружения - 250 кг.</w:t>
      </w:r>
    </w:p>
    <w:p w14:paraId="2529CD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Войсковые испытания проведены в 21 иап согласно приказу командования ВВС № 114 от 22 февраля 1942 г. и № 089 от 26 апреля 1943 г.</w:t>
      </w:r>
    </w:p>
    <w:p w14:paraId="4FBFD7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Полк получил 13 с-тов ЛаГГ-3 с завода № 21 с этими пушками и кроме того Ла-5 21 шт.</w:t>
      </w:r>
    </w:p>
    <w:p w14:paraId="0DB230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Летный состав - в основном молодые л-ки, подготовленные в 23 АПс Сейлин</w:t>
      </w:r>
    </w:p>
    <w:p w14:paraId="07F224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период испытаний с 21 апреля по 5 июня 1943 г. выполнено 174 с/в, из которых 71 были боевыми</w:t>
      </w:r>
    </w:p>
    <w:p w14:paraId="6F75CC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Полком уничтожено:</w:t>
      </w:r>
    </w:p>
    <w:p w14:paraId="152E5C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с-тов противника 12 (Ме-110 - 1, ФВ-189 - 6, Хш-126 -5)</w:t>
      </w:r>
    </w:p>
    <w:p w14:paraId="2E9830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паровозов - 3</w:t>
      </w:r>
    </w:p>
    <w:p w14:paraId="1F770A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 - 26</w:t>
      </w:r>
    </w:p>
    <w:p w14:paraId="34CE62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ЛаГГ с пушкой сбили 5 с-тов (ФВ-189 -1. Хш-126 - 4)</w:t>
      </w:r>
    </w:p>
    <w:p w14:paraId="6CB10F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уничтоженис с-та противника достаточно 1-2 прямых попаданий снарядов</w:t>
      </w:r>
    </w:p>
    <w:p w14:paraId="5F99DD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были на Калининском фронте в 21 иап 3ВА (аэродромы Старица, Торопа, Равонь, Борки - почва песчаная)</w:t>
      </w:r>
    </w:p>
    <w:p w14:paraId="2CCBAC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ЛаГГ-3 ходили под прикрытием Ла-5</w:t>
      </w:r>
    </w:p>
    <w:p w14:paraId="1CA5F9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Боевое применение: борьба с корректировщиками противника по вызову наземных частей, перехват разведчиков противника, свободный полет (охота), сопровождение штурмовиков Ил-2. Ла-5 применячлись в основном при полетах над территорией противника (перехват и барражирование не дали положительных результатов).</w:t>
      </w:r>
    </w:p>
    <w:p w14:paraId="266B24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Заключение:</w:t>
      </w:r>
    </w:p>
    <w:p w14:paraId="7768DA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Войсковые испытания с-тов ЛаГГ-3 с 37мм пушкой ОКБ-16 подтвердили эффективность использования истребителей для уничтожения с-тов-бомбардировщиков и корректировщиков противника, а также для действия по наземным целям (ж/д эшелоны, переправы, мотомехколлонны, автотранспорт) при слабой ПВО этих целей</w:t>
      </w:r>
    </w:p>
    <w:p w14:paraId="0CA0B7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С-ты ЛаГГ-3, вооруженные 37мм пушками, по своим ЛТД уступают современным истребителям Ла-5 и Як-9, поэтому применение их для выполнения боевых задач при противодействии со стороны истребителей противника требует совместных действий с с-тами ла-5 или Як-9 в смешанных боевых порядках.</w:t>
      </w:r>
    </w:p>
    <w:p w14:paraId="0C9AA6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Пушки ОКБ-16 калтюра 37 мм войсковые испытания на боевое применение выдержали.</w:t>
      </w:r>
    </w:p>
    <w:p w14:paraId="23DFC7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 НИИ Лосюков 16 июня, Ком. 3ВА гма Папив, Нач. 4 отд. НИИ Шишкин 6 июня 1943 (757,1).</w:t>
      </w:r>
    </w:p>
    <w:p w14:paraId="5B0140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1AAC3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C4EDB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4F7B09"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апреля 1943 г. из ТЕЛЕГРАММЫ И.В. СТАЛИНА В НОВОСИБИРСКИЙ ОБКОМ ВКП(б) И ОБЛИСПОЛКОМ</w:t>
      </w:r>
    </w:p>
    <w:p w14:paraId="6C2FB84C"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Сообщаются следующие пункты постановления ГОКО № 3 218 от 21 апреля 1943 года: «Пункт 30: продлить до конца 1943 года отсрочки (бронь) от мобилизации в Красную Армию рабочим, ИТР и служащим авиационной промышленности, имевшим бронь и отсрочки 8 1942 году и в первом квартале 1943 года, включая призывников всех возрастов, а также учащихся ремесленных училищ и школ ФЗО, проходящих производственную практику на заводах НКАП и выпускаемых для работы на этих заводах. Запретить совнаркомам союзных и автономных республик, краевым, областным и городским исполкомам Советов депутатов трудящихся производить мобилизацию работников авиационной промышленности на лесодровозаготовки и сельскохозяйственные работы. Пункт 33: обязать областные, краевые исполкомы, совнаркомы автономных и союзных республик, а также уполномоченных Госплана СССР на местах совместно с директорами заводов Наркомавиапрома изыскать дополнительные ресурсы местной и республиканской промышленности для удовлетворения текущих нужд авиационной промышленности. Результаты доложить ГОКО к 10 июля 1943 года.</w:t>
      </w:r>
    </w:p>
    <w:p w14:paraId="7DBE2601"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Государственного Комитета Обороны И. Сталин</w:t>
      </w:r>
    </w:p>
    <w:p w14:paraId="02C4F1DF"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ГАНО. Ф. П-4. Оп. 34. Д. 166. Л. 44.</w:t>
      </w:r>
    </w:p>
    <w:p w14:paraId="587FB514"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Телеграфный экземпляр. На бланке. В верхнем углу резолюция Кулагина: «тов. Гришину, тов. Семину, тов. Бабичу- ваши предложения». Подпись Кулагина и дата: «25. IV» (12193).</w:t>
      </w:r>
    </w:p>
    <w:p w14:paraId="36529B88" w14:textId="77777777" w:rsidR="002E357C" w:rsidRPr="00D03F3E"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2584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апреля 1943 вышло Постановление ГКО № 3249 Об обеспечении заготовки и поставки дров заводам № 71, 74, 524 и 622 Наркомвооружения во II и III кварталах 1943 года.РГАНИР, Фонд ГКО, д. 110, лл. 1-2 (11012).</w:t>
      </w:r>
    </w:p>
    <w:p w14:paraId="2C46CF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8B466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апреля 1943 года вышел приказ НКМФ и НКБ № 108/439с</w:t>
      </w:r>
    </w:p>
    <w:p w14:paraId="0119260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распоряжением СНК за № 19286 рс от 10 октября 1942 года:</w:t>
      </w:r>
    </w:p>
    <w:p w14:paraId="3CD3B18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3 НКМФ передать НКБ (5947, 99).</w:t>
      </w:r>
    </w:p>
    <w:p w14:paraId="204D841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D177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с 24 по 30 апреля 1943. на научно-испытательном бронетанковом полигоне ГБТУ КА были проведены испытания обстрелом немецкого танка T-VI из артиллерийских систем, имеющихся на вооружении Красной Армии, а также была проведена стрельба из 88 мм пушки танка T-VI по броневым корпусам танков Т-34 и КВ-1.</w:t>
      </w:r>
    </w:p>
    <w:p w14:paraId="76D0B1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Результаты обстрела танка T-VI</w:t>
      </w:r>
    </w:p>
    <w:p w14:paraId="3F29A61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Бортовая, кормовая и башенная броня танка толщиной 82 мм пробивается (при встрече снаряда с броней под прямым углом):</w:t>
      </w:r>
    </w:p>
    <w:p w14:paraId="3BD5E1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Подкалиберными снарядами 45 мм противотанковой пушки образца 1942 г. с дистанции 350 метров.</w:t>
      </w:r>
    </w:p>
    <w:p w14:paraId="172887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Подкалиберными снарядами 45 мм танковой пушки образца 1937 г. с дистанции 200 метров.</w:t>
      </w:r>
    </w:p>
    <w:p w14:paraId="08E2D4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Бронебойным сплошным снарядом 57 мм противотанковой пушки ЗИС-2 с дистанции 1000 метров.</w:t>
      </w:r>
    </w:p>
    <w:p w14:paraId="0106AE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4. Бронебойным снарядом 85 мм зенитной пушки с дистанции 1500 метров.</w:t>
      </w:r>
    </w:p>
    <w:p w14:paraId="785D2A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Бронебойным (сплошным) снарядом английской 57 мм танковой пушки с дистанции 600 метров.</w:t>
      </w:r>
    </w:p>
    <w:p w14:paraId="2937AA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Бронебойным (сплошным) снарядом противотанковой английской 57 мм пушки с дистанции 1000 метров.</w:t>
      </w:r>
    </w:p>
    <w:p w14:paraId="579FD4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Бронебойным (сплошным) снарядом 75 мм американской танковой пушки с дистанции 600 метров.</w:t>
      </w:r>
    </w:p>
    <w:p w14:paraId="29B2EE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Лобовая броня танка T-VI толщиною 100 мм пробивается бронебойным снарядом 85 мм зенитной пушки с дистанции 1000 метров.</w:t>
      </w:r>
    </w:p>
    <w:p w14:paraId="5081CD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Обстрел 82 мм бортовой брони танка T-VI из 76 мм танковой пушки Ф-34 с дистанции 200 метров показал, что бронебойные снаряды этой пушки являются слабыми и при встрече с броней танка разрушаются, не пробивая брони.</w:t>
      </w:r>
    </w:p>
    <w:p w14:paraId="1EC028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Подкалиберные 76 мм снаряды также не пробивают 100 мм лобовой брони танка T-VI с дистанции 500 м.</w:t>
      </w:r>
    </w:p>
    <w:p w14:paraId="4CCD75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Находящиеся на вооружении Красной Армии противотанковые ружья не пробивают брони танка T-VI.</w:t>
      </w:r>
    </w:p>
    <w:p w14:paraId="0133F0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Опытное противотанковое ружье системы Блюма пробивает 62 мм* броню танка T-VI с дистанции 100 м при начальной скорости пули 1500 м/ск.</w:t>
      </w:r>
    </w:p>
    <w:p w14:paraId="4096BD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Установленная на танке T-VI 88 мм танковая пушка пробивает бронебойным снарядом броню наших танков с дистанции:</w:t>
      </w:r>
    </w:p>
    <w:p w14:paraId="71E41C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Наиболее прочную часть корпуса танка Т-34—носовую балку (литая, толщина 140 мм), а также лобовую и башенную броню с 1500 метров.</w:t>
      </w:r>
    </w:p>
    <w:p w14:paraId="57338A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Наиболее прочную лобовую часть корпуса танка КВ-1 толщиной 105 мм (75 мм основная броня+30 мм экран) с 1500 метров (11135).</w:t>
      </w:r>
    </w:p>
    <w:p w14:paraId="6F4D5A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A71836" w14:textId="77777777" w:rsidR="00B610FB" w:rsidRPr="00D03F3E" w:rsidRDefault="00B610FB" w:rsidP="00D03F3E">
      <w:pPr>
        <w:pStyle w:val="a3"/>
        <w:rPr>
          <w:color w:val="000000" w:themeColor="text1"/>
          <w:lang w:val="ru-RU"/>
        </w:rPr>
      </w:pPr>
      <w:r w:rsidRPr="00D03F3E">
        <w:rPr>
          <w:color w:val="000000" w:themeColor="text1"/>
          <w:lang w:val="ru-RU"/>
        </w:rPr>
        <w:t>По состоянию на 24 апреля 1943 была принята всего 31 машина СУ-152. Несмотря на все задержки, апрельский план в 75 машин удалось выполнить, а вот в следующем месяце завод ждали большие неприятности. По состоянию на 25 мая 1943 года было принято всего 5 СУ-152, и ничего обнадеживающего заводчане сказать не могли. На сей раз главной причиной срыва стал завод №200, подавший на 25 мая всего 28 корпусов. Имелись серьезные проблемы с заделом по короб</w:t>
      </w:r>
      <w:r w:rsidRPr="00D03F3E">
        <w:rPr>
          <w:color w:val="000000" w:themeColor="text1"/>
          <w:lang w:val="ru-RU"/>
        </w:rPr>
        <w:softHyphen/>
        <w:t>кам передач и другим агрегатам. Все это привело к тому, что вместо 75 машин оказалось принято всего 25 СУ-152. Кроме того, на заводе скопилось некоторое количество самоходных установок, требовавших после учений устранений неисправностей. Не лучше оказалось и на</w:t>
      </w:r>
      <w:r w:rsidRPr="00D03F3E">
        <w:rPr>
          <w:color w:val="000000" w:themeColor="text1"/>
          <w:lang w:val="ru-RU"/>
        </w:rPr>
        <w:softHyphen/>
        <w:t>чало июня: согласно докладам военных представителей завода, по со</w:t>
      </w:r>
      <w:r w:rsidRPr="00D03F3E">
        <w:rPr>
          <w:color w:val="000000" w:themeColor="text1"/>
          <w:lang w:val="ru-RU"/>
        </w:rPr>
        <w:softHyphen/>
        <w:t>стоянию на 10-е число завод собрал 36 самоходок, но ни одной из них не было принято. Причиной явился массовый брак как по двигателям, так и по коробкам передач, агрегаты массово выходили из строя. Пере</w:t>
      </w:r>
      <w:r w:rsidRPr="00D03F3E">
        <w:rPr>
          <w:color w:val="000000" w:themeColor="text1"/>
          <w:lang w:val="ru-RU"/>
        </w:rPr>
        <w:softHyphen/>
        <w:t>ломить ситуацию удалось лишь к концу месяца, причем вместо 75 ма</w:t>
      </w:r>
      <w:r w:rsidRPr="00D03F3E">
        <w:rPr>
          <w:color w:val="000000" w:themeColor="text1"/>
          <w:lang w:val="ru-RU"/>
        </w:rPr>
        <w:softHyphen/>
        <w:t>шин оказалось принято 84. Кроме того, по плану завод отремонтировал 15 СУ-152, выпущенных ранее (17484).</w:t>
      </w:r>
    </w:p>
    <w:p w14:paraId="765893E0" w14:textId="77777777" w:rsidR="00B610FB" w:rsidRPr="00D03F3E" w:rsidRDefault="00B610FB" w:rsidP="00D03F3E">
      <w:pPr>
        <w:spacing w:after="0" w:line="240" w:lineRule="auto"/>
        <w:jc w:val="both"/>
        <w:rPr>
          <w:rFonts w:ascii="Times New Roman" w:hAnsi="Times New Roman"/>
          <w:color w:val="000000" w:themeColor="text1"/>
          <w:sz w:val="16"/>
          <w:szCs w:val="16"/>
        </w:rPr>
      </w:pPr>
    </w:p>
    <w:p w14:paraId="3F2DE46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апреля 1943 г. вышел ПРИКАЗ НАЧАЛЬНИКА ГБТУ КА О ПРОВЕРКЕ СОСТОЯНИЯ РАБОТЫ ОТДЕЛА ПО ИЗОБРЕТАТЕЛЬСТВУ</w:t>
      </w:r>
    </w:p>
    <w:p w14:paraId="5EA0DA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Для проверки состояния работы отдела по изобретательству назначаю комиссию в составе: Председатель: инженер-подполковник Олейников. Члены: инженер-подполковник Коромыслов, инженер-майор Хомяков.</w:t>
      </w:r>
    </w:p>
    <w:p w14:paraId="5BE678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Комиссии руководствоваться приказом НКО №107 от 5.04.1943 года и тщательно проверить:</w:t>
      </w:r>
    </w:p>
    <w:p w14:paraId="339F43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учет, обработку и хранение материалов предложений и заявок на изобретения;</w:t>
      </w:r>
    </w:p>
    <w:p w14:paraId="7FF61DA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сроки прохождения изобретательских предложений;</w:t>
      </w:r>
    </w:p>
    <w:p w14:paraId="1FDD26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состояние реализуемых предложений.</w:t>
      </w:r>
    </w:p>
    <w:p w14:paraId="022B2B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Результаты проверки с выводами и предложениями представить мне 28.04.1943 года.</w:t>
      </w:r>
    </w:p>
    <w:p w14:paraId="4D1EE96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ГБТУ Красной Армии генерал-лейтенант танковых войск Вершинин</w:t>
      </w:r>
    </w:p>
    <w:p w14:paraId="35ED45A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11350. Д. 2166. Л. 9. Копия (11403).</w:t>
      </w:r>
    </w:p>
    <w:p w14:paraId="6A94EBD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291D8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апреля 1943г. было подготовлено СООБЩЕНИЕ НАЧАЛЬНИКА ИНЖЕНЕРНОГО УПРАВЛЕНИЯ НКВТ НАЧАЛЬНИКУ ЦЕНТРАЛЬНОГО УПРАВЛЕНИЯ ВОЕННЫХ СООБЩЕНИЙ КА ХРУЛЕВУ ПО ПЛАНИРУЕМЫМ ПЕРЕВОЗКАМ ВООРУЖЕНИЯ И ТЕХНИКИ</w:t>
      </w:r>
    </w:p>
    <w:p w14:paraId="3A5DBB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месяце 1943 года из Бендер — Шаха в Баку и Красноводск должно быть перевезено следу</w:t>
      </w:r>
      <w:r w:rsidRPr="00D03F3E">
        <w:rPr>
          <w:rFonts w:ascii="Times New Roman" w:hAnsi="Times New Roman"/>
          <w:color w:val="000000" w:themeColor="text1"/>
          <w:sz w:val="16"/>
          <w:szCs w:val="16"/>
        </w:rPr>
        <w:softHyphen/>
        <w:t>ющее импортное вооружение:</w:t>
      </w:r>
    </w:p>
    <w:tbl>
      <w:tblPr>
        <w:tblW w:w="0" w:type="auto"/>
        <w:tblInd w:w="40" w:type="dxa"/>
        <w:tblLayout w:type="fixed"/>
        <w:tblCellMar>
          <w:left w:w="40" w:type="dxa"/>
          <w:right w:w="40" w:type="dxa"/>
        </w:tblCellMar>
        <w:tblLook w:val="0000" w:firstRow="0" w:lastRow="0" w:firstColumn="0" w:lastColumn="0" w:noHBand="0" w:noVBand="0"/>
      </w:tblPr>
      <w:tblGrid>
        <w:gridCol w:w="4109"/>
        <w:gridCol w:w="950"/>
        <w:gridCol w:w="1267"/>
      </w:tblGrid>
      <w:tr w:rsidR="00860B4B" w:rsidRPr="00D03F3E" w14:paraId="0DB4052D" w14:textId="77777777">
        <w:trPr>
          <w:trHeight w:val="307"/>
        </w:trPr>
        <w:tc>
          <w:tcPr>
            <w:tcW w:w="4109" w:type="dxa"/>
            <w:tcBorders>
              <w:top w:val="single" w:sz="6" w:space="0" w:color="auto"/>
              <w:left w:val="single" w:sz="6" w:space="0" w:color="auto"/>
              <w:bottom w:val="single" w:sz="6" w:space="0" w:color="auto"/>
              <w:right w:val="single" w:sz="6" w:space="0" w:color="auto"/>
            </w:tcBorders>
          </w:tcPr>
          <w:p w14:paraId="38F87F2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Танки</w:t>
            </w:r>
          </w:p>
          <w:p w14:paraId="3032E32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B41C6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 шт.</w:t>
            </w:r>
          </w:p>
          <w:p w14:paraId="157A72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15922A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720 тонн</w:t>
            </w:r>
          </w:p>
          <w:p w14:paraId="238704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33D5F72" w14:textId="77777777">
        <w:trPr>
          <w:trHeight w:val="307"/>
        </w:trPr>
        <w:tc>
          <w:tcPr>
            <w:tcW w:w="4109" w:type="dxa"/>
            <w:tcBorders>
              <w:top w:val="single" w:sz="6" w:space="0" w:color="auto"/>
              <w:left w:val="single" w:sz="6" w:space="0" w:color="auto"/>
              <w:bottom w:val="single" w:sz="6" w:space="0" w:color="auto"/>
              <w:right w:val="single" w:sz="6" w:space="0" w:color="auto"/>
            </w:tcBorders>
          </w:tcPr>
          <w:p w14:paraId="4E3752A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Тракторы</w:t>
            </w:r>
          </w:p>
          <w:p w14:paraId="3B69EF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A0412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 шт.</w:t>
            </w:r>
          </w:p>
          <w:p w14:paraId="39457C8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9C644D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608 тонн</w:t>
            </w:r>
          </w:p>
          <w:p w14:paraId="064AEB9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34AF908" w14:textId="77777777">
        <w:trPr>
          <w:trHeight w:val="317"/>
        </w:trPr>
        <w:tc>
          <w:tcPr>
            <w:tcW w:w="4109" w:type="dxa"/>
            <w:tcBorders>
              <w:top w:val="single" w:sz="6" w:space="0" w:color="auto"/>
              <w:left w:val="single" w:sz="6" w:space="0" w:color="auto"/>
              <w:bottom w:val="single" w:sz="6" w:space="0" w:color="auto"/>
              <w:right w:val="single" w:sz="6" w:space="0" w:color="auto"/>
            </w:tcBorders>
          </w:tcPr>
          <w:p w14:paraId="64834C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Прочее вооружение (в т.ч. пороха 1400 тонн)</w:t>
            </w:r>
          </w:p>
          <w:p w14:paraId="1C1A3A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541DD0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C8D0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505B7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2900 тонн</w:t>
            </w:r>
          </w:p>
          <w:p w14:paraId="0752EC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46337CC" w14:textId="77777777">
        <w:trPr>
          <w:trHeight w:val="403"/>
        </w:trPr>
        <w:tc>
          <w:tcPr>
            <w:tcW w:w="4109" w:type="dxa"/>
            <w:tcBorders>
              <w:top w:val="single" w:sz="6" w:space="0" w:color="auto"/>
              <w:left w:val="single" w:sz="6" w:space="0" w:color="auto"/>
              <w:bottom w:val="single" w:sz="6" w:space="0" w:color="auto"/>
              <w:right w:val="single" w:sz="6" w:space="0" w:color="auto"/>
            </w:tcBorders>
          </w:tcPr>
          <w:p w14:paraId="3E4066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w:t>
            </w:r>
          </w:p>
          <w:p w14:paraId="47B37C9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7" w:type="dxa"/>
            <w:gridSpan w:val="2"/>
            <w:tcBorders>
              <w:top w:val="single" w:sz="6" w:space="0" w:color="auto"/>
              <w:left w:val="single" w:sz="6" w:space="0" w:color="auto"/>
              <w:bottom w:val="single" w:sz="6" w:space="0" w:color="auto"/>
              <w:right w:val="single" w:sz="6" w:space="0" w:color="auto"/>
            </w:tcBorders>
          </w:tcPr>
          <w:p w14:paraId="4BC0863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4228 тонн</w:t>
            </w:r>
          </w:p>
          <w:p w14:paraId="33E933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D6040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Инженерное управление Наркомвнешторга СССР просит предусмотреть в плане перевозок по Каспию в мае 1943 г. вышеперечисленное вооружение и обеспечить своевременную подачу соот</w:t>
      </w:r>
      <w:r w:rsidRPr="00D03F3E">
        <w:rPr>
          <w:rFonts w:ascii="Times New Roman" w:hAnsi="Times New Roman"/>
          <w:color w:val="000000" w:themeColor="text1"/>
          <w:sz w:val="16"/>
          <w:szCs w:val="16"/>
        </w:rPr>
        <w:softHyphen/>
        <w:t>ветствующего тоннажа.</w:t>
      </w:r>
    </w:p>
    <w:p w14:paraId="3097AC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по данным на 15.04.1943 года на территории Ирана находится следующее импортное вооружение, недовывезенное от предыдущих месяцев:</w:t>
      </w:r>
    </w:p>
    <w:tbl>
      <w:tblPr>
        <w:tblW w:w="0" w:type="auto"/>
        <w:tblInd w:w="40" w:type="dxa"/>
        <w:tblLayout w:type="fixed"/>
        <w:tblCellMar>
          <w:left w:w="40" w:type="dxa"/>
          <w:right w:w="40" w:type="dxa"/>
        </w:tblCellMar>
        <w:tblLook w:val="0000" w:firstRow="0" w:lastRow="0" w:firstColumn="0" w:lastColumn="0" w:noHBand="0" w:noVBand="0"/>
      </w:tblPr>
      <w:tblGrid>
        <w:gridCol w:w="2093"/>
        <w:gridCol w:w="1046"/>
        <w:gridCol w:w="1277"/>
      </w:tblGrid>
      <w:tr w:rsidR="00860B4B" w:rsidRPr="00D03F3E" w14:paraId="4A73AD71" w14:textId="77777777">
        <w:trPr>
          <w:trHeight w:val="250"/>
        </w:trPr>
        <w:tc>
          <w:tcPr>
            <w:tcW w:w="2093" w:type="dxa"/>
            <w:tcBorders>
              <w:top w:val="single" w:sz="6" w:space="0" w:color="auto"/>
              <w:left w:val="single" w:sz="6" w:space="0" w:color="auto"/>
              <w:bottom w:val="single" w:sz="6" w:space="0" w:color="auto"/>
              <w:right w:val="single" w:sz="6" w:space="0" w:color="auto"/>
            </w:tcBorders>
          </w:tcPr>
          <w:p w14:paraId="45B996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Тракторов</w:t>
            </w:r>
          </w:p>
          <w:p w14:paraId="7BD95E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D048BC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273 шт.</w:t>
            </w:r>
          </w:p>
          <w:p w14:paraId="1273A5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99236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2730 тонн</w:t>
            </w:r>
          </w:p>
          <w:p w14:paraId="7940EA9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AAFB4DC" w14:textId="77777777">
        <w:trPr>
          <w:trHeight w:val="269"/>
        </w:trPr>
        <w:tc>
          <w:tcPr>
            <w:tcW w:w="2093" w:type="dxa"/>
            <w:tcBorders>
              <w:top w:val="single" w:sz="6" w:space="0" w:color="auto"/>
              <w:left w:val="single" w:sz="6" w:space="0" w:color="auto"/>
              <w:bottom w:val="single" w:sz="6" w:space="0" w:color="auto"/>
              <w:right w:val="single" w:sz="6" w:space="0" w:color="auto"/>
            </w:tcBorders>
          </w:tcPr>
          <w:p w14:paraId="52D1B0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Бронетранспортеров</w:t>
            </w:r>
          </w:p>
          <w:p w14:paraId="515EA0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65094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120шт.</w:t>
            </w:r>
          </w:p>
          <w:p w14:paraId="4C4F0B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F7C0DF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480 тонн</w:t>
            </w:r>
          </w:p>
          <w:p w14:paraId="252FED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02B0B33" w14:textId="77777777">
        <w:trPr>
          <w:trHeight w:val="269"/>
        </w:trPr>
        <w:tc>
          <w:tcPr>
            <w:tcW w:w="2093" w:type="dxa"/>
            <w:tcBorders>
              <w:top w:val="single" w:sz="6" w:space="0" w:color="auto"/>
              <w:left w:val="single" w:sz="6" w:space="0" w:color="auto"/>
              <w:bottom w:val="single" w:sz="6" w:space="0" w:color="auto"/>
              <w:right w:val="single" w:sz="6" w:space="0" w:color="auto"/>
            </w:tcBorders>
          </w:tcPr>
          <w:p w14:paraId="01BA288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Танков</w:t>
            </w:r>
          </w:p>
          <w:p w14:paraId="5DB0826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78783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 шт.</w:t>
            </w:r>
          </w:p>
          <w:p w14:paraId="04C6438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51937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1400 тонн</w:t>
            </w:r>
          </w:p>
          <w:p w14:paraId="7381A8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704A040" w14:textId="77777777">
        <w:trPr>
          <w:trHeight w:val="269"/>
        </w:trPr>
        <w:tc>
          <w:tcPr>
            <w:tcW w:w="2093" w:type="dxa"/>
            <w:tcBorders>
              <w:top w:val="single" w:sz="6" w:space="0" w:color="auto"/>
              <w:left w:val="single" w:sz="6" w:space="0" w:color="auto"/>
              <w:bottom w:val="single" w:sz="6" w:space="0" w:color="auto"/>
              <w:right w:val="single" w:sz="6" w:space="0" w:color="auto"/>
            </w:tcBorders>
          </w:tcPr>
          <w:p w14:paraId="1E597A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Бронемашин</w:t>
            </w:r>
          </w:p>
          <w:p w14:paraId="69B855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FC7D60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 шт.</w:t>
            </w:r>
          </w:p>
          <w:p w14:paraId="106B965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A72D3A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800 тонн</w:t>
            </w:r>
          </w:p>
          <w:p w14:paraId="722F98C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8582604" w14:textId="77777777">
        <w:trPr>
          <w:trHeight w:val="278"/>
        </w:trPr>
        <w:tc>
          <w:tcPr>
            <w:tcW w:w="2093" w:type="dxa"/>
            <w:tcBorders>
              <w:top w:val="single" w:sz="6" w:space="0" w:color="auto"/>
              <w:left w:val="single" w:sz="6" w:space="0" w:color="auto"/>
              <w:bottom w:val="single" w:sz="6" w:space="0" w:color="auto"/>
              <w:right w:val="single" w:sz="6" w:space="0" w:color="auto"/>
            </w:tcBorders>
          </w:tcPr>
          <w:p w14:paraId="7784734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Броневездеходов</w:t>
            </w:r>
          </w:p>
          <w:p w14:paraId="2F46E48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DB8D27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87 шт.</w:t>
            </w:r>
          </w:p>
          <w:p w14:paraId="466E58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2402E9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 тонн</w:t>
            </w:r>
          </w:p>
          <w:p w14:paraId="4349268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206C31E" w14:textId="77777777">
        <w:trPr>
          <w:trHeight w:val="288"/>
        </w:trPr>
        <w:tc>
          <w:tcPr>
            <w:tcW w:w="2093" w:type="dxa"/>
            <w:tcBorders>
              <w:top w:val="single" w:sz="6" w:space="0" w:color="auto"/>
              <w:left w:val="single" w:sz="6" w:space="0" w:color="auto"/>
              <w:bottom w:val="single" w:sz="6" w:space="0" w:color="auto"/>
              <w:right w:val="single" w:sz="6" w:space="0" w:color="auto"/>
            </w:tcBorders>
          </w:tcPr>
          <w:p w14:paraId="18B755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Прочее вооружение</w:t>
            </w:r>
          </w:p>
          <w:p w14:paraId="4C6728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C83EFB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8F41D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EDD24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3000 тонн</w:t>
            </w:r>
          </w:p>
          <w:p w14:paraId="04CA5AB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F48A2E1" w14:textId="77777777">
        <w:trPr>
          <w:trHeight w:val="317"/>
        </w:trPr>
        <w:tc>
          <w:tcPr>
            <w:tcW w:w="2093" w:type="dxa"/>
            <w:tcBorders>
              <w:top w:val="single" w:sz="6" w:space="0" w:color="auto"/>
              <w:left w:val="single" w:sz="6" w:space="0" w:color="auto"/>
              <w:bottom w:val="single" w:sz="6" w:space="0" w:color="auto"/>
              <w:right w:val="single" w:sz="6" w:space="0" w:color="auto"/>
            </w:tcBorders>
          </w:tcPr>
          <w:p w14:paraId="38784F4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w:t>
            </w:r>
          </w:p>
          <w:p w14:paraId="7A8660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03FB53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18B7C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A5041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9010 тонн</w:t>
            </w:r>
          </w:p>
          <w:p w14:paraId="43DDCE8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09D4E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Просим учесть вышеперечисленное вооружение для перевозки по Каспию и принять необхо</w:t>
      </w:r>
      <w:r w:rsidRPr="00D03F3E">
        <w:rPr>
          <w:rFonts w:ascii="Times New Roman" w:hAnsi="Times New Roman"/>
          <w:color w:val="000000" w:themeColor="text1"/>
          <w:sz w:val="16"/>
          <w:szCs w:val="16"/>
        </w:rPr>
        <w:softHyphen/>
        <w:t>димые меры к подаче тоннажа.</w:t>
      </w:r>
    </w:p>
    <w:p w14:paraId="7DC8516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И.о начальника инженерного управления НКВТ</w:t>
      </w:r>
    </w:p>
    <w:p w14:paraId="08E74F2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полковник Хряев</w:t>
      </w:r>
    </w:p>
    <w:p w14:paraId="2CD485A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1677. Л. 129. Подлинник (11403).</w:t>
      </w:r>
    </w:p>
    <w:p w14:paraId="7019170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94ADC7" w14:textId="77777777" w:rsidR="00DC7006"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BDB5D1F" w14:textId="77777777" w:rsidR="00DC7006" w:rsidRPr="00D03F3E" w:rsidRDefault="00DC7006"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904015"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апреля в 1943 году утреннее сообщение Совинформбюро:</w:t>
      </w:r>
    </w:p>
    <w:p w14:paraId="3DF74CF5"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24 апреля на фронтах существенных изменений не произошло.</w:t>
      </w:r>
    </w:p>
    <w:p w14:paraId="535018FC"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противник в результате безуспешных атак за последние дни понёс тяжёлые потери в живой силе и технике. Обескровленные части гитлеровцев активных действий не предпринимали. Огнём нашей артиллерии уничтожены 2 артиллерийские батареи и взорван склад противника с боеприпасами.</w:t>
      </w:r>
    </w:p>
    <w:p w14:paraId="42DB6E69"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Наша авиация бомбила аэродромы противника. В результате налёта наших самолётов на вражеских аэродромах возникло много пожаров и наблюдались сильные взрывы.</w:t>
      </w:r>
    </w:p>
    <w:p w14:paraId="77279D70"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артиллеристы Н-ской части уничтожили 8 дзотов и подавили огонь 2 миномётных батарей противника. Снайперы одного подразделения в течение дня истребили 26 немецких солдат и офицеров. Снайпер т. Гаврев уничтожил 3гитлеровцев, снайперы тт. Монахов и Беляев истребили по два немца каждый.</w:t>
      </w:r>
    </w:p>
    <w:p w14:paraId="45CFD616"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бойцы Н-ского подразделения ночью ворвались в траншеи противника и уничтожили до роты немецкой пехоты. Захвачено 3 пулемёта, 2 миномёта и несколько десятков винтовок и автоматов. Огнём нашей артиллерии разбито 3 немецких автомашины и 8 повозок с боеприпасами.</w:t>
      </w:r>
    </w:p>
    <w:p w14:paraId="5154E255"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Наша авиация повторила налёт на аэродром противника, подвергшийся вчера усиленной бомбёжке. Отмечено 25 очагов пожара и 3 сильных взрыва.</w:t>
      </w:r>
    </w:p>
    <w:p w14:paraId="407BB6A3"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30 немецких автоматчиков пытались проникнуть врасположение наших войск, но были окружены и уничтожены. На другом участкесоветские артиллеристы отбили атаку роты пехоты противника и истребили 40немецких солдат и офицеров.</w:t>
      </w:r>
    </w:p>
    <w:p w14:paraId="651A6A4C"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Партизанский отряд, действующий в одном из районов Пинской области, разгромил немецкий гарнизон. Убито 30 немецких солдат и офицеров. Партизаны Полесскойобласти 7 апреля подорвали немецкий воинский эшелон, следовавший под усиленной охраной к линии фронта. Разбиты 5 вагонов и паровоз. В завязавшейся перестрелке советские патриоты уничтожили 45 гитлеровцев.</w:t>
      </w:r>
    </w:p>
    <w:p w14:paraId="416CD2B5"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солдат 35 полка 25 немецкой мотодивизии Конрад Шмидт рассказал: «Вмарте наш маршевый батальон прибыл в Орёл и был передан 25 мотодивизии.Распределение людей по полкам происходило на площади перед казармами. В это время появились русские штурмовики. С небольшой высоты они обстреляли батальон.1 рота маршевого батальона потеряла 20 человек убитыми, 45 тяжело и 15 легкораненными. Другие подразделения понесли не меньшие потери. На передовых позицияхза одну неделю в условиях затишья русские снайперы вывели из строя 20 солдат нашей роты.</w:t>
      </w:r>
    </w:p>
    <w:p w14:paraId="06DC2F37"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Перед отъездом в Россию я побывал в Берлине. Мои знакомые берлинцы считают,что Германия скоро получит ещё один 1918 год, т. е. будет разбита» (15109).</w:t>
      </w:r>
    </w:p>
    <w:p w14:paraId="480C1311" w14:textId="77777777" w:rsidR="00DC7006" w:rsidRPr="00D03F3E" w:rsidRDefault="00DC7006" w:rsidP="00D03F3E">
      <w:pPr>
        <w:spacing w:after="0" w:line="240" w:lineRule="auto"/>
        <w:jc w:val="both"/>
        <w:rPr>
          <w:rFonts w:ascii="Times New Roman" w:hAnsi="Times New Roman"/>
          <w:color w:val="000000" w:themeColor="text1"/>
          <w:sz w:val="16"/>
          <w:szCs w:val="16"/>
        </w:rPr>
      </w:pPr>
    </w:p>
    <w:p w14:paraId="124454F6"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апреля в 1943 году вечернее сообщение Совинформбюро:</w:t>
      </w:r>
    </w:p>
    <w:p w14:paraId="627C166A"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24 апреля на фронтах существенных изменений не произошло.</w:t>
      </w:r>
    </w:p>
    <w:p w14:paraId="4D74D16D"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части вели артиллерийско-миномётную перестрелку и разведку противника. Немецко-фашистские войска после тяжёлых потерь, которые они понесли за последние дни, не предпринимали активных действий. Нашими лётчиками ввоздушных боях и на аэродромах противника уничтожено 18 немецких самолётов.</w:t>
      </w:r>
    </w:p>
    <w:p w14:paraId="1593122D"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огнём артиллерии сожжено 7 автомашин с боеприпасами, подавлен огонь миномётной батареи, рассеяно и частью уничтожено до роты немецкой пехоты. Разведчики Н-ского подразделения совершили вылазку в расположение противника и истребили 15 гитлеровцев.</w:t>
      </w:r>
    </w:p>
    <w:p w14:paraId="462CF814"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Советские лётчики совершили налёт на вражеский аэродром в городе Сталине.Отмечено 18 удачных попаданий в самолёты, уничтожен ангар, взорван склад с горючим, создано несколько очагов пожара. На крупной железнодорожной станции нашей авиацией разбиты 2 паровоза и эшелон с войсками противника.</w:t>
      </w:r>
    </w:p>
    <w:p w14:paraId="4635E5CA"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наши части вели огневой бой с противником. Советские артиллеристы уничтожили 5 вражеских дзотов и рассеяли до батальона гитлеровцев. Огнём зенитной артиллерии сбито четыре немецких самолёта.</w:t>
      </w:r>
    </w:p>
    <w:p w14:paraId="1CBD5E03"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наши войска укрепляли занимаемые рубежи и вели обстрел вражеских позиций. На одном участке огнём советской артиллерии разрушено 6 дзотов, уничтожены орудие и 2 миномётные батареи противника. На другом участкенаши артиллеристы обстреляли колонну немецкой пехоты и истребили до 200 гитлеровцев.</w:t>
      </w:r>
    </w:p>
    <w:p w14:paraId="27CC5496"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марта немцы снарядили карательную экспедицию против отряда смоленских партизан. Крупную вражескую группировку с танками, бронемашинами и артиллерией возглавляли генералы Полле и Гопфгартен. Партизаны трижды попадали в окружение и каждый раз, умело маневрируя, прорывали вражеское кольцо, наносили гитлеровцам большие потери и уходили от преследования. За две недели боёв советские патриоты уничтожили до 400 немецких солдат и офицеров. Захвачены большие трофеи.</w:t>
      </w:r>
    </w:p>
    <w:p w14:paraId="64D5BA82"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апреля 174-й немецкий карательный батальон атаковал отряд смоленскихпартизан. Народные мстители подпустили гитлеровцев на близкое расстояние и подвергли их уничтожающему пулемётному обстрелу. Каратели бежали, оставив на поле боя 42 трупа. Партизаны захватили 5 пулемётов, 8 миномётов, автоматы,патроны и другое военное имущество.</w:t>
      </w:r>
    </w:p>
    <w:p w14:paraId="7660FA05"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городах и сёлах Украины, освобождённых от немецко-фашистских захватчиков, обнаруживаются всё новые и новые следы чудовищных злодеяний гитлеровцев. Жители города Старобельска на днях вскрыли в районе гражданского аэродрома три ямы, вкоторых были закопаны трупы зверски замученных немцами советских граждан. Из ям извлечён 271 труп. У многих из них руки связаны колючей проволокой. Опознано 67 жертв фашистских убийц. В небольшом городке Краснодоне немцы истребили свыше 700 горняков, их жён и детей. От рук гитлеровских палачей погибли учительницы Добровина и Елесеенко, домашняя хозяйка Соколова, горняки Щербаков, Николаев, Орлов, школьники Лукашев, Жданов, Третьяков и многие другие. Все трупы носят следы страшных пыток.</w:t>
      </w:r>
    </w:p>
    <w:p w14:paraId="01648822" w14:textId="77777777" w:rsidR="00DC7006" w:rsidRPr="00D03F3E" w:rsidRDefault="00DC700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районах Ворошиловградской области немецкие мерзавцы сожгли и разрушили 825 школ и 216 детских домов.» (15109).</w:t>
      </w:r>
    </w:p>
    <w:p w14:paraId="08C72CA3" w14:textId="77777777" w:rsidR="00DC7006" w:rsidRPr="00D03F3E" w:rsidRDefault="00DC7006" w:rsidP="00D03F3E">
      <w:pPr>
        <w:spacing w:after="0" w:line="240" w:lineRule="auto"/>
        <w:jc w:val="both"/>
        <w:rPr>
          <w:rFonts w:ascii="Times New Roman" w:hAnsi="Times New Roman"/>
          <w:color w:val="000000" w:themeColor="text1"/>
          <w:sz w:val="16"/>
          <w:szCs w:val="16"/>
        </w:rPr>
      </w:pPr>
    </w:p>
    <w:p w14:paraId="5C082A1A"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404418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6607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апреля 1943 года</w:t>
      </w:r>
    </w:p>
    <w:p w14:paraId="583915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СЕКРЕТНОЕ ПОСЛАНИЕ ОТ ПРЕМЬЕР-МИНИСТРА г-на УИНСТОНА ЧЕРЧИЛЛЯ МАРШАЛУ И. В. СТАЛИНУ</w:t>
      </w:r>
    </w:p>
    <w:p w14:paraId="20FAD5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Посол Майский вчера вечером вручил мне Ваше послание. Мы, конечно, будем энергично противиться какому-либо “расследованию” Международным Красным Крестом или каким-либо другим органом на любой территории, находящейся под властью немцев. Подобное расследование было бы обманом, а его выводы были бы получены путем запугивания. Г-н Идеи сегодня встречается с Сикорским и будет с возможно большей настойчивостью просить его отказаться от всякой моральной поддержки какого-либо расследования под покровительством нацистов. Мы также никогда не одобрили бы каких-либо переговоров с немцами или какого-либо рода контакта с ними, и мы будем настаивать на этом перед нашими польскими союзниками.</w:t>
      </w:r>
    </w:p>
    <w:p w14:paraId="51D694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Я протелеграфирую Вам о том, как Сикорский реагировал на вышеизложенные соображения. Его положение весьма трудное. Будучи далеким от прогерманских настроений или от сговора с немцами, он находится под угрозой свержения его поляками, которые считают, что он недостаточно защищал свой народ от Советов. Если он уйдет, мы получим кого-либо похуже. Поэтому я надеюсь, что Ваше решение “прервать” отношения следует понимать скорее в смысле последнего предупреждения, нежели в смысле разрыва, а также что оно не будет предано гласности во всяком случае до тех пор, пока не будут испробованы все другие планы. Публичное же сообщение о разрыве принесло бы величайший возможный вред в Соединенных Штатах, где поляки многочисленны и влиятельны.</w:t>
      </w:r>
    </w:p>
    <w:p w14:paraId="30068B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Вчера я составил проект телеграммы на Ваше имя с просьбой рассмотреть вопрос о разрешении выехать в Иран дополнительному количеству поляков и их иждивенцев. Это ослабило бы растущее недовольство в польской армии, сформированной там, и дало бы мне возможность повлиять на Польское Правительство в том направлении, чтобы оно действовало в соответствии с нашими общими интересами и против общего врага. Я отложил посылку этой телеграммы вследствие получения Вашей телеграммы, в надежде, что положение может проясниться (7430).</w:t>
      </w:r>
    </w:p>
    <w:p w14:paraId="060F69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486554"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2C6408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ABDC69"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апреля в 1943 году состоялся первый полет второго прототипа самолета «NA-67» («XB-28A», серийный номер - 40-3058). Он был заказан 14 декабря 1940 года. Впечатленные летными характеристиками первого прототипа «XB-28» «USAAC» заказало переделать самолет в высотный разведчик. Для этих целей на нижней части фюзеляжа смонтировали четыре аэрофотоаппарата «K-17». На самолет так же установили двигатели «R-2800-27» и новые пулеметные турели фирмы «General Electric». 4 августа 1943 года самолет потерпел аварию и упал в океан. К тому же опыт шедшей войны показал, что потребности в высотных бомбардировщиках очень низкие - основные бомбовые удары наносились со средних и низких высот. К тому же концу войны основной упор ВВС США стали делать на тяжелые четырехдвигательные стратегические бомбардировщики: «Boeing» «XB-29», «Lockheed» «XB-30», «Douglas» «XB-31» и «Consolidated» «XB-32». В связи с этим были остановлено финансирование программы испытаний самолета и так же отменены работы по созданию серийной версии самолета «B-28» («North American» «NA-69») (15109).</w:t>
      </w:r>
    </w:p>
    <w:p w14:paraId="20336C68" w14:textId="77777777" w:rsidR="0061275F" w:rsidRPr="00D03F3E" w:rsidRDefault="0061275F" w:rsidP="00D03F3E">
      <w:pPr>
        <w:spacing w:after="0" w:line="240" w:lineRule="auto"/>
        <w:jc w:val="both"/>
        <w:rPr>
          <w:rFonts w:ascii="Times New Roman" w:hAnsi="Times New Roman"/>
          <w:color w:val="000000" w:themeColor="text1"/>
          <w:sz w:val="16"/>
          <w:szCs w:val="16"/>
        </w:rPr>
      </w:pPr>
    </w:p>
    <w:p w14:paraId="6FD297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апреля 1943 ВМФ США обстрелял японцев на Алеутских островах (2262).</w:t>
      </w:r>
    </w:p>
    <w:p w14:paraId="7D0987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5F1A93" w14:textId="77777777" w:rsidR="00431667" w:rsidRPr="00D03F3E" w:rsidRDefault="0043166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24 апреля 1943 - Первый выпуск Женской службы пилотов Военно-воздушных сил США - Women’s Airforce Service Pilots (WASP). Каждая из первых окончивших курсы 24 женщин-пилотов получили лицензию гражданского пилота и, по меньшей мере, 200 часов летного времени. К концу войны WASP насчитывала 1074 человек. Пилоты «Женской службы» не считались военнослужащими, не совершали боевых полетов. Они перегоняли самолеты через океаны, испытавали самолеты, летали на транспортных миссиях (22525).</w:t>
      </w:r>
    </w:p>
    <w:p w14:paraId="098B1DE5" w14:textId="77777777" w:rsidR="00431667" w:rsidRPr="00D03F3E" w:rsidRDefault="00431667" w:rsidP="00D03F3E">
      <w:pPr>
        <w:spacing w:after="0" w:line="240" w:lineRule="auto"/>
        <w:jc w:val="both"/>
        <w:rPr>
          <w:rFonts w:ascii="Times New Roman" w:hAnsi="Times New Roman"/>
          <w:color w:val="0070C0"/>
          <w:sz w:val="16"/>
          <w:szCs w:val="16"/>
        </w:rPr>
      </w:pPr>
    </w:p>
    <w:p w14:paraId="71956B33" w14:textId="77777777" w:rsidR="00B676DB" w:rsidRPr="00D03F3E" w:rsidRDefault="00B676DB"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C3E671C" w14:textId="77777777" w:rsidR="00B676DB" w:rsidRPr="00D03F3E" w:rsidRDefault="00B676DB"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066015" w14:textId="77777777" w:rsidR="00B676DB" w:rsidRPr="00D03F3E" w:rsidRDefault="00B676DB"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 25 ап</w:t>
      </w:r>
      <w:r w:rsidRPr="00D03F3E">
        <w:rPr>
          <w:rFonts w:ascii="Times New Roman" w:cs="Times New Roman"/>
          <w:color w:val="000000" w:themeColor="text1"/>
          <w:spacing w:val="0"/>
        </w:rPr>
        <w:softHyphen/>
        <w:t>реля 1943 г. изготовили пять Як-9ПД, оснащённым нагнетателем Э-100, разработанным в ЦИАМ под руко</w:t>
      </w:r>
      <w:r w:rsidRPr="00D03F3E">
        <w:rPr>
          <w:rFonts w:ascii="Times New Roman" w:cs="Times New Roman"/>
          <w:color w:val="000000" w:themeColor="text1"/>
          <w:spacing w:val="0"/>
        </w:rPr>
        <w:softHyphen/>
        <w:t>водством В.А. Доллежаля. Самолёт комп</w:t>
      </w:r>
      <w:r w:rsidRPr="00D03F3E">
        <w:rPr>
          <w:rFonts w:ascii="Times New Roman" w:cs="Times New Roman"/>
          <w:color w:val="000000" w:themeColor="text1"/>
          <w:spacing w:val="0"/>
        </w:rPr>
        <w:softHyphen/>
        <w:t>лектовался одной 20-мм пушкой, но без гермокабин. Заводские испытания проводил И.И. Шунейко, одновременно с ним маши</w:t>
      </w:r>
      <w:r w:rsidRPr="00D03F3E">
        <w:rPr>
          <w:rFonts w:ascii="Times New Roman" w:cs="Times New Roman"/>
          <w:color w:val="000000" w:themeColor="text1"/>
          <w:spacing w:val="0"/>
        </w:rPr>
        <w:softHyphen/>
        <w:t>ну осваивали строевые лётчики из 12-го гв. иап (19103).</w:t>
      </w:r>
    </w:p>
    <w:p w14:paraId="7CA0E755" w14:textId="77777777" w:rsidR="00B676DB" w:rsidRPr="00D03F3E" w:rsidRDefault="00B676DB" w:rsidP="00D03F3E">
      <w:pPr>
        <w:pStyle w:val="27"/>
        <w:shd w:val="clear" w:color="auto" w:fill="auto"/>
        <w:spacing w:after="0" w:line="240" w:lineRule="auto"/>
        <w:ind w:firstLine="0"/>
        <w:rPr>
          <w:rFonts w:ascii="Times New Roman" w:cs="Times New Roman"/>
          <w:color w:val="000000" w:themeColor="text1"/>
          <w:spacing w:val="0"/>
        </w:rPr>
      </w:pPr>
    </w:p>
    <w:p w14:paraId="43D7A2B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28908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1F1E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25 по 30 апреля 1943 на НИИБТП в Кубинке прошли полигонные испытания противотанковых и танковых пушек, находящихся в серийном производстве. Стреляли и по приказу г-л танковых войск В.М.Коробкова по Тигру. Результаты были малоутешительными. 76-мм бронебойно-трассирующий снаряд пушки Ф-34 не пробивал бортовую броню даже с дистанции 200 м. Наиболее эффективной оказалась 85-мм зенитная пушка 52К обр. 1939, которая с 1000 м пробивала 100 мм лобовую броню </w:t>
      </w:r>
      <w:r w:rsidRPr="00D03F3E">
        <w:rPr>
          <w:rFonts w:ascii="Times New Roman" w:hAnsi="Times New Roman"/>
          <w:color w:val="000000" w:themeColor="text1"/>
          <w:sz w:val="16"/>
          <w:szCs w:val="16"/>
        </w:rPr>
        <w:lastRenderedPageBreak/>
        <w:t>(4390).</w:t>
      </w:r>
    </w:p>
    <w:p w14:paraId="2AD2C7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34B87A"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489602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ECBA28"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апреля в 1943 году утреннее сообщение Совинформбюро:</w:t>
      </w:r>
    </w:p>
    <w:p w14:paraId="3DAE6FB1"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25 апреля на фронтах существенных изменений не произошло.</w:t>
      </w:r>
    </w:p>
    <w:p w14:paraId="67FFA700"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наш разведывательный отряд ночью проник в тыл противника. Советские бойцы атаковали вражескую колонну, истребили 40 гитлеровцев и взорвали15 повозок с различными грузами.</w:t>
      </w:r>
    </w:p>
    <w:p w14:paraId="55B692B3"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Советские бомбардировщики совершили налёт на крупный немецкий аэродром и железнодорожные узлы в тылу противника. На аэродроме сожжено несколько самолётов и взорван склад с бензином. На железнодорожных станциях возникло несколько очагов пожара.</w:t>
      </w:r>
    </w:p>
    <w:p w14:paraId="5826C5DA"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Калининском фронте рота немецких автоматчиков пыталась вести разведку боем. Подпустив немцев на близкое расстояние, наши бойцы миномётным и ружейно-пулемётным огнём уничтожили 70 вражеских солдат и офицеров. Остальные гитлеровцы поспешно отступили. Захвачены 2 станковых пулемёта и десятки автоматов.</w:t>
      </w:r>
    </w:p>
    <w:p w14:paraId="62811A74"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Звено наших штурмовиков разгромило колонну немецких автомашин и повозок, следовавших к фронту под охраной нескольких танков. Уничтожены немецкий танк и 20 автомашин и повозок.</w:t>
      </w:r>
    </w:p>
    <w:p w14:paraId="0DE0C151"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на одном участке, гитлеровцы атаковали позиции Н-ской части. Наши бойцы отбили атаку противника и уничтожили более 100 гитлеровцев. На другом участке группа разведчиков под командованием гвардии лейтенанта Ишкина подкралась к вражеским траншеям. Когда показались немцы, спешившие на посты, разведчики забросали их гранатами. Уничтожено 10 гитлеровцев. Захватив пленных и пулемёт, разведчики благополучно вернулись в свою часть.</w:t>
      </w:r>
    </w:p>
    <w:p w14:paraId="0264E67E"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Лётчики Краснознамённого Балтийского флота в результате штурмовых действий потопили торпедный катер противника.</w:t>
      </w:r>
    </w:p>
    <w:p w14:paraId="73EB2DBC"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оккупированных немцами районов Калининской области, совершил налёт на немецкий гарнизон в населённом пункте. Партизаны уничтожили до 60 гитлеровцев. 10 апреля партизанская разведка этого отряда захватила в плен четырёх немецких солдат и унтер-офицера, переодетых в гражданскую одежду. Подрывники другого отряда калининских партизан пустили под откос немецкий бронепоезд и воинский эшелон. Разбито 2 паровоза, 3 бронированных платформы, 12 вагонов с солдатами и несколько платформ с орудиями и боеприпасами. Под обломками вагонов погибло 80 немецко-фашистских оккупантов.</w:t>
      </w:r>
    </w:p>
    <w:p w14:paraId="20468DD2"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Добровольно сдавшийся в плен обер-ефрейтор 38 немецкого полка Франц Е. рассказал: «Меня вместе с группой солдат послали охранять штаб батальона. Когда мы подошли к командному пункту, он уже был окружён русскими. Я и солдат Ф. укрылись в воронке от снарядов, привязали к винтовке белый платок и сдались вплен. Год тому назад я бы ни при каких обстоятельствах не решился на такой шаг. Но теперь сдача в плен представляется мне единственно разумным выходом из войны. Наш полк понёс тяжёлые потери. Во всём батальоне уже не осталось ни одного солдата из тех, кто в июне 1941 года перешёл русскую границу. Крупные поражения немецких войск в зимних боях, уничтожение 6 немецкой армии под Сталинградом, потеря больших территорий заставили меня задуматься. Я понял, что пора побед для Германии безвозвратно миновала. Всего каких-нибудь два года назад мы бряцали оружием у ворот Англии и собирались высадиться на острова. Теперь Германия сооружает укрепления и со страхом ждёт вторжения англо-американских войск в Европу. В то же время немецкая пресса день и ночь твердит об опасности с Востока: Германия еще может воевать некоторое время, но победить не сможет никогда».</w:t>
      </w:r>
    </w:p>
    <w:p w14:paraId="4DBB79E5"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окрестностях Кракова скрывается большое количество немецких солдат, дезертировавших по дороге на советско-германский фронт. Усиленные наряды жандармерии и отряды эсэсовцев ежедневно устраивают массовые облавы в городе и в окрестных селениях. Задержанные дезертиры содержатся в специальном солдатском концлагере.» (15110).</w:t>
      </w:r>
    </w:p>
    <w:p w14:paraId="2C402068" w14:textId="77777777" w:rsidR="0061275F" w:rsidRPr="00D03F3E" w:rsidRDefault="0061275F" w:rsidP="00D03F3E">
      <w:pPr>
        <w:spacing w:after="0" w:line="240" w:lineRule="auto"/>
        <w:jc w:val="both"/>
        <w:rPr>
          <w:rFonts w:ascii="Times New Roman" w:hAnsi="Times New Roman"/>
          <w:color w:val="000000" w:themeColor="text1"/>
          <w:sz w:val="16"/>
          <w:szCs w:val="16"/>
        </w:rPr>
      </w:pPr>
    </w:p>
    <w:p w14:paraId="332803EF"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апреля в 1943 году вечернее сообщение Совинформбюро:</w:t>
      </w:r>
    </w:p>
    <w:p w14:paraId="212BAC9C"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25 апреля на фронтах существенных изменений не произошло.</w:t>
      </w:r>
    </w:p>
    <w:p w14:paraId="2389ACC6"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кораблями в Чёрном море потоплена подводная лодка противника.</w:t>
      </w:r>
    </w:p>
    <w:p w14:paraId="73B5E212"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18 по 24 апреля включительно, в воздушных боях и на аэродромах противника уничтожен 381 немецкий самолёт. Наши потери за это же время — 134 самолёта.</w:t>
      </w:r>
    </w:p>
    <w:p w14:paraId="23AECAF2"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апреля частями нашей авиации на различных участках фронта уничтожено или повреждено не менее 30 немецких автомашин с войсками и грузами, взорван склад боеприпасов, разбит железнодорожный состав, потоплены два торпедных катера и до 40 шлюпок противника.</w:t>
      </w:r>
    </w:p>
    <w:p w14:paraId="03AC69E1"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войска вели артиллерийскую и ружейно-пулемётную перестрелку спротивником. Бойцы Н-ской части на одном участке атаковали гитлеровцев и после упорного боя несколько улучшили свои позиция. Наши воздушные силы бомбили аэродромы противника. Экипажи самолётов наблюдали прямые попадания в немецкие самолёты, пожары и взрывы на аэродромах. В воздушных боях сбито 18 немецких самолётов.</w:t>
      </w:r>
    </w:p>
    <w:p w14:paraId="0866868D"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вели оборонительные работы на занимаемых ими позициях. Отряд разведчиков Н-ской части проник в расположение противника и взорвал 3 дзота и 2 блиндажа. Разведчики уничтожили 40 гитлеровцев и, захватив пленных, 3 пулемёта и миномёт, вернулись в свою часть.</w:t>
      </w:r>
    </w:p>
    <w:p w14:paraId="60449055"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части вели огневой бой. Советские артиллеристыи миномётчики разрушили 11 вражеских дзотов и блиндажей, подавили огонь 2 артиллерийских и 3 миномётных батарей. На одном участке батальон гитлеровцев атаковал и несколько потеснил боевое охранение Н-ского подразделения. Контрударом наши бойцы отбросили противника и восстановили положение. На поле боя осталось более 100 трупов немецких солдат и офицеров.</w:t>
      </w:r>
    </w:p>
    <w:p w14:paraId="4162072A"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Несколько партизанских отрядов, действующих в Витебской области, с 12 по 15 апреля уничтожили три немецких гарнизона и захватили большие трофеи. За это же время партизаны пустили под откос 4 воинских эшелона противника и взорвали 5 железнодорожных мостов. Другой отряд витебских партизан в многодневных боях с немецкими карательными экспедициями истребил две роты гитлеровцев. Захвачены трофеи: 2 орудия, миномёт, 12 пулемётов, 86 винтовок и 18 тысяч патронов. Советские патриоты на одном из вражеских аэродромов взорвали бензохранилище и подожгли 5 немецких самолётов.</w:t>
      </w:r>
    </w:p>
    <w:p w14:paraId="68B99A84"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Гитлеровский брехун Геббельс выступил в газете «Дас рейх» со статьёй под заглавием: «Области, затронутые воздушной войной». В этой статье он решил похвастать якобы хорошим моральным состоянием немцев, проживающих в городах, подвергающихся систематическим бомбардировкам. Как и всегда, Геббельс соврал. Письма из Германии целиком опровергают это бахвальство Геббельса. Обер-ефрейтору Максу Пильграму пишут его родители: «Мы снова очень страдаем из-за налётов. Посмотрел бы ты, что томми наделали в нашем городе. Не спрашивай, что мы переживали. Мы сидим в нашем погребе, словно в окружении». Гансу Гайштееру пишет сестра из Берлина: «1 марта у нас был налёт. Ты не можешь себе представить, что здесь происходило. Оставят ли они когда-нибудь нас в покое? Если ехать трамваем в Вильмерсдорф, то можно подумать, что едешь по Сталинграду — такие жуткие разрушения». Солдату Гансу Кольсу пишет Генри Шют из Гамбурга: «Тотчас вслед за объявлением тревоги как будто ад разверзся. Кругом взрывы, как будто конец света наступает. Небо кругом багровое, это пылают пожары. Неужели это конец?.. Наши силы скоро иссякнут».</w:t>
      </w:r>
    </w:p>
    <w:p w14:paraId="3369A600" w14:textId="77777777" w:rsidR="0061275F" w:rsidRPr="00D03F3E" w:rsidRDefault="0061275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Подобных писем, взятых на фронте у убитых немецких солдат, можно было бы приводить сотни и тысячи. Как же глупо врёт Геббельс, стараясь скрыть правду. Нo правды не скроешь.» (15110).</w:t>
      </w:r>
    </w:p>
    <w:p w14:paraId="771224FD" w14:textId="77777777" w:rsidR="0061275F" w:rsidRPr="00D03F3E" w:rsidRDefault="0061275F" w:rsidP="00D03F3E">
      <w:pPr>
        <w:spacing w:after="0" w:line="240" w:lineRule="auto"/>
        <w:jc w:val="both"/>
        <w:rPr>
          <w:rFonts w:ascii="Times New Roman" w:hAnsi="Times New Roman"/>
          <w:color w:val="000000" w:themeColor="text1"/>
          <w:sz w:val="16"/>
          <w:szCs w:val="16"/>
        </w:rPr>
      </w:pPr>
    </w:p>
    <w:p w14:paraId="0E21F9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апреля 1943 г. вышел ПРИКАЗ НКО № 0371 О МУЖЕСТВЕ И ОТВАГЕ, ПРОЯВЛЕННЫХ ЭКИПАЖЕМ САМОЛЕТА Ил-2 МЛАДШИМ ЛЕЙТЕНАНТОМ РЫХЛИНЫМ Н. В. И СЕРЖАНТОМ ЕФРЕМЕНКО И. С. В БОЮ С ИСТРЕБИТЕЛЯМИ ПРОТИВНИКА</w:t>
      </w:r>
    </w:p>
    <w:p w14:paraId="4874D7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апреля с. г. пилот 805-го штурмового полка младший лейтенанат Рыхлин Николай Владиславович и стрелок сержант Бфременко Иван Сергеевич на двухместном самолете Ил-2 после выполнения боевого задания в районе цели были встречены и неоднократно атакованы четырьмя вражескими истребителями.</w:t>
      </w:r>
    </w:p>
    <w:p w14:paraId="458913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Младший лейтенант Рыхлин Н. В., как верный сын Родины, хорошо знающий возможности самолета Ил-2, несмотря на то, что остался один на поле боя, мужественно и отважно вступает в неравный бой с численно превосходящим противником.</w:t>
      </w:r>
    </w:p>
    <w:p w14:paraId="36AE5E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Правильно используя огонь своего самолета, искусно маневрируя и давая возможность стрелку вести прицельный огонь по атакующим самолетам противника, горя желанием победить врага, младший лейтенант Рыхлин Н. В. и сержант Ефременко И. С. сбивают двух истребителей противника, которые падают на нашей территории, а два других выходят из боя и удирают на свою территорию.</w:t>
      </w:r>
    </w:p>
    <w:p w14:paraId="5A60CC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Несмотря на полученные в бою ранения экипажа, младший лейтенант Рыхлин Н. В. поврежденный самолет посадил на свой аэродром.</w:t>
      </w:r>
    </w:p>
    <w:p w14:paraId="4E9616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Младший лейтенанат Рыхлин Н. В. победил в этом неравном бою только потому, что он отлично владел техникой пилотирования своего самолета, не растерялся при атаке его истребителями противнка и не стал удирать по прямой на максимальной скорости, а умелым маневром и прицельным огнем успешно отбивал атаки вражеских истребителей и в удобный момент сам атаковывал их.</w:t>
      </w:r>
    </w:p>
    <w:p w14:paraId="6EE51F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Приказываю:</w:t>
      </w:r>
    </w:p>
    <w:p w14:paraId="67081E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проявленное мужество и отвагу в неравном бою с численно превосходящими вражескими истребителями младшему лейтенанту Рыхлину Николаю Владиславовичу присвоить военное звание “старший лейтенант” и назначить командиром звена.</w:t>
      </w:r>
    </w:p>
    <w:p w14:paraId="3D8016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Сержанту Ефременко Ивану Сергеевичу присвоить военное звание “младший лейтенант”.</w:t>
      </w:r>
    </w:p>
    <w:p w14:paraId="75F260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Возбуждаю ходатайство перед Правительством о присвоении звания Героя Советского Союза т.т. Рыхлину и Бфременко.</w:t>
      </w:r>
    </w:p>
    <w:p w14:paraId="6E72F2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 объявить всему летно-техническому составу Военно-воздушных сил Красной Армии.</w:t>
      </w:r>
    </w:p>
    <w:p w14:paraId="4AC4B7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lastRenderedPageBreak/>
        <w:t xml:space="preserve">Заместитель Народного комиссара обороны маршал авиации НОВИКОВ </w:t>
      </w:r>
      <w:r w:rsidRPr="00D03F3E">
        <w:rPr>
          <w:rFonts w:ascii="Times New Roman" w:hAnsi="Times New Roman"/>
          <w:color w:val="000000" w:themeColor="text1"/>
          <w:sz w:val="16"/>
          <w:szCs w:val="16"/>
        </w:rPr>
        <w:t>(9844).</w:t>
      </w:r>
    </w:p>
    <w:p w14:paraId="77B134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2FDE8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апреля 1943 советскими самолетами потоплены три транспортных корабля немцев в Баренцевом море (4962).</w:t>
      </w:r>
    </w:p>
    <w:p w14:paraId="1B791E1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8416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апреля 1943 года пять торпедоносцев и семь истребителей, возглавляемых капитаном В.Н. Киселевым, атаковали немецкий конвой, проплывавший в районе норвежских фьордов. Командирский Хэмпден попал под огонь немецкой зенитной артиллерии. Несмотря на то, что самолет был весь охвачен огнем, Киселев нашел в себе силы зайти на цель и выпустить торпеду. За этот подвиг Киселев и его штурман, старший лейтенант М.Ф. Покало получили Золотые Звезды, а стрелков наградили орденами Отечественной войны, посмертно (2691).</w:t>
      </w:r>
    </w:p>
    <w:p w14:paraId="3661C9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337804" w14:textId="77777777" w:rsidR="00431667" w:rsidRPr="00D03F3E" w:rsidRDefault="0043166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25 апреля 1943 – 3-я эскадрилья 24-го МТАП Северного флота атаковала немецкий конвой в Конг-фьорде. Самолет командира эскадрильи капитана В.Н.Киселева был подожжен при пуске торпеды по крупному судну "Лииси". Экипаж "Хэмпдена" совершил таран, потопив вражеский транспорт (22524).</w:t>
      </w:r>
    </w:p>
    <w:p w14:paraId="23901B54" w14:textId="77777777" w:rsidR="00431667" w:rsidRPr="00D03F3E" w:rsidRDefault="00431667" w:rsidP="00D03F3E">
      <w:pPr>
        <w:spacing w:after="0" w:line="240" w:lineRule="auto"/>
        <w:jc w:val="both"/>
        <w:rPr>
          <w:rFonts w:ascii="Times New Roman" w:hAnsi="Times New Roman"/>
          <w:color w:val="0070C0"/>
          <w:sz w:val="16"/>
          <w:szCs w:val="16"/>
        </w:rPr>
      </w:pPr>
    </w:p>
    <w:p w14:paraId="607E3E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апреля 1943 г. пятерка торпедоносцев Ил-4 под прикрытием трех пар Пе-3 атаковала конвой в Конгс-фиорде. Над вражескими кораблями барражировали четыре тяжелых истребителя Bf 110 и один поплавковый Не 115. Пе-3 представилась возможность помериться силами с немецким однотипным самолетом, с которым его нередко путали из-за похожего силуэта и двухкиле- вого оперения. По воспоминаниям наших летчиков, боя не получилось. "Воздушный зонтик" над конвоем рассыпался после первой атаки "петляковых". "Мессершмитты" ушли в облака, а менее маневренный Не 115 рухнул в воду фиорда, объятый огнем (найти подтверждение их докладов в германских источниках не удалось). Через минуту торпедоносцы вышли в атаку. Два транспорта, тральщик и сторожевой корабль противника пошли ко дну (12042).</w:t>
      </w:r>
    </w:p>
    <w:p w14:paraId="662FAB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DCF8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апреля 1943 вышло Постановление ГКО № 3251 О доукомплектовании гвардейских кавалерийских корпусов и усилении их боевой мощи.РГАНИР, Фонд ГКО, д. 110, лл. 22-23 (11012).</w:t>
      </w:r>
    </w:p>
    <w:p w14:paraId="3130B4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9596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апреля 1943 года в атаке на немецкий конвой геройски погиб экипаж торпедоносца “Хэмпден” под командованием капитана В.Н.Киселева. В ряде изданий указывается, что летчики совершили “огненный таран”, потопив немецкий транспорт “Ле-езее”. По другим, более достоверным данным транспорт был потоплен торпедой (8942).</w:t>
      </w:r>
    </w:p>
    <w:p w14:paraId="69AD78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034A7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7C4CCB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2E0C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апреля 1943 года</w:t>
      </w:r>
    </w:p>
    <w:p w14:paraId="669234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СЕКРЕТНОЕ ПОСЛАНИЕ ОТ ПРЕМЬЕР-МИНИСТРА г-на УИНСТОНА ЧЕРЧИЛЛЯ МАРШАЛУ И. В. СТАЛИНУ</w:t>
      </w:r>
    </w:p>
    <w:p w14:paraId="11F51F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Г-н Идеи встретился с генералом Сикорским вчера вечером. Сикорский заявил, что, совершенно не приурочивая своего обращения к Красному Кресту к обращению немцев, его Правительство взяло на себя инициативу, не зная того, какой линии будут придерживаться немцы. В действительности немцы начали действовать после того, как услышали польское заявление по радио. Сикорский также сообщил г-ну Идену, что его Правительство одновременно обратилось к г-ну Богомолову по этому вопросу. Сикорский подчеркнул, что до этого он несколько раз ставил данный вопрос о пропавших офицерах перед Советским Правительством и один раз лично перед Вами. По его указаниям польский министр информации энергично выступал по радио против германской пропаганды, и это вызвало раздраженный ответ немцев. В результате энергичного представления г-на Идена Сикорский обязался не настаивать на просьбе о расследовании Красным Крестом, и он соответственно информирует органы Красного Креста в Берне. Он также удержит польскую прессу от полемики. В связи с этим я изучаю возможность заставить замолчать те польские газеты в Англии, которые нападали на Советское Правительство, а также одновременно нападали на Сикорского за попытку сотрудничать с Советским Правительством.</w:t>
      </w:r>
    </w:p>
    <w:p w14:paraId="03C6DE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Имея в виду взятое Сикорским обязательство, я хотел бы сейчас просить Вас оставить мысль о каком-либо перерыве отношений.</w:t>
      </w:r>
    </w:p>
    <w:p w14:paraId="7F63DB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 дополнительно обдумал этот вопрос, и я более чем когда-либо убежден в том, что в случае если произойдет разрыв между Советским и Польским Правительствами, то это может помочь только нашим врагам. Германская пропаганда создала эту историю именно для того, чтобы вызвать трещину в рядах Объединенных Наций и придать некоторую видимость реальности ее новым попыткам убедить мир в том, что интересы Европы и малых наций защищаются Германией от великих внеевропейских держав, а именно от Союза Советских Социалистических Республик, Соединенных Штатов и Британской Империи.</w:t>
      </w:r>
    </w:p>
    <w:p w14:paraId="34E8CB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 знаю генерала Сикорского хорошо, и я убежден в том, что не могло существовать ни контакта, ни договоренности между ним или его Правительством и нашим общим врагом, против которого он ведет поляков в жестоком и непреклонном сопротивлении. Его обращение к Международному Красному Кресту было явно ошибкой, хотя я убежден в том, что оно не было сделано в сговоре с немцами.</w:t>
      </w:r>
    </w:p>
    <w:p w14:paraId="61DEDB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Теперь, когда мы, я надеюсь, выяснили вопрос, поднятый в Вашей телеграмме мне, я хочу вернуться к предложениям, содержащимся в проекте моей телеграммы, о котором я упоминал в моем послании от 24 апреля. Поэтому в скором времени я направлю Вам это ранее написанное послание в его первоначальной редакции. Если бы мы оба смогли сделать так, чтобы решить вопрос о выезде этих поляков из Советского Союза, то Сикорскому было бы легче полностью оставить позицию, которую его заставило принять мнение его общественности. Я надеюсь, что Вы поможете мне осуществить это (7430).</w:t>
      </w:r>
    </w:p>
    <w:p w14:paraId="3DA406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AE0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апреля 1943 Советское правительство разорвало отношения с польским эмигрантским правительством (2443,425) из-за обвинений в связи с Катынью (3186).</w:t>
      </w:r>
    </w:p>
    <w:p w14:paraId="489514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35BE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апреля 1943 Польское правительство в изгнании (в Лондоне) сделало заявление по поводу исчезновения польских офицеров на советской терриории в 1939 году. Советское правительство восприняло заявление как клеветническую кампанию против СССР и выдвинуло ноту о разрыве отношений с польским эмигрантским правительством (7451).</w:t>
      </w:r>
    </w:p>
    <w:p w14:paraId="1AD72E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2A06D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апреля 1943 Ночью с 25 на 26 апреля В.Молотов вручает послу Тадеушу Ромеру ноту о разрыве дипломатических отношений с польским правительством в изгнании (9712).</w:t>
      </w:r>
    </w:p>
    <w:p w14:paraId="0356618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23E8E4BE"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апреля в 1943 году нота Советского правительства о разрыве отношений с польским эмигрантским правительством в связи с предпринятой им клеветнической кампанией против Советского Союза в связи с обнаружение захоронений расстрелянных польских офицеров в районе Катыни и территориальными претензиями польского эмигрантского правительства к СССР (15110).</w:t>
      </w:r>
    </w:p>
    <w:p w14:paraId="389C1F4C"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58696B05"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5F3B72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A20171"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апреля в 1943 году 3-я эскадрилья атаковала немецкий конвой в Конг-фьорде. Самолет командира эскадрильи капитана В.Н.Киселева был подожжен при пуске торпеды по крупному судну "Лииси". Экипаж "Хэмпдена" совершил таран, потопив вражеский транспорт (15110).</w:t>
      </w:r>
    </w:p>
    <w:p w14:paraId="101DFBDC"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6953D60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апреля 1943 командующий 5-й армии Китая Сунь Тень-инь перебежал к японцам (4962).</w:t>
      </w:r>
    </w:p>
    <w:p w14:paraId="5047943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0E574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723803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F7DA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апреля 1943 Зам. командующего АДД Марков писал Дементьеву письмо N 701589с:</w:t>
      </w:r>
    </w:p>
    <w:p w14:paraId="6488E4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настоящее время на самолетах Ил-4, Ли-2 и Пе-8. находящихся в частях АДД, силами самих частей производится монтаж УФО приборов и органов управления.</w:t>
      </w:r>
    </w:p>
    <w:p w14:paraId="72C393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Данное оборудование для АДД крайне необходимо, т.к. оно обеспечивает светомаскировку самолетов в полетах ночью.</w:t>
      </w:r>
    </w:p>
    <w:p w14:paraId="53EFCE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Заводы, выпускающие самолеты Ил-4, Ли-2 и Пе-8 до сих пор не устанавливают УФО.</w:t>
      </w:r>
    </w:p>
    <w:p w14:paraId="31C36E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Вашего распоряжения о сдаче в части самолетов, оборудованных УФО, начиная с 15 мая 1943 (1777,249).</w:t>
      </w:r>
    </w:p>
    <w:p w14:paraId="3175EC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F133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апреля 1943 вышел новый приказ Командующего ВВС N 089 о войсковых испытания ЛаГГ-3 с пушкой ОПБ-16 37 мм, а первый был 22 декабря 1942 (757,4).</w:t>
      </w:r>
    </w:p>
    <w:p w14:paraId="2742BA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E84862" w14:textId="77777777" w:rsidR="002671E4" w:rsidRPr="00D03F3E" w:rsidRDefault="002671E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26 апреля 1943 г. в письме главно</w:t>
      </w:r>
      <w:r w:rsidRPr="00D03F3E">
        <w:rPr>
          <w:color w:val="000000" w:themeColor="text1"/>
          <w:sz w:val="16"/>
          <w:szCs w:val="16"/>
        </w:rPr>
        <w:softHyphen/>
        <w:t>му инженеру ВВС КА генерал-лейтенанту А. К. Ре</w:t>
      </w:r>
      <w:r w:rsidRPr="00D03F3E">
        <w:rPr>
          <w:color w:val="000000" w:themeColor="text1"/>
          <w:sz w:val="16"/>
          <w:szCs w:val="16"/>
        </w:rPr>
        <w:softHyphen/>
        <w:t>пину Начальник ОКБ-16 инженер-полковник К. К. Глухарев и «кон</w:t>
      </w:r>
      <w:r w:rsidRPr="00D03F3E">
        <w:rPr>
          <w:color w:val="000000" w:themeColor="text1"/>
          <w:sz w:val="16"/>
          <w:szCs w:val="16"/>
        </w:rPr>
        <w:softHyphen/>
        <w:t xml:space="preserve">структор 37-мм пушки» А. Э. Нудельман отмечали, что «в феврале 1943 г. в 21-м авиаполку во время эксплуатации самолетов ЛаГГ-3 при обучении летного состава на нескольких </w:t>
      </w:r>
      <w:r w:rsidRPr="00D03F3E">
        <w:rPr>
          <w:color w:val="000000" w:themeColor="text1"/>
          <w:sz w:val="16"/>
          <w:szCs w:val="16"/>
        </w:rPr>
        <w:lastRenderedPageBreak/>
        <w:t>моторах была обнаружена течь масла. Как выясни</w:t>
      </w:r>
      <w:r w:rsidRPr="00D03F3E">
        <w:rPr>
          <w:color w:val="000000" w:themeColor="text1"/>
          <w:sz w:val="16"/>
          <w:szCs w:val="16"/>
        </w:rPr>
        <w:softHyphen/>
        <w:t>лось в дальнейшем (Акт 21-го иап от 24.3.43 № 019), появление течи масла объясняется недоброкаче</w:t>
      </w:r>
      <w:r w:rsidRPr="00D03F3E">
        <w:rPr>
          <w:color w:val="000000" w:themeColor="text1"/>
          <w:sz w:val="16"/>
          <w:szCs w:val="16"/>
        </w:rPr>
        <w:softHyphen/>
        <w:t>ственностью сборки моторов заводом № 466.</w:t>
      </w:r>
    </w:p>
    <w:p w14:paraId="7B2DB243" w14:textId="77777777" w:rsidR="002671E4" w:rsidRPr="00D03F3E" w:rsidRDefault="002671E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Были попытки объяснить появление течи мас</w:t>
      </w:r>
      <w:r w:rsidRPr="00D03F3E">
        <w:rPr>
          <w:color w:val="000000" w:themeColor="text1"/>
          <w:sz w:val="16"/>
          <w:szCs w:val="16"/>
        </w:rPr>
        <w:softHyphen/>
        <w:t>ла влиянием стрельбы пушки. Причем это мнение было подхвачено т. Шпитальным и всячески им рас</w:t>
      </w:r>
      <w:r w:rsidRPr="00D03F3E">
        <w:rPr>
          <w:color w:val="000000" w:themeColor="text1"/>
          <w:sz w:val="16"/>
          <w:szCs w:val="16"/>
        </w:rPr>
        <w:softHyphen/>
        <w:t>пространялось в целях дискредитации 37-мм пуш</w:t>
      </w:r>
      <w:r w:rsidRPr="00D03F3E">
        <w:rPr>
          <w:color w:val="000000" w:themeColor="text1"/>
          <w:sz w:val="16"/>
          <w:szCs w:val="16"/>
        </w:rPr>
        <w:softHyphen/>
        <w:t>ки ОКБ-16.</w:t>
      </w:r>
    </w:p>
    <w:p w14:paraId="231CAC4D" w14:textId="77777777" w:rsidR="002671E4" w:rsidRPr="00D03F3E" w:rsidRDefault="002671E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Расчетное усилие отдачи пушки ОКБ-16 — 2300 кг (расчетное усилие отдачи пушки Шпиталь</w:t>
      </w:r>
      <w:r w:rsidRPr="00D03F3E">
        <w:rPr>
          <w:color w:val="000000" w:themeColor="text1"/>
          <w:sz w:val="16"/>
          <w:szCs w:val="16"/>
        </w:rPr>
        <w:softHyphen/>
        <w:t>ного около 3000 кг). При этом усилии отдачи на од</w:t>
      </w:r>
      <w:r w:rsidRPr="00D03F3E">
        <w:rPr>
          <w:color w:val="000000" w:themeColor="text1"/>
          <w:sz w:val="16"/>
          <w:szCs w:val="16"/>
        </w:rPr>
        <w:softHyphen/>
        <w:t>ном моторе самолета ЛаГГ-3 № 312197 были испы</w:t>
      </w:r>
      <w:r w:rsidRPr="00D03F3E">
        <w:rPr>
          <w:color w:val="000000" w:themeColor="text1"/>
          <w:sz w:val="16"/>
          <w:szCs w:val="16"/>
        </w:rPr>
        <w:softHyphen/>
        <w:t>таны на земле и в воздухе 2 пушки ОКБ-16 с общим настрелом 4340 выстрелов.</w:t>
      </w:r>
    </w:p>
    <w:p w14:paraId="1E0AD879" w14:textId="77777777" w:rsidR="002671E4" w:rsidRPr="00D03F3E" w:rsidRDefault="002671E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 самолете Як-9 во время полигонных испы</w:t>
      </w:r>
      <w:r w:rsidRPr="00D03F3E">
        <w:rPr>
          <w:color w:val="000000" w:themeColor="text1"/>
          <w:sz w:val="16"/>
          <w:szCs w:val="16"/>
        </w:rPr>
        <w:softHyphen/>
        <w:t>таний пушки ОКБ-16 на моторе было произведено 1270 выстрелов. При отстреле на живучесть 2 са</w:t>
      </w:r>
      <w:r w:rsidRPr="00D03F3E">
        <w:rPr>
          <w:color w:val="000000" w:themeColor="text1"/>
          <w:sz w:val="16"/>
          <w:szCs w:val="16"/>
        </w:rPr>
        <w:softHyphen/>
        <w:t>молетов Як-9 на заводе № 153 из каждой пушки на моторе произведено по 750 выстрелов на земле и в воздухе. Во всех перечисленных случаях мото</w:t>
      </w:r>
      <w:r w:rsidRPr="00D03F3E">
        <w:rPr>
          <w:color w:val="000000" w:themeColor="text1"/>
          <w:sz w:val="16"/>
          <w:szCs w:val="16"/>
        </w:rPr>
        <w:softHyphen/>
        <w:t>ры работали безукоризненно.</w:t>
      </w:r>
    </w:p>
    <w:p w14:paraId="211F4CE9" w14:textId="77777777" w:rsidR="002671E4" w:rsidRPr="00D03F3E" w:rsidRDefault="002671E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Переднее силовое крепление на самолете Ил-2, запроектированное под усилие отдачи 2300 кг, на полигонных испытаниях при настреле из каждой пушки свыше 800 выстрелов и при отстреле на жи</w:t>
      </w:r>
      <w:r w:rsidRPr="00D03F3E">
        <w:rPr>
          <w:color w:val="000000" w:themeColor="text1"/>
          <w:sz w:val="16"/>
          <w:szCs w:val="16"/>
        </w:rPr>
        <w:softHyphen/>
        <w:t>вучесть (настрел из каждой пушки около 1000 вы</w:t>
      </w:r>
      <w:r w:rsidRPr="00D03F3E">
        <w:rPr>
          <w:color w:val="000000" w:themeColor="text1"/>
          <w:sz w:val="16"/>
          <w:szCs w:val="16"/>
        </w:rPr>
        <w:softHyphen/>
        <w:t>стрелов) также показало удовлетворительную жи</w:t>
      </w:r>
      <w:r w:rsidRPr="00D03F3E">
        <w:rPr>
          <w:color w:val="000000" w:themeColor="text1"/>
          <w:sz w:val="16"/>
          <w:szCs w:val="16"/>
        </w:rPr>
        <w:softHyphen/>
        <w:t>вучесть.</w:t>
      </w:r>
    </w:p>
    <w:p w14:paraId="48D64DE7" w14:textId="77777777" w:rsidR="002671E4" w:rsidRPr="00D03F3E" w:rsidRDefault="002671E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Таким образом, прочность моторов при дей</w:t>
      </w:r>
      <w:r w:rsidRPr="00D03F3E">
        <w:rPr>
          <w:color w:val="000000" w:themeColor="text1"/>
          <w:sz w:val="16"/>
          <w:szCs w:val="16"/>
        </w:rPr>
        <w:softHyphen/>
        <w:t>ствии пушки сомнений не вызывает, а достаточная прочность переднего силового крепления на Ил-2 подтверждает правильность расчетной величины усилия отдачи.</w:t>
      </w:r>
    </w:p>
    <w:p w14:paraId="607766CA" w14:textId="77777777" w:rsidR="002671E4" w:rsidRPr="00D03F3E" w:rsidRDefault="002671E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марте с.г. в связи с появлением течи масла управление ВВС КА было принято решение об ис</w:t>
      </w:r>
      <w:r w:rsidRPr="00D03F3E">
        <w:rPr>
          <w:color w:val="000000" w:themeColor="text1"/>
          <w:sz w:val="16"/>
          <w:szCs w:val="16"/>
        </w:rPr>
        <w:softHyphen/>
        <w:t>пытании на живучесть 1 самолета ЛаГГ-3 из опыт</w:t>
      </w:r>
      <w:r w:rsidRPr="00D03F3E">
        <w:rPr>
          <w:color w:val="000000" w:themeColor="text1"/>
          <w:sz w:val="16"/>
          <w:szCs w:val="16"/>
        </w:rPr>
        <w:softHyphen/>
        <w:t>ной серии.</w:t>
      </w:r>
    </w:p>
    <w:p w14:paraId="5FAF4559" w14:textId="77777777" w:rsidR="002671E4" w:rsidRPr="00D03F3E" w:rsidRDefault="002671E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связи с тем, что за это время на заводе № 153 проведены отстрелы на живучесть 2 Як-9, а также изготовлено значительное количество этих самоле</w:t>
      </w:r>
      <w:r w:rsidRPr="00D03F3E">
        <w:rPr>
          <w:color w:val="000000" w:themeColor="text1"/>
          <w:sz w:val="16"/>
          <w:szCs w:val="16"/>
        </w:rPr>
        <w:softHyphen/>
        <w:t>тов, испытание на живучесть самолета ЛаГГ-3 пред</w:t>
      </w:r>
      <w:r w:rsidRPr="00D03F3E">
        <w:rPr>
          <w:color w:val="000000" w:themeColor="text1"/>
          <w:sz w:val="16"/>
          <w:szCs w:val="16"/>
        </w:rPr>
        <w:softHyphen/>
        <w:t>ставляется нецелесообразным.</w:t>
      </w:r>
    </w:p>
    <w:p w14:paraId="62044BBC" w14:textId="77777777" w:rsidR="002671E4" w:rsidRPr="00D03F3E" w:rsidRDefault="002671E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Тем более что недоброкачественность мотора завода № 466 может снова послужить поводом для дискредитации пушки ОКБ-16.</w:t>
      </w:r>
    </w:p>
    <w:p w14:paraId="59DA546C" w14:textId="77777777" w:rsidR="002671E4" w:rsidRPr="00D03F3E" w:rsidRDefault="002671E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Прошу отменить решение об испытании на жи</w:t>
      </w:r>
      <w:r w:rsidRPr="00D03F3E">
        <w:rPr>
          <w:color w:val="000000" w:themeColor="text1"/>
          <w:sz w:val="16"/>
          <w:szCs w:val="16"/>
        </w:rPr>
        <w:softHyphen/>
        <w:t>вучесть самолета ЛаГГ-3 и дать указание о срочном проведении отстрела на живучесть серийного са</w:t>
      </w:r>
      <w:r w:rsidRPr="00D03F3E">
        <w:rPr>
          <w:color w:val="000000" w:themeColor="text1"/>
          <w:sz w:val="16"/>
          <w:szCs w:val="16"/>
        </w:rPr>
        <w:softHyphen/>
        <w:t>молета Як-9 с 37-мм пушкой ОКБ-16».</w:t>
      </w:r>
    </w:p>
    <w:p w14:paraId="27E58702" w14:textId="77777777" w:rsidR="002671E4" w:rsidRPr="00D03F3E" w:rsidRDefault="002671E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Поставив на вооружение противотанковые ва</w:t>
      </w:r>
      <w:r w:rsidRPr="00D03F3E">
        <w:rPr>
          <w:color w:val="000000" w:themeColor="text1"/>
          <w:sz w:val="16"/>
          <w:szCs w:val="16"/>
        </w:rPr>
        <w:softHyphen/>
        <w:t>рианты истребителей (ЛаГГ-3, Як-9т) и штурмовиков Ил-2, советское командование всерьез рассчитыва</w:t>
      </w:r>
      <w:r w:rsidRPr="00D03F3E">
        <w:rPr>
          <w:color w:val="000000" w:themeColor="text1"/>
          <w:sz w:val="16"/>
          <w:szCs w:val="16"/>
        </w:rPr>
        <w:softHyphen/>
        <w:t>ло в летней кампании 1943 г. сокрушить брониро</w:t>
      </w:r>
      <w:r w:rsidRPr="00D03F3E">
        <w:rPr>
          <w:color w:val="000000" w:themeColor="text1"/>
          <w:sz w:val="16"/>
          <w:szCs w:val="16"/>
        </w:rPr>
        <w:softHyphen/>
        <w:t>ванный «зверинец» вермахта. Однако реальность оказалась более чем приземленной.</w:t>
      </w:r>
    </w:p>
    <w:p w14:paraId="2B790E0D" w14:textId="77777777" w:rsidR="002671E4" w:rsidRPr="00D03F3E" w:rsidRDefault="002671E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Основная проблема состояла в обеспечении точной стрельбы из пушек 11П по малоразмерным целям. Двухместный Ил-2 был неустойчив в про</w:t>
      </w:r>
      <w:r w:rsidRPr="00D03F3E">
        <w:rPr>
          <w:color w:val="000000" w:themeColor="text1"/>
          <w:sz w:val="16"/>
          <w:szCs w:val="16"/>
        </w:rPr>
        <w:softHyphen/>
        <w:t>дольном отношении в еще большей степени, чем одноместный Ил-2, и в силу этого стрельба из 11П сказывалась на полете самолета значительно сильнее.</w:t>
      </w:r>
    </w:p>
    <w:p w14:paraId="5E1CD6A6" w14:textId="77777777" w:rsidR="002671E4" w:rsidRPr="00D03F3E" w:rsidRDefault="002671E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Эффективность стрельбы в воздухе из 11П с са</w:t>
      </w:r>
      <w:r w:rsidRPr="00D03F3E">
        <w:rPr>
          <w:color w:val="000000" w:themeColor="text1"/>
          <w:sz w:val="16"/>
          <w:szCs w:val="16"/>
        </w:rPr>
        <w:softHyphen/>
        <w:t>молета Ил-2 по немецким танкам практически ни</w:t>
      </w:r>
      <w:r w:rsidRPr="00D03F3E">
        <w:rPr>
          <w:color w:val="000000" w:themeColor="text1"/>
          <w:sz w:val="16"/>
          <w:szCs w:val="16"/>
        </w:rPr>
        <w:softHyphen/>
        <w:t>чем не отличалась от стрельбы из пушки Ш-37 и ха</w:t>
      </w:r>
      <w:r w:rsidRPr="00D03F3E">
        <w:rPr>
          <w:color w:val="000000" w:themeColor="text1"/>
          <w:sz w:val="16"/>
          <w:szCs w:val="16"/>
        </w:rPr>
        <w:softHyphen/>
        <w:t>рактеризовалась тем, что 52% попаданий снарядов по среднему танку и 73% попаданий по легкому танку выводили их из строя. При этом лишь в 43% вылетов получались попадания в танки, а число по</w:t>
      </w:r>
      <w:r w:rsidRPr="00D03F3E">
        <w:rPr>
          <w:color w:val="000000" w:themeColor="text1"/>
          <w:sz w:val="16"/>
          <w:szCs w:val="16"/>
        </w:rPr>
        <w:softHyphen/>
        <w:t>паданий к израсходованному боекомплекту не пре</w:t>
      </w:r>
      <w:r w:rsidRPr="00D03F3E">
        <w:rPr>
          <w:color w:val="000000" w:themeColor="text1"/>
          <w:sz w:val="16"/>
          <w:szCs w:val="16"/>
        </w:rPr>
        <w:softHyphen/>
        <w:t>вышало 3% (17500).</w:t>
      </w:r>
    </w:p>
    <w:p w14:paraId="1363748D" w14:textId="77777777" w:rsidR="002671E4" w:rsidRPr="00D03F3E" w:rsidRDefault="002671E4" w:rsidP="00D03F3E">
      <w:pPr>
        <w:pStyle w:val="12a"/>
        <w:shd w:val="clear" w:color="auto" w:fill="auto"/>
        <w:spacing w:after="0" w:line="240" w:lineRule="auto"/>
        <w:jc w:val="both"/>
        <w:rPr>
          <w:color w:val="000000" w:themeColor="text1"/>
          <w:sz w:val="16"/>
          <w:szCs w:val="16"/>
        </w:rPr>
      </w:pPr>
    </w:p>
    <w:p w14:paraId="697AFB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апреля 1943 неудовлетворительно закончились гос. испытания самолеты Як-7 N 3920, 3979, 4097, 4114, 4123, 4103, 4055 производства 153 завода, которые шли с 13 апреля 1943, по причине:</w:t>
      </w:r>
    </w:p>
    <w:p w14:paraId="2E0858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заниженных скоростей</w:t>
      </w:r>
    </w:p>
    <w:p w14:paraId="112B72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наличия дефектов, опасных для полетов (1778,271).</w:t>
      </w:r>
    </w:p>
    <w:p w14:paraId="4AD7E6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A6CF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26 по 30 апреля 1943 в 1-й АДДД испытали Ли-2 № 1842606 с глушителем-плямягасителем, разработанным ЦИАМ в начале 1943. Решили, что обладает существенными тактическими преимуществами (3404, 13).</w:t>
      </w:r>
    </w:p>
    <w:p w14:paraId="357CCC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BC07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апреля 1943 года вышел приказ НКАП № 253с и 8 мая 1943 года вышел приказ 5 ГУ № 28с во исполнение Постановления ГКО № 3218с от 21 апреля 1943 года, в соответствии с которыми в июне 1943 года производство приборов “АК-1Д” было передано с завода № 133 заводу № 122, а ремонт электрических приборов на завод № 339. С завода № 213 (Энгельс) на завод № 133 было переведено производство анероидно-мембранных приборов (указатели скорости, высотомеры, вариометры, моновакуумметры, бензиномеры гидростатические, трубки ПИТО, вакуумметры, указатели азота и антифриза). Завод приступил к реорганизации производства. К началу 1944 года завод стал окончательно организованным предприятием.</w:t>
      </w:r>
    </w:p>
    <w:p w14:paraId="3B6A75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1944 году по Постановлению ГКО и приказу НКАП № 517 от 27 августа 1943 года, завод производил выпуск ампульных терморегуляторов для инкубаторов.</w:t>
      </w:r>
    </w:p>
    <w:p w14:paraId="7E269F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Приказом НКАП № 431с от 14 июля 1944 года при заводе № 133 было организовано ОКБ анероидно-мембранных, трубчато-пружинных и сильфонных приборов.</w:t>
      </w:r>
    </w:p>
    <w:p w14:paraId="2AD200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приказом МАП № 683с от 27 августа 1949 года для размещения ОКБ-133 были предоставлены строения и площадка бывш. цеха ширпотреба завода № 140 МАП.</w:t>
      </w:r>
    </w:p>
    <w:p w14:paraId="557260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первом квартале 1951 года ОКБ-133 полностью перебазировалось на новую площадку.</w:t>
      </w:r>
    </w:p>
    <w:p w14:paraId="1FEE9C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января 1959 года</w:t>
      </w:r>
    </w:p>
    <w:p w14:paraId="1FEB12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Москва, Б. Божениновский пер., д. 17</w:t>
      </w:r>
    </w:p>
    <w:p w14:paraId="184452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Директора завода:</w:t>
      </w:r>
    </w:p>
    <w:p w14:paraId="101128C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Качкачьян М.М. – с октября 1941 года по август 1942 года</w:t>
      </w:r>
    </w:p>
    <w:p w14:paraId="7D56C0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Комиссаров М.И. – с 18 августа 1942 года по 16 января 1951 года</w:t>
      </w:r>
    </w:p>
    <w:p w14:paraId="04173C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Павлов П.А. – с 16 января 1951 года по 20 апреля 1953 года</w:t>
      </w:r>
    </w:p>
    <w:p w14:paraId="0A71AB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Михайлов К.И. – с 20 апреля 1953 года по 31 января 1958 года</w:t>
      </w:r>
    </w:p>
    <w:p w14:paraId="45C53B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Касьянов Н.Я. – с 31 января 1958 года (9456).</w:t>
      </w:r>
    </w:p>
    <w:p w14:paraId="3A7953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71F8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апреля 1943 вышло Постановление ГКО № 3255 О мерах по обеспечению выполнения плана производства спирта во II квартале 1943 г.РГАНИР, Фонд ГКО, д. 110, лл. 44-47, 48 (11012).</w:t>
      </w:r>
    </w:p>
    <w:p w14:paraId="3E6377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F0AE6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45EB2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E37A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апреля 1943 года была подготовлена справка:</w:t>
      </w:r>
    </w:p>
    <w:p w14:paraId="24E8A9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Увеличение числа артиллерийских заводов НКВ – за счет выделения завода № 9 и восстановления заводов №№ 88 и 4-ф (9271).</w:t>
      </w:r>
    </w:p>
    <w:p w14:paraId="0CAA7C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7F514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апреля 1943 вышло Постановление ГКО № 3253 О разгрузке причалов Владивостокского порта [от импортных грузов]. (7100, 42).</w:t>
      </w:r>
    </w:p>
    <w:p w14:paraId="465DA74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E6EEC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апреля 1943 вышло Распоряжение ГКО № 3254 [О возвращении в Москву НИИ качественных сталей и ферросплавов НКЧМ.] (7100, 43).</w:t>
      </w:r>
    </w:p>
    <w:p w14:paraId="6363845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D9BA7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6AD3BA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9C3017"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апреля в 1943 году утреннее сообщение Совинформбюро:</w:t>
      </w:r>
    </w:p>
    <w:p w14:paraId="1DEDC749"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26 апреля на фронтах существенных изменений не произошло.</w:t>
      </w:r>
    </w:p>
    <w:p w14:paraId="460308B2"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одно из подразделений Н-ской части предприняло разведку боем. Наши бойцы ворвались в окопы противника и в рукопашной схватке истребили 70 немецких солдат и офицеров. Уничтожены орудие, 4 пулемёта, взорваны дзот и 5 блиндажей противника.</w:t>
      </w:r>
    </w:p>
    <w:p w14:paraId="7D7171F2"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бойцы Н-ской части отбили атаку немецкой пехоты. На поле боя гитлеровцы оставили до 100 трупов. Артиллерийским огнём рассеян обоз противника. Уничтожено 12 повозок с боеприпасами.</w:t>
      </w:r>
    </w:p>
    <w:p w14:paraId="042D5697"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артиллеристы Н-ской части, ведя огонь с открытых позиций, разрушили 6 немецких дзотов и блиндажей, взорвали склад боеприпасов и подавили огонь миномётной и 3 артиллерийских батарей. На другом участке отражена попытка противника разведать систему наших укреплений. Ружейно-пулемётным огнём истреблено до роты немецкой пехоты.</w:t>
      </w:r>
    </w:p>
    <w:p w14:paraId="5A5F9421"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отряд разведчиков Н-ской части ночью проник в тыл противника. Наши бойцы уничтожили 36 немецких солдат и офицеров, сожгли склад с продовольствием и 5 автомашин с грузами. Захватив пленных, разведчики вернулись в свою часть.</w:t>
      </w:r>
    </w:p>
    <w:p w14:paraId="1FC29573"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публикуются краткие записи командира одного из партизанских отрядов Смоленской области:</w:t>
      </w:r>
    </w:p>
    <w:p w14:paraId="06EC1FFE"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апреля. Ночью группа подрывников отряда заминировала железнодорожное полотно. К утру на мины нарвался поезд противника. В результате крушения разбиты паровоз и 11 платформ. Истреблено 19 немецких солдат из охраны поезда.</w:t>
      </w:r>
    </w:p>
    <w:p w14:paraId="2B940421"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Ночью наблюдали большой пожар в районе железнодорожной станции. Утром наши подрывники донесли, что пустили под откос состав с горючим. Сгорели 13 цистерн с бензином.</w:t>
      </w:r>
    </w:p>
    <w:p w14:paraId="686F29F2"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13 апреля. Напрасно немцы трудились над восстановлением железнодорожного полотна. Гитлеровцы семь часов очищали пути и восстанавливали полотно. Группа партизан отошла от этого места на 5 километров и снова поставила мины. На шоссе обстреляли немецкие автомашины. Немцы остановились и пытались преследовать партизан. В завязавшейся в лесу перестрелке убито 16 и ранено более 20 гитлеровцев.».</w:t>
      </w:r>
    </w:p>
    <w:p w14:paraId="0BA91F74"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убийцы учинили зверскую расправу над населением деревни Сыч, Минской области. Гитлеровцы разграбили и уничтожили деревню. Фашистские палачи замучили, убили и сожгли 52 жителя этой деревни, в числе которых было 12 женщин и 16 детей.» (15111).</w:t>
      </w:r>
    </w:p>
    <w:p w14:paraId="72286640"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12E79F89"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апреля в 1943 году вечернее сообщение Совинформбюро:</w:t>
      </w:r>
    </w:p>
    <w:p w14:paraId="5AE00F07"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26 апреля на фронтах существенных изменений не произошло.</w:t>
      </w:r>
    </w:p>
    <w:p w14:paraId="60AD6B97"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Баренцевом море наша авиация потопила крупный транспорт, а также тральщик противника.</w:t>
      </w:r>
    </w:p>
    <w:p w14:paraId="780556D8"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апреля частями нашей авиации на различных участках фронта уничтожено или повреждено до 40 немецких автомашин с войсками и грузами, взорвано 2 склада боеприпасов, разбит железнодорожный состав противника.</w:t>
      </w:r>
    </w:p>
    <w:p w14:paraId="7FE1983F"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огнём артиллерии, миномётных батарей и снайперов уничтожено более 200 немецких солдат и офицеров, подавлен огонь 4 артиллерийских и 5 миномётных батарей противника. Наши лётчики совершили налёт на вражеский аэродром и уничтожили 8 неприятельских самолётов. Кроме того, в воздушном бою сбито 3 немецких истребителя.</w:t>
      </w:r>
    </w:p>
    <w:p w14:paraId="0C9AABCA"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части вели артиллерийскую и ружейно-пулемётную перестрелку с противником. Снайперы тт. Дмитриенко, Нижегородский и Дементьев за две недели истребили 79 немецких солдат и офицеров. Снайпер тов. Комаров уничтожил 36 гитлеровцев. Лётчики-истребители под командованием гвардии капитана Покрышкина вступили в бой с немецкими «Мессершмиттами». В десятиминутном бою советские лётчики сбили 5 немецких самолётов.</w:t>
      </w:r>
    </w:p>
    <w:p w14:paraId="24BD2473"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бойцы Н-ской части отбили атаку пехоты противника, пытавшейся вести разведку боем. Уничтожено 80 немецких солдат и офицеров. Огнём нашей зенитной артиллерии сбито 2 немецких самолёта.</w:t>
      </w:r>
    </w:p>
    <w:p w14:paraId="072C0EDF"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на одном участке, пехота противника атаковала наши позиции. Численно превосходящим силам немцев удалось потеснить наши подразделения и ворваться в населённый пункт. Советские бойцы не дали возможности гитлеровцам закрепиться на новых позициях, перешли в контратаку и отбросили противника. В этом бою уничтожено до батальона немецкой пехоты.</w:t>
      </w:r>
    </w:p>
    <w:p w14:paraId="4043323D"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«За победу», действующего в одном из районов Житомирской области, заминировали железнодорожные пути. Немецкий эшелон с войсками на полном ходу наскочил на мины и полетел под откос. Уничтожены паровоз и 14 вагонов. Убито и ранено много немецких солдат и офицеров. Партизаны другого украинского отряда из засады обстреляли немецкий обоз. Убито 19 гитлеровцев из охраны обоза. Захвачены трофеи.</w:t>
      </w:r>
    </w:p>
    <w:p w14:paraId="6CEB34F6"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ефрейтор-санитар 11 роты 335 полка 205 немецкой пехотной дивизии Герман Вестенфельдер рассказал: «Раньше я, как и многие другие солдаты, верил в непобедимость Германии. События последнего года поколебали мою уверенность. Сейчас мне ясно, что Германия проигрывает войну. К этому заключению я пришёл не сразу, а постепенно. В феврале прошлого года наша дивизия была переброшена в Россию из Франции. За один месяц боёв под Велижем она потеряла свыше 7 тысяч человек убитыми и ранеными. После этого дивизия получила пополнение и вновь понесла огромные потери под Великими Луками. 368 полк был полностью уничтожен и перестал существовать. Немецкая армия потеряла лучшие офицерские кадры. Кладбища почти в каждом русском селе свидетельствуют о потерях, которые понесла немецкая армия».</w:t>
      </w:r>
    </w:p>
    <w:p w14:paraId="165BA34D"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Гитлеровские людоеды совершили ещё одно жуткое преступление. Фашистские варвары сожгли дотла деревни Освейского района, Витебской области. Палачи убили, замучили и потопили в реке тысячи мирных жителей района. Из разорённых деревень немцы угнали на каторжные работы 2.600 человек. Спаслись только те жители, которым удалось уйти в леса.» (15111).</w:t>
      </w:r>
    </w:p>
    <w:p w14:paraId="54948408"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609A16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апреля 1943 г. 2 И- 15бис 62-го иап вели поиск вражеских торпедных катеров. При возвращении в сложных метеоусловиях один самолет приземлился на аэродроме в Краснодаре, второй сел на воду в районе Геленджика и затонул (12014).</w:t>
      </w:r>
    </w:p>
    <w:p w14:paraId="125FEB6E"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D78407"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апреля 1943 г. два И-15бис из 62-го иап вели поиск вражеских торпедных катеров. При возвращении в сложных метеоусловиях они заблудились: один самолёт приземлился на аэродроме в Краснодаре, второй сел на воду в районе Геленджика и затонул (12294).</w:t>
      </w:r>
    </w:p>
    <w:p w14:paraId="5AF0A256" w14:textId="77777777" w:rsidR="002E357C" w:rsidRPr="00D03F3E" w:rsidRDefault="002E357C" w:rsidP="00D03F3E">
      <w:pPr>
        <w:spacing w:after="0" w:line="240" w:lineRule="auto"/>
        <w:jc w:val="both"/>
        <w:rPr>
          <w:rFonts w:ascii="Times New Roman" w:hAnsi="Times New Roman"/>
          <w:color w:val="000000" w:themeColor="text1"/>
          <w:sz w:val="16"/>
          <w:szCs w:val="16"/>
        </w:rPr>
      </w:pPr>
    </w:p>
    <w:p w14:paraId="5C90940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апреля 1943 вышло Постановление ГКО № 3252 Об обеспечении мероприятий по развитию партизанского движения на Украине. (7100, 24,25-41).</w:t>
      </w:r>
    </w:p>
    <w:p w14:paraId="318AF79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49B7D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161EBE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869B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апреля 1943 года</w:t>
      </w:r>
    </w:p>
    <w:p w14:paraId="2B1088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 И СЕКРЕТНО ОТ ПРЕЗИДЕНТА г-ну СТАЛИНУ</w:t>
      </w:r>
    </w:p>
    <w:p w14:paraId="344912F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 получил Вашу телеграмму во время инспекционной поездки по западной части Соединенных Штатов. Я вполне понимаю сложность Вашего положения, но в то же самое время я надеюсь, что Вы сможете в существующей обстановке найти путь для того, чтобы определить свои действия не как полный разрыв дипломатических отношений между Советским Союзом и Польшей, а как временное прекращение переговоров с Польским Правительством, находящимся в изгнании в Лондоне.</w:t>
      </w:r>
    </w:p>
    <w:p w14:paraId="72695B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 не могу поверить, что Сикорский в какой бы то ни было степени сотрудничал с гитлеровскими гангстерами. С моей точки зрения, однако, он сделал ошибку, поставив именно этот вопрос перед Международным Красным Крестом. Кроме того, я склонен думать, что Премьер-Министр Черчилль изыщет пути для того, чтобы убедить Польское Правительство в Лондоне действовать в будущем с более здравым смыслом.</w:t>
      </w:r>
    </w:p>
    <w:p w14:paraId="4EDFB2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 был бы Вам благодарен, если бы Вы сообщили мне, могу ли я каким-либо образом помочь в этом вопросе и, в частности, в связи с заботой, которую, может быть, придется проявить в отношении каких-либо поляков, которых Вы, возможно, пожелаете отправить из пределов Союза Советских Социалистических Республик.</w:t>
      </w:r>
    </w:p>
    <w:p w14:paraId="76DFD2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у меня в Соединенных Штатах имеется несколько миллионов поляков, из которых большое количество служит в армии и военно-морском флоте. Я могу заверить Вас в том, что все они озлоблены против гитлеровцев. Однако общему положению нельзя помочь известием о полном дипломатическом разрыве между Советским и Польским Правительствами (7430).</w:t>
      </w:r>
    </w:p>
    <w:p w14:paraId="039EAF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D076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апреля 1943 И.В.С. разорвал отношения между СССР и польским правительством в изгнании (2246,2) из-за требований расследования Катынского преступления (2262).</w:t>
      </w:r>
    </w:p>
    <w:p w14:paraId="4D5792A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A22ED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6FEBD8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801317" w14:textId="77777777" w:rsidR="00431667" w:rsidRPr="00D03F3E" w:rsidRDefault="0043166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апреля 1943 закончились испытания третьего прототипа ХР-63 Кингкобра (1020).</w:t>
      </w:r>
    </w:p>
    <w:p w14:paraId="3B693E22" w14:textId="77777777" w:rsidR="00431667" w:rsidRPr="00D03F3E" w:rsidRDefault="0043166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8183F4" w14:textId="77777777" w:rsidR="00431667" w:rsidRPr="00D03F3E" w:rsidRDefault="0043166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апреля 1943 г. началась программа испытаний ХР-63. Максимальная скорость, полученная на этой машине, равнялась 674 км/ч. Самолёт запустили в серию под обозначением Р-63, позднее дополнившимся именем «Кингкобра» (12265).</w:t>
      </w:r>
    </w:p>
    <w:p w14:paraId="36B00D2B" w14:textId="77777777" w:rsidR="00431667" w:rsidRPr="00D03F3E" w:rsidRDefault="00431667" w:rsidP="00D03F3E">
      <w:pPr>
        <w:spacing w:after="0" w:line="240" w:lineRule="auto"/>
        <w:jc w:val="both"/>
        <w:rPr>
          <w:rFonts w:ascii="Times New Roman" w:hAnsi="Times New Roman"/>
          <w:color w:val="000000" w:themeColor="text1"/>
          <w:sz w:val="16"/>
          <w:szCs w:val="16"/>
        </w:rPr>
      </w:pPr>
    </w:p>
    <w:p w14:paraId="45EEE33B"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апреля в 1943 году поднялся в воздух и одновременно закончились испытания третьего прототипа многоцелевого истребителя «ХР-63А» (разработчик: «Bell», США). На самолёте был установлен двигатель «Аллисон» «V-1710-93». Опытный истребитель имел дополнительные точки подвески под крыльями, новый "спинной" воздухозаборник и 12 выхлопных патрубков с каждого борта вместо шести. Его штатное вооружение состояло из пушки калибра 37 мм, стрелявшей через вал винта и двух синхронизированных 12,7-мм пулеметов. Их дополняла пара пулеметов того же калибра под крылом. На подфюзеляжных замках могла быть подвешена бомба в 227 кг или бак, рассчитанный на 284 л бензина. 40 кг брони прикрывали пилота и жизненно важные элементы конструкции. В октябре 1943 года первый серийный самолет «Р-63А» покинул сборочный цеха, а летом 44-го появилось и официальное название «Кингкобра» (15111).</w:t>
      </w:r>
    </w:p>
    <w:p w14:paraId="78901922"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7FF3EC52" w14:textId="77777777" w:rsidR="00431667" w:rsidRPr="00D03F3E" w:rsidRDefault="0043166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26–27 апреля (ночь) 1943 британцы используют Ground Grocer, первое устройство, способное заглушить воздушную раннюю версию радара Lichtenstein B / C, используемого немецкими ночными истребителями того времени. Диапазон наземного, Ground Grocer ограничивается кривизной Земли, не замечая большинство операций немецкого ночного истребителя (20376).</w:t>
      </w:r>
    </w:p>
    <w:p w14:paraId="4BBE13B4" w14:textId="77777777" w:rsidR="00431667" w:rsidRPr="00D03F3E" w:rsidRDefault="00431667" w:rsidP="00D03F3E">
      <w:pPr>
        <w:spacing w:after="0" w:line="240" w:lineRule="auto"/>
        <w:jc w:val="both"/>
        <w:rPr>
          <w:rFonts w:ascii="Times New Roman" w:hAnsi="Times New Roman"/>
          <w:color w:val="0070C0"/>
          <w:sz w:val="16"/>
          <w:szCs w:val="16"/>
        </w:rPr>
      </w:pPr>
    </w:p>
    <w:p w14:paraId="5606BB6D" w14:textId="77777777" w:rsidR="00431667" w:rsidRPr="00D03F3E" w:rsidRDefault="0043166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26 мая 1943 года с работами по крылатой ракете ознакомились высшие руководители Рейха. Созданная по распоряжению Гитлера специальная комиссия решала, какой проект лучше: крылатая ракета Fi-103 или баллистическая А-4. Первая была дешевая, легкая и теоретически сбиваемая ПВО противника. Вторая — неуязвимая, но безумно дорогая. Решили строить оба варианта. Fi-103 заказали в количестве 5000 штук. Серийное производство началось в августе 1943 года. 64 стартовые установки разворачивались на северо-западе Франции, в 200 км от Лондона. Первые удары по Лондону запланировали на 15 декабря 1943 года. Однако боевые пуски все время откладывались.</w:t>
      </w:r>
    </w:p>
    <w:p w14:paraId="5B513909" w14:textId="77777777" w:rsidR="00431667" w:rsidRPr="00D03F3E" w:rsidRDefault="0043166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Сначала возникли проблемы с прочностью конструкции крыла ракеты. Серийные штампованные нервюры крыльев оказались слишком слабыми, и во время контрольного отстрела ракет крылья просто складывались от перегрузок во время старта. Пришлось переделывать 1400 уже построенных планеров. Весной 1944 года в процесс производства вмешались союзники. Их авиация разбомбила завод фирмы Fieseler и полигон «Пенемюнде» на острове Узедом. Во время бомбежки погиб главный разработчик пусковой установки Гельмут Вальтер. Производство ракет перенесли в подземные цеха завода, расположенного рядом с концлагерем «Дора» (22878).</w:t>
      </w:r>
    </w:p>
    <w:p w14:paraId="5605F273" w14:textId="77777777" w:rsidR="00431667" w:rsidRPr="00D03F3E" w:rsidRDefault="00431667" w:rsidP="00D03F3E">
      <w:pPr>
        <w:spacing w:after="0" w:line="240" w:lineRule="auto"/>
        <w:jc w:val="both"/>
        <w:rPr>
          <w:rFonts w:ascii="Times New Roman" w:hAnsi="Times New Roman"/>
          <w:color w:val="0070C0"/>
          <w:sz w:val="16"/>
          <w:szCs w:val="16"/>
        </w:rPr>
      </w:pPr>
    </w:p>
    <w:p w14:paraId="5D47DAB5"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289E37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D2A2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апреля 1943 проект реактивного истребителя М.И.Гудкова с ТРД А.М.Люлька рассматривался на экспертной комиссии 7 ГУ НКАП (2168,4).</w:t>
      </w:r>
    </w:p>
    <w:p w14:paraId="23B7D5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7E36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апреля 1943 г. что проект Гудкова был рассмотрен на заседании экспертной комиссии 7-го Главного Управления НКАП.</w:t>
      </w:r>
    </w:p>
    <w:p w14:paraId="2B0A06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Комиссия отметила, что самолетная часть проекта выполнена применительно к обычным формам самолетов истребительного типа и по своей конструкции сомнений не вызывает. Воздушно-реактивный газотурбинный</w:t>
      </w:r>
    </w:p>
    <w:p w14:paraId="3AA0CD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двигатель конструкции Люлька в то время еще не был окончен разработкой даже в объеме технического проекта, а поэтому дать заключение о реальности заявленной мощности 8000 э.л.с. при весе конструкции всего 700 кг и при расходе горючего, почти одинаковом с расходом в двигателе внутреннего сгорания, комиссия отказалась.</w:t>
      </w:r>
    </w:p>
    <w:p w14:paraId="45F3E3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Было принято решение о необходимости повторного рассмотрения предложений Люлька на экспертной комиссии после окончательной разработки технического проекта двигателя. Вопрос о самолетной конструкции до постройки опытного образца двигателя и снятия его характеристик на стенде сняли. Технический проект Люлька должен был закончить 15 мая 1943 г. Маленков, ознакомившись с докладной запиской, поставил задачу А.И. Шахурину и А.С. Яковлеву: "15 мая надо еще раз в квалифицированной комиссии с участием Люлька рассмотреть этот вопрос. Прошу Вас проследить за этим делом. О результатах сообщите". По-видимому, Маленков очень серьезно отнесся к предложениям Гудкова и Люлька. Иначе повело себя руководство НКАП (9016).</w:t>
      </w:r>
    </w:p>
    <w:p w14:paraId="386870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A7A5DD"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27 апреля 1943 проект Гу-ВРД рассмотрели на заседании экспертной комиссии 7-го Главного Управления НКАП. Было отмечено, что самолётная часть недостатков практически не имеет, но двигателя к нему нет, а стало быть дать окончательное заключение по вопросу строительства Гу-ВРД не представляется возможным. Далее началась целая “бумажная” эпопея с созывом очередных и внеочередных комиссий, продлившаяся до октября 1943 года. В конечном итоге Гудкова обвинили в низкой квалификации, из-за чего проект вышел слишком “сырым”, а следовательно, реализовать его нельзя. Окончательно работы по Гу-ВРД закрыли в ноябре того же года. (по материалам - </w:t>
      </w:r>
      <w:hyperlink r:id="rId124" w:tgtFrame="_blank" w:history="1">
        <w:r w:rsidRPr="00D03F3E">
          <w:rPr>
            <w:rFonts w:ascii="Times New Roman" w:hAnsi="Times New Roman"/>
            <w:color w:val="000000" w:themeColor="text1"/>
            <w:sz w:val="16"/>
            <w:szCs w:val="16"/>
          </w:rPr>
          <w:t>http://www.aviarmor.net/aww2/projects/ussr/gudkov_gu_vrd.htm</w:t>
        </w:r>
      </w:hyperlink>
      <w:r w:rsidRPr="00D03F3E">
        <w:rPr>
          <w:rFonts w:ascii="Times New Roman" w:hAnsi="Times New Roman"/>
          <w:color w:val="000000" w:themeColor="text1"/>
          <w:sz w:val="16"/>
          <w:szCs w:val="16"/>
        </w:rPr>
        <w:t>) (15570).</w:t>
      </w:r>
    </w:p>
    <w:p w14:paraId="4F92DBDC"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500979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апреля 1943 вышел приказ НКАП N 289</w:t>
      </w:r>
    </w:p>
    <w:p w14:paraId="167B00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проведения заводских летных испытаний самолета ТС 2М-11Д конструкции А.Я.Щербакова назначить ли л НИИ НКАП В.П.Федрови (938,241).</w:t>
      </w:r>
    </w:p>
    <w:p w14:paraId="07C955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DB99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апреля 1943 г. Приказом № 359 заместителя народного комиссара авиационной промышленности Михаил Горбунов был назначен директором завода № 455 НКАП СССР. На этой должности плодотворно проработал до мая 1950 года (10765).</w:t>
      </w:r>
    </w:p>
    <w:p w14:paraId="709D05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DCF10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01179D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077F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апреля 1943 г. вышло РАСПОРЯЖЕНИЕ НАЧАЛЬНИКА ТАНКОВОГО УПРАВЛЕНИЯ ГБТУ КА НАЧАЛЬНИКУ НИ ПОЛИГОНА О ПРОВЕДЕНИИ ИСПЫТАНИЙ ОБРЕЗИНЕННЫХ КАТКОВ ТАНКА Т-34</w:t>
      </w:r>
    </w:p>
    <w:p w14:paraId="74ACC92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Наркомрезинопром к 1 мая с.г. доставит Вам четыре опытных партии - 80 штук обрезиненных катков танка Т-34 с различной обрезинкой.</w:t>
      </w:r>
    </w:p>
    <w:p w14:paraId="23ADCA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Эти катки необходимо испытать параллельно с серийными катками на гарантийный киломе</w:t>
      </w:r>
      <w:r w:rsidRPr="00D03F3E">
        <w:rPr>
          <w:rFonts w:ascii="Times New Roman" w:hAnsi="Times New Roman"/>
          <w:color w:val="000000" w:themeColor="text1"/>
          <w:sz w:val="16"/>
          <w:szCs w:val="16"/>
        </w:rPr>
        <w:softHyphen/>
        <w:t>траж и дать к 25 мая сравнительную оценку опытной резине.</w:t>
      </w:r>
    </w:p>
    <w:p w14:paraId="5D3991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катков проводить на танках, проходящих испытания на гарантийный километраж, для этого одна сторона танков должна быть оборудована опытными катками. Для наблюдения за поведением резины во время испытаний, а также для ведения учета составления отчетов испытаний, Наркомрезинопром вышлет к Вам двух представителей, из которых один (инспектор Рябов) нахо</w:t>
      </w:r>
      <w:r w:rsidRPr="00D03F3E">
        <w:rPr>
          <w:rFonts w:ascii="Times New Roman" w:hAnsi="Times New Roman"/>
          <w:color w:val="000000" w:themeColor="text1"/>
          <w:sz w:val="16"/>
          <w:szCs w:val="16"/>
        </w:rPr>
        <w:softHyphen/>
        <w:t>дится на полигоне.</w:t>
      </w:r>
    </w:p>
    <w:p w14:paraId="047F7BB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танкового управления ГБТУ КА инженер-полковник Афонин</w:t>
      </w:r>
    </w:p>
    <w:p w14:paraId="29B8FD7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6 отдела ТУ ГБТУ КА инженер-подполковник Ковалев</w:t>
      </w:r>
    </w:p>
    <w:p w14:paraId="38E048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11355а. Д. 3606. Л. 48. Копия (11403).</w:t>
      </w:r>
    </w:p>
    <w:p w14:paraId="0F4165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F0B77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апреля 1943 года вышел приказ № 246с НКТП</w:t>
      </w:r>
    </w:p>
    <w:p w14:paraId="5FBA9C0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дальнейшего повышения качества основных агрегатов танкового электрооборудования и улучшения экспериментально-исследовательской работы на электротехнических заводах НКТП:</w:t>
      </w:r>
    </w:p>
    <w:p w14:paraId="14FFBB6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Считать ведущим заводом по основным агрегатам танкового электрооборудования завод № 255, а ОКБ этого же завода – ведущим ОКБ.</w:t>
      </w:r>
    </w:p>
    <w:p w14:paraId="31C59E4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Организовать в отделе гл. конструктора завода № 255 ОКБ с экспериментальным цехом (6133, 377).</w:t>
      </w:r>
    </w:p>
    <w:p w14:paraId="05571D8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13D1C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656399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F39F4E"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апреля в 1943 году утреннее сообщение Совинформбюро:</w:t>
      </w:r>
    </w:p>
    <w:p w14:paraId="7533386B"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27 апреля на фронтах существенных изменений не произошло.</w:t>
      </w:r>
    </w:p>
    <w:p w14:paraId="49084CD8"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артиллеристы Н-ской части разрушили ряд блиндажей и уничтожили артиллерийскую батарею противника. Советские разведчики в схватке с боевым охранением немцев истребили 15 гитлеровцев и захватили пленных.</w:t>
      </w:r>
    </w:p>
    <w:p w14:paraId="5E78CA91"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Наша авиация совершила успешные налёты на аэродромы и крупные железнодорожные станции в тылу противника. На одном немецком аэродроме отмечено 12 прямых попаданий в самолёты. На железнодорожных станциях в результате бомбардировки разбито несколько эшелонов и наблюдались сильные взрывы.</w:t>
      </w:r>
    </w:p>
    <w:p w14:paraId="5AFFFD2F"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Чугуева наши артиллеристы подавили огонь двух артиллерийских батарей противника, разрушили 5 дзотов и блиндажей, рассеяли и частью уничтожили свыше роты немецкой пехоты.</w:t>
      </w:r>
    </w:p>
    <w:p w14:paraId="29A0CC1E"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огнём нашей артиллерии разбит железнодорожный эшелон с боеприпасами, уничтожена миномётная батарея и разрушено 7 дзотов и блиндажей противника.</w:t>
      </w:r>
    </w:p>
    <w:p w14:paraId="18C35EC9"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зенитная батарея, где командиром тов. Костенко, за последние дни сбила 17 немецких самолётов.</w:t>
      </w:r>
    </w:p>
    <w:p w14:paraId="1A180E3A"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провели бомбардировку нескольких аэродромов противника. На немецких аэродромах отмечено много пожаров и взрывов.</w:t>
      </w:r>
    </w:p>
    <w:p w14:paraId="27E68C4E"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группа наших разведчиков ворвалась в расположение противника и уничтожила 35 немецких солдат и офицеров. Разведчики захватили немецкое орудие, крупнокалиберный пулемёт и благополучно вернулись в свою часть. На другом участке рассеяна группа гитлеровцев, пытавшаяся приблизиться к переднему краю нашей обороны. На поле боя осталось несколько десятков вражеских трупов.</w:t>
      </w:r>
    </w:p>
    <w:p w14:paraId="52A15FE1"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«За власть Советов», действующий в Орловской области, напал на немецкий гарнизон. Две группы партизан сковали основные силы противника, а третья группа ворвалась в населённый пункт. В результате боя уничтожено более 100 гитлеровцев. Партизанами захвачены трофеи: 4 пулемёта, миномёт, 5 тысяч патронов и различное военное имущество.</w:t>
      </w:r>
    </w:p>
    <w:p w14:paraId="13E828E3"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партизан-минёров из отряда имени Степана Шаумяна взорвала немецкий эшелон. Разбиты паровоз, 4 вагона с солдатами и 3 платформы с автомашинами.</w:t>
      </w:r>
    </w:p>
    <w:p w14:paraId="4C754064"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ефрейтор 3 роты 4 немецкого полка Гейнц Герт рассказал: «Русские партизаны действуют не только в прифронтовых районах, но и в глубоком тылу немецкой армии. B январе партизаны взорвали железнодорожный мост на реке Неман. Железнодорожное сообщение на этом участке было прервано на четыре дня. За последнее время партизаны много раз взрывали пути на железнодорожной магистрали Псков—Старая Русса. Недавно партизаны убили около деревни Цихино солдата нашей роты. После этого командир полка издал приказ, запрещающий солдатам ходить в одиночку. Надо признаться, что русские партизаны много страха на гоняют на немецких солдат».</w:t>
      </w:r>
    </w:p>
    <w:p w14:paraId="49341172"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авиационном заводе близ Брауншвейга (Германия) восемьсот итальянцев заявили о своём желании уехать на родину и потребовали расчёта. Гитлеровцы отказались удовлетворить это требование и пригрозили суровыми репрессиями. Итальянцы остановили машины и бросили работу. Гестаповцы учинили жестокую расправу над итальянскими рабочими. Свыше 50 итальянцев предано военному суду. До 200 человек посланы на советско-германский фронт на строительство военных укреплений.» (15112).</w:t>
      </w:r>
    </w:p>
    <w:p w14:paraId="6D8E2970"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01D8A487"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апреля в 1943 году вечернее сообщение Совинформбюро:</w:t>
      </w:r>
    </w:p>
    <w:p w14:paraId="6F2C85D0"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27 апреля на фронтах существенных изменений не произошло.</w:t>
      </w:r>
    </w:p>
    <w:p w14:paraId="1A16744E"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Наш корабль у берегов Крыма потопил немецкий транспорт водоизмещением в 2.000 тонн.</w:t>
      </w:r>
    </w:p>
    <w:p w14:paraId="6A788290"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апреля частями нашей авиации на различных участках фронта уничтожено или повреждено не менее 20 немецких автомашин с войсками и грузами, взорвано два склада боеприпасов, разбито несколько железнодорожных эшелонов противника.</w:t>
      </w:r>
    </w:p>
    <w:p w14:paraId="2C35D14A"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огнём наших частей уничтожено до роты немецких солдат и офицеров, подавлен огонь миномётной и 3 артиллерийских батарей противника. Артиллеристы под командованием тов. Краснобородько подожгли вражеские блиндажи. Из горящих блиндажей выбежали немецкие солдаты. Пулемётчики тт. Расщепкин и Мерзляков открыли огонь и несколькими очередями уничтожили группу немцев. Снайпер т. Зубков убил 5 немцев. Снайперы тт. Карев и Хулудинов истребили 6 гитлеровцев.</w:t>
      </w:r>
    </w:p>
    <w:p w14:paraId="27AACAD7"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наши части укрепляли свои позиции и вели разведку. Врезультате действий разведывательных отрядов уничтожено до 100 немецких солдат и офицеров. Советская авиация совершила налёты на железнодорожные станции в тылу противника. Прямыми попаданиями бомб разбито несколько железнодорожных эшелонов. Нашим истребителем сбит немецкий бомбардировщик.</w:t>
      </w:r>
    </w:p>
    <w:p w14:paraId="5E347478"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советские лётчики в воздушных боях сбили 5 немецких самолётов. Наши бомбардировщики совершили налёт на аэродром противника и уничтожили на земле 12 немецких самолётов.</w:t>
      </w:r>
    </w:p>
    <w:p w14:paraId="1D64FBAF"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артиллеристы Н-ской части обстреляли вражеские позиции и уничтожили 6 немецких орудий, подавили огонь 2 миномётных батарей, разрушили 10 дзотов и блиндажей противника.</w:t>
      </w:r>
    </w:p>
    <w:p w14:paraId="4618251E"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Могилёвской области, ворвался в районный центр и в ожесточённом бою разгромил немецкий гарнизон. Уничтожено 60 гитлеровцев. Группа партизан-минёров из этого же отряда взорвала немецкий эшелон, груженный автомашинами и мотоциклами. Весь состав в количестве 30 вагонов и платформ сгорел.</w:t>
      </w:r>
    </w:p>
    <w:p w14:paraId="2754C0BF"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действующие в Вилейской области, организовали крушение железнодорожного состава противника с нефтью и бензином. Уничтожено 19 цистерн и убито 47 немцев из охраны состава. Железнодорожное движение на этом участке прервано.</w:t>
      </w:r>
    </w:p>
    <w:p w14:paraId="797338D9"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солдат 12 роты 239 полка 106 немецкой пехотной дивизии Юзеф Шафарчик рассказал: «Наша дивизия находилась во Франции, где охраняла побережье Ла-Манша. В последних числах февраля дивизию отправили в Россию. Перед отъездом группа солдат нашего батальона дезертировала. Солдат — Ватермана из 13 роты, Рымбальского из 9 роты и Шабора из 10 роты поймали и приговорили к смертной казни. Для приведения в исполнение приговора над Ватерманом командир роты обер-лейтенант Герке выделил шесть человек меня, Номеса, Бардолю, Ковальского. Вораса и Шенколу. Мы все отказались стрелять в Ватермана. К всеобщему удивлению, Герке на этот раз никого из нас не наказал. Ватермана расстрелял помощник командира роты лейтенант Фрайтаг. В первом же бою в России наш батальон потерял 172 человека убитыми. Это произвело очень тягостное впечатление. Солдаты говорили, что если так пойдет дальше, то за какой-нибудь месяц от всей дивизии ничего не останется».</w:t>
      </w:r>
    </w:p>
    <w:p w14:paraId="5458D863"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в Дебревском сельсовете, Смоленской области: «Немецкие убийцы разорили и опустошили селения Дебревского сельсовета. Гитлеровцы разграбили всё колхозное имущество и почти всё личное имущество колхозников. Немцы сожгли 100 домов колхозников со всеми надворными постройками. В деревнях Переходы, Петраново, Костино, Ново-Потапово и Задвижки не осталось ни одного дома. Выполняя свой дьявольский план истребления советских людей, фашистские палачи расстреляли сотни мирных граждан, в том числе Азара Панова, Григория Моисеева, Андрея Ефремова и многих других колхозников. Гитлеровцы всячески издевались над крестьянами. Они подвергли публичной порке76-летнюю колхозницу Прасковью Панову и несколько раз ставили её к стенке, угрожая расстрелом. Перед отступлением немцы насильно угнали многих жителей на каторжные работы в Германию. Мы никогда не забудем злодеяний немецких разбойников. Каждому фашистскому убийце придётся еще горько поплакать от нашей мести». Акт подписали: капитан И.Сызранцев, граждане Дебревского сельсовета М.Крылова, С.Попова, А.Кондратьева, П.Панова, Ф.Орлова, О.Моисеева и другие.» (15112).</w:t>
      </w:r>
    </w:p>
    <w:p w14:paraId="6F723C08"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0C75F898"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апреля в 1943 году при перегоне в СССР "Албемарл" старшего лейтенанта Ильченко отклонился от курса и был предположительно сбит немецкими истребителями. Когда советские ВВС страдали от недостатка техники, советский посол в Лондоне И.М.Майский согласился на поставку в СССР 200 таких самолетов. По этому поводу в октябре 1942-го было заключено отдельное соглашение между британским и советским правительством (15112).</w:t>
      </w:r>
    </w:p>
    <w:p w14:paraId="24CE9219"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23C7895F"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апреля в 1943 году для борьбы с партизанами в зоне действия сухопутных войск Германии на Восточном фронте задействовано 80 тысяч солдат и офицеров вермахта (15112).</w:t>
      </w:r>
    </w:p>
    <w:p w14:paraId="38EDD582"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1724A7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апреля 1943 г. вышел ПРИКАЗ № 0318 О НЕУДОВЛЕТВОРИТЕЛЬНОМ ЛИДИРОВАНИИ САМОЛЕТАМИ Пе-2 1-го БОМБАРДИРОВОЧНОГО АВИАКОРПУСА ИСТРЕБИТЕЛЕЙ 3-го ИСТРЕБИТЕЛЬНОГО АВИАКОРПУСА</w:t>
      </w:r>
    </w:p>
    <w:p w14:paraId="7438F5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переброски 3-го истребительного авиакорпуса с Воронежского фронта на другой фронт командиру 1-го бомбардировочного авиакорпуса было приказано выделить в качестве лидеров 16 лучших экипажей на самолетах Пе-2.</w:t>
      </w:r>
    </w:p>
    <w:p w14:paraId="481E64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Перебазирование началось 16.4.43 г. В результате преступно халатного отношения к делу со стороны экипажей и их начальников 7 экипажей из 16 потеряли ориентировку, из них экипаж 82-го гвардейского бомбардировочного авиационного полка 1-й гвардейской дивизии: летчик-лейтенант Зотов, штурман эскадрильи старший лейтенант Каримов — предательски привели группу истребителей вместо Ростова в Таганрог, занятый противником, где, став в круг, предложили производить посадку. Несмотря на открытый противником артиллерийский огонь из ЗА, 3 самолета Як-1 во главе с командиром эскадрильи 291-го полка Егоровым произвели посадку в Таганроге и попали в руки врага. 3 самолета Як-1 были сбиты ЗА противника на кругу аэродрома и там же горящие упали. Остальные 4 самолета с преступником-лидером вернулись на аэродром Ростов. 3 экипажа: летчик 854 бап 293 бад младший лейтенант Малеев, штурман корабля старший сержант Сероглазое, летчик того же полка старший сержант Данилов, шутрман звена лейтенант Малышко и летчик 81-го гвардейского бомбардировочного авиаполка 1-й гвардейской авиадивизии (стажер Омской школы летчиков) лейтенант Назаров при штурмане звена лейтенанте Лаврове — все трое потеряли ориентировку в самых простых условиях и привели свои лидируемые ими группы истребителей вместо аэродрома Мил-лерово в Чертково, где и произвели посадку в поле, разбив 2 Як-7б, 1 Пе-2 и 1 Пе-2 катастрофа.</w:t>
      </w:r>
    </w:p>
    <w:p w14:paraId="5103FA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 82-го гвардейского авиаполка 1-й гвардейской авиадивизии лейтенант Рыбалко со штурманом эскадрильи капитаном Сербковым заблудили и привели свою группу истребителей не на аэродром Миллерово, а в станицу Вешенская, где и произвели посадку в поле, разбив один самолет Як-7б.</w:t>
      </w:r>
    </w:p>
    <w:p w14:paraId="20AF7C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 804 бап 293 бад: лейтенант Поляков, штурман звена младший лейтенант Жариков, лидируя группу истребителей из Обоянь в Россошь, потеряли в воздухе группу и вернулись на аэродром вылета, а истребители самостоятельно благополучно прибыли в Россошь.</w:t>
      </w:r>
    </w:p>
    <w:p w14:paraId="0742DB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 854 бап: летчик-лейтетант Лысенко со штурманом звена лейтенантом Крыловым заблудили и завели группу истребителей вместо Ростова в район между Ростовом и Таганрогом.</w:t>
      </w:r>
    </w:p>
    <w:p w14:paraId="2AF5E2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Истребители, видя блуждение лидера, бросили последнего и самостоятельно вернулись в Ростов, где и произвели посадку, а горе-лидер пришел вслед за истребителями.</w:t>
      </w:r>
    </w:p>
    <w:p w14:paraId="35F352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Расследованием на месте этого возмутительного факта заместителем командующего воздушными силами Красной Армии генерал-полковником авиации Ворожейкиным установлено:</w:t>
      </w:r>
    </w:p>
    <w:p w14:paraId="52B218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Командиры дивизий: 1-й гвардейской — полковник Добыш и 293-й — полковник Грибакин никакого участия в подборе выделяемых экипажей на ответственное задание не приняли. Не поставили перед лидерами задачи, не проверили их и не проинструктировали. Штурманы: авиадивизии 1-й гвардейской — майор Ян-ченко, 293-й — майор Аксенов и 1 бак — майор Савченко никакой работы по поднятию в дивизиях и в корпусе штурманского дела не ведут. Люди ожирели от безделья и превратились в безответственных чиновников.</w:t>
      </w:r>
    </w:p>
    <w:p w14:paraId="155D12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корпусе и дивизиях потеря ориентировки не является исключением. Еще в январе месяце 1943 г. на Волховском фронте из-за потери ориентировки три группы возвратились с боевого задания на свои аэродромы с бомбами, не найдя цели. Три группы из-за потери ориентировки бомбили незаданные цели.</w:t>
      </w:r>
    </w:p>
    <w:p w14:paraId="2E9EA8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8.4.43 г. на Воронежском фронте 8 Пе-2 81-го гвардейского авиаполка 1-й гвардейской авиадивизии в результате потери ориентировки* сбросили бомбы на деревню, занятую нашими войсками, в 15 км от линии фронта и в 40 км от заданной цели. Бомбы упали в поле и только 3 из них — в деревню.</w:t>
      </w:r>
    </w:p>
    <w:p w14:paraId="17B171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Казалось бы, что для командиров дивизий и командира корпуса, штурманов дивизии и корпуса это неблагополучие должно было послужить большим сигналом.</w:t>
      </w:r>
    </w:p>
    <w:p w14:paraId="0D5D77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Необходимо было немедленно мобилизовать все силы для упорной работы по изжитию обнаруженных недостатков, но никто из них ровно ничего не сделал, чтобы срочно выправить этот крупнейший недочет. Наоборот, и большие и маленькие начальники занялись самовосхвалением друг друга, в результате процветающее в корпусе и дивизиях безделье привело к зазнайству штурманов. Корпус, находясь на Воронежском фронте свыше месяца, даже района предстоящих действий не облетал, а командующий 2-й воздушной армией генерал-лейтенант авиации Красовский мер к этому никаких не принял, состояния корпуса не знает, им не занимается и не готовит корпус к боевой работе на фронте.</w:t>
      </w:r>
    </w:p>
    <w:p w14:paraId="55B3B9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корпусе и дивизиях вошло в систему при полетах в группе ориентироваться одному ведущему, все остальные штурманы представляют собою мертвый и неполезный груз.</w:t>
      </w:r>
    </w:p>
    <w:p w14:paraId="6ADF22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всех этих безобразиях при перелете вина ложится и на самих истребителей, которые шли за лидером с завязанными глазами, но которые обязаны были и каждый из них во всех случаях любого полета ориентироваться самостоятельно.</w:t>
      </w:r>
    </w:p>
    <w:p w14:paraId="0D464B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если бы истребители ориентировались в исключительно простом происходящем перелете, тогда бы не было никаких блужданий, потерь в людях и самолетах.</w:t>
      </w:r>
    </w:p>
    <w:p w14:paraId="5CDD1F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Приказываю:</w:t>
      </w:r>
    </w:p>
    <w:p w14:paraId="2A10D9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Командиру 1-й гвардейской авиадивизии полковнику Добыш и командиру 293-й авиадивизии полковнику Грибакину за плохую подготовку в штурманском отношении дивизий, за самоуспокоенность, слабую дисциплину и отсутствие требовательности объявить выговор и предупредить, что если они в срок до 15 мая не выправят штурманских и бомбардировочных недочетов, то оба будут сняты с занимаемых должностей, понижены в звании и назначены с понижением.</w:t>
      </w:r>
    </w:p>
    <w:p w14:paraId="637651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Штурманов дивизий: 1-й гвардейской — майора Янченко и 293-й — майора Аксенова за исключительно слабую штурманскую подготовку дивизий снизить в военном звании до “капитан” с испытательным сроком до 1 августа 1943 года, после чего командиру 1 бак донести мне о их работе со своим заключением.</w:t>
      </w:r>
    </w:p>
    <w:p w14:paraId="4D1362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Штурману корпуса майору Савченко за слабую штурманскую подготовку дивизий объявить выговор и предупредить о неполном служебном соответствии.</w:t>
      </w:r>
    </w:p>
    <w:p w14:paraId="7BB906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Штурманов полков: 854-го авиаполка — капитана Лопатина и 82-го гвардейского — капитана Скоробогатова за слабую штурманскую подготовку полков снизить в военном звании до “старший лейтенант” с испытательным сроком до 1 августа 1943 г., после чего командиру 1 бак представить мне доклад о их работе со своим заключением.</w:t>
      </w:r>
    </w:p>
    <w:p w14:paraId="044114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5. Штурмана корабля 854-го полка старшего сержанта Сероглазова откомандировать в 1-й штурмовой авиакорпус рядовым стрелком на </w:t>
      </w:r>
      <w:r w:rsidRPr="00D03F3E">
        <w:rPr>
          <w:rFonts w:ascii="Times New Roman" w:hAnsi="Times New Roman"/>
          <w:iCs/>
          <w:color w:val="000000" w:themeColor="text1"/>
          <w:sz w:val="16"/>
          <w:szCs w:val="16"/>
        </w:rPr>
        <w:t xml:space="preserve">Ил-2. </w:t>
      </w:r>
      <w:r w:rsidRPr="00D03F3E">
        <w:rPr>
          <w:rFonts w:ascii="Times New Roman" w:hAnsi="Times New Roman"/>
          <w:color w:val="000000" w:themeColor="text1"/>
          <w:sz w:val="16"/>
          <w:szCs w:val="16"/>
        </w:rPr>
        <w:t>Пусть штурмовики его научат ориентироваться, а командиру 1 шак генерал-лейтенанту авиации тов. Рязанову донести мне о работе Сероглазова к 1 июля 1943 г.</w:t>
      </w:r>
    </w:p>
    <w:p w14:paraId="4FB978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Штурмана эскадрильи 82-го гвардейского авиаполка капитана Сербкова за посадку группы в Вешенская вместо Миллерово, что произошло в результате его распущенности и халатности, снизить в военном звании до “старший лейтенант” и назначить штурманом звена.</w:t>
      </w:r>
    </w:p>
    <w:p w14:paraId="195D58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Летчика 82-го гвардейского авиаполка Зотова и штурмана эскадрильи Каримова арестовать и предать суду военного трибунала.</w:t>
      </w:r>
    </w:p>
    <w:p w14:paraId="2D07A7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Командира 82-го гвардейского авиаполка майора Анисимова за плохую подготовку полка арестовать на 15 суток с удержанием за каждые сутки ареста 50% зарплаты и предупредить, что, если полк к 15 мая окажется неподготовленным в штурманском отношении, то он будет снижен в звании и назначен с понижением.</w:t>
      </w:r>
    </w:p>
    <w:p w14:paraId="19C28B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 налагаю взыскания на врид командира 854-го полка капитана Королева только потому, что он командует полком всего лишь один месяц, но требую в самый кратчайший срок поднять подготовку полка на должную высоту во всех отношениях.</w:t>
      </w:r>
    </w:p>
    <w:p w14:paraId="576A2F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На остальных виновников командиру 1 бак наложить взыскания своей властью.</w:t>
      </w:r>
    </w:p>
    <w:p w14:paraId="1FB4E4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Обращаю внимание командира 1 бак полковника Полбина на недопустимость либерального отношения к подчиненному ему личному составу и требую более решительных и немедленных мер по поднятию в корпусе на должную высоту штурманской и бомбардировочной подготовки.</w:t>
      </w:r>
    </w:p>
    <w:p w14:paraId="79C059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Командующему 2-й воздушной армией генерал-лейтенанту авиации Красовскому отпустить для корпуса на боевую подготовку 150 т авиационного бензина. В срок до 1 мая организовать облет района предстоящих действий для корпуса, установить за работой корпуса постоянный контроль и не стоять в стороне, а лично помочь командиру корпуса навести порядок в частях корпуса.</w:t>
      </w:r>
    </w:p>
    <w:p w14:paraId="632ED8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Начальнику Главного управления боевой подготовки ВВС Красной Армии генерал-лейтенанту авиации Кондратюк в срок между 15 и 20 мая проверить состояние корпуса во всех отношениях и результаты проверки доложить мне.</w:t>
      </w:r>
    </w:p>
    <w:p w14:paraId="17237F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В целях упорядочения оперативных перелетов начальнику Штаба ВВС Красной Армии разработать Инструкцию по организации и проведению оперативных перелетов и представить мне на утверждение к 5.5.43 г.</w:t>
      </w:r>
    </w:p>
    <w:p w14:paraId="47D7B4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Приказ проработать со всем летным составом, кроме пунктов 1 и 9, которые объявить только до командиров полков включительно.</w:t>
      </w:r>
    </w:p>
    <w:p w14:paraId="3937FC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Заместитель Народного комиссара обороны маршал авиации НОВИКОВ </w:t>
      </w:r>
      <w:r w:rsidRPr="00D03F3E">
        <w:rPr>
          <w:rFonts w:ascii="Times New Roman" w:hAnsi="Times New Roman"/>
          <w:color w:val="000000" w:themeColor="text1"/>
          <w:sz w:val="16"/>
          <w:szCs w:val="16"/>
        </w:rPr>
        <w:t>(9844).</w:t>
      </w:r>
    </w:p>
    <w:p w14:paraId="33D3B1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48C98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апреля 1943 вышло Постановление ГКО № 3256 Об изменении функций Главного управления формирования и укомплектования войск Красной Армии. (7100, 49-50).</w:t>
      </w:r>
    </w:p>
    <w:p w14:paraId="126914F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56336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59FED0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A2247D" w14:textId="77777777" w:rsidR="002E357C" w:rsidRPr="00D03F3E"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апреля 1943 началось путешествие Рикенбе</w:t>
      </w:r>
      <w:r w:rsidRPr="00D03F3E">
        <w:rPr>
          <w:rFonts w:ascii="Times New Roman" w:hAnsi="Times New Roman"/>
          <w:color w:val="000000" w:themeColor="text1"/>
          <w:sz w:val="16"/>
          <w:szCs w:val="16"/>
        </w:rPr>
        <w:softHyphen/>
        <w:t>кер в Россию. За полтора месяца был пройден маршрут: Майами — Пуэрто-Рико — Белен — Натал — Дакар — Мара- кеш — Касабланка — Оран — Ал</w:t>
      </w:r>
      <w:r w:rsidRPr="00D03F3E">
        <w:rPr>
          <w:rFonts w:ascii="Times New Roman" w:hAnsi="Times New Roman"/>
          <w:color w:val="000000" w:themeColor="text1"/>
          <w:sz w:val="16"/>
          <w:szCs w:val="16"/>
        </w:rPr>
        <w:softHyphen/>
        <w:t>жир — Константина — Бенгази — Каир — Абадан — Карачи — Нью- дели — Калькутта — Куньмин — Чэн- ду — Чунцин — Нью-дели — Карачи — Тегеран. Часть пути выполнялась на самолете С-54, а в Каире Ри- кенбекеру был предоставлен само</w:t>
      </w:r>
      <w:r w:rsidRPr="00D03F3E">
        <w:rPr>
          <w:rFonts w:ascii="Times New Roman" w:hAnsi="Times New Roman"/>
          <w:color w:val="000000" w:themeColor="text1"/>
          <w:sz w:val="16"/>
          <w:szCs w:val="16"/>
        </w:rPr>
        <w:softHyphen/>
        <w:t>лет С-87 «Либерейтор Экспресс» с надписью на борту на русском языке — «Миссия Риккенбеккера» (с двойными буквами «К»).</w:t>
      </w:r>
    </w:p>
    <w:p w14:paraId="2A5E83B6" w14:textId="77777777" w:rsidR="002E357C" w:rsidRPr="00D03F3E"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6 часов утра 19 июня 1943 г. самолёт С-87 стартовал с Тегеран</w:t>
      </w:r>
      <w:r w:rsidRPr="00D03F3E">
        <w:rPr>
          <w:rFonts w:ascii="Times New Roman" w:hAnsi="Times New Roman"/>
          <w:color w:val="000000" w:themeColor="text1"/>
          <w:sz w:val="16"/>
          <w:szCs w:val="16"/>
        </w:rPr>
        <w:softHyphen/>
        <w:t>ского аэродрома и взял курс на Рос</w:t>
      </w:r>
      <w:r w:rsidRPr="00D03F3E">
        <w:rPr>
          <w:rFonts w:ascii="Times New Roman" w:hAnsi="Times New Roman"/>
          <w:color w:val="000000" w:themeColor="text1"/>
          <w:sz w:val="16"/>
          <w:szCs w:val="16"/>
        </w:rPr>
        <w:softHyphen/>
        <w:t>сию. Экипаж, состоящий из коман</w:t>
      </w:r>
      <w:r w:rsidRPr="00D03F3E">
        <w:rPr>
          <w:rFonts w:ascii="Times New Roman" w:hAnsi="Times New Roman"/>
          <w:color w:val="000000" w:themeColor="text1"/>
          <w:sz w:val="16"/>
          <w:szCs w:val="16"/>
        </w:rPr>
        <w:softHyphen/>
        <w:t>дира — Уильяма Ф. Ричмонда, вто</w:t>
      </w:r>
      <w:r w:rsidRPr="00D03F3E">
        <w:rPr>
          <w:rFonts w:ascii="Times New Roman" w:hAnsi="Times New Roman"/>
          <w:color w:val="000000" w:themeColor="text1"/>
          <w:sz w:val="16"/>
          <w:szCs w:val="16"/>
        </w:rPr>
        <w:softHyphen/>
        <w:t>рого пилота, штурмана, инженера и радиооператора, был усилен рус</w:t>
      </w:r>
      <w:r w:rsidRPr="00D03F3E">
        <w:rPr>
          <w:rFonts w:ascii="Times New Roman" w:hAnsi="Times New Roman"/>
          <w:color w:val="000000" w:themeColor="text1"/>
          <w:sz w:val="16"/>
          <w:szCs w:val="16"/>
        </w:rPr>
        <w:softHyphen/>
        <w:t>скими штурманом и радистом, а так</w:t>
      </w:r>
      <w:r w:rsidRPr="00D03F3E">
        <w:rPr>
          <w:rFonts w:ascii="Times New Roman" w:hAnsi="Times New Roman"/>
          <w:color w:val="000000" w:themeColor="text1"/>
          <w:sz w:val="16"/>
          <w:szCs w:val="16"/>
        </w:rPr>
        <w:softHyphen/>
        <w:t>же двумя «мрачноватыми типами с твёрдым взглядом агентов НКВД».</w:t>
      </w:r>
    </w:p>
    <w:p w14:paraId="06EFAEB8" w14:textId="77777777" w:rsidR="002E357C" w:rsidRPr="00D03F3E"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высоте более 5000 м само</w:t>
      </w:r>
      <w:r w:rsidRPr="00D03F3E">
        <w:rPr>
          <w:rFonts w:ascii="Times New Roman" w:hAnsi="Times New Roman"/>
          <w:color w:val="000000" w:themeColor="text1"/>
          <w:sz w:val="16"/>
          <w:szCs w:val="16"/>
        </w:rPr>
        <w:softHyphen/>
        <w:t>лет прошел над Эльбрусом, Каспи</w:t>
      </w:r>
      <w:r w:rsidRPr="00D03F3E">
        <w:rPr>
          <w:rFonts w:ascii="Times New Roman" w:hAnsi="Times New Roman"/>
          <w:color w:val="000000" w:themeColor="text1"/>
          <w:sz w:val="16"/>
          <w:szCs w:val="16"/>
        </w:rPr>
        <w:softHyphen/>
        <w:t>ем и Грозным, который был ещё за</w:t>
      </w:r>
      <w:r w:rsidRPr="00D03F3E">
        <w:rPr>
          <w:rFonts w:ascii="Times New Roman" w:hAnsi="Times New Roman"/>
          <w:color w:val="000000" w:themeColor="text1"/>
          <w:sz w:val="16"/>
          <w:szCs w:val="16"/>
        </w:rPr>
        <w:softHyphen/>
        <w:t>нят фашистами. Затем, пролетев над Астраханью, С-87 прошел вдоль Волги и около часа дня приземлил</w:t>
      </w:r>
      <w:r w:rsidRPr="00D03F3E">
        <w:rPr>
          <w:rFonts w:ascii="Times New Roman" w:hAnsi="Times New Roman"/>
          <w:color w:val="000000" w:themeColor="text1"/>
          <w:sz w:val="16"/>
          <w:szCs w:val="16"/>
        </w:rPr>
        <w:softHyphen/>
        <w:t>ся в Куйбышеве (ныне — Самара). Рикенбекера встречали несколько русских офицеров и американский представитель Уорвик Перкинс.</w:t>
      </w:r>
    </w:p>
    <w:p w14:paraId="340E74E7" w14:textId="77777777" w:rsidR="002E357C" w:rsidRPr="00D03F3E"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следующее утро, осторожно облетая линию фронта, «Миссия» отправилась в Москву.</w:t>
      </w:r>
    </w:p>
    <w:p w14:paraId="29A79444" w14:textId="77777777" w:rsidR="002E357C" w:rsidRPr="00D03F3E"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Москве Рикенбекера встреча</w:t>
      </w:r>
      <w:r w:rsidRPr="00D03F3E">
        <w:rPr>
          <w:rFonts w:ascii="Times New Roman" w:hAnsi="Times New Roman"/>
          <w:color w:val="000000" w:themeColor="text1"/>
          <w:sz w:val="16"/>
          <w:szCs w:val="16"/>
        </w:rPr>
        <w:softHyphen/>
        <w:t>ли высокие советские чины и три не</w:t>
      </w:r>
      <w:r w:rsidRPr="00D03F3E">
        <w:rPr>
          <w:rFonts w:ascii="Times New Roman" w:hAnsi="Times New Roman"/>
          <w:color w:val="000000" w:themeColor="text1"/>
          <w:sz w:val="16"/>
          <w:szCs w:val="16"/>
        </w:rPr>
        <w:softHyphen/>
        <w:t>сколько сконфуженных американца: посол адмирал Стэнли, военный ат</w:t>
      </w:r>
      <w:r w:rsidRPr="00D03F3E">
        <w:rPr>
          <w:rFonts w:ascii="Times New Roman" w:hAnsi="Times New Roman"/>
          <w:color w:val="000000" w:themeColor="text1"/>
          <w:sz w:val="16"/>
          <w:szCs w:val="16"/>
        </w:rPr>
        <w:softHyphen/>
        <w:t>таше Митчелл и военно-морской атташе адмирал Дункан. Адмирал Стенли узнал о прибытии делега</w:t>
      </w:r>
      <w:r w:rsidRPr="00D03F3E">
        <w:rPr>
          <w:rFonts w:ascii="Times New Roman" w:hAnsi="Times New Roman"/>
          <w:color w:val="000000" w:themeColor="text1"/>
          <w:sz w:val="16"/>
          <w:szCs w:val="16"/>
        </w:rPr>
        <w:softHyphen/>
        <w:t>ции всего за 30 мин до посадки, в спешке оповестил своих коллег и примчался на аэродром.</w:t>
      </w:r>
    </w:p>
    <w:p w14:paraId="1CEFC015" w14:textId="77777777" w:rsidR="002E357C" w:rsidRPr="00D03F3E"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Несколько дней спустя Рикенбекер был приглашен в Кремль на це</w:t>
      </w:r>
      <w:r w:rsidRPr="00D03F3E">
        <w:rPr>
          <w:rFonts w:ascii="Times New Roman" w:hAnsi="Times New Roman"/>
          <w:color w:val="000000" w:themeColor="text1"/>
          <w:sz w:val="16"/>
          <w:szCs w:val="16"/>
        </w:rPr>
        <w:softHyphen/>
        <w:t>ремонию вручения американских на</w:t>
      </w:r>
      <w:r w:rsidRPr="00D03F3E">
        <w:rPr>
          <w:rFonts w:ascii="Times New Roman" w:hAnsi="Times New Roman"/>
          <w:color w:val="000000" w:themeColor="text1"/>
          <w:sz w:val="16"/>
          <w:szCs w:val="16"/>
        </w:rPr>
        <w:softHyphen/>
        <w:t>град советским лётчикам и морякам.</w:t>
      </w:r>
    </w:p>
    <w:p w14:paraId="34A8B521" w14:textId="77777777" w:rsidR="002E357C" w:rsidRPr="00D03F3E"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Там были ВМ Молотов и М.М Лит</w:t>
      </w:r>
      <w:r w:rsidRPr="00D03F3E">
        <w:rPr>
          <w:rFonts w:ascii="Times New Roman" w:hAnsi="Times New Roman"/>
          <w:color w:val="000000" w:themeColor="text1"/>
          <w:sz w:val="16"/>
          <w:szCs w:val="16"/>
        </w:rPr>
        <w:softHyphen/>
        <w:t>винов, вернувшийся в Москву. После церемонии был дан обед, который Рикенбекер описывает так:</w:t>
      </w:r>
    </w:p>
    <w:p w14:paraId="4739821D" w14:textId="77777777" w:rsidR="002E357C" w:rsidRPr="00D03F3E"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обеде были Молотов и мар</w:t>
      </w:r>
      <w:r w:rsidRPr="00D03F3E">
        <w:rPr>
          <w:rFonts w:ascii="Times New Roman" w:hAnsi="Times New Roman"/>
          <w:color w:val="000000" w:themeColor="text1"/>
          <w:sz w:val="16"/>
          <w:szCs w:val="16"/>
        </w:rPr>
        <w:softHyphen/>
        <w:t>шал Георгий Жуков — глава рус</w:t>
      </w:r>
      <w:r w:rsidRPr="00D03F3E">
        <w:rPr>
          <w:rFonts w:ascii="Times New Roman" w:hAnsi="Times New Roman"/>
          <w:color w:val="000000" w:themeColor="text1"/>
          <w:sz w:val="16"/>
          <w:szCs w:val="16"/>
        </w:rPr>
        <w:softHyphen/>
        <w:t>ской военной ставки. Роль хозяина досталась Литвинову. Столовая была великолепной, стол сервиро</w:t>
      </w:r>
      <w:r w:rsidRPr="00D03F3E">
        <w:rPr>
          <w:rFonts w:ascii="Times New Roman" w:hAnsi="Times New Roman"/>
          <w:color w:val="000000" w:themeColor="text1"/>
          <w:sz w:val="16"/>
          <w:szCs w:val="16"/>
        </w:rPr>
        <w:softHyphen/>
        <w:t>ван по-королевски. Столовые при</w:t>
      </w:r>
      <w:r w:rsidRPr="00D03F3E">
        <w:rPr>
          <w:rFonts w:ascii="Times New Roman" w:hAnsi="Times New Roman"/>
          <w:color w:val="000000" w:themeColor="text1"/>
          <w:sz w:val="16"/>
          <w:szCs w:val="16"/>
        </w:rPr>
        <w:softHyphen/>
        <w:t>боры были из золота. ...Угощение состояло из свежей чёрной икры, чёрного хлеба, сливочного масла и холодной рыбы, всё это подавалось к водке.</w:t>
      </w:r>
    </w:p>
    <w:p w14:paraId="0441652F" w14:textId="77777777" w:rsidR="002E357C" w:rsidRPr="00D03F3E"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Через Литвинова Молотов задал мне вопрос о цели моего пребыва</w:t>
      </w:r>
      <w:r w:rsidRPr="00D03F3E">
        <w:rPr>
          <w:rFonts w:ascii="Times New Roman" w:hAnsi="Times New Roman"/>
          <w:color w:val="000000" w:themeColor="text1"/>
          <w:sz w:val="16"/>
          <w:szCs w:val="16"/>
        </w:rPr>
        <w:softHyphen/>
        <w:t>ния в Москве... (Я) пояснил, что мне хотелось бы помочь русским специ</w:t>
      </w:r>
      <w:r w:rsidRPr="00D03F3E">
        <w:rPr>
          <w:rFonts w:ascii="Times New Roman" w:hAnsi="Times New Roman"/>
          <w:color w:val="000000" w:themeColor="text1"/>
          <w:sz w:val="16"/>
          <w:szCs w:val="16"/>
        </w:rPr>
        <w:softHyphen/>
        <w:t>алистам в обслуживании американ</w:t>
      </w:r>
      <w:r w:rsidRPr="00D03F3E">
        <w:rPr>
          <w:rFonts w:ascii="Times New Roman" w:hAnsi="Times New Roman"/>
          <w:color w:val="000000" w:themeColor="text1"/>
          <w:sz w:val="16"/>
          <w:szCs w:val="16"/>
        </w:rPr>
        <w:softHyphen/>
        <w:t>ской авиатехники, и мне потребует</w:t>
      </w:r>
      <w:r w:rsidRPr="00D03F3E">
        <w:rPr>
          <w:rFonts w:ascii="Times New Roman" w:hAnsi="Times New Roman"/>
          <w:color w:val="000000" w:themeColor="text1"/>
          <w:sz w:val="16"/>
          <w:szCs w:val="16"/>
        </w:rPr>
        <w:softHyphen/>
        <w:t>ся человек с техническим образова</w:t>
      </w:r>
      <w:r w:rsidRPr="00D03F3E">
        <w:rPr>
          <w:rFonts w:ascii="Times New Roman" w:hAnsi="Times New Roman"/>
          <w:color w:val="000000" w:themeColor="text1"/>
          <w:sz w:val="16"/>
          <w:szCs w:val="16"/>
        </w:rPr>
        <w:softHyphen/>
        <w:t>нием, знающий английский.</w:t>
      </w:r>
    </w:p>
    <w:p w14:paraId="5BD37CF6" w14:textId="77777777" w:rsidR="002E357C" w:rsidRPr="00D03F3E"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 получил согласие Молотова на всё, о чём просил. Он распорядил</w:t>
      </w:r>
      <w:r w:rsidRPr="00D03F3E">
        <w:rPr>
          <w:rFonts w:ascii="Times New Roman" w:hAnsi="Times New Roman"/>
          <w:color w:val="000000" w:themeColor="text1"/>
          <w:sz w:val="16"/>
          <w:szCs w:val="16"/>
        </w:rPr>
        <w:softHyphen/>
        <w:t>ся показать мне всё, что возможно и выделить подходящего человека в помощь».</w:t>
      </w:r>
    </w:p>
    <w:p w14:paraId="5B6DCEBE" w14:textId="77777777" w:rsidR="002E357C" w:rsidRPr="00D03F3E"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Некоторое время спустя в «Мет</w:t>
      </w:r>
      <w:r w:rsidRPr="00D03F3E">
        <w:rPr>
          <w:rFonts w:ascii="Times New Roman" w:hAnsi="Times New Roman"/>
          <w:color w:val="000000" w:themeColor="text1"/>
          <w:sz w:val="16"/>
          <w:szCs w:val="16"/>
        </w:rPr>
        <w:softHyphen/>
        <w:t>рополь», где остановился Рикенбекер, позвонили и предложили при</w:t>
      </w:r>
      <w:r w:rsidRPr="00D03F3E">
        <w:rPr>
          <w:rFonts w:ascii="Times New Roman" w:hAnsi="Times New Roman"/>
          <w:color w:val="000000" w:themeColor="text1"/>
          <w:sz w:val="16"/>
          <w:szCs w:val="16"/>
        </w:rPr>
        <w:softHyphen/>
        <w:t>быть в штаб ВВС. Там ему предста</w:t>
      </w:r>
      <w:r w:rsidRPr="00D03F3E">
        <w:rPr>
          <w:rFonts w:ascii="Times New Roman" w:hAnsi="Times New Roman"/>
          <w:color w:val="000000" w:themeColor="text1"/>
          <w:sz w:val="16"/>
          <w:szCs w:val="16"/>
        </w:rPr>
        <w:softHyphen/>
        <w:t>вили переводчика — капитана Смо- лярова, отлично говорившего по- английски и обладавшего знаниями авиационного инженера, который затем неизменно сопровождал Эду</w:t>
      </w:r>
      <w:r w:rsidRPr="00D03F3E">
        <w:rPr>
          <w:rFonts w:ascii="Times New Roman" w:hAnsi="Times New Roman"/>
          <w:color w:val="000000" w:themeColor="text1"/>
          <w:sz w:val="16"/>
          <w:szCs w:val="16"/>
        </w:rPr>
        <w:softHyphen/>
        <w:t>арда в течение всего визита.</w:t>
      </w:r>
    </w:p>
    <w:p w14:paraId="1EA14603" w14:textId="77777777" w:rsidR="002E357C" w:rsidRPr="00D03F3E"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Затем Рикенбекер отправился в штаб ПВО Москвы. На команд</w:t>
      </w:r>
      <w:r w:rsidRPr="00D03F3E">
        <w:rPr>
          <w:rFonts w:ascii="Times New Roman" w:hAnsi="Times New Roman"/>
          <w:color w:val="000000" w:themeColor="text1"/>
          <w:sz w:val="16"/>
          <w:szCs w:val="16"/>
        </w:rPr>
        <w:softHyphen/>
        <w:t>ном пункте произошла встреча с А.Б. Юмашевым командиром 6-го истребительного авиационного кор</w:t>
      </w:r>
      <w:r w:rsidRPr="00D03F3E">
        <w:rPr>
          <w:rFonts w:ascii="Times New Roman" w:hAnsi="Times New Roman"/>
          <w:color w:val="000000" w:themeColor="text1"/>
          <w:sz w:val="16"/>
          <w:szCs w:val="16"/>
        </w:rPr>
        <w:softHyphen/>
        <w:t>пуса. Они были знакомы с 1937 г., когда Рикенбекер сопровождал экипаж Громова во время их пре</w:t>
      </w:r>
      <w:r w:rsidRPr="00D03F3E">
        <w:rPr>
          <w:rFonts w:ascii="Times New Roman" w:hAnsi="Times New Roman"/>
          <w:color w:val="000000" w:themeColor="text1"/>
          <w:sz w:val="16"/>
          <w:szCs w:val="16"/>
        </w:rPr>
        <w:softHyphen/>
        <w:t>бывания в Нью Йорке после ре</w:t>
      </w:r>
      <w:r w:rsidRPr="00D03F3E">
        <w:rPr>
          <w:rFonts w:ascii="Times New Roman" w:hAnsi="Times New Roman"/>
          <w:color w:val="000000" w:themeColor="text1"/>
          <w:sz w:val="16"/>
          <w:szCs w:val="16"/>
        </w:rPr>
        <w:softHyphen/>
        <w:t>кордного перелета из Москвы в Сан-Джасинто.</w:t>
      </w:r>
    </w:p>
    <w:p w14:paraId="2C07A5A7" w14:textId="77777777" w:rsidR="002E357C" w:rsidRPr="00D03F3E"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Рикенбекер задал Юмашеву воп</w:t>
      </w:r>
      <w:r w:rsidRPr="00D03F3E">
        <w:rPr>
          <w:rFonts w:ascii="Times New Roman" w:hAnsi="Times New Roman"/>
          <w:color w:val="000000" w:themeColor="text1"/>
          <w:sz w:val="16"/>
          <w:szCs w:val="16"/>
        </w:rPr>
        <w:softHyphen/>
        <w:t>рос: «Почему немцы бомбят в ради</w:t>
      </w:r>
      <w:r w:rsidRPr="00D03F3E">
        <w:rPr>
          <w:rFonts w:ascii="Times New Roman" w:hAnsi="Times New Roman"/>
          <w:color w:val="000000" w:themeColor="text1"/>
          <w:sz w:val="16"/>
          <w:szCs w:val="16"/>
        </w:rPr>
        <w:softHyphen/>
        <w:t>усе пятисот километров от Москвы, а не сам город?» Тот улыбнулся и, дав секундомер, сказал: «Нажмешь кнопку по моему сигналу». Затем он что-то скомандовал в телефонную трубку, а Рикенбекер нажал кноп</w:t>
      </w:r>
      <w:r w:rsidRPr="00D03F3E">
        <w:rPr>
          <w:rFonts w:ascii="Times New Roman" w:hAnsi="Times New Roman"/>
          <w:color w:val="000000" w:themeColor="text1"/>
          <w:sz w:val="16"/>
          <w:szCs w:val="16"/>
        </w:rPr>
        <w:softHyphen/>
        <w:t>ку. Они быстро поднялись на на</w:t>
      </w:r>
      <w:r w:rsidRPr="00D03F3E">
        <w:rPr>
          <w:rFonts w:ascii="Times New Roman" w:hAnsi="Times New Roman"/>
          <w:color w:val="000000" w:themeColor="text1"/>
          <w:sz w:val="16"/>
          <w:szCs w:val="16"/>
        </w:rPr>
        <w:softHyphen/>
        <w:t>блюдательный пункт, и увидели в небе сотню истребителей Р-39, под</w:t>
      </w:r>
      <w:r w:rsidRPr="00D03F3E">
        <w:rPr>
          <w:rFonts w:ascii="Times New Roman" w:hAnsi="Times New Roman"/>
          <w:color w:val="000000" w:themeColor="text1"/>
          <w:sz w:val="16"/>
          <w:szCs w:val="16"/>
        </w:rPr>
        <w:softHyphen/>
        <w:t xml:space="preserve">нявшихся в воздух за 39 с. Это и </w:t>
      </w:r>
      <w:r w:rsidRPr="00D03F3E">
        <w:rPr>
          <w:rStyle w:val="14pt"/>
          <w:rFonts w:ascii="Times New Roman" w:hAnsi="Times New Roman" w:cs="Times New Roman"/>
          <w:color w:val="000000" w:themeColor="text1"/>
          <w:sz w:val="16"/>
          <w:szCs w:val="16"/>
        </w:rPr>
        <w:t>было его ответом на вопрос.</w:t>
      </w:r>
    </w:p>
    <w:p w14:paraId="3C6AB2DD" w14:textId="77777777" w:rsidR="002E357C" w:rsidRPr="00D03F3E"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Затем Юмашев в течение всего оставшегося дня возил американс</w:t>
      </w:r>
      <w:r w:rsidRPr="00D03F3E">
        <w:rPr>
          <w:rFonts w:ascii="Times New Roman" w:hAnsi="Times New Roman"/>
          <w:color w:val="000000" w:themeColor="text1"/>
          <w:sz w:val="16"/>
          <w:szCs w:val="16"/>
        </w:rPr>
        <w:softHyphen/>
        <w:t>кого представителя по авиабазам и батареям ПВО Москвы. Всё было в движении, пилоты несли дежурство, работали радиопередатчики на КПП суетились инженерные службы. Разыгранный перед Рикенбекером спектакль демонстрировал мощь московской ПВО и давал однознач</w:t>
      </w:r>
      <w:r w:rsidRPr="00D03F3E">
        <w:rPr>
          <w:rFonts w:ascii="Times New Roman" w:hAnsi="Times New Roman"/>
          <w:color w:val="000000" w:themeColor="text1"/>
          <w:sz w:val="16"/>
          <w:szCs w:val="16"/>
        </w:rPr>
        <w:softHyphen/>
        <w:t>ный ответ на вопрос: почему немцы не решаются бомбить Москву? (12117).</w:t>
      </w:r>
    </w:p>
    <w:p w14:paraId="645C8ECA" w14:textId="77777777" w:rsidR="002E357C" w:rsidRPr="00D03F3E"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p>
    <w:p w14:paraId="4DDED8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апреля 1943 вышла нота Советского Правительства о разрыве отношений с польским эмиграционным правительством в Лондоне в связи с предпринятой клеветнической компанией против СССР (3398,162).</w:t>
      </w:r>
    </w:p>
    <w:p w14:paraId="792AC03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1C91E9" w14:textId="77777777" w:rsidR="00B720A2"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7B167DC5" w14:textId="77777777" w:rsidR="00B720A2" w:rsidRPr="00D03F3E" w:rsidRDefault="00B720A2"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E3DE96"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апреля в 1943 году лейтенант Кинащук у берегов Ньюфаундленда потопил немецкую субмарину «U-174». Это был первый серьезный успех американских ударных самолетов «Lockheed» «PV» «Ventura» в борьбе с подводными лодками (15112).</w:t>
      </w:r>
    </w:p>
    <w:p w14:paraId="48DEE93F"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177A08A0" w14:textId="77777777" w:rsidR="00431667" w:rsidRPr="00D03F3E" w:rsidRDefault="0043166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27 апреля 1943 командир крыла Королевских ВВС Хью Малкольм посмертно награжден Крестом Виктории за свои действия во время кампании в Северной Африке (20376).</w:t>
      </w:r>
    </w:p>
    <w:p w14:paraId="3FA99D65" w14:textId="77777777" w:rsidR="00431667" w:rsidRPr="00D03F3E" w:rsidRDefault="00431667" w:rsidP="00D03F3E">
      <w:pPr>
        <w:spacing w:after="0" w:line="240" w:lineRule="auto"/>
        <w:jc w:val="both"/>
        <w:rPr>
          <w:rFonts w:ascii="Times New Roman" w:hAnsi="Times New Roman"/>
          <w:color w:val="0070C0"/>
          <w:sz w:val="16"/>
          <w:szCs w:val="16"/>
        </w:rPr>
      </w:pPr>
    </w:p>
    <w:p w14:paraId="2AA6FE0A"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27 апреля в 1943 году Мартин Борман, гитлеровский "серый кардинал", после перелета Рудольфа Гесса в Англию - секретарь фюрера и его заместитель по партии, постепенно становящийся самым могущественным после фюрера лицом рейха, направляет министру внутренних дел и шефу всех спецслужб Германии Генриху </w:t>
      </w:r>
      <w:r w:rsidRPr="00D03F3E">
        <w:rPr>
          <w:rFonts w:ascii="Times New Roman" w:hAnsi="Times New Roman"/>
          <w:color w:val="000000" w:themeColor="text1"/>
          <w:sz w:val="16"/>
          <w:szCs w:val="16"/>
        </w:rPr>
        <w:lastRenderedPageBreak/>
        <w:t>Гиммлеру жесткое письмо с предупреждением, что более не намерен терпеть попытки его людей подменять партийные инстанции в решении вопросов кадровой политики в органах государственной администрации (15112).</w:t>
      </w:r>
    </w:p>
    <w:p w14:paraId="636C8B8A"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5632190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5AF710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528B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1943 вышел приказ НКАП N 263с "Об оборудовании самолетов Ил-4 автоматами курса АК-1"</w:t>
      </w:r>
    </w:p>
    <w:p w14:paraId="20AC67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обеспечения качества пилотирования по курсу самолетов Ил-4 в условиях длительного полета:</w:t>
      </w:r>
    </w:p>
    <w:p w14:paraId="1104EE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Директору завода 23 Иосиловичу обеспечить выпуск 4 самолетов Ил-4, оборудованных автоматами курса АК-1 к 5 мая с.г.</w:t>
      </w:r>
    </w:p>
    <w:p w14:paraId="054E41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Нач. 10 ГУ и директорам заводов 23 и 39 обеспечить выпуск самолетов Ил-4 , оборудованных автоматами курса АК-1, в след. количествах и сроки:</w:t>
      </w:r>
    </w:p>
    <w:p w14:paraId="2645EB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по заводу 23 в мае - 10 и с июня на каждом втором</w:t>
      </w:r>
    </w:p>
    <w:p w14:paraId="637361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по заводу 39 в июне - 15, в июле 20 и с августа на каждом втором (1710,22).</w:t>
      </w:r>
    </w:p>
    <w:p w14:paraId="5C6894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0E12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1943 Дементьев писал письмо N Н-35/1705 дир. завода 84 Ярунину и Нач. 10 ГУ Тарасевичу:</w:t>
      </w:r>
    </w:p>
    <w:p w14:paraId="3DF54C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"Предлагаю не позднее 10 июня с.г. обеспечить выпуск серийных самолетов Ил-4, оборудованных УФО кабины пилота. При этом существующее освещение кабины необходимо сохранить.</w:t>
      </w:r>
    </w:p>
    <w:p w14:paraId="06828D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окончательной отработки чертежей к 10 мая с.г. произвести совместно с ГК С.В.И. оборудование одного самолета данным освещением, где устранить все недостатки, отмеченные на гос. испытаниях." (1767,104).</w:t>
      </w:r>
    </w:p>
    <w:p w14:paraId="5986C9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FBF0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1943 закончились гос. испытания Як-9П с М-105ПФ и одной ШВАК, которые начались 17 апреля Испытания вели л А.Г.Прошаков и и Г.А.Седов. Оказалось маловато будет, тем более, что решили ставить более тяжелые пушки в 23, 37 и 45 мм (65,121).</w:t>
      </w:r>
    </w:p>
    <w:p w14:paraId="363A62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EBC0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1943 Як-9П закончились государственные испытания в НИИ ВВС, которые шли с 17 апреля. Ведущими на этом этапе были инженер Г.А. Седов и летчик А.Г. Прошаков.</w:t>
      </w:r>
    </w:p>
    <w:p w14:paraId="073D7F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марте 1943 года из сборочного цеха опытного завода № 115 выкатили пушечный Як-9П (зав. № 0120) с мотором М-105ПФ и винтом ВИШ-61П с 2-мя пушками ШВАК. Истребитель Як-9П, представлявший собой доработанный Як-9 № 0120 завода № 153. В отличие от серийной машины, на Як-9П пулемет УБС заменили синхронной пушкой СП-20 (ШВАК) с укороченным стволом. Орудие располагалось над мотором с левой стороны и крепилось на ферме, допускавшей замену пулеметом УБС. Одновременно механизм перезарядки мотор-пушки МП-20 дополнили пневмомеханическим устройством, а баллоны со сжатым воздухом (для запуска двигателя) и аккумулятор расположили под верхним гаргротом фюзеляжа около киля. Вооружение усилили, но до установки прозрачной брони дело не дошло.</w:t>
      </w:r>
    </w:p>
    <w:p w14:paraId="5D3DF6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показали испытания Як-9П, техника пилотирования по сравнению с серийным Як-9, не изменилась, а секундный залп возрос в 1,25 раза, и самолет мог более эффективно использоваться как в воздушных боях, так и против наземных целей. Вес самолета при этом практически не изменился.</w:t>
      </w:r>
    </w:p>
    <w:p w14:paraId="2D33A0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Специалисты НИИ ВВС не спешили с рекомендацией запуска Як-9П в серийное производство и предложили для начала построить 100-150 самолетов этого типа для войсковых испытаний. Однако это пожелание так и осталось на бумаге, а вместо Як-9П вскоре был создан Як-9Т с пушкой калибра 37 мм (12046).</w:t>
      </w:r>
    </w:p>
    <w:p w14:paraId="3092B5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471395"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в 1943 году в НИИ ВВС завершились (начались 17 апреля) госиспытания «Як-9П», построенного ОКБ в марте 1943 года, летчик А.Г.Прошаков, ведущий инженер Г.А.Седов. «Як-9П» (пушечный) с двигателем «М-105ПФ» являлся модификацией серийного «Як-9», на котором синхронный пулемет УБС с боезапасом 200 патронов был заменен на синхронную пушку ШВАК(СП-20) с боезапасом 175 снарядов.Изменения в планере, винто-моторной группе и спецоборудовании - незначительные.Синхронная пушка, как и синхронный пулемет, располагалась над двигателем с левой стороны и крепилась к ферме фюзеляжа, которая допускала установку как пушки «СП-20», так и пулемета УБС. Масса установок вооружения увеличилась на 10...12 кг. Возросла боевая мощь оружия, упростилась его эксплуатация. Укороченный ствол пушки позволил улучшить аэродинамику желоба на верхней части капота. Самолет получил положительную оценку, но серийно не строился, так как к тому времени было признано более целесообразным оснащать самолеты «Як-9» пушечным вооружением более крупного калибра - 23; 37 и 45 мм (15113).</w:t>
      </w:r>
    </w:p>
    <w:p w14:paraId="4CC6EDB4"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069A03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28 апреля по 4 июня 1943 года в ЛИИ проходили летные испытания Ла-5 № 39210204 с новым звездообразным двигателем М-71Ф мощностью 2250 л.с., которые показали, что максимальная скорость истребителя возросла до 685 км/ч на высоте 5500 м. В то же время скороподъемность машины практически не изменилась.</w:t>
      </w:r>
    </w:p>
    <w:p w14:paraId="5D865C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Использование этого мотора на различных типах самолетов, как на истребителях, так и на бомбардировщиках все время сопровождалось неудачами. Хотя двигатель и прошел 50-часовые стендовые испытания, в полете и у М-71, и у его форсированной модификации М-71Ф постоянно что-то ломалось. Не исключением стал и Ла-5. Хотя мотор М-71Ф не только вылез за обводы капотов прежней силовой установки, но и утяжелил истребитель, его большая мощность сделала свое дело. </w:t>
      </w:r>
    </w:p>
    <w:p w14:paraId="06A63A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Чтобы выяснить пути улучшения характеристик машины, ее исследовали в натурной аэродинамической трубе ЦАГИ Т-101. Вывод специалистов аэрогидродинамического института был оптимистичным - улучшение аэродинамики самолета, особенно капотирования мотора, позволит довести максимальную скорость до 720 км/ч. Но доводка Ла-5 и двигателя М-71 затянулась. В итоге самолет оказался в разряде экспериментальных.</w:t>
      </w:r>
    </w:p>
    <w:p w14:paraId="32135F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Проектировался, но так и не был закончен истребитель со звездообразным мотором М-90 взлетной мощностью 1750 л.с. (12032).</w:t>
      </w:r>
    </w:p>
    <w:p w14:paraId="2C4F8BA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AC43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1943 г. появилась докладная записка Маленкову, подписанная заведующим отделом Управления кадров ЦК ВКП(б) Будниковым и инструктором этого же управления Федотиковым. В ней сообщалось, что проект Гудкова 27 апреля 1943 г. был рассмотрен на заседании экспертной комиссии 7-го Главного Управления НКАП.</w:t>
      </w:r>
    </w:p>
    <w:p w14:paraId="25A77A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Комиссия отметила, что самолетная часть проекта выполнена применительно к обычным формам самолетов истребительного типа и по своей конструкции сомнений не вызывает. Воздушно-реактивный газотурбинный</w:t>
      </w:r>
    </w:p>
    <w:p w14:paraId="2501D6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двигатель конструкции Люлька в то время еще не был окончен разработкой даже в объеме технического проекта, а поэтому дать заключение о реальности заявленной мощности 8000 э.л.с. при весе конструкции всего 700 кг и при расходе горючего, почти одинаковом с расходом в двигателе внутреннего сгорания, комиссия отказалась.</w:t>
      </w:r>
    </w:p>
    <w:p w14:paraId="52885F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Было принято решение о необходимости повторного рассмотрения предложений Люлька на экспертной комиссии после окончательной разработки технического проекта двигателя. Вопрос о самолетной конструкции до постройки опытного образца двигателя и снятия его характеристик на стенде сняли. Технический проект Люлька должен был закончить 15 мая 1943 г. Маленков, ознакомившись с докладной запиской, поставил задачу А.И. Шахурину и А.С. Яковлеву: "15 мая надо еще раз в квалифицированной комиссии с участием Люлька рассмотреть этот вопрос. Прошу Вас проследить за этим делом. О результатах сообщите". По-видимому, Маленков очень серьезно отнесся к предложениям Гудкова и Люлька. Иначе повело себя руководство НКАП (9016).</w:t>
      </w:r>
    </w:p>
    <w:p w14:paraId="54CA95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DB4D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1943 г. Ла-5 М-71Ф (самолет «Е») совершил первый полет, а 4 июня завершились его заводские ис</w:t>
      </w:r>
      <w:r w:rsidRPr="00D03F3E">
        <w:rPr>
          <w:rFonts w:ascii="Times New Roman" w:hAnsi="Times New Roman"/>
          <w:color w:val="000000" w:themeColor="text1"/>
          <w:sz w:val="16"/>
          <w:szCs w:val="16"/>
        </w:rPr>
        <w:softHyphen/>
        <w:t>пытания. Они показали, что самолет развивает скорость лишь 685 км/ч вместо заданных 720 км/ч, зато обладает приличной ско</w:t>
      </w:r>
      <w:r w:rsidRPr="00D03F3E">
        <w:rPr>
          <w:rFonts w:ascii="Times New Roman" w:hAnsi="Times New Roman"/>
          <w:color w:val="000000" w:themeColor="text1"/>
          <w:sz w:val="16"/>
          <w:szCs w:val="16"/>
        </w:rPr>
        <w:softHyphen/>
        <w:t>роподъемностью — на 5 км он выходил за 4,4 мин. Машину пере</w:t>
      </w:r>
      <w:r w:rsidRPr="00D03F3E">
        <w:rPr>
          <w:rFonts w:ascii="Times New Roman" w:hAnsi="Times New Roman"/>
          <w:color w:val="000000" w:themeColor="text1"/>
          <w:sz w:val="16"/>
          <w:szCs w:val="16"/>
        </w:rPr>
        <w:softHyphen/>
        <w:t>дали ЦАГИ для улучшения аэродинамики, и далее она «летала» лишь в аэродинамической трубе. Серийно такой вариант не строи</w:t>
      </w:r>
      <w:r w:rsidRPr="00D03F3E">
        <w:rPr>
          <w:rFonts w:ascii="Times New Roman" w:hAnsi="Times New Roman"/>
          <w:color w:val="000000" w:themeColor="text1"/>
          <w:sz w:val="16"/>
          <w:szCs w:val="16"/>
        </w:rPr>
        <w:softHyphen/>
        <w:t>ли, но полученный опыт использовался при создании Ла-5 М-82ФН № 0206, ставшего прототипом одного из лучших истребителей Второй мировой Ла-7. Не пошел в серию и вариант Ла-5 с новым мотором АШ-83, совершивший первый полет в марте 1944 г (11123).</w:t>
      </w:r>
    </w:p>
    <w:p w14:paraId="4A3460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7254F0"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в 1943 году начало летных испытаний (по 4 июня) «Ла-5» № 39210204 с новым звездообразным двигателем «М-71Ф». Использование того мотора на различных типах самолетов, как на истребителях, так и на бомбардировщиках, все время сопровождалось неудачами. Несмотря на то, что мотор прошел 50-часовые стендовые испытания, в полете и у «М-71», и у его форсированной модификации постоянно что-то ломалось. Не исключением стал и «Ла-5». К тому же «М-71Ф» имел большие габариты и утяжелял истребитель. Однако его большая мощность (на взлете он развивал до 2200 л.с.) сделала свое дело: летные испытания показали, что максимальная скорость истребителя возросла до 685 км/ч на высоте 5500 м (15113).</w:t>
      </w:r>
    </w:p>
    <w:p w14:paraId="7B316B6D"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31F338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1943 в Омске закончились совместные испытания 103В 2М-82 для определения максимальных скоростей по высотам, которые проходили с 19 марта 1943. Летал от ЛИИ И.И.Шелест. Испытывали 2 самолета - 103В и Ту-2 N 717. Выявили, что основными причинами недобора скорости являются:</w:t>
      </w:r>
    </w:p>
    <w:p w14:paraId="5ACD27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плохое качество карбюраторов</w:t>
      </w:r>
    </w:p>
    <w:p w14:paraId="0B7AE9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недостаточная высотность магнето</w:t>
      </w:r>
    </w:p>
    <w:p w14:paraId="05527F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недоведеность крыльчатки ПЦН</w:t>
      </w:r>
    </w:p>
    <w:p w14:paraId="48F745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плохое качество свечей (1835,25).</w:t>
      </w:r>
    </w:p>
    <w:p w14:paraId="513A4B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6E8A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другим данным 28 апреля 1943 в Омске закончены испытания Ту-2, после доводки М-82 и его агрегатов.</w:t>
      </w:r>
    </w:p>
    <w:p w14:paraId="5FD34B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Испытания проведены совместно ЛИИ НКАП и ОКБ А.Н.Т.</w:t>
      </w:r>
    </w:p>
    <w:p w14:paraId="480580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Доводка заключалась в следующем:</w:t>
      </w:r>
    </w:p>
    <w:p w14:paraId="1612AA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установлен нагнетатель большей высотности</w:t>
      </w:r>
    </w:p>
    <w:p w14:paraId="651DB8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установлено новое доведенное магнето с большей высотностью</w:t>
      </w:r>
    </w:p>
    <w:p w14:paraId="404396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установлены новые свечи</w:t>
      </w:r>
    </w:p>
    <w:p w14:paraId="7BFEEB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установлен улучшенный карбюратор...(1775,66).</w:t>
      </w:r>
    </w:p>
    <w:p w14:paraId="7D950A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D174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1943 г. экипаж И.И. Шелеста закончил испытания 103В, которые шли с 19 марта. В Омске экспериментировали с опытной машиной "103В". На нее поставили новые моторы с усовершенствованными нагнетателями, доработанные магнето, изменили регулировку карбюраторов, немного улучшили аэродинамику планера. По расчетам, планировали получить 560 км/ч. Данные на малых и средних высотах действительно улучшились. Скорость у земли возросла на 36 км/ч. Но с подъемом на высоту прирост уменьшался, и перейти границу 545 км/ч не удалось. К этому времени Швецов подготовил новую модификацию своего двигателя, оснащенную устройством непосредственного впрыска - М-82ФНВ (в серии она именовалась М-82ФН). Максимальная мощность поднялась до 1850 л.с. По прикидкам Туполева, с этими моторами можно было достичь у земли скорости 510 км/ч, а на высоте - 560 - 570 км/ч. С марта 1943 г. в Москве начали разработку чертежей мотоустановки Ту-2 с использованием М-82ФН. Но двигатели, еще не запущенные в массовое производство, несколько запоздали (11988).</w:t>
      </w:r>
    </w:p>
    <w:p w14:paraId="5375E2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7D01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с 28 на 29 апреля 1943 впервые с Пе-8 (ТБ-7) была сброшена бомба ФАБ-5000 на Кенигсберг. Потом бомбили и на Курской дуге. Эффективность была лишь немногим выше, чем у ФАБ-2000 (434,8).</w:t>
      </w:r>
    </w:p>
    <w:p w14:paraId="12BC41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19DA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был экипаж Пе-8 М-30Б N 42029 747 п под командованием Перегудова и сбросили с 5800 м (1564,9).</w:t>
      </w:r>
    </w:p>
    <w:p w14:paraId="09EC0D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другим данным первое использование ФАБ-5000 произошло только в ночь с 26 на 27 мая 1943 по Могилеву.</w:t>
      </w:r>
    </w:p>
    <w:p w14:paraId="3FD524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на склады 746 полка поступила первая ФАБ-5000 (1564,9).</w:t>
      </w:r>
    </w:p>
    <w:p w14:paraId="6ED7B2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ED47AB"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в 1943 году ночью 28 апреля 1943 года отряд самолетов сбросил первые серийные «ФАБ-5000» на береговые укрепления Кенигсберга. Hа фашистов пятитонка наводила ужас. Она оказала незаменимую помощь наземным войскам во многих сражениях, в частности в битве под Курском. Ее применяли при штурме крепостей, береговых укреплений, для уничтожения заводов и аэродромов (15113).</w:t>
      </w:r>
    </w:p>
    <w:p w14:paraId="20E36256"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4E4030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1943 в НИИ ВВС закончились контрольные испытания Як-6 № 01347 з-да № 47, которые проходили с 17 апреля 1942.</w:t>
      </w:r>
    </w:p>
    <w:p w14:paraId="0F8B75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Изменения по сравнения с опытным:</w:t>
      </w:r>
    </w:p>
    <w:p w14:paraId="741A93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Усилен пол грузовой кабины,</w:t>
      </w:r>
    </w:p>
    <w:p w14:paraId="3AA85E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Грузовая кабина оборудована откидными сидениями для 4 пассажиров,</w:t>
      </w:r>
    </w:p>
    <w:p w14:paraId="6831E8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Дверь грузовой кабины сделана съемной,</w:t>
      </w:r>
    </w:p>
    <w:p w14:paraId="5DA3C0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Установлен авиагоризонт,</w:t>
      </w:r>
    </w:p>
    <w:p w14:paraId="6E23F3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 приборной доской установленкозырек для устранения бликов,</w:t>
      </w:r>
    </w:p>
    <w:p w14:paraId="743AE4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Увеличено на 2 гр поперечное V крыла,</w:t>
      </w:r>
    </w:p>
    <w:p w14:paraId="124D02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Фанерные баки заменены металлическими.</w:t>
      </w:r>
    </w:p>
    <w:p w14:paraId="2F66A3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Машина испытания выдержала (4657, 18).</w:t>
      </w:r>
    </w:p>
    <w:p w14:paraId="0F8CD1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4646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1943 завод № 45 дос</w:t>
      </w:r>
      <w:r w:rsidRPr="00D03F3E">
        <w:rPr>
          <w:rFonts w:ascii="Times New Roman" w:hAnsi="Times New Roman"/>
          <w:color w:val="000000" w:themeColor="text1"/>
          <w:sz w:val="16"/>
          <w:szCs w:val="16"/>
        </w:rPr>
        <w:softHyphen/>
        <w:t>рочно рапортовал о выполнении ап</w:t>
      </w:r>
      <w:r w:rsidRPr="00D03F3E">
        <w:rPr>
          <w:rFonts w:ascii="Times New Roman" w:hAnsi="Times New Roman"/>
          <w:color w:val="000000" w:themeColor="text1"/>
          <w:sz w:val="16"/>
          <w:szCs w:val="16"/>
        </w:rPr>
        <w:softHyphen/>
        <w:t>рельской программы. Масштабы по</w:t>
      </w:r>
      <w:r w:rsidRPr="00D03F3E">
        <w:rPr>
          <w:rFonts w:ascii="Times New Roman" w:hAnsi="Times New Roman"/>
          <w:color w:val="000000" w:themeColor="text1"/>
          <w:sz w:val="16"/>
          <w:szCs w:val="16"/>
        </w:rPr>
        <w:softHyphen/>
        <w:t>ставок советской авиационной техни</w:t>
      </w:r>
      <w:r w:rsidRPr="00D03F3E">
        <w:rPr>
          <w:rFonts w:ascii="Times New Roman" w:hAnsi="Times New Roman"/>
          <w:color w:val="000000" w:themeColor="text1"/>
          <w:sz w:val="16"/>
          <w:szCs w:val="16"/>
        </w:rPr>
        <w:softHyphen/>
        <w:t>ки на фронт в мае-июле 1943 г. потря</w:t>
      </w:r>
      <w:r w:rsidRPr="00D03F3E">
        <w:rPr>
          <w:rFonts w:ascii="Times New Roman" w:hAnsi="Times New Roman"/>
          <w:color w:val="000000" w:themeColor="text1"/>
          <w:sz w:val="16"/>
          <w:szCs w:val="16"/>
        </w:rPr>
        <w:softHyphen/>
        <w:t>сают воображение. Так, только в пер</w:t>
      </w:r>
      <w:r w:rsidRPr="00D03F3E">
        <w:rPr>
          <w:rFonts w:ascii="Times New Roman" w:hAnsi="Times New Roman"/>
          <w:color w:val="000000" w:themeColor="text1"/>
          <w:sz w:val="16"/>
          <w:szCs w:val="16"/>
        </w:rPr>
        <w:softHyphen/>
        <w:t>вом из названных месяцев ВВС Крас</w:t>
      </w:r>
      <w:r w:rsidRPr="00D03F3E">
        <w:rPr>
          <w:rFonts w:ascii="Times New Roman" w:hAnsi="Times New Roman"/>
          <w:color w:val="000000" w:themeColor="text1"/>
          <w:sz w:val="16"/>
          <w:szCs w:val="16"/>
        </w:rPr>
        <w:softHyphen/>
        <w:t>ной Армии, Авиация дальнего действия, ВВС флотов и авиация ПВО получили 3898 боевых самолетов, в том числе 1144 штурмовика!</w:t>
      </w:r>
    </w:p>
    <w:p w14:paraId="2AFEDF9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три летних месяца ВВС получили 792 мотора от завода № 45. В цехах работало более 250 так называемых «фронтовых» бригад, до 60% их работ</w:t>
      </w:r>
      <w:r w:rsidRPr="00D03F3E">
        <w:rPr>
          <w:rFonts w:ascii="Times New Roman" w:hAnsi="Times New Roman"/>
          <w:color w:val="000000" w:themeColor="text1"/>
          <w:sz w:val="16"/>
          <w:szCs w:val="16"/>
        </w:rPr>
        <w:softHyphen/>
        <w:t>ников овладели двумя или тремя спе</w:t>
      </w:r>
      <w:r w:rsidRPr="00D03F3E">
        <w:rPr>
          <w:rFonts w:ascii="Times New Roman" w:hAnsi="Times New Roman"/>
          <w:color w:val="000000" w:themeColor="text1"/>
          <w:sz w:val="16"/>
          <w:szCs w:val="16"/>
        </w:rPr>
        <w:softHyphen/>
        <w:t>циальностями, что позволяло практи</w:t>
      </w:r>
      <w:r w:rsidRPr="00D03F3E">
        <w:rPr>
          <w:rFonts w:ascii="Times New Roman" w:hAnsi="Times New Roman"/>
          <w:color w:val="000000" w:themeColor="text1"/>
          <w:sz w:val="16"/>
          <w:szCs w:val="16"/>
        </w:rPr>
        <w:softHyphen/>
        <w:t>чески избегать простоев. В первую очередь именно благодаря «фронто</w:t>
      </w:r>
      <w:r w:rsidRPr="00D03F3E">
        <w:rPr>
          <w:rFonts w:ascii="Times New Roman" w:hAnsi="Times New Roman"/>
          <w:color w:val="000000" w:themeColor="text1"/>
          <w:sz w:val="16"/>
          <w:szCs w:val="16"/>
        </w:rPr>
        <w:softHyphen/>
        <w:t>вым» бригадам заводской коллектив удерживать первенство в соревнова</w:t>
      </w:r>
      <w:r w:rsidRPr="00D03F3E">
        <w:rPr>
          <w:rFonts w:ascii="Times New Roman" w:hAnsi="Times New Roman"/>
          <w:color w:val="000000" w:themeColor="text1"/>
          <w:sz w:val="16"/>
          <w:szCs w:val="16"/>
        </w:rPr>
        <w:softHyphen/>
        <w:t>нии среди родственных предприятий наркомата авиапромышленности.</w:t>
      </w:r>
    </w:p>
    <w:p w14:paraId="0ED4D3B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за 1943 г. завод № 45 сумел изготовить 3030 авиационных двига</w:t>
      </w:r>
      <w:r w:rsidRPr="00D03F3E">
        <w:rPr>
          <w:rFonts w:ascii="Times New Roman" w:hAnsi="Times New Roman"/>
          <w:color w:val="000000" w:themeColor="text1"/>
          <w:sz w:val="16"/>
          <w:szCs w:val="16"/>
        </w:rPr>
        <w:softHyphen/>
        <w:t>телей, отремонтировать 565 моторов, снизить себестоимость АМ-38Ф на 31,5%. Качество выпускаемых двигате</w:t>
      </w:r>
      <w:r w:rsidRPr="00D03F3E">
        <w:rPr>
          <w:rFonts w:ascii="Times New Roman" w:hAnsi="Times New Roman"/>
          <w:color w:val="000000" w:themeColor="text1"/>
          <w:sz w:val="16"/>
          <w:szCs w:val="16"/>
        </w:rPr>
        <w:softHyphen/>
        <w:t>лей значительно улучшилось: если в 1942 г. с контрольных испытаний на самолетостроительном заводе № 30 были сняты 28,7% моторов, потребо</w:t>
      </w:r>
      <w:r w:rsidRPr="00D03F3E">
        <w:rPr>
          <w:rFonts w:ascii="Times New Roman" w:hAnsi="Times New Roman"/>
          <w:color w:val="000000" w:themeColor="text1"/>
          <w:sz w:val="16"/>
          <w:szCs w:val="16"/>
        </w:rPr>
        <w:softHyphen/>
        <w:t>вавших устранения дефектов, то в 1943 г. таких оказалось только 10,9% (11159).</w:t>
      </w:r>
    </w:p>
    <w:p w14:paraId="15CAD2D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9CDB9B" w14:textId="77777777" w:rsidR="00431667" w:rsidRPr="00D03F3E" w:rsidRDefault="0043166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28 апреля 1943 г.</w:t>
      </w:r>
    </w:p>
    <w:p w14:paraId="51A1A731" w14:textId="77777777" w:rsidR="00431667" w:rsidRPr="00D03F3E" w:rsidRDefault="0043166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Телеграмма СНК СССР директору завода КАТЭК Буракову о производстве заводом взрывателей к противотанковой кумулятивной авиабомбе</w:t>
      </w:r>
    </w:p>
    <w:p w14:paraId="4197F37E" w14:textId="77777777" w:rsidR="00431667" w:rsidRPr="00D03F3E" w:rsidRDefault="0043166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28 апреля 1943 г.</w:t>
      </w:r>
    </w:p>
    <w:p w14:paraId="7D6509CD" w14:textId="77777777" w:rsidR="00431667" w:rsidRPr="00D03F3E" w:rsidRDefault="0043166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Принято в 19 ч. 10 мин.</w:t>
      </w:r>
    </w:p>
    <w:p w14:paraId="2836064B" w14:textId="77777777" w:rsidR="00431667" w:rsidRPr="00D03F3E" w:rsidRDefault="0043166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Секретно</w:t>
      </w:r>
    </w:p>
    <w:p w14:paraId="3B9C38CC" w14:textId="77777777" w:rsidR="00431667" w:rsidRPr="00D03F3E" w:rsidRDefault="0043166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Постановлением ГКО № 3250сс от 24 апреля 1943 г. на ваш завод возложено срочное и ответственное задание по производству взрывателей к противотанковой кумулятивной авиабомбе птаб-1,5 на май 30 тыс. штук и на июнь 50 тыс. штук. Примите немедленно меры к подготовке производства взрывателей к птаб-1,5 и безусловному выполнению установленного вашему заводу плана на май и июнь. Разработайте ежесуточный график выпуска взрывателей к птаб-1,5 и ежедневно сообщайте о ходе производства и выпуске этих изделий.</w:t>
      </w:r>
    </w:p>
    <w:p w14:paraId="733BC3DF" w14:textId="77777777" w:rsidR="00431667" w:rsidRPr="00D03F3E" w:rsidRDefault="0043166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ЛБ- /1514 СНК СССР</w:t>
      </w:r>
      <w:r w:rsidRPr="00D03F3E">
        <w:rPr>
          <w:rFonts w:ascii="Times New Roman" w:hAnsi="Times New Roman"/>
          <w:color w:val="0070C0"/>
          <w:sz w:val="16"/>
          <w:szCs w:val="16"/>
        </w:rPr>
        <w:tab/>
        <w:t>БЕРИЯ</w:t>
      </w:r>
    </w:p>
    <w:p w14:paraId="56D63314" w14:textId="77777777" w:rsidR="00431667" w:rsidRPr="00D03F3E" w:rsidRDefault="0043166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ГАСПИ. Ф. 656. On. 22. Д. 6. Л. 86. Подлинник (21095).</w:t>
      </w:r>
    </w:p>
    <w:p w14:paraId="727263D9" w14:textId="77777777" w:rsidR="00431667" w:rsidRPr="00D03F3E" w:rsidRDefault="00431667" w:rsidP="00D03F3E">
      <w:pPr>
        <w:spacing w:after="0" w:line="240" w:lineRule="auto"/>
        <w:jc w:val="both"/>
        <w:rPr>
          <w:rFonts w:ascii="Times New Roman" w:hAnsi="Times New Roman"/>
          <w:color w:val="0070C0"/>
          <w:sz w:val="16"/>
          <w:szCs w:val="16"/>
        </w:rPr>
      </w:pPr>
    </w:p>
    <w:p w14:paraId="2108821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5E7468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E756A0" w14:textId="77777777" w:rsidR="00B676DB" w:rsidRPr="00D03F3E" w:rsidRDefault="00B676D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состоянию на 28 апреля 1943 года конструкторское бюро Челябинского Кировского завода (ЧКЗ) уже вело работы по установке пушки А-19 на шасси СУ-152. Согласно переписке по Главному артиллерийскому управлению Красной армии (ГАУ КА), опытный образец </w:t>
      </w:r>
      <w:hyperlink r:id="rId125" w:history="1">
        <w:r w:rsidRPr="00D03F3E">
          <w:rPr>
            <w:rStyle w:val="a5"/>
            <w:rFonts w:ascii="Times New Roman" w:hAnsi="Times New Roman"/>
            <w:color w:val="000000" w:themeColor="text1"/>
            <w:sz w:val="16"/>
            <w:szCs w:val="16"/>
          </w:rPr>
          <w:t>СУ-152</w:t>
        </w:r>
      </w:hyperlink>
      <w:r w:rsidRPr="00D03F3E">
        <w:rPr>
          <w:rFonts w:ascii="Times New Roman" w:hAnsi="Times New Roman"/>
          <w:color w:val="000000" w:themeColor="text1"/>
          <w:sz w:val="16"/>
          <w:szCs w:val="16"/>
        </w:rPr>
        <w:t> с данным орудием планировали построить к 10 мая. На практике же работы довольно быстро застопорились. Дело в том, что ЧКЗ и завод №100 были перегружены другими заказами, да и работы по новой САУ не находились в высоком приоритете. В результате эта машина даже не попала в тематические работы челябинских КБ (16335).</w:t>
      </w:r>
    </w:p>
    <w:p w14:paraId="6FF31363" w14:textId="77777777" w:rsidR="00B676DB" w:rsidRPr="00D03F3E" w:rsidRDefault="00B676DB" w:rsidP="00D03F3E">
      <w:pPr>
        <w:spacing w:after="0" w:line="240" w:lineRule="auto"/>
        <w:jc w:val="both"/>
        <w:rPr>
          <w:rFonts w:ascii="Times New Roman" w:hAnsi="Times New Roman"/>
          <w:color w:val="000000" w:themeColor="text1"/>
          <w:sz w:val="16"/>
          <w:szCs w:val="16"/>
        </w:rPr>
      </w:pPr>
    </w:p>
    <w:p w14:paraId="5B3B9FF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1943 вышло Распоряжение ГКО № 3257 [О выделении Удмуртскому управлению местной топливной промышленности лесосечного фонда для снабжения дровами Ижевска.] (7100, 51).</w:t>
      </w:r>
    </w:p>
    <w:p w14:paraId="1973DEC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37612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1943 вышло Постановление ГКО № 3258 Об отводе лесосек в лесном массиве "Бузулукский бор" и госзаповедниках Ильменском и "Бузулукский бор". (7100, 52-54).</w:t>
      </w:r>
    </w:p>
    <w:p w14:paraId="2096C04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5A421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1943 вышло Постановление ГКО № 3259 О мероприятиях по обеспечению нужд Красной Армии автомобильными прицепами. (7100, 55-57,58-59).</w:t>
      </w:r>
    </w:p>
    <w:p w14:paraId="6BA693A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7BF8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1943 вышло Постановление ГКО № 3260 О развитии и обеспечении производства электрооборудования, приборов и других комплектующих изделий на заводах Наркомсредмаша.РГАНИР, Фонд ГКО, д. 110, лл. 60-66, 67-74 (11012).</w:t>
      </w:r>
    </w:p>
    <w:p w14:paraId="5EEA47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B59C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1943 вышло Постановление ГКО № 3261 О материально-техническом обеспечении автомобильных заводов Наркомсредмаша во II квартале 1943 года.РГАНИР, Фонд ГКО, д. 110, лл. 75-82, 83-94 (11012).</w:t>
      </w:r>
    </w:p>
    <w:p w14:paraId="3E3A7E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245071"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1943 вышло Постановление ГКО № 3262 Об аэродромно-технических командах. (7100, 95).</w:t>
      </w:r>
    </w:p>
    <w:p w14:paraId="3D2EF30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2EA75D"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1D787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7EEED2"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в 1943 году утреннее сообщение Совинформбюро:</w:t>
      </w:r>
    </w:p>
    <w:p w14:paraId="649CB89E"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течение ночи на 28 апреля на фронтах существенных изменений не произошло.</w:t>
      </w:r>
    </w:p>
    <w:p w14:paraId="6B63666E"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огнём нашей артиллерии разрушено 10 вражеских дзотови блиндажей. Подавлен огонь 3 миномётных и 2 артиллерийских батарей. Группа советских разведчиков напала на боевое охранение противника. Разведчики убили 18 немецких солдат и захватили пленных.</w:t>
      </w:r>
    </w:p>
    <w:p w14:paraId="5F5D6C6A"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части Н-ского соединения артиллерийско-миномётным огнём разрушили несколько дзотов и блиндажей, рассеяли и частью уничтожили до роты немецкой пехоты. Советские лётчики совершили налёт на железнодорожную станцию и уничтожили эшелон противника с автомашинами.</w:t>
      </w:r>
    </w:p>
    <w:p w14:paraId="1E15126D"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происходила редкая артиллерийская перестрелка и поиски разведчиков. Наши разведывательные отряды истребила до 100 немецких солдат и офицеров. Пулемётчик т. Бушуев обстрелял колонну вражеской пехоты и истребил 15 гитлеровцев. В тот же день т. Бушуев уничтожил пулемёт противника вместе с расчётом.</w:t>
      </w:r>
    </w:p>
    <w:p w14:paraId="29709300"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наши артиллеристы подавили огонь 3 миномётных батарей и рассеяли несколько групп немецкой пехоты. Снайпер старший лейтенант Трубачёв за день из засады уничтожил 24 немецких солдата, работавших на строительстве переправы.</w:t>
      </w:r>
    </w:p>
    <w:p w14:paraId="5EC431B4"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Ровенской области, окружил немецкий гарнизон в одном районном центре. Гитлеровцы выслали из ближайшего города подкрепление на помощь окружённому гарнизону. Партизаны устроили у дороги, засаду и внезапным ударом рассеяли подходивший немецкий отряд. Расправившись с этим отрядом, советские патриоты истребили 60 гитлеровцев из вражеского гарнизона. Партизанами захвачено оружие и боеприпасы немецких оккупантов.</w:t>
      </w:r>
    </w:p>
    <w:p w14:paraId="27B3A3E7"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фельдфебель 8 роты 573 полка 304 немецкой пехотной дивизии ОттоРетлейн рассказал: «Недавно я вернулся из госпиталя, где пролежал три месяца. Обер-фельдфебель Матео сообщил мне, что 574 полк, в котором я ранее служил, полностью разгромлен. В декабре 1942 года, когда мы выехали из Франции, дивизия была полностью укомплектован» офицерами, а теперь в некоторых ротах уже нет ни одного лейтенанта. Во втором батальоне осталось всего лишь три офицера. Будучи вгоспитале, я видел как через Днепропетровск ежедневно проходили эшелоны с ранеными. В некоторые дни мы насчитывали до 20 эшелонов. В каждом эшелоне находилось примерно около 1.000 раненых».</w:t>
      </w:r>
    </w:p>
    <w:p w14:paraId="31A3A2C5"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3а время оккупации селения Синявка, Ростовской области, немецко-фашистские мерзавцы убили 17 мирных жителей. Гитлеровцы расстреляли колхозников Е.Савеленко, А.Щукова, X.Голоскова, Гусенко, рабочего Д.Плотникова, рыбачкуПарфентьеву и других. О судьбе нескольких девушек, арестованных гестаповцами, до сих пор ничего не известно. В селе Рогожкино немцы расстреляли группу жителей, взятых ими в качестве заложников. При отступлении из села гитлеровцы сожгли рыбоводный завод и много домов, принадлежавших колхозникам рыболовецкой артели.</w:t>
      </w:r>
    </w:p>
    <w:p w14:paraId="6DA82ED7"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Бельгийские патриоты по примеру французов создают отряды вольных стрелков для борьбы против немецких захватчиков. Недавно бельгийские вольные стрелки проникли на железнодорожную станцию Анс, близ Льежа, истребили немецкую охрану и взорвали паровозное депо. Взрывом уничтожены 15 паровозов и трансформаторная станция. В Перувельзе патриоты вывели из строя молочный завод, работавший на немцев. В районе Галя группа бельгийцев уничтожила немецкий самолёт, сделавший вынужденную посадку.» (15113).</w:t>
      </w:r>
    </w:p>
    <w:p w14:paraId="6819CEB0"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411B1506"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в 1943 году вечернее сообщение Совинформбюро:</w:t>
      </w:r>
    </w:p>
    <w:p w14:paraId="47024DE9"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28 апреля на фронтах существенных изменений не произошло.</w:t>
      </w:r>
    </w:p>
    <w:p w14:paraId="3E73CF77"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апреля частями нашей авиации на различных участках фронта уничтожено или повреждено до 40 немецких автомашин с войсками и грузами, взорван склад боеприпасов, подавлен огонь 4 артиллерийских батарей противника.</w:t>
      </w:r>
    </w:p>
    <w:p w14:paraId="7BEAF0AD"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войска вели артиллерийскую перестрелку и разведку противника. Танковое подразделение под командованием тов. Кавицкого в последних боях уничтожило 11 немецких орудий, 18 миномётов, 17 пулемётов и подбило 4 вражеских танка.</w:t>
      </w:r>
    </w:p>
    <w:p w14:paraId="7F2024FD"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дня нашими лётчиками в воздушных боях сбито 15 немецких самолётов. Кроме того, 8 самолётов противника уничтожено огнём нашей зенитной артиллерии.</w:t>
      </w:r>
    </w:p>
    <w:p w14:paraId="0F37FFC4"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наши части ружейно-пулемётным и артиллерийско-миномётным огнём разрушили 9 немецких дзотов, 4 блиндажа, уничтожили артиллерийскую батарею и более роты гитлеровцев. На одном участке немецкие автоматчики пытались вести разведку боем. Наши передовые подразделения открыли пулемётный огонь и принудили гитлеровцев отступить. На поле боя осталось 45 вражеских трупов.</w:t>
      </w:r>
    </w:p>
    <w:p w14:paraId="725BAD6F"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наши разведывательные отрады уничтожили до 100 немецких солдат и офицеров. При налёте советской бомбардировочной авиации на вражеский аэродром уничтожено 15 немецких самолётов. Наши лётчики в воздушных боях сбили два самолёта противника.</w:t>
      </w:r>
    </w:p>
    <w:p w14:paraId="4219741C"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артиллеристы, ведя обстрел вражеских позиций, разрушили 16 дзотов, 9 землянок и 3 наблюдательных пункта. Советские снайперы за два дня истребили свыше 150 гитлеровцев. На одном участке большая группа немецких автоматчиков в течение дня несколько раз пыталась атаковать наши позиции. Бойцы подразделений, где командирами лейтенант Васильков и младший лейтенант Петрухин, отбили атаки противника и уничтожили не менее 50 гитлеровцев. На другом участке разведчики под командованием младшего лейтенанта Коканцева проникли в траншеи противника и в рукопашной схватке истребили 20 немцев. Советские бойцы, захватив пленных и документы, вернулись в свою часть.</w:t>
      </w:r>
    </w:p>
    <w:p w14:paraId="65882884"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Советские партизаны наносят немецко-фашистским захватчикам мощные удары. Они пускают под откос вражеские эшелоны с войсками и техникой, взрывают мосты, разрушают связь, громят гарнизоны противника, истребляют его живую силу. Немецкое командование неоднократно пыталось подавить партизанское движение. Гитлеровцы бросали против партизан крупные соединения с танками, артиллерией, огнемётами, самолётами. Однако все походы карателей против партизан проваливались один за другим.</w:t>
      </w:r>
    </w:p>
    <w:p w14:paraId="338741B2"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ряда неудач и поражений в борьбе с партизанами немцы пустили в ход своё излюбленное оружие — провокацию. Недавно гитлеровцы состряпали листовку и разбросали её в некоторых районах Украины и Белоруссии. В этой листовке якобы от имени советских военных властей партизанам предлагается прекратить действия в одиночку и мелкими отрядами, объединиться в крупные отряды и выжидать приказа о совместном выступлении с регулярными частями Красной Армии. Этот приказ, говорится в гитлеровской фальшивке, последует, «как только урожай будет в амбарах, а реки и озёра снова покроются льдом».</w:t>
      </w:r>
    </w:p>
    <w:p w14:paraId="66F01929"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Цель этой провокации очевидна. Немцы стараются накануне решающих весенне-летних боёв задержать действия партизан. Гитлеровцам хочется, чтобы партизаны прекратили борьбу и заняли выжидательную позицию.</w:t>
      </w:r>
    </w:p>
    <w:p w14:paraId="24022F62"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среди советских партизан не нашлось простаков, которые бы поверили этой провокации немецких фальшивомонетчиков. Партизаны быстро раскусили, кто является автором фальшивки. Советские патриоты в районах, временно оккупированных немецкими захватчиками, дали гитлеровцам достойный ответ. Партизаны Украины, Белоруссии и других районов с ещё большей энергией продолжают громить тылы гитлеровской армии. Советские партизаны и партизанки в ответ на провокации гитлеровцев будут ещё более активно разрушать железные дороги, взрывать мосты, рвать связь и беспощадно истреблять немецких мерзавцев.» (15113).</w:t>
      </w:r>
    </w:p>
    <w:p w14:paraId="02E09540"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7CCA79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в ночь на 29 апреля 1943 л АДД совершили налет на Могилев, разрушили станцию, ж/д и деревянный мосты через Днепр и разбили 6 эшелонов (438,869).</w:t>
      </w:r>
    </w:p>
    <w:p w14:paraId="7E9619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4D95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1943 г ряд тяжелых бомбардировщиков Авиации дальнего действия сбросил первые серийные бомбы на береговые укре ния Кенигсберга”. Однако по документам как раз в то самое время ФАБ-5000 сами проходили полигонные испытания. Получается, одно и то же время в КБ-35 НКБ создали “серийные тяжелые фугаски” двух типов. Можно долго сопостав цифры и даты, хотя в 1943 г. бомбить “береговые укрепления Кенигсберга” ровно за год до начала штурма вроде как-то нелогично (7453).</w:t>
      </w:r>
    </w:p>
    <w:p w14:paraId="3E6732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188A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1943, согласно дневниковых записей Валентина Ивановича Аккуратова (летал на АНТ-42 “дублер”) за 1943 год, ходили на Кенигсберг. Наш самолет, по прозвищу "Борода", хоть и не серийный, но быстроходнее и легче остальных, пришел на 20 мин раньше товарищей, чтобы обнаружить цель и развесить над нею осветительные бомбы на парашютах.</w:t>
      </w:r>
    </w:p>
    <w:p w14:paraId="0095A8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После налета на Кенигсберг были атакованы группой истребителей. Отстреливаясь, ушли в облака, куда они сунуться не рискнули, видимо, опасаясь столкнуться друг с другом. Уже на подходе к линии фронта, снижаясь в облаках, неожиданно напоролись на сильный заградительный огонь. Вырвались, резко меняя курсы и высоту, но все же получили несколько осколочных пробоин. Обидно за книгу - эпос "Калевала", которую урывками читал на обратном пути, - осколки снаряда пробили ее в нескольких местах, а один, пронзив том, содрал у меня кожу со лба и расцарапал шлемофон (эту книгу, списанную из дивизионной библиотеки, я храню по сей день - как- никак. но она спасла мне жизнь).</w:t>
      </w:r>
    </w:p>
    <w:p w14:paraId="08719F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Ходили на Брест - там разведка обнаружила скопление танков и тяжелой артиллерии. Очевидно, фрицы не ожидали появления здесь нашей дальней авиации - зенитки и прожекторы бездействовали. После массированного налета эшелоны превратились в месиво огня и дыма, которое мы, уходя, видели за 120-140 км.</w:t>
      </w:r>
    </w:p>
    <w:p w14:paraId="0A0266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5, 10, 12 мая. Все ночи напролет громим эшелоны на железнодорожных узлах. Не нужно быть стратегом, чтобы по расположению целей понять, что готовится очередное грандиозное наступление. И тщетно фашисты пытаются замаскировать свою технику - мы находим ее в любых условиях.</w:t>
      </w:r>
    </w:p>
    <w:p w14:paraId="1924E0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секрет прост - противник сам наводил нас на цели. Однажды в ясную, но безлунную ночь, идя над вражеской территорией, мы заметили на черном бархате затаившейся земли вспыхивающие огни. Присмотревшись, поняли, что вспышки соответствуют знакам азбуки Морзе. То были свето- маяки, установленные у крупных населенных пунктов и у естественных ориентиров. Каждый маяк давал вспышки из двух определенных букв, которые менялись раз в десять дней. Перенеся эти данные на карту, наши штурманы быстро и точно выводили свои корабли на заданную цель. Помогали нам чужие огни и при возвращении, особенно на подбитой машине, когда штурманы </w:t>
      </w:r>
    </w:p>
    <w:p w14:paraId="36B3B3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каждым боевым вылетом росло наше мастерство и понимание тактики врага. К примеру, если год назад мы с опаской думали о том, как бы не встретить над целью </w:t>
      </w:r>
      <w:r w:rsidRPr="00D03F3E">
        <w:rPr>
          <w:rFonts w:ascii="Times New Roman" w:hAnsi="Times New Roman"/>
          <w:color w:val="000000" w:themeColor="text1"/>
          <w:sz w:val="16"/>
          <w:szCs w:val="16"/>
        </w:rPr>
        <w:lastRenderedPageBreak/>
        <w:t>аэростаты заграждения, то теперь, отбомбившись, искали их, чтобы сжечь огнем тяжелых пулеметов. Ведь эти аэростаты представляли для нас серьезную угрозу, - обычно спаренные, они поднимали стальной трос на 6 тыс. м. Невидимые в ночи, да еше увешанные электромагнитными дистанционными минами, они были для нас куда опаснее зенитной артиллерии: Вот почему наши стрелки столь беспощадно разделывались с их серебристыми тушами.</w:t>
      </w:r>
    </w:p>
    <w:p w14:paraId="26F203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успехе боевого вылета огромную роль играло знание штурманами фактической погоды над территорией врага. В частности, необходимо было иметь представление о нижней границе облачности над целью. Однако карты, которые мы получали от синоптиков, были прогностическими, расчетными. До войны было иначе - сводки погоды поступали к синоптикам со всей Европы, и их прогнозы были более или менее точными. С войной поступление такой информации прекратилось. А положение усугублялось тем, что погода над оккупированной нацистами Европой формировалась под воздействием воздушных масс, движущихся с запада и северо-запада (со стороны Бельгии, Голландии и Норвегии, захваченных гитлеровцами еще в 1940 году). Поэтому доразведку погоды пришлось возложить на экипаж самолета-осветителя. Выйдя на цель за полчаса до появления основной массы бомбардировщиков, он передавал на базу сводку, а та сообщала ее штурманам машин, идущих на цель с интервалом в 5-Ю мин. Выпускать разведчика раньше было нежелательно, так как в этом случае терялся фактор внезапности и противник успевал привести в готовность противовоздушную оборону.</w:t>
      </w:r>
    </w:p>
    <w:p w14:paraId="2D7561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и здесь нам помогала самоуверенность нацистов. Дело в том, что их аэродромные станции методически передавали для летчиков Люфтваффе сводки погоды на ультракоротких волнах по международному метеокоду. А его отлично знали летчики полярной авиации, работавшие до войны на разведке ледовой обстановки в Арктике. Хотя дальность действия этих радиостанций была небольшой, но это не мешало нам получать полную картину погоды над целью" (12025).</w:t>
      </w:r>
    </w:p>
    <w:p w14:paraId="0B381A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55CC9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с 20 по 28 апреля 1943 г. в ходе подготов</w:t>
      </w:r>
      <w:r w:rsidRPr="00D03F3E">
        <w:rPr>
          <w:rFonts w:ascii="Times New Roman" w:hAnsi="Times New Roman"/>
          <w:color w:val="000000" w:themeColor="text1"/>
          <w:sz w:val="16"/>
          <w:szCs w:val="16"/>
        </w:rPr>
        <w:softHyphen/>
        <w:t>ки наступательной операции войск Северо-Кавказского фронта в районе Крымской проводилась воздушная операция и ударам подверглись 18 немецких аэродромов, на которых разведка вскрыла наибольшее скоп</w:t>
      </w:r>
      <w:r w:rsidRPr="00D03F3E">
        <w:rPr>
          <w:rFonts w:ascii="Times New Roman" w:hAnsi="Times New Roman"/>
          <w:color w:val="000000" w:themeColor="text1"/>
          <w:sz w:val="16"/>
          <w:szCs w:val="16"/>
        </w:rPr>
        <w:softHyphen/>
        <w:t>ление самолотов. Привлекались 4-я, 5-я, 8-я и 17-я воздушные армии ВВС КА и часть сил ВВС ЧФ и АДД. Всего было выполнено 1010 самолетов-вылетов. Инициатором воздушных операций являлась Ставка ВГК. Как следует из отчетов штаба ВВС КА, во . всех операциях наши летчики неизмен</w:t>
      </w:r>
      <w:r w:rsidRPr="00D03F3E">
        <w:rPr>
          <w:rFonts w:ascii="Times New Roman" w:hAnsi="Times New Roman"/>
          <w:color w:val="000000" w:themeColor="text1"/>
          <w:sz w:val="16"/>
          <w:szCs w:val="16"/>
        </w:rPr>
        <w:softHyphen/>
        <w:t>но добивались больших успехов, хотя все удары проводились довольно ог</w:t>
      </w:r>
      <w:r w:rsidRPr="00D03F3E">
        <w:rPr>
          <w:rFonts w:ascii="Times New Roman" w:hAnsi="Times New Roman"/>
          <w:color w:val="000000" w:themeColor="text1"/>
          <w:sz w:val="16"/>
          <w:szCs w:val="16"/>
        </w:rPr>
        <w:softHyphen/>
        <w:t>раниченными силами авиации, а дей</w:t>
      </w:r>
      <w:r w:rsidRPr="00D03F3E">
        <w:rPr>
          <w:rFonts w:ascii="Times New Roman" w:hAnsi="Times New Roman"/>
          <w:color w:val="000000" w:themeColor="text1"/>
          <w:sz w:val="16"/>
          <w:szCs w:val="16"/>
        </w:rPr>
        <w:softHyphen/>
        <w:t>ствия штурмовиков и бомбардировщи</w:t>
      </w:r>
      <w:r w:rsidRPr="00D03F3E">
        <w:rPr>
          <w:rFonts w:ascii="Times New Roman" w:hAnsi="Times New Roman"/>
          <w:color w:val="000000" w:themeColor="text1"/>
          <w:sz w:val="16"/>
          <w:szCs w:val="16"/>
        </w:rPr>
        <w:softHyphen/>
        <w:t>ков распылялись по многим аэродро</w:t>
      </w:r>
      <w:r w:rsidRPr="00D03F3E">
        <w:rPr>
          <w:rFonts w:ascii="Times New Roman" w:hAnsi="Times New Roman"/>
          <w:color w:val="000000" w:themeColor="text1"/>
          <w:sz w:val="16"/>
          <w:szCs w:val="16"/>
        </w:rPr>
        <w:softHyphen/>
        <w:t>мам. К тому же удары наносились пре</w:t>
      </w:r>
      <w:r w:rsidRPr="00D03F3E">
        <w:rPr>
          <w:rFonts w:ascii="Times New Roman" w:hAnsi="Times New Roman"/>
          <w:color w:val="000000" w:themeColor="text1"/>
          <w:sz w:val="16"/>
          <w:szCs w:val="16"/>
        </w:rPr>
        <w:softHyphen/>
        <w:t>имущественно ночью. Очевидно, все это снижало эффективность ударов. Обращает внимание сложившийся стереотип в проведении операций: уда</w:t>
      </w:r>
      <w:r w:rsidRPr="00D03F3E">
        <w:rPr>
          <w:rFonts w:ascii="Times New Roman" w:hAnsi="Times New Roman"/>
          <w:color w:val="000000" w:themeColor="text1"/>
          <w:sz w:val="16"/>
          <w:szCs w:val="16"/>
        </w:rPr>
        <w:softHyphen/>
        <w:t>ры наносились одновременно по не</w:t>
      </w:r>
      <w:r w:rsidRPr="00D03F3E">
        <w:rPr>
          <w:rFonts w:ascii="Times New Roman" w:hAnsi="Times New Roman"/>
          <w:color w:val="000000" w:themeColor="text1"/>
          <w:sz w:val="16"/>
          <w:szCs w:val="16"/>
        </w:rPr>
        <w:softHyphen/>
        <w:t>скольким аэродромам и в течение не</w:t>
      </w:r>
      <w:r w:rsidRPr="00D03F3E">
        <w:rPr>
          <w:rFonts w:ascii="Times New Roman" w:hAnsi="Times New Roman"/>
          <w:color w:val="000000" w:themeColor="text1"/>
          <w:sz w:val="16"/>
          <w:szCs w:val="16"/>
        </w:rPr>
        <w:softHyphen/>
        <w:t>скольких дней и ночей. В то же время, как следует из документов, наиболее эффективными оказывались только пер</w:t>
      </w:r>
      <w:r w:rsidRPr="00D03F3E">
        <w:rPr>
          <w:rFonts w:ascii="Times New Roman" w:hAnsi="Times New Roman"/>
          <w:color w:val="000000" w:themeColor="text1"/>
          <w:sz w:val="16"/>
          <w:szCs w:val="16"/>
        </w:rPr>
        <w:softHyphen/>
        <w:t>вые удары. То есть тогда, котда при</w:t>
      </w:r>
      <w:r w:rsidRPr="00D03F3E">
        <w:rPr>
          <w:rFonts w:ascii="Times New Roman" w:hAnsi="Times New Roman"/>
          <w:color w:val="000000" w:themeColor="text1"/>
          <w:sz w:val="16"/>
          <w:szCs w:val="16"/>
        </w:rPr>
        <w:softHyphen/>
        <w:t>сутствовал элемент неожиданности. В подавляющем же большинстве повтор</w:t>
      </w:r>
      <w:r w:rsidRPr="00D03F3E">
        <w:rPr>
          <w:rFonts w:ascii="Times New Roman" w:hAnsi="Times New Roman"/>
          <w:color w:val="000000" w:themeColor="text1"/>
          <w:sz w:val="16"/>
          <w:szCs w:val="16"/>
        </w:rPr>
        <w:softHyphen/>
        <w:t>ных налетов наши летчики встречали сильное противодействие зенитной ар</w:t>
      </w:r>
      <w:r w:rsidRPr="00D03F3E">
        <w:rPr>
          <w:rFonts w:ascii="Times New Roman" w:hAnsi="Times New Roman"/>
          <w:color w:val="000000" w:themeColor="text1"/>
          <w:sz w:val="16"/>
          <w:szCs w:val="16"/>
        </w:rPr>
        <w:softHyphen/>
        <w:t>тиллерии и истребительной авиации противнике! и несли потери. Командование ВВС КА в то время рассматривало воздушные операции как весьма эффективную форму борь</w:t>
      </w:r>
      <w:r w:rsidRPr="00D03F3E">
        <w:rPr>
          <w:rFonts w:ascii="Times New Roman" w:hAnsi="Times New Roman"/>
          <w:color w:val="000000" w:themeColor="text1"/>
          <w:sz w:val="16"/>
          <w:szCs w:val="16"/>
        </w:rPr>
        <w:softHyphen/>
        <w:t>бы за господство в воздухе, поскольку непосредственно в воздушных боях с пилотами люфтваффе нашим летчикам приходилось еще довольно тяжело. На исход воздушных боев отрицательно сказывались недостатки в системе бо</w:t>
      </w:r>
      <w:r w:rsidRPr="00D03F3E">
        <w:rPr>
          <w:rFonts w:ascii="Times New Roman" w:hAnsi="Times New Roman"/>
          <w:color w:val="000000" w:themeColor="text1"/>
          <w:sz w:val="16"/>
          <w:szCs w:val="16"/>
        </w:rPr>
        <w:softHyphen/>
        <w:t>евой подготовки летного состава и от</w:t>
      </w:r>
      <w:r w:rsidRPr="00D03F3E">
        <w:rPr>
          <w:rFonts w:ascii="Times New Roman" w:hAnsi="Times New Roman"/>
          <w:color w:val="000000" w:themeColor="text1"/>
          <w:sz w:val="16"/>
          <w:szCs w:val="16"/>
        </w:rPr>
        <w:softHyphen/>
        <w:t>ставание наших самолетов от немец</w:t>
      </w:r>
      <w:r w:rsidRPr="00D03F3E">
        <w:rPr>
          <w:rFonts w:ascii="Times New Roman" w:hAnsi="Times New Roman"/>
          <w:color w:val="000000" w:themeColor="text1"/>
          <w:sz w:val="16"/>
          <w:szCs w:val="16"/>
        </w:rPr>
        <w:softHyphen/>
        <w:t>ких машин по основным летно-боевым качествам. Главным достоинством воздушных операций считалось то, что они могли быстро привести к серьезному ослаб</w:t>
      </w:r>
      <w:r w:rsidRPr="00D03F3E">
        <w:rPr>
          <w:rFonts w:ascii="Times New Roman" w:hAnsi="Times New Roman"/>
          <w:color w:val="000000" w:themeColor="text1"/>
          <w:sz w:val="16"/>
          <w:szCs w:val="16"/>
        </w:rPr>
        <w:softHyphen/>
        <w:t>лению авиационных группировок про</w:t>
      </w:r>
      <w:r w:rsidRPr="00D03F3E">
        <w:rPr>
          <w:rFonts w:ascii="Times New Roman" w:hAnsi="Times New Roman"/>
          <w:color w:val="000000" w:themeColor="text1"/>
          <w:sz w:val="16"/>
          <w:szCs w:val="16"/>
        </w:rPr>
        <w:softHyphen/>
        <w:t>тивника, то есть позволяли в течение нескольких суток резко изменить соот</w:t>
      </w:r>
      <w:r w:rsidRPr="00D03F3E">
        <w:rPr>
          <w:rFonts w:ascii="Times New Roman" w:hAnsi="Times New Roman"/>
          <w:color w:val="000000" w:themeColor="text1"/>
          <w:sz w:val="16"/>
          <w:szCs w:val="16"/>
        </w:rPr>
        <w:softHyphen/>
        <w:t>ношение сил и улучшить воздушную об</w:t>
      </w:r>
      <w:r w:rsidRPr="00D03F3E">
        <w:rPr>
          <w:rFonts w:ascii="Times New Roman" w:hAnsi="Times New Roman"/>
          <w:color w:val="000000" w:themeColor="text1"/>
          <w:sz w:val="16"/>
          <w:szCs w:val="16"/>
        </w:rPr>
        <w:softHyphen/>
        <w:t>становку в свою пользу. Однако ряд авиационных и обще</w:t>
      </w:r>
      <w:r w:rsidRPr="00D03F3E">
        <w:rPr>
          <w:rFonts w:ascii="Times New Roman" w:hAnsi="Times New Roman"/>
          <w:color w:val="000000" w:themeColor="text1"/>
          <w:sz w:val="16"/>
          <w:szCs w:val="16"/>
        </w:rPr>
        <w:softHyphen/>
        <w:t>войсковых командиров весьма скепти</w:t>
      </w:r>
      <w:r w:rsidRPr="00D03F3E">
        <w:rPr>
          <w:rFonts w:ascii="Times New Roman" w:hAnsi="Times New Roman"/>
          <w:color w:val="000000" w:themeColor="text1"/>
          <w:sz w:val="16"/>
          <w:szCs w:val="16"/>
        </w:rPr>
        <w:softHyphen/>
        <w:t>чески относились к ударам по аэро</w:t>
      </w:r>
      <w:r w:rsidRPr="00D03F3E">
        <w:rPr>
          <w:rFonts w:ascii="Times New Roman" w:hAnsi="Times New Roman"/>
          <w:color w:val="000000" w:themeColor="text1"/>
          <w:sz w:val="16"/>
          <w:szCs w:val="16"/>
        </w:rPr>
        <w:softHyphen/>
        <w:t>дромам. Дело в том, что высокая эффект ивност ь дос т ит алась только в тех случаях, когда удары по аэродромам были обеспечены всем комплексом подготовительных мероприя</w:t>
      </w:r>
      <w:r w:rsidRPr="00D03F3E">
        <w:rPr>
          <w:rFonts w:ascii="Times New Roman" w:hAnsi="Times New Roman"/>
          <w:color w:val="000000" w:themeColor="text1"/>
          <w:sz w:val="16"/>
          <w:szCs w:val="16"/>
        </w:rPr>
        <w:softHyphen/>
        <w:t>тий: тщательная разведка аэродромов и системы ПВО, обеспечение внезапности, ортнизация взаимодействия штурмовиков и истребителей сопровождения, подавление зенитных средств на маршру</w:t>
      </w:r>
      <w:r w:rsidRPr="00D03F3E">
        <w:rPr>
          <w:rFonts w:ascii="Times New Roman" w:hAnsi="Times New Roman"/>
          <w:color w:val="000000" w:themeColor="text1"/>
          <w:sz w:val="16"/>
          <w:szCs w:val="16"/>
        </w:rPr>
        <w:softHyphen/>
        <w:t>те и в районе целей и т.д. Однако, как это часто бы</w:t>
      </w:r>
      <w:r w:rsidRPr="00D03F3E">
        <w:rPr>
          <w:rFonts w:ascii="Times New Roman" w:hAnsi="Times New Roman"/>
          <w:color w:val="000000" w:themeColor="text1"/>
          <w:sz w:val="16"/>
          <w:szCs w:val="16"/>
        </w:rPr>
        <w:softHyphen/>
        <w:t>вает, на подготовку воздуш</w:t>
      </w:r>
      <w:r w:rsidRPr="00D03F3E">
        <w:rPr>
          <w:rFonts w:ascii="Times New Roman" w:hAnsi="Times New Roman"/>
          <w:color w:val="000000" w:themeColor="text1"/>
          <w:sz w:val="16"/>
          <w:szCs w:val="16"/>
        </w:rPr>
        <w:softHyphen/>
        <w:t>ной операции не всегда хва</w:t>
      </w:r>
      <w:r w:rsidRPr="00D03F3E">
        <w:rPr>
          <w:rFonts w:ascii="Times New Roman" w:hAnsi="Times New Roman"/>
          <w:color w:val="000000" w:themeColor="text1"/>
          <w:sz w:val="16"/>
          <w:szCs w:val="16"/>
        </w:rPr>
        <w:softHyphen/>
        <w:t>тало времени, сип и средств. Малейшее же упущение кких-либо из этих вопросов приводило к тому, что бое</w:t>
      </w:r>
      <w:r w:rsidRPr="00D03F3E">
        <w:rPr>
          <w:rFonts w:ascii="Times New Roman" w:hAnsi="Times New Roman"/>
          <w:color w:val="000000" w:themeColor="text1"/>
          <w:sz w:val="16"/>
          <w:szCs w:val="16"/>
        </w:rPr>
        <w:softHyphen/>
        <w:t>вые действия пет аэродромам оказывались неэффективными и сопровождались большими потерями нашей авиации. При лом в боях над аэро</w:t>
      </w:r>
      <w:r w:rsidRPr="00D03F3E">
        <w:rPr>
          <w:rFonts w:ascii="Times New Roman" w:hAnsi="Times New Roman"/>
          <w:color w:val="000000" w:themeColor="text1"/>
          <w:sz w:val="16"/>
          <w:szCs w:val="16"/>
        </w:rPr>
        <w:softHyphen/>
        <w:t>дромами, как следует из опы</w:t>
      </w:r>
      <w:r w:rsidRPr="00D03F3E">
        <w:rPr>
          <w:rFonts w:ascii="Times New Roman" w:hAnsi="Times New Roman"/>
          <w:color w:val="000000" w:themeColor="text1"/>
          <w:sz w:val="16"/>
          <w:szCs w:val="16"/>
        </w:rPr>
        <w:softHyphen/>
        <w:t>та войны, теряли! ь но только самолеты, но и в 70-80% слу</w:t>
      </w:r>
      <w:r w:rsidRPr="00D03F3E">
        <w:rPr>
          <w:rFonts w:ascii="Times New Roman" w:hAnsi="Times New Roman"/>
          <w:color w:val="000000" w:themeColor="text1"/>
          <w:sz w:val="16"/>
          <w:szCs w:val="16"/>
        </w:rPr>
        <w:softHyphen/>
        <w:t>чаев погибали летные экипажи. В то же время восстанов</w:t>
      </w:r>
      <w:r w:rsidRPr="00D03F3E">
        <w:rPr>
          <w:rFonts w:ascii="Times New Roman" w:hAnsi="Times New Roman"/>
          <w:color w:val="000000" w:themeColor="text1"/>
          <w:sz w:val="16"/>
          <w:szCs w:val="16"/>
        </w:rPr>
        <w:softHyphen/>
        <w:t>ление боеспособности частей именно в летных жипажах яв</w:t>
      </w:r>
      <w:r w:rsidRPr="00D03F3E">
        <w:rPr>
          <w:rFonts w:ascii="Times New Roman" w:hAnsi="Times New Roman"/>
          <w:color w:val="000000" w:themeColor="text1"/>
          <w:sz w:val="16"/>
          <w:szCs w:val="16"/>
        </w:rPr>
        <w:softHyphen/>
        <w:t>лялось весьма сложной зада</w:t>
      </w:r>
      <w:r w:rsidRPr="00D03F3E">
        <w:rPr>
          <w:rFonts w:ascii="Times New Roman" w:hAnsi="Times New Roman"/>
          <w:color w:val="000000" w:themeColor="text1"/>
          <w:sz w:val="16"/>
          <w:szCs w:val="16"/>
        </w:rPr>
        <w:softHyphen/>
        <w:t>чей и занимало продолжи</w:t>
      </w:r>
      <w:r w:rsidRPr="00D03F3E">
        <w:rPr>
          <w:rFonts w:ascii="Times New Roman" w:hAnsi="Times New Roman"/>
          <w:color w:val="000000" w:themeColor="text1"/>
          <w:sz w:val="16"/>
          <w:szCs w:val="16"/>
        </w:rPr>
        <w:softHyphen/>
        <w:t>тельное время. Кроме ют о, удары зачас</w:t>
      </w:r>
      <w:r w:rsidRPr="00D03F3E">
        <w:rPr>
          <w:rFonts w:ascii="Times New Roman" w:hAnsi="Times New Roman"/>
          <w:color w:val="000000" w:themeColor="text1"/>
          <w:sz w:val="16"/>
          <w:szCs w:val="16"/>
        </w:rPr>
        <w:softHyphen/>
        <w:t>тую наносились без конт</w:t>
      </w:r>
      <w:r w:rsidRPr="00D03F3E">
        <w:rPr>
          <w:rFonts w:ascii="Times New Roman" w:hAnsi="Times New Roman"/>
          <w:color w:val="000000" w:themeColor="text1"/>
          <w:sz w:val="16"/>
          <w:szCs w:val="16"/>
        </w:rPr>
        <w:softHyphen/>
        <w:t>рольного фотографирования. Доклады же экипажей, ввиду скоротечности ударов и слож</w:t>
      </w:r>
      <w:r w:rsidRPr="00D03F3E">
        <w:rPr>
          <w:rFonts w:ascii="Times New Roman" w:hAnsi="Times New Roman"/>
          <w:color w:val="000000" w:themeColor="text1"/>
          <w:sz w:val="16"/>
          <w:szCs w:val="16"/>
        </w:rPr>
        <w:softHyphen/>
        <w:t>ной обстановки в районе целей, не могли быть точными и вызывали спра</w:t>
      </w:r>
      <w:r w:rsidRPr="00D03F3E">
        <w:rPr>
          <w:rFonts w:ascii="Times New Roman" w:hAnsi="Times New Roman"/>
          <w:color w:val="000000" w:themeColor="text1"/>
          <w:sz w:val="16"/>
          <w:szCs w:val="16"/>
        </w:rPr>
        <w:softHyphen/>
        <w:t>ведливое недоверие командования к результатам ударов. К этому стоит добавить, что к сере</w:t>
      </w:r>
      <w:r w:rsidRPr="00D03F3E">
        <w:rPr>
          <w:rFonts w:ascii="Times New Roman" w:hAnsi="Times New Roman"/>
          <w:color w:val="000000" w:themeColor="text1"/>
          <w:sz w:val="16"/>
          <w:szCs w:val="16"/>
        </w:rPr>
        <w:softHyphen/>
        <w:t>дине войны главную роль в успехе на</w:t>
      </w:r>
      <w:r w:rsidRPr="00D03F3E">
        <w:rPr>
          <w:rFonts w:ascii="Times New Roman" w:hAnsi="Times New Roman"/>
          <w:color w:val="000000" w:themeColor="text1"/>
          <w:sz w:val="16"/>
          <w:szCs w:val="16"/>
        </w:rPr>
        <w:softHyphen/>
        <w:t>летов на аэродромы играла главным образом быстрого решений, четкость действий авиационных штабов и лет</w:t>
      </w:r>
      <w:r w:rsidRPr="00D03F3E">
        <w:rPr>
          <w:rFonts w:ascii="Times New Roman" w:hAnsi="Times New Roman"/>
          <w:color w:val="000000" w:themeColor="text1"/>
          <w:sz w:val="16"/>
          <w:szCs w:val="16"/>
        </w:rPr>
        <w:softHyphen/>
        <w:t>ного состава. Если противнику дава</w:t>
      </w:r>
      <w:r w:rsidRPr="00D03F3E">
        <w:rPr>
          <w:rFonts w:ascii="Times New Roman" w:hAnsi="Times New Roman"/>
          <w:color w:val="000000" w:themeColor="text1"/>
          <w:sz w:val="16"/>
          <w:szCs w:val="16"/>
        </w:rPr>
        <w:softHyphen/>
        <w:t>лось время, хотя бы и четверть часа, после обнаружения самолетом-развед</w:t>
      </w:r>
      <w:r w:rsidRPr="00D03F3E">
        <w:rPr>
          <w:rFonts w:ascii="Times New Roman" w:hAnsi="Times New Roman"/>
          <w:color w:val="000000" w:themeColor="text1"/>
          <w:sz w:val="16"/>
          <w:szCs w:val="16"/>
        </w:rPr>
        <w:softHyphen/>
        <w:t>чиком скопления самолетов на его аэродроме, то это означало обречь удар на неудачу - после пролета раз</w:t>
      </w:r>
      <w:r w:rsidRPr="00D03F3E">
        <w:rPr>
          <w:rFonts w:ascii="Times New Roman" w:hAnsi="Times New Roman"/>
          <w:color w:val="000000" w:themeColor="text1"/>
          <w:sz w:val="16"/>
          <w:szCs w:val="16"/>
        </w:rPr>
        <w:softHyphen/>
        <w:t>ведчика немцы успевали подготовить</w:t>
      </w:r>
      <w:r w:rsidRPr="00D03F3E">
        <w:rPr>
          <w:rFonts w:ascii="Times New Roman" w:hAnsi="Times New Roman"/>
          <w:color w:val="000000" w:themeColor="text1"/>
          <w:sz w:val="16"/>
          <w:szCs w:val="16"/>
        </w:rPr>
        <w:softHyphen/>
        <w:t>ся, рассредоточить самолеты по поле</w:t>
      </w:r>
      <w:r w:rsidRPr="00D03F3E">
        <w:rPr>
          <w:rFonts w:ascii="Times New Roman" w:hAnsi="Times New Roman"/>
          <w:color w:val="000000" w:themeColor="text1"/>
          <w:sz w:val="16"/>
          <w:szCs w:val="16"/>
        </w:rPr>
        <w:softHyphen/>
        <w:t>вым площадкам и другим аэродромам и т.д. (10783).</w:t>
      </w:r>
    </w:p>
    <w:p w14:paraId="3096CE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6F1C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1943 г. вышло ПОСТАНОВЛЕНИЕ СОВЕТА НАРОДНЫХ КОМИССАРОВ СССР № 462 ОБ ОБЕСПЕЧЕНИИ СЕМЕЙ ГЕНЕРАЛОВ И ЛИЦ СТАРШЕГО НАЧАЛЬСТВУЮЩЕГО СОСТАВА КРАСНОЙ АРМИИ, УМЕРШИХ, ПОГИБШИХ В БОЯХ И ПРОПАВШИХ НА ФРОНТЕ БЕЗ ВЕСТИ</w:t>
      </w:r>
    </w:p>
    <w:p w14:paraId="55AA76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дополнение к Постановлению Совета Народных Комиссаров Союза ССР № 1474 от 5 июня 1941 г. “О пенсиях и пособиях лицам высшего, старшего и среднего начальствующего состава, лицам младшего начальствующего состава сверхсрочной службы, специалистам рядового состава сверхсрочной службы и их семьям”* Совет Народных Комиссаров Союза ССР постановляет:</w:t>
      </w:r>
    </w:p>
    <w:p w14:paraId="07998B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Женам генералов и лиц старшего начальствующего состава Красной Армии, умерших, погибших в боях и пропавших на фронте без вести, выдавать единовременное пособие в размере:</w:t>
      </w:r>
    </w:p>
    <w:tbl>
      <w:tblPr>
        <w:tblW w:w="0" w:type="auto"/>
        <w:tblInd w:w="3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125"/>
        <w:gridCol w:w="1650"/>
        <w:gridCol w:w="1725"/>
      </w:tblGrid>
      <w:tr w:rsidR="00860B4B" w:rsidRPr="00D03F3E" w14:paraId="75BD8F61" w14:textId="77777777">
        <w:trPr>
          <w:trHeight w:val="765"/>
        </w:trPr>
        <w:tc>
          <w:tcPr>
            <w:tcW w:w="4125" w:type="dxa"/>
          </w:tcPr>
          <w:p w14:paraId="28867D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50" w:type="dxa"/>
          </w:tcPr>
          <w:p w14:paraId="4A89C4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женам генералов</w:t>
            </w:r>
          </w:p>
        </w:tc>
        <w:tc>
          <w:tcPr>
            <w:tcW w:w="1725" w:type="dxa"/>
          </w:tcPr>
          <w:p w14:paraId="225018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женам лиц старшего начальствующего состава (майоры, подполковники и полковники)</w:t>
            </w:r>
          </w:p>
        </w:tc>
      </w:tr>
      <w:tr w:rsidR="00860B4B" w:rsidRPr="00D03F3E" w14:paraId="4A61C996" w14:textId="77777777">
        <w:trPr>
          <w:trHeight w:val="465"/>
        </w:trPr>
        <w:tc>
          <w:tcPr>
            <w:tcW w:w="4125" w:type="dxa"/>
          </w:tcPr>
          <w:p w14:paraId="04326C2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в семье нет нетрудоспособных, состоявших на иждивении военнослужащего</w:t>
            </w:r>
          </w:p>
        </w:tc>
        <w:tc>
          <w:tcPr>
            <w:tcW w:w="1650" w:type="dxa"/>
          </w:tcPr>
          <w:p w14:paraId="1D6D08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50000</w:t>
            </w:r>
          </w:p>
        </w:tc>
        <w:tc>
          <w:tcPr>
            <w:tcW w:w="1725" w:type="dxa"/>
          </w:tcPr>
          <w:p w14:paraId="7AFCAC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10 000 руб.</w:t>
            </w:r>
          </w:p>
        </w:tc>
      </w:tr>
      <w:tr w:rsidR="00860B4B" w:rsidRPr="00D03F3E" w14:paraId="71277DDF" w14:textId="77777777">
        <w:trPr>
          <w:trHeight w:val="210"/>
        </w:trPr>
        <w:tc>
          <w:tcPr>
            <w:tcW w:w="4125" w:type="dxa"/>
          </w:tcPr>
          <w:p w14:paraId="247F6F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наличии в семье, одного нетрудоспособного</w:t>
            </w:r>
          </w:p>
        </w:tc>
        <w:tc>
          <w:tcPr>
            <w:tcW w:w="1650" w:type="dxa"/>
          </w:tcPr>
          <w:p w14:paraId="47DFFD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75000</w:t>
            </w:r>
          </w:p>
        </w:tc>
        <w:tc>
          <w:tcPr>
            <w:tcW w:w="1725" w:type="dxa"/>
          </w:tcPr>
          <w:p w14:paraId="770E0D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15000 ”</w:t>
            </w:r>
          </w:p>
        </w:tc>
      </w:tr>
      <w:tr w:rsidR="00860B4B" w:rsidRPr="00D03F3E" w14:paraId="15535E12" w14:textId="77777777">
        <w:trPr>
          <w:trHeight w:val="240"/>
        </w:trPr>
        <w:tc>
          <w:tcPr>
            <w:tcW w:w="4125" w:type="dxa"/>
          </w:tcPr>
          <w:p w14:paraId="1314C6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наличии в семье двух и более нетрудоспособных</w:t>
            </w:r>
          </w:p>
        </w:tc>
        <w:tc>
          <w:tcPr>
            <w:tcW w:w="1650" w:type="dxa"/>
          </w:tcPr>
          <w:p w14:paraId="1F18AB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100000</w:t>
            </w:r>
          </w:p>
        </w:tc>
        <w:tc>
          <w:tcPr>
            <w:tcW w:w="1725" w:type="dxa"/>
          </w:tcPr>
          <w:p w14:paraId="106532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20000 ”</w:t>
            </w:r>
          </w:p>
        </w:tc>
      </w:tr>
    </w:tbl>
    <w:p w14:paraId="3A4C92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Выплату единовременного пособия производить независимо от обеспечения семьи, установленного Поставнолением Совнаркома Союза ССР № 1474 от 5 июня 1941 г.</w:t>
      </w:r>
    </w:p>
    <w:p w14:paraId="26989C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Установить, что:</w:t>
      </w:r>
    </w:p>
    <w:p w14:paraId="47AA98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за семьями генералов и лиц старшего начальствующего состава Красной Армии, умерших, погибших в боях и пропавших на фронте без вести, закрепляется жилищная площадь, занимаемая ими по месту их постоянного жительства, а если эта местность временно оккупирована противником, семье предоставляется соответствующая жилищная площадь в избранном ею месте жительства;</w:t>
      </w:r>
    </w:p>
    <w:p w14:paraId="76B1B8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учащимся детям генералов и лиц старшего начальствующего состава Красной Армчи, умерших, погибших в боях и пропавших на фронте без вести, выплата пенсии производится до окончания образования, независимо от возраста, а отличникам — и независимо от выплаты им стипендии;</w:t>
      </w:r>
    </w:p>
    <w:p w14:paraId="1B0FBC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семьи генералов Красной Армии, умерших, погибших в боях, пропавших на фронте без вести, обеспечиваются литерным питанием и снабжаются продуктами и промтоварами наравне с семьями генералов, находящихся в Красной Армии;</w:t>
      </w:r>
    </w:p>
    <w:p w14:paraId="45B8BB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при разрешении вопросов о назначении пенсии семьям генералов Красной Армии, умерших, погибших в боях и пропавших на фронте без вести, жены генералов включаются в число лиц, имеющих право на пенсию, вне зависимости от возраста и трудоспособности.</w:t>
      </w:r>
    </w:p>
    <w:p w14:paraId="5B07C1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Распространить Постановление Совета Народных Комиссаров Союза ССР № 1474 от 5 июня 1941 г. на семьи попавших в плен генералов Красной Армии, о которых имеются данные, что они не являются предателями.</w:t>
      </w:r>
    </w:p>
    <w:p w14:paraId="53A150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Настоящее Постановление ввести в действие с 1 мая 1943 г., пункт 1 этого Постановления распространить на семьи генералов и лиц старшего начальствующего состава Красной Армии, умерших, погибших в боях и пропавших на фронте без вести 22 июня 1941 года и позже.</w:t>
      </w:r>
    </w:p>
    <w:p w14:paraId="6E8E7F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Наркомфину Союза ССР отпустить необходимые средства для проведения указанных мероприятий сверх сметы Наркомобороны.</w:t>
      </w:r>
    </w:p>
    <w:p w14:paraId="6BC7F7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Председатель Совета</w:t>
      </w:r>
    </w:p>
    <w:p w14:paraId="715D12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Народных Комиссаров СССР И. СТАЛИН</w:t>
      </w:r>
    </w:p>
    <w:p w14:paraId="1A8B3B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Управляющий делами Совета Народных Комиссаров СССР Я. ЧАДАЕВ </w:t>
      </w:r>
      <w:r w:rsidRPr="00D03F3E">
        <w:rPr>
          <w:rFonts w:ascii="Times New Roman" w:hAnsi="Times New Roman"/>
          <w:color w:val="000000" w:themeColor="text1"/>
          <w:sz w:val="16"/>
          <w:szCs w:val="16"/>
        </w:rPr>
        <w:t>(9844).</w:t>
      </w:r>
    </w:p>
    <w:p w14:paraId="6A8398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776D3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61A682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F38F9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1943 во Львове фашисты объявили о создании дивизии “СС-Галичина”, куда набирались украинские националисты (4962).</w:t>
      </w:r>
    </w:p>
    <w:p w14:paraId="59D86D65"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E997DA"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28 апреля в 1943 году начались атаки германских подводных лодок на союзнический конвой ОНС-2 (42 судна), следовавший через Северную Атлантику в Англию. Продолжались до 6 мая. Немцы потопили 13 судов и потеряли 5 ПЛ. Эти бои считаются поворотным пунктом в Битве за Атлантику. В 1943 г. Германия потеряла 221 ПЛ - в 1,5 раза больше, чем в 1939 - 1943 гг (15113).</w:t>
      </w:r>
    </w:p>
    <w:p w14:paraId="42737012"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619F2F44"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32E51D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AB2F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начальник Особстроя НКВД А. П. Лепилов был награжден орденом Ленина за завершение строительства авиационных заводов в Куйбышевской области; Особстрой и обслуживавший его Безымянлаг переключили теперь на строительство нефтеперерабатывающею завода там же в Куйбышевской области, в районе станции Кряж. Именно на куйбышевских заводах были построены все штурмовики “ИЛ-2” времен Великой Отечественной войны (7560).</w:t>
      </w:r>
    </w:p>
    <w:p w14:paraId="343D5E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4C67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Дир. завода 21 Агаджанов писал письмо N 1065с Зам. наркома П.Дементьеву с прилагаемой копией расчетов весов Ла-5 М-82ФН, утвержденным ГК С.А.Л., который увеличил его до 3295 по сравнению с установленным ГОКО в 3250 кг. Просил вынести на ГКО (2519).</w:t>
      </w:r>
    </w:p>
    <w:p w14:paraId="5B245A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A462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Дементьев писал письмо N Н-35/1719 дир. завода 84 Ярунину и Нач. 10 ГУ Тарасевичу:</w:t>
      </w:r>
    </w:p>
    <w:p w14:paraId="696ADA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"Предлагаю не позднее 1 июля с.г. начать выпуск серийных самолетов Ли-2, оборудованных УФО кабины пилота. При этом существующее освещение кабины необходимо сохранить." (1767,104).</w:t>
      </w:r>
    </w:p>
    <w:p w14:paraId="43597E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62A0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вышло Постановление ГКО № 3263 О материально-техническом обеспечении эксплуатации самолетов ВВС КА, ВВС ВМФ и ГУГВФ во II квартале 1943 года.РГАНИР, Фонд ГКО, д. 110, лл. 96-102, 103-161 (11012).</w:t>
      </w:r>
    </w:p>
    <w:p w14:paraId="71C149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2F59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вышло Постановление ГКО № 3264 О ремонте самолетов, авиационных моторов и материально-техническом обеспеченииреморганов ВВС КА, ВВС ВМФ и ГУГВФ во II квартале 1943 года.РГАНИР, Фонд ГКО, д. 111, лл. 1-4, 5-164 (11012).</w:t>
      </w:r>
    </w:p>
    <w:p w14:paraId="7696B9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57D512" w14:textId="77777777" w:rsidR="00E15604" w:rsidRPr="00D03F3E" w:rsidRDefault="00E15604" w:rsidP="00D03F3E">
      <w:pPr>
        <w:pStyle w:val="ae"/>
        <w:spacing w:before="0" w:after="0"/>
        <w:jc w:val="both"/>
        <w:rPr>
          <w:color w:val="000000" w:themeColor="text1"/>
          <w:sz w:val="16"/>
          <w:szCs w:val="16"/>
        </w:rPr>
      </w:pPr>
      <w:r w:rsidRPr="00D03F3E">
        <w:rPr>
          <w:color w:val="000000" w:themeColor="text1"/>
          <w:sz w:val="16"/>
          <w:szCs w:val="16"/>
          <w:shd w:val="clear" w:color="auto" w:fill="FFFFFF"/>
        </w:rPr>
        <w:t>29 апреля 1943 зенитная артиллерия обстреляла советский самолёт Ю-52 ГВФ, летевший из Сызрани в Куйбышев. Обошлось – ни жертв, ни пробоин. А вот 12 мая «юнкерс», шедший из Челябинска, угодил под огонь вблизи моста в Ульяновске. Машина совершила вынужденную посадку на аэродроме Стригино, механики нашли две приличных пробоины в правом крыле. Оправдываясь, командование ПВО сообщило, что самолёт вошёл в запретную зону, и батарея сделала несколько предупредительных выстрелов</w:t>
      </w:r>
      <w:r w:rsidRPr="00D03F3E">
        <w:rPr>
          <w:color w:val="000000" w:themeColor="text1"/>
          <w:sz w:val="16"/>
          <w:szCs w:val="16"/>
        </w:rPr>
        <w:t xml:space="preserve"> (19686).</w:t>
      </w:r>
    </w:p>
    <w:p w14:paraId="3795DE65" w14:textId="77777777" w:rsidR="00E15604" w:rsidRPr="00D03F3E" w:rsidRDefault="00E15604" w:rsidP="00D03F3E">
      <w:pPr>
        <w:spacing w:after="0" w:line="240" w:lineRule="auto"/>
        <w:jc w:val="both"/>
        <w:rPr>
          <w:rFonts w:ascii="Times New Roman" w:hAnsi="Times New Roman"/>
          <w:color w:val="000000" w:themeColor="text1"/>
          <w:sz w:val="16"/>
          <w:szCs w:val="16"/>
        </w:rPr>
      </w:pPr>
    </w:p>
    <w:p w14:paraId="0B818DC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0428D0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E2FDF1"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на заводе № 37 прошло совещание, посвященное вопросам изменения конструкции, и приёмки машин СУ-76И. после обсуждений предлагались следующие изменения:</w:t>
      </w:r>
    </w:p>
    <w:p w14:paraId="1B34E018"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Изготовить опытный образец горизонтальной укладки снарядов (по типу немецкой) к 15 мая и сдавать машины с новыми укладками через 15 дней после их утверждения;</w:t>
      </w:r>
    </w:p>
    <w:p w14:paraId="5685AE84"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Ввести брезентовые чехлы на укладку — с 8-й машины;</w:t>
      </w:r>
    </w:p>
    <w:p w14:paraId="6184E7D3"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Ввести окантовку люков для экипажа — с 11-й машины;</w:t>
      </w:r>
    </w:p>
    <w:p w14:paraId="42BE7CBE"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Установить дополнительный бронещиток на бронировку противооткатных устройств — с 11-й машины (на ранее сданных самоходках смонтировать не позднее 3 мая);</w:t>
      </w:r>
    </w:p>
    <w:p w14:paraId="20C45EDD"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Установить на корме всех самоходок съемные баки емкостью 100 литров, причем на ранее выпущенных, начиная с 8-й машины сделать это до 3 мая;</w:t>
      </w:r>
    </w:p>
    <w:p w14:paraId="287815F5"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задней дверце люка в кормовом листе рубки сделать отверстие для ППШ — с 11-й машины.</w:t>
      </w:r>
    </w:p>
    <w:p w14:paraId="21EF3165"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в связи с отсутствием на большинстве получаемых машин Pz. III фильтров, а также отсутствия в производстве воздушных и масляных фильтров, было принято решение разрешить монтаж в течение апреля-мая 1943 года на СУ-76И сухого сетчатого фильтра двигателя ЗИС-5 производства МКЗ.</w:t>
      </w:r>
    </w:p>
    <w:p w14:paraId="7046BDEA"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мая предписывалось провести испытания воздухофильтра типа «Циклон» и результаты доложить в ГБТУ не позднее 25 мая (12688).</w:t>
      </w:r>
    </w:p>
    <w:p w14:paraId="64F0AC1F" w14:textId="77777777" w:rsidR="002E357C" w:rsidRPr="00D03F3E" w:rsidRDefault="002E357C" w:rsidP="00D03F3E">
      <w:pPr>
        <w:spacing w:after="0" w:line="240" w:lineRule="auto"/>
        <w:jc w:val="both"/>
        <w:rPr>
          <w:rFonts w:ascii="Times New Roman" w:hAnsi="Times New Roman"/>
          <w:color w:val="000000" w:themeColor="text1"/>
          <w:sz w:val="16"/>
          <w:szCs w:val="16"/>
        </w:rPr>
      </w:pPr>
    </w:p>
    <w:p w14:paraId="000813AE" w14:textId="77777777" w:rsidR="00B610FB" w:rsidRPr="00D03F3E" w:rsidRDefault="00B610FB" w:rsidP="00D03F3E">
      <w:pPr>
        <w:pStyle w:val="a3"/>
        <w:rPr>
          <w:color w:val="000000" w:themeColor="text1"/>
          <w:lang w:val="ru-RU"/>
        </w:rPr>
      </w:pPr>
      <w:r w:rsidRPr="00D03F3E">
        <w:rPr>
          <w:color w:val="000000" w:themeColor="text1"/>
          <w:lang w:val="ru-RU"/>
        </w:rPr>
        <w:t>По состоянию на 29 апреля 1943 года одна система А-19 была получена ЧКЗ и шли работы по ее установке, а также разра</w:t>
      </w:r>
      <w:r w:rsidRPr="00D03F3E">
        <w:rPr>
          <w:color w:val="000000" w:themeColor="text1"/>
          <w:lang w:val="ru-RU"/>
        </w:rPr>
        <w:softHyphen/>
        <w:t>батывалась боеукладка. Опытный образец СУ-152 с пушкой А-19 ожи</w:t>
      </w:r>
      <w:r w:rsidRPr="00D03F3E">
        <w:rPr>
          <w:color w:val="000000" w:themeColor="text1"/>
          <w:lang w:val="ru-RU"/>
        </w:rPr>
        <w:softHyphen/>
        <w:t>дался к 10 мая, но работы по разным причинам застопорились (17484).</w:t>
      </w:r>
    </w:p>
    <w:p w14:paraId="50E7BBB3" w14:textId="77777777" w:rsidR="00B610FB" w:rsidRPr="00D03F3E" w:rsidRDefault="00B610FB" w:rsidP="00D03F3E">
      <w:pPr>
        <w:spacing w:after="0" w:line="240" w:lineRule="auto"/>
        <w:jc w:val="both"/>
        <w:rPr>
          <w:rFonts w:ascii="Times New Roman" w:hAnsi="Times New Roman"/>
          <w:color w:val="000000" w:themeColor="text1"/>
          <w:sz w:val="16"/>
          <w:szCs w:val="16"/>
        </w:rPr>
      </w:pPr>
    </w:p>
    <w:p w14:paraId="6518926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г. была подготовлена ДОКЛАДНАЯ ЗАПИСКА НАЧАЛЬНИКУ РУ ГАВТУ КА О РАСПРЕДЕЛЕНИИ МАШИН ИНОМАРОК С НАЧАЛА ПОСТУПЛЕНИЯ В СССР НА 1.04.1943 г. №1190016</w:t>
      </w:r>
    </w:p>
    <w:p w14:paraId="7AB643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Отчет по машинам - иномаркам с начала поступления на 1 апреля 1943 г.</w:t>
      </w:r>
    </w:p>
    <w:tbl>
      <w:tblPr>
        <w:tblW w:w="0" w:type="auto"/>
        <w:tblInd w:w="40" w:type="dxa"/>
        <w:tblLayout w:type="fixed"/>
        <w:tblCellMar>
          <w:left w:w="40" w:type="dxa"/>
          <w:right w:w="40" w:type="dxa"/>
        </w:tblCellMar>
        <w:tblLook w:val="0000" w:firstRow="0" w:lastRow="0" w:firstColumn="0" w:lastColumn="0" w:noHBand="0" w:noVBand="0"/>
      </w:tblPr>
      <w:tblGrid>
        <w:gridCol w:w="384"/>
        <w:gridCol w:w="1421"/>
        <w:gridCol w:w="288"/>
        <w:gridCol w:w="470"/>
        <w:gridCol w:w="374"/>
        <w:gridCol w:w="422"/>
        <w:gridCol w:w="442"/>
        <w:gridCol w:w="442"/>
        <w:gridCol w:w="365"/>
        <w:gridCol w:w="336"/>
        <w:gridCol w:w="365"/>
        <w:gridCol w:w="355"/>
        <w:gridCol w:w="432"/>
        <w:gridCol w:w="384"/>
        <w:gridCol w:w="413"/>
        <w:gridCol w:w="413"/>
        <w:gridCol w:w="413"/>
        <w:gridCol w:w="403"/>
        <w:gridCol w:w="403"/>
        <w:gridCol w:w="442"/>
        <w:gridCol w:w="586"/>
      </w:tblGrid>
      <w:tr w:rsidR="00860B4B" w:rsidRPr="00D03F3E" w14:paraId="7C09A903" w14:textId="77777777">
        <w:trPr>
          <w:trHeight w:val="173"/>
        </w:trPr>
        <w:tc>
          <w:tcPr>
            <w:tcW w:w="384" w:type="dxa"/>
            <w:tcBorders>
              <w:top w:val="single" w:sz="6" w:space="0" w:color="auto"/>
              <w:left w:val="single" w:sz="6" w:space="0" w:color="auto"/>
              <w:bottom w:val="nil"/>
              <w:right w:val="single" w:sz="6" w:space="0" w:color="auto"/>
            </w:tcBorders>
          </w:tcPr>
          <w:p w14:paraId="3D3EDE6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п/п</w:t>
            </w:r>
          </w:p>
          <w:p w14:paraId="2FE785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nil"/>
              <w:right w:val="single" w:sz="6" w:space="0" w:color="auto"/>
            </w:tcBorders>
          </w:tcPr>
          <w:p w14:paraId="5FFBC53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Кому выданы</w:t>
            </w:r>
          </w:p>
          <w:p w14:paraId="58C9E25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62" w:type="dxa"/>
            <w:gridSpan w:val="18"/>
            <w:tcBorders>
              <w:top w:val="single" w:sz="6" w:space="0" w:color="auto"/>
              <w:left w:val="single" w:sz="6" w:space="0" w:color="auto"/>
              <w:bottom w:val="single" w:sz="6" w:space="0" w:color="auto"/>
              <w:right w:val="single" w:sz="6" w:space="0" w:color="auto"/>
            </w:tcBorders>
          </w:tcPr>
          <w:p w14:paraId="53FDEE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Марки машин</w:t>
            </w:r>
          </w:p>
          <w:p w14:paraId="4FB8CF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nil"/>
              <w:right w:val="single" w:sz="6" w:space="0" w:color="auto"/>
            </w:tcBorders>
          </w:tcPr>
          <w:p w14:paraId="0008336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 8</w:t>
            </w:r>
          </w:p>
          <w:p w14:paraId="55A9BB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w:t>
            </w:r>
          </w:p>
          <w:p w14:paraId="6B8C2F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415CB2D" w14:textId="77777777">
        <w:trPr>
          <w:trHeight w:val="1114"/>
        </w:trPr>
        <w:tc>
          <w:tcPr>
            <w:tcW w:w="384" w:type="dxa"/>
            <w:tcBorders>
              <w:top w:val="nil"/>
              <w:left w:val="single" w:sz="6" w:space="0" w:color="auto"/>
              <w:bottom w:val="single" w:sz="6" w:space="0" w:color="auto"/>
              <w:right w:val="single" w:sz="6" w:space="0" w:color="auto"/>
            </w:tcBorders>
          </w:tcPr>
          <w:p w14:paraId="19A5C2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14AD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nil"/>
              <w:left w:val="single" w:sz="6" w:space="0" w:color="auto"/>
              <w:bottom w:val="single" w:sz="6" w:space="0" w:color="auto"/>
              <w:right w:val="single" w:sz="6" w:space="0" w:color="auto"/>
            </w:tcBorders>
          </w:tcPr>
          <w:p w14:paraId="3F482E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3FBA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5AF35B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Альбион</w:t>
            </w:r>
          </w:p>
          <w:p w14:paraId="4519C18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08212C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Виллис</w:t>
            </w:r>
          </w:p>
          <w:p w14:paraId="7BBEDF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64900C5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Бантам</w:t>
            </w:r>
          </w:p>
          <w:p w14:paraId="0536F2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27FD154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Бедфорд</w:t>
            </w:r>
          </w:p>
          <w:p w14:paraId="33254A4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89FAD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ч</w:t>
            </w:r>
          </w:p>
          <w:p w14:paraId="60BDF5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29086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Джиемси</w:t>
            </w:r>
          </w:p>
          <w:p w14:paraId="2D764B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2E309C3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Интернационал</w:t>
            </w:r>
          </w:p>
          <w:p w14:paraId="19E550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0D42C88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Форд-Мармон</w:t>
            </w:r>
          </w:p>
          <w:p w14:paraId="5613197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35C4B5D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Остин 2-осный</w:t>
            </w:r>
          </w:p>
          <w:p w14:paraId="568090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D3F31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&gt;5</w:t>
            </w:r>
          </w:p>
          <w:p w14:paraId="1C65996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p w14:paraId="00BBC7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w:t>
            </w:r>
          </w:p>
          <w:p w14:paraId="3ED9097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274C30A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w:t>
            </w:r>
          </w:p>
          <w:p w14:paraId="30F384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p w14:paraId="094082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w:t>
            </w:r>
          </w:p>
          <w:p w14:paraId="0AD6486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w:t>
            </w:r>
          </w:p>
          <w:p w14:paraId="59A4AC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1D6A3D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00</w:t>
            </w:r>
          </w:p>
          <w:p w14:paraId="0FB7E7D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w:t>
            </w:r>
          </w:p>
          <w:p w14:paraId="1D46F1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w:t>
            </w:r>
          </w:p>
          <w:p w14:paraId="459ABC3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w:t>
            </w:r>
          </w:p>
          <w:p w14:paraId="5C3470A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62D2F0F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Шевроле с 1 вед.</w:t>
            </w:r>
          </w:p>
          <w:p w14:paraId="5172167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20D456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Шевроле с 2 вед.</w:t>
            </w:r>
          </w:p>
          <w:p w14:paraId="0CFCD3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5A3B52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Лейланд</w:t>
            </w:r>
          </w:p>
          <w:p w14:paraId="30E191F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58A8CB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Скаммел</w:t>
            </w:r>
          </w:p>
          <w:p w14:paraId="5E9C7E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349E9B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Мастерск.</w:t>
            </w:r>
          </w:p>
          <w:p w14:paraId="43D30C0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2806D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Студебекер</w:t>
            </w:r>
          </w:p>
          <w:p w14:paraId="63E4CB7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nil"/>
              <w:left w:val="single" w:sz="6" w:space="0" w:color="auto"/>
              <w:bottom w:val="single" w:sz="6" w:space="0" w:color="auto"/>
              <w:right w:val="single" w:sz="6" w:space="0" w:color="auto"/>
            </w:tcBorders>
          </w:tcPr>
          <w:p w14:paraId="5B5E67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A626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8FAD596"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43204F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49872C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61B2C55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ГАВТУ КА</w:t>
            </w:r>
          </w:p>
          <w:p w14:paraId="224A99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22F4F1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9CFB2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20017B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w:t>
            </w:r>
          </w:p>
          <w:p w14:paraId="73E230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4771277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p w14:paraId="5B0323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2282F0B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w:t>
            </w:r>
          </w:p>
          <w:p w14:paraId="145A18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F7AA0D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555</w:t>
            </w:r>
          </w:p>
          <w:p w14:paraId="7E7893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2D2733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118</w:t>
            </w:r>
          </w:p>
          <w:p w14:paraId="0E9A7C8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57A799B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w:t>
            </w:r>
          </w:p>
          <w:p w14:paraId="53C0B9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2389059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p w14:paraId="5AA742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5DA4678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p w14:paraId="0724E30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2D25C7A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p w14:paraId="1D6A0CA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0874C7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493</w:t>
            </w:r>
          </w:p>
          <w:p w14:paraId="030DA9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3E28167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w:t>
            </w:r>
          </w:p>
          <w:p w14:paraId="22F231A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4068293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w:t>
            </w:r>
          </w:p>
          <w:p w14:paraId="7701F0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206FAB6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624</w:t>
            </w:r>
          </w:p>
          <w:p w14:paraId="77106DE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4C553A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7CA08D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364F98B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26A193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1F92F7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w:t>
            </w:r>
          </w:p>
          <w:p w14:paraId="642F749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B98068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318</w:t>
            </w:r>
          </w:p>
          <w:p w14:paraId="623ECAF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DFE78B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2486</w:t>
            </w:r>
          </w:p>
          <w:p w14:paraId="4669194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3EE6B0A"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59E0C8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1F84AD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401139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ГАБТУ КА</w:t>
            </w:r>
          </w:p>
          <w:p w14:paraId="6FCBA2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7238480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7430347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7858D5A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127</w:t>
            </w:r>
          </w:p>
          <w:p w14:paraId="0309323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12D884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91</w:t>
            </w:r>
          </w:p>
          <w:p w14:paraId="175A74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0425AA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579</w:t>
            </w:r>
          </w:p>
          <w:p w14:paraId="3411410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4F9953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3355</w:t>
            </w:r>
          </w:p>
          <w:p w14:paraId="45DF5F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562E53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w:t>
            </w:r>
          </w:p>
          <w:p w14:paraId="5DFF71A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2BB6E56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116</w:t>
            </w:r>
          </w:p>
          <w:p w14:paraId="228ACD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4204F15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w:t>
            </w:r>
          </w:p>
          <w:p w14:paraId="52AC146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2E96FC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w:t>
            </w:r>
          </w:p>
          <w:p w14:paraId="715309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992F9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164</w:t>
            </w:r>
          </w:p>
          <w:p w14:paraId="3679B52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76269D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3411</w:t>
            </w:r>
          </w:p>
          <w:p w14:paraId="4281F5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0EAD88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129</w:t>
            </w:r>
          </w:p>
          <w:p w14:paraId="325D99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4BDBF66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355</w:t>
            </w:r>
          </w:p>
          <w:p w14:paraId="5089A93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4C2E43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545</w:t>
            </w:r>
          </w:p>
          <w:p w14:paraId="25DBBF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7A44BA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39A0F5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6EE51C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6675113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3422C5F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p w14:paraId="35129F0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66ABB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346</w:t>
            </w:r>
          </w:p>
          <w:p w14:paraId="679EC1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0695C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9430</w:t>
            </w:r>
          </w:p>
          <w:p w14:paraId="750676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E33AC27"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3C8D282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0E49A7D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AB80CB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ГУВМЧ</w:t>
            </w:r>
          </w:p>
          <w:p w14:paraId="41CC91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6000B2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15BB1F6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46B13A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p w14:paraId="1819E5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3476B09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123</w:t>
            </w:r>
          </w:p>
          <w:p w14:paraId="4861A0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644884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101</w:t>
            </w:r>
          </w:p>
          <w:p w14:paraId="4D01A8A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3B0C1A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505</w:t>
            </w:r>
          </w:p>
          <w:p w14:paraId="3F01DE1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5B2CC1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198</w:t>
            </w:r>
          </w:p>
          <w:p w14:paraId="774C41C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43837A2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145</w:t>
            </w:r>
          </w:p>
          <w:p w14:paraId="25F3144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795E7C6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293</w:t>
            </w:r>
          </w:p>
          <w:p w14:paraId="38D8531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5DF9609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2FA7D2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E9F4EC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95</w:t>
            </w:r>
          </w:p>
          <w:p w14:paraId="609D0DF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042CA98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947</w:t>
            </w:r>
          </w:p>
          <w:p w14:paraId="406F49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0872D17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145</w:t>
            </w:r>
          </w:p>
          <w:p w14:paraId="37D9FA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407B26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434</w:t>
            </w:r>
          </w:p>
          <w:p w14:paraId="4F7CA6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7C0073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1320</w:t>
            </w:r>
          </w:p>
          <w:p w14:paraId="38675CA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705B7D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0FA59C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1F52937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DEF04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158706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803649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53733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751</w:t>
            </w:r>
          </w:p>
          <w:p w14:paraId="21BBA69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6F30D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5066</w:t>
            </w:r>
          </w:p>
          <w:p w14:paraId="255BCF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A620555"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2F60216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15EEEA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998A8D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ГУ КАРТ</w:t>
            </w:r>
          </w:p>
          <w:p w14:paraId="40910F9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180F565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w:t>
            </w:r>
          </w:p>
          <w:p w14:paraId="1F701C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2B050C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6226</w:t>
            </w:r>
          </w:p>
          <w:p w14:paraId="7BBD167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201495A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p w14:paraId="50BDCBD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1C42868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71</w:t>
            </w:r>
          </w:p>
          <w:p w14:paraId="3F2E8C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7C681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285</w:t>
            </w:r>
          </w:p>
          <w:p w14:paraId="15747BA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0B7B16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544</w:t>
            </w:r>
          </w:p>
          <w:p w14:paraId="121E3F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2D6C300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537</w:t>
            </w:r>
          </w:p>
          <w:p w14:paraId="2A7B00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4BC134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DF9A1A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7CBBE2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EDEF0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9D0146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w:t>
            </w:r>
          </w:p>
          <w:p w14:paraId="1EAC26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4D3C06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217</w:t>
            </w:r>
          </w:p>
          <w:p w14:paraId="12E396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401B5B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p w14:paraId="748B90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2945195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AE9EE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5B774F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189</w:t>
            </w:r>
          </w:p>
          <w:p w14:paraId="0B41029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580D6B7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5E0A3C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65F8B4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13957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5FD6ECC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345826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CA87E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3077</w:t>
            </w:r>
          </w:p>
          <w:p w14:paraId="570B34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3F5469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11215</w:t>
            </w:r>
          </w:p>
          <w:p w14:paraId="53A19F1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672F4F4"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1D737A0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p w14:paraId="721C300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E6BA18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ГУАДС</w:t>
            </w:r>
          </w:p>
          <w:p w14:paraId="4220DDB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01E659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D138AA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71BBB23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48B0CE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41F6D0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4B4C9D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16AF61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13B0C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16767B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1212</w:t>
            </w:r>
          </w:p>
          <w:p w14:paraId="6701F3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0DCD08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w:t>
            </w:r>
          </w:p>
          <w:p w14:paraId="4239EB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4311EF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p w14:paraId="2228B98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0F61484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21EB1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0E8855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F3A23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480379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5E1CAE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12314C4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344</w:t>
            </w:r>
          </w:p>
          <w:p w14:paraId="0848AD5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672DCE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35C8D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70AFCB6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103</w:t>
            </w:r>
          </w:p>
          <w:p w14:paraId="231B96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745FC8B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p w14:paraId="19A4593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510079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A3136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6D16D85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076019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6A2871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C8990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47871B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p w14:paraId="0BAF21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89EF8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179</w:t>
            </w:r>
          </w:p>
          <w:p w14:paraId="65B89D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3745867" w14:textId="77777777">
        <w:trPr>
          <w:trHeight w:val="230"/>
        </w:trPr>
        <w:tc>
          <w:tcPr>
            <w:tcW w:w="384" w:type="dxa"/>
            <w:tcBorders>
              <w:top w:val="single" w:sz="6" w:space="0" w:color="auto"/>
              <w:left w:val="single" w:sz="6" w:space="0" w:color="auto"/>
              <w:bottom w:val="single" w:sz="6" w:space="0" w:color="auto"/>
              <w:right w:val="single" w:sz="6" w:space="0" w:color="auto"/>
            </w:tcBorders>
          </w:tcPr>
          <w:p w14:paraId="332C2F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p w14:paraId="4127FD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62E24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ГУС КА</w:t>
            </w:r>
          </w:p>
          <w:p w14:paraId="2330C56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21129F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28AF2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078A66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288</w:t>
            </w:r>
          </w:p>
          <w:p w14:paraId="6386359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2EC284A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71</w:t>
            </w:r>
          </w:p>
          <w:p w14:paraId="7766AC6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38F04FF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639B1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E4F908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p w14:paraId="6D692C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6DCAB3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p w14:paraId="0AA2893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1876200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6B67BD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21BA9B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EE41CB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602F0A4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7A9FF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FAFB3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w:t>
            </w:r>
          </w:p>
          <w:p w14:paraId="3286E26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7BA8C1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w:t>
            </w:r>
          </w:p>
          <w:p w14:paraId="142609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123B0B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E3A7B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24B11B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9834B5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7CEDAB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4DA6E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0AC751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BA0A5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7D0997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3F51C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1D48A7A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75374C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7B3AC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30056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2F0A12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490</w:t>
            </w:r>
          </w:p>
          <w:p w14:paraId="3081ED2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CC44BDE"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2170095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p w14:paraId="6223F3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1832F1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ГУ ПВО КА</w:t>
            </w:r>
          </w:p>
          <w:p w14:paraId="755E5A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3FC78A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511DE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79A3F4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1E167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5F3C2A0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2253E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09DB03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213A19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62A01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94</w:t>
            </w:r>
          </w:p>
          <w:p w14:paraId="0481E2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5DD692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A1707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0082FF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C9AA86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143BDCC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7917D4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038110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95C04B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2A2D9BA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2BA025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24F933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p w14:paraId="074BCC4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01E853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8E0C6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721FDB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p w14:paraId="4B2495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558B77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p w14:paraId="62660C7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7FF85AF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5C773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7F987CF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7FE468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10E4713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6D7884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5948C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ED06A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C858C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269</w:t>
            </w:r>
          </w:p>
          <w:p w14:paraId="6A5D6A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8CD0C0C"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319F3E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p w14:paraId="451DEC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7FDEC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УПРОФОРМ</w:t>
            </w:r>
          </w:p>
          <w:p w14:paraId="5373721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0EEC6D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F23CB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3B5338B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p w14:paraId="02B464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5D8EEAB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p w14:paraId="4ED0878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30EBB38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256</w:t>
            </w:r>
          </w:p>
          <w:p w14:paraId="5D536DC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4A7516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850</w:t>
            </w:r>
          </w:p>
          <w:p w14:paraId="01EB65D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EADC4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w:t>
            </w:r>
          </w:p>
          <w:p w14:paraId="2B5D86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3DFE7C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670D42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02BA7E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78D4C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12C96BF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p w14:paraId="543E97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0047D88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5F49AB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2836B1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1008</w:t>
            </w:r>
          </w:p>
          <w:p w14:paraId="5541CA2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57F4803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w:t>
            </w:r>
          </w:p>
          <w:p w14:paraId="59E8E16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561D0C0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3645F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2CBB6E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163</w:t>
            </w:r>
          </w:p>
          <w:p w14:paraId="2D918F5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44356B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077633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0F25E05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B1D30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69CCC5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FC357F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4134D5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w:t>
            </w:r>
          </w:p>
          <w:p w14:paraId="638BDB8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7709A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2554</w:t>
            </w:r>
          </w:p>
          <w:p w14:paraId="05F1D03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E719EEF"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5D53E1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p w14:paraId="760B68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EA43D2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ГВХУ КА</w:t>
            </w:r>
          </w:p>
          <w:p w14:paraId="6DCAC7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17440FC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91EF4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2397BC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F2F212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1E18A8B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30E625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49E0150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4936A7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667FE3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E8F890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388823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6F9874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1DC760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4DB253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662ECA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p w14:paraId="2C0D1B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0DD5500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B6BA3A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7B726E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FF4B2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1971BBB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140</w:t>
            </w:r>
          </w:p>
          <w:p w14:paraId="3B3BFB4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0723C6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28DC7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14270DE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94D81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6D6F1FB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B216DA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2C7776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E0C00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2D8967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B606E7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0D7A347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43B179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A04C05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353A4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ACEDCC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190</w:t>
            </w:r>
          </w:p>
          <w:p w14:paraId="1CF92E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64A2C26"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07EAE6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p w14:paraId="599304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782070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ВВС КА</w:t>
            </w:r>
          </w:p>
          <w:p w14:paraId="0F7A5C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6435FC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61470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591E1B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7310ABF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61A35AE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2E462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1E92AE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C2E98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29C69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588EE0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12167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09923F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4AACDF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5131C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294405E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1A3B30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701714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084702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33CF76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914943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6585CB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p w14:paraId="58E96E6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0E3DAF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F8856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5C7165B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556F8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74794EF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CD66E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79600D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4F8AB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02E3426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377DB3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082186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92D06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F70EF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A9CE2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7FA3E5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w:t>
            </w:r>
          </w:p>
          <w:p w14:paraId="4DACB93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670C328"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168C9E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p w14:paraId="2BA38F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CC7F3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Фронты</w:t>
            </w:r>
          </w:p>
          <w:p w14:paraId="5DC38B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31B9F89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68394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40D74B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352</w:t>
            </w:r>
          </w:p>
          <w:p w14:paraId="1E8A64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3E4FA1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129</w:t>
            </w:r>
          </w:p>
          <w:p w14:paraId="0FFE57E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2B7E7E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2EC10E5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F5017C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1278</w:t>
            </w:r>
          </w:p>
          <w:p w14:paraId="7EAD87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23C17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361</w:t>
            </w:r>
          </w:p>
          <w:p w14:paraId="364F0D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11B64A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1966487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03F5A35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0188125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5C34E70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490CE3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724305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1032B4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043817D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494</w:t>
            </w:r>
          </w:p>
          <w:p w14:paraId="76F865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325A04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26FC84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55637C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4B693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4B36C1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221</w:t>
            </w:r>
          </w:p>
          <w:p w14:paraId="0EB9E3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0C5CA0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876B8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5D8448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36E5D74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2A8016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0EDFD1A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B7BDA6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579</w:t>
            </w:r>
          </w:p>
          <w:p w14:paraId="197755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2216B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3434</w:t>
            </w:r>
          </w:p>
          <w:p w14:paraId="272736D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9DCCE7F"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4EFBAD9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283EA4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63174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Армии</w:t>
            </w:r>
          </w:p>
          <w:p w14:paraId="323F5B9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43A9836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922CE3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274D54D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140</w:t>
            </w:r>
          </w:p>
          <w:p w14:paraId="5CBBAB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269DAC0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w:t>
            </w:r>
          </w:p>
          <w:p w14:paraId="09DD32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05ED0D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p w14:paraId="7231A97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63F26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w:t>
            </w:r>
          </w:p>
          <w:p w14:paraId="6FAF28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DBA66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62F26B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0909CF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86618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5FBF2E2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45B0C8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73FD4A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w:t>
            </w:r>
          </w:p>
          <w:p w14:paraId="571C085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6978D0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AF65C8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38480F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w:t>
            </w:r>
          </w:p>
          <w:p w14:paraId="3F7F73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178B86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5EA35C9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3C2511C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p w14:paraId="752908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4227542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p w14:paraId="79D4769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66D68C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FE8FC3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381FE86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B24646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7E2CB63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456F3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6CB7D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w:t>
            </w:r>
          </w:p>
          <w:p w14:paraId="2795114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CC4CF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466</w:t>
            </w:r>
          </w:p>
          <w:p w14:paraId="45535B2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A52483A" w14:textId="77777777">
        <w:trPr>
          <w:trHeight w:val="230"/>
        </w:trPr>
        <w:tc>
          <w:tcPr>
            <w:tcW w:w="384" w:type="dxa"/>
            <w:tcBorders>
              <w:top w:val="single" w:sz="6" w:space="0" w:color="auto"/>
              <w:left w:val="single" w:sz="6" w:space="0" w:color="auto"/>
              <w:bottom w:val="single" w:sz="6" w:space="0" w:color="auto"/>
              <w:right w:val="single" w:sz="6" w:space="0" w:color="auto"/>
            </w:tcBorders>
          </w:tcPr>
          <w:p w14:paraId="16EAA4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13</w:t>
            </w:r>
          </w:p>
          <w:p w14:paraId="42A705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1C94F5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Разн. войск, части</w:t>
            </w:r>
          </w:p>
          <w:p w14:paraId="198D1DC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55BB270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7D49D3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02A136B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71</w:t>
            </w:r>
          </w:p>
          <w:p w14:paraId="7DBD6A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66A3883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p w14:paraId="2AAE06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714943E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p w14:paraId="22BF51B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0AF58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358</w:t>
            </w:r>
          </w:p>
          <w:p w14:paraId="01D605F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AAEE1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p w14:paraId="72160A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52959D6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p w14:paraId="50C546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3B2F5A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229E504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2E79BB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p w14:paraId="0F2A9B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709C97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p w14:paraId="425DA8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1E0B5C3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588</w:t>
            </w:r>
          </w:p>
          <w:p w14:paraId="34DD64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2C6DF6A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119B6E2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12DCDA8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124</w:t>
            </w:r>
          </w:p>
          <w:p w14:paraId="3DB949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0832C0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111</w:t>
            </w:r>
          </w:p>
          <w:p w14:paraId="1E0607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686078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7FD55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2CC1E8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611686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04DFC4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p w14:paraId="17706E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F3BC2D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153</w:t>
            </w:r>
          </w:p>
          <w:p w14:paraId="42ADA5B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ABA420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1493</w:t>
            </w:r>
          </w:p>
          <w:p w14:paraId="7682FDD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251724C" w14:textId="77777777">
        <w:trPr>
          <w:trHeight w:val="250"/>
        </w:trPr>
        <w:tc>
          <w:tcPr>
            <w:tcW w:w="384" w:type="dxa"/>
            <w:tcBorders>
              <w:top w:val="single" w:sz="6" w:space="0" w:color="auto"/>
              <w:left w:val="single" w:sz="6" w:space="0" w:color="auto"/>
              <w:bottom w:val="single" w:sz="6" w:space="0" w:color="auto"/>
              <w:right w:val="single" w:sz="6" w:space="0" w:color="auto"/>
            </w:tcBorders>
          </w:tcPr>
          <w:p w14:paraId="61A9A86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w:t>
            </w:r>
          </w:p>
          <w:p w14:paraId="44AEF86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77D22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Разные Нарком.</w:t>
            </w:r>
          </w:p>
          <w:p w14:paraId="6692E5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2C8556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24B1B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6676BB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p w14:paraId="73FF304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1FEC354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p w14:paraId="43C435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59570A6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333</w:t>
            </w:r>
          </w:p>
          <w:p w14:paraId="7B375B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5BE12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681</w:t>
            </w:r>
          </w:p>
          <w:p w14:paraId="37E89D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1FEB3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p w14:paraId="533E2C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1337BB0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5C0EE8F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430B208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p w14:paraId="1CEB664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0DBFBB7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0F86850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36A9AF5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p w14:paraId="26B7672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64FC39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323</w:t>
            </w:r>
          </w:p>
          <w:p w14:paraId="3B31F0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05DC2D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p w14:paraId="6ACE94A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1228F8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48CB4A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39E9081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p w14:paraId="3BE77A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3A42F51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5C0F9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473918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747D48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0563CB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08A419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303BE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p w14:paraId="31A6D9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900149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1524</w:t>
            </w:r>
          </w:p>
          <w:p w14:paraId="432234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3C62A46" w14:textId="77777777">
        <w:trPr>
          <w:trHeight w:val="250"/>
        </w:trPr>
        <w:tc>
          <w:tcPr>
            <w:tcW w:w="384" w:type="dxa"/>
            <w:tcBorders>
              <w:top w:val="single" w:sz="6" w:space="0" w:color="auto"/>
              <w:left w:val="single" w:sz="6" w:space="0" w:color="auto"/>
              <w:bottom w:val="single" w:sz="6" w:space="0" w:color="auto"/>
              <w:right w:val="single" w:sz="6" w:space="0" w:color="auto"/>
            </w:tcBorders>
          </w:tcPr>
          <w:p w14:paraId="599A99C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0B8F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59FA5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p w14:paraId="788C53F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3A7D2B6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p w14:paraId="6EF7DD9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35FC16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7309</w:t>
            </w:r>
          </w:p>
          <w:p w14:paraId="22EDE0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1AD30C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483</w:t>
            </w:r>
          </w:p>
          <w:p w14:paraId="2D9CD8A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75311DC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1472</w:t>
            </w:r>
          </w:p>
          <w:p w14:paraId="7850D0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F571F2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9199</w:t>
            </w:r>
          </w:p>
          <w:p w14:paraId="5C524BF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C39432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1522</w:t>
            </w:r>
          </w:p>
          <w:p w14:paraId="1BD23C1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6B58CB3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903</w:t>
            </w:r>
          </w:p>
          <w:p w14:paraId="487832E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4644A30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473</w:t>
            </w:r>
          </w:p>
          <w:p w14:paraId="522E18D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4D7C6BF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129</w:t>
            </w:r>
          </w:p>
          <w:p w14:paraId="3945C2F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4560D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371</w:t>
            </w:r>
          </w:p>
          <w:p w14:paraId="345093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123F67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8194</w:t>
            </w:r>
          </w:p>
          <w:p w14:paraId="2560ADC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08F72ED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433</w:t>
            </w:r>
          </w:p>
          <w:p w14:paraId="0DCBD0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5EF7AC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1192</w:t>
            </w:r>
          </w:p>
          <w:p w14:paraId="5EA27BA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1A6F84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3273</w:t>
            </w:r>
          </w:p>
          <w:p w14:paraId="433619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0D73F6A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34C96F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2ED217B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p w14:paraId="4CE4629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70A7A4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86</w:t>
            </w:r>
          </w:p>
          <w:p w14:paraId="6A6689C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AC0387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5359</w:t>
            </w:r>
          </w:p>
          <w:p w14:paraId="3B43D8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4E0C5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40443</w:t>
            </w:r>
          </w:p>
          <w:p w14:paraId="2E00E7B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450B4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3 отдела УС ГАВТУ КА инженер-подполковник Лебедев</w:t>
      </w:r>
    </w:p>
    <w:p w14:paraId="772DEE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11593. Д. 10. Л. 176-177. Копия (11403).</w:t>
      </w:r>
    </w:p>
    <w:p w14:paraId="3824CF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2B7C1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вышло Постановление ГКО № 3268 [О проведении неотложного ремонта оборудования электростанций и сетей 1 и 2 мая 1943 г.] (7101, 170,171-173).</w:t>
      </w:r>
    </w:p>
    <w:p w14:paraId="5A45047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C8BE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вышло Постановление ГКО № 3269 О мероприятиях по обеспечению ввода в действие завода синтетического каучука СК "Совпрен" № 2 Наркомрезинпрома.РГАНИР, Фонд ГКО, д. 111, лл. 174-179, 180-192 (11012).</w:t>
      </w:r>
    </w:p>
    <w:p w14:paraId="444768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811A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вышло Постановление ГКО № 3270 О балансах и планах распределения черных металлов, метизов, труб, чугуна, ферросплавов и металлургического кокса на II квартал 1943 г.РГАНИР, Фонд ГКО, д. 112, лл. 1-6, 7-121 (11012).</w:t>
      </w:r>
    </w:p>
    <w:p w14:paraId="2DE32B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FEDBF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24885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24BE68"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в 1943 году утреннее сообщение Совинформбюро:</w:t>
      </w:r>
    </w:p>
    <w:p w14:paraId="33A9533B"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29 апреля на фронтах существенных изменений не произошло.</w:t>
      </w:r>
    </w:p>
    <w:p w14:paraId="01EAC1CD"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 разведывательный отряд проник в тыл противника и атаковал колонну гитлеровцев, направлявшуюся к линии фронта. Советские бойцы истребили 60 немецких солдат и офицеров и захватили пленных.</w:t>
      </w:r>
    </w:p>
    <w:p w14:paraId="261984E7"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происходила артиллерийская перестрелка с противником. Огнём нашей артиллерии разрушено 4 дзота, подавлен огонь артиллерийской и двух миномётных батарей, рассеяно и частью уничтожено до батальона немецкой пехоты.</w:t>
      </w:r>
    </w:p>
    <w:p w14:paraId="3C0C6AF0"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лётчиками в воздушных боях сбито 3 немецких самолёта.</w:t>
      </w:r>
    </w:p>
    <w:p w14:paraId="436F3B93"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разведчики Н-ской части пробрались в тыл противника и истребили 50 немецких солдат и двух офицеров.</w:t>
      </w:r>
    </w:p>
    <w:p w14:paraId="1D4D4DB2"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бомбардировщики ночью совершили налёт на аэродром противника. В результате бомбардировки на аэродроме возникло 6 очагов пожара.</w:t>
      </w:r>
    </w:p>
    <w:p w14:paraId="39AA7098"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участке Северо-Западного фронта немецкая пехота под прикрытием дымовой завесы пыталась вести разведку нашей обороны. Миномётным и ружейно-пулемётным огнём гитлеровцы были рассеяны и отошли, оставив перед нашими позициями 40 трупов. Снайперами Н-ской части в течение дня и ночи уничтожено до 70 немецких солдат и офицеров.</w:t>
      </w:r>
    </w:p>
    <w:p w14:paraId="5AAE4345"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одном из районов Киевской области гитлеровцы пытались окружить и уничтожить группу партизан, возвращавшуюся на свою базу. Партизан Андрей продвинулся вперёд и из ручного пулемёта уничтожил свыше 30 немцев. Воспользовавшись замешательством среди гитлеровцев, партизаны прорвали кольцо окружения. Партизанский отряд, действующий в Черниговской области, взорвал немецкий эшелон. Разбит паровоз, и сгорело 58 цистерн с бензином. Партизаны отряда, действующегов Волынской области, с 22 по 24 апреля пустили под откос 3 воинских эшелона противника. Уничтожено 35 вагонов и 17 платформ. Убито большое число немецких солдат и офицеров.</w:t>
      </w:r>
    </w:p>
    <w:p w14:paraId="6A5795EA"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Среди немецких солдат Минского гарнизона вспыхнули волнения. Один полк отказался выехать на фронт. К нему присоединился и штрафной батальон, расположенный в соседних казармах. Многие солдаты этих частей разбежались раньше, чем прибывшие эсэсовцы успели оцепить казармы. Немецкие военные власти произвели массовые аресты.</w:t>
      </w:r>
    </w:p>
    <w:p w14:paraId="3D1F28C5"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Борьба французских патриотов против немецких захватчиков принимает всё больший размах. Близ Мервилля французские железнодорожники организовали столкновение двух воинских поездов немецких оккупантов. На участке Бетюн—Лилль пущен под откос эшелон е коксом. Разбито 50 вагонов. Движение на этом участкебыло прервано на трое суток. В департаменте Севера только за две недели патриоты уничтожили свыше 3 тысяч тонн военных грузов. B Марселе молодые французы совершили нападение на группу немецких морских офицеров. B завязавшейся схватке уничтожено 6 гитлеровцев. В Париже, на бульваре Сен-Мишель, вольные стрелки бросили несколько гранат в немецкую казарму (15114).</w:t>
      </w:r>
    </w:p>
    <w:p w14:paraId="6F6BE395"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1906B90D"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в 1943 году вечернее сообщение Совинформбюро:</w:t>
      </w:r>
    </w:p>
    <w:p w14:paraId="31F5ED2F"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29 апреля на фронтах существенных изменений не произошло.</w:t>
      </w:r>
    </w:p>
    <w:p w14:paraId="4298E629"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частями нашей авиации на различных участках фронта уничтожено или повреждено не менее 20 немецких автомашин с войсками и грузами, разбит железнодорожный эшелон, подавлен огонь 5 артиллерийских батарей противника.</w:t>
      </w:r>
    </w:p>
    <w:p w14:paraId="7EC294AC"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артиллерийским и ружейно-пулемётным огнём уничтожали технику и живую силу противника. В течение дня истреблено не менее 200 немецких солдат и офицеров. Снайперы тт. Назаров и Макаревич, уничтожили 10 гитлеровцев, снайперы тт. Шевинский и Шестаков убили 6 немцев. Группа разведчиков во главе с сержантом т. Глазыриным проникла в расположение противника. Разведчики уничтожили гарнизон вражеского дзота и, захватив пулемёт и личное оружие убитых немецких солдат, вернулись в свою часть.</w:t>
      </w:r>
    </w:p>
    <w:p w14:paraId="09CE8C44"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Чугуева передовые подразделения Н-ской части огнём из всех видов оружия отбили попытку немецкой пехоты переправиться через водный рубеж. На поле боя остались десятки вражеских трупов. Красноармеец тов. Невегель из противотанкового ружья сбил самолёт противника.</w:t>
      </w:r>
    </w:p>
    <w:p w14:paraId="53E7B0E5"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гитлеровцы неоднократно пытались овладеть высотой, имеющей важное значение. Бойцы Н-ского подразделения миномётным и ружейно-пулемётным огнём отбили все атаки противника. К исходу дня наши бойцы контратаковали немцев и значительно улучшили свои позиции. На поле боя осталось много вражеских трупов.</w:t>
      </w:r>
    </w:p>
    <w:p w14:paraId="7A7A10C3"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огнём нашей артиллерии уничтожены 3 артиллерийские батареи, 3 противотанковых орудия, разрушено 4 дзота и потоплено на переправе 4 лодки с немецкими солдатами.</w:t>
      </w:r>
    </w:p>
    <w:p w14:paraId="37E2054C"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Каменец-Подольской области, заминировал железнодорожные пути. 8 апреля на рассвете немецкий эшелон наскочил на мины. В результате крушения уничтожено 15 вагонов с боеприпасами. Семь платформ с автомашинами и 8 платформ с танками свалились под откос. Автомашины и танки партизаны сожгли. К месту крушения гитлеровцы направили несколько воинских подразделений. Ружейно-пулемётным огнём советские патриоты уничтожили 60 немецко-фашистских оккупантов. На днях этот же отряд партизан уничтожил нефтебазу противника. Сожжено более 50 тонн горючего.</w:t>
      </w:r>
    </w:p>
    <w:p w14:paraId="74F20335"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солдат 38 немецкой пехотной дивизии поляк Ян Плотка рассказал: «Наша дивизия прибыла на фронт в первой половине апреля из города Нанта (Франция). В дивизии много поляков из Поморья, Верхней Силезии и Познанского воеводства. До войны я жил в Польше, в Картузскои уезде, и работал в хозяйстве отца. Когда гитлеровцы захватили Польшу, к нам приехал немецкийпомещик Гензер. Он забрал наше хозяйство и землю, а меня и отца превратил в своих батраков. Такая же участь постигла многих моих односельчан. Провожая в армию, родные сказали мне: «Если попадёшь на фронт, сразу переходи к русским». Я так и сделал. Улучив удобный момент, я вместе с Болеславом Пилатом переплыл Донец и сдался в плен».</w:t>
      </w:r>
    </w:p>
    <w:p w14:paraId="0371F6DA"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в районе города Фоча разгромили итальянский отряд и уничтожили 80 солдат противника. В районе Чадежа партизаны отразили атаку численно превосходящих сил оккупантов и уничтожили более 100 итальянских солдат и офицеров.» (15114).</w:t>
      </w:r>
    </w:p>
    <w:p w14:paraId="4617C091"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18435D6F"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в 1943 году советской подлодкой затопляются два транспортных корабля немцев в Баренцевом море (15114).</w:t>
      </w:r>
    </w:p>
    <w:p w14:paraId="6B642E3C"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7D4E9580"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в 1943 году постановление ГКО «О формировании 1-й чехословацкой отдельной пехотной бригады» на территории СССР (15114).</w:t>
      </w:r>
    </w:p>
    <w:p w14:paraId="4ACA4A4F"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4D918773"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в 1943 году советская авиация дальнего действия атаковала Кенигсберг (впервые использована 5-ти тонная бомба) (15114).</w:t>
      </w:r>
    </w:p>
    <w:p w14:paraId="63061CF1"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7C914567"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в 1943 году приказом начальника генерального штаба ОКХ все русские, находившиеся на службе в подразделениях и частях вермахта (хиви) или в самостоятельных русских формированиях, формально были зачислены в Русскую Освободительную Армию. Все украинцы объявлены военнослужащими Украинского Освободительного Войска (15114).</w:t>
      </w:r>
    </w:p>
    <w:p w14:paraId="6C208A49"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3765F4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29 апреля 1943 57 гиап совершил 28 вылетов на сопровождение бомбарди</w:t>
      </w:r>
      <w:r w:rsidRPr="00D03F3E">
        <w:rPr>
          <w:rFonts w:ascii="Times New Roman" w:hAnsi="Times New Roman"/>
          <w:color w:val="000000" w:themeColor="text1"/>
          <w:sz w:val="16"/>
          <w:szCs w:val="16"/>
        </w:rPr>
        <w:softHyphen/>
        <w:t>ровщиков и штурмовиков и 23 вылета на прикрытие войск. За этот день про</w:t>
      </w:r>
      <w:r w:rsidRPr="00D03F3E">
        <w:rPr>
          <w:rFonts w:ascii="Times New Roman" w:hAnsi="Times New Roman"/>
          <w:color w:val="000000" w:themeColor="text1"/>
          <w:sz w:val="16"/>
          <w:szCs w:val="16"/>
        </w:rPr>
        <w:softHyphen/>
        <w:t>изошли четыре воздушных боя. В пер</w:t>
      </w:r>
      <w:r w:rsidRPr="00D03F3E">
        <w:rPr>
          <w:rFonts w:ascii="Times New Roman" w:hAnsi="Times New Roman"/>
          <w:color w:val="000000" w:themeColor="text1"/>
          <w:sz w:val="16"/>
          <w:szCs w:val="16"/>
        </w:rPr>
        <w:softHyphen/>
        <w:t>вые дни 57-й полк преследовали не</w:t>
      </w:r>
      <w:r w:rsidRPr="00D03F3E">
        <w:rPr>
          <w:rFonts w:ascii="Times New Roman" w:hAnsi="Times New Roman"/>
          <w:color w:val="000000" w:themeColor="text1"/>
          <w:sz w:val="16"/>
          <w:szCs w:val="16"/>
        </w:rPr>
        <w:softHyphen/>
        <w:t>удачи. В основном они были связаны с устаревшей тактикой боя на горизон</w:t>
      </w:r>
      <w:r w:rsidRPr="00D03F3E">
        <w:rPr>
          <w:rFonts w:ascii="Times New Roman" w:hAnsi="Times New Roman"/>
          <w:color w:val="000000" w:themeColor="text1"/>
          <w:sz w:val="16"/>
          <w:szCs w:val="16"/>
        </w:rPr>
        <w:softHyphen/>
        <w:t>талях, в то время как "Спитфайр" был хорош именно в вертикальном манев</w:t>
      </w:r>
      <w:r w:rsidRPr="00D03F3E">
        <w:rPr>
          <w:rFonts w:ascii="Times New Roman" w:hAnsi="Times New Roman"/>
          <w:color w:val="000000" w:themeColor="text1"/>
          <w:sz w:val="16"/>
          <w:szCs w:val="16"/>
        </w:rPr>
        <w:softHyphen/>
        <w:t>ре (по мнению воевавшего в 57-м полку А.Л. Иванова, он превосходил в этом отношении и Як-1, и Ла-5) (10790).</w:t>
      </w:r>
    </w:p>
    <w:p w14:paraId="5D6B48A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D040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29 апреля 1943 началось наше наступление на Кубани и до 10 мая за 10 тыс. самолетовылетов уничтожили 368 самолетов потеряв 70 (340,121). Это были бои в районе станицы Крымской (2390,2).</w:t>
      </w:r>
    </w:p>
    <w:p w14:paraId="0B503A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CDD3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г. пилот 4-го иап И.В. Шмелев сбил четырех "лаптежников" Ju-87. Всего за три дня апреля им было уничтожено 8+1 самолетов противника, а за войну - 27+10 (12048).</w:t>
      </w:r>
    </w:p>
    <w:p w14:paraId="363452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5E9B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29 апреля по 10 мая 1943, развернулись бои в районе станицы Крымской. Об их интенсивности говорит то, что за три часа наступления немецкая авиация произвела более 1500 самолето-вылетов (3573).</w:t>
      </w:r>
    </w:p>
    <w:p w14:paraId="1879ACB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E317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войска 56А в 7:40 после артподготовки при активной поддержке авиации возобновили наступление, чтобы ударом на Крымскую и Анапу рассечь, а затем уничтожить группировку на Тамани. Предшествовала авиаподготовка, которая переросла в авиаподдержку. В первые 3 часа над полем боя было 144 б, 82 ш, 265 и. Немецкие б пытались сорвать наступление. Прошло 42 групповых воздушных боя и мы сбили 75. За день сделали 1268 вылета. 4 мая освободили Крымскую. Из-за отсутствия резервов наступление приостановили, но в воздухе все началось с новой силой. На участке фронта 25-30 км было в среднем до 40 групповых боев в день с участием по 50-80 машин с каждой из сторон. Всего до 10 мая сделали 10000 вылетов, из которых 50% - на действия по войскам и технике на поле боя. Сбили 368 потеряв 70 (340,121).</w:t>
      </w:r>
    </w:p>
    <w:p w14:paraId="3919FB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D40D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зенитная артиллерия обстреляла трофейный самолёт Ю-52, летевший из Сызрани в Куйбышев. Обошлось - ни жертв, ни пробоин (6393).</w:t>
      </w:r>
    </w:p>
    <w:p w14:paraId="4625AA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FBDC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года с Пе-8 4М-30 №42029 45-й дивизия АДД была сброшена бомба ФАБ-5000 на Кенигсберг. По данным агентурной разведки стало известно, что эффект от взрыва был близок к ожидаемому (7685).</w:t>
      </w:r>
    </w:p>
    <w:p w14:paraId="3248C1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3AC3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ФАБ-5000 сбросили на Кёнигсберг. По данным разведки стало известно, что эффект оказался близок к ожидаемому. В конце мая такую же бомбу сбросили на скопление германских войск в районе Могилева, а 4 июня с её помощью "перепахали" железнодорожные пу ти под Орлом, затруднив переброску войск противника в район Курска. В июле ФАБ-5000 обрушивались на войска противника в ходе Курской битвы (11996).</w:t>
      </w:r>
    </w:p>
    <w:p w14:paraId="655860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8DE9BC" w14:textId="77777777" w:rsidR="002F5AD4" w:rsidRPr="00D03F3E" w:rsidRDefault="002F5AD4" w:rsidP="00D03F3E">
      <w:pPr>
        <w:tabs>
          <w:tab w:val="left" w:pos="208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года с Пе-8 4М-30 №42029 была сброшена бомба ФАБ-5000 на Кенигсберг.</w:t>
      </w:r>
    </w:p>
    <w:p w14:paraId="014C95A3"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данным агентурной разведки стало известно, что эффект от взрыва был близок к ожидаемому... В конце мая ФАБ-5000 была сброшена на сосредоточение германских войск в районе Могилева, 4 июня с помощью ФАБ-5000 перепахали железнодорожные пути в районе Орла, затруднив переброску германских войск в район Курского выступа. В июле 1943 года ФАБ-5000 обрушивались в ходе начавшейся Курской битвы на войска противника и на Орел. Всего до весны 1944 года на головы немцев было сброшено 13 ФАБ-5000 (12726).</w:t>
      </w:r>
    </w:p>
    <w:p w14:paraId="72153480" w14:textId="77777777" w:rsidR="002F5AD4" w:rsidRPr="00D03F3E" w:rsidRDefault="002F5AD4" w:rsidP="00D03F3E">
      <w:pPr>
        <w:pStyle w:val="ae"/>
        <w:spacing w:before="0" w:after="0"/>
        <w:jc w:val="both"/>
        <w:rPr>
          <w:rStyle w:val="mfont1"/>
          <w:rFonts w:eastAsia="Times New Roman"/>
          <w:bCs/>
          <w:color w:val="000000" w:themeColor="text1"/>
          <w:sz w:val="16"/>
          <w:szCs w:val="16"/>
        </w:rPr>
      </w:pPr>
    </w:p>
    <w:p w14:paraId="328C0B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согласно дневниковых записей Валентина Ивановича Аккуратова (летал на АНТ-42 “дублер”) за 1943 год, после налета на Кенигсберг были атакованы группой истребителей. Отстреливаясь, ушли в облака, куда они сунуться не рискнули, видимо, опасаясь столкнуться друг с другом. Уже на подходе к линии фронта, снижаясь в облаках, неожиданно напоролись на сильный заградительный огонь. Вырвались, резко меняя курсы и высоту, но все же получили несколько осколочных пробоин. Обидно за книгу - эпос "Калевала", которую урывками читал на обратном пути, - осколки снаряда пробили ее в нескольких местах, а один, пронзив том, содрал у меня кожу со лба и расцарапал шлемофон (эту книгу, списанную из дивизионной библиотеки, я храню по сей день - как- никак. но она спасла мне жизнь).</w:t>
      </w:r>
    </w:p>
    <w:p w14:paraId="41AB0C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Ходили на Брест - там разведка обнаружила скопление танков и тяжелой артиллерии. Очевидно, фрицы не ожидали появления здесь нашей дальней авиации - зенитки и прожекторы бездействовали. После массированного налета эшелоны превратились в месиво огня и дыма, которое мы, уходя, видели за 120-140 км.</w:t>
      </w:r>
    </w:p>
    <w:p w14:paraId="5A1054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5, 10, 12 мая. Все ночи напролет громим эшелоны на железнодорожных узлах. Не нужно быть стратегом, чтобы по расположению целей понять, что готовится очередное грандиозное наступление. И тщетно фашисты пытаются замаскировать свою технику - мы находим ее в любых условиях.</w:t>
      </w:r>
    </w:p>
    <w:p w14:paraId="3F84C9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секрет прост - противник сам наводил нас на цели. Однажды в ясную, но безлунную ночь, идя над вражеской территорией, мы заметили на черном бархате затаившейся земли вспыхивающие огни. Присмотревшись, поняли, что вспышки соответствуют знакам азбуки Морзе. То были свето- маяки, установленные у крупных населенных пунктов и у естественных ориентиров. Каждый маяк давал вспышки из двух определенных букв, которые менялись раз в десять дней. Перенеся эти данные на карту, наши штурманы быстро и точно выводили свои корабли на заданную цель. Помогали нам чужие огни и при возвращении, особенно на подбитой машине, когда штурманы </w:t>
      </w:r>
    </w:p>
    <w:p w14:paraId="643001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каждым боевым вылетом росло наше мастерство и понимание тактики врага. К примеру, если год назад мы с опаской думали о том, как бы не встретить над целью аэростаты заграждения, то теперь, отбомбившись, искали их, чтобы сжечь огнем тяжелых пулеметов. Ведь эти аэростаты представляли для нас серьезную угрозу, - обычно спаренные, они поднимали стальной трос на 6 тыс. м. Невидимые в ночи, да еше увешанные электромагнитными дистанционными минами, они были для нас куда опаснее зенитной артиллерии: Вот почему наши стрелки столь беспощадно разделывались с их серебристыми тушами.</w:t>
      </w:r>
    </w:p>
    <w:p w14:paraId="20B8B6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успехе боевого вылета огромную роль играло знание штурманами фактической погоды над территорией врага. В частности, необходимо было иметь представление о нижней границе облачности над целью. Однако карты, которые мы получали от синоптиков, были прогностическими, расчетными. До войны было иначе - сводки погоды поступали к синоптикам со всей Европы, и их прогнозы были более или менее точными. С войной поступление такой информации прекратилось. А положение усугублялось тем, что погода над оккупированной нацистами Европой формировалась под воздействием воздушных масс, движущихся с запада и северо-запада (со стороны Бельгии, Голландии и Норвегии, захваченных гитлеровцами еще в 1940 году). Поэтому доразведку погоды пришлось возложить на экипаж самолета-осветителя. Выйдя на цель за полчаса до появления основной массы бомбардировщиков, он передавал на базу сводку, а та сообщала ее штурманам машин, идущих на цель с интервалом в 5-Ю мин. Выпускать разведчика раньше было нежелательно, так как в этом случае терялся фактор внезапности и противник успевал привести в готовность противовоздушную оборону.</w:t>
      </w:r>
    </w:p>
    <w:p w14:paraId="69318D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и здесь нам помогала самоуверенность нацистов. Дело в том, что их аэродромные станции методически передавали для летчиков Люфтваффе сводки погоды на ультракоротких волнах по международному метеокоду. А его отлично знали летчики полярной авиации, работавшие до войны на разведке ледовой обстановки в Арктике. Хотя дальность действия этих радиостанций была небольшой, но это не мешало нам получать полную картину погоды над целью" (12025).</w:t>
      </w:r>
    </w:p>
    <w:p w14:paraId="2CFD08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2CF2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на 29 апреля 1943 г. состоялся первый боевой вылет с новым сверхоружием. Пе-8 № 42029, оснащенный дизелями М-30, сбросил пятитонку на Кенигсберг. В конце мая две ФАБ-5000 были сброшены на немецкие войска в районе Могилева, 4 июня одна такая бомба разнесла железнодорожные пути на станции Орел. В июле бомбардировке вновь подвергался Орел и группировка немецких войск на Курской дуге. Всего до весны 1944 г. в боевых действиях использовали 13 пятитонных бомб. Несмотря на высокий поражающий эффект от их применения, транспортировка таких бомб на Пе-8 оказалась вовсе не рядовым явлением. Для разрешения этого вопроса и многих других, способных повысить боевые качества бомбардировщика, требовалась кардинальная его модернизация.</w:t>
      </w:r>
    </w:p>
    <w:p w14:paraId="11634B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Работа по значительной переработке Пе- 8 под новые требования началась в конструкторском бюро Незваля в инициативном порядке во второй половине 1943 г. Предполагалось улучшить аэродинамику самолета, усилить его конструкцию и вооружение, обеспечить значительное расширение его боевых возможностей. Зимой 1943-1944 г. конструкторское бюро провело значительные изыскательские работы и подготовило эскизный проект самолета, получившего заводское обозначение "Т". По сравнению с базовым Пе-8, новая машина имела измененную кабину экипажа в которой пилоты размещались рядом друг с другом. Бомбоот- сек с увеличенным внутренним объемом позволял свободно загружать одну авиабомбу ФАБ-5000 или две ФАБ-2000. В качестве силовой установки предполагалось использовать двигатели АШ-82ФН с турбокомпрессорами ТК-3 или дизели М-31 (развитие М-30). С двигателями М-31 при полетном весе 37,5 тонн новый Пе-8 мог доставить одну тонну бомб на расстояние 7500 км (12025).</w:t>
      </w:r>
    </w:p>
    <w:p w14:paraId="29497E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7F7A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г. вышла ДИРЕКТИВА КОМАНДУЮЩЕГО БТ и МВ КА ОБ ИЗУЧЕНИИ МЕТОДОВ И СПОСОБОВ ПРИМЕНЕНИЯ НОВЫХ ТИПОВ НЕМЕЦКИХ ТАНКОВ № РО/35</w:t>
      </w:r>
    </w:p>
    <w:p w14:paraId="4C9736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предстоящих боях в войсках немецкой армии вероятно появление новых типов танков немец</w:t>
      </w:r>
      <w:r w:rsidRPr="00D03F3E">
        <w:rPr>
          <w:rFonts w:ascii="Times New Roman" w:hAnsi="Times New Roman"/>
          <w:color w:val="000000" w:themeColor="text1"/>
          <w:sz w:val="16"/>
          <w:szCs w:val="16"/>
        </w:rPr>
        <w:softHyphen/>
        <w:t>кого, чехословацкого и французского производства, обладающих более мощным вооружением, уси</w:t>
      </w:r>
      <w:r w:rsidRPr="00D03F3E">
        <w:rPr>
          <w:rFonts w:ascii="Times New Roman" w:hAnsi="Times New Roman"/>
          <w:color w:val="000000" w:themeColor="text1"/>
          <w:sz w:val="16"/>
          <w:szCs w:val="16"/>
        </w:rPr>
        <w:softHyphen/>
        <w:t>ленной броней и некоторыми другими усовершенствованиями. Первые образцы тяжелых немецких танков типа Т-6 нашими войсками захвачены и в части рассылаются инструкции по борьбе с ними. В целях более быстрого определения уязвимых мест новых типов танков или модернизированных старых образцов, изучения особенностей их конструкции, а также своевременного доведения до каждого бойца эффективных мер и средств борьбы с ними командующий БТМВ КА ПРИКАЗАЛ:</w:t>
      </w:r>
    </w:p>
    <w:p w14:paraId="601014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Командующим БТМВ фронтов и армий, командующим танковых армий, командирам танковых и механизированных корпусов личным распоряжением выделить специальные лица (инженеров артиллеристов) для постоянного изучения всех новых образцов танков, захваченных у противника.</w:t>
      </w:r>
    </w:p>
    <w:p w14:paraId="640237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Захваченный танк нового образца немедленно эвакуировать в безопасное место и собствен</w:t>
      </w:r>
      <w:r w:rsidRPr="00D03F3E">
        <w:rPr>
          <w:rFonts w:ascii="Times New Roman" w:hAnsi="Times New Roman"/>
          <w:color w:val="000000" w:themeColor="text1"/>
          <w:sz w:val="16"/>
          <w:szCs w:val="16"/>
        </w:rPr>
        <w:softHyphen/>
        <w:t xml:space="preserve">ными силами организовать изучение его конструктивных особенностей, </w:t>
      </w:r>
      <w:r w:rsidRPr="00D03F3E">
        <w:rPr>
          <w:rFonts w:ascii="Times New Roman" w:hAnsi="Times New Roman"/>
          <w:color w:val="000000" w:themeColor="text1"/>
          <w:sz w:val="16"/>
          <w:szCs w:val="16"/>
        </w:rPr>
        <w:lastRenderedPageBreak/>
        <w:t>тактико-техническую характеристику согласно прилагаемой инструкции. Второй экземпляр данных нарочным или авиа</w:t>
      </w:r>
      <w:r w:rsidRPr="00D03F3E">
        <w:rPr>
          <w:rFonts w:ascii="Times New Roman" w:hAnsi="Times New Roman"/>
          <w:color w:val="000000" w:themeColor="text1"/>
          <w:sz w:val="16"/>
          <w:szCs w:val="16"/>
        </w:rPr>
        <w:softHyphen/>
        <w:t>почтой высылать в штаб БТМВ КА.</w:t>
      </w:r>
    </w:p>
    <w:p w14:paraId="44258F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Тщательно изучать уязвимые места танков совместно с представителями командующего артиллерии, по получении телеграфного разрешения штаба БТМВ на месте производить обстрел из различных видов противотанкового оружия согласно программе обстрела, указанной в прилагаемой инструкции. Результаты обстрела и намеченные меры и средства борьбы немедленно доводить до всего состава войск.</w:t>
      </w:r>
    </w:p>
    <w:p w14:paraId="6FFAF06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В действующих частях и соединениях после каждой танковой атаки противника детально изучать методы и способы применения новых типов танков, участвовавших в бою. Тщательно осма</w:t>
      </w:r>
      <w:r w:rsidRPr="00D03F3E">
        <w:rPr>
          <w:rFonts w:ascii="Times New Roman" w:hAnsi="Times New Roman"/>
          <w:color w:val="000000" w:themeColor="text1"/>
          <w:sz w:val="16"/>
          <w:szCs w:val="16"/>
        </w:rPr>
        <w:softHyphen/>
        <w:t>тривать места повреждения танка, устанавливать, каким видом огня был подбит танк, какие особые меры борьбы были применены. Полученный материал оформлять приказом по части, отмечая в нем лучший опыт борьбы.</w:t>
      </w:r>
    </w:p>
    <w:p w14:paraId="08E684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Разведотделам штабов БТ и МВ фронтов в очередных технических разведсводках доносить о ходе реализации настоящей директивы.</w:t>
      </w:r>
    </w:p>
    <w:p w14:paraId="0E76FD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О захваченных вполне исправных танках нового образца немедленно телеграфом доносить в штаб БТМВ для получения указаний об их эвакуации на научно-исследовательский полигон.</w:t>
      </w:r>
    </w:p>
    <w:p w14:paraId="05E7AB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штаба БТ и МВ КА полковник Заев</w:t>
      </w:r>
    </w:p>
    <w:p w14:paraId="23A880F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разведотдела штаба БТ и МВ КА подполковник Сидорович</w:t>
      </w:r>
    </w:p>
    <w:p w14:paraId="126759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11353. Д. 412. Л. 16-17. Подлинник (11403).</w:t>
      </w:r>
    </w:p>
    <w:p w14:paraId="21D59D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F96C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вышло Постановление ГКО № 3265 О формировании 1-й пехотной Чехословацкой бригады.РГАНИР, Фонд ГКО, д. 111, лл. 165-167 (11012).</w:t>
      </w:r>
    </w:p>
    <w:p w14:paraId="6DC26E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22F9A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вышло Постановление ГКО № 3266 О подчинении гвардейских минометных частей командующему артиллерией Красной Армии. (7101, 168).</w:t>
      </w:r>
    </w:p>
    <w:p w14:paraId="73CF9949"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3872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вышло Постановление ГКО № 3267 О создании Военного совета при командующем артиллерией Красной Армии.РГАНИР, Фонд ГКО, д. 111, лл. 169 (11012).</w:t>
      </w:r>
    </w:p>
    <w:p w14:paraId="56979C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6539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реактивная артиллерия потеряла автономию и была передана в оперативное подчинение командующего артиллерией (3890).</w:t>
      </w:r>
    </w:p>
    <w:p w14:paraId="735FD0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D11BA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советской подлодкой затоплены два транспортных корабля немцев в Баренцевом море (4962).</w:t>
      </w:r>
    </w:p>
    <w:p w14:paraId="1A1F7CF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09BD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вышло постановление ГКО О формировании 1-й Чехословацкой отдельной пехотной бригады (3398,164).</w:t>
      </w:r>
    </w:p>
    <w:p w14:paraId="21AF84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6D451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2C01B3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5489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1943 года</w:t>
      </w:r>
    </w:p>
    <w:p w14:paraId="3E37F3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СЕКРЕТНОЕ ПОСЛАНИЕ ПРЕМЬЕРА И. В. СТАЛИНА ПРЕЗИДЕНТУ г-ну ФРАНКЛИНУ Д. РУЗВЕЛЬТУ</w:t>
      </w:r>
    </w:p>
    <w:p w14:paraId="0383DC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Ваш ответ я получил, к сожалению, только 27 апреля, между тем уже 25 апреля Советское Правительство вынуждено было принять решение прервать отношения с Польским Правительством.</w:t>
      </w:r>
    </w:p>
    <w:p w14:paraId="74A42E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Поскольку Польское Правительство в течение почти двух недель не только не прекращало, а все усиливало враждебную Советскому Союзу и выгодную только Гитлеру кампанию в своей печати и по радио, общественное мнение в СССР было крайне возмущено этим поведением и откладывание решения Советского Правительства стало невозможным.</w:t>
      </w:r>
    </w:p>
    <w:p w14:paraId="59A556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Вполне возможно, что г. Сикорский лично, в самом деле, не намерен сотрудничать с гитлеровскими гангстерами. Я был бы рад, если бы это предположение подтвердилось на деле. Но я считаю, что некоторые прогитлеровские элементы, внутри ли Польского Правительства или в его окружении, повели за собой г. Сикорского, ввиду чего Польское Правительство, возможно помимо своей воли, оказалось в роли орудия в руках Гитлера в известной Вам антисоветской кампании.</w:t>
      </w:r>
    </w:p>
    <w:p w14:paraId="36FD04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 также думаю, что Премьер-Министр Черчилль сумеет найти пути для того, чтобы образумить Польское Правительство и помочь ему действовать впредь в духе здравого смысла. Может быть, я ошибаюсь, но я полагаю, что одна из наших обязанностей, как союзников, состоит в том, чтобы помешать тому или иному союзнику выступать враждебно против любого другого союзника на радость и в угоду общему врагу.</w:t>
      </w:r>
    </w:p>
    <w:p w14:paraId="238F33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Что касается польских подданных в СССР и их дальнейшей судьбы, то могу заверить Вас, что органы Советского Правительства всегда обращались и будут обращаться с ними, как с близкими людьми и товарищами. При этом понятно, что ни о какой высылке их из СССР не было и не может быть речи. Если же они сами захотят выехать из СССР, то органы Советского Правительства как раньше не препятствовали этому, так и теперь не намерены препятствовать и по возможности окажут им содействие (7430).</w:t>
      </w:r>
    </w:p>
    <w:p w14:paraId="47A7D0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07BAB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1F92E0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B805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1943 первый полет выполнил Пе-2ВИ А.И.Путилова. Первый полет Пе-2 с М-105ПД в рамках работы на Пе-2ВИ выполнил 10 февраля 1943. Нагнетатели работали неустойчиво и второй Пе-2ВИ решили сделать с М-105ПФ, но затем переоборудовали под высотные моторы. Деревянные консоли заказывали на стороне и это вызывало задержки и первый полет был выполнен с металлическими консолями (2475,19).</w:t>
      </w:r>
    </w:p>
    <w:p w14:paraId="0EB79B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D35B1A" w14:textId="77777777" w:rsidR="000A76A3" w:rsidRPr="00D03F3E" w:rsidRDefault="000A76A3" w:rsidP="00D03F3E">
      <w:pPr>
        <w:autoSpaceDE w:val="0"/>
        <w:autoSpaceDN w:val="0"/>
        <w:adjustRightInd w:val="0"/>
        <w:spacing w:after="0" w:line="240" w:lineRule="auto"/>
        <w:jc w:val="both"/>
        <w:rPr>
          <w:rFonts w:ascii="Times New Roman" w:eastAsia="TimesNewRomanPSMT" w:hAnsi="Times New Roman"/>
          <w:color w:val="000000" w:themeColor="text1"/>
          <w:sz w:val="16"/>
          <w:szCs w:val="16"/>
        </w:rPr>
      </w:pPr>
      <w:r w:rsidRPr="00D03F3E">
        <w:rPr>
          <w:rFonts w:ascii="Times New Roman" w:eastAsia="TimesNewRomanPSMT" w:hAnsi="Times New Roman"/>
          <w:color w:val="000000" w:themeColor="text1"/>
          <w:sz w:val="16"/>
          <w:szCs w:val="16"/>
        </w:rPr>
        <w:t>С 30 апреля 1943 года на завод № 477 возлагался ремонт и изготовление запчастей для самолетов Пе-2. Документация пришла с заводов № 39 Иркутска и № 99 Улан-Удэ. Практически сразу это решение было отменено, так как приказом НКАП от 3 мая 1943 года на заводе № 477 было организовано серийное производство военных гидросамолетов Бе-4 (КОР-2) и опытного гидросамолета – морского дальнего разведчика ЛЛ-143. Для выполнения этих задач было переведено в Красноярск с завода № 288 НКАП ОКБ авиаконструктора Георгия Михайловича Бериева (19799).</w:t>
      </w:r>
    </w:p>
    <w:p w14:paraId="2B5AC37F" w14:textId="77777777" w:rsidR="000A76A3" w:rsidRPr="00D03F3E" w:rsidRDefault="000A76A3" w:rsidP="00D03F3E">
      <w:pPr>
        <w:spacing w:after="0" w:line="240" w:lineRule="auto"/>
        <w:jc w:val="both"/>
        <w:rPr>
          <w:rFonts w:ascii="Times New Roman" w:eastAsia="Times New Roman" w:hAnsi="Times New Roman"/>
          <w:color w:val="000000" w:themeColor="text1"/>
          <w:sz w:val="16"/>
          <w:szCs w:val="16"/>
          <w:lang w:eastAsia="ru-RU"/>
        </w:rPr>
      </w:pPr>
    </w:p>
    <w:p w14:paraId="540AAA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1943 вышел:</w:t>
      </w:r>
    </w:p>
    <w:p w14:paraId="3847D8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Секретно экз.№ 1</w:t>
      </w:r>
    </w:p>
    <w:p w14:paraId="375A2D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bCs/>
          <w:color w:val="000000" w:themeColor="text1"/>
          <w:sz w:val="16"/>
          <w:szCs w:val="16"/>
        </w:rPr>
      </w:pPr>
      <w:r w:rsidRPr="00D03F3E">
        <w:rPr>
          <w:rFonts w:ascii="Times New Roman" w:hAnsi="Times New Roman"/>
          <w:color w:val="000000" w:themeColor="text1"/>
          <w:sz w:val="16"/>
          <w:szCs w:val="16"/>
        </w:rPr>
        <w:t>ПРИКАЗ ПО ЗАВОДУ 22 им.С.П. ГОРБУНОВА</w:t>
      </w:r>
    </w:p>
    <w:p w14:paraId="199CF2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 Казань № 32 " 30 " апреля 1943 г.</w:t>
      </w:r>
    </w:p>
    <w:p w14:paraId="3502E8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организованной подготовки и быстрейшего проведения испытаний самолета Пе-2 № 15/185, оборудованного опытной установкой РУ-1 -ПРИКАЗЫВАЮ:</w:t>
      </w:r>
    </w:p>
    <w:p w14:paraId="4B8D67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Начальнику ЛЭС тов.БАКЛУНОВУ, Нач.пожарной охраны и коменданту аэродрома тов.ЦЕДИЛОВУ выбрать место для постройки навеса хранения 10 бочек азотной кислоты и стоянки самолета. Срок к 5/V-43 года. [...]</w:t>
      </w:r>
    </w:p>
    <w:p w14:paraId="0ABA5B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Пом. директора по охране тов. КОМКОВУ по заявке начальника ЛЭС выставить круглосуточный пост по охране самолета и склада азотной кислоты. Допуск к самолету производить по допускам начальника ЛЭС.</w:t>
      </w:r>
    </w:p>
    <w:p w14:paraId="2A53D5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Начальнику отдела Снабжения тов.ГЛЕЗЕР:</w:t>
      </w:r>
    </w:p>
    <w:p w14:paraId="6D3061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закупить и завезти на завод "тракторного керосина" "ОСТ" 6460 - одну тонну, азотной кислоты ОСТ 12467-39 - 2,5 тонны.</w:t>
      </w:r>
    </w:p>
    <w:p w14:paraId="742720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закупить кинопленки "изопанхром" чувствительностью 800-1200 Х.Д. - тысячу метров.</w:t>
      </w:r>
    </w:p>
    <w:p w14:paraId="1C25C1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выдать ЛЭС 4 шт. железных бочек для хранения керосина.</w:t>
      </w:r>
    </w:p>
    <w:p w14:paraId="6F7514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выдать по списку начальника ЛЭС для технического и обслуживающего персонала, занятого на испытании РУ-1 следующее защитное обмундирование:</w:t>
      </w:r>
    </w:p>
    <w:p w14:paraId="799EF8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куртку и брюки из шинельного сукна </w:t>
      </w:r>
    </w:p>
    <w:p w14:paraId="62A622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очки летные резиновые сапоги </w:t>
      </w:r>
    </w:p>
    <w:p w14:paraId="1A7E3A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противогаз.[...]</w:t>
      </w:r>
    </w:p>
    <w:p w14:paraId="779888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перчатки резиновые</w:t>
      </w:r>
    </w:p>
    <w:p w14:paraId="31C574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Моим заместителям т.т.ПЕТУХОВУ и ИВАНОВУ обеспечить дополнительным питанием (завтраком и ужином) весь технический, обслуживающий и летный состав ЛЭС, занятый на испытаниях "РУ-1". Кроме того выдавать по нормам ежедневно 40 гр сливочного масла.</w:t>
      </w:r>
    </w:p>
    <w:p w14:paraId="7F1C8D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Нач.цеха № 12 к 10/V-43 изготовить и установить 2 шт. умывальников и один бачек с фонтаником для питьевой воды.</w:t>
      </w:r>
    </w:p>
    <w:p w14:paraId="056CE6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Нач. ОТБ тов.ПАЛИНУ к 10/V-43 разработать инструкции по обращению с азотной кислотой и произвести инструктаж работников ЛЭС, занятых на этой работе. Выдавать ежемесячно дополнительно по 200 гр. мыла.</w:t>
      </w:r>
    </w:p>
    <w:p w14:paraId="3DE2F4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Всем нач. цехов, связанных с подготовкой и испытаниями "РУ-1" предлагаю уделить самое серьезное внимание по выполнению задания в срок.</w:t>
      </w:r>
    </w:p>
    <w:p w14:paraId="46C5D3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Представленную программу испытаний "РУ-1" утверждаю.</w:t>
      </w:r>
    </w:p>
    <w:p w14:paraId="2E4255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ЗАВОДА 22 /ОКУПОВ/</w:t>
      </w:r>
    </w:p>
    <w:p w14:paraId="41D939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ЦГА РТ. Ф.Р-2845. Оп.З. Д.185. Л.40 (11313).</w:t>
      </w:r>
    </w:p>
    <w:p w14:paraId="4579E2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F21F4F" w14:textId="77777777" w:rsidR="00B676DB" w:rsidRPr="00D03F3E" w:rsidRDefault="00B676DB"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1943 в 1-й АДДД закончили испытания Ли-2 № 1842606 с глушителем-плямягасителем ГАМ-10, разработанным ЦИАМ в начале 1943, которые проходили с 26 апреля. Решили, что обладает существенными тактическими преимуществами (3404, 13).</w:t>
      </w:r>
    </w:p>
    <w:p w14:paraId="36A8145C" w14:textId="77777777" w:rsidR="00B676DB" w:rsidRPr="00D03F3E" w:rsidRDefault="00B676DB"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21CE3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50F1B2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4E6FF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1943 года вышел приказ НКБ № 448с</w:t>
      </w:r>
    </w:p>
    <w:p w14:paraId="532B742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распоряжением СНК за № 8295 рс от 23 апреля 1943 года</w:t>
      </w:r>
    </w:p>
    <w:p w14:paraId="4515142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Организовать на базе ЦКБ-22 (Ленинград) самостоятельный завод по производству запалов Ковешникова, противопехотных мин и реактивных рукояток к гранатам Ф-1.</w:t>
      </w:r>
    </w:p>
    <w:p w14:paraId="54B2F74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Заводу присвоить № 323 НКБ и подчинить 2 Гл. управлению (5948, 57).</w:t>
      </w:r>
    </w:p>
    <w:p w14:paraId="70C55A32"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2236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1943 г. на научно-испытательном бронетанковом полигоне ГБТУ КА были закончены испытания обстрелом немецкого танка T-VI из артиллерийских систем, имеющихся на вооружении Красной Армии, а также была проведена стрельба из 88 мм пушки танка T-VI по броневым корпусам танков Т-34 и КВ-1.</w:t>
      </w:r>
    </w:p>
    <w:p w14:paraId="6194ED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Результаты обстрела танка T-VI, которые проходили с 24 апреля 1943.</w:t>
      </w:r>
    </w:p>
    <w:p w14:paraId="295E01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Бортовая, кормовая и башенная броня танка толщиной 82 мм пробивается (при встрече снаряда с броней под прямым углом):</w:t>
      </w:r>
    </w:p>
    <w:p w14:paraId="166672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Подкалиберными снарядами 45 мм противотанковой пушки образца 1942 г. с дистанции 350 метров.</w:t>
      </w:r>
    </w:p>
    <w:p w14:paraId="733211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Подкалиберными снарядами 45 мм танковой пушки образца 1937 г. с дистанции 200 метров.</w:t>
      </w:r>
    </w:p>
    <w:p w14:paraId="62D524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Бронебойным сплошным снарядом 57 мм противотанковой пушки ЗИС-2 с дистанции 1000 метров.</w:t>
      </w:r>
    </w:p>
    <w:p w14:paraId="25D2F4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Бронебойным снарядом 85 мм зенитной пушки с дистанции 1500 метров.</w:t>
      </w:r>
    </w:p>
    <w:p w14:paraId="28EC97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Бронебойным (сплошным) снарядом английской 57 мм танковой пушки с дистанции 600 метров.</w:t>
      </w:r>
    </w:p>
    <w:p w14:paraId="178CC4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Бронебойным (сплошным) снарядом противотанковой английской 57 мм пушки с дистанции 1000 метров.</w:t>
      </w:r>
    </w:p>
    <w:p w14:paraId="0E5B29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Бронебойным (сплошным) снарядом 75 мм американской танковой пушки с дистанции 600 метров.</w:t>
      </w:r>
    </w:p>
    <w:p w14:paraId="5A60A7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Лобовая броня танка T-VI толщиною 100 мм пробивается бронебойным снарядом 85 мм зенитной пушки с дистанции 1000 метров.</w:t>
      </w:r>
    </w:p>
    <w:p w14:paraId="48FBFD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Обстрел 82 мм бортовой брони танка T-VI из 76 мм танковой пушки Ф-34 с дистанции 200 метров показал, что бронебойные снаряды этой пушки являются слабыми и при встрече с броней танка разрушаются, не пробивая брони.</w:t>
      </w:r>
    </w:p>
    <w:p w14:paraId="062CFF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Подкалиберные 76 мм снаряды также не пробивают 100 мм лобовой брони танка T-VI с дистанции 500 м.</w:t>
      </w:r>
    </w:p>
    <w:p w14:paraId="0747C6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Находящиеся на вооружении Красной Армии противотанковые ружья не пробивают брони танка T-VI.</w:t>
      </w:r>
    </w:p>
    <w:p w14:paraId="679A27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Опытное противотанковое ружье системы Блюма пробивает 62 мм* броню танка T-VI с дистанции 100 м при начальной скорости пули 1500 м/ск.</w:t>
      </w:r>
    </w:p>
    <w:p w14:paraId="1FF036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Установленная на танке T-VI 88 мм танковая пушка пробивает бронебойным снарядом броню наших танков с дистанции:</w:t>
      </w:r>
    </w:p>
    <w:p w14:paraId="5D6B21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Наиболее прочную часть корпуса танка Т-34—носовую балку (литая, толщина 140 мм), а также лобовую и башенную броню с 1500 метров.</w:t>
      </w:r>
    </w:p>
    <w:p w14:paraId="71F267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Наиболее прочную лобовую часть корпуса танка КВ-1 толщиной 105 мм (75 мм основная броня+30 мм экран) с 1500 метров.</w:t>
      </w:r>
    </w:p>
    <w:p w14:paraId="7B6929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обеспечения танковых и механизированных соединений средствами борьбы с танками T-VI прошу Вас:</w:t>
      </w:r>
    </w:p>
    <w:p w14:paraId="0C72BF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Наркомтанкопром (т. Зальцмана2) устанавливать на танках Т-34 пушки 57 мм калибра (ЗИС-4) из расчета 2—3 танка с пушкой 57 мм на каждые десять танков. Одновременно обязать Наркомат боеприпасов и ГАУ КА в кратчайший срок наладить производство 57 мм снарядов осколочно-фугасного действия.</w:t>
      </w:r>
    </w:p>
    <w:p w14:paraId="29193B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Дать указание Наркомату боеприпасов и ГАУ КА срочно отработать:</w:t>
      </w:r>
    </w:p>
    <w:p w14:paraId="480CAA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бронебойный (сплошной) снаряд для танковой 76 мм пушки Ф-34, способный пробивать бортовую 82 мм броню танка T-VI с дистанции не менее 600 метров;</w:t>
      </w:r>
    </w:p>
    <w:p w14:paraId="28F65DF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подкалиберный снаряд для танковой 76 мм пушки Ф-34, способный пробивать лобовую 100 мм броню танка T-VI с дистанции 500 метров.</w:t>
      </w:r>
    </w:p>
    <w:p w14:paraId="0E7EFE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Обязать Наркомтанкопром (т. Зальцмана) изготовить до 1-го июня 1943 г. на базе ходовой части танка Т-70 три образца самоходных установок СУ-57, вооруженных 57 мм пушкой.</w:t>
      </w:r>
    </w:p>
    <w:p w14:paraId="38F682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Указанные образцы ГБТУ КА испытать в десятидневный срок и результаты доложить ГОКО не позднее 10 июня 1943 года.</w:t>
      </w:r>
    </w:p>
    <w:p w14:paraId="640456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Изготовить до 1-го июня с/г. на основе СУ-152 образец самоходной установки, вооруженной 122 мм пушкой образца 1931 г., и в дальнейшем выпускать такие самоходные установки наравне с СУ-152.</w:t>
      </w:r>
    </w:p>
    <w:p w14:paraId="1580D5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Дать задание тов. Грабину3 срочно изготовить для танка «ИС» образец мощной танковой пушки калибра 100 мм, способной пробивать броню 120—130 мм с дистанции 2000 метров.</w:t>
      </w:r>
    </w:p>
    <w:p w14:paraId="0A9109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Обязать Наркомат вооружения совместно с ГАУ КА в кратчайший срок закончить испытания опытного образца противотанкового ружья Блюма с целью принятия решения о введении ружья Блюма на вооружение Красной Армии.</w:t>
      </w:r>
    </w:p>
    <w:p w14:paraId="791C2B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Обязать Наркомтанкопром (т. Зальцмана) установить 85 мм пушку на танке «ИС» с тактико-техническими данными, изложенными в приложении.</w:t>
      </w:r>
    </w:p>
    <w:p w14:paraId="48AB52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Ваших решений.</w:t>
      </w:r>
    </w:p>
    <w:p w14:paraId="6F77CB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Проект тактико-технической характеристики танка «ИС» на 2 листах.</w:t>
      </w:r>
    </w:p>
    <w:p w14:paraId="61B409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командующего Член Военного совета бронетанковыми генерал-лейтенант и механизированными войсками танковых войск Красной Армии Бирюков</w:t>
      </w:r>
    </w:p>
    <w:p w14:paraId="52DB9F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генерал-лейтенант танковых войск Коробков (АПРФ. Ф. 3. On. 46. Д. 383. Л. 110—112).</w:t>
      </w:r>
    </w:p>
    <w:p w14:paraId="4E84BA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E3E45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1943 вышло Распоряжение ГКО № 3271 [О мерах по увеличению выпуска медного кабеля для строительства кораблей КБФ и крупного электромашиностроения.] (7102, 122,123).</w:t>
      </w:r>
    </w:p>
    <w:p w14:paraId="45BBAB3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A4D7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1943 вышло Постановление ГКО № 3274 Об организации производства пенообразователя-дегазатора.РГАНИР, Фонд ГКО, д. 112, лл. 126-128 (11012).</w:t>
      </w:r>
    </w:p>
    <w:p w14:paraId="0DDF53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87CF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1943 вышло Постановление ГКО № 3275 О формировании авиакорпусов в составе Авиации дальнего действия при Ставке Верховного Главнокомандования.РГАНИР, Фонд ГКО, д. 112, лл. 129-130 (11012).</w:t>
      </w:r>
    </w:p>
    <w:p w14:paraId="343ACF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3BE7C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1943 вышло Постановление ГКО № 3276 О производстве радиостанций для танков и артиллерийских самоходов. (7102, 131-145,146-155).</w:t>
      </w:r>
    </w:p>
    <w:p w14:paraId="4838393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F74D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1943 г. Пост. ГКО № 3276 завод № 662 (Завод № 662 НКЭП, МПСС, Барнаульский радиозавод, ОАО «Барнаульский радиозавод» /Таджикистан  г. Канибадам;  г. Барнаул/ /656002  г. Барнаул пр. Калинина, 15/) был передислоцирован из Канибадама в  г. Барнаул. К концу 1943 г. уже были выпущены первые танковые радиостанции. Всего до конца войны их выпущено более 10 тыс. С 1945 г. завод перешел на производство бытовой радиоаппаратуры. С 1946 по 1961 г. основной продукцией были трансляционные усилители. С 1954 г. освоен выпуск радиостудийной аппаратуры, которой были оснащены стадион им. Ленина в Москве, Дом радио в Ленинграде, Дворец культуры в Варшаве.</w:t>
      </w:r>
    </w:p>
    <w:p w14:paraId="3D5D02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1950-е  г. производство радиостанции «Кедр» было передано на завод № 920.</w:t>
      </w:r>
    </w:p>
    <w:p w14:paraId="342565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заводе был создан информационный вычислительный центр; в 1970 г. принята в эксплуатацию 1-я очередь АСУ «Барнаул», а в 11.1977 г. - АСУ «Сигма». В механическом цехе создан участок станков с ЧПУ.</w:t>
      </w:r>
    </w:p>
    <w:p w14:paraId="19C112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1997 г. предприятие преобразовано в ОАО «Барнаульский радиозавод».</w:t>
      </w:r>
    </w:p>
    <w:p w14:paraId="1EF326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(1943-46 г.)- А. Г. Громов.</w:t>
      </w:r>
    </w:p>
    <w:p w14:paraId="7109F8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Производство: </w:t>
      </w:r>
      <w:r w:rsidRPr="00D03F3E">
        <w:rPr>
          <w:rFonts w:ascii="Times New Roman" w:hAnsi="Times New Roman"/>
          <w:color w:val="000000" w:themeColor="text1"/>
          <w:sz w:val="16"/>
          <w:szCs w:val="16"/>
          <w:lang w:val="en-US"/>
        </w:rPr>
        <w:t>KB</w:t>
      </w:r>
      <w:r w:rsidRPr="00D03F3E">
        <w:rPr>
          <w:rFonts w:ascii="Times New Roman" w:hAnsi="Times New Roman"/>
          <w:color w:val="000000" w:themeColor="text1"/>
          <w:sz w:val="16"/>
          <w:szCs w:val="16"/>
        </w:rPr>
        <w:t xml:space="preserve"> радиостанция «Кедр» (1950-е); аппарат магнитной записи непрерывной метеоинформации для ГА; магнитолы: «Алтай-301», «Алтай РМ-302», «Луч-201»; радиоприемники: «Алтай» (1945-), «Алтай-145», УКВ «Барнаул», «Барнаул-3»; абонентские громкоговорители: «Барнаул АГ», «Алтай»; трансляционные усилители ТУ-50 «Луч», ТУ-100, ТУ-100М; радиостудийная аппаратура; спортивный радиопеленгатор «Лес»; аппаратура «Обь» для приема-передачи информации АСУ производством по телефонным каналам; система громкоговорящей и радиотелефонной связи «Катунь» для диспетчерской связи в колхозах; автотрансформаторы; </w:t>
      </w:r>
      <w:r w:rsidRPr="00D03F3E">
        <w:rPr>
          <w:rFonts w:ascii="Times New Roman" w:hAnsi="Times New Roman"/>
          <w:color w:val="000000" w:themeColor="text1"/>
          <w:sz w:val="16"/>
          <w:szCs w:val="16"/>
          <w:lang w:val="en-US"/>
        </w:rPr>
        <w:t>KB</w:t>
      </w:r>
      <w:r w:rsidRPr="00D03F3E">
        <w:rPr>
          <w:rFonts w:ascii="Times New Roman" w:hAnsi="Times New Roman"/>
          <w:color w:val="000000" w:themeColor="text1"/>
          <w:sz w:val="16"/>
          <w:szCs w:val="16"/>
        </w:rPr>
        <w:t xml:space="preserve"> магистрально-приемные устройства; электромеханические фильтры; детский конструктор «Сувенир Попова».</w:t>
      </w:r>
    </w:p>
    <w:p w14:paraId="269521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«Канибадамавтозапчасть» Минавтопрома, Канибадамский завод тормозной аппаратуры, АО «Бодом» /Таджикистан 735744  г. Канибадам ул. Ленина, 257/</w:t>
      </w:r>
    </w:p>
    <w:p w14:paraId="42411D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Строительство завода по ремонту автомобилей начато в 1939 г. В 1942 г. недостроенный авторемонтный завод передан в ведение НКЭП, на его площадке размещен эвакуированный завод, получивший № 662.</w:t>
      </w:r>
    </w:p>
    <w:p w14:paraId="5718D8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 ГКО № 3276 от 30.04.1943 г. завод № 662 был передислоцирован из Канибадама в  г. Барнаул.</w:t>
      </w:r>
    </w:p>
    <w:p w14:paraId="6F34FF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1944 г. предприятие было преобразовано в механический завод по ремонту оборудования и изготовлению запчастей для текстильной промышленности.</w:t>
      </w:r>
    </w:p>
    <w:p w14:paraId="5F4C32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1957 г. завод перепрофилирован, переименован в «Канибадамавтозапчасть» и передан в ведение Минавтопрома. В 07.1976 г. завод вошел в состав ПО «ГАЗ». В 1988 г. переименован в Канибадамский завод тормозной аппаратуры в составе ПО «ГАЗ».</w:t>
      </w:r>
    </w:p>
    <w:p w14:paraId="094299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25.12.1992 г. завод преобразован в АО «Бодом». В 2000-е  г. был построен и введен в эксплуатацию велозавод. На базе АО «Бодом» создано совместное таджикско-израильское предприятие «ЧАР» по производству инвалидных колясок. Начаты работы по подготовке производства запчастей для завода «Уздэуавто».</w:t>
      </w:r>
    </w:p>
    <w:p w14:paraId="5AF785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(2000-е): сложные запчасти для автомобилей ГАЗ: задние мосты, коробки передач, тормозные цилиндры и барабаны, рулевое управление, дифференциалы; велосипеды; чугунное и цветное литье (11982).</w:t>
      </w:r>
    </w:p>
    <w:p w14:paraId="64BA4B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F9EB81" w14:textId="77777777" w:rsidR="00B720A2" w:rsidRPr="00D03F3E" w:rsidRDefault="00B720A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1943 года начальник управления бронепоездов и бронемашин генерал-майор Чернов направил директору Горьковского автозавода Лившицу письмо следующего содержания:</w:t>
      </w:r>
    </w:p>
    <w:p w14:paraId="63CCA860" w14:textId="77777777" w:rsidR="00B720A2" w:rsidRPr="00D03F3E" w:rsidRDefault="00B720A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«Переправляю Вам копию отношения заместителя по техчасти командира 5-го механизированного корпуса инженер-полковника Щербакова о массовом выходе из строя броневиков БА-64. Машины не выдержали гарантийного километража и прошли всего по 2500-</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4000 км</w:t>
        </w:r>
      </w:smartTag>
      <w:r w:rsidRPr="00D03F3E">
        <w:rPr>
          <w:rFonts w:ascii="Times New Roman" w:hAnsi="Times New Roman"/>
          <w:color w:val="000000" w:themeColor="text1"/>
          <w:sz w:val="16"/>
          <w:szCs w:val="16"/>
        </w:rPr>
        <w:t>, из 90 бронеавтомобилей вышло из строя 56» (15218).</w:t>
      </w:r>
    </w:p>
    <w:p w14:paraId="3D645606" w14:textId="77777777" w:rsidR="00B720A2" w:rsidRPr="00D03F3E" w:rsidRDefault="00B720A2" w:rsidP="00D03F3E">
      <w:pPr>
        <w:widowControl w:val="0"/>
        <w:spacing w:after="0" w:line="240" w:lineRule="auto"/>
        <w:jc w:val="both"/>
        <w:rPr>
          <w:rFonts w:ascii="Times New Roman" w:hAnsi="Times New Roman"/>
          <w:color w:val="000000" w:themeColor="text1"/>
          <w:sz w:val="16"/>
          <w:szCs w:val="16"/>
        </w:rPr>
      </w:pPr>
    </w:p>
    <w:p w14:paraId="4D44F44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695C28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82EA04"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в 1943 году утреннее сообщение Совинформбюро:</w:t>
      </w:r>
    </w:p>
    <w:p w14:paraId="2C585F57"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30 апреля на фронтах существенных изменений не произошло.</w:t>
      </w:r>
    </w:p>
    <w:p w14:paraId="554E55CF"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происходила редкая артиллерийско-миномётная перестрелка с противником. На одном участке разведывательный отряд немцев пытался проникнуть в расположение наших частей. Находившиеся в боевом охранении бойцы во главе с лейтенантом Жуковым подпустили немцев на близкое расстояние и забросали их гранатами. Противник понёс потери и в беспорядке отступил.</w:t>
      </w:r>
    </w:p>
    <w:p w14:paraId="393ED1CC"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города Белый наши артиллеристы, а также разведывательные группы и снайперы истребили до роты немецких солдат. Разрушено 14 дзотов и блиндажей, подавлен огонь б артиллерийских и 2 миномётных батарей противника. Советские зенитчики сбили 2 немецких самолёта.</w:t>
      </w:r>
    </w:p>
    <w:p w14:paraId="3A0352A8"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артиллеристы Н-ской части совершили огневой налёт на скопление немецкой пехоты и нанесли противнику серьёзные потери. Снайпер гвардии лейтенант Николай Вознов за время войны истребил 160 гитлеровцев. Его ученик т. Шишенко уничтожил свыше 100 немецких солдат и офицеров.</w:t>
      </w:r>
    </w:p>
    <w:p w14:paraId="2C86BED0"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артиллеристы уничтожили 7 немецких дзотов и блиндажей, 3 автомашины и 9 повозок с боеприпасами, рассеяли и частью уничтожили до роты пехоты противника.</w:t>
      </w:r>
    </w:p>
    <w:p w14:paraId="48530BDA"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«За Родину», действующий в одном из районов Орловской области, 22 апреля взорвал железнодорожный путь. Когда немецкий эшелон с солдатами остановился у разрушенного полотна, партизаны открыли по вагонам сосредоточенный огонь из пулемётов и винтовок. Уничтожено много немецких солдат и офицеров. B ночь на 25 апреля партизаны отряда «За власть Советов» напали на гарнизон противника и уничтожили более 100 гитлеровцев. Советские патриоты сожгли склад боеприпасов, уничтожили 2 орудия, миномёт, 5 станковых пулемётов и 15 автомашин. Захвачены трофеи: 2 миномёта, 4 пулемёта, 400 мин, 15 тысяч патронов и разное военное имущество.</w:t>
      </w:r>
    </w:p>
    <w:p w14:paraId="34FA7F51"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Добровольно сдавшийся в плен солдат 258 полка 112 немецкой пехотной дивизии Вильгельм Т. рассказал: "Любой немецкий солдат знает, что в оккупированных русских районах небезопасно ездить по железной дороге. Садясь в поезд, он не уверен, что доедет до следующей станции. Когда я ехал из Унечи в Гомель, мне пришлось задержаться на два дня в связи с прекращением железнодорожного сообщения. На этом участке партизаны взорвали большой состав с горючим. В тот же день на перегоне (Гомель—Брянск подорвался поезд, который вёз на фронт новые автомашины. По словам железнодорожников, при крушении было убито 20 солдат».</w:t>
      </w:r>
    </w:p>
    <w:p w14:paraId="08F30718"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Советские граждане, вырвавшиеся из оккупированных немцами районов, рассказалио кровавой расправе гитлеровских мерзавцев над мирными жителями Россонского района, Витебской области. За три недели немцы превратили в пепелище деревни Антоново, Павлово, Казимирово, Жари, Савино и ряд других. Уничтожение деревень сопровождалось массовыми убийствами мирных граждан. В деревне Велье немцы загнали в сарай 68 человек, в том числе многих детей, и заживо сожгли их. В деревне Межево немецкие солдаты собрали стариков и заставили их вырыть могилы. Фашистские изверги затем расстреляли ни в чём не повинных жителей деревни вместе с их детьми.» (15115).</w:t>
      </w:r>
    </w:p>
    <w:p w14:paraId="6E63CDD3"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05DC1B01"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в 1943 году вечернее сообщение Совинформбюро:</w:t>
      </w:r>
    </w:p>
    <w:p w14:paraId="6804B8DF"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30 апреля на фронтах существенных изменений не произошло.</w:t>
      </w:r>
    </w:p>
    <w:p w14:paraId="1835361B"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 корабль в Чёрном море потопил немецкий транспорт.</w:t>
      </w:r>
    </w:p>
    <w:p w14:paraId="4C695D49"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частями нашей авиации на различных участках фронта уничтожено или повреждено не менее 5 немецких танков, до 30 автомашин с войсками и грузами, взорвано 3 склада боеприпасов, подавлен огонь 15 артиллерийских батарей противника.</w:t>
      </w:r>
    </w:p>
    <w:p w14:paraId="012C8B32"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части Н-ского соединения овладели несколькими опорными пунктами противника. Советская авиация поддерживала действия наземных частей и нанесла противнику, тяжёлые потери. Наши штурмовики уничтожили несколько десятков орудий и свыше батальона немецкой пехоты.</w:t>
      </w:r>
    </w:p>
    <w:p w14:paraId="24E4B031"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вели разведку противника. Группа бойцов под командованием лейтенанта Абрамченкова проникла на передний край вражеской обороны и атаковала гитлеровцев. Гранатами и огнём из автоматов разведчики уничтожили несколько десятков немецких солдат. Захватив пленных, наши бойцы вернулись в свою часть. Снайперы Н-ской части тт. Бобков и Мурашкин уничтожили по 5 немцев каждый, снайперы тт. Козлов, Крылов, Ахмедчин истребили 12 гитлеровцев.</w:t>
      </w:r>
    </w:p>
    <w:p w14:paraId="74481606"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пехота противника пыталась боем разведать систему нашей обороны. Советские бойцы встретили гитлеровцев пулемётным и миномётным огнём. Не достигнув переднего края нашей обороны, противник поспешно отошёл на исходные позиции.</w:t>
      </w:r>
    </w:p>
    <w:p w14:paraId="0C81E1CD"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огнём нашей артиллерии и миномётов рассеяно и частью уничтожено до роты немецкой пехоты, разрушено 6 дзотов и блиндажей, взорван склад боеприпасов, подавлен огонь 4 артиллерийских и 2 миномётных батарей противника. На одном участке группа наших разведчиков ворвалась в расположение противника. Разведчики овладели пятью окопами и уничтожили свыше 50 гитлеровцев. Захвачены пленные и трофеи.</w:t>
      </w:r>
    </w:p>
    <w:p w14:paraId="6DC029D8"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группа наших автоматчиков внезапно атаковала немцев и овладела несколькими дзотами. Чтобы восстановить положение, рота пьяных гитлеровцев предприняла попытку выбить советских бойцов из этих дзотов. Встреченные пулемётным и ружейным огнём, немцы отошли, оставив на поле боя 46 трупов.</w:t>
      </w:r>
    </w:p>
    <w:p w14:paraId="00124267"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Ленинградской области, ночью напал на немецкий гарнизон в одном населённом пункте. Советские патриоты истребили 60 гитлеровцев. Уничтожены склад боеприпасов и склад продовольствия. Захвачены у противника следующие трофеи: миномёт, 8 пулемётов, 4 тысячи патронов, 68 лошадей и различное военное имущество.</w:t>
      </w:r>
    </w:p>
    <w:p w14:paraId="578A1181"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Пленные немецкие солдаты, недавно побывавшие в Германии, сообщают, что английская авиация произвела опустошительные разрушения в ряде городов. Пленный солдат 21 немецкой авиапехотной дивизии Бернгард Бауэр рассказал: «Город Мюнстер наполовину разрушен. Во время одного налёта уничтожены металлургический завод и ряд других промышленных предприятий. Район от Зонненштрассе до площади Гинденбурга представляет собою сплошные развалины». Ефрейтор 252 немецкой пехотной дивизии Руди Шнитцендэбель сообщил: «Когда бомбили Ганновер, я находился в его пригороде. Зарево долго стояло над городом. Были разрушены «Континенталь гуммиверке» (завод по производству резины для автомобильной промышленности), бумажная фабрика и другие здания». Обер-ефрейтор 2 роты 5 мотострелкового полка 12 немецкой танковой дивизии Иозеф Пульковский рассказывает: «В Дуисбурге я на каждой улице видел следы разрушений от бомбардировок. Немецкие солдаты, семьи которых проживают в районах, подвергающихся частым налетам, с тревогой ждут писем из Германии. Настроение в связи с этим у многих солдат подавленное».</w:t>
      </w:r>
    </w:p>
    <w:p w14:paraId="66CE6285" w14:textId="77777777" w:rsidR="00B720A2" w:rsidRPr="00D03F3E" w:rsidRDefault="00B720A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Бельгийские вольные стрелки совершили смелый налёт на немецкий военный склад в районе Льежа. B середине дня патриоты проникли на склад, погрузили на грузовые автомашины вооружение и взрывчатые вещества и вывезли их на свою базу.» (15115).</w:t>
      </w:r>
    </w:p>
    <w:p w14:paraId="16A67BEF" w14:textId="77777777" w:rsidR="00B720A2" w:rsidRPr="00D03F3E" w:rsidRDefault="00B720A2" w:rsidP="00D03F3E">
      <w:pPr>
        <w:spacing w:after="0" w:line="240" w:lineRule="auto"/>
        <w:jc w:val="both"/>
        <w:rPr>
          <w:rFonts w:ascii="Times New Roman" w:hAnsi="Times New Roman"/>
          <w:color w:val="000000" w:themeColor="text1"/>
          <w:sz w:val="16"/>
          <w:szCs w:val="16"/>
        </w:rPr>
      </w:pPr>
    </w:p>
    <w:p w14:paraId="0BED3DB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1943 постановлением ГКО 11 отдельных дивизий АДД преобразовали в 8 АК, а число машин довели до 700. Командирами корпусов были: 1 - г Д.П.Юханов, 2 - г Е.Ф.Логинов, 3 - г Н.А.Волков, 4 п Г.Н.Тупиков, 7 - г В.Е.Нестерцев, 8 - г Н.Н.Буянский) (340,115).</w:t>
      </w:r>
    </w:p>
    <w:p w14:paraId="276570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A02C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1943 года в воздушном бою на Кубани был тяжело ранен лейтенант Ешоннек, сын начальника генерального штаба Люфтваффе генерал-полковника Ешоннека, также учившегося в Липецкой авиашколе в период тесного сотрудничества рейхсвера и Красной Армии. Рассказ сына о возросшей мощи советской авиации удручающе подействовал на начальника генерального штаба, отвечающего за подготовку и ведение боевых действий Люфтваффе (3573).</w:t>
      </w:r>
    </w:p>
    <w:p w14:paraId="10C9F0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141B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1943 года И.В.С. подписывает постановление "О порядке выдачи водки войскам действующей армии".</w:t>
      </w:r>
    </w:p>
    <w:p w14:paraId="548033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Первый пункт полностью скопирован с решения по водке от 11 мая 1942 года: "1.Прекратить с 13 мая 1943 года массовую ежедневную выдачу водки личному составу войск действующей армии". Пункт N2 был посвящен укреплению дисциплины и назначению ответственных за нее: "Дачу водки по 100 грамм в сутки на человека производить военнослужащим только тех частей передовой линии, которые ведут наступательные операции, причем определение того, каким именно армиям и соединениям выдавать водку, возлагается на Военные Советы фронтов и отдельных армий". Фраза со слов "каким именно" и до конца предложения принадлежит опять-таки непосредственно Иосифу Виссарионовичу (7859).</w:t>
      </w:r>
    </w:p>
    <w:p w14:paraId="55375A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895A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30 апреля 1943 вышло Постановление ГКО № 3272 О порядке выдачи водки войскам действующей армии.РГАНИР, Фонд ГКО, д. 112, лл. 124 (11012).</w:t>
      </w:r>
    </w:p>
    <w:p w14:paraId="7B579D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3362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1943 вышло Постановление ГКО № 3273 О т.т. Клишине Г.Т. и Зорине. РГАНИР, Фонд ГКО, д. А.РГАНИР, Фонд ГКО, д. 112, лл. 125 (11012).</w:t>
      </w:r>
    </w:p>
    <w:p w14:paraId="2D4D80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4A785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70F6B1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FF12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1943 года</w:t>
      </w:r>
    </w:p>
    <w:p w14:paraId="4E8410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СЕКРЕТНОЕ ПОСЛАНИЕ ОТ ПРЕМЬЕР-МИНИСТРА г-на УИНСТОНА ЧЕРЧИЛЛЯ МАРШАЛУ И. В. СТАЛИНУ</w:t>
      </w:r>
    </w:p>
    <w:p w14:paraId="3B73A1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 не могу воздержаться от выражения своего разочарования по поводу того, что Вы сочли необходимым предпринять акцию разрыва отношений с поляками, не дав мне времени сообщить Вам о результатах моего обращения к генералу Сикорскому, о котором я телеграфировал Вам 24 апреля. Я надеялся, что в духе нашего договора, подписанного в прошлом году, мы будем всегда консультироваться друг с другом по таким важным вопросам, в особенности, когда они затрагивают соединенную мощь Объединенных Наций.</w:t>
      </w:r>
    </w:p>
    <w:p w14:paraId="5E146C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Г-н Идеи и я указывали Польскому Правительству на то, что никакое возобновление ни отношений дружбы, ни сотрудничества с Советами невозможно в то время, когда оно выступает против Советского Правительства с обвинениями оскорбительного характера и таким образом создает видимость того, что оно поддерживает злобную нацистскую пропаганду. Тем более никто из нас не может терпеть"'расследование Международным Красным Крестом под покровительством нацистов и под.воздействием запугивания со стороны нацистов. Я рад сообщить Вам, что Польское Правительство согласилось с нашим взглядом и что оно хочет лояльно работать совместно с Вами. Его просьба в настоящее время состоит в том, чтобы иждивенцы военнослужащих польской армии, находящихся в Иране, и польские военнослужащие, находящиеся в Советском Союзе, были отправлены из Советского Союза для присоединения к вооруженным силам, которым уже было разрешено выехать в Иран. Это, конечно, является вопросом, который можно терпеливо обсудить. Мы полагаем, что просьба является приемлемой, если она будет сделана в соответствующей форме и в надлежащий момент, и я вполне уверен, что и Президент думает так же. Мы серьезно надеемся, что, помня о трудностях, в которые мы все ввергнуты жестокой нацистской агрессией, Вы рассмотрите этот вопрос в духе сотрудничества.</w:t>
      </w:r>
    </w:p>
    <w:p w14:paraId="509267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Британский кабинет исполнен решимости навести должную дисциплину в польской прессе в Великобритании. Жалкие скандалисты, нападающие на Сикорского, могут говорить вещи, которые германское радио громко повторяет на весь мир, и это наносит ущерб всем нам. Это должно быть прекращено и будет прекращено.</w:t>
      </w:r>
    </w:p>
    <w:p w14:paraId="1B892D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Пока это дело было триумфом Геббельса. Теперь он усердно внушает мысль о том, что СССР будет организовывать польское правительство на русской земле и что СССР будет иметь дело лишь с этим правительством. Мы, конечно, не были бы в состоянии признать такое правительство и продолжали бы наши отношения с Сикорским, который является самым полезным человеком, которого Вы или мы могли бы найти для целей нашего общего дела. Я рассчитываю, что такой же будет и американская точка зрения.</w:t>
      </w:r>
    </w:p>
    <w:p w14:paraId="7896F9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Я лично считаю, что они получили удар и что после любого периода времени, который будет сочтен удобным, отношения, установленные 30 июля 1941 года, должны быть восстановлены. Это больше всего не понравится Гитлеру, а то, что больше всего ему не нравится, нам разумно делать.</w:t>
      </w:r>
    </w:p>
    <w:p w14:paraId="52DD62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Наш долг перед армиями, которые в настоящее время ведут бои и которые вскоре будут вести еще более тяжелые бои, поддерживать хорошее положение в тылу. Я и мои коллеги твердо надеемся на более тесное сотрудничество и понимание между СССР, Соединенными Штатами, Британским Содружеством Наций и Империей не только в усиливающейся военной борьбе, но и после войны. Какая другая надежда помимо этой может существовать для измученного мира? (2430).</w:t>
      </w:r>
    </w:p>
    <w:p w14:paraId="1219CA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6D36B4"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1943 для того, чтобы не ухудшать отношений с советскими союзниками, польское правительство в изгнании отозвало свой призыв к Красному Кресту расследовать Катыньский расстрел (4962).</w:t>
      </w:r>
    </w:p>
    <w:p w14:paraId="32D8468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163FD3"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269B54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066E79" w14:textId="77777777" w:rsidR="00CA6303" w:rsidRPr="00D03F3E" w:rsidRDefault="00CA630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в 1943 году офицер связи между США и польской армией на Ближнем Востоке, полковник Генрих Шиманский, направил в Вашингтон обстоятельно документированный рапорт, возлагающий вину за катынские расстрелы на Советский Союз (15115).</w:t>
      </w:r>
    </w:p>
    <w:p w14:paraId="01C8F0FA" w14:textId="77777777" w:rsidR="00CA6303" w:rsidRPr="00D03F3E" w:rsidRDefault="00CA6303" w:rsidP="00D03F3E">
      <w:pPr>
        <w:spacing w:after="0" w:line="240" w:lineRule="auto"/>
        <w:jc w:val="both"/>
        <w:rPr>
          <w:rFonts w:ascii="Times New Roman" w:hAnsi="Times New Roman"/>
          <w:color w:val="000000" w:themeColor="text1"/>
          <w:sz w:val="16"/>
          <w:szCs w:val="16"/>
        </w:rPr>
      </w:pPr>
    </w:p>
    <w:p w14:paraId="14D15235" w14:textId="77777777" w:rsidR="00CA6303" w:rsidRPr="00D03F3E" w:rsidRDefault="00CA630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в 1943 году премьер-министр эмигрантского польского правительства генерал Сикорский представил премьер-министру Великобритании «Дело Катыни». «Они мертвы, - ответил ему Черчилль, - и что бы вы ни предпринимали, их уже ничто не воскресит» (15115).</w:t>
      </w:r>
    </w:p>
    <w:p w14:paraId="3D4B7540" w14:textId="77777777" w:rsidR="00CA6303" w:rsidRPr="00D03F3E" w:rsidRDefault="00CA6303" w:rsidP="00D03F3E">
      <w:pPr>
        <w:spacing w:after="0" w:line="240" w:lineRule="auto"/>
        <w:jc w:val="both"/>
        <w:rPr>
          <w:rFonts w:ascii="Times New Roman" w:hAnsi="Times New Roman"/>
          <w:color w:val="000000" w:themeColor="text1"/>
          <w:sz w:val="16"/>
          <w:szCs w:val="16"/>
        </w:rPr>
      </w:pPr>
    </w:p>
    <w:p w14:paraId="12DDF95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1943 на испанском берегу Средиземноморья обнаружено тело английского офицера с документами плана вторжения союзников в Сардинию (этот план был передан немцам) (4962).</w:t>
      </w:r>
    </w:p>
    <w:p w14:paraId="68B4017B"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A9BB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1943 началась массовая забастовка протеста в Голландии против отправки бывших военнослужащих в Германию (3960, 169).</w:t>
      </w:r>
    </w:p>
    <w:p w14:paraId="768451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3FCF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1943 Королевский флот ввел в действие новую схему охраны конвоев с привлечением эскортных авианосцев и дальних бомбардировщиков (2262).</w:t>
      </w:r>
    </w:p>
    <w:p w14:paraId="23FF52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868DA0" w14:textId="77777777" w:rsidR="00DE13CD" w:rsidRPr="00D03F3E" w:rsidRDefault="00DE13C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30 апреля 1943 в рамках подготовки к предстоящему американскому вторжению в Атту, 11 армия военно - воздушных сил США выполнила 1175 боевых вылетов против японских баз на Алеутских островах в апреле, в том числе в двухнедельный период, в котором 60 самолетов предприняли атаку Киска (20376).</w:t>
      </w:r>
    </w:p>
    <w:p w14:paraId="6AF4149B" w14:textId="77777777" w:rsidR="00DE13CD" w:rsidRPr="00D03F3E" w:rsidRDefault="00DE13CD" w:rsidP="00D03F3E">
      <w:pPr>
        <w:spacing w:after="0" w:line="240" w:lineRule="auto"/>
        <w:jc w:val="both"/>
        <w:rPr>
          <w:rFonts w:ascii="Times New Roman" w:hAnsi="Times New Roman"/>
          <w:color w:val="0070C0"/>
          <w:sz w:val="16"/>
          <w:szCs w:val="16"/>
        </w:rPr>
      </w:pPr>
    </w:p>
    <w:p w14:paraId="15022B7A"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F4AA7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157F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второй половине апреля 1943 на заводе 39 были получены от ГК С.В.И. и спущены в производство чертежи Ил-6 под М-30Б (2523).</w:t>
      </w:r>
    </w:p>
    <w:p w14:paraId="59C0AC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9424DE"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15725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448D9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концу апреля 1943 заводу № 30 удалось построить 5 Ил-2 АМ-38ф с пушками НС-37, один из которых (зав. № 302349) 27 мая поступил в НИИ ВВС для проведения государственных испыта</w:t>
      </w:r>
      <w:r w:rsidRPr="00D03F3E">
        <w:rPr>
          <w:rFonts w:ascii="Times New Roman" w:hAnsi="Times New Roman"/>
          <w:color w:val="000000" w:themeColor="text1"/>
          <w:sz w:val="16"/>
          <w:szCs w:val="16"/>
        </w:rPr>
        <w:softHyphen/>
        <w:t>ний (11474,337).</w:t>
      </w:r>
    </w:p>
    <w:p w14:paraId="6BF881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7B68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апреля 1943 г. состоялась конференция, на которой строевых летчиков познакомили с трофейной техникой и приемами, позволявшими реализовать пре</w:t>
      </w:r>
      <w:r w:rsidRPr="00D03F3E">
        <w:rPr>
          <w:rFonts w:ascii="Times New Roman" w:hAnsi="Times New Roman"/>
          <w:color w:val="000000" w:themeColor="text1"/>
          <w:sz w:val="16"/>
          <w:szCs w:val="16"/>
        </w:rPr>
        <w:softHyphen/>
        <w:t>имущества отечественных истребителей. «На закуску» летчик-ис</w:t>
      </w:r>
      <w:r w:rsidRPr="00D03F3E">
        <w:rPr>
          <w:rFonts w:ascii="Times New Roman" w:hAnsi="Times New Roman"/>
          <w:color w:val="000000" w:themeColor="text1"/>
          <w:sz w:val="16"/>
          <w:szCs w:val="16"/>
        </w:rPr>
        <w:softHyphen/>
        <w:t>пытатель Никашин провел на Ла-5ФН серию учебных боев с ВТ 1090-2, в которых показал превосходство советской машины на малых высотах. Настал час решающих сражений за господство в воздухе (11123).</w:t>
      </w:r>
    </w:p>
    <w:p w14:paraId="145BAB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D7F3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апреля 1943 в Люберцах состоялась конференция летного состава, работающего на истребителях Ме-109Г-2 и л-и А.Никашин на Ла-5 М-82ФН провел учебные бои, которые показали наше превосходство на малых и средних высотах (1122,12).</w:t>
      </w:r>
    </w:p>
    <w:p w14:paraId="469837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BA7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апреля 1943 г. наркомат авиапромышленности направил в Уфу авторитетную комиссию во главе с начальником 8-го ГУ НКАП (по совместительству - директор ЦИАМ) В.И. Поликовским. Выводы оказались неутешительными: комиссия не исключила "возможности длительных задержек и непредвиденных затруднений в доводке М-107А и внедрении в широкую летную эксплуатацию". Объяснений Климова об объективных причинах задержки никто слушать не стал (9025).</w:t>
      </w:r>
    </w:p>
    <w:p w14:paraId="666D56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8A92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апреля 1943 г. совершил первый полет Ла-5М-71Ф (взлетная мощность двигателя 2200 л. с.). Первый этап испытаний продолжался до 4 июня, истребитель не показал ожидаемых данных, хотя и превзошел по скорости Ла-5ФН. Причины недобора характеристик выяснили специалисты ЦАГИ после продувок машины в натурной аэродинамической трубе Т-101: плохое качество изготовления, особенно капота двигателя. Аэродинамики пришли к заключению, что после устранения производственных дефектов и внесения некоторых изменений в конструкцию Ла-5М-71Ф может достигнуть скорости 720 км/ ч. История с М-71 достаточно загадочна. Каких-либо объективных причин незапуска его в серийное производства в опубликованных мемуарах и литературе найти не удалось. Наверняка, двигатель был "сырым" и требовал доводки, тем не менее, вряд ли он был "сырее" того же М-107. Остаются интриги, ведь запуск в серию мощной звезды воздушного охлаждения ставил крест на самолетах Яковлева, они уже не смогли бы тягаться ни с Ла-5М-71, ни тем более с поликарповским И-185 (4707).</w:t>
      </w:r>
    </w:p>
    <w:p w14:paraId="5E15B7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3971A5"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70C97A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6FEC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конце апреля 1943 на НИИБТПолигоне в подмосковной Кубинке расстрелу из различных артсистем подвергли трофейный "Тигр". В результате выяснилось, что наиболее эффективное средство борьбы с ним - зенитная 85-мм пушка 52-К обр. 1939 года, которая с дистанции до 1000 м пробивала его 100-мм броню. (3862).</w:t>
      </w:r>
    </w:p>
    <w:p w14:paraId="6CC894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FF3056" w14:textId="77777777" w:rsidR="002671E4" w:rsidRPr="00D03F3E" w:rsidRDefault="002671E4" w:rsidP="00D03F3E">
      <w:pPr>
        <w:pStyle w:val="ae"/>
        <w:shd w:val="clear" w:color="auto" w:fill="FFFFFF"/>
        <w:spacing w:before="0" w:after="0"/>
        <w:jc w:val="both"/>
        <w:rPr>
          <w:color w:val="000000" w:themeColor="text1"/>
          <w:sz w:val="16"/>
          <w:szCs w:val="16"/>
        </w:rPr>
      </w:pPr>
      <w:r w:rsidRPr="00D03F3E">
        <w:rPr>
          <w:color w:val="000000" w:themeColor="text1"/>
          <w:sz w:val="16"/>
          <w:szCs w:val="16"/>
        </w:rPr>
        <w:t xml:space="preserve">В конце апреля 1943 года Результаты испытаний обстрелом немецкого тяжелого танка </w:t>
      </w:r>
      <w:hyperlink r:id="rId126" w:history="1">
        <w:r w:rsidRPr="00D03F3E">
          <w:rPr>
            <w:rStyle w:val="a5"/>
            <w:color w:val="000000" w:themeColor="text1"/>
            <w:sz w:val="16"/>
            <w:szCs w:val="16"/>
          </w:rPr>
          <w:t>Pz.Kpfw.Tiger Ausf.E</w:t>
        </w:r>
      </w:hyperlink>
      <w:r w:rsidRPr="00D03F3E">
        <w:rPr>
          <w:color w:val="000000" w:themeColor="text1"/>
          <w:sz w:val="16"/>
          <w:szCs w:val="16"/>
        </w:rPr>
        <w:t xml:space="preserve"> оказали на советское танкостроение эффект разорвавшейся бомбы. 76-мм пушка Ф-34 не смогла пробить немецкий танк даже в борт, причём с минимальной дистанции. Что же касается гаубицы М-30, то ни один из 15 выстрелов из неё не привёл к зачётному поражению. Зато очень хорошо проявила себя 85-мм зенитная пушка 52-К. Она успешно пробивала «Тигр» в лобовой проекции на дистанции в 1000 метров.</w:t>
      </w:r>
    </w:p>
    <w:p w14:paraId="09EE4211" w14:textId="77777777" w:rsidR="002671E4" w:rsidRPr="00D03F3E" w:rsidRDefault="002671E4" w:rsidP="00D03F3E">
      <w:pPr>
        <w:pStyle w:val="ae"/>
        <w:shd w:val="clear" w:color="auto" w:fill="FFFFFF"/>
        <w:spacing w:before="0" w:after="0"/>
        <w:jc w:val="both"/>
        <w:rPr>
          <w:color w:val="000000" w:themeColor="text1"/>
          <w:sz w:val="16"/>
          <w:szCs w:val="16"/>
        </w:rPr>
      </w:pPr>
      <w:r w:rsidRPr="00D03F3E">
        <w:rPr>
          <w:color w:val="000000" w:themeColor="text1"/>
          <w:sz w:val="16"/>
          <w:szCs w:val="16"/>
        </w:rPr>
        <w:t xml:space="preserve">Сразу после получения результатов испытаний обстрелом была начата работа по проектированию установки такого орудия в машину на базе СУ-122. Но если быть точнее — в это время уже начавшиеся работы лишь официально утвердили, ведь ещё 12 апреля Артиллерийский комитет Главного артиллерийского управления Красной армии (ГАУ КА) разработал предварительные тактико-технические требования на «85-мм самоходную пушку «истребитель танков». Начало работ напрямую увязывалось с появлением на вооружении вермахта «Тигра». Основными целями для перспективной машины указывались тяжёлые немецкие танки с толщиной брони 90-120 мм, которые 85-мм пушке предстояло уверенно поражать на дистанции 500-1000 метров. Согласно требованиям, орудие планировалось установить на шасси СУ-35М (СУ-122М), массу которого требовалось уменьшить на 1-1,5 тонны. Требуемый боекомплект к 85-мм пушке составлял 60 патронов, разрешалась как горизонтальная, так и вертикальная укладки. Интересно, что в качестве альтернативного шасси указывались трофейные немецкие танки </w:t>
      </w:r>
      <w:hyperlink r:id="rId127" w:history="1">
        <w:r w:rsidRPr="00D03F3E">
          <w:rPr>
            <w:rStyle w:val="a5"/>
            <w:color w:val="000000" w:themeColor="text1"/>
            <w:sz w:val="16"/>
            <w:szCs w:val="16"/>
          </w:rPr>
          <w:t>Pz.Kpfw.III</w:t>
        </w:r>
      </w:hyperlink>
      <w:r w:rsidRPr="00D03F3E">
        <w:rPr>
          <w:color w:val="000000" w:themeColor="text1"/>
          <w:sz w:val="16"/>
          <w:szCs w:val="16"/>
        </w:rPr>
        <w:t xml:space="preserve"> и </w:t>
      </w:r>
      <w:hyperlink r:id="rId128" w:history="1">
        <w:r w:rsidRPr="00D03F3E">
          <w:rPr>
            <w:rStyle w:val="a5"/>
            <w:color w:val="000000" w:themeColor="text1"/>
            <w:sz w:val="16"/>
            <w:szCs w:val="16"/>
          </w:rPr>
          <w:t>Pz.Kpfw.IV</w:t>
        </w:r>
      </w:hyperlink>
      <w:r w:rsidRPr="00D03F3E">
        <w:rPr>
          <w:color w:val="000000" w:themeColor="text1"/>
          <w:sz w:val="16"/>
          <w:szCs w:val="16"/>
        </w:rPr>
        <w:t xml:space="preserve"> (17704).</w:t>
      </w:r>
    </w:p>
    <w:p w14:paraId="14692C18" w14:textId="77777777" w:rsidR="002671E4" w:rsidRPr="00D03F3E" w:rsidRDefault="002671E4" w:rsidP="00D03F3E">
      <w:pPr>
        <w:pStyle w:val="12a"/>
        <w:shd w:val="clear" w:color="auto" w:fill="auto"/>
        <w:spacing w:after="0" w:line="240" w:lineRule="auto"/>
        <w:jc w:val="both"/>
        <w:rPr>
          <w:color w:val="000000" w:themeColor="text1"/>
          <w:sz w:val="16"/>
          <w:szCs w:val="16"/>
        </w:rPr>
      </w:pPr>
    </w:p>
    <w:p w14:paraId="21CD44C0" w14:textId="77777777" w:rsidR="002671E4" w:rsidRPr="00D03F3E" w:rsidRDefault="002671E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 концу апреля 1943 года была инициирована работа по танковым и самоходным орудиям калибра 85 мм, и в Свердловске, и в уже Горьком имелся богатый опыт их проектирования. Правда, к тому моменту оба КБ прошли через реорганизацию. Коллектив под руководством Ф.Ф. Петрова преобразовали в КБ завода №9, а КБ завода №92 в конце 1942 года перебралось в подмосковный Калининград, где сформировали Центральное артиллерийское КБ (ЦАКБ). Существование двух конструкторских бюро, которые часто работали по одинаковым темам, привело к возникновению довольно жесткой конкуренции. Как это часто бывает, конкуренция пошла на пользу, теперь Главное артиллерийское управление (ГАУ) и Главное бронетанковое управление (ГБТУ) имели возможность выбора. Часто подход к одним и тем же темам у ЦАКБ и КБ завода №9 оказывался разным (17698).</w:t>
      </w:r>
    </w:p>
    <w:p w14:paraId="5AD33DC9" w14:textId="77777777" w:rsidR="002671E4" w:rsidRPr="00D03F3E" w:rsidRDefault="002671E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4F61F2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апреля 1943 г. были изготовлены три опытных образца Т-43 (второй вариант), два из которых в мае - июне 1943 г. прошли заводские испыта</w:t>
      </w:r>
      <w:r w:rsidRPr="00D03F3E">
        <w:rPr>
          <w:rFonts w:ascii="Times New Roman" w:hAnsi="Times New Roman"/>
          <w:color w:val="000000" w:themeColor="text1"/>
          <w:sz w:val="16"/>
          <w:szCs w:val="16"/>
        </w:rPr>
        <w:softHyphen/>
        <w:t>ния, а в период с 8 по 26 августа того же года успешно прошли испыта</w:t>
      </w:r>
      <w:r w:rsidRPr="00D03F3E">
        <w:rPr>
          <w:rFonts w:ascii="Times New Roman" w:hAnsi="Times New Roman"/>
          <w:color w:val="000000" w:themeColor="text1"/>
          <w:sz w:val="16"/>
          <w:szCs w:val="16"/>
        </w:rPr>
        <w:softHyphen/>
        <w:t>ния и на НИБТ полигоне. В сентябре 1943 г. в НКТП и ГБТУ рассмат</w:t>
      </w:r>
      <w:r w:rsidRPr="00D03F3E">
        <w:rPr>
          <w:rFonts w:ascii="Times New Roman" w:hAnsi="Times New Roman"/>
          <w:color w:val="000000" w:themeColor="text1"/>
          <w:sz w:val="16"/>
          <w:szCs w:val="16"/>
        </w:rPr>
        <w:softHyphen/>
        <w:t>ривался вопрос о принятии тапка Т-43 па вооружение, по в связи с ши</w:t>
      </w:r>
      <w:r w:rsidRPr="00D03F3E">
        <w:rPr>
          <w:rFonts w:ascii="Times New Roman" w:hAnsi="Times New Roman"/>
          <w:color w:val="000000" w:themeColor="text1"/>
          <w:sz w:val="16"/>
          <w:szCs w:val="16"/>
        </w:rPr>
        <w:softHyphen/>
        <w:t>роко развернувшейся работой по созданию танка Т-34-85, а в последую</w:t>
      </w:r>
      <w:r w:rsidRPr="00D03F3E">
        <w:rPr>
          <w:rFonts w:ascii="Times New Roman" w:hAnsi="Times New Roman"/>
          <w:color w:val="000000" w:themeColor="text1"/>
          <w:sz w:val="16"/>
          <w:szCs w:val="16"/>
        </w:rPr>
        <w:softHyphen/>
        <w:t>щем и принятием сто на вооружение, дальнейшие работы по танку Т-43 были прекращены (10703).</w:t>
      </w:r>
    </w:p>
    <w:p w14:paraId="21164B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51AAB1" w14:textId="77777777" w:rsidR="002671E4" w:rsidRPr="00D03F3E" w:rsidRDefault="002671E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конце апреля 1943 года из архива были извлечены характеристики и результаты испытаний Т-50. Танк, созданный по требованиям, датированным еще началом 1940 года, даже весной 1943 года по всем характеристикам превосходил новый Т-80. Чтобы сделать его соответствующим реалиям весны 1943 года, требовалось всего три вещи:</w:t>
      </w:r>
    </w:p>
    <w:p w14:paraId="2B0E3D57" w14:textId="77777777" w:rsidR="002671E4" w:rsidRPr="00D03F3E" w:rsidRDefault="002671E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заменить 45-мм пушку на более мощное орудие;</w:t>
      </w:r>
    </w:p>
    <w:p w14:paraId="5C5401F4" w14:textId="77777777" w:rsidR="002671E4" w:rsidRPr="00D03F3E" w:rsidRDefault="002671E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решить проблему с силовой установкой;</w:t>
      </w:r>
    </w:p>
    <w:p w14:paraId="1DDBD532" w14:textId="77777777" w:rsidR="002671E4" w:rsidRPr="00D03F3E" w:rsidRDefault="002671E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решить вопрос с производственной базой и конструкторским бюро.</w:t>
      </w:r>
    </w:p>
    <w:p w14:paraId="158E93B1" w14:textId="77777777" w:rsidR="002671E4" w:rsidRPr="00D03F3E" w:rsidRDefault="002671E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Первый пункт выглядел наименее проблематичным. Размеры башни Т-50 теоретически позволяли установить внутрь 76-мм пушку Ф-34 или 57-мм ЗИС-4, правда, при этом пришлось бы убрать из нее командира. С другой стороны, никто не мешал перепроектировать саму башню и решить и этот вопрос. Что касается двигателя, то и тут проблема была потенциально решаема. На ЯАЗ предполагалось освоить лицензионное производство американских дизельных двигателей GMC-4–71, а спаренная установка таких моторов позволяла получить необходимую мощность.</w:t>
      </w:r>
    </w:p>
    <w:p w14:paraId="19C4AD71" w14:textId="77777777" w:rsidR="002671E4" w:rsidRPr="00D03F3E" w:rsidRDefault="002671E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Даже с производственной базой и КБ положение не выглядело критичным. Летом-осенью 1941 года завод №174 им. Ворошилова, производитель Т-50, был эвакуирован сначала в г. Чкалов (ныне Оренбург), а затем в Омск. В 1942 году, после отказа от производства Т-50, завод освоил выпуск танков Т-34. Тем не менее, коллектив, имевший большой опыт по разработке и производству легких танков, во многом сохранился. Сохранилось и желание выпускать вместо «чужого» Т-34 собственный танк. В числе тех, кого эвакуировали в Омск, были и бывшие конструкторы опытного завода №185, до войны выступавшего в роли главного инкубатора передовых идей советской танковой промышленности. Одним словом, потенциальные условия для возвращения модернизированного Т-50 на конвейер имелись (17639).</w:t>
      </w:r>
    </w:p>
    <w:p w14:paraId="293E8E1C" w14:textId="77777777" w:rsidR="002671E4" w:rsidRPr="00D03F3E" w:rsidRDefault="002671E4" w:rsidP="00D03F3E">
      <w:pPr>
        <w:pStyle w:val="12a"/>
        <w:shd w:val="clear" w:color="auto" w:fill="auto"/>
        <w:spacing w:after="0" w:line="240" w:lineRule="auto"/>
        <w:jc w:val="both"/>
        <w:rPr>
          <w:color w:val="000000" w:themeColor="text1"/>
          <w:sz w:val="16"/>
          <w:szCs w:val="16"/>
        </w:rPr>
      </w:pPr>
    </w:p>
    <w:p w14:paraId="5FDE9BA4" w14:textId="77777777" w:rsidR="002671E4" w:rsidRPr="00D03F3E" w:rsidRDefault="002671E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самом конце апреля 1943 удалось закончить опытный образец СУ-122М, а первые заводские испытания были проведены 17 мая. В их ходе машина прошла 100 километров и произвела 50 выстрелов.</w:t>
      </w:r>
    </w:p>
    <w:p w14:paraId="7A05C9C0" w14:textId="77777777" w:rsidR="002671E4" w:rsidRPr="00D03F3E" w:rsidRDefault="002671E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Участвовавший в испытаниях Соломонов указал не только на достоинства, но и на недостатки машины. Для начала, боевая масса САУ выросла еще больше и составила 31,5 тонну. Обзорность была признана недостаточной. Нашлись минусы и у системы Д-11. На углах возвышения 5 градусов и выше поршневой затвор орудия ложился на колени командира. Не очень удачной получилась и конструкция неподвижной бронировки (17689).</w:t>
      </w:r>
    </w:p>
    <w:p w14:paraId="4B19CF86" w14:textId="77777777" w:rsidR="002671E4" w:rsidRPr="00D03F3E" w:rsidRDefault="002671E4" w:rsidP="00D03F3E">
      <w:pPr>
        <w:pStyle w:val="12a"/>
        <w:shd w:val="clear" w:color="auto" w:fill="auto"/>
        <w:spacing w:after="0" w:line="240" w:lineRule="auto"/>
        <w:jc w:val="both"/>
        <w:rPr>
          <w:color w:val="000000" w:themeColor="text1"/>
          <w:sz w:val="16"/>
          <w:szCs w:val="16"/>
        </w:rPr>
      </w:pPr>
    </w:p>
    <w:p w14:paraId="383B1C6D" w14:textId="77777777" w:rsidR="00A67E8A" w:rsidRPr="00D03F3E" w:rsidRDefault="00A67E8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апреля—начале мая 1943 г. Кировским обкомом ВКЩб) совместно с Наркоматом тяжелого машиностроения рассматривались поднятые УНКВД по Кировской области вопросы о мерах по улучшению работы Белохолуницкого завода, оказанию ему практической помощи, а также о целесообразнос</w:t>
      </w:r>
      <w:r w:rsidRPr="00D03F3E">
        <w:rPr>
          <w:rFonts w:ascii="Times New Roman" w:hAnsi="Times New Roman"/>
          <w:color w:val="000000" w:themeColor="text1"/>
          <w:sz w:val="16"/>
          <w:szCs w:val="16"/>
        </w:rPr>
        <w:softHyphen/>
        <w:t>ти обновления руководства завода. Нар</w:t>
      </w:r>
      <w:r w:rsidRPr="00D03F3E">
        <w:rPr>
          <w:rFonts w:ascii="Times New Roman" w:hAnsi="Times New Roman"/>
          <w:color w:val="000000" w:themeColor="text1"/>
          <w:sz w:val="16"/>
          <w:szCs w:val="16"/>
        </w:rPr>
        <w:softHyphen/>
        <w:t>ком Н.С. Казаков не согласился с предложением Кировского обкома партии о снятии с поста директора завода ПА. Новикова, посоветовав его «строже наказать». 26 мая 1943 г. бюро Кировского обкома ВКП(б) объявило Новикову выговор за невыполнение заводом производственного плана, 24 октября 1943 г. в связи с улучшением работы завода взыска</w:t>
      </w:r>
      <w:r w:rsidRPr="00D03F3E">
        <w:rPr>
          <w:rFonts w:ascii="Times New Roman" w:hAnsi="Times New Roman"/>
          <w:color w:val="000000" w:themeColor="text1"/>
          <w:sz w:val="16"/>
          <w:szCs w:val="16"/>
        </w:rPr>
        <w:softHyphen/>
        <w:t>ние с Новикова было снято (Архив УКГБ СССР по Кировской области, фсд, группа 1, оп. 1, д. 118, лл. 32—35; Партархив Кировского обкома КПСС, ф. 2144, оп. 15, д. 3; ф. 1290, оп. 9 лл. 9-13) (15493).</w:t>
      </w:r>
    </w:p>
    <w:p w14:paraId="4EBE45C8" w14:textId="77777777" w:rsidR="00A67E8A" w:rsidRPr="00D03F3E" w:rsidRDefault="00A67E8A" w:rsidP="00D03F3E">
      <w:pPr>
        <w:spacing w:after="0" w:line="240" w:lineRule="auto"/>
        <w:jc w:val="both"/>
        <w:rPr>
          <w:rFonts w:ascii="Times New Roman" w:hAnsi="Times New Roman"/>
          <w:color w:val="000000" w:themeColor="text1"/>
          <w:sz w:val="16"/>
          <w:szCs w:val="16"/>
        </w:rPr>
      </w:pPr>
    </w:p>
    <w:p w14:paraId="7487EEBB"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DDE7D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7DFA2F" w14:textId="77777777" w:rsidR="000A76A3" w:rsidRPr="00D03F3E" w:rsidRDefault="000A76A3"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В конце апреля 1943 г. в Люберцах состоялась конференция летного состава, работающего на истребителях Ме-109Г-2. Летчик-инженер А. Никашин на Ла-5 с форсированным мотором М-82ФН провел учебные воздушные бои, которые показали, что новый советский истребитель уже превосходит “Мессершмитт” на малых и средних высотах (19179).</w:t>
      </w:r>
    </w:p>
    <w:p w14:paraId="2AF3E37F" w14:textId="77777777" w:rsidR="000A76A3" w:rsidRPr="00D03F3E" w:rsidRDefault="000A76A3" w:rsidP="00D03F3E">
      <w:pPr>
        <w:pStyle w:val="rtejustify"/>
        <w:shd w:val="clear" w:color="auto" w:fill="FFFFFF"/>
        <w:spacing w:before="0" w:beforeAutospacing="0" w:after="0" w:afterAutospacing="0"/>
        <w:jc w:val="both"/>
        <w:textAlignment w:val="baseline"/>
        <w:rPr>
          <w:color w:val="000000" w:themeColor="text1"/>
          <w:sz w:val="16"/>
          <w:szCs w:val="16"/>
        </w:rPr>
      </w:pPr>
    </w:p>
    <w:p w14:paraId="696B53E1" w14:textId="77777777" w:rsidR="000A76A3" w:rsidRPr="00D03F3E" w:rsidRDefault="000A76A3" w:rsidP="00D03F3E">
      <w:pPr>
        <w:pStyle w:val="ae"/>
        <w:spacing w:before="0" w:after="0"/>
        <w:jc w:val="both"/>
        <w:textAlignment w:val="baseline"/>
        <w:rPr>
          <w:color w:val="000000" w:themeColor="text1"/>
          <w:sz w:val="16"/>
          <w:szCs w:val="16"/>
        </w:rPr>
      </w:pPr>
      <w:r w:rsidRPr="00D03F3E">
        <w:rPr>
          <w:color w:val="000000" w:themeColor="text1"/>
          <w:sz w:val="16"/>
          <w:szCs w:val="16"/>
        </w:rPr>
        <w:t>В конце апреля 1943 началась непосредственная подготовка к осуществлению одобренного ставкой плана одновременными неожиданными налетами штурмовиков и бомбардировщиков уничтожить на земле значительную часть самолетов 4-го и 6-го воздушных флотов, серьезно ослабив их ударную мощь в преддверии ожидавшегося наступления. В общей сложности для одновременного удара по десяткам выявленных аэродромов люфтваффе было решено привлечь неслыханные силы — сразу шесть воздушных армий (1, 2, 8, 15, 16 и 17-ю). К разработке необходимых документов привлекался строго ограниченный круг лиц, дабы исключить утечку информации.</w:t>
      </w:r>
    </w:p>
    <w:p w14:paraId="557DC949" w14:textId="77777777" w:rsidR="000A76A3" w:rsidRPr="00D03F3E" w:rsidRDefault="000A76A3" w:rsidP="00D03F3E">
      <w:pPr>
        <w:pStyle w:val="ae"/>
        <w:spacing w:before="0" w:after="0"/>
        <w:jc w:val="both"/>
        <w:textAlignment w:val="baseline"/>
        <w:rPr>
          <w:color w:val="000000" w:themeColor="text1"/>
          <w:sz w:val="16"/>
          <w:szCs w:val="16"/>
        </w:rPr>
      </w:pPr>
      <w:r w:rsidRPr="00D03F3E">
        <w:rPr>
          <w:color w:val="000000" w:themeColor="text1"/>
          <w:sz w:val="16"/>
          <w:szCs w:val="16"/>
        </w:rPr>
        <w:t>Заблаговременно до начала операции самолеты-разведчики участили полеты над прифронтовыми районами и в первую очередь над аэродромами. В отдельные дни при хорошей погоде аэрофотосъемка производилась по три раза в сутки. Целью этих полетов было вскрытие базирования и состава германской авиации, установление стоянок самолетов, расположения складов, ангаров, зениток и других объектов. Согласно полученным данным, в первые дни мая на аэродромных узлах Сещинская, Брянск, Орел, Харьков, Днепропетровск и Сталино находилось более тысячи немецких самолетов всех типов.</w:t>
      </w:r>
    </w:p>
    <w:p w14:paraId="559FDA99" w14:textId="77777777" w:rsidR="000A76A3" w:rsidRPr="00D03F3E" w:rsidRDefault="000A76A3" w:rsidP="00D03F3E">
      <w:pPr>
        <w:pStyle w:val="ae"/>
        <w:spacing w:before="0" w:after="0"/>
        <w:jc w:val="both"/>
        <w:textAlignment w:val="baseline"/>
        <w:rPr>
          <w:color w:val="000000" w:themeColor="text1"/>
          <w:sz w:val="16"/>
          <w:szCs w:val="16"/>
        </w:rPr>
      </w:pPr>
      <w:r w:rsidRPr="00D03F3E">
        <w:rPr>
          <w:color w:val="000000" w:themeColor="text1"/>
          <w:sz w:val="16"/>
          <w:szCs w:val="16"/>
        </w:rPr>
        <w:t>Между тем командование ВВС назначило точные дату и время начала операции — 6 мая в 5.30 по московскому времени. На бумаге план предстоящей операции выглядел вполне осуществимым. Однако в действительности он с самого начала имел ряд недостатков. Во-первых, совершенно не был учтен печальный опыт ударов по немецким аэродромам в 1942 г. Даже тщательно спланированная атака, как правило, полностью расстраивалась по самым разным причинам: плохая погода, малый боевой опыт экипажей, сильный заградительный огонь зениток и т. д. Во-вторых, советская авиация понесла в прошедших боях большие потери, и имевшихся к началу мая сил было явно недостаточно для нанесения столь масштабного удара одновременно по большому числу целей. В-третьих, данные авиаразведки оставляли желать лучшего, так как фотокамеры на Пе-2 были плохого качества, съемка выполнялась с большой высоты или под большим углом, и потому расшифровка сделанных фотоснимков давала слишком много погрешностей (19522).</w:t>
      </w:r>
    </w:p>
    <w:p w14:paraId="7091FAB1" w14:textId="77777777" w:rsidR="000A76A3" w:rsidRPr="00D03F3E" w:rsidRDefault="000A76A3" w:rsidP="00D03F3E">
      <w:pPr>
        <w:pStyle w:val="ae"/>
        <w:spacing w:before="0" w:after="0"/>
        <w:jc w:val="both"/>
        <w:textAlignment w:val="baseline"/>
        <w:rPr>
          <w:color w:val="000000" w:themeColor="text1"/>
          <w:sz w:val="16"/>
          <w:szCs w:val="16"/>
        </w:rPr>
      </w:pPr>
    </w:p>
    <w:p w14:paraId="2B4B53B6"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апреля 1943 г. началась вторая крупная планёрная опера</w:t>
      </w:r>
      <w:r w:rsidRPr="00D03F3E">
        <w:rPr>
          <w:rFonts w:ascii="Times New Roman" w:hAnsi="Times New Roman"/>
          <w:color w:val="000000" w:themeColor="text1"/>
          <w:sz w:val="16"/>
          <w:szCs w:val="16"/>
        </w:rPr>
        <w:softHyphen/>
        <w:t>ция по снабжению партизан и проводилась до весны 1944 г. Ей предшествовала тщательная подготовка лётного соста</w:t>
      </w:r>
      <w:r w:rsidRPr="00D03F3E">
        <w:rPr>
          <w:rFonts w:ascii="Times New Roman" w:hAnsi="Times New Roman"/>
          <w:color w:val="000000" w:themeColor="text1"/>
          <w:sz w:val="16"/>
          <w:szCs w:val="16"/>
        </w:rPr>
        <w:softHyphen/>
        <w:t>ва и материальной части. Был проана</w:t>
      </w:r>
      <w:r w:rsidRPr="00D03F3E">
        <w:rPr>
          <w:rFonts w:ascii="Times New Roman" w:hAnsi="Times New Roman"/>
          <w:color w:val="000000" w:themeColor="text1"/>
          <w:sz w:val="16"/>
          <w:szCs w:val="16"/>
        </w:rPr>
        <w:softHyphen/>
        <w:t xml:space="preserve">лизирован и учтён опыт предыдущих полётов в тыл врага, в значительной мере переработана тактика полётов, улучшено оборудование планёров и самолётов-буксировщиков. В 1-м и 2-м полках к выполнению боевых заданий в сложных условиях дополнительно </w:t>
      </w:r>
      <w:r w:rsidRPr="00D03F3E">
        <w:rPr>
          <w:rFonts w:ascii="Times New Roman" w:hAnsi="Times New Roman"/>
          <w:color w:val="000000" w:themeColor="text1"/>
          <w:sz w:val="16"/>
          <w:szCs w:val="16"/>
        </w:rPr>
        <w:lastRenderedPageBreak/>
        <w:t>подготовили около 300 планеристов и примерно столько же закончили учёбу в СВАПШ. На этот раз вместе с А-7 и Г-11 использовались тяжёлые двадцатимес</w:t>
      </w:r>
      <w:r w:rsidRPr="00D03F3E">
        <w:rPr>
          <w:rFonts w:ascii="Times New Roman" w:hAnsi="Times New Roman"/>
          <w:color w:val="000000" w:themeColor="text1"/>
          <w:sz w:val="16"/>
          <w:szCs w:val="16"/>
        </w:rPr>
        <w:softHyphen/>
        <w:t>тные планёры КЦ-20, поступившие во 2-й оапп; буксировщиками были СБ и Ил-4. Аэродромами подскока служили Старая Торопа, Лужки и Адреаполь.</w:t>
      </w:r>
    </w:p>
    <w:p w14:paraId="03D726E4"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партизанам вылетали большими группами. Стартовали примерно за пол</w:t>
      </w:r>
      <w:r w:rsidRPr="00D03F3E">
        <w:rPr>
          <w:rFonts w:ascii="Times New Roman" w:hAnsi="Times New Roman"/>
          <w:color w:val="000000" w:themeColor="text1"/>
          <w:sz w:val="16"/>
          <w:szCs w:val="16"/>
        </w:rPr>
        <w:softHyphen/>
        <w:t>часа до наступления сумерек, линию фронта пересекали уже в темноте, на цель выходили ночью. Самолёты, от</w:t>
      </w:r>
      <w:r w:rsidRPr="00D03F3E">
        <w:rPr>
          <w:rFonts w:ascii="Times New Roman" w:hAnsi="Times New Roman"/>
          <w:color w:val="000000" w:themeColor="text1"/>
          <w:sz w:val="16"/>
          <w:szCs w:val="16"/>
        </w:rPr>
        <w:softHyphen/>
        <w:t>цепив планёры, возвращались домой перед рассветом. Лётчики проводили в воздухе по шесть-семь часов. Спали днём, урывками, избегали выходить на солнце, чтобы не нарушалась аккомо</w:t>
      </w:r>
      <w:r w:rsidRPr="00D03F3E">
        <w:rPr>
          <w:rFonts w:ascii="Times New Roman" w:hAnsi="Times New Roman"/>
          <w:color w:val="000000" w:themeColor="text1"/>
          <w:sz w:val="16"/>
          <w:szCs w:val="16"/>
        </w:rPr>
        <w:softHyphen/>
        <w:t>дация глаз в темноте (12266).</w:t>
      </w:r>
    </w:p>
    <w:p w14:paraId="6FFBAE06" w14:textId="77777777" w:rsidR="002E357C" w:rsidRPr="00D03F3E" w:rsidRDefault="002E357C" w:rsidP="00D03F3E">
      <w:pPr>
        <w:spacing w:after="0" w:line="240" w:lineRule="auto"/>
        <w:jc w:val="both"/>
        <w:rPr>
          <w:rFonts w:ascii="Times New Roman" w:hAnsi="Times New Roman"/>
          <w:color w:val="000000" w:themeColor="text1"/>
          <w:sz w:val="16"/>
          <w:szCs w:val="16"/>
        </w:rPr>
      </w:pPr>
    </w:p>
    <w:p w14:paraId="25501B09"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апреля 1943 г. началась вторая крупная планерная операция по снабже</w:t>
      </w:r>
      <w:r w:rsidRPr="00D03F3E">
        <w:rPr>
          <w:rFonts w:ascii="Times New Roman" w:hAnsi="Times New Roman"/>
          <w:color w:val="000000" w:themeColor="text1"/>
          <w:sz w:val="16"/>
          <w:szCs w:val="16"/>
        </w:rPr>
        <w:softHyphen/>
        <w:t>нию партизан и про</w:t>
      </w:r>
      <w:r w:rsidRPr="00D03F3E">
        <w:rPr>
          <w:rFonts w:ascii="Times New Roman" w:hAnsi="Times New Roman"/>
          <w:color w:val="000000" w:themeColor="text1"/>
          <w:sz w:val="16"/>
          <w:szCs w:val="16"/>
        </w:rPr>
        <w:softHyphen/>
        <w:t>водилась до весны 1944 г. Ей предшествовала тща</w:t>
      </w:r>
      <w:r w:rsidRPr="00D03F3E">
        <w:rPr>
          <w:rFonts w:ascii="Times New Roman" w:hAnsi="Times New Roman"/>
          <w:color w:val="000000" w:themeColor="text1"/>
          <w:sz w:val="16"/>
          <w:szCs w:val="16"/>
        </w:rPr>
        <w:softHyphen/>
        <w:t>тельная подготовка летного состава и материальной части. Был проанализирован и учтен опыт предыду</w:t>
      </w:r>
      <w:r w:rsidRPr="00D03F3E">
        <w:rPr>
          <w:rFonts w:ascii="Times New Roman" w:hAnsi="Times New Roman"/>
          <w:color w:val="000000" w:themeColor="text1"/>
          <w:sz w:val="16"/>
          <w:szCs w:val="16"/>
        </w:rPr>
        <w:softHyphen/>
        <w:t>щих полетов в тыл врага, в значительной мере пере</w:t>
      </w:r>
      <w:r w:rsidRPr="00D03F3E">
        <w:rPr>
          <w:rFonts w:ascii="Times New Roman" w:hAnsi="Times New Roman"/>
          <w:color w:val="000000" w:themeColor="text1"/>
          <w:sz w:val="16"/>
          <w:szCs w:val="16"/>
        </w:rPr>
        <w:softHyphen/>
        <w:t>работана тактика полетов, улучшено оборудование планеров и самолетов-буксировщиков. В 1-м и 2-м полках к выполнению боевых заданий в сложных ус</w:t>
      </w:r>
      <w:r w:rsidRPr="00D03F3E">
        <w:rPr>
          <w:rFonts w:ascii="Times New Roman" w:hAnsi="Times New Roman"/>
          <w:color w:val="000000" w:themeColor="text1"/>
          <w:sz w:val="16"/>
          <w:szCs w:val="16"/>
        </w:rPr>
        <w:softHyphen/>
        <w:t>ловиях дополнительно подготовили около 300 пла</w:t>
      </w:r>
      <w:r w:rsidRPr="00D03F3E">
        <w:rPr>
          <w:rFonts w:ascii="Times New Roman" w:hAnsi="Times New Roman"/>
          <w:color w:val="000000" w:themeColor="text1"/>
          <w:sz w:val="16"/>
          <w:szCs w:val="16"/>
        </w:rPr>
        <w:softHyphen/>
        <w:t>неристов и примерно столько же закончили учебу в СВАПШ. На этот раз вместе с А-7 и Г-11 использовались тяжелые двадцатиместные планеры КЦ-20, по</w:t>
      </w:r>
      <w:r w:rsidRPr="00D03F3E">
        <w:rPr>
          <w:rFonts w:ascii="Times New Roman" w:hAnsi="Times New Roman"/>
          <w:color w:val="000000" w:themeColor="text1"/>
          <w:sz w:val="16"/>
          <w:szCs w:val="16"/>
        </w:rPr>
        <w:softHyphen/>
        <w:t>ступившие во 2-й оапп; буксировщиками были СБ и Ил-4. Аэродромами подскока служили Старая Торопа, Лужки и Адреаполь.</w:t>
      </w:r>
    </w:p>
    <w:p w14:paraId="0D29EFAE"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партизанам вылетали большими группами. Стартовали примерно за полчаса до наступления су</w:t>
      </w:r>
      <w:r w:rsidRPr="00D03F3E">
        <w:rPr>
          <w:rFonts w:ascii="Times New Roman" w:hAnsi="Times New Roman"/>
          <w:color w:val="000000" w:themeColor="text1"/>
          <w:sz w:val="16"/>
          <w:szCs w:val="16"/>
        </w:rPr>
        <w:softHyphen/>
        <w:t>мерек, линию фронта пересекали уже в темноте, на цель выходили ночью. Самолеты, отцепив планеры, возвращались домой перед рассветом. Летчики про</w:t>
      </w:r>
      <w:r w:rsidRPr="00D03F3E">
        <w:rPr>
          <w:rFonts w:ascii="Times New Roman" w:hAnsi="Times New Roman"/>
          <w:color w:val="000000" w:themeColor="text1"/>
          <w:sz w:val="16"/>
          <w:szCs w:val="16"/>
        </w:rPr>
        <w:softHyphen/>
        <w:t>водили в воздухе по шесть-семь часов. Спали днем, урывками, избегали выходить на солнце, чтобы не на</w:t>
      </w:r>
      <w:r w:rsidRPr="00D03F3E">
        <w:rPr>
          <w:rFonts w:ascii="Times New Roman" w:hAnsi="Times New Roman"/>
          <w:color w:val="000000" w:themeColor="text1"/>
          <w:sz w:val="16"/>
          <w:szCs w:val="16"/>
        </w:rPr>
        <w:softHyphen/>
        <w:t>рушалась аккомодация глаз в темноте (12300).</w:t>
      </w:r>
    </w:p>
    <w:p w14:paraId="1CDC9DA9" w14:textId="77777777" w:rsidR="002E357C" w:rsidRPr="00D03F3E" w:rsidRDefault="002E357C" w:rsidP="00D03F3E">
      <w:pPr>
        <w:spacing w:after="0" w:line="240" w:lineRule="auto"/>
        <w:jc w:val="both"/>
        <w:rPr>
          <w:rFonts w:ascii="Times New Roman" w:hAnsi="Times New Roman"/>
          <w:color w:val="000000" w:themeColor="text1"/>
          <w:sz w:val="16"/>
          <w:szCs w:val="16"/>
        </w:rPr>
      </w:pPr>
    </w:p>
    <w:p w14:paraId="56991F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апреля 1943 командир 4-го авиакорпуса Люфтваффе генерал Курт Пфлюгбейль получил приказ вновь произвести минирование фарватера Волги. Эту задачу поручили только что вернувшейся с отдыха во Франции одной из лучших бомбардировочных авиагрупп – I./KG100 «Викинг» под командованием гауптмана Ханса Бётхера. В это время она базировалась на аэродроме Сталино, и расстояние до реки составляло 550—600 км. В ночь на 30 апреля группа произвела первый вылет, сбросив мины ВМ1000 на участок Камышин – Сталинград.  Эти вылеты требовали от пилотов большого мастерства, т.к. сброс мин выполнялся на небольшой высоте, чтобы их ветром не снесло на берег. Кроме того, надо было обеспечить скрытность постановки, для чего использовалась следующая тактика. Самолеты выходили в район Волги на предельно большой высоте, затем глушили двигатели и плавно снижались. При этом штурман бомбардировщика учитывал силу и направление ветра, чтобы точно определить момент сброса мины. После отсоединения «груза» самолет некоторое время продолжал планировать, и, лишь уйдя на определенное расстояние, включал двигатели и набирал скорость. Первый вылет прошел удачно, и все «Хейнкели» благополучно вернулись обратно в Сталино. На следующую ночь бомбардировщики I./KG 100 вновь появилась над Волгой, на этот раз сбросив мины юго-восточнее Сталинграда. В результате река была заминирована на участке в 800 км от хутора Золотого, в 80 км ниже Саратова, до Замьян, в 60 км выше Астрахани. 4 мая германский бомбардировщик по какой-то причине сбросил мину на железнодорожную станцию Нижний Баскунчак. Всего в течение мая, по данным службы наблюдения, бомбардировщики Люфтваффе сбросили в Волгу 354 донные мины. В 1942 г. речной флот на Волге понес колоссальные потери. От ударов авиации, артиллерийских обстрелов и диверсий в Нижнем Поволжье были уничтожены 335 судов, в т.ч. 15 грузопассажирских, 74 буксира, 44 нефтеналивных баржи (тоннажем 279 460 т), 153 сухогрузных баржи (тоннажем 205 638 т), 49 судов технического флота. Флот нес потери и в других районах. В результате общая численность речного самоходного флота по сравнению с 1940 г. сократилась на 20%, несамоходного – на 25%. Но, как оказалось, испытания для речников на этом не закончились (11774).</w:t>
      </w:r>
    </w:p>
    <w:p w14:paraId="4B6414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6A56C8" w14:textId="77777777" w:rsidR="00A67E8A"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5F902DF1" w14:textId="77777777" w:rsidR="00A67E8A" w:rsidRPr="00D03F3E" w:rsidRDefault="00A67E8A"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3F56FC" w14:textId="77777777" w:rsidR="00A67E8A" w:rsidRPr="00D03F3E" w:rsidRDefault="00A67E8A"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второй половине апреля 1943 С.В. Ильюшин присылает на завод № 39 комплект чертежей с двигателями М-30Б (АЧ-30Б). Поскольку сроки изготовления опытных машин были крайне сжатыми, руководством завода были привлечены лучшие силы на выполнение этого важнейшего правительственного задания. Для оказания технической помощи при постройке Ил-6 в Иркутск была командирована группа конструкторов и расчетчиков ОКБ во главе с Я.А. Кутеповым. Один из построенных в Иркутске опытных Ил-6 отправили железнодорожным транспортом в Москву для проведения статиспытаний. Второй построенный экземпляр Ил-6 после отработки был передан на летные испытания. Для их проведения в Иркутск прибыл В.К. Коккинаки - шеф-пилот ОКБ Ильюшина. По приказу директора завода В.И. Абрамова в экипаж для испытаний опытного Ил-6 включили летчика-испытателя завода Н.С. Бушкевича и бортмеханика А.Д. Лебедева (15223).</w:t>
      </w:r>
    </w:p>
    <w:p w14:paraId="4DF8D29E" w14:textId="77777777" w:rsidR="00A67E8A" w:rsidRPr="00D03F3E" w:rsidRDefault="00A67E8A" w:rsidP="00D03F3E">
      <w:pPr>
        <w:shd w:val="clear" w:color="auto" w:fill="FFFFFF"/>
        <w:spacing w:after="0" w:line="240" w:lineRule="auto"/>
        <w:jc w:val="both"/>
        <w:rPr>
          <w:rFonts w:ascii="Times New Roman" w:hAnsi="Times New Roman"/>
          <w:color w:val="000000" w:themeColor="text1"/>
          <w:sz w:val="16"/>
          <w:szCs w:val="16"/>
        </w:rPr>
      </w:pPr>
    </w:p>
    <w:p w14:paraId="5DB4E5C4"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7FDF7F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2734D0"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второй половине апреля 1943 конструкторский отдел "Уралмашзавода", возглавляемый Л.И.Горлицким, приступил к проектированию машины СУ-185 (9637).</w:t>
      </w:r>
    </w:p>
    <w:p w14:paraId="4721D16D"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776C0F7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79A7C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B001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30-й авиазавод су</w:t>
      </w:r>
      <w:r w:rsidRPr="00D03F3E">
        <w:rPr>
          <w:rFonts w:ascii="Times New Roman" w:hAnsi="Times New Roman"/>
          <w:color w:val="000000" w:themeColor="text1"/>
          <w:sz w:val="16"/>
          <w:szCs w:val="16"/>
        </w:rPr>
        <w:softHyphen/>
        <w:t>мел выпустить 65 самолетов Ил-2КР и уже 1 июля в действующей армии имел</w:t>
      </w:r>
      <w:r w:rsidRPr="00D03F3E">
        <w:rPr>
          <w:rFonts w:ascii="Times New Roman" w:hAnsi="Times New Roman"/>
          <w:color w:val="000000" w:themeColor="text1"/>
          <w:sz w:val="16"/>
          <w:szCs w:val="16"/>
        </w:rPr>
        <w:softHyphen/>
        <w:t>ся 41 самолет Ил-2КР (6467).</w:t>
      </w:r>
    </w:p>
    <w:p w14:paraId="1741F6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фронте самолет проявил себя с наилучшей стороны. Строевым летчикам новый вариант Ил-2 нравился. Вместе с тем летчиками отмечалось, что уста</w:t>
      </w:r>
      <w:r w:rsidRPr="00D03F3E">
        <w:rPr>
          <w:rFonts w:ascii="Times New Roman" w:hAnsi="Times New Roman"/>
          <w:color w:val="000000" w:themeColor="text1"/>
          <w:sz w:val="16"/>
          <w:szCs w:val="16"/>
        </w:rPr>
        <w:softHyphen/>
        <w:t>новка одного фотоаппарата не обеспе</w:t>
      </w:r>
      <w:r w:rsidRPr="00D03F3E">
        <w:rPr>
          <w:rFonts w:ascii="Times New Roman" w:hAnsi="Times New Roman"/>
          <w:color w:val="000000" w:themeColor="text1"/>
          <w:sz w:val="16"/>
          <w:szCs w:val="16"/>
        </w:rPr>
        <w:softHyphen/>
        <w:t>чивает выполнение всех задач, решае</w:t>
      </w:r>
      <w:r w:rsidRPr="00D03F3E">
        <w:rPr>
          <w:rFonts w:ascii="Times New Roman" w:hAnsi="Times New Roman"/>
          <w:color w:val="000000" w:themeColor="text1"/>
          <w:sz w:val="16"/>
          <w:szCs w:val="16"/>
        </w:rPr>
        <w:softHyphen/>
        <w:t>мых Ил-2КР на фронте. Кроме того, ука</w:t>
      </w:r>
      <w:r w:rsidRPr="00D03F3E">
        <w:rPr>
          <w:rFonts w:ascii="Times New Roman" w:hAnsi="Times New Roman"/>
          <w:color w:val="000000" w:themeColor="text1"/>
          <w:sz w:val="16"/>
          <w:szCs w:val="16"/>
        </w:rPr>
        <w:softHyphen/>
        <w:t>зывалось и на совершенно недостаточ</w:t>
      </w:r>
      <w:r w:rsidRPr="00D03F3E">
        <w:rPr>
          <w:rFonts w:ascii="Times New Roman" w:hAnsi="Times New Roman"/>
          <w:color w:val="000000" w:themeColor="text1"/>
          <w:sz w:val="16"/>
          <w:szCs w:val="16"/>
        </w:rPr>
        <w:softHyphen/>
        <w:t>ное для самолета такого назначения бронирование воздушного стрелка-на</w:t>
      </w:r>
      <w:r w:rsidRPr="00D03F3E">
        <w:rPr>
          <w:rFonts w:ascii="Times New Roman" w:hAnsi="Times New Roman"/>
          <w:color w:val="000000" w:themeColor="text1"/>
          <w:sz w:val="16"/>
          <w:szCs w:val="16"/>
        </w:rPr>
        <w:softHyphen/>
        <w:t>блюдателя, который очень часто получал ранения в боевых вылетах.</w:t>
      </w:r>
    </w:p>
    <w:p w14:paraId="589D75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понимали и в ОКБ С.В.Ильюши</w:t>
      </w:r>
      <w:r w:rsidRPr="00D03F3E">
        <w:rPr>
          <w:rFonts w:ascii="Times New Roman" w:hAnsi="Times New Roman"/>
          <w:color w:val="000000" w:themeColor="text1"/>
          <w:sz w:val="16"/>
          <w:szCs w:val="16"/>
        </w:rPr>
        <w:softHyphen/>
        <w:t>на, но любая коренная переделка бронекорпуса означала остановку конвейе</w:t>
      </w:r>
      <w:r w:rsidRPr="00D03F3E">
        <w:rPr>
          <w:rFonts w:ascii="Times New Roman" w:hAnsi="Times New Roman"/>
          <w:color w:val="000000" w:themeColor="text1"/>
          <w:sz w:val="16"/>
          <w:szCs w:val="16"/>
        </w:rPr>
        <w:softHyphen/>
        <w:t>ра, а на такой шаг в то время пойти не могли (6467).</w:t>
      </w:r>
    </w:p>
    <w:p w14:paraId="2BA5A2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47CB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было выпущено 65 самолетов Ил-2 в варианте КР (491).</w:t>
      </w:r>
    </w:p>
    <w:p w14:paraId="396379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449BFE" w14:textId="77777777" w:rsidR="00A67E8A" w:rsidRPr="00D03F3E" w:rsidRDefault="00A67E8A"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апреле 1943 г. 30-й авиазавод су</w:t>
      </w:r>
      <w:r w:rsidRPr="00D03F3E">
        <w:rPr>
          <w:rFonts w:ascii="Times New Roman" w:cs="Times New Roman"/>
          <w:color w:val="000000" w:themeColor="text1"/>
          <w:spacing w:val="0"/>
        </w:rPr>
        <w:softHyphen/>
        <w:t>мел выпустить 65 самолетов Ил-2КР, и уже 1 июля в действующей армии имел</w:t>
      </w:r>
      <w:r w:rsidRPr="00D03F3E">
        <w:rPr>
          <w:rFonts w:ascii="Times New Roman" w:cs="Times New Roman"/>
          <w:color w:val="000000" w:themeColor="text1"/>
          <w:spacing w:val="0"/>
        </w:rPr>
        <w:softHyphen/>
        <w:t>ся 41 самолет этого типа (15762).</w:t>
      </w:r>
    </w:p>
    <w:p w14:paraId="3B21360B" w14:textId="77777777" w:rsidR="00A67E8A" w:rsidRPr="00D03F3E" w:rsidRDefault="00A67E8A" w:rsidP="00D03F3E">
      <w:pPr>
        <w:pStyle w:val="27"/>
        <w:shd w:val="clear" w:color="auto" w:fill="auto"/>
        <w:spacing w:after="0" w:line="240" w:lineRule="auto"/>
        <w:ind w:firstLine="0"/>
        <w:rPr>
          <w:rFonts w:ascii="Times New Roman" w:cs="Times New Roman"/>
          <w:color w:val="000000" w:themeColor="text1"/>
          <w:spacing w:val="0"/>
        </w:rPr>
      </w:pPr>
    </w:p>
    <w:p w14:paraId="042304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30-й авиазавод сумел выпустить 65 самоле</w:t>
      </w:r>
      <w:r w:rsidRPr="00D03F3E">
        <w:rPr>
          <w:rFonts w:ascii="Times New Roman" w:hAnsi="Times New Roman"/>
          <w:color w:val="000000" w:themeColor="text1"/>
          <w:sz w:val="16"/>
          <w:szCs w:val="16"/>
        </w:rPr>
        <w:softHyphen/>
        <w:t>тов Ил-2КР, и уже 1 июля в действующей армии имелся 41 са</w:t>
      </w:r>
      <w:r w:rsidRPr="00D03F3E">
        <w:rPr>
          <w:rFonts w:ascii="Times New Roman" w:hAnsi="Times New Roman"/>
          <w:color w:val="000000" w:themeColor="text1"/>
          <w:sz w:val="16"/>
          <w:szCs w:val="16"/>
        </w:rPr>
        <w:softHyphen/>
        <w:t>молет этого типа.</w:t>
      </w:r>
    </w:p>
    <w:p w14:paraId="4E70D8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фронте самолет про</w:t>
      </w:r>
      <w:r w:rsidRPr="00D03F3E">
        <w:rPr>
          <w:rFonts w:ascii="Times New Roman" w:hAnsi="Times New Roman"/>
          <w:color w:val="000000" w:themeColor="text1"/>
          <w:sz w:val="16"/>
          <w:szCs w:val="16"/>
        </w:rPr>
        <w:softHyphen/>
        <w:t>явил себя с лучшей стороны. Летчикам он нравился. Вместе с тем отмечалось, что установ</w:t>
      </w:r>
      <w:r w:rsidRPr="00D03F3E">
        <w:rPr>
          <w:rFonts w:ascii="Times New Roman" w:hAnsi="Times New Roman"/>
          <w:color w:val="000000" w:themeColor="text1"/>
          <w:sz w:val="16"/>
          <w:szCs w:val="16"/>
        </w:rPr>
        <w:softHyphen/>
        <w:t>ка одного фотоаппарата не обеспечивает выполнение всех задач, решаемых Ил-2КР на фронте. Кроме того, указыва</w:t>
      </w:r>
      <w:r w:rsidRPr="00D03F3E">
        <w:rPr>
          <w:rFonts w:ascii="Times New Roman" w:hAnsi="Times New Roman"/>
          <w:color w:val="000000" w:themeColor="text1"/>
          <w:sz w:val="16"/>
          <w:szCs w:val="16"/>
        </w:rPr>
        <w:softHyphen/>
        <w:t>лось и на совершенно недос</w:t>
      </w:r>
      <w:r w:rsidRPr="00D03F3E">
        <w:rPr>
          <w:rFonts w:ascii="Times New Roman" w:hAnsi="Times New Roman"/>
          <w:color w:val="000000" w:themeColor="text1"/>
          <w:sz w:val="16"/>
          <w:szCs w:val="16"/>
        </w:rPr>
        <w:softHyphen/>
        <w:t>таточное для самолета такого назначения бронирование воздушного стрелка-наблюда</w:t>
      </w:r>
      <w:r w:rsidRPr="00D03F3E">
        <w:rPr>
          <w:rFonts w:ascii="Times New Roman" w:hAnsi="Times New Roman"/>
          <w:color w:val="000000" w:themeColor="text1"/>
          <w:sz w:val="16"/>
          <w:szCs w:val="16"/>
        </w:rPr>
        <w:softHyphen/>
        <w:t>теля — последние очень часто получали в боевых вылетах ра</w:t>
      </w:r>
      <w:r w:rsidRPr="00D03F3E">
        <w:rPr>
          <w:rFonts w:ascii="Times New Roman" w:hAnsi="Times New Roman"/>
          <w:color w:val="000000" w:themeColor="text1"/>
          <w:sz w:val="16"/>
          <w:szCs w:val="16"/>
        </w:rPr>
        <w:softHyphen/>
        <w:t>нения и надолго выходили из строя.</w:t>
      </w:r>
    </w:p>
    <w:p w14:paraId="5A2028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понимали и в ОКБ С.В. Ильюшина, но любая коренная переделка броне-корпуса означала снижение выпуска штурмовиков, а на такой шаг в то время пойти не могли. Только с появлением Ил-2 «крыло со стрелкой» появилась возможность улуч</w:t>
      </w:r>
      <w:r w:rsidRPr="00D03F3E">
        <w:rPr>
          <w:rFonts w:ascii="Times New Roman" w:hAnsi="Times New Roman"/>
          <w:color w:val="000000" w:themeColor="text1"/>
          <w:sz w:val="16"/>
          <w:szCs w:val="16"/>
        </w:rPr>
        <w:softHyphen/>
        <w:t>шить защиту воздушного стрелка (11474,388).</w:t>
      </w:r>
    </w:p>
    <w:p w14:paraId="1ECC1C3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6469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30-м авиазаводом было изготовлено 5 Ил-2 с НС-37 головной серии, один из которых (зав. № 302349) 27 мая поступил на государственные испытания в НИИ ВВС КА (6467).</w:t>
      </w:r>
    </w:p>
    <w:p w14:paraId="023765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471DF1" w14:textId="77777777" w:rsidR="00A8570B" w:rsidRPr="00D03F3E"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В апреле 1943 заводом №30 было изготовлено пять Ил-2 головной серии с пушками НС-37, один из которых 27 мая поступил на государственные испытания в НИИ ВВС КА. Последние, после выполнения 26 полетов с налетом 11 часов 35 минут успешно завершились к 22 июня 1943 года.</w:t>
      </w:r>
    </w:p>
    <w:p w14:paraId="1D5459F5" w14:textId="77777777" w:rsidR="00A8570B" w:rsidRPr="00D03F3E"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Предъявленный на госиспытания штурмовик отличался от серийных Ил-2 только установкой двух пушек НС-37 с боекомплектом по 60 снарядов на ствол и отсутствием эрэсов. Нормальная бомбовая нагрузка – 200 кг.</w:t>
      </w:r>
    </w:p>
    <w:p w14:paraId="480BC759" w14:textId="77777777" w:rsidR="00A8570B" w:rsidRPr="00D03F3E"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Ленточное питание пушек НС-37 позволило специалистам ОКБ С.В. Ильюшина разместить их непосредственно у нижней поверхности крыла с использованием конструктивно очень простого и быстроразъемного крепления. Пушки закрывались относительно небольшими обтекателями, каждый из которых состоял из двух легко открывающихся створок. Боекомплект к каждой пушке укладывался непосредственно в отсеки крыла. Вес одной пушки НС-37 с боекомплектом равнялся 256 кг.</w:t>
      </w:r>
    </w:p>
    <w:p w14:paraId="06EB75C8" w14:textId="77777777" w:rsidR="00A8570B" w:rsidRPr="00D03F3E"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По сравнению с серийными Илами, вооруженными пушками ШВАК  или ВЯ, Ил-2 с НС-37 и с бомбовым грузом в 200 кг стал значительно более инертным, сложным на вираже и на боевом развороте.</w:t>
      </w:r>
    </w:p>
    <w:p w14:paraId="121221F9" w14:textId="77777777" w:rsidR="00A8570B" w:rsidRPr="00D03F3E"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Ухудшение пилотажных характеристик нового штурмовика, так же как и Ил-2 с пушками ШФК-37, было связано с большим разносом масс по размаху крыла и наличием обтекателей пушек, ухудшающих общую аэродинамику самолета. Во всем диапазоне центровок Ил-2 с НС-37 не имел продольной устойчивости, что существенно снижало точность стрельбы в воздухе.</w:t>
      </w:r>
    </w:p>
    <w:p w14:paraId="5CADF64B" w14:textId="77777777" w:rsidR="00A8570B" w:rsidRPr="00D03F3E"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Последнее усугублялось сильной отдачей пушек при стрельбе из них, среднее значение которой составляла 2500 кг, а пиковые значения в конце отката порядка 5500 кг, а в момент удара затвора о затыльник она достигала аж 7500 кг. Все это приводило к большому рассеиванию снарядов при стрельбе в воздухе.</w:t>
      </w:r>
    </w:p>
    <w:p w14:paraId="18CE74DD" w14:textId="77777777" w:rsidR="00A8570B" w:rsidRPr="00D03F3E"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Полигонные испытания, проведенные в НИИ АВ ВВС КА, показали, что стрельбу с самолета Ил-2 из пушек НС-37 необходимо вести только короткими очередями длиной не более двух-трех выстрелов, так как при стрельбе одновременно из двух пушек вследствие несинхронности их работы самолет испытывал значительные толчки, клевки и сбивался с линии прицеливания.</w:t>
      </w:r>
    </w:p>
    <w:p w14:paraId="4365FF0D" w14:textId="77777777" w:rsidR="00A8570B" w:rsidRPr="00D03F3E"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Поправка в прицеливание в этом случае в принципе была возможна.</w:t>
      </w:r>
    </w:p>
    <w:p w14:paraId="3AF67B7A" w14:textId="77777777" w:rsidR="00A8570B" w:rsidRPr="00D03F3E"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lastRenderedPageBreak/>
        <w:t>При стрельбе из одной пушки попадание в цель было возможно только первым выстрелом, так как штурмовик разворачивался в сторону стреляющей пушки и поправка в прицеливание становилась практически невозможной.</w:t>
      </w:r>
    </w:p>
    <w:p w14:paraId="1CEBC46D" w14:textId="77777777" w:rsidR="00A8570B" w:rsidRPr="00D03F3E"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При этом попадания в танки были получены лишь в 43% вылетов, а число попаданий к израсходованному боекомплекту составило 2,98%.</w:t>
      </w:r>
    </w:p>
    <w:p w14:paraId="1BDB398E" w14:textId="77777777" w:rsidR="00A8570B" w:rsidRPr="00D03F3E"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Анализ результатов полигонных испытаний показывает, что поражение 37-мм снарядом БЗТ-37 из авиапушки НС-37 с самолета Ил-2 легких немецких танков, бронемашин и бронетранспортеров всех типов, а также САУ </w:t>
      </w:r>
      <w:r w:rsidRPr="00D03F3E">
        <w:rPr>
          <w:rStyle w:val="af0"/>
          <w:i w:val="0"/>
          <w:color w:val="000000" w:themeColor="text1"/>
          <w:sz w:val="16"/>
          <w:szCs w:val="16"/>
          <w:bdr w:val="none" w:sz="0" w:space="0" w:color="auto" w:frame="1"/>
        </w:rPr>
        <w:t>"Wespe"</w:t>
      </w:r>
      <w:r w:rsidRPr="00D03F3E">
        <w:rPr>
          <w:color w:val="000000" w:themeColor="text1"/>
          <w:sz w:val="16"/>
          <w:szCs w:val="16"/>
        </w:rPr>
        <w:t> , </w:t>
      </w:r>
      <w:r w:rsidRPr="00D03F3E">
        <w:rPr>
          <w:rStyle w:val="af0"/>
          <w:i w:val="0"/>
          <w:color w:val="000000" w:themeColor="text1"/>
          <w:sz w:val="16"/>
          <w:szCs w:val="16"/>
          <w:bdr w:val="none" w:sz="0" w:space="0" w:color="auto" w:frame="1"/>
        </w:rPr>
        <w:t>"Marder II"</w:t>
      </w:r>
      <w:r w:rsidRPr="00D03F3E">
        <w:rPr>
          <w:color w:val="000000" w:themeColor="text1"/>
          <w:sz w:val="16"/>
          <w:szCs w:val="16"/>
        </w:rPr>
        <w:t> и </w:t>
      </w:r>
      <w:r w:rsidRPr="00D03F3E">
        <w:rPr>
          <w:rStyle w:val="af0"/>
          <w:i w:val="0"/>
          <w:color w:val="000000" w:themeColor="text1"/>
          <w:sz w:val="16"/>
          <w:szCs w:val="16"/>
          <w:bdr w:val="none" w:sz="0" w:space="0" w:color="auto" w:frame="1"/>
        </w:rPr>
        <w:t>"Marder III"</w:t>
      </w:r>
      <w:r w:rsidRPr="00D03F3E">
        <w:rPr>
          <w:color w:val="000000" w:themeColor="text1"/>
          <w:sz w:val="16"/>
          <w:szCs w:val="16"/>
        </w:rPr>
        <w:t> обеспечивалось с дистанции до 500 метров с любого направления. Средние немецкие танки и САУ типа </w:t>
      </w:r>
      <w:r w:rsidRPr="00D03F3E">
        <w:rPr>
          <w:rStyle w:val="af0"/>
          <w:i w:val="0"/>
          <w:color w:val="000000" w:themeColor="text1"/>
          <w:sz w:val="16"/>
          <w:szCs w:val="16"/>
          <w:bdr w:val="none" w:sz="0" w:space="0" w:color="auto" w:frame="1"/>
        </w:rPr>
        <w:t>StuG 40</w:t>
      </w:r>
      <w:r w:rsidRPr="00D03F3E">
        <w:rPr>
          <w:color w:val="000000" w:themeColor="text1"/>
          <w:sz w:val="16"/>
          <w:szCs w:val="16"/>
        </w:rPr>
        <w:t>, </w:t>
      </w:r>
      <w:r w:rsidRPr="00D03F3E">
        <w:rPr>
          <w:rStyle w:val="af0"/>
          <w:i w:val="0"/>
          <w:color w:val="000000" w:themeColor="text1"/>
          <w:sz w:val="16"/>
          <w:szCs w:val="16"/>
          <w:bdr w:val="none" w:sz="0" w:space="0" w:color="auto" w:frame="1"/>
        </w:rPr>
        <w:t>Pz III Ausf L/M</w:t>
      </w:r>
      <w:r w:rsidRPr="00D03F3E">
        <w:rPr>
          <w:color w:val="000000" w:themeColor="text1"/>
          <w:sz w:val="16"/>
          <w:szCs w:val="16"/>
        </w:rPr>
        <w:t> и </w:t>
      </w:r>
      <w:r w:rsidRPr="00D03F3E">
        <w:rPr>
          <w:rStyle w:val="af0"/>
          <w:i w:val="0"/>
          <w:color w:val="000000" w:themeColor="text1"/>
          <w:sz w:val="16"/>
          <w:szCs w:val="16"/>
          <w:bdr w:val="none" w:sz="0" w:space="0" w:color="auto" w:frame="1"/>
        </w:rPr>
        <w:t>Pz. IV Ausf G/H</w:t>
      </w:r>
      <w:r w:rsidRPr="00D03F3E">
        <w:rPr>
          <w:color w:val="000000" w:themeColor="text1"/>
          <w:sz w:val="16"/>
          <w:szCs w:val="16"/>
        </w:rPr>
        <w:t>, а также появившиеся позже </w:t>
      </w:r>
      <w:r w:rsidRPr="00D03F3E">
        <w:rPr>
          <w:rStyle w:val="af0"/>
          <w:i w:val="0"/>
          <w:color w:val="000000" w:themeColor="text1"/>
          <w:sz w:val="16"/>
          <w:szCs w:val="16"/>
          <w:bdr w:val="none" w:sz="0" w:space="0" w:color="auto" w:frame="1"/>
        </w:rPr>
        <w:t>StuG IV</w:t>
      </w:r>
      <w:r w:rsidRPr="00D03F3E">
        <w:rPr>
          <w:color w:val="000000" w:themeColor="text1"/>
          <w:sz w:val="16"/>
          <w:szCs w:val="16"/>
        </w:rPr>
        <w:t> и </w:t>
      </w:r>
      <w:r w:rsidRPr="00D03F3E">
        <w:rPr>
          <w:rStyle w:val="af0"/>
          <w:i w:val="0"/>
          <w:color w:val="000000" w:themeColor="text1"/>
          <w:sz w:val="16"/>
          <w:szCs w:val="16"/>
          <w:bdr w:val="none" w:sz="0" w:space="0" w:color="auto" w:frame="1"/>
        </w:rPr>
        <w:t>Jgd Pz IV/70</w:t>
      </w:r>
      <w:r w:rsidRPr="00D03F3E">
        <w:rPr>
          <w:color w:val="000000" w:themeColor="text1"/>
          <w:sz w:val="16"/>
          <w:szCs w:val="16"/>
        </w:rPr>
        <w:t> с толщиной брони на бортах до 30 мм могли поражаться БЗТ-37 с дистанции до 500 м с планирования под углами 5-10 градусов с высоты 100 м. В этом случае атаку необходимо было производить сбоку или сзади, ведя стрельбу по борту или по задней части корпуса и башни танков.</w:t>
      </w:r>
    </w:p>
    <w:p w14:paraId="443BB9A7" w14:textId="77777777" w:rsidR="00A8570B" w:rsidRPr="00D03F3E"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Попадания снарядов этой пушки в ролики и другие детали ходовой части танков всех типов производили существенные разрушения, выводящие последние из строя.</w:t>
      </w:r>
    </w:p>
    <w:p w14:paraId="424E16EE" w14:textId="77777777" w:rsidR="00A8570B" w:rsidRPr="00D03F3E"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В выводах отчета по Государственным испытаниям особо обращалось внимание на то, что летный состав, летающий на самолетах Ил-2, вооруженных пушками НС-37, должен пройти специальную подготовку в ведении прицельной стрельбы короткими очередями по малоразмерным целям. Тридцатому авиазаводу НКАП и ОКБ-16 НКВ рекомендовалось срочно установить на пушку дульный тормоз.</w:t>
      </w:r>
    </w:p>
    <w:p w14:paraId="48D28B71" w14:textId="77777777" w:rsidR="00A8570B" w:rsidRPr="00D03F3E"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Кроме того, указывалось, что Ил-2 с НС-37 необходимо было испытывать с боекомплектом к пушкам по 50 снарядов и нормальной бомбовой нагрузкой в 100 кг, как было записано в Постановлении ГКО.</w:t>
      </w:r>
    </w:p>
    <w:p w14:paraId="503C45DE" w14:textId="77777777" w:rsidR="00A8570B" w:rsidRPr="00D03F3E"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В дальнейшем все серийные Ил-2 с НС-37 выпускались именно в таком варианте вооружения. Летно-технические данные самолета несколько улучшились.</w:t>
      </w:r>
    </w:p>
    <w:p w14:paraId="33512AFE" w14:textId="77777777" w:rsidR="00A8570B" w:rsidRPr="00D03F3E"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Как видно, при установке пушек НС-37 на двухместный Ил-2 конструкторы столкнулись с теми же проблемами, что и при установке на одноместный Ил пушек ШФК-37 (19170).</w:t>
      </w:r>
    </w:p>
    <w:p w14:paraId="4BEB27D7" w14:textId="77777777" w:rsidR="00A8570B" w:rsidRPr="00D03F3E"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p>
    <w:p w14:paraId="17644D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закончились испытания Ил-2 с НС-37, которые проходили с конца марта. Выяснилось, что ЦТ сместился на 3.5% назад и требовались более опытные пилоты. Выяснилось, что из-за сильной отдачи разрушается гондола. Потребовались специальные амортизаторы (241,41).</w:t>
      </w:r>
    </w:p>
    <w:p w14:paraId="7E0104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24E49D"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года ЦАГИ проводил испытания самолёта Ил-2 в аэродинамической трубе. Конечной целью испытания являлось «установление мероприятий, улучшающих скоростные и маневренные качества самолёта и характеристики устойчивости серийных самолетов»</w:t>
      </w:r>
      <w:bookmarkStart w:id="15" w:name="_ednref13"/>
      <w:r w:rsidR="00E319F0" w:rsidRPr="00D03F3E">
        <w:rPr>
          <w:rFonts w:ascii="Times New Roman" w:hAnsi="Times New Roman"/>
          <w:color w:val="000000" w:themeColor="text1"/>
          <w:sz w:val="16"/>
          <w:szCs w:val="16"/>
        </w:rPr>
        <w:fldChar w:fldCharType="begin"/>
      </w:r>
      <w:r w:rsidRPr="00D03F3E">
        <w:rPr>
          <w:rFonts w:ascii="Times New Roman" w:hAnsi="Times New Roman"/>
          <w:color w:val="000000" w:themeColor="text1"/>
          <w:sz w:val="16"/>
          <w:szCs w:val="16"/>
        </w:rPr>
        <w:instrText xml:space="preserve"> HYPERLINK "http://www.rgantd-samara.ru/activity/articles/4410/" \l "_edn13" \o "" </w:instrText>
      </w:r>
      <w:r w:rsidR="00E319F0" w:rsidRPr="00D03F3E">
        <w:rPr>
          <w:rFonts w:ascii="Times New Roman" w:hAnsi="Times New Roman"/>
          <w:color w:val="000000" w:themeColor="text1"/>
          <w:sz w:val="16"/>
          <w:szCs w:val="16"/>
        </w:rPr>
        <w:fldChar w:fldCharType="separate"/>
      </w:r>
      <w:r w:rsidRPr="00D03F3E">
        <w:rPr>
          <w:rStyle w:val="a5"/>
          <w:rFonts w:ascii="Times New Roman" w:hAnsi="Times New Roman"/>
          <w:color w:val="000000" w:themeColor="text1"/>
          <w:sz w:val="16"/>
          <w:szCs w:val="16"/>
        </w:rPr>
        <w:t>13</w:t>
      </w:r>
      <w:r w:rsidR="00E319F0" w:rsidRPr="00D03F3E">
        <w:rPr>
          <w:rFonts w:ascii="Times New Roman" w:hAnsi="Times New Roman"/>
          <w:color w:val="000000" w:themeColor="text1"/>
          <w:sz w:val="16"/>
          <w:szCs w:val="16"/>
        </w:rPr>
        <w:fldChar w:fldCharType="end"/>
      </w:r>
      <w:bookmarkEnd w:id="15"/>
      <w:r w:rsidRPr="00D03F3E">
        <w:rPr>
          <w:rFonts w:ascii="Times New Roman" w:hAnsi="Times New Roman"/>
          <w:color w:val="000000" w:themeColor="text1"/>
          <w:sz w:val="16"/>
          <w:szCs w:val="16"/>
        </w:rPr>
        <w:t>. Также осуществлялась работа по улучшению скорости самолета.</w:t>
      </w:r>
    </w:p>
    <w:p w14:paraId="0A63096B"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народного комиссара авиационной промышленности А.И.Шахурина список рекомендаций был передан на завод-изготовитель для производства самолёта-эталона. Работа по осуществлению рекомендаций проходила быстро (12706).</w:t>
      </w:r>
    </w:p>
    <w:p w14:paraId="146D120F" w14:textId="77777777" w:rsidR="002E357C" w:rsidRPr="00D03F3E" w:rsidRDefault="002E357C" w:rsidP="00D03F3E">
      <w:pPr>
        <w:spacing w:after="0" w:line="240" w:lineRule="auto"/>
        <w:jc w:val="both"/>
        <w:rPr>
          <w:rFonts w:ascii="Times New Roman" w:hAnsi="Times New Roman"/>
          <w:color w:val="000000" w:themeColor="text1"/>
          <w:sz w:val="16"/>
          <w:szCs w:val="16"/>
        </w:rPr>
      </w:pPr>
    </w:p>
    <w:p w14:paraId="375A882A" w14:textId="77777777" w:rsidR="000A76A3" w:rsidRPr="00D03F3E" w:rsidRDefault="000A76A3"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апреле 1943 вышел приказ НКАП</w:t>
      </w:r>
    </w:p>
    <w:p w14:paraId="27268E5F" w14:textId="77777777" w:rsidR="000A76A3" w:rsidRPr="00D03F3E" w:rsidRDefault="000A76A3" w:rsidP="00D03F3E">
      <w:pPr>
        <w:pStyle w:val="ae"/>
        <w:shd w:val="clear" w:color="auto" w:fill="FFFFFF"/>
        <w:spacing w:before="0" w:after="0"/>
        <w:jc w:val="both"/>
        <w:rPr>
          <w:color w:val="000000" w:themeColor="text1"/>
          <w:sz w:val="16"/>
          <w:szCs w:val="16"/>
        </w:rPr>
      </w:pPr>
      <w:r w:rsidRPr="00D03F3E">
        <w:rPr>
          <w:color w:val="000000" w:themeColor="text1"/>
          <w:sz w:val="16"/>
          <w:szCs w:val="16"/>
        </w:rPr>
        <w:t>О выпуске самолетов с установленными прицельными приборами ВМШ-2 (05.43 - 50%, 06.43 - 75%, с 07.43 - все) (19706).</w:t>
      </w:r>
    </w:p>
    <w:p w14:paraId="0D30A78F" w14:textId="77777777" w:rsidR="000A76A3" w:rsidRPr="00D03F3E" w:rsidRDefault="000A76A3" w:rsidP="00D03F3E">
      <w:pPr>
        <w:pStyle w:val="ae"/>
        <w:shd w:val="clear" w:color="auto" w:fill="FFFFFF"/>
        <w:spacing w:before="0" w:after="0"/>
        <w:jc w:val="both"/>
        <w:rPr>
          <w:color w:val="000000" w:themeColor="text1"/>
          <w:sz w:val="16"/>
          <w:szCs w:val="16"/>
        </w:rPr>
      </w:pPr>
    </w:p>
    <w:p w14:paraId="1E98D2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апреля 1943 г. с появлением в серии мотора АМ-38ф и двухместных са</w:t>
      </w:r>
      <w:r w:rsidRPr="00D03F3E">
        <w:rPr>
          <w:rFonts w:ascii="Times New Roman" w:hAnsi="Times New Roman"/>
          <w:color w:val="000000" w:themeColor="text1"/>
          <w:sz w:val="16"/>
          <w:szCs w:val="16"/>
        </w:rPr>
        <w:softHyphen/>
        <w:t>молетов Ил-2 с этим мотором заводы № 1 и № 18 начиная приступили к серийному выпуску его учеб</w:t>
      </w:r>
      <w:r w:rsidRPr="00D03F3E">
        <w:rPr>
          <w:rFonts w:ascii="Times New Roman" w:hAnsi="Times New Roman"/>
          <w:color w:val="000000" w:themeColor="text1"/>
          <w:sz w:val="16"/>
          <w:szCs w:val="16"/>
        </w:rPr>
        <w:softHyphen/>
        <w:t>но-тренировочной модификации. В отличие от УИл-2 с АМ-38 учебные варианты с мотором АМ-38ф имели полно</w:t>
      </w:r>
      <w:r w:rsidRPr="00D03F3E">
        <w:rPr>
          <w:rFonts w:ascii="Times New Roman" w:hAnsi="Times New Roman"/>
          <w:color w:val="000000" w:themeColor="text1"/>
          <w:sz w:val="16"/>
          <w:szCs w:val="16"/>
        </w:rPr>
        <w:softHyphen/>
        <w:t>ценный бронекорпус серийного Ил-2 (11474,313).</w:t>
      </w:r>
    </w:p>
    <w:p w14:paraId="67D5D88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E0DC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С.В.И., понимая после первых "прикидок" по модификации Ил-2 с мотором АМ-42, что, оставаясь в рамках "облика" "двойки", создать штурмовик, равный по летно-боевым качествам новой машине Сухого, очень сложно, тогда как многоцеле</w:t>
      </w:r>
      <w:r w:rsidRPr="00D03F3E">
        <w:rPr>
          <w:rFonts w:ascii="Times New Roman" w:hAnsi="Times New Roman"/>
          <w:color w:val="000000" w:themeColor="text1"/>
          <w:sz w:val="16"/>
          <w:szCs w:val="16"/>
        </w:rPr>
        <w:softHyphen/>
        <w:t>вой сильно бронированный штурмо</w:t>
      </w:r>
      <w:r w:rsidRPr="00D03F3E">
        <w:rPr>
          <w:rFonts w:ascii="Times New Roman" w:hAnsi="Times New Roman"/>
          <w:color w:val="000000" w:themeColor="text1"/>
          <w:sz w:val="16"/>
          <w:szCs w:val="16"/>
        </w:rPr>
        <w:softHyphen/>
        <w:t>вик-бомбардировщик все же не очень вписывается в систему воору</w:t>
      </w:r>
      <w:r w:rsidRPr="00D03F3E">
        <w:rPr>
          <w:rFonts w:ascii="Times New Roman" w:hAnsi="Times New Roman"/>
          <w:color w:val="000000" w:themeColor="text1"/>
          <w:sz w:val="16"/>
          <w:szCs w:val="16"/>
        </w:rPr>
        <w:softHyphen/>
        <w:t>жений ВВС КА, принимает решение одновре</w:t>
      </w:r>
      <w:r w:rsidRPr="00D03F3E">
        <w:rPr>
          <w:rFonts w:ascii="Times New Roman" w:hAnsi="Times New Roman"/>
          <w:color w:val="000000" w:themeColor="text1"/>
          <w:sz w:val="16"/>
          <w:szCs w:val="16"/>
        </w:rPr>
        <w:softHyphen/>
        <w:t>менно приступить и к созданию бро</w:t>
      </w:r>
      <w:r w:rsidRPr="00D03F3E">
        <w:rPr>
          <w:rFonts w:ascii="Times New Roman" w:hAnsi="Times New Roman"/>
          <w:color w:val="000000" w:themeColor="text1"/>
          <w:sz w:val="16"/>
          <w:szCs w:val="16"/>
        </w:rPr>
        <w:softHyphen/>
        <w:t>нированного истребителя с мотором АМ-42, но с совершенно иными ком</w:t>
      </w:r>
      <w:r w:rsidRPr="00D03F3E">
        <w:rPr>
          <w:rFonts w:ascii="Times New Roman" w:hAnsi="Times New Roman"/>
          <w:color w:val="000000" w:themeColor="text1"/>
          <w:sz w:val="16"/>
          <w:szCs w:val="16"/>
        </w:rPr>
        <w:softHyphen/>
        <w:t>поновочными и аэродинамическими решениями. Тем более что военные, исходя из положительного опыта бо</w:t>
      </w:r>
      <w:r w:rsidRPr="00D03F3E">
        <w:rPr>
          <w:rFonts w:ascii="Times New Roman" w:hAnsi="Times New Roman"/>
          <w:color w:val="000000" w:themeColor="text1"/>
          <w:sz w:val="16"/>
          <w:szCs w:val="16"/>
        </w:rPr>
        <w:softHyphen/>
        <w:t>евого применения Ил-2 против бом</w:t>
      </w:r>
      <w:r w:rsidRPr="00D03F3E">
        <w:rPr>
          <w:rFonts w:ascii="Times New Roman" w:hAnsi="Times New Roman"/>
          <w:color w:val="000000" w:themeColor="text1"/>
          <w:sz w:val="16"/>
          <w:szCs w:val="16"/>
        </w:rPr>
        <w:softHyphen/>
        <w:t>бардировщиков и транспортных са</w:t>
      </w:r>
      <w:r w:rsidRPr="00D03F3E">
        <w:rPr>
          <w:rFonts w:ascii="Times New Roman" w:hAnsi="Times New Roman"/>
          <w:color w:val="000000" w:themeColor="text1"/>
          <w:sz w:val="16"/>
          <w:szCs w:val="16"/>
        </w:rPr>
        <w:softHyphen/>
        <w:t>молетов противника под Сталингра</w:t>
      </w:r>
      <w:r w:rsidRPr="00D03F3E">
        <w:rPr>
          <w:rFonts w:ascii="Times New Roman" w:hAnsi="Times New Roman"/>
          <w:color w:val="000000" w:themeColor="text1"/>
          <w:sz w:val="16"/>
          <w:szCs w:val="16"/>
        </w:rPr>
        <w:softHyphen/>
        <w:t>дом, заказали его истребительный ва</w:t>
      </w:r>
      <w:r w:rsidRPr="00D03F3E">
        <w:rPr>
          <w:rFonts w:ascii="Times New Roman" w:hAnsi="Times New Roman"/>
          <w:color w:val="000000" w:themeColor="text1"/>
          <w:sz w:val="16"/>
          <w:szCs w:val="16"/>
        </w:rPr>
        <w:softHyphen/>
        <w:t>риант (11476).</w:t>
      </w:r>
    </w:p>
    <w:p w14:paraId="7A7362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98E25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на многих боевых само</w:t>
      </w:r>
      <w:r w:rsidRPr="00D03F3E">
        <w:rPr>
          <w:rFonts w:ascii="Times New Roman" w:hAnsi="Times New Roman"/>
          <w:color w:val="000000" w:themeColor="text1"/>
          <w:sz w:val="16"/>
          <w:szCs w:val="16"/>
        </w:rPr>
        <w:softHyphen/>
        <w:t>летах обнаружился дефект производ</w:t>
      </w:r>
      <w:r w:rsidRPr="00D03F3E">
        <w:rPr>
          <w:rFonts w:ascii="Times New Roman" w:hAnsi="Times New Roman"/>
          <w:color w:val="000000" w:themeColor="text1"/>
          <w:sz w:val="16"/>
          <w:szCs w:val="16"/>
        </w:rPr>
        <w:softHyphen/>
        <w:t>ственной отделки: происходило отклеивание миткалевого покрытия, рассло</w:t>
      </w:r>
      <w:r w:rsidRPr="00D03F3E">
        <w:rPr>
          <w:rFonts w:ascii="Times New Roman" w:hAnsi="Times New Roman"/>
          <w:color w:val="000000" w:themeColor="text1"/>
          <w:sz w:val="16"/>
          <w:szCs w:val="16"/>
        </w:rPr>
        <w:softHyphen/>
        <w:t>ение и деформация фанерной обшив</w:t>
      </w:r>
      <w:r w:rsidRPr="00D03F3E">
        <w:rPr>
          <w:rFonts w:ascii="Times New Roman" w:hAnsi="Times New Roman"/>
          <w:color w:val="000000" w:themeColor="text1"/>
          <w:sz w:val="16"/>
          <w:szCs w:val="16"/>
        </w:rPr>
        <w:softHyphen/>
        <w:t>ки, растрескивание лакокра</w:t>
      </w:r>
      <w:r w:rsidRPr="00D03F3E">
        <w:rPr>
          <w:rFonts w:ascii="Times New Roman" w:hAnsi="Times New Roman"/>
          <w:color w:val="000000" w:themeColor="text1"/>
          <w:sz w:val="16"/>
          <w:szCs w:val="16"/>
        </w:rPr>
        <w:softHyphen/>
        <w:t>сочного покрытия и т.д. От</w:t>
      </w:r>
      <w:r w:rsidRPr="00D03F3E">
        <w:rPr>
          <w:rFonts w:ascii="Times New Roman" w:hAnsi="Times New Roman"/>
          <w:color w:val="000000" w:themeColor="text1"/>
          <w:sz w:val="16"/>
          <w:szCs w:val="16"/>
        </w:rPr>
        <w:softHyphen/>
        <w:t>мечались многочисленные случаи, когда в полете с кры</w:t>
      </w:r>
      <w:r w:rsidRPr="00D03F3E">
        <w:rPr>
          <w:rFonts w:ascii="Times New Roman" w:hAnsi="Times New Roman"/>
          <w:color w:val="000000" w:themeColor="text1"/>
          <w:sz w:val="16"/>
          <w:szCs w:val="16"/>
        </w:rPr>
        <w:softHyphen/>
        <w:t>льев срывало фанерную об</w:t>
      </w:r>
      <w:r w:rsidRPr="00D03F3E">
        <w:rPr>
          <w:rFonts w:ascii="Times New Roman" w:hAnsi="Times New Roman"/>
          <w:color w:val="000000" w:themeColor="text1"/>
          <w:sz w:val="16"/>
          <w:szCs w:val="16"/>
        </w:rPr>
        <w:softHyphen/>
        <w:t>шивку.</w:t>
      </w:r>
    </w:p>
    <w:p w14:paraId="7F2EF34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Судя по документам, глав</w:t>
      </w:r>
      <w:r w:rsidRPr="00D03F3E">
        <w:rPr>
          <w:rFonts w:ascii="Times New Roman" w:hAnsi="Times New Roman"/>
          <w:color w:val="000000" w:themeColor="text1"/>
          <w:sz w:val="16"/>
          <w:szCs w:val="16"/>
        </w:rPr>
        <w:softHyphen/>
        <w:t>ным «бракоделом» был мос</w:t>
      </w:r>
      <w:r w:rsidRPr="00D03F3E">
        <w:rPr>
          <w:rFonts w:ascii="Times New Roman" w:hAnsi="Times New Roman"/>
          <w:color w:val="000000" w:themeColor="text1"/>
          <w:sz w:val="16"/>
          <w:szCs w:val="16"/>
        </w:rPr>
        <w:softHyphen/>
        <w:t>ковский авиазавод № 30. На</w:t>
      </w:r>
      <w:r w:rsidRPr="00D03F3E">
        <w:rPr>
          <w:rFonts w:ascii="Times New Roman" w:hAnsi="Times New Roman"/>
          <w:color w:val="000000" w:themeColor="text1"/>
          <w:sz w:val="16"/>
          <w:szCs w:val="16"/>
        </w:rPr>
        <w:softHyphen/>
        <w:t>пример, когда части 232-й шад получили от 30-го авиа</w:t>
      </w:r>
      <w:r w:rsidRPr="00D03F3E">
        <w:rPr>
          <w:rFonts w:ascii="Times New Roman" w:hAnsi="Times New Roman"/>
          <w:color w:val="000000" w:themeColor="text1"/>
          <w:sz w:val="16"/>
          <w:szCs w:val="16"/>
        </w:rPr>
        <w:softHyphen/>
        <w:t>завода новые самолеты Ил-2, то оказалось, что на 99 «Илах» пулеметы УБТ при проверке на земле давали сплошные отказы в стрельбе. Чуть позже проявился дефект обшив</w:t>
      </w:r>
      <w:r w:rsidRPr="00D03F3E">
        <w:rPr>
          <w:rFonts w:ascii="Times New Roman" w:hAnsi="Times New Roman"/>
          <w:color w:val="000000" w:themeColor="text1"/>
          <w:sz w:val="16"/>
          <w:szCs w:val="16"/>
        </w:rPr>
        <w:softHyphen/>
        <w:t>ки. Неисправными оказались почти все Ил-2: в 704-м шап - 34 самолета, в 801-м шап - 32, в 230-м шап - 34 ма</w:t>
      </w:r>
      <w:r w:rsidRPr="00D03F3E">
        <w:rPr>
          <w:rFonts w:ascii="Times New Roman" w:hAnsi="Times New Roman"/>
          <w:color w:val="000000" w:themeColor="text1"/>
          <w:sz w:val="16"/>
          <w:szCs w:val="16"/>
        </w:rPr>
        <w:softHyphen/>
        <w:t>шины (11215).</w:t>
      </w:r>
    </w:p>
    <w:p w14:paraId="47389B7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B079E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на многих боевых самолетах обнаружился дефект производственной отделки: происходило отклеивание митка</w:t>
      </w:r>
      <w:r w:rsidRPr="00D03F3E">
        <w:rPr>
          <w:rFonts w:ascii="Times New Roman" w:hAnsi="Times New Roman"/>
          <w:color w:val="000000" w:themeColor="text1"/>
          <w:sz w:val="16"/>
          <w:szCs w:val="16"/>
        </w:rPr>
        <w:softHyphen/>
        <w:t>левого покрытия, расслоение и деформация фанерной обшив</w:t>
      </w:r>
      <w:r w:rsidRPr="00D03F3E">
        <w:rPr>
          <w:rFonts w:ascii="Times New Roman" w:hAnsi="Times New Roman"/>
          <w:color w:val="000000" w:themeColor="text1"/>
          <w:sz w:val="16"/>
          <w:szCs w:val="16"/>
        </w:rPr>
        <w:softHyphen/>
        <w:t>ки, растрескивание лакокрасочного покрытия и т.д. Отмеча</w:t>
      </w:r>
      <w:r w:rsidRPr="00D03F3E">
        <w:rPr>
          <w:rFonts w:ascii="Times New Roman" w:hAnsi="Times New Roman"/>
          <w:color w:val="000000" w:themeColor="text1"/>
          <w:sz w:val="16"/>
          <w:szCs w:val="16"/>
        </w:rPr>
        <w:softHyphen/>
        <w:t>лись многочисленные случаи, когда в полете с крыльев срыва</w:t>
      </w:r>
      <w:r w:rsidRPr="00D03F3E">
        <w:rPr>
          <w:rFonts w:ascii="Times New Roman" w:hAnsi="Times New Roman"/>
          <w:color w:val="000000" w:themeColor="text1"/>
          <w:sz w:val="16"/>
          <w:szCs w:val="16"/>
        </w:rPr>
        <w:softHyphen/>
        <w:t>ло фанерную обшивку.</w:t>
      </w:r>
    </w:p>
    <w:p w14:paraId="4A412E5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Проведенное специально назначенной комиссией рассле</w:t>
      </w:r>
      <w:r w:rsidRPr="00D03F3E">
        <w:rPr>
          <w:rFonts w:ascii="Times New Roman" w:hAnsi="Times New Roman"/>
          <w:color w:val="000000" w:themeColor="text1"/>
          <w:sz w:val="16"/>
          <w:szCs w:val="16"/>
        </w:rPr>
        <w:softHyphen/>
        <w:t>дование показало, что основными причинами дефектов само</w:t>
      </w:r>
      <w:r w:rsidRPr="00D03F3E">
        <w:rPr>
          <w:rFonts w:ascii="Times New Roman" w:hAnsi="Times New Roman"/>
          <w:color w:val="000000" w:themeColor="text1"/>
          <w:sz w:val="16"/>
          <w:szCs w:val="16"/>
        </w:rPr>
        <w:softHyphen/>
        <w:t>летов являлись: некачественная нитрошпатлевка АШ-22, из рецептуры которой был выведен дефицитный в то время свин</w:t>
      </w:r>
      <w:r w:rsidRPr="00D03F3E">
        <w:rPr>
          <w:rFonts w:ascii="Times New Roman" w:hAnsi="Times New Roman"/>
          <w:color w:val="000000" w:themeColor="text1"/>
          <w:sz w:val="16"/>
          <w:szCs w:val="16"/>
        </w:rPr>
        <w:softHyphen/>
        <w:t>цовый крон, недостаточная площадь крепления обшивки к си</w:t>
      </w:r>
      <w:r w:rsidRPr="00D03F3E">
        <w:rPr>
          <w:rFonts w:ascii="Times New Roman" w:hAnsi="Times New Roman"/>
          <w:color w:val="000000" w:themeColor="text1"/>
          <w:sz w:val="16"/>
          <w:szCs w:val="16"/>
        </w:rPr>
        <w:softHyphen/>
        <w:t>ловому каркасу крыла и, наконец, просто производственный брак, вследствие нарушений технологического процесса обра</w:t>
      </w:r>
      <w:r w:rsidRPr="00D03F3E">
        <w:rPr>
          <w:rFonts w:ascii="Times New Roman" w:hAnsi="Times New Roman"/>
          <w:color w:val="000000" w:themeColor="text1"/>
          <w:sz w:val="16"/>
          <w:szCs w:val="16"/>
        </w:rPr>
        <w:softHyphen/>
        <w:t>ботки древесины.</w:t>
      </w:r>
    </w:p>
    <w:p w14:paraId="419BABE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Судя по документам, основной брак в это время исходил от московского завода № 30. Например, когда части 232-й шад 2-го шак Резерва ВГК получили от 30-го завода новые самоле</w:t>
      </w:r>
      <w:r w:rsidRPr="00D03F3E">
        <w:rPr>
          <w:rFonts w:ascii="Times New Roman" w:hAnsi="Times New Roman"/>
          <w:color w:val="000000" w:themeColor="text1"/>
          <w:sz w:val="16"/>
          <w:szCs w:val="16"/>
        </w:rPr>
        <w:softHyphen/>
        <w:t>ты Ил-2, то оказалось, что на 99 Ил-2 пулеметы УБТ при провер</w:t>
      </w:r>
      <w:r w:rsidRPr="00D03F3E">
        <w:rPr>
          <w:rFonts w:ascii="Times New Roman" w:hAnsi="Times New Roman"/>
          <w:color w:val="000000" w:themeColor="text1"/>
          <w:sz w:val="16"/>
          <w:szCs w:val="16"/>
        </w:rPr>
        <w:softHyphen/>
        <w:t>ке на земле давали сплошные отказы в стрельбе. Помимо этого на самолетах имелась и масса других дефектов, которые при</w:t>
      </w:r>
      <w:r w:rsidRPr="00D03F3E">
        <w:rPr>
          <w:rFonts w:ascii="Times New Roman" w:hAnsi="Times New Roman"/>
          <w:color w:val="000000" w:themeColor="text1"/>
          <w:sz w:val="16"/>
          <w:szCs w:val="16"/>
        </w:rPr>
        <w:softHyphen/>
        <w:t>шлось устранять техническому составу полков в полевых условиях, не имея специального оборудования и приспособлений. Чуть позже проявился дефект обшивки. Небоеспособными оказались почти все Ил-2: в 704-м шап — 34 самолета, в 801-м шап — 32, в 230-м шап — 34 машины.</w:t>
      </w:r>
    </w:p>
    <w:p w14:paraId="0C1D9C4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Проведенные в ЦАГИ в мае специальные исследования на прочность нескольких серийных штурмовиков показали, что на Ил-2 производства завода № 30 (зав. № 302263) уже при 50% нагрузке от расчетного значения (по нормам прочности 1937 г. это соответствует перегрузке 4,13. — </w:t>
      </w:r>
      <w:r w:rsidRPr="00D03F3E">
        <w:rPr>
          <w:rFonts w:ascii="Times New Roman" w:hAnsi="Times New Roman"/>
          <w:iCs/>
          <w:color w:val="000000" w:themeColor="text1"/>
          <w:sz w:val="16"/>
          <w:szCs w:val="16"/>
        </w:rPr>
        <w:t xml:space="preserve">Авт.) </w:t>
      </w:r>
      <w:r w:rsidRPr="00D03F3E">
        <w:rPr>
          <w:rFonts w:ascii="Times New Roman" w:hAnsi="Times New Roman"/>
          <w:color w:val="000000" w:themeColor="text1"/>
          <w:sz w:val="16"/>
          <w:szCs w:val="16"/>
        </w:rPr>
        <w:t>появилась «волна, означающая начало отрыва обшивки лонжерона кры</w:t>
      </w:r>
      <w:r w:rsidRPr="00D03F3E">
        <w:rPr>
          <w:rFonts w:ascii="Times New Roman" w:hAnsi="Times New Roman"/>
          <w:color w:val="000000" w:themeColor="text1"/>
          <w:sz w:val="16"/>
          <w:szCs w:val="16"/>
        </w:rPr>
        <w:softHyphen/>
        <w:t>ла, а в последующем и от всего силового набора крыла». При повышении нагрузки до 60% от расчетной и выше начался от</w:t>
      </w:r>
      <w:r w:rsidRPr="00D03F3E">
        <w:rPr>
          <w:rFonts w:ascii="Times New Roman" w:hAnsi="Times New Roman"/>
          <w:color w:val="000000" w:themeColor="text1"/>
          <w:sz w:val="16"/>
          <w:szCs w:val="16"/>
        </w:rPr>
        <w:softHyphen/>
        <w:t>рыв фанеры по всему размаху крыла в местах стыка с дюрале</w:t>
      </w:r>
      <w:r w:rsidRPr="00D03F3E">
        <w:rPr>
          <w:rFonts w:ascii="Times New Roman" w:hAnsi="Times New Roman"/>
          <w:color w:val="000000" w:themeColor="text1"/>
          <w:sz w:val="16"/>
          <w:szCs w:val="16"/>
        </w:rPr>
        <w:softHyphen/>
        <w:t>вой обшивкой и склейки у переднего и заднего лонжеронов. Как докладывал старший военпред ГУЗ ВВС в ЦАГИ инже</w:t>
      </w:r>
      <w:r w:rsidRPr="00D03F3E">
        <w:rPr>
          <w:rFonts w:ascii="Times New Roman" w:hAnsi="Times New Roman"/>
          <w:color w:val="000000" w:themeColor="text1"/>
          <w:sz w:val="16"/>
          <w:szCs w:val="16"/>
        </w:rPr>
        <w:softHyphen/>
        <w:t>нер-майор Вдовин, «при последовательной подгрузке самолет неприятно трещал в различных местах, что уже говорило о продолжавшемся распространении волн возрастающей мощ</w:t>
      </w:r>
      <w:r w:rsidRPr="00D03F3E">
        <w:rPr>
          <w:rFonts w:ascii="Times New Roman" w:hAnsi="Times New Roman"/>
          <w:color w:val="000000" w:themeColor="text1"/>
          <w:sz w:val="16"/>
          <w:szCs w:val="16"/>
        </w:rPr>
        <w:softHyphen/>
        <w:t>ности». Разрушение крыла наступило при достижении нагруз</w:t>
      </w:r>
      <w:r w:rsidRPr="00D03F3E">
        <w:rPr>
          <w:rFonts w:ascii="Times New Roman" w:hAnsi="Times New Roman"/>
          <w:color w:val="000000" w:themeColor="text1"/>
          <w:sz w:val="16"/>
          <w:szCs w:val="16"/>
        </w:rPr>
        <w:softHyphen/>
        <w:t>ки 90% от расчетной величины.</w:t>
      </w:r>
    </w:p>
    <w:p w14:paraId="6700F27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производства куйбышевского завода № 1 (зав. № 7005) без каких-либо замечаний выдержал нагрузку в 110% от расчетного значения.</w:t>
      </w:r>
    </w:p>
    <w:p w14:paraId="2A635C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следует из материалов ЦАГИ, перед поступлением в ин</w:t>
      </w:r>
      <w:r w:rsidRPr="00D03F3E">
        <w:rPr>
          <w:rFonts w:ascii="Times New Roman" w:hAnsi="Times New Roman"/>
          <w:color w:val="000000" w:themeColor="text1"/>
          <w:sz w:val="16"/>
          <w:szCs w:val="16"/>
        </w:rPr>
        <w:softHyphen/>
        <w:t>ститут оба штурмовика прошли испытания на прочность в ЛИИ НКАП. На самолете 30-го завода было выполнено 26 пики</w:t>
      </w:r>
      <w:r w:rsidRPr="00D03F3E">
        <w:rPr>
          <w:rFonts w:ascii="Times New Roman" w:hAnsi="Times New Roman"/>
          <w:color w:val="000000" w:themeColor="text1"/>
          <w:sz w:val="16"/>
          <w:szCs w:val="16"/>
        </w:rPr>
        <w:softHyphen/>
        <w:t>рований, а на самолете 1-го завода — 34 пикирования. Скорость на пикировании достигала 450 км/ч, а перегрузка на выходе из пикирования — порядка 5 единиц. Перед летными испытаниями путем простукивания крыла самолетов были определены места возможного непроклея обшивки с каркасом. После полетов но</w:t>
      </w:r>
      <w:r w:rsidRPr="00D03F3E">
        <w:rPr>
          <w:rFonts w:ascii="Times New Roman" w:hAnsi="Times New Roman"/>
          <w:color w:val="000000" w:themeColor="text1"/>
          <w:sz w:val="16"/>
          <w:szCs w:val="16"/>
        </w:rPr>
        <w:softHyphen/>
        <w:t>вых мест возможного непроклея не обнаружено. В процессе под</w:t>
      </w:r>
      <w:r w:rsidRPr="00D03F3E">
        <w:rPr>
          <w:rFonts w:ascii="Times New Roman" w:hAnsi="Times New Roman"/>
          <w:color w:val="000000" w:themeColor="text1"/>
          <w:sz w:val="16"/>
          <w:szCs w:val="16"/>
        </w:rPr>
        <w:softHyphen/>
        <w:t>готовки самолетов к статическим испытаниям было обнаружено, что на самолете зав. № 7005 миткаль приклеен к обшивке крыла (фанере) в основном только в местах прохождения лонжеронов и нервюр, а на самолете зав. № 302263 - отставание верхнего шпо</w:t>
      </w:r>
      <w:r w:rsidRPr="00D03F3E">
        <w:rPr>
          <w:rFonts w:ascii="Times New Roman" w:hAnsi="Times New Roman"/>
          <w:color w:val="000000" w:themeColor="text1"/>
          <w:sz w:val="16"/>
          <w:szCs w:val="16"/>
        </w:rPr>
        <w:softHyphen/>
        <w:t>на фанеры на верхней поверхности законцовки крыла между лонжеронами в зоне нервюр №№ 20—21.</w:t>
      </w:r>
    </w:p>
    <w:p w14:paraId="40E867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Интересно отметить, что статиспытания штурмовиков Ил-2 29 мая проводилось в присутствии замнаркома авиапрома П.В. Де</w:t>
      </w:r>
      <w:r w:rsidRPr="00D03F3E">
        <w:rPr>
          <w:rFonts w:ascii="Times New Roman" w:hAnsi="Times New Roman"/>
          <w:color w:val="000000" w:themeColor="text1"/>
          <w:sz w:val="16"/>
          <w:szCs w:val="16"/>
        </w:rPr>
        <w:softHyphen/>
        <w:t>ментьева и главного конструктора самолета С.В. Ильюшина.</w:t>
      </w:r>
    </w:p>
    <w:p w14:paraId="2ED906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проводимый в строевых частях ремонт обшив</w:t>
      </w:r>
      <w:r w:rsidRPr="00D03F3E">
        <w:rPr>
          <w:rFonts w:ascii="Times New Roman" w:hAnsi="Times New Roman"/>
          <w:color w:val="000000" w:themeColor="text1"/>
          <w:sz w:val="16"/>
          <w:szCs w:val="16"/>
        </w:rPr>
        <w:softHyphen/>
        <w:t>ки дефектных самолетов, положительных результатов все же не было достигнуто. Обшивка продолжала отрываться в полете как по старым местам, так и по новым. Более того, в некото</w:t>
      </w:r>
      <w:r w:rsidRPr="00D03F3E">
        <w:rPr>
          <w:rFonts w:ascii="Times New Roman" w:hAnsi="Times New Roman"/>
          <w:color w:val="000000" w:themeColor="text1"/>
          <w:sz w:val="16"/>
          <w:szCs w:val="16"/>
        </w:rPr>
        <w:softHyphen/>
        <w:t>рых полках количество случаев срыва обшивки не только не уменьшилось, а даже увеличилось. Летчики опасались выполнять на самолетах маневры с большими перегрузками. Все это вместе взятое серьезно ограничивало «возможность использо</w:t>
      </w:r>
      <w:r w:rsidRPr="00D03F3E">
        <w:rPr>
          <w:rFonts w:ascii="Times New Roman" w:hAnsi="Times New Roman"/>
          <w:color w:val="000000" w:themeColor="text1"/>
          <w:sz w:val="16"/>
          <w:szCs w:val="16"/>
        </w:rPr>
        <w:softHyphen/>
        <w:t>вания самолета Ил-2 в полной мере, согласно его ЛТД».</w:t>
      </w:r>
    </w:p>
    <w:p w14:paraId="56DC4A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Дело дошло до того, что командование авиаполков с целью предотвращения серьезных летных происшествий вынужденно снижало летчикам боевую нагрузку, поскольку летать на имеющихся в частях самолетах было просто опасно. В даль</w:t>
      </w:r>
      <w:r w:rsidRPr="00D03F3E">
        <w:rPr>
          <w:rFonts w:ascii="Times New Roman" w:hAnsi="Times New Roman"/>
          <w:color w:val="000000" w:themeColor="text1"/>
          <w:sz w:val="16"/>
          <w:szCs w:val="16"/>
        </w:rPr>
        <w:softHyphen/>
        <w:t>нейшем эта инициатива была узаконена специальным распо</w:t>
      </w:r>
      <w:r w:rsidRPr="00D03F3E">
        <w:rPr>
          <w:rFonts w:ascii="Times New Roman" w:hAnsi="Times New Roman"/>
          <w:color w:val="000000" w:themeColor="text1"/>
          <w:sz w:val="16"/>
          <w:szCs w:val="16"/>
        </w:rPr>
        <w:softHyphen/>
        <w:t>ряжением УТЭ ВВС от 22 июля 1943 г. Нормальная бомбовая нагрузка двухместных самолетов Ил-2 ограничивалась 300 кг (11474,271).</w:t>
      </w:r>
    </w:p>
    <w:p w14:paraId="5C1E1C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4547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апреле 1943 г. главный инженер 1-й воздушной армии полковник П.А. Невинный докладывал главному инженеру ВВС Красной Армии генералу А.К. Репину: "В воздушном бою 19 марта 1943 г. во 2-м бап был подбит истребителями ФВ-190 самолет Пе-2 (заводской № 8/137) с установкой ВУБ-1. Опросом установлено, что штурман отказался прыгать через нижний люк и перешел в кабину летчика. Аварийной ручкой сбросить колпак фонаря не удалось. Самолет в это время не управлялся и пикировал с углом 60-70°. Совместными усилиями летчика и штурмана удалось сбросить колпак, при этом летчика выбросило на экран ВУБ-1. Его ноги остались в </w:t>
      </w:r>
      <w:r w:rsidRPr="00D03F3E">
        <w:rPr>
          <w:rFonts w:ascii="Times New Roman" w:hAnsi="Times New Roman"/>
          <w:color w:val="000000" w:themeColor="text1"/>
          <w:sz w:val="16"/>
          <w:szCs w:val="16"/>
        </w:rPr>
        <w:lastRenderedPageBreak/>
        <w:t xml:space="preserve">кабине, а самого его прижало к экрану с такой силой, что он не мог выброситься. Тогда летчик открыл парашют, и его сдернуло с экрана. Штурман не смог выбраться из кабины и погиб... В этот же день при подобных обстоятельствах погибли летчик и штурман в 261-м бап". </w:t>
      </w:r>
    </w:p>
    <w:p w14:paraId="1ED06E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Установка ВУБ-1 Тем не менее при всех своих недостатках с аэродинамическими турель ВУБ-1 явилась существенным шагом компенсаторами в повышении обороноспособности Пе-2. на экране турели Именно этот вариант "пешки" с установкой Торопова на Западе, да частенько и в России, ошибочно именуется "Пе-2ФТ", хотя очевидно, что никакого отношения к турели ФТ он не имеет (12042).</w:t>
      </w:r>
    </w:p>
    <w:p w14:paraId="3D23F8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F1FAE1" w14:textId="77777777" w:rsidR="00A67E8A" w:rsidRPr="00D03F3E" w:rsidRDefault="00A67E8A" w:rsidP="00D03F3E">
      <w:pPr>
        <w:pStyle w:val="rteindent11"/>
        <w:shd w:val="clear" w:color="auto" w:fill="FFFFFF"/>
        <w:spacing w:before="0" w:beforeAutospacing="0" w:after="0"/>
        <w:ind w:left="0" w:firstLine="0"/>
        <w:rPr>
          <w:rStyle w:val="af0"/>
          <w:i w:val="0"/>
          <w:color w:val="000000" w:themeColor="text1"/>
          <w:sz w:val="16"/>
          <w:szCs w:val="16"/>
        </w:rPr>
      </w:pPr>
      <w:r w:rsidRPr="00D03F3E">
        <w:rPr>
          <w:rStyle w:val="af0"/>
          <w:i w:val="0"/>
          <w:color w:val="000000" w:themeColor="text1"/>
          <w:sz w:val="16"/>
          <w:szCs w:val="16"/>
        </w:rPr>
        <w:t>В апреле 1943 года на бывшей территории завода № 39 размещают новый авиационный завод № 381, прибывший из Нижнего Тагила, куда он, в свою очередь, был эвакуирован из Ленинграда. Оборудование завезли с предприятий, эвакуированных из Тагила, Харькова, Ленинграда. С этого времени завод № 381 приступил к серийному производству истребителей Ла-5 и Ла-7 конструктора С.А. Лавочкина (15223).</w:t>
      </w:r>
    </w:p>
    <w:p w14:paraId="09323FC4" w14:textId="77777777" w:rsidR="00A67E8A" w:rsidRPr="00D03F3E" w:rsidRDefault="00A67E8A" w:rsidP="00D03F3E">
      <w:pPr>
        <w:pStyle w:val="rteindent11"/>
        <w:shd w:val="clear" w:color="auto" w:fill="FFFFFF"/>
        <w:spacing w:before="0" w:beforeAutospacing="0" w:after="0"/>
        <w:ind w:left="0" w:firstLine="0"/>
        <w:rPr>
          <w:rStyle w:val="af0"/>
          <w:i w:val="0"/>
          <w:color w:val="000000" w:themeColor="text1"/>
          <w:sz w:val="16"/>
          <w:szCs w:val="16"/>
        </w:rPr>
      </w:pPr>
    </w:p>
    <w:p w14:paraId="67C4F441" w14:textId="77777777" w:rsidR="00A67E8A" w:rsidRPr="00D03F3E" w:rsidRDefault="00A67E8A"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года прошли государственные испытания Ер-2 с дизелями, при этом летчики отмечали, что Ер-2 стал более прост в пилотировании на всех режимах. В то же время оставались прежние недостатки бомбардировщика: большая взлетная дистанция и малая скороподъемность. При обсуждении результатов испытаний было предложено ввести в экипаж второго пилота, усилить оборонительное вооружение. Но главное, что устраивало представителей ВВС – это большая дальность полета бомбардировщика, которая превышала 5000 км (15223).</w:t>
      </w:r>
    </w:p>
    <w:p w14:paraId="09DB4858" w14:textId="77777777" w:rsidR="00A67E8A" w:rsidRPr="00D03F3E" w:rsidRDefault="00A67E8A" w:rsidP="00D03F3E">
      <w:pPr>
        <w:shd w:val="clear" w:color="auto" w:fill="FFFFFF"/>
        <w:spacing w:after="0" w:line="240" w:lineRule="auto"/>
        <w:jc w:val="both"/>
        <w:rPr>
          <w:rFonts w:ascii="Times New Roman" w:hAnsi="Times New Roman"/>
          <w:color w:val="000000" w:themeColor="text1"/>
          <w:sz w:val="16"/>
          <w:szCs w:val="16"/>
        </w:rPr>
      </w:pPr>
    </w:p>
    <w:p w14:paraId="3C730C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в НИИ ВВС проходил испытание Пе-2 со стартовыми ракетными ускорителями. дали сокращение длины разбега на 30% при весе 7500 кг и времени работы 4 сек. Ставили пороховые ракеты с временем работы 1 сек. и тягой 1000 кг, разработанные в НИИ-3 по ТУ ЦАГИ на базе РС. Ставили по 4 под центропланом и испытывали с разным углом установки. Включались одна за другой и сбрасывались (1783,103).</w:t>
      </w:r>
    </w:p>
    <w:p w14:paraId="24B604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C9E7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была подготовлена:</w:t>
      </w:r>
    </w:p>
    <w:p w14:paraId="5DCC37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Секретно</w:t>
      </w:r>
    </w:p>
    <w:p w14:paraId="7E8823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СОВ.СЕКРЕТНО</w:t>
      </w:r>
    </w:p>
    <w:p w14:paraId="47C211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bCs/>
          <w:color w:val="000000" w:themeColor="text1"/>
          <w:sz w:val="16"/>
          <w:szCs w:val="16"/>
        </w:rPr>
      </w:pPr>
      <w:r w:rsidRPr="00D03F3E">
        <w:rPr>
          <w:rFonts w:ascii="Times New Roman" w:hAnsi="Times New Roman"/>
          <w:color w:val="000000" w:themeColor="text1"/>
          <w:sz w:val="16"/>
          <w:szCs w:val="16"/>
        </w:rPr>
        <w:t>НАРОДНОМУ КОМИССАРУ АВИАЦИОННОЙ ПРОМЫШЛЕННОСТИ СССР тов.Ш А X У Р И Н У</w:t>
      </w:r>
    </w:p>
    <w:p w14:paraId="7B1372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bCs/>
          <w:color w:val="000000" w:themeColor="text1"/>
          <w:sz w:val="16"/>
          <w:szCs w:val="16"/>
        </w:rPr>
      </w:pPr>
      <w:r w:rsidRPr="00D03F3E">
        <w:rPr>
          <w:rFonts w:ascii="Times New Roman" w:hAnsi="Times New Roman"/>
          <w:color w:val="000000" w:themeColor="text1"/>
          <w:sz w:val="16"/>
          <w:szCs w:val="16"/>
        </w:rPr>
        <w:t>ДОКЛАДНАЯ ЗАПИСКА</w:t>
      </w:r>
    </w:p>
    <w:p w14:paraId="34257D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Пе-2 с реактивной установкой РУ-1 ОКБ завода № 16 окончен постройкой и по получении реактивного двигателя от завода 16 поступит на летные испытания.</w:t>
      </w:r>
    </w:p>
    <w:p w14:paraId="1D4E49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Новизна реактивного двигателя, его большая литровая мощность и огромная приемистость (2-3 секунды от запуска до полного газа) требуют умелой тщательной отладки и отработки на разных высотах процесса запуска, являющегося одной из ответственнейших операций. Запуск реактивного двигателя производится путем воспламенения эфиро-воздушной смеси, свойства которой изменяются с высотой. Таким образом, необходимо наивыгоднейшие условия пуска, установленные на земле, проверить непосредственно в полете, сперва путем запусков на эфиро-воздушной смеси и соответствующей регулировки агрегатов, а затем и пробными рабочими пусками.</w:t>
      </w:r>
    </w:p>
    <w:p w14:paraId="5F6239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этом большое значение для оценки качества запуска, помимо показаний контрольных приборов, имеют цвет факела, его интенсивность, характер воспламенения газов, вытекающих из сопла, что непосредственно должно наблюдаться опытным специалистом-экспериментатором.</w:t>
      </w:r>
    </w:p>
    <w:p w14:paraId="5645AC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Одновременно в полете должна находиться под наблюдением вся совокупность явлений, связанных с установкой РД, как-то: раскрутка винтов, поведение оперения, работа всей системы питания РД кислотой и керосином и т.д.</w:t>
      </w:r>
    </w:p>
    <w:p w14:paraId="49F227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надежного обеспечения предстоящих испытаний необходимо, чтобы отладка в воздухе и пробные запуски производились специалистами этого дела, во избежание тяжелых последствий и задержки всей работы в целом. Завод № 22 такими работниками не располагает, а обучение персонала ввиду новизны работ при первых испытаниях затруднено, займет значительное время и не даст уверенности в должных результатах, успех которых определяется опытом длительной практической работы.</w:t>
      </w:r>
    </w:p>
    <w:p w14:paraId="69EAF0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Поэтому, считаю совершенно необходимым включить в состав летного экипажа самолета Пе-2 с реактивной установкой специалистов ОКБ завода № 16.</w:t>
      </w:r>
    </w:p>
    <w:p w14:paraId="75154D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ЗАВОДА № 22</w:t>
      </w:r>
    </w:p>
    <w:p w14:paraId="4D3C96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/В.Окулов/</w:t>
      </w:r>
    </w:p>
    <w:p w14:paraId="2872DA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ЦГА РТ. Ф.Р-2845. Оп.З. Д.216. Л.77, 78 (11313).</w:t>
      </w:r>
    </w:p>
    <w:p w14:paraId="592882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1CC1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завод № 22 рискнул выставить самолет Пе-2 М-82 на испытания в НИИ ВВС. Полеты майора А.М.Хрипкова с аэродрома г. Кольцове подтвердили результаты заводских испытаний. Если у земли самолет с М-82 лишь ненамного (458 км/час против 451 км/час) опережал машину с М-105ПФ, выпущенную в феврале 1943 г., то уже на средних высотах преимущество значительно увеличивалось. Здесь новый вариант Пе-2 обгонял не только отечественные самолеты с двигателями водяного охлаждения, но и американский Дуглас "Бостон" III (А-20С), являвшийся в то время одним из самых скоростных серийных средних бомбардировщиков мира. Пе-2 с М-82 на высоте 6200 м развивал скорость 547 км/час, тогда как "Бостон" III - 530 км/час на 4500 м. Новая машина также изрядно превосходила "Бостон" III по скороподъемности и потолку. За боевой разворот удавалось достичь 800 м вместо прежних 450-500 м. Большая тяга моторов резко сократила разбег - с 620 м у серийного самолета с М-105РАдо 490 м (при форсировании М-82). Несколько улучшилась продольная и путевая устойчивость самолета. Новый вариант свободно летал на одном моторе. Однако недостатков отметили, пожалуй, не меньше, чем достоинств. Громоздкие капоты моторов ухудшили обзор вбок из пилотской кабины. Но не это было главным: очень низкой оказалась надежность новой мотоустановки, в эксплуатации она была сложной, капризной и иногда просто опасной. Пе-2 имел большую посадочную скорость, а более тяжелый вариант с М-82 садился на еще более высокой скорости. Новые моторы очень плохо работали на режиме малого газа и регулярно глохли, делая посадку сложной. И, наконец, имелся целый ряд эксплуатационных недостатков. Механики жаловались на то, что трудно подобраться к сливным кранам маслобаков. Новые моторы были и более "прожорливыми", поэтому дальность полета по сравнению с вариантом с М-105РА существенно уменьшилась. По итогам испытаний в НИИ ВВС самолет № 19/31 был признан недоведенным. Заводу предложили устранить выявленные дефекты и изготовить малую серию самолетов с моторами М-82. В документах того времени вариант Пе-2 с моторами М-82 предлагалось именовать Пе-4, однако это название не прижилось (3542).</w:t>
      </w:r>
    </w:p>
    <w:p w14:paraId="242A0F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9E3C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самолет Пе-2 с 2М-105ПД был закончен в производстве и передан на заводские испытания. На испытаниях было произведено 15 полетов, во время которых выявился ряд дефектов моторов. Устранить полностью эти дефекты бригада ЦИАМ не смогла. В октябре 1943 г., согласно приказа N 523с от 31 августа 1943 г., самолет был передан заводу N 482 и ЛИИ для доводки винтомоторной группы, герметической кабины (1825,208).</w:t>
      </w:r>
    </w:p>
    <w:p w14:paraId="5D73FC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9838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главный инженер 1-й воздушной армии полковник П.А.Невинный докладывал главному инженеру ВВС Красной Армии генералу А.К.Репину: "...В воздушном бою 19 марта 1943 г. во 2-м бап был подбит истребителями FW190 самолет Пе-2 (заводской № 8/137) с установкой ВУБ-1. Опросом установлено, что штурман отказался прыгать через нижний люк и перешел в кабину летчика. Аварийной ручкой сбросить колпак фонаря не удалось. Самолет в это время не управлялся и пикировал с утлом 60-70°. Совместными усилиями летчика и штурмана удалось сбросить колпак, при этом летчика выбросило на экран ВУБ-1. Его ноги остались в кабине, а самого его прижало к экрану с такой силой, что он не мог выброситься. Тогда летчик открыл парашют и его сдернуло с экрана. Штурман не смог выбраться из кабины и погиб... В этот же день при подобных обстоятельствах погибли летчик и штурман в 261-м бап". На Пе-2 до 110-й серии для покидания самолета штурман опускал обтекатель ТСС-1 в нижнее положение, а летчик сбрасывал аварийно среднюю часть фонаря, после чего оставалось лишь перевалиться через борт самолета, пролететь под стабилизатором и открыть парашют. Прыгать через нижний люк пилоты не любили - к нему было довольно трудно протиснуться на беспорядочно падающей машине, к тому же он частенько не сбрасывался аварийно. С установкой на Пе-2 подвижной турели ВУБ-1 ситуация существенно изменилась. Тем не менее, при всех своих недостатках турель ВУБ-1 явилась существенным шагом в повышении обороноспособности Пе-2. Именно этот вариант "пешки" с установкой Торопова на Западе, да частенько и в нашей литературе, ошибочно именуется "Пе-2ФТ", хотя очевидно, что никакого отношения к турели ФТ он не имеет (3542).</w:t>
      </w:r>
    </w:p>
    <w:p w14:paraId="7BBDCF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BF623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главный инженер 1-й воз</w:t>
      </w:r>
      <w:r w:rsidRPr="00D03F3E">
        <w:rPr>
          <w:rFonts w:ascii="Times New Roman" w:hAnsi="Times New Roman"/>
          <w:color w:val="000000" w:themeColor="text1"/>
          <w:sz w:val="16"/>
          <w:szCs w:val="16"/>
        </w:rPr>
        <w:softHyphen/>
        <w:t>душной армии полковник П.Невинный докла</w:t>
      </w:r>
      <w:r w:rsidRPr="00D03F3E">
        <w:rPr>
          <w:rFonts w:ascii="Times New Roman" w:hAnsi="Times New Roman"/>
          <w:color w:val="000000" w:themeColor="text1"/>
          <w:sz w:val="16"/>
          <w:szCs w:val="16"/>
        </w:rPr>
        <w:softHyphen/>
        <w:t>дывал главному инженеру ВВС КА генерал-лейтенанту ИАС А.Репину: «В воздушном бою 19 марта 1943 г во 2-м бал истребители ПЛ/-190 подбили самолёт Пе-2 (заводской №8/137) с установкой ВУБ-1. Опросом уста</w:t>
      </w:r>
      <w:r w:rsidRPr="00D03F3E">
        <w:rPr>
          <w:rFonts w:ascii="Times New Roman" w:hAnsi="Times New Roman"/>
          <w:color w:val="000000" w:themeColor="text1"/>
          <w:sz w:val="16"/>
          <w:szCs w:val="16"/>
        </w:rPr>
        <w:softHyphen/>
        <w:t>новлено, что штурман отказался прыгать через нижний люк и перешёл в кабину лётчика. Аварийной ручкой сбросить колпак фо</w:t>
      </w:r>
      <w:r w:rsidRPr="00D03F3E">
        <w:rPr>
          <w:rFonts w:ascii="Times New Roman" w:hAnsi="Times New Roman"/>
          <w:color w:val="000000" w:themeColor="text1"/>
          <w:sz w:val="16"/>
          <w:szCs w:val="16"/>
        </w:rPr>
        <w:softHyphen/>
        <w:t>наря не удалось. Самолёт в это время не уп</w:t>
      </w:r>
      <w:r w:rsidRPr="00D03F3E">
        <w:rPr>
          <w:rFonts w:ascii="Times New Roman" w:hAnsi="Times New Roman"/>
          <w:color w:val="000000" w:themeColor="text1"/>
          <w:sz w:val="16"/>
          <w:szCs w:val="16"/>
        </w:rPr>
        <w:softHyphen/>
        <w:t>равлялся и пикировал с углом 60-70". Совме</w:t>
      </w:r>
      <w:r w:rsidRPr="00D03F3E">
        <w:rPr>
          <w:rFonts w:ascii="Times New Roman" w:hAnsi="Times New Roman"/>
          <w:color w:val="000000" w:themeColor="text1"/>
          <w:sz w:val="16"/>
          <w:szCs w:val="16"/>
        </w:rPr>
        <w:softHyphen/>
        <w:t>стными усилиями лётчика и штурмана уда</w:t>
      </w:r>
      <w:r w:rsidRPr="00D03F3E">
        <w:rPr>
          <w:rFonts w:ascii="Times New Roman" w:hAnsi="Times New Roman"/>
          <w:color w:val="000000" w:themeColor="text1"/>
          <w:sz w:val="16"/>
          <w:szCs w:val="16"/>
        </w:rPr>
        <w:softHyphen/>
        <w:t>лось сбросить колпак. При этом лётчика вы</w:t>
      </w:r>
      <w:r w:rsidRPr="00D03F3E">
        <w:rPr>
          <w:rFonts w:ascii="Times New Roman" w:hAnsi="Times New Roman"/>
          <w:color w:val="000000" w:themeColor="text1"/>
          <w:sz w:val="16"/>
          <w:szCs w:val="16"/>
        </w:rPr>
        <w:softHyphen/>
        <w:t>бросило на экран ВУБ-1. Его ноги остались в кабине, а самого его прижало к экрану с такой силой, что он не мог выброситься. Тогда лётчик открыл парашют, и его сдерну</w:t>
      </w:r>
      <w:r w:rsidRPr="00D03F3E">
        <w:rPr>
          <w:rFonts w:ascii="Times New Roman" w:hAnsi="Times New Roman"/>
          <w:color w:val="000000" w:themeColor="text1"/>
          <w:sz w:val="16"/>
          <w:szCs w:val="16"/>
        </w:rPr>
        <w:softHyphen/>
        <w:t>ло с экрана. Штурман не смог выбраться из кабины и погиб. В тот же день при подобных обстоятельствах погибли лётчики и штур</w:t>
      </w:r>
      <w:r w:rsidRPr="00D03F3E">
        <w:rPr>
          <w:rFonts w:ascii="Times New Roman" w:hAnsi="Times New Roman"/>
          <w:color w:val="000000" w:themeColor="text1"/>
          <w:sz w:val="16"/>
          <w:szCs w:val="16"/>
        </w:rPr>
        <w:softHyphen/>
        <w:t>ман в 261-м бап» (11392).</w:t>
      </w:r>
    </w:p>
    <w:p w14:paraId="38282B0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8110CA" w14:textId="77777777" w:rsidR="00DE13CD" w:rsidRPr="00D03F3E" w:rsidRDefault="00DE13C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 апреля 1943 г. в дополнение к бомбардировочному прицелу штурмана ОПБ-1Р на Пе-2 стали ставить новый ПБЛ-1 для летчика — с мая он шел уже на каждую машину, а радиополукомпасами стали комплектовать не один из трех Пе-2, а каждый второй.</w:t>
      </w:r>
    </w:p>
    <w:p w14:paraId="666DD6A5" w14:textId="77777777" w:rsidR="00DE13CD" w:rsidRPr="00D03F3E" w:rsidRDefault="00DE13C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К этому времени задача дальнейшего повышения скорости Пе-2 стала второстепенной и решили сосредоточиться на улучшении живучести, прочности, надежности и эксплуатационной пригодности самолета.</w:t>
      </w:r>
    </w:p>
    <w:p w14:paraId="1ED059CD" w14:textId="77777777" w:rsidR="00DE13CD" w:rsidRPr="00D03F3E" w:rsidRDefault="00DE13C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 216-й серии скобы крепления водорадиаторов в центроплане перенесли внутрь и ввели люки для их снятия и установки без демонтажа консолей, с 232-й серии усилили коки винтов, а с серии 245 пошли новые воздушные винты ВИШ-105СВ, не страдавшие раскруткой и обеспечившие полет на одном моторе, или ВИШ-61Ф2 с увеличенной тягой.</w:t>
      </w:r>
    </w:p>
    <w:p w14:paraId="3A11C97E" w14:textId="77777777" w:rsidR="00DE13CD" w:rsidRPr="00D03F3E" w:rsidRDefault="00DE13C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 серии 262 ввели фиксацию закрытого положения створок шасси, чтобы их не отсасывало потоком на скорости.</w:t>
      </w:r>
    </w:p>
    <w:p w14:paraId="576BAD34" w14:textId="77777777" w:rsidR="00DE13CD" w:rsidRPr="00D03F3E" w:rsidRDefault="00DE13C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265-й серии внедрили упрощенное сиденье штурмана, которое быстро складывается и возвращается обратно в походное положение, а замена провода от передатчика радиостанции к приемнику на фидер втрое увеличила дальность связи.</w:t>
      </w:r>
    </w:p>
    <w:p w14:paraId="58E09A34" w14:textId="77777777" w:rsidR="00DE13CD" w:rsidRPr="00D03F3E" w:rsidRDefault="00DE13C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Внедренные с серии 270 стандартные штуцеры зарядки амортизаторов шасси позволили их заправку от любого оборудования, которое могло найтись на аэродроме (22828).</w:t>
      </w:r>
    </w:p>
    <w:p w14:paraId="3B888F76" w14:textId="77777777" w:rsidR="00DE13CD" w:rsidRPr="00D03F3E" w:rsidRDefault="00DE13CD" w:rsidP="00D03F3E">
      <w:pPr>
        <w:spacing w:after="0" w:line="240" w:lineRule="auto"/>
        <w:jc w:val="both"/>
        <w:rPr>
          <w:rFonts w:ascii="Times New Roman" w:hAnsi="Times New Roman"/>
          <w:color w:val="0070C0"/>
          <w:sz w:val="16"/>
          <w:szCs w:val="16"/>
        </w:rPr>
      </w:pPr>
    </w:p>
    <w:p w14:paraId="78F61158" w14:textId="77777777" w:rsidR="00DE13CD" w:rsidRPr="00D03F3E" w:rsidRDefault="00DE13C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апреле 1943 г. завод № 115 построил еще один опытный Як-1М, который отличался только мотором М-107, хотя и строился по отдельному заказу. Хотя 19 ноября 1943 г. Федрови развил на этом истребителе (вооружение в том полете было снято) рекордную для СССР скорость 717 км/ч, в том же месяце испытания его были прекращены — из-за постоянных перерывов на ремонты и замены мотора не удалось даже полностью снять летные характеристики (22751).</w:t>
      </w:r>
    </w:p>
    <w:p w14:paraId="130449FE" w14:textId="77777777" w:rsidR="00DE13CD" w:rsidRPr="00D03F3E" w:rsidRDefault="00DE13CD" w:rsidP="00D03F3E">
      <w:pPr>
        <w:spacing w:after="0" w:line="240" w:lineRule="auto"/>
        <w:jc w:val="both"/>
        <w:rPr>
          <w:rFonts w:ascii="Times New Roman" w:hAnsi="Times New Roman"/>
          <w:color w:val="0070C0"/>
          <w:sz w:val="16"/>
          <w:szCs w:val="16"/>
        </w:rPr>
      </w:pPr>
    </w:p>
    <w:p w14:paraId="780885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апреля 1943 г. в производстве находились Ла-5ФН. На них монтировали двигатели М-82ФН с непосредственным впрыском топлива, развивавшие 1850 л.с. Серийные машины этой модификации имели максимальную скорость около 610 км/ч. Однако в планёре Ла-5ФН металл по-прежнему использовали минимально. Переход с деревянной конструкции на металлическую позволил бы существенно облегчить машину и при том же двигателе улучшить её лётные данные. Но алюминия и легированных сталей в стране не хватало. Как только представилась возможность, Лавочкин стал внедрять в конструкцию металлические элементы. Начали с лонжеронов крыла (11986).</w:t>
      </w:r>
    </w:p>
    <w:p w14:paraId="79FE77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48AC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года в НИИ ВВС поступил "Дублер" истребителя Ла-5ФН (тип "39" с эмблемой на капоте в виде ромба, внутри которого нанесено "ФН") с металлическими лонжеронами крыла. Однако, в серию он сначала пошел со старыми лонжеронами из дельта-древесины, впоследствии замененными на металлические. Спустя месяц на государственные испытания поступил новенький, еще пахнущий краской серийный Ла-5ФН № 39210104. Завод № 21 был еще не готов к внедрению всех новшеств, и на боевых машинах, предназначавшихся для фронта, продолжали использовать деревянные лонжероны и неубирающиеся костыльные колеса. Но был и некоторый прогресс. Так, увеличилась площадь руля высоты, и уменьшился суммарный сектор его отклонения с 55 градусов до 40 градусов. Если раньше элероны отклонялись симметрично вверх и вниз (общий угол 35 градусов), то теперь угол их отклонения вверх увеличили, а вниз уменьшили, что положительно сказалось на их эффективности. Пневматическое управление огнем из пушек заменили пневмоэлектрическим, сняли с мотора передние жалюзи и внесли ряд других более мелких, но не менее важных изменений.</w:t>
      </w:r>
    </w:p>
    <w:p w14:paraId="291C0C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Ведущими по испытаниям "Дублера" были инженер А.С. Розанов и летчик А.Г. Кубышкин. И хотя он потяжелел, Па-5ФН перед его летные характеристики за счет более отправкой на фронт мощного мотора улучшились по сравнению с Ла-5Ф. Максимальная скорость на второй границе высотности (5800 м) достигла 610 км/ч, а время набора высоты 5000 м сократилось почти на минуту. По оценке летчиков А.Г Кубышкина и В.Е. Голофастова техника пилотирования истребителя не отличалась от пилотирования серийного Ла-5. Управление рулем высоты было легкое, а нагрузки от элеронов - нормальные. Несмотря на то, что в кабине по-прежнему было жарко, НИИ ВВС дал машине положительную оценку.</w:t>
      </w:r>
    </w:p>
    <w:p w14:paraId="3409F4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Воздушные бои, пока еще в испытательной зоне Подмосковья, между Ла-5ФН и одним из лучших немецких истребителей Bf 109G-2 с тремя точками стрелкового вооружения, проведенные летчиками-испытателями НИИ ВВС в 1943 году, показали, что машина Лавочкина до высоты 5000 м имела перед "Мессершмиттом" преимущества в вертикальном маневре. В боях на горизонталях Ла-5ФН через 4-5 виражей заходил в хвост противнику. </w:t>
      </w:r>
    </w:p>
    <w:p w14:paraId="7D0139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улучшение летных данных, одним из главных недостатков машины считался чрезмерный полетный вес. По этому поводу директор завода № 21 С.И. Агаджанов докладывал заместителю наркома авиационной промышленности П.В. Дементьеву:</w:t>
      </w:r>
    </w:p>
    <w:p w14:paraId="3311A6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"Направляю Вам копию расчета весов Ла-5, утвержденных Лавочкиным, из которого видно, что вес самолета определен 3295 кг, тогда как решением ГКО этот вес установлен 3250 кг.</w:t>
      </w:r>
    </w:p>
    <w:p w14:paraId="473848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осложняется тем (...), что завод № 19 поставляет моторы весом 929 кг вместо 900 кг.</w:t>
      </w:r>
    </w:p>
    <w:p w14:paraId="554834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вынести на решение ГКО вопрос об установлении веса Ла-5 М-82ФН с деревянными лонжеронами крыла и центроплана в 3295 кг..." (12032).</w:t>
      </w:r>
    </w:p>
    <w:p w14:paraId="4E1288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1E02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проходили заводские испытания Ли-2 № 1846310 с усовершенствованным вариантом гусеничного шасси. Комиссия во главе с Мосоловым. Летал л Дарский. Удачно и рекомендовали передать на гос. испытания (3404, 15).</w:t>
      </w:r>
    </w:p>
    <w:p w14:paraId="725CDD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9D64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в НИИ ВВС испытывался Bf 109G-2 N 14513, захваченный 15 марта 1943 (2466,115).</w:t>
      </w:r>
    </w:p>
    <w:p w14:paraId="0422B7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E9D7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завод 163 (в Иркутске, а вернее - в Пензе) предложил возобновить производство И-16 с деревянными крыльями и оперением, используя оснастку 153 завода. Не пошло. Всего выпустили 10292 И-16, в т.ч.: (1808,33)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939"/>
        <w:gridCol w:w="939"/>
        <w:gridCol w:w="939"/>
        <w:gridCol w:w="939"/>
        <w:gridCol w:w="939"/>
        <w:gridCol w:w="939"/>
        <w:gridCol w:w="939"/>
        <w:gridCol w:w="939"/>
        <w:gridCol w:w="939"/>
      </w:tblGrid>
      <w:tr w:rsidR="00860B4B" w:rsidRPr="00D03F3E" w14:paraId="3CFF7DDE" w14:textId="77777777">
        <w:tc>
          <w:tcPr>
            <w:tcW w:w="939" w:type="dxa"/>
          </w:tcPr>
          <w:p w14:paraId="1FFA33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99C3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1934</w:t>
            </w:r>
          </w:p>
        </w:tc>
        <w:tc>
          <w:tcPr>
            <w:tcW w:w="939" w:type="dxa"/>
          </w:tcPr>
          <w:p w14:paraId="11F986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1935</w:t>
            </w:r>
          </w:p>
        </w:tc>
        <w:tc>
          <w:tcPr>
            <w:tcW w:w="939" w:type="dxa"/>
          </w:tcPr>
          <w:p w14:paraId="2C9CA1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1936</w:t>
            </w:r>
          </w:p>
        </w:tc>
        <w:tc>
          <w:tcPr>
            <w:tcW w:w="939" w:type="dxa"/>
          </w:tcPr>
          <w:p w14:paraId="0FFD8C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1937</w:t>
            </w:r>
          </w:p>
        </w:tc>
        <w:tc>
          <w:tcPr>
            <w:tcW w:w="939" w:type="dxa"/>
          </w:tcPr>
          <w:p w14:paraId="0D0768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1938</w:t>
            </w:r>
          </w:p>
        </w:tc>
        <w:tc>
          <w:tcPr>
            <w:tcW w:w="939" w:type="dxa"/>
          </w:tcPr>
          <w:p w14:paraId="70365E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1939</w:t>
            </w:r>
          </w:p>
        </w:tc>
        <w:tc>
          <w:tcPr>
            <w:tcW w:w="939" w:type="dxa"/>
          </w:tcPr>
          <w:p w14:paraId="70C3D3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1940</w:t>
            </w:r>
          </w:p>
        </w:tc>
        <w:tc>
          <w:tcPr>
            <w:tcW w:w="939" w:type="dxa"/>
          </w:tcPr>
          <w:p w14:paraId="23844C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1941</w:t>
            </w:r>
          </w:p>
        </w:tc>
        <w:tc>
          <w:tcPr>
            <w:tcW w:w="939" w:type="dxa"/>
          </w:tcPr>
          <w:p w14:paraId="257B70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1942</w:t>
            </w:r>
          </w:p>
        </w:tc>
        <w:tc>
          <w:tcPr>
            <w:tcW w:w="939" w:type="dxa"/>
          </w:tcPr>
          <w:p w14:paraId="0B9061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tc>
      </w:tr>
      <w:tr w:rsidR="00860B4B" w:rsidRPr="00D03F3E" w14:paraId="2ADF7802" w14:textId="77777777">
        <w:tc>
          <w:tcPr>
            <w:tcW w:w="939" w:type="dxa"/>
          </w:tcPr>
          <w:p w14:paraId="308C6F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w:t>
            </w:r>
          </w:p>
        </w:tc>
        <w:tc>
          <w:tcPr>
            <w:tcW w:w="939" w:type="dxa"/>
          </w:tcPr>
          <w:p w14:paraId="16A1A1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tc>
        <w:tc>
          <w:tcPr>
            <w:tcW w:w="939" w:type="dxa"/>
          </w:tcPr>
          <w:p w14:paraId="51B743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939" w:type="dxa"/>
          </w:tcPr>
          <w:p w14:paraId="7EB498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939" w:type="dxa"/>
          </w:tcPr>
          <w:p w14:paraId="7145D80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7DD0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B762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4143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B682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B639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C252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w:t>
            </w:r>
          </w:p>
        </w:tc>
      </w:tr>
      <w:tr w:rsidR="00860B4B" w:rsidRPr="00D03F3E" w14:paraId="43D71CDE" w14:textId="77777777">
        <w:tc>
          <w:tcPr>
            <w:tcW w:w="939" w:type="dxa"/>
          </w:tcPr>
          <w:p w14:paraId="5A0BA8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tc>
        <w:tc>
          <w:tcPr>
            <w:tcW w:w="939" w:type="dxa"/>
          </w:tcPr>
          <w:p w14:paraId="0C5058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5607C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527</w:t>
            </w:r>
          </w:p>
        </w:tc>
        <w:tc>
          <w:tcPr>
            <w:tcW w:w="939" w:type="dxa"/>
          </w:tcPr>
          <w:p w14:paraId="5C7471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902</w:t>
            </w:r>
          </w:p>
        </w:tc>
        <w:tc>
          <w:tcPr>
            <w:tcW w:w="939" w:type="dxa"/>
          </w:tcPr>
          <w:p w14:paraId="7A20BA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1881</w:t>
            </w:r>
          </w:p>
        </w:tc>
        <w:tc>
          <w:tcPr>
            <w:tcW w:w="939" w:type="dxa"/>
          </w:tcPr>
          <w:p w14:paraId="54B155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1070</w:t>
            </w:r>
          </w:p>
        </w:tc>
        <w:tc>
          <w:tcPr>
            <w:tcW w:w="939" w:type="dxa"/>
          </w:tcPr>
          <w:p w14:paraId="321B53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1571</w:t>
            </w:r>
          </w:p>
        </w:tc>
        <w:tc>
          <w:tcPr>
            <w:tcW w:w="939" w:type="dxa"/>
          </w:tcPr>
          <w:p w14:paraId="5D5FAC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2207</w:t>
            </w:r>
          </w:p>
        </w:tc>
        <w:tc>
          <w:tcPr>
            <w:tcW w:w="939" w:type="dxa"/>
          </w:tcPr>
          <w:p w14:paraId="3A76B5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336</w:t>
            </w:r>
          </w:p>
        </w:tc>
        <w:tc>
          <w:tcPr>
            <w:tcW w:w="939" w:type="dxa"/>
          </w:tcPr>
          <w:p w14:paraId="7723CA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0AE3E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8494</w:t>
            </w:r>
          </w:p>
        </w:tc>
      </w:tr>
      <w:tr w:rsidR="00860B4B" w:rsidRPr="00D03F3E" w14:paraId="5DEC2BC0" w14:textId="77777777">
        <w:tc>
          <w:tcPr>
            <w:tcW w:w="939" w:type="dxa"/>
          </w:tcPr>
          <w:p w14:paraId="2E7B50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153</w:t>
            </w:r>
          </w:p>
        </w:tc>
        <w:tc>
          <w:tcPr>
            <w:tcW w:w="939" w:type="dxa"/>
          </w:tcPr>
          <w:p w14:paraId="4BD404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B7A6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8C58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3A3D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939" w:type="dxa"/>
          </w:tcPr>
          <w:p w14:paraId="475167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105</w:t>
            </w:r>
          </w:p>
        </w:tc>
        <w:tc>
          <w:tcPr>
            <w:tcW w:w="939" w:type="dxa"/>
          </w:tcPr>
          <w:p w14:paraId="190E2B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264</w:t>
            </w:r>
          </w:p>
        </w:tc>
        <w:tc>
          <w:tcPr>
            <w:tcW w:w="939" w:type="dxa"/>
          </w:tcPr>
          <w:p w14:paraId="4F9EED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503</w:t>
            </w:r>
          </w:p>
        </w:tc>
        <w:tc>
          <w:tcPr>
            <w:tcW w:w="939" w:type="dxa"/>
          </w:tcPr>
          <w:p w14:paraId="1F0196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423</w:t>
            </w:r>
          </w:p>
        </w:tc>
        <w:tc>
          <w:tcPr>
            <w:tcW w:w="939" w:type="dxa"/>
          </w:tcPr>
          <w:p w14:paraId="1AEE37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C75A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1301</w:t>
            </w:r>
          </w:p>
        </w:tc>
      </w:tr>
      <w:tr w:rsidR="00860B4B" w:rsidRPr="00D03F3E" w14:paraId="6ED4690C" w14:textId="77777777">
        <w:tc>
          <w:tcPr>
            <w:tcW w:w="939" w:type="dxa"/>
          </w:tcPr>
          <w:p w14:paraId="485742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458</w:t>
            </w:r>
          </w:p>
        </w:tc>
        <w:tc>
          <w:tcPr>
            <w:tcW w:w="939" w:type="dxa"/>
          </w:tcPr>
          <w:p w14:paraId="569012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209D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3F26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A4B3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82F34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BB86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15F8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E691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356</w:t>
            </w:r>
          </w:p>
        </w:tc>
        <w:tc>
          <w:tcPr>
            <w:tcW w:w="939" w:type="dxa"/>
          </w:tcPr>
          <w:p w14:paraId="6C5F59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83</w:t>
            </w:r>
          </w:p>
        </w:tc>
        <w:tc>
          <w:tcPr>
            <w:tcW w:w="939" w:type="dxa"/>
          </w:tcPr>
          <w:p w14:paraId="210243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439 (1808,33)</w:t>
            </w:r>
          </w:p>
        </w:tc>
      </w:tr>
      <w:tr w:rsidR="00860B4B" w:rsidRPr="00D03F3E" w14:paraId="2B840D1A" w14:textId="77777777">
        <w:tc>
          <w:tcPr>
            <w:tcW w:w="939" w:type="dxa"/>
          </w:tcPr>
          <w:p w14:paraId="65CEEB3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5</w:t>
            </w:r>
          </w:p>
        </w:tc>
        <w:tc>
          <w:tcPr>
            <w:tcW w:w="939" w:type="dxa"/>
          </w:tcPr>
          <w:p w14:paraId="4E219E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BC1D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D6A5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A993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87AE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274</w:t>
            </w:r>
          </w:p>
        </w:tc>
        <w:tc>
          <w:tcPr>
            <w:tcW w:w="939" w:type="dxa"/>
          </w:tcPr>
          <w:p w14:paraId="224CC1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w:t>
            </w:r>
          </w:p>
        </w:tc>
        <w:tc>
          <w:tcPr>
            <w:tcW w:w="939" w:type="dxa"/>
          </w:tcPr>
          <w:p w14:paraId="75B6D4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FA14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ECF2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12BA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327</w:t>
            </w:r>
          </w:p>
        </w:tc>
      </w:tr>
      <w:tr w:rsidR="00860B4B" w:rsidRPr="00D03F3E" w14:paraId="5965876C" w14:textId="77777777">
        <w:tc>
          <w:tcPr>
            <w:tcW w:w="939" w:type="dxa"/>
          </w:tcPr>
          <w:p w14:paraId="03F762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10</w:t>
            </w:r>
          </w:p>
        </w:tc>
        <w:tc>
          <w:tcPr>
            <w:tcW w:w="939" w:type="dxa"/>
          </w:tcPr>
          <w:p w14:paraId="448420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CFB1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CED1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E4C62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5F59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508</w:t>
            </w:r>
          </w:p>
        </w:tc>
        <w:tc>
          <w:tcPr>
            <w:tcW w:w="939" w:type="dxa"/>
          </w:tcPr>
          <w:p w14:paraId="6BE62A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426</w:t>
            </w:r>
          </w:p>
        </w:tc>
        <w:tc>
          <w:tcPr>
            <w:tcW w:w="939" w:type="dxa"/>
          </w:tcPr>
          <w:p w14:paraId="77EAA7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38FF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B440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2D56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934</w:t>
            </w:r>
          </w:p>
        </w:tc>
      </w:tr>
      <w:tr w:rsidR="00860B4B" w:rsidRPr="00D03F3E" w14:paraId="4618FFEB" w14:textId="77777777">
        <w:tc>
          <w:tcPr>
            <w:tcW w:w="939" w:type="dxa"/>
          </w:tcPr>
          <w:p w14:paraId="270910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12</w:t>
            </w:r>
          </w:p>
        </w:tc>
        <w:tc>
          <w:tcPr>
            <w:tcW w:w="939" w:type="dxa"/>
          </w:tcPr>
          <w:p w14:paraId="21C155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0ED3E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7E7D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A66F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0C2A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tc>
        <w:tc>
          <w:tcPr>
            <w:tcW w:w="939" w:type="dxa"/>
          </w:tcPr>
          <w:p w14:paraId="68C226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413C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0C9A4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BFAD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77D4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tc>
      </w:tr>
      <w:tr w:rsidR="00860B4B" w:rsidRPr="00D03F3E" w14:paraId="7FCC4BF0" w14:textId="77777777">
        <w:tc>
          <w:tcPr>
            <w:tcW w:w="939" w:type="dxa"/>
          </w:tcPr>
          <w:p w14:paraId="481EA1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15 (УТИ-4)</w:t>
            </w:r>
          </w:p>
        </w:tc>
        <w:tc>
          <w:tcPr>
            <w:tcW w:w="939" w:type="dxa"/>
          </w:tcPr>
          <w:p w14:paraId="5A2E4D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55BE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718E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775C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29E5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352</w:t>
            </w:r>
          </w:p>
        </w:tc>
        <w:tc>
          <w:tcPr>
            <w:tcW w:w="939" w:type="dxa"/>
          </w:tcPr>
          <w:p w14:paraId="10471B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635</w:t>
            </w:r>
          </w:p>
        </w:tc>
        <w:tc>
          <w:tcPr>
            <w:tcW w:w="939" w:type="dxa"/>
          </w:tcPr>
          <w:p w14:paraId="12F1C7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1103</w:t>
            </w:r>
          </w:p>
        </w:tc>
        <w:tc>
          <w:tcPr>
            <w:tcW w:w="939" w:type="dxa"/>
          </w:tcPr>
          <w:p w14:paraId="608BF2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1016</w:t>
            </w:r>
          </w:p>
        </w:tc>
        <w:tc>
          <w:tcPr>
            <w:tcW w:w="939" w:type="dxa"/>
          </w:tcPr>
          <w:p w14:paraId="73DC19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83</w:t>
            </w:r>
          </w:p>
        </w:tc>
        <w:tc>
          <w:tcPr>
            <w:tcW w:w="939" w:type="dxa"/>
          </w:tcPr>
          <w:p w14:paraId="5DCF96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3189</w:t>
            </w:r>
          </w:p>
        </w:tc>
      </w:tr>
      <w:tr w:rsidR="00860B4B" w:rsidRPr="00D03F3E" w14:paraId="5B3DAE52" w14:textId="77777777">
        <w:tc>
          <w:tcPr>
            <w:tcW w:w="939" w:type="dxa"/>
          </w:tcPr>
          <w:p w14:paraId="5B8A27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17</w:t>
            </w:r>
          </w:p>
        </w:tc>
        <w:tc>
          <w:tcPr>
            <w:tcW w:w="939" w:type="dxa"/>
          </w:tcPr>
          <w:p w14:paraId="5E2AA5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0D00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CEC8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E334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62FD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w:t>
            </w:r>
          </w:p>
        </w:tc>
        <w:tc>
          <w:tcPr>
            <w:tcW w:w="939" w:type="dxa"/>
          </w:tcPr>
          <w:p w14:paraId="209F40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314</w:t>
            </w:r>
          </w:p>
        </w:tc>
        <w:tc>
          <w:tcPr>
            <w:tcW w:w="939" w:type="dxa"/>
          </w:tcPr>
          <w:p w14:paraId="1867A1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BB33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C3BB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EEA5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341</w:t>
            </w:r>
          </w:p>
        </w:tc>
      </w:tr>
      <w:tr w:rsidR="00860B4B" w:rsidRPr="00D03F3E" w14:paraId="68CA6ED6" w14:textId="77777777">
        <w:tc>
          <w:tcPr>
            <w:tcW w:w="939" w:type="dxa"/>
          </w:tcPr>
          <w:p w14:paraId="685563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18</w:t>
            </w:r>
          </w:p>
        </w:tc>
        <w:tc>
          <w:tcPr>
            <w:tcW w:w="939" w:type="dxa"/>
          </w:tcPr>
          <w:p w14:paraId="2EC956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1151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C6C8D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7D1A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5E3C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3256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177</w:t>
            </w:r>
          </w:p>
        </w:tc>
        <w:tc>
          <w:tcPr>
            <w:tcW w:w="939" w:type="dxa"/>
          </w:tcPr>
          <w:p w14:paraId="192C50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07D2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1E639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DEC8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177</w:t>
            </w:r>
          </w:p>
        </w:tc>
      </w:tr>
      <w:tr w:rsidR="00860B4B" w:rsidRPr="00D03F3E" w14:paraId="729A01AA" w14:textId="77777777">
        <w:tc>
          <w:tcPr>
            <w:tcW w:w="939" w:type="dxa"/>
          </w:tcPr>
          <w:p w14:paraId="390AE6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24</w:t>
            </w:r>
          </w:p>
        </w:tc>
        <w:tc>
          <w:tcPr>
            <w:tcW w:w="939" w:type="dxa"/>
          </w:tcPr>
          <w:p w14:paraId="72295B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967D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51D7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CEC6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9C50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BE79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w:t>
            </w:r>
          </w:p>
        </w:tc>
        <w:tc>
          <w:tcPr>
            <w:tcW w:w="939" w:type="dxa"/>
          </w:tcPr>
          <w:p w14:paraId="293F086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760</w:t>
            </w:r>
          </w:p>
        </w:tc>
        <w:tc>
          <w:tcPr>
            <w:tcW w:w="939" w:type="dxa"/>
          </w:tcPr>
          <w:p w14:paraId="723179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tc>
        <w:tc>
          <w:tcPr>
            <w:tcW w:w="939" w:type="dxa"/>
          </w:tcPr>
          <w:p w14:paraId="6F1E9F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CAC9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934</w:t>
            </w:r>
          </w:p>
        </w:tc>
      </w:tr>
      <w:tr w:rsidR="00860B4B" w:rsidRPr="00D03F3E" w14:paraId="7867C7AC" w14:textId="77777777">
        <w:tc>
          <w:tcPr>
            <w:tcW w:w="939" w:type="dxa"/>
          </w:tcPr>
          <w:p w14:paraId="193EBD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27</w:t>
            </w:r>
          </w:p>
        </w:tc>
        <w:tc>
          <w:tcPr>
            <w:tcW w:w="939" w:type="dxa"/>
          </w:tcPr>
          <w:p w14:paraId="16F539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A3A5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8FF9D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3887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0A42E6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9477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w:t>
            </w:r>
          </w:p>
        </w:tc>
        <w:tc>
          <w:tcPr>
            <w:tcW w:w="939" w:type="dxa"/>
          </w:tcPr>
          <w:p w14:paraId="2BB5E3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D6C5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73C8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D701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w:t>
            </w:r>
          </w:p>
        </w:tc>
      </w:tr>
      <w:tr w:rsidR="00860B4B" w:rsidRPr="00D03F3E" w14:paraId="5161799C" w14:textId="77777777">
        <w:tc>
          <w:tcPr>
            <w:tcW w:w="939" w:type="dxa"/>
          </w:tcPr>
          <w:p w14:paraId="406407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28</w:t>
            </w:r>
          </w:p>
        </w:tc>
        <w:tc>
          <w:tcPr>
            <w:tcW w:w="939" w:type="dxa"/>
          </w:tcPr>
          <w:p w14:paraId="587D90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1C74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B8FC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A9EE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2575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1973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w:t>
            </w:r>
          </w:p>
        </w:tc>
        <w:tc>
          <w:tcPr>
            <w:tcW w:w="939" w:type="dxa"/>
          </w:tcPr>
          <w:p w14:paraId="5663C6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277</w:t>
            </w:r>
          </w:p>
        </w:tc>
        <w:tc>
          <w:tcPr>
            <w:tcW w:w="939" w:type="dxa"/>
          </w:tcPr>
          <w:p w14:paraId="4CC80D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B7902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22BA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293</w:t>
            </w:r>
          </w:p>
        </w:tc>
      </w:tr>
      <w:tr w:rsidR="00860B4B" w:rsidRPr="00D03F3E" w14:paraId="1B9D27E6" w14:textId="77777777">
        <w:tc>
          <w:tcPr>
            <w:tcW w:w="939" w:type="dxa"/>
          </w:tcPr>
          <w:p w14:paraId="238336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29</w:t>
            </w:r>
          </w:p>
        </w:tc>
        <w:tc>
          <w:tcPr>
            <w:tcW w:w="939" w:type="dxa"/>
          </w:tcPr>
          <w:p w14:paraId="7BDF19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E084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85785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9F17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49050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6526B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EF3F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570</w:t>
            </w:r>
          </w:p>
        </w:tc>
        <w:tc>
          <w:tcPr>
            <w:tcW w:w="939" w:type="dxa"/>
          </w:tcPr>
          <w:p w14:paraId="2F6075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w:t>
            </w:r>
          </w:p>
        </w:tc>
        <w:tc>
          <w:tcPr>
            <w:tcW w:w="939" w:type="dxa"/>
          </w:tcPr>
          <w:p w14:paraId="228FB2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CF7A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630 (1808,33)</w:t>
            </w:r>
          </w:p>
        </w:tc>
      </w:tr>
    </w:tbl>
    <w:p w14:paraId="771070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C094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руководство завода №163 предложило возобновить производство И-16 в цельнодеревянном виде, используя при этом оснастку авиазавода №153. Однако в более высоких инстанциях идея энтузиазма не вызвала - производство истребителя И-16 безвозвратно закончилось... В 1942 г. на авиазаводе №163 в Иркутске для него разработали нельнодеревянные крылья и хвостовое оперение. Новосибирский филиал ЦАГИ провел статические испытания этих деревянных конструкций. Новое крыло, обшитое полностью 2.5 мм фанерой, при равной прочности весило 65 кг. что всего на 3 кг превышаю вес прежнего крыла. Небольшое превышение веса имелось и у деревянного оперения по сравнению с дюралевым (12015).</w:t>
      </w:r>
    </w:p>
    <w:p w14:paraId="130F42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7271AF" w14:textId="77777777" w:rsidR="00F40F30" w:rsidRPr="00D03F3E" w:rsidRDefault="00F40F3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были построены пять истребителей Як-9 с М-105ПД, отличались от серийных Як-9Д только мотором - с высотными нагнетателями воздуха системы Доллежаля и вооружением — убрали пулемёт УБС с боезапасом к нему, и ещё не</w:t>
      </w:r>
      <w:r w:rsidRPr="00D03F3E">
        <w:rPr>
          <w:rFonts w:ascii="Times New Roman" w:hAnsi="Times New Roman"/>
          <w:color w:val="000000" w:themeColor="text1"/>
          <w:sz w:val="16"/>
          <w:szCs w:val="16"/>
        </w:rPr>
        <w:softHyphen/>
        <w:t>которыми небольшими изменениями (15830).</w:t>
      </w:r>
    </w:p>
    <w:p w14:paraId="00801661" w14:textId="77777777" w:rsidR="00F40F30" w:rsidRPr="00D03F3E" w:rsidRDefault="00F40F30" w:rsidP="00D03F3E">
      <w:pPr>
        <w:spacing w:after="0" w:line="240" w:lineRule="auto"/>
        <w:jc w:val="both"/>
        <w:rPr>
          <w:rFonts w:ascii="Times New Roman" w:hAnsi="Times New Roman"/>
          <w:color w:val="000000" w:themeColor="text1"/>
          <w:sz w:val="16"/>
          <w:szCs w:val="16"/>
        </w:rPr>
      </w:pPr>
    </w:p>
    <w:p w14:paraId="4CE72582" w14:textId="77777777" w:rsidR="00C710FD" w:rsidRPr="00D03F3E" w:rsidRDefault="00C710F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апреле 1943 г. на завод № 115 поступили 8 планеров истребителей Як-9Д и 10 мо</w:t>
      </w:r>
      <w:r w:rsidRPr="00D03F3E">
        <w:rPr>
          <w:color w:val="000000" w:themeColor="text1"/>
          <w:sz w:val="16"/>
          <w:szCs w:val="16"/>
        </w:rPr>
        <w:softHyphen/>
        <w:t>торов М-107А опытной серии. В это же время была закончена постройка истребителя Як-1, доработан</w:t>
      </w:r>
      <w:r w:rsidRPr="00D03F3E">
        <w:rPr>
          <w:color w:val="000000" w:themeColor="text1"/>
          <w:sz w:val="16"/>
          <w:szCs w:val="16"/>
        </w:rPr>
        <w:softHyphen/>
        <w:t>ного под установку нового мотора.</w:t>
      </w:r>
    </w:p>
    <w:p w14:paraId="5A96D4C0" w14:textId="77777777" w:rsidR="00C710FD" w:rsidRPr="00D03F3E" w:rsidRDefault="00C710F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Отметим, что завод № 115 получил почти все изготовленные к этому времени заводом № 26 мо</w:t>
      </w:r>
      <w:r w:rsidRPr="00D03F3E">
        <w:rPr>
          <w:color w:val="000000" w:themeColor="text1"/>
          <w:sz w:val="16"/>
          <w:szCs w:val="16"/>
        </w:rPr>
        <w:softHyphen/>
        <w:t>торы М-107А, за исключением тех, что были задей</w:t>
      </w:r>
      <w:r w:rsidRPr="00D03F3E">
        <w:rPr>
          <w:color w:val="000000" w:themeColor="text1"/>
          <w:sz w:val="16"/>
          <w:szCs w:val="16"/>
        </w:rPr>
        <w:softHyphen/>
        <w:t>ствованы для изучения дефектов и проверки на</w:t>
      </w:r>
      <w:r w:rsidRPr="00D03F3E">
        <w:rPr>
          <w:color w:val="000000" w:themeColor="text1"/>
          <w:sz w:val="16"/>
          <w:szCs w:val="16"/>
        </w:rPr>
        <w:softHyphen/>
        <w:t>дежности его основных силовых деталей.</w:t>
      </w:r>
    </w:p>
    <w:p w14:paraId="676CBDF6" w14:textId="77777777" w:rsidR="00C710FD" w:rsidRPr="00D03F3E" w:rsidRDefault="00C710F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При первых же гонках мотора М-107А на са</w:t>
      </w:r>
      <w:r w:rsidRPr="00D03F3E">
        <w:rPr>
          <w:color w:val="000000" w:themeColor="text1"/>
          <w:sz w:val="16"/>
          <w:szCs w:val="16"/>
        </w:rPr>
        <w:softHyphen/>
        <w:t>молетах Як-1 и Як-9 обнаружилась сильная тряска мотора и подмоторной рамы, особенно на пони</w:t>
      </w:r>
      <w:r w:rsidRPr="00D03F3E">
        <w:rPr>
          <w:color w:val="000000" w:themeColor="text1"/>
          <w:sz w:val="16"/>
          <w:szCs w:val="16"/>
        </w:rPr>
        <w:softHyphen/>
        <w:t>женных и переходных режимах (при даче и уборке газа). В конце мая Як-1 с М-107А передали в ЛИИ НКАП для установления причин тряски мотора. После замены мотора и установки новых аморти</w:t>
      </w:r>
      <w:r w:rsidRPr="00D03F3E">
        <w:rPr>
          <w:color w:val="000000" w:themeColor="text1"/>
          <w:sz w:val="16"/>
          <w:szCs w:val="16"/>
        </w:rPr>
        <w:softHyphen/>
        <w:t>заторов на подмоторной раме тряска уменьши</w:t>
      </w:r>
      <w:r w:rsidRPr="00D03F3E">
        <w:rPr>
          <w:color w:val="000000" w:themeColor="text1"/>
          <w:sz w:val="16"/>
          <w:szCs w:val="16"/>
        </w:rPr>
        <w:softHyphen/>
        <w:t>лась. Всего было выполнено 3 полета на отработку винтомоторной группы. Мотор и система охлажде</w:t>
      </w:r>
      <w:r w:rsidRPr="00D03F3E">
        <w:rPr>
          <w:color w:val="000000" w:themeColor="text1"/>
          <w:sz w:val="16"/>
          <w:szCs w:val="16"/>
        </w:rPr>
        <w:softHyphen/>
        <w:t>ния работали неудовлетворительно. Температуры воды и масла даже на номинальном режиме бы</w:t>
      </w:r>
      <w:r w:rsidRPr="00D03F3E">
        <w:rPr>
          <w:color w:val="000000" w:themeColor="text1"/>
          <w:sz w:val="16"/>
          <w:szCs w:val="16"/>
        </w:rPr>
        <w:softHyphen/>
        <w:t>стро достигали предельно допустимых значений. Мотор работал неустойчиво, с перебоями. Работы по доводке винтомоторной группы сочли целесо</w:t>
      </w:r>
      <w:r w:rsidRPr="00D03F3E">
        <w:rPr>
          <w:color w:val="000000" w:themeColor="text1"/>
          <w:sz w:val="16"/>
          <w:szCs w:val="16"/>
        </w:rPr>
        <w:softHyphen/>
        <w:t>образным продолжить на «девятке», планер кото</w:t>
      </w:r>
      <w:r w:rsidRPr="00D03F3E">
        <w:rPr>
          <w:color w:val="000000" w:themeColor="text1"/>
          <w:sz w:val="16"/>
          <w:szCs w:val="16"/>
        </w:rPr>
        <w:softHyphen/>
        <w:t>рой был прочнее и в этом отношении лучше под</w:t>
      </w:r>
      <w:r w:rsidRPr="00D03F3E">
        <w:rPr>
          <w:color w:val="000000" w:themeColor="text1"/>
          <w:sz w:val="16"/>
          <w:szCs w:val="16"/>
        </w:rPr>
        <w:softHyphen/>
        <w:t>ходил для установки мотора М-107А. В этой связи приказом Яковлева от 1 июля 1943 г. испытания самолета были прекращены «до отработки вин</w:t>
      </w:r>
      <w:r w:rsidRPr="00D03F3E">
        <w:rPr>
          <w:color w:val="000000" w:themeColor="text1"/>
          <w:sz w:val="16"/>
          <w:szCs w:val="16"/>
        </w:rPr>
        <w:softHyphen/>
        <w:t>томоторной группы на серийном самолете Як-9». Кроме этого, решили доработать машину с учетом результатов продувок в аэродинамической тру</w:t>
      </w:r>
      <w:r w:rsidRPr="00D03F3E">
        <w:rPr>
          <w:color w:val="000000" w:themeColor="text1"/>
          <w:sz w:val="16"/>
          <w:szCs w:val="16"/>
        </w:rPr>
        <w:softHyphen/>
        <w:t>бе Т-106 ЦАГИ опытного самолета Як-1М, а также усилить крыло и заменить полотняную обшивку фанерной.</w:t>
      </w:r>
    </w:p>
    <w:p w14:paraId="51C07C01" w14:textId="77777777" w:rsidR="00C710FD" w:rsidRPr="00D03F3E" w:rsidRDefault="00C710F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Между тем попытка «устранить» тряску при работе мотора на серийных Як-9 простым пере</w:t>
      </w:r>
      <w:r w:rsidRPr="00D03F3E">
        <w:rPr>
          <w:color w:val="000000" w:themeColor="text1"/>
          <w:sz w:val="16"/>
          <w:szCs w:val="16"/>
        </w:rPr>
        <w:softHyphen/>
        <w:t>бором планеров самолетов и моторов успехом не увенчалась. Моторы и подмоторные рамы нещадно трясло. Наибольшей амплитуды тряска достигала при оборотах мотора около 2600—2800 об/мин. По характеру колебаний было понятно, что это ре</w:t>
      </w:r>
      <w:r w:rsidRPr="00D03F3E">
        <w:rPr>
          <w:color w:val="000000" w:themeColor="text1"/>
          <w:sz w:val="16"/>
          <w:szCs w:val="16"/>
        </w:rPr>
        <w:softHyphen/>
        <w:t>зонанс. К тому же все моторы работали с перебоя</w:t>
      </w:r>
      <w:r w:rsidRPr="00D03F3E">
        <w:rPr>
          <w:color w:val="000000" w:themeColor="text1"/>
          <w:sz w:val="16"/>
          <w:szCs w:val="16"/>
        </w:rPr>
        <w:softHyphen/>
        <w:t>ми и внезапными остановками, температура воды и масла — выше допустимого предела.</w:t>
      </w:r>
    </w:p>
    <w:p w14:paraId="606212F2" w14:textId="77777777" w:rsidR="00C710FD" w:rsidRPr="00D03F3E" w:rsidRDefault="00C710FD"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Стало ясно, что установка М-107А на серийный планер быстрого результата не даст. Для успе</w:t>
      </w:r>
      <w:r w:rsidRPr="00D03F3E">
        <w:rPr>
          <w:color w:val="000000" w:themeColor="text1"/>
          <w:sz w:val="16"/>
          <w:szCs w:val="16"/>
        </w:rPr>
        <w:softHyphen/>
        <w:t>ха требовалось одновременно доработать мотор и внести изменения в конструкцию самолета так, чтобы «увести» резонансные явления из обла</w:t>
      </w:r>
      <w:r w:rsidRPr="00D03F3E">
        <w:rPr>
          <w:color w:val="000000" w:themeColor="text1"/>
          <w:sz w:val="16"/>
          <w:szCs w:val="16"/>
        </w:rPr>
        <w:softHyphen/>
        <w:t>сти рабочих оборотов М-107А или ослабить их до уровня, обеспечивающего безопасный полет. Но для этого требовалось время, которого в распоря</w:t>
      </w:r>
      <w:r w:rsidRPr="00D03F3E">
        <w:rPr>
          <w:color w:val="000000" w:themeColor="text1"/>
          <w:sz w:val="16"/>
          <w:szCs w:val="16"/>
        </w:rPr>
        <w:softHyphen/>
        <w:t>жении Яковлева не было (17500).</w:t>
      </w:r>
    </w:p>
    <w:p w14:paraId="2D7DACED" w14:textId="77777777" w:rsidR="00C710FD" w:rsidRPr="00D03F3E" w:rsidRDefault="00C710FD" w:rsidP="00D03F3E">
      <w:pPr>
        <w:spacing w:after="0" w:line="240" w:lineRule="auto"/>
        <w:jc w:val="both"/>
        <w:rPr>
          <w:rFonts w:ascii="Times New Roman" w:hAnsi="Times New Roman"/>
          <w:color w:val="000000" w:themeColor="text1"/>
          <w:sz w:val="16"/>
          <w:szCs w:val="16"/>
        </w:rPr>
      </w:pPr>
    </w:p>
    <w:p w14:paraId="495FBFDD" w14:textId="77777777" w:rsidR="00C710FD" w:rsidRPr="00D03F3E"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апреле 1943 г. в Новосибирске на заводе №153 разработали, испытали и освоили в серийном производстве фибровые бензобаки для самолетов Як-7. Баки успешно прошли летно-эксплуатационные испытания и с июня были запущены в серийное производство, в том числе и на заводе №301. Соответственно, выпуск на заводах металлических баков прекратился.</w:t>
      </w:r>
    </w:p>
    <w:p w14:paraId="79504ADD" w14:textId="77777777" w:rsidR="00C710FD" w:rsidRPr="00D03F3E"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Тогда же в апреле на заводе №22 в Казани отработали бензобаки №1 и №4 из фибры для самолета Пе-2. После успешного прохождения государственных испытаний их рекомендовали к внедрению в серийное производство вместо металлических.</w:t>
      </w:r>
    </w:p>
    <w:p w14:paraId="1854E85D" w14:textId="77777777" w:rsidR="00C710FD" w:rsidRPr="00D03F3E"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 сожалению, без недостатков не обошлось. Оказалось, что отремонтировать фибровые бензобаки в полевых условиях практически невозможно. Технология их ремонта, разработанная на основании инструкции ВИАМ, была трудоемкой, хотя и несложной, имела ограничения по температуре окружающего воздуха (не ниже 12”С, но не более 30-40”С). Это предполагало наличие закрытого помещения (зимой отапливаемого) и отнимала у технического состава много времени. А заменить вышедший из строя бензобак было просто нечем, так как поставка их заводами НКАП была крайне неудовлетворительной. В результате из-за отсутствия бензобаков самолеты долго простаивали в ремонте. Кроме того, фибровые бензобаки текли «через болты крепления горловин и болты крепления бензодатчиков». По этим причинам в частях действующей армии фибровые бензобаки ремонтных самолетов заменяли обычными металлическими (17333).</w:t>
      </w:r>
    </w:p>
    <w:p w14:paraId="0C62F6CE" w14:textId="77777777" w:rsidR="00C710FD" w:rsidRPr="00D03F3E" w:rsidRDefault="00C710FD" w:rsidP="00D03F3E">
      <w:pPr>
        <w:spacing w:after="0" w:line="240" w:lineRule="auto"/>
        <w:jc w:val="both"/>
        <w:rPr>
          <w:rFonts w:ascii="Times New Roman" w:hAnsi="Times New Roman"/>
          <w:color w:val="000000" w:themeColor="text1"/>
          <w:sz w:val="16"/>
          <w:szCs w:val="16"/>
        </w:rPr>
      </w:pPr>
    </w:p>
    <w:p w14:paraId="4BA2E7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П.О.С. разработал проект одноместного истребителя обороны пункта с 2хМ-71Ф с 4хТК-3 (9537,18).</w:t>
      </w:r>
    </w:p>
    <w:p w14:paraId="43886E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096B22" w14:textId="77777777" w:rsidR="00CC7EE4" w:rsidRPr="00D03F3E" w:rsidRDefault="00CC7EE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в ЛИИ проходил испытание самолет Пе-2 со стартовыми ракетными ускорителями. Их разработали в НИИ-3 по ТУ ЦАГИ на базе РС и установили таким образом, чтобы полностью сохранялась возможность использования закрылков на взлете и ни одна из деталей самолета не попадала в зону действия газовой струи. Установка обеспечивала автоматическое последовательное зажигание ракет и сброс их по окончании работы. Ускорители дали сокращение длины разбега на 30% (19727).</w:t>
      </w:r>
    </w:p>
    <w:p w14:paraId="585FE439" w14:textId="77777777" w:rsidR="00CC7EE4" w:rsidRPr="00D03F3E" w:rsidRDefault="00CC7EE4" w:rsidP="00D03F3E">
      <w:pPr>
        <w:spacing w:after="0" w:line="240" w:lineRule="auto"/>
        <w:jc w:val="both"/>
        <w:rPr>
          <w:rFonts w:ascii="Times New Roman" w:hAnsi="Times New Roman"/>
          <w:color w:val="000000" w:themeColor="text1"/>
          <w:sz w:val="16"/>
          <w:szCs w:val="16"/>
        </w:rPr>
      </w:pPr>
    </w:p>
    <w:p w14:paraId="71C3359F" w14:textId="77777777" w:rsidR="00CC7EE4" w:rsidRPr="00D03F3E" w:rsidRDefault="00CC7EE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руководство завода № 163 в Иркутске предложило возобновить производство истребителей И-16 в цельнодеревянном виде, используя при этом оснастку завода № 153. В 1942 г. разработали цельнодеревянные крыло и хвостовое оперение. Новосибирский филиал ЦАГИ провел статические испытания этих конструкций. Новое крыло, обшитое полностью 2.5 мм фанерой, при равной прочности весило 65 кг, что всего на 3 кг превышаю вес прежнего крыла. Небольшое превышение веса имелось и у деревянного оперения по сравнению с дюралевым. Однако эта идея не нашла поддержки руководства НКАП (19727).</w:t>
      </w:r>
    </w:p>
    <w:p w14:paraId="68ED0993" w14:textId="77777777" w:rsidR="00CC7EE4" w:rsidRPr="00D03F3E" w:rsidRDefault="00CC7EE4" w:rsidP="00D03F3E">
      <w:pPr>
        <w:spacing w:after="0" w:line="240" w:lineRule="auto"/>
        <w:jc w:val="both"/>
        <w:rPr>
          <w:rFonts w:ascii="Times New Roman" w:hAnsi="Times New Roman"/>
          <w:color w:val="000000" w:themeColor="text1"/>
          <w:sz w:val="16"/>
          <w:szCs w:val="16"/>
        </w:rPr>
      </w:pPr>
    </w:p>
    <w:p w14:paraId="68952D22" w14:textId="77777777" w:rsidR="000A76A3" w:rsidRPr="00D03F3E" w:rsidRDefault="000A76A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года последовал запрос в ГБТУ КА от Н.А. Жемчужина, заместителя главного конструктора завода №51. Его интересовали данные по массе новых </w:t>
      </w:r>
      <w:hyperlink r:id="rId129" w:history="1">
        <w:r w:rsidRPr="00D03F3E">
          <w:rPr>
            <w:rStyle w:val="a5"/>
            <w:rFonts w:ascii="Times New Roman" w:hAnsi="Times New Roman"/>
            <w:color w:val="000000" w:themeColor="text1"/>
            <w:sz w:val="16"/>
            <w:szCs w:val="16"/>
            <w:u w:val="none"/>
          </w:rPr>
          <w:t>советских лёгких танков</w:t>
        </w:r>
      </w:hyperlink>
      <w:r w:rsidRPr="00D03F3E">
        <w:rPr>
          <w:rFonts w:ascii="Times New Roman" w:hAnsi="Times New Roman"/>
          <w:color w:val="000000" w:themeColor="text1"/>
          <w:sz w:val="16"/>
          <w:szCs w:val="16"/>
        </w:rPr>
        <w:t>, поскольку прорабатывалась возможность подвески лёгкого танка под перспективный самолёт, который разрабатывало КБ завода №51. Дальше переписки дело не пошло, а тяжёлый бомбардировщик ББ, под который собирались подвешивать танки, так и остался эскизными набросками (18244).</w:t>
      </w:r>
    </w:p>
    <w:p w14:paraId="3DF15E4C" w14:textId="77777777" w:rsidR="000A76A3" w:rsidRPr="00D03F3E" w:rsidRDefault="000A76A3" w:rsidP="00D03F3E">
      <w:pPr>
        <w:spacing w:after="0" w:line="240" w:lineRule="auto"/>
        <w:jc w:val="both"/>
        <w:rPr>
          <w:rFonts w:ascii="Times New Roman" w:hAnsi="Times New Roman"/>
          <w:color w:val="000000" w:themeColor="text1"/>
          <w:sz w:val="16"/>
          <w:szCs w:val="16"/>
        </w:rPr>
      </w:pPr>
    </w:p>
    <w:p w14:paraId="6FBB67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был получен первый опытный мотор АМ-39 №3900. Двигатель АМ-39 потребовал установки на И-220 водорадиатора дополнительного контура для охлаждения воздуха, поступающего из нагнетателя в цилиндры мотора. Место для установки дополнительного водорадиатора было изначально предусмотрено в левой части цент роплана (при установке двигателя АМ-38Ф его просто заглушали) (5669).</w:t>
      </w:r>
    </w:p>
    <w:p w14:paraId="037E3D7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08DF4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Микулин направил в ОКБ—155 первый опытный мотор АМ—39. Место для установ</w:t>
      </w:r>
      <w:r w:rsidRPr="00D03F3E">
        <w:rPr>
          <w:rFonts w:ascii="Times New Roman" w:hAnsi="Times New Roman"/>
          <w:color w:val="000000" w:themeColor="text1"/>
          <w:sz w:val="16"/>
          <w:szCs w:val="16"/>
        </w:rPr>
        <w:softHyphen/>
        <w:t>ки дополнительного водорадиатора было изначально предусмотрено в левой части центроплана (9984).</w:t>
      </w:r>
    </w:p>
    <w:p w14:paraId="7869EF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2132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апреле 1943 г. был получен опытный мотор АМ-39. Первый вылет И-220 с новым "сердцем" выполнил 25 мая 1943 г. В июле, отладив работу мотора и радиаторов, приступили к определению основных летных характеристик. На боевом режиме работы двигателя самолет достиг скорости 614 км/ч на высоте 2700 м и 697 км/ч на 7800 м. Высоту 5000 м самолет набирал за 4,5 мин, а 8000 м - за 8,2 мин. Однако бочки меда не бывает без ложки дегтя. В процессе испытаний пришлось пять раз заменять двигатели АМ-39. Мотор имел множество конструктивных дефектов. В сентябре 1943 г. А.И. Микоян был вынужден снова вернуться к серийному АМ-38Ф. 1 октября 1943 г. полеты возобновились, а уже на следующий день машина потерпела аварию, и ее отправили в ремонт. Тем временем на заводе №155 строился второй экземпляр И-220, также с двигателем АМ-38Ф. </w:t>
      </w:r>
    </w:p>
    <w:p w14:paraId="7B9B97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летно-технические характеристики опытных самолетов Микояна и Гуревича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860B4B" w:rsidRPr="00D03F3E" w14:paraId="3FA477A0" w14:textId="77777777">
        <w:tc>
          <w:tcPr>
            <w:tcW w:w="1868" w:type="dxa"/>
            <w:tcBorders>
              <w:top w:val="single" w:sz="12" w:space="0" w:color="auto"/>
            </w:tcBorders>
          </w:tcPr>
          <w:p w14:paraId="1B0F96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Характеристика</w:t>
            </w:r>
          </w:p>
        </w:tc>
        <w:tc>
          <w:tcPr>
            <w:tcW w:w="1868" w:type="dxa"/>
            <w:tcBorders>
              <w:top w:val="single" w:sz="12" w:space="0" w:color="auto"/>
            </w:tcBorders>
          </w:tcPr>
          <w:p w14:paraId="4014B69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МиГ-3</w:t>
            </w:r>
          </w:p>
        </w:tc>
        <w:tc>
          <w:tcPr>
            <w:tcW w:w="1868" w:type="dxa"/>
            <w:tcBorders>
              <w:top w:val="single" w:sz="12" w:space="0" w:color="auto"/>
            </w:tcBorders>
          </w:tcPr>
          <w:p w14:paraId="75AD21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МиГ-9</w:t>
            </w:r>
          </w:p>
        </w:tc>
        <w:tc>
          <w:tcPr>
            <w:tcW w:w="1868" w:type="dxa"/>
            <w:tcBorders>
              <w:top w:val="single" w:sz="12" w:space="0" w:color="auto"/>
            </w:tcBorders>
          </w:tcPr>
          <w:p w14:paraId="0DD924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И-220</w:t>
            </w:r>
          </w:p>
        </w:tc>
        <w:tc>
          <w:tcPr>
            <w:tcW w:w="1868" w:type="dxa"/>
            <w:tcBorders>
              <w:top w:val="single" w:sz="12" w:space="0" w:color="auto"/>
            </w:tcBorders>
          </w:tcPr>
          <w:p w14:paraId="5E6847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И-224</w:t>
            </w:r>
          </w:p>
        </w:tc>
        <w:tc>
          <w:tcPr>
            <w:tcW w:w="1868" w:type="dxa"/>
            <w:tcBorders>
              <w:top w:val="single" w:sz="12" w:space="0" w:color="auto"/>
            </w:tcBorders>
          </w:tcPr>
          <w:p w14:paraId="6184D3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И-225</w:t>
            </w:r>
          </w:p>
        </w:tc>
      </w:tr>
      <w:tr w:rsidR="00860B4B" w:rsidRPr="00D03F3E" w14:paraId="620EA9C4" w14:textId="77777777">
        <w:tc>
          <w:tcPr>
            <w:tcW w:w="1868" w:type="dxa"/>
          </w:tcPr>
          <w:p w14:paraId="238DF8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двигателя</w:t>
            </w:r>
          </w:p>
        </w:tc>
        <w:tc>
          <w:tcPr>
            <w:tcW w:w="1868" w:type="dxa"/>
          </w:tcPr>
          <w:p w14:paraId="187FB2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АМ-38</w:t>
            </w:r>
          </w:p>
        </w:tc>
        <w:tc>
          <w:tcPr>
            <w:tcW w:w="1868" w:type="dxa"/>
          </w:tcPr>
          <w:p w14:paraId="75E926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М-82</w:t>
            </w:r>
          </w:p>
        </w:tc>
        <w:tc>
          <w:tcPr>
            <w:tcW w:w="1868" w:type="dxa"/>
          </w:tcPr>
          <w:p w14:paraId="0C7F316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АМ-39</w:t>
            </w:r>
          </w:p>
        </w:tc>
        <w:tc>
          <w:tcPr>
            <w:tcW w:w="1868" w:type="dxa"/>
          </w:tcPr>
          <w:p w14:paraId="0696AD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АМ-39ФБ</w:t>
            </w:r>
          </w:p>
        </w:tc>
        <w:tc>
          <w:tcPr>
            <w:tcW w:w="1868" w:type="dxa"/>
          </w:tcPr>
          <w:p w14:paraId="5D8568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АМ-42ФБ</w:t>
            </w:r>
          </w:p>
        </w:tc>
      </w:tr>
      <w:tr w:rsidR="00860B4B" w:rsidRPr="00D03F3E" w14:paraId="596B2954" w14:textId="77777777">
        <w:tc>
          <w:tcPr>
            <w:tcW w:w="1868" w:type="dxa"/>
          </w:tcPr>
          <w:p w14:paraId="67939F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Взлетная мощность, л.с.</w:t>
            </w:r>
          </w:p>
        </w:tc>
        <w:tc>
          <w:tcPr>
            <w:tcW w:w="1868" w:type="dxa"/>
          </w:tcPr>
          <w:p w14:paraId="25483B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1665</w:t>
            </w:r>
          </w:p>
        </w:tc>
        <w:tc>
          <w:tcPr>
            <w:tcW w:w="1868" w:type="dxa"/>
          </w:tcPr>
          <w:p w14:paraId="5F3223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1700</w:t>
            </w:r>
          </w:p>
        </w:tc>
        <w:tc>
          <w:tcPr>
            <w:tcW w:w="1868" w:type="dxa"/>
          </w:tcPr>
          <w:p w14:paraId="2178FC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1800</w:t>
            </w:r>
          </w:p>
        </w:tc>
        <w:tc>
          <w:tcPr>
            <w:tcW w:w="1868" w:type="dxa"/>
          </w:tcPr>
          <w:p w14:paraId="3979B2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1850</w:t>
            </w:r>
          </w:p>
        </w:tc>
        <w:tc>
          <w:tcPr>
            <w:tcW w:w="1868" w:type="dxa"/>
          </w:tcPr>
          <w:p w14:paraId="0CC0BE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w:t>
            </w:r>
          </w:p>
        </w:tc>
      </w:tr>
      <w:tr w:rsidR="00860B4B" w:rsidRPr="00D03F3E" w14:paraId="2D7D9993" w14:textId="77777777">
        <w:tc>
          <w:tcPr>
            <w:tcW w:w="1868" w:type="dxa"/>
          </w:tcPr>
          <w:p w14:paraId="7F1D51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самолета, м</w:t>
            </w:r>
          </w:p>
        </w:tc>
        <w:tc>
          <w:tcPr>
            <w:tcW w:w="1868" w:type="dxa"/>
          </w:tcPr>
          <w:p w14:paraId="22C51C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8,25</w:t>
            </w:r>
          </w:p>
        </w:tc>
        <w:tc>
          <w:tcPr>
            <w:tcW w:w="1868" w:type="dxa"/>
          </w:tcPr>
          <w:p w14:paraId="7EEB6A3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8,078</w:t>
            </w:r>
          </w:p>
        </w:tc>
        <w:tc>
          <w:tcPr>
            <w:tcW w:w="1868" w:type="dxa"/>
          </w:tcPr>
          <w:p w14:paraId="285713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9,5</w:t>
            </w:r>
          </w:p>
        </w:tc>
        <w:tc>
          <w:tcPr>
            <w:tcW w:w="1868" w:type="dxa"/>
          </w:tcPr>
          <w:p w14:paraId="2F912D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9,6</w:t>
            </w:r>
          </w:p>
        </w:tc>
        <w:tc>
          <w:tcPr>
            <w:tcW w:w="1868" w:type="dxa"/>
          </w:tcPr>
          <w:p w14:paraId="6F8071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9,5</w:t>
            </w:r>
          </w:p>
        </w:tc>
      </w:tr>
      <w:tr w:rsidR="00860B4B" w:rsidRPr="00D03F3E" w14:paraId="58305A0B" w14:textId="77777777">
        <w:tc>
          <w:tcPr>
            <w:tcW w:w="1868" w:type="dxa"/>
          </w:tcPr>
          <w:p w14:paraId="467969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Размах крыла, м</w:t>
            </w:r>
          </w:p>
        </w:tc>
        <w:tc>
          <w:tcPr>
            <w:tcW w:w="1868" w:type="dxa"/>
          </w:tcPr>
          <w:p w14:paraId="3AD150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w:t>
            </w:r>
          </w:p>
        </w:tc>
        <w:tc>
          <w:tcPr>
            <w:tcW w:w="1868" w:type="dxa"/>
          </w:tcPr>
          <w:p w14:paraId="0AFDD8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w:t>
            </w:r>
          </w:p>
        </w:tc>
        <w:tc>
          <w:tcPr>
            <w:tcW w:w="1868" w:type="dxa"/>
          </w:tcPr>
          <w:p w14:paraId="4759B85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w:t>
            </w:r>
          </w:p>
        </w:tc>
        <w:tc>
          <w:tcPr>
            <w:tcW w:w="1868" w:type="dxa"/>
          </w:tcPr>
          <w:p w14:paraId="5801C4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w:t>
            </w:r>
          </w:p>
        </w:tc>
        <w:tc>
          <w:tcPr>
            <w:tcW w:w="1868" w:type="dxa"/>
          </w:tcPr>
          <w:p w14:paraId="56DF86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w:t>
            </w:r>
          </w:p>
        </w:tc>
      </w:tr>
      <w:tr w:rsidR="00860B4B" w:rsidRPr="00D03F3E" w14:paraId="38AE673B" w14:textId="77777777">
        <w:tc>
          <w:tcPr>
            <w:tcW w:w="1868" w:type="dxa"/>
          </w:tcPr>
          <w:p w14:paraId="51FB2D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крыла, м2</w:t>
            </w:r>
          </w:p>
        </w:tc>
        <w:tc>
          <w:tcPr>
            <w:tcW w:w="1868" w:type="dxa"/>
          </w:tcPr>
          <w:p w14:paraId="2C0FD7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17,44</w:t>
            </w:r>
          </w:p>
        </w:tc>
        <w:tc>
          <w:tcPr>
            <w:tcW w:w="1868" w:type="dxa"/>
          </w:tcPr>
          <w:p w14:paraId="76D618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17,44</w:t>
            </w:r>
          </w:p>
        </w:tc>
        <w:tc>
          <w:tcPr>
            <w:tcW w:w="1868" w:type="dxa"/>
          </w:tcPr>
          <w:p w14:paraId="0E68893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20,38</w:t>
            </w:r>
          </w:p>
        </w:tc>
        <w:tc>
          <w:tcPr>
            <w:tcW w:w="1868" w:type="dxa"/>
          </w:tcPr>
          <w:p w14:paraId="5B6524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22,4</w:t>
            </w:r>
          </w:p>
        </w:tc>
        <w:tc>
          <w:tcPr>
            <w:tcW w:w="1868" w:type="dxa"/>
          </w:tcPr>
          <w:p w14:paraId="52343A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20,4</w:t>
            </w:r>
          </w:p>
        </w:tc>
      </w:tr>
      <w:tr w:rsidR="00860B4B" w:rsidRPr="00D03F3E" w14:paraId="76D06DB4" w14:textId="77777777">
        <w:tc>
          <w:tcPr>
            <w:tcW w:w="1868" w:type="dxa"/>
          </w:tcPr>
          <w:p w14:paraId="15BB1D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Высота самолета, м</w:t>
            </w:r>
          </w:p>
        </w:tc>
        <w:tc>
          <w:tcPr>
            <w:tcW w:w="1868" w:type="dxa"/>
          </w:tcPr>
          <w:p w14:paraId="466958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3,325</w:t>
            </w:r>
          </w:p>
        </w:tc>
        <w:tc>
          <w:tcPr>
            <w:tcW w:w="1868" w:type="dxa"/>
          </w:tcPr>
          <w:p w14:paraId="528475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2762</w:t>
            </w:r>
          </w:p>
        </w:tc>
        <w:tc>
          <w:tcPr>
            <w:tcW w:w="1868" w:type="dxa"/>
          </w:tcPr>
          <w:p w14:paraId="3EAECC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3,66</w:t>
            </w:r>
          </w:p>
        </w:tc>
        <w:tc>
          <w:tcPr>
            <w:tcW w:w="1868" w:type="dxa"/>
          </w:tcPr>
          <w:p w14:paraId="52E4DB1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3,66</w:t>
            </w:r>
          </w:p>
        </w:tc>
        <w:tc>
          <w:tcPr>
            <w:tcW w:w="1868" w:type="dxa"/>
          </w:tcPr>
          <w:p w14:paraId="30B6FB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w:t>
            </w:r>
          </w:p>
        </w:tc>
      </w:tr>
      <w:tr w:rsidR="00860B4B" w:rsidRPr="00D03F3E" w14:paraId="5F0EA0A1" w14:textId="77777777">
        <w:tc>
          <w:tcPr>
            <w:tcW w:w="1868" w:type="dxa"/>
          </w:tcPr>
          <w:p w14:paraId="350D94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Масса пустого самолета, кг</w:t>
            </w:r>
          </w:p>
        </w:tc>
        <w:tc>
          <w:tcPr>
            <w:tcW w:w="1868" w:type="dxa"/>
          </w:tcPr>
          <w:p w14:paraId="6513DF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3325</w:t>
            </w:r>
          </w:p>
        </w:tc>
        <w:tc>
          <w:tcPr>
            <w:tcW w:w="1868" w:type="dxa"/>
          </w:tcPr>
          <w:p w14:paraId="466226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3382</w:t>
            </w:r>
          </w:p>
        </w:tc>
        <w:tc>
          <w:tcPr>
            <w:tcW w:w="1868" w:type="dxa"/>
          </w:tcPr>
          <w:p w14:paraId="3E77A8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3103</w:t>
            </w:r>
          </w:p>
        </w:tc>
        <w:tc>
          <w:tcPr>
            <w:tcW w:w="1868" w:type="dxa"/>
          </w:tcPr>
          <w:p w14:paraId="0F89B21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3105</w:t>
            </w:r>
          </w:p>
        </w:tc>
        <w:tc>
          <w:tcPr>
            <w:tcW w:w="1868" w:type="dxa"/>
          </w:tcPr>
          <w:p w14:paraId="3080FA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ЗОЮ</w:t>
            </w:r>
          </w:p>
        </w:tc>
      </w:tr>
      <w:tr w:rsidR="00860B4B" w:rsidRPr="00D03F3E" w14:paraId="48E3C571" w14:textId="77777777">
        <w:tc>
          <w:tcPr>
            <w:tcW w:w="1868" w:type="dxa"/>
          </w:tcPr>
          <w:p w14:paraId="4F351F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Взлетная масса, кг</w:t>
            </w:r>
          </w:p>
        </w:tc>
        <w:tc>
          <w:tcPr>
            <w:tcW w:w="1868" w:type="dxa"/>
          </w:tcPr>
          <w:p w14:paraId="440ED0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3595</w:t>
            </w:r>
          </w:p>
        </w:tc>
        <w:tc>
          <w:tcPr>
            <w:tcW w:w="1868" w:type="dxa"/>
          </w:tcPr>
          <w:p w14:paraId="077004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F7AEDD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3835</w:t>
            </w:r>
          </w:p>
        </w:tc>
        <w:tc>
          <w:tcPr>
            <w:tcW w:w="1868" w:type="dxa"/>
          </w:tcPr>
          <w:p w14:paraId="5A032B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3780</w:t>
            </w:r>
          </w:p>
        </w:tc>
        <w:tc>
          <w:tcPr>
            <w:tcW w:w="1868" w:type="dxa"/>
          </w:tcPr>
          <w:p w14:paraId="46B5D61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3912</w:t>
            </w:r>
          </w:p>
        </w:tc>
      </w:tr>
      <w:tr w:rsidR="00860B4B" w:rsidRPr="00D03F3E" w14:paraId="39BA7858" w14:textId="77777777">
        <w:tc>
          <w:tcPr>
            <w:tcW w:w="1868" w:type="dxa"/>
          </w:tcPr>
          <w:p w14:paraId="651A4E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Запас топлива, кг</w:t>
            </w:r>
          </w:p>
        </w:tc>
        <w:tc>
          <w:tcPr>
            <w:tcW w:w="1868" w:type="dxa"/>
          </w:tcPr>
          <w:p w14:paraId="3D4824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3BC69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360</w:t>
            </w:r>
          </w:p>
        </w:tc>
        <w:tc>
          <w:tcPr>
            <w:tcW w:w="1868" w:type="dxa"/>
          </w:tcPr>
          <w:p w14:paraId="3E201E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335</w:t>
            </w:r>
          </w:p>
        </w:tc>
        <w:tc>
          <w:tcPr>
            <w:tcW w:w="1868" w:type="dxa"/>
          </w:tcPr>
          <w:p w14:paraId="71443C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3551</w:t>
            </w:r>
          </w:p>
        </w:tc>
        <w:tc>
          <w:tcPr>
            <w:tcW w:w="1868" w:type="dxa"/>
          </w:tcPr>
          <w:p w14:paraId="61D1691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3252</w:t>
            </w:r>
          </w:p>
        </w:tc>
      </w:tr>
      <w:tr w:rsidR="00860B4B" w:rsidRPr="00D03F3E" w14:paraId="2A212E73" w14:textId="77777777">
        <w:tc>
          <w:tcPr>
            <w:tcW w:w="1868" w:type="dxa"/>
          </w:tcPr>
          <w:p w14:paraId="41A796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полета, км/ч:</w:t>
            </w:r>
          </w:p>
        </w:tc>
        <w:tc>
          <w:tcPr>
            <w:tcW w:w="1868" w:type="dxa"/>
          </w:tcPr>
          <w:p w14:paraId="554B07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A5DC9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B0F6E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A0C57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68DD4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9340F5C" w14:textId="77777777">
        <w:tc>
          <w:tcPr>
            <w:tcW w:w="1868" w:type="dxa"/>
          </w:tcPr>
          <w:p w14:paraId="55FFAE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 земли</w:t>
            </w:r>
          </w:p>
        </w:tc>
        <w:tc>
          <w:tcPr>
            <w:tcW w:w="1868" w:type="dxa"/>
          </w:tcPr>
          <w:p w14:paraId="4CE36F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519</w:t>
            </w:r>
          </w:p>
        </w:tc>
        <w:tc>
          <w:tcPr>
            <w:tcW w:w="1868" w:type="dxa"/>
          </w:tcPr>
          <w:p w14:paraId="4C423B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475</w:t>
            </w:r>
          </w:p>
        </w:tc>
        <w:tc>
          <w:tcPr>
            <w:tcW w:w="1868" w:type="dxa"/>
          </w:tcPr>
          <w:p w14:paraId="240157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625</w:t>
            </w:r>
          </w:p>
        </w:tc>
        <w:tc>
          <w:tcPr>
            <w:tcW w:w="1868" w:type="dxa"/>
          </w:tcPr>
          <w:p w14:paraId="62930E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574</w:t>
            </w:r>
          </w:p>
        </w:tc>
        <w:tc>
          <w:tcPr>
            <w:tcW w:w="1868" w:type="dxa"/>
          </w:tcPr>
          <w:p w14:paraId="3EB322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560</w:t>
            </w:r>
          </w:p>
        </w:tc>
      </w:tr>
      <w:tr w:rsidR="00860B4B" w:rsidRPr="00D03F3E" w14:paraId="3EE7BCAD" w14:textId="77777777">
        <w:tc>
          <w:tcPr>
            <w:tcW w:w="1868" w:type="dxa"/>
          </w:tcPr>
          <w:p w14:paraId="5D3E40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на высоте 5000 м</w:t>
            </w:r>
          </w:p>
        </w:tc>
        <w:tc>
          <w:tcPr>
            <w:tcW w:w="1868" w:type="dxa"/>
          </w:tcPr>
          <w:p w14:paraId="384C70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5923</w:t>
            </w:r>
          </w:p>
        </w:tc>
        <w:tc>
          <w:tcPr>
            <w:tcW w:w="1868" w:type="dxa"/>
          </w:tcPr>
          <w:p w14:paraId="6781DA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7B9F46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285821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58047A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650</w:t>
            </w:r>
          </w:p>
        </w:tc>
      </w:tr>
      <w:tr w:rsidR="00860B4B" w:rsidRPr="00D03F3E" w14:paraId="725293D9" w14:textId="77777777">
        <w:tc>
          <w:tcPr>
            <w:tcW w:w="1868" w:type="dxa"/>
          </w:tcPr>
          <w:p w14:paraId="5B3E07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на высоте 10 ООО м</w:t>
            </w:r>
          </w:p>
        </w:tc>
        <w:tc>
          <w:tcPr>
            <w:tcW w:w="1868" w:type="dxa"/>
          </w:tcPr>
          <w:p w14:paraId="75A50F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585175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5654</w:t>
            </w:r>
          </w:p>
        </w:tc>
        <w:tc>
          <w:tcPr>
            <w:tcW w:w="1868" w:type="dxa"/>
          </w:tcPr>
          <w:p w14:paraId="4824D9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6955</w:t>
            </w:r>
          </w:p>
        </w:tc>
        <w:tc>
          <w:tcPr>
            <w:tcW w:w="1868" w:type="dxa"/>
          </w:tcPr>
          <w:p w14:paraId="48C7B1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6936</w:t>
            </w:r>
          </w:p>
        </w:tc>
        <w:tc>
          <w:tcPr>
            <w:tcW w:w="1868" w:type="dxa"/>
          </w:tcPr>
          <w:p w14:paraId="2FEEAC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726</w:t>
            </w:r>
          </w:p>
        </w:tc>
      </w:tr>
      <w:tr w:rsidR="00860B4B" w:rsidRPr="00D03F3E" w14:paraId="20984900" w14:textId="77777777">
        <w:tc>
          <w:tcPr>
            <w:tcW w:w="1868" w:type="dxa"/>
          </w:tcPr>
          <w:p w14:paraId="64FED7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высоты 5000 м, мин</w:t>
            </w:r>
          </w:p>
        </w:tc>
        <w:tc>
          <w:tcPr>
            <w:tcW w:w="1868" w:type="dxa"/>
          </w:tcPr>
          <w:p w14:paraId="1F8D0B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7,93</w:t>
            </w:r>
          </w:p>
        </w:tc>
        <w:tc>
          <w:tcPr>
            <w:tcW w:w="1868" w:type="dxa"/>
          </w:tcPr>
          <w:p w14:paraId="00F493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w:t>
            </w:r>
          </w:p>
        </w:tc>
        <w:tc>
          <w:tcPr>
            <w:tcW w:w="1868" w:type="dxa"/>
          </w:tcPr>
          <w:p w14:paraId="41C890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w:t>
            </w:r>
          </w:p>
        </w:tc>
        <w:tc>
          <w:tcPr>
            <w:tcW w:w="1868" w:type="dxa"/>
          </w:tcPr>
          <w:p w14:paraId="466B61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2098CA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r>
      <w:tr w:rsidR="00860B4B" w:rsidRPr="00D03F3E" w14:paraId="5BE2EB76" w14:textId="77777777">
        <w:tc>
          <w:tcPr>
            <w:tcW w:w="1868" w:type="dxa"/>
          </w:tcPr>
          <w:p w14:paraId="0D3538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 м</w:t>
            </w:r>
          </w:p>
        </w:tc>
        <w:tc>
          <w:tcPr>
            <w:tcW w:w="1868" w:type="dxa"/>
          </w:tcPr>
          <w:p w14:paraId="4DB612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5CF5E5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8700</w:t>
            </w:r>
          </w:p>
        </w:tc>
        <w:tc>
          <w:tcPr>
            <w:tcW w:w="1868" w:type="dxa"/>
          </w:tcPr>
          <w:p w14:paraId="606714F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11 000</w:t>
            </w:r>
          </w:p>
        </w:tc>
        <w:tc>
          <w:tcPr>
            <w:tcW w:w="1868" w:type="dxa"/>
          </w:tcPr>
          <w:p w14:paraId="6D9C4B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14 100</w:t>
            </w:r>
          </w:p>
        </w:tc>
        <w:tc>
          <w:tcPr>
            <w:tcW w:w="1868" w:type="dxa"/>
          </w:tcPr>
          <w:p w14:paraId="200787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12 600</w:t>
            </w:r>
          </w:p>
        </w:tc>
      </w:tr>
      <w:tr w:rsidR="00860B4B" w:rsidRPr="00D03F3E" w14:paraId="64B4B0B1" w14:textId="77777777">
        <w:tc>
          <w:tcPr>
            <w:tcW w:w="1868" w:type="dxa"/>
          </w:tcPr>
          <w:p w14:paraId="2B6FF4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разбега, м</w:t>
            </w:r>
          </w:p>
        </w:tc>
        <w:tc>
          <w:tcPr>
            <w:tcW w:w="1868" w:type="dxa"/>
          </w:tcPr>
          <w:p w14:paraId="010A26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7D62AA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146</w:t>
            </w:r>
          </w:p>
        </w:tc>
        <w:tc>
          <w:tcPr>
            <w:tcW w:w="1868" w:type="dxa"/>
          </w:tcPr>
          <w:p w14:paraId="4D235D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60BBE2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230</w:t>
            </w:r>
          </w:p>
        </w:tc>
        <w:tc>
          <w:tcPr>
            <w:tcW w:w="1868" w:type="dxa"/>
          </w:tcPr>
          <w:p w14:paraId="22FD26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257</w:t>
            </w:r>
          </w:p>
        </w:tc>
      </w:tr>
      <w:tr w:rsidR="00860B4B" w:rsidRPr="00D03F3E" w14:paraId="606C56C6" w14:textId="77777777">
        <w:tc>
          <w:tcPr>
            <w:tcW w:w="1868" w:type="dxa"/>
          </w:tcPr>
          <w:p w14:paraId="02EB75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пробега, м</w:t>
            </w:r>
          </w:p>
        </w:tc>
        <w:tc>
          <w:tcPr>
            <w:tcW w:w="1868" w:type="dxa"/>
          </w:tcPr>
          <w:p w14:paraId="1E02E6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7050A0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410</w:t>
            </w:r>
          </w:p>
        </w:tc>
        <w:tc>
          <w:tcPr>
            <w:tcW w:w="1868" w:type="dxa"/>
          </w:tcPr>
          <w:p w14:paraId="6035B8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07E3CE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440</w:t>
            </w:r>
          </w:p>
        </w:tc>
        <w:tc>
          <w:tcPr>
            <w:tcW w:w="1868" w:type="dxa"/>
          </w:tcPr>
          <w:p w14:paraId="498077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450</w:t>
            </w:r>
          </w:p>
        </w:tc>
      </w:tr>
      <w:tr w:rsidR="00860B4B" w:rsidRPr="00D03F3E" w14:paraId="24DD2320" w14:textId="77777777">
        <w:tc>
          <w:tcPr>
            <w:tcW w:w="1868" w:type="dxa"/>
            <w:tcBorders>
              <w:bottom w:val="single" w:sz="12" w:space="0" w:color="auto"/>
            </w:tcBorders>
          </w:tcPr>
          <w:p w14:paraId="3749D9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Посадочная скорость, км/ч</w:t>
            </w:r>
          </w:p>
        </w:tc>
        <w:tc>
          <w:tcPr>
            <w:tcW w:w="1868" w:type="dxa"/>
            <w:tcBorders>
              <w:bottom w:val="single" w:sz="12" w:space="0" w:color="auto"/>
            </w:tcBorders>
          </w:tcPr>
          <w:p w14:paraId="2726E8D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Borders>
              <w:bottom w:val="single" w:sz="12" w:space="0" w:color="auto"/>
            </w:tcBorders>
          </w:tcPr>
          <w:p w14:paraId="1AC03D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w:t>
            </w:r>
          </w:p>
        </w:tc>
        <w:tc>
          <w:tcPr>
            <w:tcW w:w="1868" w:type="dxa"/>
            <w:tcBorders>
              <w:bottom w:val="single" w:sz="12" w:space="0" w:color="auto"/>
            </w:tcBorders>
          </w:tcPr>
          <w:p w14:paraId="5C1581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Borders>
              <w:bottom w:val="single" w:sz="12" w:space="0" w:color="auto"/>
            </w:tcBorders>
          </w:tcPr>
          <w:p w14:paraId="400487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127</w:t>
            </w:r>
          </w:p>
        </w:tc>
        <w:tc>
          <w:tcPr>
            <w:tcW w:w="1868" w:type="dxa"/>
            <w:tcBorders>
              <w:bottom w:val="single" w:sz="12" w:space="0" w:color="auto"/>
            </w:tcBorders>
          </w:tcPr>
          <w:p w14:paraId="08C266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134</w:t>
            </w:r>
          </w:p>
        </w:tc>
      </w:tr>
    </w:tbl>
    <w:p w14:paraId="52993E5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Примечания:</w:t>
      </w:r>
    </w:p>
    <w:p w14:paraId="5BF986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 в крыльевых топливных баках в перегрузку еще 124 кг;</w:t>
      </w:r>
    </w:p>
    <w:p w14:paraId="0EB8B94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2 - в крыльевых топливных баках в перегрузку еще 127 кг;</w:t>
      </w:r>
    </w:p>
    <w:p w14:paraId="5FA810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 на высоте 3400 м;</w:t>
      </w:r>
    </w:p>
    <w:p w14:paraId="4D8A7A8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 на высоте 6150 м;</w:t>
      </w:r>
    </w:p>
    <w:p w14:paraId="548AE2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 на высоте 7500 м при боевом режиме работы мотора;</w:t>
      </w:r>
    </w:p>
    <w:p w14:paraId="6F2B01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6 - расчетная на высоте 13 100 м. </w:t>
      </w:r>
    </w:p>
    <w:p w14:paraId="5FEFF1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октябре 1943 г. после ремонта первая опытная машина с двигателем АМ-38Ф поступила в НИИ ВВС на госиспытания. Летчику-испытателю П.М. Стефановско- му удалось получить следующие максимальные скорости на номинальном режиме: 572 км/ч у земли, 622 км/ч на высоте 2600 м, а на боевом режиме - 608 км/ч и 652 км/ч, соответственно. По его мнению, самолет И-220, был прост в пилотировании, обладал высокими летными характеристиками и мощным вооружением. В акте по испытаниям отмечалось, что даже с двигателем АМ-38Ф летные данные И-220 до высоты 3500 м лучше, чем у всех опытных самолетов, прошедших к тому времени госиспытания в НИИ ВВС. Установка мотора АМ-39 должна была способствовать еще большему расширению возможностей самолета. Рекомендовалось ускорить доводку мотора и предъявить И-220 с АМ-39 на государственные испытания.</w:t>
      </w:r>
    </w:p>
    <w:p w14:paraId="130078B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1944 г. ответственными за проведение государственных испытаний И-220 зав. № 01 с мотором АМ-39 в НИИ ВВС назначили ведущего инженера В.И. Алексеенко и л етч и ка-испытателя Д. Г. Пикуленко. На номинальном режиме работы мотора Пикуленко получил скорость 606 км/ч на высоте 2700 м и 668 км/ч на высоте 6800 м. Высоту 5000 м самолет набирал за 6,3 мин. Практический потолок И-220 составил 11 000 м. Такие данные практически не выделяли И-220 на фоне серийных вариантов истребителей Як-3, Як-9У и Ла-7. 26 сентября госиспытания были прекращены по просьбе главного конструктора А.И. Микояна (12045).</w:t>
      </w:r>
    </w:p>
    <w:p w14:paraId="1422CB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E23B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было изготовлено пять Як-9ПД, которые отправили в 12-й Гвардейский истребительный авиаполк ПВО Москвы, где само</w:t>
      </w:r>
      <w:r w:rsidRPr="00D03F3E">
        <w:rPr>
          <w:rFonts w:ascii="Times New Roman" w:hAnsi="Times New Roman"/>
          <w:color w:val="000000" w:themeColor="text1"/>
          <w:sz w:val="16"/>
          <w:szCs w:val="16"/>
        </w:rPr>
        <w:softHyphen/>
        <w:t>леты прошли испытания. Тогда успеха добиться не удалось. Мотор перегревался и на большой высо</w:t>
      </w:r>
      <w:r w:rsidRPr="00D03F3E">
        <w:rPr>
          <w:rFonts w:ascii="Times New Roman" w:hAnsi="Times New Roman"/>
          <w:color w:val="000000" w:themeColor="text1"/>
          <w:sz w:val="16"/>
          <w:szCs w:val="16"/>
        </w:rPr>
        <w:softHyphen/>
        <w:t>те работал нестабильно («обрезал»). Причинами этого стали очень высокая температура воздуха, поступавшего после второй ступени нагнетания, а также недостаточная эффективность радиаторов. В одном из полетов подп-к Л.А. Шолохов достиг высоты 12100 м и почти достал Ju86Р-1, который забрался более, чем на 13000 м, однако из-за пло</w:t>
      </w:r>
      <w:r w:rsidRPr="00D03F3E">
        <w:rPr>
          <w:rFonts w:ascii="Times New Roman" w:hAnsi="Times New Roman"/>
          <w:color w:val="000000" w:themeColor="text1"/>
          <w:sz w:val="16"/>
          <w:szCs w:val="16"/>
        </w:rPr>
        <w:softHyphen/>
        <w:t>хой работы мотора советский летчик не смог про</w:t>
      </w:r>
      <w:r w:rsidRPr="00D03F3E">
        <w:rPr>
          <w:rFonts w:ascii="Times New Roman" w:hAnsi="Times New Roman"/>
          <w:color w:val="000000" w:themeColor="text1"/>
          <w:sz w:val="16"/>
          <w:szCs w:val="16"/>
        </w:rPr>
        <w:softHyphen/>
        <w:t>должить выполнение задания и вынужден был пойти на снижение. Около года продолжались доводка и совер</w:t>
      </w:r>
      <w:r w:rsidRPr="00D03F3E">
        <w:rPr>
          <w:rFonts w:ascii="Times New Roman" w:hAnsi="Times New Roman"/>
          <w:color w:val="000000" w:themeColor="text1"/>
          <w:sz w:val="16"/>
          <w:szCs w:val="16"/>
        </w:rPr>
        <w:softHyphen/>
        <w:t>шенствование истребителя. За этот период уве</w:t>
      </w:r>
      <w:r w:rsidRPr="00D03F3E">
        <w:rPr>
          <w:rFonts w:ascii="Times New Roman" w:hAnsi="Times New Roman"/>
          <w:color w:val="000000" w:themeColor="text1"/>
          <w:sz w:val="16"/>
          <w:szCs w:val="16"/>
        </w:rPr>
        <w:softHyphen/>
        <w:t>личили высотность М-105ПД с 6,3 км до 8,5 км, су</w:t>
      </w:r>
      <w:r w:rsidRPr="00D03F3E">
        <w:rPr>
          <w:rFonts w:ascii="Times New Roman" w:hAnsi="Times New Roman"/>
          <w:color w:val="000000" w:themeColor="text1"/>
          <w:sz w:val="16"/>
          <w:szCs w:val="16"/>
        </w:rPr>
        <w:softHyphen/>
        <w:t>щественно облегчили самолет, изменили систему охлаждения, поставили новый винт и другое крыло большего размаха. Затем на самолет установили еще более высотный (9,5 км) мотор М-106ПВ с двухступенчатым двухскоростным нагнетателем. К работам по Як-9ПД подключили ведущие науч</w:t>
      </w:r>
      <w:r w:rsidRPr="00D03F3E">
        <w:rPr>
          <w:rFonts w:ascii="Times New Roman" w:hAnsi="Times New Roman"/>
          <w:color w:val="000000" w:themeColor="text1"/>
          <w:sz w:val="16"/>
          <w:szCs w:val="16"/>
        </w:rPr>
        <w:softHyphen/>
        <w:t>ные организации — ЦАГИ и ЛИИ. Самолет испы</w:t>
      </w:r>
      <w:r w:rsidRPr="00D03F3E">
        <w:rPr>
          <w:rFonts w:ascii="Times New Roman" w:hAnsi="Times New Roman"/>
          <w:color w:val="000000" w:themeColor="text1"/>
          <w:sz w:val="16"/>
          <w:szCs w:val="16"/>
        </w:rPr>
        <w:softHyphen/>
        <w:t>тывали не только в полете, но и в натурной аэро</w:t>
      </w:r>
      <w:r w:rsidRPr="00D03F3E">
        <w:rPr>
          <w:rFonts w:ascii="Times New Roman" w:hAnsi="Times New Roman"/>
          <w:color w:val="000000" w:themeColor="text1"/>
          <w:sz w:val="16"/>
          <w:szCs w:val="16"/>
        </w:rPr>
        <w:softHyphen/>
        <w:t>динамической трубе. Однако успеха все не было: никак не удавалось добиться надежной работы си</w:t>
      </w:r>
      <w:r w:rsidRPr="00D03F3E">
        <w:rPr>
          <w:rFonts w:ascii="Times New Roman" w:hAnsi="Times New Roman"/>
          <w:color w:val="000000" w:themeColor="text1"/>
          <w:sz w:val="16"/>
          <w:szCs w:val="16"/>
        </w:rPr>
        <w:softHyphen/>
        <w:t>ловой установки. Только в апреле 1944 г., когда М-106ПВ оборудовали системой впрыска водно-спиртовой смеси, охлаждавшей за счет интенсив</w:t>
      </w:r>
      <w:r w:rsidRPr="00D03F3E">
        <w:rPr>
          <w:rFonts w:ascii="Times New Roman" w:hAnsi="Times New Roman"/>
          <w:color w:val="000000" w:themeColor="text1"/>
          <w:sz w:val="16"/>
          <w:szCs w:val="16"/>
        </w:rPr>
        <w:softHyphen/>
        <w:t>ного испарения сильно нагретый в нагнетателе воздух, удалось получить приемлемую надеж</w:t>
      </w:r>
      <w:r w:rsidRPr="00D03F3E">
        <w:rPr>
          <w:rFonts w:ascii="Times New Roman" w:hAnsi="Times New Roman"/>
          <w:color w:val="000000" w:themeColor="text1"/>
          <w:sz w:val="16"/>
          <w:szCs w:val="16"/>
        </w:rPr>
        <w:softHyphen/>
        <w:t>ность работы двигателя. До сих пор остается не</w:t>
      </w:r>
      <w:r w:rsidRPr="00D03F3E">
        <w:rPr>
          <w:rFonts w:ascii="Times New Roman" w:hAnsi="Times New Roman"/>
          <w:color w:val="000000" w:themeColor="text1"/>
          <w:sz w:val="16"/>
          <w:szCs w:val="16"/>
        </w:rPr>
        <w:softHyphen/>
        <w:t>ясным, почему сразу не стали использовать во</w:t>
      </w:r>
      <w:r w:rsidRPr="00D03F3E">
        <w:rPr>
          <w:rFonts w:ascii="Times New Roman" w:hAnsi="Times New Roman"/>
          <w:color w:val="000000" w:themeColor="text1"/>
          <w:sz w:val="16"/>
          <w:szCs w:val="16"/>
        </w:rPr>
        <w:softHyphen/>
        <w:t>дно-спиртовую смесь, ведь было известно, что на немецких моторах 0В 605 и ^то-21 ЗА такую сис</w:t>
      </w:r>
      <w:r w:rsidRPr="00D03F3E">
        <w:rPr>
          <w:rFonts w:ascii="Times New Roman" w:hAnsi="Times New Roman"/>
          <w:color w:val="000000" w:themeColor="text1"/>
          <w:sz w:val="16"/>
          <w:szCs w:val="16"/>
        </w:rPr>
        <w:softHyphen/>
        <w:t>тему применяли, а на английских высотных вари</w:t>
      </w:r>
      <w:r w:rsidRPr="00D03F3E">
        <w:rPr>
          <w:rFonts w:ascii="Times New Roman" w:hAnsi="Times New Roman"/>
          <w:color w:val="000000" w:themeColor="text1"/>
          <w:sz w:val="16"/>
          <w:szCs w:val="16"/>
        </w:rPr>
        <w:softHyphen/>
        <w:t>антах мотора «Мерлин» с той же целью устанавли</w:t>
      </w:r>
      <w:r w:rsidRPr="00D03F3E">
        <w:rPr>
          <w:rFonts w:ascii="Times New Roman" w:hAnsi="Times New Roman"/>
          <w:color w:val="000000" w:themeColor="text1"/>
          <w:sz w:val="16"/>
          <w:szCs w:val="16"/>
        </w:rPr>
        <w:softHyphen/>
        <w:t>вали дополнительный радиатор (10712).</w:t>
      </w:r>
    </w:p>
    <w:p w14:paraId="2323046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6D2B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года начался серийный выпуск моторов М-82ФН на заводе №19. Обозначение моторов на</w:t>
      </w:r>
      <w:r w:rsidRPr="00D03F3E">
        <w:rPr>
          <w:rFonts w:ascii="Times New Roman" w:hAnsi="Times New Roman"/>
          <w:color w:val="000000" w:themeColor="text1"/>
          <w:sz w:val="16"/>
          <w:szCs w:val="16"/>
        </w:rPr>
        <w:softHyphen/>
        <w:t>чиналось с цифр «82», а производи</w:t>
      </w:r>
      <w:r w:rsidRPr="00D03F3E">
        <w:rPr>
          <w:rFonts w:ascii="Times New Roman" w:hAnsi="Times New Roman"/>
          <w:color w:val="000000" w:themeColor="text1"/>
          <w:sz w:val="16"/>
          <w:szCs w:val="16"/>
        </w:rPr>
        <w:softHyphen/>
        <w:t>лись они по-прежнему в двух моди</w:t>
      </w:r>
      <w:r w:rsidRPr="00D03F3E">
        <w:rPr>
          <w:rFonts w:ascii="Times New Roman" w:hAnsi="Times New Roman"/>
          <w:color w:val="000000" w:themeColor="text1"/>
          <w:sz w:val="16"/>
          <w:szCs w:val="16"/>
        </w:rPr>
        <w:softHyphen/>
        <w:t>фикациях: М-82ФН-112 с редукцией 11/16 для истребителей и М-82ФН-212 с редукцией 9/16 для бомбарди</w:t>
      </w:r>
      <w:r w:rsidRPr="00D03F3E">
        <w:rPr>
          <w:rFonts w:ascii="Times New Roman" w:hAnsi="Times New Roman"/>
          <w:color w:val="000000" w:themeColor="text1"/>
          <w:sz w:val="16"/>
          <w:szCs w:val="16"/>
        </w:rPr>
        <w:softHyphen/>
        <w:t>ровщиков. Ресурс их до первой пере</w:t>
      </w:r>
      <w:r w:rsidRPr="00D03F3E">
        <w:rPr>
          <w:rFonts w:ascii="Times New Roman" w:hAnsi="Times New Roman"/>
          <w:color w:val="000000" w:themeColor="text1"/>
          <w:sz w:val="16"/>
          <w:szCs w:val="16"/>
        </w:rPr>
        <w:softHyphen/>
        <w:t>борки был установлен 100 часов (10713).</w:t>
      </w:r>
    </w:p>
    <w:p w14:paraId="242120C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F41731" w14:textId="77777777" w:rsidR="00A67E8A" w:rsidRPr="00D03F3E" w:rsidRDefault="00A67E8A"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апреле 1943 г. на заводе № 19 начался серийный выпуск М-82ФН Обозначение мо</w:t>
      </w:r>
      <w:r w:rsidRPr="00D03F3E">
        <w:rPr>
          <w:rFonts w:ascii="Times New Roman" w:cs="Times New Roman"/>
          <w:color w:val="000000" w:themeColor="text1"/>
          <w:spacing w:val="0"/>
        </w:rPr>
        <w:softHyphen/>
        <w:t>торов начиналось с цифр «82», а производились они по-прежнему в двух модификациях: М-82ФН-112 с редукцией 11/16 для истребителей и М-82ФН-212 с редукцией 9/16 для бомбардировщиков. Ресурс их до первой переборки установили в 100 часов (15813).</w:t>
      </w:r>
    </w:p>
    <w:p w14:paraId="202A678D" w14:textId="77777777" w:rsidR="00A67E8A" w:rsidRPr="00D03F3E" w:rsidRDefault="00A67E8A" w:rsidP="00D03F3E">
      <w:pPr>
        <w:pStyle w:val="27"/>
        <w:shd w:val="clear" w:color="auto" w:fill="auto"/>
        <w:spacing w:after="0" w:line="240" w:lineRule="auto"/>
        <w:ind w:firstLine="0"/>
        <w:rPr>
          <w:rFonts w:ascii="Times New Roman" w:cs="Times New Roman"/>
          <w:color w:val="000000" w:themeColor="text1"/>
          <w:spacing w:val="0"/>
        </w:rPr>
      </w:pPr>
    </w:p>
    <w:p w14:paraId="15D36145" w14:textId="77777777" w:rsidR="000A76A3" w:rsidRPr="00D03F3E" w:rsidRDefault="000A76A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года на бывшей территории завода № 39 размещают новый авиационный завод № 381, прибывший из Нижнего Тагила, куда он, в свою очередь, был эвакуирован из Ленинграда. Оборудование завезли с предприятий, эвакуированных из Тагила, Харькова, Ленинграда. С этого времени завод № 381 приступил к серийному производству истребителей Ла-5 и Ла-7 конструктора С.А. Лавочкина.</w:t>
      </w:r>
    </w:p>
    <w:p w14:paraId="69474DC2" w14:textId="77777777" w:rsidR="000A76A3" w:rsidRPr="00D03F3E" w:rsidRDefault="000A76A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опустевших площадях соседнего авиационного завода № 1 имени Сталина, эвакуированного на станцию Безымянка близ Куйбышева, в ноябре 1941 года также была организована авиаремонтная база Западного фронта. Здесь стали производить круглосуточный ремонт поврежденных самолетов.</w:t>
      </w:r>
    </w:p>
    <w:p w14:paraId="6F7F066E" w14:textId="77777777" w:rsidR="000A76A3" w:rsidRPr="00D03F3E" w:rsidRDefault="000A76A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Затем, согласно Постановлению Государственного Комитета Обороны от 17-го декабря 1941 года, из города Кимры на те же площади переводится опытный завод № 30. Используя сохранившийся задел завода № 1, новый завод немедленно приступает к выпуску истребителей МиГ-3, а также истребителей И-16, предназначенных для защиты Москвы от налетов вражеской авиации. Но главной задачей, поставленной предприятию Государственным Комитетом Обороны - освоить в кратчайшие сроки выпуск штурмовиков Ил-2 (Прим. 54).</w:t>
      </w:r>
    </w:p>
    <w:p w14:paraId="7726ACEF" w14:textId="77777777" w:rsidR="000A76A3" w:rsidRPr="00D03F3E" w:rsidRDefault="000A76A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Авиационные заводы № 381 и № 30, разместившиеся на площадях эвакуированных из Москвы старейших заводов № 1 имени И.В. Сталина и № 39 имени В.Р. Менжинского, продолжили работу и в послевоенное время. На заводе № 381 в 1945 году завершается производство Ла-7: всего было выпущено 1298 машин. Далее завод участвует в постройке опытных серий самолетов И-250, Ла-150. В 1949 году заводом изготовлена партия Миг-15. На заводе № 30 в 1945 году производство Ил-2 также было свернуто. С 1946 года завод освоил производство пассажирского самолета Ил-12: до прекращения выпуска в 1949 году было изготовлено 659 машин.</w:t>
      </w:r>
    </w:p>
    <w:p w14:paraId="21C53A26" w14:textId="77777777" w:rsidR="000A76A3" w:rsidRPr="00D03F3E" w:rsidRDefault="000A76A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1950 году в связи с освоением крупносерийного производства бомбардировщиков Ил-28, заводы № 30 и № 381 объединены в единый авиационный завод № 30. В 1949-1955 годах объем производства Ил-28 на заводе № 30 доходил до 100 машин в месяц. С этого времени цехи, расположенные на территории бывшего завода № 381, специализируются на изготовлении фюзеляжа (крупных сборочных единиц) и входящих механических деталей, а цехи завода № 30 – на изготовлении компонентов планера, деталей и окончательной сборке изделия.</w:t>
      </w:r>
    </w:p>
    <w:p w14:paraId="265477E2" w14:textId="77777777" w:rsidR="000A76A3" w:rsidRPr="00D03F3E" w:rsidRDefault="000A76A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последующие годы завод № 30 выпускал самолеты Ил-14,Су-9 и Су-9У, Ил-18, МиГ-21, МиГ-23, Миг-29.</w:t>
      </w:r>
    </w:p>
    <w:p w14:paraId="1187D5CC" w14:textId="77777777" w:rsidR="000A76A3" w:rsidRPr="00D03F3E" w:rsidRDefault="000A76A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1965 году объединенный завод стал именоваться Московским машиностроительным заводом «Знамя Труда». В 1973 году завод преобразовывается в Московское авиационное производственное объединение (МАПО). В 1992 году МАПО присваивают имя П.В. Дементьева. С 1995 года – это МАПО «МИГ», ныне ОАО «Российская самолетостроительная корпорация «МИГ» (18293).  </w:t>
      </w:r>
    </w:p>
    <w:p w14:paraId="2321AB88" w14:textId="77777777" w:rsidR="000A76A3" w:rsidRPr="00D03F3E" w:rsidRDefault="000A76A3" w:rsidP="00D03F3E">
      <w:pPr>
        <w:widowControl w:val="0"/>
        <w:tabs>
          <w:tab w:val="left" w:pos="421"/>
        </w:tabs>
        <w:autoSpaceDE w:val="0"/>
        <w:autoSpaceDN w:val="0"/>
        <w:adjustRightInd w:val="0"/>
        <w:spacing w:after="0" w:line="240" w:lineRule="auto"/>
        <w:jc w:val="both"/>
        <w:rPr>
          <w:rFonts w:ascii="Times New Roman" w:hAnsi="Times New Roman"/>
          <w:color w:val="000000" w:themeColor="text1"/>
          <w:sz w:val="16"/>
          <w:szCs w:val="16"/>
        </w:rPr>
      </w:pPr>
    </w:p>
    <w:p w14:paraId="5DBE51A1" w14:textId="77777777" w:rsidR="00DB6725" w:rsidRPr="00D03F3E" w:rsidRDefault="00DB6725" w:rsidP="00D03F3E">
      <w:pPr>
        <w:widowControl w:val="0"/>
        <w:tabs>
          <w:tab w:val="left" w:pos="42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в НКАП одновременно были снижены на 13 % расценки и подняты на 15 % нормы выработки (Самолётостроение в СССР. 1917—1945. Кн. 2. М., 1994. С. 223). Не в послед</w:t>
      </w:r>
      <w:r w:rsidRPr="00D03F3E">
        <w:rPr>
          <w:rFonts w:ascii="Times New Roman" w:hAnsi="Times New Roman"/>
          <w:color w:val="000000" w:themeColor="text1"/>
          <w:sz w:val="16"/>
          <w:szCs w:val="16"/>
        </w:rPr>
        <w:softHyphen/>
        <w:t>нюю очередь это объяснялось тем, что по сравнению с маем 1942 г. к маю 1943-го число рабочих, перевыполнявших нор</w:t>
      </w:r>
      <w:r w:rsidRPr="00D03F3E">
        <w:rPr>
          <w:rFonts w:ascii="Times New Roman" w:hAnsi="Times New Roman"/>
          <w:color w:val="000000" w:themeColor="text1"/>
          <w:sz w:val="16"/>
          <w:szCs w:val="16"/>
        </w:rPr>
        <w:softHyphen/>
        <w:t>му выработки выросло на 22 %, а производительность труда в отрасли в общем возросла на 30 %. Не останавливаясь на достигнутом, в мае 1944 г. нормы выработки были вновь в среднем подняты, на этот раз — на 10 %, а расценки — сни</w:t>
      </w:r>
      <w:r w:rsidRPr="00D03F3E">
        <w:rPr>
          <w:rFonts w:ascii="Times New Roman" w:hAnsi="Times New Roman"/>
          <w:color w:val="000000" w:themeColor="text1"/>
          <w:sz w:val="16"/>
          <w:szCs w:val="16"/>
        </w:rPr>
        <w:softHyphen/>
        <w:t>жены на 9,1 % (Самолётостроение в СССР. 1917—1945. Кн. 2. М., 1994. С. 232). Официальная точка зрения состояла в том, что повышение норм и снижение расценок неизбежно, так как выработка на одного рабочего в 1944 г. возросла по сравнению с довоенным уровнем на 68 %, а число рабочих, не выполнявших нормы, составило лишь 11,5 % (</w:t>
      </w:r>
      <w:r w:rsidRPr="00D03F3E">
        <w:rPr>
          <w:rFonts w:ascii="Times New Roman" w:hAnsi="Times New Roman"/>
          <w:iCs/>
          <w:color w:val="000000" w:themeColor="text1"/>
          <w:sz w:val="16"/>
          <w:szCs w:val="16"/>
        </w:rPr>
        <w:t>Парамонов В.</w:t>
      </w:r>
      <w:r w:rsidRPr="00D03F3E">
        <w:rPr>
          <w:rFonts w:ascii="Times New Roman" w:hAnsi="Times New Roman"/>
          <w:color w:val="000000" w:themeColor="text1"/>
          <w:sz w:val="16"/>
          <w:szCs w:val="16"/>
        </w:rPr>
        <w:t xml:space="preserve"> Россия в 1941—1945 гг.: проблемы индустриального раз</w:t>
      </w:r>
      <w:r w:rsidRPr="00D03F3E">
        <w:rPr>
          <w:rFonts w:ascii="Times New Roman" w:hAnsi="Times New Roman"/>
          <w:color w:val="000000" w:themeColor="text1"/>
          <w:sz w:val="16"/>
          <w:szCs w:val="16"/>
        </w:rPr>
        <w:softHyphen/>
        <w:t>вития. Самара, 1999. С. 39). В то же время следует учитывать, что руководство авиазаводов, стремясь поддержать материально собственный персонал, нередко шло на сознательное завышение тарифа работников (</w:t>
      </w:r>
      <w:r w:rsidRPr="00D03F3E">
        <w:rPr>
          <w:rFonts w:ascii="Times New Roman" w:hAnsi="Times New Roman"/>
          <w:iCs/>
          <w:color w:val="000000" w:themeColor="text1"/>
          <w:sz w:val="16"/>
          <w:szCs w:val="16"/>
        </w:rPr>
        <w:t>Парамонов В.</w:t>
      </w:r>
      <w:r w:rsidRPr="00D03F3E">
        <w:rPr>
          <w:rFonts w:ascii="Times New Roman" w:hAnsi="Times New Roman"/>
          <w:color w:val="000000" w:themeColor="text1"/>
          <w:sz w:val="16"/>
          <w:szCs w:val="16"/>
        </w:rPr>
        <w:t xml:space="preserve"> Россия в 1941—1945 гг.: проблемы индустриального раз</w:t>
      </w:r>
      <w:r w:rsidRPr="00D03F3E">
        <w:rPr>
          <w:rFonts w:ascii="Times New Roman" w:hAnsi="Times New Roman"/>
          <w:color w:val="000000" w:themeColor="text1"/>
          <w:sz w:val="16"/>
          <w:szCs w:val="16"/>
        </w:rPr>
        <w:softHyphen/>
        <w:t>вития. Самара, 1999. С. 42). Ряд иссле</w:t>
      </w:r>
      <w:r w:rsidRPr="00D03F3E">
        <w:rPr>
          <w:rFonts w:ascii="Times New Roman" w:hAnsi="Times New Roman"/>
          <w:color w:val="000000" w:themeColor="text1"/>
          <w:sz w:val="16"/>
          <w:szCs w:val="16"/>
        </w:rPr>
        <w:softHyphen/>
        <w:t>дователей считают, что для заводской администрации было в порядке вещей идти на фальсификацию отчётных данных ради интересов персонала. Видимо, это не являлось тайной для руководства НКАП, поэтому наркомат стремился урегу</w:t>
      </w:r>
      <w:r w:rsidRPr="00D03F3E">
        <w:rPr>
          <w:rFonts w:ascii="Times New Roman" w:hAnsi="Times New Roman"/>
          <w:color w:val="000000" w:themeColor="text1"/>
          <w:sz w:val="16"/>
          <w:szCs w:val="16"/>
        </w:rPr>
        <w:softHyphen/>
        <w:t>лировать этот вопрос если не повальной переаттестацией ра</w:t>
      </w:r>
      <w:r w:rsidRPr="00D03F3E">
        <w:rPr>
          <w:rFonts w:ascii="Times New Roman" w:hAnsi="Times New Roman"/>
          <w:color w:val="000000" w:themeColor="text1"/>
          <w:sz w:val="16"/>
          <w:szCs w:val="16"/>
        </w:rPr>
        <w:softHyphen/>
        <w:t>бочих", то хотя бы через повышение норм выработки.</w:t>
      </w:r>
    </w:p>
    <w:p w14:paraId="694E63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Вообще, вопрос определения норм выработки и произво</w:t>
      </w:r>
      <w:r w:rsidRPr="00D03F3E">
        <w:rPr>
          <w:rFonts w:ascii="Times New Roman" w:hAnsi="Times New Roman"/>
          <w:color w:val="000000" w:themeColor="text1"/>
          <w:sz w:val="16"/>
          <w:szCs w:val="16"/>
        </w:rPr>
        <w:softHyphen/>
        <w:t>дительности труда постоянно был «узким местом» в менед</w:t>
      </w:r>
      <w:r w:rsidRPr="00D03F3E">
        <w:rPr>
          <w:rFonts w:ascii="Times New Roman" w:hAnsi="Times New Roman"/>
          <w:color w:val="000000" w:themeColor="text1"/>
          <w:sz w:val="16"/>
          <w:szCs w:val="16"/>
        </w:rPr>
        <w:softHyphen/>
        <w:t>жменте авиапромышленности. Ещё в 1943 г. Госплан отмечал порочность исчисления производительности труда через не</w:t>
      </w:r>
      <w:r w:rsidRPr="00D03F3E">
        <w:rPr>
          <w:rFonts w:ascii="Times New Roman" w:hAnsi="Times New Roman"/>
          <w:color w:val="000000" w:themeColor="text1"/>
          <w:sz w:val="16"/>
          <w:szCs w:val="16"/>
        </w:rPr>
        <w:softHyphen/>
        <w:t>изменные цены 1926/27 г. Отмечалось, что, «в силу измене</w:t>
      </w:r>
      <w:r w:rsidRPr="00D03F3E">
        <w:rPr>
          <w:rFonts w:ascii="Times New Roman" w:hAnsi="Times New Roman"/>
          <w:color w:val="000000" w:themeColor="text1"/>
          <w:sz w:val="16"/>
          <w:szCs w:val="16"/>
        </w:rPr>
        <w:softHyphen/>
        <w:t>ний за время войны структуры промышленных наркоматов и промышленности в целом и ввиду увеличения доли новой продукции, так называемые неизменные цены, которые близ</w:t>
      </w:r>
      <w:r w:rsidRPr="00D03F3E">
        <w:rPr>
          <w:rFonts w:ascii="Times New Roman" w:hAnsi="Times New Roman"/>
          <w:color w:val="000000" w:themeColor="text1"/>
          <w:sz w:val="16"/>
          <w:szCs w:val="16"/>
        </w:rPr>
        <w:softHyphen/>
        <w:t>ки к отпускным ценам и, следовательно, несопоставимы с неизменными ценами на старую продукцию, требуется вне</w:t>
      </w:r>
      <w:r w:rsidRPr="00D03F3E">
        <w:rPr>
          <w:rFonts w:ascii="Times New Roman" w:hAnsi="Times New Roman"/>
          <w:color w:val="000000" w:themeColor="text1"/>
          <w:sz w:val="16"/>
          <w:szCs w:val="16"/>
        </w:rPr>
        <w:softHyphen/>
        <w:t>сти поправки в существующий метод исчисления производи</w:t>
      </w:r>
      <w:r w:rsidRPr="00D03F3E">
        <w:rPr>
          <w:rFonts w:ascii="Times New Roman" w:hAnsi="Times New Roman"/>
          <w:color w:val="000000" w:themeColor="text1"/>
          <w:sz w:val="16"/>
          <w:szCs w:val="16"/>
        </w:rPr>
        <w:softHyphen/>
        <w:t>тельности труда». Чтобы исправить ситуацию, было решено: «а) считать производительность труда в натуре или в рублях по каждой крупной отрасли промышленности отдельно и определять таким образом процент роста производительно</w:t>
      </w:r>
      <w:r w:rsidRPr="00D03F3E">
        <w:rPr>
          <w:rFonts w:ascii="Times New Roman" w:hAnsi="Times New Roman"/>
          <w:color w:val="000000" w:themeColor="text1"/>
          <w:sz w:val="16"/>
          <w:szCs w:val="16"/>
        </w:rPr>
        <w:softHyphen/>
        <w:t>сти труда по отраслям; б) задание по производительности труда по наркомату или по промышленности в целом опреде</w:t>
      </w:r>
      <w:r w:rsidRPr="00D03F3E">
        <w:rPr>
          <w:rFonts w:ascii="Times New Roman" w:hAnsi="Times New Roman"/>
          <w:color w:val="000000" w:themeColor="text1"/>
          <w:sz w:val="16"/>
          <w:szCs w:val="16"/>
        </w:rPr>
        <w:softHyphen/>
        <w:t>лять в процентах к предыдущему периоду» (Цит. по:</w:t>
      </w:r>
      <w:r w:rsidRPr="00D03F3E">
        <w:rPr>
          <w:rFonts w:ascii="Times New Roman" w:hAnsi="Times New Roman"/>
          <w:iCs/>
          <w:color w:val="000000" w:themeColor="text1"/>
          <w:sz w:val="16"/>
          <w:szCs w:val="16"/>
        </w:rPr>
        <w:t xml:space="preserve"> Парамонов В.</w:t>
      </w:r>
      <w:r w:rsidRPr="00D03F3E">
        <w:rPr>
          <w:rFonts w:ascii="Times New Roman" w:hAnsi="Times New Roman"/>
          <w:color w:val="000000" w:themeColor="text1"/>
          <w:sz w:val="16"/>
          <w:szCs w:val="16"/>
        </w:rPr>
        <w:t xml:space="preserve"> Россия в 1941—1945 гг.: проблемы индустриаль</w:t>
      </w:r>
      <w:r w:rsidRPr="00D03F3E">
        <w:rPr>
          <w:rFonts w:ascii="Times New Roman" w:hAnsi="Times New Roman"/>
          <w:color w:val="000000" w:themeColor="text1"/>
          <w:sz w:val="16"/>
          <w:szCs w:val="16"/>
        </w:rPr>
        <w:softHyphen/>
        <w:t>ного развития. Самара, 1999. С. 40).</w:t>
      </w:r>
    </w:p>
    <w:p w14:paraId="7F4959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Впрочем, эти меры относились к общегосударственному уровню и не могли влиять на искажения в исчислении про</w:t>
      </w:r>
      <w:r w:rsidRPr="00D03F3E">
        <w:rPr>
          <w:rFonts w:ascii="Times New Roman" w:hAnsi="Times New Roman"/>
          <w:color w:val="000000" w:themeColor="text1"/>
          <w:sz w:val="16"/>
          <w:szCs w:val="16"/>
        </w:rPr>
        <w:softHyphen/>
        <w:t>изводительности труда на заводском уровне. Так, например, в 1944 г. на авиазаводе № 33 профсоюзные работники отме</w:t>
      </w:r>
      <w:r w:rsidRPr="00D03F3E">
        <w:rPr>
          <w:rFonts w:ascii="Times New Roman" w:hAnsi="Times New Roman"/>
          <w:color w:val="000000" w:themeColor="text1"/>
          <w:sz w:val="16"/>
          <w:szCs w:val="16"/>
        </w:rPr>
        <w:softHyphen/>
        <w:t>чали: «У нас на заводе имеется большая категория учеников. Эти ученики при подсчете производительности труда, по ука</w:t>
      </w:r>
      <w:r w:rsidRPr="00D03F3E">
        <w:rPr>
          <w:rFonts w:ascii="Times New Roman" w:hAnsi="Times New Roman"/>
          <w:color w:val="000000" w:themeColor="text1"/>
          <w:sz w:val="16"/>
          <w:szCs w:val="16"/>
        </w:rPr>
        <w:softHyphen/>
        <w:t>занию ЦУНХУ, нигде не учитываются, и когда определяют выработку на 1 рабочего, то берут валовый выпуск и делят на среднесписочное количество рабочих. Учеников совершенно игнорируют. Поэтому, если у вас сегодня много учеников, то они вам дают отдачу, а производительность от них идет на рабочих. Тоща это выгодно заводу. Но как только ученики начинают переходить в категорию рабочих, тоща начинается падение выработки» (Цит. по:</w:t>
      </w:r>
      <w:r w:rsidRPr="00D03F3E">
        <w:rPr>
          <w:rFonts w:ascii="Times New Roman" w:hAnsi="Times New Roman"/>
          <w:iCs/>
          <w:color w:val="000000" w:themeColor="text1"/>
          <w:sz w:val="16"/>
          <w:szCs w:val="16"/>
        </w:rPr>
        <w:t xml:space="preserve"> Парамонов В.</w:t>
      </w:r>
      <w:r w:rsidRPr="00D03F3E">
        <w:rPr>
          <w:rFonts w:ascii="Times New Roman" w:hAnsi="Times New Roman"/>
          <w:color w:val="000000" w:themeColor="text1"/>
          <w:sz w:val="16"/>
          <w:szCs w:val="16"/>
        </w:rPr>
        <w:t xml:space="preserve"> Россия в 1941—1945 гг.: проблемы индустриаль</w:t>
      </w:r>
      <w:r w:rsidRPr="00D03F3E">
        <w:rPr>
          <w:rFonts w:ascii="Times New Roman" w:hAnsi="Times New Roman"/>
          <w:color w:val="000000" w:themeColor="text1"/>
          <w:sz w:val="16"/>
          <w:szCs w:val="16"/>
        </w:rPr>
        <w:softHyphen/>
        <w:t>ного развития. Самара, 1999. С. 39). Помимо этого, были и другие, харак</w:t>
      </w:r>
      <w:r w:rsidRPr="00D03F3E">
        <w:rPr>
          <w:rFonts w:ascii="Times New Roman" w:hAnsi="Times New Roman"/>
          <w:color w:val="000000" w:themeColor="text1"/>
          <w:sz w:val="16"/>
          <w:szCs w:val="16"/>
        </w:rPr>
        <w:softHyphen/>
        <w:t>терные именно для авиапромышленности, способы искаже</w:t>
      </w:r>
      <w:r w:rsidRPr="00D03F3E">
        <w:rPr>
          <w:rFonts w:ascii="Times New Roman" w:hAnsi="Times New Roman"/>
          <w:color w:val="000000" w:themeColor="text1"/>
          <w:sz w:val="16"/>
          <w:szCs w:val="16"/>
        </w:rPr>
        <w:softHyphen/>
        <w:t>ния отчётности. Так, на авиапредприятиях практиковалось включение в категорию «готовая продукция» неукомплекто</w:t>
      </w:r>
      <w:r w:rsidRPr="00D03F3E">
        <w:rPr>
          <w:rFonts w:ascii="Times New Roman" w:hAnsi="Times New Roman"/>
          <w:color w:val="000000" w:themeColor="text1"/>
          <w:sz w:val="16"/>
          <w:szCs w:val="16"/>
        </w:rPr>
        <w:softHyphen/>
        <w:t xml:space="preserve">ванных </w:t>
      </w:r>
      <w:r w:rsidRPr="00D03F3E">
        <w:rPr>
          <w:rFonts w:ascii="Times New Roman" w:hAnsi="Times New Roman"/>
          <w:color w:val="000000" w:themeColor="text1"/>
          <w:sz w:val="16"/>
          <w:szCs w:val="16"/>
        </w:rPr>
        <w:lastRenderedPageBreak/>
        <w:t>изделий, не прошедших контрольных испытаний или не принятых военными представителями (Цит. по:</w:t>
      </w:r>
      <w:r w:rsidRPr="00D03F3E">
        <w:rPr>
          <w:rFonts w:ascii="Times New Roman" w:hAnsi="Times New Roman"/>
          <w:iCs/>
          <w:color w:val="000000" w:themeColor="text1"/>
          <w:sz w:val="16"/>
          <w:szCs w:val="16"/>
        </w:rPr>
        <w:t xml:space="preserve"> Парамонов В.</w:t>
      </w:r>
      <w:r w:rsidRPr="00D03F3E">
        <w:rPr>
          <w:rFonts w:ascii="Times New Roman" w:hAnsi="Times New Roman"/>
          <w:color w:val="000000" w:themeColor="text1"/>
          <w:sz w:val="16"/>
          <w:szCs w:val="16"/>
        </w:rPr>
        <w:t xml:space="preserve"> Россия в 1941—1945 гг.: проблемы индустриаль</w:t>
      </w:r>
      <w:r w:rsidRPr="00D03F3E">
        <w:rPr>
          <w:rFonts w:ascii="Times New Roman" w:hAnsi="Times New Roman"/>
          <w:color w:val="000000" w:themeColor="text1"/>
          <w:sz w:val="16"/>
          <w:szCs w:val="16"/>
        </w:rPr>
        <w:softHyphen/>
        <w:t>ного развития. Самара, 1999. С. 40).</w:t>
      </w:r>
    </w:p>
    <w:p w14:paraId="3C0B2F83" w14:textId="77777777" w:rsidR="00DB6725" w:rsidRPr="00D03F3E" w:rsidRDefault="00DB6725" w:rsidP="00D03F3E">
      <w:pPr>
        <w:widowControl w:val="0"/>
        <w:tabs>
          <w:tab w:val="left" w:pos="473"/>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том же русле возврата к довоенным формам стимули</w:t>
      </w:r>
      <w:r w:rsidRPr="00D03F3E">
        <w:rPr>
          <w:rFonts w:ascii="Times New Roman" w:hAnsi="Times New Roman"/>
          <w:color w:val="000000" w:themeColor="text1"/>
          <w:sz w:val="16"/>
          <w:szCs w:val="16"/>
        </w:rPr>
        <w:softHyphen/>
        <w:t>рования трудовой активности лежали и изменения в форме поощрения победителям соцсоревнования. Если в первые два года войны в основном применялись моральные формы награждения победителей (Занесение на Доску почёта, запись в Книге почёта, поздравительная телеграмма от обкома партии и т.п.), то с 1943 г. достаточно широко стали применяться и материальные формы награды -— денежные премии, ордера на приобретение промышленных то</w:t>
      </w:r>
      <w:r w:rsidRPr="00D03F3E">
        <w:rPr>
          <w:rFonts w:ascii="Times New Roman" w:hAnsi="Times New Roman"/>
          <w:color w:val="000000" w:themeColor="text1"/>
          <w:sz w:val="16"/>
          <w:szCs w:val="16"/>
        </w:rPr>
        <w:softHyphen/>
        <w:t>варов широкого спроса и т.п. (</w:t>
      </w:r>
      <w:r w:rsidRPr="00D03F3E">
        <w:rPr>
          <w:rFonts w:ascii="Times New Roman" w:hAnsi="Times New Roman"/>
          <w:iCs/>
          <w:color w:val="000000" w:themeColor="text1"/>
          <w:sz w:val="16"/>
          <w:szCs w:val="16"/>
        </w:rPr>
        <w:t>Савицкий ИМ.</w:t>
      </w:r>
      <w:r w:rsidRPr="00D03F3E">
        <w:rPr>
          <w:rFonts w:ascii="Times New Roman" w:hAnsi="Times New Roman"/>
          <w:color w:val="000000" w:themeColor="text1"/>
          <w:sz w:val="16"/>
          <w:szCs w:val="16"/>
        </w:rPr>
        <w:t xml:space="preserve"> Указ. соч. С. 284) (12011).</w:t>
      </w:r>
    </w:p>
    <w:p w14:paraId="142A95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C096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года на Софринском КИАП провели полигонные испытания ФАБ-5000. Бомбы были снаряжены смесью ТГА и укомплектованы шестью взрывателями - по одному АПУВ в головном и донном очке и четыре боковых взрывателя АВ-1М с установкой на мгновенное действие.</w:t>
      </w:r>
    </w:p>
    <w:p w14:paraId="376C20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Основной целью испытаний было проверить прочность бомбодержателей самолета и безотказность их работы при подвеске ФАБ-5000, поведение бомбардировщика на взлете и в воздухе с подвешенной авиабомбой, а также выявить надежность и полноту взрыва авиабомбы и подтвердить ее расчетную баллистику. Боеприпас подвешивали, как и ФАБ-2000, на два бомбодержателя с замками Дер-20У. При этом ее стабилизатор “не вписался” в пределы бомбоотсека на 350 мм и его пришлось обрезать. В бомбовый отсек ФАБ-5000 поднимали с помощью шести штатных лебедок БЛ-4. Официально считается, что конструкторы боеприпаса учли размеры бомбоотсека самолета Пе-8, однако в подвешенном состоянии корпус авиабомбы лишь наполовину скрывался в нем. Створки люка, ложась на бомбу, закрывались лишь на 30°.</w:t>
      </w:r>
    </w:p>
    <w:p w14:paraId="4A28A79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пробной рулежки самолета по аэродрому специалисты осмотрели замки и подвесную систему, убедившись, что они выдержали растряску. В ходе летных испытаний выяснилось, что бомбардировщик с ФАБ-5000 взлетает нормально, а его пилотирование не отличается от обычного. Правда, максимальная скорость машины на крейсерском режиме за счет ухудшения аэродинамики снизилась на 10-15 км/ч.</w:t>
      </w:r>
    </w:p>
    <w:p w14:paraId="14B34A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испытаний сбросили две авиабомбы - с высоты 4000 и 13300 м. Первая упала на поляне и дала полный взрыв, образовав воронку диаметром шесть и глубиной три метра. Трава, окружающая воронку, была сорвана и сожжена в радиусе 40-150 м на общей площади около 13000 м2. Пни, находившиеся на поляне, были обожжены, а некоторые из них загорелись. Вторая бомба упала на густой строевой лес. В результате образовалась воронка диаметром восемь и глубиной три метра. В радиусе 55-70 м взрывной волной полностью снесло деревья с диаметром стволов 150-500 мм.</w:t>
      </w:r>
    </w:p>
    <w:p w14:paraId="3D4435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результатам испытаний военные пришли к выводу, что боевое применение ФАБ-5000 с самолетов Пе-8 вполне допустимо. Все агрегаты бомбардировочной установки, подвесной системы и системы подъема авиабомб работали безупречно, исключая единственный случай отказа аварийного сбрасывателя (его причина осталась невыясненной) (7453).</w:t>
      </w:r>
    </w:p>
    <w:p w14:paraId="7CCBE0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Технологически ФАБ-5000 относилась к авиабомбам сварной конструкции с сильно развитой системой дополнительных детонаторов. Ее стальную головную часть, достигавшую у головного среза толщины 90 мм, отливали. Цилиндрическую и коническую части корпуса вальцевали из листового проката, тщательно проваривая двухсторонним швом все стыки. Снаряжали авиабомбы через два специальных люка диаметром 200 мм в цилиндрической части корпуса, закрываемых крышками на болтах.</w:t>
      </w:r>
    </w:p>
    <w:p w14:paraId="346200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Вдоль продольной оси авиабомбы располагался сплошной запальный стакан, выполненный из тонкостенной бесшовной трубы диаметром 108 мм, концы которой приваривали к головной и хвостовой втулкам взрывателей, также приваренным соответственно к головке и конусу авиабомбы. Детонаторы в запальный стакан вкладывали через хвостовую втулку, после чего закрывали ее конической крышкой с резьбой под взрыватель. Боковые запальные стаканы с втулками под взрыватели крепили к цилиндрической части авиабомбы также сваркой. Между собой и с продольным запальным стаканом они соединялись приваренными стальными планками. Поскольку масса боевого заряда ФАБ-5000 намного превышала суточную норму выработки целого снаряжательного завода, снаряжали каждую из них в течение недели, дocтaвляли взрывчатое вещество порциями на особо охраняемую заводскую площадку.</w:t>
      </w:r>
    </w:p>
    <w:p w14:paraId="2EC91FF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Конус стабилизатора коробчатого типа на конической части корпуса авиабомбы прижимало специальное колцо хвостовой втулки. Его перья к угольникам конической сти авиабомбы, как и стальные 5-мм растяжки, привареные к ним для жесткости, притягивали 14-мм болта. Поскольку ФАБ-5000 транспортировали без укупорки для предохранения деталей ее запальных стаканов и снряжательных люков от деформации приваривали угоковые профили. В замки бомбодержателей самолета бо подвешивали на специальных поясах. Начиная с 1944 для окончательного снаряжания ФАБ-5000 начали пользовать однотипные универсальные авиационные взрыватели АВ-1Ф, благодаря всюдубойному ударному ханизму допускавшие их установку в головное, донное и боковое очко боеприпаса (7453).</w:t>
      </w:r>
    </w:p>
    <w:p w14:paraId="74DB36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CF065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на заводе №98 поточную линию запустили в эксплуатацию. Производительность труда выросла на 40%, а выпуск пороховых шашек к М-13 - вдвое. РС с поро</w:t>
      </w:r>
      <w:r w:rsidRPr="00D03F3E">
        <w:rPr>
          <w:rFonts w:ascii="Times New Roman" w:hAnsi="Times New Roman"/>
          <w:color w:val="000000" w:themeColor="text1"/>
          <w:sz w:val="16"/>
          <w:szCs w:val="16"/>
        </w:rPr>
        <w:softHyphen/>
        <w:t>ховыми шашками, изготовленными по новой технологии, летом этого же года применили в боях на Курской дуге (11402).</w:t>
      </w:r>
    </w:p>
    <w:p w14:paraId="5932F4D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E705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был разработан проект приказа о переходе на новые схемы окраски для всех самолетов, включая истребители, в котором планировался трехцветный камуфляж, причем соотношение зеленого, черного (а не темно-серого, как впоследствии) и светло-коричневого цветов предполагалось 5:2:3 (3285,13).</w:t>
      </w:r>
    </w:p>
    <w:p w14:paraId="43CA672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E3F5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в НИИ ВВС для проведения испытаний поступает необычно окрашенный (в серый цвет двух оттенков) Як-9. Заключение НИИ ВВС по поводу такого камуфляжа было резко отрицательным: оба оттенка серого "являются непригодными для фонов местности большинства наших округов. Это обстоятельство делает самолет хорошо заметным на стоянке на земле даже при визуальном наблюдении невооруженным глазом. По своим физическим свойствам серая краска (в данном случае оба тона) является дешифрируемой и при наблюдении с воздуха через специальные очки также способствует легкому обнаружению самолета. С точки зрения маскировки данный вид окраски для боевых самолетов совершенно непригоден". Единственное, что допускалось в заключении - использовать серый цвет "как один из составляющих при 3-х, 4-х цветной камуфляжной окраске" (3285,13).</w:t>
      </w:r>
    </w:p>
    <w:p w14:paraId="32490B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56FD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в НИИ ВВС для испытаний поступает Як-9, окрашенный в серый цвет двух оттенков. Заключение по поводу такого камуфляжа было резко отрицательным: оба оттенка серого "являются непригодными для фонов местности большинства наших округов. Это обстоятельство делает самолет хорошо заметным на стоянке на земле даже при визуальном наблюдении невооруженным глазом. По своим физическим свойствам серая краска (в данном случае оба тона) является дешифрируемой и при наблюдении с воздуха через специальные очки также способствует легкому обнаружению самолета. С точки зрения маскировки данный вид окраски для боевых самолетов совершенно непригоден". Единственное, что допускалось в этом заключении, - использовать серый цвет как один из составляющих при трех- или четырехцветной камуфляжной окраске. Запомним эти факты и вернемся к "Схемам ..." (11989).</w:t>
      </w:r>
    </w:p>
    <w:p w14:paraId="1F3FA1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1EC12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21E406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D46B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года на Балтийский флот начали поступать новые 305/52 дистанционные гранаты, но случаев их боевого применения в войне не было. В конце 30-х годов в боекомплект поступил фугасный дальнобойный снаряд обр. 1928 г. улучшенной аэродинамической формы. (3861).</w:t>
      </w:r>
    </w:p>
    <w:p w14:paraId="4735D8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B5D7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года решение ГКО снаряд БР-354П, разработанный группой конструкторов под руководством Бурмистрова И.С. с сердечником диаметром 28 мм из карбид-вольфрамового твердого сплава, внешне похожий на катушку ниток (их называли катушечной формы) был принят на вооружение. Огонь снарядом БР-354П можно было вести лишь на дистанциях до 500 м, а дальше из-за большого рассеивания и падения скорости его действие было неэффективно. В годы войны промышленностью было изготовлено более 1 миллиона 76-мм и 95 тысяч 85-мм подкалиберных снарядов. После войны был принят подкалиберный снаряд БР-354Н обтекаемой формы с улучшенной бронепробиваемостью (3861).</w:t>
      </w:r>
    </w:p>
    <w:p w14:paraId="161E27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D12A7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на вооружение был принят бронебойно-подкалиберный снаряд для 57-мм пушки. Бронепробиваемость этого снаряда по нормали на дальности 500 м составляла 146 мм. Такая высокая бро-непробивемость была достигнута за счет увеличения начальной скоро</w:t>
      </w:r>
      <w:r w:rsidRPr="00D03F3E">
        <w:rPr>
          <w:rFonts w:ascii="Times New Roman" w:hAnsi="Times New Roman"/>
          <w:color w:val="000000" w:themeColor="text1"/>
          <w:sz w:val="16"/>
          <w:szCs w:val="16"/>
        </w:rPr>
        <w:softHyphen/>
        <w:t>сти снаряда до 1270 м/с (10703).</w:t>
      </w:r>
    </w:p>
    <w:p w14:paraId="7C57A1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E240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УНКВД Саратовской области составило записку о плохом питании рабочих завода боеприпасов № 205. В ней говорилось следующее: «На заводе работают в большинстве рабочие, чьи семьи остались жить в Москве. Они питаются главным образом в столовой. Питание в столовой рабочих организовано один раз в сутки. Качество приготовляемой пищи низкое. Мясных блюд практически не бывает. За март отоварено лишь 25 процентов мясных карточек рабочим, прикрепленным к столовой, крупяной карточки при одноразовом питании в сутки в столовой рабочим хватает на 15–20 дней». Работа на этом предприятии была, как и в «славные» тридцатые годы, организована по принципу: «В начале месяца перекур, в конце — перегруз и аврал». Поэтому с 20-го по 30-е число каждого месяца многим приходилось работать в две смены. Однако усиленного питания при этом никто не получал. Работая 24 часа, поскольку продолжительность одной смены была 12 часов, рабочий ел один раз, и то какую-то похлебку без мяса. Посему рабочим приходилось после трудового дня охотиться около завода на бродячих собак и питаться их мясом. [379 — Сойма В.М. Указ. соч., с. 115.]. На базарах и рынках Саратовской области в 1942/43 г. цены на основные продукты питания выросли в 10–30 раз! И это при том, что зарплата промышленных рабочих была увеличена всего на 50 %. [380 — Там же, с. 42.] (11741).</w:t>
      </w:r>
    </w:p>
    <w:p w14:paraId="2ACD0E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AD4EBF" w14:textId="77777777" w:rsidR="002E357C" w:rsidRPr="00D03F3E" w:rsidRDefault="002E357C" w:rsidP="00D03F3E">
      <w:pPr>
        <w:pStyle w:val="ae"/>
        <w:spacing w:before="0" w:after="0"/>
        <w:jc w:val="both"/>
        <w:rPr>
          <w:color w:val="000000" w:themeColor="text1"/>
          <w:sz w:val="16"/>
          <w:szCs w:val="16"/>
        </w:rPr>
      </w:pPr>
      <w:r w:rsidRPr="00D03F3E">
        <w:rPr>
          <w:color w:val="000000" w:themeColor="text1"/>
          <w:sz w:val="16"/>
          <w:szCs w:val="16"/>
        </w:rPr>
        <w:lastRenderedPageBreak/>
        <w:t>Апрель 1943. Модернизация отдельных узлов пулемета Дегтярева - ДП-27.</w:t>
      </w:r>
    </w:p>
    <w:p w14:paraId="6EB2AF01" w14:textId="77777777" w:rsidR="002E357C" w:rsidRPr="00D03F3E" w:rsidRDefault="002E357C" w:rsidP="00D03F3E">
      <w:pPr>
        <w:pStyle w:val="ae"/>
        <w:spacing w:before="0" w:after="0"/>
        <w:jc w:val="both"/>
        <w:rPr>
          <w:color w:val="000000" w:themeColor="text1"/>
          <w:sz w:val="16"/>
          <w:szCs w:val="16"/>
        </w:rPr>
      </w:pPr>
      <w:r w:rsidRPr="00D03F3E">
        <w:rPr>
          <w:color w:val="000000" w:themeColor="text1"/>
          <w:sz w:val="16"/>
          <w:szCs w:val="16"/>
        </w:rPr>
        <w:t>И.С. Лещинским разрабатывается морская счетверенная установка под пулеметы ДШКМ. В дальнейшем проект разрабатывается под модернизированные пулеметы ДШК с ленточным питанием и плоским приемником.</w:t>
      </w:r>
    </w:p>
    <w:p w14:paraId="57F0AD5A" w14:textId="77777777" w:rsidR="002E357C" w:rsidRPr="00D03F3E" w:rsidRDefault="002E357C" w:rsidP="00D03F3E">
      <w:pPr>
        <w:pStyle w:val="ae"/>
        <w:spacing w:before="0" w:after="0"/>
        <w:jc w:val="both"/>
        <w:rPr>
          <w:color w:val="000000" w:themeColor="text1"/>
          <w:sz w:val="16"/>
          <w:szCs w:val="16"/>
        </w:rPr>
      </w:pPr>
      <w:r w:rsidRPr="00D03F3E">
        <w:rPr>
          <w:color w:val="000000" w:themeColor="text1"/>
          <w:sz w:val="16"/>
          <w:szCs w:val="16"/>
        </w:rPr>
        <w:t>Принимается на вооружение патрон образца 1943 года, спроектированный Н.М. Елизаровым, Б.В. Семеновым и др. Вначале новый патрон предназначался для автоматов, но в дальнейшем он был использован и для ручного пулемета.</w:t>
      </w:r>
    </w:p>
    <w:p w14:paraId="4737366D" w14:textId="77777777" w:rsidR="002E357C" w:rsidRPr="00D03F3E" w:rsidRDefault="002E357C" w:rsidP="00D03F3E">
      <w:pPr>
        <w:pStyle w:val="ae"/>
        <w:spacing w:before="0" w:after="0"/>
        <w:jc w:val="both"/>
        <w:rPr>
          <w:color w:val="000000" w:themeColor="text1"/>
          <w:sz w:val="16"/>
          <w:szCs w:val="16"/>
        </w:rPr>
      </w:pPr>
      <w:r w:rsidRPr="00D03F3E">
        <w:rPr>
          <w:color w:val="000000" w:themeColor="text1"/>
          <w:sz w:val="16"/>
          <w:szCs w:val="16"/>
        </w:rPr>
        <w:t>Технический совет Наркомата вооружения поручает заводу провести доработку и устранение конструктивных недостатков скорострельного пулемета, разработанного И.И. Слостиным. Начиная с 1937 года, на заводе велись работы по проектированию и доводке многоствольных пулеметов «шквального огня». Первый вариант такого пулемета калибра 7,62 мм, разработанный в 1938 году конструктором И.И. Слостиным, подвергался полигонным испытаниям в 1939 году и показал неудовлетворительную работу. Однако оригинальность конструкции и высокий темп стрельбы представляли определенный интерес.</w:t>
      </w:r>
    </w:p>
    <w:p w14:paraId="2C2FE08C" w14:textId="77777777" w:rsidR="002E357C" w:rsidRPr="00D03F3E" w:rsidRDefault="002E357C" w:rsidP="00D03F3E">
      <w:pPr>
        <w:pStyle w:val="ae"/>
        <w:spacing w:before="0" w:after="0"/>
        <w:jc w:val="both"/>
        <w:rPr>
          <w:color w:val="000000" w:themeColor="text1"/>
          <w:sz w:val="16"/>
          <w:szCs w:val="16"/>
        </w:rPr>
      </w:pPr>
      <w:r w:rsidRPr="00D03F3E">
        <w:rPr>
          <w:color w:val="000000" w:themeColor="text1"/>
          <w:sz w:val="16"/>
          <w:szCs w:val="16"/>
        </w:rPr>
        <w:t>Во второй раз была внедрена в производство и изготавливалась до конца войны авиационная пушка калибра 23 мм тульских конструкторов А.А. Волкова и С.А. Ярцева.</w:t>
      </w:r>
    </w:p>
    <w:p w14:paraId="43C61262" w14:textId="77777777" w:rsidR="002E357C" w:rsidRPr="00D03F3E" w:rsidRDefault="002E357C" w:rsidP="00D03F3E">
      <w:pPr>
        <w:pStyle w:val="ae"/>
        <w:spacing w:before="0" w:after="0"/>
        <w:jc w:val="both"/>
        <w:rPr>
          <w:color w:val="000000" w:themeColor="text1"/>
          <w:sz w:val="16"/>
          <w:szCs w:val="16"/>
        </w:rPr>
      </w:pPr>
      <w:r w:rsidRPr="00D03F3E">
        <w:rPr>
          <w:color w:val="000000" w:themeColor="text1"/>
          <w:sz w:val="16"/>
          <w:szCs w:val="16"/>
        </w:rPr>
        <w:t>В ОГК началась работа по созданию 14,5-мм противотанкового пулемета на базе ранее разработанной С.В. Владимировым авиационной пушки В-20 калибра 20 мм. Ведущими конструкторами назначаются: по пулемету С.В. Владимиров, по станку - Г.П. Марков, по тумбовой зенитной установке - И.С Лещинский. В течение 6 месяцев велась напряженная работа по проектированию и изготовлению пулемета, получившего наименование КПВ-44 (крупнокалиберный Владимирова, 1944 год).</w:t>
      </w:r>
    </w:p>
    <w:p w14:paraId="20BC03EF" w14:textId="77777777" w:rsidR="002E357C" w:rsidRPr="00D03F3E" w:rsidRDefault="002E357C" w:rsidP="00D03F3E">
      <w:pPr>
        <w:pStyle w:val="ae"/>
        <w:spacing w:before="0" w:after="0"/>
        <w:jc w:val="both"/>
        <w:rPr>
          <w:color w:val="000000" w:themeColor="text1"/>
          <w:sz w:val="16"/>
          <w:szCs w:val="16"/>
        </w:rPr>
      </w:pPr>
      <w:r w:rsidRPr="00D03F3E">
        <w:rPr>
          <w:color w:val="000000" w:themeColor="text1"/>
          <w:sz w:val="16"/>
          <w:szCs w:val="16"/>
        </w:rPr>
        <w:t>Модернизация технологического процесса обработки канала ствола: С.А. Черничкин предложил ввести протягивание глубоких отверстий, для чего создал специальный инструмент оригинальной конструкции - двухзаходную винтовую протяжку. С.А.Черничкин был награжден орденом Красной Звезды (1945 год) (12221).</w:t>
      </w:r>
    </w:p>
    <w:p w14:paraId="67EFA27E" w14:textId="77777777" w:rsidR="002E357C" w:rsidRPr="00D03F3E" w:rsidRDefault="002E357C" w:rsidP="00D03F3E">
      <w:pPr>
        <w:pStyle w:val="ae"/>
        <w:spacing w:before="0" w:after="0"/>
        <w:jc w:val="both"/>
        <w:rPr>
          <w:color w:val="000000" w:themeColor="text1"/>
          <w:sz w:val="16"/>
          <w:szCs w:val="16"/>
        </w:rPr>
      </w:pPr>
    </w:p>
    <w:p w14:paraId="6F399E3A" w14:textId="77777777" w:rsidR="002E357C" w:rsidRPr="00D03F3E" w:rsidRDefault="002E357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такая машина БМ-13Н (нормализованную боевую машину) была разработана, изготовлена, прошла испытания и затем принята на вооружение Красной Армии вместо БМ-13 образца 1941 г. Одним из самых важных изменений явилась замена использовавшейся на первых образцах направляющей типа «спарка» на более совершенную направляющую типа «балка». Вся установка монтировалась на едином подрамнике, что позволяло размещать ее на любом шасси. Она оставалась основной боевой машиной до конца Великой Отечественной войны (12205).</w:t>
      </w:r>
    </w:p>
    <w:p w14:paraId="10780AD6" w14:textId="77777777" w:rsidR="002E357C" w:rsidRPr="00D03F3E" w:rsidRDefault="002E357C" w:rsidP="00D03F3E">
      <w:pPr>
        <w:spacing w:after="0" w:line="240" w:lineRule="auto"/>
        <w:jc w:val="both"/>
        <w:rPr>
          <w:rFonts w:ascii="Times New Roman" w:hAnsi="Times New Roman"/>
          <w:color w:val="000000" w:themeColor="text1"/>
          <w:sz w:val="16"/>
          <w:szCs w:val="16"/>
        </w:rPr>
      </w:pPr>
    </w:p>
    <w:p w14:paraId="68447F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завод № 9 получил ТТТ на изготовление 85-мм орудия в башне танков КВ-1С (с погоном диаметром 1560 мм) и ИС (с погоном 1700 мм). Всего к 16 июня завод № 9 отчитался о сдаче трех орудий С-31. На первом орудии при пробном отстреле вы</w:t>
      </w:r>
      <w:r w:rsidRPr="00D03F3E">
        <w:rPr>
          <w:rFonts w:ascii="Times New Roman" w:hAnsi="Times New Roman"/>
          <w:color w:val="000000" w:themeColor="text1"/>
          <w:sz w:val="16"/>
          <w:szCs w:val="16"/>
        </w:rPr>
        <w:softHyphen/>
        <w:t>шел из строя накатник. Орудие было отправлено на ремонт, накатники же двух других пушек были усилены (11135).</w:t>
      </w:r>
    </w:p>
    <w:p w14:paraId="26E1B6D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30C83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года окончательно прекратили выпуск КВ, который велся с 20 августа 1942 г. (3862).</w:t>
      </w:r>
    </w:p>
    <w:p w14:paraId="367D21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865DB5" w14:textId="77777777" w:rsidR="00C710FD" w:rsidRPr="00D03F3E"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апреле 1943 года подготовка к выпуску установочной партии ИС-1 прямо сказалась на выпуске КВ-1с. Вместо 85 запланированных танков удалось сдать всего 50, ограничивающим фактором стали корпуса и башни. С учетом того, что установочную партию ИС-1 корпусами обеспечивал именно завод №200, неудивительно. Кроме того, ЧКЗ на базе КВ-1с с февраля 1943 года выпускал СУ-152, что также повлияло на объемы выпуска танков. Наверстать упущенное в значительной степени удалось в мае: при плане в 50 танков ЧКЗ сдал 75 машин, плюс 4 ремонтных. Похожий скачок наблюдался и летом: в июне при плане в 42 машины их было сдано 30, а в июле при плане в 38 было сдано 52 танка, из которых 1 переделали в опытный КВ-85 (объект 238).</w:t>
      </w:r>
    </w:p>
    <w:p w14:paraId="32C5D759" w14:textId="77777777" w:rsidR="00C710FD" w:rsidRPr="00D03F3E"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июле были внесены последние крупные изменения в конструкцию КВ-1с. Появились съемные передние брызговики, поменялась конструкция пробки заливного отверстия на люке доступа к двигателю, а также изменилась форма кожухов выхлопных патрубков (17692).</w:t>
      </w:r>
    </w:p>
    <w:p w14:paraId="6AE34F11" w14:textId="77777777" w:rsidR="00C710FD" w:rsidRPr="00D03F3E" w:rsidRDefault="00C710FD" w:rsidP="00D03F3E">
      <w:pPr>
        <w:spacing w:after="0" w:line="240" w:lineRule="auto"/>
        <w:jc w:val="both"/>
        <w:rPr>
          <w:rFonts w:ascii="Times New Roman" w:hAnsi="Times New Roman"/>
          <w:color w:val="000000" w:themeColor="text1"/>
          <w:sz w:val="16"/>
          <w:szCs w:val="16"/>
        </w:rPr>
      </w:pPr>
    </w:p>
    <w:p w14:paraId="2D5D21EF" w14:textId="77777777" w:rsidR="00B610FB" w:rsidRPr="00D03F3E" w:rsidRDefault="00B610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после 160 киломе</w:t>
      </w:r>
      <w:r w:rsidRPr="00D03F3E">
        <w:rPr>
          <w:rFonts w:ascii="Times New Roman" w:hAnsi="Times New Roman"/>
          <w:color w:val="000000" w:themeColor="text1"/>
          <w:sz w:val="16"/>
          <w:szCs w:val="16"/>
        </w:rPr>
        <w:softHyphen/>
        <w:t>тров пробега (не считая 545 километров, пройденных в феврале—мар</w:t>
      </w:r>
      <w:r w:rsidRPr="00D03F3E">
        <w:rPr>
          <w:rFonts w:ascii="Times New Roman" w:hAnsi="Times New Roman"/>
          <w:color w:val="000000" w:themeColor="text1"/>
          <w:sz w:val="16"/>
          <w:szCs w:val="16"/>
        </w:rPr>
        <w:softHyphen/>
        <w:t>те), вышел из строя бортовой редуктор планетарной трансмиссии, которую разработал коллектив Московского машино</w:t>
      </w:r>
      <w:r w:rsidRPr="00D03F3E">
        <w:rPr>
          <w:rFonts w:ascii="Times New Roman" w:hAnsi="Times New Roman"/>
          <w:color w:val="000000" w:themeColor="text1"/>
          <w:sz w:val="16"/>
          <w:szCs w:val="16"/>
        </w:rPr>
        <w:softHyphen/>
        <w:t>строительного института им. Баумана под руководством Г. И. Зайчи</w:t>
      </w:r>
      <w:r w:rsidRPr="00D03F3E">
        <w:rPr>
          <w:rFonts w:ascii="Times New Roman" w:hAnsi="Times New Roman"/>
          <w:color w:val="000000" w:themeColor="text1"/>
          <w:sz w:val="16"/>
          <w:szCs w:val="16"/>
        </w:rPr>
        <w:softHyphen/>
        <w:t>ка, на КВ-7. После ремонта испытания планетарной трансмиссии продолжились.</w:t>
      </w:r>
    </w:p>
    <w:p w14:paraId="68EB90E2" w14:textId="77777777" w:rsidR="00B610FB" w:rsidRPr="00D03F3E" w:rsidRDefault="00B610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с февраля по апрель 1943 года танк прошел 843 километра, а затем начались «странности». По разным причинам завод №100 затягивал окончание испытаний, в результате весь май КВ-7 стоял без движения. Та же картина имела место и в июне. Оба месяца руководство завода №100 мотивировало простой недостатком рабочей силы, хотя истинной причиной было не</w:t>
      </w:r>
      <w:r w:rsidRPr="00D03F3E">
        <w:rPr>
          <w:rFonts w:ascii="Times New Roman" w:hAnsi="Times New Roman"/>
          <w:color w:val="000000" w:themeColor="text1"/>
          <w:sz w:val="16"/>
          <w:szCs w:val="16"/>
        </w:rPr>
        <w:softHyphen/>
        <w:t>желание заниматься чужой трансмиссией. Согласно докладам замести</w:t>
      </w:r>
      <w:r w:rsidRPr="00D03F3E">
        <w:rPr>
          <w:rFonts w:ascii="Times New Roman" w:hAnsi="Times New Roman"/>
          <w:color w:val="000000" w:themeColor="text1"/>
          <w:sz w:val="16"/>
          <w:szCs w:val="16"/>
        </w:rPr>
        <w:softHyphen/>
        <w:t>теля старшего военпреда ТУ ГАБТУ КА инженер-майора Долицкого, для устранения неисправностей и продолжения испытаний требовалось всего два человека. В то, что их на заводе не нашлось, верится с трудом.</w:t>
      </w:r>
    </w:p>
    <w:p w14:paraId="30221DBF" w14:textId="77777777" w:rsidR="00B610FB" w:rsidRPr="00D03F3E" w:rsidRDefault="00B610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июле, и в августе 1943 года ситуация с испытания этой планетрной трансмисии не изменилась, несмотря на то, что руководство ГАБТУ писало «наверх» письма с требованиями про</w:t>
      </w:r>
      <w:r w:rsidRPr="00D03F3E">
        <w:rPr>
          <w:rFonts w:ascii="Times New Roman" w:hAnsi="Times New Roman"/>
          <w:color w:val="000000" w:themeColor="text1"/>
          <w:sz w:val="16"/>
          <w:szCs w:val="16"/>
        </w:rPr>
        <w:softHyphen/>
        <w:t>должить испытания. В сентябре испытания планетарной трансмиссии конструкции Зайчика из планов работ завода №100 попросту исчезли, а 30 ноября было доложено об окончании сборки планетарной транс</w:t>
      </w:r>
      <w:r w:rsidRPr="00D03F3E">
        <w:rPr>
          <w:rFonts w:ascii="Times New Roman" w:hAnsi="Times New Roman"/>
          <w:color w:val="000000" w:themeColor="text1"/>
          <w:sz w:val="16"/>
          <w:szCs w:val="16"/>
        </w:rPr>
        <w:softHyphen/>
        <w:t>миссии... конструкции ОКБ завода №100. Разработка ее затянулась, а весной 1944 года трансмиссию установили на первый образец тяжело</w:t>
      </w:r>
      <w:r w:rsidRPr="00D03F3E">
        <w:rPr>
          <w:rFonts w:ascii="Times New Roman" w:hAnsi="Times New Roman"/>
          <w:color w:val="000000" w:themeColor="text1"/>
          <w:sz w:val="16"/>
          <w:szCs w:val="16"/>
        </w:rPr>
        <w:softHyphen/>
        <w:t>го танка Объект 701. Противостояние не закончилось: на втором образ</w:t>
      </w:r>
      <w:r w:rsidRPr="00D03F3E">
        <w:rPr>
          <w:rFonts w:ascii="Times New Roman" w:hAnsi="Times New Roman"/>
          <w:color w:val="000000" w:themeColor="text1"/>
          <w:sz w:val="16"/>
          <w:szCs w:val="16"/>
        </w:rPr>
        <w:softHyphen/>
        <w:t>це нового танка стояла трансмиссия разработки группы Зайчика. (17484).</w:t>
      </w:r>
    </w:p>
    <w:p w14:paraId="27DBF497" w14:textId="77777777" w:rsidR="00B610FB" w:rsidRPr="00D03F3E" w:rsidRDefault="00B610FB" w:rsidP="00D03F3E">
      <w:pPr>
        <w:spacing w:after="0" w:line="240" w:lineRule="auto"/>
        <w:jc w:val="both"/>
        <w:rPr>
          <w:rFonts w:ascii="Times New Roman" w:hAnsi="Times New Roman"/>
          <w:color w:val="000000" w:themeColor="text1"/>
          <w:sz w:val="16"/>
          <w:szCs w:val="16"/>
        </w:rPr>
      </w:pPr>
    </w:p>
    <w:p w14:paraId="3C4314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ГКО поручил Артиллерийскому КБ начать изучение возможности установки на Т-34 пушки 85 мм (1031,32).</w:t>
      </w:r>
    </w:p>
    <w:p w14:paraId="746DD6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C391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же 1943 г. были проведены испытания обстре</w:t>
      </w:r>
      <w:r w:rsidRPr="00D03F3E">
        <w:rPr>
          <w:rFonts w:ascii="Times New Roman" w:hAnsi="Times New Roman"/>
          <w:color w:val="000000" w:themeColor="text1"/>
          <w:sz w:val="16"/>
          <w:szCs w:val="16"/>
        </w:rPr>
        <w:softHyphen/>
        <w:t>лом из 122-мм гаубицы М-30 с баллистикой, близкой к У-11 корпуса трофейного «Тигра» кумулятивным снарядом. И тут танкостроителей ждало первое разочарование. Из 15 выстре</w:t>
      </w:r>
      <w:r w:rsidRPr="00D03F3E">
        <w:rPr>
          <w:rFonts w:ascii="Times New Roman" w:hAnsi="Times New Roman"/>
          <w:color w:val="000000" w:themeColor="text1"/>
          <w:sz w:val="16"/>
          <w:szCs w:val="16"/>
        </w:rPr>
        <w:softHyphen/>
        <w:t>лов, произведенных с дистанции 400—600 метров не было от</w:t>
      </w:r>
      <w:r w:rsidRPr="00D03F3E">
        <w:rPr>
          <w:rFonts w:ascii="Times New Roman" w:hAnsi="Times New Roman"/>
          <w:color w:val="000000" w:themeColor="text1"/>
          <w:sz w:val="16"/>
          <w:szCs w:val="16"/>
        </w:rPr>
        <w:softHyphen/>
        <w:t>мечено ни одного прямого попадания даже по неподвижной мишени. В то же время 76,2-мм пушка Ф-34 не могла про</w:t>
      </w:r>
      <w:r w:rsidRPr="00D03F3E">
        <w:rPr>
          <w:rFonts w:ascii="Times New Roman" w:hAnsi="Times New Roman"/>
          <w:color w:val="000000" w:themeColor="text1"/>
          <w:sz w:val="16"/>
          <w:szCs w:val="16"/>
        </w:rPr>
        <w:softHyphen/>
        <w:t>бить бортовой и кормовой брони «Тифа» штатным броне-бойно-трассирующим снарядом БР-350А даже с дистанции 150-200 м. Лучшие результаты по обстрелу корпуса «Тигра» были у 85-мм зенитной пушки 53К, 107-мм пушки М-60 и 122-мм пушки А-19. Но установить их в существующей баш</w:t>
      </w:r>
      <w:r w:rsidRPr="00D03F3E">
        <w:rPr>
          <w:rFonts w:ascii="Times New Roman" w:hAnsi="Times New Roman"/>
          <w:color w:val="000000" w:themeColor="text1"/>
          <w:sz w:val="16"/>
          <w:szCs w:val="16"/>
        </w:rPr>
        <w:softHyphen/>
        <w:t>не не представлялось возможным, а для большей башни с по</w:t>
      </w:r>
      <w:r w:rsidRPr="00D03F3E">
        <w:rPr>
          <w:rFonts w:ascii="Times New Roman" w:hAnsi="Times New Roman"/>
          <w:color w:val="000000" w:themeColor="text1"/>
          <w:sz w:val="16"/>
          <w:szCs w:val="16"/>
        </w:rPr>
        <w:softHyphen/>
        <w:t>гоном 1700-1800 мм корпус танка требовалось удлинять. Так что создать в первой половине 1943 г. средний танк, заброни</w:t>
      </w:r>
      <w:r w:rsidRPr="00D03F3E">
        <w:rPr>
          <w:rFonts w:ascii="Times New Roman" w:hAnsi="Times New Roman"/>
          <w:color w:val="000000" w:themeColor="text1"/>
          <w:sz w:val="16"/>
          <w:szCs w:val="16"/>
        </w:rPr>
        <w:softHyphen/>
        <w:t>рованный от огня 88-мм танковой пушки и способный про</w:t>
      </w:r>
      <w:r w:rsidRPr="00D03F3E">
        <w:rPr>
          <w:rFonts w:ascii="Times New Roman" w:hAnsi="Times New Roman"/>
          <w:color w:val="000000" w:themeColor="text1"/>
          <w:sz w:val="16"/>
          <w:szCs w:val="16"/>
        </w:rPr>
        <w:softHyphen/>
        <w:t>бить броню толщиной 100 мм, не удалось.</w:t>
      </w:r>
    </w:p>
    <w:p w14:paraId="4DBE59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 Горлицкий рассказывал об этом так: «Помню, что ра</w:t>
      </w:r>
      <w:r w:rsidRPr="00D03F3E">
        <w:rPr>
          <w:rFonts w:ascii="Times New Roman" w:hAnsi="Times New Roman"/>
          <w:color w:val="000000" w:themeColor="text1"/>
          <w:sz w:val="16"/>
          <w:szCs w:val="16"/>
        </w:rPr>
        <w:softHyphen/>
        <w:t>боты над этим скоростным тринадцатым закончились осенью 1943 года, когда опять вернулись к ходовой КВ, чему завод был, конечно, рад. Но мне тогда уже было не до танка. Меня назначили главным конструктором по самоходной артиллерии... Но с «чертовой дюжиной» я еще встречался. По его корпусу мы от</w:t>
      </w:r>
      <w:r w:rsidRPr="00D03F3E">
        <w:rPr>
          <w:rFonts w:ascii="Times New Roman" w:hAnsi="Times New Roman"/>
          <w:color w:val="000000" w:themeColor="text1"/>
          <w:sz w:val="16"/>
          <w:szCs w:val="16"/>
        </w:rPr>
        <w:softHyphen/>
        <w:t>стреливали ИСУ-152 и СУ-100. А на заводе начали выпускать уже не «Клим Ворошилов» с несчастливым номером, а «Иосиф Сталин» с самой мощной в мире пушкой Петрова» (11135).</w:t>
      </w:r>
    </w:p>
    <w:p w14:paraId="1A6ACB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bCs/>
          <w:color w:val="000000" w:themeColor="text1"/>
          <w:sz w:val="16"/>
          <w:szCs w:val="16"/>
          <w:u w:val="single"/>
        </w:rPr>
      </w:pPr>
    </w:p>
    <w:p w14:paraId="0E0C979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были проведены испытания обстрелом из 122-мм гаубицы М-30 с баллистикой, близкой к У-11 корпу</w:t>
      </w:r>
      <w:r w:rsidRPr="00D03F3E">
        <w:rPr>
          <w:rFonts w:ascii="Times New Roman" w:hAnsi="Times New Roman"/>
          <w:color w:val="000000" w:themeColor="text1"/>
          <w:sz w:val="16"/>
          <w:szCs w:val="16"/>
        </w:rPr>
        <w:softHyphen/>
        <w:t xml:space="preserve">са трофейного «тигра» (скорее всего Т </w:t>
      </w:r>
      <w:r w:rsidRPr="00D03F3E">
        <w:rPr>
          <w:rFonts w:ascii="Times New Roman" w:hAnsi="Times New Roman"/>
          <w:color w:val="000000" w:themeColor="text1"/>
          <w:sz w:val="16"/>
          <w:szCs w:val="16"/>
          <w:lang w:val="en-US"/>
        </w:rPr>
        <w:t>IVusfF</w:t>
      </w:r>
      <w:r w:rsidRPr="00D03F3E">
        <w:rPr>
          <w:rFonts w:ascii="Times New Roman" w:hAnsi="Times New Roman"/>
          <w:color w:val="000000" w:themeColor="text1"/>
          <w:sz w:val="16"/>
          <w:szCs w:val="16"/>
        </w:rPr>
        <w:t>2-</w:t>
      </w:r>
      <w:r w:rsidRPr="00D03F3E">
        <w:rPr>
          <w:rFonts w:ascii="Times New Roman" w:hAnsi="Times New Roman"/>
          <w:color w:val="000000" w:themeColor="text1"/>
          <w:sz w:val="16"/>
          <w:szCs w:val="16"/>
          <w:lang w:val="en-US"/>
        </w:rPr>
        <w:t>G</w:t>
      </w:r>
      <w:r w:rsidRPr="00D03F3E">
        <w:rPr>
          <w:rFonts w:ascii="Times New Roman" w:hAnsi="Times New Roman"/>
          <w:color w:val="000000" w:themeColor="text1"/>
          <w:sz w:val="16"/>
          <w:szCs w:val="16"/>
        </w:rPr>
        <w:t>) куму</w:t>
      </w:r>
      <w:r w:rsidRPr="00D03F3E">
        <w:rPr>
          <w:rFonts w:ascii="Times New Roman" w:hAnsi="Times New Roman"/>
          <w:color w:val="000000" w:themeColor="text1"/>
          <w:sz w:val="16"/>
          <w:szCs w:val="16"/>
        </w:rPr>
        <w:softHyphen/>
        <w:t>лятивным снарядом. И тут танкостроителей ждало первое разочарование. Из 15 выстрелов, произведенных с дистан</w:t>
      </w:r>
      <w:r w:rsidRPr="00D03F3E">
        <w:rPr>
          <w:rFonts w:ascii="Times New Roman" w:hAnsi="Times New Roman"/>
          <w:color w:val="000000" w:themeColor="text1"/>
          <w:sz w:val="16"/>
          <w:szCs w:val="16"/>
        </w:rPr>
        <w:softHyphen/>
        <w:t>ции 500—600 метров, не было отмечено ни одного прямого попадания даже по неподвижному корпусу немецкого танка (11417).</w:t>
      </w:r>
    </w:p>
    <w:p w14:paraId="141FF29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17D31E" w14:textId="77777777" w:rsidR="00396347" w:rsidRPr="00D03F3E" w:rsidRDefault="00396347" w:rsidP="00D03F3E">
      <w:pPr>
        <w:pStyle w:val="1151"/>
        <w:shd w:val="clear" w:color="auto" w:fill="auto"/>
        <w:spacing w:before="0" w:line="240" w:lineRule="auto"/>
        <w:rPr>
          <w:rFonts w:ascii="Times New Roman" w:hAnsi="Times New Roman" w:cs="Times New Roman"/>
          <w:color w:val="0070C0"/>
          <w:sz w:val="16"/>
          <w:szCs w:val="16"/>
        </w:rPr>
      </w:pPr>
      <w:r w:rsidRPr="00D03F3E">
        <w:rPr>
          <w:rStyle w:val="801"/>
          <w:rFonts w:ascii="Times New Roman" w:hAnsi="Times New Roman" w:cs="Times New Roman"/>
          <w:color w:val="0070C0"/>
          <w:sz w:val="16"/>
          <w:szCs w:val="16"/>
          <w:lang w:val="ru-RU"/>
        </w:rPr>
        <w:t>В</w:t>
      </w:r>
      <w:r w:rsidRPr="00D03F3E">
        <w:rPr>
          <w:rStyle w:val="801"/>
          <w:rFonts w:ascii="Times New Roman" w:hAnsi="Times New Roman" w:cs="Times New Roman"/>
          <w:color w:val="0070C0"/>
          <w:sz w:val="16"/>
          <w:szCs w:val="16"/>
        </w:rPr>
        <w:t xml:space="preserve"> апреле 1943 года последовали </w:t>
      </w:r>
      <w:r w:rsidRPr="00D03F3E">
        <w:rPr>
          <w:rStyle w:val="801"/>
          <w:rFonts w:ascii="Times New Roman" w:hAnsi="Times New Roman" w:cs="Times New Roman"/>
          <w:color w:val="0070C0"/>
          <w:sz w:val="16"/>
          <w:szCs w:val="16"/>
          <w:lang w:val="ru-RU"/>
        </w:rPr>
        <w:t>о</w:t>
      </w:r>
      <w:r w:rsidRPr="00D03F3E">
        <w:rPr>
          <w:rStyle w:val="801"/>
          <w:rFonts w:ascii="Times New Roman" w:hAnsi="Times New Roman" w:cs="Times New Roman"/>
          <w:color w:val="0070C0"/>
          <w:sz w:val="16"/>
          <w:szCs w:val="16"/>
        </w:rPr>
        <w:t>чередные изменения конструкции</w:t>
      </w:r>
      <w:r w:rsidRPr="00D03F3E">
        <w:rPr>
          <w:rStyle w:val="801"/>
          <w:rFonts w:ascii="Times New Roman" w:hAnsi="Times New Roman" w:cs="Times New Roman"/>
          <w:color w:val="0070C0"/>
          <w:sz w:val="16"/>
          <w:szCs w:val="16"/>
          <w:lang w:val="ru-RU"/>
        </w:rPr>
        <w:t xml:space="preserve"> Су-122</w:t>
      </w:r>
      <w:r w:rsidRPr="00D03F3E">
        <w:rPr>
          <w:rStyle w:val="801"/>
          <w:rFonts w:ascii="Times New Roman" w:hAnsi="Times New Roman" w:cs="Times New Roman"/>
          <w:color w:val="0070C0"/>
          <w:sz w:val="16"/>
          <w:szCs w:val="16"/>
        </w:rPr>
        <w:t>. С 31-й машины апрельского выпуска вводился штампованный колпак панорамы с четырьмя смотровыми лючками. Небольшие улучшения предусматривались в отношении уплотнения люка в крыше рубки. Усиливался контроль за изготовлением элементов боеукладки. Стоит отметить, что ввод колпака с четырьмя смот</w:t>
      </w:r>
      <w:r w:rsidRPr="00D03F3E">
        <w:rPr>
          <w:rStyle w:val="801"/>
          <w:rFonts w:ascii="Times New Roman" w:hAnsi="Times New Roman" w:cs="Times New Roman"/>
          <w:color w:val="0070C0"/>
          <w:sz w:val="16"/>
          <w:szCs w:val="16"/>
        </w:rPr>
        <w:softHyphen/>
        <w:t>ровыми лючками не помешал УЗТМ ставить на часть машин старый колпак не только в апре</w:t>
      </w:r>
      <w:r w:rsidRPr="00D03F3E">
        <w:rPr>
          <w:rStyle w:val="801"/>
          <w:rFonts w:ascii="Times New Roman" w:hAnsi="Times New Roman" w:cs="Times New Roman"/>
          <w:color w:val="0070C0"/>
          <w:sz w:val="16"/>
          <w:szCs w:val="16"/>
        </w:rPr>
        <w:softHyphen/>
        <w:t>ле, но и в мае 1943 года.</w:t>
      </w:r>
    </w:p>
    <w:p w14:paraId="110AE6CA" w14:textId="77777777" w:rsidR="00396347" w:rsidRPr="00D03F3E" w:rsidRDefault="00396347" w:rsidP="00D03F3E">
      <w:pPr>
        <w:pStyle w:val="1151"/>
        <w:shd w:val="clear" w:color="auto" w:fill="auto"/>
        <w:spacing w:before="0" w:line="240" w:lineRule="auto"/>
        <w:rPr>
          <w:rStyle w:val="801"/>
          <w:rFonts w:ascii="Times New Roman" w:hAnsi="Times New Roman" w:cs="Times New Roman"/>
          <w:color w:val="0070C0"/>
          <w:sz w:val="16"/>
          <w:szCs w:val="16"/>
        </w:rPr>
      </w:pPr>
      <w:r w:rsidRPr="00D03F3E">
        <w:rPr>
          <w:rStyle w:val="801"/>
          <w:rFonts w:ascii="Times New Roman" w:hAnsi="Times New Roman" w:cs="Times New Roman"/>
          <w:color w:val="0070C0"/>
          <w:sz w:val="16"/>
          <w:szCs w:val="16"/>
        </w:rPr>
        <w:t>Еще одно изменение последовало в конце месяца. 27 апреля 1943 года в Артиллерий</w:t>
      </w:r>
      <w:r w:rsidRPr="00D03F3E">
        <w:rPr>
          <w:rStyle w:val="801"/>
          <w:rFonts w:ascii="Times New Roman" w:hAnsi="Times New Roman" w:cs="Times New Roman"/>
          <w:color w:val="0070C0"/>
          <w:sz w:val="16"/>
          <w:szCs w:val="16"/>
        </w:rPr>
        <w:softHyphen/>
        <w:t>ский Комитет ГАУ КА поступило предложение от УЗТМ заменить лист крыши рубки толщи</w:t>
      </w:r>
      <w:r w:rsidRPr="00D03F3E">
        <w:rPr>
          <w:rStyle w:val="801"/>
          <w:rFonts w:ascii="Times New Roman" w:hAnsi="Times New Roman" w:cs="Times New Roman"/>
          <w:color w:val="0070C0"/>
          <w:sz w:val="16"/>
          <w:szCs w:val="16"/>
        </w:rPr>
        <w:softHyphen/>
        <w:t>ной 20 мм на лист толщиной 30 мм из стали средней твердости. Переделка увеличивала массу СУ-122 на 100 килограмм и требовала внесения некоторых изменений в детали корпуса. Артком ГАУ КА новый лист утвердил, в мае его начали ставить на машины</w:t>
      </w:r>
      <w:r w:rsidRPr="00D03F3E">
        <w:rPr>
          <w:rStyle w:val="801"/>
          <w:rFonts w:ascii="Times New Roman" w:hAnsi="Times New Roman" w:cs="Times New Roman"/>
          <w:color w:val="0070C0"/>
          <w:sz w:val="16"/>
          <w:szCs w:val="16"/>
          <w:lang w:val="ru-RU"/>
        </w:rPr>
        <w:t xml:space="preserve"> (19892)</w:t>
      </w:r>
      <w:r w:rsidRPr="00D03F3E">
        <w:rPr>
          <w:rStyle w:val="801"/>
          <w:rFonts w:ascii="Times New Roman" w:hAnsi="Times New Roman" w:cs="Times New Roman"/>
          <w:color w:val="0070C0"/>
          <w:sz w:val="16"/>
          <w:szCs w:val="16"/>
        </w:rPr>
        <w:t>.</w:t>
      </w:r>
    </w:p>
    <w:p w14:paraId="6A449265" w14:textId="77777777" w:rsidR="00396347" w:rsidRPr="00D03F3E" w:rsidRDefault="00396347" w:rsidP="00D03F3E">
      <w:pPr>
        <w:pStyle w:val="1151"/>
        <w:shd w:val="clear" w:color="auto" w:fill="auto"/>
        <w:spacing w:before="0" w:line="240" w:lineRule="auto"/>
        <w:rPr>
          <w:rFonts w:ascii="Times New Roman" w:hAnsi="Times New Roman" w:cs="Times New Roman"/>
          <w:color w:val="0070C0"/>
          <w:sz w:val="16"/>
          <w:szCs w:val="16"/>
        </w:rPr>
      </w:pPr>
    </w:p>
    <w:p w14:paraId="28A96A7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 апреля 1943 г. опытный образец танка Т-43 прошел заводские ис</w:t>
      </w:r>
      <w:r w:rsidRPr="00D03F3E">
        <w:rPr>
          <w:rFonts w:ascii="Times New Roman" w:hAnsi="Times New Roman"/>
          <w:color w:val="000000" w:themeColor="text1"/>
          <w:sz w:val="16"/>
          <w:szCs w:val="16"/>
        </w:rPr>
        <w:softHyphen/>
        <w:t>пытания, по результатам которых было принято решение об изготовле</w:t>
      </w:r>
      <w:r w:rsidRPr="00D03F3E">
        <w:rPr>
          <w:rFonts w:ascii="Times New Roman" w:hAnsi="Times New Roman"/>
          <w:color w:val="000000" w:themeColor="text1"/>
          <w:sz w:val="16"/>
          <w:szCs w:val="16"/>
        </w:rPr>
        <w:softHyphen/>
        <w:t>нии трех опытных образцов танка Т-43 с учетом устранения недостат</w:t>
      </w:r>
      <w:r w:rsidRPr="00D03F3E">
        <w:rPr>
          <w:rFonts w:ascii="Times New Roman" w:hAnsi="Times New Roman"/>
          <w:color w:val="000000" w:themeColor="text1"/>
          <w:sz w:val="16"/>
          <w:szCs w:val="16"/>
        </w:rPr>
        <w:softHyphen/>
        <w:t>ков, обнаруженных при испытании первого образца машины. Эти три танка, изготовленные заводом № 183 в апреле - мае 1943 г., успешно прошли заводские испытания. В результате устранения выявленных не</w:t>
      </w:r>
      <w:r w:rsidRPr="00D03F3E">
        <w:rPr>
          <w:rFonts w:ascii="Times New Roman" w:hAnsi="Times New Roman"/>
          <w:color w:val="000000" w:themeColor="text1"/>
          <w:sz w:val="16"/>
          <w:szCs w:val="16"/>
        </w:rPr>
        <w:softHyphen/>
        <w:t>достатков боевая масса машин возросла до 34,1 т. Все машины имели увеличенный с 1420 до 1600 мм диаметр опоры башни в свету, что позволило разместить в боевом отделении третьего члена экипажа. Кроме того, были установлены новые смотровые приборы, командирская ба</w:t>
      </w:r>
      <w:r w:rsidRPr="00D03F3E">
        <w:rPr>
          <w:rFonts w:ascii="Times New Roman" w:hAnsi="Times New Roman"/>
          <w:color w:val="000000" w:themeColor="text1"/>
          <w:sz w:val="16"/>
          <w:szCs w:val="16"/>
        </w:rPr>
        <w:softHyphen/>
        <w:t>шенка с вращающейся крышкой люка. Для повышения подвижности танка был спроектирован двухступенчатый планетарный механизм по</w:t>
      </w:r>
      <w:r w:rsidRPr="00D03F3E">
        <w:rPr>
          <w:rFonts w:ascii="Times New Roman" w:hAnsi="Times New Roman"/>
          <w:color w:val="000000" w:themeColor="text1"/>
          <w:sz w:val="16"/>
          <w:szCs w:val="16"/>
        </w:rPr>
        <w:softHyphen/>
        <w:t>ворота (ПМП) по типу ПМП тяжелого танка ИС. Испытания опытных образцов танка Т-43, проведенные как в зим</w:t>
      </w:r>
      <w:r w:rsidRPr="00D03F3E">
        <w:rPr>
          <w:rFonts w:ascii="Times New Roman" w:hAnsi="Times New Roman"/>
          <w:color w:val="000000" w:themeColor="text1"/>
          <w:sz w:val="16"/>
          <w:szCs w:val="16"/>
        </w:rPr>
        <w:softHyphen/>
        <w:t>них, так и в летних условиях, показали удовлетворительную работоспо</w:t>
      </w:r>
      <w:r w:rsidRPr="00D03F3E">
        <w:rPr>
          <w:rFonts w:ascii="Times New Roman" w:hAnsi="Times New Roman"/>
          <w:color w:val="000000" w:themeColor="text1"/>
          <w:sz w:val="16"/>
          <w:szCs w:val="16"/>
        </w:rPr>
        <w:softHyphen/>
        <w:t>собность всех узлов и агрегатов танка (10703).</w:t>
      </w:r>
    </w:p>
    <w:p w14:paraId="066502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157B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предполагалось испытать гаубицу Д-12 в танке "Объект 234" первой серии. Установка гаубицы Д-12 не требовала спе</w:t>
      </w:r>
      <w:r w:rsidRPr="00D03F3E">
        <w:rPr>
          <w:rFonts w:ascii="Times New Roman" w:hAnsi="Times New Roman"/>
          <w:color w:val="000000" w:themeColor="text1"/>
          <w:sz w:val="16"/>
          <w:szCs w:val="16"/>
        </w:rPr>
        <w:softHyphen/>
        <w:t xml:space="preserve">циальных ходовых испытаний </w:t>
      </w:r>
      <w:r w:rsidRPr="00D03F3E">
        <w:rPr>
          <w:rFonts w:ascii="Times New Roman" w:hAnsi="Times New Roman"/>
          <w:color w:val="000000" w:themeColor="text1"/>
          <w:sz w:val="16"/>
          <w:szCs w:val="16"/>
        </w:rPr>
        <w:lastRenderedPageBreak/>
        <w:t>танка, так как принципиально она не от</w:t>
      </w:r>
      <w:r w:rsidRPr="00D03F3E">
        <w:rPr>
          <w:rFonts w:ascii="Times New Roman" w:hAnsi="Times New Roman"/>
          <w:color w:val="000000" w:themeColor="text1"/>
          <w:sz w:val="16"/>
          <w:szCs w:val="16"/>
        </w:rPr>
        <w:softHyphen/>
        <w:t>личалась от гаубицы У-11, однако этот проект в металле воплощен не был. В мае 1943 г. на базе проекта гаубицы Д-12 в КБ завода № 9 НКВ в инициативном порядке разработали более совершенную танковую га</w:t>
      </w:r>
      <w:r w:rsidRPr="00D03F3E">
        <w:rPr>
          <w:rFonts w:ascii="Times New Roman" w:hAnsi="Times New Roman"/>
          <w:color w:val="000000" w:themeColor="text1"/>
          <w:sz w:val="16"/>
          <w:szCs w:val="16"/>
        </w:rPr>
        <w:softHyphen/>
        <w:t>убицу Д-5Т-122, но к тому времени оснащение танков ИС подобными гаубицами уже было не актуально, так как для борьбы с немецкими тя</w:t>
      </w:r>
      <w:r w:rsidRPr="00D03F3E">
        <w:rPr>
          <w:rFonts w:ascii="Times New Roman" w:hAnsi="Times New Roman"/>
          <w:color w:val="000000" w:themeColor="text1"/>
          <w:sz w:val="16"/>
          <w:szCs w:val="16"/>
        </w:rPr>
        <w:softHyphen/>
        <w:t>желыми танками она была малоэффективна (неудовлетворительная кучность и малая бронепробиваемость на дистанции свыше 1000 м). Опытные танки ИС, как и танк КВ-13, в составе ходовой части име</w:t>
      </w:r>
      <w:r w:rsidRPr="00D03F3E">
        <w:rPr>
          <w:rFonts w:ascii="Times New Roman" w:hAnsi="Times New Roman"/>
          <w:color w:val="000000" w:themeColor="text1"/>
          <w:sz w:val="16"/>
          <w:szCs w:val="16"/>
        </w:rPr>
        <w:softHyphen/>
        <w:t>ли по пять опорных и по три поддерживающих катка на каждый борт, мелкозвенчатую гусеницу цевочного зацепления, индивидуальную тор</w:t>
      </w:r>
      <w:r w:rsidRPr="00D03F3E">
        <w:rPr>
          <w:rFonts w:ascii="Times New Roman" w:hAnsi="Times New Roman"/>
          <w:color w:val="000000" w:themeColor="text1"/>
          <w:sz w:val="16"/>
          <w:szCs w:val="16"/>
        </w:rPr>
        <w:softHyphen/>
        <w:t>сионную подвеску и отличались друг от друга лишь числом зубьев на венцах ведущих колес (10703).</w:t>
      </w:r>
    </w:p>
    <w:p w14:paraId="0F3BDD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BA3D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апреля 1943 г. на вооружение броне</w:t>
      </w:r>
      <w:r w:rsidRPr="00D03F3E">
        <w:rPr>
          <w:rFonts w:ascii="Times New Roman" w:hAnsi="Times New Roman"/>
          <w:color w:val="000000" w:themeColor="text1"/>
          <w:sz w:val="16"/>
          <w:szCs w:val="16"/>
        </w:rPr>
        <w:softHyphen/>
        <w:t>танковых и механизированных войск РККА стал поступать серийно из</w:t>
      </w:r>
      <w:r w:rsidRPr="00D03F3E">
        <w:rPr>
          <w:rFonts w:ascii="Times New Roman" w:hAnsi="Times New Roman"/>
          <w:color w:val="000000" w:themeColor="text1"/>
          <w:sz w:val="16"/>
          <w:szCs w:val="16"/>
        </w:rPr>
        <w:softHyphen/>
        <w:t>готавливавшийся катковый минный трал ПТ-3, созданный иод непо</w:t>
      </w:r>
      <w:r w:rsidRPr="00D03F3E">
        <w:rPr>
          <w:rFonts w:ascii="Times New Roman" w:hAnsi="Times New Roman"/>
          <w:color w:val="000000" w:themeColor="text1"/>
          <w:sz w:val="16"/>
          <w:szCs w:val="16"/>
        </w:rPr>
        <w:softHyphen/>
        <w:t>средственным руководством П.М. Мугалева - преподавателя Военно-инженерной академии им. Куйбышева (10703). Трал ПТ-3 вполне оправдал себя в ходе боевых действий. Первое бо</w:t>
      </w:r>
      <w:r w:rsidRPr="00D03F3E">
        <w:rPr>
          <w:rFonts w:ascii="Times New Roman" w:hAnsi="Times New Roman"/>
          <w:color w:val="000000" w:themeColor="text1"/>
          <w:sz w:val="16"/>
          <w:szCs w:val="16"/>
        </w:rPr>
        <w:softHyphen/>
        <w:t>евое крещение отдельная танковая рота, тапки которой были оснащены градами ПТ-3, получила па Центральном фронте в полосе действия 16 Л, а два танковых полка, с установленными на тапки этими же трала</w:t>
      </w:r>
      <w:r w:rsidRPr="00D03F3E">
        <w:rPr>
          <w:rFonts w:ascii="Times New Roman" w:hAnsi="Times New Roman"/>
          <w:color w:val="000000" w:themeColor="text1"/>
          <w:sz w:val="16"/>
          <w:szCs w:val="16"/>
        </w:rPr>
        <w:softHyphen/>
        <w:t>ми, в июле</w:t>
      </w:r>
      <w:r w:rsidRPr="00D03F3E">
        <w:rPr>
          <w:rFonts w:ascii="Times New Roman" w:hAnsi="Times New Roman"/>
          <w:color w:val="000000" w:themeColor="text1"/>
          <w:sz w:val="16"/>
          <w:szCs w:val="16"/>
          <w:vertAlign w:val="superscript"/>
        </w:rPr>
        <w:t>1</w:t>
      </w:r>
      <w:r w:rsidRPr="00D03F3E">
        <w:rPr>
          <w:rFonts w:ascii="Times New Roman" w:hAnsi="Times New Roman"/>
          <w:color w:val="000000" w:themeColor="text1"/>
          <w:sz w:val="16"/>
          <w:szCs w:val="16"/>
        </w:rPr>
        <w:t xml:space="preserve"> 1943 г. в ходе наступления на Курской дуге (10703).</w:t>
      </w:r>
    </w:p>
    <w:p w14:paraId="31D8FA4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0679B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апреля 1943 г. опытный образец трала ПТ-3 (для серийных танков Т-34-76 и КВ-1С), который был разработан в 1942 г. под руководством инженер-полковника П.М. Мугалева, которы успешно прошел испытания и был принят на вооружение, был по</w:t>
      </w:r>
      <w:r w:rsidRPr="00D03F3E">
        <w:rPr>
          <w:rFonts w:ascii="Times New Roman" w:hAnsi="Times New Roman"/>
          <w:color w:val="000000" w:themeColor="text1"/>
          <w:sz w:val="16"/>
          <w:szCs w:val="16"/>
        </w:rPr>
        <w:softHyphen/>
        <w:t>ставлен на серийное производство на Тульском машиностроительном заводе. Трал ПТ-3 широко использовался в боях во время Великой Оте</w:t>
      </w:r>
      <w:r w:rsidRPr="00D03F3E">
        <w:rPr>
          <w:rFonts w:ascii="Times New Roman" w:hAnsi="Times New Roman"/>
          <w:color w:val="000000" w:themeColor="text1"/>
          <w:sz w:val="16"/>
          <w:szCs w:val="16"/>
        </w:rPr>
        <w:softHyphen/>
        <w:t>чественной войны. Первый танковый полк, имевший на вооружении танки, оснащенные тралами ПТ-3, был сформирован в середине 1943 г. и направлен на Воронежский фронт, где получил боевое крещение. Противоминный трал ПТ-3 устанавливался впереди среднего танка Т-34-76 или тяжелого тапкаКВ-1С, который толкал его перед собой. Он состоял из упряжного устройства, рамы, оси с катками и тросовой под</w:t>
      </w:r>
      <w:r w:rsidRPr="00D03F3E">
        <w:rPr>
          <w:rFonts w:ascii="Times New Roman" w:hAnsi="Times New Roman"/>
          <w:color w:val="000000" w:themeColor="text1"/>
          <w:sz w:val="16"/>
          <w:szCs w:val="16"/>
        </w:rPr>
        <w:softHyphen/>
        <w:t>вески. Упряжное устройство состояло из двух проушин, приваренных к нижнему лобовому листу танка, и служило для присоединения трала к танку. Рама представляла собой сварную конструкцию треугольной формы с двумя скобами и служила для соединения рабочей части трала (оеи с катками) с танком. Ось с десятью стальными катками являлась основной рабочей частью трала. Катки вращались на оси свободно, не</w:t>
      </w:r>
      <w:r w:rsidRPr="00D03F3E">
        <w:rPr>
          <w:rFonts w:ascii="Times New Roman" w:hAnsi="Times New Roman"/>
          <w:color w:val="000000" w:themeColor="text1"/>
          <w:sz w:val="16"/>
          <w:szCs w:val="16"/>
        </w:rPr>
        <w:softHyphen/>
        <w:t>зависимо друг от друга. По окружности катков с помощью заклепок бы</w:t>
      </w:r>
      <w:r w:rsidRPr="00D03F3E">
        <w:rPr>
          <w:rFonts w:ascii="Times New Roman" w:hAnsi="Times New Roman"/>
          <w:color w:val="000000" w:themeColor="text1"/>
          <w:sz w:val="16"/>
          <w:szCs w:val="16"/>
        </w:rPr>
        <w:softHyphen/>
        <w:t>ли укреплены шпоры. Катки были разделены па две группы, по пять в каждой, и были смещены к концам оси. Поэтому при движении танка каждая группа катков производила траление местности перед счютвет-ствующей гусеницей тайка и позволяла им в определенных пределах (до 100 мм) огибать неровности местности. Поперечные уклоны мест</w:t>
      </w:r>
      <w:r w:rsidRPr="00D03F3E">
        <w:rPr>
          <w:rFonts w:ascii="Times New Roman" w:hAnsi="Times New Roman"/>
          <w:color w:val="000000" w:themeColor="text1"/>
          <w:sz w:val="16"/>
          <w:szCs w:val="16"/>
        </w:rPr>
        <w:softHyphen/>
        <w:t>ности также отслеживались рамой благодаря ее перекосу относительно рычагов. Подрыв мины осуществлялся шпорами катков. Диаметр катка массой 330 кг составлял 1100 мм (со шпорами), ширина каждой 1 (секции) - 1400 мм (10703).</w:t>
      </w:r>
    </w:p>
    <w:p w14:paraId="4F7942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06239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 апреля 1943 г. опытный образец Т-43 (первый вариант) проходил заводские испытания, по результатам которых было решено изготовить три опытных образца с учетом устранения выявленных не</w:t>
      </w:r>
      <w:r w:rsidRPr="00D03F3E">
        <w:rPr>
          <w:rFonts w:ascii="Times New Roman" w:hAnsi="Times New Roman"/>
          <w:color w:val="000000" w:themeColor="text1"/>
          <w:sz w:val="16"/>
          <w:szCs w:val="16"/>
        </w:rPr>
        <w:softHyphen/>
        <w:t>достатков. На вооружение танк не принимался и в серийном производ</w:t>
      </w:r>
      <w:r w:rsidRPr="00D03F3E">
        <w:rPr>
          <w:rFonts w:ascii="Times New Roman" w:hAnsi="Times New Roman"/>
          <w:color w:val="000000" w:themeColor="text1"/>
          <w:sz w:val="16"/>
          <w:szCs w:val="16"/>
        </w:rPr>
        <w:softHyphen/>
        <w:t>стве не состоял (10703).</w:t>
      </w:r>
    </w:p>
    <w:p w14:paraId="58916B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DE4D7B" w14:textId="77777777" w:rsidR="00A8570B" w:rsidRPr="00D03F3E" w:rsidRDefault="00A8570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года начались работы по разработке модернизированного варианта Т-43. Они шли параллельно с различными опытными работами, связанными с Т-34. Несмотря на то что командирские башенки для Т-34, как и трёхместные башни, забраковали, работы продолжались. Они в том числе повлияли и на Т-43. Например, весной 1943 года испытывалось две опытные башенки с перископическими приборами Mk.IV (их скопировали с английского пехотного танка Mk.IV, то есть </w:t>
      </w:r>
      <w:hyperlink r:id="rId130" w:history="1">
        <w:r w:rsidRPr="00D03F3E">
          <w:rPr>
            <w:rStyle w:val="a5"/>
            <w:rFonts w:ascii="Times New Roman" w:hAnsi="Times New Roman"/>
            <w:color w:val="000000" w:themeColor="text1"/>
            <w:sz w:val="16"/>
            <w:szCs w:val="16"/>
            <w:u w:val="none"/>
          </w:rPr>
          <w:t>Churchill</w:t>
        </w:r>
      </w:hyperlink>
      <w:r w:rsidRPr="00D03F3E">
        <w:rPr>
          <w:rFonts w:ascii="Times New Roman" w:hAnsi="Times New Roman"/>
          <w:color w:val="000000" w:themeColor="text1"/>
          <w:sz w:val="16"/>
          <w:szCs w:val="16"/>
        </w:rPr>
        <w:t>). В итоге для Т-34 к лету 1943 года утвердили командирскую башенку с двустворчатым люком. Что же касается Т-43, то для него утвердили конструкцию с одностворчатым люком, убрав при этом смотровые щели с бортов башенки (18587).</w:t>
      </w:r>
    </w:p>
    <w:p w14:paraId="344F4725" w14:textId="77777777" w:rsidR="00A8570B" w:rsidRPr="00D03F3E" w:rsidRDefault="00A8570B" w:rsidP="00D03F3E">
      <w:pPr>
        <w:spacing w:after="0" w:line="240" w:lineRule="auto"/>
        <w:jc w:val="both"/>
        <w:rPr>
          <w:rFonts w:ascii="Times New Roman" w:hAnsi="Times New Roman"/>
          <w:color w:val="000000" w:themeColor="text1"/>
          <w:sz w:val="16"/>
          <w:szCs w:val="16"/>
        </w:rPr>
      </w:pPr>
    </w:p>
    <w:p w14:paraId="606919A7" w14:textId="77777777" w:rsidR="00F40F30" w:rsidRPr="00D03F3E" w:rsidRDefault="00F40F30"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апреле 1943 года прошла техническая конференция, на которой присутствовали экипажи и техсостав 2, 4 и 6-го гвардейских танковых полков прорыва, которые прибыли на переформирвоание в Тульский танковый лагерь. По недостаткам КВ-1С танкисты от</w:t>
      </w:r>
      <w:r w:rsidRPr="00D03F3E">
        <w:rPr>
          <w:rFonts w:ascii="Times New Roman" w:cs="Times New Roman"/>
          <w:color w:val="000000" w:themeColor="text1"/>
          <w:spacing w:val="0"/>
        </w:rPr>
        <w:softHyphen/>
        <w:t>мечали следующее:</w:t>
      </w:r>
    </w:p>
    <w:p w14:paraId="3B09F2E3" w14:textId="77777777" w:rsidR="00F40F30" w:rsidRPr="00D03F3E" w:rsidRDefault="00F40F30"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«1. При попадании бронебойного снаря</w:t>
      </w:r>
      <w:r w:rsidRPr="00D03F3E">
        <w:rPr>
          <w:rFonts w:ascii="Times New Roman" w:cs="Times New Roman"/>
          <w:color w:val="000000" w:themeColor="text1"/>
          <w:spacing w:val="0"/>
        </w:rPr>
        <w:softHyphen/>
        <w:t xml:space="preserve">да (болванки) по танку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все прибо</w:t>
      </w:r>
      <w:r w:rsidRPr="00D03F3E">
        <w:rPr>
          <w:rFonts w:ascii="Times New Roman" w:cs="Times New Roman"/>
          <w:color w:val="000000" w:themeColor="text1"/>
          <w:spacing w:val="0"/>
        </w:rPr>
        <w:softHyphen/>
        <w:t>ры, расположенные в отделении управления, выходят из строя, и предохранители элек</w:t>
      </w:r>
      <w:r w:rsidRPr="00D03F3E">
        <w:rPr>
          <w:rFonts w:ascii="Times New Roman" w:cs="Times New Roman"/>
          <w:color w:val="000000" w:themeColor="text1"/>
          <w:spacing w:val="0"/>
        </w:rPr>
        <w:softHyphen/>
        <w:t>тросети выпадают из гнезд, что лишает эки</w:t>
      </w:r>
      <w:r w:rsidRPr="00D03F3E">
        <w:rPr>
          <w:rFonts w:ascii="Times New Roman" w:cs="Times New Roman"/>
          <w:color w:val="000000" w:themeColor="text1"/>
          <w:spacing w:val="0"/>
        </w:rPr>
        <w:softHyphen/>
        <w:t>паж возможности руководствоваться прибо</w:t>
      </w:r>
      <w:r w:rsidRPr="00D03F3E">
        <w:rPr>
          <w:rFonts w:ascii="Times New Roman" w:cs="Times New Roman"/>
          <w:color w:val="000000" w:themeColor="text1"/>
          <w:spacing w:val="0"/>
        </w:rPr>
        <w:softHyphen/>
        <w:t>рами, и заставляет тратить время на установ</w:t>
      </w:r>
      <w:r w:rsidRPr="00D03F3E">
        <w:rPr>
          <w:rFonts w:ascii="Times New Roman" w:cs="Times New Roman"/>
          <w:color w:val="000000" w:themeColor="text1"/>
          <w:spacing w:val="0"/>
        </w:rPr>
        <w:softHyphen/>
        <w:t>ку предохранителей. Это происходит потому, что все приборы и предохранители крепятся наглухо к корпусу танка. Сотрясение корпу</w:t>
      </w:r>
      <w:r w:rsidRPr="00D03F3E">
        <w:rPr>
          <w:rFonts w:ascii="Times New Roman" w:cs="Times New Roman"/>
          <w:color w:val="000000" w:themeColor="text1"/>
          <w:spacing w:val="0"/>
        </w:rPr>
        <w:softHyphen/>
        <w:t>са, вызываемые ударом снаряда по нему, пе</w:t>
      </w:r>
      <w:r w:rsidRPr="00D03F3E">
        <w:rPr>
          <w:rFonts w:ascii="Times New Roman" w:cs="Times New Roman"/>
          <w:color w:val="000000" w:themeColor="text1"/>
          <w:spacing w:val="0"/>
        </w:rPr>
        <w:softHyphen/>
        <w:t>редаются приборам и разрушают их, предо</w:t>
      </w:r>
      <w:r w:rsidRPr="00D03F3E">
        <w:rPr>
          <w:rFonts w:ascii="Times New Roman" w:cs="Times New Roman"/>
          <w:color w:val="000000" w:themeColor="text1"/>
          <w:spacing w:val="0"/>
        </w:rPr>
        <w:softHyphen/>
        <w:t>хранители выпадают, и свет тухнет, что не по</w:t>
      </w:r>
      <w:r w:rsidRPr="00D03F3E">
        <w:rPr>
          <w:rFonts w:ascii="Times New Roman" w:cs="Times New Roman"/>
          <w:color w:val="000000" w:themeColor="text1"/>
          <w:spacing w:val="0"/>
        </w:rPr>
        <w:softHyphen/>
        <w:t>зволяет вести огонь из пушки.</w:t>
      </w:r>
    </w:p>
    <w:p w14:paraId="07B7B26E" w14:textId="77777777" w:rsidR="00F40F30" w:rsidRPr="00D03F3E" w:rsidRDefault="00F40F30"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Необходимо крепить все прибор и пре</w:t>
      </w:r>
      <w:r w:rsidRPr="00D03F3E">
        <w:rPr>
          <w:rFonts w:ascii="Times New Roman" w:cs="Times New Roman"/>
          <w:color w:val="000000" w:themeColor="text1"/>
          <w:spacing w:val="0"/>
        </w:rPr>
        <w:softHyphen/>
        <w:t>дохранительную коробку на амортизато</w:t>
      </w:r>
      <w:r w:rsidRPr="00D03F3E">
        <w:rPr>
          <w:rFonts w:ascii="Times New Roman" w:cs="Times New Roman"/>
          <w:color w:val="000000" w:themeColor="text1"/>
          <w:spacing w:val="0"/>
        </w:rPr>
        <w:softHyphen/>
        <w:t>рах для тушения колебаний, возникающих в корпусе при ударе снаряда по нему.</w:t>
      </w:r>
    </w:p>
    <w:p w14:paraId="2D44CFC6" w14:textId="77777777" w:rsidR="00F40F30" w:rsidRPr="00D03F3E" w:rsidRDefault="00F40F30" w:rsidP="00D03F3E">
      <w:pPr>
        <w:pStyle w:val="27"/>
        <w:shd w:val="clear" w:color="auto" w:fill="auto"/>
        <w:tabs>
          <w:tab w:val="left" w:pos="471"/>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2. Необходимо ввести дополнительную смазку подшипников вала мультпликатора коробки перемены передач танка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w:t>
      </w:r>
    </w:p>
    <w:p w14:paraId="43E3A00B" w14:textId="77777777" w:rsidR="00F40F30" w:rsidRPr="00D03F3E" w:rsidRDefault="00F40F30" w:rsidP="00D03F3E">
      <w:pPr>
        <w:pStyle w:val="27"/>
        <w:shd w:val="clear" w:color="auto" w:fill="auto"/>
        <w:tabs>
          <w:tab w:val="left" w:pos="466"/>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3. Увеличить сектор наблюдения смо</w:t>
      </w:r>
      <w:r w:rsidRPr="00D03F3E">
        <w:rPr>
          <w:rFonts w:ascii="Times New Roman" w:cs="Times New Roman"/>
          <w:color w:val="000000" w:themeColor="text1"/>
          <w:spacing w:val="0"/>
        </w:rPr>
        <w:softHyphen/>
        <w:t xml:space="preserve">тровых приборов механика-водителя танка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w:t>
      </w:r>
    </w:p>
    <w:p w14:paraId="0E7F99EB" w14:textId="77777777" w:rsidR="00F40F30" w:rsidRPr="00D03F3E" w:rsidRDefault="00F40F30" w:rsidP="00D03F3E">
      <w:pPr>
        <w:pStyle w:val="27"/>
        <w:shd w:val="clear" w:color="auto" w:fill="auto"/>
        <w:tabs>
          <w:tab w:val="left" w:pos="390"/>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4. Необходимо включить в комплект съем</w:t>
      </w:r>
      <w:r w:rsidRPr="00D03F3E">
        <w:rPr>
          <w:rFonts w:ascii="Times New Roman" w:cs="Times New Roman"/>
          <w:color w:val="000000" w:themeColor="text1"/>
          <w:spacing w:val="0"/>
        </w:rPr>
        <w:softHyphen/>
        <w:t>ник для вентилятора, так как практика пока</w:t>
      </w:r>
      <w:r w:rsidRPr="00D03F3E">
        <w:rPr>
          <w:rFonts w:ascii="Times New Roman" w:cs="Times New Roman"/>
          <w:color w:val="000000" w:themeColor="text1"/>
          <w:spacing w:val="0"/>
        </w:rPr>
        <w:softHyphen/>
        <w:t>зала необходимость частой съемки его.</w:t>
      </w:r>
    </w:p>
    <w:p w14:paraId="504090A1" w14:textId="77777777" w:rsidR="00F40F30" w:rsidRPr="00D03F3E" w:rsidRDefault="00F40F30" w:rsidP="00D03F3E">
      <w:pPr>
        <w:pStyle w:val="27"/>
        <w:shd w:val="clear" w:color="auto" w:fill="auto"/>
        <w:tabs>
          <w:tab w:val="left" w:pos="399"/>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5. Необходимо на все танки на смотровые приборы механика-водителя ставить стекло</w:t>
      </w:r>
      <w:r w:rsidRPr="00D03F3E">
        <w:rPr>
          <w:rFonts w:ascii="Times New Roman" w:cs="Times New Roman"/>
          <w:color w:val="000000" w:themeColor="text1"/>
          <w:spacing w:val="0"/>
        </w:rPr>
        <w:softHyphen/>
        <w:t>очиститель, так как на стекла попадает снег и вода, что значительно снижает видимость и заставляет механика-водителя выходить из танка для очистки». Как видно, часть не</w:t>
      </w:r>
      <w:r w:rsidRPr="00D03F3E">
        <w:rPr>
          <w:rFonts w:ascii="Times New Roman" w:cs="Times New Roman"/>
          <w:color w:val="000000" w:themeColor="text1"/>
          <w:spacing w:val="0"/>
        </w:rPr>
        <w:softHyphen/>
        <w:t>достатков аналогичны тем, что отмечались еше в январе, но есть и другие. Материалы конференции передали на Кировский завод, и часть замечаний была учтена при произ</w:t>
      </w:r>
      <w:r w:rsidRPr="00D03F3E">
        <w:rPr>
          <w:rFonts w:ascii="Times New Roman" w:cs="Times New Roman"/>
          <w:color w:val="000000" w:themeColor="text1"/>
          <w:spacing w:val="0"/>
        </w:rPr>
        <w:softHyphen/>
        <w:t xml:space="preserve">водстве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(15226).</w:t>
      </w:r>
    </w:p>
    <w:p w14:paraId="57F95C89" w14:textId="77777777" w:rsidR="00F40F30" w:rsidRPr="00D03F3E" w:rsidRDefault="00F40F30" w:rsidP="00D03F3E">
      <w:pPr>
        <w:pStyle w:val="27"/>
        <w:shd w:val="clear" w:color="auto" w:fill="auto"/>
        <w:tabs>
          <w:tab w:val="left" w:pos="399"/>
        </w:tabs>
        <w:spacing w:after="0" w:line="240" w:lineRule="auto"/>
        <w:ind w:firstLine="0"/>
        <w:rPr>
          <w:rFonts w:ascii="Times New Roman" w:cs="Times New Roman"/>
          <w:color w:val="000000" w:themeColor="text1"/>
          <w:spacing w:val="0"/>
        </w:rPr>
      </w:pPr>
    </w:p>
    <w:p w14:paraId="145FCA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техуправление НКТП провело специальное заседание «О совершенствовании конструкции легкого танка». На заседании выступали Н. Астров, М. Щукин, Н. Попов, А. Канищев, С. Гинз</w:t>
      </w:r>
      <w:r w:rsidRPr="00D03F3E">
        <w:rPr>
          <w:rFonts w:ascii="Times New Roman" w:hAnsi="Times New Roman"/>
          <w:color w:val="000000" w:themeColor="text1"/>
          <w:sz w:val="16"/>
          <w:szCs w:val="16"/>
        </w:rPr>
        <w:softHyphen/>
        <w:t>бург. В ходе совещания отмечалось:</w:t>
      </w:r>
    </w:p>
    <w:p w14:paraId="39F2704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«Доработать танк Т-70 до уровня Т-70М в полевых условиях не представля</w:t>
      </w:r>
      <w:r w:rsidRPr="00D03F3E">
        <w:rPr>
          <w:rFonts w:ascii="Times New Roman" w:hAnsi="Times New Roman"/>
          <w:color w:val="000000" w:themeColor="text1"/>
          <w:sz w:val="16"/>
          <w:szCs w:val="16"/>
        </w:rPr>
        <w:softHyphen/>
        <w:t>ется возможным.</w:t>
      </w:r>
    </w:p>
    <w:p w14:paraId="24C9708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Ввиду предстоящего освоения танка Т-70М с двухместной башней оставшиеся в войсках танки Т-60 и Т-70 изымать и от</w:t>
      </w:r>
      <w:r w:rsidRPr="00D03F3E">
        <w:rPr>
          <w:rFonts w:ascii="Times New Roman" w:hAnsi="Times New Roman"/>
          <w:color w:val="000000" w:themeColor="text1"/>
          <w:sz w:val="16"/>
          <w:szCs w:val="16"/>
        </w:rPr>
        <w:softHyphen/>
        <w:t>правлять в военно-учебные заведения для несения службы до полного износа.</w:t>
      </w:r>
    </w:p>
    <w:p w14:paraId="5EEE37F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Параллельный выпуск Т-70 и Т-70М счи</w:t>
      </w:r>
      <w:r w:rsidRPr="00D03F3E">
        <w:rPr>
          <w:rFonts w:ascii="Times New Roman" w:hAnsi="Times New Roman"/>
          <w:color w:val="000000" w:themeColor="text1"/>
          <w:sz w:val="16"/>
          <w:szCs w:val="16"/>
        </w:rPr>
        <w:softHyphen/>
        <w:t>тать недопустимым. В настоящий мо</w:t>
      </w:r>
      <w:r w:rsidRPr="00D03F3E">
        <w:rPr>
          <w:rFonts w:ascii="Times New Roman" w:hAnsi="Times New Roman"/>
          <w:color w:val="000000" w:themeColor="text1"/>
          <w:sz w:val="16"/>
          <w:szCs w:val="16"/>
        </w:rPr>
        <w:softHyphen/>
        <w:t>мент выпуск танка Т-70 повсеместно пре</w:t>
      </w:r>
      <w:r w:rsidRPr="00D03F3E">
        <w:rPr>
          <w:rFonts w:ascii="Times New Roman" w:hAnsi="Times New Roman"/>
          <w:color w:val="000000" w:themeColor="text1"/>
          <w:sz w:val="16"/>
          <w:szCs w:val="16"/>
        </w:rPr>
        <w:softHyphen/>
        <w:t>кращен...» (11084). Укоризненные письма из войск о проб</w:t>
      </w:r>
      <w:r w:rsidRPr="00D03F3E">
        <w:rPr>
          <w:rFonts w:ascii="Times New Roman" w:hAnsi="Times New Roman"/>
          <w:color w:val="000000" w:themeColor="text1"/>
          <w:sz w:val="16"/>
          <w:szCs w:val="16"/>
        </w:rPr>
        <w:softHyphen/>
        <w:t>лемах обслуживания Т-70 и Т-70М про</w:t>
      </w:r>
      <w:r w:rsidRPr="00D03F3E">
        <w:rPr>
          <w:rFonts w:ascii="Times New Roman" w:hAnsi="Times New Roman"/>
          <w:color w:val="000000" w:themeColor="text1"/>
          <w:sz w:val="16"/>
          <w:szCs w:val="16"/>
        </w:rPr>
        <w:softHyphen/>
        <w:t>должали поступать вплоть до зимы 1943-1944 г. Первые отзывы о Т-70М из войск были сдержанными: «Новая разновидность танка Т-70 перетяжелена. При переправе роты легких танков через деревянный мост на р. Алешня, три танка выпуска 1942 г. легко преодолели его, тогда как под танком выпуска 1943 г., масса которого была на 1,2 т. больше, провалился пастил... Танк за</w:t>
      </w:r>
      <w:r w:rsidRPr="00D03F3E">
        <w:rPr>
          <w:rFonts w:ascii="Times New Roman" w:hAnsi="Times New Roman"/>
          <w:color w:val="000000" w:themeColor="text1"/>
          <w:sz w:val="16"/>
          <w:szCs w:val="16"/>
        </w:rPr>
        <w:softHyphen/>
        <w:t>стрял, замедлив темп наступления брига</w:t>
      </w:r>
      <w:r w:rsidRPr="00D03F3E">
        <w:rPr>
          <w:rFonts w:ascii="Times New Roman" w:hAnsi="Times New Roman"/>
          <w:color w:val="000000" w:themeColor="text1"/>
          <w:sz w:val="16"/>
          <w:szCs w:val="16"/>
        </w:rPr>
        <w:softHyphen/>
        <w:t>ды...»; «...подвижность вне дорог танка Т-70М снижена по сравнению с подвижно</w:t>
      </w:r>
      <w:r w:rsidRPr="00D03F3E">
        <w:rPr>
          <w:rFonts w:ascii="Times New Roman" w:hAnsi="Times New Roman"/>
          <w:color w:val="000000" w:themeColor="text1"/>
          <w:sz w:val="16"/>
          <w:szCs w:val="16"/>
        </w:rPr>
        <w:softHyphen/>
        <w:t>стью Т-60 и Т-70, так как последние имеют меньшее значение удельного давления на грунт и, как следствие, лучшую проходи</w:t>
      </w:r>
      <w:r w:rsidRPr="00D03F3E">
        <w:rPr>
          <w:rFonts w:ascii="Times New Roman" w:hAnsi="Times New Roman"/>
          <w:color w:val="000000" w:themeColor="text1"/>
          <w:sz w:val="16"/>
          <w:szCs w:val="16"/>
        </w:rPr>
        <w:softHyphen/>
        <w:t>мость...».</w:t>
      </w:r>
    </w:p>
    <w:p w14:paraId="73E4F70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в ходе длительных маршей мо</w:t>
      </w:r>
      <w:r w:rsidRPr="00D03F3E">
        <w:rPr>
          <w:rFonts w:ascii="Times New Roman" w:hAnsi="Times New Roman"/>
          <w:color w:val="000000" w:themeColor="text1"/>
          <w:sz w:val="16"/>
          <w:szCs w:val="16"/>
        </w:rPr>
        <w:softHyphen/>
        <w:t>дернизированный легкий танк, поступив</w:t>
      </w:r>
      <w:r w:rsidRPr="00D03F3E">
        <w:rPr>
          <w:rFonts w:ascii="Times New Roman" w:hAnsi="Times New Roman"/>
          <w:color w:val="000000" w:themeColor="text1"/>
          <w:sz w:val="16"/>
          <w:szCs w:val="16"/>
        </w:rPr>
        <w:softHyphen/>
        <w:t>ший на вооружение 3-й гв. танковой армии, вел себя лучше предшественника: «...в ходе преследования противника танки Т-70М выпуска ГАЗ, показали себя наиболее на</w:t>
      </w:r>
      <w:r w:rsidRPr="00D03F3E">
        <w:rPr>
          <w:rFonts w:ascii="Times New Roman" w:hAnsi="Times New Roman"/>
          <w:color w:val="000000" w:themeColor="text1"/>
          <w:sz w:val="16"/>
          <w:szCs w:val="16"/>
        </w:rPr>
        <w:softHyphen/>
        <w:t>дежными среди всех имеющихся в наличии отечественной боевой техники...(11084).</w:t>
      </w:r>
    </w:p>
    <w:p w14:paraId="31E5EFF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34569C" w14:textId="77777777" w:rsidR="00C710FD" w:rsidRPr="00D03F3E" w:rsidRDefault="00C710FD"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апреле 1943 года в Мытищах запустили сборку первых Т-80. Хотя сборка танков велась в очень напряжённой обстановке, к 1 мая удалось сдать 5 танков, из них 2 радийных. К 1 июня удалось сдать ещё 7 танков, при этом все ранее выпущенные машины оснастили радиостанциями. Далее производство Т-80 на месяц полностью остановилось. В июне заводчане собрали 8 танков, но военные их не приняли.</w:t>
      </w:r>
    </w:p>
    <w:p w14:paraId="3BEB8420" w14:textId="77777777" w:rsidR="00C710FD" w:rsidRPr="00D03F3E" w:rsidRDefault="00C710FD" w:rsidP="00D03F3E">
      <w:pPr>
        <w:pStyle w:val="ae"/>
        <w:shd w:val="clear" w:color="auto" w:fill="FFFFFF"/>
        <w:spacing w:before="0" w:after="0"/>
        <w:jc w:val="both"/>
        <w:rPr>
          <w:color w:val="000000" w:themeColor="text1"/>
          <w:sz w:val="16"/>
          <w:szCs w:val="16"/>
        </w:rPr>
      </w:pPr>
      <w:r w:rsidRPr="00D03F3E">
        <w:rPr>
          <w:color w:val="000000" w:themeColor="text1"/>
          <w:sz w:val="16"/>
          <w:szCs w:val="16"/>
        </w:rPr>
        <w:t>Старший военный представитель на заводе №40 инженер-майор Слюсарев в своём отчёте громил руководство, обвиняя его в бездействии. Возможно, в чём-то он и прав, организация производства по некоторым направлениям шла медленно. Но нужно понимать, что нельзя просто так взять и почти на пустом месте за 3-4 месяца организовать танковый завод, который будет выполнять не маленький план, да ещё и выдерживать при этом качество. При остром дефиците кадров и не до конца введённых в строй производственных мощностях других результатов и быть не могло.</w:t>
      </w:r>
    </w:p>
    <w:p w14:paraId="55389737" w14:textId="77777777" w:rsidR="00C710FD" w:rsidRPr="00D03F3E" w:rsidRDefault="00C710FD" w:rsidP="00D03F3E">
      <w:pPr>
        <w:pStyle w:val="ae"/>
        <w:shd w:val="clear" w:color="auto" w:fill="FFFFFF"/>
        <w:spacing w:before="0" w:after="0"/>
        <w:jc w:val="both"/>
        <w:rPr>
          <w:color w:val="000000" w:themeColor="text1"/>
          <w:sz w:val="16"/>
          <w:szCs w:val="16"/>
        </w:rPr>
      </w:pPr>
      <w:r w:rsidRPr="00D03F3E">
        <w:rPr>
          <w:color w:val="000000" w:themeColor="text1"/>
          <w:sz w:val="16"/>
          <w:szCs w:val="16"/>
        </w:rPr>
        <w:t>Дефекты на мытищинских танках являлись весьма частым явлением. С мая по июнь 1943 года отмечено 4 случая выхода из строя бортовых передач и 2 случая поломки главных передач. Масса нареканий вызвала установка артиллерийской системы. Помимо дефектов механизма отката, аналогичных тем, что наблюдались на ГАЗ им. Молотова, отмечались и дефекты сборки. Например, прицел ТМФ, который временно ставили вместо ТП-80, позволял вести огонь при угле возвышения орудия не больше 50-53 градусов. Фактически все танки выпуска апреля-мая 1943 года требовали доработок. На это указывали результаты испытания Т-80 майского выпуска, который в июне 1943 года направили на НИБТ Полигон. После 370 километров пробега случилась поломка шестерён главной и бортовых передач, на этом гарантийный пробег закончился (17712).</w:t>
      </w:r>
    </w:p>
    <w:p w14:paraId="770DFFC7" w14:textId="77777777" w:rsidR="00C710FD" w:rsidRPr="00D03F3E"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F1A7D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для устранения дефектов в работе трансмиссии са</w:t>
      </w:r>
      <w:r w:rsidRPr="00D03F3E">
        <w:rPr>
          <w:rFonts w:ascii="Times New Roman" w:hAnsi="Times New Roman"/>
          <w:color w:val="000000" w:themeColor="text1"/>
          <w:sz w:val="16"/>
          <w:szCs w:val="16"/>
        </w:rPr>
        <w:softHyphen/>
        <w:t>моходной установки по предложению главного конструктора завода № 38 М.Н. Щукина между главными передачами были введены допол</w:t>
      </w:r>
      <w:r w:rsidRPr="00D03F3E">
        <w:rPr>
          <w:rFonts w:ascii="Times New Roman" w:hAnsi="Times New Roman"/>
          <w:color w:val="000000" w:themeColor="text1"/>
          <w:sz w:val="16"/>
          <w:szCs w:val="16"/>
        </w:rPr>
        <w:softHyphen/>
        <w:t>нительные фрикционы, а между коробками передач и главными переда</w:t>
      </w:r>
      <w:r w:rsidRPr="00D03F3E">
        <w:rPr>
          <w:rFonts w:ascii="Times New Roman" w:hAnsi="Times New Roman"/>
          <w:color w:val="000000" w:themeColor="text1"/>
          <w:sz w:val="16"/>
          <w:szCs w:val="16"/>
        </w:rPr>
        <w:softHyphen/>
        <w:t>чами - упругие пружинные муфты. Кроме того, в главном фрикционе было сокращено количество пружин. Изменения были выполнены на четырех машинах, испытания которых дали положительный результат. Дальнейшие работы по устранению недостатков в работе трансмис</w:t>
      </w:r>
      <w:r w:rsidRPr="00D03F3E">
        <w:rPr>
          <w:rFonts w:ascii="Times New Roman" w:hAnsi="Times New Roman"/>
          <w:color w:val="000000" w:themeColor="text1"/>
          <w:sz w:val="16"/>
          <w:szCs w:val="16"/>
        </w:rPr>
        <w:softHyphen/>
        <w:t>сии установки СУ-76 были прекращены в связи с принятием на воору</w:t>
      </w:r>
      <w:r w:rsidRPr="00D03F3E">
        <w:rPr>
          <w:rFonts w:ascii="Times New Roman" w:hAnsi="Times New Roman"/>
          <w:color w:val="000000" w:themeColor="text1"/>
          <w:sz w:val="16"/>
          <w:szCs w:val="16"/>
        </w:rPr>
        <w:softHyphen/>
        <w:t>жение и серийным производством самоходной установки СУ-76М (10703).</w:t>
      </w:r>
    </w:p>
    <w:p w14:paraId="6650CCE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D21C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в г. Киров начались испытания доработанной СУ-76М (СУ-12М; М - модернизированная).</w:t>
      </w:r>
    </w:p>
    <w:p w14:paraId="4BA4DE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1EA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апреле 1943 г. начальник ОГК НКТП С.А.Гинзбург, как “главный виновный” невыполнения заказов НКО по Су-76 (СУ-12) и.о. Наркома ТЕ И.Зальцманом был </w:t>
      </w:r>
      <w:r w:rsidRPr="00D03F3E">
        <w:rPr>
          <w:rFonts w:ascii="Times New Roman" w:hAnsi="Times New Roman"/>
          <w:color w:val="000000" w:themeColor="text1"/>
          <w:sz w:val="16"/>
          <w:szCs w:val="16"/>
        </w:rPr>
        <w:lastRenderedPageBreak/>
        <w:t>отправлен на фронт начальником ремонтной службы одного из танковых корпусов. Вскоре И.Сталин поинтересовался что сделано по устранению дефектов СУ-76 и как восполнена их недостача. А узнав, что деятельность наркомата ограничилась наказаниями, он обрушил на головы руководства НКТП свой гнев, изложенный в двух письмах и телеграмме, где “... подобное наказание талантливого конструктора и танкостроителя СССР, товарища Гинзбурга...” называлось “...гнусным преступлением!”, а “...фактическое бездействие руководства наркомата...” по его мнению, “...оставило Красную армию совсем без самоходной артиллерии” (6205, 14).</w:t>
      </w:r>
    </w:p>
    <w:p w14:paraId="578761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С.А.Гинзбург был отозван с фронта приказом Ставки, но было поздно, так как отозвание, по воспоминаниям Л.Горлицкого, пришло лишь через один, или два дня после его трагической гибели (6205, 14).</w:t>
      </w:r>
    </w:p>
    <w:p w14:paraId="7FA2DC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F5F8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был изготовлен опыт</w:t>
      </w:r>
      <w:r w:rsidRPr="00D03F3E">
        <w:rPr>
          <w:rFonts w:ascii="Times New Roman" w:hAnsi="Times New Roman"/>
          <w:color w:val="000000" w:themeColor="text1"/>
          <w:sz w:val="16"/>
          <w:szCs w:val="16"/>
        </w:rPr>
        <w:softHyphen/>
        <w:t>ный образец модернизированного самохода СУ-122М, а 16—17 мая 1943 г. он уже прошел заводские испытания про</w:t>
      </w:r>
      <w:r w:rsidRPr="00D03F3E">
        <w:rPr>
          <w:rFonts w:ascii="Times New Roman" w:hAnsi="Times New Roman"/>
          <w:color w:val="000000" w:themeColor="text1"/>
          <w:sz w:val="16"/>
          <w:szCs w:val="16"/>
        </w:rPr>
        <w:softHyphen/>
        <w:t>бегом на 100 км и 50 выстрелами.</w:t>
      </w:r>
    </w:p>
    <w:p w14:paraId="684E30B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сравнению с СУ-122 новый артсамоход имел целый ряд преимуществ:</w:t>
      </w:r>
    </w:p>
    <w:p w14:paraId="1AAEB1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Более просторное боевое отделение за счет расширения стенок подкрылков до внешнего габарита гусениц и подъема крыши на 50 мм (т.е. увеличение высоты бое</w:t>
      </w:r>
      <w:r w:rsidRPr="00D03F3E">
        <w:rPr>
          <w:rFonts w:ascii="Times New Roman" w:hAnsi="Times New Roman"/>
          <w:color w:val="000000" w:themeColor="text1"/>
          <w:sz w:val="16"/>
          <w:szCs w:val="16"/>
        </w:rPr>
        <w:softHyphen/>
        <w:t>вого отделения до 1700 мм).</w:t>
      </w:r>
    </w:p>
    <w:p w14:paraId="3ADC1B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122-мм штурмовое орудие У-11, имея ту же баллистику, что и гаубица М-30, было уравновешено в цапфах и ус</w:t>
      </w:r>
      <w:r w:rsidRPr="00D03F3E">
        <w:rPr>
          <w:rFonts w:ascii="Times New Roman" w:hAnsi="Times New Roman"/>
          <w:color w:val="000000" w:themeColor="text1"/>
          <w:sz w:val="16"/>
          <w:szCs w:val="16"/>
        </w:rPr>
        <w:softHyphen/>
        <w:t>тановлено в карданную рамку, прикрепленную к лобо</w:t>
      </w:r>
      <w:r w:rsidRPr="00D03F3E">
        <w:rPr>
          <w:rFonts w:ascii="Times New Roman" w:hAnsi="Times New Roman"/>
          <w:color w:val="000000" w:themeColor="text1"/>
          <w:sz w:val="16"/>
          <w:szCs w:val="16"/>
        </w:rPr>
        <w:softHyphen/>
        <w:t>вому листу корпуса.</w:t>
      </w:r>
    </w:p>
    <w:p w14:paraId="291D5FD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Сокращение длины противооткатных устройств, умень</w:t>
      </w:r>
      <w:r w:rsidRPr="00D03F3E">
        <w:rPr>
          <w:rFonts w:ascii="Times New Roman" w:hAnsi="Times New Roman"/>
          <w:color w:val="000000" w:themeColor="text1"/>
          <w:sz w:val="16"/>
          <w:szCs w:val="16"/>
        </w:rPr>
        <w:softHyphen/>
        <w:t>шение длины отката, рамочная установка оружия улуч</w:t>
      </w:r>
      <w:r w:rsidRPr="00D03F3E">
        <w:rPr>
          <w:rFonts w:ascii="Times New Roman" w:hAnsi="Times New Roman"/>
          <w:color w:val="000000" w:themeColor="text1"/>
          <w:sz w:val="16"/>
          <w:szCs w:val="16"/>
        </w:rPr>
        <w:softHyphen/>
        <w:t>шили условия обитания экипажа и позволили оснастить орудие шаровой бронировкой, а трудоемкость монтажа вооружения уменьшилась с 17—18 часов до 1,5—2.</w:t>
      </w:r>
    </w:p>
    <w:p w14:paraId="66F349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Расположение центра масс орудия было более благо</w:t>
      </w:r>
      <w:r w:rsidRPr="00D03F3E">
        <w:rPr>
          <w:rFonts w:ascii="Times New Roman" w:hAnsi="Times New Roman"/>
          <w:color w:val="000000" w:themeColor="text1"/>
          <w:sz w:val="16"/>
          <w:szCs w:val="16"/>
        </w:rPr>
        <w:softHyphen/>
        <w:t>приятно для передних опорных катков.</w:t>
      </w:r>
    </w:p>
    <w:p w14:paraId="1E52A2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Для ведения огня прямой наводкой орудие оснащалось телескопическим прицелом.</w:t>
      </w:r>
    </w:p>
    <w:p w14:paraId="6324319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Был введен люк-лаз механика-водителя, расположение остальных люков изменилось для обеспечения как тех</w:t>
      </w:r>
      <w:r w:rsidRPr="00D03F3E">
        <w:rPr>
          <w:rFonts w:ascii="Times New Roman" w:hAnsi="Times New Roman"/>
          <w:color w:val="000000" w:themeColor="text1"/>
          <w:sz w:val="16"/>
          <w:szCs w:val="16"/>
        </w:rPr>
        <w:softHyphen/>
        <w:t>нологических, так и эксплуатационных преимуществ (11417).</w:t>
      </w:r>
    </w:p>
    <w:p w14:paraId="7E8F9C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7716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Уралмашзавод получил задание и ТТТ на проектирование САУ с 85-мм пушкой. Д.б. поражать Тигр на 500-1000 м. Орудие д.б. разработать ЦАКБ (4406).</w:t>
      </w:r>
    </w:p>
    <w:p w14:paraId="01B2E7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7487AE"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года Артиллерийский комитет ГАУ Красной Армии выслал "Уралмашзаводу" тактико-техническиетребования (ТТХ) на проектирование САУ с 85-мм орудием. Основным назначением новой самоходки должно было стать уничтожение тяжелых танков противника типа "Тигр" на дистанциях 500-1000 м. Для выполнения ТТХ предлагалось взять за основу модернизированную СУ-122М и вместо 122-мм гаубицы установить орудие с баллистикой 85-мм зенитной пушки обр. 1939 года. Во второй половине апреля конструкторский отдел "Уралмашзавода", возглавляемый Л.И.Горлицким, приступил к проектированию машины (9637).</w:t>
      </w:r>
    </w:p>
    <w:p w14:paraId="5C860BFB"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1D8691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апреля 1943 г. боевая рубка машин Су-122 третьей серии согласно документам, перекочевала далее на СУ-85. Кроме того, некоторые САУ перед летней жарой получили дополнительный вентилятор боевого отделения, установленный на кормовом листе боевой рубки (4017).</w:t>
      </w:r>
    </w:p>
    <w:p w14:paraId="4E7567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088E3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был изготовлен опытный образец установки, который в мае того же года прошел завод</w:t>
      </w:r>
      <w:r w:rsidRPr="00D03F3E">
        <w:rPr>
          <w:rFonts w:ascii="Times New Roman" w:hAnsi="Times New Roman"/>
          <w:color w:val="000000" w:themeColor="text1"/>
          <w:sz w:val="16"/>
          <w:szCs w:val="16"/>
        </w:rPr>
        <w:softHyphen/>
        <w:t>ские испытания, а в июне 1943 г. - Государственные испытания на по</w:t>
      </w:r>
      <w:r w:rsidRPr="00D03F3E">
        <w:rPr>
          <w:rFonts w:ascii="Times New Roman" w:hAnsi="Times New Roman"/>
          <w:color w:val="000000" w:themeColor="text1"/>
          <w:sz w:val="16"/>
          <w:szCs w:val="16"/>
        </w:rPr>
        <w:softHyphen/>
        <w:t>лигоне НКВ под Нижним Тагилом. На вооружение установка СУ-122М не принималась (10703).</w:t>
      </w:r>
    </w:p>
    <w:p w14:paraId="284502B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85F0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было закончено изготовление опытной машины, получившей индекс СУ-122М. Конструкция новой машины имела ряд преимуществ по сравнению с серийной СУ-122. Боевое отделение СУ-122М подверглось значительному увеличению за счет расширения стенок до габаритов гусениц и повышения боевого отделения на 50 мм.</w:t>
      </w:r>
    </w:p>
    <w:p w14:paraId="7F65B6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Гаубица У-11 (новое обозначение Д-11) в рамке была уравновешена в цапфах и устанавливалась со смещением назад, что улучшало условия работы передних опорных катков ходовой части. По рекомендации ГАУ РККА для более эффективной стрельбы прямой наводкой, в САУ был введен телескопический прицел прямой наводки (4017).</w:t>
      </w:r>
    </w:p>
    <w:p w14:paraId="7C25A6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74A20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года на Уралмаше была опытная САУ, получившая обозначение СУ-122М. Ее конструкция имела ряд преимуществ по сравнению с СУ-122. Боевое отделение увеличилось за счет расширения стенок до габаритов гусеницы и увеличения корпуса по высоте на 50 мм. Гаубица Д-11 устанавливалась вместе с люлькой в рамку, вращавшуюся в цапфах и прикрепленную только к лобовому листу без связи с днищем и бортами. Орудие было самоуравновешено в цапфах и устанавливалось со смещением назад, что улучшало условия работы передних опорных катков ходовой части. Для более эффективной стрельбы прямой наводной был установлен телескопический прицел (9636).</w:t>
      </w:r>
    </w:p>
    <w:p w14:paraId="5478E924"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3D94FAE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апреля 1943 года началось формирование самоходно-артиллерийских полков с однотипными установками. В таком полку имелось 16 САУ СУ-122, которые вплоть до начала 1944 года продолжали использоваться для сопровождения пехоты и танков. Однако такое применение ее было недостаточно эффективным из-за малой начальной скорости снаряда - 515 м/с - и, следовательно, малой настильности ее траектории. Поступавшая с августа 1943 года в значительно больших количествах в войска новая САУ СУ-85 быстро заменила свою предшественницу на поле боя (9636).</w:t>
      </w:r>
    </w:p>
    <w:p w14:paraId="176AF858"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7DC5FB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ГКО постановил СУ-14 впредь именовать СУ-152 (6001,20).</w:t>
      </w:r>
    </w:p>
    <w:p w14:paraId="2F5A757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5834E9" w14:textId="77777777" w:rsidR="00C710FD" w:rsidRPr="00D03F3E"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апреле 1943 года отмечались проблемы с поставками комплектующих на ЧКЗ. Сборка СУ-152, как начали называть КВ-14 с этого месяца, задерживалась из-за проблем с подачей артиллерийских систем и проводки на прибор освещения «Луч». В результате по состоянию на 24 апреля была принята всего 31 машина. Апрельский план в 75 машин всё же удалось выполнить в срок, а вот в следующем месяце завод ждали большие неприятности. По состоянию на 25 мая 1943 года, было принято всего 5 СУ-152. На сей раз главной причиной срыва плана стал завод №200, поставивший по состоянию на 25 мая всего 28 корпусов. Имелись серьезные проблемы с заделом по коробкам передач и другим агрегатам. В совокупности всё привело к тому, что вместо 75 машин в мае оказалось принято всего 25 СУ-152. Кроме того, на заводе скопилось некоторое количество самоходных установок, требовавших устранения неисправностей после участия в учениях.</w:t>
      </w:r>
    </w:p>
    <w:p w14:paraId="1EF2A5B7" w14:textId="77777777" w:rsidR="00C710FD" w:rsidRPr="00D03F3E"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Не лучшим оказалось и начало июня: согласно докладам военных представителей, по состоянию на 10 число завод собрал 36 самоходок, но ни одна из них не была принята. Причиной этому был массовый брак как по двигателям, так и по коробкам передач, агрегаты массово выходили из строя. Переломить ситуацию удалось лишь к концу месяца, причем вместо 75 машин оказалось принято 84. Кроме того, в соответствии с планом завод сумел отремонтировать 15 СУ-152, выпущенных ранее.</w:t>
      </w:r>
    </w:p>
    <w:p w14:paraId="5DCC1381" w14:textId="77777777" w:rsidR="00C710FD" w:rsidRPr="00D03F3E"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План по производству САУ в третьем квартале был скорректирован. Вместо 75 машин план на июль предусматривал постройку 80 самоходных установок, а в августе и сентябре объемы вырастали до 84 СУ-152 в месяц. Кроме того, согласно договору между Кировским заводом Народного комиссариата танковой промышленности (НКТП) и Управлением мехтяги и самоходной артиллерии Главного артиллерийского управления Красной армии (ГАУ КА) стоимость одной СУ-152 снизилась до 250 тысяч рублей. Несмотря на ряд задержек, к концу июля завод сдал положенные по плану 80 СУ-152. Машины, выпущенные в конце месяца, претерпели некоторые изменения. Поручень на кормовом листе рубки стал крепится не на двух, а на трех опорах. Еще одно конструктивное изменение самоходные установки получили одновременно с КВ-1с. Были изменены выхлопные патрубки, которые получили более короткую и лучше защищающую бронировку. В таком виде СУ-152 выпускалась до конца сентября 1943 года (17696).</w:t>
      </w:r>
    </w:p>
    <w:p w14:paraId="79151447" w14:textId="77777777" w:rsidR="00C710FD" w:rsidRPr="00D03F3E"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8B7CE85" w14:textId="77777777" w:rsidR="00C710FD" w:rsidRPr="00D03F3E"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Только в апреле 1943 года из-за проблемы с качеством СУ-152 начались поставки этих машин в войска (17696).</w:t>
      </w:r>
    </w:p>
    <w:p w14:paraId="7E7A9F5A" w14:textId="77777777" w:rsidR="00C710FD" w:rsidRPr="00D03F3E"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1403422" w14:textId="77777777" w:rsidR="00C710FD" w:rsidRPr="00D03F3E" w:rsidRDefault="00C710FD" w:rsidP="00D03F3E">
      <w:pPr>
        <w:pStyle w:val="ae"/>
        <w:spacing w:before="0" w:after="0"/>
        <w:jc w:val="both"/>
        <w:textAlignment w:val="baseline"/>
        <w:rPr>
          <w:color w:val="000000" w:themeColor="text1"/>
          <w:sz w:val="16"/>
          <w:szCs w:val="16"/>
        </w:rPr>
      </w:pPr>
      <w:r w:rsidRPr="00D03F3E">
        <w:rPr>
          <w:color w:val="000000" w:themeColor="text1"/>
          <w:sz w:val="16"/>
          <w:szCs w:val="16"/>
        </w:rPr>
        <w:t>В апреле 1943 года «122-мм самоходная пушка А-19 на шасси самохода СУ-152» фигурировала в плане опытных работ. Инициатором работ по этой теме стал Артиллерийский комитет Главного артиллерийского управления Красной армии (ГАУ КА). 28 апреля на Челябинском Кировском заводе (ЧКЗ) уже велись работы по установке А-19 в СУ-152, ориентировочно образец планировали построить к 10 мая. Впрочем, работы застопорились: больше никаких данных об этой машине нет.</w:t>
      </w:r>
    </w:p>
    <w:p w14:paraId="571CE0AE" w14:textId="77777777" w:rsidR="00C710FD" w:rsidRPr="00D03F3E" w:rsidRDefault="00C710FD" w:rsidP="00D03F3E">
      <w:pPr>
        <w:pStyle w:val="ae"/>
        <w:spacing w:before="0" w:after="0"/>
        <w:jc w:val="both"/>
        <w:textAlignment w:val="baseline"/>
        <w:rPr>
          <w:color w:val="000000" w:themeColor="text1"/>
          <w:sz w:val="16"/>
          <w:szCs w:val="16"/>
        </w:rPr>
      </w:pPr>
      <w:r w:rsidRPr="00D03F3E">
        <w:rPr>
          <w:color w:val="000000" w:themeColor="text1"/>
          <w:sz w:val="16"/>
          <w:szCs w:val="16"/>
        </w:rPr>
        <w:t>Существовал, впрочем, ещё один проект, о котором в документах ГАУ КА не упоминается. Его история началась в октябре 1942 года, когда КБ завода №8 разработало целую плеяду артиллерийских систем, унифицированных на двух типах лафетов — М-30 и МЛ-20. На лафет МЛ-20 предполагалось установить стволы от 203-мм корпусной гаубицы У-3 и 152-мм пушки особой мощности БР-2. Эти же системы предполагалось использовать на тяжёлой самоходной установке ЗИК-20, которая тогда же проектировалась конструкторским бюро (КБ) завода №8.</w:t>
      </w:r>
    </w:p>
    <w:p w14:paraId="09E4555F" w14:textId="77777777" w:rsidR="00C710FD" w:rsidRPr="00D03F3E" w:rsidRDefault="00C710FD" w:rsidP="00D03F3E">
      <w:pPr>
        <w:pStyle w:val="ae"/>
        <w:spacing w:before="0" w:after="0"/>
        <w:jc w:val="both"/>
        <w:textAlignment w:val="baseline"/>
        <w:rPr>
          <w:color w:val="000000" w:themeColor="text1"/>
          <w:sz w:val="16"/>
          <w:szCs w:val="16"/>
        </w:rPr>
      </w:pPr>
      <w:r w:rsidRPr="00D03F3E">
        <w:rPr>
          <w:color w:val="000000" w:themeColor="text1"/>
          <w:sz w:val="16"/>
          <w:szCs w:val="16"/>
        </w:rPr>
        <w:t xml:space="preserve">В ноябре 1942 года произошло разделение завода №8 на завод №8, производивший буксируемые орудия, и завод №9, выпускавший танковые и самоходные системы. Работы Ф.Ф. Петрова по буксируемым системам продолжились. БР-2 на лафете МЛ-20 была реализована в виде опытного орудия Д-4, которое проходило испытания, </w:t>
      </w:r>
      <w:r w:rsidRPr="00D03F3E">
        <w:rPr>
          <w:color w:val="000000" w:themeColor="text1"/>
          <w:sz w:val="16"/>
          <w:szCs w:val="16"/>
        </w:rPr>
        <w:lastRenderedPageBreak/>
        <w:t>но так в серию и не попало. Весной 1943 года снова появилась идея поставить БР-2, точнее уже Д-4, на самоходное шасси, в роли которого теперь рассматривалась база СУ-152. За счёт унификации по лафетам теоретически такой проект был осуществим. Впрочем, инициативная работа так и осталась на бумаге, причём от неё сохранились только эскизы. Но это была первая ласточка в череде длинноствольных систем для СУ-152 (17716).</w:t>
      </w:r>
    </w:p>
    <w:p w14:paraId="17ABCF0B" w14:textId="77777777" w:rsidR="00C710FD" w:rsidRPr="00D03F3E" w:rsidRDefault="00C710FD" w:rsidP="00D03F3E">
      <w:pPr>
        <w:spacing w:after="0" w:line="240" w:lineRule="auto"/>
        <w:jc w:val="both"/>
        <w:rPr>
          <w:rFonts w:ascii="Times New Roman" w:eastAsia="Times New Roman" w:hAnsi="Times New Roman"/>
          <w:color w:val="000000" w:themeColor="text1"/>
          <w:sz w:val="16"/>
          <w:szCs w:val="16"/>
          <w:lang w:eastAsia="ru-RU"/>
        </w:rPr>
      </w:pPr>
    </w:p>
    <w:p w14:paraId="35328EF2" w14:textId="77777777" w:rsidR="00C710FD" w:rsidRPr="00D03F3E" w:rsidRDefault="00C710FD" w:rsidP="00D03F3E">
      <w:pPr>
        <w:pStyle w:val="ae"/>
        <w:spacing w:before="0" w:after="0"/>
        <w:jc w:val="both"/>
        <w:textAlignment w:val="baseline"/>
        <w:rPr>
          <w:color w:val="000000" w:themeColor="text1"/>
          <w:sz w:val="16"/>
          <w:szCs w:val="16"/>
        </w:rPr>
      </w:pPr>
      <w:r w:rsidRPr="00D03F3E">
        <w:rPr>
          <w:color w:val="000000" w:themeColor="text1"/>
          <w:sz w:val="16"/>
          <w:szCs w:val="16"/>
        </w:rPr>
        <w:t>В апреле 1943 года начались работы по системе Д-5. КБ завода №9 разработало её таким образом, что имелась возможность использовать стволы разных калибров. Приоритетными являлись орудия калибра 85-мм с баллистикой зенитной пушки 52-К и 122 мм с баллистикой гаубицы М-30. Тем не менее ещё на этом этапе Петров и его коллеги заложили в конструкцию Д-5 возможность «принять» и более мощные орудия. В перечне возможных стволов для неё были 107-мм пушка М-60, 122-мм пушка А-19 и 152-мм гаубица М-10.</w:t>
      </w:r>
    </w:p>
    <w:p w14:paraId="6FA2AB5C" w14:textId="77777777" w:rsidR="00C710FD" w:rsidRPr="00D03F3E" w:rsidRDefault="00C710FD" w:rsidP="00D03F3E">
      <w:pPr>
        <w:pStyle w:val="ae"/>
        <w:spacing w:before="0" w:after="0"/>
        <w:jc w:val="both"/>
        <w:textAlignment w:val="baseline"/>
        <w:rPr>
          <w:color w:val="000000" w:themeColor="text1"/>
          <w:sz w:val="16"/>
          <w:szCs w:val="16"/>
        </w:rPr>
      </w:pPr>
      <w:r w:rsidRPr="00D03F3E">
        <w:rPr>
          <w:color w:val="000000" w:themeColor="text1"/>
          <w:sz w:val="16"/>
          <w:szCs w:val="16"/>
        </w:rPr>
        <w:t>Калибр 107 мм довольно быстро выпал из списка, по нему даже не стали проводить опытных работ. Со стволом М-10 позже был разработан технический проект самоходной пушки Д-15, в металле его строить не стали. А вот с системой А-19 события развивались по другому сценарию.</w:t>
      </w:r>
    </w:p>
    <w:p w14:paraId="4E94D345" w14:textId="77777777" w:rsidR="00C710FD" w:rsidRPr="00D03F3E" w:rsidRDefault="00C710FD" w:rsidP="00D03F3E">
      <w:pPr>
        <w:pStyle w:val="ae"/>
        <w:spacing w:before="0" w:after="0"/>
        <w:jc w:val="both"/>
        <w:textAlignment w:val="baseline"/>
        <w:rPr>
          <w:color w:val="000000" w:themeColor="text1"/>
          <w:sz w:val="16"/>
          <w:szCs w:val="16"/>
        </w:rPr>
      </w:pPr>
      <w:r w:rsidRPr="00D03F3E">
        <w:rPr>
          <w:color w:val="000000" w:themeColor="text1"/>
          <w:sz w:val="16"/>
          <w:szCs w:val="16"/>
        </w:rPr>
        <w:t>Испытания обстрелом немецкого танка Pz.Kpfw.Tiger Ausf.E показали, насколько мощным орудием является A-19. Первое же попадание в башню, произведённое с дистанции в полтора километра, привело к отрыву куска брони 580×230 мм. Башню немецкого тяжёлого танка сорвало с погона и на 540 мм сдвинуло назад (17717).</w:t>
      </w:r>
    </w:p>
    <w:p w14:paraId="3E79D8CE" w14:textId="77777777" w:rsidR="00C710FD" w:rsidRPr="00D03F3E"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37F2F66" w14:textId="77777777" w:rsidR="00C710FD" w:rsidRPr="00D03F3E" w:rsidRDefault="00C710FD"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апреле 1943 года завод №38, как и предусмотрено в постановлении ГКО №3184сс, в котором ясно говорится о производстве 4-орудийной батареи, выпустил 4 СУ-15, которые получили серийные номера с 15-601 по 15-604 (17728).</w:t>
      </w:r>
    </w:p>
    <w:p w14:paraId="214A50B8" w14:textId="77777777" w:rsidR="00C710FD" w:rsidRPr="00D03F3E"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B077591" w14:textId="77777777" w:rsidR="00C710FD" w:rsidRPr="00D03F3E"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 апреля 1943 года началось формирование САП по штату №010/456, согласно которому в полку насчитывалась 21 СУ-12. Впрочем, в боях лета 1943 года такие части из-за технических проблем использовались ограниченно. Зато СУ-12 успели повоевать в САП, сформированных по штату № 08/191, и в других частях. На Курской дуге сражались 45-й и 193-й танковые полки, в которых имелось, в общей сложности, 11 СУ-12. Еще 5 СУ-12 имелось в 1440-м САП. В летних боях отмечалась плохая вентиляция боевого отделения закрытой рубки, что привело к появлению прозвища «душегубка».</w:t>
      </w:r>
    </w:p>
    <w:p w14:paraId="28360389" w14:textId="77777777" w:rsidR="00C710FD" w:rsidRPr="00D03F3E"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Начиная с осени 1943 года, когда в войска пошли СУ-15М, их предшественницы постепенно стали заменяться. Тем не менее, такие машины встречались в войсках даже летом 1944 года. При этом в документах частей и подразделений их не отделяли от СУ-76М (СУ-15М) и СУ-76И. В результате боевой путь последнего детища Гинзбурга отследить очень трудно.</w:t>
      </w:r>
    </w:p>
    <w:p w14:paraId="3B3259AA" w14:textId="77777777" w:rsidR="00C710FD" w:rsidRPr="00D03F3E"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Увы, до наших дней ни одна СУ-12 не сохранилась. Зато уцелела СУ-11, которая «осела» на НИБТ Полигоне в Кубинке, позже оказавшись в музее. Там её до сих пор называют ЗСУ-37, хотя от машины с таким названием она отличается, и весьма существенно. Два лючка доступа к элементам трансмиссии и два отверстия под заводные рукоятки прямо намекают на параллельное расположение двигателей, схему, которая погубила одного из ведущих советских инженеров-конструкторов (17699).</w:t>
      </w:r>
    </w:p>
    <w:p w14:paraId="15A69FC2" w14:textId="77777777" w:rsidR="00C710FD" w:rsidRPr="00D03F3E"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44B96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Главный конструктор за</w:t>
      </w:r>
      <w:r w:rsidRPr="00D03F3E">
        <w:rPr>
          <w:rFonts w:ascii="Times New Roman" w:hAnsi="Times New Roman"/>
          <w:color w:val="000000" w:themeColor="text1"/>
          <w:sz w:val="16"/>
          <w:szCs w:val="16"/>
        </w:rPr>
        <w:softHyphen/>
        <w:t>вода № 38 М.Н. Щукин обратился к начальнику ЦАКБ В.Г. Грабину с просьбой рассмотреть возможность изменения конструкции орудий</w:t>
      </w:r>
      <w:r w:rsidRPr="00D03F3E">
        <w:rPr>
          <w:rFonts w:ascii="Times New Roman" w:hAnsi="Times New Roman"/>
          <w:color w:val="000000" w:themeColor="text1"/>
          <w:sz w:val="16"/>
          <w:szCs w:val="16"/>
        </w:rPr>
        <w:softHyphen/>
        <w:t>ного станка и некоторых механизмов ЗИС-3 по предложен</w:t>
      </w:r>
      <w:r w:rsidRPr="00D03F3E">
        <w:rPr>
          <w:rFonts w:ascii="Times New Roman" w:hAnsi="Times New Roman"/>
          <w:color w:val="000000" w:themeColor="text1"/>
          <w:sz w:val="16"/>
          <w:szCs w:val="16"/>
        </w:rPr>
        <w:softHyphen/>
        <w:t>ным эскизам. К концу мая ЦАКБ предложило заводу № 38 опытный образец такого орудия С-15. После неизбежных до</w:t>
      </w:r>
      <w:r w:rsidRPr="00D03F3E">
        <w:rPr>
          <w:rFonts w:ascii="Times New Roman" w:hAnsi="Times New Roman"/>
          <w:color w:val="000000" w:themeColor="text1"/>
          <w:sz w:val="16"/>
          <w:szCs w:val="16"/>
        </w:rPr>
        <w:softHyphen/>
        <w:t>работок и «притирания» конструкции орудия к новой боевой рубке оно получило индекс СУ-15, отражавший и название машины, для которой оно создавалось. Фактически КБ заво</w:t>
      </w:r>
      <w:r w:rsidRPr="00D03F3E">
        <w:rPr>
          <w:rFonts w:ascii="Times New Roman" w:hAnsi="Times New Roman"/>
          <w:color w:val="000000" w:themeColor="text1"/>
          <w:sz w:val="16"/>
          <w:szCs w:val="16"/>
        </w:rPr>
        <w:softHyphen/>
        <w:t>да № 38 провело проектирование не одной, а сразу трех САУ, несущих силовой агрегат ГАЗ-203 и пушку СУ-15. Эти маши</w:t>
      </w:r>
      <w:r w:rsidRPr="00D03F3E">
        <w:rPr>
          <w:rFonts w:ascii="Times New Roman" w:hAnsi="Times New Roman"/>
          <w:color w:val="000000" w:themeColor="text1"/>
          <w:sz w:val="16"/>
          <w:szCs w:val="16"/>
        </w:rPr>
        <w:softHyphen/>
        <w:t>ны получили индексы СУ-15, СУ-38 и СУ-16.</w:t>
      </w:r>
    </w:p>
    <w:p w14:paraId="52DA12E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СУ-15 представляла собой слегка измененный корпус и ходовую часть СУ-12, но оснащенные последовательно спа</w:t>
      </w:r>
      <w:r w:rsidRPr="00D03F3E">
        <w:rPr>
          <w:rFonts w:ascii="Times New Roman" w:hAnsi="Times New Roman"/>
          <w:color w:val="000000" w:themeColor="text1"/>
          <w:sz w:val="16"/>
          <w:szCs w:val="16"/>
        </w:rPr>
        <w:softHyphen/>
        <w:t>ренной двигательной установкой ГАЗ-203 с новой компонов</w:t>
      </w:r>
      <w:r w:rsidRPr="00D03F3E">
        <w:rPr>
          <w:rFonts w:ascii="Times New Roman" w:hAnsi="Times New Roman"/>
          <w:color w:val="000000" w:themeColor="text1"/>
          <w:sz w:val="16"/>
          <w:szCs w:val="16"/>
        </w:rPr>
        <w:softHyphen/>
        <w:t>кой воздухоотводящих каналов, новым размещением радиа</w:t>
      </w:r>
      <w:r w:rsidRPr="00D03F3E">
        <w:rPr>
          <w:rFonts w:ascii="Times New Roman" w:hAnsi="Times New Roman"/>
          <w:color w:val="000000" w:themeColor="text1"/>
          <w:sz w:val="16"/>
          <w:szCs w:val="16"/>
        </w:rPr>
        <w:softHyphen/>
        <w:t>тора и орудием СУ-15 в закрытой боевой рубке. Боевая рубка имела несколько большие габаритные размеры, чем боеотсек СУ-12, при все-таки более тесной компоновке, так как в ней размещался радиатор и проходил воздуховод двигателя.</w:t>
      </w:r>
    </w:p>
    <w:p w14:paraId="131416A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СУ-38 отличалась от СУ-15 применением штатной базы серийного Т-70 (двигатель, трансмиссия и ходовая часть), но отличалась увеличенной до 45 мм толщиной лобовой брони в боевой рубке, сдвинутой к середине машины. Это было сде</w:t>
      </w:r>
      <w:r w:rsidRPr="00D03F3E">
        <w:rPr>
          <w:rFonts w:ascii="Times New Roman" w:hAnsi="Times New Roman"/>
          <w:color w:val="000000" w:themeColor="text1"/>
          <w:sz w:val="16"/>
          <w:szCs w:val="16"/>
        </w:rPr>
        <w:softHyphen/>
        <w:t>лано для улучшения распределения нагрузки на опорные катки и нижнюю ветвь гусеницы. Командир в СУ-38 распо</w:t>
      </w:r>
      <w:r w:rsidRPr="00D03F3E">
        <w:rPr>
          <w:rFonts w:ascii="Times New Roman" w:hAnsi="Times New Roman"/>
          <w:color w:val="000000" w:themeColor="text1"/>
          <w:sz w:val="16"/>
          <w:szCs w:val="16"/>
        </w:rPr>
        <w:softHyphen/>
        <w:t>лагался «верхом на двигателе», сидя правым боком вперед.</w:t>
      </w:r>
    </w:p>
    <w:p w14:paraId="04B63D1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СУ-16 по базе была подобна СУ-38 (также использова</w:t>
      </w:r>
      <w:r w:rsidRPr="00D03F3E">
        <w:rPr>
          <w:rFonts w:ascii="Times New Roman" w:hAnsi="Times New Roman"/>
          <w:color w:val="000000" w:themeColor="text1"/>
          <w:sz w:val="16"/>
          <w:szCs w:val="16"/>
        </w:rPr>
        <w:softHyphen/>
        <w:t>лись шасси и силовая установка Т-70). Но боевая рубка в ней была открытой сверху. Командир в боевых условиях мог находиться в рубке только сидя боком над двигателем. Новые САУ прибыли на Гороховецкий артиллерийский полигон в июле 1943 г., когда под Курском шли тяжелые оборонительные бои. Испытания проводились совместно с доставленной туда же серийной СУ-76М (СУ-12М). Не</w:t>
      </w:r>
      <w:r w:rsidRPr="00D03F3E">
        <w:rPr>
          <w:rFonts w:ascii="Times New Roman" w:hAnsi="Times New Roman"/>
          <w:color w:val="000000" w:themeColor="text1"/>
          <w:sz w:val="16"/>
          <w:szCs w:val="16"/>
        </w:rPr>
        <w:softHyphen/>
        <w:t>смотря на то, что СУ-16 была признана лучшей для ведения огня (у нее не было крыши), а СУ-38 имела прекрасное бронирование, их опорные катки испытывали чрезмерную нагрузку, что сказывалось на проходимости и ресурсе ходо</w:t>
      </w:r>
      <w:r w:rsidRPr="00D03F3E">
        <w:rPr>
          <w:rFonts w:ascii="Times New Roman" w:hAnsi="Times New Roman"/>
          <w:color w:val="000000" w:themeColor="text1"/>
          <w:sz w:val="16"/>
          <w:szCs w:val="16"/>
        </w:rPr>
        <w:softHyphen/>
        <w:t>вой части. Симпатии практически всех военных (как ар</w:t>
      </w:r>
      <w:r w:rsidRPr="00D03F3E">
        <w:rPr>
          <w:rFonts w:ascii="Times New Roman" w:hAnsi="Times New Roman"/>
          <w:color w:val="000000" w:themeColor="text1"/>
          <w:sz w:val="16"/>
          <w:szCs w:val="16"/>
        </w:rPr>
        <w:softHyphen/>
        <w:t>тиллеристов, так и танкистов) лежали на стороне СУ-15, которая превосходила своих партнеров по подвижности и проходимости. Стояли за нее и представители НКТП, по</w:t>
      </w:r>
      <w:r w:rsidRPr="00D03F3E">
        <w:rPr>
          <w:rFonts w:ascii="Times New Roman" w:hAnsi="Times New Roman"/>
          <w:color w:val="000000" w:themeColor="text1"/>
          <w:sz w:val="16"/>
          <w:szCs w:val="16"/>
        </w:rPr>
        <w:softHyphen/>
        <w:t>скольку она имела наивысшую унификацию узлов с уже освоенной СУ-76М (СУ-12М). Единственным крупным недостатком, отмеченным госкомиссией, была масса ма</w:t>
      </w:r>
      <w:r w:rsidRPr="00D03F3E">
        <w:rPr>
          <w:rFonts w:ascii="Times New Roman" w:hAnsi="Times New Roman"/>
          <w:color w:val="000000" w:themeColor="text1"/>
          <w:sz w:val="16"/>
          <w:szCs w:val="16"/>
        </w:rPr>
        <w:softHyphen/>
        <w:t>шины, несколько превышавшая установленные НКТП пределы (11,2 т.). Проведенные итоговые испытания СУ-15 выявили необходимость дополнительной конструктивной и технологической доработки некоторых деталей моторно-трансмиссионной группы, заимствованных с танка Т-70, а также снижения массы на 300—600 кг. В итоговом докумен</w:t>
      </w:r>
      <w:r w:rsidRPr="00D03F3E">
        <w:rPr>
          <w:rFonts w:ascii="Times New Roman" w:hAnsi="Times New Roman"/>
          <w:color w:val="000000" w:themeColor="text1"/>
          <w:sz w:val="16"/>
          <w:szCs w:val="16"/>
        </w:rPr>
        <w:softHyphen/>
        <w:t>те рекомендовалось принять СУ-15 на вооружение взамен СУ-12М с доработками, направленными на снижение веса и увеличение надежности ходовой части и трансмиссии.</w:t>
      </w:r>
    </w:p>
    <w:p w14:paraId="5E518F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освоения серийного производства машины СУ-15, равно как и орудийной установки того же индекса, силами завода № 38 и ЦАКБ были проведены некоторые из</w:t>
      </w:r>
      <w:r w:rsidRPr="00D03F3E">
        <w:rPr>
          <w:rFonts w:ascii="Times New Roman" w:hAnsi="Times New Roman"/>
          <w:color w:val="000000" w:themeColor="text1"/>
          <w:sz w:val="16"/>
          <w:szCs w:val="16"/>
        </w:rPr>
        <w:softHyphen/>
        <w:t>менения их конструкции. Так, для снижения массы, улуч</w:t>
      </w:r>
      <w:r w:rsidRPr="00D03F3E">
        <w:rPr>
          <w:rFonts w:ascii="Times New Roman" w:hAnsi="Times New Roman"/>
          <w:color w:val="000000" w:themeColor="text1"/>
          <w:sz w:val="16"/>
          <w:szCs w:val="16"/>
        </w:rPr>
        <w:softHyphen/>
        <w:t>шения обзора и вентиляции боевого отделения, упрощения эвакуации в случае подбития машины и т.д., с нее была де</w:t>
      </w:r>
      <w:r w:rsidRPr="00D03F3E">
        <w:rPr>
          <w:rFonts w:ascii="Times New Roman" w:hAnsi="Times New Roman"/>
          <w:color w:val="000000" w:themeColor="text1"/>
          <w:sz w:val="16"/>
          <w:szCs w:val="16"/>
        </w:rPr>
        <w:softHyphen/>
        <w:t>монтирована крыша. А после улучшения бронирования противооткатных приспособлений качающаяся часть ору</w:t>
      </w:r>
      <w:r w:rsidRPr="00D03F3E">
        <w:rPr>
          <w:rFonts w:ascii="Times New Roman" w:hAnsi="Times New Roman"/>
          <w:color w:val="000000" w:themeColor="text1"/>
          <w:sz w:val="16"/>
          <w:szCs w:val="16"/>
        </w:rPr>
        <w:softHyphen/>
        <w:t>дия потребовала оснащения гильзоулавливателя дополнительным грузом. Предъявленная на государственные испы</w:t>
      </w:r>
      <w:r w:rsidRPr="00D03F3E">
        <w:rPr>
          <w:rFonts w:ascii="Times New Roman" w:hAnsi="Times New Roman"/>
          <w:color w:val="000000" w:themeColor="text1"/>
          <w:sz w:val="16"/>
          <w:szCs w:val="16"/>
        </w:rPr>
        <w:softHyphen/>
        <w:t>тания 23 августа 1943 г. СУ-15М была принята на вооруже</w:t>
      </w:r>
      <w:r w:rsidRPr="00D03F3E">
        <w:rPr>
          <w:rFonts w:ascii="Times New Roman" w:hAnsi="Times New Roman"/>
          <w:color w:val="000000" w:themeColor="text1"/>
          <w:sz w:val="16"/>
          <w:szCs w:val="16"/>
        </w:rPr>
        <w:softHyphen/>
        <w:t>ние взамен СУ-12М под индексом СУ-76 (без буквы «М»).</w:t>
      </w:r>
    </w:p>
    <w:p w14:paraId="7A023C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после СУ-76М (СУ-12М) в войска вновь пошла самоходная пушка СУ-76, взаимозаменяе</w:t>
      </w:r>
      <w:r w:rsidRPr="00D03F3E">
        <w:rPr>
          <w:rFonts w:ascii="Times New Roman" w:hAnsi="Times New Roman"/>
          <w:color w:val="000000" w:themeColor="text1"/>
          <w:sz w:val="16"/>
          <w:szCs w:val="16"/>
        </w:rPr>
        <w:softHyphen/>
        <w:t>мость деталей у которой с предыдущими моделями была весьма относительной (11417).</w:t>
      </w:r>
    </w:p>
    <w:p w14:paraId="42E9840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7AF8A8" w14:textId="77777777" w:rsidR="00180E22" w:rsidRPr="00D03F3E" w:rsidRDefault="00180E2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В апреле 1943 танк Pz.Kpfw. Tiger Ausf.E из состава 502-го тяжёлого танкового батальона с башенным номером 121, захваченный 18 января 1943 года в районе </w:t>
      </w:r>
      <w:hyperlink r:id="rId131" w:history="1">
        <w:r w:rsidRPr="00D03F3E">
          <w:rPr>
            <w:rFonts w:ascii="Times New Roman" w:eastAsia="Times New Roman" w:hAnsi="Times New Roman"/>
            <w:color w:val="000000" w:themeColor="text1"/>
            <w:sz w:val="16"/>
            <w:szCs w:val="16"/>
            <w:lang w:eastAsia="ru-RU"/>
          </w:rPr>
          <w:t>Рабочего посёлка № 5</w:t>
        </w:r>
      </w:hyperlink>
      <w:r w:rsidRPr="00D03F3E">
        <w:rPr>
          <w:rFonts w:ascii="Times New Roman" w:hAnsi="Times New Roman"/>
          <w:color w:val="000000" w:themeColor="text1"/>
          <w:sz w:val="16"/>
          <w:szCs w:val="16"/>
        </w:rPr>
        <w:t xml:space="preserve">, </w:t>
      </w:r>
      <w:r w:rsidRPr="00D03F3E">
        <w:rPr>
          <w:rFonts w:ascii="Times New Roman" w:eastAsia="Times New Roman" w:hAnsi="Times New Roman"/>
          <w:color w:val="000000" w:themeColor="text1"/>
          <w:sz w:val="16"/>
          <w:szCs w:val="16"/>
          <w:lang w:eastAsia="ru-RU"/>
        </w:rPr>
        <w:t>подвергли испытанию обстрелом в Кубинке. Результаты оказались неутешительными: выяснилось, что 76-мм танковые орудия Ф-34 и ЗИС-5 не пробивают немецкий танк ни в лоб, ни в борт, причём с любых дистанций. Наиболее эффективными орудиями оказались 57-мм противотанковая пушка ЗИС-2 и 85-мм зенитное орудие 52-К. При этом ЗИС-2 уверенно пробивала немецкий танк в борт на дистанции 800 м, а в лоб не брала «Тигр» даже с 500 м. 52-К же уверенно пробивала лоб «Тигра» с дистанции в километр (17688).</w:t>
      </w:r>
    </w:p>
    <w:p w14:paraId="6FA1FF06" w14:textId="77777777" w:rsidR="00180E22" w:rsidRPr="00D03F3E" w:rsidRDefault="00180E22" w:rsidP="00D03F3E">
      <w:pPr>
        <w:spacing w:after="0" w:line="240" w:lineRule="auto"/>
        <w:jc w:val="both"/>
        <w:rPr>
          <w:rFonts w:ascii="Times New Roman" w:eastAsia="Times New Roman" w:hAnsi="Times New Roman"/>
          <w:color w:val="000000" w:themeColor="text1"/>
          <w:sz w:val="16"/>
          <w:szCs w:val="16"/>
          <w:lang w:eastAsia="ru-RU"/>
        </w:rPr>
      </w:pPr>
    </w:p>
    <w:p w14:paraId="0B6352E9" w14:textId="77777777" w:rsidR="00A32DCA" w:rsidRPr="00D03F3E" w:rsidRDefault="00A32DCA" w:rsidP="00D03F3E">
      <w:pPr>
        <w:spacing w:after="0" w:line="240" w:lineRule="auto"/>
        <w:jc w:val="both"/>
        <w:rPr>
          <w:rStyle w:val="631"/>
          <w:rFonts w:ascii="Times New Roman" w:hAnsi="Times New Roman" w:cs="Times New Roman"/>
          <w:color w:val="0070C0"/>
          <w:sz w:val="16"/>
          <w:szCs w:val="16"/>
        </w:rPr>
      </w:pPr>
      <w:r w:rsidRPr="00D03F3E">
        <w:rPr>
          <w:rStyle w:val="631"/>
          <w:rFonts w:ascii="Times New Roman" w:hAnsi="Times New Roman" w:cs="Times New Roman"/>
          <w:color w:val="0070C0"/>
          <w:sz w:val="16"/>
          <w:szCs w:val="16"/>
        </w:rPr>
        <w:t>В апреле 1943 года на НИБТ Полигон в подмосковную Кубинку были до</w:t>
      </w:r>
      <w:r w:rsidRPr="00D03F3E">
        <w:rPr>
          <w:rStyle w:val="631"/>
          <w:rFonts w:ascii="Times New Roman" w:hAnsi="Times New Roman" w:cs="Times New Roman"/>
          <w:color w:val="0070C0"/>
          <w:sz w:val="16"/>
          <w:szCs w:val="16"/>
        </w:rPr>
        <w:softHyphen/>
        <w:t xml:space="preserve">ставлены два немецких танка </w:t>
      </w:r>
      <w:r w:rsidRPr="00D03F3E">
        <w:rPr>
          <w:rStyle w:val="631"/>
          <w:rFonts w:ascii="Times New Roman" w:hAnsi="Times New Roman" w:cs="Times New Roman"/>
          <w:color w:val="0070C0"/>
          <w:sz w:val="16"/>
          <w:szCs w:val="16"/>
          <w:lang w:val="en-US"/>
        </w:rPr>
        <w:t>Pz</w:t>
      </w:r>
      <w:r w:rsidRPr="00D03F3E">
        <w:rPr>
          <w:rStyle w:val="631"/>
          <w:rFonts w:ascii="Times New Roman" w:hAnsi="Times New Roman" w:cs="Times New Roman"/>
          <w:color w:val="0070C0"/>
          <w:sz w:val="16"/>
          <w:szCs w:val="16"/>
        </w:rPr>
        <w:t>.</w:t>
      </w:r>
      <w:r w:rsidRPr="00D03F3E">
        <w:rPr>
          <w:rStyle w:val="631"/>
          <w:rFonts w:ascii="Times New Roman" w:hAnsi="Times New Roman" w:cs="Times New Roman"/>
          <w:color w:val="0070C0"/>
          <w:sz w:val="16"/>
          <w:szCs w:val="16"/>
          <w:lang w:val="en-US"/>
        </w:rPr>
        <w:t>Kpfw</w:t>
      </w:r>
      <w:r w:rsidRPr="00D03F3E">
        <w:rPr>
          <w:rStyle w:val="631"/>
          <w:rFonts w:ascii="Times New Roman" w:hAnsi="Times New Roman" w:cs="Times New Roman"/>
          <w:color w:val="0070C0"/>
          <w:sz w:val="16"/>
          <w:szCs w:val="16"/>
        </w:rPr>
        <w:t>.</w:t>
      </w:r>
      <w:r w:rsidRPr="00D03F3E">
        <w:rPr>
          <w:rStyle w:val="631"/>
          <w:rFonts w:ascii="Times New Roman" w:hAnsi="Times New Roman" w:cs="Times New Roman"/>
          <w:color w:val="0070C0"/>
          <w:sz w:val="16"/>
          <w:szCs w:val="16"/>
          <w:lang w:val="en-US"/>
        </w:rPr>
        <w:t>Tiger</w:t>
      </w:r>
      <w:r w:rsidRPr="00D03F3E">
        <w:rPr>
          <w:rStyle w:val="631"/>
          <w:rFonts w:ascii="Times New Roman" w:hAnsi="Times New Roman" w:cs="Times New Roman"/>
          <w:color w:val="0070C0"/>
          <w:sz w:val="16"/>
          <w:szCs w:val="16"/>
        </w:rPr>
        <w:t xml:space="preserve"> </w:t>
      </w:r>
      <w:r w:rsidRPr="00D03F3E">
        <w:rPr>
          <w:rStyle w:val="631"/>
          <w:rFonts w:ascii="Times New Roman" w:hAnsi="Times New Roman" w:cs="Times New Roman"/>
          <w:color w:val="0070C0"/>
          <w:sz w:val="16"/>
          <w:szCs w:val="16"/>
          <w:lang w:val="en-US"/>
        </w:rPr>
        <w:t>Ausf</w:t>
      </w:r>
      <w:r w:rsidRPr="00D03F3E">
        <w:rPr>
          <w:rStyle w:val="631"/>
          <w:rFonts w:ascii="Times New Roman" w:hAnsi="Times New Roman" w:cs="Times New Roman"/>
          <w:color w:val="0070C0"/>
          <w:sz w:val="16"/>
          <w:szCs w:val="16"/>
        </w:rPr>
        <w:t>.</w:t>
      </w:r>
      <w:r w:rsidRPr="00D03F3E">
        <w:rPr>
          <w:rStyle w:val="631"/>
          <w:rFonts w:ascii="Times New Roman" w:hAnsi="Times New Roman" w:cs="Times New Roman"/>
          <w:color w:val="0070C0"/>
          <w:sz w:val="16"/>
          <w:szCs w:val="16"/>
          <w:lang w:val="en-US"/>
        </w:rPr>
        <w:t>E</w:t>
      </w:r>
      <w:r w:rsidRPr="00D03F3E">
        <w:rPr>
          <w:rStyle w:val="631"/>
          <w:rFonts w:ascii="Times New Roman" w:hAnsi="Times New Roman" w:cs="Times New Roman"/>
          <w:color w:val="0070C0"/>
          <w:sz w:val="16"/>
          <w:szCs w:val="16"/>
        </w:rPr>
        <w:t>. Один из них подвергли обстрелу из орудий разного калибра, в результате чего форсировали работы по 85-мм орудиям для танков и самоходных артиллерийских уста</w:t>
      </w:r>
      <w:r w:rsidRPr="00D03F3E">
        <w:rPr>
          <w:rStyle w:val="631"/>
          <w:rFonts w:ascii="Times New Roman" w:hAnsi="Times New Roman" w:cs="Times New Roman"/>
          <w:color w:val="0070C0"/>
          <w:sz w:val="16"/>
          <w:szCs w:val="16"/>
        </w:rPr>
        <w:softHyphen/>
        <w:t>новок. Вопрос в том, что 85-мм зенитная пушка 52-К была не самым эффективным средством борьбы с «Тигром». Куда более впечатляющий результат показала 122-мм корпусная пушка А-19. Если 85-мм бронебой</w:t>
      </w:r>
      <w:r w:rsidRPr="00D03F3E">
        <w:rPr>
          <w:rStyle w:val="631"/>
          <w:rFonts w:ascii="Times New Roman" w:hAnsi="Times New Roman" w:cs="Times New Roman"/>
          <w:color w:val="0070C0"/>
          <w:sz w:val="16"/>
          <w:szCs w:val="16"/>
        </w:rPr>
        <w:softHyphen/>
        <w:t>ный снаряд пробивал лобовую часть корпуса немецкого танка где-то с дистанции не даль</w:t>
      </w:r>
      <w:r w:rsidRPr="00D03F3E">
        <w:rPr>
          <w:rStyle w:val="631"/>
          <w:rFonts w:ascii="Times New Roman" w:hAnsi="Times New Roman" w:cs="Times New Roman"/>
          <w:color w:val="0070C0"/>
          <w:sz w:val="16"/>
          <w:szCs w:val="16"/>
        </w:rPr>
        <w:softHyphen/>
        <w:t>ше 1200-1500 мм, то бронебойный снаряд А- 19 при выстреле с дистанции 1,5 километра сорвал башню и сдвинул на полметра (19874).</w:t>
      </w:r>
    </w:p>
    <w:p w14:paraId="7C706605" w14:textId="77777777" w:rsidR="00A32DCA" w:rsidRPr="00D03F3E" w:rsidRDefault="00A32DCA" w:rsidP="00D03F3E">
      <w:pPr>
        <w:spacing w:after="0" w:line="240" w:lineRule="auto"/>
        <w:jc w:val="both"/>
        <w:rPr>
          <w:rFonts w:ascii="Times New Roman" w:hAnsi="Times New Roman"/>
          <w:color w:val="0070C0"/>
          <w:sz w:val="16"/>
          <w:szCs w:val="16"/>
        </w:rPr>
      </w:pPr>
    </w:p>
    <w:p w14:paraId="7F06C28D" w14:textId="77777777" w:rsidR="00A32DCA" w:rsidRPr="00D03F3E" w:rsidRDefault="00A32DCA" w:rsidP="00D03F3E">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В апреле 1943 года результаты обстрела немецкого тяжелого танка Pz.Kpfw.Tiger Ausf.E показали, что возможности КВ-1 пробивать немецкие танки чуть повысились, но не особо. Как верно отмечали Федоренко и Кулик в мае 1941 года, что ЗИС-5 и ЗИС-4 фактически равнозначны по пробитию, так оно и оказалось. Невысокое качество снарядов приводило к тому, что зенитка 3-К пробивала борт немецкого танка на дистанции менее 500 метров. Посему альтернатива в виде вооружения Т-34 орудием с баллистикой 3-К была нежизнеспособной. Всё пошло именно так, как и должно было произойти. Грабинские пушки с баллистикой УСВ были лучшим, что советская оружейная промышленность могла дать в то время. Самое главное, что Ф-34 и ЗИС-5 вполне хватало для борьбы со всеми немецкими танками 1941-42 годов. И лишь весной 1943 года, после ознакомления с «Тигром», реально понадобилась замена. Но это уже совсем другая история (20272).</w:t>
      </w:r>
    </w:p>
    <w:p w14:paraId="41629B6D" w14:textId="77777777" w:rsidR="00A32DCA" w:rsidRPr="00D03F3E" w:rsidRDefault="00A32DCA" w:rsidP="00D03F3E">
      <w:pPr>
        <w:spacing w:after="0" w:line="240" w:lineRule="auto"/>
        <w:jc w:val="both"/>
        <w:rPr>
          <w:rFonts w:ascii="Times New Roman" w:hAnsi="Times New Roman"/>
          <w:color w:val="0070C0"/>
          <w:sz w:val="16"/>
          <w:szCs w:val="16"/>
        </w:rPr>
      </w:pPr>
    </w:p>
    <w:p w14:paraId="09920788" w14:textId="77777777" w:rsidR="00A32DCA" w:rsidRPr="00D03F3E" w:rsidRDefault="00A32DC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shd w:val="clear" w:color="auto" w:fill="FFFFFF"/>
        </w:rPr>
        <w:t>В апреле 1943 испытывалась танковая 6-фунтовая английская пушка, установленная в Churchill III. Стреляла по Pz.Kpfw.Tiger Ausf.E, показав себя примерно на уровне ЗИС-2. В общем-то, орудие неплохое, но какого-то большого смысла в нем не имелось. Нет, оно даже повоевало, но в виде танковых пушек Churchill и Valentine. А также в виде орудий M1, установленных на полугусеничных истребителях танков GMC T48 (у нас СУ-57) (23189).</w:t>
      </w:r>
    </w:p>
    <w:p w14:paraId="4237A7AD" w14:textId="77777777" w:rsidR="00A32DCA" w:rsidRPr="00D03F3E" w:rsidRDefault="00A32DCA" w:rsidP="00D03F3E">
      <w:pPr>
        <w:spacing w:after="0" w:line="240" w:lineRule="auto"/>
        <w:jc w:val="both"/>
        <w:rPr>
          <w:rFonts w:ascii="Times New Roman" w:hAnsi="Times New Roman"/>
          <w:color w:val="0070C0"/>
          <w:sz w:val="16"/>
          <w:szCs w:val="16"/>
        </w:rPr>
      </w:pPr>
    </w:p>
    <w:p w14:paraId="69B28964" w14:textId="77777777" w:rsidR="00A32DCA" w:rsidRPr="00D03F3E" w:rsidRDefault="00A32DCA"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 xml:space="preserve">В апреле 1943 года ГАУ санкционировало работы по 85-мм танковым пушкам, разморозили ряд других программ, а также было решено возобновить почти закончившийся выпуск А-19. Теперь у нее была новая цель. Причем на испытаниях конца апреля 1943 года выяснилось, что это орудие является самым страшным противником для немецкого танка. Пушка уверенно поражала немецкий танк на дистанции 2 километра, причем это не предельная дистанция. Еще до обстрела Артиллерийский комитет ГАУ КА санкционировал установку в СУ-152 орудия А-19. То есть у нас захотели, в пару к "штурмовику", получить еще и истребитель </w:t>
      </w:r>
      <w:r w:rsidRPr="00D03F3E">
        <w:rPr>
          <w:rFonts w:ascii="Times New Roman" w:eastAsia="Times New Roman" w:hAnsi="Times New Roman"/>
          <w:color w:val="0070C0"/>
          <w:sz w:val="16"/>
          <w:szCs w:val="16"/>
          <w:lang w:eastAsia="ru-RU"/>
        </w:rPr>
        <w:lastRenderedPageBreak/>
        <w:t>танков. Но не сложилось. Завод №100 оказался загружен иными работами, прежде всего по танку ИС. Данную работу, разумеется, посчитали более приоритетной, посему всю весну и лето 1943 года в Челябинске были заняты несколько иными задачами (20289).</w:t>
      </w:r>
    </w:p>
    <w:p w14:paraId="014DA596" w14:textId="77777777" w:rsidR="00A32DCA" w:rsidRPr="00D03F3E" w:rsidRDefault="00A32DCA" w:rsidP="00D03F3E">
      <w:pPr>
        <w:shd w:val="clear" w:color="auto" w:fill="FFFFFF"/>
        <w:spacing w:after="0" w:line="240" w:lineRule="auto"/>
        <w:jc w:val="both"/>
        <w:rPr>
          <w:rFonts w:ascii="Times New Roman" w:eastAsia="Times New Roman" w:hAnsi="Times New Roman"/>
          <w:color w:val="0070C0"/>
          <w:sz w:val="16"/>
          <w:szCs w:val="16"/>
          <w:lang w:eastAsia="ru-RU"/>
        </w:rPr>
      </w:pPr>
    </w:p>
    <w:p w14:paraId="34C179A6" w14:textId="77777777" w:rsidR="00D03EB0" w:rsidRPr="00D03F3E" w:rsidRDefault="00D03EB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апреля 1943 года катковый трал ПТ-3 преподавателя Военно-инженерной академии имени Куйбышева П. Мугалева, который после испытаний приняли на вооружение танковых частей РККА серийно выпускали на Тульском машиностроительном заводе.</w:t>
      </w:r>
    </w:p>
    <w:p w14:paraId="7D64A181" w14:textId="77777777" w:rsidR="00D03EB0" w:rsidRPr="00D03F3E" w:rsidRDefault="00D03EB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Трал устанавливался впереди танка, который толкал его перед собой. Он состоял из рамы и двух рычагов. Последние крепились на валу, а тот вращался на двух подшипниках, закрепленных на корпусе танка. Две секции катков шириной 1400 мм каждая устанавливались на ось независимо друг от друга, что обеспечивало им приспосабливаться к неровностям местности. В транспортном положении трал поднимался лебедкой и вывешивался. Максимальная масса трала составляла 5,3 т. ПТ-3 оказался вполне удачной конструкцией, прошедшей всю войну. Ими оснащались танки Т-34 специально сформированных инженерно-танковых полков (12217).</w:t>
      </w:r>
    </w:p>
    <w:p w14:paraId="1894C7A7" w14:textId="77777777" w:rsidR="00D03EB0" w:rsidRPr="00D03F3E" w:rsidRDefault="00D03EB0" w:rsidP="00D03F3E">
      <w:pPr>
        <w:spacing w:after="0" w:line="240" w:lineRule="auto"/>
        <w:jc w:val="both"/>
        <w:rPr>
          <w:rFonts w:ascii="Times New Roman" w:hAnsi="Times New Roman"/>
          <w:color w:val="000000" w:themeColor="text1"/>
          <w:sz w:val="16"/>
          <w:szCs w:val="16"/>
        </w:rPr>
      </w:pPr>
    </w:p>
    <w:p w14:paraId="1EBC19D4" w14:textId="77777777" w:rsidR="00F40F30" w:rsidRPr="00D03F3E" w:rsidRDefault="00F40F30"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апреле </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1943 г</w:t>
        </w:r>
      </w:smartTag>
      <w:r w:rsidRPr="00D03F3E">
        <w:rPr>
          <w:rFonts w:ascii="Times New Roman" w:hAnsi="Times New Roman"/>
          <w:color w:val="000000" w:themeColor="text1"/>
          <w:sz w:val="16"/>
          <w:szCs w:val="16"/>
        </w:rPr>
        <w:t>. Главный конструктор завода №38 М.Н. Щукин обратился к начальнику ЦАКБ В.Г. Грабину с просьбой рассмотреть возможность изменения конструкции орудийного станка и некоторых механизмов ЗИС-3 по предложенным эскизам. К концу мая ЦАКБ предложило заводу №38 опытный образец такого орудия С-15. После неизбежных доработок и «притирания» конструкции орудия к новой боевой рубке оно получило индекс СУ-15, отражавший и название машины, для которой оно создавалось. Фактически КБ завода №38 провело проектирование не одной, а сразу трех САУ, несущих силовой агрегат ГАЗ-203 и пушку СУ-15. Эти машины получили индексы СУ-15, СУ-38 и Су-16. Новые САУ прибыли на Гороховецкий артиллерийский полигон в июле 1943 года, когда под Курском шли тяжелые оборонительные бои. Испытания проводились совместно с доставленной туда же серийной СУ-76М (СУ-12М). Несмотря на то, что СУ-16 была признана лучшей для ведения огня, (у нее не было крыши), а СУ-38 имела прекрасное бронирование, их опорные катки испытывали чрезмерную нагрузку, что сказывалось на проходимости и ресурсе ходовой части. Симпатии практически всех военных (как артиллеристов, так и танкистов) лежали на стороне СУ-15, которая превосходила своих партнеров по подвижности и проходимости. Стояли за нее и представители НКТП, поскольку она имела наивысшую унификацию узлов с уже освоенной СУ-76М (СУ-12М). Единственным крупным недостатком, отмеченным госкомиссией, была масса машины, несколько превышавшая установленные НКТП пределы (11,2 т). Проведенные итоговые испытания СУ-15 выявили необходимость дополнительной конструктивной и технологической доработки некоторых деталей моторно-трансмиссионной группы, заимствованных с танка Т-70, а также снижения массы на 300-</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600 кг</w:t>
        </w:r>
      </w:smartTag>
      <w:r w:rsidRPr="00D03F3E">
        <w:rPr>
          <w:rFonts w:ascii="Times New Roman" w:hAnsi="Times New Roman"/>
          <w:color w:val="000000" w:themeColor="text1"/>
          <w:sz w:val="16"/>
          <w:szCs w:val="16"/>
        </w:rPr>
        <w:t>. В итоговом документе рекомендовалось принять СУ-15 на вооружение взамен СУ-12М с доработками, направленными на снижение веса и увеличение надежности ходовой части и трансмиссии. В ходе освоения серийного производства машины СУ-15, равно как и орудийной установки того же индекса, силами завода №38 и ЦАКБ были проведены некоторые изменения их конструкции. Так, для снижения массы, улучшения обзора и вентиляции боевого отделения, упрощения эвакуации в случае подбития машины и т.д., с нее была демонтирована крыша, после улучшения бронирования противооткатных приспособлений качающаяся часть орудия потребовала оснащения гильзоулавливателя дополнительным грузом. Предъявленная на государственные испытания 23 августа 1943 года СУ-15М была принята на вооружение взамен СУ-12М под индексом СУ-76 (без буквы «М»). Таким образом, после СУ-76М (СУ-12М) в войска вновь пошла самоходная пушка СУ-76, взаимозаменяемость деталей у которой по сравнению с предыдущими моделями была весьма относительной (15218).</w:t>
      </w:r>
    </w:p>
    <w:p w14:paraId="31378A6C" w14:textId="77777777" w:rsidR="00F40F30" w:rsidRPr="00D03F3E" w:rsidRDefault="00F40F30" w:rsidP="00D03F3E">
      <w:pPr>
        <w:widowControl w:val="0"/>
        <w:spacing w:after="0" w:line="240" w:lineRule="auto"/>
        <w:jc w:val="both"/>
        <w:rPr>
          <w:rFonts w:ascii="Times New Roman" w:hAnsi="Times New Roman"/>
          <w:color w:val="000000" w:themeColor="text1"/>
          <w:sz w:val="16"/>
          <w:szCs w:val="16"/>
        </w:rPr>
      </w:pPr>
    </w:p>
    <w:p w14:paraId="080C763F" w14:textId="77777777" w:rsidR="00A32DCA" w:rsidRPr="00D03F3E" w:rsidRDefault="00A32DC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апрель 1943 г. из имевшихся 55 зенитных бронепоездов большая часть — 31 бронепоезд — находилась непосредственно в прифронтовой полосе, а остальные осуществляли оборону объектов армейского и фронтового тылов. Их приоритетной задачей было прикрытие железнодорожных узлов и коммуникаций от налетов немецкой авиации. Так, в 1942–1943 гг. благодаря применению зенитных бронепоездов удалось минимизировать последствия налетов немецкой авиации и обеспечить проводку эшелонов со стратегическими грузами, поставляемыми в СССР по ленд-лизу в Мурманский порт. С 10 мая по 25 июня 1943 г. подвижными средствами ПВО было сбито 30 и повреждено 14 вражеских самолетов, а из 882 поездов небольшие повреждения в результате налетов немецкой авиации получили лишь 18. Зимой 1942–1943 гг. 10 отдельных зенитных бронепоездов прикрывали железнодорожные пути, ведущие в Сталинград, важную роль в противовоздушной обороне железных дорог сыграли зенитные бронепоезда и на Курской дуге.</w:t>
      </w:r>
    </w:p>
    <w:p w14:paraId="61210206" w14:textId="77777777" w:rsidR="00A32DCA" w:rsidRPr="00D03F3E" w:rsidRDefault="00A32DC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Потребность в специализированных зенитных бронепоездах была так велика, что в 1944 г. Народным комиссаром обороны были изданы четыре приказа по ПВО о формировании дополнительных зенитных бронепоездов, а всего, по имеющимся данным, в годы войны было построено около 100 зенитных бронепоездов (22755).</w:t>
      </w:r>
    </w:p>
    <w:p w14:paraId="4A578C0A" w14:textId="77777777" w:rsidR="00A32DCA" w:rsidRPr="00D03F3E" w:rsidRDefault="00A32DCA" w:rsidP="00D03F3E">
      <w:pPr>
        <w:spacing w:after="0" w:line="240" w:lineRule="auto"/>
        <w:jc w:val="both"/>
        <w:rPr>
          <w:rFonts w:ascii="Times New Roman" w:hAnsi="Times New Roman"/>
          <w:color w:val="0070C0"/>
          <w:sz w:val="16"/>
          <w:szCs w:val="16"/>
        </w:rPr>
      </w:pPr>
    </w:p>
    <w:p w14:paraId="3AC611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года БА-64Д прошел заводские испытания. На вооружение не принимался и в серийном производстве не состоял. Бронеавтомобиль БА-64Д отли-чался от серийного образца выпус</w:t>
      </w:r>
      <w:r w:rsidRPr="00D03F3E">
        <w:rPr>
          <w:rFonts w:ascii="Times New Roman" w:hAnsi="Times New Roman"/>
          <w:color w:val="000000" w:themeColor="text1"/>
          <w:sz w:val="16"/>
          <w:szCs w:val="16"/>
        </w:rPr>
        <w:softHyphen/>
        <w:t>ка 1942 г. установкой увеличенной башни с 12,7-мм пулеметом ДШК с магазинным питанием. Первая попытка установки пулемета ДШК бы</w:t>
      </w:r>
      <w:r w:rsidRPr="00D03F3E">
        <w:rPr>
          <w:rFonts w:ascii="Times New Roman" w:hAnsi="Times New Roman"/>
          <w:color w:val="000000" w:themeColor="text1"/>
          <w:sz w:val="16"/>
          <w:szCs w:val="16"/>
        </w:rPr>
        <w:softHyphen/>
        <w:t>ла произведена "по месту" еще в сентябре 1942 г. (10703).</w:t>
      </w:r>
    </w:p>
    <w:p w14:paraId="5BA3B54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6E96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после показа машины командованию БТ и МВ РККА в Москве было принято решение произвести установку 12,7-мм пу</w:t>
      </w:r>
      <w:r w:rsidRPr="00D03F3E">
        <w:rPr>
          <w:rFonts w:ascii="Times New Roman" w:hAnsi="Times New Roman"/>
          <w:color w:val="000000" w:themeColor="text1"/>
          <w:sz w:val="16"/>
          <w:szCs w:val="16"/>
        </w:rPr>
        <w:softHyphen/>
        <w:t>лемета ДШК с ленточным питанием на БА-64, однако вследствие сложности ус</w:t>
      </w:r>
      <w:r w:rsidRPr="00D03F3E">
        <w:rPr>
          <w:rFonts w:ascii="Times New Roman" w:hAnsi="Times New Roman"/>
          <w:color w:val="000000" w:themeColor="text1"/>
          <w:sz w:val="16"/>
          <w:szCs w:val="16"/>
        </w:rPr>
        <w:softHyphen/>
        <w:t>тановки ленточного питания, дальнейшие работы по машине были пре</w:t>
      </w:r>
      <w:r w:rsidRPr="00D03F3E">
        <w:rPr>
          <w:rFonts w:ascii="Times New Roman" w:hAnsi="Times New Roman"/>
          <w:color w:val="000000" w:themeColor="text1"/>
          <w:sz w:val="16"/>
          <w:szCs w:val="16"/>
        </w:rPr>
        <w:softHyphen/>
        <w:t>кращены (10703).</w:t>
      </w:r>
    </w:p>
    <w:p w14:paraId="579A06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F5C3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после пробега в Москву, тягач был принят на вооружение под маркой Я-11 (5743, 14). Подготовка к серийному производству машины совпала по времени с разрушением от бомбежки моторного цеха ГАЗ, в итоге новый тягач остался без двигателя (5743, 14). Однако к этому времени на завод начали поступать ленд-лизовские дизельмоторы GMC-4-71 мощностью 110 л.с., производство которых ожидалось на отечественных заводах и потому летом 1943 г. тягач был перепроектирован под этот дизель (5744, 30).</w:t>
      </w:r>
    </w:p>
    <w:p w14:paraId="515973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A5F8E4" w14:textId="77777777" w:rsidR="00D03EB0" w:rsidRPr="00D03F3E" w:rsidRDefault="00D03EB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года опытные образцы тягача Я-11 прошли государственные испытания в Москве. Чтобы наладить их производство, пришлось изготовить около 6 тысяч наименований горячих и холодных штампов, приспособлений, различного инструмента. И все это далеко не при тыловом покое: завод бомбили. Но, тем не менее, в августе начался выпуск тягачей Я-12 с двухтактным дизельным двигателем. В том же году конструкторы Ярославского автозавода возобновили проектирование грузового автомобиля для послевоенного производства (12200).</w:t>
      </w:r>
    </w:p>
    <w:p w14:paraId="4D4A42F4" w14:textId="77777777" w:rsidR="00D03EB0" w:rsidRPr="00D03F3E" w:rsidRDefault="00D03EB0" w:rsidP="00D03F3E">
      <w:pPr>
        <w:spacing w:after="0" w:line="240" w:lineRule="auto"/>
        <w:jc w:val="both"/>
        <w:rPr>
          <w:rFonts w:ascii="Times New Roman" w:hAnsi="Times New Roman"/>
          <w:color w:val="000000" w:themeColor="text1"/>
          <w:sz w:val="16"/>
          <w:szCs w:val="16"/>
        </w:rPr>
      </w:pPr>
    </w:p>
    <w:p w14:paraId="34F77BDC"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года в трех опытных образцах был построен ГАЗ-67, который успешно прошел армейские испытания и в августе был запущен в производство. Первая машина сошла с конвейера 23 сентября, а в октябре уже был налажен серийный выпуск. До конца года сделали 718, а всего по 1945 год-6068 штук (до конца войны-4851) (9638).</w:t>
      </w:r>
    </w:p>
    <w:p w14:paraId="15576C02" w14:textId="77777777" w:rsidR="00DB6725" w:rsidRPr="00D03F3E"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55D74E55" w14:textId="77777777" w:rsidR="00F40F30" w:rsidRPr="00D03F3E" w:rsidRDefault="00F40F30" w:rsidP="00D03F3E">
      <w:pPr>
        <w:pStyle w:val="36"/>
        <w:shd w:val="clear" w:color="auto" w:fill="auto"/>
        <w:spacing w:after="0" w:line="240" w:lineRule="auto"/>
        <w:jc w:val="both"/>
        <w:rPr>
          <w:rStyle w:val="0pt1"/>
          <w:rFonts w:eastAsia="Arial Narrow"/>
          <w:b w:val="0"/>
          <w:color w:val="000000" w:themeColor="text1"/>
          <w:spacing w:val="0"/>
          <w:sz w:val="16"/>
          <w:szCs w:val="16"/>
        </w:rPr>
      </w:pPr>
      <w:r w:rsidRPr="00D03F3E">
        <w:rPr>
          <w:rFonts w:ascii="Times New Roman" w:cs="Times New Roman"/>
          <w:color w:val="000000" w:themeColor="text1"/>
          <w:spacing w:val="0"/>
          <w:sz w:val="16"/>
          <w:szCs w:val="16"/>
        </w:rPr>
        <w:t>С апреля 1943 г. на Московском мотозаводе приступили к сборке «индианов» и оснащению их коляска</w:t>
      </w:r>
      <w:r w:rsidRPr="00D03F3E">
        <w:rPr>
          <w:rFonts w:ascii="Times New Roman" w:cs="Times New Roman"/>
          <w:color w:val="000000" w:themeColor="text1"/>
          <w:spacing w:val="0"/>
          <w:sz w:val="16"/>
          <w:szCs w:val="16"/>
        </w:rPr>
        <w:softHyphen/>
        <w:t>ми, унифицированными с М-72. С августа того же года, когда стали пос</w:t>
      </w:r>
      <w:r w:rsidRPr="00D03F3E">
        <w:rPr>
          <w:rFonts w:ascii="Times New Roman" w:cs="Times New Roman"/>
          <w:color w:val="000000" w:themeColor="text1"/>
          <w:spacing w:val="0"/>
          <w:sz w:val="16"/>
          <w:szCs w:val="16"/>
        </w:rPr>
        <w:softHyphen/>
        <w:t>тупать «харлеи», работы прибавилось. В таком режиме (плюс ремонт трофейных мотоциклов) завод работал до августа 1945 г. Условия труда были тяжелыми, механизация отсутствовала. Разгрузка в основном про</w:t>
      </w:r>
      <w:r w:rsidRPr="00D03F3E">
        <w:rPr>
          <w:rFonts w:ascii="Times New Roman" w:cs="Times New Roman"/>
          <w:color w:val="000000" w:themeColor="text1"/>
          <w:spacing w:val="0"/>
          <w:sz w:val="16"/>
          <w:szCs w:val="16"/>
        </w:rPr>
        <w:softHyphen/>
        <w:t>изводилась бойцами базы МТО, ремонтной аэросанной роты и дивизио</w:t>
      </w:r>
      <w:r w:rsidRPr="00D03F3E">
        <w:rPr>
          <w:rFonts w:ascii="Times New Roman" w:cs="Times New Roman"/>
          <w:color w:val="000000" w:themeColor="text1"/>
          <w:spacing w:val="0"/>
          <w:sz w:val="16"/>
          <w:szCs w:val="16"/>
        </w:rPr>
        <w:softHyphen/>
        <w:t>нов бронепоездов. Хранение мотоциклов не было</w:t>
      </w:r>
      <w:r w:rsidRPr="00D03F3E">
        <w:rPr>
          <w:rStyle w:val="0pt1"/>
          <w:rFonts w:eastAsia="Arial Narrow"/>
          <w:b w:val="0"/>
          <w:color w:val="000000" w:themeColor="text1"/>
          <w:spacing w:val="0"/>
          <w:sz w:val="16"/>
          <w:szCs w:val="16"/>
        </w:rPr>
        <w:t xml:space="preserve"> организовано, ящики</w:t>
      </w:r>
      <w:r w:rsidRPr="00D03F3E">
        <w:rPr>
          <w:rFonts w:ascii="Times New Roman" w:cs="Times New Roman"/>
          <w:color w:val="000000" w:themeColor="text1"/>
          <w:spacing w:val="0"/>
          <w:sz w:val="16"/>
          <w:szCs w:val="16"/>
        </w:rPr>
        <w:t xml:space="preserve"> и принятая военпредом продукция находилась под открытым</w:t>
      </w:r>
      <w:r w:rsidRPr="00D03F3E">
        <w:rPr>
          <w:rStyle w:val="0pt1"/>
          <w:rFonts w:eastAsia="Arial Narrow"/>
          <w:b w:val="0"/>
          <w:color w:val="000000" w:themeColor="text1"/>
          <w:spacing w:val="0"/>
          <w:sz w:val="16"/>
          <w:szCs w:val="16"/>
        </w:rPr>
        <w:t xml:space="preserve"> небом.</w:t>
      </w:r>
    </w:p>
    <w:p w14:paraId="3FE50944" w14:textId="77777777" w:rsidR="00F40F30" w:rsidRPr="00D03F3E" w:rsidRDefault="00F40F30"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В целях увеличения выпуска импортных мотоциклов</w:t>
      </w:r>
      <w:r w:rsidRPr="00D03F3E">
        <w:rPr>
          <w:rStyle w:val="0pt1"/>
          <w:rFonts w:eastAsia="Arial Narrow"/>
          <w:b w:val="0"/>
          <w:color w:val="000000" w:themeColor="text1"/>
          <w:spacing w:val="0"/>
          <w:sz w:val="16"/>
          <w:szCs w:val="16"/>
        </w:rPr>
        <w:t xml:space="preserve"> с колясками</w:t>
      </w:r>
      <w:r w:rsidRPr="00D03F3E">
        <w:rPr>
          <w:rFonts w:ascii="Times New Roman" w:cs="Times New Roman"/>
          <w:color w:val="000000" w:themeColor="text1"/>
          <w:spacing w:val="0"/>
          <w:sz w:val="16"/>
          <w:szCs w:val="16"/>
        </w:rPr>
        <w:t xml:space="preserve"> и сборки «одиночек» были привлечены Серпуховский</w:t>
      </w:r>
      <w:r w:rsidRPr="00D03F3E">
        <w:rPr>
          <w:rStyle w:val="0pt1"/>
          <w:rFonts w:eastAsia="Arial Narrow"/>
          <w:b w:val="0"/>
          <w:color w:val="000000" w:themeColor="text1"/>
          <w:spacing w:val="0"/>
          <w:sz w:val="16"/>
          <w:szCs w:val="16"/>
        </w:rPr>
        <w:t xml:space="preserve"> мотозавод (СМЗ), </w:t>
      </w:r>
      <w:r w:rsidRPr="00D03F3E">
        <w:rPr>
          <w:rFonts w:ascii="Times New Roman" w:cs="Times New Roman"/>
          <w:color w:val="000000" w:themeColor="text1"/>
          <w:spacing w:val="0"/>
          <w:sz w:val="16"/>
          <w:szCs w:val="16"/>
        </w:rPr>
        <w:t>завод БТРЗ-20, Харьковский велозавод, военсклады</w:t>
      </w:r>
      <w:r w:rsidRPr="00D03F3E">
        <w:rPr>
          <w:rStyle w:val="0pt1"/>
          <w:rFonts w:eastAsia="Arial Narrow"/>
          <w:b w:val="0"/>
          <w:color w:val="000000" w:themeColor="text1"/>
          <w:spacing w:val="0"/>
          <w:sz w:val="16"/>
          <w:szCs w:val="16"/>
        </w:rPr>
        <w:t xml:space="preserve"> НКО (511-й, 942-й </w:t>
      </w:r>
      <w:r w:rsidRPr="00D03F3E">
        <w:rPr>
          <w:rFonts w:ascii="Times New Roman" w:cs="Times New Roman"/>
          <w:color w:val="000000" w:themeColor="text1"/>
          <w:spacing w:val="0"/>
          <w:sz w:val="16"/>
          <w:szCs w:val="16"/>
        </w:rPr>
        <w:t>и 2708-й), 14-й и 15-й учебные полки. В общей</w:t>
      </w:r>
      <w:r w:rsidRPr="00D03F3E">
        <w:rPr>
          <w:rStyle w:val="0pt1"/>
          <w:rFonts w:eastAsia="Arial Narrow"/>
          <w:b w:val="0"/>
          <w:color w:val="000000" w:themeColor="text1"/>
          <w:spacing w:val="0"/>
          <w:sz w:val="16"/>
          <w:szCs w:val="16"/>
        </w:rPr>
        <w:t xml:space="preserve"> сложности на БТРЗ-20 </w:t>
      </w:r>
      <w:r w:rsidRPr="00D03F3E">
        <w:rPr>
          <w:rFonts w:ascii="Times New Roman" w:cs="Times New Roman"/>
          <w:color w:val="000000" w:themeColor="text1"/>
          <w:spacing w:val="0"/>
          <w:sz w:val="16"/>
          <w:szCs w:val="16"/>
        </w:rPr>
        <w:t>собрали 351, на Серпуховском мотозаводе - 1342, а на</w:t>
      </w:r>
      <w:r w:rsidRPr="00D03F3E">
        <w:rPr>
          <w:rStyle w:val="0pt1"/>
          <w:rFonts w:eastAsia="Arial Narrow"/>
          <w:b w:val="0"/>
          <w:color w:val="000000" w:themeColor="text1"/>
          <w:spacing w:val="0"/>
          <w:sz w:val="16"/>
          <w:szCs w:val="16"/>
        </w:rPr>
        <w:t xml:space="preserve"> ММЗ - 16473 </w:t>
      </w:r>
      <w:r w:rsidRPr="00D03F3E">
        <w:rPr>
          <w:rFonts w:ascii="Times New Roman" w:cs="Times New Roman"/>
          <w:color w:val="000000" w:themeColor="text1"/>
          <w:spacing w:val="0"/>
          <w:sz w:val="16"/>
          <w:szCs w:val="16"/>
        </w:rPr>
        <w:t>мотоцикла.</w:t>
      </w:r>
    </w:p>
    <w:p w14:paraId="50A14F3E" w14:textId="77777777" w:rsidR="00F40F30" w:rsidRPr="00D03F3E" w:rsidRDefault="00F40F30"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Главной причиной срыва планов стала острая</w:t>
      </w:r>
      <w:r w:rsidRPr="00D03F3E">
        <w:rPr>
          <w:rStyle w:val="0pt1"/>
          <w:rFonts w:eastAsia="Arial Narrow"/>
          <w:b w:val="0"/>
          <w:color w:val="000000" w:themeColor="text1"/>
          <w:spacing w:val="0"/>
          <w:sz w:val="16"/>
          <w:szCs w:val="16"/>
        </w:rPr>
        <w:t xml:space="preserve"> нехватка колясок, пос</w:t>
      </w:r>
      <w:r w:rsidRPr="00D03F3E">
        <w:rPr>
          <w:rStyle w:val="0pt1"/>
          <w:rFonts w:eastAsia="Arial Narrow"/>
          <w:b w:val="0"/>
          <w:color w:val="000000" w:themeColor="text1"/>
          <w:spacing w:val="0"/>
          <w:sz w:val="16"/>
          <w:szCs w:val="16"/>
        </w:rPr>
        <w:softHyphen/>
      </w:r>
      <w:r w:rsidRPr="00D03F3E">
        <w:rPr>
          <w:rFonts w:ascii="Times New Roman" w:cs="Times New Roman"/>
          <w:color w:val="000000" w:themeColor="text1"/>
          <w:spacing w:val="0"/>
          <w:sz w:val="16"/>
          <w:szCs w:val="16"/>
        </w:rPr>
        <w:t>тавлявшихся ГАЗом. Из-за этого с БТРЗ №20 вскоре</w:t>
      </w:r>
      <w:r w:rsidRPr="00D03F3E">
        <w:rPr>
          <w:rStyle w:val="0pt1"/>
          <w:rFonts w:eastAsia="Arial Narrow"/>
          <w:b w:val="0"/>
          <w:color w:val="000000" w:themeColor="text1"/>
          <w:spacing w:val="0"/>
          <w:sz w:val="16"/>
          <w:szCs w:val="16"/>
        </w:rPr>
        <w:t xml:space="preserve"> был снят заказ на </w:t>
      </w:r>
      <w:r w:rsidRPr="00D03F3E">
        <w:rPr>
          <w:rFonts w:ascii="Times New Roman" w:cs="Times New Roman"/>
          <w:color w:val="000000" w:themeColor="text1"/>
          <w:spacing w:val="0"/>
          <w:sz w:val="16"/>
          <w:szCs w:val="16"/>
        </w:rPr>
        <w:t>оборудование мотоциклов «Харлей-Давидсон» колясками.</w:t>
      </w:r>
      <w:r w:rsidRPr="00D03F3E">
        <w:rPr>
          <w:rStyle w:val="0pt1"/>
          <w:rFonts w:eastAsia="Arial Narrow"/>
          <w:b w:val="0"/>
          <w:color w:val="000000" w:themeColor="text1"/>
          <w:spacing w:val="0"/>
          <w:sz w:val="16"/>
          <w:szCs w:val="16"/>
        </w:rPr>
        <w:t xml:space="preserve"> Задерживал </w:t>
      </w:r>
      <w:r w:rsidRPr="00D03F3E">
        <w:rPr>
          <w:rFonts w:ascii="Times New Roman" w:cs="Times New Roman"/>
          <w:color w:val="000000" w:themeColor="text1"/>
          <w:spacing w:val="0"/>
          <w:sz w:val="16"/>
          <w:szCs w:val="16"/>
        </w:rPr>
        <w:t>работу также Горьковский мотозавод: он недодавал</w:t>
      </w:r>
      <w:r w:rsidRPr="00D03F3E">
        <w:rPr>
          <w:rStyle w:val="0pt1"/>
          <w:rFonts w:eastAsia="Arial Narrow"/>
          <w:b w:val="0"/>
          <w:color w:val="000000" w:themeColor="text1"/>
          <w:spacing w:val="0"/>
          <w:sz w:val="16"/>
          <w:szCs w:val="16"/>
        </w:rPr>
        <w:t xml:space="preserve"> колеса для колясок </w:t>
      </w:r>
      <w:r w:rsidRPr="00D03F3E">
        <w:rPr>
          <w:rFonts w:ascii="Times New Roman" w:cs="Times New Roman"/>
          <w:color w:val="000000" w:themeColor="text1"/>
          <w:spacing w:val="0"/>
          <w:sz w:val="16"/>
          <w:szCs w:val="16"/>
        </w:rPr>
        <w:t>и задние седла, которые монтировали на багажники</w:t>
      </w:r>
      <w:r w:rsidRPr="00D03F3E">
        <w:rPr>
          <w:rStyle w:val="0pt1"/>
          <w:rFonts w:eastAsia="Arial Narrow"/>
          <w:b w:val="0"/>
          <w:color w:val="000000" w:themeColor="text1"/>
          <w:spacing w:val="0"/>
          <w:sz w:val="16"/>
          <w:szCs w:val="16"/>
        </w:rPr>
        <w:t xml:space="preserve"> импортных «оди</w:t>
      </w:r>
      <w:r w:rsidRPr="00D03F3E">
        <w:rPr>
          <w:rStyle w:val="0pt1"/>
          <w:rFonts w:eastAsia="Arial Narrow"/>
          <w:b w:val="0"/>
          <w:color w:val="000000" w:themeColor="text1"/>
          <w:spacing w:val="0"/>
          <w:sz w:val="16"/>
          <w:szCs w:val="16"/>
        </w:rPr>
        <w:softHyphen/>
      </w:r>
      <w:r w:rsidRPr="00D03F3E">
        <w:rPr>
          <w:rFonts w:ascii="Times New Roman" w:cs="Times New Roman"/>
          <w:color w:val="000000" w:themeColor="text1"/>
          <w:spacing w:val="0"/>
          <w:sz w:val="16"/>
          <w:szCs w:val="16"/>
        </w:rPr>
        <w:t>ночек». Но и сами сборочные заводы имели внутренние</w:t>
      </w:r>
      <w:r w:rsidRPr="00D03F3E">
        <w:rPr>
          <w:rStyle w:val="0pt1"/>
          <w:rFonts w:eastAsia="Arial Narrow"/>
          <w:b w:val="0"/>
          <w:color w:val="000000" w:themeColor="text1"/>
          <w:spacing w:val="0"/>
          <w:sz w:val="16"/>
          <w:szCs w:val="16"/>
        </w:rPr>
        <w:t xml:space="preserve"> проблемы.</w:t>
      </w:r>
      <w:r w:rsidRPr="00D03F3E">
        <w:rPr>
          <w:rFonts w:ascii="Times New Roman" w:cs="Times New Roman"/>
          <w:color w:val="000000" w:themeColor="text1"/>
          <w:spacing w:val="0"/>
          <w:sz w:val="16"/>
          <w:szCs w:val="16"/>
        </w:rPr>
        <w:t xml:space="preserve"> Так, на СМЗ остро ощущалась нехватка оборудования и</w:t>
      </w:r>
      <w:r w:rsidRPr="00D03F3E">
        <w:rPr>
          <w:rStyle w:val="0pt1"/>
          <w:rFonts w:eastAsia="Arial Narrow"/>
          <w:b w:val="0"/>
          <w:color w:val="000000" w:themeColor="text1"/>
          <w:spacing w:val="0"/>
          <w:sz w:val="16"/>
          <w:szCs w:val="16"/>
        </w:rPr>
        <w:t xml:space="preserve"> инструментария для </w:t>
      </w:r>
      <w:r w:rsidRPr="00D03F3E">
        <w:rPr>
          <w:rFonts w:ascii="Times New Roman" w:cs="Times New Roman"/>
          <w:color w:val="000000" w:themeColor="text1"/>
          <w:spacing w:val="0"/>
          <w:sz w:val="16"/>
          <w:szCs w:val="16"/>
        </w:rPr>
        <w:t>изготовления деталей крепления колясок.</w:t>
      </w:r>
    </w:p>
    <w:p w14:paraId="5769D9AF" w14:textId="77777777" w:rsidR="00F40F30" w:rsidRPr="00D03F3E" w:rsidRDefault="00F40F30"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Пемимо заводов, сборка ленд-лизовских мотоциклов</w:t>
      </w:r>
      <w:r w:rsidRPr="00D03F3E">
        <w:rPr>
          <w:rStyle w:val="0pt1"/>
          <w:rFonts w:eastAsia="Arial Narrow"/>
          <w:b w:val="0"/>
          <w:color w:val="000000" w:themeColor="text1"/>
          <w:spacing w:val="0"/>
          <w:sz w:val="16"/>
          <w:szCs w:val="16"/>
        </w:rPr>
        <w:t xml:space="preserve"> без колясок </w:t>
      </w:r>
      <w:r w:rsidRPr="00D03F3E">
        <w:rPr>
          <w:rFonts w:ascii="Times New Roman" w:cs="Times New Roman"/>
          <w:color w:val="000000" w:themeColor="text1"/>
          <w:spacing w:val="0"/>
          <w:sz w:val="16"/>
          <w:szCs w:val="16"/>
        </w:rPr>
        <w:t>осуществлялась на складах, в войсковых частях и на фронтах</w:t>
      </w:r>
      <w:r w:rsidRPr="00D03F3E">
        <w:rPr>
          <w:rStyle w:val="0pt1"/>
          <w:rFonts w:eastAsia="Arial Narrow"/>
          <w:b w:val="0"/>
          <w:color w:val="000000" w:themeColor="text1"/>
          <w:spacing w:val="0"/>
          <w:sz w:val="16"/>
          <w:szCs w:val="16"/>
        </w:rPr>
        <w:t xml:space="preserve"> (15769).</w:t>
      </w:r>
    </w:p>
    <w:p w14:paraId="12D0F873" w14:textId="77777777" w:rsidR="00F40F30" w:rsidRPr="00D03F3E" w:rsidRDefault="00F40F30" w:rsidP="00D03F3E">
      <w:pPr>
        <w:pStyle w:val="36"/>
        <w:shd w:val="clear" w:color="auto" w:fill="auto"/>
        <w:spacing w:after="0" w:line="240" w:lineRule="auto"/>
        <w:jc w:val="both"/>
        <w:rPr>
          <w:rFonts w:ascii="Times New Roman" w:cs="Times New Roman"/>
          <w:color w:val="000000" w:themeColor="text1"/>
          <w:spacing w:val="0"/>
          <w:sz w:val="16"/>
          <w:szCs w:val="16"/>
        </w:rPr>
      </w:pPr>
    </w:p>
    <w:p w14:paraId="75D8208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апреля по май 1943 г. испытывалис аэросани РФ-12 на колесном ходу. В дальней</w:t>
      </w:r>
      <w:r w:rsidRPr="00D03F3E">
        <w:rPr>
          <w:rFonts w:ascii="Times New Roman" w:hAnsi="Times New Roman"/>
          <w:color w:val="000000" w:themeColor="text1"/>
          <w:sz w:val="16"/>
          <w:szCs w:val="16"/>
        </w:rPr>
        <w:softHyphen/>
        <w:t>шем РФ-12 совершили пробег на колесах в Москву и обратно. После ряда испытаний и совещаний аэро</w:t>
      </w:r>
      <w:r w:rsidRPr="00D03F3E">
        <w:rPr>
          <w:rFonts w:ascii="Times New Roman" w:hAnsi="Times New Roman"/>
          <w:color w:val="000000" w:themeColor="text1"/>
          <w:sz w:val="16"/>
          <w:szCs w:val="16"/>
        </w:rPr>
        <w:softHyphen/>
        <w:t>сани РФ-12 были рекомендованы к серийно</w:t>
      </w:r>
      <w:r w:rsidRPr="00D03F3E">
        <w:rPr>
          <w:rFonts w:ascii="Times New Roman" w:hAnsi="Times New Roman"/>
          <w:color w:val="000000" w:themeColor="text1"/>
          <w:sz w:val="16"/>
          <w:szCs w:val="16"/>
        </w:rPr>
        <w:softHyphen/>
        <w:t>му производству на ремонтных предприятиях речного флота. В частности, план выпуска этих аэросаней для нужд Верхневолжского речного пароходства составлял 10 экземпляров. В то же время чертежи и описания РФ-12 неоднок</w:t>
      </w:r>
      <w:r w:rsidRPr="00D03F3E">
        <w:rPr>
          <w:rFonts w:ascii="Times New Roman" w:hAnsi="Times New Roman"/>
          <w:color w:val="000000" w:themeColor="text1"/>
          <w:sz w:val="16"/>
          <w:szCs w:val="16"/>
        </w:rPr>
        <w:softHyphen/>
        <w:t>ратно публиковались в открытой печати, что сделало возможным их изготовление силами отдельных энтузиастов. Поэтому число пост</w:t>
      </w:r>
      <w:r w:rsidRPr="00D03F3E">
        <w:rPr>
          <w:rFonts w:ascii="Times New Roman" w:hAnsi="Times New Roman"/>
          <w:color w:val="000000" w:themeColor="text1"/>
          <w:sz w:val="16"/>
          <w:szCs w:val="16"/>
        </w:rPr>
        <w:softHyphen/>
        <w:t>роенных аэросаней типа РФ-12 не может быть определено даже примерно. Помимо ОКБ НКРФ, в период 1941-1945 гг. рядом организаций было построе</w:t>
      </w:r>
      <w:r w:rsidRPr="00D03F3E">
        <w:rPr>
          <w:rFonts w:ascii="Times New Roman" w:hAnsi="Times New Roman"/>
          <w:color w:val="000000" w:themeColor="text1"/>
          <w:sz w:val="16"/>
          <w:szCs w:val="16"/>
        </w:rPr>
        <w:softHyphen/>
        <w:t>но несколько опытных образцов легкий аэро</w:t>
      </w:r>
      <w:r w:rsidRPr="00D03F3E">
        <w:rPr>
          <w:rFonts w:ascii="Times New Roman" w:hAnsi="Times New Roman"/>
          <w:color w:val="000000" w:themeColor="text1"/>
          <w:sz w:val="16"/>
          <w:szCs w:val="16"/>
        </w:rPr>
        <w:softHyphen/>
        <w:t>саней и снегоходов с мотоциклетными мо</w:t>
      </w:r>
      <w:r w:rsidRPr="00D03F3E">
        <w:rPr>
          <w:rFonts w:ascii="Times New Roman" w:hAnsi="Times New Roman"/>
          <w:color w:val="000000" w:themeColor="text1"/>
          <w:sz w:val="16"/>
          <w:szCs w:val="16"/>
        </w:rPr>
        <w:softHyphen/>
        <w:t>торами. В Академии БТ и МВ майор С.В. Форстеп спроектировал аэросани «Зимний пу</w:t>
      </w:r>
      <w:r w:rsidRPr="00D03F3E">
        <w:rPr>
          <w:rFonts w:ascii="Times New Roman" w:hAnsi="Times New Roman"/>
          <w:color w:val="000000" w:themeColor="text1"/>
          <w:sz w:val="16"/>
          <w:szCs w:val="16"/>
        </w:rPr>
        <w:softHyphen/>
        <w:t>леметовоз». Они были изготовлены в двух экземплярах. Основным отличием первого экземпляра ЗП-1 являлось применение винта в кольце (иногда устройство имену</w:t>
      </w:r>
      <w:r w:rsidRPr="00D03F3E">
        <w:rPr>
          <w:rFonts w:ascii="Times New Roman" w:hAnsi="Times New Roman"/>
          <w:color w:val="000000" w:themeColor="text1"/>
          <w:sz w:val="16"/>
          <w:szCs w:val="16"/>
        </w:rPr>
        <w:softHyphen/>
        <w:t>ется дюзой), что позволяло существенно повысить тягу винта. Недостатком данного конструктивного решения стало то, что ус</w:t>
      </w:r>
      <w:r w:rsidRPr="00D03F3E">
        <w:rPr>
          <w:rFonts w:ascii="Times New Roman" w:hAnsi="Times New Roman"/>
          <w:color w:val="000000" w:themeColor="text1"/>
          <w:sz w:val="16"/>
          <w:szCs w:val="16"/>
        </w:rPr>
        <w:softHyphen/>
        <w:t>тановка винта в кольце требовала тщатель</w:t>
      </w:r>
      <w:r w:rsidRPr="00D03F3E">
        <w:rPr>
          <w:rFonts w:ascii="Times New Roman" w:hAnsi="Times New Roman"/>
          <w:color w:val="000000" w:themeColor="text1"/>
          <w:sz w:val="16"/>
          <w:szCs w:val="16"/>
        </w:rPr>
        <w:softHyphen/>
        <w:t>ного производственного исполнения. За счет вибраций силовой установки, усугубляющей</w:t>
      </w:r>
      <w:r w:rsidRPr="00D03F3E">
        <w:rPr>
          <w:rFonts w:ascii="Times New Roman" w:hAnsi="Times New Roman"/>
          <w:color w:val="000000" w:themeColor="text1"/>
          <w:sz w:val="16"/>
          <w:szCs w:val="16"/>
        </w:rPr>
        <w:softHyphen/>
        <w:t>ся ударными нагрузками при движении по бездорожью, устройство деформировалось, и лопасти винта могли задевать за огражде</w:t>
      </w:r>
      <w:r w:rsidRPr="00D03F3E">
        <w:rPr>
          <w:rFonts w:ascii="Times New Roman" w:hAnsi="Times New Roman"/>
          <w:color w:val="000000" w:themeColor="text1"/>
          <w:sz w:val="16"/>
          <w:szCs w:val="16"/>
        </w:rPr>
        <w:softHyphen/>
        <w:t>ние. Это вынуждало (при невозможности качественной сборки и регулировки и при</w:t>
      </w:r>
      <w:r w:rsidRPr="00D03F3E">
        <w:rPr>
          <w:rFonts w:ascii="Times New Roman" w:hAnsi="Times New Roman"/>
          <w:color w:val="000000" w:themeColor="text1"/>
          <w:sz w:val="16"/>
          <w:szCs w:val="16"/>
        </w:rPr>
        <w:softHyphen/>
        <w:t xml:space="preserve">менения доступных дешевых материалов) увеличивать внутренний диаметр дюзы или снижать диаметр пропеллера, что делало устройство малоэффективным. Поэтому на втором образце аэросаней ЗП-2 имелась ВМГ традиционной </w:t>
      </w:r>
      <w:r w:rsidRPr="00D03F3E">
        <w:rPr>
          <w:rFonts w:ascii="Times New Roman" w:hAnsi="Times New Roman"/>
          <w:color w:val="000000" w:themeColor="text1"/>
          <w:sz w:val="16"/>
          <w:szCs w:val="16"/>
        </w:rPr>
        <w:lastRenderedPageBreak/>
        <w:t>компоновки. Еще одной любопытной особенностью «Зимнего пуле-метовоза» являлась возможность управления аэросанями в положении лежа, что должно было обеспечить максимальную защиту во</w:t>
      </w:r>
      <w:r w:rsidRPr="00D03F3E">
        <w:rPr>
          <w:rFonts w:ascii="Times New Roman" w:hAnsi="Times New Roman"/>
          <w:color w:val="000000" w:themeColor="text1"/>
          <w:sz w:val="16"/>
          <w:szCs w:val="16"/>
        </w:rPr>
        <w:softHyphen/>
        <w:t>дителя от огня противника при применении бронирования простейшего типа. Однако в силу сочетания ряда дефектов эти аэросани не нашли применения в войсках. Также не получили распространения са</w:t>
      </w:r>
      <w:r w:rsidRPr="00D03F3E">
        <w:rPr>
          <w:rFonts w:ascii="Times New Roman" w:hAnsi="Times New Roman"/>
          <w:color w:val="000000" w:themeColor="text1"/>
          <w:sz w:val="16"/>
          <w:szCs w:val="16"/>
        </w:rPr>
        <w:softHyphen/>
        <w:t>нитарный снегоход конструкции НАМИ и сне</w:t>
      </w:r>
      <w:r w:rsidRPr="00D03F3E">
        <w:rPr>
          <w:rFonts w:ascii="Times New Roman" w:hAnsi="Times New Roman"/>
          <w:color w:val="000000" w:themeColor="text1"/>
          <w:sz w:val="16"/>
          <w:szCs w:val="16"/>
        </w:rPr>
        <w:softHyphen/>
        <w:t>гоход Ирбитского завода, как показавшие неудовлетворительные параметры надежно</w:t>
      </w:r>
      <w:r w:rsidRPr="00D03F3E">
        <w:rPr>
          <w:rFonts w:ascii="Times New Roman" w:hAnsi="Times New Roman"/>
          <w:color w:val="000000" w:themeColor="text1"/>
          <w:sz w:val="16"/>
          <w:szCs w:val="16"/>
        </w:rPr>
        <w:softHyphen/>
        <w:t>сти и проходимости. Снегоход (мотосани) НАМИ МС-1 были построены по проекту Б.Шишкина по схеме мотосаней изобретателя Куприянова, реализован</w:t>
      </w:r>
      <w:r w:rsidRPr="00D03F3E">
        <w:rPr>
          <w:rFonts w:ascii="Times New Roman" w:hAnsi="Times New Roman"/>
          <w:color w:val="000000" w:themeColor="text1"/>
          <w:sz w:val="16"/>
          <w:szCs w:val="16"/>
        </w:rPr>
        <w:softHyphen/>
        <w:t>ной в опытном образце еще в 1920-е гг. Из особенностей этих мотосаней можно отме</w:t>
      </w:r>
      <w:r w:rsidRPr="00D03F3E">
        <w:rPr>
          <w:rFonts w:ascii="Times New Roman" w:hAnsi="Times New Roman"/>
          <w:color w:val="000000" w:themeColor="text1"/>
          <w:sz w:val="16"/>
          <w:szCs w:val="16"/>
        </w:rPr>
        <w:softHyphen/>
        <w:t>тить использование так называемого «дви</w:t>
      </w:r>
      <w:r w:rsidRPr="00D03F3E">
        <w:rPr>
          <w:rFonts w:ascii="Times New Roman" w:hAnsi="Times New Roman"/>
          <w:color w:val="000000" w:themeColor="text1"/>
          <w:sz w:val="16"/>
          <w:szCs w:val="16"/>
        </w:rPr>
        <w:softHyphen/>
        <w:t>жителя Неждановского». Для применения на снежной целине этот движитель являлся те</w:t>
      </w:r>
      <w:r w:rsidRPr="00D03F3E">
        <w:rPr>
          <w:rFonts w:ascii="Times New Roman" w:hAnsi="Times New Roman"/>
          <w:color w:val="000000" w:themeColor="text1"/>
          <w:sz w:val="16"/>
          <w:szCs w:val="16"/>
        </w:rPr>
        <w:softHyphen/>
        <w:t>оретически безупречным, однако все попыт</w:t>
      </w:r>
      <w:r w:rsidRPr="00D03F3E">
        <w:rPr>
          <w:rFonts w:ascii="Times New Roman" w:hAnsi="Times New Roman"/>
          <w:color w:val="000000" w:themeColor="text1"/>
          <w:sz w:val="16"/>
          <w:szCs w:val="16"/>
        </w:rPr>
        <w:softHyphen/>
        <w:t>ки его практической реализации неизменно терпели неудачу. Не стал исключением и снегоход НАМИ. Несколько удачнее сложилась судьба легких связных аэросаней НКЛ-34. Они про</w:t>
      </w:r>
      <w:r w:rsidRPr="00D03F3E">
        <w:rPr>
          <w:rFonts w:ascii="Times New Roman" w:hAnsi="Times New Roman"/>
          <w:color w:val="000000" w:themeColor="text1"/>
          <w:sz w:val="16"/>
          <w:szCs w:val="16"/>
        </w:rPr>
        <w:softHyphen/>
        <w:t>ектировались в ЦКБ ГСДП (бывшее ОКБ-41) в 1942 г. в рамках реализации научно-производственных тем №9 и №11 плана работ КБ, предусматривавших составление проекта простейших аэросаней по заданию ГАБТУ. НКЛ-34, как и РФ-7, имели четырехлыж-ную схему. Однако ведущий конструктор НКЛ-34 Ю.К. Барташевич (одним из первых в отечественной практике) применил на аэро</w:t>
      </w:r>
      <w:r w:rsidRPr="00D03F3E">
        <w:rPr>
          <w:rFonts w:ascii="Times New Roman" w:hAnsi="Times New Roman"/>
          <w:color w:val="000000" w:themeColor="text1"/>
          <w:sz w:val="16"/>
          <w:szCs w:val="16"/>
        </w:rPr>
        <w:softHyphen/>
        <w:t>санях торсионную подвеску, что позволило су</w:t>
      </w:r>
      <w:r w:rsidRPr="00D03F3E">
        <w:rPr>
          <w:rFonts w:ascii="Times New Roman" w:hAnsi="Times New Roman"/>
          <w:color w:val="000000" w:themeColor="text1"/>
          <w:sz w:val="16"/>
          <w:szCs w:val="16"/>
        </w:rPr>
        <w:softHyphen/>
        <w:t>щественно снизить их массу и габариты. Еще одной особенностью аэросаней было распо</w:t>
      </w:r>
      <w:r w:rsidRPr="00D03F3E">
        <w:rPr>
          <w:rFonts w:ascii="Times New Roman" w:hAnsi="Times New Roman"/>
          <w:color w:val="000000" w:themeColor="text1"/>
          <w:sz w:val="16"/>
          <w:szCs w:val="16"/>
        </w:rPr>
        <w:softHyphen/>
        <w:t>ложение мотора в нижней части корпуса и применение ременной передачи к винту, что значительно повысило устойчивость машины. На образце, проходившем испытания на по</w:t>
      </w:r>
      <w:r w:rsidRPr="00D03F3E">
        <w:rPr>
          <w:rFonts w:ascii="Times New Roman" w:hAnsi="Times New Roman"/>
          <w:color w:val="000000" w:themeColor="text1"/>
          <w:sz w:val="16"/>
          <w:szCs w:val="16"/>
        </w:rPr>
        <w:softHyphen/>
        <w:t>лигоне ГАБТУ, использовались лыжи специ</w:t>
      </w:r>
      <w:r w:rsidRPr="00D03F3E">
        <w:rPr>
          <w:rFonts w:ascii="Times New Roman" w:hAnsi="Times New Roman"/>
          <w:color w:val="000000" w:themeColor="text1"/>
          <w:sz w:val="16"/>
          <w:szCs w:val="16"/>
        </w:rPr>
        <w:softHyphen/>
        <w:t>альной конструкции, что не исключало при массовой постройке установки на аэросани обычных беговых лыж на 80 кг. К 1944 г. си</w:t>
      </w:r>
      <w:r w:rsidRPr="00D03F3E">
        <w:rPr>
          <w:rFonts w:ascii="Times New Roman" w:hAnsi="Times New Roman"/>
          <w:color w:val="000000" w:themeColor="text1"/>
          <w:sz w:val="16"/>
          <w:szCs w:val="16"/>
        </w:rPr>
        <w:softHyphen/>
        <w:t>лами КБ были изготовлены пять аэросаней НКЛ-34.</w:t>
      </w:r>
    </w:p>
    <w:p w14:paraId="7F63CE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ТТХ легких военных аэросаней</w:t>
      </w:r>
    </w:p>
    <w:tbl>
      <w:tblPr>
        <w:tblW w:w="0" w:type="auto"/>
        <w:tblInd w:w="40" w:type="dxa"/>
        <w:tblLayout w:type="fixed"/>
        <w:tblCellMar>
          <w:left w:w="40" w:type="dxa"/>
          <w:right w:w="40" w:type="dxa"/>
        </w:tblCellMar>
        <w:tblLook w:val="0000" w:firstRow="0" w:lastRow="0" w:firstColumn="0" w:lastColumn="0" w:noHBand="0" w:noVBand="0"/>
      </w:tblPr>
      <w:tblGrid>
        <w:gridCol w:w="1103"/>
        <w:gridCol w:w="971"/>
        <w:gridCol w:w="963"/>
        <w:gridCol w:w="971"/>
        <w:gridCol w:w="963"/>
        <w:gridCol w:w="963"/>
        <w:gridCol w:w="946"/>
      </w:tblGrid>
      <w:tr w:rsidR="00860B4B" w:rsidRPr="00D03F3E" w14:paraId="6DC62E60" w14:textId="77777777">
        <w:trPr>
          <w:trHeight w:val="321"/>
        </w:trPr>
        <w:tc>
          <w:tcPr>
            <w:tcW w:w="1103" w:type="dxa"/>
            <w:tcBorders>
              <w:top w:val="single" w:sz="6" w:space="0" w:color="auto"/>
              <w:left w:val="single" w:sz="6" w:space="0" w:color="auto"/>
              <w:bottom w:val="single" w:sz="6" w:space="0" w:color="auto"/>
              <w:right w:val="single" w:sz="6" w:space="0" w:color="auto"/>
            </w:tcBorders>
          </w:tcPr>
          <w:p w14:paraId="32FDA12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аэросаней</w:t>
            </w:r>
          </w:p>
          <w:p w14:paraId="471B9C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9422EE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РФ-7</w:t>
            </w:r>
          </w:p>
          <w:p w14:paraId="4B0D35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4D3A93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РФ- 12</w:t>
            </w:r>
          </w:p>
          <w:p w14:paraId="570F92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B64B13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НКЛ-34</w:t>
            </w:r>
          </w:p>
          <w:p w14:paraId="30F010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4BDB5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ЗП-1</w:t>
            </w:r>
          </w:p>
          <w:p w14:paraId="7CE0A0E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08AF4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ЗП-2</w:t>
            </w:r>
          </w:p>
          <w:p w14:paraId="7DE004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1623CE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Требования ГАБТУ</w:t>
            </w:r>
          </w:p>
          <w:p w14:paraId="76B7370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093884F" w14:textId="77777777">
        <w:trPr>
          <w:trHeight w:val="444"/>
        </w:trPr>
        <w:tc>
          <w:tcPr>
            <w:tcW w:w="1103" w:type="dxa"/>
            <w:tcBorders>
              <w:top w:val="single" w:sz="6" w:space="0" w:color="auto"/>
              <w:left w:val="single" w:sz="6" w:space="0" w:color="auto"/>
              <w:bottom w:val="single" w:sz="6" w:space="0" w:color="auto"/>
              <w:right w:val="single" w:sz="6" w:space="0" w:color="auto"/>
            </w:tcBorders>
          </w:tcPr>
          <w:p w14:paraId="66EE13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Назначение</w:t>
            </w:r>
          </w:p>
          <w:p w14:paraId="566A6F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C5171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Связные</w:t>
            </w:r>
          </w:p>
          <w:p w14:paraId="6B85F3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CDA343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Связные</w:t>
            </w:r>
          </w:p>
          <w:p w14:paraId="2A10D70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6314F25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Связные</w:t>
            </w:r>
          </w:p>
          <w:p w14:paraId="35A2D2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260DE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Легкие боевые</w:t>
            </w:r>
          </w:p>
          <w:p w14:paraId="193CA51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696F0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Легкие боевые</w:t>
            </w:r>
          </w:p>
          <w:p w14:paraId="2783E42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09D3DC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Легкие связные и боевые</w:t>
            </w:r>
          </w:p>
          <w:p w14:paraId="1FB1519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739DB94" w14:textId="77777777">
        <w:trPr>
          <w:trHeight w:val="296"/>
        </w:trPr>
        <w:tc>
          <w:tcPr>
            <w:tcW w:w="1103" w:type="dxa"/>
            <w:tcBorders>
              <w:top w:val="single" w:sz="6" w:space="0" w:color="auto"/>
              <w:left w:val="single" w:sz="6" w:space="0" w:color="auto"/>
              <w:bottom w:val="single" w:sz="6" w:space="0" w:color="auto"/>
              <w:right w:val="single" w:sz="6" w:space="0" w:color="auto"/>
            </w:tcBorders>
          </w:tcPr>
          <w:p w14:paraId="66E12D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Снаряженный вес, кг</w:t>
            </w:r>
          </w:p>
          <w:p w14:paraId="67AD52E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F51DFD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380</w:t>
            </w:r>
          </w:p>
          <w:p w14:paraId="03048A2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035C9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380**</w:t>
            </w:r>
          </w:p>
          <w:p w14:paraId="0A737B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B4BFD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310</w:t>
            </w:r>
          </w:p>
          <w:p w14:paraId="7D507F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433DE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330</w:t>
            </w:r>
          </w:p>
          <w:p w14:paraId="24DD072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E675B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420</w:t>
            </w:r>
          </w:p>
          <w:p w14:paraId="6E3B6C0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78ABF40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 более 350</w:t>
            </w:r>
          </w:p>
          <w:p w14:paraId="77BC8B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858C456"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21A969F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Сухой вес, кг</w:t>
            </w:r>
          </w:p>
          <w:p w14:paraId="7B52570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0E2B4B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235</w:t>
            </w:r>
          </w:p>
          <w:p w14:paraId="343C8BD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1CE18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176</w:t>
            </w:r>
          </w:p>
          <w:p w14:paraId="2A82DC2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944A18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w:t>
            </w:r>
          </w:p>
          <w:p w14:paraId="58F59E5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1C787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_</w:t>
            </w:r>
          </w:p>
          <w:p w14:paraId="3EA17B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3FA10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B5A4DA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126235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_</w:t>
            </w:r>
          </w:p>
          <w:p w14:paraId="5C9AC3D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7D3D41C" w14:textId="77777777">
        <w:trPr>
          <w:trHeight w:val="148"/>
        </w:trPr>
        <w:tc>
          <w:tcPr>
            <w:tcW w:w="1103" w:type="dxa"/>
            <w:tcBorders>
              <w:top w:val="single" w:sz="6" w:space="0" w:color="auto"/>
              <w:left w:val="single" w:sz="6" w:space="0" w:color="auto"/>
              <w:bottom w:val="single" w:sz="6" w:space="0" w:color="auto"/>
              <w:right w:val="single" w:sz="6" w:space="0" w:color="auto"/>
            </w:tcBorders>
          </w:tcPr>
          <w:p w14:paraId="4070E2E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w:t>
            </w:r>
          </w:p>
          <w:p w14:paraId="45BE3C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E2D2A0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15B222B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DE993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34BD2C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5852C62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7A89A4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D79DCB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1715DE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3D001C8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48534E3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3EEC98C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15ACF8D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221D422"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047CF4E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Пассажиры</w:t>
            </w:r>
          </w:p>
          <w:p w14:paraId="48CB83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28399C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w:t>
            </w:r>
          </w:p>
          <w:p w14:paraId="4DB07A4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64F0A9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21555F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634350A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w:t>
            </w:r>
          </w:p>
          <w:p w14:paraId="2878E4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0E26B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w:t>
            </w:r>
          </w:p>
          <w:p w14:paraId="4942CA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24DD8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w:t>
            </w:r>
          </w:p>
          <w:p w14:paraId="1F84AFE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405E390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9BE3C7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91369D5" w14:textId="77777777">
        <w:trPr>
          <w:trHeight w:val="148"/>
        </w:trPr>
        <w:tc>
          <w:tcPr>
            <w:tcW w:w="1103" w:type="dxa"/>
            <w:tcBorders>
              <w:top w:val="single" w:sz="6" w:space="0" w:color="auto"/>
              <w:left w:val="single" w:sz="6" w:space="0" w:color="auto"/>
              <w:bottom w:val="single" w:sz="6" w:space="0" w:color="auto"/>
              <w:right w:val="single" w:sz="6" w:space="0" w:color="auto"/>
            </w:tcBorders>
          </w:tcPr>
          <w:p w14:paraId="36D3D36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м</w:t>
            </w:r>
          </w:p>
          <w:p w14:paraId="7762C3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2F2191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3,75</w:t>
            </w:r>
          </w:p>
          <w:p w14:paraId="3CB8F48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E8A88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439E01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FB2EB9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w:t>
            </w:r>
          </w:p>
          <w:p w14:paraId="2E03E9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720B1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w:t>
            </w:r>
          </w:p>
          <w:p w14:paraId="6C57C6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7E5A220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3,555</w:t>
            </w:r>
          </w:p>
          <w:p w14:paraId="62D77E2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0010109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_</w:t>
            </w:r>
          </w:p>
          <w:p w14:paraId="03582F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788DE94"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28D00E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Ширина, м</w:t>
            </w:r>
          </w:p>
          <w:p w14:paraId="50BAD20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A17CE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p w14:paraId="6E6C19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41729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p w14:paraId="47B175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E0870E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w:t>
            </w:r>
          </w:p>
          <w:p w14:paraId="24DF5F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855E9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1,12</w:t>
            </w:r>
          </w:p>
          <w:p w14:paraId="02E3FA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7F139D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w:t>
            </w:r>
          </w:p>
          <w:p w14:paraId="2E94DAD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1F9CC86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_</w:t>
            </w:r>
          </w:p>
          <w:p w14:paraId="5CC187F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B87FC9D" w14:textId="77777777">
        <w:trPr>
          <w:trHeight w:val="296"/>
        </w:trPr>
        <w:tc>
          <w:tcPr>
            <w:tcW w:w="1103" w:type="dxa"/>
            <w:tcBorders>
              <w:top w:val="single" w:sz="6" w:space="0" w:color="auto"/>
              <w:left w:val="single" w:sz="6" w:space="0" w:color="auto"/>
              <w:bottom w:val="single" w:sz="6" w:space="0" w:color="auto"/>
              <w:right w:val="single" w:sz="6" w:space="0" w:color="auto"/>
            </w:tcBorders>
          </w:tcPr>
          <w:p w14:paraId="28CF85D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Высота по винту, м</w:t>
            </w:r>
          </w:p>
          <w:p w14:paraId="3C4D89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5A6A6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2,34</w:t>
            </w:r>
          </w:p>
          <w:p w14:paraId="65535B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9FBAE4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2,33</w:t>
            </w:r>
          </w:p>
          <w:p w14:paraId="575ABA2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EA55A5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p w14:paraId="388891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A5414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p w14:paraId="369A00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D2202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1,89</w:t>
            </w:r>
          </w:p>
          <w:p w14:paraId="2CB9504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5C49CA3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5E0C8E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527AC05"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5AF303C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База, м</w:t>
            </w:r>
          </w:p>
          <w:p w14:paraId="37E5B78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2BF5B2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021923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98390B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p w14:paraId="6752A8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6908669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0254F23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FDC30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1,76</w:t>
            </w:r>
          </w:p>
          <w:p w14:paraId="0D33B0B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30E2B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21AA85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25DE32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4409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B59D912" w14:textId="77777777">
        <w:trPr>
          <w:trHeight w:val="148"/>
        </w:trPr>
        <w:tc>
          <w:tcPr>
            <w:tcW w:w="1103" w:type="dxa"/>
            <w:tcBorders>
              <w:top w:val="single" w:sz="6" w:space="0" w:color="auto"/>
              <w:left w:val="single" w:sz="6" w:space="0" w:color="auto"/>
              <w:bottom w:val="single" w:sz="6" w:space="0" w:color="auto"/>
              <w:right w:val="single" w:sz="6" w:space="0" w:color="auto"/>
            </w:tcBorders>
          </w:tcPr>
          <w:p w14:paraId="1DFF0B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Колея, м</w:t>
            </w:r>
          </w:p>
          <w:p w14:paraId="5C7BD0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4F639E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p w14:paraId="45177DB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313F0E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1,62</w:t>
            </w:r>
          </w:p>
          <w:p w14:paraId="5B12AA9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627D1B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70A5A91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E5557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0,97</w:t>
            </w:r>
          </w:p>
          <w:p w14:paraId="4B007E5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CFB14B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77566C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4998B07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p w14:paraId="01B7984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ABA9F1E" w14:textId="77777777">
        <w:trPr>
          <w:trHeight w:val="148"/>
        </w:trPr>
        <w:tc>
          <w:tcPr>
            <w:tcW w:w="1103" w:type="dxa"/>
            <w:tcBorders>
              <w:top w:val="single" w:sz="6" w:space="0" w:color="auto"/>
              <w:left w:val="single" w:sz="6" w:space="0" w:color="auto"/>
              <w:bottom w:val="single" w:sz="6" w:space="0" w:color="auto"/>
              <w:right w:val="single" w:sz="6" w:space="0" w:color="auto"/>
            </w:tcBorders>
          </w:tcPr>
          <w:p w14:paraId="40E97C5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Клиренс, м</w:t>
            </w:r>
          </w:p>
          <w:p w14:paraId="5854805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3CCCFFF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0,25</w:t>
            </w:r>
          </w:p>
          <w:p w14:paraId="1F84AF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05DE0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0,25</w:t>
            </w:r>
          </w:p>
          <w:p w14:paraId="6C8CB46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6CF1CE9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0,175</w:t>
            </w:r>
          </w:p>
          <w:p w14:paraId="138FB5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B2361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0,225</w:t>
            </w:r>
          </w:p>
          <w:p w14:paraId="675177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3B7518A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0,27</w:t>
            </w:r>
          </w:p>
          <w:p w14:paraId="164070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412F6F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E09B8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6040689"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14773A6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Двигатель</w:t>
            </w:r>
          </w:p>
          <w:p w14:paraId="3D079E7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68560A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М-72</w:t>
            </w:r>
          </w:p>
          <w:p w14:paraId="47DF91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6D314E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М-72</w:t>
            </w:r>
          </w:p>
          <w:p w14:paraId="4AD653B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B564CE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М-72</w:t>
            </w:r>
          </w:p>
          <w:p w14:paraId="58D00C7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07AD19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М-72</w:t>
            </w:r>
          </w:p>
          <w:p w14:paraId="42C7C66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51345D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М-72</w:t>
            </w:r>
          </w:p>
          <w:p w14:paraId="4F6C376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059752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_</w:t>
            </w:r>
          </w:p>
          <w:p w14:paraId="193FF76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59C1F75" w14:textId="77777777">
        <w:trPr>
          <w:trHeight w:val="296"/>
        </w:trPr>
        <w:tc>
          <w:tcPr>
            <w:tcW w:w="1103" w:type="dxa"/>
            <w:tcBorders>
              <w:top w:val="single" w:sz="6" w:space="0" w:color="auto"/>
              <w:left w:val="single" w:sz="6" w:space="0" w:color="auto"/>
              <w:bottom w:val="single" w:sz="6" w:space="0" w:color="auto"/>
              <w:right w:val="single" w:sz="6" w:space="0" w:color="auto"/>
            </w:tcBorders>
          </w:tcPr>
          <w:p w14:paraId="237B8B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км/ч</w:t>
            </w:r>
          </w:p>
          <w:p w14:paraId="55B16BC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281CB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8753F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512409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p w14:paraId="0845671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699146C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w:t>
            </w:r>
          </w:p>
          <w:p w14:paraId="0554530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F02D3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A7E24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43AE3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237071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441893F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DF0453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31434EA" w14:textId="77777777">
        <w:trPr>
          <w:trHeight w:val="304"/>
        </w:trPr>
        <w:tc>
          <w:tcPr>
            <w:tcW w:w="1103" w:type="dxa"/>
            <w:tcBorders>
              <w:top w:val="single" w:sz="6" w:space="0" w:color="auto"/>
              <w:left w:val="single" w:sz="6" w:space="0" w:color="auto"/>
              <w:bottom w:val="single" w:sz="6" w:space="0" w:color="auto"/>
              <w:right w:val="single" w:sz="6" w:space="0" w:color="auto"/>
            </w:tcBorders>
          </w:tcPr>
          <w:p w14:paraId="516F82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Радиус поворота, м</w:t>
            </w:r>
          </w:p>
          <w:p w14:paraId="3DE5AF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F7DC22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w:t>
            </w:r>
          </w:p>
          <w:p w14:paraId="068D976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0F6FAD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E0257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5ADA65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p w14:paraId="0776D1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744123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1FB907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AE0CF5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D7DF38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33F352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 более 7</w:t>
            </w:r>
          </w:p>
          <w:p w14:paraId="18A7A93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91F21D2" w14:textId="77777777">
        <w:trPr>
          <w:trHeight w:val="296"/>
        </w:trPr>
        <w:tc>
          <w:tcPr>
            <w:tcW w:w="1103" w:type="dxa"/>
            <w:tcBorders>
              <w:top w:val="single" w:sz="6" w:space="0" w:color="auto"/>
              <w:left w:val="single" w:sz="6" w:space="0" w:color="auto"/>
              <w:bottom w:val="single" w:sz="6" w:space="0" w:color="auto"/>
              <w:right w:val="single" w:sz="6" w:space="0" w:color="auto"/>
            </w:tcBorders>
          </w:tcPr>
          <w:p w14:paraId="693EF83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Запас хода</w:t>
            </w:r>
          </w:p>
          <w:p w14:paraId="2FC4E5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F995DC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w:t>
            </w:r>
          </w:p>
          <w:p w14:paraId="29AF27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определялся</w:t>
            </w:r>
          </w:p>
          <w:p w14:paraId="3F9130B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007EBA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AE7239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604DB9E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часов работы мотора</w:t>
            </w:r>
          </w:p>
          <w:p w14:paraId="20E220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DFAF8D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029D4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FD1F3D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484D2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06941B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 км</w:t>
            </w:r>
          </w:p>
          <w:p w14:paraId="7AED35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1E741FA" w14:textId="77777777">
        <w:trPr>
          <w:trHeight w:val="296"/>
        </w:trPr>
        <w:tc>
          <w:tcPr>
            <w:tcW w:w="1103" w:type="dxa"/>
            <w:tcBorders>
              <w:top w:val="single" w:sz="6" w:space="0" w:color="auto"/>
              <w:left w:val="single" w:sz="6" w:space="0" w:color="auto"/>
              <w:bottom w:val="single" w:sz="6" w:space="0" w:color="auto"/>
              <w:right w:val="single" w:sz="6" w:space="0" w:color="auto"/>
            </w:tcBorders>
          </w:tcPr>
          <w:p w14:paraId="3A6160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Удельное давление, кг/см</w:t>
            </w:r>
            <w:r w:rsidRPr="00D03F3E">
              <w:rPr>
                <w:rFonts w:ascii="Times New Roman" w:hAnsi="Times New Roman"/>
                <w:color w:val="000000" w:themeColor="text1"/>
                <w:sz w:val="16"/>
                <w:szCs w:val="16"/>
                <w:vertAlign w:val="superscript"/>
              </w:rPr>
              <w:t>2</w:t>
            </w:r>
          </w:p>
          <w:p w14:paraId="44D197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37BF5CA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0,4</w:t>
            </w:r>
          </w:p>
          <w:p w14:paraId="435189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A10B9A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0,34**</w:t>
            </w:r>
          </w:p>
          <w:p w14:paraId="5EAF7D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D747A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87E5DF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32E7B0F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D7D8E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4D99E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B9B18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480CFA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 свыше 0,45</w:t>
            </w:r>
          </w:p>
          <w:p w14:paraId="34E6B6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13139F6"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6FDAC9B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Воздушный винт</w:t>
            </w:r>
          </w:p>
          <w:p w14:paraId="37787C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43F603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Деревянный</w:t>
            </w:r>
          </w:p>
          <w:p w14:paraId="2E5A46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84857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Деревянный</w:t>
            </w:r>
          </w:p>
          <w:p w14:paraId="6A4B43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6473F2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Деревянный</w:t>
            </w:r>
          </w:p>
          <w:p w14:paraId="4F251D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DFC750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Деревянный</w:t>
            </w:r>
          </w:p>
          <w:p w14:paraId="3923AD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8D118C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Деревянный</w:t>
            </w:r>
          </w:p>
          <w:p w14:paraId="78B148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4434D3F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9B49E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77CCE24"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38898BA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Диаметр винта</w:t>
            </w:r>
          </w:p>
          <w:p w14:paraId="0FC048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5EAE5D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24855C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C104FF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8D7D2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3ABDEA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1550</w:t>
            </w:r>
          </w:p>
          <w:p w14:paraId="22D21C7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719A8C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1050</w:t>
            </w:r>
          </w:p>
          <w:p w14:paraId="511A1A3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716D02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w:t>
            </w:r>
          </w:p>
          <w:p w14:paraId="7DFE3F0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1DC3ED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_</w:t>
            </w:r>
          </w:p>
          <w:p w14:paraId="006B829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A382E36" w14:textId="77777777">
        <w:trPr>
          <w:trHeight w:val="148"/>
        </w:trPr>
        <w:tc>
          <w:tcPr>
            <w:tcW w:w="1103" w:type="dxa"/>
            <w:tcBorders>
              <w:top w:val="single" w:sz="6" w:space="0" w:color="auto"/>
              <w:left w:val="single" w:sz="6" w:space="0" w:color="auto"/>
              <w:bottom w:val="single" w:sz="6" w:space="0" w:color="auto"/>
              <w:right w:val="single" w:sz="6" w:space="0" w:color="auto"/>
            </w:tcBorders>
          </w:tcPr>
          <w:p w14:paraId="49FD104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Шаг винта</w:t>
            </w:r>
          </w:p>
          <w:p w14:paraId="0C66208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4FA9F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DC118E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3E4B5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81B69D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EB7764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F4260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306CE5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335</w:t>
            </w:r>
          </w:p>
          <w:p w14:paraId="5CBFE5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8C7565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1050</w:t>
            </w:r>
          </w:p>
          <w:p w14:paraId="22476E5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2961D92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_</w:t>
            </w:r>
          </w:p>
          <w:p w14:paraId="29D562B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B9869DB" w14:textId="77777777">
        <w:trPr>
          <w:trHeight w:val="592"/>
        </w:trPr>
        <w:tc>
          <w:tcPr>
            <w:tcW w:w="1103" w:type="dxa"/>
            <w:tcBorders>
              <w:top w:val="single" w:sz="6" w:space="0" w:color="auto"/>
              <w:left w:val="single" w:sz="6" w:space="0" w:color="auto"/>
              <w:bottom w:val="single" w:sz="6" w:space="0" w:color="auto"/>
              <w:right w:val="single" w:sz="6" w:space="0" w:color="auto"/>
            </w:tcBorders>
          </w:tcPr>
          <w:p w14:paraId="5851CED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w:t>
            </w:r>
          </w:p>
          <w:p w14:paraId="557A01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48DDB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Отсутствует</w:t>
            </w:r>
          </w:p>
          <w:p w14:paraId="111B1D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844EC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Отсутствует</w:t>
            </w:r>
          </w:p>
          <w:p w14:paraId="673238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CAD86D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Отсутствует</w:t>
            </w:r>
          </w:p>
          <w:p w14:paraId="781A12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B4CA39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Пулемет ДТ</w:t>
            </w:r>
          </w:p>
          <w:p w14:paraId="662C98D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7EF76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Пулемет «Брен»</w:t>
            </w:r>
          </w:p>
          <w:p w14:paraId="189927E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469DC0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Пулемет ДТ с боезапасом в 5 магазинов и 3 гранаты</w:t>
            </w:r>
          </w:p>
          <w:p w14:paraId="2CF8B0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AD34F22" w14:textId="77777777">
        <w:trPr>
          <w:trHeight w:val="461"/>
        </w:trPr>
        <w:tc>
          <w:tcPr>
            <w:tcW w:w="1103" w:type="dxa"/>
            <w:tcBorders>
              <w:top w:val="single" w:sz="6" w:space="0" w:color="auto"/>
              <w:left w:val="single" w:sz="6" w:space="0" w:color="auto"/>
              <w:bottom w:val="single" w:sz="6" w:space="0" w:color="auto"/>
              <w:right w:val="single" w:sz="6" w:space="0" w:color="auto"/>
            </w:tcBorders>
          </w:tcPr>
          <w:p w14:paraId="0121CF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Бронирование</w:t>
            </w:r>
          </w:p>
          <w:p w14:paraId="091C6C8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27CB0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Отсутствует</w:t>
            </w:r>
          </w:p>
          <w:p w14:paraId="248BA64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C75F0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Отсутствует</w:t>
            </w:r>
          </w:p>
          <w:p w14:paraId="73A9A0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D90D72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Отсутствует</w:t>
            </w:r>
          </w:p>
          <w:p w14:paraId="489B6E1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DDBC1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Прямой лист 8 мм, наклонный лист 5 мм</w:t>
            </w:r>
          </w:p>
          <w:p w14:paraId="42954E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74EC60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мм, лобовой лист 10 мм</w:t>
            </w:r>
          </w:p>
          <w:p w14:paraId="2B423E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276B20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3D559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78FA43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 лыжам левого борта.</w:t>
      </w:r>
    </w:p>
    <w:p w14:paraId="3C9BBC2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 пассажиром.</w:t>
      </w:r>
    </w:p>
    <w:p w14:paraId="3D8E0C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(11855).</w:t>
      </w:r>
    </w:p>
    <w:p w14:paraId="0D8CAA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85F2E7" w14:textId="77777777" w:rsidR="00EC1F42" w:rsidRPr="00D03F3E" w:rsidRDefault="00EC1F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апреле 1943 года одна из столичных комиссий, работавшая на заводе № 102 в Чапаевске, констатировала: за I квартал среди работников цехов №№ 4 и 5 было восемь случаев профзаболеваний, закончившихся смертью, и 17 случаев тяжелых форм профзаболеваний, когда работники были переведены в профинвалиды. Кроме того, 144 работникам завода было «рекомендовано» в дальнейшем работать в других цехах, где не было прямого контакта с ипритом.</w:t>
      </w:r>
    </w:p>
    <w:p w14:paraId="75C47995" w14:textId="77777777" w:rsidR="00EC1F42" w:rsidRPr="00D03F3E" w:rsidRDefault="00EC1F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Лишь через три года после начала Великой Отечественной войны, после принятия постановления ГКО СССР от 1 июля 1944 года, и последовавшего за ним решения ВЦСПС, советские санитарные врачи пришли, наконец, к мысли о необходимости установления предельно допустимой концентрации (ПДК) для содержания ОВ в воздухе рабочих помещений химических производств. И только лишь через 20 с лишним лет после начала выпуска в СССР иприта Главная госсанинспекция СССР в секретном документе от 26 февраля 1945 года приняла ПДК для паров иприта в воздухе рабочих помещений — 0,00002 мг/л (2.10–5 мг/л, то есть 2.10–2 мг/м3). Но и этот гигиенический стандарт уже тогда считался… временным.</w:t>
      </w:r>
    </w:p>
    <w:p w14:paraId="0D793807" w14:textId="77777777" w:rsidR="00EC1F42" w:rsidRPr="00D03F3E" w:rsidRDefault="00EC1F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Изменения в санитарных нормах за все последующие годы были минимальными. Даже через полвека после Победы, в 1994 году, когда в живых осталось лишь около 300 человек, получивших на производстве поражение ипритом и люизитом в годы Великой Отечественной войны, официально утвержденная ПДК для иприта в воздухе рабочей зоны заводов в России так и не появилась. Существовала лишь неутвержденная, но тем не менее реально использовавшаяся норма — 2.10–4 мг/м3 (0,0000002 мг/л) (18649).</w:t>
      </w:r>
    </w:p>
    <w:p w14:paraId="7E67116C" w14:textId="77777777" w:rsidR="00EC1F42" w:rsidRPr="00D03F3E" w:rsidRDefault="00EC1F42" w:rsidP="00D03F3E">
      <w:pPr>
        <w:spacing w:after="0" w:line="240" w:lineRule="auto"/>
        <w:jc w:val="both"/>
        <w:rPr>
          <w:rFonts w:ascii="Times New Roman" w:hAnsi="Times New Roman"/>
          <w:color w:val="000000" w:themeColor="text1"/>
          <w:sz w:val="16"/>
          <w:szCs w:val="16"/>
        </w:rPr>
      </w:pPr>
    </w:p>
    <w:p w14:paraId="531454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года начальник отдела Первого управления НКГБ Г.Д. Овакимян представил "Справку об использовании атомной энергии". В справке в краткой форме представлены характеристики работ по урановой проблеме в США, Великобритании и, отчасти, в Германии. Отмечается, что работы в США имеют наиболее широкий размах и проходят наиболее успешно. В США действует "урановый котел". В качестве замедляющей среды для "уранового котла" были предложены углерод, тяжелая вода и бериллий. Выбор замедляющей среды был остановлен на углероде в виде графита. Вес углерода в реальном котле будет в 6-8 раз больше веса урана. Общее количество урана и углерода в "урановом котле" будет составлять около 400-600 тонн. В процессе реакции происходит накапливание элемента 94, по своим свойствам сходного с ураном-235. Материалом для изготовления бомб будет служить выделенный уран-235 или элемент 94, образующийся в урановом котле. Величина коэффициента репродукции нейтронов намного увеличивается, если уран и замедляющая среда образуют гетерогенную систему (10549).</w:t>
      </w:r>
    </w:p>
    <w:p w14:paraId="4E08B3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DDC9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первые бронекатера, выпущенные на заводе 344 в Молотове, были переданы флоту и вошли в состав Днепровской военной флотилии (3898).</w:t>
      </w:r>
    </w:p>
    <w:p w14:paraId="5D8BB9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487E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по инициативе Алексеева Гидродинамическая лаборатория для работ по судам на подводных крыльях, созданная в январе 1943, переведена в ОГК завода, осенью 1943 г. Преобразована в НИГЛ (Научно-исследовательская опытная гидродинамическая лаборатория (НИГЛ) завода № 112, филиал ЦКБ-19 МСП, ЦКБ по судам на подводных крыльях (ЦКБ по СПК) завода «Красное Сормово», ЦКБ по СПК им. Р.Е. Алексеева МСП, НПО, ОАО «ЦКБ по СПК им. Р.Е. Алексеева» ФАП /603003  г. Горький,  г. Нижний Новгород ул. Свободы, 51 тел. 73-10-37, -19-09/). Лаборатория размещена в небольшом деревянном строении на понтонах в затоне. Постройка А-4 включена в план опытного строительства НКСП с окончанием во 2-м квартале 1944 г.</w:t>
      </w:r>
    </w:p>
    <w:p w14:paraId="7C2111E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1947 г. лаборатории выдано задание по оснащению подводными крыльями серийных торпедных катеров пр. 123бис, переоборудованы опытные катера А-7, А-10, А-11. 17.04.1951 г. вышло ПСМ № 1235-621 об оснащении торпедного катера пр. 123К подводным крылом по пр. А-10бис.</w:t>
      </w:r>
    </w:p>
    <w:p w14:paraId="1BB7C5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1949 г. разработан проект первого пассажирского СПК, построена его модель А-8.</w:t>
      </w:r>
    </w:p>
    <w:p w14:paraId="741C99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08.1952 г. вышел приказ МТМ об организации НИГЛ в составе завода «Красное Сормово». По пр. МСП от 14.12.1954 г. НИГЛ передана в качестве филиала в состав ЦКБ-19 МСП. Распоряжением Горьковского СНХ от 24.12.1957 г. филиал преобразован в ЦКБ по СПК завода «Красное Сормово», в его состав вошли КБ, опытное производство, НИЛ и экспериментальная база. По пр. МСП от 14.04.1962 г. ЦКБ выделено (с 30.03.1965 г.) в самостоятельную организацию в непосредственном подчинении МСП. В 1964 г. ЦКБ - в ведении Волго-Вятского СНХ (ВВСНХ). По пр. МСП № 75/К от 14.02.1968 г. в составе ЦКБ по СПК с 4.03.1968 г. выделено два КБ: «А» - по судам на подводных крыльях; «Б» - по экранопланам; опытное производство преобразовано в самостоятельный завод «Волга». Р.Е. Алексеев снят с должности начальника-гл. конструктора ЦКБ, назначен гл. конструктором КБ «Б». ИС-1 вошла в состав КБ «А». В КБ «Б» перешли отделы: по разработке аэрогидродинамической компоновки, стартовых устройств, аэродинамики; ИС-2 и Каспийская база. Общепроектный, механический и корпусной отделы разделены между двумя КБ. Отделы прочности, стандартизации, патентов, снабжения и др. остались общими для двух КБ. Само ЦКБ по СПК вновь включено в состав завода «Красное Сормово».</w:t>
      </w:r>
    </w:p>
    <w:p w14:paraId="0845D6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1955-62 г. создан ряд пассажирских СПК. По решению МРФ РСФСР 9.09.1958 г. СПК пр. 340 «Ракета» запущено в серийное производство.</w:t>
      </w:r>
    </w:p>
    <w:p w14:paraId="7A50EA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1950-х  г. начаты работы по созданию боевых экранопланов. С 1961 г. строились самоходные пилотируемые модели экранопланов СМ-1, СМ-2,.. СМ-6.</w:t>
      </w:r>
    </w:p>
    <w:p w14:paraId="0D4F60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Помимо основной работы Р.Е. Алексеевым в 1936-53 г. спроектировано и построено 18 спортивных яхт (Р-4 «Щука», «Мир», Р-30 «Ласточка»),</w:t>
      </w:r>
    </w:p>
    <w:p w14:paraId="392C5F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составе НИГЛ - экспериментальный цех, в котором размещался первый в стране скоростной опытный бассейн для испытания моделей, стапели. В 1956 г. заводом № 112 лаборатории передан цех для организации опытного производства (далее - завод «Волга»).</w:t>
      </w:r>
    </w:p>
    <w:p w14:paraId="764C18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Имелась испытательная станция (1953 г.) на левом берегу Волги в 8 км от завода «Красное Сормово» в бухте Золотой залив. В 1953 г. организована новая испытательная станция (ИС-1) вблизи  г. Балахна на берегу незамерзающего Теплого озера. На этой станции имелся двухэтажный корпус со слесарным, механическим и сварочным участками, конструкторскими помещениями; склады с деревообделочным участком. В 1980-86 г. здесь построен экраноплан «Волга-2». Для этого был построен ангар для сборки и испытаний, участок изготовления пневмооболочек, здание стенда силовых установок, оборудован пологий спуск в воду.</w:t>
      </w:r>
    </w:p>
    <w:p w14:paraId="605CF6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1958 г. на Горьковском водохранилище (в месте впадения р. Троца) у  г. Чкаловска на площадке 2,5х 1 км начато строительство испытательной базы экранопланов ИС-2, далее это- Чкаловский филиал. Здесь в 1960-е  г. были построены опытовый бассейн, аэродинамическая труба, сборочный цех-эллинг, мастерские, лаборатории (гидродинамическая, аэротрубная, трековая) и стенды, пирс, причал, испытательная полоса длиной 2 км. В 1970-е  г. на ИС-2 создан стенд для доработки авиационных ГТД для экранопланов (были конвертированы НК-12МК, НК-8-4К). В 1976 г. Чкаловский филиал ЦКБ передан в ЦНИИ им. Крылова и перепрофилирован на исследования и испытания СВП. В 1960-е  г. на окраине  г. Каспийска на территории завода «Дагдизель» на берегу Каспийского моря создана новая испытательная база. В 1965 г. на о. Чечень в Каспийском море построена еще одна испытательная база (№ 3) и место стоянки экраноплана КМ. В 1962 г. построен инженерный корпус ЦКБ на берегу Волги. По приказам ВВСНХ от 18.09.1964 г. и по предприятию № 1 от 13.01.1965 г. на базе испытательной группы был организован летно-испытательный отдел (ЛИО). Он входил в состав летно-испытательной службы (ЛИС), в которую также вошли летный отряд (ЛО) и сектор испытаний. Для тренировки летного состава были приобретены самолеты «Супер-Аэро» и Як-12; для изучения авиационных конструкций - три списанных Ил-28.</w:t>
      </w:r>
    </w:p>
    <w:p w14:paraId="6964AF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1960-х-начале 1970-х  г. создан комплекс испытаний самоходных радиоуправляемых моделей (РУМ) на открытой воде, включавший стартовый понтон, скоростной катер сопровождения, наземный ангар, центр по расшифровке результатов; организован сектор РУМ. Для РУМ в ЦКБ был налажен серийный выпуск двигателей внутреннего сгорания МД-15, -30, -32; для управления движением моделей создана аппаратура пропорционального управления.</w:t>
      </w:r>
    </w:p>
    <w:p w14:paraId="56A3CC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1968 г. создан вычислительный центр. В 1973 г. организован отдел по испытаниям СМ-6 и пр. 904.</w:t>
      </w:r>
    </w:p>
    <w:p w14:paraId="64F177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24.04.1962 г. вышло ПСМ № 375-174 «О создании высокоскоростных кораблей противолодочной обороны и ракетоносцев пр. 1133 и 903».</w:t>
      </w:r>
    </w:p>
    <w:p w14:paraId="1E8610B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ПСМ № 357-127 от 30.04.1965 г. и пр. МСП № 0089 от 28.05.1965 г. начата разработка эскизного проекта военно-транспортного экраноплана (ВТЭ) Т-1. 28.12.1965 г. проект был готов. В 06.1966 г. работы прекращены.</w:t>
      </w:r>
    </w:p>
    <w:p w14:paraId="183CC23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26.07.1968 г. вышло постановление СМ СССР № 587-210, а 15.08.1968 г. - пр. МСП № 382 о проведении доработок КМ, о перспективных работах по созданию больших экранопланов.</w:t>
      </w:r>
    </w:p>
    <w:p w14:paraId="6DF330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1972 г. в ЦКБ введены должности гл. конструкторов проектов.</w:t>
      </w:r>
    </w:p>
    <w:p w14:paraId="25A37E7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~1975 г. Алексеев из-за аварии «Орленка» был снят с должности гл. конструктора и назначен начальником отдела (затем- сектора) перспективных разработок численностью 23 чел. Начаты работы по теме «Поиск» по созданию военных экранопланов (транспортно-десантных, противолодочных, ракетных). По 1978 г. отдел принимал участие в НИР «Взлет» (совместно с ЦНИИ им. Крылова) по перспективам развития скоростного судостроения. В 1979 г. отдел реорганизован в комплексный (со штатом около 150 чел.).</w:t>
      </w:r>
    </w:p>
    <w:p w14:paraId="0C366C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1970-е  г. по заданию ВМФ разработан проект малого сторожевого корабля на подводных крыльях пр. 133 «Антарес».</w:t>
      </w:r>
    </w:p>
    <w:p w14:paraId="1EEA4D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Планировалось строительство 120 экранопланов «Орленок», но после смерти в 1985 г. Д.Ф. Устинова программа была закрыта.</w:t>
      </w:r>
    </w:p>
    <w:p w14:paraId="1DBECC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1990 г.- работы по судам на воздушной каверне.</w:t>
      </w:r>
    </w:p>
    <w:p w14:paraId="3BAC08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Выполнена НИР «Секунда».</w:t>
      </w:r>
    </w:p>
    <w:p w14:paraId="51D9B5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(2007 г.): создание семейства морских многоцелевых катеров «Кобра» водоизмещением от 2,4 до 49 т и скоростью 60-100 узлов.</w:t>
      </w:r>
    </w:p>
    <w:p w14:paraId="280575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2000 г. на базе ЦКБ по СПК создано совместное российско-китайское предприятие.</w:t>
      </w:r>
    </w:p>
    <w:p w14:paraId="746AF57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18.12.1986 г. ЦКБ присвоено имя Р.Е. Алексеева. По решению правительства № 22-р от 9.01.2004 г. вошло в перечень стратегических предприятий. Входило в ФПГ «Скоростной флот» (2007 г.).</w:t>
      </w:r>
    </w:p>
    <w:p w14:paraId="465789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(-1955-68 Г.)- Р.Е. Алексеев, (1968-70-е)- В.В. Иконников, (1980-е)- В.Б. Чубиков, (2002 г.)- М.А. Суслов.</w:t>
      </w:r>
    </w:p>
    <w:p w14:paraId="274216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конструкторы: КБ «А» (14.02.1968 г.-&gt; И.И. Ерлыкин; КБ «Б» (14.02.1968-26.09.75 г.)- Р.Е. Алексеев (пр. 904, СМ-6) {18.12.1916-9.02.1980}.</w:t>
      </w:r>
    </w:p>
    <w:p w14:paraId="2D720F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конструктора (1956-60 г.-)- Н.А. Зайцев; по производству (1959 г.)-  Г.В. Сушин.</w:t>
      </w:r>
    </w:p>
    <w:p w14:paraId="0BC263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конструктора КБ «Б» (1968 г.-)- И.М. Шапкин.</w:t>
      </w:r>
    </w:p>
    <w:p w14:paraId="3B7108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Начальник (1.01.1943-65 г.)- Р.Е. Алексеев. Ответственный руководитель (1.01.1965-68 г.)- Р.Е. Алексеев. Начальник (1968-80 г.-)- В.В. Иконников. Гендиректор (1992 </w:t>
      </w:r>
      <w:r w:rsidRPr="00D03F3E">
        <w:rPr>
          <w:rFonts w:ascii="Times New Roman" w:hAnsi="Times New Roman"/>
          <w:color w:val="000000" w:themeColor="text1"/>
          <w:sz w:val="16"/>
          <w:szCs w:val="16"/>
        </w:rPr>
        <w:lastRenderedPageBreak/>
        <w:t>г.)- Б.В. Чубиков, (2002 г.)- И.М. Василевский, (2006 г.)- С. Платонов.</w:t>
      </w:r>
    </w:p>
    <w:p w14:paraId="7A5A94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по испытаниям (1960-е)- С.В. Моисеев; (1956-60 г.)- Н.А. Зайцев.</w:t>
      </w:r>
    </w:p>
    <w:p w14:paraId="000D4A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КБ «А» (14.02.1968 г.-)- Б.В. Садовский; КБ «Б» (14.02.1968 г.-)- И.М. Шапкин.</w:t>
      </w:r>
    </w:p>
    <w:p w14:paraId="18EE4DA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(1960-67 г.)- Н.А. Зайцев, В.А. Марков.</w:t>
      </w:r>
    </w:p>
    <w:p w14:paraId="092525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Технический директор (2002 г.)- М.А. Суслов.</w:t>
      </w:r>
    </w:p>
    <w:p w14:paraId="7120861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Руководитель ЛИС (1960-е)- С.В. Моисеев. Начальники испытательных баз (филиалов): ИС-1 - К.И. Диков, Н.С. Панов, А.И. Хохлов, В.И. Лисицын, Е.В. Маланов, С.Ю. Гусев; ИС-2 (1950-е)- В.П. Ишаков, Б.Е. Спящев, М.А. Агапыцев, Горьковского филиала ЦНИИ им. Крылова (1970-е)- П.А. Малахов; № 3 (1969 г.)- В.В. Артемов; Каспийской- М.И. Гайдарбеков.</w:t>
      </w:r>
    </w:p>
    <w:p w14:paraId="07C40A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отделов: корпусного (1966 г.)- К.М. Шалаев; механического, силовых установок (1966 г.)- П.А. Булыгин; по разработке аэрогидродинамической компоновки (1968 г.)- Б.А. Зобнин; стартовых устройств (-1968- 75 г.-)- Э.И. Привалов; корабельных систем (1975 г.)- Ю.И. Минеев; электрооборудования и электронного вооружения- К.К. Марков; оборудования помещений и судовых устройств- К.Е. Рябов; аэродинамики (-1961-68 г.- )- А.И. Маскалик; прочности (1975 г.)- Б.С. Перельман; ЛИО (13.01.1965 г.-)- п В.Ф. Логинов; по испытаниям СМ- 6 и пр. 904 (1973-75 г.-)- Б.А. Зобнин; перспективных разработок (26.09.1975 г.-)- Р.Е. Алексеев; И.М. Василевский, Л.А. Горбачев, М.П. Ярошенко.</w:t>
      </w:r>
    </w:p>
    <w:p w14:paraId="06E2B7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отдела: корпусного (1960-е)- В.А. Маслов; № 33- В.А. Дементьев.</w:t>
      </w:r>
    </w:p>
    <w:p w14:paraId="4293639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конструкторы: (1972 г.-)- Б.Ф. Орлов (пр. 133), (1972-79 г.-)- В.В. Соколов (пр. 904), (30.03.1972-76 г.)- Р.Е. Алексеев (СМ-6, пр. 904), (1985 г.)- В.В. Буланов («Стриж»), (1980-е)- И.И. Ерлыкин (пр. 03520, 12351), (1980-е- 2006 г.-)- В.Н. Кирилловых (пр. 903), (1980-е-90-е)- А.Н. Павленко (пр. 11770, 14230), В.М. Полежаев (СМ-6), И.Е. Малеханов (пр. 10391), И.И. Матвеев («Олимпия»), В.А. Дементьев («Волга-2»), Д.Н. Синицын («Акваглайдер»); по прочности (1961-2005 г.-)- Б.М. Нарицын; по гидродинамике (1959-2005 г.-)- Э.И. Привалов.</w:t>
      </w:r>
    </w:p>
    <w:p w14:paraId="2B60D4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конструкторов: (1979 г.)- С.А. Васильев (пр. 903, 904), В.А. Дементьев, (1980-е)- В.П. Ефремов (пр. 12351), В.Б. Латышенко (пр. 903).</w:t>
      </w:r>
    </w:p>
    <w:p w14:paraId="3CBD61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судовой архитектор-дизайнер- О.П. Фролов.</w:t>
      </w:r>
    </w:p>
    <w:p w14:paraId="484493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Начальники секторов: испытаний (1960-е)- </w:t>
      </w:r>
      <w:r w:rsidRPr="00D03F3E">
        <w:rPr>
          <w:rFonts w:ascii="Times New Roman" w:hAnsi="Times New Roman"/>
          <w:color w:val="000000" w:themeColor="text1"/>
          <w:sz w:val="16"/>
          <w:szCs w:val="16"/>
          <w:lang w:val="en-US"/>
        </w:rPr>
        <w:t>A</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M</w:t>
      </w:r>
      <w:r w:rsidRPr="00D03F3E">
        <w:rPr>
          <w:rFonts w:ascii="Times New Roman" w:hAnsi="Times New Roman"/>
          <w:color w:val="000000" w:themeColor="text1"/>
          <w:sz w:val="16"/>
          <w:szCs w:val="16"/>
        </w:rPr>
        <w:t>. Петров. Начальники: средств обеспечения (1966 г.)- В. Г. Голяткин; команды техобслуживания (1966 г.)- Н.Н. Лукьянченко. Начальник ВЦ- Д.И. Волов.</w:t>
      </w:r>
    </w:p>
    <w:p w14:paraId="09E4CE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Ведущие конструкторы: В.П. Ефремов (КМ), (1969 г.)- В.М. Полежаев (СМ-6), (1965 г.)- В.В. Соколов (Т-1), (- 1969-80-е)- О.А. Черемухин, (1962 г.)- В.И. Шадрин.</w:t>
      </w:r>
    </w:p>
    <w:p w14:paraId="29E2E0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Создано: катера на подводных крыльях: А-4 (1943-44), А-5 (1945), торпедные А-7 (123бис, 1947), А-10 и А-11 (М-123бис, 1950), А-10бис (123К, 1952), К-123К (1953), А-1-д (пр. 183, 1953), А-1-20 (пр. 183ТК, 1955); А-8 (1949), разъездной «Волга» (1957), прогулочные: морской «Невка» (1967), «Дельфин» (1979); малый сторожевой пр. 133 «Антарес» (1978); СПК: речные пр. 340 «Ракета» (1956), пр. 342 «Метеор» (1958), сварной пр. 343 «Спутник» (1961), «Чайка» (1962), газотурбоход пр. 1708 «Буревестник» (1963), пр. 1709 «Беларусь» (1963); морские пр. 342МТ «Комета» (1961), «Стрела» (1961), пр. 330 «Вихрь» (1962), «Тайфун» (1969), «Альбатрос (1985), пр. 12351 «Циклон» (1985), «Ласточка» (1986), «Олимпия» (1993); «Восход», пр. 03520 «Восход-2» (1974), «Полесье» (1980), пр. 10391 «Колхида» (1981), «Зенит» (проект); суда на воздушной каверне: десантный катер пр. 11770 «Серна» (1990-е), «Линда», «Меркурий», патрульный пр. 14230 «Согжой» (1990-е), таможенное судно пр. 14232 «Меркурий», десантное типа «Дюгонь» (2000-е); патрульный катер пр. 21850 «Чибис»;</w:t>
      </w:r>
    </w:p>
    <w:p w14:paraId="7FCFDF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экранотаны: СМ-1 (самоходная модель, 1960-61), СМ-2 (1962), СМ-2П7 (1964), СМ-3 (1962), СМ-4 (1963), СМ-5 (1963), СМ-8 (1967), КМ («Корабль-макет», «Каспийский монстр», 1962-66), военно-транспортный Т-1 (проект, 1965), СМ-6 (1969), пр. 903 «Лунь» с ПКР «Москит» (1961-81), десантный пр. 904 «Орленок» (1972, пнв в 11.1979 г.), УТ-1 (1968), СМ-9 (1977), СМ-10 (1979), СМ-11 (1979), учебно-тренировочный «Стриж» (1985-90), «Волга-2» (1979-80), пр. 09037 «Спасатель» (1987), «Акваглайдер», «Коршун» (проект), «Ястреб» (проект), «Чиж» (проект), пассажирский «Чайка» (проект), «Ракета-2» (проект), «Метеор-2» (проект), «Комета-2» (проект), «Вихрь-2» (проект).</w:t>
      </w:r>
      <w:r w:rsidRPr="00D03F3E">
        <w:rPr>
          <w:rFonts w:ascii="Times New Roman" w:hAnsi="Times New Roman"/>
          <w:color w:val="000000" w:themeColor="text1"/>
          <w:sz w:val="16"/>
          <w:szCs w:val="16"/>
          <w:vertAlign w:val="superscript"/>
        </w:rPr>
        <w:t>141</w:t>
      </w:r>
    </w:p>
    <w:p w14:paraId="64C48D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Опытный завод «Волга», Судостроительный завод «Волга», ОАО «Судостроительный завод «Волга»</w:t>
      </w:r>
    </w:p>
    <w:p w14:paraId="63845DE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/603603 (603950)  г. Горький, Нижний Новгород ул. Свободы, 51 тел. 73-08-23/</w:t>
      </w:r>
    </w:p>
    <w:p w14:paraId="6812A3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Опытное производство ЦКБ по СПК создано в 1956 г. на базе цеха завода № 112. Уникальное производство, созданное на стыке авиационной и судостроительной технологий для отработки постройки и натурных испытаний экранопланов. По пр. МСП № 75/К от 14.02.1968 г. опытное производство ЦКБ по СПК преобразовано в самостоятельный завод, с 21.12.1970 г. - опытный завод «Волга» ЦКБ по СПК.</w:t>
      </w:r>
    </w:p>
    <w:p w14:paraId="2E0B14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решению правительства № 22-р от 9.01.2004 г. вошло в перечень стратегических предприятий. Входило в ФПГ «Скоростной флот» (2007 г.).</w:t>
      </w:r>
    </w:p>
    <w:p w14:paraId="7A0FBF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2008 г. планировалась постройка 5 десантных катеров на воздушной каверне типа «Дюгонь».</w:t>
      </w:r>
    </w:p>
    <w:p w14:paraId="492434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ОП-  Г.В. Сушин. Директор (1968 г.-)- В.Н. Аверьянов, Н.И. Лепилов, (2006 г.)- В. Сурков.</w:t>
      </w:r>
    </w:p>
    <w:p w14:paraId="0D1102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А.И. Коносов, В. Г. Алексеев.</w:t>
      </w:r>
    </w:p>
    <w:p w14:paraId="608CA03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технолог- Н.И. Лопатин.</w:t>
      </w:r>
    </w:p>
    <w:p w14:paraId="0DEBE0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технолога- В.Н. Аверкин.</w:t>
      </w:r>
    </w:p>
    <w:p w14:paraId="2D0722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катера: разъездной «Волга» (1958), десантный пр. 11770 «Серна» для ОАЭ (1990-е)- 3; служебно-разъездной пр. 14620 «Дельфин» (2000-е); десантный на воздушной каверне типа «Дюгонь» (2006-); патрульный пр. 21850 «Чибис» (2006); пассажирские теплоходы на подводных крыльях: пр. 340 «Ракета», пр. 342 «Метеор» (12.1958-10.1959), пр. 343 «Спутник» (1961), пр. 330 «Вихрь» (1961), «Комета» (1961), пр. 1708 «Буревестник» (1964), «Катран», «Ласточка» для Китая (2005); экранотаны: КМ (25.04.1963-66)- 1, СМ-6 (- 12.1970), пр. 904 «Орленок» МДЭ-150 (С-21, 1970-79), «Дубль» (экземпляр для статиспытаний), МДЭ-155 (С-25, 1981), МДЭ-160 (С-26, 1983); С-23 (1972); пр. 903Р «Лунь» МД-160 (С-31, 1983-07.1986)- 1; учебно- тренировочный «Стриж» (С-11, 1991), С-12 (экземпляр для статиспытаний); поисково-спасательный пр. 09037 «Спасатель» (С-33, 1986-2005-); таможенное судно «Сокжой» пр. 14232 «Меркурий» (-2005) (11982).</w:t>
      </w:r>
    </w:p>
    <w:p w14:paraId="05B944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97AA8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завод № 206 (ГС завод № 206 НКОП, НКСП, МСП, МТиТМ, Завод точного приборостроения «Водтрансприбор» НКВТ, Завод специального приборостроения «Водтрансприбор» НКТП, МСП, ГП, ОАО «Водтрансприбор» /г. Ленинград, 51 п/я 731 (1936 г.);  г. Омск/ /197342  г. Санкт-Петербург ул. Сердобольская, 64/) продолжал действовать в Ленинграде. В 11.1944 г. завод реэвакуирован из Омска на старое место.</w:t>
      </w:r>
    </w:p>
    <w:p w14:paraId="687594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1946 г. завод № 206 - в ведении МСП, МТиТМ (03.1953-05.1954 г.), затем- вновь в МСП. В 1955 г. Государственный завод № 206 присоединен к организации «п/я 731» как опытный завод.</w:t>
      </w:r>
      <w:r w:rsidRPr="00D03F3E">
        <w:rPr>
          <w:rFonts w:ascii="Times New Roman" w:hAnsi="Times New Roman"/>
          <w:color w:val="000000" w:themeColor="text1"/>
          <w:sz w:val="16"/>
          <w:szCs w:val="16"/>
          <w:vertAlign w:val="superscript"/>
        </w:rPr>
        <w:t>131</w:t>
      </w:r>
    </w:p>
    <w:p w14:paraId="01D4601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1946 г. при заводе образовано ОКБ-206 для разработки ГА аппаратуры.</w:t>
      </w:r>
    </w:p>
    <w:p w14:paraId="4B7776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1959-66 г. освоен выпуск 20 типов ГАС.</w:t>
      </w:r>
    </w:p>
    <w:p w14:paraId="411C0A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1965 г. на заводе образована регулировочно-сдаточная служба для отладки ГА комплексов на кораблях ВМФ. Служба имела 7 регулировочно-сдаточных баз на основных ССЗ и СРЗ. В 05.1991 г. решением МСП на ее базе создано ГП «Водтрансприбор-Пуск».</w:t>
      </w:r>
    </w:p>
    <w:p w14:paraId="6BD610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Ведущее предприятие страны по производству ГАК для ПЛ.</w:t>
      </w:r>
    </w:p>
    <w:p w14:paraId="0E314B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1973 по 1991 г. завод входил в состав НПО «Океанприбор». В 1993 г. ГП преобразовано в ОАО «Водтрансприбор». По решению правительства № 22-р от 9.01.2004 г. вошло в перечень стратегических предприятий.</w:t>
      </w:r>
    </w:p>
    <w:p w14:paraId="142018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Имелись производства (2006 г.): механообрабатывающее, заготовительное, сварочное, компрессионное формирование и литье РТИ, переработка пластмасс, сборочно-монтажное, окрасочное, нанесение покрытий, изготовление герметичных металло-стеклянных вводов. Имелась лаборатория надежности с оборудованием для испытаний: механических, гидростатических, климатических</w:t>
      </w:r>
    </w:p>
    <w:p w14:paraId="2E507A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Производственные площади (начало 1941 г.)- более 13 тыс.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(09.1941 г.)- 4700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(конец 1941 г.)- 5600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w:t>
      </w:r>
    </w:p>
    <w:p w14:paraId="6066C37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(-02-28.07.1937 г.)- С.Т. Баркунцев, (28.07.1937-05.1938 г.-)- Ф.А. Мотиенко, (1941 г.)- Соколов, (1942 г.)- Постнов, (1962-76 г.)- Л.И. Вороничев.</w:t>
      </w:r>
    </w:p>
    <w:p w14:paraId="6164E9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директора (06.1937 г.)- Ф.Ф. Дьяконов. Помощник директора по найму и увольнению (7.12.1938 г.-)- Я.А. Бычков.</w:t>
      </w:r>
    </w:p>
    <w:p w14:paraId="7754E0E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(-06-25.09.1937 г.)- Ф.Ф. Дьяконов, (25.09.1937 г.-)- С.С. Тец, (1939-40 г.)-  Г.В. Петров.</w:t>
      </w:r>
    </w:p>
    <w:p w14:paraId="0E445D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Создано: ультраакустический прибор связи (1937).</w:t>
      </w:r>
    </w:p>
    <w:p w14:paraId="6FD131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звуковые приборы связи (1937); гидроакустический пеленгатор УКЗ (1937); изделия «Арктур», «Марс», «Сириус», «Земля», «Меркурий», «Альбион» (1938); эхолоты (1938); ГАС: «Орион» (1940), «Тамир-1» для кораблей (1940-), «Тамир» для ПЛ (1941), «Вега» (1960-е); шумопеленгаторы: для линкоров и ПЛ (1937), «Марс» (ВОВ); приборы измерения шума (1957);™^™ усилители: «Бриг-001, У-001С».</w:t>
      </w:r>
    </w:p>
    <w:p w14:paraId="47673216" w14:textId="77777777" w:rsidR="00DB6725" w:rsidRPr="00D03F3E" w:rsidRDefault="00DB672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Особое КБ № 206 (ОКБ-206), НИИ-3 МСП, ГКРЭ, ЦНИИ «Морфизприбор»,</w:t>
      </w:r>
    </w:p>
    <w:p w14:paraId="5CF948A3" w14:textId="77777777" w:rsidR="00DB6725" w:rsidRPr="00D03F3E" w:rsidRDefault="00DB672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ФГУП ЦНИИ «Морфизприбор» /197376  г. Ленинград,  г. Санкт-Петербург Чкаловский пр., 46 тел. 320-80-40/</w:t>
      </w:r>
    </w:p>
    <w:p w14:paraId="62647C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ОКБ-206 образовано в 1946 г. для разработки гидроакустической аппаратуры. В 1949 г. преобразовано в НИИ-3 гидролокации и гидроакустики МСП. В ~1958 г. передан в ведение ГКРЭ. В 1966 г. переименован в ЦНИИ «Морфизприбор», стал головным предприятием страны в области военной гидроакустики.</w:t>
      </w:r>
    </w:p>
    <w:p w14:paraId="4407C69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Разработка гидроакустических станций (ГАС) и комплексов (ГАК) для надводных кораблей (НК) и ПЛ, береговых станций. В начале 1960-х  г. началась разработка средств гидроакустического противодействия. Изучались проблемы гидрологии моря.</w:t>
      </w:r>
    </w:p>
    <w:p w14:paraId="795B1F4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1959 г. введен в эксплуатацию Ладожский гидроакустический полигон, в 1960-е  г. в институте построен уникальный гидроакустический бассейн размером 50х 14х 10м.</w:t>
      </w:r>
    </w:p>
    <w:p w14:paraId="37CC6B2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Действовал филиал Камчатского гидрофизического института.</w:t>
      </w:r>
    </w:p>
    <w:p w14:paraId="383832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11.10.1960 г. вышло распоряжение правительства № 3083-рс об изготовлении и испытаниях ГАС «Лань».</w:t>
      </w:r>
    </w:p>
    <w:p w14:paraId="5EECB5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ПСМ № 605-198 от 4.07.1967 г. ГАС «Вега» пнв; пост. № 534-183 от 10,07.1969 г. ГАС «Амур» пнв.</w:t>
      </w:r>
    </w:p>
    <w:p w14:paraId="39EC06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Направления работ (2005 г.): многофункциональные пассивные и активные ГАС и ГАК освещения подводной обстановки для ПЛ, кораблей, ЛА, системы обнаружения подводных пловцов; активные и пассивные стационарные ГАК для защиты шельфовой зоны; гидроакустические навигационные и поисково- обследовательские системы; ГА преобразователи, антенны, ФАР; акустические экраны и звукопрозрачные обтекатели; системы передачи информации по акустическому каналу; адаптивные системы обработки гидроакустической информации; классификаторы целей; измерители скорости звука для кораблей и ПЛ.</w:t>
      </w:r>
    </w:p>
    <w:p w14:paraId="2EB4D4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2005 г. создано около 120 систем.</w:t>
      </w:r>
    </w:p>
    <w:p w14:paraId="6A5BF1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(2005 г.)- около 2000 чел.</w:t>
      </w:r>
      <w:r w:rsidRPr="00D03F3E">
        <w:rPr>
          <w:rFonts w:ascii="Times New Roman" w:hAnsi="Times New Roman"/>
          <w:color w:val="000000" w:themeColor="text1"/>
          <w:sz w:val="16"/>
          <w:szCs w:val="16"/>
          <w:vertAlign w:val="superscript"/>
        </w:rPr>
        <w:t>101</w:t>
      </w:r>
    </w:p>
    <w:p w14:paraId="64491A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Гендиректор (2003 г.)- Ю. Корякин.</w:t>
      </w:r>
    </w:p>
    <w:p w14:paraId="638B1D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Я. Карлик (БГАС).</w:t>
      </w:r>
    </w:p>
    <w:p w14:paraId="6B0453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конструкторы: (1963 г.)- Н.Н. Свиридов («Рубин»),</w:t>
      </w:r>
    </w:p>
    <w:p w14:paraId="1FF463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отделения: (2003 г.)- С. Смирнов.</w:t>
      </w:r>
    </w:p>
    <w:p w14:paraId="7D9E31CF" w14:textId="77777777" w:rsidR="00F40F30"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D03F3E">
        <w:rPr>
          <w:rFonts w:ascii="Times New Roman" w:hAnsi="Times New Roman"/>
          <w:color w:val="000000" w:themeColor="text1"/>
          <w:sz w:val="16"/>
          <w:szCs w:val="16"/>
        </w:rPr>
        <w:t>Создано: ГАС: для НК «Пегас-2М», «Геркулес» (1956-57), с опускаемой антенной «Шелонь», дальнего обнаружения ПЛ «Орион», миноискания «Олень» и «Лань» (1960-е), для обнаружения подводных пловцов «Паллада» (2000-е); ГАК: «Платина» для ПЛК (1970-е), «Полином» для кораблей I и II ранга (1970-е), «Днестр» (1990-е), экспортные МГК-335ЭМ, «Виньетка-ЭМ», «Веста-К» (2000-е); для ПЛ «Феникс», «Плутоний» (1956- 57), «Рубин» для целеуказания КР ПЛ П-70 «Аметист» (1963), «Океан» для ПЛ пр. 705, «Скат-БРДМ», «Скат- Плавник», «Рубикон» (1960-е), «Скат-3», «Иртыш-Амфора» (2000-е), «Минотавр», экспортная МГК-400ЭМ (2000-е); береговые: «Волхов» (1950-е), протяженного гидроакустического рубежа «Лиман», шумопеленгаторные ГАС дальнего обнаружения подводных объектов (БГАС) «Амур» (пнв 10.07.1969 г.), «Агам» (1970-е); позиционная инфразвуковая система для прикрытия пунктов базирования кораблей «Лиман-М», унифицированная аппаратура гидроакустической связи и опознавания «Штиль»; измеритель скорости звука в морской воде МГ-543ЭМ (2000-е).</w:t>
      </w:r>
      <w:r w:rsidRPr="00D03F3E">
        <w:rPr>
          <w:rFonts w:ascii="Times New Roman" w:hAnsi="Times New Roman"/>
          <w:color w:val="000000" w:themeColor="text1"/>
          <w:sz w:val="16"/>
          <w:szCs w:val="16"/>
          <w:vertAlign w:val="superscript"/>
        </w:rPr>
        <w:t>23</w:t>
      </w:r>
    </w:p>
    <w:p w14:paraId="38E9BF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ГП «Водтрансприбор-Пуск» МСП, ФГУП, ОАО «Водтрансприбор-Пуск» /197342  г. Санкт-Петербург ул. Сердобольская, 64 тел. 242-29-11, -18-53/</w:t>
      </w:r>
    </w:p>
    <w:p w14:paraId="7A6DCB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ГП «Водтрансприбор-Пуск» создано решением МСП в 05.1991 г. на базе регулировочно-сдаточной службы завода «Водтрансприбор» для отладки гидроакустических комплексов на кораблях ВМФ. Предприятие приняло участие в оснащении РЭВ нескольких сотен судов.</w:t>
      </w:r>
    </w:p>
    <w:p w14:paraId="61228B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06.1999 г. получило статус ФГУП, в 01.2005 г. преобразовано в ОАО. Входит в ассоциацию «Океанприбор» (2003 г.).</w:t>
      </w:r>
    </w:p>
    <w:p w14:paraId="0556A1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Гендиректор (1991-2005 г.-)- Б.А. Ергин (11982).</w:t>
      </w:r>
    </w:p>
    <w:p w14:paraId="676D6B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B0D12C"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7955840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B836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вышло правительственное постанов</w:t>
      </w:r>
      <w:r w:rsidRPr="00D03F3E">
        <w:rPr>
          <w:rFonts w:ascii="Times New Roman" w:hAnsi="Times New Roman"/>
          <w:color w:val="000000" w:themeColor="text1"/>
          <w:sz w:val="16"/>
          <w:szCs w:val="16"/>
        </w:rPr>
        <w:softHyphen/>
        <w:t>ление об усилении и развитии авиации дальнего дейст</w:t>
      </w:r>
      <w:r w:rsidRPr="00D03F3E">
        <w:rPr>
          <w:rFonts w:ascii="Times New Roman" w:hAnsi="Times New Roman"/>
          <w:color w:val="000000" w:themeColor="text1"/>
          <w:sz w:val="16"/>
          <w:szCs w:val="16"/>
        </w:rPr>
        <w:softHyphen/>
        <w:t>вия. Хотя оно не было доведено до сведения всех главных конструкторов, в октябре 1943 г., работая над проектом НБ, из анализа тенденций данного вида тех</w:t>
      </w:r>
      <w:r w:rsidRPr="00D03F3E">
        <w:rPr>
          <w:rFonts w:ascii="Times New Roman" w:hAnsi="Times New Roman"/>
          <w:color w:val="000000" w:themeColor="text1"/>
          <w:sz w:val="16"/>
          <w:szCs w:val="16"/>
        </w:rPr>
        <w:softHyphen/>
        <w:t>ники Николай Николаевич понял, что и НБ, и другие дальние бомбардировщики скоро не будут удовлетво</w:t>
      </w:r>
      <w:r w:rsidRPr="00D03F3E">
        <w:rPr>
          <w:rFonts w:ascii="Times New Roman" w:hAnsi="Times New Roman"/>
          <w:color w:val="000000" w:themeColor="text1"/>
          <w:sz w:val="16"/>
          <w:szCs w:val="16"/>
        </w:rPr>
        <w:softHyphen/>
        <w:t>рять перспективным требованиям. На повестке дня стояла задача создания тяжелого стратегического бомбар</w:t>
      </w:r>
      <w:r w:rsidRPr="00D03F3E">
        <w:rPr>
          <w:rFonts w:ascii="Times New Roman" w:hAnsi="Times New Roman"/>
          <w:color w:val="000000" w:themeColor="text1"/>
          <w:sz w:val="16"/>
          <w:szCs w:val="16"/>
        </w:rPr>
        <w:softHyphen/>
        <w:t>дировщика с хорошими летными характеристиками и большой бомбовой нагрузкой. Опыт боевого примене</w:t>
      </w:r>
      <w:r w:rsidRPr="00D03F3E">
        <w:rPr>
          <w:rFonts w:ascii="Times New Roman" w:hAnsi="Times New Roman"/>
          <w:color w:val="000000" w:themeColor="text1"/>
          <w:sz w:val="16"/>
          <w:szCs w:val="16"/>
        </w:rPr>
        <w:softHyphen/>
        <w:t>ния Пе-8, авиации союзников против Германии и Япо</w:t>
      </w:r>
      <w:r w:rsidRPr="00D03F3E">
        <w:rPr>
          <w:rFonts w:ascii="Times New Roman" w:hAnsi="Times New Roman"/>
          <w:color w:val="000000" w:themeColor="text1"/>
          <w:sz w:val="16"/>
          <w:szCs w:val="16"/>
        </w:rPr>
        <w:softHyphen/>
        <w:t>нии показал, что воздушные налеты имеют успех, если бомбардировщики имеют мощное оборонительное во</w:t>
      </w:r>
      <w:r w:rsidRPr="00D03F3E">
        <w:rPr>
          <w:rFonts w:ascii="Times New Roman" w:hAnsi="Times New Roman"/>
          <w:color w:val="000000" w:themeColor="text1"/>
          <w:sz w:val="16"/>
          <w:szCs w:val="16"/>
        </w:rPr>
        <w:softHyphen/>
        <w:t>оружение, способное на дальних дистанциях расстрели</w:t>
      </w:r>
      <w:r w:rsidRPr="00D03F3E">
        <w:rPr>
          <w:rFonts w:ascii="Times New Roman" w:hAnsi="Times New Roman"/>
          <w:color w:val="000000" w:themeColor="text1"/>
          <w:sz w:val="16"/>
          <w:szCs w:val="16"/>
        </w:rPr>
        <w:softHyphen/>
        <w:t>вать атакующие истребители ПВО противника, обладают хорошей живучестью (10667).</w:t>
      </w:r>
    </w:p>
    <w:p w14:paraId="15FE5B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0082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года А-20 "Бостон" торпедоносцы поступили на север. Там ими стали пополнять 9-й гвардейский минно-торпедный полк, ранее оснащенный Ил-4 и английскими "Хэмпденами" (3457,107).</w:t>
      </w:r>
    </w:p>
    <w:p w14:paraId="609626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45E7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апреля 1943 была восстановлена войсковая авиация и мехкорпуса, потерявшие авиацию с начала войны, вновь получили войсковую авиацию - звено связи из 3-х самолетов (2606,35).</w:t>
      </w:r>
    </w:p>
    <w:p w14:paraId="43BD9E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890B7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сформировали инспекцию ВВС во главе с г И.Л.Тюркелем - проверяли готовность формируемых резервов, маневрировали частями между фронтами, расследовала причины больших потерь, понесенных в отдельных операциях, участвовала в подготовке ак и ад РГВК к боевым действиям (340,155).</w:t>
      </w:r>
    </w:p>
    <w:p w14:paraId="108A30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79F8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в ходе выработки плана предстоящих действии в летнюю кампанию, разведке удалось своевременно вскрыть ПОДГОТОВКУ противника к наступлению на Курской дуге и примерную дату начала операции (6001,21).</w:t>
      </w:r>
    </w:p>
    <w:p w14:paraId="024A7A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47C3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года первые С-47, поступившие в СССР, начали использовать для обслуживания самой Красноярской трассы. Ими заменили изношенные ПС-84, ранее работавшие здесь и первоначально выделенные из состава Московской авиагруппы ГВФ свели к транспортную эскадрилью (из 20 экипажей) (3457,134).</w:t>
      </w:r>
    </w:p>
    <w:p w14:paraId="221F05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24F4A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года Василий Сталин получил «боевое» ранение своим же РС-82 во время неудачной рыбалки. 32-м гвардейским ИАП (быв</w:t>
      </w:r>
      <w:r w:rsidRPr="00D03F3E">
        <w:rPr>
          <w:rFonts w:ascii="Times New Roman" w:hAnsi="Times New Roman"/>
          <w:color w:val="000000" w:themeColor="text1"/>
          <w:sz w:val="16"/>
          <w:szCs w:val="16"/>
        </w:rPr>
        <w:softHyphen/>
        <w:t>шим 434 ИАП) стал командовать Герой Совет</w:t>
      </w:r>
      <w:r w:rsidRPr="00D03F3E">
        <w:rPr>
          <w:rFonts w:ascii="Times New Roman" w:hAnsi="Times New Roman"/>
          <w:color w:val="000000" w:themeColor="text1"/>
          <w:sz w:val="16"/>
          <w:szCs w:val="16"/>
        </w:rPr>
        <w:softHyphen/>
        <w:t>ского Союза подполковник В.И. Давидков (10723).</w:t>
      </w:r>
    </w:p>
    <w:p w14:paraId="73CB4D6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64C62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С.Н.Анохин и Ю.Желютов выполнили единственный в ВОВ старт планера с партизанского аэродрома - на коротком троссе за СБ поднял планер с раненными (5490, 29).</w:t>
      </w:r>
    </w:p>
    <w:p w14:paraId="0A1385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431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1943-го несмотря на ограниченные размеры партизанского аэродрома и загрузку планера (на нём находились раненые партизаны, которых было необходимо срочно доставить в госпиталь), Сергей Николаевич Анохин мастерски произвел взлёт на коротком тросе за самолётом СБ. Жизнь раненых была спасена. За этот подвиг Анохин получил свою первую награду-орден Красного Знамени. Это был единственный за время войны взлет планера с партизанского аэродрома (5996).</w:t>
      </w:r>
    </w:p>
    <w:p w14:paraId="7DF0B0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C319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года Герой Советского Союза В.П.Драгомирецкий из 14-го гвардейского полка ночью с применением осветительных бомб снял мост через Десну, а в мае таким же способом - железнодорожный узел в Орле (3457,94).</w:t>
      </w:r>
    </w:p>
    <w:p w14:paraId="78BECE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0163D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ап</w:t>
      </w:r>
      <w:r w:rsidRPr="00D03F3E">
        <w:rPr>
          <w:rFonts w:ascii="Times New Roman" w:hAnsi="Times New Roman"/>
          <w:color w:val="000000" w:themeColor="text1"/>
          <w:sz w:val="16"/>
          <w:szCs w:val="16"/>
        </w:rPr>
        <w:softHyphen/>
        <w:t>реля 1943 г. самоходная артиллерия, как род войск, была переподчинена командующему бронетанковыми и механи</w:t>
      </w:r>
      <w:r w:rsidRPr="00D03F3E">
        <w:rPr>
          <w:rFonts w:ascii="Times New Roman" w:hAnsi="Times New Roman"/>
          <w:color w:val="000000" w:themeColor="text1"/>
          <w:sz w:val="16"/>
          <w:szCs w:val="16"/>
        </w:rPr>
        <w:softHyphen/>
        <w:t>зированными войсками Красной Армии (11417).</w:t>
      </w:r>
    </w:p>
    <w:p w14:paraId="0F5F22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BA0B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апреля 1943 г. САП стали однородного состава. Полки, получающие на вооружение СУ-122, формировались по штату № 010/453 (255 чел, 16 СУ-122 и 1 Т-34), самоходно-артиллерийские полки СУ-76 формиро</w:t>
      </w:r>
      <w:r w:rsidRPr="00D03F3E">
        <w:rPr>
          <w:rFonts w:ascii="Times New Roman" w:hAnsi="Times New Roman"/>
          <w:color w:val="000000" w:themeColor="text1"/>
          <w:sz w:val="16"/>
          <w:szCs w:val="16"/>
        </w:rPr>
        <w:softHyphen/>
        <w:t>вались по штату № 010/456 (253 человека и 21 САУ или 20 САУ и танк Т-70) и состояли из пяти батарей, а также под</w:t>
      </w:r>
      <w:r w:rsidRPr="00D03F3E">
        <w:rPr>
          <w:rFonts w:ascii="Times New Roman" w:hAnsi="Times New Roman"/>
          <w:color w:val="000000" w:themeColor="text1"/>
          <w:sz w:val="16"/>
          <w:szCs w:val="16"/>
        </w:rPr>
        <w:softHyphen/>
        <w:t>разделения обеспечения. Тяжелые же САП РВГК перево</w:t>
      </w:r>
      <w:r w:rsidRPr="00D03F3E">
        <w:rPr>
          <w:rFonts w:ascii="Times New Roman" w:hAnsi="Times New Roman"/>
          <w:color w:val="000000" w:themeColor="text1"/>
          <w:sz w:val="16"/>
          <w:szCs w:val="16"/>
        </w:rPr>
        <w:softHyphen/>
        <w:t>дились на штат № 010/454, отличавшийся от предыдущего добавлением танка КВ-1С для командира полка и легкого бронеавтомобиля разведки и связи (11417).</w:t>
      </w:r>
    </w:p>
    <w:p w14:paraId="2F53E53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8CC8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апреля 1943 стали формироваться артиллерийские корпуса прорыва из двух дивизий прорыва и одной гвардейской минометной дивизии. Всего 712 орудий и минометов и 432 пусковых установки (359,175).</w:t>
      </w:r>
    </w:p>
    <w:p w14:paraId="73F92F3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9608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в штат корпуса вошел также истребительно-противотанковый артиллерийский полк (ИПТАП 20 45-мм пушек), а также истребительно-проти</w:t>
      </w:r>
      <w:r w:rsidRPr="00D03F3E">
        <w:rPr>
          <w:rFonts w:ascii="Times New Roman" w:hAnsi="Times New Roman"/>
          <w:color w:val="000000" w:themeColor="text1"/>
          <w:sz w:val="16"/>
          <w:szCs w:val="16"/>
        </w:rPr>
        <w:softHyphen/>
        <w:t>вотанковый дивизион (12 85-мм противотанковых пушек обр. 1941 г.). Однако в августе 1943 г. их сменили два само-ходно-артиллерийских полка (на СУ-76 и СУ-152). В ок</w:t>
      </w:r>
      <w:r w:rsidRPr="00D03F3E">
        <w:rPr>
          <w:rFonts w:ascii="Times New Roman" w:hAnsi="Times New Roman"/>
          <w:color w:val="000000" w:themeColor="text1"/>
          <w:sz w:val="16"/>
          <w:szCs w:val="16"/>
        </w:rPr>
        <w:softHyphen/>
        <w:t>тябре в отдельных танковых корпусах, а в ноябре во всех остальных вместо бронеавтомобильного батальона вводит</w:t>
      </w:r>
      <w:r w:rsidRPr="00D03F3E">
        <w:rPr>
          <w:rFonts w:ascii="Times New Roman" w:hAnsi="Times New Roman"/>
          <w:color w:val="000000" w:themeColor="text1"/>
          <w:sz w:val="16"/>
          <w:szCs w:val="16"/>
        </w:rPr>
        <w:softHyphen/>
        <w:t>ся отдельный мотоциклетный батальон, состоявший из двух мотоциклетных, одной танковой рот, роты бронетран</w:t>
      </w:r>
      <w:r w:rsidRPr="00D03F3E">
        <w:rPr>
          <w:rFonts w:ascii="Times New Roman" w:hAnsi="Times New Roman"/>
          <w:color w:val="000000" w:themeColor="text1"/>
          <w:sz w:val="16"/>
          <w:szCs w:val="16"/>
        </w:rPr>
        <w:softHyphen/>
        <w:t>спортеров и истребительно-противотанковой артиллерий</w:t>
      </w:r>
      <w:r w:rsidRPr="00D03F3E">
        <w:rPr>
          <w:rFonts w:ascii="Times New Roman" w:hAnsi="Times New Roman"/>
          <w:color w:val="000000" w:themeColor="text1"/>
          <w:sz w:val="16"/>
          <w:szCs w:val="16"/>
        </w:rPr>
        <w:softHyphen/>
        <w:t>ской батареи (45-мм пушки) (11135).</w:t>
      </w:r>
    </w:p>
    <w:p w14:paraId="4BDDAC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3F8F8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года ЦШПД был восстановлен (8983).</w:t>
      </w:r>
    </w:p>
    <w:p w14:paraId="2B723E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CC1CE2" w14:textId="77777777" w:rsidR="00F40F30" w:rsidRPr="00D03F3E" w:rsidRDefault="00F40F30" w:rsidP="00D03F3E">
      <w:pPr>
        <w:pStyle w:val="book"/>
        <w:ind w:firstLine="0"/>
        <w:jc w:val="both"/>
        <w:rPr>
          <w:color w:val="000000" w:themeColor="text1"/>
          <w:sz w:val="16"/>
          <w:szCs w:val="16"/>
        </w:rPr>
      </w:pPr>
      <w:r w:rsidRPr="00D03F3E">
        <w:rPr>
          <w:color w:val="000000" w:themeColor="text1"/>
          <w:sz w:val="16"/>
          <w:szCs w:val="16"/>
        </w:rPr>
        <w:t>В апреле 1943 г. в результате реорганизации трофейной службы при ГКО вместо двух комиссий и управления был создан Трофейный комитет во главе с Маршалом Советского Союза К.Е. Ворошиловым. Соответствующая реорганизация была проведена в оперативном и войсковом звеньях. Началось формирование новых трофейных частей. Усиливалось армейское звено за счет создания трофейных батальонов и специальных демонтажных взводов при трофейных складах. Воздушным армиям были приданы специальные технические трофейные роты, во фронтах сформированы трофейные бригады (15225).</w:t>
      </w:r>
    </w:p>
    <w:p w14:paraId="297CE3F1" w14:textId="77777777" w:rsidR="00F40F30" w:rsidRPr="00D03F3E" w:rsidRDefault="00F40F30" w:rsidP="00D03F3E">
      <w:pPr>
        <w:pStyle w:val="book"/>
        <w:ind w:firstLine="0"/>
        <w:jc w:val="both"/>
        <w:rPr>
          <w:color w:val="000000" w:themeColor="text1"/>
          <w:sz w:val="16"/>
          <w:szCs w:val="16"/>
        </w:rPr>
      </w:pPr>
    </w:p>
    <w:p w14:paraId="231B06F3" w14:textId="77777777" w:rsidR="00A32DCA" w:rsidRPr="00D03F3E" w:rsidRDefault="00A32DC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В апреле 1943 г., в дни военного затишья на фронте, Василий Сталин развлекался рыбалкой на речке близ г. Осташкове. Рыбу глушили с помощью реактивных авиационных снарядов (PC). Один из снарядов взорвался в руках полкового инженера, который погиб, а Вася и еще один летчик были ранены осколками. Восемь месяцев после лечения Василий «провоевал» на даче под Москвой, под строгим надзором. Но потом все-таки вырвался, прощенный в очередной раз, командовать в строевую часть (21424).</w:t>
      </w:r>
    </w:p>
    <w:p w14:paraId="5EE6666D" w14:textId="77777777" w:rsidR="00A32DCA" w:rsidRPr="00D03F3E" w:rsidRDefault="00A32DCA" w:rsidP="00D03F3E">
      <w:pPr>
        <w:spacing w:after="0" w:line="240" w:lineRule="auto"/>
        <w:jc w:val="both"/>
        <w:rPr>
          <w:rFonts w:ascii="Times New Roman" w:hAnsi="Times New Roman"/>
          <w:color w:val="0070C0"/>
          <w:sz w:val="16"/>
          <w:szCs w:val="16"/>
        </w:rPr>
      </w:pPr>
    </w:p>
    <w:p w14:paraId="37416639" w14:textId="77777777" w:rsidR="00CC7EE4" w:rsidRPr="00D03F3E" w:rsidRDefault="00CC7EE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62FB7218" w14:textId="77777777" w:rsidR="00CC7EE4" w:rsidRPr="00D03F3E" w:rsidRDefault="00CC7EE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54F74E" w14:textId="77777777" w:rsidR="00CC7EE4" w:rsidRPr="00D03F3E" w:rsidRDefault="00CC7EE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Ф. Рузвельт пригласил наркома иностранных дел СССР B.М. Молотова в Вашингтон, куда тот прибыл 29 мая по завершении переговоров с английским правительством. В беседе, состоявшейся 1 июня 1942 г., Рузвельт попытался убедить Молотова в том, что «американское правительство стремиться и надеется на создание второго фронта в 1942 г.». «В этом направлении как в Англии, так и в США ведется большая подготовительная работа, - отметил Рузвельт. - Одним из способов ускорения организации второго фронта было бы сокращение поставок из США в СССР в целях высвобождения дополнительного тоннажа для переброски американских войск и вооружения в Англию» (19151).</w:t>
      </w:r>
    </w:p>
    <w:p w14:paraId="4DA05D74" w14:textId="77777777" w:rsidR="00CC7EE4" w:rsidRPr="00D03F3E" w:rsidRDefault="00CC7EE4" w:rsidP="00D03F3E">
      <w:pPr>
        <w:spacing w:after="0" w:line="240" w:lineRule="auto"/>
        <w:jc w:val="both"/>
        <w:rPr>
          <w:rFonts w:ascii="Times New Roman" w:hAnsi="Times New Roman"/>
          <w:color w:val="000000" w:themeColor="text1"/>
          <w:sz w:val="16"/>
          <w:szCs w:val="16"/>
        </w:rPr>
      </w:pPr>
    </w:p>
    <w:p w14:paraId="1C2DF71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2A6E1A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063F2D" w14:textId="77777777" w:rsidR="00CC7EE4" w:rsidRPr="00D03F3E" w:rsidRDefault="00CC7EE4"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В апреле 1943 года немцы запустили в серию новую модификацию «Фокке-Вульфа» – FW 190A-5. На ней с целью уменьшения вибраций и улучшения центровки поставили более жесткую и удлиненную на 15 см мотораму. Смещение двигателя вперед попутно позволило улучшить температурный режим в кабине (19178).</w:t>
      </w:r>
    </w:p>
    <w:p w14:paraId="53B276FD" w14:textId="77777777" w:rsidR="00CC7EE4" w:rsidRPr="00D03F3E" w:rsidRDefault="00CC7EE4" w:rsidP="00D03F3E">
      <w:pPr>
        <w:pStyle w:val="rtejustify"/>
        <w:shd w:val="clear" w:color="auto" w:fill="FFFFFF"/>
        <w:spacing w:before="0" w:beforeAutospacing="0" w:after="0" w:afterAutospacing="0"/>
        <w:jc w:val="both"/>
        <w:textAlignment w:val="baseline"/>
        <w:rPr>
          <w:color w:val="000000" w:themeColor="text1"/>
          <w:sz w:val="16"/>
          <w:szCs w:val="16"/>
        </w:rPr>
      </w:pPr>
    </w:p>
    <w:p w14:paraId="008BB9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боевые действия в Северной Африке были близки к завершению. Перед англичанами встал вопрос: куда девать изрядно послужившие "Харрикейн", вооруженные 40-мм пушкой? Осталось их дюжин пять, не более, но выбросить - жалко, использовать далее - нет смысла, полно новых машин. Вот тут и пришла мысль: а не предложить ли кому? Например, "Дяде Джо"? Как говорится, для хорошего человека и "Харрикейна" не жалко... Тогда, в апреле 43-го, у нас "харчами не перебирали" - война только отодвинулась от Бакинских нефтепромыслов, да и под Сталинградом не одни немцы понесли огромные потери..."Харрикейны" попали в советские ВВС после снятия их с вооружения дивизионов RAF в Северной Африке (3187).</w:t>
      </w:r>
    </w:p>
    <w:p w14:paraId="0B528BB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C598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на авиабазе Грац началось формирование первого боевого ракетоносного подразделения - II/KG100. Взамен прежних Не111Н группа получила бомбардировщики Do2l7E-5, предназначенные для подвески двух УАБ Hs293A-1. Отработкой методов применения Hs293 занималось 36-е учебно-испытательное командование, сформированное в июле 1943 г. на базе 13-й эскадрильи KG 100 (9524).</w:t>
      </w:r>
    </w:p>
    <w:p w14:paraId="4F6C1F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09D9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г. генерал Сикорский привлек внимание Черчилля к германскому заявлению о том, что в районе Катыни были обнаружены захоронения расстрелянных польских офицеров (3871).</w:t>
      </w:r>
    </w:p>
    <w:p w14:paraId="4EFAD5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D5FA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апреля 1943 года начался выпуск серии В-29. По-видимому, самая первая информация о появлении в США нового тяжелого бомбардировщика с необычно высокими характеристиками попала к советскому руководству во время визита Э.Рикенбейкера в СССР. Иностранный отдел ВВС был тогда поставлен в затруднительное положение. С одной стороны, Рикенбейкер, как советник президента Рузвельта, требовал соответствующей свиты. С другой - он со времен Первой мировой войны сохранял звание армейского капитана и по дипломатическим правилам не мог получить в сопровождающие офицера более высокого звания. В итоге к нему приставили молодого офицера, недавнего выпускника Военно-воздушной академии, капитана А. И.Смолярова, неплохо владевшего английским языком. В СССР Рикенбейкеру показали ряд военных заводов и воинских подразделений. Перелетая с одного аэродрома на другой, Смоляров и Рикенбейкер коротали время за разговорами на различные темы. Во время одной из таких бесед американский гость и упомянул о новом бомбардировщике В-29, сообщив о его высоких летных данных. Как полагалось, после отбытия Рикенбейкера домой сопровождающий составил отчет, включив в него и информацию о новом самолете. Этот пункт вызвал немедленный интерес, и Смолярову пришлось подготовить специальный рапорт, в котором он припомнил все, что говорилось о В-29. После этого начался планомерный сбор информации об этой машине по всем официальным и неофициальным каналам (3457,118).</w:t>
      </w:r>
    </w:p>
    <w:p w14:paraId="36FC2B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94F461" w14:textId="77777777" w:rsidR="00A32DCA" w:rsidRPr="00D03F3E" w:rsidRDefault="00A32DC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апреле 1943 Qantas Empire Airways начинает самое продолжительное в истории регулярное прямое авиасообщение - 28-часовой рейс между Пертом, Австралия, и Цейлоном на летающих лодках PBY Catalina, который стал известен как «Маршрут двойного восхода солнца», потому что пассажиры и экипаж видят два восхода солнца во время путешествия. Каждый рейс может перевозить до трех пассажиров, которым предлагается полет, продолжительностью от 24 до 32 часов (20376).</w:t>
      </w:r>
    </w:p>
    <w:p w14:paraId="616FED73" w14:textId="77777777" w:rsidR="00A32DCA" w:rsidRPr="00D03F3E" w:rsidRDefault="00A32DCA" w:rsidP="00D03F3E">
      <w:pPr>
        <w:spacing w:after="0" w:line="240" w:lineRule="auto"/>
        <w:jc w:val="both"/>
        <w:rPr>
          <w:rFonts w:ascii="Times New Roman" w:hAnsi="Times New Roman"/>
          <w:color w:val="0070C0"/>
          <w:sz w:val="16"/>
          <w:szCs w:val="16"/>
        </w:rPr>
      </w:pPr>
    </w:p>
    <w:p w14:paraId="031919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Макс Ньюман, Винн-Вильямс и команда из Блетчли Парк завершила работу над Heath Robinson - машиной для взлома немецких шифров, называемая рыба и в декабре построили Колос - полностью электронный аналог (3463).</w:t>
      </w:r>
    </w:p>
    <w:p w14:paraId="750681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A9E5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1943 появилось сразу два проекта создания объединенного арабского государства. Один из них принадлежал королю Трансиордании Абдаллаху и получил название "плана Великой Сирии". Согласно ему создавалось федеративное или конфедеративное государство, включающее в себя Сирию, Ливан, Трансиорданию и Палестину, которое заключало с Великобританией союзный договор по образцу британско-египетского 1936 г. или британско-иракского 1930 г. Проект также предусматривал создание автономных областей для маронитов в Ливане и евреев в Палестине, но декларация Бальфура отменялась и иммиграция евреев прекращалась.</w:t>
      </w:r>
    </w:p>
    <w:p w14:paraId="31DDEDC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Второй проект принадлежа премьер-министру Ирака Нури Саиду и получил название "плана Благодатного полумесяца". Он представлял некую модификацию первого, т.к. "Великая Сирия" создавалась под эгидой ООН, а затем к ней присоединялся Ирак (3871).</w:t>
      </w:r>
    </w:p>
    <w:p w14:paraId="29F6C3E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C656F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26046B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AD1D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 мае 1943 г. была проведена проверка на взаимоза</w:t>
      </w:r>
      <w:r w:rsidRPr="00D03F3E">
        <w:rPr>
          <w:rFonts w:ascii="Times New Roman" w:hAnsi="Times New Roman"/>
          <w:color w:val="000000" w:themeColor="text1"/>
          <w:sz w:val="16"/>
          <w:szCs w:val="16"/>
        </w:rPr>
        <w:softHyphen/>
        <w:t>меняемость агрегатов самолетов Ил-2 производства заводов № 18 и № 1 показала, что использовать некоторые агрегаты с самолета одного из заводов для ремонта и восстановления са</w:t>
      </w:r>
      <w:r w:rsidRPr="00D03F3E">
        <w:rPr>
          <w:rFonts w:ascii="Times New Roman" w:hAnsi="Times New Roman"/>
          <w:color w:val="000000" w:themeColor="text1"/>
          <w:sz w:val="16"/>
          <w:szCs w:val="16"/>
        </w:rPr>
        <w:softHyphen/>
        <w:t>молетов другого завода нельзя. Из числа крупных агрегатов не</w:t>
      </w:r>
      <w:r w:rsidRPr="00D03F3E">
        <w:rPr>
          <w:rFonts w:ascii="Times New Roman" w:hAnsi="Times New Roman"/>
          <w:color w:val="000000" w:themeColor="text1"/>
          <w:sz w:val="16"/>
          <w:szCs w:val="16"/>
        </w:rPr>
        <w:softHyphen/>
        <w:t>взаимозаменяемыми оказались: плоскости (разные стыковоч</w:t>
      </w:r>
      <w:r w:rsidRPr="00D03F3E">
        <w:rPr>
          <w:rFonts w:ascii="Times New Roman" w:hAnsi="Times New Roman"/>
          <w:color w:val="000000" w:themeColor="text1"/>
          <w:sz w:val="16"/>
          <w:szCs w:val="16"/>
        </w:rPr>
        <w:softHyphen/>
        <w:t>ные болты — конические и цилиндрические), ферма костыля, верхний и задний бензобаки, щитки крыла, основной масло</w:t>
      </w:r>
      <w:r w:rsidRPr="00D03F3E">
        <w:rPr>
          <w:rFonts w:ascii="Times New Roman" w:hAnsi="Times New Roman"/>
          <w:color w:val="000000" w:themeColor="text1"/>
          <w:sz w:val="16"/>
          <w:szCs w:val="16"/>
        </w:rPr>
        <w:softHyphen/>
        <w:t>бак, руль высоты, комплект элеронов, складывающийся под</w:t>
      </w:r>
      <w:r w:rsidRPr="00D03F3E">
        <w:rPr>
          <w:rFonts w:ascii="Times New Roman" w:hAnsi="Times New Roman"/>
          <w:color w:val="000000" w:themeColor="text1"/>
          <w:sz w:val="16"/>
          <w:szCs w:val="16"/>
        </w:rPr>
        <w:softHyphen/>
        <w:t>кос.</w:t>
      </w:r>
    </w:p>
    <w:p w14:paraId="1644CBB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следует из доклада заместителя старшего военпреда ГУЗ ВВС на заводе № 1 инженер-майора Коннинского от 11 июня, перечень невзаимозаменяемых более мелких агрегатов и дета</w:t>
      </w:r>
      <w:r w:rsidRPr="00D03F3E">
        <w:rPr>
          <w:rFonts w:ascii="Times New Roman" w:hAnsi="Times New Roman"/>
          <w:color w:val="000000" w:themeColor="text1"/>
          <w:sz w:val="16"/>
          <w:szCs w:val="16"/>
        </w:rPr>
        <w:softHyphen/>
        <w:t>лей включал еще два десятка позиций.</w:t>
      </w:r>
    </w:p>
    <w:p w14:paraId="684733A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Отличия самолетов производства заводов №№ 1 и 18 от штурмовиков завода № 30 были еще значительнее. Невзаимо</w:t>
      </w:r>
      <w:r w:rsidRPr="00D03F3E">
        <w:rPr>
          <w:rFonts w:ascii="Times New Roman" w:hAnsi="Times New Roman"/>
          <w:color w:val="000000" w:themeColor="text1"/>
          <w:sz w:val="16"/>
          <w:szCs w:val="16"/>
        </w:rPr>
        <w:softHyphen/>
        <w:t>заменяемыми оказались бронелюки капота мотора и фонари кабины стрелка из-за различной конструкции подвески их и конструкции замка. У бронекорзин маслорадиаторов не совпа</w:t>
      </w:r>
      <w:r w:rsidRPr="00D03F3E">
        <w:rPr>
          <w:rFonts w:ascii="Times New Roman" w:hAnsi="Times New Roman"/>
          <w:color w:val="000000" w:themeColor="text1"/>
          <w:sz w:val="16"/>
          <w:szCs w:val="16"/>
        </w:rPr>
        <w:softHyphen/>
        <w:t>дали отверстия под бронешурупы. На самолеты завода № 30 нельзя было поставить плоскости заводов № 18 и № 1 в силу несовпадения стыковочных отверстий. Нельзя было заменить и подмоторные рамы, «так как рамы изготавливаются не по стандарту и требуют индивидуальной подгонки на заводе».</w:t>
      </w:r>
    </w:p>
    <w:p w14:paraId="0E9616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Многочисленные детали ВМГ — штуцеры, угольники, на</w:t>
      </w:r>
      <w:r w:rsidRPr="00D03F3E">
        <w:rPr>
          <w:rFonts w:ascii="Times New Roman" w:hAnsi="Times New Roman"/>
          <w:color w:val="000000" w:themeColor="text1"/>
          <w:sz w:val="16"/>
          <w:szCs w:val="16"/>
        </w:rPr>
        <w:softHyphen/>
        <w:t>кидные гайки, ниппели «различны по конструкции и размерам как у разных заводов, так и у различных серий самолетов».</w:t>
      </w:r>
    </w:p>
    <w:p w14:paraId="2EE2EA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Поступающие в части в качестве запчастей пирамиды под</w:t>
      </w:r>
      <w:r w:rsidRPr="00D03F3E">
        <w:rPr>
          <w:rFonts w:ascii="Times New Roman" w:hAnsi="Times New Roman"/>
          <w:color w:val="000000" w:themeColor="text1"/>
          <w:sz w:val="16"/>
          <w:szCs w:val="16"/>
        </w:rPr>
        <w:softHyphen/>
        <w:t>вески амортизационных стоек не имели просверленных по стандарту отверстий для болтов крепления. Их подгонка по месту в частях «требовала больших трудовых затрат».</w:t>
      </w:r>
    </w:p>
    <w:p w14:paraId="523ECED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Руль высоты изготавливался на заводах «комплектно с ин</w:t>
      </w:r>
      <w:r w:rsidRPr="00D03F3E">
        <w:rPr>
          <w:rFonts w:ascii="Times New Roman" w:hAnsi="Times New Roman"/>
          <w:color w:val="000000" w:themeColor="text1"/>
          <w:sz w:val="16"/>
          <w:szCs w:val="16"/>
        </w:rPr>
        <w:softHyphen/>
        <w:t>дивидуальной подгонкой двух половин». Поэтому при замене одной половинки руля высоты приходилось менять весь ком</w:t>
      </w:r>
      <w:r w:rsidRPr="00D03F3E">
        <w:rPr>
          <w:rFonts w:ascii="Times New Roman" w:hAnsi="Times New Roman"/>
          <w:color w:val="000000" w:themeColor="text1"/>
          <w:sz w:val="16"/>
          <w:szCs w:val="16"/>
        </w:rPr>
        <w:softHyphen/>
        <w:t>плект или «переклепывать фланец-звездочку со старой поло</w:t>
      </w:r>
      <w:r w:rsidRPr="00D03F3E">
        <w:rPr>
          <w:rFonts w:ascii="Times New Roman" w:hAnsi="Times New Roman"/>
          <w:color w:val="000000" w:themeColor="text1"/>
          <w:sz w:val="16"/>
          <w:szCs w:val="16"/>
        </w:rPr>
        <w:softHyphen/>
        <w:t>вины руля на новую».</w:t>
      </w:r>
    </w:p>
    <w:p w14:paraId="4E92BA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Вследствие несовпадения отверстий в броне и бронекарка-се под бронешурупы монтаж верхних бронекрышек капота мо</w:t>
      </w:r>
      <w:r w:rsidRPr="00D03F3E">
        <w:rPr>
          <w:rFonts w:ascii="Times New Roman" w:hAnsi="Times New Roman"/>
          <w:color w:val="000000" w:themeColor="text1"/>
          <w:sz w:val="16"/>
          <w:szCs w:val="16"/>
        </w:rPr>
        <w:softHyphen/>
        <w:t>тора требовал значительных физических усилий 2—3 человек. Монтаж брони, «особенно при первых регламентных работах, забирает больше времени, чем выполнение самих регламент</w:t>
      </w:r>
      <w:r w:rsidRPr="00D03F3E">
        <w:rPr>
          <w:rFonts w:ascii="Times New Roman" w:hAnsi="Times New Roman"/>
          <w:color w:val="000000" w:themeColor="text1"/>
          <w:sz w:val="16"/>
          <w:szCs w:val="16"/>
        </w:rPr>
        <w:softHyphen/>
        <w:t>ных работ на моторе» (11474,278).</w:t>
      </w:r>
    </w:p>
    <w:p w14:paraId="6DFDD5B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FBFD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Проведенная в апреле-мае 1943 г. проверка на взаимозаменяемость агрегатов самолетов Ил-2 производства заводов № 18 и № 1 показала, что использовать некоторые агрегаты с самолета одного из заводов для ремонта и восстановления самолетов другого завода нельзя. Из числа крупных агрегатов невзаимозаменяемыми оказались: ферма костыля, верхний и задний бензобаки, щитки крыла, основной маслобак, руль высоты, комплект элеронов, складывающийся подкос.</w:t>
      </w:r>
    </w:p>
    <w:p w14:paraId="0728EC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Теоретически все серийные Ил-2, изготовляемые по одному комплекту чертежей, исходящего от завода № 18, как головного по серийному производству штурмовика, должны быть строго одинаковы. Практически так никогда не было. Имелось десяток причин, которые в своей сумме нарушали этот принцип. Самолеты Ил-2 разных заводов отличались и притом значительно. Это создавало определенные трудности при организации эксплуатации самолетов в строевых частях. Командующим ВВС </w:t>
      </w:r>
      <w:r w:rsidRPr="00D03F3E">
        <w:rPr>
          <w:rFonts w:ascii="Times New Roman" w:hAnsi="Times New Roman"/>
          <w:color w:val="000000" w:themeColor="text1"/>
          <w:sz w:val="16"/>
          <w:szCs w:val="16"/>
        </w:rPr>
        <w:lastRenderedPageBreak/>
        <w:t>было даже дано указание комплектовать штурмовые авиачасти и соединения преимущественно самолетами с одного завода.</w:t>
      </w:r>
    </w:p>
    <w:p w14:paraId="48008E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апреля по позднюю осень 1943 шли испытания Як-3 с М-107А (1728,35).</w:t>
      </w:r>
    </w:p>
    <w:p w14:paraId="58692D6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3FD086" w14:textId="77777777" w:rsidR="00A32DCA" w:rsidRPr="00D03F3E" w:rsidRDefault="00A32DCA"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В апреле-мае 1943 г. в НИИ ВВС проходил контрольные испытания Ил-2КР зав. № 302127 производства завода № 30 с радиостанцией РСБ-3бис с приемником УС-4. Длина горизонтальных лучей антенны для РСБ-3бис составляет 5350 мм, расстояние между лучами 180 мм, снижение 900 м, длина действующего луча для радиополукомпаса РПК-10 («косой» луч) 1900 мм. (ЦАМО) (Растренин)</w:t>
      </w:r>
    </w:p>
    <w:p w14:paraId="652F445F" w14:textId="77777777" w:rsidR="00A32DCA" w:rsidRPr="00D03F3E" w:rsidRDefault="00A32DCA" w:rsidP="00D03F3E">
      <w:pPr>
        <w:shd w:val="clear" w:color="auto" w:fill="FFFFFF"/>
        <w:spacing w:after="0" w:line="240" w:lineRule="auto"/>
        <w:jc w:val="both"/>
        <w:rPr>
          <w:rFonts w:ascii="Times New Roman" w:eastAsia="Times New Roman" w:hAnsi="Times New Roman"/>
          <w:color w:val="0070C0"/>
          <w:sz w:val="16"/>
          <w:szCs w:val="16"/>
          <w:lang w:eastAsia="ru-RU"/>
        </w:rPr>
      </w:pPr>
    </w:p>
    <w:p w14:paraId="55FFD0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апреле-мае 1943 пушка НС-37 прошла войсковые испытания на ЛаГГ-3 и после этого ее окончательно приняли на вооружение (65,114).</w:t>
      </w:r>
    </w:p>
    <w:p w14:paraId="51EE1F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48E33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апреле-мае 1943 г. проходили испытания опытные Ла-5ФН №№ 0871 и 1618 с новым приводным центробежным нагнетате</w:t>
      </w:r>
      <w:r w:rsidRPr="00D03F3E">
        <w:rPr>
          <w:rFonts w:ascii="Times New Roman" w:hAnsi="Times New Roman"/>
          <w:color w:val="000000" w:themeColor="text1"/>
          <w:sz w:val="16"/>
          <w:szCs w:val="16"/>
        </w:rPr>
        <w:softHyphen/>
        <w:t>лем Э-67, разработанным ЦИАМ. Характеристики ПЦН были улучшены за счет повышения оборотов, а пере</w:t>
      </w:r>
      <w:r w:rsidRPr="00D03F3E">
        <w:rPr>
          <w:rFonts w:ascii="Times New Roman" w:hAnsi="Times New Roman"/>
          <w:color w:val="000000" w:themeColor="text1"/>
          <w:sz w:val="16"/>
          <w:szCs w:val="16"/>
        </w:rPr>
        <w:softHyphen/>
        <w:t>ключение скоростей с изменением высоты стало авто</w:t>
      </w:r>
      <w:r w:rsidRPr="00D03F3E">
        <w:rPr>
          <w:rFonts w:ascii="Times New Roman" w:hAnsi="Times New Roman"/>
          <w:color w:val="000000" w:themeColor="text1"/>
          <w:sz w:val="16"/>
          <w:szCs w:val="16"/>
        </w:rPr>
        <w:softHyphen/>
        <w:t>матическим. Однако доводка Э-67 растянулась более чем на 2 года, на серийных Ла-5 он не внедрялся (11123).</w:t>
      </w:r>
    </w:p>
    <w:p w14:paraId="0242440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3767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апреле-мае 1943 неудовлетворительно прошел гос. испытания самолет Як-6 производства завода 471 по причине плохой производственной отделки и наличия дефектов, требующих немедленного устранения (1778,271).</w:t>
      </w:r>
    </w:p>
    <w:p w14:paraId="3F80E5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ECB6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 июне 1943 г. М-105ПД испытывался на Як-9ПД. На двигателях выпуска 1943 г. увеличено передаточное число привода к ПЦН. Двигатель первоначально не имел интеркулера (введенного лишь в сентябре 1943 г.), что приводило к перегревам. ВК-105ПД доводился до 1945 г. На 1-й квартал 1945 г. было дано задание на выпуск 459 ВК-105ПД на заводе № 26 и 10 — на за</w:t>
      </w:r>
      <w:r w:rsidRPr="00D03F3E">
        <w:rPr>
          <w:rFonts w:ascii="Times New Roman" w:hAnsi="Times New Roman"/>
          <w:color w:val="000000" w:themeColor="text1"/>
          <w:sz w:val="16"/>
          <w:szCs w:val="16"/>
        </w:rPr>
        <w:softHyphen/>
        <w:t>воде № 16. На моторе предусматривалась установка пушки ШВАК (20 мм) (11852).</w:t>
      </w:r>
    </w:p>
    <w:p w14:paraId="6A3518A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0055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апреля 1943 г по июнь 1944 г основная деятельность НИИ ВВС была направлена на оказание максимальной помощи фронту: инструктаж и переучивание личного состава строевых частей ВВС, проведение сборов, издание инструкций. Другая важнейшая задача, которую в этот период решал Институт, заключалась в научном сопровождении всех работ проводимых ОКБ по созданию и усовершенствованию авиационной техники, в проведении всесторонних их испытаний и внедрении доработок, рожденных опытом боевого применения авиации в Великой Отечественной Войне (11017).</w:t>
      </w:r>
    </w:p>
    <w:p w14:paraId="31E1BE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5548FA"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2EDD85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67862E" w14:textId="77777777" w:rsidR="00D03EB0"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апреле-мае 1943 решением ГКО на вооружение были приняты 76 мм и 57 мм подкалиберные бронебойные снаряды с сердечниками из карбид-вольфрамового твердого сплава диаметром 28 мм и 25 ммю При дальности 300-500 м под 90 гр. - 90-105 мм, а</w:t>
      </w:r>
      <w:r w:rsidR="00D03EB0" w:rsidRPr="00D03F3E">
        <w:rPr>
          <w:rFonts w:ascii="Times New Roman" w:hAnsi="Times New Roman"/>
          <w:color w:val="000000" w:themeColor="text1"/>
          <w:sz w:val="16"/>
          <w:szCs w:val="16"/>
        </w:rPr>
        <w:t xml:space="preserve"> 57 мм - еще больше (5484,488).</w:t>
      </w:r>
    </w:p>
    <w:p w14:paraId="35934537" w14:textId="77777777" w:rsidR="00D03EB0" w:rsidRPr="00D03F3E" w:rsidRDefault="00D03EB0"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D312C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 мае 1943 г. решением ГКО 76мм и 57мм подкалиберные снаряды были приняты на вооружение РККА. При дальностях стрельбы от 300 до 500 м и угле встречи 90° толщи-на пробиваемой брони для 45-мм подкалиберного снаряда изменялась соответственно от 77 до 66 мм, для 57-мм снаряда - от 165 до 146 мм и для 76-мм подкалиберного снаряда - от 114 до 96 мм. В дальнейшем в НИИ-24 НКБ СССР был разработан бронебойно-трассирующий подкалиберный снаряд БР-365П к 85-мм пушке. Он был принят на вооружение РККА в феврале 1944 г. Специализированные заводы Наркомата боеприпасов быстро осво</w:t>
      </w:r>
      <w:r w:rsidRPr="00D03F3E">
        <w:rPr>
          <w:rFonts w:ascii="Times New Roman" w:hAnsi="Times New Roman"/>
          <w:color w:val="000000" w:themeColor="text1"/>
          <w:sz w:val="16"/>
          <w:szCs w:val="16"/>
        </w:rPr>
        <w:softHyphen/>
        <w:t>или массовое производство подкалиберных бронебойных снарядов. До конца войны было выпущено около 3,4 млн 45-мм подкалиберных сна</w:t>
      </w:r>
      <w:r w:rsidRPr="00D03F3E">
        <w:rPr>
          <w:rFonts w:ascii="Times New Roman" w:hAnsi="Times New Roman"/>
          <w:color w:val="000000" w:themeColor="text1"/>
          <w:sz w:val="16"/>
          <w:szCs w:val="16"/>
        </w:rPr>
        <w:softHyphen/>
        <w:t>рядов, около 0,5 млн - 57-мм, более 1 млн - 76-мм, 95 тыс. - 85-мм сна</w:t>
      </w:r>
      <w:r w:rsidRPr="00D03F3E">
        <w:rPr>
          <w:rFonts w:ascii="Times New Roman" w:hAnsi="Times New Roman"/>
          <w:color w:val="000000" w:themeColor="text1"/>
          <w:sz w:val="16"/>
          <w:szCs w:val="16"/>
        </w:rPr>
        <w:softHyphen/>
        <w:t>рядов. Сердечники из твердых сплавов для подкалиберных снарядов в те</w:t>
      </w:r>
      <w:r w:rsidRPr="00D03F3E">
        <w:rPr>
          <w:rFonts w:ascii="Times New Roman" w:hAnsi="Times New Roman"/>
          <w:color w:val="000000" w:themeColor="text1"/>
          <w:sz w:val="16"/>
          <w:szCs w:val="16"/>
        </w:rPr>
        <w:softHyphen/>
        <w:t>чение всей войны изготавливали на Московском комбинате твердых сплавов (директор А.И. Андрюшин) и Кировоградском заводе твердых сплавов на Урале (директор З.Б. Друтман). Бронебойный сердечник являлся основной деталью снаряда; он спе</w:t>
      </w:r>
      <w:r w:rsidRPr="00D03F3E">
        <w:rPr>
          <w:rFonts w:ascii="Times New Roman" w:hAnsi="Times New Roman"/>
          <w:color w:val="000000" w:themeColor="text1"/>
          <w:sz w:val="16"/>
          <w:szCs w:val="16"/>
        </w:rPr>
        <w:softHyphen/>
        <w:t>кался из карбида вольфрама с небольшой примесью никеля, кобальта и других металлов. Материал сердечника обладал очень высокой удель</w:t>
      </w:r>
      <w:r w:rsidRPr="00D03F3E">
        <w:rPr>
          <w:rFonts w:ascii="Times New Roman" w:hAnsi="Times New Roman"/>
          <w:color w:val="000000" w:themeColor="text1"/>
          <w:sz w:val="16"/>
          <w:szCs w:val="16"/>
        </w:rPr>
        <w:softHyphen/>
        <w:t>ной массой и всеми свойствами сверхтвердых сплавов. Сам сердечник имел остроголовую цилиндро-оживальную форму. Попытки заменить сердечники из карбида вольфрама стальными положительных результатов не дали, так как переход к стали с любыми механическими свойствами и любого состава был связан с потерей твердости и массы сердечника. Для уменьшения расхода вольфрама немцы изготавливали составные сердечники, имевшие верхнюю часть из сверхтвердого сплава и нижнюю - из стали. Бронебойное действие снарядов с составными сердечниками было ниже бронебойного дейст</w:t>
      </w:r>
      <w:r w:rsidRPr="00D03F3E">
        <w:rPr>
          <w:rFonts w:ascii="Times New Roman" w:hAnsi="Times New Roman"/>
          <w:color w:val="000000" w:themeColor="text1"/>
          <w:sz w:val="16"/>
          <w:szCs w:val="16"/>
        </w:rPr>
        <w:softHyphen/>
        <w:t>вия снарядов с сердечниками, изготовленными из твердого сплава. Баллистический наконечник изготавливался из легкого и мягкого материала — пластмассы, электрона, алюминия - или штамповался из листового железа и служил только для удержания сердечника в поддо</w:t>
      </w:r>
      <w:r w:rsidRPr="00D03F3E">
        <w:rPr>
          <w:rFonts w:ascii="Times New Roman" w:hAnsi="Times New Roman"/>
          <w:color w:val="000000" w:themeColor="text1"/>
          <w:sz w:val="16"/>
          <w:szCs w:val="16"/>
        </w:rPr>
        <w:softHyphen/>
        <w:t>не и придания головной части снаряда удобообтекаемой формы (10703).</w:t>
      </w:r>
    </w:p>
    <w:p w14:paraId="5584B7F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9307E6" w14:textId="77777777" w:rsidR="00D03EB0" w:rsidRPr="00D03F3E" w:rsidRDefault="00D03EB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 июле 1943 году на заводе №112 «Красное Сормово» под руководством начальника конструкторского отдела завода В. Крылова по указанию НКТП изготовили танк СГ-34, отличавшийся от серийного танка Т-34 установкой уплотнений и максимальной герметизацией корпуса, а также установкой воздухопитающей трубы высотой 5 метров.</w:t>
      </w:r>
    </w:p>
    <w:p w14:paraId="26A2FC17" w14:textId="77777777" w:rsidR="00D03EB0" w:rsidRPr="00D03F3E" w:rsidRDefault="00D03EB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ноябре 1943 года СГ-34 испытывался на Волге, удачно форсировав ее пять раз. На шестой попытке произошло ЧП - под водой у машины заглох двигатель, и экипажу пришлось покидать танк. При этом погиб член комиссии по испытаниям инженер-майор Осипов. Дальнейшие работы по СГ-34 не производились. В 1944 году на заводе № 112 оборудовали для форсирования водных преград по дну танк Т-34-85 с 85-мм пушкой ЗИС-С-53. Машина имела индекс ПТХ-34-85 (12217).</w:t>
      </w:r>
    </w:p>
    <w:p w14:paraId="55ADC9A8" w14:textId="77777777" w:rsidR="00D03EB0" w:rsidRPr="00D03F3E" w:rsidRDefault="00D03EB0" w:rsidP="00D03F3E">
      <w:pPr>
        <w:spacing w:after="0" w:line="240" w:lineRule="auto"/>
        <w:jc w:val="both"/>
        <w:rPr>
          <w:rFonts w:ascii="Times New Roman" w:hAnsi="Times New Roman"/>
          <w:color w:val="000000" w:themeColor="text1"/>
          <w:sz w:val="16"/>
          <w:szCs w:val="16"/>
        </w:rPr>
      </w:pPr>
    </w:p>
    <w:p w14:paraId="071E20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 мае 1943 г. завод № 183 изготовил три танка Т-43, которые успешно прошли заводские испытания. В результате устранения выявленных не</w:t>
      </w:r>
      <w:r w:rsidRPr="00D03F3E">
        <w:rPr>
          <w:rFonts w:ascii="Times New Roman" w:hAnsi="Times New Roman"/>
          <w:color w:val="000000" w:themeColor="text1"/>
          <w:sz w:val="16"/>
          <w:szCs w:val="16"/>
        </w:rPr>
        <w:softHyphen/>
        <w:t>достатков боевая масса машин возросла до 34,1 т. Все машины имели увеличенный с 1420 до 1600 мм диаметр опоры башни в свету, что позволило разместить в боевом отделении третьего члена экипажа. Кроме того, были установлены новые смотровые приборы, командирская ба</w:t>
      </w:r>
      <w:r w:rsidRPr="00D03F3E">
        <w:rPr>
          <w:rFonts w:ascii="Times New Roman" w:hAnsi="Times New Roman"/>
          <w:color w:val="000000" w:themeColor="text1"/>
          <w:sz w:val="16"/>
          <w:szCs w:val="16"/>
        </w:rPr>
        <w:softHyphen/>
        <w:t>шенка с вращающейся крышкой люка. Для повышения подвижности танка был спроектирован двухступенчатый планетарный механизм по</w:t>
      </w:r>
      <w:r w:rsidRPr="00D03F3E">
        <w:rPr>
          <w:rFonts w:ascii="Times New Roman" w:hAnsi="Times New Roman"/>
          <w:color w:val="000000" w:themeColor="text1"/>
          <w:sz w:val="16"/>
          <w:szCs w:val="16"/>
        </w:rPr>
        <w:softHyphen/>
        <w:t>ворота (ПМП) по типу ПМП тяжелого танка ИС. Испытания опытных образцов танка Т-43, проведенные как в зим</w:t>
      </w:r>
      <w:r w:rsidRPr="00D03F3E">
        <w:rPr>
          <w:rFonts w:ascii="Times New Roman" w:hAnsi="Times New Roman"/>
          <w:color w:val="000000" w:themeColor="text1"/>
          <w:sz w:val="16"/>
          <w:szCs w:val="16"/>
        </w:rPr>
        <w:softHyphen/>
        <w:t>них, так и в летних условиях, показали удовлетворительную работоспо</w:t>
      </w:r>
      <w:r w:rsidRPr="00D03F3E">
        <w:rPr>
          <w:rFonts w:ascii="Times New Roman" w:hAnsi="Times New Roman"/>
          <w:color w:val="000000" w:themeColor="text1"/>
          <w:sz w:val="16"/>
          <w:szCs w:val="16"/>
        </w:rPr>
        <w:softHyphen/>
        <w:t>собность всех узлов и агрегатов танка (10703).</w:t>
      </w:r>
    </w:p>
    <w:p w14:paraId="29E1F75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DABD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 мае 1943 в конструкторском бюро УЗТМ под руководством Л.И. Горлицкого была разработана Самоходная установка СУ-85. Опытный образец машины, имевший наименование СУ-85-11, был изготовлен на УЗТМ совместно с заводом № 50 НКТП в июле 1943 г. Ведущим инженером машины был Н.В. Курин. В июле-августе того же года машина успешно прошла заводские и государственные испытания на Гороховецком АНИОПе. Установка СУ-85 была принята на вооружение с августа 1943 г. Серийное производство было организовано в августе 1943 г. и продолжалось до сентября 1944 г. Всего было выпущено 2339 установок, которые предназначались для унич немецких тяжелых танков "Тигр" на дальностях стрельбы 500 м (10703).</w:t>
      </w:r>
    </w:p>
    <w:p w14:paraId="4E9AB7E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8F1F7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 июне 1943 г. в КБ Горьковского автозавода под руководством Н.А. Астрова была разработана самоходная установка СУ-76М (СУ-15) и являлась модернизированным образцом самоходной уста</w:t>
      </w:r>
      <w:r w:rsidRPr="00D03F3E">
        <w:rPr>
          <w:rFonts w:ascii="Times New Roman" w:hAnsi="Times New Roman"/>
          <w:color w:val="000000" w:themeColor="text1"/>
          <w:sz w:val="16"/>
          <w:szCs w:val="16"/>
        </w:rPr>
        <w:softHyphen/>
        <w:t>новки СУ-76. Опытный образец был изготовлен на заводе № 38 в июне 1943 г. и в августе того же года прошел государственные испытания. Са</w:t>
      </w:r>
      <w:r w:rsidRPr="00D03F3E">
        <w:rPr>
          <w:rFonts w:ascii="Times New Roman" w:hAnsi="Times New Roman"/>
          <w:color w:val="000000" w:themeColor="text1"/>
          <w:sz w:val="16"/>
          <w:szCs w:val="16"/>
        </w:rPr>
        <w:softHyphen/>
        <w:t>моходная установка была принята на вооружение в июле 1943 г. до по</w:t>
      </w:r>
      <w:r w:rsidRPr="00D03F3E">
        <w:rPr>
          <w:rFonts w:ascii="Times New Roman" w:hAnsi="Times New Roman"/>
          <w:color w:val="000000" w:themeColor="text1"/>
          <w:sz w:val="16"/>
          <w:szCs w:val="16"/>
        </w:rPr>
        <w:softHyphen/>
        <w:t>лучения результатов вторичных полигонных испытаний. До принятия на вооружение имела наименование СУ-15. Установка предназначалась для непосредственной поддержки пехоты и была самой многочислен</w:t>
      </w:r>
      <w:r w:rsidRPr="00D03F3E">
        <w:rPr>
          <w:rFonts w:ascii="Times New Roman" w:hAnsi="Times New Roman"/>
          <w:color w:val="000000" w:themeColor="text1"/>
          <w:sz w:val="16"/>
          <w:szCs w:val="16"/>
        </w:rPr>
        <w:softHyphen/>
        <w:t>ной САУ, находившейся на вооружении РККА в годы войны. В период Великой Отечественной войны было организовано массовое производство СУ-76М на Горьковском автозаводе (7523 ед.), на з-де № 38 в г. Кирове (1665 ед. - серийное производство по июль 1944 г. и на заводе № 40 в Мытищах (2306 ед.). Производство машины бы прекращено в 1946 г. Всего было выпущено 13 732 самоходных установки, из них во время Великой Отечественной войны - 11 494 (10703).</w:t>
      </w:r>
    </w:p>
    <w:p w14:paraId="2DB6272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094C6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 мае 1943 г. конструкторским бюро УЗТМ под руководством Л.И. Горлицкого была разработана самоходная установка СУ-85-1. Опытный образец машины был изготовлен на УЗТМ совместно с заво</w:t>
      </w:r>
      <w:r w:rsidRPr="00D03F3E">
        <w:rPr>
          <w:rFonts w:ascii="Times New Roman" w:hAnsi="Times New Roman"/>
          <w:color w:val="000000" w:themeColor="text1"/>
          <w:sz w:val="16"/>
          <w:szCs w:val="16"/>
        </w:rPr>
        <w:softHyphen/>
        <w:t>дом № 50 НКТП в июле того же года. С 20 по 27 июля образец прошел заводские испытания, которые не выдержал по причине поломки спус</w:t>
      </w:r>
      <w:r w:rsidRPr="00D03F3E">
        <w:rPr>
          <w:rFonts w:ascii="Times New Roman" w:hAnsi="Times New Roman"/>
          <w:color w:val="000000" w:themeColor="text1"/>
          <w:sz w:val="16"/>
          <w:szCs w:val="16"/>
        </w:rPr>
        <w:softHyphen/>
        <w:t>кового механизма. После устранения недостатков опытный образец ус</w:t>
      </w:r>
      <w:r w:rsidRPr="00D03F3E">
        <w:rPr>
          <w:rFonts w:ascii="Times New Roman" w:hAnsi="Times New Roman"/>
          <w:color w:val="000000" w:themeColor="text1"/>
          <w:sz w:val="16"/>
          <w:szCs w:val="16"/>
        </w:rPr>
        <w:softHyphen/>
        <w:t>тановки был допущен к государственным испытаниям на Гороховецком АНИОПе, которые состоялись в период с 25 июля по 6 августа 1943 г. На вооружении и в серийном производстве не состояла. Машина была разработана на базе самоходной установки СУ-122М путем монтажа в ее корпус 85-мм пушки С-18-1 конструкции ЦАКБ с баллистикой зенитной пушки обр. 1938 г. и люлькой, переработанной в конструкторском бюро УЗТМ. Она представляла собой усовершенст</w:t>
      </w:r>
      <w:r w:rsidRPr="00D03F3E">
        <w:rPr>
          <w:rFonts w:ascii="Times New Roman" w:hAnsi="Times New Roman"/>
          <w:color w:val="000000" w:themeColor="text1"/>
          <w:sz w:val="16"/>
          <w:szCs w:val="16"/>
        </w:rPr>
        <w:softHyphen/>
        <w:t>вованный вариант 85-мм пушки С-31, ранее разработанной в ЦАКБ (10703).</w:t>
      </w:r>
    </w:p>
    <w:p w14:paraId="3FC5C7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73A0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 мае 1943 г. конструктор</w:t>
      </w:r>
      <w:r w:rsidRPr="00D03F3E">
        <w:rPr>
          <w:rFonts w:ascii="Times New Roman" w:hAnsi="Times New Roman"/>
          <w:color w:val="000000" w:themeColor="text1"/>
          <w:sz w:val="16"/>
          <w:szCs w:val="16"/>
        </w:rPr>
        <w:softHyphen/>
        <w:t>ским бюро УЗТМ под руководством Л.И. Горлицкого была разработана Самоходная установка СУ-85-1У. Опытный образец машины был изготовлен на УЗТМ совместно с заводом № 50 НКТП в июле того же года. С 20 по 27 июля образец прошел заводские испытания, которые не выдержал по причине полом</w:t>
      </w:r>
      <w:r w:rsidRPr="00D03F3E">
        <w:rPr>
          <w:rFonts w:ascii="Times New Roman" w:hAnsi="Times New Roman"/>
          <w:color w:val="000000" w:themeColor="text1"/>
          <w:sz w:val="16"/>
          <w:szCs w:val="16"/>
        </w:rPr>
        <w:softHyphen/>
        <w:t>ки спускового механизма пушки. После устранения недостатков опыт</w:t>
      </w:r>
      <w:r w:rsidRPr="00D03F3E">
        <w:rPr>
          <w:rFonts w:ascii="Times New Roman" w:hAnsi="Times New Roman"/>
          <w:color w:val="000000" w:themeColor="text1"/>
          <w:sz w:val="16"/>
          <w:szCs w:val="16"/>
        </w:rPr>
        <w:softHyphen/>
        <w:t>ный образец установки был допущен к государственным испытаниям на Гороховецком АНИОПе, которые состоялись в период с 25 июля по 6 августа 1943 г. После завершения испытаний дальнейшие работы по машине были прекращены. Машина была разработана на базе установки СУ-122М путем мон</w:t>
      </w:r>
      <w:r w:rsidRPr="00D03F3E">
        <w:rPr>
          <w:rFonts w:ascii="Times New Roman" w:hAnsi="Times New Roman"/>
          <w:color w:val="000000" w:themeColor="text1"/>
          <w:sz w:val="16"/>
          <w:szCs w:val="16"/>
        </w:rPr>
        <w:softHyphen/>
        <w:t xml:space="preserve">тажа в ее корпус 85-мм пушки С-18 конструкции ЦАКБ с баллистикой зенитной пушки обр. 1938 г. и люлькой, заимствованной у 85-мм пушки ЗИС-5. Она представляла собой усовершенствованный вариант ранее разработанной в ЦАКБ под руководством </w:t>
      </w:r>
      <w:r w:rsidRPr="00D03F3E">
        <w:rPr>
          <w:rFonts w:ascii="Times New Roman" w:hAnsi="Times New Roman"/>
          <w:color w:val="000000" w:themeColor="text1"/>
          <w:sz w:val="16"/>
          <w:szCs w:val="16"/>
        </w:rPr>
        <w:lastRenderedPageBreak/>
        <w:t>В.Г.Грабина 85-мм пушки С-31, по своим размерам не удовлетворявшей требованиям УЗТМ на монтаж в корпус самоходной установки СУ-122М (10703).</w:t>
      </w:r>
    </w:p>
    <w:p w14:paraId="6BEEFA2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FF890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с апреля 1943 г. по декабрь 1944 г. были выпущены еще семь опытных образцов машины, три из которых в феврале - марте 1944 г. прошли войсковые испытания. На вооружение бронеавтомобиль БА-64Е не принимался и в серийном производстве не состоял (10703).</w:t>
      </w:r>
    </w:p>
    <w:p w14:paraId="6B38A9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DA22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апреле-мае 1943 были рассмотрены проекты двух артиллерийских тягачей для артиллерии РГКА взамен Ворошиловца , предложенных НАТИ и ОГК НКТП. Одобрили проект Н.Зубарева (7382, 2).</w:t>
      </w:r>
    </w:p>
    <w:p w14:paraId="067831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02A04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BCB87F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2C66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апреле-мае 1943 группа "Weiss" и "Panzerversuchskommando" приняли участие в боях на Кубани, где практически проверялись отработанные на полигоне тактические приемы борьбы с советскими танками и способы организации тесного взаимодействия с наземными войсками.</w:t>
      </w:r>
    </w:p>
    <w:p w14:paraId="447460A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результатам "работы" противотанковых авиагрупп был сделан вывод, что при условии низкой эффективности одиночных бронированных "хеншелей" какой-либо реальный эффект на поле боя можно получить только в случае массированного применения этих штурмовиков на узких участках фронта на танкоопасных направления. Было решено создать специальную противотанковую авиагруппу FuPz на Hsl29B, а в составе каждой эскадры пикировщиков - формировать отдельные противотанковые эскадрильи на Ju87G. При этом в FuPz включались все имеющиеся в наличие противотанковые эскадрильи из 1-й и 2-й эскадр непосредственной поддержки войск (9084).</w:t>
      </w:r>
    </w:p>
    <w:p w14:paraId="3FAD55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Переоборудование серийных Ju87D-3 в вариант G-1 производилось в строевых частях и выполнялось таким образом, чтобы оставалась возможность вернуть машинам их первоначальный облик. На всех машинах тормозные щитки отсутствовали, но кронштейны их крепления оставались. Всего подобным образом было переделано около 100 машин.</w:t>
      </w:r>
    </w:p>
    <w:p w14:paraId="77A90C5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G-1, непосредственно на серийных авиазаводах в 1943-44 гг. выпускалась противотанковая модификация Ju87G-2, также с двумя пушками ВК 3.7. Базовой машиной для них послужил вариант Ju87D-5, поэтому Ju87G-2 отличался от модификации G-1 увеличенным размахом крыла. Тормозные щитки и кронштейны их крепления отсутствовали на всех машинах. Часть машин в варианте G-2 сохранила 20-мм крыльевые пушки MG151/20, на других - пушки снимались. Основным назначением пушек была пристрелка перед открытием огня из ВК 3.7. Всего было выпущено 208 самолетов этого типа.</w:t>
      </w:r>
    </w:p>
    <w:p w14:paraId="2B4A54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преддверии крупных танковых боев в районе Курского выступа FuPz была переброшена на аэродром Микояновка в 20 км северо-западнее Харькова. Накануне немецкого наступления в четырех эскадрильях противотанковой группы имелось 60 боеспособных Hsl29B-l и В-2 (9084).</w:t>
      </w:r>
    </w:p>
    <w:p w14:paraId="5D8620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99C2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 июне 1943 г. заминировала фарватер Волги на участке от Саратова до Астрахани разными типами магнитных и акустических мин. Хотя значительная часть русла была вскоре протралена, сотни «адских машин» по-прежнему залегали в глубинах реки, ожидая своих жертв. Все это осложняло проводку нефтекараванов и делало плавание по реке очень опасным. Необходимость обходить угрожаемые участки и уменьшать скорость значительно снижала грузооборот, заставляла команды судов находиться в постоянном напряжении, в любой момент ожидая взрыва. Навигация также осложнялась большим количеством затонувших судов, точное нахождение которых зачастую было неизвестно. В этих условиях командование Волжской военной флотилии неоднократно получало указания тщательно протралить фарватер, исключив потери судов. В июле – августе число тральщиков постоянно росло. Для этих целей приходилось изымать из грузоперевозок все новые суда, которых, учитывая огромные потери 1942 г., и так катастрофически не хватало. На 1 июля в ВВФ насчитывалось 165 тральщиков, а через месяц – 203. К 1 сентября флотилия имела уже 213 тральщиков, а число самих тралов разного типа достигло 317. Подобного противоминного флота не было даже на Балтике! В августе фронт стал стремительно откатываться на запад, и стало ясно, что Люфтваффе уже не смогут когда-либо возобновить минирование Волги. Поэтому дальнейшая мобилизация транспортных судов для переоборудования в тральщики была приостановлена. Во втором полугодии 1943 г. окончательно сложилась четкая и эффективная организация противовоздушной и противоминной обороны перевозок в бассейне Волги. Была хорошо отработана система наблюдения за всей водной поверхностью Волги от Астрахани до Батраков. В июле – августе количество постов противоминного наблюдения возросло до 956. К концу сентября численность зенитных орудий Волжской военной флотилии, войск ПВО страны, оперативной группы ПВО транспортной службы Волжского бассейна достигла 427, пулеметов – 1320, прожекторных станций – 189. Управлялись все эти силы с флагманского командного пункта на штабном корабле «Железнодорожник» стоявшего около Сталинграда. Туда поступали данные об обстановке во всей операционной зоне от Астрахани до Саратова, включая сообщения о немецких самолетах, замеченных в районе Волги. Но все эти «великие достижения» были уже не нужны. Единственной серьезной проблемой были донные мины, в т.ч. оставшиеся с 1942 г. Во второй половине лета тральщики ВВФ провели контрольное траление бывших минных банок, затем повторное траление этих же районов с помощью магнитно-акустических тралов-баржи глубинных бомб. Личным составом дивизионов тральщиков, постов ВНОС было обследовано все побережье Волги. Траление проводилось с большим напряжением на всех боевых участках. Рабочий день экипажей судов составлял 14—17 часов. В июле – августе, когда велась полная ликвидация минных банок на фарватерах, непосредственно на тралении были заняты более 170 тральщиков. Всего до конца навигации они протралили на 15 импульсов площадь в 112 кв. км, прошли со всеми видами тралов 176 761 км. По данным флотилии, с помощью тралов были уничтожены 67 донных мин, взрывами глубинных бомб – 22 мины. Еще 12 мин, обнаруженных на обмелевших участках реки, обезвредили саперы. Большая часть мин – 242 штуки – была «нейтрализована», но еще 20 обнаружить так и не удалось. Учитывая же, что посты наблюдения фиксировали не все падения мин в реку, последних, вероятно, было еще больше. Одновременно с этим проводилось размагничивание всех речных судов. Все эти масштабные меры дали результаты, потери стали редкими. Но корабли продолжали подрываться. Так, в конце июля недалеко от Сталинграда подорвался и затонул буксирный пароход «Таджикистан». Всего, по официальным советским данным, с апреля по сентябрь 1943 г. в бассейне Нижней Волги на донных минах подорвались 13 судов, т.е. 0,2% от всех прошедших кораблей. Но эта статистика, видимо, касается лишь нефтеналивных судов. В целом же минирование немцами Волги свою задачу выполнило, сильно затруднив судоходство и в особенности перевозки нефтепродуктов. В июле по участку Астрахань – Саратов были перевезены 1100 000 т нефти, в августе – 1155 500 т, а в сентябре – только 965 000 т. Все это не шло ни в какое сравнение не только с довоенными показателями, но даже с достижениями первой половины 1942 г. В конце навигации Волжская военная флотилия утратила тактическое значение. Часть бронекатеров, тральщиков и сторожевых судов была отправлена на Днепр, Азовское море и Чудское озеро. На другие флоты и флотилии вместе с кораблями убыли 2560 матросов, старшин и офицеров, 1200тразличныхгрузов. По решению ГКО были разоружены и возвращены речному транспортному и промысловому флоту 75 ранее изъятых судов. И все же полностью расформировать флотилию в 1943 г. не решились. К18 октября в ее составе еще оставались шесть канонерских лодок, 80 тральщиков, 13 сторожевых катеров, пять минометных катеров, 35 полуглиссеров, две плавбатареи, пять штабных кораблей и 30 буксировщиков тралов-барж. 3-я и 4-я бригады речных кораблей были расформированы, а 1-ю и 2-ю бригады траления сократили. Были созданы отдельный дивизион канонерских лодок, отдельный отряд полуглиссеров, 291-й и 292-й отдельные зенитные артдивизионы. Затем после 1 ноября для разных нужд изъяли у флотилии еще часть судов (11774).</w:t>
      </w:r>
    </w:p>
    <w:p w14:paraId="0ED295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C2F7A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35A3F4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F121D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мае 1943 США были извещены о недостаточной прочности броневой защиты Шермана. Возможно, именно эти дефекты приостановили отгрузку М4А2 для РККА весной-летом 1943 г., так как танки, поставляемые с конца ноября 1943 г., уже имели значительно более высокое качество броневой защиты, которая уже не уступала по ка</w:t>
      </w:r>
      <w:r w:rsidRPr="00D03F3E">
        <w:rPr>
          <w:rFonts w:ascii="Times New Roman" w:hAnsi="Times New Roman"/>
          <w:color w:val="000000" w:themeColor="text1"/>
          <w:sz w:val="16"/>
          <w:szCs w:val="16"/>
        </w:rPr>
        <w:softHyphen/>
        <w:t>честву советской. Кроме того, для защиты с воздуха осенью 1943 г. практически на всех «Шерманах» устанавливались зенитные 7,62-мм и 12,7-мм пулеметы «Браунинг».</w:t>
      </w:r>
    </w:p>
    <w:p w14:paraId="56AD43B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американские танки поступали в состав отдельных танковых полков общевойсковых армий (здесь по штату находились, как правило, 21 танк, из которых 11 - М4А2 и 10 — «Валентайн IX»), танковых и механизированных кор</w:t>
      </w:r>
      <w:r w:rsidRPr="00D03F3E">
        <w:rPr>
          <w:rFonts w:ascii="Times New Roman" w:hAnsi="Times New Roman"/>
          <w:color w:val="000000" w:themeColor="text1"/>
          <w:sz w:val="16"/>
          <w:szCs w:val="16"/>
        </w:rPr>
        <w:softHyphen/>
        <w:t>пусов (например, 3 гвардейский Сталинградский механи</w:t>
      </w:r>
      <w:r w:rsidRPr="00D03F3E">
        <w:rPr>
          <w:rFonts w:ascii="Times New Roman" w:hAnsi="Times New Roman"/>
          <w:color w:val="000000" w:themeColor="text1"/>
          <w:sz w:val="16"/>
          <w:szCs w:val="16"/>
        </w:rPr>
        <w:softHyphen/>
        <w:t>зированный корпус, действовавший в составе 3-го Бело</w:t>
      </w:r>
      <w:r w:rsidRPr="00D03F3E">
        <w:rPr>
          <w:rFonts w:ascii="Times New Roman" w:hAnsi="Times New Roman"/>
          <w:color w:val="000000" w:themeColor="text1"/>
          <w:sz w:val="16"/>
          <w:szCs w:val="16"/>
        </w:rPr>
        <w:softHyphen/>
        <w:t>русского фронта, на 22 июня 1944 г. имел 196 танков, из ко</w:t>
      </w:r>
      <w:r w:rsidRPr="00D03F3E">
        <w:rPr>
          <w:rFonts w:ascii="Times New Roman" w:hAnsi="Times New Roman"/>
          <w:color w:val="000000" w:themeColor="text1"/>
          <w:sz w:val="16"/>
          <w:szCs w:val="16"/>
        </w:rPr>
        <w:softHyphen/>
        <w:t>торых 110 М4А2, 70 «Валентайн IX», 16 Т-34) и их наиболее массовые поставки начались с весны 1944 г. Причем тен</w:t>
      </w:r>
      <w:r w:rsidRPr="00D03F3E">
        <w:rPr>
          <w:rFonts w:ascii="Times New Roman" w:hAnsi="Times New Roman"/>
          <w:color w:val="000000" w:themeColor="text1"/>
          <w:sz w:val="16"/>
          <w:szCs w:val="16"/>
        </w:rPr>
        <w:softHyphen/>
        <w:t>денция оснащения мехкорпусов лендлизовской техникой оказалась весьма устойчивой. Так, 3-й гвардейский танко</w:t>
      </w:r>
      <w:r w:rsidRPr="00D03F3E">
        <w:rPr>
          <w:rFonts w:ascii="Times New Roman" w:hAnsi="Times New Roman"/>
          <w:color w:val="000000" w:themeColor="text1"/>
          <w:sz w:val="16"/>
          <w:szCs w:val="16"/>
        </w:rPr>
        <w:softHyphen/>
        <w:t>вый корпус (1-й Прибалтийский фронт) также был осна</w:t>
      </w:r>
      <w:r w:rsidRPr="00D03F3E">
        <w:rPr>
          <w:rFonts w:ascii="Times New Roman" w:hAnsi="Times New Roman"/>
          <w:color w:val="000000" w:themeColor="text1"/>
          <w:sz w:val="16"/>
          <w:szCs w:val="16"/>
        </w:rPr>
        <w:softHyphen/>
        <w:t>щен танками американского и английского производства и к 15 августа 1944 г. имел 99 М4А2 и 23 «Валентайн IX» (11135).</w:t>
      </w:r>
    </w:p>
    <w:p w14:paraId="500BF6A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5D0166" w14:textId="2195B6F8" w:rsidR="00A32DCA" w:rsidRPr="00D03F3E" w:rsidRDefault="00A32DCA"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D03F3E">
        <w:rPr>
          <w:rFonts w:ascii="Times New Roman" w:hAnsi="Times New Roman"/>
          <w:i/>
          <w:iCs/>
          <w:color w:val="000000" w:themeColor="text1"/>
          <w:sz w:val="16"/>
          <w:szCs w:val="16"/>
        </w:rPr>
        <w:t>За рубежом:</w:t>
      </w:r>
    </w:p>
    <w:p w14:paraId="01C90AC8" w14:textId="77777777" w:rsidR="00A32DCA" w:rsidRPr="00D03F3E" w:rsidRDefault="00A32DCA"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7991054" w14:textId="77777777" w:rsidR="00A32DCA" w:rsidRPr="00D03F3E" w:rsidRDefault="00A32DC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период с апреля 1943 по март 1944 г. производство самолетов Ki-46 достигло пика – было сдано 602 машины всех модификаций. С весны 1944 г. суточный темп сдачи самолетов еще более увеличился, но в декабре 1944 г. завод был сильно разрушен землетрясением, а затем подвергся налету В</w:t>
      </w:r>
      <w:r w:rsidRPr="00D03F3E">
        <w:rPr>
          <w:rFonts w:ascii="Times New Roman" w:hAnsi="Times New Roman"/>
          <w:color w:val="0070C0"/>
          <w:sz w:val="16"/>
          <w:szCs w:val="16"/>
        </w:rPr>
        <w:noBreakHyphen/>
        <w:t>29 20-й ВА США и производство самолетов Ki</w:t>
      </w:r>
      <w:r w:rsidRPr="00D03F3E">
        <w:rPr>
          <w:rFonts w:ascii="Times New Roman" w:hAnsi="Times New Roman"/>
          <w:color w:val="0070C0"/>
          <w:sz w:val="16"/>
          <w:szCs w:val="16"/>
        </w:rPr>
        <w:noBreakHyphen/>
        <w:t>46</w:t>
      </w:r>
      <w:r w:rsidRPr="00D03F3E">
        <w:rPr>
          <w:rFonts w:ascii="Times New Roman" w:hAnsi="Times New Roman"/>
          <w:color w:val="0070C0"/>
          <w:sz w:val="16"/>
          <w:szCs w:val="16"/>
        </w:rPr>
        <w:noBreakHyphen/>
        <w:t>III было переведен на новый завод в г. Тояма. Всего до конца войны построено 609 самолетов Ki</w:t>
      </w:r>
      <w:r w:rsidRPr="00D03F3E">
        <w:rPr>
          <w:rFonts w:ascii="Times New Roman" w:hAnsi="Times New Roman"/>
          <w:color w:val="0070C0"/>
          <w:sz w:val="16"/>
          <w:szCs w:val="16"/>
        </w:rPr>
        <w:noBreakHyphen/>
        <w:t>46</w:t>
      </w:r>
      <w:r w:rsidRPr="00D03F3E">
        <w:rPr>
          <w:rFonts w:ascii="Times New Roman" w:hAnsi="Times New Roman"/>
          <w:color w:val="0070C0"/>
          <w:sz w:val="16"/>
          <w:szCs w:val="16"/>
        </w:rPr>
        <w:noBreakHyphen/>
        <w:t>III всех подвариантов, из них около 100 – на заводе в г. Тояма в 1945 г. (23177).</w:t>
      </w:r>
    </w:p>
    <w:p w14:paraId="16141DE4" w14:textId="77777777" w:rsidR="00A32DCA" w:rsidRPr="00D03F3E" w:rsidRDefault="00A32DCA" w:rsidP="00D03F3E">
      <w:pPr>
        <w:spacing w:after="0" w:line="240" w:lineRule="auto"/>
        <w:jc w:val="both"/>
        <w:rPr>
          <w:rFonts w:ascii="Times New Roman" w:hAnsi="Times New Roman"/>
          <w:color w:val="0070C0"/>
          <w:sz w:val="16"/>
          <w:szCs w:val="16"/>
        </w:rPr>
      </w:pPr>
    </w:p>
    <w:p w14:paraId="76018A4D" w14:textId="060B7D0D"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3423A9E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3ACF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маю 1943 г. оборонительная установка ВУБ-3 Ил-2 была мо</w:t>
      </w:r>
      <w:r w:rsidRPr="00D03F3E">
        <w:rPr>
          <w:rFonts w:ascii="Times New Roman" w:hAnsi="Times New Roman"/>
          <w:color w:val="000000" w:themeColor="text1"/>
          <w:sz w:val="16"/>
          <w:szCs w:val="16"/>
        </w:rPr>
        <w:softHyphen/>
        <w:t>дернизирована. Электрический подтяг патронной ленты заме</w:t>
      </w:r>
      <w:r w:rsidRPr="00D03F3E">
        <w:rPr>
          <w:rFonts w:ascii="Times New Roman" w:hAnsi="Times New Roman"/>
          <w:color w:val="000000" w:themeColor="text1"/>
          <w:sz w:val="16"/>
          <w:szCs w:val="16"/>
        </w:rPr>
        <w:softHyphen/>
        <w:t xml:space="preserve">нили механическим. Изменили габариты и </w:t>
      </w:r>
      <w:r w:rsidRPr="00D03F3E">
        <w:rPr>
          <w:rFonts w:ascii="Times New Roman" w:hAnsi="Times New Roman"/>
          <w:color w:val="000000" w:themeColor="text1"/>
          <w:sz w:val="16"/>
          <w:szCs w:val="16"/>
        </w:rPr>
        <w:lastRenderedPageBreak/>
        <w:t>подвеску патрон</w:t>
      </w:r>
      <w:r w:rsidRPr="00D03F3E">
        <w:rPr>
          <w:rFonts w:ascii="Times New Roman" w:hAnsi="Times New Roman"/>
          <w:color w:val="000000" w:themeColor="text1"/>
          <w:sz w:val="16"/>
          <w:szCs w:val="16"/>
        </w:rPr>
        <w:softHyphen/>
        <w:t>ного ящика, что привело к некоторому расширению углов об</w:t>
      </w:r>
      <w:r w:rsidRPr="00D03F3E">
        <w:rPr>
          <w:rFonts w:ascii="Times New Roman" w:hAnsi="Times New Roman"/>
          <w:color w:val="000000" w:themeColor="text1"/>
          <w:sz w:val="16"/>
          <w:szCs w:val="16"/>
        </w:rPr>
        <w:softHyphen/>
        <w:t>стрела пулемета УБТ: вверх — до 45°, влево — 60°, вправо — 36°, вниз по борту — 5° (11474,296).</w:t>
      </w:r>
    </w:p>
    <w:p w14:paraId="06496C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78245C" w14:textId="77777777" w:rsidR="00A32DCA" w:rsidRPr="00D03F3E" w:rsidRDefault="00A32DCA"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К маю 1943 г. уже был запущен в большую серию улучшенным вари</w:t>
      </w:r>
      <w:r w:rsidRPr="00D03F3E">
        <w:rPr>
          <w:rFonts w:ascii="Times New Roman" w:hAnsi="Times New Roman" w:cs="Times New Roman"/>
          <w:color w:val="0070C0"/>
          <w:sz w:val="16"/>
          <w:szCs w:val="16"/>
        </w:rPr>
        <w:softHyphen/>
        <w:t>антом ВУБ-3. На усовершенствованной ВУБ-3 повысили надежность механического подтяга патронной ленты, увеличили размер верхних роликов ка</w:t>
      </w:r>
      <w:r w:rsidRPr="00D03F3E">
        <w:rPr>
          <w:rFonts w:ascii="Times New Roman" w:hAnsi="Times New Roman" w:cs="Times New Roman"/>
          <w:color w:val="0070C0"/>
          <w:sz w:val="16"/>
          <w:szCs w:val="16"/>
        </w:rPr>
        <w:softHyphen/>
        <w:t>ретки, изменили габариты и подвеску патрон</w:t>
      </w:r>
      <w:r w:rsidRPr="00D03F3E">
        <w:rPr>
          <w:rFonts w:ascii="Times New Roman" w:hAnsi="Times New Roman" w:cs="Times New Roman"/>
          <w:color w:val="0070C0"/>
          <w:sz w:val="16"/>
          <w:szCs w:val="16"/>
        </w:rPr>
        <w:softHyphen/>
        <w:t>ного ящика и мешка для сбора гильз и зве</w:t>
      </w:r>
      <w:r w:rsidRPr="00D03F3E">
        <w:rPr>
          <w:rFonts w:ascii="Times New Roman" w:hAnsi="Times New Roman" w:cs="Times New Roman"/>
          <w:color w:val="0070C0"/>
          <w:sz w:val="16"/>
          <w:szCs w:val="16"/>
        </w:rPr>
        <w:softHyphen/>
        <w:t>ньев. Маневренность и надежность установки улучшились. Прицельные углы обстрела УБТ увеличились (с мешком для гильз и звеньев на 75 патронов): вверх - до 40°, влево - до 45°, вправо - до 40°, вниз по борту - до 11°. Однако это все же не обеспечивало требуе</w:t>
      </w:r>
      <w:r w:rsidRPr="00D03F3E">
        <w:rPr>
          <w:rFonts w:ascii="Times New Roman" w:hAnsi="Times New Roman" w:cs="Times New Roman"/>
          <w:color w:val="0070C0"/>
          <w:sz w:val="16"/>
          <w:szCs w:val="16"/>
        </w:rPr>
        <w:softHyphen/>
        <w:t>мого повышения обороноспособности. К тому же при углах возвышения 35° и выше и при доводке установки влево</w:t>
      </w:r>
      <w:r w:rsidRPr="00D03F3E">
        <w:rPr>
          <w:rStyle w:val="800"/>
          <w:rFonts w:ascii="Times New Roman" w:hAnsi="Times New Roman" w:cs="Times New Roman"/>
          <w:i w:val="0"/>
          <w:iCs w:val="0"/>
          <w:color w:val="0070C0"/>
          <w:w w:val="100"/>
          <w:sz w:val="16"/>
          <w:szCs w:val="16"/>
        </w:rPr>
        <w:t xml:space="preserve"> «рукав питания и его горловина упирались в кольцо»,</w:t>
      </w:r>
      <w:r w:rsidRPr="00D03F3E">
        <w:rPr>
          <w:rFonts w:ascii="Times New Roman" w:hAnsi="Times New Roman" w:cs="Times New Roman"/>
          <w:color w:val="0070C0"/>
          <w:sz w:val="16"/>
          <w:szCs w:val="16"/>
        </w:rPr>
        <w:t xml:space="preserve"> что приводило к задержкам в работе оружия. Недостаточной оказалась и прочность горловины патронного рукава (19879).</w:t>
      </w:r>
    </w:p>
    <w:p w14:paraId="1217D9F5" w14:textId="77777777" w:rsidR="00A32DCA" w:rsidRPr="00D03F3E" w:rsidRDefault="00A32DCA" w:rsidP="00D03F3E">
      <w:pPr>
        <w:spacing w:after="0" w:line="240" w:lineRule="auto"/>
        <w:jc w:val="both"/>
        <w:rPr>
          <w:rFonts w:ascii="Times New Roman" w:hAnsi="Times New Roman"/>
          <w:color w:val="0070C0"/>
          <w:sz w:val="16"/>
          <w:szCs w:val="16"/>
        </w:rPr>
      </w:pPr>
    </w:p>
    <w:p w14:paraId="6E2BE4F8" w14:textId="77777777" w:rsidR="00A0130C" w:rsidRPr="00D03F3E" w:rsidRDefault="00A013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 маю 1943 года на втором Ил-4 с гермокаби</w:t>
      </w:r>
      <w:r w:rsidRPr="00D03F3E">
        <w:rPr>
          <w:rFonts w:ascii="Times New Roman" w:hAnsi="Times New Roman"/>
          <w:color w:val="0070C0"/>
          <w:sz w:val="16"/>
          <w:szCs w:val="16"/>
        </w:rPr>
        <w:softHyphen/>
        <w:t>ной, предъявленном на летные испытания 12 марта, выполнили восемь полетов. На этом же самолете за</w:t>
      </w:r>
      <w:r w:rsidRPr="00D03F3E">
        <w:rPr>
          <w:rFonts w:ascii="Times New Roman" w:hAnsi="Times New Roman"/>
          <w:color w:val="0070C0"/>
          <w:sz w:val="16"/>
          <w:szCs w:val="16"/>
        </w:rPr>
        <w:softHyphen/>
        <w:t>планировали замену гермокабины новой, с улучшен</w:t>
      </w:r>
      <w:r w:rsidRPr="00D03F3E">
        <w:rPr>
          <w:rFonts w:ascii="Times New Roman" w:hAnsi="Times New Roman"/>
          <w:color w:val="0070C0"/>
          <w:sz w:val="16"/>
          <w:szCs w:val="16"/>
        </w:rPr>
        <w:softHyphen/>
        <w:t>ным обзором летчика в сторону и назад.</w:t>
      </w:r>
    </w:p>
    <w:p w14:paraId="24FBFA2D" w14:textId="77777777" w:rsidR="00A0130C" w:rsidRPr="00D03F3E" w:rsidRDefault="00A013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Одной из сложнейших задач создания высотного Ил-4 был выбор воздушного винта. Для этого на зем</w:t>
      </w:r>
      <w:r w:rsidRPr="00D03F3E">
        <w:rPr>
          <w:rFonts w:ascii="Times New Roman" w:hAnsi="Times New Roman"/>
          <w:color w:val="0070C0"/>
          <w:sz w:val="16"/>
          <w:szCs w:val="16"/>
        </w:rPr>
        <w:softHyphen/>
        <w:t>ле опробовали трехлопастный винт ВИШ-61П, четы</w:t>
      </w:r>
      <w:r w:rsidRPr="00D03F3E">
        <w:rPr>
          <w:rFonts w:ascii="Times New Roman" w:hAnsi="Times New Roman"/>
          <w:color w:val="0070C0"/>
          <w:sz w:val="16"/>
          <w:szCs w:val="16"/>
        </w:rPr>
        <w:softHyphen/>
        <w:t>рехлопастный АВ-9 и ВИШ-23. ВИШ-61П раскручи</w:t>
      </w:r>
      <w:r w:rsidRPr="00D03F3E">
        <w:rPr>
          <w:rFonts w:ascii="Times New Roman" w:hAnsi="Times New Roman"/>
          <w:color w:val="0070C0"/>
          <w:sz w:val="16"/>
          <w:szCs w:val="16"/>
        </w:rPr>
        <w:softHyphen/>
        <w:t>вался на земле, а с АВ-9 мотор не додавал оборотов. Специалисты остановили свой выбор на последнем.</w:t>
      </w:r>
    </w:p>
    <w:p w14:paraId="71B96264" w14:textId="77777777" w:rsidR="00A0130C" w:rsidRPr="00D03F3E" w:rsidRDefault="00A013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Однако в полете 16 сентября на Ил-4 с герметичной кабиной и двигателями М-88Б, оснащенными турбо</w:t>
      </w:r>
      <w:r w:rsidRPr="00D03F3E">
        <w:rPr>
          <w:rFonts w:ascii="Times New Roman" w:hAnsi="Times New Roman"/>
          <w:color w:val="0070C0"/>
          <w:sz w:val="16"/>
          <w:szCs w:val="16"/>
        </w:rPr>
        <w:softHyphen/>
        <w:t>компрессорами ТК-М, был выполнен полет на высо</w:t>
      </w:r>
      <w:r w:rsidRPr="00D03F3E">
        <w:rPr>
          <w:rFonts w:ascii="Times New Roman" w:hAnsi="Times New Roman"/>
          <w:color w:val="0070C0"/>
          <w:sz w:val="16"/>
          <w:szCs w:val="16"/>
        </w:rPr>
        <w:softHyphen/>
        <w:t>те 7500 метров, в котором обнаружилась раскрутка ВИШ-23. Испытания приостановили (23188).</w:t>
      </w:r>
    </w:p>
    <w:p w14:paraId="7000928E" w14:textId="77777777" w:rsidR="00A0130C" w:rsidRPr="00D03F3E" w:rsidRDefault="00A0130C" w:rsidP="00D03F3E">
      <w:pPr>
        <w:spacing w:after="0" w:line="240" w:lineRule="auto"/>
        <w:jc w:val="both"/>
        <w:rPr>
          <w:rFonts w:ascii="Times New Roman" w:hAnsi="Times New Roman"/>
          <w:color w:val="0070C0"/>
          <w:sz w:val="16"/>
          <w:szCs w:val="16"/>
        </w:rPr>
      </w:pPr>
    </w:p>
    <w:p w14:paraId="49CEC4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маю 1943 Пе-2ВИ был готов к полетам (235,5).</w:t>
      </w:r>
    </w:p>
    <w:p w14:paraId="1C4D0D9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0E66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маю 1943 г., после преодоления многочисленных неувязок и трудностей, самолет Пе-2ВИ (зав. № 15/161) подготовили к полетам. Нужно отметить, что к этому времени моторы М-105ПД не удалось “довести”, поэтому они нередко отказывали, не обеспечивая требуемой высотности. Путилов решил второй экземпляр машины оснастить другим вариантом силовой установки - моторами М-82НВ с турбокомпрессорами ТК-3. Опыт создания Пе-2 с М-82 в КБ уже имелся: накануне успешно прошел испытания опытный самолет зав. № 19/31. В ходе первых полетов Пе-2ВИ выявились дефекты гермокабины, в которой уже на рулежке быстро нарастала температура и запотевали стекла. Впрочем, Путилов рассчитывал быстро управиться с недостатками, а пока доложил “наверх”, что высотный истребитель, созданный на базе Пе-2, уже летает. Результат доклада оказался ошеломляющим. В то время авиация флота испытывала большую нужду в дальнем двухмоторном истребителе для прикрытия северных конвоев, операций легких сил на Черном море и т. п. По прошествии полугода с момента прекращения производства Пе-3бис разведывательные полки ВВС КА также нуждались в пополнении, поскольку по дальности полета серийный вариант Пе-2 “разведчик” уступал “тройке”. Как всегда на войне, самолеты нужны были немедленно (4476).</w:t>
      </w:r>
    </w:p>
    <w:p w14:paraId="6A8C26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BDAC9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091C3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0E0E2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маю 1943 г. гарантированная нара</w:t>
      </w:r>
      <w:r w:rsidRPr="00D03F3E">
        <w:rPr>
          <w:rFonts w:ascii="Times New Roman" w:hAnsi="Times New Roman"/>
          <w:color w:val="000000" w:themeColor="text1"/>
          <w:sz w:val="16"/>
          <w:szCs w:val="16"/>
        </w:rPr>
        <w:softHyphen/>
        <w:t>ботка дизеля В-2 составила 150-180 часов, а осенью при ис</w:t>
      </w:r>
      <w:r w:rsidRPr="00D03F3E">
        <w:rPr>
          <w:rFonts w:ascii="Times New Roman" w:hAnsi="Times New Roman"/>
          <w:color w:val="000000" w:themeColor="text1"/>
          <w:sz w:val="16"/>
          <w:szCs w:val="16"/>
        </w:rPr>
        <w:softHyphen/>
        <w:t>пытании на ряде предприятий превысила 200 (11135).</w:t>
      </w:r>
    </w:p>
    <w:p w14:paraId="0D42FE9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2D8E57"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4BA953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FC4C1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маю 1943 г. три самолета 47-го полка налетали больше часов, чем все машины 132-го. В мае 47-й гвардейский полк пополнили десятью Ту-2, переданными из последнего. Их тоже оснастили фотоаппаратурой. Новые потери самолетов последовали в ходе Орловско-Брянской операции. Три машины были сбиты в июле и одна в августе. За неделю до начала Курской битвы летчик А. Дрыгин проводил фотосъемку порта в Пярну. Над целью его обстреляла зенитная артиллерия. Близким разрывом поразило один из моторов. На одном двигателе пилот протянул около 500 км и совершил вынужденную посадку с убранным шасси уже на нейтральной полосе между позициями советских и немецких войск. Экипаж забрал отснятые кассеты и ушел к своим. Самолет, чтобы тот не достался противнику, расстреляла артиллерия. К концу осени 1943 г. в полку осталось шесть боеспособных Ту-2. Войсковые испытания Ту-2 в качестве разведчика завершились в ноябре 1943 г. К этому времени хорошо зарекомендовавший себя самолет вновь запустили в серийное производство. Но строил Ту-2 уже другой завод, да и машина стала несколько иной (11988).</w:t>
      </w:r>
    </w:p>
    <w:p w14:paraId="6E0086D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40E6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маю 1943 г. число русских служащих в небольших подразделения, исполнявшие вспомогательную и полицейскую службу во втором эшелоне вермахта, достигло 600 тысяч человек. Люди попадали в них разными путями: спасаясь от голодной смерти, становясь жертвами безволия и провокаций, в результате обыденного желания обустроиться в изменившейся обстановке, но встречались и идейные противники советской власти или, напротив, надеявшиеся при первой возможности с оружием в руках пробиться к своим (4538).</w:t>
      </w:r>
    </w:p>
    <w:p w14:paraId="45C670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DFF1B4" w14:textId="77777777" w:rsidR="006F4324" w:rsidRPr="00D03F3E" w:rsidRDefault="006F432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72486792" w14:textId="77777777" w:rsidR="006F4324" w:rsidRPr="00D03F3E" w:rsidRDefault="006F432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BA3C6E" w14:textId="77777777" w:rsidR="006F4324" w:rsidRPr="00D03F3E" w:rsidRDefault="006F432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маю 1943 г. американские товары появились на "черном рынке". А вскоре "тушенку" стали выдавать по установленным нормам всему гражданскому населению. На подобные сообщения правительство США старалось не реагировать. Чтобы лишний раз не раздражать Сталина, госдепартамент советовал консулам не придавать пока особого значения и другим, более серьезным фактам нарушения Советским Союзом взаимных соглашений, таким, как распродажа ленд-лизовско-го продовольствия в Иране, Польше и Финляндии. Такого рода факты не могли не вызвать настороженность, постепенно перераставшую в недоверие к Советскому Союзу. Впрочем, это не повлияло в значительной мере на объемы продовольственных поставок по очередному и последнему Протоколу. Помощь СССР по-прежнему являлась жизненно важной, как это было записано в преамбуле к закону о ленд-лизе, "для обеспечения обороны США (19582).</w:t>
      </w:r>
    </w:p>
    <w:p w14:paraId="29AD337C" w14:textId="77777777" w:rsidR="006F4324" w:rsidRPr="00D03F3E" w:rsidRDefault="006F4324" w:rsidP="00D03F3E">
      <w:pPr>
        <w:spacing w:after="0" w:line="240" w:lineRule="auto"/>
        <w:jc w:val="both"/>
        <w:rPr>
          <w:rFonts w:ascii="Times New Roman" w:hAnsi="Times New Roman"/>
          <w:color w:val="000000" w:themeColor="text1"/>
          <w:sz w:val="16"/>
          <w:szCs w:val="16"/>
        </w:rPr>
      </w:pPr>
    </w:p>
    <w:p w14:paraId="749CE89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2950E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47FC8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 мая 1943 были закончены на</w:t>
      </w:r>
      <w:r w:rsidRPr="00D03F3E">
        <w:rPr>
          <w:rFonts w:ascii="Times New Roman" w:hAnsi="Times New Roman"/>
          <w:color w:val="000000" w:themeColor="text1"/>
          <w:sz w:val="16"/>
          <w:szCs w:val="16"/>
        </w:rPr>
        <w:softHyphen/>
        <w:t>земные испытания бомбардировоч</w:t>
      </w:r>
      <w:r w:rsidRPr="00D03F3E">
        <w:rPr>
          <w:rFonts w:ascii="Times New Roman" w:hAnsi="Times New Roman"/>
          <w:color w:val="000000" w:themeColor="text1"/>
          <w:sz w:val="16"/>
          <w:szCs w:val="16"/>
        </w:rPr>
        <w:softHyphen/>
        <w:t>ного и стрелково-пушечного воору</w:t>
      </w:r>
      <w:r w:rsidRPr="00D03F3E">
        <w:rPr>
          <w:rFonts w:ascii="Times New Roman" w:hAnsi="Times New Roman"/>
          <w:color w:val="000000" w:themeColor="text1"/>
          <w:sz w:val="16"/>
          <w:szCs w:val="16"/>
        </w:rPr>
        <w:softHyphen/>
        <w:t>жения Ил-2М, и самолет "перевезли в тир для горячего отстрела оружия". Все вооружение работало безотказно. Серьезные претензии были только к оборонительной пулеметной установ</w:t>
      </w:r>
      <w:r w:rsidRPr="00D03F3E">
        <w:rPr>
          <w:rFonts w:ascii="Times New Roman" w:hAnsi="Times New Roman"/>
          <w:color w:val="000000" w:themeColor="text1"/>
          <w:sz w:val="16"/>
          <w:szCs w:val="16"/>
        </w:rPr>
        <w:softHyphen/>
        <w:t>ке, так как ее отстрел вообще не удалось произвести "ввиду задержек в механизме подтяга".</w:t>
      </w:r>
    </w:p>
    <w:p w14:paraId="43AFCD0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отработки системы убор</w:t>
      </w:r>
      <w:r w:rsidRPr="00D03F3E">
        <w:rPr>
          <w:rFonts w:ascii="Times New Roman" w:hAnsi="Times New Roman"/>
          <w:color w:val="000000" w:themeColor="text1"/>
          <w:sz w:val="16"/>
          <w:szCs w:val="16"/>
        </w:rPr>
        <w:softHyphen/>
        <w:t>ки и выпуска шасси началась летная часть программы предварительных заводских испытаний. На самолете устанавливался опытный воздушный винт АВ-5л-18А диаметром 4,0м про</w:t>
      </w:r>
      <w:r w:rsidRPr="00D03F3E">
        <w:rPr>
          <w:rFonts w:ascii="Times New Roman" w:hAnsi="Times New Roman"/>
          <w:color w:val="000000" w:themeColor="text1"/>
          <w:sz w:val="16"/>
          <w:szCs w:val="16"/>
        </w:rPr>
        <w:softHyphen/>
        <w:t>изводства завода № 35.</w:t>
      </w:r>
    </w:p>
    <w:p w14:paraId="4A58E39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первой же рулежке обнару</w:t>
      </w:r>
      <w:r w:rsidRPr="00D03F3E">
        <w:rPr>
          <w:rFonts w:ascii="Times New Roman" w:hAnsi="Times New Roman"/>
          <w:color w:val="000000" w:themeColor="text1"/>
          <w:sz w:val="16"/>
          <w:szCs w:val="16"/>
        </w:rPr>
        <w:softHyphen/>
        <w:t>жилась "течь через манжеты цилинд</w:t>
      </w:r>
      <w:r w:rsidRPr="00D03F3E">
        <w:rPr>
          <w:rFonts w:ascii="Times New Roman" w:hAnsi="Times New Roman"/>
          <w:color w:val="000000" w:themeColor="text1"/>
          <w:sz w:val="16"/>
          <w:szCs w:val="16"/>
        </w:rPr>
        <w:softHyphen/>
        <w:t>ровой группы (типа Ротол)"винта. Как следствие, моторное масло, попадая в корпус цилиндра, выбрасывалось "центробежной силой через стакан, смазывая резьбу стакана и лопасти, а также поверхности, обеспечиваю</w:t>
      </w:r>
      <w:r w:rsidRPr="00D03F3E">
        <w:rPr>
          <w:rFonts w:ascii="Times New Roman" w:hAnsi="Times New Roman"/>
          <w:color w:val="000000" w:themeColor="text1"/>
          <w:sz w:val="16"/>
          <w:szCs w:val="16"/>
        </w:rPr>
        <w:softHyphen/>
        <w:t>щие необходимую затяжку лопастей". Это приводило "к произвольному проворачиванию лопасти в стакане".</w:t>
      </w:r>
    </w:p>
    <w:p w14:paraId="4F2059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Устранение выявленных дефектов винтовой группы затянулось до кон</w:t>
      </w:r>
      <w:r w:rsidRPr="00D03F3E">
        <w:rPr>
          <w:rFonts w:ascii="Times New Roman" w:hAnsi="Times New Roman"/>
          <w:color w:val="000000" w:themeColor="text1"/>
          <w:sz w:val="16"/>
          <w:szCs w:val="16"/>
        </w:rPr>
        <w:softHyphen/>
        <w:t>ца мая. Поэтому полеты по програм</w:t>
      </w:r>
      <w:r w:rsidRPr="00D03F3E">
        <w:rPr>
          <w:rFonts w:ascii="Times New Roman" w:hAnsi="Times New Roman"/>
          <w:color w:val="000000" w:themeColor="text1"/>
          <w:sz w:val="16"/>
          <w:szCs w:val="16"/>
        </w:rPr>
        <w:softHyphen/>
        <w:t>ме заводских испытаний начались лишь в следующем месяце (11427).</w:t>
      </w:r>
    </w:p>
    <w:p w14:paraId="2726777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C1198C" w14:textId="77777777" w:rsidR="00180E22" w:rsidRPr="00D03F3E" w:rsidRDefault="00180E2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 мая 1943 были закончены наземные испытания бомбардировочного и стрелково-пушечного вооружения и самолет Ил-2 М «перевезли в тир для горячего отстрела оружия». Все вооружение работало безотказно. Серьезные претензии были только к оборонительной пулеметной установке, так как ее отстрел произвести не удалось «ввиду задержек в механизме подтяга».</w:t>
      </w:r>
    </w:p>
    <w:p w14:paraId="4FFDCE20" w14:textId="77777777" w:rsidR="00180E22" w:rsidRPr="00D03F3E" w:rsidRDefault="00180E2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отработки системы уборки и выпуска шасси и гонки мотора началась летная часть программы предварительных заводских испытаний.</w:t>
      </w:r>
    </w:p>
    <w:p w14:paraId="56D9794A" w14:textId="77777777" w:rsidR="00180E22" w:rsidRPr="00D03F3E" w:rsidRDefault="00180E2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первой же рулежке обнаружилась «течь через манжеты цилиндровой группы (типа Ротол)» винта. Как следствие, моторное масло, попадая в корпус цилиндра, выбрасывалось «центробежной силой через стакан, смазывая резьбу стакана и лопасти, а также поверхности, обеспечивающие необходимую затяжку лопастей». Это приводило «к произвольному проворачиванию лопасти в стакане».</w:t>
      </w:r>
    </w:p>
    <w:p w14:paraId="700EF9A6" w14:textId="77777777" w:rsidR="00180E22" w:rsidRPr="00D03F3E" w:rsidRDefault="00180E2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Устранение выявленных дефектов винтовой группы затянулось до конца мая. Поэтому полеты по программе заводских испытаний начались лишь в следующем месяце. По некоторым данным, первый полет Ил-2М выполнил 2 июня. Все полеты проводились при полетном весе 6570 кг (без бомб и боезапаса к пушкам и пулеметам).</w:t>
      </w:r>
    </w:p>
    <w:p w14:paraId="098C597B" w14:textId="77777777" w:rsidR="00180E22" w:rsidRPr="00D03F3E" w:rsidRDefault="00180E2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летным данным Ил-2М оказался значительно лучше серийного Ил-2 АМ-38ф. Максимальная скорость горизонтального полета достигала 470 км/ч – на границе высотности 2500 м и 440 км/ч – у земли. Вертикальная скорость у земли оценивалась примерно на уровне 10 м/с.</w:t>
      </w:r>
    </w:p>
    <w:p w14:paraId="6851870B" w14:textId="77777777" w:rsidR="00180E22" w:rsidRPr="00D03F3E" w:rsidRDefault="00180E2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Из-за сильной тряски мотора и винта, которая обнаружилась в первом же полете, летные данные самолета в полном объеме снять не удалось. Тряска появлялась при оборотах винта 2220 об/мин и ниже. Причем «при утяжелении винта» тряска увеличивалась «до размеров, препятствующих нормальному полету». Кроме этого, «при резкой даче газа наблюдался заброс оборотов винта на 150–200 об/мин при очень быстром восстановлении (3–4 сек)». Раскрутки винта не было.</w:t>
      </w:r>
    </w:p>
    <w:p w14:paraId="1AB69627" w14:textId="77777777" w:rsidR="00180E22" w:rsidRPr="00D03F3E" w:rsidRDefault="00180E2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демонстрировал вполне приличные пилотажные качества. При наборе высоты, в горизонтальном полете и на планировании штурмовик был устойчив во всех плоскостях. Устойчивость оказалась даже несколько излишней. В отчете по испытаниям отмечалось, что «при возникновении крена при болтанке самолет не быстро возвращается в горизонтальное положение и требует значительных усилий для выравнивания». Эффективность триммера элерона оценивалась как недостаточная. При вводе самолета в разворот для создания крена необходимо было приложить большие усилия. Заметного запаздывания в реагировании на отклонение рулей не наблюдалось. Посадка, даже без щитков, производилась без затруднений. Отклонение рулей было вполне достаточным.</w:t>
      </w:r>
    </w:p>
    <w:p w14:paraId="69AB11E2" w14:textId="77777777" w:rsidR="00180E22" w:rsidRPr="00D03F3E" w:rsidRDefault="00180E2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рулежке и взлете самолет хорошо выдерживал прямолинейное движение, был «послушен к тормозам», тенденций к подъему хвоста и развороту не имел. Самолет быстро набирал скорость и отрывался от земли.</w:t>
      </w:r>
    </w:p>
    <w:p w14:paraId="62DA0263" w14:textId="77777777" w:rsidR="00180E22" w:rsidRPr="00D03F3E" w:rsidRDefault="00180E2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 работал устойчиво без признаков детонации, показывая хорошую приемистость. Новая схема размещения водо- и маслорадиаторов оказалась вполне удачной: температура воды и масла на всех режимах полета находилась в пределах нормы. В то же время воздушный пылефильтр ЦАГИ не обеспечивал требуемых значений наддува воздуха на номинальном и взлетном режимах. Требовалось изменить его конструкцию. Для надежной работы системы охлаждения предлагалось повысить давление воды на входе в помпу путем увеличения диаметра пароотводящих трубок от блоков цилиндров до 14–16 мм (вместо 12 мм) и диаметра компенсационной трубки до 40 мм (вместо 33 мм). Кроме этого, в маслосистему самолета было необходимо ввести приспособление, обеспечивавшее «зашпринцовку масла в систему мотора перед запуском». Дело в том, что в связи с введением поддона картера «мотор значительно осушился» и при запуске работал без подачи масла (по манометру) в течение 5–10 с.</w:t>
      </w:r>
    </w:p>
    <w:p w14:paraId="609A7065" w14:textId="77777777" w:rsidR="00180E22" w:rsidRPr="00D03F3E" w:rsidRDefault="00180E2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летным, пилотажным и эксплуатационным возможностям новый штурмовик производил вполне благоприятное впечатление, но постоянная тряска не позволяла нормально летать (17490).</w:t>
      </w:r>
    </w:p>
    <w:p w14:paraId="1FD6CA21" w14:textId="77777777" w:rsidR="00180E22" w:rsidRPr="00D03F3E" w:rsidRDefault="00180E22" w:rsidP="00D03F3E">
      <w:pPr>
        <w:spacing w:after="0" w:line="240" w:lineRule="auto"/>
        <w:jc w:val="both"/>
        <w:rPr>
          <w:rFonts w:ascii="Times New Roman" w:hAnsi="Times New Roman"/>
          <w:color w:val="000000" w:themeColor="text1"/>
          <w:sz w:val="16"/>
          <w:szCs w:val="16"/>
        </w:rPr>
      </w:pPr>
    </w:p>
    <w:p w14:paraId="0E151BF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мая 1943 состоялась макетная комиссии по Пе-2 ДБ с АШ-82 (4,174).</w:t>
      </w:r>
    </w:p>
    <w:p w14:paraId="5ADFCE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009A5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D2E307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06CAF6" w14:textId="77777777" w:rsidR="00D03EB0" w:rsidRPr="00D03F3E" w:rsidRDefault="00D03EB0"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 мая 1943 г. отработать 122-мм кумулятивный и 152-мм бронебойный снаряд упрощенной конструкции.</w:t>
      </w:r>
    </w:p>
    <w:p w14:paraId="1FA4DE8A" w14:textId="77777777" w:rsidR="00D03EB0" w:rsidRPr="00D03F3E" w:rsidRDefault="00D03EB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Главному Артиллерийскому Управлению в 10-дневный срок по готовности указанных снарядов провести испытания их и оформить чертежи для валового производства. </w:t>
      </w:r>
    </w:p>
    <w:p w14:paraId="12FA1D31" w14:textId="77777777" w:rsidR="00D03EB0" w:rsidRPr="00D03F3E" w:rsidRDefault="00D03EB0"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Обязать Наркомат Химической Промышленности (тов. Первухина), НКРезинпром (тов. Митрохина) обеспечить поставку Наркомцветмету материалов сверх отпускаемых фондов и вне очереди, необходимых для производства подкалиберных сердечников, по следующему плану (в тоннах):</w:t>
      </w:r>
    </w:p>
    <w:tbl>
      <w:tblPr>
        <w:tblW w:w="995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28"/>
        <w:gridCol w:w="1060"/>
        <w:gridCol w:w="757"/>
        <w:gridCol w:w="897"/>
        <w:gridCol w:w="888"/>
        <w:gridCol w:w="1020"/>
      </w:tblGrid>
      <w:tr w:rsidR="00860B4B" w:rsidRPr="00D03F3E" w14:paraId="4D2F173E" w14:textId="77777777" w:rsidTr="00420B57">
        <w:tc>
          <w:tcPr>
            <w:tcW w:w="5328" w:type="dxa"/>
            <w:shd w:val="clear" w:color="auto" w:fill="auto"/>
            <w:hideMark/>
          </w:tcPr>
          <w:p w14:paraId="203EA5BD"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w:t>
            </w:r>
          </w:p>
        </w:tc>
        <w:tc>
          <w:tcPr>
            <w:tcW w:w="0" w:type="auto"/>
            <w:shd w:val="clear" w:color="auto" w:fill="auto"/>
            <w:hideMark/>
          </w:tcPr>
          <w:p w14:paraId="1E68FB56"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Апрель</w:t>
            </w:r>
          </w:p>
        </w:tc>
        <w:tc>
          <w:tcPr>
            <w:tcW w:w="0" w:type="auto"/>
            <w:shd w:val="clear" w:color="auto" w:fill="auto"/>
            <w:hideMark/>
          </w:tcPr>
          <w:p w14:paraId="3C7EC425"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Май</w:t>
            </w:r>
          </w:p>
        </w:tc>
        <w:tc>
          <w:tcPr>
            <w:tcW w:w="0" w:type="auto"/>
            <w:shd w:val="clear" w:color="auto" w:fill="auto"/>
            <w:hideMark/>
          </w:tcPr>
          <w:p w14:paraId="6637983B"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Июнь</w:t>
            </w:r>
          </w:p>
        </w:tc>
        <w:tc>
          <w:tcPr>
            <w:tcW w:w="0" w:type="auto"/>
            <w:shd w:val="clear" w:color="auto" w:fill="auto"/>
            <w:hideMark/>
          </w:tcPr>
          <w:p w14:paraId="7DD7F2A3"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Июль</w:t>
            </w:r>
          </w:p>
        </w:tc>
        <w:tc>
          <w:tcPr>
            <w:tcW w:w="0" w:type="auto"/>
            <w:shd w:val="clear" w:color="auto" w:fill="auto"/>
            <w:hideMark/>
          </w:tcPr>
          <w:p w14:paraId="608443EF"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Август</w:t>
            </w:r>
          </w:p>
        </w:tc>
      </w:tr>
      <w:tr w:rsidR="00860B4B" w:rsidRPr="00D03F3E" w14:paraId="30F70FF3" w14:textId="77777777" w:rsidTr="00420B57">
        <w:tc>
          <w:tcPr>
            <w:tcW w:w="5328" w:type="dxa"/>
            <w:shd w:val="clear" w:color="auto" w:fill="auto"/>
            <w:hideMark/>
          </w:tcPr>
          <w:p w14:paraId="229B8330"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Соды</w:t>
            </w:r>
          </w:p>
        </w:tc>
        <w:tc>
          <w:tcPr>
            <w:tcW w:w="0" w:type="auto"/>
            <w:shd w:val="clear" w:color="auto" w:fill="auto"/>
            <w:hideMark/>
          </w:tcPr>
          <w:p w14:paraId="43047DDD"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15</w:t>
            </w:r>
          </w:p>
        </w:tc>
        <w:tc>
          <w:tcPr>
            <w:tcW w:w="0" w:type="auto"/>
            <w:shd w:val="clear" w:color="auto" w:fill="auto"/>
            <w:hideMark/>
          </w:tcPr>
          <w:p w14:paraId="1E5D4E52"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30</w:t>
            </w:r>
          </w:p>
        </w:tc>
        <w:tc>
          <w:tcPr>
            <w:tcW w:w="0" w:type="auto"/>
            <w:shd w:val="clear" w:color="auto" w:fill="auto"/>
            <w:hideMark/>
          </w:tcPr>
          <w:p w14:paraId="7C925AC1"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50</w:t>
            </w:r>
          </w:p>
        </w:tc>
        <w:tc>
          <w:tcPr>
            <w:tcW w:w="0" w:type="auto"/>
            <w:shd w:val="clear" w:color="auto" w:fill="auto"/>
            <w:hideMark/>
          </w:tcPr>
          <w:p w14:paraId="15B09C72"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55</w:t>
            </w:r>
          </w:p>
        </w:tc>
        <w:tc>
          <w:tcPr>
            <w:tcW w:w="0" w:type="auto"/>
            <w:shd w:val="clear" w:color="auto" w:fill="auto"/>
            <w:hideMark/>
          </w:tcPr>
          <w:p w14:paraId="336E7E7B"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70</w:t>
            </w:r>
          </w:p>
        </w:tc>
      </w:tr>
      <w:tr w:rsidR="00860B4B" w:rsidRPr="00D03F3E" w14:paraId="66D98DEF" w14:textId="77777777" w:rsidTr="00420B57">
        <w:tc>
          <w:tcPr>
            <w:tcW w:w="5328" w:type="dxa"/>
            <w:shd w:val="clear" w:color="auto" w:fill="auto"/>
            <w:hideMark/>
          </w:tcPr>
          <w:p w14:paraId="112B99E6"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Соляной кислоты</w:t>
            </w:r>
          </w:p>
        </w:tc>
        <w:tc>
          <w:tcPr>
            <w:tcW w:w="0" w:type="auto"/>
            <w:shd w:val="clear" w:color="auto" w:fill="auto"/>
            <w:hideMark/>
          </w:tcPr>
          <w:p w14:paraId="50BBBE02"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75</w:t>
            </w:r>
          </w:p>
        </w:tc>
        <w:tc>
          <w:tcPr>
            <w:tcW w:w="0" w:type="auto"/>
            <w:shd w:val="clear" w:color="auto" w:fill="auto"/>
            <w:hideMark/>
          </w:tcPr>
          <w:p w14:paraId="4D752812"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85</w:t>
            </w:r>
          </w:p>
        </w:tc>
        <w:tc>
          <w:tcPr>
            <w:tcW w:w="0" w:type="auto"/>
            <w:shd w:val="clear" w:color="auto" w:fill="auto"/>
            <w:hideMark/>
          </w:tcPr>
          <w:p w14:paraId="228F101C"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180</w:t>
            </w:r>
          </w:p>
        </w:tc>
        <w:tc>
          <w:tcPr>
            <w:tcW w:w="0" w:type="auto"/>
            <w:shd w:val="clear" w:color="auto" w:fill="auto"/>
            <w:hideMark/>
          </w:tcPr>
          <w:p w14:paraId="6569C648"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200</w:t>
            </w:r>
          </w:p>
        </w:tc>
        <w:tc>
          <w:tcPr>
            <w:tcW w:w="0" w:type="auto"/>
            <w:shd w:val="clear" w:color="auto" w:fill="auto"/>
            <w:hideMark/>
          </w:tcPr>
          <w:p w14:paraId="25E89645"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270</w:t>
            </w:r>
          </w:p>
        </w:tc>
      </w:tr>
      <w:tr w:rsidR="00860B4B" w:rsidRPr="00D03F3E" w14:paraId="0FD3E846" w14:textId="77777777" w:rsidTr="00420B57">
        <w:tc>
          <w:tcPr>
            <w:tcW w:w="5328" w:type="dxa"/>
            <w:shd w:val="clear" w:color="auto" w:fill="auto"/>
            <w:hideMark/>
          </w:tcPr>
          <w:p w14:paraId="432704DB"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Сажи</w:t>
            </w:r>
          </w:p>
        </w:tc>
        <w:tc>
          <w:tcPr>
            <w:tcW w:w="0" w:type="auto"/>
            <w:shd w:val="clear" w:color="auto" w:fill="auto"/>
            <w:hideMark/>
          </w:tcPr>
          <w:p w14:paraId="4AF22923"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4</w:t>
            </w:r>
          </w:p>
        </w:tc>
        <w:tc>
          <w:tcPr>
            <w:tcW w:w="0" w:type="auto"/>
            <w:shd w:val="clear" w:color="auto" w:fill="auto"/>
            <w:hideMark/>
          </w:tcPr>
          <w:p w14:paraId="47210CEA"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6</w:t>
            </w:r>
          </w:p>
        </w:tc>
        <w:tc>
          <w:tcPr>
            <w:tcW w:w="0" w:type="auto"/>
            <w:shd w:val="clear" w:color="auto" w:fill="auto"/>
            <w:hideMark/>
          </w:tcPr>
          <w:p w14:paraId="59F947BF"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13</w:t>
            </w:r>
          </w:p>
        </w:tc>
        <w:tc>
          <w:tcPr>
            <w:tcW w:w="0" w:type="auto"/>
            <w:shd w:val="clear" w:color="auto" w:fill="auto"/>
            <w:hideMark/>
          </w:tcPr>
          <w:p w14:paraId="4B4242F4"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15</w:t>
            </w:r>
          </w:p>
        </w:tc>
        <w:tc>
          <w:tcPr>
            <w:tcW w:w="0" w:type="auto"/>
            <w:shd w:val="clear" w:color="auto" w:fill="auto"/>
            <w:hideMark/>
          </w:tcPr>
          <w:p w14:paraId="480F58F1"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18</w:t>
            </w:r>
          </w:p>
        </w:tc>
      </w:tr>
    </w:tbl>
    <w:p w14:paraId="4F828D49" w14:textId="77777777" w:rsidR="00232BB6" w:rsidRPr="00D03F3E" w:rsidRDefault="00232BB6"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поставку Наркомату Боеприпасов балистических наконечников из пластмассы по следующему плану:</w:t>
      </w:r>
    </w:p>
    <w:tbl>
      <w:tblPr>
        <w:tblW w:w="995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28"/>
        <w:gridCol w:w="1139"/>
        <w:gridCol w:w="1139"/>
        <w:gridCol w:w="1139"/>
        <w:gridCol w:w="1205"/>
      </w:tblGrid>
      <w:tr w:rsidR="00860B4B" w:rsidRPr="00D03F3E" w14:paraId="686180E9" w14:textId="77777777" w:rsidTr="00420B57">
        <w:tc>
          <w:tcPr>
            <w:tcW w:w="5327" w:type="dxa"/>
            <w:shd w:val="clear" w:color="auto" w:fill="auto"/>
            <w:hideMark/>
          </w:tcPr>
          <w:p w14:paraId="5E730AC6"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w:t>
            </w:r>
          </w:p>
        </w:tc>
        <w:tc>
          <w:tcPr>
            <w:tcW w:w="0" w:type="auto"/>
            <w:shd w:val="clear" w:color="auto" w:fill="auto"/>
            <w:hideMark/>
          </w:tcPr>
          <w:p w14:paraId="7E714549"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Май</w:t>
            </w:r>
          </w:p>
        </w:tc>
        <w:tc>
          <w:tcPr>
            <w:tcW w:w="0" w:type="auto"/>
            <w:shd w:val="clear" w:color="auto" w:fill="auto"/>
            <w:hideMark/>
          </w:tcPr>
          <w:p w14:paraId="5A7C0F48"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Июнь</w:t>
            </w:r>
          </w:p>
        </w:tc>
        <w:tc>
          <w:tcPr>
            <w:tcW w:w="0" w:type="auto"/>
            <w:shd w:val="clear" w:color="auto" w:fill="auto"/>
            <w:hideMark/>
          </w:tcPr>
          <w:p w14:paraId="64633078"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Июль</w:t>
            </w:r>
          </w:p>
        </w:tc>
        <w:tc>
          <w:tcPr>
            <w:tcW w:w="0" w:type="auto"/>
            <w:shd w:val="clear" w:color="auto" w:fill="auto"/>
            <w:hideMark/>
          </w:tcPr>
          <w:p w14:paraId="4C475A56"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Август</w:t>
            </w:r>
          </w:p>
        </w:tc>
      </w:tr>
      <w:tr w:rsidR="00860B4B" w:rsidRPr="00D03F3E" w14:paraId="6A17E642" w14:textId="77777777" w:rsidTr="00420B57">
        <w:tc>
          <w:tcPr>
            <w:tcW w:w="5327" w:type="dxa"/>
            <w:shd w:val="clear" w:color="auto" w:fill="auto"/>
            <w:hideMark/>
          </w:tcPr>
          <w:p w14:paraId="7F9B6B85"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Для снарядов к пушке "ЗИС-2"</w:t>
            </w:r>
          </w:p>
        </w:tc>
        <w:tc>
          <w:tcPr>
            <w:tcW w:w="0" w:type="auto"/>
            <w:shd w:val="clear" w:color="auto" w:fill="auto"/>
            <w:hideMark/>
          </w:tcPr>
          <w:p w14:paraId="0878B758"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6.000</w:t>
            </w:r>
          </w:p>
        </w:tc>
        <w:tc>
          <w:tcPr>
            <w:tcW w:w="0" w:type="auto"/>
            <w:shd w:val="clear" w:color="auto" w:fill="auto"/>
            <w:hideMark/>
          </w:tcPr>
          <w:p w14:paraId="1A1E5F59"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15.000</w:t>
            </w:r>
          </w:p>
        </w:tc>
        <w:tc>
          <w:tcPr>
            <w:tcW w:w="0" w:type="auto"/>
            <w:shd w:val="clear" w:color="auto" w:fill="auto"/>
            <w:hideMark/>
          </w:tcPr>
          <w:p w14:paraId="1A3C8B89"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15.000</w:t>
            </w:r>
          </w:p>
        </w:tc>
        <w:tc>
          <w:tcPr>
            <w:tcW w:w="0" w:type="auto"/>
            <w:shd w:val="clear" w:color="auto" w:fill="auto"/>
            <w:hideMark/>
          </w:tcPr>
          <w:p w14:paraId="1FC1D512"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20.000</w:t>
            </w:r>
          </w:p>
        </w:tc>
      </w:tr>
      <w:tr w:rsidR="00860B4B" w:rsidRPr="00D03F3E" w14:paraId="6BB9B80B" w14:textId="77777777" w:rsidTr="00420B57">
        <w:tc>
          <w:tcPr>
            <w:tcW w:w="5327" w:type="dxa"/>
            <w:shd w:val="clear" w:color="auto" w:fill="auto"/>
            <w:hideMark/>
          </w:tcPr>
          <w:p w14:paraId="31E96032"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Для снарядов к пушке "ЗИС-3"</w:t>
            </w:r>
          </w:p>
        </w:tc>
        <w:tc>
          <w:tcPr>
            <w:tcW w:w="0" w:type="auto"/>
            <w:shd w:val="clear" w:color="auto" w:fill="auto"/>
            <w:hideMark/>
          </w:tcPr>
          <w:p w14:paraId="611C3F6B"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20.000</w:t>
            </w:r>
          </w:p>
        </w:tc>
        <w:tc>
          <w:tcPr>
            <w:tcW w:w="0" w:type="auto"/>
            <w:shd w:val="clear" w:color="auto" w:fill="auto"/>
            <w:hideMark/>
          </w:tcPr>
          <w:p w14:paraId="13B9E33C"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40.000</w:t>
            </w:r>
          </w:p>
        </w:tc>
        <w:tc>
          <w:tcPr>
            <w:tcW w:w="0" w:type="auto"/>
            <w:shd w:val="clear" w:color="auto" w:fill="auto"/>
            <w:hideMark/>
          </w:tcPr>
          <w:p w14:paraId="5D4F35D5"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45.000</w:t>
            </w:r>
          </w:p>
        </w:tc>
        <w:tc>
          <w:tcPr>
            <w:tcW w:w="0" w:type="auto"/>
            <w:shd w:val="clear" w:color="auto" w:fill="auto"/>
            <w:hideMark/>
          </w:tcPr>
          <w:p w14:paraId="42D11FB2"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50.000</w:t>
            </w:r>
          </w:p>
        </w:tc>
      </w:tr>
    </w:tbl>
    <w:p w14:paraId="4ED669AB" w14:textId="77777777" w:rsidR="00232BB6" w:rsidRPr="00D03F3E" w:rsidRDefault="00232BB6"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Обязать Наркомат Цветной Металлургии (тов. Ломако) поставить Наркомату Боеприпасов сердечники из твердых сплавов по следующему плану:</w:t>
      </w:r>
    </w:p>
    <w:tbl>
      <w:tblPr>
        <w:tblW w:w="995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8"/>
        <w:gridCol w:w="1447"/>
        <w:gridCol w:w="1447"/>
        <w:gridCol w:w="1447"/>
        <w:gridCol w:w="1531"/>
      </w:tblGrid>
      <w:tr w:rsidR="00860B4B" w:rsidRPr="00D03F3E" w14:paraId="65FE63CF" w14:textId="77777777" w:rsidTr="00420B57">
        <w:tc>
          <w:tcPr>
            <w:tcW w:w="4078" w:type="dxa"/>
            <w:shd w:val="clear" w:color="auto" w:fill="auto"/>
            <w:hideMark/>
          </w:tcPr>
          <w:p w14:paraId="12A09FB6"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w:t>
            </w:r>
          </w:p>
        </w:tc>
        <w:tc>
          <w:tcPr>
            <w:tcW w:w="0" w:type="auto"/>
            <w:shd w:val="clear" w:color="auto" w:fill="auto"/>
            <w:hideMark/>
          </w:tcPr>
          <w:p w14:paraId="371BD3BF"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Май</w:t>
            </w:r>
          </w:p>
        </w:tc>
        <w:tc>
          <w:tcPr>
            <w:tcW w:w="0" w:type="auto"/>
            <w:shd w:val="clear" w:color="auto" w:fill="auto"/>
            <w:hideMark/>
          </w:tcPr>
          <w:p w14:paraId="41971CEE"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Июнь</w:t>
            </w:r>
          </w:p>
        </w:tc>
        <w:tc>
          <w:tcPr>
            <w:tcW w:w="0" w:type="auto"/>
            <w:shd w:val="clear" w:color="auto" w:fill="auto"/>
            <w:hideMark/>
          </w:tcPr>
          <w:p w14:paraId="5D3DA86E"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Июль</w:t>
            </w:r>
          </w:p>
        </w:tc>
        <w:tc>
          <w:tcPr>
            <w:tcW w:w="0" w:type="auto"/>
            <w:shd w:val="clear" w:color="auto" w:fill="auto"/>
            <w:hideMark/>
          </w:tcPr>
          <w:p w14:paraId="2173793A"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Август</w:t>
            </w:r>
          </w:p>
        </w:tc>
      </w:tr>
      <w:tr w:rsidR="00860B4B" w:rsidRPr="00D03F3E" w14:paraId="44DAFC7C" w14:textId="77777777" w:rsidTr="00420B57">
        <w:tc>
          <w:tcPr>
            <w:tcW w:w="4078" w:type="dxa"/>
            <w:shd w:val="clear" w:color="auto" w:fill="auto"/>
            <w:hideMark/>
          </w:tcPr>
          <w:p w14:paraId="6B47EFD0"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Для снарядов к пушке "ЗИС-2"</w:t>
            </w:r>
          </w:p>
        </w:tc>
        <w:tc>
          <w:tcPr>
            <w:tcW w:w="0" w:type="auto"/>
            <w:shd w:val="clear" w:color="auto" w:fill="auto"/>
            <w:hideMark/>
          </w:tcPr>
          <w:p w14:paraId="41C7E2D1"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5.000</w:t>
            </w:r>
          </w:p>
        </w:tc>
        <w:tc>
          <w:tcPr>
            <w:tcW w:w="0" w:type="auto"/>
            <w:shd w:val="clear" w:color="auto" w:fill="auto"/>
            <w:hideMark/>
          </w:tcPr>
          <w:p w14:paraId="2C554744"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13.000</w:t>
            </w:r>
          </w:p>
        </w:tc>
        <w:tc>
          <w:tcPr>
            <w:tcW w:w="0" w:type="auto"/>
            <w:shd w:val="clear" w:color="auto" w:fill="auto"/>
            <w:hideMark/>
          </w:tcPr>
          <w:p w14:paraId="5E9BBF49"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13.000</w:t>
            </w:r>
          </w:p>
        </w:tc>
        <w:tc>
          <w:tcPr>
            <w:tcW w:w="0" w:type="auto"/>
            <w:shd w:val="clear" w:color="auto" w:fill="auto"/>
            <w:hideMark/>
          </w:tcPr>
          <w:p w14:paraId="18064D95"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20.000</w:t>
            </w:r>
          </w:p>
        </w:tc>
      </w:tr>
      <w:tr w:rsidR="00860B4B" w:rsidRPr="00D03F3E" w14:paraId="38C5BEF6" w14:textId="77777777" w:rsidTr="00420B57">
        <w:tc>
          <w:tcPr>
            <w:tcW w:w="4078" w:type="dxa"/>
            <w:shd w:val="clear" w:color="auto" w:fill="auto"/>
            <w:hideMark/>
          </w:tcPr>
          <w:p w14:paraId="2014F318"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Для снарядов к пушке "ЗИС-3"</w:t>
            </w:r>
          </w:p>
        </w:tc>
        <w:tc>
          <w:tcPr>
            <w:tcW w:w="0" w:type="auto"/>
            <w:shd w:val="clear" w:color="auto" w:fill="auto"/>
            <w:hideMark/>
          </w:tcPr>
          <w:p w14:paraId="5EBEB596"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17.000</w:t>
            </w:r>
          </w:p>
        </w:tc>
        <w:tc>
          <w:tcPr>
            <w:tcW w:w="0" w:type="auto"/>
            <w:shd w:val="clear" w:color="auto" w:fill="auto"/>
            <w:hideMark/>
          </w:tcPr>
          <w:p w14:paraId="55491B79"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35.000</w:t>
            </w:r>
          </w:p>
        </w:tc>
        <w:tc>
          <w:tcPr>
            <w:tcW w:w="0" w:type="auto"/>
            <w:shd w:val="clear" w:color="auto" w:fill="auto"/>
            <w:hideMark/>
          </w:tcPr>
          <w:p w14:paraId="70AFE4F2"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40.000</w:t>
            </w:r>
          </w:p>
        </w:tc>
        <w:tc>
          <w:tcPr>
            <w:tcW w:w="0" w:type="auto"/>
            <w:shd w:val="clear" w:color="auto" w:fill="auto"/>
            <w:hideMark/>
          </w:tcPr>
          <w:p w14:paraId="26EEF8A6" w14:textId="77777777" w:rsidR="00232BB6" w:rsidRPr="00D03F3E"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45.000</w:t>
            </w:r>
          </w:p>
        </w:tc>
      </w:tr>
    </w:tbl>
    <w:p w14:paraId="153BC839" w14:textId="77777777" w:rsidR="00232BB6" w:rsidRPr="00D03F3E" w:rsidRDefault="00232BB6"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ГОСУДАРСТВЕННОГО КОМИТЕТА ОБОРОНЫ И. СТАЛИН (12653)</w:t>
      </w:r>
    </w:p>
    <w:p w14:paraId="317CF8EB" w14:textId="77777777" w:rsidR="00232BB6" w:rsidRPr="00D03F3E" w:rsidRDefault="00232BB6"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660A6B" w14:textId="77777777" w:rsidR="002E3B38" w:rsidRPr="00D03F3E" w:rsidRDefault="002E3B38" w:rsidP="00D03F3E">
      <w:pPr>
        <w:pStyle w:val="ae"/>
        <w:shd w:val="clear" w:color="auto" w:fill="FFFFFF"/>
        <w:spacing w:before="0" w:after="0"/>
        <w:jc w:val="both"/>
        <w:rPr>
          <w:color w:val="000000" w:themeColor="text1"/>
          <w:sz w:val="16"/>
          <w:szCs w:val="16"/>
        </w:rPr>
      </w:pPr>
      <w:r w:rsidRPr="00D03F3E">
        <w:rPr>
          <w:color w:val="000000" w:themeColor="text1"/>
          <w:sz w:val="16"/>
          <w:szCs w:val="16"/>
        </w:rPr>
        <w:t>К 1 мая 1943 мытищенскому заводу № 40 удалось сдать 5 танков Т-80, из них 2 радийных. К 1 июня удалось сдать ещё 7 танков, при этом все ранее выпущенные машины оснастили радиостанциями. Далее производство Т-80 на месяц полностью остановилось. В июне заводчане собрали 8 танков, но военные их не приняли.</w:t>
      </w:r>
    </w:p>
    <w:p w14:paraId="3FAA6371" w14:textId="77777777" w:rsidR="002E3B38" w:rsidRPr="00D03F3E" w:rsidRDefault="002E3B38" w:rsidP="00D03F3E">
      <w:pPr>
        <w:pStyle w:val="ae"/>
        <w:shd w:val="clear" w:color="auto" w:fill="FFFFFF"/>
        <w:spacing w:before="0" w:after="0"/>
        <w:jc w:val="both"/>
        <w:rPr>
          <w:color w:val="000000" w:themeColor="text1"/>
          <w:sz w:val="16"/>
          <w:szCs w:val="16"/>
        </w:rPr>
      </w:pPr>
      <w:r w:rsidRPr="00D03F3E">
        <w:rPr>
          <w:color w:val="000000" w:themeColor="text1"/>
          <w:sz w:val="16"/>
          <w:szCs w:val="16"/>
        </w:rPr>
        <w:t>Старший военный представитель на заводе №40 инженер-майор Слюсарев в своём отчёте громил руководство, обвиняя его в бездействии. Возможно, в чём-то он и прав, организация производства по некоторым направлениям шла медленно. Но нужно понимать, что нельзя просто так взять и почти на пустом месте за 3-4 месяца организовать танковый завод, который будет выполнять не маленький план, да ещё и выдерживать при этом качество. При остром дефиците кадров и не до конца введённых в строй производственных мощностях других результатов и быть не могло.</w:t>
      </w:r>
    </w:p>
    <w:p w14:paraId="06B5C537" w14:textId="77777777" w:rsidR="002E3B38" w:rsidRPr="00D03F3E" w:rsidRDefault="002E3B38" w:rsidP="00D03F3E">
      <w:pPr>
        <w:pStyle w:val="ae"/>
        <w:shd w:val="clear" w:color="auto" w:fill="FFFFFF"/>
        <w:spacing w:before="0" w:after="0"/>
        <w:jc w:val="both"/>
        <w:rPr>
          <w:color w:val="000000" w:themeColor="text1"/>
          <w:sz w:val="16"/>
          <w:szCs w:val="16"/>
        </w:rPr>
      </w:pPr>
      <w:r w:rsidRPr="00D03F3E">
        <w:rPr>
          <w:color w:val="000000" w:themeColor="text1"/>
          <w:sz w:val="16"/>
          <w:szCs w:val="16"/>
        </w:rPr>
        <w:t>Дефекты на мытищинских танках являлись весьма частым явлением. С мая по июнь 1943 года отмечено 4 случая выхода из строя бортовых передач и 2 случая поломки главных передач. Масса нареканий вызвала установка артиллерийской системы. Помимо дефектов механизма отката, аналогичных тем, что наблюдались на ГАЗ им. Молотова, отмечались и дефекты сборки. Например, прицел ТМФ, который временно ставили вместо ТП-80, позволял вести огонь при угле возвышения орудия не больше 50-53 градусов. Фактически все танки выпуска апреля-мая 1943 года требовали доработок. На это указывали результаты испытания Т-80 майского выпуска, который в июне 1943 года направили на НИБТ Полигон. После 370 километров пробега случилась поломка шестерён главной и бортовых передач, на этом гарантийный пробег закончился (17712).</w:t>
      </w:r>
    </w:p>
    <w:p w14:paraId="065B7652" w14:textId="77777777" w:rsidR="002E3B38" w:rsidRPr="00D03F3E" w:rsidRDefault="002E3B3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DD6E92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мая 1943 вышло Постановление ГКО № 3277 О строительстве вагонов в 1943 году и о мероприятиях по увеличению мощностей на вагоностроительных заводах Наркомсредмаша и НКПС. (7102, 156-163,164).</w:t>
      </w:r>
    </w:p>
    <w:p w14:paraId="38BA597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066F1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мая 1943 остатки германского корпуса в Африке капитулировали перед союзниками (4962).</w:t>
      </w:r>
    </w:p>
    <w:p w14:paraId="71E1794F"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F7BA5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мая 1943 УльЗИС выпустил свой первый собственный грузовик - дизельный УльЗИС-253 (3050).</w:t>
      </w:r>
    </w:p>
    <w:p w14:paraId="47B58C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EC45C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мая 1943 пять 152-мм гаубиц Ф.Петрова (полученные путем наложения 152-мм ствола с дульным тормозом на лафет 122-мм гаубицы образца 1938) были отправлены на полигон для проведения испытаний и в мае 1943 гаубица Д-1 была принята на вооружение под названием 152-мм гаубица образца 1943 (3848,57).</w:t>
      </w:r>
    </w:p>
    <w:p w14:paraId="753DA9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99950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73F75D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C6F7CE" w14:textId="77777777" w:rsidR="00DE164D" w:rsidRPr="00D03F3E" w:rsidRDefault="00DE16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мая</w:t>
      </w:r>
      <w:r w:rsidRPr="00D03F3E">
        <w:rPr>
          <w:rFonts w:ascii="Times New Roman" w:hAnsi="Times New Roman"/>
          <w:color w:val="000000" w:themeColor="text1"/>
          <w:sz w:val="16"/>
          <w:szCs w:val="16"/>
        </w:rPr>
        <w:t xml:space="preserve"> в 1943 году утреннее сообщение Совинформбюро:</w:t>
      </w:r>
    </w:p>
    <w:p w14:paraId="331D8D74" w14:textId="77777777" w:rsidR="00DE164D" w:rsidRPr="00D03F3E" w:rsidRDefault="00DE16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 мая на фронтах существенных изменений не произошло.</w:t>
      </w:r>
    </w:p>
    <w:p w14:paraId="0FC8591C" w14:textId="77777777" w:rsidR="00DE164D" w:rsidRPr="00D03F3E" w:rsidRDefault="00DE16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вели артиллерийскую и миномётную перестрелку с противником. Миномётный расчёт сержанта Горбоносова обстрелял группу немцев, работавших на строительстве оборонительных сооружений. Снайперы Н-ской гвардейской части за последние месяцы истребили свыше тысячи немецких солдат и офицеров. Командир группы старший сержант Николай Петров уничтожил 118 немцев, младший сержант Камал Искаков — 53, снайпер Уснадил Джамамуратов истребил 43 гитлеровца.</w:t>
      </w:r>
    </w:p>
    <w:p w14:paraId="140F42F8" w14:textId="77777777" w:rsidR="00DE164D" w:rsidRPr="00D03F3E" w:rsidRDefault="00DE16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рота немецких автоматчиков пыталась форсировать реку Северный Донец. Большая часть переправившихся гитлеровцев была уничтожена бойцами Н-ской части. Лишь немногим немцам удалось переплыть обратно на правый берег реки.</w:t>
      </w:r>
    </w:p>
    <w:p w14:paraId="2888D5A0" w14:textId="77777777" w:rsidR="00DE164D" w:rsidRPr="00D03F3E" w:rsidRDefault="00DE16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Наша авиация бомбила железнодорожные станции и коммуникации противника. Отмечено много прямых попаданий фугасных бомб в немецкие воинские эшелоны.</w:t>
      </w:r>
    </w:p>
    <w:p w14:paraId="24781113" w14:textId="77777777" w:rsidR="00DE164D" w:rsidRPr="00D03F3E" w:rsidRDefault="00DE16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наши разведчики под командованием лейтенанта Светлякова вброд перешли реку, проникли в глубину вражеской обороны и напали на гитлеровцев, которые строили блиндажи. Гранатами и огнем из автоматов наши бойцы истребили до 30 немцев и благополучно вернулись в свою часть.</w:t>
      </w:r>
    </w:p>
    <w:p w14:paraId="2D33D75A" w14:textId="77777777" w:rsidR="00DE164D" w:rsidRPr="00D03F3E" w:rsidRDefault="00DE16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подразделения истребили до 200 немецких солдат и офицеров. Огневыми налётами Н-ской артиллерийской части разрушено 7 вражеских дзотов, 4 землянки, уничтожено 2 орудия и миномётная батарея противника.</w:t>
      </w:r>
    </w:p>
    <w:p w14:paraId="38D95C2E" w14:textId="77777777" w:rsidR="00DE164D" w:rsidRPr="00D03F3E" w:rsidRDefault="00DE16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Несколько отрядов украинских партизан вели ожесточённые бои с немецкимивойсками, пытавшимися задушить партизанское движение в Н-ском районе. Действуя мелкими группами, советские патриоты наносили врагу молниеносные удары и быстро ускользали от преследовавших их гитлеровцев. В десятидневных боях немцы </w:t>
      </w:r>
      <w:r w:rsidRPr="00D03F3E">
        <w:rPr>
          <w:rFonts w:ascii="Times New Roman" w:hAnsi="Times New Roman"/>
          <w:color w:val="000000" w:themeColor="text1"/>
          <w:sz w:val="16"/>
          <w:szCs w:val="16"/>
        </w:rPr>
        <w:lastRenderedPageBreak/>
        <w:t>потеряли убитыми более 2.000 солдат и офицеров. Партизаны уничтожили 43 автомашины, 36 мотоциклов, 2 орудия, 53 тонны горючего. Захвачены большие трофеи, в том числе 4 орудия, 35 пулемётов и 700 винтовок и автоматов.</w:t>
      </w:r>
    </w:p>
    <w:p w14:paraId="05B22B4E" w14:textId="77777777" w:rsidR="00DE164D" w:rsidRPr="00D03F3E" w:rsidRDefault="00DE16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солдат штабной роты 85 полка 5 немецкой горнострелковой дивизии Арнульф Реймунд заявил: «Тотальная мобилизация — это последняя отчаянная попытка отодвинуть час окончательного разгрома немецкой армии. Германия собрала свои последние людские резервы. Однако многие немцы считают, что тотальная мобилизация не может предотвратить надвигающейся катастрофы».</w:t>
      </w:r>
    </w:p>
    <w:p w14:paraId="1F33F39B" w14:textId="77777777" w:rsidR="00DE164D" w:rsidRPr="00D03F3E" w:rsidRDefault="00DE16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Русская девушка Тамара В., насильно увезённая гитлеровцами на немецкую каторгу, прислала своим родителям письмо. В этом письме она пишет: «Здравствуйте, мои дорогие! Сообщаю вам, что мы доехали, наконец, до места и находимся в лагере. Работаем на фабрике с 7 часов утра и до поздней ночи. Утром нам дают немного кофе, а в обед — зелёную траву. Хлеба выдают всего 200 граммов. Дорогие родители! Если придут какие-нибудь бумаги, чтобы вы выслали нам одежду, то не высылайте. Мы уже носим чьи-то тряпки, а наше всё отняли.</w:t>
      </w:r>
    </w:p>
    <w:p w14:paraId="2715317D" w14:textId="77777777" w:rsidR="00DE164D" w:rsidRPr="00D03F3E" w:rsidRDefault="00DE16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Привесили нам на грудь значок «Ост» с номером. Ходим, как собаки,—занумерованные. Собаки хоть с номерами, да бегают по воле, а нас никуда не пускают. На работу ходим с патрулями. Остальное время сидим взаперти.</w:t>
      </w:r>
    </w:p>
    <w:p w14:paraId="73185A61" w14:textId="77777777" w:rsidR="00DE164D" w:rsidRPr="00D03F3E" w:rsidRDefault="00DE16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Каждый день все девушки плачут. Да и как не плакать, коль у нас такая горькая жизнь. Так горько, что и описать не могу».</w:t>
      </w:r>
    </w:p>
    <w:p w14:paraId="08503081" w14:textId="77777777" w:rsidR="00DE164D" w:rsidRPr="00D03F3E" w:rsidRDefault="00DE16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Советский народ никогда не забудет злодеяний немецких извергов в отношении мирных советских людей. Красная Армия будет беспощадно мстить гитлеровским бандитам за мучения и слёзы советских граждан, угнанных на фашистскую каторгу.» (14878).</w:t>
      </w:r>
    </w:p>
    <w:p w14:paraId="076182AF" w14:textId="77777777" w:rsidR="00DE164D" w:rsidRPr="00D03F3E" w:rsidRDefault="00DE164D" w:rsidP="00D03F3E">
      <w:pPr>
        <w:spacing w:after="0" w:line="240" w:lineRule="auto"/>
        <w:jc w:val="both"/>
        <w:rPr>
          <w:rFonts w:ascii="Times New Roman" w:hAnsi="Times New Roman"/>
          <w:color w:val="000000" w:themeColor="text1"/>
          <w:sz w:val="16"/>
          <w:szCs w:val="16"/>
        </w:rPr>
      </w:pPr>
    </w:p>
    <w:p w14:paraId="42DF216E" w14:textId="77777777" w:rsidR="00DE164D" w:rsidRPr="00D03F3E" w:rsidRDefault="00DE16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мая</w:t>
      </w:r>
      <w:r w:rsidRPr="00D03F3E">
        <w:rPr>
          <w:rFonts w:ascii="Times New Roman" w:hAnsi="Times New Roman"/>
          <w:color w:val="000000" w:themeColor="text1"/>
          <w:sz w:val="16"/>
          <w:szCs w:val="16"/>
        </w:rPr>
        <w:t xml:space="preserve"> в 1943 году вечернее сообщение Совинформбюро:</w:t>
      </w:r>
    </w:p>
    <w:p w14:paraId="05125919" w14:textId="77777777" w:rsidR="00DE164D" w:rsidRPr="00D03F3E" w:rsidRDefault="00DE16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 мая на фронтах существенных изменений не произошло.</w:t>
      </w:r>
    </w:p>
    <w:p w14:paraId="2BF0C948" w14:textId="77777777" w:rsidR="00DE164D" w:rsidRPr="00D03F3E" w:rsidRDefault="00DE16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апреля частями нашей авиации на различных участках фронта уничтожено или повреждено не менее 20 немецких автомашин с войсками и грузами, взорвано 2 склада боеприпасов, подавлен огонь 6 артиллерийских батарей, рассеяно и частью уничтожено до роты пехоты противника.</w:t>
      </w:r>
    </w:p>
    <w:p w14:paraId="4F66A7A5" w14:textId="77777777" w:rsidR="00DE164D" w:rsidRPr="00D03F3E" w:rsidRDefault="00DE16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части Н-ского соединения вели активные боевые действия и частью сил отбивали контратаки гитлеровцев. Советские артиллеристы, поддерживая действия пехоты, уничтожили или подавили огонь 48 артиллерийских и миномётных батарей противника. Разрушено много вражеских дзотов и блиндажей.</w:t>
      </w:r>
    </w:p>
    <w:p w14:paraId="303A52A3" w14:textId="77777777" w:rsidR="00DE164D" w:rsidRPr="00D03F3E" w:rsidRDefault="00DE16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в воздушных боях в течение дня сбили 24 немецких самолёта.</w:t>
      </w:r>
    </w:p>
    <w:p w14:paraId="48810E0E" w14:textId="77777777" w:rsidR="00DE164D" w:rsidRPr="00D03F3E" w:rsidRDefault="00DE16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истребили до 200 немецких солдат и офицеров. Отряд разведчиков Н-ской части проник в расположение противника и взорвал два немецких дзота вместе с их гарнизонами.</w:t>
      </w:r>
    </w:p>
    <w:p w14:paraId="1A051CEF" w14:textId="77777777" w:rsidR="00DE164D" w:rsidRPr="00D03F3E" w:rsidRDefault="00DE16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наши части разгромили немецкий обоз и истребили два взвода гитлеровцев. Уничтожены 150 повозок с различными грузами и миномётная батарея противника. Огнём из пехотного оружия сбито 3 немецких самолёта.</w:t>
      </w:r>
    </w:p>
    <w:p w14:paraId="5133BB3D" w14:textId="77777777" w:rsidR="00DE164D" w:rsidRPr="00D03F3E" w:rsidRDefault="00DE16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происходила редкая перестрелка. Наши артиллеристы подавили огонь 2 миномётных батарей, уничтожили 2 противотанковых орудия, 3 миномёта и разрушили 4 блиндажа. На одном участке ружейно-пулемётным огнём истреблена группа немецких разведчиков, пытавшаяся приблизиться к переднему краю нашей обороны.</w:t>
      </w:r>
    </w:p>
    <w:p w14:paraId="48A2F8C3" w14:textId="77777777" w:rsidR="00DE164D" w:rsidRPr="00D03F3E" w:rsidRDefault="00DE16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Полесской области, совершил ночью нападение на немецкий гарнизон. Гитлеровцы были застигнуты врасплох. В короткой схватке советские патриоты разгромили вражеский гарнизон и захватили 40 пленных. Взяты трофеи: 4 пулемёта, много винтовок и боеприпасов. В районе действий другого отряда полесских партизан на нашу сторону перешли 54 чехословака, насильно мобилизованных в немецкую армию. Перебежчики принесли с собой всё свое вооружение. Они заявили: «Мы не хотим проливать свою кровь за Гитлера и фашистских извергов, поработивших нашу страну».</w:t>
      </w:r>
    </w:p>
    <w:p w14:paraId="2F2E365E" w14:textId="77777777" w:rsidR="00DE164D" w:rsidRPr="00D03F3E" w:rsidRDefault="00DE16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ефрейтор 8 роты 106 полка 15 немецкой пехотной дивизии Пауль Клазен рассказал: «Об уничтожении 6 немецкой армии под Сталинградом мы узнали еще будучи во Франции. Когда уже нельзя было скрыть от народа горькую правду, немецкие газеты начали возносить доблесть Паулюса и его армии. Однако мы научились читать между строк. В узком товарищеском кругу солдаты говорили: «Дело явно идёт к тому, что немецкая армия будет окончательно разгромлена». Все опасались, что скоро и нашу дивизию пошлют на Восточный фронт. Солдаты Шмидт и Шликерман, участвовавшие в 1941 году в боях под Москвой, рассказывали нам всякие ужасы о Восточном фронте. Шликерман говорил: «Лучше умереть здесь, чем ехать в Россию. Я однажды вырвался оттуда, но другой раз навряд ли мне это удастся». Когда пришёл приказ об отправке дивизии на Восточный фронт, солдат Келлер выстрелил из винтовки себе в грудь. Другой солдат повесился. Накануне отъезда группа солдат дезертировала. На Восточном фронте наша рота участвовала уже в трёх боях и понесла ужасные потери. Солдаты очень удручены этим обстоятельствоми не верят в победу» (14878).</w:t>
      </w:r>
    </w:p>
    <w:p w14:paraId="1AE892B6" w14:textId="77777777" w:rsidR="00DE164D" w:rsidRPr="00D03F3E" w:rsidRDefault="00DE164D" w:rsidP="00D03F3E">
      <w:pPr>
        <w:spacing w:after="0" w:line="240" w:lineRule="auto"/>
        <w:jc w:val="both"/>
        <w:rPr>
          <w:rFonts w:ascii="Times New Roman" w:hAnsi="Times New Roman"/>
          <w:color w:val="000000" w:themeColor="text1"/>
          <w:sz w:val="16"/>
          <w:szCs w:val="16"/>
        </w:rPr>
      </w:pPr>
    </w:p>
    <w:p w14:paraId="67510C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1 мая 1943 г. с 1 января 1943 из 22 авиаполков и 193 одиночных экипажей, подготовленных в 1-й заб и отправленных в действующую армию и резерв Ставки, только экипажи 4-х (!) полков прошли 2-й раздел курса боевой подготовки штурмовой авиации. Остальные экипажи и полки учебных полетов на боевое применение не выполняли. При этом около 77% летного состава опыта боевой работы не имели.</w:t>
      </w:r>
    </w:p>
    <w:p w14:paraId="2B56E0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Некоторые группы пилотов в боевом отношении оказались подготовленными даже хуже, чем летный состав выпуска 1942 г., что объясняется пониженным уровнем летной и специальной подготовки прибывавших из авиашкол молодых летчиков. В то же время средний налет на одного летчика в запасных авиаполках не только не увеличился в сравнении с 1942 г., но даже несколько снизился: с 18 ч до 15 ч 40 мин.</w:t>
      </w:r>
    </w:p>
    <w:p w14:paraId="3EF466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Подготовка некоторых полков была такова, что в ряде случаев командиры соединений, в состав которых они поступали, отказывались их принимать.</w:t>
      </w:r>
    </w:p>
    <w:p w14:paraId="410605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 командир 9-го сак резерва ВГК генерал-майор О. В. Толстиков в марте 1943 г. отказался принять от 1-й заб в состав корпуса 672-й и 951-й шап по причине их полной неготовности к бою.</w:t>
      </w:r>
    </w:p>
    <w:p w14:paraId="1F0DAB5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Боевой опыт на самолете Ил-2 имели только 7% летного состава, остальные летчики были молодыми. Курс боевой подготовки штурмовой авиации 1943 г. не был закончен полками даже по 1-му разделу. Перед убытием на фронт каждый летчик имел: в 672-м шап - один полет в зону и 20 полетов по кругу, в 951 -м - два полета в зону и 25 полетов по кругу. Более того, восемь летчиков из 971-го шап были отправлены на фронт "на самолете "Дуглас", как не летающие на самолете Ил-2". Средний налет одного летающего на Ил-2 летчика не превышал 6-8 ч. В итоге весь летный состав полков был оставлен в Борисоглебске, где в течение 5-6 недель проходил дополнительную подготовку, в том числе на боевое применение. После прибытия в состав корпуса каждый летчик к I июля получил еще по 3 ч самостоятельных полетов на Ил-2 по кругу и в зону. Средний налет на самолете Ил-2 на одного летчика был доведен до 41 ч - в 672-м шап, и до 21ч - в 951-м шап.</w:t>
      </w:r>
    </w:p>
    <w:p w14:paraId="6A72BF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Состояние дел с боевой готовностью в полках другой дивизии 9-го сак - 305-й шад, было примерно такое же. Молодежь 175-го, 237-го и 955-го авиаполков за время учебы в 1-й заб не выполнила 2-й раздел курса боевой подготовки. Подавляющее большинство летчиков нуждалось в большой летной тренировке, отработке бомбометания и стрельбы в воздухе, а также в обучении ведению групповых и индивидуальных воздушных боев с истребителями противника. Часть летного состава имела длительный перерыв (до 4-6 месяцев) в летной работе, что, несомненно, отрицательно сказалось на общей подготовке. Во всей дивизии боевой опыт на самолете Ил-2 имели 11 пилотов, и только один командир эскадрильи воевал на Ил-2.</w:t>
      </w:r>
    </w:p>
    <w:p w14:paraId="4F30745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всех шести полков "молодежного" корпуса наиболее подготовленным был 995-й шап 306-й шад. Средний налет на одного летчика к 1 июля составил 37 ч. Ночью летали пять человек, а "слепой" полет прошли - 22 летчика.</w:t>
      </w:r>
    </w:p>
    <w:p w14:paraId="10EB15C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Война расставила все на свои места. Несмотря на дополнительную подготовку, летный состав 9-го смешанного авиакорпуса резерва ВГК к началу боевых действий в районе Курского выступа в целом не приобрел устойчивых навыков боевого применения на самолете Ил-2. В результате с началом боев корпус понес большие потери. Безвозвратная убыль матчасти с 5 по 7 июля составила около 55% первоначального состава.</w:t>
      </w:r>
    </w:p>
    <w:p w14:paraId="25B033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Наилучшую подготовку имели полки, которые до убытия на доукомплектование сохранили костяк летного состава с боевым опытом - не менее половины штатного состава. Как правило, в таких полках сохранялась преемственность традиций и опыта войны, качество подготовки к бою было значительно выше, да и сама подготовка проходила быстрее, поскольку отработкой техники пилотирования старые летчики почти не занимались. Выделяемые в запасном полку учебно-тренировочные самолеты УИл-2 использовались в основном только для подготовки молодых летчиков. Соответственно, полковая молодежь быстрее приступала к освоению 2-го раздела курса боевой подготовки, и к моменту убытия на фронт успевала получить значительный налет на боевое применение. На отработку "войны" в таких полках затрачивалось 40-50% выделяемого летного времени и более.</w:t>
      </w:r>
    </w:p>
    <w:p w14:paraId="73A795F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Особо тяжелое положение сложилось с укомплектованием полков воздушными стрелками. Дело в том, что запуск в массовое производство двухместного варианта Ил-2 не был обеспечен своевременным развертыванием учебных заведений по подготовке воздушных стрелков. Поэтому выпуски из авиационных школ воздушных стрелков отставали (примерно на четыре месяца) от поставок штурмовиков в действующую армию. В этой связи в частях имелась острая нехватка воздушных стрелков. Например, в 5-м шак РВГК некомплект воздушных стрелков на 21 апреля 1943 г. составлял 44% штатного состава.</w:t>
      </w:r>
    </w:p>
    <w:p w14:paraId="7F3212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тем подготовка воздушных стрелков оставляла желать много лучшего. Прибывающие на укомплектование штурмовых полков воздушные стрелки не умели пользоваться парашютом, в воздухе ни разу не были, имели слабые знания, как теории воздушной стрельбы, так и материальной части пулемета УБТ и прицела. Стрелять из пулемета в своем большинстве не умели: на земле - плохо, в воздухе - вообще не стреляли. Более того, как докладывал в конце марта 1943 г. помощник командующего 17-й ВА по воздушно-стрелковой службе майор Скаржинский, прибывшие из 2-й Ленинградской школы техников авиавооружения 37 воздушных стрелков "самолет Ил-2 увидели только по прибытии на фронт..."</w:t>
      </w:r>
    </w:p>
    <w:p w14:paraId="3F0C1B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Негативная тенденция с подготовкой летного состава в значительной степени определялась острой нехваткой квалифицированных командных и преподавательских кадров в запасных авиачастях.</w:t>
      </w:r>
    </w:p>
    <w:p w14:paraId="4E9494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Напрмиер, текучесть командного состава 1-й запасной авиабригады была такова, что "командиры и их штабы в зап обновлялись в течение года по одному-два раза", </w:t>
      </w:r>
      <w:r w:rsidRPr="00D03F3E">
        <w:rPr>
          <w:rFonts w:ascii="Times New Roman" w:hAnsi="Times New Roman"/>
          <w:color w:val="000000" w:themeColor="text1"/>
          <w:sz w:val="16"/>
          <w:szCs w:val="16"/>
        </w:rPr>
        <w:lastRenderedPageBreak/>
        <w:t>а "отдел боевой подготовки бригады в год обновлялся в полном составе три раза". Половина запасных полков бригады в мае 1943 г. имели вакантную должность помощника командира полка по воздушно-стрелковой службе. В результате ухода наиболее подготовленного инструкторского и преподавательского состава в действующую армию вчерашний молодой летчик без методического и летного опыта становился инструктором или преподавателем. Соответственно этому, была и организация процесса учебно-боевой подготовки маршевых полков и одиночных экипажей, как в практическом плане, так и в методическом отношении. Между тем понижение общего уровня подготовки выпускников-курсантов летных школ требовало дополнительного времени по их доведению до уровня требований программ.</w:t>
      </w:r>
    </w:p>
    <w:p w14:paraId="3506FA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Управление бригады было загружено разного рода "руководящими делами" сверх всякой меры: получение матчасти с авиазаводов, передача ее фронтовым частям и военным округам, организация перелетов частей и отдельных групп самолетов на фронт и в округа, размещение маршевых полков, питание, частичное обеспечение их обмундированием, парашютами и другим имуществом и т.д. В итоге маршевые полки месяцами не летали и толково не обучались.</w:t>
      </w:r>
    </w:p>
    <w:p w14:paraId="67B244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частях действующей армии положение было не лучше. Молодые летчики, оставшиеся в живых в первых боевых вылетах, волею судьбы ставшие "стариками" и назначенные командирами звеньев или эскадрилий, в методическом плане в своем большинстве оставались все теми же молодыми летчиками без должного инструкторско-методического опыта и навыка в руководстве подразделениями. По этим причинам в ряде частей командиры эскадрилий самоустранялись от процесса подготовки подчиненных им рядовых летчиков, переложив эту работу на штабы. В свою очередь, штабы полков и дивизий были не в состоянии грамотно организовать учебно-боевую работу в частях, так как испытывали острую нужду в опытных и хорошо подготовленных командных кадрах. В некоторых дивизиях некомплект комсостава штабов доходил до 40% штата. Прибывающие же на пополнение полки в своем большинстве также не были укомплектованы до штата - главным образом, помощниками командиров полков по воздушно-стрелковой службе и штурманами. В результате методическая основа боевой подготовки фронтовых частей находилась в неудовлетворительном состоянии (12020).</w:t>
      </w:r>
    </w:p>
    <w:p w14:paraId="3D07E0B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43D8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состоянию на 1 мая 1942 г. в частях имелось 303 бомбардировщика и 41 разведчик типа Пе-2 и Пе-3, что составляло около пятой части бомбардировщиков и разведчиков ВВС Красной Армии. Среди этого небольшого количества машин более сотни "пешек" требовали ремонта. Всю первую половину 1942 г. остро стоял вопрос недопоставок заводами НКАП запасных частей и групповых комплектов ЗИП для восстановления боеспособности машин. Общей бедой всех типов советских самолетов в то время было низкое качество ремонта. Наиболее тяжелое положение сложилось с двигателями М-105Р, так как они выходили из строя намного чаще по сравнению с "истребительным" вариантом М-105П. "Пешки" летали, в основном, на средних высотах, на второй скорости нагнетателя. Их моторы работали в более напряженном режиме, чем у Яков и ЛаГГов, нечасто поднимавшихся выше 3000 м. Большую помощь боевым полкам оказывали полевые авиаремонтные мастерские (3542).</w:t>
      </w:r>
    </w:p>
    <w:p w14:paraId="2FD24CD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DB01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мая 1943 количество бомбардировщиков на Кубани возросло до 247, причем 96 Пе-2 (80 исправных) наряду с 37 А-20В и 30 "Бостонами-3" представляли значительную силу.</w:t>
      </w:r>
    </w:p>
    <w:p w14:paraId="39E35D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Вылеты подчиненных генерала В.А. Ушакова способствовали срыву нескольких контрударов противника и поддержке своих войск. Командующий 56-й армии генерал А.А. Гречко телеграфировал в штаб 2-го бак: "В 7 ч - 8 ч 30 мин 9.5.1943 г. ваши бомбардировщики нанесли эффективный удар по врагу..., чем обеспечили движение пехоты. Личный состав войск доволен работой авиации. Военный совет армии за точную и хорошую работу всем экипажам объявляет благодарность".</w:t>
      </w:r>
    </w:p>
    <w:p w14:paraId="62900F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Наряду с положительными моментами, отмечались и негативные. Одним из них являлся недостаток времени на изучение театра военных действий. Считалось, что раннее сосредоточение бомбардировочного соединения позволит неприятелю раскрыть замыслы нашего командования на операцию. В результате экипажи "пешек" не успели получить достоверные разведывательные данные о противнике, вынуждены были, как отмечалось в отчете, "начинать боевые действия почти вслепую".</w:t>
      </w:r>
    </w:p>
    <w:p w14:paraId="4BAC94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Противник сумел воспользоваться этим обстоятельством. Как известно, впервые 2-й бак поднял в воздух две девятки Пе-2 вечером 28 апреля для удара по станице Крымской. На следующее утро летчики группы I1/JG3, ведомые майором К. Брандле, в районе Верхнего Адагума оказали бомбардировщикам активное противодействие. Они ошибочно опознали самолеты Пе-2, как "Як-4", однако действовали грамотно и решительно. Неожиданно атаковав, немцы застали врасплох наши экипажи; в результате четыре Пе-2 не вернулись, а одна машина совершила вынужденную посадку (при 138 вылетах корпуса в тот день).</w:t>
      </w:r>
    </w:p>
    <w:p w14:paraId="36C6EC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штаба воздушной армии генерал А.З. Устинов полагал, что во многих случаях истребители сопровождения плохо выполняли свои задачи. Так было 6 мая, когда разгорелась ожесточенная схватка. Под прикрытием 11 ЛаГГ-3 из 926-го иап, 9 Пе-2 из 35-го гв. бап (ведущий капитан Свенский) и 9 Пе-2 из 134-го бап (ведущий капитан То- машевский) двумя колоннами бомбили арт- позиции неприятеля западнее совхоза Греческий, а также в районе Верхнего Адагума.</w:t>
      </w:r>
    </w:p>
    <w:p w14:paraId="086D6D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"мессершмиттов" впервые атаковала наши самолеты в момент отворота от цели. В результате четыре "пешки" оказались сбиты или подбиты, включая машину капитана То- машевского; он и штурман смогли выбраться из машины, которая приземлилась у станицы Славянская, а затем сгорела.</w:t>
      </w:r>
    </w:p>
    <w:p w14:paraId="690551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Истребители из II/JG52 (всего в бою с немецкой стороны участвовало 18 Bf 109 и один Як-1 с красными звездами, захваченный неприятелем) заходили в атаку с разных направлений и под различными ракурсами, вынудив наших стрелков и штурманов рассредоточить оборонительный огонь, после чего стремительно сближались и с близкой дистанции открывали огонь на поражение из всех стволов по фюзеляжу в районе главного топливного бака. Одновременно зенитная артиллерия вела усиленный обстрел нашей группы.</w:t>
      </w:r>
    </w:p>
    <w:p w14:paraId="0C22AA2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советским данным, случаи несогласованных действий ведущих групп, ненадежная радиосвязь в воздухе, отставание истребителей прикрытия, к сожалению, отмечались не так редко. В бою 6 мая истребители 926-го иап действовали пассивно; часть из них противник связал, другие скрылись в облаках, опасаясь попаданий зенитных снарядов. Наоборот, подоспевшая на выручку пара Як-7б спасла группы из 285-й бад от еще больших неприятностей, своими активными маневрами летчики 3-го иак не позволили немцам сбить другие бомбардировщики.</w:t>
      </w:r>
    </w:p>
    <w:p w14:paraId="28E5B7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Летчики-истребители также высказывали упреки в адрес своих коллег-бомбардировщиков. Последние не выдерживали точное время встречи над аэродромом истребительной авиации, слишком долго ведущие собирали ведомых в одну группу, нарушали строи и интервалы между группами, растягивались на маршруте, особенно после выполнения боевого задания. Иногда "лагги" из 229-й иад не могли догнать разогнавшиеся на пикировании "пешки", безнадежно от них отставали. Неоправданно частая замена одних групп самолетов и их ведущих другими значительно усложняла штабам организацию надежного взаимодействия (12042).</w:t>
      </w:r>
    </w:p>
    <w:p w14:paraId="0FB1884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C6BFF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мая 1943 л 24 мтап к В.П.Балашова вблизи базы в Северной Норвегии обнаружили группу транспортов под охраной и. Прорвались и потопили 2 океанских транспорта и танкер. Сам Балашов - 12 тыс. т, атаковав со второго захода. Стал ГСС (438,870).</w:t>
      </w:r>
    </w:p>
    <w:p w14:paraId="6BBF90A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1DC8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мая 1943 НКО ввел в действие Инструкцию по управлению, наведению, и оповещению авиации по радио. Согласно инструкции стали создавать 2 отдельных радиосети: оповещения и наведения операции. Первая работала круглосуточно в системе ВНОС фронта на строго установленной волне, а вторая - для наведения и и ш на цели. В этой сети вызывалась с аэродромов авиация, л информировались о воздушной обстановке, и наводились на воздушные, а ш - на наземные объекты (518,283).</w:t>
      </w:r>
    </w:p>
    <w:p w14:paraId="24A036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F57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мая 1943 вышел приказ по ДА, согласно которому на базе 16 дивизий было сформировано 8 корпусов и 4 стали гвардейскими (556,152).</w:t>
      </w:r>
    </w:p>
    <w:p w14:paraId="319C83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63A75B"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761832F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68E11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мая 1943 независимая комиссия экспертов сделала вывод, что расстрел поляков в Катыньском лесу произошел в 1940 г. и произведен советским НКВД (4962).</w:t>
      </w:r>
    </w:p>
    <w:p w14:paraId="678FE66D"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87D0D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7363C1D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111B7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мая 1943 остатки немецкой группы армий Африка под командованием Ганса Юргена фон Арнима капитулировали перед англо-американскими войсками (3186).</w:t>
      </w:r>
    </w:p>
    <w:p w14:paraId="0C58934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C174DA" w14:textId="77777777" w:rsidR="00A0130C" w:rsidRPr="00D03F3E" w:rsidRDefault="00A013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1-7 мая 1943 11 армия военно - воздушных сил США сбрасывает 200000 фунтов (90719 кг) бомб на японские силы на Атту в Алеутских островах в поддержку предстоящего американского вторжения на остров (20376).</w:t>
      </w:r>
    </w:p>
    <w:p w14:paraId="30ACB6AC" w14:textId="77777777" w:rsidR="00A0130C" w:rsidRPr="00D03F3E" w:rsidRDefault="00A0130C" w:rsidP="00D03F3E">
      <w:pPr>
        <w:spacing w:after="0" w:line="240" w:lineRule="auto"/>
        <w:jc w:val="both"/>
        <w:rPr>
          <w:rFonts w:ascii="Times New Roman" w:hAnsi="Times New Roman"/>
          <w:color w:val="0070C0"/>
          <w:sz w:val="16"/>
          <w:szCs w:val="16"/>
        </w:rPr>
      </w:pPr>
    </w:p>
    <w:p w14:paraId="3D17EB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 мая по 3 ноября 1943 были забастовки на угольных шахтах в США (3907,242).</w:t>
      </w:r>
    </w:p>
    <w:p w14:paraId="59BA46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2DF03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2F643A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2BE58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мая 1943 вышла шифрограмма N 55/41 с ограничениями для самолетов Ил-2. Скорость при выводе из пикирования до 420-430 км/час и не допускались углы при пикировании более 30 гр. (1779,255).</w:t>
      </w:r>
    </w:p>
    <w:p w14:paraId="361033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945A5E" w14:textId="77777777" w:rsidR="00E07F04" w:rsidRPr="00D03F3E" w:rsidRDefault="00E07F0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мая 1943 в ходе учебно-тренировочного полета на бомбометание с пикирования на полигоне аэродрома Фастово на Ил-2 зав. №301766 погибли летчик 873-го шап 231-й шад старший сержант Кулагин и воздушный стрелок младший сержант Ко</w:t>
      </w:r>
      <w:r w:rsidRPr="00D03F3E">
        <w:rPr>
          <w:rFonts w:ascii="Times New Roman" w:hAnsi="Times New Roman"/>
          <w:color w:val="000000" w:themeColor="text1"/>
          <w:sz w:val="16"/>
          <w:szCs w:val="16"/>
        </w:rPr>
        <w:softHyphen/>
        <w:t xml:space="preserve">четов. Обстоятельства катастрофы таковы. При выполнении четвертого захода для </w:t>
      </w:r>
      <w:r w:rsidRPr="00D03F3E">
        <w:rPr>
          <w:rFonts w:ascii="Times New Roman" w:hAnsi="Times New Roman"/>
          <w:color w:val="000000" w:themeColor="text1"/>
          <w:sz w:val="16"/>
          <w:szCs w:val="16"/>
        </w:rPr>
        <w:lastRenderedPageBreak/>
        <w:t>бомбометания у самолета на высоте 200- 250 м начался отрыв верхней фанерной обшивки левой консоли в межлонжерон- ной части с последующим разрушением всей обшивки и каркаса крыла. После от</w:t>
      </w:r>
      <w:r w:rsidRPr="00D03F3E">
        <w:rPr>
          <w:rFonts w:ascii="Times New Roman" w:hAnsi="Times New Roman"/>
          <w:color w:val="000000" w:themeColor="text1"/>
          <w:sz w:val="16"/>
          <w:szCs w:val="16"/>
        </w:rPr>
        <w:softHyphen/>
        <w:t>рыва лонжеронов левой плоскости само</w:t>
      </w:r>
      <w:r w:rsidRPr="00D03F3E">
        <w:rPr>
          <w:rFonts w:ascii="Times New Roman" w:hAnsi="Times New Roman"/>
          <w:color w:val="000000" w:themeColor="text1"/>
          <w:sz w:val="16"/>
          <w:szCs w:val="16"/>
        </w:rPr>
        <w:softHyphen/>
        <w:t>лет перешел в беспорядочное падение и разрушился при ударе о землю.</w:t>
      </w:r>
    </w:p>
    <w:p w14:paraId="245B89B6" w14:textId="77777777" w:rsidR="00E07F04" w:rsidRPr="00D03F3E" w:rsidRDefault="00E07F04" w:rsidP="00D03F3E">
      <w:pPr>
        <w:pStyle w:val="250"/>
        <w:shd w:val="clear" w:color="auto" w:fill="auto"/>
        <w:spacing w:after="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Днем позже летчик 704-го шап 232-й шад младший лейтенант Зыков с воздуш</w:t>
      </w:r>
      <w:r w:rsidRPr="00D03F3E">
        <w:rPr>
          <w:rFonts w:ascii="Times New Roman" w:cs="Times New Roman"/>
          <w:color w:val="000000" w:themeColor="text1"/>
          <w:sz w:val="16"/>
          <w:szCs w:val="16"/>
        </w:rPr>
        <w:softHyphen/>
        <w:t>ным стрелком сержантом Токанаевым на Ил-2 зав. №302026 в районе д. Ременье вблизи аэродрома Андреаполь выполнял тренировочный полет в зоне на виражи и пикирование с выходом из пикирования с боевым разворотом. При третьем пики</w:t>
      </w:r>
      <w:r w:rsidRPr="00D03F3E">
        <w:rPr>
          <w:rFonts w:ascii="Times New Roman" w:cs="Times New Roman"/>
          <w:color w:val="000000" w:themeColor="text1"/>
          <w:sz w:val="16"/>
          <w:szCs w:val="16"/>
        </w:rPr>
        <w:softHyphen/>
        <w:t>ровании под углом порядка 30-35° с вы</w:t>
      </w:r>
      <w:r w:rsidRPr="00D03F3E">
        <w:rPr>
          <w:rFonts w:ascii="Times New Roman" w:cs="Times New Roman"/>
          <w:color w:val="000000" w:themeColor="text1"/>
          <w:sz w:val="16"/>
          <w:szCs w:val="16"/>
        </w:rPr>
        <w:softHyphen/>
        <w:t>соты 950-1000 м на выводе из пикиро</w:t>
      </w:r>
      <w:r w:rsidRPr="00D03F3E">
        <w:rPr>
          <w:rFonts w:ascii="Times New Roman" w:cs="Times New Roman"/>
          <w:color w:val="000000" w:themeColor="text1"/>
          <w:sz w:val="16"/>
          <w:szCs w:val="16"/>
        </w:rPr>
        <w:softHyphen/>
        <w:t>вания на высоте 500-550 м у самолета оторвалась вместе с частью центроплана правая консоль. При ударе о землю штур</w:t>
      </w:r>
      <w:r w:rsidRPr="00D03F3E">
        <w:rPr>
          <w:rFonts w:ascii="Times New Roman" w:cs="Times New Roman"/>
          <w:color w:val="000000" w:themeColor="text1"/>
          <w:sz w:val="16"/>
          <w:szCs w:val="16"/>
        </w:rPr>
        <w:softHyphen/>
        <w:t>мовик разрушился. Экипаж погиб. Разру</w:t>
      </w:r>
      <w:r w:rsidRPr="00D03F3E">
        <w:rPr>
          <w:rFonts w:ascii="Times New Roman" w:cs="Times New Roman"/>
          <w:color w:val="000000" w:themeColor="text1"/>
          <w:sz w:val="16"/>
          <w:szCs w:val="16"/>
        </w:rPr>
        <w:softHyphen/>
        <w:t>шение крыла произошло в отсеке между первой и второй нервюрами центроплана.</w:t>
      </w:r>
    </w:p>
    <w:p w14:paraId="66BEE27B" w14:textId="77777777" w:rsidR="00E07F04" w:rsidRPr="00D03F3E" w:rsidRDefault="00E07F04" w:rsidP="00D03F3E">
      <w:pPr>
        <w:pStyle w:val="250"/>
        <w:shd w:val="clear" w:color="auto" w:fill="auto"/>
        <w:spacing w:after="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Самолет Ил-2 зав. №301766 был при</w:t>
      </w:r>
      <w:r w:rsidRPr="00D03F3E">
        <w:rPr>
          <w:rFonts w:ascii="Times New Roman" w:cs="Times New Roman"/>
          <w:color w:val="000000" w:themeColor="text1"/>
          <w:sz w:val="16"/>
          <w:szCs w:val="16"/>
        </w:rPr>
        <w:softHyphen/>
        <w:t>нят от завода 25 марта 1943 г. и с на</w:t>
      </w:r>
      <w:r w:rsidRPr="00D03F3E">
        <w:rPr>
          <w:rFonts w:ascii="Times New Roman" w:cs="Times New Roman"/>
          <w:color w:val="000000" w:themeColor="text1"/>
          <w:sz w:val="16"/>
          <w:szCs w:val="16"/>
        </w:rPr>
        <w:softHyphen/>
        <w:t>чала эксплуатации имел налет всего 11 ч 10 мин (17 посадок), а Ил-2 зав. №302026 - 8 апреля и имел налет 4 ч 30 мин (9 посадок).</w:t>
      </w:r>
    </w:p>
    <w:p w14:paraId="440380F2" w14:textId="77777777" w:rsidR="00E07F04" w:rsidRPr="00D03F3E" w:rsidRDefault="00E07F04" w:rsidP="00D03F3E">
      <w:pPr>
        <w:pStyle w:val="250"/>
        <w:shd w:val="clear" w:color="auto" w:fill="auto"/>
        <w:spacing w:after="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Незадолго до этого в 212-й шад 3-й ВА17 и 20 апреля разбились два само</w:t>
      </w:r>
      <w:r w:rsidRPr="00D03F3E">
        <w:rPr>
          <w:rFonts w:ascii="Times New Roman" w:cs="Times New Roman"/>
          <w:color w:val="000000" w:themeColor="text1"/>
          <w:sz w:val="16"/>
          <w:szCs w:val="16"/>
        </w:rPr>
        <w:softHyphen/>
        <w:t>лета Ил-2: сначала погибли старший сер</w:t>
      </w:r>
      <w:r w:rsidRPr="00D03F3E">
        <w:rPr>
          <w:rFonts w:ascii="Times New Roman" w:cs="Times New Roman"/>
          <w:color w:val="000000" w:themeColor="text1"/>
          <w:sz w:val="16"/>
          <w:szCs w:val="16"/>
        </w:rPr>
        <w:softHyphen/>
        <w:t>жант А.А.Даганский и воздушный стрелок младший сержант Д.Р. Копылов из 685-го шап, затем - старшина Пикаев и младший сержант Литвинов из 671-го шап.</w:t>
      </w:r>
    </w:p>
    <w:p w14:paraId="55768BD8" w14:textId="77777777" w:rsidR="00E07F04" w:rsidRPr="00D03F3E" w:rsidRDefault="00E07F04" w:rsidP="00D03F3E">
      <w:pPr>
        <w:pStyle w:val="250"/>
        <w:shd w:val="clear" w:color="auto" w:fill="auto"/>
        <w:spacing w:after="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Экипажи выполняли упражнения по бомбометанию и стрельбе с пикирова</w:t>
      </w:r>
      <w:r w:rsidRPr="00D03F3E">
        <w:rPr>
          <w:rFonts w:ascii="Times New Roman" w:cs="Times New Roman"/>
          <w:color w:val="000000" w:themeColor="text1"/>
          <w:sz w:val="16"/>
          <w:szCs w:val="16"/>
        </w:rPr>
        <w:softHyphen/>
        <w:t>ния на полигоне Левково (аэродром Пре</w:t>
      </w:r>
      <w:r w:rsidRPr="00D03F3E">
        <w:rPr>
          <w:rFonts w:ascii="Times New Roman" w:cs="Times New Roman"/>
          <w:color w:val="000000" w:themeColor="text1"/>
          <w:sz w:val="16"/>
          <w:szCs w:val="16"/>
        </w:rPr>
        <w:softHyphen/>
        <w:t>чистая Каменка). На Ил-2 зав. №301716 старшего сержанта Даганского при пи</w:t>
      </w:r>
      <w:r w:rsidRPr="00D03F3E">
        <w:rPr>
          <w:rFonts w:ascii="Times New Roman" w:cs="Times New Roman"/>
          <w:color w:val="000000" w:themeColor="text1"/>
          <w:sz w:val="16"/>
          <w:szCs w:val="16"/>
        </w:rPr>
        <w:softHyphen/>
        <w:t>кировании под углом 30-40° отвалилась правая консоль, а на Ил-2 зав. №1876142 старшины Пикаева при выводе само</w:t>
      </w:r>
      <w:r w:rsidRPr="00D03F3E">
        <w:rPr>
          <w:rFonts w:ascii="Times New Roman" w:cs="Times New Roman"/>
          <w:color w:val="000000" w:themeColor="text1"/>
          <w:sz w:val="16"/>
          <w:szCs w:val="16"/>
        </w:rPr>
        <w:softHyphen/>
        <w:t>лета из пикирования под углом 25-30° отвалилась левая консоль крыла. Оба Ил-2 были выпущены заводами в фев</w:t>
      </w:r>
      <w:r w:rsidRPr="00D03F3E">
        <w:rPr>
          <w:rFonts w:ascii="Times New Roman" w:cs="Times New Roman"/>
          <w:color w:val="000000" w:themeColor="text1"/>
          <w:sz w:val="16"/>
          <w:szCs w:val="16"/>
        </w:rPr>
        <w:softHyphen/>
        <w:t>рале 1943 г.</w:t>
      </w:r>
    </w:p>
    <w:p w14:paraId="3FDFC5B2" w14:textId="77777777" w:rsidR="00E07F04" w:rsidRPr="00D03F3E" w:rsidRDefault="00E07F0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расследования катастроф были созданы совместные государственные ко</w:t>
      </w:r>
      <w:r w:rsidRPr="00D03F3E">
        <w:rPr>
          <w:rFonts w:ascii="Times New Roman" w:hAnsi="Times New Roman"/>
          <w:color w:val="000000" w:themeColor="text1"/>
          <w:sz w:val="16"/>
          <w:szCs w:val="16"/>
        </w:rPr>
        <w:softHyphen/>
        <w:t>миссии ВВС и НКАП. Одна комиссия под руководством заместителя главного ин</w:t>
      </w:r>
      <w:r w:rsidRPr="00D03F3E">
        <w:rPr>
          <w:rFonts w:ascii="Times New Roman" w:hAnsi="Times New Roman"/>
          <w:color w:val="000000" w:themeColor="text1"/>
          <w:sz w:val="16"/>
          <w:szCs w:val="16"/>
        </w:rPr>
        <w:softHyphen/>
        <w:t>женера ВВС генерал-майора А.А. Лапина работала в частях 212-й шад, вторая под председательством ведущего инженера НИИ ВВС инженер-майора В.С.Холопова - в частях 2-го шак. Еще одна комиссия под председательством заместителя на</w:t>
      </w:r>
      <w:r w:rsidRPr="00D03F3E">
        <w:rPr>
          <w:rFonts w:ascii="Times New Roman" w:hAnsi="Times New Roman"/>
          <w:color w:val="000000" w:themeColor="text1"/>
          <w:sz w:val="16"/>
          <w:szCs w:val="16"/>
        </w:rPr>
        <w:softHyphen/>
        <w:t>чальника УЗСиМ ВВС инженер-полков- ника Я.Я. Салтанова проводила инспек</w:t>
      </w:r>
      <w:r w:rsidRPr="00D03F3E">
        <w:rPr>
          <w:rFonts w:ascii="Times New Roman" w:hAnsi="Times New Roman"/>
          <w:color w:val="000000" w:themeColor="text1"/>
          <w:sz w:val="16"/>
          <w:szCs w:val="16"/>
        </w:rPr>
        <w:softHyphen/>
        <w:t>цию организации производства и соблю</w:t>
      </w:r>
      <w:r w:rsidRPr="00D03F3E">
        <w:rPr>
          <w:rFonts w:ascii="Times New Roman" w:hAnsi="Times New Roman"/>
          <w:color w:val="000000" w:themeColor="text1"/>
          <w:sz w:val="16"/>
          <w:szCs w:val="16"/>
        </w:rPr>
        <w:softHyphen/>
        <w:t>дения технологии изготовления деревян</w:t>
      </w:r>
      <w:r w:rsidRPr="00D03F3E">
        <w:rPr>
          <w:rFonts w:ascii="Times New Roman" w:hAnsi="Times New Roman"/>
          <w:color w:val="000000" w:themeColor="text1"/>
          <w:sz w:val="16"/>
          <w:szCs w:val="16"/>
        </w:rPr>
        <w:softHyphen/>
        <w:t>ных агрегатов Ил-2 на заводах №№ 1, 18 и 30. В состав комиссий вошли предста вители ГУ ИАС ВВС, 10 ГУ НКАП, СКБ-240 Ильюшина и заводов (19557).</w:t>
      </w:r>
    </w:p>
    <w:p w14:paraId="06B00A8B" w14:textId="77777777" w:rsidR="00E07F04" w:rsidRPr="00D03F3E" w:rsidRDefault="00E07F04" w:rsidP="00D03F3E">
      <w:pPr>
        <w:spacing w:after="0" w:line="240" w:lineRule="auto"/>
        <w:jc w:val="both"/>
        <w:rPr>
          <w:rFonts w:ascii="Times New Roman" w:hAnsi="Times New Roman"/>
          <w:color w:val="000000" w:themeColor="text1"/>
          <w:sz w:val="16"/>
          <w:szCs w:val="16"/>
        </w:rPr>
      </w:pPr>
    </w:p>
    <w:p w14:paraId="2A9137E9"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201AAF1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BB46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мая 1943 вышло Распоряжение ГКО № 3278. О прекращении демонтажа металлических емкостей в Баку и передаче Главнефтеснабом 1200 т металла на строительство трубопровода Махачкала-Астрахань-Саратов.РГАНИР, Фонд ГКО, д. 112, лл. 165 (11012).</w:t>
      </w:r>
    </w:p>
    <w:p w14:paraId="3D7ADB2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373C9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мая 1943 вышло Постановление ГКО № 3279 О дополнительном учреждении двух переходящих Красных знамен ГКО для предприятий НКСМ-победителей во Всесоюзном соцсоревновании.РГАНИР, Фонд ГКО, д. 112, лл. 166 (11012).</w:t>
      </w:r>
    </w:p>
    <w:p w14:paraId="3B1D49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B0E4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мая 1943 вышло Постановление ГКО № 3281 Об усилении лесозаготовок по Наркомлесу Карело-Финской ССР в 1943 году. (7102, 169-172,173).</w:t>
      </w:r>
    </w:p>
    <w:p w14:paraId="0AB01988"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D03892"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6F16FB6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B85BE3"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мая в 1943 году утреннее сообщение Совинформбюро:</w:t>
      </w:r>
    </w:p>
    <w:p w14:paraId="3EAA04D5"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 мая на фронтах существенных изменений не произошло.</w:t>
      </w:r>
    </w:p>
    <w:p w14:paraId="1B883267"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части Н-ского соединения вели упорные бои с противником. По неполным данным, подбито и сожжено 6 немецких танков, уничтожено 8 орудий, 4 шестиствольных миномёта, несколько десятков пулемётов и более батальона немецкой пехоты.</w:t>
      </w:r>
    </w:p>
    <w:p w14:paraId="530256C9"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Калининском фронте артиллеристы и миномётчики Н-ской части произвели огневой налёт по укреплениям противника и уничтожили 9 дзотов, 8 блиндажей, 2 орудия, 7 пулемётов и до роты немецкой пехоты. Наши разведчики проникли в тыл противника и внезапно атаковали немецкий гарнизон в одной деревне. В уличном бою наши бойцы уничтожили 45 немцев и, захватив пленных, вернулись в свою часть.</w:t>
      </w:r>
    </w:p>
    <w:p w14:paraId="1BC82DCB"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Огнём зенитной артиллерии сбито 3 немецких самолёта.</w:t>
      </w:r>
    </w:p>
    <w:p w14:paraId="6991973D"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рота немецких автоматчиков под прикрытием артиллерийского огня пыталась проникнуть в расположение советских войск. Подпустив немцев на близкое расстояние, наши бойцы открыли залповый огонь. Оставив на поле боя свыше 80 трупов, противник в беспорядке отступил.</w:t>
      </w:r>
    </w:p>
    <w:p w14:paraId="1163FED7"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районе южнее Орла бойцы Н-ской части атаковали противника и овладели высотой, имеющей важное значение. В бою за эту высоту уничтожено до 200 немецких солдат и офицеров. Захвачены у немцев б пулемётов, несколько десятков винтовок и автоматов, 3 радиостанции и склад боеприпасов.</w:t>
      </w:r>
    </w:p>
    <w:p w14:paraId="4434455D"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группа разведчиков во главе со старшим лейтенантом Жарковым ночью, преодолев минное поле и проволочные заграждения, ворвалась в немецкие траншеи. Штыками и гранатами наши бойцы истребили 20 гитлеровцев. На другом участке наши разведчики, действуя в тылу противника, столкнулись с ротой немецкой пехоты. Внезапно напав на противника, разведчики рассеяли немцев. Захватив 3 пулемёта и несколько автоматов, наши бойцы вернулись в свою часть.</w:t>
      </w:r>
    </w:p>
    <w:p w14:paraId="2455D0A9"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Минской области, напал на вражеский гарнизон, расположенный в городе Н. В ожесточённом уличном бою большинство гитлеровцев было уничтожено. Остальные немецкие солдаты убили своего командира и коменданта города и с полным вооружением сдались партизанам. Всего сдалось в плен 33 немца. Группа партизан другого отряда 23 апреля пустила под откос немецкий воинский эшелон. В результате крушения уничтожены паровоз, 9 платформ с автомашинами и 5 вагонов с вооружением. Гитлеровцы выслали к месту катастрофы восстановительный поезд. Советские патриоты заминировали железнодорожный путь и взорвали восстановительный поезд. Уничтожены 2 платформы с подъёмными кранами и паровоз.</w:t>
      </w:r>
    </w:p>
    <w:p w14:paraId="0B32AF00"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Польские патриоты разрушают коммуникации немецко-фашистских оккупантов. В Лодзинском районе польскими партизанами пущены под откос немецкий воинский поезд и эшелон с углём. В другом районе партизаны развинтили рельсы. Следовавший по этой линии поезд потерпел крушение. На ряде железных дорог в результате действий польских патриотов было прервано движение поездов.»</w:t>
      </w:r>
    </w:p>
    <w:p w14:paraId="3270510B" w14:textId="77777777" w:rsidR="006C5519" w:rsidRPr="00D03F3E" w:rsidRDefault="006C5519" w:rsidP="00D03F3E">
      <w:pPr>
        <w:spacing w:after="0" w:line="240" w:lineRule="auto"/>
        <w:jc w:val="both"/>
        <w:rPr>
          <w:rFonts w:ascii="Times New Roman" w:hAnsi="Times New Roman"/>
          <w:color w:val="000000" w:themeColor="text1"/>
          <w:sz w:val="16"/>
          <w:szCs w:val="16"/>
        </w:rPr>
      </w:pPr>
    </w:p>
    <w:p w14:paraId="19E1D5C3"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мая в 1943 году вечернее сообщение Совинформбюро:</w:t>
      </w:r>
    </w:p>
    <w:p w14:paraId="07D24740"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 мая на фронтах существенных изменений не произошло.</w:t>
      </w:r>
    </w:p>
    <w:p w14:paraId="29041893"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25 апреля по 1 мая включительно, в воздушных боях и на аэродромах противника уничтожен 281 немецкий самолёт. Наши потери за это же время — 105 самолётов.</w:t>
      </w:r>
    </w:p>
    <w:p w14:paraId="1D2F8D55"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кораблями в Баренцевом море потоплен транспорт противника.</w:t>
      </w:r>
    </w:p>
    <w:p w14:paraId="444DA5C2"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мая частями нашей авиации на различных участках фронта уничтожено или повреждено не менее 5 немецких танков, 10 автомашин с войсками и грузами, подавлен огонь 4 артиллерийских батарей, повреждены танкер, два вспомогательных корабля и три баржи противника.</w:t>
      </w:r>
    </w:p>
    <w:p w14:paraId="71DCDFEF"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Новороссийска немцы несколько дней тому назад крупными силами предприняли наступление, пытаясь захватить наши позиции. Действуя при поддержке авиации, противник в течение шести дней вёл ожесточённые атаки, пытаясь сломить сопротивление наших частей. Бойцы Н-ского соединения отбили все атаки гитлеровцев и нанесли им большой урон. В этих боях уничтожено более 7.000 вражеских солдат и офицеров, подбито и сожжено 25 немецких танков и бронемашин. Обескровленные части противника, не добившись никакого успеха, вынуждены были прекратить атаки.</w:t>
      </w:r>
    </w:p>
    <w:p w14:paraId="4187D992"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подразделения рассеяли несколько разведывательных отрядов противника и уничтожили 150 гитлеровцев. Группа снайперов Н-ской части за два дня истребила. 20 немецких солдат и одного офицера. Снайпер т. Евтухов уничтожил 5 немцев, снайперы тт. Чубанов и Волков истребили по 3 немца каждый.</w:t>
      </w:r>
    </w:p>
    <w:p w14:paraId="13B298B9"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рота немецкой пехоты пыталась форсировать реку и проникнуть в расположение наших войск. Бойцы Н-ской части встретили противника залповым огнёми вынудили его поспешно отступить. Ha поле боя осталось несколько десятков вражеских трупов.</w:t>
      </w:r>
    </w:p>
    <w:p w14:paraId="4599AD26"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огнём артиллерии и миномётов разрушено 5 вражеских дзотов, подавлен огонь 3 артиллерийских и 2 миномётных батарей, рассеяно и частью уничтожено до батальона пехоты противника.</w:t>
      </w:r>
    </w:p>
    <w:p w14:paraId="339470A2"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Лётчики-штурмовики под командованием гвардии старшего лейтенанта Хохлова совершили налёт на железнодорожную станцию в тылу противника. Советские самолёты прорвались через зенитный огонь и взорвали железнодорожный состав противника с боеприпасами.</w:t>
      </w:r>
    </w:p>
    <w:p w14:paraId="60B1CAEB"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Несколько партизанских отрядов, действующих в Калининской области, окружили, а затем взяли штурмом опорный пункт противника. Удар был настолько неожиданным,что немцы не могли оказать серьёзного сопротивления. Партизаны истребили 80 гитлеровцев. Захвачены 2 пулемёта, несколько десятков автоматов и винтовок, аптека с медикаментами, вещевой склад и другие трофеи. Группа подрывников другого отряда калининских партизан пустила под откос немецкий воинский эшелон. Разбиты паровоз и 22 платформы. Автомашины, находившиеся на 16 платформах, приведены в полную негодность.</w:t>
      </w:r>
    </w:p>
    <w:p w14:paraId="1FC291EF"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Бойцы, командиры и политработники Красной Армии с величайшим воодушевлением встретили первомайский приказ Верховного Главнокомандующего Маршала Советского Союза товарища Сталина. Утром и днём 1 мая приказ был зачитан во всех частях и подразделениях. Во многих частях и гарнизонах, где позволяет обстановка, состоялись массовые митинги, прошедшие с огромным подъёмом. Выступившие на митингах бойцы, командиры и политработники заявили о своей готовности отдать все силы на выполнение приказа Верховного Главнокомандующего.</w:t>
      </w:r>
    </w:p>
    <w:p w14:paraId="06653B45"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 Западном фронте в Н-ской стрелковой части с речью выступил старший сержант тов. Евсеев. Он заявил: «Приказ товарища Сталина даёт нам развёрнутую программу боевых действий. Следуя указаниям нашего Верховного Главнокомандующего, мы будем ежедневно совершенствовать свою боевую выучку. Недалёк тот </w:t>
      </w:r>
      <w:r w:rsidRPr="00D03F3E">
        <w:rPr>
          <w:rFonts w:ascii="Times New Roman" w:hAnsi="Times New Roman"/>
          <w:color w:val="000000" w:themeColor="text1"/>
          <w:sz w:val="16"/>
          <w:szCs w:val="16"/>
        </w:rPr>
        <w:lastRenderedPageBreak/>
        <w:t>день, когда КраснаяАрмия совместно с армиями своих союзников сломает хребет фашистскому зверю и освободит нашу советскую землю от немецких захватчиков». На Южном фронте находящийся на переднем крае в боевом охранении красноармеец тов. Резнюк заявил: «Я убил 14 немцев. Буду и далее беспощадно истреблять гитлеровских бандитов. Там, где я стою и пока я жив, враг не пройдёт». В Н-ской части снайпер тов.Григорьев в своей речи сказал: «Я уничтожил 60 немцев. В ответ на приказ товарища Сталина даю обязательство этот счёт утроить и подготовить десять новых снайперов».</w:t>
      </w:r>
    </w:p>
    <w:p w14:paraId="749F7771"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частях Красной Армии, находящихся в тылу, выступившие на митингах бойцы и командиры выражали желание как можно скорее отправиться в действующую армию. Пулемётчик Кретчин обратился к командованию со следующим рапортом: «Я стреляю отлично и готов к бою. Прошу отправить меня на фронт, где я смогу с честью выполнить приказ товарища Сталина» (14879).</w:t>
      </w:r>
    </w:p>
    <w:p w14:paraId="24B61ECB" w14:textId="77777777" w:rsidR="006C5519" w:rsidRPr="00D03F3E" w:rsidRDefault="006C5519" w:rsidP="00D03F3E">
      <w:pPr>
        <w:spacing w:after="0" w:line="240" w:lineRule="auto"/>
        <w:jc w:val="both"/>
        <w:rPr>
          <w:rFonts w:ascii="Times New Roman" w:hAnsi="Times New Roman"/>
          <w:color w:val="000000" w:themeColor="text1"/>
          <w:sz w:val="16"/>
          <w:szCs w:val="16"/>
        </w:rPr>
      </w:pPr>
    </w:p>
    <w:p w14:paraId="79C8053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мая 1943 в Минске во время бомбардировки АДД одна из бомб попала в помещение, где проходил банкет и погибло 150 офицеров и 8 генералов (438,870).</w:t>
      </w:r>
    </w:p>
    <w:p w14:paraId="097D2D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42BB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мая 1943 г. вышел ПРИКАЗ № 0323 О ПОРЯДКЕ ВЫДАЧИ ВОДКИ ВОЙСКАМ ДЕЙСТВУЮЩЕЙ АРМИИ</w:t>
      </w:r>
    </w:p>
    <w:p w14:paraId="752A9D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Постановления Государственного Комитета Обороны № ГОКО-3272с от 30.04.43 г. приказываю:</w:t>
      </w:r>
    </w:p>
    <w:p w14:paraId="7EE755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Прекратить с 3 мая 1943 г. массовую ежедневную выдачу водки личному составу войск действующей армии.</w:t>
      </w:r>
    </w:p>
    <w:p w14:paraId="0BB5474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Выдачу водки по 100 граммов в сутки на человека производить военнослужащим только тех частей передовой линии, которые ведут наступательные операции, причем определение того, каким именно армиям и соединениям выдавать водку, возлагается на военные советы фронтов и отдельных армий.</w:t>
      </w:r>
    </w:p>
    <w:p w14:paraId="447B697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Всем остальным военнослужащим действующей армии выдачу водки в размере 100 граммов на человека в сутки производить в дни революционных и общественых праздников, указанных в Постановлении ГОКО № 1889, пункт 3 от 6 июня 1942 г.</w:t>
      </w:r>
    </w:p>
    <w:p w14:paraId="4D8B01A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Заместитель Народного комиссара обороны генерал-полковник интендантской службы А. ХРУЛЕВ </w:t>
      </w:r>
      <w:r w:rsidRPr="00D03F3E">
        <w:rPr>
          <w:rFonts w:ascii="Times New Roman" w:hAnsi="Times New Roman"/>
          <w:color w:val="000000" w:themeColor="text1"/>
          <w:sz w:val="16"/>
          <w:szCs w:val="16"/>
        </w:rPr>
        <w:t>(9844).</w:t>
      </w:r>
    </w:p>
    <w:p w14:paraId="68CB5FA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223A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на 2 мая 1943 в 1-м ГМТАП при снятии с «Ильюшина» неиспользованной бомбы ПЛАБ-100 произошла катастрофа. Сильный взрыв убил не только нарушившего инструкции техника, но и нанес повреждения пяти Ил-4. Два из них сгорели полностью. С формулировкой «за невыполнение приказа командования» были преданы суду командир полка Челноков, инженер Морозов и инженер по вооружению Лебедев. Звезда Героя Советского Союза спасла Чел-нокова, но с командованием полком ему пришлось расстаться. Последовал перевод в ВВС Черноморского флота на должность помощника командира 8-го гвардейского штурмового авиаполка. Однако судьба обошлась благосклонно с талантливым летчиком. В январе 1944 г. он вновь дослужился до должности командира полка, в августе стал командиром 9-й штурмовой авиадивизии ВВС КБФ и в том же месяце был удостоен второй Золотой Звезды. Командиром же 1 -го гвардейского с 6 мая 1943 г. стал майор А.Н.Дарьин. В многочисленной литературе и мемуарах, посвященных части, он, как правило, вообще не упоминается. Лишь историограф полка журналист Львов в своей книге, не называя личности нового командира, написал: «офицер, сменивший Челнокова, оказался неподготовлен к осуществлению крутого поворота к боевым действиям на море и сам на боевое торпедирование не летал». Фактически обязанности командира в это время исполнял помощник командира полка по летной подготовке и воздушному бою майор И.Н.Пономаренко, а в вопросах организации полетов на «свободную охоту» активно участвовал инспектор по технике пилотирования 8-й авиабригады (с июля - 8-й минно-торпедной дивизии) майор И.И.Борзов (9965).</w:t>
      </w:r>
    </w:p>
    <w:p w14:paraId="053B70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47DB9A"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мая 1943 вышло Постановление ГКО № 3282 О численности Красной Армии. (7102, 174-176,177-179).</w:t>
      </w:r>
    </w:p>
    <w:p w14:paraId="63C07417"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328BB1"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5325F05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835C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мая 1943 года (7430).</w:t>
      </w:r>
    </w:p>
    <w:p w14:paraId="576D76F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СТРОГО СЕКРЕТНОЕ ПОСЛАНИЕ ОТ ПРЕМЬЕР-МИНИСТРА г-на УИНСТОНА ЧЕРЧИЛЛЯ МАРШАЛУ И. В. СТАЛИНУ</w:t>
      </w:r>
    </w:p>
    <w:p w14:paraId="1D7AC60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 только что прочел с весьма большим удовлетворением и восхищением Вашу великолепную речь в день 1 Мая, и я особенно высоко оцениваю упоминание Вами единого удара союзников, и Вы можете действительно рассчитывать на то, что я сделаю все, что в моих силах, чтобы “сломать хребет фашистскому зверю”.</w:t>
      </w:r>
    </w:p>
    <w:p w14:paraId="0A0B55D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Хотя фотографии показывают, что разрушена одна треть Эссена, противник прилагает большие усилия, чтобы продолжать работу на своих жизненно важных заводах Крупна подобно тому, как это вы делали в Сталинграде. Поэтому мы дали противнику еще одну дозу в 800 тонн. На прошлой неделе мы также дали Дуйсбургу 1450 тонн. Это была самая крупная доза, которую мы до сих пор сбрасывали в течение одного налета. Штеттин получил 782 тонны и Росток — 117. Мы провели весьма крупные, но дорогостоящие операции по минированию Балтийского моря, в которых приняли участие 226 самолетов. Все это произошло после того, как я писал Вам в последний раз. Это минирование полезно во многих отношениях: добрая часть уже напряженных ресурсов тоннажа противника постоянно становится нашей добычей и, во-вторых, мы вынуждаем его строить большое количество минных тральщиков и заставляем его отвлекать свои силы в других направлениях. Когда погода неблагоприятна для бомбардировки наземных объектов, мы находим выход в минировании. В течение двух последних ночей мы находились в полной готовности для выполнения еще одной крупной операции в Руре, но нам мешает погода. Во время налета на Пильзен мы не нанесли концентрированного удара по заводам Шкода, но эта цель не будет забыта, когда повторятся исключительные условия, которые одни лишь позволяют осуществить такую операцию.</w:t>
      </w:r>
    </w:p>
    <w:p w14:paraId="6FE87FB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 тунисском выступе сражение продолжается с большим ожесточением и со значительными потерями с обеих сторон. Со времени нашего вступления в Тунис мы захватили около 40 000 пленных; кроме того, противник потерял 35 000 убитыми и ранеными. Потери 1-й армии составили около 23000 и 8-й армии—около 10000. Общие потери союзников составляют приблизительно 50 000 человек, 2/3 из которых являются англичанами. Сражение будет продолжаться по всему фронту с крайней интенсивностью, и генерал Александер перегруппировывает свои войска для нанесения в скором времени сильного удара. В настоящее время окружено до 200 000 человек войск противника. Однако он неуклонно посылает подкрепления, но в течение последних нескольких дней наши военно-воздушные силы, которые становятся все более сильными и подтягивают свои базы, нанесли ему большие потери. Было потоплено так много эсминцев и транспортов, включая несколько транспортов, перевозивших немецкие подкрепления, что все перевозки были временно приостановлены. Если будет невозможно немедленно возобновить перевозки, то положение противника в отношении снабжения будет весьма серьезным. Его шансы на бегство морем в каком-либо количестве также неблагоприятны. Особый характер местности, в виде плоских степей, над которыми господствуют зубчатые, вертикально возвышающиеся шпили, каждый из которых является крепостью, способствует обороне противника и задерживает наше продвижение. Однако я надеюсь, что до конца этого месяца получу хорошие вести для Вас. Тем временем вся кампания весьма дорого обходится противнику ввиду дополнительных потерь, которые он несет при перевозках (7430).</w:t>
      </w:r>
    </w:p>
    <w:p w14:paraId="457806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9DCB0B"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883327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341E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1943 г. в соответствии с приказом НКАП №267с КБ Бериева было перебазировано в г. Красноярск на завод №477 — бывшие мастерские по ремонту катеров Главсевморпути. Там серийный выпуск и совершенствование Бе-4 продол</w:t>
      </w:r>
      <w:r w:rsidRPr="00D03F3E">
        <w:rPr>
          <w:rFonts w:ascii="Times New Roman" w:hAnsi="Times New Roman"/>
          <w:color w:val="000000" w:themeColor="text1"/>
          <w:sz w:val="16"/>
          <w:szCs w:val="16"/>
        </w:rPr>
        <w:softHyphen/>
        <w:t>жились. Значительно усилили огневую мощь самолета ракетные орудия РО-82 для реактивных снарядов РС-82. Машина №28807 имела по четыре РО-82 под каж</w:t>
      </w:r>
      <w:r w:rsidRPr="00D03F3E">
        <w:rPr>
          <w:rFonts w:ascii="Times New Roman" w:hAnsi="Times New Roman"/>
          <w:color w:val="000000" w:themeColor="text1"/>
          <w:sz w:val="16"/>
          <w:szCs w:val="16"/>
        </w:rPr>
        <w:softHyphen/>
        <w:t>дой консолью крыла, на всех последующих их количество сократили до двух. Начиная с самолета №4770202, Бе-4 в дополнение к двум бакам в мотогондоле стали осна</w:t>
      </w:r>
      <w:r w:rsidRPr="00D03F3E">
        <w:rPr>
          <w:rFonts w:ascii="Times New Roman" w:hAnsi="Times New Roman"/>
          <w:color w:val="000000" w:themeColor="text1"/>
          <w:sz w:val="16"/>
          <w:szCs w:val="16"/>
        </w:rPr>
        <w:softHyphen/>
        <w:t>щать спаренными лодочными бензобака</w:t>
      </w:r>
      <w:r w:rsidRPr="00D03F3E">
        <w:rPr>
          <w:rFonts w:ascii="Times New Roman" w:hAnsi="Times New Roman"/>
          <w:color w:val="000000" w:themeColor="text1"/>
          <w:sz w:val="16"/>
          <w:szCs w:val="16"/>
        </w:rPr>
        <w:softHyphen/>
        <w:t>ми емкостью 300 л. Затем внедрили новую систему заполнения бензобаков нейтраль</w:t>
      </w:r>
      <w:r w:rsidRPr="00D03F3E">
        <w:rPr>
          <w:rFonts w:ascii="Times New Roman" w:hAnsi="Times New Roman"/>
          <w:color w:val="000000" w:themeColor="text1"/>
          <w:sz w:val="16"/>
          <w:szCs w:val="16"/>
        </w:rPr>
        <w:softHyphen/>
        <w:t>ным газом. В маслосистему добавили еще один радиатор, размещенный на нижней поверхности центроплана крыла слева от мотогондолы. В очередной раз измени</w:t>
      </w:r>
      <w:r w:rsidRPr="00D03F3E">
        <w:rPr>
          <w:rFonts w:ascii="Times New Roman" w:hAnsi="Times New Roman"/>
          <w:color w:val="000000" w:themeColor="text1"/>
          <w:sz w:val="16"/>
          <w:szCs w:val="16"/>
        </w:rPr>
        <w:softHyphen/>
        <w:t>лось стрелковое вооружение. Вместо хво</w:t>
      </w:r>
      <w:r w:rsidRPr="00D03F3E">
        <w:rPr>
          <w:rFonts w:ascii="Times New Roman" w:hAnsi="Times New Roman"/>
          <w:color w:val="000000" w:themeColor="text1"/>
          <w:sz w:val="16"/>
          <w:szCs w:val="16"/>
        </w:rPr>
        <w:softHyphen/>
        <w:t>стовой турели со ШКАСом была установлена турель ВУБ-3 с крупнокалиберным УБТ. Однако при этом взлетная масса перева</w:t>
      </w:r>
      <w:r w:rsidRPr="00D03F3E">
        <w:rPr>
          <w:rFonts w:ascii="Times New Roman" w:hAnsi="Times New Roman"/>
          <w:color w:val="000000" w:themeColor="text1"/>
          <w:sz w:val="16"/>
          <w:szCs w:val="16"/>
        </w:rPr>
        <w:softHyphen/>
        <w:t>лила за 3 т, и один курсовой пулемет УБК пришлось снять (10685).</w:t>
      </w:r>
    </w:p>
    <w:p w14:paraId="268CA0F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06F45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1943 вышел приказ НКАП N 267с о назначении Г.М.Бериева на должность ГК завода N 477 (451).</w:t>
      </w:r>
    </w:p>
    <w:p w14:paraId="31D7E5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 этого был на 166 заводе в Омске и там сделали 9 КОР-2, а испытывали на Иртыше. 477 был раньше ремонтными мастерскими Главсевморпути. Полярный летчик Мальков проводил сдаточные испытания КОР-2. С машины N 28807 стали ставить по 4 РО-82 под каждым крылом (1288,33).</w:t>
      </w:r>
    </w:p>
    <w:p w14:paraId="428D29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85F16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1943 Приказом Наркома авиационной промышленности тов. Шахурина Красноярский завод №477 Наркомата авиационной промышленности, который был эвакуирован в г. Красноярск из Тульской области в октябре месяце 1941 г. и в течение 1942 г[ода] и первого полугодия 1943 года выпускал запчасти к самолету «СБ, был переведен на строительство гидросамолета «БЕ-4» и опытного гидросамолета морского дальнего разведчика «ЛЛ-143» конструкции инженера тов. Бериева Г.М.</w:t>
      </w:r>
    </w:p>
    <w:p w14:paraId="798ABE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справке от 6 декабря 1943, самолеты «БЕ-4» успешно осваиваются на заводе серийным производством. В ноябре месяце выпущен первый самолет, подготавливаются к сдаче второй и третий самолеты. За время налаживания нового производства заводом освоены процессы анодирования, атомно-водородная сварка, литье из алюминиевых сплавов и другие новые для завода технологические процессы. Но нужно сказать, что освоение нового производства протекает в условиях резкого недостатка квалифицированных рабочих. Это особенно сказывается сейчас, когда завод должен перейти к регулярному выпуску большой серии самолетов.</w:t>
      </w:r>
    </w:p>
    <w:p w14:paraId="5AB85CC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Низкий уровень квалификации рабочих завода и невозможность поэтому быстрого обучения молодых кадров при недостатке рабочих, профессии которых требуют длительного обучения (токаря, слесаря) ставит завод в весьма трудное положение с расширением серийного выпуска самолетов «БЕ-4»</w:t>
      </w:r>
    </w:p>
    <w:p w14:paraId="6DCBF77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Еще больше трудностей предстоит в связи с большим объемом работы по строительству опытного самолета, которое должно перевести завод на совершенно новые </w:t>
      </w:r>
      <w:r w:rsidRPr="00D03F3E">
        <w:rPr>
          <w:rFonts w:ascii="Times New Roman" w:hAnsi="Times New Roman"/>
          <w:color w:val="000000" w:themeColor="text1"/>
          <w:sz w:val="16"/>
          <w:szCs w:val="16"/>
        </w:rPr>
        <w:lastRenderedPageBreak/>
        <w:t>масштабы производства. К строительству опытной машины завод приступил в сентябре месяце 1943 года. К 15-му ноября был построен макет самолета, который 29 ноября 1943 года утвержден государственной комиссией ВВС ВМФ СССР.</w:t>
      </w:r>
    </w:p>
    <w:p w14:paraId="44E15A6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декабря месяца 1943 года завод приступает к изготовлению летнего экземпляра указанного самолета.</w:t>
      </w:r>
    </w:p>
    <w:p w14:paraId="14564165" w14:textId="77777777" w:rsidR="006C5519"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Короткие сроки выпуска, заданные заводу по опытной машине, диктуют необходимость быстрого разворота опытного производства и пополнения завода квалифицированной рабочей силой[…]</w:t>
      </w:r>
    </w:p>
    <w:p w14:paraId="4C176B9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Секретарь крайкома ВКП (б) подпись И. Голубев </w:t>
      </w:r>
    </w:p>
    <w:p w14:paraId="3987B7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ГАКК. Ф.П-26. Оп.4. Д.2. Л.137-138. Подлинник. Машинопись (11806).</w:t>
      </w:r>
    </w:p>
    <w:p w14:paraId="2691F1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3893E4" w14:textId="77777777" w:rsidR="00A0130C" w:rsidRPr="00D03F3E" w:rsidRDefault="00A013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мая 1943 г.</w:t>
      </w:r>
    </w:p>
    <w:p w14:paraId="708E4FA4" w14:textId="77777777" w:rsidR="00A0130C" w:rsidRPr="00D03F3E" w:rsidRDefault="00A013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Приказы наркома авиационной промышленности А.И. Шахурина</w:t>
      </w:r>
    </w:p>
    <w:p w14:paraId="1E92412A" w14:textId="77777777" w:rsidR="00A0130C" w:rsidRPr="00D03F3E" w:rsidRDefault="00A013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 Москва</w:t>
      </w:r>
      <w:r w:rsidRPr="00D03F3E">
        <w:rPr>
          <w:rFonts w:ascii="Times New Roman" w:hAnsi="Times New Roman"/>
          <w:color w:val="0070C0"/>
          <w:sz w:val="16"/>
          <w:szCs w:val="16"/>
        </w:rPr>
        <w:tab/>
        <w:t>3 мая 1943 г.</w:t>
      </w:r>
    </w:p>
    <w:p w14:paraId="6BDAA206" w14:textId="77777777" w:rsidR="00A0130C" w:rsidRPr="00D03F3E" w:rsidRDefault="00A013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сов[ершенно] секретно</w:t>
      </w:r>
    </w:p>
    <w:p w14:paraId="3D86C21B" w14:textId="77777777" w:rsidR="00A0130C" w:rsidRPr="00D03F3E" w:rsidRDefault="00A013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целях обеспечения снабжения ВВС Военно-Морского Флота СССР морскими самолетами приказываю:</w:t>
      </w:r>
    </w:p>
    <w:p w14:paraId="75D15E72" w14:textId="77777777" w:rsidR="00A0130C" w:rsidRPr="00D03F3E" w:rsidRDefault="00A013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Начальнику10-го Главного управления тов. Тарасевичу Б.Н. и директору завода № 477 тов. Рехтману организовать на заводе № 477 серийное производство гидросамолетов Бе-4 с обеспечением выпуска в текущем году пяти самолетов и в 1944 году - 50 самолетов.</w:t>
      </w:r>
    </w:p>
    <w:p w14:paraId="7C21370B" w14:textId="77777777" w:rsidR="00A0130C" w:rsidRPr="00D03F3E" w:rsidRDefault="00A013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Завод № 477 включить в состав 10-го Главного управления и приравнять к заводам первой категории;</w:t>
      </w:r>
    </w:p>
    <w:p w14:paraId="2149961C" w14:textId="77777777" w:rsidR="00A0130C" w:rsidRPr="00D03F3E" w:rsidRDefault="00A013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Перевести до 1 июня опытно-конструкторское бюро тов. Бериева с завода № 288 на завод № 477 со всем личным составом, имуществом, лабораторией статических испытаний и библиотекой.</w:t>
      </w:r>
    </w:p>
    <w:p w14:paraId="1F10866B" w14:textId="77777777" w:rsidR="00A0130C" w:rsidRPr="00D03F3E" w:rsidRDefault="00A013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Выполнение плана и заданий ОКБ тов. Бериева по строительству опытных гидросамолетов возложить на завод № 477 НКАП;</w:t>
      </w:r>
    </w:p>
    <w:p w14:paraId="58016CF8" w14:textId="77777777" w:rsidR="00A0130C" w:rsidRPr="00D03F3E" w:rsidRDefault="00A013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Назначить тов. Бериева Г.М. главным конструктором завода № 477 НКАП;</w:t>
      </w:r>
    </w:p>
    <w:p w14:paraId="49BE457A" w14:textId="77777777" w:rsidR="00A0130C" w:rsidRPr="00D03F3E" w:rsidRDefault="00A013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 Директору завода № 288 НКАП тов. Кутепову:</w:t>
      </w:r>
    </w:p>
    <w:p w14:paraId="237C3BEE" w14:textId="77777777" w:rsidR="00A0130C" w:rsidRPr="00D03F3E" w:rsidRDefault="00A013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 передать заводу № 477 всю наличную оснастку, инструмент, имеющийся задел по самолету Бе-4, материалы и готовые изделия, обеспечив их упаковку и погрузку в вагоны;</w:t>
      </w:r>
    </w:p>
    <w:p w14:paraId="7013CE6F" w14:textId="77777777" w:rsidR="00A0130C" w:rsidRPr="00D03F3E" w:rsidRDefault="00A013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б) перевести на завод № 477 рабочих и ИТР (кроме конструкторов) в количестве 100 человек, ранее работавших по строительству машин Бе-4, по прилагаемому списку;</w:t>
      </w:r>
    </w:p>
    <w:p w14:paraId="42E36246" w14:textId="77777777" w:rsidR="00A0130C" w:rsidRPr="00D03F3E" w:rsidRDefault="00A013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 Начальнику транспортного управления НКАП тов. Супруну обеспечить к 15 мая с.г. получение через НКПС1 25 вагонов для перевозки имущества и личного состава ОКБ тов. Бериева, оснастки по машине Бе-4;</w:t>
      </w:r>
    </w:p>
    <w:p w14:paraId="283DEB47" w14:textId="77777777" w:rsidR="00A0130C" w:rsidRPr="00D03F3E" w:rsidRDefault="00A013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6. Начальнику 10-го Главного управления тов. Тарасевичу обеспечить комплектацию указанной серийной и опытной программы завода № 477 готовыми изделиями и материалами по спецификациям завода.</w:t>
      </w:r>
    </w:p>
    <w:p w14:paraId="6A77C015" w14:textId="77777777" w:rsidR="00A0130C" w:rsidRPr="00D03F3E" w:rsidRDefault="00A013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Народный комиссар авиационной промышленности СССР</w:t>
      </w:r>
      <w:r w:rsidRPr="00D03F3E">
        <w:rPr>
          <w:rFonts w:ascii="Times New Roman" w:hAnsi="Times New Roman"/>
          <w:color w:val="0070C0"/>
          <w:sz w:val="16"/>
          <w:szCs w:val="16"/>
        </w:rPr>
        <w:tab/>
        <w:t>А. Шахурин</w:t>
      </w:r>
    </w:p>
    <w:p w14:paraId="0F10D5CD" w14:textId="77777777" w:rsidR="00A0130C" w:rsidRPr="00D03F3E" w:rsidRDefault="00A013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Верно:</w:t>
      </w:r>
      <w:r w:rsidRPr="00D03F3E">
        <w:rPr>
          <w:rFonts w:ascii="Times New Roman" w:hAnsi="Times New Roman"/>
          <w:color w:val="0070C0"/>
          <w:sz w:val="16"/>
          <w:szCs w:val="16"/>
        </w:rPr>
        <w:tab/>
        <w:t>подпись</w:t>
      </w:r>
    </w:p>
    <w:p w14:paraId="13E6C9BB" w14:textId="77777777" w:rsidR="00A0130C" w:rsidRPr="00D03F3E" w:rsidRDefault="00A013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КГКУ «ГАКК». Ф.П-26. Оп. 4. Д. 7. Л. 49а. Заверенная копия. Машинопись (20633).</w:t>
      </w:r>
    </w:p>
    <w:p w14:paraId="17D5BD83" w14:textId="77777777" w:rsidR="00A0130C" w:rsidRPr="00D03F3E" w:rsidRDefault="00A0130C" w:rsidP="00D03F3E">
      <w:pPr>
        <w:spacing w:after="0" w:line="240" w:lineRule="auto"/>
        <w:jc w:val="both"/>
        <w:rPr>
          <w:rFonts w:ascii="Times New Roman" w:hAnsi="Times New Roman"/>
          <w:color w:val="0070C0"/>
          <w:sz w:val="16"/>
          <w:szCs w:val="16"/>
        </w:rPr>
      </w:pPr>
    </w:p>
    <w:p w14:paraId="47F16EF6"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в 1943 году в соответствии с приказом НКАП №267с конструкторское бюро Г.М.Бериева перебазировано в город Красноярск на завод № 477, бывшие мастерские по ремонту катеров Главсевморпути (14880).</w:t>
      </w:r>
    </w:p>
    <w:p w14:paraId="143AA98A" w14:textId="77777777" w:rsidR="006C5519" w:rsidRPr="00D03F3E" w:rsidRDefault="006C5519" w:rsidP="00D03F3E">
      <w:pPr>
        <w:spacing w:after="0" w:line="240" w:lineRule="auto"/>
        <w:jc w:val="both"/>
        <w:rPr>
          <w:rFonts w:ascii="Times New Roman" w:hAnsi="Times New Roman"/>
          <w:color w:val="000000" w:themeColor="text1"/>
          <w:sz w:val="16"/>
          <w:szCs w:val="16"/>
        </w:rPr>
      </w:pPr>
    </w:p>
    <w:p w14:paraId="2986C244"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1943 г. Приказом № 267с ОКБ-288 переведено в Красноярск на завод № 477 и работало как ОКБ-477 НКАП.</w:t>
      </w:r>
    </w:p>
    <w:p w14:paraId="31D767D9"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(03.1940-01.1941 г.)- П.Д. Самсонов (затем- гл. конструктор ОКБ завода № 119), (01.1941- 05.1944 г.)-  Г.М. Бериев (11982).</w:t>
      </w:r>
    </w:p>
    <w:p w14:paraId="2FB7ABB3" w14:textId="77777777" w:rsidR="00490449" w:rsidRPr="00D03F3E" w:rsidRDefault="00490449" w:rsidP="00D03F3E">
      <w:pPr>
        <w:spacing w:after="0" w:line="240" w:lineRule="auto"/>
        <w:jc w:val="both"/>
        <w:rPr>
          <w:rFonts w:ascii="Times New Roman" w:hAnsi="Times New Roman"/>
          <w:color w:val="000000" w:themeColor="text1"/>
          <w:sz w:val="16"/>
          <w:szCs w:val="16"/>
        </w:rPr>
      </w:pPr>
    </w:p>
    <w:p w14:paraId="3442D0E3" w14:textId="77777777" w:rsidR="00E07F04" w:rsidRPr="00D03F3E" w:rsidRDefault="00E07F04" w:rsidP="00D03F3E">
      <w:pPr>
        <w:autoSpaceDE w:val="0"/>
        <w:autoSpaceDN w:val="0"/>
        <w:adjustRightInd w:val="0"/>
        <w:spacing w:after="0" w:line="240" w:lineRule="auto"/>
        <w:jc w:val="both"/>
        <w:rPr>
          <w:rFonts w:ascii="Times New Roman" w:eastAsia="TimesNewRomanPSMT" w:hAnsi="Times New Roman"/>
          <w:color w:val="000000" w:themeColor="text1"/>
          <w:sz w:val="16"/>
          <w:szCs w:val="16"/>
        </w:rPr>
      </w:pPr>
      <w:r w:rsidRPr="00D03F3E">
        <w:rPr>
          <w:rFonts w:ascii="Times New Roman" w:eastAsia="TimesNewRomanPSMT" w:hAnsi="Times New Roman"/>
          <w:color w:val="000000" w:themeColor="text1"/>
          <w:sz w:val="16"/>
          <w:szCs w:val="16"/>
        </w:rPr>
        <w:t>3 мая 1943 года приказом НКАП на заводе № 477 было организовано серийное производство военных гидросамолетов Бе-4 (КОР-2) и опытного гидросамолета – морского дальнего разведчика ЛЛ-143. Для выполнения этих задач было переведено в Красноярск с завода № 288 НКАП ОКБ авиаконструктора Георгия Михайловича Бериева (19799).</w:t>
      </w:r>
    </w:p>
    <w:p w14:paraId="02546CA9" w14:textId="77777777" w:rsidR="00E07F04" w:rsidRPr="00D03F3E" w:rsidRDefault="00E07F04" w:rsidP="00D03F3E">
      <w:pPr>
        <w:spacing w:after="0" w:line="240" w:lineRule="auto"/>
        <w:jc w:val="both"/>
        <w:rPr>
          <w:rFonts w:ascii="Times New Roman" w:eastAsia="Times New Roman" w:hAnsi="Times New Roman"/>
          <w:color w:val="000000" w:themeColor="text1"/>
          <w:sz w:val="16"/>
          <w:szCs w:val="16"/>
          <w:lang w:eastAsia="ru-RU"/>
        </w:rPr>
      </w:pPr>
    </w:p>
    <w:p w14:paraId="7BD93ADA" w14:textId="77777777" w:rsidR="00E07F04" w:rsidRPr="00D03F3E"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3 мая 1943 г.</w:t>
      </w:r>
    </w:p>
    <w:p w14:paraId="57B3A486" w14:textId="77777777" w:rsidR="00E07F04" w:rsidRPr="00D03F3E"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Приказы наркома авиационной промышленности</w:t>
      </w:r>
    </w:p>
    <w:p w14:paraId="21BB85AB" w14:textId="77777777" w:rsidR="00E07F04" w:rsidRPr="00D03F3E"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А.И. Шахурина</w:t>
      </w:r>
    </w:p>
    <w:p w14:paraId="3203B48F" w14:textId="77777777" w:rsidR="00E07F04" w:rsidRPr="00D03F3E"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г. Москва 3 мая 1943 г.</w:t>
      </w:r>
    </w:p>
    <w:p w14:paraId="533297B5" w14:textId="77777777" w:rsidR="00E07F04" w:rsidRPr="00D03F3E"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сов[ершенно] секретно</w:t>
      </w:r>
    </w:p>
    <w:p w14:paraId="56F2D8B7" w14:textId="77777777" w:rsidR="00E07F04" w:rsidRPr="00D03F3E"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В целях обеспечения снабжения ВВС Военно-Морского Флота СССР морскими самолетами приказываю:</w:t>
      </w:r>
    </w:p>
    <w:p w14:paraId="3D70B5C7" w14:textId="77777777" w:rsidR="00E07F04" w:rsidRPr="00D03F3E"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1. Начальнику10-го Главного управления тов. Тарасевичу Б.Н. и директору завода № 477 тов. Рехтману организовать на заводе № 477 серийное производство гидросамолетов Бе-4 с обеспечением выпуска в текущем году пяти самолетов и в 1944 году – 50 самолетов.</w:t>
      </w:r>
    </w:p>
    <w:p w14:paraId="27FA7035" w14:textId="77777777" w:rsidR="00E07F04" w:rsidRPr="00D03F3E"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Завод № 477 включить в состав 10-го Главного управления и приравнять к заводам первой категории;</w:t>
      </w:r>
    </w:p>
    <w:p w14:paraId="4DAF5DB8" w14:textId="77777777" w:rsidR="00E07F04" w:rsidRPr="00D03F3E"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2. Перевести до 1 июня опытно-конструкторское бюро тов. Бериева с завода № 288 на завод № 477 со всем личным составом, имуществом, лабораторией статических испытаний и библиотекой.</w:t>
      </w:r>
    </w:p>
    <w:p w14:paraId="5BAB4C16" w14:textId="77777777" w:rsidR="00E07F04" w:rsidRPr="00D03F3E"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Выполнение плана и заданий ОКБ тов. Бериева по строительству опытных гидросамолетов возложить на завод № 477 НКАП;</w:t>
      </w:r>
    </w:p>
    <w:p w14:paraId="5592C594" w14:textId="77777777" w:rsidR="00E07F04" w:rsidRPr="00D03F3E"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3. Назначить тов. Бериева Г.М. главным конструктором завода № 477 НКАП;</w:t>
      </w:r>
    </w:p>
    <w:p w14:paraId="7AB29395" w14:textId="77777777" w:rsidR="00E07F04" w:rsidRPr="00D03F3E"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4. Директору завода № 288 НКАП тов. Кутепову:</w:t>
      </w:r>
    </w:p>
    <w:p w14:paraId="2FD4ACA6" w14:textId="77777777" w:rsidR="00E07F04" w:rsidRPr="00D03F3E"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а) передать заводу № 477 всю наличную оснастку, инструмент, имеющийся задел по самолету Бе-4, материалы и готовые изделия, обеспечив их упаковку и погрузку в вагоны;</w:t>
      </w:r>
    </w:p>
    <w:p w14:paraId="0CF016FA" w14:textId="77777777" w:rsidR="00E07F04" w:rsidRPr="00D03F3E"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б) перевести на завод № 477 рабочих и ИТР (кроме конструкторов) в количестве 100 человек, ранее работавших по строительству машин Бе-4, по прилагаемому списку;</w:t>
      </w:r>
    </w:p>
    <w:p w14:paraId="71AE30E9" w14:textId="77777777" w:rsidR="00E07F04" w:rsidRPr="00D03F3E"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5. Начальнику транспортного управления НКАП тов. Супруну обеспечить к 15 мая с.г. получение через НКПС1 25 вагонов для перевозки имущества и личного состава ОКБ тов. Бериева, оснастки по машине Бе-4;</w:t>
      </w:r>
    </w:p>
    <w:p w14:paraId="42974E69" w14:textId="77777777" w:rsidR="00E07F04" w:rsidRPr="00D03F3E"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6. Начальнику 10-го Главного управления тов. Тарасевичу обеспечить комплектацию указанной серийной и опытной программы завода № 477 готовыми изделиями и материалами по спецификациям завода.</w:t>
      </w:r>
    </w:p>
    <w:p w14:paraId="41A7DE0C" w14:textId="77777777" w:rsidR="00E07F04" w:rsidRPr="00D03F3E"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Народный комиссар</w:t>
      </w:r>
    </w:p>
    <w:p w14:paraId="5FFE4C46" w14:textId="77777777" w:rsidR="00E07F04" w:rsidRPr="00D03F3E"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авиационной промышленности СССР А. Шахурин</w:t>
      </w:r>
    </w:p>
    <w:p w14:paraId="39C0F212" w14:textId="77777777" w:rsidR="00E07F04" w:rsidRPr="00D03F3E"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Верно: подпись</w:t>
      </w:r>
    </w:p>
    <w:p w14:paraId="3A1371CF" w14:textId="77777777" w:rsidR="00E07F04" w:rsidRPr="00D03F3E"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КГКУ «ГАКК». Ф.П-26. Оп. 4. Д. 7. Л. 49а. Заверенная копия. Машинопись (19799).</w:t>
      </w:r>
    </w:p>
    <w:p w14:paraId="1701E0CD" w14:textId="77777777" w:rsidR="00E07F04" w:rsidRPr="00D03F3E" w:rsidRDefault="00E07F04" w:rsidP="00D03F3E">
      <w:pPr>
        <w:pStyle w:val="ae"/>
        <w:spacing w:before="0" w:after="0"/>
        <w:jc w:val="both"/>
        <w:textAlignment w:val="baseline"/>
        <w:rPr>
          <w:color w:val="000000" w:themeColor="text1"/>
          <w:sz w:val="16"/>
          <w:szCs w:val="16"/>
        </w:rPr>
      </w:pPr>
      <w:r w:rsidRPr="00D03F3E">
        <w:rPr>
          <w:color w:val="000000" w:themeColor="text1"/>
          <w:sz w:val="16"/>
          <w:szCs w:val="16"/>
        </w:rPr>
        <w:t>5 мая 1943 — командующий ВВС Красной армии маршал авиации Новиков издал директиву, адресованную командующим воздушными армиями, в которой говорилось:</w:t>
      </w:r>
    </w:p>
    <w:p w14:paraId="3E19E0B4" w14:textId="77777777" w:rsidR="00E07F04" w:rsidRPr="00D03F3E" w:rsidRDefault="00E07F04"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«Во исполнение приказа Ставки ВГК уничтожать авиацию противника на аэродромах и в воздухе… Основную массу авиации противника подавить в первый же день. В последующие два дня, не снижая упорства и настойчивости, продолжать поражение авиации противника как на основных аэродромах, так и на вновь обнаруженных воздушной разведкой».</w:t>
      </w:r>
    </w:p>
    <w:p w14:paraId="01CE3721" w14:textId="77777777" w:rsidR="00E07F04" w:rsidRPr="00D03F3E" w:rsidRDefault="00E07F04" w:rsidP="00D03F3E">
      <w:pPr>
        <w:pStyle w:val="ae"/>
        <w:spacing w:before="0" w:after="0"/>
        <w:jc w:val="both"/>
        <w:textAlignment w:val="baseline"/>
        <w:rPr>
          <w:color w:val="000000" w:themeColor="text1"/>
          <w:sz w:val="16"/>
          <w:szCs w:val="16"/>
        </w:rPr>
      </w:pPr>
      <w:r w:rsidRPr="00D03F3E">
        <w:rPr>
          <w:color w:val="000000" w:themeColor="text1"/>
          <w:sz w:val="16"/>
          <w:szCs w:val="16"/>
        </w:rPr>
        <w:t>Согласно этой директиве, должны были быть атакованы сразу двадцать шесть аэродромов люфтваффе.</w:t>
      </w:r>
    </w:p>
    <w:p w14:paraId="5F25A961" w14:textId="77777777" w:rsidR="00E07F04" w:rsidRPr="00D03F3E" w:rsidRDefault="00E07F04" w:rsidP="00D03F3E">
      <w:pPr>
        <w:pStyle w:val="ae"/>
        <w:spacing w:before="0" w:after="0"/>
        <w:jc w:val="both"/>
        <w:textAlignment w:val="baseline"/>
        <w:rPr>
          <w:color w:val="000000" w:themeColor="text1"/>
          <w:sz w:val="16"/>
          <w:szCs w:val="16"/>
        </w:rPr>
      </w:pPr>
      <w:r w:rsidRPr="00D03F3E">
        <w:rPr>
          <w:color w:val="000000" w:themeColor="text1"/>
          <w:sz w:val="16"/>
          <w:szCs w:val="16"/>
        </w:rPr>
        <w:t>Таким образом, командующие воздушными армиями получили конкретные боевые задачи только за сутки до начала боевых действий. Командиры же авиадивизий и полков были ознакомлены с заданиями вообще за шесть — восемь часов до начала первого массированного удара. Согласно директиве, все намеченные аэродромы люфтваффе должны были быть атакованы 6 мая в 4.30–5.00 по московскому времени (в 2.30–3.00 по берлинскому времени).</w:t>
      </w:r>
    </w:p>
    <w:p w14:paraId="42DFD784" w14:textId="77777777" w:rsidR="00E07F04" w:rsidRPr="00D03F3E" w:rsidRDefault="00E07F04" w:rsidP="00D03F3E">
      <w:pPr>
        <w:pStyle w:val="ae"/>
        <w:spacing w:before="0" w:after="0"/>
        <w:jc w:val="both"/>
        <w:textAlignment w:val="baseline"/>
        <w:rPr>
          <w:color w:val="000000" w:themeColor="text1"/>
          <w:sz w:val="16"/>
          <w:szCs w:val="16"/>
        </w:rPr>
      </w:pPr>
      <w:r w:rsidRPr="00D03F3E">
        <w:rPr>
          <w:color w:val="000000" w:themeColor="text1"/>
          <w:sz w:val="16"/>
          <w:szCs w:val="16"/>
        </w:rPr>
        <w:t>Тем не менее, несмотря на столь небольшое время, остававшееся до начала операции, удары по аэродромам были «тщательно подготовлены и продуманы». В штабах воздушных армий разработали планы боевых действий по уничтожению авиации противника в полосе своего фронта. В них указывались аэродромы и время нанесения ударов по ним, привлекавшиеся авиационные соединения и выделяемый ими наряд сил, способы прикрытия бомбардировщиков и штурмовиков на маршруте полета и в районе целей.</w:t>
      </w:r>
    </w:p>
    <w:p w14:paraId="205BB54D" w14:textId="77777777" w:rsidR="00E07F04" w:rsidRPr="00D03F3E" w:rsidRDefault="00E07F04" w:rsidP="00D03F3E">
      <w:pPr>
        <w:pStyle w:val="ae"/>
        <w:spacing w:before="0" w:after="0"/>
        <w:jc w:val="both"/>
        <w:textAlignment w:val="baseline"/>
        <w:rPr>
          <w:color w:val="000000" w:themeColor="text1"/>
          <w:sz w:val="16"/>
          <w:szCs w:val="16"/>
        </w:rPr>
      </w:pPr>
      <w:r w:rsidRPr="00D03F3E">
        <w:rPr>
          <w:color w:val="000000" w:themeColor="text1"/>
          <w:sz w:val="16"/>
          <w:szCs w:val="16"/>
        </w:rPr>
        <w:t xml:space="preserve">В дивизиях и полках успели отработать, то есть проиграть на земле, боевые порядки групп самолетов при полете к объектам, над ними и при возвращении на свои аэродромы определить число заходов на цель, теоретически согласовать вопросы взаимодействия бомбардировщиков и штурмовиков с истребителями. Замыкающие самолеты должны были произвести съемку результатов удара. Все выделенные для операции экипажи изучили аэрофотоснимки аэродромов. С целью обеспечения </w:t>
      </w:r>
      <w:r w:rsidRPr="00D03F3E">
        <w:rPr>
          <w:color w:val="000000" w:themeColor="text1"/>
          <w:sz w:val="16"/>
          <w:szCs w:val="16"/>
        </w:rPr>
        <w:lastRenderedPageBreak/>
        <w:t>скрытности при взлете и следовании к объектам удара им запрещалось пользоваться радиосвязью. Маршруты полетов были проложены в обход районов, где у немцев отмечалась сильная противовоздушная оборона.</w:t>
      </w:r>
    </w:p>
    <w:p w14:paraId="79471659" w14:textId="77777777" w:rsidR="00E07F04" w:rsidRPr="00D03F3E" w:rsidRDefault="00E07F04" w:rsidP="00D03F3E">
      <w:pPr>
        <w:pStyle w:val="ae"/>
        <w:spacing w:before="0" w:after="0"/>
        <w:jc w:val="both"/>
        <w:textAlignment w:val="baseline"/>
        <w:rPr>
          <w:color w:val="000000" w:themeColor="text1"/>
          <w:sz w:val="16"/>
          <w:szCs w:val="16"/>
        </w:rPr>
      </w:pPr>
      <w:r w:rsidRPr="00D03F3E">
        <w:rPr>
          <w:color w:val="000000" w:themeColor="text1"/>
          <w:sz w:val="16"/>
          <w:szCs w:val="16"/>
        </w:rPr>
        <w:t>Поздним вечером 5 мая был проведен инструктаж пилотов. Летчик Михаил Степанов из 800-го шап впоследствии вспоминал:</w:t>
      </w:r>
    </w:p>
    <w:p w14:paraId="37314A32" w14:textId="77777777" w:rsidR="00E07F04" w:rsidRPr="00D03F3E" w:rsidRDefault="00E07F04"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«Наш полк, базировавшийся на аэродроме Солонец-Поляна (Новый Оскол), получил задачу: уничтожить материальную часть, технику и живую силу на аэродроме Харьков-Алешки…</w:t>
      </w:r>
    </w:p>
    <w:p w14:paraId="78F82F5C" w14:textId="77777777" w:rsidR="00E07F04" w:rsidRPr="00D03F3E" w:rsidRDefault="00E07F04"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При полете к цели нужно было считаться с сильным насыщением тактической зоны войсками противника и, следовательно, средствами противовоздушной обороны, а также с сильной ПВО г. Харьков. Все это создавало известные трудности.</w:t>
      </w:r>
    </w:p>
    <w:p w14:paraId="643DDC66" w14:textId="77777777" w:rsidR="00E07F04" w:rsidRPr="00D03F3E" w:rsidRDefault="00E07F04"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Мне было приказано вести группу в 12 самолетов Ил-2 под прикрытием 12 Як-1…</w:t>
      </w:r>
    </w:p>
    <w:p w14:paraId="343D1830" w14:textId="77777777" w:rsidR="00E07F04" w:rsidRPr="00D03F3E" w:rsidRDefault="00E07F04"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Каждый летчик ознакомился с кроками[50] аэродрома, каждому звену была дана своя цель. Было выделено звено для подавления батарей зенитной артиллерии мелкими бомбами и пулеметно-пушечным огнем».</w:t>
      </w:r>
    </w:p>
    <w:p w14:paraId="26D5A8D4" w14:textId="77777777" w:rsidR="00E07F04" w:rsidRPr="00D03F3E" w:rsidRDefault="00E07F04" w:rsidP="00D03F3E">
      <w:pPr>
        <w:pStyle w:val="ae"/>
        <w:spacing w:before="0" w:after="0"/>
        <w:jc w:val="both"/>
        <w:textAlignment w:val="baseline"/>
        <w:rPr>
          <w:color w:val="000000" w:themeColor="text1"/>
          <w:sz w:val="16"/>
          <w:szCs w:val="16"/>
        </w:rPr>
      </w:pPr>
      <w:r w:rsidRPr="00D03F3E">
        <w:rPr>
          <w:color w:val="000000" w:themeColor="text1"/>
          <w:sz w:val="16"/>
          <w:szCs w:val="16"/>
        </w:rPr>
        <w:t>Николай Носков, другой летчик из того же 800-го шап, делился похожими впечатлениями:</w:t>
      </w:r>
    </w:p>
    <w:p w14:paraId="6DBA9A1D" w14:textId="77777777" w:rsidR="00E07F04" w:rsidRPr="00D03F3E" w:rsidRDefault="00E07F04"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«Задание было проработано с летным составом с вечера. По фотопланшетам были уточнены цели, расположение ЗА и МЗА, характерные ориентиры вокруг аэродрома. Каждому экипажу были указаны цели. Две пары (замыкающая в каждой шестерке) получили задачу действовать по зенитным средствам. Боевая зарядка — ФАБ-100 и АО-25, а также PC».</w:t>
      </w:r>
    </w:p>
    <w:p w14:paraId="2AB74738" w14:textId="77777777" w:rsidR="00E07F04" w:rsidRPr="00D03F3E" w:rsidRDefault="00E07F04" w:rsidP="00D03F3E">
      <w:pPr>
        <w:pStyle w:val="ae"/>
        <w:spacing w:before="0" w:after="0"/>
        <w:jc w:val="both"/>
        <w:textAlignment w:val="baseline"/>
        <w:rPr>
          <w:color w:val="000000" w:themeColor="text1"/>
          <w:sz w:val="16"/>
          <w:szCs w:val="16"/>
        </w:rPr>
      </w:pPr>
      <w:r w:rsidRPr="00D03F3E">
        <w:rPr>
          <w:color w:val="000000" w:themeColor="text1"/>
          <w:sz w:val="16"/>
          <w:szCs w:val="16"/>
        </w:rPr>
        <w:t>Аналогичным образом готовились к предстоящему налету сотни пилотов на огромном Восточном фронте. Экипажи 673-го шап получили фотоснимок немецкого аэродрома Харьков-Рогань, сделанный самолетом-разведчиком Пе-2 в 17.55. Он был довольно плохого качества, так как делался некачественной оптикой с большой высоты. Тем не менее на летном поле и стоянках насчитали аж 107 истребителей «типа Me-109 и ФВ-190». В полку было мало опытных летчиков, поэтому после дискуссии ведущими назначили капитана Елисеева и лейтенанта Александрова, кои уже летали к Роганю и приблизительно ориентировались на местности. Маршрут полета к цели решили проложить через малонаселенную местность, дабы обеспечить внезапность.</w:t>
      </w:r>
    </w:p>
    <w:p w14:paraId="5433EC69" w14:textId="77777777" w:rsidR="00E07F04" w:rsidRPr="00D03F3E" w:rsidRDefault="00E07F04" w:rsidP="00D03F3E">
      <w:pPr>
        <w:pStyle w:val="ae"/>
        <w:spacing w:before="0" w:after="0"/>
        <w:jc w:val="both"/>
        <w:textAlignment w:val="baseline"/>
        <w:rPr>
          <w:color w:val="000000" w:themeColor="text1"/>
          <w:sz w:val="16"/>
          <w:szCs w:val="16"/>
        </w:rPr>
      </w:pPr>
      <w:r w:rsidRPr="00D03F3E">
        <w:rPr>
          <w:color w:val="000000" w:themeColor="text1"/>
          <w:sz w:val="16"/>
          <w:szCs w:val="16"/>
        </w:rPr>
        <w:t>198-й шап совместно с 312-м полком должен был нанести удар по аэродромам Шаталово и Боровское в Смоленской области. Александр Ефимов, служивший тогда в первом полку, позднее вспоминал:</w:t>
      </w:r>
    </w:p>
    <w:p w14:paraId="67015368" w14:textId="77777777" w:rsidR="00E07F04" w:rsidRPr="00D03F3E" w:rsidRDefault="00E07F04"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«Вся подготовка и организация боевых действий по аэродромам Шаталово и Боровское были возложены на командира дивизии полковника Смоловика. Ведущими групп в нашем полку он назначил Евграфа Селиванова, Федора Порсина, Анатолия Васильева, Николая Воздвиженского, Федора Захарова, Вячеслава Петрова и меня. Наряду с опытными летчиками участвовать в ответственном полете должна была и молодежь…</w:t>
      </w:r>
    </w:p>
    <w:p w14:paraId="38E99FC3" w14:textId="77777777" w:rsidR="00E07F04" w:rsidRPr="00D03F3E" w:rsidRDefault="00E07F04"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Предполагалось, что дивизия нанесет одновременный удар по двум рядом расположенным аэродромам. Для подготовки такого вылета требовалось, конечно, время. Но его как раз и не хватало. В нашем распоряжении оставалась одна ночь, а вернее, полночи. В 3.00 наши штурмовики должны были быть над целью»].</w:t>
      </w:r>
    </w:p>
    <w:p w14:paraId="75A2D3A7" w14:textId="77777777" w:rsidR="00E07F04" w:rsidRPr="00D03F3E" w:rsidRDefault="00E07F04" w:rsidP="00D03F3E">
      <w:pPr>
        <w:pStyle w:val="ae"/>
        <w:spacing w:before="0" w:after="0"/>
        <w:jc w:val="both"/>
        <w:textAlignment w:val="baseline"/>
        <w:rPr>
          <w:color w:val="000000" w:themeColor="text1"/>
          <w:sz w:val="16"/>
          <w:szCs w:val="16"/>
        </w:rPr>
      </w:pPr>
      <w:r w:rsidRPr="00D03F3E">
        <w:rPr>
          <w:color w:val="000000" w:themeColor="text1"/>
          <w:sz w:val="16"/>
          <w:szCs w:val="16"/>
        </w:rPr>
        <w:t>Инструктаж пилотов был проведен по-партизански, в темном просторном сарае при свете керосиновых ламп. К деревянной стене была пригвождена карта с нанесенными маршрутами полета. Ефимов продолжал рассказ:</w:t>
      </w:r>
    </w:p>
    <w:p w14:paraId="029EA961" w14:textId="77777777" w:rsidR="00E07F04" w:rsidRPr="00D03F3E" w:rsidRDefault="00E07F04"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«Вошли командир дивизии, начальник политотдела, начальник штаба и группа офицеров из управления армии. Отдается короткий рапорт. Нам не терпится, что скажет комдив о выполнении предстоящего задания. Ведь не зря собрали всю дивизию. Вдоль стены проходят еще несколько офицеров. Узнаем командира истребительного полка. Значит, прикрытие будет. Порядок!</w:t>
      </w:r>
    </w:p>
    <w:p w14:paraId="1BD49D85" w14:textId="77777777" w:rsidR="00E07F04" w:rsidRPr="00D03F3E" w:rsidRDefault="00E07F04"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 Товарищи! Нашей дивизии поставлена ответственная задача: разгромить фашистскую авиацию на аэродромах Шаталово и Боровское! — начал полковник Смоловик.</w:t>
      </w:r>
    </w:p>
    <w:p w14:paraId="46ABC266" w14:textId="77777777" w:rsidR="00E07F04" w:rsidRPr="00D03F3E" w:rsidRDefault="00E07F04"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Он подробно изложил очередность взлета групп, сбор экипажей в воздухе, построение боевого порядка, взаимодействие с истребителями прикрытия, профиль полета, маршруты, направления атак и уход от цели. Закончив постановку задачи, командир дивизии сказал:</w:t>
      </w:r>
    </w:p>
    <w:p w14:paraId="464D8DAF" w14:textId="77777777" w:rsidR="00E07F04" w:rsidRPr="00D03F3E" w:rsidRDefault="00E07F04"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 Если нет вопросов, можно идти на отдых. С рассветом — вылет!»</w:t>
      </w:r>
    </w:p>
    <w:p w14:paraId="2841491E" w14:textId="77777777" w:rsidR="00E07F04" w:rsidRPr="00D03F3E" w:rsidRDefault="00E07F04" w:rsidP="00D03F3E">
      <w:pPr>
        <w:pStyle w:val="ae"/>
        <w:spacing w:before="0" w:after="0"/>
        <w:jc w:val="both"/>
        <w:textAlignment w:val="baseline"/>
        <w:rPr>
          <w:color w:val="000000" w:themeColor="text1"/>
          <w:sz w:val="16"/>
          <w:szCs w:val="16"/>
        </w:rPr>
      </w:pPr>
      <w:r w:rsidRPr="00D03F3E">
        <w:rPr>
          <w:color w:val="000000" w:themeColor="text1"/>
          <w:sz w:val="16"/>
          <w:szCs w:val="16"/>
        </w:rPr>
        <w:t>В целях сокращения полетного времени и достижения внезапности штурмовики, а также часть аэродромных служб ночью перебазировались на аэродром подскока Новое Село, располагавшийся непосредственно у линии фронта. Аналогичным образом перелетели на передовые взлетные площадки и некоторые другие штурмовые полки. Так, 312-й шап перелетел в Двоевку, где его Илы припарковались по соседству с 49-м и 162-м истребительными авиаполками. По замыслу командира дивизии 198-й шап должен был наносить удар по Шаталово двумя группами. Первую решил лично возглавить командир полка майор Василий Карякин.</w:t>
      </w:r>
    </w:p>
    <w:p w14:paraId="6B9ED5DE" w14:textId="77777777" w:rsidR="00E07F04" w:rsidRPr="00D03F3E" w:rsidRDefault="00E07F04" w:rsidP="00D03F3E">
      <w:pPr>
        <w:pStyle w:val="ae"/>
        <w:spacing w:before="0" w:after="0"/>
        <w:jc w:val="both"/>
        <w:textAlignment w:val="baseline"/>
        <w:rPr>
          <w:color w:val="000000" w:themeColor="text1"/>
          <w:sz w:val="16"/>
          <w:szCs w:val="16"/>
        </w:rPr>
      </w:pPr>
      <w:r w:rsidRPr="00D03F3E">
        <w:rPr>
          <w:color w:val="000000" w:themeColor="text1"/>
          <w:sz w:val="16"/>
          <w:szCs w:val="16"/>
        </w:rPr>
        <w:t>Когда все было определено, летчики пошли спать. Впрочем, на сон отводилось всего пара-тройка часов, да и за это время многие не смогли заснуть, понимая, что завтра предстоит очередная самоубийственная атака (19522).</w:t>
      </w:r>
    </w:p>
    <w:p w14:paraId="477F9AE9" w14:textId="77777777" w:rsidR="00E07F04" w:rsidRPr="00D03F3E" w:rsidRDefault="00E07F04" w:rsidP="00D03F3E">
      <w:pPr>
        <w:pStyle w:val="ae"/>
        <w:spacing w:before="0" w:after="0"/>
        <w:jc w:val="both"/>
        <w:textAlignment w:val="baseline"/>
        <w:rPr>
          <w:color w:val="000000" w:themeColor="text1"/>
          <w:sz w:val="16"/>
          <w:szCs w:val="16"/>
        </w:rPr>
      </w:pPr>
    </w:p>
    <w:p w14:paraId="0566C0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1943 г. по приказу № 267с на площадку завода (ГС Завод № 477 НКАП им.  Г. Побежимова, Завод «Красный плуг» НКВ, НКСМ /ст. Лаптево Тульской обл.;  г. Красноярск/) перебазируется ОКБ Бериева (окончание в 06.1943 г.). Бериев назначен гл. конструктором завода. С 1.05.1943 г., в связи с организацией производства Бе-4, завод передан из 6ГУ в ЮГУ.</w:t>
      </w:r>
    </w:p>
    <w:p w14:paraId="520032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441с/Р258с от 13.11.1945 г. завод № 477 со всем оборудованием и кадрами передан ГУСМП. ОКБ Бериева в конце декабря возвращается в Таганрог на завод № 86.</w:t>
      </w:r>
    </w:p>
    <w:p w14:paraId="6CAC75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1950 г. завод перепрофилирован на судостроение.</w:t>
      </w:r>
    </w:p>
    <w:p w14:paraId="2F16E80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(1941 г.-)- Ф. Г. Нестеров, (01.1943 г.)- П.П. Смирнов, (-05.1943-11.1945 г.-)- ИЛ. Рехтман.</w:t>
      </w:r>
    </w:p>
    <w:p w14:paraId="1CCF470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(05.1943 г.-)-  Г.М. Бериев.</w:t>
      </w:r>
    </w:p>
    <w:p w14:paraId="56E3C6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w:t>
      </w:r>
      <w:r w:rsidRPr="00D03F3E">
        <w:rPr>
          <w:rFonts w:ascii="Times New Roman" w:hAnsi="Times New Roman"/>
          <w:color w:val="000000" w:themeColor="text1"/>
          <w:sz w:val="16"/>
          <w:szCs w:val="16"/>
        </w:rPr>
        <w:t>.летающие лодки: КОР-2 (1944-45)- 38, ЛЛ-143 (1945)- 1.</w:t>
      </w:r>
    </w:p>
    <w:p w14:paraId="7B4803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Заводской № 4770305.</w:t>
      </w:r>
    </w:p>
    <w:p w14:paraId="14B941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Красноярский Ремонтный завод им. Побежимова ГУСМП / г. Красноярск/</w:t>
      </w:r>
    </w:p>
    <w:p w14:paraId="220DB74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Авиаремонтный завод основан в 1934 г. на базе бывших мастерских по ремонту катеров Главсевморпути, строительство начато 10.08.1935 г. Введен в эксплуатацию в 1940 г.</w:t>
      </w:r>
    </w:p>
    <w:p w14:paraId="033BCE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01.1942 г. влит в состав эвакуированного на его площадку по приказу № 1050сс от 8.10.1941 г. завода № 477 НКАП.</w:t>
      </w:r>
    </w:p>
    <w:p w14:paraId="287352D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ОКБ-477 НКАП гл. конструктора  Г.М. Бериева</w:t>
      </w:r>
    </w:p>
    <w:p w14:paraId="6B3E56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267с от 3.05.1943 г. для организации производства Бе-4 ОКБ-288 гл. конструктора  Г.М. Бериева переведено в Красноярск на завод № 477, где действовало под названием ОКБ-477.</w:t>
      </w:r>
    </w:p>
    <w:p w14:paraId="5198C7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Создан морской самолет-разведчик ЛЛ-143 (првый полет 6.09.1945 г.).</w:t>
      </w:r>
    </w:p>
    <w:p w14:paraId="6D2526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463с от 24.11.1945 г. ОКБ-477 в конце 12.1945 г. возвращается со всем личным составом (150 ИТР и 250 рабочих) и оборудованием в Таганрог на завод № 86 (прибыло в 02.1946 г.). По приказу № 404с от 26.06.1946 г. там на базе ОКБ-477 организован опытный завод № 49 МАП.</w:t>
      </w:r>
    </w:p>
    <w:p w14:paraId="4552703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 Полярной авиации</w:t>
      </w:r>
    </w:p>
    <w:p w14:paraId="06A8CBF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1948 г.- переделка гидросамолета ГСТ под двигатели АШ-82ФН. Переделка осуществлялась на заводе</w:t>
      </w:r>
    </w:p>
    <w:p w14:paraId="14A5D3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М.А. Мостовой (11982).</w:t>
      </w:r>
    </w:p>
    <w:p w14:paraId="38C09F2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A5F2B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1943 г. по приказу № 267с для организации производства Бе-4 ОКБ-288 гл. конструктора  Г.М. Бериева переведено в Красноярск на завод № 477, где действовало под названием ОКБ-477.</w:t>
      </w:r>
    </w:p>
    <w:p w14:paraId="095CE04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Создан морской самолет-разведчик ЛЛ-143 (првый полет 6.09.1945 г.).</w:t>
      </w:r>
    </w:p>
    <w:p w14:paraId="4B15959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463с от 24.11.1945 г. ОКБ-477 в конце 12.1945 г. возвращается со всем личным составом (150 ИТР и 250 рабочих) и оборудованием в Таганрог на завод № 86 (прибыло в 02.1946 г.). По приказу № 404с от 26.06.1946 г. там на базе ОКБ-477 организован опытный завод № 49 МАП.</w:t>
      </w:r>
    </w:p>
    <w:p w14:paraId="1618440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 Полярной авиации</w:t>
      </w:r>
    </w:p>
    <w:p w14:paraId="3BF6A4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1948 г.- переделка гидросамолета ГСТ под двигатели АШ-82ФН. Переделка осуществлялась на заводе</w:t>
      </w:r>
    </w:p>
    <w:p w14:paraId="0017418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М.А. Мостовой (11982).</w:t>
      </w:r>
    </w:p>
    <w:p w14:paraId="173AC8D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37BB4B"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061915E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6A8854" w14:textId="77777777" w:rsidR="005B19C3" w:rsidRPr="00D03F3E" w:rsidRDefault="005B19C3" w:rsidP="00D03F3E">
      <w:pPr>
        <w:pStyle w:val="ae"/>
        <w:shd w:val="clear" w:color="auto" w:fill="FFFFFF"/>
        <w:spacing w:before="0" w:after="0"/>
        <w:jc w:val="both"/>
        <w:rPr>
          <w:color w:val="000000" w:themeColor="text1"/>
          <w:sz w:val="16"/>
          <w:szCs w:val="16"/>
        </w:rPr>
      </w:pPr>
      <w:r w:rsidRPr="00D03F3E">
        <w:rPr>
          <w:color w:val="000000" w:themeColor="text1"/>
          <w:sz w:val="16"/>
          <w:szCs w:val="16"/>
        </w:rPr>
        <w:t>3 мая 1943 представитель Арткома ГАУ КА инженер-майор П.Ф. Соломонов прибыл на завод №9. Директор завода в этот день вести проектирование 85 мм системы отказался, поскольку завод работал по системам Д-11 и Д-12. Ситуация изменилась только 5 числа, когда Сталин подписал постановление ГКО №3289. В тот же день на заводе № 9 было созвано совещание, на котором было принято решение о начале разработки новых орудий. За основу была взята система Д-11. Приоритетом стали самоходные системы: 85-мм орудие получило индекс Д-5, а 122 мм — Д-6. Танковые варианты этих систем получили индексы Д-7 и Д-8. Интересно, что одновременно с этим 85-мм танковую систему проектировало КБ завода №8. Это выглядит по меньшей мере странно, поскольку после раздела завода №8 на собственно завод №8 и завод №9 танковые системы там проектировать и выпускать не предполагалось.</w:t>
      </w:r>
    </w:p>
    <w:p w14:paraId="10FCBB96" w14:textId="77777777" w:rsidR="005B19C3" w:rsidRPr="00D03F3E" w:rsidRDefault="005B19C3" w:rsidP="00D03F3E">
      <w:pPr>
        <w:pStyle w:val="ae"/>
        <w:shd w:val="clear" w:color="auto" w:fill="FFFFFF"/>
        <w:spacing w:before="0" w:after="0"/>
        <w:jc w:val="both"/>
        <w:rPr>
          <w:color w:val="000000" w:themeColor="text1"/>
          <w:sz w:val="16"/>
          <w:szCs w:val="16"/>
        </w:rPr>
      </w:pPr>
      <w:r w:rsidRPr="00D03F3E">
        <w:rPr>
          <w:color w:val="000000" w:themeColor="text1"/>
          <w:sz w:val="16"/>
          <w:szCs w:val="16"/>
        </w:rPr>
        <w:t xml:space="preserve">Судя по докладу Соломонова, реальность оказалась иной. Проект завода №8 не сохранился, но известно, что в нём использовалась люлька от Ф-34, а конструкция </w:t>
      </w:r>
      <w:r w:rsidRPr="00D03F3E">
        <w:rPr>
          <w:color w:val="000000" w:themeColor="text1"/>
          <w:sz w:val="16"/>
          <w:szCs w:val="16"/>
        </w:rPr>
        <w:lastRenderedPageBreak/>
        <w:t>пушки позволила позже увеличить начальную скорость снаряда до 930-960 м/с. К 8 мая работы шли полным ходом, были даже подготовлены рабочие чертежи. Но 10 числа из НКВ пришёл запрет на дальнейшее проектирование. Таким образом в НКВ отреагировали на самодеятельность завода, который должен был заниматься буксируемыми системами.</w:t>
      </w:r>
    </w:p>
    <w:p w14:paraId="4AB51E64" w14:textId="77777777" w:rsidR="005B19C3" w:rsidRPr="00D03F3E" w:rsidRDefault="005B19C3" w:rsidP="00D03F3E">
      <w:pPr>
        <w:pStyle w:val="ae"/>
        <w:shd w:val="clear" w:color="auto" w:fill="FFFFFF"/>
        <w:spacing w:before="0" w:after="0"/>
        <w:jc w:val="both"/>
        <w:rPr>
          <w:color w:val="000000" w:themeColor="text1"/>
          <w:sz w:val="16"/>
          <w:szCs w:val="16"/>
        </w:rPr>
      </w:pPr>
      <w:r w:rsidRPr="00D03F3E">
        <w:rPr>
          <w:color w:val="000000" w:themeColor="text1"/>
          <w:sz w:val="16"/>
          <w:szCs w:val="16"/>
        </w:rPr>
        <w:t>На заводе №9 орудийные системы получили новые названия. Д-5 стала Д5-С-85, а Д-6 — Д5-С-122. Ни о каком использовании люльки ЗИС-5 не шло и речи, часть тактико-технических требований конструкторское бюро во главе с Ф.Ф. Петровым проигнорировало. Новая система стала дальнейшим развитием конструкции У-11, работы по которой начались ещё осенью 1941 года.</w:t>
      </w:r>
    </w:p>
    <w:p w14:paraId="215BC550" w14:textId="77777777" w:rsidR="005B19C3" w:rsidRPr="00D03F3E" w:rsidRDefault="005B19C3" w:rsidP="00D03F3E">
      <w:pPr>
        <w:pStyle w:val="ae"/>
        <w:shd w:val="clear" w:color="auto" w:fill="FFFFFF"/>
        <w:spacing w:before="0" w:after="0"/>
        <w:jc w:val="both"/>
        <w:rPr>
          <w:color w:val="000000" w:themeColor="text1"/>
          <w:sz w:val="16"/>
          <w:szCs w:val="16"/>
        </w:rPr>
      </w:pPr>
      <w:r w:rsidRPr="00D03F3E">
        <w:rPr>
          <w:color w:val="000000" w:themeColor="text1"/>
          <w:sz w:val="16"/>
          <w:szCs w:val="16"/>
        </w:rPr>
        <w:t>Стоит напомнить, что У-11 проектировалась как дуплекс: помимо ствола с баллистикой гаубицы М-30, позже появился проект танковой пушки У-12 с баллистикой 85-мм зенитки 52-К. В новой системе эта идея возродилась, тем более что с КБ завода №9 замену гаубицы М-30 на СУ-122 никто не снимал. Более того, спустя некоторое время систем на базе Д-5 стало ещё больше. В мае 1943 года начались работы по очень похожей системе с использованием ствола 122-мм пушки Д-2. Они увенчались появлением Д-25 — самой мощной советской танковой орудийной системы, массово выпускавшейся в годы Великой Отечественной войны. Кроме того, осенью 1943 года была спроектирована система Д-15 со стволом 152-мм гаубицы Д-1. В отличие от Д-25 эту систему строить не стали. Тем не менее, само её появление наглядно демонстрирует универсальность конструкции КБ завода №8.</w:t>
      </w:r>
    </w:p>
    <w:p w14:paraId="58AD3F84" w14:textId="77777777" w:rsidR="005B19C3" w:rsidRPr="00D03F3E" w:rsidRDefault="005B19C3" w:rsidP="00D03F3E">
      <w:pPr>
        <w:pStyle w:val="ae"/>
        <w:shd w:val="clear" w:color="auto" w:fill="FFFFFF"/>
        <w:spacing w:before="0" w:after="0"/>
        <w:jc w:val="both"/>
        <w:rPr>
          <w:color w:val="000000" w:themeColor="text1"/>
          <w:sz w:val="16"/>
          <w:szCs w:val="16"/>
        </w:rPr>
      </w:pPr>
      <w:r w:rsidRPr="00D03F3E">
        <w:rPr>
          <w:color w:val="000000" w:themeColor="text1"/>
          <w:sz w:val="16"/>
          <w:szCs w:val="16"/>
        </w:rPr>
        <w:t>Д5-С-85 являлась прямым развитием конструкции 122-мм системы Д-11. Как и в случае с предыдущей системой руководили разработкой заместитель главного конструктора А.Н. Булашев и заместитель начальника КБ завода №9 Н.В. Каструлин. При разработке «самоходного дуплекса» КБ завода №9 учло ошибки, допущенные при проектировании предыдущей системы. Она стала более компактной, а её подвижная бронировка оказалась менее громоздкой. Удалось избавиться от массивного кожуха в передней части бронировки, что стало возможным благодаря перепроектированию системы.</w:t>
      </w:r>
    </w:p>
    <w:p w14:paraId="096A804D" w14:textId="77777777" w:rsidR="005B19C3" w:rsidRPr="00D03F3E" w:rsidRDefault="005B19C3" w:rsidP="00D03F3E">
      <w:pPr>
        <w:pStyle w:val="ae"/>
        <w:shd w:val="clear" w:color="auto" w:fill="FFFFFF"/>
        <w:spacing w:before="0" w:after="0"/>
        <w:jc w:val="both"/>
        <w:rPr>
          <w:color w:val="000000" w:themeColor="text1"/>
          <w:sz w:val="16"/>
          <w:szCs w:val="16"/>
        </w:rPr>
      </w:pPr>
      <w:r w:rsidRPr="00D03F3E">
        <w:rPr>
          <w:color w:val="000000" w:themeColor="text1"/>
          <w:sz w:val="16"/>
          <w:szCs w:val="16"/>
        </w:rPr>
        <w:t>С целью унификации подъёмный механизм был позаимствован у системы Ф-34. Все четыре системы имели унифицированные тормоз отката, накатник и люльку. Кроме того, Д5-С-85 и Д5-С-122 оказались унифицированы по прицелу, рамке, поворотному механизму и подсветке прицела. У Д-5С-85 и Д-5Т-85 были унифицированы ограждение и гильзоулавливатель. Их ограждение получилось несколько большим, чем у Д-5С-122, поскольку гильза 52-К оказалась длиннее. Расчёты показали, что требуемой длины отката 350-370 мм обеспечить невозможно, поэтому её увеличили до 430 мм (17704).</w:t>
      </w:r>
    </w:p>
    <w:p w14:paraId="55C8B92D" w14:textId="77777777" w:rsidR="005B19C3" w:rsidRPr="00D03F3E" w:rsidRDefault="005B19C3" w:rsidP="00D03F3E">
      <w:pPr>
        <w:spacing w:after="0" w:line="240" w:lineRule="auto"/>
        <w:jc w:val="both"/>
        <w:rPr>
          <w:rFonts w:ascii="Times New Roman" w:hAnsi="Times New Roman"/>
          <w:color w:val="000000" w:themeColor="text1"/>
          <w:sz w:val="16"/>
          <w:szCs w:val="16"/>
        </w:rPr>
      </w:pPr>
    </w:p>
    <w:p w14:paraId="1074DDD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1943г. было подготовлено Письмо парторга ЦК ВКП(б) на Ижевском мотоциклетном заводе В.Н. Зорина в Президиум Верховного Совета Удмуртской АССР с просьбой о награждении коллектива и лучших работников, в связи с 10-летием предприятия</w:t>
      </w:r>
    </w:p>
    <w:p w14:paraId="6E6E9F6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5-го мая 1933 года в г.Ижевске был организован мотоциклетный завод1. История завода типична для всей социалистической промышленности.</w:t>
      </w:r>
    </w:p>
    <w:p w14:paraId="24E5EB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Следуя воле партии и правительства, воле вождя народов товарища Сталина советский народ строил и развивал промышленность, которая должна была стать и стала основой его мощи, источником благосостояния невиданного расцвета культуры.</w:t>
      </w:r>
    </w:p>
    <w:p w14:paraId="23804AA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Рожденный в начале 2-й пятилетки индустриализации коллектив рабочих, инженеров и служащих ИМЗ горячо выполняет свою долю работы по механизации и моторизации страны. Трудом энтузиастов своего дела создаются одна за другой новые модели мотоциклов Иж-7, Иж-32, Иж-9. Мотоциклы, носящие марку ИМЗ, прочно завоевали лучшее место в стране, заслуженно пользуясь любовью мотоциклистов.</w:t>
      </w:r>
    </w:p>
    <w:p w14:paraId="0BBBC6A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1941 году завод усиленно готовился к переходу на выпуск еще более усовершенствованной модели, когда предательское нападение немецко-фашистских мерзавцев заставило всю страну перейти к обороне, к отражению наглого вторжения, к смертельной борьбе с озверевшим врагом.</w:t>
      </w:r>
    </w:p>
    <w:p w14:paraId="3DC1999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Фронт требовал во все возрастающих количествах вооружение. Постановлением правительства на наш завод была возложена почетная задача обеспечения Красной Армии любимым оружием стрелковых частей - пулеметом "Максим".</w:t>
      </w:r>
    </w:p>
    <w:p w14:paraId="472D046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Воодушевленные доверием правительства, горячей любовью к своей Родине, жгучей ненавистью к врагу и желанием участвовать в его разгроме рабочие, инженеры и служащие ИМЗ в небывало короткий срок закончили подготовку производства, освоили сложное производство и через 5 месяцев ныне завод № 524 достигнул проектной мощности, стал из месяца в месяц выполнять производственную программу, непрерывно совершенствуя производство и улучшая качество машины.</w:t>
      </w:r>
    </w:p>
    <w:p w14:paraId="250F9E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10 лет на заводе образовался крепкий рабочий коллектив, выделивший из своей среды энергичных командиров производства т.т. Шпанько, Ширяева, лучших сборщиков т.т. Изметинского, Коробейникова, Копейкина, Телятникова.</w:t>
      </w:r>
    </w:p>
    <w:p w14:paraId="6345D9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Старейший работник завода тов. Брызгина является депутатом Верховного Совета УАССР. Много сделали для производства начальник снабжения тов. Молчанов, главный технолог завода тов. Кочерыгин, начальник цеха тов. Могилевский, технолог тов. Панченко и др.</w:t>
      </w:r>
    </w:p>
    <w:p w14:paraId="09BB16D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Коллектив, впитавший в себя огромное количество впервые пришедших на производство рабочих, на протяжении 1943 года из месяца в месяц занимает классные места в социалистическом соревновании заводов Наркомата вооружения и за 4 месяца 1943 года дал Красной Армии сверх плана вооружения на 3 стрелковых дивизии.</w:t>
      </w:r>
    </w:p>
    <w:p w14:paraId="6966DFC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Учитывая большую работу, проделанную коллективом завода за десятилетие по выполнению задания партии и правительства, прошу Президиум Верховного Совета УАССР отметить коллектив завода № 524 и лучших его работников3.</w:t>
      </w:r>
    </w:p>
    <w:p w14:paraId="2AA4F58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Парорг ЦК ВКП(б) на заводе № 524 В. Зорин</w:t>
      </w:r>
    </w:p>
    <w:p w14:paraId="156BC9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ЦДНИ УР, ф. 306, оп.1, д.41, л.31, Копия. Машинопись.</w:t>
      </w:r>
    </w:p>
    <w:p w14:paraId="6324F44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Примечания:</w:t>
      </w:r>
    </w:p>
    <w:p w14:paraId="1BBCEA8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 1933 г. канун Первомайского праздника был пущен механический цех мотозавода и изготовлены 2 опытных мотоцикла (Удмуртская правда. - 1933. - 1 мая).</w:t>
      </w:r>
    </w:p>
    <w:p w14:paraId="397D9A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Так в документе. Имеется ввиду мотоцикл Иж-8.</w:t>
      </w:r>
    </w:p>
    <w:p w14:paraId="22A883F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17 мая 1943 г. бюро Удмуртского обкома ВКП (б) своим решением предложило партийной группе Президиума Верховного Совета АССР "в ознаменование 10-летия Ижевского мотоциклетного завода, за освоение и выпуск новых видов продукции, за организацию социалистического соревнования наградить...(9681).</w:t>
      </w:r>
    </w:p>
    <w:p w14:paraId="35DA63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236E3C"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1943 вышло Распоряжение ГКО № 3283 Об изготовлении радиолокационной аппаратуры для Военно-Морского Флота СССР. (7103, 1-1об.).</w:t>
      </w:r>
    </w:p>
    <w:p w14:paraId="6848C026"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004F2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1943 вышло Распоряжение ГКО № 3283. Об изготовлении радиолокационной аппаратуры для Военно-Морского Флота СССР.РГАНИР, Фонд ГКО, д. 113, лл. 1-1об (11012).</w:t>
      </w:r>
    </w:p>
    <w:p w14:paraId="08E9E4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F1334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1943 вышло Постановление ГКО № 3284 О передаче Наркомвоенморфлоту судоремонтного завода ГУСМП в г. Мурманске.РГАНИР, Фонд ГКО, д. 113, лл. 2 (11012).</w:t>
      </w:r>
    </w:p>
    <w:p w14:paraId="3349575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A8FD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1943 года был утвержден Устав восстановленного завода № 88 НКВ (9278).</w:t>
      </w:r>
    </w:p>
    <w:p w14:paraId="311B71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D8C29F" w14:textId="77777777" w:rsidR="00F67A2C" w:rsidRPr="00D03F3E" w:rsidRDefault="00F67A2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1943г. Был получен первый глинозем на Богословском заводе, в 1944г. начал выдавать продукцию Каменск-Уральский металлургический завод, а в день Победы – 9 мая 1945г., Богословский завод выплавил свой первый алюминий (12249).</w:t>
      </w:r>
    </w:p>
    <w:p w14:paraId="0AAF0C55" w14:textId="77777777" w:rsidR="00F67A2C" w:rsidRPr="00D03F3E" w:rsidRDefault="00F67A2C" w:rsidP="00D03F3E">
      <w:pPr>
        <w:spacing w:after="0" w:line="240" w:lineRule="auto"/>
        <w:jc w:val="both"/>
        <w:rPr>
          <w:rFonts w:ascii="Times New Roman" w:hAnsi="Times New Roman"/>
          <w:color w:val="000000" w:themeColor="text1"/>
          <w:sz w:val="16"/>
          <w:szCs w:val="16"/>
        </w:rPr>
      </w:pPr>
    </w:p>
    <w:p w14:paraId="7878BFB0"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4B5EC6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F547E1"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в 1943 году утреннее сообщение Совинформбюро:</w:t>
      </w:r>
    </w:p>
    <w:p w14:paraId="15D33EFC"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3 мая на фронтах существенных изменений не произошло.</w:t>
      </w:r>
    </w:p>
    <w:p w14:paraId="6423FE85"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наши артиллеристы подавили огонь 11 миномётных и 5 артиллерийских батарей противника. Разрушено 10 немецких дзотов, подбит танк и уничтожено до роты гитлеровцев.</w:t>
      </w:r>
    </w:p>
    <w:p w14:paraId="53E81E44"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уничтожили две артиллерийские батареи противника и истребили до 200 гитлеровцев.</w:t>
      </w:r>
    </w:p>
    <w:p w14:paraId="0ADDEA67"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Пулемётчик сержант Фалько заметил группу немцев, пробиравшуюся к своему блиндажу. Когда гитлеровцы вышли на открытую местность, сержант открыл огонь и уничтожил 17 немецких солдат.</w:t>
      </w:r>
    </w:p>
    <w:p w14:paraId="7E7620C5"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Чугуева батальон пехоты противника атаковал боевое охранение Н-ского соединения. Огнём артиллерии и пехотного оружия немцы были отброшены на исходные позиции.</w:t>
      </w:r>
    </w:p>
    <w:p w14:paraId="14D41DFB"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зенитчики сбили немецкий истребитель.</w:t>
      </w:r>
    </w:p>
    <w:p w14:paraId="288ED5C4"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на одном участке подразделение противника предприняло разведку боем. Красноармейцы под командованием тов. Явовенко отбросили численно превосходящего врага и истребили несколько десятков гитлеровцев.</w:t>
      </w:r>
    </w:p>
    <w:p w14:paraId="0AAB80CB"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наши артиллеристы обстреливали передний край и ближние тылы противника. Подавлен огонь 4 артиллерийских и 6 миномётных батарей, разрушено 15 дзотов и взорван склад боеприпасов противника.</w:t>
      </w:r>
    </w:p>
    <w:p w14:paraId="7078B540"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Тарнопольской области, подорвал на минах два железнодорожных эшелона противника. Разведка отряда установила, что в одном населённом пункте, расположенном близ шоссейной дороги, немцы устроила склад горючего. Ночью партизаны уничтожили охрану и подожгли склад бензина.</w:t>
      </w:r>
    </w:p>
    <w:p w14:paraId="61CE395B"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С величайшим воодушевлением встретил советский народ первомайский приказ Верховного Главнокомандующего Маршала Советского Союза товарища Сталина. Рабочие, колхозники и интеллигенция на митингах и собраниях единодушно заявляют, что они самоотверженным трудом ответят на приказ товарища Сталина. Нам и нашимсоюзникам, заявляют трудящиеся, предстоит ещё суровая и тяжёлая борьба. Мы не остановимся ни перед какими жертвами, отдадим все свои силы для достижения победы. Все для войны — этот ленинский завет является законом военного времени для всех трудящихся Советского Союза.</w:t>
      </w:r>
    </w:p>
    <w:p w14:paraId="3F7B417C"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цехах московского завода имени Сталина состоялись собрания и коллективные беседы, посвященные первомайскому приказу Верховного Главнокомандующего. В отделе капитального строительства с речью выступил стахановец слесарь Шипуров. При общем одобрении собравшихся он сказал: «Сталинский приказ произвёл на меня неизгладимое впечатление. В этом приказе выражены непреклонная решимость советского народа бороться до полного разгрома врага и непоколебимая уверенность в нашей победе. Святой долг каждого рабочего самоотверженно трудиться и с каждым днём увеличивать выпуск продукции для фронта. Это будет наилучшим ответом на приказ товарища Сталина».</w:t>
      </w:r>
    </w:p>
    <w:p w14:paraId="768BFB53"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московском заводе имени Молотова рабочие коллективно слушали по радиоприказ Верховного Главнокомандующего. Вскоре состоялся митинг. Инженер тов.Горский заявил: «В апреле мы выполнили месячный план на 118 процентов. Однако мы еще не исчерпали все наши возможности и резервы. В ответ на первомайский приказ товарища Сталина мы должны работать ещё лучше». Коллектив завода единогласно принял решение, в котором взял на себя обязательство — к 25 июня завершить полугодовой план и дать сверх плана в особый фонд Главного Командования 700 тонн продукции.</w:t>
      </w:r>
    </w:p>
    <w:p w14:paraId="733591B7"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Металлурги Сталинска обратились с призывом к коллективам Магнитогорского комбината и других предприятий чёрной металлургии продлить соревнование, начатое в прошлом году. Кузнецкие металлурги взяла на себя обязательство передать в фонд Главного Командования тысячи тонн чугуна, стали и проката.</w:t>
      </w:r>
    </w:p>
    <w:p w14:paraId="69240F57"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Алма-Ате состоялся многолюдный общегородской митинг. С большим вниманием была выслушана речь стахановца Барикова. Каждый из нас, заявил он, может и обязан всемерно увеличивать свой вклад в дело защиты Родины от фашистских мерзавцев. Товарищ Сталин в первомайском приказе призывает нас удвоить энергию и дать Красной Армии больше самолётов, танков, пушек, пулемётов, боеприпасов. За нами дело не станет, мы выполним приказ вождя.» (14880).</w:t>
      </w:r>
    </w:p>
    <w:p w14:paraId="276D722B" w14:textId="77777777" w:rsidR="006C5519" w:rsidRPr="00D03F3E" w:rsidRDefault="006C5519" w:rsidP="00D03F3E">
      <w:pPr>
        <w:spacing w:after="0" w:line="240" w:lineRule="auto"/>
        <w:jc w:val="both"/>
        <w:rPr>
          <w:rFonts w:ascii="Times New Roman" w:hAnsi="Times New Roman"/>
          <w:color w:val="000000" w:themeColor="text1"/>
          <w:sz w:val="16"/>
          <w:szCs w:val="16"/>
        </w:rPr>
      </w:pPr>
    </w:p>
    <w:p w14:paraId="2CC1B53D"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в 1943 году вечернее сообщение Совинформбюро:</w:t>
      </w:r>
    </w:p>
    <w:p w14:paraId="1E52A1EE"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3 мая на фронтах существенных изменении не произошло.</w:t>
      </w:r>
    </w:p>
    <w:p w14:paraId="631AE6D9"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мая частями нашей авиации на различных участках фронта уничтожено или повреждено не менее 20 автомашин с войсками и грузами, взорвано 2 склада боеприпасов, разбит железнодорожный эшелон и потоплен сторожевой корабль противника.</w:t>
      </w:r>
    </w:p>
    <w:p w14:paraId="1A17064D"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 одном участке части Н-ского соединения вели активные боевые действия. Истреблено до 900 немецких солдат и офицеров. Подбито и сожжено 4 немецких танка, разрушено 9 дзотов и 7 блиндажей, подавлен огонь 2 артиллерийских и 5 миномётных батарей противника.</w:t>
      </w:r>
    </w:p>
    <w:p w14:paraId="005967EE"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занимая прежние позиции, вели разведку и артиллерийскую перестрелку с противником. Огнём нашей артиллерии уничтожено более роты немецкой пехоты, разбито 8 пулемётов и подавлен огонь 4 артиллерийских батарей противника.</w:t>
      </w:r>
    </w:p>
    <w:p w14:paraId="00F4D288"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подразделение разведчиков под командованием тов. Фролова неожиданно атаковало противника. Красноармейцы проникли в немецкие траншеи и уничтожили находившихся в них гитлеровцев. Захватив пулемёт и винтовки убитых, разведчики без потерь вернулись в свою часть.</w:t>
      </w:r>
    </w:p>
    <w:p w14:paraId="4B3D604F"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Снайперами Н-ской части в течение дня уничтожено 80 немецких солдат и офицеров.</w:t>
      </w:r>
    </w:p>
    <w:p w14:paraId="0CA481B1"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огнём нашей артиллерии и миномётов разрушено 8 дзотов и 7 землянок, подавлен огонь 2 артиллерийских батарей и взорван склад боеприпасов противника. Огнём снайперов истреблено более 100 гитлеровцев.</w:t>
      </w:r>
    </w:p>
    <w:p w14:paraId="1E102AEF"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Черниговской области, отбил атаку немецких карателей. Впереди себя гитлеровцы шали мирных жителей —женщин и детей. Партизаны зашли противнику во фланг и открыли интенсивный ружейно-пулемётный огонь. Не выдержав удара, немцы отступили. На поле боя осталось 57 вражеских трупов. Захвачены трофеи.</w:t>
      </w:r>
    </w:p>
    <w:p w14:paraId="6D4BDF2C"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солдат 197 немецкой пехотной дивизии Эдуард Гайдаковский, поляк понациональности, заявил: «У моего отца была большая и дружная семья. Немцы разорили и разрушили её. Они забрали у нас всё имущество, а отца, 74-лет-него старика, сделали батраком у немецкого помещика. Мой старший брат — Владислав уже пятый год гниёт в концентрационном лагере в Германии. Два брата — Иозеф и Вячеслав — томятся в германском плену. Четвёртого брата — Казимира немцы увезли в 1939 году, и с тех пор от него нет ни слуху. Пятого брата — Ситизмунда немцы насильно угнали на принудительные работы в Данциг. Шестой брат — Тадеуш, 20 лет от рода, умер в концентрационном лагере в Ораниенбурге. В этом же лагере умер муж моей сестры Ян Шмидт. Трагическая судьба нашей семьи характерна для многих семей современной Польши, раздавленной и порабощенной гитлеровскими убийцами. Причинив мне и моим близким столько горя, немцы призвали меня в армию. Они хотят заставить нас, поляков, служить Германии и проливать свою кровь за Гитлера. Большего унижения и издевательства над человеком трудно придумать. Я при первой же возможности перешёл на сторону русских. Тем самым я добыл себе свободу и сбросил ненавистный мне немецкий мундир».</w:t>
      </w:r>
    </w:p>
    <w:p w14:paraId="12BD9EB6"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 всех концов Советской страны продолжают поступать отклики на первомайский приказ Верховного Главнокомандующего Маршала Советского Союза товарища Сталина. Трудящиеся города и деревни единодушно заявляют: «Мы все, как один, будем трудиться с удвоенной энергией и снабдим фронт всем необходимым для быстрейшего разгрома немецко-фашистских захватчиков».</w:t>
      </w:r>
    </w:p>
    <w:p w14:paraId="0F7E6C2F"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Рабочие и инженерно-технические работники предприятий берут на себя обязательства дать больше самолётов, танков, орудий, пулемётов, боеприпасов и снаряжения для Красной Армии. С большим подъёмом проходят митинги и собрания в деревне. Колхозники и колхозницы берут на себя обязательства быстрее провести весенний сев и дать Красной Армии и стране больше продовольствия. На митинге колхозников сельхозартели «Коммунист», Куйбышевской области, бригадир Фролов предложил в ответ на призыв любимого вождя по-военному провести весенний сев. Это предложение встретило единодушную поддержку. 1 и 2-го мая колхозники работали в поле, намного перевыполнили нормы и закончили сев ранних зерновых на три дня раньше срока. Колхоз засеял сверх плана в фонд обороны 11 гектаров гороха и овса. В аулах Дагестана состоялись многолюдные собрания трудящихся. В ауле Леваши собрались две тысячи горцев. Они поклялись усилить помощь фронту. 80-летний Дауд Махмудов из высокогорного аула Тасута заявил: «Четверо моих сыновей и 19 внуков сражаются с фашистами. Сам я пасу колхозную отару. Товарищ Сталин в первомайском приказе призвал советский народ усилить помощь фронту. Обещаю вырастить от каждых 100 овец по 120 ягнят».</w:t>
      </w:r>
    </w:p>
    <w:p w14:paraId="0009062B"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Советские железнодорожники в ответ на приказ товарища Сталина обязались работать слаженно и чётко, как хороший часовой механизм. На митинге железнодорожников Московского отделения Ярославской дороги выступил главный кондуктор тов. Ливанов: «Армия советских транспортников, — сказал он, — считает выполнение указаний товарища Сталина своим воинским долгом. Поклянёмся же Верховному Главнокомандующему, что мы утроим нашу энергию и поможем нашей доблестной Красной Армии разгромить немецко-фашистских захватчиков». Железнодорожники взяли на себя конкретные обязательства сократить простой вагонов и быстрее водить поезда.» (14880).</w:t>
      </w:r>
    </w:p>
    <w:p w14:paraId="753E50D9" w14:textId="77777777" w:rsidR="006C5519" w:rsidRPr="00D03F3E" w:rsidRDefault="006C5519" w:rsidP="00D03F3E">
      <w:pPr>
        <w:spacing w:after="0" w:line="240" w:lineRule="auto"/>
        <w:jc w:val="both"/>
        <w:rPr>
          <w:rFonts w:ascii="Times New Roman" w:hAnsi="Times New Roman"/>
          <w:color w:val="000000" w:themeColor="text1"/>
          <w:sz w:val="16"/>
          <w:szCs w:val="16"/>
        </w:rPr>
      </w:pPr>
    </w:p>
    <w:p w14:paraId="72B07BA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1943, согласно дневниковых записей Валентина Ивановича Аккуратова (летал на АНТ-42 “дублер”) за 1943 год, ходили на Брест - там разведка обнаружила скопление танков и тяжелой артиллерии. Очевидно, фрицы не ожидали появления здесь нашей дальней авиации - зенитки и прожекторы бездействовали. После массированного налета эшелоны превратились в месиво огня и дыма, которое мы, уходя, видели за 120-140 км.</w:t>
      </w:r>
    </w:p>
    <w:p w14:paraId="7783E5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5, 10, 12 мая. Все ночи напролет громим эшелоны на железнодорожных узлах. Не нужно быть стратегом, чтобы по расположению целей понять, что готовится очередное грандиозное наступление. И тщетно фашисты пытаются замаскировать свою технику - мы находим ее в любых условиях.</w:t>
      </w:r>
    </w:p>
    <w:p w14:paraId="1A0AE54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секрет прост - противник сам наводил нас на цели. Однажды в ясную, но безлунную ночь, идя над вражеской территорией, мы заметили на черном бархате затаившейся земли вспыхивающие огни. Присмотревшись, поняли, что вспышки соответствуют знакам азбуки Морзе. То были свето- маяки, установленные у крупных населенных пунктов и у естественных ориентиров. Каждый маяк давал вспышки из двух определенных букв, которые менялись раз в десять дней. Перенеся эти данные на карту, наши штурманы быстро и точно выводили свои корабли на заданную цель. Помогали нам чужие огни и при возвращении, особенно на подбитой машине, когда штурманы </w:t>
      </w:r>
    </w:p>
    <w:p w14:paraId="2F0AF3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каждым боевым вылетом росло наше мастерство и понимание тактики врага. К примеру, если год назад мы с опаской думали о том, как бы не встретить над целью аэростаты заграждения, то теперь, отбомбившись, искали их, чтобы сжечь огнем тяжелых пулеметов. Ведь эти аэростаты представляли для нас серьезную угрозу, - обычно спаренные, они поднимали стальной трос на 6 тыс. м. Невидимые в ночи, да еше увешанные электромагнитными дистанционными минами, они были для нас куда опаснее зенитной артиллерии: Вот почему наши стрелки столь беспощадно разделывались с их серебристыми тушами.</w:t>
      </w:r>
    </w:p>
    <w:p w14:paraId="523A570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успехе боевого вылета огромную роль играло знание штурманами фактической погоды над территорией врага. В частности, необходимо было иметь представление о нижней границе облачности над целью. Однако карты, которые мы получали от синоптиков, были прогностическими, расчетными. До войны было иначе - сводки погоды поступали к синоптикам со всей Европы, и их прогнозы были более или менее точными. С войной поступление такой информации прекратилось. А положение усугублялось тем, что погода над оккупированной нацистами Европой формировалась под воздействием воздушных масс, движущихся с запада и северо-запада (со стороны Бельгии, Голландии и Норвегии, захваченных гитлеровцами еще в 1940 году). Поэтому доразведку погоды пришлось возложить на экипаж самолета-осветителя. Выйдя на цель за полчаса до появления основной массы бомбардировщиков, он передавал на базу сводку, а та сообщала ее штурманам машин, идущих на цель с интервалом в 5-Ю мин. Выпускать разведчика раньше было нежелательно, так как в этом случае терялся фактор внезапности и противник успевал привести в готовность противовоздушную оборону.</w:t>
      </w:r>
    </w:p>
    <w:p w14:paraId="232977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и здесь нам помогала самоуверенность нацистов. Дело в том, что их аэродромные станции методически передавали для летчиков Люфтваффе сводки погоды на ультракоротких волнах по международному метеокоду. А его отлично знали летчики полярной авиации, работавшие до войны на разведке ледовой обстановки в Арктике. Хотя дальность действия этих радиостанций была небольшой, но это не мешало нам получать полную картину погоды над целью" (12025).</w:t>
      </w:r>
    </w:p>
    <w:p w14:paraId="08C8B02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1967E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1943 г. вышел ПРИКАЗ № 0372 О ПРИСВОЕНИИ ВОЕННОГО ЗВАНИЯ СТАРШЕМУ ЛЕЙТЕНАНТУ ДРЫГИНУ В. М.</w:t>
      </w:r>
    </w:p>
    <w:p w14:paraId="67B416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с. г. пятерка наших истребителей на самолетах “Аэрокобра” под командованием майора Семенишина в районе Крымская встретила двенадцать вражеских бомбардировщиков под прикрытием истребителей и вступила с ними в бой.</w:t>
      </w:r>
    </w:p>
    <w:p w14:paraId="02D144C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Своими смелыми атаками наши истребители рассеяли бомбардировщиков противника и вынудили их сбросить бомбы неприцельно.</w:t>
      </w:r>
    </w:p>
    <w:p w14:paraId="3148A3A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этом бою отличился командир звена 298-го истребительного авиаполка старший лейтенант Дрыгин Василий Михайлович, который лично сбил двух бомбардировщиков противника и после упорного боя, будучи сбит сам, выпрыгнул на парашюте и благополучно приземлился.</w:t>
      </w:r>
    </w:p>
    <w:p w14:paraId="4ABAB58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Приказываю:</w:t>
      </w:r>
    </w:p>
    <w:p w14:paraId="77D1E8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Командиру звена 298-го истребительного авиаполка старшему лейтенанту Дрыгину Василию Михайловичу за проявленные в воздушном бою мужество, смелость и отвагу присвоить военное звание “капитан”. Кроме того, Дрыгин В. М. мной награжден орденом Александра Невского.</w:t>
      </w:r>
    </w:p>
    <w:p w14:paraId="4AC06B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Командующему 4-й воздушной армией генерал-майору авиации Науменко к 4 мая с. г. представить мне для награждения отличившихся летчиков в бою 3.5.43 г. из группы майора Семенишина.</w:t>
      </w:r>
    </w:p>
    <w:p w14:paraId="52DF745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Приказ объявить всему летно-техническому составу ВВС Красной Армии.</w:t>
      </w:r>
    </w:p>
    <w:p w14:paraId="617F956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Заместитель Народного комиссара обороны маршал авиации НОВИКОВ </w:t>
      </w:r>
      <w:r w:rsidRPr="00D03F3E">
        <w:rPr>
          <w:rFonts w:ascii="Times New Roman" w:hAnsi="Times New Roman"/>
          <w:color w:val="000000" w:themeColor="text1"/>
          <w:sz w:val="16"/>
          <w:szCs w:val="16"/>
        </w:rPr>
        <w:t>(9844).</w:t>
      </w:r>
    </w:p>
    <w:p w14:paraId="76949D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58663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1943 четыре "Спитфайра", которые вел старший лейтенант Солдатов, вблизи станицы Неберджеевской атаковали группу бомбардировщиков Не 111. Один из них Солдатов сбил, остальные беспорядочно сбросили бомбы и бежали. В тот же день состоялся бой, в котором с одной стороны участвовали четыре "Спитфайра", а с другой - 18 немец</w:t>
      </w:r>
      <w:r w:rsidRPr="00D03F3E">
        <w:rPr>
          <w:rFonts w:ascii="Times New Roman" w:hAnsi="Times New Roman"/>
          <w:color w:val="000000" w:themeColor="text1"/>
          <w:sz w:val="16"/>
          <w:szCs w:val="16"/>
        </w:rPr>
        <w:softHyphen/>
        <w:t>ких бомбардировщиков и 12 истреби</w:t>
      </w:r>
      <w:r w:rsidRPr="00D03F3E">
        <w:rPr>
          <w:rFonts w:ascii="Times New Roman" w:hAnsi="Times New Roman"/>
          <w:color w:val="000000" w:themeColor="text1"/>
          <w:sz w:val="16"/>
          <w:szCs w:val="16"/>
        </w:rPr>
        <w:softHyphen/>
        <w:t>телей. Один из последних был сбит. Уже в сумерках произошло еще одно крупное столкновение. Под при</w:t>
      </w:r>
      <w:r w:rsidRPr="00D03F3E">
        <w:rPr>
          <w:rFonts w:ascii="Times New Roman" w:hAnsi="Times New Roman"/>
          <w:color w:val="000000" w:themeColor="text1"/>
          <w:sz w:val="16"/>
          <w:szCs w:val="16"/>
        </w:rPr>
        <w:softHyphen/>
        <w:t>крытием десяти "мессершмиттов" к ли</w:t>
      </w:r>
      <w:r w:rsidRPr="00D03F3E">
        <w:rPr>
          <w:rFonts w:ascii="Times New Roman" w:hAnsi="Times New Roman"/>
          <w:color w:val="000000" w:themeColor="text1"/>
          <w:sz w:val="16"/>
          <w:szCs w:val="16"/>
        </w:rPr>
        <w:softHyphen/>
        <w:t>нии фронта шли 18 Не 111. Восемь самолетов 57-го полка связали боем эскорт, два - атаковали бомбардиров</w:t>
      </w:r>
      <w:r w:rsidRPr="00D03F3E">
        <w:rPr>
          <w:rFonts w:ascii="Times New Roman" w:hAnsi="Times New Roman"/>
          <w:color w:val="000000" w:themeColor="text1"/>
          <w:sz w:val="16"/>
          <w:szCs w:val="16"/>
        </w:rPr>
        <w:softHyphen/>
        <w:t>щики. Один Не 111 ушел, дымя, дру</w:t>
      </w:r>
      <w:r w:rsidRPr="00D03F3E">
        <w:rPr>
          <w:rFonts w:ascii="Times New Roman" w:hAnsi="Times New Roman"/>
          <w:color w:val="000000" w:themeColor="text1"/>
          <w:sz w:val="16"/>
          <w:szCs w:val="16"/>
        </w:rPr>
        <w:softHyphen/>
        <w:t>гой взорвался в воздухе. Всего за 52 вылета, совершенных в этот день, 57 гв. полк уничтожил девять немецких самолетов (10790).</w:t>
      </w:r>
    </w:p>
    <w:p w14:paraId="6055211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E27D0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1943г. были подготовлены СВЕДЕНИЯ ГЛАВНОГО УПРАВЛЕНИЯ МИЛИЦИИ НКВД СССР ЗАМЕСТИТЕЛЮ НАРКОМА ОБОРОНЫ СССР ХРУЛЕВУ О НАЛИЧИИ АВТОМОТОТРАНСПОРТА В СССР ПО СОСТОЯНИЮ НА 1 ФЕВРАЛЯ 1943 г. №29/А/1249</w:t>
      </w:r>
    </w:p>
    <w:p w14:paraId="57E2D53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Направляю сведения о наличии автомототранспорта Союза ССР по состоянию на 1 февраля 1943 г. Приложение: экз. №3.</w:t>
      </w:r>
    </w:p>
    <w:p w14:paraId="341BC7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Главного управления милиции НКВД СССР комиссар милиции 1 ранга Галкин</w:t>
      </w:r>
    </w:p>
    <w:p w14:paraId="28B101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Сведения о наличии автомототранспорта по республикам, краям и областям на 1 февраля 1943 г.</w:t>
      </w:r>
    </w:p>
    <w:tbl>
      <w:tblPr>
        <w:tblW w:w="0" w:type="auto"/>
        <w:tblInd w:w="40" w:type="dxa"/>
        <w:tblLayout w:type="fixed"/>
        <w:tblCellMar>
          <w:left w:w="40" w:type="dxa"/>
          <w:right w:w="40" w:type="dxa"/>
        </w:tblCellMar>
        <w:tblLook w:val="0000" w:firstRow="0" w:lastRow="0" w:firstColumn="0" w:lastColumn="0" w:noHBand="0" w:noVBand="0"/>
      </w:tblPr>
      <w:tblGrid>
        <w:gridCol w:w="1418"/>
        <w:gridCol w:w="118"/>
        <w:gridCol w:w="192"/>
        <w:gridCol w:w="288"/>
        <w:gridCol w:w="200"/>
        <w:gridCol w:w="40"/>
        <w:gridCol w:w="356"/>
        <w:gridCol w:w="124"/>
        <w:gridCol w:w="125"/>
        <w:gridCol w:w="34"/>
        <w:gridCol w:w="229"/>
        <w:gridCol w:w="142"/>
        <w:gridCol w:w="229"/>
        <w:gridCol w:w="239"/>
        <w:gridCol w:w="40"/>
        <w:gridCol w:w="88"/>
        <w:gridCol w:w="209"/>
        <w:gridCol w:w="91"/>
        <w:gridCol w:w="364"/>
        <w:gridCol w:w="111"/>
        <w:gridCol w:w="16"/>
        <w:gridCol w:w="469"/>
        <w:gridCol w:w="8"/>
        <w:gridCol w:w="34"/>
        <w:gridCol w:w="11"/>
        <w:gridCol w:w="337"/>
        <w:gridCol w:w="172"/>
        <w:gridCol w:w="34"/>
        <w:gridCol w:w="490"/>
        <w:gridCol w:w="33"/>
        <w:gridCol w:w="140"/>
        <w:gridCol w:w="10"/>
        <w:gridCol w:w="203"/>
        <w:gridCol w:w="165"/>
        <w:gridCol w:w="237"/>
        <w:gridCol w:w="272"/>
        <w:gridCol w:w="128"/>
        <w:gridCol w:w="33"/>
        <w:gridCol w:w="163"/>
        <w:gridCol w:w="194"/>
        <w:gridCol w:w="402"/>
        <w:gridCol w:w="9"/>
        <w:gridCol w:w="155"/>
        <w:gridCol w:w="173"/>
        <w:gridCol w:w="122"/>
        <w:gridCol w:w="146"/>
        <w:gridCol w:w="183"/>
        <w:gridCol w:w="528"/>
        <w:gridCol w:w="11"/>
        <w:gridCol w:w="11"/>
      </w:tblGrid>
      <w:tr w:rsidR="00860B4B" w:rsidRPr="00D03F3E" w14:paraId="2A45E5CA" w14:textId="77777777">
        <w:trPr>
          <w:trHeight w:val="269"/>
        </w:trPr>
        <w:tc>
          <w:tcPr>
            <w:tcW w:w="1418" w:type="dxa"/>
            <w:tcBorders>
              <w:top w:val="single" w:sz="6" w:space="0" w:color="auto"/>
              <w:left w:val="single" w:sz="6" w:space="0" w:color="auto"/>
              <w:bottom w:val="nil"/>
              <w:right w:val="single" w:sz="6" w:space="0" w:color="auto"/>
            </w:tcBorders>
          </w:tcPr>
          <w:p w14:paraId="2981AE0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w:t>
            </w:r>
          </w:p>
          <w:p w14:paraId="6EFD40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06" w:type="dxa"/>
            <w:gridSpan w:val="49"/>
            <w:tcBorders>
              <w:top w:val="single" w:sz="6" w:space="0" w:color="auto"/>
              <w:left w:val="single" w:sz="6" w:space="0" w:color="auto"/>
              <w:bottom w:val="single" w:sz="6" w:space="0" w:color="auto"/>
              <w:right w:val="single" w:sz="6" w:space="0" w:color="auto"/>
            </w:tcBorders>
          </w:tcPr>
          <w:p w14:paraId="049669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Грузовые автомобили</w:t>
            </w:r>
          </w:p>
          <w:p w14:paraId="194FED0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BE1072F" w14:textId="77777777">
        <w:trPr>
          <w:trHeight w:val="269"/>
        </w:trPr>
        <w:tc>
          <w:tcPr>
            <w:tcW w:w="1418" w:type="dxa"/>
            <w:tcBorders>
              <w:top w:val="nil"/>
              <w:left w:val="single" w:sz="6" w:space="0" w:color="auto"/>
              <w:bottom w:val="nil"/>
              <w:right w:val="single" w:sz="6" w:space="0" w:color="auto"/>
            </w:tcBorders>
          </w:tcPr>
          <w:p w14:paraId="568D36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74589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gridSpan w:val="3"/>
            <w:tcBorders>
              <w:top w:val="single" w:sz="6" w:space="0" w:color="auto"/>
              <w:left w:val="single" w:sz="6" w:space="0" w:color="auto"/>
              <w:bottom w:val="nil"/>
              <w:right w:val="single" w:sz="6" w:space="0" w:color="auto"/>
            </w:tcBorders>
          </w:tcPr>
          <w:p w14:paraId="4478280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ЯГ-4И ЯГ-6</w:t>
            </w:r>
          </w:p>
          <w:p w14:paraId="50A42F5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6"/>
            <w:tcBorders>
              <w:top w:val="single" w:sz="6" w:space="0" w:color="auto"/>
              <w:left w:val="single" w:sz="6" w:space="0" w:color="auto"/>
              <w:bottom w:val="nil"/>
              <w:right w:val="single" w:sz="6" w:space="0" w:color="auto"/>
            </w:tcBorders>
          </w:tcPr>
          <w:p w14:paraId="45BA1B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ЯС-1 и ЯС-3</w:t>
            </w:r>
          </w:p>
          <w:p w14:paraId="0FAC2C1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5"/>
            <w:tcBorders>
              <w:top w:val="single" w:sz="6" w:space="0" w:color="auto"/>
              <w:left w:val="single" w:sz="6" w:space="0" w:color="auto"/>
              <w:bottom w:val="nil"/>
              <w:right w:val="single" w:sz="6" w:space="0" w:color="auto"/>
            </w:tcBorders>
          </w:tcPr>
          <w:p w14:paraId="5B23756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ЗИС-5</w:t>
            </w:r>
          </w:p>
          <w:p w14:paraId="7A5C83A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6"/>
            <w:tcBorders>
              <w:top w:val="single" w:sz="6" w:space="0" w:color="auto"/>
              <w:left w:val="single" w:sz="6" w:space="0" w:color="auto"/>
              <w:bottom w:val="nil"/>
              <w:right w:val="single" w:sz="6" w:space="0" w:color="auto"/>
            </w:tcBorders>
          </w:tcPr>
          <w:p w14:paraId="4A3297B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ГАЗ-АА</w:t>
            </w:r>
          </w:p>
          <w:p w14:paraId="11F26A3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10"/>
            <w:tcBorders>
              <w:top w:val="single" w:sz="6" w:space="0" w:color="auto"/>
              <w:left w:val="single" w:sz="6" w:space="0" w:color="auto"/>
              <w:bottom w:val="single" w:sz="6" w:space="0" w:color="auto"/>
              <w:right w:val="single" w:sz="6" w:space="0" w:color="auto"/>
            </w:tcBorders>
          </w:tcPr>
          <w:p w14:paraId="1BE0D48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Трехосные</w:t>
            </w:r>
          </w:p>
          <w:p w14:paraId="1B4653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8" w:type="dxa"/>
            <w:gridSpan w:val="7"/>
            <w:tcBorders>
              <w:top w:val="single" w:sz="6" w:space="0" w:color="auto"/>
              <w:left w:val="single" w:sz="6" w:space="0" w:color="auto"/>
              <w:bottom w:val="nil"/>
              <w:right w:val="single" w:sz="6" w:space="0" w:color="auto"/>
            </w:tcBorders>
          </w:tcPr>
          <w:p w14:paraId="73FD42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Прочие совет, марки</w:t>
            </w:r>
          </w:p>
          <w:p w14:paraId="55F266D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gridSpan w:val="7"/>
            <w:tcBorders>
              <w:top w:val="single" w:sz="6" w:space="0" w:color="auto"/>
              <w:left w:val="single" w:sz="6" w:space="0" w:color="auto"/>
              <w:bottom w:val="nil"/>
              <w:right w:val="single" w:sz="6" w:space="0" w:color="auto"/>
            </w:tcBorders>
          </w:tcPr>
          <w:p w14:paraId="4F5F46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Иностранные марки</w:t>
            </w:r>
          </w:p>
          <w:p w14:paraId="15264FA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5"/>
            <w:tcBorders>
              <w:top w:val="single" w:sz="6" w:space="0" w:color="auto"/>
              <w:left w:val="single" w:sz="6" w:space="0" w:color="auto"/>
              <w:bottom w:val="nil"/>
              <w:right w:val="single" w:sz="6" w:space="0" w:color="auto"/>
            </w:tcBorders>
          </w:tcPr>
          <w:p w14:paraId="79C9C0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 гру</w:t>
            </w:r>
            <w:r w:rsidRPr="00D03F3E">
              <w:rPr>
                <w:rFonts w:ascii="Times New Roman" w:hAnsi="Times New Roman"/>
                <w:color w:val="000000" w:themeColor="text1"/>
                <w:sz w:val="16"/>
                <w:szCs w:val="16"/>
              </w:rPr>
              <w:softHyphen/>
              <w:t>зовых</w:t>
            </w:r>
          </w:p>
          <w:p w14:paraId="4BFC5F4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B9FA345" w14:textId="77777777">
        <w:trPr>
          <w:trHeight w:val="259"/>
        </w:trPr>
        <w:tc>
          <w:tcPr>
            <w:tcW w:w="1418" w:type="dxa"/>
            <w:tcBorders>
              <w:top w:val="nil"/>
              <w:left w:val="single" w:sz="6" w:space="0" w:color="auto"/>
              <w:bottom w:val="single" w:sz="6" w:space="0" w:color="auto"/>
              <w:right w:val="single" w:sz="6" w:space="0" w:color="auto"/>
            </w:tcBorders>
          </w:tcPr>
          <w:p w14:paraId="72DD53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D406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gridSpan w:val="3"/>
            <w:tcBorders>
              <w:top w:val="nil"/>
              <w:left w:val="single" w:sz="6" w:space="0" w:color="auto"/>
              <w:bottom w:val="single" w:sz="6" w:space="0" w:color="auto"/>
              <w:right w:val="single" w:sz="6" w:space="0" w:color="auto"/>
            </w:tcBorders>
          </w:tcPr>
          <w:p w14:paraId="741B95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3CBD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6"/>
            <w:tcBorders>
              <w:top w:val="nil"/>
              <w:left w:val="single" w:sz="6" w:space="0" w:color="auto"/>
              <w:bottom w:val="single" w:sz="6" w:space="0" w:color="auto"/>
              <w:right w:val="single" w:sz="6" w:space="0" w:color="auto"/>
            </w:tcBorders>
          </w:tcPr>
          <w:p w14:paraId="7249B50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B325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5"/>
            <w:tcBorders>
              <w:top w:val="nil"/>
              <w:left w:val="single" w:sz="6" w:space="0" w:color="auto"/>
              <w:bottom w:val="single" w:sz="6" w:space="0" w:color="auto"/>
              <w:right w:val="single" w:sz="6" w:space="0" w:color="auto"/>
            </w:tcBorders>
          </w:tcPr>
          <w:p w14:paraId="43B1F2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BB38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6"/>
            <w:tcBorders>
              <w:top w:val="nil"/>
              <w:left w:val="single" w:sz="6" w:space="0" w:color="auto"/>
              <w:bottom w:val="single" w:sz="6" w:space="0" w:color="auto"/>
              <w:right w:val="single" w:sz="6" w:space="0" w:color="auto"/>
            </w:tcBorders>
          </w:tcPr>
          <w:p w14:paraId="5575298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C7E62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9" w:type="dxa"/>
            <w:gridSpan w:val="5"/>
            <w:tcBorders>
              <w:top w:val="single" w:sz="6" w:space="0" w:color="auto"/>
              <w:left w:val="single" w:sz="6" w:space="0" w:color="auto"/>
              <w:bottom w:val="single" w:sz="6" w:space="0" w:color="auto"/>
              <w:right w:val="single" w:sz="6" w:space="0" w:color="auto"/>
            </w:tcBorders>
          </w:tcPr>
          <w:p w14:paraId="31D46D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ГАЗ-ААА</w:t>
            </w:r>
          </w:p>
          <w:p w14:paraId="3D66CA9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8" w:type="dxa"/>
            <w:gridSpan w:val="5"/>
            <w:tcBorders>
              <w:top w:val="single" w:sz="6" w:space="0" w:color="auto"/>
              <w:left w:val="single" w:sz="6" w:space="0" w:color="auto"/>
              <w:bottom w:val="single" w:sz="6" w:space="0" w:color="auto"/>
              <w:right w:val="single" w:sz="6" w:space="0" w:color="auto"/>
            </w:tcBorders>
          </w:tcPr>
          <w:p w14:paraId="2B767C5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ЗИС-6</w:t>
            </w:r>
          </w:p>
          <w:p w14:paraId="7B8CD0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8" w:type="dxa"/>
            <w:gridSpan w:val="7"/>
            <w:tcBorders>
              <w:top w:val="nil"/>
              <w:left w:val="single" w:sz="6" w:space="0" w:color="auto"/>
              <w:bottom w:val="single" w:sz="6" w:space="0" w:color="auto"/>
              <w:right w:val="single" w:sz="6" w:space="0" w:color="auto"/>
            </w:tcBorders>
          </w:tcPr>
          <w:p w14:paraId="642D4F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45B6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gridSpan w:val="7"/>
            <w:tcBorders>
              <w:top w:val="nil"/>
              <w:left w:val="single" w:sz="6" w:space="0" w:color="auto"/>
              <w:bottom w:val="single" w:sz="6" w:space="0" w:color="auto"/>
              <w:right w:val="single" w:sz="6" w:space="0" w:color="auto"/>
            </w:tcBorders>
          </w:tcPr>
          <w:p w14:paraId="427315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074E0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5"/>
            <w:tcBorders>
              <w:top w:val="nil"/>
              <w:left w:val="single" w:sz="6" w:space="0" w:color="auto"/>
              <w:bottom w:val="single" w:sz="6" w:space="0" w:color="auto"/>
              <w:right w:val="single" w:sz="6" w:space="0" w:color="auto"/>
            </w:tcBorders>
          </w:tcPr>
          <w:p w14:paraId="37483F3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AD62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89C4060" w14:textId="77777777">
        <w:trPr>
          <w:trHeight w:val="278"/>
        </w:trPr>
        <w:tc>
          <w:tcPr>
            <w:tcW w:w="1418" w:type="dxa"/>
            <w:tcBorders>
              <w:top w:val="single" w:sz="6" w:space="0" w:color="auto"/>
              <w:left w:val="single" w:sz="6" w:space="0" w:color="auto"/>
              <w:bottom w:val="single" w:sz="6" w:space="0" w:color="auto"/>
              <w:right w:val="single" w:sz="6" w:space="0" w:color="auto"/>
            </w:tcBorders>
          </w:tcPr>
          <w:p w14:paraId="76475C5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 по РСФСР</w:t>
            </w:r>
          </w:p>
          <w:p w14:paraId="2AAF54D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8" w:type="dxa"/>
            <w:gridSpan w:val="3"/>
            <w:tcBorders>
              <w:top w:val="single" w:sz="6" w:space="0" w:color="auto"/>
              <w:left w:val="single" w:sz="6" w:space="0" w:color="auto"/>
              <w:bottom w:val="single" w:sz="6" w:space="0" w:color="auto"/>
              <w:right w:val="single" w:sz="6" w:space="0" w:color="auto"/>
            </w:tcBorders>
          </w:tcPr>
          <w:p w14:paraId="2357B6D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3764</w:t>
            </w:r>
          </w:p>
          <w:p w14:paraId="770F43E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6"/>
            <w:tcBorders>
              <w:top w:val="single" w:sz="6" w:space="0" w:color="auto"/>
              <w:left w:val="single" w:sz="6" w:space="0" w:color="auto"/>
              <w:bottom w:val="single" w:sz="6" w:space="0" w:color="auto"/>
              <w:right w:val="single" w:sz="6" w:space="0" w:color="auto"/>
            </w:tcBorders>
          </w:tcPr>
          <w:p w14:paraId="1FACEC4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2054</w:t>
            </w:r>
          </w:p>
          <w:p w14:paraId="47F147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5"/>
            <w:tcBorders>
              <w:top w:val="single" w:sz="6" w:space="0" w:color="auto"/>
              <w:left w:val="single" w:sz="6" w:space="0" w:color="auto"/>
              <w:bottom w:val="single" w:sz="6" w:space="0" w:color="auto"/>
              <w:right w:val="single" w:sz="6" w:space="0" w:color="auto"/>
            </w:tcBorders>
          </w:tcPr>
          <w:p w14:paraId="0E47F5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39692</w:t>
            </w:r>
          </w:p>
          <w:p w14:paraId="79B4AF2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6"/>
            <w:tcBorders>
              <w:top w:val="single" w:sz="6" w:space="0" w:color="auto"/>
              <w:left w:val="single" w:sz="6" w:space="0" w:color="auto"/>
              <w:bottom w:val="single" w:sz="6" w:space="0" w:color="auto"/>
              <w:right w:val="single" w:sz="6" w:space="0" w:color="auto"/>
            </w:tcBorders>
          </w:tcPr>
          <w:p w14:paraId="23B0F0A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57395</w:t>
            </w:r>
          </w:p>
          <w:p w14:paraId="560DA74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9" w:type="dxa"/>
            <w:gridSpan w:val="5"/>
            <w:tcBorders>
              <w:top w:val="single" w:sz="6" w:space="0" w:color="auto"/>
              <w:left w:val="single" w:sz="6" w:space="0" w:color="auto"/>
              <w:bottom w:val="single" w:sz="6" w:space="0" w:color="auto"/>
              <w:right w:val="single" w:sz="6" w:space="0" w:color="auto"/>
            </w:tcBorders>
          </w:tcPr>
          <w:p w14:paraId="64D698B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526</w:t>
            </w:r>
          </w:p>
          <w:p w14:paraId="17ACB8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8" w:type="dxa"/>
            <w:gridSpan w:val="5"/>
            <w:tcBorders>
              <w:top w:val="single" w:sz="6" w:space="0" w:color="auto"/>
              <w:left w:val="single" w:sz="6" w:space="0" w:color="auto"/>
              <w:bottom w:val="single" w:sz="6" w:space="0" w:color="auto"/>
              <w:right w:val="single" w:sz="6" w:space="0" w:color="auto"/>
            </w:tcBorders>
          </w:tcPr>
          <w:p w14:paraId="5840761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319</w:t>
            </w:r>
          </w:p>
          <w:p w14:paraId="3BFFC1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8" w:type="dxa"/>
            <w:gridSpan w:val="7"/>
            <w:tcBorders>
              <w:top w:val="single" w:sz="6" w:space="0" w:color="auto"/>
              <w:left w:val="single" w:sz="6" w:space="0" w:color="auto"/>
              <w:bottom w:val="single" w:sz="6" w:space="0" w:color="auto"/>
              <w:right w:val="single" w:sz="6" w:space="0" w:color="auto"/>
            </w:tcBorders>
          </w:tcPr>
          <w:p w14:paraId="5DA58D1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4105</w:t>
            </w:r>
          </w:p>
          <w:p w14:paraId="33237BB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gridSpan w:val="7"/>
            <w:tcBorders>
              <w:top w:val="single" w:sz="6" w:space="0" w:color="auto"/>
              <w:left w:val="single" w:sz="6" w:space="0" w:color="auto"/>
              <w:bottom w:val="single" w:sz="6" w:space="0" w:color="auto"/>
              <w:right w:val="single" w:sz="6" w:space="0" w:color="auto"/>
            </w:tcBorders>
          </w:tcPr>
          <w:p w14:paraId="734DB7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1606</w:t>
            </w:r>
          </w:p>
          <w:p w14:paraId="077FE76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5"/>
            <w:tcBorders>
              <w:top w:val="single" w:sz="6" w:space="0" w:color="auto"/>
              <w:left w:val="single" w:sz="6" w:space="0" w:color="auto"/>
              <w:bottom w:val="single" w:sz="6" w:space="0" w:color="auto"/>
              <w:right w:val="single" w:sz="6" w:space="0" w:color="auto"/>
            </w:tcBorders>
          </w:tcPr>
          <w:p w14:paraId="50DDA0C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109461</w:t>
            </w:r>
          </w:p>
          <w:p w14:paraId="616CDE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EA21D6A" w14:textId="77777777">
        <w:trPr>
          <w:trHeight w:val="288"/>
        </w:trPr>
        <w:tc>
          <w:tcPr>
            <w:tcW w:w="1418" w:type="dxa"/>
            <w:tcBorders>
              <w:top w:val="single" w:sz="6" w:space="0" w:color="auto"/>
              <w:left w:val="single" w:sz="6" w:space="0" w:color="auto"/>
              <w:bottom w:val="single" w:sz="6" w:space="0" w:color="auto"/>
              <w:right w:val="single" w:sz="6" w:space="0" w:color="auto"/>
            </w:tcBorders>
          </w:tcPr>
          <w:p w14:paraId="0D5E768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по СССР</w:t>
            </w:r>
          </w:p>
          <w:p w14:paraId="7BF4B4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8" w:type="dxa"/>
            <w:gridSpan w:val="3"/>
            <w:tcBorders>
              <w:top w:val="single" w:sz="6" w:space="0" w:color="auto"/>
              <w:left w:val="single" w:sz="6" w:space="0" w:color="auto"/>
              <w:bottom w:val="single" w:sz="6" w:space="0" w:color="auto"/>
              <w:right w:val="single" w:sz="6" w:space="0" w:color="auto"/>
            </w:tcBorders>
          </w:tcPr>
          <w:p w14:paraId="75CC3E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4616</w:t>
            </w:r>
          </w:p>
          <w:p w14:paraId="378BA2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6"/>
            <w:tcBorders>
              <w:top w:val="single" w:sz="6" w:space="0" w:color="auto"/>
              <w:left w:val="single" w:sz="6" w:space="0" w:color="auto"/>
              <w:bottom w:val="single" w:sz="6" w:space="0" w:color="auto"/>
              <w:right w:val="single" w:sz="6" w:space="0" w:color="auto"/>
            </w:tcBorders>
          </w:tcPr>
          <w:p w14:paraId="02E5AD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2328</w:t>
            </w:r>
          </w:p>
          <w:p w14:paraId="4035D0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5"/>
            <w:tcBorders>
              <w:top w:val="single" w:sz="6" w:space="0" w:color="auto"/>
              <w:left w:val="single" w:sz="6" w:space="0" w:color="auto"/>
              <w:bottom w:val="single" w:sz="6" w:space="0" w:color="auto"/>
              <w:right w:val="single" w:sz="6" w:space="0" w:color="auto"/>
            </w:tcBorders>
          </w:tcPr>
          <w:p w14:paraId="6B99A39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50270</w:t>
            </w:r>
          </w:p>
          <w:p w14:paraId="0025E6B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6"/>
            <w:tcBorders>
              <w:top w:val="single" w:sz="6" w:space="0" w:color="auto"/>
              <w:left w:val="single" w:sz="6" w:space="0" w:color="auto"/>
              <w:bottom w:val="single" w:sz="6" w:space="0" w:color="auto"/>
              <w:right w:val="single" w:sz="6" w:space="0" w:color="auto"/>
            </w:tcBorders>
          </w:tcPr>
          <w:p w14:paraId="4911EF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80933</w:t>
            </w:r>
          </w:p>
          <w:p w14:paraId="502B36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9" w:type="dxa"/>
            <w:gridSpan w:val="5"/>
            <w:tcBorders>
              <w:top w:val="single" w:sz="6" w:space="0" w:color="auto"/>
              <w:left w:val="single" w:sz="6" w:space="0" w:color="auto"/>
              <w:bottom w:val="single" w:sz="6" w:space="0" w:color="auto"/>
              <w:right w:val="single" w:sz="6" w:space="0" w:color="auto"/>
            </w:tcBorders>
          </w:tcPr>
          <w:p w14:paraId="24C70BE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582</w:t>
            </w:r>
          </w:p>
          <w:p w14:paraId="0320D7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8" w:type="dxa"/>
            <w:gridSpan w:val="5"/>
            <w:tcBorders>
              <w:top w:val="single" w:sz="6" w:space="0" w:color="auto"/>
              <w:left w:val="single" w:sz="6" w:space="0" w:color="auto"/>
              <w:bottom w:val="single" w:sz="6" w:space="0" w:color="auto"/>
              <w:right w:val="single" w:sz="6" w:space="0" w:color="auto"/>
            </w:tcBorders>
          </w:tcPr>
          <w:p w14:paraId="1DFD7AE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351</w:t>
            </w:r>
          </w:p>
          <w:p w14:paraId="2061D9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8" w:type="dxa"/>
            <w:gridSpan w:val="7"/>
            <w:tcBorders>
              <w:top w:val="single" w:sz="6" w:space="0" w:color="auto"/>
              <w:left w:val="single" w:sz="6" w:space="0" w:color="auto"/>
              <w:bottom w:val="single" w:sz="6" w:space="0" w:color="auto"/>
              <w:right w:val="single" w:sz="6" w:space="0" w:color="auto"/>
            </w:tcBorders>
          </w:tcPr>
          <w:p w14:paraId="64EE4A9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4773</w:t>
            </w:r>
          </w:p>
          <w:p w14:paraId="24AF91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gridSpan w:val="7"/>
            <w:tcBorders>
              <w:top w:val="single" w:sz="6" w:space="0" w:color="auto"/>
              <w:left w:val="single" w:sz="6" w:space="0" w:color="auto"/>
              <w:bottom w:val="single" w:sz="6" w:space="0" w:color="auto"/>
              <w:right w:val="single" w:sz="6" w:space="0" w:color="auto"/>
            </w:tcBorders>
          </w:tcPr>
          <w:p w14:paraId="7E6D491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1759</w:t>
            </w:r>
          </w:p>
          <w:p w14:paraId="4198F72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5"/>
            <w:tcBorders>
              <w:top w:val="single" w:sz="6" w:space="0" w:color="auto"/>
              <w:left w:val="single" w:sz="6" w:space="0" w:color="auto"/>
              <w:bottom w:val="single" w:sz="6" w:space="0" w:color="auto"/>
              <w:right w:val="single" w:sz="6" w:space="0" w:color="auto"/>
            </w:tcBorders>
          </w:tcPr>
          <w:p w14:paraId="244E754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145612</w:t>
            </w:r>
          </w:p>
          <w:p w14:paraId="70F4E92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5B1F16D" w14:textId="77777777">
        <w:trPr>
          <w:gridAfter w:val="2"/>
          <w:wAfter w:w="20" w:type="dxa"/>
          <w:trHeight w:val="269"/>
        </w:trPr>
        <w:tc>
          <w:tcPr>
            <w:tcW w:w="1418" w:type="dxa"/>
            <w:tcBorders>
              <w:top w:val="single" w:sz="6" w:space="0" w:color="auto"/>
              <w:left w:val="single" w:sz="6" w:space="0" w:color="auto"/>
              <w:bottom w:val="nil"/>
              <w:right w:val="single" w:sz="6" w:space="0" w:color="auto"/>
            </w:tcBorders>
          </w:tcPr>
          <w:p w14:paraId="2C4F630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w:t>
            </w:r>
          </w:p>
          <w:p w14:paraId="7C9685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86" w:type="dxa"/>
            <w:gridSpan w:val="47"/>
            <w:tcBorders>
              <w:top w:val="single" w:sz="6" w:space="0" w:color="auto"/>
              <w:left w:val="single" w:sz="6" w:space="0" w:color="auto"/>
              <w:bottom w:val="single" w:sz="6" w:space="0" w:color="auto"/>
              <w:right w:val="single" w:sz="6" w:space="0" w:color="auto"/>
            </w:tcBorders>
          </w:tcPr>
          <w:p w14:paraId="359A615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Легковые автомашины</w:t>
            </w:r>
          </w:p>
          <w:p w14:paraId="7E9498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94BE98F" w14:textId="77777777">
        <w:trPr>
          <w:gridAfter w:val="2"/>
          <w:wAfter w:w="20" w:type="dxa"/>
          <w:trHeight w:val="576"/>
        </w:trPr>
        <w:tc>
          <w:tcPr>
            <w:tcW w:w="1418" w:type="dxa"/>
            <w:tcBorders>
              <w:top w:val="nil"/>
              <w:left w:val="single" w:sz="6" w:space="0" w:color="auto"/>
              <w:bottom w:val="single" w:sz="6" w:space="0" w:color="auto"/>
              <w:right w:val="single" w:sz="6" w:space="0" w:color="auto"/>
            </w:tcBorders>
          </w:tcPr>
          <w:p w14:paraId="3687AEA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43FE2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8" w:type="dxa"/>
            <w:gridSpan w:val="4"/>
            <w:tcBorders>
              <w:top w:val="single" w:sz="6" w:space="0" w:color="auto"/>
              <w:left w:val="single" w:sz="6" w:space="0" w:color="auto"/>
              <w:bottom w:val="single" w:sz="6" w:space="0" w:color="auto"/>
              <w:right w:val="single" w:sz="6" w:space="0" w:color="auto"/>
            </w:tcBorders>
          </w:tcPr>
          <w:p w14:paraId="617A14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ГАЗ-А</w:t>
            </w:r>
          </w:p>
          <w:p w14:paraId="2381C4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8" w:type="dxa"/>
            <w:gridSpan w:val="6"/>
            <w:tcBorders>
              <w:top w:val="single" w:sz="6" w:space="0" w:color="auto"/>
              <w:left w:val="single" w:sz="6" w:space="0" w:color="auto"/>
              <w:bottom w:val="single" w:sz="6" w:space="0" w:color="auto"/>
              <w:right w:val="single" w:sz="6" w:space="0" w:color="auto"/>
            </w:tcBorders>
          </w:tcPr>
          <w:p w14:paraId="445B6A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М-1</w:t>
            </w:r>
          </w:p>
          <w:p w14:paraId="020791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8" w:type="dxa"/>
            <w:gridSpan w:val="7"/>
            <w:tcBorders>
              <w:top w:val="single" w:sz="6" w:space="0" w:color="auto"/>
              <w:left w:val="single" w:sz="6" w:space="0" w:color="auto"/>
              <w:bottom w:val="single" w:sz="6" w:space="0" w:color="auto"/>
              <w:right w:val="single" w:sz="6" w:space="0" w:color="auto"/>
            </w:tcBorders>
          </w:tcPr>
          <w:p w14:paraId="777552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Пикап (ГАЗ-А и М-1</w:t>
            </w:r>
          </w:p>
          <w:p w14:paraId="6AF4E8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8" w:type="dxa"/>
            <w:gridSpan w:val="5"/>
            <w:tcBorders>
              <w:top w:val="single" w:sz="6" w:space="0" w:color="auto"/>
              <w:left w:val="single" w:sz="6" w:space="0" w:color="auto"/>
              <w:bottom w:val="single" w:sz="6" w:space="0" w:color="auto"/>
              <w:right w:val="single" w:sz="6" w:space="0" w:color="auto"/>
            </w:tcBorders>
          </w:tcPr>
          <w:p w14:paraId="5091B32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ЗИС-101 ЗИС-102</w:t>
            </w:r>
          </w:p>
          <w:p w14:paraId="0092382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8" w:type="dxa"/>
            <w:gridSpan w:val="6"/>
            <w:tcBorders>
              <w:top w:val="single" w:sz="6" w:space="0" w:color="auto"/>
              <w:left w:val="single" w:sz="6" w:space="0" w:color="auto"/>
              <w:bottom w:val="single" w:sz="6" w:space="0" w:color="auto"/>
              <w:right w:val="single" w:sz="6" w:space="0" w:color="auto"/>
            </w:tcBorders>
          </w:tcPr>
          <w:p w14:paraId="048031D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КИМ-10</w:t>
            </w:r>
          </w:p>
          <w:p w14:paraId="4504D58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8" w:type="dxa"/>
            <w:gridSpan w:val="8"/>
            <w:tcBorders>
              <w:top w:val="single" w:sz="6" w:space="0" w:color="auto"/>
              <w:left w:val="single" w:sz="6" w:space="0" w:color="auto"/>
              <w:bottom w:val="single" w:sz="6" w:space="0" w:color="auto"/>
              <w:right w:val="single" w:sz="6" w:space="0" w:color="auto"/>
            </w:tcBorders>
          </w:tcPr>
          <w:p w14:paraId="657F976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Прочие совет</w:t>
            </w:r>
            <w:r w:rsidRPr="00D03F3E">
              <w:rPr>
                <w:rFonts w:ascii="Times New Roman" w:hAnsi="Times New Roman"/>
                <w:color w:val="000000" w:themeColor="text1"/>
                <w:sz w:val="16"/>
                <w:szCs w:val="16"/>
              </w:rPr>
              <w:softHyphen/>
              <w:t>ские марки</w:t>
            </w:r>
          </w:p>
          <w:p w14:paraId="6ADF32D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9" w:type="dxa"/>
            <w:gridSpan w:val="7"/>
            <w:tcBorders>
              <w:top w:val="single" w:sz="6" w:space="0" w:color="auto"/>
              <w:left w:val="single" w:sz="6" w:space="0" w:color="auto"/>
              <w:bottom w:val="single" w:sz="6" w:space="0" w:color="auto"/>
              <w:right w:val="single" w:sz="6" w:space="0" w:color="auto"/>
            </w:tcBorders>
          </w:tcPr>
          <w:p w14:paraId="0FAE2A5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Иностранные марки</w:t>
            </w:r>
          </w:p>
          <w:p w14:paraId="279B02F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4"/>
            <w:tcBorders>
              <w:top w:val="single" w:sz="6" w:space="0" w:color="auto"/>
              <w:left w:val="single" w:sz="6" w:space="0" w:color="auto"/>
              <w:bottom w:val="single" w:sz="6" w:space="0" w:color="auto"/>
              <w:right w:val="single" w:sz="6" w:space="0" w:color="auto"/>
            </w:tcBorders>
          </w:tcPr>
          <w:p w14:paraId="00CE139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 легко</w:t>
            </w:r>
            <w:r w:rsidRPr="00D03F3E">
              <w:rPr>
                <w:rFonts w:ascii="Times New Roman" w:hAnsi="Times New Roman"/>
                <w:color w:val="000000" w:themeColor="text1"/>
                <w:sz w:val="16"/>
                <w:szCs w:val="16"/>
              </w:rPr>
              <w:softHyphen/>
              <w:t>вых</w:t>
            </w:r>
          </w:p>
          <w:p w14:paraId="7CD1D7A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449BF5F" w14:textId="77777777">
        <w:trPr>
          <w:gridAfter w:val="2"/>
          <w:wAfter w:w="20" w:type="dxa"/>
          <w:trHeight w:val="278"/>
        </w:trPr>
        <w:tc>
          <w:tcPr>
            <w:tcW w:w="1418" w:type="dxa"/>
            <w:tcBorders>
              <w:top w:val="single" w:sz="6" w:space="0" w:color="auto"/>
              <w:left w:val="single" w:sz="6" w:space="0" w:color="auto"/>
              <w:bottom w:val="single" w:sz="6" w:space="0" w:color="auto"/>
              <w:right w:val="single" w:sz="6" w:space="0" w:color="auto"/>
            </w:tcBorders>
          </w:tcPr>
          <w:p w14:paraId="104BCC9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 по РСФСР</w:t>
            </w:r>
          </w:p>
          <w:p w14:paraId="46F3CAA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8" w:type="dxa"/>
            <w:gridSpan w:val="4"/>
            <w:tcBorders>
              <w:top w:val="single" w:sz="6" w:space="0" w:color="auto"/>
              <w:left w:val="single" w:sz="6" w:space="0" w:color="auto"/>
              <w:bottom w:val="single" w:sz="6" w:space="0" w:color="auto"/>
              <w:right w:val="single" w:sz="6" w:space="0" w:color="auto"/>
            </w:tcBorders>
          </w:tcPr>
          <w:p w14:paraId="11B2BC7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10314</w:t>
            </w:r>
          </w:p>
          <w:p w14:paraId="10F5F4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8" w:type="dxa"/>
            <w:gridSpan w:val="6"/>
            <w:tcBorders>
              <w:top w:val="single" w:sz="6" w:space="0" w:color="auto"/>
              <w:left w:val="single" w:sz="6" w:space="0" w:color="auto"/>
              <w:bottom w:val="single" w:sz="6" w:space="0" w:color="auto"/>
              <w:right w:val="single" w:sz="6" w:space="0" w:color="auto"/>
            </w:tcBorders>
          </w:tcPr>
          <w:p w14:paraId="46AC24F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12305</w:t>
            </w:r>
          </w:p>
          <w:p w14:paraId="5512223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8" w:type="dxa"/>
            <w:gridSpan w:val="7"/>
            <w:tcBorders>
              <w:top w:val="single" w:sz="6" w:space="0" w:color="auto"/>
              <w:left w:val="single" w:sz="6" w:space="0" w:color="auto"/>
              <w:bottom w:val="single" w:sz="6" w:space="0" w:color="auto"/>
              <w:right w:val="single" w:sz="6" w:space="0" w:color="auto"/>
            </w:tcBorders>
          </w:tcPr>
          <w:p w14:paraId="33B8858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3114</w:t>
            </w:r>
          </w:p>
          <w:p w14:paraId="48E87B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8" w:type="dxa"/>
            <w:gridSpan w:val="5"/>
            <w:tcBorders>
              <w:top w:val="single" w:sz="6" w:space="0" w:color="auto"/>
              <w:left w:val="single" w:sz="6" w:space="0" w:color="auto"/>
              <w:bottom w:val="single" w:sz="6" w:space="0" w:color="auto"/>
              <w:right w:val="single" w:sz="6" w:space="0" w:color="auto"/>
            </w:tcBorders>
          </w:tcPr>
          <w:p w14:paraId="19C522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4528</w:t>
            </w:r>
          </w:p>
          <w:p w14:paraId="3AC56E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8" w:type="dxa"/>
            <w:gridSpan w:val="6"/>
            <w:tcBorders>
              <w:top w:val="single" w:sz="6" w:space="0" w:color="auto"/>
              <w:left w:val="single" w:sz="6" w:space="0" w:color="auto"/>
              <w:bottom w:val="single" w:sz="6" w:space="0" w:color="auto"/>
              <w:right w:val="single" w:sz="6" w:space="0" w:color="auto"/>
            </w:tcBorders>
          </w:tcPr>
          <w:p w14:paraId="433BA7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236</w:t>
            </w:r>
          </w:p>
          <w:p w14:paraId="628454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8" w:type="dxa"/>
            <w:gridSpan w:val="8"/>
            <w:tcBorders>
              <w:top w:val="single" w:sz="6" w:space="0" w:color="auto"/>
              <w:left w:val="single" w:sz="6" w:space="0" w:color="auto"/>
              <w:bottom w:val="single" w:sz="6" w:space="0" w:color="auto"/>
              <w:right w:val="single" w:sz="6" w:space="0" w:color="auto"/>
            </w:tcBorders>
          </w:tcPr>
          <w:p w14:paraId="099BFE2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165</w:t>
            </w:r>
          </w:p>
          <w:p w14:paraId="407216A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9" w:type="dxa"/>
            <w:gridSpan w:val="7"/>
            <w:tcBorders>
              <w:top w:val="single" w:sz="6" w:space="0" w:color="auto"/>
              <w:left w:val="single" w:sz="6" w:space="0" w:color="auto"/>
              <w:bottom w:val="single" w:sz="6" w:space="0" w:color="auto"/>
              <w:right w:val="single" w:sz="6" w:space="0" w:color="auto"/>
            </w:tcBorders>
          </w:tcPr>
          <w:p w14:paraId="73DBE18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2394</w:t>
            </w:r>
          </w:p>
          <w:p w14:paraId="5566EDB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4"/>
            <w:tcBorders>
              <w:top w:val="single" w:sz="6" w:space="0" w:color="auto"/>
              <w:left w:val="single" w:sz="6" w:space="0" w:color="auto"/>
              <w:bottom w:val="single" w:sz="6" w:space="0" w:color="auto"/>
              <w:right w:val="single" w:sz="6" w:space="0" w:color="auto"/>
            </w:tcBorders>
          </w:tcPr>
          <w:p w14:paraId="68BAC6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38056</w:t>
            </w:r>
          </w:p>
          <w:p w14:paraId="60666BF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0FE7D9D" w14:textId="77777777">
        <w:trPr>
          <w:gridAfter w:val="2"/>
          <w:wAfter w:w="20" w:type="dxa"/>
          <w:trHeight w:val="288"/>
        </w:trPr>
        <w:tc>
          <w:tcPr>
            <w:tcW w:w="1418" w:type="dxa"/>
            <w:tcBorders>
              <w:top w:val="single" w:sz="6" w:space="0" w:color="auto"/>
              <w:left w:val="single" w:sz="6" w:space="0" w:color="auto"/>
              <w:bottom w:val="single" w:sz="6" w:space="0" w:color="auto"/>
              <w:right w:val="single" w:sz="6" w:space="0" w:color="auto"/>
            </w:tcBorders>
          </w:tcPr>
          <w:p w14:paraId="2C3F800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по СССР</w:t>
            </w:r>
          </w:p>
          <w:p w14:paraId="1B1F17D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8" w:type="dxa"/>
            <w:gridSpan w:val="4"/>
            <w:tcBorders>
              <w:top w:val="single" w:sz="6" w:space="0" w:color="auto"/>
              <w:left w:val="single" w:sz="6" w:space="0" w:color="auto"/>
              <w:bottom w:val="single" w:sz="6" w:space="0" w:color="auto"/>
              <w:right w:val="single" w:sz="6" w:space="0" w:color="auto"/>
            </w:tcBorders>
          </w:tcPr>
          <w:p w14:paraId="12E316C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14107</w:t>
            </w:r>
          </w:p>
          <w:p w14:paraId="2CEECC6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8" w:type="dxa"/>
            <w:gridSpan w:val="6"/>
            <w:tcBorders>
              <w:top w:val="single" w:sz="6" w:space="0" w:color="auto"/>
              <w:left w:val="single" w:sz="6" w:space="0" w:color="auto"/>
              <w:bottom w:val="single" w:sz="6" w:space="0" w:color="auto"/>
              <w:right w:val="single" w:sz="6" w:space="0" w:color="auto"/>
            </w:tcBorders>
          </w:tcPr>
          <w:p w14:paraId="602477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15868</w:t>
            </w:r>
          </w:p>
          <w:p w14:paraId="71F6A7F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8" w:type="dxa"/>
            <w:gridSpan w:val="7"/>
            <w:tcBorders>
              <w:top w:val="single" w:sz="6" w:space="0" w:color="auto"/>
              <w:left w:val="single" w:sz="6" w:space="0" w:color="auto"/>
              <w:bottom w:val="single" w:sz="6" w:space="0" w:color="auto"/>
              <w:right w:val="single" w:sz="6" w:space="0" w:color="auto"/>
            </w:tcBorders>
          </w:tcPr>
          <w:p w14:paraId="1E97CFC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4184</w:t>
            </w:r>
          </w:p>
          <w:p w14:paraId="410B061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8" w:type="dxa"/>
            <w:gridSpan w:val="5"/>
            <w:tcBorders>
              <w:top w:val="single" w:sz="6" w:space="0" w:color="auto"/>
              <w:left w:val="single" w:sz="6" w:space="0" w:color="auto"/>
              <w:bottom w:val="single" w:sz="6" w:space="0" w:color="auto"/>
              <w:right w:val="single" w:sz="6" w:space="0" w:color="auto"/>
            </w:tcBorders>
          </w:tcPr>
          <w:p w14:paraId="5EF5A9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5267</w:t>
            </w:r>
          </w:p>
          <w:p w14:paraId="117EEF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8" w:type="dxa"/>
            <w:gridSpan w:val="6"/>
            <w:tcBorders>
              <w:top w:val="single" w:sz="6" w:space="0" w:color="auto"/>
              <w:left w:val="single" w:sz="6" w:space="0" w:color="auto"/>
              <w:bottom w:val="single" w:sz="6" w:space="0" w:color="auto"/>
              <w:right w:val="single" w:sz="6" w:space="0" w:color="auto"/>
            </w:tcBorders>
          </w:tcPr>
          <w:p w14:paraId="4DBF10B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w:t>
            </w:r>
          </w:p>
          <w:p w14:paraId="35F09F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8" w:type="dxa"/>
            <w:gridSpan w:val="8"/>
            <w:tcBorders>
              <w:top w:val="single" w:sz="6" w:space="0" w:color="auto"/>
              <w:left w:val="single" w:sz="6" w:space="0" w:color="auto"/>
              <w:bottom w:val="single" w:sz="6" w:space="0" w:color="auto"/>
              <w:right w:val="single" w:sz="6" w:space="0" w:color="auto"/>
            </w:tcBorders>
          </w:tcPr>
          <w:p w14:paraId="6B1D66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w:t>
            </w:r>
          </w:p>
          <w:p w14:paraId="61FEC2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9" w:type="dxa"/>
            <w:gridSpan w:val="7"/>
            <w:tcBorders>
              <w:top w:val="single" w:sz="6" w:space="0" w:color="auto"/>
              <w:left w:val="single" w:sz="6" w:space="0" w:color="auto"/>
              <w:bottom w:val="single" w:sz="6" w:space="0" w:color="auto"/>
              <w:right w:val="single" w:sz="6" w:space="0" w:color="auto"/>
            </w:tcBorders>
          </w:tcPr>
          <w:p w14:paraId="058739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2833</w:t>
            </w:r>
          </w:p>
          <w:p w14:paraId="2FAD6F8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4"/>
            <w:tcBorders>
              <w:top w:val="single" w:sz="6" w:space="0" w:color="auto"/>
              <w:left w:val="single" w:sz="6" w:space="0" w:color="auto"/>
              <w:bottom w:val="single" w:sz="6" w:space="0" w:color="auto"/>
              <w:right w:val="single" w:sz="6" w:space="0" w:color="auto"/>
            </w:tcBorders>
          </w:tcPr>
          <w:p w14:paraId="2B9D396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42680</w:t>
            </w:r>
          </w:p>
          <w:p w14:paraId="49AF312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40815F2" w14:textId="77777777">
        <w:trPr>
          <w:gridAfter w:val="1"/>
          <w:wAfter w:w="9" w:type="dxa"/>
          <w:trHeight w:val="230"/>
        </w:trPr>
        <w:tc>
          <w:tcPr>
            <w:tcW w:w="1418" w:type="dxa"/>
            <w:tcBorders>
              <w:top w:val="single" w:sz="6" w:space="0" w:color="auto"/>
              <w:left w:val="single" w:sz="6" w:space="0" w:color="auto"/>
              <w:bottom w:val="nil"/>
              <w:right w:val="single" w:sz="6" w:space="0" w:color="auto"/>
            </w:tcBorders>
          </w:tcPr>
          <w:p w14:paraId="1E25C9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C147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97" w:type="dxa"/>
            <w:gridSpan w:val="48"/>
            <w:tcBorders>
              <w:top w:val="single" w:sz="6" w:space="0" w:color="auto"/>
              <w:left w:val="single" w:sz="6" w:space="0" w:color="auto"/>
              <w:bottom w:val="single" w:sz="6" w:space="0" w:color="auto"/>
              <w:right w:val="single" w:sz="6" w:space="0" w:color="auto"/>
            </w:tcBorders>
          </w:tcPr>
          <w:p w14:paraId="53F0D7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Специальные автомобили</w:t>
            </w:r>
          </w:p>
          <w:p w14:paraId="598D7D2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B1712CC" w14:textId="77777777">
        <w:trPr>
          <w:gridAfter w:val="1"/>
          <w:wAfter w:w="11" w:type="dxa"/>
          <w:trHeight w:val="192"/>
        </w:trPr>
        <w:tc>
          <w:tcPr>
            <w:tcW w:w="1418" w:type="dxa"/>
            <w:tcBorders>
              <w:top w:val="nil"/>
              <w:left w:val="single" w:sz="6" w:space="0" w:color="auto"/>
              <w:bottom w:val="nil"/>
              <w:right w:val="single" w:sz="6" w:space="0" w:color="auto"/>
            </w:tcBorders>
          </w:tcPr>
          <w:p w14:paraId="653E9C4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FE7F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single" w:sz="6" w:space="0" w:color="auto"/>
              <w:left w:val="single" w:sz="6" w:space="0" w:color="auto"/>
              <w:bottom w:val="nil"/>
              <w:right w:val="single" w:sz="6" w:space="0" w:color="auto"/>
            </w:tcBorders>
          </w:tcPr>
          <w:p w14:paraId="176589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w:t>
            </w:r>
          </w:p>
          <w:p w14:paraId="2D60A0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single" w:sz="6" w:space="0" w:color="auto"/>
              <w:left w:val="single" w:sz="6" w:space="0" w:color="auto"/>
              <w:bottom w:val="nil"/>
              <w:right w:val="single" w:sz="6" w:space="0" w:color="auto"/>
            </w:tcBorders>
          </w:tcPr>
          <w:p w14:paraId="6EEAB38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F610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5"/>
            <w:tcBorders>
              <w:top w:val="single" w:sz="6" w:space="0" w:color="auto"/>
              <w:left w:val="single" w:sz="6" w:space="0" w:color="auto"/>
              <w:bottom w:val="nil"/>
              <w:right w:val="single" w:sz="6" w:space="0" w:color="auto"/>
            </w:tcBorders>
          </w:tcPr>
          <w:p w14:paraId="46EC32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1_</w:t>
            </w:r>
          </w:p>
          <w:p w14:paraId="6E4E69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single" w:sz="6" w:space="0" w:color="auto"/>
              <w:left w:val="single" w:sz="6" w:space="0" w:color="auto"/>
              <w:bottom w:val="nil"/>
              <w:right w:val="single" w:sz="6" w:space="0" w:color="auto"/>
            </w:tcBorders>
          </w:tcPr>
          <w:p w14:paraId="512C7C9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B446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4" w:type="dxa"/>
            <w:gridSpan w:val="3"/>
            <w:tcBorders>
              <w:top w:val="single" w:sz="6" w:space="0" w:color="auto"/>
              <w:left w:val="single" w:sz="6" w:space="0" w:color="auto"/>
              <w:bottom w:val="nil"/>
              <w:right w:val="single" w:sz="6" w:space="0" w:color="auto"/>
            </w:tcBorders>
          </w:tcPr>
          <w:p w14:paraId="49095A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EC7A0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single" w:sz="6" w:space="0" w:color="auto"/>
              <w:left w:val="single" w:sz="6" w:space="0" w:color="auto"/>
              <w:bottom w:val="nil"/>
              <w:right w:val="single" w:sz="6" w:space="0" w:color="auto"/>
            </w:tcBorders>
          </w:tcPr>
          <w:p w14:paraId="39115FE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996EE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6"/>
            <w:tcBorders>
              <w:top w:val="single" w:sz="6" w:space="0" w:color="auto"/>
              <w:left w:val="single" w:sz="6" w:space="0" w:color="auto"/>
              <w:bottom w:val="nil"/>
              <w:right w:val="single" w:sz="6" w:space="0" w:color="auto"/>
            </w:tcBorders>
          </w:tcPr>
          <w:p w14:paraId="1B402DB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25CB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3" w:type="dxa"/>
            <w:gridSpan w:val="4"/>
            <w:tcBorders>
              <w:top w:val="single" w:sz="6" w:space="0" w:color="auto"/>
              <w:left w:val="single" w:sz="6" w:space="0" w:color="auto"/>
              <w:bottom w:val="nil"/>
              <w:right w:val="single" w:sz="6" w:space="0" w:color="auto"/>
            </w:tcBorders>
          </w:tcPr>
          <w:p w14:paraId="2D054B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35130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3"/>
            <w:tcBorders>
              <w:top w:val="single" w:sz="6" w:space="0" w:color="auto"/>
              <w:left w:val="single" w:sz="6" w:space="0" w:color="auto"/>
              <w:bottom w:val="nil"/>
              <w:right w:val="single" w:sz="6" w:space="0" w:color="auto"/>
            </w:tcBorders>
          </w:tcPr>
          <w:p w14:paraId="7227AB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EE949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single" w:sz="6" w:space="0" w:color="auto"/>
              <w:left w:val="single" w:sz="6" w:space="0" w:color="auto"/>
              <w:bottom w:val="nil"/>
              <w:right w:val="single" w:sz="6" w:space="0" w:color="auto"/>
            </w:tcBorders>
          </w:tcPr>
          <w:p w14:paraId="39C79C3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w:t>
            </w:r>
          </w:p>
          <w:p w14:paraId="39C063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2"/>
            <w:tcBorders>
              <w:top w:val="single" w:sz="6" w:space="0" w:color="auto"/>
              <w:left w:val="single" w:sz="6" w:space="0" w:color="auto"/>
              <w:bottom w:val="nil"/>
              <w:right w:val="single" w:sz="6" w:space="0" w:color="auto"/>
            </w:tcBorders>
          </w:tcPr>
          <w:p w14:paraId="24A3480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w:t>
            </w:r>
          </w:p>
          <w:p w14:paraId="270FEC0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5"/>
            <w:tcBorders>
              <w:top w:val="single" w:sz="6" w:space="0" w:color="auto"/>
              <w:left w:val="single" w:sz="6" w:space="0" w:color="auto"/>
              <w:bottom w:val="nil"/>
              <w:right w:val="single" w:sz="6" w:space="0" w:color="auto"/>
            </w:tcBorders>
          </w:tcPr>
          <w:p w14:paraId="28DE58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FEBA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2" w:type="dxa"/>
            <w:gridSpan w:val="3"/>
            <w:tcBorders>
              <w:top w:val="single" w:sz="6" w:space="0" w:color="auto"/>
              <w:left w:val="single" w:sz="6" w:space="0" w:color="auto"/>
              <w:bottom w:val="nil"/>
              <w:right w:val="single" w:sz="6" w:space="0" w:color="auto"/>
            </w:tcBorders>
          </w:tcPr>
          <w:p w14:paraId="6B41CB4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621005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55BD5C6" w14:textId="77777777">
        <w:trPr>
          <w:gridAfter w:val="1"/>
          <w:wAfter w:w="11" w:type="dxa"/>
          <w:trHeight w:val="250"/>
        </w:trPr>
        <w:tc>
          <w:tcPr>
            <w:tcW w:w="1418" w:type="dxa"/>
            <w:tcBorders>
              <w:top w:val="nil"/>
              <w:left w:val="single" w:sz="6" w:space="0" w:color="auto"/>
              <w:bottom w:val="nil"/>
              <w:right w:val="single" w:sz="6" w:space="0" w:color="auto"/>
            </w:tcBorders>
          </w:tcPr>
          <w:p w14:paraId="4F390C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9BB64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nil"/>
              <w:right w:val="single" w:sz="6" w:space="0" w:color="auto"/>
            </w:tcBorders>
          </w:tcPr>
          <w:p w14:paraId="22ACBC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57DA8D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nil"/>
              <w:right w:val="single" w:sz="6" w:space="0" w:color="auto"/>
            </w:tcBorders>
          </w:tcPr>
          <w:p w14:paraId="76856A6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77503FF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О.</w:t>
            </w:r>
          </w:p>
          <w:p w14:paraId="5CB3EB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5"/>
            <w:tcBorders>
              <w:top w:val="nil"/>
              <w:left w:val="single" w:sz="6" w:space="0" w:color="auto"/>
              <w:bottom w:val="nil"/>
              <w:right w:val="single" w:sz="6" w:space="0" w:color="auto"/>
            </w:tcBorders>
          </w:tcPr>
          <w:p w14:paraId="7D542F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21A7299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nil"/>
              <w:left w:val="single" w:sz="6" w:space="0" w:color="auto"/>
              <w:bottom w:val="nil"/>
              <w:right w:val="single" w:sz="6" w:space="0" w:color="auto"/>
            </w:tcBorders>
          </w:tcPr>
          <w:p w14:paraId="24F2409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ё з</w:t>
            </w:r>
          </w:p>
          <w:p w14:paraId="7CA3F0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4" w:type="dxa"/>
            <w:gridSpan w:val="3"/>
            <w:tcBorders>
              <w:top w:val="nil"/>
              <w:left w:val="single" w:sz="6" w:space="0" w:color="auto"/>
              <w:bottom w:val="nil"/>
              <w:right w:val="single" w:sz="6" w:space="0" w:color="auto"/>
            </w:tcBorders>
          </w:tcPr>
          <w:p w14:paraId="385E0C9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0B16A12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nil"/>
              <w:right w:val="single" w:sz="6" w:space="0" w:color="auto"/>
            </w:tcBorders>
          </w:tcPr>
          <w:p w14:paraId="7E311EE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0&gt;</w:t>
            </w:r>
          </w:p>
          <w:p w14:paraId="3D7B2D3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6"/>
            <w:tcBorders>
              <w:top w:val="nil"/>
              <w:left w:val="single" w:sz="6" w:space="0" w:color="auto"/>
              <w:bottom w:val="nil"/>
              <w:right w:val="single" w:sz="6" w:space="0" w:color="auto"/>
            </w:tcBorders>
          </w:tcPr>
          <w:p w14:paraId="3982010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w:t>
            </w:r>
          </w:p>
          <w:p w14:paraId="4B6E3AE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5ED706E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3" w:type="dxa"/>
            <w:gridSpan w:val="4"/>
            <w:tcBorders>
              <w:top w:val="nil"/>
              <w:left w:val="single" w:sz="6" w:space="0" w:color="auto"/>
              <w:bottom w:val="nil"/>
              <w:right w:val="single" w:sz="6" w:space="0" w:color="auto"/>
            </w:tcBorders>
          </w:tcPr>
          <w:p w14:paraId="7A3011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10FB59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3"/>
            <w:tcBorders>
              <w:top w:val="nil"/>
              <w:left w:val="single" w:sz="6" w:space="0" w:color="auto"/>
              <w:bottom w:val="nil"/>
              <w:right w:val="single" w:sz="6" w:space="0" w:color="auto"/>
            </w:tcBorders>
          </w:tcPr>
          <w:p w14:paraId="72B6AF1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w:t>
            </w:r>
          </w:p>
          <w:p w14:paraId="6567A6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nil"/>
              <w:left w:val="single" w:sz="6" w:space="0" w:color="auto"/>
              <w:bottom w:val="nil"/>
              <w:right w:val="single" w:sz="6" w:space="0" w:color="auto"/>
            </w:tcBorders>
          </w:tcPr>
          <w:p w14:paraId="545ED56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X (-</w:t>
            </w:r>
          </w:p>
          <w:p w14:paraId="552DAE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2"/>
            <w:tcBorders>
              <w:top w:val="nil"/>
              <w:left w:val="single" w:sz="6" w:space="0" w:color="auto"/>
              <w:bottom w:val="nil"/>
              <w:right w:val="single" w:sz="6" w:space="0" w:color="auto"/>
            </w:tcBorders>
          </w:tcPr>
          <w:p w14:paraId="547C110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w:t>
            </w:r>
          </w:p>
          <w:p w14:paraId="36A70D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5"/>
            <w:tcBorders>
              <w:top w:val="nil"/>
              <w:left w:val="single" w:sz="6" w:space="0" w:color="auto"/>
              <w:bottom w:val="nil"/>
              <w:right w:val="single" w:sz="6" w:space="0" w:color="auto"/>
            </w:tcBorders>
          </w:tcPr>
          <w:p w14:paraId="41AF19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ГГ</w:t>
            </w:r>
          </w:p>
          <w:p w14:paraId="7567C46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2" w:type="dxa"/>
            <w:gridSpan w:val="3"/>
            <w:tcBorders>
              <w:top w:val="nil"/>
              <w:left w:val="single" w:sz="6" w:space="0" w:color="auto"/>
              <w:bottom w:val="nil"/>
              <w:right w:val="single" w:sz="6" w:space="0" w:color="auto"/>
            </w:tcBorders>
          </w:tcPr>
          <w:p w14:paraId="28E660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со</w:t>
            </w:r>
          </w:p>
          <w:p w14:paraId="290A90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8D6D0CD" w14:textId="77777777">
        <w:trPr>
          <w:gridAfter w:val="1"/>
          <w:wAfter w:w="11" w:type="dxa"/>
          <w:trHeight w:val="192"/>
        </w:trPr>
        <w:tc>
          <w:tcPr>
            <w:tcW w:w="1418" w:type="dxa"/>
            <w:tcBorders>
              <w:top w:val="nil"/>
              <w:left w:val="single" w:sz="6" w:space="0" w:color="auto"/>
              <w:bottom w:val="nil"/>
              <w:right w:val="single" w:sz="6" w:space="0" w:color="auto"/>
            </w:tcBorders>
          </w:tcPr>
          <w:p w14:paraId="7F24B98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w:t>
            </w:r>
          </w:p>
          <w:p w14:paraId="3EEDB3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nil"/>
              <w:right w:val="single" w:sz="6" w:space="0" w:color="auto"/>
            </w:tcBorders>
          </w:tcPr>
          <w:p w14:paraId="400658B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w:t>
            </w:r>
          </w:p>
          <w:p w14:paraId="4E872AB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nil"/>
              <w:right w:val="single" w:sz="6" w:space="0" w:color="auto"/>
            </w:tcBorders>
          </w:tcPr>
          <w:p w14:paraId="327EA97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w:t>
            </w:r>
          </w:p>
          <w:p w14:paraId="40370A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5"/>
            <w:tcBorders>
              <w:top w:val="nil"/>
              <w:left w:val="single" w:sz="6" w:space="0" w:color="auto"/>
              <w:bottom w:val="nil"/>
              <w:right w:val="single" w:sz="6" w:space="0" w:color="auto"/>
            </w:tcBorders>
          </w:tcPr>
          <w:p w14:paraId="1A92F2E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w:t>
            </w:r>
          </w:p>
          <w:p w14:paraId="127E6E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nil"/>
              <w:left w:val="single" w:sz="6" w:space="0" w:color="auto"/>
              <w:bottom w:val="nil"/>
              <w:right w:val="single" w:sz="6" w:space="0" w:color="auto"/>
            </w:tcBorders>
          </w:tcPr>
          <w:p w14:paraId="176E70B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0.</w:t>
            </w:r>
          </w:p>
          <w:p w14:paraId="02E7E59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4" w:type="dxa"/>
            <w:gridSpan w:val="3"/>
            <w:tcBorders>
              <w:top w:val="nil"/>
              <w:left w:val="single" w:sz="6" w:space="0" w:color="auto"/>
              <w:bottom w:val="nil"/>
              <w:right w:val="single" w:sz="6" w:space="0" w:color="auto"/>
            </w:tcBorders>
          </w:tcPr>
          <w:p w14:paraId="155EBC8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6E733A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nil"/>
              <w:right w:val="single" w:sz="6" w:space="0" w:color="auto"/>
            </w:tcBorders>
          </w:tcPr>
          <w:p w14:paraId="558A89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w:t>
            </w:r>
          </w:p>
          <w:p w14:paraId="3ECF17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6"/>
            <w:tcBorders>
              <w:top w:val="nil"/>
              <w:left w:val="single" w:sz="6" w:space="0" w:color="auto"/>
              <w:bottom w:val="nil"/>
              <w:right w:val="single" w:sz="6" w:space="0" w:color="auto"/>
            </w:tcBorders>
          </w:tcPr>
          <w:p w14:paraId="29B7B3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7291B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3" w:type="dxa"/>
            <w:gridSpan w:val="4"/>
            <w:tcBorders>
              <w:top w:val="nil"/>
              <w:left w:val="single" w:sz="6" w:space="0" w:color="auto"/>
              <w:bottom w:val="nil"/>
              <w:right w:val="single" w:sz="6" w:space="0" w:color="auto"/>
            </w:tcBorders>
          </w:tcPr>
          <w:p w14:paraId="514BC5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p w14:paraId="62F34AB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3"/>
            <w:tcBorders>
              <w:top w:val="nil"/>
              <w:left w:val="single" w:sz="6" w:space="0" w:color="auto"/>
              <w:bottom w:val="nil"/>
              <w:right w:val="single" w:sz="6" w:space="0" w:color="auto"/>
            </w:tcBorders>
          </w:tcPr>
          <w:p w14:paraId="2A87141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5,1</w:t>
            </w:r>
          </w:p>
          <w:p w14:paraId="1B1BAC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nil"/>
              <w:left w:val="single" w:sz="6" w:space="0" w:color="auto"/>
              <w:bottom w:val="nil"/>
              <w:right w:val="single" w:sz="6" w:space="0" w:color="auto"/>
            </w:tcBorders>
          </w:tcPr>
          <w:p w14:paraId="0FB4752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X и</w:t>
            </w:r>
          </w:p>
          <w:p w14:paraId="190003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2"/>
            <w:tcBorders>
              <w:top w:val="nil"/>
              <w:left w:val="single" w:sz="6" w:space="0" w:color="auto"/>
              <w:bottom w:val="nil"/>
              <w:right w:val="single" w:sz="6" w:space="0" w:color="auto"/>
            </w:tcBorders>
          </w:tcPr>
          <w:p w14:paraId="308BBDE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w:t>
            </w:r>
          </w:p>
          <w:p w14:paraId="7BFFFB7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5"/>
            <w:tcBorders>
              <w:top w:val="nil"/>
              <w:left w:val="single" w:sz="6" w:space="0" w:color="auto"/>
              <w:bottom w:val="nil"/>
              <w:right w:val="single" w:sz="6" w:space="0" w:color="auto"/>
            </w:tcBorders>
          </w:tcPr>
          <w:p w14:paraId="265FBE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 О ^</w:t>
            </w:r>
          </w:p>
          <w:p w14:paraId="421587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2" w:type="dxa"/>
            <w:gridSpan w:val="3"/>
            <w:tcBorders>
              <w:top w:val="nil"/>
              <w:left w:val="single" w:sz="6" w:space="0" w:color="auto"/>
              <w:bottom w:val="nil"/>
              <w:right w:val="single" w:sz="6" w:space="0" w:color="auto"/>
            </w:tcBorders>
          </w:tcPr>
          <w:p w14:paraId="4EEE35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w:t>
            </w:r>
          </w:p>
          <w:p w14:paraId="239150D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2645B34" w14:textId="77777777">
        <w:trPr>
          <w:gridAfter w:val="1"/>
          <w:wAfter w:w="11" w:type="dxa"/>
          <w:trHeight w:val="346"/>
        </w:trPr>
        <w:tc>
          <w:tcPr>
            <w:tcW w:w="1418" w:type="dxa"/>
            <w:tcBorders>
              <w:top w:val="nil"/>
              <w:left w:val="single" w:sz="6" w:space="0" w:color="auto"/>
              <w:bottom w:val="nil"/>
              <w:right w:val="single" w:sz="6" w:space="0" w:color="auto"/>
            </w:tcBorders>
          </w:tcPr>
          <w:p w14:paraId="0414FEA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79E64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nil"/>
              <w:right w:val="single" w:sz="6" w:space="0" w:color="auto"/>
            </w:tcBorders>
          </w:tcPr>
          <w:p w14:paraId="4384A9B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smallCaps/>
                <w:color w:val="000000" w:themeColor="text1"/>
                <w:sz w:val="16"/>
                <w:szCs w:val="16"/>
              </w:rPr>
              <w:t>б</w:t>
            </w:r>
          </w:p>
          <w:p w14:paraId="537046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nil"/>
              <w:right w:val="single" w:sz="6" w:space="0" w:color="auto"/>
            </w:tcBorders>
          </w:tcPr>
          <w:p w14:paraId="15530E5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E5B119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5"/>
            <w:tcBorders>
              <w:top w:val="nil"/>
              <w:left w:val="single" w:sz="6" w:space="0" w:color="auto"/>
              <w:bottom w:val="nil"/>
              <w:right w:val="single" w:sz="6" w:space="0" w:color="auto"/>
            </w:tcBorders>
          </w:tcPr>
          <w:p w14:paraId="76BF188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C1D269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nil"/>
              <w:left w:val="single" w:sz="6" w:space="0" w:color="auto"/>
              <w:bottom w:val="nil"/>
              <w:right w:val="single" w:sz="6" w:space="0" w:color="auto"/>
            </w:tcBorders>
          </w:tcPr>
          <w:p w14:paraId="255D90F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w:t>
            </w:r>
          </w:p>
          <w:p w14:paraId="118F637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4" w:type="dxa"/>
            <w:gridSpan w:val="3"/>
            <w:tcBorders>
              <w:top w:val="nil"/>
              <w:left w:val="single" w:sz="6" w:space="0" w:color="auto"/>
              <w:bottom w:val="nil"/>
              <w:right w:val="single" w:sz="6" w:space="0" w:color="auto"/>
            </w:tcBorders>
          </w:tcPr>
          <w:p w14:paraId="44E6CEB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I</w:t>
            </w:r>
          </w:p>
          <w:p w14:paraId="659585E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w:t>
            </w:r>
          </w:p>
          <w:p w14:paraId="343E713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nil"/>
              <w:right w:val="single" w:sz="6" w:space="0" w:color="auto"/>
            </w:tcBorders>
          </w:tcPr>
          <w:p w14:paraId="5A8B233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D246E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6"/>
            <w:tcBorders>
              <w:top w:val="nil"/>
              <w:left w:val="single" w:sz="6" w:space="0" w:color="auto"/>
              <w:bottom w:val="nil"/>
              <w:right w:val="single" w:sz="6" w:space="0" w:color="auto"/>
            </w:tcBorders>
          </w:tcPr>
          <w:p w14:paraId="6BF6CA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5C5A4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3" w:type="dxa"/>
            <w:gridSpan w:val="4"/>
            <w:tcBorders>
              <w:top w:val="nil"/>
              <w:left w:val="single" w:sz="6" w:space="0" w:color="auto"/>
              <w:bottom w:val="nil"/>
              <w:right w:val="single" w:sz="6" w:space="0" w:color="auto"/>
            </w:tcBorders>
          </w:tcPr>
          <w:p w14:paraId="3A3505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2 о 3</w:t>
            </w:r>
          </w:p>
          <w:p w14:paraId="1F326EB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3"/>
            <w:tcBorders>
              <w:top w:val="nil"/>
              <w:left w:val="single" w:sz="6" w:space="0" w:color="auto"/>
              <w:bottom w:val="nil"/>
              <w:right w:val="single" w:sz="6" w:space="0" w:color="auto"/>
            </w:tcBorders>
          </w:tcPr>
          <w:p w14:paraId="6CCED6E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 2 о?</w:t>
            </w:r>
          </w:p>
          <w:p w14:paraId="5616FCA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nil"/>
              <w:left w:val="single" w:sz="6" w:space="0" w:color="auto"/>
              <w:bottom w:val="nil"/>
              <w:right w:val="single" w:sz="6" w:space="0" w:color="auto"/>
            </w:tcBorders>
          </w:tcPr>
          <w:p w14:paraId="4AE7C7C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*С</w:t>
            </w:r>
          </w:p>
          <w:p w14:paraId="38E7AB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 Ф</w:t>
            </w:r>
          </w:p>
          <w:p w14:paraId="2AA687C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2"/>
            <w:tcBorders>
              <w:top w:val="nil"/>
              <w:left w:val="single" w:sz="6" w:space="0" w:color="auto"/>
              <w:bottom w:val="nil"/>
              <w:right w:val="single" w:sz="6" w:space="0" w:color="auto"/>
            </w:tcBorders>
          </w:tcPr>
          <w:p w14:paraId="51B3811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 *</w:t>
            </w:r>
          </w:p>
          <w:p w14:paraId="6E6CE24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5"/>
            <w:tcBorders>
              <w:top w:val="nil"/>
              <w:left w:val="single" w:sz="6" w:space="0" w:color="auto"/>
              <w:bottom w:val="nil"/>
              <w:right w:val="single" w:sz="6" w:space="0" w:color="auto"/>
            </w:tcBorders>
          </w:tcPr>
          <w:p w14:paraId="623135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w:t>
            </w:r>
          </w:p>
          <w:p w14:paraId="14DA7D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2" w:type="dxa"/>
            <w:gridSpan w:val="3"/>
            <w:tcBorders>
              <w:top w:val="nil"/>
              <w:left w:val="single" w:sz="6" w:space="0" w:color="auto"/>
              <w:bottom w:val="nil"/>
              <w:right w:val="single" w:sz="6" w:space="0" w:color="auto"/>
            </w:tcBorders>
          </w:tcPr>
          <w:p w14:paraId="1CFCEE6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 е</w:t>
            </w:r>
          </w:p>
          <w:p w14:paraId="2E5307F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54ECA1A" w14:textId="77777777">
        <w:trPr>
          <w:gridAfter w:val="1"/>
          <w:wAfter w:w="11" w:type="dxa"/>
          <w:trHeight w:val="336"/>
        </w:trPr>
        <w:tc>
          <w:tcPr>
            <w:tcW w:w="1418" w:type="dxa"/>
            <w:tcBorders>
              <w:top w:val="nil"/>
              <w:left w:val="single" w:sz="6" w:space="0" w:color="auto"/>
              <w:bottom w:val="single" w:sz="6" w:space="0" w:color="auto"/>
              <w:right w:val="single" w:sz="6" w:space="0" w:color="auto"/>
            </w:tcBorders>
          </w:tcPr>
          <w:p w14:paraId="1F0BAB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C46C9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single" w:sz="6" w:space="0" w:color="auto"/>
              <w:right w:val="single" w:sz="6" w:space="0" w:color="auto"/>
            </w:tcBorders>
          </w:tcPr>
          <w:p w14:paraId="13860D8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w:t>
            </w:r>
          </w:p>
          <w:p w14:paraId="18C1005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single" w:sz="6" w:space="0" w:color="auto"/>
              <w:right w:val="single" w:sz="6" w:space="0" w:color="auto"/>
            </w:tcBorders>
          </w:tcPr>
          <w:p w14:paraId="3F376B8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vertAlign w:val="superscript"/>
              </w:rPr>
              <w:t>&lt;</w:t>
            </w:r>
          </w:p>
          <w:p w14:paraId="4C2473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5"/>
            <w:tcBorders>
              <w:top w:val="nil"/>
              <w:left w:val="single" w:sz="6" w:space="0" w:color="auto"/>
              <w:bottom w:val="single" w:sz="6" w:space="0" w:color="auto"/>
              <w:right w:val="single" w:sz="6" w:space="0" w:color="auto"/>
            </w:tcBorders>
          </w:tcPr>
          <w:p w14:paraId="2D6574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283FAD0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nil"/>
              <w:left w:val="single" w:sz="6" w:space="0" w:color="auto"/>
              <w:bottom w:val="single" w:sz="6" w:space="0" w:color="auto"/>
              <w:right w:val="single" w:sz="6" w:space="0" w:color="auto"/>
            </w:tcBorders>
          </w:tcPr>
          <w:p w14:paraId="2DDEA2D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w:t>
            </w:r>
          </w:p>
          <w:p w14:paraId="511ADB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4" w:type="dxa"/>
            <w:gridSpan w:val="3"/>
            <w:tcBorders>
              <w:top w:val="nil"/>
              <w:left w:val="single" w:sz="6" w:space="0" w:color="auto"/>
              <w:bottom w:val="single" w:sz="6" w:space="0" w:color="auto"/>
              <w:right w:val="single" w:sz="6" w:space="0" w:color="auto"/>
            </w:tcBorders>
          </w:tcPr>
          <w:p w14:paraId="0E68F6E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D3B01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single" w:sz="6" w:space="0" w:color="auto"/>
              <w:right w:val="single" w:sz="6" w:space="0" w:color="auto"/>
            </w:tcBorders>
          </w:tcPr>
          <w:p w14:paraId="33181F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8F92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6"/>
            <w:tcBorders>
              <w:top w:val="nil"/>
              <w:left w:val="single" w:sz="6" w:space="0" w:color="auto"/>
              <w:bottom w:val="single" w:sz="6" w:space="0" w:color="auto"/>
              <w:right w:val="single" w:sz="6" w:space="0" w:color="auto"/>
            </w:tcBorders>
          </w:tcPr>
          <w:p w14:paraId="01FE0D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5D4A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3" w:type="dxa"/>
            <w:gridSpan w:val="4"/>
            <w:tcBorders>
              <w:top w:val="nil"/>
              <w:left w:val="single" w:sz="6" w:space="0" w:color="auto"/>
              <w:bottom w:val="single" w:sz="6" w:space="0" w:color="auto"/>
              <w:right w:val="single" w:sz="6" w:space="0" w:color="auto"/>
            </w:tcBorders>
          </w:tcPr>
          <w:p w14:paraId="380E63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w:t>
            </w:r>
          </w:p>
          <w:p w14:paraId="1B0AD9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3"/>
            <w:tcBorders>
              <w:top w:val="nil"/>
              <w:left w:val="single" w:sz="6" w:space="0" w:color="auto"/>
              <w:bottom w:val="single" w:sz="6" w:space="0" w:color="auto"/>
              <w:right w:val="single" w:sz="6" w:space="0" w:color="auto"/>
            </w:tcBorders>
          </w:tcPr>
          <w:p w14:paraId="0A3CBDD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vertAlign w:val="superscript"/>
              </w:rPr>
              <w:t>&lt;</w:t>
            </w:r>
          </w:p>
          <w:p w14:paraId="574CDD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nil"/>
              <w:left w:val="single" w:sz="6" w:space="0" w:color="auto"/>
              <w:bottom w:val="single" w:sz="6" w:space="0" w:color="auto"/>
              <w:right w:val="single" w:sz="6" w:space="0" w:color="auto"/>
            </w:tcBorders>
          </w:tcPr>
          <w:p w14:paraId="3ACC92B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w:t>
            </w:r>
          </w:p>
          <w:p w14:paraId="5525016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2"/>
            <w:tcBorders>
              <w:top w:val="nil"/>
              <w:left w:val="single" w:sz="6" w:space="0" w:color="auto"/>
              <w:bottom w:val="single" w:sz="6" w:space="0" w:color="auto"/>
              <w:right w:val="single" w:sz="6" w:space="0" w:color="auto"/>
            </w:tcBorders>
          </w:tcPr>
          <w:p w14:paraId="07B453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w:t>
            </w:r>
          </w:p>
          <w:p w14:paraId="2BF998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5"/>
            <w:tcBorders>
              <w:top w:val="nil"/>
              <w:left w:val="single" w:sz="6" w:space="0" w:color="auto"/>
              <w:bottom w:val="single" w:sz="6" w:space="0" w:color="auto"/>
              <w:right w:val="single" w:sz="6" w:space="0" w:color="auto"/>
            </w:tcBorders>
          </w:tcPr>
          <w:p w14:paraId="2157F7B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w:t>
            </w:r>
          </w:p>
          <w:p w14:paraId="46C6001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2" w:type="dxa"/>
            <w:gridSpan w:val="3"/>
            <w:tcBorders>
              <w:top w:val="nil"/>
              <w:left w:val="single" w:sz="6" w:space="0" w:color="auto"/>
              <w:bottom w:val="single" w:sz="6" w:space="0" w:color="auto"/>
              <w:right w:val="single" w:sz="6" w:space="0" w:color="auto"/>
            </w:tcBorders>
          </w:tcPr>
          <w:p w14:paraId="34FE547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BFA1D9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DEF5A6F" w14:textId="77777777">
        <w:trPr>
          <w:gridAfter w:val="1"/>
          <w:wAfter w:w="11" w:type="dxa"/>
          <w:trHeight w:val="230"/>
        </w:trPr>
        <w:tc>
          <w:tcPr>
            <w:tcW w:w="1418" w:type="dxa"/>
            <w:tcBorders>
              <w:top w:val="single" w:sz="6" w:space="0" w:color="auto"/>
              <w:left w:val="single" w:sz="6" w:space="0" w:color="auto"/>
              <w:bottom w:val="single" w:sz="6" w:space="0" w:color="auto"/>
              <w:right w:val="single" w:sz="6" w:space="0" w:color="auto"/>
            </w:tcBorders>
          </w:tcPr>
          <w:p w14:paraId="1AAC3E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 по РСФСР</w:t>
            </w:r>
          </w:p>
          <w:p w14:paraId="5CF52C1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single" w:sz="6" w:space="0" w:color="auto"/>
              <w:left w:val="single" w:sz="6" w:space="0" w:color="auto"/>
              <w:bottom w:val="single" w:sz="6" w:space="0" w:color="auto"/>
              <w:right w:val="single" w:sz="6" w:space="0" w:color="auto"/>
            </w:tcBorders>
          </w:tcPr>
          <w:p w14:paraId="44A9F70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511</w:t>
            </w:r>
          </w:p>
          <w:p w14:paraId="4775AA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single" w:sz="6" w:space="0" w:color="auto"/>
              <w:left w:val="single" w:sz="6" w:space="0" w:color="auto"/>
              <w:bottom w:val="single" w:sz="6" w:space="0" w:color="auto"/>
              <w:right w:val="single" w:sz="6" w:space="0" w:color="auto"/>
            </w:tcBorders>
          </w:tcPr>
          <w:p w14:paraId="080C290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1552</w:t>
            </w:r>
          </w:p>
          <w:p w14:paraId="558F9D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5"/>
            <w:tcBorders>
              <w:top w:val="single" w:sz="6" w:space="0" w:color="auto"/>
              <w:left w:val="single" w:sz="6" w:space="0" w:color="auto"/>
              <w:bottom w:val="single" w:sz="6" w:space="0" w:color="auto"/>
              <w:right w:val="single" w:sz="6" w:space="0" w:color="auto"/>
            </w:tcBorders>
          </w:tcPr>
          <w:p w14:paraId="019F15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168</w:t>
            </w:r>
          </w:p>
          <w:p w14:paraId="4F04400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single" w:sz="6" w:space="0" w:color="auto"/>
              <w:left w:val="single" w:sz="6" w:space="0" w:color="auto"/>
              <w:bottom w:val="single" w:sz="6" w:space="0" w:color="auto"/>
              <w:right w:val="single" w:sz="6" w:space="0" w:color="auto"/>
            </w:tcBorders>
          </w:tcPr>
          <w:p w14:paraId="7118DD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365</w:t>
            </w:r>
          </w:p>
          <w:p w14:paraId="61F5789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4" w:type="dxa"/>
            <w:gridSpan w:val="3"/>
            <w:tcBorders>
              <w:top w:val="single" w:sz="6" w:space="0" w:color="auto"/>
              <w:left w:val="single" w:sz="6" w:space="0" w:color="auto"/>
              <w:bottom w:val="single" w:sz="6" w:space="0" w:color="auto"/>
              <w:right w:val="single" w:sz="6" w:space="0" w:color="auto"/>
            </w:tcBorders>
          </w:tcPr>
          <w:p w14:paraId="211F5E9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2027</w:t>
            </w:r>
          </w:p>
          <w:p w14:paraId="4B7BBF3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single" w:sz="6" w:space="0" w:color="auto"/>
              <w:left w:val="single" w:sz="6" w:space="0" w:color="auto"/>
              <w:bottom w:val="single" w:sz="6" w:space="0" w:color="auto"/>
              <w:right w:val="single" w:sz="6" w:space="0" w:color="auto"/>
            </w:tcBorders>
          </w:tcPr>
          <w:p w14:paraId="656443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5254</w:t>
            </w:r>
          </w:p>
          <w:p w14:paraId="527D81A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6"/>
            <w:tcBorders>
              <w:top w:val="single" w:sz="6" w:space="0" w:color="auto"/>
              <w:left w:val="single" w:sz="6" w:space="0" w:color="auto"/>
              <w:bottom w:val="single" w:sz="6" w:space="0" w:color="auto"/>
              <w:right w:val="single" w:sz="6" w:space="0" w:color="auto"/>
            </w:tcBorders>
          </w:tcPr>
          <w:p w14:paraId="33E2BC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133</w:t>
            </w:r>
          </w:p>
          <w:p w14:paraId="1C77B0B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3" w:type="dxa"/>
            <w:gridSpan w:val="4"/>
            <w:tcBorders>
              <w:top w:val="single" w:sz="6" w:space="0" w:color="auto"/>
              <w:left w:val="single" w:sz="6" w:space="0" w:color="auto"/>
              <w:bottom w:val="single" w:sz="6" w:space="0" w:color="auto"/>
              <w:right w:val="single" w:sz="6" w:space="0" w:color="auto"/>
            </w:tcBorders>
          </w:tcPr>
          <w:p w14:paraId="36C3085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p w14:paraId="7322C8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3"/>
            <w:tcBorders>
              <w:top w:val="single" w:sz="6" w:space="0" w:color="auto"/>
              <w:left w:val="single" w:sz="6" w:space="0" w:color="auto"/>
              <w:bottom w:val="single" w:sz="6" w:space="0" w:color="auto"/>
              <w:right w:val="single" w:sz="6" w:space="0" w:color="auto"/>
            </w:tcBorders>
          </w:tcPr>
          <w:p w14:paraId="1880C46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255</w:t>
            </w:r>
          </w:p>
          <w:p w14:paraId="1EFAFEC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single" w:sz="6" w:space="0" w:color="auto"/>
              <w:left w:val="single" w:sz="6" w:space="0" w:color="auto"/>
              <w:bottom w:val="single" w:sz="6" w:space="0" w:color="auto"/>
              <w:right w:val="single" w:sz="6" w:space="0" w:color="auto"/>
            </w:tcBorders>
          </w:tcPr>
          <w:p w14:paraId="1E0CF8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122</w:t>
            </w:r>
          </w:p>
          <w:p w14:paraId="72B768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2"/>
            <w:tcBorders>
              <w:top w:val="single" w:sz="6" w:space="0" w:color="auto"/>
              <w:left w:val="single" w:sz="6" w:space="0" w:color="auto"/>
              <w:bottom w:val="single" w:sz="6" w:space="0" w:color="auto"/>
              <w:right w:val="single" w:sz="6" w:space="0" w:color="auto"/>
            </w:tcBorders>
          </w:tcPr>
          <w:p w14:paraId="012767A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118</w:t>
            </w:r>
          </w:p>
          <w:p w14:paraId="5FBF08B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5"/>
            <w:tcBorders>
              <w:top w:val="single" w:sz="6" w:space="0" w:color="auto"/>
              <w:left w:val="single" w:sz="6" w:space="0" w:color="auto"/>
              <w:bottom w:val="single" w:sz="6" w:space="0" w:color="auto"/>
              <w:right w:val="single" w:sz="6" w:space="0" w:color="auto"/>
            </w:tcBorders>
          </w:tcPr>
          <w:p w14:paraId="3EBE390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5255</w:t>
            </w:r>
          </w:p>
          <w:p w14:paraId="229EEA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2" w:type="dxa"/>
            <w:gridSpan w:val="3"/>
            <w:tcBorders>
              <w:top w:val="single" w:sz="6" w:space="0" w:color="auto"/>
              <w:left w:val="single" w:sz="6" w:space="0" w:color="auto"/>
              <w:bottom w:val="single" w:sz="6" w:space="0" w:color="auto"/>
              <w:right w:val="single" w:sz="6" w:space="0" w:color="auto"/>
            </w:tcBorders>
          </w:tcPr>
          <w:p w14:paraId="459467D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15810</w:t>
            </w:r>
          </w:p>
          <w:p w14:paraId="6960497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1D51BB1" w14:textId="77777777">
        <w:trPr>
          <w:gridAfter w:val="1"/>
          <w:wAfter w:w="11" w:type="dxa"/>
          <w:trHeight w:val="250"/>
        </w:trPr>
        <w:tc>
          <w:tcPr>
            <w:tcW w:w="1418" w:type="dxa"/>
            <w:tcBorders>
              <w:top w:val="single" w:sz="6" w:space="0" w:color="auto"/>
              <w:left w:val="single" w:sz="6" w:space="0" w:color="auto"/>
              <w:bottom w:val="single" w:sz="6" w:space="0" w:color="auto"/>
              <w:right w:val="single" w:sz="6" w:space="0" w:color="auto"/>
            </w:tcBorders>
          </w:tcPr>
          <w:p w14:paraId="526D25F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по СССР</w:t>
            </w:r>
          </w:p>
          <w:p w14:paraId="4057810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single" w:sz="6" w:space="0" w:color="auto"/>
              <w:left w:val="single" w:sz="6" w:space="0" w:color="auto"/>
              <w:bottom w:val="single" w:sz="6" w:space="0" w:color="auto"/>
              <w:right w:val="single" w:sz="6" w:space="0" w:color="auto"/>
            </w:tcBorders>
          </w:tcPr>
          <w:p w14:paraId="77FDB7C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688</w:t>
            </w:r>
          </w:p>
          <w:p w14:paraId="5B7FCC5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single" w:sz="6" w:space="0" w:color="auto"/>
              <w:left w:val="single" w:sz="6" w:space="0" w:color="auto"/>
              <w:bottom w:val="single" w:sz="6" w:space="0" w:color="auto"/>
              <w:right w:val="single" w:sz="6" w:space="0" w:color="auto"/>
            </w:tcBorders>
          </w:tcPr>
          <w:p w14:paraId="50CE31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1980</w:t>
            </w:r>
          </w:p>
          <w:p w14:paraId="115AEC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5"/>
            <w:tcBorders>
              <w:top w:val="single" w:sz="6" w:space="0" w:color="auto"/>
              <w:left w:val="single" w:sz="6" w:space="0" w:color="auto"/>
              <w:bottom w:val="single" w:sz="6" w:space="0" w:color="auto"/>
              <w:right w:val="single" w:sz="6" w:space="0" w:color="auto"/>
            </w:tcBorders>
          </w:tcPr>
          <w:p w14:paraId="6841436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237</w:t>
            </w:r>
          </w:p>
          <w:p w14:paraId="2AC39C7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single" w:sz="6" w:space="0" w:color="auto"/>
              <w:left w:val="single" w:sz="6" w:space="0" w:color="auto"/>
              <w:bottom w:val="single" w:sz="6" w:space="0" w:color="auto"/>
              <w:right w:val="single" w:sz="6" w:space="0" w:color="auto"/>
            </w:tcBorders>
          </w:tcPr>
          <w:p w14:paraId="2D553C3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426</w:t>
            </w:r>
          </w:p>
          <w:p w14:paraId="39F5024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4" w:type="dxa"/>
            <w:gridSpan w:val="3"/>
            <w:tcBorders>
              <w:top w:val="single" w:sz="6" w:space="0" w:color="auto"/>
              <w:left w:val="single" w:sz="6" w:space="0" w:color="auto"/>
              <w:bottom w:val="single" w:sz="6" w:space="0" w:color="auto"/>
              <w:right w:val="single" w:sz="6" w:space="0" w:color="auto"/>
            </w:tcBorders>
          </w:tcPr>
          <w:p w14:paraId="0764F28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2812</w:t>
            </w:r>
          </w:p>
          <w:p w14:paraId="46B9CA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single" w:sz="6" w:space="0" w:color="auto"/>
              <w:left w:val="single" w:sz="6" w:space="0" w:color="auto"/>
              <w:bottom w:val="single" w:sz="6" w:space="0" w:color="auto"/>
              <w:right w:val="single" w:sz="6" w:space="0" w:color="auto"/>
            </w:tcBorders>
          </w:tcPr>
          <w:p w14:paraId="60A475E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6172</w:t>
            </w:r>
          </w:p>
          <w:p w14:paraId="204B06D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6"/>
            <w:tcBorders>
              <w:top w:val="single" w:sz="6" w:space="0" w:color="auto"/>
              <w:left w:val="single" w:sz="6" w:space="0" w:color="auto"/>
              <w:bottom w:val="single" w:sz="6" w:space="0" w:color="auto"/>
              <w:right w:val="single" w:sz="6" w:space="0" w:color="auto"/>
            </w:tcBorders>
          </w:tcPr>
          <w:p w14:paraId="79513DB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165</w:t>
            </w:r>
          </w:p>
          <w:p w14:paraId="3CBA763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3" w:type="dxa"/>
            <w:gridSpan w:val="4"/>
            <w:tcBorders>
              <w:top w:val="single" w:sz="6" w:space="0" w:color="auto"/>
              <w:left w:val="single" w:sz="6" w:space="0" w:color="auto"/>
              <w:bottom w:val="single" w:sz="6" w:space="0" w:color="auto"/>
              <w:right w:val="single" w:sz="6" w:space="0" w:color="auto"/>
            </w:tcBorders>
          </w:tcPr>
          <w:p w14:paraId="585708A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p w14:paraId="1DF3F09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3"/>
            <w:tcBorders>
              <w:top w:val="single" w:sz="6" w:space="0" w:color="auto"/>
              <w:left w:val="single" w:sz="6" w:space="0" w:color="auto"/>
              <w:bottom w:val="single" w:sz="6" w:space="0" w:color="auto"/>
              <w:right w:val="single" w:sz="6" w:space="0" w:color="auto"/>
            </w:tcBorders>
          </w:tcPr>
          <w:p w14:paraId="3261CFB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432</w:t>
            </w:r>
          </w:p>
          <w:p w14:paraId="6D6A407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single" w:sz="6" w:space="0" w:color="auto"/>
              <w:left w:val="single" w:sz="6" w:space="0" w:color="auto"/>
              <w:bottom w:val="single" w:sz="6" w:space="0" w:color="auto"/>
              <w:right w:val="single" w:sz="6" w:space="0" w:color="auto"/>
            </w:tcBorders>
          </w:tcPr>
          <w:p w14:paraId="203752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257</w:t>
            </w:r>
          </w:p>
          <w:p w14:paraId="0569655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2"/>
            <w:tcBorders>
              <w:top w:val="single" w:sz="6" w:space="0" w:color="auto"/>
              <w:left w:val="single" w:sz="6" w:space="0" w:color="auto"/>
              <w:bottom w:val="single" w:sz="6" w:space="0" w:color="auto"/>
              <w:right w:val="single" w:sz="6" w:space="0" w:color="auto"/>
            </w:tcBorders>
          </w:tcPr>
          <w:p w14:paraId="3760C0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158</w:t>
            </w:r>
          </w:p>
          <w:p w14:paraId="15B939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5"/>
            <w:tcBorders>
              <w:top w:val="single" w:sz="6" w:space="0" w:color="auto"/>
              <w:left w:val="single" w:sz="6" w:space="0" w:color="auto"/>
              <w:bottom w:val="single" w:sz="6" w:space="0" w:color="auto"/>
              <w:right w:val="single" w:sz="6" w:space="0" w:color="auto"/>
            </w:tcBorders>
          </w:tcPr>
          <w:p w14:paraId="7DDE70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6490</w:t>
            </w:r>
          </w:p>
          <w:p w14:paraId="5980A36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2" w:type="dxa"/>
            <w:gridSpan w:val="3"/>
            <w:tcBorders>
              <w:top w:val="single" w:sz="6" w:space="0" w:color="auto"/>
              <w:left w:val="single" w:sz="6" w:space="0" w:color="auto"/>
              <w:bottom w:val="single" w:sz="6" w:space="0" w:color="auto"/>
              <w:right w:val="single" w:sz="6" w:space="0" w:color="auto"/>
            </w:tcBorders>
          </w:tcPr>
          <w:p w14:paraId="3709017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19867</w:t>
            </w:r>
          </w:p>
          <w:p w14:paraId="6F8A907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A54DE2B" w14:textId="77777777">
        <w:trPr>
          <w:gridAfter w:val="2"/>
          <w:wAfter w:w="21" w:type="dxa"/>
          <w:trHeight w:val="221"/>
        </w:trPr>
        <w:tc>
          <w:tcPr>
            <w:tcW w:w="1728" w:type="dxa"/>
            <w:gridSpan w:val="3"/>
            <w:tcBorders>
              <w:top w:val="single" w:sz="6" w:space="0" w:color="auto"/>
              <w:left w:val="single" w:sz="6" w:space="0" w:color="auto"/>
              <w:bottom w:val="nil"/>
              <w:right w:val="single" w:sz="6" w:space="0" w:color="auto"/>
            </w:tcBorders>
          </w:tcPr>
          <w:p w14:paraId="579435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w:t>
            </w:r>
          </w:p>
          <w:p w14:paraId="6BE3FE1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75" w:type="dxa"/>
            <w:gridSpan w:val="45"/>
            <w:tcBorders>
              <w:top w:val="single" w:sz="6" w:space="0" w:color="auto"/>
              <w:left w:val="single" w:sz="6" w:space="0" w:color="auto"/>
              <w:bottom w:val="single" w:sz="6" w:space="0" w:color="auto"/>
              <w:right w:val="single" w:sz="6" w:space="0" w:color="auto"/>
            </w:tcBorders>
          </w:tcPr>
          <w:p w14:paraId="24985E4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Газогенераторные автомобили</w:t>
            </w:r>
          </w:p>
          <w:p w14:paraId="046679A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6936DA4" w14:textId="77777777">
        <w:trPr>
          <w:gridAfter w:val="2"/>
          <w:wAfter w:w="21" w:type="dxa"/>
          <w:trHeight w:val="538"/>
        </w:trPr>
        <w:tc>
          <w:tcPr>
            <w:tcW w:w="1728" w:type="dxa"/>
            <w:gridSpan w:val="3"/>
            <w:tcBorders>
              <w:top w:val="nil"/>
              <w:left w:val="single" w:sz="6" w:space="0" w:color="auto"/>
              <w:bottom w:val="single" w:sz="6" w:space="0" w:color="auto"/>
              <w:right w:val="single" w:sz="6" w:space="0" w:color="auto"/>
            </w:tcBorders>
          </w:tcPr>
          <w:p w14:paraId="54DBF8C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E4C0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08" w:type="dxa"/>
            <w:gridSpan w:val="5"/>
            <w:tcBorders>
              <w:top w:val="single" w:sz="6" w:space="0" w:color="auto"/>
              <w:left w:val="single" w:sz="6" w:space="0" w:color="auto"/>
              <w:bottom w:val="single" w:sz="6" w:space="0" w:color="auto"/>
              <w:right w:val="single" w:sz="6" w:space="0" w:color="auto"/>
            </w:tcBorders>
          </w:tcPr>
          <w:p w14:paraId="03C7C9D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ГАЗ-42 ГАЗ-14</w:t>
            </w:r>
          </w:p>
          <w:p w14:paraId="2295D6C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gridSpan w:val="6"/>
            <w:tcBorders>
              <w:top w:val="single" w:sz="6" w:space="0" w:color="auto"/>
              <w:left w:val="single" w:sz="6" w:space="0" w:color="auto"/>
              <w:bottom w:val="single" w:sz="6" w:space="0" w:color="auto"/>
              <w:right w:val="single" w:sz="6" w:space="0" w:color="auto"/>
            </w:tcBorders>
          </w:tcPr>
          <w:p w14:paraId="695D5C3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ЗИС-21 ЗИС-13</w:t>
            </w:r>
          </w:p>
          <w:p w14:paraId="3DA6C4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10"/>
            <w:tcBorders>
              <w:top w:val="single" w:sz="6" w:space="0" w:color="auto"/>
              <w:left w:val="single" w:sz="6" w:space="0" w:color="auto"/>
              <w:bottom w:val="single" w:sz="6" w:space="0" w:color="auto"/>
              <w:right w:val="single" w:sz="6" w:space="0" w:color="auto"/>
            </w:tcBorders>
          </w:tcPr>
          <w:p w14:paraId="41BD0BE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Прочие газогене</w:t>
            </w:r>
            <w:r w:rsidRPr="00D03F3E">
              <w:rPr>
                <w:rFonts w:ascii="Times New Roman" w:hAnsi="Times New Roman"/>
                <w:color w:val="000000" w:themeColor="text1"/>
                <w:sz w:val="16"/>
                <w:szCs w:val="16"/>
              </w:rPr>
              <w:softHyphen/>
              <w:t>раторные автома</w:t>
            </w:r>
            <w:r w:rsidRPr="00D03F3E">
              <w:rPr>
                <w:rFonts w:ascii="Times New Roman" w:hAnsi="Times New Roman"/>
                <w:color w:val="000000" w:themeColor="text1"/>
                <w:sz w:val="16"/>
                <w:szCs w:val="16"/>
              </w:rPr>
              <w:softHyphen/>
              <w:t>шины</w:t>
            </w:r>
          </w:p>
          <w:p w14:paraId="0C7E98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9"/>
            <w:tcBorders>
              <w:top w:val="single" w:sz="6" w:space="0" w:color="auto"/>
              <w:left w:val="single" w:sz="6" w:space="0" w:color="auto"/>
              <w:bottom w:val="single" w:sz="6" w:space="0" w:color="auto"/>
              <w:right w:val="single" w:sz="6" w:space="0" w:color="auto"/>
            </w:tcBorders>
          </w:tcPr>
          <w:p w14:paraId="6FAF27D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Газобаллонные автомашины</w:t>
            </w:r>
          </w:p>
          <w:p w14:paraId="2D9791E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9"/>
            <w:tcBorders>
              <w:top w:val="single" w:sz="6" w:space="0" w:color="auto"/>
              <w:left w:val="single" w:sz="6" w:space="0" w:color="auto"/>
              <w:bottom w:val="single" w:sz="6" w:space="0" w:color="auto"/>
              <w:right w:val="single" w:sz="6" w:space="0" w:color="auto"/>
            </w:tcBorders>
          </w:tcPr>
          <w:p w14:paraId="2AC468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 газобаллонных и газогенераторных машин</w:t>
            </w:r>
          </w:p>
          <w:p w14:paraId="4BF6BC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gridSpan w:val="6"/>
            <w:tcBorders>
              <w:top w:val="single" w:sz="6" w:space="0" w:color="auto"/>
              <w:left w:val="single" w:sz="6" w:space="0" w:color="auto"/>
              <w:bottom w:val="single" w:sz="6" w:space="0" w:color="auto"/>
              <w:right w:val="single" w:sz="6" w:space="0" w:color="auto"/>
            </w:tcBorders>
          </w:tcPr>
          <w:p w14:paraId="53AA3D6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Автобусы</w:t>
            </w:r>
          </w:p>
          <w:p w14:paraId="4502C6D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E35E386" w14:textId="77777777">
        <w:trPr>
          <w:gridAfter w:val="2"/>
          <w:wAfter w:w="21" w:type="dxa"/>
          <w:trHeight w:val="230"/>
        </w:trPr>
        <w:tc>
          <w:tcPr>
            <w:tcW w:w="1728" w:type="dxa"/>
            <w:gridSpan w:val="3"/>
            <w:tcBorders>
              <w:top w:val="single" w:sz="6" w:space="0" w:color="auto"/>
              <w:left w:val="single" w:sz="6" w:space="0" w:color="auto"/>
              <w:bottom w:val="single" w:sz="6" w:space="0" w:color="auto"/>
              <w:right w:val="single" w:sz="6" w:space="0" w:color="auto"/>
            </w:tcBorders>
          </w:tcPr>
          <w:p w14:paraId="30E1FB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 по РСФСР</w:t>
            </w:r>
          </w:p>
          <w:p w14:paraId="6870BBC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gridSpan w:val="5"/>
            <w:tcBorders>
              <w:top w:val="single" w:sz="6" w:space="0" w:color="auto"/>
              <w:left w:val="single" w:sz="6" w:space="0" w:color="auto"/>
              <w:bottom w:val="single" w:sz="6" w:space="0" w:color="auto"/>
              <w:right w:val="single" w:sz="6" w:space="0" w:color="auto"/>
            </w:tcBorders>
          </w:tcPr>
          <w:p w14:paraId="47E1F42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16582</w:t>
            </w:r>
          </w:p>
          <w:p w14:paraId="4261457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gridSpan w:val="6"/>
            <w:tcBorders>
              <w:top w:val="single" w:sz="6" w:space="0" w:color="auto"/>
              <w:left w:val="single" w:sz="6" w:space="0" w:color="auto"/>
              <w:bottom w:val="single" w:sz="6" w:space="0" w:color="auto"/>
              <w:right w:val="single" w:sz="6" w:space="0" w:color="auto"/>
            </w:tcBorders>
          </w:tcPr>
          <w:p w14:paraId="28B33F1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13316</w:t>
            </w:r>
          </w:p>
          <w:p w14:paraId="7F87890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10"/>
            <w:tcBorders>
              <w:top w:val="single" w:sz="6" w:space="0" w:color="auto"/>
              <w:left w:val="single" w:sz="6" w:space="0" w:color="auto"/>
              <w:bottom w:val="single" w:sz="6" w:space="0" w:color="auto"/>
              <w:right w:val="single" w:sz="6" w:space="0" w:color="auto"/>
            </w:tcBorders>
          </w:tcPr>
          <w:p w14:paraId="0D9FC1A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361</w:t>
            </w:r>
          </w:p>
          <w:p w14:paraId="44D613A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9"/>
            <w:tcBorders>
              <w:top w:val="single" w:sz="6" w:space="0" w:color="auto"/>
              <w:left w:val="single" w:sz="6" w:space="0" w:color="auto"/>
              <w:bottom w:val="single" w:sz="6" w:space="0" w:color="auto"/>
              <w:right w:val="single" w:sz="6" w:space="0" w:color="auto"/>
            </w:tcBorders>
          </w:tcPr>
          <w:p w14:paraId="63BC55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405</w:t>
            </w:r>
          </w:p>
          <w:p w14:paraId="4B35FC1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9"/>
            <w:tcBorders>
              <w:top w:val="single" w:sz="6" w:space="0" w:color="auto"/>
              <w:left w:val="single" w:sz="6" w:space="0" w:color="auto"/>
              <w:bottom w:val="single" w:sz="6" w:space="0" w:color="auto"/>
              <w:right w:val="single" w:sz="6" w:space="0" w:color="auto"/>
            </w:tcBorders>
          </w:tcPr>
          <w:p w14:paraId="7114AFC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30664</w:t>
            </w:r>
          </w:p>
          <w:p w14:paraId="41A96D8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gridSpan w:val="6"/>
            <w:tcBorders>
              <w:top w:val="single" w:sz="6" w:space="0" w:color="auto"/>
              <w:left w:val="single" w:sz="6" w:space="0" w:color="auto"/>
              <w:bottom w:val="single" w:sz="6" w:space="0" w:color="auto"/>
              <w:right w:val="single" w:sz="6" w:space="0" w:color="auto"/>
            </w:tcBorders>
          </w:tcPr>
          <w:p w14:paraId="1BDC432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4820</w:t>
            </w:r>
          </w:p>
          <w:p w14:paraId="6C08872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5D7CCB9" w14:textId="77777777">
        <w:trPr>
          <w:gridAfter w:val="2"/>
          <w:wAfter w:w="21" w:type="dxa"/>
          <w:trHeight w:val="250"/>
        </w:trPr>
        <w:tc>
          <w:tcPr>
            <w:tcW w:w="1728" w:type="dxa"/>
            <w:gridSpan w:val="3"/>
            <w:tcBorders>
              <w:top w:val="single" w:sz="6" w:space="0" w:color="auto"/>
              <w:left w:val="single" w:sz="6" w:space="0" w:color="auto"/>
              <w:bottom w:val="single" w:sz="6" w:space="0" w:color="auto"/>
              <w:right w:val="single" w:sz="6" w:space="0" w:color="auto"/>
            </w:tcBorders>
          </w:tcPr>
          <w:p w14:paraId="1466450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по СССР</w:t>
            </w:r>
          </w:p>
          <w:p w14:paraId="3271E91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gridSpan w:val="5"/>
            <w:tcBorders>
              <w:top w:val="single" w:sz="6" w:space="0" w:color="auto"/>
              <w:left w:val="single" w:sz="6" w:space="0" w:color="auto"/>
              <w:bottom w:val="single" w:sz="6" w:space="0" w:color="auto"/>
              <w:right w:val="single" w:sz="6" w:space="0" w:color="auto"/>
            </w:tcBorders>
          </w:tcPr>
          <w:p w14:paraId="5708EE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17720</w:t>
            </w:r>
          </w:p>
          <w:p w14:paraId="0CBC273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gridSpan w:val="6"/>
            <w:tcBorders>
              <w:top w:val="single" w:sz="6" w:space="0" w:color="auto"/>
              <w:left w:val="single" w:sz="6" w:space="0" w:color="auto"/>
              <w:bottom w:val="single" w:sz="6" w:space="0" w:color="auto"/>
              <w:right w:val="single" w:sz="6" w:space="0" w:color="auto"/>
            </w:tcBorders>
          </w:tcPr>
          <w:p w14:paraId="2938952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14017</w:t>
            </w:r>
          </w:p>
          <w:p w14:paraId="7ABE2FB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10"/>
            <w:tcBorders>
              <w:top w:val="single" w:sz="6" w:space="0" w:color="auto"/>
              <w:left w:val="single" w:sz="6" w:space="0" w:color="auto"/>
              <w:bottom w:val="single" w:sz="6" w:space="0" w:color="auto"/>
              <w:right w:val="single" w:sz="6" w:space="0" w:color="auto"/>
            </w:tcBorders>
          </w:tcPr>
          <w:p w14:paraId="6D3A3F3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379</w:t>
            </w:r>
          </w:p>
          <w:p w14:paraId="6E9763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9"/>
            <w:tcBorders>
              <w:top w:val="single" w:sz="6" w:space="0" w:color="auto"/>
              <w:left w:val="single" w:sz="6" w:space="0" w:color="auto"/>
              <w:bottom w:val="single" w:sz="6" w:space="0" w:color="auto"/>
              <w:right w:val="single" w:sz="6" w:space="0" w:color="auto"/>
            </w:tcBorders>
          </w:tcPr>
          <w:p w14:paraId="40DB20C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405</w:t>
            </w:r>
          </w:p>
          <w:p w14:paraId="3184822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9"/>
            <w:tcBorders>
              <w:top w:val="single" w:sz="6" w:space="0" w:color="auto"/>
              <w:left w:val="single" w:sz="6" w:space="0" w:color="auto"/>
              <w:bottom w:val="single" w:sz="6" w:space="0" w:color="auto"/>
              <w:right w:val="single" w:sz="6" w:space="0" w:color="auto"/>
            </w:tcBorders>
          </w:tcPr>
          <w:p w14:paraId="4380E2B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32521</w:t>
            </w:r>
          </w:p>
          <w:p w14:paraId="4285445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gridSpan w:val="6"/>
            <w:tcBorders>
              <w:top w:val="single" w:sz="6" w:space="0" w:color="auto"/>
              <w:left w:val="single" w:sz="6" w:space="0" w:color="auto"/>
              <w:bottom w:val="single" w:sz="6" w:space="0" w:color="auto"/>
              <w:right w:val="single" w:sz="6" w:space="0" w:color="auto"/>
            </w:tcBorders>
          </w:tcPr>
          <w:p w14:paraId="0D9BA59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6081</w:t>
            </w:r>
          </w:p>
          <w:p w14:paraId="272D09A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3951C34" w14:textId="77777777">
        <w:trPr>
          <w:trHeight w:val="221"/>
        </w:trPr>
        <w:tc>
          <w:tcPr>
            <w:tcW w:w="1536" w:type="dxa"/>
            <w:gridSpan w:val="2"/>
            <w:tcBorders>
              <w:top w:val="single" w:sz="6" w:space="0" w:color="auto"/>
              <w:left w:val="single" w:sz="6" w:space="0" w:color="auto"/>
              <w:bottom w:val="nil"/>
              <w:right w:val="single" w:sz="6" w:space="0" w:color="auto"/>
            </w:tcBorders>
          </w:tcPr>
          <w:p w14:paraId="42D5772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w:t>
            </w:r>
          </w:p>
          <w:p w14:paraId="1248D18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4"/>
            <w:tcBorders>
              <w:top w:val="single" w:sz="6" w:space="0" w:color="auto"/>
              <w:left w:val="single" w:sz="6" w:space="0" w:color="auto"/>
              <w:bottom w:val="nil"/>
              <w:right w:val="single" w:sz="6" w:space="0" w:color="auto"/>
            </w:tcBorders>
          </w:tcPr>
          <w:p w14:paraId="0E9A46D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автомо</w:t>
            </w:r>
            <w:r w:rsidRPr="00D03F3E">
              <w:rPr>
                <w:rFonts w:ascii="Times New Roman" w:hAnsi="Times New Roman"/>
                <w:color w:val="000000" w:themeColor="text1"/>
                <w:sz w:val="16"/>
                <w:szCs w:val="16"/>
              </w:rPr>
              <w:softHyphen/>
              <w:t>билей</w:t>
            </w:r>
          </w:p>
          <w:p w14:paraId="4F9D4F9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3"/>
            <w:tcBorders>
              <w:top w:val="single" w:sz="6" w:space="0" w:color="auto"/>
              <w:left w:val="single" w:sz="6" w:space="0" w:color="auto"/>
              <w:bottom w:val="nil"/>
              <w:right w:val="single" w:sz="6" w:space="0" w:color="auto"/>
            </w:tcBorders>
          </w:tcPr>
          <w:p w14:paraId="6102723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Тягачи и трактора на резиновом ходу</w:t>
            </w:r>
          </w:p>
          <w:p w14:paraId="35E4DA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gridSpan w:val="4"/>
            <w:tcBorders>
              <w:top w:val="single" w:sz="6" w:space="0" w:color="auto"/>
              <w:left w:val="single" w:sz="6" w:space="0" w:color="auto"/>
              <w:bottom w:val="nil"/>
              <w:right w:val="single" w:sz="6" w:space="0" w:color="auto"/>
            </w:tcBorders>
          </w:tcPr>
          <w:p w14:paraId="27AEED3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Прицепы одно</w:t>
            </w:r>
            <w:r w:rsidRPr="00D03F3E">
              <w:rPr>
                <w:rFonts w:ascii="Times New Roman" w:hAnsi="Times New Roman"/>
                <w:color w:val="000000" w:themeColor="text1"/>
                <w:sz w:val="16"/>
                <w:szCs w:val="16"/>
              </w:rPr>
              <w:softHyphen/>
              <w:t>осные</w:t>
            </w:r>
          </w:p>
          <w:p w14:paraId="7CCE54C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gridSpan w:val="4"/>
            <w:tcBorders>
              <w:top w:val="single" w:sz="6" w:space="0" w:color="auto"/>
              <w:left w:val="single" w:sz="6" w:space="0" w:color="auto"/>
              <w:bottom w:val="nil"/>
              <w:right w:val="single" w:sz="6" w:space="0" w:color="auto"/>
            </w:tcBorders>
          </w:tcPr>
          <w:p w14:paraId="129655C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Прицепы двух</w:t>
            </w:r>
            <w:r w:rsidRPr="00D03F3E">
              <w:rPr>
                <w:rFonts w:ascii="Times New Roman" w:hAnsi="Times New Roman"/>
                <w:color w:val="000000" w:themeColor="text1"/>
                <w:sz w:val="16"/>
                <w:szCs w:val="16"/>
              </w:rPr>
              <w:softHyphen/>
              <w:t>осные</w:t>
            </w:r>
          </w:p>
          <w:p w14:paraId="2C6612F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gridSpan w:val="3"/>
            <w:tcBorders>
              <w:top w:val="single" w:sz="6" w:space="0" w:color="auto"/>
              <w:left w:val="single" w:sz="6" w:space="0" w:color="auto"/>
              <w:bottom w:val="nil"/>
              <w:right w:val="single" w:sz="6" w:space="0" w:color="auto"/>
            </w:tcBorders>
          </w:tcPr>
          <w:p w14:paraId="62F1FC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Полуприцепы к тягачам</w:t>
            </w:r>
          </w:p>
          <w:p w14:paraId="785F37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86" w:type="dxa"/>
            <w:gridSpan w:val="30"/>
            <w:tcBorders>
              <w:top w:val="single" w:sz="6" w:space="0" w:color="auto"/>
              <w:left w:val="single" w:sz="6" w:space="0" w:color="auto"/>
              <w:bottom w:val="single" w:sz="6" w:space="0" w:color="auto"/>
              <w:right w:val="single" w:sz="6" w:space="0" w:color="auto"/>
            </w:tcBorders>
          </w:tcPr>
          <w:p w14:paraId="77D9176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Мотоциклы</w:t>
            </w:r>
          </w:p>
          <w:p w14:paraId="5E63BEA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37D9AAF" w14:textId="77777777">
        <w:trPr>
          <w:trHeight w:val="1123"/>
        </w:trPr>
        <w:tc>
          <w:tcPr>
            <w:tcW w:w="1536" w:type="dxa"/>
            <w:gridSpan w:val="2"/>
            <w:tcBorders>
              <w:top w:val="nil"/>
              <w:left w:val="single" w:sz="6" w:space="0" w:color="auto"/>
              <w:bottom w:val="single" w:sz="6" w:space="0" w:color="auto"/>
              <w:right w:val="single" w:sz="6" w:space="0" w:color="auto"/>
            </w:tcBorders>
          </w:tcPr>
          <w:p w14:paraId="7A67B81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0DB22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4"/>
            <w:tcBorders>
              <w:top w:val="nil"/>
              <w:left w:val="single" w:sz="6" w:space="0" w:color="auto"/>
              <w:bottom w:val="single" w:sz="6" w:space="0" w:color="auto"/>
              <w:right w:val="single" w:sz="6" w:space="0" w:color="auto"/>
            </w:tcBorders>
          </w:tcPr>
          <w:p w14:paraId="407868B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57347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3"/>
            <w:tcBorders>
              <w:top w:val="nil"/>
              <w:left w:val="single" w:sz="6" w:space="0" w:color="auto"/>
              <w:bottom w:val="single" w:sz="6" w:space="0" w:color="auto"/>
              <w:right w:val="single" w:sz="6" w:space="0" w:color="auto"/>
            </w:tcBorders>
          </w:tcPr>
          <w:p w14:paraId="3A8575B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02440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4" w:type="dxa"/>
            <w:gridSpan w:val="4"/>
            <w:tcBorders>
              <w:top w:val="nil"/>
              <w:left w:val="single" w:sz="6" w:space="0" w:color="auto"/>
              <w:bottom w:val="single" w:sz="6" w:space="0" w:color="auto"/>
              <w:right w:val="single" w:sz="6" w:space="0" w:color="auto"/>
            </w:tcBorders>
          </w:tcPr>
          <w:p w14:paraId="4AF78F4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3FE05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6" w:type="dxa"/>
            <w:gridSpan w:val="4"/>
            <w:tcBorders>
              <w:top w:val="nil"/>
              <w:left w:val="single" w:sz="6" w:space="0" w:color="auto"/>
              <w:bottom w:val="single" w:sz="6" w:space="0" w:color="auto"/>
              <w:right w:val="single" w:sz="6" w:space="0" w:color="auto"/>
            </w:tcBorders>
          </w:tcPr>
          <w:p w14:paraId="2B8D819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B1ECA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6" w:type="dxa"/>
            <w:gridSpan w:val="3"/>
            <w:tcBorders>
              <w:top w:val="nil"/>
              <w:left w:val="single" w:sz="6" w:space="0" w:color="auto"/>
              <w:bottom w:val="single" w:sz="6" w:space="0" w:color="auto"/>
              <w:right w:val="single" w:sz="6" w:space="0" w:color="auto"/>
            </w:tcBorders>
          </w:tcPr>
          <w:p w14:paraId="3AD0983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6D206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38" w:type="dxa"/>
            <w:gridSpan w:val="5"/>
            <w:tcBorders>
              <w:top w:val="single" w:sz="6" w:space="0" w:color="auto"/>
              <w:left w:val="single" w:sz="6" w:space="0" w:color="auto"/>
              <w:bottom w:val="single" w:sz="6" w:space="0" w:color="auto"/>
              <w:right w:val="single" w:sz="6" w:space="0" w:color="auto"/>
            </w:tcBorders>
          </w:tcPr>
          <w:p w14:paraId="488194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ИЖ-7 и ИЖ-8</w:t>
            </w:r>
          </w:p>
          <w:p w14:paraId="2E3AD28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gridSpan w:val="2"/>
            <w:tcBorders>
              <w:top w:val="single" w:sz="6" w:space="0" w:color="auto"/>
              <w:left w:val="single" w:sz="6" w:space="0" w:color="auto"/>
              <w:bottom w:val="single" w:sz="6" w:space="0" w:color="auto"/>
              <w:right w:val="single" w:sz="6" w:space="0" w:color="auto"/>
            </w:tcBorders>
          </w:tcPr>
          <w:p w14:paraId="21AACEF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ПМЗ и А-750</w:t>
            </w:r>
          </w:p>
          <w:p w14:paraId="30D1EE3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gridSpan w:val="3"/>
            <w:tcBorders>
              <w:top w:val="single" w:sz="6" w:space="0" w:color="auto"/>
              <w:left w:val="single" w:sz="6" w:space="0" w:color="auto"/>
              <w:bottom w:val="single" w:sz="6" w:space="0" w:color="auto"/>
              <w:right w:val="single" w:sz="6" w:space="0" w:color="auto"/>
            </w:tcBorders>
          </w:tcPr>
          <w:p w14:paraId="00AC4E5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w:t>
            </w:r>
          </w:p>
          <w:p w14:paraId="6D46D0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gridSpan w:val="4"/>
            <w:tcBorders>
              <w:top w:val="single" w:sz="6" w:space="0" w:color="auto"/>
              <w:left w:val="single" w:sz="6" w:space="0" w:color="auto"/>
              <w:bottom w:val="single" w:sz="6" w:space="0" w:color="auto"/>
              <w:right w:val="single" w:sz="6" w:space="0" w:color="auto"/>
            </w:tcBorders>
          </w:tcPr>
          <w:p w14:paraId="50B9975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7AF0C07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gridSpan w:val="2"/>
            <w:tcBorders>
              <w:top w:val="single" w:sz="6" w:space="0" w:color="auto"/>
              <w:left w:val="single" w:sz="6" w:space="0" w:color="auto"/>
              <w:bottom w:val="single" w:sz="6" w:space="0" w:color="auto"/>
              <w:right w:val="single" w:sz="6" w:space="0" w:color="auto"/>
            </w:tcBorders>
          </w:tcPr>
          <w:p w14:paraId="0115AFB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ТИЗ и АМО-600</w:t>
            </w:r>
          </w:p>
          <w:p w14:paraId="3801CD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gridSpan w:val="4"/>
            <w:tcBorders>
              <w:top w:val="single" w:sz="6" w:space="0" w:color="auto"/>
              <w:left w:val="single" w:sz="6" w:space="0" w:color="auto"/>
              <w:bottom w:val="single" w:sz="6" w:space="0" w:color="auto"/>
              <w:right w:val="single" w:sz="6" w:space="0" w:color="auto"/>
            </w:tcBorders>
          </w:tcPr>
          <w:p w14:paraId="3847BDE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Прочие совет</w:t>
            </w:r>
            <w:r w:rsidRPr="00D03F3E">
              <w:rPr>
                <w:rFonts w:ascii="Times New Roman" w:hAnsi="Times New Roman"/>
                <w:color w:val="000000" w:themeColor="text1"/>
                <w:sz w:val="16"/>
                <w:szCs w:val="16"/>
              </w:rPr>
              <w:softHyphen/>
              <w:t>ские марки</w:t>
            </w:r>
          </w:p>
          <w:p w14:paraId="334CE9D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gridSpan w:val="3"/>
            <w:tcBorders>
              <w:top w:val="single" w:sz="6" w:space="0" w:color="auto"/>
              <w:left w:val="single" w:sz="6" w:space="0" w:color="auto"/>
              <w:bottom w:val="single" w:sz="6" w:space="0" w:color="auto"/>
              <w:right w:val="single" w:sz="6" w:space="0" w:color="auto"/>
            </w:tcBorders>
          </w:tcPr>
          <w:p w14:paraId="28B382F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Иностранные марки</w:t>
            </w:r>
          </w:p>
          <w:p w14:paraId="09B34D5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gridSpan w:val="4"/>
            <w:tcBorders>
              <w:top w:val="single" w:sz="6" w:space="0" w:color="auto"/>
              <w:left w:val="single" w:sz="6" w:space="0" w:color="auto"/>
              <w:bottom w:val="single" w:sz="6" w:space="0" w:color="auto"/>
              <w:right w:val="single" w:sz="6" w:space="0" w:color="auto"/>
            </w:tcBorders>
          </w:tcPr>
          <w:p w14:paraId="3EAACAC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 мотоци</w:t>
            </w:r>
            <w:r w:rsidRPr="00D03F3E">
              <w:rPr>
                <w:rFonts w:ascii="Times New Roman" w:hAnsi="Times New Roman"/>
                <w:color w:val="000000" w:themeColor="text1"/>
                <w:sz w:val="16"/>
                <w:szCs w:val="16"/>
              </w:rPr>
              <w:softHyphen/>
              <w:t>клов</w:t>
            </w:r>
          </w:p>
          <w:p w14:paraId="3931719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7" w:type="dxa"/>
            <w:gridSpan w:val="3"/>
            <w:tcBorders>
              <w:top w:val="single" w:sz="6" w:space="0" w:color="auto"/>
              <w:left w:val="single" w:sz="6" w:space="0" w:color="auto"/>
              <w:bottom w:val="single" w:sz="6" w:space="0" w:color="auto"/>
              <w:right w:val="single" w:sz="6" w:space="0" w:color="auto"/>
            </w:tcBorders>
          </w:tcPr>
          <w:p w14:paraId="38E02E3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них с коля</w:t>
            </w:r>
            <w:r w:rsidRPr="00D03F3E">
              <w:rPr>
                <w:rFonts w:ascii="Times New Roman" w:hAnsi="Times New Roman"/>
                <w:color w:val="000000" w:themeColor="text1"/>
                <w:sz w:val="16"/>
                <w:szCs w:val="16"/>
              </w:rPr>
              <w:softHyphen/>
              <w:t>ской</w:t>
            </w:r>
          </w:p>
          <w:p w14:paraId="0B58A9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5BCB90F" w14:textId="77777777">
        <w:trPr>
          <w:trHeight w:val="230"/>
        </w:trPr>
        <w:tc>
          <w:tcPr>
            <w:tcW w:w="1536" w:type="dxa"/>
            <w:gridSpan w:val="2"/>
            <w:tcBorders>
              <w:top w:val="single" w:sz="6" w:space="0" w:color="auto"/>
              <w:left w:val="single" w:sz="6" w:space="0" w:color="auto"/>
              <w:bottom w:val="single" w:sz="6" w:space="0" w:color="auto"/>
              <w:right w:val="single" w:sz="6" w:space="0" w:color="auto"/>
            </w:tcBorders>
          </w:tcPr>
          <w:p w14:paraId="64A4149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 по РСФСР</w:t>
            </w:r>
          </w:p>
          <w:p w14:paraId="05B80AE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4"/>
            <w:tcBorders>
              <w:top w:val="single" w:sz="6" w:space="0" w:color="auto"/>
              <w:left w:val="single" w:sz="6" w:space="0" w:color="auto"/>
              <w:bottom w:val="single" w:sz="6" w:space="0" w:color="auto"/>
              <w:right w:val="single" w:sz="6" w:space="0" w:color="auto"/>
            </w:tcBorders>
          </w:tcPr>
          <w:p w14:paraId="008806E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193811</w:t>
            </w:r>
          </w:p>
          <w:p w14:paraId="7D7DBFD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3"/>
            <w:tcBorders>
              <w:top w:val="single" w:sz="6" w:space="0" w:color="auto"/>
              <w:left w:val="single" w:sz="6" w:space="0" w:color="auto"/>
              <w:bottom w:val="single" w:sz="6" w:space="0" w:color="auto"/>
              <w:right w:val="single" w:sz="6" w:space="0" w:color="auto"/>
            </w:tcBorders>
          </w:tcPr>
          <w:p w14:paraId="5C35282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1167</w:t>
            </w:r>
          </w:p>
          <w:p w14:paraId="7E51E9A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gridSpan w:val="4"/>
            <w:tcBorders>
              <w:top w:val="single" w:sz="6" w:space="0" w:color="auto"/>
              <w:left w:val="single" w:sz="6" w:space="0" w:color="auto"/>
              <w:bottom w:val="single" w:sz="6" w:space="0" w:color="auto"/>
              <w:right w:val="single" w:sz="6" w:space="0" w:color="auto"/>
            </w:tcBorders>
          </w:tcPr>
          <w:p w14:paraId="277EBB0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9858</w:t>
            </w:r>
          </w:p>
          <w:p w14:paraId="43DA27C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gridSpan w:val="4"/>
            <w:tcBorders>
              <w:top w:val="single" w:sz="6" w:space="0" w:color="auto"/>
              <w:left w:val="single" w:sz="6" w:space="0" w:color="auto"/>
              <w:bottom w:val="single" w:sz="6" w:space="0" w:color="auto"/>
              <w:right w:val="single" w:sz="6" w:space="0" w:color="auto"/>
            </w:tcBorders>
          </w:tcPr>
          <w:p w14:paraId="2335D40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3657</w:t>
            </w:r>
          </w:p>
          <w:p w14:paraId="6313708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gridSpan w:val="3"/>
            <w:tcBorders>
              <w:top w:val="single" w:sz="6" w:space="0" w:color="auto"/>
              <w:left w:val="single" w:sz="6" w:space="0" w:color="auto"/>
              <w:bottom w:val="single" w:sz="6" w:space="0" w:color="auto"/>
              <w:right w:val="single" w:sz="6" w:space="0" w:color="auto"/>
            </w:tcBorders>
          </w:tcPr>
          <w:p w14:paraId="7BD195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2003</w:t>
            </w:r>
          </w:p>
          <w:p w14:paraId="32635B9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gridSpan w:val="5"/>
            <w:tcBorders>
              <w:top w:val="single" w:sz="6" w:space="0" w:color="auto"/>
              <w:left w:val="single" w:sz="6" w:space="0" w:color="auto"/>
              <w:bottom w:val="single" w:sz="6" w:space="0" w:color="auto"/>
              <w:right w:val="single" w:sz="6" w:space="0" w:color="auto"/>
            </w:tcBorders>
          </w:tcPr>
          <w:p w14:paraId="28BDF5E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2264</w:t>
            </w:r>
          </w:p>
          <w:p w14:paraId="1A8F089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gridSpan w:val="2"/>
            <w:tcBorders>
              <w:top w:val="single" w:sz="6" w:space="0" w:color="auto"/>
              <w:left w:val="single" w:sz="6" w:space="0" w:color="auto"/>
              <w:bottom w:val="single" w:sz="6" w:space="0" w:color="auto"/>
              <w:right w:val="single" w:sz="6" w:space="0" w:color="auto"/>
            </w:tcBorders>
          </w:tcPr>
          <w:p w14:paraId="7C495DB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747</w:t>
            </w:r>
          </w:p>
          <w:p w14:paraId="259E60E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gridSpan w:val="3"/>
            <w:tcBorders>
              <w:top w:val="single" w:sz="6" w:space="0" w:color="auto"/>
              <w:left w:val="single" w:sz="6" w:space="0" w:color="auto"/>
              <w:bottom w:val="single" w:sz="6" w:space="0" w:color="auto"/>
              <w:right w:val="single" w:sz="6" w:space="0" w:color="auto"/>
            </w:tcBorders>
          </w:tcPr>
          <w:p w14:paraId="47F727D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3427</w:t>
            </w:r>
          </w:p>
          <w:p w14:paraId="6FC08BB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gridSpan w:val="4"/>
            <w:tcBorders>
              <w:top w:val="single" w:sz="6" w:space="0" w:color="auto"/>
              <w:left w:val="single" w:sz="6" w:space="0" w:color="auto"/>
              <w:bottom w:val="single" w:sz="6" w:space="0" w:color="auto"/>
              <w:right w:val="single" w:sz="6" w:space="0" w:color="auto"/>
            </w:tcBorders>
          </w:tcPr>
          <w:p w14:paraId="48BBF9A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w:t>
            </w:r>
          </w:p>
          <w:p w14:paraId="6E65CC0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gridSpan w:val="2"/>
            <w:tcBorders>
              <w:top w:val="single" w:sz="6" w:space="0" w:color="auto"/>
              <w:left w:val="single" w:sz="6" w:space="0" w:color="auto"/>
              <w:bottom w:val="single" w:sz="6" w:space="0" w:color="auto"/>
              <w:right w:val="single" w:sz="6" w:space="0" w:color="auto"/>
            </w:tcBorders>
          </w:tcPr>
          <w:p w14:paraId="5251A14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339</w:t>
            </w:r>
          </w:p>
          <w:p w14:paraId="20A608F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gridSpan w:val="4"/>
            <w:tcBorders>
              <w:top w:val="single" w:sz="6" w:space="0" w:color="auto"/>
              <w:left w:val="single" w:sz="6" w:space="0" w:color="auto"/>
              <w:bottom w:val="single" w:sz="6" w:space="0" w:color="auto"/>
              <w:right w:val="single" w:sz="6" w:space="0" w:color="auto"/>
            </w:tcBorders>
          </w:tcPr>
          <w:p w14:paraId="1CB317E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413</w:t>
            </w:r>
          </w:p>
          <w:p w14:paraId="1DA9559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gridSpan w:val="3"/>
            <w:tcBorders>
              <w:top w:val="single" w:sz="6" w:space="0" w:color="auto"/>
              <w:left w:val="single" w:sz="6" w:space="0" w:color="auto"/>
              <w:bottom w:val="single" w:sz="6" w:space="0" w:color="auto"/>
              <w:right w:val="single" w:sz="6" w:space="0" w:color="auto"/>
            </w:tcBorders>
          </w:tcPr>
          <w:p w14:paraId="04450C5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1608</w:t>
            </w:r>
          </w:p>
          <w:p w14:paraId="67F7764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gridSpan w:val="4"/>
            <w:tcBorders>
              <w:top w:val="single" w:sz="6" w:space="0" w:color="auto"/>
              <w:left w:val="single" w:sz="6" w:space="0" w:color="auto"/>
              <w:bottom w:val="single" w:sz="6" w:space="0" w:color="auto"/>
              <w:right w:val="single" w:sz="6" w:space="0" w:color="auto"/>
            </w:tcBorders>
          </w:tcPr>
          <w:p w14:paraId="1B81EB6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8854</w:t>
            </w:r>
          </w:p>
          <w:p w14:paraId="62314F5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7" w:type="dxa"/>
            <w:gridSpan w:val="3"/>
            <w:tcBorders>
              <w:top w:val="single" w:sz="6" w:space="0" w:color="auto"/>
              <w:left w:val="single" w:sz="6" w:space="0" w:color="auto"/>
              <w:bottom w:val="single" w:sz="6" w:space="0" w:color="auto"/>
              <w:right w:val="single" w:sz="6" w:space="0" w:color="auto"/>
            </w:tcBorders>
          </w:tcPr>
          <w:p w14:paraId="18BDDD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1282</w:t>
            </w:r>
          </w:p>
          <w:p w14:paraId="46DDCAD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C198597" w14:textId="77777777">
        <w:trPr>
          <w:trHeight w:val="240"/>
        </w:trPr>
        <w:tc>
          <w:tcPr>
            <w:tcW w:w="1536" w:type="dxa"/>
            <w:gridSpan w:val="2"/>
            <w:tcBorders>
              <w:top w:val="single" w:sz="6" w:space="0" w:color="auto"/>
              <w:left w:val="single" w:sz="6" w:space="0" w:color="auto"/>
              <w:bottom w:val="single" w:sz="6" w:space="0" w:color="auto"/>
              <w:right w:val="single" w:sz="6" w:space="0" w:color="auto"/>
            </w:tcBorders>
          </w:tcPr>
          <w:p w14:paraId="74144B7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по СССР</w:t>
            </w:r>
          </w:p>
          <w:p w14:paraId="499F03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4"/>
            <w:tcBorders>
              <w:top w:val="single" w:sz="6" w:space="0" w:color="auto"/>
              <w:left w:val="single" w:sz="6" w:space="0" w:color="auto"/>
              <w:bottom w:val="single" w:sz="6" w:space="0" w:color="auto"/>
              <w:right w:val="single" w:sz="6" w:space="0" w:color="auto"/>
            </w:tcBorders>
          </w:tcPr>
          <w:p w14:paraId="7454EF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246761</w:t>
            </w:r>
          </w:p>
          <w:p w14:paraId="7966AB5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3"/>
            <w:tcBorders>
              <w:top w:val="single" w:sz="6" w:space="0" w:color="auto"/>
              <w:left w:val="single" w:sz="6" w:space="0" w:color="auto"/>
              <w:bottom w:val="single" w:sz="6" w:space="0" w:color="auto"/>
              <w:right w:val="single" w:sz="6" w:space="0" w:color="auto"/>
            </w:tcBorders>
          </w:tcPr>
          <w:p w14:paraId="72C8073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1522</w:t>
            </w:r>
          </w:p>
          <w:p w14:paraId="7ECA98E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gridSpan w:val="4"/>
            <w:tcBorders>
              <w:top w:val="single" w:sz="6" w:space="0" w:color="auto"/>
              <w:left w:val="single" w:sz="6" w:space="0" w:color="auto"/>
              <w:bottom w:val="single" w:sz="6" w:space="0" w:color="auto"/>
              <w:right w:val="single" w:sz="6" w:space="0" w:color="auto"/>
            </w:tcBorders>
          </w:tcPr>
          <w:p w14:paraId="3D57FB5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10371</w:t>
            </w:r>
          </w:p>
          <w:p w14:paraId="7351AEA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gridSpan w:val="4"/>
            <w:tcBorders>
              <w:top w:val="single" w:sz="6" w:space="0" w:color="auto"/>
              <w:left w:val="single" w:sz="6" w:space="0" w:color="auto"/>
              <w:bottom w:val="single" w:sz="6" w:space="0" w:color="auto"/>
              <w:right w:val="single" w:sz="6" w:space="0" w:color="auto"/>
            </w:tcBorders>
          </w:tcPr>
          <w:p w14:paraId="1FA59D5A"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4914</w:t>
            </w:r>
          </w:p>
          <w:p w14:paraId="2F923C2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gridSpan w:val="3"/>
            <w:tcBorders>
              <w:top w:val="single" w:sz="6" w:space="0" w:color="auto"/>
              <w:left w:val="single" w:sz="6" w:space="0" w:color="auto"/>
              <w:bottom w:val="single" w:sz="6" w:space="0" w:color="auto"/>
              <w:right w:val="single" w:sz="6" w:space="0" w:color="auto"/>
            </w:tcBorders>
          </w:tcPr>
          <w:p w14:paraId="181B197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2051</w:t>
            </w:r>
          </w:p>
          <w:p w14:paraId="62AD780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gridSpan w:val="5"/>
            <w:tcBorders>
              <w:top w:val="single" w:sz="6" w:space="0" w:color="auto"/>
              <w:left w:val="single" w:sz="6" w:space="0" w:color="auto"/>
              <w:bottom w:val="single" w:sz="6" w:space="0" w:color="auto"/>
              <w:right w:val="single" w:sz="6" w:space="0" w:color="auto"/>
            </w:tcBorders>
          </w:tcPr>
          <w:p w14:paraId="33E3419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2986</w:t>
            </w:r>
          </w:p>
          <w:p w14:paraId="3057566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gridSpan w:val="2"/>
            <w:tcBorders>
              <w:top w:val="single" w:sz="6" w:space="0" w:color="auto"/>
              <w:left w:val="single" w:sz="6" w:space="0" w:color="auto"/>
              <w:bottom w:val="single" w:sz="6" w:space="0" w:color="auto"/>
              <w:right w:val="single" w:sz="6" w:space="0" w:color="auto"/>
            </w:tcBorders>
          </w:tcPr>
          <w:p w14:paraId="2199A70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1112</w:t>
            </w:r>
          </w:p>
          <w:p w14:paraId="1EA863B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gridSpan w:val="3"/>
            <w:tcBorders>
              <w:top w:val="single" w:sz="6" w:space="0" w:color="auto"/>
              <w:left w:val="single" w:sz="6" w:space="0" w:color="auto"/>
              <w:bottom w:val="single" w:sz="6" w:space="0" w:color="auto"/>
              <w:right w:val="single" w:sz="6" w:space="0" w:color="auto"/>
            </w:tcBorders>
          </w:tcPr>
          <w:p w14:paraId="3D0676F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5568</w:t>
            </w:r>
          </w:p>
          <w:p w14:paraId="3C0DC103"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gridSpan w:val="4"/>
            <w:tcBorders>
              <w:top w:val="single" w:sz="6" w:space="0" w:color="auto"/>
              <w:left w:val="single" w:sz="6" w:space="0" w:color="auto"/>
              <w:bottom w:val="single" w:sz="6" w:space="0" w:color="auto"/>
              <w:right w:val="single" w:sz="6" w:space="0" w:color="auto"/>
            </w:tcBorders>
          </w:tcPr>
          <w:p w14:paraId="76B2522C"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w:t>
            </w:r>
          </w:p>
          <w:p w14:paraId="32076A2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gridSpan w:val="2"/>
            <w:tcBorders>
              <w:top w:val="single" w:sz="6" w:space="0" w:color="auto"/>
              <w:left w:val="single" w:sz="6" w:space="0" w:color="auto"/>
              <w:bottom w:val="single" w:sz="6" w:space="0" w:color="auto"/>
              <w:right w:val="single" w:sz="6" w:space="0" w:color="auto"/>
            </w:tcBorders>
          </w:tcPr>
          <w:p w14:paraId="617F4F7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376</w:t>
            </w:r>
          </w:p>
          <w:p w14:paraId="6C18CCD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gridSpan w:val="4"/>
            <w:tcBorders>
              <w:top w:val="single" w:sz="6" w:space="0" w:color="auto"/>
              <w:left w:val="single" w:sz="6" w:space="0" w:color="auto"/>
              <w:bottom w:val="single" w:sz="6" w:space="0" w:color="auto"/>
              <w:right w:val="single" w:sz="6" w:space="0" w:color="auto"/>
            </w:tcBorders>
          </w:tcPr>
          <w:p w14:paraId="0E7745E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439</w:t>
            </w:r>
          </w:p>
          <w:p w14:paraId="10C2454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gridSpan w:val="3"/>
            <w:tcBorders>
              <w:top w:val="single" w:sz="6" w:space="0" w:color="auto"/>
              <w:left w:val="single" w:sz="6" w:space="0" w:color="auto"/>
              <w:bottom w:val="single" w:sz="6" w:space="0" w:color="auto"/>
              <w:right w:val="single" w:sz="6" w:space="0" w:color="auto"/>
            </w:tcBorders>
          </w:tcPr>
          <w:p w14:paraId="07E886C5"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1946</w:t>
            </w:r>
          </w:p>
          <w:p w14:paraId="7E86DC1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gridSpan w:val="4"/>
            <w:tcBorders>
              <w:top w:val="single" w:sz="6" w:space="0" w:color="auto"/>
              <w:left w:val="single" w:sz="6" w:space="0" w:color="auto"/>
              <w:bottom w:val="single" w:sz="6" w:space="0" w:color="auto"/>
              <w:right w:val="single" w:sz="6" w:space="0" w:color="auto"/>
            </w:tcBorders>
          </w:tcPr>
          <w:p w14:paraId="16B6B58D"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12484</w:t>
            </w:r>
          </w:p>
          <w:p w14:paraId="7A5FAF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7" w:type="dxa"/>
            <w:gridSpan w:val="3"/>
            <w:tcBorders>
              <w:top w:val="single" w:sz="6" w:space="0" w:color="auto"/>
              <w:left w:val="single" w:sz="6" w:space="0" w:color="auto"/>
              <w:bottom w:val="single" w:sz="6" w:space="0" w:color="auto"/>
              <w:right w:val="single" w:sz="6" w:space="0" w:color="auto"/>
            </w:tcBorders>
          </w:tcPr>
          <w:p w14:paraId="43DB993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1739</w:t>
            </w:r>
          </w:p>
          <w:p w14:paraId="5A9187F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A26C5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 1. В сведения не вошли данные по нижеследующим республикам и краям: Кабардино-Балкарской АССР, Калмыцкой АССР, Краснодарскому краю и Ставропольскому краю.</w:t>
      </w:r>
    </w:p>
    <w:p w14:paraId="5C7587F0"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Наличие автомототранспорта по Бурят-Монгольской АССР, Коми АССР, Грузинской ССР и по управлению строительства Дальнего Севера взято по состоянию на 1 января 1943 г.</w:t>
      </w:r>
    </w:p>
    <w:p w14:paraId="23ECFA9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Госавтоинспекции Главного управления милиции НКВД СССР Соколов</w:t>
      </w:r>
    </w:p>
    <w:p w14:paraId="555695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41. Оп. 11584. Д. 37. Л. 66-81. Подлинник (11403).</w:t>
      </w:r>
    </w:p>
    <w:p w14:paraId="75B03CC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17D278"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7DF1FF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F56D50"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3 мая в 1943 году на прототип «W4046» английского экспериментального самолета </w:t>
      </w:r>
      <w:hyperlink r:id="rId132" w:tgtFrame="_blank" w:history="1">
        <w:r w:rsidRPr="00D03F3E">
          <w:rPr>
            <w:rFonts w:ascii="Times New Roman" w:hAnsi="Times New Roman"/>
            <w:color w:val="000000" w:themeColor="text1"/>
            <w:sz w:val="16"/>
            <w:szCs w:val="16"/>
          </w:rPr>
          <w:t xml:space="preserve">«E.28/39» («G-40») «Pioneer» </w:t>
        </w:r>
      </w:hyperlink>
      <w:r w:rsidRPr="00D03F3E">
        <w:rPr>
          <w:rFonts w:ascii="Times New Roman" w:hAnsi="Times New Roman"/>
          <w:color w:val="000000" w:themeColor="text1"/>
          <w:sz w:val="16"/>
          <w:szCs w:val="16"/>
        </w:rPr>
        <w:t>установили новый экземпляр двигателя «W.2B» с увеличенной до 690 кгс тягой (первый выдавал только 545 кгс). С этим двигателем самолет, как говорится, без сучка и задоринки отлетал 50 часов в течение трех месяцев. В тот период, 24 июня, Грирсон достиг на нем максимальной высоты 12850 м. Причем Джон был облачен в высотный костюм, а перед стартом полчаса дышал чистым кислородом. После полета он, как и другие летавшие на «Пионере» пилоты, отмечал, что с подъемом на высоту эффективность поперечного управления самолетом ухудшается, а само отклонение элеронов затрудняется (14880).</w:t>
      </w:r>
    </w:p>
    <w:p w14:paraId="2D6F7419" w14:textId="77777777" w:rsidR="006C5519" w:rsidRPr="00D03F3E" w:rsidRDefault="006C5519" w:rsidP="00D03F3E">
      <w:pPr>
        <w:spacing w:after="0" w:line="240" w:lineRule="auto"/>
        <w:jc w:val="both"/>
        <w:rPr>
          <w:rFonts w:ascii="Times New Roman" w:hAnsi="Times New Roman"/>
          <w:color w:val="000000" w:themeColor="text1"/>
          <w:sz w:val="16"/>
          <w:szCs w:val="16"/>
        </w:rPr>
      </w:pPr>
    </w:p>
    <w:p w14:paraId="27C5BB5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1943 в Великобритании была введена трудовая повинность для женщин (3907,245).</w:t>
      </w:r>
    </w:p>
    <w:p w14:paraId="67B11E1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DD6E78"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в 1943 году в Великобритании для всех женщин в возрасте от 18 до 45 лет устанавливается трудовая повинность на неполный рабочий день (14880).</w:t>
      </w:r>
    </w:p>
    <w:p w14:paraId="19E3B7F4" w14:textId="77777777" w:rsidR="006C5519" w:rsidRPr="00D03F3E" w:rsidRDefault="006C5519" w:rsidP="00D03F3E">
      <w:pPr>
        <w:spacing w:after="0" w:line="240" w:lineRule="auto"/>
        <w:jc w:val="both"/>
        <w:rPr>
          <w:rFonts w:ascii="Times New Roman" w:hAnsi="Times New Roman"/>
          <w:color w:val="000000" w:themeColor="text1"/>
          <w:sz w:val="16"/>
          <w:szCs w:val="16"/>
        </w:rPr>
      </w:pPr>
    </w:p>
    <w:p w14:paraId="5014D49F"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A2DAE7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8A780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мая 1943 неудовлетворительно закончились гос. испытания самолет ЛаГГ-3 N 6066 производства 31 завода, которые шли с 12 апреля 1943, по причине:</w:t>
      </w:r>
    </w:p>
    <w:p w14:paraId="3C2C516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недобора скоростей на 10-15 км/час</w:t>
      </w:r>
    </w:p>
    <w:p w14:paraId="0B3ADB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выброса масла из суфлера</w:t>
      </w:r>
    </w:p>
    <w:p w14:paraId="6BF3EDE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высоких температурных режимов</w:t>
      </w:r>
    </w:p>
    <w:p w14:paraId="07FB7E8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перетяжеленности на 73 кг</w:t>
      </w:r>
    </w:p>
    <w:p w14:paraId="5630F9C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недостаточной дальности радиосвязи</w:t>
      </w:r>
    </w:p>
    <w:p w14:paraId="2FEBE64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 заниженной дальности по запасу горючего (1778,271).</w:t>
      </w:r>
    </w:p>
    <w:p w14:paraId="07EDB2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EFF0E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мая 1943 при испытании взорвались 4 ФОТАБ-100-60 и взорвали Пе-8 (ТБ-7) N 42078 (1103,223).</w:t>
      </w:r>
    </w:p>
    <w:p w14:paraId="43F9B6B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E4754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4 мая 1942 г. по приказу № 340с завод № 464 реэвакуирован в Тушино на площадку бывшего завода № 445 НКАП для увеличения производства планера А-7. </w:t>
      </w:r>
    </w:p>
    <w:p w14:paraId="2074385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618с от 12.08.1942 г. завод № 464 был определен ведущим по производству А-7 и А-2 и по их модификации. Для этого ОКБ Антонова переведено с завода № 241 в Тушино для продолжения работ по планерам.</w:t>
      </w:r>
    </w:p>
    <w:p w14:paraId="25A1BAF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707с от 16.09.1942 г. в состав завода № 464 влиты заводы № 388 и № 457 НКАП. Профиль завода изменен: вместо А-7 началось производство самолета Як-6.</w:t>
      </w:r>
    </w:p>
    <w:p w14:paraId="488D93E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789с от 19.10.1942 г. при заводе № 464 образована группа ПМ (пластмасс), в ее состав переведен коллектив ОКБ завода № 294 НКАП гл. конструктора Д.А. Михайлова.</w:t>
      </w:r>
    </w:p>
    <w:p w14:paraId="7A6F00E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 приказу № 174с от 27.03.1943 г. заводу № 464 переданы часть личного состава, оборудования и материалы завода № 445 НКАП. </w:t>
      </w:r>
    </w:p>
    <w:p w14:paraId="0F82291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416с от 14.07.1943 г. завод № 464 для улучшения условий для ремонта самолета Ли-2 перебазирован на ст. Долгопрудная Московской обл. на площадку завода № 462 НКАП и объединен с ним под названием Завод № 464 НКАП в системе 11ГУ. Одновременно тем же приказом в Тушино на освободившуюся площадку завода № 464 переведен Завод № 289 НКАП из Молотова и завод № 380 из Калининграда. С 07.1943 г. заводу задан ремонт Як-6.</w:t>
      </w:r>
    </w:p>
    <w:p w14:paraId="0F6EE70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имел два филиала. Московский филиал завода- Красносельская мебельная фабрика Горместпрома. По приказу № 487с от 10.08.1943 г. она передана в качестве филиала № 1 заводу № 381 НКАП. Другой филиал (возможно, это Мебельная фабрика Управления делами СНК СССР) по приказу № 743с от 11.12.1943 г. также передан заводу № 381 НКАП в качестве филиала № 2.</w:t>
      </w:r>
    </w:p>
    <w:p w14:paraId="2CA15C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 приказу № 404с от 20.10.1945г завод с 1.10.1945 г. передан из 11ГУ в 17ГУ для работ по радиоаппаратуре и электротехническим изделиям. Передан из 17ГУ в 11ГУ с 1.01.1946 г. Передан как опытный завод из 11ГУ в 7ГУ с 1.06.1946 г. Передан из 7ГУ в 11ГУ с 1.07.1948 г. как серийный завод. Передан из 11ГУ в 1ГУ с 1.03.1951 г. Передан из 1ГУ в 6ГУ с 1.10.1951 г. С 07.1953 г. переведен в 9ГУ МОП. С 08.1953 г. - в 6ГУ МАП. По приказу № 268с от 19.04.1955 г. передан из 6ГУ МАП в МОП с 1.04.1955 г. </w:t>
      </w:r>
    </w:p>
    <w:p w14:paraId="4574976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419с от 2.07.1946 г. завод определен в качестве производственной базы А.С. Яковлева. Началось освоение производства планера Як-14.</w:t>
      </w:r>
    </w:p>
    <w:p w14:paraId="24E018D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1952-53 г. началось производство ЗУР. Разработана ЗУР 9М317, гл. конструктор- В.П. Эктов.</w:t>
      </w:r>
    </w:p>
    <w:p w14:paraId="4425B73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1953 г. назывался Долгопруденский машиностроительный завод.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г. вошло в перечень стратегических предприятий.</w:t>
      </w:r>
    </w:p>
    <w:p w14:paraId="75F27A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(-02-07.1943 г.-)- П.П. Перовский, (12.1943 г.)- М.И. Шелухин, (-02-11.1944 г.-)- А.В. Агурьев, (-02-05.1945 г.-)- И.М. Шпаков, (-03.1946-49 г.-)- Борисов. Гендиректор (1990-е)- Г.М. Мордвинов, (1999 г.)- В.П. Эктов,58 (2002 г.)- Г.П. Ежов.</w:t>
      </w:r>
    </w:p>
    <w:p w14:paraId="72625D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Гл. конструктор (07.1941 г.-)- О.К. Антонов, (07.1946 г.-)- А.С. Яковлев. Ген. конструктор (-1999-2002 г.-)- В.П. Эктов.69 </w:t>
      </w:r>
    </w:p>
    <w:p w14:paraId="429EEAB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планер А-7 (1941-42); Як-6 (1942-43)- 50, У-2 (1943-45)- 1364, Як-14, Як-10 (1946)- 2, Як-12 (1948-51), Ан-2М (1966-71)- 506.</w:t>
      </w:r>
    </w:p>
    <w:p w14:paraId="659F18F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Заводской №: Ан-2М № 600810: 6- год выпуска, 008- серия, 10- № самолета в серии.</w:t>
      </w:r>
    </w:p>
    <w:p w14:paraId="238D95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ЗУР: В-300 («205», 1952-54), «207А» (1954-57), В-750 (1957-58), В-750В (1959-60), В-755 (1961-), 13Д (1960), 3М9 для ЗРК «Куб» (1964-), 3М9М1 для «Куб-М1» (1972-), 3М9М3 для «Куб-М3» (1975-), 9М38 для ЗРК «Бук» (1977-), 9М38М1 для «Бук-М1» и «Штиль» (1982-), 9М317 для ЗРК «Бук-М1-2» (1994-); УР: Р-33; радиоприемники «Маршалл» (1945-); пороховые двигатели: ПРД-18М, ПРД-290 для В-755, ПРД-45 для В-625.</w:t>
      </w:r>
    </w:p>
    <w:p w14:paraId="09A1745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Ремонт: Як-6 (1943-).</w:t>
      </w:r>
    </w:p>
    <w:p w14:paraId="11F9B50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Завод № 464 НКАП, МОП, МАП, Долгопрудненский машиностроительный завод (ДМЗ), ДМПО, Долгопрудненское научно-производственное предприятие (ДНПП), ОАО «ДНПП» </w:t>
      </w:r>
    </w:p>
    <w:p w14:paraId="33A3A67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 Тушино Московской обл.; г. Тюмень; г. Долгопрудный Московской обл. </w:t>
      </w:r>
    </w:p>
    <w:p w14:paraId="2834F40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141700 г. Долгопрудный Московской обл. пл. Собина, 1 тел. 408-34-22</w:t>
      </w:r>
    </w:p>
    <w:p w14:paraId="128356A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 завода № 464 гл. конструктора О.К. Антонова</w:t>
      </w:r>
    </w:p>
    <w:p w14:paraId="539F82B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А-БП (ВПБ). ОКБ привлекалось к работам по тематике группы Д.А. Михайлова.</w:t>
      </w:r>
    </w:p>
    <w:p w14:paraId="29671FC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09.1942 г. работы по планерам приостановлены. Антонов в 1943-46 г. работал в ОКБ Яковлева.</w:t>
      </w:r>
    </w:p>
    <w:p w14:paraId="743A884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«ПМ» при заводе № 464 НКАП</w:t>
      </w:r>
    </w:p>
    <w:p w14:paraId="048A0E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3F5E7CC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26E530B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ФГУП «Воскресенский государственный казенный агрегатный завод»</w:t>
      </w:r>
    </w:p>
    <w:p w14:paraId="418B8BB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 Фаустово Московской обл. тел. 556-07-47</w:t>
      </w:r>
    </w:p>
    <w:p w14:paraId="217BC92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Входит в ОАО «ДНПП» (2002 г.). По Указу Президента РФ № 1009 от 4.08.2004 г. вошло в перечень стратегических оборонных предприятий.</w:t>
      </w:r>
    </w:p>
    <w:p w14:paraId="24E045D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Кимовский завод металлоизделий</w:t>
      </w:r>
    </w:p>
    <w:p w14:paraId="4AE51CA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Кимовск Тульской обл.</w:t>
      </w:r>
    </w:p>
    <w:p w14:paraId="528A208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Входит в ОАО «ДНПП» (2002 г.) (10776).</w:t>
      </w:r>
    </w:p>
    <w:p w14:paraId="180F4C7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F52E26" w14:textId="77777777" w:rsidR="00DB672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61F8352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1B1E3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мая 1943 была подготовлена Записка Военного совета бронетанковых н механизированных войск Красной Армии о результатах испытаний немецкого танка T-VI</w:t>
      </w:r>
    </w:p>
    <w:p w14:paraId="4D62D4A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Совершенно секретна</w:t>
      </w:r>
    </w:p>
    <w:p w14:paraId="638619F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НАРОДНОМУ КОМИССАРУ ОБОРОНЫ МАРШАЛУ СОВЕТСКОГО СОЮЗА Товарищу Сталину</w:t>
      </w:r>
    </w:p>
    <w:p w14:paraId="2A9ECAC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Докладываю: о результатах испытаний обстрелом немецкого тяжелого танка T-VI.</w:t>
      </w:r>
    </w:p>
    <w:p w14:paraId="28D6416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с 24 по 30 апреля с/г. на научно-испытательном бронетанковом полигоне ГБТУ КА* были проведены испытания обстрелом немецкого танка T-VI из артиллерийских систем, имеющихся на вооружении Красной Армии, а также была проведена стрельба из 88 мм пушки танка T-VI по броневым корпусам танков Т-34 и КВ-1.</w:t>
      </w:r>
    </w:p>
    <w:p w14:paraId="3E9727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Результаты обстрела танка T-VI</w:t>
      </w:r>
    </w:p>
    <w:p w14:paraId="47D5ACC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Бортовая, кормовая и башенная броня танка толщиной 82 мм пробивается (при встрече снаряда с броней под прямым углом):</w:t>
      </w:r>
    </w:p>
    <w:p w14:paraId="6B525CF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Подкалиберными снарядами 45 мм противотанковой пушки образца 1942 г. с дистанции 350 метров.</w:t>
      </w:r>
    </w:p>
    <w:p w14:paraId="51C4F6D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Подкалиберными снарядами 45 мм танковой пушки образца 1937 г. с дистанции 200 метров.</w:t>
      </w:r>
    </w:p>
    <w:p w14:paraId="0C3EC691"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Бронебойным сплошным снарядом 57 мм противотанковой пушки ЗИС-2 с дистанции 1000 метров.</w:t>
      </w:r>
    </w:p>
    <w:p w14:paraId="5F54531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Бронебойным снарядом 85 мм зенитной пушки с дистанции 1500 метров.</w:t>
      </w:r>
    </w:p>
    <w:p w14:paraId="4104457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Бронебойным (сплошным) снарядом английской 57 мм танковой пушки с дистанции 600 метров.</w:t>
      </w:r>
    </w:p>
    <w:p w14:paraId="5BEAA5B9"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Бронебойным (сплошным) снарядом противотанковой английской 57 мм пушки с дистанции 1000 метров.</w:t>
      </w:r>
    </w:p>
    <w:p w14:paraId="53E497D4"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Бронебойным (сплошным) снарядом 75 мм американской танковой пушки с дистанции 600 метров.</w:t>
      </w:r>
    </w:p>
    <w:p w14:paraId="03A16FE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Лобовая броня танка T-VI толщиною 100 мм пробивается бронебойным снарядом 85 мм зенитной пушки с дистанции 1000 метров.</w:t>
      </w:r>
    </w:p>
    <w:p w14:paraId="634E496E"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Обстрел 82 мм бортовой брони танка T-VI из 76 мм танковой пушки Ф-34 с дистанции 200 метров показал, что бронебойные снаряды этой пушки являются слабыми и при встрече с броней танка разрушаются, не пробивая брони.</w:t>
      </w:r>
    </w:p>
    <w:p w14:paraId="4D63E55D"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Подкалиберные 76 мм снаряды также не пробивают 100 мм лобовой брони танка T-VI с дистанции 500 м.</w:t>
      </w:r>
    </w:p>
    <w:p w14:paraId="0C6309E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Находящиеся на вооружении Красной Армии противотанковые ружья не пробивают брони танка T-VI.</w:t>
      </w:r>
    </w:p>
    <w:p w14:paraId="4E80036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Опытное противотанковое ружье системы Блюма пробивает 62 мм* броню танка T-VI с дистанции 100 м при начальной скорости пули 1500 м/ск.</w:t>
      </w:r>
    </w:p>
    <w:p w14:paraId="200FD632"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Установленная на танке T-VI 88 мм танковая пушка пробивает бронебойным снарядом броню наших танков с дистанции:</w:t>
      </w:r>
    </w:p>
    <w:p w14:paraId="1A990A1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Наиболее прочную часть корпуса танка Т-34—носовую балку (литая, толщина 140 мм), а также лобовую и башенную броню с 1500 метров.</w:t>
      </w:r>
    </w:p>
    <w:p w14:paraId="7C24EA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Наиболее прочную лобовую часть корпуса танка КВ-1 толщиной 105 мм (75 мм основная броня+30 мм экран) с 1500 метров.</w:t>
      </w:r>
    </w:p>
    <w:p w14:paraId="2F48CC0B"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обеспечения танковых и механизированных соединений средствами борьбы с танками T-VI прошу Вас:</w:t>
      </w:r>
    </w:p>
    <w:p w14:paraId="16C8A18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Наркомтанкопром (т. Зальцмана2) устанавливать на танках Т-34 пушки 57 мм калибра (ЗИС-4) из расчета 2—3 танка с пушкой 57 мм на каждые десять танков. Одновременно обязать Наркомат боеприпасов и ГАУ КА в кратчайший срок наладить производство 57 мм снарядов осколочно-фугасного действия.</w:t>
      </w:r>
    </w:p>
    <w:p w14:paraId="29E9A89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Дать указание Наркомату боеприпасов и ГАУ КА срочно отработать:</w:t>
      </w:r>
    </w:p>
    <w:p w14:paraId="03F555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бронебойный (сплошной) снаряд для танковой 76 мм пушки Ф-34, способный пробивать бортовую 82 мм броню танка T-VI с дистанции не менее 600 метров;</w:t>
      </w:r>
    </w:p>
    <w:p w14:paraId="75E1463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подкалиберный снаряд для танковой 76 мм пушки Ф-34, способный пробивать лобовую 100 мм броню танка T-VI с дистанции 500 метров.</w:t>
      </w:r>
    </w:p>
    <w:p w14:paraId="5E4E927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Обязать Наркомтанкопром (т. Зальцмана) изготовить до 1-го июня 1943 г. на базе ходовой части танка Т-70 три образца самоходных установок СУ-57, вооруженных 57 мм пушкой.</w:t>
      </w:r>
    </w:p>
    <w:p w14:paraId="07553F1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Указанные образцы ГБТУ КА испытать в десятидневный срок и результаты доложить ГОКО не позднее 10 июня 1943 года.</w:t>
      </w:r>
    </w:p>
    <w:p w14:paraId="6C620B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Изготовить до 1-го июня с/г. на основе СУ-152 образец самоходной установки, вооруженной 122 мм пушкой образца 1931 г., и в дальнейшем выпускать такие самоходные установки наравне с СУ-152.</w:t>
      </w:r>
    </w:p>
    <w:p w14:paraId="0869C003"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Дать задание тов. Грабину3 срочно изготовить для танка «ИС» образец мощной танковой пушки калибра 100 мм, способной пробивать броню 120—130 мм с дистанции 2000 метров.</w:t>
      </w:r>
    </w:p>
    <w:p w14:paraId="5BF7DEE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Обязать Наркомат вооружения совместно с ГАУ КА в кратчайший срок закончить испытания опытного образца противотанкового ружья Блюма с целью принятия решения о введении ружья Блюма на вооружение Красной Армии.</w:t>
      </w:r>
    </w:p>
    <w:p w14:paraId="4F2FE78A"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Обязать Наркомтанкопром (т. Зальцмана) установить 85 мм пушку на танке «ИС» с тактико-техническими данными, изложенными в приложении.</w:t>
      </w:r>
    </w:p>
    <w:p w14:paraId="7BD270DF"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Ваших решений.</w:t>
      </w:r>
    </w:p>
    <w:p w14:paraId="53410FC0"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Проект тактико-технической характеристики танка «ИС» на 2 листах.</w:t>
      </w:r>
    </w:p>
    <w:p w14:paraId="02061298"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командующего Член Военного совета бронетанковыми генерал-лейтенант и механизированными войсками танковых войск Красной Армии Бирюков</w:t>
      </w:r>
    </w:p>
    <w:p w14:paraId="3E03FC8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генерал-лейтенант танковых войск Коробков (АПРФ. Ф. 3. On. 46. Д. 383. Л. 110—112).</w:t>
      </w:r>
    </w:p>
    <w:p w14:paraId="39FBA06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46A78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мая 1943 г. в письме о результатах обстрела танка «тигр» от говорилось: «Для обеспечения танковых и механизиро</w:t>
      </w:r>
      <w:r w:rsidRPr="00D03F3E">
        <w:rPr>
          <w:rFonts w:ascii="Times New Roman" w:hAnsi="Times New Roman"/>
          <w:color w:val="000000" w:themeColor="text1"/>
          <w:sz w:val="16"/>
          <w:szCs w:val="16"/>
        </w:rPr>
        <w:softHyphen/>
        <w:t xml:space="preserve">ванных частей и соединений средствами борьбы с тяжелыми танками Т- </w:t>
      </w:r>
      <w:r w:rsidRPr="00D03F3E">
        <w:rPr>
          <w:rFonts w:ascii="Times New Roman" w:hAnsi="Times New Roman"/>
          <w:color w:val="000000" w:themeColor="text1"/>
          <w:sz w:val="16"/>
          <w:szCs w:val="16"/>
          <w:lang w:val="en-US"/>
        </w:rPr>
        <w:t>VI</w:t>
      </w:r>
      <w:r w:rsidRPr="00D03F3E">
        <w:rPr>
          <w:rFonts w:ascii="Times New Roman" w:hAnsi="Times New Roman"/>
          <w:color w:val="000000" w:themeColor="text1"/>
          <w:sz w:val="16"/>
          <w:szCs w:val="16"/>
        </w:rPr>
        <w:t xml:space="preserve"> прошу Вас:</w:t>
      </w:r>
    </w:p>
    <w:p w14:paraId="0296B547"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Наркомтанкопром (т. Зальцмана) устанавли</w:t>
      </w:r>
      <w:r w:rsidRPr="00D03F3E">
        <w:rPr>
          <w:rFonts w:ascii="Times New Roman" w:hAnsi="Times New Roman"/>
          <w:color w:val="000000" w:themeColor="text1"/>
          <w:sz w:val="16"/>
          <w:szCs w:val="16"/>
        </w:rPr>
        <w:softHyphen/>
        <w:t>вать на танках Т-34 пушки 57мм калибра (ЗИС-4) из расче</w:t>
      </w:r>
      <w:r w:rsidRPr="00D03F3E">
        <w:rPr>
          <w:rFonts w:ascii="Times New Roman" w:hAnsi="Times New Roman"/>
          <w:color w:val="000000" w:themeColor="text1"/>
          <w:sz w:val="16"/>
          <w:szCs w:val="16"/>
        </w:rPr>
        <w:softHyphen/>
        <w:t>та 2—3 танка с пушкой 57мм на каждые десять танков. Од</w:t>
      </w:r>
      <w:r w:rsidRPr="00D03F3E">
        <w:rPr>
          <w:rFonts w:ascii="Times New Roman" w:hAnsi="Times New Roman"/>
          <w:color w:val="000000" w:themeColor="text1"/>
          <w:sz w:val="16"/>
          <w:szCs w:val="16"/>
        </w:rPr>
        <w:softHyphen/>
        <w:t>новременно обязать Наркомат боеприпасов и ГАУКА в крат</w:t>
      </w:r>
      <w:r w:rsidRPr="00D03F3E">
        <w:rPr>
          <w:rFonts w:ascii="Times New Roman" w:hAnsi="Times New Roman"/>
          <w:color w:val="000000" w:themeColor="text1"/>
          <w:sz w:val="16"/>
          <w:szCs w:val="16"/>
        </w:rPr>
        <w:softHyphen/>
        <w:t>чайший срок наладить производство 57мм снарядов осколоч</w:t>
      </w:r>
      <w:r w:rsidRPr="00D03F3E">
        <w:rPr>
          <w:rFonts w:ascii="Times New Roman" w:hAnsi="Times New Roman"/>
          <w:color w:val="000000" w:themeColor="text1"/>
          <w:sz w:val="16"/>
          <w:szCs w:val="16"/>
        </w:rPr>
        <w:softHyphen/>
        <w:t>но-фугасного действия.</w:t>
      </w:r>
    </w:p>
    <w:p w14:paraId="6AB50B3B"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Дать указание Наркомату боеприпасов и ГАУКА срочно отработать:</w:t>
      </w:r>
    </w:p>
    <w:p w14:paraId="3E7CB73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бронебойный (сплошной) снаряд для танковой 76 мм пушки Ф-34, способный пробивать бортовую 82 мм броню танка Т-У1с дистанции не менее 600метров;</w:t>
      </w:r>
    </w:p>
    <w:p w14:paraId="518EAA14"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подкалиберный снаряд для танковой 76мм пушки Ф-34, способный пробивать лобовую 100 мм броню танка Т-У1 с дистанции 500 метров.</w:t>
      </w:r>
    </w:p>
    <w:p w14:paraId="691F91F6"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Наркомтанкопром (т. Зальцмана) изготовить до 1-го июня 1943г. на базе ходовой части танка Т-70три образ</w:t>
      </w:r>
      <w:r w:rsidRPr="00D03F3E">
        <w:rPr>
          <w:rFonts w:ascii="Times New Roman" w:hAnsi="Times New Roman"/>
          <w:color w:val="000000" w:themeColor="text1"/>
          <w:sz w:val="16"/>
          <w:szCs w:val="16"/>
        </w:rPr>
        <w:softHyphen/>
        <w:t>ца самоходных установок СУ-57, вооруженных 57мм пушкой.</w:t>
      </w:r>
    </w:p>
    <w:p w14:paraId="7B2F7C41"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Указанные образцы ГБТУ КА испытать в десятиднев</w:t>
      </w:r>
      <w:r w:rsidRPr="00D03F3E">
        <w:rPr>
          <w:rFonts w:ascii="Times New Roman" w:hAnsi="Times New Roman"/>
          <w:color w:val="000000" w:themeColor="text1"/>
          <w:sz w:val="16"/>
          <w:szCs w:val="16"/>
        </w:rPr>
        <w:softHyphen/>
        <w:t>ный срок и результаты доложить ГОКО не позднее 10 июня 1943 года...</w:t>
      </w:r>
    </w:p>
    <w:p w14:paraId="67BECD69"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Изготовить до 1-го июня с/г. на основе СУ-152 образец самоходной установки, вооруженной 122мм пушкой образца 1931 г., и в дальнейшем выпускать такие самоходные уста</w:t>
      </w:r>
      <w:r w:rsidRPr="00D03F3E">
        <w:rPr>
          <w:rFonts w:ascii="Times New Roman" w:hAnsi="Times New Roman"/>
          <w:color w:val="000000" w:themeColor="text1"/>
          <w:sz w:val="16"/>
          <w:szCs w:val="16"/>
        </w:rPr>
        <w:softHyphen/>
        <w:t>новки наравне с СУ-152.</w:t>
      </w:r>
    </w:p>
    <w:p w14:paraId="1DDB2278"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Дать задание тов. Грабину срочно изготовить для танка «ИС» образец мощной танковой пушки калибра 100мм, способ</w:t>
      </w:r>
      <w:r w:rsidRPr="00D03F3E">
        <w:rPr>
          <w:rFonts w:ascii="Times New Roman" w:hAnsi="Times New Roman"/>
          <w:color w:val="000000" w:themeColor="text1"/>
          <w:sz w:val="16"/>
          <w:szCs w:val="16"/>
        </w:rPr>
        <w:softHyphen/>
        <w:t>ной пробивать броню 120-130 мм с дистанции 2000 метров.</w:t>
      </w:r>
    </w:p>
    <w:p w14:paraId="7AC6099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Наркомат вооружения совместно с ГАУ КА в кратчайший срок закончить испытания опытного образца противотанкового ружья Блюма с целью принятия решения о «ведении ружья Блюма на вооружение Красной Армии.</w:t>
      </w:r>
    </w:p>
    <w:p w14:paraId="1A6AE84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Наркомтанкопром (т. Зальцмана) установить 85мм пушку на танке «ИС» с тактико-техническими данны</w:t>
      </w:r>
      <w:r w:rsidRPr="00D03F3E">
        <w:rPr>
          <w:rFonts w:ascii="Times New Roman" w:hAnsi="Times New Roman"/>
          <w:color w:val="000000" w:themeColor="text1"/>
          <w:sz w:val="16"/>
          <w:szCs w:val="16"/>
        </w:rPr>
        <w:softHyphen/>
        <w:t>ми, изложенными в приложении.</w:t>
      </w:r>
    </w:p>
    <w:p w14:paraId="125EDB52"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Поэтому вполне логичным выглядели задания, получен</w:t>
      </w:r>
      <w:r w:rsidRPr="00D03F3E">
        <w:rPr>
          <w:rFonts w:ascii="Times New Roman" w:hAnsi="Times New Roman"/>
          <w:color w:val="000000" w:themeColor="text1"/>
          <w:sz w:val="16"/>
          <w:szCs w:val="16"/>
        </w:rPr>
        <w:softHyphen/>
        <w:t>ные КБ завода № 183, Уралмашзавода, завода № 37, ОКБ № 38 и КБ ГАЗ, приступить к спешной разработке танков и САУ, вооруженных орудием, пробивающим броневой лист толщиной 80 мм и более с дистанции 500-1000 м и потому способным бороться с новыми немецкими тяжелыми танка</w:t>
      </w:r>
      <w:r w:rsidRPr="00D03F3E">
        <w:rPr>
          <w:rFonts w:ascii="Times New Roman" w:hAnsi="Times New Roman"/>
          <w:color w:val="000000" w:themeColor="text1"/>
          <w:sz w:val="16"/>
          <w:szCs w:val="16"/>
        </w:rPr>
        <w:softHyphen/>
        <w:t>ми и САУ на средних дистанциях.</w:t>
      </w:r>
    </w:p>
    <w:p w14:paraId="5C108A3E"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техуправления НКВ Э.А. Сатэль, особо под</w:t>
      </w:r>
      <w:r w:rsidRPr="00D03F3E">
        <w:rPr>
          <w:rFonts w:ascii="Times New Roman" w:hAnsi="Times New Roman"/>
          <w:color w:val="000000" w:themeColor="text1"/>
          <w:sz w:val="16"/>
          <w:szCs w:val="16"/>
        </w:rPr>
        <w:softHyphen/>
        <w:t>черкивал: «Центр, артиллерийскому КБ, а также ОКБ №9и з-да 172 завершить разработку 122-мм самоходной про</w:t>
      </w:r>
      <w:r w:rsidRPr="00D03F3E">
        <w:rPr>
          <w:rFonts w:ascii="Times New Roman" w:hAnsi="Times New Roman"/>
          <w:color w:val="000000" w:themeColor="text1"/>
          <w:sz w:val="16"/>
          <w:szCs w:val="16"/>
        </w:rPr>
        <w:softHyphen/>
        <w:t>тивотанковой пушки большой мощности на основе 130-мм гильзы морского орудия, или 152-мм дальнобойной пушки... Ис</w:t>
      </w:r>
      <w:r w:rsidRPr="00D03F3E">
        <w:rPr>
          <w:rFonts w:ascii="Times New Roman" w:hAnsi="Times New Roman"/>
          <w:color w:val="000000" w:themeColor="text1"/>
          <w:sz w:val="16"/>
          <w:szCs w:val="16"/>
        </w:rPr>
        <w:softHyphen/>
        <w:t>пользовать баллистическое решение НИИ-13/ЦАКБ для про</w:t>
      </w:r>
      <w:r w:rsidRPr="00D03F3E">
        <w:rPr>
          <w:rFonts w:ascii="Times New Roman" w:hAnsi="Times New Roman"/>
          <w:color w:val="000000" w:themeColor="text1"/>
          <w:sz w:val="16"/>
          <w:szCs w:val="16"/>
        </w:rPr>
        <w:softHyphen/>
        <w:t>бития брони толщиной 160—200 мм на дальности 600-800м...» Из чего становится совершенно ясной ориентация указанного орудия на борьбу с САУ «Фердинанд» (11417).</w:t>
      </w:r>
    </w:p>
    <w:p w14:paraId="019441DF" w14:textId="77777777" w:rsidR="00DB6725" w:rsidRPr="00D03F3E"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AFB738" w14:textId="77777777" w:rsidR="006B25EE" w:rsidRPr="00D03F3E" w:rsidRDefault="006B25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мая 1943 года появились первые тактико-технические требования к САУ на базе ИС, при этом ИС приняли на вооружение Красной армии только 4 сентября 1943 года.</w:t>
      </w:r>
    </w:p>
    <w:p w14:paraId="0314A375" w14:textId="77777777" w:rsidR="006B25EE" w:rsidRPr="00D03F3E" w:rsidRDefault="006B25EE" w:rsidP="00D03F3E">
      <w:pPr>
        <w:spacing w:after="0" w:line="240" w:lineRule="auto"/>
        <w:jc w:val="both"/>
        <w:rPr>
          <w:rFonts w:ascii="Times New Roman" w:hAnsi="Times New Roman"/>
          <w:color w:val="000000" w:themeColor="text1"/>
          <w:sz w:val="16"/>
          <w:szCs w:val="16"/>
        </w:rPr>
      </w:pPr>
    </w:p>
    <w:p w14:paraId="5F977A51" w14:textId="77777777" w:rsidR="00A0130C" w:rsidRPr="00D03F3E" w:rsidRDefault="00A0130C" w:rsidP="00D03F3E">
      <w:pPr>
        <w:pStyle w:val="article-renderblock"/>
        <w:shd w:val="clear" w:color="auto" w:fill="FFFFFF"/>
        <w:spacing w:before="0" w:beforeAutospacing="0" w:after="0" w:afterAutospacing="0"/>
        <w:jc w:val="both"/>
        <w:rPr>
          <w:color w:val="0070C0"/>
          <w:sz w:val="16"/>
          <w:szCs w:val="16"/>
        </w:rPr>
      </w:pPr>
      <w:r w:rsidRPr="00D03F3E">
        <w:rPr>
          <w:color w:val="0070C0"/>
          <w:sz w:val="16"/>
          <w:szCs w:val="16"/>
        </w:rPr>
        <w:lastRenderedPageBreak/>
        <w:t>4 мая 1943 года, согласно письму ОКБ-15 там изготовили третью по счету версию ЗУТ-37, увы, ее изображений не сохранилось. Как писал сам Шпитальный, в этом образце были учтены все замечания по итогам испытаний. Он предлагал направить третью версию ЗУТ-37 на испытания, причем уже в действующую армию. В ГБТУ КА уже высказывали мысль о нецелесообразности дальнейшей работы по данной системе. Тем не менее, далее решение изменилось: предлагалось провести испытания с отстрелом 100 патронов, после чего направить ЗУТ-37 в действующую армию (20346).</w:t>
      </w:r>
    </w:p>
    <w:p w14:paraId="513C557C" w14:textId="77777777" w:rsidR="00A0130C" w:rsidRPr="00D03F3E" w:rsidRDefault="00A0130C" w:rsidP="00D03F3E">
      <w:pPr>
        <w:pStyle w:val="article-renderblock"/>
        <w:shd w:val="clear" w:color="auto" w:fill="FFFFFF"/>
        <w:spacing w:before="0" w:beforeAutospacing="0" w:after="0" w:afterAutospacing="0"/>
        <w:jc w:val="both"/>
        <w:rPr>
          <w:color w:val="0070C0"/>
          <w:sz w:val="16"/>
          <w:szCs w:val="16"/>
        </w:rPr>
      </w:pPr>
    </w:p>
    <w:p w14:paraId="49CF82C0"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мая 1943 вышло Постановление ГКО № 3285 О мерах помощи Березниковской ТЭЦ Наркомата электростанций. (7103, 3-8,9-28).</w:t>
      </w:r>
    </w:p>
    <w:p w14:paraId="38D7EDA3" w14:textId="77777777" w:rsidR="00DB6725" w:rsidRPr="00D03F3E"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C44BE6"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мая 1943 вышло Постановление ГКО № 3286 О восстановлении гидроэлектростанции НиваГЭС-II Колэнерго Наркомата электростанций.РГАНИР, Фонд ГКО, д. 113, лл. 29-31 (11012).</w:t>
      </w:r>
    </w:p>
    <w:p w14:paraId="5BA08D8C"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630947"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мая 1943 вышло Постановление ГКО № 3287 О частичном восстановлении электростанций и сетей Азчерэнерго.РГАНИР, Фонд ГКО, д. 113, лл. 32-38, 39-47 (11012).</w:t>
      </w:r>
    </w:p>
    <w:p w14:paraId="2767C555" w14:textId="77777777" w:rsidR="00DB6725" w:rsidRPr="00D03F3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0A0DDE"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мая 1943 г. Из спецсообщения УНКВД по Кировской области № 8-1366 в Экономическое управление НКВД СССР о неудовлетворительной работе Белохолуницкого завода Народного комиссариата тяжелого машиностроения</w:t>
      </w:r>
    </w:p>
    <w:p w14:paraId="43C2DC22"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Программа 1-го квартала 1943 г. по выпуску 76-мм и 45-мм корпусов снарядов заводом не выполнена... Невыполнение производственной про</w:t>
      </w:r>
      <w:r w:rsidRPr="00D03F3E">
        <w:rPr>
          <w:rFonts w:ascii="Times New Roman" w:hAnsi="Times New Roman"/>
          <w:color w:val="000000" w:themeColor="text1"/>
          <w:sz w:val="16"/>
          <w:szCs w:val="16"/>
        </w:rPr>
        <w:softHyphen/>
        <w:t>граммы объясняется:</w:t>
      </w:r>
    </w:p>
    <w:p w14:paraId="2583E011"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отсутствием должного руководства и контроля за деятельностью управленческого и производственного аппарата со стороны директора завода Новикова1;</w:t>
      </w:r>
    </w:p>
    <w:p w14:paraId="4F37AC3D"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несвоевременной переброской имеющихся материалов со ст. Сло</w:t>
      </w:r>
      <w:r w:rsidRPr="00D03F3E">
        <w:rPr>
          <w:rFonts w:ascii="Times New Roman" w:hAnsi="Times New Roman"/>
          <w:color w:val="000000" w:themeColor="text1"/>
          <w:sz w:val="16"/>
          <w:szCs w:val="16"/>
        </w:rPr>
        <w:softHyphen/>
        <w:t>бодской на завод;</w:t>
      </w:r>
    </w:p>
    <w:p w14:paraId="25D7859D"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высоким процентом брака по литью, вызванным некачественностью формовочной земли.</w:t>
      </w:r>
    </w:p>
    <w:p w14:paraId="582DAFA0"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имел полную возможность выполнить программу 1-го квартала по изготовлению корпусов снарядов.</w:t>
      </w:r>
    </w:p>
    <w:p w14:paraId="6BB773ED"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транспортировки материалов и готовой продукции заводу было выделено до 700 подвод. Директор завода Новиков и его заместитель по коммерческой части Лома2 гужевую силу использовали неэффективно и не по назначению. В марте, когда требовалось перебросить на правый берег р. Вятки нужное количество материалов, Новиков и Лома гужтран-спорт распустили по колхозам. Таким образом, на период весенней рас</w:t>
      </w:r>
      <w:r w:rsidRPr="00D03F3E">
        <w:rPr>
          <w:rFonts w:ascii="Times New Roman" w:hAnsi="Times New Roman"/>
          <w:color w:val="000000" w:themeColor="text1"/>
          <w:sz w:val="16"/>
          <w:szCs w:val="16"/>
        </w:rPr>
        <w:softHyphen/>
        <w:t>путицы завод остался без материалов, в апреле имел восьмидневный простой, в то время как на ст. Слободской лежит месячный запас мате</w:t>
      </w:r>
      <w:r w:rsidRPr="00D03F3E">
        <w:rPr>
          <w:rFonts w:ascii="Times New Roman" w:hAnsi="Times New Roman"/>
          <w:color w:val="000000" w:themeColor="text1"/>
          <w:sz w:val="16"/>
          <w:szCs w:val="16"/>
        </w:rPr>
        <w:softHyphen/>
        <w:t>риалов, необходимых для выполнения программы.</w:t>
      </w:r>
    </w:p>
    <w:p w14:paraId="77E72D07"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Имеющийся на заводе автотранспорт в количестве 8 автомашин и 3 гусеничных тракторов требует капитального ремонта и коэффициент его использований крайне низкий.</w:t>
      </w:r>
    </w:p>
    <w:p w14:paraId="7AB74EF7"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плану в марте 1943 г. автотранспортом должно быть переброшено 643 тонны материалов, фактически перевезено 102 тонны. Со стороны дирекции должных мер к эффективному использованию автогужтранс-порта не принимается.</w:t>
      </w:r>
    </w:p>
    <w:p w14:paraId="655D4972"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Брак по литью в марте и апреле 1943 г. составляет 70—75%. Объясняется это некомплектностью шихтовых материалов и некачественностью формо</w:t>
      </w:r>
      <w:r w:rsidRPr="00D03F3E">
        <w:rPr>
          <w:rFonts w:ascii="Times New Roman" w:hAnsi="Times New Roman"/>
          <w:color w:val="000000" w:themeColor="text1"/>
          <w:sz w:val="16"/>
          <w:szCs w:val="16"/>
        </w:rPr>
        <w:softHyphen/>
        <w:t>вочной земли из-за отсутствия в ней песка, хотя карьер находится на заводс</w:t>
      </w:r>
      <w:r w:rsidRPr="00D03F3E">
        <w:rPr>
          <w:rFonts w:ascii="Times New Roman" w:hAnsi="Times New Roman"/>
          <w:color w:val="000000" w:themeColor="text1"/>
          <w:sz w:val="16"/>
          <w:szCs w:val="16"/>
        </w:rPr>
        <w:softHyphen/>
        <w:t>ком дворе. Лабораторного анализа земли не произюдилось, вследствие чего завод перерасходовал 70 тонн кокса.</w:t>
      </w:r>
    </w:p>
    <w:p w14:paraId="46D79406"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завода Новиков скрывал имеющиеся на заводе недостатки. Руководители цехов, допускающие грубые нарушения технологии, и зам. директора Лома, не обеспечивающий своевременную подвозку матери</w:t>
      </w:r>
      <w:r w:rsidRPr="00D03F3E">
        <w:rPr>
          <w:rFonts w:ascii="Times New Roman" w:hAnsi="Times New Roman"/>
          <w:color w:val="000000" w:themeColor="text1"/>
          <w:sz w:val="16"/>
          <w:szCs w:val="16"/>
        </w:rPr>
        <w:softHyphen/>
        <w:t>алов на завод, оставались безнаказанными.</w:t>
      </w:r>
    </w:p>
    <w:p w14:paraId="57567C73"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Бюро Белохолуницкого РК ВКП(б) за срыв производственной програм</w:t>
      </w:r>
      <w:r w:rsidRPr="00D03F3E">
        <w:rPr>
          <w:rFonts w:ascii="Times New Roman" w:hAnsi="Times New Roman"/>
          <w:color w:val="000000" w:themeColor="text1"/>
          <w:sz w:val="16"/>
          <w:szCs w:val="16"/>
        </w:rPr>
        <w:softHyphen/>
        <w:t>мы и отсутствие на заводе дисциплины в феврале и марте 1943 г. объявило директору завода Новикову два выговора и вынесло решение, обязывающее Новикова выправить положение на заводе в апреле, однако работа завода продолжает находиться в неудовлетворительном состоянии.</w:t>
      </w:r>
    </w:p>
    <w:p w14:paraId="2BF1328D"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улучшения работы завода и безусловного выполнения произ</w:t>
      </w:r>
      <w:r w:rsidRPr="00D03F3E">
        <w:rPr>
          <w:rFonts w:ascii="Times New Roman" w:hAnsi="Times New Roman"/>
          <w:color w:val="000000" w:themeColor="text1"/>
          <w:sz w:val="16"/>
          <w:szCs w:val="16"/>
        </w:rPr>
        <w:softHyphen/>
        <w:t>водственной программы по выпуску боеприпасов нами поставлен вопрос перед Кировским обкомом ВКП(б) о снятии с работы директора завода Новикова, как не обеспечившего должного руководства производством и допустившего срыв производственной программы в 1-м квартале 1943 г.</w:t>
      </w:r>
    </w:p>
    <w:p w14:paraId="5F2D1ED7"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необеспечении руководства заводом со стороны директора Новикова просим поставить вопрос перед Наркоматом тяжелого машиностроения.</w:t>
      </w:r>
    </w:p>
    <w:p w14:paraId="61051337"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УНКВД по Кировской области комиссар государственной безопасности Питовранов'</w:t>
      </w:r>
    </w:p>
    <w:p w14:paraId="1ABF2184"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экономического отдела УНКВД по Кировской области подполковник государственной безопасности Николаенко</w:t>
      </w:r>
    </w:p>
    <w:p w14:paraId="31757416"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 ФСБ России) (15493).</w:t>
      </w:r>
    </w:p>
    <w:p w14:paraId="01F32D23" w14:textId="77777777" w:rsidR="006C5519" w:rsidRPr="00D03F3E" w:rsidRDefault="006C5519" w:rsidP="00D03F3E">
      <w:pPr>
        <w:spacing w:after="0" w:line="240" w:lineRule="auto"/>
        <w:jc w:val="both"/>
        <w:rPr>
          <w:rFonts w:ascii="Times New Roman" w:hAnsi="Times New Roman"/>
          <w:color w:val="000000" w:themeColor="text1"/>
          <w:sz w:val="16"/>
          <w:szCs w:val="16"/>
        </w:rPr>
      </w:pPr>
    </w:p>
    <w:p w14:paraId="69175395"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3EEE59FE" w14:textId="77777777" w:rsidR="00531570" w:rsidRPr="00D03F3E" w:rsidRDefault="00531570" w:rsidP="00D03F3E">
      <w:pPr>
        <w:pStyle w:val="Iauiue"/>
        <w:jc w:val="both"/>
        <w:rPr>
          <w:iCs/>
          <w:color w:val="000000" w:themeColor="text1"/>
          <w:sz w:val="16"/>
          <w:szCs w:val="16"/>
        </w:rPr>
      </w:pPr>
    </w:p>
    <w:p w14:paraId="58FF2E1A"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мая в 1943 году утреннее сообщение Совинформбюро:</w:t>
      </w:r>
    </w:p>
    <w:p w14:paraId="50988A90"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4 мая на фронтах существенных изменений не произошло.</w:t>
      </w:r>
    </w:p>
    <w:p w14:paraId="07089E77"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бойцы Н-ской части отбили атаку немецкой пехоты и истребили до100 гитлеровцев. Наши лётчики произвели налёт на аэродром противника. Врезультате бомбардировки разбито 4 и сожжено 8 немецких самолётов. В воздушном бою над аэродромом сбито 2 самолёта противника.</w:t>
      </w:r>
    </w:p>
    <w:p w14:paraId="70B40123"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Калининском фронте разведчики под командованием старшего лейтенанта Соколова атаковали немецкие позиции. В рукопашной схватке наши бойцы уничтожили 30 гитлеровцев, захватили станковый пулемёт, миномёт, 20 винтовок и вернулись в свое подразделение. На другом участке 7 немецких бомбардировщиков пытались бомбить боевые порядки Н-ской части. Взвод зенитных пулемётов, где командиром лейтенант Мохарт, сбил один немецкий самолёт. Второй бомбардировщик противника был сбит зенитчиками 6атареи под командованием тов. Рычева. Снайперы Н-ского соединения за 2 дня истребили 164 немецких солдата и офицера.</w:t>
      </w:r>
    </w:p>
    <w:p w14:paraId="449C879D"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разведывательная группа Н-ской части переправилась через водный рубеж и внезапно атаковала противника. Наши разведчики истребили гарнизоны пяти вражеских дзотов и, захватив пленных, вернулись в свою часть.</w:t>
      </w:r>
    </w:p>
    <w:p w14:paraId="440B5B17"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наши артиллеристы разрушили 10 немецких дзотов, уничтожили 3 миномётные батареи и потопили две лодки вместе с находившимися в них немецкими солдатами.</w:t>
      </w:r>
    </w:p>
    <w:p w14:paraId="02B25F05"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Ленинградской области, 23 апреля совершил налёт на немецкий гарнизон и истребил свыше 40 гитлеровцев. Партизаны другого отряда с 19 по 23 апреля пустили под откос два вражеских эшелона. Разбито 2 паровоза, 20 вагонов с боеприпасами и 16 вагонов с различными грузами.</w:t>
      </w:r>
    </w:p>
    <w:p w14:paraId="0FF3F83E"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 Верховного Главнокомандующего Маршала Советского Союза товарища Сталина вызвал огромный патриотический подъём в Красной Армии и Военно-Морском Флоте. На всех фронтах Отечественной войны бойцы, командиры и политработники горячо приветствуют Верховного Главнокомандующего и заявляют: «Мы смело и уверенно идём навстречу решающим сражениям. Красная Армия с честью выполнит приказ товарища Сталина».</w:t>
      </w:r>
    </w:p>
    <w:p w14:paraId="1D87298F"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митинге танкистов Н-ской гвардейской части выступил механик-водитель гвардии старшина тов. Ушзк. Он сказал: «Товарищ Сталин приказал нам совершенствовать боевую выучку. Мы, танкисты-гвардейцы, будем неутомимо повышать своё мастерство и в предстоящих боях с врагом приумножим боевую славу, завоёванную Красной Армией под Сталинградом». Старший лейтенант Телегин, выступивший на митинге Н-ской части, заявил: «Сталинский приказ ещё больше укрепил нашу веру в победу. Советский народ и его вооружённые силы спокойно и уверенно смотрят в будущее. Объединёнными усилиями совместно с армиями союзников Красная Армия уничтожит фашистскую гадину». С большим вниманием выслушали бойцы Н-ской части взволнованную речь старшины тов. Доценко: «Проклятые немцы разорили мой дом, разграбили моё хозяйство, зверски замучили многих моих односельчан. Товарищ Сталин учит нас беспощадно мстить фашистским негодяям за кровь и слёзы наших людей. Клянусь, что не пожалею сил для выполнения приказа любимого Наркома».</w:t>
      </w:r>
    </w:p>
    <w:p w14:paraId="655224EB"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Горячую речь произнёс красноармеец казах Мулажбеков: «Я так понимаю приказ Верховного Главнокомандующего,— сказал он. — Если каждый боец убьёт больше немцев, то мы скорее достигнем победы. Я клянусь своему народу и товарищу Сталину, что у меня рука не дрогнет. Я буду беспощадно и без устали бить фашистскую сволочь». На митинге лётчиков Н-ской части выступил дважды орденоносец лётчик гвардии младший лейтенант тов. Углянский. Он заявил: «Приказ товарища Сталина указывает наш путь к победе. Я чувствую новый прилив энергии и сил. В предстоящих сражениях я буду ещё сильнее бить врага. Призываю лётчиков приложить все силы и всё уменье, чтобы с честью выполнить сталинский приказ» (14881).</w:t>
      </w:r>
    </w:p>
    <w:p w14:paraId="1B5F40A3" w14:textId="77777777" w:rsidR="006C5519" w:rsidRPr="00D03F3E" w:rsidRDefault="006C5519" w:rsidP="00D03F3E">
      <w:pPr>
        <w:spacing w:after="0" w:line="240" w:lineRule="auto"/>
        <w:jc w:val="both"/>
        <w:rPr>
          <w:rFonts w:ascii="Times New Roman" w:hAnsi="Times New Roman"/>
          <w:color w:val="000000" w:themeColor="text1"/>
          <w:sz w:val="16"/>
          <w:szCs w:val="16"/>
        </w:rPr>
      </w:pPr>
    </w:p>
    <w:p w14:paraId="303F6AF5"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мая в 1943 году вечернее сообщение Совинформбюро:</w:t>
      </w:r>
    </w:p>
    <w:p w14:paraId="0BF70642"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в районе северо-восточнее Новороссийска идут серьёзные бои. На других фронтах существенных изменений не произошло.</w:t>
      </w:r>
    </w:p>
    <w:p w14:paraId="1EB7CFDF"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Нашей авиацией в Баренцевом море потоплено два транспорта противника.</w:t>
      </w:r>
    </w:p>
    <w:p w14:paraId="0CAE52D7"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частями нашей авиации на различных участках фронта уничтожено или повреждено до 50 немецких автомашин с войсками и грузами. Взорваны 8 складов боеприпасов и склад с горючим, подавлен огонь 9 артиллерийских и миномётных батарей, рассеяно и частью уничтожено до двух рот пехоты противника.</w:t>
      </w:r>
    </w:p>
    <w:p w14:paraId="16ACB7C2"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части Н-ского соединения вели ожесточённые бои, переходившие на отдельных участках в рукопашные схватки. Противнику нанесены тяжёлые потери в живой силе и технике. Наши самолёты прикрывали боевые порядки наземных войск, бомбили и штурмовали вражеские позиции. Лётчик лейтенант т. Куценко в течение дня сбил 3 немецких истребителя, старший лейтенант т. Логвиненко уничтожил 2 бомбардировщика противника. Лётчик-истребитель т. Манукян, сопровождая наши бомбардировщики, встретился с группой немецких истребителей, навязал им бой и сбил 2 самолёта.</w:t>
      </w:r>
    </w:p>
    <w:p w14:paraId="7B12430C"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Севернее Чугуева наши передовые подразделения уничтожили до роты немецкой пехоты, разрушили 3 блиндажа, подавили огонь миномётной группы и 2 артиллерийских батарей противника. Огнём зенитной артиллерии и пехотного оружия сбито 2 немецких бомбардировщика.</w:t>
      </w:r>
    </w:p>
    <w:p w14:paraId="06A31EB2"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происходила редкая перестрелка. Миномётчики Н-ской гвардейской части уничтожили 17 немецких автомашин с военными грузами, взорвали два склада боеприпасов и истребили более 100 гитлеровцев.</w:t>
      </w:r>
    </w:p>
    <w:p w14:paraId="3ADD458B"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части за два дня уничтожили до двух рот пехоты противника, разрушили 13 немецких дзотов, 14 землянок, уничтожили» орудие, 2 миномёта и взорвали склад с боеприпасами. B воздушных боях на подступах к Ленинграду лётчики Н-ской авиачасти сбили 5 немецких самолётов.</w:t>
      </w:r>
    </w:p>
    <w:p w14:paraId="55C1A5C9"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Разведка отряда киевских партизан; установила, что на одной станции ожидается прибытие поезда с советскими гражданами, которых немцы насильно увозили на каторгу в Германию. Когда эшелон остановился, партизаны внезапно ворвались на станцию, уничтожили полицейскую охрану и освободили 500 советских граждан. Подрывники другого партизанского отряда заминировали железнодорожное полотно. На минах взорвался и слетел с высокой насыпи немецкий воинский эшелон. Полностью разбито 13 вагонов и 15 платформ.</w:t>
      </w:r>
    </w:p>
    <w:p w14:paraId="0101E405"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 сторону Красной Армии перешёл обер-ефрейтор 170 гренадерского полка 73 немецкой пехотной дивизии Антон Л. Перебежчик рассказал: «В последних боях немецкие части понесли тяжёлые потери. Например, штрафной батальон 73 пехотной дивизии почти полностью уничтожен. Первый батальон 170 полка за три дня потерял только убитыми до 400 человек. Все попытки немецких войск отбросить русских потерпели неудачу. Большие потери немецким войскам причинили массированные удары советской авиации. Я да и другие солдаты никогда еще не видели такого огромного количества советских самолётов. На моих глазах прямым попаданием бомбы в штаб первого батальона было убито 8 офицеров, в том числе и командир батальона. Одна бомба упала на командный пункт группы.. При этом было убито и ранено 12 офицеров».</w:t>
      </w:r>
    </w:p>
    <w:p w14:paraId="409538AE"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истребляют мирное население советских сёл и городов. В местечке Скородном, Полесской области, немцы сожгли свыше 400 домов колхозников. В огне погибло много женщин, стариков и детей. В селе Рудая, Житомирской области, немцы согнали мирных жителей в церковь и заперли их. Ночью гитлеровские изверги подожгли церковь и заживо сожгли находившихся там ни в чём не повинных советских людей.» (14881).</w:t>
      </w:r>
    </w:p>
    <w:p w14:paraId="37AC5323" w14:textId="77777777" w:rsidR="006C5519" w:rsidRPr="00D03F3E" w:rsidRDefault="006C5519" w:rsidP="00D03F3E">
      <w:pPr>
        <w:spacing w:after="0" w:line="240" w:lineRule="auto"/>
        <w:jc w:val="both"/>
        <w:rPr>
          <w:rFonts w:ascii="Times New Roman" w:hAnsi="Times New Roman"/>
          <w:color w:val="000000" w:themeColor="text1"/>
          <w:sz w:val="16"/>
          <w:szCs w:val="16"/>
        </w:rPr>
      </w:pPr>
    </w:p>
    <w:p w14:paraId="68FE488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мая 1943 Верховный Глав</w:t>
      </w:r>
      <w:r w:rsidRPr="00D03F3E">
        <w:rPr>
          <w:color w:val="000000" w:themeColor="text1"/>
          <w:sz w:val="16"/>
          <w:szCs w:val="16"/>
        </w:rPr>
        <w:softHyphen/>
        <w:t>нокомандующий И.В.Сталин (приказ № 0328) и Ставка ВГК по</w:t>
      </w:r>
      <w:r w:rsidRPr="00D03F3E">
        <w:rPr>
          <w:color w:val="000000" w:themeColor="text1"/>
          <w:sz w:val="16"/>
          <w:szCs w:val="16"/>
        </w:rPr>
        <w:softHyphen/>
        <w:t>ставили перед командованием воздуш</w:t>
      </w:r>
      <w:r w:rsidRPr="00D03F3E">
        <w:rPr>
          <w:color w:val="000000" w:themeColor="text1"/>
          <w:sz w:val="16"/>
          <w:szCs w:val="16"/>
        </w:rPr>
        <w:softHyphen/>
        <w:t>ных армий и АДД задачи по уничтоже</w:t>
      </w:r>
      <w:r w:rsidRPr="00D03F3E">
        <w:rPr>
          <w:color w:val="000000" w:themeColor="text1"/>
          <w:sz w:val="16"/>
          <w:szCs w:val="16"/>
        </w:rPr>
        <w:softHyphen/>
        <w:t>нию немецких самолетов на аэродромах и в воздухе, срыву железнодорожных перевозок и дезорганизации автомо</w:t>
      </w:r>
      <w:r w:rsidRPr="00D03F3E">
        <w:rPr>
          <w:color w:val="000000" w:themeColor="text1"/>
          <w:sz w:val="16"/>
          <w:szCs w:val="16"/>
        </w:rPr>
        <w:softHyphen/>
        <w:t>бильного движения на дорогах.</w:t>
      </w:r>
    </w:p>
    <w:p w14:paraId="7E31ECB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Операция по уничтожению немецких самолетов на аэродромах была назначена на 6 мая 1943 г. Время первого массированного удара по аэродромам для всех воздушных армий фронтов оп</w:t>
      </w:r>
      <w:r w:rsidRPr="00D03F3E">
        <w:rPr>
          <w:color w:val="000000" w:themeColor="text1"/>
          <w:sz w:val="16"/>
          <w:szCs w:val="16"/>
        </w:rPr>
        <w:softHyphen/>
        <w:t>ределялось с 4.30 до 5.00. В последую</w:t>
      </w:r>
      <w:r w:rsidRPr="00D03F3E">
        <w:rPr>
          <w:color w:val="000000" w:themeColor="text1"/>
          <w:sz w:val="16"/>
          <w:szCs w:val="16"/>
        </w:rPr>
        <w:softHyphen/>
        <w:t>щем аэродромы противника должны были подвергаться огневому воздей</w:t>
      </w:r>
      <w:r w:rsidRPr="00D03F3E">
        <w:rPr>
          <w:color w:val="000000" w:themeColor="text1"/>
          <w:sz w:val="16"/>
          <w:szCs w:val="16"/>
        </w:rPr>
        <w:softHyphen/>
        <w:t>ствию со стороны ВВС КА еще в тече</w:t>
      </w:r>
      <w:r w:rsidRPr="00D03F3E">
        <w:rPr>
          <w:color w:val="000000" w:themeColor="text1"/>
          <w:sz w:val="16"/>
          <w:szCs w:val="16"/>
        </w:rPr>
        <w:softHyphen/>
        <w:t>ние трех суток. После двухсуточного перерыва следовала еще одна трехсу</w:t>
      </w:r>
      <w:r w:rsidRPr="00D03F3E">
        <w:rPr>
          <w:color w:val="000000" w:themeColor="text1"/>
          <w:sz w:val="16"/>
          <w:szCs w:val="16"/>
        </w:rPr>
        <w:softHyphen/>
        <w:t>точная серия ударов по аэродромам Люфтваффе (6467).</w:t>
      </w:r>
    </w:p>
    <w:p w14:paraId="5C53EC3F" w14:textId="77777777" w:rsidR="00531570" w:rsidRPr="00D03F3E" w:rsidRDefault="00531570" w:rsidP="00D03F3E">
      <w:pPr>
        <w:pStyle w:val="Iauiue"/>
        <w:jc w:val="both"/>
        <w:rPr>
          <w:color w:val="000000" w:themeColor="text1"/>
          <w:sz w:val="16"/>
          <w:szCs w:val="16"/>
        </w:rPr>
      </w:pPr>
    </w:p>
    <w:p w14:paraId="1A9B01C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мая 1943 Ставка решила провести первую воздушную операцию. Внезапными ударами на фронте в 1200 км решили ударить по аэродромам, железным и шоссейным дорогам силами 6 воздушных армий и два раза через трое суток - повторить. Всего 10300 вылетов. Первый - 6 мая на рассвете вовлек 434 самолета на 17 аэродромах уничтоживших 194 + 21 в боях при наших потерях 21. Второй - в 15 час. 372 машинами по 20 аэродромам, но встретили сопротивление, но опять уничтожили 134 + 24 потеряв 46. Третий был утром 7 и 405 самолетов ударив по 22 аэродромам уничтожили 122 + 29 и потеряли опять 46. 8 мая - четвертый удар 181 самолета был мало результативным и уничтожили только 6. Общий результат: уничтожено 373, повреждено 51, в воздухе 67 + 10. Наши потери - 122 (340,126). По другим данным было уничтожено 750 (518,47).</w:t>
      </w:r>
    </w:p>
    <w:p w14:paraId="47A027C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Действие по коммуникациям были не столь эффективны.</w:t>
      </w:r>
    </w:p>
    <w:p w14:paraId="6622DA21" w14:textId="77777777" w:rsidR="00531570" w:rsidRPr="00D03F3E" w:rsidRDefault="00531570" w:rsidP="00D03F3E">
      <w:pPr>
        <w:pStyle w:val="Iauiue"/>
        <w:jc w:val="both"/>
        <w:rPr>
          <w:color w:val="000000" w:themeColor="text1"/>
          <w:sz w:val="16"/>
          <w:szCs w:val="16"/>
        </w:rPr>
      </w:pPr>
    </w:p>
    <w:p w14:paraId="6216FFD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мая 1943 А.М.Василевский отдал директивы военным советам З, Б, Ц, Вор., Ю-З и ЮФ на уничтожение самолетов на аэродромах и в воздухе, на срыв ж/д и дезорганизацию автомобильного движения (340,126).</w:t>
      </w:r>
    </w:p>
    <w:p w14:paraId="27621C33" w14:textId="77777777" w:rsidR="00531570" w:rsidRPr="00D03F3E" w:rsidRDefault="00531570" w:rsidP="00D03F3E">
      <w:pPr>
        <w:pStyle w:val="Iauiue"/>
        <w:jc w:val="both"/>
        <w:rPr>
          <w:color w:val="000000" w:themeColor="text1"/>
          <w:sz w:val="16"/>
          <w:szCs w:val="16"/>
        </w:rPr>
      </w:pPr>
    </w:p>
    <w:p w14:paraId="79E0875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Приказ от 4 мая 1943 г. разрешил свободную охоту по железнодорожному транспорту (24,275).</w:t>
      </w:r>
    </w:p>
    <w:p w14:paraId="35B64637" w14:textId="77777777" w:rsidR="00531570" w:rsidRPr="00D03F3E" w:rsidRDefault="00531570" w:rsidP="00D03F3E">
      <w:pPr>
        <w:pStyle w:val="Iauiue"/>
        <w:jc w:val="both"/>
        <w:rPr>
          <w:color w:val="000000" w:themeColor="text1"/>
          <w:sz w:val="16"/>
          <w:szCs w:val="16"/>
        </w:rPr>
      </w:pPr>
    </w:p>
    <w:p w14:paraId="2CB08BD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мая 1943 Верховный Главноко</w:t>
      </w:r>
      <w:r w:rsidRPr="00D03F3E">
        <w:rPr>
          <w:rFonts w:ascii="Times New Roman" w:hAnsi="Times New Roman"/>
          <w:color w:val="000000" w:themeColor="text1"/>
          <w:sz w:val="16"/>
          <w:szCs w:val="16"/>
        </w:rPr>
        <w:softHyphen/>
        <w:t>мандующий И.В. Сталин и Ставка ВГК поставили перед Военными со</w:t>
      </w:r>
      <w:r w:rsidRPr="00D03F3E">
        <w:rPr>
          <w:rFonts w:ascii="Times New Roman" w:hAnsi="Times New Roman"/>
          <w:color w:val="000000" w:themeColor="text1"/>
          <w:sz w:val="16"/>
          <w:szCs w:val="16"/>
        </w:rPr>
        <w:softHyphen/>
        <w:t>ветами фронтов и командованием ВВС КА задачи по уничтожению немецких самолетов на аэродромах базирова</w:t>
      </w:r>
      <w:r w:rsidRPr="00D03F3E">
        <w:rPr>
          <w:rFonts w:ascii="Times New Roman" w:hAnsi="Times New Roman"/>
          <w:color w:val="000000" w:themeColor="text1"/>
          <w:sz w:val="16"/>
          <w:szCs w:val="16"/>
        </w:rPr>
        <w:softHyphen/>
        <w:t>ния и в воздухе, срыву железнодорож</w:t>
      </w:r>
      <w:r w:rsidRPr="00D03F3E">
        <w:rPr>
          <w:rFonts w:ascii="Times New Roman" w:hAnsi="Times New Roman"/>
          <w:color w:val="000000" w:themeColor="text1"/>
          <w:sz w:val="16"/>
          <w:szCs w:val="16"/>
        </w:rPr>
        <w:softHyphen/>
        <w:t>ных перевозок и дезорганизации автомобильного движения на дорогах. Поскольку, по данным агентурной разведки, наступление противника ожи</w:t>
      </w:r>
      <w:r w:rsidRPr="00D03F3E">
        <w:rPr>
          <w:rFonts w:ascii="Times New Roman" w:hAnsi="Times New Roman"/>
          <w:color w:val="000000" w:themeColor="text1"/>
          <w:sz w:val="16"/>
          <w:szCs w:val="16"/>
        </w:rPr>
        <w:softHyphen/>
        <w:t>далось 10-12 мая 1943г., то опера</w:t>
      </w:r>
      <w:r w:rsidRPr="00D03F3E">
        <w:rPr>
          <w:rFonts w:ascii="Times New Roman" w:hAnsi="Times New Roman"/>
          <w:color w:val="000000" w:themeColor="text1"/>
          <w:sz w:val="16"/>
          <w:szCs w:val="16"/>
        </w:rPr>
        <w:softHyphen/>
        <w:t>ция по уничтожению немецких само</w:t>
      </w:r>
      <w:r w:rsidRPr="00D03F3E">
        <w:rPr>
          <w:rFonts w:ascii="Times New Roman" w:hAnsi="Times New Roman"/>
          <w:color w:val="000000" w:themeColor="text1"/>
          <w:sz w:val="16"/>
          <w:szCs w:val="16"/>
        </w:rPr>
        <w:softHyphen/>
        <w:t>летов на аэродромах была назначена на 6 мая 1943г. Время первого масси</w:t>
      </w:r>
      <w:r w:rsidRPr="00D03F3E">
        <w:rPr>
          <w:rFonts w:ascii="Times New Roman" w:hAnsi="Times New Roman"/>
          <w:color w:val="000000" w:themeColor="text1"/>
          <w:sz w:val="16"/>
          <w:szCs w:val="16"/>
        </w:rPr>
        <w:softHyphen/>
        <w:t>рованного удара по аэродромам для всех воздушных армий, привлекавших</w:t>
      </w:r>
      <w:r w:rsidRPr="00D03F3E">
        <w:rPr>
          <w:rFonts w:ascii="Times New Roman" w:hAnsi="Times New Roman"/>
          <w:color w:val="000000" w:themeColor="text1"/>
          <w:sz w:val="16"/>
          <w:szCs w:val="16"/>
        </w:rPr>
        <w:softHyphen/>
        <w:t>ся для проведения воздушной опера</w:t>
      </w:r>
      <w:r w:rsidRPr="00D03F3E">
        <w:rPr>
          <w:rFonts w:ascii="Times New Roman" w:hAnsi="Times New Roman"/>
          <w:color w:val="000000" w:themeColor="text1"/>
          <w:sz w:val="16"/>
          <w:szCs w:val="16"/>
        </w:rPr>
        <w:softHyphen/>
        <w:t>ции, определялось с 4.30 до 5.00. Пла</w:t>
      </w:r>
      <w:r w:rsidRPr="00D03F3E">
        <w:rPr>
          <w:rFonts w:ascii="Times New Roman" w:hAnsi="Times New Roman"/>
          <w:color w:val="000000" w:themeColor="text1"/>
          <w:sz w:val="16"/>
          <w:szCs w:val="16"/>
        </w:rPr>
        <w:softHyphen/>
        <w:t>нировалось держать авиацию против</w:t>
      </w:r>
      <w:r w:rsidRPr="00D03F3E">
        <w:rPr>
          <w:rFonts w:ascii="Times New Roman" w:hAnsi="Times New Roman"/>
          <w:color w:val="000000" w:themeColor="text1"/>
          <w:sz w:val="16"/>
          <w:szCs w:val="16"/>
        </w:rPr>
        <w:softHyphen/>
        <w:t>ника под боевым воздействием на про</w:t>
      </w:r>
      <w:r w:rsidRPr="00D03F3E">
        <w:rPr>
          <w:rFonts w:ascii="Times New Roman" w:hAnsi="Times New Roman"/>
          <w:color w:val="000000" w:themeColor="text1"/>
          <w:sz w:val="16"/>
          <w:szCs w:val="16"/>
        </w:rPr>
        <w:softHyphen/>
        <w:t>тяжении трех суток, затем после двух</w:t>
      </w:r>
      <w:r w:rsidRPr="00D03F3E">
        <w:rPr>
          <w:rFonts w:ascii="Times New Roman" w:hAnsi="Times New Roman"/>
          <w:color w:val="000000" w:themeColor="text1"/>
          <w:sz w:val="16"/>
          <w:szCs w:val="16"/>
        </w:rPr>
        <w:softHyphen/>
        <w:t>суточного перерыва вновь трое суток действовать по аэродромам. На проведение операции команду</w:t>
      </w:r>
      <w:r w:rsidRPr="00D03F3E">
        <w:rPr>
          <w:rFonts w:ascii="Times New Roman" w:hAnsi="Times New Roman"/>
          <w:color w:val="000000" w:themeColor="text1"/>
          <w:sz w:val="16"/>
          <w:szCs w:val="16"/>
        </w:rPr>
        <w:softHyphen/>
        <w:t>ющему ВВС КА разрешалось израс</w:t>
      </w:r>
      <w:r w:rsidRPr="00D03F3E">
        <w:rPr>
          <w:rFonts w:ascii="Times New Roman" w:hAnsi="Times New Roman"/>
          <w:color w:val="000000" w:themeColor="text1"/>
          <w:sz w:val="16"/>
          <w:szCs w:val="16"/>
        </w:rPr>
        <w:softHyphen/>
        <w:t>ходовать до 1 500 самолето-вылетов штурмовой, истребительной и бомбар</w:t>
      </w:r>
      <w:r w:rsidRPr="00D03F3E">
        <w:rPr>
          <w:rFonts w:ascii="Times New Roman" w:hAnsi="Times New Roman"/>
          <w:color w:val="000000" w:themeColor="text1"/>
          <w:sz w:val="16"/>
          <w:szCs w:val="16"/>
        </w:rPr>
        <w:softHyphen/>
        <w:t>дировочной авиации и до 400 самоле</w:t>
      </w:r>
      <w:r w:rsidRPr="00D03F3E">
        <w:rPr>
          <w:rFonts w:ascii="Times New Roman" w:hAnsi="Times New Roman"/>
          <w:color w:val="000000" w:themeColor="text1"/>
          <w:sz w:val="16"/>
          <w:szCs w:val="16"/>
        </w:rPr>
        <w:softHyphen/>
        <w:t>то-вылетов ночных бомбардировщиков из состава каждой воздушной армии, задействованной в операции. Одновременно Ставка ВГК в своей директиве от 5.05.43г., помимо укреп</w:t>
      </w:r>
      <w:r w:rsidRPr="00D03F3E">
        <w:rPr>
          <w:rFonts w:ascii="Times New Roman" w:hAnsi="Times New Roman"/>
          <w:color w:val="000000" w:themeColor="text1"/>
          <w:sz w:val="16"/>
          <w:szCs w:val="16"/>
        </w:rPr>
        <w:softHyphen/>
        <w:t>ления обороны и усиления бдительно</w:t>
      </w:r>
      <w:r w:rsidRPr="00D03F3E">
        <w:rPr>
          <w:rFonts w:ascii="Times New Roman" w:hAnsi="Times New Roman"/>
          <w:color w:val="000000" w:themeColor="text1"/>
          <w:sz w:val="16"/>
          <w:szCs w:val="16"/>
        </w:rPr>
        <w:softHyphen/>
        <w:t>сти войск, потребовала от командую</w:t>
      </w:r>
      <w:r w:rsidRPr="00D03F3E">
        <w:rPr>
          <w:rFonts w:ascii="Times New Roman" w:hAnsi="Times New Roman"/>
          <w:color w:val="000000" w:themeColor="text1"/>
          <w:sz w:val="16"/>
          <w:szCs w:val="16"/>
        </w:rPr>
        <w:softHyphen/>
        <w:t>щих Брянским, Центральным, Воронеж</w:t>
      </w:r>
      <w:r w:rsidRPr="00D03F3E">
        <w:rPr>
          <w:rFonts w:ascii="Times New Roman" w:hAnsi="Times New Roman"/>
          <w:color w:val="000000" w:themeColor="text1"/>
          <w:sz w:val="16"/>
          <w:szCs w:val="16"/>
        </w:rPr>
        <w:softHyphen/>
        <w:t>ским и Юго-Западным фронтами обес</w:t>
      </w:r>
      <w:r w:rsidRPr="00D03F3E">
        <w:rPr>
          <w:rFonts w:ascii="Times New Roman" w:hAnsi="Times New Roman"/>
          <w:color w:val="000000" w:themeColor="text1"/>
          <w:sz w:val="16"/>
          <w:szCs w:val="16"/>
        </w:rPr>
        <w:softHyphen/>
        <w:t>печить полное выполнение плана ис</w:t>
      </w:r>
      <w:r w:rsidRPr="00D03F3E">
        <w:rPr>
          <w:rFonts w:ascii="Times New Roman" w:hAnsi="Times New Roman"/>
          <w:color w:val="000000" w:themeColor="text1"/>
          <w:sz w:val="16"/>
          <w:szCs w:val="16"/>
        </w:rPr>
        <w:softHyphen/>
        <w:t>пользования фронтовой авиации в пре</w:t>
      </w:r>
      <w:r w:rsidRPr="00D03F3E">
        <w:rPr>
          <w:rFonts w:ascii="Times New Roman" w:hAnsi="Times New Roman"/>
          <w:color w:val="000000" w:themeColor="text1"/>
          <w:sz w:val="16"/>
          <w:szCs w:val="16"/>
        </w:rPr>
        <w:softHyphen/>
        <w:t>делах своего фронта для уничтожения авиасил противника и срыва всех ви</w:t>
      </w:r>
      <w:r w:rsidRPr="00D03F3E">
        <w:rPr>
          <w:rFonts w:ascii="Times New Roman" w:hAnsi="Times New Roman"/>
          <w:color w:val="000000" w:themeColor="text1"/>
          <w:sz w:val="16"/>
          <w:szCs w:val="16"/>
        </w:rPr>
        <w:softHyphen/>
        <w:t>дов его перевозок: "В эти дни от авиа</w:t>
      </w:r>
      <w:r w:rsidRPr="00D03F3E">
        <w:rPr>
          <w:rFonts w:ascii="Times New Roman" w:hAnsi="Times New Roman"/>
          <w:color w:val="000000" w:themeColor="text1"/>
          <w:sz w:val="16"/>
          <w:szCs w:val="16"/>
        </w:rPr>
        <w:softHyphen/>
        <w:t>ции надо выжать все, чтобы выполнить эту задачу и тем самым сорвать под</w:t>
      </w:r>
      <w:r w:rsidRPr="00D03F3E">
        <w:rPr>
          <w:rFonts w:ascii="Times New Roman" w:hAnsi="Times New Roman"/>
          <w:color w:val="000000" w:themeColor="text1"/>
          <w:sz w:val="16"/>
          <w:szCs w:val="16"/>
        </w:rPr>
        <w:softHyphen/>
        <w:t>готовку противника к наступлению". В соответствии с директивой Став</w:t>
      </w:r>
      <w:r w:rsidRPr="00D03F3E">
        <w:rPr>
          <w:rFonts w:ascii="Times New Roman" w:hAnsi="Times New Roman"/>
          <w:color w:val="000000" w:themeColor="text1"/>
          <w:sz w:val="16"/>
          <w:szCs w:val="16"/>
        </w:rPr>
        <w:softHyphen/>
        <w:t>ки ВГК штаб ВВС КА дал конкретные указания командующим воздушными армиями по выполнению поставленных задач. Действия воздушных армий направ</w:t>
      </w:r>
      <w:r w:rsidRPr="00D03F3E">
        <w:rPr>
          <w:rFonts w:ascii="Times New Roman" w:hAnsi="Times New Roman"/>
          <w:color w:val="000000" w:themeColor="text1"/>
          <w:sz w:val="16"/>
          <w:szCs w:val="16"/>
        </w:rPr>
        <w:softHyphen/>
        <w:t>лялись против основных авиационных группировок 4-го воздушного флота и авиагруппы "Ост-Митте" (с июня 6-й ВФ). От командующих воздушными армиями требовалось: "6.05.43г. в пе</w:t>
      </w:r>
      <w:r w:rsidRPr="00D03F3E">
        <w:rPr>
          <w:rFonts w:ascii="Times New Roman" w:hAnsi="Times New Roman"/>
          <w:color w:val="000000" w:themeColor="text1"/>
          <w:sz w:val="16"/>
          <w:szCs w:val="16"/>
        </w:rPr>
        <w:softHyphen/>
        <w:t>риод 4.30-5.00 подвергнуть одновре</w:t>
      </w:r>
      <w:r w:rsidRPr="00D03F3E">
        <w:rPr>
          <w:rFonts w:ascii="Times New Roman" w:hAnsi="Times New Roman"/>
          <w:color w:val="000000" w:themeColor="text1"/>
          <w:sz w:val="16"/>
          <w:szCs w:val="16"/>
        </w:rPr>
        <w:softHyphen/>
        <w:t>менному нападению все основные аэродромы противника (на которых установлено скопление самолетов) с та</w:t>
      </w:r>
      <w:r w:rsidRPr="00D03F3E">
        <w:rPr>
          <w:rFonts w:ascii="Times New Roman" w:hAnsi="Times New Roman"/>
          <w:color w:val="000000" w:themeColor="text1"/>
          <w:sz w:val="16"/>
          <w:szCs w:val="16"/>
        </w:rPr>
        <w:softHyphen/>
        <w:t>ким расчетом, чтобы основную массу авиации противника подавить в пер</w:t>
      </w:r>
      <w:r w:rsidRPr="00D03F3E">
        <w:rPr>
          <w:rFonts w:ascii="Times New Roman" w:hAnsi="Times New Roman"/>
          <w:color w:val="000000" w:themeColor="text1"/>
          <w:sz w:val="16"/>
          <w:szCs w:val="16"/>
        </w:rPr>
        <w:softHyphen/>
        <w:t>вый же день". Для этого ставилась за</w:t>
      </w:r>
      <w:r w:rsidRPr="00D03F3E">
        <w:rPr>
          <w:rFonts w:ascii="Times New Roman" w:hAnsi="Times New Roman"/>
          <w:color w:val="000000" w:themeColor="text1"/>
          <w:sz w:val="16"/>
          <w:szCs w:val="16"/>
        </w:rPr>
        <w:softHyphen/>
        <w:t>дача нанести повторные удары по всем атакованным аэродромам и разруше</w:t>
      </w:r>
      <w:r w:rsidRPr="00D03F3E">
        <w:rPr>
          <w:rFonts w:ascii="Times New Roman" w:hAnsi="Times New Roman"/>
          <w:color w:val="000000" w:themeColor="text1"/>
          <w:sz w:val="16"/>
          <w:szCs w:val="16"/>
        </w:rPr>
        <w:softHyphen/>
        <w:t>ния поддерживать действиями ночной бомбардировочной авиации. В течение следующих двух суток тре</w:t>
      </w:r>
      <w:r w:rsidRPr="00D03F3E">
        <w:rPr>
          <w:rFonts w:ascii="Times New Roman" w:hAnsi="Times New Roman"/>
          <w:color w:val="000000" w:themeColor="text1"/>
          <w:sz w:val="16"/>
          <w:szCs w:val="16"/>
        </w:rPr>
        <w:softHyphen/>
        <w:t>бовалось, "...не снижая упорства и на</w:t>
      </w:r>
      <w:r w:rsidRPr="00D03F3E">
        <w:rPr>
          <w:rFonts w:ascii="Times New Roman" w:hAnsi="Times New Roman"/>
          <w:color w:val="000000" w:themeColor="text1"/>
          <w:sz w:val="16"/>
          <w:szCs w:val="16"/>
        </w:rPr>
        <w:softHyphen/>
        <w:t>стойчивости, продолжать поражение авиации противника, как на основных аэродромах, так и на вновь обнару</w:t>
      </w:r>
      <w:r w:rsidRPr="00D03F3E">
        <w:rPr>
          <w:rFonts w:ascii="Times New Roman" w:hAnsi="Times New Roman"/>
          <w:color w:val="000000" w:themeColor="text1"/>
          <w:sz w:val="16"/>
          <w:szCs w:val="16"/>
        </w:rPr>
        <w:softHyphen/>
        <w:t>женных воздушной разведкой в отве</w:t>
      </w:r>
      <w:r w:rsidRPr="00D03F3E">
        <w:rPr>
          <w:rFonts w:ascii="Times New Roman" w:hAnsi="Times New Roman"/>
          <w:color w:val="000000" w:themeColor="text1"/>
          <w:sz w:val="16"/>
          <w:szCs w:val="16"/>
        </w:rPr>
        <w:softHyphen/>
        <w:t>денном районе". После двухсуточного перерыва авиационные удары по немецким аэро</w:t>
      </w:r>
      <w:r w:rsidRPr="00D03F3E">
        <w:rPr>
          <w:rFonts w:ascii="Times New Roman" w:hAnsi="Times New Roman"/>
          <w:color w:val="000000" w:themeColor="text1"/>
          <w:sz w:val="16"/>
          <w:szCs w:val="16"/>
        </w:rPr>
        <w:softHyphen/>
        <w:t>дромам возобновлялись и продолжа</w:t>
      </w:r>
      <w:r w:rsidRPr="00D03F3E">
        <w:rPr>
          <w:rFonts w:ascii="Times New Roman" w:hAnsi="Times New Roman"/>
          <w:color w:val="000000" w:themeColor="text1"/>
          <w:sz w:val="16"/>
          <w:szCs w:val="16"/>
        </w:rPr>
        <w:softHyphen/>
        <w:t>лись также в течение трех суток. "Удар по аэродромам наносить крупными группами, выделяя из их со</w:t>
      </w:r>
      <w:r w:rsidRPr="00D03F3E">
        <w:rPr>
          <w:rFonts w:ascii="Times New Roman" w:hAnsi="Times New Roman"/>
          <w:color w:val="000000" w:themeColor="text1"/>
          <w:sz w:val="16"/>
          <w:szCs w:val="16"/>
        </w:rPr>
        <w:softHyphen/>
        <w:t>става необходимое количество авиа</w:t>
      </w:r>
      <w:r w:rsidRPr="00D03F3E">
        <w:rPr>
          <w:rFonts w:ascii="Times New Roman" w:hAnsi="Times New Roman"/>
          <w:color w:val="000000" w:themeColor="text1"/>
          <w:sz w:val="16"/>
          <w:szCs w:val="16"/>
        </w:rPr>
        <w:softHyphen/>
        <w:t>ционных средств для по</w:t>
      </w:r>
      <w:r w:rsidRPr="00D03F3E">
        <w:rPr>
          <w:rFonts w:ascii="Times New Roman" w:hAnsi="Times New Roman"/>
          <w:color w:val="000000" w:themeColor="text1"/>
          <w:sz w:val="16"/>
          <w:szCs w:val="16"/>
        </w:rPr>
        <w:softHyphen/>
        <w:t>давления зенитной оборо</w:t>
      </w:r>
      <w:r w:rsidRPr="00D03F3E">
        <w:rPr>
          <w:rFonts w:ascii="Times New Roman" w:hAnsi="Times New Roman"/>
          <w:color w:val="000000" w:themeColor="text1"/>
          <w:sz w:val="16"/>
          <w:szCs w:val="16"/>
        </w:rPr>
        <w:softHyphen/>
        <w:t>ны противника. Штурмо</w:t>
      </w:r>
      <w:r w:rsidRPr="00D03F3E">
        <w:rPr>
          <w:rFonts w:ascii="Times New Roman" w:hAnsi="Times New Roman"/>
          <w:color w:val="000000" w:themeColor="text1"/>
          <w:sz w:val="16"/>
          <w:szCs w:val="16"/>
        </w:rPr>
        <w:softHyphen/>
        <w:t>викам, бомбардировщи</w:t>
      </w:r>
      <w:r w:rsidRPr="00D03F3E">
        <w:rPr>
          <w:rFonts w:ascii="Times New Roman" w:hAnsi="Times New Roman"/>
          <w:color w:val="000000" w:themeColor="text1"/>
          <w:sz w:val="16"/>
          <w:szCs w:val="16"/>
        </w:rPr>
        <w:softHyphen/>
        <w:t>кам при нападении на аэродромы в составе бомбозаправок иметь: 60% осколочных, 30% за</w:t>
      </w:r>
      <w:r w:rsidRPr="00D03F3E">
        <w:rPr>
          <w:rFonts w:ascii="Times New Roman" w:hAnsi="Times New Roman"/>
          <w:color w:val="000000" w:themeColor="text1"/>
          <w:sz w:val="16"/>
          <w:szCs w:val="16"/>
        </w:rPr>
        <w:softHyphen/>
        <w:t>жигательных и 10% фугас</w:t>
      </w:r>
      <w:r w:rsidRPr="00D03F3E">
        <w:rPr>
          <w:rFonts w:ascii="Times New Roman" w:hAnsi="Times New Roman"/>
          <w:color w:val="000000" w:themeColor="text1"/>
          <w:sz w:val="16"/>
          <w:szCs w:val="16"/>
        </w:rPr>
        <w:softHyphen/>
        <w:t>ных бомб...", — требовал в директиве исполняющий обязанности командую</w:t>
      </w:r>
      <w:r w:rsidRPr="00D03F3E">
        <w:rPr>
          <w:rFonts w:ascii="Times New Roman" w:hAnsi="Times New Roman"/>
          <w:color w:val="000000" w:themeColor="text1"/>
          <w:sz w:val="16"/>
          <w:szCs w:val="16"/>
        </w:rPr>
        <w:softHyphen/>
        <w:t>щего ВВС КА генерал-полковник Г. А. Ворожейкин. Выбор конкретных аэродромов, а также рас</w:t>
      </w:r>
      <w:r w:rsidRPr="00D03F3E">
        <w:rPr>
          <w:rFonts w:ascii="Times New Roman" w:hAnsi="Times New Roman"/>
          <w:color w:val="000000" w:themeColor="text1"/>
          <w:sz w:val="16"/>
          <w:szCs w:val="16"/>
        </w:rPr>
        <w:softHyphen/>
        <w:t>пределение сил и средств для действий по ним ос</w:t>
      </w:r>
      <w:r w:rsidRPr="00D03F3E">
        <w:rPr>
          <w:rFonts w:ascii="Times New Roman" w:hAnsi="Times New Roman"/>
          <w:color w:val="000000" w:themeColor="text1"/>
          <w:sz w:val="16"/>
          <w:szCs w:val="16"/>
        </w:rPr>
        <w:softHyphen/>
        <w:t>тавалось за командующи</w:t>
      </w:r>
      <w:r w:rsidRPr="00D03F3E">
        <w:rPr>
          <w:rFonts w:ascii="Times New Roman" w:hAnsi="Times New Roman"/>
          <w:color w:val="000000" w:themeColor="text1"/>
          <w:sz w:val="16"/>
          <w:szCs w:val="16"/>
        </w:rPr>
        <w:softHyphen/>
        <w:t>ми воздушными армиями. По данным авиационной и агентур</w:t>
      </w:r>
      <w:r w:rsidRPr="00D03F3E">
        <w:rPr>
          <w:rFonts w:ascii="Times New Roman" w:hAnsi="Times New Roman"/>
          <w:color w:val="000000" w:themeColor="text1"/>
          <w:sz w:val="16"/>
          <w:szCs w:val="16"/>
        </w:rPr>
        <w:softHyphen/>
        <w:t>ной разведки на 1 мая 1943г. только на Смоленском, Орловском, Шаталов-ском, Брянском, Харьковском и Ста</w:t>
      </w:r>
      <w:r w:rsidRPr="00D03F3E">
        <w:rPr>
          <w:rFonts w:ascii="Times New Roman" w:hAnsi="Times New Roman"/>
          <w:color w:val="000000" w:themeColor="text1"/>
          <w:sz w:val="16"/>
          <w:szCs w:val="16"/>
        </w:rPr>
        <w:softHyphen/>
        <w:t>линском аэроузлах в общей сложнос</w:t>
      </w:r>
      <w:r w:rsidRPr="00D03F3E">
        <w:rPr>
          <w:rFonts w:ascii="Times New Roman" w:hAnsi="Times New Roman"/>
          <w:color w:val="000000" w:themeColor="text1"/>
          <w:sz w:val="16"/>
          <w:szCs w:val="16"/>
        </w:rPr>
        <w:softHyphen/>
        <w:t>ти находилось свыше 1100-1200 бое</w:t>
      </w:r>
      <w:r w:rsidRPr="00D03F3E">
        <w:rPr>
          <w:rFonts w:ascii="Times New Roman" w:hAnsi="Times New Roman"/>
          <w:color w:val="000000" w:themeColor="text1"/>
          <w:sz w:val="16"/>
          <w:szCs w:val="16"/>
        </w:rPr>
        <w:softHyphen/>
        <w:t>вых самолетов люфтваффе различно</w:t>
      </w:r>
      <w:r w:rsidRPr="00D03F3E">
        <w:rPr>
          <w:rFonts w:ascii="Times New Roman" w:hAnsi="Times New Roman"/>
          <w:color w:val="000000" w:themeColor="text1"/>
          <w:sz w:val="16"/>
          <w:szCs w:val="16"/>
        </w:rPr>
        <w:softHyphen/>
        <w:t>го типа (10783).</w:t>
      </w:r>
    </w:p>
    <w:p w14:paraId="0BF0909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26E8C00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5, 10, 12 мая 1943, согласно дневниковых записей Валентина Ивановича Аккуратова (летал на АНТ-42 “дублер”) за 1943 год, все ночи напролет громим эшелоны на железнодорожных узлах. Не нужно быть стратегом, чтобы по расположению целей понять, что готовится очередное грандиозное наступление. И тщетно фашисты пытаются замаскировать свою технику - мы находим ее в любых условиях.</w:t>
      </w:r>
    </w:p>
    <w:p w14:paraId="4A1AF8E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секрет прост - противник сам наводил нас на цели. Однажды в ясную, но безлунную ночь, идя над вражеской территорией, мы заметили на черном бархате затаившейся земли вспыхивающие огни. Присмотревшись, поняли, что вспышки соответствуют знакам азбуки Морзе. То были свето- маяки, установленные у крупных населенных пунктов и у естественных ориентиров. Каждый маяк давал вспышки из двух определенных букв, которые менялись раз в десять дней. Перенеся эти данные на карту, наши штурманы быстро и точно выводили свои корабли на заданную цель. Помогали нам чужие огни и при возвращении, особенно на подбитой машине, когда штурманы </w:t>
      </w:r>
    </w:p>
    <w:p w14:paraId="07CC5AA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каждым боевым вылетом росло наше мастерство и понимание тактики врага. К примеру, если год назад мы с опаской думали о том, как бы не встретить над целью аэростаты заграждения, то теперь, отбомбившись, искали их, чтобы сжечь огнем тяжелых пулеметов. Ведь эти аэростаты представляли для нас серьезную угрозу, - обычно спаренные, они поднимали стальной трос на 6 тыс. м. Невидимые в ночи, да еше увешанные электромагнитными дистанционными минами, они были для нас куда опаснее зенитной артиллерии: Вот почему наши стрелки столь беспощадно разделывались с их серебристыми тушами.</w:t>
      </w:r>
    </w:p>
    <w:p w14:paraId="45BEF8E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успехе боевого вылета огромную роль играло знание штурманами фактической погоды над территорией врага. В частности, необходимо было иметь представление о нижней границе облачности над целью. Однако карты, которые мы получали от синоптиков, были прогностическими, расчетными. До войны было иначе - сводки погоды поступали к синоптикам со всей Европы, и их прогнозы были более или менее точными. С войной поступление такой информации прекратилось. А положение усугублялось тем, что погода над оккупированной нацистами Европой формировалась под воздействием воздушных масс, движущихся с запада и северо-запада (со стороны Бельгии, Голландии и Норвегии, захваченных гитлеровцами еще в 1940 году). Поэтому доразведку погоды пришлось возложить на экипаж самолета-осветителя. Выйдя на цель за полчаса до появления основной массы бомбардировщиков, он передавал на базу сводку, а та сообщала ее штурманам машин, идущих на цель с интервалом в 5-10 мин. Выпускать разведчика раньше было нежелательно, так как в этом случае терялся фактор внезапности и противник успевал привести в готовность противовоздушную оборону.</w:t>
      </w:r>
    </w:p>
    <w:p w14:paraId="4A60C61C" w14:textId="77777777" w:rsidR="00531570" w:rsidRPr="00D03F3E" w:rsidRDefault="00531570" w:rsidP="00D03F3E">
      <w:pPr>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rPr>
        <w:lastRenderedPageBreak/>
        <w:t xml:space="preserve">Но и здесь нам помогала самоуверенность нацистов. Дело в том, что их аэродромные станции методически передавали для летчиков Люфтваффе сводки погоды на ультракоротких волнах по международному метеокоду. А его отлично знали летчики полярной авиации, работавшие до войны на разведке ледовой обстановки в Арктике. Хотя дальность действия этих радиостанций была небольшой, но это не мешало нам получать полную картину погоды над целью" </w:t>
      </w:r>
      <w:r w:rsidRPr="00D03F3E">
        <w:rPr>
          <w:rFonts w:ascii="Times New Roman" w:hAnsi="Times New Roman"/>
          <w:color w:val="000000" w:themeColor="text1"/>
          <w:sz w:val="16"/>
          <w:szCs w:val="16"/>
          <w:lang w:val="en-US"/>
        </w:rPr>
        <w:t>(12025).</w:t>
      </w:r>
    </w:p>
    <w:p w14:paraId="7D9CFF7A" w14:textId="77777777" w:rsidR="00531570" w:rsidRPr="00D03F3E" w:rsidRDefault="00531570" w:rsidP="00D03F3E">
      <w:pPr>
        <w:spacing w:after="0" w:line="240" w:lineRule="auto"/>
        <w:jc w:val="both"/>
        <w:rPr>
          <w:rFonts w:ascii="Times New Roman" w:hAnsi="Times New Roman"/>
          <w:color w:val="000000" w:themeColor="text1"/>
          <w:sz w:val="16"/>
          <w:szCs w:val="16"/>
          <w:lang w:val="en-US"/>
        </w:rPr>
      </w:pPr>
    </w:p>
    <w:p w14:paraId="0B01ED53"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May 4th, 1943: Hitler postpones Operation Zitadelle, the powerful German counter-attack against the large Soviet bulge between Kursk and Belgorod, from May 9 to mid-June (3819).</w:t>
      </w:r>
    </w:p>
    <w:p w14:paraId="63FA4252" w14:textId="77777777" w:rsidR="00531570" w:rsidRPr="00D03F3E" w:rsidRDefault="00531570" w:rsidP="00D03F3E">
      <w:pPr>
        <w:pStyle w:val="Iauiue"/>
        <w:jc w:val="both"/>
        <w:rPr>
          <w:color w:val="000000" w:themeColor="text1"/>
          <w:sz w:val="16"/>
          <w:szCs w:val="16"/>
          <w:lang w:val="en-US"/>
        </w:rPr>
      </w:pPr>
    </w:p>
    <w:p w14:paraId="12CF345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мая 1943 А.Г. задержал операцию Цитадель и перенес ее с 9 мая на середину июня (3819).</w:t>
      </w:r>
    </w:p>
    <w:p w14:paraId="321773FA" w14:textId="77777777" w:rsidR="00531570" w:rsidRPr="00D03F3E" w:rsidRDefault="00531570" w:rsidP="00D03F3E">
      <w:pPr>
        <w:pStyle w:val="Iauiue"/>
        <w:jc w:val="both"/>
        <w:rPr>
          <w:color w:val="000000" w:themeColor="text1"/>
          <w:sz w:val="16"/>
          <w:szCs w:val="16"/>
        </w:rPr>
      </w:pPr>
    </w:p>
    <w:p w14:paraId="48C9022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мая 1943 Приказом НКО СССР №207 предусматривалось обязательное закрепление личного состава гвардейских частей на местах, перевод их в другие части и соединения только с разрешения командующего ВВС КА, введение в штат полков одной резервной эскадрильи “для обеспечения подготовки достойного пополнения” (9396).</w:t>
      </w:r>
    </w:p>
    <w:p w14:paraId="6264852E" w14:textId="77777777" w:rsidR="00531570" w:rsidRPr="00D03F3E" w:rsidRDefault="00531570" w:rsidP="00D03F3E">
      <w:pPr>
        <w:pStyle w:val="Iauiue"/>
        <w:jc w:val="both"/>
        <w:rPr>
          <w:color w:val="000000" w:themeColor="text1"/>
          <w:sz w:val="16"/>
          <w:szCs w:val="16"/>
        </w:rPr>
      </w:pPr>
    </w:p>
    <w:p w14:paraId="45562EF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мая 1943 г. вышел ПРИКАЗ № 0328 О БОРЬБЕ С ЖЕЛЕЗНОДОРОЖНЫМИ ПЕРЕВОЗКАМИ ПРОТИВНИКА И ДЕЗОРГАНИЗАЦИИ АВТОМОБИЛЬНОГО ПОДВОЗА ВО ВРАЖЕСКОМ ТЫЛУ</w:t>
      </w:r>
    </w:p>
    <w:p w14:paraId="1653CFB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Железнодорожные перевозки у противника являются основным видом его коммуникаций, по которым он подвозит материально-технические средства и людские пополнения из своего глубокого тыла.</w:t>
      </w:r>
    </w:p>
    <w:p w14:paraId="28542BC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Автотранспорт — основное средство подвоза и маневра в армейском и войсковом тылу.</w:t>
      </w:r>
    </w:p>
    <w:p w14:paraId="401FF65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Поэтому борьба с железнодорожными перевозками противника и дезорганизация автомобильного подвоза во вражеском тылу должны стать основными и постоянными задачами нашей авиации.</w:t>
      </w:r>
    </w:p>
    <w:p w14:paraId="25393B6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Боевая практика показывает, что с этими задачами наша авиация может успешно справляться. Например, 26.1.43 г. два наших самолета Ил-2, пилотируемые гвардии лейтенантом т. Смирновым и гвардии младшим лейтенантом т. Слеповым, атаковали железнодорожные составы на ст. Малороссийская. В результате этой атаки было взорвано 4 эшелона с боеприпасами, путевое хозяйство ст. Малороссийская настолько сильно было разрушено, что движение поездов через эту станцию не производилось на протяжении четырех суток.</w:t>
      </w:r>
    </w:p>
    <w:p w14:paraId="1FA9685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Бомбардировкой с воздуха в период с 8 по 11 января был поврежден железнодорожный мост через р. Кума у Канглы. Это обстоятельство привело к тому, что противник на ст. Минеральные Воды оставил большое количество подвижного состава и нам там достались богатые трофеи.</w:t>
      </w:r>
    </w:p>
    <w:p w14:paraId="41149DB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Приведенные примеры показывают, каких огромных результатов можно достигнуть, если организовать систематическое и непрерывное воздействие по вражеским железным дорогам.</w:t>
      </w:r>
    </w:p>
    <w:p w14:paraId="4EF3FDC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таким же успехом поражаются и средства автомобильного транспорта. Ударами по автоколоннам можно причинить серьезный материальный ущерб врагу, а “охотой” за легковыми автомашинами можно внести дезорганизацию в управление войсками противника и вывести из строя немало командного состава.</w:t>
      </w:r>
    </w:p>
    <w:p w14:paraId="015AA16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Приказываю:</w:t>
      </w:r>
    </w:p>
    <w:p w14:paraId="0CEE4F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Удары по железнодорожным составам, нападения на автоколонны противника и “охоту” за легковыми автомашинами в тылу врага считать важнейшими задачами наших Военно-воздушных сил в области дезорганизации подвоза у противника.</w:t>
      </w:r>
    </w:p>
    <w:p w14:paraId="2D75303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Борьбу с железнодорожными перевозками, особенно уничтожение паровозов и цистерн, нападение с воздуха на автоколонны и “охоту” за легковыми автомашинами во вражеском тылу поручить специально подготовленным и натренированным авиачастям. Для этой цели на Западном, Брянском, Центральном, Воронежском, Юго-Западном и Южном фронтах в составе воздушных армий иметь по одному штурмовому, одному истребительному полку, а в воздушных армиях всех остальных фронтов иметь по одному штурмовому или истребительному полку.</w:t>
      </w:r>
    </w:p>
    <w:p w14:paraId="03C89D2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Удары по поездам в пути наносить истребителями и штурмовиками на расстоянии до 100 или 150 км за линией фронта.</w:t>
      </w:r>
    </w:p>
    <w:p w14:paraId="4242464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Нанося удары по поездам, штурмовики, а также истребители огнем из пушек должны выводить из строя в первую очередь паровозы, а затем уже бомбами, реактивными снарядами, снарядами из пушек и зажигательными пулями из пулеметов уничтожать и сжигать вагоны.</w:t>
      </w:r>
    </w:p>
    <w:p w14:paraId="038E4D0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Нападения на автоколонны производить штурмовиками и истребителями с целью зажечь и уничтожить цистерны и грузовики, а для “охоты” за легковыми автомашинами использовать истребителей и отдельные экипажи штурмовиков, высылая их в свободный поиск на территорию противника.</w:t>
      </w:r>
    </w:p>
    <w:p w14:paraId="052E994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Командующему ВВС представить в НКО проект решения о наградах и премиях для поощрения отличившихся летчиков по разрушению железнодорожных составов и автоколонн, а также по уничтожению штабных и связных легковых автомобилей.</w:t>
      </w:r>
    </w:p>
    <w:p w14:paraId="67BB236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Контроль за выполнением настоящего приказа возлагаю на командующего ВВС Красной Армии маршала авиации т. Новикова А. А.</w:t>
      </w:r>
    </w:p>
    <w:p w14:paraId="114A858F" w14:textId="77777777" w:rsidR="00531570" w:rsidRPr="00D03F3E" w:rsidRDefault="00531570" w:rsidP="00D03F3E">
      <w:pPr>
        <w:pStyle w:val="Iauiue"/>
        <w:jc w:val="both"/>
        <w:rPr>
          <w:iCs/>
          <w:color w:val="000000" w:themeColor="text1"/>
          <w:sz w:val="16"/>
          <w:szCs w:val="16"/>
        </w:rPr>
      </w:pPr>
      <w:r w:rsidRPr="00D03F3E">
        <w:rPr>
          <w:iCs/>
          <w:color w:val="000000" w:themeColor="text1"/>
          <w:sz w:val="16"/>
          <w:szCs w:val="16"/>
        </w:rPr>
        <w:t>Народный комиссар обороны</w:t>
      </w:r>
    </w:p>
    <w:p w14:paraId="72F26F93" w14:textId="77777777" w:rsidR="00531570" w:rsidRPr="00D03F3E" w:rsidRDefault="00531570" w:rsidP="00D03F3E">
      <w:pPr>
        <w:pStyle w:val="Iauiue"/>
        <w:jc w:val="both"/>
        <w:rPr>
          <w:color w:val="000000" w:themeColor="text1"/>
          <w:sz w:val="16"/>
          <w:szCs w:val="16"/>
        </w:rPr>
      </w:pPr>
      <w:r w:rsidRPr="00D03F3E">
        <w:rPr>
          <w:iCs/>
          <w:color w:val="000000" w:themeColor="text1"/>
          <w:sz w:val="16"/>
          <w:szCs w:val="16"/>
        </w:rPr>
        <w:t xml:space="preserve">Маршал Советского Союза И. СТАЛИН </w:t>
      </w:r>
      <w:r w:rsidRPr="00D03F3E">
        <w:rPr>
          <w:color w:val="000000" w:themeColor="text1"/>
          <w:sz w:val="16"/>
          <w:szCs w:val="16"/>
        </w:rPr>
        <w:t>(9844).</w:t>
      </w:r>
    </w:p>
    <w:p w14:paraId="59AF562F" w14:textId="77777777" w:rsidR="00531570" w:rsidRPr="00D03F3E" w:rsidRDefault="00531570" w:rsidP="00D03F3E">
      <w:pPr>
        <w:pStyle w:val="Iauiue"/>
        <w:jc w:val="both"/>
        <w:rPr>
          <w:color w:val="000000" w:themeColor="text1"/>
          <w:sz w:val="16"/>
          <w:szCs w:val="16"/>
        </w:rPr>
      </w:pPr>
    </w:p>
    <w:p w14:paraId="368A259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мая 1943 вышло Постановление ГКО№ 3288 О комиссии для проверки положения дел с питанием красноармейцев на Калининском фронте.РГАНИР, Фонд ГКО, д. 113, лл. 48 (11012).</w:t>
      </w:r>
    </w:p>
    <w:p w14:paraId="6CD1B806"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48D9CAA"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07C0018C" w14:textId="77777777" w:rsidR="00531570" w:rsidRPr="00D03F3E" w:rsidRDefault="00531570" w:rsidP="00D03F3E">
      <w:pPr>
        <w:pStyle w:val="Iauiue"/>
        <w:jc w:val="both"/>
        <w:rPr>
          <w:iCs/>
          <w:color w:val="000000" w:themeColor="text1"/>
          <w:sz w:val="16"/>
          <w:szCs w:val="16"/>
        </w:rPr>
      </w:pPr>
    </w:p>
    <w:p w14:paraId="6C081EE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мая 1943 года</w:t>
      </w:r>
    </w:p>
    <w:p w14:paraId="0E95F22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ЛИЧНОЕ И СЕКРЕТНОЕ ПОСЛАНИЕ ПРЕМЬЕРА И. В. СТАЛИНА ПРЕМЬЕР-МИНИСТРУ г-ну У. ЧЕРЧИЛЛЮ</w:t>
      </w:r>
    </w:p>
    <w:p w14:paraId="2977E6F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Посылая Вам мое послание 21 апреля о перерыве отношений с польским правительством, я исходил из того, что начатая еще 15 апреля поляками известная антисоветская кампания в печати, усугубленная сперва заявлением польского министерства национальной обороны, а затем заявлением польского правительства 17 апреля, не встретила чьего-либо противодействия в Лондоне, причем Советское Правительство не было предупреждено о готовящейся антисоветской кампании со стороны поляков, хотя трудно представить, чтобы Британское Правительство не было информировано о проектировавшейся кампании. Я думаю, что с точки зрения духа нашего договора было бы вполне естественно удержать одного из союзников от нанесения удара другому союзнику, особенно когда такой удар оказывает прямую помощь нашему общему врагу. Во всяком случае, я так понимаю обязанности союзника. Тем не менее я считал нужным информировать Вас о точке зрения Советского Правительства по вопросу о польско-советских отношениях. Поскольку поляки продолжали все больше раздувать клеветническую антисоветскую кампанию, не встречая противодействия в Лондоне, нельзя было ожидать, что терпение Советского Правительства может быть безграничным.</w:t>
      </w:r>
    </w:p>
    <w:p w14:paraId="77E3491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 сообщаете о том, что наведете должную дисциплину в польской прессе. Я выражаю Вам благодарность за это, но я сомневаюсь, чтобы так легко было привести к дисциплине нынешнее польское правительство, его окружение из прогитлеровских крикунов и его разнузданную прессу. Несмотря на Ваше сообщение о готовности польского правительства лояльно работать с Советским Правительством, я сомневаюсь, чтобы оно могло сдержать свое слово. В окружении польского правительства имеется такая масса прогитлеровских элементов, а Сикорский до того беспомощен перед ними и запуган ими, что нет никакой уверенности, что Сикорский сумеет сохранить лояльность в отношениях с Советским Союзом, если даже предположить, что он действительно хочет быть лояльным.</w:t>
      </w:r>
    </w:p>
    <w:p w14:paraId="6577271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Что касается пущенных гитлеровцами слухов, что будто бы в СССР создается новое польское правительство, то вряд ли эти выдумки нуждаются в опровержении. Наш Посол уже говорил Вам об этом. Это не исключает того, чтобы Великобритания, СССР и США приняли меры к улучшению состава нынешнего польского правительства с точки зрения укрепления единого фронта союзников против Гитлера. И чем скорее это будет сделано, тем лучше. Г-н Идеи по возвращении из США в своей беседе с Майским сообщил, что сторонники Президента Рузвельта в США считают нынешнее польское правительство не имеющим благоприятных перспектив и сомневаются, чтобы оно имело шансы вернуться в Польшу и стать у власти, хотя они хотели бы персонально сохранить Сикорского. Мне кажется, что насчет перспектив нынешнего польского правительства американцы близки к истине.</w:t>
      </w:r>
    </w:p>
    <w:p w14:paraId="2724227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Что же касается польских подданных в СССР, количество которых невелико, и семей польских солдат, эвакуировавшихся в Иран, то Советское Правительство и раньше не ставило препятствий к их выезду из СССР.</w:t>
      </w:r>
    </w:p>
    <w:p w14:paraId="304BA33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Получил Ваше послание о последних событиях в Тунисе. Благодарю Вас за сообщение. Я рад успехам англо-американских войск и желаю им еще больших успехов (7430).</w:t>
      </w:r>
    </w:p>
    <w:p w14:paraId="60C09F30" w14:textId="77777777" w:rsidR="00531570" w:rsidRPr="00D03F3E" w:rsidRDefault="00531570" w:rsidP="00D03F3E">
      <w:pPr>
        <w:pStyle w:val="Iauiue"/>
        <w:jc w:val="both"/>
        <w:rPr>
          <w:color w:val="000000" w:themeColor="text1"/>
          <w:sz w:val="16"/>
          <w:szCs w:val="16"/>
        </w:rPr>
      </w:pPr>
    </w:p>
    <w:p w14:paraId="58A7CF19"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мая в 1943 году МИД Великобритании Антони Иден выступил в Палате общин по поводу катыньской проблемы с заявлением, в котором отрицал причастность к расстрелам польских офицеров СССР (14881).</w:t>
      </w:r>
    </w:p>
    <w:p w14:paraId="38C0EA0B" w14:textId="77777777" w:rsidR="006C5519" w:rsidRPr="00D03F3E" w:rsidRDefault="006C5519" w:rsidP="00D03F3E">
      <w:pPr>
        <w:pStyle w:val="Iauiue"/>
        <w:jc w:val="both"/>
        <w:rPr>
          <w:color w:val="000000" w:themeColor="text1"/>
          <w:sz w:val="16"/>
          <w:szCs w:val="16"/>
        </w:rPr>
      </w:pPr>
    </w:p>
    <w:p w14:paraId="5BDF7A6A" w14:textId="77777777" w:rsidR="006C5519" w:rsidRPr="00D03F3E" w:rsidRDefault="006C5519" w:rsidP="00D03F3E">
      <w:pPr>
        <w:pStyle w:val="Iauiue"/>
        <w:jc w:val="both"/>
        <w:rPr>
          <w:iCs/>
          <w:color w:val="000000" w:themeColor="text1"/>
          <w:sz w:val="16"/>
          <w:szCs w:val="16"/>
        </w:rPr>
      </w:pPr>
      <w:r w:rsidRPr="00D03F3E">
        <w:rPr>
          <w:iCs/>
          <w:color w:val="000000" w:themeColor="text1"/>
          <w:sz w:val="16"/>
          <w:szCs w:val="16"/>
        </w:rPr>
        <w:t>За ребежом:</w:t>
      </w:r>
    </w:p>
    <w:p w14:paraId="27682D38" w14:textId="77777777" w:rsidR="006C5519" w:rsidRPr="00D03F3E" w:rsidRDefault="006C5519" w:rsidP="00D03F3E">
      <w:pPr>
        <w:pStyle w:val="Iauiue"/>
        <w:jc w:val="both"/>
        <w:rPr>
          <w:iCs/>
          <w:color w:val="000000" w:themeColor="text1"/>
          <w:sz w:val="16"/>
          <w:szCs w:val="16"/>
        </w:rPr>
      </w:pPr>
    </w:p>
    <w:p w14:paraId="629B88B8" w14:textId="77777777" w:rsidR="006C5519" w:rsidRPr="00D03F3E" w:rsidRDefault="006C551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xml:space="preserve">4 мая в 1943 году бюро аэронавтики США заказало фирме «Boeing» постройку трех прототипов истребителя (серийные номера 57984, 57985 и 57986), проходившего уже под военным индексом </w:t>
      </w:r>
      <w:hyperlink r:id="rId133" w:tgtFrame="_blank" w:history="1">
        <w:r w:rsidRPr="00D03F3E">
          <w:rPr>
            <w:rFonts w:ascii="Times New Roman" w:hAnsi="Times New Roman"/>
            <w:color w:val="000000" w:themeColor="text1"/>
            <w:sz w:val="16"/>
            <w:szCs w:val="16"/>
          </w:rPr>
          <w:t xml:space="preserve">«XF8B». </w:t>
        </w:r>
      </w:hyperlink>
      <w:r w:rsidRPr="00D03F3E">
        <w:rPr>
          <w:rFonts w:ascii="Times New Roman" w:hAnsi="Times New Roman"/>
          <w:color w:val="000000" w:themeColor="text1"/>
          <w:sz w:val="16"/>
          <w:szCs w:val="16"/>
        </w:rPr>
        <w:t>Конструкция опытного экземпляра при этом претерпела значительные изменения. Для улучшения условий хранения консоли крыла истребителя выполнили складывающимися. Масляные радиаторы сначала перенесли в крыло, но вскоре главный инженер Лайл Э.Вуд распорядился перепроектировать их и поместить с один общий маслорадиатор под фюзеляжем. Основные стойки шасси по проекту убирались в крыло по направлению к фюзеляжу, однако их тоже переделали и в конечном виде они убирались назад по полету с разворотом на 90 градусов. Такая схема была успешно пробована ещё в 1934 году и использовалась на истребителях фирмы Curtiss. Окончательный вид прототипа оформился только к октябрю 1943 года (14881).</w:t>
      </w:r>
    </w:p>
    <w:p w14:paraId="03D8F0B6" w14:textId="77777777" w:rsidR="006C5519" w:rsidRPr="00D03F3E" w:rsidRDefault="006C5519" w:rsidP="00D03F3E">
      <w:pPr>
        <w:spacing w:after="0" w:line="240" w:lineRule="auto"/>
        <w:jc w:val="both"/>
        <w:rPr>
          <w:rFonts w:ascii="Times New Roman" w:hAnsi="Times New Roman"/>
          <w:color w:val="000000" w:themeColor="text1"/>
          <w:sz w:val="16"/>
          <w:szCs w:val="16"/>
        </w:rPr>
      </w:pPr>
    </w:p>
    <w:p w14:paraId="34971EE1"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24887063" w14:textId="77777777" w:rsidR="00531570" w:rsidRPr="00D03F3E" w:rsidRDefault="00531570" w:rsidP="00D03F3E">
      <w:pPr>
        <w:pStyle w:val="Iauiue"/>
        <w:jc w:val="both"/>
        <w:rPr>
          <w:iCs/>
          <w:color w:val="000000" w:themeColor="text1"/>
          <w:sz w:val="16"/>
          <w:szCs w:val="16"/>
        </w:rPr>
      </w:pPr>
    </w:p>
    <w:p w14:paraId="214C46D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5 мая по 12 июня 1943 г в НИИ ВВС КА проходил государственные испытания учебно-тренировочный Ил-2У АМ-38с (зав. №1876152) производства завода №18. Испытания проводили ведущий инженер м-р В.С.Холопов и летчик-испытатель м-р А.К. Долгов. На самолете устанавливался винт АВ-5л-158. Вес пустого самолета составил 4160 кг, нормальный полетный вес в «вывозном» вар 4926 кг, а в варианте</w:t>
      </w:r>
      <w:r w:rsidRPr="00D03F3E">
        <w:rPr>
          <w:rFonts w:ascii="Times New Roman" w:hAnsi="Times New Roman"/>
          <w:iCs/>
          <w:color w:val="000000" w:themeColor="text1"/>
          <w:sz w:val="16"/>
          <w:szCs w:val="16"/>
        </w:rPr>
        <w:t xml:space="preserve"> «для отработки боевогоприменения» - </w:t>
      </w:r>
      <w:r w:rsidRPr="00D03F3E">
        <w:rPr>
          <w:rFonts w:ascii="Times New Roman" w:hAnsi="Times New Roman"/>
          <w:color w:val="000000" w:themeColor="text1"/>
          <w:sz w:val="16"/>
          <w:szCs w:val="16"/>
        </w:rPr>
        <w:t>5195 кг. Центровка машины! но-боевом варианте равнялась 26,5% САХ, вследствие чего Ил-2У АМ-38ф имел лучшую продольную устойчивость и по технике пилотирования оказался проще Ил-2 АМ-38ф. При полетном весе 5195 кг максималь скорость полета Ил-2У АМ-38ф у земли 390 км/ч, а на высоте 1125м - 403 км/часю Время подъема на высоту 1000 м - 2 мин, на 3000 м - 7 мин. (9981,178).</w:t>
      </w:r>
    </w:p>
    <w:p w14:paraId="0646FE9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6CA11E06"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с 5 мая по 5 сентября 1944 г. в услови</w:t>
      </w:r>
      <w:r w:rsidRPr="00D03F3E">
        <w:rPr>
          <w:rFonts w:ascii="Times New Roman" w:hAnsi="Times New Roman"/>
          <w:color w:val="000000" w:themeColor="text1"/>
          <w:sz w:val="16"/>
          <w:szCs w:val="16"/>
        </w:rPr>
        <w:softHyphen/>
        <w:t>ях учебно-боевой и боевой работы 161 и 609 ИАП 330 Островской ИАД 14 ВА на 3-м Прибалтийском фронте провели войсковые испытания опытных анероидов автомата смеси РС-2 (малогабаритные и равновысотные), которык устано</w:t>
      </w:r>
      <w:r w:rsidRPr="00D03F3E">
        <w:rPr>
          <w:rFonts w:ascii="Times New Roman" w:hAnsi="Times New Roman"/>
          <w:color w:val="000000" w:themeColor="text1"/>
          <w:sz w:val="16"/>
          <w:szCs w:val="16"/>
        </w:rPr>
        <w:softHyphen/>
        <w:t>вили вместо серийных на Ла-5 с АШ-82ФН.</w:t>
      </w:r>
    </w:p>
    <w:p w14:paraId="7C09B719"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процессе испытаний моторы работали на всех режимах от крейсерских до форсажа включительно на 1-й скорости нагнетателя. Всего за время испытаний самолёты, обо</w:t>
      </w:r>
      <w:r w:rsidRPr="00D03F3E">
        <w:rPr>
          <w:rFonts w:ascii="Times New Roman" w:hAnsi="Times New Roman"/>
          <w:color w:val="000000" w:themeColor="text1"/>
          <w:sz w:val="16"/>
          <w:szCs w:val="16"/>
        </w:rPr>
        <w:softHyphen/>
        <w:t>рудованные опытными анероидами автомата РС-2, совершили 1620 полётов, из них с малогабаритными анероидами — 772, с равновысотными анероидами — 848.</w:t>
      </w:r>
    </w:p>
    <w:p w14:paraId="1BC24214"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Малогабаритные анероиды из бериллиевой бронзы в процессе испытаний обеспечи</w:t>
      </w:r>
      <w:r w:rsidRPr="00D03F3E">
        <w:rPr>
          <w:rFonts w:ascii="Times New Roman" w:hAnsi="Times New Roman"/>
          <w:color w:val="000000" w:themeColor="text1"/>
          <w:sz w:val="16"/>
          <w:szCs w:val="16"/>
        </w:rPr>
        <w:softHyphen/>
        <w:t>вали стабильный расход топлива и признаков усадки не имели. В конце испытаний на 11 машинах сняли комплекты анероидов для осмотра их и обмера после испытаний. Высота каждого из трёх газонаполненных анероидов после 37-70 часов работы осталась практически без изменения (отклонения до 0,05 мм — в пределах точности). Незначи</w:t>
      </w:r>
      <w:r w:rsidRPr="00D03F3E">
        <w:rPr>
          <w:rFonts w:ascii="Times New Roman" w:hAnsi="Times New Roman"/>
          <w:color w:val="000000" w:themeColor="text1"/>
          <w:sz w:val="16"/>
          <w:szCs w:val="16"/>
        </w:rPr>
        <w:softHyphen/>
        <w:t>тельная подрегулировка состава смеси, имевшая место при испытаниях малогабарит</w:t>
      </w:r>
      <w:r w:rsidRPr="00D03F3E">
        <w:rPr>
          <w:rFonts w:ascii="Times New Roman" w:hAnsi="Times New Roman"/>
          <w:color w:val="000000" w:themeColor="text1"/>
          <w:sz w:val="16"/>
          <w:szCs w:val="16"/>
        </w:rPr>
        <w:softHyphen/>
        <w:t>ных анероидов, вызывалась, в основном, неточной первоначальной регулировкой.</w:t>
      </w:r>
    </w:p>
    <w:p w14:paraId="066DC6D2"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Малогабаритные анероиды обеспечили нормальную работу АШ-82ФН на 1 -й скорости нагнетателя на всех режимах от малого газа до форсажа включительно как на земле, так и в воздухе при горизонтальном полёте и при различных эволюциях (виражи, боевые развороты, пикирование, планирование и т.п.). Во время учебно-боевой подготовки вы</w:t>
      </w:r>
      <w:r w:rsidRPr="00D03F3E">
        <w:rPr>
          <w:rFonts w:ascii="Times New Roman" w:hAnsi="Times New Roman"/>
          <w:color w:val="000000" w:themeColor="text1"/>
          <w:sz w:val="16"/>
          <w:szCs w:val="16"/>
        </w:rPr>
        <w:softHyphen/>
        <w:t>полнили до 15 полётов на 2-й скорости нагнетателя до высот 6000-7000 м. По заявле</w:t>
      </w:r>
      <w:r w:rsidRPr="00D03F3E">
        <w:rPr>
          <w:rFonts w:ascii="Times New Roman" w:hAnsi="Times New Roman"/>
          <w:color w:val="000000" w:themeColor="text1"/>
          <w:sz w:val="16"/>
          <w:szCs w:val="16"/>
        </w:rPr>
        <w:softHyphen/>
        <w:t>ниям лётчиков, отклонений от нормальной работы моторов как в момент переключения скоростей, так и при работе на 2-й скорости нагнетателя с малогабаритными анероида</w:t>
      </w:r>
      <w:r w:rsidRPr="00D03F3E">
        <w:rPr>
          <w:rFonts w:ascii="Times New Roman" w:hAnsi="Times New Roman"/>
          <w:color w:val="000000" w:themeColor="text1"/>
          <w:sz w:val="16"/>
          <w:szCs w:val="16"/>
        </w:rPr>
        <w:softHyphen/>
        <w:t>ми не наблюдалось.</w:t>
      </w:r>
    </w:p>
    <w:p w14:paraId="3C7119B1"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Равновысотные анероиды из фосфористой бронзы в процессе испытаний не обеспе</w:t>
      </w:r>
      <w:r w:rsidRPr="00D03F3E">
        <w:rPr>
          <w:rFonts w:ascii="Times New Roman" w:hAnsi="Times New Roman"/>
          <w:color w:val="000000" w:themeColor="text1"/>
          <w:sz w:val="16"/>
          <w:szCs w:val="16"/>
        </w:rPr>
        <w:softHyphen/>
        <w:t>чивали стабильного расхода топлива. 6 комплектов равновысотных анероидов сняли с испытаний из-за резкого забогащения смеси после 5 ч 20 мин — 52 ч 20 мин работы. Обмер высоты и проверка усадки снятых анероидов на заводе № 133 показали, что все они имеют усадку от 0,43 до 1,5 мм на комплект.</w:t>
      </w:r>
    </w:p>
    <w:p w14:paraId="59F36601"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малогабаритные анероиды решили проблему нестабильной работы ре</w:t>
      </w:r>
      <w:r w:rsidRPr="00D03F3E">
        <w:rPr>
          <w:rFonts w:ascii="Times New Roman" w:hAnsi="Times New Roman"/>
          <w:color w:val="000000" w:themeColor="text1"/>
          <w:sz w:val="16"/>
          <w:szCs w:val="16"/>
        </w:rPr>
        <w:softHyphen/>
        <w:t>гулятора РС-2. Кроме того, завод № 296 переконструировал установку РС-2 на насосе, выпустив его улучшенный вариант НБ-ЗФА. Вибрационные нагрузки на анероиды суще</w:t>
      </w:r>
      <w:r w:rsidRPr="00D03F3E">
        <w:rPr>
          <w:rFonts w:ascii="Times New Roman" w:hAnsi="Times New Roman"/>
          <w:color w:val="000000" w:themeColor="text1"/>
          <w:sz w:val="16"/>
          <w:szCs w:val="16"/>
        </w:rPr>
        <w:softHyphen/>
        <w:t>ственно снизились. Однако М-82ФН с новым насосом требовал изменённой моторамы, и поэтому его внедрение в серию отложили до лучших времен — до конца войны.</w:t>
      </w:r>
    </w:p>
    <w:p w14:paraId="699D11DF"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найденное решение, заводы № 296 и № 19 продолжали выпускать агре</w:t>
      </w:r>
      <w:r w:rsidRPr="00D03F3E">
        <w:rPr>
          <w:rFonts w:ascii="Times New Roman" w:hAnsi="Times New Roman"/>
          <w:color w:val="000000" w:themeColor="text1"/>
          <w:sz w:val="16"/>
          <w:szCs w:val="16"/>
        </w:rPr>
        <w:softHyphen/>
        <w:t>гаты НБ-ЗУ и моторы М-82ФН со старыми анероидами. В некоторых строевых частях они в индивидуальном порядке менялись на малогабаритные, а в большинстве — пос</w:t>
      </w:r>
      <w:r w:rsidRPr="00D03F3E">
        <w:rPr>
          <w:rFonts w:ascii="Times New Roman" w:hAnsi="Times New Roman"/>
          <w:color w:val="000000" w:themeColor="text1"/>
          <w:sz w:val="16"/>
          <w:szCs w:val="16"/>
        </w:rPr>
        <w:softHyphen/>
        <w:t>ле появления усадки менялись на такие же. И только с 9 июля 1945 г. завод № 19 на все выпускаемые моторы стал устанавливать только малогабаритные анероиды (15829).</w:t>
      </w:r>
    </w:p>
    <w:p w14:paraId="49C38C3A" w14:textId="77777777" w:rsidR="00490449" w:rsidRPr="00D03F3E" w:rsidRDefault="00490449" w:rsidP="00D03F3E">
      <w:pPr>
        <w:spacing w:after="0" w:line="240" w:lineRule="auto"/>
        <w:jc w:val="both"/>
        <w:rPr>
          <w:rFonts w:ascii="Times New Roman" w:hAnsi="Times New Roman"/>
          <w:color w:val="000000" w:themeColor="text1"/>
          <w:sz w:val="16"/>
          <w:szCs w:val="16"/>
        </w:rPr>
      </w:pPr>
    </w:p>
    <w:p w14:paraId="6DE75C5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мая 1943 вышел приказ НКАП о переводе ОКБ Г.М.Б. из Омска на завод 477 в Красноярске (2555,244) - т.к. омский завод был мал доя постройки тяжелого гидросамолета, который разрабатывал Г.М.Б. (3939,4).</w:t>
      </w:r>
    </w:p>
    <w:p w14:paraId="5FCE7C8D" w14:textId="77777777" w:rsidR="00531570" w:rsidRPr="00D03F3E" w:rsidRDefault="00531570" w:rsidP="00D03F3E">
      <w:pPr>
        <w:pStyle w:val="Iauiue"/>
        <w:jc w:val="both"/>
        <w:rPr>
          <w:color w:val="000000" w:themeColor="text1"/>
          <w:sz w:val="16"/>
          <w:szCs w:val="16"/>
        </w:rPr>
      </w:pPr>
    </w:p>
    <w:p w14:paraId="0F8D0C4F"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5 мая в 1943 году в связи с отсутствием в Омске соответствующих производственных мощностей для постройки многоцелевой летающей лодки </w:t>
      </w:r>
      <w:hyperlink r:id="rId134" w:tgtFrame="_blank" w:history="1">
        <w:r w:rsidRPr="00D03F3E">
          <w:rPr>
            <w:rFonts w:ascii="Times New Roman" w:hAnsi="Times New Roman"/>
            <w:color w:val="000000" w:themeColor="text1"/>
            <w:sz w:val="16"/>
            <w:szCs w:val="16"/>
          </w:rPr>
          <w:t xml:space="preserve">«ЛЛ-143», </w:t>
        </w:r>
      </w:hyperlink>
      <w:r w:rsidRPr="00D03F3E">
        <w:rPr>
          <w:rFonts w:ascii="Times New Roman" w:hAnsi="Times New Roman"/>
          <w:color w:val="000000" w:themeColor="text1"/>
          <w:sz w:val="16"/>
          <w:szCs w:val="16"/>
        </w:rPr>
        <w:t>приказом НКАП ОКБ Г.М.Бериева перебазировалось в Красноярск на завод №477 (14882).</w:t>
      </w:r>
    </w:p>
    <w:p w14:paraId="311DF96F" w14:textId="77777777" w:rsidR="00490449" w:rsidRPr="00D03F3E" w:rsidRDefault="00490449" w:rsidP="00D03F3E">
      <w:pPr>
        <w:spacing w:after="0" w:line="240" w:lineRule="auto"/>
        <w:jc w:val="both"/>
        <w:rPr>
          <w:rFonts w:ascii="Times New Roman" w:hAnsi="Times New Roman"/>
          <w:color w:val="000000" w:themeColor="text1"/>
          <w:sz w:val="16"/>
          <w:szCs w:val="16"/>
        </w:rPr>
      </w:pPr>
    </w:p>
    <w:p w14:paraId="65F6DCC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мая 1943 г. ОКБ-145 гл.к. И.И.Картукова в соответствии с приказом НКАП №272 со всем оборудованием и оп. цехом возвращено на новое место в г.Костино М.О. на завод №455 НКАП с образованием нового ОКБ-455 НКАП. Создан химический разовый прибор ХАРП-500-300А для НКВМФ. С 1946 г. начались работы по пиропатронам для выбрасываемых кресел летчиков по типу установленных на самолетах Не-162 и Не-219 (10777).</w:t>
      </w:r>
    </w:p>
    <w:p w14:paraId="4A80CD1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A496697" w14:textId="77777777" w:rsidR="00531570" w:rsidRPr="00D03F3E" w:rsidRDefault="00C81444" w:rsidP="00D03F3E">
      <w:pPr>
        <w:shd w:val="clear" w:color="auto" w:fill="FFFFFF"/>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7CF18A44" w14:textId="77777777" w:rsidR="00531570" w:rsidRPr="00D03F3E" w:rsidRDefault="00531570" w:rsidP="00D03F3E">
      <w:pPr>
        <w:shd w:val="clear" w:color="auto" w:fill="FFFFFF"/>
        <w:spacing w:after="0" w:line="240" w:lineRule="auto"/>
        <w:jc w:val="both"/>
        <w:rPr>
          <w:rFonts w:ascii="Times New Roman" w:hAnsi="Times New Roman"/>
          <w:iCs/>
          <w:color w:val="000000" w:themeColor="text1"/>
          <w:sz w:val="16"/>
          <w:szCs w:val="16"/>
        </w:rPr>
      </w:pPr>
    </w:p>
    <w:p w14:paraId="5952439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мая 1943 года две гаубицы Д-1 поступили на Гороховецкий полигон для проведения полигонных испытаний. Опытные образцы имели небольшие различия в противооткатных устройствах. Первый образец уже был отстрелян на заводе. Полигонные испытания провели в экстренном порядке за два дня (5 и 6 мая). Всего было сделано 1217 выстрелов. Скорострельность как с исправлением, так и без исправления наводки оказалась 34 выстрела в минуту (3861).</w:t>
      </w:r>
    </w:p>
    <w:p w14:paraId="43F8FA69" w14:textId="77777777" w:rsidR="00531570" w:rsidRPr="00D03F3E" w:rsidRDefault="00531570" w:rsidP="00D03F3E">
      <w:pPr>
        <w:pStyle w:val="Iauiue"/>
        <w:jc w:val="both"/>
        <w:rPr>
          <w:color w:val="000000" w:themeColor="text1"/>
          <w:sz w:val="16"/>
          <w:szCs w:val="16"/>
        </w:rPr>
      </w:pPr>
    </w:p>
    <w:p w14:paraId="41AB6B35" w14:textId="77777777" w:rsidR="006B25EE" w:rsidRPr="00D03F3E" w:rsidRDefault="006B25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мая 1943 вышло Постановление ГКО № 3290 О восстановлении производства 122 мм корпусных пушек образца 1931/37 г. и изготовлении опытных образцов легких корпусных пушек.РГАНИР, Фонд ГКО, д. 113, лл. 51-53 (11012).</w:t>
      </w:r>
    </w:p>
    <w:p w14:paraId="683C9AA8" w14:textId="77777777" w:rsidR="006B25EE" w:rsidRPr="00D03F3E" w:rsidRDefault="006B25EE" w:rsidP="00D03F3E">
      <w:pPr>
        <w:spacing w:after="0" w:line="240" w:lineRule="auto"/>
        <w:jc w:val="both"/>
        <w:rPr>
          <w:rFonts w:ascii="Times New Roman" w:hAnsi="Times New Roman"/>
          <w:color w:val="000000" w:themeColor="text1"/>
          <w:sz w:val="16"/>
          <w:szCs w:val="16"/>
        </w:rPr>
      </w:pPr>
    </w:p>
    <w:p w14:paraId="78060707"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5 мая 1943 года было подписано постановление ГКО №3290 «О восстановлении производства 122-мм корпусных пушек образца 1931/37 года и изготовлении опытных образцов лёгких корпусных пушек». Так началась история разработки 100-мм орудия БС-3, официально полевой пушки, но фактически противотанковой. Кроме того, 122-мм орудия Д-2, М5 разработки КБ завода №172 и С-4 разработки ЦАКБ также разрабатывались для борьбы с танками (17717).</w:t>
      </w:r>
    </w:p>
    <w:p w14:paraId="1A489C3E" w14:textId="77777777" w:rsidR="006B25EE" w:rsidRPr="00D03F3E" w:rsidRDefault="006B25EE" w:rsidP="00D03F3E">
      <w:pPr>
        <w:pStyle w:val="12a"/>
        <w:shd w:val="clear" w:color="auto" w:fill="auto"/>
        <w:spacing w:after="0" w:line="240" w:lineRule="auto"/>
        <w:jc w:val="both"/>
        <w:rPr>
          <w:color w:val="000000" w:themeColor="text1"/>
          <w:sz w:val="16"/>
          <w:szCs w:val="16"/>
        </w:rPr>
      </w:pPr>
    </w:p>
    <w:p w14:paraId="6E9EC45F" w14:textId="77777777" w:rsidR="006B25EE" w:rsidRPr="00D03F3E" w:rsidRDefault="006B25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мая 1943 года Сталин подписал постановление ГКО №3290 сс «О восстановлении производства 122-мм корпусных пушек образца 1931–1937 гг. и изготовлении опытных образцов лёгких корпусных пушек». Согласно ему, запускалась разработка «100-мм корпусной пушки с баллистикой морской зенитной пушки Б-34». Наиболее успешной стала 100-мм система С-3 разработки Центрального артиллерийского конструкторского бюро (ЦАКБ), спустя полтора года запущенная в серию как БС-3. Этому документу предшествовало постановление ГКО №3187сс «О мероприятиях по усилению противотанковой обороны», датированное 15 апреля 1943 года, там речь также шла о 100-мм орудии. Одновременно с разработкой корпусной пушки запускался выпуск бронебойных снарядов к ней, таким образом, вопрос по боеприпасам данного типа снимался сам собой.</w:t>
      </w:r>
    </w:p>
    <w:p w14:paraId="5BE06626" w14:textId="77777777" w:rsidR="006B25EE" w:rsidRPr="00D03F3E" w:rsidRDefault="006B25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Причин выбора системы с баллистикой Б-34 оказалось несколько. Во-первых, морская система изначально имела унитарное заряжание, чего так и не удалось добиться на 107-мм орудии М-60 и её танковой версии. Во-вторых, снаряд Б-34 обладал высокой начальной скоростью — 910 м/с. В то же время начальная скорость снаряда ЗИС-6 (танковой пушки на базе 107-мм орудия М-60) составляла 865 м/с. В-третьих, разница между бронебойными снарядами к Б-34 и М-60 оказалась менее двух килограммов. Наконец, производство ЗИС-6 и М-60 прекратили в 1941 году, к тому же танковую версию М-60 так до конца и не доработали. В результате к осени 1943 года калибр 107 мм окончательно исчез из перспективных разработок (18252).</w:t>
      </w:r>
    </w:p>
    <w:p w14:paraId="4ABBA089" w14:textId="77777777" w:rsidR="006B25EE" w:rsidRPr="00D03F3E" w:rsidRDefault="006B25EE" w:rsidP="00D03F3E">
      <w:pPr>
        <w:spacing w:after="0" w:line="240" w:lineRule="auto"/>
        <w:jc w:val="both"/>
        <w:rPr>
          <w:rFonts w:ascii="Times New Roman" w:hAnsi="Times New Roman"/>
          <w:color w:val="000000" w:themeColor="text1"/>
          <w:sz w:val="16"/>
          <w:szCs w:val="16"/>
        </w:rPr>
      </w:pPr>
    </w:p>
    <w:p w14:paraId="1B0A94B8" w14:textId="77777777" w:rsidR="006B25EE" w:rsidRPr="00D03F3E" w:rsidRDefault="006B25E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мая 1943 года было подписано постановление ГКО №3290 «О восстановлении производства 122-мм корпусных пушек образца 1931/37 года и изготовлении опытных образцов лёгких корпусных пушек». Согласно ему, с мая 1943 года ожидался выпуск 25 орудий данного типа, а ежемесячно выпускалось по 50 орудий (18335).</w:t>
      </w:r>
    </w:p>
    <w:p w14:paraId="7FF80E5D" w14:textId="77777777" w:rsidR="006B25EE" w:rsidRPr="00D03F3E" w:rsidRDefault="006B25EE" w:rsidP="00D03F3E">
      <w:pPr>
        <w:spacing w:after="0" w:line="240" w:lineRule="auto"/>
        <w:jc w:val="both"/>
        <w:rPr>
          <w:rFonts w:ascii="Times New Roman" w:hAnsi="Times New Roman"/>
          <w:color w:val="000000" w:themeColor="text1"/>
          <w:sz w:val="16"/>
          <w:szCs w:val="16"/>
        </w:rPr>
      </w:pPr>
    </w:p>
    <w:p w14:paraId="6B32604A" w14:textId="77777777" w:rsidR="002A4A6D" w:rsidRPr="00D03F3E" w:rsidRDefault="002A4A6D"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5 мая 1943 года Сталин подписал постановление ГКО №3290сс " О восстановлении производства 122 мм корпусных пушек образца 1931/37 г. и изготовлении опытных образцов легких корпусных пушек". В тот же день были официально запущены работы по 85-мм танковым и самоходным пушкам (21143).</w:t>
      </w:r>
    </w:p>
    <w:p w14:paraId="06A4EF26" w14:textId="77777777" w:rsidR="002A4A6D" w:rsidRPr="00D03F3E" w:rsidRDefault="002A4A6D" w:rsidP="00D03F3E">
      <w:pPr>
        <w:shd w:val="clear" w:color="auto" w:fill="FFFFFF"/>
        <w:spacing w:after="0" w:line="240" w:lineRule="auto"/>
        <w:jc w:val="both"/>
        <w:rPr>
          <w:rFonts w:ascii="Times New Roman" w:eastAsia="Times New Roman" w:hAnsi="Times New Roman"/>
          <w:color w:val="0070C0"/>
          <w:sz w:val="16"/>
          <w:szCs w:val="16"/>
          <w:lang w:eastAsia="ru-RU"/>
        </w:rPr>
      </w:pPr>
    </w:p>
    <w:p w14:paraId="00772674" w14:textId="77777777" w:rsidR="002A4A6D" w:rsidRPr="00D03F3E" w:rsidRDefault="002A4A6D" w:rsidP="00D03F3E">
      <w:pPr>
        <w:spacing w:after="0" w:line="240" w:lineRule="auto"/>
        <w:jc w:val="both"/>
        <w:rPr>
          <w:rStyle w:val="631"/>
          <w:rFonts w:ascii="Times New Roman" w:hAnsi="Times New Roman" w:cs="Times New Roman"/>
          <w:color w:val="0070C0"/>
          <w:sz w:val="16"/>
          <w:szCs w:val="16"/>
        </w:rPr>
      </w:pPr>
      <w:r w:rsidRPr="00D03F3E">
        <w:rPr>
          <w:rStyle w:val="631"/>
          <w:rFonts w:ascii="Times New Roman" w:hAnsi="Times New Roman" w:cs="Times New Roman"/>
          <w:color w:val="0070C0"/>
          <w:sz w:val="16"/>
          <w:szCs w:val="16"/>
        </w:rPr>
        <w:t>5 мая 1943 года было подписано постановление ГКО №3290 «О вос</w:t>
      </w:r>
      <w:r w:rsidRPr="00D03F3E">
        <w:rPr>
          <w:rStyle w:val="631"/>
          <w:rFonts w:ascii="Times New Roman" w:hAnsi="Times New Roman" w:cs="Times New Roman"/>
          <w:color w:val="0070C0"/>
          <w:sz w:val="16"/>
          <w:szCs w:val="16"/>
        </w:rPr>
        <w:softHyphen/>
        <w:t>становлении производства 122-мм корпус</w:t>
      </w:r>
      <w:r w:rsidRPr="00D03F3E">
        <w:rPr>
          <w:rStyle w:val="631"/>
          <w:rFonts w:ascii="Times New Roman" w:hAnsi="Times New Roman" w:cs="Times New Roman"/>
          <w:color w:val="0070C0"/>
          <w:sz w:val="16"/>
          <w:szCs w:val="16"/>
        </w:rPr>
        <w:softHyphen/>
        <w:t>ных пушек образца 1931/37 года и изготов</w:t>
      </w:r>
      <w:r w:rsidRPr="00D03F3E">
        <w:rPr>
          <w:rStyle w:val="631"/>
          <w:rFonts w:ascii="Times New Roman" w:hAnsi="Times New Roman" w:cs="Times New Roman"/>
          <w:color w:val="0070C0"/>
          <w:sz w:val="16"/>
          <w:szCs w:val="16"/>
        </w:rPr>
        <w:softHyphen/>
        <w:t>лении опытных образцов легких корпусных пушек». Не менее интересно то, что одновре</w:t>
      </w:r>
      <w:r w:rsidRPr="00D03F3E">
        <w:rPr>
          <w:rStyle w:val="631"/>
          <w:rFonts w:ascii="Times New Roman" w:hAnsi="Times New Roman" w:cs="Times New Roman"/>
          <w:color w:val="0070C0"/>
          <w:sz w:val="16"/>
          <w:szCs w:val="16"/>
        </w:rPr>
        <w:softHyphen/>
        <w:t>менно запускалась работа по новым корпус</w:t>
      </w:r>
      <w:r w:rsidRPr="00D03F3E">
        <w:rPr>
          <w:rStyle w:val="631"/>
          <w:rFonts w:ascii="Times New Roman" w:hAnsi="Times New Roman" w:cs="Times New Roman"/>
          <w:color w:val="0070C0"/>
          <w:sz w:val="16"/>
          <w:szCs w:val="16"/>
        </w:rPr>
        <w:softHyphen/>
        <w:t>ным пушкам с баллистикой А-19. Фактически же такое орудие было разработано еще осе</w:t>
      </w:r>
      <w:r w:rsidRPr="00D03F3E">
        <w:rPr>
          <w:rStyle w:val="631"/>
          <w:rFonts w:ascii="Times New Roman" w:hAnsi="Times New Roman" w:cs="Times New Roman"/>
          <w:color w:val="0070C0"/>
          <w:sz w:val="16"/>
          <w:szCs w:val="16"/>
        </w:rPr>
        <w:softHyphen/>
        <w:t>нью 1942 года в КБ свердловского завода № 8 под руководством Ф.Ф. Петрова. Следует от</w:t>
      </w:r>
      <w:r w:rsidRPr="00D03F3E">
        <w:rPr>
          <w:rStyle w:val="631"/>
          <w:rFonts w:ascii="Times New Roman" w:hAnsi="Times New Roman" w:cs="Times New Roman"/>
          <w:color w:val="0070C0"/>
          <w:sz w:val="16"/>
          <w:szCs w:val="16"/>
        </w:rPr>
        <w:softHyphen/>
        <w:t>метить, что у этого орудия баллистика А-19 была условной. На самом деле длина ствола уменьшалась до 39 калибров, начальная ско</w:t>
      </w:r>
      <w:r w:rsidRPr="00D03F3E">
        <w:rPr>
          <w:rStyle w:val="631"/>
          <w:rFonts w:ascii="Times New Roman" w:hAnsi="Times New Roman" w:cs="Times New Roman"/>
          <w:color w:val="0070C0"/>
          <w:sz w:val="16"/>
          <w:szCs w:val="16"/>
        </w:rPr>
        <w:softHyphen/>
        <w:t>рость снаряда падала до 790 м/с, также ста</w:t>
      </w:r>
      <w:r w:rsidRPr="00D03F3E">
        <w:rPr>
          <w:rStyle w:val="631"/>
          <w:rFonts w:ascii="Times New Roman" w:hAnsi="Times New Roman" w:cs="Times New Roman"/>
          <w:color w:val="0070C0"/>
          <w:sz w:val="16"/>
          <w:szCs w:val="16"/>
        </w:rPr>
        <w:softHyphen/>
        <w:t>вился двухкамерный дульный тормоз (19874).</w:t>
      </w:r>
    </w:p>
    <w:p w14:paraId="760AD29B" w14:textId="77777777" w:rsidR="002A4A6D" w:rsidRPr="00D03F3E" w:rsidRDefault="002A4A6D" w:rsidP="00D03F3E">
      <w:pPr>
        <w:spacing w:after="0" w:line="240" w:lineRule="auto"/>
        <w:jc w:val="both"/>
        <w:rPr>
          <w:rStyle w:val="631"/>
          <w:rFonts w:ascii="Times New Roman" w:hAnsi="Times New Roman" w:cs="Times New Roman"/>
          <w:color w:val="0070C0"/>
          <w:sz w:val="16"/>
          <w:szCs w:val="16"/>
        </w:rPr>
      </w:pPr>
    </w:p>
    <w:p w14:paraId="183E736E" w14:textId="77777777" w:rsidR="002A4A6D" w:rsidRPr="00D03F3E" w:rsidRDefault="002A4A6D" w:rsidP="00D03F3E">
      <w:pPr>
        <w:pStyle w:val="1162"/>
        <w:shd w:val="clear" w:color="auto" w:fill="auto"/>
        <w:spacing w:after="0" w:line="240" w:lineRule="auto"/>
        <w:ind w:firstLine="0"/>
        <w:jc w:val="both"/>
        <w:rPr>
          <w:rStyle w:val="930"/>
          <w:rFonts w:ascii="Times New Roman" w:hAnsi="Times New Roman" w:cs="Times New Roman"/>
          <w:color w:val="0070C0"/>
          <w:sz w:val="16"/>
          <w:szCs w:val="16"/>
        </w:rPr>
      </w:pPr>
      <w:r w:rsidRPr="00D03F3E">
        <w:rPr>
          <w:rStyle w:val="930"/>
          <w:rFonts w:ascii="Times New Roman" w:hAnsi="Times New Roman" w:cs="Times New Roman"/>
          <w:color w:val="0070C0"/>
          <w:sz w:val="16"/>
          <w:szCs w:val="16"/>
        </w:rPr>
        <w:lastRenderedPageBreak/>
        <w:t xml:space="preserve">5 мая 1943 года </w:t>
      </w:r>
      <w:r w:rsidRPr="00D03F3E">
        <w:rPr>
          <w:rStyle w:val="930"/>
          <w:rFonts w:ascii="Times New Roman" w:hAnsi="Times New Roman" w:cs="Times New Roman"/>
          <w:color w:val="0070C0"/>
          <w:sz w:val="16"/>
          <w:szCs w:val="16"/>
          <w:lang w:val="ru-RU"/>
        </w:rPr>
        <w:t>о</w:t>
      </w:r>
      <w:r w:rsidRPr="00D03F3E">
        <w:rPr>
          <w:rStyle w:val="930"/>
          <w:rFonts w:ascii="Times New Roman" w:hAnsi="Times New Roman" w:cs="Times New Roman"/>
          <w:color w:val="0070C0"/>
          <w:sz w:val="16"/>
          <w:szCs w:val="16"/>
        </w:rPr>
        <w:t>фициально начались работы</w:t>
      </w:r>
      <w:r w:rsidRPr="00D03F3E">
        <w:rPr>
          <w:rStyle w:val="930"/>
          <w:rFonts w:ascii="Times New Roman" w:hAnsi="Times New Roman" w:cs="Times New Roman"/>
          <w:color w:val="0070C0"/>
          <w:sz w:val="16"/>
          <w:szCs w:val="16"/>
          <w:lang w:val="ru-RU"/>
        </w:rPr>
        <w:t xml:space="preserve"> по установке 85 мм пушек на КВ</w:t>
      </w:r>
      <w:r w:rsidRPr="00D03F3E">
        <w:rPr>
          <w:rStyle w:val="930"/>
          <w:rFonts w:ascii="Times New Roman" w:hAnsi="Times New Roman" w:cs="Times New Roman"/>
          <w:color w:val="0070C0"/>
          <w:sz w:val="16"/>
          <w:szCs w:val="16"/>
        </w:rPr>
        <w:t>. Новое орудие должно было стать и оружием ИС-1. Коллектив ЦАКБ в кратчай</w:t>
      </w:r>
      <w:r w:rsidRPr="00D03F3E">
        <w:rPr>
          <w:rStyle w:val="930"/>
          <w:rFonts w:ascii="Times New Roman" w:hAnsi="Times New Roman" w:cs="Times New Roman"/>
          <w:color w:val="0070C0"/>
          <w:sz w:val="16"/>
          <w:szCs w:val="16"/>
        </w:rPr>
        <w:softHyphen/>
        <w:t>шие сроки разработал 85-мм пушку С-31, ко</w:t>
      </w:r>
      <w:r w:rsidRPr="00D03F3E">
        <w:rPr>
          <w:rStyle w:val="930"/>
          <w:rFonts w:ascii="Times New Roman" w:hAnsi="Times New Roman" w:cs="Times New Roman"/>
          <w:color w:val="0070C0"/>
          <w:sz w:val="16"/>
          <w:szCs w:val="16"/>
        </w:rPr>
        <w:softHyphen/>
        <w:t>торая должна была стоять в измененной башне ИС-1. Другой вопрос, что к тому мо</w:t>
      </w:r>
      <w:r w:rsidRPr="00D03F3E">
        <w:rPr>
          <w:rStyle w:val="930"/>
          <w:rFonts w:ascii="Times New Roman" w:hAnsi="Times New Roman" w:cs="Times New Roman"/>
          <w:color w:val="0070C0"/>
          <w:sz w:val="16"/>
          <w:szCs w:val="16"/>
        </w:rPr>
        <w:softHyphen/>
        <w:t>менту стало ясно: в текущем виде ИС-1 для массового выпуска не подходит. Помимо пе</w:t>
      </w:r>
      <w:r w:rsidRPr="00D03F3E">
        <w:rPr>
          <w:rStyle w:val="930"/>
          <w:rFonts w:ascii="Times New Roman" w:hAnsi="Times New Roman" w:cs="Times New Roman"/>
          <w:color w:val="0070C0"/>
          <w:sz w:val="16"/>
          <w:szCs w:val="16"/>
        </w:rPr>
        <w:softHyphen/>
        <w:t>речисленных выше проблем, которые, теоре</w:t>
      </w:r>
      <w:r w:rsidRPr="00D03F3E">
        <w:rPr>
          <w:rStyle w:val="930"/>
          <w:rFonts w:ascii="Times New Roman" w:hAnsi="Times New Roman" w:cs="Times New Roman"/>
          <w:color w:val="0070C0"/>
          <w:sz w:val="16"/>
          <w:szCs w:val="16"/>
        </w:rPr>
        <w:softHyphen/>
        <w:t>тически, еще можно было решить, существо</w:t>
      </w:r>
      <w:r w:rsidRPr="00D03F3E">
        <w:rPr>
          <w:rStyle w:val="930"/>
          <w:rFonts w:ascii="Times New Roman" w:hAnsi="Times New Roman" w:cs="Times New Roman"/>
          <w:color w:val="0070C0"/>
          <w:sz w:val="16"/>
          <w:szCs w:val="16"/>
        </w:rPr>
        <w:softHyphen/>
        <w:t>вала еще одна неприятность, неустранимая. Создатели ИС-1 оказались в ловушке требо</w:t>
      </w:r>
      <w:r w:rsidRPr="00D03F3E">
        <w:rPr>
          <w:rStyle w:val="930"/>
          <w:rFonts w:ascii="Times New Roman" w:hAnsi="Times New Roman" w:cs="Times New Roman"/>
          <w:color w:val="0070C0"/>
          <w:sz w:val="16"/>
          <w:szCs w:val="16"/>
        </w:rPr>
        <w:softHyphen/>
        <w:t>ваний на подвижный тяжелый танк. Ходовая часть с пятью опорными катками на борт была слишком слабой, одним словом, танк требовал существенной доработки</w:t>
      </w:r>
      <w:r w:rsidRPr="00D03F3E">
        <w:rPr>
          <w:rStyle w:val="930"/>
          <w:rFonts w:ascii="Times New Roman" w:hAnsi="Times New Roman" w:cs="Times New Roman"/>
          <w:color w:val="0070C0"/>
          <w:sz w:val="16"/>
          <w:szCs w:val="16"/>
          <w:lang w:val="ru-RU"/>
        </w:rPr>
        <w:t xml:space="preserve"> (19872)</w:t>
      </w:r>
      <w:r w:rsidRPr="00D03F3E">
        <w:rPr>
          <w:rStyle w:val="930"/>
          <w:rFonts w:ascii="Times New Roman" w:hAnsi="Times New Roman" w:cs="Times New Roman"/>
          <w:color w:val="0070C0"/>
          <w:sz w:val="16"/>
          <w:szCs w:val="16"/>
        </w:rPr>
        <w:t>.</w:t>
      </w:r>
    </w:p>
    <w:p w14:paraId="2EDF105D" w14:textId="77777777" w:rsidR="002A4A6D" w:rsidRPr="00D03F3E" w:rsidRDefault="002A4A6D" w:rsidP="00D03F3E">
      <w:pPr>
        <w:pStyle w:val="1162"/>
        <w:shd w:val="clear" w:color="auto" w:fill="auto"/>
        <w:spacing w:after="0" w:line="240" w:lineRule="auto"/>
        <w:ind w:firstLine="0"/>
        <w:jc w:val="both"/>
        <w:rPr>
          <w:rFonts w:ascii="Times New Roman" w:hAnsi="Times New Roman" w:cs="Times New Roman"/>
          <w:color w:val="0070C0"/>
          <w:sz w:val="16"/>
          <w:szCs w:val="16"/>
        </w:rPr>
      </w:pPr>
    </w:p>
    <w:p w14:paraId="6A4BF67A"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5 мая 1943 года вышел приказ № 258 НКТП</w:t>
      </w:r>
    </w:p>
    <w:p w14:paraId="7F3B8759"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В соответствии с решением ГОКО от 12 апреля 1943 года № 3165с:</w:t>
      </w:r>
    </w:p>
    <w:p w14:paraId="29C46A27"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Заводы НКСС в Муроме им. Компартии Франции и “Станкопатрон” считать принятыми в систему НКТП с 1 мая 1943 года и включить их в Главное управление по ремонту танков (ГУРТ).</w:t>
      </w:r>
    </w:p>
    <w:p w14:paraId="6F2927B7"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Заводу им. Компартии Франции присвоить № 42 (директор Фрагин Самуил Исаакович).</w:t>
      </w:r>
    </w:p>
    <w:p w14:paraId="18E5979C"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Заводу “Станкопатрон” присвоить № 43 (директор Рыхлетский Иван Зиновьевич) (6135, 41-39).</w:t>
      </w:r>
    </w:p>
    <w:p w14:paraId="3AF60687" w14:textId="77777777" w:rsidR="00531570" w:rsidRPr="00D03F3E" w:rsidRDefault="00531570" w:rsidP="00D03F3E">
      <w:pPr>
        <w:pStyle w:val="Iauiue"/>
        <w:tabs>
          <w:tab w:val="left" w:pos="11199"/>
        </w:tabs>
        <w:jc w:val="both"/>
        <w:rPr>
          <w:color w:val="000000" w:themeColor="text1"/>
          <w:sz w:val="16"/>
          <w:szCs w:val="16"/>
        </w:rPr>
      </w:pPr>
    </w:p>
    <w:p w14:paraId="0B652E2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мая 1943 г. состоялось заседание ГКО, на котором на основании полученных результатов при обстреле захваченного немецкого тяжелого танка Т-VI "Тигр I" было принято постановление "Об усилении артиллерийского вооружения танков и самоходных установок". Согласно этому поста</w:t>
      </w:r>
      <w:r w:rsidRPr="00D03F3E">
        <w:rPr>
          <w:rFonts w:ascii="Times New Roman" w:hAnsi="Times New Roman"/>
          <w:color w:val="000000" w:themeColor="text1"/>
          <w:sz w:val="16"/>
          <w:szCs w:val="16"/>
        </w:rPr>
        <w:softHyphen/>
        <w:t>новлению НКТП и НКВ к 15 июня 1943 г. должны были разработать, изготовить и установить 85-мм танковые пушки с зенитной баллисти</w:t>
      </w:r>
      <w:r w:rsidRPr="00D03F3E">
        <w:rPr>
          <w:rFonts w:ascii="Times New Roman" w:hAnsi="Times New Roman"/>
          <w:color w:val="000000" w:themeColor="text1"/>
          <w:sz w:val="16"/>
          <w:szCs w:val="16"/>
        </w:rPr>
        <w:softHyphen/>
        <w:t>кой в танки КВ-1С и ИС (10703).</w:t>
      </w:r>
    </w:p>
    <w:p w14:paraId="43A76D9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0924569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мая 1943 года Постановление ГКО № 3289сс "Об усилении артиллерийского вооружения танков и самоходных установок" ориентировало конструкторские бюро на баллистику этой пушки. В соответствии с этим постановлением Центральному артиллерийскому конструкторскому бюро (начальник В.Г.Грабин) и КБ завода № 9 (главный конструктор Ф.Ф.Петров) предписывалось разработать и установить на двух танках КВ-1с и двух опытных танках ИС 85-мм пушки с баллистикой зенитного орудия 52-К. (3862).</w:t>
      </w:r>
    </w:p>
    <w:p w14:paraId="521B51D9" w14:textId="77777777" w:rsidR="00531570" w:rsidRPr="00D03F3E" w:rsidRDefault="00531570" w:rsidP="00D03F3E">
      <w:pPr>
        <w:pStyle w:val="Iauiue"/>
        <w:jc w:val="both"/>
        <w:rPr>
          <w:color w:val="000000" w:themeColor="text1"/>
          <w:sz w:val="16"/>
          <w:szCs w:val="16"/>
        </w:rPr>
      </w:pPr>
    </w:p>
    <w:p w14:paraId="7D1FCDFE" w14:textId="77777777" w:rsidR="006C5519" w:rsidRPr="00D03F3E" w:rsidRDefault="006C5519"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5 мая 1943 года появилось постановление Го</w:t>
      </w:r>
      <w:r w:rsidRPr="00D03F3E">
        <w:rPr>
          <w:rFonts w:ascii="Times New Roman" w:cs="Times New Roman"/>
          <w:color w:val="000000" w:themeColor="text1"/>
          <w:spacing w:val="0"/>
        </w:rPr>
        <w:softHyphen/>
        <w:t>сударственного Комитета Обороны № 3289 «Об усилении артиллерийского вооружения танков и самоходных установок». Этим доку</w:t>
      </w:r>
      <w:r w:rsidRPr="00D03F3E">
        <w:rPr>
          <w:rFonts w:ascii="Times New Roman" w:cs="Times New Roman"/>
          <w:color w:val="000000" w:themeColor="text1"/>
          <w:spacing w:val="0"/>
        </w:rPr>
        <w:softHyphen/>
        <w:t>ментом, в частности, предписывалось «изго</w:t>
      </w:r>
      <w:r w:rsidRPr="00D03F3E">
        <w:rPr>
          <w:rFonts w:ascii="Times New Roman" w:cs="Times New Roman"/>
          <w:color w:val="000000" w:themeColor="text1"/>
          <w:spacing w:val="0"/>
        </w:rPr>
        <w:softHyphen/>
        <w:t xml:space="preserve">товить и смонтировать в двух танках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и двух танках ИС 85-мм пушки с баллистикой существующей зенитной пушки и к 1 июля подать на государственные испытания». После захвата под Ленинградом немец</w:t>
      </w:r>
      <w:r w:rsidRPr="00D03F3E">
        <w:rPr>
          <w:rFonts w:ascii="Times New Roman" w:cs="Times New Roman"/>
          <w:color w:val="000000" w:themeColor="text1"/>
          <w:spacing w:val="0"/>
        </w:rPr>
        <w:softHyphen/>
        <w:t>ких танков «Тигр» и испытания этих машин, остро встал вопрос о разработке новых, более мощных орудий для вооружений советских танков. Стрельба по «Тигру» из 76-мм танко</w:t>
      </w:r>
      <w:r w:rsidRPr="00D03F3E">
        <w:rPr>
          <w:rFonts w:ascii="Times New Roman" w:cs="Times New Roman"/>
          <w:color w:val="000000" w:themeColor="text1"/>
          <w:spacing w:val="0"/>
        </w:rPr>
        <w:softHyphen/>
        <w:t>вых пушек показала, что они не могут про</w:t>
      </w:r>
      <w:r w:rsidRPr="00D03F3E">
        <w:rPr>
          <w:rFonts w:ascii="Times New Roman" w:cs="Times New Roman"/>
          <w:color w:val="000000" w:themeColor="text1"/>
          <w:spacing w:val="0"/>
        </w:rPr>
        <w:softHyphen/>
        <w:t>бить броню немецкой машины. Работы по созданию новых артсистем ве</w:t>
      </w:r>
      <w:r w:rsidRPr="00D03F3E">
        <w:rPr>
          <w:rFonts w:ascii="Times New Roman" w:cs="Times New Roman"/>
          <w:color w:val="000000" w:themeColor="text1"/>
          <w:spacing w:val="0"/>
        </w:rPr>
        <w:softHyphen/>
        <w:t>лись в Центральном артиллерийском кон</w:t>
      </w:r>
      <w:r w:rsidRPr="00D03F3E">
        <w:rPr>
          <w:rFonts w:ascii="Times New Roman" w:cs="Times New Roman"/>
          <w:color w:val="000000" w:themeColor="text1"/>
          <w:spacing w:val="0"/>
        </w:rPr>
        <w:softHyphen/>
        <w:t>структорском бюро (ЦАКБ), возглавляемым В. Грабиным и в конструкторском бюро заво</w:t>
      </w:r>
      <w:r w:rsidRPr="00D03F3E">
        <w:rPr>
          <w:rFonts w:ascii="Times New Roman" w:cs="Times New Roman"/>
          <w:color w:val="000000" w:themeColor="text1"/>
          <w:spacing w:val="0"/>
        </w:rPr>
        <w:softHyphen/>
        <w:t>да № 9 под руководством Ф. Петрова. Первое спроектировало 85-мм пушку С-31, а второе 85-мм Д-5Т (15226).</w:t>
      </w:r>
    </w:p>
    <w:p w14:paraId="482E7326" w14:textId="77777777" w:rsidR="006C5519" w:rsidRPr="00D03F3E" w:rsidRDefault="006C5519" w:rsidP="00D03F3E">
      <w:pPr>
        <w:pStyle w:val="27"/>
        <w:shd w:val="clear" w:color="auto" w:fill="auto"/>
        <w:spacing w:after="0" w:line="240" w:lineRule="auto"/>
        <w:ind w:firstLine="0"/>
        <w:rPr>
          <w:rFonts w:ascii="Times New Roman" w:cs="Times New Roman"/>
          <w:color w:val="000000" w:themeColor="text1"/>
          <w:spacing w:val="0"/>
        </w:rPr>
      </w:pPr>
    </w:p>
    <w:p w14:paraId="3904459B" w14:textId="77777777" w:rsidR="00531570" w:rsidRPr="00D03F3E" w:rsidRDefault="00531570" w:rsidP="00D03F3E">
      <w:pPr>
        <w:pStyle w:val="a3"/>
        <w:rPr>
          <w:color w:val="000000" w:themeColor="text1"/>
          <w:lang w:val="ru-RU"/>
        </w:rPr>
      </w:pPr>
      <w:r w:rsidRPr="00D03F3E">
        <w:rPr>
          <w:color w:val="000000" w:themeColor="text1"/>
          <w:lang w:val="ru-RU"/>
        </w:rPr>
        <w:t>5 мая 1943 года вышло Постановление ГКО №3289сс «Об усилении артиллерийского вооружения танков и самоходно-артиллерийских установок», обязавшее артиллерийских конструкторов В.Г. Грабина (Центральное ар</w:t>
      </w:r>
      <w:r w:rsidRPr="00D03F3E">
        <w:rPr>
          <w:color w:val="000000" w:themeColor="text1"/>
          <w:lang w:val="ru-RU"/>
        </w:rPr>
        <w:softHyphen/>
        <w:t xml:space="preserve">тиллерийское конструкторское бюро ЦАКБ) и Ф.Ф. Петрова (КБ завода </w:t>
      </w:r>
      <w:r w:rsidRPr="00D03F3E">
        <w:rPr>
          <w:color w:val="000000" w:themeColor="text1"/>
        </w:rPr>
        <w:t>N</w:t>
      </w:r>
      <w:r w:rsidRPr="00D03F3E">
        <w:rPr>
          <w:color w:val="000000" w:themeColor="text1"/>
          <w:lang w:val="ru-RU"/>
        </w:rPr>
        <w:t>29) разработать 85-мм танковые пушки с баллистикой зенит</w:t>
      </w:r>
      <w:r w:rsidRPr="00D03F3E">
        <w:rPr>
          <w:color w:val="000000" w:themeColor="text1"/>
          <w:lang w:val="ru-RU"/>
        </w:rPr>
        <w:softHyphen/>
        <w:t>ного орудия 52-К и установить их в двух опыт</w:t>
      </w:r>
      <w:r w:rsidRPr="00D03F3E">
        <w:rPr>
          <w:color w:val="000000" w:themeColor="text1"/>
          <w:lang w:val="ru-RU"/>
        </w:rPr>
        <w:softHyphen/>
        <w:t xml:space="preserve">ных танках ИС и в двух серийных </w:t>
      </w:r>
      <w:r w:rsidRPr="00D03F3E">
        <w:rPr>
          <w:color w:val="000000" w:themeColor="text1"/>
        </w:rPr>
        <w:t>KB</w:t>
      </w:r>
      <w:r w:rsidRPr="00D03F3E">
        <w:rPr>
          <w:color w:val="000000" w:themeColor="text1"/>
          <w:lang w:val="ru-RU"/>
        </w:rPr>
        <w:t>-1 С.</w:t>
      </w:r>
    </w:p>
    <w:p w14:paraId="73EF2C1D" w14:textId="77777777" w:rsidR="00531570" w:rsidRPr="00D03F3E" w:rsidRDefault="00531570" w:rsidP="00D03F3E">
      <w:pPr>
        <w:pStyle w:val="a3"/>
        <w:rPr>
          <w:color w:val="000000" w:themeColor="text1"/>
          <w:lang w:val="ru-RU"/>
        </w:rPr>
      </w:pPr>
      <w:r w:rsidRPr="00D03F3E">
        <w:rPr>
          <w:color w:val="000000" w:themeColor="text1"/>
          <w:lang w:val="ru-RU"/>
        </w:rPr>
        <w:t>Разработку новых танковых пушек выпол</w:t>
      </w:r>
      <w:r w:rsidRPr="00D03F3E">
        <w:rPr>
          <w:color w:val="000000" w:themeColor="text1"/>
          <w:lang w:val="ru-RU"/>
        </w:rPr>
        <w:softHyphen/>
        <w:t>нили в месячный срок. В первой половине июня две пушки С-31 (конструкции ЦАКБ) и две Д-5Т (Завод №9) были изготовлены в металле.</w:t>
      </w:r>
    </w:p>
    <w:p w14:paraId="397C4873" w14:textId="77777777" w:rsidR="00531570" w:rsidRPr="00D03F3E" w:rsidRDefault="00531570" w:rsidP="00D03F3E">
      <w:pPr>
        <w:pStyle w:val="a3"/>
        <w:rPr>
          <w:color w:val="000000" w:themeColor="text1"/>
          <w:lang w:val="ru-RU"/>
        </w:rPr>
      </w:pPr>
      <w:r w:rsidRPr="00D03F3E">
        <w:rPr>
          <w:color w:val="000000" w:themeColor="text1"/>
          <w:lang w:val="ru-RU"/>
        </w:rPr>
        <w:t>Параллельно группа Н.Ф. Шашмурина на заводе №100 проводила эскизную про</w:t>
      </w:r>
      <w:r w:rsidRPr="00D03F3E">
        <w:rPr>
          <w:color w:val="000000" w:themeColor="text1"/>
          <w:lang w:val="ru-RU"/>
        </w:rPr>
        <w:softHyphen/>
        <w:t>работку компоновки новых пушек в боевых отделениях танков ИС. И тут выяснилось, что установка 85-мм пушки в башню с имею</w:t>
      </w:r>
      <w:r w:rsidRPr="00D03F3E">
        <w:rPr>
          <w:color w:val="000000" w:themeColor="text1"/>
          <w:lang w:val="ru-RU"/>
        </w:rPr>
        <w:softHyphen/>
        <w:t>щимся диаметром погона в свету (1535 мм) резко ухудшит условия работы экипажа. Для обеспечения нормальных условий ди</w:t>
      </w:r>
      <w:r w:rsidRPr="00D03F3E">
        <w:rPr>
          <w:color w:val="000000" w:themeColor="text1"/>
          <w:lang w:val="ru-RU"/>
        </w:rPr>
        <w:softHyphen/>
        <w:t>аметр был увеличен до 1800 мм, что, в свою очередь, потребовало увеличения длины танка на 420 мм и введения дополнитель</w:t>
      </w:r>
      <w:r w:rsidRPr="00D03F3E">
        <w:rPr>
          <w:color w:val="000000" w:themeColor="text1"/>
          <w:lang w:val="ru-RU"/>
        </w:rPr>
        <w:softHyphen/>
        <w:t>но двух опорных катков (по одному на каж</w:t>
      </w:r>
      <w:r w:rsidRPr="00D03F3E">
        <w:rPr>
          <w:color w:val="000000" w:themeColor="text1"/>
          <w:lang w:val="ru-RU"/>
        </w:rPr>
        <w:softHyphen/>
        <w:t>дый борт). С учетом утяжеления башни под увеличенный диаметр погона все перечис</w:t>
      </w:r>
      <w:r w:rsidRPr="00D03F3E">
        <w:rPr>
          <w:color w:val="000000" w:themeColor="text1"/>
          <w:lang w:val="ru-RU"/>
        </w:rPr>
        <w:softHyphen/>
        <w:t>ленные изменения привели к увеличению массы танка до 44 т, соответствующему снижению удельной мощности и ухудше</w:t>
      </w:r>
      <w:r w:rsidRPr="00D03F3E">
        <w:rPr>
          <w:color w:val="000000" w:themeColor="text1"/>
          <w:lang w:val="ru-RU"/>
        </w:rPr>
        <w:softHyphen/>
        <w:t>нию динамики машины (11897).</w:t>
      </w:r>
    </w:p>
    <w:p w14:paraId="6FF43D9D" w14:textId="77777777" w:rsidR="00531570" w:rsidRPr="00D03F3E" w:rsidRDefault="00531570" w:rsidP="00D03F3E">
      <w:pPr>
        <w:pStyle w:val="a3"/>
        <w:rPr>
          <w:color w:val="000000" w:themeColor="text1"/>
          <w:lang w:val="ru-RU"/>
        </w:rPr>
      </w:pPr>
    </w:p>
    <w:p w14:paraId="07ECA813" w14:textId="77777777" w:rsidR="00531570" w:rsidRPr="00D03F3E" w:rsidRDefault="00531570" w:rsidP="00D03F3E">
      <w:pPr>
        <w:pStyle w:val="a8"/>
        <w:widowControl/>
        <w:jc w:val="both"/>
        <w:rPr>
          <w:rFonts w:ascii="Times New Roman" w:hAnsi="Times New Roman" w:cs="Times New Roman"/>
          <w:color w:val="000000" w:themeColor="text1"/>
        </w:rPr>
      </w:pPr>
      <w:r w:rsidRPr="00D03F3E">
        <w:rPr>
          <w:rFonts w:ascii="Times New Roman" w:hAnsi="Times New Roman" w:cs="Times New Roman"/>
          <w:color w:val="000000" w:themeColor="text1"/>
        </w:rPr>
        <w:t>5 мая 1943 года ГКО установил сроки и исполнителей по созданию новых танков и САУ. Изготовление САУ с 85-мм пушкой возлагалось на "Уралмашзавод", причем Центральное артиллерийское конструкторское бюро (ЦАКБ), возглавляемое В.Г.Грабиным, должно было спроектировать, а завод № 9 Наркомата вооружения - изготовить орудие для САУ. Однако, когда из ЦАКБ были получены чертежи 85-мм пушки С-31, выяснилось, что она занимает очень много места в боевом отделении и не позволяет удобно разместить внутри машины оборудование и экипаж, а кроме того, значительно увеличивает массу САУ. На "Уралмаше" не только переконструировали люльку этого орудия, но и предложили заводу № 9 также разработать новую 85-мм пушку. В результате в КБ завода № 9, возглавляемом Ф.Ф.Петровым, была спроектирована пушка Д-5С-85, значительно лучше отвечавшая условиям установки в САУ. В конце мая 1943 года из ЦАКБ поступил эскизный проект еще одного орудия-С-18. Оно имело некоторые преимущества, так как в нем использовалась люлька от серийной 76-мм танковой пушки ЗИС-5. Однако и С-18 не очень удачно компоновалось в боевое отделение проектируемой САУ. Несмотря на явные недостатки САУ с пушкой С-18, ЦАКБ, используя свой авторитет, требовало, чтобы машина с его орудием была выполнена в металле. Этот конфликт разрешился только 7 июня 1943 года, когда специальная смешанная комиссия из представителей НКТП, НКВ, ГАУ и ГБТУ приняла решение изготовить для сравнительных испытаний три опытных образца самоходов с 85-мм пушками: СУ-85-1 с пушкой С-18-1 ЦАКБ и измененной люлькой "Уралмашзаво-да", СУ-85-Н с пушкой Д-5С-85 завода № 9, Cy-85-IV с пушкой С-18 ЦАКБ (9637).</w:t>
      </w:r>
    </w:p>
    <w:p w14:paraId="1CF89415" w14:textId="77777777" w:rsidR="00531570" w:rsidRPr="00D03F3E" w:rsidRDefault="00531570" w:rsidP="00D03F3E">
      <w:pPr>
        <w:pStyle w:val="a8"/>
        <w:widowControl/>
        <w:jc w:val="both"/>
        <w:rPr>
          <w:rFonts w:ascii="Times New Roman" w:hAnsi="Times New Roman" w:cs="Times New Roman"/>
          <w:color w:val="000000" w:themeColor="text1"/>
        </w:rPr>
      </w:pPr>
    </w:p>
    <w:p w14:paraId="07559F6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мая 1943 г. ГКО своим постановлением обязал промышленность изготовить и испытать опытный образец СУ-85 на базе танка Т-34. Разработкой занялось КБ УЗТМ, возглавляемое Л.И.Горлицким. Общую компоновку машины выполнял Н.В.Курин, в работе участвовали также В.А.Вишняков, Г.Ф.Ксюнин, А.Д.Нехлюдов, Г.В.Соколов (за создание СУ-122 в 1943 г. им была присуждена Государственная премия СССР) (3905).</w:t>
      </w:r>
    </w:p>
    <w:p w14:paraId="7AD20278" w14:textId="77777777" w:rsidR="00531570" w:rsidRPr="00D03F3E" w:rsidRDefault="00531570" w:rsidP="00D03F3E">
      <w:pPr>
        <w:pStyle w:val="Iauiue"/>
        <w:jc w:val="both"/>
        <w:rPr>
          <w:color w:val="000000" w:themeColor="text1"/>
          <w:sz w:val="16"/>
          <w:szCs w:val="16"/>
        </w:rPr>
      </w:pPr>
    </w:p>
    <w:p w14:paraId="65B5A8AE" w14:textId="77777777" w:rsidR="00823A64" w:rsidRPr="00D03F3E" w:rsidRDefault="00823A64" w:rsidP="00D03F3E">
      <w:pPr>
        <w:pStyle w:val="a3"/>
        <w:rPr>
          <w:color w:val="000000" w:themeColor="text1"/>
          <w:lang w:val="ru-RU"/>
        </w:rPr>
      </w:pPr>
      <w:r w:rsidRPr="00D03F3E">
        <w:rPr>
          <w:color w:val="000000" w:themeColor="text1"/>
          <w:lang w:val="ru-RU"/>
        </w:rPr>
        <w:t>5 мая 1943 года в постановлении ГКО 3289сс «Об усилении артиллерийского вооружения танков и самоходных установок» наиболее важная из идей Малышева - переход к использованию на тяжелых танках и самоходках новой противотанковой пушки калибра 85-мм, была утверждена.</w:t>
      </w:r>
    </w:p>
    <w:p w14:paraId="05151B6B" w14:textId="77777777" w:rsidR="00823A64" w:rsidRPr="00D03F3E" w:rsidRDefault="00823A64" w:rsidP="00D03F3E">
      <w:pPr>
        <w:pStyle w:val="a3"/>
        <w:rPr>
          <w:color w:val="000000" w:themeColor="text1"/>
          <w:lang w:val="ru-RU"/>
        </w:rPr>
      </w:pPr>
      <w:r w:rsidRPr="00D03F3E">
        <w:rPr>
          <w:color w:val="000000" w:themeColor="text1"/>
          <w:lang w:val="ru-RU"/>
        </w:rPr>
        <w:t>Предполагалось «разработать чертежи, изготовить и смонтировать в двух танках «КВ-1С» и в двух опытных образцах танков «ИС» 85 мм пушки с баллистикой существующей зенитной пушки и к 1 июля с.г. подать их на государственные испытания». Аналогичную работу в те же сроки следовало провести с 85-мм пушкой для самоходной артиллерийской установки на основе СУ-122 производства УЗТМ. Подготовка к изготовлению новых пушек должна была начаться ещё до завершения изготовления опытного образца (12290).</w:t>
      </w:r>
    </w:p>
    <w:p w14:paraId="15C9832F" w14:textId="77777777" w:rsidR="00823A64" w:rsidRPr="00D03F3E" w:rsidRDefault="00823A64" w:rsidP="00D03F3E">
      <w:pPr>
        <w:pStyle w:val="a3"/>
        <w:rPr>
          <w:color w:val="000000" w:themeColor="text1"/>
          <w:lang w:val="ru-RU"/>
        </w:rPr>
      </w:pPr>
    </w:p>
    <w:p w14:paraId="6EBA5519" w14:textId="77777777" w:rsidR="00823A64" w:rsidRPr="00D03F3E" w:rsidRDefault="00823A64" w:rsidP="00D03F3E">
      <w:pPr>
        <w:pStyle w:val="a3"/>
        <w:rPr>
          <w:color w:val="000000" w:themeColor="text1"/>
          <w:lang w:val="ru-RU"/>
        </w:rPr>
      </w:pPr>
      <w:r w:rsidRPr="00D03F3E">
        <w:rPr>
          <w:color w:val="000000" w:themeColor="text1"/>
          <w:lang w:val="ru-RU"/>
        </w:rPr>
        <w:t>5 мая 1943 г. ГКО рассмотрел результаты обстрела на полигоне трофейного танка «Тигр», на основании чего было принято поста</w:t>
      </w:r>
      <w:r w:rsidRPr="00D03F3E">
        <w:rPr>
          <w:color w:val="000000" w:themeColor="text1"/>
          <w:lang w:val="ru-RU"/>
        </w:rPr>
        <w:softHyphen/>
        <w:t>новление о существенном усилении артилле</w:t>
      </w:r>
      <w:r w:rsidRPr="00D03F3E">
        <w:rPr>
          <w:color w:val="000000" w:themeColor="text1"/>
          <w:lang w:val="ru-RU"/>
        </w:rPr>
        <w:softHyphen/>
        <w:t>рийского вооружения наших танков и само</w:t>
      </w:r>
      <w:r w:rsidRPr="00D03F3E">
        <w:rPr>
          <w:color w:val="000000" w:themeColor="text1"/>
          <w:lang w:val="ru-RU"/>
        </w:rPr>
        <w:softHyphen/>
        <w:t>ходных установок. Согласно постановлению, было решено установить в КВ-1С и опытные танки ИС новые танковые пушки с зенитной баллистикой калибра 85 мм. Проработка вари</w:t>
      </w:r>
      <w:r w:rsidRPr="00D03F3E">
        <w:rPr>
          <w:color w:val="000000" w:themeColor="text1"/>
          <w:lang w:val="ru-RU"/>
        </w:rPr>
        <w:softHyphen/>
        <w:t>антов установки 85-мм пушек Д-5Т-85 и С-31 выявила необходимость увеличения диаметра погона башни в свету, что, в свою очередь, вызвало необходимость увеличения длины корпуса и количества опорных катков до шести на борт. А это потребовало существенно пере</w:t>
      </w:r>
      <w:r w:rsidRPr="00D03F3E">
        <w:rPr>
          <w:color w:val="000000" w:themeColor="text1"/>
          <w:lang w:val="ru-RU"/>
        </w:rPr>
        <w:softHyphen/>
        <w:t>работать уже готовую чертежно-техническую документацию. Усиление вооружения привело к возрас</w:t>
      </w:r>
      <w:r w:rsidRPr="00D03F3E">
        <w:rPr>
          <w:color w:val="000000" w:themeColor="text1"/>
          <w:lang w:val="ru-RU"/>
        </w:rPr>
        <w:softHyphen/>
        <w:t>танию массы танка ИС до 40 т и к снижению показателей удельной мощности и макси</w:t>
      </w:r>
      <w:r w:rsidRPr="00D03F3E">
        <w:rPr>
          <w:color w:val="000000" w:themeColor="text1"/>
          <w:lang w:val="ru-RU"/>
        </w:rPr>
        <w:softHyphen/>
        <w:t>мальной скорости. Новый танк ИС-85 получил заводское обозначение «Объект 237». На нем устанавливались дизель В-2ИС мощностью 520 л.с., доработанные главный фрикцион и коробка передач с демультипликатором, обе</w:t>
      </w:r>
      <w:r w:rsidRPr="00D03F3E">
        <w:rPr>
          <w:color w:val="000000" w:themeColor="text1"/>
          <w:lang w:val="ru-RU"/>
        </w:rPr>
        <w:softHyphen/>
        <w:t>спечивавшая восемь передач вперед и две заднего хода. Впервые был применен раз</w:t>
      </w:r>
      <w:r w:rsidRPr="00D03F3E">
        <w:rPr>
          <w:color w:val="000000" w:themeColor="text1"/>
          <w:lang w:val="ru-RU"/>
        </w:rPr>
        <w:softHyphen/>
        <w:t>работанный А.И. Благонравовым двухступен</w:t>
      </w:r>
      <w:r w:rsidRPr="00D03F3E">
        <w:rPr>
          <w:color w:val="000000" w:themeColor="text1"/>
          <w:lang w:val="ru-RU"/>
        </w:rPr>
        <w:softHyphen/>
        <w:t>чатый планетарный механизм поворота. От завода №100 ведущим инженером машины был назначен Н.Ф. Шашмурин. Теперь требовалось в кратчайшие сроки начать серийное производство нового тяже</w:t>
      </w:r>
      <w:r w:rsidRPr="00D03F3E">
        <w:rPr>
          <w:color w:val="000000" w:themeColor="text1"/>
          <w:lang w:val="ru-RU"/>
        </w:rPr>
        <w:softHyphen/>
        <w:t>лого танка ИС-85 (или ИС-1) (12617).</w:t>
      </w:r>
    </w:p>
    <w:p w14:paraId="7D5F94AB" w14:textId="77777777" w:rsidR="00823A64" w:rsidRPr="00D03F3E" w:rsidRDefault="00823A64" w:rsidP="00D03F3E">
      <w:pPr>
        <w:pStyle w:val="a3"/>
        <w:rPr>
          <w:color w:val="000000" w:themeColor="text1"/>
          <w:lang w:val="ru-RU"/>
        </w:rPr>
      </w:pPr>
    </w:p>
    <w:p w14:paraId="56D7563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мая 1943 года вышло распоряжение ГКО, согласно которому КБ под руководством Ф.Ф.Петрова развернуло работы по установке 85-мм зенитного орудия на шасси СУ-122. Параллельно с этим, ЦАКБ под руководством В.Грабина начало работы по установке уже существовавшей к тому моменту 85-мм пушки С-18 в корпус СУ-122 (ранее, С-18 предназначалась для танков КВ). Слегка доработанное в местах крепления люльки и с новой бронемаской, орудие было доставлено на Уралмаш. Но попытка установить орудие в штатную рубку САУ не удалась из-за слишком большой казенной части первой. Уралмаш отказался от дальнейших попыток, т.к. это явно вело к изменению бронекорпуса САУ. Но отдельным приказом ГКО, Уралмаш был обязан провести работы по установке С-18 в корпус САУ. В результате, были построены два образца - СУ-85-I и СУ-85-IV, вооруженные пушками С-18 (3862).</w:t>
      </w:r>
    </w:p>
    <w:p w14:paraId="1E142E3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СУ-85-I имела стандартный бронекорпус СУ-122, но с новой люлькой для крепления С-18. Орудие получило также и новую бронемаску. Первоначально планировавшийся спаренный пулемет пришлось исключить из-за нехватки места (3862).</w:t>
      </w:r>
    </w:p>
    <w:p w14:paraId="073DB57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СУ-85-IV также была построена на базе СУ-122, но лобовая часть была немного изменена (3862).</w:t>
      </w:r>
    </w:p>
    <w:p w14:paraId="65678CF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Параллельно с С-18 велись работы и над установкой 85-мм пушки Д-5С (разработанной в КБ Ф.Ф.Петрова) в корпус СУ-122. Сначала, это орудие рассматривали как временное решение пока существуют известные проблемы с С-18, но проведенные испытания выявили ряд существенных эксплуатационных преимуществ, а также большую надежность по сравнению с С-18 (3862).</w:t>
      </w:r>
    </w:p>
    <w:p w14:paraId="5098C24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Хотя испытания завершились удачно, способ крепления пушки (он остался практически неизменным с СУ-122) не позволял установить ни один из имеющихся телескопических прицелов. Для решения этой проблемы пришлось в срочном порядке разработать новый прицел ТШ-15. Новая САУ получила индекс СУ-85-II (3862).</w:t>
      </w:r>
    </w:p>
    <w:p w14:paraId="0F627EC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Проведенные совместные испытания выявили преимущество СУ-85-II перед СУ-85-I, а СУ-85-IV была совсем снята с испытаний. По результатам испытаний, СУ-85-II была принята на вооружение как противотанковая САУ под обозначением СУ-85 (3862).</w:t>
      </w:r>
    </w:p>
    <w:p w14:paraId="50A76A3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Боезапас самоходного орудия составил 48 унитарных снарядов. Кроме того, в боевом отделении укладывалось 1500 патронов для автоматов, 24 гранаты Ф-1 и пять противотанковых гранат. Отделение управления, моторное и трансмиссионное остались такими же, как у танка Т-34, что позволило комплектовать экипажи для новых машин практически без переучивания. Для командира в крыше рубки приваривался броневой колпак с призматическими и перископическими приборами. На самоходных установках поздних выпусков броневой колпак был заменен командирской башенкой, как у танка Т-34. В дальнейшем, такой корпус САУ применили на СУ-100 (3862).</w:t>
      </w:r>
    </w:p>
    <w:p w14:paraId="41A2C7D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Кроме того, экипаж мог вести наблюдение через призматические приборы назад и влево, а на поздних образцах СУ-85 установили дополнительные приборы наблюдения, что обеспечило экипажу самоходки практически круговой обзор (3862).</w:t>
      </w:r>
    </w:p>
    <w:p w14:paraId="1CD8CF8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лобовом листе и по бортам корпуса находились амбразуры для стрельбы из личного оружия, которые закрывались конусообразными заглушками. Внутренняя связь командира, наводчика, механика-водителя и заряжающего обеспечивалась танковым переговорным устройством ТПУ-3бис или ТПУ-3Р. Для наружной связи на самоходки устанавливались коротковолновые радиостанции 9РМ. Общая компоновка машины, аналогична компоновке СУ-122, отличие заключалось только в вооружении (3862).</w:t>
      </w:r>
    </w:p>
    <w:p w14:paraId="449F55A0" w14:textId="77777777" w:rsidR="00531570" w:rsidRPr="00D03F3E" w:rsidRDefault="00531570" w:rsidP="00D03F3E">
      <w:pPr>
        <w:pStyle w:val="Iauiue"/>
        <w:jc w:val="both"/>
        <w:rPr>
          <w:color w:val="000000" w:themeColor="text1"/>
          <w:sz w:val="16"/>
          <w:szCs w:val="16"/>
        </w:rPr>
      </w:pPr>
    </w:p>
    <w:p w14:paraId="2FA4A93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мая 1943 вышло Постановление ГКО № 3289 Об усилении артиллерийского вооружения танков и самоходных установок.РГАНИР, Фонд ГКО, д. 113, лл. 49-50 (11012).</w:t>
      </w:r>
    </w:p>
    <w:p w14:paraId="5AFBEDB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DDB0CF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мая 1943 г. Постановление ГКО № 3289сс устанавлива</w:t>
      </w:r>
      <w:r w:rsidRPr="00D03F3E">
        <w:rPr>
          <w:rFonts w:ascii="Times New Roman" w:hAnsi="Times New Roman"/>
          <w:color w:val="000000" w:themeColor="text1"/>
          <w:sz w:val="16"/>
          <w:szCs w:val="16"/>
        </w:rPr>
        <w:softHyphen/>
        <w:t>ло жесткий срок изготовления самоходов, способных бороться с новыми немецкими танками, причем со</w:t>
      </w:r>
      <w:r w:rsidRPr="00D03F3E">
        <w:rPr>
          <w:rFonts w:ascii="Times New Roman" w:hAnsi="Times New Roman"/>
          <w:color w:val="000000" w:themeColor="text1"/>
          <w:sz w:val="16"/>
          <w:szCs w:val="16"/>
        </w:rPr>
        <w:softHyphen/>
        <w:t>исполнители определены таким образом: ЦАКБ — спроек</w:t>
      </w:r>
      <w:r w:rsidRPr="00D03F3E">
        <w:rPr>
          <w:rFonts w:ascii="Times New Roman" w:hAnsi="Times New Roman"/>
          <w:color w:val="000000" w:themeColor="text1"/>
          <w:sz w:val="16"/>
          <w:szCs w:val="16"/>
        </w:rPr>
        <w:softHyphen/>
        <w:t>тировать артиллерийскую часть 85-мм самоходной пушки, завод № 9 НКВ, изготовить три опытных образца орудия, а Уралмашзавод осуществить изготовление самой САУ и смонтировать вооружение внутри боевого отделения.</w:t>
      </w:r>
    </w:p>
    <w:p w14:paraId="278D8C9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Планами Уралмашзавода, чтобы уложиться в жестко за</w:t>
      </w:r>
      <w:r w:rsidRPr="00D03F3E">
        <w:rPr>
          <w:rFonts w:ascii="Times New Roman" w:hAnsi="Times New Roman"/>
          <w:color w:val="000000" w:themeColor="text1"/>
          <w:sz w:val="16"/>
          <w:szCs w:val="16"/>
        </w:rPr>
        <w:softHyphen/>
        <w:t>данные сроки, предусматривалось осуществить изготовле</w:t>
      </w:r>
      <w:r w:rsidRPr="00D03F3E">
        <w:rPr>
          <w:rFonts w:ascii="Times New Roman" w:hAnsi="Times New Roman"/>
          <w:color w:val="000000" w:themeColor="text1"/>
          <w:sz w:val="16"/>
          <w:szCs w:val="16"/>
        </w:rPr>
        <w:softHyphen/>
        <w:t>ние 85-мм САУ на основе бронекорпуса СУ-122М, для чего еще в начале мая ЦАКБ были отправлены чертежи боевого отделения этой САУ. Однако ЦАКБ повел себя более чем странно. С опозданием на десять дней на Уралмашзавод бы</w:t>
      </w:r>
      <w:r w:rsidRPr="00D03F3E">
        <w:rPr>
          <w:rFonts w:ascii="Times New Roman" w:hAnsi="Times New Roman"/>
          <w:color w:val="000000" w:themeColor="text1"/>
          <w:sz w:val="16"/>
          <w:szCs w:val="16"/>
        </w:rPr>
        <w:softHyphen/>
        <w:t>ли присланы рабочие чертежи 85-мм танковой пушки С-31 с цапфами и без карданной рамки. Даже невооруженным глазом было видно, что указанная пушка не может быть ус</w:t>
      </w:r>
      <w:r w:rsidRPr="00D03F3E">
        <w:rPr>
          <w:rFonts w:ascii="Times New Roman" w:hAnsi="Times New Roman"/>
          <w:color w:val="000000" w:themeColor="text1"/>
          <w:sz w:val="16"/>
          <w:szCs w:val="16"/>
        </w:rPr>
        <w:softHyphen/>
        <w:t>тановлена в боевое отделение СУ-122М, но главное — эта пушка не могла серийно изготавливаться на заводе № 9 вви</w:t>
      </w:r>
      <w:r w:rsidRPr="00D03F3E">
        <w:rPr>
          <w:rFonts w:ascii="Times New Roman" w:hAnsi="Times New Roman"/>
          <w:color w:val="000000" w:themeColor="text1"/>
          <w:sz w:val="16"/>
          <w:szCs w:val="16"/>
        </w:rPr>
        <w:softHyphen/>
        <w:t>ду отсутствия необходимого оборудования.</w:t>
      </w:r>
    </w:p>
    <w:p w14:paraId="7C57586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Чтобы уложиться в заданный срок, КБ Уралмашзавода обратилось к КБ артиллерийского завода № 9 с просьбой о проведении разработки 85-мм орудия для артсамохода. Ф.Ф. Петров с готовностью отозвался на данную просьбу и вскоре предложил эскизный проект 85-мм пушки Д-5С85, выполненный на основании переработанного проекта орудия У-9 разработки В.Е. Сидоренко и АВ. Усенко 1941-1942 гг. Уже к 20 мая проект был скорректирован в КБ Уралмашзавода и поступил на утверждение Техуправления НКВ (11417).</w:t>
      </w:r>
    </w:p>
    <w:p w14:paraId="3DE7D95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028A8C3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мая 1943 г. Пост. ГКО № 3289сс и приказом НКВ/НКТП № 233/260 от 8.05.1943г. заводу НКВ (ГС завод № 9 НКВ, ОАО «Спецмаш», ГУП, ФГУП «Завод № 9» /620012 г. Свердловск, г. Екатеринбург пл. 1-й Пятилетки тел. 37-29-32/) поручено изготовить опытные 85-мм пушки С-31 (ЦАКБ) для КВ-1С и ИС и к 1.07.1943 г. представить их на испытания. С 05.1943г. начато строительство новых цехов, которые были оснащены импортным оборудованием. К конну 1943г. освоен выпуск пушки ЗИС-2. 12.06.1943г. вышло постановление ГКО № 3563 об изготовлении и испытании гаубицы Д-1. Пост. ГКО № 4479сс от 31.10.1943г. предписывалось начать серийный выпуск пушки Д-25. 3.07.1944г. вышло постановление ГКО № 6131 об организации на заводе производства пушек Д-10с.</w:t>
      </w:r>
    </w:p>
    <w:p w14:paraId="1831119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ГКО № 6971 от 19.11.1944 г. заводу был отведен земельный участок для артиллерийского полигона (возможно, это Гороховецкий полигон).</w:t>
      </w:r>
    </w:p>
    <w:p w14:paraId="2D7D776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1958 г. завод вновь вошел в состав Уралмашзавода как мелкосерийное производство. Далее вновь выделился в самостоятельный завод. Производство ствольной артиллерийской техники.</w:t>
      </w:r>
    </w:p>
    <w:p w14:paraId="415A59D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1992г. назывался «Спецмаш» и при акционировании вошел в состав «Уралмаша». 6.09.1995г. вновь образовано отдельное ГУП «Завод № 9», с 22.01.2002г.- ФГУП «Завод № 9». По Указу Президента РФ № 1009 от 4.08.2004г. вошел в число стратегических оборонных предприятий. На базе УВЗ в 2006г. планировалось создание холдинга, в который должны были войти ООО Завод № 9, «ЧТЗ-Уралтрак», Уралтрансмаш.</w:t>
      </w:r>
    </w:p>
    <w:p w14:paraId="4235B2D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1995-2000 г. создано семейство 155-мм гаубиц: М-385 для САУ 2СЗМ «Акация», М-389 (на базе 2А61 «Пат-Б»), М-390 (модернизированная Д-71).</w:t>
      </w:r>
    </w:p>
    <w:p w14:paraId="211B009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Директор (-05-10.1943г.-)- </w:t>
      </w:r>
      <w:r w:rsidRPr="00D03F3E">
        <w:rPr>
          <w:rFonts w:ascii="Times New Roman" w:hAnsi="Times New Roman"/>
          <w:color w:val="000000" w:themeColor="text1"/>
          <w:sz w:val="16"/>
          <w:szCs w:val="16"/>
          <w:lang w:val="en-US"/>
        </w:rPr>
        <w:t>JI</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P</w:t>
      </w:r>
      <w:r w:rsidRPr="00D03F3E">
        <w:rPr>
          <w:rFonts w:ascii="Times New Roman" w:hAnsi="Times New Roman"/>
          <w:color w:val="000000" w:themeColor="text1"/>
          <w:sz w:val="16"/>
          <w:szCs w:val="16"/>
        </w:rPr>
        <w:t>. Гонор. Гендиректор (2005г.)- В. Козишкурта.</w:t>
      </w:r>
    </w:p>
    <w:p w14:paraId="23F20E2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(1943г.)- Ф.Ф. Петров, (2000 г.)- В. Наседкин.</w:t>
      </w:r>
    </w:p>
    <w:p w14:paraId="1814ABB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Создано: 155-мм легкая гаубица М-389 (1999).</w:t>
      </w:r>
    </w:p>
    <w:p w14:paraId="6C0CF10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пушки: танковые: 76-мм ЗиС-5 (1943), ЗиС-6 (1941-43), 85-мм С-31 (1943)- 3, 85-мм Д-5Т (1943-)- 10 (1943), 122-мм Д-25 (1943-); 57-мм противотанковая ЗИС-2 (1943-), 100-мм Д-10с (1944), Д-11, Д-50 (1952-57); 152-мм гаубица Д-1 (1943-); САУ: 122-мм гаубица М-30 на шасси Т-34, гаубица 2С1 «Гвоздика», противотанковая пушка 2А45М (1990-е); орудийные стволы (2003г.); корабельные реактивные бомбометные установки РБУ-6000 (37УМ), РБУ-1000 (38УМ) (11982).</w:t>
      </w:r>
    </w:p>
    <w:p w14:paraId="4788BB4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385126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мая 1943 г., после очередного обсуждения проблем с танковой и противотанковой артиллерией, ГКО выпустил новое постановление № 3289сс «об усилении артиллерий</w:t>
      </w:r>
      <w:r w:rsidRPr="00D03F3E">
        <w:rPr>
          <w:rFonts w:ascii="Times New Roman" w:hAnsi="Times New Roman"/>
          <w:color w:val="000000" w:themeColor="text1"/>
          <w:sz w:val="16"/>
          <w:szCs w:val="16"/>
        </w:rPr>
        <w:softHyphen/>
        <w:t>ского вооружения танков и самоходных установок», в кото</w:t>
      </w:r>
      <w:r w:rsidRPr="00D03F3E">
        <w:rPr>
          <w:rFonts w:ascii="Times New Roman" w:hAnsi="Times New Roman"/>
          <w:color w:val="000000" w:themeColor="text1"/>
          <w:sz w:val="16"/>
          <w:szCs w:val="16"/>
        </w:rPr>
        <w:softHyphen/>
        <w:t>ром устанавливались жесткие сроки создания артсистем для танков. На основании постановления НКВ и НКТП 8 мая выпустили совместный приказ № 233/260, в кото</w:t>
      </w:r>
      <w:r w:rsidRPr="00D03F3E">
        <w:rPr>
          <w:rFonts w:ascii="Times New Roman" w:hAnsi="Times New Roman"/>
          <w:color w:val="000000" w:themeColor="text1"/>
          <w:sz w:val="16"/>
          <w:szCs w:val="16"/>
        </w:rPr>
        <w:softHyphen/>
        <w:t>ром в частности, говорилось:</w:t>
      </w:r>
    </w:p>
    <w:p w14:paraId="0320703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«Начальнику ЦАКБ т. ГРАБИНУ, Главному Конструкто</w:t>
      </w:r>
      <w:r w:rsidRPr="00D03F3E">
        <w:rPr>
          <w:rFonts w:ascii="Times New Roman" w:hAnsi="Times New Roman"/>
          <w:color w:val="000000" w:themeColor="text1"/>
          <w:sz w:val="16"/>
          <w:szCs w:val="16"/>
        </w:rPr>
        <w:softHyphen/>
        <w:t>ру НКТП т. КОТИНУ, Директору завода № 9 т. ГОНОРУ и Директору Кировского завода т. ДЛУГАЧ разработать чер</w:t>
      </w:r>
      <w:r w:rsidRPr="00D03F3E">
        <w:rPr>
          <w:rFonts w:ascii="Times New Roman" w:hAnsi="Times New Roman"/>
          <w:color w:val="000000" w:themeColor="text1"/>
          <w:sz w:val="16"/>
          <w:szCs w:val="16"/>
        </w:rPr>
        <w:softHyphen/>
        <w:t>тежи, изготовить и смонтировать в 2-х танках КВ- 1с и 2-х опытных образцах танков ИС 85-мм пушки с баллистикой существующей зенитной 85-мм пушки, и к I июля подать их для проведения Государственных испытаний..(11135).</w:t>
      </w:r>
    </w:p>
    <w:p w14:paraId="0E7E6DB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2343B6A3" w14:textId="77777777" w:rsidR="005B19C3" w:rsidRPr="00D03F3E" w:rsidRDefault="005B19C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5 мая 1943 года было подписано постановление ГКО № 3289 «Об усилении артиллерийского вооружения танков и самоходных установок». Согласно первому пункту постановления, на двух образцах танка ИС-1 предполагалось установить 85-мм орудия с баллистикой 52-К. Исполнителем выступал завод № 9, где под руководством Ф. Ф. Петрова началась работа по созданию 85-мм орудия Д-5Т. В середине мая появился неожиданный конкурент — ЦАКБ под руководством В. Г. Грабина. Взяв за основу проект 85-мм танковой пушки ЗИС-25, разработанный для КВ-1, группа конструкторов под руководством П. Ф. Муравьева и Е. В. Синильщикова разработала систему, получившую обозначение С-31. На заводе № 92, где позже строили эти системы, её обозначали как Ф-85. Проект, который вёлся в основном Синильщиковым, представили 17 мая, то есть меньше чем через две недели после подписания постановления ГКО № 3289.</w:t>
      </w:r>
    </w:p>
    <w:p w14:paraId="77C25BAF" w14:textId="77777777" w:rsidR="005B19C3" w:rsidRPr="00D03F3E" w:rsidRDefault="005B19C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По традиции, унаследованной ЦАКБ от КБ завода № 92, пушку максимального калибра попытались вставить в штатную башню ИС. В конструкции С-31 использовалось 85% деталей от ЗИС-5. Башню, впрочем, всё же пришлось увеличивать в размерах, чтобы обеспечить заряжание орудия. Для этого крыша в районе места заряжающего была поднята. Боекомплект должен был составить 71 патрон. Боевая масса ИС-1 с орудием С-31, согласно расчётам, поднималась до 39,5–40 тонн.</w:t>
      </w:r>
    </w:p>
    <w:p w14:paraId="76444BEC" w14:textId="77777777" w:rsidR="005B19C3" w:rsidRPr="00D03F3E" w:rsidRDefault="005B19C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Дальше эскизного проекта эта идея не продвинулась. 6 июня 1943 года в адрес Молотова ушла докладная записка за подписью начальника ГБТУ КА генерал-полковника Федоренко. В ней он сообщал, что исследования вопроса установки 85-мм пушки в штатную башню ИС-1 выявили массу проблем. Башня оказалась слишком маленькой для такой системы, работать в ней было бы крайне неудобно. В результате Котин дал команду начать разработку новой башни с диаметром погона 1800 мм. Это означало, что придется переделывать и корпус, удлиняя его на 420 мм. Так родился тот ИС, который мы все хорошо знаем, сборка первой такой машины началась в начале 20-х чисел июня.</w:t>
      </w:r>
    </w:p>
    <w:p w14:paraId="3521869C" w14:textId="77777777" w:rsidR="005B19C3" w:rsidRPr="00D03F3E" w:rsidRDefault="005B19C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Что же касается ИС-1, то июнь стал последним месяцем, когда этот танк проходил испытания. Он проехал 724 км, в ходе которых наблюдались все те же проблемы с попаданием грязи и пыли в воздухозаборники. Пройдя в общей сложности 2294 км, танк занял место на заводской площадке рядом с КВ-13. Наступало время другого танка с именем Сталина (17688).</w:t>
      </w:r>
    </w:p>
    <w:p w14:paraId="6235DB79" w14:textId="77777777" w:rsidR="005B19C3" w:rsidRPr="00D03F3E" w:rsidRDefault="005B19C3" w:rsidP="00D03F3E">
      <w:pPr>
        <w:pStyle w:val="12a"/>
        <w:shd w:val="clear" w:color="auto" w:fill="auto"/>
        <w:spacing w:after="0" w:line="240" w:lineRule="auto"/>
        <w:jc w:val="both"/>
        <w:rPr>
          <w:color w:val="000000" w:themeColor="text1"/>
          <w:sz w:val="16"/>
          <w:szCs w:val="16"/>
        </w:rPr>
      </w:pPr>
    </w:p>
    <w:p w14:paraId="473191C4" w14:textId="77777777" w:rsidR="005B19C3" w:rsidRPr="00D03F3E" w:rsidRDefault="005B19C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5 мая 1943 года вышло постановление ГКО №3289 «Об усилении артиллерийского вооружения танков и самоходных установок». В соответствии с ним началась разработка 85-мм орудия Д-5Т. Кроме того, аналогичной работой начало заниматься ЦАКБ, разработавшее системы С-18 и С-31 (17694).</w:t>
      </w:r>
    </w:p>
    <w:p w14:paraId="53B1D9C1" w14:textId="77777777" w:rsidR="005B19C3" w:rsidRPr="00D03F3E" w:rsidRDefault="005B19C3" w:rsidP="00D03F3E">
      <w:pPr>
        <w:pStyle w:val="12a"/>
        <w:shd w:val="clear" w:color="auto" w:fill="auto"/>
        <w:spacing w:after="0" w:line="240" w:lineRule="auto"/>
        <w:jc w:val="both"/>
        <w:rPr>
          <w:color w:val="000000" w:themeColor="text1"/>
          <w:sz w:val="16"/>
          <w:szCs w:val="16"/>
        </w:rPr>
      </w:pPr>
    </w:p>
    <w:p w14:paraId="68FB9AE0" w14:textId="77777777" w:rsidR="005B19C3" w:rsidRPr="00D03F3E" w:rsidRDefault="005B19C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5 мая 1943 года, когда было подписано постановление ГКО №3289 «Об усилении артиллерийского вооружения танков и самоходных установок» официально начались работы по танковым орудиям калибра 85 мм. В тексте постановления говорилось о двух образцах танков КВ-1с и двух образцах </w:t>
      </w:r>
      <w:hyperlink r:id="rId135" w:history="1">
        <w:r w:rsidRPr="00D03F3E">
          <w:rPr>
            <w:rFonts w:ascii="Times New Roman" w:eastAsia="Times New Roman" w:hAnsi="Times New Roman"/>
            <w:color w:val="000000" w:themeColor="text1"/>
            <w:sz w:val="16"/>
            <w:szCs w:val="16"/>
            <w:lang w:eastAsia="ru-RU"/>
          </w:rPr>
          <w:t>ИС-1 (233)</w:t>
        </w:r>
      </w:hyperlink>
      <w:r w:rsidRPr="00D03F3E">
        <w:rPr>
          <w:rFonts w:ascii="Times New Roman" w:eastAsia="Times New Roman" w:hAnsi="Times New Roman"/>
          <w:color w:val="000000" w:themeColor="text1"/>
          <w:sz w:val="16"/>
          <w:szCs w:val="16"/>
          <w:lang w:eastAsia="ru-RU"/>
        </w:rPr>
        <w:t>, которые предполагалось перевооружить орудиями калибра 85 мм.</w:t>
      </w:r>
    </w:p>
    <w:p w14:paraId="17717472" w14:textId="77777777" w:rsidR="005B19C3" w:rsidRPr="00D03F3E" w:rsidRDefault="005B19C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lastRenderedPageBreak/>
        <w:t>Хотя исполнителем в документе указывался завод №9, на практике ЦАКБ получило задание на разработку системы калибра 85 мм практически одновременно с конкурентами. Это была не разработка с нуля, а фактически развитие темы ЗИС-25, ведь полностью работы по этой системе остановлены не были. Возвращение к проекту 85-мм пушки произошло ещё в феврале 1943 года. Для продолжения работ Грабин составил заявку на тактико-технические требования (ТТТ) для орудия и на документацию к КВ-1. Также ему был нужен один образец КВ-1 и пушки ЗИС-5 для изготовления опытного образца ЗИС-25. ГБТУ КА выдавать танк целиком отказалось, поскольку у ЦАКБ все еще имелся КВ-2, на котором испытывалась 107-мм танковая пушка ЗИС-6. Было предложено передать только башню, причем не КВ-1, а КВ-1с, поскольку именно этот танк находился в серийном производстве. Также в адрес ЦАКБ высылалась документация на КВ-1с и ИС-1 (233) (17698).</w:t>
      </w:r>
    </w:p>
    <w:p w14:paraId="768CF08F" w14:textId="77777777" w:rsidR="005B19C3" w:rsidRPr="00D03F3E" w:rsidRDefault="005B19C3" w:rsidP="00D03F3E">
      <w:pPr>
        <w:pStyle w:val="12a"/>
        <w:shd w:val="clear" w:color="auto" w:fill="auto"/>
        <w:spacing w:after="0" w:line="240" w:lineRule="auto"/>
        <w:jc w:val="both"/>
        <w:rPr>
          <w:color w:val="000000" w:themeColor="text1"/>
          <w:sz w:val="16"/>
          <w:szCs w:val="16"/>
        </w:rPr>
      </w:pPr>
    </w:p>
    <w:p w14:paraId="17F5922A" w14:textId="77777777" w:rsidR="005B19C3" w:rsidRPr="00D03F3E" w:rsidRDefault="005B19C3" w:rsidP="00D03F3E">
      <w:pPr>
        <w:pStyle w:val="ae"/>
        <w:shd w:val="clear" w:color="auto" w:fill="FFFFFF"/>
        <w:spacing w:before="0" w:after="0"/>
        <w:jc w:val="both"/>
        <w:rPr>
          <w:color w:val="000000" w:themeColor="text1"/>
          <w:sz w:val="16"/>
          <w:szCs w:val="16"/>
        </w:rPr>
      </w:pPr>
      <w:r w:rsidRPr="00D03F3E">
        <w:rPr>
          <w:color w:val="000000" w:themeColor="text1"/>
          <w:sz w:val="16"/>
          <w:szCs w:val="16"/>
        </w:rPr>
        <w:t>5 мая 1943 года вышло постановление Государственного комитета обороны (ГКО) №3289 «Об усилении артиллерийского вооружения танков и самоходных установок».</w:t>
      </w:r>
    </w:p>
    <w:p w14:paraId="42F5249B" w14:textId="77777777" w:rsidR="005B19C3" w:rsidRPr="00D03F3E" w:rsidRDefault="005B19C3" w:rsidP="00D03F3E">
      <w:pPr>
        <w:pStyle w:val="ae"/>
        <w:shd w:val="clear" w:color="auto" w:fill="FFFFFF"/>
        <w:spacing w:before="0" w:after="0"/>
        <w:jc w:val="both"/>
        <w:rPr>
          <w:color w:val="000000" w:themeColor="text1"/>
          <w:sz w:val="16"/>
          <w:szCs w:val="16"/>
        </w:rPr>
      </w:pPr>
      <w:r w:rsidRPr="00D03F3E">
        <w:rPr>
          <w:color w:val="000000" w:themeColor="text1"/>
          <w:sz w:val="16"/>
          <w:szCs w:val="16"/>
        </w:rPr>
        <w:t>Текст постановления ГКО №3289 получился довольно странным. В нём не упоминалось ЦАКБ, а ответственными за самоходные пушки калибра 85 мм определялись Народный комиссариат танковой промышленности (НКТП), завод №9 и Уралмашзавод. Постановление предписывало изготовить и сдать две самоходные артиллерийские установки к 1 июля 1943 года. Испытать машины, которые в тексте постановления назывались СУ-85, предполагалось к 10 июля. Одновременно завод №9 и Уралмашзавод обязывали готовиться к выпуску СУ-85, не дожидаясь окончания испытаний (17704).</w:t>
      </w:r>
    </w:p>
    <w:p w14:paraId="518A35DC" w14:textId="77777777" w:rsidR="005B19C3" w:rsidRPr="00D03F3E" w:rsidRDefault="005B19C3" w:rsidP="00D03F3E">
      <w:pPr>
        <w:pStyle w:val="12a"/>
        <w:shd w:val="clear" w:color="auto" w:fill="auto"/>
        <w:spacing w:after="0" w:line="240" w:lineRule="auto"/>
        <w:jc w:val="both"/>
        <w:rPr>
          <w:color w:val="000000" w:themeColor="text1"/>
          <w:sz w:val="16"/>
          <w:szCs w:val="16"/>
        </w:rPr>
      </w:pPr>
    </w:p>
    <w:p w14:paraId="3E4113CF" w14:textId="77777777" w:rsidR="005B19C3" w:rsidRPr="00D03F3E" w:rsidRDefault="005B19C3" w:rsidP="00D03F3E">
      <w:pPr>
        <w:pStyle w:val="ae"/>
        <w:spacing w:before="0" w:after="0"/>
        <w:jc w:val="both"/>
        <w:textAlignment w:val="baseline"/>
        <w:rPr>
          <w:color w:val="000000" w:themeColor="text1"/>
          <w:sz w:val="16"/>
          <w:szCs w:val="16"/>
        </w:rPr>
      </w:pPr>
      <w:r w:rsidRPr="00D03F3E">
        <w:rPr>
          <w:color w:val="000000" w:themeColor="text1"/>
          <w:sz w:val="16"/>
          <w:szCs w:val="16"/>
        </w:rPr>
        <w:t>5 мая 1943 было подписано постановление ГКО №3289 «Об усилении артиллерийского вооружения танков и самоходных установок». Согласно ему, к 1 июля 1943 года на государственные испытания выходило по два образца ИС-1 и КВ-1с с 85-мм пушками. Предварительные работы по проектированию 85-мм пушки, которые были начаты ещё в конце марта 1943 года, показали, что для её установки потребуются значительные изменения в конструкции танка.</w:t>
      </w:r>
    </w:p>
    <w:p w14:paraId="61A1D2B3" w14:textId="77777777" w:rsidR="005B19C3" w:rsidRPr="00D03F3E" w:rsidRDefault="005B19C3" w:rsidP="00D03F3E">
      <w:pPr>
        <w:pStyle w:val="ae"/>
        <w:spacing w:before="0" w:after="0"/>
        <w:jc w:val="both"/>
        <w:textAlignment w:val="baseline"/>
        <w:rPr>
          <w:color w:val="000000" w:themeColor="text1"/>
          <w:sz w:val="16"/>
          <w:szCs w:val="16"/>
        </w:rPr>
      </w:pPr>
      <w:r w:rsidRPr="00D03F3E">
        <w:rPr>
          <w:color w:val="000000" w:themeColor="text1"/>
          <w:sz w:val="16"/>
          <w:szCs w:val="16"/>
        </w:rPr>
        <w:t>Проектирование 85-мм танкового орудия с баллистикой зенитной пушки 52-К шло на конкурсной основе. В подмосковном Калининграде этим занимался коллектив Центрального артиллерийского конструкторского бюро (ЦАКБ). Там пошли по пути минимального внесения изменений в конструкцию шасси, что значительно ускоряло внедрение улучшенных танков в серию. Переделке подвергалась башня, благодаря чему улучшались условия работы расчёта.</w:t>
      </w:r>
    </w:p>
    <w:p w14:paraId="181D0974" w14:textId="77777777" w:rsidR="005B19C3" w:rsidRPr="00D03F3E" w:rsidRDefault="005B19C3" w:rsidP="00D03F3E">
      <w:pPr>
        <w:pStyle w:val="ae"/>
        <w:spacing w:before="0" w:after="0"/>
        <w:jc w:val="both"/>
        <w:textAlignment w:val="baseline"/>
        <w:rPr>
          <w:color w:val="000000" w:themeColor="text1"/>
          <w:sz w:val="16"/>
          <w:szCs w:val="16"/>
        </w:rPr>
      </w:pPr>
      <w:r w:rsidRPr="00D03F3E">
        <w:rPr>
          <w:color w:val="000000" w:themeColor="text1"/>
          <w:sz w:val="16"/>
          <w:szCs w:val="16"/>
        </w:rPr>
        <w:t>Совсем иначе смотрели на данную тему сотрудники конструкторского бюро завода №9 (Свердловск). Их разработка создавалась с расчётом на серьёзную переделку шасси обоих танков, особенно это касалось ИС-1. В ходе проектирования установки орудия Д-7, позже переименованного в Д-5Т-85, стало ясно, что в существующую башню ИС-1 её ставить нельзя, прежде всего из-за диаметра погона башни. Первый эскизный проект установки Д-5Т-85 предполагал, что диаметр погона башни вырастет до 1700 мм. Ближе к концу мая 1943 года стало ясно, что увеличивать погон следует ещё больше — до 1800 мм. Разумеется, это привело к серьёзной переделке шасси ИС-1, но к подобному повороту событий в Челябинске уже были готовы. ИС-1 в любом случае переделывался, а разрабатывать две разные башни для одного орудия челябинские и свердловские конструкторы не планировали.</w:t>
      </w:r>
    </w:p>
    <w:p w14:paraId="2D005440" w14:textId="77777777" w:rsidR="005B19C3" w:rsidRPr="00D03F3E" w:rsidRDefault="005B19C3" w:rsidP="00D03F3E">
      <w:pPr>
        <w:pStyle w:val="ae"/>
        <w:spacing w:before="0" w:after="0"/>
        <w:jc w:val="both"/>
        <w:textAlignment w:val="baseline"/>
        <w:rPr>
          <w:color w:val="000000" w:themeColor="text1"/>
          <w:sz w:val="16"/>
          <w:szCs w:val="16"/>
        </w:rPr>
      </w:pPr>
      <w:r w:rsidRPr="00D03F3E">
        <w:rPr>
          <w:color w:val="000000" w:themeColor="text1"/>
          <w:sz w:val="16"/>
          <w:szCs w:val="16"/>
        </w:rPr>
        <w:t>Первые подвижки в работах по проекту, получившему чертёжный индекс 239, начались в середине мая 1943 года. С июля данная тема получила название Объект 239. Эскизный проект был готов к 22 мая 1943 года, ведущим инженером проекта являлся М.Ф. Балжи. Помимо расширения погона, в корпус вносился ряд других изменений. Радист из отделения управления убирался, рация перемещалась в башню, а в носовую часть корпуса переносились топливные баки. Согласно расчётам, боевая масса танка возрастала до 46,5 тонн. Заместитель наркома танковой промышленности и главный конструктор ЧКЗ Жозеф Яковлевич Котин был настроен продолжить разработку данного танка, но до поры до времени избегал огласки этого решения. Тем не менее руководство НКТП настояло на изготовлении опытного образца. В качестве базы для создания новой машины решили использовать второй образец КВ-1с с серийным номером 15002. Согласно первоначальному плану, сроком изготовления Объекта 239 определили 25 июня (17710).</w:t>
      </w:r>
    </w:p>
    <w:p w14:paraId="00ACDC11" w14:textId="77777777" w:rsidR="005B19C3" w:rsidRPr="00D03F3E" w:rsidRDefault="005B19C3" w:rsidP="00D03F3E">
      <w:pPr>
        <w:pStyle w:val="12a"/>
        <w:shd w:val="clear" w:color="auto" w:fill="auto"/>
        <w:spacing w:after="0" w:line="240" w:lineRule="auto"/>
        <w:jc w:val="both"/>
        <w:rPr>
          <w:color w:val="000000" w:themeColor="text1"/>
          <w:sz w:val="16"/>
          <w:szCs w:val="16"/>
        </w:rPr>
      </w:pPr>
    </w:p>
    <w:p w14:paraId="0283303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мая 1943 вышло Постановление ГКО № 3291 Об организации Орского завода по изготовлению запасных частей для электростанций.РГАНИР, Фонд ГКО, д. 113, лл. 54 (11012).</w:t>
      </w:r>
    </w:p>
    <w:p w14:paraId="7DDDCF7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16C64D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мая 1943 г. на заводе 639 был построен и сдан флоту го</w:t>
      </w:r>
      <w:r w:rsidRPr="00D03F3E">
        <w:rPr>
          <w:color w:val="000000" w:themeColor="text1"/>
          <w:sz w:val="16"/>
          <w:szCs w:val="16"/>
        </w:rPr>
        <w:softHyphen/>
        <w:t>ловной катер пр. 213 "Московский ремесленник трудовых резервов" (№ 106) (3898).</w:t>
      </w:r>
    </w:p>
    <w:p w14:paraId="7664CF7C" w14:textId="77777777" w:rsidR="00531570" w:rsidRPr="00D03F3E" w:rsidRDefault="00531570" w:rsidP="00D03F3E">
      <w:pPr>
        <w:pStyle w:val="Iauiue"/>
        <w:jc w:val="both"/>
        <w:rPr>
          <w:color w:val="000000" w:themeColor="text1"/>
          <w:sz w:val="16"/>
          <w:szCs w:val="16"/>
        </w:rPr>
      </w:pPr>
    </w:p>
    <w:p w14:paraId="1478CA46"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78F4AD94" w14:textId="77777777" w:rsidR="00531570" w:rsidRPr="00D03F3E" w:rsidRDefault="00531570" w:rsidP="00D03F3E">
      <w:pPr>
        <w:pStyle w:val="Iauiue"/>
        <w:jc w:val="both"/>
        <w:rPr>
          <w:iCs/>
          <w:color w:val="000000" w:themeColor="text1"/>
          <w:sz w:val="16"/>
          <w:szCs w:val="16"/>
        </w:rPr>
      </w:pPr>
    </w:p>
    <w:p w14:paraId="5DB3F1E9"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мая в 1943 году утреннее сообщение Совинформбюро:</w:t>
      </w:r>
    </w:p>
    <w:p w14:paraId="5B546E41"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5 мая продолжались бои северо-восточнее Новороссийска.</w:t>
      </w:r>
    </w:p>
    <w:p w14:paraId="5116A20F"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фронтах существенных изменений не произошло.</w:t>
      </w:r>
    </w:p>
    <w:p w14:paraId="6C53E93F"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части Н-ского соединения вели ожесточённые бои с противником. Советские артиллеристы мощными огневыми налётами поддерживали действия стрелковых частей. Только на одном участке артиллерийским огнём уничтожено 4 немецких танка, 21 орудие, 5 миномётных батарей и до батальона немецкой пехоты.</w:t>
      </w:r>
    </w:p>
    <w:p w14:paraId="6A2800E2"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Наша авиация дальнего действия бомбила аэродромы противника. В результате бомбардировки наблюдались многочисленные пожары и сильные взрывы.</w:t>
      </w:r>
    </w:p>
    <w:p w14:paraId="1BB6C6A1"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уничтожили до 150 немцев, разбили 3 орудия, подавили огонь миномётной и 4 артиллерийских батарей противника.</w:t>
      </w:r>
    </w:p>
    <w:p w14:paraId="4DEED0E0"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огнём нашей артиллерии и миномётов уничтожены артиллерийская и миномётная батареи, 10 автомашин, взорвано 2 склада боеприпасов, рассеяно и частью уничтожено до двух рот гитлеровцев. Орудийный расчёт под командованием сержанта Ларина прямым попаданием разбил две вражеских кухни и уничтожил до 60 немецких солдат.</w:t>
      </w:r>
    </w:p>
    <w:p w14:paraId="5DCFF8AA"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наши артиллеристы обстреливали вражеские позиции и разрушили 17 дзотов, наблюдательный пункт, уничтожили 7 немецких орудий, 2 миномётные батареи и взорвали склад: боеприпасов. На другом участке противник двумя группами общей численностью до 150 солдат предпринял атаку. Миномётным иружейно-пулемётным огнём гитлеровцы были рассеяны. На поле боя осталось до 70 вражеских трупов.</w:t>
      </w:r>
    </w:p>
    <w:p w14:paraId="0E83830D"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партизанских отрядов, действующих в одном из районов Гомельской области, за время с 16 по 25 апреля нанесла ряд ударов по железнодорожному транспорту в тылу противника. Партизаны отряда имени Ворошилова взорвали три немецких эшелона. Подрывники отряда имени Чапаева пустили под откос два поезда противника. Партизаны отряда «Большевик» подорвали на минах вражеский эшелон. Разбито 6 паровозов и много вагонов с войсками и техникой противника. В результате действий партизан на большом участке железнодорожное движение было приостановлено.</w:t>
      </w:r>
    </w:p>
    <w:p w14:paraId="664755C6"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патриоты ведут ожесточённые бои с итало-немецкими оккупантами.</w:t>
      </w:r>
    </w:p>
    <w:p w14:paraId="59B274C7"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действующие в районе Загреба, заняли одну железнодорожную станцию и захватили большие трофеи. Недавно патриоты совершили налёт на концентрационный лагерь Беляк, в котором находились французские рабочие, насильно увезённые немцами из Франции на принудительные работы. Партизаны рассеяли немецкую охрану и освободили заключённых. Получив свободу, многие французы примкнули к партизанам и с оружием в руках борются против итало-немецких захватчиков. После разгрома итальянского экспедиционного корпуса на советско-немецком фронте усилилось дезертирство из итальянских гарнизонов. За последнее время отмечены случаи одиночного, а также группового перехода итальянских солдат на сторону югославских партизан. Добровольно сдалась в плен партизанам группа солдат из итальянского гарнизона, расположенного в Кочевье. Они принесли с собой всё вооружение и боеприпасы. На сторону партизан перешли также группы солдат и из других гарнизонов. В Мостаре и Любляне итальянские военные власти казнили 25 солдат за попытку перейти на сторону югославских патриотов.» (14882).</w:t>
      </w:r>
    </w:p>
    <w:p w14:paraId="2E36ED0E" w14:textId="77777777" w:rsidR="00490449" w:rsidRPr="00D03F3E" w:rsidRDefault="00490449" w:rsidP="00D03F3E">
      <w:pPr>
        <w:spacing w:after="0" w:line="240" w:lineRule="auto"/>
        <w:jc w:val="both"/>
        <w:rPr>
          <w:rFonts w:ascii="Times New Roman" w:hAnsi="Times New Roman"/>
          <w:color w:val="000000" w:themeColor="text1"/>
          <w:sz w:val="16"/>
          <w:szCs w:val="16"/>
        </w:rPr>
      </w:pPr>
    </w:p>
    <w:p w14:paraId="0C31081B"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мая в 1943 году вечернее сообщение Совинформбюро:</w:t>
      </w:r>
    </w:p>
    <w:p w14:paraId="5010BB5D"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северо-восточнее Новороссийска, наши войска в результате ожесточённых боёв прорвали оборону противника фронтом в 25 километров и овладели железнодорожным узлом Крымская, превращенным немцами в важнейший, сильно укреплённый узел сопротивления. Продвинувшись в глубину на 13 километров, наши войска заняли также населённые пункты Красный, Черноморский, Запорожский, Весёлый, Садовой, Благодарный, Мелеховский, Нижне-Греческий, Верхний Адагум и Неберджаевская.</w:t>
      </w:r>
    </w:p>
    <w:p w14:paraId="2CF0CA89"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Захвачены 80 орудий, 220 пулемётов и другие трофеи. Противник оставил на поле боя свыше 7.000 убитых солдат и офицеров.</w:t>
      </w:r>
    </w:p>
    <w:p w14:paraId="2C96A4E4"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существенных изменений не произошло.</w:t>
      </w:r>
    </w:p>
    <w:p w14:paraId="2A407E5E"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мая частями нашей авиации на различных участках фронта уничтожено или повреждено не менее 5 немецких танков, до 30 автомашин с войсками и грузами, взорвано 3 склада боеприпасов, подавлен огонь 7 артиллерийских и миномётных батарей, потоплен немецкий транспорт, рассеяно и частью уничтожено до батальона пехоты противника.</w:t>
      </w:r>
    </w:p>
    <w:p w14:paraId="073CB731"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в районе северо-восточнее Новороссийска, части Н-ского соединения продолжали вести ожесточённые бои. Поддерживая атаки пехоты, советские артиллеристы на одном участке уничтожили 2 немецких танка, 27 автомашин с пехотой и грузами, разрушили несколько десятков дзотов и блиндажей противника. Наши лётчики бомбили и штурмовали вражеские войска. Старший лейтенант т. Шмелёв в течение дня в воздушных боях сбил 4 немецких истребителя, пилот т. Комельков и старший сержант т. Лиховидов сбили по два немецких самолёта каждый.</w:t>
      </w:r>
    </w:p>
    <w:p w14:paraId="3F4C7A83"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занимали прежние позиции и вели разведку.</w:t>
      </w:r>
    </w:p>
    <w:p w14:paraId="7404D7C4"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На одном участке немецкий отряд численностью до 150 человек пытался боем разведать систему нашей обороны. Советские бойцы залповым огнём встретили противника. Гитлеровцы поспешно отступили, оставив перед нашими позициями до 60 трупов. На другом участке разведчики Н-ской части пробрались в тыл противника, взорвали 2 дзота, истребили 37 вражеских солдат и, захватив пленных, вернулись в свою часть.</w:t>
      </w:r>
    </w:p>
    <w:p w14:paraId="78D674C8"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огнём артиллерии и миномётов разбито 2 немецких дзота и 4 блиндажа, уничтожено 3 крупнокалиберных пулемёта и истреблено до роты гитлеровцев.</w:t>
      </w:r>
    </w:p>
    <w:p w14:paraId="564B2327"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произвели налёт на железнодорожные станции в тылу противника. Отмечены многочисленные взрывы и пожары. B воздушном бою сбито 2 немецких бомбардировщика.</w:t>
      </w:r>
    </w:p>
    <w:p w14:paraId="1B906ACF"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небольшая группа разведчиков под командованием лейтенанта тов. Кузменеева скрытно пробралась в тыл врага и атаковала роту немецкой пехоты. Наши бойцы истребили 40 гитлеровцев, добыли нужные сведения о противнике и без потерь вернулись в свою часть.</w:t>
      </w:r>
    </w:p>
    <w:p w14:paraId="0E5E404C"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происходила артиллерийская и ружейно-пулемётная перестрелка с противником. Наши подразделения истребили до 200 гитлеровцев, разрушили несколько дзотов, 13 блиндажей и землянок. В воздушных боях на подступах к Ленинграду советские лётчики сбили 2 немецких истребителя. Кроме того, 4 самолёта противника уничтожено огнём зенитной артиллерии.</w:t>
      </w:r>
    </w:p>
    <w:p w14:paraId="50D566D2"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Сумской области, внезапно атаковал немецкий гарнизон в крупном населённом пункте. B ожесточённых уличных боях противник понёс значительные потери. Умелым манёвром советские патриоты окружили часть вражеского гарнизона. Группа гитлеровцев в количестве 87 человек, отказавшаяся сложить оружие, была истреблена. Взято в плен l20 вражеских солдат и офицеров. Захвачено много винтовок и большое количество боеприпасов.</w:t>
      </w:r>
    </w:p>
    <w:p w14:paraId="25D65D82"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над пленным красноармейцем: «18 апреля 1943 года на одном участке Ленинградского фронта, у немецкой землянки, захваченной советским подразделением, мы обнаружили труп красноармейца Лученкова Григория Ивановича, уроженца Калининской области, зверски замученного гитлеровцами. Труп был до пояса зарыт в землю и обложен камнями. Голова отрублена, правое плечо разрублено, грудь исколота штыками. Установлено, что т. Лученков был захвачен в плен немцами и подвергнут чудовищным пыткам». Акт подписали: майор Дугаев, старшина Овирид, старший сержант Чередниченко, красноармейцы Иванов, Петров и другие.</w:t>
      </w:r>
    </w:p>
    <w:p w14:paraId="2BCE0830"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Французские вольные стрелки за последние дни провели ряд успешных операций. B разных районах Франции пущено под откос 10 немецких поездов с войсками, вооружением и военными материалами. В Канне ночью были взорваны все стрелки портовых железнодорожных путей. В Сент-Илере группа патриотов проникла на нефтеперерабатывающий завод и открыла краны бензохранилищ. Из них вытекло 16 тысяч литров бензина. B Лионе вольные стрелки совершили нападение на немецкий отряд. B завязавшейся схватке убито и ранено 25 немцев.» (14882).</w:t>
      </w:r>
    </w:p>
    <w:p w14:paraId="1A1CE99D" w14:textId="77777777" w:rsidR="00490449" w:rsidRPr="00D03F3E" w:rsidRDefault="00490449" w:rsidP="00D03F3E">
      <w:pPr>
        <w:spacing w:after="0" w:line="240" w:lineRule="auto"/>
        <w:jc w:val="both"/>
        <w:rPr>
          <w:rFonts w:ascii="Times New Roman" w:hAnsi="Times New Roman"/>
          <w:color w:val="000000" w:themeColor="text1"/>
          <w:sz w:val="16"/>
          <w:szCs w:val="16"/>
        </w:rPr>
      </w:pPr>
    </w:p>
    <w:p w14:paraId="623AED2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мая 1943 г. в своей директиве №10/233 временно исполняющий обязан</w:t>
      </w:r>
      <w:r w:rsidRPr="00D03F3E">
        <w:rPr>
          <w:color w:val="000000" w:themeColor="text1"/>
          <w:sz w:val="16"/>
          <w:szCs w:val="16"/>
        </w:rPr>
        <w:softHyphen/>
        <w:t>ности командующего ВВС КА генерал-полковник авиации Г.А.Ворожейкин по</w:t>
      </w:r>
      <w:r w:rsidRPr="00D03F3E">
        <w:rPr>
          <w:color w:val="000000" w:themeColor="text1"/>
          <w:sz w:val="16"/>
          <w:szCs w:val="16"/>
        </w:rPr>
        <w:softHyphen/>
        <w:t xml:space="preserve">требовал от командующих воздушными армиями: </w:t>
      </w:r>
      <w:r w:rsidRPr="00D03F3E">
        <w:rPr>
          <w:iCs/>
          <w:color w:val="000000" w:themeColor="text1"/>
          <w:sz w:val="16"/>
          <w:szCs w:val="16"/>
        </w:rPr>
        <w:t>"Удар по аэродромам нано</w:t>
      </w:r>
      <w:r w:rsidRPr="00D03F3E">
        <w:rPr>
          <w:iCs/>
          <w:color w:val="000000" w:themeColor="text1"/>
          <w:sz w:val="16"/>
          <w:szCs w:val="16"/>
        </w:rPr>
        <w:softHyphen/>
        <w:t>сить крупными группами, выделяя из их состава необходимое количество авиа</w:t>
      </w:r>
      <w:r w:rsidRPr="00D03F3E">
        <w:rPr>
          <w:iCs/>
          <w:color w:val="000000" w:themeColor="text1"/>
          <w:sz w:val="16"/>
          <w:szCs w:val="16"/>
        </w:rPr>
        <w:softHyphen/>
        <w:t>ционных средств для подавления зенит</w:t>
      </w:r>
      <w:r w:rsidRPr="00D03F3E">
        <w:rPr>
          <w:iCs/>
          <w:color w:val="000000" w:themeColor="text1"/>
          <w:sz w:val="16"/>
          <w:szCs w:val="16"/>
        </w:rPr>
        <w:softHyphen/>
        <w:t>ной обороны противника. Штурмовикам, бомбардировщикам при нападении на аэродромы в составе бомбозаправок иметь: 60% осколочных, 30% зажигатель</w:t>
      </w:r>
      <w:r w:rsidRPr="00D03F3E">
        <w:rPr>
          <w:iCs/>
          <w:color w:val="000000" w:themeColor="text1"/>
          <w:sz w:val="16"/>
          <w:szCs w:val="16"/>
        </w:rPr>
        <w:softHyphen/>
        <w:t>ных и 10% фугасных бомб..."</w:t>
      </w:r>
    </w:p>
    <w:p w14:paraId="09A89EB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Воздушные армии должны были дей</w:t>
      </w:r>
      <w:r w:rsidRPr="00D03F3E">
        <w:rPr>
          <w:color w:val="000000" w:themeColor="text1"/>
          <w:sz w:val="16"/>
          <w:szCs w:val="16"/>
        </w:rPr>
        <w:softHyphen/>
        <w:t>ствовать: 1 -я ВА Западного фронта - по 5 аэродромам, в том числе в районах Сещи и Брянска, 15-я ВА Брянского фронта - по двум аэродромам в районе Орла, 16-я ВА Центрального фронта - по пяти аэродромам в районах Орла и Навли, 2-я ВА Воронежского фронта - по восьми аэродромам, главным образом Харьковского аэроузла, 17-я Юго-Западного и 8-я ВА Южного фронтов - по трем аэродромам каждая.</w:t>
      </w:r>
    </w:p>
    <w:p w14:paraId="24DE09D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Вполне удачными в этот день были действия Ил-2 17-й ВА генерал-лейте</w:t>
      </w:r>
      <w:r w:rsidRPr="00D03F3E">
        <w:rPr>
          <w:color w:val="000000" w:themeColor="text1"/>
          <w:sz w:val="16"/>
          <w:szCs w:val="16"/>
        </w:rPr>
        <w:softHyphen/>
        <w:t>нанта авиации С.А.Красовского, что объясняется, кроме внезапности, еще и довольно грамотным планированием удара (6467).</w:t>
      </w:r>
    </w:p>
    <w:p w14:paraId="752BF60F" w14:textId="77777777" w:rsidR="00531570" w:rsidRPr="00D03F3E" w:rsidRDefault="00531570" w:rsidP="00D03F3E">
      <w:pPr>
        <w:pStyle w:val="Iauiue"/>
        <w:jc w:val="both"/>
        <w:rPr>
          <w:color w:val="000000" w:themeColor="text1"/>
          <w:sz w:val="16"/>
          <w:szCs w:val="16"/>
        </w:rPr>
      </w:pPr>
    </w:p>
    <w:p w14:paraId="328B9AC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мая 1943 вышла директива наркома ВМФ Н.К.Кузнецова N 118/Ш об усилении действий авиации КБФ в островном районе (2120).</w:t>
      </w:r>
    </w:p>
    <w:p w14:paraId="30BEA655" w14:textId="77777777" w:rsidR="00531570" w:rsidRPr="00D03F3E" w:rsidRDefault="00531570" w:rsidP="00D03F3E">
      <w:pPr>
        <w:pStyle w:val="Iauiue"/>
        <w:jc w:val="both"/>
        <w:rPr>
          <w:color w:val="000000" w:themeColor="text1"/>
          <w:sz w:val="16"/>
          <w:szCs w:val="16"/>
        </w:rPr>
      </w:pPr>
    </w:p>
    <w:p w14:paraId="1CFFC80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мая 1943 вышла директива командования ВВС "Во исполнение приказа Ставки ВГК уничтожать авиацию противника на аэродромах и в воздухе... Основную массу авиации противника подавить в первый же день. В последующие 2 дня не снижая упорства и настойчивости, продолжать поражение авиации как на основных аэродромах, так и на вновь обнаруженных воздушной разведкой" (518,76).</w:t>
      </w:r>
    </w:p>
    <w:p w14:paraId="1BA94A0D" w14:textId="77777777" w:rsidR="00531570" w:rsidRPr="00D03F3E" w:rsidRDefault="00531570" w:rsidP="00D03F3E">
      <w:pPr>
        <w:pStyle w:val="Iauiue"/>
        <w:jc w:val="both"/>
        <w:rPr>
          <w:color w:val="000000" w:themeColor="text1"/>
          <w:sz w:val="16"/>
          <w:szCs w:val="16"/>
        </w:rPr>
      </w:pPr>
    </w:p>
    <w:p w14:paraId="488A8D3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мая 1943 командующий ВВС КА А.А.Новиков выпустил директиву: "Действия по срыву ж/д перевозок д.б. непрерывными и систематическими... При ударах по ж/д и автомобильным перевозкам силы и средства авиации не распылять, а сосредотачивать их там, где будет обнаружено наиболее интенсивное движение... Особое внимание уделить уничтожению паровозов, ж/д цистерн, автоцистерн, штабных и легковых а/м, применяя с этой целью охоту за названными объектами лучшими экипажами ш и и." (518,214).</w:t>
      </w:r>
    </w:p>
    <w:p w14:paraId="0658758A" w14:textId="77777777" w:rsidR="00531570" w:rsidRPr="00D03F3E" w:rsidRDefault="00531570" w:rsidP="00D03F3E">
      <w:pPr>
        <w:pStyle w:val="Iauiue"/>
        <w:jc w:val="both"/>
        <w:rPr>
          <w:color w:val="000000" w:themeColor="text1"/>
          <w:sz w:val="16"/>
          <w:szCs w:val="16"/>
        </w:rPr>
      </w:pPr>
    </w:p>
    <w:p w14:paraId="3591A97F"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 мая 1943 командующий ВВС Красной армии маршал авиации Новиков издал директиву, адресованную командующим воздушными армиями, в которой говорилось: «Во исполнение приказа Ставки ВГК уничтожать авиацию противника на аэродромах и в воздухе … Основную массу авиации противника подавить в первый же день. В последующие два дня, не снижая упорства и настойчивости, продолжать поражение авиации противника как на основных аэродромах, так и на вновь обнаруженных воздушной разведкой ». Согласно этой директиве, должны были быть атакованы сразу двадцать шесть аэродромов люфтваффе.</w:t>
      </w:r>
    </w:p>
    <w:p w14:paraId="302049E6"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Таким образом, командующие воздушными армиями получили конкретные боевые задачи только за сутки до начала боевых действий. Командиры же авиадивизий и полков были ознакомлены с заданиями вообще за шесть – восемь часов до начала первого массированного удара. Согласно директиве, все намеченные аэродромы люфтваффе должны были быть атакованы 6 мая в 4.30–5.00 по московскому времени (в 2.30–3.00 по берлинскому времени).</w:t>
      </w:r>
    </w:p>
    <w:p w14:paraId="61BFD172"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Тем не менее, несмотря на столь небольшое время, остававшееся до начала операции, удары по аэродромам были «тщательно подготовлены и продуманы». В штабах воздушных армий разработали планы боевых действий по уничтожению авиации противника в полосе своего фронта. В них указывались аэродромы и время нанесения ударов по ним, привлекавшиеся авиационные соединения и выделяемый ими наряд сил, способы прикрытия бомбардировщиков и штурмовиков на маршруте полета и в районе целей.</w:t>
      </w:r>
    </w:p>
    <w:p w14:paraId="16D2FAE7"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дивизиях и полках успели отработать, то есть проиграть на земле, боевые порядки групп самолетов при полете к объектам, над ними и при возвращении на свои аэродромы определить число заходов на цель, теоретически согласовать вопросы взаимодействия бомбардировщиков и штурмовиков с истребителями. Замыкающие самолеты должны были произвести съемку результатов удара. Все выделенные для операции экипажи изучили аэрофотоснимки аэродромов. С целью обеспечения скрытности при взлете и следовании к объектам удара им запрещалось пользоваться радиосвязью. Маршруты полетов были проложены в обход районов, где у немцев отмечалась сильная противовоздушная оборона.</w:t>
      </w:r>
    </w:p>
    <w:p w14:paraId="36F02664"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Поздним вечером 5 мая был проведен инструктаж пилотов. Летчик Михаил Степанов из 800</w:t>
      </w:r>
      <w:r w:rsidRPr="00D03F3E">
        <w:rPr>
          <w:rFonts w:ascii="Times New Roman" w:hAnsi="Times New Roman"/>
          <w:color w:val="0070C0"/>
          <w:sz w:val="16"/>
          <w:szCs w:val="16"/>
        </w:rPr>
        <w:noBreakHyphen/>
        <w:t>го шап впоследствии вспоминал:</w:t>
      </w:r>
    </w:p>
    <w:p w14:paraId="35FDA631"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«Наш полк, базировавшийся на аэродроме Солонец</w:t>
      </w:r>
      <w:r w:rsidRPr="00D03F3E">
        <w:rPr>
          <w:rFonts w:ascii="Times New Roman" w:hAnsi="Times New Roman"/>
          <w:color w:val="0070C0"/>
          <w:sz w:val="16"/>
          <w:szCs w:val="16"/>
        </w:rPr>
        <w:noBreakHyphen/>
        <w:t>Поляна (Новый Оскол), получил задачу: уничтожить материальную часть, технику и живую силу на аэродроме Харьков</w:t>
      </w:r>
      <w:r w:rsidRPr="00D03F3E">
        <w:rPr>
          <w:rFonts w:ascii="Times New Roman" w:hAnsi="Times New Roman"/>
          <w:color w:val="0070C0"/>
          <w:sz w:val="16"/>
          <w:szCs w:val="16"/>
        </w:rPr>
        <w:noBreakHyphen/>
        <w:t xml:space="preserve">Алешки… </w:t>
      </w:r>
    </w:p>
    <w:p w14:paraId="5EDD73CD"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При полете к цели нужно было считаться с сильным насыщением тактической зоны войсками противника и, следовательно, средствами противовоздушной обороны, а также с сильной ПВО г. Харьков. Все это создавало известные трудности. </w:t>
      </w:r>
    </w:p>
    <w:p w14:paraId="70B05CAE"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Мне было приказано вести группу в 12 самолетов Ил</w:t>
      </w:r>
      <w:r w:rsidRPr="00D03F3E">
        <w:rPr>
          <w:rFonts w:ascii="Times New Roman" w:hAnsi="Times New Roman"/>
          <w:color w:val="0070C0"/>
          <w:sz w:val="16"/>
          <w:szCs w:val="16"/>
        </w:rPr>
        <w:noBreakHyphen/>
        <w:t>2 под прикрытием 12 Як</w:t>
      </w:r>
      <w:r w:rsidRPr="00D03F3E">
        <w:rPr>
          <w:rFonts w:ascii="Times New Roman" w:hAnsi="Times New Roman"/>
          <w:color w:val="0070C0"/>
          <w:sz w:val="16"/>
          <w:szCs w:val="16"/>
        </w:rPr>
        <w:noBreakHyphen/>
        <w:t xml:space="preserve">1… </w:t>
      </w:r>
    </w:p>
    <w:p w14:paraId="38E07DEA"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Каждый летчик ознакомился с кроками аэродрома, каждому звену была дана своя цель. Было выделено звено для подавления батарей зенитной артиллерии мелкими бомбами и пулеметно</w:t>
      </w:r>
      <w:r w:rsidRPr="00D03F3E">
        <w:rPr>
          <w:rFonts w:ascii="Times New Roman" w:hAnsi="Times New Roman"/>
          <w:color w:val="0070C0"/>
          <w:sz w:val="16"/>
          <w:szCs w:val="16"/>
        </w:rPr>
        <w:noBreakHyphen/>
        <w:t>пушечным огнем».</w:t>
      </w:r>
    </w:p>
    <w:p w14:paraId="174B59D8"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Николай Носков, другой летчик из того же 800</w:t>
      </w:r>
      <w:r w:rsidRPr="00D03F3E">
        <w:rPr>
          <w:rFonts w:ascii="Times New Roman" w:hAnsi="Times New Roman"/>
          <w:color w:val="0070C0"/>
          <w:sz w:val="16"/>
          <w:szCs w:val="16"/>
        </w:rPr>
        <w:noBreakHyphen/>
        <w:t>го шап, делился похожими впечатлениями: «Задание было проработано с летным составом с вечера. По фотопланшетам были уточнены цели, расположение ЗА и МЗА, характерные ориентиры вокруг аэродрома. Каждому экипажу были указаны цели. Две пары (замыкающая в каждой шестерке) получили задачу действовать по зенитным средствам. Боевая зарядка – ФАБ</w:t>
      </w:r>
      <w:r w:rsidRPr="00D03F3E">
        <w:rPr>
          <w:rFonts w:ascii="Times New Roman" w:hAnsi="Times New Roman"/>
          <w:color w:val="0070C0"/>
          <w:sz w:val="16"/>
          <w:szCs w:val="16"/>
        </w:rPr>
        <w:noBreakHyphen/>
        <w:t>100 и АО</w:t>
      </w:r>
      <w:r w:rsidRPr="00D03F3E">
        <w:rPr>
          <w:rFonts w:ascii="Times New Roman" w:hAnsi="Times New Roman"/>
          <w:color w:val="0070C0"/>
          <w:sz w:val="16"/>
          <w:szCs w:val="16"/>
        </w:rPr>
        <w:noBreakHyphen/>
        <w:t>25, а также PC».</w:t>
      </w:r>
    </w:p>
    <w:p w14:paraId="40C27328"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Аналогичным образом готовились к предстоящему налету сотни пилотов на огромном Восточном фронте. Экипажи 673</w:t>
      </w:r>
      <w:r w:rsidRPr="00D03F3E">
        <w:rPr>
          <w:rFonts w:ascii="Times New Roman" w:hAnsi="Times New Roman"/>
          <w:color w:val="0070C0"/>
          <w:sz w:val="16"/>
          <w:szCs w:val="16"/>
        </w:rPr>
        <w:noBreakHyphen/>
        <w:t>го шап получили фотоснимок немецкого аэродрома Харьков</w:t>
      </w:r>
      <w:r w:rsidRPr="00D03F3E">
        <w:rPr>
          <w:rFonts w:ascii="Times New Roman" w:hAnsi="Times New Roman"/>
          <w:color w:val="0070C0"/>
          <w:sz w:val="16"/>
          <w:szCs w:val="16"/>
        </w:rPr>
        <w:noBreakHyphen/>
        <w:t>Рогань, сделанный самолетом</w:t>
      </w:r>
      <w:r w:rsidRPr="00D03F3E">
        <w:rPr>
          <w:rFonts w:ascii="Times New Roman" w:hAnsi="Times New Roman"/>
          <w:color w:val="0070C0"/>
          <w:sz w:val="16"/>
          <w:szCs w:val="16"/>
        </w:rPr>
        <w:noBreakHyphen/>
        <w:t>разведчиком Пе</w:t>
      </w:r>
      <w:r w:rsidRPr="00D03F3E">
        <w:rPr>
          <w:rFonts w:ascii="Times New Roman" w:hAnsi="Times New Roman"/>
          <w:color w:val="0070C0"/>
          <w:sz w:val="16"/>
          <w:szCs w:val="16"/>
        </w:rPr>
        <w:noBreakHyphen/>
        <w:t>2 в 17.55. Он был довольно плохого качества, так как делался некачественной оптикой с большой высоты. Тем не менее на летном поле и стоянках насчитали аж 107 истребителей «типа Me</w:t>
      </w:r>
      <w:r w:rsidRPr="00D03F3E">
        <w:rPr>
          <w:rFonts w:ascii="Times New Roman" w:hAnsi="Times New Roman"/>
          <w:color w:val="0070C0"/>
          <w:sz w:val="16"/>
          <w:szCs w:val="16"/>
        </w:rPr>
        <w:noBreakHyphen/>
        <w:t>109 и ФВ</w:t>
      </w:r>
      <w:r w:rsidRPr="00D03F3E">
        <w:rPr>
          <w:rFonts w:ascii="Times New Roman" w:hAnsi="Times New Roman"/>
          <w:color w:val="0070C0"/>
          <w:sz w:val="16"/>
          <w:szCs w:val="16"/>
        </w:rPr>
        <w:noBreakHyphen/>
        <w:t>190». В полку было мало опытных летчиков, поэтому после дискуссии ведущими назначили капитана Елисеева и лейтенанта Александрова, кои уже летали к Роганю и приблизительно ориентировались на местности. Маршрут полета к цели решили проложить через малонаселенную местность, дабы обеспечить внезапность.</w:t>
      </w:r>
    </w:p>
    <w:p w14:paraId="7EC8AE81"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198</w:t>
      </w:r>
      <w:r w:rsidRPr="00D03F3E">
        <w:rPr>
          <w:rFonts w:ascii="Times New Roman" w:hAnsi="Times New Roman"/>
          <w:color w:val="0070C0"/>
          <w:sz w:val="16"/>
          <w:szCs w:val="16"/>
        </w:rPr>
        <w:noBreakHyphen/>
        <w:t>й шап совместно с 312</w:t>
      </w:r>
      <w:r w:rsidRPr="00D03F3E">
        <w:rPr>
          <w:rFonts w:ascii="Times New Roman" w:hAnsi="Times New Roman"/>
          <w:color w:val="0070C0"/>
          <w:sz w:val="16"/>
          <w:szCs w:val="16"/>
        </w:rPr>
        <w:noBreakHyphen/>
        <w:t>м полком должен был нанести удар по аэродромам Шаталово и Боровское в Смоленской области. Александр Ефимов, служивший тогда в первом полку, позднее вспоминал:</w:t>
      </w:r>
    </w:p>
    <w:p w14:paraId="73DB770F"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«Вся подготовка и организация боевых действий по аэродромам Шаталово и Боровское были возложены на командира дивизии полковника Смоловика. Ведущими групп в нашем полку он назначил Евграфа Селиванова, Федора Порсина, Анатолия Васильева, Николая Воздвиженского, Федора Захарова, Вячеслава Петрова и меня. Наряду с опытными летчиками участвовать в ответственном полете должна была и молодежь… </w:t>
      </w:r>
    </w:p>
    <w:p w14:paraId="45735F61"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Предполагалось, что дивизия нанесет одновременный удар по двум рядом расположенным аэродромам. Для подготовки такого вылета требовалось, конечно, время. Но его как раз и не хватало. В нашем распоряжении оставалась одна ночь, а вернее, полночи. В 3.00 наши штурмовики должны были быть над целью».</w:t>
      </w:r>
    </w:p>
    <w:p w14:paraId="761ED97D"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Инструктаж пилотов был проведен по</w:t>
      </w:r>
      <w:r w:rsidRPr="00D03F3E">
        <w:rPr>
          <w:rFonts w:ascii="Times New Roman" w:hAnsi="Times New Roman"/>
          <w:color w:val="0070C0"/>
          <w:sz w:val="16"/>
          <w:szCs w:val="16"/>
        </w:rPr>
        <w:noBreakHyphen/>
        <w:t>партизански, в темном просторном сарае при свете керосиновых ламп. К деревянной стене была пригвождена карта с нанесенными маршрутами полета. Ефимов продолжал рассказ:</w:t>
      </w:r>
    </w:p>
    <w:p w14:paraId="188A74AB"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«Вошли командир дивизии, начальник политотдела, начальник штаба и группа офицеров из управления армии. Отдается короткий рапорт. Нам не терпится, что скажет комдив о выполнении предстоящего задания. Ведь не зря собрали всю дивизию. Вдоль стены проходят еще несколько офицеров. Узнаем командира истребительного полка. Значит, прикрытие будет. Порядок! </w:t>
      </w:r>
    </w:p>
    <w:p w14:paraId="12AA7919"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  Товарищи! Нашей дивизии поставлена ответственная задача: разгромить фашистскую авиацию на аэродромах Шаталово и Боровское! – начал полковник Смоловик. </w:t>
      </w:r>
    </w:p>
    <w:p w14:paraId="30F477AB"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Он подробно изложил очередность взлета групп, сбор экипажей в воздухе, построение боевого порядка, взаимодействие с истребителями прикрытия, профиль полета, маршруты, направления атак и уход от цели. Закончив постановку задачи, командир дивизии сказал: </w:t>
      </w:r>
    </w:p>
    <w:p w14:paraId="2D9FAED1"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  Если нет вопросов, можно идти на отдых. С рассветом – вылет!» </w:t>
      </w:r>
    </w:p>
    <w:p w14:paraId="62025DA4"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целях сокращения полетного времени и достижения внезапности штурмовики, а также часть аэродромных служб ночью перебазировались на аэродром подскока Новое Село, располагавшийся непосредственно у линии фронта. Аналогичным образом перелетели на передовые взлетные площадки и некоторые другие штурмовые полки. Так, 312</w:t>
      </w:r>
      <w:r w:rsidRPr="00D03F3E">
        <w:rPr>
          <w:rFonts w:ascii="Times New Roman" w:hAnsi="Times New Roman"/>
          <w:color w:val="0070C0"/>
          <w:sz w:val="16"/>
          <w:szCs w:val="16"/>
        </w:rPr>
        <w:noBreakHyphen/>
        <w:t>й шап перелетел в Двоевку, где его Илы припарковались по соседству с 49</w:t>
      </w:r>
      <w:r w:rsidRPr="00D03F3E">
        <w:rPr>
          <w:rFonts w:ascii="Times New Roman" w:hAnsi="Times New Roman"/>
          <w:color w:val="0070C0"/>
          <w:sz w:val="16"/>
          <w:szCs w:val="16"/>
        </w:rPr>
        <w:noBreakHyphen/>
        <w:t>м и 162</w:t>
      </w:r>
      <w:r w:rsidRPr="00D03F3E">
        <w:rPr>
          <w:rFonts w:ascii="Times New Roman" w:hAnsi="Times New Roman"/>
          <w:color w:val="0070C0"/>
          <w:sz w:val="16"/>
          <w:szCs w:val="16"/>
        </w:rPr>
        <w:noBreakHyphen/>
        <w:t>м истребительными авиаполками. По замыслу командира дивизии 198</w:t>
      </w:r>
      <w:r w:rsidRPr="00D03F3E">
        <w:rPr>
          <w:rFonts w:ascii="Times New Roman" w:hAnsi="Times New Roman"/>
          <w:color w:val="0070C0"/>
          <w:sz w:val="16"/>
          <w:szCs w:val="16"/>
        </w:rPr>
        <w:noBreakHyphen/>
        <w:t>й шап должен был наносить удар по Шаталово двумя группами. Первую решил лично возглавить командир полка майор Василий Карякин.</w:t>
      </w:r>
    </w:p>
    <w:p w14:paraId="0FCF54FE"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Когда все было определено, летчики пошли спать. Впрочем, на сон отводилось всего пара</w:t>
      </w:r>
      <w:r w:rsidRPr="00D03F3E">
        <w:rPr>
          <w:rFonts w:ascii="Times New Roman" w:hAnsi="Times New Roman"/>
          <w:color w:val="0070C0"/>
          <w:sz w:val="16"/>
          <w:szCs w:val="16"/>
        </w:rPr>
        <w:noBreakHyphen/>
        <w:t>тройка часов, да и за это время многие не смогли заснуть, понимая, что завтра предстоит очередная самоубийственная атака.</w:t>
      </w:r>
    </w:p>
    <w:p w14:paraId="1FFC43C8"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«Еще не светало, когда нас поднял дежурный. Быстро вскочили и стали собираться. Сна как и не бывало. Приняли легкий завтрак. Слышно, как на стоянках гудят моторы. Это наши техники и механики готовят штурмовики к вылету …</w:t>
      </w:r>
    </w:p>
    <w:p w14:paraId="2BC10947"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Пора. Отдаются последние указания, порядок выруливания на старт остается без изменения. Звучит привычная команда: </w:t>
      </w:r>
    </w:p>
    <w:p w14:paraId="278DB66C"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  По самолетам!» </w:t>
      </w:r>
    </w:p>
    <w:p w14:paraId="029C079C"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Так вспоминал о раннем утре 6 мая Александр Ефимов [54] . Сам же он получил задание следовать последним и сфотографировать результаты атаки.</w:t>
      </w:r>
    </w:p>
    <w:p w14:paraId="36DC8BE4"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Еще в предрассветных сумерках штурмовики и истребители начали один за другим подниматься в воздух. Все более или менее опытные летчики испытывали большое волнение, поскольку знали, что атака аэродрома сопряжена с большим риском. Чтобы облегчить взлет малоопытных пилотов, а таких было большинство, на аэродромах были включены прожекторы и зажжены костры. Поднялись в воздух и 12 Ил</w:t>
      </w:r>
      <w:r w:rsidRPr="00D03F3E">
        <w:rPr>
          <w:rFonts w:ascii="Times New Roman" w:hAnsi="Times New Roman"/>
          <w:color w:val="0070C0"/>
          <w:sz w:val="16"/>
          <w:szCs w:val="16"/>
        </w:rPr>
        <w:noBreakHyphen/>
        <w:t>2 из 800</w:t>
      </w:r>
      <w:r w:rsidRPr="00D03F3E">
        <w:rPr>
          <w:rFonts w:ascii="Times New Roman" w:hAnsi="Times New Roman"/>
          <w:color w:val="0070C0"/>
          <w:sz w:val="16"/>
          <w:szCs w:val="16"/>
        </w:rPr>
        <w:noBreakHyphen/>
        <w:t>го шап. С трудом собравшись в общий боевой порядок, группа из 24 самолетов на высоте 1500 метров полетела к линии фронта. Истребители шли сзади и по флангам, дабы не потерять Илы из виду. Всего на фронте протяженностью 1200 километров в воздух поднялись 156 Ил</w:t>
      </w:r>
      <w:r w:rsidRPr="00D03F3E">
        <w:rPr>
          <w:rFonts w:ascii="Times New Roman" w:hAnsi="Times New Roman"/>
          <w:color w:val="0070C0"/>
          <w:sz w:val="16"/>
          <w:szCs w:val="16"/>
        </w:rPr>
        <w:noBreakHyphen/>
        <w:t>2, а также 112 бомбардировщиков и 166 истребителей. Большинство ударных групп насчитывали по 15–20 машин (23199).</w:t>
      </w:r>
    </w:p>
    <w:p w14:paraId="45EF87B7" w14:textId="77777777" w:rsidR="00C559A4" w:rsidRPr="00D03F3E" w:rsidRDefault="00C559A4" w:rsidP="00D03F3E">
      <w:pPr>
        <w:spacing w:after="0" w:line="240" w:lineRule="auto"/>
        <w:jc w:val="both"/>
        <w:rPr>
          <w:rFonts w:ascii="Times New Roman" w:hAnsi="Times New Roman"/>
          <w:color w:val="0070C0"/>
          <w:sz w:val="16"/>
          <w:szCs w:val="16"/>
        </w:rPr>
      </w:pPr>
    </w:p>
    <w:p w14:paraId="0AA1DA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мая 1943 г. вышел ПРИКАЗ № 0330 О МЕРАХ ПО СОХРАНЕНИЮ ВОЕННОЙ ТАЙНЫ ПРИ ОТДАНИИ БОЕВЫХ ПРИКАЗОВ</w:t>
      </w:r>
    </w:p>
    <w:p w14:paraId="7E4BBA2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Начальник штаба 139 сд подполковник Кваша Л. Ф. проявил преступную халатность в обращении с секретными документами и 18 марта с. г., за три часа до наступления, утерял боевой приказ командующего 50-й армией о наступлении.</w:t>
      </w:r>
    </w:p>
    <w:p w14:paraId="3A32630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Кроме этого, подполковник Кваша не обеспечил должный порядок в работе штаба дивизии, допускал рассылку боевых приказов с одним связным, в результате чего в ночь с 22 на 23 марта посланный в штаб полка связной сержант Мухин исчез вместе с сов. секретным документом — плановой таблицей боя на 23 марта с. г.</w:t>
      </w:r>
    </w:p>
    <w:p w14:paraId="3A0F031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Военным трибуналом армии подполковник Кваша приговорен к лишению свободы сроком на 10 лет, с отбытием наказания в исправительно-трудовых лагерях и применением к нему примечания 2, ст. 28 УК РСФСР.</w:t>
      </w:r>
    </w:p>
    <w:p w14:paraId="6CF6CF5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Приказываю:</w:t>
      </w:r>
    </w:p>
    <w:p w14:paraId="537C2C3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Подполковника Кваша Леонида Филипповича снизить в военном звании до капитана и в должности — до старшего адъютанта батальона.</w:t>
      </w:r>
    </w:p>
    <w:p w14:paraId="5DB9396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Командующим армиями, как правило, общего боевого приказа не отдавать. При разработке операции командующий армией, если позволяют время и обстановка, отдает лично непосредственным исполнителям устные боевые приказы. В противном случае ограничиваются частными приказами.</w:t>
      </w:r>
    </w:p>
    <w:p w14:paraId="25DD300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Отданные командующим армией устные боевые приказы записывать начальнику оперативного отдела штаба армии в одном экземпляре и хранить лично у себя.</w:t>
      </w:r>
    </w:p>
    <w:p w14:paraId="3188CBD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Командирам частей и соединений отдавать общий боевой приказ в письменном виде, имея его только в одном экземпляре. Непосредственных исполнителей знакомить с боевым приказом под личную расписку, а при невозможности этого, по условиям сложившейся обстановки, делать выписки из боевого приказа строго в части, касающейся каждого исполнителя. В отдельных случаях прибегать к частным приказам.</w:t>
      </w:r>
    </w:p>
    <w:p w14:paraId="6801F47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Начальствующий состав Красной Армии должен вонять, что всякая небрежность и халатность в обращении с секретными документами оказывает помощь противнику. Ни один командир, ни один штаб не должны знать о том или ином секретном мероприятии, если это не положено им знать по долгу службы.</w:t>
      </w:r>
    </w:p>
    <w:p w14:paraId="2E0D4E6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Предупреждаю, что впредь за небрежное обращение и хранение секретных материалов буду применять, невзирая на лица, строжайшие меры взыскания, вплоть до предания суду военного трибунала.</w:t>
      </w:r>
    </w:p>
    <w:p w14:paraId="4F84B974" w14:textId="77777777" w:rsidR="00531570" w:rsidRPr="00D03F3E" w:rsidRDefault="00531570" w:rsidP="00D03F3E">
      <w:pPr>
        <w:pStyle w:val="Iauiue"/>
        <w:jc w:val="both"/>
        <w:rPr>
          <w:color w:val="000000" w:themeColor="text1"/>
          <w:sz w:val="16"/>
          <w:szCs w:val="16"/>
        </w:rPr>
      </w:pPr>
      <w:r w:rsidRPr="00D03F3E">
        <w:rPr>
          <w:iCs/>
          <w:color w:val="000000" w:themeColor="text1"/>
          <w:sz w:val="16"/>
          <w:szCs w:val="16"/>
        </w:rPr>
        <w:t xml:space="preserve">Заместитель Народного комиссара обороны Маршал Советского Союза ВАСИЛЕВСКИЙ </w:t>
      </w:r>
      <w:r w:rsidRPr="00D03F3E">
        <w:rPr>
          <w:color w:val="000000" w:themeColor="text1"/>
          <w:sz w:val="16"/>
          <w:szCs w:val="16"/>
        </w:rPr>
        <w:t>(9844).</w:t>
      </w:r>
    </w:p>
    <w:p w14:paraId="31CB654B" w14:textId="77777777" w:rsidR="00531570" w:rsidRPr="00D03F3E" w:rsidRDefault="00531570" w:rsidP="00D03F3E">
      <w:pPr>
        <w:pStyle w:val="Iauiue"/>
        <w:jc w:val="both"/>
        <w:rPr>
          <w:color w:val="000000" w:themeColor="text1"/>
          <w:sz w:val="16"/>
          <w:szCs w:val="16"/>
        </w:rPr>
      </w:pPr>
    </w:p>
    <w:p w14:paraId="62F9B307"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20560A02" w14:textId="77777777" w:rsidR="00531570" w:rsidRPr="00D03F3E" w:rsidRDefault="00531570" w:rsidP="00D03F3E">
      <w:pPr>
        <w:pStyle w:val="Iauiue"/>
        <w:jc w:val="both"/>
        <w:rPr>
          <w:iCs/>
          <w:color w:val="000000" w:themeColor="text1"/>
          <w:sz w:val="16"/>
          <w:szCs w:val="16"/>
        </w:rPr>
      </w:pPr>
    </w:p>
    <w:p w14:paraId="1FCAA8E0"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5 мая в 1943 году была заказана серия из 10 планеров </w:t>
      </w:r>
      <w:hyperlink r:id="rId136" w:tgtFrame="_blank" w:history="1">
        <w:r w:rsidRPr="00D03F3E">
          <w:rPr>
            <w:rFonts w:ascii="Times New Roman" w:hAnsi="Times New Roman"/>
            <w:color w:val="000000" w:themeColor="text1"/>
            <w:sz w:val="16"/>
            <w:szCs w:val="16"/>
          </w:rPr>
          <w:t xml:space="preserve">«DHA-G2», </w:t>
        </w:r>
      </w:hyperlink>
      <w:r w:rsidRPr="00D03F3E">
        <w:rPr>
          <w:rFonts w:ascii="Times New Roman" w:hAnsi="Times New Roman"/>
          <w:color w:val="000000" w:themeColor="text1"/>
          <w:sz w:val="16"/>
          <w:szCs w:val="16"/>
        </w:rPr>
        <w:t>первый из которых поступил на вооружение Королевских ВВС Австралии. «DHA-G2» «Glider» - легкий десантный планер, разработанный австралийской фирмой «de Havilland Australia». Серийная модификация отличалась от прототипов более длинными крыльями и фюзеляжем (14882).</w:t>
      </w:r>
    </w:p>
    <w:p w14:paraId="3CBD4B0E" w14:textId="77777777" w:rsidR="00490449" w:rsidRPr="00D03F3E" w:rsidRDefault="00490449" w:rsidP="00D03F3E">
      <w:pPr>
        <w:spacing w:after="0" w:line="240" w:lineRule="auto"/>
        <w:jc w:val="both"/>
        <w:rPr>
          <w:rFonts w:ascii="Times New Roman" w:hAnsi="Times New Roman"/>
          <w:color w:val="000000" w:themeColor="text1"/>
          <w:sz w:val="16"/>
          <w:szCs w:val="16"/>
        </w:rPr>
      </w:pPr>
    </w:p>
    <w:p w14:paraId="44F51BF9"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5 мая в 1943 году взлетел первый серийный </w:t>
      </w:r>
      <w:hyperlink r:id="rId137" w:tgtFrame="_blank" w:history="1">
        <w:r w:rsidRPr="00D03F3E">
          <w:rPr>
            <w:rFonts w:ascii="Times New Roman" w:hAnsi="Times New Roman"/>
            <w:color w:val="000000" w:themeColor="text1"/>
            <w:sz w:val="16"/>
            <w:szCs w:val="16"/>
          </w:rPr>
          <w:t xml:space="preserve">«P-51B-1» </w:t>
        </w:r>
      </w:hyperlink>
      <w:r w:rsidRPr="00D03F3E">
        <w:rPr>
          <w:rFonts w:ascii="Times New Roman" w:hAnsi="Times New Roman"/>
          <w:color w:val="000000" w:themeColor="text1"/>
          <w:sz w:val="16"/>
          <w:szCs w:val="16"/>
        </w:rPr>
        <w:t>(43-12093) из 1988 экземпляров произведённых заводом «NAA» в Инглвуде (Inglewood), летчик-испытатель Боб Чилтон (14882).</w:t>
      </w:r>
    </w:p>
    <w:p w14:paraId="0A3EE8AA" w14:textId="77777777" w:rsidR="00490449" w:rsidRPr="00D03F3E" w:rsidRDefault="00490449" w:rsidP="00D03F3E">
      <w:pPr>
        <w:spacing w:after="0" w:line="240" w:lineRule="auto"/>
        <w:jc w:val="both"/>
        <w:rPr>
          <w:rFonts w:ascii="Times New Roman" w:hAnsi="Times New Roman"/>
          <w:color w:val="000000" w:themeColor="text1"/>
          <w:sz w:val="16"/>
          <w:szCs w:val="16"/>
        </w:rPr>
      </w:pPr>
    </w:p>
    <w:p w14:paraId="76D799D6" w14:textId="77777777" w:rsidR="00B26219" w:rsidRPr="00D03F3E" w:rsidRDefault="00B26219" w:rsidP="00D03F3E">
      <w:pPr>
        <w:pStyle w:val="1162"/>
        <w:shd w:val="clear" w:color="auto" w:fill="auto"/>
        <w:spacing w:after="0" w:line="240" w:lineRule="auto"/>
        <w:ind w:firstLine="0"/>
        <w:jc w:val="both"/>
        <w:rPr>
          <w:rFonts w:ascii="Times New Roman" w:hAnsi="Times New Roman" w:cs="Times New Roman"/>
          <w:color w:val="0070C0"/>
          <w:sz w:val="16"/>
          <w:szCs w:val="16"/>
          <w:lang w:val="ru-RU"/>
        </w:rPr>
      </w:pPr>
      <w:r w:rsidRPr="00D03F3E">
        <w:rPr>
          <w:rFonts w:ascii="Times New Roman" w:hAnsi="Times New Roman" w:cs="Times New Roman"/>
          <w:color w:val="0070C0"/>
          <w:sz w:val="16"/>
          <w:szCs w:val="16"/>
        </w:rPr>
        <w:t xml:space="preserve">5 мая 1943 года был облетан </w:t>
      </w:r>
      <w:r w:rsidRPr="00D03F3E">
        <w:rPr>
          <w:rFonts w:ascii="Times New Roman" w:hAnsi="Times New Roman" w:cs="Times New Roman"/>
          <w:color w:val="0070C0"/>
          <w:sz w:val="16"/>
          <w:szCs w:val="16"/>
          <w:lang w:val="ru-RU"/>
        </w:rPr>
        <w:t>г</w:t>
      </w:r>
      <w:r w:rsidRPr="00D03F3E">
        <w:rPr>
          <w:rFonts w:ascii="Times New Roman" w:hAnsi="Times New Roman" w:cs="Times New Roman"/>
          <w:color w:val="0070C0"/>
          <w:sz w:val="16"/>
          <w:szCs w:val="16"/>
        </w:rPr>
        <w:t>оловной серийный P-51B-1, а летом новый истребитель пошел в войска. Выпуск Р-51В/С в Инглвуде (Калифорния) и на новом заводе в Далласе (Техас) нарастал, а к производству моторов V-1650 присоединилась также американская фирма «Континенталь». С 251-го экземпляра Р-51В за креслом пилота был установлен еще один протектированный бак на 322 л — и общий запас бензина с ПТБ достиг 1586 л. Но из-за смещения центровки назад ухудшилась курсовая устойчивость, летчики переутомлялись, постоянно работая педалями. Для молодых неопытных пилотов это было даже опасно, и заправку заднего бака ограничили до 246 л. Проблему решил форкиль — небольшая треугольная поверхность, которую ставили перед основной плоскостью вертикального оперения. Теперь с полной заправкой дальность достигла 3926 км — рекорд для серийного одномоторного истребителя! Впервые «мустанги» появились над Берлином в марте 1944 года, радиус действия в этой операции составил почти 1800 км</w:t>
      </w:r>
      <w:r w:rsidRPr="00D03F3E">
        <w:rPr>
          <w:rFonts w:ascii="Times New Roman" w:hAnsi="Times New Roman" w:cs="Times New Roman"/>
          <w:color w:val="0070C0"/>
          <w:sz w:val="16"/>
          <w:szCs w:val="16"/>
          <w:lang w:val="ru-RU"/>
        </w:rPr>
        <w:t>.</w:t>
      </w:r>
    </w:p>
    <w:p w14:paraId="4835A3A6" w14:textId="77777777" w:rsidR="00B26219" w:rsidRPr="00D03F3E" w:rsidRDefault="00B26219" w:rsidP="00D03F3E">
      <w:pPr>
        <w:pStyle w:val="1162"/>
        <w:shd w:val="clear" w:color="auto" w:fill="auto"/>
        <w:spacing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lang w:val="ru-RU"/>
        </w:rPr>
        <w:t xml:space="preserve">В </w:t>
      </w:r>
      <w:r w:rsidRPr="00D03F3E">
        <w:rPr>
          <w:rFonts w:ascii="Times New Roman" w:hAnsi="Times New Roman" w:cs="Times New Roman"/>
          <w:color w:val="0070C0"/>
          <w:sz w:val="16"/>
          <w:szCs w:val="16"/>
        </w:rPr>
        <w:t>Инглвуде в 1943-1944 годах построили 1990 штук P-51BNA, а в Далласе — 1750 P-51C-NT</w:t>
      </w:r>
      <w:r w:rsidRPr="00D03F3E">
        <w:rPr>
          <w:rFonts w:ascii="Times New Roman" w:hAnsi="Times New Roman" w:cs="Times New Roman"/>
          <w:color w:val="0070C0"/>
          <w:sz w:val="16"/>
          <w:szCs w:val="16"/>
          <w:lang w:val="ru-RU"/>
        </w:rPr>
        <w:t xml:space="preserve"> (22889)</w:t>
      </w:r>
      <w:r w:rsidRPr="00D03F3E">
        <w:rPr>
          <w:rFonts w:ascii="Times New Roman" w:hAnsi="Times New Roman" w:cs="Times New Roman"/>
          <w:color w:val="0070C0"/>
          <w:sz w:val="16"/>
          <w:szCs w:val="16"/>
        </w:rPr>
        <w:t>.</w:t>
      </w:r>
    </w:p>
    <w:p w14:paraId="4CD3E95A" w14:textId="77777777" w:rsidR="00B26219" w:rsidRPr="00D03F3E" w:rsidRDefault="00B26219" w:rsidP="00D03F3E">
      <w:pPr>
        <w:pStyle w:val="1162"/>
        <w:shd w:val="clear" w:color="auto" w:fill="auto"/>
        <w:spacing w:after="0" w:line="240" w:lineRule="auto"/>
        <w:ind w:firstLine="0"/>
        <w:jc w:val="both"/>
        <w:rPr>
          <w:rFonts w:ascii="Times New Roman" w:hAnsi="Times New Roman" w:cs="Times New Roman"/>
          <w:color w:val="0070C0"/>
          <w:sz w:val="16"/>
          <w:szCs w:val="16"/>
        </w:rPr>
      </w:pPr>
    </w:p>
    <w:p w14:paraId="2A7086FE"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May 5th, 1943: British forces break through the defenses of 5.Panzerarmee (von Arnim) S of Tunis (3819).</w:t>
      </w:r>
    </w:p>
    <w:p w14:paraId="39F791D2" w14:textId="77777777" w:rsidR="00531570" w:rsidRPr="00D03F3E" w:rsidRDefault="00531570" w:rsidP="00D03F3E">
      <w:pPr>
        <w:pStyle w:val="Iauiue"/>
        <w:jc w:val="both"/>
        <w:rPr>
          <w:color w:val="000000" w:themeColor="text1"/>
          <w:sz w:val="16"/>
          <w:szCs w:val="16"/>
          <w:lang w:val="en-US"/>
        </w:rPr>
      </w:pPr>
    </w:p>
    <w:p w14:paraId="69A1ED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мая 1943 британские части прорвали оборону 5ТА (фон Арним) на юге Туниса (3819).</w:t>
      </w:r>
    </w:p>
    <w:p w14:paraId="0410A5D5" w14:textId="77777777" w:rsidR="00531570" w:rsidRPr="00D03F3E" w:rsidRDefault="00531570" w:rsidP="00D03F3E">
      <w:pPr>
        <w:pStyle w:val="Iauiue"/>
        <w:jc w:val="both"/>
        <w:rPr>
          <w:color w:val="000000" w:themeColor="text1"/>
          <w:sz w:val="16"/>
          <w:szCs w:val="16"/>
        </w:rPr>
      </w:pPr>
    </w:p>
    <w:p w14:paraId="0DB68B23" w14:textId="77777777" w:rsidR="00490449" w:rsidRPr="00D03F3E" w:rsidRDefault="004904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мая в 1943 году начало наступления японских войск в Китае на чунцинском направлении в западной части провинции Хубэй (14882).</w:t>
      </w:r>
    </w:p>
    <w:p w14:paraId="2F047E61" w14:textId="77777777" w:rsidR="00490449" w:rsidRPr="00D03F3E" w:rsidRDefault="00490449" w:rsidP="00D03F3E">
      <w:pPr>
        <w:spacing w:after="0" w:line="240" w:lineRule="auto"/>
        <w:jc w:val="both"/>
        <w:rPr>
          <w:rFonts w:ascii="Times New Roman" w:hAnsi="Times New Roman"/>
          <w:color w:val="000000" w:themeColor="text1"/>
          <w:sz w:val="16"/>
          <w:szCs w:val="16"/>
        </w:rPr>
      </w:pPr>
    </w:p>
    <w:p w14:paraId="5A711FB6"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40DA661A" w14:textId="77777777" w:rsidR="00531570" w:rsidRPr="00D03F3E" w:rsidRDefault="00531570" w:rsidP="00D03F3E">
      <w:pPr>
        <w:pStyle w:val="Iauiue"/>
        <w:jc w:val="both"/>
        <w:rPr>
          <w:iCs/>
          <w:color w:val="000000" w:themeColor="text1"/>
          <w:sz w:val="16"/>
          <w:szCs w:val="16"/>
        </w:rPr>
      </w:pPr>
    </w:p>
    <w:p w14:paraId="158BDD3F" w14:textId="77777777" w:rsidR="00303512" w:rsidRPr="00D03F3E" w:rsidRDefault="0030351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6 мая 1943 вышел приказ командующего ВВС маршала А. А. Новикова во исполнение постановления ГКО от 24 апреля 1943 г., которым бомба ПТАБ-2,5-1,5 была принята на вооружение ВВС КА.</w:t>
      </w:r>
    </w:p>
    <w:p w14:paraId="31B37FA5" w14:textId="77777777" w:rsidR="00303512" w:rsidRPr="00D03F3E" w:rsidRDefault="0030351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показали более поздние исследования, па</w:t>
      </w:r>
      <w:r w:rsidRPr="00D03F3E">
        <w:rPr>
          <w:color w:val="000000" w:themeColor="text1"/>
          <w:sz w:val="16"/>
          <w:szCs w:val="16"/>
        </w:rPr>
        <w:softHyphen/>
        <w:t>раметры конструкции ПТАБ-2,5-1,5 были выбраны не самым лучшим образом.</w:t>
      </w:r>
    </w:p>
    <w:p w14:paraId="4E34BAE7" w14:textId="77777777" w:rsidR="00303512" w:rsidRPr="00D03F3E" w:rsidRDefault="0030351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Оказалось, что добавление алюминиевой пудры в смесь тротила и гексогена ослабляет бронепро- бивные свойства кумулятивной струи, не усиливая при этом ее зажигающие свойства. Жестяной кор</w:t>
      </w:r>
      <w:r w:rsidRPr="00D03F3E">
        <w:rPr>
          <w:color w:val="000000" w:themeColor="text1"/>
          <w:sz w:val="16"/>
          <w:szCs w:val="16"/>
        </w:rPr>
        <w:softHyphen/>
        <w:t>пус ПТАБ-2,5-1,5 при ударе о броню танка сминался настолько быстро, что кумулятивная струя начина</w:t>
      </w:r>
      <w:r w:rsidRPr="00D03F3E">
        <w:rPr>
          <w:color w:val="000000" w:themeColor="text1"/>
          <w:sz w:val="16"/>
          <w:szCs w:val="16"/>
        </w:rPr>
        <w:softHyphen/>
        <w:t>ла формироваться на неоптимальном (примерно 50—60%) расстоянии до поверхности брони, а это существенно снижало ее эффективность. Опти</w:t>
      </w:r>
      <w:r w:rsidRPr="00D03F3E">
        <w:rPr>
          <w:color w:val="000000" w:themeColor="text1"/>
          <w:sz w:val="16"/>
          <w:szCs w:val="16"/>
        </w:rPr>
        <w:softHyphen/>
        <w:t>мальная толщина металлической облицовки куму</w:t>
      </w:r>
      <w:r w:rsidRPr="00D03F3E">
        <w:rPr>
          <w:color w:val="000000" w:themeColor="text1"/>
          <w:sz w:val="16"/>
          <w:szCs w:val="16"/>
        </w:rPr>
        <w:softHyphen/>
        <w:t>лятивной выемки была в два раза выше, поэтому мощность кумулятивной струи оказывалась замет</w:t>
      </w:r>
      <w:r w:rsidRPr="00D03F3E">
        <w:rPr>
          <w:color w:val="000000" w:themeColor="text1"/>
          <w:sz w:val="16"/>
          <w:szCs w:val="16"/>
        </w:rPr>
        <w:softHyphen/>
        <w:t>но сниженной. Более того, из-за неверно выбран</w:t>
      </w:r>
      <w:r w:rsidRPr="00D03F3E">
        <w:rPr>
          <w:color w:val="000000" w:themeColor="text1"/>
          <w:sz w:val="16"/>
          <w:szCs w:val="16"/>
        </w:rPr>
        <w:softHyphen/>
        <w:t>ной высоты заряда (диаметр заряда плюс высота выемки) около 40% взрывчатого вещества вообще не участвовало в формировании кумулятивной струи.</w:t>
      </w:r>
    </w:p>
    <w:p w14:paraId="57F30137" w14:textId="77777777" w:rsidR="00303512" w:rsidRPr="00D03F3E" w:rsidRDefault="0030351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Если бы ПТАБ-2,5-1,5 имела хотя бы оптималь</w:t>
      </w:r>
      <w:r w:rsidRPr="00D03F3E">
        <w:rPr>
          <w:color w:val="000000" w:themeColor="text1"/>
          <w:sz w:val="16"/>
          <w:szCs w:val="16"/>
        </w:rPr>
        <w:softHyphen/>
        <w:t>ную толщину металлической облицовки кумулятив</w:t>
      </w:r>
      <w:r w:rsidRPr="00D03F3E">
        <w:rPr>
          <w:color w:val="000000" w:themeColor="text1"/>
          <w:sz w:val="16"/>
          <w:szCs w:val="16"/>
        </w:rPr>
        <w:softHyphen/>
        <w:t>ной выемки и действовала с оптимального рассто</w:t>
      </w:r>
      <w:r w:rsidRPr="00D03F3E">
        <w:rPr>
          <w:color w:val="000000" w:themeColor="text1"/>
          <w:sz w:val="16"/>
          <w:szCs w:val="16"/>
        </w:rPr>
        <w:softHyphen/>
        <w:t>яния от брони, то ее бронепробиваемость была бы выше в 1,6 раза.</w:t>
      </w:r>
    </w:p>
    <w:p w14:paraId="208277E5" w14:textId="77777777" w:rsidR="00303512" w:rsidRPr="00D03F3E" w:rsidRDefault="003035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Тем не менее для своего времени ПТАБ-2,5-1,5 представляла собой грозное оружие. К слову ска</w:t>
      </w:r>
      <w:r w:rsidRPr="00D03F3E">
        <w:rPr>
          <w:rFonts w:ascii="Times New Roman" w:hAnsi="Times New Roman"/>
          <w:color w:val="000000" w:themeColor="text1"/>
          <w:sz w:val="16"/>
          <w:szCs w:val="16"/>
        </w:rPr>
        <w:softHyphen/>
        <w:t>зать, И. А. Ларионов за создание бомбы и взрыва</w:t>
      </w:r>
      <w:r w:rsidRPr="00D03F3E">
        <w:rPr>
          <w:rFonts w:ascii="Times New Roman" w:hAnsi="Times New Roman"/>
          <w:color w:val="000000" w:themeColor="text1"/>
          <w:sz w:val="16"/>
          <w:szCs w:val="16"/>
        </w:rPr>
        <w:softHyphen/>
        <w:t>теля к ней АД-А в январе 1944 г. был награжден орденом Ленина (17500).</w:t>
      </w:r>
    </w:p>
    <w:p w14:paraId="483E48A9" w14:textId="77777777" w:rsidR="00303512" w:rsidRPr="00D03F3E" w:rsidRDefault="00303512" w:rsidP="00D03F3E">
      <w:pPr>
        <w:spacing w:after="0" w:line="240" w:lineRule="auto"/>
        <w:jc w:val="both"/>
        <w:rPr>
          <w:rFonts w:ascii="Times New Roman" w:hAnsi="Times New Roman"/>
          <w:color w:val="000000" w:themeColor="text1"/>
          <w:sz w:val="16"/>
          <w:szCs w:val="16"/>
        </w:rPr>
      </w:pPr>
    </w:p>
    <w:p w14:paraId="1876454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мая 1943 г. отдельным приказом НКО.№ 0340 ФАБ-5000 приняли на вооружение ВВС. Для серийного изготовления ФАБ-5000 в КБ-35 НКБ разработали рабочие чертежи, утвержденные Научно-техническим журналом № 063 от 1943 г. и присвоили ФАБ-5000 номер чертежа 3-01234 и индекс ВВС - 7-Ф-419. Правда, в рабочей документации количество боковых взрывателей увеличили до шести для большей надежности, полноты и скорости детонации (7453).</w:t>
      </w:r>
    </w:p>
    <w:p w14:paraId="0C4C6C05" w14:textId="77777777" w:rsidR="00531570" w:rsidRPr="00D03F3E" w:rsidRDefault="00531570" w:rsidP="00D03F3E">
      <w:pPr>
        <w:pStyle w:val="Iauiue"/>
        <w:jc w:val="both"/>
        <w:rPr>
          <w:color w:val="000000" w:themeColor="text1"/>
          <w:sz w:val="16"/>
          <w:szCs w:val="16"/>
        </w:rPr>
      </w:pPr>
    </w:p>
    <w:p w14:paraId="6AD8AA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мая 1943 г. вышел ПРИКАЗ № 0340 О ПРИНЯТИИ НА ВООРУЖЕНИЕ ВВС КРАСНОЙ АРМИИ НОВЫХ АВИАБОМБ И ВЗРЫВАТЕЛЕЙ, ПОРЯДКЕ ИХ КОМПЛЕКТОВАНИЯ И ПРИМЕНЕНИЯ</w:t>
      </w:r>
    </w:p>
    <w:p w14:paraId="15090A9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Принять на вооружение ВВС Красной Армии следующие новые авиабомбы и взрыватели, разработанные в 1942—1943 гг.:</w:t>
      </w:r>
    </w:p>
    <w:tbl>
      <w:tblPr>
        <w:tblW w:w="0" w:type="auto"/>
        <w:tblInd w:w="3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522"/>
        <w:gridCol w:w="2315"/>
        <w:gridCol w:w="1045"/>
        <w:gridCol w:w="3660"/>
      </w:tblGrid>
      <w:tr w:rsidR="00860B4B" w:rsidRPr="00D03F3E" w14:paraId="4F92A397" w14:textId="77777777">
        <w:trPr>
          <w:trHeight w:val="495"/>
        </w:trPr>
        <w:tc>
          <w:tcPr>
            <w:tcW w:w="522" w:type="dxa"/>
          </w:tcPr>
          <w:p w14:paraId="16E7D72A" w14:textId="77777777" w:rsidR="00531570" w:rsidRPr="00D03F3E" w:rsidRDefault="00531570" w:rsidP="00D03F3E">
            <w:pPr>
              <w:pStyle w:val="Iauiue"/>
              <w:jc w:val="both"/>
              <w:rPr>
                <w:color w:val="000000" w:themeColor="text1"/>
                <w:sz w:val="16"/>
                <w:szCs w:val="16"/>
              </w:rPr>
            </w:pPr>
          </w:p>
        </w:tc>
        <w:tc>
          <w:tcPr>
            <w:tcW w:w="2315" w:type="dxa"/>
          </w:tcPr>
          <w:p w14:paraId="5736225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Наименование авиабомб и взрывателей</w:t>
            </w:r>
          </w:p>
        </w:tc>
        <w:tc>
          <w:tcPr>
            <w:tcW w:w="1045" w:type="dxa"/>
          </w:tcPr>
          <w:p w14:paraId="52D0A41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Каким взрывателем комплектовать</w:t>
            </w:r>
          </w:p>
        </w:tc>
        <w:tc>
          <w:tcPr>
            <w:tcW w:w="3660" w:type="dxa"/>
          </w:tcPr>
          <w:p w14:paraId="29341EE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Основное назначение авиабомб и взрывателей</w:t>
            </w:r>
          </w:p>
        </w:tc>
      </w:tr>
      <w:tr w:rsidR="00860B4B" w:rsidRPr="00D03F3E" w14:paraId="14DECE69" w14:textId="77777777">
        <w:trPr>
          <w:trHeight w:val="885"/>
        </w:trPr>
        <w:tc>
          <w:tcPr>
            <w:tcW w:w="522" w:type="dxa"/>
          </w:tcPr>
          <w:p w14:paraId="479AB49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w:t>
            </w:r>
          </w:p>
        </w:tc>
        <w:tc>
          <w:tcPr>
            <w:tcW w:w="2315" w:type="dxa"/>
          </w:tcPr>
          <w:p w14:paraId="150FE64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АД “а” — авиационный донный взрыватель мгновенного действия с капсюлем — детонатором</w:t>
            </w:r>
          </w:p>
        </w:tc>
        <w:tc>
          <w:tcPr>
            <w:tcW w:w="1045" w:type="dxa"/>
          </w:tcPr>
          <w:p w14:paraId="1E029D5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3660" w:type="dxa"/>
          </w:tcPr>
          <w:p w14:paraId="655BFBF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комплектования противотанковых авиабомб.</w:t>
            </w:r>
          </w:p>
        </w:tc>
      </w:tr>
      <w:tr w:rsidR="00860B4B" w:rsidRPr="00D03F3E" w14:paraId="4A44B215" w14:textId="77777777">
        <w:trPr>
          <w:trHeight w:val="720"/>
        </w:trPr>
        <w:tc>
          <w:tcPr>
            <w:tcW w:w="522" w:type="dxa"/>
          </w:tcPr>
          <w:p w14:paraId="42A1602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w:t>
            </w:r>
          </w:p>
        </w:tc>
        <w:tc>
          <w:tcPr>
            <w:tcW w:w="2315" w:type="dxa"/>
          </w:tcPr>
          <w:p w14:paraId="43F248A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АД “б” — авиационный донный взрыватель мгновенного действия с капсюлем — воспламенителем.</w:t>
            </w:r>
          </w:p>
        </w:tc>
        <w:tc>
          <w:tcPr>
            <w:tcW w:w="1045" w:type="dxa"/>
          </w:tcPr>
          <w:p w14:paraId="40DA070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w:t>
            </w:r>
          </w:p>
          <w:p w14:paraId="074BB77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w:t>
            </w:r>
          </w:p>
        </w:tc>
        <w:tc>
          <w:tcPr>
            <w:tcW w:w="3660" w:type="dxa"/>
          </w:tcPr>
          <w:p w14:paraId="7ECAEF2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комплектования зажигательных авиабомб с донным очком.</w:t>
            </w:r>
          </w:p>
        </w:tc>
      </w:tr>
      <w:tr w:rsidR="00860B4B" w:rsidRPr="00D03F3E" w14:paraId="57513A2F" w14:textId="77777777">
        <w:trPr>
          <w:trHeight w:val="1365"/>
        </w:trPr>
        <w:tc>
          <w:tcPr>
            <w:tcW w:w="522" w:type="dxa"/>
          </w:tcPr>
          <w:p w14:paraId="4870BB7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w:t>
            </w:r>
          </w:p>
        </w:tc>
        <w:tc>
          <w:tcPr>
            <w:tcW w:w="2315" w:type="dxa"/>
          </w:tcPr>
          <w:p w14:paraId="27D4133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ПТАБ-2,5— 1,5 противотанковая авиабомба калибра 2,5 кг, вес 1,5</w:t>
            </w:r>
          </w:p>
        </w:tc>
        <w:tc>
          <w:tcPr>
            <w:tcW w:w="1045" w:type="dxa"/>
          </w:tcPr>
          <w:p w14:paraId="0DF279D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АД “а” — 1 шт.</w:t>
            </w:r>
          </w:p>
        </w:tc>
        <w:tc>
          <w:tcPr>
            <w:tcW w:w="3660" w:type="dxa"/>
          </w:tcPr>
          <w:p w14:paraId="2A397B9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Применять: по танкам, бронемашинам, артиллерии, мотомех. колоннам и колоннам живой силы противника, по железнодорожным узлам и эшелонам на перегонах,...*</w:t>
            </w:r>
          </w:p>
          <w:p w14:paraId="7A47DA3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Минимальная высота сбрасывания — 70 м.</w:t>
            </w:r>
          </w:p>
          <w:p w14:paraId="318BB2A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 сбрасывании по складам с боеприпасами минимальная высота сбрасывания — 600 м.</w:t>
            </w:r>
          </w:p>
        </w:tc>
      </w:tr>
      <w:tr w:rsidR="00860B4B" w:rsidRPr="00D03F3E" w14:paraId="19F8895E" w14:textId="77777777">
        <w:trPr>
          <w:trHeight w:val="720"/>
        </w:trPr>
        <w:tc>
          <w:tcPr>
            <w:tcW w:w="522" w:type="dxa"/>
          </w:tcPr>
          <w:p w14:paraId="6231F98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w:t>
            </w:r>
          </w:p>
        </w:tc>
        <w:tc>
          <w:tcPr>
            <w:tcW w:w="2315" w:type="dxa"/>
          </w:tcPr>
          <w:p w14:paraId="323EDC2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ФАБ — 5000 кг — фугасная авиабомба весом 5000 кг.</w:t>
            </w:r>
          </w:p>
        </w:tc>
        <w:tc>
          <w:tcPr>
            <w:tcW w:w="1045" w:type="dxa"/>
          </w:tcPr>
          <w:p w14:paraId="3090A6C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АПУВМ —</w:t>
            </w:r>
          </w:p>
          <w:p w14:paraId="385AD5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штуки, АВ-1 м — 6 штук</w:t>
            </w:r>
          </w:p>
        </w:tc>
        <w:tc>
          <w:tcPr>
            <w:tcW w:w="3660" w:type="dxa"/>
          </w:tcPr>
          <w:p w14:paraId="0FB47BA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Применять по особо важным целям по указанию Ставки Верховного Главнокомандующего. Минимальная высота сбрасывания — 3000 м.</w:t>
            </w:r>
          </w:p>
        </w:tc>
      </w:tr>
    </w:tbl>
    <w:p w14:paraId="6EBA8A8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Главному инженеру ВВС Красной Армии обеспечить действующие части ВВС Красной Армии соответствующими указаниями по эксплуатации и применению новых авиабомб и взрывателей, а командирам частей и соединений — своевременное изучение, правильную эксплуатацию и наиболее эффективное применение новых авиабомб и взрывателей.</w:t>
      </w:r>
    </w:p>
    <w:p w14:paraId="056048EA" w14:textId="77777777" w:rsidR="00531570" w:rsidRPr="00D03F3E" w:rsidRDefault="00531570" w:rsidP="00D03F3E">
      <w:pPr>
        <w:pStyle w:val="Iauiue"/>
        <w:jc w:val="both"/>
        <w:rPr>
          <w:color w:val="000000" w:themeColor="text1"/>
          <w:sz w:val="16"/>
          <w:szCs w:val="16"/>
        </w:rPr>
      </w:pPr>
      <w:r w:rsidRPr="00D03F3E">
        <w:rPr>
          <w:iCs/>
          <w:color w:val="000000" w:themeColor="text1"/>
          <w:sz w:val="16"/>
          <w:szCs w:val="16"/>
        </w:rPr>
        <w:t xml:space="preserve">Заместитель Народного комиссара обороны маршал авиации НОВИКОВ </w:t>
      </w:r>
      <w:r w:rsidRPr="00D03F3E">
        <w:rPr>
          <w:color w:val="000000" w:themeColor="text1"/>
          <w:sz w:val="16"/>
          <w:szCs w:val="16"/>
        </w:rPr>
        <w:t>(9844).</w:t>
      </w:r>
    </w:p>
    <w:p w14:paraId="59D9E896" w14:textId="77777777" w:rsidR="00531570" w:rsidRPr="00D03F3E" w:rsidRDefault="00531570" w:rsidP="00D03F3E">
      <w:pPr>
        <w:pStyle w:val="Iauiue"/>
        <w:jc w:val="both"/>
        <w:rPr>
          <w:color w:val="000000" w:themeColor="text1"/>
          <w:sz w:val="16"/>
          <w:szCs w:val="16"/>
        </w:rPr>
      </w:pPr>
    </w:p>
    <w:p w14:paraId="17BCA97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мая 1943 Нач. ГУЗ ВВС КА г-м ИАС Селезнев писал письмо N 555262 А.С.Я. как Зам. НКАП о том, что заводом 115 начаты работы по замене М-105 на М-107 на 15 Як-9 и просил прислать договор с ВВС (1778,296).</w:t>
      </w:r>
    </w:p>
    <w:p w14:paraId="3BBD43EB" w14:textId="77777777" w:rsidR="00531570" w:rsidRPr="00D03F3E" w:rsidRDefault="00531570" w:rsidP="00D03F3E">
      <w:pPr>
        <w:pStyle w:val="Iauiue"/>
        <w:jc w:val="both"/>
        <w:rPr>
          <w:color w:val="000000" w:themeColor="text1"/>
          <w:sz w:val="16"/>
          <w:szCs w:val="16"/>
        </w:rPr>
      </w:pPr>
    </w:p>
    <w:p w14:paraId="66E36F7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мая 1943 телеграммой N 8345с за подписями руководителей испытаний ви ЛИИ НКА Пояркова, ви ОКБ А.Н.Т. Стомана сообщены следующие максимальные скорости, полученные при испытаниях Ту-2 М-82 после доводки:</w:t>
      </w:r>
    </w:p>
    <w:p w14:paraId="3E3884B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 земли - 496 км/час</w:t>
      </w:r>
    </w:p>
    <w:p w14:paraId="19495CA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1750 - 537</w:t>
      </w:r>
    </w:p>
    <w:p w14:paraId="2E74D85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5500 - 545</w:t>
      </w:r>
    </w:p>
    <w:p w14:paraId="539BB79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6000 - 543</w:t>
      </w:r>
    </w:p>
    <w:p w14:paraId="17DE70E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7000 - 528...(1775,66).</w:t>
      </w:r>
    </w:p>
    <w:p w14:paraId="4B9EE480" w14:textId="77777777" w:rsidR="00531570" w:rsidRPr="00D03F3E" w:rsidRDefault="00531570" w:rsidP="00D03F3E">
      <w:pPr>
        <w:pStyle w:val="Iauiue"/>
        <w:jc w:val="both"/>
        <w:rPr>
          <w:color w:val="000000" w:themeColor="text1"/>
          <w:sz w:val="16"/>
          <w:szCs w:val="16"/>
        </w:rPr>
      </w:pPr>
    </w:p>
    <w:p w14:paraId="29B0E961" w14:textId="77777777" w:rsidR="00531570" w:rsidRPr="00D03F3E" w:rsidRDefault="00531570" w:rsidP="00D03F3E">
      <w:pPr>
        <w:pStyle w:val="Iniiaiieoaeno"/>
        <w:widowControl/>
        <w:rPr>
          <w:color w:val="000000" w:themeColor="text1"/>
        </w:rPr>
      </w:pPr>
      <w:r w:rsidRPr="00D03F3E">
        <w:rPr>
          <w:color w:val="000000" w:themeColor="text1"/>
        </w:rPr>
        <w:t>6 мая 1943 вышел приказ НКАП № 273с:</w:t>
      </w:r>
    </w:p>
    <w:p w14:paraId="02F5F0C7" w14:textId="77777777" w:rsidR="00531570" w:rsidRPr="00D03F3E" w:rsidRDefault="00531570" w:rsidP="00D03F3E">
      <w:pPr>
        <w:pStyle w:val="Iniiaiieoaeno"/>
        <w:widowControl/>
        <w:rPr>
          <w:color w:val="000000" w:themeColor="text1"/>
        </w:rPr>
      </w:pPr>
      <w:r w:rsidRPr="00D03F3E">
        <w:rPr>
          <w:color w:val="000000" w:themeColor="text1"/>
        </w:rPr>
        <w:t>В соответствии с постановлением ГКО № 3218с от 21 апреля 1943:</w:t>
      </w:r>
    </w:p>
    <w:p w14:paraId="3022C129" w14:textId="77777777" w:rsidR="00531570" w:rsidRPr="00D03F3E" w:rsidRDefault="00531570" w:rsidP="00D03F3E">
      <w:pPr>
        <w:pStyle w:val="Iniiaiieoaeno"/>
        <w:widowControl/>
        <w:rPr>
          <w:color w:val="000000" w:themeColor="text1"/>
        </w:rPr>
      </w:pPr>
      <w:r w:rsidRPr="00D03F3E">
        <w:rPr>
          <w:color w:val="000000" w:themeColor="text1"/>
        </w:rPr>
        <w:t>Нач. 11 ГУ Куликову:</w:t>
      </w:r>
    </w:p>
    <w:p w14:paraId="40590495" w14:textId="77777777" w:rsidR="00531570" w:rsidRPr="00D03F3E" w:rsidRDefault="00531570" w:rsidP="00D03F3E">
      <w:pPr>
        <w:pStyle w:val="Iniiaiieoaeno"/>
        <w:widowControl/>
        <w:rPr>
          <w:color w:val="000000" w:themeColor="text1"/>
        </w:rPr>
      </w:pPr>
      <w:r w:rsidRPr="00D03F3E">
        <w:rPr>
          <w:color w:val="000000" w:themeColor="text1"/>
        </w:rPr>
        <w:t>Орг-ть на базе ф-ла з-да № 468 ст. Бескудниково, МО пр-во десантного имущества для снабжения ВВС, сохранив за этим з-м № 468.</w:t>
      </w:r>
    </w:p>
    <w:p w14:paraId="3211ABEF" w14:textId="77777777" w:rsidR="00531570" w:rsidRPr="00D03F3E" w:rsidRDefault="00531570" w:rsidP="00D03F3E">
      <w:pPr>
        <w:pStyle w:val="Iniiaiieoaeno"/>
        <w:widowControl/>
        <w:rPr>
          <w:color w:val="000000" w:themeColor="text1"/>
        </w:rPr>
      </w:pPr>
      <w:r w:rsidRPr="00D03F3E">
        <w:rPr>
          <w:color w:val="000000" w:themeColor="text1"/>
        </w:rPr>
        <w:t>Шахурин (1710, 235).</w:t>
      </w:r>
    </w:p>
    <w:p w14:paraId="6AFDC790" w14:textId="77777777" w:rsidR="00531570" w:rsidRPr="00D03F3E" w:rsidRDefault="00531570" w:rsidP="00D03F3E">
      <w:pPr>
        <w:pStyle w:val="Iniiaiieoaeno"/>
        <w:widowControl/>
        <w:rPr>
          <w:color w:val="000000" w:themeColor="text1"/>
        </w:rPr>
      </w:pPr>
    </w:p>
    <w:p w14:paraId="24DDD40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мая 1943 г. в соответствии с приказом НКАП № 272с ОКБ-454 НКАП из Куйбышева переведено на только что образованный завод № 487 НКАП, и на базе ОКБ-454 образовано ОКБ-487 НКАП. В 11.1945 г. ОКБ-487 И.П. Шебанова влито в ОКБ-43 И.И. Торопова. По приказу № 148с от 22.03.1946 г. группа конструкторов и производственников (25 чел.) во главе с И.П. Шебановым и его замом В.И. Ермиловым выделяется из состава ОКБ-43 МАП и переводится на завод № 81 МАП, где вошла в единое заводское ОКБ. С 1947 г.- работы по подвесным устройствам для реактивно-планирующих АБ. Велись работы по оборудованию КП и наземных контрольных устройств для систем «Ураган» и «Даль»». В 1951 г. образованы КБ-1 и КБ-2 завода № 81. Шебанов снят с должности гл. конструктора, КБ-1 возглавил В.П. Григорьев, а КБ-2 - Картуков. В 1957 г. КБ-1 Григорьева было переведено на другую территорию и действовало как ОКБ-424. Гл. конструктор (1946-51 г.)- И.П. Шебанов, (1951 г.-)- В.П. Григорьев. Зам. гл. конструктора (1946 г.-)- В.И. Ермилов. Создано: ПУ: для Як-140 (середина 1950-х), ПУ-21 для МиГ-15бис, МиГ-17, Ил-28, ПУ-12-40 для МиГ-21, Су-7Б; держатель АБ: "374", "398", "401"; блоки для РС: ОРО-82, ОРО-132, ОРО-190, ОРО-212; РБК-250; пилоны, ТСМ, ракетницы, стартовые ТТУ для РСЗО "Вихрь" (10776).</w:t>
      </w:r>
    </w:p>
    <w:p w14:paraId="6D1CD08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579F5F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мая 1943 г. ОКБ-145 НКАП И.И. Картукова в соответствии с приказом НКАП № 272с возвращается из эвакуации на новое место в г. Костино на завод № 455 НКАП с образованием ОКБ-455 НКАП. Здесь продолжены работы по химическим боеприпасам. Создан химический разовый прибор ХАРП-500-300А для ВМФ. С 1946 г.- работы по пиропатронам для катапультных кресел летчиков по типу Не-162 и Не-219. По приказу № 148с от 22.03.1946 г. ОКБ-455 МАП гл. конструктора И.И. Картукова в полном составе переведено на вновь образованный Завод № 81 МАП (10776).</w:t>
      </w:r>
    </w:p>
    <w:p w14:paraId="32DE9E16"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1638E2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мая 1943 г. по приказу НКАП № 272с ОКБ-145 НКАП И.И. Картукова возвращается из эвакуации на новое место в г. Костино Московской обл. на Завод № 455 НКАП с образованием ОКБ-455 НКАП. Здесь продолжены работы по химическим боеприпасам, которые шли до 1947 г.</w:t>
      </w:r>
    </w:p>
    <w:p w14:paraId="0351580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03.1946 г. коллектив ОКБ-455 МАП влит в состав ОКБ вновь образованного Завода № 81 МАП. В 1951 г. образовано отдельное КБ-2 завода № 81 гл. конструктора И.И. Картукова. </w:t>
      </w:r>
    </w:p>
    <w:p w14:paraId="62AB6AB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Здесь с 1947 г. начаты работы по новой тематике: стреляющие механизмы, кумулятивные бомбы. Работы по химическим боеприпасам некоторое время продолжались: в 1949 г. производились морские химические ампулы «МХП», разовые ВАП-250РД, химические ампулы для РБК-250, дымовые приборы. С 1950 г. в КБ развернулись работы по ПРД для различных ракет (созданы ПРД практически для всех отечественных ракет), ТТ двигателям для катапультных кресел ЛА и КА, газогенераторам для баллонных систем ПЛ.</w:t>
      </w:r>
    </w:p>
    <w:p w14:paraId="652A150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Тема № 343 по приказу МАП № 505 от 4.07.1949 г.- оснащение МиГ-15 пусковыми установками АПУ-212 для стрельбы РС АРЗОС-212. Тема № 356 и 651- оснащение МиГ-15бис для испытаний АРС-212 (1952 г.). Тема № 361- разработка АПУ-4 и АПУ-5 для опытных АРС-140-150 (1952 г.). Тема № 365- оснащение МиГ-17 для испытаний АРС-212М (1952 г.). А-1/00</w:t>
      </w:r>
    </w:p>
    <w:p w14:paraId="1A76560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1955 г. КБ-2 слито с заводом и преобразовано в НПО. </w:t>
      </w:r>
    </w:p>
    <w:p w14:paraId="48CF679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решению правительства № 22-р от 9.01.2004 г. и Указу Президента РФ № 1009 от 4.08.2004 г. ОАО вошло в число стратегических оборонных предприятий.</w:t>
      </w:r>
    </w:p>
    <w:p w14:paraId="57C6014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Принимало участие в программе создания ОК «Буран».</w:t>
      </w:r>
    </w:p>
    <w:p w14:paraId="622B7FB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(2002 г.): противоштопорные ракеты; РДТТ для систем спасения КА; ускорители для УРВВ, УРВП, ЗУР; сосуды высокого давления; газогенераторы на твердом топливе; пиротехнические механизмы.</w:t>
      </w:r>
    </w:p>
    <w:p w14:paraId="39D0876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Работали: (1980-е)- С.В. Авдула, А.А. Брауде, Е.А. Гуськов, Г.М. Квятковский, А.М. Носов, А.С. Поздняков, И.К. Савков, Е.И. Хренов, С.И. Чуб, В.М. Юшков.</w:t>
      </w:r>
    </w:p>
    <w:p w14:paraId="0FE712B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Гл. конструктор (-1955-93 г.)- И.И. Картуков, (1993-95 г.-)- Ю.К. Куликов, (2002 г.)- М.Д. Граменицкий. </w:t>
      </w:r>
    </w:p>
    <w:p w14:paraId="2EC50AC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Гендиректор (2002 г.)- В.М. Быцкевич.</w:t>
      </w:r>
    </w:p>
    <w:p w14:paraId="583C805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(2002 г.)- С.К. Гиндце.</w:t>
      </w:r>
    </w:p>
    <w:p w14:paraId="24154F7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Создано: ПРД: ПРД-1200-9 для СНАРС-250, ПРД-25 ("232-II") для К-8, ПРД-25СМ ("232-IIСМ") для К-8М, ПРД-18-Р ("218-Ш-Р"), ПРД-80А для Р-3С и Р-3Р, ПРД-98 для «203»; ПРД-240 для Р-13М, ПРД-23М; ускорители: ПРД-15 ("205") для КСР-2, СПРД-15М ("205II" или "220") для "Метеора", ПРД-70 («400», 1956), ПСР-1500-15 для Ил-28, «129-1» для самолета «150»; ТТУ для «10Х», ПР-01650-9 для «Шторм»; ПРД для ЗУР М-1, М-2, С-125, С-175, В-1000; РДТТ для УРВВ: РДТТ-328, РДТТ-338; ПРД для БРТ «036» «Вихрь»; ПРД для П-10, П-5, П-6, П-15, П-20, П-35, К-12, КСЩ, «Аметист» (10776).</w:t>
      </w:r>
    </w:p>
    <w:p w14:paraId="609686B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9BABEF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мая 1943 вышел приказ № 272 НКАП о реэвакуации ОКБ-2 Г.М.Можаровского и И.В.Виневидова в месте с частью опытного цеха в Москву на территорию вновь образованного завода № 140 (9651,93).</w:t>
      </w:r>
    </w:p>
    <w:p w14:paraId="5C3D1B8A" w14:textId="77777777" w:rsidR="00531570" w:rsidRPr="00D03F3E" w:rsidRDefault="00531570" w:rsidP="00D03F3E">
      <w:pPr>
        <w:pStyle w:val="Iauiue"/>
        <w:jc w:val="both"/>
        <w:rPr>
          <w:color w:val="000000" w:themeColor="text1"/>
          <w:sz w:val="16"/>
          <w:szCs w:val="16"/>
        </w:rPr>
      </w:pPr>
    </w:p>
    <w:p w14:paraId="2F56691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мая 1943 г. по приказу № 272с ОКБ-2 завода № 32 гл. конструктора Можаровского и Веневидова вместе с частью опытного цеха было переведено в Москву на территорию вновь образованного завода № 140 НКАП. Этим же приказом ОКБ-2 объединено с ОКБ завода № 266 НКАП гл. конструктора Енгибаряна, также переведенным в Москву, в единое ОКБ-140 НКАП по электроавтоматике управления самолетом, моторами и вооружением (фактически оба КБ были производственно объединены еще в Кирове). К 06.1943 г. ОКБ уже работало на новом месте.</w:t>
      </w:r>
    </w:p>
    <w:p w14:paraId="210B00D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484с от 3.08.1944 г. часть ОКБ-32 НКАП из Кирова переведена в Москву и передана заводу № 140 НКАП (основная часть передана заводу № 43 НКАП).</w:t>
      </w:r>
    </w:p>
    <w:p w14:paraId="3E2BC4E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Модернизирован и создан ряд агрегатов. Разработаны электрифицированные установки вооружения: ВЭУ, ДЭУ для ДБ-108; для Ер-2 и Ту-2. Начаты работы по созданию бортовых электроагрегатов для Ту-4.</w:t>
      </w:r>
    </w:p>
    <w:p w14:paraId="302E478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01.1945 г. ОКБ-140- в 7ГУ. С 1.10.1945 г. на базе ОКБ-МО НКАП по приказу № 58с от 18.02.1946 г. образован завод № 25 НКАП.</w:t>
      </w:r>
    </w:p>
    <w:p w14:paraId="7A7B164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(1943-45 г.)- А.А. Енгибарян.</w:t>
      </w:r>
    </w:p>
    <w:p w14:paraId="5F1294E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конструктора (1943 г.)-  Г.М. Можаровский, (1943 г.)- И.В. Веневидов (11982).</w:t>
      </w:r>
    </w:p>
    <w:p w14:paraId="66E67BF0" w14:textId="77777777" w:rsidR="009C1EE0" w:rsidRPr="00D03F3E" w:rsidRDefault="009C1EE0" w:rsidP="00D03F3E">
      <w:pPr>
        <w:spacing w:after="0" w:line="240" w:lineRule="auto"/>
        <w:jc w:val="both"/>
        <w:rPr>
          <w:rFonts w:ascii="Times New Roman" w:hAnsi="Times New Roman"/>
          <w:color w:val="000000" w:themeColor="text1"/>
          <w:sz w:val="16"/>
          <w:szCs w:val="16"/>
        </w:rPr>
      </w:pPr>
    </w:p>
    <w:p w14:paraId="332D9E3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мая 1943 г. по приказу НКАП № 272с в ОКБ-43 передана часть опытного цеха завода № 32 после перевода ОКБ-2 Можаровского и Веневидова в Москву в состав ОКБ-140 НКАП.</w:t>
      </w:r>
    </w:p>
    <w:p w14:paraId="781BCA1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конца 1944 г. на завод № 43 из Кирова было полностью переведено ОКБ-32 гл. конструктора И.И. Торопова ( возможно, часть ОКБ отдана заводу № 140 НКАП) с опытным цехом и влито в состав единого ОКБ-43 (по приказу № 484с от 3.8.1944 г.). Гл. конструктором ОКБ стал И.И. Торопов (видимо, в связи со смертью А.И. Шульгина).</w:t>
      </w:r>
    </w:p>
    <w:p w14:paraId="5D24EF4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447сс от 14.11.1945 г. в целях укрупнения конструкторских организаций сформировано объединенное ОКБ-43 путем перевода в состав ОКБ-43 основной части личного состава (142 чел.), оборудования и материальных ценностей ОКБ-487 гл. конструктора И.П. Шебанова, который назначен зам. гл. конструктора.</w:t>
      </w:r>
    </w:p>
    <w:p w14:paraId="6CFD757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148с от 22.03.1946 г. группа конструкторов и производственников (25 чел.) во главе с И.П. Шебановым выделяется из состава ОКБ-43 МАП и переводится на завод № 81 МАП.</w:t>
      </w:r>
    </w:p>
    <w:p w14:paraId="528FAF1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11.1949 г. ОКБ-43 И.И. Торопова была предоставлена новая опытная база- завод № 134 МАП (Тушино), оно получило новое название ОКБ-134 МАП. ОКБ-43 ликвидировано, площади переданы заводу № 43 МАП с 1.01.1950 г.</w:t>
      </w:r>
    </w:p>
    <w:p w14:paraId="6D3DF2E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(1942-43(44)г.)- А.И. Шульгин, (1944-49 г.)- И.И. Торопов.</w:t>
      </w:r>
    </w:p>
    <w:p w14:paraId="7C9D76E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конструктора (1945-46 г.)- И.П. Шебанов, (1946 г.)- В.И. Ермилов.</w:t>
      </w:r>
    </w:p>
    <w:p w14:paraId="3FE7E2E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конструкторы: (1945-46 г.)- И.П. Шебанов.</w:t>
      </w:r>
    </w:p>
    <w:p w14:paraId="3DF9519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Создано: держатели ПКД-2М, Дер-3-44, Дер-4-44 для Ту-2 (10776).</w:t>
      </w:r>
    </w:p>
    <w:p w14:paraId="20BB461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B7C204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6 мая 1943 г. во исполнение приказа НКАП №272 в состав ОКБ завода №43 была переведана из г.Кирова часть оборудования и личного состава опытного цеха завода №32 НКАП ввиду реэвакуации ОКБ-2 гл.к. Г.М.Можаровского и И.В.Веневидова. </w:t>
      </w:r>
    </w:p>
    <w:p w14:paraId="73EFAB7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к. 1944 г. на завод №43 из г.Кирова было полностью переведено ОКБ-32 НКАП гл.к. И.И.Торопова с опытным цехом и слито с ОКБ-43 в единое заводское ОКБ-43 по стрелковым и бомбардировочным установкам вооружения, гл.к. которого по серии был назначен И.И.Торопов (все по приказу №484 от 3.8.44 г.). Проводились работы по установкам вооружения для Ту-2 (держатели ПКД-2М, Дер-3-44, -4-44, -4-44ук). </w:t>
      </w:r>
    </w:p>
    <w:p w14:paraId="4C920CB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соответствии с приказом №447 от 14.11.45 г. в целях укрупнения конструкторских организаций сформировано объединенное ОКБ-43, путем перевода в состав ОКБ-43 И.И.Торопова основной части личного состава (142 чел.) и оборудования ОКБ-487 НКАП гл.к. И.П.Шебанова. Начальником и гл.к. объединенного ОКБ остался И.И.Торопов, а его зам. назначен И.П.Шебанов. По приказу №148 от 22.3.46 г. группа конструкторов и производственников (25 чел.) во главе с гл.к. И.П.Шебановым и зам. гл.к. В.И.Ермиловым выделяется из состава ОКБ-43 МАП и переводится на оп. завод №81 МАП. </w:t>
      </w:r>
    </w:p>
    <w:p w14:paraId="19FE6E2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ноября 1949 г. ОКБ-43 И.И.Торопова была предоставлена новая опытная база. ОКБ переведено с серийного завода №43 МАП на завод №134 МАП (п. Тушино) и получило название ОКБ-134. ОКБ-43 ликвидировано и площади переданы заводу. </w:t>
      </w:r>
    </w:p>
    <w:p w14:paraId="50D54F7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ВОВ на заводе шло производство СППУ - СПСВ-24, ДК-12, ДК-20, ДК-20С, ДК-7-18 и др. С 1952 г. вместо выливных химических приборов ВАП-6м планировалось начать изготовление разовых приборов РВП-100. Производство УРвв началось с освоения с 1957 г. изд."ИС" (К-51, РС-2-УС). Производство этих ракет шло в период с 1959г по 1964 г. Далее шло с 1960 г. производство ракет Р-3С ("310", "Стрела"), в т.ч. в варианте мишени и в учебном варианте, ракет Р-3Р ("320"), Р-13М ("380"), К-23, Р-60 (изд."62"), Р-73 (изд."72"), Р-77 (10777).</w:t>
      </w:r>
    </w:p>
    <w:p w14:paraId="2256A55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1126A1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мая 1943 г. по приказу № 272с ОКБ завода № 43 НКАП передана часть опытного цеха завода № 32 после перевода ОКБ-2 Можаровского и Веневидова в Москву в состав ОКБ-140 НКАП.</w:t>
      </w:r>
    </w:p>
    <w:p w14:paraId="6A7C48D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конца 1944 г. на завод № 43 из Кирова было полностью переведено ОКБ-32 гл. конструктора И.И. Торопова ( возможно, часть ОКБ отдана заводу № 140 НКАП) с опытным цехом и влито в состав единого ОКБ-43 (по приказу № 484с от 3.8.1944 г.). Гл. конструктором ОКБ стал И.И. Торопов (видимо, в связи со смертью А.И. Шульгина) (11982).</w:t>
      </w:r>
    </w:p>
    <w:p w14:paraId="3D028C1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5C5F6A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мая 1943 г. по приказу № 272с ОКБ-454 из Куйбышева переведено на вновь образованный завод № 487 НКАП и переименовано в ОКБ-487 НКАП.</w:t>
      </w:r>
    </w:p>
    <w:p w14:paraId="3693138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по стрелковым установкам с УБТ для Пе-8 (10.1943 г.). С середины 1945 г. основной работой стали установки вооружения для Ту-4. По приказу № 298с от 13.07.1945 г. шли работы по заданиям ОКБ-ИО НКАП.</w:t>
      </w:r>
    </w:p>
    <w:p w14:paraId="436196E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приказам № 171с от 8.03.1944 г. и № 206сс от 21.03.1944 г. ОКБ-487 вместе с заводом № 487 НКАП со всеми кадрами, оборудованием и сооружениями влито в состав завода № 315. В 01.1945 г. ОКБ-487 - в 7ГУ.</w:t>
      </w:r>
    </w:p>
    <w:p w14:paraId="11E7333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Работа ОКБ была признана руководством малоэффективной (за 1942-45 г. создана только одна серийная установка- ТУМ-5 для Ер-2). По приказу № 447сс от 14.11.1945 г. в целях укрупнения конструкторских организаций основная часть личного состава (142 чел.), оборудования и материальных ценностей ОКБ-487 гл. конструктора И.П. Шебанова влита в состав объединенного ОКБ-43 НКАП, этим же приказом из ОКБ-487 НКАП в помощь вновь образованному заводу № 25 НКАП переведено 50 чел. ИТР и рабочих, занятых работами по агрегатам вооружения Ту-4. И.П. Шебанов назначен замом И.И. Торопова (11982).</w:t>
      </w:r>
    </w:p>
    <w:p w14:paraId="6DA3FB1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6E4EA8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мая 1943 г. приказом № 273с в соответствии с пост. ГКО № 3218с от 21.04.1943 г. завод № 468 (ГС Завод № 468 НКАП, МАП, Агрегатный завод «Универсал», ГП, ФГУП «Московский конструкторско-ироизводственный комплекс (МКПК) «Универсал», АО «Универсал» /г. Москва ст. Бескудниково;  г. Билимбай Свердловской обл.;  г. Москва д. Горьковенко ст. Бескудниково (1944 г.)/ /127410  г. Москва Алтуфьевское ш., 79А тел. 901-14-11/) в  г. Билимбай был передан Глававиастрою. Тем же приказом филиал завода в Бескудниково преобразован в самостоятельный завод № 468 при 11 ГУ НКАП для продолжения производства десантно-транспортного имущества.</w:t>
      </w:r>
    </w:p>
    <w:p w14:paraId="57067EB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подвесок для парашютного десантирования мотоциклов, велосипедов, пушек. Завод являлся производственной базой двух КБ: гл. конструкторов А.И. Привалова и П.В. Цыбина. С конца 1945 г. завод передан из 11ГУ в 7ГУ. В 08.1957 г. - в ведении 1ГУ МАП. В 1966 г. переименован в Агрегатный завод «Универсал».</w:t>
      </w:r>
    </w:p>
    <w:p w14:paraId="2F38BA8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64сс от 3.02.1955 г. заводу были переданы работы по проектированию и изготовлению опытных образцов наземной аэродромной техники (АПА-12, АПА-35, УПГ-150, УПГ-250) с завода № 938 МАП и переведена часть специалистов.</w:t>
      </w:r>
    </w:p>
    <w:p w14:paraId="2E58AAC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Десантно-транспортная техника, ПД и АО, СНО </w:t>
      </w:r>
      <w:r w:rsidRPr="00D03F3E">
        <w:rPr>
          <w:rFonts w:ascii="Times New Roman" w:hAnsi="Times New Roman"/>
          <w:color w:val="000000" w:themeColor="text1"/>
          <w:sz w:val="16"/>
          <w:szCs w:val="16"/>
          <w:lang w:val="en-US"/>
        </w:rPr>
        <w:t>AT</w:t>
      </w:r>
      <w:r w:rsidRPr="00D03F3E">
        <w:rPr>
          <w:rFonts w:ascii="Times New Roman" w:hAnsi="Times New Roman"/>
          <w:color w:val="000000" w:themeColor="text1"/>
          <w:sz w:val="16"/>
          <w:szCs w:val="16"/>
        </w:rPr>
        <w:t xml:space="preserve"> (1953-57 г.). Разработка парашютных систем. С 1965 г. завод стал головным по разработке парашютно-десантной техники и СНО.</w:t>
      </w:r>
    </w:p>
    <w:p w14:paraId="1A9C770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1958-59 г. начались работы по источникам питания ракет и запуска двигателей ракет. Принимал участие в программе создания ОК «Буран». В 1990-е  г. создан ряд наземных агрегатов: пассажирские авиационные трапы, передвижные электростанции, насосные агрегаты, пускоагрегаты, транспортировочные и монтажные тележки, аэрофинишеры.</w:t>
      </w:r>
    </w:p>
    <w:p w14:paraId="7F8FF0A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Предприятие имело филиалы (1990-е  г.) в  г. Жуковский (зам. гл. конструктора - Д.Ф. Патрушев) и в Самаре (директор- В. Г. Соков).</w:t>
      </w:r>
    </w:p>
    <w:p w14:paraId="500F588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Разработка и производство (2002 г.): средства обслуживания военных и гражданских ЛА (гидро-, электроустановки, установки воздушного запуска двигателей, заправщики спецжидкостями и газами, тележки и приспособления, гидроподъемники, лестницы, стремянки, мобильные контрольно-ремонтные мастерские, аэродромные аварийно-тормозные установки); парашютно-десантная техника (самолетное десантное оборудование, парашютные платформы).</w:t>
      </w:r>
    </w:p>
    <w:p w14:paraId="77C53A6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1992 г. завод преобразован в ГП «МКПК «Универсал», с 2004 г.- ФГУП. По решению правительства № 22-р от 9.01.2004 г. и Указу Президента РФ № 1009 от 4.08.2004 г. вошел в число стратегических оборонных предприятий.</w:t>
      </w:r>
    </w:p>
    <w:p w14:paraId="645E035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(1940 г.-; 05.1943 г.-)- А.И. Привалов, (12.1943 г.)- Байдуков; и.о. директора (11.1944 г.)- Воздвиженский; (03.1946 г.)- А.И. Привалов, (2005 г.)- С.Ю. Родионов. Управляющий (-2000-02 г.-)- А.Н. Логвинов.</w:t>
      </w:r>
    </w:p>
    <w:p w14:paraId="05B3FC8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1-й зам. гендиректора (1990-е)- В.А. Баранов. Зам. директора по науке (2005 г.)- В.А. Егорычев. Коммерческий директор (2002 г.)- А.П. Спесивцев.</w:t>
      </w:r>
      <w:r w:rsidRPr="00D03F3E">
        <w:rPr>
          <w:rFonts w:ascii="Times New Roman" w:hAnsi="Times New Roman"/>
          <w:color w:val="000000" w:themeColor="text1"/>
          <w:sz w:val="16"/>
          <w:szCs w:val="16"/>
          <w:vertAlign w:val="superscript"/>
        </w:rPr>
        <w:t>69</w:t>
      </w:r>
    </w:p>
    <w:p w14:paraId="64EA7BB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(1940-41 г.-;05-12.1943 г.;-1956 г.-)- А.И. Привалов, (12.1943-46 г.)- П.В. Цыбин, (1993 г.)- В.А. Баранов. Ген. Конструктор (1995 г.)- Н.Ф. Широков, (-2002-05 г.-)- Ю.С. Ермашук. Зам. гл. конструктора (1955 г.-)- В.В. Ильичев. Зам. гл. технолога (1950-е)- В.В. Ильичев. Начальники групп: крыла и оперения (1944-45 г.)- С.А. Бемов.</w:t>
      </w:r>
    </w:p>
    <w:p w14:paraId="1297E9D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Создано:</w:t>
      </w:r>
      <w:r w:rsidRPr="00D03F3E">
        <w:rPr>
          <w:rFonts w:ascii="Times New Roman" w:hAnsi="Times New Roman"/>
          <w:color w:val="000000" w:themeColor="text1"/>
          <w:sz w:val="16"/>
          <w:szCs w:val="16"/>
        </w:rPr>
        <w:t xml:space="preserve"> парашютные системы для боевой техники: «Кентавр» с платформой П-7 дня десантирования БМД-1 с экипажем (1973), ПРСМ-915 «Реактавр» для БМД-2 (1978), ПБС-950 для БМД-3 (1998), «Спрут-ПДС» для пушки «Спрут-МД» (единственная в мире система для десантирования техники массой 20т); комплексы СНО для МиГ-25, Су-17М, Ту-22М, Ту-154, Ту-144, Ил-76, Ил-86, Як-40, Ан-124 (1967-76), Ил-114, Ил-96, Ту-204, Як-42, МиГ-29, Су-25, Су-27, ОК «Буран» (1980-90), самолетов и вертолетов для ТАВКР «Адмирал Кузнецов».</w:t>
      </w:r>
      <w:r w:rsidRPr="00D03F3E">
        <w:rPr>
          <w:rFonts w:ascii="Times New Roman" w:hAnsi="Times New Roman"/>
          <w:color w:val="000000" w:themeColor="text1"/>
          <w:sz w:val="16"/>
          <w:szCs w:val="16"/>
          <w:vertAlign w:val="superscript"/>
        </w:rPr>
        <w:t xml:space="preserve">101 </w:t>
      </w:r>
      <w:r w:rsidRPr="00D03F3E">
        <w:rPr>
          <w:rFonts w:ascii="Times New Roman" w:hAnsi="Times New Roman"/>
          <w:iCs/>
          <w:color w:val="000000" w:themeColor="text1"/>
          <w:sz w:val="16"/>
          <w:szCs w:val="16"/>
        </w:rPr>
        <w:t>Производство:</w:t>
      </w:r>
      <w:r w:rsidRPr="00D03F3E">
        <w:rPr>
          <w:rFonts w:ascii="Times New Roman" w:hAnsi="Times New Roman"/>
          <w:color w:val="000000" w:themeColor="text1"/>
          <w:sz w:val="16"/>
          <w:szCs w:val="16"/>
        </w:rPr>
        <w:t xml:space="preserve"> десантная кабина Д-20 для ДБ-3 (ВОВ) (11982).</w:t>
      </w:r>
    </w:p>
    <w:p w14:paraId="68F22A27" w14:textId="77777777" w:rsidR="009C1EE0" w:rsidRPr="00D03F3E" w:rsidRDefault="009C1EE0" w:rsidP="00D03F3E">
      <w:pPr>
        <w:spacing w:after="0" w:line="240" w:lineRule="auto"/>
        <w:jc w:val="both"/>
        <w:rPr>
          <w:rFonts w:ascii="Times New Roman" w:hAnsi="Times New Roman"/>
          <w:color w:val="000000" w:themeColor="text1"/>
          <w:sz w:val="16"/>
          <w:szCs w:val="16"/>
        </w:rPr>
      </w:pPr>
    </w:p>
    <w:p w14:paraId="2D48069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мая 1943 г. по приказу № 273 на вновь созданный завод № 468 переведено из  г. Билимбай ОКБ гл. конструктора А.И. Привалова, который назначен директором и гл. конструктором завода.</w:t>
      </w:r>
    </w:p>
    <w:p w14:paraId="3F31A25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по парашютной технике. Созданы парашюты для десантирования бензобаков, мотоциклов, пушек, парашюты Г-8, ПДК-4. Разработан КСД (комплекс совместного десантирования) «Кентавр» для БМД-1 (1973). 5.01.1973 г. состоялось первое в мире десантирование БМД-1 с экипажем. Затем создана ПРС (паранпотно- реактивная система) «Реактавр». Впервые испытана с экипажем 23.01.1976 г.</w:t>
      </w:r>
      <w:r w:rsidRPr="00D03F3E">
        <w:rPr>
          <w:rFonts w:ascii="Times New Roman" w:hAnsi="Times New Roman"/>
          <w:color w:val="000000" w:themeColor="text1"/>
          <w:sz w:val="16"/>
          <w:szCs w:val="16"/>
          <w:vertAlign w:val="superscript"/>
        </w:rPr>
        <w:t xml:space="preserve">МХ2/03 </w:t>
      </w:r>
      <w:r w:rsidRPr="00D03F3E">
        <w:rPr>
          <w:rFonts w:ascii="Times New Roman" w:hAnsi="Times New Roman"/>
          <w:color w:val="000000" w:themeColor="text1"/>
          <w:sz w:val="16"/>
          <w:szCs w:val="16"/>
        </w:rPr>
        <w:t>Гл. конструктор (05.1943-66 г.-)- А.И. Привалов.</w:t>
      </w:r>
    </w:p>
    <w:p w14:paraId="6E2D315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 завода № 468 НКАП гл. конструктора П.В. Цыбина По приказу № 729с от 4.12.1943 г. на завод № 468 возложено проектирование и постройка тяжелого грузового десантного планера, в связи с чем гл. конструктором завода назначен П.В. Цыбин (одновременно остался начальником опытно-испытательного отдела ВДВ КА). Для обеспечения работ по планеру Ц-25 по приказу № 731с от 4.12.1943 г. при заводе организовано ОКБ. Штат его формировался, в основном, из специалистов с заводов № 168 и №468 НКАП.</w:t>
      </w:r>
    </w:p>
    <w:p w14:paraId="56CA41E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05.1945 г. построен опытный экземпляр планера Ц-25 (затем строился серийно в Оренбурге), затем- опытный Ц-25М. С 1945 г. начались работы по моделям скоростных исследовательских планеров.</w:t>
      </w:r>
    </w:p>
    <w:p w14:paraId="284FF5D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1946 г. ОКБ гл. конструктора П.В. Цыбина преобразовано в самостоятельный опытный завод № 499 МАП (11982).</w:t>
      </w:r>
    </w:p>
    <w:p w14:paraId="1E9723A8" w14:textId="77777777" w:rsidR="009C1EE0" w:rsidRPr="00D03F3E" w:rsidRDefault="009C1EE0" w:rsidP="00D03F3E">
      <w:pPr>
        <w:pStyle w:val="27"/>
        <w:shd w:val="clear" w:color="auto" w:fill="auto"/>
        <w:spacing w:after="0" w:line="240" w:lineRule="auto"/>
        <w:ind w:firstLine="0"/>
        <w:rPr>
          <w:rFonts w:ascii="Times New Roman" w:cs="Times New Roman"/>
          <w:color w:val="000000" w:themeColor="text1"/>
          <w:spacing w:val="0"/>
        </w:rPr>
      </w:pPr>
    </w:p>
    <w:p w14:paraId="273FA2C0"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мая 1943 г. У Гожэнь ознакомил Панюшкина с памятной запиской правительства Ки</w:t>
      </w:r>
      <w:r w:rsidRPr="00D03F3E">
        <w:rPr>
          <w:rFonts w:ascii="Times New Roman" w:hAnsi="Times New Roman"/>
          <w:color w:val="000000" w:themeColor="text1"/>
          <w:sz w:val="16"/>
          <w:szCs w:val="16"/>
        </w:rPr>
        <w:softHyphen/>
        <w:t>тая по вопросу о решении советского правительства начать подготовку к отправке в СССР оборудования и советского персонала авиационного завода: «Первоначально было реше</w:t>
      </w:r>
      <w:r w:rsidRPr="00D03F3E">
        <w:rPr>
          <w:rFonts w:ascii="Times New Roman" w:hAnsi="Times New Roman"/>
          <w:color w:val="000000" w:themeColor="text1"/>
          <w:sz w:val="16"/>
          <w:szCs w:val="16"/>
        </w:rPr>
        <w:softHyphen/>
        <w:t>но, что авиастроительный завод в Урумчи будет построен Советским Союзом для Китая. В январе месяце текущего года в беседе с министром Сун Цзывэнем Вы выразили мне</w:t>
      </w:r>
      <w:r w:rsidRPr="00D03F3E">
        <w:rPr>
          <w:rFonts w:ascii="Times New Roman" w:hAnsi="Times New Roman"/>
          <w:color w:val="000000" w:themeColor="text1"/>
          <w:sz w:val="16"/>
          <w:szCs w:val="16"/>
        </w:rPr>
        <w:softHyphen/>
        <w:t>ние, что советское правительство готово обсудить с китайским правительством методы совместного управления заводом. В то время Сун Цзывэнь лично просил Вас выдвинуть конкретный проект. В конце февраля этого же года я также просил Вас ускорить разре</w:t>
      </w:r>
      <w:r w:rsidRPr="00D03F3E">
        <w:rPr>
          <w:rFonts w:ascii="Times New Roman" w:hAnsi="Times New Roman"/>
          <w:color w:val="000000" w:themeColor="text1"/>
          <w:sz w:val="16"/>
          <w:szCs w:val="16"/>
        </w:rPr>
        <w:softHyphen/>
        <w:t>шение этого дела. Вы, со своей стороны, просили, чтобы китайская сторона представи</w:t>
      </w:r>
      <w:r w:rsidRPr="00D03F3E">
        <w:rPr>
          <w:rFonts w:ascii="Times New Roman" w:hAnsi="Times New Roman"/>
          <w:color w:val="000000" w:themeColor="text1"/>
          <w:sz w:val="16"/>
          <w:szCs w:val="16"/>
        </w:rPr>
        <w:softHyphen/>
        <w:t>ла свой проект. В данное время китайская сторона как раз и изучает проект о совместной эксплуатации этого завода...</w:t>
      </w:r>
    </w:p>
    <w:p w14:paraId="4F535480"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настоящее время китайским правительством получен доклад от провинциального синьцзянского правительства, из которого видно, что генеральный Консул СССР в Урум</w:t>
      </w:r>
      <w:r w:rsidRPr="00D03F3E">
        <w:rPr>
          <w:rFonts w:ascii="Times New Roman" w:hAnsi="Times New Roman"/>
          <w:color w:val="000000" w:themeColor="text1"/>
          <w:sz w:val="16"/>
          <w:szCs w:val="16"/>
        </w:rPr>
        <w:softHyphen/>
        <w:t>чи сделал заявление... о том, что им получено указание... о подготовке к отправке в Со</w:t>
      </w:r>
      <w:r w:rsidRPr="00D03F3E">
        <w:rPr>
          <w:rFonts w:ascii="Times New Roman" w:hAnsi="Times New Roman"/>
          <w:color w:val="000000" w:themeColor="text1"/>
          <w:sz w:val="16"/>
          <w:szCs w:val="16"/>
        </w:rPr>
        <w:softHyphen/>
        <w:t>ветский Союз всего оборудования, а также технического персонала... авиационного завода... Получение этого доклада в момент переговоров обеих сторон вызывает уди</w:t>
      </w:r>
      <w:r w:rsidRPr="00D03F3E">
        <w:rPr>
          <w:rFonts w:ascii="Times New Roman" w:hAnsi="Times New Roman"/>
          <w:color w:val="000000" w:themeColor="text1"/>
          <w:sz w:val="16"/>
          <w:szCs w:val="16"/>
        </w:rPr>
        <w:softHyphen/>
        <w:t>вление.</w:t>
      </w:r>
    </w:p>
    <w:p w14:paraId="4ADD878B"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Китайское правительство не будет возражать против вывоза технического оборудова</w:t>
      </w:r>
      <w:r w:rsidRPr="00D03F3E">
        <w:rPr>
          <w:rFonts w:ascii="Times New Roman" w:hAnsi="Times New Roman"/>
          <w:color w:val="000000" w:themeColor="text1"/>
          <w:sz w:val="16"/>
          <w:szCs w:val="16"/>
        </w:rPr>
        <w:softHyphen/>
        <w:t>ния, если это мероприятие советского правительства непосредственно связано с вопро</w:t>
      </w:r>
      <w:r w:rsidRPr="00D03F3E">
        <w:rPr>
          <w:rFonts w:ascii="Times New Roman" w:hAnsi="Times New Roman"/>
          <w:color w:val="000000" w:themeColor="text1"/>
          <w:sz w:val="16"/>
          <w:szCs w:val="16"/>
        </w:rPr>
        <w:softHyphen/>
        <w:t>сом ведения войны Советским Союзом. Если эти мероприятия советского правительства не вызываются вышеуказанной необходимостью, то в этом случае китайское прави</w:t>
      </w:r>
      <w:r w:rsidRPr="00D03F3E">
        <w:rPr>
          <w:rFonts w:ascii="Times New Roman" w:hAnsi="Times New Roman"/>
          <w:color w:val="000000" w:themeColor="text1"/>
          <w:sz w:val="16"/>
          <w:szCs w:val="16"/>
        </w:rPr>
        <w:softHyphen/>
        <w:t>тельство выражает надежду на то, что советское правительство сумеет продать Китаю по себестоимости оборудование авиационного завода...».</w:t>
      </w:r>
    </w:p>
    <w:p w14:paraId="2FA5BF8E"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ответ посол пообещал проинформировать о вышеизложенном Молотова и заявил, «что по вопросу об авиазаводе я не делал никаких предложений от имени советского правительства и тем более не обещал представить советский проект о заводе ни ему, ни Сун Цзывэню. В беседах с ними я говорил только о том, если китайское правительство решит поднять этот вопрос перед советской стороной, то в Москве существует мнение ознакомиться с предложениями китайцев, изложенными в определенном документе, ко</w:t>
      </w:r>
      <w:r w:rsidRPr="00D03F3E">
        <w:rPr>
          <w:rFonts w:ascii="Times New Roman" w:hAnsi="Times New Roman"/>
          <w:color w:val="000000" w:themeColor="text1"/>
          <w:sz w:val="16"/>
          <w:szCs w:val="16"/>
        </w:rPr>
        <w:softHyphen/>
        <w:t>торый я обещал довести до сведения советского правительства» (15811).</w:t>
      </w:r>
    </w:p>
    <w:p w14:paraId="04B27F2F" w14:textId="77777777" w:rsidR="009C1EE0" w:rsidRPr="00D03F3E" w:rsidRDefault="009C1EE0" w:rsidP="00D03F3E">
      <w:pPr>
        <w:spacing w:after="0" w:line="240" w:lineRule="auto"/>
        <w:jc w:val="both"/>
        <w:rPr>
          <w:rFonts w:ascii="Times New Roman" w:hAnsi="Times New Roman"/>
          <w:color w:val="000000" w:themeColor="text1"/>
          <w:sz w:val="16"/>
          <w:szCs w:val="16"/>
        </w:rPr>
      </w:pPr>
    </w:p>
    <w:p w14:paraId="4EC5E452"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6 мая 1943 команду</w:t>
      </w:r>
      <w:r w:rsidRPr="00D03F3E">
        <w:rPr>
          <w:rFonts w:ascii="Times New Roman" w:cs="Times New Roman"/>
          <w:color w:val="000000" w:themeColor="text1"/>
          <w:spacing w:val="0"/>
        </w:rPr>
        <w:softHyphen/>
        <w:t>ющий ВВС маршал А.А. Новикова во исполнение постановления ГКО от 24 апреля 1943 приня на вооружение ПТАБ-2,5-1,5.</w:t>
      </w:r>
    </w:p>
    <w:p w14:paraId="18D50B1D"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Несмотря на высокие бронепробивные свойства ПТАБ, для уничтожения танка все же необходимо было попасть в район боеукладки или бензобака. В остальных случаях танк лишь временно выводился из строя.</w:t>
      </w:r>
    </w:p>
    <w:p w14:paraId="40180B89"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Как показали более поздние исследова</w:t>
      </w:r>
      <w:r w:rsidRPr="00D03F3E">
        <w:rPr>
          <w:rFonts w:ascii="Times New Roman" w:cs="Times New Roman"/>
          <w:color w:val="000000" w:themeColor="text1"/>
          <w:spacing w:val="0"/>
        </w:rPr>
        <w:softHyphen/>
        <w:t>ния, параметры конструкции ПТАБ-2,5-1,5 были выбраны не самым лучшим образом.</w:t>
      </w:r>
    </w:p>
    <w:p w14:paraId="757F62DA"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Оказалось, что добавление алюмини</w:t>
      </w:r>
      <w:r w:rsidRPr="00D03F3E">
        <w:rPr>
          <w:rFonts w:ascii="Times New Roman" w:hAnsi="Times New Roman"/>
          <w:color w:val="000000" w:themeColor="text1"/>
          <w:sz w:val="16"/>
          <w:szCs w:val="16"/>
        </w:rPr>
        <w:softHyphen/>
        <w:t>евой пудры в смесь тротила и гексогена ослабляет бронепробивные свойства ку</w:t>
      </w:r>
      <w:r w:rsidRPr="00D03F3E">
        <w:rPr>
          <w:rFonts w:ascii="Times New Roman" w:hAnsi="Times New Roman"/>
          <w:color w:val="000000" w:themeColor="text1"/>
          <w:sz w:val="16"/>
          <w:szCs w:val="16"/>
        </w:rPr>
        <w:softHyphen/>
        <w:t>мулятивной струи, не усиливая при этом ее зажигающие свойства. Жестяной корпус ПТАБ-2,5-1,5 при ударе о броню танка сми</w:t>
      </w:r>
      <w:r w:rsidRPr="00D03F3E">
        <w:rPr>
          <w:rFonts w:ascii="Times New Roman" w:hAnsi="Times New Roman"/>
          <w:color w:val="000000" w:themeColor="text1"/>
          <w:sz w:val="16"/>
          <w:szCs w:val="16"/>
        </w:rPr>
        <w:softHyphen/>
        <w:t>нался настолько быстро, что кумулятивная струя начинала формироваться на неопти</w:t>
      </w:r>
      <w:r w:rsidRPr="00D03F3E">
        <w:rPr>
          <w:rFonts w:ascii="Times New Roman" w:hAnsi="Times New Roman"/>
          <w:color w:val="000000" w:themeColor="text1"/>
          <w:sz w:val="16"/>
          <w:szCs w:val="16"/>
        </w:rPr>
        <w:softHyphen/>
        <w:t>мальном (примерно 50-60%) расстоянии до поверхности брони, а это существенно снижало ее эффективность. Оптимальная толщина металлической облицовки куму</w:t>
      </w:r>
      <w:r w:rsidRPr="00D03F3E">
        <w:rPr>
          <w:rFonts w:ascii="Times New Roman" w:hAnsi="Times New Roman"/>
          <w:color w:val="000000" w:themeColor="text1"/>
          <w:sz w:val="16"/>
          <w:szCs w:val="16"/>
        </w:rPr>
        <w:softHyphen/>
        <w:t>лятивной выемки была в два раза выше, поэтому мощность кумулятивной струи оказывалась заметно сниженной. Более того, из-за неверно выбранной высоты заряда (диаметр заряда плюс высота вы</w:t>
      </w:r>
      <w:r w:rsidRPr="00D03F3E">
        <w:rPr>
          <w:rFonts w:ascii="Times New Roman" w:hAnsi="Times New Roman"/>
          <w:color w:val="000000" w:themeColor="text1"/>
          <w:sz w:val="16"/>
          <w:szCs w:val="16"/>
        </w:rPr>
        <w:softHyphen/>
        <w:t>емки) около 40% взрывчатого вещества вообще не участвовало в формировании кумулятивной струи.</w:t>
      </w:r>
    </w:p>
    <w:p w14:paraId="33004E77"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Если бы ПТАБ-2,5-1,5 имела хотя бы оптимальную толщину металлической об</w:t>
      </w:r>
      <w:r w:rsidRPr="00D03F3E">
        <w:rPr>
          <w:rFonts w:ascii="Times New Roman" w:cs="Times New Roman"/>
          <w:color w:val="000000" w:themeColor="text1"/>
          <w:spacing w:val="0"/>
        </w:rPr>
        <w:softHyphen/>
        <w:t>лицовки кумулятивной выемки и действо</w:t>
      </w:r>
      <w:r w:rsidRPr="00D03F3E">
        <w:rPr>
          <w:rFonts w:ascii="Times New Roman" w:cs="Times New Roman"/>
          <w:color w:val="000000" w:themeColor="text1"/>
          <w:spacing w:val="0"/>
        </w:rPr>
        <w:softHyphen/>
        <w:t>вала с оптимального расстояния от брони, то ее бронепробиваемость была бы выше в 1,6 раза.</w:t>
      </w:r>
    </w:p>
    <w:p w14:paraId="2DCEFC14"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Тем не менее, для своего времени ПТАБ-2,5-1,5 представляла собой до</w:t>
      </w:r>
      <w:r w:rsidRPr="00D03F3E">
        <w:rPr>
          <w:rFonts w:ascii="Times New Roman" w:cs="Times New Roman"/>
          <w:color w:val="000000" w:themeColor="text1"/>
          <w:spacing w:val="0"/>
        </w:rPr>
        <w:softHyphen/>
        <w:t xml:space="preserve">вольно грозное оружие. К слову сказать, </w:t>
      </w:r>
      <w:r w:rsidRPr="00D03F3E">
        <w:rPr>
          <w:rStyle w:val="ArialNarrow-1pt"/>
          <w:rFonts w:ascii="Times New Roman" w:hAnsi="Times New Roman" w:cs="Times New Roman"/>
          <w:b w:val="0"/>
          <w:color w:val="000000" w:themeColor="text1"/>
          <w:spacing w:val="0"/>
          <w:sz w:val="16"/>
          <w:szCs w:val="16"/>
        </w:rPr>
        <w:t>И</w:t>
      </w:r>
      <w:r w:rsidRPr="00D03F3E">
        <w:rPr>
          <w:rFonts w:ascii="Times New Roman" w:cs="Times New Roman"/>
          <w:color w:val="000000" w:themeColor="text1"/>
          <w:spacing w:val="0"/>
        </w:rPr>
        <w:t>.А. Ларионов за создание бомбы и взрыва</w:t>
      </w:r>
      <w:r w:rsidRPr="00D03F3E">
        <w:rPr>
          <w:rFonts w:ascii="Times New Roman" w:cs="Times New Roman"/>
          <w:color w:val="000000" w:themeColor="text1"/>
          <w:spacing w:val="0"/>
        </w:rPr>
        <w:softHyphen/>
        <w:t>теля к ней, в январе 1944 г. был награжден орденом Ленина (12739).</w:t>
      </w:r>
    </w:p>
    <w:p w14:paraId="78A964BA" w14:textId="77777777" w:rsidR="002F5AD4" w:rsidRPr="00D03F3E" w:rsidRDefault="002F5AD4" w:rsidP="00D03F3E">
      <w:pPr>
        <w:pStyle w:val="27"/>
        <w:shd w:val="clear" w:color="auto" w:fill="auto"/>
        <w:spacing w:after="0" w:line="240" w:lineRule="auto"/>
        <w:ind w:firstLine="0"/>
        <w:rPr>
          <w:rFonts w:ascii="Times New Roman" w:cs="Times New Roman"/>
          <w:color w:val="000000" w:themeColor="text1"/>
          <w:spacing w:val="0"/>
        </w:rPr>
      </w:pPr>
    </w:p>
    <w:p w14:paraId="158A2F21"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6 мая 1943 г. вышел ПРИКАЗ О ПРИНЯТИИ НА ВООРУЖЕНИЕ ВВС </w:t>
      </w:r>
      <w:hyperlink r:id="rId138" w:history="1">
        <w:r w:rsidRPr="00D03F3E">
          <w:rPr>
            <w:rStyle w:val="a5"/>
            <w:rFonts w:ascii="Times New Roman" w:hAnsi="Times New Roman"/>
            <w:color w:val="000000" w:themeColor="text1"/>
            <w:sz w:val="16"/>
            <w:szCs w:val="16"/>
          </w:rPr>
          <w:t>КРАСНОЙ</w:t>
        </w:r>
      </w:hyperlink>
      <w:r w:rsidRPr="00D03F3E">
        <w:rPr>
          <w:rFonts w:ascii="Times New Roman" w:hAnsi="Times New Roman"/>
          <w:color w:val="000000" w:themeColor="text1"/>
          <w:sz w:val="16"/>
          <w:szCs w:val="16"/>
        </w:rPr>
        <w:t xml:space="preserve"> АРМИИ НОВЫХ АВИАБОМБ И </w:t>
      </w:r>
      <w:hyperlink r:id="rId139" w:history="1">
        <w:r w:rsidRPr="00D03F3E">
          <w:rPr>
            <w:rStyle w:val="a5"/>
            <w:rFonts w:ascii="Times New Roman" w:hAnsi="Times New Roman"/>
            <w:color w:val="000000" w:themeColor="text1"/>
            <w:sz w:val="16"/>
            <w:szCs w:val="16"/>
          </w:rPr>
          <w:t>ВЗРЫВАТЕЛЕЙ</w:t>
        </w:r>
      </w:hyperlink>
      <w:r w:rsidRPr="00D03F3E">
        <w:rPr>
          <w:rFonts w:ascii="Times New Roman" w:hAnsi="Times New Roman"/>
          <w:color w:val="000000" w:themeColor="text1"/>
          <w:sz w:val="16"/>
          <w:szCs w:val="16"/>
        </w:rPr>
        <w:t xml:space="preserve">, ПОРЯДКЕ ИХ КОМПЛЕКТОВАНИЯ И ПРИМЕНЕНИЯ № 0340 </w:t>
      </w:r>
    </w:p>
    <w:p w14:paraId="713ECCB1"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 Принять на вооружение ВВС </w:t>
      </w:r>
      <w:hyperlink r:id="rId140" w:history="1">
        <w:r w:rsidRPr="00D03F3E">
          <w:rPr>
            <w:rStyle w:val="a5"/>
            <w:rFonts w:ascii="Times New Roman" w:hAnsi="Times New Roman"/>
            <w:color w:val="000000" w:themeColor="text1"/>
            <w:sz w:val="16"/>
            <w:szCs w:val="16"/>
          </w:rPr>
          <w:t>Красной</w:t>
        </w:r>
      </w:hyperlink>
      <w:r w:rsidRPr="00D03F3E">
        <w:rPr>
          <w:rFonts w:ascii="Times New Roman" w:hAnsi="Times New Roman"/>
          <w:color w:val="000000" w:themeColor="text1"/>
          <w:sz w:val="16"/>
          <w:szCs w:val="16"/>
        </w:rPr>
        <w:t xml:space="preserve"> Армии следующие новые авиабомбы и </w:t>
      </w:r>
      <w:hyperlink r:id="rId141" w:history="1">
        <w:r w:rsidRPr="00D03F3E">
          <w:rPr>
            <w:rStyle w:val="a5"/>
            <w:rFonts w:ascii="Times New Roman" w:hAnsi="Times New Roman"/>
            <w:color w:val="000000" w:themeColor="text1"/>
            <w:sz w:val="16"/>
            <w:szCs w:val="16"/>
          </w:rPr>
          <w:t>взрыватели</w:t>
        </w:r>
      </w:hyperlink>
      <w:r w:rsidRPr="00D03F3E">
        <w:rPr>
          <w:rFonts w:ascii="Times New Roman" w:hAnsi="Times New Roman"/>
          <w:color w:val="000000" w:themeColor="text1"/>
          <w:sz w:val="16"/>
          <w:szCs w:val="16"/>
        </w:rPr>
        <w:t>, разработанные в 1942—1943 гг.:</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5"/>
        <w:gridCol w:w="3672"/>
        <w:gridCol w:w="1670"/>
        <w:gridCol w:w="5771"/>
      </w:tblGrid>
      <w:tr w:rsidR="00860B4B" w:rsidRPr="00D03F3E" w14:paraId="37A0AFEA" w14:textId="77777777" w:rsidTr="00227A2A">
        <w:trPr>
          <w:tblCellSpacing w:w="15" w:type="dxa"/>
        </w:trPr>
        <w:tc>
          <w:tcPr>
            <w:tcW w:w="0" w:type="auto"/>
            <w:vAlign w:val="center"/>
            <w:hideMark/>
          </w:tcPr>
          <w:p w14:paraId="113F9BFD" w14:textId="77777777" w:rsidR="009C1EE0" w:rsidRPr="00D03F3E" w:rsidRDefault="009C1EE0" w:rsidP="00D03F3E">
            <w:pPr>
              <w:spacing w:after="0" w:line="240" w:lineRule="auto"/>
              <w:jc w:val="both"/>
              <w:rPr>
                <w:rFonts w:ascii="Times New Roman" w:hAnsi="Times New Roman"/>
                <w:color w:val="000000" w:themeColor="text1"/>
                <w:sz w:val="16"/>
                <w:szCs w:val="16"/>
              </w:rPr>
            </w:pPr>
          </w:p>
        </w:tc>
        <w:tc>
          <w:tcPr>
            <w:tcW w:w="0" w:type="auto"/>
            <w:vAlign w:val="center"/>
            <w:hideMark/>
          </w:tcPr>
          <w:p w14:paraId="504FEBC9"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Наименование авиабомб и </w:t>
            </w:r>
            <w:hyperlink r:id="rId142" w:history="1">
              <w:r w:rsidRPr="00D03F3E">
                <w:rPr>
                  <w:rStyle w:val="a5"/>
                  <w:rFonts w:ascii="Times New Roman" w:hAnsi="Times New Roman"/>
                  <w:color w:val="000000" w:themeColor="text1"/>
                  <w:sz w:val="16"/>
                  <w:szCs w:val="16"/>
                </w:rPr>
                <w:t>взрывателей</w:t>
              </w:r>
            </w:hyperlink>
          </w:p>
        </w:tc>
        <w:tc>
          <w:tcPr>
            <w:tcW w:w="0" w:type="auto"/>
            <w:vAlign w:val="center"/>
            <w:hideMark/>
          </w:tcPr>
          <w:p w14:paraId="251564AC"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Каким </w:t>
            </w:r>
            <w:hyperlink r:id="rId143" w:history="1">
              <w:r w:rsidRPr="00D03F3E">
                <w:rPr>
                  <w:rStyle w:val="a5"/>
                  <w:rFonts w:ascii="Times New Roman" w:hAnsi="Times New Roman"/>
                  <w:color w:val="000000" w:themeColor="text1"/>
                  <w:sz w:val="16"/>
                  <w:szCs w:val="16"/>
                </w:rPr>
                <w:t>взрывателем</w:t>
              </w:r>
            </w:hyperlink>
            <w:r w:rsidRPr="00D03F3E">
              <w:rPr>
                <w:rFonts w:ascii="Times New Roman" w:hAnsi="Times New Roman"/>
                <w:color w:val="000000" w:themeColor="text1"/>
                <w:sz w:val="16"/>
                <w:szCs w:val="16"/>
              </w:rPr>
              <w:t xml:space="preserve"> комплектовать</w:t>
            </w:r>
          </w:p>
        </w:tc>
        <w:tc>
          <w:tcPr>
            <w:tcW w:w="0" w:type="auto"/>
            <w:vAlign w:val="center"/>
            <w:hideMark/>
          </w:tcPr>
          <w:p w14:paraId="40C3EE7B"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Основное назначение авиабомб и </w:t>
            </w:r>
            <w:hyperlink r:id="rId144" w:history="1">
              <w:r w:rsidRPr="00D03F3E">
                <w:rPr>
                  <w:rStyle w:val="a5"/>
                  <w:rFonts w:ascii="Times New Roman" w:hAnsi="Times New Roman"/>
                  <w:color w:val="000000" w:themeColor="text1"/>
                  <w:sz w:val="16"/>
                  <w:szCs w:val="16"/>
                </w:rPr>
                <w:t>взрывателей</w:t>
              </w:r>
            </w:hyperlink>
          </w:p>
        </w:tc>
      </w:tr>
      <w:tr w:rsidR="00860B4B" w:rsidRPr="00D03F3E" w14:paraId="4848A82D" w14:textId="77777777" w:rsidTr="00227A2A">
        <w:trPr>
          <w:tblCellSpacing w:w="15" w:type="dxa"/>
        </w:trPr>
        <w:tc>
          <w:tcPr>
            <w:tcW w:w="0" w:type="auto"/>
            <w:vAlign w:val="center"/>
            <w:hideMark/>
          </w:tcPr>
          <w:p w14:paraId="2A896592"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0" w:type="auto"/>
            <w:vAlign w:val="center"/>
            <w:hideMark/>
          </w:tcPr>
          <w:p w14:paraId="740A6967"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АД “а” — авиационный донный </w:t>
            </w:r>
            <w:hyperlink r:id="rId145" w:history="1">
              <w:r w:rsidRPr="00D03F3E">
                <w:rPr>
                  <w:rStyle w:val="a5"/>
                  <w:rFonts w:ascii="Times New Roman" w:hAnsi="Times New Roman"/>
                  <w:color w:val="000000" w:themeColor="text1"/>
                  <w:sz w:val="16"/>
                  <w:szCs w:val="16"/>
                </w:rPr>
                <w:t>взрыватель</w:t>
              </w:r>
            </w:hyperlink>
            <w:r w:rsidRPr="00D03F3E">
              <w:rPr>
                <w:rFonts w:ascii="Times New Roman" w:hAnsi="Times New Roman"/>
                <w:color w:val="000000" w:themeColor="text1"/>
                <w:sz w:val="16"/>
                <w:szCs w:val="16"/>
              </w:rPr>
              <w:t xml:space="preserve"> мгновенного действия с </w:t>
            </w:r>
            <w:hyperlink r:id="rId146" w:history="1">
              <w:r w:rsidRPr="00D03F3E">
                <w:rPr>
                  <w:rStyle w:val="a5"/>
                  <w:rFonts w:ascii="Times New Roman" w:hAnsi="Times New Roman"/>
                  <w:color w:val="000000" w:themeColor="text1"/>
                  <w:sz w:val="16"/>
                  <w:szCs w:val="16"/>
                </w:rPr>
                <w:t>капсюлем</w:t>
              </w:r>
            </w:hyperlink>
            <w:r w:rsidRPr="00D03F3E">
              <w:rPr>
                <w:rFonts w:ascii="Times New Roman" w:hAnsi="Times New Roman"/>
                <w:color w:val="000000" w:themeColor="text1"/>
                <w:sz w:val="16"/>
                <w:szCs w:val="16"/>
              </w:rPr>
              <w:t xml:space="preserve"> — </w:t>
            </w:r>
            <w:hyperlink r:id="rId147" w:history="1">
              <w:r w:rsidRPr="00D03F3E">
                <w:rPr>
                  <w:rStyle w:val="a5"/>
                  <w:rFonts w:ascii="Times New Roman" w:hAnsi="Times New Roman"/>
                  <w:color w:val="000000" w:themeColor="text1"/>
                  <w:sz w:val="16"/>
                  <w:szCs w:val="16"/>
                </w:rPr>
                <w:t>детонатором</w:t>
              </w:r>
            </w:hyperlink>
          </w:p>
        </w:tc>
        <w:tc>
          <w:tcPr>
            <w:tcW w:w="0" w:type="auto"/>
            <w:vAlign w:val="center"/>
            <w:hideMark/>
          </w:tcPr>
          <w:p w14:paraId="4E7A8CAD"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0" w:type="auto"/>
            <w:vAlign w:val="center"/>
            <w:hideMark/>
          </w:tcPr>
          <w:p w14:paraId="4E73B737"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комплектования противотанковых авиабомб.</w:t>
            </w:r>
          </w:p>
        </w:tc>
      </w:tr>
      <w:tr w:rsidR="00860B4B" w:rsidRPr="00D03F3E" w14:paraId="4AF295C1" w14:textId="77777777" w:rsidTr="00227A2A">
        <w:trPr>
          <w:tblCellSpacing w:w="15" w:type="dxa"/>
        </w:trPr>
        <w:tc>
          <w:tcPr>
            <w:tcW w:w="0" w:type="auto"/>
            <w:vAlign w:val="center"/>
            <w:hideMark/>
          </w:tcPr>
          <w:p w14:paraId="26688F1B"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0" w:type="auto"/>
            <w:vAlign w:val="center"/>
            <w:hideMark/>
          </w:tcPr>
          <w:p w14:paraId="1446C099"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АД “б” — авиационный донный </w:t>
            </w:r>
            <w:hyperlink r:id="rId148" w:history="1">
              <w:r w:rsidRPr="00D03F3E">
                <w:rPr>
                  <w:rStyle w:val="a5"/>
                  <w:rFonts w:ascii="Times New Roman" w:hAnsi="Times New Roman"/>
                  <w:color w:val="000000" w:themeColor="text1"/>
                  <w:sz w:val="16"/>
                  <w:szCs w:val="16"/>
                </w:rPr>
                <w:t>взрыватель</w:t>
              </w:r>
            </w:hyperlink>
            <w:r w:rsidRPr="00D03F3E">
              <w:rPr>
                <w:rFonts w:ascii="Times New Roman" w:hAnsi="Times New Roman"/>
                <w:color w:val="000000" w:themeColor="text1"/>
                <w:sz w:val="16"/>
                <w:szCs w:val="16"/>
              </w:rPr>
              <w:t xml:space="preserve"> мгновенного действия с </w:t>
            </w:r>
            <w:hyperlink r:id="rId149" w:history="1">
              <w:r w:rsidRPr="00D03F3E">
                <w:rPr>
                  <w:rStyle w:val="a5"/>
                  <w:rFonts w:ascii="Times New Roman" w:hAnsi="Times New Roman"/>
                  <w:color w:val="000000" w:themeColor="text1"/>
                  <w:sz w:val="16"/>
                  <w:szCs w:val="16"/>
                </w:rPr>
                <w:t>капсюлем</w:t>
              </w:r>
            </w:hyperlink>
            <w:r w:rsidRPr="00D03F3E">
              <w:rPr>
                <w:rFonts w:ascii="Times New Roman" w:hAnsi="Times New Roman"/>
                <w:color w:val="000000" w:themeColor="text1"/>
                <w:sz w:val="16"/>
                <w:szCs w:val="16"/>
              </w:rPr>
              <w:t xml:space="preserve"> — воспламенителем.</w:t>
            </w:r>
          </w:p>
        </w:tc>
        <w:tc>
          <w:tcPr>
            <w:tcW w:w="0" w:type="auto"/>
            <w:vAlign w:val="center"/>
            <w:hideMark/>
          </w:tcPr>
          <w:p w14:paraId="7957737D" w14:textId="77777777" w:rsidR="009C1EE0" w:rsidRPr="00D03F3E" w:rsidRDefault="009C1EE0" w:rsidP="00D03F3E">
            <w:pPr>
              <w:spacing w:after="0" w:line="240" w:lineRule="auto"/>
              <w:jc w:val="both"/>
              <w:rPr>
                <w:rFonts w:ascii="Times New Roman" w:hAnsi="Times New Roman"/>
                <w:color w:val="000000" w:themeColor="text1"/>
                <w:sz w:val="16"/>
                <w:szCs w:val="16"/>
              </w:rPr>
            </w:pPr>
          </w:p>
        </w:tc>
        <w:tc>
          <w:tcPr>
            <w:tcW w:w="0" w:type="auto"/>
            <w:vAlign w:val="center"/>
            <w:hideMark/>
          </w:tcPr>
          <w:p w14:paraId="2AF66E4F"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комплектования зажигательных авиабомб с донным очком.</w:t>
            </w:r>
          </w:p>
        </w:tc>
      </w:tr>
      <w:tr w:rsidR="00860B4B" w:rsidRPr="00D03F3E" w14:paraId="12851DF4" w14:textId="77777777" w:rsidTr="00227A2A">
        <w:trPr>
          <w:tblCellSpacing w:w="15" w:type="dxa"/>
        </w:trPr>
        <w:tc>
          <w:tcPr>
            <w:tcW w:w="0" w:type="auto"/>
            <w:vAlign w:val="center"/>
            <w:hideMark/>
          </w:tcPr>
          <w:p w14:paraId="5767EAC6"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0" w:type="auto"/>
            <w:vAlign w:val="center"/>
            <w:hideMark/>
          </w:tcPr>
          <w:p w14:paraId="48A689B7"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ПТАБ-2,5— 1,5 противотанковая авиабомба калибра 2,5 кг, вес 1,5</w:t>
            </w:r>
          </w:p>
        </w:tc>
        <w:tc>
          <w:tcPr>
            <w:tcW w:w="0" w:type="auto"/>
            <w:vAlign w:val="center"/>
            <w:hideMark/>
          </w:tcPr>
          <w:p w14:paraId="37FE1EE0"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 “а” — 1 шт.</w:t>
            </w:r>
          </w:p>
        </w:tc>
        <w:tc>
          <w:tcPr>
            <w:tcW w:w="0" w:type="auto"/>
            <w:vAlign w:val="center"/>
            <w:hideMark/>
          </w:tcPr>
          <w:p w14:paraId="2AF358B5"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Применять: по танкам, бронемашинам, артиллерии, мотомех. колоннам и колоннам живой силы противника, по железнодорожным узлам и эшелонам на перегонах,...*</w:t>
            </w:r>
          </w:p>
          <w:p w14:paraId="549EEFB8"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Минимальная высота сбрасывания — 70 м.</w:t>
            </w:r>
          </w:p>
          <w:p w14:paraId="705F491F"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сбрасывании по складам с боеприпасами минимальная высота сбрасывания — 600 м.</w:t>
            </w:r>
          </w:p>
        </w:tc>
      </w:tr>
      <w:tr w:rsidR="00860B4B" w:rsidRPr="00D03F3E" w14:paraId="469E8412" w14:textId="77777777" w:rsidTr="00227A2A">
        <w:trPr>
          <w:tblCellSpacing w:w="15" w:type="dxa"/>
        </w:trPr>
        <w:tc>
          <w:tcPr>
            <w:tcW w:w="0" w:type="auto"/>
            <w:vAlign w:val="center"/>
            <w:hideMark/>
          </w:tcPr>
          <w:p w14:paraId="17DADE81"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0" w:type="auto"/>
            <w:vAlign w:val="center"/>
            <w:hideMark/>
          </w:tcPr>
          <w:p w14:paraId="4296AB91"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ФАБ — 5000 кг — фугасная авиабомба весом 5000 кг.</w:t>
            </w:r>
          </w:p>
        </w:tc>
        <w:tc>
          <w:tcPr>
            <w:tcW w:w="0" w:type="auto"/>
            <w:vAlign w:val="center"/>
            <w:hideMark/>
          </w:tcPr>
          <w:p w14:paraId="2940B610"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АПУВМ —</w:t>
            </w:r>
          </w:p>
          <w:p w14:paraId="32955C3B"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штуки, АВ-1 м — 6 штук</w:t>
            </w:r>
          </w:p>
        </w:tc>
        <w:tc>
          <w:tcPr>
            <w:tcW w:w="0" w:type="auto"/>
            <w:vAlign w:val="center"/>
            <w:hideMark/>
          </w:tcPr>
          <w:p w14:paraId="270003CD"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Применять по особо важным целям по указанию Ставки Верховного Главнокомандующего. Минимальная высота сбрасывания — 3000 м.</w:t>
            </w:r>
          </w:p>
        </w:tc>
      </w:tr>
    </w:tbl>
    <w:p w14:paraId="4A3D9402"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xml:space="preserve">2. Главному инженеру ВВС </w:t>
      </w:r>
      <w:hyperlink r:id="rId150" w:history="1">
        <w:r w:rsidRPr="00D03F3E">
          <w:rPr>
            <w:rStyle w:val="a5"/>
            <w:rFonts w:ascii="Times New Roman" w:hAnsi="Times New Roman"/>
            <w:color w:val="000000" w:themeColor="text1"/>
            <w:sz w:val="16"/>
            <w:szCs w:val="16"/>
          </w:rPr>
          <w:t>Красной</w:t>
        </w:r>
      </w:hyperlink>
      <w:r w:rsidRPr="00D03F3E">
        <w:rPr>
          <w:rFonts w:ascii="Times New Roman" w:hAnsi="Times New Roman"/>
          <w:color w:val="000000" w:themeColor="text1"/>
          <w:sz w:val="16"/>
          <w:szCs w:val="16"/>
        </w:rPr>
        <w:t xml:space="preserve"> Армии обеспечить действующие части ВВС </w:t>
      </w:r>
      <w:hyperlink r:id="rId151" w:history="1">
        <w:r w:rsidRPr="00D03F3E">
          <w:rPr>
            <w:rStyle w:val="a5"/>
            <w:rFonts w:ascii="Times New Roman" w:hAnsi="Times New Roman"/>
            <w:color w:val="000000" w:themeColor="text1"/>
            <w:sz w:val="16"/>
            <w:szCs w:val="16"/>
          </w:rPr>
          <w:t>Красной</w:t>
        </w:r>
      </w:hyperlink>
      <w:r w:rsidRPr="00D03F3E">
        <w:rPr>
          <w:rFonts w:ascii="Times New Roman" w:hAnsi="Times New Roman"/>
          <w:color w:val="000000" w:themeColor="text1"/>
          <w:sz w:val="16"/>
          <w:szCs w:val="16"/>
        </w:rPr>
        <w:t xml:space="preserve"> Армии соответствующими указаниями по эксплуатации и применению новых авиабомб и </w:t>
      </w:r>
      <w:hyperlink r:id="rId152" w:history="1">
        <w:r w:rsidRPr="00D03F3E">
          <w:rPr>
            <w:rStyle w:val="a5"/>
            <w:rFonts w:ascii="Times New Roman" w:hAnsi="Times New Roman"/>
            <w:color w:val="000000" w:themeColor="text1"/>
            <w:sz w:val="16"/>
            <w:szCs w:val="16"/>
          </w:rPr>
          <w:t>взрывателей</w:t>
        </w:r>
      </w:hyperlink>
      <w:r w:rsidRPr="00D03F3E">
        <w:rPr>
          <w:rFonts w:ascii="Times New Roman" w:hAnsi="Times New Roman"/>
          <w:color w:val="000000" w:themeColor="text1"/>
          <w:sz w:val="16"/>
          <w:szCs w:val="16"/>
        </w:rPr>
        <w:t xml:space="preserve">, а командирам частей и соединений — своевременное изучение, правильную эксплуатацию и наиболее эффективное применение новых авиабомб и </w:t>
      </w:r>
      <w:hyperlink r:id="rId153" w:history="1">
        <w:r w:rsidRPr="00D03F3E">
          <w:rPr>
            <w:rStyle w:val="a5"/>
            <w:rFonts w:ascii="Times New Roman" w:hAnsi="Times New Roman"/>
            <w:color w:val="000000" w:themeColor="text1"/>
            <w:sz w:val="16"/>
            <w:szCs w:val="16"/>
          </w:rPr>
          <w:t>взрывателей</w:t>
        </w:r>
      </w:hyperlink>
      <w:r w:rsidRPr="00D03F3E">
        <w:rPr>
          <w:rFonts w:ascii="Times New Roman" w:hAnsi="Times New Roman"/>
          <w:color w:val="000000" w:themeColor="text1"/>
          <w:sz w:val="16"/>
          <w:szCs w:val="16"/>
        </w:rPr>
        <w:t>.</w:t>
      </w:r>
    </w:p>
    <w:p w14:paraId="3763F907"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Заместитель Народного комиссара обороны маршал авиации НОВИКОВ</w:t>
      </w:r>
    </w:p>
    <w:p w14:paraId="11555564"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Ф. 4, оп. 11, д. 76, л. 19. Подлинник (15469).</w:t>
      </w:r>
    </w:p>
    <w:p w14:paraId="11B99A9F" w14:textId="77777777" w:rsidR="009C1EE0" w:rsidRPr="00D03F3E" w:rsidRDefault="009C1EE0" w:rsidP="00D03F3E">
      <w:pPr>
        <w:spacing w:after="0" w:line="240" w:lineRule="auto"/>
        <w:jc w:val="both"/>
        <w:rPr>
          <w:rFonts w:ascii="Times New Roman" w:hAnsi="Times New Roman"/>
          <w:color w:val="000000" w:themeColor="text1"/>
          <w:sz w:val="16"/>
          <w:szCs w:val="16"/>
        </w:rPr>
      </w:pPr>
    </w:p>
    <w:p w14:paraId="20E54867" w14:textId="77777777" w:rsidR="00652CEF" w:rsidRPr="00D03F3E" w:rsidRDefault="00652CE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6 мая 1943 г.</w:t>
      </w:r>
    </w:p>
    <w:p w14:paraId="17175815" w14:textId="77777777" w:rsidR="00652CEF" w:rsidRPr="00D03F3E" w:rsidRDefault="00652CE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ПРИКАЗ О ПРИНЯТИИ НА ВООРУЖЕНИЕ ВВС КРАСНОЙ АРМИИ НОВЫХ АВИАБОМБ И ВЗРЫВАТЕЛЕЙ, ПОРЯДКЕ ИХ КОМПЛЕКТОВАНИЯ И ПРИМЕНЕНИЯ</w:t>
      </w:r>
    </w:p>
    <w:p w14:paraId="759AEE19" w14:textId="77777777" w:rsidR="00652CEF" w:rsidRPr="00D03F3E" w:rsidRDefault="00652CE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0340</w:t>
      </w:r>
      <w:r w:rsidRPr="00D03F3E">
        <w:rPr>
          <w:rFonts w:ascii="Times New Roman" w:hAnsi="Times New Roman"/>
          <w:color w:val="0070C0"/>
          <w:sz w:val="16"/>
          <w:szCs w:val="16"/>
        </w:rPr>
        <w:tab/>
        <w:t>6 мая 1943 г.</w:t>
      </w:r>
    </w:p>
    <w:p w14:paraId="53AD386E" w14:textId="77777777" w:rsidR="00652CEF" w:rsidRPr="00D03F3E" w:rsidRDefault="00652CE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Принять на вооружение ВВС Красной Армии следующие новые авиабомбы и взрыватели, разработанные в 1942—1943 гг.:</w:t>
      </w:r>
    </w:p>
    <w:p w14:paraId="375ABDD6" w14:textId="77777777" w:rsidR="00652CEF" w:rsidRPr="00D03F3E" w:rsidRDefault="00652CE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ab/>
        <w:t>Наименование авиабомб и взрывателей</w:t>
      </w:r>
      <w:r w:rsidRPr="00D03F3E">
        <w:rPr>
          <w:rFonts w:ascii="Times New Roman" w:hAnsi="Times New Roman"/>
          <w:color w:val="0070C0"/>
          <w:sz w:val="16"/>
          <w:szCs w:val="16"/>
        </w:rPr>
        <w:tab/>
        <w:t>Каким  взрывателем  комплектовать</w:t>
      </w:r>
      <w:r w:rsidRPr="00D03F3E">
        <w:rPr>
          <w:rFonts w:ascii="Times New Roman" w:hAnsi="Times New Roman"/>
          <w:color w:val="0070C0"/>
          <w:sz w:val="16"/>
          <w:szCs w:val="16"/>
        </w:rPr>
        <w:tab/>
        <w:t>Основное назначение авиабомб и взрывателей</w:t>
      </w:r>
    </w:p>
    <w:p w14:paraId="2F318778" w14:textId="109E95A8" w:rsidR="00652CEF" w:rsidRPr="00D03F3E" w:rsidRDefault="00652CE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w:t>
      </w:r>
      <w:r w:rsidR="00474574" w:rsidRPr="00D03F3E">
        <w:rPr>
          <w:rFonts w:ascii="Times New Roman" w:hAnsi="Times New Roman"/>
          <w:color w:val="0070C0"/>
          <w:sz w:val="16"/>
          <w:szCs w:val="16"/>
        </w:rPr>
        <w:t xml:space="preserve"> </w:t>
      </w:r>
      <w:r w:rsidRPr="00D03F3E">
        <w:rPr>
          <w:rFonts w:ascii="Times New Roman" w:hAnsi="Times New Roman"/>
          <w:color w:val="0070C0"/>
          <w:sz w:val="16"/>
          <w:szCs w:val="16"/>
        </w:rPr>
        <w:t>АД «а» — авиационный донный взрыватель мгновенного действия с капсюлем — детонатором</w:t>
      </w:r>
      <w:r w:rsidRPr="00D03F3E">
        <w:rPr>
          <w:rFonts w:ascii="Times New Roman" w:hAnsi="Times New Roman"/>
          <w:color w:val="0070C0"/>
          <w:sz w:val="16"/>
          <w:szCs w:val="16"/>
        </w:rPr>
        <w:tab/>
        <w:t>—</w:t>
      </w:r>
      <w:r w:rsidRPr="00D03F3E">
        <w:rPr>
          <w:rFonts w:ascii="Times New Roman" w:hAnsi="Times New Roman"/>
          <w:color w:val="0070C0"/>
          <w:sz w:val="16"/>
          <w:szCs w:val="16"/>
        </w:rPr>
        <w:tab/>
        <w:t>Для комплектования противотанковых авиабомб.</w:t>
      </w:r>
    </w:p>
    <w:p w14:paraId="1A26E06F" w14:textId="63DFFBCD" w:rsidR="00652CEF" w:rsidRPr="00D03F3E" w:rsidRDefault="00652CE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w:t>
      </w:r>
      <w:r w:rsidR="00474574" w:rsidRPr="00D03F3E">
        <w:rPr>
          <w:rFonts w:ascii="Times New Roman" w:hAnsi="Times New Roman"/>
          <w:color w:val="0070C0"/>
          <w:sz w:val="16"/>
          <w:szCs w:val="16"/>
        </w:rPr>
        <w:t xml:space="preserve"> </w:t>
      </w:r>
      <w:r w:rsidRPr="00D03F3E">
        <w:rPr>
          <w:rFonts w:ascii="Times New Roman" w:hAnsi="Times New Roman"/>
          <w:color w:val="0070C0"/>
          <w:sz w:val="16"/>
          <w:szCs w:val="16"/>
        </w:rPr>
        <w:t>АД «б» — авиационный дон ный взрыватель мгновенного действия с капсюлем — воспламенителем.</w:t>
      </w:r>
      <w:r w:rsidRPr="00D03F3E">
        <w:rPr>
          <w:rFonts w:ascii="Times New Roman" w:hAnsi="Times New Roman"/>
          <w:color w:val="0070C0"/>
          <w:sz w:val="16"/>
          <w:szCs w:val="16"/>
        </w:rPr>
        <w:tab/>
      </w:r>
      <w:r w:rsidRPr="00D03F3E">
        <w:rPr>
          <w:rFonts w:ascii="Times New Roman" w:hAnsi="Times New Roman"/>
          <w:color w:val="0070C0"/>
          <w:sz w:val="16"/>
          <w:szCs w:val="16"/>
        </w:rPr>
        <w:tab/>
        <w:t>Для комплектования зажигательных авиабоб с донным очком.</w:t>
      </w:r>
    </w:p>
    <w:p w14:paraId="607CD3FF" w14:textId="7F5EF93D" w:rsidR="00652CEF" w:rsidRPr="00D03F3E" w:rsidRDefault="00652CE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w:t>
      </w:r>
      <w:r w:rsidR="00474574" w:rsidRPr="00D03F3E">
        <w:rPr>
          <w:rFonts w:ascii="Times New Roman" w:hAnsi="Times New Roman"/>
          <w:color w:val="0070C0"/>
          <w:sz w:val="16"/>
          <w:szCs w:val="16"/>
        </w:rPr>
        <w:t xml:space="preserve"> </w:t>
      </w:r>
      <w:r w:rsidRPr="00D03F3E">
        <w:rPr>
          <w:rFonts w:ascii="Times New Roman" w:hAnsi="Times New Roman"/>
          <w:color w:val="0070C0"/>
          <w:sz w:val="16"/>
          <w:szCs w:val="16"/>
        </w:rPr>
        <w:t>ПТАБ-2,5—1,5 противотанковая авиабомба калибра 2,5 кг, вес 1,532</w:t>
      </w:r>
      <w:r w:rsidRPr="00D03F3E">
        <w:rPr>
          <w:rFonts w:ascii="Times New Roman" w:hAnsi="Times New Roman"/>
          <w:color w:val="0070C0"/>
          <w:sz w:val="16"/>
          <w:szCs w:val="16"/>
        </w:rPr>
        <w:tab/>
        <w:t>АД «а» — 1 шт.</w:t>
      </w:r>
      <w:r w:rsidRPr="00D03F3E">
        <w:rPr>
          <w:rFonts w:ascii="Times New Roman" w:hAnsi="Times New Roman"/>
          <w:color w:val="0070C0"/>
          <w:sz w:val="16"/>
          <w:szCs w:val="16"/>
        </w:rPr>
        <w:tab/>
        <w:t>Применять: по танкам, бронемашинам, артил- лерии, мотомех. колоннам и колоннам живой силы противника, по железнодорожным узлам и эшелонам на перегонах,...*  Минимальная высота сбрасывания — 70 м. При сбрасывании по складам с боеприпасами минимальная высота сбрасывания — 600 м.</w:t>
      </w:r>
    </w:p>
    <w:p w14:paraId="2FDDB707" w14:textId="1FBF4F29" w:rsidR="00652CEF" w:rsidRPr="00D03F3E" w:rsidRDefault="00652CE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w:t>
      </w:r>
      <w:r w:rsidR="00474574" w:rsidRPr="00D03F3E">
        <w:rPr>
          <w:rFonts w:ascii="Times New Roman" w:hAnsi="Times New Roman"/>
          <w:color w:val="0070C0"/>
          <w:sz w:val="16"/>
          <w:szCs w:val="16"/>
        </w:rPr>
        <w:t xml:space="preserve"> </w:t>
      </w:r>
      <w:r w:rsidRPr="00D03F3E">
        <w:rPr>
          <w:rFonts w:ascii="Times New Roman" w:hAnsi="Times New Roman"/>
          <w:color w:val="0070C0"/>
          <w:sz w:val="16"/>
          <w:szCs w:val="16"/>
        </w:rPr>
        <w:t>ФАБ — 5000 кг — фугасная авиабомба весом 5000 кг.</w:t>
      </w:r>
      <w:r w:rsidRPr="00D03F3E">
        <w:rPr>
          <w:rFonts w:ascii="Times New Roman" w:hAnsi="Times New Roman"/>
          <w:color w:val="0070C0"/>
          <w:sz w:val="16"/>
          <w:szCs w:val="16"/>
        </w:rPr>
        <w:tab/>
        <w:t>АПУВМ — 2 штуки, АВ-1 м — 6 штук</w:t>
      </w:r>
      <w:r w:rsidRPr="00D03F3E">
        <w:rPr>
          <w:rFonts w:ascii="Times New Roman" w:hAnsi="Times New Roman"/>
          <w:color w:val="0070C0"/>
          <w:sz w:val="16"/>
          <w:szCs w:val="16"/>
        </w:rPr>
        <w:tab/>
        <w:t>Применять по особо важным целям по указанию Ставки Верховного Главнокомандующего. Ми- нимальная высота сбрасывания — 3000 м.</w:t>
      </w:r>
    </w:p>
    <w:p w14:paraId="67C355C4" w14:textId="77777777" w:rsidR="00652CEF" w:rsidRPr="00D03F3E" w:rsidRDefault="00652CE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Главному инженеру ВВС Красной Армии обеспечить действующие части ВВС Красной Армии соответствующими указаниями по эксплуатации и применению новых авиабомб и взрывателей, а командирам частей и соединений — своевременное изучение, правильную эксплуатацию и наиболее эффективное применение новых авиабомб и взрывателей.</w:t>
      </w:r>
    </w:p>
    <w:p w14:paraId="4BBE3252" w14:textId="77777777" w:rsidR="00652CEF" w:rsidRPr="00D03F3E" w:rsidRDefault="00652CE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Заместитель Народного комиссара обороны маршал авиации НОВИКОВ</w:t>
      </w:r>
    </w:p>
    <w:p w14:paraId="5A9D3FC4" w14:textId="77777777" w:rsidR="00652CEF" w:rsidRPr="00D03F3E" w:rsidRDefault="00652CE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Ф. 4, оп. 11, д. 76, л. 19. Подлинник (21096).</w:t>
      </w:r>
    </w:p>
    <w:p w14:paraId="5DA42315" w14:textId="77777777" w:rsidR="00652CEF" w:rsidRPr="00D03F3E" w:rsidRDefault="00652CEF" w:rsidP="00D03F3E">
      <w:pPr>
        <w:spacing w:after="0" w:line="240" w:lineRule="auto"/>
        <w:jc w:val="both"/>
        <w:rPr>
          <w:rFonts w:ascii="Times New Roman" w:hAnsi="Times New Roman"/>
          <w:color w:val="0070C0"/>
          <w:sz w:val="16"/>
          <w:szCs w:val="16"/>
        </w:rPr>
      </w:pPr>
    </w:p>
    <w:p w14:paraId="186D8F92"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3E29844B" w14:textId="77777777" w:rsidR="00531570" w:rsidRPr="00D03F3E" w:rsidRDefault="00531570" w:rsidP="00D03F3E">
      <w:pPr>
        <w:pStyle w:val="Iauiue"/>
        <w:jc w:val="both"/>
        <w:rPr>
          <w:iCs/>
          <w:color w:val="000000" w:themeColor="text1"/>
          <w:sz w:val="16"/>
          <w:szCs w:val="16"/>
        </w:rPr>
      </w:pPr>
    </w:p>
    <w:p w14:paraId="59C50A2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мая 1943 вышло Постановление ГКО № 3292 О материально-техническом обеспечении танковой промышленности во II квартале 1943 года.РГАНИР, Фонд ГКО, д. 113, лл. 55-89, 90-159 (11012).</w:t>
      </w:r>
    </w:p>
    <w:p w14:paraId="77249E3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2D68875"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6 мая 1943 вышло Распоряжение ГКО № 3293 [О перебазировании строительства радиомаяка для АДД из р-на Курска в р-н Воронежа.] (7103, 160).</w:t>
      </w:r>
    </w:p>
    <w:p w14:paraId="0B3DE0AD" w14:textId="77777777" w:rsidR="00531570" w:rsidRPr="00D03F3E" w:rsidRDefault="00531570" w:rsidP="00D03F3E">
      <w:pPr>
        <w:pStyle w:val="Iauiue"/>
        <w:tabs>
          <w:tab w:val="left" w:pos="11199"/>
        </w:tabs>
        <w:jc w:val="both"/>
        <w:rPr>
          <w:color w:val="000000" w:themeColor="text1"/>
          <w:sz w:val="16"/>
          <w:szCs w:val="16"/>
        </w:rPr>
      </w:pPr>
    </w:p>
    <w:p w14:paraId="5FE0FD1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мая 1943 вышло Постановление ГКО № 3294 О формировании на территории СССР польской стрелковой дивизии им. Т. Костюшко.РГАНИР, Фонд ГКО, д. 113, лл. 161-162 (11012).</w:t>
      </w:r>
    </w:p>
    <w:p w14:paraId="555AA76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1D44BBF"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186A9C81" w14:textId="77777777" w:rsidR="00531570" w:rsidRPr="00D03F3E" w:rsidRDefault="00531570" w:rsidP="00D03F3E">
      <w:pPr>
        <w:pStyle w:val="Iauiue"/>
        <w:jc w:val="both"/>
        <w:rPr>
          <w:iCs/>
          <w:color w:val="000000" w:themeColor="text1"/>
          <w:sz w:val="16"/>
          <w:szCs w:val="16"/>
        </w:rPr>
      </w:pPr>
    </w:p>
    <w:p w14:paraId="4D02CA98"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мая в 1943 году утреннее сообщение Совинформбюро:</w:t>
      </w:r>
    </w:p>
    <w:p w14:paraId="7F22F8DD"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6 мая на Кубани, северо-восточнее Новороссийска, наши войска продолжали вести бои с противником. На других участках фронта существенных изменений не произошло.</w:t>
      </w:r>
    </w:p>
    <w:p w14:paraId="7BB239B5"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северо-восточнее Новороссийска, продолжались ожесточённые бои. Бойцы Н-ского соединения преодолели многочисленные оборонительные сооружения и захватали несколько опорных пунктов противника. Немецкие войска понесли в этих боях большие потери в живой силе и технике. Только на одном участке уничтожено до 400 немецких солдат и офицеров. Взяты пленные и трофеи.</w:t>
      </w:r>
    </w:p>
    <w:p w14:paraId="7F5CC5AB"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истребили до 200 немецких солдат и офицеров, уничтожили 5 пулемётов и подавили огонь. 6 артиллерийских батарей противника.</w:t>
      </w:r>
    </w:p>
    <w:p w14:paraId="25182723"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в воздушном бою сбили 2 немецких самолёта.</w:t>
      </w:r>
    </w:p>
    <w:p w14:paraId="2AA2207D"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усиленная разведывательная группа Н-ской части ворвалась в расположение противника и заняла ряд окопов и траншей. Пытаясь восстановить положение, немцы предприняли одну за другой четыре контратаки. Наши бойцы отбили все контратаки гитлеровцев и уничтожили до 200 немецких солдат и офицеров.</w:t>
      </w:r>
    </w:p>
    <w:p w14:paraId="28C52CC9"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разведывательная группа под командованием старшего лейтенанта Горбачёва ночью проникла в расположение противника. В рукопашной схватке наши бойцы перебили несколько десятков гитлеровцев, разрушили 2 блиндажа и захватили пленных. Наблюдатель тов. Ковалёв заметил немецкого снайпера, выдвинувшегося к советским окопам. Тов. Ковалёв скрытно подполз к гитлеровцу и захватил его в плен.</w:t>
      </w:r>
    </w:p>
    <w:p w14:paraId="2F53D889"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Нашей авиацией в воздушных боях сбито 4 немецких самолёта.</w:t>
      </w:r>
    </w:p>
    <w:p w14:paraId="3EA6DE7B"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Калининском фронте огнём нашей артиллерии разрушено 8 немецких дзотов и блиндажей, подавлен огонь 5 артиллерийских и 3 миномётных батарей, рассеяно и частью уничтожено до роты пехоты противника.</w:t>
      </w:r>
    </w:p>
    <w:p w14:paraId="22B1DEF1"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белорусских партизан «Смерть фашизму» в течение нескольких дней вёл упорные бои против крупной карательной экспедиции немцев, действовавшей при поддержке танков и авиации. Советские патриоты подбили и сожгли несколько вражеских танков и истребили 270 гитлеровцев. Группа подрывников другого партизанского отряда пустила под откос 4 немецких воинских эшелона. Разбито 3 паровоза, 15 вагонов с боеприпасами, 4 вагона с солдатами и офицерами и 9 вагонов с вооружением.</w:t>
      </w:r>
    </w:p>
    <w:p w14:paraId="1CC27741"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Захваченный на Кубани в плен ефрейтор 7 роты 66 мотострелкового полка 13 немецкой танковой дивизии Иозеф Малек рассказал: «Мне пришлось воевать всего лишь несколько дней. На фронт я прибыл в апреле в составе маршевого батальона. Солдаты с пренебрежением отзываются о пополнении и говорят: «Если кадровые войска не могли одолеть Россию, что же смогут сделать пожилые парикмахеры, торговцы, официанты, кельнеры, которых сейчас тысячами гонят на фронт».</w:t>
      </w:r>
    </w:p>
    <w:p w14:paraId="6B65B8D3"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Польские патриоты разрушили на одном предприятии доменную печь и подожгли несколько заводских зданий. В районе Серпца польские партизаны пустили под откос немецкий воинский эшелон, а в районе Бродниц организовали крушение поезда, груженного углём. В Варшаве патриоты убили на улице двух немецких чиновников. Один из них занимал высокий пост в немецком бюро труда и проявлял исключительную жестокость при насильственной отправке поляков на каторгу в Германию.» (14883).</w:t>
      </w:r>
    </w:p>
    <w:p w14:paraId="38706A0B" w14:textId="77777777" w:rsidR="009C1EE0" w:rsidRPr="00D03F3E" w:rsidRDefault="009C1EE0" w:rsidP="00D03F3E">
      <w:pPr>
        <w:spacing w:after="0" w:line="240" w:lineRule="auto"/>
        <w:jc w:val="both"/>
        <w:rPr>
          <w:rFonts w:ascii="Times New Roman" w:hAnsi="Times New Roman"/>
          <w:color w:val="000000" w:themeColor="text1"/>
          <w:sz w:val="16"/>
          <w:szCs w:val="16"/>
        </w:rPr>
      </w:pPr>
    </w:p>
    <w:p w14:paraId="4BA0F758"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мая в 1943 году вечернее сообщение Совинформбюро:</w:t>
      </w:r>
    </w:p>
    <w:p w14:paraId="793DD284"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6 мая на Кубани, северо-восточнее Новороссийска, немцы предприняли пять контратак, одна яростнее другой, с целью вернуть себе Неберджаевскую и Старый Абагум. Нашими войсками отбиты все атаки противника с большими для него потерями. Немецкие войска отброшены на запад.</w:t>
      </w:r>
    </w:p>
    <w:p w14:paraId="53C21334"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ничего существенного не произошло.</w:t>
      </w:r>
    </w:p>
    <w:p w14:paraId="57679877"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кораблями в Баренцевом море потоплены транспорт и тральщик противника.</w:t>
      </w:r>
    </w:p>
    <w:p w14:paraId="3C51009F"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в районе северо-восточнее Новороссийска, продолжались бои. Опираясь на многочисленные оборонительные сооружения, немцы пытались задержать продвижение советских войск и предприняли ряд контратак. Бои неоднократно переходили в рукопашные схватки. Части Н-ского соединения, преодолевая упорное сопротивление противника, продвинулись вперёд и заняли ряд высот, имеющих важное значение. Только на одном участке немцы потеряли убитыми до 1.500 солдат и офицеров. Уничтожено 6 немецких танков, захвачено 15 орудий, 32 пулемёта, 13 миномётов и 6 складов с боеприпасами и военным имуществом.</w:t>
      </w:r>
    </w:p>
    <w:p w14:paraId="0A91A31D"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Наша авиация активно поддерживала действия наземных войск. Бомбовыми ударами советские лётчики уничтожили несколько немецких танков, 25 орудий, взорвали склад боеприпасов и вывели из строя большое количество солдат противника.</w:t>
      </w:r>
    </w:p>
    <w:p w14:paraId="102B50BA"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уничтожили до 300 немецких солдат и офицеров. Огнём артиллерии разбито 4 вражеских блиндажа. 2 наблюдательных пункта, тяжёлое орудие и несколько повозок с боеприпасами.</w:t>
      </w:r>
    </w:p>
    <w:p w14:paraId="68C4A418"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противник предпринял разведку боем. B результате непродолжительной схватки немцы были отброшены, оставив на поле боя до 100 трупов солдат и офицеров. На соседнем участке наша разведывательная группа ворвалась в окопы противника и уничтожила 20 гитлеровцев.</w:t>
      </w:r>
    </w:p>
    <w:p w14:paraId="5AD81338"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наши артиллеристы подавили огонь 2 артиллерийских и 2 миномётных батарей противника. Выстрелом из противотанкового ружья красноармеец т. Пырсин подбил немецкий самолёт «Юнкерс-88». Самолёт приземлился на переднем крае обороны противника и был уничтожен огнём нашей артиллерии.</w:t>
      </w:r>
    </w:p>
    <w:p w14:paraId="2E6637C4"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Западнее Ростова-на-Дону происходила перестрелка. Наши артиллеристы разрушили 3 немецких дзота, подавили огонь 5 артиллерийских батарей и рассеяли автоколонну противника. Снайперы тт. Лось, Костоглотов и Сучков за два дня истребили 18 гитлеровцев.</w:t>
      </w:r>
    </w:p>
    <w:p w14:paraId="22762DAD"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имени XXV годовщины Красной Армии, действующий в одном израйонов Украины, совершил нападение на немецкую автоколонну. Партизан Тарасбутылкой с зажигательной смесью поджёг бронемашину. Другие партизаны уничтожили 6 грузовых автомашин и истребили 40 гитлеровцев. Партизанский отряд имени Щорса взорвал немецкий эшелон с боеприпасами. Паровоз и 10 вагонов взлетели на воздух. Движение поездов на этом участке железной дороги было приостановлено на двое суток.</w:t>
      </w:r>
    </w:p>
    <w:p w14:paraId="2AC306AA"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Крымской на сторону Красной Армии перешёл солдат 97 немецкой горнострелковой дивизии. Георг К. Перебежчик рассказал: «Офицеры неоднократноговорили, что мы должны удержать свои позиции любой ценой. Однако русские открыли бешеный огонь из пушек и миномётов. Несколько часов нельзя было поднять голову. У разбитых блиндажей и дзотов, в окопах и траншеях валялось много трупов немцев и румын. Отступая, немецкие и румынские части бросали раненых на произвол судьбы. B районе Крымской похоронено очень много немцев. Парк в станице превращен в солдатское кладбище. Я знаю, что там имеется более тысячи могил».</w:t>
      </w:r>
    </w:p>
    <w:p w14:paraId="16E35FCF" w14:textId="77777777" w:rsidR="009C1EE0" w:rsidRPr="00D03F3E" w:rsidRDefault="009C1EE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сровняли с землёй деревню Черневичи, Минской области. Они сожгли все дома колхозников. Большинство жителей заблаговременно скрылось в лесах. Над оставшимися в деревне стариками и женщинами с детьми немецкие палачи учинили зверскую расправу.» (14883).</w:t>
      </w:r>
    </w:p>
    <w:p w14:paraId="2BDF3695" w14:textId="77777777" w:rsidR="009C1EE0" w:rsidRPr="00D03F3E" w:rsidRDefault="009C1EE0" w:rsidP="00D03F3E">
      <w:pPr>
        <w:spacing w:after="0" w:line="240" w:lineRule="auto"/>
        <w:jc w:val="both"/>
        <w:rPr>
          <w:rFonts w:ascii="Times New Roman" w:hAnsi="Times New Roman"/>
          <w:color w:val="000000" w:themeColor="text1"/>
          <w:sz w:val="16"/>
          <w:szCs w:val="16"/>
        </w:rPr>
      </w:pPr>
    </w:p>
    <w:p w14:paraId="2D3DB651"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6 мая 1943 Александр Ефимов вспоминал.</w:t>
      </w:r>
    </w:p>
    <w:p w14:paraId="33880024" w14:textId="77777777" w:rsidR="006B25EE" w:rsidRPr="00D03F3E" w:rsidRDefault="006B25EE"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«Еще не светало, когда нас поднял дежурный. Быстро вскочили и стали собираться. Сна как и не бывало. Приняли легкий завтрак. Слышно, как на стоянках гудят моторы. Это наши техники и механики готовят штурмовики к вылету …</w:t>
      </w:r>
    </w:p>
    <w:p w14:paraId="037A4032" w14:textId="77777777" w:rsidR="006B25EE" w:rsidRPr="00D03F3E" w:rsidRDefault="006B25EE"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Пора. Отдаются последние указания, порядок выруливания на старт остается без изменения. Звучит привычная команда:</w:t>
      </w:r>
    </w:p>
    <w:p w14:paraId="03FD6CD9" w14:textId="77777777" w:rsidR="006B25EE" w:rsidRPr="00D03F3E" w:rsidRDefault="006B25EE"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 По самолетам!»</w:t>
      </w:r>
    </w:p>
    <w:p w14:paraId="2C457A87"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Сам же он получил задание следовать последним и сфотографировать результаты атаки.</w:t>
      </w:r>
    </w:p>
    <w:p w14:paraId="007A61A4"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Еще в предрассветных сумерках штурмовики и истребители начали один за другим подниматься в воздух. Все более или менее опытные летчики испытывали большое волнение, поскольку знали, что атака аэродрома сопряжена с большим риском. Чтобы облегчить взлет малоопытных пилотов, а таких было большинство, на аэродромах были включены прожекторы и зажжены костры. Поднялись в воздух и 12 Ил-2 из 800-го шап. С трудом собравшись в общий боевой порядок, группа из 24 самолетов на высоте 1500 метров полетела к линии фронта. Истребители шли сзади и по флангам, дабы не потерять Илы из виду. Всего на фронте протяженностью 1200 километров в воздух поднялись 156 Ил-2, а также 112 бомбардировщиков и 166 истребителей. Большинство ударных групп насчитывали по 15–20 машин.</w:t>
      </w:r>
    </w:p>
    <w:p w14:paraId="720086D3"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То утро на немецком аэродроме Краматорск не предвещало ничего необычного. Здесь, кроме прочих частей, базировалась румынская истребительная авиагруппа Gr.7Van. В 3.45 по берлинскому времени оттуда взлетела пара Bf-109G, которые пилотировали адъютанты Ион Милу и Георге Фиру. Под фюзеляжами «Мессершмиттов» были подвешены 250-кг фугасные бомбы, которые, согласно полетному заданию, надо было сбросить на советские позиции. Вскоре после взлета румынские летчики увидели 18 Ил-2, идущих на высоте 2000 метров с эскортом истребителей в направлении их аэродрома. Это были «черные смерти» из 299-го и 775-го шап, вылетевшие с аэродрома Новая Дуванка.</w:t>
      </w:r>
    </w:p>
    <w:p w14:paraId="194139FA"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Выполнив задание, оба «Мессершмитта» на максимальной скорости вернулись к Краматорску и атаковали «Лавочкины», пытавшиеся блокировать их аэродром. Это позволило взлететь еще трем румынским «Мессершмиттам», которые принадлежали локотененту Тудору Грекеану, сублокотененту Николае Нагирнеаку и адъютанту Христеа Чирвысыуте. Последний сразу после взлета был атакован Ла-5 и совершил вынужденную посадку. В ходе боя 41-летнему Милу удалось сбить сразу три самолета, а еще один — 35-летнему Грекеану. При этом «Мессершмитт» Милу тоже получил попадание в топливный бак и начал стремительно терять горючее. Милу был вынужден выйти из боя и в 4.20 благополучно приземлился в Краматорске.</w:t>
      </w:r>
    </w:p>
    <w:p w14:paraId="7659EB6E"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Советское описание этого боя выглядит несколько иначе. Когда ударная группа подошла к Краматорску, в воздухе были замечены четыре Bf-109G и два FW-190, с которыми вступила в бой четверка Ла-5 из 5-го гв. иап. Затем со стороны Константиновки подошли еще шесть-семь «Мессершмиттов». Завязалась ожесточенная воздушная схватка. Отражая атаку двух истребителей на «Лавочкин» своего ведущего, лейтенант Глинкин атаковал и сбил один «Мессершмитт», который затем упал на окраине аэродрома. Два Ла-5 получили повреждения и совершили вынужденные посадки на своей территории.</w:t>
      </w:r>
    </w:p>
    <w:p w14:paraId="72A9E354"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Тем временем подошли Илы и начали штурмовку аэродрома. Первая группа отбомбилась более или менее организованно, хотя и неточно, а вот «горбатые» из 775-го шап атаковали поодиночке, с разных высот и углов, в общем, как бог на душу положит. Согласно докладам экипажей Ил-2, на земле было уничтожено тринадцать самолетов и еще восемь повреждено. Фактически же был уничтожен лишь один Bf-109G-4 из III./JG3 «Удет» и еще один «Мессершмитт» из той же группы получил повреждения. Сам аэродром от налета пострадал незначительно. Атакующие потеряли один Ил, а еще четыре вернулись обратно с различными повреждениями.</w:t>
      </w:r>
    </w:p>
    <w:p w14:paraId="7A82FDD4"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В это же время советские штурмовики появились и над другими авиабазами люфтваффе, среди которых был аэродром, носивший название Харьков-Алешки. Михаил Степанов, который тогда вел первую, идущую клином, группу Ил-2 из 800-го шап, рассказывал:</w:t>
      </w:r>
    </w:p>
    <w:p w14:paraId="0E50B903" w14:textId="77777777" w:rsidR="006B25EE" w:rsidRPr="00D03F3E" w:rsidRDefault="006B25EE"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«К аэродрому группа подошла на высоте 800–900 м. С этой высоты была произведена атака с углом планирования до 30 градусов до высоты 200–300 м, бомбами, «PC» и пулеметно-пушечным огнем. Каждое звено штурмовало выделенную для него цель. Уход от цели после атаки был произведен правым разворотом с дальнейшим снижением до бреющего полета на лесной массив восточнее аэродрома».</w:t>
      </w:r>
    </w:p>
    <w:p w14:paraId="49D65978"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Внизу на земле наблюдались многочисленные взрывы и столбы огня, поэтому летчикам показалось, что их бомбы и снаряды поразили цели. По мнению Степанова и его сослуживцев, в результате штурмовки было уничтожено два Ju-88 и девять Bf-109, а также «одна радиостанция на автомашине» и др. На самом же деле аэродром не пострадал. В то же время еще на подходе к цели немецкими истребителями были сбиты два Як-1 из 183-го иап, входившие в прикрытие штурмовиков.</w:t>
      </w:r>
    </w:p>
    <w:p w14:paraId="3F331EF8"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К аэродрому Харьков-Рогань приближались 12 Ил-2 из 673-го шап майора А. П. Матикова. Их сопровождали 18 Ла-5 из 302-й иад. «Горбатые» шли на высоте 400 метров, будя надсадным ревом своих моторов мирно спавших жителей сел и деревень. При подходе к цели пилоты приглушили двигатели и в 5.20 с планирования нанесли удар по «скоплениям» немецких истребителей. Противовоздушная оборона здесь оказалась довольно слабой или же была застигнута врасплох, и потому пилоты штурмовиков действовали как на полигоне. Впрочем, эффекта от этих действий не было никакого, кроме красочного фейерверка, испортившего немцам последние часы сна. На земле не пострадали ни один самолет и ни один летчик.</w:t>
      </w:r>
    </w:p>
    <w:p w14:paraId="2737E9C9"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Наиболее успешным по сравнению с другими оказался удар по аэродрому Сещинская. Эту авиабазу, удобно расположенную возле небольшой станции с одноименным названием на железной дороге Смоленск — Брянск, немцы начали использовать с октября 1941 г. Главным образом здесь базировались бомбардировщики Не-111 и Ju-88 из различных эскадр, но дольше всех «Хейнкели» из KG4 «Генерал Вефер». Взлетая из Сещинской, летчики люфтваффе в течение полутора лет совершали ночные налеты на Москву, Ярославль, Горький, Тулу, атаковали коммуникации в советском тылу. За это время сложилась развитая аэродромная инфраструктура: многочисленные стоянки и рулежки, взлетные полосы во всех направлениях, замаскированные склады и хранилища топлива, ложные стоянки самолетов, большое количество зениток и прожекторов. На авиабазу работало почти все население Сещинской.</w:t>
      </w:r>
    </w:p>
    <w:p w14:paraId="271087C2"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Попытки нанести удар по этому аэродрому советские ВВС предпринимали с ноября 1941 г. Почти все они заканчивались безуспешно в силу плохой организации и сильной противовоздушной обороны. Кроме того, база находилась на пределе дальности самолетов Ил-2, в результате чего летчики думали не столько о точности бомбометания, всегда проводившегося прямолинейно с одного захода и залпом, сколько о том, как бы дотянуть до дома. Попала Сещинская и в список целей для ударов утром 6 мая 1943 г.</w:t>
      </w:r>
    </w:p>
    <w:p w14:paraId="4034D8BF"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Согласно детально продуманному плану, удар по этому объекту наносили штурмовики из 224-й шад полковника М. В. Котельникова. Ударные группы были разделены на действующие по самолетам и по зениткам. Полет к цели предполагался по детально разработанному маршруту на малой высоте. Это должно было обеспечить внезапность. Впрочем, на последнюю все равно мало кто рассчитывал, все опытные летчики знали, что выйти в район Сещинской внезапно еще никому не удавалось. Немцы использовали здесь мобильные наземные РЛС и потому могли заблаговременно приводить свою ПВО в боевую готовность.</w:t>
      </w:r>
    </w:p>
    <w:p w14:paraId="466BE4DD"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В результате первая ударная группа из 565-го шап уже на подходе к цели была встречена сильнейшим зенитным огнем. В воздухе одновременно с грохотом взрывались сотни снарядов, образуя белые и розовые облачка. В кабины летчиков врывался кислый запах паленого тротила. Ведущий группы, он же штурман полка, капитан Г. Д. Корниенко принял решение атаковать аэродром с одного захода. Встряхиваемые взрывами Илы один за другим пошли в атаку.</w:t>
      </w:r>
    </w:p>
    <w:p w14:paraId="3437C515"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В итоге, несмотря на бешеный огонь зениток, некоторым машинам удалось прорваться к цели и сбросить бомбы на самолетные стоянки. При этом сбитый штурмовик младшего лейтенанта Ю. Ф. Симонова рухнул прямо на тщательно замаскированный Не-111. Затем советские пилоты заявили о 25–30 якобы уничтоженных самолетах. Подтвердить это оказалось затруднительно, поскольку на фотоснимках, сделанных замыкающим Илом, трудно было что-либо разобрать.</w:t>
      </w:r>
    </w:p>
    <w:p w14:paraId="5A908574"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Впоследствии сами немцы признали, что удар «цементбомберов» по аэродрому Сещинская оказался результативным. Но их потери были далеко не столь огромными. Люфтваффе лишились трех самолетов: He-111H-11 и Не-111Р-2 из штабного звена KG4 и He-111Н-6 из 4-й эскадрильи той же эскадры, еще три «Хейнкеля» были повреждены. Также незначительные повреждения получил Ju-88A-14 из KG1 «Гинденбург». Погиб один человек, и еще трое отделались ранениями[56].</w:t>
      </w:r>
    </w:p>
    <w:p w14:paraId="755C9046"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Шестнадцать Ил-2 из 41-й шап в сопровождении истребителей 286-й иад атаковали аэродром Орел, который в советских документах значился как «Орел-Гражданский». Внезапной атаки и тут не вышло. Штурмовиков встретил сильный и точный огонь зенитных батарей, располагавшихся на окраине города и вокруг аэродрома. Тем не менее «горбатые» продолжали идти на цель, зато пилоты истребителей эскорта, испугавшись близких разрывов снарядов, ушли на большую высоту и отстали, оставив своих подопечных без прикрытия. Бомбометание производили кто как мог. Только ведущие целились в стоянки самолетов, остальные бросали уже наугад.</w:t>
      </w:r>
    </w:p>
    <w:p w14:paraId="7B17C529"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 xml:space="preserve">После выхода из атаки строй штурмовиков, вокруг которых с грохотом кучно рвались зенитные снаряды, развалился, неопытные летчики отстали. Но самое худшее </w:t>
      </w:r>
      <w:r w:rsidRPr="00D03F3E">
        <w:rPr>
          <w:color w:val="000000" w:themeColor="text1"/>
          <w:sz w:val="16"/>
          <w:szCs w:val="16"/>
        </w:rPr>
        <w:lastRenderedPageBreak/>
        <w:t>было еще впереди. На обратном пути группу атаковали внезапно появившиеся немецкие истребители. Заходя со стороны солнца, они начали методичный отстрел штурмовиков. Бортстрелки Ил-2 отчаянно отбивались, паля из своих 12,7-мм пулеметов, пилоты пытались маневрировать. Однако все было бесполезно. Одна за другой горящие машины падали на землю. Некоторые взрывались в воздухе, разлетаясь на куски. Погибающие экипажи посылали десятки проклятий в адрес своих коллег-истребителей, но те бесследно растворились в воздухе…</w:t>
      </w:r>
    </w:p>
    <w:p w14:paraId="59F3C049"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В итоге на свой аэродром вернулся лишь один изрешеченный пулями и снарядами штурмовик капитана Федорова. Сам пилот и его бортстрелок Исаев были тяжело ранены, и их немедленно отправили в госпиталь. Таким образом, вылет закончился полным крахом. Затем ту же цель безуспешно атаковали еще и двухмоторные бомбардировщики.</w:t>
      </w:r>
    </w:p>
    <w:p w14:paraId="77249D3D"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В штурмовом ударе по аэродрому Орел-Западный, который в советских документах назывался Орел-Центральный, принимали участие одни истребители из 50-го и 431-го иап. Всего утром 6 мая в воздух поднялись 27 Ла-5 и Як-7б, под фюзеляжами которых были подвешены мелкие осколочные, зажигательные и фугасные бомбы. Пройдя над немецкой территорией на высоте 1200–1500 метров, они в 6.38 утра подошли к цели и с пикирования атаковали стоянки самолетов. Замыкающие истребители обстреляли из пулеметов заправщики и зенитные батареи. Затем на большой скорости «Лавочкины» и Яки ушли на восток. В последующих рапортах значилось 14 уничтоженных на земле и 15–20 поврежденных самолетов противника, а также один FW-190, сбитый в воздухе.</w:t>
      </w:r>
    </w:p>
    <w:p w14:paraId="52B11C81"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Согласно же данным люфтваффе, утром 6 мая на аэродроме Орел-Западный был уничтожен один Ju-88D-1 из 4-й эскадрильи дальней разведки Aufkl.Gr.ll. Еще пять «Юнкерсов» получили различные повреждения. Так же были повреждены по три «Фокке-Вульфа» из 11-й и 12-й эскадрилий JG51 «Мёльдерс». Один человек погиб, еще десять получили ранения. Несмотря на сильно завышенные результаты, этот удар можно признать успешным, тем более что все атакующие истребители благополучно вернулись назад.</w:t>
      </w:r>
    </w:p>
    <w:p w14:paraId="6F9F57B4"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Неудачей закончился налет на аэродром Большая Куликовка, в котором участвовало 19 Ил-2 из 218-го шап. Три «горбатых» были сбиты, а многие другие получили повреждения. Истребители прикрытия потеряли три Ла-5. Сама бомбежка, как водится, не дала никаких результатов.</w:t>
      </w:r>
    </w:p>
    <w:p w14:paraId="4EF4823C"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В 4.35 по московскому времени с аэродрома Полошково один за другим взлетели 17 Ил-2 из 571-го шап подполковника Ф. П. Макарова. Истребительный эскорт состоял из 18 истребителей. Их целью был крупный германский аэродром Брянск. Самолеты поднялись в воздух в утренней дымке и тремя группами направились в западном направлении, как было принято выспренно выражаться, «неся на своих крыльях рассвет».</w:t>
      </w:r>
    </w:p>
    <w:p w14:paraId="15351CBA"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Ведущий первой шестерки майор Глуховцев явно перенервничал и, видимо, в силу этого повел своих подопечных не запланированным маршрутом, а через все зоны огня зенитной артиллерии. В результате к цели «горбатые» и их экипажи выходили уже с потрепанными фюзеляжами и нервами. Бомбы они сбрасывали залпом наугад, точно так же «в сторону самолетных стоянок», как было сказано в донесениях, пускали и реактивные снаряды.</w:t>
      </w:r>
    </w:p>
    <w:p w14:paraId="319BD8BF"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После этого они сразу же взяли влево и стали уходить в сторону линии фронта на высоте около ста метров. Здесь «цементбомберы» были атакованы шестью Bf-109 и FW-190. В итоге с задания не вернулись четыре Ил-2, еще один штурмовик получил тяжелые повреждения и совершил вынужденную посадку на своей территории. Уцелевшие экипажи отчитались об одиннадцати якобы пораженных на земле самолетах, хотя фактически аэродром Брянск не пострадал вовсе. Истребители прикрытия заявили о двух сбитых «Фокке-Вульфах».</w:t>
      </w:r>
    </w:p>
    <w:p w14:paraId="42D6F4AC"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Штурмовики 198-го шап майора В. Г. Карякина наносили удар по аэродрому Шаталово. Для достижения внезапности маршрут полета был проложен над малонаселенными районами, лесами и болотами. Илы шли на бреющем, прижимаясь как можно ближе к земле. Истребители прикрытия летели чуть выше сверху. С началом рассвета примерно в назначенное время впереди появился город Шаталово и расположенный неподалеку большой аэродром. Вскоре стали различимы взлетные полосы, ангары и стоящие на земле самолеты, которые кое-кто из пилотов приняли за «Юнкерсы-87». Кто-то разглядел «стоящие в шахматном порядке» FW-190, Не-111 и другие типы «гитлеровских машин».</w:t>
      </w:r>
    </w:p>
    <w:p w14:paraId="4B7549CB"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В 6.07 первая группа Ил-2 нанесла удар по самолетным стоянкам. Через несколько секунд в воздух взметнулись большие столбы огня и дыма, утреннюю тишину нарушили раскаты взрывов. Затем через минуту вторая группа штурмовиков с бреющего выпустила «эрэсы», а также открыла огонь из пушек. И снова внизу взрывы и огонь. Немецкие зенитчики открыли огонь с опозданием, но все же успели повредить несколько «горбатых». Штурмовики 62-го шап, летевшие в следующей волне, из-за сплошного дыма, поднявшегося над летным полем, сбрасывали свои боеприпасы уже наугад.</w:t>
      </w:r>
    </w:p>
    <w:p w14:paraId="6D9CCC62"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Последней к цели подходила пара Ил-2 летчиков Александра Ефимова и Михаила Бабкина из 198-го шап, которой предстояла трудная задача — под зенитным огнем пройти по прямой над аэродромом и сфотографировать результаты налета. Ефимов потом вспоминал:</w:t>
      </w:r>
    </w:p>
    <w:p w14:paraId="3359AB10" w14:textId="77777777" w:rsidR="006B25EE" w:rsidRPr="00D03F3E" w:rsidRDefault="006B25EE"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«Трудно заставить себя лететь в самую гущу огня, но приказ есть приказ. Беру штурвал на себя, бросаю взгляд на высотомер: стрелка медленно ползет вправо, высота заданная. Впереди по курсу аэродром. Не могу определить его границы, вижу только клубы дыма, пыли и языки огня. Включаю фотоаппарат и стараюсь выдержать прямую».</w:t>
      </w:r>
    </w:p>
    <w:p w14:paraId="1204482D"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Это очень важный момент. Результаты атаки Ил-2 аэродрома фиксировались непосредственно после удара замыкающей парой! Понятно, что в клубах дыма и пыли после многочисленных взрывов бомб и ракет разглядеть, а тем более что-либо сфотографировать было весьма трудно. Кроме того, замыкающие штурмовики, которые вынуждены были следовать строго по прямой и на определенной высоте, легко сбивались зенитной артиллерией и истребителями. Понятно, что в таких условиях ни о каком эффективном контроле результатов не могло быть и речи.</w:t>
      </w:r>
    </w:p>
    <w:p w14:paraId="4951A523"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Ефимов продолжал свой рассказ:</w:t>
      </w:r>
    </w:p>
    <w:p w14:paraId="5C3911CB" w14:textId="77777777" w:rsidR="006B25EE" w:rsidRPr="00D03F3E" w:rsidRDefault="006B25EE"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«Слева и справа мечутся огненные трассы «эрликонов». По курсу вспыхивает множество багровых бутонов. Затем они седеют и висят в воздухе, словно ватные хлопья. Красивое зрелище, но подальше бы от этой красоты. Инстинктивно втягиваю голову в плечи. Хочется сделаться маленьким, незаметным. Вдруг слышу сильный удар: «Тррах!» Взрыв произошел где-то внизу, под самолетом. А еще через пару секунд снова подбросило машину: кажется, задело левую плоскость… Что-то кричит воздушный стрелок — в этом хаосе разобрать невозможно. Наш штурмовик опять вздрагивает, в кабину врывается дым. Слышу пулеметную дробь. Догадываюсь, стрелок открыл огонь из крупнокалиберного пулемета. Со скольжением на левое крыло перевожу самолет на снижение. Бросив мгновенный взгляд вправо, вижу, как мой ведомый повторяет маневр, его машина тоже в белых хлопьях.</w:t>
      </w:r>
    </w:p>
    <w:p w14:paraId="146C9009" w14:textId="77777777" w:rsidR="006B25EE" w:rsidRPr="00D03F3E" w:rsidRDefault="006B25EE"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Вывожу штурмовик у самой земли. В горячке не замечаю, что самолетом стало трудно управлять. Он как-то нехотя реагирует на отклонение рулей, заваливается влево. Смотрю на левую плоскость. Рваными краями топорщится законцовка крыла. В левом элероне зияет дыра, ленточки перкалевой обшивки трепещут в воздушном потоке. Стрелок докладывает, что и в фюзеляже большая пробоина».</w:t>
      </w:r>
    </w:p>
    <w:p w14:paraId="23DE6357"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Штурмовик Бабкина тоже получил сильные повреждения, при этом был ранен бортстрелок. С большим трудом изрешеченные машины дотянули до своего аэродрома.</w:t>
      </w:r>
    </w:p>
    <w:p w14:paraId="2595D1AE"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По возвращении летчики 198-го шап отчитались о «двух десятках» уничтоженных Ju-87. Кроме того, были якобы «основательно повреждены» два ангара и взорвано бензохранилище. Но на самом деле немцы в Шаталово отделались легким испугом. Там незначительные повреждения получили два FW-190A-5 из IV./JG51 «Мёльдерс», а из наземного и летного персонала вообще никто не пострадал.</w:t>
      </w:r>
    </w:p>
    <w:p w14:paraId="7F99C837"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Налет на аэродром Боровское изначально пошел не по плану из-за ошибок самих летчиков. Первыми к нему направились пять Ил-2 из 312-го шап в сопровождении всего двух Ла-5. Из-за малой высоты полета пилоты «горбатых» перепутали наземные ориентиры и прошли мимо цели, а затем, поняв, что топлива на дальнейшие ее поиски уже нет, радостно повернули домой. Однако спокойно вернуться им не дали, так как в районе города Ельня в небе появились немецкие истребители. Словно «не заметив» скромный эскорт, они с первой же атаки отправили на землю штурмовик младшего лейтенанта И. А. Пастухова. Затем был сбит самолет младшего лейтенанта Комаровского. Оставшаяся тройка кое-как сумела уйти от преследователей и приземлилась на первом же попавшемся аэродроме на своей территории.</w:t>
      </w:r>
    </w:p>
    <w:p w14:paraId="49A2D52C"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И лишь шести Илам из 62-го шап в 6.30 удалось отыскать Боровское и сбросить на него бомбы. Затем аэродром атаковали еще четыре «горбатых» все из того же 312-го шап. Проносясь над летным полем, летчики успели в короткие мгновения разглядеть на нем «до 15 самолетов типа Me-110, Ю-88 и Хе-126», а также десять макетов двухмоторных самолетов. Затем половину от всего этого числа посчитали уничтоженной. Кроме того, по возвращении экипажи обеих групп сообщили о сбитых FW-190 и Bf-110, причем последний якобы «упал в лес в районе Балтунино». В то же время получили значительные повреждения три «черные смерти». Хотя некий фотоконтроль потом «подтвердил» уничтожение пяти немецких самолетов, на самом деле аэродром Боровск не пострадал.</w:t>
      </w:r>
    </w:p>
    <w:p w14:paraId="06D8E81B"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Авиаудары 8-й воздушной армии, накопившей в ходе Сталинградской битвы большой отрицательный опыт подобной деятельности, тоже оказались малоэффективными. Из-за плохой работы наземных служб и нехватки горючего налет на Кутейниково был организован из рук вон плохо. В воздух с большим опозданием удалось поднять только одно звено Ил-2, которое в сопровождении восьми истребителей 73-го гв. иап майора Н. И. Баранова появилось над целью в 5.50, то есть когда уже рассвело. Атака была проведена прямолинейно без тактических изысков. «Черные смерти» с высоты 1700 метров перешли в пологое пикирование и с одного захода залпом сбросили все боеприпасы. При этом летчики затем и не скрывали своей халтуры, честно заявив, что все бомбы «упали с недолетом 100 метров». Зато все экипажи благополучно вернулись на базу.</w:t>
      </w:r>
    </w:p>
    <w:p w14:paraId="4A4D1598"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Незадолго до этого — в 5.45 — их коллеги бомбардировщики «отработали» по аэродрому Сталино, на котором предположительно находилось «до 40 двухмоторных самолетов и около 10 истребителей». Замыкающий Пе-2 сделал аэрофотоснимок летного поля, показавший, что был уничтожен только один бомбардировщик. Это редчайший случай, когда советские данные почти совпадают с германскими. Действительно, в то утро на аэродроме Сталино-Северный получил небольшие повреждения Не-111Н из III./KG55 «Грайф».</w:t>
      </w:r>
    </w:p>
    <w:p w14:paraId="0A42547E"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Утренние налеты на другие немецкие авиабазы, в том числе Харьков-Сокольники, Панково и Полтаву, тоже закончились безрезультатно.</w:t>
      </w:r>
    </w:p>
    <w:p w14:paraId="2DB02B4F"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Согласно же донесениям экипажей, всего в результате удара по аэродромам люфтваффе утром 6 мая на земле было уничтожено 205 самолетов. Хотя потом советские летчики утверждали, что немцы оказали лишь символическое сопротивление, тем не менее на свои базы не вернулось тридцать, вероятно также «символически сбитых», советских самолетов.</w:t>
      </w:r>
    </w:p>
    <w:p w14:paraId="5A7A3EC1"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 xml:space="preserve">Вдохновившись достигнутыми результатами, командование советских ВВС продолжило операцию в соответствии с разработанным планом. В 15.00 по московскому </w:t>
      </w:r>
      <w:r w:rsidRPr="00D03F3E">
        <w:rPr>
          <w:color w:val="000000" w:themeColor="text1"/>
          <w:sz w:val="16"/>
          <w:szCs w:val="16"/>
        </w:rPr>
        <w:lastRenderedPageBreak/>
        <w:t>времени был нанесен второй удар по двадцати аэродромам, в котором приняли участие 372 самолета всех типов. Но на этот раз противник уже был начеку. На подходах к целям штурмовики встречал мощный зенитный огонь, а в небе патрулировали истребители. В результате лишь отдельным экипажам удалось прорваться к аэродромам и второпях сбросить свои бомбы куда попало.</w:t>
      </w:r>
    </w:p>
    <w:p w14:paraId="1EC64FC7"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Повторный налет на Шаталово и Боровское был произведен силами 16 Ил-2 из 62-го, 198-го и 312-го шап, которых прикрывали 20 истребителей из трех авиаполков. Интересно, что часть «горбатых» вообще не вышла на цель, якобы «потеряв ориентировку». Три штурмовика были подбиты и совершили вынужденные посадки на своей территории. При этом Илы старшего лейтенанта Панфилова и Егорова были буквально изрешечены пулями и снарядами.</w:t>
      </w:r>
    </w:p>
    <w:p w14:paraId="38EF3AB8"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Прикрывавшие их истребители из 122-го иап сообщили об успешном воздушном бое с «Фокке-Вульфами». На боевой счет майора Любимова, капитана Цагойко и младшего лейтенанта Непокрытова было записано по одной победе. Еще на один сбитый фоккер претендовали бортстрелки Ил-2. Однако немецкие данные, как и в ряде других аналогичных случаев, эти победы не подтверждают.</w:t>
      </w:r>
    </w:p>
    <w:p w14:paraId="4CAC6BE0"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Попутно был нанесен удар по полевому аэродрому Лубинка, на котором обнаружилось очередное «скопление» Bf-109. Первыми его атаковали 13 Як-1 и Як-7б из 20-го гв. иап и 1-й отдельной эскадрильи «Нормандия», потом — шесть Ил-2 из 571-го шап и, наконец, Пе-2 из 38-го бап. Однако в ходе этих трех атак ни одного «Мессершмитта» поразить так и не удалось.</w:t>
      </w:r>
    </w:p>
    <w:p w14:paraId="0DB351B6"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Пятерка Ил-2 из 820-го шап, пытавшаяся повторно штурмовать аэродром Харьков-Сокольники, уже на подходе к цели была встречена мощным зенитным огнем, а на отходе еще и атакована истребителями. В итоге удар был полностью провален. Но, несмотря на полученные повреждения, все самолеты смогли дотянуть до своего аэродрома. Потом их бортстрелки заявили об одном сбитом FW-190, который якобы «упал в лес» возле аэродрома.</w:t>
      </w:r>
    </w:p>
    <w:p w14:paraId="335264B9"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Еще большим крахом закончился повторный налет на аэродром Харьков-Алешки штурмовиков 800-го шап. В районе поселков Веселое и Липцы, в 24 километрах северо-восточнее Харькова, они столкнулись с большой группой «Мессершмиттов». С первого же захода немцы сбили штурмовики командира звена младшего лейтенанта Талгата Бегельдинова и сержанта Сергея Чепелюка. Во время отражения повторных атак пулеметчикам и пилотам истребителей показалось, что они сбили по два мессера.</w:t>
      </w:r>
    </w:p>
    <w:p w14:paraId="7AEECA1F"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Однако в ходе воздушного боя штурмовики сбились с курса. И, потеряв ориентировку и израсходовав топливо, летчики в итоге были вынуждены отказаться от выполнения задания и ни с чем вернулись на свой аэродром. Истребители эскорта в этих двух дневных вылетах к харьковским аэродромам потеряли по четыре Як-7 и Ла-5.</w:t>
      </w:r>
    </w:p>
    <w:p w14:paraId="35CCFAF4"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При попытке вторично атаковать аэродром Орел-Западный большие потери понес и 79-й гв. шап майора И. Д. Бородина. После скоротечного удара, нанесенного по прямой с одного захода, штурмовики на обратном пути подвергались бесконечным атакам немецких истребителей. В итоге из 15 Ил-2 были сбиты и врезались в землю пять самолетов. Еще один «цементбомбер» младшего лейтенанта Савинского был поврежден и затем совершил вынужденную посадку «на живот». Гвардия безо всякого смысла лишилась девяти своих летчиков.</w:t>
      </w:r>
    </w:p>
    <w:p w14:paraId="13C42781"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В 19.15 шесть Ил-2 из 775-го шап попытались снова атаковать аэродром Краматорск. Несмотря на большое прикрытие, включавшее восемнадцать истребителей, штурмовикам на сей раз не удалось избежать расправы со стороны «Мессершмиттов». Сбросив бомбы на полупустое летное поле, «горбатые» повернули обратно, но были атакованы шестеркой Bf-109G из II./JG3 «Удет». При этом весь эскорт куда-то подевался, частично ввязавшись в бой с другой группой «сто девятых».</w:t>
      </w:r>
    </w:p>
    <w:p w14:paraId="672C3091"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Штурмовики вплоть до линии фронта подвергались беспрерывным атакам. Если до пересечения реки Северский Донец их экипажи объединяло желание «дотянуть» и они держались вместе, отчаянно паля по преследователям, то, едва заветная полоса водной глади была преодолена, все бросились врассыпную. В итоге удалось вернуться на свой аэродром лишь двум изрешеченным самолетам. У немцев отличился командир 8-й эскадрильи JG3 обер-лейтенант Эмиль Бич, сбивший в течение трех минут в районе городка Славянск, в 15 километрах севернее Краматорска, пару Ил-2.</w:t>
      </w:r>
    </w:p>
    <w:p w14:paraId="25500710"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Тем временем истребители «прикрытия» также вели тяжелый бой и недосчитались двух своих машин. Но самое обидное было в том, что весь этот героизм пропал зря, поскольку цель снова не понесла никакого ущерба.</w:t>
      </w:r>
    </w:p>
    <w:p w14:paraId="0A2BC93B"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Как показывают факты, и второй удар по немецким аэродромам не достиг своей цели. Тем не менее командующие воздушными армиями отчитались о еще 134 самолетах, уничтоженных на земле, и 24 самолетах, сбитых в воздушных боях. При этом потери советской авиации составили 46 машин, или 12,4 % от общего числа участвовавших в ударах самолетов.</w:t>
      </w:r>
    </w:p>
    <w:p w14:paraId="4CD39CCC"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Особо отличились пилоты JG51 «Мёльдерс», летавшие на истребителях FW-190A, чей пушечный залп был смертельным даже для такого бронированного самолета, как Ил-2. По данным люфтваффе, обер-фельдфебель Йозеф Енневейн из 2-й эскадрильи в течение одиннадцати минут сбил сразу пять «черных смертей», фельдфебель Хейнц Лебер из той же эскадрильи за девять минут — пять, а обер-фельдфебель Курт Танцер из 12-й эскадрильи за те же девять минут — четыре.</w:t>
      </w:r>
    </w:p>
    <w:p w14:paraId="6D331912"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К срыву второго воздушного удара по немецким аэродромам приложили руку и испанские летчики-добровольцы, воевавшие в составе 15-й (испанской) эскадрильи JG51. Они сбили пять самолетов, два из которых — Пе-2 и ЛаГГ-3 — были на счету тениенте Рамона Хуана Галивана.</w:t>
      </w:r>
    </w:p>
    <w:p w14:paraId="5C55B502" w14:textId="77777777" w:rsidR="006B25EE" w:rsidRPr="00D03F3E" w:rsidRDefault="006B25EE" w:rsidP="00D03F3E">
      <w:pPr>
        <w:pStyle w:val="ae"/>
        <w:spacing w:before="0" w:after="0"/>
        <w:jc w:val="both"/>
        <w:textAlignment w:val="baseline"/>
        <w:rPr>
          <w:color w:val="000000" w:themeColor="text1"/>
          <w:sz w:val="16"/>
          <w:szCs w:val="16"/>
        </w:rPr>
      </w:pPr>
      <w:r w:rsidRPr="00D03F3E">
        <w:rPr>
          <w:color w:val="000000" w:themeColor="text1"/>
          <w:sz w:val="16"/>
          <w:szCs w:val="16"/>
        </w:rPr>
        <w:t>Фактически за весь день 6 мая 1943 г. люфтваффе на аэродромах потеряли всего пять машин: три бомбардировщика, один разведчик и один истребитель! Еще девятнадцать самолетов получили повреждения и могли быть отремонтированы. Общие же потери ВВС Красной армии в ходе двух ударов равнялись 76 самолетам. Таким образом, собственные потери атакующих с лихвой перекрывали их скромные достижения (19522).</w:t>
      </w:r>
    </w:p>
    <w:p w14:paraId="5F0DF61A" w14:textId="77777777" w:rsidR="006B25EE" w:rsidRPr="00D03F3E" w:rsidRDefault="006B25EE" w:rsidP="00D03F3E">
      <w:pPr>
        <w:pStyle w:val="ae"/>
        <w:spacing w:before="0" w:after="0"/>
        <w:jc w:val="both"/>
        <w:textAlignment w:val="baseline"/>
        <w:rPr>
          <w:color w:val="000000" w:themeColor="text1"/>
          <w:sz w:val="16"/>
          <w:szCs w:val="16"/>
        </w:rPr>
      </w:pPr>
    </w:p>
    <w:p w14:paraId="6F2AA077"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6 мая 1943 утро на немецком аэродроме Краматорск не предвещало ничего необычного. Здесь, кроме прочих частей, базировалась румынская истребительная авиагруппа Gr.7Van. В 3.45 по берлинскому времени оттуда взлетела пара Bf</w:t>
      </w:r>
      <w:r w:rsidRPr="00D03F3E">
        <w:rPr>
          <w:rFonts w:ascii="Times New Roman" w:hAnsi="Times New Roman"/>
          <w:color w:val="0070C0"/>
          <w:sz w:val="16"/>
          <w:szCs w:val="16"/>
        </w:rPr>
        <w:noBreakHyphen/>
        <w:t>109G, которые пилотировали адъютанты Ион Милу и Георге Фиру. Под фюзеляжами «Мессершмиттов» были подвешены 250</w:t>
      </w:r>
      <w:r w:rsidRPr="00D03F3E">
        <w:rPr>
          <w:rFonts w:ascii="Times New Roman" w:hAnsi="Times New Roman"/>
          <w:color w:val="0070C0"/>
          <w:sz w:val="16"/>
          <w:szCs w:val="16"/>
        </w:rPr>
        <w:noBreakHyphen/>
        <w:t>кг фугасные бомбы, которые, согласно полетному заданию, надо было сбросить на советские позиции. Вскоре после взлета румынские летчики увидели 18 Ил</w:t>
      </w:r>
      <w:r w:rsidRPr="00D03F3E">
        <w:rPr>
          <w:rFonts w:ascii="Times New Roman" w:hAnsi="Times New Roman"/>
          <w:color w:val="0070C0"/>
          <w:sz w:val="16"/>
          <w:szCs w:val="16"/>
        </w:rPr>
        <w:noBreakHyphen/>
        <w:t>2, идущих на высоте 2000 метров с эскортом истребителей в направлении их аэродрома. Это были «черные смерти» из 299</w:t>
      </w:r>
      <w:r w:rsidRPr="00D03F3E">
        <w:rPr>
          <w:rFonts w:ascii="Times New Roman" w:hAnsi="Times New Roman"/>
          <w:color w:val="0070C0"/>
          <w:sz w:val="16"/>
          <w:szCs w:val="16"/>
        </w:rPr>
        <w:noBreakHyphen/>
        <w:t>го и 775</w:t>
      </w:r>
      <w:r w:rsidRPr="00D03F3E">
        <w:rPr>
          <w:rFonts w:ascii="Times New Roman" w:hAnsi="Times New Roman"/>
          <w:color w:val="0070C0"/>
          <w:sz w:val="16"/>
          <w:szCs w:val="16"/>
        </w:rPr>
        <w:noBreakHyphen/>
        <w:t>го шап, вылетевшие с аэродрома Новая Дуванка.</w:t>
      </w:r>
    </w:p>
    <w:p w14:paraId="515AF3EF"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Выполнив задание, оба «Мессершмитта» на максимальной скорости вернулись к Краматорску и атаковали «Лавочкины», пытавшиеся блокировать их аэродром. Это позволило взлететь еще трем румынским «Мессершмиттам», которые принадлежали локотененту Тудору Грекеану, сублокотененту Николае Нагирнеаку и адъютанту Христеа Чирвысыуте. Последний сразу после взлета был атакован Ла</w:t>
      </w:r>
      <w:r w:rsidRPr="00D03F3E">
        <w:rPr>
          <w:rFonts w:ascii="Times New Roman" w:hAnsi="Times New Roman"/>
          <w:color w:val="0070C0"/>
          <w:sz w:val="16"/>
          <w:szCs w:val="16"/>
        </w:rPr>
        <w:noBreakHyphen/>
        <w:t>5 и совершил вынужденную посадку. В ходе боя 41</w:t>
      </w:r>
      <w:r w:rsidRPr="00D03F3E">
        <w:rPr>
          <w:rFonts w:ascii="Times New Roman" w:hAnsi="Times New Roman"/>
          <w:color w:val="0070C0"/>
          <w:sz w:val="16"/>
          <w:szCs w:val="16"/>
        </w:rPr>
        <w:noBreakHyphen/>
        <w:t>летнему Милу удалось сбить сразу три самолета, а еще один – 35</w:t>
      </w:r>
      <w:r w:rsidRPr="00D03F3E">
        <w:rPr>
          <w:rFonts w:ascii="Times New Roman" w:hAnsi="Times New Roman"/>
          <w:color w:val="0070C0"/>
          <w:sz w:val="16"/>
          <w:szCs w:val="16"/>
        </w:rPr>
        <w:noBreakHyphen/>
        <w:t>летнему Грекеану. При этом «Мессершмитт» Милу тоже получил попадание в топливный бак и начал стремительно терять горючее. Милу был вынужден выйти из боя и в 4.20 благополучно приземлился в Краматорске.</w:t>
      </w:r>
    </w:p>
    <w:p w14:paraId="294CF7A9"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Советское описание этого боя выглядит несколько иначе. Когда ударная группа подошла к Краматорску, в воздухе были замечены четыре Bf</w:t>
      </w:r>
      <w:r w:rsidRPr="00D03F3E">
        <w:rPr>
          <w:rFonts w:ascii="Times New Roman" w:hAnsi="Times New Roman"/>
          <w:color w:val="0070C0"/>
          <w:sz w:val="16"/>
          <w:szCs w:val="16"/>
        </w:rPr>
        <w:noBreakHyphen/>
        <w:t>109G и два FW</w:t>
      </w:r>
      <w:r w:rsidRPr="00D03F3E">
        <w:rPr>
          <w:rFonts w:ascii="Times New Roman" w:hAnsi="Times New Roman"/>
          <w:color w:val="0070C0"/>
          <w:sz w:val="16"/>
          <w:szCs w:val="16"/>
        </w:rPr>
        <w:noBreakHyphen/>
        <w:t>190, с которыми вступила в бой четверка Ла</w:t>
      </w:r>
      <w:r w:rsidRPr="00D03F3E">
        <w:rPr>
          <w:rFonts w:ascii="Times New Roman" w:hAnsi="Times New Roman"/>
          <w:color w:val="0070C0"/>
          <w:sz w:val="16"/>
          <w:szCs w:val="16"/>
        </w:rPr>
        <w:noBreakHyphen/>
        <w:t>5 из 5</w:t>
      </w:r>
      <w:r w:rsidRPr="00D03F3E">
        <w:rPr>
          <w:rFonts w:ascii="Times New Roman" w:hAnsi="Times New Roman"/>
          <w:color w:val="0070C0"/>
          <w:sz w:val="16"/>
          <w:szCs w:val="16"/>
        </w:rPr>
        <w:noBreakHyphen/>
        <w:t>го гв. иап. Затем со стороны Константиновки подошли еще шесть</w:t>
      </w:r>
      <w:r w:rsidRPr="00D03F3E">
        <w:rPr>
          <w:rFonts w:ascii="Times New Roman" w:hAnsi="Times New Roman"/>
          <w:color w:val="0070C0"/>
          <w:sz w:val="16"/>
          <w:szCs w:val="16"/>
        </w:rPr>
        <w:noBreakHyphen/>
        <w:t>семь «Мессершмиттов». Завязалась ожесточенная воздушная схватка. Отражая атаку двух истребителей на «Лавочкин» своего ведущего, лейтенант Глинкин атаковал и сбил один «Мессершмитт», который затем упал на окраине аэродрома. Два Ла</w:t>
      </w:r>
      <w:r w:rsidRPr="00D03F3E">
        <w:rPr>
          <w:rFonts w:ascii="Times New Roman" w:hAnsi="Times New Roman"/>
          <w:color w:val="0070C0"/>
          <w:sz w:val="16"/>
          <w:szCs w:val="16"/>
        </w:rPr>
        <w:noBreakHyphen/>
        <w:t>5 получили повреждения и совершили вынужденные посадки на своей территории.</w:t>
      </w:r>
    </w:p>
    <w:p w14:paraId="08C5CE16"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Тем временем подошли Илы и начали штурмовку аэродрома. Первая группа отбомбилась более или менее организованно, хотя и неточно, а вот «горбатые» из 775</w:t>
      </w:r>
      <w:r w:rsidRPr="00D03F3E">
        <w:rPr>
          <w:rFonts w:ascii="Times New Roman" w:hAnsi="Times New Roman"/>
          <w:color w:val="0070C0"/>
          <w:sz w:val="16"/>
          <w:szCs w:val="16"/>
        </w:rPr>
        <w:noBreakHyphen/>
        <w:t>го шап атаковали поодиночке, с разных высот и углов, в общем, как бог на душу положит. Согласно докладам экипажей Ил</w:t>
      </w:r>
      <w:r w:rsidRPr="00D03F3E">
        <w:rPr>
          <w:rFonts w:ascii="Times New Roman" w:hAnsi="Times New Roman"/>
          <w:color w:val="0070C0"/>
          <w:sz w:val="16"/>
          <w:szCs w:val="16"/>
        </w:rPr>
        <w:noBreakHyphen/>
        <w:t>2, на земле было уничтожено тринадцать самолетов и еще восемь повреждено. Фактически же был уничтожен лишь один Bf</w:t>
      </w:r>
      <w:r w:rsidRPr="00D03F3E">
        <w:rPr>
          <w:rFonts w:ascii="Times New Roman" w:hAnsi="Times New Roman"/>
          <w:color w:val="0070C0"/>
          <w:sz w:val="16"/>
          <w:szCs w:val="16"/>
        </w:rPr>
        <w:noBreakHyphen/>
        <w:t>109G</w:t>
      </w:r>
      <w:r w:rsidRPr="00D03F3E">
        <w:rPr>
          <w:rFonts w:ascii="Times New Roman" w:hAnsi="Times New Roman"/>
          <w:color w:val="0070C0"/>
          <w:sz w:val="16"/>
          <w:szCs w:val="16"/>
        </w:rPr>
        <w:noBreakHyphen/>
        <w:t>4 из III./JG3 «Удет» и еще один «Мессершмитт» из той же группы получил повреждения. Сам аэродром от налета пострадал незначительно. Атакующие потеряли один Ил, а еще четыре вернулись обратно с различными повреждениями.</w:t>
      </w:r>
    </w:p>
    <w:p w14:paraId="277FE49B"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это же время советские штурмовики появились и над другими авиабазами люфтваффе, среди которых был аэродром, носивший название Харьков</w:t>
      </w:r>
      <w:r w:rsidRPr="00D03F3E">
        <w:rPr>
          <w:rFonts w:ascii="Times New Roman" w:hAnsi="Times New Roman"/>
          <w:color w:val="0070C0"/>
          <w:sz w:val="16"/>
          <w:szCs w:val="16"/>
        </w:rPr>
        <w:noBreakHyphen/>
        <w:t>Алешки. Михаил Степанов, который тогда вел первую, идущую клином, группу Ил</w:t>
      </w:r>
      <w:r w:rsidRPr="00D03F3E">
        <w:rPr>
          <w:rFonts w:ascii="Times New Roman" w:hAnsi="Times New Roman"/>
          <w:color w:val="0070C0"/>
          <w:sz w:val="16"/>
          <w:szCs w:val="16"/>
        </w:rPr>
        <w:noBreakHyphen/>
        <w:t>2 из 800</w:t>
      </w:r>
      <w:r w:rsidRPr="00D03F3E">
        <w:rPr>
          <w:rFonts w:ascii="Times New Roman" w:hAnsi="Times New Roman"/>
          <w:color w:val="0070C0"/>
          <w:sz w:val="16"/>
          <w:szCs w:val="16"/>
        </w:rPr>
        <w:noBreakHyphen/>
        <w:t>го шап, рассказывал: «К аэродрому группа подошла на высоте 800–900 м. С этой высоты была произведена атака с углом планирования до 30 градусов до высоты 200–300 м, бомбами, «PC» и пулеметно</w:t>
      </w:r>
      <w:r w:rsidRPr="00D03F3E">
        <w:rPr>
          <w:rFonts w:ascii="Times New Roman" w:hAnsi="Times New Roman"/>
          <w:color w:val="0070C0"/>
          <w:sz w:val="16"/>
          <w:szCs w:val="16"/>
        </w:rPr>
        <w:noBreakHyphen/>
        <w:t>пушечным огнем. Каждое звено штурмовало выделенную для него цель. Уход от цели после атаки был произведен правым разворотом с дальнейшим снижением до бреющего полета на лесной массив восточнее аэродрома».</w:t>
      </w:r>
    </w:p>
    <w:p w14:paraId="7071D424"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Внизу на земле наблюдались многочисленные взрывы и столбы огня, поэтому летчикам показалось, что их бомбы и снаряды поразили цели. По мнению Степанова и его сослуживцев, в результате штурмовки было уничтожено два Ju</w:t>
      </w:r>
      <w:r w:rsidRPr="00D03F3E">
        <w:rPr>
          <w:rFonts w:ascii="Times New Roman" w:hAnsi="Times New Roman"/>
          <w:color w:val="0070C0"/>
          <w:sz w:val="16"/>
          <w:szCs w:val="16"/>
        </w:rPr>
        <w:noBreakHyphen/>
        <w:t>88 и девять Bf</w:t>
      </w:r>
      <w:r w:rsidRPr="00D03F3E">
        <w:rPr>
          <w:rFonts w:ascii="Times New Roman" w:hAnsi="Times New Roman"/>
          <w:color w:val="0070C0"/>
          <w:sz w:val="16"/>
          <w:szCs w:val="16"/>
        </w:rPr>
        <w:noBreakHyphen/>
        <w:t>109, а также «одна радиостанция на автомашине» и др. На самом же деле аэродром не пострадал. В то же время еще на подходе к цели немецкими истребителями были сбиты два Як</w:t>
      </w:r>
      <w:r w:rsidRPr="00D03F3E">
        <w:rPr>
          <w:rFonts w:ascii="Times New Roman" w:hAnsi="Times New Roman"/>
          <w:color w:val="0070C0"/>
          <w:sz w:val="16"/>
          <w:szCs w:val="16"/>
        </w:rPr>
        <w:noBreakHyphen/>
        <w:t>1 из 183</w:t>
      </w:r>
      <w:r w:rsidRPr="00D03F3E">
        <w:rPr>
          <w:rFonts w:ascii="Times New Roman" w:hAnsi="Times New Roman"/>
          <w:color w:val="0070C0"/>
          <w:sz w:val="16"/>
          <w:szCs w:val="16"/>
        </w:rPr>
        <w:noBreakHyphen/>
        <w:t>го иап, входившие в прикрытие штурмовиков.</w:t>
      </w:r>
    </w:p>
    <w:p w14:paraId="59E44E01"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 аэродрому Харьков</w:t>
      </w:r>
      <w:r w:rsidRPr="00D03F3E">
        <w:rPr>
          <w:rFonts w:ascii="Times New Roman" w:hAnsi="Times New Roman"/>
          <w:color w:val="0070C0"/>
          <w:sz w:val="16"/>
          <w:szCs w:val="16"/>
        </w:rPr>
        <w:noBreakHyphen/>
        <w:t>Рогань приближались 12 Ил</w:t>
      </w:r>
      <w:r w:rsidRPr="00D03F3E">
        <w:rPr>
          <w:rFonts w:ascii="Times New Roman" w:hAnsi="Times New Roman"/>
          <w:color w:val="0070C0"/>
          <w:sz w:val="16"/>
          <w:szCs w:val="16"/>
        </w:rPr>
        <w:noBreakHyphen/>
        <w:t>2 из 673</w:t>
      </w:r>
      <w:r w:rsidRPr="00D03F3E">
        <w:rPr>
          <w:rFonts w:ascii="Times New Roman" w:hAnsi="Times New Roman"/>
          <w:color w:val="0070C0"/>
          <w:sz w:val="16"/>
          <w:szCs w:val="16"/>
        </w:rPr>
        <w:noBreakHyphen/>
        <w:t>го шап майора А.П. Матикова. Их сопровождали 18 Ла</w:t>
      </w:r>
      <w:r w:rsidRPr="00D03F3E">
        <w:rPr>
          <w:rFonts w:ascii="Times New Roman" w:hAnsi="Times New Roman"/>
          <w:color w:val="0070C0"/>
          <w:sz w:val="16"/>
          <w:szCs w:val="16"/>
        </w:rPr>
        <w:noBreakHyphen/>
        <w:t>5 из 302</w:t>
      </w:r>
      <w:r w:rsidRPr="00D03F3E">
        <w:rPr>
          <w:rFonts w:ascii="Times New Roman" w:hAnsi="Times New Roman"/>
          <w:color w:val="0070C0"/>
          <w:sz w:val="16"/>
          <w:szCs w:val="16"/>
        </w:rPr>
        <w:noBreakHyphen/>
        <w:t>й иад. «Горбатые» шли на высоте 400 метров, будя надсадным ревом своих моторов мирно спавших жителей сел и деревень. При подходе к цели пилоты приглушили двигатели и в 5.20 с планирования нанесли удар по «скоплениям» немецких истребителей. Противовоздушная оборона здесь оказалась довольно слабой или же была застигнута врасплох, и потому пилоты штурмовиков действовали как на полигоне. Впрочем, эффекта от этих действий не было никакого, кроме красочного фейерверка, испортившего немцам последние часы сна. На земле не пострадали ни один самолет и ни один летчик.</w:t>
      </w:r>
    </w:p>
    <w:p w14:paraId="26916FFB"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Наиболее успешным по сравнению с другими оказался удар по аэродрому Сещинская. Эту авиабазу, удобно расположенную возле небольшой станции с одноименным названием на железной дороге Смоленск – Брянск, немцы начали использовать с октября 1941 г. Главным образом здесь базировались бомбардировщики Не</w:t>
      </w:r>
      <w:r w:rsidRPr="00D03F3E">
        <w:rPr>
          <w:rFonts w:ascii="Times New Roman" w:hAnsi="Times New Roman"/>
          <w:color w:val="0070C0"/>
          <w:sz w:val="16"/>
          <w:szCs w:val="16"/>
        </w:rPr>
        <w:noBreakHyphen/>
        <w:t>111 и Ju</w:t>
      </w:r>
      <w:r w:rsidRPr="00D03F3E">
        <w:rPr>
          <w:rFonts w:ascii="Times New Roman" w:hAnsi="Times New Roman"/>
          <w:color w:val="0070C0"/>
          <w:sz w:val="16"/>
          <w:szCs w:val="16"/>
        </w:rPr>
        <w:noBreakHyphen/>
        <w:t>88 из различных эскадр, но дольше всех «Хейнкели» из KG4 «Генерал Вефер». Взлетая из Сещинской, летчики люфтваффе в течение полутора лет совершали ночные налеты на Москву, Ярославль, Горький, Тулу, атаковали коммуникации в советском тылу. За это время сложилась развитая аэродромная инфраструктура: многочисленные стоянки и рулежки, взлетные полосы во всех направлениях, замаскированные склады и хранилища топлива, ложные стоянки самолетов, большое количество зениток и прожекторов. На авиабазу работало почти все население Сещинской.</w:t>
      </w:r>
    </w:p>
    <w:p w14:paraId="3481AE13"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Согласно детально продуманному плану, удар по этому объекту наносили штурмовики из 224</w:t>
      </w:r>
      <w:r w:rsidRPr="00D03F3E">
        <w:rPr>
          <w:rFonts w:ascii="Times New Roman" w:hAnsi="Times New Roman"/>
          <w:color w:val="0070C0"/>
          <w:sz w:val="16"/>
          <w:szCs w:val="16"/>
        </w:rPr>
        <w:noBreakHyphen/>
        <w:t>й шад полковника М.В. Котельникова. Ударные группы были разделены на действующие по самолетам и по зениткам. Полет к цели предполагался по детально разработанному маршруту на малой высоте. Это должно было обеспечить внезапность. Впрочем, на последнюю все равно мало кто рассчитывал, все опытные летчики знали, что выйти в район Сещинской внезапно еще никому не удавалось. Немцы использовали здесь мобильные наземные РЛС и потому могли заблаговременно приводить свою ПВО в боевую готовность.</w:t>
      </w:r>
    </w:p>
    <w:p w14:paraId="6DFFEA16"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результате первая ударная группа из 565</w:t>
      </w:r>
      <w:r w:rsidRPr="00D03F3E">
        <w:rPr>
          <w:rFonts w:ascii="Times New Roman" w:hAnsi="Times New Roman"/>
          <w:color w:val="0070C0"/>
          <w:sz w:val="16"/>
          <w:szCs w:val="16"/>
        </w:rPr>
        <w:noBreakHyphen/>
        <w:t>го шап уже на подходе к цели была встречена сильнейшим зенитным огнем. В воздухе одновременно с грохотом взрывались сотни снарядов, образуя белые и розовые облачка. В кабины летчиков врывался кислый запах паленого тротила. Ведущий группы, он же штурман полка, капитан Г.Д. Корниенко принял решение атаковать аэродром с одного захода. Встряхиваемые взрывами Илы один за другим пошли в атаку.</w:t>
      </w:r>
    </w:p>
    <w:p w14:paraId="0DC4505F"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итоге, несмотря на бешеный огонь зениток, некоторым машинам удалось прорваться к цели и сбросить бомбы на самолетные стоянки. При этом сбитый штурмовик младшего лейтенанта Ю.Ф. Симонова рухнул прямо на тщательно замаскированный Не</w:t>
      </w:r>
      <w:r w:rsidRPr="00D03F3E">
        <w:rPr>
          <w:rFonts w:ascii="Times New Roman" w:hAnsi="Times New Roman"/>
          <w:color w:val="0070C0"/>
          <w:sz w:val="16"/>
          <w:szCs w:val="16"/>
        </w:rPr>
        <w:noBreakHyphen/>
        <w:t>111. Затем советские пилоты заявили о 25–30 якобы уничтоженных самолетах. Подтвердить это оказалось затруднительно, поскольку на фотоснимках, сделанных замыкающим Илом, трудно было что</w:t>
      </w:r>
      <w:r w:rsidRPr="00D03F3E">
        <w:rPr>
          <w:rFonts w:ascii="Times New Roman" w:hAnsi="Times New Roman"/>
          <w:color w:val="0070C0"/>
          <w:sz w:val="16"/>
          <w:szCs w:val="16"/>
        </w:rPr>
        <w:noBreakHyphen/>
        <w:t>либо разобрать.</w:t>
      </w:r>
    </w:p>
    <w:p w14:paraId="3F4C0216"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Впоследствии сами немцы признали, что удар «цементбомберов» по аэродрому Сещинская оказался результативным. Но их потери были далеко не столь огромными. Люфтваффе лишились трех самолетов:</w:t>
      </w:r>
    </w:p>
    <w:p w14:paraId="61F8DAF6"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He</w:t>
      </w:r>
      <w:r w:rsidRPr="00D03F3E">
        <w:rPr>
          <w:rFonts w:ascii="Times New Roman" w:hAnsi="Times New Roman"/>
          <w:color w:val="0070C0"/>
          <w:sz w:val="16"/>
          <w:szCs w:val="16"/>
        </w:rPr>
        <w:noBreakHyphen/>
        <w:t>111H</w:t>
      </w:r>
      <w:r w:rsidRPr="00D03F3E">
        <w:rPr>
          <w:rFonts w:ascii="Times New Roman" w:hAnsi="Times New Roman"/>
          <w:color w:val="0070C0"/>
          <w:sz w:val="16"/>
          <w:szCs w:val="16"/>
        </w:rPr>
        <w:noBreakHyphen/>
        <w:t>11 и Не</w:t>
      </w:r>
      <w:r w:rsidRPr="00D03F3E">
        <w:rPr>
          <w:rFonts w:ascii="Times New Roman" w:hAnsi="Times New Roman"/>
          <w:color w:val="0070C0"/>
          <w:sz w:val="16"/>
          <w:szCs w:val="16"/>
        </w:rPr>
        <w:noBreakHyphen/>
        <w:t>111Р</w:t>
      </w:r>
      <w:r w:rsidRPr="00D03F3E">
        <w:rPr>
          <w:rFonts w:ascii="Times New Roman" w:hAnsi="Times New Roman"/>
          <w:color w:val="0070C0"/>
          <w:sz w:val="16"/>
          <w:szCs w:val="16"/>
        </w:rPr>
        <w:noBreakHyphen/>
        <w:t>2 из штабного звена KG4 и He</w:t>
      </w:r>
      <w:r w:rsidRPr="00D03F3E">
        <w:rPr>
          <w:rFonts w:ascii="Times New Roman" w:hAnsi="Times New Roman"/>
          <w:color w:val="0070C0"/>
          <w:sz w:val="16"/>
          <w:szCs w:val="16"/>
        </w:rPr>
        <w:noBreakHyphen/>
        <w:t>111Н</w:t>
      </w:r>
      <w:r w:rsidRPr="00D03F3E">
        <w:rPr>
          <w:rFonts w:ascii="Times New Roman" w:hAnsi="Times New Roman"/>
          <w:color w:val="0070C0"/>
          <w:sz w:val="16"/>
          <w:szCs w:val="16"/>
        </w:rPr>
        <w:noBreakHyphen/>
        <w:t>6 из 4</w:t>
      </w:r>
      <w:r w:rsidRPr="00D03F3E">
        <w:rPr>
          <w:rFonts w:ascii="Times New Roman" w:hAnsi="Times New Roman"/>
          <w:color w:val="0070C0"/>
          <w:sz w:val="16"/>
          <w:szCs w:val="16"/>
        </w:rPr>
        <w:noBreakHyphen/>
        <w:t>й эскадрильи той же эскадры, еще три «Хейнкеля» были повреждены. Также незначительные повреждения получил Ju</w:t>
      </w:r>
      <w:r w:rsidRPr="00D03F3E">
        <w:rPr>
          <w:rFonts w:ascii="Times New Roman" w:hAnsi="Times New Roman"/>
          <w:color w:val="0070C0"/>
          <w:sz w:val="16"/>
          <w:szCs w:val="16"/>
        </w:rPr>
        <w:noBreakHyphen/>
        <w:t>88A</w:t>
      </w:r>
      <w:r w:rsidRPr="00D03F3E">
        <w:rPr>
          <w:rFonts w:ascii="Times New Roman" w:hAnsi="Times New Roman"/>
          <w:color w:val="0070C0"/>
          <w:sz w:val="16"/>
          <w:szCs w:val="16"/>
        </w:rPr>
        <w:noBreakHyphen/>
        <w:t>14 из KG1 «Гинденбург». Погиб один человек, и еще трое отделались ранениями [56] .</w:t>
      </w:r>
    </w:p>
    <w:p w14:paraId="22F4E876"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Шестнадцать Ил</w:t>
      </w:r>
      <w:r w:rsidRPr="00D03F3E">
        <w:rPr>
          <w:rFonts w:ascii="Times New Roman" w:hAnsi="Times New Roman"/>
          <w:color w:val="0070C0"/>
          <w:sz w:val="16"/>
          <w:szCs w:val="16"/>
        </w:rPr>
        <w:noBreakHyphen/>
        <w:t>2 из 41</w:t>
      </w:r>
      <w:r w:rsidRPr="00D03F3E">
        <w:rPr>
          <w:rFonts w:ascii="Times New Roman" w:hAnsi="Times New Roman"/>
          <w:color w:val="0070C0"/>
          <w:sz w:val="16"/>
          <w:szCs w:val="16"/>
        </w:rPr>
        <w:noBreakHyphen/>
        <w:t>й шап в сопровождении истребителей 286</w:t>
      </w:r>
      <w:r w:rsidRPr="00D03F3E">
        <w:rPr>
          <w:rFonts w:ascii="Times New Roman" w:hAnsi="Times New Roman"/>
          <w:color w:val="0070C0"/>
          <w:sz w:val="16"/>
          <w:szCs w:val="16"/>
        </w:rPr>
        <w:noBreakHyphen/>
        <w:t>й иад атаковали аэродром Орел, который в советских документах значился как «Орел</w:t>
      </w:r>
      <w:r w:rsidRPr="00D03F3E">
        <w:rPr>
          <w:rFonts w:ascii="Times New Roman" w:hAnsi="Times New Roman"/>
          <w:color w:val="0070C0"/>
          <w:sz w:val="16"/>
          <w:szCs w:val="16"/>
        </w:rPr>
        <w:noBreakHyphen/>
        <w:t>Гражданский». Внезапной атаки и тут не вышло. Штурмовиков встретил сильный и точный огонь зенитных батарей, располагавшихся на окраине города и вокруг аэродрома. Тем не менее «горбатые» продолжали идти на цель, зато пилоты истребителей эскорта, испугавшись близких разрывов снарядов, ушли на большую высоту и отстали, оставив своих подопечных без прикрытия. Бомбометание производили кто как мог. Только ведущие целились в стоянки самолетов, остальные бросали уже наугад.</w:t>
      </w:r>
    </w:p>
    <w:p w14:paraId="2886A939"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После выхода из атаки строй штурмовиков, вокруг которых с грохотом кучно рвались зенитные снаряды, развалился, неопытные летчики отстали. Но самое худшее было еще впереди. На обратном пути группу атаковали внезапно появившиеся немецкие истребители. Заходя со стороны солнца, они начали методичный отстрел штурмовиков. Бортстрелки Ил</w:t>
      </w:r>
      <w:r w:rsidRPr="00D03F3E">
        <w:rPr>
          <w:rFonts w:ascii="Times New Roman" w:hAnsi="Times New Roman"/>
          <w:color w:val="0070C0"/>
          <w:sz w:val="16"/>
          <w:szCs w:val="16"/>
        </w:rPr>
        <w:noBreakHyphen/>
        <w:t>2 отчаянно отбивались, паля из своих 12,7</w:t>
      </w:r>
      <w:r w:rsidRPr="00D03F3E">
        <w:rPr>
          <w:rFonts w:ascii="Times New Roman" w:hAnsi="Times New Roman"/>
          <w:color w:val="0070C0"/>
          <w:sz w:val="16"/>
          <w:szCs w:val="16"/>
        </w:rPr>
        <w:noBreakHyphen/>
        <w:t>мм пулеметов, пилоты пытались маневрировать. Однако все было бесполезно. Одна за другой горящие машины падали на землю. Некоторые взрывались в воздухе, разлетаясь на куски. Погибающие экипажи посылали десятки проклятий в адрес своих коллег</w:t>
      </w:r>
      <w:r w:rsidRPr="00D03F3E">
        <w:rPr>
          <w:rFonts w:ascii="Times New Roman" w:hAnsi="Times New Roman"/>
          <w:color w:val="0070C0"/>
          <w:sz w:val="16"/>
          <w:szCs w:val="16"/>
        </w:rPr>
        <w:noBreakHyphen/>
        <w:t>истребителей, но те бесследно растворились в воздухе…</w:t>
      </w:r>
    </w:p>
    <w:p w14:paraId="5116A594"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итоге на свой аэродром вернулся лишь один изрешеченный пулями и снарядами штурмовик капитана Федорова. Сам пилот и его бортстрелок Исаев были тяжело ранены, и их немедленно отправили в госпиталь. Таким образом, вылет закончился полным крахом. Затем ту же цель безуспешно атаковали еще и двухмоторные бомбардировщики.</w:t>
      </w:r>
    </w:p>
    <w:p w14:paraId="6CDB0F9B"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штурмовом ударе по аэродрому Орел</w:t>
      </w:r>
      <w:r w:rsidRPr="00D03F3E">
        <w:rPr>
          <w:rFonts w:ascii="Times New Roman" w:hAnsi="Times New Roman"/>
          <w:color w:val="0070C0"/>
          <w:sz w:val="16"/>
          <w:szCs w:val="16"/>
        </w:rPr>
        <w:noBreakHyphen/>
        <w:t>Западный, который в советских документах назывался Орел</w:t>
      </w:r>
      <w:r w:rsidRPr="00D03F3E">
        <w:rPr>
          <w:rFonts w:ascii="Times New Roman" w:hAnsi="Times New Roman"/>
          <w:color w:val="0070C0"/>
          <w:sz w:val="16"/>
          <w:szCs w:val="16"/>
        </w:rPr>
        <w:noBreakHyphen/>
        <w:t>Центральный, принимали участие одни истребители из 50</w:t>
      </w:r>
      <w:r w:rsidRPr="00D03F3E">
        <w:rPr>
          <w:rFonts w:ascii="Times New Roman" w:hAnsi="Times New Roman"/>
          <w:color w:val="0070C0"/>
          <w:sz w:val="16"/>
          <w:szCs w:val="16"/>
        </w:rPr>
        <w:noBreakHyphen/>
        <w:t>го и 431</w:t>
      </w:r>
      <w:r w:rsidRPr="00D03F3E">
        <w:rPr>
          <w:rFonts w:ascii="Times New Roman" w:hAnsi="Times New Roman"/>
          <w:color w:val="0070C0"/>
          <w:sz w:val="16"/>
          <w:szCs w:val="16"/>
        </w:rPr>
        <w:noBreakHyphen/>
        <w:t>го иап. Всего утром 6 мая в воздух поднялись 27 Ла</w:t>
      </w:r>
      <w:r w:rsidRPr="00D03F3E">
        <w:rPr>
          <w:rFonts w:ascii="Times New Roman" w:hAnsi="Times New Roman"/>
          <w:color w:val="0070C0"/>
          <w:sz w:val="16"/>
          <w:szCs w:val="16"/>
        </w:rPr>
        <w:noBreakHyphen/>
        <w:t>5 и Як</w:t>
      </w:r>
      <w:r w:rsidRPr="00D03F3E">
        <w:rPr>
          <w:rFonts w:ascii="Times New Roman" w:hAnsi="Times New Roman"/>
          <w:color w:val="0070C0"/>
          <w:sz w:val="16"/>
          <w:szCs w:val="16"/>
        </w:rPr>
        <w:noBreakHyphen/>
        <w:t>7б, под фюзеляжами которых были подвешены мелкие осколочные, зажигательные и фугасные бомбы. Пройдя над немецкой территорией на высоте 1200–1500 метров, они в 6.38 утра подошли к цели и с пикирования атаковали стоянки самолетов. Замыкающие истребители обстреляли из пулеметов заправщики и зенитные батареи. Затем на большой скорости «Лавочкины» и Яки ушли на восток. В последующих рапортах значилось 14 уничтоженных на земле и 15–20 поврежденных самолетов противника, а также один FW</w:t>
      </w:r>
      <w:r w:rsidRPr="00D03F3E">
        <w:rPr>
          <w:rFonts w:ascii="Times New Roman" w:hAnsi="Times New Roman"/>
          <w:color w:val="0070C0"/>
          <w:sz w:val="16"/>
          <w:szCs w:val="16"/>
        </w:rPr>
        <w:noBreakHyphen/>
        <w:t>190, сбитый в воздухе.</w:t>
      </w:r>
    </w:p>
    <w:p w14:paraId="2AF29C47"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Согласно же данным люфтваффе, утром 6 мая на аэродроме Орел</w:t>
      </w:r>
      <w:r w:rsidRPr="00D03F3E">
        <w:rPr>
          <w:rFonts w:ascii="Times New Roman" w:hAnsi="Times New Roman"/>
          <w:color w:val="0070C0"/>
          <w:sz w:val="16"/>
          <w:szCs w:val="16"/>
        </w:rPr>
        <w:noBreakHyphen/>
        <w:t>Западный был уничтожен один Ju</w:t>
      </w:r>
      <w:r w:rsidRPr="00D03F3E">
        <w:rPr>
          <w:rFonts w:ascii="Times New Roman" w:hAnsi="Times New Roman"/>
          <w:color w:val="0070C0"/>
          <w:sz w:val="16"/>
          <w:szCs w:val="16"/>
        </w:rPr>
        <w:noBreakHyphen/>
        <w:t>88D</w:t>
      </w:r>
      <w:r w:rsidRPr="00D03F3E">
        <w:rPr>
          <w:rFonts w:ascii="Times New Roman" w:hAnsi="Times New Roman"/>
          <w:color w:val="0070C0"/>
          <w:sz w:val="16"/>
          <w:szCs w:val="16"/>
        </w:rPr>
        <w:noBreakHyphen/>
        <w:t>1 из 4</w:t>
      </w:r>
      <w:r w:rsidRPr="00D03F3E">
        <w:rPr>
          <w:rFonts w:ascii="Times New Roman" w:hAnsi="Times New Roman"/>
          <w:color w:val="0070C0"/>
          <w:sz w:val="16"/>
          <w:szCs w:val="16"/>
        </w:rPr>
        <w:noBreakHyphen/>
        <w:t>й эскадрильи дальней разведки Aufkl.Gr.ll. Еще пять «Юнкерсов» получили различные повреждения. Так же были повреждены по три «Фокке</w:t>
      </w:r>
      <w:r w:rsidRPr="00D03F3E">
        <w:rPr>
          <w:rFonts w:ascii="Times New Roman" w:hAnsi="Times New Roman"/>
          <w:color w:val="0070C0"/>
          <w:sz w:val="16"/>
          <w:szCs w:val="16"/>
        </w:rPr>
        <w:noBreakHyphen/>
        <w:t>Вульфа» из 11</w:t>
      </w:r>
      <w:r w:rsidRPr="00D03F3E">
        <w:rPr>
          <w:rFonts w:ascii="Times New Roman" w:hAnsi="Times New Roman"/>
          <w:color w:val="0070C0"/>
          <w:sz w:val="16"/>
          <w:szCs w:val="16"/>
        </w:rPr>
        <w:noBreakHyphen/>
        <w:t>й и 12</w:t>
      </w:r>
      <w:r w:rsidRPr="00D03F3E">
        <w:rPr>
          <w:rFonts w:ascii="Times New Roman" w:hAnsi="Times New Roman"/>
          <w:color w:val="0070C0"/>
          <w:sz w:val="16"/>
          <w:szCs w:val="16"/>
        </w:rPr>
        <w:noBreakHyphen/>
        <w:t>й эскадрилий JG51 «Мёльдерс». Один человек погиб, еще десять получили ранения. Несмотря на сильно завышенные результаты, этот удар можно признать успешным, тем более что все атакующие истребители благополучно вернулись назад.</w:t>
      </w:r>
    </w:p>
    <w:p w14:paraId="38622A15"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Неудачей закончился налет на аэродром Большая Куликовка, в котором участвовало 19 Ил</w:t>
      </w:r>
      <w:r w:rsidRPr="00D03F3E">
        <w:rPr>
          <w:rFonts w:ascii="Times New Roman" w:hAnsi="Times New Roman"/>
          <w:color w:val="0070C0"/>
          <w:sz w:val="16"/>
          <w:szCs w:val="16"/>
        </w:rPr>
        <w:noBreakHyphen/>
        <w:t>2 из 218</w:t>
      </w:r>
      <w:r w:rsidRPr="00D03F3E">
        <w:rPr>
          <w:rFonts w:ascii="Times New Roman" w:hAnsi="Times New Roman"/>
          <w:color w:val="0070C0"/>
          <w:sz w:val="16"/>
          <w:szCs w:val="16"/>
        </w:rPr>
        <w:noBreakHyphen/>
        <w:t>го шап. Три «горбатых» были сбиты, а многие другие получили повреждения. Истребители прикрытия потеряли три Ла</w:t>
      </w:r>
      <w:r w:rsidRPr="00D03F3E">
        <w:rPr>
          <w:rFonts w:ascii="Times New Roman" w:hAnsi="Times New Roman"/>
          <w:color w:val="0070C0"/>
          <w:sz w:val="16"/>
          <w:szCs w:val="16"/>
        </w:rPr>
        <w:noBreakHyphen/>
        <w:t>5. Сама бомбежка, как водится, не дала никаких результатов.</w:t>
      </w:r>
    </w:p>
    <w:p w14:paraId="28F53CC0"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4.35 по московскому времени с аэродрома Полошково один за другим взлетели 17 Ил</w:t>
      </w:r>
      <w:r w:rsidRPr="00D03F3E">
        <w:rPr>
          <w:rFonts w:ascii="Times New Roman" w:hAnsi="Times New Roman"/>
          <w:color w:val="0070C0"/>
          <w:sz w:val="16"/>
          <w:szCs w:val="16"/>
        </w:rPr>
        <w:noBreakHyphen/>
        <w:t>2 из 571</w:t>
      </w:r>
      <w:r w:rsidRPr="00D03F3E">
        <w:rPr>
          <w:rFonts w:ascii="Times New Roman" w:hAnsi="Times New Roman"/>
          <w:color w:val="0070C0"/>
          <w:sz w:val="16"/>
          <w:szCs w:val="16"/>
        </w:rPr>
        <w:noBreakHyphen/>
        <w:t>го шап подполковника Ф.П. Макарова. Истребительный эскорт состоял из 18 истребителей. Их целью был крупный германский аэродром Брянск. Самолеты поднялись в воздух в утренней дымке и тремя группами направились в западном направлении, как было принято выспренно выражаться, «неся на своих крыльях рассвет».</w:t>
      </w:r>
    </w:p>
    <w:p w14:paraId="63285269"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Ведущий первой шестерки майор Глуховцев явно перенервничал и, видимо, в силу этого повел своих подопечных не запланированным маршрутом, а через все зоны огня зенитной артиллерии. В результате к цели «горбатые» и их экипажи выходили уже с потрепанными фюзеляжами и нервами. Бомбы они сбрасывали залпом наугад, точно так же «в сторону самолетных стоянок», как было сказано в донесениях, пускали и реактивные снаряды.</w:t>
      </w:r>
    </w:p>
    <w:p w14:paraId="1CEE7CFC"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После этого они сразу же взяли влево и стали уходить в сторону линии фронта на высоте около ста метров. Здесь «цементбомберы» были атакованы шестью Bf</w:t>
      </w:r>
      <w:r w:rsidRPr="00D03F3E">
        <w:rPr>
          <w:rFonts w:ascii="Times New Roman" w:hAnsi="Times New Roman"/>
          <w:color w:val="0070C0"/>
          <w:sz w:val="16"/>
          <w:szCs w:val="16"/>
        </w:rPr>
        <w:noBreakHyphen/>
        <w:t>109 и FW</w:t>
      </w:r>
      <w:r w:rsidRPr="00D03F3E">
        <w:rPr>
          <w:rFonts w:ascii="Times New Roman" w:hAnsi="Times New Roman"/>
          <w:color w:val="0070C0"/>
          <w:sz w:val="16"/>
          <w:szCs w:val="16"/>
        </w:rPr>
        <w:noBreakHyphen/>
        <w:t>190. В итоге с задания не вернулись четыре Ил</w:t>
      </w:r>
      <w:r w:rsidRPr="00D03F3E">
        <w:rPr>
          <w:rFonts w:ascii="Times New Roman" w:hAnsi="Times New Roman"/>
          <w:color w:val="0070C0"/>
          <w:sz w:val="16"/>
          <w:szCs w:val="16"/>
        </w:rPr>
        <w:noBreakHyphen/>
        <w:t>2, еще один штурмовик получил тяжелые повреждения и совершил вынужденную посадку на своей территории. Уцелевшие экипажи отчитались об одиннадцати якобы пораженных на земле самолетах, хотя фактически аэродром Брянск не пострадал вовсе. Истребители прикрытия заявили о двух сбитых «Фокке</w:t>
      </w:r>
      <w:r w:rsidRPr="00D03F3E">
        <w:rPr>
          <w:rFonts w:ascii="Times New Roman" w:hAnsi="Times New Roman"/>
          <w:color w:val="0070C0"/>
          <w:sz w:val="16"/>
          <w:szCs w:val="16"/>
        </w:rPr>
        <w:noBreakHyphen/>
        <w:t>Вульфах» [57] .</w:t>
      </w:r>
    </w:p>
    <w:p w14:paraId="043D862C"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Штурмовики 198</w:t>
      </w:r>
      <w:r w:rsidRPr="00D03F3E">
        <w:rPr>
          <w:rFonts w:ascii="Times New Roman" w:hAnsi="Times New Roman"/>
          <w:color w:val="0070C0"/>
          <w:sz w:val="16"/>
          <w:szCs w:val="16"/>
        </w:rPr>
        <w:noBreakHyphen/>
        <w:t>го шап майора В.Г. Карякина наносили удар по аэродрому Шаталово. Для достижения внезапности маршрут полета был проложен над малонаселенными районами, лесами и болотами. Илы шли на бреющем, прижимаясь как можно ближе к земле. Истребители прикрытия летели чуть выше сверху. С началом рассвета примерно в назначенное время впереди появился город Шаталово и расположенный неподалеку большой аэродром. Вскоре стали различимы взлетные полосы, ангары и стоящие на земле самолеты, которые кое</w:t>
      </w:r>
      <w:r w:rsidRPr="00D03F3E">
        <w:rPr>
          <w:rFonts w:ascii="Times New Roman" w:hAnsi="Times New Roman"/>
          <w:color w:val="0070C0"/>
          <w:sz w:val="16"/>
          <w:szCs w:val="16"/>
        </w:rPr>
        <w:noBreakHyphen/>
        <w:t>кто из пилотов приняли за «Юнкерсы</w:t>
      </w:r>
      <w:r w:rsidRPr="00D03F3E">
        <w:rPr>
          <w:rFonts w:ascii="Times New Roman" w:hAnsi="Times New Roman"/>
          <w:color w:val="0070C0"/>
          <w:sz w:val="16"/>
          <w:szCs w:val="16"/>
        </w:rPr>
        <w:noBreakHyphen/>
        <w:t>87». Кто</w:t>
      </w:r>
      <w:r w:rsidRPr="00D03F3E">
        <w:rPr>
          <w:rFonts w:ascii="Times New Roman" w:hAnsi="Times New Roman"/>
          <w:color w:val="0070C0"/>
          <w:sz w:val="16"/>
          <w:szCs w:val="16"/>
        </w:rPr>
        <w:noBreakHyphen/>
        <w:t>то разглядел «стоящие в шахматном порядке» FW</w:t>
      </w:r>
      <w:r w:rsidRPr="00D03F3E">
        <w:rPr>
          <w:rFonts w:ascii="Times New Roman" w:hAnsi="Times New Roman"/>
          <w:color w:val="0070C0"/>
          <w:sz w:val="16"/>
          <w:szCs w:val="16"/>
        </w:rPr>
        <w:noBreakHyphen/>
        <w:t>190, Не</w:t>
      </w:r>
      <w:r w:rsidRPr="00D03F3E">
        <w:rPr>
          <w:rFonts w:ascii="Times New Roman" w:hAnsi="Times New Roman"/>
          <w:color w:val="0070C0"/>
          <w:sz w:val="16"/>
          <w:szCs w:val="16"/>
        </w:rPr>
        <w:noBreakHyphen/>
        <w:t>111 и другие типы «гитлеровских машин».</w:t>
      </w:r>
    </w:p>
    <w:p w14:paraId="4751096B"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6.07 первая группа Ил</w:t>
      </w:r>
      <w:r w:rsidRPr="00D03F3E">
        <w:rPr>
          <w:rFonts w:ascii="Times New Roman" w:hAnsi="Times New Roman"/>
          <w:color w:val="0070C0"/>
          <w:sz w:val="16"/>
          <w:szCs w:val="16"/>
        </w:rPr>
        <w:noBreakHyphen/>
        <w:t>2 нанесла удар по самолетным стоянкам. Через несколько секунд в воздух взметнулись большие столбы огня и дыма, утреннюю тишину нарушили раскаты взрывов. Затем через минуту вторая группа штурмовиков с бреющего выпустила «эрэсы», а также открыла огонь из пушек. И снова внизу взрывы и огонь. Немецкие зенитчики открыли огонь с опозданием, но все же успели повредить несколько «горбатых». Штурмовики 62</w:t>
      </w:r>
      <w:r w:rsidRPr="00D03F3E">
        <w:rPr>
          <w:rFonts w:ascii="Times New Roman" w:hAnsi="Times New Roman"/>
          <w:color w:val="0070C0"/>
          <w:sz w:val="16"/>
          <w:szCs w:val="16"/>
        </w:rPr>
        <w:noBreakHyphen/>
        <w:t>го шап, летевшие в следующей волне, из</w:t>
      </w:r>
      <w:r w:rsidRPr="00D03F3E">
        <w:rPr>
          <w:rFonts w:ascii="Times New Roman" w:hAnsi="Times New Roman"/>
          <w:color w:val="0070C0"/>
          <w:sz w:val="16"/>
          <w:szCs w:val="16"/>
        </w:rPr>
        <w:noBreakHyphen/>
        <w:t>за сплошного дыма, поднявшегося над летным полем, сбрасывали свои боеприпасы уже наугад.</w:t>
      </w:r>
    </w:p>
    <w:p w14:paraId="0AE339FF"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Последней к цели подходила пара Ил</w:t>
      </w:r>
      <w:r w:rsidRPr="00D03F3E">
        <w:rPr>
          <w:rFonts w:ascii="Times New Roman" w:hAnsi="Times New Roman"/>
          <w:color w:val="0070C0"/>
          <w:sz w:val="16"/>
          <w:szCs w:val="16"/>
        </w:rPr>
        <w:noBreakHyphen/>
        <w:t>2 летчиков Александра Ефимова и Михаила Бабкина из 198</w:t>
      </w:r>
      <w:r w:rsidRPr="00D03F3E">
        <w:rPr>
          <w:rFonts w:ascii="Times New Roman" w:hAnsi="Times New Roman"/>
          <w:color w:val="0070C0"/>
          <w:sz w:val="16"/>
          <w:szCs w:val="16"/>
        </w:rPr>
        <w:noBreakHyphen/>
        <w:t>го шап, которой предстояла трудная задача – под зенитным огнем пройти по прямой над аэродромом и сфотографировать результаты налета. Ефимов потом вспоминал: «Трудно заставить себя лететь в самую гущу огня, но приказ есть приказ. Беру штурвал на себя, бросаю взгляд на высотомер: стрелка медленно ползет вправо, высота заданная. Впереди по курсу аэродром. Не могу определить его границы, вижу только клубы дыма, пыли и языки огня. Включаю фотоаппарат и стараюсь выдержать прямую» [58] .</w:t>
      </w:r>
    </w:p>
    <w:p w14:paraId="4A34A33C"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Это очень важный момент. Результаты атаки Ил</w:t>
      </w:r>
      <w:r w:rsidRPr="00D03F3E">
        <w:rPr>
          <w:rFonts w:ascii="Times New Roman" w:hAnsi="Times New Roman"/>
          <w:color w:val="0070C0"/>
          <w:sz w:val="16"/>
          <w:szCs w:val="16"/>
        </w:rPr>
        <w:noBreakHyphen/>
        <w:t>2 аэродрома фиксировались непосредственно после удара замыкающей парой! Понятно, что в клубах дыма и пыли после многочисленных взрывов бомб и ракет разглядеть, а тем более что</w:t>
      </w:r>
      <w:r w:rsidRPr="00D03F3E">
        <w:rPr>
          <w:rFonts w:ascii="Times New Roman" w:hAnsi="Times New Roman"/>
          <w:color w:val="0070C0"/>
          <w:sz w:val="16"/>
          <w:szCs w:val="16"/>
        </w:rPr>
        <w:noBreakHyphen/>
        <w:t>либо сфотографировать было весьма трудно. Кроме того, замыкающие штурмовики, которые вынуждены были следовать строго по прямой и на определенной высоте, легко сбивались зенитной артиллерией и истребителями. Понятно, что в таких условиях ни о каком эффективном контроле результатов не могло быть и речи.</w:t>
      </w:r>
    </w:p>
    <w:p w14:paraId="60670618"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Ефимов продолжал свой рассказ:</w:t>
      </w:r>
    </w:p>
    <w:p w14:paraId="6B61A3A1"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«Слева и справа мечутся огненные трассы «эрликонов». По курсу вспыхивает множество багровых бутонов. Затем они седеют и висят в воздухе, словно ватные хлопья. Красивое зрелище, но подальше бы от этой красоты. Инстинктивно втягиваю голову в плечи. Хочется сделаться маленьким, незаметным. Вдруг слышу сильный удар: «Тррах!» Взрыв произошел где</w:t>
      </w:r>
      <w:r w:rsidRPr="00D03F3E">
        <w:rPr>
          <w:rFonts w:ascii="Times New Roman" w:hAnsi="Times New Roman"/>
          <w:color w:val="0070C0"/>
          <w:sz w:val="16"/>
          <w:szCs w:val="16"/>
        </w:rPr>
        <w:noBreakHyphen/>
        <w:t>то внизу, под самолетом. А еще через пару секунд снова подбросило машину: кажется, задело левую плоскость… Что</w:t>
      </w:r>
      <w:r w:rsidRPr="00D03F3E">
        <w:rPr>
          <w:rFonts w:ascii="Times New Roman" w:hAnsi="Times New Roman"/>
          <w:color w:val="0070C0"/>
          <w:sz w:val="16"/>
          <w:szCs w:val="16"/>
        </w:rPr>
        <w:noBreakHyphen/>
        <w:t xml:space="preserve">то кричит воздушный стрелок – в этом хаосе разобрать невозможно. Наш штурмовик опять вздрагивает, в кабину врывается дым. Слышу пулеметную дробь. Догадываюсь, стрелок открыл огонь из крупнокалиберного пулемета. Со скольжением на левое крыло перевожу самолет на снижение. Бросив мгновенный взгляд вправо, вижу, как мой ведомый повторяет маневр, его машина тоже в белых хлопьях. </w:t>
      </w:r>
    </w:p>
    <w:p w14:paraId="1BCF3A52"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Вывожу штурмовик у самой земли. В горячке не замечаю, что самолетом стало трудно управлять. Он как</w:t>
      </w:r>
      <w:r w:rsidRPr="00D03F3E">
        <w:rPr>
          <w:rFonts w:ascii="Times New Roman" w:hAnsi="Times New Roman"/>
          <w:color w:val="0070C0"/>
          <w:sz w:val="16"/>
          <w:szCs w:val="16"/>
        </w:rPr>
        <w:noBreakHyphen/>
        <w:t>то нехотя реагирует на отклонение рулей, заваливается влево. Смотрю на левую плоскость. Рваными краями топорщится законцовка крыла. В левом элероне зияет дыра, ленточки перкалевой обшивки трепещут в воздушном потоке. Стрелок докладывает, что и в фюзеляже большая пробоина» [59] .</w:t>
      </w:r>
    </w:p>
    <w:p w14:paraId="77FD25BD"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Штурмовик Бабкина тоже получил сильные повреждения, при этом был ранен бортстрелок. С большим трудом изрешеченные машины дотянули до своего аэродрома.</w:t>
      </w:r>
    </w:p>
    <w:p w14:paraId="459DCE94"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 возвращении летчики 198</w:t>
      </w:r>
      <w:r w:rsidRPr="00D03F3E">
        <w:rPr>
          <w:rFonts w:ascii="Times New Roman" w:hAnsi="Times New Roman"/>
          <w:color w:val="0070C0"/>
          <w:sz w:val="16"/>
          <w:szCs w:val="16"/>
        </w:rPr>
        <w:noBreakHyphen/>
        <w:t>го шап отчитались о «двух десятках» уничтоженных Ju</w:t>
      </w:r>
      <w:r w:rsidRPr="00D03F3E">
        <w:rPr>
          <w:rFonts w:ascii="Times New Roman" w:hAnsi="Times New Roman"/>
          <w:color w:val="0070C0"/>
          <w:sz w:val="16"/>
          <w:szCs w:val="16"/>
        </w:rPr>
        <w:noBreakHyphen/>
        <w:t>87. Кроме того, были якобы «основательно повреждены» два ангара и взорвано бензохранилище. Но на самом деле немцы в Шаталово отделались легким испугом. Там незначительные повреждения получили два FW</w:t>
      </w:r>
      <w:r w:rsidRPr="00D03F3E">
        <w:rPr>
          <w:rFonts w:ascii="Times New Roman" w:hAnsi="Times New Roman"/>
          <w:color w:val="0070C0"/>
          <w:sz w:val="16"/>
          <w:szCs w:val="16"/>
        </w:rPr>
        <w:noBreakHyphen/>
        <w:t>190A</w:t>
      </w:r>
      <w:r w:rsidRPr="00D03F3E">
        <w:rPr>
          <w:rFonts w:ascii="Times New Roman" w:hAnsi="Times New Roman"/>
          <w:color w:val="0070C0"/>
          <w:sz w:val="16"/>
          <w:szCs w:val="16"/>
        </w:rPr>
        <w:noBreakHyphen/>
        <w:t>5 из IV./JG51 «Мёльдерс», а из наземного и летного персонала вообще никто не пострадал.</w:t>
      </w:r>
    </w:p>
    <w:p w14:paraId="520AD49D"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Налет на аэродром Боровское изначально пошел не по плану из</w:t>
      </w:r>
      <w:r w:rsidRPr="00D03F3E">
        <w:rPr>
          <w:rFonts w:ascii="Times New Roman" w:hAnsi="Times New Roman"/>
          <w:color w:val="0070C0"/>
          <w:sz w:val="16"/>
          <w:szCs w:val="16"/>
        </w:rPr>
        <w:noBreakHyphen/>
        <w:t>за ошибок самих летчиков. Первыми к нему направились пять Ил</w:t>
      </w:r>
      <w:r w:rsidRPr="00D03F3E">
        <w:rPr>
          <w:rFonts w:ascii="Times New Roman" w:hAnsi="Times New Roman"/>
          <w:color w:val="0070C0"/>
          <w:sz w:val="16"/>
          <w:szCs w:val="16"/>
        </w:rPr>
        <w:noBreakHyphen/>
        <w:t>2 из 312</w:t>
      </w:r>
      <w:r w:rsidRPr="00D03F3E">
        <w:rPr>
          <w:rFonts w:ascii="Times New Roman" w:hAnsi="Times New Roman"/>
          <w:color w:val="0070C0"/>
          <w:sz w:val="16"/>
          <w:szCs w:val="16"/>
        </w:rPr>
        <w:noBreakHyphen/>
        <w:t>го шап в сопровождении всего двух Ла</w:t>
      </w:r>
      <w:r w:rsidRPr="00D03F3E">
        <w:rPr>
          <w:rFonts w:ascii="Times New Roman" w:hAnsi="Times New Roman"/>
          <w:color w:val="0070C0"/>
          <w:sz w:val="16"/>
          <w:szCs w:val="16"/>
        </w:rPr>
        <w:noBreakHyphen/>
        <w:t>5. Из</w:t>
      </w:r>
      <w:r w:rsidRPr="00D03F3E">
        <w:rPr>
          <w:rFonts w:ascii="Times New Roman" w:hAnsi="Times New Roman"/>
          <w:color w:val="0070C0"/>
          <w:sz w:val="16"/>
          <w:szCs w:val="16"/>
        </w:rPr>
        <w:noBreakHyphen/>
        <w:t>за малой высоты полета пилоты «горбатых» перепутали наземные ориентиры и прошли мимо цели, а затем, поняв, что топлива на дальнейшие ее поиски уже нет, радостно повернули домой. Однако спокойно вернуться им не дали, так как в районе города Ельня в небе появились немецкие истребители. Словно «не заметив» скромный эскорт, они с первой же атаки отправили на землю штурмовик младшего лейтенанта И.А. Пастухова. Затем был сбит самолет младшего лейтенанта Комаровского. Оставшаяся тройка кое</w:t>
      </w:r>
      <w:r w:rsidRPr="00D03F3E">
        <w:rPr>
          <w:rFonts w:ascii="Times New Roman" w:hAnsi="Times New Roman"/>
          <w:color w:val="0070C0"/>
          <w:sz w:val="16"/>
          <w:szCs w:val="16"/>
        </w:rPr>
        <w:noBreakHyphen/>
        <w:t>как сумела уйти от преследователей и приземлилась на первом же попавшемся аэродроме на своей территории.</w:t>
      </w:r>
    </w:p>
    <w:p w14:paraId="048B6481"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И лишь шести Илам из 62</w:t>
      </w:r>
      <w:r w:rsidRPr="00D03F3E">
        <w:rPr>
          <w:rFonts w:ascii="Times New Roman" w:hAnsi="Times New Roman"/>
          <w:color w:val="0070C0"/>
          <w:sz w:val="16"/>
          <w:szCs w:val="16"/>
        </w:rPr>
        <w:noBreakHyphen/>
        <w:t>го шап в 6.30 удалось отыскать Боровское и сбросить на него бомбы. Затем аэродром атаковали еще четыре «горбатых» все из того же 312</w:t>
      </w:r>
      <w:r w:rsidRPr="00D03F3E">
        <w:rPr>
          <w:rFonts w:ascii="Times New Roman" w:hAnsi="Times New Roman"/>
          <w:color w:val="0070C0"/>
          <w:sz w:val="16"/>
          <w:szCs w:val="16"/>
        </w:rPr>
        <w:noBreakHyphen/>
        <w:t>го шап. Проносясь над летным полем, летчики успели в короткие мгновения разглядеть на нем «до 15 самолетов типа Me</w:t>
      </w:r>
      <w:r w:rsidRPr="00D03F3E">
        <w:rPr>
          <w:rFonts w:ascii="Times New Roman" w:hAnsi="Times New Roman"/>
          <w:color w:val="0070C0"/>
          <w:sz w:val="16"/>
          <w:szCs w:val="16"/>
        </w:rPr>
        <w:noBreakHyphen/>
        <w:t>110, Ю</w:t>
      </w:r>
      <w:r w:rsidRPr="00D03F3E">
        <w:rPr>
          <w:rFonts w:ascii="Times New Roman" w:hAnsi="Times New Roman"/>
          <w:color w:val="0070C0"/>
          <w:sz w:val="16"/>
          <w:szCs w:val="16"/>
        </w:rPr>
        <w:noBreakHyphen/>
        <w:t>88 и Хе</w:t>
      </w:r>
      <w:r w:rsidRPr="00D03F3E">
        <w:rPr>
          <w:rFonts w:ascii="Times New Roman" w:hAnsi="Times New Roman"/>
          <w:color w:val="0070C0"/>
          <w:sz w:val="16"/>
          <w:szCs w:val="16"/>
        </w:rPr>
        <w:noBreakHyphen/>
        <w:t>126», а также десять макетов двухмоторных самолетов. Затем половину от всего этого числа посчитали уничтоженной. Кроме того, по возвращении экипажи обеих групп сообщили о сбитых FW</w:t>
      </w:r>
      <w:r w:rsidRPr="00D03F3E">
        <w:rPr>
          <w:rFonts w:ascii="Times New Roman" w:hAnsi="Times New Roman"/>
          <w:color w:val="0070C0"/>
          <w:sz w:val="16"/>
          <w:szCs w:val="16"/>
        </w:rPr>
        <w:noBreakHyphen/>
        <w:t>190 и Bf</w:t>
      </w:r>
      <w:r w:rsidRPr="00D03F3E">
        <w:rPr>
          <w:rFonts w:ascii="Times New Roman" w:hAnsi="Times New Roman"/>
          <w:color w:val="0070C0"/>
          <w:sz w:val="16"/>
          <w:szCs w:val="16"/>
        </w:rPr>
        <w:noBreakHyphen/>
        <w:t>110, причем последний якобы «упал в лес в районе Балтунино». В то же время получили значительные повреждения три «черные смерти» [60] . Хотя некий фотоконтроль потом «подтвердил» уничтожение пяти немецких самолетов, на самом деле аэродром Боровск не пострадал.</w:t>
      </w:r>
    </w:p>
    <w:p w14:paraId="729B57B1"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Авиаудары 8</w:t>
      </w:r>
      <w:r w:rsidRPr="00D03F3E">
        <w:rPr>
          <w:rFonts w:ascii="Times New Roman" w:hAnsi="Times New Roman"/>
          <w:color w:val="0070C0"/>
          <w:sz w:val="16"/>
          <w:szCs w:val="16"/>
        </w:rPr>
        <w:noBreakHyphen/>
        <w:t>й воздушной армии, накопившей в ходе Сталинградской битвы большой отрицательный опыт подобной деятельности, тоже оказались малоэффективными. Из</w:t>
      </w:r>
      <w:r w:rsidRPr="00D03F3E">
        <w:rPr>
          <w:rFonts w:ascii="Times New Roman" w:hAnsi="Times New Roman"/>
          <w:color w:val="0070C0"/>
          <w:sz w:val="16"/>
          <w:szCs w:val="16"/>
        </w:rPr>
        <w:noBreakHyphen/>
        <w:t>за плохой работы наземных служб и нехватки горючего налет на Кутейниково был организован из рук вон плохо. В воздух с большим опозданием удалось поднять только одно звено Ил</w:t>
      </w:r>
      <w:r w:rsidRPr="00D03F3E">
        <w:rPr>
          <w:rFonts w:ascii="Times New Roman" w:hAnsi="Times New Roman"/>
          <w:color w:val="0070C0"/>
          <w:sz w:val="16"/>
          <w:szCs w:val="16"/>
        </w:rPr>
        <w:noBreakHyphen/>
        <w:t>2, которое в сопровождении восьми истребителей 73</w:t>
      </w:r>
      <w:r w:rsidRPr="00D03F3E">
        <w:rPr>
          <w:rFonts w:ascii="Times New Roman" w:hAnsi="Times New Roman"/>
          <w:color w:val="0070C0"/>
          <w:sz w:val="16"/>
          <w:szCs w:val="16"/>
        </w:rPr>
        <w:noBreakHyphen/>
        <w:t>го гв. иап майора Н.И. Баранова появилось над целью в 5.50, то есть когда уже рассвело. Атака была проведена прямолинейно без тактических изысков. «Черные смерти» с высоты 1700 метров перешли в пологое пикирование и с одного захода залпом сбросили все боеприпасы. При этом летчики затем и не скрывали своей халтуры, честно заявив, что все бомбы «упали с недолетом 100 метров». Зато все экипажи благополучно вернулись на базу.</w:t>
      </w:r>
    </w:p>
    <w:p w14:paraId="4C800F4C"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Незадолго до этого – в 5.45 – их коллеги бомбардировщики «отработали» по аэродрому Сталино, на котором предположительно находилось «до 40 двухмоторных самолетов и около 10 истребителей». Замыкающий Пе</w:t>
      </w:r>
      <w:r w:rsidRPr="00D03F3E">
        <w:rPr>
          <w:rFonts w:ascii="Times New Roman" w:hAnsi="Times New Roman"/>
          <w:color w:val="0070C0"/>
          <w:sz w:val="16"/>
          <w:szCs w:val="16"/>
        </w:rPr>
        <w:noBreakHyphen/>
        <w:t>2 сделал аэрофотоснимок летного поля, показавший, что был уничтожен только один бомбардировщик. Это редчайший случай, когда советские данные почти совпадают с германскими. Действительно, в то утро на аэродроме Сталино</w:t>
      </w:r>
      <w:r w:rsidRPr="00D03F3E">
        <w:rPr>
          <w:rFonts w:ascii="Times New Roman" w:hAnsi="Times New Roman"/>
          <w:color w:val="0070C0"/>
          <w:sz w:val="16"/>
          <w:szCs w:val="16"/>
        </w:rPr>
        <w:noBreakHyphen/>
        <w:t>Северный получил небольшие повреждения Не</w:t>
      </w:r>
      <w:r w:rsidRPr="00D03F3E">
        <w:rPr>
          <w:rFonts w:ascii="Times New Roman" w:hAnsi="Times New Roman"/>
          <w:color w:val="0070C0"/>
          <w:sz w:val="16"/>
          <w:szCs w:val="16"/>
        </w:rPr>
        <w:noBreakHyphen/>
        <w:t>111Н из III./KG55 «Грайф».</w:t>
      </w:r>
    </w:p>
    <w:p w14:paraId="67D7A2F6"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Утренние налеты на другие немецкие авиабазы, в том числе Харьков</w:t>
      </w:r>
      <w:r w:rsidRPr="00D03F3E">
        <w:rPr>
          <w:rFonts w:ascii="Times New Roman" w:hAnsi="Times New Roman"/>
          <w:color w:val="0070C0"/>
          <w:sz w:val="16"/>
          <w:szCs w:val="16"/>
        </w:rPr>
        <w:noBreakHyphen/>
        <w:t>Сокольники, Панково и Полтаву, тоже закончились безрезультатно.</w:t>
      </w:r>
    </w:p>
    <w:p w14:paraId="569394BA"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Согласно же донесениям экипажей, всего в результате удара по аэродромам люфтваффе утром 6 мая на земле было уничтожено 205 самолетов. Хотя потом советские летчики утверждали, что немцы оказали лишь символическое сопротивление, тем не менее на свои базы не вернулось тридцать, вероятно также «символически сбитых», советских самолетов (23199).</w:t>
      </w:r>
    </w:p>
    <w:p w14:paraId="76BD89D8" w14:textId="77777777" w:rsidR="00C559A4" w:rsidRPr="00D03F3E" w:rsidRDefault="00C559A4" w:rsidP="00D03F3E">
      <w:pPr>
        <w:spacing w:after="0" w:line="240" w:lineRule="auto"/>
        <w:jc w:val="both"/>
        <w:rPr>
          <w:rFonts w:ascii="Times New Roman" w:hAnsi="Times New Roman"/>
          <w:color w:val="0070C0"/>
          <w:sz w:val="16"/>
          <w:szCs w:val="16"/>
        </w:rPr>
      </w:pPr>
    </w:p>
    <w:p w14:paraId="35A71E4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мая 1943 в 5.00 над аэродромом Краматорская, где находилось до 100 самолетов противника, появились 10 Ла-5 из 5-го ГИАП и 6 Як-1 из 814-го ИАП. Они не дали взлететь истребителям до подхо</w:t>
      </w:r>
      <w:r w:rsidRPr="00D03F3E">
        <w:rPr>
          <w:rFonts w:ascii="Times New Roman" w:hAnsi="Times New Roman"/>
          <w:color w:val="000000" w:themeColor="text1"/>
          <w:sz w:val="16"/>
          <w:szCs w:val="16"/>
        </w:rPr>
        <w:softHyphen/>
        <w:t>да 16 «Илов», и те 17 минут безнаказанно «утюжили» стоянки. Кро</w:t>
      </w:r>
      <w:r w:rsidRPr="00D03F3E">
        <w:rPr>
          <w:rFonts w:ascii="Times New Roman" w:hAnsi="Times New Roman"/>
          <w:color w:val="000000" w:themeColor="text1"/>
          <w:sz w:val="16"/>
          <w:szCs w:val="16"/>
        </w:rPr>
        <w:softHyphen/>
        <w:t>ме того, «Лавочкины» и «Яки» не позволили прорваться к штурмови</w:t>
      </w:r>
      <w:r w:rsidRPr="00D03F3E">
        <w:rPr>
          <w:rFonts w:ascii="Times New Roman" w:hAnsi="Times New Roman"/>
          <w:color w:val="000000" w:themeColor="text1"/>
          <w:sz w:val="16"/>
          <w:szCs w:val="16"/>
        </w:rPr>
        <w:softHyphen/>
        <w:t>кам 14 Вт 109 и ГЛЛ/ 190, прибывшим с других аэродромов. В тот день было совершено еще несколько таких налетов, в которых, по докладам экипажей, удалось уничтожить на земле 23 самолета и 12 повредить, а в воздушных боях сбить 11 истребителей и 3 повре</w:t>
      </w:r>
      <w:r w:rsidRPr="00D03F3E">
        <w:rPr>
          <w:rFonts w:ascii="Times New Roman" w:hAnsi="Times New Roman"/>
          <w:color w:val="000000" w:themeColor="text1"/>
          <w:sz w:val="16"/>
          <w:szCs w:val="16"/>
        </w:rPr>
        <w:softHyphen/>
        <w:t>дить. Свои потери составили 6 Ил-2 и 1 Ла-5. Правда, «наверх» по</w:t>
      </w:r>
      <w:r w:rsidRPr="00D03F3E">
        <w:rPr>
          <w:rFonts w:ascii="Times New Roman" w:hAnsi="Times New Roman"/>
          <w:color w:val="000000" w:themeColor="text1"/>
          <w:sz w:val="16"/>
          <w:szCs w:val="16"/>
        </w:rPr>
        <w:softHyphen/>
        <w:t>шел скорректированный в сторону уменьшения побед доклад шта</w:t>
      </w:r>
      <w:r w:rsidRPr="00D03F3E">
        <w:rPr>
          <w:rFonts w:ascii="Times New Roman" w:hAnsi="Times New Roman"/>
          <w:color w:val="000000" w:themeColor="text1"/>
          <w:sz w:val="16"/>
          <w:szCs w:val="16"/>
        </w:rPr>
        <w:softHyphen/>
        <w:t>ба 17-й ВА (11123). В тот же день по Харьковскому аэроузлу отработала 2-я ВА. Ранним утром были одновременно атакованы все 5 аэродромов, на которых базировались вражеские истребители. 18 Ла-5 прикрывали 12 Ил-2, штурмовавших аэродром Рогань. Штурмовики сделали по 2-3 захода, используя все свое вооружение, а Ла-5 поучаствова</w:t>
      </w:r>
      <w:r w:rsidRPr="00D03F3E">
        <w:rPr>
          <w:rFonts w:ascii="Times New Roman" w:hAnsi="Times New Roman"/>
          <w:color w:val="000000" w:themeColor="text1"/>
          <w:sz w:val="16"/>
          <w:szCs w:val="16"/>
        </w:rPr>
        <w:softHyphen/>
        <w:t>ли в штурмовке и подавлении позиций МЗА. Противник поднять истребители не смог. Немцы потеряли 50 самолетов, что подтвер</w:t>
      </w:r>
      <w:r w:rsidRPr="00D03F3E">
        <w:rPr>
          <w:rFonts w:ascii="Times New Roman" w:hAnsi="Times New Roman"/>
          <w:color w:val="000000" w:themeColor="text1"/>
          <w:sz w:val="16"/>
          <w:szCs w:val="16"/>
        </w:rPr>
        <w:softHyphen/>
        <w:t>дила аэрофотосъемка. В 15.00 состоялся повторный налет. К нему неприятель был уже готов: рассредоточил и замаскировал технику, устроил засады МЗА и полевые площадки для истребителей. В итоге авиаторы ощутимых результатов не добились, потеряв 6 Ил-2 и 3 истребителя (11123).</w:t>
      </w:r>
    </w:p>
    <w:p w14:paraId="6740A98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6B3D0C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мая 1943 на рассвете аэродром Крама</w:t>
      </w:r>
      <w:r w:rsidRPr="00D03F3E">
        <w:rPr>
          <w:color w:val="000000" w:themeColor="text1"/>
          <w:sz w:val="16"/>
          <w:szCs w:val="16"/>
        </w:rPr>
        <w:softHyphen/>
        <w:t>торская, на котором поданным армейс</w:t>
      </w:r>
      <w:r w:rsidRPr="00D03F3E">
        <w:rPr>
          <w:color w:val="000000" w:themeColor="text1"/>
          <w:sz w:val="16"/>
          <w:szCs w:val="16"/>
        </w:rPr>
        <w:softHyphen/>
        <w:t>кой разведки было сосредоточено до 100 немецких самолетов различного типа, был подвергнут бомбоштурмовому уда</w:t>
      </w:r>
      <w:r w:rsidRPr="00D03F3E">
        <w:rPr>
          <w:color w:val="000000" w:themeColor="text1"/>
          <w:sz w:val="16"/>
          <w:szCs w:val="16"/>
        </w:rPr>
        <w:softHyphen/>
        <w:t xml:space="preserve">ру истребителей 207-й </w:t>
      </w:r>
      <w:r w:rsidRPr="00D03F3E">
        <w:rPr>
          <w:iCs/>
          <w:color w:val="000000" w:themeColor="text1"/>
          <w:sz w:val="16"/>
          <w:szCs w:val="16"/>
        </w:rPr>
        <w:t>иад</w:t>
      </w:r>
      <w:r w:rsidRPr="00D03F3E">
        <w:rPr>
          <w:color w:val="000000" w:themeColor="text1"/>
          <w:sz w:val="16"/>
          <w:szCs w:val="16"/>
        </w:rPr>
        <w:t xml:space="preserve"> п-ка А.П.0-садчего и штурмовиков 290-й </w:t>
      </w:r>
      <w:r w:rsidRPr="00D03F3E">
        <w:rPr>
          <w:iCs/>
          <w:color w:val="000000" w:themeColor="text1"/>
          <w:sz w:val="16"/>
          <w:szCs w:val="16"/>
        </w:rPr>
        <w:t>шад</w:t>
      </w:r>
      <w:r w:rsidRPr="00D03F3E">
        <w:rPr>
          <w:color w:val="000000" w:themeColor="text1"/>
          <w:sz w:val="16"/>
          <w:szCs w:val="16"/>
        </w:rPr>
        <w:t xml:space="preserve"> п-п-ка П.И.Мироненко 3-го смешанного авиакорпуса генерал-майора авиации В.И.Аладинского.</w:t>
      </w:r>
    </w:p>
    <w:p w14:paraId="2B5CE8A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5.00 аэродром был блокирован де</w:t>
      </w:r>
      <w:r w:rsidRPr="00D03F3E">
        <w:rPr>
          <w:color w:val="000000" w:themeColor="text1"/>
          <w:sz w:val="16"/>
          <w:szCs w:val="16"/>
        </w:rPr>
        <w:softHyphen/>
        <w:t xml:space="preserve">сяткой Ла-5 5-го </w:t>
      </w:r>
      <w:r w:rsidRPr="00D03F3E">
        <w:rPr>
          <w:iCs/>
          <w:color w:val="000000" w:themeColor="text1"/>
          <w:sz w:val="16"/>
          <w:szCs w:val="16"/>
        </w:rPr>
        <w:t>гиап,</w:t>
      </w:r>
      <w:r w:rsidRPr="00D03F3E">
        <w:rPr>
          <w:color w:val="000000" w:themeColor="text1"/>
          <w:sz w:val="16"/>
          <w:szCs w:val="16"/>
        </w:rPr>
        <w:t xml:space="preserve"> которая несколь</w:t>
      </w:r>
      <w:r w:rsidRPr="00D03F3E">
        <w:rPr>
          <w:color w:val="000000" w:themeColor="text1"/>
          <w:sz w:val="16"/>
          <w:szCs w:val="16"/>
        </w:rPr>
        <w:softHyphen/>
        <w:t xml:space="preserve">ко позже, совместно с шестеркой Як-1 814-го </w:t>
      </w:r>
      <w:r w:rsidRPr="00D03F3E">
        <w:rPr>
          <w:iCs/>
          <w:color w:val="000000" w:themeColor="text1"/>
          <w:sz w:val="16"/>
          <w:szCs w:val="16"/>
        </w:rPr>
        <w:t>иап,</w:t>
      </w:r>
      <w:r w:rsidRPr="00D03F3E">
        <w:rPr>
          <w:color w:val="000000" w:themeColor="text1"/>
          <w:sz w:val="16"/>
          <w:szCs w:val="16"/>
        </w:rPr>
        <w:t xml:space="preserve"> связала боем 14 подошед</w:t>
      </w:r>
      <w:r w:rsidRPr="00D03F3E">
        <w:rPr>
          <w:color w:val="000000" w:themeColor="text1"/>
          <w:sz w:val="16"/>
          <w:szCs w:val="16"/>
        </w:rPr>
        <w:softHyphen/>
        <w:t>ших "мессершмиттов" и "фокке-вульфов" и этим обеспечила в период 5.10-5.27 свободу действий в районе аэро</w:t>
      </w:r>
      <w:r w:rsidRPr="00D03F3E">
        <w:rPr>
          <w:color w:val="000000" w:themeColor="text1"/>
          <w:sz w:val="16"/>
          <w:szCs w:val="16"/>
        </w:rPr>
        <w:softHyphen/>
        <w:t xml:space="preserve">дрома двух восьмерок Ил-2 из 775-го и 299-го </w:t>
      </w:r>
      <w:r w:rsidRPr="00D03F3E">
        <w:rPr>
          <w:iCs/>
          <w:color w:val="000000" w:themeColor="text1"/>
          <w:sz w:val="16"/>
          <w:szCs w:val="16"/>
        </w:rPr>
        <w:t>шап. Обе</w:t>
      </w:r>
      <w:r w:rsidRPr="00D03F3E">
        <w:rPr>
          <w:color w:val="000000" w:themeColor="text1"/>
          <w:sz w:val="16"/>
          <w:szCs w:val="16"/>
        </w:rPr>
        <w:t xml:space="preserve"> группы штурмовиков практически беспрепятственно со сто</w:t>
      </w:r>
      <w:r w:rsidRPr="00D03F3E">
        <w:rPr>
          <w:color w:val="000000" w:themeColor="text1"/>
          <w:sz w:val="16"/>
          <w:szCs w:val="16"/>
        </w:rPr>
        <w:softHyphen/>
        <w:t>роны истребительной авиации против</w:t>
      </w:r>
      <w:r w:rsidRPr="00D03F3E">
        <w:rPr>
          <w:color w:val="000000" w:themeColor="text1"/>
          <w:sz w:val="16"/>
          <w:szCs w:val="16"/>
        </w:rPr>
        <w:softHyphen/>
        <w:t>ника расстреливали и бомбили немец</w:t>
      </w:r>
      <w:r w:rsidRPr="00D03F3E">
        <w:rPr>
          <w:color w:val="000000" w:themeColor="text1"/>
          <w:sz w:val="16"/>
          <w:szCs w:val="16"/>
        </w:rPr>
        <w:softHyphen/>
        <w:t>кие самолеты на аэродроме, выполнив по несколько заходов. Истребители при</w:t>
      </w:r>
      <w:r w:rsidRPr="00D03F3E">
        <w:rPr>
          <w:color w:val="000000" w:themeColor="text1"/>
          <w:sz w:val="16"/>
          <w:szCs w:val="16"/>
        </w:rPr>
        <w:softHyphen/>
        <w:t>крытия, сбив 2 Bf109G, после ухода "Илов" также провели штурмовку аэро</w:t>
      </w:r>
      <w:r w:rsidRPr="00D03F3E">
        <w:rPr>
          <w:color w:val="000000" w:themeColor="text1"/>
          <w:sz w:val="16"/>
          <w:szCs w:val="16"/>
        </w:rPr>
        <w:softHyphen/>
        <w:t>дрома.</w:t>
      </w:r>
    </w:p>
    <w:p w14:paraId="2656861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19.00 этого же дня аэродром Кра</w:t>
      </w:r>
      <w:r w:rsidRPr="00D03F3E">
        <w:rPr>
          <w:color w:val="000000" w:themeColor="text1"/>
          <w:sz w:val="16"/>
          <w:szCs w:val="16"/>
        </w:rPr>
        <w:softHyphen/>
        <w:t>маторская вторично был подвергнут со</w:t>
      </w:r>
      <w:r w:rsidRPr="00D03F3E">
        <w:rPr>
          <w:color w:val="000000" w:themeColor="text1"/>
          <w:sz w:val="16"/>
          <w:szCs w:val="16"/>
        </w:rPr>
        <w:softHyphen/>
        <w:t>вместному бомбоштурмовому удару 8 штурмовиков Ил-2 и 12 истребителей Як-1.</w:t>
      </w:r>
    </w:p>
    <w:p w14:paraId="6063135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По докладу начальника штаба 3-го </w:t>
      </w:r>
      <w:r w:rsidRPr="00D03F3E">
        <w:rPr>
          <w:iCs/>
          <w:color w:val="000000" w:themeColor="text1"/>
          <w:sz w:val="16"/>
          <w:szCs w:val="16"/>
        </w:rPr>
        <w:t xml:space="preserve">сак </w:t>
      </w:r>
      <w:r w:rsidRPr="00D03F3E">
        <w:rPr>
          <w:color w:val="000000" w:themeColor="text1"/>
          <w:sz w:val="16"/>
          <w:szCs w:val="16"/>
        </w:rPr>
        <w:t xml:space="preserve">п-ка Назарова в результате бомбоштурмовых ударов экипажей по аэродрому Краматорская, а также в 8 воздушных боях "... </w:t>
      </w:r>
      <w:r w:rsidRPr="00D03F3E">
        <w:rPr>
          <w:iCs/>
          <w:color w:val="000000" w:themeColor="text1"/>
          <w:sz w:val="16"/>
          <w:szCs w:val="16"/>
        </w:rPr>
        <w:t>было уничтожено и повреждено до 49 самолетов противника, из них 23 самолета сожжено на аэродроме, 12 са</w:t>
      </w:r>
      <w:r w:rsidRPr="00D03F3E">
        <w:rPr>
          <w:iCs/>
          <w:color w:val="000000" w:themeColor="text1"/>
          <w:sz w:val="16"/>
          <w:szCs w:val="16"/>
        </w:rPr>
        <w:softHyphen/>
        <w:t>молетов сильно повреждено пулеметно-пушечным огнем при штурмовых атаках, 11 истребителей сбито в воздушном бою и 3 самолета подбито в воздушном бою. Взорван один склад с горючим и подав</w:t>
      </w:r>
      <w:r w:rsidRPr="00D03F3E">
        <w:rPr>
          <w:iCs/>
          <w:color w:val="000000" w:themeColor="text1"/>
          <w:sz w:val="16"/>
          <w:szCs w:val="16"/>
        </w:rPr>
        <w:softHyphen/>
        <w:t>лено 2 орудия зенитной артиллерии и несколько точек зенитных пулеметов".</w:t>
      </w:r>
    </w:p>
    <w:p w14:paraId="53EAF66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Потери корпуса генерала Аладинского составили: 6 Ил-2 (3 летчика и 2 воз</w:t>
      </w:r>
      <w:r w:rsidRPr="00D03F3E">
        <w:rPr>
          <w:color w:val="000000" w:themeColor="text1"/>
          <w:sz w:val="16"/>
          <w:szCs w:val="16"/>
        </w:rPr>
        <w:softHyphen/>
        <w:t>душных стрелка погибли) и 1 Ла-5 (лет</w:t>
      </w:r>
      <w:r w:rsidRPr="00D03F3E">
        <w:rPr>
          <w:color w:val="000000" w:themeColor="text1"/>
          <w:sz w:val="16"/>
          <w:szCs w:val="16"/>
        </w:rPr>
        <w:softHyphen/>
        <w:t>чик спустился на парашюте на террито</w:t>
      </w:r>
      <w:r w:rsidRPr="00D03F3E">
        <w:rPr>
          <w:color w:val="000000" w:themeColor="text1"/>
          <w:sz w:val="16"/>
          <w:szCs w:val="16"/>
        </w:rPr>
        <w:softHyphen/>
        <w:t>рии противника) (6467).</w:t>
      </w:r>
    </w:p>
    <w:p w14:paraId="77FAE364" w14:textId="77777777" w:rsidR="00531570" w:rsidRPr="00D03F3E" w:rsidRDefault="00531570" w:rsidP="00D03F3E">
      <w:pPr>
        <w:pStyle w:val="Iauiue"/>
        <w:jc w:val="both"/>
        <w:rPr>
          <w:color w:val="000000" w:themeColor="text1"/>
          <w:sz w:val="16"/>
          <w:szCs w:val="16"/>
        </w:rPr>
      </w:pPr>
    </w:p>
    <w:p w14:paraId="6EF272B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ночь с 6 на 7 мая 1943 аэродром Крама</w:t>
      </w:r>
      <w:r w:rsidRPr="00D03F3E">
        <w:rPr>
          <w:color w:val="000000" w:themeColor="text1"/>
          <w:sz w:val="16"/>
          <w:szCs w:val="16"/>
        </w:rPr>
        <w:softHyphen/>
        <w:t xml:space="preserve">торская четыре раза бомбили летчики-ночники 449-го </w:t>
      </w:r>
      <w:r w:rsidRPr="00D03F3E">
        <w:rPr>
          <w:iCs/>
          <w:color w:val="000000" w:themeColor="text1"/>
          <w:sz w:val="16"/>
          <w:szCs w:val="16"/>
        </w:rPr>
        <w:t>бап</w:t>
      </w:r>
      <w:r w:rsidRPr="00D03F3E">
        <w:rPr>
          <w:color w:val="000000" w:themeColor="text1"/>
          <w:sz w:val="16"/>
          <w:szCs w:val="16"/>
        </w:rPr>
        <w:t xml:space="preserve"> м-ра И.И.Малова, 734-го и 370-го </w:t>
      </w:r>
      <w:r w:rsidRPr="00D03F3E">
        <w:rPr>
          <w:iCs/>
          <w:color w:val="000000" w:themeColor="text1"/>
          <w:sz w:val="16"/>
          <w:szCs w:val="16"/>
        </w:rPr>
        <w:t>нбап</w:t>
      </w:r>
      <w:r w:rsidRPr="00D03F3E">
        <w:rPr>
          <w:color w:val="000000" w:themeColor="text1"/>
          <w:sz w:val="16"/>
          <w:szCs w:val="16"/>
        </w:rPr>
        <w:t xml:space="preserve"> м-ра А.В.Стяжкова и п-п-ка К.Д.Василевского соответствен</w:t>
      </w:r>
      <w:r w:rsidRPr="00D03F3E">
        <w:rPr>
          <w:color w:val="000000" w:themeColor="text1"/>
          <w:sz w:val="16"/>
          <w:szCs w:val="16"/>
        </w:rPr>
        <w:softHyphen/>
        <w:t>но. Было отмечено 10 прямых попада</w:t>
      </w:r>
      <w:r w:rsidRPr="00D03F3E">
        <w:rPr>
          <w:color w:val="000000" w:themeColor="text1"/>
          <w:sz w:val="16"/>
          <w:szCs w:val="16"/>
        </w:rPr>
        <w:softHyphen/>
        <w:t>ний по местам стоянок самолетов, 16 -по бетонной площадке и 6 - по батаре</w:t>
      </w:r>
      <w:r w:rsidRPr="00D03F3E">
        <w:rPr>
          <w:color w:val="000000" w:themeColor="text1"/>
          <w:sz w:val="16"/>
          <w:szCs w:val="16"/>
        </w:rPr>
        <w:softHyphen/>
        <w:t>ям зенитной артиллерии.</w:t>
      </w:r>
    </w:p>
    <w:p w14:paraId="66275B8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Отметим, что количество уничтожен</w:t>
      </w:r>
      <w:r w:rsidRPr="00D03F3E">
        <w:rPr>
          <w:color w:val="000000" w:themeColor="text1"/>
          <w:sz w:val="16"/>
          <w:szCs w:val="16"/>
        </w:rPr>
        <w:softHyphen/>
        <w:t xml:space="preserve">ных немецких самолетов Люфтваффе на аэродроме Краматорская, показанных в отчете штаба 3-го </w:t>
      </w:r>
      <w:r w:rsidRPr="00D03F3E">
        <w:rPr>
          <w:iCs/>
          <w:color w:val="000000" w:themeColor="text1"/>
          <w:sz w:val="16"/>
          <w:szCs w:val="16"/>
        </w:rPr>
        <w:t>сак,</w:t>
      </w:r>
      <w:r w:rsidRPr="00D03F3E">
        <w:rPr>
          <w:color w:val="000000" w:themeColor="text1"/>
          <w:sz w:val="16"/>
          <w:szCs w:val="16"/>
        </w:rPr>
        <w:t xml:space="preserve"> завышено при</w:t>
      </w:r>
      <w:r w:rsidRPr="00D03F3E">
        <w:rPr>
          <w:color w:val="000000" w:themeColor="text1"/>
          <w:sz w:val="16"/>
          <w:szCs w:val="16"/>
        </w:rPr>
        <w:softHyphen/>
        <w:t>мерно в 2,5-3 раза. Это следует как из оценки боевых возможностей Ил-2 по результатам полигонных испытаний и анализа боевого опыта применения штурмовика, подтвержденного данными работы специальных комиссий воздуш</w:t>
      </w:r>
      <w:r w:rsidRPr="00D03F3E">
        <w:rPr>
          <w:color w:val="000000" w:themeColor="text1"/>
          <w:sz w:val="16"/>
          <w:szCs w:val="16"/>
        </w:rPr>
        <w:softHyphen/>
        <w:t>ных армий и НИИ ВВС КА., так и из ха</w:t>
      </w:r>
      <w:r w:rsidRPr="00D03F3E">
        <w:rPr>
          <w:color w:val="000000" w:themeColor="text1"/>
          <w:sz w:val="16"/>
          <w:szCs w:val="16"/>
        </w:rPr>
        <w:softHyphen/>
        <w:t>рактера расположения самолетов на аэродроме Краматорская по данным разведки (6467).</w:t>
      </w:r>
    </w:p>
    <w:p w14:paraId="0EEE1DF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всей видимости, в штабе 17-й воз</w:t>
      </w:r>
      <w:r w:rsidRPr="00D03F3E">
        <w:rPr>
          <w:color w:val="000000" w:themeColor="text1"/>
          <w:sz w:val="16"/>
          <w:szCs w:val="16"/>
        </w:rPr>
        <w:softHyphen/>
        <w:t>душной армии также усомнились в дос</w:t>
      </w:r>
      <w:r w:rsidRPr="00D03F3E">
        <w:rPr>
          <w:color w:val="000000" w:themeColor="text1"/>
          <w:sz w:val="16"/>
          <w:szCs w:val="16"/>
        </w:rPr>
        <w:softHyphen/>
        <w:t xml:space="preserve">товерности донесения штаба 3-го </w:t>
      </w:r>
      <w:r w:rsidRPr="00D03F3E">
        <w:rPr>
          <w:iCs/>
          <w:color w:val="000000" w:themeColor="text1"/>
          <w:sz w:val="16"/>
          <w:szCs w:val="16"/>
        </w:rPr>
        <w:t xml:space="preserve">сак, </w:t>
      </w:r>
      <w:r w:rsidRPr="00D03F3E">
        <w:rPr>
          <w:color w:val="000000" w:themeColor="text1"/>
          <w:sz w:val="16"/>
          <w:szCs w:val="16"/>
        </w:rPr>
        <w:t>так как в итоговом докладе командую</w:t>
      </w:r>
      <w:r w:rsidRPr="00D03F3E">
        <w:rPr>
          <w:color w:val="000000" w:themeColor="text1"/>
          <w:sz w:val="16"/>
          <w:szCs w:val="16"/>
        </w:rPr>
        <w:softHyphen/>
        <w:t>щему ВВС КА о боевых действиях ар</w:t>
      </w:r>
      <w:r w:rsidRPr="00D03F3E">
        <w:rPr>
          <w:color w:val="000000" w:themeColor="text1"/>
          <w:sz w:val="16"/>
          <w:szCs w:val="16"/>
        </w:rPr>
        <w:softHyphen/>
        <w:t>мии в период 6-8 мая 1943 вышел потери против</w:t>
      </w:r>
      <w:r w:rsidRPr="00D03F3E">
        <w:rPr>
          <w:color w:val="000000" w:themeColor="text1"/>
          <w:sz w:val="16"/>
          <w:szCs w:val="16"/>
        </w:rPr>
        <w:softHyphen/>
        <w:t>ника на аэродроме Краматорская 6 мая были уменьшены до 6 самолетов сби</w:t>
      </w:r>
      <w:r w:rsidRPr="00D03F3E">
        <w:rPr>
          <w:color w:val="000000" w:themeColor="text1"/>
          <w:sz w:val="16"/>
          <w:szCs w:val="16"/>
        </w:rPr>
        <w:softHyphen/>
        <w:t>тых в воздушном бою, 21 уничтоженных и 12 поврежденных самолетов на аэро</w:t>
      </w:r>
      <w:r w:rsidRPr="00D03F3E">
        <w:rPr>
          <w:color w:val="000000" w:themeColor="text1"/>
          <w:sz w:val="16"/>
          <w:szCs w:val="16"/>
        </w:rPr>
        <w:softHyphen/>
        <w:t>дроме. Свои потери армия также умень</w:t>
      </w:r>
      <w:r w:rsidRPr="00D03F3E">
        <w:rPr>
          <w:color w:val="000000" w:themeColor="text1"/>
          <w:sz w:val="16"/>
          <w:szCs w:val="16"/>
        </w:rPr>
        <w:softHyphen/>
        <w:t>шила до 2 Ил-2, сбитых зенитной артил</w:t>
      </w:r>
      <w:r w:rsidRPr="00D03F3E">
        <w:rPr>
          <w:color w:val="000000" w:themeColor="text1"/>
          <w:sz w:val="16"/>
          <w:szCs w:val="16"/>
        </w:rPr>
        <w:softHyphen/>
        <w:t>лерией, и одного Ла-5 - в воздушном бою.</w:t>
      </w:r>
    </w:p>
    <w:p w14:paraId="5FFF2AE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Командующий 2-й ВА генерал С.А. Красовский также смог неплохо органи</w:t>
      </w:r>
      <w:r w:rsidRPr="00D03F3E">
        <w:rPr>
          <w:color w:val="000000" w:themeColor="text1"/>
          <w:sz w:val="16"/>
          <w:szCs w:val="16"/>
        </w:rPr>
        <w:softHyphen/>
        <w:t>зовать первый бомбоштурмовой удар по немецким аэродромам. Имея точные данные о сосредоточении авиации про</w:t>
      </w:r>
      <w:r w:rsidRPr="00D03F3E">
        <w:rPr>
          <w:color w:val="000000" w:themeColor="text1"/>
          <w:sz w:val="16"/>
          <w:szCs w:val="16"/>
        </w:rPr>
        <w:softHyphen/>
        <w:t>тивника на Харьковском аэроузле (150 истребителей и до 200 бомбардировщи</w:t>
      </w:r>
      <w:r w:rsidRPr="00D03F3E">
        <w:rPr>
          <w:color w:val="000000" w:themeColor="text1"/>
          <w:sz w:val="16"/>
          <w:szCs w:val="16"/>
        </w:rPr>
        <w:softHyphen/>
        <w:t>ков), командующий принял решение в 5.30 6 мая нанести одновременный мас</w:t>
      </w:r>
      <w:r w:rsidRPr="00D03F3E">
        <w:rPr>
          <w:color w:val="000000" w:themeColor="text1"/>
          <w:sz w:val="16"/>
          <w:szCs w:val="16"/>
        </w:rPr>
        <w:softHyphen/>
        <w:t>сированный удар по аэродромам Рогань, Основа, Сокольники, Померки и Полтава силами 30 Ил-2, 38 истребителей и 6 бомбардировщиков A-20G: 12 Ил-2 под прикрытием 12 Як-76 "работали" по аэродрому Померки, 12 Ил-2 и 18 Ла-5 - по аэродрому Рогань, 6 Ил-2 и 8 Як-76 - по аэродрому Сокольники, а 6 "Бостонов" наносили удар по аэродрому Пол</w:t>
      </w:r>
      <w:r w:rsidRPr="00D03F3E">
        <w:rPr>
          <w:color w:val="000000" w:themeColor="text1"/>
          <w:sz w:val="16"/>
          <w:szCs w:val="16"/>
        </w:rPr>
        <w:softHyphen/>
        <w:t>тава с высоты 6000 м без прикрытия истребителей.</w:t>
      </w:r>
    </w:p>
    <w:p w14:paraId="5B1D818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Выбор времени удара был выбран исходя из того, что летная жизнь на не</w:t>
      </w:r>
      <w:r w:rsidRPr="00D03F3E">
        <w:rPr>
          <w:color w:val="000000" w:themeColor="text1"/>
          <w:sz w:val="16"/>
          <w:szCs w:val="16"/>
        </w:rPr>
        <w:softHyphen/>
        <w:t>мецких аэродромах в последние 3 дня начиналась в 6.00 и личный состав при</w:t>
      </w:r>
      <w:r w:rsidRPr="00D03F3E">
        <w:rPr>
          <w:color w:val="000000" w:themeColor="text1"/>
          <w:sz w:val="16"/>
          <w:szCs w:val="16"/>
        </w:rPr>
        <w:softHyphen/>
        <w:t>бывал на аэродром к 5.00.</w:t>
      </w:r>
    </w:p>
    <w:p w14:paraId="16003A2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Перед вылетом на задание с летным составом были тщательно изучены фо</w:t>
      </w:r>
      <w:r w:rsidRPr="00D03F3E">
        <w:rPr>
          <w:color w:val="000000" w:themeColor="text1"/>
          <w:sz w:val="16"/>
          <w:szCs w:val="16"/>
        </w:rPr>
        <w:softHyphen/>
        <w:t>топланшеты аэродромов, на земле про</w:t>
      </w:r>
      <w:r w:rsidRPr="00D03F3E">
        <w:rPr>
          <w:color w:val="000000" w:themeColor="text1"/>
          <w:sz w:val="16"/>
          <w:szCs w:val="16"/>
        </w:rPr>
        <w:softHyphen/>
        <w:t>играны боевые порядки и маневры над целью, порядок выхода из атаки и сбор группы после атаки, установлено количество заходов на цель.</w:t>
      </w:r>
    </w:p>
    <w:p w14:paraId="21C3663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расчетное время 4.50 выделенные группы штурмовиков и истребителей вылетели на выполнение боевой зада</w:t>
      </w:r>
      <w:r w:rsidRPr="00D03F3E">
        <w:rPr>
          <w:color w:val="000000" w:themeColor="text1"/>
          <w:sz w:val="16"/>
          <w:szCs w:val="16"/>
        </w:rPr>
        <w:softHyphen/>
        <w:t>чи. Перелет линии фронта выполнялся на высоте 1000-1200 м, подход к цели на высоте 1500 м. Не доходя до аэродро</w:t>
      </w:r>
      <w:r w:rsidRPr="00D03F3E">
        <w:rPr>
          <w:color w:val="000000" w:themeColor="text1"/>
          <w:sz w:val="16"/>
          <w:szCs w:val="16"/>
        </w:rPr>
        <w:softHyphen/>
        <w:t>мов 10-12 км, Ил-2 перестраивались в "пеленг" пар и на приглушенных мото</w:t>
      </w:r>
      <w:r w:rsidRPr="00D03F3E">
        <w:rPr>
          <w:color w:val="000000" w:themeColor="text1"/>
          <w:sz w:val="16"/>
          <w:szCs w:val="16"/>
        </w:rPr>
        <w:softHyphen/>
        <w:t>рах подходили к цели, снижаясь до вы</w:t>
      </w:r>
      <w:r w:rsidRPr="00D03F3E">
        <w:rPr>
          <w:color w:val="000000" w:themeColor="text1"/>
          <w:sz w:val="16"/>
          <w:szCs w:val="16"/>
        </w:rPr>
        <w:softHyphen/>
        <w:t>соты 1100 м. Выйдя на цель, каждая пара с пологого пикирования самостоятель</w:t>
      </w:r>
      <w:r w:rsidRPr="00D03F3E">
        <w:rPr>
          <w:color w:val="000000" w:themeColor="text1"/>
          <w:sz w:val="16"/>
          <w:szCs w:val="16"/>
        </w:rPr>
        <w:softHyphen/>
        <w:t>но атаковывала цель, сбрасывая бомбы с высоты 400-500 м. После бомбомета</w:t>
      </w:r>
      <w:r w:rsidRPr="00D03F3E">
        <w:rPr>
          <w:color w:val="000000" w:themeColor="text1"/>
          <w:sz w:val="16"/>
          <w:szCs w:val="16"/>
        </w:rPr>
        <w:softHyphen/>
        <w:t>ния штурмовики, став в круг, расстреливали самолеты противника из пушек, пулеметов и PC, выполнив по 2-3 захо</w:t>
      </w:r>
      <w:r w:rsidRPr="00D03F3E">
        <w:rPr>
          <w:color w:val="000000" w:themeColor="text1"/>
          <w:sz w:val="16"/>
          <w:szCs w:val="16"/>
        </w:rPr>
        <w:softHyphen/>
        <w:t>да. Во всех случаях зенитная артилле</w:t>
      </w:r>
      <w:r w:rsidRPr="00D03F3E">
        <w:rPr>
          <w:color w:val="000000" w:themeColor="text1"/>
          <w:sz w:val="16"/>
          <w:szCs w:val="16"/>
        </w:rPr>
        <w:softHyphen/>
        <w:t>рия аэродромов открывала огонь неор</w:t>
      </w:r>
      <w:r w:rsidRPr="00D03F3E">
        <w:rPr>
          <w:color w:val="000000" w:themeColor="text1"/>
          <w:sz w:val="16"/>
          <w:szCs w:val="16"/>
        </w:rPr>
        <w:softHyphen/>
        <w:t>ганизованно и лишь только тогда, когда Ил-2 уже отходили от цели.</w:t>
      </w:r>
    </w:p>
    <w:p w14:paraId="6034745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результате бомбоштурмовых уда</w:t>
      </w:r>
      <w:r w:rsidRPr="00D03F3E">
        <w:rPr>
          <w:color w:val="000000" w:themeColor="text1"/>
          <w:sz w:val="16"/>
          <w:szCs w:val="16"/>
        </w:rPr>
        <w:softHyphen/>
        <w:t>ров 2-я воздушная армия уничтожила и повредила до 50 немецких самолетов. Данные подтверждены фотоснимками разведчиков-контролеров.</w:t>
      </w:r>
    </w:p>
    <w:p w14:paraId="575F0D5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Повторный удар в 15.00 был плохо организован и не так тщательно подго</w:t>
      </w:r>
      <w:r w:rsidRPr="00D03F3E">
        <w:rPr>
          <w:color w:val="000000" w:themeColor="text1"/>
          <w:sz w:val="16"/>
          <w:szCs w:val="16"/>
        </w:rPr>
        <w:softHyphen/>
        <w:t>товлен в смысле разведки. Поэтому в повторном ударе положительных резуль</w:t>
      </w:r>
      <w:r w:rsidRPr="00D03F3E">
        <w:rPr>
          <w:color w:val="000000" w:themeColor="text1"/>
          <w:sz w:val="16"/>
          <w:szCs w:val="16"/>
        </w:rPr>
        <w:softHyphen/>
        <w:t>татов достигнуто не было. К моменту повторного удара противник успел рас</w:t>
      </w:r>
      <w:r w:rsidRPr="00D03F3E">
        <w:rPr>
          <w:color w:val="000000" w:themeColor="text1"/>
          <w:sz w:val="16"/>
          <w:szCs w:val="16"/>
        </w:rPr>
        <w:softHyphen/>
        <w:t>средоточить исправную матчасть по дру</w:t>
      </w:r>
      <w:r w:rsidRPr="00D03F3E">
        <w:rPr>
          <w:color w:val="000000" w:themeColor="text1"/>
          <w:sz w:val="16"/>
          <w:szCs w:val="16"/>
        </w:rPr>
        <w:softHyphen/>
        <w:t>гим аэродромам. Система ПВО приве</w:t>
      </w:r>
      <w:r w:rsidRPr="00D03F3E">
        <w:rPr>
          <w:color w:val="000000" w:themeColor="text1"/>
          <w:sz w:val="16"/>
          <w:szCs w:val="16"/>
        </w:rPr>
        <w:softHyphen/>
        <w:t>дена в повышенную готовность, а истре</w:t>
      </w:r>
      <w:r w:rsidRPr="00D03F3E">
        <w:rPr>
          <w:color w:val="000000" w:themeColor="text1"/>
          <w:sz w:val="16"/>
          <w:szCs w:val="16"/>
        </w:rPr>
        <w:softHyphen/>
        <w:t>бители посажены на аэродромы заса</w:t>
      </w:r>
      <w:r w:rsidRPr="00D03F3E">
        <w:rPr>
          <w:color w:val="000000" w:themeColor="text1"/>
          <w:sz w:val="16"/>
          <w:szCs w:val="16"/>
        </w:rPr>
        <w:softHyphen/>
        <w:t>ды. В итоге все экипажи 2-й ВА встре</w:t>
      </w:r>
      <w:r w:rsidRPr="00D03F3E">
        <w:rPr>
          <w:color w:val="000000" w:themeColor="text1"/>
          <w:sz w:val="16"/>
          <w:szCs w:val="16"/>
        </w:rPr>
        <w:softHyphen/>
        <w:t>тили организованное противодействие со стороны зенитной артиллерии и ис</w:t>
      </w:r>
      <w:r w:rsidRPr="00D03F3E">
        <w:rPr>
          <w:color w:val="000000" w:themeColor="text1"/>
          <w:sz w:val="16"/>
          <w:szCs w:val="16"/>
        </w:rPr>
        <w:softHyphen/>
        <w:t>требителей противника, свои задачи выполнить не смогли и потеряли сби</w:t>
      </w:r>
      <w:r w:rsidRPr="00D03F3E">
        <w:rPr>
          <w:color w:val="000000" w:themeColor="text1"/>
          <w:sz w:val="16"/>
          <w:szCs w:val="16"/>
        </w:rPr>
        <w:softHyphen/>
        <w:t>тыми 9 машин: 6 Ил-2 и 3 истребителя.</w:t>
      </w:r>
    </w:p>
    <w:p w14:paraId="748F61C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мнению офицера Генерального штаба Красной Армии при штабе 2-й воздушной армии м-ра Филиппова, рас</w:t>
      </w:r>
      <w:r w:rsidRPr="00D03F3E">
        <w:rPr>
          <w:color w:val="000000" w:themeColor="text1"/>
          <w:sz w:val="16"/>
          <w:szCs w:val="16"/>
        </w:rPr>
        <w:softHyphen/>
        <w:t>чет выделенных сил штурмовиков и бом</w:t>
      </w:r>
      <w:r w:rsidRPr="00D03F3E">
        <w:rPr>
          <w:color w:val="000000" w:themeColor="text1"/>
          <w:sz w:val="16"/>
          <w:szCs w:val="16"/>
        </w:rPr>
        <w:softHyphen/>
        <w:t>бардировщиков не соответствовал по</w:t>
      </w:r>
      <w:r w:rsidRPr="00D03F3E">
        <w:rPr>
          <w:color w:val="000000" w:themeColor="text1"/>
          <w:sz w:val="16"/>
          <w:szCs w:val="16"/>
        </w:rPr>
        <w:softHyphen/>
        <w:t xml:space="preserve">ставленным целям. </w:t>
      </w:r>
      <w:r w:rsidRPr="00D03F3E">
        <w:rPr>
          <w:iCs/>
          <w:color w:val="000000" w:themeColor="text1"/>
          <w:sz w:val="16"/>
          <w:szCs w:val="16"/>
        </w:rPr>
        <w:t>"...Опыт показыва</w:t>
      </w:r>
      <w:r w:rsidRPr="00D03F3E">
        <w:rPr>
          <w:iCs/>
          <w:color w:val="000000" w:themeColor="text1"/>
          <w:sz w:val="16"/>
          <w:szCs w:val="16"/>
        </w:rPr>
        <w:softHyphen/>
        <w:t>ет, что удары по аэродромам дают вы</w:t>
      </w:r>
      <w:r w:rsidRPr="00D03F3E">
        <w:rPr>
          <w:iCs/>
          <w:color w:val="000000" w:themeColor="text1"/>
          <w:sz w:val="16"/>
          <w:szCs w:val="16"/>
        </w:rPr>
        <w:softHyphen/>
        <w:t>сокую эффективность при условии, ког</w:t>
      </w:r>
      <w:r w:rsidRPr="00D03F3E">
        <w:rPr>
          <w:iCs/>
          <w:color w:val="000000" w:themeColor="text1"/>
          <w:sz w:val="16"/>
          <w:szCs w:val="16"/>
        </w:rPr>
        <w:softHyphen/>
        <w:t>да высылается наряд самолетов в соот</w:t>
      </w:r>
      <w:r w:rsidRPr="00D03F3E">
        <w:rPr>
          <w:iCs/>
          <w:color w:val="000000" w:themeColor="text1"/>
          <w:sz w:val="16"/>
          <w:szCs w:val="16"/>
        </w:rPr>
        <w:softHyphen/>
        <w:t>ношении один к одному, т.е. состав на</w:t>
      </w:r>
      <w:r w:rsidRPr="00D03F3E">
        <w:rPr>
          <w:iCs/>
          <w:color w:val="000000" w:themeColor="text1"/>
          <w:sz w:val="16"/>
          <w:szCs w:val="16"/>
        </w:rPr>
        <w:softHyphen/>
        <w:t>шей группы должен численно соответ</w:t>
      </w:r>
      <w:r w:rsidRPr="00D03F3E">
        <w:rPr>
          <w:iCs/>
          <w:color w:val="000000" w:themeColor="text1"/>
          <w:sz w:val="16"/>
          <w:szCs w:val="16"/>
        </w:rPr>
        <w:softHyphen/>
        <w:t>ствовать самолетам противника, нахо</w:t>
      </w:r>
      <w:r w:rsidRPr="00D03F3E">
        <w:rPr>
          <w:iCs/>
          <w:color w:val="000000" w:themeColor="text1"/>
          <w:sz w:val="16"/>
          <w:szCs w:val="16"/>
        </w:rPr>
        <w:softHyphen/>
        <w:t>дившимся на аэродроме...", -</w:t>
      </w:r>
      <w:r w:rsidRPr="00D03F3E">
        <w:rPr>
          <w:color w:val="000000" w:themeColor="text1"/>
          <w:sz w:val="16"/>
          <w:szCs w:val="16"/>
        </w:rPr>
        <w:t xml:space="preserve"> отмечал Филиппов в своем докладе на имя на</w:t>
      </w:r>
      <w:r w:rsidRPr="00D03F3E">
        <w:rPr>
          <w:color w:val="000000" w:themeColor="text1"/>
          <w:sz w:val="16"/>
          <w:szCs w:val="16"/>
        </w:rPr>
        <w:softHyphen/>
        <w:t>чальника группы офицеров Генштаба генерал-майора Дубинина.</w:t>
      </w:r>
    </w:p>
    <w:p w14:paraId="3BA6D85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Значительно менее успешными в этот день были действия летчиков 16-й ВА генерал-лейтенанта авиации С.И.Руденко, которая в 14:27 силами 200 самоле</w:t>
      </w:r>
      <w:r w:rsidRPr="00D03F3E">
        <w:rPr>
          <w:color w:val="000000" w:themeColor="text1"/>
          <w:sz w:val="16"/>
          <w:szCs w:val="16"/>
        </w:rPr>
        <w:softHyphen/>
        <w:t xml:space="preserve">тов (24 Пе-3 3-го </w:t>
      </w:r>
      <w:r w:rsidRPr="00D03F3E">
        <w:rPr>
          <w:iCs/>
          <w:color w:val="000000" w:themeColor="text1"/>
          <w:sz w:val="16"/>
          <w:szCs w:val="16"/>
        </w:rPr>
        <w:t>бак,</w:t>
      </w:r>
      <w:r w:rsidRPr="00D03F3E">
        <w:rPr>
          <w:color w:val="000000" w:themeColor="text1"/>
          <w:sz w:val="16"/>
          <w:szCs w:val="16"/>
        </w:rPr>
        <w:t xml:space="preserve"> 64 Ил-2 2-й гвар</w:t>
      </w:r>
      <w:r w:rsidRPr="00D03F3E">
        <w:rPr>
          <w:color w:val="000000" w:themeColor="text1"/>
          <w:sz w:val="16"/>
          <w:szCs w:val="16"/>
        </w:rPr>
        <w:softHyphen/>
        <w:t>дейской и 299-й штурмовых авиадиви</w:t>
      </w:r>
      <w:r w:rsidRPr="00D03F3E">
        <w:rPr>
          <w:color w:val="000000" w:themeColor="text1"/>
          <w:sz w:val="16"/>
          <w:szCs w:val="16"/>
        </w:rPr>
        <w:softHyphen/>
        <w:t>зий и 112 истребителей 1-й гвардейс</w:t>
      </w:r>
      <w:r w:rsidRPr="00D03F3E">
        <w:rPr>
          <w:color w:val="000000" w:themeColor="text1"/>
          <w:sz w:val="16"/>
          <w:szCs w:val="16"/>
        </w:rPr>
        <w:softHyphen/>
        <w:t>кой, 283-й и 286-й истребительных авиа</w:t>
      </w:r>
      <w:r w:rsidRPr="00D03F3E">
        <w:rPr>
          <w:color w:val="000000" w:themeColor="text1"/>
          <w:sz w:val="16"/>
          <w:szCs w:val="16"/>
        </w:rPr>
        <w:softHyphen/>
        <w:t>дивизий) нанесла массированный удар по аэродромам Орловского аэроузла (Орел-Военный, Орел-Гражданский, Б.Куликовка, Хмелевая, Хомуты), на котором находилось до 220 самолетов Люфтваффе. На аэродромах по докладам экипа</w:t>
      </w:r>
      <w:r w:rsidRPr="00D03F3E">
        <w:rPr>
          <w:color w:val="000000" w:themeColor="text1"/>
          <w:sz w:val="16"/>
          <w:szCs w:val="16"/>
        </w:rPr>
        <w:softHyphen/>
        <w:t xml:space="preserve">жей было уничтожено и повреждено до 54 самолетов противника различного типа, 15 автомашин, 5 складов </w:t>
      </w:r>
      <w:r w:rsidRPr="00D03F3E">
        <w:rPr>
          <w:color w:val="000000" w:themeColor="text1"/>
          <w:sz w:val="16"/>
          <w:szCs w:val="16"/>
        </w:rPr>
        <w:lastRenderedPageBreak/>
        <w:t>с горю</w:t>
      </w:r>
      <w:r w:rsidRPr="00D03F3E">
        <w:rPr>
          <w:color w:val="000000" w:themeColor="text1"/>
          <w:sz w:val="16"/>
          <w:szCs w:val="16"/>
        </w:rPr>
        <w:softHyphen/>
        <w:t>чим и боеприпасами, подавлено 9 огне</w:t>
      </w:r>
      <w:r w:rsidRPr="00D03F3E">
        <w:rPr>
          <w:color w:val="000000" w:themeColor="text1"/>
          <w:sz w:val="16"/>
          <w:szCs w:val="16"/>
        </w:rPr>
        <w:softHyphen/>
        <w:t>вых точек МЗА и создано свыше 20 оча</w:t>
      </w:r>
      <w:r w:rsidRPr="00D03F3E">
        <w:rPr>
          <w:color w:val="000000" w:themeColor="text1"/>
          <w:sz w:val="16"/>
          <w:szCs w:val="16"/>
        </w:rPr>
        <w:softHyphen/>
        <w:t>гов пожара. Кроме этого, в воздушном бою сбит 21 самолет и подбито 2 само</w:t>
      </w:r>
      <w:r w:rsidRPr="00D03F3E">
        <w:rPr>
          <w:color w:val="000000" w:themeColor="text1"/>
          <w:sz w:val="16"/>
          <w:szCs w:val="16"/>
        </w:rPr>
        <w:softHyphen/>
        <w:t>лета противника.</w:t>
      </w:r>
    </w:p>
    <w:p w14:paraId="0AC6AC1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 сожалению, командованию 16-й ВА не удалось достичь внезапности ударов. Не были в достаточной мере подавле</w:t>
      </w:r>
      <w:r w:rsidRPr="00D03F3E">
        <w:rPr>
          <w:color w:val="000000" w:themeColor="text1"/>
          <w:sz w:val="16"/>
          <w:szCs w:val="16"/>
        </w:rPr>
        <w:softHyphen/>
        <w:t>ны зенитные точки аэродромов (выде</w:t>
      </w:r>
      <w:r w:rsidRPr="00D03F3E">
        <w:rPr>
          <w:color w:val="000000" w:themeColor="text1"/>
          <w:sz w:val="16"/>
          <w:szCs w:val="16"/>
        </w:rPr>
        <w:softHyphen/>
        <w:t>ленные для этой цели силы были недо</w:t>
      </w:r>
      <w:r w:rsidRPr="00D03F3E">
        <w:rPr>
          <w:color w:val="000000" w:themeColor="text1"/>
          <w:sz w:val="16"/>
          <w:szCs w:val="16"/>
        </w:rPr>
        <w:softHyphen/>
        <w:t>статочными). Соседние аэродромы про</w:t>
      </w:r>
      <w:r w:rsidRPr="00D03F3E">
        <w:rPr>
          <w:color w:val="000000" w:themeColor="text1"/>
          <w:sz w:val="16"/>
          <w:szCs w:val="16"/>
        </w:rPr>
        <w:softHyphen/>
        <w:t>тивника не были своевременно забло</w:t>
      </w:r>
      <w:r w:rsidRPr="00D03F3E">
        <w:rPr>
          <w:color w:val="000000" w:themeColor="text1"/>
          <w:sz w:val="16"/>
          <w:szCs w:val="16"/>
        </w:rPr>
        <w:softHyphen/>
        <w:t xml:space="preserve">кированы истребителями 1 -и </w:t>
      </w:r>
      <w:r w:rsidRPr="00D03F3E">
        <w:rPr>
          <w:iCs/>
          <w:color w:val="000000" w:themeColor="text1"/>
          <w:sz w:val="16"/>
          <w:szCs w:val="16"/>
        </w:rPr>
        <w:t>гиад</w:t>
      </w:r>
      <w:r w:rsidRPr="00D03F3E">
        <w:rPr>
          <w:color w:val="000000" w:themeColor="text1"/>
          <w:sz w:val="16"/>
          <w:szCs w:val="16"/>
        </w:rPr>
        <w:t xml:space="preserve"> (эки</w:t>
      </w:r>
      <w:r w:rsidRPr="00D03F3E">
        <w:rPr>
          <w:color w:val="000000" w:themeColor="text1"/>
          <w:sz w:val="16"/>
          <w:szCs w:val="16"/>
        </w:rPr>
        <w:softHyphen/>
        <w:t>пажи прибыли к цели с опозданием). Как следствие, Ил-2 и истребители при</w:t>
      </w:r>
      <w:r w:rsidRPr="00D03F3E">
        <w:rPr>
          <w:color w:val="000000" w:themeColor="text1"/>
          <w:sz w:val="16"/>
          <w:szCs w:val="16"/>
        </w:rPr>
        <w:softHyphen/>
        <w:t>крытия подверглись над целью ожесто</w:t>
      </w:r>
      <w:r w:rsidRPr="00D03F3E">
        <w:rPr>
          <w:color w:val="000000" w:themeColor="text1"/>
          <w:sz w:val="16"/>
          <w:szCs w:val="16"/>
        </w:rPr>
        <w:softHyphen/>
        <w:t>ченным атакам немецких истребителей, эффективность действия которых была усилена нарушением боевого порядка "Илов" и истребителей прикрытия (вследствие сильного огня зенитной артиллерии аэродромов). Положение осложнялось еще и тем, что в воздуш</w:t>
      </w:r>
      <w:r w:rsidRPr="00D03F3E">
        <w:rPr>
          <w:color w:val="000000" w:themeColor="text1"/>
          <w:sz w:val="16"/>
          <w:szCs w:val="16"/>
        </w:rPr>
        <w:softHyphen/>
        <w:t>ной армии после апрельского затишья еще не было в должной мере отработа</w:t>
      </w:r>
      <w:r w:rsidRPr="00D03F3E">
        <w:rPr>
          <w:color w:val="000000" w:themeColor="text1"/>
          <w:sz w:val="16"/>
          <w:szCs w:val="16"/>
        </w:rPr>
        <w:softHyphen/>
        <w:t>но взаимодействие штурмовиков и ис</w:t>
      </w:r>
      <w:r w:rsidRPr="00D03F3E">
        <w:rPr>
          <w:color w:val="000000" w:themeColor="text1"/>
          <w:sz w:val="16"/>
          <w:szCs w:val="16"/>
        </w:rPr>
        <w:softHyphen/>
        <w:t>требителей прикрытия (основной состав армии к началу апреля был отведен на тыловые аэродромы для приведения в порядок авиационной техники и ввода в строй молодого летного состава). В результате, при выполнении налетов на аэродромы противника 5 мая 16-я ВА потеряла 30 Ил-2 и 8 истребителей (6467).</w:t>
      </w:r>
    </w:p>
    <w:p w14:paraId="02C3EAEF" w14:textId="77777777" w:rsidR="00531570" w:rsidRPr="00D03F3E" w:rsidRDefault="00531570" w:rsidP="00D03F3E">
      <w:pPr>
        <w:pStyle w:val="Iauiue"/>
        <w:jc w:val="both"/>
        <w:rPr>
          <w:color w:val="000000" w:themeColor="text1"/>
          <w:sz w:val="16"/>
          <w:szCs w:val="16"/>
        </w:rPr>
      </w:pPr>
    </w:p>
    <w:p w14:paraId="311895B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мая 1943 был удар штурмовиков 673-го шап 266-й шад по аэродрому Рогань. При подготовке к вылету экипажи изучили фотопланшет аэродрома по состоянию на 17.55 5 мая. К этому времени на аэродроме находилось 107 истребителей типа Bf 109 и Fw 190. Основываясь на этих данных, командир полка капитан Матнаков провел проигрыш полета и подробно указал маневр каждого экипажа, порядок выхода из атаки и сбор группы после атаки.</w:t>
      </w:r>
    </w:p>
    <w:p w14:paraId="17352F0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Маршрут полета был выбран таким образом, чтобы пересечь линию фронта в районе без густой сети дорог, без населенных пунктов и аэродромов противника. Это исключало наличие большого количества постов ВНОС и огневых точек зенитной артиллерии.</w:t>
      </w:r>
    </w:p>
    <w:p w14:paraId="6E5924C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Первая группа Ил-2 (ведущий капитан Елисеев) взлетела в 4.43 и следом за ней через 2 минуты поднялась в воздух вторая группа (ведущий мл. лейтенант Александров). Несмотря на предрассветные сумерки, местный туман и дымку, взлет и сбор групп </w:t>
      </w:r>
    </w:p>
    <w:p w14:paraId="6CE6052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прошел, можно сказать, образцово. Над аэродромом базирования истребителей Уразо- во к штурмовикам пристроились 18 Ла-5 от 240-го и 193-го иап 302-й иад.</w:t>
      </w:r>
    </w:p>
    <w:p w14:paraId="4F61391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 доходя до аэродрома 10-12 км, экипажи Ил-2 сбавили газ и на приглушенных моторах планировали к цели до высоты 1150 м со стороны солнца. К аэродрому штурмовики подошли в 5.20 и сходу парами атаковали скопления немецких самолетов на его западной и южной окраинах. Каждая пара вначале обстреляла цели из PC и пушек, и затем с высоты 600-400 м сбросили бомбы. После бомбометания экипажи расстреливали из пушек и пулеметов самолеты и позиции немецких зенитчиков.</w:t>
      </w:r>
    </w:p>
    <w:p w14:paraId="5FD7BB3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Отработав по цели, штурмовики собрались над лесным массивом Мохначи и плотной группой проследовали на свой аэродром.</w:t>
      </w:r>
    </w:p>
    <w:p w14:paraId="7235E5A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подходе к аэродрому Рогань, в ходе атаки и на отходе от него немцы вели довольно слабый зенитный огонь, который был к тому же неорганизованным и неточным (расчетам пришлось вести огонь против солнца). Тем не менее, от огня зенитной артиллерии три Ил-2 получили небольшие повреждения.</w:t>
      </w:r>
    </w:p>
    <w:p w14:paraId="18B7114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докладам экипажей штурмовиков и истребителей прикрытия на аэродроме Рогань было уничтожено и повреждено до 30 самолетов Люфтваффе, создано 18 очагов пожаров, подавлен огонь 8 точек зенитной артиллерии. Фоторазведка аэродрома Ро- Ненецкие эшелоны, гань показала, что безвозвратные потери разбитые Люфтваффе могли составить около 6 истре- штурмовиками Ил-2 бителей. В целом это неплохой результат, если учесть, что с нашей стороны не было ни одной потери Ил-2 (12020).</w:t>
      </w:r>
    </w:p>
    <w:p w14:paraId="421DB44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2C90F2C"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6 мая 1943 в 15.00 по московскому времени был нанесен второй удар по двадцати аэродромам, в котором приняли участие 372 самолета всех типов. Но на этот раз противник уже был начеку. На подходах к целям штурмовики встречал мощный зенитный огонь, а в небе патрулировали истребители. В результате лишь отдельным экипажам удалось прорваться к аэродромам и второпях сбросить свои бомбы куда попало.</w:t>
      </w:r>
    </w:p>
    <w:p w14:paraId="7657CF8A"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Повторный налет на Шаталово и Боровское был произведен силами 16 Ил</w:t>
      </w:r>
      <w:r w:rsidRPr="00D03F3E">
        <w:rPr>
          <w:rFonts w:ascii="Times New Roman" w:hAnsi="Times New Roman"/>
          <w:color w:val="0070C0"/>
          <w:sz w:val="16"/>
          <w:szCs w:val="16"/>
        </w:rPr>
        <w:noBreakHyphen/>
        <w:t>2 из 62</w:t>
      </w:r>
      <w:r w:rsidRPr="00D03F3E">
        <w:rPr>
          <w:rFonts w:ascii="Times New Roman" w:hAnsi="Times New Roman"/>
          <w:color w:val="0070C0"/>
          <w:sz w:val="16"/>
          <w:szCs w:val="16"/>
        </w:rPr>
        <w:noBreakHyphen/>
        <w:t>го, 198</w:t>
      </w:r>
      <w:r w:rsidRPr="00D03F3E">
        <w:rPr>
          <w:rFonts w:ascii="Times New Roman" w:hAnsi="Times New Roman"/>
          <w:color w:val="0070C0"/>
          <w:sz w:val="16"/>
          <w:szCs w:val="16"/>
        </w:rPr>
        <w:noBreakHyphen/>
        <w:t>го и 312</w:t>
      </w:r>
      <w:r w:rsidRPr="00D03F3E">
        <w:rPr>
          <w:rFonts w:ascii="Times New Roman" w:hAnsi="Times New Roman"/>
          <w:color w:val="0070C0"/>
          <w:sz w:val="16"/>
          <w:szCs w:val="16"/>
        </w:rPr>
        <w:noBreakHyphen/>
        <w:t>го шап, которых прикрывали 20 истребителей из трех авиаполков. Интересно, что часть «горбатых» вообще не вышла на цель, якобы «потеряв ориентировку». Три штурмовика были подбиты и совершили вынужденные посадки на своей территории. При этом Илы старшего лейтенанта Панфилова и Егорова были буквально изрешечены пулями и снарядами.</w:t>
      </w:r>
    </w:p>
    <w:p w14:paraId="21C1E90F"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Прикрывавшие их истребители из 122</w:t>
      </w:r>
      <w:r w:rsidRPr="00D03F3E">
        <w:rPr>
          <w:rFonts w:ascii="Times New Roman" w:hAnsi="Times New Roman"/>
          <w:color w:val="0070C0"/>
          <w:sz w:val="16"/>
          <w:szCs w:val="16"/>
        </w:rPr>
        <w:noBreakHyphen/>
        <w:t>го иап сообщили об успешном воздушном бое с «Фокке</w:t>
      </w:r>
      <w:r w:rsidRPr="00D03F3E">
        <w:rPr>
          <w:rFonts w:ascii="Times New Roman" w:hAnsi="Times New Roman"/>
          <w:color w:val="0070C0"/>
          <w:sz w:val="16"/>
          <w:szCs w:val="16"/>
        </w:rPr>
        <w:noBreakHyphen/>
        <w:t>Вульфами». На боевой счет майора Любимова, капитана Цагойко и младшего лейтенанта Непокрытова было записано по одной победе. Еще на один сбитый фоккер претендовали бортстрелки Ил</w:t>
      </w:r>
      <w:r w:rsidRPr="00D03F3E">
        <w:rPr>
          <w:rFonts w:ascii="Times New Roman" w:hAnsi="Times New Roman"/>
          <w:color w:val="0070C0"/>
          <w:sz w:val="16"/>
          <w:szCs w:val="16"/>
        </w:rPr>
        <w:noBreakHyphen/>
        <w:t>2. Однако немецкие данные, как и в ряде других аналогичных случаев, эти победы не подтверждают.</w:t>
      </w:r>
    </w:p>
    <w:p w14:paraId="27169BAC"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Попутно был нанесен удар по полевому аэродрому Лубинка, на котором обнаружилось очередное «скопление» Bf</w:t>
      </w:r>
      <w:r w:rsidRPr="00D03F3E">
        <w:rPr>
          <w:rFonts w:ascii="Times New Roman" w:hAnsi="Times New Roman"/>
          <w:color w:val="0070C0"/>
          <w:sz w:val="16"/>
          <w:szCs w:val="16"/>
        </w:rPr>
        <w:noBreakHyphen/>
        <w:t>109. Первыми его атаковали 13 Як</w:t>
      </w:r>
      <w:r w:rsidRPr="00D03F3E">
        <w:rPr>
          <w:rFonts w:ascii="Times New Roman" w:hAnsi="Times New Roman"/>
          <w:color w:val="0070C0"/>
          <w:sz w:val="16"/>
          <w:szCs w:val="16"/>
        </w:rPr>
        <w:noBreakHyphen/>
        <w:t>1 и Як</w:t>
      </w:r>
      <w:r w:rsidRPr="00D03F3E">
        <w:rPr>
          <w:rFonts w:ascii="Times New Roman" w:hAnsi="Times New Roman"/>
          <w:color w:val="0070C0"/>
          <w:sz w:val="16"/>
          <w:szCs w:val="16"/>
        </w:rPr>
        <w:noBreakHyphen/>
        <w:t>7б из 20</w:t>
      </w:r>
      <w:r w:rsidRPr="00D03F3E">
        <w:rPr>
          <w:rFonts w:ascii="Times New Roman" w:hAnsi="Times New Roman"/>
          <w:color w:val="0070C0"/>
          <w:sz w:val="16"/>
          <w:szCs w:val="16"/>
        </w:rPr>
        <w:noBreakHyphen/>
        <w:t>го гв. иап и 1</w:t>
      </w:r>
      <w:r w:rsidRPr="00D03F3E">
        <w:rPr>
          <w:rFonts w:ascii="Times New Roman" w:hAnsi="Times New Roman"/>
          <w:color w:val="0070C0"/>
          <w:sz w:val="16"/>
          <w:szCs w:val="16"/>
        </w:rPr>
        <w:noBreakHyphen/>
        <w:t>й отдельной эскадрильи «Нормандия», потом – шесть Ил</w:t>
      </w:r>
      <w:r w:rsidRPr="00D03F3E">
        <w:rPr>
          <w:rFonts w:ascii="Times New Roman" w:hAnsi="Times New Roman"/>
          <w:color w:val="0070C0"/>
          <w:sz w:val="16"/>
          <w:szCs w:val="16"/>
        </w:rPr>
        <w:noBreakHyphen/>
        <w:t>2 из 571</w:t>
      </w:r>
      <w:r w:rsidRPr="00D03F3E">
        <w:rPr>
          <w:rFonts w:ascii="Times New Roman" w:hAnsi="Times New Roman"/>
          <w:color w:val="0070C0"/>
          <w:sz w:val="16"/>
          <w:szCs w:val="16"/>
        </w:rPr>
        <w:noBreakHyphen/>
        <w:t>го шап и, наконец, Пе</w:t>
      </w:r>
      <w:r w:rsidRPr="00D03F3E">
        <w:rPr>
          <w:rFonts w:ascii="Times New Roman" w:hAnsi="Times New Roman"/>
          <w:color w:val="0070C0"/>
          <w:sz w:val="16"/>
          <w:szCs w:val="16"/>
        </w:rPr>
        <w:noBreakHyphen/>
        <w:t>2 из 38</w:t>
      </w:r>
      <w:r w:rsidRPr="00D03F3E">
        <w:rPr>
          <w:rFonts w:ascii="Times New Roman" w:hAnsi="Times New Roman"/>
          <w:color w:val="0070C0"/>
          <w:sz w:val="16"/>
          <w:szCs w:val="16"/>
        </w:rPr>
        <w:noBreakHyphen/>
        <w:t>го бап. Однако в ходе этих трех атак ни одного «Мессершмитта» поразить так и не удалось.</w:t>
      </w:r>
    </w:p>
    <w:p w14:paraId="295EEA4E"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Пятерка Ил</w:t>
      </w:r>
      <w:r w:rsidRPr="00D03F3E">
        <w:rPr>
          <w:rFonts w:ascii="Times New Roman" w:hAnsi="Times New Roman"/>
          <w:color w:val="0070C0"/>
          <w:sz w:val="16"/>
          <w:szCs w:val="16"/>
        </w:rPr>
        <w:noBreakHyphen/>
        <w:t>2 из 820</w:t>
      </w:r>
      <w:r w:rsidRPr="00D03F3E">
        <w:rPr>
          <w:rFonts w:ascii="Times New Roman" w:hAnsi="Times New Roman"/>
          <w:color w:val="0070C0"/>
          <w:sz w:val="16"/>
          <w:szCs w:val="16"/>
        </w:rPr>
        <w:noBreakHyphen/>
        <w:t>го шап, пытавшаяся повторно штурмовать аэродром Харьков</w:t>
      </w:r>
      <w:r w:rsidRPr="00D03F3E">
        <w:rPr>
          <w:rFonts w:ascii="Times New Roman" w:hAnsi="Times New Roman"/>
          <w:color w:val="0070C0"/>
          <w:sz w:val="16"/>
          <w:szCs w:val="16"/>
        </w:rPr>
        <w:noBreakHyphen/>
        <w:t>Сокольники, уже на подходе к цели была встречена мощным зенитным огнем, а на отходе еще и атакована истребителями. В итоге удар был полностью провален. Но, несмотря на полученные повреждения, все самолеты смогли дотянуть до своего аэродрома. Потом их бортстрелки заявили об одном сбитом FW</w:t>
      </w:r>
      <w:r w:rsidRPr="00D03F3E">
        <w:rPr>
          <w:rFonts w:ascii="Times New Roman" w:hAnsi="Times New Roman"/>
          <w:color w:val="0070C0"/>
          <w:sz w:val="16"/>
          <w:szCs w:val="16"/>
        </w:rPr>
        <w:noBreakHyphen/>
        <w:t>190, который якобы «упал в лес» возле аэродрома.</w:t>
      </w:r>
    </w:p>
    <w:p w14:paraId="394F7D7D"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Еще большим крахом закончился повторный налет на аэродром Харьков</w:t>
      </w:r>
      <w:r w:rsidRPr="00D03F3E">
        <w:rPr>
          <w:rFonts w:ascii="Times New Roman" w:hAnsi="Times New Roman"/>
          <w:color w:val="0070C0"/>
          <w:sz w:val="16"/>
          <w:szCs w:val="16"/>
        </w:rPr>
        <w:noBreakHyphen/>
        <w:t>Алешки штурмовиков 800</w:t>
      </w:r>
      <w:r w:rsidRPr="00D03F3E">
        <w:rPr>
          <w:rFonts w:ascii="Times New Roman" w:hAnsi="Times New Roman"/>
          <w:color w:val="0070C0"/>
          <w:sz w:val="16"/>
          <w:szCs w:val="16"/>
        </w:rPr>
        <w:noBreakHyphen/>
        <w:t>го шап. В районе поселков Веселое и Липцы, в 24 километрах северо</w:t>
      </w:r>
      <w:r w:rsidRPr="00D03F3E">
        <w:rPr>
          <w:rFonts w:ascii="Times New Roman" w:hAnsi="Times New Roman"/>
          <w:color w:val="0070C0"/>
          <w:sz w:val="16"/>
          <w:szCs w:val="16"/>
        </w:rPr>
        <w:noBreakHyphen/>
        <w:t>восточнее Харькова, они столкнулись с большой группой «Мессершмиттов». С первого же захода немцы сбили штурмовики командира звена младшего лейтенанта Талгата Бегельдинова и сержанта Сергея Чепелюка. Во время отражения повторных атак пулеметчикам и пилотам истребителей показалось, что они сбили по два мессера.</w:t>
      </w:r>
    </w:p>
    <w:p w14:paraId="398E055E"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Однако в ходе воздушного боя штурмовики сбились с курса. И, потеряв ориентировку и израсходовав топливо, летчики в итоге были вынуждены отказаться от выполнения задания и ни с чем вернулись на свой аэродром. Истребители эскорта в этих двух дневных вылетах к харьковским аэродромам потеряли по четыре Як</w:t>
      </w:r>
      <w:r w:rsidRPr="00D03F3E">
        <w:rPr>
          <w:rFonts w:ascii="Times New Roman" w:hAnsi="Times New Roman"/>
          <w:color w:val="0070C0"/>
          <w:sz w:val="16"/>
          <w:szCs w:val="16"/>
        </w:rPr>
        <w:noBreakHyphen/>
        <w:t>7 и Ла</w:t>
      </w:r>
      <w:r w:rsidRPr="00D03F3E">
        <w:rPr>
          <w:rFonts w:ascii="Times New Roman" w:hAnsi="Times New Roman"/>
          <w:color w:val="0070C0"/>
          <w:sz w:val="16"/>
          <w:szCs w:val="16"/>
        </w:rPr>
        <w:noBreakHyphen/>
        <w:t>5.</w:t>
      </w:r>
    </w:p>
    <w:p w14:paraId="1870C2A3"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 попытке вторично атаковать аэродром Орел</w:t>
      </w:r>
      <w:r w:rsidRPr="00D03F3E">
        <w:rPr>
          <w:rFonts w:ascii="Times New Roman" w:hAnsi="Times New Roman"/>
          <w:color w:val="0070C0"/>
          <w:sz w:val="16"/>
          <w:szCs w:val="16"/>
        </w:rPr>
        <w:noBreakHyphen/>
        <w:t>Западный большие потери понес и 79</w:t>
      </w:r>
      <w:r w:rsidRPr="00D03F3E">
        <w:rPr>
          <w:rFonts w:ascii="Times New Roman" w:hAnsi="Times New Roman"/>
          <w:color w:val="0070C0"/>
          <w:sz w:val="16"/>
          <w:szCs w:val="16"/>
        </w:rPr>
        <w:noBreakHyphen/>
        <w:t>й гв. шап майора И.Д. Бородина. После скоротечного удара, нанесенного по прямой с одного захода, штурмовики на обратном пути подвергались бесконечным атакам немецких истребителей. В итоге из 15 Ил</w:t>
      </w:r>
      <w:r w:rsidRPr="00D03F3E">
        <w:rPr>
          <w:rFonts w:ascii="Times New Roman" w:hAnsi="Times New Roman"/>
          <w:color w:val="0070C0"/>
          <w:sz w:val="16"/>
          <w:szCs w:val="16"/>
        </w:rPr>
        <w:noBreakHyphen/>
        <w:t>2 были сбиты и врезались в землю пять самолетов. Еще один «цементбомбер» младшего лейтенанта Савинского был поврежден и затем совершил вынужденную посадку «на живот». Гвардия безо всякого смысла лишилась девяти своих летчиков [62] .</w:t>
      </w:r>
    </w:p>
    <w:p w14:paraId="38E7B8BD"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19.15 шесть Ил</w:t>
      </w:r>
      <w:r w:rsidRPr="00D03F3E">
        <w:rPr>
          <w:rFonts w:ascii="Times New Roman" w:hAnsi="Times New Roman"/>
          <w:color w:val="0070C0"/>
          <w:sz w:val="16"/>
          <w:szCs w:val="16"/>
        </w:rPr>
        <w:noBreakHyphen/>
        <w:t>2 из 775</w:t>
      </w:r>
      <w:r w:rsidRPr="00D03F3E">
        <w:rPr>
          <w:rFonts w:ascii="Times New Roman" w:hAnsi="Times New Roman"/>
          <w:color w:val="0070C0"/>
          <w:sz w:val="16"/>
          <w:szCs w:val="16"/>
        </w:rPr>
        <w:noBreakHyphen/>
        <w:t>го шап попытались снова атаковать аэродром Краматорск. Несмотря на большое прикрытие, включавшее восемнадцать истребителей, штурмовикам на сей раз не удалось избежать расправы со стороны «Мессершмиттов». Сбросив бомбы на полупустое летное поле, «горбатые» повернули обратно, но были атакованы шестеркой Bf</w:t>
      </w:r>
      <w:r w:rsidRPr="00D03F3E">
        <w:rPr>
          <w:rFonts w:ascii="Times New Roman" w:hAnsi="Times New Roman"/>
          <w:color w:val="0070C0"/>
          <w:sz w:val="16"/>
          <w:szCs w:val="16"/>
        </w:rPr>
        <w:noBreakHyphen/>
        <w:t>109G из II./JG3 «Удет». При этом весь эскорт куда</w:t>
      </w:r>
      <w:r w:rsidRPr="00D03F3E">
        <w:rPr>
          <w:rFonts w:ascii="Times New Roman" w:hAnsi="Times New Roman"/>
          <w:color w:val="0070C0"/>
          <w:sz w:val="16"/>
          <w:szCs w:val="16"/>
        </w:rPr>
        <w:noBreakHyphen/>
        <w:t>то подевался, частично ввязавшись в бой с другой группой «сто девятых».</w:t>
      </w:r>
    </w:p>
    <w:p w14:paraId="2CA6F61D"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Штурмовики вплоть до линии фронта подвергались беспрерывным атакам. Если до пересечения реки Северский Донец их экипажи объединяло желание «дотянуть» и они держались вместе, отчаянно паля по преследователям, то, едва заветная полоса водной глади была преодолена, все бросились врассыпную. В итоге удалось вернуться на свой аэродром лишь двум изрешеченным самолетам. У немцев отличился командир 8</w:t>
      </w:r>
      <w:r w:rsidRPr="00D03F3E">
        <w:rPr>
          <w:rFonts w:ascii="Times New Roman" w:hAnsi="Times New Roman"/>
          <w:color w:val="0070C0"/>
          <w:sz w:val="16"/>
          <w:szCs w:val="16"/>
        </w:rPr>
        <w:noBreakHyphen/>
        <w:t>й эскадрильи JG3 обер</w:t>
      </w:r>
      <w:r w:rsidRPr="00D03F3E">
        <w:rPr>
          <w:rFonts w:ascii="Times New Roman" w:hAnsi="Times New Roman"/>
          <w:color w:val="0070C0"/>
          <w:sz w:val="16"/>
          <w:szCs w:val="16"/>
        </w:rPr>
        <w:noBreakHyphen/>
        <w:t>лейтенант Эмиль Бич, сбивший в течение трех минут в районе городка Славянск, в 15 километрах севернее Краматорска, пару Ил</w:t>
      </w:r>
      <w:r w:rsidRPr="00D03F3E">
        <w:rPr>
          <w:rFonts w:ascii="Times New Roman" w:hAnsi="Times New Roman"/>
          <w:color w:val="0070C0"/>
          <w:sz w:val="16"/>
          <w:szCs w:val="16"/>
        </w:rPr>
        <w:noBreakHyphen/>
        <w:t>2.</w:t>
      </w:r>
    </w:p>
    <w:p w14:paraId="1C3C8D01"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Тем временем истребители «прикрытия» также вели тяжелый бой и недосчитались двух своих машин. Но самое обидное было в том, что весь этот героизм пропал зря, поскольку цель снова не понесла никакого ущерба.</w:t>
      </w:r>
    </w:p>
    <w:p w14:paraId="59FA2A5E"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Как показывают факты, и второй удар по немецким аэродромам не достиг своей цели. Тем не менее командующие воздушными армиями отчитались о еще 134 самолетах, уничтоженных на земле, и 24 самолетах, сбитых в воздушных боях. При этом потери советской авиации составили 46 машин, или 12,4 % от общего числа участвовавших в ударах самолетов.</w:t>
      </w:r>
    </w:p>
    <w:p w14:paraId="6D382B2B"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Особо отличились пилоты JG51 «Мёльдерс», летавшие на истребителях FW</w:t>
      </w:r>
      <w:r w:rsidRPr="00D03F3E">
        <w:rPr>
          <w:rFonts w:ascii="Times New Roman" w:hAnsi="Times New Roman"/>
          <w:color w:val="0070C0"/>
          <w:sz w:val="16"/>
          <w:szCs w:val="16"/>
        </w:rPr>
        <w:noBreakHyphen/>
        <w:t>190A, чей пушечный залп был смертельным даже для такого бронированного самолета, как Ил</w:t>
      </w:r>
      <w:r w:rsidRPr="00D03F3E">
        <w:rPr>
          <w:rFonts w:ascii="Times New Roman" w:hAnsi="Times New Roman"/>
          <w:color w:val="0070C0"/>
          <w:sz w:val="16"/>
          <w:szCs w:val="16"/>
        </w:rPr>
        <w:noBreakHyphen/>
        <w:t>2. По данным люфтваффе, обер</w:t>
      </w:r>
      <w:r w:rsidRPr="00D03F3E">
        <w:rPr>
          <w:rFonts w:ascii="Times New Roman" w:hAnsi="Times New Roman"/>
          <w:color w:val="0070C0"/>
          <w:sz w:val="16"/>
          <w:szCs w:val="16"/>
        </w:rPr>
        <w:noBreakHyphen/>
        <w:t>фельдфебель Йозеф Енневейн из 2</w:t>
      </w:r>
      <w:r w:rsidRPr="00D03F3E">
        <w:rPr>
          <w:rFonts w:ascii="Times New Roman" w:hAnsi="Times New Roman"/>
          <w:color w:val="0070C0"/>
          <w:sz w:val="16"/>
          <w:szCs w:val="16"/>
        </w:rPr>
        <w:noBreakHyphen/>
        <w:t>й эскадрильи в течение одиннадцати минут сбил сразу пять «черных смертей», фельдфебель Хейнц Лебер из той же эскадрильи за девять минут – пять, а обер</w:t>
      </w:r>
      <w:r w:rsidRPr="00D03F3E">
        <w:rPr>
          <w:rFonts w:ascii="Times New Roman" w:hAnsi="Times New Roman"/>
          <w:color w:val="0070C0"/>
          <w:sz w:val="16"/>
          <w:szCs w:val="16"/>
        </w:rPr>
        <w:noBreakHyphen/>
        <w:t>фельдфебель Курт Танцер из 12</w:t>
      </w:r>
      <w:r w:rsidRPr="00D03F3E">
        <w:rPr>
          <w:rFonts w:ascii="Times New Roman" w:hAnsi="Times New Roman"/>
          <w:color w:val="0070C0"/>
          <w:sz w:val="16"/>
          <w:szCs w:val="16"/>
        </w:rPr>
        <w:noBreakHyphen/>
        <w:t>й эскадрильи за те же девять минут – четыре.</w:t>
      </w:r>
    </w:p>
    <w:p w14:paraId="1EDCF45A"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 срыву второго воздушного удара по немецким аэродромам приложили руку и испанские летчики</w:t>
      </w:r>
      <w:r w:rsidRPr="00D03F3E">
        <w:rPr>
          <w:rFonts w:ascii="Times New Roman" w:hAnsi="Times New Roman"/>
          <w:color w:val="0070C0"/>
          <w:sz w:val="16"/>
          <w:szCs w:val="16"/>
        </w:rPr>
        <w:noBreakHyphen/>
        <w:t>добровольцы, воевавшие в составе 15</w:t>
      </w:r>
      <w:r w:rsidRPr="00D03F3E">
        <w:rPr>
          <w:rFonts w:ascii="Times New Roman" w:hAnsi="Times New Roman"/>
          <w:color w:val="0070C0"/>
          <w:sz w:val="16"/>
          <w:szCs w:val="16"/>
        </w:rPr>
        <w:noBreakHyphen/>
        <w:t>й (испанской) эскадрильи JG51. Они сбили пять самолетов, два из которых – Пе</w:t>
      </w:r>
      <w:r w:rsidRPr="00D03F3E">
        <w:rPr>
          <w:rFonts w:ascii="Times New Roman" w:hAnsi="Times New Roman"/>
          <w:color w:val="0070C0"/>
          <w:sz w:val="16"/>
          <w:szCs w:val="16"/>
        </w:rPr>
        <w:noBreakHyphen/>
        <w:t>2 и ЛаГГ</w:t>
      </w:r>
      <w:r w:rsidRPr="00D03F3E">
        <w:rPr>
          <w:rFonts w:ascii="Times New Roman" w:hAnsi="Times New Roman"/>
          <w:color w:val="0070C0"/>
          <w:sz w:val="16"/>
          <w:szCs w:val="16"/>
        </w:rPr>
        <w:noBreakHyphen/>
        <w:t>3 – были на счету тениенте Рамона Хуана Галивана.</w:t>
      </w:r>
    </w:p>
    <w:p w14:paraId="1D96F18C" w14:textId="77777777" w:rsidR="00C559A4" w:rsidRPr="00D03F3E" w:rsidRDefault="00C559A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Фактически за весь день 6 мая 1943 г. люфтваффе на аэродромах потеряли всего пять машин: три бомбардировщика, один разведчик и один истребитель! Еще девятнадцать самолетов получили повреждения и могли быть отремонтированы. Общие же потери ВВС Красной армии в ходе двух ударов равнялись 76 самолетам. Таким образом, собственные потери атакующих с лихвой перекрывали их скромные достижения (23199).</w:t>
      </w:r>
    </w:p>
    <w:p w14:paraId="42BD3AF6" w14:textId="77777777" w:rsidR="00C559A4" w:rsidRPr="00D03F3E" w:rsidRDefault="00C559A4" w:rsidP="00D03F3E">
      <w:pPr>
        <w:spacing w:after="0" w:line="240" w:lineRule="auto"/>
        <w:jc w:val="both"/>
        <w:rPr>
          <w:rFonts w:ascii="Times New Roman" w:hAnsi="Times New Roman"/>
          <w:color w:val="0070C0"/>
          <w:sz w:val="16"/>
          <w:szCs w:val="16"/>
        </w:rPr>
      </w:pPr>
    </w:p>
    <w:p w14:paraId="089983C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6 мая 1943 на протяжении 10 суток предусматрива</w:t>
      </w:r>
      <w:r w:rsidRPr="00D03F3E">
        <w:rPr>
          <w:color w:val="000000" w:themeColor="text1"/>
          <w:sz w:val="16"/>
          <w:szCs w:val="16"/>
        </w:rPr>
        <w:softHyphen/>
        <w:t>лись удары с целью срыва железнодорож</w:t>
      </w:r>
      <w:r w:rsidRPr="00D03F3E">
        <w:rPr>
          <w:color w:val="000000" w:themeColor="text1"/>
          <w:sz w:val="16"/>
          <w:szCs w:val="16"/>
        </w:rPr>
        <w:softHyphen/>
        <w:t>ных перевозок и дезорганизации авто</w:t>
      </w:r>
      <w:r w:rsidRPr="00D03F3E">
        <w:rPr>
          <w:color w:val="000000" w:themeColor="text1"/>
          <w:sz w:val="16"/>
          <w:szCs w:val="16"/>
        </w:rPr>
        <w:softHyphen/>
        <w:t>мобильного движения начиная. Для решения поставленной за</w:t>
      </w:r>
      <w:r w:rsidRPr="00D03F3E">
        <w:rPr>
          <w:color w:val="000000" w:themeColor="text1"/>
          <w:sz w:val="16"/>
          <w:szCs w:val="16"/>
        </w:rPr>
        <w:softHyphen/>
        <w:t>дачи в каждой воздушной армии выде</w:t>
      </w:r>
      <w:r w:rsidRPr="00D03F3E">
        <w:rPr>
          <w:color w:val="000000" w:themeColor="text1"/>
          <w:sz w:val="16"/>
          <w:szCs w:val="16"/>
        </w:rPr>
        <w:softHyphen/>
        <w:t>лялось по одному штурмовому и одно</w:t>
      </w:r>
      <w:r w:rsidRPr="00D03F3E">
        <w:rPr>
          <w:color w:val="000000" w:themeColor="text1"/>
          <w:sz w:val="16"/>
          <w:szCs w:val="16"/>
        </w:rPr>
        <w:softHyphen/>
        <w:t>му истребительному авиаполку, которые должны были действовать мелкими группами (обычно в составе 2-4 само</w:t>
      </w:r>
      <w:r w:rsidRPr="00D03F3E">
        <w:rPr>
          <w:color w:val="000000" w:themeColor="text1"/>
          <w:sz w:val="16"/>
          <w:szCs w:val="16"/>
        </w:rPr>
        <w:softHyphen/>
        <w:t>летов, редко 6 и более) способом "сво</w:t>
      </w:r>
      <w:r w:rsidRPr="00D03F3E">
        <w:rPr>
          <w:color w:val="000000" w:themeColor="text1"/>
          <w:sz w:val="16"/>
          <w:szCs w:val="16"/>
        </w:rPr>
        <w:softHyphen/>
        <w:t>бодной охоты".</w:t>
      </w:r>
    </w:p>
    <w:p w14:paraId="0460179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того чтобы действия "охотников" носили систематический и непрерывный характер на каждое железнодорожное направление выделялась постоянная группа "охотников", в пределах которого командиры частей самостоятельно орга</w:t>
      </w:r>
      <w:r w:rsidRPr="00D03F3E">
        <w:rPr>
          <w:color w:val="000000" w:themeColor="text1"/>
          <w:sz w:val="16"/>
          <w:szCs w:val="16"/>
        </w:rPr>
        <w:softHyphen/>
        <w:t>низовывали разведку и вылеты штурмо</w:t>
      </w:r>
      <w:r w:rsidRPr="00D03F3E">
        <w:rPr>
          <w:color w:val="000000" w:themeColor="text1"/>
          <w:sz w:val="16"/>
          <w:szCs w:val="16"/>
        </w:rPr>
        <w:softHyphen/>
        <w:t>виков. Благодаря этому летчикам уда</w:t>
      </w:r>
      <w:r w:rsidRPr="00D03F3E">
        <w:rPr>
          <w:color w:val="000000" w:themeColor="text1"/>
          <w:sz w:val="16"/>
          <w:szCs w:val="16"/>
        </w:rPr>
        <w:softHyphen/>
        <w:t>лось в короткое время изучить порядок движения немецких поездов, рельеф местности, противовоздушную оборону на каждом участке дороги и успешно вести борьбу с перевозками противника.</w:t>
      </w:r>
    </w:p>
    <w:p w14:paraId="757506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увеличения глубины действия Ил-2-"охотников" в воздушных армиях широко применялся способ подскока выделенных групп на передовые аэро</w:t>
      </w:r>
      <w:r w:rsidRPr="00D03F3E">
        <w:rPr>
          <w:color w:val="000000" w:themeColor="text1"/>
          <w:sz w:val="16"/>
          <w:szCs w:val="16"/>
        </w:rPr>
        <w:softHyphen/>
        <w:t xml:space="preserve">дромы или </w:t>
      </w:r>
      <w:r w:rsidRPr="00D03F3E">
        <w:rPr>
          <w:color w:val="000000" w:themeColor="text1"/>
          <w:sz w:val="16"/>
          <w:szCs w:val="16"/>
        </w:rPr>
        <w:lastRenderedPageBreak/>
        <w:t>площадки вблизи линии фронта.</w:t>
      </w:r>
    </w:p>
    <w:p w14:paraId="2576A5B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Основными объектами действия штурмовиков Ил-2 являлись железнодо</w:t>
      </w:r>
      <w:r w:rsidRPr="00D03F3E">
        <w:rPr>
          <w:color w:val="000000" w:themeColor="text1"/>
          <w:sz w:val="16"/>
          <w:szCs w:val="16"/>
        </w:rPr>
        <w:softHyphen/>
        <w:t>рожные эшелоны на перегонах и стан</w:t>
      </w:r>
      <w:r w:rsidRPr="00D03F3E">
        <w:rPr>
          <w:color w:val="000000" w:themeColor="text1"/>
          <w:sz w:val="16"/>
          <w:szCs w:val="16"/>
        </w:rPr>
        <w:softHyphen/>
        <w:t>циях. Основные разрушения подвижно</w:t>
      </w:r>
      <w:r w:rsidRPr="00D03F3E">
        <w:rPr>
          <w:color w:val="000000" w:themeColor="text1"/>
          <w:sz w:val="16"/>
          <w:szCs w:val="16"/>
        </w:rPr>
        <w:softHyphen/>
        <w:t>му составу на станциях наносились в результате пожаров и взрывов боепри</w:t>
      </w:r>
      <w:r w:rsidRPr="00D03F3E">
        <w:rPr>
          <w:color w:val="000000" w:themeColor="text1"/>
          <w:sz w:val="16"/>
          <w:szCs w:val="16"/>
        </w:rPr>
        <w:softHyphen/>
        <w:t>пасов, а на перегонах - в результате кру</w:t>
      </w:r>
      <w:r w:rsidRPr="00D03F3E">
        <w:rPr>
          <w:color w:val="000000" w:themeColor="text1"/>
          <w:sz w:val="16"/>
          <w:szCs w:val="16"/>
        </w:rPr>
        <w:softHyphen/>
        <w:t>шения поездов. Действия Ил-2 по зда</w:t>
      </w:r>
      <w:r w:rsidRPr="00D03F3E">
        <w:rPr>
          <w:color w:val="000000" w:themeColor="text1"/>
          <w:sz w:val="16"/>
          <w:szCs w:val="16"/>
        </w:rPr>
        <w:softHyphen/>
        <w:t>ниям, водокачкам, депо и другим стан</w:t>
      </w:r>
      <w:r w:rsidRPr="00D03F3E">
        <w:rPr>
          <w:color w:val="000000" w:themeColor="text1"/>
          <w:sz w:val="16"/>
          <w:szCs w:val="16"/>
        </w:rPr>
        <w:softHyphen/>
        <w:t>ционным сооружениям давали низкий эффект, так как даже полное разруше</w:t>
      </w:r>
      <w:r w:rsidRPr="00D03F3E">
        <w:rPr>
          <w:color w:val="000000" w:themeColor="text1"/>
          <w:sz w:val="16"/>
          <w:szCs w:val="16"/>
        </w:rPr>
        <w:softHyphen/>
        <w:t>ние этих объектов обычно не приводи</w:t>
      </w:r>
      <w:r w:rsidRPr="00D03F3E">
        <w:rPr>
          <w:color w:val="000000" w:themeColor="text1"/>
          <w:sz w:val="16"/>
          <w:szCs w:val="16"/>
        </w:rPr>
        <w:softHyphen/>
        <w:t>ло к прекращению перевозок.</w:t>
      </w:r>
    </w:p>
    <w:p w14:paraId="53BF90A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Опыт войны показал, что для останов</w:t>
      </w:r>
      <w:r w:rsidRPr="00D03F3E">
        <w:rPr>
          <w:color w:val="000000" w:themeColor="text1"/>
          <w:sz w:val="16"/>
          <w:szCs w:val="16"/>
        </w:rPr>
        <w:softHyphen/>
        <w:t>ки и частичного уничтожения эшелона в движении на перегоне требовалась группа Ил-2 в составе 6-7 машин. При этом наилучшие результаты получались при атаке эшелона всей группой одно</w:t>
      </w:r>
      <w:r w:rsidRPr="00D03F3E">
        <w:rPr>
          <w:color w:val="000000" w:themeColor="text1"/>
          <w:sz w:val="16"/>
          <w:szCs w:val="16"/>
        </w:rPr>
        <w:softHyphen/>
        <w:t>временно в строю "пеленг" с заходом вдоль поезда под углами 5-30° к направ</w:t>
      </w:r>
      <w:r w:rsidRPr="00D03F3E">
        <w:rPr>
          <w:color w:val="000000" w:themeColor="text1"/>
          <w:sz w:val="16"/>
          <w:szCs w:val="16"/>
        </w:rPr>
        <w:softHyphen/>
        <w:t>лению железнодорожных путей. Атака парой или одиночным самолетом была, как правило, малоэффективной и своди</w:t>
      </w:r>
      <w:r w:rsidRPr="00D03F3E">
        <w:rPr>
          <w:color w:val="000000" w:themeColor="text1"/>
          <w:sz w:val="16"/>
          <w:szCs w:val="16"/>
        </w:rPr>
        <w:softHyphen/>
        <w:t>лась в основном к удару по паровозу. Пара Ил-2 в одном боевом вылете в среднем могла уничтожить 2-3 едини</w:t>
      </w:r>
      <w:r w:rsidRPr="00D03F3E">
        <w:rPr>
          <w:color w:val="000000" w:themeColor="text1"/>
          <w:sz w:val="16"/>
          <w:szCs w:val="16"/>
        </w:rPr>
        <w:softHyphen/>
        <w:t>цы подвижного состава.</w:t>
      </w:r>
    </w:p>
    <w:p w14:paraId="771E361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Количество заходов в зависимости от обстановки колебалось от 4 до 6. При наличии остатка боеприпасов после ата</w:t>
      </w:r>
      <w:r w:rsidRPr="00D03F3E">
        <w:rPr>
          <w:color w:val="000000" w:themeColor="text1"/>
          <w:sz w:val="16"/>
          <w:szCs w:val="16"/>
        </w:rPr>
        <w:softHyphen/>
        <w:t>ки и крушения поезда Ил-2 разрушали железнодорожное полотно спереди и сзади места крушения эшелона с це</w:t>
      </w:r>
      <w:r w:rsidRPr="00D03F3E">
        <w:rPr>
          <w:color w:val="000000" w:themeColor="text1"/>
          <w:sz w:val="16"/>
          <w:szCs w:val="16"/>
        </w:rPr>
        <w:softHyphen/>
        <w:t>лью затруднения восстановительных работ.</w:t>
      </w:r>
    </w:p>
    <w:p w14:paraId="5D0D996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Самым эффективным средством по</w:t>
      </w:r>
      <w:r w:rsidRPr="00D03F3E">
        <w:rPr>
          <w:color w:val="000000" w:themeColor="text1"/>
          <w:sz w:val="16"/>
          <w:szCs w:val="16"/>
        </w:rPr>
        <w:softHyphen/>
        <w:t>ражения железнодорожных эшелонов, как показал боевой опыт, являлись бом</w:t>
      </w:r>
      <w:r w:rsidRPr="00D03F3E">
        <w:rPr>
          <w:color w:val="000000" w:themeColor="text1"/>
          <w:sz w:val="16"/>
          <w:szCs w:val="16"/>
        </w:rPr>
        <w:softHyphen/>
        <w:t>бы ФАБ-100, ЗАБ-100, ФАБ-50 или АО-25, которые сбрасывались серией в пер</w:t>
      </w:r>
      <w:r w:rsidRPr="00D03F3E">
        <w:rPr>
          <w:color w:val="000000" w:themeColor="text1"/>
          <w:sz w:val="16"/>
          <w:szCs w:val="16"/>
        </w:rPr>
        <w:softHyphen/>
        <w:t>вой или во второй атаке. Чтобы обеспе</w:t>
      </w:r>
      <w:r w:rsidRPr="00D03F3E">
        <w:rPr>
          <w:color w:val="000000" w:themeColor="text1"/>
          <w:sz w:val="16"/>
          <w:szCs w:val="16"/>
        </w:rPr>
        <w:softHyphen/>
        <w:t>чить наилучшее поражение цели, заход строился под углами 5-30° к направле</w:t>
      </w:r>
      <w:r w:rsidRPr="00D03F3E">
        <w:rPr>
          <w:color w:val="000000" w:themeColor="text1"/>
          <w:sz w:val="16"/>
          <w:szCs w:val="16"/>
        </w:rPr>
        <w:softHyphen/>
        <w:t>нию железнодорожных путей. Штурмо</w:t>
      </w:r>
      <w:r w:rsidRPr="00D03F3E">
        <w:rPr>
          <w:color w:val="000000" w:themeColor="text1"/>
          <w:sz w:val="16"/>
          <w:szCs w:val="16"/>
        </w:rPr>
        <w:softHyphen/>
        <w:t>вики стремились в первую очередь вы</w:t>
      </w:r>
      <w:r w:rsidRPr="00D03F3E">
        <w:rPr>
          <w:color w:val="000000" w:themeColor="text1"/>
          <w:sz w:val="16"/>
          <w:szCs w:val="16"/>
        </w:rPr>
        <w:softHyphen/>
        <w:t>вести из строя паровоз. Это достига</w:t>
      </w:r>
      <w:r w:rsidRPr="00D03F3E">
        <w:rPr>
          <w:color w:val="000000" w:themeColor="text1"/>
          <w:sz w:val="16"/>
          <w:szCs w:val="16"/>
        </w:rPr>
        <w:softHyphen/>
        <w:t>лось огнем пушек (бронебойными сна</w:t>
      </w:r>
      <w:r w:rsidRPr="00D03F3E">
        <w:rPr>
          <w:color w:val="000000" w:themeColor="text1"/>
          <w:sz w:val="16"/>
          <w:szCs w:val="16"/>
        </w:rPr>
        <w:softHyphen/>
        <w:t>рядами) и реактивными снарядами. Бомбами паровоз поражался только при прямом попадании. Неэффективным было применение пулеметов ШКАС, по</w:t>
      </w:r>
      <w:r w:rsidRPr="00D03F3E">
        <w:rPr>
          <w:color w:val="000000" w:themeColor="text1"/>
          <w:sz w:val="16"/>
          <w:szCs w:val="16"/>
        </w:rPr>
        <w:softHyphen/>
        <w:t>этому их огонь использовался главным образом в качестве трассы для при</w:t>
      </w:r>
      <w:r w:rsidRPr="00D03F3E">
        <w:rPr>
          <w:color w:val="000000" w:themeColor="text1"/>
          <w:sz w:val="16"/>
          <w:szCs w:val="16"/>
        </w:rPr>
        <w:softHyphen/>
        <w:t>стрелки пушечного огня.</w:t>
      </w:r>
    </w:p>
    <w:p w14:paraId="6DC39D5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Атака паровоза выполнялась с высот 500-600 м с планирования под углами 20-30° или с бреющего полета строго в лоб или сбоку под углами, близкими к 90°, чтобы избежать рикошетов снарядов и обеспечить поражение котла. Огонь PC открывался с дистанции 600-800 м, а пушечный - с дистанции 400-500 м и продолжался до возможного предела сближения.</w:t>
      </w:r>
    </w:p>
    <w:p w14:paraId="047751D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Боевой опыт показал, что эффектив</w:t>
      </w:r>
      <w:r w:rsidRPr="00D03F3E">
        <w:rPr>
          <w:color w:val="000000" w:themeColor="text1"/>
          <w:sz w:val="16"/>
          <w:szCs w:val="16"/>
        </w:rPr>
        <w:softHyphen/>
        <w:t>ность пушечного огня и PC по парово</w:t>
      </w:r>
      <w:r w:rsidRPr="00D03F3E">
        <w:rPr>
          <w:color w:val="000000" w:themeColor="text1"/>
          <w:sz w:val="16"/>
          <w:szCs w:val="16"/>
        </w:rPr>
        <w:softHyphen/>
        <w:t>зам достаточно высокая.</w:t>
      </w:r>
    </w:p>
    <w:p w14:paraId="708C8DE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немедленной остановки парово</w:t>
      </w:r>
      <w:r w:rsidRPr="00D03F3E">
        <w:rPr>
          <w:color w:val="000000" w:themeColor="text1"/>
          <w:sz w:val="16"/>
          <w:szCs w:val="16"/>
        </w:rPr>
        <w:softHyphen/>
        <w:t>за в среднем достаточно 3-4 пробоин в котле от бронебойных снарядов БЗ-23 и БЗ-20 к пушкам ВЯ и ШВАК, одного попадания PC любого типа, либо 6-8 пробоин от бронебойных пуль калибра 12,7 мм Б-32. При этом летчиками от</w:t>
      </w:r>
      <w:r w:rsidRPr="00D03F3E">
        <w:rPr>
          <w:color w:val="000000" w:themeColor="text1"/>
          <w:sz w:val="16"/>
          <w:szCs w:val="16"/>
        </w:rPr>
        <w:softHyphen/>
        <w:t xml:space="preserve">мечалось, что снаряды БЗ-23 к пушке </w:t>
      </w:r>
      <w:r w:rsidRPr="00D03F3E">
        <w:rPr>
          <w:iCs/>
          <w:color w:val="000000" w:themeColor="text1"/>
          <w:sz w:val="16"/>
          <w:szCs w:val="16"/>
        </w:rPr>
        <w:t xml:space="preserve">, </w:t>
      </w:r>
      <w:r w:rsidRPr="00D03F3E">
        <w:rPr>
          <w:color w:val="000000" w:themeColor="text1"/>
          <w:sz w:val="16"/>
          <w:szCs w:val="16"/>
        </w:rPr>
        <w:t>ВЯ поражали котел паровоза с первой очереди, а снаряды БЗ-20 к пушке ШВАК давали рикошеты, поэтому для нанесе</w:t>
      </w:r>
      <w:r w:rsidRPr="00D03F3E">
        <w:rPr>
          <w:color w:val="000000" w:themeColor="text1"/>
          <w:sz w:val="16"/>
          <w:szCs w:val="16"/>
        </w:rPr>
        <w:softHyphen/>
        <w:t>ния паровозу требуемых поражений не</w:t>
      </w:r>
      <w:r w:rsidRPr="00D03F3E">
        <w:rPr>
          <w:color w:val="000000" w:themeColor="text1"/>
          <w:sz w:val="16"/>
          <w:szCs w:val="16"/>
        </w:rPr>
        <w:softHyphen/>
        <w:t>обходимо было выполнить 3-4 прицель</w:t>
      </w:r>
      <w:r w:rsidRPr="00D03F3E">
        <w:rPr>
          <w:color w:val="000000" w:themeColor="text1"/>
          <w:sz w:val="16"/>
          <w:szCs w:val="16"/>
        </w:rPr>
        <w:softHyphen/>
        <w:t>ных захода.</w:t>
      </w:r>
    </w:p>
    <w:p w14:paraId="5B2C07F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Стрельба бронебойными пулями нор</w:t>
      </w:r>
      <w:r w:rsidRPr="00D03F3E">
        <w:rPr>
          <w:color w:val="000000" w:themeColor="text1"/>
          <w:sz w:val="16"/>
          <w:szCs w:val="16"/>
        </w:rPr>
        <w:softHyphen/>
        <w:t>мального калибра и осколочными сна</w:t>
      </w:r>
      <w:r w:rsidRPr="00D03F3E">
        <w:rPr>
          <w:color w:val="000000" w:themeColor="text1"/>
          <w:sz w:val="16"/>
          <w:szCs w:val="16"/>
        </w:rPr>
        <w:softHyphen/>
        <w:t>рядами.к пушкам ШВАК и ВЯ по котлу паровозов совершенно неэффективна, так как в большинстве случаев приво</w:t>
      </w:r>
      <w:r w:rsidRPr="00D03F3E">
        <w:rPr>
          <w:color w:val="000000" w:themeColor="text1"/>
          <w:sz w:val="16"/>
          <w:szCs w:val="16"/>
        </w:rPr>
        <w:softHyphen/>
        <w:t>дила только к разрушению верхнего ко</w:t>
      </w:r>
      <w:r w:rsidRPr="00D03F3E">
        <w:rPr>
          <w:color w:val="000000" w:themeColor="text1"/>
          <w:sz w:val="16"/>
          <w:szCs w:val="16"/>
        </w:rPr>
        <w:softHyphen/>
        <w:t>жуха и асбестовой прокладки без про</w:t>
      </w:r>
      <w:r w:rsidRPr="00D03F3E">
        <w:rPr>
          <w:color w:val="000000" w:themeColor="text1"/>
          <w:sz w:val="16"/>
          <w:szCs w:val="16"/>
        </w:rPr>
        <w:softHyphen/>
        <w:t>бития котла. При стрельбе же по тенде</w:t>
      </w:r>
      <w:r w:rsidRPr="00D03F3E">
        <w:rPr>
          <w:color w:val="000000" w:themeColor="text1"/>
          <w:sz w:val="16"/>
          <w:szCs w:val="16"/>
        </w:rPr>
        <w:softHyphen/>
        <w:t>ру осколочные снаряды к пушкам ШВАК и ВЯ производили сильные разрушения приборов управления паровозом и наноси</w:t>
      </w:r>
      <w:r w:rsidRPr="00D03F3E">
        <w:rPr>
          <w:color w:val="000000" w:themeColor="text1"/>
          <w:sz w:val="16"/>
          <w:szCs w:val="16"/>
        </w:rPr>
        <w:softHyphen/>
        <w:t>ли поражения личному составу бригады.</w:t>
      </w:r>
    </w:p>
    <w:p w14:paraId="433997A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Средний расход бронебойных снаря</w:t>
      </w:r>
      <w:r w:rsidRPr="00D03F3E">
        <w:rPr>
          <w:color w:val="000000" w:themeColor="text1"/>
          <w:sz w:val="16"/>
          <w:szCs w:val="16"/>
        </w:rPr>
        <w:softHyphen/>
        <w:t>дов, приходящийся на одно пробитие котла, по опыту боевых действий, при дальности открытия огня 400 м состав</w:t>
      </w:r>
      <w:r w:rsidRPr="00D03F3E">
        <w:rPr>
          <w:color w:val="000000" w:themeColor="text1"/>
          <w:sz w:val="16"/>
          <w:szCs w:val="16"/>
        </w:rPr>
        <w:softHyphen/>
        <w:t>лял 35 снарядов БЗ-23 и 52 снаряда БЗ-20. При этом паровоз выводился из строя в среднем на 2-3 часа.</w:t>
      </w:r>
    </w:p>
    <w:p w14:paraId="137C634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Попадание одного реактивного сна</w:t>
      </w:r>
      <w:r w:rsidRPr="00D03F3E">
        <w:rPr>
          <w:color w:val="000000" w:themeColor="text1"/>
          <w:sz w:val="16"/>
          <w:szCs w:val="16"/>
        </w:rPr>
        <w:softHyphen/>
        <w:t>ряда PC-82 или PC-132, либо РОФС-132 или РБС-132 в паровоз или вагон эше</w:t>
      </w:r>
      <w:r w:rsidRPr="00D03F3E">
        <w:rPr>
          <w:color w:val="000000" w:themeColor="text1"/>
          <w:sz w:val="16"/>
          <w:szCs w:val="16"/>
        </w:rPr>
        <w:softHyphen/>
        <w:t>лона приводило к его поражению, а в не</w:t>
      </w:r>
      <w:r w:rsidRPr="00D03F3E">
        <w:rPr>
          <w:color w:val="000000" w:themeColor="text1"/>
          <w:sz w:val="16"/>
          <w:szCs w:val="16"/>
        </w:rPr>
        <w:softHyphen/>
        <w:t>которых случаях даже к крушению со</w:t>
      </w:r>
      <w:r w:rsidRPr="00D03F3E">
        <w:rPr>
          <w:color w:val="000000" w:themeColor="text1"/>
          <w:sz w:val="16"/>
          <w:szCs w:val="16"/>
        </w:rPr>
        <w:softHyphen/>
        <w:t>става. К сожалению, большое рассеива</w:t>
      </w:r>
      <w:r w:rsidRPr="00D03F3E">
        <w:rPr>
          <w:color w:val="000000" w:themeColor="text1"/>
          <w:sz w:val="16"/>
          <w:szCs w:val="16"/>
        </w:rPr>
        <w:softHyphen/>
        <w:t>ние реактивных снарядов всех типов и применявшиеся большие дистанции пуска серьезно ограничивали их общую эффективность. Например, при стрель</w:t>
      </w:r>
      <w:r w:rsidRPr="00D03F3E">
        <w:rPr>
          <w:color w:val="000000" w:themeColor="text1"/>
          <w:sz w:val="16"/>
          <w:szCs w:val="16"/>
        </w:rPr>
        <w:softHyphen/>
        <w:t>бе PC-82 с дистанции порядка 700 м для обеспечения одного попадания в паро</w:t>
      </w:r>
      <w:r w:rsidRPr="00D03F3E">
        <w:rPr>
          <w:color w:val="000000" w:themeColor="text1"/>
          <w:sz w:val="16"/>
          <w:szCs w:val="16"/>
        </w:rPr>
        <w:softHyphen/>
        <w:t>воз требовалось, как показал боевой опыт, осуществить 115 (!) пусков PC, то есть совершить 15-29 самолето-вылетов.</w:t>
      </w:r>
    </w:p>
    <w:p w14:paraId="25F93A5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Оценки показывают, что применитель</w:t>
      </w:r>
      <w:r w:rsidRPr="00D03F3E">
        <w:rPr>
          <w:color w:val="000000" w:themeColor="text1"/>
          <w:sz w:val="16"/>
          <w:szCs w:val="16"/>
        </w:rPr>
        <w:softHyphen/>
        <w:t>но к типовым условиям боевого приме</w:t>
      </w:r>
      <w:r w:rsidRPr="00D03F3E">
        <w:rPr>
          <w:color w:val="000000" w:themeColor="text1"/>
          <w:sz w:val="16"/>
          <w:szCs w:val="16"/>
        </w:rPr>
        <w:softHyphen/>
        <w:t>нения самолета Ил-2 вероятность пора</w:t>
      </w:r>
      <w:r w:rsidRPr="00D03F3E">
        <w:rPr>
          <w:color w:val="000000" w:themeColor="text1"/>
          <w:sz w:val="16"/>
          <w:szCs w:val="16"/>
        </w:rPr>
        <w:softHyphen/>
        <w:t>жения паровоза в одном заходе при стрельбе из пушек ВЯ (угол планирова</w:t>
      </w:r>
      <w:r w:rsidRPr="00D03F3E">
        <w:rPr>
          <w:color w:val="000000" w:themeColor="text1"/>
          <w:sz w:val="16"/>
          <w:szCs w:val="16"/>
        </w:rPr>
        <w:softHyphen/>
        <w:t>ния 30°, дальность начала стрельбы по</w:t>
      </w:r>
      <w:r w:rsidRPr="00D03F3E">
        <w:rPr>
          <w:color w:val="000000" w:themeColor="text1"/>
          <w:sz w:val="16"/>
          <w:szCs w:val="16"/>
        </w:rPr>
        <w:softHyphen/>
        <w:t>рядка 400 м) летчиком-штурмовиком, имеющим хорошую летную и стрелко</w:t>
      </w:r>
      <w:r w:rsidRPr="00D03F3E">
        <w:rPr>
          <w:color w:val="000000" w:themeColor="text1"/>
          <w:sz w:val="16"/>
          <w:szCs w:val="16"/>
        </w:rPr>
        <w:softHyphen/>
        <w:t>вую подготовку, могла составлять при</w:t>
      </w:r>
      <w:r w:rsidRPr="00D03F3E">
        <w:rPr>
          <w:color w:val="000000" w:themeColor="text1"/>
          <w:sz w:val="16"/>
          <w:szCs w:val="16"/>
        </w:rPr>
        <w:softHyphen/>
        <w:t>мерно 0,24. При этом средний расход боекомплекта, гарантирующий вывод из строя паровоза, равнялся 160-180 сна</w:t>
      </w:r>
      <w:r w:rsidRPr="00D03F3E">
        <w:rPr>
          <w:color w:val="000000" w:themeColor="text1"/>
          <w:sz w:val="16"/>
          <w:szCs w:val="16"/>
        </w:rPr>
        <w:softHyphen/>
        <w:t>рядам.</w:t>
      </w:r>
    </w:p>
    <w:p w14:paraId="653FE12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Основным средством поражения ав</w:t>
      </w:r>
      <w:r w:rsidRPr="00D03F3E">
        <w:rPr>
          <w:color w:val="000000" w:themeColor="text1"/>
          <w:sz w:val="16"/>
          <w:szCs w:val="16"/>
        </w:rPr>
        <w:softHyphen/>
        <w:t>томобильных колонн были осколочные авиабомбы (АО-10 и т.д.), реактивные снаряды, пушечно-пулеметный огонь и зажигательные средства.</w:t>
      </w:r>
    </w:p>
    <w:p w14:paraId="5EACEB2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Атаки автоколонн и одиночных авто</w:t>
      </w:r>
      <w:r w:rsidRPr="00D03F3E">
        <w:rPr>
          <w:color w:val="000000" w:themeColor="text1"/>
          <w:sz w:val="16"/>
          <w:szCs w:val="16"/>
        </w:rPr>
        <w:softHyphen/>
        <w:t>машин производились с высот не бо</w:t>
      </w:r>
      <w:r w:rsidRPr="00D03F3E">
        <w:rPr>
          <w:color w:val="000000" w:themeColor="text1"/>
          <w:sz w:val="16"/>
          <w:szCs w:val="16"/>
        </w:rPr>
        <w:softHyphen/>
        <w:t>лее 400 м с планирования под углами 10-25°. При этом в первую очередь под</w:t>
      </w:r>
      <w:r w:rsidRPr="00D03F3E">
        <w:rPr>
          <w:color w:val="000000" w:themeColor="text1"/>
          <w:sz w:val="16"/>
          <w:szCs w:val="16"/>
        </w:rPr>
        <w:softHyphen/>
        <w:t>вергались атаке легковые и штабные автомашины, автоцистерны с горючим и специальные автомашины (передвиж</w:t>
      </w:r>
      <w:r w:rsidRPr="00D03F3E">
        <w:rPr>
          <w:color w:val="000000" w:themeColor="text1"/>
          <w:sz w:val="16"/>
          <w:szCs w:val="16"/>
        </w:rPr>
        <w:softHyphen/>
        <w:t>ные радиостанции и т.д.).</w:t>
      </w:r>
    </w:p>
    <w:p w14:paraId="2AC5550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Прицеливание осуществлялось по отдельной автомашине. Основной урон обеспечивался стрелково-пушечным вооружением - дальность ведения эф</w:t>
      </w:r>
      <w:r w:rsidRPr="00D03F3E">
        <w:rPr>
          <w:color w:val="000000" w:themeColor="text1"/>
          <w:sz w:val="16"/>
          <w:szCs w:val="16"/>
        </w:rPr>
        <w:softHyphen/>
        <w:t>фективного огня 200-600 м. Огонь велся короткими очередями (по 8-10 снарядов к каждой пушке и по 10-15 патронов к каждому пулемету).</w:t>
      </w:r>
    </w:p>
    <w:p w14:paraId="6F5B2FE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Основной целью первой атаки явля</w:t>
      </w:r>
      <w:r w:rsidRPr="00D03F3E">
        <w:rPr>
          <w:color w:val="000000" w:themeColor="text1"/>
          <w:sz w:val="16"/>
          <w:szCs w:val="16"/>
        </w:rPr>
        <w:softHyphen/>
        <w:t>лось создание затора. В последующих атаках, которые производились из бое</w:t>
      </w:r>
      <w:r w:rsidRPr="00D03F3E">
        <w:rPr>
          <w:color w:val="000000" w:themeColor="text1"/>
          <w:sz w:val="16"/>
          <w:szCs w:val="16"/>
        </w:rPr>
        <w:softHyphen/>
        <w:t>вого порядка "круг" самолетов, каждая группа Ил-2 наносила удар по наиболее компактной части колонны. Если автоколонна была достаточно длинной и отсутствовало противодей</w:t>
      </w:r>
      <w:r w:rsidRPr="00D03F3E">
        <w:rPr>
          <w:color w:val="000000" w:themeColor="text1"/>
          <w:sz w:val="16"/>
          <w:szCs w:val="16"/>
        </w:rPr>
        <w:softHyphen/>
        <w:t>ствие зенитных средств противника, то атака самолетами Ил-2 такой цели осу</w:t>
      </w:r>
      <w:r w:rsidRPr="00D03F3E">
        <w:rPr>
          <w:color w:val="000000" w:themeColor="text1"/>
          <w:sz w:val="16"/>
          <w:szCs w:val="16"/>
        </w:rPr>
        <w:softHyphen/>
        <w:t>ществлялась с планирования под угла</w:t>
      </w:r>
      <w:r w:rsidRPr="00D03F3E">
        <w:rPr>
          <w:color w:val="000000" w:themeColor="text1"/>
          <w:sz w:val="16"/>
          <w:szCs w:val="16"/>
        </w:rPr>
        <w:softHyphen/>
        <w:t>ми 5-10° путем последовательного пе</w:t>
      </w:r>
      <w:r w:rsidRPr="00D03F3E">
        <w:rPr>
          <w:color w:val="000000" w:themeColor="text1"/>
          <w:sz w:val="16"/>
          <w:szCs w:val="16"/>
        </w:rPr>
        <w:softHyphen/>
        <w:t>реноса огня с одной точки на другую без ухода в сторону для занятия нового исходного положения перед атакой.</w:t>
      </w:r>
    </w:p>
    <w:p w14:paraId="184891C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Боевой опыт и полигонные испыта</w:t>
      </w:r>
      <w:r w:rsidRPr="00D03F3E">
        <w:rPr>
          <w:color w:val="000000" w:themeColor="text1"/>
          <w:sz w:val="16"/>
          <w:szCs w:val="16"/>
        </w:rPr>
        <w:softHyphen/>
        <w:t>ния показывают, что 1-2 попаданий осколочно-зажигательных или 2-4 попада</w:t>
      </w:r>
      <w:r w:rsidRPr="00D03F3E">
        <w:rPr>
          <w:color w:val="000000" w:themeColor="text1"/>
          <w:sz w:val="16"/>
          <w:szCs w:val="16"/>
        </w:rPr>
        <w:softHyphen/>
        <w:t>ний бронебойно-зажигательных снаря</w:t>
      </w:r>
      <w:r w:rsidRPr="00D03F3E">
        <w:rPr>
          <w:color w:val="000000" w:themeColor="text1"/>
          <w:sz w:val="16"/>
          <w:szCs w:val="16"/>
        </w:rPr>
        <w:softHyphen/>
        <w:t>дов к пушкам ШВАК и ВЯ в автобензо</w:t>
      </w:r>
      <w:r w:rsidRPr="00D03F3E">
        <w:rPr>
          <w:color w:val="000000" w:themeColor="text1"/>
          <w:sz w:val="16"/>
          <w:szCs w:val="16"/>
        </w:rPr>
        <w:softHyphen/>
        <w:t>цистерну достаточно для возникновения пожара или утечки горючего, а для пол</w:t>
      </w:r>
      <w:r w:rsidRPr="00D03F3E">
        <w:rPr>
          <w:color w:val="000000" w:themeColor="text1"/>
          <w:sz w:val="16"/>
          <w:szCs w:val="16"/>
        </w:rPr>
        <w:softHyphen/>
        <w:t>ного поражения автомашины - одного попадания в мотор.</w:t>
      </w:r>
    </w:p>
    <w:p w14:paraId="330D13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Оценки показывают, что хорошо под</w:t>
      </w:r>
      <w:r w:rsidRPr="00D03F3E">
        <w:rPr>
          <w:color w:val="000000" w:themeColor="text1"/>
          <w:sz w:val="16"/>
          <w:szCs w:val="16"/>
        </w:rPr>
        <w:softHyphen/>
        <w:t>готовленный в стрелковом и летном от</w:t>
      </w:r>
      <w:r w:rsidRPr="00D03F3E">
        <w:rPr>
          <w:color w:val="000000" w:themeColor="text1"/>
          <w:sz w:val="16"/>
          <w:szCs w:val="16"/>
        </w:rPr>
        <w:softHyphen/>
        <w:t>ношении летчик на штурмовике Ил-2 в боевых условиях мог обеспечить в одном заходе (угол планирования 30°, даль</w:t>
      </w:r>
      <w:r w:rsidRPr="00D03F3E">
        <w:rPr>
          <w:color w:val="000000" w:themeColor="text1"/>
          <w:sz w:val="16"/>
          <w:szCs w:val="16"/>
        </w:rPr>
        <w:softHyphen/>
        <w:t>ность начала стрельбы 400 м) вероят</w:t>
      </w:r>
      <w:r w:rsidRPr="00D03F3E">
        <w:rPr>
          <w:color w:val="000000" w:themeColor="text1"/>
          <w:sz w:val="16"/>
          <w:szCs w:val="16"/>
        </w:rPr>
        <w:softHyphen/>
        <w:t>ность поражения автобензоцистерны при стрельбе из пушек ВЯ или ШВАК порядка 0,3-0,4. При этом для гарантированного поражения автобензоцистер</w:t>
      </w:r>
      <w:r w:rsidRPr="00D03F3E">
        <w:rPr>
          <w:color w:val="000000" w:themeColor="text1"/>
          <w:sz w:val="16"/>
          <w:szCs w:val="16"/>
        </w:rPr>
        <w:softHyphen/>
        <w:t>ны необходимо было в среднем израс</w:t>
      </w:r>
      <w:r w:rsidRPr="00D03F3E">
        <w:rPr>
          <w:color w:val="000000" w:themeColor="text1"/>
          <w:sz w:val="16"/>
          <w:szCs w:val="16"/>
        </w:rPr>
        <w:softHyphen/>
        <w:t>ходовать 120-130 снарядов. Вероятность же поражения автомашины в этих же ус</w:t>
      </w:r>
      <w:r w:rsidRPr="00D03F3E">
        <w:rPr>
          <w:color w:val="000000" w:themeColor="text1"/>
          <w:sz w:val="16"/>
          <w:szCs w:val="16"/>
        </w:rPr>
        <w:softHyphen/>
        <w:t>ловиях не превышала 0,10-0,13 (6467).</w:t>
      </w:r>
    </w:p>
    <w:p w14:paraId="17C1368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Естественно, что реальные результа</w:t>
      </w:r>
      <w:r w:rsidRPr="00D03F3E">
        <w:rPr>
          <w:color w:val="000000" w:themeColor="text1"/>
          <w:sz w:val="16"/>
          <w:szCs w:val="16"/>
        </w:rPr>
        <w:softHyphen/>
        <w:t>ты атак немецких автоколонн штурмо</w:t>
      </w:r>
      <w:r w:rsidRPr="00D03F3E">
        <w:rPr>
          <w:color w:val="000000" w:themeColor="text1"/>
          <w:sz w:val="16"/>
          <w:szCs w:val="16"/>
        </w:rPr>
        <w:softHyphen/>
        <w:t>виками Ил-2 конкретных авиаполков были несколько хуже. Например, опыт 61 -го штурмового авиаполка показал, что прицельная стрельба по автотранспор</w:t>
      </w:r>
      <w:r w:rsidRPr="00D03F3E">
        <w:rPr>
          <w:color w:val="000000" w:themeColor="text1"/>
          <w:sz w:val="16"/>
          <w:szCs w:val="16"/>
        </w:rPr>
        <w:softHyphen/>
        <w:t>ту давала 8-10% попаданий у летчика с отличной стрелковой подготовкой, 5-7% у летчика с хорошей и 2-4% - у летчи</w:t>
      </w:r>
      <w:r w:rsidRPr="00D03F3E">
        <w:rPr>
          <w:color w:val="000000" w:themeColor="text1"/>
          <w:sz w:val="16"/>
          <w:szCs w:val="16"/>
        </w:rPr>
        <w:softHyphen/>
        <w:t>ка с удовлетворительной стрелковой подготовкой.</w:t>
      </w:r>
    </w:p>
    <w:p w14:paraId="6A556F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данным оперативного управления ВВС КА боевая живучесть Ил-2 при на</w:t>
      </w:r>
      <w:r w:rsidRPr="00D03F3E">
        <w:rPr>
          <w:color w:val="000000" w:themeColor="text1"/>
          <w:sz w:val="16"/>
          <w:szCs w:val="16"/>
        </w:rPr>
        <w:softHyphen/>
        <w:t>несении бомбоштурмовых ударов по автоколоннам противника в мае-июне 43-го в среднем составила 18-20 само</w:t>
      </w:r>
      <w:r w:rsidRPr="00D03F3E">
        <w:rPr>
          <w:color w:val="000000" w:themeColor="text1"/>
          <w:sz w:val="16"/>
          <w:szCs w:val="16"/>
        </w:rPr>
        <w:softHyphen/>
        <w:t>лето-вылетов на одну потерю штурмо</w:t>
      </w:r>
      <w:r w:rsidRPr="00D03F3E">
        <w:rPr>
          <w:color w:val="000000" w:themeColor="text1"/>
          <w:sz w:val="16"/>
          <w:szCs w:val="16"/>
        </w:rPr>
        <w:softHyphen/>
        <w:t>вика и одно повреждение на 33 само</w:t>
      </w:r>
      <w:r w:rsidRPr="00D03F3E">
        <w:rPr>
          <w:color w:val="000000" w:themeColor="text1"/>
          <w:sz w:val="16"/>
          <w:szCs w:val="16"/>
        </w:rPr>
        <w:softHyphen/>
        <w:t>лето-вылета.</w:t>
      </w:r>
    </w:p>
    <w:p w14:paraId="6AA70D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Последующие события показали, что активные действия ВВС КА по срыву железнодорожных и автомобильных пе</w:t>
      </w:r>
      <w:r w:rsidRPr="00D03F3E">
        <w:rPr>
          <w:color w:val="000000" w:themeColor="text1"/>
          <w:sz w:val="16"/>
          <w:szCs w:val="16"/>
        </w:rPr>
        <w:softHyphen/>
        <w:t>ревозок несколько затормозили сосре</w:t>
      </w:r>
      <w:r w:rsidRPr="00D03F3E">
        <w:rPr>
          <w:color w:val="000000" w:themeColor="text1"/>
          <w:sz w:val="16"/>
          <w:szCs w:val="16"/>
        </w:rPr>
        <w:softHyphen/>
        <w:t>доточение немецких войск на Курском выступе и в конечном итоге повлияли на перенесение германским командова</w:t>
      </w:r>
      <w:r w:rsidRPr="00D03F3E">
        <w:rPr>
          <w:color w:val="000000" w:themeColor="text1"/>
          <w:sz w:val="16"/>
          <w:szCs w:val="16"/>
        </w:rPr>
        <w:softHyphen/>
        <w:t>нием сроков начала наступления с июня на июль, что дало возможность войскам Красной Армии врыться в землю (6467).</w:t>
      </w:r>
    </w:p>
    <w:p w14:paraId="25CD6881" w14:textId="77777777" w:rsidR="00531570" w:rsidRPr="00D03F3E" w:rsidRDefault="00531570" w:rsidP="00D03F3E">
      <w:pPr>
        <w:pStyle w:val="Iauiue"/>
        <w:jc w:val="both"/>
        <w:rPr>
          <w:color w:val="000000" w:themeColor="text1"/>
          <w:sz w:val="16"/>
          <w:szCs w:val="16"/>
        </w:rPr>
      </w:pPr>
    </w:p>
    <w:p w14:paraId="542EF3E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6 мая 1943 на протяжении 10 суток предусматривались удары с целью срыва железнодорожных перевозок и дезорганизации автомобильного движения. Для ударов на коммуникациях противника в каждой воздушной армии выделялось по одному штурмовому и истребительному авиаполку, которые должны были действовать небольшими группами способом "свободной охоты" (12012).</w:t>
      </w:r>
    </w:p>
    <w:p w14:paraId="2850CDD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EF5D63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6-8 мая 1943 была проведена крупная воздушная операция с участием шести ВА: 1 - по 5 аэродромам, 15 - по 2, 16 - 6, 2 - 8, 17 - 2, 8 - 3), в ходе которой действовали по аэродромам и вели воздушные бои с 4ВФ и группой Ост-Митте на фронте 1200 км от Смоленска до Азовского моря. Старались предупредить наступление немцев, которое разведка обещала 10-11 мая. План операции составил штаб ВВС КА и был утвержден Ставкой. Ознакомили командиров с целями за 6-8 час. Штурмовики и бомбардировщики обрабатывали и маршруты. Очень хорошо подготовились, разведка контролировала немцев 3 раза в день. Начали в 5:30 6 мая и после бомбометания встав в круг расстреливали из пушек и пулеметов и РС, сделав по 2-3 захода. Выполнили 434 вылета и на 17 аэродромах уничтожили 194 на земле (139 бомбардировщиков) и 21 в воздухе, потеряв примерно 22 (1:10.7). Во второй половине дня 6 еще 372 самолета ударили по 20, но встретили серьезное сопротивление. Тем ни менее уничтожили 134 и сбили 24 потеряв 46 (1 к 3.4). Утром 7 - еще один массированный по 22 аэродромам с участием 405 машин. Вывели из строя 122 и сбили 29. Потеряли 48 (1 к 2.6) (518,76).</w:t>
      </w:r>
    </w:p>
    <w:p w14:paraId="7829159C" w14:textId="77777777" w:rsidR="00531570" w:rsidRPr="00D03F3E" w:rsidRDefault="00531570" w:rsidP="00D03F3E">
      <w:pPr>
        <w:pStyle w:val="Iauiue"/>
        <w:jc w:val="both"/>
        <w:rPr>
          <w:color w:val="000000" w:themeColor="text1"/>
          <w:sz w:val="16"/>
          <w:szCs w:val="16"/>
        </w:rPr>
      </w:pPr>
    </w:p>
    <w:p w14:paraId="5B2F02F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мая 1943 ВВС уничтожили и повредили в воздушных боях и на аэродромах 350 с (438,871).</w:t>
      </w:r>
    </w:p>
    <w:p w14:paraId="3592DE42" w14:textId="77777777" w:rsidR="00531570" w:rsidRPr="00D03F3E" w:rsidRDefault="00531570" w:rsidP="00D03F3E">
      <w:pPr>
        <w:pStyle w:val="Iauiue"/>
        <w:jc w:val="both"/>
        <w:rPr>
          <w:color w:val="000000" w:themeColor="text1"/>
          <w:sz w:val="16"/>
          <w:szCs w:val="16"/>
        </w:rPr>
      </w:pPr>
    </w:p>
    <w:p w14:paraId="5E6559D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мая 1943 из вылетавших на боевое задание 16 Ил-2 от 41-го шап 299-й шад на свой аэродром вернулся только один экипаж - капитан Федоров с воздушным стрелком Исаевым. Их штурмовик имел многочисленные пробоины, а сами воины были тяжело ранены. Розыск пропавших экипажей позволил установить местонахождение еще двух экипажей.</w:t>
      </w:r>
    </w:p>
    <w:p w14:paraId="7134CBC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Федоров доложил, что на подходе к аэродрому Орел-ГВФ штурмовики были обстреляны сильным огнем зенитной артиллерии, расположенной на окраине города и в районе аэродрома. На выходе из атаки группы растянулись - ведомые, в основном молодые летчики, не смогли удержаться в строю. Пока ведущие сбрасывали газ, а ведомые экипажи подтягивались, обе группы были атакованы истребителями Люфтваффе. В оборонительный круг штурмовики встать не успели, так как были "расколоты" стремительной атакой немецких пилотов. Бой велся разрозненно и неорганизованно, отбивались, кто как мог. Своих истребителей прикрытия в районе боя капитан Федоров не наблюдал.</w:t>
      </w:r>
    </w:p>
    <w:p w14:paraId="117B358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Как показало расследование, истребители сопровождения от 896-го иап 286-й иад - две группы по 8 Як-1, вопреки инструкции находились со значительным превышением (на 1000-1200 м) над штурмовиками и сзади на 800 м, а с началом обстрела зенитной артиллерией в районе цели поднялись еще выше. В результате, когда экипажи 41-го шап пошли в атаку, истребители потеряли их из виду и найти больше не смогли (12020).</w:t>
      </w:r>
    </w:p>
    <w:p w14:paraId="3EC0CBB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553FF4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6-8 мая 1943 и 8-10 июня 1943 ВВС Красной Ар</w:t>
      </w:r>
      <w:r w:rsidRPr="00D03F3E">
        <w:rPr>
          <w:rFonts w:ascii="Times New Roman" w:hAnsi="Times New Roman"/>
          <w:color w:val="000000" w:themeColor="text1"/>
          <w:sz w:val="16"/>
          <w:szCs w:val="16"/>
        </w:rPr>
        <w:softHyphen/>
        <w:t>мии провели две самостоятельные воз</w:t>
      </w:r>
      <w:r w:rsidRPr="00D03F3E">
        <w:rPr>
          <w:rFonts w:ascii="Times New Roman" w:hAnsi="Times New Roman"/>
          <w:color w:val="000000" w:themeColor="text1"/>
          <w:sz w:val="16"/>
          <w:szCs w:val="16"/>
        </w:rPr>
        <w:softHyphen/>
        <w:t>душные операции по разгрому немец</w:t>
      </w:r>
      <w:r w:rsidRPr="00D03F3E">
        <w:rPr>
          <w:rFonts w:ascii="Times New Roman" w:hAnsi="Times New Roman"/>
          <w:color w:val="000000" w:themeColor="text1"/>
          <w:sz w:val="16"/>
          <w:szCs w:val="16"/>
        </w:rPr>
        <w:softHyphen/>
        <w:t>кой авиации на аэродромах базиро</w:t>
      </w:r>
      <w:r w:rsidRPr="00D03F3E">
        <w:rPr>
          <w:rFonts w:ascii="Times New Roman" w:hAnsi="Times New Roman"/>
          <w:color w:val="000000" w:themeColor="text1"/>
          <w:sz w:val="16"/>
          <w:szCs w:val="16"/>
        </w:rPr>
        <w:softHyphen/>
        <w:t>вания. Считается, что от всех предыду</w:t>
      </w:r>
      <w:r w:rsidRPr="00D03F3E">
        <w:rPr>
          <w:rFonts w:ascii="Times New Roman" w:hAnsi="Times New Roman"/>
          <w:color w:val="000000" w:themeColor="text1"/>
          <w:sz w:val="16"/>
          <w:szCs w:val="16"/>
        </w:rPr>
        <w:softHyphen/>
        <w:t>щих операций они отличались не толь</w:t>
      </w:r>
      <w:r w:rsidRPr="00D03F3E">
        <w:rPr>
          <w:rFonts w:ascii="Times New Roman" w:hAnsi="Times New Roman"/>
          <w:color w:val="000000" w:themeColor="text1"/>
          <w:sz w:val="16"/>
          <w:szCs w:val="16"/>
        </w:rPr>
        <w:softHyphen/>
        <w:t>ко большим размахом и решительнос</w:t>
      </w:r>
      <w:r w:rsidRPr="00D03F3E">
        <w:rPr>
          <w:rFonts w:ascii="Times New Roman" w:hAnsi="Times New Roman"/>
          <w:color w:val="000000" w:themeColor="text1"/>
          <w:sz w:val="16"/>
          <w:szCs w:val="16"/>
        </w:rPr>
        <w:softHyphen/>
        <w:t>тью целей, но и высокой эффективнос</w:t>
      </w:r>
      <w:r w:rsidRPr="00D03F3E">
        <w:rPr>
          <w:rFonts w:ascii="Times New Roman" w:hAnsi="Times New Roman"/>
          <w:color w:val="000000" w:themeColor="text1"/>
          <w:sz w:val="16"/>
          <w:szCs w:val="16"/>
        </w:rPr>
        <w:softHyphen/>
        <w:t>тью. К сожалению, это не совсем так. Фактически за четыре дня боев наши ВВС при ударах по аэродромам про</w:t>
      </w:r>
      <w:r w:rsidRPr="00D03F3E">
        <w:rPr>
          <w:rFonts w:ascii="Times New Roman" w:hAnsi="Times New Roman"/>
          <w:color w:val="000000" w:themeColor="text1"/>
          <w:sz w:val="16"/>
          <w:szCs w:val="16"/>
        </w:rPr>
        <w:softHyphen/>
        <w:t>тивника безвозвратно потеряли 103 са</w:t>
      </w:r>
      <w:r w:rsidRPr="00D03F3E">
        <w:rPr>
          <w:rFonts w:ascii="Times New Roman" w:hAnsi="Times New Roman"/>
          <w:color w:val="000000" w:themeColor="text1"/>
          <w:sz w:val="16"/>
          <w:szCs w:val="16"/>
        </w:rPr>
        <w:softHyphen/>
        <w:t>молета Ил-2, 26 бомбардировщиков Пе-2 и Б-3 ("Бостон"), 67 истребите</w:t>
      </w:r>
      <w:r w:rsidRPr="00D03F3E">
        <w:rPr>
          <w:rFonts w:ascii="Times New Roman" w:hAnsi="Times New Roman"/>
          <w:color w:val="000000" w:themeColor="text1"/>
          <w:sz w:val="16"/>
          <w:szCs w:val="16"/>
        </w:rPr>
        <w:softHyphen/>
        <w:t>лей. Только штурмовики недосчитались 86 летчиков и 70 воздушных стрелков, из которых большинство были опытны</w:t>
      </w:r>
      <w:r w:rsidRPr="00D03F3E">
        <w:rPr>
          <w:rFonts w:ascii="Times New Roman" w:hAnsi="Times New Roman"/>
          <w:color w:val="000000" w:themeColor="text1"/>
          <w:sz w:val="16"/>
          <w:szCs w:val="16"/>
        </w:rPr>
        <w:softHyphen/>
        <w:t>ми воздушными бойцами. Некоторые штурмовые авиаполки практически ут</w:t>
      </w:r>
      <w:r w:rsidRPr="00D03F3E">
        <w:rPr>
          <w:rFonts w:ascii="Times New Roman" w:hAnsi="Times New Roman"/>
          <w:color w:val="000000" w:themeColor="text1"/>
          <w:sz w:val="16"/>
          <w:szCs w:val="16"/>
        </w:rPr>
        <w:softHyphen/>
        <w:t>ратили боеспособность, так как поте</w:t>
      </w:r>
      <w:r w:rsidRPr="00D03F3E">
        <w:rPr>
          <w:rFonts w:ascii="Times New Roman" w:hAnsi="Times New Roman"/>
          <w:color w:val="000000" w:themeColor="text1"/>
          <w:sz w:val="16"/>
          <w:szCs w:val="16"/>
        </w:rPr>
        <w:softHyphen/>
        <w:t>ряли свыше половины своего летного состава и главное почти весь команд</w:t>
      </w:r>
      <w:r w:rsidRPr="00D03F3E">
        <w:rPr>
          <w:rFonts w:ascii="Times New Roman" w:hAnsi="Times New Roman"/>
          <w:color w:val="000000" w:themeColor="text1"/>
          <w:sz w:val="16"/>
          <w:szCs w:val="16"/>
        </w:rPr>
        <w:softHyphen/>
        <w:t>ный состав - командиров полков, штур</w:t>
      </w:r>
      <w:r w:rsidRPr="00D03F3E">
        <w:rPr>
          <w:rFonts w:ascii="Times New Roman" w:hAnsi="Times New Roman"/>
          <w:color w:val="000000" w:themeColor="text1"/>
          <w:sz w:val="16"/>
          <w:szCs w:val="16"/>
        </w:rPr>
        <w:softHyphen/>
        <w:t>манов, помощников по воздушно-стрелковой службе, командиров эскад</w:t>
      </w:r>
      <w:r w:rsidRPr="00D03F3E">
        <w:rPr>
          <w:rFonts w:ascii="Times New Roman" w:hAnsi="Times New Roman"/>
          <w:color w:val="000000" w:themeColor="text1"/>
          <w:sz w:val="16"/>
          <w:szCs w:val="16"/>
        </w:rPr>
        <w:softHyphen/>
        <w:t>рилий и звеньев. В то же время потери противника ненамного превысили наши потери. Если убыль лютфваффе в са</w:t>
      </w:r>
      <w:r w:rsidRPr="00D03F3E">
        <w:rPr>
          <w:rFonts w:ascii="Times New Roman" w:hAnsi="Times New Roman"/>
          <w:color w:val="000000" w:themeColor="text1"/>
          <w:sz w:val="16"/>
          <w:szCs w:val="16"/>
        </w:rPr>
        <w:softHyphen/>
        <w:t>молетах по оценкам могла составить примерно 13-14% наличных сил авиа</w:t>
      </w:r>
      <w:r w:rsidRPr="00D03F3E">
        <w:rPr>
          <w:rFonts w:ascii="Times New Roman" w:hAnsi="Times New Roman"/>
          <w:color w:val="000000" w:themeColor="text1"/>
          <w:sz w:val="16"/>
          <w:szCs w:val="16"/>
        </w:rPr>
        <w:softHyphen/>
        <w:t>ции на всех атакованных аэродромах (включая возможные потери в воздуш</w:t>
      </w:r>
      <w:r w:rsidRPr="00D03F3E">
        <w:rPr>
          <w:rFonts w:ascii="Times New Roman" w:hAnsi="Times New Roman"/>
          <w:color w:val="000000" w:themeColor="text1"/>
          <w:sz w:val="16"/>
          <w:szCs w:val="16"/>
        </w:rPr>
        <w:softHyphen/>
        <w:t>ных боях), то советская сторона поте</w:t>
      </w:r>
      <w:r w:rsidRPr="00D03F3E">
        <w:rPr>
          <w:rFonts w:ascii="Times New Roman" w:hAnsi="Times New Roman"/>
          <w:color w:val="000000" w:themeColor="text1"/>
          <w:sz w:val="16"/>
          <w:szCs w:val="16"/>
        </w:rPr>
        <w:softHyphen/>
        <w:t>ряла 1 2% от общего числа "ходивших" на аэродромы самолетов. При этом наши воздушные армии понесли без</w:t>
      </w:r>
      <w:r w:rsidRPr="00D03F3E">
        <w:rPr>
          <w:rFonts w:ascii="Times New Roman" w:hAnsi="Times New Roman"/>
          <w:color w:val="000000" w:themeColor="text1"/>
          <w:sz w:val="16"/>
          <w:szCs w:val="16"/>
        </w:rPr>
        <w:softHyphen/>
        <w:t>возвратные потери и в самолетах, и, главное, в летном составе, тогда как противник - лишь в самолетах, из ко</w:t>
      </w:r>
      <w:r w:rsidRPr="00D03F3E">
        <w:rPr>
          <w:rFonts w:ascii="Times New Roman" w:hAnsi="Times New Roman"/>
          <w:color w:val="000000" w:themeColor="text1"/>
          <w:sz w:val="16"/>
          <w:szCs w:val="16"/>
        </w:rPr>
        <w:softHyphen/>
        <w:t>торых часть могла быть вскоре восста</w:t>
      </w:r>
      <w:r w:rsidRPr="00D03F3E">
        <w:rPr>
          <w:rFonts w:ascii="Times New Roman" w:hAnsi="Times New Roman"/>
          <w:color w:val="000000" w:themeColor="text1"/>
          <w:sz w:val="16"/>
          <w:szCs w:val="16"/>
        </w:rPr>
        <w:softHyphen/>
        <w:t>новлена. Из летного состава немцы недосчитались в основном лишь тех, кто погиб в воздушных боях. Поэтому для восстановления боеспособности своей группировки командованию люф</w:t>
      </w:r>
      <w:r w:rsidRPr="00D03F3E">
        <w:rPr>
          <w:rFonts w:ascii="Times New Roman" w:hAnsi="Times New Roman"/>
          <w:color w:val="000000" w:themeColor="text1"/>
          <w:sz w:val="16"/>
          <w:szCs w:val="16"/>
        </w:rPr>
        <w:softHyphen/>
        <w:t>тваффе было достаточно перебросить на атакованные участки фронта ре</w:t>
      </w:r>
      <w:r w:rsidRPr="00D03F3E">
        <w:rPr>
          <w:rFonts w:ascii="Times New Roman" w:hAnsi="Times New Roman"/>
          <w:color w:val="000000" w:themeColor="text1"/>
          <w:sz w:val="16"/>
          <w:szCs w:val="16"/>
        </w:rPr>
        <w:softHyphen/>
        <w:t>зервы самолетов, а советскому коман</w:t>
      </w:r>
      <w:r w:rsidRPr="00D03F3E">
        <w:rPr>
          <w:rFonts w:ascii="Times New Roman" w:hAnsi="Times New Roman"/>
          <w:color w:val="000000" w:themeColor="text1"/>
          <w:sz w:val="16"/>
          <w:szCs w:val="16"/>
        </w:rPr>
        <w:softHyphen/>
        <w:t>дованию необходимо было пополнять части и самолетами, и летным соста</w:t>
      </w:r>
      <w:r w:rsidRPr="00D03F3E">
        <w:rPr>
          <w:rFonts w:ascii="Times New Roman" w:hAnsi="Times New Roman"/>
          <w:color w:val="000000" w:themeColor="text1"/>
          <w:sz w:val="16"/>
          <w:szCs w:val="16"/>
        </w:rPr>
        <w:softHyphen/>
        <w:t>вом, который еще требовалось ввести в строй. Как оказалось, причинами больших потерь и невысокой результативности ударов ВВС КА являлась "не слабая выучка экипажей подразделений и ча</w:t>
      </w:r>
      <w:r w:rsidRPr="00D03F3E">
        <w:rPr>
          <w:rFonts w:ascii="Times New Roman" w:hAnsi="Times New Roman"/>
          <w:color w:val="000000" w:themeColor="text1"/>
          <w:sz w:val="16"/>
          <w:szCs w:val="16"/>
        </w:rPr>
        <w:softHyphen/>
        <w:t>стей в целом, а, прежде всего, непра</w:t>
      </w:r>
      <w:r w:rsidRPr="00D03F3E">
        <w:rPr>
          <w:rFonts w:ascii="Times New Roman" w:hAnsi="Times New Roman"/>
          <w:color w:val="000000" w:themeColor="text1"/>
          <w:sz w:val="16"/>
          <w:szCs w:val="16"/>
        </w:rPr>
        <w:softHyphen/>
        <w:t>вильное боевое применение подразделений и частей со стороны их коман</w:t>
      </w:r>
      <w:r w:rsidRPr="00D03F3E">
        <w:rPr>
          <w:rFonts w:ascii="Times New Roman" w:hAnsi="Times New Roman"/>
          <w:color w:val="000000" w:themeColor="text1"/>
          <w:sz w:val="16"/>
          <w:szCs w:val="16"/>
        </w:rPr>
        <w:softHyphen/>
        <w:t>диров " (10783).</w:t>
      </w:r>
    </w:p>
    <w:p w14:paraId="027416F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AA0C31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рассвете 6 мая 1943 был нанесен удар по 15 аэродромам силами 71 бом</w:t>
      </w:r>
      <w:r w:rsidRPr="00D03F3E">
        <w:rPr>
          <w:rFonts w:ascii="Times New Roman" w:hAnsi="Times New Roman"/>
          <w:color w:val="000000" w:themeColor="text1"/>
          <w:sz w:val="16"/>
          <w:szCs w:val="16"/>
        </w:rPr>
        <w:softHyphen/>
        <w:t>бардировщиков Пе-2 и "Бостон", 109 Ил-2 и 224 истребителей. Как следует из документов воздушных армий, скрытность и тщательность под</w:t>
      </w:r>
      <w:r w:rsidRPr="00D03F3E">
        <w:rPr>
          <w:rFonts w:ascii="Times New Roman" w:hAnsi="Times New Roman"/>
          <w:color w:val="000000" w:themeColor="text1"/>
          <w:sz w:val="16"/>
          <w:szCs w:val="16"/>
        </w:rPr>
        <w:softHyphen/>
        <w:t>готовки воздушной операции обеспечи</w:t>
      </w:r>
      <w:r w:rsidRPr="00D03F3E">
        <w:rPr>
          <w:rFonts w:ascii="Times New Roman" w:hAnsi="Times New Roman"/>
          <w:color w:val="000000" w:themeColor="text1"/>
          <w:sz w:val="16"/>
          <w:szCs w:val="16"/>
        </w:rPr>
        <w:softHyphen/>
        <w:t>ли довольно высокую эффективность пер</w:t>
      </w:r>
      <w:r w:rsidRPr="00D03F3E">
        <w:rPr>
          <w:rFonts w:ascii="Times New Roman" w:hAnsi="Times New Roman"/>
          <w:color w:val="000000" w:themeColor="text1"/>
          <w:sz w:val="16"/>
          <w:szCs w:val="16"/>
        </w:rPr>
        <w:softHyphen/>
        <w:t>вого удара. В результате про</w:t>
      </w:r>
      <w:r w:rsidRPr="00D03F3E">
        <w:rPr>
          <w:rFonts w:ascii="Times New Roman" w:hAnsi="Times New Roman"/>
          <w:color w:val="000000" w:themeColor="text1"/>
          <w:sz w:val="16"/>
          <w:szCs w:val="16"/>
        </w:rPr>
        <w:softHyphen/>
        <w:t>тивник не смог оказать организованно</w:t>
      </w:r>
      <w:r w:rsidRPr="00D03F3E">
        <w:rPr>
          <w:rFonts w:ascii="Times New Roman" w:hAnsi="Times New Roman"/>
          <w:color w:val="000000" w:themeColor="text1"/>
          <w:sz w:val="16"/>
          <w:szCs w:val="16"/>
        </w:rPr>
        <w:softHyphen/>
        <w:t>го сопротивления и по официальным дан</w:t>
      </w:r>
      <w:r w:rsidRPr="00D03F3E">
        <w:rPr>
          <w:rFonts w:ascii="Times New Roman" w:hAnsi="Times New Roman"/>
          <w:color w:val="000000" w:themeColor="text1"/>
          <w:sz w:val="16"/>
          <w:szCs w:val="16"/>
        </w:rPr>
        <w:softHyphen/>
        <w:t>ным штабов воздушных армий потерял до 205 самолетов на аэродромах и 10 машин в воздушных боях. Наши потери составили 22 самолета: 1 1 Ил-2, два Пе-2, один "Бостон" и 8 истребителей.</w:t>
      </w:r>
    </w:p>
    <w:p w14:paraId="446A05C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Последовавшие днем и вечером 6 мая повторные удары по 14 аэродромам си</w:t>
      </w:r>
      <w:r w:rsidRPr="00D03F3E">
        <w:rPr>
          <w:rFonts w:ascii="Times New Roman" w:hAnsi="Times New Roman"/>
          <w:color w:val="000000" w:themeColor="text1"/>
          <w:sz w:val="16"/>
          <w:szCs w:val="16"/>
        </w:rPr>
        <w:softHyphen/>
        <w:t>лами 373 самолетов (93 Ил-2, 59 Пе-2 и "Бостон", 221 истребителей) сопровож</w:t>
      </w:r>
      <w:r w:rsidRPr="00D03F3E">
        <w:rPr>
          <w:rFonts w:ascii="Times New Roman" w:hAnsi="Times New Roman"/>
          <w:color w:val="000000" w:themeColor="text1"/>
          <w:sz w:val="16"/>
          <w:szCs w:val="16"/>
        </w:rPr>
        <w:softHyphen/>
        <w:t>дались серьезным противодействием со стороны противника. Как только советс</w:t>
      </w:r>
      <w:r w:rsidRPr="00D03F3E">
        <w:rPr>
          <w:rFonts w:ascii="Times New Roman" w:hAnsi="Times New Roman"/>
          <w:color w:val="000000" w:themeColor="text1"/>
          <w:sz w:val="16"/>
          <w:szCs w:val="16"/>
        </w:rPr>
        <w:softHyphen/>
        <w:t>кие самолеты перелетали линию фрон</w:t>
      </w:r>
      <w:r w:rsidRPr="00D03F3E">
        <w:rPr>
          <w:rFonts w:ascii="Times New Roman" w:hAnsi="Times New Roman"/>
          <w:color w:val="000000" w:themeColor="text1"/>
          <w:sz w:val="16"/>
          <w:szCs w:val="16"/>
        </w:rPr>
        <w:softHyphen/>
        <w:t>та, их встречали истребители люфтваф</w:t>
      </w:r>
      <w:r w:rsidRPr="00D03F3E">
        <w:rPr>
          <w:rFonts w:ascii="Times New Roman" w:hAnsi="Times New Roman"/>
          <w:color w:val="000000" w:themeColor="text1"/>
          <w:sz w:val="16"/>
          <w:szCs w:val="16"/>
        </w:rPr>
        <w:softHyphen/>
        <w:t>фе, а в районе целей — мощный зенит</w:t>
      </w:r>
      <w:r w:rsidRPr="00D03F3E">
        <w:rPr>
          <w:rFonts w:ascii="Times New Roman" w:hAnsi="Times New Roman"/>
          <w:color w:val="000000" w:themeColor="text1"/>
          <w:sz w:val="16"/>
          <w:szCs w:val="16"/>
        </w:rPr>
        <w:softHyphen/>
        <w:t>ный огонь. Поэтому, несмотря на выде</w:t>
      </w:r>
      <w:r w:rsidRPr="00D03F3E">
        <w:rPr>
          <w:rFonts w:ascii="Times New Roman" w:hAnsi="Times New Roman"/>
          <w:color w:val="000000" w:themeColor="text1"/>
          <w:sz w:val="16"/>
          <w:szCs w:val="16"/>
        </w:rPr>
        <w:softHyphen/>
        <w:t>ление дополнительных сил для борьбы с зенитной артиллерией и истребительной авиацией противника, большего успеха, чем в первом ударе, ВВС КА достичь не удалось. Считается, что при своих поте</w:t>
      </w:r>
      <w:r w:rsidRPr="00D03F3E">
        <w:rPr>
          <w:rFonts w:ascii="Times New Roman" w:hAnsi="Times New Roman"/>
          <w:color w:val="000000" w:themeColor="text1"/>
          <w:sz w:val="16"/>
          <w:szCs w:val="16"/>
        </w:rPr>
        <w:softHyphen/>
        <w:t>рях 50 самолетов (32 Ил-2, 3 Пе-2 и 15 истребителей) убыль матчасти противни</w:t>
      </w:r>
      <w:r w:rsidRPr="00D03F3E">
        <w:rPr>
          <w:rFonts w:ascii="Times New Roman" w:hAnsi="Times New Roman"/>
          <w:color w:val="000000" w:themeColor="text1"/>
          <w:sz w:val="16"/>
          <w:szCs w:val="16"/>
        </w:rPr>
        <w:softHyphen/>
        <w:t>ка составила до 107 самолетов, уничто</w:t>
      </w:r>
      <w:r w:rsidRPr="00D03F3E">
        <w:rPr>
          <w:rFonts w:ascii="Times New Roman" w:hAnsi="Times New Roman"/>
          <w:color w:val="000000" w:themeColor="text1"/>
          <w:sz w:val="16"/>
          <w:szCs w:val="16"/>
        </w:rPr>
        <w:softHyphen/>
        <w:t>женных и поврежденных на аэродромах, и 29 самолетов, сбитых в воздушных боях (10789).</w:t>
      </w:r>
    </w:p>
    <w:p w14:paraId="326C96C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данным авиационной и агентур</w:t>
      </w:r>
      <w:r w:rsidRPr="00D03F3E">
        <w:rPr>
          <w:rFonts w:ascii="Times New Roman" w:hAnsi="Times New Roman"/>
          <w:color w:val="000000" w:themeColor="text1"/>
          <w:sz w:val="16"/>
          <w:szCs w:val="16"/>
        </w:rPr>
        <w:softHyphen/>
        <w:t>ной разведки на ближайших аэродромах в полосе ответственности 1-й воздушной армии Западного фронта армии отме</w:t>
      </w:r>
      <w:r w:rsidRPr="00D03F3E">
        <w:rPr>
          <w:rFonts w:ascii="Times New Roman" w:hAnsi="Times New Roman"/>
          <w:color w:val="000000" w:themeColor="text1"/>
          <w:sz w:val="16"/>
          <w:szCs w:val="16"/>
        </w:rPr>
        <w:softHyphen/>
        <w:t>чалось базирование около 320-350 са</w:t>
      </w:r>
      <w:r w:rsidRPr="00D03F3E">
        <w:rPr>
          <w:rFonts w:ascii="Times New Roman" w:hAnsi="Times New Roman"/>
          <w:color w:val="000000" w:themeColor="text1"/>
          <w:sz w:val="16"/>
          <w:szCs w:val="16"/>
        </w:rPr>
        <w:softHyphen/>
        <w:t>молетов различного типа, в основном на аэродромах Сеща и Брянск. Эти аэро</w:t>
      </w:r>
      <w:r w:rsidRPr="00D03F3E">
        <w:rPr>
          <w:rFonts w:ascii="Times New Roman" w:hAnsi="Times New Roman"/>
          <w:color w:val="000000" w:themeColor="text1"/>
          <w:sz w:val="16"/>
          <w:szCs w:val="16"/>
        </w:rPr>
        <w:softHyphen/>
        <w:t>дромы являлись как бы распределитель</w:t>
      </w:r>
      <w:r w:rsidRPr="00D03F3E">
        <w:rPr>
          <w:rFonts w:ascii="Times New Roman" w:hAnsi="Times New Roman"/>
          <w:color w:val="000000" w:themeColor="text1"/>
          <w:sz w:val="16"/>
          <w:szCs w:val="16"/>
        </w:rPr>
        <w:softHyphen/>
        <w:t>ными между южным и северным направ</w:t>
      </w:r>
      <w:r w:rsidRPr="00D03F3E">
        <w:rPr>
          <w:rFonts w:ascii="Times New Roman" w:hAnsi="Times New Roman"/>
          <w:color w:val="000000" w:themeColor="text1"/>
          <w:sz w:val="16"/>
          <w:szCs w:val="16"/>
        </w:rPr>
        <w:softHyphen/>
        <w:t>лением. Исходя из этого, командующий 1-й ВА генерал-лейтенант С. А. Худяков принял решение нанести по ним комби</w:t>
      </w:r>
      <w:r w:rsidRPr="00D03F3E">
        <w:rPr>
          <w:rFonts w:ascii="Times New Roman" w:hAnsi="Times New Roman"/>
          <w:color w:val="000000" w:themeColor="text1"/>
          <w:sz w:val="16"/>
          <w:szCs w:val="16"/>
        </w:rPr>
        <w:softHyphen/>
        <w:t>нированные удары: первыми по цели "ра</w:t>
      </w:r>
      <w:r w:rsidRPr="00D03F3E">
        <w:rPr>
          <w:rFonts w:ascii="Times New Roman" w:hAnsi="Times New Roman"/>
          <w:color w:val="000000" w:themeColor="text1"/>
          <w:sz w:val="16"/>
          <w:szCs w:val="16"/>
        </w:rPr>
        <w:softHyphen/>
        <w:t>ботают" бомбардировщики, а следом за ними с интервалом 2-3 минуты — штур</w:t>
      </w:r>
      <w:r w:rsidRPr="00D03F3E">
        <w:rPr>
          <w:rFonts w:ascii="Times New Roman" w:hAnsi="Times New Roman"/>
          <w:color w:val="000000" w:themeColor="text1"/>
          <w:sz w:val="16"/>
          <w:szCs w:val="16"/>
        </w:rPr>
        <w:softHyphen/>
        <w:t>мовики. При этом атаки должны были производиться с разных направлений и высот, а из состава штурмовиков выде</w:t>
      </w:r>
      <w:r w:rsidRPr="00D03F3E">
        <w:rPr>
          <w:rFonts w:ascii="Times New Roman" w:hAnsi="Times New Roman"/>
          <w:color w:val="000000" w:themeColor="text1"/>
          <w:sz w:val="16"/>
          <w:szCs w:val="16"/>
        </w:rPr>
        <w:softHyphen/>
        <w:t>лялись специальные группы подавления огневых средств ПВО аэродрома.</w:t>
      </w:r>
    </w:p>
    <w:p w14:paraId="0AE066C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Удары по аэродромам Шаталово и Боровское предполагалось выполнить силами только штурмовиков и истреби</w:t>
      </w:r>
      <w:r w:rsidRPr="00D03F3E">
        <w:rPr>
          <w:rFonts w:ascii="Times New Roman" w:hAnsi="Times New Roman"/>
          <w:color w:val="000000" w:themeColor="text1"/>
          <w:sz w:val="16"/>
          <w:szCs w:val="16"/>
        </w:rPr>
        <w:softHyphen/>
        <w:t>телей.</w:t>
      </w:r>
    </w:p>
    <w:p w14:paraId="5DD45D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первого удара выделялось 45 бомбардировщиков Пе-2, 54 Ип-2 и 102 истребителей, которые должны были ата</w:t>
      </w:r>
      <w:r w:rsidRPr="00D03F3E">
        <w:rPr>
          <w:rFonts w:ascii="Times New Roman" w:hAnsi="Times New Roman"/>
          <w:color w:val="000000" w:themeColor="text1"/>
          <w:sz w:val="16"/>
          <w:szCs w:val="16"/>
        </w:rPr>
        <w:softHyphen/>
        <w:t>ковать аэродромы в период с 4.30-5.00.</w:t>
      </w:r>
    </w:p>
    <w:p w14:paraId="3707629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Повторный удар предполагалось на</w:t>
      </w:r>
      <w:r w:rsidRPr="00D03F3E">
        <w:rPr>
          <w:rFonts w:ascii="Times New Roman" w:hAnsi="Times New Roman"/>
          <w:color w:val="000000" w:themeColor="text1"/>
          <w:sz w:val="16"/>
          <w:szCs w:val="16"/>
        </w:rPr>
        <w:softHyphen/>
        <w:t>нести в период с 15.00 по 20.00 силами 1 8 Пе-2, 54 Ил-2 и 78 истребителей.</w:t>
      </w:r>
    </w:p>
    <w:p w14:paraId="315EDDA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Боевыми действиями 204-й бомбар</w:t>
      </w:r>
      <w:r w:rsidRPr="00D03F3E">
        <w:rPr>
          <w:rFonts w:ascii="Times New Roman" w:hAnsi="Times New Roman"/>
          <w:color w:val="000000" w:themeColor="text1"/>
          <w:sz w:val="16"/>
          <w:szCs w:val="16"/>
        </w:rPr>
        <w:softHyphen/>
        <w:t>дировочной, 224-й штурмовой и 303-й истребительной дивизий по аэродромам Сеща и Брянск руководил лично коман</w:t>
      </w:r>
      <w:r w:rsidRPr="00D03F3E">
        <w:rPr>
          <w:rFonts w:ascii="Times New Roman" w:hAnsi="Times New Roman"/>
          <w:color w:val="000000" w:themeColor="text1"/>
          <w:sz w:val="16"/>
          <w:szCs w:val="16"/>
        </w:rPr>
        <w:softHyphen/>
        <w:t>дующий 1 -и ВА, а 233-й шад и 309-й над по аэродромам Шаталово и Боровское ~ его заместитель генерал-майор А.Г. Бо-городецкий.</w:t>
      </w:r>
    </w:p>
    <w:p w14:paraId="1F6A277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обеспечения внезапности на</w:t>
      </w:r>
      <w:r w:rsidRPr="00D03F3E">
        <w:rPr>
          <w:rFonts w:ascii="Times New Roman" w:hAnsi="Times New Roman"/>
          <w:color w:val="000000" w:themeColor="text1"/>
          <w:sz w:val="16"/>
          <w:szCs w:val="16"/>
        </w:rPr>
        <w:softHyphen/>
        <w:t>несения ударов все распоряже</w:t>
      </w:r>
      <w:r w:rsidRPr="00D03F3E">
        <w:rPr>
          <w:rFonts w:ascii="Times New Roman" w:hAnsi="Times New Roman"/>
          <w:color w:val="000000" w:themeColor="text1"/>
          <w:sz w:val="16"/>
          <w:szCs w:val="16"/>
        </w:rPr>
        <w:softHyphen/>
        <w:t>ния передава-пись только ус-тно. Писать и тем более пе</w:t>
      </w:r>
      <w:r w:rsidRPr="00D03F3E">
        <w:rPr>
          <w:rFonts w:ascii="Times New Roman" w:hAnsi="Times New Roman"/>
          <w:color w:val="000000" w:themeColor="text1"/>
          <w:sz w:val="16"/>
          <w:szCs w:val="16"/>
        </w:rPr>
        <w:softHyphen/>
        <w:t>чатать отдавае</w:t>
      </w:r>
      <w:r w:rsidRPr="00D03F3E">
        <w:rPr>
          <w:rFonts w:ascii="Times New Roman" w:hAnsi="Times New Roman"/>
          <w:color w:val="000000" w:themeColor="text1"/>
          <w:sz w:val="16"/>
          <w:szCs w:val="16"/>
        </w:rPr>
        <w:softHyphen/>
        <w:t>мые распоря</w:t>
      </w:r>
      <w:r w:rsidRPr="00D03F3E">
        <w:rPr>
          <w:rFonts w:ascii="Times New Roman" w:hAnsi="Times New Roman"/>
          <w:color w:val="000000" w:themeColor="text1"/>
          <w:sz w:val="16"/>
          <w:szCs w:val="16"/>
        </w:rPr>
        <w:softHyphen/>
        <w:t>жения запре</w:t>
      </w:r>
      <w:r w:rsidRPr="00D03F3E">
        <w:rPr>
          <w:rFonts w:ascii="Times New Roman" w:hAnsi="Times New Roman"/>
          <w:color w:val="000000" w:themeColor="text1"/>
          <w:sz w:val="16"/>
          <w:szCs w:val="16"/>
        </w:rPr>
        <w:softHyphen/>
        <w:t>щалось. Об от</w:t>
      </w:r>
      <w:r w:rsidRPr="00D03F3E">
        <w:rPr>
          <w:rFonts w:ascii="Times New Roman" w:hAnsi="Times New Roman"/>
          <w:color w:val="000000" w:themeColor="text1"/>
          <w:sz w:val="16"/>
          <w:szCs w:val="16"/>
        </w:rPr>
        <w:softHyphen/>
        <w:t>данных первых боевых распо</w:t>
      </w:r>
      <w:r w:rsidRPr="00D03F3E">
        <w:rPr>
          <w:rFonts w:ascii="Times New Roman" w:hAnsi="Times New Roman"/>
          <w:color w:val="000000" w:themeColor="text1"/>
          <w:sz w:val="16"/>
          <w:szCs w:val="16"/>
        </w:rPr>
        <w:softHyphen/>
        <w:t>ряжениях зна</w:t>
      </w:r>
      <w:r w:rsidRPr="00D03F3E">
        <w:rPr>
          <w:rFonts w:ascii="Times New Roman" w:hAnsi="Times New Roman"/>
          <w:color w:val="000000" w:themeColor="text1"/>
          <w:sz w:val="16"/>
          <w:szCs w:val="16"/>
        </w:rPr>
        <w:softHyphen/>
        <w:t>ли: командую</w:t>
      </w:r>
      <w:r w:rsidRPr="00D03F3E">
        <w:rPr>
          <w:rFonts w:ascii="Times New Roman" w:hAnsi="Times New Roman"/>
          <w:color w:val="000000" w:themeColor="text1"/>
          <w:sz w:val="16"/>
          <w:szCs w:val="16"/>
        </w:rPr>
        <w:softHyphen/>
        <w:t>щий, его заме</w:t>
      </w:r>
      <w:r w:rsidRPr="00D03F3E">
        <w:rPr>
          <w:rFonts w:ascii="Times New Roman" w:hAnsi="Times New Roman"/>
          <w:color w:val="000000" w:themeColor="text1"/>
          <w:sz w:val="16"/>
          <w:szCs w:val="16"/>
        </w:rPr>
        <w:softHyphen/>
        <w:t>стители, на</w:t>
      </w:r>
      <w:r w:rsidRPr="00D03F3E">
        <w:rPr>
          <w:rFonts w:ascii="Times New Roman" w:hAnsi="Times New Roman"/>
          <w:color w:val="000000" w:themeColor="text1"/>
          <w:sz w:val="16"/>
          <w:szCs w:val="16"/>
        </w:rPr>
        <w:softHyphen/>
        <w:t>чальники штабов и опероделов армии и дивизий. Для постановки боевой зада</w:t>
      </w:r>
      <w:r w:rsidRPr="00D03F3E">
        <w:rPr>
          <w:rFonts w:ascii="Times New Roman" w:hAnsi="Times New Roman"/>
          <w:color w:val="000000" w:themeColor="text1"/>
          <w:sz w:val="16"/>
          <w:szCs w:val="16"/>
        </w:rPr>
        <w:softHyphen/>
        <w:t>чи командиры авиадивизий были вызва</w:t>
      </w:r>
      <w:r w:rsidRPr="00D03F3E">
        <w:rPr>
          <w:rFonts w:ascii="Times New Roman" w:hAnsi="Times New Roman"/>
          <w:color w:val="000000" w:themeColor="text1"/>
          <w:sz w:val="16"/>
          <w:szCs w:val="16"/>
        </w:rPr>
        <w:softHyphen/>
        <w:t>ны на КП командующего армией. При повторных налетах боевые задачи ста</w:t>
      </w:r>
      <w:r w:rsidRPr="00D03F3E">
        <w:rPr>
          <w:rFonts w:ascii="Times New Roman" w:hAnsi="Times New Roman"/>
          <w:color w:val="000000" w:themeColor="text1"/>
          <w:sz w:val="16"/>
          <w:szCs w:val="16"/>
        </w:rPr>
        <w:softHyphen/>
        <w:t>вились шифрованными телеграммами. Использование радиосвязи на взлете и при сборе ударных групп и истребите</w:t>
      </w:r>
      <w:r w:rsidRPr="00D03F3E">
        <w:rPr>
          <w:rFonts w:ascii="Times New Roman" w:hAnsi="Times New Roman"/>
          <w:color w:val="000000" w:themeColor="text1"/>
          <w:sz w:val="16"/>
          <w:szCs w:val="16"/>
        </w:rPr>
        <w:softHyphen/>
        <w:t>лей, а также на маршруте к цели катего</w:t>
      </w:r>
      <w:r w:rsidRPr="00D03F3E">
        <w:rPr>
          <w:rFonts w:ascii="Times New Roman" w:hAnsi="Times New Roman"/>
          <w:color w:val="000000" w:themeColor="text1"/>
          <w:sz w:val="16"/>
          <w:szCs w:val="16"/>
        </w:rPr>
        <w:softHyphen/>
        <w:t>рически запрещалось.</w:t>
      </w:r>
    </w:p>
    <w:p w14:paraId="4679956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облегчения организации вылетов и взаимодействия были "спарены" штур</w:t>
      </w:r>
      <w:r w:rsidRPr="00D03F3E">
        <w:rPr>
          <w:rFonts w:ascii="Times New Roman" w:hAnsi="Times New Roman"/>
          <w:color w:val="000000" w:themeColor="text1"/>
          <w:sz w:val="16"/>
          <w:szCs w:val="16"/>
        </w:rPr>
        <w:softHyphen/>
        <w:t>мовые и истребительные авиадивизии: 233-я шад взаимодействовала с 309-й над, 224-я шад — с 303-й над. С этой же целью штаб 224-й шад перебазировал</w:t>
      </w:r>
      <w:r w:rsidRPr="00D03F3E">
        <w:rPr>
          <w:rFonts w:ascii="Times New Roman" w:hAnsi="Times New Roman"/>
          <w:color w:val="000000" w:themeColor="text1"/>
          <w:sz w:val="16"/>
          <w:szCs w:val="16"/>
        </w:rPr>
        <w:softHyphen/>
        <w:t>ся из Калуги в Полошково, поближе к штабу 303-й над.</w:t>
      </w:r>
    </w:p>
    <w:p w14:paraId="4164F2E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этого, выделенные для выпол</w:t>
      </w:r>
      <w:r w:rsidRPr="00D03F3E">
        <w:rPr>
          <w:rFonts w:ascii="Times New Roman" w:hAnsi="Times New Roman"/>
          <w:color w:val="000000" w:themeColor="text1"/>
          <w:sz w:val="16"/>
          <w:szCs w:val="16"/>
        </w:rPr>
        <w:softHyphen/>
        <w:t>нения боевого задания группы штурмо</w:t>
      </w:r>
      <w:r w:rsidRPr="00D03F3E">
        <w:rPr>
          <w:rFonts w:ascii="Times New Roman" w:hAnsi="Times New Roman"/>
          <w:color w:val="000000" w:themeColor="text1"/>
          <w:sz w:val="16"/>
          <w:szCs w:val="16"/>
        </w:rPr>
        <w:softHyphen/>
        <w:t>виков 233-й шад к вечеру 5 мая переле</w:t>
      </w:r>
      <w:r w:rsidRPr="00D03F3E">
        <w:rPr>
          <w:rFonts w:ascii="Times New Roman" w:hAnsi="Times New Roman"/>
          <w:color w:val="000000" w:themeColor="text1"/>
          <w:sz w:val="16"/>
          <w:szCs w:val="16"/>
        </w:rPr>
        <w:softHyphen/>
        <w:t>тели на аэродромы базирования истре</w:t>
      </w:r>
      <w:r w:rsidRPr="00D03F3E">
        <w:rPr>
          <w:rFonts w:ascii="Times New Roman" w:hAnsi="Times New Roman"/>
          <w:color w:val="000000" w:themeColor="text1"/>
          <w:sz w:val="16"/>
          <w:szCs w:val="16"/>
        </w:rPr>
        <w:softHyphen/>
        <w:t>бительных полков 309-й иод: 14 экипа</w:t>
      </w:r>
      <w:r w:rsidRPr="00D03F3E">
        <w:rPr>
          <w:rFonts w:ascii="Times New Roman" w:hAnsi="Times New Roman"/>
          <w:color w:val="000000" w:themeColor="text1"/>
          <w:sz w:val="16"/>
          <w:szCs w:val="16"/>
        </w:rPr>
        <w:softHyphen/>
        <w:t>жей 312-го шап были "посажены" на аэродром Двоевка, где располагались 49-й и 162-й иап, а 13 экипажей 198-го и 6 экипажей 62-го шап — на аэродром 172-го иап Новое Село. На аэродром Новое Село "подсели" и 5 Як-1 от 122-го иап "с задачей прикрыть аэродромы Новое Село и Двоевка".</w:t>
      </w:r>
    </w:p>
    <w:p w14:paraId="58C725A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Одновременно на аэродромы подско</w:t>
      </w:r>
      <w:r w:rsidRPr="00D03F3E">
        <w:rPr>
          <w:rFonts w:ascii="Times New Roman" w:hAnsi="Times New Roman"/>
          <w:color w:val="000000" w:themeColor="text1"/>
          <w:sz w:val="16"/>
          <w:szCs w:val="16"/>
        </w:rPr>
        <w:softHyphen/>
        <w:t>ка выехали и группы технического обслуживания (механики и вооруженцы) во главе с начальниками штабов полков.</w:t>
      </w:r>
    </w:p>
    <w:p w14:paraId="6AFCC8D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Перелет штурмовиков и истребителей осуществлялся с таким расчетом, чтобы у экигтажей имелось как минимум два часа времени для совместной проработ</w:t>
      </w:r>
      <w:r w:rsidRPr="00D03F3E">
        <w:rPr>
          <w:rFonts w:ascii="Times New Roman" w:hAnsi="Times New Roman"/>
          <w:color w:val="000000" w:themeColor="text1"/>
          <w:sz w:val="16"/>
          <w:szCs w:val="16"/>
        </w:rPr>
        <w:softHyphen/>
        <w:t>ки задания и согласования всех вопро</w:t>
      </w:r>
      <w:r w:rsidRPr="00D03F3E">
        <w:rPr>
          <w:rFonts w:ascii="Times New Roman" w:hAnsi="Times New Roman"/>
          <w:color w:val="000000" w:themeColor="text1"/>
          <w:sz w:val="16"/>
          <w:szCs w:val="16"/>
        </w:rPr>
        <w:softHyphen/>
        <w:t>сов взаимодействия в бою.</w:t>
      </w:r>
    </w:p>
    <w:p w14:paraId="7EB2CBE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замыслом команду</w:t>
      </w:r>
      <w:r w:rsidRPr="00D03F3E">
        <w:rPr>
          <w:rFonts w:ascii="Times New Roman" w:hAnsi="Times New Roman"/>
          <w:color w:val="000000" w:themeColor="text1"/>
          <w:sz w:val="16"/>
          <w:szCs w:val="16"/>
        </w:rPr>
        <w:softHyphen/>
        <w:t>ющего армией штурмовики должны были атаковать аэродромы с бреющего поле</w:t>
      </w:r>
      <w:r w:rsidRPr="00D03F3E">
        <w:rPr>
          <w:rFonts w:ascii="Times New Roman" w:hAnsi="Times New Roman"/>
          <w:color w:val="000000" w:themeColor="text1"/>
          <w:sz w:val="16"/>
          <w:szCs w:val="16"/>
        </w:rPr>
        <w:softHyphen/>
        <w:t>та последовательно с разных направле</w:t>
      </w:r>
      <w:r w:rsidRPr="00D03F3E">
        <w:rPr>
          <w:rFonts w:ascii="Times New Roman" w:hAnsi="Times New Roman"/>
          <w:color w:val="000000" w:themeColor="text1"/>
          <w:sz w:val="16"/>
          <w:szCs w:val="16"/>
        </w:rPr>
        <w:softHyphen/>
        <w:t>ний труппами по 6 Ил-2 в каждой. Вре</w:t>
      </w:r>
      <w:r w:rsidRPr="00D03F3E">
        <w:rPr>
          <w:rFonts w:ascii="Times New Roman" w:hAnsi="Times New Roman"/>
          <w:color w:val="000000" w:themeColor="text1"/>
          <w:sz w:val="16"/>
          <w:szCs w:val="16"/>
        </w:rPr>
        <w:softHyphen/>
        <w:t>менной интервал подхода групп к цели устанавливался в 5 минут. Для подавле</w:t>
      </w:r>
      <w:r w:rsidRPr="00D03F3E">
        <w:rPr>
          <w:rFonts w:ascii="Times New Roman" w:hAnsi="Times New Roman"/>
          <w:color w:val="000000" w:themeColor="text1"/>
          <w:sz w:val="16"/>
          <w:szCs w:val="16"/>
        </w:rPr>
        <w:softHyphen/>
        <w:t>ния расчетов зенитных батарей аэродро</w:t>
      </w:r>
      <w:r w:rsidRPr="00D03F3E">
        <w:rPr>
          <w:rFonts w:ascii="Times New Roman" w:hAnsi="Times New Roman"/>
          <w:color w:val="000000" w:themeColor="text1"/>
          <w:sz w:val="16"/>
          <w:szCs w:val="16"/>
        </w:rPr>
        <w:softHyphen/>
        <w:t>ма из состава каждой шестерки выделя</w:t>
      </w:r>
      <w:r w:rsidRPr="00D03F3E">
        <w:rPr>
          <w:rFonts w:ascii="Times New Roman" w:hAnsi="Times New Roman"/>
          <w:color w:val="000000" w:themeColor="text1"/>
          <w:sz w:val="16"/>
          <w:szCs w:val="16"/>
        </w:rPr>
        <w:softHyphen/>
        <w:t>лись два экипажа. Перелег линии фрон</w:t>
      </w:r>
      <w:r w:rsidRPr="00D03F3E">
        <w:rPr>
          <w:rFonts w:ascii="Times New Roman" w:hAnsi="Times New Roman"/>
          <w:color w:val="000000" w:themeColor="text1"/>
          <w:sz w:val="16"/>
          <w:szCs w:val="16"/>
        </w:rPr>
        <w:softHyphen/>
        <w:t>та планировалось выполнить на высоте 800-900 м с последующим переходом на бреющий полет, не доходя 25-30 км до цели.</w:t>
      </w:r>
    </w:p>
    <w:p w14:paraId="2C4471D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Предполагалось, что каждая группа штурмовиков будет иметь свой истреби</w:t>
      </w:r>
      <w:r w:rsidRPr="00D03F3E">
        <w:rPr>
          <w:rFonts w:ascii="Times New Roman" w:hAnsi="Times New Roman"/>
          <w:color w:val="000000" w:themeColor="text1"/>
          <w:sz w:val="16"/>
          <w:szCs w:val="16"/>
        </w:rPr>
        <w:softHyphen/>
        <w:t>тельный эскорт в составе непосредствен</w:t>
      </w:r>
      <w:r w:rsidRPr="00D03F3E">
        <w:rPr>
          <w:rFonts w:ascii="Times New Roman" w:hAnsi="Times New Roman"/>
          <w:color w:val="000000" w:themeColor="text1"/>
          <w:sz w:val="16"/>
          <w:szCs w:val="16"/>
        </w:rPr>
        <w:softHyphen/>
        <w:t>ного сопровождения и ударной группы. Группа непосредственного сопровожде</w:t>
      </w:r>
      <w:r w:rsidRPr="00D03F3E">
        <w:rPr>
          <w:rFonts w:ascii="Times New Roman" w:hAnsi="Times New Roman"/>
          <w:color w:val="000000" w:themeColor="text1"/>
          <w:sz w:val="16"/>
          <w:szCs w:val="16"/>
        </w:rPr>
        <w:softHyphen/>
        <w:t>ния до линии фронта идет нет одной вы</w:t>
      </w:r>
      <w:r w:rsidRPr="00D03F3E">
        <w:rPr>
          <w:rFonts w:ascii="Times New Roman" w:hAnsi="Times New Roman"/>
          <w:color w:val="000000" w:themeColor="text1"/>
          <w:sz w:val="16"/>
          <w:szCs w:val="16"/>
        </w:rPr>
        <w:softHyphen/>
        <w:t>соте с Ил-2 сзади на фланге на дистан</w:t>
      </w:r>
      <w:r w:rsidRPr="00D03F3E">
        <w:rPr>
          <w:rFonts w:ascii="Times New Roman" w:hAnsi="Times New Roman"/>
          <w:color w:val="000000" w:themeColor="text1"/>
          <w:sz w:val="16"/>
          <w:szCs w:val="16"/>
        </w:rPr>
        <w:softHyphen/>
        <w:t>ции 250-300 м, а после перелета линии фронта, когда штурмовики снижались до 50 м, остается на высоте 600-1000 м. Ударная группа истребителей на всем маршруте находится выше непосредствен</w:t>
      </w:r>
      <w:r w:rsidRPr="00D03F3E">
        <w:rPr>
          <w:rFonts w:ascii="Times New Roman" w:hAnsi="Times New Roman"/>
          <w:color w:val="000000" w:themeColor="text1"/>
          <w:sz w:val="16"/>
          <w:szCs w:val="16"/>
        </w:rPr>
        <w:softHyphen/>
        <w:t>ного сопровождения на 600-1000 м. '</w:t>
      </w:r>
    </w:p>
    <w:p w14:paraId="58D0561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обеспечения действий экипажей 312-го шап выделялись 8 Ла-5 и два Як-7 от 49-го и 162-го иап, а штурмовиков двух других полков - 5 Як-1 от 122-го иап 233-й шад и 11 истребителей Як-1 и Як-7 от 172-го иап.</w:t>
      </w:r>
    </w:p>
    <w:p w14:paraId="4B839C6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Несомненным достоинством разрабо</w:t>
      </w:r>
      <w:r w:rsidRPr="00D03F3E">
        <w:rPr>
          <w:rFonts w:ascii="Times New Roman" w:hAnsi="Times New Roman"/>
          <w:color w:val="000000" w:themeColor="text1"/>
          <w:sz w:val="16"/>
          <w:szCs w:val="16"/>
        </w:rPr>
        <w:softHyphen/>
        <w:t>танного штабами дивизий плана являет</w:t>
      </w:r>
      <w:r w:rsidRPr="00D03F3E">
        <w:rPr>
          <w:rFonts w:ascii="Times New Roman" w:hAnsi="Times New Roman"/>
          <w:color w:val="000000" w:themeColor="text1"/>
          <w:sz w:val="16"/>
          <w:szCs w:val="16"/>
        </w:rPr>
        <w:softHyphen/>
        <w:t>ся ею относительная простота и легкость исполнения в организационном плане. Однако он имел и серьезные недостат</w:t>
      </w:r>
      <w:r w:rsidRPr="00D03F3E">
        <w:rPr>
          <w:rFonts w:ascii="Times New Roman" w:hAnsi="Times New Roman"/>
          <w:color w:val="000000" w:themeColor="text1"/>
          <w:sz w:val="16"/>
          <w:szCs w:val="16"/>
        </w:rPr>
        <w:softHyphen/>
        <w:t>ки: критичность к фактору внезапности и низкие ударные и оборонительные воз</w:t>
      </w:r>
      <w:r w:rsidRPr="00D03F3E">
        <w:rPr>
          <w:rFonts w:ascii="Times New Roman" w:hAnsi="Times New Roman"/>
          <w:color w:val="000000" w:themeColor="text1"/>
          <w:sz w:val="16"/>
          <w:szCs w:val="16"/>
        </w:rPr>
        <w:softHyphen/>
        <w:t>можности групп.</w:t>
      </w:r>
    </w:p>
    <w:p w14:paraId="1313F26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Действительно, на внезапность уда</w:t>
      </w:r>
      <w:r w:rsidRPr="00D03F3E">
        <w:rPr>
          <w:rFonts w:ascii="Times New Roman" w:hAnsi="Times New Roman"/>
          <w:color w:val="000000" w:themeColor="text1"/>
          <w:sz w:val="16"/>
          <w:szCs w:val="16"/>
        </w:rPr>
        <w:softHyphen/>
        <w:t>ра могла рассчитывать только головная шестерка Ил-2. Экипажи остальных групп могли рассчитывать на относительную свободу действий над аэродромом толь</w:t>
      </w:r>
      <w:r w:rsidRPr="00D03F3E">
        <w:rPr>
          <w:rFonts w:ascii="Times New Roman" w:hAnsi="Times New Roman"/>
          <w:color w:val="000000" w:themeColor="text1"/>
          <w:sz w:val="16"/>
          <w:szCs w:val="16"/>
        </w:rPr>
        <w:softHyphen/>
        <w:t>ко в том случае, если каждая впередии-дущая шестерка работала по целям в течение 4-5 минут. В противном случае им предстояло преодолевать сильный зе</w:t>
      </w:r>
      <w:r w:rsidRPr="00D03F3E">
        <w:rPr>
          <w:rFonts w:ascii="Times New Roman" w:hAnsi="Times New Roman"/>
          <w:color w:val="000000" w:themeColor="text1"/>
          <w:sz w:val="16"/>
          <w:szCs w:val="16"/>
        </w:rPr>
        <w:softHyphen/>
        <w:t>нитный огонь. В то же время огневой мощи двух Ил-2 для эффективного по</w:t>
      </w:r>
      <w:r w:rsidRPr="00D03F3E">
        <w:rPr>
          <w:rFonts w:ascii="Times New Roman" w:hAnsi="Times New Roman"/>
          <w:color w:val="000000" w:themeColor="text1"/>
          <w:sz w:val="16"/>
          <w:szCs w:val="16"/>
        </w:rPr>
        <w:softHyphen/>
        <w:t>давления зенитных средств было явно не</w:t>
      </w:r>
      <w:r w:rsidRPr="00D03F3E">
        <w:rPr>
          <w:rFonts w:ascii="Times New Roman" w:hAnsi="Times New Roman"/>
          <w:color w:val="000000" w:themeColor="text1"/>
          <w:sz w:val="16"/>
          <w:szCs w:val="16"/>
        </w:rPr>
        <w:softHyphen/>
        <w:t>достаточно, а ударные возможности са</w:t>
      </w:r>
      <w:r w:rsidRPr="00D03F3E">
        <w:rPr>
          <w:rFonts w:ascii="Times New Roman" w:hAnsi="Times New Roman"/>
          <w:color w:val="000000" w:themeColor="text1"/>
          <w:sz w:val="16"/>
          <w:szCs w:val="16"/>
        </w:rPr>
        <w:softHyphen/>
        <w:t>мой группы оказывались существенно сниженными, так как по матчасти про</w:t>
      </w:r>
      <w:r w:rsidRPr="00D03F3E">
        <w:rPr>
          <w:rFonts w:ascii="Times New Roman" w:hAnsi="Times New Roman"/>
          <w:color w:val="000000" w:themeColor="text1"/>
          <w:sz w:val="16"/>
          <w:szCs w:val="16"/>
        </w:rPr>
        <w:softHyphen/>
        <w:t>тивника работала только четверка штурмовиков.</w:t>
      </w:r>
    </w:p>
    <w:p w14:paraId="7F477B8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юго, при появлении хотя бы 6-8 немецких истребителей, что было впол</w:t>
      </w:r>
      <w:r w:rsidRPr="00D03F3E">
        <w:rPr>
          <w:rFonts w:ascii="Times New Roman" w:hAnsi="Times New Roman"/>
          <w:color w:val="000000" w:themeColor="text1"/>
          <w:sz w:val="16"/>
          <w:szCs w:val="16"/>
        </w:rPr>
        <w:softHyphen/>
        <w:t>не реально, истребители прикрытия ата</w:t>
      </w:r>
      <w:r w:rsidRPr="00D03F3E">
        <w:rPr>
          <w:rFonts w:ascii="Times New Roman" w:hAnsi="Times New Roman"/>
          <w:color w:val="000000" w:themeColor="text1"/>
          <w:sz w:val="16"/>
          <w:szCs w:val="16"/>
        </w:rPr>
        <w:softHyphen/>
        <w:t>кованной группы штурмовиков сразу же оказывались в крайне тяжелом положе</w:t>
      </w:r>
      <w:r w:rsidRPr="00D03F3E">
        <w:rPr>
          <w:rFonts w:ascii="Times New Roman" w:hAnsi="Times New Roman"/>
          <w:color w:val="000000" w:themeColor="text1"/>
          <w:sz w:val="16"/>
          <w:szCs w:val="16"/>
        </w:rPr>
        <w:softHyphen/>
        <w:t>нии, так как были вынуждены вести бой в невыгодных для себя условиях. Истре</w:t>
      </w:r>
      <w:r w:rsidRPr="00D03F3E">
        <w:rPr>
          <w:rFonts w:ascii="Times New Roman" w:hAnsi="Times New Roman"/>
          <w:color w:val="000000" w:themeColor="text1"/>
          <w:sz w:val="16"/>
          <w:szCs w:val="16"/>
        </w:rPr>
        <w:softHyphen/>
        <w:t>бители сопровождения других групп ни</w:t>
      </w:r>
      <w:r w:rsidRPr="00D03F3E">
        <w:rPr>
          <w:rFonts w:ascii="Times New Roman" w:hAnsi="Times New Roman"/>
          <w:color w:val="000000" w:themeColor="text1"/>
          <w:sz w:val="16"/>
          <w:szCs w:val="16"/>
        </w:rPr>
        <w:softHyphen/>
        <w:t>чем помочь не могли, поскольку удале</w:t>
      </w:r>
      <w:r w:rsidRPr="00D03F3E">
        <w:rPr>
          <w:rFonts w:ascii="Times New Roman" w:hAnsi="Times New Roman"/>
          <w:color w:val="000000" w:themeColor="text1"/>
          <w:sz w:val="16"/>
          <w:szCs w:val="16"/>
        </w:rPr>
        <w:softHyphen/>
        <w:t>ние до ближайшей группы составляло 20-25 км. Если учесть действительный уро</w:t>
      </w:r>
      <w:r w:rsidRPr="00D03F3E">
        <w:rPr>
          <w:rFonts w:ascii="Times New Roman" w:hAnsi="Times New Roman"/>
          <w:color w:val="000000" w:themeColor="text1"/>
          <w:sz w:val="16"/>
          <w:szCs w:val="16"/>
        </w:rPr>
        <w:softHyphen/>
        <w:t>вень боевой подготовки основной мас</w:t>
      </w:r>
      <w:r w:rsidRPr="00D03F3E">
        <w:rPr>
          <w:rFonts w:ascii="Times New Roman" w:hAnsi="Times New Roman"/>
          <w:color w:val="000000" w:themeColor="text1"/>
          <w:sz w:val="16"/>
          <w:szCs w:val="16"/>
        </w:rPr>
        <w:softHyphen/>
        <w:t>сы советских и немецких летчиков-истре</w:t>
      </w:r>
      <w:r w:rsidRPr="00D03F3E">
        <w:rPr>
          <w:rFonts w:ascii="Times New Roman" w:hAnsi="Times New Roman"/>
          <w:color w:val="000000" w:themeColor="text1"/>
          <w:sz w:val="16"/>
          <w:szCs w:val="16"/>
        </w:rPr>
        <w:softHyphen/>
        <w:t>бителей в то время, то реалии такого боя сомнений не вызывают — нашим лет</w:t>
      </w:r>
      <w:r w:rsidRPr="00D03F3E">
        <w:rPr>
          <w:rFonts w:ascii="Times New Roman" w:hAnsi="Times New Roman"/>
          <w:color w:val="000000" w:themeColor="text1"/>
          <w:sz w:val="16"/>
          <w:szCs w:val="16"/>
        </w:rPr>
        <w:softHyphen/>
        <w:t>чикам пришлось бы не столько защищать штурмовиков от истребителей противни</w:t>
      </w:r>
      <w:r w:rsidRPr="00D03F3E">
        <w:rPr>
          <w:rFonts w:ascii="Times New Roman" w:hAnsi="Times New Roman"/>
          <w:color w:val="000000" w:themeColor="text1"/>
          <w:sz w:val="16"/>
          <w:szCs w:val="16"/>
        </w:rPr>
        <w:softHyphen/>
        <w:t>ка, сколько самим отбиваться от их атак.</w:t>
      </w:r>
    </w:p>
    <w:p w14:paraId="745C1FD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Одновременно, большое удаление между группами наших штурмовиков и истребителей позволяло противнику пос</w:t>
      </w:r>
      <w:r w:rsidRPr="00D03F3E">
        <w:rPr>
          <w:rFonts w:ascii="Times New Roman" w:hAnsi="Times New Roman"/>
          <w:color w:val="000000" w:themeColor="text1"/>
          <w:sz w:val="16"/>
          <w:szCs w:val="16"/>
        </w:rPr>
        <w:softHyphen/>
        <w:t>ледовательно сосредотачивать усилия своей истребительной авиации для дей</w:t>
      </w:r>
      <w:r w:rsidRPr="00D03F3E">
        <w:rPr>
          <w:rFonts w:ascii="Times New Roman" w:hAnsi="Times New Roman"/>
          <w:color w:val="000000" w:themeColor="text1"/>
          <w:sz w:val="16"/>
          <w:szCs w:val="16"/>
        </w:rPr>
        <w:softHyphen/>
        <w:t>ствий против каждой группы в отдельно</w:t>
      </w:r>
      <w:r w:rsidRPr="00D03F3E">
        <w:rPr>
          <w:rFonts w:ascii="Times New Roman" w:hAnsi="Times New Roman"/>
          <w:color w:val="000000" w:themeColor="text1"/>
          <w:sz w:val="16"/>
          <w:szCs w:val="16"/>
        </w:rPr>
        <w:softHyphen/>
        <w:t>сти. Например, те же самые 6-8 истре</w:t>
      </w:r>
      <w:r w:rsidRPr="00D03F3E">
        <w:rPr>
          <w:rFonts w:ascii="Times New Roman" w:hAnsi="Times New Roman"/>
          <w:color w:val="000000" w:themeColor="text1"/>
          <w:sz w:val="16"/>
          <w:szCs w:val="16"/>
        </w:rPr>
        <w:softHyphen/>
        <w:t>бителей могли последовательно атако-вывать группы штурмовиков по мере их подхода к аэродрому. Как известно, са</w:t>
      </w:r>
      <w:r w:rsidRPr="00D03F3E">
        <w:rPr>
          <w:rFonts w:ascii="Times New Roman" w:hAnsi="Times New Roman"/>
          <w:color w:val="000000" w:themeColor="text1"/>
          <w:sz w:val="16"/>
          <w:szCs w:val="16"/>
        </w:rPr>
        <w:softHyphen/>
        <w:t>мой результативной была первая атака немецких пилотов, как правило, неожи</w:t>
      </w:r>
      <w:r w:rsidRPr="00D03F3E">
        <w:rPr>
          <w:rFonts w:ascii="Times New Roman" w:hAnsi="Times New Roman"/>
          <w:color w:val="000000" w:themeColor="text1"/>
          <w:sz w:val="16"/>
          <w:szCs w:val="16"/>
        </w:rPr>
        <w:softHyphen/>
        <w:t>данная — летом 1943 г. в ней было сби</w:t>
      </w:r>
      <w:r w:rsidRPr="00D03F3E">
        <w:rPr>
          <w:rFonts w:ascii="Times New Roman" w:hAnsi="Times New Roman"/>
          <w:color w:val="000000" w:themeColor="text1"/>
          <w:sz w:val="16"/>
          <w:szCs w:val="16"/>
        </w:rPr>
        <w:softHyphen/>
        <w:t>то 75% всех наших ударных самолетов.</w:t>
      </w:r>
    </w:p>
    <w:p w14:paraId="0D3EAE4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Судя по всему, офицеры штабов воз</w:t>
      </w:r>
      <w:r w:rsidRPr="00D03F3E">
        <w:rPr>
          <w:rFonts w:ascii="Times New Roman" w:hAnsi="Times New Roman"/>
          <w:color w:val="000000" w:themeColor="text1"/>
          <w:sz w:val="16"/>
          <w:szCs w:val="16"/>
        </w:rPr>
        <w:softHyphen/>
        <w:t>можные варианты противодействия про</w:t>
      </w:r>
      <w:r w:rsidRPr="00D03F3E">
        <w:rPr>
          <w:rFonts w:ascii="Times New Roman" w:hAnsi="Times New Roman"/>
          <w:color w:val="000000" w:themeColor="text1"/>
          <w:sz w:val="16"/>
          <w:szCs w:val="16"/>
        </w:rPr>
        <w:softHyphen/>
        <w:t>тивника не рассматривали вовсе. Не про</w:t>
      </w:r>
      <w:r w:rsidRPr="00D03F3E">
        <w:rPr>
          <w:rFonts w:ascii="Times New Roman" w:hAnsi="Times New Roman"/>
          <w:color w:val="000000" w:themeColor="text1"/>
          <w:sz w:val="16"/>
          <w:szCs w:val="16"/>
        </w:rPr>
        <w:softHyphen/>
        <w:t>вели они и оценку результативности предполагаемого налета. Тем не менее план действий был утвержден и летный состав полков с рассветом 6 мая приступил к его реализации.</w:t>
      </w:r>
    </w:p>
    <w:p w14:paraId="38AFFF8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Отступления от плана начались сра</w:t>
      </w:r>
      <w:r w:rsidRPr="00D03F3E">
        <w:rPr>
          <w:rFonts w:ascii="Times New Roman" w:hAnsi="Times New Roman"/>
          <w:color w:val="000000" w:themeColor="text1"/>
          <w:sz w:val="16"/>
          <w:szCs w:val="16"/>
        </w:rPr>
        <w:softHyphen/>
        <w:t>зу же после взлета ударных групп. На самолете мл. лейтенанта Минина из 312-го топ не убралось шасси, и летчик был вынужден произвести посадку на аэро</w:t>
      </w:r>
      <w:r w:rsidRPr="00D03F3E">
        <w:rPr>
          <w:rFonts w:ascii="Times New Roman" w:hAnsi="Times New Roman"/>
          <w:color w:val="000000" w:themeColor="text1"/>
          <w:sz w:val="16"/>
          <w:szCs w:val="16"/>
        </w:rPr>
        <w:softHyphen/>
        <w:t>дром Новое Село. Из-за потери ориен</w:t>
      </w:r>
      <w:r w:rsidRPr="00D03F3E">
        <w:rPr>
          <w:rFonts w:ascii="Times New Roman" w:hAnsi="Times New Roman"/>
          <w:color w:val="000000" w:themeColor="text1"/>
          <w:sz w:val="16"/>
          <w:szCs w:val="16"/>
        </w:rPr>
        <w:softHyphen/>
        <w:t>тировки отстал от группы и "совершил вынужденную посадку в районе д. По-допхай в 40 км северо-восточнее Ельня" мл. л-т Васильев из 198-го шал. Кроме этого, мл. л-т Дроздов из этого же полка "из-за отказа мен части мотора (дымил/ ... боевую задачу но выполнил и вернул</w:t>
      </w:r>
      <w:r w:rsidRPr="00D03F3E">
        <w:rPr>
          <w:rFonts w:ascii="Times New Roman" w:hAnsi="Times New Roman"/>
          <w:color w:val="000000" w:themeColor="text1"/>
          <w:sz w:val="16"/>
          <w:szCs w:val="16"/>
        </w:rPr>
        <w:softHyphen/>
        <w:t>ся".</w:t>
      </w:r>
    </w:p>
    <w:p w14:paraId="52E9D66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дальнейшем 5 экипажей 312-го шап (ведущий ст. л-т М. П. Ступишин) в со</w:t>
      </w:r>
      <w:r w:rsidRPr="00D03F3E">
        <w:rPr>
          <w:rFonts w:ascii="Times New Roman" w:hAnsi="Times New Roman"/>
          <w:color w:val="000000" w:themeColor="text1"/>
          <w:sz w:val="16"/>
          <w:szCs w:val="16"/>
        </w:rPr>
        <w:softHyphen/>
        <w:t>провождении двух Ла-5 от 49-го иап на аэродром Боровское не вышли и бое</w:t>
      </w:r>
      <w:r w:rsidRPr="00D03F3E">
        <w:rPr>
          <w:rFonts w:ascii="Times New Roman" w:hAnsi="Times New Roman"/>
          <w:color w:val="000000" w:themeColor="text1"/>
          <w:sz w:val="16"/>
          <w:szCs w:val="16"/>
        </w:rPr>
        <w:softHyphen/>
        <w:t>вую задачу не выполнили. По показани</w:t>
      </w:r>
      <w:r w:rsidRPr="00D03F3E">
        <w:rPr>
          <w:rFonts w:ascii="Times New Roman" w:hAnsi="Times New Roman"/>
          <w:color w:val="000000" w:themeColor="text1"/>
          <w:sz w:val="16"/>
          <w:szCs w:val="16"/>
        </w:rPr>
        <w:softHyphen/>
        <w:t>ям истребителей прикрытия штурмовики прошли в 1 км к западу от аэродрома и, не обнаружив цель, развернулись на свою территорию. На обратном марш</w:t>
      </w:r>
      <w:r w:rsidRPr="00D03F3E">
        <w:rPr>
          <w:rFonts w:ascii="Times New Roman" w:hAnsi="Times New Roman"/>
          <w:color w:val="000000" w:themeColor="text1"/>
          <w:sz w:val="16"/>
          <w:szCs w:val="16"/>
        </w:rPr>
        <w:softHyphen/>
        <w:t>руте в районе Ельни группа была атако</w:t>
      </w:r>
      <w:r w:rsidRPr="00D03F3E">
        <w:rPr>
          <w:rFonts w:ascii="Times New Roman" w:hAnsi="Times New Roman"/>
          <w:color w:val="000000" w:themeColor="text1"/>
          <w:sz w:val="16"/>
          <w:szCs w:val="16"/>
        </w:rPr>
        <w:softHyphen/>
        <w:t>вана шестеркой истребителей противни</w:t>
      </w:r>
      <w:r w:rsidRPr="00D03F3E">
        <w:rPr>
          <w:rFonts w:ascii="Times New Roman" w:hAnsi="Times New Roman"/>
          <w:color w:val="000000" w:themeColor="text1"/>
          <w:sz w:val="16"/>
          <w:szCs w:val="16"/>
        </w:rPr>
        <w:softHyphen/>
        <w:t>ка Г^190 и В1109. Прикрывающая штур</w:t>
      </w:r>
      <w:r w:rsidRPr="00D03F3E">
        <w:rPr>
          <w:rFonts w:ascii="Times New Roman" w:hAnsi="Times New Roman"/>
          <w:color w:val="000000" w:themeColor="text1"/>
          <w:sz w:val="16"/>
          <w:szCs w:val="16"/>
        </w:rPr>
        <w:softHyphen/>
        <w:t>мовиков пара "лавочкиных" оказалась на высоте. Наши летчики вовремя заметили опасность и, несмотря на численное пре</w:t>
      </w:r>
      <w:r w:rsidRPr="00D03F3E">
        <w:rPr>
          <w:rFonts w:ascii="Times New Roman" w:hAnsi="Times New Roman"/>
          <w:color w:val="000000" w:themeColor="text1"/>
          <w:sz w:val="16"/>
          <w:szCs w:val="16"/>
        </w:rPr>
        <w:softHyphen/>
        <w:t xml:space="preserve">восходство противника, смело бросились в бой, пытаясь отсечь пилотов </w:t>
      </w:r>
      <w:r w:rsidRPr="00D03F3E">
        <w:rPr>
          <w:rFonts w:ascii="Times New Roman" w:hAnsi="Times New Roman"/>
          <w:color w:val="000000" w:themeColor="text1"/>
          <w:sz w:val="16"/>
          <w:szCs w:val="16"/>
        </w:rPr>
        <w:lastRenderedPageBreak/>
        <w:t>люфтваф</w:t>
      </w:r>
      <w:r w:rsidRPr="00D03F3E">
        <w:rPr>
          <w:rFonts w:ascii="Times New Roman" w:hAnsi="Times New Roman"/>
          <w:color w:val="000000" w:themeColor="text1"/>
          <w:sz w:val="16"/>
          <w:szCs w:val="16"/>
        </w:rPr>
        <w:softHyphen/>
        <w:t>фе от Ил-2. Однако перевес противни</w:t>
      </w:r>
      <w:r w:rsidRPr="00D03F3E">
        <w:rPr>
          <w:rFonts w:ascii="Times New Roman" w:hAnsi="Times New Roman"/>
          <w:color w:val="000000" w:themeColor="text1"/>
          <w:sz w:val="16"/>
          <w:szCs w:val="16"/>
        </w:rPr>
        <w:softHyphen/>
        <w:t>ка в силах был велик — полностью защитить своих подопечных они не смогли. К штурмовикам прорвались два "фокке-вульфа". В результате в первой же а га</w:t>
      </w:r>
      <w:r w:rsidRPr="00D03F3E">
        <w:rPr>
          <w:rFonts w:ascii="Times New Roman" w:hAnsi="Times New Roman"/>
          <w:color w:val="000000" w:themeColor="text1"/>
          <w:sz w:val="16"/>
          <w:szCs w:val="16"/>
        </w:rPr>
        <w:softHyphen/>
        <w:t>ке был сбит мл. л-т И. А. Пастухов (воз</w:t>
      </w:r>
      <w:r w:rsidRPr="00D03F3E">
        <w:rPr>
          <w:rFonts w:ascii="Times New Roman" w:hAnsi="Times New Roman"/>
          <w:color w:val="000000" w:themeColor="text1"/>
          <w:sz w:val="16"/>
          <w:szCs w:val="16"/>
        </w:rPr>
        <w:softHyphen/>
        <w:t>душный стрелок В. Е. Старцев): "самолет упал на территории противника в 10 км северо-восточнее Ельни и загорелся..." Наши истребители в долгу не остались и завалили" один ФВ 190.</w:t>
      </w:r>
    </w:p>
    <w:p w14:paraId="6FD3CFE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Отбиваясь от истребителей против</w:t>
      </w:r>
      <w:r w:rsidRPr="00D03F3E">
        <w:rPr>
          <w:rFonts w:ascii="Times New Roman" w:hAnsi="Times New Roman"/>
          <w:color w:val="000000" w:themeColor="text1"/>
          <w:sz w:val="16"/>
          <w:szCs w:val="16"/>
        </w:rPr>
        <w:softHyphen/>
        <w:t>ника, штурмовики потеряли детальную ориентировку, восстановить которую уже не смоги. Поблуждав немного, вышли на аэродром базирования 523-го иол Ост</w:t>
      </w:r>
      <w:r w:rsidRPr="00D03F3E">
        <w:rPr>
          <w:rFonts w:ascii="Times New Roman" w:hAnsi="Times New Roman"/>
          <w:color w:val="000000" w:themeColor="text1"/>
          <w:sz w:val="16"/>
          <w:szCs w:val="16"/>
        </w:rPr>
        <w:softHyphen/>
        <w:t>рова, где и произвели посадку.</w:t>
      </w:r>
    </w:p>
    <w:p w14:paraId="2BDC265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Помимо экипажа Пастухова, с бое</w:t>
      </w:r>
      <w:r w:rsidRPr="00D03F3E">
        <w:rPr>
          <w:rFonts w:ascii="Times New Roman" w:hAnsi="Times New Roman"/>
          <w:color w:val="000000" w:themeColor="text1"/>
          <w:sz w:val="16"/>
          <w:szCs w:val="16"/>
        </w:rPr>
        <w:softHyphen/>
        <w:t>вого задания не возвратился мл. л-т Л.З. Комаровский. По наблюдению воздуш</w:t>
      </w:r>
      <w:r w:rsidRPr="00D03F3E">
        <w:rPr>
          <w:rFonts w:ascii="Times New Roman" w:hAnsi="Times New Roman"/>
          <w:color w:val="000000" w:themeColor="text1"/>
          <w:sz w:val="16"/>
          <w:szCs w:val="16"/>
        </w:rPr>
        <w:softHyphen/>
        <w:t>ных стрелков его самолет, вроде бы, был подбит огнем зенитной артиллерии в районе Шаталово, но место его посадки или падения никто не видел.</w:t>
      </w:r>
    </w:p>
    <w:p w14:paraId="37B6B0E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Впоследствии выяснилось, что мл. л-т Пастухов был подбит истребителями люфтваффе и совершил вынужденную посадку на территории противника. За</w:t>
      </w:r>
      <w:r w:rsidRPr="00D03F3E">
        <w:rPr>
          <w:rFonts w:ascii="Times New Roman" w:hAnsi="Times New Roman"/>
          <w:color w:val="000000" w:themeColor="text1"/>
          <w:sz w:val="16"/>
          <w:szCs w:val="16"/>
        </w:rPr>
        <w:softHyphen/>
        <w:t>тем попал в партизанский отряд, где во</w:t>
      </w:r>
      <w:r w:rsidRPr="00D03F3E">
        <w:rPr>
          <w:rFonts w:ascii="Times New Roman" w:hAnsi="Times New Roman"/>
          <w:color w:val="000000" w:themeColor="text1"/>
          <w:sz w:val="16"/>
          <w:szCs w:val="16"/>
        </w:rPr>
        <w:softHyphen/>
        <w:t>евал в течение месяца. В июне был вы</w:t>
      </w:r>
      <w:r w:rsidRPr="00D03F3E">
        <w:rPr>
          <w:rFonts w:ascii="Times New Roman" w:hAnsi="Times New Roman"/>
          <w:color w:val="000000" w:themeColor="text1"/>
          <w:sz w:val="16"/>
          <w:szCs w:val="16"/>
        </w:rPr>
        <w:softHyphen/>
        <w:t>везен самолетом на "большую землю" и возвратился в свой полк. Воздушный стре</w:t>
      </w:r>
      <w:r w:rsidRPr="00D03F3E">
        <w:rPr>
          <w:rFonts w:ascii="Times New Roman" w:hAnsi="Times New Roman"/>
          <w:color w:val="000000" w:themeColor="text1"/>
          <w:sz w:val="16"/>
          <w:szCs w:val="16"/>
        </w:rPr>
        <w:softHyphen/>
        <w:t>лок Старцев погиб.</w:t>
      </w:r>
    </w:p>
    <w:p w14:paraId="76ACEEE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удары по аэродро</w:t>
      </w:r>
      <w:r w:rsidRPr="00D03F3E">
        <w:rPr>
          <w:rFonts w:ascii="Times New Roman" w:hAnsi="Times New Roman"/>
          <w:color w:val="000000" w:themeColor="text1"/>
          <w:sz w:val="16"/>
          <w:szCs w:val="16"/>
        </w:rPr>
        <w:softHyphen/>
        <w:t>мам Шаталово и Боровское выполняли только 20 экипажей штурмовиков: 10 — от 198-го, 6-от 62-го и 4 - от 312-го шап.</w:t>
      </w:r>
    </w:p>
    <w:p w14:paraId="6355BFC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Аэродром Шагалова был атакован в 6.07 шестеркой командира 198-ю шап Героя Советского Союза майора В. Г. Корякина. Следом за ней в 6.12 на цель вышла четверка штурмана полка капи</w:t>
      </w:r>
      <w:r w:rsidRPr="00D03F3E">
        <w:rPr>
          <w:rFonts w:ascii="Times New Roman" w:hAnsi="Times New Roman"/>
          <w:color w:val="000000" w:themeColor="text1"/>
          <w:sz w:val="16"/>
          <w:szCs w:val="16"/>
        </w:rPr>
        <w:softHyphen/>
        <w:t>тана Е. И. Селиванова. Еще через 8 ми</w:t>
      </w:r>
      <w:r w:rsidRPr="00D03F3E">
        <w:rPr>
          <w:rFonts w:ascii="Times New Roman" w:hAnsi="Times New Roman"/>
          <w:color w:val="000000" w:themeColor="text1"/>
          <w:sz w:val="16"/>
          <w:szCs w:val="16"/>
        </w:rPr>
        <w:softHyphen/>
        <w:t>нут "по матчасти самолетов на аэродро</w:t>
      </w:r>
      <w:r w:rsidRPr="00D03F3E">
        <w:rPr>
          <w:rFonts w:ascii="Times New Roman" w:hAnsi="Times New Roman"/>
          <w:color w:val="000000" w:themeColor="text1"/>
          <w:sz w:val="16"/>
          <w:szCs w:val="16"/>
        </w:rPr>
        <w:softHyphen/>
        <w:t>ме" отработала группа мл. лейтенанта Егорова от 62-го шап.</w:t>
      </w:r>
    </w:p>
    <w:p w14:paraId="6BAA0CA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и планировалось, атаки выполня</w:t>
      </w:r>
      <w:r w:rsidRPr="00D03F3E">
        <w:rPr>
          <w:rFonts w:ascii="Times New Roman" w:hAnsi="Times New Roman"/>
          <w:color w:val="000000" w:themeColor="text1"/>
          <w:sz w:val="16"/>
          <w:szCs w:val="16"/>
        </w:rPr>
        <w:softHyphen/>
        <w:t>лись с бреющего полета с разных направлений. Боевой порядок штурмови</w:t>
      </w:r>
      <w:r w:rsidRPr="00D03F3E">
        <w:rPr>
          <w:rFonts w:ascii="Times New Roman" w:hAnsi="Times New Roman"/>
          <w:color w:val="000000" w:themeColor="text1"/>
          <w:sz w:val="16"/>
          <w:szCs w:val="16"/>
        </w:rPr>
        <w:softHyphen/>
        <w:t>ков при атаке левый пеленг пар. Это да</w:t>
      </w:r>
      <w:r w:rsidRPr="00D03F3E">
        <w:rPr>
          <w:rFonts w:ascii="Times New Roman" w:hAnsi="Times New Roman"/>
          <w:color w:val="000000" w:themeColor="text1"/>
          <w:sz w:val="16"/>
          <w:szCs w:val="16"/>
        </w:rPr>
        <w:softHyphen/>
        <w:t>вало свободу маневра экипажам при вы</w:t>
      </w:r>
      <w:r w:rsidRPr="00D03F3E">
        <w:rPr>
          <w:rFonts w:ascii="Times New Roman" w:hAnsi="Times New Roman"/>
          <w:color w:val="000000" w:themeColor="text1"/>
          <w:sz w:val="16"/>
          <w:szCs w:val="16"/>
        </w:rPr>
        <w:softHyphen/>
        <w:t>боре цели и ее атаки.</w:t>
      </w:r>
    </w:p>
    <w:p w14:paraId="75B35B3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этому времени на аэродроме нахо</w:t>
      </w:r>
      <w:r w:rsidRPr="00D03F3E">
        <w:rPr>
          <w:rFonts w:ascii="Times New Roman" w:hAnsi="Times New Roman"/>
          <w:color w:val="000000" w:themeColor="text1"/>
          <w:sz w:val="16"/>
          <w:szCs w:val="16"/>
        </w:rPr>
        <w:softHyphen/>
        <w:t>дилось до 30-40 самолетов противника - около 9-12 ФВ 190, 17 Ме109, 15 Ю-88 и Не 111. Все самолеты располагались вдоль взлетной полосы в шахматном по</w:t>
      </w:r>
      <w:r w:rsidRPr="00D03F3E">
        <w:rPr>
          <w:rFonts w:ascii="Times New Roman" w:hAnsi="Times New Roman"/>
          <w:color w:val="000000" w:themeColor="text1"/>
          <w:sz w:val="16"/>
          <w:szCs w:val="16"/>
        </w:rPr>
        <w:softHyphen/>
        <w:t>рядке с восточной и южной стороны. В конце полосы находилось 6 больших ангаров.</w:t>
      </w:r>
    </w:p>
    <w:p w14:paraId="7CBE7DC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удара экипажи группы Корякина наблюдали один большой взрыв с дымом черного цвета (предпо</w:t>
      </w:r>
      <w:r w:rsidRPr="00D03F3E">
        <w:rPr>
          <w:rFonts w:ascii="Times New Roman" w:hAnsi="Times New Roman"/>
          <w:color w:val="000000" w:themeColor="text1"/>
          <w:sz w:val="16"/>
          <w:szCs w:val="16"/>
        </w:rPr>
        <w:softHyphen/>
        <w:t>ложительно взорвался склад горючего), два горящих бензозаправщика, около 12 уничтоженных и поврежденных самоле</w:t>
      </w:r>
      <w:r w:rsidRPr="00D03F3E">
        <w:rPr>
          <w:rFonts w:ascii="Times New Roman" w:hAnsi="Times New Roman"/>
          <w:color w:val="000000" w:themeColor="text1"/>
          <w:sz w:val="16"/>
          <w:szCs w:val="16"/>
        </w:rPr>
        <w:softHyphen/>
        <w:t>тов, из которых два самолета горели. Экипажи четверки Селиванова доложи</w:t>
      </w:r>
      <w:r w:rsidRPr="00D03F3E">
        <w:rPr>
          <w:rFonts w:ascii="Times New Roman" w:hAnsi="Times New Roman"/>
          <w:color w:val="000000" w:themeColor="text1"/>
          <w:sz w:val="16"/>
          <w:szCs w:val="16"/>
        </w:rPr>
        <w:softHyphen/>
        <w:t>ли, что им удалось уничтожить и повре</w:t>
      </w:r>
      <w:r w:rsidRPr="00D03F3E">
        <w:rPr>
          <w:rFonts w:ascii="Times New Roman" w:hAnsi="Times New Roman"/>
          <w:color w:val="000000" w:themeColor="text1"/>
          <w:sz w:val="16"/>
          <w:szCs w:val="16"/>
        </w:rPr>
        <w:softHyphen/>
        <w:t>дить до 6 самолетов на стоянках и пол</w:t>
      </w:r>
      <w:r w:rsidRPr="00D03F3E">
        <w:rPr>
          <w:rFonts w:ascii="Times New Roman" w:hAnsi="Times New Roman"/>
          <w:color w:val="000000" w:themeColor="text1"/>
          <w:sz w:val="16"/>
          <w:szCs w:val="16"/>
        </w:rPr>
        <w:softHyphen/>
        <w:t>ностью разрушить один ангар на юто-западной стороне аэродрома. Замыка</w:t>
      </w:r>
      <w:r w:rsidRPr="00D03F3E">
        <w:rPr>
          <w:rFonts w:ascii="Times New Roman" w:hAnsi="Times New Roman"/>
          <w:color w:val="000000" w:themeColor="text1"/>
          <w:sz w:val="16"/>
          <w:szCs w:val="16"/>
        </w:rPr>
        <w:softHyphen/>
        <w:t>ющая пара Ил-2 в составе мл. лейте</w:t>
      </w:r>
      <w:r w:rsidRPr="00D03F3E">
        <w:rPr>
          <w:rFonts w:ascii="Times New Roman" w:hAnsi="Times New Roman"/>
          <w:color w:val="000000" w:themeColor="text1"/>
          <w:sz w:val="16"/>
          <w:szCs w:val="16"/>
        </w:rPr>
        <w:softHyphen/>
        <w:t>нанта А.Н. Ефимова и мл. лейтенанта М.Н. Бабкина фотографировала резуль</w:t>
      </w:r>
      <w:r w:rsidRPr="00D03F3E">
        <w:rPr>
          <w:rFonts w:ascii="Times New Roman" w:hAnsi="Times New Roman"/>
          <w:color w:val="000000" w:themeColor="text1"/>
          <w:sz w:val="16"/>
          <w:szCs w:val="16"/>
        </w:rPr>
        <w:softHyphen/>
        <w:t>таты удара.</w:t>
      </w:r>
    </w:p>
    <w:p w14:paraId="32EC3BC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следует из боевого донесения штаба 198-го шап (к 7.30 6 мая), "при</w:t>
      </w:r>
      <w:r w:rsidRPr="00D03F3E">
        <w:rPr>
          <w:rFonts w:ascii="Times New Roman" w:hAnsi="Times New Roman"/>
          <w:color w:val="000000" w:themeColor="text1"/>
          <w:sz w:val="16"/>
          <w:szCs w:val="16"/>
        </w:rPr>
        <w:softHyphen/>
        <w:t>крывающие истребители при переходе штурмовиков на бреющий попет о г ста</w:t>
      </w:r>
      <w:r w:rsidRPr="00D03F3E">
        <w:rPr>
          <w:rFonts w:ascii="Times New Roman" w:hAnsi="Times New Roman"/>
          <w:color w:val="000000" w:themeColor="text1"/>
          <w:sz w:val="16"/>
          <w:szCs w:val="16"/>
        </w:rPr>
        <w:softHyphen/>
        <w:t>ли и над целью не были".</w:t>
      </w:r>
    </w:p>
    <w:p w14:paraId="2BBEC85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в итоговых отчетах 233-й шад и 309-й иод о боевой работе за период операции эта информация не подтверж</w:t>
      </w:r>
      <w:r w:rsidRPr="00D03F3E">
        <w:rPr>
          <w:rFonts w:ascii="Times New Roman" w:hAnsi="Times New Roman"/>
          <w:color w:val="000000" w:themeColor="text1"/>
          <w:sz w:val="16"/>
          <w:szCs w:val="16"/>
        </w:rPr>
        <w:softHyphen/>
        <w:t>дается. По мнению штабов дивизий, ис</w:t>
      </w:r>
      <w:r w:rsidRPr="00D03F3E">
        <w:rPr>
          <w:rFonts w:ascii="Times New Roman" w:hAnsi="Times New Roman"/>
          <w:color w:val="000000" w:themeColor="text1"/>
          <w:sz w:val="16"/>
          <w:szCs w:val="16"/>
        </w:rPr>
        <w:softHyphen/>
        <w:t>требители 172-го иоп во время атаки штурмовиками аэродрома Шаталово на</w:t>
      </w:r>
      <w:r w:rsidRPr="00D03F3E">
        <w:rPr>
          <w:rFonts w:ascii="Times New Roman" w:hAnsi="Times New Roman"/>
          <w:color w:val="000000" w:themeColor="text1"/>
          <w:sz w:val="16"/>
          <w:szCs w:val="16"/>
        </w:rPr>
        <w:softHyphen/>
        <w:t>ходились на высоте 600-1000 м, все вре</w:t>
      </w:r>
      <w:r w:rsidRPr="00D03F3E">
        <w:rPr>
          <w:rFonts w:ascii="Times New Roman" w:hAnsi="Times New Roman"/>
          <w:color w:val="000000" w:themeColor="text1"/>
          <w:sz w:val="16"/>
          <w:szCs w:val="16"/>
        </w:rPr>
        <w:softHyphen/>
        <w:t>мя "держа штурмовики в поле зрения" и "наблюдая за возможным взлетом истре</w:t>
      </w:r>
      <w:r w:rsidRPr="00D03F3E">
        <w:rPr>
          <w:rFonts w:ascii="Times New Roman" w:hAnsi="Times New Roman"/>
          <w:color w:val="000000" w:themeColor="text1"/>
          <w:sz w:val="16"/>
          <w:szCs w:val="16"/>
        </w:rPr>
        <w:softHyphen/>
        <w:t>бителей противника". Причем командир 233-й шад Герой Советского Союза п-к В. В. Смирнов особо указывал, "что вза</w:t>
      </w:r>
      <w:r w:rsidRPr="00D03F3E">
        <w:rPr>
          <w:rFonts w:ascii="Times New Roman" w:hAnsi="Times New Roman"/>
          <w:color w:val="000000" w:themeColor="text1"/>
          <w:sz w:val="16"/>
          <w:szCs w:val="16"/>
        </w:rPr>
        <w:softHyphen/>
        <w:t>имодействие с истребителями отработа</w:t>
      </w:r>
      <w:r w:rsidRPr="00D03F3E">
        <w:rPr>
          <w:rFonts w:ascii="Times New Roman" w:hAnsi="Times New Roman"/>
          <w:color w:val="000000" w:themeColor="text1"/>
          <w:sz w:val="16"/>
          <w:szCs w:val="16"/>
        </w:rPr>
        <w:softHyphen/>
        <w:t>но хорошо, ...истребители 309 иад дей</w:t>
      </w:r>
      <w:r w:rsidRPr="00D03F3E">
        <w:rPr>
          <w:rFonts w:ascii="Times New Roman" w:hAnsi="Times New Roman"/>
          <w:color w:val="000000" w:themeColor="text1"/>
          <w:sz w:val="16"/>
          <w:szCs w:val="16"/>
        </w:rPr>
        <w:softHyphen/>
        <w:t>ствовали хорошо".</w:t>
      </w:r>
    </w:p>
    <w:p w14:paraId="51198E0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Подтверждение докладам экипажей штурмовиков, вылетавших на боевое задание, можно найти в документах шта</w:t>
      </w:r>
      <w:r w:rsidRPr="00D03F3E">
        <w:rPr>
          <w:rFonts w:ascii="Times New Roman" w:hAnsi="Times New Roman"/>
          <w:color w:val="000000" w:themeColor="text1"/>
          <w:sz w:val="16"/>
          <w:szCs w:val="16"/>
        </w:rPr>
        <w:softHyphen/>
        <w:t>ба 1 22-го иол, пять летчиков которого, во главе с командиром полка подпол</w:t>
      </w:r>
      <w:r w:rsidRPr="00D03F3E">
        <w:rPr>
          <w:rFonts w:ascii="Times New Roman" w:hAnsi="Times New Roman"/>
          <w:color w:val="000000" w:themeColor="text1"/>
          <w:sz w:val="16"/>
          <w:szCs w:val="16"/>
        </w:rPr>
        <w:softHyphen/>
        <w:t>ковником Г.И. Черепановым, обеспечи</w:t>
      </w:r>
      <w:r w:rsidRPr="00D03F3E">
        <w:rPr>
          <w:rFonts w:ascii="Times New Roman" w:hAnsi="Times New Roman"/>
          <w:color w:val="000000" w:themeColor="text1"/>
          <w:sz w:val="16"/>
          <w:szCs w:val="16"/>
        </w:rPr>
        <w:softHyphen/>
        <w:t>вали сопровождение труппы от 62-го шап.</w:t>
      </w:r>
    </w:p>
    <w:p w14:paraId="5C6A47C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боевом донесении штаба полка за 6 мая (к 20.00) отмечается "...плохое вза</w:t>
      </w:r>
      <w:r w:rsidRPr="00D03F3E">
        <w:rPr>
          <w:rFonts w:ascii="Times New Roman" w:hAnsi="Times New Roman"/>
          <w:color w:val="000000" w:themeColor="text1"/>
          <w:sz w:val="16"/>
          <w:szCs w:val="16"/>
        </w:rPr>
        <w:softHyphen/>
        <w:t>имодействие истребителей 172 иап со штурмовиками, которые на маршруте попали в зону сильного зенитного огня, разошлись по одному и потеряли штур</w:t>
      </w:r>
      <w:r w:rsidRPr="00D03F3E">
        <w:rPr>
          <w:rFonts w:ascii="Times New Roman" w:hAnsi="Times New Roman"/>
          <w:color w:val="000000" w:themeColor="text1"/>
          <w:sz w:val="16"/>
          <w:szCs w:val="16"/>
        </w:rPr>
        <w:softHyphen/>
        <w:t>мовиков ".</w:t>
      </w:r>
    </w:p>
    <w:p w14:paraId="7450A80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тем истребители 122-го иол, невзирая на зенитную "завесу", продол</w:t>
      </w:r>
      <w:r w:rsidRPr="00D03F3E">
        <w:rPr>
          <w:rFonts w:ascii="Times New Roman" w:hAnsi="Times New Roman"/>
          <w:color w:val="000000" w:themeColor="text1"/>
          <w:sz w:val="16"/>
          <w:szCs w:val="16"/>
        </w:rPr>
        <w:softHyphen/>
        <w:t>жали выполнять боевую задачу.</w:t>
      </w:r>
    </w:p>
    <w:p w14:paraId="554C309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счастью, ни в районе аэродрома, ни на подходе к нему пилотов люфтваф</w:t>
      </w:r>
      <w:r w:rsidRPr="00D03F3E">
        <w:rPr>
          <w:rFonts w:ascii="Times New Roman" w:hAnsi="Times New Roman"/>
          <w:color w:val="000000" w:themeColor="text1"/>
          <w:sz w:val="16"/>
          <w:szCs w:val="16"/>
        </w:rPr>
        <w:softHyphen/>
        <w:t>фе не оказалось. Штурмовиков только обстреливали зенитные автоматы и круп</w:t>
      </w:r>
      <w:r w:rsidRPr="00D03F3E">
        <w:rPr>
          <w:rFonts w:ascii="Times New Roman" w:hAnsi="Times New Roman"/>
          <w:color w:val="000000" w:themeColor="text1"/>
          <w:sz w:val="16"/>
          <w:szCs w:val="16"/>
        </w:rPr>
        <w:softHyphen/>
        <w:t>нокалиберные пулеметы. От их огня два самолета из первой группы получили по</w:t>
      </w:r>
      <w:r w:rsidRPr="00D03F3E">
        <w:rPr>
          <w:rFonts w:ascii="Times New Roman" w:hAnsi="Times New Roman"/>
          <w:color w:val="000000" w:themeColor="text1"/>
          <w:sz w:val="16"/>
          <w:szCs w:val="16"/>
        </w:rPr>
        <w:softHyphen/>
        <w:t>вреждения: "в плоскостях пробоины от МЗА".</w:t>
      </w:r>
    </w:p>
    <w:p w14:paraId="66F04B3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Шестерка 62-го шап после атаки аэродрома Шотстпово нанесла удар по аэродрому Воровское, на южной окра</w:t>
      </w:r>
      <w:r w:rsidRPr="00D03F3E">
        <w:rPr>
          <w:rFonts w:ascii="Times New Roman" w:hAnsi="Times New Roman"/>
          <w:color w:val="000000" w:themeColor="text1"/>
          <w:sz w:val="16"/>
          <w:szCs w:val="16"/>
        </w:rPr>
        <w:softHyphen/>
        <w:t>ине которою находилось до 20 самолетов. Самолеты обстреливались из пушек и пулеметов. О потерях противника экипажи ничего не докладывали.</w:t>
      </w:r>
    </w:p>
    <w:p w14:paraId="2B8393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время разворота и подхода к аэродрому примерно в 6.25 штурмовики нео</w:t>
      </w:r>
      <w:r w:rsidRPr="00D03F3E">
        <w:rPr>
          <w:rFonts w:ascii="Times New Roman" w:hAnsi="Times New Roman"/>
          <w:color w:val="000000" w:themeColor="text1"/>
          <w:sz w:val="16"/>
          <w:szCs w:val="16"/>
        </w:rPr>
        <w:softHyphen/>
        <w:t>жиданно были атакованы одиночным не</w:t>
      </w:r>
      <w:r w:rsidRPr="00D03F3E">
        <w:rPr>
          <w:rFonts w:ascii="Times New Roman" w:hAnsi="Times New Roman"/>
          <w:color w:val="000000" w:themeColor="text1"/>
          <w:sz w:val="16"/>
          <w:szCs w:val="16"/>
        </w:rPr>
        <w:softHyphen/>
        <w:t>мецким истребителем Ме 110, который, но всей видимости, успел взлететь с аэро</w:t>
      </w:r>
      <w:r w:rsidRPr="00D03F3E">
        <w:rPr>
          <w:rFonts w:ascii="Times New Roman" w:hAnsi="Times New Roman"/>
          <w:color w:val="000000" w:themeColor="text1"/>
          <w:sz w:val="16"/>
          <w:szCs w:val="16"/>
        </w:rPr>
        <w:softHyphen/>
        <w:t>дрома Боровское. Атака проводилась снизу на замыкающие экипажи в группе. Воздушные стрелки оказались на высоте. От их сосредоточенного огня “мессершмигт" задымил. Пилот немедленно вышел из атаки, но его тут же атаковал к-н Мовчан из группы непосредс гвенного сопровождения. Ата</w:t>
      </w:r>
      <w:r w:rsidRPr="00D03F3E">
        <w:rPr>
          <w:rFonts w:ascii="Times New Roman" w:hAnsi="Times New Roman"/>
          <w:color w:val="000000" w:themeColor="text1"/>
          <w:sz w:val="16"/>
          <w:szCs w:val="16"/>
        </w:rPr>
        <w:softHyphen/>
        <w:t>кой сверху короткой очередью с дистан</w:t>
      </w:r>
      <w:r w:rsidRPr="00D03F3E">
        <w:rPr>
          <w:rFonts w:ascii="Times New Roman" w:hAnsi="Times New Roman"/>
          <w:color w:val="000000" w:themeColor="text1"/>
          <w:sz w:val="16"/>
          <w:szCs w:val="16"/>
        </w:rPr>
        <w:softHyphen/>
        <w:t>ции около 100 м Мовчан добил немецкии самолет По наблюдению экипажей “мессер" упал в лес в районе Балтунино и взорвался. В дальнейшем по согласованию с. истребителями 122-ю ист сби</w:t>
      </w:r>
      <w:r w:rsidRPr="00D03F3E">
        <w:rPr>
          <w:rFonts w:ascii="Times New Roman" w:hAnsi="Times New Roman"/>
          <w:color w:val="000000" w:themeColor="text1"/>
          <w:sz w:val="16"/>
          <w:szCs w:val="16"/>
        </w:rPr>
        <w:softHyphen/>
        <w:t>тый Ме 110 был записан на счет воздуш</w:t>
      </w:r>
      <w:r w:rsidRPr="00D03F3E">
        <w:rPr>
          <w:rFonts w:ascii="Times New Roman" w:hAnsi="Times New Roman"/>
          <w:color w:val="000000" w:themeColor="text1"/>
          <w:sz w:val="16"/>
          <w:szCs w:val="16"/>
        </w:rPr>
        <w:softHyphen/>
        <w:t>ного стрелка мл сержанта Зуборева, ко</w:t>
      </w:r>
      <w:r w:rsidRPr="00D03F3E">
        <w:rPr>
          <w:rFonts w:ascii="Times New Roman" w:hAnsi="Times New Roman"/>
          <w:color w:val="000000" w:themeColor="text1"/>
          <w:sz w:val="16"/>
          <w:szCs w:val="16"/>
        </w:rPr>
        <w:softHyphen/>
        <w:t>торый при отражении атаки "сто дегятого" был ранен.</w:t>
      </w:r>
    </w:p>
    <w:p w14:paraId="71C0054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 пулеметно-пушечного огня немец</w:t>
      </w:r>
      <w:r w:rsidRPr="00D03F3E">
        <w:rPr>
          <w:rFonts w:ascii="Times New Roman" w:hAnsi="Times New Roman"/>
          <w:color w:val="000000" w:themeColor="text1"/>
          <w:sz w:val="16"/>
          <w:szCs w:val="16"/>
        </w:rPr>
        <w:softHyphen/>
        <w:t>кого истоебигеля получили повреждения три Ил-2 и легко ранен мл. л-т Кузнецов.</w:t>
      </w:r>
    </w:p>
    <w:p w14:paraId="6E98319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15 км севернее Ельни сопровожда</w:t>
      </w:r>
      <w:r w:rsidRPr="00D03F3E">
        <w:rPr>
          <w:rFonts w:ascii="Times New Roman" w:hAnsi="Times New Roman"/>
          <w:color w:val="000000" w:themeColor="text1"/>
          <w:sz w:val="16"/>
          <w:szCs w:val="16"/>
        </w:rPr>
        <w:softHyphen/>
        <w:t>ющие истребители наблюдали два Р\л/190. которые пытались атаковать ис</w:t>
      </w:r>
      <w:r w:rsidRPr="00D03F3E">
        <w:rPr>
          <w:rFonts w:ascii="Times New Roman" w:hAnsi="Times New Roman"/>
          <w:color w:val="000000" w:themeColor="text1"/>
          <w:sz w:val="16"/>
          <w:szCs w:val="16"/>
        </w:rPr>
        <w:softHyphen/>
        <w:t>требителей, но "при довороге на них ношей пары они ушли" Как отмечал в своем донесении командир 122-го иоп п-п-к Г И. Черепанов, "активность истре</w:t>
      </w:r>
      <w:r w:rsidRPr="00D03F3E">
        <w:rPr>
          <w:rFonts w:ascii="Times New Roman" w:hAnsi="Times New Roman"/>
          <w:color w:val="000000" w:themeColor="text1"/>
          <w:sz w:val="16"/>
          <w:szCs w:val="16"/>
        </w:rPr>
        <w:softHyphen/>
        <w:t>бителей противника средняя - встреча</w:t>
      </w:r>
      <w:r w:rsidRPr="00D03F3E">
        <w:rPr>
          <w:rFonts w:ascii="Times New Roman" w:hAnsi="Times New Roman"/>
          <w:color w:val="000000" w:themeColor="text1"/>
          <w:sz w:val="16"/>
          <w:szCs w:val="16"/>
        </w:rPr>
        <w:softHyphen/>
        <w:t>лись по одиночке и парами".</w:t>
      </w:r>
    </w:p>
    <w:p w14:paraId="5FB346C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Следом за экипажами 62-го шоп о -юо-дром Боровское в 6.32 был атакован чет</w:t>
      </w:r>
      <w:r w:rsidRPr="00D03F3E">
        <w:rPr>
          <w:rFonts w:ascii="Times New Roman" w:hAnsi="Times New Roman"/>
          <w:color w:val="000000" w:themeColor="text1"/>
          <w:sz w:val="16"/>
          <w:szCs w:val="16"/>
        </w:rPr>
        <w:softHyphen/>
        <w:t>веркой ст. лейтенанта Н.Д. Алферова от 312-ю шап. Группу сопровождали 4 Ла-5 от 49-го иап.</w:t>
      </w:r>
    </w:p>
    <w:p w14:paraId="7BAFCAF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наблюдению экипажей штурмови</w:t>
      </w:r>
      <w:r w:rsidRPr="00D03F3E">
        <w:rPr>
          <w:rFonts w:ascii="Times New Roman" w:hAnsi="Times New Roman"/>
          <w:color w:val="000000" w:themeColor="text1"/>
          <w:sz w:val="16"/>
          <w:szCs w:val="16"/>
        </w:rPr>
        <w:softHyphen/>
        <w:t>ков и истребителей на аэродроме к то</w:t>
      </w:r>
      <w:r w:rsidRPr="00D03F3E">
        <w:rPr>
          <w:rFonts w:ascii="Times New Roman" w:hAnsi="Times New Roman"/>
          <w:color w:val="000000" w:themeColor="text1"/>
          <w:sz w:val="16"/>
          <w:szCs w:val="16"/>
        </w:rPr>
        <w:softHyphen/>
        <w:t>му времени находилось до 15 самоле</w:t>
      </w:r>
      <w:r w:rsidRPr="00D03F3E">
        <w:rPr>
          <w:rFonts w:ascii="Times New Roman" w:hAnsi="Times New Roman"/>
          <w:color w:val="000000" w:themeColor="text1"/>
          <w:sz w:val="16"/>
          <w:szCs w:val="16"/>
        </w:rPr>
        <w:softHyphen/>
        <w:t>тов типа Ме 110 и Ю 88 и 3 Не 126 на юго-западной окраине, до 10 самолетов на восточной и северо-восточной окраине и до 15 макетов (предположительно) двух</w:t>
      </w:r>
      <w:r w:rsidRPr="00D03F3E">
        <w:rPr>
          <w:rFonts w:ascii="Times New Roman" w:hAnsi="Times New Roman"/>
          <w:color w:val="000000" w:themeColor="text1"/>
          <w:sz w:val="16"/>
          <w:szCs w:val="16"/>
        </w:rPr>
        <w:softHyphen/>
        <w:t>моторных самолетов на северо-запад</w:t>
      </w:r>
      <w:r w:rsidRPr="00D03F3E">
        <w:rPr>
          <w:rFonts w:ascii="Times New Roman" w:hAnsi="Times New Roman"/>
          <w:color w:val="000000" w:themeColor="text1"/>
          <w:sz w:val="16"/>
          <w:szCs w:val="16"/>
        </w:rPr>
        <w:softHyphen/>
        <w:t>ной окраине.</w:t>
      </w:r>
    </w:p>
    <w:p w14:paraId="220A2AD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Удар наносился с бреющего полета одним заходом по стоянкам самолетов на юю-западной окраине аэродрома. В результате "по наблюдению воздушных стрелков Пусва, Берещенко и летчиков на аэродроме возникли четыре пожара самолетов, уничтожено до 7 самолетов, прямым попаданием разрушено двухэтажное здание на юго-западной окраи</w:t>
      </w:r>
      <w:r w:rsidRPr="00D03F3E">
        <w:rPr>
          <w:rFonts w:ascii="Times New Roman" w:hAnsi="Times New Roman"/>
          <w:color w:val="000000" w:themeColor="text1"/>
          <w:sz w:val="16"/>
          <w:szCs w:val="16"/>
        </w:rPr>
        <w:softHyphen/>
        <w:t>не". Было отмечено "одно прямое попа</w:t>
      </w:r>
      <w:r w:rsidRPr="00D03F3E">
        <w:rPr>
          <w:rFonts w:ascii="Times New Roman" w:hAnsi="Times New Roman"/>
          <w:color w:val="000000" w:themeColor="text1"/>
          <w:sz w:val="16"/>
          <w:szCs w:val="16"/>
        </w:rPr>
        <w:softHyphen/>
        <w:t>дание бомбы ФАБ-100 в нишу, откуда повалил черный дым ".</w:t>
      </w:r>
    </w:p>
    <w:p w14:paraId="7B1959A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аэродрома штурмовики об</w:t>
      </w:r>
      <w:r w:rsidRPr="00D03F3E">
        <w:rPr>
          <w:rFonts w:ascii="Times New Roman" w:hAnsi="Times New Roman"/>
          <w:color w:val="000000" w:themeColor="text1"/>
          <w:sz w:val="16"/>
          <w:szCs w:val="16"/>
        </w:rPr>
        <w:softHyphen/>
        <w:t>стреливались сильным огнем МЗА и ЗПУ. Огонь среднекалиберной артиллерии был слабым. Зенитным огнем экипажи ин-1енсивно обстреливались и на обратном •маршруте - из района ст Стодолище и д. Семешня в 12 км восточнее Ельни.</w:t>
      </w:r>
    </w:p>
    <w:p w14:paraId="16926C8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докладу штурмовиков на отходе от аэродроме одиночный ФВ 190 сделая попьтку атаковать труппу, но был отогнан огнем воздушных стрелков. На вы</w:t>
      </w:r>
      <w:r w:rsidRPr="00D03F3E">
        <w:rPr>
          <w:rFonts w:ascii="Times New Roman" w:hAnsi="Times New Roman"/>
          <w:color w:val="000000" w:themeColor="text1"/>
          <w:sz w:val="16"/>
          <w:szCs w:val="16"/>
        </w:rPr>
        <w:softHyphen/>
        <w:t>ходе из атаки "фоккер" попал под удар истребителей прикрытия и был сбит, упал и сгорел в районе аэродрома. Истребители сопровождения уточни</w:t>
      </w:r>
      <w:r w:rsidRPr="00D03F3E">
        <w:rPr>
          <w:rFonts w:ascii="Times New Roman" w:hAnsi="Times New Roman"/>
          <w:color w:val="000000" w:themeColor="text1"/>
          <w:sz w:val="16"/>
          <w:szCs w:val="16"/>
        </w:rPr>
        <w:softHyphen/>
        <w:t>ли доклад штурмовиков. По их версии группу штурмовиков от 312-го шап пы</w:t>
      </w:r>
      <w:r w:rsidRPr="00D03F3E">
        <w:rPr>
          <w:rFonts w:ascii="Times New Roman" w:hAnsi="Times New Roman"/>
          <w:color w:val="000000" w:themeColor="text1"/>
          <w:sz w:val="16"/>
          <w:szCs w:val="16"/>
        </w:rPr>
        <w:softHyphen/>
        <w:t>тались а таковать 4 ФВ 190 и 2 Ме 109. Прикрывающие истребители вовремя заметили атаку и сумели успешно ее отразигь При этом ведущий группы исгребителей к-н Чалбош сбил один ФВ 190, ко</w:t>
      </w:r>
      <w:r w:rsidRPr="00D03F3E">
        <w:rPr>
          <w:rFonts w:ascii="Times New Roman" w:hAnsi="Times New Roman"/>
          <w:color w:val="000000" w:themeColor="text1"/>
          <w:sz w:val="16"/>
          <w:szCs w:val="16"/>
        </w:rPr>
        <w:softHyphen/>
        <w:t>торый упал в районе Жары.</w:t>
      </w:r>
    </w:p>
    <w:p w14:paraId="0A5A953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неудачной атаки штурмовиков два "фокке-вульфа” пытались атаковать пару 'Яков' 162-го иап, которая фо</w:t>
      </w:r>
      <w:r w:rsidRPr="00D03F3E">
        <w:rPr>
          <w:rFonts w:ascii="Times New Roman" w:hAnsi="Times New Roman"/>
          <w:color w:val="000000" w:themeColor="text1"/>
          <w:sz w:val="16"/>
          <w:szCs w:val="16"/>
        </w:rPr>
        <w:softHyphen/>
        <w:t>тографировала результаты удара шгурмовиков по аэродрому. Но и здесь их ждала неудача. В ходе воздушного боя ст. л-т Сероглазов сбил один ФВ 190, после чего оставшийся 'фоккер' немед</w:t>
      </w:r>
      <w:r w:rsidRPr="00D03F3E">
        <w:rPr>
          <w:rFonts w:ascii="Times New Roman" w:hAnsi="Times New Roman"/>
          <w:color w:val="000000" w:themeColor="text1"/>
          <w:sz w:val="16"/>
          <w:szCs w:val="16"/>
        </w:rPr>
        <w:softHyphen/>
        <w:t>ленно вышел из боя.</w:t>
      </w:r>
    </w:p>
    <w:p w14:paraId="501B49D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боевого вылета самолеты трех экипажей получили повреждения. На Ил-2 ведущего группы ст лейтенанта Алфе</w:t>
      </w:r>
      <w:r w:rsidRPr="00D03F3E">
        <w:rPr>
          <w:rFonts w:ascii="Times New Roman" w:hAnsi="Times New Roman"/>
          <w:color w:val="000000" w:themeColor="text1"/>
          <w:sz w:val="16"/>
          <w:szCs w:val="16"/>
        </w:rPr>
        <w:softHyphen/>
        <w:t>рова было разбито переднее бронестек</w:t>
      </w:r>
      <w:r w:rsidRPr="00D03F3E">
        <w:rPr>
          <w:rFonts w:ascii="Times New Roman" w:hAnsi="Times New Roman"/>
          <w:color w:val="000000" w:themeColor="text1"/>
          <w:sz w:val="16"/>
          <w:szCs w:val="16"/>
        </w:rPr>
        <w:softHyphen/>
        <w:t>ло фонаря кабины пилота и выведена из строя воздушная система, а штурмовики капитана Захарова и мл. лейтенанта Якунина имели многочисленные пулевые пробоины фюзеляжа и плоскостей.</w:t>
      </w:r>
    </w:p>
    <w:p w14:paraId="41EC249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Фотоконтроль результатов удара штурмовиков подтвердил только 9 само</w:t>
      </w:r>
      <w:r w:rsidRPr="00D03F3E">
        <w:rPr>
          <w:rFonts w:ascii="Times New Roman" w:hAnsi="Times New Roman"/>
          <w:color w:val="000000" w:themeColor="text1"/>
          <w:sz w:val="16"/>
          <w:szCs w:val="16"/>
        </w:rPr>
        <w:softHyphen/>
        <w:t>летов, поврежденных на аэродроме Шагалово, и 5 машин - на аэродроме Бо</w:t>
      </w:r>
      <w:r w:rsidRPr="00D03F3E">
        <w:rPr>
          <w:rFonts w:ascii="Times New Roman" w:hAnsi="Times New Roman"/>
          <w:color w:val="000000" w:themeColor="text1"/>
          <w:sz w:val="16"/>
          <w:szCs w:val="16"/>
        </w:rPr>
        <w:softHyphen/>
        <w:t>ровское.</w:t>
      </w:r>
    </w:p>
    <w:p w14:paraId="1B4518F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Повторный налет на аэродромы Шаталово и Боровское в целом повторял предыдущий удар. Все также действо</w:t>
      </w:r>
      <w:r w:rsidRPr="00D03F3E">
        <w:rPr>
          <w:rFonts w:ascii="Times New Roman" w:hAnsi="Times New Roman"/>
          <w:color w:val="000000" w:themeColor="text1"/>
          <w:sz w:val="16"/>
          <w:szCs w:val="16"/>
        </w:rPr>
        <w:softHyphen/>
        <w:t>вали небольшие группы штурмовиков: первая - 8 Ил-2 от 198-ю шал, вторая 4 Ил-2 от 62-ю и третья - 4 Ил-2 от 312-го шап. Усиления истребительного прикрытия с учетом возможного повыше</w:t>
      </w:r>
      <w:r w:rsidRPr="00D03F3E">
        <w:rPr>
          <w:rFonts w:ascii="Times New Roman" w:hAnsi="Times New Roman"/>
          <w:color w:val="000000" w:themeColor="text1"/>
          <w:sz w:val="16"/>
          <w:szCs w:val="16"/>
        </w:rPr>
        <w:softHyphen/>
        <w:t>ния активности немецких истребителей сделано не было. Для прикрытия штур</w:t>
      </w:r>
      <w:r w:rsidRPr="00D03F3E">
        <w:rPr>
          <w:rFonts w:ascii="Times New Roman" w:hAnsi="Times New Roman"/>
          <w:color w:val="000000" w:themeColor="text1"/>
          <w:sz w:val="16"/>
          <w:szCs w:val="16"/>
        </w:rPr>
        <w:softHyphen/>
        <w:t>мовиков выделялось 4 Як-1 от 122-ю иап, 11 Як-1 от 172-ю иап и 5 Ла-5 от 49-го иап.</w:t>
      </w:r>
    </w:p>
    <w:p w14:paraId="44DA85B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Предполагалось, что группы сначала ударят по аэродрому Шаталово "с пос</w:t>
      </w:r>
      <w:r w:rsidRPr="00D03F3E">
        <w:rPr>
          <w:rFonts w:ascii="Times New Roman" w:hAnsi="Times New Roman"/>
          <w:color w:val="000000" w:themeColor="text1"/>
          <w:sz w:val="16"/>
          <w:szCs w:val="16"/>
        </w:rPr>
        <w:softHyphen/>
        <w:t>ледующим выходом для атаки аэродро</w:t>
      </w:r>
      <w:r w:rsidRPr="00D03F3E">
        <w:rPr>
          <w:rFonts w:ascii="Times New Roman" w:hAnsi="Times New Roman"/>
          <w:color w:val="000000" w:themeColor="text1"/>
          <w:sz w:val="16"/>
          <w:szCs w:val="16"/>
        </w:rPr>
        <w:softHyphen/>
        <w:t>ма Боровское", вследствие чего всем группам предписывалось "заход для ата</w:t>
      </w:r>
      <w:r w:rsidRPr="00D03F3E">
        <w:rPr>
          <w:rFonts w:ascii="Times New Roman" w:hAnsi="Times New Roman"/>
          <w:color w:val="000000" w:themeColor="text1"/>
          <w:sz w:val="16"/>
          <w:szCs w:val="16"/>
        </w:rPr>
        <w:softHyphen/>
        <w:t>ки Шаталова производить с юга-запада или с западной стороны". По всей види</w:t>
      </w:r>
      <w:r w:rsidRPr="00D03F3E">
        <w:rPr>
          <w:rFonts w:ascii="Times New Roman" w:hAnsi="Times New Roman"/>
          <w:color w:val="000000" w:themeColor="text1"/>
          <w:sz w:val="16"/>
          <w:szCs w:val="16"/>
        </w:rPr>
        <w:softHyphen/>
        <w:t>мости, рассчитывали усилить эффект не</w:t>
      </w:r>
      <w:r w:rsidRPr="00D03F3E">
        <w:rPr>
          <w:rFonts w:ascii="Times New Roman" w:hAnsi="Times New Roman"/>
          <w:color w:val="000000" w:themeColor="text1"/>
          <w:sz w:val="16"/>
          <w:szCs w:val="16"/>
        </w:rPr>
        <w:softHyphen/>
        <w:t>прерывности налета, хотя было очевид</w:t>
      </w:r>
      <w:r w:rsidRPr="00D03F3E">
        <w:rPr>
          <w:rFonts w:ascii="Times New Roman" w:hAnsi="Times New Roman"/>
          <w:color w:val="000000" w:themeColor="text1"/>
          <w:sz w:val="16"/>
          <w:szCs w:val="16"/>
        </w:rPr>
        <w:softHyphen/>
        <w:t>но, что после атаки первою аэродрома наших штурмовиков обязательно будут ждать на втором аэродроме со всеми вытекающими из этого последствиями.</w:t>
      </w:r>
    </w:p>
    <w:p w14:paraId="0E4928E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в этот раз не обошлось без отказа матчасти. После взлета м-р Рыжков из 312-го шап совершил вынужденную по</w:t>
      </w:r>
      <w:r w:rsidRPr="00D03F3E">
        <w:rPr>
          <w:rFonts w:ascii="Times New Roman" w:hAnsi="Times New Roman"/>
          <w:color w:val="000000" w:themeColor="text1"/>
          <w:sz w:val="16"/>
          <w:szCs w:val="16"/>
        </w:rPr>
        <w:softHyphen/>
        <w:t>садку на аэродром Двоевка.</w:t>
      </w:r>
    </w:p>
    <w:p w14:paraId="27B31B2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 172-го иап на боевое задание смогли вылететь только 6 Як-1, которые сопровождали 8 Ил-2 от 198т о шап.</w:t>
      </w:r>
    </w:p>
    <w:p w14:paraId="1D2697D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следует из документов полков, юлностью выполнить план штаба диви-;ии жипажам ме удалось. 1 руппы ог б2-ю (ведущий ми п-г Рюров) и 312то /иоп -.ведущий ст л-т Алферов) нанесли удар только то аэродрому Боровское, а восьмерка 198-го иап {ведущий к-н Селиванов) вообще не вышла на аэро</w:t>
      </w:r>
      <w:r w:rsidRPr="00D03F3E">
        <w:rPr>
          <w:rFonts w:ascii="Times New Roman" w:hAnsi="Times New Roman"/>
          <w:color w:val="000000" w:themeColor="text1"/>
          <w:sz w:val="16"/>
          <w:szCs w:val="16"/>
        </w:rPr>
        <w:softHyphen/>
        <w:t>дром Шаталово, так как потеряла ори</w:t>
      </w:r>
      <w:r w:rsidRPr="00D03F3E">
        <w:rPr>
          <w:rFonts w:ascii="Times New Roman" w:hAnsi="Times New Roman"/>
          <w:color w:val="000000" w:themeColor="text1"/>
          <w:sz w:val="16"/>
          <w:szCs w:val="16"/>
        </w:rPr>
        <w:softHyphen/>
        <w:t>ентировку. В 17:25 жипажи 198то шап ‘отработали' по ж.д. станции Стодолище и по скоплению автомашин у станции, а та отходе в 17:30-17:33 - атаковали под</w:t>
      </w:r>
      <w:r w:rsidRPr="00D03F3E">
        <w:rPr>
          <w:rFonts w:ascii="Times New Roman" w:hAnsi="Times New Roman"/>
          <w:color w:val="000000" w:themeColor="text1"/>
          <w:sz w:val="16"/>
          <w:szCs w:val="16"/>
        </w:rPr>
        <w:softHyphen/>
        <w:t>воды и скопление автомашин у населен</w:t>
      </w:r>
      <w:r w:rsidRPr="00D03F3E">
        <w:rPr>
          <w:rFonts w:ascii="Times New Roman" w:hAnsi="Times New Roman"/>
          <w:color w:val="000000" w:themeColor="text1"/>
          <w:sz w:val="16"/>
          <w:szCs w:val="16"/>
        </w:rPr>
        <w:softHyphen/>
        <w:t>ного пункта Болтутино.</w:t>
      </w:r>
    </w:p>
    <w:p w14:paraId="6C9AFA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экипажей, атаковавших аэродром Боровское, этот вылет сложился весьма и весьма не просто, гак как активное противодействие истребительной авиа</w:t>
      </w:r>
      <w:r w:rsidRPr="00D03F3E">
        <w:rPr>
          <w:rFonts w:ascii="Times New Roman" w:hAnsi="Times New Roman"/>
          <w:color w:val="000000" w:themeColor="text1"/>
          <w:sz w:val="16"/>
          <w:szCs w:val="16"/>
        </w:rPr>
        <w:softHyphen/>
        <w:t>ции и зенитной артиллерии противника началось почти сразу же после перепе</w:t>
      </w:r>
      <w:r w:rsidRPr="00D03F3E">
        <w:rPr>
          <w:rFonts w:ascii="Times New Roman" w:hAnsi="Times New Roman"/>
          <w:color w:val="000000" w:themeColor="text1"/>
          <w:sz w:val="16"/>
          <w:szCs w:val="16"/>
        </w:rPr>
        <w:softHyphen/>
        <w:t>та линии фронта и особенно в районе аэродрома.</w:t>
      </w:r>
    </w:p>
    <w:p w14:paraId="107C749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Истребители 122-го иап, сопровож</w:t>
      </w:r>
      <w:r w:rsidRPr="00D03F3E">
        <w:rPr>
          <w:rFonts w:ascii="Times New Roman" w:hAnsi="Times New Roman"/>
          <w:color w:val="000000" w:themeColor="text1"/>
          <w:sz w:val="16"/>
          <w:szCs w:val="16"/>
        </w:rPr>
        <w:softHyphen/>
        <w:t>давшие штурмовиков 62-го шап. уже в 30-40 км до аэродрома Боровское в рай</w:t>
      </w:r>
      <w:r w:rsidRPr="00D03F3E">
        <w:rPr>
          <w:rFonts w:ascii="Times New Roman" w:hAnsi="Times New Roman"/>
          <w:color w:val="000000" w:themeColor="text1"/>
          <w:sz w:val="16"/>
          <w:szCs w:val="16"/>
        </w:rPr>
        <w:softHyphen/>
        <w:t>оне Сельцо вступили в воздушный бой с труппой 4-6 Рад 190. 3 ходе воздушного боя замполит полка м-р Любимов, ко-мэск к-н Цагойко и мл. л-т Непокрытое сбили по одному "фокке-вульфу".</w:t>
      </w:r>
    </w:p>
    <w:p w14:paraId="1192134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Самоотверженные действия истреби</w:t>
      </w:r>
      <w:r w:rsidRPr="00D03F3E">
        <w:rPr>
          <w:rFonts w:ascii="Times New Roman" w:hAnsi="Times New Roman"/>
          <w:color w:val="000000" w:themeColor="text1"/>
          <w:sz w:val="16"/>
          <w:szCs w:val="16"/>
        </w:rPr>
        <w:softHyphen/>
        <w:t>телей прикрытия дали возможность чет</w:t>
      </w:r>
      <w:r w:rsidRPr="00D03F3E">
        <w:rPr>
          <w:rFonts w:ascii="Times New Roman" w:hAnsi="Times New Roman"/>
          <w:color w:val="000000" w:themeColor="text1"/>
          <w:sz w:val="16"/>
          <w:szCs w:val="16"/>
        </w:rPr>
        <w:softHyphen/>
        <w:t>верке мл лейтенанта Егорова развер</w:t>
      </w:r>
      <w:r w:rsidRPr="00D03F3E">
        <w:rPr>
          <w:rFonts w:ascii="Times New Roman" w:hAnsi="Times New Roman"/>
          <w:color w:val="000000" w:themeColor="text1"/>
          <w:sz w:val="16"/>
          <w:szCs w:val="16"/>
        </w:rPr>
        <w:softHyphen/>
        <w:t>нуться в боевой порядок ив 1 9 20 ата</w:t>
      </w:r>
      <w:r w:rsidRPr="00D03F3E">
        <w:rPr>
          <w:rFonts w:ascii="Times New Roman" w:hAnsi="Times New Roman"/>
          <w:color w:val="000000" w:themeColor="text1"/>
          <w:sz w:val="16"/>
          <w:szCs w:val="16"/>
        </w:rPr>
        <w:softHyphen/>
        <w:t>ковать в одном заходе самолеты про</w:t>
      </w:r>
      <w:r w:rsidRPr="00D03F3E">
        <w:rPr>
          <w:rFonts w:ascii="Times New Roman" w:hAnsi="Times New Roman"/>
          <w:color w:val="000000" w:themeColor="text1"/>
          <w:sz w:val="16"/>
          <w:szCs w:val="16"/>
        </w:rPr>
        <w:softHyphen/>
        <w:t>тивника, преимущественно двухмоторные истребители Ме 110, на открытых стоян</w:t>
      </w:r>
      <w:r w:rsidRPr="00D03F3E">
        <w:rPr>
          <w:rFonts w:ascii="Times New Roman" w:hAnsi="Times New Roman"/>
          <w:color w:val="000000" w:themeColor="text1"/>
          <w:sz w:val="16"/>
          <w:szCs w:val="16"/>
        </w:rPr>
        <w:softHyphen/>
        <w:t>ках на южной, северной и западной ок</w:t>
      </w:r>
      <w:r w:rsidRPr="00D03F3E">
        <w:rPr>
          <w:rFonts w:ascii="Times New Roman" w:hAnsi="Times New Roman"/>
          <w:color w:val="000000" w:themeColor="text1"/>
          <w:sz w:val="16"/>
          <w:szCs w:val="16"/>
        </w:rPr>
        <w:softHyphen/>
        <w:t>раинах аэродрома Боровское. По на</w:t>
      </w:r>
      <w:r w:rsidRPr="00D03F3E">
        <w:rPr>
          <w:rFonts w:ascii="Times New Roman" w:hAnsi="Times New Roman"/>
          <w:color w:val="000000" w:themeColor="text1"/>
          <w:sz w:val="16"/>
          <w:szCs w:val="16"/>
        </w:rPr>
        <w:softHyphen/>
        <w:t>блюдениям воздушных стрелков "...весь груз высыпали на стоянки". Отмечались прямые попадания авиабомб и РС в са</w:t>
      </w:r>
      <w:r w:rsidRPr="00D03F3E">
        <w:rPr>
          <w:rFonts w:ascii="Times New Roman" w:hAnsi="Times New Roman"/>
          <w:color w:val="000000" w:themeColor="text1"/>
          <w:sz w:val="16"/>
          <w:szCs w:val="16"/>
        </w:rPr>
        <w:softHyphen/>
        <w:t>молеты. Всею было уничтожено и по</w:t>
      </w:r>
      <w:r w:rsidRPr="00D03F3E">
        <w:rPr>
          <w:rFonts w:ascii="Times New Roman" w:hAnsi="Times New Roman"/>
          <w:color w:val="000000" w:themeColor="text1"/>
          <w:sz w:val="16"/>
          <w:szCs w:val="16"/>
        </w:rPr>
        <w:softHyphen/>
        <w:t>вреждено до 18-20 самолетов и 3 круп</w:t>
      </w:r>
      <w:r w:rsidRPr="00D03F3E">
        <w:rPr>
          <w:rFonts w:ascii="Times New Roman" w:hAnsi="Times New Roman"/>
          <w:color w:val="000000" w:themeColor="text1"/>
          <w:sz w:val="16"/>
          <w:szCs w:val="16"/>
        </w:rPr>
        <w:softHyphen/>
        <w:t>нокалиберных зенитных установки.</w:t>
      </w:r>
    </w:p>
    <w:p w14:paraId="2BFA9B1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Через пять минут на аэродром Боров</w:t>
      </w:r>
      <w:r w:rsidRPr="00D03F3E">
        <w:rPr>
          <w:rFonts w:ascii="Times New Roman" w:hAnsi="Times New Roman"/>
          <w:color w:val="000000" w:themeColor="text1"/>
          <w:sz w:val="16"/>
          <w:szCs w:val="16"/>
        </w:rPr>
        <w:softHyphen/>
        <w:t>ское вышло звено 312-го шап (ст. л-т Ал</w:t>
      </w:r>
      <w:r w:rsidRPr="00D03F3E">
        <w:rPr>
          <w:rFonts w:ascii="Times New Roman" w:hAnsi="Times New Roman"/>
          <w:color w:val="000000" w:themeColor="text1"/>
          <w:sz w:val="16"/>
          <w:szCs w:val="16"/>
        </w:rPr>
        <w:softHyphen/>
        <w:t>феров, к-н Захаров и мл. л-т Якунин). Штурмовики "разгрузились" по стоянкам на юго-восточной окраине аэродрома, где находилось до 8 самолетов, ангаром и жилым постройкам. В результате уда</w:t>
      </w:r>
      <w:r w:rsidRPr="00D03F3E">
        <w:rPr>
          <w:rFonts w:ascii="Times New Roman" w:hAnsi="Times New Roman"/>
          <w:color w:val="000000" w:themeColor="text1"/>
          <w:sz w:val="16"/>
          <w:szCs w:val="16"/>
        </w:rPr>
        <w:softHyphen/>
        <w:t>ра удалось повредить 3 самолета про</w:t>
      </w:r>
      <w:r w:rsidRPr="00D03F3E">
        <w:rPr>
          <w:rFonts w:ascii="Times New Roman" w:hAnsi="Times New Roman"/>
          <w:color w:val="000000" w:themeColor="text1"/>
          <w:sz w:val="16"/>
          <w:szCs w:val="16"/>
        </w:rPr>
        <w:softHyphen/>
        <w:t>тивника, уничтожить одну зенитную ус</w:t>
      </w:r>
      <w:r w:rsidRPr="00D03F3E">
        <w:rPr>
          <w:rFonts w:ascii="Times New Roman" w:hAnsi="Times New Roman"/>
          <w:color w:val="000000" w:themeColor="text1"/>
          <w:sz w:val="16"/>
          <w:szCs w:val="16"/>
        </w:rPr>
        <w:softHyphen/>
        <w:t>тановку и разрушить одно двухэтажное здание.</w:t>
      </w:r>
    </w:p>
    <w:p w14:paraId="481D2E8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Фотоконтроль результатов повторно</w:t>
      </w:r>
      <w:r w:rsidRPr="00D03F3E">
        <w:rPr>
          <w:rFonts w:ascii="Times New Roman" w:hAnsi="Times New Roman"/>
          <w:color w:val="000000" w:themeColor="text1"/>
          <w:sz w:val="16"/>
          <w:szCs w:val="16"/>
        </w:rPr>
        <w:softHyphen/>
        <w:t>го налета на аэродром Боровское "не производился по метеоусловиям в райо</w:t>
      </w:r>
      <w:r w:rsidRPr="00D03F3E">
        <w:rPr>
          <w:rFonts w:ascii="Times New Roman" w:hAnsi="Times New Roman"/>
          <w:color w:val="000000" w:themeColor="text1"/>
          <w:sz w:val="16"/>
          <w:szCs w:val="16"/>
        </w:rPr>
        <w:softHyphen/>
        <w:t>не целей".</w:t>
      </w:r>
    </w:p>
    <w:p w14:paraId="228DE09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докладам экипажей на отходе от аэродрома на высоте 70 м патрулиро</w:t>
      </w:r>
      <w:r w:rsidRPr="00D03F3E">
        <w:rPr>
          <w:rFonts w:ascii="Times New Roman" w:hAnsi="Times New Roman"/>
          <w:color w:val="000000" w:themeColor="text1"/>
          <w:sz w:val="16"/>
          <w:szCs w:val="16"/>
        </w:rPr>
        <w:softHyphen/>
        <w:t>вали два ФВ 190 и один Ме 109, которые атаковали штурмовиков. Всего было про</w:t>
      </w:r>
      <w:r w:rsidRPr="00D03F3E">
        <w:rPr>
          <w:rFonts w:ascii="Times New Roman" w:hAnsi="Times New Roman"/>
          <w:color w:val="000000" w:themeColor="text1"/>
          <w:sz w:val="16"/>
          <w:szCs w:val="16"/>
        </w:rPr>
        <w:softHyphen/>
        <w:t>ведено до пяти атак. В ходе боя воздуш</w:t>
      </w:r>
      <w:r w:rsidRPr="00D03F3E">
        <w:rPr>
          <w:rFonts w:ascii="Times New Roman" w:hAnsi="Times New Roman"/>
          <w:color w:val="000000" w:themeColor="text1"/>
          <w:sz w:val="16"/>
          <w:szCs w:val="16"/>
        </w:rPr>
        <w:softHyphen/>
        <w:t>ный стрелок Берещенко подбил один "мессершмитт", а истребители прикры</w:t>
      </w:r>
      <w:r w:rsidRPr="00D03F3E">
        <w:rPr>
          <w:rFonts w:ascii="Times New Roman" w:hAnsi="Times New Roman"/>
          <w:color w:val="000000" w:themeColor="text1"/>
          <w:sz w:val="16"/>
          <w:szCs w:val="16"/>
        </w:rPr>
        <w:softHyphen/>
        <w:t>тия завалили "фоккер", который "упал и сгорел в районе аэродрома".</w:t>
      </w:r>
    </w:p>
    <w:p w14:paraId="37ED862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Воздушный бой на отходе от аэро</w:t>
      </w:r>
      <w:r w:rsidRPr="00D03F3E">
        <w:rPr>
          <w:rFonts w:ascii="Times New Roman" w:hAnsi="Times New Roman"/>
          <w:color w:val="000000" w:themeColor="text1"/>
          <w:sz w:val="16"/>
          <w:szCs w:val="16"/>
        </w:rPr>
        <w:softHyphen/>
        <w:t>дрома вели и экипажи 62-го шап, но им пришлось значительно тяжелее, так как истребители 122-го иап были связанывоздушным боем истребителями против</w:t>
      </w:r>
      <w:r w:rsidRPr="00D03F3E">
        <w:rPr>
          <w:rFonts w:ascii="Times New Roman" w:hAnsi="Times New Roman"/>
          <w:color w:val="000000" w:themeColor="text1"/>
          <w:sz w:val="16"/>
          <w:szCs w:val="16"/>
        </w:rPr>
        <w:softHyphen/>
        <w:t>ника. Из этой группы на аэродром выле</w:t>
      </w:r>
      <w:r w:rsidRPr="00D03F3E">
        <w:rPr>
          <w:rFonts w:ascii="Times New Roman" w:hAnsi="Times New Roman"/>
          <w:color w:val="000000" w:themeColor="text1"/>
          <w:sz w:val="16"/>
          <w:szCs w:val="16"/>
        </w:rPr>
        <w:softHyphen/>
        <w:t>та Новое Село вернулся только мл. л-т Севастьянов.</w:t>
      </w:r>
    </w:p>
    <w:p w14:paraId="2E41423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Огнем истребителей люфтваффе был подбит Ил-2 мл. лейтенанта Шаповало</w:t>
      </w:r>
      <w:r w:rsidRPr="00D03F3E">
        <w:rPr>
          <w:rFonts w:ascii="Times New Roman" w:hAnsi="Times New Roman"/>
          <w:color w:val="000000" w:themeColor="text1"/>
          <w:sz w:val="16"/>
          <w:szCs w:val="16"/>
        </w:rPr>
        <w:softHyphen/>
        <w:t>ва. Несмотря на тяжелые повреждения самолета, летчику удалось перетянуть за линию фронта и совершить вынужден</w:t>
      </w:r>
      <w:r w:rsidRPr="00D03F3E">
        <w:rPr>
          <w:rFonts w:ascii="Times New Roman" w:hAnsi="Times New Roman"/>
          <w:color w:val="000000" w:themeColor="text1"/>
          <w:sz w:val="16"/>
          <w:szCs w:val="16"/>
        </w:rPr>
        <w:softHyphen/>
        <w:t>ную посадку в 2 км севернее ст. Алфе</w:t>
      </w:r>
      <w:r w:rsidRPr="00D03F3E">
        <w:rPr>
          <w:rFonts w:ascii="Times New Roman" w:hAnsi="Times New Roman"/>
          <w:color w:val="000000" w:themeColor="text1"/>
          <w:sz w:val="16"/>
          <w:szCs w:val="16"/>
        </w:rPr>
        <w:softHyphen/>
        <w:t>рова (р-н Издешково). При посадке са</w:t>
      </w:r>
      <w:r w:rsidRPr="00D03F3E">
        <w:rPr>
          <w:rFonts w:ascii="Times New Roman" w:hAnsi="Times New Roman"/>
          <w:color w:val="000000" w:themeColor="text1"/>
          <w:sz w:val="16"/>
          <w:szCs w:val="16"/>
        </w:rPr>
        <w:softHyphen/>
        <w:t>молет был разбит, но экипаж остался цел и вскоре прибыл в свой полк.</w:t>
      </w:r>
    </w:p>
    <w:p w14:paraId="189617F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Ведущий группы командир звена мл. л-т Егоров и ст. л-т Панфилов соверши</w:t>
      </w:r>
      <w:r w:rsidRPr="00D03F3E">
        <w:rPr>
          <w:rFonts w:ascii="Times New Roman" w:hAnsi="Times New Roman"/>
          <w:color w:val="000000" w:themeColor="text1"/>
          <w:sz w:val="16"/>
          <w:szCs w:val="16"/>
        </w:rPr>
        <w:softHyphen/>
        <w:t>ли вынужденные посадки на аэродром Двоевка. Их самолеты имели значитель</w:t>
      </w:r>
      <w:r w:rsidRPr="00D03F3E">
        <w:rPr>
          <w:rFonts w:ascii="Times New Roman" w:hAnsi="Times New Roman"/>
          <w:color w:val="000000" w:themeColor="text1"/>
          <w:sz w:val="16"/>
          <w:szCs w:val="16"/>
        </w:rPr>
        <w:softHyphen/>
        <w:t>ные повреждения от огня истребителей и зенитных средств. На Ил-2 Егорова было "перебито правое колесо шасси", разбит обтекатель левого шасси, повреж</w:t>
      </w:r>
      <w:r w:rsidRPr="00D03F3E">
        <w:rPr>
          <w:rFonts w:ascii="Times New Roman" w:hAnsi="Times New Roman"/>
          <w:color w:val="000000" w:themeColor="text1"/>
          <w:sz w:val="16"/>
          <w:szCs w:val="16"/>
        </w:rPr>
        <w:softHyphen/>
        <w:t>дена воздушная система, пробита ло</w:t>
      </w:r>
      <w:r w:rsidRPr="00D03F3E">
        <w:rPr>
          <w:rFonts w:ascii="Times New Roman" w:hAnsi="Times New Roman"/>
          <w:color w:val="000000" w:themeColor="text1"/>
          <w:sz w:val="16"/>
          <w:szCs w:val="16"/>
        </w:rPr>
        <w:softHyphen/>
        <w:t>пасть винта, в плоскостях насчитывалось до 8-10 пулевых и снарядных пробоин. У самолета Панфилова были пробиты мас</w:t>
      </w:r>
      <w:r w:rsidRPr="00D03F3E">
        <w:rPr>
          <w:rFonts w:ascii="Times New Roman" w:hAnsi="Times New Roman"/>
          <w:color w:val="000000" w:themeColor="text1"/>
          <w:sz w:val="16"/>
          <w:szCs w:val="16"/>
        </w:rPr>
        <w:softHyphen/>
        <w:t>ляный бак и воздушная система, разбит снарядный ящик левой пушки, в плоско</w:t>
      </w:r>
      <w:r w:rsidRPr="00D03F3E">
        <w:rPr>
          <w:rFonts w:ascii="Times New Roman" w:hAnsi="Times New Roman"/>
          <w:color w:val="000000" w:themeColor="text1"/>
          <w:sz w:val="16"/>
          <w:szCs w:val="16"/>
        </w:rPr>
        <w:softHyphen/>
        <w:t>стях имелось до 20-25 пробоин. Воздуш</w:t>
      </w:r>
      <w:r w:rsidRPr="00D03F3E">
        <w:rPr>
          <w:rFonts w:ascii="Times New Roman" w:hAnsi="Times New Roman"/>
          <w:color w:val="000000" w:themeColor="text1"/>
          <w:sz w:val="16"/>
          <w:szCs w:val="16"/>
        </w:rPr>
        <w:softHyphen/>
        <w:t>ный стрелок ст. сержант Масленников в бою получил тяжелое ранение и сразу же после посадки отправлен в госпиталь при БАО аэродрома Двоевка.</w:t>
      </w:r>
    </w:p>
    <w:p w14:paraId="51222C5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Экипажам 198-го шап в этот день по</w:t>
      </w:r>
      <w:r w:rsidRPr="00D03F3E">
        <w:rPr>
          <w:rFonts w:ascii="Times New Roman" w:hAnsi="Times New Roman"/>
          <w:color w:val="000000" w:themeColor="text1"/>
          <w:sz w:val="16"/>
          <w:szCs w:val="16"/>
        </w:rPr>
        <w:softHyphen/>
        <w:t>везло больше, чем другим группам. Ис</w:t>
      </w:r>
      <w:r w:rsidRPr="00D03F3E">
        <w:rPr>
          <w:rFonts w:ascii="Times New Roman" w:hAnsi="Times New Roman"/>
          <w:color w:val="000000" w:themeColor="text1"/>
          <w:sz w:val="16"/>
          <w:szCs w:val="16"/>
        </w:rPr>
        <w:softHyphen/>
        <w:t>требители прикрытия их бросили - "...6 Як-1 от 172-го иап, сопровождали до Рос</w:t>
      </w:r>
      <w:r w:rsidRPr="00D03F3E">
        <w:rPr>
          <w:rFonts w:ascii="Times New Roman" w:hAnsi="Times New Roman"/>
          <w:color w:val="000000" w:themeColor="text1"/>
          <w:sz w:val="16"/>
          <w:szCs w:val="16"/>
        </w:rPr>
        <w:softHyphen/>
        <w:t>ла вля, при сильном огне из Рославля от</w:t>
      </w:r>
      <w:r w:rsidRPr="00D03F3E">
        <w:rPr>
          <w:rFonts w:ascii="Times New Roman" w:hAnsi="Times New Roman"/>
          <w:color w:val="000000" w:themeColor="text1"/>
          <w:sz w:val="16"/>
          <w:szCs w:val="16"/>
        </w:rPr>
        <w:softHyphen/>
        <w:t>валили влево, и далее их экипажи не ви</w:t>
      </w:r>
      <w:r w:rsidRPr="00D03F3E">
        <w:rPr>
          <w:rFonts w:ascii="Times New Roman" w:hAnsi="Times New Roman"/>
          <w:color w:val="000000" w:themeColor="text1"/>
          <w:sz w:val="16"/>
          <w:szCs w:val="16"/>
        </w:rPr>
        <w:softHyphen/>
        <w:t>дели", но истребители люфтваффе на об</w:t>
      </w:r>
      <w:r w:rsidRPr="00D03F3E">
        <w:rPr>
          <w:rFonts w:ascii="Times New Roman" w:hAnsi="Times New Roman"/>
          <w:color w:val="000000" w:themeColor="text1"/>
          <w:sz w:val="16"/>
          <w:szCs w:val="16"/>
        </w:rPr>
        <w:softHyphen/>
        <w:t>ратном маршруте не встретились. Обо</w:t>
      </w:r>
      <w:r w:rsidRPr="00D03F3E">
        <w:rPr>
          <w:rFonts w:ascii="Times New Roman" w:hAnsi="Times New Roman"/>
          <w:color w:val="000000" w:themeColor="text1"/>
          <w:sz w:val="16"/>
          <w:szCs w:val="16"/>
        </w:rPr>
        <w:softHyphen/>
        <w:t>шлось. Только от огня МЗА два штурмо</w:t>
      </w:r>
      <w:r w:rsidRPr="00D03F3E">
        <w:rPr>
          <w:rFonts w:ascii="Times New Roman" w:hAnsi="Times New Roman"/>
          <w:color w:val="000000" w:themeColor="text1"/>
          <w:sz w:val="16"/>
          <w:szCs w:val="16"/>
        </w:rPr>
        <w:softHyphen/>
        <w:t>вика получили незначительные повреж</w:t>
      </w:r>
      <w:r w:rsidRPr="00D03F3E">
        <w:rPr>
          <w:rFonts w:ascii="Times New Roman" w:hAnsi="Times New Roman"/>
          <w:color w:val="000000" w:themeColor="text1"/>
          <w:sz w:val="16"/>
          <w:szCs w:val="16"/>
        </w:rPr>
        <w:softHyphen/>
        <w:t>дения.</w:t>
      </w:r>
    </w:p>
    <w:p w14:paraId="270C7FC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явное завышение потерь противника экипажами штурмовиков и прикрывающих истребителей, штаб 233-й шад доложил наверх, что в течение 6 мая на аэродромах Шаталово и Боров</w:t>
      </w:r>
      <w:r w:rsidRPr="00D03F3E">
        <w:rPr>
          <w:rFonts w:ascii="Times New Roman" w:hAnsi="Times New Roman"/>
          <w:color w:val="000000" w:themeColor="text1"/>
          <w:sz w:val="16"/>
          <w:szCs w:val="16"/>
        </w:rPr>
        <w:softHyphen/>
        <w:t>ское было уничтожено и повреждено до 45 самолетов, взорван склад с горючим, сожжены два бензозаправщика, разру</w:t>
      </w:r>
      <w:r w:rsidRPr="00D03F3E">
        <w:rPr>
          <w:rFonts w:ascii="Times New Roman" w:hAnsi="Times New Roman"/>
          <w:color w:val="000000" w:themeColor="text1"/>
          <w:sz w:val="16"/>
          <w:szCs w:val="16"/>
        </w:rPr>
        <w:softHyphen/>
        <w:t>шен один ангар, убито и ранено до 60 человек летно-технического состава. Правда, при этом была сделана оговор</w:t>
      </w:r>
      <w:r w:rsidRPr="00D03F3E">
        <w:rPr>
          <w:rFonts w:ascii="Times New Roman" w:hAnsi="Times New Roman"/>
          <w:color w:val="000000" w:themeColor="text1"/>
          <w:sz w:val="16"/>
          <w:szCs w:val="16"/>
        </w:rPr>
        <w:softHyphen/>
        <w:t>ка, "...результат работы по аэродромам Шаталово и Боровское 6.05.43г. требу-ег проверки".</w:t>
      </w:r>
    </w:p>
    <w:p w14:paraId="258F555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этою, на станции Стодолище экипажами 1 98-го шап было разбито 8 вагонов, сожжен один склад с горючим, уничтожено до 28 автомашин и 5 под</w:t>
      </w:r>
      <w:r w:rsidRPr="00D03F3E">
        <w:rPr>
          <w:rFonts w:ascii="Times New Roman" w:hAnsi="Times New Roman"/>
          <w:color w:val="000000" w:themeColor="text1"/>
          <w:sz w:val="16"/>
          <w:szCs w:val="16"/>
        </w:rPr>
        <w:softHyphen/>
        <w:t>вод.</w:t>
      </w:r>
    </w:p>
    <w:p w14:paraId="06C9556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воздушных боях истребителями и штурмовиками дивизии в течение дня были сбиты два ФВ 190, один Ме 109 и один Ме 110. Истребители прикрытия потеряли один "Як". Безвозвратные потери диви</w:t>
      </w:r>
      <w:r w:rsidRPr="00D03F3E">
        <w:rPr>
          <w:rFonts w:ascii="Times New Roman" w:hAnsi="Times New Roman"/>
          <w:color w:val="000000" w:themeColor="text1"/>
          <w:sz w:val="16"/>
          <w:szCs w:val="16"/>
        </w:rPr>
        <w:softHyphen/>
        <w:t>зии в штурмовиках составили три само</w:t>
      </w:r>
      <w:r w:rsidRPr="00D03F3E">
        <w:rPr>
          <w:rFonts w:ascii="Times New Roman" w:hAnsi="Times New Roman"/>
          <w:color w:val="000000" w:themeColor="text1"/>
          <w:sz w:val="16"/>
          <w:szCs w:val="16"/>
        </w:rPr>
        <w:softHyphen/>
        <w:t>лета Ил-2, один летчик и один воздуш</w:t>
      </w:r>
      <w:r w:rsidRPr="00D03F3E">
        <w:rPr>
          <w:rFonts w:ascii="Times New Roman" w:hAnsi="Times New Roman"/>
          <w:color w:val="000000" w:themeColor="text1"/>
          <w:sz w:val="16"/>
          <w:szCs w:val="16"/>
        </w:rPr>
        <w:softHyphen/>
        <w:t>ный стрелок.</w:t>
      </w:r>
    </w:p>
    <w:p w14:paraId="74DE1AB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Отметим, что в условиях скоротечно</w:t>
      </w:r>
      <w:r w:rsidRPr="00D03F3E">
        <w:rPr>
          <w:rFonts w:ascii="Times New Roman" w:hAnsi="Times New Roman"/>
          <w:color w:val="000000" w:themeColor="text1"/>
          <w:sz w:val="16"/>
          <w:szCs w:val="16"/>
        </w:rPr>
        <w:softHyphen/>
        <w:t>сти ударов и массированного зенитного огня завышение потерь противника лет</w:t>
      </w:r>
      <w:r w:rsidRPr="00D03F3E">
        <w:rPr>
          <w:rFonts w:ascii="Times New Roman" w:hAnsi="Times New Roman"/>
          <w:color w:val="000000" w:themeColor="text1"/>
          <w:sz w:val="16"/>
          <w:szCs w:val="16"/>
        </w:rPr>
        <w:softHyphen/>
        <w:t>чиками и воздушными стрелками вполне естественно.</w:t>
      </w:r>
    </w:p>
    <w:p w14:paraId="07B4F26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Несколько иначе был организован на</w:t>
      </w:r>
      <w:r w:rsidRPr="00D03F3E">
        <w:rPr>
          <w:rFonts w:ascii="Times New Roman" w:hAnsi="Times New Roman"/>
          <w:color w:val="000000" w:themeColor="text1"/>
          <w:sz w:val="16"/>
          <w:szCs w:val="16"/>
        </w:rPr>
        <w:softHyphen/>
        <w:t>лет штурмовиков 224-й шад на аэродро</w:t>
      </w:r>
      <w:r w:rsidRPr="00D03F3E">
        <w:rPr>
          <w:rFonts w:ascii="Times New Roman" w:hAnsi="Times New Roman"/>
          <w:color w:val="000000" w:themeColor="text1"/>
          <w:sz w:val="16"/>
          <w:szCs w:val="16"/>
        </w:rPr>
        <w:softHyphen/>
        <w:t>мы Сеща и Брянск. По аэродрому Сеща должны были действовать экипажи 565-го и 996-го шап, а по аэродрому Брянск ~~ 571-го шап. По каждому аэродрому предполагалось задействовать три груп</w:t>
      </w:r>
      <w:r w:rsidRPr="00D03F3E">
        <w:rPr>
          <w:rFonts w:ascii="Times New Roman" w:hAnsi="Times New Roman"/>
          <w:color w:val="000000" w:themeColor="text1"/>
          <w:sz w:val="16"/>
          <w:szCs w:val="16"/>
        </w:rPr>
        <w:softHyphen/>
        <w:t>пы по 6 Ил-2 в каждой: две — ударные и одна — подавления огневых средств ПВО. На маршруте к цели штурмовики следо</w:t>
      </w:r>
      <w:r w:rsidRPr="00D03F3E">
        <w:rPr>
          <w:rFonts w:ascii="Times New Roman" w:hAnsi="Times New Roman"/>
          <w:color w:val="000000" w:themeColor="text1"/>
          <w:sz w:val="16"/>
          <w:szCs w:val="16"/>
        </w:rPr>
        <w:softHyphen/>
        <w:t>вали в боевом порядке колонна шесте</w:t>
      </w:r>
      <w:r w:rsidRPr="00D03F3E">
        <w:rPr>
          <w:rFonts w:ascii="Times New Roman" w:hAnsi="Times New Roman"/>
          <w:color w:val="000000" w:themeColor="text1"/>
          <w:sz w:val="16"/>
          <w:szCs w:val="16"/>
        </w:rPr>
        <w:softHyphen/>
        <w:t>рок. Истребители прикрытия от 303-й над выделялись в соотношении один к одно</w:t>
      </w:r>
      <w:r w:rsidRPr="00D03F3E">
        <w:rPr>
          <w:rFonts w:ascii="Times New Roman" w:hAnsi="Times New Roman"/>
          <w:color w:val="000000" w:themeColor="text1"/>
          <w:sz w:val="16"/>
          <w:szCs w:val="16"/>
        </w:rPr>
        <w:softHyphen/>
        <w:t>му и составляли три группы непосред</w:t>
      </w:r>
      <w:r w:rsidRPr="00D03F3E">
        <w:rPr>
          <w:rFonts w:ascii="Times New Roman" w:hAnsi="Times New Roman"/>
          <w:color w:val="000000" w:themeColor="text1"/>
          <w:sz w:val="16"/>
          <w:szCs w:val="16"/>
        </w:rPr>
        <w:softHyphen/>
        <w:t>ственною сопровождения — по числу групп Ил-2. Встреча штурмовиков с ис</w:t>
      </w:r>
      <w:r w:rsidRPr="00D03F3E">
        <w:rPr>
          <w:rFonts w:ascii="Times New Roman" w:hAnsi="Times New Roman"/>
          <w:color w:val="000000" w:themeColor="text1"/>
          <w:sz w:val="16"/>
          <w:szCs w:val="16"/>
        </w:rPr>
        <w:softHyphen/>
        <w:t>требительным эскортом и построение об</w:t>
      </w:r>
      <w:r w:rsidRPr="00D03F3E">
        <w:rPr>
          <w:rFonts w:ascii="Times New Roman" w:hAnsi="Times New Roman"/>
          <w:color w:val="000000" w:themeColor="text1"/>
          <w:sz w:val="16"/>
          <w:szCs w:val="16"/>
        </w:rPr>
        <w:softHyphen/>
        <w:t>щего боевого порядка предполагалось над аэродромами базирования истреби</w:t>
      </w:r>
      <w:r w:rsidRPr="00D03F3E">
        <w:rPr>
          <w:rFonts w:ascii="Times New Roman" w:hAnsi="Times New Roman"/>
          <w:color w:val="000000" w:themeColor="text1"/>
          <w:sz w:val="16"/>
          <w:szCs w:val="16"/>
        </w:rPr>
        <w:softHyphen/>
        <w:t>телей.</w:t>
      </w:r>
    </w:p>
    <w:p w14:paraId="43C4D56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Положительной стороной плана явля</w:t>
      </w:r>
      <w:r w:rsidRPr="00D03F3E">
        <w:rPr>
          <w:rFonts w:ascii="Times New Roman" w:hAnsi="Times New Roman"/>
          <w:color w:val="000000" w:themeColor="text1"/>
          <w:sz w:val="16"/>
          <w:szCs w:val="16"/>
        </w:rPr>
        <w:softHyphen/>
        <w:t>ется выделение отдель</w:t>
      </w:r>
      <w:r w:rsidRPr="00D03F3E">
        <w:rPr>
          <w:rFonts w:ascii="Times New Roman" w:hAnsi="Times New Roman"/>
          <w:color w:val="000000" w:themeColor="text1"/>
          <w:sz w:val="16"/>
          <w:szCs w:val="16"/>
        </w:rPr>
        <w:softHyphen/>
        <w:t>ных шестерок Ил-2 для уничтожения матчасти и подавления зенитных средств, дейсгвовав-ших по целям на аэро</w:t>
      </w:r>
      <w:r w:rsidRPr="00D03F3E">
        <w:rPr>
          <w:rFonts w:ascii="Times New Roman" w:hAnsi="Times New Roman"/>
          <w:color w:val="000000" w:themeColor="text1"/>
          <w:sz w:val="16"/>
          <w:szCs w:val="16"/>
        </w:rPr>
        <w:softHyphen/>
        <w:t>дроме почти одновре</w:t>
      </w:r>
      <w:r w:rsidRPr="00D03F3E">
        <w:rPr>
          <w:rFonts w:ascii="Times New Roman" w:hAnsi="Times New Roman"/>
          <w:color w:val="000000" w:themeColor="text1"/>
          <w:sz w:val="16"/>
          <w:szCs w:val="16"/>
        </w:rPr>
        <w:softHyphen/>
        <w:t>менно. Несомненно, он был несколько сло</w:t>
      </w:r>
      <w:r w:rsidRPr="00D03F3E">
        <w:rPr>
          <w:rFonts w:ascii="Times New Roman" w:hAnsi="Times New Roman"/>
          <w:color w:val="000000" w:themeColor="text1"/>
          <w:sz w:val="16"/>
          <w:szCs w:val="16"/>
        </w:rPr>
        <w:softHyphen/>
        <w:t>жен в исполнении, но в принципе позволял обеспечить лучшее со-отношение потерь противника к своим потерям при ударе по аэродрому и в случае нападения истребите</w:t>
      </w:r>
      <w:r w:rsidRPr="00D03F3E">
        <w:rPr>
          <w:rFonts w:ascii="Times New Roman" w:hAnsi="Times New Roman"/>
          <w:color w:val="000000" w:themeColor="text1"/>
          <w:sz w:val="16"/>
          <w:szCs w:val="16"/>
        </w:rPr>
        <w:softHyphen/>
        <w:t>лей люфтваффе.</w:t>
      </w:r>
    </w:p>
    <w:p w14:paraId="713BA4C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Предполетная под</w:t>
      </w:r>
      <w:r w:rsidRPr="00D03F3E">
        <w:rPr>
          <w:rFonts w:ascii="Times New Roman" w:hAnsi="Times New Roman"/>
          <w:color w:val="000000" w:themeColor="text1"/>
          <w:sz w:val="16"/>
          <w:szCs w:val="16"/>
        </w:rPr>
        <w:softHyphen/>
        <w:t>готовка экипажей про</w:t>
      </w:r>
      <w:r w:rsidRPr="00D03F3E">
        <w:rPr>
          <w:rFonts w:ascii="Times New Roman" w:hAnsi="Times New Roman"/>
          <w:color w:val="000000" w:themeColor="text1"/>
          <w:sz w:val="16"/>
          <w:szCs w:val="16"/>
        </w:rPr>
        <w:softHyphen/>
        <w:t>водилась совместно с ведущими групп истре</w:t>
      </w:r>
      <w:r w:rsidRPr="00D03F3E">
        <w:rPr>
          <w:rFonts w:ascii="Times New Roman" w:hAnsi="Times New Roman"/>
          <w:color w:val="000000" w:themeColor="text1"/>
          <w:sz w:val="16"/>
          <w:szCs w:val="16"/>
        </w:rPr>
        <w:softHyphen/>
        <w:t>бителей прикрытия. Особое внимание обращалось на изучение маршрута, ус</w:t>
      </w:r>
      <w:r w:rsidRPr="00D03F3E">
        <w:rPr>
          <w:rFonts w:ascii="Times New Roman" w:hAnsi="Times New Roman"/>
          <w:color w:val="000000" w:themeColor="text1"/>
          <w:sz w:val="16"/>
          <w:szCs w:val="16"/>
        </w:rPr>
        <w:softHyphen/>
        <w:t>ловных сигналов взаимодействия на мар</w:t>
      </w:r>
      <w:r w:rsidRPr="00D03F3E">
        <w:rPr>
          <w:rFonts w:ascii="Times New Roman" w:hAnsi="Times New Roman"/>
          <w:color w:val="000000" w:themeColor="text1"/>
          <w:sz w:val="16"/>
          <w:szCs w:val="16"/>
        </w:rPr>
        <w:softHyphen/>
        <w:t>шруте, над целью и на обратном пути. Использовались ящики с песком и маке</w:t>
      </w:r>
      <w:r w:rsidRPr="00D03F3E">
        <w:rPr>
          <w:rFonts w:ascii="Times New Roman" w:hAnsi="Times New Roman"/>
          <w:color w:val="000000" w:themeColor="text1"/>
          <w:sz w:val="16"/>
          <w:szCs w:val="16"/>
        </w:rPr>
        <w:softHyphen/>
        <w:t>тами аэродромов, схемы боевого строя на маршруте, схемы атаки аэродромов и фоюпланшеты аэродромов. В заклю</w:t>
      </w:r>
      <w:r w:rsidRPr="00D03F3E">
        <w:rPr>
          <w:rFonts w:ascii="Times New Roman" w:hAnsi="Times New Roman"/>
          <w:color w:val="000000" w:themeColor="text1"/>
          <w:sz w:val="16"/>
          <w:szCs w:val="16"/>
        </w:rPr>
        <w:softHyphen/>
        <w:t>чение был проведен проигрыш полета.</w:t>
      </w:r>
    </w:p>
    <w:p w14:paraId="182DA11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18.00 5 мая 15 Ил-2 565-го шап перебазировались с аэродрома Зубово на аэродром подскока Вязовая. На аэро</w:t>
      </w:r>
      <w:r w:rsidRPr="00D03F3E">
        <w:rPr>
          <w:rFonts w:ascii="Times New Roman" w:hAnsi="Times New Roman"/>
          <w:color w:val="000000" w:themeColor="text1"/>
          <w:sz w:val="16"/>
          <w:szCs w:val="16"/>
        </w:rPr>
        <w:softHyphen/>
        <w:t>дром Вязовая перелетели и 6 экипажей от 996-го шап, "приданных для совмест</w:t>
      </w:r>
      <w:r w:rsidRPr="00D03F3E">
        <w:rPr>
          <w:rFonts w:ascii="Times New Roman" w:hAnsi="Times New Roman"/>
          <w:color w:val="000000" w:themeColor="text1"/>
          <w:sz w:val="16"/>
          <w:szCs w:val="16"/>
        </w:rPr>
        <w:softHyphen/>
        <w:t>ных действий с 565 шоп".</w:t>
      </w:r>
    </w:p>
    <w:p w14:paraId="2989C2C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Порядок нанесения удара по аэро</w:t>
      </w:r>
      <w:r w:rsidRPr="00D03F3E">
        <w:rPr>
          <w:rFonts w:ascii="Times New Roman" w:hAnsi="Times New Roman"/>
          <w:color w:val="000000" w:themeColor="text1"/>
          <w:sz w:val="16"/>
          <w:szCs w:val="16"/>
        </w:rPr>
        <w:softHyphen/>
        <w:t>дрому Сеща предполагался следующим. После взлета в 4.00-4.10 штурмовики идут к аэродрому базирования 168-го иап Железинки, где происходит встреча с прикрывающими группами истребите</w:t>
      </w:r>
      <w:r w:rsidRPr="00D03F3E">
        <w:rPr>
          <w:rFonts w:ascii="Times New Roman" w:hAnsi="Times New Roman"/>
          <w:color w:val="000000" w:themeColor="text1"/>
          <w:sz w:val="16"/>
          <w:szCs w:val="16"/>
        </w:rPr>
        <w:softHyphen/>
        <w:t>лей. Затем труппы выходят к исходному пункту маршрута Сухиничи и далее по маршруту ст. Баррикадная, аэродром Сеща.</w:t>
      </w:r>
    </w:p>
    <w:p w14:paraId="25011FF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главе колонны идет первая удар</w:t>
      </w:r>
      <w:r w:rsidRPr="00D03F3E">
        <w:rPr>
          <w:rFonts w:ascii="Times New Roman" w:hAnsi="Times New Roman"/>
          <w:color w:val="000000" w:themeColor="text1"/>
          <w:sz w:val="16"/>
          <w:szCs w:val="16"/>
        </w:rPr>
        <w:softHyphen/>
        <w:t>ная шестерка от 565-го шап (ведущий штурман полка к-н Г.Д. Корниенко). В ее задачу входило уничтожение самолетов на юго-западной окраине аэродрома.</w:t>
      </w:r>
    </w:p>
    <w:p w14:paraId="3733DC8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Следом за ней идет группа в составе 6 Ил-2 от 996-го шап (ведущий командир эскадрильи ст. л-т А.И. Маринкин), кото</w:t>
      </w:r>
      <w:r w:rsidRPr="00D03F3E">
        <w:rPr>
          <w:rFonts w:ascii="Times New Roman" w:hAnsi="Times New Roman"/>
          <w:color w:val="000000" w:themeColor="text1"/>
          <w:sz w:val="16"/>
          <w:szCs w:val="16"/>
        </w:rPr>
        <w:softHyphen/>
        <w:t>рая перед аэродромом "расходится в сто</w:t>
      </w:r>
      <w:r w:rsidRPr="00D03F3E">
        <w:rPr>
          <w:rFonts w:ascii="Times New Roman" w:hAnsi="Times New Roman"/>
          <w:color w:val="000000" w:themeColor="text1"/>
          <w:sz w:val="16"/>
          <w:szCs w:val="16"/>
        </w:rPr>
        <w:softHyphen/>
        <w:t>роны и подавляет МЗА, чем обеспечи</w:t>
      </w:r>
      <w:r w:rsidRPr="00D03F3E">
        <w:rPr>
          <w:rFonts w:ascii="Times New Roman" w:hAnsi="Times New Roman"/>
          <w:color w:val="000000" w:themeColor="text1"/>
          <w:sz w:val="16"/>
          <w:szCs w:val="16"/>
        </w:rPr>
        <w:softHyphen/>
        <w:t>вает безопасность работы ударных групп". Замыкает колонну вторая удар</w:t>
      </w:r>
      <w:r w:rsidRPr="00D03F3E">
        <w:rPr>
          <w:rFonts w:ascii="Times New Roman" w:hAnsi="Times New Roman"/>
          <w:color w:val="000000" w:themeColor="text1"/>
          <w:sz w:val="16"/>
          <w:szCs w:val="16"/>
        </w:rPr>
        <w:softHyphen/>
        <w:t>ная шестерка от 565-го шап (ведущий командир эскадрильи ст. л-т Н.В. Деми</w:t>
      </w:r>
      <w:r w:rsidRPr="00D03F3E">
        <w:rPr>
          <w:rFonts w:ascii="Times New Roman" w:hAnsi="Times New Roman"/>
          <w:color w:val="000000" w:themeColor="text1"/>
          <w:sz w:val="16"/>
          <w:szCs w:val="16"/>
        </w:rPr>
        <w:softHyphen/>
        <w:t>дов). Ее целями являлись самолеты на северо-западной окраине аэродрома.</w:t>
      </w:r>
    </w:p>
    <w:p w14:paraId="5BA0482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Выход на аэродром планировался с таким расчетом, чтобы первый заход выполнить с северо-восточной стороны аэродрома, а повторный — с юго-запад</w:t>
      </w:r>
      <w:r w:rsidRPr="00D03F3E">
        <w:rPr>
          <w:rFonts w:ascii="Times New Roman" w:hAnsi="Times New Roman"/>
          <w:color w:val="000000" w:themeColor="text1"/>
          <w:sz w:val="16"/>
          <w:szCs w:val="16"/>
        </w:rPr>
        <w:softHyphen/>
        <w:t>ной стороны.</w:t>
      </w:r>
    </w:p>
    <w:p w14:paraId="2EFC54C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плану накануне удара в период с 18.00 до 19.00 6 Ил-2 от 566-го шап и 6 Як-7 от 18-го гиоп должны были произ</w:t>
      </w:r>
      <w:r w:rsidRPr="00D03F3E">
        <w:rPr>
          <w:rFonts w:ascii="Times New Roman" w:hAnsi="Times New Roman"/>
          <w:color w:val="000000" w:themeColor="text1"/>
          <w:sz w:val="16"/>
          <w:szCs w:val="16"/>
        </w:rPr>
        <w:softHyphen/>
        <w:t>вести разведку боем аэродрома Олсу-фьево с задачей установить наличие на нем самолетов и попутно произвести его штурмовку.</w:t>
      </w:r>
    </w:p>
    <w:p w14:paraId="214D765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Вылетевшие на задание экипажи са</w:t>
      </w:r>
      <w:r w:rsidRPr="00D03F3E">
        <w:rPr>
          <w:rFonts w:ascii="Times New Roman" w:hAnsi="Times New Roman"/>
          <w:color w:val="000000" w:themeColor="text1"/>
          <w:sz w:val="16"/>
          <w:szCs w:val="16"/>
        </w:rPr>
        <w:softHyphen/>
        <w:t>молетов противника на аэродроме не обнаружили — только три ж.д. цистерны в тупике да на южной окраине аэродро</w:t>
      </w:r>
      <w:r w:rsidRPr="00D03F3E">
        <w:rPr>
          <w:rFonts w:ascii="Times New Roman" w:hAnsi="Times New Roman"/>
          <w:color w:val="000000" w:themeColor="text1"/>
          <w:sz w:val="16"/>
          <w:szCs w:val="16"/>
        </w:rPr>
        <w:softHyphen/>
        <w:t>ма до 20 ящиков в штабелях (предполо</w:t>
      </w:r>
      <w:r w:rsidRPr="00D03F3E">
        <w:rPr>
          <w:rFonts w:ascii="Times New Roman" w:hAnsi="Times New Roman"/>
          <w:color w:val="000000" w:themeColor="text1"/>
          <w:sz w:val="16"/>
          <w:szCs w:val="16"/>
        </w:rPr>
        <w:softHyphen/>
        <w:t>жительно с боеприпасами). По нашим штурмовикам и истребителям вели силь</w:t>
      </w:r>
      <w:r w:rsidRPr="00D03F3E">
        <w:rPr>
          <w:rFonts w:ascii="Times New Roman" w:hAnsi="Times New Roman"/>
          <w:color w:val="000000" w:themeColor="text1"/>
          <w:sz w:val="16"/>
          <w:szCs w:val="16"/>
        </w:rPr>
        <w:softHyphen/>
        <w:t>ный огонь 3-4 батареи МЗА: с платфор</w:t>
      </w:r>
      <w:r w:rsidRPr="00D03F3E">
        <w:rPr>
          <w:rFonts w:ascii="Times New Roman" w:hAnsi="Times New Roman"/>
          <w:color w:val="000000" w:themeColor="text1"/>
          <w:sz w:val="16"/>
          <w:szCs w:val="16"/>
        </w:rPr>
        <w:softHyphen/>
        <w:t>мы у ж.д. моста через р. Десна и с юго-восточной окраины аэродрома. Одна пара Ил-2 подавляла зенитный огонь, а остальные — бомбили и штурмовали ан</w:t>
      </w:r>
      <w:r w:rsidRPr="00D03F3E">
        <w:rPr>
          <w:rFonts w:ascii="Times New Roman" w:hAnsi="Times New Roman"/>
          <w:color w:val="000000" w:themeColor="text1"/>
          <w:sz w:val="16"/>
          <w:szCs w:val="16"/>
        </w:rPr>
        <w:softHyphen/>
        <w:t>гары и склад с боеприпасами. В резуль</w:t>
      </w:r>
      <w:r w:rsidRPr="00D03F3E">
        <w:rPr>
          <w:rFonts w:ascii="Times New Roman" w:hAnsi="Times New Roman"/>
          <w:color w:val="000000" w:themeColor="text1"/>
          <w:sz w:val="16"/>
          <w:szCs w:val="16"/>
        </w:rPr>
        <w:softHyphen/>
        <w:t>тате прямых попаданий в два ангара воз</w:t>
      </w:r>
      <w:r w:rsidRPr="00D03F3E">
        <w:rPr>
          <w:rFonts w:ascii="Times New Roman" w:hAnsi="Times New Roman"/>
          <w:color w:val="000000" w:themeColor="text1"/>
          <w:sz w:val="16"/>
          <w:szCs w:val="16"/>
        </w:rPr>
        <w:softHyphen/>
        <w:t>никли пожары. По характеру дыма и пла</w:t>
      </w:r>
      <w:r w:rsidRPr="00D03F3E">
        <w:rPr>
          <w:rFonts w:ascii="Times New Roman" w:hAnsi="Times New Roman"/>
          <w:color w:val="000000" w:themeColor="text1"/>
          <w:sz w:val="16"/>
          <w:szCs w:val="16"/>
        </w:rPr>
        <w:softHyphen/>
        <w:t>мени можно предположив, что в анга</w:t>
      </w:r>
      <w:r w:rsidRPr="00D03F3E">
        <w:rPr>
          <w:rFonts w:ascii="Times New Roman" w:hAnsi="Times New Roman"/>
          <w:color w:val="000000" w:themeColor="text1"/>
          <w:sz w:val="16"/>
          <w:szCs w:val="16"/>
        </w:rPr>
        <w:softHyphen/>
        <w:t>рах, находились самолеты. В районе, где располагались ящики, наблюдался взрыв большой силы. На отходе от аэродрома "...экипажи наблюдали пожар и клубы черного дыма на расстоянии 30-40 км".</w:t>
      </w:r>
    </w:p>
    <w:p w14:paraId="33C1C0D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 зенитного огня Ил-2 мл. лейтенан</w:t>
      </w:r>
      <w:r w:rsidRPr="00D03F3E">
        <w:rPr>
          <w:rFonts w:ascii="Times New Roman" w:hAnsi="Times New Roman"/>
          <w:color w:val="000000" w:themeColor="text1"/>
          <w:sz w:val="16"/>
          <w:szCs w:val="16"/>
        </w:rPr>
        <w:softHyphen/>
        <w:t>та Г.М. Суворова (воздушный стрелок старшина Лихтина) получил повреждения и на обратном маршруте пилот сел на вынужденную в районе ст. Баррикадная. Остальные экипажи благополучно про</w:t>
      </w:r>
      <w:r w:rsidRPr="00D03F3E">
        <w:rPr>
          <w:rFonts w:ascii="Times New Roman" w:hAnsi="Times New Roman"/>
          <w:color w:val="000000" w:themeColor="text1"/>
          <w:sz w:val="16"/>
          <w:szCs w:val="16"/>
        </w:rPr>
        <w:softHyphen/>
        <w:t>извели посадку на своем аэродроме.</w:t>
      </w:r>
    </w:p>
    <w:p w14:paraId="2B10051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Утро 6 мая оказалось для команда воздушным боем истребителями против</w:t>
      </w:r>
      <w:r w:rsidRPr="00D03F3E">
        <w:rPr>
          <w:rFonts w:ascii="Times New Roman" w:hAnsi="Times New Roman"/>
          <w:color w:val="000000" w:themeColor="text1"/>
          <w:sz w:val="16"/>
          <w:szCs w:val="16"/>
        </w:rPr>
        <w:softHyphen/>
        <w:t>ника. Из этой группы на аэродром выле</w:t>
      </w:r>
      <w:r w:rsidRPr="00D03F3E">
        <w:rPr>
          <w:rFonts w:ascii="Times New Roman" w:hAnsi="Times New Roman"/>
          <w:color w:val="000000" w:themeColor="text1"/>
          <w:sz w:val="16"/>
          <w:szCs w:val="16"/>
        </w:rPr>
        <w:softHyphen/>
        <w:t>та Новое Село вернулся только мл. л-т Севастьянов.</w:t>
      </w:r>
    </w:p>
    <w:p w14:paraId="20A14A4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Огнем истребителей люфтваффе был подбит Ил-2 мл. лейтенанта Шаповало</w:t>
      </w:r>
      <w:r w:rsidRPr="00D03F3E">
        <w:rPr>
          <w:rFonts w:ascii="Times New Roman" w:hAnsi="Times New Roman"/>
          <w:color w:val="000000" w:themeColor="text1"/>
          <w:sz w:val="16"/>
          <w:szCs w:val="16"/>
        </w:rPr>
        <w:softHyphen/>
        <w:t>ва. Несмотря на тяжелые повреждения самолета, летчику удалось перетянуть за линию фронта и совершить вынужден</w:t>
      </w:r>
      <w:r w:rsidRPr="00D03F3E">
        <w:rPr>
          <w:rFonts w:ascii="Times New Roman" w:hAnsi="Times New Roman"/>
          <w:color w:val="000000" w:themeColor="text1"/>
          <w:sz w:val="16"/>
          <w:szCs w:val="16"/>
        </w:rPr>
        <w:softHyphen/>
        <w:t>ную посадку в 2 км севернее ст. Алфе</w:t>
      </w:r>
      <w:r w:rsidRPr="00D03F3E">
        <w:rPr>
          <w:rFonts w:ascii="Times New Roman" w:hAnsi="Times New Roman"/>
          <w:color w:val="000000" w:themeColor="text1"/>
          <w:sz w:val="16"/>
          <w:szCs w:val="16"/>
        </w:rPr>
        <w:softHyphen/>
        <w:t>рова (р-н Издешково). При посадке са</w:t>
      </w:r>
      <w:r w:rsidRPr="00D03F3E">
        <w:rPr>
          <w:rFonts w:ascii="Times New Roman" w:hAnsi="Times New Roman"/>
          <w:color w:val="000000" w:themeColor="text1"/>
          <w:sz w:val="16"/>
          <w:szCs w:val="16"/>
        </w:rPr>
        <w:softHyphen/>
        <w:t>молет был разбит, но экипаж остался цел и вскоре прибыл в свой полк.</w:t>
      </w:r>
    </w:p>
    <w:p w14:paraId="66AA913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Ведущий группы командир звена мл. л-т Егоров и ст. л-т Панфилов соверши</w:t>
      </w:r>
      <w:r w:rsidRPr="00D03F3E">
        <w:rPr>
          <w:rFonts w:ascii="Times New Roman" w:hAnsi="Times New Roman"/>
          <w:color w:val="000000" w:themeColor="text1"/>
          <w:sz w:val="16"/>
          <w:szCs w:val="16"/>
        </w:rPr>
        <w:softHyphen/>
        <w:t>ли вынужденные посадки на аэродром Двоевка. Их самолеты имели значитель</w:t>
      </w:r>
      <w:r w:rsidRPr="00D03F3E">
        <w:rPr>
          <w:rFonts w:ascii="Times New Roman" w:hAnsi="Times New Roman"/>
          <w:color w:val="000000" w:themeColor="text1"/>
          <w:sz w:val="16"/>
          <w:szCs w:val="16"/>
        </w:rPr>
        <w:softHyphen/>
        <w:t>ные повреждения от огня истребителей и зенитных средств. На Ил-2 Егорова было "перебито правое колесо шасси", разбит обтекатель левого шасси, повреж</w:t>
      </w:r>
      <w:r w:rsidRPr="00D03F3E">
        <w:rPr>
          <w:rFonts w:ascii="Times New Roman" w:hAnsi="Times New Roman"/>
          <w:color w:val="000000" w:themeColor="text1"/>
          <w:sz w:val="16"/>
          <w:szCs w:val="16"/>
        </w:rPr>
        <w:softHyphen/>
        <w:t>дена воздушная система, пробита ло</w:t>
      </w:r>
      <w:r w:rsidRPr="00D03F3E">
        <w:rPr>
          <w:rFonts w:ascii="Times New Roman" w:hAnsi="Times New Roman"/>
          <w:color w:val="000000" w:themeColor="text1"/>
          <w:sz w:val="16"/>
          <w:szCs w:val="16"/>
        </w:rPr>
        <w:softHyphen/>
        <w:t>пасть винта, в плоскостях насчитывалось до 8-10 пулевых и снарядных пробоин. У самолета Панфилова были пробиты мас</w:t>
      </w:r>
      <w:r w:rsidRPr="00D03F3E">
        <w:rPr>
          <w:rFonts w:ascii="Times New Roman" w:hAnsi="Times New Roman"/>
          <w:color w:val="000000" w:themeColor="text1"/>
          <w:sz w:val="16"/>
          <w:szCs w:val="16"/>
        </w:rPr>
        <w:softHyphen/>
        <w:t>ляный бак и воздушная система, разбит снарядный ящик левой пушки, в плоско</w:t>
      </w:r>
      <w:r w:rsidRPr="00D03F3E">
        <w:rPr>
          <w:rFonts w:ascii="Times New Roman" w:hAnsi="Times New Roman"/>
          <w:color w:val="000000" w:themeColor="text1"/>
          <w:sz w:val="16"/>
          <w:szCs w:val="16"/>
        </w:rPr>
        <w:softHyphen/>
        <w:t>стях имелось до 20-25 пробоин. Воздуш</w:t>
      </w:r>
      <w:r w:rsidRPr="00D03F3E">
        <w:rPr>
          <w:rFonts w:ascii="Times New Roman" w:hAnsi="Times New Roman"/>
          <w:color w:val="000000" w:themeColor="text1"/>
          <w:sz w:val="16"/>
          <w:szCs w:val="16"/>
        </w:rPr>
        <w:softHyphen/>
        <w:t>ный стрелок ст. сержант Масленников в бою получил тяжелое ранение и сразу же после посадки отправлен в госпиталь при БАО аэродрома Двоевка.</w:t>
      </w:r>
    </w:p>
    <w:p w14:paraId="38915FD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Экипажам 198-го шап в этот день по</w:t>
      </w:r>
      <w:r w:rsidRPr="00D03F3E">
        <w:rPr>
          <w:rFonts w:ascii="Times New Roman" w:hAnsi="Times New Roman"/>
          <w:color w:val="000000" w:themeColor="text1"/>
          <w:sz w:val="16"/>
          <w:szCs w:val="16"/>
        </w:rPr>
        <w:softHyphen/>
        <w:t>везло больше, чем другим группам. Ис</w:t>
      </w:r>
      <w:r w:rsidRPr="00D03F3E">
        <w:rPr>
          <w:rFonts w:ascii="Times New Roman" w:hAnsi="Times New Roman"/>
          <w:color w:val="000000" w:themeColor="text1"/>
          <w:sz w:val="16"/>
          <w:szCs w:val="16"/>
        </w:rPr>
        <w:softHyphen/>
        <w:t>требители прикрытия их бросили — "...6 Як-1 от 172-го иап, сопровождали до Рос-лавля, при сильном огне из Рославля от</w:t>
      </w:r>
      <w:r w:rsidRPr="00D03F3E">
        <w:rPr>
          <w:rFonts w:ascii="Times New Roman" w:hAnsi="Times New Roman"/>
          <w:color w:val="000000" w:themeColor="text1"/>
          <w:sz w:val="16"/>
          <w:szCs w:val="16"/>
        </w:rPr>
        <w:softHyphen/>
        <w:t>валили влево, и далее их экипажи не ви</w:t>
      </w:r>
      <w:r w:rsidRPr="00D03F3E">
        <w:rPr>
          <w:rFonts w:ascii="Times New Roman" w:hAnsi="Times New Roman"/>
          <w:color w:val="000000" w:themeColor="text1"/>
          <w:sz w:val="16"/>
          <w:szCs w:val="16"/>
        </w:rPr>
        <w:softHyphen/>
        <w:t>дели", но истребители люфтваффе на об</w:t>
      </w:r>
      <w:r w:rsidRPr="00D03F3E">
        <w:rPr>
          <w:rFonts w:ascii="Times New Roman" w:hAnsi="Times New Roman"/>
          <w:color w:val="000000" w:themeColor="text1"/>
          <w:sz w:val="16"/>
          <w:szCs w:val="16"/>
        </w:rPr>
        <w:softHyphen/>
        <w:t>ратном маршруте не встретились. Обо</w:t>
      </w:r>
      <w:r w:rsidRPr="00D03F3E">
        <w:rPr>
          <w:rFonts w:ascii="Times New Roman" w:hAnsi="Times New Roman"/>
          <w:color w:val="000000" w:themeColor="text1"/>
          <w:sz w:val="16"/>
          <w:szCs w:val="16"/>
        </w:rPr>
        <w:softHyphen/>
        <w:t>шлось. Только от огня МЗА два штурмо</w:t>
      </w:r>
      <w:r w:rsidRPr="00D03F3E">
        <w:rPr>
          <w:rFonts w:ascii="Times New Roman" w:hAnsi="Times New Roman"/>
          <w:color w:val="000000" w:themeColor="text1"/>
          <w:sz w:val="16"/>
          <w:szCs w:val="16"/>
        </w:rPr>
        <w:softHyphen/>
        <w:t>вика получили незначительные повреж</w:t>
      </w:r>
      <w:r w:rsidRPr="00D03F3E">
        <w:rPr>
          <w:rFonts w:ascii="Times New Roman" w:hAnsi="Times New Roman"/>
          <w:color w:val="000000" w:themeColor="text1"/>
          <w:sz w:val="16"/>
          <w:szCs w:val="16"/>
        </w:rPr>
        <w:softHyphen/>
        <w:t>дения.</w:t>
      </w:r>
    </w:p>
    <w:p w14:paraId="3C15AC4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явное завышение потерь противника экипажами штурмовиков и прикрывающих истребителей, штаб 233-й шад доложил наверх, что в течение 6 мая на аэродромах Шаталово и Боров</w:t>
      </w:r>
      <w:r w:rsidRPr="00D03F3E">
        <w:rPr>
          <w:rFonts w:ascii="Times New Roman" w:hAnsi="Times New Roman"/>
          <w:color w:val="000000" w:themeColor="text1"/>
          <w:sz w:val="16"/>
          <w:szCs w:val="16"/>
        </w:rPr>
        <w:softHyphen/>
        <w:t>ское было уничтожено и повреждено до 45 самолетов, взорван склад с горючим, сожжены два бензозаправщика, разру</w:t>
      </w:r>
      <w:r w:rsidRPr="00D03F3E">
        <w:rPr>
          <w:rFonts w:ascii="Times New Roman" w:hAnsi="Times New Roman"/>
          <w:color w:val="000000" w:themeColor="text1"/>
          <w:sz w:val="16"/>
          <w:szCs w:val="16"/>
        </w:rPr>
        <w:softHyphen/>
        <w:t>шен один ангар, убито и ранено до 60 человек летно-технического состава. Правда, при этом была сделана оговор</w:t>
      </w:r>
      <w:r w:rsidRPr="00D03F3E">
        <w:rPr>
          <w:rFonts w:ascii="Times New Roman" w:hAnsi="Times New Roman"/>
          <w:color w:val="000000" w:themeColor="text1"/>
          <w:sz w:val="16"/>
          <w:szCs w:val="16"/>
        </w:rPr>
        <w:softHyphen/>
        <w:t>ка: "...результат работы по аэродромам Шаталово и Боровское 6.05.43г. требу</w:t>
      </w:r>
      <w:r w:rsidRPr="00D03F3E">
        <w:rPr>
          <w:rFonts w:ascii="Times New Roman" w:hAnsi="Times New Roman"/>
          <w:color w:val="000000" w:themeColor="text1"/>
          <w:sz w:val="16"/>
          <w:szCs w:val="16"/>
        </w:rPr>
        <w:softHyphen/>
        <w:t>ет проверки".</w:t>
      </w:r>
    </w:p>
    <w:p w14:paraId="267F8B2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этого, ча станции Стодолище экипажами 198то шап было разбито 8 вагонов, сожжен один склад с горючим, уничтожено до 28 автомашин и 5 под</w:t>
      </w:r>
      <w:r w:rsidRPr="00D03F3E">
        <w:rPr>
          <w:rFonts w:ascii="Times New Roman" w:hAnsi="Times New Roman"/>
          <w:color w:val="000000" w:themeColor="text1"/>
          <w:sz w:val="16"/>
          <w:szCs w:val="16"/>
        </w:rPr>
        <w:softHyphen/>
        <w:t>вод.</w:t>
      </w:r>
    </w:p>
    <w:p w14:paraId="0609D26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воздушных боях истребителями и штурмовиками дивизии в течение дня были сбиты два ФВ 190, один Ме 109 и один Ме 110. Истребители прикрытия потеряли один "Як". Безвозвратные потери диви</w:t>
      </w:r>
      <w:r w:rsidRPr="00D03F3E">
        <w:rPr>
          <w:rFonts w:ascii="Times New Roman" w:hAnsi="Times New Roman"/>
          <w:color w:val="000000" w:themeColor="text1"/>
          <w:sz w:val="16"/>
          <w:szCs w:val="16"/>
        </w:rPr>
        <w:softHyphen/>
        <w:t>зии в штурмовиках составили три само</w:t>
      </w:r>
      <w:r w:rsidRPr="00D03F3E">
        <w:rPr>
          <w:rFonts w:ascii="Times New Roman" w:hAnsi="Times New Roman"/>
          <w:color w:val="000000" w:themeColor="text1"/>
          <w:sz w:val="16"/>
          <w:szCs w:val="16"/>
        </w:rPr>
        <w:softHyphen/>
        <w:t>лета Ил-2, один летчик и один воздуш</w:t>
      </w:r>
      <w:r w:rsidRPr="00D03F3E">
        <w:rPr>
          <w:rFonts w:ascii="Times New Roman" w:hAnsi="Times New Roman"/>
          <w:color w:val="000000" w:themeColor="text1"/>
          <w:sz w:val="16"/>
          <w:szCs w:val="16"/>
        </w:rPr>
        <w:softHyphen/>
        <w:t>ный стрелок.</w:t>
      </w:r>
    </w:p>
    <w:p w14:paraId="41D86EB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Отметим, что в условиях скоротечно</w:t>
      </w:r>
      <w:r w:rsidRPr="00D03F3E">
        <w:rPr>
          <w:rFonts w:ascii="Times New Roman" w:hAnsi="Times New Roman"/>
          <w:color w:val="000000" w:themeColor="text1"/>
          <w:sz w:val="16"/>
          <w:szCs w:val="16"/>
        </w:rPr>
        <w:softHyphen/>
        <w:t>сти ударов и массированного зенитного огня завышение потерь противника лет</w:t>
      </w:r>
      <w:r w:rsidRPr="00D03F3E">
        <w:rPr>
          <w:rFonts w:ascii="Times New Roman" w:hAnsi="Times New Roman"/>
          <w:color w:val="000000" w:themeColor="text1"/>
          <w:sz w:val="16"/>
          <w:szCs w:val="16"/>
        </w:rPr>
        <w:softHyphen/>
        <w:t>чиками и воздушными стрелками вполне естественно.</w:t>
      </w:r>
    </w:p>
    <w:p w14:paraId="271D158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Несколько иначе был организован на</w:t>
      </w:r>
      <w:r w:rsidRPr="00D03F3E">
        <w:rPr>
          <w:rFonts w:ascii="Times New Roman" w:hAnsi="Times New Roman"/>
          <w:color w:val="000000" w:themeColor="text1"/>
          <w:sz w:val="16"/>
          <w:szCs w:val="16"/>
        </w:rPr>
        <w:softHyphen/>
        <w:t>лет штурмовиков 224-й шад на аэродро</w:t>
      </w:r>
      <w:r w:rsidRPr="00D03F3E">
        <w:rPr>
          <w:rFonts w:ascii="Times New Roman" w:hAnsi="Times New Roman"/>
          <w:color w:val="000000" w:themeColor="text1"/>
          <w:sz w:val="16"/>
          <w:szCs w:val="16"/>
        </w:rPr>
        <w:softHyphen/>
        <w:t>мы Сеща и Брянск. По аэродрому Сеща должны были действовать экипажи 565-го и 996-го шап, а по аэродрому Брянск - 571-го шап. По каждому аэродрому предполагалось задействовать три груп</w:t>
      </w:r>
      <w:r w:rsidRPr="00D03F3E">
        <w:rPr>
          <w:rFonts w:ascii="Times New Roman" w:hAnsi="Times New Roman"/>
          <w:color w:val="000000" w:themeColor="text1"/>
          <w:sz w:val="16"/>
          <w:szCs w:val="16"/>
        </w:rPr>
        <w:softHyphen/>
        <w:t>пы по 6 Ил-2 в каждой: две — ударные и одна ~ подавления огневых средств ПВО. На маршруте к цели штурмовики следо</w:t>
      </w:r>
      <w:r w:rsidRPr="00D03F3E">
        <w:rPr>
          <w:rFonts w:ascii="Times New Roman" w:hAnsi="Times New Roman"/>
          <w:color w:val="000000" w:themeColor="text1"/>
          <w:sz w:val="16"/>
          <w:szCs w:val="16"/>
        </w:rPr>
        <w:softHyphen/>
        <w:t>вали в боевом порядке колонна шесте</w:t>
      </w:r>
      <w:r w:rsidRPr="00D03F3E">
        <w:rPr>
          <w:rFonts w:ascii="Times New Roman" w:hAnsi="Times New Roman"/>
          <w:color w:val="000000" w:themeColor="text1"/>
          <w:sz w:val="16"/>
          <w:szCs w:val="16"/>
        </w:rPr>
        <w:softHyphen/>
        <w:t xml:space="preserve">рок. Истребители прикрытия от 303-й над выделялись в </w:t>
      </w:r>
      <w:r w:rsidRPr="00D03F3E">
        <w:rPr>
          <w:rFonts w:ascii="Times New Roman" w:hAnsi="Times New Roman"/>
          <w:color w:val="000000" w:themeColor="text1"/>
          <w:sz w:val="16"/>
          <w:szCs w:val="16"/>
        </w:rPr>
        <w:lastRenderedPageBreak/>
        <w:t>соотношении один к одно</w:t>
      </w:r>
      <w:r w:rsidRPr="00D03F3E">
        <w:rPr>
          <w:rFonts w:ascii="Times New Roman" w:hAnsi="Times New Roman"/>
          <w:color w:val="000000" w:themeColor="text1"/>
          <w:sz w:val="16"/>
          <w:szCs w:val="16"/>
        </w:rPr>
        <w:softHyphen/>
        <w:t>му и составляли три группы непосред</w:t>
      </w:r>
      <w:r w:rsidRPr="00D03F3E">
        <w:rPr>
          <w:rFonts w:ascii="Times New Roman" w:hAnsi="Times New Roman"/>
          <w:color w:val="000000" w:themeColor="text1"/>
          <w:sz w:val="16"/>
          <w:szCs w:val="16"/>
        </w:rPr>
        <w:softHyphen/>
        <w:t>ственного сопровождения - по числу групп Ил-2. Встреча штурмовиков с ис</w:t>
      </w:r>
      <w:r w:rsidRPr="00D03F3E">
        <w:rPr>
          <w:rFonts w:ascii="Times New Roman" w:hAnsi="Times New Roman"/>
          <w:color w:val="000000" w:themeColor="text1"/>
          <w:sz w:val="16"/>
          <w:szCs w:val="16"/>
        </w:rPr>
        <w:softHyphen/>
        <w:t>требительным эскортом и построение об</w:t>
      </w:r>
      <w:r w:rsidRPr="00D03F3E">
        <w:rPr>
          <w:rFonts w:ascii="Times New Roman" w:hAnsi="Times New Roman"/>
          <w:color w:val="000000" w:themeColor="text1"/>
          <w:sz w:val="16"/>
          <w:szCs w:val="16"/>
        </w:rPr>
        <w:softHyphen/>
        <w:t>щего боевого порядка предполагалось над аэродромами базирования истреби</w:t>
      </w:r>
      <w:r w:rsidRPr="00D03F3E">
        <w:rPr>
          <w:rFonts w:ascii="Times New Roman" w:hAnsi="Times New Roman"/>
          <w:color w:val="000000" w:themeColor="text1"/>
          <w:sz w:val="16"/>
          <w:szCs w:val="16"/>
        </w:rPr>
        <w:softHyphen/>
        <w:t>телей.</w:t>
      </w:r>
    </w:p>
    <w:p w14:paraId="21D0108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Положительной стороной плана явля</w:t>
      </w:r>
      <w:r w:rsidRPr="00D03F3E">
        <w:rPr>
          <w:rFonts w:ascii="Times New Roman" w:hAnsi="Times New Roman"/>
          <w:color w:val="000000" w:themeColor="text1"/>
          <w:sz w:val="16"/>
          <w:szCs w:val="16"/>
        </w:rPr>
        <w:softHyphen/>
        <w:t>ется выделение отдель</w:t>
      </w:r>
      <w:r w:rsidRPr="00D03F3E">
        <w:rPr>
          <w:rFonts w:ascii="Times New Roman" w:hAnsi="Times New Roman"/>
          <w:color w:val="000000" w:themeColor="text1"/>
          <w:sz w:val="16"/>
          <w:szCs w:val="16"/>
        </w:rPr>
        <w:softHyphen/>
        <w:t>ных шестерок Ил-2 для уничтожения матчасти и подавления зенитных средств, действовав</w:t>
      </w:r>
      <w:r w:rsidRPr="00D03F3E">
        <w:rPr>
          <w:rFonts w:ascii="Times New Roman" w:hAnsi="Times New Roman"/>
          <w:color w:val="000000" w:themeColor="text1"/>
          <w:sz w:val="16"/>
          <w:szCs w:val="16"/>
        </w:rPr>
        <w:softHyphen/>
        <w:t>ших по целям на аэро</w:t>
      </w:r>
      <w:r w:rsidRPr="00D03F3E">
        <w:rPr>
          <w:rFonts w:ascii="Times New Roman" w:hAnsi="Times New Roman"/>
          <w:color w:val="000000" w:themeColor="text1"/>
          <w:sz w:val="16"/>
          <w:szCs w:val="16"/>
        </w:rPr>
        <w:softHyphen/>
        <w:t>дроме почти одновре</w:t>
      </w:r>
      <w:r w:rsidRPr="00D03F3E">
        <w:rPr>
          <w:rFonts w:ascii="Times New Roman" w:hAnsi="Times New Roman"/>
          <w:color w:val="000000" w:themeColor="text1"/>
          <w:sz w:val="16"/>
          <w:szCs w:val="16"/>
        </w:rPr>
        <w:softHyphen/>
        <w:t>менно. Несомненно, он был несколько сло</w:t>
      </w:r>
      <w:r w:rsidRPr="00D03F3E">
        <w:rPr>
          <w:rFonts w:ascii="Times New Roman" w:hAnsi="Times New Roman"/>
          <w:color w:val="000000" w:themeColor="text1"/>
          <w:sz w:val="16"/>
          <w:szCs w:val="16"/>
        </w:rPr>
        <w:softHyphen/>
        <w:t>жен в исполнении, но в принципе позволял обеспечить лучшее со-отношение потерь противника к своим потерям при ударе по аэродрому и в случае нападения истребите</w:t>
      </w:r>
      <w:r w:rsidRPr="00D03F3E">
        <w:rPr>
          <w:rFonts w:ascii="Times New Roman" w:hAnsi="Times New Roman"/>
          <w:color w:val="000000" w:themeColor="text1"/>
          <w:sz w:val="16"/>
          <w:szCs w:val="16"/>
        </w:rPr>
        <w:softHyphen/>
        <w:t>лей люфтваффе.</w:t>
      </w:r>
    </w:p>
    <w:p w14:paraId="4617944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Предполетная под</w:t>
      </w:r>
      <w:r w:rsidRPr="00D03F3E">
        <w:rPr>
          <w:rFonts w:ascii="Times New Roman" w:hAnsi="Times New Roman"/>
          <w:color w:val="000000" w:themeColor="text1"/>
          <w:sz w:val="16"/>
          <w:szCs w:val="16"/>
        </w:rPr>
        <w:softHyphen/>
        <w:t>готовка экипажей про</w:t>
      </w:r>
      <w:r w:rsidRPr="00D03F3E">
        <w:rPr>
          <w:rFonts w:ascii="Times New Roman" w:hAnsi="Times New Roman"/>
          <w:color w:val="000000" w:themeColor="text1"/>
          <w:sz w:val="16"/>
          <w:szCs w:val="16"/>
        </w:rPr>
        <w:softHyphen/>
        <w:t>водилась совместно с ведущими групп истре бителей прикрытия. Особое внимание обращалось на изучение маршрута, ус</w:t>
      </w:r>
      <w:r w:rsidRPr="00D03F3E">
        <w:rPr>
          <w:rFonts w:ascii="Times New Roman" w:hAnsi="Times New Roman"/>
          <w:color w:val="000000" w:themeColor="text1"/>
          <w:sz w:val="16"/>
          <w:szCs w:val="16"/>
        </w:rPr>
        <w:softHyphen/>
        <w:t>ловных сигналов взаимодействия на мар</w:t>
      </w:r>
      <w:r w:rsidRPr="00D03F3E">
        <w:rPr>
          <w:rFonts w:ascii="Times New Roman" w:hAnsi="Times New Roman"/>
          <w:color w:val="000000" w:themeColor="text1"/>
          <w:sz w:val="16"/>
          <w:szCs w:val="16"/>
        </w:rPr>
        <w:softHyphen/>
        <w:t>шруте, над целью и на обратном пути. Использовались ящики с песком и маке</w:t>
      </w:r>
      <w:r w:rsidRPr="00D03F3E">
        <w:rPr>
          <w:rFonts w:ascii="Times New Roman" w:hAnsi="Times New Roman"/>
          <w:color w:val="000000" w:themeColor="text1"/>
          <w:sz w:val="16"/>
          <w:szCs w:val="16"/>
        </w:rPr>
        <w:softHyphen/>
        <w:t>тами аэродромов, схемы боевого строя на маршруте, схемы атаки аэродромов и фотопланшеты аэродромов. В заклю</w:t>
      </w:r>
      <w:r w:rsidRPr="00D03F3E">
        <w:rPr>
          <w:rFonts w:ascii="Times New Roman" w:hAnsi="Times New Roman"/>
          <w:color w:val="000000" w:themeColor="text1"/>
          <w:sz w:val="16"/>
          <w:szCs w:val="16"/>
        </w:rPr>
        <w:softHyphen/>
        <w:t>чение был проведен проигрыш полета.</w:t>
      </w:r>
    </w:p>
    <w:p w14:paraId="11A0B50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18.00 5 мая 15 Ил-2 565-го шап перебазировались с аэродрома Зубово на аэродром подскока Вязовая. На аэро</w:t>
      </w:r>
      <w:r w:rsidRPr="00D03F3E">
        <w:rPr>
          <w:rFonts w:ascii="Times New Roman" w:hAnsi="Times New Roman"/>
          <w:color w:val="000000" w:themeColor="text1"/>
          <w:sz w:val="16"/>
          <w:szCs w:val="16"/>
        </w:rPr>
        <w:softHyphen/>
        <w:t>дром Вязовая перелетели и 6 экипажей от 996-го шап, "приданных для совмест</w:t>
      </w:r>
      <w:r w:rsidRPr="00D03F3E">
        <w:rPr>
          <w:rFonts w:ascii="Times New Roman" w:hAnsi="Times New Roman"/>
          <w:color w:val="000000" w:themeColor="text1"/>
          <w:sz w:val="16"/>
          <w:szCs w:val="16"/>
        </w:rPr>
        <w:softHyphen/>
        <w:t>ных действий с 565 шап".</w:t>
      </w:r>
    </w:p>
    <w:p w14:paraId="5D4D6E5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Порядок нанесения удара по аэро</w:t>
      </w:r>
      <w:r w:rsidRPr="00D03F3E">
        <w:rPr>
          <w:rFonts w:ascii="Times New Roman" w:hAnsi="Times New Roman"/>
          <w:color w:val="000000" w:themeColor="text1"/>
          <w:sz w:val="16"/>
          <w:szCs w:val="16"/>
        </w:rPr>
        <w:softHyphen/>
        <w:t>дрому Сеща предполагался следующим. После взлета в 4.00-4.10 штурмовики идут к аэродрому базирования 168-го иап Железинки, где происходит встреча с прикрывающими группами истребите</w:t>
      </w:r>
      <w:r w:rsidRPr="00D03F3E">
        <w:rPr>
          <w:rFonts w:ascii="Times New Roman" w:hAnsi="Times New Roman"/>
          <w:color w:val="000000" w:themeColor="text1"/>
          <w:sz w:val="16"/>
          <w:szCs w:val="16"/>
        </w:rPr>
        <w:softHyphen/>
        <w:t>лей. Затем группы выходят к исходному пункту маршрута Сухиничи и далее по маршруту ст. Баррикадная, аэродром Сеща.</w:t>
      </w:r>
    </w:p>
    <w:p w14:paraId="7E8FAEB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главе колонны идет первая удар</w:t>
      </w:r>
      <w:r w:rsidRPr="00D03F3E">
        <w:rPr>
          <w:rFonts w:ascii="Times New Roman" w:hAnsi="Times New Roman"/>
          <w:color w:val="000000" w:themeColor="text1"/>
          <w:sz w:val="16"/>
          <w:szCs w:val="16"/>
        </w:rPr>
        <w:softHyphen/>
        <w:t>ная шестерка от 565-го шап (ведущий штурман полка к-н Г.Д. Корниенко). В ее задачу входило уничтожение самолетов на юго-западной окраине аэродрома.</w:t>
      </w:r>
    </w:p>
    <w:p w14:paraId="692D8C0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Следом за ней идет группа в составе 6 Ил-2 от 996-го шап (ведущий командир эскадрильи ст. л-т А.И. Маринкин), кото</w:t>
      </w:r>
      <w:r w:rsidRPr="00D03F3E">
        <w:rPr>
          <w:rFonts w:ascii="Times New Roman" w:hAnsi="Times New Roman"/>
          <w:color w:val="000000" w:themeColor="text1"/>
          <w:sz w:val="16"/>
          <w:szCs w:val="16"/>
        </w:rPr>
        <w:softHyphen/>
        <w:t>рая перед аэродромом "расходится в сто</w:t>
      </w:r>
      <w:r w:rsidRPr="00D03F3E">
        <w:rPr>
          <w:rFonts w:ascii="Times New Roman" w:hAnsi="Times New Roman"/>
          <w:color w:val="000000" w:themeColor="text1"/>
          <w:sz w:val="16"/>
          <w:szCs w:val="16"/>
        </w:rPr>
        <w:softHyphen/>
        <w:t>роны и подавляет МЗА, чем обеспечи</w:t>
      </w:r>
      <w:r w:rsidRPr="00D03F3E">
        <w:rPr>
          <w:rFonts w:ascii="Times New Roman" w:hAnsi="Times New Roman"/>
          <w:color w:val="000000" w:themeColor="text1"/>
          <w:sz w:val="16"/>
          <w:szCs w:val="16"/>
        </w:rPr>
        <w:softHyphen/>
        <w:t>вает безопасность работы ударных групп". Замыкает колонну вторая удар</w:t>
      </w:r>
      <w:r w:rsidRPr="00D03F3E">
        <w:rPr>
          <w:rFonts w:ascii="Times New Roman" w:hAnsi="Times New Roman"/>
          <w:color w:val="000000" w:themeColor="text1"/>
          <w:sz w:val="16"/>
          <w:szCs w:val="16"/>
        </w:rPr>
        <w:softHyphen/>
        <w:t>ная шестерка от 565-го шап (ведущий командир эскадрильи ст. л-т Н.В. Деми</w:t>
      </w:r>
      <w:r w:rsidRPr="00D03F3E">
        <w:rPr>
          <w:rFonts w:ascii="Times New Roman" w:hAnsi="Times New Roman"/>
          <w:color w:val="000000" w:themeColor="text1"/>
          <w:sz w:val="16"/>
          <w:szCs w:val="16"/>
        </w:rPr>
        <w:softHyphen/>
        <w:t>дов). Ее целями являлись самолеты на северо-западной окраине аэродрома.</w:t>
      </w:r>
    </w:p>
    <w:p w14:paraId="1361A63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Выход на аэродром планировался с таким расчетом, чтобы первый заход выполнить с северо-восточной стороны аэродрома, а повторный — с юго-запад</w:t>
      </w:r>
      <w:r w:rsidRPr="00D03F3E">
        <w:rPr>
          <w:rFonts w:ascii="Times New Roman" w:hAnsi="Times New Roman"/>
          <w:color w:val="000000" w:themeColor="text1"/>
          <w:sz w:val="16"/>
          <w:szCs w:val="16"/>
        </w:rPr>
        <w:softHyphen/>
        <w:t>ной стороны.</w:t>
      </w:r>
    </w:p>
    <w:p w14:paraId="24322BE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плану накануне удара в период с 1 8.00 до 19.00 6 Ил-2 от 566-го шап и 6 Як-7 от 18-го гиап должны были произ</w:t>
      </w:r>
      <w:r w:rsidRPr="00D03F3E">
        <w:rPr>
          <w:rFonts w:ascii="Times New Roman" w:hAnsi="Times New Roman"/>
          <w:color w:val="000000" w:themeColor="text1"/>
          <w:sz w:val="16"/>
          <w:szCs w:val="16"/>
        </w:rPr>
        <w:softHyphen/>
        <w:t>вести разведку боем аэродрома Олсу-фьево с задачей установить наличие на нем самолетов и попутно произвести его штурмовку.</w:t>
      </w:r>
    </w:p>
    <w:p w14:paraId="33CAFEE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Вылетевшие на задание экипажи са</w:t>
      </w:r>
      <w:r w:rsidRPr="00D03F3E">
        <w:rPr>
          <w:rFonts w:ascii="Times New Roman" w:hAnsi="Times New Roman"/>
          <w:color w:val="000000" w:themeColor="text1"/>
          <w:sz w:val="16"/>
          <w:szCs w:val="16"/>
        </w:rPr>
        <w:softHyphen/>
        <w:t>молетов противника на аэродроме не обнаружили — только три ж.д. цистерны в тупике да на южной окраине аэродро</w:t>
      </w:r>
      <w:r w:rsidRPr="00D03F3E">
        <w:rPr>
          <w:rFonts w:ascii="Times New Roman" w:hAnsi="Times New Roman"/>
          <w:color w:val="000000" w:themeColor="text1"/>
          <w:sz w:val="16"/>
          <w:szCs w:val="16"/>
        </w:rPr>
        <w:softHyphen/>
        <w:t>ма до 20 ящиков в штабелях (предполо</w:t>
      </w:r>
      <w:r w:rsidRPr="00D03F3E">
        <w:rPr>
          <w:rFonts w:ascii="Times New Roman" w:hAnsi="Times New Roman"/>
          <w:color w:val="000000" w:themeColor="text1"/>
          <w:sz w:val="16"/>
          <w:szCs w:val="16"/>
        </w:rPr>
        <w:softHyphen/>
        <w:t>жительно с боеприпасами). По нашим штурмовикам и истребителям вели силь</w:t>
      </w:r>
      <w:r w:rsidRPr="00D03F3E">
        <w:rPr>
          <w:rFonts w:ascii="Times New Roman" w:hAnsi="Times New Roman"/>
          <w:color w:val="000000" w:themeColor="text1"/>
          <w:sz w:val="16"/>
          <w:szCs w:val="16"/>
        </w:rPr>
        <w:softHyphen/>
        <w:t>ный огонь 3-4 батареи МЗА: с платфор</w:t>
      </w:r>
      <w:r w:rsidRPr="00D03F3E">
        <w:rPr>
          <w:rFonts w:ascii="Times New Roman" w:hAnsi="Times New Roman"/>
          <w:color w:val="000000" w:themeColor="text1"/>
          <w:sz w:val="16"/>
          <w:szCs w:val="16"/>
        </w:rPr>
        <w:softHyphen/>
        <w:t>мы у ж.д. моста через р. Десна и с юго-восточной окраины аэродрома. Одна пара Ил-2 подавляла зенитный огонь, а остальные — бомбили и штурмовали ан</w:t>
      </w:r>
      <w:r w:rsidRPr="00D03F3E">
        <w:rPr>
          <w:rFonts w:ascii="Times New Roman" w:hAnsi="Times New Roman"/>
          <w:color w:val="000000" w:themeColor="text1"/>
          <w:sz w:val="16"/>
          <w:szCs w:val="16"/>
        </w:rPr>
        <w:softHyphen/>
        <w:t>гары и склад с боеприпасами. В резуль</w:t>
      </w:r>
      <w:r w:rsidRPr="00D03F3E">
        <w:rPr>
          <w:rFonts w:ascii="Times New Roman" w:hAnsi="Times New Roman"/>
          <w:color w:val="000000" w:themeColor="text1"/>
          <w:sz w:val="16"/>
          <w:szCs w:val="16"/>
        </w:rPr>
        <w:softHyphen/>
        <w:t>тате прямых попаданий в два ангара воз</w:t>
      </w:r>
      <w:r w:rsidRPr="00D03F3E">
        <w:rPr>
          <w:rFonts w:ascii="Times New Roman" w:hAnsi="Times New Roman"/>
          <w:color w:val="000000" w:themeColor="text1"/>
          <w:sz w:val="16"/>
          <w:szCs w:val="16"/>
        </w:rPr>
        <w:softHyphen/>
        <w:t>никли пожары. По характеру дыма и пла</w:t>
      </w:r>
      <w:r w:rsidRPr="00D03F3E">
        <w:rPr>
          <w:rFonts w:ascii="Times New Roman" w:hAnsi="Times New Roman"/>
          <w:color w:val="000000" w:themeColor="text1"/>
          <w:sz w:val="16"/>
          <w:szCs w:val="16"/>
        </w:rPr>
        <w:softHyphen/>
        <w:t>мени можно предположить, что в анга</w:t>
      </w:r>
      <w:r w:rsidRPr="00D03F3E">
        <w:rPr>
          <w:rFonts w:ascii="Times New Roman" w:hAnsi="Times New Roman"/>
          <w:color w:val="000000" w:themeColor="text1"/>
          <w:sz w:val="16"/>
          <w:szCs w:val="16"/>
        </w:rPr>
        <w:softHyphen/>
        <w:t>рах, находились самолеты. В районе, где располагались ящики, наблюдался взрыв большой силы. На отходе от аэродрома "...экипажи наблюдали пожар и клубы черного дыма на расстоянии 30-40 км".</w:t>
      </w:r>
    </w:p>
    <w:p w14:paraId="0DA2CB4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 зенитного огня Ил-2 мл. лейтенан</w:t>
      </w:r>
      <w:r w:rsidRPr="00D03F3E">
        <w:rPr>
          <w:rFonts w:ascii="Times New Roman" w:hAnsi="Times New Roman"/>
          <w:color w:val="000000" w:themeColor="text1"/>
          <w:sz w:val="16"/>
          <w:szCs w:val="16"/>
        </w:rPr>
        <w:softHyphen/>
        <w:t>та Г.М. Суворова (воздушный стрелок старшина Лихтина) получил повреждения и на обратном маршруте пилот сел на вынужденную в районе ст. Баррикадная. Остальные экипажи благополучно про</w:t>
      </w:r>
      <w:r w:rsidRPr="00D03F3E">
        <w:rPr>
          <w:rFonts w:ascii="Times New Roman" w:hAnsi="Times New Roman"/>
          <w:color w:val="000000" w:themeColor="text1"/>
          <w:sz w:val="16"/>
          <w:szCs w:val="16"/>
        </w:rPr>
        <w:softHyphen/>
        <w:t>извели посадку на своем аэродроме.</w:t>
      </w:r>
    </w:p>
    <w:p w14:paraId="395D1BF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Утро 6 мая оказалось для командования и экипажей 224-й шад в целом не</w:t>
      </w:r>
      <w:r w:rsidRPr="00D03F3E">
        <w:rPr>
          <w:rFonts w:ascii="Times New Roman" w:hAnsi="Times New Roman"/>
          <w:color w:val="000000" w:themeColor="text1"/>
          <w:sz w:val="16"/>
          <w:szCs w:val="16"/>
        </w:rPr>
        <w:softHyphen/>
        <w:t>удачным. План ударов по аэродромам противника "развалился" уже в первые минуты его реализации.</w:t>
      </w:r>
    </w:p>
    <w:p w14:paraId="44069CE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взлете группы капитана Корниен</w:t>
      </w:r>
      <w:r w:rsidRPr="00D03F3E">
        <w:rPr>
          <w:rFonts w:ascii="Times New Roman" w:hAnsi="Times New Roman"/>
          <w:color w:val="000000" w:themeColor="text1"/>
          <w:sz w:val="16"/>
          <w:szCs w:val="16"/>
        </w:rPr>
        <w:softHyphen/>
        <w:t>ко произошла авария. После пробега 50-75 м на Ил-2 (зав. № 1876342) ко</w:t>
      </w:r>
      <w:r w:rsidRPr="00D03F3E">
        <w:rPr>
          <w:rFonts w:ascii="Times New Roman" w:hAnsi="Times New Roman"/>
          <w:color w:val="000000" w:themeColor="text1"/>
          <w:sz w:val="16"/>
          <w:szCs w:val="16"/>
        </w:rPr>
        <w:softHyphen/>
        <w:t>мандира звена лейтенанта А.А. Варни-кова (воздушный стрелок Артемов) лоп</w:t>
      </w:r>
      <w:r w:rsidRPr="00D03F3E">
        <w:rPr>
          <w:rFonts w:ascii="Times New Roman" w:hAnsi="Times New Roman"/>
          <w:color w:val="000000" w:themeColor="text1"/>
          <w:sz w:val="16"/>
          <w:szCs w:val="16"/>
        </w:rPr>
        <w:softHyphen/>
        <w:t>нула камера левого колеса шасси. Ма</w:t>
      </w:r>
      <w:r w:rsidRPr="00D03F3E">
        <w:rPr>
          <w:rFonts w:ascii="Times New Roman" w:hAnsi="Times New Roman"/>
          <w:color w:val="000000" w:themeColor="text1"/>
          <w:sz w:val="16"/>
          <w:szCs w:val="16"/>
        </w:rPr>
        <w:softHyphen/>
        <w:t>шина резко развернулась влево. После разворота на 1 80° надломилась стойка шасси, и самолет упал на фюзеляж.</w:t>
      </w:r>
    </w:p>
    <w:p w14:paraId="4CBE69B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Вместо Варникова оперативно взле</w:t>
      </w:r>
      <w:r w:rsidRPr="00D03F3E">
        <w:rPr>
          <w:rFonts w:ascii="Times New Roman" w:hAnsi="Times New Roman"/>
          <w:color w:val="000000" w:themeColor="text1"/>
          <w:sz w:val="16"/>
          <w:szCs w:val="16"/>
        </w:rPr>
        <w:softHyphen/>
        <w:t>тел молодой летчик мл. л-т Ю.Ф. Симо</w:t>
      </w:r>
      <w:r w:rsidRPr="00D03F3E">
        <w:rPr>
          <w:rFonts w:ascii="Times New Roman" w:hAnsi="Times New Roman"/>
          <w:color w:val="000000" w:themeColor="text1"/>
          <w:sz w:val="16"/>
          <w:szCs w:val="16"/>
        </w:rPr>
        <w:softHyphen/>
        <w:t>нов, который был включен в боевой рас</w:t>
      </w:r>
      <w:r w:rsidRPr="00D03F3E">
        <w:rPr>
          <w:rFonts w:ascii="Times New Roman" w:hAnsi="Times New Roman"/>
          <w:color w:val="000000" w:themeColor="text1"/>
          <w:sz w:val="16"/>
          <w:szCs w:val="16"/>
        </w:rPr>
        <w:softHyphen/>
        <w:t>чет в качестве запасного. Это был его первый боевой вылет и, как оказалось, последний.</w:t>
      </w:r>
    </w:p>
    <w:p w14:paraId="3FEB625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Пока заменяли летчика и оттаскива</w:t>
      </w:r>
      <w:r w:rsidRPr="00D03F3E">
        <w:rPr>
          <w:rFonts w:ascii="Times New Roman" w:hAnsi="Times New Roman"/>
          <w:color w:val="000000" w:themeColor="text1"/>
          <w:sz w:val="16"/>
          <w:szCs w:val="16"/>
        </w:rPr>
        <w:softHyphen/>
        <w:t>ли в сторону разбитый самолет, взле</w:t>
      </w:r>
      <w:r w:rsidRPr="00D03F3E">
        <w:rPr>
          <w:rFonts w:ascii="Times New Roman" w:hAnsi="Times New Roman"/>
          <w:color w:val="000000" w:themeColor="text1"/>
          <w:sz w:val="16"/>
          <w:szCs w:val="16"/>
        </w:rPr>
        <w:softHyphen/>
        <w:t>тевшие экипажи первой группы кружили над аэродромом, расходуя горючее. Ос</w:t>
      </w:r>
      <w:r w:rsidRPr="00D03F3E">
        <w:rPr>
          <w:rFonts w:ascii="Times New Roman" w:hAnsi="Times New Roman"/>
          <w:color w:val="000000" w:themeColor="text1"/>
          <w:sz w:val="16"/>
          <w:szCs w:val="16"/>
        </w:rPr>
        <w:softHyphen/>
        <w:t>тальные группы с вылетом задерживались. Поэтому, как только в воздух поднялась вся группа, к-н Корниенко не стал дожи</w:t>
      </w:r>
      <w:r w:rsidRPr="00D03F3E">
        <w:rPr>
          <w:rFonts w:ascii="Times New Roman" w:hAnsi="Times New Roman"/>
          <w:color w:val="000000" w:themeColor="text1"/>
          <w:sz w:val="16"/>
          <w:szCs w:val="16"/>
        </w:rPr>
        <w:softHyphen/>
        <w:t>даться взлета остальных групп и в 4.12 ушел на аэродром Железинки. Истреби</w:t>
      </w:r>
      <w:r w:rsidRPr="00D03F3E">
        <w:rPr>
          <w:rFonts w:ascii="Times New Roman" w:hAnsi="Times New Roman"/>
          <w:color w:val="000000" w:themeColor="text1"/>
          <w:sz w:val="16"/>
          <w:szCs w:val="16"/>
        </w:rPr>
        <w:softHyphen/>
        <w:t>тели сопровождения от 168-го иап с вы</w:t>
      </w:r>
      <w:r w:rsidRPr="00D03F3E">
        <w:rPr>
          <w:rFonts w:ascii="Times New Roman" w:hAnsi="Times New Roman"/>
          <w:color w:val="000000" w:themeColor="text1"/>
          <w:sz w:val="16"/>
          <w:szCs w:val="16"/>
        </w:rPr>
        <w:softHyphen/>
        <w:t>летом замешкались, хотя штурмовики на встречу опоздали, — по сигналу две крас</w:t>
      </w:r>
      <w:r w:rsidRPr="00D03F3E">
        <w:rPr>
          <w:rFonts w:ascii="Times New Roman" w:hAnsi="Times New Roman"/>
          <w:color w:val="000000" w:themeColor="text1"/>
          <w:sz w:val="16"/>
          <w:szCs w:val="16"/>
        </w:rPr>
        <w:softHyphen/>
        <w:t>ные ракеты взлетели только два Як-7 (ве</w:t>
      </w:r>
      <w:r w:rsidRPr="00D03F3E">
        <w:rPr>
          <w:rFonts w:ascii="Times New Roman" w:hAnsi="Times New Roman"/>
          <w:color w:val="000000" w:themeColor="text1"/>
          <w:sz w:val="16"/>
          <w:szCs w:val="16"/>
        </w:rPr>
        <w:softHyphen/>
        <w:t>дущий ст. л-т Яковлев). Сделав один круг над аэродромом Железинки, Ил-2 легли на маршрут в надежде, что остальные истребители их догонят. В районе исход</w:t>
      </w:r>
      <w:r w:rsidRPr="00D03F3E">
        <w:rPr>
          <w:rFonts w:ascii="Times New Roman" w:hAnsi="Times New Roman"/>
          <w:color w:val="000000" w:themeColor="text1"/>
          <w:sz w:val="16"/>
          <w:szCs w:val="16"/>
        </w:rPr>
        <w:softHyphen/>
        <w:t>ного пункта маршрута Сухиничи штур</w:t>
      </w:r>
      <w:r w:rsidRPr="00D03F3E">
        <w:rPr>
          <w:rFonts w:ascii="Times New Roman" w:hAnsi="Times New Roman"/>
          <w:color w:val="000000" w:themeColor="text1"/>
          <w:sz w:val="16"/>
          <w:szCs w:val="16"/>
        </w:rPr>
        <w:softHyphen/>
        <w:t>мовики в ожидании истребителей встали в круг.</w:t>
      </w:r>
    </w:p>
    <w:p w14:paraId="4429301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этому времени взлетела группа от 996-го шап в составе 5 Ил-2 (вместо шести по плану), но полностью собраться не смогла — три экипажа во главе с ве</w:t>
      </w:r>
      <w:r w:rsidRPr="00D03F3E">
        <w:rPr>
          <w:rFonts w:ascii="Times New Roman" w:hAnsi="Times New Roman"/>
          <w:color w:val="000000" w:themeColor="text1"/>
          <w:sz w:val="16"/>
          <w:szCs w:val="16"/>
        </w:rPr>
        <w:softHyphen/>
        <w:t>дущим группы ст. лейтенантом Маринки-ным ушли на аэродром встречи с истре</w:t>
      </w:r>
      <w:r w:rsidRPr="00D03F3E">
        <w:rPr>
          <w:rFonts w:ascii="Times New Roman" w:hAnsi="Times New Roman"/>
          <w:color w:val="000000" w:themeColor="text1"/>
          <w:sz w:val="16"/>
          <w:szCs w:val="16"/>
        </w:rPr>
        <w:softHyphen/>
        <w:t>бителями, а пара — встать в строй не успела и оторвалась. В дальнейшем один из двух отбившихся экипажей вернулся и произвел посадку на аэродром Вязовая, а второй - ушел в район Сухиничи, где пристроился к группе капитана Корни</w:t>
      </w:r>
      <w:r w:rsidRPr="00D03F3E">
        <w:rPr>
          <w:rFonts w:ascii="Times New Roman" w:hAnsi="Times New Roman"/>
          <w:color w:val="000000" w:themeColor="text1"/>
          <w:sz w:val="16"/>
          <w:szCs w:val="16"/>
        </w:rPr>
        <w:softHyphen/>
        <w:t>енко и "принимал участие в атаке аэро</w:t>
      </w:r>
      <w:r w:rsidRPr="00D03F3E">
        <w:rPr>
          <w:rFonts w:ascii="Times New Roman" w:hAnsi="Times New Roman"/>
          <w:color w:val="000000" w:themeColor="text1"/>
          <w:sz w:val="16"/>
          <w:szCs w:val="16"/>
        </w:rPr>
        <w:softHyphen/>
        <w:t>дрома".</w:t>
      </w:r>
    </w:p>
    <w:p w14:paraId="7B261BC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подхода отставшей пары "Яков" к-н Корниенко повел свою группу к цели. На отходе от Сухиничей к ним, помимо экипажа от 996-го шап, пристроились еще 5 Як-7 (ведущий к-н Бородич), кото</w:t>
      </w:r>
      <w:r w:rsidRPr="00D03F3E">
        <w:rPr>
          <w:rFonts w:ascii="Times New Roman" w:hAnsi="Times New Roman"/>
          <w:color w:val="000000" w:themeColor="text1"/>
          <w:sz w:val="16"/>
          <w:szCs w:val="16"/>
        </w:rPr>
        <w:softHyphen/>
        <w:t>рые по плану должны были прикрывать группу ст. лейтенанта Маринкина, но взлетели до ее появления над аэродро</w:t>
      </w:r>
      <w:r w:rsidRPr="00D03F3E">
        <w:rPr>
          <w:rFonts w:ascii="Times New Roman" w:hAnsi="Times New Roman"/>
          <w:color w:val="000000" w:themeColor="text1"/>
          <w:sz w:val="16"/>
          <w:szCs w:val="16"/>
        </w:rPr>
        <w:softHyphen/>
        <w:t>мом.</w:t>
      </w:r>
    </w:p>
    <w:p w14:paraId="000450B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Вторая ударная группа от 565-го шап, которая взлетала третьей по счету, со</w:t>
      </w:r>
      <w:r w:rsidRPr="00D03F3E">
        <w:rPr>
          <w:rFonts w:ascii="Times New Roman" w:hAnsi="Times New Roman"/>
          <w:color w:val="000000" w:themeColor="text1"/>
          <w:sz w:val="16"/>
          <w:szCs w:val="16"/>
        </w:rPr>
        <w:softHyphen/>
        <w:t>бралась хорошо, но, придя на аэродром Железинки, истребителей прикрытия не встретила. Ведущий группы ст. л-т Деми</w:t>
      </w:r>
      <w:r w:rsidRPr="00D03F3E">
        <w:rPr>
          <w:rFonts w:ascii="Times New Roman" w:hAnsi="Times New Roman"/>
          <w:color w:val="000000" w:themeColor="text1"/>
          <w:sz w:val="16"/>
          <w:szCs w:val="16"/>
        </w:rPr>
        <w:softHyphen/>
        <w:t>дов после одного круга над аэродромом дал две ракеты белого цвета вместо двух ракет зеленого цвета и "лег на курс, ду</w:t>
      </w:r>
      <w:r w:rsidRPr="00D03F3E">
        <w:rPr>
          <w:rFonts w:ascii="Times New Roman" w:hAnsi="Times New Roman"/>
          <w:color w:val="000000" w:themeColor="text1"/>
          <w:sz w:val="16"/>
          <w:szCs w:val="16"/>
        </w:rPr>
        <w:softHyphen/>
        <w:t>мая, что за ним пристроятся истребите</w:t>
      </w:r>
      <w:r w:rsidRPr="00D03F3E">
        <w:rPr>
          <w:rFonts w:ascii="Times New Roman" w:hAnsi="Times New Roman"/>
          <w:color w:val="000000" w:themeColor="text1"/>
          <w:sz w:val="16"/>
          <w:szCs w:val="16"/>
        </w:rPr>
        <w:softHyphen/>
        <w:t>ли прикрытия". Однако оставшаяся на аэродроме группа истребителей не взлетела, так как по плану сигналом к подъе</w:t>
      </w:r>
      <w:r w:rsidRPr="00D03F3E">
        <w:rPr>
          <w:rFonts w:ascii="Times New Roman" w:hAnsi="Times New Roman"/>
          <w:color w:val="000000" w:themeColor="text1"/>
          <w:sz w:val="16"/>
          <w:szCs w:val="16"/>
        </w:rPr>
        <w:softHyphen/>
        <w:t>му в воздух для них были две зеленые ракеты. Штурмовики ушли в район Су</w:t>
      </w:r>
      <w:r w:rsidRPr="00D03F3E">
        <w:rPr>
          <w:rFonts w:ascii="Times New Roman" w:hAnsi="Times New Roman"/>
          <w:color w:val="000000" w:themeColor="text1"/>
          <w:sz w:val="16"/>
          <w:szCs w:val="16"/>
        </w:rPr>
        <w:softHyphen/>
        <w:t>хиничи, где в ожидании истребителей сде</w:t>
      </w:r>
      <w:r w:rsidRPr="00D03F3E">
        <w:rPr>
          <w:rFonts w:ascii="Times New Roman" w:hAnsi="Times New Roman"/>
          <w:color w:val="000000" w:themeColor="text1"/>
          <w:sz w:val="16"/>
          <w:szCs w:val="16"/>
        </w:rPr>
        <w:softHyphen/>
        <w:t>лали два круга. Убедившись, что истре</w:t>
      </w:r>
      <w:r w:rsidRPr="00D03F3E">
        <w:rPr>
          <w:rFonts w:ascii="Times New Roman" w:hAnsi="Times New Roman"/>
          <w:color w:val="000000" w:themeColor="text1"/>
          <w:sz w:val="16"/>
          <w:szCs w:val="16"/>
        </w:rPr>
        <w:softHyphen/>
        <w:t>бителей прикрытия нет и не будет, ст. л-т Демидов решил возвратиться на аэро</w:t>
      </w:r>
      <w:r w:rsidRPr="00D03F3E">
        <w:rPr>
          <w:rFonts w:ascii="Times New Roman" w:hAnsi="Times New Roman"/>
          <w:color w:val="000000" w:themeColor="text1"/>
          <w:sz w:val="16"/>
          <w:szCs w:val="16"/>
        </w:rPr>
        <w:softHyphen/>
        <w:t>дром вылета. Уже на обратном маршру</w:t>
      </w:r>
      <w:r w:rsidRPr="00D03F3E">
        <w:rPr>
          <w:rFonts w:ascii="Times New Roman" w:hAnsi="Times New Roman"/>
          <w:color w:val="000000" w:themeColor="text1"/>
          <w:sz w:val="16"/>
          <w:szCs w:val="16"/>
        </w:rPr>
        <w:softHyphen/>
        <w:t>те показались истребители прикрытия — 5 Як-7 (ведущий к-н Ноздрин), которые развернулись и пристроились к штурмо</w:t>
      </w:r>
      <w:r w:rsidRPr="00D03F3E">
        <w:rPr>
          <w:rFonts w:ascii="Times New Roman" w:hAnsi="Times New Roman"/>
          <w:color w:val="000000" w:themeColor="text1"/>
          <w:sz w:val="16"/>
          <w:szCs w:val="16"/>
        </w:rPr>
        <w:softHyphen/>
        <w:t>викам. Ввиду большого непланового рас</w:t>
      </w:r>
      <w:r w:rsidRPr="00D03F3E">
        <w:rPr>
          <w:rFonts w:ascii="Times New Roman" w:hAnsi="Times New Roman"/>
          <w:color w:val="000000" w:themeColor="text1"/>
          <w:sz w:val="16"/>
          <w:szCs w:val="16"/>
        </w:rPr>
        <w:softHyphen/>
        <w:t>хода горючего и потери времени Деми</w:t>
      </w:r>
      <w:r w:rsidRPr="00D03F3E">
        <w:rPr>
          <w:rFonts w:ascii="Times New Roman" w:hAnsi="Times New Roman"/>
          <w:color w:val="000000" w:themeColor="text1"/>
          <w:sz w:val="16"/>
          <w:szCs w:val="16"/>
        </w:rPr>
        <w:softHyphen/>
        <w:t>дов решил боевую задачу не выполнять и посадил свою группу на аэродром Вя</w:t>
      </w:r>
      <w:r w:rsidRPr="00D03F3E">
        <w:rPr>
          <w:rFonts w:ascii="Times New Roman" w:hAnsi="Times New Roman"/>
          <w:color w:val="000000" w:themeColor="text1"/>
          <w:sz w:val="16"/>
          <w:szCs w:val="16"/>
        </w:rPr>
        <w:softHyphen/>
        <w:t>зовая. Вместе с ней на аэродром Вязо</w:t>
      </w:r>
      <w:r w:rsidRPr="00D03F3E">
        <w:rPr>
          <w:rFonts w:ascii="Times New Roman" w:hAnsi="Times New Roman"/>
          <w:color w:val="000000" w:themeColor="text1"/>
          <w:sz w:val="16"/>
          <w:szCs w:val="16"/>
        </w:rPr>
        <w:softHyphen/>
        <w:t>вая выполнила посадку и группа Марин</w:t>
      </w:r>
      <w:r w:rsidRPr="00D03F3E">
        <w:rPr>
          <w:rFonts w:ascii="Times New Roman" w:hAnsi="Times New Roman"/>
          <w:color w:val="000000" w:themeColor="text1"/>
          <w:sz w:val="16"/>
          <w:szCs w:val="16"/>
        </w:rPr>
        <w:softHyphen/>
        <w:t>кина, которая пристроилась в районе Сухиничей и шла следом "на удалении зрительной связи".</w:t>
      </w:r>
    </w:p>
    <w:p w14:paraId="4099A24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Штурмовики первой ударной группы на подходе к аэродрому Сеща были встречены таким шквальным зенитным огнем (кроме большого количества ЗПУ, огонь вели 8 батарей МЗА и ЗА), что к-н Корниенко в условиях отсутствия груп</w:t>
      </w:r>
      <w:r w:rsidRPr="00D03F3E">
        <w:rPr>
          <w:rFonts w:ascii="Times New Roman" w:hAnsi="Times New Roman"/>
          <w:color w:val="000000" w:themeColor="text1"/>
          <w:sz w:val="16"/>
          <w:szCs w:val="16"/>
        </w:rPr>
        <w:softHyphen/>
        <w:t>пы подавления ПВО и недостатка удар</w:t>
      </w:r>
      <w:r w:rsidRPr="00D03F3E">
        <w:rPr>
          <w:rFonts w:ascii="Times New Roman" w:hAnsi="Times New Roman"/>
          <w:color w:val="000000" w:themeColor="text1"/>
          <w:sz w:val="16"/>
          <w:szCs w:val="16"/>
        </w:rPr>
        <w:softHyphen/>
        <w:t>ных сил принял решение выполнить толь</w:t>
      </w:r>
      <w:r w:rsidRPr="00D03F3E">
        <w:rPr>
          <w:rFonts w:ascii="Times New Roman" w:hAnsi="Times New Roman"/>
          <w:color w:val="000000" w:themeColor="text1"/>
          <w:sz w:val="16"/>
          <w:szCs w:val="16"/>
        </w:rPr>
        <w:softHyphen/>
        <w:t>ко один заход. Экипажи сходу атакова</w:t>
      </w:r>
      <w:r w:rsidRPr="00D03F3E">
        <w:rPr>
          <w:rFonts w:ascii="Times New Roman" w:hAnsi="Times New Roman"/>
          <w:color w:val="000000" w:themeColor="text1"/>
          <w:sz w:val="16"/>
          <w:szCs w:val="16"/>
        </w:rPr>
        <w:softHyphen/>
        <w:t>ли цели на аэродроме и с разворотом на северо-запад ушли обратным курсом. Зенитным огнем был сбит мл. л-т Ю.Ф. Симонов. Его самолет загорелся в воз</w:t>
      </w:r>
      <w:r w:rsidRPr="00D03F3E">
        <w:rPr>
          <w:rFonts w:ascii="Times New Roman" w:hAnsi="Times New Roman"/>
          <w:color w:val="000000" w:themeColor="text1"/>
          <w:sz w:val="16"/>
          <w:szCs w:val="16"/>
        </w:rPr>
        <w:softHyphen/>
        <w:t>духе, затем врезался в землю в районе аэродрома и взорвался. Очевидно, нео</w:t>
      </w:r>
      <w:r w:rsidRPr="00D03F3E">
        <w:rPr>
          <w:rFonts w:ascii="Times New Roman" w:hAnsi="Times New Roman"/>
          <w:color w:val="000000" w:themeColor="text1"/>
          <w:sz w:val="16"/>
          <w:szCs w:val="16"/>
        </w:rPr>
        <w:softHyphen/>
        <w:t>пытность летчика не позволила выпол</w:t>
      </w:r>
      <w:r w:rsidRPr="00D03F3E">
        <w:rPr>
          <w:rFonts w:ascii="Times New Roman" w:hAnsi="Times New Roman"/>
          <w:color w:val="000000" w:themeColor="text1"/>
          <w:sz w:val="16"/>
          <w:szCs w:val="16"/>
        </w:rPr>
        <w:softHyphen/>
        <w:t>нить эффективный противозенитный ма</w:t>
      </w:r>
      <w:r w:rsidRPr="00D03F3E">
        <w:rPr>
          <w:rFonts w:ascii="Times New Roman" w:hAnsi="Times New Roman"/>
          <w:color w:val="000000" w:themeColor="text1"/>
          <w:sz w:val="16"/>
          <w:szCs w:val="16"/>
        </w:rPr>
        <w:softHyphen/>
        <w:t>невр.</w:t>
      </w:r>
    </w:p>
    <w:p w14:paraId="60F4165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докладам экипажей штурмовиков и истребителей сопровождения в резуль</w:t>
      </w:r>
      <w:r w:rsidRPr="00D03F3E">
        <w:rPr>
          <w:rFonts w:ascii="Times New Roman" w:hAnsi="Times New Roman"/>
          <w:color w:val="000000" w:themeColor="text1"/>
          <w:sz w:val="16"/>
          <w:szCs w:val="16"/>
        </w:rPr>
        <w:softHyphen/>
        <w:t>тате удара было уничтожено и повреж</w:t>
      </w:r>
      <w:r w:rsidRPr="00D03F3E">
        <w:rPr>
          <w:rFonts w:ascii="Times New Roman" w:hAnsi="Times New Roman"/>
          <w:color w:val="000000" w:themeColor="text1"/>
          <w:sz w:val="16"/>
          <w:szCs w:val="16"/>
        </w:rPr>
        <w:softHyphen/>
        <w:t>дено до 25-30 двухмоторных самолетов: "...Экипажи наблюдали прямые попада</w:t>
      </w:r>
      <w:r w:rsidRPr="00D03F3E">
        <w:rPr>
          <w:rFonts w:ascii="Times New Roman" w:hAnsi="Times New Roman"/>
          <w:color w:val="000000" w:themeColor="text1"/>
          <w:sz w:val="16"/>
          <w:szCs w:val="16"/>
        </w:rPr>
        <w:softHyphen/>
        <w:t>ния бомб в группу самолетов на стоян</w:t>
      </w:r>
      <w:r w:rsidRPr="00D03F3E">
        <w:rPr>
          <w:rFonts w:ascii="Times New Roman" w:hAnsi="Times New Roman"/>
          <w:color w:val="000000" w:themeColor="text1"/>
          <w:sz w:val="16"/>
          <w:szCs w:val="16"/>
        </w:rPr>
        <w:softHyphen/>
        <w:t>ках, где вспыхнули сильные пожары. Вся юго-западная окраина аэродрома охва</w:t>
      </w:r>
      <w:r w:rsidRPr="00D03F3E">
        <w:rPr>
          <w:rFonts w:ascii="Times New Roman" w:hAnsi="Times New Roman"/>
          <w:color w:val="000000" w:themeColor="text1"/>
          <w:sz w:val="16"/>
          <w:szCs w:val="16"/>
        </w:rPr>
        <w:softHyphen/>
        <w:t>чена пламенем огня, самолеты и ангары горели ".</w:t>
      </w:r>
    </w:p>
    <w:p w14:paraId="0F09584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Следом за штурмовиками в период 5.40-5.43 аэродром Сеща был атакован двумя "восьмерками" Пе-2 от 6-го и 38-го бап 204-й бад. При этом третья "восьмерка" "пешек" на аэродром не вышла и нанесла бомбовый удар по за</w:t>
      </w:r>
      <w:r w:rsidRPr="00D03F3E">
        <w:rPr>
          <w:rFonts w:ascii="Times New Roman" w:hAnsi="Times New Roman"/>
          <w:color w:val="000000" w:themeColor="text1"/>
          <w:sz w:val="16"/>
          <w:szCs w:val="16"/>
        </w:rPr>
        <w:softHyphen/>
        <w:t>пасной цели ж.д. ст. Зикеево.</w:t>
      </w:r>
    </w:p>
    <w:p w14:paraId="748B70E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Экипажам штурмовиков, севшим на аэродром Вязовая, была предоставлена возможность "исправить ошибку". Пос</w:t>
      </w:r>
      <w:r w:rsidRPr="00D03F3E">
        <w:rPr>
          <w:rFonts w:ascii="Times New Roman" w:hAnsi="Times New Roman"/>
          <w:color w:val="000000" w:themeColor="text1"/>
          <w:sz w:val="16"/>
          <w:szCs w:val="16"/>
        </w:rPr>
        <w:softHyphen/>
        <w:t>ле дозаправки в 7.00-7.15 "обе группы были вторично выпущены на аэродром Сеща ".</w:t>
      </w:r>
    </w:p>
    <w:p w14:paraId="24765B9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Надо сказать, этот удар был обречен на неудачу. И это понимали все — и лет</w:t>
      </w:r>
      <w:r w:rsidRPr="00D03F3E">
        <w:rPr>
          <w:rFonts w:ascii="Times New Roman" w:hAnsi="Times New Roman"/>
          <w:color w:val="000000" w:themeColor="text1"/>
          <w:sz w:val="16"/>
          <w:szCs w:val="16"/>
        </w:rPr>
        <w:softHyphen/>
        <w:t>ный состав, и командный. В условиях, когда противник находится настороже, привел в полную готовность все свои средства ПВО и истребители, большие потери неминуемы. Но приказ есть при</w:t>
      </w:r>
      <w:r w:rsidRPr="00D03F3E">
        <w:rPr>
          <w:rFonts w:ascii="Times New Roman" w:hAnsi="Times New Roman"/>
          <w:color w:val="000000" w:themeColor="text1"/>
          <w:sz w:val="16"/>
          <w:szCs w:val="16"/>
        </w:rPr>
        <w:softHyphen/>
        <w:t>каз, его надо выполнять.</w:t>
      </w:r>
    </w:p>
    <w:p w14:paraId="6BA40FB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официальной версии шта</w:t>
      </w:r>
      <w:r w:rsidRPr="00D03F3E">
        <w:rPr>
          <w:rFonts w:ascii="Times New Roman" w:hAnsi="Times New Roman"/>
          <w:color w:val="000000" w:themeColor="text1"/>
          <w:sz w:val="16"/>
          <w:szCs w:val="16"/>
        </w:rPr>
        <w:softHyphen/>
        <w:t>бов, обе группы Ил-2 после встречи с истребителями прикрытия дошли до на</w:t>
      </w:r>
      <w:r w:rsidRPr="00D03F3E">
        <w:rPr>
          <w:rFonts w:ascii="Times New Roman" w:hAnsi="Times New Roman"/>
          <w:color w:val="000000" w:themeColor="text1"/>
          <w:sz w:val="16"/>
          <w:szCs w:val="16"/>
        </w:rPr>
        <w:softHyphen/>
        <w:t>селенного пункта Новоселки и, приняв его за ст. Баррикадная, повернули вле</w:t>
      </w:r>
      <w:r w:rsidRPr="00D03F3E">
        <w:rPr>
          <w:rFonts w:ascii="Times New Roman" w:hAnsi="Times New Roman"/>
          <w:color w:val="000000" w:themeColor="text1"/>
          <w:sz w:val="16"/>
          <w:szCs w:val="16"/>
        </w:rPr>
        <w:softHyphen/>
        <w:t>во. Долетев до Людиново, штурмовики были обстреляны сильным огнем средне</w:t>
      </w:r>
      <w:r w:rsidRPr="00D03F3E">
        <w:rPr>
          <w:rFonts w:ascii="Times New Roman" w:hAnsi="Times New Roman"/>
          <w:color w:val="000000" w:themeColor="text1"/>
          <w:sz w:val="16"/>
          <w:szCs w:val="16"/>
        </w:rPr>
        <w:softHyphen/>
        <w:t>калиберной и малокалиберной зенитной артиллерии противника. Выйдя затем в район ст. Рековичи, группы развернулись влево и пошли на аэродром Олсуфьево, который атаковали, приняв за Сещу. Ко</w:t>
      </w:r>
      <w:r w:rsidRPr="00D03F3E">
        <w:rPr>
          <w:rFonts w:ascii="Times New Roman" w:hAnsi="Times New Roman"/>
          <w:color w:val="000000" w:themeColor="text1"/>
          <w:sz w:val="16"/>
          <w:szCs w:val="16"/>
        </w:rPr>
        <w:softHyphen/>
        <w:t>мандир 565-го шап м-р В.И. Сериков в боевом донесении указывал: "ошибка ведущего была в том, что он полностью доверился показаниям компаса и не кон</w:t>
      </w:r>
      <w:r w:rsidRPr="00D03F3E">
        <w:rPr>
          <w:rFonts w:ascii="Times New Roman" w:hAnsi="Times New Roman"/>
          <w:color w:val="000000" w:themeColor="text1"/>
          <w:sz w:val="16"/>
          <w:szCs w:val="16"/>
        </w:rPr>
        <w:softHyphen/>
        <w:t>тролировал свой полет по карте".</w:t>
      </w:r>
    </w:p>
    <w:p w14:paraId="0FFB95E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докладам экипажей 565-го шап и "контролирующих ...на аэродроме Олсу</w:t>
      </w:r>
      <w:r w:rsidRPr="00D03F3E">
        <w:rPr>
          <w:rFonts w:ascii="Times New Roman" w:hAnsi="Times New Roman"/>
          <w:color w:val="000000" w:themeColor="text1"/>
          <w:sz w:val="16"/>
          <w:szCs w:val="16"/>
        </w:rPr>
        <w:softHyphen/>
        <w:t>фьево уничтожено до трех двухмоторных самолетов, создано 3 взрыва (предпо</w:t>
      </w:r>
      <w:r w:rsidRPr="00D03F3E">
        <w:rPr>
          <w:rFonts w:ascii="Times New Roman" w:hAnsi="Times New Roman"/>
          <w:color w:val="000000" w:themeColor="text1"/>
          <w:sz w:val="16"/>
          <w:szCs w:val="16"/>
        </w:rPr>
        <w:softHyphen/>
        <w:t>ложительно взорван склад с боеприпа</w:t>
      </w:r>
      <w:r w:rsidRPr="00D03F3E">
        <w:rPr>
          <w:rFonts w:ascii="Times New Roman" w:hAnsi="Times New Roman"/>
          <w:color w:val="000000" w:themeColor="text1"/>
          <w:sz w:val="16"/>
          <w:szCs w:val="16"/>
        </w:rPr>
        <w:softHyphen/>
        <w:t>сами], 2 цистерны с горючим, уничтоже</w:t>
      </w:r>
      <w:r w:rsidRPr="00D03F3E">
        <w:rPr>
          <w:rFonts w:ascii="Times New Roman" w:hAnsi="Times New Roman"/>
          <w:color w:val="000000" w:themeColor="text1"/>
          <w:sz w:val="16"/>
          <w:szCs w:val="16"/>
        </w:rPr>
        <w:softHyphen/>
        <w:t>но до 15 солдат, один крытый фургон". На обратном маршруте штурмовики ата</w:t>
      </w:r>
      <w:r w:rsidRPr="00D03F3E">
        <w:rPr>
          <w:rFonts w:ascii="Times New Roman" w:hAnsi="Times New Roman"/>
          <w:color w:val="000000" w:themeColor="text1"/>
          <w:sz w:val="16"/>
          <w:szCs w:val="16"/>
        </w:rPr>
        <w:softHyphen/>
        <w:t>ковали два ж.д. эшелона без паровозов по 20 вагонов каждый: "один — с сеном, а второй - платформы, накрытые бре</w:t>
      </w:r>
      <w:r w:rsidRPr="00D03F3E">
        <w:rPr>
          <w:rFonts w:ascii="Times New Roman" w:hAnsi="Times New Roman"/>
          <w:color w:val="000000" w:themeColor="text1"/>
          <w:sz w:val="16"/>
          <w:szCs w:val="16"/>
        </w:rPr>
        <w:softHyphen/>
        <w:t>зентом". Результатов атаки экипажи не наблюдали.</w:t>
      </w:r>
    </w:p>
    <w:p w14:paraId="41B1ADC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Экипажи 996-го шап доложили, что им удалось сбросить бомбы точно "на штабеля с боеприпасами и ангары (эки</w:t>
      </w:r>
      <w:r w:rsidRPr="00D03F3E">
        <w:rPr>
          <w:rFonts w:ascii="Times New Roman" w:hAnsi="Times New Roman"/>
          <w:color w:val="000000" w:themeColor="text1"/>
          <w:sz w:val="16"/>
          <w:szCs w:val="16"/>
        </w:rPr>
        <w:softHyphen/>
        <w:t>пажи наблюдали 5 взрывов в районе штабелей)", а также взорвать одну ж.д. цистерну в результате обстрела при воз</w:t>
      </w:r>
      <w:r w:rsidRPr="00D03F3E">
        <w:rPr>
          <w:rFonts w:ascii="Times New Roman" w:hAnsi="Times New Roman"/>
          <w:color w:val="000000" w:themeColor="text1"/>
          <w:sz w:val="16"/>
          <w:szCs w:val="16"/>
        </w:rPr>
        <w:softHyphen/>
        <w:t>вращении домой ж.д. состава на ст. Бетлица.</w:t>
      </w:r>
    </w:p>
    <w:p w14:paraId="5864B1B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Здесь стоит отметить, что вечером 5 мая на аэродроме Олсуфьево ни одно</w:t>
      </w:r>
      <w:r w:rsidRPr="00D03F3E">
        <w:rPr>
          <w:rFonts w:ascii="Times New Roman" w:hAnsi="Times New Roman"/>
          <w:color w:val="000000" w:themeColor="text1"/>
          <w:sz w:val="16"/>
          <w:szCs w:val="16"/>
        </w:rPr>
        <w:softHyphen/>
        <w:t>го самолета противника обнаружено не было ...</w:t>
      </w:r>
    </w:p>
    <w:p w14:paraId="2A028E1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боевая задача по уничтожению матчасти на аэродроме Сеща полностью выполнена не была.</w:t>
      </w:r>
    </w:p>
    <w:p w14:paraId="3F114B8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налета на аэродром Брянск пред</w:t>
      </w:r>
      <w:r w:rsidRPr="00D03F3E">
        <w:rPr>
          <w:rFonts w:ascii="Times New Roman" w:hAnsi="Times New Roman"/>
          <w:color w:val="000000" w:themeColor="text1"/>
          <w:sz w:val="16"/>
          <w:szCs w:val="16"/>
        </w:rPr>
        <w:softHyphen/>
        <w:t>полагалось задействовать три группы по 6 Ил-2 в каждой от 571-го шап.</w:t>
      </w:r>
    </w:p>
    <w:p w14:paraId="158ACDE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Вечером накануне удара полностью подготовленные к боевому вылету само</w:t>
      </w:r>
      <w:r w:rsidRPr="00D03F3E">
        <w:rPr>
          <w:rFonts w:ascii="Times New Roman" w:hAnsi="Times New Roman"/>
          <w:color w:val="000000" w:themeColor="text1"/>
          <w:sz w:val="16"/>
          <w:szCs w:val="16"/>
        </w:rPr>
        <w:softHyphen/>
        <w:t>леты были выведены тракторами на старт. Взлет с аэродрома Полошково в 4.35 был проведен организованно и быстро.</w:t>
      </w:r>
    </w:p>
    <w:p w14:paraId="090A3E0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К сожалению, без "потерь" не обо</w:t>
      </w:r>
      <w:r w:rsidRPr="00D03F3E">
        <w:rPr>
          <w:rFonts w:ascii="Times New Roman" w:hAnsi="Times New Roman"/>
          <w:color w:val="000000" w:themeColor="text1"/>
          <w:sz w:val="16"/>
          <w:szCs w:val="16"/>
        </w:rPr>
        <w:softHyphen/>
        <w:t>шлось. Ведущий второй шестерки м-р Большаков "на задание не ходил". На его самолете не убралась левая стойка шасси. Выпустив с помощью аварийной системы правую стойку шасси, Больша</w:t>
      </w:r>
      <w:r w:rsidRPr="00D03F3E">
        <w:rPr>
          <w:rFonts w:ascii="Times New Roman" w:hAnsi="Times New Roman"/>
          <w:color w:val="000000" w:themeColor="text1"/>
          <w:sz w:val="16"/>
          <w:szCs w:val="16"/>
        </w:rPr>
        <w:softHyphen/>
        <w:t>ков сел на аэродром. Вместо него груп</w:t>
      </w:r>
      <w:r w:rsidRPr="00D03F3E">
        <w:rPr>
          <w:rFonts w:ascii="Times New Roman" w:hAnsi="Times New Roman"/>
          <w:color w:val="000000" w:themeColor="text1"/>
          <w:sz w:val="16"/>
          <w:szCs w:val="16"/>
        </w:rPr>
        <w:softHyphen/>
        <w:t>пу повел на задание его заместитель ст. л-т Зацепа.</w:t>
      </w:r>
    </w:p>
    <w:p w14:paraId="68F9AED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Взлетевшие экипажи, несмотря на сильную дымку с видимостью 1-1,5 км, уже через 4 минуты собрались в общий боевой порядок, а в 4.46 над аэродро</w:t>
      </w:r>
      <w:r w:rsidRPr="00D03F3E">
        <w:rPr>
          <w:rFonts w:ascii="Times New Roman" w:hAnsi="Times New Roman"/>
          <w:color w:val="000000" w:themeColor="text1"/>
          <w:sz w:val="16"/>
          <w:szCs w:val="16"/>
        </w:rPr>
        <w:softHyphen/>
        <w:t>мом Хатенки к штурмовикам пристрои</w:t>
      </w:r>
      <w:r w:rsidRPr="00D03F3E">
        <w:rPr>
          <w:rFonts w:ascii="Times New Roman" w:hAnsi="Times New Roman"/>
          <w:color w:val="000000" w:themeColor="text1"/>
          <w:sz w:val="16"/>
          <w:szCs w:val="16"/>
        </w:rPr>
        <w:softHyphen/>
        <w:t>лись 18 истребителей прикрытия от 18-го гиап в трех группах по 6 самолетов в каждой.</w:t>
      </w:r>
    </w:p>
    <w:p w14:paraId="4DB4447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Ведущий первой шестерки м-р Глухов-цев, он же ведущий всей группы, уже в самом начале полета к цели "сошел" с маршрута, "утвержденного командиром полка". Выйдя к промежуточному пункту маршрута г. Козельск, Глуховцев вместо направления ст. Зикеево, ст. Самара-Радица повел группу в направлении на о. Белые Берега. Поэтому, чтобы выйти на аэродром с северо-восточной стороны, как это было определено планом, груп</w:t>
      </w:r>
      <w:r w:rsidRPr="00D03F3E">
        <w:rPr>
          <w:rFonts w:ascii="Times New Roman" w:hAnsi="Times New Roman"/>
          <w:color w:val="000000" w:themeColor="text1"/>
          <w:sz w:val="16"/>
          <w:szCs w:val="16"/>
        </w:rPr>
        <w:softHyphen/>
        <w:t>пе пришлось сделать небольшой крюк и пройти через ж.д. станцию Брянск, кото</w:t>
      </w:r>
      <w:r w:rsidRPr="00D03F3E">
        <w:rPr>
          <w:rFonts w:ascii="Times New Roman" w:hAnsi="Times New Roman"/>
          <w:color w:val="000000" w:themeColor="text1"/>
          <w:sz w:val="16"/>
          <w:szCs w:val="16"/>
        </w:rPr>
        <w:softHyphen/>
        <w:t>рая прикрывалась большим количеством зенитной артиллерии всех калибров. В результате еще задолго до подхода к аэродрому штурмовики попали под силь</w:t>
      </w:r>
      <w:r w:rsidRPr="00D03F3E">
        <w:rPr>
          <w:rFonts w:ascii="Times New Roman" w:hAnsi="Times New Roman"/>
          <w:color w:val="000000" w:themeColor="text1"/>
          <w:sz w:val="16"/>
          <w:szCs w:val="16"/>
        </w:rPr>
        <w:softHyphen/>
        <w:t>ный зенитный огонь. Внезапность налета обеспечить не удалось.</w:t>
      </w:r>
    </w:p>
    <w:p w14:paraId="17B3807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подходе к аэродрому и над ним Ил-2 обстреливались огнем трех-четырех батарей МЗА и большого числа ЗПУ. Тем не менее штурмовикам удалось сохра</w:t>
      </w:r>
      <w:r w:rsidRPr="00D03F3E">
        <w:rPr>
          <w:rFonts w:ascii="Times New Roman" w:hAnsi="Times New Roman"/>
          <w:color w:val="000000" w:themeColor="text1"/>
          <w:sz w:val="16"/>
          <w:szCs w:val="16"/>
        </w:rPr>
        <w:softHyphen/>
        <w:t>нить целостность боевого порядка и вы</w:t>
      </w:r>
      <w:r w:rsidRPr="00D03F3E">
        <w:rPr>
          <w:rFonts w:ascii="Times New Roman" w:hAnsi="Times New Roman"/>
          <w:color w:val="000000" w:themeColor="text1"/>
          <w:sz w:val="16"/>
          <w:szCs w:val="16"/>
        </w:rPr>
        <w:softHyphen/>
        <w:t>полнить два захода для бомбометания и штурмовки матчасти на аэродроме. Вы</w:t>
      </w:r>
      <w:r w:rsidRPr="00D03F3E">
        <w:rPr>
          <w:rFonts w:ascii="Times New Roman" w:hAnsi="Times New Roman"/>
          <w:color w:val="000000" w:themeColor="text1"/>
          <w:sz w:val="16"/>
          <w:szCs w:val="16"/>
        </w:rPr>
        <w:softHyphen/>
        <w:t>ход из атаки выполнялся с левым разво</w:t>
      </w:r>
      <w:r w:rsidRPr="00D03F3E">
        <w:rPr>
          <w:rFonts w:ascii="Times New Roman" w:hAnsi="Times New Roman"/>
          <w:color w:val="000000" w:themeColor="text1"/>
          <w:sz w:val="16"/>
          <w:szCs w:val="16"/>
        </w:rPr>
        <w:softHyphen/>
        <w:t>ротом. Группа ст. лейтенанта Зацепы по</w:t>
      </w:r>
      <w:r w:rsidRPr="00D03F3E">
        <w:rPr>
          <w:rFonts w:ascii="Times New Roman" w:hAnsi="Times New Roman"/>
          <w:color w:val="000000" w:themeColor="text1"/>
          <w:sz w:val="16"/>
          <w:szCs w:val="16"/>
        </w:rPr>
        <w:softHyphen/>
        <w:t>давляла огневые точки МЗА.</w:t>
      </w:r>
    </w:p>
    <w:p w14:paraId="5C53488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докладам экипажей и контроле</w:t>
      </w:r>
      <w:r w:rsidRPr="00D03F3E">
        <w:rPr>
          <w:rFonts w:ascii="Times New Roman" w:hAnsi="Times New Roman"/>
          <w:color w:val="000000" w:themeColor="text1"/>
          <w:sz w:val="16"/>
          <w:szCs w:val="16"/>
        </w:rPr>
        <w:softHyphen/>
        <w:t>ров к моменту выхода штурмовиков в атаку (5.17) на старте находилось 6 ис</w:t>
      </w:r>
      <w:r w:rsidRPr="00D03F3E">
        <w:rPr>
          <w:rFonts w:ascii="Times New Roman" w:hAnsi="Times New Roman"/>
          <w:color w:val="000000" w:themeColor="text1"/>
          <w:sz w:val="16"/>
          <w:szCs w:val="16"/>
        </w:rPr>
        <w:softHyphen/>
        <w:t>требителей Ме 109 с работающими мото</w:t>
      </w:r>
      <w:r w:rsidRPr="00D03F3E">
        <w:rPr>
          <w:rFonts w:ascii="Times New Roman" w:hAnsi="Times New Roman"/>
          <w:color w:val="000000" w:themeColor="text1"/>
          <w:sz w:val="16"/>
          <w:szCs w:val="16"/>
        </w:rPr>
        <w:softHyphen/>
        <w:t>рами. Один из них пытался взлететь, но "на выдерживании ...прямым попадани</w:t>
      </w:r>
      <w:r w:rsidRPr="00D03F3E">
        <w:rPr>
          <w:rFonts w:ascii="Times New Roman" w:hAnsi="Times New Roman"/>
          <w:color w:val="000000" w:themeColor="text1"/>
          <w:sz w:val="16"/>
          <w:szCs w:val="16"/>
        </w:rPr>
        <w:softHyphen/>
        <w:t>ем РС был разбит". На южной окраине аэродрома в районе ангаров было унич</w:t>
      </w:r>
      <w:r w:rsidRPr="00D03F3E">
        <w:rPr>
          <w:rFonts w:ascii="Times New Roman" w:hAnsi="Times New Roman"/>
          <w:color w:val="000000" w:themeColor="text1"/>
          <w:sz w:val="16"/>
          <w:szCs w:val="16"/>
        </w:rPr>
        <w:softHyphen/>
        <w:t>тожено 6 ВП09 и подожжено два анга</w:t>
      </w:r>
      <w:r w:rsidRPr="00D03F3E">
        <w:rPr>
          <w:rFonts w:ascii="Times New Roman" w:hAnsi="Times New Roman"/>
          <w:color w:val="000000" w:themeColor="text1"/>
          <w:sz w:val="16"/>
          <w:szCs w:val="16"/>
        </w:rPr>
        <w:softHyphen/>
        <w:t>ра, а в западной части — уничтожено 5 Ю 88. Кроме того, подавлен огонь двух зенитных батарей, разбито до 5 авто</w:t>
      </w:r>
      <w:r w:rsidRPr="00D03F3E">
        <w:rPr>
          <w:rFonts w:ascii="Times New Roman" w:hAnsi="Times New Roman"/>
          <w:color w:val="000000" w:themeColor="text1"/>
          <w:sz w:val="16"/>
          <w:szCs w:val="16"/>
        </w:rPr>
        <w:softHyphen/>
        <w:t>машин, стоявших у ангаров. На восточ</w:t>
      </w:r>
      <w:r w:rsidRPr="00D03F3E">
        <w:rPr>
          <w:rFonts w:ascii="Times New Roman" w:hAnsi="Times New Roman"/>
          <w:color w:val="000000" w:themeColor="text1"/>
          <w:sz w:val="16"/>
          <w:szCs w:val="16"/>
        </w:rPr>
        <w:softHyphen/>
        <w:t>ной окраине наблюдался большой взрыв - предположительно взорвался склад бо</w:t>
      </w:r>
      <w:r w:rsidRPr="00D03F3E">
        <w:rPr>
          <w:rFonts w:ascii="Times New Roman" w:hAnsi="Times New Roman"/>
          <w:color w:val="000000" w:themeColor="text1"/>
          <w:sz w:val="16"/>
          <w:szCs w:val="16"/>
        </w:rPr>
        <w:softHyphen/>
        <w:t>еприпасов</w:t>
      </w:r>
    </w:p>
    <w:p w14:paraId="0211C5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отходе от цели на высоте 100 м штурмовики попали под удар 6 истреби</w:t>
      </w:r>
      <w:r w:rsidRPr="00D03F3E">
        <w:rPr>
          <w:rFonts w:ascii="Times New Roman" w:hAnsi="Times New Roman"/>
          <w:color w:val="000000" w:themeColor="text1"/>
          <w:sz w:val="16"/>
          <w:szCs w:val="16"/>
        </w:rPr>
        <w:softHyphen/>
        <w:t>телей противника ВЦ 09 и Р\д/190. Атака отражалась огнем воздушных стрелков Истребители прикрытия в это время "на</w:t>
      </w:r>
      <w:r w:rsidRPr="00D03F3E">
        <w:rPr>
          <w:rFonts w:ascii="Times New Roman" w:hAnsi="Times New Roman"/>
          <w:color w:val="000000" w:themeColor="text1"/>
          <w:sz w:val="16"/>
          <w:szCs w:val="16"/>
        </w:rPr>
        <w:softHyphen/>
        <w:t>ходились на высоте 1000 м и не видели атаку" пилотов люфтваффе, но, получив по радио сигнал о нападении, снизились и встретили немецкие истребители на вы</w:t>
      </w:r>
      <w:r w:rsidRPr="00D03F3E">
        <w:rPr>
          <w:rFonts w:ascii="Times New Roman" w:hAnsi="Times New Roman"/>
          <w:color w:val="000000" w:themeColor="text1"/>
          <w:sz w:val="16"/>
          <w:szCs w:val="16"/>
        </w:rPr>
        <w:softHyphen/>
        <w:t>ходе из атаки. В ходе завязавшегося воз</w:t>
      </w:r>
      <w:r w:rsidRPr="00D03F3E">
        <w:rPr>
          <w:rFonts w:ascii="Times New Roman" w:hAnsi="Times New Roman"/>
          <w:color w:val="000000" w:themeColor="text1"/>
          <w:sz w:val="16"/>
          <w:szCs w:val="16"/>
        </w:rPr>
        <w:softHyphen/>
        <w:t>душного боя два "фокке-вульфа" были сбиты.</w:t>
      </w:r>
    </w:p>
    <w:p w14:paraId="7EC50A6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возвращении домой на участке железной дороги Брянск- Стеклянная Ра-дица экипажи штурмовиков по ходу дела обстреляли ж.д. эшелон. В результате было уничтожено до четырех ваюнов.</w:t>
      </w:r>
    </w:p>
    <w:p w14:paraId="682E370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боевого зддания не вернулись 4 эки</w:t>
      </w:r>
      <w:r w:rsidRPr="00D03F3E">
        <w:rPr>
          <w:rFonts w:ascii="Times New Roman" w:hAnsi="Times New Roman"/>
          <w:color w:val="000000" w:themeColor="text1"/>
          <w:sz w:val="16"/>
          <w:szCs w:val="16"/>
        </w:rPr>
        <w:softHyphen/>
        <w:t>пажа: мл. /1-т М.Ф. Дядичев (воздушный стрелок сержант Н.Г Салата) — самолет зав. № 1873250, мл. л-т Б.И Новиков (воздушный стрелок красноармеец Р. М. Семаков) - самолет зав. № 1874647, мл л-т Ф. Г. Лапшин (воздушный стрелок мл. сержант Е.А. Гаврилов) — самолет зав. № 1878250, мл л-т Д.З. Лаптев (воздуш</w:t>
      </w:r>
      <w:r w:rsidRPr="00D03F3E">
        <w:rPr>
          <w:rFonts w:ascii="Times New Roman" w:hAnsi="Times New Roman"/>
          <w:color w:val="000000" w:themeColor="text1"/>
          <w:sz w:val="16"/>
          <w:szCs w:val="16"/>
        </w:rPr>
        <w:softHyphen/>
        <w:t>ный стрелок сержант П.К. Деркач) - са</w:t>
      </w:r>
      <w:r w:rsidRPr="00D03F3E">
        <w:rPr>
          <w:rFonts w:ascii="Times New Roman" w:hAnsi="Times New Roman"/>
          <w:color w:val="000000" w:themeColor="text1"/>
          <w:sz w:val="16"/>
          <w:szCs w:val="16"/>
        </w:rPr>
        <w:softHyphen/>
        <w:t>молет № 1875950,</w:t>
      </w:r>
    </w:p>
    <w:p w14:paraId="50026EF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докладам возвратившихся летчи</w:t>
      </w:r>
      <w:r w:rsidRPr="00D03F3E">
        <w:rPr>
          <w:rFonts w:ascii="Times New Roman" w:hAnsi="Times New Roman"/>
          <w:color w:val="000000" w:themeColor="text1"/>
          <w:sz w:val="16"/>
          <w:szCs w:val="16"/>
        </w:rPr>
        <w:softHyphen/>
        <w:t>ков и воздушных стрелков Дядичев и Новиков "были потеряны из виду над це</w:t>
      </w:r>
      <w:r w:rsidRPr="00D03F3E">
        <w:rPr>
          <w:rFonts w:ascii="Times New Roman" w:hAnsi="Times New Roman"/>
          <w:color w:val="000000" w:themeColor="text1"/>
          <w:sz w:val="16"/>
          <w:szCs w:val="16"/>
        </w:rPr>
        <w:softHyphen/>
        <w:t>пью", самолет Лапшина — "задымил в районе цели", а Лаптев — "предположи</w:t>
      </w:r>
      <w:r w:rsidRPr="00D03F3E">
        <w:rPr>
          <w:rFonts w:ascii="Times New Roman" w:hAnsi="Times New Roman"/>
          <w:color w:val="000000" w:themeColor="text1"/>
          <w:sz w:val="16"/>
          <w:szCs w:val="16"/>
        </w:rPr>
        <w:softHyphen/>
        <w:t>тельно ушел от цели курсом 25°".</w:t>
      </w:r>
    </w:p>
    <w:p w14:paraId="086909D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этого, мл. л-т В.Ф. Муравьев (воздушный стрелок сержант М.Г. Клемин) на поврежденном зенитным огнем Ил-2 (зав. № 1876350) сел на вынуж</w:t>
      </w:r>
      <w:r w:rsidRPr="00D03F3E">
        <w:rPr>
          <w:rFonts w:ascii="Times New Roman" w:hAnsi="Times New Roman"/>
          <w:color w:val="000000" w:themeColor="text1"/>
          <w:sz w:val="16"/>
          <w:szCs w:val="16"/>
        </w:rPr>
        <w:softHyphen/>
        <w:t>денную посадку в районе Бряньково. Штурмовик имел 10 пулевых и четыре снарядные пробоины в центроплане и плоскостях крыла. При посадке подло</w:t>
      </w:r>
      <w:r w:rsidRPr="00D03F3E">
        <w:rPr>
          <w:rFonts w:ascii="Times New Roman" w:hAnsi="Times New Roman"/>
          <w:color w:val="000000" w:themeColor="text1"/>
          <w:sz w:val="16"/>
          <w:szCs w:val="16"/>
        </w:rPr>
        <w:softHyphen/>
        <w:t>милась правая стойка шасси, поврежден</w:t>
      </w:r>
      <w:r w:rsidRPr="00D03F3E">
        <w:rPr>
          <w:rFonts w:ascii="Times New Roman" w:hAnsi="Times New Roman"/>
          <w:color w:val="000000" w:themeColor="text1"/>
          <w:sz w:val="16"/>
          <w:szCs w:val="16"/>
        </w:rPr>
        <w:softHyphen/>
        <w:t>ная снарядом МЗА. Самолет был раз</w:t>
      </w:r>
      <w:r w:rsidRPr="00D03F3E">
        <w:rPr>
          <w:rFonts w:ascii="Times New Roman" w:hAnsi="Times New Roman"/>
          <w:color w:val="000000" w:themeColor="text1"/>
          <w:sz w:val="16"/>
          <w:szCs w:val="16"/>
        </w:rPr>
        <w:softHyphen/>
        <w:t>бит, но экипаж не пострадал.</w:t>
      </w:r>
    </w:p>
    <w:p w14:paraId="40ABA22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Налет штурмовиков 571-го шап на аэродром Сеща был дополнен бомбо</w:t>
      </w:r>
      <w:r w:rsidRPr="00D03F3E">
        <w:rPr>
          <w:rFonts w:ascii="Times New Roman" w:hAnsi="Times New Roman"/>
          <w:color w:val="000000" w:themeColor="text1"/>
          <w:sz w:val="16"/>
          <w:szCs w:val="16"/>
        </w:rPr>
        <w:softHyphen/>
        <w:t>вым ударом двух групп по 8 Пе-2 от 204-й бад, которые в период 5.42-5.45 от</w:t>
      </w:r>
      <w:r w:rsidRPr="00D03F3E">
        <w:rPr>
          <w:rFonts w:ascii="Times New Roman" w:hAnsi="Times New Roman"/>
          <w:color w:val="000000" w:themeColor="text1"/>
          <w:sz w:val="16"/>
          <w:szCs w:val="16"/>
        </w:rPr>
        <w:softHyphen/>
        <w:t>бомбились ''по матчасти и аэродромным строениям" с горизонтального полета с высоты 2700-3500 м. Экипажи "пешек" доложили, что им удалось уничтожить и повредить до 29 немецких самолетов, о также разрушить два ангара</w:t>
      </w:r>
    </w:p>
    <w:p w14:paraId="137951B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утренних налетов "следопыты" армии вскрыли базирование до 20 ис</w:t>
      </w:r>
      <w:r w:rsidRPr="00D03F3E">
        <w:rPr>
          <w:rFonts w:ascii="Times New Roman" w:hAnsi="Times New Roman"/>
          <w:color w:val="000000" w:themeColor="text1"/>
          <w:sz w:val="16"/>
          <w:szCs w:val="16"/>
        </w:rPr>
        <w:softHyphen/>
        <w:t>требителей Р^190 и ВП09 на полевом аэродроме Лубинка. Эта группа немец</w:t>
      </w:r>
      <w:r w:rsidRPr="00D03F3E">
        <w:rPr>
          <w:rFonts w:ascii="Times New Roman" w:hAnsi="Times New Roman"/>
          <w:color w:val="000000" w:themeColor="text1"/>
          <w:sz w:val="16"/>
          <w:szCs w:val="16"/>
        </w:rPr>
        <w:softHyphen/>
        <w:t>ких истребителей перехватывала наши самолеты, про</w:t>
      </w:r>
      <w:r w:rsidRPr="00D03F3E">
        <w:rPr>
          <w:rFonts w:ascii="Times New Roman" w:hAnsi="Times New Roman"/>
          <w:color w:val="000000" w:themeColor="text1"/>
          <w:sz w:val="16"/>
          <w:szCs w:val="16"/>
        </w:rPr>
        <w:softHyphen/>
        <w:t>изводя взлет "по-зрячему". И хотя "массовых встреч с истре</w:t>
      </w:r>
      <w:r w:rsidRPr="00D03F3E">
        <w:rPr>
          <w:rFonts w:ascii="Times New Roman" w:hAnsi="Times New Roman"/>
          <w:color w:val="000000" w:themeColor="text1"/>
          <w:sz w:val="16"/>
          <w:szCs w:val="16"/>
        </w:rPr>
        <w:softHyphen/>
        <w:t>бителями про</w:t>
      </w:r>
      <w:r w:rsidRPr="00D03F3E">
        <w:rPr>
          <w:rFonts w:ascii="Times New Roman" w:hAnsi="Times New Roman"/>
          <w:color w:val="000000" w:themeColor="text1"/>
          <w:sz w:val="16"/>
          <w:szCs w:val="16"/>
        </w:rPr>
        <w:softHyphen/>
        <w:t>тивника при первых ударах не было", было решено нанес</w:t>
      </w:r>
      <w:r w:rsidRPr="00D03F3E">
        <w:rPr>
          <w:rFonts w:ascii="Times New Roman" w:hAnsi="Times New Roman"/>
          <w:color w:val="000000" w:themeColor="text1"/>
          <w:sz w:val="16"/>
          <w:szCs w:val="16"/>
        </w:rPr>
        <w:softHyphen/>
        <w:t>ти удары по этой площадке. Во второй по</w:t>
      </w:r>
      <w:r w:rsidRPr="00D03F3E">
        <w:rPr>
          <w:rFonts w:ascii="Times New Roman" w:hAnsi="Times New Roman"/>
          <w:color w:val="000000" w:themeColor="text1"/>
          <w:sz w:val="16"/>
          <w:szCs w:val="16"/>
        </w:rPr>
        <w:softHyphen/>
        <w:t>ловине дня штурмовики и истребители трижды штур</w:t>
      </w:r>
      <w:r w:rsidRPr="00D03F3E">
        <w:rPr>
          <w:rFonts w:ascii="Times New Roman" w:hAnsi="Times New Roman"/>
          <w:color w:val="000000" w:themeColor="text1"/>
          <w:sz w:val="16"/>
          <w:szCs w:val="16"/>
        </w:rPr>
        <w:softHyphen/>
        <w:t>мовали и бом</w:t>
      </w:r>
      <w:r w:rsidRPr="00D03F3E">
        <w:rPr>
          <w:rFonts w:ascii="Times New Roman" w:hAnsi="Times New Roman"/>
          <w:color w:val="000000" w:themeColor="text1"/>
          <w:sz w:val="16"/>
          <w:szCs w:val="16"/>
        </w:rPr>
        <w:softHyphen/>
        <w:t>били этот аэродром.</w:t>
      </w:r>
    </w:p>
    <w:p w14:paraId="3041C51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Первыми открыли счет истребители -6 Як-7 от 20-го иап под прикрытием 7 Як-1 от эскадрильи "Нормандия" в 12.00-1 2.05 атаковали аэродром Лубинка и по докладам экипажей уничтожили на нем около 13 самолетов противника.</w:t>
      </w:r>
    </w:p>
    <w:p w14:paraId="663389E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Второй удар по площадке Лубинка должны были нанести 6 Ил-2 от 571-го шап (ведущий м-р Глуховцев) в сопро</w:t>
      </w:r>
      <w:r w:rsidRPr="00D03F3E">
        <w:rPr>
          <w:rFonts w:ascii="Times New Roman" w:hAnsi="Times New Roman"/>
          <w:color w:val="000000" w:themeColor="text1"/>
          <w:sz w:val="16"/>
          <w:szCs w:val="16"/>
        </w:rPr>
        <w:softHyphen/>
        <w:t>вождении 6 Як-7 от 18-го гиап. Как сле</w:t>
      </w:r>
      <w:r w:rsidRPr="00D03F3E">
        <w:rPr>
          <w:rFonts w:ascii="Times New Roman" w:hAnsi="Times New Roman"/>
          <w:color w:val="000000" w:themeColor="text1"/>
          <w:sz w:val="16"/>
          <w:szCs w:val="16"/>
        </w:rPr>
        <w:softHyphen/>
        <w:t>дует из документов, Ил-2 взлетели в 16.20, через 5 минут к ним пристрои</w:t>
      </w:r>
      <w:r w:rsidRPr="00D03F3E">
        <w:rPr>
          <w:rFonts w:ascii="Times New Roman" w:hAnsi="Times New Roman"/>
          <w:color w:val="000000" w:themeColor="text1"/>
          <w:sz w:val="16"/>
          <w:szCs w:val="16"/>
        </w:rPr>
        <w:softHyphen/>
        <w:t>лись "Яки" прикрытия, и группы взяли курс на аэродром Лубинка. Начиная с этого момента, описание дальнейших событий штурмовиками и истребителями отлича</w:t>
      </w:r>
      <w:r w:rsidRPr="00D03F3E">
        <w:rPr>
          <w:rFonts w:ascii="Times New Roman" w:hAnsi="Times New Roman"/>
          <w:color w:val="000000" w:themeColor="text1"/>
          <w:sz w:val="16"/>
          <w:szCs w:val="16"/>
        </w:rPr>
        <w:softHyphen/>
        <w:t>ется кардинально.</w:t>
      </w:r>
    </w:p>
    <w:p w14:paraId="623E4EB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версии штурмовиков на аэродро</w:t>
      </w:r>
      <w:r w:rsidRPr="00D03F3E">
        <w:rPr>
          <w:rFonts w:ascii="Times New Roman" w:hAnsi="Times New Roman"/>
          <w:color w:val="000000" w:themeColor="text1"/>
          <w:sz w:val="16"/>
          <w:szCs w:val="16"/>
        </w:rPr>
        <w:softHyphen/>
        <w:t>ме Лубинка самолетов не оказалось, по</w:t>
      </w:r>
      <w:r w:rsidRPr="00D03F3E">
        <w:rPr>
          <w:rFonts w:ascii="Times New Roman" w:hAnsi="Times New Roman"/>
          <w:color w:val="000000" w:themeColor="text1"/>
          <w:sz w:val="16"/>
          <w:szCs w:val="16"/>
        </w:rPr>
        <w:softHyphen/>
        <w:t>этому экипажи атаковали в двух заходах на Варшавском шоссе немецкую авто</w:t>
      </w:r>
      <w:r w:rsidRPr="00D03F3E">
        <w:rPr>
          <w:rFonts w:ascii="Times New Roman" w:hAnsi="Times New Roman"/>
          <w:color w:val="000000" w:themeColor="text1"/>
          <w:sz w:val="16"/>
          <w:szCs w:val="16"/>
        </w:rPr>
        <w:softHyphen/>
        <w:t>колонну, которая двигалась в направле</w:t>
      </w:r>
      <w:r w:rsidRPr="00D03F3E">
        <w:rPr>
          <w:rFonts w:ascii="Times New Roman" w:hAnsi="Times New Roman"/>
          <w:color w:val="000000" w:themeColor="text1"/>
          <w:sz w:val="16"/>
          <w:szCs w:val="16"/>
        </w:rPr>
        <w:softHyphen/>
        <w:t>нии на Лубинку. Первый заход выпол</w:t>
      </w:r>
      <w:r w:rsidRPr="00D03F3E">
        <w:rPr>
          <w:rFonts w:ascii="Times New Roman" w:hAnsi="Times New Roman"/>
          <w:color w:val="000000" w:themeColor="text1"/>
          <w:sz w:val="16"/>
          <w:szCs w:val="16"/>
        </w:rPr>
        <w:softHyphen/>
        <w:t>нялся с высоты 400-500 м с пикирования 25-30', а второй — с бреющего полета. В результате удара было уничтожено до 25 автомашин с грузами.</w:t>
      </w:r>
    </w:p>
    <w:p w14:paraId="0B5F911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Истребители 303-й иод эту информа</w:t>
      </w:r>
      <w:r w:rsidRPr="00D03F3E">
        <w:rPr>
          <w:rFonts w:ascii="Times New Roman" w:hAnsi="Times New Roman"/>
          <w:color w:val="000000" w:themeColor="text1"/>
          <w:sz w:val="16"/>
          <w:szCs w:val="16"/>
        </w:rPr>
        <w:softHyphen/>
        <w:t>цию не подтверждают. По докладам вылетавших на сопровождение Ил-2 лет</w:t>
      </w:r>
      <w:r w:rsidRPr="00D03F3E">
        <w:rPr>
          <w:rFonts w:ascii="Times New Roman" w:hAnsi="Times New Roman"/>
          <w:color w:val="000000" w:themeColor="text1"/>
          <w:sz w:val="16"/>
          <w:szCs w:val="16"/>
        </w:rPr>
        <w:softHyphen/>
        <w:t>чиков, самолеты на площадке Лубинка все же были, но штурмовики на цель не вышли, так как потеряли ориентировку. Группа Ил-2 обошла аэродром Лубинка справа и ушла на восток. "Несмотря на то, что ведущий группы истребителей эволюциями показывал им цель, требуя штурмовки аэродрома, штурмовики упор</w:t>
      </w:r>
      <w:r w:rsidRPr="00D03F3E">
        <w:rPr>
          <w:rFonts w:ascii="Times New Roman" w:hAnsi="Times New Roman"/>
          <w:color w:val="000000" w:themeColor="text1"/>
          <w:sz w:val="16"/>
          <w:szCs w:val="16"/>
        </w:rPr>
        <w:softHyphen/>
        <w:t>но шли на восток, так и не выполнив своей боевой задачи", - отмечал по это</w:t>
      </w:r>
      <w:r w:rsidRPr="00D03F3E">
        <w:rPr>
          <w:rFonts w:ascii="Times New Roman" w:hAnsi="Times New Roman"/>
          <w:color w:val="000000" w:themeColor="text1"/>
          <w:sz w:val="16"/>
          <w:szCs w:val="16"/>
        </w:rPr>
        <w:softHyphen/>
        <w:t>му поводу начальник штаба 303-й над п-п-к П.Я. Аристов в отчете о боевой ра</w:t>
      </w:r>
      <w:r w:rsidRPr="00D03F3E">
        <w:rPr>
          <w:rFonts w:ascii="Times New Roman" w:hAnsi="Times New Roman"/>
          <w:color w:val="000000" w:themeColor="text1"/>
          <w:sz w:val="16"/>
          <w:szCs w:val="16"/>
        </w:rPr>
        <w:softHyphen/>
        <w:t>боте дивизии. Истребители довели штур</w:t>
      </w:r>
      <w:r w:rsidRPr="00D03F3E">
        <w:rPr>
          <w:rFonts w:ascii="Times New Roman" w:hAnsi="Times New Roman"/>
          <w:color w:val="000000" w:themeColor="text1"/>
          <w:sz w:val="16"/>
          <w:szCs w:val="16"/>
        </w:rPr>
        <w:softHyphen/>
        <w:t>мовиков до линии фронта, а затем вер</w:t>
      </w:r>
      <w:r w:rsidRPr="00D03F3E">
        <w:rPr>
          <w:rFonts w:ascii="Times New Roman" w:hAnsi="Times New Roman"/>
          <w:color w:val="000000" w:themeColor="text1"/>
          <w:sz w:val="16"/>
          <w:szCs w:val="16"/>
        </w:rPr>
        <w:softHyphen/>
        <w:t>нулись к аэродрому Лубинка и атакова</w:t>
      </w:r>
      <w:r w:rsidRPr="00D03F3E">
        <w:rPr>
          <w:rFonts w:ascii="Times New Roman" w:hAnsi="Times New Roman"/>
          <w:color w:val="000000" w:themeColor="text1"/>
          <w:sz w:val="16"/>
          <w:szCs w:val="16"/>
        </w:rPr>
        <w:softHyphen/>
        <w:t>ли стрелково-пушечным огнем находив</w:t>
      </w:r>
      <w:r w:rsidRPr="00D03F3E">
        <w:rPr>
          <w:rFonts w:ascii="Times New Roman" w:hAnsi="Times New Roman"/>
          <w:color w:val="000000" w:themeColor="text1"/>
          <w:sz w:val="16"/>
          <w:szCs w:val="16"/>
        </w:rPr>
        <w:softHyphen/>
        <w:t>шиеся на нем самолеты противника. Все</w:t>
      </w:r>
      <w:r w:rsidRPr="00D03F3E">
        <w:rPr>
          <w:rFonts w:ascii="Times New Roman" w:hAnsi="Times New Roman"/>
          <w:color w:val="000000" w:themeColor="text1"/>
          <w:sz w:val="16"/>
          <w:szCs w:val="16"/>
        </w:rPr>
        <w:softHyphen/>
        <w:t>го выполнено до 1 5 атак.</w:t>
      </w:r>
    </w:p>
    <w:p w14:paraId="6C4EC0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Отчасти это подтверждается докумен</w:t>
      </w:r>
      <w:r w:rsidRPr="00D03F3E">
        <w:rPr>
          <w:rFonts w:ascii="Times New Roman" w:hAnsi="Times New Roman"/>
          <w:color w:val="000000" w:themeColor="text1"/>
          <w:sz w:val="16"/>
          <w:szCs w:val="16"/>
        </w:rPr>
        <w:softHyphen/>
        <w:t>тами штаба 1-й воздушной армии. В от</w:t>
      </w:r>
      <w:r w:rsidRPr="00D03F3E">
        <w:rPr>
          <w:rFonts w:ascii="Times New Roman" w:hAnsi="Times New Roman"/>
          <w:color w:val="000000" w:themeColor="text1"/>
          <w:sz w:val="16"/>
          <w:szCs w:val="16"/>
        </w:rPr>
        <w:softHyphen/>
        <w:t>чете о проведенной операции в период 6-14 мая есть упоминание о том, что 7 истребителей Як-7 от 303-й иад (вылет в 16.25) атаковали полевой аэродром Лубинка и уничтожили на нем до 6 само</w:t>
      </w:r>
      <w:r w:rsidRPr="00D03F3E">
        <w:rPr>
          <w:rFonts w:ascii="Times New Roman" w:hAnsi="Times New Roman"/>
          <w:color w:val="000000" w:themeColor="text1"/>
          <w:sz w:val="16"/>
          <w:szCs w:val="16"/>
        </w:rPr>
        <w:softHyphen/>
        <w:t>летов противника на земле и один Р^/190 в воздушном бою.</w:t>
      </w:r>
    </w:p>
    <w:p w14:paraId="244D2C0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Повторные налеты на аэродромы Сеща, Брянск и третий удар по полевой площадке Лубинка были выполнены в пе</w:t>
      </w:r>
      <w:r w:rsidRPr="00D03F3E">
        <w:rPr>
          <w:rFonts w:ascii="Times New Roman" w:hAnsi="Times New Roman"/>
          <w:color w:val="000000" w:themeColor="text1"/>
          <w:sz w:val="16"/>
          <w:szCs w:val="16"/>
        </w:rPr>
        <w:softHyphen/>
        <w:t>риод 19.25-19.56. Штурмовики в этих уда</w:t>
      </w:r>
      <w:r w:rsidRPr="00D03F3E">
        <w:rPr>
          <w:rFonts w:ascii="Times New Roman" w:hAnsi="Times New Roman"/>
          <w:color w:val="000000" w:themeColor="text1"/>
          <w:sz w:val="16"/>
          <w:szCs w:val="16"/>
        </w:rPr>
        <w:softHyphen/>
        <w:t>рах не участвовали. Боевое задание "от</w:t>
      </w:r>
      <w:r w:rsidRPr="00D03F3E">
        <w:rPr>
          <w:rFonts w:ascii="Times New Roman" w:hAnsi="Times New Roman"/>
          <w:color w:val="000000" w:themeColor="text1"/>
          <w:sz w:val="16"/>
          <w:szCs w:val="16"/>
        </w:rPr>
        <w:softHyphen/>
        <w:t>работали" 36 Пе-2 и 34 истребителей. Все удары сопровождались активным противодействием истребителей и зенит</w:t>
      </w:r>
      <w:r w:rsidRPr="00D03F3E">
        <w:rPr>
          <w:rFonts w:ascii="Times New Roman" w:hAnsi="Times New Roman"/>
          <w:color w:val="000000" w:themeColor="text1"/>
          <w:sz w:val="16"/>
          <w:szCs w:val="16"/>
        </w:rPr>
        <w:softHyphen/>
        <w:t>ной артиллерии противника. Фотоконт</w:t>
      </w:r>
      <w:r w:rsidRPr="00D03F3E">
        <w:rPr>
          <w:rFonts w:ascii="Times New Roman" w:hAnsi="Times New Roman"/>
          <w:color w:val="000000" w:themeColor="text1"/>
          <w:sz w:val="16"/>
          <w:szCs w:val="16"/>
        </w:rPr>
        <w:softHyphen/>
        <w:t>роль проводился только при налете на аэродром Сеща. В остальных случаях эки</w:t>
      </w:r>
      <w:r w:rsidRPr="00D03F3E">
        <w:rPr>
          <w:rFonts w:ascii="Times New Roman" w:hAnsi="Times New Roman"/>
          <w:color w:val="000000" w:themeColor="text1"/>
          <w:sz w:val="16"/>
          <w:szCs w:val="16"/>
        </w:rPr>
        <w:softHyphen/>
        <w:t>пажи результатов своих действий не на</w:t>
      </w:r>
      <w:r w:rsidRPr="00D03F3E">
        <w:rPr>
          <w:rFonts w:ascii="Times New Roman" w:hAnsi="Times New Roman"/>
          <w:color w:val="000000" w:themeColor="text1"/>
          <w:sz w:val="16"/>
          <w:szCs w:val="16"/>
        </w:rPr>
        <w:softHyphen/>
        <w:t>блюдали.</w:t>
      </w:r>
    </w:p>
    <w:p w14:paraId="3F9FDFA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Обобщенные данные штаба 1-й воз</w:t>
      </w:r>
      <w:r w:rsidRPr="00D03F3E">
        <w:rPr>
          <w:rFonts w:ascii="Times New Roman" w:hAnsi="Times New Roman"/>
          <w:color w:val="000000" w:themeColor="text1"/>
          <w:sz w:val="16"/>
          <w:szCs w:val="16"/>
        </w:rPr>
        <w:softHyphen/>
        <w:t>душной армии выглядят весьма внуши</w:t>
      </w:r>
      <w:r w:rsidRPr="00D03F3E">
        <w:rPr>
          <w:rFonts w:ascii="Times New Roman" w:hAnsi="Times New Roman"/>
          <w:color w:val="000000" w:themeColor="text1"/>
          <w:sz w:val="16"/>
          <w:szCs w:val="16"/>
        </w:rPr>
        <w:softHyphen/>
        <w:t>тельно. Потери противника в течение 6 мая оценивались в 104 самолетов, унич</w:t>
      </w:r>
      <w:r w:rsidRPr="00D03F3E">
        <w:rPr>
          <w:rFonts w:ascii="Times New Roman" w:hAnsi="Times New Roman"/>
          <w:color w:val="000000" w:themeColor="text1"/>
          <w:sz w:val="16"/>
          <w:szCs w:val="16"/>
        </w:rPr>
        <w:softHyphen/>
        <w:t>тоженных и поврежденных на земле, и 8 самолетов (6 ру/190, один ВП09 и один В(1 10), сбитых в воздушных боях. Из это</w:t>
      </w:r>
      <w:r w:rsidRPr="00D03F3E">
        <w:rPr>
          <w:rFonts w:ascii="Times New Roman" w:hAnsi="Times New Roman"/>
          <w:color w:val="000000" w:themeColor="text1"/>
          <w:sz w:val="16"/>
          <w:szCs w:val="16"/>
        </w:rPr>
        <w:softHyphen/>
        <w:t>го числа на долю штурмовиков Ил-2 при</w:t>
      </w:r>
      <w:r w:rsidRPr="00D03F3E">
        <w:rPr>
          <w:rFonts w:ascii="Times New Roman" w:hAnsi="Times New Roman"/>
          <w:color w:val="000000" w:themeColor="text1"/>
          <w:sz w:val="16"/>
          <w:szCs w:val="16"/>
        </w:rPr>
        <w:softHyphen/>
        <w:t>ходится 87 самолетов противника.</w:t>
      </w:r>
    </w:p>
    <w:p w14:paraId="7353662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своих потерь в отчетные докумен</w:t>
      </w:r>
      <w:r w:rsidRPr="00D03F3E">
        <w:rPr>
          <w:rFonts w:ascii="Times New Roman" w:hAnsi="Times New Roman"/>
          <w:color w:val="000000" w:themeColor="text1"/>
          <w:sz w:val="16"/>
          <w:szCs w:val="16"/>
        </w:rPr>
        <w:softHyphen/>
        <w:t>ты вошли только две "пешки", два Ил-2 и пара Як-1, сбитых зенитным огнем про</w:t>
      </w:r>
      <w:r w:rsidRPr="00D03F3E">
        <w:rPr>
          <w:rFonts w:ascii="Times New Roman" w:hAnsi="Times New Roman"/>
          <w:color w:val="000000" w:themeColor="text1"/>
          <w:sz w:val="16"/>
          <w:szCs w:val="16"/>
        </w:rPr>
        <w:softHyphen/>
        <w:t>тивника, два "Ила", не вернувшихся на свои аэродромы, и один "Як", потерпевший катастрофу при возвращении с бо</w:t>
      </w:r>
      <w:r w:rsidRPr="00D03F3E">
        <w:rPr>
          <w:rFonts w:ascii="Times New Roman" w:hAnsi="Times New Roman"/>
          <w:color w:val="000000" w:themeColor="text1"/>
          <w:sz w:val="16"/>
          <w:szCs w:val="16"/>
        </w:rPr>
        <w:softHyphen/>
        <w:t>евого задания. Го есть штаб 1-й ВА "за</w:t>
      </w:r>
      <w:r w:rsidRPr="00D03F3E">
        <w:rPr>
          <w:rFonts w:ascii="Times New Roman" w:hAnsi="Times New Roman"/>
          <w:color w:val="000000" w:themeColor="text1"/>
          <w:sz w:val="16"/>
          <w:szCs w:val="16"/>
        </w:rPr>
        <w:softHyphen/>
        <w:t>был" включить в список потерь еще 5 самолетов Ил-2, трех летчиков и двух воз</w:t>
      </w:r>
      <w:r w:rsidRPr="00D03F3E">
        <w:rPr>
          <w:rFonts w:ascii="Times New Roman" w:hAnsi="Times New Roman"/>
          <w:color w:val="000000" w:themeColor="text1"/>
          <w:sz w:val="16"/>
          <w:szCs w:val="16"/>
        </w:rPr>
        <w:softHyphen/>
        <w:t>душных стрелков.</w:t>
      </w:r>
    </w:p>
    <w:p w14:paraId="6182BC4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Несколько лучше обстояли дела с планированием и организацией ударов по немецким аэродромам во 2-й воздуш</w:t>
      </w:r>
      <w:r w:rsidRPr="00D03F3E">
        <w:rPr>
          <w:rFonts w:ascii="Times New Roman" w:hAnsi="Times New Roman"/>
          <w:color w:val="000000" w:themeColor="text1"/>
          <w:sz w:val="16"/>
          <w:szCs w:val="16"/>
        </w:rPr>
        <w:softHyphen/>
        <w:t>ной армии. Однако и здесь у командую</w:t>
      </w:r>
      <w:r w:rsidRPr="00D03F3E">
        <w:rPr>
          <w:rFonts w:ascii="Times New Roman" w:hAnsi="Times New Roman"/>
          <w:color w:val="000000" w:themeColor="text1"/>
          <w:sz w:val="16"/>
          <w:szCs w:val="16"/>
        </w:rPr>
        <w:softHyphen/>
        <w:t>щего армией генерал-лейтенанта С.А. Красовского и его штаба получилось далеко не все из того, что было задума</w:t>
      </w:r>
      <w:r w:rsidRPr="00D03F3E">
        <w:rPr>
          <w:rFonts w:ascii="Times New Roman" w:hAnsi="Times New Roman"/>
          <w:color w:val="000000" w:themeColor="text1"/>
          <w:sz w:val="16"/>
          <w:szCs w:val="16"/>
        </w:rPr>
        <w:softHyphen/>
        <w:t>но.</w:t>
      </w:r>
    </w:p>
    <w:p w14:paraId="6F7D24F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Имея точные данные о сосредоточе</w:t>
      </w:r>
      <w:r w:rsidRPr="00D03F3E">
        <w:rPr>
          <w:rFonts w:ascii="Times New Roman" w:hAnsi="Times New Roman"/>
          <w:color w:val="000000" w:themeColor="text1"/>
          <w:sz w:val="16"/>
          <w:szCs w:val="16"/>
        </w:rPr>
        <w:softHyphen/>
        <w:t>нии самолетов противника на аэродро</w:t>
      </w:r>
      <w:r w:rsidRPr="00D03F3E">
        <w:rPr>
          <w:rFonts w:ascii="Times New Roman" w:hAnsi="Times New Roman"/>
          <w:color w:val="000000" w:themeColor="text1"/>
          <w:sz w:val="16"/>
          <w:szCs w:val="16"/>
        </w:rPr>
        <w:softHyphen/>
        <w:t>мах Харьковского аэроузла (до 150 ис</w:t>
      </w:r>
      <w:r w:rsidRPr="00D03F3E">
        <w:rPr>
          <w:rFonts w:ascii="Times New Roman" w:hAnsi="Times New Roman"/>
          <w:color w:val="000000" w:themeColor="text1"/>
          <w:sz w:val="16"/>
          <w:szCs w:val="16"/>
        </w:rPr>
        <w:softHyphen/>
        <w:t>требителей и 200 бомбардировщиков), генерал Красовский принял решение на</w:t>
      </w:r>
      <w:r w:rsidRPr="00D03F3E">
        <w:rPr>
          <w:rFonts w:ascii="Times New Roman" w:hAnsi="Times New Roman"/>
          <w:color w:val="000000" w:themeColor="text1"/>
          <w:sz w:val="16"/>
          <w:szCs w:val="16"/>
        </w:rPr>
        <w:softHyphen/>
        <w:t>нести первый удар по аэродромам Ро-гань, Харьков-Сокольники, Харьков-Алеш</w:t>
      </w:r>
      <w:r w:rsidRPr="00D03F3E">
        <w:rPr>
          <w:rFonts w:ascii="Times New Roman" w:hAnsi="Times New Roman"/>
          <w:color w:val="000000" w:themeColor="text1"/>
          <w:sz w:val="16"/>
          <w:szCs w:val="16"/>
        </w:rPr>
        <w:softHyphen/>
        <w:t>ки, Основа и Полтава в период 5.05-5.15 6 мая.</w:t>
      </w:r>
    </w:p>
    <w:p w14:paraId="2EFEF9C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налете предполагалось задейство</w:t>
      </w:r>
      <w:r w:rsidRPr="00D03F3E">
        <w:rPr>
          <w:rFonts w:ascii="Times New Roman" w:hAnsi="Times New Roman"/>
          <w:color w:val="000000" w:themeColor="text1"/>
          <w:sz w:val="16"/>
          <w:szCs w:val="16"/>
        </w:rPr>
        <w:softHyphen/>
        <w:t>вать 30 Ил-2 от 1 -го шок, 38 истребите</w:t>
      </w:r>
      <w:r w:rsidRPr="00D03F3E">
        <w:rPr>
          <w:rFonts w:ascii="Times New Roman" w:hAnsi="Times New Roman"/>
          <w:color w:val="000000" w:themeColor="text1"/>
          <w:sz w:val="16"/>
          <w:szCs w:val="16"/>
        </w:rPr>
        <w:softHyphen/>
        <w:t>лей от 4-го иак и 10 бомбардировщиков А-20В от 454-го бап. При этом 12 Ил-2 под прикрытием 12 Як-16 "работали" по аэродрому Харьков-Алешки, 12 Ил-2 под прикрытием 1 8 Ла-5 - по аэродрому Ро-гань и 6 Ил-2 под прикрытием 8 Як-76 — по аэродрому Харьков-Сокольники. "Бо</w:t>
      </w:r>
      <w:r w:rsidRPr="00D03F3E">
        <w:rPr>
          <w:rFonts w:ascii="Times New Roman" w:hAnsi="Times New Roman"/>
          <w:color w:val="000000" w:themeColor="text1"/>
          <w:sz w:val="16"/>
          <w:szCs w:val="16"/>
        </w:rPr>
        <w:softHyphen/>
        <w:t>стоны" наносили удар двумя группами по 5 самолетов по аэродромам Полтава и Основа с высоты 5500-6000 м без при</w:t>
      </w:r>
      <w:r w:rsidRPr="00D03F3E">
        <w:rPr>
          <w:rFonts w:ascii="Times New Roman" w:hAnsi="Times New Roman"/>
          <w:color w:val="000000" w:themeColor="text1"/>
          <w:sz w:val="16"/>
          <w:szCs w:val="16"/>
        </w:rPr>
        <w:softHyphen/>
        <w:t>крытия истребителей.</w:t>
      </w:r>
    </w:p>
    <w:p w14:paraId="06C14B6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Выбор времени удара был выбран исходя из того, что летный день на не</w:t>
      </w:r>
      <w:r w:rsidRPr="00D03F3E">
        <w:rPr>
          <w:rFonts w:ascii="Times New Roman" w:hAnsi="Times New Roman"/>
          <w:color w:val="000000" w:themeColor="text1"/>
          <w:sz w:val="16"/>
          <w:szCs w:val="16"/>
        </w:rPr>
        <w:softHyphen/>
        <w:t>мецких аэродромах в последние трое суток начинался в 6.00, а личный состав прибывал на аэродром к 5.00. Это об</w:t>
      </w:r>
      <w:r w:rsidRPr="00D03F3E">
        <w:rPr>
          <w:rFonts w:ascii="Times New Roman" w:hAnsi="Times New Roman"/>
          <w:color w:val="000000" w:themeColor="text1"/>
          <w:sz w:val="16"/>
          <w:szCs w:val="16"/>
        </w:rPr>
        <w:softHyphen/>
        <w:t>стоятельство определило и трудность вы</w:t>
      </w:r>
      <w:r w:rsidRPr="00D03F3E">
        <w:rPr>
          <w:rFonts w:ascii="Times New Roman" w:hAnsi="Times New Roman"/>
          <w:color w:val="000000" w:themeColor="text1"/>
          <w:sz w:val="16"/>
          <w:szCs w:val="16"/>
        </w:rPr>
        <w:softHyphen/>
        <w:t>полнения боевого вылета, так как взлет и сбор групп штурмовиков должен был происходить почти в темноте.</w:t>
      </w:r>
    </w:p>
    <w:p w14:paraId="40761E1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Чтобы не всполошить противника раньше времени, было решено против обыкновения отказаться от предваритель</w:t>
      </w:r>
      <w:r w:rsidRPr="00D03F3E">
        <w:rPr>
          <w:rFonts w:ascii="Times New Roman" w:hAnsi="Times New Roman"/>
          <w:color w:val="000000" w:themeColor="text1"/>
          <w:sz w:val="16"/>
          <w:szCs w:val="16"/>
        </w:rPr>
        <w:softHyphen/>
        <w:t>ного блокирования аэродромов своими истребителями.</w:t>
      </w:r>
    </w:p>
    <w:p w14:paraId="0E6CF4E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Штурмовики действовали в составе шестерок, которые следовали друг за другом на удалении не более 200-300 м. Специальной группы или экипажей для подавления огневых средств ПВО аэро</w:t>
      </w:r>
      <w:r w:rsidRPr="00D03F3E">
        <w:rPr>
          <w:rFonts w:ascii="Times New Roman" w:hAnsi="Times New Roman"/>
          <w:color w:val="000000" w:themeColor="text1"/>
          <w:sz w:val="16"/>
          <w:szCs w:val="16"/>
        </w:rPr>
        <w:softHyphen/>
        <w:t>дромов не выделялось. Предполагалось, что летчики будут выполнять эту задачу попутно со штурмовкой матчасти на аэродроме в зависимости от обстанов</w:t>
      </w:r>
      <w:r w:rsidRPr="00D03F3E">
        <w:rPr>
          <w:rFonts w:ascii="Times New Roman" w:hAnsi="Times New Roman"/>
          <w:color w:val="000000" w:themeColor="text1"/>
          <w:sz w:val="16"/>
          <w:szCs w:val="16"/>
        </w:rPr>
        <w:softHyphen/>
        <w:t>ки в районе цели.</w:t>
      </w:r>
    </w:p>
    <w:p w14:paraId="04FC23A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Встреча штурмовиков с истребителя</w:t>
      </w:r>
      <w:r w:rsidRPr="00D03F3E">
        <w:rPr>
          <w:rFonts w:ascii="Times New Roman" w:hAnsi="Times New Roman"/>
          <w:color w:val="000000" w:themeColor="text1"/>
          <w:sz w:val="16"/>
          <w:szCs w:val="16"/>
        </w:rPr>
        <w:softHyphen/>
        <w:t>ми прикрытия и построение в общий боевой порядок планировалась над аэродромами базирования истребите</w:t>
      </w:r>
      <w:r w:rsidRPr="00D03F3E">
        <w:rPr>
          <w:rFonts w:ascii="Times New Roman" w:hAnsi="Times New Roman"/>
          <w:color w:val="000000" w:themeColor="text1"/>
          <w:sz w:val="16"/>
          <w:szCs w:val="16"/>
        </w:rPr>
        <w:softHyphen/>
        <w:t>лей.</w:t>
      </w:r>
    </w:p>
    <w:p w14:paraId="57EF859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Истребители подразделялись на груп</w:t>
      </w:r>
      <w:r w:rsidRPr="00D03F3E">
        <w:rPr>
          <w:rFonts w:ascii="Times New Roman" w:hAnsi="Times New Roman"/>
          <w:color w:val="000000" w:themeColor="text1"/>
          <w:sz w:val="16"/>
          <w:szCs w:val="16"/>
        </w:rPr>
        <w:softHyphen/>
        <w:t>пу непосредственного сопровождения и ударную группу. Группа сопровождения шла непосредственно со штурмовиками в двух эшелонах, а ударная группа - с превышением и сзади группы непосред</w:t>
      </w:r>
      <w:r w:rsidRPr="00D03F3E">
        <w:rPr>
          <w:rFonts w:ascii="Times New Roman" w:hAnsi="Times New Roman"/>
          <w:color w:val="000000" w:themeColor="text1"/>
          <w:sz w:val="16"/>
          <w:szCs w:val="16"/>
        </w:rPr>
        <w:softHyphen/>
        <w:t>ственного сопровождения.</w:t>
      </w:r>
    </w:p>
    <w:p w14:paraId="1AE400B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видно, планом предусматривалось единое истребительное прикрытие всех групп Ил-2, что обеспечивало лучшую обороноспособность при отражении на</w:t>
      </w:r>
      <w:r w:rsidRPr="00D03F3E">
        <w:rPr>
          <w:rFonts w:ascii="Times New Roman" w:hAnsi="Times New Roman"/>
          <w:color w:val="000000" w:themeColor="text1"/>
          <w:sz w:val="16"/>
          <w:szCs w:val="16"/>
        </w:rPr>
        <w:softHyphen/>
        <w:t>падения истребителей противника и, не</w:t>
      </w:r>
      <w:r w:rsidRPr="00D03F3E">
        <w:rPr>
          <w:rFonts w:ascii="Times New Roman" w:hAnsi="Times New Roman"/>
          <w:color w:val="000000" w:themeColor="text1"/>
          <w:sz w:val="16"/>
          <w:szCs w:val="16"/>
        </w:rPr>
        <w:softHyphen/>
        <w:t>сомненно, является его достоинством. Однако отсутствие в составе штурмови</w:t>
      </w:r>
      <w:r w:rsidRPr="00D03F3E">
        <w:rPr>
          <w:rFonts w:ascii="Times New Roman" w:hAnsi="Times New Roman"/>
          <w:color w:val="000000" w:themeColor="text1"/>
          <w:sz w:val="16"/>
          <w:szCs w:val="16"/>
        </w:rPr>
        <w:softHyphen/>
        <w:t>ков специально выделенной группы по</w:t>
      </w:r>
      <w:r w:rsidRPr="00D03F3E">
        <w:rPr>
          <w:rFonts w:ascii="Times New Roman" w:hAnsi="Times New Roman"/>
          <w:color w:val="000000" w:themeColor="text1"/>
          <w:sz w:val="16"/>
          <w:szCs w:val="16"/>
        </w:rPr>
        <w:softHyphen/>
        <w:t>давления зенитных средств все же сле</w:t>
      </w:r>
      <w:r w:rsidRPr="00D03F3E">
        <w:rPr>
          <w:rFonts w:ascii="Times New Roman" w:hAnsi="Times New Roman"/>
          <w:color w:val="000000" w:themeColor="text1"/>
          <w:sz w:val="16"/>
          <w:szCs w:val="16"/>
        </w:rPr>
        <w:softHyphen/>
        <w:t>дует отнести к его недостаткам.</w:t>
      </w:r>
    </w:p>
    <w:p w14:paraId="37FC3BA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Наиболее показательным оказался удар штурмовиков 673-го шап 266-й шад по аэродрому Рогань.</w:t>
      </w:r>
    </w:p>
    <w:p w14:paraId="628A5BD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Ведущими двух шестерок были назна</w:t>
      </w:r>
      <w:r w:rsidRPr="00D03F3E">
        <w:rPr>
          <w:rFonts w:ascii="Times New Roman" w:hAnsi="Times New Roman"/>
          <w:color w:val="000000" w:themeColor="text1"/>
          <w:sz w:val="16"/>
          <w:szCs w:val="16"/>
        </w:rPr>
        <w:softHyphen/>
        <w:t>чены к-н Елисеев и мл. л-т Александров, которые ранее летали с аэродрома Ро</w:t>
      </w:r>
      <w:r w:rsidRPr="00D03F3E">
        <w:rPr>
          <w:rFonts w:ascii="Times New Roman" w:hAnsi="Times New Roman"/>
          <w:color w:val="000000" w:themeColor="text1"/>
          <w:sz w:val="16"/>
          <w:szCs w:val="16"/>
        </w:rPr>
        <w:softHyphen/>
        <w:t>гань и поэтому хорошо знали как сам аэродром, так и подходы к нему.</w:t>
      </w:r>
    </w:p>
    <w:p w14:paraId="70F190C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Экипажи получили фотопланшет аэро</w:t>
      </w:r>
      <w:r w:rsidRPr="00D03F3E">
        <w:rPr>
          <w:rFonts w:ascii="Times New Roman" w:hAnsi="Times New Roman"/>
          <w:color w:val="000000" w:themeColor="text1"/>
          <w:sz w:val="16"/>
          <w:szCs w:val="16"/>
        </w:rPr>
        <w:softHyphen/>
        <w:t>дрома по состоянию на 17.55 5 мая. К этому времени на аэродроме находилось 107 самолетов-истребителей типа Ме 109 и ФВ 190. Основываясь на этих данных, командир полка к-н Матнаков провел проигрыш полета и под</w:t>
      </w:r>
      <w:r w:rsidRPr="00D03F3E">
        <w:rPr>
          <w:rFonts w:ascii="Times New Roman" w:hAnsi="Times New Roman"/>
          <w:color w:val="000000" w:themeColor="text1"/>
          <w:sz w:val="16"/>
          <w:szCs w:val="16"/>
        </w:rPr>
        <w:softHyphen/>
        <w:t>робно указал маневр каж</w:t>
      </w:r>
      <w:r w:rsidRPr="00D03F3E">
        <w:rPr>
          <w:rFonts w:ascii="Times New Roman" w:hAnsi="Times New Roman"/>
          <w:color w:val="000000" w:themeColor="text1"/>
          <w:sz w:val="16"/>
          <w:szCs w:val="16"/>
        </w:rPr>
        <w:softHyphen/>
        <w:t>дого экипажа, порядок вы</w:t>
      </w:r>
      <w:r w:rsidRPr="00D03F3E">
        <w:rPr>
          <w:rFonts w:ascii="Times New Roman" w:hAnsi="Times New Roman"/>
          <w:color w:val="000000" w:themeColor="text1"/>
          <w:sz w:val="16"/>
          <w:szCs w:val="16"/>
        </w:rPr>
        <w:softHyphen/>
        <w:t>хода из атаки и сбор группы после атаки.</w:t>
      </w:r>
    </w:p>
    <w:p w14:paraId="7E4C2E6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Маршрут полета был выбран таким образом, что</w:t>
      </w:r>
      <w:r w:rsidRPr="00D03F3E">
        <w:rPr>
          <w:rFonts w:ascii="Times New Roman" w:hAnsi="Times New Roman"/>
          <w:color w:val="000000" w:themeColor="text1"/>
          <w:sz w:val="16"/>
          <w:szCs w:val="16"/>
        </w:rPr>
        <w:softHyphen/>
        <w:t>бы пересечь линию фрон</w:t>
      </w:r>
      <w:r w:rsidRPr="00D03F3E">
        <w:rPr>
          <w:rFonts w:ascii="Times New Roman" w:hAnsi="Times New Roman"/>
          <w:color w:val="000000" w:themeColor="text1"/>
          <w:sz w:val="16"/>
          <w:szCs w:val="16"/>
        </w:rPr>
        <w:softHyphen/>
        <w:t>та в районе без густой сети дорог, без населен</w:t>
      </w:r>
      <w:r w:rsidRPr="00D03F3E">
        <w:rPr>
          <w:rFonts w:ascii="Times New Roman" w:hAnsi="Times New Roman"/>
          <w:color w:val="000000" w:themeColor="text1"/>
          <w:sz w:val="16"/>
          <w:szCs w:val="16"/>
        </w:rPr>
        <w:softHyphen/>
        <w:t>ных пунктов и аэродромов противника. Это исключало наличие большого количества постов ВНОС и огневых точек зенитной артил</w:t>
      </w:r>
      <w:r w:rsidRPr="00D03F3E">
        <w:rPr>
          <w:rFonts w:ascii="Times New Roman" w:hAnsi="Times New Roman"/>
          <w:color w:val="000000" w:themeColor="text1"/>
          <w:sz w:val="16"/>
          <w:szCs w:val="16"/>
        </w:rPr>
        <w:softHyphen/>
        <w:t>лерии.</w:t>
      </w:r>
    </w:p>
    <w:p w14:paraId="4B9D3F6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Первая группа Ил-2 (ведущий к-н Ели</w:t>
      </w:r>
      <w:r w:rsidRPr="00D03F3E">
        <w:rPr>
          <w:rFonts w:ascii="Times New Roman" w:hAnsi="Times New Roman"/>
          <w:color w:val="000000" w:themeColor="text1"/>
          <w:sz w:val="16"/>
          <w:szCs w:val="16"/>
        </w:rPr>
        <w:softHyphen/>
        <w:t>сеев) взлетела в 4.43, и следом за ней через две минуты поднялась в воздух вто</w:t>
      </w:r>
      <w:r w:rsidRPr="00D03F3E">
        <w:rPr>
          <w:rFonts w:ascii="Times New Roman" w:hAnsi="Times New Roman"/>
          <w:color w:val="000000" w:themeColor="text1"/>
          <w:sz w:val="16"/>
          <w:szCs w:val="16"/>
        </w:rPr>
        <w:softHyphen/>
        <w:t>рая группа (ведущий мл. л-т Александ</w:t>
      </w:r>
      <w:r w:rsidRPr="00D03F3E">
        <w:rPr>
          <w:rFonts w:ascii="Times New Roman" w:hAnsi="Times New Roman"/>
          <w:color w:val="000000" w:themeColor="text1"/>
          <w:sz w:val="16"/>
          <w:szCs w:val="16"/>
        </w:rPr>
        <w:softHyphen/>
        <w:t>ров). Несмотря на предрассветные су</w:t>
      </w:r>
      <w:r w:rsidRPr="00D03F3E">
        <w:rPr>
          <w:rFonts w:ascii="Times New Roman" w:hAnsi="Times New Roman"/>
          <w:color w:val="000000" w:themeColor="text1"/>
          <w:sz w:val="16"/>
          <w:szCs w:val="16"/>
        </w:rPr>
        <w:softHyphen/>
        <w:t>мерки, местный туман и дымку, взлет и сбор групп прошел, можно сказать, об</w:t>
      </w:r>
      <w:r w:rsidRPr="00D03F3E">
        <w:rPr>
          <w:rFonts w:ascii="Times New Roman" w:hAnsi="Times New Roman"/>
          <w:color w:val="000000" w:themeColor="text1"/>
          <w:sz w:val="16"/>
          <w:szCs w:val="16"/>
        </w:rPr>
        <w:softHyphen/>
        <w:t>разцово. Над аэродромом базирования истребителей Уразово к штурмовикам пристроились 18 Ла-5 от 240-го и 193-го иол 302-й над. Ударная группа истре</w:t>
      </w:r>
      <w:r w:rsidRPr="00D03F3E">
        <w:rPr>
          <w:rFonts w:ascii="Times New Roman" w:hAnsi="Times New Roman"/>
          <w:color w:val="000000" w:themeColor="text1"/>
          <w:sz w:val="16"/>
          <w:szCs w:val="16"/>
        </w:rPr>
        <w:softHyphen/>
        <w:t>бителей (примерно одна треть сил) за</w:t>
      </w:r>
      <w:r w:rsidRPr="00D03F3E">
        <w:rPr>
          <w:rFonts w:ascii="Times New Roman" w:hAnsi="Times New Roman"/>
          <w:color w:val="000000" w:themeColor="text1"/>
          <w:sz w:val="16"/>
          <w:szCs w:val="16"/>
        </w:rPr>
        <w:softHyphen/>
        <w:t>нимала положение со стороны солнца, чтобы прикрыть Ил-2 от внезапной ата</w:t>
      </w:r>
      <w:r w:rsidRPr="00D03F3E">
        <w:rPr>
          <w:rFonts w:ascii="Times New Roman" w:hAnsi="Times New Roman"/>
          <w:color w:val="000000" w:themeColor="text1"/>
          <w:sz w:val="16"/>
          <w:szCs w:val="16"/>
        </w:rPr>
        <w:softHyphen/>
        <w:t>ки истребителей противника с этого на</w:t>
      </w:r>
      <w:r w:rsidRPr="00D03F3E">
        <w:rPr>
          <w:rFonts w:ascii="Times New Roman" w:hAnsi="Times New Roman"/>
          <w:color w:val="000000" w:themeColor="text1"/>
          <w:sz w:val="16"/>
          <w:szCs w:val="16"/>
        </w:rPr>
        <w:softHyphen/>
        <w:t>правления.</w:t>
      </w:r>
    </w:p>
    <w:p w14:paraId="6A95EA0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 до линии фронта выполнялся на высоте 400 м, а пролет линии фрон</w:t>
      </w:r>
      <w:r w:rsidRPr="00D03F3E">
        <w:rPr>
          <w:rFonts w:ascii="Times New Roman" w:hAnsi="Times New Roman"/>
          <w:color w:val="000000" w:themeColor="text1"/>
          <w:sz w:val="16"/>
          <w:szCs w:val="16"/>
        </w:rPr>
        <w:softHyphen/>
        <w:t>та - на высоте 1500 м. Каждая шестер</w:t>
      </w:r>
      <w:r w:rsidRPr="00D03F3E">
        <w:rPr>
          <w:rFonts w:ascii="Times New Roman" w:hAnsi="Times New Roman"/>
          <w:color w:val="000000" w:themeColor="text1"/>
          <w:sz w:val="16"/>
          <w:szCs w:val="16"/>
        </w:rPr>
        <w:softHyphen/>
        <w:t>ка шла в правом "пеленге".</w:t>
      </w:r>
    </w:p>
    <w:p w14:paraId="143FA3F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 доходя до аэродрома 10-12 км, экипажи Ил-2 сбавили газ и на приглу</w:t>
      </w:r>
      <w:r w:rsidRPr="00D03F3E">
        <w:rPr>
          <w:rFonts w:ascii="Times New Roman" w:hAnsi="Times New Roman"/>
          <w:color w:val="000000" w:themeColor="text1"/>
          <w:sz w:val="16"/>
          <w:szCs w:val="16"/>
        </w:rPr>
        <w:softHyphen/>
        <w:t>шенных моторах планировали к цели до высоты 1150 м со стороны солнца. К аэродрому штурмовики подошли в 5.20 и сходу парами атаковали скопления не</w:t>
      </w:r>
      <w:r w:rsidRPr="00D03F3E">
        <w:rPr>
          <w:rFonts w:ascii="Times New Roman" w:hAnsi="Times New Roman"/>
          <w:color w:val="000000" w:themeColor="text1"/>
          <w:sz w:val="16"/>
          <w:szCs w:val="16"/>
        </w:rPr>
        <w:softHyphen/>
        <w:t>мецких самолетов на его западной и южной окраинах. Каждая пара вначале обстреляла цели из РС и пушек, и затем с высоты 600-400 м сбросила бомбы. После бомбометания экипажи расстре</w:t>
      </w:r>
      <w:r w:rsidRPr="00D03F3E">
        <w:rPr>
          <w:rFonts w:ascii="Times New Roman" w:hAnsi="Times New Roman"/>
          <w:color w:val="000000" w:themeColor="text1"/>
          <w:sz w:val="16"/>
          <w:szCs w:val="16"/>
        </w:rPr>
        <w:softHyphen/>
        <w:t>ливали из пушек и пулеметов самолеты и позиции немецких зенитчиков.</w:t>
      </w:r>
    </w:p>
    <w:p w14:paraId="68825F5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Отработав по цели, штурмовики со</w:t>
      </w:r>
      <w:r w:rsidRPr="00D03F3E">
        <w:rPr>
          <w:rFonts w:ascii="Times New Roman" w:hAnsi="Times New Roman"/>
          <w:color w:val="000000" w:themeColor="text1"/>
          <w:sz w:val="16"/>
          <w:szCs w:val="16"/>
        </w:rPr>
        <w:softHyphen/>
        <w:t>брались над лесным массивом Мохначи и плотной группой проследовали на свой аэродром.</w:t>
      </w:r>
    </w:p>
    <w:p w14:paraId="6C90B5A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подходе к аэродрому Рогань, в ходе атаки и на отходе от него немцы вели довольно слабый зенитный огонь, который был к тому же неорганизован</w:t>
      </w:r>
      <w:r w:rsidRPr="00D03F3E">
        <w:rPr>
          <w:rFonts w:ascii="Times New Roman" w:hAnsi="Times New Roman"/>
          <w:color w:val="000000" w:themeColor="text1"/>
          <w:sz w:val="16"/>
          <w:szCs w:val="16"/>
        </w:rPr>
        <w:softHyphen/>
        <w:t>ным и неточным (расчетам пришлось ве</w:t>
      </w:r>
      <w:r w:rsidRPr="00D03F3E">
        <w:rPr>
          <w:rFonts w:ascii="Times New Roman" w:hAnsi="Times New Roman"/>
          <w:color w:val="000000" w:themeColor="text1"/>
          <w:sz w:val="16"/>
          <w:szCs w:val="16"/>
        </w:rPr>
        <w:softHyphen/>
        <w:t>сти огонь против солнца). Тем не менее от огня зенитной артиллерии три Ил-2 получили повреждения. На самолете ст. сержанта Курочкина осколком зенитно</w:t>
      </w:r>
      <w:r w:rsidRPr="00D03F3E">
        <w:rPr>
          <w:rFonts w:ascii="Times New Roman" w:hAnsi="Times New Roman"/>
          <w:color w:val="000000" w:themeColor="text1"/>
          <w:sz w:val="16"/>
          <w:szCs w:val="16"/>
        </w:rPr>
        <w:softHyphen/>
        <w:t>го снаряда пробит кок винта, на само</w:t>
      </w:r>
      <w:r w:rsidRPr="00D03F3E">
        <w:rPr>
          <w:rFonts w:ascii="Times New Roman" w:hAnsi="Times New Roman"/>
          <w:color w:val="000000" w:themeColor="text1"/>
          <w:sz w:val="16"/>
          <w:szCs w:val="16"/>
        </w:rPr>
        <w:softHyphen/>
        <w:t>лете ст. сержанта Стрельцова снарядом МЗА пробита левая плоскость крыла и на самолете ст. сержанта Рогожина про</w:t>
      </w:r>
      <w:r w:rsidRPr="00D03F3E">
        <w:rPr>
          <w:rFonts w:ascii="Times New Roman" w:hAnsi="Times New Roman"/>
          <w:color w:val="000000" w:themeColor="text1"/>
          <w:sz w:val="16"/>
          <w:szCs w:val="16"/>
        </w:rPr>
        <w:softHyphen/>
        <w:t>бит стабилизатор.</w:t>
      </w:r>
    </w:p>
    <w:p w14:paraId="06954C6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сожалению, радость успешного вы</w:t>
      </w:r>
      <w:r w:rsidRPr="00D03F3E">
        <w:rPr>
          <w:rFonts w:ascii="Times New Roman" w:hAnsi="Times New Roman"/>
          <w:color w:val="000000" w:themeColor="text1"/>
          <w:sz w:val="16"/>
          <w:szCs w:val="16"/>
        </w:rPr>
        <w:softHyphen/>
        <w:t>полнения задания и возвращения домой была омрачена тяжелой утратой. При</w:t>
      </w:r>
      <w:r w:rsidRPr="00D03F3E">
        <w:rPr>
          <w:rFonts w:ascii="Times New Roman" w:hAnsi="Times New Roman"/>
          <w:color w:val="000000" w:themeColor="text1"/>
          <w:sz w:val="16"/>
          <w:szCs w:val="16"/>
        </w:rPr>
        <w:softHyphen/>
        <w:t>крывая в составе звена посадку всей группы, потерпел катастрофу молодой летчик ст. сержант Смирнов (воздушный стрелок ст. сержант Ступников). При вы</w:t>
      </w:r>
      <w:r w:rsidRPr="00D03F3E">
        <w:rPr>
          <w:rFonts w:ascii="Times New Roman" w:hAnsi="Times New Roman"/>
          <w:color w:val="000000" w:themeColor="text1"/>
          <w:sz w:val="16"/>
          <w:szCs w:val="16"/>
        </w:rPr>
        <w:softHyphen/>
        <w:t>полнении третьего разворота на его са</w:t>
      </w:r>
      <w:r w:rsidRPr="00D03F3E">
        <w:rPr>
          <w:rFonts w:ascii="Times New Roman" w:hAnsi="Times New Roman"/>
          <w:color w:val="000000" w:themeColor="text1"/>
          <w:sz w:val="16"/>
          <w:szCs w:val="16"/>
        </w:rPr>
        <w:softHyphen/>
        <w:t>молете "рассыпалась левая плоскость крыла". Штурмовик потерял управление и вошел в штопор. Воздушный стрелок пытался выпрыгнуть с парашютом, но не</w:t>
      </w:r>
      <w:r w:rsidRPr="00D03F3E">
        <w:rPr>
          <w:rFonts w:ascii="Times New Roman" w:hAnsi="Times New Roman"/>
          <w:color w:val="000000" w:themeColor="text1"/>
          <w:sz w:val="16"/>
          <w:szCs w:val="16"/>
        </w:rPr>
        <w:softHyphen/>
        <w:t>удачно. Самолет врезался в землю в 3-х км к юго-востоку от аэродрома базиро</w:t>
      </w:r>
      <w:r w:rsidRPr="00D03F3E">
        <w:rPr>
          <w:rFonts w:ascii="Times New Roman" w:hAnsi="Times New Roman"/>
          <w:color w:val="000000" w:themeColor="text1"/>
          <w:sz w:val="16"/>
          <w:szCs w:val="16"/>
        </w:rPr>
        <w:softHyphen/>
        <w:t>вания полка свх. Валуйский (500 м юж</w:t>
      </w:r>
      <w:r w:rsidRPr="00D03F3E">
        <w:rPr>
          <w:rFonts w:ascii="Times New Roman" w:hAnsi="Times New Roman"/>
          <w:color w:val="000000" w:themeColor="text1"/>
          <w:sz w:val="16"/>
          <w:szCs w:val="16"/>
        </w:rPr>
        <w:softHyphen/>
        <w:t>нее д. Нехаевка). Экипаж погиб.</w:t>
      </w:r>
    </w:p>
    <w:p w14:paraId="28A05CE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выяснилось позже, крыло разру</w:t>
      </w:r>
      <w:r w:rsidRPr="00D03F3E">
        <w:rPr>
          <w:rFonts w:ascii="Times New Roman" w:hAnsi="Times New Roman"/>
          <w:color w:val="000000" w:themeColor="text1"/>
          <w:sz w:val="16"/>
          <w:szCs w:val="16"/>
        </w:rPr>
        <w:softHyphen/>
        <w:t>шилось по причине производственного дефекта. Однако комиссия, расследовав</w:t>
      </w:r>
      <w:r w:rsidRPr="00D03F3E">
        <w:rPr>
          <w:rFonts w:ascii="Times New Roman" w:hAnsi="Times New Roman"/>
          <w:color w:val="000000" w:themeColor="text1"/>
          <w:sz w:val="16"/>
          <w:szCs w:val="16"/>
        </w:rPr>
        <w:softHyphen/>
        <w:t>шая обстоятельства катастрофы, приня</w:t>
      </w:r>
      <w:r w:rsidRPr="00D03F3E">
        <w:rPr>
          <w:rFonts w:ascii="Times New Roman" w:hAnsi="Times New Roman"/>
          <w:color w:val="000000" w:themeColor="text1"/>
          <w:sz w:val="16"/>
          <w:szCs w:val="16"/>
        </w:rPr>
        <w:softHyphen/>
        <w:t>ла решение списать самолет как бое</w:t>
      </w:r>
      <w:r w:rsidRPr="00D03F3E">
        <w:rPr>
          <w:rFonts w:ascii="Times New Roman" w:hAnsi="Times New Roman"/>
          <w:color w:val="000000" w:themeColor="text1"/>
          <w:sz w:val="16"/>
          <w:szCs w:val="16"/>
        </w:rPr>
        <w:softHyphen/>
        <w:t>вую потерю.</w:t>
      </w:r>
    </w:p>
    <w:p w14:paraId="2B18520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докладам экипажей штурмовиков и истребителей прикрытия на аэродро</w:t>
      </w:r>
      <w:r w:rsidRPr="00D03F3E">
        <w:rPr>
          <w:rFonts w:ascii="Times New Roman" w:hAnsi="Times New Roman"/>
          <w:color w:val="000000" w:themeColor="text1"/>
          <w:sz w:val="16"/>
          <w:szCs w:val="16"/>
        </w:rPr>
        <w:softHyphen/>
        <w:t>ме Рогань было уничтожено и повреж</w:t>
      </w:r>
      <w:r w:rsidRPr="00D03F3E">
        <w:rPr>
          <w:rFonts w:ascii="Times New Roman" w:hAnsi="Times New Roman"/>
          <w:color w:val="000000" w:themeColor="text1"/>
          <w:sz w:val="16"/>
          <w:szCs w:val="16"/>
        </w:rPr>
        <w:softHyphen/>
        <w:t>дено до 30 самолетов люфтваффе, со</w:t>
      </w:r>
      <w:r w:rsidRPr="00D03F3E">
        <w:rPr>
          <w:rFonts w:ascii="Times New Roman" w:hAnsi="Times New Roman"/>
          <w:color w:val="000000" w:themeColor="text1"/>
          <w:sz w:val="16"/>
          <w:szCs w:val="16"/>
        </w:rPr>
        <w:softHyphen/>
        <w:t>здано 18 очагов пожаров, подавлен огонь 8 точек зенитной артиллерии. Из отчета штаба 673-го шап о боевой ра</w:t>
      </w:r>
      <w:r w:rsidRPr="00D03F3E">
        <w:rPr>
          <w:rFonts w:ascii="Times New Roman" w:hAnsi="Times New Roman"/>
          <w:color w:val="000000" w:themeColor="text1"/>
          <w:sz w:val="16"/>
          <w:szCs w:val="16"/>
        </w:rPr>
        <w:softHyphen/>
        <w:t>боте полка за май месяц следует, что "данные подтверждаются экипажами... и фотоконтролем 2 ВА". Однако это не совсем так. По данным штаба 2-й ВА фотоконтроль результатов удара штур</w:t>
      </w:r>
      <w:r w:rsidRPr="00D03F3E">
        <w:rPr>
          <w:rFonts w:ascii="Times New Roman" w:hAnsi="Times New Roman"/>
          <w:color w:val="000000" w:themeColor="text1"/>
          <w:sz w:val="16"/>
          <w:szCs w:val="16"/>
        </w:rPr>
        <w:softHyphen/>
        <w:t>мовиков самолетом-фоторазведчиком, следовавшим за Ил-2 с интервалом в 10 минут, ничего не дал, так как ввиду ран</w:t>
      </w:r>
      <w:r w:rsidRPr="00D03F3E">
        <w:rPr>
          <w:rFonts w:ascii="Times New Roman" w:hAnsi="Times New Roman"/>
          <w:color w:val="000000" w:themeColor="text1"/>
          <w:sz w:val="16"/>
          <w:szCs w:val="16"/>
        </w:rPr>
        <w:softHyphen/>
        <w:t>него утра над аэродромом была дымка и местный туман: все снимки оказались нечеткими. Более поздняя фоторазведка аэродрома Рогань (на 9.30) показала на</w:t>
      </w:r>
      <w:r w:rsidRPr="00D03F3E">
        <w:rPr>
          <w:rFonts w:ascii="Times New Roman" w:hAnsi="Times New Roman"/>
          <w:color w:val="000000" w:themeColor="text1"/>
          <w:sz w:val="16"/>
          <w:szCs w:val="16"/>
        </w:rPr>
        <w:softHyphen/>
        <w:t>личие на нем 104 самолетов противни</w:t>
      </w:r>
      <w:r w:rsidRPr="00D03F3E">
        <w:rPr>
          <w:rFonts w:ascii="Times New Roman" w:hAnsi="Times New Roman"/>
          <w:color w:val="000000" w:themeColor="text1"/>
          <w:sz w:val="16"/>
          <w:szCs w:val="16"/>
        </w:rPr>
        <w:softHyphen/>
        <w:t>ка, из них: 101 Вт 109 и Р^190. Если со</w:t>
      </w:r>
      <w:r w:rsidRPr="00D03F3E">
        <w:rPr>
          <w:rFonts w:ascii="Times New Roman" w:hAnsi="Times New Roman"/>
          <w:color w:val="000000" w:themeColor="text1"/>
          <w:sz w:val="16"/>
          <w:szCs w:val="16"/>
        </w:rPr>
        <w:softHyphen/>
        <w:t>поставить эти данные с результатами фо</w:t>
      </w:r>
      <w:r w:rsidRPr="00D03F3E">
        <w:rPr>
          <w:rFonts w:ascii="Times New Roman" w:hAnsi="Times New Roman"/>
          <w:color w:val="000000" w:themeColor="text1"/>
          <w:sz w:val="16"/>
          <w:szCs w:val="16"/>
        </w:rPr>
        <w:softHyphen/>
        <w:t>торазведки на 17.55 5 мая, то потери люфтваффе могли составить около 6 ис</w:t>
      </w:r>
      <w:r w:rsidRPr="00D03F3E">
        <w:rPr>
          <w:rFonts w:ascii="Times New Roman" w:hAnsi="Times New Roman"/>
          <w:color w:val="000000" w:themeColor="text1"/>
          <w:sz w:val="16"/>
          <w:szCs w:val="16"/>
        </w:rPr>
        <w:softHyphen/>
        <w:t>требителей. В целом это неплохой ре</w:t>
      </w:r>
      <w:r w:rsidRPr="00D03F3E">
        <w:rPr>
          <w:rFonts w:ascii="Times New Roman" w:hAnsi="Times New Roman"/>
          <w:color w:val="000000" w:themeColor="text1"/>
          <w:sz w:val="16"/>
          <w:szCs w:val="16"/>
        </w:rPr>
        <w:softHyphen/>
        <w:t>зультат удара, если учесть, что с нашей стороны не было ни одной боевой поте</w:t>
      </w:r>
      <w:r w:rsidRPr="00D03F3E">
        <w:rPr>
          <w:rFonts w:ascii="Times New Roman" w:hAnsi="Times New Roman"/>
          <w:color w:val="000000" w:themeColor="text1"/>
          <w:sz w:val="16"/>
          <w:szCs w:val="16"/>
        </w:rPr>
        <w:softHyphen/>
        <w:t>ри Ил-2.</w:t>
      </w:r>
    </w:p>
    <w:p w14:paraId="5F0F76B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Вполне удачным оказался и бомбош-турмовой удар 12 Ил-2 от 800-го шап 292-й шад по аэродрому Харьков-Алеш</w:t>
      </w:r>
      <w:r w:rsidRPr="00D03F3E">
        <w:rPr>
          <w:rFonts w:ascii="Times New Roman" w:hAnsi="Times New Roman"/>
          <w:color w:val="000000" w:themeColor="text1"/>
          <w:sz w:val="16"/>
          <w:szCs w:val="16"/>
        </w:rPr>
        <w:softHyphen/>
        <w:t>ки.</w:t>
      </w:r>
    </w:p>
    <w:p w14:paraId="6F4914D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Две группы по 6 самолетов в каждой (ведущий первой группы ст. л-т Степа</w:t>
      </w:r>
      <w:r w:rsidRPr="00D03F3E">
        <w:rPr>
          <w:rFonts w:ascii="Times New Roman" w:hAnsi="Times New Roman"/>
          <w:color w:val="000000" w:themeColor="text1"/>
          <w:sz w:val="16"/>
          <w:szCs w:val="16"/>
        </w:rPr>
        <w:softHyphen/>
        <w:t>нов, ведущий второй группы л-т Один</w:t>
      </w:r>
      <w:r w:rsidRPr="00D03F3E">
        <w:rPr>
          <w:rFonts w:ascii="Times New Roman" w:hAnsi="Times New Roman"/>
          <w:color w:val="000000" w:themeColor="text1"/>
          <w:sz w:val="16"/>
          <w:szCs w:val="16"/>
        </w:rPr>
        <w:softHyphen/>
        <w:t>цов) в 4.25 утра взлетели с аэродрома базирования полка Солонец-Поляна. Сразу же после взлета из-за неисправ</w:t>
      </w:r>
      <w:r w:rsidRPr="00D03F3E">
        <w:rPr>
          <w:rFonts w:ascii="Times New Roman" w:hAnsi="Times New Roman"/>
          <w:color w:val="000000" w:themeColor="text1"/>
          <w:sz w:val="16"/>
          <w:szCs w:val="16"/>
        </w:rPr>
        <w:softHyphen/>
        <w:t>ности матчасти два экипажа произвели посадку на свой аэродром. Встреча с 12 истребителями прикрытия Як-16 и Як-76 от 183-го пап произошла в 4.43 над аэродромом Яблоново.</w:t>
      </w:r>
    </w:p>
    <w:p w14:paraId="61B1E40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Шестерка Ил-2 ст. л-та Степанова шла впереди в строю клин звеньев. Сле</w:t>
      </w:r>
      <w:r w:rsidRPr="00D03F3E">
        <w:rPr>
          <w:rFonts w:ascii="Times New Roman" w:hAnsi="Times New Roman"/>
          <w:color w:val="000000" w:themeColor="text1"/>
          <w:sz w:val="16"/>
          <w:szCs w:val="16"/>
        </w:rPr>
        <w:softHyphen/>
        <w:t>дом за ней парами шла четверка л-та Одинцова. Прикрытие осуществляли 8 "Яков" непосредственного сопровожде</w:t>
      </w:r>
      <w:r w:rsidRPr="00D03F3E">
        <w:rPr>
          <w:rFonts w:ascii="Times New Roman" w:hAnsi="Times New Roman"/>
          <w:color w:val="000000" w:themeColor="text1"/>
          <w:sz w:val="16"/>
          <w:szCs w:val="16"/>
        </w:rPr>
        <w:softHyphen/>
        <w:t>ния в двух эшелонах и 4 "Яка" ударной группы.</w:t>
      </w:r>
    </w:p>
    <w:p w14:paraId="0085017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 до линии фронта осуществлял</w:t>
      </w:r>
      <w:r w:rsidRPr="00D03F3E">
        <w:rPr>
          <w:rFonts w:ascii="Times New Roman" w:hAnsi="Times New Roman"/>
          <w:color w:val="000000" w:themeColor="text1"/>
          <w:sz w:val="16"/>
          <w:szCs w:val="16"/>
        </w:rPr>
        <w:softHyphen/>
        <w:t>ся в плотном строю с набором высоты до 1 300 м. После перелета линии фрон</w:t>
      </w:r>
      <w:r w:rsidRPr="00D03F3E">
        <w:rPr>
          <w:rFonts w:ascii="Times New Roman" w:hAnsi="Times New Roman"/>
          <w:color w:val="000000" w:themeColor="text1"/>
          <w:sz w:val="16"/>
          <w:szCs w:val="16"/>
        </w:rPr>
        <w:softHyphen/>
        <w:t>та на удалении 15-20 км штурмовики пошли со снижением, и истребители не</w:t>
      </w:r>
      <w:r w:rsidRPr="00D03F3E">
        <w:rPr>
          <w:rFonts w:ascii="Times New Roman" w:hAnsi="Times New Roman"/>
          <w:color w:val="000000" w:themeColor="text1"/>
          <w:sz w:val="16"/>
          <w:szCs w:val="16"/>
        </w:rPr>
        <w:softHyphen/>
        <w:t>посредственного прикрытия второго эше-. лона отстали на 500 м от Ил-2. В это время, со стороны солнца неожиданно выскочили два немецких истребителя ВИ09 и сзади атаковали ближайшую к ним пару Як-16 из группы непосредствен</w:t>
      </w:r>
      <w:r w:rsidRPr="00D03F3E">
        <w:rPr>
          <w:rFonts w:ascii="Times New Roman" w:hAnsi="Times New Roman"/>
          <w:color w:val="000000" w:themeColor="text1"/>
          <w:sz w:val="16"/>
          <w:szCs w:val="16"/>
        </w:rPr>
        <w:softHyphen/>
        <w:t>ного прикрытия второго эшелона. Не</w:t>
      </w:r>
      <w:r w:rsidRPr="00D03F3E">
        <w:rPr>
          <w:rFonts w:ascii="Times New Roman" w:hAnsi="Times New Roman"/>
          <w:color w:val="000000" w:themeColor="text1"/>
          <w:sz w:val="16"/>
          <w:szCs w:val="16"/>
        </w:rPr>
        <w:softHyphen/>
        <w:t>смотря на предупредительные очереди воздушных стрелков Ил-2, пилоты "Яков" не заметили атаки "мессершмиттов" и один за другим были сбиты. Стрелки "Илов", хотя и вели огонь, не смогли по</w:t>
      </w:r>
      <w:r w:rsidRPr="00D03F3E">
        <w:rPr>
          <w:rFonts w:ascii="Times New Roman" w:hAnsi="Times New Roman"/>
          <w:color w:val="000000" w:themeColor="text1"/>
          <w:sz w:val="16"/>
          <w:szCs w:val="16"/>
        </w:rPr>
        <w:softHyphen/>
        <w:t>мешать пилотам люфтваффе, так как ди</w:t>
      </w:r>
      <w:r w:rsidRPr="00D03F3E">
        <w:rPr>
          <w:rFonts w:ascii="Times New Roman" w:hAnsi="Times New Roman"/>
          <w:color w:val="000000" w:themeColor="text1"/>
          <w:sz w:val="16"/>
          <w:szCs w:val="16"/>
        </w:rPr>
        <w:softHyphen/>
        <w:t>станция стрельбы была слишком боль</w:t>
      </w:r>
      <w:r w:rsidRPr="00D03F3E">
        <w:rPr>
          <w:rFonts w:ascii="Times New Roman" w:hAnsi="Times New Roman"/>
          <w:color w:val="000000" w:themeColor="text1"/>
          <w:sz w:val="16"/>
          <w:szCs w:val="16"/>
        </w:rPr>
        <w:softHyphen/>
        <w:t>шой. После успешной атаки Вт109 со сни</w:t>
      </w:r>
      <w:r w:rsidRPr="00D03F3E">
        <w:rPr>
          <w:rFonts w:ascii="Times New Roman" w:hAnsi="Times New Roman"/>
          <w:color w:val="000000" w:themeColor="text1"/>
          <w:sz w:val="16"/>
          <w:szCs w:val="16"/>
        </w:rPr>
        <w:softHyphen/>
        <w:t>жением вышли из боя и больше атак не повторяли. Оставшаяся пара "Яков" при</w:t>
      </w:r>
      <w:r w:rsidRPr="00D03F3E">
        <w:rPr>
          <w:rFonts w:ascii="Times New Roman" w:hAnsi="Times New Roman"/>
          <w:color w:val="000000" w:themeColor="text1"/>
          <w:sz w:val="16"/>
          <w:szCs w:val="16"/>
        </w:rPr>
        <w:softHyphen/>
        <w:t>строилась к группе непосредственного прикрытия первого эшелона.</w:t>
      </w:r>
    </w:p>
    <w:p w14:paraId="0995D27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аэродрому Харьков-Алешки штур</w:t>
      </w:r>
      <w:r w:rsidRPr="00D03F3E">
        <w:rPr>
          <w:rFonts w:ascii="Times New Roman" w:hAnsi="Times New Roman"/>
          <w:color w:val="000000" w:themeColor="text1"/>
          <w:sz w:val="16"/>
          <w:szCs w:val="16"/>
        </w:rPr>
        <w:softHyphen/>
        <w:t>мовики подошли на высоте 900 м и пос</w:t>
      </w:r>
      <w:r w:rsidRPr="00D03F3E">
        <w:rPr>
          <w:rFonts w:ascii="Times New Roman" w:hAnsi="Times New Roman"/>
          <w:color w:val="000000" w:themeColor="text1"/>
          <w:sz w:val="16"/>
          <w:szCs w:val="16"/>
        </w:rPr>
        <w:softHyphen/>
        <w:t>ле доворота вправо на 20° с пикирова</w:t>
      </w:r>
      <w:r w:rsidRPr="00D03F3E">
        <w:rPr>
          <w:rFonts w:ascii="Times New Roman" w:hAnsi="Times New Roman"/>
          <w:color w:val="000000" w:themeColor="text1"/>
          <w:sz w:val="16"/>
          <w:szCs w:val="16"/>
        </w:rPr>
        <w:softHyphen/>
        <w:t>ния атаковали цели на аэродроме. В мо</w:t>
      </w:r>
      <w:r w:rsidRPr="00D03F3E">
        <w:rPr>
          <w:rFonts w:ascii="Times New Roman" w:hAnsi="Times New Roman"/>
          <w:color w:val="000000" w:themeColor="text1"/>
          <w:sz w:val="16"/>
          <w:szCs w:val="16"/>
        </w:rPr>
        <w:softHyphen/>
        <w:t>мент атаки на северной окраине аэродрома находи</w:t>
      </w:r>
      <w:r w:rsidRPr="00D03F3E">
        <w:rPr>
          <w:rFonts w:ascii="Times New Roman" w:hAnsi="Times New Roman"/>
          <w:color w:val="000000" w:themeColor="text1"/>
          <w:sz w:val="16"/>
          <w:szCs w:val="16"/>
        </w:rPr>
        <w:softHyphen/>
        <w:t>лось 8 самоле</w:t>
      </w:r>
      <w:r w:rsidRPr="00D03F3E">
        <w:rPr>
          <w:rFonts w:ascii="Times New Roman" w:hAnsi="Times New Roman"/>
          <w:color w:val="000000" w:themeColor="text1"/>
          <w:sz w:val="16"/>
          <w:szCs w:val="16"/>
        </w:rPr>
        <w:softHyphen/>
        <w:t>тов -1и88, из них 4 на стар</w:t>
      </w:r>
      <w:r w:rsidRPr="00D03F3E">
        <w:rPr>
          <w:rFonts w:ascii="Times New Roman" w:hAnsi="Times New Roman"/>
          <w:color w:val="000000" w:themeColor="text1"/>
          <w:sz w:val="16"/>
          <w:szCs w:val="16"/>
        </w:rPr>
        <w:softHyphen/>
        <w:t>те, и 31 ВИ 09 стояли замас</w:t>
      </w:r>
      <w:r w:rsidRPr="00D03F3E">
        <w:rPr>
          <w:rFonts w:ascii="Times New Roman" w:hAnsi="Times New Roman"/>
          <w:color w:val="000000" w:themeColor="text1"/>
          <w:sz w:val="16"/>
          <w:szCs w:val="16"/>
        </w:rPr>
        <w:softHyphen/>
        <w:t>кированные на южной и за</w:t>
      </w:r>
      <w:r w:rsidRPr="00D03F3E">
        <w:rPr>
          <w:rFonts w:ascii="Times New Roman" w:hAnsi="Times New Roman"/>
          <w:color w:val="000000" w:themeColor="text1"/>
          <w:sz w:val="16"/>
          <w:szCs w:val="16"/>
        </w:rPr>
        <w:softHyphen/>
        <w:t>падной опушке леса.</w:t>
      </w:r>
    </w:p>
    <w:p w14:paraId="53B763A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Зенитная артиллерия, расположен</w:t>
      </w:r>
      <w:r w:rsidRPr="00D03F3E">
        <w:rPr>
          <w:rFonts w:ascii="Times New Roman" w:hAnsi="Times New Roman"/>
          <w:color w:val="000000" w:themeColor="text1"/>
          <w:sz w:val="16"/>
          <w:szCs w:val="16"/>
        </w:rPr>
        <w:softHyphen/>
        <w:t>ная на аэро</w:t>
      </w:r>
      <w:r w:rsidRPr="00D03F3E">
        <w:rPr>
          <w:rFonts w:ascii="Times New Roman" w:hAnsi="Times New Roman"/>
          <w:color w:val="000000" w:themeColor="text1"/>
          <w:sz w:val="16"/>
          <w:szCs w:val="16"/>
        </w:rPr>
        <w:softHyphen/>
        <w:t>дроме, откры</w:t>
      </w:r>
      <w:r w:rsidRPr="00D03F3E">
        <w:rPr>
          <w:rFonts w:ascii="Times New Roman" w:hAnsi="Times New Roman"/>
          <w:color w:val="000000" w:themeColor="text1"/>
          <w:sz w:val="16"/>
          <w:szCs w:val="16"/>
        </w:rPr>
        <w:softHyphen/>
        <w:t>ла сильный огонь по штур</w:t>
      </w:r>
      <w:r w:rsidRPr="00D03F3E">
        <w:rPr>
          <w:rFonts w:ascii="Times New Roman" w:hAnsi="Times New Roman"/>
          <w:color w:val="000000" w:themeColor="text1"/>
          <w:sz w:val="16"/>
          <w:szCs w:val="16"/>
        </w:rPr>
        <w:softHyphen/>
        <w:t>мовикам первой группы, но после пере</w:t>
      </w:r>
      <w:r w:rsidRPr="00D03F3E">
        <w:rPr>
          <w:rFonts w:ascii="Times New Roman" w:hAnsi="Times New Roman"/>
          <w:color w:val="000000" w:themeColor="text1"/>
          <w:sz w:val="16"/>
          <w:szCs w:val="16"/>
        </w:rPr>
        <w:softHyphen/>
        <w:t>хода ее в атаку огонь практически пре</w:t>
      </w:r>
      <w:r w:rsidRPr="00D03F3E">
        <w:rPr>
          <w:rFonts w:ascii="Times New Roman" w:hAnsi="Times New Roman"/>
          <w:color w:val="000000" w:themeColor="text1"/>
          <w:sz w:val="16"/>
          <w:szCs w:val="16"/>
        </w:rPr>
        <w:softHyphen/>
        <w:t>кратила, так как по ней начала "рабо</w:t>
      </w:r>
      <w:r w:rsidRPr="00D03F3E">
        <w:rPr>
          <w:rFonts w:ascii="Times New Roman" w:hAnsi="Times New Roman"/>
          <w:color w:val="000000" w:themeColor="text1"/>
          <w:sz w:val="16"/>
          <w:szCs w:val="16"/>
        </w:rPr>
        <w:softHyphen/>
        <w:t>тать" пушками, пулеметами и РСами иду</w:t>
      </w:r>
      <w:r w:rsidRPr="00D03F3E">
        <w:rPr>
          <w:rFonts w:ascii="Times New Roman" w:hAnsi="Times New Roman"/>
          <w:color w:val="000000" w:themeColor="text1"/>
          <w:sz w:val="16"/>
          <w:szCs w:val="16"/>
        </w:rPr>
        <w:softHyphen/>
        <w:t>щая следом вторая группа Ил-2. Интен</w:t>
      </w:r>
      <w:r w:rsidRPr="00D03F3E">
        <w:rPr>
          <w:rFonts w:ascii="Times New Roman" w:hAnsi="Times New Roman"/>
          <w:color w:val="000000" w:themeColor="text1"/>
          <w:sz w:val="16"/>
          <w:szCs w:val="16"/>
        </w:rPr>
        <w:softHyphen/>
        <w:t>сивный зенитный огонь велся лишь с во</w:t>
      </w:r>
      <w:r w:rsidRPr="00D03F3E">
        <w:rPr>
          <w:rFonts w:ascii="Times New Roman" w:hAnsi="Times New Roman"/>
          <w:color w:val="000000" w:themeColor="text1"/>
          <w:sz w:val="16"/>
          <w:szCs w:val="16"/>
        </w:rPr>
        <w:softHyphen/>
        <w:t>сточной опушки леса.</w:t>
      </w:r>
    </w:p>
    <w:p w14:paraId="3D77469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Шестерка Степанова атаковала не</w:t>
      </w:r>
      <w:r w:rsidRPr="00D03F3E">
        <w:rPr>
          <w:rFonts w:ascii="Times New Roman" w:hAnsi="Times New Roman"/>
          <w:color w:val="000000" w:themeColor="text1"/>
          <w:sz w:val="16"/>
          <w:szCs w:val="16"/>
        </w:rPr>
        <w:softHyphen/>
        <w:t>мецкие самолеты на западной и северо</w:t>
      </w:r>
      <w:r w:rsidRPr="00D03F3E">
        <w:rPr>
          <w:rFonts w:ascii="Times New Roman" w:hAnsi="Times New Roman"/>
          <w:color w:val="000000" w:themeColor="text1"/>
          <w:sz w:val="16"/>
          <w:szCs w:val="16"/>
        </w:rPr>
        <w:softHyphen/>
        <w:t>западной окраинах аэродрома, а чет</w:t>
      </w:r>
      <w:r w:rsidRPr="00D03F3E">
        <w:rPr>
          <w:rFonts w:ascii="Times New Roman" w:hAnsi="Times New Roman"/>
          <w:color w:val="000000" w:themeColor="text1"/>
          <w:sz w:val="16"/>
          <w:szCs w:val="16"/>
        </w:rPr>
        <w:softHyphen/>
        <w:t>верка Одинцова - на восточной и юж</w:t>
      </w:r>
      <w:r w:rsidRPr="00D03F3E">
        <w:rPr>
          <w:rFonts w:ascii="Times New Roman" w:hAnsi="Times New Roman"/>
          <w:color w:val="000000" w:themeColor="text1"/>
          <w:sz w:val="16"/>
          <w:szCs w:val="16"/>
        </w:rPr>
        <w:softHyphen/>
        <w:t>ной окраинах. Уход от цели выполнялся с правым разворотом всем строем над лесом. По договоренности группа Один</w:t>
      </w:r>
      <w:r w:rsidRPr="00D03F3E">
        <w:rPr>
          <w:rFonts w:ascii="Times New Roman" w:hAnsi="Times New Roman"/>
          <w:color w:val="000000" w:themeColor="text1"/>
          <w:sz w:val="16"/>
          <w:szCs w:val="16"/>
        </w:rPr>
        <w:softHyphen/>
        <w:t>цова должна была во время разворота перейти в правый пеленг, но из-за силь</w:t>
      </w:r>
      <w:r w:rsidRPr="00D03F3E">
        <w:rPr>
          <w:rFonts w:ascii="Times New Roman" w:hAnsi="Times New Roman"/>
          <w:color w:val="000000" w:themeColor="text1"/>
          <w:sz w:val="16"/>
          <w:szCs w:val="16"/>
        </w:rPr>
        <w:softHyphen/>
        <w:t>ного зенитного огня перешла в левый пеленг.</w:t>
      </w:r>
    </w:p>
    <w:p w14:paraId="23DBD82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Пока Ил-2 бомбили и штурмовали матчасть на аэродроме "Яки" из соста</w:t>
      </w:r>
      <w:r w:rsidRPr="00D03F3E">
        <w:rPr>
          <w:rFonts w:ascii="Times New Roman" w:hAnsi="Times New Roman"/>
          <w:color w:val="000000" w:themeColor="text1"/>
          <w:sz w:val="16"/>
          <w:szCs w:val="16"/>
        </w:rPr>
        <w:softHyphen/>
        <w:t>ва ударной группы на высоте 1400 м вели воздушный бой с пилотами люфтваффе. Истребители непосредственного сопро</w:t>
      </w:r>
      <w:r w:rsidRPr="00D03F3E">
        <w:rPr>
          <w:rFonts w:ascii="Times New Roman" w:hAnsi="Times New Roman"/>
          <w:color w:val="000000" w:themeColor="text1"/>
          <w:sz w:val="16"/>
          <w:szCs w:val="16"/>
        </w:rPr>
        <w:softHyphen/>
        <w:t>вождения снизились до высоты выхода штурмовиков из атаки и пристроились к ним. В дальнейшем обе группы без осо</w:t>
      </w:r>
      <w:r w:rsidRPr="00D03F3E">
        <w:rPr>
          <w:rFonts w:ascii="Times New Roman" w:hAnsi="Times New Roman"/>
          <w:color w:val="000000" w:themeColor="text1"/>
          <w:sz w:val="16"/>
          <w:szCs w:val="16"/>
        </w:rPr>
        <w:softHyphen/>
        <w:t>бых происшествий перелетели линию фронта и произвели посадку на свои аэродромы.</w:t>
      </w:r>
    </w:p>
    <w:p w14:paraId="43FF82E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данным штаба 1-го шак на аэро</w:t>
      </w:r>
      <w:r w:rsidRPr="00D03F3E">
        <w:rPr>
          <w:rFonts w:ascii="Times New Roman" w:hAnsi="Times New Roman"/>
          <w:color w:val="000000" w:themeColor="text1"/>
          <w:sz w:val="16"/>
          <w:szCs w:val="16"/>
        </w:rPr>
        <w:softHyphen/>
        <w:t>дроме Харьков-Алешки было уничтоже</w:t>
      </w:r>
      <w:r w:rsidRPr="00D03F3E">
        <w:rPr>
          <w:rFonts w:ascii="Times New Roman" w:hAnsi="Times New Roman"/>
          <w:color w:val="000000" w:themeColor="text1"/>
          <w:sz w:val="16"/>
          <w:szCs w:val="16"/>
        </w:rPr>
        <w:softHyphen/>
        <w:t>но два бомбардировщика Ю 88 и 9 истребителей Ме 109, одна радиостанция на автомашине, подавлен огонь двух зенит</w:t>
      </w:r>
      <w:r w:rsidRPr="00D03F3E">
        <w:rPr>
          <w:rFonts w:ascii="Times New Roman" w:hAnsi="Times New Roman"/>
          <w:color w:val="000000" w:themeColor="text1"/>
          <w:sz w:val="16"/>
          <w:szCs w:val="16"/>
        </w:rPr>
        <w:softHyphen/>
        <w:t>ных батарей, создано 10 очагов пожа</w:t>
      </w:r>
      <w:r w:rsidRPr="00D03F3E">
        <w:rPr>
          <w:rFonts w:ascii="Times New Roman" w:hAnsi="Times New Roman"/>
          <w:color w:val="000000" w:themeColor="text1"/>
          <w:sz w:val="16"/>
          <w:szCs w:val="16"/>
        </w:rPr>
        <w:softHyphen/>
        <w:t>ра и взрывов, а также повреждено око</w:t>
      </w:r>
      <w:r w:rsidRPr="00D03F3E">
        <w:rPr>
          <w:rFonts w:ascii="Times New Roman" w:hAnsi="Times New Roman"/>
          <w:color w:val="000000" w:themeColor="text1"/>
          <w:sz w:val="16"/>
          <w:szCs w:val="16"/>
        </w:rPr>
        <w:softHyphen/>
        <w:t>ло 14 "мессершмиттов".</w:t>
      </w:r>
    </w:p>
    <w:p w14:paraId="3C4E40C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всей видимости, наименее резуль</w:t>
      </w:r>
      <w:r w:rsidRPr="00D03F3E">
        <w:rPr>
          <w:rFonts w:ascii="Times New Roman" w:hAnsi="Times New Roman"/>
          <w:color w:val="000000" w:themeColor="text1"/>
          <w:sz w:val="16"/>
          <w:szCs w:val="16"/>
        </w:rPr>
        <w:softHyphen/>
        <w:t>тативным из всех оказался удар 6 Ил-2 от 820-го шап 292-й шад (ведущий ст. л-т Костырко) по аэродрому Харьков-Со</w:t>
      </w:r>
      <w:r w:rsidRPr="00D03F3E">
        <w:rPr>
          <w:rFonts w:ascii="Times New Roman" w:hAnsi="Times New Roman"/>
          <w:color w:val="000000" w:themeColor="text1"/>
          <w:sz w:val="16"/>
          <w:szCs w:val="16"/>
        </w:rPr>
        <w:softHyphen/>
        <w:t>кольники.</w:t>
      </w:r>
    </w:p>
    <w:p w14:paraId="21189A4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Уже на взлете с аэродрома Гринев потерпел катастрофу ст. л-т Мареев (воз</w:t>
      </w:r>
      <w:r w:rsidRPr="00D03F3E">
        <w:rPr>
          <w:rFonts w:ascii="Times New Roman" w:hAnsi="Times New Roman"/>
          <w:color w:val="000000" w:themeColor="text1"/>
          <w:sz w:val="16"/>
          <w:szCs w:val="16"/>
        </w:rPr>
        <w:softHyphen/>
        <w:t>душный стрелок сержант Кулик). От тряс</w:t>
      </w:r>
      <w:r w:rsidRPr="00D03F3E">
        <w:rPr>
          <w:rFonts w:ascii="Times New Roman" w:hAnsi="Times New Roman"/>
          <w:color w:val="000000" w:themeColor="text1"/>
          <w:sz w:val="16"/>
          <w:szCs w:val="16"/>
        </w:rPr>
        <w:softHyphen/>
        <w:t>ки на разбеге сорвалась с держателя авиабомба и разорвалась под самоле</w:t>
      </w:r>
      <w:r w:rsidRPr="00D03F3E">
        <w:rPr>
          <w:rFonts w:ascii="Times New Roman" w:hAnsi="Times New Roman"/>
          <w:color w:val="000000" w:themeColor="text1"/>
          <w:sz w:val="16"/>
          <w:szCs w:val="16"/>
        </w:rPr>
        <w:softHyphen/>
        <w:t>том: Ил-2 сгорел, летчик погиб, а воз</w:t>
      </w:r>
      <w:r w:rsidRPr="00D03F3E">
        <w:rPr>
          <w:rFonts w:ascii="Times New Roman" w:hAnsi="Times New Roman"/>
          <w:color w:val="000000" w:themeColor="text1"/>
          <w:sz w:val="16"/>
          <w:szCs w:val="16"/>
        </w:rPr>
        <w:softHyphen/>
        <w:t>душный стрелок был тяжело ранен.</w:t>
      </w:r>
    </w:p>
    <w:p w14:paraId="47E2F97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моменту удара (5.30-5.32) в север</w:t>
      </w:r>
      <w:r w:rsidRPr="00D03F3E">
        <w:rPr>
          <w:rFonts w:ascii="Times New Roman" w:hAnsi="Times New Roman"/>
          <w:color w:val="000000" w:themeColor="text1"/>
          <w:sz w:val="16"/>
          <w:szCs w:val="16"/>
        </w:rPr>
        <w:softHyphen/>
        <w:t>ной части аэродрома находилось при</w:t>
      </w:r>
      <w:r w:rsidRPr="00D03F3E">
        <w:rPr>
          <w:rFonts w:ascii="Times New Roman" w:hAnsi="Times New Roman"/>
          <w:color w:val="000000" w:themeColor="text1"/>
          <w:sz w:val="16"/>
          <w:szCs w:val="16"/>
        </w:rPr>
        <w:softHyphen/>
        <w:t>мерно 30 самолетов противника, рас</w:t>
      </w:r>
      <w:r w:rsidRPr="00D03F3E">
        <w:rPr>
          <w:rFonts w:ascii="Times New Roman" w:hAnsi="Times New Roman"/>
          <w:color w:val="000000" w:themeColor="text1"/>
          <w:sz w:val="16"/>
          <w:szCs w:val="16"/>
        </w:rPr>
        <w:softHyphen/>
        <w:t>средоточенных в шахматном порядке. По ним "разгрузили" боекомплект все эки</w:t>
      </w:r>
      <w:r w:rsidRPr="00D03F3E">
        <w:rPr>
          <w:rFonts w:ascii="Times New Roman" w:hAnsi="Times New Roman"/>
          <w:color w:val="000000" w:themeColor="text1"/>
          <w:sz w:val="16"/>
          <w:szCs w:val="16"/>
        </w:rPr>
        <w:softHyphen/>
        <w:t>пажи. В результате наблюдались три мощных взрыва. По возвращению на свой аэродром экипажи не смогли на</w:t>
      </w:r>
      <w:r w:rsidRPr="00D03F3E">
        <w:rPr>
          <w:rFonts w:ascii="Times New Roman" w:hAnsi="Times New Roman"/>
          <w:color w:val="000000" w:themeColor="text1"/>
          <w:sz w:val="16"/>
          <w:szCs w:val="16"/>
        </w:rPr>
        <w:softHyphen/>
        <w:t>звать типы атакованных ими самолетов, и о потерях противника ничего не док</w:t>
      </w:r>
      <w:r w:rsidRPr="00D03F3E">
        <w:rPr>
          <w:rFonts w:ascii="Times New Roman" w:hAnsi="Times New Roman"/>
          <w:color w:val="000000" w:themeColor="text1"/>
          <w:sz w:val="16"/>
          <w:szCs w:val="16"/>
        </w:rPr>
        <w:softHyphen/>
        <w:t>ладывали.</w:t>
      </w:r>
    </w:p>
    <w:p w14:paraId="6989577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Этот боевой вылет характерен еще и тем, что в ходе его произошел единствен</w:t>
      </w:r>
      <w:r w:rsidRPr="00D03F3E">
        <w:rPr>
          <w:rFonts w:ascii="Times New Roman" w:hAnsi="Times New Roman"/>
          <w:color w:val="000000" w:themeColor="text1"/>
          <w:sz w:val="16"/>
          <w:szCs w:val="16"/>
        </w:rPr>
        <w:softHyphen/>
        <w:t>ный в это утро воздушный бой штурмо</w:t>
      </w:r>
      <w:r w:rsidRPr="00D03F3E">
        <w:rPr>
          <w:rFonts w:ascii="Times New Roman" w:hAnsi="Times New Roman"/>
          <w:color w:val="000000" w:themeColor="text1"/>
          <w:sz w:val="16"/>
          <w:szCs w:val="16"/>
        </w:rPr>
        <w:softHyphen/>
        <w:t>виков 2-й ВА. Несмотря на то, что груп</w:t>
      </w:r>
      <w:r w:rsidRPr="00D03F3E">
        <w:rPr>
          <w:rFonts w:ascii="Times New Roman" w:hAnsi="Times New Roman"/>
          <w:color w:val="000000" w:themeColor="text1"/>
          <w:sz w:val="16"/>
          <w:szCs w:val="16"/>
        </w:rPr>
        <w:softHyphen/>
        <w:t>пу Ил-2 прикрывали 8 Як-1 от 6-го иап, на отходе от цели в районе Русские Тиш-ки самолет ст. л-та Нютина был дважды атакован одиночным "мессером". Сопро</w:t>
      </w:r>
      <w:r w:rsidRPr="00D03F3E">
        <w:rPr>
          <w:rFonts w:ascii="Times New Roman" w:hAnsi="Times New Roman"/>
          <w:color w:val="000000" w:themeColor="text1"/>
          <w:sz w:val="16"/>
          <w:szCs w:val="16"/>
        </w:rPr>
        <w:softHyphen/>
        <w:t>вождающие "Яки" в воздушный бой с про</w:t>
      </w:r>
      <w:r w:rsidRPr="00D03F3E">
        <w:rPr>
          <w:rFonts w:ascii="Times New Roman" w:hAnsi="Times New Roman"/>
          <w:color w:val="000000" w:themeColor="text1"/>
          <w:sz w:val="16"/>
          <w:szCs w:val="16"/>
        </w:rPr>
        <w:softHyphen/>
        <w:t>тивником не вступили, хотя ведущий груп</w:t>
      </w:r>
      <w:r w:rsidRPr="00D03F3E">
        <w:rPr>
          <w:rFonts w:ascii="Times New Roman" w:hAnsi="Times New Roman"/>
          <w:color w:val="000000" w:themeColor="text1"/>
          <w:sz w:val="16"/>
          <w:szCs w:val="16"/>
        </w:rPr>
        <w:softHyphen/>
        <w:t>пы ст. л-т Костырко подавал команды по радио. При отражении второй атаки Вг109 воздушному стрелку сержанту Бу</w:t>
      </w:r>
      <w:r w:rsidRPr="00D03F3E">
        <w:rPr>
          <w:rFonts w:ascii="Times New Roman" w:hAnsi="Times New Roman"/>
          <w:color w:val="000000" w:themeColor="text1"/>
          <w:sz w:val="16"/>
          <w:szCs w:val="16"/>
        </w:rPr>
        <w:softHyphen/>
        <w:t>тову удалось меткой очередью его под</w:t>
      </w:r>
      <w:r w:rsidRPr="00D03F3E">
        <w:rPr>
          <w:rFonts w:ascii="Times New Roman" w:hAnsi="Times New Roman"/>
          <w:color w:val="000000" w:themeColor="text1"/>
          <w:sz w:val="16"/>
          <w:szCs w:val="16"/>
        </w:rPr>
        <w:softHyphen/>
        <w:t>бить: "Ме-109 с дымящимся следом ушел к земле..."</w:t>
      </w:r>
    </w:p>
    <w:p w14:paraId="54ED7F7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Проведенные в середине дня повтор</w:t>
      </w:r>
      <w:r w:rsidRPr="00D03F3E">
        <w:rPr>
          <w:rFonts w:ascii="Times New Roman" w:hAnsi="Times New Roman"/>
          <w:color w:val="000000" w:themeColor="text1"/>
          <w:sz w:val="16"/>
          <w:szCs w:val="16"/>
        </w:rPr>
        <w:softHyphen/>
        <w:t>ные удары по немецким аэродромам Харьковского аэроузла были плохо орга</w:t>
      </w:r>
      <w:r w:rsidRPr="00D03F3E">
        <w:rPr>
          <w:rFonts w:ascii="Times New Roman" w:hAnsi="Times New Roman"/>
          <w:color w:val="000000" w:themeColor="text1"/>
          <w:sz w:val="16"/>
          <w:szCs w:val="16"/>
        </w:rPr>
        <w:softHyphen/>
        <w:t>низованы и не так тщательно подготов</w:t>
      </w:r>
      <w:r w:rsidRPr="00D03F3E">
        <w:rPr>
          <w:rFonts w:ascii="Times New Roman" w:hAnsi="Times New Roman"/>
          <w:color w:val="000000" w:themeColor="text1"/>
          <w:sz w:val="16"/>
          <w:szCs w:val="16"/>
        </w:rPr>
        <w:softHyphen/>
        <w:t>лены. Поэтому положительных результа</w:t>
      </w:r>
      <w:r w:rsidRPr="00D03F3E">
        <w:rPr>
          <w:rFonts w:ascii="Times New Roman" w:hAnsi="Times New Roman"/>
          <w:color w:val="000000" w:themeColor="text1"/>
          <w:sz w:val="16"/>
          <w:szCs w:val="16"/>
        </w:rPr>
        <w:softHyphen/>
        <w:t>тов достигнуто не было.</w:t>
      </w:r>
    </w:p>
    <w:p w14:paraId="3640EA0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Поначалу штаб 2-й ВА планировал выполнить повторные налеты на аэро</w:t>
      </w:r>
      <w:r w:rsidRPr="00D03F3E">
        <w:rPr>
          <w:rFonts w:ascii="Times New Roman" w:hAnsi="Times New Roman"/>
          <w:color w:val="000000" w:themeColor="text1"/>
          <w:sz w:val="16"/>
          <w:szCs w:val="16"/>
        </w:rPr>
        <w:softHyphen/>
        <w:t>дромы в 14.30 силами бомбардировщи</w:t>
      </w:r>
      <w:r w:rsidRPr="00D03F3E">
        <w:rPr>
          <w:rFonts w:ascii="Times New Roman" w:hAnsi="Times New Roman"/>
          <w:color w:val="000000" w:themeColor="text1"/>
          <w:sz w:val="16"/>
          <w:szCs w:val="16"/>
        </w:rPr>
        <w:softHyphen/>
        <w:t>ков 1-го бак и штурмовиков 1-го шак. Однако ближе к полудню "пешкам" была поставлена задача нанести бомбовый удар по войскам противника в районе Томаровка, Драгунская. По аэродромам было решено задействовать только Ил-2. По всей видимости, генерал Красовс-кий принял во внимание невысокую бое</w:t>
      </w:r>
      <w:r w:rsidRPr="00D03F3E">
        <w:rPr>
          <w:rFonts w:ascii="Times New Roman" w:hAnsi="Times New Roman"/>
          <w:color w:val="000000" w:themeColor="text1"/>
          <w:sz w:val="16"/>
          <w:szCs w:val="16"/>
        </w:rPr>
        <w:softHyphen/>
        <w:t>вую подготовку экипажей 1 -го бак, боль</w:t>
      </w:r>
      <w:r w:rsidRPr="00D03F3E">
        <w:rPr>
          <w:rFonts w:ascii="Times New Roman" w:hAnsi="Times New Roman"/>
          <w:color w:val="000000" w:themeColor="text1"/>
          <w:sz w:val="16"/>
          <w:szCs w:val="16"/>
        </w:rPr>
        <w:softHyphen/>
        <w:t>шинство из которых (свыше 70%) еще только вводились в строй "или имеют низкую подготовку". Очевидно, что при выполнении столь сложной боевой за</w:t>
      </w:r>
      <w:r w:rsidRPr="00D03F3E">
        <w:rPr>
          <w:rFonts w:ascii="Times New Roman" w:hAnsi="Times New Roman"/>
          <w:color w:val="000000" w:themeColor="text1"/>
          <w:sz w:val="16"/>
          <w:szCs w:val="16"/>
        </w:rPr>
        <w:softHyphen/>
        <w:t>дачи, как удар по аэродрому, корпус обя</w:t>
      </w:r>
      <w:r w:rsidRPr="00D03F3E">
        <w:rPr>
          <w:rFonts w:ascii="Times New Roman" w:hAnsi="Times New Roman"/>
          <w:color w:val="000000" w:themeColor="text1"/>
          <w:sz w:val="16"/>
          <w:szCs w:val="16"/>
        </w:rPr>
        <w:softHyphen/>
        <w:t>зательно понесет большие потери.</w:t>
      </w:r>
    </w:p>
    <w:p w14:paraId="735DEB0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распоряжения штаба армии штурмовики 820-го шап должны были атаковать аэродром Харьков-Сокольни</w:t>
      </w:r>
      <w:r w:rsidRPr="00D03F3E">
        <w:rPr>
          <w:rFonts w:ascii="Times New Roman" w:hAnsi="Times New Roman"/>
          <w:color w:val="000000" w:themeColor="text1"/>
          <w:sz w:val="16"/>
          <w:szCs w:val="16"/>
        </w:rPr>
        <w:softHyphen/>
        <w:t>ки в 15.00, а экипажи 673-го шап — аэро</w:t>
      </w:r>
      <w:r w:rsidRPr="00D03F3E">
        <w:rPr>
          <w:rFonts w:ascii="Times New Roman" w:hAnsi="Times New Roman"/>
          <w:color w:val="000000" w:themeColor="text1"/>
          <w:sz w:val="16"/>
          <w:szCs w:val="16"/>
        </w:rPr>
        <w:softHyphen/>
        <w:t>дром Рогань в 16.30. С чем связано раз</w:t>
      </w:r>
      <w:r w:rsidRPr="00D03F3E">
        <w:rPr>
          <w:rFonts w:ascii="Times New Roman" w:hAnsi="Times New Roman"/>
          <w:color w:val="000000" w:themeColor="text1"/>
          <w:sz w:val="16"/>
          <w:szCs w:val="16"/>
        </w:rPr>
        <w:softHyphen/>
        <w:t>несение штабом воздушной армии ударов штурмовиков по времени почти на полтора часа, совершенно непонятно, поскольку неодновременность ударов по</w:t>
      </w:r>
      <w:r w:rsidRPr="00D03F3E">
        <w:rPr>
          <w:rFonts w:ascii="Times New Roman" w:hAnsi="Times New Roman"/>
          <w:color w:val="000000" w:themeColor="text1"/>
          <w:sz w:val="16"/>
          <w:szCs w:val="16"/>
        </w:rPr>
        <w:softHyphen/>
        <w:t>зволяла противнику сосредоточивать всю свою истребительную авиацию в райо</w:t>
      </w:r>
      <w:r w:rsidRPr="00D03F3E">
        <w:rPr>
          <w:rFonts w:ascii="Times New Roman" w:hAnsi="Times New Roman"/>
          <w:color w:val="000000" w:themeColor="text1"/>
          <w:sz w:val="16"/>
          <w:szCs w:val="16"/>
        </w:rPr>
        <w:softHyphen/>
        <w:t>не действия штурмовиков и массирован</w:t>
      </w:r>
      <w:r w:rsidRPr="00D03F3E">
        <w:rPr>
          <w:rFonts w:ascii="Times New Roman" w:hAnsi="Times New Roman"/>
          <w:color w:val="000000" w:themeColor="text1"/>
          <w:sz w:val="16"/>
          <w:szCs w:val="16"/>
        </w:rPr>
        <w:softHyphen/>
        <w:t>но действовать по ним, со всеми вытека</w:t>
      </w:r>
      <w:r w:rsidRPr="00D03F3E">
        <w:rPr>
          <w:rFonts w:ascii="Times New Roman" w:hAnsi="Times New Roman"/>
          <w:color w:val="000000" w:themeColor="text1"/>
          <w:sz w:val="16"/>
          <w:szCs w:val="16"/>
        </w:rPr>
        <w:softHyphen/>
        <w:t>ющими из этого последствиями. Тем бо</w:t>
      </w:r>
      <w:r w:rsidRPr="00D03F3E">
        <w:rPr>
          <w:rFonts w:ascii="Times New Roman" w:hAnsi="Times New Roman"/>
          <w:color w:val="000000" w:themeColor="text1"/>
          <w:sz w:val="16"/>
          <w:szCs w:val="16"/>
        </w:rPr>
        <w:softHyphen/>
        <w:t>лее если учесть, что к этому времени про</w:t>
      </w:r>
      <w:r w:rsidRPr="00D03F3E">
        <w:rPr>
          <w:rFonts w:ascii="Times New Roman" w:hAnsi="Times New Roman"/>
          <w:color w:val="000000" w:themeColor="text1"/>
          <w:sz w:val="16"/>
          <w:szCs w:val="16"/>
        </w:rPr>
        <w:softHyphen/>
        <w:t>тивник привел систему ПВО в повышен</w:t>
      </w:r>
      <w:r w:rsidRPr="00D03F3E">
        <w:rPr>
          <w:rFonts w:ascii="Times New Roman" w:hAnsi="Times New Roman"/>
          <w:color w:val="000000" w:themeColor="text1"/>
          <w:sz w:val="16"/>
          <w:szCs w:val="16"/>
        </w:rPr>
        <w:softHyphen/>
        <w:t>ную готовность и рассредоточил свои ис</w:t>
      </w:r>
      <w:r w:rsidRPr="00D03F3E">
        <w:rPr>
          <w:rFonts w:ascii="Times New Roman" w:hAnsi="Times New Roman"/>
          <w:color w:val="000000" w:themeColor="text1"/>
          <w:sz w:val="16"/>
          <w:szCs w:val="16"/>
        </w:rPr>
        <w:softHyphen/>
        <w:t>требители по полевым площадкам вбли</w:t>
      </w:r>
      <w:r w:rsidRPr="00D03F3E">
        <w:rPr>
          <w:rFonts w:ascii="Times New Roman" w:hAnsi="Times New Roman"/>
          <w:color w:val="000000" w:themeColor="text1"/>
          <w:sz w:val="16"/>
          <w:szCs w:val="16"/>
        </w:rPr>
        <w:softHyphen/>
        <w:t>зи основных аэродромов. А эта инфор</w:t>
      </w:r>
      <w:r w:rsidRPr="00D03F3E">
        <w:rPr>
          <w:rFonts w:ascii="Times New Roman" w:hAnsi="Times New Roman"/>
          <w:color w:val="000000" w:themeColor="text1"/>
          <w:sz w:val="16"/>
          <w:szCs w:val="16"/>
        </w:rPr>
        <w:softHyphen/>
        <w:t>мация уже имелась в штабе армии от "следопытов", вылетавших на доразвед-ку аэродромов. В итоге, несмотря на то, что 7 "лавочкиных" от 193-го иап блоки</w:t>
      </w:r>
      <w:r w:rsidRPr="00D03F3E">
        <w:rPr>
          <w:rFonts w:ascii="Times New Roman" w:hAnsi="Times New Roman"/>
          <w:color w:val="000000" w:themeColor="text1"/>
          <w:sz w:val="16"/>
          <w:szCs w:val="16"/>
        </w:rPr>
        <w:softHyphen/>
        <w:t>ровали аэродромы Померки и Харьков-Сокольники, все группы Ил-2 встретили организованное противодействие не только зенитной артиллерии, но и со сто</w:t>
      </w:r>
      <w:r w:rsidRPr="00D03F3E">
        <w:rPr>
          <w:rFonts w:ascii="Times New Roman" w:hAnsi="Times New Roman"/>
          <w:color w:val="000000" w:themeColor="text1"/>
          <w:sz w:val="16"/>
          <w:szCs w:val="16"/>
        </w:rPr>
        <w:softHyphen/>
        <w:t>роны истребителей противника.</w:t>
      </w:r>
    </w:p>
    <w:p w14:paraId="750F1E8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 уже на подлете к аэродрому Харь</w:t>
      </w:r>
      <w:r w:rsidRPr="00D03F3E">
        <w:rPr>
          <w:rFonts w:ascii="Times New Roman" w:hAnsi="Times New Roman"/>
          <w:color w:val="000000" w:themeColor="text1"/>
          <w:sz w:val="16"/>
          <w:szCs w:val="16"/>
        </w:rPr>
        <w:softHyphen/>
        <w:t>ков-Сокольники 5 Ил-2 от 820-го шап (ведущий ст. л-т Забненков), которых при</w:t>
      </w:r>
      <w:r w:rsidRPr="00D03F3E">
        <w:rPr>
          <w:rFonts w:ascii="Times New Roman" w:hAnsi="Times New Roman"/>
          <w:color w:val="000000" w:themeColor="text1"/>
          <w:sz w:val="16"/>
          <w:szCs w:val="16"/>
        </w:rPr>
        <w:softHyphen/>
        <w:t>крывали 8 Як-76 от 6-го иап, были встре</w:t>
      </w:r>
      <w:r w:rsidRPr="00D03F3E">
        <w:rPr>
          <w:rFonts w:ascii="Times New Roman" w:hAnsi="Times New Roman"/>
          <w:color w:val="000000" w:themeColor="text1"/>
          <w:sz w:val="16"/>
          <w:szCs w:val="16"/>
        </w:rPr>
        <w:softHyphen/>
        <w:t>чены сплошной стеной зенитного огня. Тем не менее Ил-2 и 4 Як-76 из группы непосредственного сопровождения смог</w:t>
      </w:r>
      <w:r w:rsidRPr="00D03F3E">
        <w:rPr>
          <w:rFonts w:ascii="Times New Roman" w:hAnsi="Times New Roman"/>
          <w:color w:val="000000" w:themeColor="text1"/>
          <w:sz w:val="16"/>
          <w:szCs w:val="16"/>
        </w:rPr>
        <w:softHyphen/>
        <w:t>ли перейти в атаку (время налета 14.59-15.03). Под удар попало около 46 само</w:t>
      </w:r>
      <w:r w:rsidRPr="00D03F3E">
        <w:rPr>
          <w:rFonts w:ascii="Times New Roman" w:hAnsi="Times New Roman"/>
          <w:color w:val="000000" w:themeColor="text1"/>
          <w:sz w:val="16"/>
          <w:szCs w:val="16"/>
        </w:rPr>
        <w:softHyphen/>
        <w:t>летов типа Ю88, Ме109 и Ме110. В ре</w:t>
      </w:r>
      <w:r w:rsidRPr="00D03F3E">
        <w:rPr>
          <w:rFonts w:ascii="Times New Roman" w:hAnsi="Times New Roman"/>
          <w:color w:val="000000" w:themeColor="text1"/>
          <w:sz w:val="16"/>
          <w:szCs w:val="16"/>
        </w:rPr>
        <w:softHyphen/>
        <w:t>зультате, по докладам экипажей штур</w:t>
      </w:r>
      <w:r w:rsidRPr="00D03F3E">
        <w:rPr>
          <w:rFonts w:ascii="Times New Roman" w:hAnsi="Times New Roman"/>
          <w:color w:val="000000" w:themeColor="text1"/>
          <w:sz w:val="16"/>
          <w:szCs w:val="16"/>
        </w:rPr>
        <w:softHyphen/>
        <w:t>мовиков и истребителей сопровождения, было уничтожено и повреждено до 10 самолетов люфтваффе.</w:t>
      </w:r>
    </w:p>
    <w:p w14:paraId="6012DB8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ходе атаки Ил-2 (зав. № 301740) лейтенанта Острова получил серьезные повреждения в результате прямого по</w:t>
      </w:r>
      <w:r w:rsidRPr="00D03F3E">
        <w:rPr>
          <w:rFonts w:ascii="Times New Roman" w:hAnsi="Times New Roman"/>
          <w:color w:val="000000" w:themeColor="text1"/>
          <w:sz w:val="16"/>
          <w:szCs w:val="16"/>
        </w:rPr>
        <w:softHyphen/>
        <w:t>падания малокалиберного зенитного сна</w:t>
      </w:r>
      <w:r w:rsidRPr="00D03F3E">
        <w:rPr>
          <w:rFonts w:ascii="Times New Roman" w:hAnsi="Times New Roman"/>
          <w:color w:val="000000" w:themeColor="text1"/>
          <w:sz w:val="16"/>
          <w:szCs w:val="16"/>
        </w:rPr>
        <w:softHyphen/>
        <w:t>ряда — разорвана верхняя обшивка ле</w:t>
      </w:r>
      <w:r w:rsidRPr="00D03F3E">
        <w:rPr>
          <w:rFonts w:ascii="Times New Roman" w:hAnsi="Times New Roman"/>
          <w:color w:val="000000" w:themeColor="text1"/>
          <w:sz w:val="16"/>
          <w:szCs w:val="16"/>
        </w:rPr>
        <w:softHyphen/>
        <w:t>вой консоли крыла и перебит триммер элерона. Однако штурмовик "остался на лету", и в дальнейшем Острову удалось довести и посадить самолет на свой аэродром.</w:t>
      </w:r>
    </w:p>
    <w:p w14:paraId="4E7DF7E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отходе от цели штурмовики были атакованы большой группой немецких ис</w:t>
      </w:r>
      <w:r w:rsidRPr="00D03F3E">
        <w:rPr>
          <w:rFonts w:ascii="Times New Roman" w:hAnsi="Times New Roman"/>
          <w:color w:val="000000" w:themeColor="text1"/>
          <w:sz w:val="16"/>
          <w:szCs w:val="16"/>
        </w:rPr>
        <w:softHyphen/>
        <w:t>требителей - около 10-12 Ме109. "Яки" прикрытия вступили с противником в бой, но полностью защитить штурмовиков не смогли — силы были не равными. Одна пара "мессершмиттов" прорвалась к Ил-2 и атаковала крайний в группе само</w:t>
      </w:r>
      <w:r w:rsidRPr="00D03F3E">
        <w:rPr>
          <w:rFonts w:ascii="Times New Roman" w:hAnsi="Times New Roman"/>
          <w:color w:val="000000" w:themeColor="text1"/>
          <w:sz w:val="16"/>
          <w:szCs w:val="16"/>
        </w:rPr>
        <w:softHyphen/>
        <w:t>лет сержанта Захарова. В результате атаки штурмовик получил повреждения, а сержант Захаров и воздушный стре</w:t>
      </w:r>
      <w:r w:rsidRPr="00D03F3E">
        <w:rPr>
          <w:rFonts w:ascii="Times New Roman" w:hAnsi="Times New Roman"/>
          <w:color w:val="000000" w:themeColor="text1"/>
          <w:sz w:val="16"/>
          <w:szCs w:val="16"/>
        </w:rPr>
        <w:softHyphen/>
        <w:t>лок сержант Белоконный легко ранены. Не остался в долгу и сержант Белокон</w:t>
      </w:r>
      <w:r w:rsidRPr="00D03F3E">
        <w:rPr>
          <w:rFonts w:ascii="Times New Roman" w:hAnsi="Times New Roman"/>
          <w:color w:val="000000" w:themeColor="text1"/>
          <w:sz w:val="16"/>
          <w:szCs w:val="16"/>
        </w:rPr>
        <w:softHyphen/>
        <w:t>ный - меткой очередью из УБТ сбил один Ме109. Горящий истребитель упал в лес около аэродрома. Оставшийся без на</w:t>
      </w:r>
      <w:r w:rsidRPr="00D03F3E">
        <w:rPr>
          <w:rFonts w:ascii="Times New Roman" w:hAnsi="Times New Roman"/>
          <w:color w:val="000000" w:themeColor="text1"/>
          <w:sz w:val="16"/>
          <w:szCs w:val="16"/>
        </w:rPr>
        <w:softHyphen/>
        <w:t>парника пилот люфтваффе немедленно вышел из боя и больше атак не повто</w:t>
      </w:r>
      <w:r w:rsidRPr="00D03F3E">
        <w:rPr>
          <w:rFonts w:ascii="Times New Roman" w:hAnsi="Times New Roman"/>
          <w:color w:val="000000" w:themeColor="text1"/>
          <w:sz w:val="16"/>
          <w:szCs w:val="16"/>
        </w:rPr>
        <w:softHyphen/>
        <w:t>рял. Пока истребители прикрытия "раз</w:t>
      </w:r>
      <w:r w:rsidRPr="00D03F3E">
        <w:rPr>
          <w:rFonts w:ascii="Times New Roman" w:hAnsi="Times New Roman"/>
          <w:color w:val="000000" w:themeColor="text1"/>
          <w:sz w:val="16"/>
          <w:szCs w:val="16"/>
        </w:rPr>
        <w:softHyphen/>
        <w:t>бирались" с превосходящими силами противника, штурмовики благополучно проскочили линию фронта и произвели посадку на свой аэродром.</w:t>
      </w:r>
    </w:p>
    <w:p w14:paraId="519C5BE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Вылетавшие для удара по аэродрому Харьков-Алешки шесть Ил-2 от 800-го шап (ведущий л-т Одинцов) под прикры</w:t>
      </w:r>
      <w:r w:rsidRPr="00D03F3E">
        <w:rPr>
          <w:rFonts w:ascii="Times New Roman" w:hAnsi="Times New Roman"/>
          <w:color w:val="000000" w:themeColor="text1"/>
          <w:sz w:val="16"/>
          <w:szCs w:val="16"/>
        </w:rPr>
        <w:softHyphen/>
        <w:t>тием 8 истребителей Як-16 и Як-76 от 183-го иап к своей цели прорваться не смогли. В районе Веселое, Липцы группы были обстреляны сильным зенитным огнем и затем сразу же атакованы 12 истребителями противника Ме109. Восемь "мессершмиттов" связали боем сопро</w:t>
      </w:r>
      <w:r w:rsidRPr="00D03F3E">
        <w:rPr>
          <w:rFonts w:ascii="Times New Roman" w:hAnsi="Times New Roman"/>
          <w:color w:val="000000" w:themeColor="text1"/>
          <w:sz w:val="16"/>
          <w:szCs w:val="16"/>
        </w:rPr>
        <w:softHyphen/>
        <w:t>вождающие "Яки", а две пары — атако</w:t>
      </w:r>
      <w:r w:rsidRPr="00D03F3E">
        <w:rPr>
          <w:rFonts w:ascii="Times New Roman" w:hAnsi="Times New Roman"/>
          <w:color w:val="000000" w:themeColor="text1"/>
          <w:sz w:val="16"/>
          <w:szCs w:val="16"/>
        </w:rPr>
        <w:softHyphen/>
        <w:t>вали Ил-2.</w:t>
      </w:r>
    </w:p>
    <w:p w14:paraId="767E272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первой же атаке практически одно</w:t>
      </w:r>
      <w:r w:rsidRPr="00D03F3E">
        <w:rPr>
          <w:rFonts w:ascii="Times New Roman" w:hAnsi="Times New Roman"/>
          <w:color w:val="000000" w:themeColor="text1"/>
          <w:sz w:val="16"/>
          <w:szCs w:val="16"/>
        </w:rPr>
        <w:softHyphen/>
        <w:t>временно были подбиты Ил-2 сержанта Чепелюка (воздушный стрелок сержант Дмитриев) и ст. сержанта Бегельдинова (воздушный стрелок ст. сержант Яковен-ко). Воздушному стрелку сержанту Дмит</w:t>
      </w:r>
      <w:r w:rsidRPr="00D03F3E">
        <w:rPr>
          <w:rFonts w:ascii="Times New Roman" w:hAnsi="Times New Roman"/>
          <w:color w:val="000000" w:themeColor="text1"/>
          <w:sz w:val="16"/>
          <w:szCs w:val="16"/>
        </w:rPr>
        <w:softHyphen/>
        <w:t>риеву удалось подбить один немецкий истребитель, который, сильно дымя, вы</w:t>
      </w:r>
      <w:r w:rsidRPr="00D03F3E">
        <w:rPr>
          <w:rFonts w:ascii="Times New Roman" w:hAnsi="Times New Roman"/>
          <w:color w:val="000000" w:themeColor="text1"/>
          <w:sz w:val="16"/>
          <w:szCs w:val="16"/>
        </w:rPr>
        <w:softHyphen/>
        <w:t>шел из боя.</w:t>
      </w:r>
    </w:p>
    <w:p w14:paraId="60B0B72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отражении второй атаки пило</w:t>
      </w:r>
      <w:r w:rsidRPr="00D03F3E">
        <w:rPr>
          <w:rFonts w:ascii="Times New Roman" w:hAnsi="Times New Roman"/>
          <w:color w:val="000000" w:themeColor="text1"/>
          <w:sz w:val="16"/>
          <w:szCs w:val="16"/>
        </w:rPr>
        <w:softHyphen/>
        <w:t>тов люфтваффе воздушные стрелки Ни</w:t>
      </w:r>
      <w:r w:rsidRPr="00D03F3E">
        <w:rPr>
          <w:rFonts w:ascii="Times New Roman" w:hAnsi="Times New Roman"/>
          <w:color w:val="000000" w:themeColor="text1"/>
          <w:sz w:val="16"/>
          <w:szCs w:val="16"/>
        </w:rPr>
        <w:softHyphen/>
        <w:t>конов и Белоусов сосредоточенным ог</w:t>
      </w:r>
      <w:r w:rsidRPr="00D03F3E">
        <w:rPr>
          <w:rFonts w:ascii="Times New Roman" w:hAnsi="Times New Roman"/>
          <w:color w:val="000000" w:themeColor="text1"/>
          <w:sz w:val="16"/>
          <w:szCs w:val="16"/>
        </w:rPr>
        <w:softHyphen/>
        <w:t>нем сбили еще один "мессершмитт", ко</w:t>
      </w:r>
      <w:r w:rsidRPr="00D03F3E">
        <w:rPr>
          <w:rFonts w:ascii="Times New Roman" w:hAnsi="Times New Roman"/>
          <w:color w:val="000000" w:themeColor="text1"/>
          <w:sz w:val="16"/>
          <w:szCs w:val="16"/>
        </w:rPr>
        <w:softHyphen/>
        <w:t>торый упал в районе Липцы.</w:t>
      </w:r>
    </w:p>
    <w:p w14:paraId="766FC8D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Истребители прикрытия в воздушном бою на виражах и вертикали "завалили" пару Ме 109. Отличились мл. л-т Петрушкин и ст. сержант Юрченко, на счет ко</w:t>
      </w:r>
      <w:r w:rsidRPr="00D03F3E">
        <w:rPr>
          <w:rFonts w:ascii="Times New Roman" w:hAnsi="Times New Roman"/>
          <w:color w:val="000000" w:themeColor="text1"/>
          <w:sz w:val="16"/>
          <w:szCs w:val="16"/>
        </w:rPr>
        <w:softHyphen/>
        <w:t>торых была записана одна групповая по</w:t>
      </w:r>
      <w:r w:rsidRPr="00D03F3E">
        <w:rPr>
          <w:rFonts w:ascii="Times New Roman" w:hAnsi="Times New Roman"/>
          <w:color w:val="000000" w:themeColor="text1"/>
          <w:sz w:val="16"/>
          <w:szCs w:val="16"/>
        </w:rPr>
        <w:softHyphen/>
        <w:t>беда, и ст. сержант Новиков, лично сбив</w:t>
      </w:r>
      <w:r w:rsidRPr="00D03F3E">
        <w:rPr>
          <w:rFonts w:ascii="Times New Roman" w:hAnsi="Times New Roman"/>
          <w:color w:val="000000" w:themeColor="text1"/>
          <w:sz w:val="16"/>
          <w:szCs w:val="16"/>
        </w:rPr>
        <w:softHyphen/>
        <w:t>ший один Ме 109. По наблюдениям эки</w:t>
      </w:r>
      <w:r w:rsidRPr="00D03F3E">
        <w:rPr>
          <w:rFonts w:ascii="Times New Roman" w:hAnsi="Times New Roman"/>
          <w:color w:val="000000" w:themeColor="text1"/>
          <w:sz w:val="16"/>
          <w:szCs w:val="16"/>
        </w:rPr>
        <w:softHyphen/>
        <w:t>пажей штурмовиков оба "мессера" упа</w:t>
      </w:r>
      <w:r w:rsidRPr="00D03F3E">
        <w:rPr>
          <w:rFonts w:ascii="Times New Roman" w:hAnsi="Times New Roman"/>
          <w:color w:val="000000" w:themeColor="text1"/>
          <w:sz w:val="16"/>
          <w:szCs w:val="16"/>
        </w:rPr>
        <w:softHyphen/>
        <w:t>ли в районе Веселое.</w:t>
      </w:r>
    </w:p>
    <w:p w14:paraId="39796A6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ожесточенного воздушного боя оставшаяся четверка Ил-2, ввиду боль</w:t>
      </w:r>
      <w:r w:rsidRPr="00D03F3E">
        <w:rPr>
          <w:rFonts w:ascii="Times New Roman" w:hAnsi="Times New Roman"/>
          <w:color w:val="000000" w:themeColor="text1"/>
          <w:sz w:val="16"/>
          <w:szCs w:val="16"/>
        </w:rPr>
        <w:softHyphen/>
        <w:t>шого расхода горючего и отклонения от маршрута, под прикрытием истребите</w:t>
      </w:r>
      <w:r w:rsidRPr="00D03F3E">
        <w:rPr>
          <w:rFonts w:ascii="Times New Roman" w:hAnsi="Times New Roman"/>
          <w:color w:val="000000" w:themeColor="text1"/>
          <w:sz w:val="16"/>
          <w:szCs w:val="16"/>
        </w:rPr>
        <w:softHyphen/>
        <w:t>лей возвратилась на свой аэродром.</w:t>
      </w:r>
    </w:p>
    <w:p w14:paraId="01F3BA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следует из документов штаба 1 -го шок, "...6 Ил-2 вследствие встречи с большой группой истребителей против</w:t>
      </w:r>
      <w:r w:rsidRPr="00D03F3E">
        <w:rPr>
          <w:rFonts w:ascii="Times New Roman" w:hAnsi="Times New Roman"/>
          <w:color w:val="000000" w:themeColor="text1"/>
          <w:sz w:val="16"/>
          <w:szCs w:val="16"/>
        </w:rPr>
        <w:softHyphen/>
        <w:t>ника, по заданной цели не действовала, а атаковала колонну автомашин и бен</w:t>
      </w:r>
      <w:r w:rsidRPr="00D03F3E">
        <w:rPr>
          <w:rFonts w:ascii="Times New Roman" w:hAnsi="Times New Roman"/>
          <w:color w:val="000000" w:themeColor="text1"/>
          <w:sz w:val="16"/>
          <w:szCs w:val="16"/>
        </w:rPr>
        <w:softHyphen/>
        <w:t>зозаправщиков на южной окраине Лип</w:t>
      </w:r>
      <w:r w:rsidRPr="00D03F3E">
        <w:rPr>
          <w:rFonts w:ascii="Times New Roman" w:hAnsi="Times New Roman"/>
          <w:color w:val="000000" w:themeColor="text1"/>
          <w:sz w:val="16"/>
          <w:szCs w:val="16"/>
        </w:rPr>
        <w:softHyphen/>
        <w:t>цы". Однако о потерях противника в от</w:t>
      </w:r>
      <w:r w:rsidRPr="00D03F3E">
        <w:rPr>
          <w:rFonts w:ascii="Times New Roman" w:hAnsi="Times New Roman"/>
          <w:color w:val="000000" w:themeColor="text1"/>
          <w:sz w:val="16"/>
          <w:szCs w:val="16"/>
        </w:rPr>
        <w:softHyphen/>
        <w:t>чете ничего не указывается.</w:t>
      </w:r>
    </w:p>
    <w:p w14:paraId="7E3A122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Подбитым в воздушном бою экипажам Ил-2 удалось посадить свои самолеты на территории противника в 5 км северо-западнее Веселое, пробраться через ли</w:t>
      </w:r>
      <w:r w:rsidRPr="00D03F3E">
        <w:rPr>
          <w:rFonts w:ascii="Times New Roman" w:hAnsi="Times New Roman"/>
          <w:color w:val="000000" w:themeColor="text1"/>
          <w:sz w:val="16"/>
          <w:szCs w:val="16"/>
        </w:rPr>
        <w:softHyphen/>
        <w:t>нию фронта и 18 мая возвратиться в свою часть. При переходе линии фрон</w:t>
      </w:r>
      <w:r w:rsidRPr="00D03F3E">
        <w:rPr>
          <w:rFonts w:ascii="Times New Roman" w:hAnsi="Times New Roman"/>
          <w:color w:val="000000" w:themeColor="text1"/>
          <w:sz w:val="16"/>
          <w:szCs w:val="16"/>
        </w:rPr>
        <w:softHyphen/>
        <w:t>та подорвался на мине и погиб ст. сер</w:t>
      </w:r>
      <w:r w:rsidRPr="00D03F3E">
        <w:rPr>
          <w:rFonts w:ascii="Times New Roman" w:hAnsi="Times New Roman"/>
          <w:color w:val="000000" w:themeColor="text1"/>
          <w:sz w:val="16"/>
          <w:szCs w:val="16"/>
        </w:rPr>
        <w:softHyphen/>
        <w:t>жант Яковенко.</w:t>
      </w:r>
    </w:p>
    <w:p w14:paraId="14D68EA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Потери 4-го исжпри обеспечении вто</w:t>
      </w:r>
      <w:r w:rsidRPr="00D03F3E">
        <w:rPr>
          <w:rFonts w:ascii="Times New Roman" w:hAnsi="Times New Roman"/>
          <w:color w:val="000000" w:themeColor="text1"/>
          <w:sz w:val="16"/>
          <w:szCs w:val="16"/>
        </w:rPr>
        <w:softHyphen/>
        <w:t>рого бомбоштурмового удара штурмо</w:t>
      </w:r>
      <w:r w:rsidRPr="00D03F3E">
        <w:rPr>
          <w:rFonts w:ascii="Times New Roman" w:hAnsi="Times New Roman"/>
          <w:color w:val="000000" w:themeColor="text1"/>
          <w:sz w:val="16"/>
          <w:szCs w:val="16"/>
        </w:rPr>
        <w:softHyphen/>
        <w:t>виков по аэродромам противника соста</w:t>
      </w:r>
      <w:r w:rsidRPr="00D03F3E">
        <w:rPr>
          <w:rFonts w:ascii="Times New Roman" w:hAnsi="Times New Roman"/>
          <w:color w:val="000000" w:themeColor="text1"/>
          <w:sz w:val="16"/>
          <w:szCs w:val="16"/>
        </w:rPr>
        <w:softHyphen/>
        <w:t>вили 8 машин. Из этого числа 4 Як-76 и 3 Ла-5 не вернулись с боевого задания по неизвестным причинам, и один Ла-5 был сбит в районе Липцы.</w:t>
      </w:r>
    </w:p>
    <w:p w14:paraId="062A6CA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этому следует добавить, что повтор</w:t>
      </w:r>
      <w:r w:rsidRPr="00D03F3E">
        <w:rPr>
          <w:rFonts w:ascii="Times New Roman" w:hAnsi="Times New Roman"/>
          <w:color w:val="000000" w:themeColor="text1"/>
          <w:sz w:val="16"/>
          <w:szCs w:val="16"/>
        </w:rPr>
        <w:softHyphen/>
        <w:t>ный удар по аэродрому Рогань вообще не состоялся, так как 6 Ил-2 от 673-го шап "из-за отсутствия истребителей со</w:t>
      </w:r>
      <w:r w:rsidRPr="00D03F3E">
        <w:rPr>
          <w:rFonts w:ascii="Times New Roman" w:hAnsi="Times New Roman"/>
          <w:color w:val="000000" w:themeColor="text1"/>
          <w:sz w:val="16"/>
          <w:szCs w:val="16"/>
        </w:rPr>
        <w:softHyphen/>
        <w:t>провождения боевой задачи не выпол</w:t>
      </w:r>
      <w:r w:rsidRPr="00D03F3E">
        <w:rPr>
          <w:rFonts w:ascii="Times New Roman" w:hAnsi="Times New Roman"/>
          <w:color w:val="000000" w:themeColor="text1"/>
          <w:sz w:val="16"/>
          <w:szCs w:val="16"/>
        </w:rPr>
        <w:softHyphen/>
        <w:t>нили и возвратились на свой аэродром".</w:t>
      </w:r>
    </w:p>
    <w:p w14:paraId="249775C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Подойдя после взлета в 16.05 к аэро</w:t>
      </w:r>
      <w:r w:rsidRPr="00D03F3E">
        <w:rPr>
          <w:rFonts w:ascii="Times New Roman" w:hAnsi="Times New Roman"/>
          <w:color w:val="000000" w:themeColor="text1"/>
          <w:sz w:val="16"/>
          <w:szCs w:val="16"/>
        </w:rPr>
        <w:softHyphen/>
        <w:t>дрому встречи с истребителями сопро</w:t>
      </w:r>
      <w:r w:rsidRPr="00D03F3E">
        <w:rPr>
          <w:rFonts w:ascii="Times New Roman" w:hAnsi="Times New Roman"/>
          <w:color w:val="000000" w:themeColor="text1"/>
          <w:sz w:val="16"/>
          <w:szCs w:val="16"/>
        </w:rPr>
        <w:softHyphen/>
        <w:t>вождения Уразово, группа Ил-2 сделала пять кругов, но истребители не взлетали. Ведущий группы мл. л-т Александров, несмотря на строжайший запрет, запро</w:t>
      </w:r>
      <w:r w:rsidRPr="00D03F3E">
        <w:rPr>
          <w:rFonts w:ascii="Times New Roman" w:hAnsi="Times New Roman"/>
          <w:color w:val="000000" w:themeColor="text1"/>
          <w:sz w:val="16"/>
          <w:szCs w:val="16"/>
        </w:rPr>
        <w:softHyphen/>
        <w:t>сил по радио прикрывающую группу ис</w:t>
      </w:r>
      <w:r w:rsidRPr="00D03F3E">
        <w:rPr>
          <w:rFonts w:ascii="Times New Roman" w:hAnsi="Times New Roman"/>
          <w:color w:val="000000" w:themeColor="text1"/>
          <w:sz w:val="16"/>
          <w:szCs w:val="16"/>
        </w:rPr>
        <w:softHyphen/>
        <w:t>требителей. Однако и после этого никто не взлетел. С командного пункта 302-й иад ответили: "Вернитесь обратно, при</w:t>
      </w:r>
      <w:r w:rsidRPr="00D03F3E">
        <w:rPr>
          <w:rFonts w:ascii="Times New Roman" w:hAnsi="Times New Roman"/>
          <w:color w:val="000000" w:themeColor="text1"/>
          <w:sz w:val="16"/>
          <w:szCs w:val="16"/>
        </w:rPr>
        <w:softHyphen/>
        <w:t>крытия не будет". После этого, учитывая большой неплановый расход горючего и потерю времени на ожидание истре</w:t>
      </w:r>
      <w:r w:rsidRPr="00D03F3E">
        <w:rPr>
          <w:rFonts w:ascii="Times New Roman" w:hAnsi="Times New Roman"/>
          <w:color w:val="000000" w:themeColor="text1"/>
          <w:sz w:val="16"/>
          <w:szCs w:val="16"/>
        </w:rPr>
        <w:softHyphen/>
        <w:t>бителей, Александров принял решение на аэродром противника не "ходить"...</w:t>
      </w:r>
    </w:p>
    <w:p w14:paraId="618CFED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данным штаба 2-й ВА в результа</w:t>
      </w:r>
      <w:r w:rsidRPr="00D03F3E">
        <w:rPr>
          <w:rFonts w:ascii="Times New Roman" w:hAnsi="Times New Roman"/>
          <w:color w:val="000000" w:themeColor="text1"/>
          <w:sz w:val="16"/>
          <w:szCs w:val="16"/>
        </w:rPr>
        <w:softHyphen/>
        <w:t>те бомбоштурмовых ударов 6 мая эки</w:t>
      </w:r>
      <w:r w:rsidRPr="00D03F3E">
        <w:rPr>
          <w:rFonts w:ascii="Times New Roman" w:hAnsi="Times New Roman"/>
          <w:color w:val="000000" w:themeColor="text1"/>
          <w:sz w:val="16"/>
          <w:szCs w:val="16"/>
        </w:rPr>
        <w:softHyphen/>
        <w:t>пажи армии уничтожили до 51 одно- и двухмоторных немецких самолетов, по</w:t>
      </w:r>
      <w:r w:rsidRPr="00D03F3E">
        <w:rPr>
          <w:rFonts w:ascii="Times New Roman" w:hAnsi="Times New Roman"/>
          <w:color w:val="000000" w:themeColor="text1"/>
          <w:sz w:val="16"/>
          <w:szCs w:val="16"/>
        </w:rPr>
        <w:softHyphen/>
        <w:t>вредили до 14 самолетов Ме109, пода</w:t>
      </w:r>
      <w:r w:rsidRPr="00D03F3E">
        <w:rPr>
          <w:rFonts w:ascii="Times New Roman" w:hAnsi="Times New Roman"/>
          <w:color w:val="000000" w:themeColor="text1"/>
          <w:sz w:val="16"/>
          <w:szCs w:val="16"/>
        </w:rPr>
        <w:softHyphen/>
        <w:t>вили огонь 4 батарей зенитной артилле</w:t>
      </w:r>
      <w:r w:rsidRPr="00D03F3E">
        <w:rPr>
          <w:rFonts w:ascii="Times New Roman" w:hAnsi="Times New Roman"/>
          <w:color w:val="000000" w:themeColor="text1"/>
          <w:sz w:val="16"/>
          <w:szCs w:val="16"/>
        </w:rPr>
        <w:softHyphen/>
        <w:t>рии, создали 26 очагов пожаров и 3 больших взрыва. Частично данные эки</w:t>
      </w:r>
      <w:r w:rsidRPr="00D03F3E">
        <w:rPr>
          <w:rFonts w:ascii="Times New Roman" w:hAnsi="Times New Roman"/>
          <w:color w:val="000000" w:themeColor="text1"/>
          <w:sz w:val="16"/>
          <w:szCs w:val="16"/>
        </w:rPr>
        <w:softHyphen/>
        <w:t>пажей подтверждены фотоснимками раз</w:t>
      </w:r>
      <w:r w:rsidRPr="00D03F3E">
        <w:rPr>
          <w:rFonts w:ascii="Times New Roman" w:hAnsi="Times New Roman"/>
          <w:color w:val="000000" w:themeColor="text1"/>
          <w:sz w:val="16"/>
          <w:szCs w:val="16"/>
        </w:rPr>
        <w:softHyphen/>
        <w:t>ведчиков-контролеров.</w:t>
      </w:r>
    </w:p>
    <w:p w14:paraId="791A8CB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Официальные безвозвратные потери воздушной армии в этот день составили два самолета Ил-2 и один "Бостон", сби</w:t>
      </w:r>
      <w:r w:rsidRPr="00D03F3E">
        <w:rPr>
          <w:rFonts w:ascii="Times New Roman" w:hAnsi="Times New Roman"/>
          <w:color w:val="000000" w:themeColor="text1"/>
          <w:sz w:val="16"/>
          <w:szCs w:val="16"/>
        </w:rPr>
        <w:softHyphen/>
        <w:t>тые в воздушных боях в районе целей, 5 Як-76 и 3 Ла-5, не вернувшихся с боево</w:t>
      </w:r>
      <w:r w:rsidRPr="00D03F3E">
        <w:rPr>
          <w:rFonts w:ascii="Times New Roman" w:hAnsi="Times New Roman"/>
          <w:color w:val="000000" w:themeColor="text1"/>
          <w:sz w:val="16"/>
          <w:szCs w:val="16"/>
        </w:rPr>
        <w:softHyphen/>
        <w:t>го задания. Кроме этого, были учтены так</w:t>
      </w:r>
      <w:r w:rsidRPr="00D03F3E">
        <w:rPr>
          <w:rFonts w:ascii="Times New Roman" w:hAnsi="Times New Roman"/>
          <w:color w:val="000000" w:themeColor="text1"/>
          <w:sz w:val="16"/>
          <w:szCs w:val="16"/>
        </w:rPr>
        <w:softHyphen/>
        <w:t>же и два штурмовика, из которых один потерпел катастрофу, а другой сел на вынужденную посадку на своей терри</w:t>
      </w:r>
      <w:r w:rsidRPr="00D03F3E">
        <w:rPr>
          <w:rFonts w:ascii="Times New Roman" w:hAnsi="Times New Roman"/>
          <w:color w:val="000000" w:themeColor="text1"/>
          <w:sz w:val="16"/>
          <w:szCs w:val="16"/>
        </w:rPr>
        <w:softHyphen/>
        <w:t>тории (10789).</w:t>
      </w:r>
    </w:p>
    <w:p w14:paraId="0A957BA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3B4DB6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мая 1943 неудачными оказались дей</w:t>
      </w:r>
      <w:r w:rsidRPr="00D03F3E">
        <w:rPr>
          <w:rFonts w:ascii="Times New Roman" w:hAnsi="Times New Roman"/>
          <w:color w:val="000000" w:themeColor="text1"/>
          <w:sz w:val="16"/>
          <w:szCs w:val="16"/>
        </w:rPr>
        <w:softHyphen/>
        <w:t>ствия 17-й ВА генерал-лейтенанта В.А. Судца, хотя его штабу и штабу 3-го смешанного авиакорпуса удалось раз</w:t>
      </w:r>
      <w:r w:rsidRPr="00D03F3E">
        <w:rPr>
          <w:rFonts w:ascii="Times New Roman" w:hAnsi="Times New Roman"/>
          <w:color w:val="000000" w:themeColor="text1"/>
          <w:sz w:val="16"/>
          <w:szCs w:val="16"/>
        </w:rPr>
        <w:softHyphen/>
        <w:t>работать весьма оригинальный план боевого использования авиации по аэродрому Краматорская.</w:t>
      </w:r>
    </w:p>
    <w:p w14:paraId="6C50F6C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данным авиационной разведки на этом аэродроме к вечеру 5 мая от</w:t>
      </w:r>
      <w:r w:rsidRPr="00D03F3E">
        <w:rPr>
          <w:rFonts w:ascii="Times New Roman" w:hAnsi="Times New Roman"/>
          <w:color w:val="000000" w:themeColor="text1"/>
          <w:sz w:val="16"/>
          <w:szCs w:val="16"/>
        </w:rPr>
        <w:softHyphen/>
        <w:t>мечалось около 100 самолетов люфт</w:t>
      </w:r>
      <w:r w:rsidRPr="00D03F3E">
        <w:rPr>
          <w:rFonts w:ascii="Times New Roman" w:hAnsi="Times New Roman"/>
          <w:color w:val="000000" w:themeColor="text1"/>
          <w:sz w:val="16"/>
          <w:szCs w:val="16"/>
        </w:rPr>
        <w:softHyphen/>
        <w:t>ваффе различного типа. Оценив обстановку и наличные силы боеготовых экипажей, было принято ре</w:t>
      </w:r>
      <w:r w:rsidRPr="00D03F3E">
        <w:rPr>
          <w:rFonts w:ascii="Times New Roman" w:hAnsi="Times New Roman"/>
          <w:color w:val="000000" w:themeColor="text1"/>
          <w:sz w:val="16"/>
          <w:szCs w:val="16"/>
        </w:rPr>
        <w:softHyphen/>
        <w:t>шение выполнить налет на аэродром Краматорская силами 18 Ил-2 от 290-й шад. При этом по плану 10 Ил-2 от 775-го шап наносят удар в период 5.03-5.10, а 8 Ил-2 от 299-го шап - в период 5.10-5.17. Высота подлета к аэродрому - от 500 м до бреющего полета. За три минуты до подхода эки</w:t>
      </w:r>
      <w:r w:rsidRPr="00D03F3E">
        <w:rPr>
          <w:rFonts w:ascii="Times New Roman" w:hAnsi="Times New Roman"/>
          <w:color w:val="000000" w:themeColor="text1"/>
          <w:sz w:val="16"/>
          <w:szCs w:val="16"/>
        </w:rPr>
        <w:softHyphen/>
        <w:t>пажей 775-го шап к цели 10 Ла-5 от 5-го гиап блокируют аэродром, унич</w:t>
      </w:r>
      <w:r w:rsidRPr="00D03F3E">
        <w:rPr>
          <w:rFonts w:ascii="Times New Roman" w:hAnsi="Times New Roman"/>
          <w:color w:val="000000" w:themeColor="text1"/>
          <w:sz w:val="16"/>
          <w:szCs w:val="16"/>
        </w:rPr>
        <w:softHyphen/>
        <w:t>тожая дежурные силы истребителей, а с приходом штурмовиков - частью сил подавляют огневые средства ПВО и ча</w:t>
      </w:r>
      <w:r w:rsidRPr="00D03F3E">
        <w:rPr>
          <w:rFonts w:ascii="Times New Roman" w:hAnsi="Times New Roman"/>
          <w:color w:val="000000" w:themeColor="text1"/>
          <w:sz w:val="16"/>
          <w:szCs w:val="16"/>
        </w:rPr>
        <w:softHyphen/>
        <w:t>стью сил прикрывают штурмовиков над целью и на обратном маршруте. Груп</w:t>
      </w:r>
      <w:r w:rsidRPr="00D03F3E">
        <w:rPr>
          <w:rFonts w:ascii="Times New Roman" w:hAnsi="Times New Roman"/>
          <w:color w:val="000000" w:themeColor="text1"/>
          <w:sz w:val="16"/>
          <w:szCs w:val="16"/>
        </w:rPr>
        <w:softHyphen/>
        <w:t>па в составе 6 Як-1 от 814-го иап вы</w:t>
      </w:r>
      <w:r w:rsidRPr="00D03F3E">
        <w:rPr>
          <w:rFonts w:ascii="Times New Roman" w:hAnsi="Times New Roman"/>
          <w:color w:val="000000" w:themeColor="text1"/>
          <w:sz w:val="16"/>
          <w:szCs w:val="16"/>
        </w:rPr>
        <w:softHyphen/>
        <w:t>делялась для непосредственного сопро</w:t>
      </w:r>
      <w:r w:rsidRPr="00D03F3E">
        <w:rPr>
          <w:rFonts w:ascii="Times New Roman" w:hAnsi="Times New Roman"/>
          <w:color w:val="000000" w:themeColor="text1"/>
          <w:sz w:val="16"/>
          <w:szCs w:val="16"/>
        </w:rPr>
        <w:softHyphen/>
        <w:t>вождения на маршруте до цели и об</w:t>
      </w:r>
      <w:r w:rsidRPr="00D03F3E">
        <w:rPr>
          <w:rFonts w:ascii="Times New Roman" w:hAnsi="Times New Roman"/>
          <w:color w:val="000000" w:themeColor="text1"/>
          <w:sz w:val="16"/>
          <w:szCs w:val="16"/>
        </w:rPr>
        <w:softHyphen/>
        <w:t>ратно группы от 299-го шап.</w:t>
      </w:r>
    </w:p>
    <w:p w14:paraId="7918D2C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выполнении задания предусмат</w:t>
      </w:r>
      <w:r w:rsidRPr="00D03F3E">
        <w:rPr>
          <w:rFonts w:ascii="Times New Roman" w:hAnsi="Times New Roman"/>
          <w:color w:val="000000" w:themeColor="text1"/>
          <w:sz w:val="16"/>
          <w:szCs w:val="16"/>
        </w:rPr>
        <w:softHyphen/>
        <w:t>ривались меры скрытности. Радиосвязь на прием и передачу могли вести толь</w:t>
      </w:r>
      <w:r w:rsidRPr="00D03F3E">
        <w:rPr>
          <w:rFonts w:ascii="Times New Roman" w:hAnsi="Times New Roman"/>
          <w:color w:val="000000" w:themeColor="text1"/>
          <w:sz w:val="16"/>
          <w:szCs w:val="16"/>
        </w:rPr>
        <w:softHyphen/>
        <w:t>ко ведущие групп истребителей и штур</w:t>
      </w:r>
      <w:r w:rsidRPr="00D03F3E">
        <w:rPr>
          <w:rFonts w:ascii="Times New Roman" w:hAnsi="Times New Roman"/>
          <w:color w:val="000000" w:themeColor="text1"/>
          <w:sz w:val="16"/>
          <w:szCs w:val="16"/>
        </w:rPr>
        <w:softHyphen/>
        <w:t>мовиков, которым разрешалось уста</w:t>
      </w:r>
      <w:r w:rsidRPr="00D03F3E">
        <w:rPr>
          <w:rFonts w:ascii="Times New Roman" w:hAnsi="Times New Roman"/>
          <w:color w:val="000000" w:themeColor="text1"/>
          <w:sz w:val="16"/>
          <w:szCs w:val="16"/>
        </w:rPr>
        <w:softHyphen/>
        <w:t>навливать связь между собой только после пролета линии фронта, а над своей территорией — лишь в исключи</w:t>
      </w:r>
      <w:r w:rsidRPr="00D03F3E">
        <w:rPr>
          <w:rFonts w:ascii="Times New Roman" w:hAnsi="Times New Roman"/>
          <w:color w:val="000000" w:themeColor="text1"/>
          <w:sz w:val="16"/>
          <w:szCs w:val="16"/>
        </w:rPr>
        <w:softHyphen/>
        <w:t>тельных случаях (появление самолетов противника, вынужденная посадка и т.д.). Учитывая сложность поставленной боевой задачи, подготовка к вылету ве</w:t>
      </w:r>
      <w:r w:rsidRPr="00D03F3E">
        <w:rPr>
          <w:rFonts w:ascii="Times New Roman" w:hAnsi="Times New Roman"/>
          <w:color w:val="000000" w:themeColor="text1"/>
          <w:sz w:val="16"/>
          <w:szCs w:val="16"/>
        </w:rPr>
        <w:softHyphen/>
        <w:t>лась самым тщательным образом. В полки были переданы схемы и фото</w:t>
      </w:r>
      <w:r w:rsidRPr="00D03F3E">
        <w:rPr>
          <w:rFonts w:ascii="Times New Roman" w:hAnsi="Times New Roman"/>
          <w:color w:val="000000" w:themeColor="text1"/>
          <w:sz w:val="16"/>
          <w:szCs w:val="16"/>
        </w:rPr>
        <w:softHyphen/>
        <w:t>планшеты с последними данными воз</w:t>
      </w:r>
      <w:r w:rsidRPr="00D03F3E">
        <w:rPr>
          <w:rFonts w:ascii="Times New Roman" w:hAnsi="Times New Roman"/>
          <w:color w:val="000000" w:themeColor="text1"/>
          <w:sz w:val="16"/>
          <w:szCs w:val="16"/>
        </w:rPr>
        <w:softHyphen/>
        <w:t>душной разведки аэродрома Крама</w:t>
      </w:r>
      <w:r w:rsidRPr="00D03F3E">
        <w:rPr>
          <w:rFonts w:ascii="Times New Roman" w:hAnsi="Times New Roman"/>
          <w:color w:val="000000" w:themeColor="text1"/>
          <w:sz w:val="16"/>
          <w:szCs w:val="16"/>
        </w:rPr>
        <w:softHyphen/>
        <w:t>торская. Боевая задача экипажам ста</w:t>
      </w:r>
      <w:r w:rsidRPr="00D03F3E">
        <w:rPr>
          <w:rFonts w:ascii="Times New Roman" w:hAnsi="Times New Roman"/>
          <w:color w:val="000000" w:themeColor="text1"/>
          <w:sz w:val="16"/>
          <w:szCs w:val="16"/>
        </w:rPr>
        <w:softHyphen/>
        <w:t>вилась лично командиром 290-й шад подполковником П.И. Мироненко. Повторный удар по аэродрому Кра</w:t>
      </w:r>
      <w:r w:rsidRPr="00D03F3E">
        <w:rPr>
          <w:rFonts w:ascii="Times New Roman" w:hAnsi="Times New Roman"/>
          <w:color w:val="000000" w:themeColor="text1"/>
          <w:sz w:val="16"/>
          <w:szCs w:val="16"/>
        </w:rPr>
        <w:softHyphen/>
        <w:t>маторская предполагалось нанести в 19.00 одной группой 8 Ил-2 под при</w:t>
      </w:r>
      <w:r w:rsidRPr="00D03F3E">
        <w:rPr>
          <w:rFonts w:ascii="Times New Roman" w:hAnsi="Times New Roman"/>
          <w:color w:val="000000" w:themeColor="text1"/>
          <w:sz w:val="16"/>
          <w:szCs w:val="16"/>
        </w:rPr>
        <w:softHyphen/>
        <w:t>крытием 12 Як-1 от 867-го иап. Таким образом, в первом налете цели на аэродроме подвергались не</w:t>
      </w:r>
      <w:r w:rsidRPr="00D03F3E">
        <w:rPr>
          <w:rFonts w:ascii="Times New Roman" w:hAnsi="Times New Roman"/>
          <w:color w:val="000000" w:themeColor="text1"/>
          <w:sz w:val="16"/>
          <w:szCs w:val="16"/>
        </w:rPr>
        <w:softHyphen/>
        <w:t>прерывному огневому воздействию штурмовиков в течение 14 минут с на</w:t>
      </w:r>
      <w:r w:rsidRPr="00D03F3E">
        <w:rPr>
          <w:rFonts w:ascii="Times New Roman" w:hAnsi="Times New Roman"/>
          <w:color w:val="000000" w:themeColor="text1"/>
          <w:sz w:val="16"/>
          <w:szCs w:val="16"/>
        </w:rPr>
        <w:softHyphen/>
        <w:t>ращиванием сил истребителей прикры</w:t>
      </w:r>
      <w:r w:rsidRPr="00D03F3E">
        <w:rPr>
          <w:rFonts w:ascii="Times New Roman" w:hAnsi="Times New Roman"/>
          <w:color w:val="000000" w:themeColor="text1"/>
          <w:sz w:val="16"/>
          <w:szCs w:val="16"/>
        </w:rPr>
        <w:softHyphen/>
        <w:t>тия в ходе удара. Однако успех удара в сильной степени зависел от мастер</w:t>
      </w:r>
      <w:r w:rsidRPr="00D03F3E">
        <w:rPr>
          <w:rFonts w:ascii="Times New Roman" w:hAnsi="Times New Roman"/>
          <w:color w:val="000000" w:themeColor="text1"/>
          <w:sz w:val="16"/>
          <w:szCs w:val="16"/>
        </w:rPr>
        <w:softHyphen/>
        <w:t>ства ведущих групп штурмовиков и ис</w:t>
      </w:r>
      <w:r w:rsidRPr="00D03F3E">
        <w:rPr>
          <w:rFonts w:ascii="Times New Roman" w:hAnsi="Times New Roman"/>
          <w:color w:val="000000" w:themeColor="text1"/>
          <w:sz w:val="16"/>
          <w:szCs w:val="16"/>
        </w:rPr>
        <w:softHyphen/>
        <w:t>требителей и уровня подготовки коман</w:t>
      </w:r>
      <w:r w:rsidRPr="00D03F3E">
        <w:rPr>
          <w:rFonts w:ascii="Times New Roman" w:hAnsi="Times New Roman"/>
          <w:color w:val="000000" w:themeColor="text1"/>
          <w:sz w:val="16"/>
          <w:szCs w:val="16"/>
        </w:rPr>
        <w:softHyphen/>
        <w:t>дного состава дивизии и корпуса. Пер</w:t>
      </w:r>
      <w:r w:rsidRPr="00D03F3E">
        <w:rPr>
          <w:rFonts w:ascii="Times New Roman" w:hAnsi="Times New Roman"/>
          <w:color w:val="000000" w:themeColor="text1"/>
          <w:sz w:val="16"/>
          <w:szCs w:val="16"/>
        </w:rPr>
        <w:softHyphen/>
        <w:t>вые должны были выдержать время выхода на цель с точностью до минуты и выполнить не менее трех заходов на цель, а вторые - организовать своев</w:t>
      </w:r>
      <w:r w:rsidRPr="00D03F3E">
        <w:rPr>
          <w:rFonts w:ascii="Times New Roman" w:hAnsi="Times New Roman"/>
          <w:color w:val="000000" w:themeColor="text1"/>
          <w:sz w:val="16"/>
          <w:szCs w:val="16"/>
        </w:rPr>
        <w:softHyphen/>
        <w:t>ременность вылета всех задействован</w:t>
      </w:r>
      <w:r w:rsidRPr="00D03F3E">
        <w:rPr>
          <w:rFonts w:ascii="Times New Roman" w:hAnsi="Times New Roman"/>
          <w:color w:val="000000" w:themeColor="text1"/>
          <w:sz w:val="16"/>
          <w:szCs w:val="16"/>
        </w:rPr>
        <w:softHyphen/>
        <w:t>ных в ударе групп. В противном слу</w:t>
      </w:r>
      <w:r w:rsidRPr="00D03F3E">
        <w:rPr>
          <w:rFonts w:ascii="Times New Roman" w:hAnsi="Times New Roman"/>
          <w:color w:val="000000" w:themeColor="text1"/>
          <w:sz w:val="16"/>
          <w:szCs w:val="16"/>
        </w:rPr>
        <w:softHyphen/>
        <w:t>чае, налет обрекался на неудачу и сулил большие потери, особенно для 775-го штурмового полка, экипажи ко</w:t>
      </w:r>
      <w:r w:rsidRPr="00D03F3E">
        <w:rPr>
          <w:rFonts w:ascii="Times New Roman" w:hAnsi="Times New Roman"/>
          <w:color w:val="000000" w:themeColor="text1"/>
          <w:sz w:val="16"/>
          <w:szCs w:val="16"/>
        </w:rPr>
        <w:softHyphen/>
        <w:t>торого выполняли полет к цели без ис</w:t>
      </w:r>
      <w:r w:rsidRPr="00D03F3E">
        <w:rPr>
          <w:rFonts w:ascii="Times New Roman" w:hAnsi="Times New Roman"/>
          <w:color w:val="000000" w:themeColor="text1"/>
          <w:sz w:val="16"/>
          <w:szCs w:val="16"/>
        </w:rPr>
        <w:softHyphen/>
        <w:t>требительного прикрытия. Никаких до</w:t>
      </w:r>
      <w:r w:rsidRPr="00D03F3E">
        <w:rPr>
          <w:rFonts w:ascii="Times New Roman" w:hAnsi="Times New Roman"/>
          <w:color w:val="000000" w:themeColor="text1"/>
          <w:sz w:val="16"/>
          <w:szCs w:val="16"/>
        </w:rPr>
        <w:softHyphen/>
        <w:t>полнительных мер по обеспечению их безопасности на подходе к аэродро</w:t>
      </w:r>
      <w:r w:rsidRPr="00D03F3E">
        <w:rPr>
          <w:rFonts w:ascii="Times New Roman" w:hAnsi="Times New Roman"/>
          <w:color w:val="000000" w:themeColor="text1"/>
          <w:sz w:val="16"/>
          <w:szCs w:val="16"/>
        </w:rPr>
        <w:softHyphen/>
        <w:t>му и на отходе от него, а также сво</w:t>
      </w:r>
      <w:r w:rsidRPr="00D03F3E">
        <w:rPr>
          <w:rFonts w:ascii="Times New Roman" w:hAnsi="Times New Roman"/>
          <w:color w:val="000000" w:themeColor="text1"/>
          <w:sz w:val="16"/>
          <w:szCs w:val="16"/>
        </w:rPr>
        <w:softHyphen/>
        <w:t>боды действий над ним офицеры штаба не предусмотрели. Не были рас</w:t>
      </w:r>
      <w:r w:rsidRPr="00D03F3E">
        <w:rPr>
          <w:rFonts w:ascii="Times New Roman" w:hAnsi="Times New Roman"/>
          <w:color w:val="000000" w:themeColor="text1"/>
          <w:sz w:val="16"/>
          <w:szCs w:val="16"/>
        </w:rPr>
        <w:softHyphen/>
        <w:t>смотрены варианты действий штурмо</w:t>
      </w:r>
      <w:r w:rsidRPr="00D03F3E">
        <w:rPr>
          <w:rFonts w:ascii="Times New Roman" w:hAnsi="Times New Roman"/>
          <w:color w:val="000000" w:themeColor="text1"/>
          <w:sz w:val="16"/>
          <w:szCs w:val="16"/>
        </w:rPr>
        <w:softHyphen/>
        <w:t>виков и истребителей в случае, если на маршруте к цели немецкими истре</w:t>
      </w:r>
      <w:r w:rsidRPr="00D03F3E">
        <w:rPr>
          <w:rFonts w:ascii="Times New Roman" w:hAnsi="Times New Roman"/>
          <w:color w:val="000000" w:themeColor="text1"/>
          <w:sz w:val="16"/>
          <w:szCs w:val="16"/>
        </w:rPr>
        <w:softHyphen/>
        <w:t>бителями будет перехвачена либо груп</w:t>
      </w:r>
      <w:r w:rsidRPr="00D03F3E">
        <w:rPr>
          <w:rFonts w:ascii="Times New Roman" w:hAnsi="Times New Roman"/>
          <w:color w:val="000000" w:themeColor="text1"/>
          <w:sz w:val="16"/>
          <w:szCs w:val="16"/>
        </w:rPr>
        <w:softHyphen/>
        <w:t>па истребителей-блокировщиков, либо группа 775-го шап, либо и та и другая. То есть расчет строился только исходя из предположения, что внезапность удара обеспечена. Не содержал план и "реперных" точек контроля хода подготовки к бо</w:t>
      </w:r>
      <w:r w:rsidRPr="00D03F3E">
        <w:rPr>
          <w:rFonts w:ascii="Times New Roman" w:hAnsi="Times New Roman"/>
          <w:color w:val="000000" w:themeColor="text1"/>
          <w:sz w:val="16"/>
          <w:szCs w:val="16"/>
        </w:rPr>
        <w:softHyphen/>
        <w:t>евому вылету, с целью его своевремен</w:t>
      </w:r>
      <w:r w:rsidRPr="00D03F3E">
        <w:rPr>
          <w:rFonts w:ascii="Times New Roman" w:hAnsi="Times New Roman"/>
          <w:color w:val="000000" w:themeColor="text1"/>
          <w:sz w:val="16"/>
          <w:szCs w:val="16"/>
        </w:rPr>
        <w:softHyphen/>
        <w:t>ной корректировки. Судя по докумен</w:t>
      </w:r>
      <w:r w:rsidRPr="00D03F3E">
        <w:rPr>
          <w:rFonts w:ascii="Times New Roman" w:hAnsi="Times New Roman"/>
          <w:color w:val="000000" w:themeColor="text1"/>
          <w:sz w:val="16"/>
          <w:szCs w:val="16"/>
        </w:rPr>
        <w:softHyphen/>
        <w:t>там, штабы корпуса и дивизии, обес</w:t>
      </w:r>
      <w:r w:rsidRPr="00D03F3E">
        <w:rPr>
          <w:rFonts w:ascii="Times New Roman" w:hAnsi="Times New Roman"/>
          <w:color w:val="000000" w:themeColor="text1"/>
          <w:sz w:val="16"/>
          <w:szCs w:val="16"/>
        </w:rPr>
        <w:softHyphen/>
        <w:t>печив полкам качественную постанов</w:t>
      </w:r>
      <w:r w:rsidRPr="00D03F3E">
        <w:rPr>
          <w:rFonts w:ascii="Times New Roman" w:hAnsi="Times New Roman"/>
          <w:color w:val="000000" w:themeColor="text1"/>
          <w:sz w:val="16"/>
          <w:szCs w:val="16"/>
        </w:rPr>
        <w:softHyphen/>
        <w:t>ку боевой задачи, совершенно упус</w:t>
      </w:r>
      <w:r w:rsidRPr="00D03F3E">
        <w:rPr>
          <w:rFonts w:ascii="Times New Roman" w:hAnsi="Times New Roman"/>
          <w:color w:val="000000" w:themeColor="text1"/>
          <w:sz w:val="16"/>
          <w:szCs w:val="16"/>
        </w:rPr>
        <w:softHyphen/>
        <w:t>тили мелочи, которых, как известно, в авиации не бывает. Во всяком случае, никто из штабных офицеров не конт</w:t>
      </w:r>
      <w:r w:rsidRPr="00D03F3E">
        <w:rPr>
          <w:rFonts w:ascii="Times New Roman" w:hAnsi="Times New Roman"/>
          <w:color w:val="000000" w:themeColor="text1"/>
          <w:sz w:val="16"/>
          <w:szCs w:val="16"/>
        </w:rPr>
        <w:softHyphen/>
        <w:t>ролировал материальную сторону обеспечения боевого вылета, ограни</w:t>
      </w:r>
      <w:r w:rsidRPr="00D03F3E">
        <w:rPr>
          <w:rFonts w:ascii="Times New Roman" w:hAnsi="Times New Roman"/>
          <w:color w:val="000000" w:themeColor="text1"/>
          <w:sz w:val="16"/>
          <w:szCs w:val="16"/>
        </w:rPr>
        <w:softHyphen/>
        <w:t>чившись лишь дачей необходимых рас</w:t>
      </w:r>
      <w:r w:rsidRPr="00D03F3E">
        <w:rPr>
          <w:rFonts w:ascii="Times New Roman" w:hAnsi="Times New Roman"/>
          <w:color w:val="000000" w:themeColor="text1"/>
          <w:sz w:val="16"/>
          <w:szCs w:val="16"/>
        </w:rPr>
        <w:softHyphen/>
        <w:t>поряжений.</w:t>
      </w:r>
    </w:p>
    <w:p w14:paraId="485B71C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общем, несмотря на всю привле</w:t>
      </w:r>
      <w:r w:rsidRPr="00D03F3E">
        <w:rPr>
          <w:rFonts w:ascii="Times New Roman" w:hAnsi="Times New Roman"/>
          <w:color w:val="000000" w:themeColor="text1"/>
          <w:sz w:val="16"/>
          <w:szCs w:val="16"/>
        </w:rPr>
        <w:softHyphen/>
        <w:t>кательность идеи, разработанный план удара оказался нежизненным, посколь</w:t>
      </w:r>
      <w:r w:rsidRPr="00D03F3E">
        <w:rPr>
          <w:rFonts w:ascii="Times New Roman" w:hAnsi="Times New Roman"/>
          <w:color w:val="000000" w:themeColor="text1"/>
          <w:sz w:val="16"/>
          <w:szCs w:val="16"/>
        </w:rPr>
        <w:softHyphen/>
        <w:t>ку был сложным в организационном от</w:t>
      </w:r>
      <w:r w:rsidRPr="00D03F3E">
        <w:rPr>
          <w:rFonts w:ascii="Times New Roman" w:hAnsi="Times New Roman"/>
          <w:color w:val="000000" w:themeColor="text1"/>
          <w:sz w:val="16"/>
          <w:szCs w:val="16"/>
        </w:rPr>
        <w:softHyphen/>
        <w:t>ношении и до конца не проработанным. Собственно, все так и получилось. Штабы корпуса и дивизии не смогли учесть все нюансы подготовки боево</w:t>
      </w:r>
      <w:r w:rsidRPr="00D03F3E">
        <w:rPr>
          <w:rFonts w:ascii="Times New Roman" w:hAnsi="Times New Roman"/>
          <w:color w:val="000000" w:themeColor="text1"/>
          <w:sz w:val="16"/>
          <w:szCs w:val="16"/>
        </w:rPr>
        <w:softHyphen/>
        <w:t>го вылета и затем организовать его должным образом. В результате налет прошел далеко не по плану и потерь избежать не удалось. Дело в том, что вечером накануне вылета 775-й шап перелетел с аэро</w:t>
      </w:r>
      <w:r w:rsidRPr="00D03F3E">
        <w:rPr>
          <w:rFonts w:ascii="Times New Roman" w:hAnsi="Times New Roman"/>
          <w:color w:val="000000" w:themeColor="text1"/>
          <w:sz w:val="16"/>
          <w:szCs w:val="16"/>
        </w:rPr>
        <w:softHyphen/>
        <w:t>дрома Покровское на аэродром Но</w:t>
      </w:r>
      <w:r w:rsidRPr="00D03F3E">
        <w:rPr>
          <w:rFonts w:ascii="Times New Roman" w:hAnsi="Times New Roman"/>
          <w:color w:val="000000" w:themeColor="text1"/>
          <w:sz w:val="16"/>
          <w:szCs w:val="16"/>
        </w:rPr>
        <w:softHyphen/>
        <w:t>вая Дуванка, и подготовка матчасти и летного состава к боевому вылету про</w:t>
      </w:r>
      <w:r w:rsidRPr="00D03F3E">
        <w:rPr>
          <w:rFonts w:ascii="Times New Roman" w:hAnsi="Times New Roman"/>
          <w:color w:val="000000" w:themeColor="text1"/>
          <w:sz w:val="16"/>
          <w:szCs w:val="16"/>
        </w:rPr>
        <w:softHyphen/>
        <w:t>водилась в ночь с 5 на 6 мая. Это об</w:t>
      </w:r>
      <w:r w:rsidRPr="00D03F3E">
        <w:rPr>
          <w:rFonts w:ascii="Times New Roman" w:hAnsi="Times New Roman"/>
          <w:color w:val="000000" w:themeColor="text1"/>
          <w:sz w:val="16"/>
          <w:szCs w:val="16"/>
        </w:rPr>
        <w:softHyphen/>
        <w:t>стоятельство, а главное плохая орга</w:t>
      </w:r>
      <w:r w:rsidRPr="00D03F3E">
        <w:rPr>
          <w:rFonts w:ascii="Times New Roman" w:hAnsi="Times New Roman"/>
          <w:color w:val="000000" w:themeColor="text1"/>
          <w:sz w:val="16"/>
          <w:szCs w:val="16"/>
        </w:rPr>
        <w:softHyphen/>
        <w:t>низация подготовки боеприпасов и вылета на новом аэродроме (несвоев</w:t>
      </w:r>
      <w:r w:rsidRPr="00D03F3E">
        <w:rPr>
          <w:rFonts w:ascii="Times New Roman" w:hAnsi="Times New Roman"/>
          <w:color w:val="000000" w:themeColor="text1"/>
          <w:sz w:val="16"/>
          <w:szCs w:val="16"/>
        </w:rPr>
        <w:softHyphen/>
        <w:t>ременная доставка бомб и взрывате</w:t>
      </w:r>
      <w:r w:rsidRPr="00D03F3E">
        <w:rPr>
          <w:rFonts w:ascii="Times New Roman" w:hAnsi="Times New Roman"/>
          <w:color w:val="000000" w:themeColor="text1"/>
          <w:sz w:val="16"/>
          <w:szCs w:val="16"/>
        </w:rPr>
        <w:softHyphen/>
        <w:t>лей) привело к тому, что группа от 775-го шап взлетела на 16 минут позже запланированного срока. Командир полка и его штаб проконтролировать работу БАО не могли, так как полно</w:t>
      </w:r>
      <w:r w:rsidRPr="00D03F3E">
        <w:rPr>
          <w:rFonts w:ascii="Times New Roman" w:hAnsi="Times New Roman"/>
          <w:color w:val="000000" w:themeColor="text1"/>
          <w:sz w:val="16"/>
          <w:szCs w:val="16"/>
        </w:rPr>
        <w:softHyphen/>
        <w:t>стью были заняты обеспечением пере</w:t>
      </w:r>
      <w:r w:rsidRPr="00D03F3E">
        <w:rPr>
          <w:rFonts w:ascii="Times New Roman" w:hAnsi="Times New Roman"/>
          <w:color w:val="000000" w:themeColor="text1"/>
          <w:sz w:val="16"/>
          <w:szCs w:val="16"/>
        </w:rPr>
        <w:softHyphen/>
        <w:t>лета полка на новый аэродром. В то же время истребители 5-го гиап (веду</w:t>
      </w:r>
      <w:r w:rsidRPr="00D03F3E">
        <w:rPr>
          <w:rFonts w:ascii="Times New Roman" w:hAnsi="Times New Roman"/>
          <w:color w:val="000000" w:themeColor="text1"/>
          <w:sz w:val="16"/>
          <w:szCs w:val="16"/>
        </w:rPr>
        <w:softHyphen/>
        <w:t>щий к-н Дмитриев) вылетели на 7 ми</w:t>
      </w:r>
      <w:r w:rsidRPr="00D03F3E">
        <w:rPr>
          <w:rFonts w:ascii="Times New Roman" w:hAnsi="Times New Roman"/>
          <w:color w:val="000000" w:themeColor="text1"/>
          <w:sz w:val="16"/>
          <w:szCs w:val="16"/>
        </w:rPr>
        <w:softHyphen/>
        <w:t>нут раньше, чем положено.</w:t>
      </w:r>
    </w:p>
    <w:p w14:paraId="772832B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w:t>
      </w:r>
      <w:r w:rsidRPr="00D03F3E">
        <w:rPr>
          <w:rFonts w:ascii="Times New Roman" w:hAnsi="Times New Roman"/>
          <w:color w:val="000000" w:themeColor="text1"/>
          <w:sz w:val="16"/>
          <w:szCs w:val="16"/>
        </w:rPr>
        <w:softHyphen/>
        <w:t>тате первой к аэродрому подошла группа в составе 8 Ил-2 от 299-го шап, а 8 экипажей 775-го шап над целью и на отходе "работали" без истребитель</w:t>
      </w:r>
      <w:r w:rsidRPr="00D03F3E">
        <w:rPr>
          <w:rFonts w:ascii="Times New Roman" w:hAnsi="Times New Roman"/>
          <w:color w:val="000000" w:themeColor="text1"/>
          <w:sz w:val="16"/>
          <w:szCs w:val="16"/>
        </w:rPr>
        <w:softHyphen/>
        <w:t>ного прикрытия, так как Ла-5 от 5-го гиап ушли после отхода первой груп</w:t>
      </w:r>
      <w:r w:rsidRPr="00D03F3E">
        <w:rPr>
          <w:rFonts w:ascii="Times New Roman" w:hAnsi="Times New Roman"/>
          <w:color w:val="000000" w:themeColor="text1"/>
          <w:sz w:val="16"/>
          <w:szCs w:val="16"/>
        </w:rPr>
        <w:softHyphen/>
        <w:t>пы штурмовиков. Еще на маршруте к цели "лавочки-ны" 5-го гиап в районе Александровки на высоте 2000 м встретили немецкие бомбардировщики - Ю88 в сопровож</w:t>
      </w:r>
      <w:r w:rsidRPr="00D03F3E">
        <w:rPr>
          <w:rFonts w:ascii="Times New Roman" w:hAnsi="Times New Roman"/>
          <w:color w:val="000000" w:themeColor="text1"/>
          <w:sz w:val="16"/>
          <w:szCs w:val="16"/>
        </w:rPr>
        <w:softHyphen/>
        <w:t>дении истребителей. Ни советские, ни немецкие летчики в бой не вступили. Каждая группа выполняла свои зада</w:t>
      </w:r>
      <w:r w:rsidRPr="00D03F3E">
        <w:rPr>
          <w:rFonts w:ascii="Times New Roman" w:hAnsi="Times New Roman"/>
          <w:color w:val="000000" w:themeColor="text1"/>
          <w:sz w:val="16"/>
          <w:szCs w:val="16"/>
        </w:rPr>
        <w:softHyphen/>
        <w:t>чи. Очевидно, что внезапного налета на аэродром не будет. Немцы не мог</w:t>
      </w:r>
      <w:r w:rsidRPr="00D03F3E">
        <w:rPr>
          <w:rFonts w:ascii="Times New Roman" w:hAnsi="Times New Roman"/>
          <w:color w:val="000000" w:themeColor="text1"/>
          <w:sz w:val="16"/>
          <w:szCs w:val="16"/>
        </w:rPr>
        <w:softHyphen/>
        <w:t>ли не сообщить по радио о большой группе советских истребителей, идущей в направлении на аэродром Крама</w:t>
      </w:r>
      <w:r w:rsidRPr="00D03F3E">
        <w:rPr>
          <w:rFonts w:ascii="Times New Roman" w:hAnsi="Times New Roman"/>
          <w:color w:val="000000" w:themeColor="text1"/>
          <w:sz w:val="16"/>
          <w:szCs w:val="16"/>
        </w:rPr>
        <w:softHyphen/>
        <w:t>торская. Так и случилось. Когда совет</w:t>
      </w:r>
      <w:r w:rsidRPr="00D03F3E">
        <w:rPr>
          <w:rFonts w:ascii="Times New Roman" w:hAnsi="Times New Roman"/>
          <w:color w:val="000000" w:themeColor="text1"/>
          <w:sz w:val="16"/>
          <w:szCs w:val="16"/>
        </w:rPr>
        <w:softHyphen/>
        <w:t>ские истребители подошли к аэродро</w:t>
      </w:r>
      <w:r w:rsidRPr="00D03F3E">
        <w:rPr>
          <w:rFonts w:ascii="Times New Roman" w:hAnsi="Times New Roman"/>
          <w:color w:val="000000" w:themeColor="text1"/>
          <w:sz w:val="16"/>
          <w:szCs w:val="16"/>
        </w:rPr>
        <w:softHyphen/>
        <w:t>му, в воздухе уже находились 4 Ме109С и два ФВ190, с которыми Ла-5 вступи</w:t>
      </w:r>
      <w:r w:rsidRPr="00D03F3E">
        <w:rPr>
          <w:rFonts w:ascii="Times New Roman" w:hAnsi="Times New Roman"/>
          <w:color w:val="000000" w:themeColor="text1"/>
          <w:sz w:val="16"/>
          <w:szCs w:val="16"/>
        </w:rPr>
        <w:softHyphen/>
        <w:t>ли в бой. Примерно в 5.07 с аэродро</w:t>
      </w:r>
      <w:r w:rsidRPr="00D03F3E">
        <w:rPr>
          <w:rFonts w:ascii="Times New Roman" w:hAnsi="Times New Roman"/>
          <w:color w:val="000000" w:themeColor="text1"/>
          <w:sz w:val="16"/>
          <w:szCs w:val="16"/>
        </w:rPr>
        <w:softHyphen/>
        <w:t>ма смогли взлететь еще четыре "мес-сершмитта". Следом за ними в район воздушного боя со стороны Констан-тиновки парами и звеньями подошли 6-7 Ме109С. К моменту подхода штурмовиков 299-го шап (в 5.10) истребители 5-го гиап полностью "увязли" в тяжелом воз</w:t>
      </w:r>
      <w:r w:rsidRPr="00D03F3E">
        <w:rPr>
          <w:rFonts w:ascii="Times New Roman" w:hAnsi="Times New Roman"/>
          <w:color w:val="000000" w:themeColor="text1"/>
          <w:sz w:val="16"/>
          <w:szCs w:val="16"/>
        </w:rPr>
        <w:softHyphen/>
        <w:t>душном бою с превосходящими сила</w:t>
      </w:r>
      <w:r w:rsidRPr="00D03F3E">
        <w:rPr>
          <w:rFonts w:ascii="Times New Roman" w:hAnsi="Times New Roman"/>
          <w:color w:val="000000" w:themeColor="text1"/>
          <w:sz w:val="16"/>
          <w:szCs w:val="16"/>
        </w:rPr>
        <w:softHyphen/>
        <w:t>ми противника. Штурмовики сразу же были атакованы двумя парами немец</w:t>
      </w:r>
      <w:r w:rsidRPr="00D03F3E">
        <w:rPr>
          <w:rFonts w:ascii="Times New Roman" w:hAnsi="Times New Roman"/>
          <w:color w:val="000000" w:themeColor="text1"/>
          <w:sz w:val="16"/>
          <w:szCs w:val="16"/>
        </w:rPr>
        <w:softHyphen/>
        <w:t>ких истребителей, но их атаки были отбиты "Яками" непосредственного сопровождения из 814-го иап (ведущий к-н Лебедев). Это дало возможность штурмовикам перестроится из клина в правый пеленг пар и перейти в атаку. Заход на цель строился со стороны солнца. Первой нанесла удар четвер</w:t>
      </w:r>
      <w:r w:rsidRPr="00D03F3E">
        <w:rPr>
          <w:rFonts w:ascii="Times New Roman" w:hAnsi="Times New Roman"/>
          <w:color w:val="000000" w:themeColor="text1"/>
          <w:sz w:val="16"/>
          <w:szCs w:val="16"/>
        </w:rPr>
        <w:softHyphen/>
        <w:t>ка мл. л-та Железнякова, которая ата</w:t>
      </w:r>
      <w:r w:rsidRPr="00D03F3E">
        <w:rPr>
          <w:rFonts w:ascii="Times New Roman" w:hAnsi="Times New Roman"/>
          <w:color w:val="000000" w:themeColor="text1"/>
          <w:sz w:val="16"/>
          <w:szCs w:val="16"/>
        </w:rPr>
        <w:softHyphen/>
        <w:t>ковала до 30-35 самолетов на стоян</w:t>
      </w:r>
      <w:r w:rsidRPr="00D03F3E">
        <w:rPr>
          <w:rFonts w:ascii="Times New Roman" w:hAnsi="Times New Roman"/>
          <w:color w:val="000000" w:themeColor="text1"/>
          <w:sz w:val="16"/>
          <w:szCs w:val="16"/>
        </w:rPr>
        <w:softHyphen/>
        <w:t>ках. Огонь велся сначала из РС, за</w:t>
      </w:r>
      <w:r w:rsidRPr="00D03F3E">
        <w:rPr>
          <w:rFonts w:ascii="Times New Roman" w:hAnsi="Times New Roman"/>
          <w:color w:val="000000" w:themeColor="text1"/>
          <w:sz w:val="16"/>
          <w:szCs w:val="16"/>
        </w:rPr>
        <w:softHyphen/>
        <w:t>тем из пушек, и на выходе из пикиро</w:t>
      </w:r>
      <w:r w:rsidRPr="00D03F3E">
        <w:rPr>
          <w:rFonts w:ascii="Times New Roman" w:hAnsi="Times New Roman"/>
          <w:color w:val="000000" w:themeColor="text1"/>
          <w:sz w:val="16"/>
          <w:szCs w:val="16"/>
        </w:rPr>
        <w:softHyphen/>
        <w:t>вания с высоты 250-150 м были сбро</w:t>
      </w:r>
      <w:r w:rsidRPr="00D03F3E">
        <w:rPr>
          <w:rFonts w:ascii="Times New Roman" w:hAnsi="Times New Roman"/>
          <w:color w:val="000000" w:themeColor="text1"/>
          <w:sz w:val="16"/>
          <w:szCs w:val="16"/>
        </w:rPr>
        <w:softHyphen/>
        <w:t xml:space="preserve">шены бомбы. Следом за ней в атаку вышла четверка капитана Мальцева, открывшая огонь по батареям МЗА, которые обнаружили себя, ведя огонь по первой группе. Затем обе четверки встали в круг и выполнили еще </w:t>
      </w:r>
      <w:r w:rsidRPr="00D03F3E">
        <w:rPr>
          <w:rFonts w:ascii="Times New Roman" w:hAnsi="Times New Roman"/>
          <w:color w:val="000000" w:themeColor="text1"/>
          <w:sz w:val="16"/>
          <w:szCs w:val="16"/>
        </w:rPr>
        <w:lastRenderedPageBreak/>
        <w:t>два. После ухода штурмовиков 299-го шап "лавочкины" с боем стали отхо</w:t>
      </w:r>
      <w:r w:rsidRPr="00D03F3E">
        <w:rPr>
          <w:rFonts w:ascii="Times New Roman" w:hAnsi="Times New Roman"/>
          <w:color w:val="000000" w:themeColor="text1"/>
          <w:sz w:val="16"/>
          <w:szCs w:val="16"/>
        </w:rPr>
        <w:softHyphen/>
        <w:t>дить на свою территорию. Воздушный бой велся вплоть до района Красного Лимана. Летчикам 5-го гиап удалось сбить три истребителя люфтваффе. Опоздавшая группа от 775-го шап встретила отходившие штурмовики 299-го шап и 814-го иап в районе Красный Лиман и подошла к аэродро</w:t>
      </w:r>
      <w:r w:rsidRPr="00D03F3E">
        <w:rPr>
          <w:rFonts w:ascii="Times New Roman" w:hAnsi="Times New Roman"/>
          <w:color w:val="000000" w:themeColor="text1"/>
          <w:sz w:val="16"/>
          <w:szCs w:val="16"/>
        </w:rPr>
        <w:softHyphen/>
        <w:t>му Краматорская, когда "лавочкины" 5-го гиап уже "отработали". Обнаружив аэродром противника, ведущий группы л-т Суворов подал ко</w:t>
      </w:r>
      <w:r w:rsidRPr="00D03F3E">
        <w:rPr>
          <w:rFonts w:ascii="Times New Roman" w:hAnsi="Times New Roman"/>
          <w:color w:val="000000" w:themeColor="text1"/>
          <w:sz w:val="16"/>
          <w:szCs w:val="16"/>
        </w:rPr>
        <w:softHyphen/>
        <w:t>манду к перестроению группы в пра</w:t>
      </w:r>
      <w:r w:rsidRPr="00D03F3E">
        <w:rPr>
          <w:rFonts w:ascii="Times New Roman" w:hAnsi="Times New Roman"/>
          <w:color w:val="000000" w:themeColor="text1"/>
          <w:sz w:val="16"/>
          <w:szCs w:val="16"/>
        </w:rPr>
        <w:softHyphen/>
        <w:t>вый пеленг пар и развернулся влево на 20° для атаки цели. При перестро</w:t>
      </w:r>
      <w:r w:rsidRPr="00D03F3E">
        <w:rPr>
          <w:rFonts w:ascii="Times New Roman" w:hAnsi="Times New Roman"/>
          <w:color w:val="000000" w:themeColor="text1"/>
          <w:sz w:val="16"/>
          <w:szCs w:val="16"/>
        </w:rPr>
        <w:softHyphen/>
        <w:t>ении ведомые замешкались. В резуль тате группа "разорвалась". Впереди оказались пять экипажей во главе с Суворовым и следом за ними еще три экипажа. Из-за сильного зенитного огня каждая группа шла в растянутом пе</w:t>
      </w:r>
      <w:r w:rsidRPr="00D03F3E">
        <w:rPr>
          <w:rFonts w:ascii="Times New Roman" w:hAnsi="Times New Roman"/>
          <w:color w:val="000000" w:themeColor="text1"/>
          <w:sz w:val="16"/>
          <w:szCs w:val="16"/>
        </w:rPr>
        <w:softHyphen/>
        <w:t>ленге.</w:t>
      </w:r>
    </w:p>
    <w:p w14:paraId="5C2E470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общей сложности группа Желез</w:t>
      </w:r>
      <w:r w:rsidRPr="00D03F3E">
        <w:rPr>
          <w:rFonts w:ascii="Times New Roman" w:hAnsi="Times New Roman"/>
          <w:color w:val="000000" w:themeColor="text1"/>
          <w:sz w:val="16"/>
          <w:szCs w:val="16"/>
        </w:rPr>
        <w:softHyphen/>
        <w:t>някова выполнила три захода, непре</w:t>
      </w:r>
      <w:r w:rsidRPr="00D03F3E">
        <w:rPr>
          <w:rFonts w:ascii="Times New Roman" w:hAnsi="Times New Roman"/>
          <w:color w:val="000000" w:themeColor="text1"/>
          <w:sz w:val="16"/>
          <w:szCs w:val="16"/>
        </w:rPr>
        <w:softHyphen/>
        <w:t>рывно штурмуя цели на аэродроме в течение 8 минут. Выход из атаки (в 5.19) и отход от цели был организованным и хорошо прикрывался истребителями. От атак пилотов люфтваффе получил повреж</w:t>
      </w:r>
      <w:r w:rsidRPr="00D03F3E">
        <w:rPr>
          <w:rFonts w:ascii="Times New Roman" w:hAnsi="Times New Roman"/>
          <w:color w:val="000000" w:themeColor="text1"/>
          <w:sz w:val="16"/>
          <w:szCs w:val="16"/>
        </w:rPr>
        <w:softHyphen/>
        <w:t>дения Ил-2 мл. лейтенанта Шилова. На самолете оказались "поврежденными рули высоты и поворота, отбита верх</w:t>
      </w:r>
      <w:r w:rsidRPr="00D03F3E">
        <w:rPr>
          <w:rFonts w:ascii="Times New Roman" w:hAnsi="Times New Roman"/>
          <w:color w:val="000000" w:themeColor="text1"/>
          <w:sz w:val="16"/>
          <w:szCs w:val="16"/>
        </w:rPr>
        <w:softHyphen/>
        <w:t>няя часть киля и левый элерон, проби</w:t>
      </w:r>
      <w:r w:rsidRPr="00D03F3E">
        <w:rPr>
          <w:rFonts w:ascii="Times New Roman" w:hAnsi="Times New Roman"/>
          <w:color w:val="000000" w:themeColor="text1"/>
          <w:sz w:val="16"/>
          <w:szCs w:val="16"/>
        </w:rPr>
        <w:softHyphen/>
        <w:t>та воздушная система". Несмотря на полученное ранение, Шилов благопо</w:t>
      </w:r>
      <w:r w:rsidRPr="00D03F3E">
        <w:rPr>
          <w:rFonts w:ascii="Times New Roman" w:hAnsi="Times New Roman"/>
          <w:color w:val="000000" w:themeColor="text1"/>
          <w:sz w:val="16"/>
          <w:szCs w:val="16"/>
        </w:rPr>
        <w:softHyphen/>
        <w:t>лучно посадил подбитый самолет на свой аэродром. Пока Ил-2 штурмовали матчасть на аэродроме, истребители 5-го гиап вели воздушный бой с немецкими истреби</w:t>
      </w:r>
      <w:r w:rsidRPr="00D03F3E">
        <w:rPr>
          <w:rFonts w:ascii="Times New Roman" w:hAnsi="Times New Roman"/>
          <w:color w:val="000000" w:themeColor="text1"/>
          <w:sz w:val="16"/>
          <w:szCs w:val="16"/>
        </w:rPr>
        <w:softHyphen/>
        <w:t>телями: 6 Ла-5 - на высоте 2000 м, а 4 Ла-5 - на высоте 800-1000 м. При этом четверка Ла-5, перед тем как всту</w:t>
      </w:r>
      <w:r w:rsidRPr="00D03F3E">
        <w:rPr>
          <w:rFonts w:ascii="Times New Roman" w:hAnsi="Times New Roman"/>
          <w:color w:val="000000" w:themeColor="text1"/>
          <w:sz w:val="16"/>
          <w:szCs w:val="16"/>
        </w:rPr>
        <w:softHyphen/>
        <w:t>пить в бой с противником, выполнила два захода по зенитным средствам на аэродроме. Заход выполнялся с северо-востока с расчетом выхода из атаки в юго-за</w:t>
      </w:r>
      <w:r w:rsidRPr="00D03F3E">
        <w:rPr>
          <w:rFonts w:ascii="Times New Roman" w:hAnsi="Times New Roman"/>
          <w:color w:val="000000" w:themeColor="text1"/>
          <w:sz w:val="16"/>
          <w:szCs w:val="16"/>
        </w:rPr>
        <w:softHyphen/>
        <w:t>падном направлении, атака ~ с пики</w:t>
      </w:r>
      <w:r w:rsidRPr="00D03F3E">
        <w:rPr>
          <w:rFonts w:ascii="Times New Roman" w:hAnsi="Times New Roman"/>
          <w:color w:val="000000" w:themeColor="text1"/>
          <w:sz w:val="16"/>
          <w:szCs w:val="16"/>
        </w:rPr>
        <w:softHyphen/>
        <w:t>рования с высоты 700 м до 200 м. Под удар попало около 19 самоле</w:t>
      </w:r>
      <w:r w:rsidRPr="00D03F3E">
        <w:rPr>
          <w:rFonts w:ascii="Times New Roman" w:hAnsi="Times New Roman"/>
          <w:color w:val="000000" w:themeColor="text1"/>
          <w:sz w:val="16"/>
          <w:szCs w:val="16"/>
        </w:rPr>
        <w:softHyphen/>
        <w:t>тов на северо-западной и западной окраинах аэродрома. Огонь из РС и пушек велся до 300-200 м, после чего на выходе из пикирования были сбро</w:t>
      </w:r>
      <w:r w:rsidRPr="00D03F3E">
        <w:rPr>
          <w:rFonts w:ascii="Times New Roman" w:hAnsi="Times New Roman"/>
          <w:color w:val="000000" w:themeColor="text1"/>
          <w:sz w:val="16"/>
          <w:szCs w:val="16"/>
        </w:rPr>
        <w:softHyphen/>
        <w:t>шены бомбы серией вдоль стоянок самолетов. Экипажи наблюдали 4 го</w:t>
      </w:r>
      <w:r w:rsidRPr="00D03F3E">
        <w:rPr>
          <w:rFonts w:ascii="Times New Roman" w:hAnsi="Times New Roman"/>
          <w:color w:val="000000" w:themeColor="text1"/>
          <w:sz w:val="16"/>
          <w:szCs w:val="16"/>
        </w:rPr>
        <w:softHyphen/>
        <w:t>рящих двухмоторных самолетов. На выходе из атаки дистанции меж</w:t>
      </w:r>
      <w:r w:rsidRPr="00D03F3E">
        <w:rPr>
          <w:rFonts w:ascii="Times New Roman" w:hAnsi="Times New Roman"/>
          <w:color w:val="000000" w:themeColor="text1"/>
          <w:sz w:val="16"/>
          <w:szCs w:val="16"/>
        </w:rPr>
        <w:softHyphen/>
        <w:t>ду Ил-2 в группах оказались настоль</w:t>
      </w:r>
      <w:r w:rsidRPr="00D03F3E">
        <w:rPr>
          <w:rFonts w:ascii="Times New Roman" w:hAnsi="Times New Roman"/>
          <w:color w:val="000000" w:themeColor="text1"/>
          <w:sz w:val="16"/>
          <w:szCs w:val="16"/>
        </w:rPr>
        <w:softHyphen/>
        <w:t>ко большими, что фактически боевого строя уже не было. Огневое взаимо</w:t>
      </w:r>
      <w:r w:rsidRPr="00D03F3E">
        <w:rPr>
          <w:rFonts w:ascii="Times New Roman" w:hAnsi="Times New Roman"/>
          <w:color w:val="000000" w:themeColor="text1"/>
          <w:sz w:val="16"/>
          <w:szCs w:val="16"/>
        </w:rPr>
        <w:softHyphen/>
        <w:t>действие между экипажами наруши</w:t>
      </w:r>
      <w:r w:rsidRPr="00D03F3E">
        <w:rPr>
          <w:rFonts w:ascii="Times New Roman" w:hAnsi="Times New Roman"/>
          <w:color w:val="000000" w:themeColor="text1"/>
          <w:sz w:val="16"/>
          <w:szCs w:val="16"/>
        </w:rPr>
        <w:softHyphen/>
        <w:t>лось. Этим сразу же воспользовались немецкие истребители. Штурмовики были атакованы четверкой "мессершмиттов". Атаки производились главным образом на замыкающие самолеты. Экипажи отбивались огнем воздушных стрелков. После атаки "мессершмиттов" "потерялся" мл. л-т Худяков (воз</w:t>
      </w:r>
      <w:r w:rsidRPr="00D03F3E">
        <w:rPr>
          <w:rFonts w:ascii="Times New Roman" w:hAnsi="Times New Roman"/>
          <w:color w:val="000000" w:themeColor="text1"/>
          <w:sz w:val="16"/>
          <w:szCs w:val="16"/>
        </w:rPr>
        <w:softHyphen/>
        <w:t>душный стрелок Кенжибаев), который шел в группе крайним. Никто из вер</w:t>
      </w:r>
      <w:r w:rsidRPr="00D03F3E">
        <w:rPr>
          <w:rFonts w:ascii="Times New Roman" w:hAnsi="Times New Roman"/>
          <w:color w:val="000000" w:themeColor="text1"/>
          <w:sz w:val="16"/>
          <w:szCs w:val="16"/>
        </w:rPr>
        <w:softHyphen/>
        <w:t>нувшихся экипажей не смог сказать, куда он делся. Собравшись в одну группу, штур</w:t>
      </w:r>
      <w:r w:rsidRPr="00D03F3E">
        <w:rPr>
          <w:rFonts w:ascii="Times New Roman" w:hAnsi="Times New Roman"/>
          <w:color w:val="000000" w:themeColor="text1"/>
          <w:sz w:val="16"/>
          <w:szCs w:val="16"/>
        </w:rPr>
        <w:softHyphen/>
        <w:t>мовики вновь атаковали аэродром. Второй заход выполнялся с севера вдоль стоянок самолетов на западной •и юго-западной окраинах аэродрома и по бензохранилищу (три больших емкости) на его южной окраине. Эки</w:t>
      </w:r>
      <w:r w:rsidRPr="00D03F3E">
        <w:rPr>
          <w:rFonts w:ascii="Times New Roman" w:hAnsi="Times New Roman"/>
          <w:color w:val="000000" w:themeColor="text1"/>
          <w:sz w:val="16"/>
          <w:szCs w:val="16"/>
        </w:rPr>
        <w:softHyphen/>
        <w:t>пажи сбросили оставшиеся бомбы и обстреляли цели из стрелково-пушеч-ного вооружения. По докладам экипажей штурмови</w:t>
      </w:r>
      <w:r w:rsidRPr="00D03F3E">
        <w:rPr>
          <w:rFonts w:ascii="Times New Roman" w:hAnsi="Times New Roman"/>
          <w:color w:val="000000" w:themeColor="text1"/>
          <w:sz w:val="16"/>
          <w:szCs w:val="16"/>
        </w:rPr>
        <w:softHyphen/>
        <w:t>ков в результате двух заходов было уничтожено до 5 и повреждено до 4 самолетов противника, а также взор</w:t>
      </w:r>
      <w:r w:rsidRPr="00D03F3E">
        <w:rPr>
          <w:rFonts w:ascii="Times New Roman" w:hAnsi="Times New Roman"/>
          <w:color w:val="000000" w:themeColor="text1"/>
          <w:sz w:val="16"/>
          <w:szCs w:val="16"/>
        </w:rPr>
        <w:softHyphen/>
        <w:t>вано бензохранилище. На выходе из второй атаки Ил-2 были вновь атакованы 4 ВП09О. Груп</w:t>
      </w:r>
      <w:r w:rsidRPr="00D03F3E">
        <w:rPr>
          <w:rFonts w:ascii="Times New Roman" w:hAnsi="Times New Roman"/>
          <w:color w:val="000000" w:themeColor="text1"/>
          <w:sz w:val="16"/>
          <w:szCs w:val="16"/>
        </w:rPr>
        <w:softHyphen/>
        <w:t>па перешла на бреющий полет, ма</w:t>
      </w:r>
      <w:r w:rsidRPr="00D03F3E">
        <w:rPr>
          <w:rFonts w:ascii="Times New Roman" w:hAnsi="Times New Roman"/>
          <w:color w:val="000000" w:themeColor="text1"/>
          <w:sz w:val="16"/>
          <w:szCs w:val="16"/>
        </w:rPr>
        <w:softHyphen/>
        <w:t>неврируя и отражая атаки огнем воз</w:t>
      </w:r>
      <w:r w:rsidRPr="00D03F3E">
        <w:rPr>
          <w:rFonts w:ascii="Times New Roman" w:hAnsi="Times New Roman"/>
          <w:color w:val="000000" w:themeColor="text1"/>
          <w:sz w:val="16"/>
          <w:szCs w:val="16"/>
        </w:rPr>
        <w:softHyphen/>
        <w:t>душных стрелков. На самолете мл. лей</w:t>
      </w:r>
      <w:r w:rsidRPr="00D03F3E">
        <w:rPr>
          <w:rFonts w:ascii="Times New Roman" w:hAnsi="Times New Roman"/>
          <w:color w:val="000000" w:themeColor="text1"/>
          <w:sz w:val="16"/>
          <w:szCs w:val="16"/>
        </w:rPr>
        <w:softHyphen/>
        <w:t>тенанта Алексионова (воздушный стре</w:t>
      </w:r>
      <w:r w:rsidRPr="00D03F3E">
        <w:rPr>
          <w:rFonts w:ascii="Times New Roman" w:hAnsi="Times New Roman"/>
          <w:color w:val="000000" w:themeColor="text1"/>
          <w:sz w:val="16"/>
          <w:szCs w:val="16"/>
        </w:rPr>
        <w:softHyphen/>
        <w:t>лок ст. сержант Андреев) был пробит водорадиатор, а экипаж получил тя</w:t>
      </w:r>
      <w:r w:rsidRPr="00D03F3E">
        <w:rPr>
          <w:rFonts w:ascii="Times New Roman" w:hAnsi="Times New Roman"/>
          <w:color w:val="000000" w:themeColor="text1"/>
          <w:sz w:val="16"/>
          <w:szCs w:val="16"/>
        </w:rPr>
        <w:softHyphen/>
        <w:t>желые ранения. Мотор встал. Летчик потянул на вынужденную и сел на ого</w:t>
      </w:r>
      <w:r w:rsidRPr="00D03F3E">
        <w:rPr>
          <w:rFonts w:ascii="Times New Roman" w:hAnsi="Times New Roman"/>
          <w:color w:val="000000" w:themeColor="text1"/>
          <w:sz w:val="16"/>
          <w:szCs w:val="16"/>
        </w:rPr>
        <w:softHyphen/>
        <w:t>роды восточнее населенного пункта Торская. При посадке Алексионов по</w:t>
      </w:r>
      <w:r w:rsidRPr="00D03F3E">
        <w:rPr>
          <w:rFonts w:ascii="Times New Roman" w:hAnsi="Times New Roman"/>
          <w:color w:val="000000" w:themeColor="text1"/>
          <w:sz w:val="16"/>
          <w:szCs w:val="16"/>
        </w:rPr>
        <w:softHyphen/>
        <w:t>гиб. Воздушный стрелок Андреев вы</w:t>
      </w:r>
      <w:r w:rsidRPr="00D03F3E">
        <w:rPr>
          <w:rFonts w:ascii="Times New Roman" w:hAnsi="Times New Roman"/>
          <w:color w:val="000000" w:themeColor="text1"/>
          <w:sz w:val="16"/>
          <w:szCs w:val="16"/>
        </w:rPr>
        <w:softHyphen/>
        <w:t>жил и был направлен в госпиталь. Оставшаяся шестерка Ил-2 над Тор-ской встала в круг, постепенно оттяги</w:t>
      </w:r>
      <w:r w:rsidRPr="00D03F3E">
        <w:rPr>
          <w:rFonts w:ascii="Times New Roman" w:hAnsi="Times New Roman"/>
          <w:color w:val="000000" w:themeColor="text1"/>
          <w:sz w:val="16"/>
          <w:szCs w:val="16"/>
        </w:rPr>
        <w:softHyphen/>
        <w:t>вая его в район Красного Лимана. Сде</w:t>
      </w:r>
      <w:r w:rsidRPr="00D03F3E">
        <w:rPr>
          <w:rFonts w:ascii="Times New Roman" w:hAnsi="Times New Roman"/>
          <w:color w:val="000000" w:themeColor="text1"/>
          <w:sz w:val="16"/>
          <w:szCs w:val="16"/>
        </w:rPr>
        <w:softHyphen/>
        <w:t>лав несколько безрезультатных атак и потеряв подбитым один "мессершмитт" (отличился воздушный стрелок Макша-нев из экипажа мл. лейтенанта Черно-баева), истребители противника пре</w:t>
      </w:r>
      <w:r w:rsidRPr="00D03F3E">
        <w:rPr>
          <w:rFonts w:ascii="Times New Roman" w:hAnsi="Times New Roman"/>
          <w:color w:val="000000" w:themeColor="text1"/>
          <w:sz w:val="16"/>
          <w:szCs w:val="16"/>
        </w:rPr>
        <w:softHyphen/>
        <w:t>кратили преследование группы и выш</w:t>
      </w:r>
      <w:r w:rsidRPr="00D03F3E">
        <w:rPr>
          <w:rFonts w:ascii="Times New Roman" w:hAnsi="Times New Roman"/>
          <w:color w:val="000000" w:themeColor="text1"/>
          <w:sz w:val="16"/>
          <w:szCs w:val="16"/>
        </w:rPr>
        <w:softHyphen/>
        <w:t>ли из боя. Штурмовики благополучно произвели посадку на своем аэродро</w:t>
      </w:r>
      <w:r w:rsidRPr="00D03F3E">
        <w:rPr>
          <w:rFonts w:ascii="Times New Roman" w:hAnsi="Times New Roman"/>
          <w:color w:val="000000" w:themeColor="text1"/>
          <w:sz w:val="16"/>
          <w:szCs w:val="16"/>
        </w:rPr>
        <w:softHyphen/>
        <w:t>ме. Самолет ст. лейтенанта Удовенко был сильно поврежден огнем МЗА и истребителями и требовал ремонта в ПАРМ. Еще три Ил-2 имели большие и малые повреждения. Кроме этого, мл. л-т Чернобаев был ранен осколками разбитого бронестекла. Как видно, только по счастливой слу</w:t>
      </w:r>
      <w:r w:rsidRPr="00D03F3E">
        <w:rPr>
          <w:rFonts w:ascii="Times New Roman" w:hAnsi="Times New Roman"/>
          <w:color w:val="000000" w:themeColor="text1"/>
          <w:sz w:val="16"/>
          <w:szCs w:val="16"/>
        </w:rPr>
        <w:softHyphen/>
        <w:t>чайности удалось избежать еще боль</w:t>
      </w:r>
      <w:r w:rsidRPr="00D03F3E">
        <w:rPr>
          <w:rFonts w:ascii="Times New Roman" w:hAnsi="Times New Roman"/>
          <w:color w:val="000000" w:themeColor="text1"/>
          <w:sz w:val="16"/>
          <w:szCs w:val="16"/>
        </w:rPr>
        <w:softHyphen/>
        <w:t>ших потерь. Если бы пилоты люфтваф</w:t>
      </w:r>
      <w:r w:rsidRPr="00D03F3E">
        <w:rPr>
          <w:rFonts w:ascii="Times New Roman" w:hAnsi="Times New Roman"/>
          <w:color w:val="000000" w:themeColor="text1"/>
          <w:sz w:val="16"/>
          <w:szCs w:val="16"/>
        </w:rPr>
        <w:softHyphen/>
        <w:t>фе не увязались своими основными силами за истребителями 5-го гиап, а остались в районе аэродрома, то эки</w:t>
      </w:r>
      <w:r w:rsidRPr="00D03F3E">
        <w:rPr>
          <w:rFonts w:ascii="Times New Roman" w:hAnsi="Times New Roman"/>
          <w:color w:val="000000" w:themeColor="text1"/>
          <w:sz w:val="16"/>
          <w:szCs w:val="16"/>
        </w:rPr>
        <w:softHyphen/>
        <w:t>пажам 775-го шап пришлось бы вести воздушный бой с 10-12 Ме109 и Фв190.</w:t>
      </w:r>
    </w:p>
    <w:p w14:paraId="7667F2B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Исход такого боя очевиден. В общей сложности по докладам экипажей полков на аэродроме Кра</w:t>
      </w:r>
      <w:r w:rsidRPr="00D03F3E">
        <w:rPr>
          <w:rFonts w:ascii="Times New Roman" w:hAnsi="Times New Roman"/>
          <w:color w:val="000000" w:themeColor="text1"/>
          <w:sz w:val="16"/>
          <w:szCs w:val="16"/>
        </w:rPr>
        <w:softHyphen/>
        <w:t>маторская было уничтожено 13 само</w:t>
      </w:r>
      <w:r w:rsidRPr="00D03F3E">
        <w:rPr>
          <w:rFonts w:ascii="Times New Roman" w:hAnsi="Times New Roman"/>
          <w:color w:val="000000" w:themeColor="text1"/>
          <w:sz w:val="16"/>
          <w:szCs w:val="16"/>
        </w:rPr>
        <w:softHyphen/>
        <w:t>летов, повреждено 8 самолетов, взор</w:t>
      </w:r>
      <w:r w:rsidRPr="00D03F3E">
        <w:rPr>
          <w:rFonts w:ascii="Times New Roman" w:hAnsi="Times New Roman"/>
          <w:color w:val="000000" w:themeColor="text1"/>
          <w:sz w:val="16"/>
          <w:szCs w:val="16"/>
        </w:rPr>
        <w:softHyphen/>
        <w:t>вано и сожжено два склада горючего, уничтожено до 3-х батарей МЗА. Ис</w:t>
      </w:r>
      <w:r w:rsidRPr="00D03F3E">
        <w:rPr>
          <w:rFonts w:ascii="Times New Roman" w:hAnsi="Times New Roman"/>
          <w:color w:val="000000" w:themeColor="text1"/>
          <w:sz w:val="16"/>
          <w:szCs w:val="16"/>
        </w:rPr>
        <w:softHyphen/>
        <w:t>требители прикрытия и блокировщики в воздушном бою сбили два Ме109С. При подготовке повторного удара по аэродрому Краматорская с учетом результатов предыдущего налета был усилен истребительный эскорт. Шес</w:t>
      </w:r>
      <w:r w:rsidRPr="00D03F3E">
        <w:rPr>
          <w:rFonts w:ascii="Times New Roman" w:hAnsi="Times New Roman"/>
          <w:color w:val="000000" w:themeColor="text1"/>
          <w:sz w:val="16"/>
          <w:szCs w:val="16"/>
        </w:rPr>
        <w:softHyphen/>
        <w:t>терку Ил-2 от 775-го шоп должны были прикрывать 16 истребителей (10 Як-1 и 6 Ла-5) от 867-го иап и 5-го гиап. Ведущим группы штурмовиков был назначен мл. л-т Сибиркин. Экипажи начали готовиться к заданию за 7 ча</w:t>
      </w:r>
      <w:r w:rsidRPr="00D03F3E">
        <w:rPr>
          <w:rFonts w:ascii="Times New Roman" w:hAnsi="Times New Roman"/>
          <w:color w:val="000000" w:themeColor="text1"/>
          <w:sz w:val="16"/>
          <w:szCs w:val="16"/>
        </w:rPr>
        <w:softHyphen/>
        <w:t>сов до вылета. Казалось бы, ведущи</w:t>
      </w:r>
      <w:r w:rsidRPr="00D03F3E">
        <w:rPr>
          <w:rFonts w:ascii="Times New Roman" w:hAnsi="Times New Roman"/>
          <w:color w:val="000000" w:themeColor="text1"/>
          <w:sz w:val="16"/>
          <w:szCs w:val="16"/>
        </w:rPr>
        <w:softHyphen/>
        <w:t>ми и экипажами были учтены все недо</w:t>
      </w:r>
      <w:r w:rsidRPr="00D03F3E">
        <w:rPr>
          <w:rFonts w:ascii="Times New Roman" w:hAnsi="Times New Roman"/>
          <w:color w:val="000000" w:themeColor="text1"/>
          <w:sz w:val="16"/>
          <w:szCs w:val="16"/>
        </w:rPr>
        <w:softHyphen/>
        <w:t>статки вылета группы лейтенанта Су</w:t>
      </w:r>
      <w:r w:rsidRPr="00D03F3E">
        <w:rPr>
          <w:rFonts w:ascii="Times New Roman" w:hAnsi="Times New Roman"/>
          <w:color w:val="000000" w:themeColor="text1"/>
          <w:sz w:val="16"/>
          <w:szCs w:val="16"/>
        </w:rPr>
        <w:softHyphen/>
        <w:t>ворова, но на поверку оказалось, что не все. При выходе на цель в 19.16 экипа</w:t>
      </w:r>
      <w:r w:rsidRPr="00D03F3E">
        <w:rPr>
          <w:rFonts w:ascii="Times New Roman" w:hAnsi="Times New Roman"/>
          <w:color w:val="000000" w:themeColor="text1"/>
          <w:sz w:val="16"/>
          <w:szCs w:val="16"/>
        </w:rPr>
        <w:softHyphen/>
        <w:t>жи обнаружили около 10-12 истреби</w:t>
      </w:r>
      <w:r w:rsidRPr="00D03F3E">
        <w:rPr>
          <w:rFonts w:ascii="Times New Roman" w:hAnsi="Times New Roman"/>
          <w:color w:val="000000" w:themeColor="text1"/>
          <w:sz w:val="16"/>
          <w:szCs w:val="16"/>
        </w:rPr>
        <w:softHyphen/>
        <w:t>телей противника, которые уже взле</w:t>
      </w:r>
      <w:r w:rsidRPr="00D03F3E">
        <w:rPr>
          <w:rFonts w:ascii="Times New Roman" w:hAnsi="Times New Roman"/>
          <w:color w:val="000000" w:themeColor="text1"/>
          <w:sz w:val="16"/>
          <w:szCs w:val="16"/>
        </w:rPr>
        <w:softHyphen/>
        <w:t>тели и уходили на бреющем полете в северо-восточном направлении от аэродрома. На самом аэродроме в разных местах было "разбросано" до 20 двухмоторных самолетов, и три ВЛ09С находились на старте. В первую очередь были атакованы взлетающие "мессершмитты". Из их числа один истребитель был сбит на взлете штурмовиками и один истреби</w:t>
      </w:r>
      <w:r w:rsidRPr="00D03F3E">
        <w:rPr>
          <w:rFonts w:ascii="Times New Roman" w:hAnsi="Times New Roman"/>
          <w:color w:val="000000" w:themeColor="text1"/>
          <w:sz w:val="16"/>
          <w:szCs w:val="16"/>
        </w:rPr>
        <w:softHyphen/>
        <w:t>телями прикрытия. Одновременно с ударом по самолетам были сброшены бомбы на летное поле и по зданиям на западной окраине аэродрома. После атаки группа развернулась в 3-4 км от аэродрома и произвела второй заход по самолетам, стоявшим на стоянках на северо-восточной ок</w:t>
      </w:r>
      <w:r w:rsidRPr="00D03F3E">
        <w:rPr>
          <w:rFonts w:ascii="Times New Roman" w:hAnsi="Times New Roman"/>
          <w:color w:val="000000" w:themeColor="text1"/>
          <w:sz w:val="16"/>
          <w:szCs w:val="16"/>
        </w:rPr>
        <w:softHyphen/>
        <w:t>раине аэродрома. Бомбы сбрасыва</w:t>
      </w:r>
      <w:r w:rsidRPr="00D03F3E">
        <w:rPr>
          <w:rFonts w:ascii="Times New Roman" w:hAnsi="Times New Roman"/>
          <w:color w:val="000000" w:themeColor="text1"/>
          <w:sz w:val="16"/>
          <w:szCs w:val="16"/>
        </w:rPr>
        <w:softHyphen/>
        <w:t>лись только тремя экипажами, осталь</w:t>
      </w:r>
      <w:r w:rsidRPr="00D03F3E">
        <w:rPr>
          <w:rFonts w:ascii="Times New Roman" w:hAnsi="Times New Roman"/>
          <w:color w:val="000000" w:themeColor="text1"/>
          <w:sz w:val="16"/>
          <w:szCs w:val="16"/>
        </w:rPr>
        <w:softHyphen/>
        <w:t>ные вели обстрел из пушек и пулеметов.</w:t>
      </w:r>
    </w:p>
    <w:p w14:paraId="0CD75D8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двух заходов штурмо</w:t>
      </w:r>
      <w:r w:rsidRPr="00D03F3E">
        <w:rPr>
          <w:rFonts w:ascii="Times New Roman" w:hAnsi="Times New Roman"/>
          <w:color w:val="000000" w:themeColor="text1"/>
          <w:sz w:val="16"/>
          <w:szCs w:val="16"/>
        </w:rPr>
        <w:softHyphen/>
        <w:t>виков на аэродроме Краматорская было уничтожено до 8 самолетов про</w:t>
      </w:r>
      <w:r w:rsidRPr="00D03F3E">
        <w:rPr>
          <w:rFonts w:ascii="Times New Roman" w:hAnsi="Times New Roman"/>
          <w:color w:val="000000" w:themeColor="text1"/>
          <w:sz w:val="16"/>
          <w:szCs w:val="16"/>
        </w:rPr>
        <w:softHyphen/>
        <w:t>тивника. На отходе от цели шестерка Ил-2 попала под удар истребителей против</w:t>
      </w:r>
      <w:r w:rsidRPr="00D03F3E">
        <w:rPr>
          <w:rFonts w:ascii="Times New Roman" w:hAnsi="Times New Roman"/>
          <w:color w:val="000000" w:themeColor="text1"/>
          <w:sz w:val="16"/>
          <w:szCs w:val="16"/>
        </w:rPr>
        <w:softHyphen/>
        <w:t>ника - до 8 ВЛ09С и Ру/190, которые подошли на выручку атакованному аэродрому. К этому времени истреби</w:t>
      </w:r>
      <w:r w:rsidRPr="00D03F3E">
        <w:rPr>
          <w:rFonts w:ascii="Times New Roman" w:hAnsi="Times New Roman"/>
          <w:color w:val="000000" w:themeColor="text1"/>
          <w:sz w:val="16"/>
          <w:szCs w:val="16"/>
        </w:rPr>
        <w:softHyphen/>
        <w:t>тели прикрытия уже "увлеклись" воз</w:t>
      </w:r>
      <w:r w:rsidRPr="00D03F3E">
        <w:rPr>
          <w:rFonts w:ascii="Times New Roman" w:hAnsi="Times New Roman"/>
          <w:color w:val="000000" w:themeColor="text1"/>
          <w:sz w:val="16"/>
          <w:szCs w:val="16"/>
        </w:rPr>
        <w:softHyphen/>
        <w:t>душным боем с другой группой истре</w:t>
      </w:r>
      <w:r w:rsidRPr="00D03F3E">
        <w:rPr>
          <w:rFonts w:ascii="Times New Roman" w:hAnsi="Times New Roman"/>
          <w:color w:val="000000" w:themeColor="text1"/>
          <w:sz w:val="16"/>
          <w:szCs w:val="16"/>
        </w:rPr>
        <w:softHyphen/>
        <w:t>бителей люфтваффе на высоте 1000-1500 м и в воздушном бою штурмови</w:t>
      </w:r>
      <w:r w:rsidRPr="00D03F3E">
        <w:rPr>
          <w:rFonts w:ascii="Times New Roman" w:hAnsi="Times New Roman"/>
          <w:color w:val="000000" w:themeColor="text1"/>
          <w:sz w:val="16"/>
          <w:szCs w:val="16"/>
        </w:rPr>
        <w:softHyphen/>
        <w:t>ков не участвовали. Как отмечается в боевом донесе</w:t>
      </w:r>
      <w:r w:rsidRPr="00D03F3E">
        <w:rPr>
          <w:rFonts w:ascii="Times New Roman" w:hAnsi="Times New Roman"/>
          <w:color w:val="000000" w:themeColor="text1"/>
          <w:sz w:val="16"/>
          <w:szCs w:val="16"/>
        </w:rPr>
        <w:softHyphen/>
        <w:t>нии штаба 775-го шоп за 6 мая (на 20.30), "...истребители прикрытия 14 штук ходили на 1400-1500 м и не за</w:t>
      </w:r>
      <w:r w:rsidRPr="00D03F3E">
        <w:rPr>
          <w:rFonts w:ascii="Times New Roman" w:hAnsi="Times New Roman"/>
          <w:color w:val="000000" w:themeColor="text1"/>
          <w:sz w:val="16"/>
          <w:szCs w:val="16"/>
        </w:rPr>
        <w:softHyphen/>
        <w:t>щищали Илов от истребителей против</w:t>
      </w:r>
      <w:r w:rsidRPr="00D03F3E">
        <w:rPr>
          <w:rFonts w:ascii="Times New Roman" w:hAnsi="Times New Roman"/>
          <w:color w:val="000000" w:themeColor="text1"/>
          <w:sz w:val="16"/>
          <w:szCs w:val="16"/>
        </w:rPr>
        <w:softHyphen/>
        <w:t>ника". Оставшись бее прикрытия, штурмо</w:t>
      </w:r>
      <w:r w:rsidRPr="00D03F3E">
        <w:rPr>
          <w:rFonts w:ascii="Times New Roman" w:hAnsi="Times New Roman"/>
          <w:color w:val="000000" w:themeColor="text1"/>
          <w:sz w:val="16"/>
          <w:szCs w:val="16"/>
        </w:rPr>
        <w:softHyphen/>
        <w:t>вики подверглись беспрерывным ата</w:t>
      </w:r>
      <w:r w:rsidRPr="00D03F3E">
        <w:rPr>
          <w:rFonts w:ascii="Times New Roman" w:hAnsi="Times New Roman"/>
          <w:color w:val="000000" w:themeColor="text1"/>
          <w:sz w:val="16"/>
          <w:szCs w:val="16"/>
        </w:rPr>
        <w:softHyphen/>
        <w:t>кам немецких истребителей вплоть до р. Сев. Донец. Если над территорией противника экипажи хоть как-то ста</w:t>
      </w:r>
      <w:r w:rsidRPr="00D03F3E">
        <w:rPr>
          <w:rFonts w:ascii="Times New Roman" w:hAnsi="Times New Roman"/>
          <w:color w:val="000000" w:themeColor="text1"/>
          <w:sz w:val="16"/>
          <w:szCs w:val="16"/>
        </w:rPr>
        <w:softHyphen/>
        <w:t>рались отбиваться сообща, то пере</w:t>
      </w:r>
      <w:r w:rsidRPr="00D03F3E">
        <w:rPr>
          <w:rFonts w:ascii="Times New Roman" w:hAnsi="Times New Roman"/>
          <w:color w:val="000000" w:themeColor="text1"/>
          <w:sz w:val="16"/>
          <w:szCs w:val="16"/>
        </w:rPr>
        <w:softHyphen/>
        <w:t>летев линию, организованной оборо</w:t>
      </w:r>
      <w:r w:rsidRPr="00D03F3E">
        <w:rPr>
          <w:rFonts w:ascii="Times New Roman" w:hAnsi="Times New Roman"/>
          <w:color w:val="000000" w:themeColor="text1"/>
          <w:sz w:val="16"/>
          <w:szCs w:val="16"/>
        </w:rPr>
        <w:softHyphen/>
        <w:t>ны уже не было. Летчикам не удалось сохранить целостность боевого поряд</w:t>
      </w:r>
      <w:r w:rsidRPr="00D03F3E">
        <w:rPr>
          <w:rFonts w:ascii="Times New Roman" w:hAnsi="Times New Roman"/>
          <w:color w:val="000000" w:themeColor="text1"/>
          <w:sz w:val="16"/>
          <w:szCs w:val="16"/>
        </w:rPr>
        <w:softHyphen/>
        <w:t>ка. В результате, уже находясь над своей территорией, штурмовики "были рассеяны истребителями противника, вследствие чего понесли потери в ко</w:t>
      </w:r>
      <w:r w:rsidRPr="00D03F3E">
        <w:rPr>
          <w:rFonts w:ascii="Times New Roman" w:hAnsi="Times New Roman"/>
          <w:color w:val="000000" w:themeColor="text1"/>
          <w:sz w:val="16"/>
          <w:szCs w:val="16"/>
        </w:rPr>
        <w:softHyphen/>
        <w:t>личестве 4 Ил-2". После первой же атаки пилотов люфтваффе за линией фронта "3 Ил-2 откололись от общего строя и были по одиночке атакованы истребителями противника". Остальные три экипажа во главе с ведущим груп</w:t>
      </w:r>
      <w:r w:rsidRPr="00D03F3E">
        <w:rPr>
          <w:rFonts w:ascii="Times New Roman" w:hAnsi="Times New Roman"/>
          <w:color w:val="000000" w:themeColor="text1"/>
          <w:sz w:val="16"/>
          <w:szCs w:val="16"/>
        </w:rPr>
        <w:softHyphen/>
        <w:t>пы мл. лейтенантом Сибиркиным в рай</w:t>
      </w:r>
      <w:r w:rsidRPr="00D03F3E">
        <w:rPr>
          <w:rFonts w:ascii="Times New Roman" w:hAnsi="Times New Roman"/>
          <w:color w:val="000000" w:themeColor="text1"/>
          <w:sz w:val="16"/>
          <w:szCs w:val="16"/>
        </w:rPr>
        <w:softHyphen/>
        <w:t>оне Николаевска перешли к боевому порядку змейка, отражая атаки про</w:t>
      </w:r>
      <w:r w:rsidRPr="00D03F3E">
        <w:rPr>
          <w:rFonts w:ascii="Times New Roman" w:hAnsi="Times New Roman"/>
          <w:color w:val="000000" w:themeColor="text1"/>
          <w:sz w:val="16"/>
          <w:szCs w:val="16"/>
        </w:rPr>
        <w:softHyphen/>
        <w:t>тивника маневром и огнем. На свой аэродром возвратились только два экипажа - мл. л-та Рыжова и мл. л-та Моисеева, которые толком сказать ничего не могли. Так, мл. л-т Моисеев доложил, что самолет ведущего группы он потерял из виду еще над целью. На отходе от аэродрома за ним "шли два Ил-2 с дымящимися моторами, которые отста</w:t>
      </w:r>
      <w:r w:rsidRPr="00D03F3E">
        <w:rPr>
          <w:rFonts w:ascii="Times New Roman" w:hAnsi="Times New Roman"/>
          <w:color w:val="000000" w:themeColor="text1"/>
          <w:sz w:val="16"/>
          <w:szCs w:val="16"/>
        </w:rPr>
        <w:softHyphen/>
        <w:t>ли у Сев. Донца". Больше он их не видел. Позже выяснилось, что над целью огнем МЗА был сбит и погиб экипаж в составе мл. лейтенанта Самойленко и воздушного стрелка сержанта Даниль-ченко. В районе Торская сели на вы</w:t>
      </w:r>
      <w:r w:rsidRPr="00D03F3E">
        <w:rPr>
          <w:rFonts w:ascii="Times New Roman" w:hAnsi="Times New Roman"/>
          <w:color w:val="000000" w:themeColor="text1"/>
          <w:sz w:val="16"/>
          <w:szCs w:val="16"/>
        </w:rPr>
        <w:softHyphen/>
        <w:t>нужденную подбитые истребителями противника экипажи мл. лейтенанта Удовенко (воздушный стрелок сержант Терло) и мл. лейтенанта Клюева (воз</w:t>
      </w:r>
      <w:r w:rsidRPr="00D03F3E">
        <w:rPr>
          <w:rFonts w:ascii="Times New Roman" w:hAnsi="Times New Roman"/>
          <w:color w:val="000000" w:themeColor="text1"/>
          <w:sz w:val="16"/>
          <w:szCs w:val="16"/>
        </w:rPr>
        <w:softHyphen/>
        <w:t>душный стрелок сержант Коженков). В этом же районе сел на вынужденную и ведущий группы мл. л-т Сибиркин, самолет которого имел большие и малые повреждения от огня МЗА и ис</w:t>
      </w:r>
      <w:r w:rsidRPr="00D03F3E">
        <w:rPr>
          <w:rFonts w:ascii="Times New Roman" w:hAnsi="Times New Roman"/>
          <w:color w:val="000000" w:themeColor="text1"/>
          <w:sz w:val="16"/>
          <w:szCs w:val="16"/>
        </w:rPr>
        <w:softHyphen/>
        <w:t>требителей. Удовенко и Терло были ра</w:t>
      </w:r>
      <w:r w:rsidRPr="00D03F3E">
        <w:rPr>
          <w:rFonts w:ascii="Times New Roman" w:hAnsi="Times New Roman"/>
          <w:color w:val="000000" w:themeColor="text1"/>
          <w:sz w:val="16"/>
          <w:szCs w:val="16"/>
        </w:rPr>
        <w:softHyphen/>
        <w:t>нены в воздушном бою, остальные от</w:t>
      </w:r>
      <w:r w:rsidRPr="00D03F3E">
        <w:rPr>
          <w:rFonts w:ascii="Times New Roman" w:hAnsi="Times New Roman"/>
          <w:color w:val="000000" w:themeColor="text1"/>
          <w:sz w:val="16"/>
          <w:szCs w:val="16"/>
        </w:rPr>
        <w:softHyphen/>
        <w:t>делались ушибами и ссадинами при по</w:t>
      </w:r>
      <w:r w:rsidRPr="00D03F3E">
        <w:rPr>
          <w:rFonts w:ascii="Times New Roman" w:hAnsi="Times New Roman"/>
          <w:color w:val="000000" w:themeColor="text1"/>
          <w:sz w:val="16"/>
          <w:szCs w:val="16"/>
        </w:rPr>
        <w:softHyphen/>
        <w:t>садке.</w:t>
      </w:r>
    </w:p>
    <w:p w14:paraId="3D2ADDA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докладам истребителей сопро</w:t>
      </w:r>
      <w:r w:rsidRPr="00D03F3E">
        <w:rPr>
          <w:rFonts w:ascii="Times New Roman" w:hAnsi="Times New Roman"/>
          <w:color w:val="000000" w:themeColor="text1"/>
          <w:sz w:val="16"/>
          <w:szCs w:val="16"/>
        </w:rPr>
        <w:softHyphen/>
        <w:t>вождения они вели тяжелый воздушный бой с превосходящими силами против</w:t>
      </w:r>
      <w:r w:rsidRPr="00D03F3E">
        <w:rPr>
          <w:rFonts w:ascii="Times New Roman" w:hAnsi="Times New Roman"/>
          <w:color w:val="000000" w:themeColor="text1"/>
          <w:sz w:val="16"/>
          <w:szCs w:val="16"/>
        </w:rPr>
        <w:softHyphen/>
        <w:t>ника, начиная от аэродрома Крама</w:t>
      </w:r>
      <w:r w:rsidRPr="00D03F3E">
        <w:rPr>
          <w:rFonts w:ascii="Times New Roman" w:hAnsi="Times New Roman"/>
          <w:color w:val="000000" w:themeColor="text1"/>
          <w:sz w:val="16"/>
          <w:szCs w:val="16"/>
        </w:rPr>
        <w:softHyphen/>
        <w:t>торская и вплоть до района Сватово. В ходе боя мл. л-т Варфоломеев сбил один Фв190 и один Ме109 подбил. "Мес-сершмитт" совершил вынужденную посадку в районе Славянск и был до</w:t>
      </w:r>
      <w:r w:rsidRPr="00D03F3E">
        <w:rPr>
          <w:rFonts w:ascii="Times New Roman" w:hAnsi="Times New Roman"/>
          <w:color w:val="000000" w:themeColor="text1"/>
          <w:sz w:val="16"/>
          <w:szCs w:val="16"/>
        </w:rPr>
        <w:softHyphen/>
        <w:t>бит уже на земле. Непосредственно над аэродромом противника огнем МЗА был подбит мл. л-т Анцырев из 5-го гиап. По наблюдениям экипажей летчик выбросился на парашюте и при</w:t>
      </w:r>
      <w:r w:rsidRPr="00D03F3E">
        <w:rPr>
          <w:rFonts w:ascii="Times New Roman" w:hAnsi="Times New Roman"/>
          <w:color w:val="000000" w:themeColor="text1"/>
          <w:sz w:val="16"/>
          <w:szCs w:val="16"/>
        </w:rPr>
        <w:softHyphen/>
        <w:t>землился в 5 км юго-западнее Крама</w:t>
      </w:r>
      <w:r w:rsidRPr="00D03F3E">
        <w:rPr>
          <w:rFonts w:ascii="Times New Roman" w:hAnsi="Times New Roman"/>
          <w:color w:val="000000" w:themeColor="text1"/>
          <w:sz w:val="16"/>
          <w:szCs w:val="16"/>
        </w:rPr>
        <w:softHyphen/>
        <w:t>торская. Других потерь истребители не понесли. По донесениям штабов полков, по</w:t>
      </w:r>
      <w:r w:rsidRPr="00D03F3E">
        <w:rPr>
          <w:rFonts w:ascii="Times New Roman" w:hAnsi="Times New Roman"/>
          <w:color w:val="000000" w:themeColor="text1"/>
          <w:sz w:val="16"/>
          <w:szCs w:val="16"/>
        </w:rPr>
        <w:softHyphen/>
        <w:t>тери немецкой стороны на аэродроме Краматорская 6 мая оценивались в 29 самолетов: 21 самолет уничтожен и 8 повреждены. Кроме этого, взорвано два склада ГСМ, подавлен огонь трех батарей ЗА и МЗА, один Вт!09 сбит на взлете, и один ВЛ09 подбит в воз</w:t>
      </w:r>
      <w:r w:rsidRPr="00D03F3E">
        <w:rPr>
          <w:rFonts w:ascii="Times New Roman" w:hAnsi="Times New Roman"/>
          <w:color w:val="000000" w:themeColor="text1"/>
          <w:sz w:val="16"/>
          <w:szCs w:val="16"/>
        </w:rPr>
        <w:softHyphen/>
        <w:t>душном бою. Безвозвратные потери 290-й шад в ходе налетов на аэродром Краматор</w:t>
      </w:r>
      <w:r w:rsidRPr="00D03F3E">
        <w:rPr>
          <w:rFonts w:ascii="Times New Roman" w:hAnsi="Times New Roman"/>
          <w:color w:val="000000" w:themeColor="text1"/>
          <w:sz w:val="16"/>
          <w:szCs w:val="16"/>
        </w:rPr>
        <w:softHyphen/>
        <w:t>ская составили три самолета Ил-2, три летчика и два воздушных стрелка. В штабе 290-й шад эти данные "слег</w:t>
      </w:r>
      <w:r w:rsidRPr="00D03F3E">
        <w:rPr>
          <w:rFonts w:ascii="Times New Roman" w:hAnsi="Times New Roman"/>
          <w:color w:val="000000" w:themeColor="text1"/>
          <w:sz w:val="16"/>
          <w:szCs w:val="16"/>
        </w:rPr>
        <w:softHyphen/>
        <w:t>ка" подкорректировали: "В результате троекратного удара групп штурмови</w:t>
      </w:r>
      <w:r w:rsidRPr="00D03F3E">
        <w:rPr>
          <w:rFonts w:ascii="Times New Roman" w:hAnsi="Times New Roman"/>
          <w:color w:val="000000" w:themeColor="text1"/>
          <w:sz w:val="16"/>
          <w:szCs w:val="16"/>
        </w:rPr>
        <w:softHyphen/>
        <w:t>ков в течение 6.05 на аэродроме Кра</w:t>
      </w:r>
      <w:r w:rsidRPr="00D03F3E">
        <w:rPr>
          <w:rFonts w:ascii="Times New Roman" w:hAnsi="Times New Roman"/>
          <w:color w:val="000000" w:themeColor="text1"/>
          <w:sz w:val="16"/>
          <w:szCs w:val="16"/>
        </w:rPr>
        <w:softHyphen/>
        <w:t>маторская уничтожено до 23 самоле</w:t>
      </w:r>
      <w:r w:rsidRPr="00D03F3E">
        <w:rPr>
          <w:rFonts w:ascii="Times New Roman" w:hAnsi="Times New Roman"/>
          <w:color w:val="000000" w:themeColor="text1"/>
          <w:sz w:val="16"/>
          <w:szCs w:val="16"/>
        </w:rPr>
        <w:softHyphen/>
        <w:t>тов разного типа и повреждено до 8 самолетов, в воздушном бою уничто</w:t>
      </w:r>
      <w:r w:rsidRPr="00D03F3E">
        <w:rPr>
          <w:rFonts w:ascii="Times New Roman" w:hAnsi="Times New Roman"/>
          <w:color w:val="000000" w:themeColor="text1"/>
          <w:sz w:val="16"/>
          <w:szCs w:val="16"/>
        </w:rPr>
        <w:softHyphen/>
        <w:t>жен 1 и подбит 1 истребитель, взорван склад ГСМ". В свою очередь, "обобщив" данные дивизий корпуса, начальник штаба 3-го сак п-к Назаров доложил наверх, что в ходе ударов по аэродрому Кра</w:t>
      </w:r>
      <w:r w:rsidRPr="00D03F3E">
        <w:rPr>
          <w:rFonts w:ascii="Times New Roman" w:hAnsi="Times New Roman"/>
          <w:color w:val="000000" w:themeColor="text1"/>
          <w:sz w:val="16"/>
          <w:szCs w:val="16"/>
        </w:rPr>
        <w:softHyphen/>
        <w:t>маторская "было уничтожено и повреж</w:t>
      </w:r>
      <w:r w:rsidRPr="00D03F3E">
        <w:rPr>
          <w:rFonts w:ascii="Times New Roman" w:hAnsi="Times New Roman"/>
          <w:color w:val="000000" w:themeColor="text1"/>
          <w:sz w:val="16"/>
          <w:szCs w:val="16"/>
        </w:rPr>
        <w:softHyphen/>
        <w:t>дено до 49 самолетов противника, из них 23 самолета сожжено на аэродро</w:t>
      </w:r>
      <w:r w:rsidRPr="00D03F3E">
        <w:rPr>
          <w:rFonts w:ascii="Times New Roman" w:hAnsi="Times New Roman"/>
          <w:color w:val="000000" w:themeColor="text1"/>
          <w:sz w:val="16"/>
          <w:szCs w:val="16"/>
        </w:rPr>
        <w:softHyphen/>
        <w:t>ме, 12 самолетов сильно повреждено пулеметно-пушечным огнем при штур</w:t>
      </w:r>
      <w:r w:rsidRPr="00D03F3E">
        <w:rPr>
          <w:rFonts w:ascii="Times New Roman" w:hAnsi="Times New Roman"/>
          <w:color w:val="000000" w:themeColor="text1"/>
          <w:sz w:val="16"/>
          <w:szCs w:val="16"/>
        </w:rPr>
        <w:softHyphen/>
        <w:t>мовых атаках, 11 истребителей сбито, и 3 самолета подбито в воздушном бою". Кроме этого, на аэродроме взорван один склад с горючим, подав</w:t>
      </w:r>
      <w:r w:rsidRPr="00D03F3E">
        <w:rPr>
          <w:rFonts w:ascii="Times New Roman" w:hAnsi="Times New Roman"/>
          <w:color w:val="000000" w:themeColor="text1"/>
          <w:sz w:val="16"/>
          <w:szCs w:val="16"/>
        </w:rPr>
        <w:softHyphen/>
        <w:t>лен огонь двух орудий зенитной ар</w:t>
      </w:r>
      <w:r w:rsidRPr="00D03F3E">
        <w:rPr>
          <w:rFonts w:ascii="Times New Roman" w:hAnsi="Times New Roman"/>
          <w:color w:val="000000" w:themeColor="text1"/>
          <w:sz w:val="16"/>
          <w:szCs w:val="16"/>
        </w:rPr>
        <w:softHyphen/>
        <w:t>тиллерии и нескольких точек зенитных пулеметов.</w:t>
      </w:r>
    </w:p>
    <w:p w14:paraId="3085331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всей видимости, в штабе 17-й ВА усомнились в достоверности до</w:t>
      </w:r>
      <w:r w:rsidRPr="00D03F3E">
        <w:rPr>
          <w:rFonts w:ascii="Times New Roman" w:hAnsi="Times New Roman"/>
          <w:color w:val="000000" w:themeColor="text1"/>
          <w:sz w:val="16"/>
          <w:szCs w:val="16"/>
        </w:rPr>
        <w:softHyphen/>
        <w:t>несения штаба 3-го сак, так как в ито</w:t>
      </w:r>
      <w:r w:rsidRPr="00D03F3E">
        <w:rPr>
          <w:rFonts w:ascii="Times New Roman" w:hAnsi="Times New Roman"/>
          <w:color w:val="000000" w:themeColor="text1"/>
          <w:sz w:val="16"/>
          <w:szCs w:val="16"/>
        </w:rPr>
        <w:softHyphen/>
        <w:t>говом докладе командующему ВВС КА потери противника при ударе по аэро</w:t>
      </w:r>
      <w:r w:rsidRPr="00D03F3E">
        <w:rPr>
          <w:rFonts w:ascii="Times New Roman" w:hAnsi="Times New Roman"/>
          <w:color w:val="000000" w:themeColor="text1"/>
          <w:sz w:val="16"/>
          <w:szCs w:val="16"/>
        </w:rPr>
        <w:softHyphen/>
        <w:t>дрому Краматорская 6 мая были умень</w:t>
      </w:r>
      <w:r w:rsidRPr="00D03F3E">
        <w:rPr>
          <w:rFonts w:ascii="Times New Roman" w:hAnsi="Times New Roman"/>
          <w:color w:val="000000" w:themeColor="text1"/>
          <w:sz w:val="16"/>
          <w:szCs w:val="16"/>
        </w:rPr>
        <w:softHyphen/>
        <w:t>шены до 6 самолетов сбитых в воз</w:t>
      </w:r>
      <w:r w:rsidRPr="00D03F3E">
        <w:rPr>
          <w:rFonts w:ascii="Times New Roman" w:hAnsi="Times New Roman"/>
          <w:color w:val="000000" w:themeColor="text1"/>
          <w:sz w:val="16"/>
          <w:szCs w:val="16"/>
        </w:rPr>
        <w:softHyphen/>
        <w:t>душном бою, 21 уничтоженных и 12 поврежденных самолетов на аэродро</w:t>
      </w:r>
      <w:r w:rsidRPr="00D03F3E">
        <w:rPr>
          <w:rFonts w:ascii="Times New Roman" w:hAnsi="Times New Roman"/>
          <w:color w:val="000000" w:themeColor="text1"/>
          <w:sz w:val="16"/>
          <w:szCs w:val="16"/>
        </w:rPr>
        <w:softHyphen/>
        <w:t>ме. Свои потери армия также умень</w:t>
      </w:r>
      <w:r w:rsidRPr="00D03F3E">
        <w:rPr>
          <w:rFonts w:ascii="Times New Roman" w:hAnsi="Times New Roman"/>
          <w:color w:val="000000" w:themeColor="text1"/>
          <w:sz w:val="16"/>
          <w:szCs w:val="16"/>
        </w:rPr>
        <w:softHyphen/>
        <w:t>шила, отметив только два самолета Ил-2, сбитых зенитной артиллерией и истребителями, и один Ла-5 - в воз</w:t>
      </w:r>
      <w:r w:rsidRPr="00D03F3E">
        <w:rPr>
          <w:rFonts w:ascii="Times New Roman" w:hAnsi="Times New Roman"/>
          <w:color w:val="000000" w:themeColor="text1"/>
          <w:sz w:val="16"/>
          <w:szCs w:val="16"/>
        </w:rPr>
        <w:softHyphen/>
        <w:t>душном бою (11010).</w:t>
      </w:r>
    </w:p>
    <w:p w14:paraId="0104FB4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727AB8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мая 1943 совершенно неудачными ока</w:t>
      </w:r>
      <w:r w:rsidRPr="00D03F3E">
        <w:rPr>
          <w:rFonts w:ascii="Times New Roman" w:hAnsi="Times New Roman"/>
          <w:color w:val="000000" w:themeColor="text1"/>
          <w:sz w:val="16"/>
          <w:szCs w:val="16"/>
        </w:rPr>
        <w:softHyphen/>
        <w:t>зались действия 16-й ВА генерал-лей</w:t>
      </w:r>
      <w:r w:rsidRPr="00D03F3E">
        <w:rPr>
          <w:rFonts w:ascii="Times New Roman" w:hAnsi="Times New Roman"/>
          <w:color w:val="000000" w:themeColor="text1"/>
          <w:sz w:val="16"/>
          <w:szCs w:val="16"/>
        </w:rPr>
        <w:softHyphen/>
        <w:t>тенанта С. И. Руденко, которая в се</w:t>
      </w:r>
      <w:r w:rsidRPr="00D03F3E">
        <w:rPr>
          <w:rFonts w:ascii="Times New Roman" w:hAnsi="Times New Roman"/>
          <w:color w:val="000000" w:themeColor="text1"/>
          <w:sz w:val="16"/>
          <w:szCs w:val="16"/>
        </w:rPr>
        <w:softHyphen/>
        <w:t>редине дня силами 192 самолетов (23 Пе-2, 62 Ил-2 и 107 истребителей) нанесла несколько ударов по аэродро</w:t>
      </w:r>
      <w:r w:rsidRPr="00D03F3E">
        <w:rPr>
          <w:rFonts w:ascii="Times New Roman" w:hAnsi="Times New Roman"/>
          <w:color w:val="000000" w:themeColor="text1"/>
          <w:sz w:val="16"/>
          <w:szCs w:val="16"/>
        </w:rPr>
        <w:softHyphen/>
        <w:t>мам Орловского аэроузла.</w:t>
      </w:r>
    </w:p>
    <w:p w14:paraId="07ED303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с 14.27 до 14.30 по аэро</w:t>
      </w:r>
      <w:r w:rsidRPr="00D03F3E">
        <w:rPr>
          <w:rFonts w:ascii="Times New Roman" w:hAnsi="Times New Roman"/>
          <w:color w:val="000000" w:themeColor="text1"/>
          <w:sz w:val="16"/>
          <w:szCs w:val="16"/>
        </w:rPr>
        <w:softHyphen/>
        <w:t>дромам Орел-ГВФ и Б.Куликовка дол</w:t>
      </w:r>
      <w:r w:rsidRPr="00D03F3E">
        <w:rPr>
          <w:rFonts w:ascii="Times New Roman" w:hAnsi="Times New Roman"/>
          <w:color w:val="000000" w:themeColor="text1"/>
          <w:sz w:val="16"/>
          <w:szCs w:val="16"/>
        </w:rPr>
        <w:softHyphen/>
        <w:t>жны были "отработать" экипажи 299-й шад, а по аэродромам Орел-Цент</w:t>
      </w:r>
      <w:r w:rsidRPr="00D03F3E">
        <w:rPr>
          <w:rFonts w:ascii="Times New Roman" w:hAnsi="Times New Roman"/>
          <w:color w:val="000000" w:themeColor="text1"/>
          <w:sz w:val="16"/>
          <w:szCs w:val="16"/>
        </w:rPr>
        <w:softHyphen/>
        <w:t>ральный, Кнубрь и Лаврова - 2-й гвар</w:t>
      </w:r>
      <w:r w:rsidRPr="00D03F3E">
        <w:rPr>
          <w:rFonts w:ascii="Times New Roman" w:hAnsi="Times New Roman"/>
          <w:color w:val="000000" w:themeColor="text1"/>
          <w:sz w:val="16"/>
          <w:szCs w:val="16"/>
        </w:rPr>
        <w:softHyphen/>
        <w:t>дейской шад. На этих аэродромах авиаразведкой армии было вскрыто базирование в общей сложности до 220 боевых самолетов люфтваффе. По плану за три минуты до удара штурмовиков бомбардировщики 241-й бад 3-го бак бомбовым ударом с высоты 2000-3000 м блокируют аэро</w:t>
      </w:r>
      <w:r w:rsidRPr="00D03F3E">
        <w:rPr>
          <w:rFonts w:ascii="Times New Roman" w:hAnsi="Times New Roman"/>
          <w:color w:val="000000" w:themeColor="text1"/>
          <w:sz w:val="16"/>
          <w:szCs w:val="16"/>
        </w:rPr>
        <w:softHyphen/>
        <w:t>дромы Орел-ГВФ (8 Пе-2), Орел-Цен</w:t>
      </w:r>
      <w:r w:rsidRPr="00D03F3E">
        <w:rPr>
          <w:rFonts w:ascii="Times New Roman" w:hAnsi="Times New Roman"/>
          <w:color w:val="000000" w:themeColor="text1"/>
          <w:sz w:val="16"/>
          <w:szCs w:val="16"/>
        </w:rPr>
        <w:softHyphen/>
        <w:t>тральный (7 Пе-2) и Хмелевая (9 Пе-2). Их действия прикрывались 16 истре</w:t>
      </w:r>
      <w:r w:rsidRPr="00D03F3E">
        <w:rPr>
          <w:rFonts w:ascii="Times New Roman" w:hAnsi="Times New Roman"/>
          <w:color w:val="000000" w:themeColor="text1"/>
          <w:sz w:val="16"/>
          <w:szCs w:val="16"/>
        </w:rPr>
        <w:softHyphen/>
        <w:t>бителями Ла-5 от 165-го иап 286-й над. Экипажам "пешек" ставилась зада</w:t>
      </w:r>
      <w:r w:rsidRPr="00D03F3E">
        <w:rPr>
          <w:rFonts w:ascii="Times New Roman" w:hAnsi="Times New Roman"/>
          <w:color w:val="000000" w:themeColor="text1"/>
          <w:sz w:val="16"/>
          <w:szCs w:val="16"/>
        </w:rPr>
        <w:softHyphen/>
        <w:t>ча "воспрепятствовать вылету самоле</w:t>
      </w:r>
      <w:r w:rsidRPr="00D03F3E">
        <w:rPr>
          <w:rFonts w:ascii="Times New Roman" w:hAnsi="Times New Roman"/>
          <w:color w:val="000000" w:themeColor="text1"/>
          <w:sz w:val="16"/>
          <w:szCs w:val="16"/>
        </w:rPr>
        <w:softHyphen/>
        <w:t>тов противника путем вывода из строя летного поля серией воронок кресто</w:t>
      </w:r>
      <w:r w:rsidRPr="00D03F3E">
        <w:rPr>
          <w:rFonts w:ascii="Times New Roman" w:hAnsi="Times New Roman"/>
          <w:color w:val="000000" w:themeColor="text1"/>
          <w:sz w:val="16"/>
          <w:szCs w:val="16"/>
        </w:rPr>
        <w:softHyphen/>
        <w:t>образно по летному полю". Предпола</w:t>
      </w:r>
      <w:r w:rsidRPr="00D03F3E">
        <w:rPr>
          <w:rFonts w:ascii="Times New Roman" w:hAnsi="Times New Roman"/>
          <w:color w:val="000000" w:themeColor="text1"/>
          <w:sz w:val="16"/>
          <w:szCs w:val="16"/>
        </w:rPr>
        <w:softHyphen/>
        <w:t>галось, что тем самым Ил-2 получат сво</w:t>
      </w:r>
      <w:r w:rsidRPr="00D03F3E">
        <w:rPr>
          <w:rFonts w:ascii="Times New Roman" w:hAnsi="Times New Roman"/>
          <w:color w:val="000000" w:themeColor="text1"/>
          <w:sz w:val="16"/>
          <w:szCs w:val="16"/>
        </w:rPr>
        <w:softHyphen/>
        <w:t>боду действий в районе своих целей. Кроме этого, гвардейцы 1-й гиад в период 14.27-14.50 "одним полком Аэрокобр в свободном полете в рай</w:t>
      </w:r>
      <w:r w:rsidRPr="00D03F3E">
        <w:rPr>
          <w:rFonts w:ascii="Times New Roman" w:hAnsi="Times New Roman"/>
          <w:color w:val="000000" w:themeColor="text1"/>
          <w:sz w:val="16"/>
          <w:szCs w:val="16"/>
        </w:rPr>
        <w:softHyphen/>
        <w:t>оне Орловского аэроузла" должны были "обеспечить боевую работу штур</w:t>
      </w:r>
      <w:r w:rsidRPr="00D03F3E">
        <w:rPr>
          <w:rFonts w:ascii="Times New Roman" w:hAnsi="Times New Roman"/>
          <w:color w:val="000000" w:themeColor="text1"/>
          <w:sz w:val="16"/>
          <w:szCs w:val="16"/>
        </w:rPr>
        <w:softHyphen/>
        <w:t>мовиков и бомбардировщиков от ис</w:t>
      </w:r>
      <w:r w:rsidRPr="00D03F3E">
        <w:rPr>
          <w:rFonts w:ascii="Times New Roman" w:hAnsi="Times New Roman"/>
          <w:color w:val="000000" w:themeColor="text1"/>
          <w:sz w:val="16"/>
          <w:szCs w:val="16"/>
        </w:rPr>
        <w:softHyphen/>
        <w:t>требительной авиации противника". Выходные "ворота" на свою терри</w:t>
      </w:r>
      <w:r w:rsidRPr="00D03F3E">
        <w:rPr>
          <w:rFonts w:ascii="Times New Roman" w:hAnsi="Times New Roman"/>
          <w:color w:val="000000" w:themeColor="text1"/>
          <w:sz w:val="16"/>
          <w:szCs w:val="16"/>
        </w:rPr>
        <w:softHyphen/>
        <w:t>торию для штурмовиков 2-й гшад оп</w:t>
      </w:r>
      <w:r w:rsidRPr="00D03F3E">
        <w:rPr>
          <w:rFonts w:ascii="Times New Roman" w:hAnsi="Times New Roman"/>
          <w:color w:val="000000" w:themeColor="text1"/>
          <w:sz w:val="16"/>
          <w:szCs w:val="16"/>
        </w:rPr>
        <w:softHyphen/>
        <w:t>ределялись в районе между Самоду-ровка и ст. 1-е Поныри, а для экипа</w:t>
      </w:r>
      <w:r w:rsidRPr="00D03F3E">
        <w:rPr>
          <w:rFonts w:ascii="Times New Roman" w:hAnsi="Times New Roman"/>
          <w:color w:val="000000" w:themeColor="text1"/>
          <w:sz w:val="16"/>
          <w:szCs w:val="16"/>
        </w:rPr>
        <w:softHyphen/>
        <w:t>жей 299-й шад - в районе между М.Севрюково и Чулково (30 км юго-восточнее Мценск). Эти же районы являлись и рубежами отсечения ис</w:t>
      </w:r>
      <w:r w:rsidRPr="00D03F3E">
        <w:rPr>
          <w:rFonts w:ascii="Times New Roman" w:hAnsi="Times New Roman"/>
          <w:color w:val="000000" w:themeColor="text1"/>
          <w:sz w:val="16"/>
          <w:szCs w:val="16"/>
        </w:rPr>
        <w:softHyphen/>
        <w:t>требителей противника. Истребители 283-й над (6 Як-1 от 56-го гиап) при</w:t>
      </w:r>
      <w:r w:rsidRPr="00D03F3E">
        <w:rPr>
          <w:rFonts w:ascii="Times New Roman" w:hAnsi="Times New Roman"/>
          <w:color w:val="000000" w:themeColor="text1"/>
          <w:sz w:val="16"/>
          <w:szCs w:val="16"/>
        </w:rPr>
        <w:softHyphen/>
        <w:t>крывали выход штурмовиков 2-й гшад, а истребители 1-й гиад (10 Як-1 от 54-го гиап) - штурмовиков 299-й шад.</w:t>
      </w:r>
    </w:p>
    <w:p w14:paraId="31608EA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К сожалению, уже на этапе плани</w:t>
      </w:r>
      <w:r w:rsidRPr="00D03F3E">
        <w:rPr>
          <w:rFonts w:ascii="Times New Roman" w:hAnsi="Times New Roman"/>
          <w:color w:val="000000" w:themeColor="text1"/>
          <w:sz w:val="16"/>
          <w:szCs w:val="16"/>
        </w:rPr>
        <w:softHyphen/>
        <w:t>рования удара штабом воздушной армии была допущена грубейшая ошибка. При выборе времени налета не было принято во внимание то об</w:t>
      </w:r>
      <w:r w:rsidRPr="00D03F3E">
        <w:rPr>
          <w:rFonts w:ascii="Times New Roman" w:hAnsi="Times New Roman"/>
          <w:color w:val="000000" w:themeColor="text1"/>
          <w:sz w:val="16"/>
          <w:szCs w:val="16"/>
        </w:rPr>
        <w:softHyphen/>
        <w:t>стоятельство, что 315-я над 15-й ВА силами двух полков (12 Ла-5 от 50-го и 12 Як-76 от 431-го иап) утром 6 мая (в 6.38) нанесла удар по аэродрому Орел-Центральный. Судя по документам, налет истребителей 315-й над оказал</w:t>
      </w:r>
      <w:r w:rsidRPr="00D03F3E">
        <w:rPr>
          <w:rFonts w:ascii="Times New Roman" w:hAnsi="Times New Roman"/>
          <w:color w:val="000000" w:themeColor="text1"/>
          <w:sz w:val="16"/>
          <w:szCs w:val="16"/>
        </w:rPr>
        <w:softHyphen/>
        <w:t>ся совершенно неожиданным для противника. Это позволило ударным группам в течение 6 минут относительно спокойно бомбить и штурмовать матчасть на аэродроме. Огонь МЗА и ЗПУ был открыт только при по</w:t>
      </w:r>
      <w:r w:rsidRPr="00D03F3E">
        <w:rPr>
          <w:rFonts w:ascii="Times New Roman" w:hAnsi="Times New Roman"/>
          <w:color w:val="000000" w:themeColor="text1"/>
          <w:sz w:val="16"/>
          <w:szCs w:val="16"/>
        </w:rPr>
        <w:softHyphen/>
        <w:t>вторном заходе, а истребите</w:t>
      </w:r>
      <w:r w:rsidRPr="00D03F3E">
        <w:rPr>
          <w:rFonts w:ascii="Times New Roman" w:hAnsi="Times New Roman"/>
          <w:color w:val="000000" w:themeColor="text1"/>
          <w:sz w:val="16"/>
          <w:szCs w:val="16"/>
        </w:rPr>
        <w:softHyphen/>
        <w:t>ли противника появились уже на завершающей фазе удара, ког</w:t>
      </w:r>
      <w:r w:rsidRPr="00D03F3E">
        <w:rPr>
          <w:rFonts w:ascii="Times New Roman" w:hAnsi="Times New Roman"/>
          <w:color w:val="000000" w:themeColor="text1"/>
          <w:sz w:val="16"/>
          <w:szCs w:val="16"/>
        </w:rPr>
        <w:softHyphen/>
        <w:t>да группы начинали отход от аэродрома. По возвращении экипажи доложили об уничто</w:t>
      </w:r>
      <w:r w:rsidRPr="00D03F3E">
        <w:rPr>
          <w:rFonts w:ascii="Times New Roman" w:hAnsi="Times New Roman"/>
          <w:color w:val="000000" w:themeColor="text1"/>
          <w:sz w:val="16"/>
          <w:szCs w:val="16"/>
        </w:rPr>
        <w:softHyphen/>
        <w:t>жении до 20 и повреждении до 15 самолетов типа Ю88 и Хе111. Несомненно, после налета на аэродром Орел-Централь</w:t>
      </w:r>
      <w:r w:rsidRPr="00D03F3E">
        <w:rPr>
          <w:rFonts w:ascii="Times New Roman" w:hAnsi="Times New Roman"/>
          <w:color w:val="000000" w:themeColor="text1"/>
          <w:sz w:val="16"/>
          <w:szCs w:val="16"/>
        </w:rPr>
        <w:softHyphen/>
        <w:t>ный и на аэродромы других направлений немецкое коман</w:t>
      </w:r>
      <w:r w:rsidRPr="00D03F3E">
        <w:rPr>
          <w:rFonts w:ascii="Times New Roman" w:hAnsi="Times New Roman"/>
          <w:color w:val="000000" w:themeColor="text1"/>
          <w:sz w:val="16"/>
          <w:szCs w:val="16"/>
        </w:rPr>
        <w:softHyphen/>
        <w:t>дование привело в полную бо</w:t>
      </w:r>
      <w:r w:rsidRPr="00D03F3E">
        <w:rPr>
          <w:rFonts w:ascii="Times New Roman" w:hAnsi="Times New Roman"/>
          <w:color w:val="000000" w:themeColor="text1"/>
          <w:sz w:val="16"/>
          <w:szCs w:val="16"/>
        </w:rPr>
        <w:softHyphen/>
        <w:t>евую готовность всю систему ПВО Орловского аэроузла. Службы оповещения усилили контроль воздушного простран</w:t>
      </w:r>
      <w:r w:rsidRPr="00D03F3E">
        <w:rPr>
          <w:rFonts w:ascii="Times New Roman" w:hAnsi="Times New Roman"/>
          <w:color w:val="000000" w:themeColor="text1"/>
          <w:sz w:val="16"/>
          <w:szCs w:val="16"/>
        </w:rPr>
        <w:softHyphen/>
        <w:t>ства, особенно в районе пере</w:t>
      </w:r>
      <w:r w:rsidRPr="00D03F3E">
        <w:rPr>
          <w:rFonts w:ascii="Times New Roman" w:hAnsi="Times New Roman"/>
          <w:color w:val="000000" w:themeColor="text1"/>
          <w:sz w:val="16"/>
          <w:szCs w:val="16"/>
        </w:rPr>
        <w:softHyphen/>
        <w:t>днего края на участках наибо</w:t>
      </w:r>
      <w:r w:rsidRPr="00D03F3E">
        <w:rPr>
          <w:rFonts w:ascii="Times New Roman" w:hAnsi="Times New Roman"/>
          <w:color w:val="000000" w:themeColor="text1"/>
          <w:sz w:val="16"/>
          <w:szCs w:val="16"/>
        </w:rPr>
        <w:softHyphen/>
        <w:t>лее вероятного пролета совет</w:t>
      </w:r>
      <w:r w:rsidRPr="00D03F3E">
        <w:rPr>
          <w:rFonts w:ascii="Times New Roman" w:hAnsi="Times New Roman"/>
          <w:color w:val="000000" w:themeColor="text1"/>
          <w:sz w:val="16"/>
          <w:szCs w:val="16"/>
        </w:rPr>
        <w:softHyphen/>
        <w:t>ских самолетов, а истребитель</w:t>
      </w:r>
      <w:r w:rsidRPr="00D03F3E">
        <w:rPr>
          <w:rFonts w:ascii="Times New Roman" w:hAnsi="Times New Roman"/>
          <w:color w:val="000000" w:themeColor="text1"/>
          <w:sz w:val="16"/>
          <w:szCs w:val="16"/>
        </w:rPr>
        <w:softHyphen/>
        <w:t>ная авиация была оперативно рассредоточена по небольшим полевым площадкам вблизи своих ос</w:t>
      </w:r>
      <w:r w:rsidRPr="00D03F3E">
        <w:rPr>
          <w:rFonts w:ascii="Times New Roman" w:hAnsi="Times New Roman"/>
          <w:color w:val="000000" w:themeColor="text1"/>
          <w:sz w:val="16"/>
          <w:szCs w:val="16"/>
        </w:rPr>
        <w:softHyphen/>
        <w:t>новных аэродромов. Поэтому при вы</w:t>
      </w:r>
      <w:r w:rsidRPr="00D03F3E">
        <w:rPr>
          <w:rFonts w:ascii="Times New Roman" w:hAnsi="Times New Roman"/>
          <w:color w:val="000000" w:themeColor="text1"/>
          <w:sz w:val="16"/>
          <w:szCs w:val="16"/>
        </w:rPr>
        <w:softHyphen/>
        <w:t>боре времени удара по аэродромам в середине дня с большой вероятнос</w:t>
      </w:r>
      <w:r w:rsidRPr="00D03F3E">
        <w:rPr>
          <w:rFonts w:ascii="Times New Roman" w:hAnsi="Times New Roman"/>
          <w:color w:val="000000" w:themeColor="text1"/>
          <w:sz w:val="16"/>
          <w:szCs w:val="16"/>
        </w:rPr>
        <w:softHyphen/>
        <w:t>тью следовало ожидать серьезное про</w:t>
      </w:r>
      <w:r w:rsidRPr="00D03F3E">
        <w:rPr>
          <w:rFonts w:ascii="Times New Roman" w:hAnsi="Times New Roman"/>
          <w:color w:val="000000" w:themeColor="text1"/>
          <w:sz w:val="16"/>
          <w:szCs w:val="16"/>
        </w:rPr>
        <w:softHyphen/>
        <w:t>тиводействие со стороны противника. Однако мероприятия противника по усилению своей воздушной обороны штаб 16-й воздушной армии обнару</w:t>
      </w:r>
      <w:r w:rsidRPr="00D03F3E">
        <w:rPr>
          <w:rFonts w:ascii="Times New Roman" w:hAnsi="Times New Roman"/>
          <w:color w:val="000000" w:themeColor="text1"/>
          <w:sz w:val="16"/>
          <w:szCs w:val="16"/>
        </w:rPr>
        <w:softHyphen/>
        <w:t>жить не сумел, да и не пытался этого делать - как следует из документов, никакой авиаразведки утром 6 мая с целью вскрытия текущего состояния системы ПВО противника и базирова</w:t>
      </w:r>
      <w:r w:rsidRPr="00D03F3E">
        <w:rPr>
          <w:rFonts w:ascii="Times New Roman" w:hAnsi="Times New Roman"/>
          <w:color w:val="000000" w:themeColor="text1"/>
          <w:sz w:val="16"/>
          <w:szCs w:val="16"/>
        </w:rPr>
        <w:softHyphen/>
        <w:t>ния его авиации не проводилось.</w:t>
      </w:r>
    </w:p>
    <w:p w14:paraId="604E0F4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планирование воздушной операции штабными офицерами про</w:t>
      </w:r>
      <w:r w:rsidRPr="00D03F3E">
        <w:rPr>
          <w:rFonts w:ascii="Times New Roman" w:hAnsi="Times New Roman"/>
          <w:color w:val="000000" w:themeColor="text1"/>
          <w:sz w:val="16"/>
          <w:szCs w:val="16"/>
        </w:rPr>
        <w:softHyphen/>
        <w:t>водилось на основе устаревших дан</w:t>
      </w:r>
      <w:r w:rsidRPr="00D03F3E">
        <w:rPr>
          <w:rFonts w:ascii="Times New Roman" w:hAnsi="Times New Roman"/>
          <w:color w:val="000000" w:themeColor="text1"/>
          <w:sz w:val="16"/>
          <w:szCs w:val="16"/>
        </w:rPr>
        <w:softHyphen/>
        <w:t>ных. Как следствие, истребительный эскорт ударных групп оказался мало</w:t>
      </w:r>
      <w:r w:rsidRPr="00D03F3E">
        <w:rPr>
          <w:rFonts w:ascii="Times New Roman" w:hAnsi="Times New Roman"/>
          <w:color w:val="000000" w:themeColor="text1"/>
          <w:sz w:val="16"/>
          <w:szCs w:val="16"/>
        </w:rPr>
        <w:softHyphen/>
        <w:t>численным для реальных условий боя, а маршруты полетов групп не соот» ветствовали текущей обстановке. В тоже время расчет на то, что истребите</w:t>
      </w:r>
      <w:r w:rsidRPr="00D03F3E">
        <w:rPr>
          <w:rFonts w:ascii="Times New Roman" w:hAnsi="Times New Roman"/>
          <w:color w:val="000000" w:themeColor="text1"/>
          <w:sz w:val="16"/>
          <w:szCs w:val="16"/>
        </w:rPr>
        <w:softHyphen/>
        <w:t>ли обеспечения сумеют надежно бло</w:t>
      </w:r>
      <w:r w:rsidRPr="00D03F3E">
        <w:rPr>
          <w:rFonts w:ascii="Times New Roman" w:hAnsi="Times New Roman"/>
          <w:color w:val="000000" w:themeColor="text1"/>
          <w:sz w:val="16"/>
          <w:szCs w:val="16"/>
        </w:rPr>
        <w:softHyphen/>
        <w:t>кировать немецкие истребители на аэродромах базирования и отсечь их от маршрутов возвращения наших самолетов, оказался ошибочным. Не были выделены в достаточном количе</w:t>
      </w:r>
      <w:r w:rsidRPr="00D03F3E">
        <w:rPr>
          <w:rFonts w:ascii="Times New Roman" w:hAnsi="Times New Roman"/>
          <w:color w:val="000000" w:themeColor="text1"/>
          <w:sz w:val="16"/>
          <w:szCs w:val="16"/>
        </w:rPr>
        <w:softHyphen/>
        <w:t>стве и специальные ударные силы для подавления зенитных точек аэродромов и на маршруте следования к цели. Другими словами, разработанный план имел все шансы на успех лишь в случае, когда налет для противника был неожиданным. Для иных условий про</w:t>
      </w:r>
      <w:r w:rsidRPr="00D03F3E">
        <w:rPr>
          <w:rFonts w:ascii="Times New Roman" w:hAnsi="Times New Roman"/>
          <w:color w:val="000000" w:themeColor="text1"/>
          <w:sz w:val="16"/>
          <w:szCs w:val="16"/>
        </w:rPr>
        <w:softHyphen/>
        <w:t>ведения удара требовался и другой план действий.</w:t>
      </w:r>
    </w:p>
    <w:p w14:paraId="2DAD433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сожалению, как по</w:t>
      </w:r>
      <w:r w:rsidRPr="00D03F3E">
        <w:rPr>
          <w:rFonts w:ascii="Times New Roman" w:hAnsi="Times New Roman"/>
          <w:color w:val="000000" w:themeColor="text1"/>
          <w:sz w:val="16"/>
          <w:szCs w:val="16"/>
        </w:rPr>
        <w:softHyphen/>
        <w:t>казали события 6 мая, все оказалось именно так. Налет прошел далеко не по плану, и больших потерь избежать не удалось. Из-за неточного выхода бомбарди</w:t>
      </w:r>
      <w:r w:rsidRPr="00D03F3E">
        <w:rPr>
          <w:rFonts w:ascii="Times New Roman" w:hAnsi="Times New Roman"/>
          <w:color w:val="000000" w:themeColor="text1"/>
          <w:sz w:val="16"/>
          <w:szCs w:val="16"/>
        </w:rPr>
        <w:softHyphen/>
        <w:t>ровщиков на встречу с истребителями прикрытия и не соблюдения ими гра</w:t>
      </w:r>
      <w:r w:rsidRPr="00D03F3E">
        <w:rPr>
          <w:rFonts w:ascii="Times New Roman" w:hAnsi="Times New Roman"/>
          <w:color w:val="000000" w:themeColor="text1"/>
          <w:sz w:val="16"/>
          <w:szCs w:val="16"/>
        </w:rPr>
        <w:softHyphen/>
        <w:t>фика полета на маршруте, одновре</w:t>
      </w:r>
      <w:r w:rsidRPr="00D03F3E">
        <w:rPr>
          <w:rFonts w:ascii="Times New Roman" w:hAnsi="Times New Roman"/>
          <w:color w:val="000000" w:themeColor="text1"/>
          <w:sz w:val="16"/>
          <w:szCs w:val="16"/>
        </w:rPr>
        <w:softHyphen/>
        <w:t>менного бомбового удара по немец</w:t>
      </w:r>
      <w:r w:rsidRPr="00D03F3E">
        <w:rPr>
          <w:rFonts w:ascii="Times New Roman" w:hAnsi="Times New Roman"/>
          <w:color w:val="000000" w:themeColor="text1"/>
          <w:sz w:val="16"/>
          <w:szCs w:val="16"/>
        </w:rPr>
        <w:softHyphen/>
        <w:t>ким аэродромам не получилось. Груп</w:t>
      </w:r>
      <w:r w:rsidRPr="00D03F3E">
        <w:rPr>
          <w:rFonts w:ascii="Times New Roman" w:hAnsi="Times New Roman"/>
          <w:color w:val="000000" w:themeColor="text1"/>
          <w:sz w:val="16"/>
          <w:szCs w:val="16"/>
        </w:rPr>
        <w:softHyphen/>
        <w:t>пы Пе-2 выходили на свои цели после</w:t>
      </w:r>
      <w:r w:rsidRPr="00D03F3E">
        <w:rPr>
          <w:rFonts w:ascii="Times New Roman" w:hAnsi="Times New Roman"/>
          <w:color w:val="000000" w:themeColor="text1"/>
          <w:sz w:val="16"/>
          <w:szCs w:val="16"/>
        </w:rPr>
        <w:softHyphen/>
        <w:t>довательно с интервалом 6-7 минут. Это позволило противнику поднять в воздух свои истребители. Как следует из документов, только первая группа Пе-2, которая бомбила аэродром Орел-ГВФ в 14.20, не была атакова</w:t>
      </w:r>
      <w:r w:rsidRPr="00D03F3E">
        <w:rPr>
          <w:rFonts w:ascii="Times New Roman" w:hAnsi="Times New Roman"/>
          <w:color w:val="000000" w:themeColor="text1"/>
          <w:sz w:val="16"/>
          <w:szCs w:val="16"/>
        </w:rPr>
        <w:softHyphen/>
        <w:t>на истребителями люфтваффе, тогда как "все остальные группы бомбарди</w:t>
      </w:r>
      <w:r w:rsidRPr="00D03F3E">
        <w:rPr>
          <w:rFonts w:ascii="Times New Roman" w:hAnsi="Times New Roman"/>
          <w:color w:val="000000" w:themeColor="text1"/>
          <w:sz w:val="16"/>
          <w:szCs w:val="16"/>
        </w:rPr>
        <w:softHyphen/>
        <w:t>ровщиков и штурмовиков были встре</w:t>
      </w:r>
      <w:r w:rsidRPr="00D03F3E">
        <w:rPr>
          <w:rFonts w:ascii="Times New Roman" w:hAnsi="Times New Roman"/>
          <w:color w:val="000000" w:themeColor="text1"/>
          <w:sz w:val="16"/>
          <w:szCs w:val="16"/>
        </w:rPr>
        <w:softHyphen/>
        <w:t>чены истребителями противника до цели и на отходе". Бомбоштурмовой удар по аэродро</w:t>
      </w:r>
      <w:r w:rsidRPr="00D03F3E">
        <w:rPr>
          <w:rFonts w:ascii="Times New Roman" w:hAnsi="Times New Roman"/>
          <w:color w:val="000000" w:themeColor="text1"/>
          <w:sz w:val="16"/>
          <w:szCs w:val="16"/>
        </w:rPr>
        <w:softHyphen/>
        <w:t>му Б.Куликовка наносился двумя группами штурмовиков от 218-го шап в составе 10 и 9 Ил-2. Маршрут полета проходил на высоте 500 м южнее Верховье. Истребители прикрытия от 297-го иап 286-й над в двух группах, по 6 и 7 самолетов Ла-5 каждая, шли выше штурмовиков, занимая позицию со стороны солнца, с таким расчетом, чтобы прикрыть Ил-2 от внезапной атаки противника с этого направле</w:t>
      </w:r>
      <w:r w:rsidRPr="00D03F3E">
        <w:rPr>
          <w:rFonts w:ascii="Times New Roman" w:hAnsi="Times New Roman"/>
          <w:color w:val="000000" w:themeColor="text1"/>
          <w:sz w:val="16"/>
          <w:szCs w:val="16"/>
        </w:rPr>
        <w:softHyphen/>
        <w:t>ния. В качестве воздушного стрелка с ве</w:t>
      </w:r>
      <w:r w:rsidRPr="00D03F3E">
        <w:rPr>
          <w:rFonts w:ascii="Times New Roman" w:hAnsi="Times New Roman"/>
          <w:color w:val="000000" w:themeColor="text1"/>
          <w:sz w:val="16"/>
          <w:szCs w:val="16"/>
        </w:rPr>
        <w:softHyphen/>
        <w:t>дущим первой группы штурманом пол</w:t>
      </w:r>
      <w:r w:rsidRPr="00D03F3E">
        <w:rPr>
          <w:rFonts w:ascii="Times New Roman" w:hAnsi="Times New Roman"/>
          <w:color w:val="000000" w:themeColor="text1"/>
          <w:sz w:val="16"/>
          <w:szCs w:val="16"/>
        </w:rPr>
        <w:softHyphen/>
        <w:t>ка майором Плоховым летел проверя</w:t>
      </w:r>
      <w:r w:rsidRPr="00D03F3E">
        <w:rPr>
          <w:rFonts w:ascii="Times New Roman" w:hAnsi="Times New Roman"/>
          <w:color w:val="000000" w:themeColor="text1"/>
          <w:sz w:val="16"/>
          <w:szCs w:val="16"/>
        </w:rPr>
        <w:softHyphen/>
        <w:t>ющий от управления 299-й шад ста</w:t>
      </w:r>
      <w:r w:rsidRPr="00D03F3E">
        <w:rPr>
          <w:rFonts w:ascii="Times New Roman" w:hAnsi="Times New Roman"/>
          <w:color w:val="000000" w:themeColor="text1"/>
          <w:sz w:val="16"/>
          <w:szCs w:val="16"/>
        </w:rPr>
        <w:softHyphen/>
        <w:t>жер в должности начальника штаба ди</w:t>
      </w:r>
      <w:r w:rsidRPr="00D03F3E">
        <w:rPr>
          <w:rFonts w:ascii="Times New Roman" w:hAnsi="Times New Roman"/>
          <w:color w:val="000000" w:themeColor="text1"/>
          <w:sz w:val="16"/>
          <w:szCs w:val="16"/>
        </w:rPr>
        <w:softHyphen/>
        <w:t>визии полковник Григорьев. Из его до</w:t>
      </w:r>
      <w:r w:rsidRPr="00D03F3E">
        <w:rPr>
          <w:rFonts w:ascii="Times New Roman" w:hAnsi="Times New Roman"/>
          <w:color w:val="000000" w:themeColor="text1"/>
          <w:sz w:val="16"/>
          <w:szCs w:val="16"/>
        </w:rPr>
        <w:softHyphen/>
        <w:t>несения следует, что после пе</w:t>
      </w:r>
      <w:r w:rsidRPr="00D03F3E">
        <w:rPr>
          <w:rFonts w:ascii="Times New Roman" w:hAnsi="Times New Roman"/>
          <w:color w:val="000000" w:themeColor="text1"/>
          <w:sz w:val="16"/>
          <w:szCs w:val="16"/>
        </w:rPr>
        <w:softHyphen/>
        <w:t>релета линии фронта на 4-5 км один Ил-2 из состава груп</w:t>
      </w:r>
      <w:r w:rsidRPr="00D03F3E">
        <w:rPr>
          <w:rFonts w:ascii="Times New Roman" w:hAnsi="Times New Roman"/>
          <w:color w:val="000000" w:themeColor="text1"/>
          <w:sz w:val="16"/>
          <w:szCs w:val="16"/>
        </w:rPr>
        <w:softHyphen/>
        <w:t>пы резко вышел из строя, раз</w:t>
      </w:r>
      <w:r w:rsidRPr="00D03F3E">
        <w:rPr>
          <w:rFonts w:ascii="Times New Roman" w:hAnsi="Times New Roman"/>
          <w:color w:val="000000" w:themeColor="text1"/>
          <w:sz w:val="16"/>
          <w:szCs w:val="16"/>
        </w:rPr>
        <w:softHyphen/>
        <w:t>вернулся на 180° и со сниже</w:t>
      </w:r>
      <w:r w:rsidRPr="00D03F3E">
        <w:rPr>
          <w:rFonts w:ascii="Times New Roman" w:hAnsi="Times New Roman"/>
          <w:color w:val="000000" w:themeColor="text1"/>
          <w:sz w:val="16"/>
          <w:szCs w:val="16"/>
        </w:rPr>
        <w:softHyphen/>
        <w:t>нием пошел на свою террито</w:t>
      </w:r>
      <w:r w:rsidRPr="00D03F3E">
        <w:rPr>
          <w:rFonts w:ascii="Times New Roman" w:hAnsi="Times New Roman"/>
          <w:color w:val="000000" w:themeColor="text1"/>
          <w:sz w:val="16"/>
          <w:szCs w:val="16"/>
        </w:rPr>
        <w:softHyphen/>
        <w:t>рию. За ним последовал вто</w:t>
      </w:r>
      <w:r w:rsidRPr="00D03F3E">
        <w:rPr>
          <w:rFonts w:ascii="Times New Roman" w:hAnsi="Times New Roman"/>
          <w:color w:val="000000" w:themeColor="text1"/>
          <w:sz w:val="16"/>
          <w:szCs w:val="16"/>
        </w:rPr>
        <w:softHyphen/>
        <w:t>рой штурмовик. Не доходя до аэродрома, обе группы Ил-2 были обстре</w:t>
      </w:r>
      <w:r w:rsidRPr="00D03F3E">
        <w:rPr>
          <w:rFonts w:ascii="Times New Roman" w:hAnsi="Times New Roman"/>
          <w:color w:val="000000" w:themeColor="text1"/>
          <w:sz w:val="16"/>
          <w:szCs w:val="16"/>
        </w:rPr>
        <w:softHyphen/>
        <w:t>ляны зенитной артиллерией среднего калибра. В районе цели, примерно в 14.20, пер</w:t>
      </w:r>
      <w:r w:rsidRPr="00D03F3E">
        <w:rPr>
          <w:rFonts w:ascii="Times New Roman" w:hAnsi="Times New Roman"/>
          <w:color w:val="000000" w:themeColor="text1"/>
          <w:sz w:val="16"/>
          <w:szCs w:val="16"/>
        </w:rPr>
        <w:softHyphen/>
        <w:t>вая группа штурмовиков пере</w:t>
      </w:r>
      <w:r w:rsidRPr="00D03F3E">
        <w:rPr>
          <w:rFonts w:ascii="Times New Roman" w:hAnsi="Times New Roman"/>
          <w:color w:val="000000" w:themeColor="text1"/>
          <w:sz w:val="16"/>
          <w:szCs w:val="16"/>
        </w:rPr>
        <w:softHyphen/>
        <w:t>строилась в левый пеленг и пошла в атаку. За ней после</w:t>
      </w:r>
      <w:r w:rsidRPr="00D03F3E">
        <w:rPr>
          <w:rFonts w:ascii="Times New Roman" w:hAnsi="Times New Roman"/>
          <w:color w:val="000000" w:themeColor="text1"/>
          <w:sz w:val="16"/>
          <w:szCs w:val="16"/>
        </w:rPr>
        <w:softHyphen/>
        <w:t>довала вторая группа. С аэро</w:t>
      </w:r>
      <w:r w:rsidRPr="00D03F3E">
        <w:rPr>
          <w:rFonts w:ascii="Times New Roman" w:hAnsi="Times New Roman"/>
          <w:color w:val="000000" w:themeColor="text1"/>
          <w:sz w:val="16"/>
          <w:szCs w:val="16"/>
        </w:rPr>
        <w:softHyphen/>
        <w:t>дрома велся огонь в основном малокалиберной зенитной ар</w:t>
      </w:r>
      <w:r w:rsidRPr="00D03F3E">
        <w:rPr>
          <w:rFonts w:ascii="Times New Roman" w:hAnsi="Times New Roman"/>
          <w:color w:val="000000" w:themeColor="text1"/>
          <w:sz w:val="16"/>
          <w:szCs w:val="16"/>
        </w:rPr>
        <w:softHyphen/>
        <w:t>тиллерии и крупнокалиберных пулеметов. К моменту подхода штурмо</w:t>
      </w:r>
      <w:r w:rsidRPr="00D03F3E">
        <w:rPr>
          <w:rFonts w:ascii="Times New Roman" w:hAnsi="Times New Roman"/>
          <w:color w:val="000000" w:themeColor="text1"/>
          <w:sz w:val="16"/>
          <w:szCs w:val="16"/>
        </w:rPr>
        <w:softHyphen/>
        <w:t>виков к аэродрому на нем на</w:t>
      </w:r>
      <w:r w:rsidRPr="00D03F3E">
        <w:rPr>
          <w:rFonts w:ascii="Times New Roman" w:hAnsi="Times New Roman"/>
          <w:color w:val="000000" w:themeColor="text1"/>
          <w:sz w:val="16"/>
          <w:szCs w:val="16"/>
        </w:rPr>
        <w:softHyphen/>
        <w:t>ходилось не более 30 самоле</w:t>
      </w:r>
      <w:r w:rsidRPr="00D03F3E">
        <w:rPr>
          <w:rFonts w:ascii="Times New Roman" w:hAnsi="Times New Roman"/>
          <w:color w:val="000000" w:themeColor="text1"/>
          <w:sz w:val="16"/>
          <w:szCs w:val="16"/>
        </w:rPr>
        <w:softHyphen/>
        <w:t>тов различного типа. Обе группы Ил-2 выполни</w:t>
      </w:r>
      <w:r w:rsidRPr="00D03F3E">
        <w:rPr>
          <w:rFonts w:ascii="Times New Roman" w:hAnsi="Times New Roman"/>
          <w:color w:val="000000" w:themeColor="text1"/>
          <w:sz w:val="16"/>
          <w:szCs w:val="16"/>
        </w:rPr>
        <w:softHyphen/>
        <w:t>ли по одному заходу. На выхо</w:t>
      </w:r>
      <w:r w:rsidRPr="00D03F3E">
        <w:rPr>
          <w:rFonts w:ascii="Times New Roman" w:hAnsi="Times New Roman"/>
          <w:color w:val="000000" w:themeColor="text1"/>
          <w:sz w:val="16"/>
          <w:szCs w:val="16"/>
        </w:rPr>
        <w:softHyphen/>
        <w:t>де из атаки строй штурмови</w:t>
      </w:r>
      <w:r w:rsidRPr="00D03F3E">
        <w:rPr>
          <w:rFonts w:ascii="Times New Roman" w:hAnsi="Times New Roman"/>
          <w:color w:val="000000" w:themeColor="text1"/>
          <w:sz w:val="16"/>
          <w:szCs w:val="16"/>
        </w:rPr>
        <w:softHyphen/>
        <w:t>ков нарушился, группы растя</w:t>
      </w:r>
      <w:r w:rsidRPr="00D03F3E">
        <w:rPr>
          <w:rFonts w:ascii="Times New Roman" w:hAnsi="Times New Roman"/>
          <w:color w:val="000000" w:themeColor="text1"/>
          <w:sz w:val="16"/>
          <w:szCs w:val="16"/>
        </w:rPr>
        <w:softHyphen/>
        <w:t>нулись: ведущие ушли вперед, а ведомые - отстали. Ведущим групп пришлось сбавить газ и дать возможность ведомым под</w:t>
      </w:r>
      <w:r w:rsidRPr="00D03F3E">
        <w:rPr>
          <w:rFonts w:ascii="Times New Roman" w:hAnsi="Times New Roman"/>
          <w:color w:val="000000" w:themeColor="text1"/>
          <w:sz w:val="16"/>
          <w:szCs w:val="16"/>
        </w:rPr>
        <w:softHyphen/>
        <w:t>тянуться. В этот момент около 6-8 немецких истребителей ру/190 и Вт109 пытались атаковать штурмови</w:t>
      </w:r>
      <w:r w:rsidRPr="00D03F3E">
        <w:rPr>
          <w:rFonts w:ascii="Times New Roman" w:hAnsi="Times New Roman"/>
          <w:color w:val="000000" w:themeColor="text1"/>
          <w:sz w:val="16"/>
          <w:szCs w:val="16"/>
        </w:rPr>
        <w:softHyphen/>
        <w:t>ки, но были вовремя перехвачены ис</w:t>
      </w:r>
      <w:r w:rsidRPr="00D03F3E">
        <w:rPr>
          <w:rFonts w:ascii="Times New Roman" w:hAnsi="Times New Roman"/>
          <w:color w:val="000000" w:themeColor="text1"/>
          <w:sz w:val="16"/>
          <w:szCs w:val="16"/>
        </w:rPr>
        <w:softHyphen/>
        <w:t>требителями сопровождения. Это дало возможность штурмовикам собраться в компактные группы и организованно продолжить полет к линии фронта. На обратном маршруте штурмови</w:t>
      </w:r>
      <w:r w:rsidRPr="00D03F3E">
        <w:rPr>
          <w:rFonts w:ascii="Times New Roman" w:hAnsi="Times New Roman"/>
          <w:color w:val="000000" w:themeColor="text1"/>
          <w:sz w:val="16"/>
          <w:szCs w:val="16"/>
        </w:rPr>
        <w:softHyphen/>
        <w:t>ки сопровождались всего одним-двумя Ла-5, так как остальные вели воздуш</w:t>
      </w:r>
      <w:r w:rsidRPr="00D03F3E">
        <w:rPr>
          <w:rFonts w:ascii="Times New Roman" w:hAnsi="Times New Roman"/>
          <w:color w:val="000000" w:themeColor="text1"/>
          <w:sz w:val="16"/>
          <w:szCs w:val="16"/>
        </w:rPr>
        <w:softHyphen/>
        <w:t>ный бой с истребителями люфтваффе. Своих истребителей на рубеже отсе</w:t>
      </w:r>
      <w:r w:rsidRPr="00D03F3E">
        <w:rPr>
          <w:rFonts w:ascii="Times New Roman" w:hAnsi="Times New Roman"/>
          <w:color w:val="000000" w:themeColor="text1"/>
          <w:sz w:val="16"/>
          <w:szCs w:val="16"/>
        </w:rPr>
        <w:softHyphen/>
        <w:t>чения, как это требовалось по плану, никто из экипажей штурмовиков не видел, хотя ни один из них точно не мог поручиться, что группы перелета</w:t>
      </w:r>
      <w:r w:rsidRPr="00D03F3E">
        <w:rPr>
          <w:rFonts w:ascii="Times New Roman" w:hAnsi="Times New Roman"/>
          <w:color w:val="000000" w:themeColor="text1"/>
          <w:sz w:val="16"/>
          <w:szCs w:val="16"/>
        </w:rPr>
        <w:softHyphen/>
        <w:t>ли линию фронта в указанном райо</w:t>
      </w:r>
      <w:r w:rsidRPr="00D03F3E">
        <w:rPr>
          <w:rFonts w:ascii="Times New Roman" w:hAnsi="Times New Roman"/>
          <w:color w:val="000000" w:themeColor="text1"/>
          <w:sz w:val="16"/>
          <w:szCs w:val="16"/>
        </w:rPr>
        <w:softHyphen/>
        <w:t>не. Пятерка "лавочкиных" из группы прикрытия догнала штурмовиков лишь на подлете к линии фронта. По докладам экипажей штурмови</w:t>
      </w:r>
      <w:r w:rsidRPr="00D03F3E">
        <w:rPr>
          <w:rFonts w:ascii="Times New Roman" w:hAnsi="Times New Roman"/>
          <w:color w:val="000000" w:themeColor="text1"/>
          <w:sz w:val="16"/>
          <w:szCs w:val="16"/>
        </w:rPr>
        <w:softHyphen/>
        <w:t>ков вся площадь аэродрома была по</w:t>
      </w:r>
      <w:r w:rsidRPr="00D03F3E">
        <w:rPr>
          <w:rFonts w:ascii="Times New Roman" w:hAnsi="Times New Roman"/>
          <w:color w:val="000000" w:themeColor="text1"/>
          <w:sz w:val="16"/>
          <w:szCs w:val="16"/>
        </w:rPr>
        <w:softHyphen/>
        <w:t>крыта взрывами осколочных бомб, наблюдалось до 10-15 очагов пожаров. Сброшенные одним из замыкающих экипажей первой группы ФАБ-100 упа</w:t>
      </w:r>
      <w:r w:rsidRPr="00D03F3E">
        <w:rPr>
          <w:rFonts w:ascii="Times New Roman" w:hAnsi="Times New Roman"/>
          <w:color w:val="000000" w:themeColor="text1"/>
          <w:sz w:val="16"/>
          <w:szCs w:val="16"/>
        </w:rPr>
        <w:softHyphen/>
        <w:t>ли на центр летного поля. Согласно официальным данным шта</w:t>
      </w:r>
      <w:r w:rsidRPr="00D03F3E">
        <w:rPr>
          <w:rFonts w:ascii="Times New Roman" w:hAnsi="Times New Roman"/>
          <w:color w:val="000000" w:themeColor="text1"/>
          <w:sz w:val="16"/>
          <w:szCs w:val="16"/>
        </w:rPr>
        <w:softHyphen/>
        <w:t>ба 299-й шад на аэродроме Б.Кули-ковка было уничтожено и повреждено до 15 самолетов, два бензозаправщи</w:t>
      </w:r>
      <w:r w:rsidRPr="00D03F3E">
        <w:rPr>
          <w:rFonts w:ascii="Times New Roman" w:hAnsi="Times New Roman"/>
          <w:color w:val="000000" w:themeColor="text1"/>
          <w:sz w:val="16"/>
          <w:szCs w:val="16"/>
        </w:rPr>
        <w:softHyphen/>
        <w:t>ка, подавлен огонь двух зенитных пу</w:t>
      </w:r>
      <w:r w:rsidRPr="00D03F3E">
        <w:rPr>
          <w:rFonts w:ascii="Times New Roman" w:hAnsi="Times New Roman"/>
          <w:color w:val="000000" w:themeColor="text1"/>
          <w:sz w:val="16"/>
          <w:szCs w:val="16"/>
        </w:rPr>
        <w:softHyphen/>
        <w:t>леметных точек, и на ст. Стишь разби</w:t>
      </w:r>
      <w:r w:rsidRPr="00D03F3E">
        <w:rPr>
          <w:rFonts w:ascii="Times New Roman" w:hAnsi="Times New Roman"/>
          <w:color w:val="000000" w:themeColor="text1"/>
          <w:sz w:val="16"/>
          <w:szCs w:val="16"/>
        </w:rPr>
        <w:softHyphen/>
        <w:t>ты два вагона с грузами. По не установленным причинам из боевого вылета не вернулся л-т Дани</w:t>
      </w:r>
      <w:r w:rsidRPr="00D03F3E">
        <w:rPr>
          <w:rFonts w:ascii="Times New Roman" w:hAnsi="Times New Roman"/>
          <w:color w:val="000000" w:themeColor="text1"/>
          <w:sz w:val="16"/>
          <w:szCs w:val="16"/>
        </w:rPr>
        <w:softHyphen/>
        <w:t>лов (воздушный стрелок л-т Пронин). Младший лейтенант Ромашев (воздуш</w:t>
      </w:r>
      <w:r w:rsidRPr="00D03F3E">
        <w:rPr>
          <w:rFonts w:ascii="Times New Roman" w:hAnsi="Times New Roman"/>
          <w:color w:val="000000" w:themeColor="text1"/>
          <w:sz w:val="16"/>
          <w:szCs w:val="16"/>
        </w:rPr>
        <w:softHyphen/>
        <w:t>ный стрелок сержант Герасименко) был подбит в результате внезапной атаки истребителя люфтваффе, перетянул 400 м за линию фронта и сел на вы</w:t>
      </w:r>
      <w:r w:rsidRPr="00D03F3E">
        <w:rPr>
          <w:rFonts w:ascii="Times New Roman" w:hAnsi="Times New Roman"/>
          <w:color w:val="000000" w:themeColor="text1"/>
          <w:sz w:val="16"/>
          <w:szCs w:val="16"/>
        </w:rPr>
        <w:softHyphen/>
        <w:t>нужденную в расположении наших частей. Самолет при посадке был раз</w:t>
      </w:r>
      <w:r w:rsidRPr="00D03F3E">
        <w:rPr>
          <w:rFonts w:ascii="Times New Roman" w:hAnsi="Times New Roman"/>
          <w:color w:val="000000" w:themeColor="text1"/>
          <w:sz w:val="16"/>
          <w:szCs w:val="16"/>
        </w:rPr>
        <w:softHyphen/>
        <w:t>бит и восстановлению не подлежал. Летчик и воздушный стрелок 8 мая вер</w:t>
      </w:r>
      <w:r w:rsidRPr="00D03F3E">
        <w:rPr>
          <w:rFonts w:ascii="Times New Roman" w:hAnsi="Times New Roman"/>
          <w:color w:val="000000" w:themeColor="text1"/>
          <w:sz w:val="16"/>
          <w:szCs w:val="16"/>
        </w:rPr>
        <w:softHyphen/>
        <w:t>нулись в свой полк. В районе цели огнем зенитной ар</w:t>
      </w:r>
      <w:r w:rsidRPr="00D03F3E">
        <w:rPr>
          <w:rFonts w:ascii="Times New Roman" w:hAnsi="Times New Roman"/>
          <w:color w:val="000000" w:themeColor="text1"/>
          <w:sz w:val="16"/>
          <w:szCs w:val="16"/>
        </w:rPr>
        <w:softHyphen/>
        <w:t>тиллерии был подбит сержант Коше-лев, который все же сумел дотянуть до своего аэродрома. Однако при посад</w:t>
      </w:r>
      <w:r w:rsidRPr="00D03F3E">
        <w:rPr>
          <w:rFonts w:ascii="Times New Roman" w:hAnsi="Times New Roman"/>
          <w:color w:val="000000" w:themeColor="text1"/>
          <w:sz w:val="16"/>
          <w:szCs w:val="16"/>
        </w:rPr>
        <w:softHyphen/>
        <w:t>ке летчик не справился с управлени</w:t>
      </w:r>
      <w:r w:rsidRPr="00D03F3E">
        <w:rPr>
          <w:rFonts w:ascii="Times New Roman" w:hAnsi="Times New Roman"/>
          <w:color w:val="000000" w:themeColor="text1"/>
          <w:sz w:val="16"/>
          <w:szCs w:val="16"/>
        </w:rPr>
        <w:softHyphen/>
        <w:t>ем, "сел вне полосы и врезался в ка</w:t>
      </w:r>
      <w:r w:rsidRPr="00D03F3E">
        <w:rPr>
          <w:rFonts w:ascii="Times New Roman" w:hAnsi="Times New Roman"/>
          <w:color w:val="000000" w:themeColor="text1"/>
          <w:sz w:val="16"/>
          <w:szCs w:val="16"/>
        </w:rPr>
        <w:softHyphen/>
        <w:t>понир". Сам Кошелев не пострадал, но самолет был разбит и требовал ремонта в стационарных мастерских. Как оказалось, осколок зенитного сна</w:t>
      </w:r>
      <w:r w:rsidRPr="00D03F3E">
        <w:rPr>
          <w:rFonts w:ascii="Times New Roman" w:hAnsi="Times New Roman"/>
          <w:color w:val="000000" w:themeColor="text1"/>
          <w:sz w:val="16"/>
          <w:szCs w:val="16"/>
        </w:rPr>
        <w:softHyphen/>
        <w:t>ряда пробил маслобак и вытекающим из него "маслом забило кабину и лицо летчика..." Воздушный бой истребителей сопро</w:t>
      </w:r>
      <w:r w:rsidRPr="00D03F3E">
        <w:rPr>
          <w:rFonts w:ascii="Times New Roman" w:hAnsi="Times New Roman"/>
          <w:color w:val="000000" w:themeColor="text1"/>
          <w:sz w:val="16"/>
          <w:szCs w:val="16"/>
        </w:rPr>
        <w:softHyphen/>
        <w:t>вождения завершился в пользу пило</w:t>
      </w:r>
      <w:r w:rsidRPr="00D03F3E">
        <w:rPr>
          <w:rFonts w:ascii="Times New Roman" w:hAnsi="Times New Roman"/>
          <w:color w:val="000000" w:themeColor="text1"/>
          <w:sz w:val="16"/>
          <w:szCs w:val="16"/>
        </w:rPr>
        <w:softHyphen/>
        <w:t>тов люфтваффе. С советской стороны на свой аэродром не вернулось три Ла-5: один был сбит и два подбиты (сели на вынужденные посадки). С бо</w:t>
      </w:r>
      <w:r w:rsidRPr="00D03F3E">
        <w:rPr>
          <w:rFonts w:ascii="Times New Roman" w:hAnsi="Times New Roman"/>
          <w:color w:val="000000" w:themeColor="text1"/>
          <w:sz w:val="16"/>
          <w:szCs w:val="16"/>
        </w:rPr>
        <w:softHyphen/>
        <w:t>евого задания не вернулся мл. л-т Н. П. Карчевский. Потери немецкой сто</w:t>
      </w:r>
      <w:r w:rsidRPr="00D03F3E">
        <w:rPr>
          <w:rFonts w:ascii="Times New Roman" w:hAnsi="Times New Roman"/>
          <w:color w:val="000000" w:themeColor="text1"/>
          <w:sz w:val="16"/>
          <w:szCs w:val="16"/>
        </w:rPr>
        <w:softHyphen/>
        <w:t>роны составили два "фокке-вульфа" сбитыми. Отличились командиры эскад</w:t>
      </w:r>
      <w:r w:rsidRPr="00D03F3E">
        <w:rPr>
          <w:rFonts w:ascii="Times New Roman" w:hAnsi="Times New Roman"/>
          <w:color w:val="000000" w:themeColor="text1"/>
          <w:sz w:val="16"/>
          <w:szCs w:val="16"/>
        </w:rPr>
        <w:softHyphen/>
        <w:t>рилий к-н С. А. Матвиенко и к-н С. И. Корольков. Первый сбил немецкий ис</w:t>
      </w:r>
      <w:r w:rsidRPr="00D03F3E">
        <w:rPr>
          <w:rFonts w:ascii="Times New Roman" w:hAnsi="Times New Roman"/>
          <w:color w:val="000000" w:themeColor="text1"/>
          <w:sz w:val="16"/>
          <w:szCs w:val="16"/>
        </w:rPr>
        <w:softHyphen/>
        <w:t>требитель в 14.35 в районе Б.Куликов-ка, а второй - зажег ру/190 двумя ми</w:t>
      </w:r>
      <w:r w:rsidRPr="00D03F3E">
        <w:rPr>
          <w:rFonts w:ascii="Times New Roman" w:hAnsi="Times New Roman"/>
          <w:color w:val="000000" w:themeColor="text1"/>
          <w:sz w:val="16"/>
          <w:szCs w:val="16"/>
        </w:rPr>
        <w:softHyphen/>
        <w:t>нутами позже в районе ст. Золотаре-во. Оба немецких самолета упали в районе боя. Как указывал начальник штаба 286-й над п-к Фельдшеров, "...о сбитых истребителях подтверждают штурмовики 218 шап". Трагично завершился удар советс</w:t>
      </w:r>
      <w:r w:rsidRPr="00D03F3E">
        <w:rPr>
          <w:rFonts w:ascii="Times New Roman" w:hAnsi="Times New Roman"/>
          <w:color w:val="000000" w:themeColor="text1"/>
          <w:sz w:val="16"/>
          <w:szCs w:val="16"/>
        </w:rPr>
        <w:softHyphen/>
        <w:t>ких летчиков по аэродрому Орел-ГВФ. Из вылетавших на боевое задание 16 Ил-2 (2 группы по 8 самолетов) от 41-го шап на свой аэродром вернулся толь</w:t>
      </w:r>
      <w:r w:rsidRPr="00D03F3E">
        <w:rPr>
          <w:rFonts w:ascii="Times New Roman" w:hAnsi="Times New Roman"/>
          <w:color w:val="000000" w:themeColor="text1"/>
          <w:sz w:val="16"/>
          <w:szCs w:val="16"/>
        </w:rPr>
        <w:softHyphen/>
        <w:t>ко один экипаж - ведущий первой груп</w:t>
      </w:r>
      <w:r w:rsidRPr="00D03F3E">
        <w:rPr>
          <w:rFonts w:ascii="Times New Roman" w:hAnsi="Times New Roman"/>
          <w:color w:val="000000" w:themeColor="text1"/>
          <w:sz w:val="16"/>
          <w:szCs w:val="16"/>
        </w:rPr>
        <w:softHyphen/>
        <w:t>пы к-н Федоров с воздушным стрел</w:t>
      </w:r>
      <w:r w:rsidRPr="00D03F3E">
        <w:rPr>
          <w:rFonts w:ascii="Times New Roman" w:hAnsi="Times New Roman"/>
          <w:color w:val="000000" w:themeColor="text1"/>
          <w:sz w:val="16"/>
          <w:szCs w:val="16"/>
        </w:rPr>
        <w:softHyphen/>
        <w:t>ком сержантом Исаевым. Их Ил-2 (зав. № 1879446) имел многочисленные пробоины от пулеметно-пушечного огня истребителей противника, в результа</w:t>
      </w:r>
      <w:r w:rsidRPr="00D03F3E">
        <w:rPr>
          <w:rFonts w:ascii="Times New Roman" w:hAnsi="Times New Roman"/>
          <w:color w:val="000000" w:themeColor="text1"/>
          <w:sz w:val="16"/>
          <w:szCs w:val="16"/>
        </w:rPr>
        <w:softHyphen/>
        <w:t>те прямого попадания пушечного сна</w:t>
      </w:r>
      <w:r w:rsidRPr="00D03F3E">
        <w:rPr>
          <w:rFonts w:ascii="Times New Roman" w:hAnsi="Times New Roman"/>
          <w:color w:val="000000" w:themeColor="text1"/>
          <w:sz w:val="16"/>
          <w:szCs w:val="16"/>
        </w:rPr>
        <w:softHyphen/>
        <w:t>ряда пулемет УБТ воздушного стрелка был разбит, а сами воины тяжело ра</w:t>
      </w:r>
      <w:r w:rsidRPr="00D03F3E">
        <w:rPr>
          <w:rFonts w:ascii="Times New Roman" w:hAnsi="Times New Roman"/>
          <w:color w:val="000000" w:themeColor="text1"/>
          <w:sz w:val="16"/>
          <w:szCs w:val="16"/>
        </w:rPr>
        <w:softHyphen/>
        <w:t>нены. Розыск пропавших позволил устано</w:t>
      </w:r>
      <w:r w:rsidRPr="00D03F3E">
        <w:rPr>
          <w:rFonts w:ascii="Times New Roman" w:hAnsi="Times New Roman"/>
          <w:color w:val="000000" w:themeColor="text1"/>
          <w:sz w:val="16"/>
          <w:szCs w:val="16"/>
        </w:rPr>
        <w:softHyphen/>
        <w:t>вить, что мл. л-т Голубев (воздушный стрелок Плаксин) сел на вынужденную в районе Замощенский Луг, не дотя</w:t>
      </w:r>
      <w:r w:rsidRPr="00D03F3E">
        <w:rPr>
          <w:rFonts w:ascii="Times New Roman" w:hAnsi="Times New Roman"/>
          <w:color w:val="000000" w:themeColor="text1"/>
          <w:sz w:val="16"/>
          <w:szCs w:val="16"/>
        </w:rPr>
        <w:softHyphen/>
        <w:t>нув до наших траншей 400 м. Сразу же после посадки Ил-2 немцы открыли сильный артиллерийско-минометный и пулеметный огонь. Голубеву удалось добраться до траншей нашей пехоты и в дальнейшем вернуться в свою часть. Воздушный стрелок Плаксин пропал. Куда он делся, установить не удалось. Ведущий второй восьмерки ст. л-т Малыгин произвел вынужденную посад</w:t>
      </w:r>
      <w:r w:rsidRPr="00D03F3E">
        <w:rPr>
          <w:rFonts w:ascii="Times New Roman" w:hAnsi="Times New Roman"/>
          <w:color w:val="000000" w:themeColor="text1"/>
          <w:sz w:val="16"/>
          <w:szCs w:val="16"/>
        </w:rPr>
        <w:softHyphen/>
        <w:t>ку в районе Новосиль. Самолет ока</w:t>
      </w:r>
      <w:r w:rsidRPr="00D03F3E">
        <w:rPr>
          <w:rFonts w:ascii="Times New Roman" w:hAnsi="Times New Roman"/>
          <w:color w:val="000000" w:themeColor="text1"/>
          <w:sz w:val="16"/>
          <w:szCs w:val="16"/>
        </w:rPr>
        <w:softHyphen/>
        <w:t>зался полностью разбитым и восста</w:t>
      </w:r>
      <w:r w:rsidRPr="00D03F3E">
        <w:rPr>
          <w:rFonts w:ascii="Times New Roman" w:hAnsi="Times New Roman"/>
          <w:color w:val="000000" w:themeColor="text1"/>
          <w:sz w:val="16"/>
          <w:szCs w:val="16"/>
        </w:rPr>
        <w:softHyphen/>
        <w:t>новлению не подлежал. Малыгин был ранен и направлен в госпиталь. Воз</w:t>
      </w:r>
      <w:r w:rsidRPr="00D03F3E">
        <w:rPr>
          <w:rFonts w:ascii="Times New Roman" w:hAnsi="Times New Roman"/>
          <w:color w:val="000000" w:themeColor="text1"/>
          <w:sz w:val="16"/>
          <w:szCs w:val="16"/>
        </w:rPr>
        <w:softHyphen/>
        <w:t>душный стрелок Соломин погиб, похо</w:t>
      </w:r>
      <w:r w:rsidRPr="00D03F3E">
        <w:rPr>
          <w:rFonts w:ascii="Times New Roman" w:hAnsi="Times New Roman"/>
          <w:color w:val="000000" w:themeColor="text1"/>
          <w:sz w:val="16"/>
          <w:szCs w:val="16"/>
        </w:rPr>
        <w:softHyphen/>
        <w:t>ронен на месте посадки самолета. С боевого задания не вернулись: л-т Хурсан, л-т Е. Кузнецов, л-т Глушков (воздушный стрелок Кобелев), л-т Ки</w:t>
      </w:r>
      <w:r w:rsidRPr="00D03F3E">
        <w:rPr>
          <w:rFonts w:ascii="Times New Roman" w:hAnsi="Times New Roman"/>
          <w:color w:val="000000" w:themeColor="text1"/>
          <w:sz w:val="16"/>
          <w:szCs w:val="16"/>
        </w:rPr>
        <w:softHyphen/>
        <w:t>риллов (воздушный стрелок Кудрявцев), л-т Чурсин (за воздушного стрелка к-н Аверьянов), л-т Баранов, ст. л-т Кальчик (воздушный стрелок Малышев), ст. сержант Шушканников (воздушный стрелок И.Фомина), л-т Носов (воздуш</w:t>
      </w:r>
      <w:r w:rsidRPr="00D03F3E">
        <w:rPr>
          <w:rFonts w:ascii="Times New Roman" w:hAnsi="Times New Roman"/>
          <w:color w:val="000000" w:themeColor="text1"/>
          <w:sz w:val="16"/>
          <w:szCs w:val="16"/>
        </w:rPr>
        <w:softHyphen/>
        <w:t>ный стрелок Капранов), л-т Берзин, л-т Шагин, л-т Б. Кузнецов, л-т Веризуб.</w:t>
      </w:r>
    </w:p>
    <w:p w14:paraId="6AF7FA0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Капитан Федоров доложил, что на подходе к аэродрому Орел-ГВФ в 14.30 группы были обстреляны силь</w:t>
      </w:r>
      <w:r w:rsidRPr="00D03F3E">
        <w:rPr>
          <w:rFonts w:ascii="Times New Roman" w:hAnsi="Times New Roman"/>
          <w:color w:val="000000" w:themeColor="text1"/>
          <w:sz w:val="16"/>
          <w:szCs w:val="16"/>
        </w:rPr>
        <w:softHyphen/>
        <w:t>ным огнем среднекалиберной и мало</w:t>
      </w:r>
      <w:r w:rsidRPr="00D03F3E">
        <w:rPr>
          <w:rFonts w:ascii="Times New Roman" w:hAnsi="Times New Roman"/>
          <w:color w:val="000000" w:themeColor="text1"/>
          <w:sz w:val="16"/>
          <w:szCs w:val="16"/>
        </w:rPr>
        <w:softHyphen/>
        <w:t>калиберной зенитной артиллерии про</w:t>
      </w:r>
      <w:r w:rsidRPr="00D03F3E">
        <w:rPr>
          <w:rFonts w:ascii="Times New Roman" w:hAnsi="Times New Roman"/>
          <w:color w:val="000000" w:themeColor="text1"/>
          <w:sz w:val="16"/>
          <w:szCs w:val="16"/>
        </w:rPr>
        <w:softHyphen/>
        <w:t>тивника, расположенной на окраине города и в районе аэродрома. На выходе из атаки группы растянулись -ведомые, в основном молодые летчи</w:t>
      </w:r>
      <w:r w:rsidRPr="00D03F3E">
        <w:rPr>
          <w:rFonts w:ascii="Times New Roman" w:hAnsi="Times New Roman"/>
          <w:color w:val="000000" w:themeColor="text1"/>
          <w:sz w:val="16"/>
          <w:szCs w:val="16"/>
        </w:rPr>
        <w:softHyphen/>
        <w:t>ки, не смогли удержаться за ведущи</w:t>
      </w:r>
      <w:r w:rsidRPr="00D03F3E">
        <w:rPr>
          <w:rFonts w:ascii="Times New Roman" w:hAnsi="Times New Roman"/>
          <w:color w:val="000000" w:themeColor="text1"/>
          <w:sz w:val="16"/>
          <w:szCs w:val="16"/>
        </w:rPr>
        <w:softHyphen/>
        <w:t>ми. Пока ведущие сбрасывали газ, а ведомые экипажи подтягивались, обе группы были атакованы немецкими ис</w:t>
      </w:r>
      <w:r w:rsidRPr="00D03F3E">
        <w:rPr>
          <w:rFonts w:ascii="Times New Roman" w:hAnsi="Times New Roman"/>
          <w:color w:val="000000" w:themeColor="text1"/>
          <w:sz w:val="16"/>
          <w:szCs w:val="16"/>
        </w:rPr>
        <w:softHyphen/>
        <w:t>требителями. В оборонительный круг штурмовики встать не успели, так как были "расколоты" стремительной ата</w:t>
      </w:r>
      <w:r w:rsidRPr="00D03F3E">
        <w:rPr>
          <w:rFonts w:ascii="Times New Roman" w:hAnsi="Times New Roman"/>
          <w:color w:val="000000" w:themeColor="text1"/>
          <w:sz w:val="16"/>
          <w:szCs w:val="16"/>
        </w:rPr>
        <w:softHyphen/>
        <w:t>кой пилотов люфтваффе. Огневое вза</w:t>
      </w:r>
      <w:r w:rsidRPr="00D03F3E">
        <w:rPr>
          <w:rFonts w:ascii="Times New Roman" w:hAnsi="Times New Roman"/>
          <w:color w:val="000000" w:themeColor="text1"/>
          <w:sz w:val="16"/>
          <w:szCs w:val="16"/>
        </w:rPr>
        <w:softHyphen/>
        <w:t>имодействие между экипажами нару</w:t>
      </w:r>
      <w:r w:rsidRPr="00D03F3E">
        <w:rPr>
          <w:rFonts w:ascii="Times New Roman" w:hAnsi="Times New Roman"/>
          <w:color w:val="000000" w:themeColor="text1"/>
          <w:sz w:val="16"/>
          <w:szCs w:val="16"/>
        </w:rPr>
        <w:softHyphen/>
        <w:t>шилось. Бой велся разрозненно и не</w:t>
      </w:r>
      <w:r w:rsidRPr="00D03F3E">
        <w:rPr>
          <w:rFonts w:ascii="Times New Roman" w:hAnsi="Times New Roman"/>
          <w:color w:val="000000" w:themeColor="text1"/>
          <w:sz w:val="16"/>
          <w:szCs w:val="16"/>
        </w:rPr>
        <w:softHyphen/>
        <w:t>организованно, каждый экипаж отби</w:t>
      </w:r>
      <w:r w:rsidRPr="00D03F3E">
        <w:rPr>
          <w:rFonts w:ascii="Times New Roman" w:hAnsi="Times New Roman"/>
          <w:color w:val="000000" w:themeColor="text1"/>
          <w:sz w:val="16"/>
          <w:szCs w:val="16"/>
        </w:rPr>
        <w:softHyphen/>
        <w:t>вался самостоятельно, кто как мог. Своих истребителей прикрытия в рай</w:t>
      </w:r>
      <w:r w:rsidRPr="00D03F3E">
        <w:rPr>
          <w:rFonts w:ascii="Times New Roman" w:hAnsi="Times New Roman"/>
          <w:color w:val="000000" w:themeColor="text1"/>
          <w:sz w:val="16"/>
          <w:szCs w:val="16"/>
        </w:rPr>
        <w:softHyphen/>
        <w:t>оне боя к-н Федоров не наблюдал. Как показало расследование, истре</w:t>
      </w:r>
      <w:r w:rsidRPr="00D03F3E">
        <w:rPr>
          <w:rFonts w:ascii="Times New Roman" w:hAnsi="Times New Roman"/>
          <w:color w:val="000000" w:themeColor="text1"/>
          <w:sz w:val="16"/>
          <w:szCs w:val="16"/>
        </w:rPr>
        <w:softHyphen/>
        <w:t>бители сопровождения от 896-го иап 286-й над - две группы по 8 Як-1 (ве</w:t>
      </w:r>
      <w:r w:rsidRPr="00D03F3E">
        <w:rPr>
          <w:rFonts w:ascii="Times New Roman" w:hAnsi="Times New Roman"/>
          <w:color w:val="000000" w:themeColor="text1"/>
          <w:sz w:val="16"/>
          <w:szCs w:val="16"/>
        </w:rPr>
        <w:softHyphen/>
        <w:t>дущие к-н Захаров и к-н Галкин), воп</w:t>
      </w:r>
      <w:r w:rsidRPr="00D03F3E">
        <w:rPr>
          <w:rFonts w:ascii="Times New Roman" w:hAnsi="Times New Roman"/>
          <w:color w:val="000000" w:themeColor="text1"/>
          <w:sz w:val="16"/>
          <w:szCs w:val="16"/>
        </w:rPr>
        <w:softHyphen/>
        <w:t>реки инструкции, находились со зна</w:t>
      </w:r>
      <w:r w:rsidRPr="00D03F3E">
        <w:rPr>
          <w:rFonts w:ascii="Times New Roman" w:hAnsi="Times New Roman"/>
          <w:color w:val="000000" w:themeColor="text1"/>
          <w:sz w:val="16"/>
          <w:szCs w:val="16"/>
        </w:rPr>
        <w:softHyphen/>
        <w:t>чительным превышением (на 1000-1200 м) над штурмовиками и сзади на 800 м, а с началом обстрела зенитной артиллерией в районе цели поднялись еще выше. В результате, когда экипа</w:t>
      </w:r>
      <w:r w:rsidRPr="00D03F3E">
        <w:rPr>
          <w:rFonts w:ascii="Times New Roman" w:hAnsi="Times New Roman"/>
          <w:color w:val="000000" w:themeColor="text1"/>
          <w:sz w:val="16"/>
          <w:szCs w:val="16"/>
        </w:rPr>
        <w:softHyphen/>
        <w:t>жи 41-го шап пошли в атаку, истреби</w:t>
      </w:r>
      <w:r w:rsidRPr="00D03F3E">
        <w:rPr>
          <w:rFonts w:ascii="Times New Roman" w:hAnsi="Times New Roman"/>
          <w:color w:val="000000" w:themeColor="text1"/>
          <w:sz w:val="16"/>
          <w:szCs w:val="16"/>
        </w:rPr>
        <w:softHyphen/>
        <w:t>тели потеряли их из виду и найти боль</w:t>
      </w:r>
      <w:r w:rsidRPr="00D03F3E">
        <w:rPr>
          <w:rFonts w:ascii="Times New Roman" w:hAnsi="Times New Roman"/>
          <w:color w:val="000000" w:themeColor="text1"/>
          <w:sz w:val="16"/>
          <w:szCs w:val="16"/>
        </w:rPr>
        <w:softHyphen/>
        <w:t>ше не смогли. Штурмовики над целью и на отходе от цели оказались без прикрытия своими истребителями. Начальник штаба 286-й над п-к Фельдшеров докладывал: "Группа 16 Як-1, сопровождавшая Ил-2, над це</w:t>
      </w:r>
      <w:r w:rsidRPr="00D03F3E">
        <w:rPr>
          <w:rFonts w:ascii="Times New Roman" w:hAnsi="Times New Roman"/>
          <w:color w:val="000000" w:themeColor="text1"/>
          <w:sz w:val="16"/>
          <w:szCs w:val="16"/>
        </w:rPr>
        <w:softHyphen/>
        <w:t>лью была обстреляна сильным огнем ЗА и МЗА и вела воздушный бой с 6 самолетами противника. В результате группа штурмовиков истребителями была потеряна и на аэродром посад</w:t>
      </w:r>
      <w:r w:rsidRPr="00D03F3E">
        <w:rPr>
          <w:rFonts w:ascii="Times New Roman" w:hAnsi="Times New Roman"/>
          <w:color w:val="000000" w:themeColor="text1"/>
          <w:sz w:val="16"/>
          <w:szCs w:val="16"/>
        </w:rPr>
        <w:softHyphen/>
        <w:t>ки в количестве 15 Ил-2 из 299 шад не вернулась. ...Прикрывающие штурмовиков над целью в 14.12 на 1500 м 4 Як-1 вели воздушный бой с группой истребителей противника. В ре</w:t>
      </w:r>
      <w:r w:rsidRPr="00D03F3E">
        <w:rPr>
          <w:rFonts w:ascii="Times New Roman" w:hAnsi="Times New Roman"/>
          <w:color w:val="000000" w:themeColor="text1"/>
          <w:sz w:val="16"/>
          <w:szCs w:val="16"/>
        </w:rPr>
        <w:softHyphen/>
        <w:t>зультате воздушного боя в 14.15 ст. л-т Антонов сбил 1 Ме-109, Вернее сбил 1 Ме-109, который упал горящим в 15 км северо-восточнее аэродрома Орел-ГВФ". Из донесения командира 896-го иап майора Семенко следует, что его под</w:t>
      </w:r>
      <w:r w:rsidRPr="00D03F3E">
        <w:rPr>
          <w:rFonts w:ascii="Times New Roman" w:hAnsi="Times New Roman"/>
          <w:color w:val="000000" w:themeColor="text1"/>
          <w:sz w:val="16"/>
          <w:szCs w:val="16"/>
        </w:rPr>
        <w:softHyphen/>
        <w:t>чиненные на подходе к аэродрому Орел-ГВФ вели воздушный бой с дву</w:t>
      </w:r>
      <w:r w:rsidRPr="00D03F3E">
        <w:rPr>
          <w:rFonts w:ascii="Times New Roman" w:hAnsi="Times New Roman"/>
          <w:color w:val="000000" w:themeColor="text1"/>
          <w:sz w:val="16"/>
          <w:szCs w:val="16"/>
        </w:rPr>
        <w:softHyphen/>
        <w:t>мя ВИ 09 и двумя Фв190. В ходе боя ст. л-т Андронов и мл. л-т Бернев сбили по одному "мессершмитту". После от</w:t>
      </w:r>
      <w:r w:rsidRPr="00D03F3E">
        <w:rPr>
          <w:rFonts w:ascii="Times New Roman" w:hAnsi="Times New Roman"/>
          <w:color w:val="000000" w:themeColor="text1"/>
          <w:sz w:val="16"/>
          <w:szCs w:val="16"/>
        </w:rPr>
        <w:softHyphen/>
        <w:t>ражения атак противника "истребите</w:t>
      </w:r>
      <w:r w:rsidRPr="00D03F3E">
        <w:rPr>
          <w:rFonts w:ascii="Times New Roman" w:hAnsi="Times New Roman"/>
          <w:color w:val="000000" w:themeColor="text1"/>
          <w:sz w:val="16"/>
          <w:szCs w:val="16"/>
        </w:rPr>
        <w:softHyphen/>
        <w:t>ли сопровождали штурмовиков до цели и после первой атаки потеряли ввиду сильного огня зенитной артиллерии". Ни один из летчиков-истребителей из состава прикрывающих групп не смог сказать, куда делись обе группы Ил-2. Истребители наблюдали лишь падение в районе цели двух Ил-2, сби</w:t>
      </w:r>
      <w:r w:rsidRPr="00D03F3E">
        <w:rPr>
          <w:rFonts w:ascii="Times New Roman" w:hAnsi="Times New Roman"/>
          <w:color w:val="000000" w:themeColor="text1"/>
          <w:sz w:val="16"/>
          <w:szCs w:val="16"/>
        </w:rPr>
        <w:softHyphen/>
        <w:t>тых огнем зенитной артиллерии про</w:t>
      </w:r>
      <w:r w:rsidRPr="00D03F3E">
        <w:rPr>
          <w:rFonts w:ascii="Times New Roman" w:hAnsi="Times New Roman"/>
          <w:color w:val="000000" w:themeColor="text1"/>
          <w:sz w:val="16"/>
          <w:szCs w:val="16"/>
        </w:rPr>
        <w:softHyphen/>
        <w:t>тивника, и 3-4 пожара на аэродроме после удара штурмовиков. С боевого задания не вернулся ве</w:t>
      </w:r>
      <w:r w:rsidRPr="00D03F3E">
        <w:rPr>
          <w:rFonts w:ascii="Times New Roman" w:hAnsi="Times New Roman"/>
          <w:color w:val="000000" w:themeColor="text1"/>
          <w:sz w:val="16"/>
          <w:szCs w:val="16"/>
        </w:rPr>
        <w:softHyphen/>
        <w:t>дущий первой группы истребителей к-н Захаров (Як-1 зав. № 48113). Возмож</w:t>
      </w:r>
      <w:r w:rsidRPr="00D03F3E">
        <w:rPr>
          <w:rFonts w:ascii="Times New Roman" w:hAnsi="Times New Roman"/>
          <w:color w:val="000000" w:themeColor="text1"/>
          <w:sz w:val="16"/>
          <w:szCs w:val="16"/>
        </w:rPr>
        <w:softHyphen/>
        <w:t>но, поэтому вина за потерю штурмо</w:t>
      </w:r>
      <w:r w:rsidRPr="00D03F3E">
        <w:rPr>
          <w:rFonts w:ascii="Times New Roman" w:hAnsi="Times New Roman"/>
          <w:color w:val="000000" w:themeColor="text1"/>
          <w:sz w:val="16"/>
          <w:szCs w:val="16"/>
        </w:rPr>
        <w:softHyphen/>
        <w:t>виков была возложена на ведущего второй группы истребителей прикры</w:t>
      </w:r>
      <w:r w:rsidRPr="00D03F3E">
        <w:rPr>
          <w:rFonts w:ascii="Times New Roman" w:hAnsi="Times New Roman"/>
          <w:color w:val="000000" w:themeColor="text1"/>
          <w:sz w:val="16"/>
          <w:szCs w:val="16"/>
        </w:rPr>
        <w:softHyphen/>
        <w:t>тия капитана Галкина. По официальным данным штаба 299-й шад на аэродроме Орел-ГВФ было уничтожено и повреждено 11 самолетов, 15 автомашин и подавлен огонь трех зенитных пулеметных точек. Большие потери понесла и 2-я гвар</w:t>
      </w:r>
      <w:r w:rsidRPr="00D03F3E">
        <w:rPr>
          <w:rFonts w:ascii="Times New Roman" w:hAnsi="Times New Roman"/>
          <w:color w:val="000000" w:themeColor="text1"/>
          <w:sz w:val="16"/>
          <w:szCs w:val="16"/>
        </w:rPr>
        <w:softHyphen/>
        <w:t>дейская штурмовая авиадивизия, эки</w:t>
      </w:r>
      <w:r w:rsidRPr="00D03F3E">
        <w:rPr>
          <w:rFonts w:ascii="Times New Roman" w:hAnsi="Times New Roman"/>
          <w:color w:val="000000" w:themeColor="text1"/>
          <w:sz w:val="16"/>
          <w:szCs w:val="16"/>
        </w:rPr>
        <w:softHyphen/>
        <w:t>пажи которой наносили бомбоштур-мовые удары по аэродромам Орел-Центральный, Кнубрь и Лаврова (Гать). По аэродромам Кнубрь и Лаврова "работали" две группы по 7 Ил-2 от 58-го гшап. Первую группу вел штур</w:t>
      </w:r>
      <w:r w:rsidRPr="00D03F3E">
        <w:rPr>
          <w:rFonts w:ascii="Times New Roman" w:hAnsi="Times New Roman"/>
          <w:color w:val="000000" w:themeColor="text1"/>
          <w:sz w:val="16"/>
          <w:szCs w:val="16"/>
        </w:rPr>
        <w:softHyphen/>
        <w:t>ман полка Герой Советского Союза к-н В.М. Голубев. Следом за ней на удалении 1-2 минуты шла вторая груп</w:t>
      </w:r>
      <w:r w:rsidRPr="00D03F3E">
        <w:rPr>
          <w:rFonts w:ascii="Times New Roman" w:hAnsi="Times New Roman"/>
          <w:color w:val="000000" w:themeColor="text1"/>
          <w:sz w:val="16"/>
          <w:szCs w:val="16"/>
        </w:rPr>
        <w:softHyphen/>
        <w:t>па, которую вел командир полка м-р Е.П. Коваль. Их сопровождали истре</w:t>
      </w:r>
      <w:r w:rsidRPr="00D03F3E">
        <w:rPr>
          <w:rFonts w:ascii="Times New Roman" w:hAnsi="Times New Roman"/>
          <w:color w:val="000000" w:themeColor="text1"/>
          <w:sz w:val="16"/>
          <w:szCs w:val="16"/>
        </w:rPr>
        <w:softHyphen/>
        <w:t xml:space="preserve">бители от 283-й над. Первая группа "Илов" прикрывалась 4 Як-1 от 519-го иап, а вторая - 8 Як-1 от 176-го иап. Еще до перелета линии фронта мл. л-т Королев из состава первой группы штурмовиков совершил вынужденную посадку "по неисправности матчасти" в районе Дурново. Самолет разбит, экипаж </w:t>
      </w:r>
      <w:r w:rsidRPr="00D03F3E">
        <w:rPr>
          <w:rFonts w:ascii="Times New Roman" w:hAnsi="Times New Roman"/>
          <w:color w:val="000000" w:themeColor="text1"/>
          <w:sz w:val="16"/>
          <w:szCs w:val="16"/>
        </w:rPr>
        <w:lastRenderedPageBreak/>
        <w:t>невредим. В районе Ржава на самолете лей</w:t>
      </w:r>
      <w:r w:rsidRPr="00D03F3E">
        <w:rPr>
          <w:rFonts w:ascii="Times New Roman" w:hAnsi="Times New Roman"/>
          <w:color w:val="000000" w:themeColor="text1"/>
          <w:sz w:val="16"/>
          <w:szCs w:val="16"/>
        </w:rPr>
        <w:softHyphen/>
        <w:t>тенанта Лебедева из 176-го иап "по</w:t>
      </w:r>
      <w:r w:rsidRPr="00D03F3E">
        <w:rPr>
          <w:rFonts w:ascii="Times New Roman" w:hAnsi="Times New Roman"/>
          <w:color w:val="000000" w:themeColor="text1"/>
          <w:sz w:val="16"/>
          <w:szCs w:val="16"/>
        </w:rPr>
        <w:softHyphen/>
        <w:t>явилась течь воды", мотор стал "заки</w:t>
      </w:r>
      <w:r w:rsidRPr="00D03F3E">
        <w:rPr>
          <w:rFonts w:ascii="Times New Roman" w:hAnsi="Times New Roman"/>
          <w:color w:val="000000" w:themeColor="text1"/>
          <w:sz w:val="16"/>
          <w:szCs w:val="16"/>
        </w:rPr>
        <w:softHyphen/>
        <w:t>пать". Лебедев вышел из строя и потя</w:t>
      </w:r>
      <w:r w:rsidRPr="00D03F3E">
        <w:rPr>
          <w:rFonts w:ascii="Times New Roman" w:hAnsi="Times New Roman"/>
          <w:color w:val="000000" w:themeColor="text1"/>
          <w:sz w:val="16"/>
          <w:szCs w:val="16"/>
        </w:rPr>
        <w:softHyphen/>
        <w:t>нул на свою территорию. На подходе к цели обе группы штурмови</w:t>
      </w:r>
      <w:r w:rsidRPr="00D03F3E">
        <w:rPr>
          <w:rFonts w:ascii="Times New Roman" w:hAnsi="Times New Roman"/>
          <w:color w:val="000000" w:themeColor="text1"/>
          <w:sz w:val="16"/>
          <w:szCs w:val="16"/>
        </w:rPr>
        <w:softHyphen/>
        <w:t>ков и истребителей были обстреляны силь</w:t>
      </w:r>
      <w:r w:rsidRPr="00D03F3E">
        <w:rPr>
          <w:rFonts w:ascii="Times New Roman" w:hAnsi="Times New Roman"/>
          <w:color w:val="000000" w:themeColor="text1"/>
          <w:sz w:val="16"/>
          <w:szCs w:val="16"/>
        </w:rPr>
        <w:softHyphen/>
        <w:t>ным огнем зенитной ар</w:t>
      </w:r>
      <w:r w:rsidRPr="00D03F3E">
        <w:rPr>
          <w:rFonts w:ascii="Times New Roman" w:hAnsi="Times New Roman"/>
          <w:color w:val="000000" w:themeColor="text1"/>
          <w:sz w:val="16"/>
          <w:szCs w:val="16"/>
        </w:rPr>
        <w:softHyphen/>
        <w:t>тиллерии из районов Троена, Воронец, Кро-мы. В результате само</w:t>
      </w:r>
      <w:r w:rsidRPr="00D03F3E">
        <w:rPr>
          <w:rFonts w:ascii="Times New Roman" w:hAnsi="Times New Roman"/>
          <w:color w:val="000000" w:themeColor="text1"/>
          <w:sz w:val="16"/>
          <w:szCs w:val="16"/>
        </w:rPr>
        <w:softHyphen/>
        <w:t>лет мл. лейтенанта Ба-канова из состава пер</w:t>
      </w:r>
      <w:r w:rsidRPr="00D03F3E">
        <w:rPr>
          <w:rFonts w:ascii="Times New Roman" w:hAnsi="Times New Roman"/>
          <w:color w:val="000000" w:themeColor="text1"/>
          <w:sz w:val="16"/>
          <w:szCs w:val="16"/>
        </w:rPr>
        <w:softHyphen/>
        <w:t>вой группы получил се</w:t>
      </w:r>
      <w:r w:rsidRPr="00D03F3E">
        <w:rPr>
          <w:rFonts w:ascii="Times New Roman" w:hAnsi="Times New Roman"/>
          <w:color w:val="000000" w:themeColor="text1"/>
          <w:sz w:val="16"/>
          <w:szCs w:val="16"/>
        </w:rPr>
        <w:softHyphen/>
        <w:t>рьезные повреждения: "...прямые попадания в правую плоскость, цен</w:t>
      </w:r>
      <w:r w:rsidRPr="00D03F3E">
        <w:rPr>
          <w:rFonts w:ascii="Times New Roman" w:hAnsi="Times New Roman"/>
          <w:color w:val="000000" w:themeColor="text1"/>
          <w:sz w:val="16"/>
          <w:szCs w:val="16"/>
        </w:rPr>
        <w:softHyphen/>
        <w:t>троплан, пробита воз</w:t>
      </w:r>
      <w:r w:rsidRPr="00D03F3E">
        <w:rPr>
          <w:rFonts w:ascii="Times New Roman" w:hAnsi="Times New Roman"/>
          <w:color w:val="000000" w:themeColor="text1"/>
          <w:sz w:val="16"/>
          <w:szCs w:val="16"/>
        </w:rPr>
        <w:softHyphen/>
        <w:t>душная система и вы</w:t>
      </w:r>
      <w:r w:rsidRPr="00D03F3E">
        <w:rPr>
          <w:rFonts w:ascii="Times New Roman" w:hAnsi="Times New Roman"/>
          <w:color w:val="000000" w:themeColor="text1"/>
          <w:sz w:val="16"/>
          <w:szCs w:val="16"/>
        </w:rPr>
        <w:softHyphen/>
        <w:t>бит баллон сжатого воздуха". Штурмовик сорвался в штопор. У самой земли Баканову удалось все же спра</w:t>
      </w:r>
      <w:r w:rsidRPr="00D03F3E">
        <w:rPr>
          <w:rFonts w:ascii="Times New Roman" w:hAnsi="Times New Roman"/>
          <w:color w:val="000000" w:themeColor="text1"/>
          <w:sz w:val="16"/>
          <w:szCs w:val="16"/>
        </w:rPr>
        <w:softHyphen/>
        <w:t>виться с управлением и перевести машину в го</w:t>
      </w:r>
      <w:r w:rsidRPr="00D03F3E">
        <w:rPr>
          <w:rFonts w:ascii="Times New Roman" w:hAnsi="Times New Roman"/>
          <w:color w:val="000000" w:themeColor="text1"/>
          <w:sz w:val="16"/>
          <w:szCs w:val="16"/>
        </w:rPr>
        <w:softHyphen/>
        <w:t>ризонтальный полет. При падении воздуш</w:t>
      </w:r>
      <w:r w:rsidRPr="00D03F3E">
        <w:rPr>
          <w:rFonts w:ascii="Times New Roman" w:hAnsi="Times New Roman"/>
          <w:color w:val="000000" w:themeColor="text1"/>
          <w:sz w:val="16"/>
          <w:szCs w:val="16"/>
        </w:rPr>
        <w:softHyphen/>
        <w:t>ный стрелок сержант Смирнов выпал из кабины и погиб. Видимо, оказался не пристегнут рем</w:t>
      </w:r>
      <w:r w:rsidRPr="00D03F3E">
        <w:rPr>
          <w:rFonts w:ascii="Times New Roman" w:hAnsi="Times New Roman"/>
          <w:color w:val="000000" w:themeColor="text1"/>
          <w:sz w:val="16"/>
          <w:szCs w:val="16"/>
        </w:rPr>
        <w:softHyphen/>
        <w:t>нями и в момент, когда самолет стал падать, вывалился из кабины. Офици</w:t>
      </w:r>
      <w:r w:rsidRPr="00D03F3E">
        <w:rPr>
          <w:rFonts w:ascii="Times New Roman" w:hAnsi="Times New Roman"/>
          <w:color w:val="000000" w:themeColor="text1"/>
          <w:sz w:val="16"/>
          <w:szCs w:val="16"/>
        </w:rPr>
        <w:softHyphen/>
        <w:t>альная же запись в документах полка гласит: "...6 мая в/стрелок сержант Смирнов (экипаж мл. л-та Баканова) из 58 гшап был выброшен из кабины Ил-2 во время атаки аэродрома после попадания в кабину снаряда СЗА, са</w:t>
      </w:r>
      <w:r w:rsidRPr="00D03F3E">
        <w:rPr>
          <w:rFonts w:ascii="Times New Roman" w:hAnsi="Times New Roman"/>
          <w:color w:val="000000" w:themeColor="text1"/>
          <w:sz w:val="16"/>
          <w:szCs w:val="16"/>
        </w:rPr>
        <w:softHyphen/>
        <w:t>молет получал сильные повреждения". Истребители сопровождения в ходе полета не выдерживали заданных вы</w:t>
      </w:r>
      <w:r w:rsidRPr="00D03F3E">
        <w:rPr>
          <w:rFonts w:ascii="Times New Roman" w:hAnsi="Times New Roman"/>
          <w:color w:val="000000" w:themeColor="text1"/>
          <w:sz w:val="16"/>
          <w:szCs w:val="16"/>
        </w:rPr>
        <w:softHyphen/>
        <w:t>соты и дистанции (шли с большим пре</w:t>
      </w:r>
      <w:r w:rsidRPr="00D03F3E">
        <w:rPr>
          <w:rFonts w:ascii="Times New Roman" w:hAnsi="Times New Roman"/>
          <w:color w:val="000000" w:themeColor="text1"/>
          <w:sz w:val="16"/>
          <w:szCs w:val="16"/>
        </w:rPr>
        <w:softHyphen/>
        <w:t>вышением над прикрываемыми группа</w:t>
      </w:r>
      <w:r w:rsidRPr="00D03F3E">
        <w:rPr>
          <w:rFonts w:ascii="Times New Roman" w:hAnsi="Times New Roman"/>
          <w:color w:val="000000" w:themeColor="text1"/>
          <w:sz w:val="16"/>
          <w:szCs w:val="16"/>
        </w:rPr>
        <w:softHyphen/>
        <w:t>ми и далеко сзади), особенно когда начался обстрел зенитной артиллерии, а в 8-10 км от цели - встали в круг и на цель не пошли. В дальнейшем при</w:t>
      </w:r>
      <w:r w:rsidRPr="00D03F3E">
        <w:rPr>
          <w:rFonts w:ascii="Times New Roman" w:hAnsi="Times New Roman"/>
          <w:color w:val="000000" w:themeColor="text1"/>
          <w:sz w:val="16"/>
          <w:szCs w:val="16"/>
        </w:rPr>
        <w:softHyphen/>
        <w:t>крывающие истребители благополуч</w:t>
      </w:r>
      <w:r w:rsidRPr="00D03F3E">
        <w:rPr>
          <w:rFonts w:ascii="Times New Roman" w:hAnsi="Times New Roman"/>
          <w:color w:val="000000" w:themeColor="text1"/>
          <w:sz w:val="16"/>
          <w:szCs w:val="16"/>
        </w:rPr>
        <w:softHyphen/>
        <w:t>но "потеряли в районе цели"штурмови</w:t>
      </w:r>
      <w:r w:rsidRPr="00D03F3E">
        <w:rPr>
          <w:rFonts w:ascii="Times New Roman" w:hAnsi="Times New Roman"/>
          <w:color w:val="000000" w:themeColor="text1"/>
          <w:sz w:val="16"/>
          <w:szCs w:val="16"/>
        </w:rPr>
        <w:softHyphen/>
        <w:t>ков и вернулись на аэродромы вылета. Оставшись без истребительного прикрытия, обе группы Ил-2 продол</w:t>
      </w:r>
      <w:r w:rsidRPr="00D03F3E">
        <w:rPr>
          <w:rFonts w:ascii="Times New Roman" w:hAnsi="Times New Roman"/>
          <w:color w:val="000000" w:themeColor="text1"/>
          <w:sz w:val="16"/>
          <w:szCs w:val="16"/>
        </w:rPr>
        <w:softHyphen/>
        <w:t>жили полет к своим целям самостоя</w:t>
      </w:r>
      <w:r w:rsidRPr="00D03F3E">
        <w:rPr>
          <w:rFonts w:ascii="Times New Roman" w:hAnsi="Times New Roman"/>
          <w:color w:val="000000" w:themeColor="text1"/>
          <w:sz w:val="16"/>
          <w:szCs w:val="16"/>
        </w:rPr>
        <w:softHyphen/>
        <w:t>тельно. Подойдя к промежуточному пункту маршрута Хмелевая, ведущий первой группы Ил-2 к-н Голубев в отсутствии истребителей сопровождения решил не рисковать, на аэродром Кнубрь не идти и атаковать ближайший к группе аэро</w:t>
      </w:r>
      <w:r w:rsidRPr="00D03F3E">
        <w:rPr>
          <w:rFonts w:ascii="Times New Roman" w:hAnsi="Times New Roman"/>
          <w:color w:val="000000" w:themeColor="text1"/>
          <w:sz w:val="16"/>
          <w:szCs w:val="16"/>
        </w:rPr>
        <w:softHyphen/>
        <w:t>дром - Хмелевая. Командир полка м-р Коваль пошел со своей группой на аэродром Лаврово (Гать) согласно за</w:t>
      </w:r>
      <w:r w:rsidRPr="00D03F3E">
        <w:rPr>
          <w:rFonts w:ascii="Times New Roman" w:hAnsi="Times New Roman"/>
          <w:color w:val="000000" w:themeColor="text1"/>
          <w:sz w:val="16"/>
          <w:szCs w:val="16"/>
        </w:rPr>
        <w:softHyphen/>
        <w:t>дания. Удар по аэродромам наносился в период 14.28-14.36. Атаки выполнялись с пикирования попарно с высоты 950-300 м. Каждая пара выполнила по 4 атаки в одном заходе. Аэродром Хмелевая встретил штур</w:t>
      </w:r>
      <w:r w:rsidRPr="00D03F3E">
        <w:rPr>
          <w:rFonts w:ascii="Times New Roman" w:hAnsi="Times New Roman"/>
          <w:color w:val="000000" w:themeColor="text1"/>
          <w:sz w:val="16"/>
          <w:szCs w:val="16"/>
        </w:rPr>
        <w:softHyphen/>
        <w:t>мовиков стеной зенитного огня. Пер</w:t>
      </w:r>
      <w:r w:rsidRPr="00D03F3E">
        <w:rPr>
          <w:rFonts w:ascii="Times New Roman" w:hAnsi="Times New Roman"/>
          <w:color w:val="000000" w:themeColor="text1"/>
          <w:sz w:val="16"/>
          <w:szCs w:val="16"/>
        </w:rPr>
        <w:softHyphen/>
        <w:t>вым же залпом был "снят" Ил-2 лейте</w:t>
      </w:r>
      <w:r w:rsidRPr="00D03F3E">
        <w:rPr>
          <w:rFonts w:ascii="Times New Roman" w:hAnsi="Times New Roman"/>
          <w:color w:val="000000" w:themeColor="text1"/>
          <w:sz w:val="16"/>
          <w:szCs w:val="16"/>
        </w:rPr>
        <w:softHyphen/>
        <w:t>нанта Андрюшина (за воздушного стрелка заместитель командира эскад</w:t>
      </w:r>
      <w:r w:rsidRPr="00D03F3E">
        <w:rPr>
          <w:rFonts w:ascii="Times New Roman" w:hAnsi="Times New Roman"/>
          <w:color w:val="000000" w:themeColor="text1"/>
          <w:sz w:val="16"/>
          <w:szCs w:val="16"/>
        </w:rPr>
        <w:softHyphen/>
        <w:t>рильи ст. л-т Новожилов). Горящий са</w:t>
      </w:r>
      <w:r w:rsidRPr="00D03F3E">
        <w:rPr>
          <w:rFonts w:ascii="Times New Roman" w:hAnsi="Times New Roman"/>
          <w:color w:val="000000" w:themeColor="text1"/>
          <w:sz w:val="16"/>
          <w:szCs w:val="16"/>
        </w:rPr>
        <w:softHyphen/>
        <w:t>молет упал в районе цели. При выполнении противозенитного маневра и на выходе из атаки группа фактически распалась на одиночные экипажи и пары с дистанцией между самолетами 300-400 м и более. На отходе от цели штурмовики по</w:t>
      </w:r>
      <w:r w:rsidRPr="00D03F3E">
        <w:rPr>
          <w:rFonts w:ascii="Times New Roman" w:hAnsi="Times New Roman"/>
          <w:color w:val="000000" w:themeColor="text1"/>
          <w:sz w:val="16"/>
          <w:szCs w:val="16"/>
        </w:rPr>
        <w:softHyphen/>
        <w:t>пали под сильный огонь МЗА с поле</w:t>
      </w:r>
      <w:r w:rsidRPr="00D03F3E">
        <w:rPr>
          <w:rFonts w:ascii="Times New Roman" w:hAnsi="Times New Roman"/>
          <w:color w:val="000000" w:themeColor="text1"/>
          <w:sz w:val="16"/>
          <w:szCs w:val="16"/>
        </w:rPr>
        <w:softHyphen/>
        <w:t>вого аэродрома в 1,5-2 км северо-за-паднее населенного пункта Хомуты и затем были атакованы взлетевшими с него 10-12 Фв190. Как отмечается в документах 2-й гшад, "...аэродром Хомуты в разведс</w:t>
      </w:r>
      <w:r w:rsidRPr="00D03F3E">
        <w:rPr>
          <w:rFonts w:ascii="Times New Roman" w:hAnsi="Times New Roman"/>
          <w:color w:val="000000" w:themeColor="text1"/>
          <w:sz w:val="16"/>
          <w:szCs w:val="16"/>
        </w:rPr>
        <w:softHyphen/>
        <w:t>водках штаба 16 ВА не значился до 14.30 6.05.43 г.". Поэтому о его суще</w:t>
      </w:r>
      <w:r w:rsidRPr="00D03F3E">
        <w:rPr>
          <w:rFonts w:ascii="Times New Roman" w:hAnsi="Times New Roman"/>
          <w:color w:val="000000" w:themeColor="text1"/>
          <w:sz w:val="16"/>
          <w:szCs w:val="16"/>
        </w:rPr>
        <w:softHyphen/>
        <w:t>ствовании в полках не знали, и обрат</w:t>
      </w:r>
      <w:r w:rsidRPr="00D03F3E">
        <w:rPr>
          <w:rFonts w:ascii="Times New Roman" w:hAnsi="Times New Roman"/>
          <w:color w:val="000000" w:themeColor="text1"/>
          <w:sz w:val="16"/>
          <w:szCs w:val="16"/>
        </w:rPr>
        <w:softHyphen/>
        <w:t>ный маршрут был проложен прямо через него. Атаки истребителей противника про</w:t>
      </w:r>
      <w:r w:rsidRPr="00D03F3E">
        <w:rPr>
          <w:rFonts w:ascii="Times New Roman" w:hAnsi="Times New Roman"/>
          <w:color w:val="000000" w:themeColor="text1"/>
          <w:sz w:val="16"/>
          <w:szCs w:val="16"/>
        </w:rPr>
        <w:softHyphen/>
        <w:t>изводились группами по 2-3-4 самоле</w:t>
      </w:r>
      <w:r w:rsidRPr="00D03F3E">
        <w:rPr>
          <w:rFonts w:ascii="Times New Roman" w:hAnsi="Times New Roman"/>
          <w:color w:val="000000" w:themeColor="text1"/>
          <w:sz w:val="16"/>
          <w:szCs w:val="16"/>
        </w:rPr>
        <w:softHyphen/>
        <w:t>та с разных направлений. В воздуш</w:t>
      </w:r>
      <w:r w:rsidRPr="00D03F3E">
        <w:rPr>
          <w:rFonts w:ascii="Times New Roman" w:hAnsi="Times New Roman"/>
          <w:color w:val="000000" w:themeColor="text1"/>
          <w:sz w:val="16"/>
          <w:szCs w:val="16"/>
        </w:rPr>
        <w:softHyphen/>
        <w:t>ном бою отличился воздушный стре</w:t>
      </w:r>
      <w:r w:rsidRPr="00D03F3E">
        <w:rPr>
          <w:rFonts w:ascii="Times New Roman" w:hAnsi="Times New Roman"/>
          <w:color w:val="000000" w:themeColor="text1"/>
          <w:sz w:val="16"/>
          <w:szCs w:val="16"/>
        </w:rPr>
        <w:softHyphen/>
        <w:t>лок ст. сержант Пугачев, подбивший с дистанции 50 м "фоккер", "который за</w:t>
      </w:r>
      <w:r w:rsidRPr="00D03F3E">
        <w:rPr>
          <w:rFonts w:ascii="Times New Roman" w:hAnsi="Times New Roman"/>
          <w:color w:val="000000" w:themeColor="text1"/>
          <w:sz w:val="16"/>
          <w:szCs w:val="16"/>
        </w:rPr>
        <w:softHyphen/>
        <w:t>дымил и ушел со снижением". Однако это помогло мало - ведомый истребитель немецкой пары после отворота ведущего атаковал и нанес штурмо</w:t>
      </w:r>
      <w:r w:rsidRPr="00D03F3E">
        <w:rPr>
          <w:rFonts w:ascii="Times New Roman" w:hAnsi="Times New Roman"/>
          <w:color w:val="000000" w:themeColor="text1"/>
          <w:sz w:val="16"/>
          <w:szCs w:val="16"/>
        </w:rPr>
        <w:softHyphen/>
        <w:t>вику серьезные повреждения. Младше</w:t>
      </w:r>
      <w:r w:rsidRPr="00D03F3E">
        <w:rPr>
          <w:rFonts w:ascii="Times New Roman" w:hAnsi="Times New Roman"/>
          <w:color w:val="000000" w:themeColor="text1"/>
          <w:sz w:val="16"/>
          <w:szCs w:val="16"/>
        </w:rPr>
        <w:softHyphen/>
        <w:t>му лейтенанту Соколову стоило боль</w:t>
      </w:r>
      <w:r w:rsidRPr="00D03F3E">
        <w:rPr>
          <w:rFonts w:ascii="Times New Roman" w:hAnsi="Times New Roman"/>
          <w:color w:val="000000" w:themeColor="text1"/>
          <w:sz w:val="16"/>
          <w:szCs w:val="16"/>
        </w:rPr>
        <w:softHyphen/>
        <w:t>шого труда перетянуть на подбитой ма</w:t>
      </w:r>
      <w:r w:rsidRPr="00D03F3E">
        <w:rPr>
          <w:rFonts w:ascii="Times New Roman" w:hAnsi="Times New Roman"/>
          <w:color w:val="000000" w:themeColor="text1"/>
          <w:sz w:val="16"/>
          <w:szCs w:val="16"/>
        </w:rPr>
        <w:softHyphen/>
        <w:t>шине через линию фронта и в районе Протасова сесть на вынужденную. Са</w:t>
      </w:r>
      <w:r w:rsidRPr="00D03F3E">
        <w:rPr>
          <w:rFonts w:ascii="Times New Roman" w:hAnsi="Times New Roman"/>
          <w:color w:val="000000" w:themeColor="text1"/>
          <w:sz w:val="16"/>
          <w:szCs w:val="16"/>
        </w:rPr>
        <w:softHyphen/>
        <w:t>молет был разбит полностью, а сам экипаж получил легкие ранения. Тем временем, обнаружив идущую позади вторую группу Ил-2, которая возвращалась тем же маршрутом, пи</w:t>
      </w:r>
      <w:r w:rsidRPr="00D03F3E">
        <w:rPr>
          <w:rFonts w:ascii="Times New Roman" w:hAnsi="Times New Roman"/>
          <w:color w:val="000000" w:themeColor="text1"/>
          <w:sz w:val="16"/>
          <w:szCs w:val="16"/>
        </w:rPr>
        <w:softHyphen/>
        <w:t>лоты люфтваффе бросили первую груп</w:t>
      </w:r>
      <w:r w:rsidRPr="00D03F3E">
        <w:rPr>
          <w:rFonts w:ascii="Times New Roman" w:hAnsi="Times New Roman"/>
          <w:color w:val="000000" w:themeColor="text1"/>
          <w:sz w:val="16"/>
          <w:szCs w:val="16"/>
        </w:rPr>
        <w:softHyphen/>
        <w:t>пу штурмовиков и атаковали вторую. К моменту выхода из атаки по матчас</w:t>
      </w:r>
      <w:r w:rsidRPr="00D03F3E">
        <w:rPr>
          <w:rFonts w:ascii="Times New Roman" w:hAnsi="Times New Roman"/>
          <w:color w:val="000000" w:themeColor="text1"/>
          <w:sz w:val="16"/>
          <w:szCs w:val="16"/>
        </w:rPr>
        <w:softHyphen/>
        <w:t>ти на аэродроме Лаврово от этой груп</w:t>
      </w:r>
      <w:r w:rsidRPr="00D03F3E">
        <w:rPr>
          <w:rFonts w:ascii="Times New Roman" w:hAnsi="Times New Roman"/>
          <w:color w:val="000000" w:themeColor="text1"/>
          <w:sz w:val="16"/>
          <w:szCs w:val="16"/>
        </w:rPr>
        <w:softHyphen/>
        <w:t>пы осталось 5 Ил-2: огнем МЗА были сбиты и упали в районе цели ведущий группы командир полка м-р Коваль и его ведомый мл. л-т Ермаков. Остав</w:t>
      </w:r>
      <w:r w:rsidRPr="00D03F3E">
        <w:rPr>
          <w:rFonts w:ascii="Times New Roman" w:hAnsi="Times New Roman"/>
          <w:color w:val="000000" w:themeColor="text1"/>
          <w:sz w:val="16"/>
          <w:szCs w:val="16"/>
        </w:rPr>
        <w:softHyphen/>
        <w:t>шиеся экипажи в компактную группу не собрались и отходили от цели по оди</w:t>
      </w:r>
      <w:r w:rsidRPr="00D03F3E">
        <w:rPr>
          <w:rFonts w:ascii="Times New Roman" w:hAnsi="Times New Roman"/>
          <w:color w:val="000000" w:themeColor="text1"/>
          <w:sz w:val="16"/>
          <w:szCs w:val="16"/>
        </w:rPr>
        <w:softHyphen/>
        <w:t>ночке на высоте 150-300 м с дистанцией между самолетами 200-300 м. На каждый Ил-2 од</w:t>
      </w:r>
      <w:r w:rsidRPr="00D03F3E">
        <w:rPr>
          <w:rFonts w:ascii="Times New Roman" w:hAnsi="Times New Roman"/>
          <w:color w:val="000000" w:themeColor="text1"/>
          <w:sz w:val="16"/>
          <w:szCs w:val="16"/>
        </w:rPr>
        <w:softHyphen/>
        <w:t>новременно выходили в атаку 2-3 истребителя противника. Атаки про</w:t>
      </w:r>
      <w:r w:rsidRPr="00D03F3E">
        <w:rPr>
          <w:rFonts w:ascii="Times New Roman" w:hAnsi="Times New Roman"/>
          <w:color w:val="000000" w:themeColor="text1"/>
          <w:sz w:val="16"/>
          <w:szCs w:val="16"/>
        </w:rPr>
        <w:softHyphen/>
        <w:t>должались вплоть до линии фронта. Огонь велся с дистанций 100-200 м. Всего было вы</w:t>
      </w:r>
      <w:r w:rsidRPr="00D03F3E">
        <w:rPr>
          <w:rFonts w:ascii="Times New Roman" w:hAnsi="Times New Roman"/>
          <w:color w:val="000000" w:themeColor="text1"/>
          <w:sz w:val="16"/>
          <w:szCs w:val="16"/>
        </w:rPr>
        <w:softHyphen/>
        <w:t>полнено до 10-12 атак. Экипажи штурмови</w:t>
      </w:r>
      <w:r w:rsidRPr="00D03F3E">
        <w:rPr>
          <w:rFonts w:ascii="Times New Roman" w:hAnsi="Times New Roman"/>
          <w:color w:val="000000" w:themeColor="text1"/>
          <w:sz w:val="16"/>
          <w:szCs w:val="16"/>
        </w:rPr>
        <w:softHyphen/>
        <w:t>ков отбивались от ис</w:t>
      </w:r>
      <w:r w:rsidRPr="00D03F3E">
        <w:rPr>
          <w:rFonts w:ascii="Times New Roman" w:hAnsi="Times New Roman"/>
          <w:color w:val="000000" w:themeColor="text1"/>
          <w:sz w:val="16"/>
          <w:szCs w:val="16"/>
        </w:rPr>
        <w:softHyphen/>
        <w:t>требителей в основном маневром и пулемета</w:t>
      </w:r>
      <w:r w:rsidRPr="00D03F3E">
        <w:rPr>
          <w:rFonts w:ascii="Times New Roman" w:hAnsi="Times New Roman"/>
          <w:color w:val="000000" w:themeColor="text1"/>
          <w:sz w:val="16"/>
          <w:szCs w:val="16"/>
        </w:rPr>
        <w:softHyphen/>
        <w:t>ми воздушных стрел</w:t>
      </w:r>
      <w:r w:rsidRPr="00D03F3E">
        <w:rPr>
          <w:rFonts w:ascii="Times New Roman" w:hAnsi="Times New Roman"/>
          <w:color w:val="000000" w:themeColor="text1"/>
          <w:sz w:val="16"/>
          <w:szCs w:val="16"/>
        </w:rPr>
        <w:softHyphen/>
        <w:t>ков. Это был очень тя</w:t>
      </w:r>
      <w:r w:rsidRPr="00D03F3E">
        <w:rPr>
          <w:rFonts w:ascii="Times New Roman" w:hAnsi="Times New Roman"/>
          <w:color w:val="000000" w:themeColor="text1"/>
          <w:sz w:val="16"/>
          <w:szCs w:val="16"/>
        </w:rPr>
        <w:softHyphen/>
        <w:t>желый бой. От летчи</w:t>
      </w:r>
      <w:r w:rsidRPr="00D03F3E">
        <w:rPr>
          <w:rFonts w:ascii="Times New Roman" w:hAnsi="Times New Roman"/>
          <w:color w:val="000000" w:themeColor="text1"/>
          <w:sz w:val="16"/>
          <w:szCs w:val="16"/>
        </w:rPr>
        <w:softHyphen/>
        <w:t>ков и воздушных стрел</w:t>
      </w:r>
      <w:r w:rsidRPr="00D03F3E">
        <w:rPr>
          <w:rFonts w:ascii="Times New Roman" w:hAnsi="Times New Roman"/>
          <w:color w:val="000000" w:themeColor="text1"/>
          <w:sz w:val="16"/>
          <w:szCs w:val="16"/>
        </w:rPr>
        <w:softHyphen/>
        <w:t>ков потребовалось предельное напряже</w:t>
      </w:r>
      <w:r w:rsidRPr="00D03F3E">
        <w:rPr>
          <w:rFonts w:ascii="Times New Roman" w:hAnsi="Times New Roman"/>
          <w:color w:val="000000" w:themeColor="text1"/>
          <w:sz w:val="16"/>
          <w:szCs w:val="16"/>
        </w:rPr>
        <w:softHyphen/>
        <w:t>ние моральных и физи</w:t>
      </w:r>
      <w:r w:rsidRPr="00D03F3E">
        <w:rPr>
          <w:rFonts w:ascii="Times New Roman" w:hAnsi="Times New Roman"/>
          <w:color w:val="000000" w:themeColor="text1"/>
          <w:sz w:val="16"/>
          <w:szCs w:val="16"/>
        </w:rPr>
        <w:softHyphen/>
        <w:t>ческих сил. Дело дош</w:t>
      </w:r>
      <w:r w:rsidRPr="00D03F3E">
        <w:rPr>
          <w:rFonts w:ascii="Times New Roman" w:hAnsi="Times New Roman"/>
          <w:color w:val="000000" w:themeColor="text1"/>
          <w:sz w:val="16"/>
          <w:szCs w:val="16"/>
        </w:rPr>
        <w:softHyphen/>
        <w:t>ло до того, что замес</w:t>
      </w:r>
      <w:r w:rsidRPr="00D03F3E">
        <w:rPr>
          <w:rFonts w:ascii="Times New Roman" w:hAnsi="Times New Roman"/>
          <w:color w:val="000000" w:themeColor="text1"/>
          <w:sz w:val="16"/>
          <w:szCs w:val="16"/>
        </w:rPr>
        <w:softHyphen/>
        <w:t>титель начальника штаба 58-го гшап к-н Таран, летевший за воздушного стрелка в экипаже лейтенанта Минга-лева, "отбив несколько атак ФВ-190 из УБТ, имел задержку пулемета, при</w:t>
      </w:r>
      <w:r w:rsidRPr="00D03F3E">
        <w:rPr>
          <w:rFonts w:ascii="Times New Roman" w:hAnsi="Times New Roman"/>
          <w:color w:val="000000" w:themeColor="text1"/>
          <w:sz w:val="16"/>
          <w:szCs w:val="16"/>
        </w:rPr>
        <w:softHyphen/>
        <w:t>бегнул к хитрости и отбил еще три ата</w:t>
      </w:r>
      <w:r w:rsidRPr="00D03F3E">
        <w:rPr>
          <w:rFonts w:ascii="Times New Roman" w:hAnsi="Times New Roman"/>
          <w:color w:val="000000" w:themeColor="text1"/>
          <w:sz w:val="16"/>
          <w:szCs w:val="16"/>
        </w:rPr>
        <w:softHyphen/>
        <w:t>ки 23-мм сигнальными ракетами". Со слов капитана Тарана, моральный эф</w:t>
      </w:r>
      <w:r w:rsidRPr="00D03F3E">
        <w:rPr>
          <w:rFonts w:ascii="Times New Roman" w:hAnsi="Times New Roman"/>
          <w:color w:val="000000" w:themeColor="text1"/>
          <w:sz w:val="16"/>
          <w:szCs w:val="16"/>
        </w:rPr>
        <w:softHyphen/>
        <w:t>фект от стрельбы сигнальными раке</w:t>
      </w:r>
      <w:r w:rsidRPr="00D03F3E">
        <w:rPr>
          <w:rFonts w:ascii="Times New Roman" w:hAnsi="Times New Roman"/>
          <w:color w:val="000000" w:themeColor="text1"/>
          <w:sz w:val="16"/>
          <w:szCs w:val="16"/>
        </w:rPr>
        <w:softHyphen/>
        <w:t>тами оказался большим - истребите</w:t>
      </w:r>
      <w:r w:rsidRPr="00D03F3E">
        <w:rPr>
          <w:rFonts w:ascii="Times New Roman" w:hAnsi="Times New Roman"/>
          <w:color w:val="000000" w:themeColor="text1"/>
          <w:sz w:val="16"/>
          <w:szCs w:val="16"/>
        </w:rPr>
        <w:softHyphen/>
        <w:t>ли не выдерживали и отваливали в сто</w:t>
      </w:r>
      <w:r w:rsidRPr="00D03F3E">
        <w:rPr>
          <w:rFonts w:ascii="Times New Roman" w:hAnsi="Times New Roman"/>
          <w:color w:val="000000" w:themeColor="text1"/>
          <w:sz w:val="16"/>
          <w:szCs w:val="16"/>
        </w:rPr>
        <w:softHyphen/>
        <w:t>рону. Устранив задержку, к-н Таран сбил один "фокке-вульф". С большим трудом гвардейцам уда</w:t>
      </w:r>
      <w:r w:rsidRPr="00D03F3E">
        <w:rPr>
          <w:rFonts w:ascii="Times New Roman" w:hAnsi="Times New Roman"/>
          <w:color w:val="000000" w:themeColor="text1"/>
          <w:sz w:val="16"/>
          <w:szCs w:val="16"/>
        </w:rPr>
        <w:softHyphen/>
        <w:t>лось отразить атаки пилотов люфтваф</w:t>
      </w:r>
      <w:r w:rsidRPr="00D03F3E">
        <w:rPr>
          <w:rFonts w:ascii="Times New Roman" w:hAnsi="Times New Roman"/>
          <w:color w:val="000000" w:themeColor="text1"/>
          <w:sz w:val="16"/>
          <w:szCs w:val="16"/>
        </w:rPr>
        <w:softHyphen/>
        <w:t>фе и благополучно вернуться на свой аэродром. Все самолеты группы были изрядно "побиты" снарядами и пулями немецких истребителей. В отношении действий истребителей 176-го иол мнение возвратившихся эки</w:t>
      </w:r>
      <w:r w:rsidRPr="00D03F3E">
        <w:rPr>
          <w:rFonts w:ascii="Times New Roman" w:hAnsi="Times New Roman"/>
          <w:color w:val="000000" w:themeColor="text1"/>
          <w:sz w:val="16"/>
          <w:szCs w:val="16"/>
        </w:rPr>
        <w:softHyphen/>
        <w:t>пажей Ил-2 разделились. Часть из них утверждала, что истребители сопро</w:t>
      </w:r>
      <w:r w:rsidRPr="00D03F3E">
        <w:rPr>
          <w:rFonts w:ascii="Times New Roman" w:hAnsi="Times New Roman"/>
          <w:color w:val="000000" w:themeColor="text1"/>
          <w:sz w:val="16"/>
          <w:szCs w:val="16"/>
        </w:rPr>
        <w:softHyphen/>
        <w:t>вождения "атак истребителей против</w:t>
      </w:r>
      <w:r w:rsidRPr="00D03F3E">
        <w:rPr>
          <w:rFonts w:ascii="Times New Roman" w:hAnsi="Times New Roman"/>
          <w:color w:val="000000" w:themeColor="text1"/>
          <w:sz w:val="16"/>
          <w:szCs w:val="16"/>
        </w:rPr>
        <w:softHyphen/>
        <w:t>ника не отбивали, а находились на вы</w:t>
      </w:r>
      <w:r w:rsidRPr="00D03F3E">
        <w:rPr>
          <w:rFonts w:ascii="Times New Roman" w:hAnsi="Times New Roman"/>
          <w:color w:val="000000" w:themeColor="text1"/>
          <w:sz w:val="16"/>
          <w:szCs w:val="16"/>
        </w:rPr>
        <w:softHyphen/>
        <w:t>соте 1200-1800 м". Большинство же летчиков и воздушных стрелков своих истребителей вообще не видели до прихода на свой аэродром. Как сле</w:t>
      </w:r>
      <w:r w:rsidRPr="00D03F3E">
        <w:rPr>
          <w:rFonts w:ascii="Times New Roman" w:hAnsi="Times New Roman"/>
          <w:color w:val="000000" w:themeColor="text1"/>
          <w:sz w:val="16"/>
          <w:szCs w:val="16"/>
        </w:rPr>
        <w:softHyphen/>
        <w:t>дует из доклада капитана Тарана, "ис</w:t>
      </w:r>
      <w:r w:rsidRPr="00D03F3E">
        <w:rPr>
          <w:rFonts w:ascii="Times New Roman" w:hAnsi="Times New Roman"/>
          <w:color w:val="000000" w:themeColor="text1"/>
          <w:sz w:val="16"/>
          <w:szCs w:val="16"/>
        </w:rPr>
        <w:softHyphen/>
        <w:t>требители сопровождения 176иапдо цели держались на высоте до 2000 м и в стороне с превышением 1000-1300 м", но на отходе от цели он их не на</w:t>
      </w:r>
      <w:r w:rsidRPr="00D03F3E">
        <w:rPr>
          <w:rFonts w:ascii="Times New Roman" w:hAnsi="Times New Roman"/>
          <w:color w:val="000000" w:themeColor="text1"/>
          <w:sz w:val="16"/>
          <w:szCs w:val="16"/>
        </w:rPr>
        <w:softHyphen/>
        <w:t>блюдал, лишь у самой линии фронта к ним пристроилась пара "Яков". Здесь уместно отметить, что посколь</w:t>
      </w:r>
      <w:r w:rsidRPr="00D03F3E">
        <w:rPr>
          <w:rFonts w:ascii="Times New Roman" w:hAnsi="Times New Roman"/>
          <w:color w:val="000000" w:themeColor="text1"/>
          <w:sz w:val="16"/>
          <w:szCs w:val="16"/>
        </w:rPr>
        <w:softHyphen/>
        <w:t>ку экипажи Ил-2 возвращались на свой аэродром разрозненно, то ни один из них не смог точно доложить все об</w:t>
      </w:r>
      <w:r w:rsidRPr="00D03F3E">
        <w:rPr>
          <w:rFonts w:ascii="Times New Roman" w:hAnsi="Times New Roman"/>
          <w:color w:val="000000" w:themeColor="text1"/>
          <w:sz w:val="16"/>
          <w:szCs w:val="16"/>
        </w:rPr>
        <w:softHyphen/>
        <w:t>стоятельства боевого вылета: где и при каких условиях был потерян тот или иной самолет, маршрут возвращения на свою территорию и т.д. В то же время временно исполняю</w:t>
      </w:r>
      <w:r w:rsidRPr="00D03F3E">
        <w:rPr>
          <w:rFonts w:ascii="Times New Roman" w:hAnsi="Times New Roman"/>
          <w:color w:val="000000" w:themeColor="text1"/>
          <w:sz w:val="16"/>
          <w:szCs w:val="16"/>
        </w:rPr>
        <w:softHyphen/>
        <w:t>щий должность командира 176-го иап ст. л-т Макаревич в донесении по ито</w:t>
      </w:r>
      <w:r w:rsidRPr="00D03F3E">
        <w:rPr>
          <w:rFonts w:ascii="Times New Roman" w:hAnsi="Times New Roman"/>
          <w:color w:val="000000" w:themeColor="text1"/>
          <w:sz w:val="16"/>
          <w:szCs w:val="16"/>
        </w:rPr>
        <w:softHyphen/>
        <w:t>гам боевой работы полка за день до</w:t>
      </w:r>
      <w:r w:rsidRPr="00D03F3E">
        <w:rPr>
          <w:rFonts w:ascii="Times New Roman" w:hAnsi="Times New Roman"/>
          <w:color w:val="000000" w:themeColor="text1"/>
          <w:sz w:val="16"/>
          <w:szCs w:val="16"/>
        </w:rPr>
        <w:softHyphen/>
        <w:t>ложил, что штурмовики приходили на свой аэродром "...по одному и парами под прикрытием истребителей". При этом истребители полка над целью все же были, а ведущий группы ст. л-т Стрельцов даже штурмовал на аэро</w:t>
      </w:r>
      <w:r w:rsidRPr="00D03F3E">
        <w:rPr>
          <w:rFonts w:ascii="Times New Roman" w:hAnsi="Times New Roman"/>
          <w:color w:val="000000" w:themeColor="text1"/>
          <w:sz w:val="16"/>
          <w:szCs w:val="16"/>
        </w:rPr>
        <w:softHyphen/>
        <w:t>дроме одну зенитную пулеметную точ</w:t>
      </w:r>
      <w:r w:rsidRPr="00D03F3E">
        <w:rPr>
          <w:rFonts w:ascii="Times New Roman" w:hAnsi="Times New Roman"/>
          <w:color w:val="000000" w:themeColor="text1"/>
          <w:sz w:val="16"/>
          <w:szCs w:val="16"/>
        </w:rPr>
        <w:softHyphen/>
        <w:t>ку и подавил ее. Кроме этого, Стрель</w:t>
      </w:r>
      <w:r w:rsidRPr="00D03F3E">
        <w:rPr>
          <w:rFonts w:ascii="Times New Roman" w:hAnsi="Times New Roman"/>
          <w:color w:val="000000" w:themeColor="text1"/>
          <w:sz w:val="16"/>
          <w:szCs w:val="16"/>
        </w:rPr>
        <w:softHyphen/>
        <w:t>цов и ст. сержант Трошин видели два горящих Ил-2, "предположительно по</w:t>
      </w:r>
      <w:r w:rsidRPr="00D03F3E">
        <w:rPr>
          <w:rFonts w:ascii="Times New Roman" w:hAnsi="Times New Roman"/>
          <w:color w:val="000000" w:themeColor="text1"/>
          <w:sz w:val="16"/>
          <w:szCs w:val="16"/>
        </w:rPr>
        <w:softHyphen/>
        <w:t>дожженных огнем зенитной артилле</w:t>
      </w:r>
      <w:r w:rsidRPr="00D03F3E">
        <w:rPr>
          <w:rFonts w:ascii="Times New Roman" w:hAnsi="Times New Roman"/>
          <w:color w:val="000000" w:themeColor="text1"/>
          <w:sz w:val="16"/>
          <w:szCs w:val="16"/>
        </w:rPr>
        <w:softHyphen/>
        <w:t>рии". Истребителей противника в рай</w:t>
      </w:r>
      <w:r w:rsidRPr="00D03F3E">
        <w:rPr>
          <w:rFonts w:ascii="Times New Roman" w:hAnsi="Times New Roman"/>
          <w:color w:val="000000" w:themeColor="text1"/>
          <w:sz w:val="16"/>
          <w:szCs w:val="16"/>
        </w:rPr>
        <w:softHyphen/>
        <w:t>оне аэродрома летчики 1 76-го иап не наблюдали...Не менее трудным и трагичным ока</w:t>
      </w:r>
      <w:r w:rsidRPr="00D03F3E">
        <w:rPr>
          <w:rFonts w:ascii="Times New Roman" w:hAnsi="Times New Roman"/>
          <w:color w:val="000000" w:themeColor="text1"/>
          <w:sz w:val="16"/>
          <w:szCs w:val="16"/>
        </w:rPr>
        <w:softHyphen/>
        <w:t>зался налет двух групп штурмовиков 79-го гшап на аэродром Орел-Цент</w:t>
      </w:r>
      <w:r w:rsidRPr="00D03F3E">
        <w:rPr>
          <w:rFonts w:ascii="Times New Roman" w:hAnsi="Times New Roman"/>
          <w:color w:val="000000" w:themeColor="text1"/>
          <w:sz w:val="16"/>
          <w:szCs w:val="16"/>
        </w:rPr>
        <w:softHyphen/>
        <w:t>ральный. Первую группу в составе 8 Ил-2 вел временно исполняющий дол</w:t>
      </w:r>
      <w:r w:rsidRPr="00D03F3E">
        <w:rPr>
          <w:rFonts w:ascii="Times New Roman" w:hAnsi="Times New Roman"/>
          <w:color w:val="000000" w:themeColor="text1"/>
          <w:sz w:val="16"/>
          <w:szCs w:val="16"/>
        </w:rPr>
        <w:softHyphen/>
        <w:t>жность командира полка м-р А. П. Чухаев. Следом за ней шла вторая группа - 7 Ил-2, которую вел коман</w:t>
      </w:r>
      <w:r w:rsidRPr="00D03F3E">
        <w:rPr>
          <w:rFonts w:ascii="Times New Roman" w:hAnsi="Times New Roman"/>
          <w:color w:val="000000" w:themeColor="text1"/>
          <w:sz w:val="16"/>
          <w:szCs w:val="16"/>
        </w:rPr>
        <w:softHyphen/>
        <w:t>дир эскадрильи к-н С.И. Винник. Штур</w:t>
      </w:r>
      <w:r w:rsidRPr="00D03F3E">
        <w:rPr>
          <w:rFonts w:ascii="Times New Roman" w:hAnsi="Times New Roman"/>
          <w:color w:val="000000" w:themeColor="text1"/>
          <w:sz w:val="16"/>
          <w:szCs w:val="16"/>
        </w:rPr>
        <w:softHyphen/>
        <w:t>мовиков прикрывали 16 Як-1 в двух группах по 8 самолетов каждая от 563-го и 519-го иап. Удар наносился в период 14.30-14.35. На подходе к цели штурмовики обстреливались сильным огнем зенит</w:t>
      </w:r>
      <w:r w:rsidRPr="00D03F3E">
        <w:rPr>
          <w:rFonts w:ascii="Times New Roman" w:hAnsi="Times New Roman"/>
          <w:color w:val="000000" w:themeColor="text1"/>
          <w:sz w:val="16"/>
          <w:szCs w:val="16"/>
        </w:rPr>
        <w:softHyphen/>
        <w:t>ной артиллерии среднего и малого калибров (до 10 батарей). Обе груп</w:t>
      </w:r>
      <w:r w:rsidRPr="00D03F3E">
        <w:rPr>
          <w:rFonts w:ascii="Times New Roman" w:hAnsi="Times New Roman"/>
          <w:color w:val="000000" w:themeColor="text1"/>
          <w:sz w:val="16"/>
          <w:szCs w:val="16"/>
        </w:rPr>
        <w:softHyphen/>
        <w:t>пы выполнили по одному заходу, в ко</w:t>
      </w:r>
      <w:r w:rsidRPr="00D03F3E">
        <w:rPr>
          <w:rFonts w:ascii="Times New Roman" w:hAnsi="Times New Roman"/>
          <w:color w:val="000000" w:themeColor="text1"/>
          <w:sz w:val="16"/>
          <w:szCs w:val="16"/>
        </w:rPr>
        <w:softHyphen/>
        <w:t>торых произвели по три атаки каждая. Группа майора Чухаева на выходе из атаки была перехвачена двумя трой</w:t>
      </w:r>
      <w:r w:rsidRPr="00D03F3E">
        <w:rPr>
          <w:rFonts w:ascii="Times New Roman" w:hAnsi="Times New Roman"/>
          <w:color w:val="000000" w:themeColor="text1"/>
          <w:sz w:val="16"/>
          <w:szCs w:val="16"/>
        </w:rPr>
        <w:softHyphen/>
        <w:t>ками ру/190, которйе проводили од</w:t>
      </w:r>
      <w:r w:rsidRPr="00D03F3E">
        <w:rPr>
          <w:rFonts w:ascii="Times New Roman" w:hAnsi="Times New Roman"/>
          <w:color w:val="000000" w:themeColor="text1"/>
          <w:sz w:val="16"/>
          <w:szCs w:val="16"/>
        </w:rPr>
        <w:softHyphen/>
        <w:t>новременные атйки с разных направ</w:t>
      </w:r>
      <w:r w:rsidRPr="00D03F3E">
        <w:rPr>
          <w:rFonts w:ascii="Times New Roman" w:hAnsi="Times New Roman"/>
          <w:color w:val="000000" w:themeColor="text1"/>
          <w:sz w:val="16"/>
          <w:szCs w:val="16"/>
        </w:rPr>
        <w:softHyphen/>
        <w:t>лений. Три "фоккера" атаковали Ил-2 сверху сзади и три - снизу сзади. Огонь открывался из всех точек с дис</w:t>
      </w:r>
      <w:r w:rsidRPr="00D03F3E">
        <w:rPr>
          <w:rFonts w:ascii="Times New Roman" w:hAnsi="Times New Roman"/>
          <w:color w:val="000000" w:themeColor="text1"/>
          <w:sz w:val="16"/>
          <w:szCs w:val="16"/>
        </w:rPr>
        <w:softHyphen/>
        <w:t>танций от 300-500 м и велся длинными очередями до 50-100 м. Встать в оборонительный круг штур</w:t>
      </w:r>
      <w:r w:rsidRPr="00D03F3E">
        <w:rPr>
          <w:rFonts w:ascii="Times New Roman" w:hAnsi="Times New Roman"/>
          <w:color w:val="000000" w:themeColor="text1"/>
          <w:sz w:val="16"/>
          <w:szCs w:val="16"/>
        </w:rPr>
        <w:softHyphen/>
        <w:t>мовики не успели и отражали атаку сосредоточенным огнем воздушных стрелков. При отражении первой ата</w:t>
      </w:r>
      <w:r w:rsidRPr="00D03F3E">
        <w:rPr>
          <w:rFonts w:ascii="Times New Roman" w:hAnsi="Times New Roman"/>
          <w:color w:val="000000" w:themeColor="text1"/>
          <w:sz w:val="16"/>
          <w:szCs w:val="16"/>
        </w:rPr>
        <w:softHyphen/>
        <w:t>ки стрелкам удалось завалить ведущий самолет первой тройки противника. По наблюдению экипажей, истребитель упал в районе Кулики. Оставшаяся пара "фокке-вульфов" после потери ве</w:t>
      </w:r>
      <w:r w:rsidRPr="00D03F3E">
        <w:rPr>
          <w:rFonts w:ascii="Times New Roman" w:hAnsi="Times New Roman"/>
          <w:color w:val="000000" w:themeColor="text1"/>
          <w:sz w:val="16"/>
          <w:szCs w:val="16"/>
        </w:rPr>
        <w:softHyphen/>
        <w:t>дущего вышла из атаки правым разворотом и вновь атаковала штурмови</w:t>
      </w:r>
      <w:r w:rsidRPr="00D03F3E">
        <w:rPr>
          <w:rFonts w:ascii="Times New Roman" w:hAnsi="Times New Roman"/>
          <w:color w:val="000000" w:themeColor="text1"/>
          <w:sz w:val="16"/>
          <w:szCs w:val="16"/>
        </w:rPr>
        <w:softHyphen/>
        <w:t>ков, также сверху. Воздушные стрелки отбили и эту атаку. Пока воздушные стрелки отбивались от верхнего "эта</w:t>
      </w:r>
      <w:r w:rsidRPr="00D03F3E">
        <w:rPr>
          <w:rFonts w:ascii="Times New Roman" w:hAnsi="Times New Roman"/>
          <w:color w:val="000000" w:themeColor="text1"/>
          <w:sz w:val="16"/>
          <w:szCs w:val="16"/>
        </w:rPr>
        <w:softHyphen/>
        <w:t>жа" ру/190, вторая тройка "фокке-вуль</w:t>
      </w:r>
      <w:r w:rsidRPr="00D03F3E">
        <w:rPr>
          <w:rFonts w:ascii="Times New Roman" w:hAnsi="Times New Roman"/>
          <w:color w:val="000000" w:themeColor="text1"/>
          <w:sz w:val="16"/>
          <w:szCs w:val="16"/>
        </w:rPr>
        <w:softHyphen/>
        <w:t>фов" атакой снизу сбила один Ил-2. В последующих атаках, вплоть до райо</w:t>
      </w:r>
      <w:r w:rsidRPr="00D03F3E">
        <w:rPr>
          <w:rFonts w:ascii="Times New Roman" w:hAnsi="Times New Roman"/>
          <w:color w:val="000000" w:themeColor="text1"/>
          <w:sz w:val="16"/>
          <w:szCs w:val="16"/>
        </w:rPr>
        <w:softHyphen/>
        <w:t>на Лаврова, истребителям противника удалось сбить еще один штурмовик. Своих истребителей прикрытия в районе боя экипажи не наблюдали, так как с началом обстрела зенитной ар</w:t>
      </w:r>
      <w:r w:rsidRPr="00D03F3E">
        <w:rPr>
          <w:rFonts w:ascii="Times New Roman" w:hAnsi="Times New Roman"/>
          <w:color w:val="000000" w:themeColor="text1"/>
          <w:sz w:val="16"/>
          <w:szCs w:val="16"/>
        </w:rPr>
        <w:softHyphen/>
        <w:t>тиллерией истребители "ушли с набо</w:t>
      </w:r>
      <w:r w:rsidRPr="00D03F3E">
        <w:rPr>
          <w:rFonts w:ascii="Times New Roman" w:hAnsi="Times New Roman"/>
          <w:color w:val="000000" w:themeColor="text1"/>
          <w:sz w:val="16"/>
          <w:szCs w:val="16"/>
        </w:rPr>
        <w:softHyphen/>
        <w:t>ром высоты, достигнув превышения над Ил-2 900-1000 м..." Как следует из доклада командира 563-го иап подполковника Ненашева, штурмовики на выходе из атаки растя</w:t>
      </w:r>
      <w:r w:rsidRPr="00D03F3E">
        <w:rPr>
          <w:rFonts w:ascii="Times New Roman" w:hAnsi="Times New Roman"/>
          <w:color w:val="000000" w:themeColor="text1"/>
          <w:sz w:val="16"/>
          <w:szCs w:val="16"/>
        </w:rPr>
        <w:softHyphen/>
        <w:t>нулись настолько, что у его подчинен</w:t>
      </w:r>
      <w:r w:rsidRPr="00D03F3E">
        <w:rPr>
          <w:rFonts w:ascii="Times New Roman" w:hAnsi="Times New Roman"/>
          <w:color w:val="000000" w:themeColor="text1"/>
          <w:sz w:val="16"/>
          <w:szCs w:val="16"/>
        </w:rPr>
        <w:softHyphen/>
        <w:t>ных не было никакой возможности за</w:t>
      </w:r>
      <w:r w:rsidRPr="00D03F3E">
        <w:rPr>
          <w:rFonts w:ascii="Times New Roman" w:hAnsi="Times New Roman"/>
          <w:color w:val="000000" w:themeColor="text1"/>
          <w:sz w:val="16"/>
          <w:szCs w:val="16"/>
        </w:rPr>
        <w:softHyphen/>
        <w:t>щитить их от атак пилотов люфтваф</w:t>
      </w:r>
      <w:r w:rsidRPr="00D03F3E">
        <w:rPr>
          <w:rFonts w:ascii="Times New Roman" w:hAnsi="Times New Roman"/>
          <w:color w:val="000000" w:themeColor="text1"/>
          <w:sz w:val="16"/>
          <w:szCs w:val="16"/>
        </w:rPr>
        <w:softHyphen/>
        <w:t>фе. При этом утверждается, что истре</w:t>
      </w:r>
      <w:r w:rsidRPr="00D03F3E">
        <w:rPr>
          <w:rFonts w:ascii="Times New Roman" w:hAnsi="Times New Roman"/>
          <w:color w:val="000000" w:themeColor="text1"/>
          <w:sz w:val="16"/>
          <w:szCs w:val="16"/>
        </w:rPr>
        <w:softHyphen/>
        <w:t>бителями прикрытия был сбит "фоккер", сбивший наш Ил-2. Никаких сведений о втором сбитом истребителями про</w:t>
      </w:r>
      <w:r w:rsidRPr="00D03F3E">
        <w:rPr>
          <w:rFonts w:ascii="Times New Roman" w:hAnsi="Times New Roman"/>
          <w:color w:val="000000" w:themeColor="text1"/>
          <w:sz w:val="16"/>
          <w:szCs w:val="16"/>
        </w:rPr>
        <w:softHyphen/>
        <w:t>тивника штурмовике в отчетах полка и дивизии не содержатся. Группа Винника была атакована дву</w:t>
      </w:r>
      <w:r w:rsidRPr="00D03F3E">
        <w:rPr>
          <w:rFonts w:ascii="Times New Roman" w:hAnsi="Times New Roman"/>
          <w:color w:val="000000" w:themeColor="text1"/>
          <w:sz w:val="16"/>
          <w:szCs w:val="16"/>
        </w:rPr>
        <w:softHyphen/>
        <w:t>мя парами истребителей Фв190 еще до подхода к цели в районе Хмелевая. Пилоты люфтваффе провели одновре</w:t>
      </w:r>
      <w:r w:rsidRPr="00D03F3E">
        <w:rPr>
          <w:rFonts w:ascii="Times New Roman" w:hAnsi="Times New Roman"/>
          <w:color w:val="000000" w:themeColor="text1"/>
          <w:sz w:val="16"/>
          <w:szCs w:val="16"/>
        </w:rPr>
        <w:softHyphen/>
        <w:t>менные атаки справа сзади и слева снизу сзади на замыкающие в группе штурмовики. Огонь велся с дистанции 150-200 м, что оказалось небезопас</w:t>
      </w:r>
      <w:r w:rsidRPr="00D03F3E">
        <w:rPr>
          <w:rFonts w:ascii="Times New Roman" w:hAnsi="Times New Roman"/>
          <w:color w:val="000000" w:themeColor="text1"/>
          <w:sz w:val="16"/>
          <w:szCs w:val="16"/>
        </w:rPr>
        <w:softHyphen/>
        <w:t>но для немецких летчиков. При отра</w:t>
      </w:r>
      <w:r w:rsidRPr="00D03F3E">
        <w:rPr>
          <w:rFonts w:ascii="Times New Roman" w:hAnsi="Times New Roman"/>
          <w:color w:val="000000" w:themeColor="text1"/>
          <w:sz w:val="16"/>
          <w:szCs w:val="16"/>
        </w:rPr>
        <w:softHyphen/>
        <w:t>жении второй атаки воздушные стрел</w:t>
      </w:r>
      <w:r w:rsidRPr="00D03F3E">
        <w:rPr>
          <w:rFonts w:ascii="Times New Roman" w:hAnsi="Times New Roman"/>
          <w:color w:val="000000" w:themeColor="text1"/>
          <w:sz w:val="16"/>
          <w:szCs w:val="16"/>
        </w:rPr>
        <w:softHyphen/>
        <w:t>ки ст. сержант Радченко и старшина Ульянов на пару "завалили" один "фок</w:t>
      </w:r>
      <w:r w:rsidRPr="00D03F3E">
        <w:rPr>
          <w:rFonts w:ascii="Times New Roman" w:hAnsi="Times New Roman"/>
          <w:color w:val="000000" w:themeColor="text1"/>
          <w:sz w:val="16"/>
          <w:szCs w:val="16"/>
        </w:rPr>
        <w:softHyphen/>
        <w:t>кер", который вовремя не вышел из атаки. Трасса Радченко легла по пе</w:t>
      </w:r>
      <w:r w:rsidRPr="00D03F3E">
        <w:rPr>
          <w:rFonts w:ascii="Times New Roman" w:hAnsi="Times New Roman"/>
          <w:color w:val="000000" w:themeColor="text1"/>
          <w:sz w:val="16"/>
          <w:szCs w:val="16"/>
        </w:rPr>
        <w:softHyphen/>
        <w:t>редней, а трасса Ульянова - по хвос</w:t>
      </w:r>
      <w:r w:rsidRPr="00D03F3E">
        <w:rPr>
          <w:rFonts w:ascii="Times New Roman" w:hAnsi="Times New Roman"/>
          <w:color w:val="000000" w:themeColor="text1"/>
          <w:sz w:val="16"/>
          <w:szCs w:val="16"/>
        </w:rPr>
        <w:softHyphen/>
        <w:t>товой части истребителя. Самолет за</w:t>
      </w:r>
      <w:r w:rsidRPr="00D03F3E">
        <w:rPr>
          <w:rFonts w:ascii="Times New Roman" w:hAnsi="Times New Roman"/>
          <w:color w:val="000000" w:themeColor="text1"/>
          <w:sz w:val="16"/>
          <w:szCs w:val="16"/>
        </w:rPr>
        <w:softHyphen/>
        <w:t>горелся и упал в районе Хмелевая. Истребители прикрытия от 519-го иап, находившиеся сзади и значитель</w:t>
      </w:r>
      <w:r w:rsidRPr="00D03F3E">
        <w:rPr>
          <w:rFonts w:ascii="Times New Roman" w:hAnsi="Times New Roman"/>
          <w:color w:val="000000" w:themeColor="text1"/>
          <w:sz w:val="16"/>
          <w:szCs w:val="16"/>
        </w:rPr>
        <w:softHyphen/>
        <w:t>но выше Ил-2, заметив атаку против</w:t>
      </w:r>
      <w:r w:rsidRPr="00D03F3E">
        <w:rPr>
          <w:rFonts w:ascii="Times New Roman" w:hAnsi="Times New Roman"/>
          <w:color w:val="000000" w:themeColor="text1"/>
          <w:sz w:val="16"/>
          <w:szCs w:val="16"/>
        </w:rPr>
        <w:softHyphen/>
        <w:t>ника, пытались защитить своих подо</w:t>
      </w:r>
      <w:r w:rsidRPr="00D03F3E">
        <w:rPr>
          <w:rFonts w:ascii="Times New Roman" w:hAnsi="Times New Roman"/>
          <w:color w:val="000000" w:themeColor="text1"/>
          <w:sz w:val="16"/>
          <w:szCs w:val="16"/>
        </w:rPr>
        <w:softHyphen/>
        <w:t>печных. В бой с противником вступила пара Як-76 из ударной группы в со</w:t>
      </w:r>
      <w:r w:rsidRPr="00D03F3E">
        <w:rPr>
          <w:rFonts w:ascii="Times New Roman" w:hAnsi="Times New Roman"/>
          <w:color w:val="000000" w:themeColor="text1"/>
          <w:sz w:val="16"/>
          <w:szCs w:val="16"/>
        </w:rPr>
        <w:softHyphen/>
        <w:t>ставе мл. лейтенантов Строева и Го-лосова. Молодые летчики, выполнявшие свой первый боевой вылет, смело по</w:t>
      </w:r>
      <w:r w:rsidRPr="00D03F3E">
        <w:rPr>
          <w:rFonts w:ascii="Times New Roman" w:hAnsi="Times New Roman"/>
          <w:color w:val="000000" w:themeColor="text1"/>
          <w:sz w:val="16"/>
          <w:szCs w:val="16"/>
        </w:rPr>
        <w:softHyphen/>
        <w:t>шли в лобовую атаку на ближайшую пару "фокке-вульфов". Пилоты люфт</w:t>
      </w:r>
      <w:r w:rsidRPr="00D03F3E">
        <w:rPr>
          <w:rFonts w:ascii="Times New Roman" w:hAnsi="Times New Roman"/>
          <w:color w:val="000000" w:themeColor="text1"/>
          <w:sz w:val="16"/>
          <w:szCs w:val="16"/>
        </w:rPr>
        <w:softHyphen/>
        <w:t>ваффе вызов приняли. Атака на встреч</w:t>
      </w:r>
      <w:r w:rsidRPr="00D03F3E">
        <w:rPr>
          <w:rFonts w:ascii="Times New Roman" w:hAnsi="Times New Roman"/>
          <w:color w:val="000000" w:themeColor="text1"/>
          <w:sz w:val="16"/>
          <w:szCs w:val="16"/>
        </w:rPr>
        <w:softHyphen/>
        <w:t>ных курсах ни для одной из сторон успехом не увенчалась. Проскочив мимо наших истребителей, "фокке-вульфы" с боевым разворотом ушли вверх. Ведущий нашей пары мл. л-т Строев также с набором высоты ушел вверх. К несчастью, его ведомый мл. л-т Го</w:t>
      </w:r>
      <w:r w:rsidRPr="00D03F3E">
        <w:rPr>
          <w:rFonts w:ascii="Times New Roman" w:hAnsi="Times New Roman"/>
          <w:color w:val="000000" w:themeColor="text1"/>
          <w:sz w:val="16"/>
          <w:szCs w:val="16"/>
        </w:rPr>
        <w:softHyphen/>
        <w:t>лосов оторвался при маневрировании и встал в вираж. Этим сразу же вос</w:t>
      </w:r>
      <w:r w:rsidRPr="00D03F3E">
        <w:rPr>
          <w:rFonts w:ascii="Times New Roman" w:hAnsi="Times New Roman"/>
          <w:color w:val="000000" w:themeColor="text1"/>
          <w:sz w:val="16"/>
          <w:szCs w:val="16"/>
        </w:rPr>
        <w:softHyphen/>
        <w:t>пользовался противник. Одиночный "Як" был атакован парой "фоккеров". Один Фв190 атаковал сверху справа, а второй - сверху слева. Заметив атаку противника на ведомого, мл. л-т Стро</w:t>
      </w:r>
      <w:r w:rsidRPr="00D03F3E">
        <w:rPr>
          <w:rFonts w:ascii="Times New Roman" w:hAnsi="Times New Roman"/>
          <w:color w:val="000000" w:themeColor="text1"/>
          <w:sz w:val="16"/>
          <w:szCs w:val="16"/>
        </w:rPr>
        <w:softHyphen/>
        <w:t>ев энергичным разворотом вышел в атаку на ведущего немецкой пары и длинной очередью сбил его. Однако второй "фокке-вульф", "имея преимущество в высоте над Голосовым", ус</w:t>
      </w:r>
      <w:r w:rsidRPr="00D03F3E">
        <w:rPr>
          <w:rFonts w:ascii="Times New Roman" w:hAnsi="Times New Roman"/>
          <w:color w:val="000000" w:themeColor="text1"/>
          <w:sz w:val="16"/>
          <w:szCs w:val="16"/>
        </w:rPr>
        <w:softHyphen/>
        <w:t>пел сделать одну точную длинную оче</w:t>
      </w:r>
      <w:r w:rsidRPr="00D03F3E">
        <w:rPr>
          <w:rFonts w:ascii="Times New Roman" w:hAnsi="Times New Roman"/>
          <w:color w:val="000000" w:themeColor="text1"/>
          <w:sz w:val="16"/>
          <w:szCs w:val="16"/>
        </w:rPr>
        <w:softHyphen/>
        <w:t>редь, после чего вышел из боя пики</w:t>
      </w:r>
      <w:r w:rsidRPr="00D03F3E">
        <w:rPr>
          <w:rFonts w:ascii="Times New Roman" w:hAnsi="Times New Roman"/>
          <w:color w:val="000000" w:themeColor="text1"/>
          <w:sz w:val="16"/>
          <w:szCs w:val="16"/>
        </w:rPr>
        <w:softHyphen/>
        <w:t>рованием на предельно малую высо</w:t>
      </w:r>
      <w:r w:rsidRPr="00D03F3E">
        <w:rPr>
          <w:rFonts w:ascii="Times New Roman" w:hAnsi="Times New Roman"/>
          <w:color w:val="000000" w:themeColor="text1"/>
          <w:sz w:val="16"/>
          <w:szCs w:val="16"/>
        </w:rPr>
        <w:softHyphen/>
        <w:t>ту. Строев "достать" его не сумел. Самолет Голосова упал недалеко от места падения "фокке-вульфа" в рай</w:t>
      </w:r>
      <w:r w:rsidRPr="00D03F3E">
        <w:rPr>
          <w:rFonts w:ascii="Times New Roman" w:hAnsi="Times New Roman"/>
          <w:color w:val="000000" w:themeColor="text1"/>
          <w:sz w:val="16"/>
          <w:szCs w:val="16"/>
        </w:rPr>
        <w:softHyphen/>
        <w:t>оне Никольское. Подтверждение на сбитый Строевым немецкий истреби</w:t>
      </w:r>
      <w:r w:rsidRPr="00D03F3E">
        <w:rPr>
          <w:rFonts w:ascii="Times New Roman" w:hAnsi="Times New Roman"/>
          <w:color w:val="000000" w:themeColor="text1"/>
          <w:sz w:val="16"/>
          <w:szCs w:val="16"/>
        </w:rPr>
        <w:softHyphen/>
        <w:t>тель дал ведущий группы командир эскадрильи к-н Михалев. Самоотверженные действия истре</w:t>
      </w:r>
      <w:r w:rsidRPr="00D03F3E">
        <w:rPr>
          <w:rFonts w:ascii="Times New Roman" w:hAnsi="Times New Roman"/>
          <w:color w:val="000000" w:themeColor="text1"/>
          <w:sz w:val="16"/>
          <w:szCs w:val="16"/>
        </w:rPr>
        <w:softHyphen/>
        <w:t>бителей прикрытия дали возможность штурмовикам перестроиться в левый пеленг для атаки аэродрома. Как только группы вошли в зону дей</w:t>
      </w:r>
      <w:r w:rsidRPr="00D03F3E">
        <w:rPr>
          <w:rFonts w:ascii="Times New Roman" w:hAnsi="Times New Roman"/>
          <w:color w:val="000000" w:themeColor="text1"/>
          <w:sz w:val="16"/>
          <w:szCs w:val="16"/>
        </w:rPr>
        <w:softHyphen/>
        <w:t>ствия зенитной артиллерии в районе аэродрома, сопровождающие истре</w:t>
      </w:r>
      <w:r w:rsidRPr="00D03F3E">
        <w:rPr>
          <w:rFonts w:ascii="Times New Roman" w:hAnsi="Times New Roman"/>
          <w:color w:val="000000" w:themeColor="text1"/>
          <w:sz w:val="16"/>
          <w:szCs w:val="16"/>
        </w:rPr>
        <w:softHyphen/>
        <w:t>бители сразу же отвернули в сторону и ушли с набором высоты: "Больше их экипажи штурмовиков не наблюдали". На выходе из атаки штурмовики были атакованы до 12 Рм190. Атаки истребителей противника проводились группами по 3-4 самолета одновремен</w:t>
      </w:r>
      <w:r w:rsidRPr="00D03F3E">
        <w:rPr>
          <w:rFonts w:ascii="Times New Roman" w:hAnsi="Times New Roman"/>
          <w:color w:val="000000" w:themeColor="text1"/>
          <w:sz w:val="16"/>
          <w:szCs w:val="16"/>
        </w:rPr>
        <w:softHyphen/>
        <w:t>но с разных сторон и направлений. В первой же атаке был сбит четвертый ведомый в группе. Объятый пламенем Ил-2 упал в районе Знаменка. При отражении второй атаки уда</w:t>
      </w:r>
      <w:r w:rsidRPr="00D03F3E">
        <w:rPr>
          <w:rFonts w:ascii="Times New Roman" w:hAnsi="Times New Roman"/>
          <w:color w:val="000000" w:themeColor="text1"/>
          <w:sz w:val="16"/>
          <w:szCs w:val="16"/>
        </w:rPr>
        <w:softHyphen/>
        <w:t>ча вновь сопутствовала воздушному стрелку ст. сержанту Радченко, кото</w:t>
      </w:r>
      <w:r w:rsidRPr="00D03F3E">
        <w:rPr>
          <w:rFonts w:ascii="Times New Roman" w:hAnsi="Times New Roman"/>
          <w:color w:val="000000" w:themeColor="text1"/>
          <w:sz w:val="16"/>
          <w:szCs w:val="16"/>
        </w:rPr>
        <w:softHyphen/>
        <w:t>рый двумя длинными очередями со 100 м сбил еще один Фв190. Истребитель упал в районе Знаменка. В дальнейшем пилотам люфтваффе удалось "расколоть" группу штурмови</w:t>
      </w:r>
      <w:r w:rsidRPr="00D03F3E">
        <w:rPr>
          <w:rFonts w:ascii="Times New Roman" w:hAnsi="Times New Roman"/>
          <w:color w:val="000000" w:themeColor="text1"/>
          <w:sz w:val="16"/>
          <w:szCs w:val="16"/>
        </w:rPr>
        <w:softHyphen/>
        <w:t>ков на пары, которые отбивались са</w:t>
      </w:r>
      <w:r w:rsidRPr="00D03F3E">
        <w:rPr>
          <w:rFonts w:ascii="Times New Roman" w:hAnsi="Times New Roman"/>
          <w:color w:val="000000" w:themeColor="text1"/>
          <w:sz w:val="16"/>
          <w:szCs w:val="16"/>
        </w:rPr>
        <w:softHyphen/>
        <w:t>мостоятельно и с боем отходили на свою территорию. В ходе крайне на</w:t>
      </w:r>
      <w:r w:rsidRPr="00D03F3E">
        <w:rPr>
          <w:rFonts w:ascii="Times New Roman" w:hAnsi="Times New Roman"/>
          <w:color w:val="000000" w:themeColor="text1"/>
          <w:sz w:val="16"/>
          <w:szCs w:val="16"/>
        </w:rPr>
        <w:softHyphen/>
        <w:t>пряженного воздушного боя были под</w:t>
      </w:r>
      <w:r w:rsidRPr="00D03F3E">
        <w:rPr>
          <w:rFonts w:ascii="Times New Roman" w:hAnsi="Times New Roman"/>
          <w:color w:val="000000" w:themeColor="text1"/>
          <w:sz w:val="16"/>
          <w:szCs w:val="16"/>
        </w:rPr>
        <w:softHyphen/>
        <w:t>биты и упали по маршруту возвраще</w:t>
      </w:r>
      <w:r w:rsidRPr="00D03F3E">
        <w:rPr>
          <w:rFonts w:ascii="Times New Roman" w:hAnsi="Times New Roman"/>
          <w:color w:val="000000" w:themeColor="text1"/>
          <w:sz w:val="16"/>
          <w:szCs w:val="16"/>
        </w:rPr>
        <w:softHyphen/>
        <w:t>ния три Ил-2. Воздушному стрелку ст. сержанту Панкову удалось подбить атаковавший их пару истребитель про</w:t>
      </w:r>
      <w:r w:rsidRPr="00D03F3E">
        <w:rPr>
          <w:rFonts w:ascii="Times New Roman" w:hAnsi="Times New Roman"/>
          <w:color w:val="000000" w:themeColor="text1"/>
          <w:sz w:val="16"/>
          <w:szCs w:val="16"/>
        </w:rPr>
        <w:softHyphen/>
        <w:t>тивника. "Фоккер" резко отвернул в сторону и со снижением вышел из боя. Как следует из документов 519-го иап, летчики полка в районе Дубовик вели воздушный бой с 6 Фв190 про</w:t>
      </w:r>
      <w:r w:rsidRPr="00D03F3E">
        <w:rPr>
          <w:rFonts w:ascii="Times New Roman" w:hAnsi="Times New Roman"/>
          <w:color w:val="000000" w:themeColor="text1"/>
          <w:sz w:val="16"/>
          <w:szCs w:val="16"/>
        </w:rPr>
        <w:softHyphen/>
        <w:t>тивника, из которых два "фокке-вуль-фа" пытались атаковать ведущую пару Ил-2, а четверка "фоккеров" - связа</w:t>
      </w:r>
      <w:r w:rsidRPr="00D03F3E">
        <w:rPr>
          <w:rFonts w:ascii="Times New Roman" w:hAnsi="Times New Roman"/>
          <w:color w:val="000000" w:themeColor="text1"/>
          <w:sz w:val="16"/>
          <w:szCs w:val="16"/>
        </w:rPr>
        <w:softHyphen/>
        <w:t>ла боем "Яки" прикрытия. В воздушном бою отличился веду</w:t>
      </w:r>
      <w:r w:rsidRPr="00D03F3E">
        <w:rPr>
          <w:rFonts w:ascii="Times New Roman" w:hAnsi="Times New Roman"/>
          <w:color w:val="000000" w:themeColor="text1"/>
          <w:sz w:val="16"/>
          <w:szCs w:val="16"/>
        </w:rPr>
        <w:softHyphen/>
        <w:t>щий ударной группы заместитель ко</w:t>
      </w:r>
      <w:r w:rsidRPr="00D03F3E">
        <w:rPr>
          <w:rFonts w:ascii="Times New Roman" w:hAnsi="Times New Roman"/>
          <w:color w:val="000000" w:themeColor="text1"/>
          <w:sz w:val="16"/>
          <w:szCs w:val="16"/>
        </w:rPr>
        <w:softHyphen/>
        <w:t>мандира эскадрильи мл. л-т Колесни-ченко, который, отсекая немецкие ис</w:t>
      </w:r>
      <w:r w:rsidRPr="00D03F3E">
        <w:rPr>
          <w:rFonts w:ascii="Times New Roman" w:hAnsi="Times New Roman"/>
          <w:color w:val="000000" w:themeColor="text1"/>
          <w:sz w:val="16"/>
          <w:szCs w:val="16"/>
        </w:rPr>
        <w:softHyphen/>
        <w:t>требители от штурмовиков, умудрился сбить оба "фокке-вульфа". Пилот пер</w:t>
      </w:r>
      <w:r w:rsidRPr="00D03F3E">
        <w:rPr>
          <w:rFonts w:ascii="Times New Roman" w:hAnsi="Times New Roman"/>
          <w:color w:val="000000" w:themeColor="text1"/>
          <w:sz w:val="16"/>
          <w:szCs w:val="16"/>
        </w:rPr>
        <w:softHyphen/>
        <w:t>вого Руу190 на поврежденном самоле</w:t>
      </w:r>
      <w:r w:rsidRPr="00D03F3E">
        <w:rPr>
          <w:rFonts w:ascii="Times New Roman" w:hAnsi="Times New Roman"/>
          <w:color w:val="000000" w:themeColor="text1"/>
          <w:sz w:val="16"/>
          <w:szCs w:val="16"/>
        </w:rPr>
        <w:softHyphen/>
        <w:t>те пытался выйти из-под атаки правым разворотом, "но задел правой плос</w:t>
      </w:r>
      <w:r w:rsidRPr="00D03F3E">
        <w:rPr>
          <w:rFonts w:ascii="Times New Roman" w:hAnsi="Times New Roman"/>
          <w:color w:val="000000" w:themeColor="text1"/>
          <w:sz w:val="16"/>
          <w:szCs w:val="16"/>
        </w:rPr>
        <w:softHyphen/>
        <w:t>костью о землю, перевернулся и сго</w:t>
      </w:r>
      <w:r w:rsidRPr="00D03F3E">
        <w:rPr>
          <w:rFonts w:ascii="Times New Roman" w:hAnsi="Times New Roman"/>
          <w:color w:val="000000" w:themeColor="text1"/>
          <w:sz w:val="16"/>
          <w:szCs w:val="16"/>
        </w:rPr>
        <w:softHyphen/>
        <w:t>рел". Второй немецкий летчик, "заме</w:t>
      </w:r>
      <w:r w:rsidRPr="00D03F3E">
        <w:rPr>
          <w:rFonts w:ascii="Times New Roman" w:hAnsi="Times New Roman"/>
          <w:color w:val="000000" w:themeColor="text1"/>
          <w:sz w:val="16"/>
          <w:szCs w:val="16"/>
        </w:rPr>
        <w:softHyphen/>
        <w:t>тив трассу огня, боевым разворотом вышел на Холесниченко и атаковал его", но наш летчик оказался провор</w:t>
      </w:r>
      <w:r w:rsidRPr="00D03F3E">
        <w:rPr>
          <w:rFonts w:ascii="Times New Roman" w:hAnsi="Times New Roman"/>
          <w:color w:val="000000" w:themeColor="text1"/>
          <w:sz w:val="16"/>
          <w:szCs w:val="16"/>
        </w:rPr>
        <w:softHyphen/>
        <w:t>нее и с дистанции 30-40 м двумя оче</w:t>
      </w:r>
      <w:r w:rsidRPr="00D03F3E">
        <w:rPr>
          <w:rFonts w:ascii="Times New Roman" w:hAnsi="Times New Roman"/>
          <w:color w:val="000000" w:themeColor="text1"/>
          <w:sz w:val="16"/>
          <w:szCs w:val="16"/>
        </w:rPr>
        <w:softHyphen/>
        <w:t>редями сбил "фокке-вульф". Безвозвратные потери 79-го гшап при ударе по аэродрому Орел-Центральный составили 5 летчиков и 4 воз</w:t>
      </w:r>
      <w:r w:rsidRPr="00D03F3E">
        <w:rPr>
          <w:rFonts w:ascii="Times New Roman" w:hAnsi="Times New Roman"/>
          <w:color w:val="000000" w:themeColor="text1"/>
          <w:sz w:val="16"/>
          <w:szCs w:val="16"/>
        </w:rPr>
        <w:softHyphen/>
        <w:t>душных стрелка. С боевого задания не вернулись: заместитель командира эс</w:t>
      </w:r>
      <w:r w:rsidRPr="00D03F3E">
        <w:rPr>
          <w:rFonts w:ascii="Times New Roman" w:hAnsi="Times New Roman"/>
          <w:color w:val="000000" w:themeColor="text1"/>
          <w:sz w:val="16"/>
          <w:szCs w:val="16"/>
        </w:rPr>
        <w:softHyphen/>
        <w:t>кадрильи ст. л-т Н. П. Кириллов (воз</w:t>
      </w:r>
      <w:r w:rsidRPr="00D03F3E">
        <w:rPr>
          <w:rFonts w:ascii="Times New Roman" w:hAnsi="Times New Roman"/>
          <w:color w:val="000000" w:themeColor="text1"/>
          <w:sz w:val="16"/>
          <w:szCs w:val="16"/>
        </w:rPr>
        <w:softHyphen/>
        <w:t>душный стрелок ст. сержант И.И. Ба-рабаш), командир звена л-т М.П. Уша</w:t>
      </w:r>
      <w:r w:rsidRPr="00D03F3E">
        <w:rPr>
          <w:rFonts w:ascii="Times New Roman" w:hAnsi="Times New Roman"/>
          <w:color w:val="000000" w:themeColor="text1"/>
          <w:sz w:val="16"/>
          <w:szCs w:val="16"/>
        </w:rPr>
        <w:softHyphen/>
        <w:t xml:space="preserve">ков (воздушный стрелок сержант В.М. Голев), летчик </w:t>
      </w:r>
      <w:r w:rsidRPr="00D03F3E">
        <w:rPr>
          <w:rFonts w:ascii="Times New Roman" w:hAnsi="Times New Roman"/>
          <w:color w:val="000000" w:themeColor="text1"/>
          <w:sz w:val="16"/>
          <w:szCs w:val="16"/>
        </w:rPr>
        <w:lastRenderedPageBreak/>
        <w:t>мл. л-т Н.У. Кувардин, летчик мл. л-т В.С. Рябухин, летчик мл. л-т А.И. Пацук (воздушный стрелок красноармеец А.Я. Степанов). В воз</w:t>
      </w:r>
      <w:r w:rsidRPr="00D03F3E">
        <w:rPr>
          <w:rFonts w:ascii="Times New Roman" w:hAnsi="Times New Roman"/>
          <w:color w:val="000000" w:themeColor="text1"/>
          <w:sz w:val="16"/>
          <w:szCs w:val="16"/>
        </w:rPr>
        <w:softHyphen/>
        <w:t>душном бою был убит воздушный стре</w:t>
      </w:r>
      <w:r w:rsidRPr="00D03F3E">
        <w:rPr>
          <w:rFonts w:ascii="Times New Roman" w:hAnsi="Times New Roman"/>
          <w:color w:val="000000" w:themeColor="text1"/>
          <w:sz w:val="16"/>
          <w:szCs w:val="16"/>
        </w:rPr>
        <w:softHyphen/>
        <w:t>лок старшина А.П. Ульянов (похоро</w:t>
      </w:r>
      <w:r w:rsidRPr="00D03F3E">
        <w:rPr>
          <w:rFonts w:ascii="Times New Roman" w:hAnsi="Times New Roman"/>
          <w:color w:val="000000" w:themeColor="text1"/>
          <w:sz w:val="16"/>
          <w:szCs w:val="16"/>
        </w:rPr>
        <w:softHyphen/>
        <w:t>нен 7 мая на аэродроме Курск-Юж</w:t>
      </w:r>
      <w:r w:rsidRPr="00D03F3E">
        <w:rPr>
          <w:rFonts w:ascii="Times New Roman" w:hAnsi="Times New Roman"/>
          <w:color w:val="000000" w:themeColor="text1"/>
          <w:sz w:val="16"/>
          <w:szCs w:val="16"/>
        </w:rPr>
        <w:softHyphen/>
        <w:t>ный со всеми воинскими почестями). Кроме этого, мл. л-т Савинский на поврежденном самолете произвел вы</w:t>
      </w:r>
      <w:r w:rsidRPr="00D03F3E">
        <w:rPr>
          <w:rFonts w:ascii="Times New Roman" w:hAnsi="Times New Roman"/>
          <w:color w:val="000000" w:themeColor="text1"/>
          <w:sz w:val="16"/>
          <w:szCs w:val="16"/>
        </w:rPr>
        <w:softHyphen/>
        <w:t>нужденную посадку в районе Льгов. К сказанному следует добавить, что налет бомбардировщиков 241-й бад на аэродром Орел-Центральный за вершился также неудачно, как и удар штурмовиков. Группа в составе 7 Пе-2 от 24-го бап подверглась почти пол</w:t>
      </w:r>
      <w:r w:rsidRPr="00D03F3E">
        <w:rPr>
          <w:rFonts w:ascii="Times New Roman" w:hAnsi="Times New Roman"/>
          <w:color w:val="000000" w:themeColor="text1"/>
          <w:sz w:val="16"/>
          <w:szCs w:val="16"/>
        </w:rPr>
        <w:softHyphen/>
        <w:t>ному разгрому истребителями против</w:t>
      </w:r>
      <w:r w:rsidRPr="00D03F3E">
        <w:rPr>
          <w:rFonts w:ascii="Times New Roman" w:hAnsi="Times New Roman"/>
          <w:color w:val="000000" w:themeColor="text1"/>
          <w:sz w:val="16"/>
          <w:szCs w:val="16"/>
        </w:rPr>
        <w:softHyphen/>
        <w:t>ника. На свой аэродром на "битых" машинах вернулись только два экипа</w:t>
      </w:r>
      <w:r w:rsidRPr="00D03F3E">
        <w:rPr>
          <w:rFonts w:ascii="Times New Roman" w:hAnsi="Times New Roman"/>
          <w:color w:val="000000" w:themeColor="text1"/>
          <w:sz w:val="16"/>
          <w:szCs w:val="16"/>
        </w:rPr>
        <w:softHyphen/>
        <w:t>жа, три "пешки" были потеряны без</w:t>
      </w:r>
      <w:r w:rsidRPr="00D03F3E">
        <w:rPr>
          <w:rFonts w:ascii="Times New Roman" w:hAnsi="Times New Roman"/>
          <w:color w:val="000000" w:themeColor="text1"/>
          <w:sz w:val="16"/>
          <w:szCs w:val="16"/>
        </w:rPr>
        <w:softHyphen/>
        <w:t>возвратно, и две - разбиты на вынуж</w:t>
      </w:r>
      <w:r w:rsidRPr="00D03F3E">
        <w:rPr>
          <w:rFonts w:ascii="Times New Roman" w:hAnsi="Times New Roman"/>
          <w:color w:val="000000" w:themeColor="text1"/>
          <w:sz w:val="16"/>
          <w:szCs w:val="16"/>
        </w:rPr>
        <w:softHyphen/>
        <w:t>денных посадках и требовали длитель</w:t>
      </w:r>
      <w:r w:rsidRPr="00D03F3E">
        <w:rPr>
          <w:rFonts w:ascii="Times New Roman" w:hAnsi="Times New Roman"/>
          <w:color w:val="000000" w:themeColor="text1"/>
          <w:sz w:val="16"/>
          <w:szCs w:val="16"/>
        </w:rPr>
        <w:softHyphen/>
        <w:t>ного ремонта. Один Пе-2 был сбит над целью ог</w:t>
      </w:r>
      <w:r w:rsidRPr="00D03F3E">
        <w:rPr>
          <w:rFonts w:ascii="Times New Roman" w:hAnsi="Times New Roman"/>
          <w:color w:val="000000" w:themeColor="text1"/>
          <w:sz w:val="16"/>
          <w:szCs w:val="16"/>
        </w:rPr>
        <w:softHyphen/>
        <w:t>нем зенитной артиллерии. В районе аэродрома и на отходе от него бом</w:t>
      </w:r>
      <w:r w:rsidRPr="00D03F3E">
        <w:rPr>
          <w:rFonts w:ascii="Times New Roman" w:hAnsi="Times New Roman"/>
          <w:color w:val="000000" w:themeColor="text1"/>
          <w:sz w:val="16"/>
          <w:szCs w:val="16"/>
        </w:rPr>
        <w:softHyphen/>
        <w:t>бардировщики были атакованы в об</w:t>
      </w:r>
      <w:r w:rsidRPr="00D03F3E">
        <w:rPr>
          <w:rFonts w:ascii="Times New Roman" w:hAnsi="Times New Roman"/>
          <w:color w:val="000000" w:themeColor="text1"/>
          <w:sz w:val="16"/>
          <w:szCs w:val="16"/>
        </w:rPr>
        <w:softHyphen/>
        <w:t>щей сложности 10-14 ру^190. Истре</w:t>
      </w:r>
      <w:r w:rsidRPr="00D03F3E">
        <w:rPr>
          <w:rFonts w:ascii="Times New Roman" w:hAnsi="Times New Roman"/>
          <w:color w:val="000000" w:themeColor="text1"/>
          <w:sz w:val="16"/>
          <w:szCs w:val="16"/>
        </w:rPr>
        <w:softHyphen/>
        <w:t>бители прикрытия - 6 Ла-5 от 165-го иап (ведущий к-н Иванов) - полностью не смогли защитить своих подопечных от атак пилотов люфтваффе. Силы были явно не равными. Одно звено Ла-5 вело воздушный бой с четверкой "фоккеров" в районе аэродрома, а второе - пы</w:t>
      </w:r>
      <w:r w:rsidRPr="00D03F3E">
        <w:rPr>
          <w:rFonts w:ascii="Times New Roman" w:hAnsi="Times New Roman"/>
          <w:color w:val="000000" w:themeColor="text1"/>
          <w:sz w:val="16"/>
          <w:szCs w:val="16"/>
        </w:rPr>
        <w:softHyphen/>
        <w:t>талось отражать атаки 10 Р^190 на "пешки" на подходе к ст. Ивановская. В ходе воздушного боя был подожжен еще один Пе-2. Экипаж выбросился на парашютах. По докладам летчиков 24-го бап, немецкие истребители расстреляли экипаж "пешки" в воздухе. Вско</w:t>
      </w:r>
      <w:r w:rsidRPr="00D03F3E">
        <w:rPr>
          <w:rFonts w:ascii="Times New Roman" w:hAnsi="Times New Roman"/>
          <w:color w:val="000000" w:themeColor="text1"/>
          <w:sz w:val="16"/>
          <w:szCs w:val="16"/>
        </w:rPr>
        <w:softHyphen/>
        <w:t>ре на помощь подошли "аэрокобры" от 30-го гиап 1-й гиад и свои "лавоч-кины". Силы сторон уравнялись. В воз</w:t>
      </w:r>
      <w:r w:rsidRPr="00D03F3E">
        <w:rPr>
          <w:rFonts w:ascii="Times New Roman" w:hAnsi="Times New Roman"/>
          <w:color w:val="000000" w:themeColor="text1"/>
          <w:sz w:val="16"/>
          <w:szCs w:val="16"/>
        </w:rPr>
        <w:softHyphen/>
        <w:t>душном бою были сбиты один Ла-5 и одна "кобра" с нашей стороны и два "фоккера" с немецкой. Истребители противника стали парами выходить из боя. К этому времени две "пешки" по</w:t>
      </w:r>
      <w:r w:rsidRPr="00D03F3E">
        <w:rPr>
          <w:rFonts w:ascii="Times New Roman" w:hAnsi="Times New Roman"/>
          <w:color w:val="000000" w:themeColor="text1"/>
          <w:sz w:val="16"/>
          <w:szCs w:val="16"/>
        </w:rPr>
        <w:softHyphen/>
        <w:t>лучили серьезные повреждения. При этом летчик сержант Коломинский был ранен в ногу. Истребители прикрытия, пристроившись к Коломинскому, сопро</w:t>
      </w:r>
      <w:r w:rsidRPr="00D03F3E">
        <w:rPr>
          <w:rFonts w:ascii="Times New Roman" w:hAnsi="Times New Roman"/>
          <w:color w:val="000000" w:themeColor="text1"/>
          <w:sz w:val="16"/>
          <w:szCs w:val="16"/>
        </w:rPr>
        <w:softHyphen/>
        <w:t>вождали самолет до аэродрома Вы-ползово, где раненый сержант благо</w:t>
      </w:r>
      <w:r w:rsidRPr="00D03F3E">
        <w:rPr>
          <w:rFonts w:ascii="Times New Roman" w:hAnsi="Times New Roman"/>
          <w:color w:val="000000" w:themeColor="text1"/>
          <w:sz w:val="16"/>
          <w:szCs w:val="16"/>
        </w:rPr>
        <w:softHyphen/>
        <w:t>получно произвел посадку. Ведущий группы к-н Клейменов на поврежден</w:t>
      </w:r>
      <w:r w:rsidRPr="00D03F3E">
        <w:rPr>
          <w:rFonts w:ascii="Times New Roman" w:hAnsi="Times New Roman"/>
          <w:color w:val="000000" w:themeColor="text1"/>
          <w:sz w:val="16"/>
          <w:szCs w:val="16"/>
        </w:rPr>
        <w:softHyphen/>
        <w:t>ной машине сел на вынужденную по</w:t>
      </w:r>
      <w:r w:rsidRPr="00D03F3E">
        <w:rPr>
          <w:rFonts w:ascii="Times New Roman" w:hAnsi="Times New Roman"/>
          <w:color w:val="000000" w:themeColor="text1"/>
          <w:sz w:val="16"/>
          <w:szCs w:val="16"/>
        </w:rPr>
        <w:softHyphen/>
        <w:t>садку с убранными шасси в районе Верховые Ноги. Еще один экипаж Пе-2 пропал. О его судьбе ничего не из</w:t>
      </w:r>
      <w:r w:rsidRPr="00D03F3E">
        <w:rPr>
          <w:rFonts w:ascii="Times New Roman" w:hAnsi="Times New Roman"/>
          <w:color w:val="000000" w:themeColor="text1"/>
          <w:sz w:val="16"/>
          <w:szCs w:val="16"/>
        </w:rPr>
        <w:softHyphen/>
        <w:t>вестно. Из группы прикрытия от 165-го иап на свой аэродром не вернулся л-т Булгаков (Ла-5 зав. № 1531). Подтверждение на сбитые дали все летчики ударной группы: мл. л-т Ор</w:t>
      </w:r>
      <w:r w:rsidRPr="00D03F3E">
        <w:rPr>
          <w:rFonts w:ascii="Times New Roman" w:hAnsi="Times New Roman"/>
          <w:color w:val="000000" w:themeColor="text1"/>
          <w:sz w:val="16"/>
          <w:szCs w:val="16"/>
        </w:rPr>
        <w:softHyphen/>
        <w:t>лов, мл. л-т Овчинников и сержант Обухов. Нельзя умолчать и о факте безот</w:t>
      </w:r>
      <w:r w:rsidRPr="00D03F3E">
        <w:rPr>
          <w:rFonts w:ascii="Times New Roman" w:hAnsi="Times New Roman"/>
          <w:color w:val="000000" w:themeColor="text1"/>
          <w:sz w:val="16"/>
          <w:szCs w:val="16"/>
        </w:rPr>
        <w:softHyphen/>
        <w:t>ветственного отношения командования 79-го гшап в лице временно исполня</w:t>
      </w:r>
      <w:r w:rsidRPr="00D03F3E">
        <w:rPr>
          <w:rFonts w:ascii="Times New Roman" w:hAnsi="Times New Roman"/>
          <w:color w:val="000000" w:themeColor="text1"/>
          <w:sz w:val="16"/>
          <w:szCs w:val="16"/>
        </w:rPr>
        <w:softHyphen/>
        <w:t>ющего должность командира полка майора Чухаева и начальника штаба полка майора Скрипнюка к подготов</w:t>
      </w:r>
      <w:r w:rsidRPr="00D03F3E">
        <w:rPr>
          <w:rFonts w:ascii="Times New Roman" w:hAnsi="Times New Roman"/>
          <w:color w:val="000000" w:themeColor="text1"/>
          <w:sz w:val="16"/>
          <w:szCs w:val="16"/>
        </w:rPr>
        <w:softHyphen/>
        <w:t>ке и организации боевого вылета. Как показало'расследование, на са</w:t>
      </w:r>
      <w:r w:rsidRPr="00D03F3E">
        <w:rPr>
          <w:rFonts w:ascii="Times New Roman" w:hAnsi="Times New Roman"/>
          <w:color w:val="000000" w:themeColor="text1"/>
          <w:sz w:val="16"/>
          <w:szCs w:val="16"/>
        </w:rPr>
        <w:softHyphen/>
        <w:t>молете ведущего второй группы Ил-2 капитана Винника не был установлен радиопередатчик. По этой причине Винник в ходе боевого вылета не мог ни управлять своими подчиненными по радио, ни давать необходимые указа</w:t>
      </w:r>
      <w:r w:rsidRPr="00D03F3E">
        <w:rPr>
          <w:rFonts w:ascii="Times New Roman" w:hAnsi="Times New Roman"/>
          <w:color w:val="000000" w:themeColor="text1"/>
          <w:sz w:val="16"/>
          <w:szCs w:val="16"/>
        </w:rPr>
        <w:softHyphen/>
        <w:t>ния истребителям прикрытия. Командир 283-й иод дважды-Герой Советского Союза генерал-лейтенант С.П. Денисов на "разборе полетов" справедливо указывал, что при нали</w:t>
      </w:r>
      <w:r w:rsidRPr="00D03F3E">
        <w:rPr>
          <w:rFonts w:ascii="Times New Roman" w:hAnsi="Times New Roman"/>
          <w:color w:val="000000" w:themeColor="text1"/>
          <w:sz w:val="16"/>
          <w:szCs w:val="16"/>
        </w:rPr>
        <w:softHyphen/>
        <w:t>чии двусторонней радиосвязи в груп</w:t>
      </w:r>
      <w:r w:rsidRPr="00D03F3E">
        <w:rPr>
          <w:rFonts w:ascii="Times New Roman" w:hAnsi="Times New Roman"/>
          <w:color w:val="000000" w:themeColor="text1"/>
          <w:sz w:val="16"/>
          <w:szCs w:val="16"/>
        </w:rPr>
        <w:softHyphen/>
        <w:t>пах результаты воздушного боя могли бы быть совершенно иными. Налеты бомбардировщиков 241-й бад на аэродромы Орел-ГВФ и Хме</w:t>
      </w:r>
      <w:r w:rsidRPr="00D03F3E">
        <w:rPr>
          <w:rFonts w:ascii="Times New Roman" w:hAnsi="Times New Roman"/>
          <w:color w:val="000000" w:themeColor="text1"/>
          <w:sz w:val="16"/>
          <w:szCs w:val="16"/>
        </w:rPr>
        <w:softHyphen/>
        <w:t>левая обошлись без потерь с нашей стороны. В результате удара "пешек" на аэродроме Орел-ГВФ наблюдались два больших взрыва и несколько оча</w:t>
      </w:r>
      <w:r w:rsidRPr="00D03F3E">
        <w:rPr>
          <w:rFonts w:ascii="Times New Roman" w:hAnsi="Times New Roman"/>
          <w:color w:val="000000" w:themeColor="text1"/>
          <w:sz w:val="16"/>
          <w:szCs w:val="16"/>
        </w:rPr>
        <w:softHyphen/>
        <w:t>гов пожара, около 5 самолетов заго</w:t>
      </w:r>
      <w:r w:rsidRPr="00D03F3E">
        <w:rPr>
          <w:rFonts w:ascii="Times New Roman" w:hAnsi="Times New Roman"/>
          <w:color w:val="000000" w:themeColor="text1"/>
          <w:sz w:val="16"/>
          <w:szCs w:val="16"/>
        </w:rPr>
        <w:softHyphen/>
        <w:t>релось. Результаты бомбометания по аэродрому Хмелевая экипажи не на</w:t>
      </w:r>
      <w:r w:rsidRPr="00D03F3E">
        <w:rPr>
          <w:rFonts w:ascii="Times New Roman" w:hAnsi="Times New Roman"/>
          <w:color w:val="000000" w:themeColor="text1"/>
          <w:sz w:val="16"/>
          <w:szCs w:val="16"/>
        </w:rPr>
        <w:softHyphen/>
        <w:t>блюдали ввиду облачности над ним. Возвратившиеся с боевого задания экипажи штурмовиков 79-го гшап до</w:t>
      </w:r>
      <w:r w:rsidRPr="00D03F3E">
        <w:rPr>
          <w:rFonts w:ascii="Times New Roman" w:hAnsi="Times New Roman"/>
          <w:color w:val="000000" w:themeColor="text1"/>
          <w:sz w:val="16"/>
          <w:szCs w:val="16"/>
        </w:rPr>
        <w:softHyphen/>
        <w:t>ложили, что им удалось уничтожить на аэродроме Орел-Центральный три са</w:t>
      </w:r>
      <w:r w:rsidRPr="00D03F3E">
        <w:rPr>
          <w:rFonts w:ascii="Times New Roman" w:hAnsi="Times New Roman"/>
          <w:color w:val="000000" w:themeColor="text1"/>
          <w:sz w:val="16"/>
          <w:szCs w:val="16"/>
        </w:rPr>
        <w:softHyphen/>
        <w:t>молета типа Ю88, взорвать склад бо</w:t>
      </w:r>
      <w:r w:rsidRPr="00D03F3E">
        <w:rPr>
          <w:rFonts w:ascii="Times New Roman" w:hAnsi="Times New Roman"/>
          <w:color w:val="000000" w:themeColor="text1"/>
          <w:sz w:val="16"/>
          <w:szCs w:val="16"/>
        </w:rPr>
        <w:softHyphen/>
        <w:t>еприпасов и подавить огонь двух ору</w:t>
      </w:r>
      <w:r w:rsidRPr="00D03F3E">
        <w:rPr>
          <w:rFonts w:ascii="Times New Roman" w:hAnsi="Times New Roman"/>
          <w:color w:val="000000" w:themeColor="text1"/>
          <w:sz w:val="16"/>
          <w:szCs w:val="16"/>
        </w:rPr>
        <w:softHyphen/>
        <w:t>дий зенитной артиллерии. Летчики "пе</w:t>
      </w:r>
      <w:r w:rsidRPr="00D03F3E">
        <w:rPr>
          <w:rFonts w:ascii="Times New Roman" w:hAnsi="Times New Roman"/>
          <w:color w:val="000000" w:themeColor="text1"/>
          <w:sz w:val="16"/>
          <w:szCs w:val="16"/>
        </w:rPr>
        <w:softHyphen/>
        <w:t>шек" наблюдали на аэродроме горя</w:t>
      </w:r>
      <w:r w:rsidRPr="00D03F3E">
        <w:rPr>
          <w:rFonts w:ascii="Times New Roman" w:hAnsi="Times New Roman"/>
          <w:color w:val="000000" w:themeColor="text1"/>
          <w:sz w:val="16"/>
          <w:szCs w:val="16"/>
        </w:rPr>
        <w:softHyphen/>
        <w:t>щими 5-7 самолетов, до 5 очагов по</w:t>
      </w:r>
      <w:r w:rsidRPr="00D03F3E">
        <w:rPr>
          <w:rFonts w:ascii="Times New Roman" w:hAnsi="Times New Roman"/>
          <w:color w:val="000000" w:themeColor="text1"/>
          <w:sz w:val="16"/>
          <w:szCs w:val="16"/>
        </w:rPr>
        <w:softHyphen/>
        <w:t>жара и на опушке леса "большой взрыв с высотой столба до 400 м черного цвета". При этом результаты бомбо</w:t>
      </w:r>
      <w:r w:rsidRPr="00D03F3E">
        <w:rPr>
          <w:rFonts w:ascii="Times New Roman" w:hAnsi="Times New Roman"/>
          <w:color w:val="000000" w:themeColor="text1"/>
          <w:sz w:val="16"/>
          <w:szCs w:val="16"/>
        </w:rPr>
        <w:softHyphen/>
        <w:t>метания Пе-2 фотографировались. По докладам 58-го гшап на аэро</w:t>
      </w:r>
      <w:r w:rsidRPr="00D03F3E">
        <w:rPr>
          <w:rFonts w:ascii="Times New Roman" w:hAnsi="Times New Roman"/>
          <w:color w:val="000000" w:themeColor="text1"/>
          <w:sz w:val="16"/>
          <w:szCs w:val="16"/>
        </w:rPr>
        <w:softHyphen/>
        <w:t>дромах Лаврова и Хмелевая ими было "уничтожено и повреждено до 7-8 са</w:t>
      </w:r>
      <w:r w:rsidRPr="00D03F3E">
        <w:rPr>
          <w:rFonts w:ascii="Times New Roman" w:hAnsi="Times New Roman"/>
          <w:color w:val="000000" w:themeColor="text1"/>
          <w:sz w:val="16"/>
          <w:szCs w:val="16"/>
        </w:rPr>
        <w:softHyphen/>
        <w:t>молетов и создано 5 очагов пожаров, один из них сопровождался черным дымом". По оценке экипажей летчиков 176-го и 519-го иап, на каждом ата</w:t>
      </w:r>
      <w:r w:rsidRPr="00D03F3E">
        <w:rPr>
          <w:rFonts w:ascii="Times New Roman" w:hAnsi="Times New Roman"/>
          <w:color w:val="000000" w:themeColor="text1"/>
          <w:sz w:val="16"/>
          <w:szCs w:val="16"/>
        </w:rPr>
        <w:softHyphen/>
        <w:t>кованном штурмовиками аэродроме "наблюдались по 4-5 очагов пожара" и не более. Потери противника отчасти подтвер</w:t>
      </w:r>
      <w:r w:rsidRPr="00D03F3E">
        <w:rPr>
          <w:rFonts w:ascii="Times New Roman" w:hAnsi="Times New Roman"/>
          <w:color w:val="000000" w:themeColor="text1"/>
          <w:sz w:val="16"/>
          <w:szCs w:val="16"/>
        </w:rPr>
        <w:softHyphen/>
        <w:t>ждаются и немецкими данными. Плен</w:t>
      </w:r>
      <w:r w:rsidRPr="00D03F3E">
        <w:rPr>
          <w:rFonts w:ascii="Times New Roman" w:hAnsi="Times New Roman"/>
          <w:color w:val="000000" w:themeColor="text1"/>
          <w:sz w:val="16"/>
          <w:szCs w:val="16"/>
        </w:rPr>
        <w:softHyphen/>
        <w:t>ный немецкий пилот 4-го отряда 11-й разведывательной группы 6-го ВФ обер-фельдфебель Г. Мекс, сбитый 24 мая 1943 г. в районе Поныри, на доп</w:t>
      </w:r>
      <w:r w:rsidRPr="00D03F3E">
        <w:rPr>
          <w:rFonts w:ascii="Times New Roman" w:hAnsi="Times New Roman"/>
          <w:color w:val="000000" w:themeColor="text1"/>
          <w:sz w:val="16"/>
          <w:szCs w:val="16"/>
        </w:rPr>
        <w:softHyphen/>
        <w:t>росе показал, что: "В результате бом</w:t>
      </w:r>
      <w:r w:rsidRPr="00D03F3E">
        <w:rPr>
          <w:rFonts w:ascii="Times New Roman" w:hAnsi="Times New Roman"/>
          <w:color w:val="000000" w:themeColor="text1"/>
          <w:sz w:val="16"/>
          <w:szCs w:val="16"/>
        </w:rPr>
        <w:softHyphen/>
        <w:t>бардировочного удара советской авиации по аэродрому Орел-Цент</w:t>
      </w:r>
      <w:r w:rsidRPr="00D03F3E">
        <w:rPr>
          <w:rFonts w:ascii="Times New Roman" w:hAnsi="Times New Roman"/>
          <w:color w:val="000000" w:themeColor="text1"/>
          <w:sz w:val="16"/>
          <w:szCs w:val="16"/>
        </w:rPr>
        <w:softHyphen/>
        <w:t>ральный 6 мая было сожжено и по</w:t>
      </w:r>
      <w:r w:rsidRPr="00D03F3E">
        <w:rPr>
          <w:rFonts w:ascii="Times New Roman" w:hAnsi="Times New Roman"/>
          <w:color w:val="000000" w:themeColor="text1"/>
          <w:sz w:val="16"/>
          <w:szCs w:val="16"/>
        </w:rPr>
        <w:softHyphen/>
        <w:t>вреждено много самолетов. Только наш отряд потерял три самолета Ю88". Как водится, при подготовке итого</w:t>
      </w:r>
      <w:r w:rsidRPr="00D03F3E">
        <w:rPr>
          <w:rFonts w:ascii="Times New Roman" w:hAnsi="Times New Roman"/>
          <w:color w:val="000000" w:themeColor="text1"/>
          <w:sz w:val="16"/>
          <w:szCs w:val="16"/>
        </w:rPr>
        <w:softHyphen/>
        <w:t>вых документов по результатам нале</w:t>
      </w:r>
      <w:r w:rsidRPr="00D03F3E">
        <w:rPr>
          <w:rFonts w:ascii="Times New Roman" w:hAnsi="Times New Roman"/>
          <w:color w:val="000000" w:themeColor="text1"/>
          <w:sz w:val="16"/>
          <w:szCs w:val="16"/>
        </w:rPr>
        <w:softHyphen/>
        <w:t>тов нашей авиации на аэродромы Ор</w:t>
      </w:r>
      <w:r w:rsidRPr="00D03F3E">
        <w:rPr>
          <w:rFonts w:ascii="Times New Roman" w:hAnsi="Times New Roman"/>
          <w:color w:val="000000" w:themeColor="text1"/>
          <w:sz w:val="16"/>
          <w:szCs w:val="16"/>
        </w:rPr>
        <w:softHyphen/>
        <w:t>ловского аэроузла штабы дивизий и 16-й воздушной армии довольно сильно подкорректировали доклады экипажей в части определения ущерба, нанесен</w:t>
      </w:r>
      <w:r w:rsidRPr="00D03F3E">
        <w:rPr>
          <w:rFonts w:ascii="Times New Roman" w:hAnsi="Times New Roman"/>
          <w:color w:val="000000" w:themeColor="text1"/>
          <w:sz w:val="16"/>
          <w:szCs w:val="16"/>
        </w:rPr>
        <w:softHyphen/>
        <w:t>ного противнику. В итоговом докладе штаба 2-й гшад от 21 мая потери противника на аэро</w:t>
      </w:r>
      <w:r w:rsidRPr="00D03F3E">
        <w:rPr>
          <w:rFonts w:ascii="Times New Roman" w:hAnsi="Times New Roman"/>
          <w:color w:val="000000" w:themeColor="text1"/>
          <w:sz w:val="16"/>
          <w:szCs w:val="16"/>
        </w:rPr>
        <w:softHyphen/>
        <w:t>дромах Хмелевая и Лаврова 6 мая оце</w:t>
      </w:r>
      <w:r w:rsidRPr="00D03F3E">
        <w:rPr>
          <w:rFonts w:ascii="Times New Roman" w:hAnsi="Times New Roman"/>
          <w:color w:val="000000" w:themeColor="text1"/>
          <w:sz w:val="16"/>
          <w:szCs w:val="16"/>
        </w:rPr>
        <w:softHyphen/>
        <w:t>нивались в 17 самолетов типа Ю88, Фв190 и Ме109, одну цистерну с горю</w:t>
      </w:r>
      <w:r w:rsidRPr="00D03F3E">
        <w:rPr>
          <w:rFonts w:ascii="Times New Roman" w:hAnsi="Times New Roman"/>
          <w:color w:val="000000" w:themeColor="text1"/>
          <w:sz w:val="16"/>
          <w:szCs w:val="16"/>
        </w:rPr>
        <w:softHyphen/>
        <w:t>чим, два склада боеприпасов и один склад горюче-смазочных материалов. Кроме этого, отмечались 13 очагов пожаров. Начальник штаба 2-й гшад п-к И.А. Трушин особо отмечал, что: "Из полученной справки (подтвержде</w:t>
      </w:r>
      <w:r w:rsidRPr="00D03F3E">
        <w:rPr>
          <w:rFonts w:ascii="Times New Roman" w:hAnsi="Times New Roman"/>
          <w:color w:val="000000" w:themeColor="text1"/>
          <w:sz w:val="16"/>
          <w:szCs w:val="16"/>
        </w:rPr>
        <w:softHyphen/>
        <w:t>ние) штаба 283-й над видно, что ис</w:t>
      </w:r>
      <w:r w:rsidRPr="00D03F3E">
        <w:rPr>
          <w:rFonts w:ascii="Times New Roman" w:hAnsi="Times New Roman"/>
          <w:color w:val="000000" w:themeColor="text1"/>
          <w:sz w:val="16"/>
          <w:szCs w:val="16"/>
        </w:rPr>
        <w:softHyphen/>
        <w:t>требители неполно освещают резуль</w:t>
      </w:r>
      <w:r w:rsidRPr="00D03F3E">
        <w:rPr>
          <w:rFonts w:ascii="Times New Roman" w:hAnsi="Times New Roman"/>
          <w:color w:val="000000" w:themeColor="text1"/>
          <w:sz w:val="16"/>
          <w:szCs w:val="16"/>
        </w:rPr>
        <w:softHyphen/>
        <w:t>таты работы штурмовиков. Так, по дан</w:t>
      </w:r>
      <w:r w:rsidRPr="00D03F3E">
        <w:rPr>
          <w:rFonts w:ascii="Times New Roman" w:hAnsi="Times New Roman"/>
          <w:color w:val="000000" w:themeColor="text1"/>
          <w:sz w:val="16"/>
          <w:szCs w:val="16"/>
        </w:rPr>
        <w:softHyphen/>
        <w:t>ным истребителей: на аэродроме Хме</w:t>
      </w:r>
      <w:r w:rsidRPr="00D03F3E">
        <w:rPr>
          <w:rFonts w:ascii="Times New Roman" w:hAnsi="Times New Roman"/>
          <w:color w:val="000000" w:themeColor="text1"/>
          <w:sz w:val="16"/>
          <w:szCs w:val="16"/>
        </w:rPr>
        <w:softHyphen/>
        <w:t>левая наблюдали до 20-30 горящих двухмоторных самолетов, на аэродро</w:t>
      </w:r>
      <w:r w:rsidRPr="00D03F3E">
        <w:rPr>
          <w:rFonts w:ascii="Times New Roman" w:hAnsi="Times New Roman"/>
          <w:color w:val="000000" w:themeColor="text1"/>
          <w:sz w:val="16"/>
          <w:szCs w:val="16"/>
        </w:rPr>
        <w:softHyphen/>
        <w:t>ме Орел-Центральный - до 40-60 го</w:t>
      </w:r>
      <w:r w:rsidRPr="00D03F3E">
        <w:rPr>
          <w:rFonts w:ascii="Times New Roman" w:hAnsi="Times New Roman"/>
          <w:color w:val="000000" w:themeColor="text1"/>
          <w:sz w:val="16"/>
          <w:szCs w:val="16"/>
        </w:rPr>
        <w:softHyphen/>
        <w:t>рящих самолетов, один взрыв большой силы, на аэродроме Лаврова - до 20 горящих самолетов и 8-10 очагов по</w:t>
      </w:r>
      <w:r w:rsidRPr="00D03F3E">
        <w:rPr>
          <w:rFonts w:ascii="Times New Roman" w:hAnsi="Times New Roman"/>
          <w:color w:val="000000" w:themeColor="text1"/>
          <w:sz w:val="16"/>
          <w:szCs w:val="16"/>
        </w:rPr>
        <w:softHyphen/>
        <w:t>жаров. На обратном пути экипажи ата</w:t>
      </w:r>
      <w:r w:rsidRPr="00D03F3E">
        <w:rPr>
          <w:rFonts w:ascii="Times New Roman" w:hAnsi="Times New Roman"/>
          <w:color w:val="000000" w:themeColor="text1"/>
          <w:sz w:val="16"/>
          <w:szCs w:val="16"/>
        </w:rPr>
        <w:softHyphen/>
        <w:t>ковали ж.д. эшелон на ст. Еропкино в результате возникли два мощных взры</w:t>
      </w:r>
      <w:r w:rsidRPr="00D03F3E">
        <w:rPr>
          <w:rFonts w:ascii="Times New Roman" w:hAnsi="Times New Roman"/>
          <w:color w:val="000000" w:themeColor="text1"/>
          <w:sz w:val="16"/>
          <w:szCs w:val="16"/>
        </w:rPr>
        <w:softHyphen/>
        <w:t>ва". Самой справки истребителей най</w:t>
      </w:r>
      <w:r w:rsidRPr="00D03F3E">
        <w:rPr>
          <w:rFonts w:ascii="Times New Roman" w:hAnsi="Times New Roman"/>
          <w:color w:val="000000" w:themeColor="text1"/>
          <w:sz w:val="16"/>
          <w:szCs w:val="16"/>
        </w:rPr>
        <w:softHyphen/>
        <w:t>ти не удалось, но в итоговом отчете штаба 283-й над о боевых действиях дивизии за май месяц потери люфт</w:t>
      </w:r>
      <w:r w:rsidRPr="00D03F3E">
        <w:rPr>
          <w:rFonts w:ascii="Times New Roman" w:hAnsi="Times New Roman"/>
          <w:color w:val="000000" w:themeColor="text1"/>
          <w:sz w:val="16"/>
          <w:szCs w:val="16"/>
        </w:rPr>
        <w:softHyphen/>
        <w:t>ваффе "устанавливались" на уровне "15-20 горящих самолетов противни</w:t>
      </w:r>
      <w:r w:rsidRPr="00D03F3E">
        <w:rPr>
          <w:rFonts w:ascii="Times New Roman" w:hAnsi="Times New Roman"/>
          <w:color w:val="000000" w:themeColor="text1"/>
          <w:sz w:val="16"/>
          <w:szCs w:val="16"/>
        </w:rPr>
        <w:softHyphen/>
        <w:t>ка" - на аэродроме Лаврова, и "до 4-5 очагов пожара"— на аэродроме Хме</w:t>
      </w:r>
      <w:r w:rsidRPr="00D03F3E">
        <w:rPr>
          <w:rFonts w:ascii="Times New Roman" w:hAnsi="Times New Roman"/>
          <w:color w:val="000000" w:themeColor="text1"/>
          <w:sz w:val="16"/>
          <w:szCs w:val="16"/>
        </w:rPr>
        <w:softHyphen/>
        <w:t>левая. Интересно, что могли подтвердить истребители, если они, как это следу</w:t>
      </w:r>
      <w:r w:rsidRPr="00D03F3E">
        <w:rPr>
          <w:rFonts w:ascii="Times New Roman" w:hAnsi="Times New Roman"/>
          <w:color w:val="000000" w:themeColor="text1"/>
          <w:sz w:val="16"/>
          <w:szCs w:val="16"/>
        </w:rPr>
        <w:softHyphen/>
        <w:t>ет из докладов штурмовиков, да и са</w:t>
      </w:r>
      <w:r w:rsidRPr="00D03F3E">
        <w:rPr>
          <w:rFonts w:ascii="Times New Roman" w:hAnsi="Times New Roman"/>
          <w:color w:val="000000" w:themeColor="text1"/>
          <w:sz w:val="16"/>
          <w:szCs w:val="16"/>
        </w:rPr>
        <w:softHyphen/>
        <w:t>мих истребителей, над аэродромами не были, а "болтались" в стороне. Впол</w:t>
      </w:r>
      <w:r w:rsidRPr="00D03F3E">
        <w:rPr>
          <w:rFonts w:ascii="Times New Roman" w:hAnsi="Times New Roman"/>
          <w:color w:val="000000" w:themeColor="text1"/>
          <w:sz w:val="16"/>
          <w:szCs w:val="16"/>
        </w:rPr>
        <w:softHyphen/>
        <w:t>не возможно, появление подтвержде</w:t>
      </w:r>
      <w:r w:rsidRPr="00D03F3E">
        <w:rPr>
          <w:rFonts w:ascii="Times New Roman" w:hAnsi="Times New Roman"/>
          <w:color w:val="000000" w:themeColor="text1"/>
          <w:sz w:val="16"/>
          <w:szCs w:val="16"/>
        </w:rPr>
        <w:softHyphen/>
        <w:t>ний истребителями потерь противника явилось следствием желания команд</w:t>
      </w:r>
      <w:r w:rsidRPr="00D03F3E">
        <w:rPr>
          <w:rFonts w:ascii="Times New Roman" w:hAnsi="Times New Roman"/>
          <w:color w:val="000000" w:themeColor="text1"/>
          <w:sz w:val="16"/>
          <w:szCs w:val="16"/>
        </w:rPr>
        <w:softHyphen/>
        <w:t>ного состава дивизии и воздушной ар</w:t>
      </w:r>
      <w:r w:rsidRPr="00D03F3E">
        <w:rPr>
          <w:rFonts w:ascii="Times New Roman" w:hAnsi="Times New Roman"/>
          <w:color w:val="000000" w:themeColor="text1"/>
          <w:sz w:val="16"/>
          <w:szCs w:val="16"/>
        </w:rPr>
        <w:softHyphen/>
        <w:t>мии хоть как-то оправдать на их фоне большие потери экипажей штурмови</w:t>
      </w:r>
      <w:r w:rsidRPr="00D03F3E">
        <w:rPr>
          <w:rFonts w:ascii="Times New Roman" w:hAnsi="Times New Roman"/>
          <w:color w:val="000000" w:themeColor="text1"/>
          <w:sz w:val="16"/>
          <w:szCs w:val="16"/>
        </w:rPr>
        <w:softHyphen/>
        <w:t>ков и несколько сгладить свои соб</w:t>
      </w:r>
      <w:r w:rsidRPr="00D03F3E">
        <w:rPr>
          <w:rFonts w:ascii="Times New Roman" w:hAnsi="Times New Roman"/>
          <w:color w:val="000000" w:themeColor="text1"/>
          <w:sz w:val="16"/>
          <w:szCs w:val="16"/>
        </w:rPr>
        <w:softHyphen/>
        <w:t>ственные просчеты в организации бо</w:t>
      </w:r>
      <w:r w:rsidRPr="00D03F3E">
        <w:rPr>
          <w:rFonts w:ascii="Times New Roman" w:hAnsi="Times New Roman"/>
          <w:color w:val="000000" w:themeColor="text1"/>
          <w:sz w:val="16"/>
          <w:szCs w:val="16"/>
        </w:rPr>
        <w:softHyphen/>
        <w:t>евых вылетов. Штаб 16-й воздушной армии в сто</w:t>
      </w:r>
      <w:r w:rsidRPr="00D03F3E">
        <w:rPr>
          <w:rFonts w:ascii="Times New Roman" w:hAnsi="Times New Roman"/>
          <w:color w:val="000000" w:themeColor="text1"/>
          <w:sz w:val="16"/>
          <w:szCs w:val="16"/>
        </w:rPr>
        <w:softHyphen/>
        <w:t>роне от "магистральной" линии не ос</w:t>
      </w:r>
      <w:r w:rsidRPr="00D03F3E">
        <w:rPr>
          <w:rFonts w:ascii="Times New Roman" w:hAnsi="Times New Roman"/>
          <w:color w:val="000000" w:themeColor="text1"/>
          <w:sz w:val="16"/>
          <w:szCs w:val="16"/>
        </w:rPr>
        <w:softHyphen/>
        <w:t>тался и доложил наверх, что на всех атакованных аэродромах 6 мая было уничтожено и пов_реждено до 54 са</w:t>
      </w:r>
      <w:r w:rsidRPr="00D03F3E">
        <w:rPr>
          <w:rFonts w:ascii="Times New Roman" w:hAnsi="Times New Roman"/>
          <w:color w:val="000000" w:themeColor="text1"/>
          <w:sz w:val="16"/>
          <w:szCs w:val="16"/>
        </w:rPr>
        <w:softHyphen/>
        <w:t>молетов противника различного типа, 15 автомашин, два бензозаправщика, три склада горючего и два склада бо</w:t>
      </w:r>
      <w:r w:rsidRPr="00D03F3E">
        <w:rPr>
          <w:rFonts w:ascii="Times New Roman" w:hAnsi="Times New Roman"/>
          <w:color w:val="000000" w:themeColor="text1"/>
          <w:sz w:val="16"/>
          <w:szCs w:val="16"/>
        </w:rPr>
        <w:softHyphen/>
        <w:t>еприпасов. Наши летчики подавили огонь 9 огневых точек МЗА и создали 23 очага пожара. Кроме этого, в воз</w:t>
      </w:r>
      <w:r w:rsidRPr="00D03F3E">
        <w:rPr>
          <w:rFonts w:ascii="Times New Roman" w:hAnsi="Times New Roman"/>
          <w:color w:val="000000" w:themeColor="text1"/>
          <w:sz w:val="16"/>
          <w:szCs w:val="16"/>
        </w:rPr>
        <w:softHyphen/>
        <w:t>душных боях сбито 16 Фв190 и три Ме109 и подбито два Фв190. За этот результат пришлось запла</w:t>
      </w:r>
      <w:r w:rsidRPr="00D03F3E">
        <w:rPr>
          <w:rFonts w:ascii="Times New Roman" w:hAnsi="Times New Roman"/>
          <w:color w:val="000000" w:themeColor="text1"/>
          <w:sz w:val="16"/>
          <w:szCs w:val="16"/>
        </w:rPr>
        <w:softHyphen/>
        <w:t>тить дорогую цену. При выполнении на</w:t>
      </w:r>
      <w:r w:rsidRPr="00D03F3E">
        <w:rPr>
          <w:rFonts w:ascii="Times New Roman" w:hAnsi="Times New Roman"/>
          <w:color w:val="000000" w:themeColor="text1"/>
          <w:sz w:val="16"/>
          <w:szCs w:val="16"/>
        </w:rPr>
        <w:softHyphen/>
        <w:t>летов на аэродромы противника 16-я ВА безвозвратно потеряла три Пе-2 вместе с экипажами, 28 Ил-2, 22 лет</w:t>
      </w:r>
      <w:r w:rsidRPr="00D03F3E">
        <w:rPr>
          <w:rFonts w:ascii="Times New Roman" w:hAnsi="Times New Roman"/>
          <w:color w:val="000000" w:themeColor="text1"/>
          <w:sz w:val="16"/>
          <w:szCs w:val="16"/>
        </w:rPr>
        <w:softHyphen/>
        <w:t>чика-штурмовика и 17 воздушных стрелков. Убыль в истребителях соста</w:t>
      </w:r>
      <w:r w:rsidRPr="00D03F3E">
        <w:rPr>
          <w:rFonts w:ascii="Times New Roman" w:hAnsi="Times New Roman"/>
          <w:color w:val="000000" w:themeColor="text1"/>
          <w:sz w:val="16"/>
          <w:szCs w:val="16"/>
        </w:rPr>
        <w:softHyphen/>
        <w:t>вила 8 самолетов (5 Як-1, два Ла-5, один Р-39) и 8 летчиков. Две подбитые "пешки", один Як-1 и пара Ла-5 выполнили вынужденные посадки на сво</w:t>
      </w:r>
      <w:r w:rsidRPr="00D03F3E">
        <w:rPr>
          <w:rFonts w:ascii="Times New Roman" w:hAnsi="Times New Roman"/>
          <w:color w:val="000000" w:themeColor="text1"/>
          <w:sz w:val="16"/>
          <w:szCs w:val="16"/>
        </w:rPr>
        <w:softHyphen/>
        <w:t>ей территории и требовали ремонта. Расследование причин столь боль</w:t>
      </w:r>
      <w:r w:rsidRPr="00D03F3E">
        <w:rPr>
          <w:rFonts w:ascii="Times New Roman" w:hAnsi="Times New Roman"/>
          <w:color w:val="000000" w:themeColor="text1"/>
          <w:sz w:val="16"/>
          <w:szCs w:val="16"/>
        </w:rPr>
        <w:softHyphen/>
        <w:t>ших потерь штурмовиков и бомбарди</w:t>
      </w:r>
      <w:r w:rsidRPr="00D03F3E">
        <w:rPr>
          <w:rFonts w:ascii="Times New Roman" w:hAnsi="Times New Roman"/>
          <w:color w:val="000000" w:themeColor="text1"/>
          <w:sz w:val="16"/>
          <w:szCs w:val="16"/>
        </w:rPr>
        <w:softHyphen/>
        <w:t>ровщиков показало, что командованию 16-й ВА не удалось достичь внезапно</w:t>
      </w:r>
      <w:r w:rsidRPr="00D03F3E">
        <w:rPr>
          <w:rFonts w:ascii="Times New Roman" w:hAnsi="Times New Roman"/>
          <w:color w:val="000000" w:themeColor="text1"/>
          <w:sz w:val="16"/>
          <w:szCs w:val="16"/>
        </w:rPr>
        <w:softHyphen/>
        <w:t>сти ударов. Время первых ударов по аэродромам было выбрано без учета ударов других воздушных армий утром 6 мая. Противник подготовил свои ис</w:t>
      </w:r>
      <w:r w:rsidRPr="00D03F3E">
        <w:rPr>
          <w:rFonts w:ascii="Times New Roman" w:hAnsi="Times New Roman"/>
          <w:color w:val="000000" w:themeColor="text1"/>
          <w:sz w:val="16"/>
          <w:szCs w:val="16"/>
        </w:rPr>
        <w:softHyphen/>
        <w:t>требители и зенитную артиллерию к отражению возможного налета. Кро</w:t>
      </w:r>
      <w:r w:rsidRPr="00D03F3E">
        <w:rPr>
          <w:rFonts w:ascii="Times New Roman" w:hAnsi="Times New Roman"/>
          <w:color w:val="000000" w:themeColor="text1"/>
          <w:sz w:val="16"/>
          <w:szCs w:val="16"/>
        </w:rPr>
        <w:softHyphen/>
        <w:t>ме того, не были в достаточной мере подавлены зенитные точки аэродромов (выделенные для этой цели силы были совершенно недостаточными). Сосед</w:t>
      </w:r>
      <w:r w:rsidRPr="00D03F3E">
        <w:rPr>
          <w:rFonts w:ascii="Times New Roman" w:hAnsi="Times New Roman"/>
          <w:color w:val="000000" w:themeColor="text1"/>
          <w:sz w:val="16"/>
          <w:szCs w:val="16"/>
        </w:rPr>
        <w:softHyphen/>
        <w:t>ние аэродромы противника не были своевременно заблокированы истре</w:t>
      </w:r>
      <w:r w:rsidRPr="00D03F3E">
        <w:rPr>
          <w:rFonts w:ascii="Times New Roman" w:hAnsi="Times New Roman"/>
          <w:color w:val="000000" w:themeColor="text1"/>
          <w:sz w:val="16"/>
          <w:szCs w:val="16"/>
        </w:rPr>
        <w:softHyphen/>
        <w:t>бителями 1-й гиад (экипажи 30-го гиап прибыли к цели с опозданием). Как следствие, Ил-2 и истребители прикры</w:t>
      </w:r>
      <w:r w:rsidRPr="00D03F3E">
        <w:rPr>
          <w:rFonts w:ascii="Times New Roman" w:hAnsi="Times New Roman"/>
          <w:color w:val="000000" w:themeColor="text1"/>
          <w:sz w:val="16"/>
          <w:szCs w:val="16"/>
        </w:rPr>
        <w:softHyphen/>
        <w:t>тия подверглись над целью ожесточен</w:t>
      </w:r>
      <w:r w:rsidRPr="00D03F3E">
        <w:rPr>
          <w:rFonts w:ascii="Times New Roman" w:hAnsi="Times New Roman"/>
          <w:color w:val="000000" w:themeColor="text1"/>
          <w:sz w:val="16"/>
          <w:szCs w:val="16"/>
        </w:rPr>
        <w:softHyphen/>
        <w:t>ным атакам немецких истребителей и сильному обстрелу огневых средств ПВО аэродромов. В то же время со</w:t>
      </w:r>
      <w:r w:rsidRPr="00D03F3E">
        <w:rPr>
          <w:rFonts w:ascii="Times New Roman" w:hAnsi="Times New Roman"/>
          <w:color w:val="000000" w:themeColor="text1"/>
          <w:sz w:val="16"/>
          <w:szCs w:val="16"/>
        </w:rPr>
        <w:softHyphen/>
        <w:t>ветские штурмовики, бомбардировщи</w:t>
      </w:r>
      <w:r w:rsidRPr="00D03F3E">
        <w:rPr>
          <w:rFonts w:ascii="Times New Roman" w:hAnsi="Times New Roman"/>
          <w:color w:val="000000" w:themeColor="text1"/>
          <w:sz w:val="16"/>
          <w:szCs w:val="16"/>
        </w:rPr>
        <w:softHyphen/>
        <w:t>ки и истребители оказались не гото</w:t>
      </w:r>
      <w:r w:rsidRPr="00D03F3E">
        <w:rPr>
          <w:rFonts w:ascii="Times New Roman" w:hAnsi="Times New Roman"/>
          <w:color w:val="000000" w:themeColor="text1"/>
          <w:sz w:val="16"/>
          <w:szCs w:val="16"/>
        </w:rPr>
        <w:softHyphen/>
        <w:t>выми действовать в условиях массиро</w:t>
      </w:r>
      <w:r w:rsidRPr="00D03F3E">
        <w:rPr>
          <w:rFonts w:ascii="Times New Roman" w:hAnsi="Times New Roman"/>
          <w:color w:val="000000" w:themeColor="text1"/>
          <w:sz w:val="16"/>
          <w:szCs w:val="16"/>
        </w:rPr>
        <w:softHyphen/>
        <w:t>ванного применения противником зе</w:t>
      </w:r>
      <w:r w:rsidRPr="00D03F3E">
        <w:rPr>
          <w:rFonts w:ascii="Times New Roman" w:hAnsi="Times New Roman"/>
          <w:color w:val="000000" w:themeColor="text1"/>
          <w:sz w:val="16"/>
          <w:szCs w:val="16"/>
        </w:rPr>
        <w:softHyphen/>
        <w:t>нитных средств и истребителей: плохо отработано взаимодействие между штурмовиками, бомбардировщиками и истребителями, не отработана группо</w:t>
      </w:r>
      <w:r w:rsidRPr="00D03F3E">
        <w:rPr>
          <w:rFonts w:ascii="Times New Roman" w:hAnsi="Times New Roman"/>
          <w:color w:val="000000" w:themeColor="text1"/>
          <w:sz w:val="16"/>
          <w:szCs w:val="16"/>
        </w:rPr>
        <w:softHyphen/>
        <w:t>вая слетанность, воздушный бой и т.д (11010).</w:t>
      </w:r>
    </w:p>
    <w:p w14:paraId="463EE99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693BE4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 мая были седующие учтенные в документах потери в технике и людях, понесенные Люфтваффе в результате воздушных операций ВВС КА</w:t>
      </w:r>
    </w:p>
    <w:p w14:paraId="1CF7E97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Учтенные потери Люфтваффе в результате авиационных ударов 6-8 мая 1943 года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056"/>
        <w:gridCol w:w="2002"/>
        <w:gridCol w:w="1714"/>
        <w:gridCol w:w="1158"/>
        <w:gridCol w:w="1866"/>
        <w:gridCol w:w="1380"/>
        <w:gridCol w:w="1759"/>
      </w:tblGrid>
      <w:tr w:rsidR="00860B4B" w:rsidRPr="00D03F3E" w14:paraId="5A2B0437" w14:textId="77777777">
        <w:trPr>
          <w:jc w:val="center"/>
        </w:trPr>
        <w:tc>
          <w:tcPr>
            <w:tcW w:w="1056" w:type="dxa"/>
          </w:tcPr>
          <w:p w14:paraId="6DC41FE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Дата</w:t>
            </w:r>
          </w:p>
        </w:tc>
        <w:tc>
          <w:tcPr>
            <w:tcW w:w="2002" w:type="dxa"/>
          </w:tcPr>
          <w:p w14:paraId="1809623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Место</w:t>
            </w:r>
          </w:p>
        </w:tc>
        <w:tc>
          <w:tcPr>
            <w:tcW w:w="1714" w:type="dxa"/>
          </w:tcPr>
          <w:p w14:paraId="3B09F54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Часть</w:t>
            </w:r>
          </w:p>
        </w:tc>
        <w:tc>
          <w:tcPr>
            <w:tcW w:w="1158" w:type="dxa"/>
          </w:tcPr>
          <w:p w14:paraId="0812A29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w:t>
            </w:r>
          </w:p>
        </w:tc>
        <w:tc>
          <w:tcPr>
            <w:tcW w:w="1866" w:type="dxa"/>
          </w:tcPr>
          <w:p w14:paraId="4DF37A5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Заводской номер</w:t>
            </w:r>
          </w:p>
        </w:tc>
        <w:tc>
          <w:tcPr>
            <w:tcW w:w="1380" w:type="dxa"/>
          </w:tcPr>
          <w:p w14:paraId="10A9BB3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Степень поврежд. %</w:t>
            </w:r>
          </w:p>
        </w:tc>
        <w:tc>
          <w:tcPr>
            <w:tcW w:w="1759" w:type="dxa"/>
          </w:tcPr>
          <w:p w14:paraId="5A7F213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Потери в личном составе</w:t>
            </w:r>
          </w:p>
        </w:tc>
      </w:tr>
      <w:tr w:rsidR="00860B4B" w:rsidRPr="00D03F3E" w14:paraId="5E7D08A1" w14:textId="77777777">
        <w:trPr>
          <w:jc w:val="center"/>
        </w:trPr>
        <w:tc>
          <w:tcPr>
            <w:tcW w:w="1056" w:type="dxa"/>
          </w:tcPr>
          <w:p w14:paraId="3F4D90C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1DB7806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Сталино - Сев.</w:t>
            </w:r>
          </w:p>
        </w:tc>
        <w:tc>
          <w:tcPr>
            <w:tcW w:w="1714" w:type="dxa"/>
          </w:tcPr>
          <w:p w14:paraId="23C6AB8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III./KG55</w:t>
            </w:r>
          </w:p>
        </w:tc>
        <w:tc>
          <w:tcPr>
            <w:tcW w:w="1158" w:type="dxa"/>
          </w:tcPr>
          <w:p w14:paraId="17AFB41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He111H</w:t>
            </w:r>
          </w:p>
        </w:tc>
        <w:tc>
          <w:tcPr>
            <w:tcW w:w="1866" w:type="dxa"/>
          </w:tcPr>
          <w:p w14:paraId="4A9C797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8081</w:t>
            </w:r>
          </w:p>
        </w:tc>
        <w:tc>
          <w:tcPr>
            <w:tcW w:w="1380" w:type="dxa"/>
          </w:tcPr>
          <w:p w14:paraId="6FEDDE3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tc>
        <w:tc>
          <w:tcPr>
            <w:tcW w:w="1759" w:type="dxa"/>
          </w:tcPr>
          <w:p w14:paraId="1373D9F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24887F0C" w14:textId="77777777">
        <w:trPr>
          <w:jc w:val="center"/>
        </w:trPr>
        <w:tc>
          <w:tcPr>
            <w:tcW w:w="1056" w:type="dxa"/>
          </w:tcPr>
          <w:p w14:paraId="7DC1020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70776B7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Краматорская</w:t>
            </w:r>
          </w:p>
        </w:tc>
        <w:tc>
          <w:tcPr>
            <w:tcW w:w="1714" w:type="dxa"/>
          </w:tcPr>
          <w:p w14:paraId="30633CA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III./JG3</w:t>
            </w:r>
          </w:p>
        </w:tc>
        <w:tc>
          <w:tcPr>
            <w:tcW w:w="1158" w:type="dxa"/>
          </w:tcPr>
          <w:p w14:paraId="6A1AACF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Bf109G-4</w:t>
            </w:r>
          </w:p>
        </w:tc>
        <w:tc>
          <w:tcPr>
            <w:tcW w:w="1866" w:type="dxa"/>
          </w:tcPr>
          <w:p w14:paraId="1C6A082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19513</w:t>
            </w:r>
          </w:p>
        </w:tc>
        <w:tc>
          <w:tcPr>
            <w:tcW w:w="1380" w:type="dxa"/>
          </w:tcPr>
          <w:p w14:paraId="2AC6744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tc>
        <w:tc>
          <w:tcPr>
            <w:tcW w:w="1759" w:type="dxa"/>
          </w:tcPr>
          <w:p w14:paraId="1A680B5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7C9E73BA" w14:textId="77777777">
        <w:trPr>
          <w:jc w:val="center"/>
        </w:trPr>
        <w:tc>
          <w:tcPr>
            <w:tcW w:w="1056" w:type="dxa"/>
          </w:tcPr>
          <w:p w14:paraId="237EB2C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4E9E01D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Краматорская</w:t>
            </w:r>
          </w:p>
        </w:tc>
        <w:tc>
          <w:tcPr>
            <w:tcW w:w="1714" w:type="dxa"/>
          </w:tcPr>
          <w:p w14:paraId="1EBA7F9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III./JG3</w:t>
            </w:r>
          </w:p>
        </w:tc>
        <w:tc>
          <w:tcPr>
            <w:tcW w:w="1158" w:type="dxa"/>
          </w:tcPr>
          <w:p w14:paraId="73BE54F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Bf109G-4</w:t>
            </w:r>
          </w:p>
        </w:tc>
        <w:tc>
          <w:tcPr>
            <w:tcW w:w="1866" w:type="dxa"/>
          </w:tcPr>
          <w:p w14:paraId="67CE8B0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19716</w:t>
            </w:r>
          </w:p>
        </w:tc>
        <w:tc>
          <w:tcPr>
            <w:tcW w:w="1380" w:type="dxa"/>
          </w:tcPr>
          <w:p w14:paraId="79B7883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c>
          <w:tcPr>
            <w:tcW w:w="1759" w:type="dxa"/>
          </w:tcPr>
          <w:p w14:paraId="10F0B00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33C62803" w14:textId="77777777">
        <w:trPr>
          <w:jc w:val="center"/>
        </w:trPr>
        <w:tc>
          <w:tcPr>
            <w:tcW w:w="1056" w:type="dxa"/>
          </w:tcPr>
          <w:p w14:paraId="65CAAFB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2BC2DC5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Орел – Зап.</w:t>
            </w:r>
          </w:p>
        </w:tc>
        <w:tc>
          <w:tcPr>
            <w:tcW w:w="1714" w:type="dxa"/>
          </w:tcPr>
          <w:p w14:paraId="6D8CA51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11./JG51</w:t>
            </w:r>
          </w:p>
        </w:tc>
        <w:tc>
          <w:tcPr>
            <w:tcW w:w="1158" w:type="dxa"/>
          </w:tcPr>
          <w:p w14:paraId="47A5496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Fw190A-4</w:t>
            </w:r>
          </w:p>
        </w:tc>
        <w:tc>
          <w:tcPr>
            <w:tcW w:w="1866" w:type="dxa"/>
          </w:tcPr>
          <w:p w14:paraId="2AFCDDB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2495</w:t>
            </w:r>
          </w:p>
        </w:tc>
        <w:tc>
          <w:tcPr>
            <w:tcW w:w="1380" w:type="dxa"/>
          </w:tcPr>
          <w:p w14:paraId="41D36AC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c>
          <w:tcPr>
            <w:tcW w:w="1759" w:type="dxa"/>
          </w:tcPr>
          <w:p w14:paraId="66B473A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73384488" w14:textId="77777777">
        <w:trPr>
          <w:jc w:val="center"/>
        </w:trPr>
        <w:tc>
          <w:tcPr>
            <w:tcW w:w="1056" w:type="dxa"/>
          </w:tcPr>
          <w:p w14:paraId="53F9BA1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2E656E6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Орел – Зап.</w:t>
            </w:r>
          </w:p>
        </w:tc>
        <w:tc>
          <w:tcPr>
            <w:tcW w:w="1714" w:type="dxa"/>
          </w:tcPr>
          <w:p w14:paraId="044A5CE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11./JG51</w:t>
            </w:r>
          </w:p>
        </w:tc>
        <w:tc>
          <w:tcPr>
            <w:tcW w:w="1158" w:type="dxa"/>
          </w:tcPr>
          <w:p w14:paraId="33DA2BA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Fw190A-4</w:t>
            </w:r>
          </w:p>
        </w:tc>
        <w:tc>
          <w:tcPr>
            <w:tcW w:w="1866" w:type="dxa"/>
          </w:tcPr>
          <w:p w14:paraId="53C9B8E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5711</w:t>
            </w:r>
          </w:p>
        </w:tc>
        <w:tc>
          <w:tcPr>
            <w:tcW w:w="1380" w:type="dxa"/>
          </w:tcPr>
          <w:p w14:paraId="7CC74CD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c>
          <w:tcPr>
            <w:tcW w:w="1759" w:type="dxa"/>
          </w:tcPr>
          <w:p w14:paraId="04DB7C3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59FBFE46" w14:textId="77777777">
        <w:trPr>
          <w:jc w:val="center"/>
        </w:trPr>
        <w:tc>
          <w:tcPr>
            <w:tcW w:w="1056" w:type="dxa"/>
          </w:tcPr>
          <w:p w14:paraId="50AA025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252914B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Орел – Зап.</w:t>
            </w:r>
          </w:p>
        </w:tc>
        <w:tc>
          <w:tcPr>
            <w:tcW w:w="1714" w:type="dxa"/>
          </w:tcPr>
          <w:p w14:paraId="340D223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11./JG51</w:t>
            </w:r>
          </w:p>
        </w:tc>
        <w:tc>
          <w:tcPr>
            <w:tcW w:w="1158" w:type="dxa"/>
          </w:tcPr>
          <w:p w14:paraId="76E5D75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Fw190A-4</w:t>
            </w:r>
          </w:p>
        </w:tc>
        <w:tc>
          <w:tcPr>
            <w:tcW w:w="1866" w:type="dxa"/>
          </w:tcPr>
          <w:p w14:paraId="6A8221A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5810</w:t>
            </w:r>
          </w:p>
        </w:tc>
        <w:tc>
          <w:tcPr>
            <w:tcW w:w="1380" w:type="dxa"/>
          </w:tcPr>
          <w:p w14:paraId="1D510A3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c>
          <w:tcPr>
            <w:tcW w:w="1759" w:type="dxa"/>
          </w:tcPr>
          <w:p w14:paraId="4901829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3A0915D7" w14:textId="77777777">
        <w:trPr>
          <w:jc w:val="center"/>
        </w:trPr>
        <w:tc>
          <w:tcPr>
            <w:tcW w:w="1056" w:type="dxa"/>
          </w:tcPr>
          <w:p w14:paraId="3356A35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1DC5074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Шаталово</w:t>
            </w:r>
          </w:p>
        </w:tc>
        <w:tc>
          <w:tcPr>
            <w:tcW w:w="1714" w:type="dxa"/>
          </w:tcPr>
          <w:p w14:paraId="2AB47A3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IV./JG51</w:t>
            </w:r>
          </w:p>
        </w:tc>
        <w:tc>
          <w:tcPr>
            <w:tcW w:w="1158" w:type="dxa"/>
          </w:tcPr>
          <w:p w14:paraId="68C0965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Fw190A-5</w:t>
            </w:r>
          </w:p>
        </w:tc>
        <w:tc>
          <w:tcPr>
            <w:tcW w:w="1866" w:type="dxa"/>
          </w:tcPr>
          <w:p w14:paraId="3F559BE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2658</w:t>
            </w:r>
          </w:p>
        </w:tc>
        <w:tc>
          <w:tcPr>
            <w:tcW w:w="1380" w:type="dxa"/>
          </w:tcPr>
          <w:p w14:paraId="524B654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c>
          <w:tcPr>
            <w:tcW w:w="1759" w:type="dxa"/>
          </w:tcPr>
          <w:p w14:paraId="317A407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4D94A767" w14:textId="77777777">
        <w:trPr>
          <w:jc w:val="center"/>
        </w:trPr>
        <w:tc>
          <w:tcPr>
            <w:tcW w:w="1056" w:type="dxa"/>
          </w:tcPr>
          <w:p w14:paraId="09979A7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180CC9E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Шаталово</w:t>
            </w:r>
          </w:p>
        </w:tc>
        <w:tc>
          <w:tcPr>
            <w:tcW w:w="1714" w:type="dxa"/>
          </w:tcPr>
          <w:p w14:paraId="3DA974A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IV./JG51</w:t>
            </w:r>
          </w:p>
        </w:tc>
        <w:tc>
          <w:tcPr>
            <w:tcW w:w="1158" w:type="dxa"/>
          </w:tcPr>
          <w:p w14:paraId="28EC580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Fw190A-5</w:t>
            </w:r>
          </w:p>
        </w:tc>
        <w:tc>
          <w:tcPr>
            <w:tcW w:w="1866" w:type="dxa"/>
          </w:tcPr>
          <w:p w14:paraId="0DF9AA9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7357</w:t>
            </w:r>
          </w:p>
        </w:tc>
        <w:tc>
          <w:tcPr>
            <w:tcW w:w="1380" w:type="dxa"/>
          </w:tcPr>
          <w:p w14:paraId="3E12E0A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c>
          <w:tcPr>
            <w:tcW w:w="1759" w:type="dxa"/>
          </w:tcPr>
          <w:p w14:paraId="7540AF5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3F578C35" w14:textId="77777777">
        <w:trPr>
          <w:jc w:val="center"/>
        </w:trPr>
        <w:tc>
          <w:tcPr>
            <w:tcW w:w="1056" w:type="dxa"/>
          </w:tcPr>
          <w:p w14:paraId="5AE6F6C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6997154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Сеща</w:t>
            </w:r>
          </w:p>
        </w:tc>
        <w:tc>
          <w:tcPr>
            <w:tcW w:w="1714" w:type="dxa"/>
          </w:tcPr>
          <w:p w14:paraId="64171EF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8./KG1</w:t>
            </w:r>
          </w:p>
        </w:tc>
        <w:tc>
          <w:tcPr>
            <w:tcW w:w="1158" w:type="dxa"/>
          </w:tcPr>
          <w:p w14:paraId="660C37C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Ju88A-14</w:t>
            </w:r>
          </w:p>
        </w:tc>
        <w:tc>
          <w:tcPr>
            <w:tcW w:w="1866" w:type="dxa"/>
          </w:tcPr>
          <w:p w14:paraId="7DC4E11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4451</w:t>
            </w:r>
          </w:p>
        </w:tc>
        <w:tc>
          <w:tcPr>
            <w:tcW w:w="1380" w:type="dxa"/>
          </w:tcPr>
          <w:p w14:paraId="04FD70E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tc>
        <w:tc>
          <w:tcPr>
            <w:tcW w:w="1759" w:type="dxa"/>
          </w:tcPr>
          <w:p w14:paraId="09E207F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0265BCD6" w14:textId="77777777">
        <w:trPr>
          <w:jc w:val="center"/>
        </w:trPr>
        <w:tc>
          <w:tcPr>
            <w:tcW w:w="1056" w:type="dxa"/>
          </w:tcPr>
          <w:p w14:paraId="1CAA971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5771F11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Сеща</w:t>
            </w:r>
          </w:p>
        </w:tc>
        <w:tc>
          <w:tcPr>
            <w:tcW w:w="1714" w:type="dxa"/>
          </w:tcPr>
          <w:p w14:paraId="4939F21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Stab KG4</w:t>
            </w:r>
          </w:p>
        </w:tc>
        <w:tc>
          <w:tcPr>
            <w:tcW w:w="1158" w:type="dxa"/>
          </w:tcPr>
          <w:p w14:paraId="4F0A33A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He111H-11</w:t>
            </w:r>
          </w:p>
        </w:tc>
        <w:tc>
          <w:tcPr>
            <w:tcW w:w="1866" w:type="dxa"/>
          </w:tcPr>
          <w:p w14:paraId="556D585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8420</w:t>
            </w:r>
          </w:p>
        </w:tc>
        <w:tc>
          <w:tcPr>
            <w:tcW w:w="1380" w:type="dxa"/>
          </w:tcPr>
          <w:p w14:paraId="5EE2583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c>
          <w:tcPr>
            <w:tcW w:w="1759" w:type="dxa"/>
          </w:tcPr>
          <w:p w14:paraId="2C60388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1A1BD511" w14:textId="77777777">
        <w:trPr>
          <w:jc w:val="center"/>
        </w:trPr>
        <w:tc>
          <w:tcPr>
            <w:tcW w:w="1056" w:type="dxa"/>
          </w:tcPr>
          <w:p w14:paraId="140A01C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5EF33DA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Сеща</w:t>
            </w:r>
          </w:p>
        </w:tc>
        <w:tc>
          <w:tcPr>
            <w:tcW w:w="1714" w:type="dxa"/>
          </w:tcPr>
          <w:p w14:paraId="34914B5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Stab KG4</w:t>
            </w:r>
          </w:p>
        </w:tc>
        <w:tc>
          <w:tcPr>
            <w:tcW w:w="1158" w:type="dxa"/>
          </w:tcPr>
          <w:p w14:paraId="4505403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He111P-2</w:t>
            </w:r>
          </w:p>
        </w:tc>
        <w:tc>
          <w:tcPr>
            <w:tcW w:w="1866" w:type="dxa"/>
          </w:tcPr>
          <w:p w14:paraId="757D93D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2116</w:t>
            </w:r>
          </w:p>
        </w:tc>
        <w:tc>
          <w:tcPr>
            <w:tcW w:w="1380" w:type="dxa"/>
          </w:tcPr>
          <w:p w14:paraId="6D9D5D5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c>
          <w:tcPr>
            <w:tcW w:w="1759" w:type="dxa"/>
          </w:tcPr>
          <w:p w14:paraId="4913DD4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7C205C1B" w14:textId="77777777">
        <w:trPr>
          <w:jc w:val="center"/>
        </w:trPr>
        <w:tc>
          <w:tcPr>
            <w:tcW w:w="1056" w:type="dxa"/>
          </w:tcPr>
          <w:p w14:paraId="38C9A77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2B2A8C9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Сеща</w:t>
            </w:r>
          </w:p>
        </w:tc>
        <w:tc>
          <w:tcPr>
            <w:tcW w:w="1714" w:type="dxa"/>
          </w:tcPr>
          <w:p w14:paraId="1A5F9F0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4./KG4</w:t>
            </w:r>
          </w:p>
        </w:tc>
        <w:tc>
          <w:tcPr>
            <w:tcW w:w="1158" w:type="dxa"/>
          </w:tcPr>
          <w:p w14:paraId="6165595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He111H-16</w:t>
            </w:r>
          </w:p>
        </w:tc>
        <w:tc>
          <w:tcPr>
            <w:tcW w:w="1866" w:type="dxa"/>
          </w:tcPr>
          <w:p w14:paraId="0820369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8507</w:t>
            </w:r>
          </w:p>
        </w:tc>
        <w:tc>
          <w:tcPr>
            <w:tcW w:w="1380" w:type="dxa"/>
          </w:tcPr>
          <w:p w14:paraId="56DC1C1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tc>
        <w:tc>
          <w:tcPr>
            <w:tcW w:w="1759" w:type="dxa"/>
          </w:tcPr>
          <w:p w14:paraId="552EB69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6FF21C3D" w14:textId="77777777">
        <w:trPr>
          <w:jc w:val="center"/>
        </w:trPr>
        <w:tc>
          <w:tcPr>
            <w:tcW w:w="1056" w:type="dxa"/>
          </w:tcPr>
          <w:p w14:paraId="007A650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72839DA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Сеща</w:t>
            </w:r>
          </w:p>
        </w:tc>
        <w:tc>
          <w:tcPr>
            <w:tcW w:w="1714" w:type="dxa"/>
          </w:tcPr>
          <w:p w14:paraId="3E4317A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4./KG4</w:t>
            </w:r>
          </w:p>
        </w:tc>
        <w:tc>
          <w:tcPr>
            <w:tcW w:w="1158" w:type="dxa"/>
          </w:tcPr>
          <w:p w14:paraId="2EEE87A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He111H-16</w:t>
            </w:r>
          </w:p>
        </w:tc>
        <w:tc>
          <w:tcPr>
            <w:tcW w:w="1866" w:type="dxa"/>
          </w:tcPr>
          <w:p w14:paraId="0FD7F24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8474</w:t>
            </w:r>
          </w:p>
        </w:tc>
        <w:tc>
          <w:tcPr>
            <w:tcW w:w="1380" w:type="dxa"/>
          </w:tcPr>
          <w:p w14:paraId="6A76865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tc>
        <w:tc>
          <w:tcPr>
            <w:tcW w:w="1759" w:type="dxa"/>
          </w:tcPr>
          <w:p w14:paraId="600D0E8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00289F1D" w14:textId="77777777">
        <w:trPr>
          <w:jc w:val="center"/>
        </w:trPr>
        <w:tc>
          <w:tcPr>
            <w:tcW w:w="1056" w:type="dxa"/>
          </w:tcPr>
          <w:p w14:paraId="363244E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418A056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Сеща</w:t>
            </w:r>
          </w:p>
        </w:tc>
        <w:tc>
          <w:tcPr>
            <w:tcW w:w="1714" w:type="dxa"/>
          </w:tcPr>
          <w:p w14:paraId="66FDC55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4./KG4</w:t>
            </w:r>
          </w:p>
        </w:tc>
        <w:tc>
          <w:tcPr>
            <w:tcW w:w="1158" w:type="dxa"/>
          </w:tcPr>
          <w:p w14:paraId="30895A2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He111H-16</w:t>
            </w:r>
          </w:p>
        </w:tc>
        <w:tc>
          <w:tcPr>
            <w:tcW w:w="1866" w:type="dxa"/>
          </w:tcPr>
          <w:p w14:paraId="20553E9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8466</w:t>
            </w:r>
          </w:p>
        </w:tc>
        <w:tc>
          <w:tcPr>
            <w:tcW w:w="1380" w:type="dxa"/>
          </w:tcPr>
          <w:p w14:paraId="014E592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c>
          <w:tcPr>
            <w:tcW w:w="1759" w:type="dxa"/>
          </w:tcPr>
          <w:p w14:paraId="35BF1F8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4FF6A762" w14:textId="77777777">
        <w:trPr>
          <w:jc w:val="center"/>
        </w:trPr>
        <w:tc>
          <w:tcPr>
            <w:tcW w:w="1056" w:type="dxa"/>
          </w:tcPr>
          <w:p w14:paraId="316CD52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373A2D2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Сеща</w:t>
            </w:r>
          </w:p>
        </w:tc>
        <w:tc>
          <w:tcPr>
            <w:tcW w:w="1714" w:type="dxa"/>
          </w:tcPr>
          <w:p w14:paraId="4DE346A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5./KG4</w:t>
            </w:r>
          </w:p>
        </w:tc>
        <w:tc>
          <w:tcPr>
            <w:tcW w:w="1158" w:type="dxa"/>
          </w:tcPr>
          <w:p w14:paraId="231A367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He111H-16</w:t>
            </w:r>
          </w:p>
        </w:tc>
        <w:tc>
          <w:tcPr>
            <w:tcW w:w="1866" w:type="dxa"/>
          </w:tcPr>
          <w:p w14:paraId="3FA7EC6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7725</w:t>
            </w:r>
          </w:p>
        </w:tc>
        <w:tc>
          <w:tcPr>
            <w:tcW w:w="1380" w:type="dxa"/>
          </w:tcPr>
          <w:p w14:paraId="2825640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tc>
        <w:tc>
          <w:tcPr>
            <w:tcW w:w="1759" w:type="dxa"/>
          </w:tcPr>
          <w:p w14:paraId="3D7BC30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79BAE9AC" w14:textId="77777777">
        <w:trPr>
          <w:jc w:val="center"/>
        </w:trPr>
        <w:tc>
          <w:tcPr>
            <w:tcW w:w="1056" w:type="dxa"/>
          </w:tcPr>
          <w:p w14:paraId="4480366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05B3615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Орел – Зап.</w:t>
            </w:r>
          </w:p>
        </w:tc>
        <w:tc>
          <w:tcPr>
            <w:tcW w:w="1714" w:type="dxa"/>
          </w:tcPr>
          <w:p w14:paraId="4DAAE7C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4.(F)/11</w:t>
            </w:r>
          </w:p>
        </w:tc>
        <w:tc>
          <w:tcPr>
            <w:tcW w:w="1158" w:type="dxa"/>
          </w:tcPr>
          <w:p w14:paraId="3089AF1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Ju88D-1</w:t>
            </w:r>
          </w:p>
        </w:tc>
        <w:tc>
          <w:tcPr>
            <w:tcW w:w="1866" w:type="dxa"/>
          </w:tcPr>
          <w:p w14:paraId="2D0E758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430632</w:t>
            </w:r>
          </w:p>
        </w:tc>
        <w:tc>
          <w:tcPr>
            <w:tcW w:w="1380" w:type="dxa"/>
          </w:tcPr>
          <w:p w14:paraId="1EC0493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c>
          <w:tcPr>
            <w:tcW w:w="1759" w:type="dxa"/>
          </w:tcPr>
          <w:p w14:paraId="51C47B4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4ABD0A62" w14:textId="77777777">
        <w:trPr>
          <w:jc w:val="center"/>
        </w:trPr>
        <w:tc>
          <w:tcPr>
            <w:tcW w:w="1056" w:type="dxa"/>
          </w:tcPr>
          <w:p w14:paraId="12A36E3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22C8CC4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Орел – Зап.</w:t>
            </w:r>
          </w:p>
        </w:tc>
        <w:tc>
          <w:tcPr>
            <w:tcW w:w="1714" w:type="dxa"/>
          </w:tcPr>
          <w:p w14:paraId="0C51FA3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4.(F)/11</w:t>
            </w:r>
          </w:p>
        </w:tc>
        <w:tc>
          <w:tcPr>
            <w:tcW w:w="1158" w:type="dxa"/>
          </w:tcPr>
          <w:p w14:paraId="3FF8E6D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Ju88D-1</w:t>
            </w:r>
          </w:p>
        </w:tc>
        <w:tc>
          <w:tcPr>
            <w:tcW w:w="1866" w:type="dxa"/>
          </w:tcPr>
          <w:p w14:paraId="4ABBF42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1093</w:t>
            </w:r>
          </w:p>
        </w:tc>
        <w:tc>
          <w:tcPr>
            <w:tcW w:w="1380" w:type="dxa"/>
          </w:tcPr>
          <w:p w14:paraId="2791A12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tc>
        <w:tc>
          <w:tcPr>
            <w:tcW w:w="1759" w:type="dxa"/>
          </w:tcPr>
          <w:p w14:paraId="18DF549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584B2AD4" w14:textId="77777777">
        <w:trPr>
          <w:jc w:val="center"/>
        </w:trPr>
        <w:tc>
          <w:tcPr>
            <w:tcW w:w="1056" w:type="dxa"/>
          </w:tcPr>
          <w:p w14:paraId="5144302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3FF8779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Орел – Зап.</w:t>
            </w:r>
          </w:p>
        </w:tc>
        <w:tc>
          <w:tcPr>
            <w:tcW w:w="1714" w:type="dxa"/>
          </w:tcPr>
          <w:p w14:paraId="3A1024B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4.(F)/11</w:t>
            </w:r>
          </w:p>
        </w:tc>
        <w:tc>
          <w:tcPr>
            <w:tcW w:w="1158" w:type="dxa"/>
          </w:tcPr>
          <w:p w14:paraId="185D199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Ju88D-1</w:t>
            </w:r>
          </w:p>
        </w:tc>
        <w:tc>
          <w:tcPr>
            <w:tcW w:w="1866" w:type="dxa"/>
          </w:tcPr>
          <w:p w14:paraId="46AB3D3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1637</w:t>
            </w:r>
          </w:p>
        </w:tc>
        <w:tc>
          <w:tcPr>
            <w:tcW w:w="1380" w:type="dxa"/>
          </w:tcPr>
          <w:p w14:paraId="32579FB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c>
          <w:tcPr>
            <w:tcW w:w="1759" w:type="dxa"/>
          </w:tcPr>
          <w:p w14:paraId="6697600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29CFB3C4" w14:textId="77777777">
        <w:trPr>
          <w:jc w:val="center"/>
        </w:trPr>
        <w:tc>
          <w:tcPr>
            <w:tcW w:w="1056" w:type="dxa"/>
          </w:tcPr>
          <w:p w14:paraId="56B6FBC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44E4F4C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Орел – Зап.</w:t>
            </w:r>
          </w:p>
        </w:tc>
        <w:tc>
          <w:tcPr>
            <w:tcW w:w="1714" w:type="dxa"/>
          </w:tcPr>
          <w:p w14:paraId="1E90469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4.(F)/11</w:t>
            </w:r>
          </w:p>
        </w:tc>
        <w:tc>
          <w:tcPr>
            <w:tcW w:w="1158" w:type="dxa"/>
          </w:tcPr>
          <w:p w14:paraId="1FF030A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Ju88D-1</w:t>
            </w:r>
          </w:p>
        </w:tc>
        <w:tc>
          <w:tcPr>
            <w:tcW w:w="1866" w:type="dxa"/>
          </w:tcPr>
          <w:p w14:paraId="5C8803F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430605</w:t>
            </w:r>
          </w:p>
        </w:tc>
        <w:tc>
          <w:tcPr>
            <w:tcW w:w="1380" w:type="dxa"/>
          </w:tcPr>
          <w:p w14:paraId="690CC72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c>
          <w:tcPr>
            <w:tcW w:w="1759" w:type="dxa"/>
          </w:tcPr>
          <w:p w14:paraId="2A41651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09FB0B08" w14:textId="77777777">
        <w:trPr>
          <w:jc w:val="center"/>
        </w:trPr>
        <w:tc>
          <w:tcPr>
            <w:tcW w:w="1056" w:type="dxa"/>
          </w:tcPr>
          <w:p w14:paraId="2030379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74D0E64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Орел – Зап.</w:t>
            </w:r>
          </w:p>
        </w:tc>
        <w:tc>
          <w:tcPr>
            <w:tcW w:w="1714" w:type="dxa"/>
          </w:tcPr>
          <w:p w14:paraId="0D1F36D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4.(F)/11</w:t>
            </w:r>
          </w:p>
        </w:tc>
        <w:tc>
          <w:tcPr>
            <w:tcW w:w="1158" w:type="dxa"/>
          </w:tcPr>
          <w:p w14:paraId="0188ACE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Ju88D-1</w:t>
            </w:r>
          </w:p>
        </w:tc>
        <w:tc>
          <w:tcPr>
            <w:tcW w:w="1866" w:type="dxa"/>
          </w:tcPr>
          <w:p w14:paraId="735DF3F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430668</w:t>
            </w:r>
          </w:p>
        </w:tc>
        <w:tc>
          <w:tcPr>
            <w:tcW w:w="1380" w:type="dxa"/>
          </w:tcPr>
          <w:p w14:paraId="7665CAC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c>
          <w:tcPr>
            <w:tcW w:w="1759" w:type="dxa"/>
          </w:tcPr>
          <w:p w14:paraId="3A20737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2A8568A0" w14:textId="77777777">
        <w:trPr>
          <w:jc w:val="center"/>
        </w:trPr>
        <w:tc>
          <w:tcPr>
            <w:tcW w:w="1056" w:type="dxa"/>
          </w:tcPr>
          <w:p w14:paraId="7EE2E11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60E2D9A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Орел – Зап.</w:t>
            </w:r>
          </w:p>
        </w:tc>
        <w:tc>
          <w:tcPr>
            <w:tcW w:w="1714" w:type="dxa"/>
          </w:tcPr>
          <w:p w14:paraId="79C46D2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4.(F)/11</w:t>
            </w:r>
          </w:p>
        </w:tc>
        <w:tc>
          <w:tcPr>
            <w:tcW w:w="1158" w:type="dxa"/>
          </w:tcPr>
          <w:p w14:paraId="7F9B4AD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Ju88E-5</w:t>
            </w:r>
          </w:p>
        </w:tc>
        <w:tc>
          <w:tcPr>
            <w:tcW w:w="1866" w:type="dxa"/>
          </w:tcPr>
          <w:p w14:paraId="0392779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430076</w:t>
            </w:r>
          </w:p>
        </w:tc>
        <w:tc>
          <w:tcPr>
            <w:tcW w:w="1380" w:type="dxa"/>
          </w:tcPr>
          <w:p w14:paraId="2501B35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c>
          <w:tcPr>
            <w:tcW w:w="1759" w:type="dxa"/>
          </w:tcPr>
          <w:p w14:paraId="4D49FD4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4150F9AB" w14:textId="77777777">
        <w:trPr>
          <w:jc w:val="center"/>
        </w:trPr>
        <w:tc>
          <w:tcPr>
            <w:tcW w:w="1056" w:type="dxa"/>
          </w:tcPr>
          <w:p w14:paraId="5B0B9CF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679082B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Орел – Зап.</w:t>
            </w:r>
          </w:p>
        </w:tc>
        <w:tc>
          <w:tcPr>
            <w:tcW w:w="1714" w:type="dxa"/>
          </w:tcPr>
          <w:p w14:paraId="2DF3BD6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12./JG51</w:t>
            </w:r>
          </w:p>
        </w:tc>
        <w:tc>
          <w:tcPr>
            <w:tcW w:w="1158" w:type="dxa"/>
          </w:tcPr>
          <w:p w14:paraId="7AB5520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Fw190A</w:t>
            </w:r>
          </w:p>
        </w:tc>
        <w:tc>
          <w:tcPr>
            <w:tcW w:w="1866" w:type="dxa"/>
          </w:tcPr>
          <w:p w14:paraId="1919F42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13B8227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tc>
        <w:tc>
          <w:tcPr>
            <w:tcW w:w="1759" w:type="dxa"/>
          </w:tcPr>
          <w:p w14:paraId="1A0EB56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1216234E" w14:textId="77777777">
        <w:trPr>
          <w:jc w:val="center"/>
        </w:trPr>
        <w:tc>
          <w:tcPr>
            <w:tcW w:w="1056" w:type="dxa"/>
          </w:tcPr>
          <w:p w14:paraId="5A86EE2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06.05</w:t>
            </w:r>
          </w:p>
        </w:tc>
        <w:tc>
          <w:tcPr>
            <w:tcW w:w="2002" w:type="dxa"/>
          </w:tcPr>
          <w:p w14:paraId="056A867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Орел – Зап.</w:t>
            </w:r>
          </w:p>
        </w:tc>
        <w:tc>
          <w:tcPr>
            <w:tcW w:w="1714" w:type="dxa"/>
          </w:tcPr>
          <w:p w14:paraId="62B53D3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12./JG51</w:t>
            </w:r>
          </w:p>
        </w:tc>
        <w:tc>
          <w:tcPr>
            <w:tcW w:w="1158" w:type="dxa"/>
          </w:tcPr>
          <w:p w14:paraId="5DFAA42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Fw190A</w:t>
            </w:r>
          </w:p>
        </w:tc>
        <w:tc>
          <w:tcPr>
            <w:tcW w:w="1866" w:type="dxa"/>
          </w:tcPr>
          <w:p w14:paraId="73791E7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0892F6C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tc>
        <w:tc>
          <w:tcPr>
            <w:tcW w:w="1759" w:type="dxa"/>
          </w:tcPr>
          <w:p w14:paraId="0911FCA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365BB1B4" w14:textId="77777777">
        <w:trPr>
          <w:jc w:val="center"/>
        </w:trPr>
        <w:tc>
          <w:tcPr>
            <w:tcW w:w="1056" w:type="dxa"/>
          </w:tcPr>
          <w:p w14:paraId="7655273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3BCF99C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Орел – Зап.</w:t>
            </w:r>
          </w:p>
        </w:tc>
        <w:tc>
          <w:tcPr>
            <w:tcW w:w="1714" w:type="dxa"/>
          </w:tcPr>
          <w:p w14:paraId="264AD40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12./JG51</w:t>
            </w:r>
          </w:p>
        </w:tc>
        <w:tc>
          <w:tcPr>
            <w:tcW w:w="1158" w:type="dxa"/>
          </w:tcPr>
          <w:p w14:paraId="1FB5435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Fw190A</w:t>
            </w:r>
          </w:p>
        </w:tc>
        <w:tc>
          <w:tcPr>
            <w:tcW w:w="1866" w:type="dxa"/>
          </w:tcPr>
          <w:p w14:paraId="07E489C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6585EA0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tc>
        <w:tc>
          <w:tcPr>
            <w:tcW w:w="1759" w:type="dxa"/>
          </w:tcPr>
          <w:p w14:paraId="5D70403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01B719B6" w14:textId="77777777">
        <w:trPr>
          <w:jc w:val="center"/>
        </w:trPr>
        <w:tc>
          <w:tcPr>
            <w:tcW w:w="1056" w:type="dxa"/>
          </w:tcPr>
          <w:p w14:paraId="76BD23A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510E832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Сеща</w:t>
            </w:r>
          </w:p>
        </w:tc>
        <w:tc>
          <w:tcPr>
            <w:tcW w:w="1714" w:type="dxa"/>
          </w:tcPr>
          <w:p w14:paraId="34CA712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Lw.Bau-Btl.9/ХI</w:t>
            </w:r>
          </w:p>
        </w:tc>
        <w:tc>
          <w:tcPr>
            <w:tcW w:w="1158" w:type="dxa"/>
          </w:tcPr>
          <w:p w14:paraId="55645E1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067A0ED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1398255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4EDCA51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71D62E3F" w14:textId="77777777">
        <w:trPr>
          <w:jc w:val="center"/>
        </w:trPr>
        <w:tc>
          <w:tcPr>
            <w:tcW w:w="1056" w:type="dxa"/>
          </w:tcPr>
          <w:p w14:paraId="68621C3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16E1D75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Панково</w:t>
            </w:r>
          </w:p>
        </w:tc>
        <w:tc>
          <w:tcPr>
            <w:tcW w:w="1714" w:type="dxa"/>
          </w:tcPr>
          <w:p w14:paraId="710F995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NAGr4</w:t>
            </w:r>
          </w:p>
        </w:tc>
        <w:tc>
          <w:tcPr>
            <w:tcW w:w="1158" w:type="dxa"/>
          </w:tcPr>
          <w:p w14:paraId="7E79C1C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200B7A7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7365B6E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2026213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66116DB9" w14:textId="77777777">
        <w:trPr>
          <w:jc w:val="center"/>
        </w:trPr>
        <w:tc>
          <w:tcPr>
            <w:tcW w:w="1056" w:type="dxa"/>
          </w:tcPr>
          <w:p w14:paraId="40B9283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1A488D3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Сеща</w:t>
            </w:r>
          </w:p>
        </w:tc>
        <w:tc>
          <w:tcPr>
            <w:tcW w:w="1714" w:type="dxa"/>
          </w:tcPr>
          <w:p w14:paraId="6C5F2D0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I./FlakR36</w:t>
            </w:r>
          </w:p>
        </w:tc>
        <w:tc>
          <w:tcPr>
            <w:tcW w:w="1158" w:type="dxa"/>
          </w:tcPr>
          <w:p w14:paraId="1A4F7DE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769CB87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755E838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45E7BB8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2F8DD67E" w14:textId="77777777">
        <w:trPr>
          <w:jc w:val="center"/>
        </w:trPr>
        <w:tc>
          <w:tcPr>
            <w:tcW w:w="1056" w:type="dxa"/>
          </w:tcPr>
          <w:p w14:paraId="45AB49F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5740866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Краматорская</w:t>
            </w:r>
          </w:p>
        </w:tc>
        <w:tc>
          <w:tcPr>
            <w:tcW w:w="1714" w:type="dxa"/>
          </w:tcPr>
          <w:p w14:paraId="617208A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Werkst.Zug.5/20</w:t>
            </w:r>
          </w:p>
        </w:tc>
        <w:tc>
          <w:tcPr>
            <w:tcW w:w="1158" w:type="dxa"/>
          </w:tcPr>
          <w:p w14:paraId="6EC378B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5BFBC4B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64B6D3E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54ED52C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0C9162BA" w14:textId="77777777">
        <w:trPr>
          <w:jc w:val="center"/>
        </w:trPr>
        <w:tc>
          <w:tcPr>
            <w:tcW w:w="1056" w:type="dxa"/>
          </w:tcPr>
          <w:p w14:paraId="6F6A61B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5F3356F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Полтава</w:t>
            </w:r>
          </w:p>
        </w:tc>
        <w:tc>
          <w:tcPr>
            <w:tcW w:w="1714" w:type="dxa"/>
          </w:tcPr>
          <w:p w14:paraId="4F9BFF1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Lei.Flakabt.982</w:t>
            </w:r>
          </w:p>
        </w:tc>
        <w:tc>
          <w:tcPr>
            <w:tcW w:w="1158" w:type="dxa"/>
          </w:tcPr>
          <w:p w14:paraId="2E9632D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5329CE0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05D2C86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025EDEA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497ABA76" w14:textId="77777777">
        <w:trPr>
          <w:jc w:val="center"/>
        </w:trPr>
        <w:tc>
          <w:tcPr>
            <w:tcW w:w="1056" w:type="dxa"/>
          </w:tcPr>
          <w:p w14:paraId="40851ED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4DFBE69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w:t>
            </w:r>
          </w:p>
        </w:tc>
        <w:tc>
          <w:tcPr>
            <w:tcW w:w="1714" w:type="dxa"/>
          </w:tcPr>
          <w:p w14:paraId="53CA4C5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I./FlakR11</w:t>
            </w:r>
          </w:p>
        </w:tc>
        <w:tc>
          <w:tcPr>
            <w:tcW w:w="1158" w:type="dxa"/>
          </w:tcPr>
          <w:p w14:paraId="12E0118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390E4DE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74CF5E2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525CB43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05EC427C" w14:textId="77777777">
        <w:trPr>
          <w:jc w:val="center"/>
        </w:trPr>
        <w:tc>
          <w:tcPr>
            <w:tcW w:w="1056" w:type="dxa"/>
          </w:tcPr>
          <w:p w14:paraId="04500CD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0E099B5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 – Юж.</w:t>
            </w:r>
          </w:p>
        </w:tc>
        <w:tc>
          <w:tcPr>
            <w:tcW w:w="1714" w:type="dxa"/>
          </w:tcPr>
          <w:p w14:paraId="2199A03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Ln.Betr.Kp.132</w:t>
            </w:r>
          </w:p>
        </w:tc>
        <w:tc>
          <w:tcPr>
            <w:tcW w:w="1158" w:type="dxa"/>
          </w:tcPr>
          <w:p w14:paraId="1DA433A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3F5D4C3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794140E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5762D75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73470A8C" w14:textId="77777777">
        <w:trPr>
          <w:jc w:val="center"/>
        </w:trPr>
        <w:tc>
          <w:tcPr>
            <w:tcW w:w="1056" w:type="dxa"/>
          </w:tcPr>
          <w:p w14:paraId="53BF37A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69C7131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Орел</w:t>
            </w:r>
          </w:p>
        </w:tc>
        <w:tc>
          <w:tcPr>
            <w:tcW w:w="1714" w:type="dxa"/>
          </w:tcPr>
          <w:p w14:paraId="1534BBF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Tr.Kol.113/VI</w:t>
            </w:r>
          </w:p>
        </w:tc>
        <w:tc>
          <w:tcPr>
            <w:tcW w:w="1158" w:type="dxa"/>
          </w:tcPr>
          <w:p w14:paraId="231ACAD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55E38B9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156F0DA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606A90E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tc>
      </w:tr>
      <w:tr w:rsidR="00860B4B" w:rsidRPr="00D03F3E" w14:paraId="2F5FA6CA" w14:textId="77777777">
        <w:trPr>
          <w:jc w:val="center"/>
        </w:trPr>
        <w:tc>
          <w:tcPr>
            <w:tcW w:w="1056" w:type="dxa"/>
          </w:tcPr>
          <w:p w14:paraId="076C820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68C48F5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Орел – Сев.</w:t>
            </w:r>
          </w:p>
        </w:tc>
        <w:tc>
          <w:tcPr>
            <w:tcW w:w="1714" w:type="dxa"/>
          </w:tcPr>
          <w:p w14:paraId="57BB1BA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Lw.Bau-Btl.8/III</w:t>
            </w:r>
          </w:p>
        </w:tc>
        <w:tc>
          <w:tcPr>
            <w:tcW w:w="1158" w:type="dxa"/>
          </w:tcPr>
          <w:p w14:paraId="4020877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3AFAE4F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462E725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7EE4ECD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52CDF175" w14:textId="77777777">
        <w:trPr>
          <w:jc w:val="center"/>
        </w:trPr>
        <w:tc>
          <w:tcPr>
            <w:tcW w:w="1056" w:type="dxa"/>
          </w:tcPr>
          <w:p w14:paraId="038E586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06E1D95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w:t>
            </w:r>
          </w:p>
        </w:tc>
        <w:tc>
          <w:tcPr>
            <w:tcW w:w="1714" w:type="dxa"/>
          </w:tcPr>
          <w:p w14:paraId="215B660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Fl.H.Kdtr (E)3/I</w:t>
            </w:r>
          </w:p>
        </w:tc>
        <w:tc>
          <w:tcPr>
            <w:tcW w:w="1158" w:type="dxa"/>
          </w:tcPr>
          <w:p w14:paraId="4A65CD5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3E8388A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571E46C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3F8E57E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3ABBD8E8" w14:textId="77777777">
        <w:trPr>
          <w:jc w:val="center"/>
        </w:trPr>
        <w:tc>
          <w:tcPr>
            <w:tcW w:w="1056" w:type="dxa"/>
          </w:tcPr>
          <w:p w14:paraId="41B5017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5806755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Сеща</w:t>
            </w:r>
          </w:p>
        </w:tc>
        <w:tc>
          <w:tcPr>
            <w:tcW w:w="1714" w:type="dxa"/>
          </w:tcPr>
          <w:p w14:paraId="0AD08A8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Fl.H.Kdtr (E)3/I</w:t>
            </w:r>
          </w:p>
        </w:tc>
        <w:tc>
          <w:tcPr>
            <w:tcW w:w="1158" w:type="dxa"/>
          </w:tcPr>
          <w:p w14:paraId="7D5E796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2C63B4D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081D68E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6B4E6D1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4C227E1F" w14:textId="77777777">
        <w:trPr>
          <w:jc w:val="center"/>
        </w:trPr>
        <w:tc>
          <w:tcPr>
            <w:tcW w:w="1056" w:type="dxa"/>
          </w:tcPr>
          <w:p w14:paraId="537D161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00C674F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Орел – Зап.</w:t>
            </w:r>
          </w:p>
        </w:tc>
        <w:tc>
          <w:tcPr>
            <w:tcW w:w="1714" w:type="dxa"/>
          </w:tcPr>
          <w:p w14:paraId="5880CE3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4.(F)/11</w:t>
            </w:r>
          </w:p>
        </w:tc>
        <w:tc>
          <w:tcPr>
            <w:tcW w:w="1158" w:type="dxa"/>
          </w:tcPr>
          <w:p w14:paraId="6073E23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58B9E27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6E31FFE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0F33AA8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=7</w:t>
            </w:r>
          </w:p>
        </w:tc>
      </w:tr>
      <w:tr w:rsidR="00860B4B" w:rsidRPr="00D03F3E" w14:paraId="5927254F" w14:textId="77777777">
        <w:trPr>
          <w:jc w:val="center"/>
        </w:trPr>
        <w:tc>
          <w:tcPr>
            <w:tcW w:w="1056" w:type="dxa"/>
          </w:tcPr>
          <w:p w14:paraId="624D4D1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4A945A4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Орел – Зап.</w:t>
            </w:r>
          </w:p>
        </w:tc>
        <w:tc>
          <w:tcPr>
            <w:tcW w:w="1714" w:type="dxa"/>
          </w:tcPr>
          <w:p w14:paraId="3858429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I./JG51</w:t>
            </w:r>
          </w:p>
        </w:tc>
        <w:tc>
          <w:tcPr>
            <w:tcW w:w="1158" w:type="dxa"/>
          </w:tcPr>
          <w:p w14:paraId="2CFF6AC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5DB1336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720DFD1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1DB2385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281E5C96" w14:textId="77777777">
        <w:trPr>
          <w:jc w:val="center"/>
        </w:trPr>
        <w:tc>
          <w:tcPr>
            <w:tcW w:w="1056" w:type="dxa"/>
          </w:tcPr>
          <w:p w14:paraId="4DCF362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215CF93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Краматорская</w:t>
            </w:r>
          </w:p>
        </w:tc>
        <w:tc>
          <w:tcPr>
            <w:tcW w:w="1714" w:type="dxa"/>
          </w:tcPr>
          <w:p w14:paraId="06D2842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4.StoerKSt</w:t>
            </w:r>
          </w:p>
        </w:tc>
        <w:tc>
          <w:tcPr>
            <w:tcW w:w="1158" w:type="dxa"/>
          </w:tcPr>
          <w:p w14:paraId="5524DB0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01F490D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1E65390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2C49D93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51C4EBAC" w14:textId="77777777">
        <w:trPr>
          <w:jc w:val="center"/>
        </w:trPr>
        <w:tc>
          <w:tcPr>
            <w:tcW w:w="1056" w:type="dxa"/>
          </w:tcPr>
          <w:p w14:paraId="2FD29EE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06.05</w:t>
            </w:r>
          </w:p>
        </w:tc>
        <w:tc>
          <w:tcPr>
            <w:tcW w:w="2002" w:type="dxa"/>
          </w:tcPr>
          <w:p w14:paraId="3E27483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Краматорская</w:t>
            </w:r>
          </w:p>
        </w:tc>
        <w:tc>
          <w:tcPr>
            <w:tcW w:w="1714" w:type="dxa"/>
          </w:tcPr>
          <w:p w14:paraId="040AD56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I./FlakR 7</w:t>
            </w:r>
          </w:p>
        </w:tc>
        <w:tc>
          <w:tcPr>
            <w:tcW w:w="1158" w:type="dxa"/>
          </w:tcPr>
          <w:p w14:paraId="2EA8AAD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17AE508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1553DF6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4DAF1BA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w:t>
            </w:r>
          </w:p>
        </w:tc>
      </w:tr>
      <w:tr w:rsidR="00860B4B" w:rsidRPr="00D03F3E" w14:paraId="7C69A4D6" w14:textId="77777777">
        <w:trPr>
          <w:jc w:val="center"/>
        </w:trPr>
        <w:tc>
          <w:tcPr>
            <w:tcW w:w="1056" w:type="dxa"/>
          </w:tcPr>
          <w:p w14:paraId="0A92180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07.05</w:t>
            </w:r>
          </w:p>
        </w:tc>
        <w:tc>
          <w:tcPr>
            <w:tcW w:w="2002" w:type="dxa"/>
          </w:tcPr>
          <w:p w14:paraId="21B17A2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Сталино - Сев.</w:t>
            </w:r>
          </w:p>
        </w:tc>
        <w:tc>
          <w:tcPr>
            <w:tcW w:w="1714" w:type="dxa"/>
          </w:tcPr>
          <w:p w14:paraId="30A7CBF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II./KG55</w:t>
            </w:r>
          </w:p>
        </w:tc>
        <w:tc>
          <w:tcPr>
            <w:tcW w:w="1158" w:type="dxa"/>
          </w:tcPr>
          <w:p w14:paraId="3048732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He111H-16</w:t>
            </w:r>
          </w:p>
        </w:tc>
        <w:tc>
          <w:tcPr>
            <w:tcW w:w="1866" w:type="dxa"/>
          </w:tcPr>
          <w:p w14:paraId="6675C63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0270</w:t>
            </w:r>
          </w:p>
        </w:tc>
        <w:tc>
          <w:tcPr>
            <w:tcW w:w="1380" w:type="dxa"/>
          </w:tcPr>
          <w:p w14:paraId="4F4287F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tc>
        <w:tc>
          <w:tcPr>
            <w:tcW w:w="1759" w:type="dxa"/>
          </w:tcPr>
          <w:p w14:paraId="46671A5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4A165C97" w14:textId="77777777">
        <w:trPr>
          <w:jc w:val="center"/>
        </w:trPr>
        <w:tc>
          <w:tcPr>
            <w:tcW w:w="1056" w:type="dxa"/>
          </w:tcPr>
          <w:p w14:paraId="7BE598E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07.05</w:t>
            </w:r>
          </w:p>
        </w:tc>
        <w:tc>
          <w:tcPr>
            <w:tcW w:w="2002" w:type="dxa"/>
          </w:tcPr>
          <w:p w14:paraId="3227DD2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Сеща</w:t>
            </w:r>
          </w:p>
        </w:tc>
        <w:tc>
          <w:tcPr>
            <w:tcW w:w="1714" w:type="dxa"/>
          </w:tcPr>
          <w:p w14:paraId="3E5C68DA" w14:textId="77777777" w:rsidR="00531570" w:rsidRPr="00D03F3E" w:rsidRDefault="00531570" w:rsidP="00D03F3E">
            <w:pPr>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Fl.H.Kdtr (E)31/XII</w:t>
            </w:r>
          </w:p>
        </w:tc>
        <w:tc>
          <w:tcPr>
            <w:tcW w:w="1158" w:type="dxa"/>
          </w:tcPr>
          <w:p w14:paraId="7A2F4FC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04157F2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47BBFBF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11BE3C2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1B5E39B9" w14:textId="77777777">
        <w:trPr>
          <w:jc w:val="center"/>
        </w:trPr>
        <w:tc>
          <w:tcPr>
            <w:tcW w:w="1056" w:type="dxa"/>
          </w:tcPr>
          <w:p w14:paraId="56EADE1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07.05</w:t>
            </w:r>
          </w:p>
        </w:tc>
        <w:tc>
          <w:tcPr>
            <w:tcW w:w="2002" w:type="dxa"/>
          </w:tcPr>
          <w:p w14:paraId="0B567B3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Сталино</w:t>
            </w:r>
          </w:p>
        </w:tc>
        <w:tc>
          <w:tcPr>
            <w:tcW w:w="1714" w:type="dxa"/>
          </w:tcPr>
          <w:p w14:paraId="0FC1873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3.FBK/KG55</w:t>
            </w:r>
          </w:p>
        </w:tc>
        <w:tc>
          <w:tcPr>
            <w:tcW w:w="1158" w:type="dxa"/>
          </w:tcPr>
          <w:p w14:paraId="0E6CC5C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7DEB849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4F4A318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6C5BDDF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4742D8E5" w14:textId="77777777">
        <w:trPr>
          <w:jc w:val="center"/>
        </w:trPr>
        <w:tc>
          <w:tcPr>
            <w:tcW w:w="1056" w:type="dxa"/>
          </w:tcPr>
          <w:p w14:paraId="08D939A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07.05</w:t>
            </w:r>
          </w:p>
        </w:tc>
        <w:tc>
          <w:tcPr>
            <w:tcW w:w="2002" w:type="dxa"/>
          </w:tcPr>
          <w:p w14:paraId="1085DED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Шаблово</w:t>
            </w:r>
          </w:p>
        </w:tc>
        <w:tc>
          <w:tcPr>
            <w:tcW w:w="1714" w:type="dxa"/>
          </w:tcPr>
          <w:p w14:paraId="7AC38F4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III./JG51</w:t>
            </w:r>
          </w:p>
        </w:tc>
        <w:tc>
          <w:tcPr>
            <w:tcW w:w="1158" w:type="dxa"/>
          </w:tcPr>
          <w:p w14:paraId="3B5CDCE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74936DA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56E24A1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4240B3E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6C6EE296" w14:textId="77777777">
        <w:trPr>
          <w:jc w:val="center"/>
        </w:trPr>
        <w:tc>
          <w:tcPr>
            <w:tcW w:w="1056" w:type="dxa"/>
          </w:tcPr>
          <w:p w14:paraId="6A87AE9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07.05</w:t>
            </w:r>
          </w:p>
        </w:tc>
        <w:tc>
          <w:tcPr>
            <w:tcW w:w="2002" w:type="dxa"/>
          </w:tcPr>
          <w:p w14:paraId="7240E7A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Кутейниково</w:t>
            </w:r>
          </w:p>
        </w:tc>
        <w:tc>
          <w:tcPr>
            <w:tcW w:w="1714" w:type="dxa"/>
          </w:tcPr>
          <w:p w14:paraId="3F04295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St.Kp./NAGr1</w:t>
            </w:r>
          </w:p>
        </w:tc>
        <w:tc>
          <w:tcPr>
            <w:tcW w:w="1158" w:type="dxa"/>
          </w:tcPr>
          <w:p w14:paraId="1DB1EA0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4D6D0EE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6BE26CE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68785C0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=3</w:t>
            </w:r>
          </w:p>
        </w:tc>
      </w:tr>
      <w:tr w:rsidR="00860B4B" w:rsidRPr="00D03F3E" w14:paraId="50C6BCE9" w14:textId="77777777">
        <w:trPr>
          <w:jc w:val="center"/>
        </w:trPr>
        <w:tc>
          <w:tcPr>
            <w:tcW w:w="1056" w:type="dxa"/>
          </w:tcPr>
          <w:p w14:paraId="74F78C3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08.05</w:t>
            </w:r>
          </w:p>
        </w:tc>
        <w:tc>
          <w:tcPr>
            <w:tcW w:w="2002" w:type="dxa"/>
          </w:tcPr>
          <w:p w14:paraId="57CB711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Озерская</w:t>
            </w:r>
          </w:p>
        </w:tc>
        <w:tc>
          <w:tcPr>
            <w:tcW w:w="1714" w:type="dxa"/>
          </w:tcPr>
          <w:p w14:paraId="32BEB8C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1.(Н)/11</w:t>
            </w:r>
          </w:p>
        </w:tc>
        <w:tc>
          <w:tcPr>
            <w:tcW w:w="1158" w:type="dxa"/>
          </w:tcPr>
          <w:p w14:paraId="59C47FD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Fw189A-2</w:t>
            </w:r>
          </w:p>
        </w:tc>
        <w:tc>
          <w:tcPr>
            <w:tcW w:w="1866" w:type="dxa"/>
          </w:tcPr>
          <w:p w14:paraId="62684B9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5127</w:t>
            </w:r>
          </w:p>
        </w:tc>
        <w:tc>
          <w:tcPr>
            <w:tcW w:w="1380" w:type="dxa"/>
          </w:tcPr>
          <w:p w14:paraId="5629CC4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tc>
        <w:tc>
          <w:tcPr>
            <w:tcW w:w="1759" w:type="dxa"/>
          </w:tcPr>
          <w:p w14:paraId="1C8FB95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1B5B91AB" w14:textId="77777777">
        <w:trPr>
          <w:jc w:val="center"/>
        </w:trPr>
        <w:tc>
          <w:tcPr>
            <w:tcW w:w="1056" w:type="dxa"/>
          </w:tcPr>
          <w:p w14:paraId="734A233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08.05</w:t>
            </w:r>
          </w:p>
        </w:tc>
        <w:tc>
          <w:tcPr>
            <w:tcW w:w="2002" w:type="dxa"/>
          </w:tcPr>
          <w:p w14:paraId="7E35D66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Озерская</w:t>
            </w:r>
          </w:p>
        </w:tc>
        <w:tc>
          <w:tcPr>
            <w:tcW w:w="1714" w:type="dxa"/>
          </w:tcPr>
          <w:p w14:paraId="726E72E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1.(Н)/11</w:t>
            </w:r>
          </w:p>
        </w:tc>
        <w:tc>
          <w:tcPr>
            <w:tcW w:w="1158" w:type="dxa"/>
          </w:tcPr>
          <w:p w14:paraId="123AC0C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Fw189A-2</w:t>
            </w:r>
          </w:p>
        </w:tc>
        <w:tc>
          <w:tcPr>
            <w:tcW w:w="1866" w:type="dxa"/>
          </w:tcPr>
          <w:p w14:paraId="7302DA2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2228</w:t>
            </w:r>
          </w:p>
        </w:tc>
        <w:tc>
          <w:tcPr>
            <w:tcW w:w="1380" w:type="dxa"/>
          </w:tcPr>
          <w:p w14:paraId="4F76E82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c>
          <w:tcPr>
            <w:tcW w:w="1759" w:type="dxa"/>
          </w:tcPr>
          <w:p w14:paraId="1FB5C53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39EEE88A" w14:textId="77777777">
        <w:trPr>
          <w:jc w:val="center"/>
        </w:trPr>
        <w:tc>
          <w:tcPr>
            <w:tcW w:w="1056" w:type="dxa"/>
          </w:tcPr>
          <w:p w14:paraId="22F019E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09.05</w:t>
            </w:r>
          </w:p>
        </w:tc>
        <w:tc>
          <w:tcPr>
            <w:tcW w:w="2002" w:type="dxa"/>
          </w:tcPr>
          <w:p w14:paraId="701F538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w:t>
            </w:r>
          </w:p>
        </w:tc>
        <w:tc>
          <w:tcPr>
            <w:tcW w:w="1714" w:type="dxa"/>
          </w:tcPr>
          <w:p w14:paraId="7CD4C90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Fl.H.Kdtr (E)3/I</w:t>
            </w:r>
          </w:p>
        </w:tc>
        <w:tc>
          <w:tcPr>
            <w:tcW w:w="1158" w:type="dxa"/>
          </w:tcPr>
          <w:p w14:paraId="0A31AB3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2E81954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3C487EC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4434D57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6EF15DBE" w14:textId="77777777">
        <w:trPr>
          <w:jc w:val="center"/>
        </w:trPr>
        <w:tc>
          <w:tcPr>
            <w:tcW w:w="1056" w:type="dxa"/>
          </w:tcPr>
          <w:p w14:paraId="1D5BBE9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09.05</w:t>
            </w:r>
          </w:p>
        </w:tc>
        <w:tc>
          <w:tcPr>
            <w:tcW w:w="2002" w:type="dxa"/>
          </w:tcPr>
          <w:p w14:paraId="63AB732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Краматорская</w:t>
            </w:r>
          </w:p>
        </w:tc>
        <w:tc>
          <w:tcPr>
            <w:tcW w:w="1714" w:type="dxa"/>
          </w:tcPr>
          <w:p w14:paraId="436CB5B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Lei.Flakabt.96</w:t>
            </w:r>
          </w:p>
        </w:tc>
        <w:tc>
          <w:tcPr>
            <w:tcW w:w="1158" w:type="dxa"/>
          </w:tcPr>
          <w:p w14:paraId="3C85246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5AD31A6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6FA7B83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105383B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6DEA7D83" w14:textId="77777777">
        <w:trPr>
          <w:jc w:val="center"/>
        </w:trPr>
        <w:tc>
          <w:tcPr>
            <w:tcW w:w="1056" w:type="dxa"/>
          </w:tcPr>
          <w:p w14:paraId="3CA646C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09.05</w:t>
            </w:r>
          </w:p>
        </w:tc>
        <w:tc>
          <w:tcPr>
            <w:tcW w:w="2002" w:type="dxa"/>
          </w:tcPr>
          <w:p w14:paraId="51F6D4D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w:t>
            </w:r>
          </w:p>
        </w:tc>
        <w:tc>
          <w:tcPr>
            <w:tcW w:w="1714" w:type="dxa"/>
          </w:tcPr>
          <w:p w14:paraId="055099B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I./FlakR11</w:t>
            </w:r>
          </w:p>
        </w:tc>
        <w:tc>
          <w:tcPr>
            <w:tcW w:w="1158" w:type="dxa"/>
          </w:tcPr>
          <w:p w14:paraId="0026F31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7149078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19B3CDF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21F277C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=1</w:t>
            </w:r>
          </w:p>
        </w:tc>
      </w:tr>
      <w:tr w:rsidR="00860B4B" w:rsidRPr="00D03F3E" w14:paraId="60D09D80" w14:textId="77777777">
        <w:trPr>
          <w:jc w:val="center"/>
        </w:trPr>
        <w:tc>
          <w:tcPr>
            <w:tcW w:w="1056" w:type="dxa"/>
          </w:tcPr>
          <w:p w14:paraId="57DDF17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09.05</w:t>
            </w:r>
          </w:p>
        </w:tc>
        <w:tc>
          <w:tcPr>
            <w:tcW w:w="2002" w:type="dxa"/>
          </w:tcPr>
          <w:p w14:paraId="78854B3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 – Юж.</w:t>
            </w:r>
          </w:p>
        </w:tc>
        <w:tc>
          <w:tcPr>
            <w:tcW w:w="1714" w:type="dxa"/>
          </w:tcPr>
          <w:p w14:paraId="2CA2F61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I./FlakR24</w:t>
            </w:r>
          </w:p>
        </w:tc>
        <w:tc>
          <w:tcPr>
            <w:tcW w:w="1158" w:type="dxa"/>
          </w:tcPr>
          <w:p w14:paraId="02C78EE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3CC2C0E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166F87E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4FBEABC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r>
      <w:tr w:rsidR="00860B4B" w:rsidRPr="00D03F3E" w14:paraId="449289EE" w14:textId="77777777">
        <w:trPr>
          <w:jc w:val="center"/>
        </w:trPr>
        <w:tc>
          <w:tcPr>
            <w:tcW w:w="1056" w:type="dxa"/>
          </w:tcPr>
          <w:p w14:paraId="3E3717C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09.05</w:t>
            </w:r>
          </w:p>
        </w:tc>
        <w:tc>
          <w:tcPr>
            <w:tcW w:w="2002" w:type="dxa"/>
          </w:tcPr>
          <w:p w14:paraId="62983D2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Красилино</w:t>
            </w:r>
          </w:p>
        </w:tc>
        <w:tc>
          <w:tcPr>
            <w:tcW w:w="1714" w:type="dxa"/>
          </w:tcPr>
          <w:p w14:paraId="056EF7C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Lei.Flakabt.93</w:t>
            </w:r>
          </w:p>
        </w:tc>
        <w:tc>
          <w:tcPr>
            <w:tcW w:w="1158" w:type="dxa"/>
          </w:tcPr>
          <w:p w14:paraId="0D247BB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4BABD17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198F608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2C75F70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r>
      <w:tr w:rsidR="00860B4B" w:rsidRPr="00D03F3E" w14:paraId="7C8AD3B4" w14:textId="77777777">
        <w:trPr>
          <w:jc w:val="center"/>
        </w:trPr>
        <w:tc>
          <w:tcPr>
            <w:tcW w:w="1056" w:type="dxa"/>
          </w:tcPr>
          <w:p w14:paraId="44C246C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09.05</w:t>
            </w:r>
          </w:p>
        </w:tc>
        <w:tc>
          <w:tcPr>
            <w:tcW w:w="2002" w:type="dxa"/>
          </w:tcPr>
          <w:p w14:paraId="6C21250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w:t>
            </w:r>
          </w:p>
        </w:tc>
        <w:tc>
          <w:tcPr>
            <w:tcW w:w="1714" w:type="dxa"/>
          </w:tcPr>
          <w:p w14:paraId="4E96E30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Flakschw.Abt.528</w:t>
            </w:r>
          </w:p>
        </w:tc>
        <w:tc>
          <w:tcPr>
            <w:tcW w:w="1158" w:type="dxa"/>
          </w:tcPr>
          <w:p w14:paraId="0D912B4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6" w:type="dxa"/>
          </w:tcPr>
          <w:p w14:paraId="153666E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80" w:type="dxa"/>
          </w:tcPr>
          <w:p w14:paraId="6315E45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59" w:type="dxa"/>
          </w:tcPr>
          <w:p w14:paraId="59E68BB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r>
    </w:tbl>
    <w:p w14:paraId="74E893A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Итого: 27 самолетов, 10 погибших, 40 раненных </w:t>
      </w:r>
    </w:p>
    <w:p w14:paraId="19746F6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Примечания: 1. Таблица составлена по данным ежедневных сводок потерь Люфтваффе, хранящихся в Военном архиве ФРГ под номерами RL 2 III 1189 - 1190.</w:t>
      </w:r>
    </w:p>
    <w:p w14:paraId="22E30CF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 - погиб, = - ранен (11152).</w:t>
      </w:r>
    </w:p>
    <w:p w14:paraId="7B749F2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Данные, приведенные в таблицах, сами по себе красноречиво говорят о результатах проведенных воздушных операций.</w:t>
      </w:r>
    </w:p>
    <w:p w14:paraId="440A124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Безусловно, подтверждается традиционный для отечественной литературы вывод о большей эффективности первого удара в майской операции. Наибольший урон и все безвозвратные потери Люфтваффе приходятся именно на 6 мая. К сожалению, отсутствуют данные о времени суток, когда эти потери были понесены. Но логично предположить, что это произошло при утренних налетах.</w:t>
      </w:r>
    </w:p>
    <w:p w14:paraId="516B09E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Наиболее эффективным оказался удар по аэродрому Сеща, где серьезные потери понесли части 4-й бомбардировочной эскадры "Генерал Вефер". Вторым по нанесенному ущербу является аэродром Орел - Западный. Но там оказались невелики безвозвратные потери. Следует оговориться, что нами не учтены потери истребителей Люфтваффе в воздушных боях. Но это вряд ли изменит общую картину событий.</w:t>
      </w:r>
    </w:p>
    <w:p w14:paraId="1268996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Налеты же проведенные 7 и 8 мая практически закончились вхолостую (11152).</w:t>
      </w:r>
    </w:p>
    <w:p w14:paraId="51D2934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669233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мая 1943 наименьшую активность в уничто</w:t>
      </w:r>
      <w:r w:rsidRPr="00D03F3E">
        <w:rPr>
          <w:rFonts w:ascii="Times New Roman" w:hAnsi="Times New Roman"/>
          <w:color w:val="000000" w:themeColor="text1"/>
          <w:sz w:val="16"/>
          <w:szCs w:val="16"/>
        </w:rPr>
        <w:softHyphen/>
        <w:t>жении немецких самолетов про</w:t>
      </w:r>
      <w:r w:rsidRPr="00D03F3E">
        <w:rPr>
          <w:rFonts w:ascii="Times New Roman" w:hAnsi="Times New Roman"/>
          <w:color w:val="000000" w:themeColor="text1"/>
          <w:sz w:val="16"/>
          <w:szCs w:val="16"/>
        </w:rPr>
        <w:softHyphen/>
        <w:t>демонстрировала 8-я воздушная ар</w:t>
      </w:r>
      <w:r w:rsidRPr="00D03F3E">
        <w:rPr>
          <w:rFonts w:ascii="Times New Roman" w:hAnsi="Times New Roman"/>
          <w:color w:val="000000" w:themeColor="text1"/>
          <w:sz w:val="16"/>
          <w:szCs w:val="16"/>
        </w:rPr>
        <w:softHyphen/>
        <w:t>мия, части и соединения которой дей</w:t>
      </w:r>
      <w:r w:rsidRPr="00D03F3E">
        <w:rPr>
          <w:rFonts w:ascii="Times New Roman" w:hAnsi="Times New Roman"/>
          <w:color w:val="000000" w:themeColor="text1"/>
          <w:sz w:val="16"/>
          <w:szCs w:val="16"/>
        </w:rPr>
        <w:softHyphen/>
        <w:t>ствовали по аэродромам Сталине, Кутейниково, Иловайск. По данным воздушной разведки на этих аэродро</w:t>
      </w:r>
      <w:r w:rsidRPr="00D03F3E">
        <w:rPr>
          <w:rFonts w:ascii="Times New Roman" w:hAnsi="Times New Roman"/>
          <w:color w:val="000000" w:themeColor="text1"/>
          <w:sz w:val="16"/>
          <w:szCs w:val="16"/>
        </w:rPr>
        <w:softHyphen/>
        <w:t>мах отмечалось базирование до 1 СО-150 самолетов различного типа. По плану штаба армии штурмови</w:t>
      </w:r>
      <w:r w:rsidRPr="00D03F3E">
        <w:rPr>
          <w:rFonts w:ascii="Times New Roman" w:hAnsi="Times New Roman"/>
          <w:color w:val="000000" w:themeColor="text1"/>
          <w:sz w:val="16"/>
          <w:szCs w:val="16"/>
        </w:rPr>
        <w:softHyphen/>
        <w:t>ки должны были подавить авиацию про</w:t>
      </w:r>
      <w:r w:rsidRPr="00D03F3E">
        <w:rPr>
          <w:rFonts w:ascii="Times New Roman" w:hAnsi="Times New Roman"/>
          <w:color w:val="000000" w:themeColor="text1"/>
          <w:sz w:val="16"/>
          <w:szCs w:val="16"/>
        </w:rPr>
        <w:softHyphen/>
        <w:t>тивника на аэродроме Кутейниково, а бомбардировщики - на аэродромах Сталина и Иловайск. Для выполнения поставленных задач по приказу командующего армией ге</w:t>
      </w:r>
      <w:r w:rsidRPr="00D03F3E">
        <w:rPr>
          <w:rFonts w:ascii="Times New Roman" w:hAnsi="Times New Roman"/>
          <w:color w:val="000000" w:themeColor="text1"/>
          <w:sz w:val="16"/>
          <w:szCs w:val="16"/>
        </w:rPr>
        <w:softHyphen/>
        <w:t>нерал-лейтенанта Т.Т. Хрюкина части 1-й гшад, 6-й гиад, 270-й бад, а также и 8-го орап к исходу 5 мая были пере</w:t>
      </w:r>
      <w:r w:rsidRPr="00D03F3E">
        <w:rPr>
          <w:rFonts w:ascii="Times New Roman" w:hAnsi="Times New Roman"/>
          <w:color w:val="000000" w:themeColor="text1"/>
          <w:sz w:val="16"/>
          <w:szCs w:val="16"/>
        </w:rPr>
        <w:softHyphen/>
        <w:t>базированы на передовые аэродромы. Как обычно, на новом месте не все оказалось подготовленным к приему самолетов и обеспечению боевых вы</w:t>
      </w:r>
      <w:r w:rsidRPr="00D03F3E">
        <w:rPr>
          <w:rFonts w:ascii="Times New Roman" w:hAnsi="Times New Roman"/>
          <w:color w:val="000000" w:themeColor="text1"/>
          <w:sz w:val="16"/>
          <w:szCs w:val="16"/>
        </w:rPr>
        <w:softHyphen/>
        <w:t>летов. Не было завезено в достаточ</w:t>
      </w:r>
      <w:r w:rsidRPr="00D03F3E">
        <w:rPr>
          <w:rFonts w:ascii="Times New Roman" w:hAnsi="Times New Roman"/>
          <w:color w:val="000000" w:themeColor="text1"/>
          <w:sz w:val="16"/>
          <w:szCs w:val="16"/>
        </w:rPr>
        <w:softHyphen/>
        <w:t>ном количестве горючее и боеприпа</w:t>
      </w:r>
      <w:r w:rsidRPr="00D03F3E">
        <w:rPr>
          <w:rFonts w:ascii="Times New Roman" w:hAnsi="Times New Roman"/>
          <w:color w:val="000000" w:themeColor="text1"/>
          <w:sz w:val="16"/>
          <w:szCs w:val="16"/>
        </w:rPr>
        <w:softHyphen/>
        <w:t>сы. С большим трудом удалось "наскре</w:t>
      </w:r>
      <w:r w:rsidRPr="00D03F3E">
        <w:rPr>
          <w:rFonts w:ascii="Times New Roman" w:hAnsi="Times New Roman"/>
          <w:color w:val="000000" w:themeColor="text1"/>
          <w:sz w:val="16"/>
          <w:szCs w:val="16"/>
        </w:rPr>
        <w:softHyphen/>
        <w:t>сти" горючего и боекомплекта для под</w:t>
      </w:r>
      <w:r w:rsidRPr="00D03F3E">
        <w:rPr>
          <w:rFonts w:ascii="Times New Roman" w:hAnsi="Times New Roman"/>
          <w:color w:val="000000" w:themeColor="text1"/>
          <w:sz w:val="16"/>
          <w:szCs w:val="16"/>
        </w:rPr>
        <w:softHyphen/>
        <w:t>готовки к первому боевому вылету по плану только одного звена от 75-го гшап, которое возглавил лично коман</w:t>
      </w:r>
      <w:r w:rsidRPr="00D03F3E">
        <w:rPr>
          <w:rFonts w:ascii="Times New Roman" w:hAnsi="Times New Roman"/>
          <w:color w:val="000000" w:themeColor="text1"/>
          <w:sz w:val="16"/>
          <w:szCs w:val="16"/>
        </w:rPr>
        <w:softHyphen/>
        <w:t>дир полка м-р Н.Ф. Ляховский. Штур</w:t>
      </w:r>
      <w:r w:rsidRPr="00D03F3E">
        <w:rPr>
          <w:rFonts w:ascii="Times New Roman" w:hAnsi="Times New Roman"/>
          <w:color w:val="000000" w:themeColor="text1"/>
          <w:sz w:val="16"/>
          <w:szCs w:val="16"/>
        </w:rPr>
        <w:softHyphen/>
        <w:t>мовиков прикрывали 8 истребителей Як-1 от 73-го гиап 6-й гвардейской иод. Удар по аэродрому Кутейниково был нанесен с опозданием - в 5.50. К этому времени на аэродроме находи</w:t>
      </w:r>
      <w:r w:rsidRPr="00D03F3E">
        <w:rPr>
          <w:rFonts w:ascii="Times New Roman" w:hAnsi="Times New Roman"/>
          <w:color w:val="000000" w:themeColor="text1"/>
          <w:sz w:val="16"/>
          <w:szCs w:val="16"/>
        </w:rPr>
        <w:softHyphen/>
        <w:t>лось до 20 самолетов различного типа. Атака производилась одним заходом с пикирования с высоты 1700 м. По докладам экипажей все бомбы упали с недолетом 100 м до стоянок немец</w:t>
      </w:r>
      <w:r w:rsidRPr="00D03F3E">
        <w:rPr>
          <w:rFonts w:ascii="Times New Roman" w:hAnsi="Times New Roman"/>
          <w:color w:val="000000" w:themeColor="text1"/>
          <w:sz w:val="16"/>
          <w:szCs w:val="16"/>
        </w:rPr>
        <w:softHyphen/>
        <w:t>ких самолетов. К середине дня более или менее "разобрались" и, несмотря на непол</w:t>
      </w:r>
      <w:r w:rsidRPr="00D03F3E">
        <w:rPr>
          <w:rFonts w:ascii="Times New Roman" w:hAnsi="Times New Roman"/>
          <w:color w:val="000000" w:themeColor="text1"/>
          <w:sz w:val="16"/>
          <w:szCs w:val="16"/>
        </w:rPr>
        <w:softHyphen/>
        <w:t>ную обеспеченность горючим и не до</w:t>
      </w:r>
      <w:r w:rsidRPr="00D03F3E">
        <w:rPr>
          <w:rFonts w:ascii="Times New Roman" w:hAnsi="Times New Roman"/>
          <w:color w:val="000000" w:themeColor="text1"/>
          <w:sz w:val="16"/>
          <w:szCs w:val="16"/>
        </w:rPr>
        <w:softHyphen/>
        <w:t>статочно четкую организацию подго</w:t>
      </w:r>
      <w:r w:rsidRPr="00D03F3E">
        <w:rPr>
          <w:rFonts w:ascii="Times New Roman" w:hAnsi="Times New Roman"/>
          <w:color w:val="000000" w:themeColor="text1"/>
          <w:sz w:val="16"/>
          <w:szCs w:val="16"/>
        </w:rPr>
        <w:softHyphen/>
        <w:t>товки к боевым вылетам со стороны штаба дивизии и полка, к повторному налету на аэродром Кутейниково су</w:t>
      </w:r>
      <w:r w:rsidRPr="00D03F3E">
        <w:rPr>
          <w:rFonts w:ascii="Times New Roman" w:hAnsi="Times New Roman"/>
          <w:color w:val="000000" w:themeColor="text1"/>
          <w:sz w:val="16"/>
          <w:szCs w:val="16"/>
        </w:rPr>
        <w:softHyphen/>
        <w:t>мели полностью снарядить 7 самоле</w:t>
      </w:r>
      <w:r w:rsidRPr="00D03F3E">
        <w:rPr>
          <w:rFonts w:ascii="Times New Roman" w:hAnsi="Times New Roman"/>
          <w:color w:val="000000" w:themeColor="text1"/>
          <w:sz w:val="16"/>
          <w:szCs w:val="16"/>
        </w:rPr>
        <w:softHyphen/>
        <w:t>тов. Ведущим семерки 75-го гшап был назначен штурман полка к-н И.Г. Сук-лышкин. Штурмовиков прикрывали 7 Як-1 от 73-го гиап. В 13.00 группа атаковала аэро</w:t>
      </w:r>
      <w:r w:rsidRPr="00D03F3E">
        <w:rPr>
          <w:rFonts w:ascii="Times New Roman" w:hAnsi="Times New Roman"/>
          <w:color w:val="000000" w:themeColor="text1"/>
          <w:sz w:val="16"/>
          <w:szCs w:val="16"/>
        </w:rPr>
        <w:softHyphen/>
        <w:t>дром Кутейниково в двух заходах с пи</w:t>
      </w:r>
      <w:r w:rsidRPr="00D03F3E">
        <w:rPr>
          <w:rFonts w:ascii="Times New Roman" w:hAnsi="Times New Roman"/>
          <w:color w:val="000000" w:themeColor="text1"/>
          <w:sz w:val="16"/>
          <w:szCs w:val="16"/>
        </w:rPr>
        <w:softHyphen/>
        <w:t>кирования с высоты от 700 до 200 м. По наблюдению сопровождающих ис</w:t>
      </w:r>
      <w:r w:rsidRPr="00D03F3E">
        <w:rPr>
          <w:rFonts w:ascii="Times New Roman" w:hAnsi="Times New Roman"/>
          <w:color w:val="000000" w:themeColor="text1"/>
          <w:sz w:val="16"/>
          <w:szCs w:val="16"/>
        </w:rPr>
        <w:softHyphen/>
        <w:t>требителей "разрывы авиабомб и РС ложились между капонирами и в самих капонирах, создано 3 очага по</w:t>
      </w:r>
      <w:r w:rsidRPr="00D03F3E">
        <w:rPr>
          <w:rFonts w:ascii="Times New Roman" w:hAnsi="Times New Roman"/>
          <w:color w:val="000000" w:themeColor="text1"/>
          <w:sz w:val="16"/>
          <w:szCs w:val="16"/>
        </w:rPr>
        <w:softHyphen/>
        <w:t>жара непосредственно в капонирах". Дешифровка фотоснимков аэродрома после удара позволила установить, что штурмовикам удалось уничтожить три самолета противника. В обоих случаях над целью отсут</w:t>
      </w:r>
      <w:r w:rsidRPr="00D03F3E">
        <w:rPr>
          <w:rFonts w:ascii="Times New Roman" w:hAnsi="Times New Roman"/>
          <w:color w:val="000000" w:themeColor="text1"/>
          <w:sz w:val="16"/>
          <w:szCs w:val="16"/>
        </w:rPr>
        <w:softHyphen/>
        <w:t>ствовали истребители люфтваффе и ин</w:t>
      </w:r>
      <w:r w:rsidRPr="00D03F3E">
        <w:rPr>
          <w:rFonts w:ascii="Times New Roman" w:hAnsi="Times New Roman"/>
          <w:color w:val="000000" w:themeColor="text1"/>
          <w:sz w:val="16"/>
          <w:szCs w:val="16"/>
        </w:rPr>
        <w:softHyphen/>
        <w:t>тенсивный огонь зенитной артиллерии противника. Давая оценку действиям обеих групп штурмовиков 75-го гшап, начальник штаба 1-й гшад п-п-к Алейников в от</w:t>
      </w:r>
      <w:r w:rsidRPr="00D03F3E">
        <w:rPr>
          <w:rFonts w:ascii="Times New Roman" w:hAnsi="Times New Roman"/>
          <w:color w:val="000000" w:themeColor="text1"/>
          <w:sz w:val="16"/>
          <w:szCs w:val="16"/>
        </w:rPr>
        <w:softHyphen/>
        <w:t>четных документах дивизии указывал: "Надо прямо сказать, что результаты действий были бы лучшими, если бы ведущие групп, пользуясь слабостью противодействия противника, прояви</w:t>
      </w:r>
      <w:r w:rsidRPr="00D03F3E">
        <w:rPr>
          <w:rFonts w:ascii="Times New Roman" w:hAnsi="Times New Roman"/>
          <w:color w:val="000000" w:themeColor="text1"/>
          <w:sz w:val="16"/>
          <w:szCs w:val="16"/>
        </w:rPr>
        <w:softHyphen/>
        <w:t>ли необходимую в этих случаях иници</w:t>
      </w:r>
      <w:r w:rsidRPr="00D03F3E">
        <w:rPr>
          <w:rFonts w:ascii="Times New Roman" w:hAnsi="Times New Roman"/>
          <w:color w:val="000000" w:themeColor="text1"/>
          <w:sz w:val="16"/>
          <w:szCs w:val="16"/>
        </w:rPr>
        <w:softHyphen/>
        <w:t>ативу — атаковать самолеты против</w:t>
      </w:r>
      <w:r w:rsidRPr="00D03F3E">
        <w:rPr>
          <w:rFonts w:ascii="Times New Roman" w:hAnsi="Times New Roman"/>
          <w:color w:val="000000" w:themeColor="text1"/>
          <w:sz w:val="16"/>
          <w:szCs w:val="16"/>
        </w:rPr>
        <w:softHyphen/>
        <w:t>ника не в одном-двух заходах, как это было, а уничтожать до полного израс-ходования боекомплекта, оставив толь</w:t>
      </w:r>
      <w:r w:rsidRPr="00D03F3E">
        <w:rPr>
          <w:rFonts w:ascii="Times New Roman" w:hAnsi="Times New Roman"/>
          <w:color w:val="000000" w:themeColor="text1"/>
          <w:sz w:val="16"/>
          <w:szCs w:val="16"/>
        </w:rPr>
        <w:softHyphen/>
        <w:t>ко положенный процент на обратный путь. Такая инициатива, подсказанная обстановкой, ни ведущим звена майо</w:t>
      </w:r>
      <w:r w:rsidRPr="00D03F3E">
        <w:rPr>
          <w:rFonts w:ascii="Times New Roman" w:hAnsi="Times New Roman"/>
          <w:color w:val="000000" w:themeColor="text1"/>
          <w:sz w:val="16"/>
          <w:szCs w:val="16"/>
        </w:rPr>
        <w:softHyphen/>
        <w:t>ром Ляховским, ни ведущим семерки штурманом полка капитаном Суклыш-киным проявлена не была..." (11010).</w:t>
      </w:r>
    </w:p>
    <w:p w14:paraId="5A78208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D850CC6" w14:textId="77777777" w:rsidR="00826FF5" w:rsidRPr="00D03F3E" w:rsidRDefault="00826F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мая в 1943 году Вермахт начал осуществление операции «Серебряный рассвет» - кампанию массовой агитации советских солдат на фронте за переход на сторону вермахта, осуществляемую пропагандистами РОА (14883).</w:t>
      </w:r>
    </w:p>
    <w:p w14:paraId="0447DC14" w14:textId="77777777" w:rsidR="00826FF5" w:rsidRPr="00D03F3E" w:rsidRDefault="00826FF5" w:rsidP="00D03F3E">
      <w:pPr>
        <w:spacing w:after="0" w:line="240" w:lineRule="auto"/>
        <w:jc w:val="both"/>
        <w:rPr>
          <w:rFonts w:ascii="Times New Roman" w:hAnsi="Times New Roman"/>
          <w:color w:val="000000" w:themeColor="text1"/>
          <w:sz w:val="16"/>
          <w:szCs w:val="16"/>
        </w:rPr>
      </w:pPr>
    </w:p>
    <w:p w14:paraId="53D29E11"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5206D1DC" w14:textId="77777777" w:rsidR="00531570" w:rsidRPr="00D03F3E" w:rsidRDefault="00531570" w:rsidP="00D03F3E">
      <w:pPr>
        <w:pStyle w:val="Iauiue"/>
        <w:jc w:val="both"/>
        <w:rPr>
          <w:iCs/>
          <w:color w:val="000000" w:themeColor="text1"/>
          <w:sz w:val="16"/>
          <w:szCs w:val="16"/>
        </w:rPr>
      </w:pPr>
    </w:p>
    <w:p w14:paraId="6AADBD0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мая 1943 ГКО принял решение о формировании 1-й польской дивизии им. Т.Костюшко (3398,172).</w:t>
      </w:r>
    </w:p>
    <w:p w14:paraId="2639F37D" w14:textId="77777777" w:rsidR="00531570" w:rsidRPr="00D03F3E" w:rsidRDefault="00531570" w:rsidP="00D03F3E">
      <w:pPr>
        <w:pStyle w:val="Iauiue"/>
        <w:jc w:val="both"/>
        <w:rPr>
          <w:color w:val="000000" w:themeColor="text1"/>
          <w:sz w:val="16"/>
          <w:szCs w:val="16"/>
        </w:rPr>
      </w:pPr>
    </w:p>
    <w:p w14:paraId="183EC77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мая 1943 Советское правительство удовлетворило просьбу "Союза польских патриотов" в СССР о формировании 1-й польской пехотной дивизии имени Тадеуша Костюшко 1943.07.04 Возвращаясь с Ближнего Востока (после консультаций с представителями Армии Андерса), В. Сикорский погиб в авиакатастрофе над Гибралтаром (7451).</w:t>
      </w:r>
    </w:p>
    <w:p w14:paraId="3B7818BF" w14:textId="77777777" w:rsidR="00531570" w:rsidRPr="00D03F3E" w:rsidRDefault="00531570" w:rsidP="00D03F3E">
      <w:pPr>
        <w:pStyle w:val="Iauiue"/>
        <w:jc w:val="both"/>
        <w:rPr>
          <w:color w:val="000000" w:themeColor="text1"/>
          <w:sz w:val="16"/>
          <w:szCs w:val="16"/>
        </w:rPr>
      </w:pPr>
    </w:p>
    <w:p w14:paraId="095A276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мая 1943 в Селецких лагерях под Рязанью началось формирование 1-й польской армии им. Тадеуша Костюшко (3960, 178).</w:t>
      </w:r>
    </w:p>
    <w:p w14:paraId="62A6C0AF" w14:textId="77777777" w:rsidR="00531570" w:rsidRPr="00D03F3E" w:rsidRDefault="00531570" w:rsidP="00D03F3E">
      <w:pPr>
        <w:pStyle w:val="Iauiue"/>
        <w:jc w:val="both"/>
        <w:rPr>
          <w:color w:val="000000" w:themeColor="text1"/>
          <w:sz w:val="16"/>
          <w:szCs w:val="16"/>
        </w:rPr>
      </w:pPr>
    </w:p>
    <w:p w14:paraId="323AD5BD" w14:textId="77777777" w:rsidR="00826FF5" w:rsidRPr="00D03F3E" w:rsidRDefault="00826F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мая в 1943 году Постановление Президиума Исполнительного Комитета Коммунистического Интернационала о внесении на обсуждение секций Коминтерна вопроса о его роспуске по причине невозможности руководить коммунистическим движением из единого центра (14883).</w:t>
      </w:r>
    </w:p>
    <w:p w14:paraId="1626772C" w14:textId="77777777" w:rsidR="00826FF5" w:rsidRPr="00D03F3E" w:rsidRDefault="00826FF5" w:rsidP="00D03F3E">
      <w:pPr>
        <w:spacing w:after="0" w:line="240" w:lineRule="auto"/>
        <w:jc w:val="both"/>
        <w:rPr>
          <w:rFonts w:ascii="Times New Roman" w:hAnsi="Times New Roman"/>
          <w:color w:val="000000" w:themeColor="text1"/>
          <w:sz w:val="16"/>
          <w:szCs w:val="16"/>
        </w:rPr>
      </w:pPr>
    </w:p>
    <w:p w14:paraId="5D37AEF2"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6 мая 1943 Запись беседы посла СССР в Китайской Республике А.С. Панюшкина с заместителем министра иностранных дел Китайской Республики У Гожэнем о памятной записке правительства Китайской Республики по вопросу о решении советского правительства начать подготовку к отправке в СССР оборудования и советского персонала авиационного завода и нефтекомбината</w:t>
      </w:r>
    </w:p>
    <w:p w14:paraId="3C3F5314"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Сегодня посетил исполняющего обязанности министра иностранных дел г-на У Гожэня по его приглашению.</w:t>
      </w:r>
    </w:p>
    <w:p w14:paraId="646305F2"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После обмена взаимными приветствиями У Гожэнь заявил, что он пригласил меня по одному вопросу, зачитал, а затем передал мне памятную записку следующего содержания: “Первоначально было решено, что авиастроительный завод в Урумчи будет построен Советским Союзом для Китая.</w:t>
      </w:r>
    </w:p>
    <w:p w14:paraId="45E81365"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В январе месяце текущего года в беседе с министром Сун Цзывэнем Вы выразили мнение, что советское правительство готово обсудить с китайским правительством методы совместного управления заводом. В то время Сун Цзывэнь лично просил Вас выдвинуть конкретный проект. В конце февраля этого же года я также просил Вас ускорить разрешение этого дела. Вы, со своей стороны, просили, чтобы китайская сторона представила свой проект. </w:t>
      </w:r>
    </w:p>
    <w:p w14:paraId="733CD48B"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данное время китайская сторона как раз и изучает проект о совместной эксплуатации этого завода. По первоначальному замыслу нефтекомбинат в Душаньцзы учреждался в качестве предприятия, создаваемого путем вложения капиталов двух сторон: Китая и СССР. В своем проекте о методах совместного управления нефтекомбинатом Душаньцзы китайское правительство полностью исходило из духа всемерного сотрудничества с СССР в пределах китайских законов.</w:t>
      </w:r>
    </w:p>
    <w:p w14:paraId="7FB2C3F1"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Что касается контрпроекта, выдвинутого Вами, то он в настоящее время тщательно изучается китайской стороной, исходя из того же духа сотрудничества.</w:t>
      </w:r>
    </w:p>
    <w:p w14:paraId="0813E0AD"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настоящее время китайским правительством получен доклад от провинциального синьцзянского правительства, из которого видно, что генеральный Консул СССР в Урумчи сделал заявление провинциальному правительству о том, что им получено указание от советского правительства о подготовке к отправке в Советский Союз всего оборудования, а также технического персонала как авиационного завода, так и нефтекомбината. Получение этого доклада в момент переговоров обеих сторон вызывает удивление.</w:t>
      </w:r>
    </w:p>
    <w:p w14:paraId="7D9F0484"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Китайское правительство не будет возражать против вывоза технического оборудования, если это мероприятие советского правительства непосредственно связано с вопросом ведения войны Советским Союзом.</w:t>
      </w:r>
    </w:p>
    <w:p w14:paraId="587D3A95"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Если эти мероприятия советского правительства не вызываются вышеуказанной необходимостью, то в этом случае китайское правительство выражает надежду на то, что советское правительство сумеет продать Китаю по себестоимости оборудование как авиационного завода, так и нефтекомбината.</w:t>
      </w:r>
    </w:p>
    <w:p w14:paraId="573D3F11"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период ведения совместной войны в вопросе использования технического оборудования и кадров китайская сторона попрежнему желала бы сотрудничать с Советским Союзом”.</w:t>
      </w:r>
    </w:p>
    <w:p w14:paraId="63A96051"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После этого я ответил У, что о вышеизложенном доведу до сведения тов. В.М. Молотова, заявив, что по вопросу об авиазаводе я не делал никаких предложений от имени советского правительства и тем более не обещал представить советский проект о заводе ни ему, ни Сун Цзывэню. В беседах с л. 208 ними я говорил // только о том, если китайское правительство решит поднять этот вопрос перед советской стороной, то в Москве существует мнение ознакомиться с предложениями китайцев, изложенными в определенном документе, который я обещал довести до сведения советского правительства.</w:t>
      </w:r>
    </w:p>
    <w:p w14:paraId="73E0E7E7"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У Гожэнь, подтвердив, что это было так, спросил меня информирован ли я об этом заявлении генерального Консула Советского Союза в Урумчи.</w:t>
      </w:r>
    </w:p>
    <w:p w14:paraId="162D7903"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Я ему ответил, что о положении в Синьцзяне мне кое-что известно.</w:t>
      </w:r>
    </w:p>
    <w:p w14:paraId="698837BD"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После этого я спросил У Гожэня, изъята ли из продажи книжка “Скорбь по погибшей Польше”, о чем мы беседовали с ним 4 мая 1943 г.</w:t>
      </w:r>
    </w:p>
    <w:p w14:paraId="29CF2AB9"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ответ вице-министр заявил мне, что после состоявшейся беседы он поручил одному из работников МИДа приобрести книгу “Скорбь по погибшей Польше” и ознакомиться с нею, после чего представить доклад по данному вопросу.</w:t>
      </w:r>
    </w:p>
    <w:p w14:paraId="0BA6C59D"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Я спросил мнение вице-министра об этом антисоветском пасквиле. У Гожэнь ответил мне, что он еще не ознакомился с содержанием этой книги и не может высказать своего мнения.</w:t>
      </w:r>
    </w:p>
    <w:p w14:paraId="17F7D9AD"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Я потребовал немедленного приостановления продажи этой книги, до решения китайским правительством вопроса об ее изъятии.</w:t>
      </w:r>
    </w:p>
    <w:p w14:paraId="1A6679D2"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Пытаясь уклониться от прямого ответа, У Гожэнь постановил передо мною вопросы:</w:t>
      </w:r>
    </w:p>
    <w:p w14:paraId="685C3B10"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докладывал ли я об этом своему правительству и действую ли я в этом вопросе в соответствии с указаниями советского правительства;</w:t>
      </w:r>
    </w:p>
    <w:p w14:paraId="3552C37C"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изъята ли эта книжка из продажи в Англии.</w:t>
      </w:r>
    </w:p>
    <w:p w14:paraId="43222A63"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Ответив У Гожэню, что мне неизвестно, опубликована ли эта ложь на СССР в Англии, я в свою очередь задал ему контр-вопросы: 1) разве для него л. 209 недостаточно заявления Посла; 2) сде//лаю ли я правильный вывод, если скажу, что он защищает ложь и клевету на СССР.</w:t>
      </w:r>
    </w:p>
    <w:p w14:paraId="10C0F69A"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У Гожэнь ответил мне, что он ни в какой мере не хочет брать под защиту какие-либо действия, направленные против СССР, но, что он должен знать содержание этой книги, чтобы высказать свое мнение по данному вопросу.</w:t>
      </w:r>
    </w:p>
    <w:p w14:paraId="55C1353B"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это я указал ему следующие места в книжке, которые он зачитал:</w:t>
      </w:r>
    </w:p>
    <w:p w14:paraId="7023F69E" w14:textId="1ADAB711"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“Поляки не могли одновременно отразить двух сильных захватчиков” (говорится о Германии и СССР). 2) “Они (говорится о красноармейцах) не думали, что их командование хочет погубить Польшу. В дальнейшем мы тоже получили подтверждение этому”. 3) “Большинство русских людей в своей стране являются бедными до крайности, ужасающе угнетенными, порабощенными”.</w:t>
      </w:r>
    </w:p>
    <w:p w14:paraId="2EB8F19A"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Я заявил, что эти примеры указывают на явный антисоветский характер книжки. У Гожэнь не дал прямого ответа и заявил, что поднятый мною вопрос </w:t>
      </w:r>
    </w:p>
    <w:p w14:paraId="0819717F"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передаст надлежащим властям, а в качестве своего мнения высказал, что среди союзных стран не должно быть никаких выпадов друг против друга.</w:t>
      </w:r>
    </w:p>
    <w:p w14:paraId="5323D2BA"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беседе присутствовали Советник Посольства т. Скворцов Т.Ф. и драгоман тов. Шалунов Е.И.</w:t>
      </w:r>
    </w:p>
    <w:p w14:paraId="20580F40"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Посол СССР в Китае:</w:t>
      </w:r>
    </w:p>
    <w:p w14:paraId="6D4DD061"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 Панюшкин*</w:t>
      </w:r>
    </w:p>
    <w:p w14:paraId="5D401A0A"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АВП РФ. Ф. 0100. On. 31.Д. 136.Л. 207-210.</w:t>
      </w:r>
    </w:p>
    <w:p w14:paraId="7F33D4C2" w14:textId="77777777" w:rsidR="005664F6" w:rsidRPr="00D03F3E" w:rsidRDefault="005664F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Подлинник. Машинописный экз. (20411).</w:t>
      </w:r>
    </w:p>
    <w:p w14:paraId="02762299" w14:textId="77777777" w:rsidR="005664F6" w:rsidRPr="00D03F3E" w:rsidRDefault="005664F6" w:rsidP="00D03F3E">
      <w:pPr>
        <w:spacing w:after="0" w:line="240" w:lineRule="auto"/>
        <w:jc w:val="both"/>
        <w:rPr>
          <w:rFonts w:ascii="Times New Roman" w:hAnsi="Times New Roman"/>
          <w:color w:val="0070C0"/>
          <w:sz w:val="16"/>
          <w:szCs w:val="16"/>
        </w:rPr>
      </w:pPr>
    </w:p>
    <w:p w14:paraId="5CB69FB6"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6519E2F4" w14:textId="77777777" w:rsidR="00531570" w:rsidRPr="00D03F3E" w:rsidRDefault="00531570" w:rsidP="00D03F3E">
      <w:pPr>
        <w:pStyle w:val="Iauiue"/>
        <w:jc w:val="both"/>
        <w:rPr>
          <w:iCs/>
          <w:color w:val="000000" w:themeColor="text1"/>
          <w:sz w:val="16"/>
          <w:szCs w:val="16"/>
        </w:rPr>
      </w:pPr>
    </w:p>
    <w:p w14:paraId="2D24A2AD" w14:textId="77777777" w:rsidR="00826FF5" w:rsidRPr="00D03F3E" w:rsidRDefault="00826F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6 мая в 1943 году авария прототипа «Model 90В» («XP-60D») американского истребителя </w:t>
      </w:r>
      <w:hyperlink r:id="rId154" w:tgtFrame="_blank" w:history="1">
        <w:r w:rsidRPr="00D03F3E">
          <w:rPr>
            <w:rFonts w:ascii="Times New Roman" w:hAnsi="Times New Roman"/>
            <w:color w:val="000000" w:themeColor="text1"/>
            <w:sz w:val="16"/>
            <w:szCs w:val="16"/>
          </w:rPr>
          <w:t xml:space="preserve">«ХР-60», </w:t>
        </w:r>
      </w:hyperlink>
      <w:r w:rsidRPr="00D03F3E">
        <w:rPr>
          <w:rFonts w:ascii="Times New Roman" w:hAnsi="Times New Roman"/>
          <w:color w:val="000000" w:themeColor="text1"/>
          <w:sz w:val="16"/>
          <w:szCs w:val="16"/>
        </w:rPr>
        <w:t>с замененным британский мотором на его американскую версию «Packard» «V-1650-3» ("Merlin" 61) мощностью 1250 л.с. с четырехлопастным воздушным винтом. Руководство USAAC выразило недовольство проведенной работой и фактически отказалось от продолжения работ по этому самолёту (14883).</w:t>
      </w:r>
    </w:p>
    <w:p w14:paraId="7181A03C" w14:textId="77777777" w:rsidR="00826FF5" w:rsidRPr="00D03F3E" w:rsidRDefault="00826FF5" w:rsidP="00D03F3E">
      <w:pPr>
        <w:spacing w:after="0" w:line="240" w:lineRule="auto"/>
        <w:jc w:val="both"/>
        <w:rPr>
          <w:rFonts w:ascii="Times New Roman" w:hAnsi="Times New Roman"/>
          <w:color w:val="000000" w:themeColor="text1"/>
          <w:sz w:val="16"/>
          <w:szCs w:val="16"/>
        </w:rPr>
      </w:pPr>
    </w:p>
    <w:p w14:paraId="14ED1263" w14:textId="77777777" w:rsidR="00826FF5" w:rsidRPr="00D03F3E" w:rsidRDefault="00826FF5" w:rsidP="00D03F3E">
      <w:pPr>
        <w:pStyle w:val="Iauiue"/>
        <w:jc w:val="both"/>
        <w:rPr>
          <w:color w:val="000000" w:themeColor="text1"/>
          <w:sz w:val="16"/>
          <w:szCs w:val="16"/>
        </w:rPr>
      </w:pPr>
      <w:r w:rsidRPr="00D03F3E">
        <w:rPr>
          <w:color w:val="000000" w:themeColor="text1"/>
          <w:sz w:val="16"/>
          <w:szCs w:val="16"/>
        </w:rPr>
        <w:t>6 и 7 мая 1943 вертолеты Сикорского HNS-1 впервые приземлились на торговое судно (4082).</w:t>
      </w:r>
    </w:p>
    <w:p w14:paraId="65E72BB7" w14:textId="77777777" w:rsidR="00826FF5" w:rsidRPr="00D03F3E" w:rsidRDefault="00826FF5" w:rsidP="00D03F3E">
      <w:pPr>
        <w:pStyle w:val="Iauiue"/>
        <w:jc w:val="both"/>
        <w:rPr>
          <w:color w:val="000000" w:themeColor="text1"/>
          <w:sz w:val="16"/>
          <w:szCs w:val="16"/>
        </w:rPr>
      </w:pPr>
    </w:p>
    <w:p w14:paraId="7084FDD2"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6 мая 1943 муфтий Иерусалима Хадж аль-Хусейни выразил протест правительству Болгарии в связи с отправкой болгарских евреев в Палестину и призвал депортировать их в немецкие концлагеря (4962).</w:t>
      </w:r>
    </w:p>
    <w:p w14:paraId="390A422C" w14:textId="77777777" w:rsidR="00531570" w:rsidRPr="00D03F3E" w:rsidRDefault="00531570" w:rsidP="00D03F3E">
      <w:pPr>
        <w:pStyle w:val="Iauiue"/>
        <w:tabs>
          <w:tab w:val="left" w:pos="11199"/>
        </w:tabs>
        <w:jc w:val="both"/>
        <w:rPr>
          <w:color w:val="000000" w:themeColor="text1"/>
          <w:sz w:val="16"/>
          <w:szCs w:val="16"/>
        </w:rPr>
      </w:pPr>
    </w:p>
    <w:p w14:paraId="59996694"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6D011860" w14:textId="77777777" w:rsidR="00531570" w:rsidRPr="00D03F3E" w:rsidRDefault="00531570" w:rsidP="00D03F3E">
      <w:pPr>
        <w:pStyle w:val="Iauiue"/>
        <w:jc w:val="both"/>
        <w:rPr>
          <w:iCs/>
          <w:color w:val="000000" w:themeColor="text1"/>
          <w:sz w:val="16"/>
          <w:szCs w:val="16"/>
        </w:rPr>
      </w:pPr>
    </w:p>
    <w:p w14:paraId="5E11083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начале мая 1943 в очередной приезд С.В.И. на 18 завод состоялся разговор с А.А.Белянским. С.В.И. сказал, что проектирование новой машины подходит к концу, можно выдавать чертежи, но не ясно куда, так как производственной базы - нет. Принципиальный вопрос - возьмется ли завод сделать опытные в качестве перегрузки. Вечером состоялось техническое совещание руководства завода. Решили строить (111,158).</w:t>
      </w:r>
    </w:p>
    <w:p w14:paraId="4E74409A" w14:textId="77777777" w:rsidR="00531570" w:rsidRPr="00D03F3E" w:rsidRDefault="00531570" w:rsidP="00D03F3E">
      <w:pPr>
        <w:pStyle w:val="Iauiue"/>
        <w:jc w:val="both"/>
        <w:rPr>
          <w:color w:val="000000" w:themeColor="text1"/>
          <w:sz w:val="16"/>
          <w:szCs w:val="16"/>
        </w:rPr>
      </w:pPr>
    </w:p>
    <w:p w14:paraId="5CDF370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начале мая 1943 года завод № 381 был перебазирован из Нижнего Тагила в Москву, где расположился на территории и производственных площадях завода № 39, эвакуированного в Иркутск.</w:t>
      </w:r>
    </w:p>
    <w:p w14:paraId="7A4DD9C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соответствии с Постановлением Правительства от 12 августа 1955 года производство на заводе № 30 самолетов Ил-28 было прекращено</w:t>
      </w:r>
    </w:p>
    <w:p w14:paraId="17A8C53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Директор – Воронин П.А.</w:t>
      </w:r>
    </w:p>
    <w:p w14:paraId="40A3B17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Адрес: Москва 40, Первый Боткинский проезд, п/я 2402</w:t>
      </w:r>
    </w:p>
    <w:p w14:paraId="62DC092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Производственный профиль – самолетостроение (9815).</w:t>
      </w:r>
    </w:p>
    <w:p w14:paraId="2E591995" w14:textId="77777777" w:rsidR="00531570" w:rsidRPr="00D03F3E" w:rsidRDefault="00531570" w:rsidP="00D03F3E">
      <w:pPr>
        <w:pStyle w:val="Iauiue"/>
        <w:jc w:val="both"/>
        <w:rPr>
          <w:color w:val="000000" w:themeColor="text1"/>
          <w:sz w:val="16"/>
          <w:szCs w:val="16"/>
        </w:rPr>
      </w:pPr>
    </w:p>
    <w:p w14:paraId="2B3723E0"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начале мая 1943 г. нормальная работа завода № 600 в Урумчи неожиданно прервалась: 7-го числа поступило телеграфное распоряжение об эвакуации. 12 августа 1943 г. директор завода </w:t>
      </w:r>
      <w:r w:rsidRPr="00D03F3E">
        <w:rPr>
          <w:rFonts w:ascii="Times New Roman" w:hAnsi="Times New Roman"/>
          <w:color w:val="000000" w:themeColor="text1"/>
          <w:sz w:val="16"/>
          <w:szCs w:val="16"/>
          <w:lang w:val="en-US"/>
        </w:rPr>
        <w:t>B</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C</w:t>
      </w:r>
      <w:r w:rsidRPr="00D03F3E">
        <w:rPr>
          <w:rFonts w:ascii="Times New Roman" w:hAnsi="Times New Roman"/>
          <w:color w:val="000000" w:themeColor="text1"/>
          <w:sz w:val="16"/>
          <w:szCs w:val="16"/>
        </w:rPr>
        <w:t>. Еськов докладывал наркому А.И. Шахурину о ходе эвакуации завода:</w:t>
      </w:r>
    </w:p>
    <w:p w14:paraId="7D680B6F"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основании Вашего телеграфного распоряжения от 7-го мая 1943 года, завод не</w:t>
      </w:r>
      <w:r w:rsidRPr="00D03F3E">
        <w:rPr>
          <w:rFonts w:ascii="Times New Roman" w:hAnsi="Times New Roman"/>
          <w:color w:val="000000" w:themeColor="text1"/>
          <w:sz w:val="16"/>
          <w:szCs w:val="16"/>
        </w:rPr>
        <w:softHyphen/>
        <w:t>медленно приступил к демонтажу и упаковке оборудования в последовательности, ука</w:t>
      </w:r>
      <w:r w:rsidRPr="00D03F3E">
        <w:rPr>
          <w:rFonts w:ascii="Times New Roman" w:hAnsi="Times New Roman"/>
          <w:color w:val="000000" w:themeColor="text1"/>
          <w:sz w:val="16"/>
          <w:szCs w:val="16"/>
        </w:rPr>
        <w:softHyphen/>
        <w:t>занной Вами.</w:t>
      </w:r>
    </w:p>
    <w:p w14:paraId="1B8B90F8"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 1-го июня с.г. полностью был произведён демонтаж оборудования основного про</w:t>
      </w:r>
      <w:r w:rsidRPr="00D03F3E">
        <w:rPr>
          <w:rFonts w:ascii="Times New Roman" w:hAnsi="Times New Roman"/>
          <w:color w:val="000000" w:themeColor="text1"/>
          <w:sz w:val="16"/>
          <w:szCs w:val="16"/>
        </w:rPr>
        <w:softHyphen/>
        <w:t>изводства и подготовлен инструмент для отправки в Советский Союз.</w:t>
      </w:r>
    </w:p>
    <w:p w14:paraId="54454672"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июня м[еся]ца произведён демонтаж и упаковка общезаводского оборудо</w:t>
      </w:r>
      <w:r w:rsidRPr="00D03F3E">
        <w:rPr>
          <w:rFonts w:ascii="Times New Roman" w:hAnsi="Times New Roman"/>
          <w:color w:val="000000" w:themeColor="text1"/>
          <w:sz w:val="16"/>
          <w:szCs w:val="16"/>
        </w:rPr>
        <w:softHyphen/>
        <w:t>вания, а также одновременно производилась погрузка и отправка имущества завода...</w:t>
      </w:r>
    </w:p>
    <w:p w14:paraId="00AC60C7"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и начале июня м[еся]цев с завода была направлена группа работников завода, имеющих заграничные паспорта в гор. Алма-Ата и ст. Сары-Озек. Остальные работни</w:t>
      </w:r>
      <w:r w:rsidRPr="00D03F3E">
        <w:rPr>
          <w:rFonts w:ascii="Times New Roman" w:hAnsi="Times New Roman"/>
          <w:color w:val="000000" w:themeColor="text1"/>
          <w:sz w:val="16"/>
          <w:szCs w:val="16"/>
        </w:rPr>
        <w:softHyphen/>
        <w:t>ки в течение мая и июня месяцев были заняты на демонтаже оборудования и упаковке заводского имущества.</w:t>
      </w:r>
    </w:p>
    <w:p w14:paraId="70097234"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Вашего указания об эвакуации завода заводской транспорт немедленно при</w:t>
      </w:r>
      <w:r w:rsidRPr="00D03F3E">
        <w:rPr>
          <w:rFonts w:ascii="Times New Roman" w:hAnsi="Times New Roman"/>
          <w:color w:val="000000" w:themeColor="text1"/>
          <w:sz w:val="16"/>
          <w:szCs w:val="16"/>
        </w:rPr>
        <w:softHyphen/>
        <w:t>ступил к перевозкам оборудования и работников в Советский Союз.</w:t>
      </w:r>
    </w:p>
    <w:p w14:paraId="356F32C6"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С 25-го мая с.г. приступила к вывозке оборудования воинская часть 8285, которая до 12 июля подала под заводской груз 1108 трёхтонных и пятитонных автомашин.</w:t>
      </w:r>
    </w:p>
    <w:p w14:paraId="05FB9AF1"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12 июля, в основном, было вывезено всё заводское имущество, исключая тяжело</w:t>
      </w:r>
      <w:r w:rsidRPr="00D03F3E">
        <w:rPr>
          <w:rFonts w:ascii="Times New Roman" w:hAnsi="Times New Roman"/>
          <w:color w:val="000000" w:themeColor="text1"/>
          <w:sz w:val="16"/>
          <w:szCs w:val="16"/>
        </w:rPr>
        <w:softHyphen/>
        <w:t>весы и длинномеры, которые до сего времени не вывозит воинская часть № 8285 (15811).</w:t>
      </w:r>
    </w:p>
    <w:p w14:paraId="2073CE31" w14:textId="77777777" w:rsidR="00041D00" w:rsidRPr="00D03F3E" w:rsidRDefault="00041D00" w:rsidP="00D03F3E">
      <w:pPr>
        <w:spacing w:after="0" w:line="240" w:lineRule="auto"/>
        <w:jc w:val="both"/>
        <w:rPr>
          <w:rFonts w:ascii="Times New Roman" w:hAnsi="Times New Roman"/>
          <w:color w:val="000000" w:themeColor="text1"/>
          <w:sz w:val="16"/>
          <w:szCs w:val="16"/>
        </w:rPr>
      </w:pPr>
    </w:p>
    <w:p w14:paraId="15BA01F3" w14:textId="77777777" w:rsidR="00303512" w:rsidRPr="00D03F3E" w:rsidRDefault="00303512"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1BE97A15" w14:textId="77777777" w:rsidR="00303512" w:rsidRPr="00D03F3E" w:rsidRDefault="00303512" w:rsidP="00D03F3E">
      <w:pPr>
        <w:pStyle w:val="Iauiue"/>
        <w:jc w:val="both"/>
        <w:rPr>
          <w:iCs/>
          <w:color w:val="000000" w:themeColor="text1"/>
          <w:sz w:val="16"/>
          <w:szCs w:val="16"/>
        </w:rPr>
      </w:pPr>
    </w:p>
    <w:p w14:paraId="66FD30F2" w14:textId="77777777" w:rsidR="00303512" w:rsidRPr="00D03F3E" w:rsidRDefault="0030351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начале мая 1943 был изготовлен опытный образец пушки Д-12, который 17 числа испытали. Длина отката орудия сократилась до 400 мм, что позволило спроектировать для системы более компактное ограждение. Выдержала система и испытания на прочность (17694).</w:t>
      </w:r>
    </w:p>
    <w:p w14:paraId="1A4BB265" w14:textId="77777777" w:rsidR="00303512" w:rsidRPr="00D03F3E" w:rsidRDefault="00303512" w:rsidP="00D03F3E">
      <w:pPr>
        <w:spacing w:after="0" w:line="240" w:lineRule="auto"/>
        <w:jc w:val="both"/>
        <w:rPr>
          <w:rFonts w:ascii="Times New Roman" w:hAnsi="Times New Roman"/>
          <w:color w:val="000000" w:themeColor="text1"/>
          <w:sz w:val="16"/>
          <w:szCs w:val="16"/>
        </w:rPr>
      </w:pPr>
    </w:p>
    <w:p w14:paraId="7E5CA12C" w14:textId="77777777" w:rsidR="00474574" w:rsidRPr="00D03F3E" w:rsidRDefault="00474574" w:rsidP="00D03F3E">
      <w:pPr>
        <w:pStyle w:val="1162"/>
        <w:shd w:val="clear" w:color="auto" w:fill="auto"/>
        <w:spacing w:after="0" w:line="240" w:lineRule="auto"/>
        <w:ind w:firstLine="0"/>
        <w:jc w:val="both"/>
        <w:rPr>
          <w:rStyle w:val="940"/>
          <w:rFonts w:ascii="Times New Roman" w:hAnsi="Times New Roman" w:cs="Times New Roman"/>
          <w:color w:val="0070C0"/>
          <w:sz w:val="16"/>
          <w:szCs w:val="16"/>
          <w:lang w:val="ru-RU"/>
        </w:rPr>
      </w:pPr>
      <w:r w:rsidRPr="00D03F3E">
        <w:rPr>
          <w:rStyle w:val="940"/>
          <w:rFonts w:ascii="Times New Roman" w:hAnsi="Times New Roman" w:cs="Times New Roman"/>
          <w:color w:val="0070C0"/>
          <w:sz w:val="16"/>
          <w:szCs w:val="16"/>
          <w:lang w:val="ru-RU"/>
        </w:rPr>
        <w:t>В</w:t>
      </w:r>
      <w:r w:rsidRPr="00D03F3E">
        <w:rPr>
          <w:rStyle w:val="940"/>
          <w:rFonts w:ascii="Times New Roman" w:hAnsi="Times New Roman" w:cs="Times New Roman"/>
          <w:color w:val="0070C0"/>
          <w:sz w:val="16"/>
          <w:szCs w:val="16"/>
        </w:rPr>
        <w:t xml:space="preserve"> первых числах мая 1943 года </w:t>
      </w:r>
      <w:r w:rsidRPr="00D03F3E">
        <w:rPr>
          <w:rStyle w:val="940"/>
          <w:rFonts w:ascii="Times New Roman" w:hAnsi="Times New Roman" w:cs="Times New Roman"/>
          <w:color w:val="0070C0"/>
          <w:sz w:val="16"/>
          <w:szCs w:val="16"/>
          <w:lang w:val="ru-RU"/>
        </w:rPr>
        <w:t>п</w:t>
      </w:r>
      <w:r w:rsidRPr="00D03F3E">
        <w:rPr>
          <w:rStyle w:val="940"/>
          <w:rFonts w:ascii="Times New Roman" w:hAnsi="Times New Roman" w:cs="Times New Roman"/>
          <w:color w:val="0070C0"/>
          <w:sz w:val="16"/>
          <w:szCs w:val="16"/>
        </w:rPr>
        <w:t>ервоначальные расчеты показали, что боевая масса ИС-3 возрастала до 43-44 тонн. В связи с установкой более крупной си</w:t>
      </w:r>
      <w:r w:rsidRPr="00D03F3E">
        <w:rPr>
          <w:rStyle w:val="940"/>
          <w:rFonts w:ascii="Times New Roman" w:hAnsi="Times New Roman" w:cs="Times New Roman"/>
          <w:color w:val="0070C0"/>
          <w:sz w:val="16"/>
          <w:szCs w:val="16"/>
        </w:rPr>
        <w:softHyphen/>
        <w:t>стемы башня ИС-3 потребовала доработки - она стала крупнее, а диаметр погона требова</w:t>
      </w:r>
      <w:r w:rsidRPr="00D03F3E">
        <w:rPr>
          <w:rStyle w:val="940"/>
          <w:rFonts w:ascii="Times New Roman" w:hAnsi="Times New Roman" w:cs="Times New Roman"/>
          <w:color w:val="0070C0"/>
          <w:sz w:val="16"/>
          <w:szCs w:val="16"/>
        </w:rPr>
        <w:softHyphen/>
        <w:t>лось увеличить как минимум до 1700 мм. В финальной редакции погон увеличили до 1800 мм. В свою очередь, увеличение диамет</w:t>
      </w:r>
      <w:r w:rsidRPr="00D03F3E">
        <w:rPr>
          <w:rStyle w:val="940"/>
          <w:rFonts w:ascii="Times New Roman" w:hAnsi="Times New Roman" w:cs="Times New Roman"/>
          <w:color w:val="0070C0"/>
          <w:sz w:val="16"/>
          <w:szCs w:val="16"/>
        </w:rPr>
        <w:softHyphen/>
        <w:t>ра погона башни потребовало удлинить кор</w:t>
      </w:r>
      <w:r w:rsidRPr="00D03F3E">
        <w:rPr>
          <w:rStyle w:val="940"/>
          <w:rFonts w:ascii="Times New Roman" w:hAnsi="Times New Roman" w:cs="Times New Roman"/>
          <w:color w:val="0070C0"/>
          <w:sz w:val="16"/>
          <w:szCs w:val="16"/>
        </w:rPr>
        <w:softHyphen/>
        <w:t>пус до 6454 мм. Одновременно переделыва</w:t>
      </w:r>
      <w:r w:rsidRPr="00D03F3E">
        <w:rPr>
          <w:rStyle w:val="940"/>
          <w:rFonts w:ascii="Times New Roman" w:hAnsi="Times New Roman" w:cs="Times New Roman"/>
          <w:color w:val="0070C0"/>
          <w:sz w:val="16"/>
          <w:szCs w:val="16"/>
        </w:rPr>
        <w:softHyphen/>
        <w:t>лось и моторно-трансмиссионное отделение, дабы устранить проблемы, выявленные при испытаниях ИС-1 и ИС-2</w:t>
      </w:r>
      <w:r w:rsidRPr="00D03F3E">
        <w:rPr>
          <w:rStyle w:val="940"/>
          <w:rFonts w:ascii="Times New Roman" w:hAnsi="Times New Roman" w:cs="Times New Roman"/>
          <w:color w:val="0070C0"/>
          <w:sz w:val="16"/>
          <w:szCs w:val="16"/>
          <w:lang w:val="ru-RU"/>
        </w:rPr>
        <w:t xml:space="preserve">. </w:t>
      </w:r>
      <w:r w:rsidRPr="00D03F3E">
        <w:rPr>
          <w:rStyle w:val="940"/>
          <w:rFonts w:ascii="Times New Roman" w:hAnsi="Times New Roman" w:cs="Times New Roman"/>
          <w:color w:val="0070C0"/>
          <w:sz w:val="16"/>
          <w:szCs w:val="16"/>
        </w:rPr>
        <w:t>Максимальная ско</w:t>
      </w:r>
      <w:r w:rsidRPr="00D03F3E">
        <w:rPr>
          <w:rStyle w:val="940"/>
          <w:rFonts w:ascii="Times New Roman" w:hAnsi="Times New Roman" w:cs="Times New Roman"/>
          <w:color w:val="0070C0"/>
          <w:sz w:val="16"/>
          <w:szCs w:val="16"/>
        </w:rPr>
        <w:softHyphen/>
        <w:t>рость ориентировочно должна была соста</w:t>
      </w:r>
      <w:r w:rsidRPr="00D03F3E">
        <w:rPr>
          <w:rStyle w:val="940"/>
          <w:rFonts w:ascii="Times New Roman" w:hAnsi="Times New Roman" w:cs="Times New Roman"/>
          <w:color w:val="0070C0"/>
          <w:sz w:val="16"/>
          <w:szCs w:val="16"/>
        </w:rPr>
        <w:softHyphen/>
        <w:t>вить 35-37 км/ч, позже ее «подняли» до 42 км/ч. Рост массы танка и длины корпуса означал изменения ходовой части. Количе</w:t>
      </w:r>
      <w:r w:rsidRPr="00D03F3E">
        <w:rPr>
          <w:rStyle w:val="940"/>
          <w:rFonts w:ascii="Times New Roman" w:hAnsi="Times New Roman" w:cs="Times New Roman"/>
          <w:color w:val="0070C0"/>
          <w:sz w:val="16"/>
          <w:szCs w:val="16"/>
        </w:rPr>
        <w:softHyphen/>
        <w:t>ство опорных катков на борт выросло до шести штук, при этом сами катки существенно переделали. По итогам переделок получился если не совсем новый танк, то, как минимум, существенно отличающийся от предшествен</w:t>
      </w:r>
      <w:r w:rsidRPr="00D03F3E">
        <w:rPr>
          <w:rStyle w:val="940"/>
          <w:rFonts w:ascii="Times New Roman" w:hAnsi="Times New Roman" w:cs="Times New Roman"/>
          <w:color w:val="0070C0"/>
          <w:sz w:val="16"/>
          <w:szCs w:val="16"/>
        </w:rPr>
        <w:softHyphen/>
        <w:t>ника</w:t>
      </w:r>
      <w:r w:rsidRPr="00D03F3E">
        <w:rPr>
          <w:rStyle w:val="940"/>
          <w:rFonts w:ascii="Times New Roman" w:hAnsi="Times New Roman" w:cs="Times New Roman"/>
          <w:color w:val="0070C0"/>
          <w:sz w:val="16"/>
          <w:szCs w:val="16"/>
          <w:lang w:val="ru-RU"/>
        </w:rPr>
        <w:t>.</w:t>
      </w:r>
    </w:p>
    <w:p w14:paraId="42A00C32" w14:textId="77777777" w:rsidR="00474574" w:rsidRPr="00D03F3E" w:rsidRDefault="00474574" w:rsidP="00D03F3E">
      <w:pPr>
        <w:pStyle w:val="1162"/>
        <w:shd w:val="clear" w:color="auto" w:fill="auto"/>
        <w:spacing w:after="0" w:line="240" w:lineRule="auto"/>
        <w:ind w:firstLine="0"/>
        <w:jc w:val="both"/>
        <w:rPr>
          <w:rStyle w:val="940"/>
          <w:rFonts w:ascii="Times New Roman" w:hAnsi="Times New Roman" w:cs="Times New Roman"/>
          <w:color w:val="0070C0"/>
          <w:sz w:val="16"/>
          <w:szCs w:val="16"/>
        </w:rPr>
      </w:pPr>
      <w:r w:rsidRPr="00D03F3E">
        <w:rPr>
          <w:rStyle w:val="940"/>
          <w:rFonts w:ascii="Times New Roman" w:hAnsi="Times New Roman" w:cs="Times New Roman"/>
          <w:color w:val="0070C0"/>
          <w:sz w:val="16"/>
          <w:szCs w:val="16"/>
        </w:rPr>
        <w:t>Жесткие сроки, которые были обозначе</w:t>
      </w:r>
      <w:r w:rsidRPr="00D03F3E">
        <w:rPr>
          <w:rStyle w:val="940"/>
          <w:rFonts w:ascii="Times New Roman" w:hAnsi="Times New Roman" w:cs="Times New Roman"/>
          <w:color w:val="0070C0"/>
          <w:sz w:val="16"/>
          <w:szCs w:val="16"/>
        </w:rPr>
        <w:softHyphen/>
        <w:t>ны в постановлении ГКО № 3289 от 5 мая 1943 года, заставили проводить первые пробеги опытного образца «Объекта 237» без башни. Дело в том, что башню к указанному в поста</w:t>
      </w:r>
      <w:r w:rsidRPr="00D03F3E">
        <w:rPr>
          <w:rStyle w:val="940"/>
          <w:rFonts w:ascii="Times New Roman" w:hAnsi="Times New Roman" w:cs="Times New Roman"/>
          <w:color w:val="0070C0"/>
          <w:sz w:val="16"/>
          <w:szCs w:val="16"/>
        </w:rPr>
        <w:softHyphen/>
        <w:t>новлении сроку (1 июля) закончить не успе</w:t>
      </w:r>
      <w:r w:rsidRPr="00D03F3E">
        <w:rPr>
          <w:rStyle w:val="940"/>
          <w:rFonts w:ascii="Times New Roman" w:hAnsi="Times New Roman" w:cs="Times New Roman"/>
          <w:color w:val="0070C0"/>
          <w:sz w:val="16"/>
          <w:szCs w:val="16"/>
        </w:rPr>
        <w:softHyphen/>
        <w:t>ли, причем узким местом оставалось еще и вооружение. Достаточно сказать, что понача</w:t>
      </w:r>
      <w:r w:rsidRPr="00D03F3E">
        <w:rPr>
          <w:rStyle w:val="940"/>
          <w:rFonts w:ascii="Times New Roman" w:hAnsi="Times New Roman" w:cs="Times New Roman"/>
          <w:color w:val="0070C0"/>
          <w:sz w:val="16"/>
          <w:szCs w:val="16"/>
        </w:rPr>
        <w:softHyphen/>
        <w:t>лу оба опытных образца танка имели 85-мм пушки С-31, поскольку с выпуском Д-5Т-85 завод № 9 задержался</w:t>
      </w:r>
      <w:r w:rsidRPr="00D03F3E">
        <w:rPr>
          <w:rStyle w:val="940"/>
          <w:rFonts w:ascii="Times New Roman" w:hAnsi="Times New Roman" w:cs="Times New Roman"/>
          <w:color w:val="0070C0"/>
          <w:sz w:val="16"/>
          <w:szCs w:val="16"/>
          <w:lang w:val="ru-RU"/>
        </w:rPr>
        <w:t xml:space="preserve"> (19872)</w:t>
      </w:r>
      <w:r w:rsidRPr="00D03F3E">
        <w:rPr>
          <w:rStyle w:val="940"/>
          <w:rFonts w:ascii="Times New Roman" w:hAnsi="Times New Roman" w:cs="Times New Roman"/>
          <w:color w:val="0070C0"/>
          <w:sz w:val="16"/>
          <w:szCs w:val="16"/>
        </w:rPr>
        <w:t>.</w:t>
      </w:r>
    </w:p>
    <w:p w14:paraId="1100B3B5" w14:textId="77777777" w:rsidR="00474574" w:rsidRPr="00D03F3E" w:rsidRDefault="00474574" w:rsidP="00D03F3E">
      <w:pPr>
        <w:pStyle w:val="1162"/>
        <w:shd w:val="clear" w:color="auto" w:fill="auto"/>
        <w:spacing w:after="0" w:line="240" w:lineRule="auto"/>
        <w:ind w:firstLine="0"/>
        <w:jc w:val="both"/>
        <w:rPr>
          <w:rFonts w:ascii="Times New Roman" w:hAnsi="Times New Roman" w:cs="Times New Roman"/>
          <w:color w:val="0070C0"/>
          <w:sz w:val="16"/>
          <w:szCs w:val="16"/>
        </w:rPr>
      </w:pPr>
    </w:p>
    <w:p w14:paraId="6507978B" w14:textId="77777777" w:rsidR="00E32537" w:rsidRPr="00D03F3E" w:rsidRDefault="00E3253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мая 1943 года были подготовлены Тактико-технические требования на самый первый вариант ИСУ-152, который предполагалось строить на базе ИС-1 (объект 233) (18171).</w:t>
      </w:r>
    </w:p>
    <w:p w14:paraId="6F4D9AF1" w14:textId="77777777" w:rsidR="00E32537" w:rsidRPr="00D03F3E" w:rsidRDefault="00E32537" w:rsidP="00D03F3E">
      <w:pPr>
        <w:spacing w:after="0" w:line="240" w:lineRule="auto"/>
        <w:jc w:val="both"/>
        <w:rPr>
          <w:rFonts w:ascii="Times New Roman" w:hAnsi="Times New Roman"/>
          <w:color w:val="000000" w:themeColor="text1"/>
          <w:sz w:val="16"/>
          <w:szCs w:val="16"/>
        </w:rPr>
      </w:pPr>
    </w:p>
    <w:p w14:paraId="0F3DFB87"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57E713C7" w14:textId="77777777" w:rsidR="00531570" w:rsidRPr="00D03F3E" w:rsidRDefault="00531570" w:rsidP="00D03F3E">
      <w:pPr>
        <w:pStyle w:val="Iauiue"/>
        <w:jc w:val="both"/>
        <w:rPr>
          <w:iCs/>
          <w:color w:val="000000" w:themeColor="text1"/>
          <w:sz w:val="16"/>
          <w:szCs w:val="16"/>
        </w:rPr>
      </w:pPr>
    </w:p>
    <w:p w14:paraId="56EE99C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мая 1943 «генеральная линия» руководства сделала очередной зигзаг. Нарком ВМФ Н.Г.Кузнецов приказал «считать борьбу с железнодорожными и автомобильными перевозками противника одной из важнейших задач военно-воздушных сил». В очередной раз планы использования минно-торпедной авиации были переработаны и с начала второй декады июня переключены на сухопутное направление. «Ильюшины» неоднократно по ночам бомбили восстанавливаемый противником мост через реку Нарова (уничтожен 21 мая ударом Пе-2), а затем аэродромы немецких перехватчиков. С начала июля на действиях ВВС КБФ стал оказывать серьезное влияние бензиновый кризис, пригвоздивший «Илы» к аэродромам до начала третьей декады. С 22 июля они начали вылетать для бомбардировки противолодочных сетей, поскольку народный комиссар ВМФ приказал подводным силам флота предпринять новую попытку вырваться из залива. В первый день налетов торпедоносцы сбросили по сетям три высотных торпеды, а в дальнейшем бомбардировщики добавили к этому еще 240 ФАБ-100. Прибывшая в район сетей 7 августа подводная лодка «С-9» несколько раз пыталась найти образовавшиеся проходы, но безуспешно. Она сама выпускала по сетям торпеды, но, даже несмотря на это, никаких результатов достигнуть не удалось. При возвращении субмарина погибла, а ещё раньше, при попытке «поднырнуть» под сети в глубоководном проходе, затонула «С-12» - немцы перекрыли проход донными минами. Фактически 30 самолето-вылетов 1 -го МТАП оказались затрачены на задачу, решения которой не было. В то же время крейсерские полеты, имевшие полную возможность заменить результаты прорыва двух субмарин, оказались чуть ли не на последнем месте. В течение месяца их было всего восемь, причем лишь четыре завершились атаками (9965).</w:t>
      </w:r>
    </w:p>
    <w:p w14:paraId="1A8F258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09EFCD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мая 1943 года на аэродром Борки из Ижевска перебазировался 34-й ЗАП (запасной авиационный полк) (СКАЧАТЬ материалы 34 ЗАП)в составе 70 ИЛ-2 и специального батальона аэродромного обслуживания (БАО). С 11 мая эскадрильи полка приступили к тренировочным полетам с обучаемым составом курсантов, окончивших лётные школы, а также "комиссованных" лётчиков, вернувшихся после госпиталей к лётной работе на переобучение.</w:t>
      </w:r>
    </w:p>
    <w:p w14:paraId="6E568D4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 ЗАП входил в состав 3-й авиабригады Резерва Главного Командования, имеющей аэроузел со следующими аэродромами:</w:t>
      </w:r>
    </w:p>
    <w:p w14:paraId="0977FB4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Дядьково - 12 км севернее г. Дмитров;</w:t>
      </w:r>
    </w:p>
    <w:p w14:paraId="5AF071B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Борки - 10 км южнее г. Кимры;</w:t>
      </w:r>
    </w:p>
    <w:p w14:paraId="5546806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Набережная - 8 км северо-восточнее г. Королев;</w:t>
      </w:r>
    </w:p>
    <w:p w14:paraId="0CB88E8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Клин - 3 км северо-западнее г. Клин;</w:t>
      </w:r>
    </w:p>
    <w:p w14:paraId="1F40200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Юркино - 4 км восточнее г. Талдом;</w:t>
      </w:r>
    </w:p>
    <w:p w14:paraId="7A1A016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Подсолнечная - 1 км севернее г. Солнечногорск;</w:t>
      </w:r>
    </w:p>
    <w:p w14:paraId="52B51AE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Крюково - 19 км северо-западне г. Химки;</w:t>
      </w:r>
    </w:p>
    <w:p w14:paraId="08D69A4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Гари - 18 км южнее г. Талдом;</w:t>
      </w:r>
    </w:p>
    <w:p w14:paraId="2BE9D87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Воронцово - 20 км северо-западнее г. Кимры.</w:t>
      </w:r>
    </w:p>
    <w:p w14:paraId="4521D69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Штаб 3-й авиабригады находился в Клину, потом в Орудьево. Между штабом и аэродромами была установлена регулярная воздушная связь. Дважды в день штабной самолёт ПО-2 доставлял и забирал у подразделений оперативную почту.</w:t>
      </w:r>
    </w:p>
    <w:p w14:paraId="3E327A1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весны 1942 года, самолёты с заводов изготовителей начали поступать не в боевые полки, а в соответствующие запасные авиабригады, где облётывались, доводились до боевой готовности и после этого отправлялись на фронт вместе с подготовленными экипажами.</w:t>
      </w:r>
    </w:p>
    <w:p w14:paraId="3183457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через аэроузел 3-й авиабригады РГК за 1943-1945 гг. прошло более 6500 штурмовиков ИЛ-2, изготовленных разными заводами. Было подготовлено и отправлено в боевые полки более 2500 лётчиков-штурмовиков. Это весомый вклад нашего края в достижении Великой Победы. А глухие леса и болота вокруг указанных аэродромов ещё хранят останки штурмовиков, потерпевших аварии и катастрофы в то время.</w:t>
      </w:r>
    </w:p>
    <w:p w14:paraId="140B952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По-разному складывалась судьба лётчиков во время войны. Курсанты, а потом лётчики погибали не только в боях, но и во время учебно-тренировочных полетов, сперва в лётных школах, потом в ЗАПах при специализации. Поступив в лётную школу, призывник 1941 года имел возможность учиться целых полтора года и только потом отдать жизнь "ЗА РОДИНУ". Ну а его сверстники, попавшие в пехоту, попали в выше приведённые статистические данные потерь за второе полугодие 1941 года.</w:t>
      </w:r>
    </w:p>
    <w:p w14:paraId="1B66E81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приложении к этой статье приведены данные о лётных происшествиях, произошедших в аэроузле 3-й авиабригады РГК за 1943-1945 годы, в том числе и в ближайших окрестностях аэродрома Борки. Всего в нашей картотеке 257 случаев, в том числе 35 катастроф с гибелью экипажей.</w:t>
      </w:r>
    </w:p>
    <w:p w14:paraId="55E2A72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Мы попытались найти могилы погибших лётчиков, но фактически, кроме нескольких памятных знаков, установленных на месте крушения самолётов, ничего не нашли. По данным аварийных актов того времени, Мирошников Б.П., стрелок самолёта ИЛ-2 № 303368, потерпевшего катастрофу 04 января 1944 года на 124 км. железной дороги Талдом-Савёлово, не найден и не захоронен. Похоже, что выпрыгнул из пикирующего самолёта на низкой высоте, парашют не успел раскрыться, так он и ушел в болото на несколько метров. Вот и не нашли.</w:t>
      </w:r>
    </w:p>
    <w:p w14:paraId="7333531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героя нашей истории лётчика-курсанта 34 ЗАП старшего сержанта Камшилова Алексея Семёновича, 1921 г.рождения, уроженца Горьковской области, судьба сложилась типовая, можно сказать среднестатистическая. Алексей Камшилов после окончания лётной школы летом 1943 г проходил обучение на самолетах ИЛ-2 в 34 ЗАП на аэродроме Борки.</w:t>
      </w:r>
    </w:p>
    <w:p w14:paraId="1308787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г при выполнении самостоятельного полета у Алексея в воздухе отказал мотор. Летчик совершил вынужденную посадку в 5 км южнее аэродрома Борки. Самолет ИЛ-2 № 381417 был разбит, пилот не пострадал. 23 июня курсант Камшилов продолжил выполнение учебных полетов на самолёте № 302406 и вновь потерпел аварию из-за отказа мотора. Самолёт также был разбит и списан. Техники полка получили суровое наказание за плохую подготовку самолётов к полётам. Мастерство и хладнокровие летчика спасли его жизнь два раза за два дня.</w:t>
      </w:r>
    </w:p>
    <w:p w14:paraId="4702740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г. Подольск, Фонд 34 ЗАП, Опись 107478с, дело 2, Приказ № 037 от 25.06.43 г. Вынужденная посадка ИЛ-2 № 381417 22.06.43.г.), Опись 106040, Дело 1, Приказ № 148 от 29.06.43 г. О списании ИЛ-2 № 381417.</w:t>
      </w:r>
    </w:p>
    <w:p w14:paraId="442A019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июля 1943 г группа летчиков закончила курс обучения на ИЛ-2 и убыла на Ленинградский фронт в состав 999 ШАП (штурмовой авиаполк). Свой первый боевой вылет Алексей Камшилов совершил 19 августа в составе группы ИЛ-2 на штурмовку целей в районе Синявинских высот. Фотосъемка подтвердила выполнение задания.</w:t>
      </w:r>
    </w:p>
    <w:p w14:paraId="1A8CD26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августа Камшилов совершил 2 сложных боевых вылета с ампулами АЖ-2 на полив позиций фашистов фосфором. По инструкции летчик должен зайти на цель и во время штурмовки держать горизонтальный полет не менее 5 сек, иначе можно поджечь свой самолет. В это время самолет являлся идеальной мишенью для зенитчиков. За успешное выполнение заданий Алексей Камшилов получил «Орден Красной Звезды».</w:t>
      </w:r>
    </w:p>
    <w:p w14:paraId="2770A89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января 1944 г. после выполнения разведывательного полета Камшилов не вернулся с боевого задания. Был подбит, но сумел посадить машину на своей территории и через несколько дней вернулся в полк.</w:t>
      </w:r>
    </w:p>
    <w:p w14:paraId="280157C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25 января летчик Алексей Камшилов и стрелок Михаил Медюха в 9.40 вылетели на боевое задание – разведка «на себя» с попутной штурмовкой. При штурмовке колонны автотранспорта противника в районе г. Красногвардейска южнее Ленинграда самолет Камшилова был сбит огнем зенитной артиллерии, загорелся в воздухе и рухнул на землю. Экипаж погиб. Где захоронены их останки не известно. За свою короткую боевую жизнь Алексей Семёнович Камшилов успел совершить 11 успешных боевых вылетов.</w:t>
      </w:r>
    </w:p>
    <w:p w14:paraId="5691C88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г. Подольск. Фонд 999 ШАП, Опись 161178с, Дело 45 Журнал боевых полётов. Обстоятельства и дата гибели экипажа Камшилов А.С., Медюха М.</w:t>
      </w:r>
    </w:p>
    <w:p w14:paraId="31C6F5A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к середине 2006 года созрело окончательное мнение, что Памятник со штурмовиком ИЛ-2 делать надо. Не знали только как. За решение организационных, производственных, технических и финансовых вопросов взялся Михаил Валентинович Иванков, заручившись поддержкой МКБ "Радуга" в лице Генерального директора Трусова Владимира Николаевича и Генерального директора ООО "Д-Авиа" в лице Саушкина Алексея Ивановича.</w:t>
      </w:r>
    </w:p>
    <w:p w14:paraId="38CBD9B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Начинать пришлось на пустом месте. Решили повторить организацию производства штурмовиков в условиях эвакуации завода № 381 из осаждённого немцами Ленинграда в тыл на Урал осенью 1941 года. В марте 2007 года перевезли бронекорпус самолёта с промплощадки "ДМЗ" на промплощадку ООО "ЭКСТЕН", освободили производственный участок площадью 250 кв. метров, повесили портрет И.В.Сталина, плакат "Всё для фронта! Всё для Победы!" и начали собирать кадры, которые "решат всё"!</w:t>
      </w:r>
    </w:p>
    <w:p w14:paraId="7F6D3D7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Саушкин Алексей Иванович предложил на должность начальника производства Стульцева Николая Васильевича, а на должность Главного конструктора Гончаренко Владимира Петровича. Стульцев Николай Васильевич подобрал костяк бригады слесарей-сборщиков, согласившихся работать в "военных условиях" и без профсоюза. Это были Жидов Евгений Васильевич, Лощаков Виктор Алексеевич и Зайцев Евгений Васильевич. По мере необходимости привлекали и других дополнительных работников на сдельной основе.</w:t>
      </w:r>
    </w:p>
    <w:p w14:paraId="1CDAF5B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Должности Директора эвакуированного завода № 381, начальника ОТК и Заказчика-Военпреда исполнял в одном лице Иванков М.В. Генеральные директора ООО "ЭКСТЕН" и ООО "Строй Двор" Уланов Александр Петрович и Арефьев Дмитрий Евгеньевич оказывали все необходимые услуги по транспортному и материально-техническому снабжению.</w:t>
      </w:r>
    </w:p>
    <w:p w14:paraId="1711230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Работа закипела. Составили график разработки конструкторской документации на отдельные узлы и сборочные единицы самолёта, взяв за базу имеющийся бронекорпус одноместного штурмовика. Закупили необходимые материалы, изготовили технологическую оснастку, оснастились необходимым инструментом и различным оборудованием.</w:t>
      </w:r>
    </w:p>
    <w:p w14:paraId="077AA50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каждым днём появлялись новые детали и сборки самолёта. Сперва хвостовая балка, затем шпангоуты фюзеляжа, нервюры, стабилизатор, киль, центроплан, консоли крыльев, стыковочные узлы, шасси, колеса, головная часть фюзеляжа, винт с редуктором, выхлопные трубы мотора, кабина летчика, фонарь с бронеколпаком, кок винта, крыльевые гондолы шасси, зализы и стыковочные ленты, 100 килограммовые фугасные авиационные бомбы ФАБ-100, реактивные не управляемые снаряды РС-132, пулемёты ШКАС 7,62 мм, пушки ШВАК -20 мм, габаритные огни и фары, антенны и т.д. и т.п. Многие детали и узлы, требующие применения специализированного промышленного оборудования, изготавливались по кооперации в МКБ "Радуга".</w:t>
      </w:r>
    </w:p>
    <w:p w14:paraId="071AE32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Генеральный директор Трусов Владимир Николаевич сдержал свое обещание и работники этого предприятия оказывали нам необходимую помощь. Огромное спасибо Ларионову Виталию Алексеевичу, Яровому Виктору Ивановичу, Филенкову Александру Павловичу, Полыгалову Александру Михайловичу, Волкову Александру Алексеевичу, Мироновой Татьяне Павловне, Алексеевой Ларисе Вениаминовне, Пискарёвой Любови Вениаминовне, Орловой Татьяне Васильевне, Мифтахутдиновой Лилии Николаевне и многим другим сотрудникам и работникам данного предприятия.</w:t>
      </w:r>
    </w:p>
    <w:p w14:paraId="2D8A0E1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протяжении 2006 - 2007 годов, имея данные о местах аварий и катастроф штурмовиков ИЛ-2, проводили поисковые операции по их поиску. Побывали и опросили старожилов в окрестных населённых пунктах: Прислон, Клетино, Савёлово, Волдынь, Великий Двор, Воргаш, Талдом, Запрудня, Белый городок, Пелагеинская, Скулино, Святье, Воронцово.</w:t>
      </w:r>
    </w:p>
    <w:p w14:paraId="244A580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Зубанов Андрей Николаевич из г. Талдома показал место падения штурмовика ИЛ-2 на 124 км. железной дороги Талдом-Савёлово.</w:t>
      </w:r>
    </w:p>
    <w:p w14:paraId="5320B53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Сергей Никулин из Дубны и его друг Сергей из посёлка Запрудня показали место нахождения в лесу за каналом имени Москвы трёхлопастного винта с редуктором и остатками обшивки неизвестного самолёта.</w:t>
      </w:r>
    </w:p>
    <w:p w14:paraId="28D4547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Прислонов Николай Николаевич нашёл у себя в деревне верхнюю часть бронекапота от самолёта ИЛ-2, которая выполняла роль водослива у колодца.</w:t>
      </w:r>
    </w:p>
    <w:p w14:paraId="74BA665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Токмаков Сергей Владимирович нашёл у жителей этой же деревни воздушные бронезаборники, так называемые "жабры" и бронированную боковую крышку капота двигателя. Эти "железки" использовались в огородах для ходьбы по ним между грядками.</w:t>
      </w:r>
    </w:p>
    <w:p w14:paraId="2DF558D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Крылов Иван Фёдорович из деревни Клетино показал место расположения ложного аэродрома рядом с аэродромом Борки, передал нам несколько порезанных газосваркой бронелистов от самолётов ИЛ-2, солдатскую каску времён войны, которую он нашёл при чистке деревенского колодца.</w:t>
      </w:r>
    </w:p>
    <w:p w14:paraId="385E41B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Шестаков Игорь Николаевич разработал схему и изготовил низковольтный источник питания с гарантированным сроком службы не менее 50-ти лет. От этого источника постоянное напряжение подаётся на светодиодные габаритные огни, подсветку кабины лётчика и фары самолёта при включении уличного освещения.</w:t>
      </w:r>
    </w:p>
    <w:p w14:paraId="130AFA5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Долго искали место падения учебного штурмовика УИЛ-2 № 1876458. Авария произошла 23 декабря 1943 года. Самолёт должен был хорошо сохраниться, так как в конце 60-х годов его видели местные охотники практически целым со звездами на фюзеляже. Находился он в запретной зоне ракетной воинской части около Савёлово. Мы надеялись, что за колючей проволокой, где доступ ограничен, самолёт мог хорошо сохраниться. Встретились с руководством этой части, согласовали наши действия. Оказалось, что командир части Фурсов Владимир Иванович, будучи курсантом Воронежского училища принимал участие в открытии Памятника ИЛ-2 в г. Воронеже, стоял в почётном карауле и участвовал в праздничном салюте, стрелял из автомата Калашникова. Курировать нас он поручил своему заместителю Фесюку Павлу Петровичу. Командиры нас сразу предупредили, что запретная зона давно не действует, народ тащит всё подряд, даже электрические кабели под напряжением выкапывает. К нашему великому сожалению так и получилось. Как выяснилось позже, самолёт давно разграбили, а бронекорпус этого штурмовика кто-то вывез зимой на санях буквально три-четыре года назад на металлолом. Чуть-чуть не успели.</w:t>
      </w:r>
    </w:p>
    <w:p w14:paraId="2733C48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 постепенно, собрали броневые листы и детали от нескольких самолётов. В итоге нашли три комплекта стоек шасси, две бронеспинки лётчика, осколки бронестекла, гильзы пушек ШВАК-20, бронебойно-зажигательные патроны ШКАС 7,62, воздушные баллоны пневмозапуска двигателя и выпуска шасси, множество мелких деталей самолётов, двигателя, обшивки и т.д.</w:t>
      </w:r>
    </w:p>
    <w:p w14:paraId="0807943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Договорились с руководством аэродрома Борки в качестве "донора" распилить списанный самолёт АН-2 бортовой номер 07. Как мы выяснили из Интернета этот тип самолёта начал выпускаться с 1946 года и "по конверсии" ему приделали ИЛовские колёса. АН-2 распилили и в дальнейшем использовали его колёса, киль и часть деталей обшивки сложной формы. В этом вопросе нам активно помогали Митенков Лев Александрович и Анохин Павел Николаевич.</w:t>
      </w:r>
    </w:p>
    <w:p w14:paraId="25CCB5C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января 2008 года, когда основные контуры штурмовика были уже видны, начали работать над вариантами возможных конструкций Постамента и места установки Памятника. Места рассматривались следующие. На улице Энтузиастов со стороны Братских могил, на Братских могилах, на набережной Волги в районе Ротонды воинам-интернационалистам, в парке семейного отдыха на Большой Волге, на плотине Иваньковского водохранилища. Однако все они были забракованы по разным причинам. В итоге Мэр города Валерий Прох сказал: "Я знаю где он должен стоять. Вот здесь, напротив гостиницы "Гриль", взлетая на Запад. А открыть Памятник надо ко дню Победы 9 мая 2008 года…." Так и сделали.</w:t>
      </w:r>
    </w:p>
    <w:p w14:paraId="3967547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возможных конструкций Постамента детально прорабатывались два основных варианта.</w:t>
      </w:r>
    </w:p>
    <w:p w14:paraId="4C1F13C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Первый. Установка ИЛ-2 на одной наклонной металлической консоли на высоте 8-9 метров над землёй с опорой в одной точке в нижней части фюзеляжа в районе маслорадиатора.. Красиво, но сложно. Этот вариант был в итоге забракован.</w:t>
      </w:r>
    </w:p>
    <w:p w14:paraId="5F473B0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Второй и окончательный вариант Постамента родился в результате коллективного решения специалистов нашего мини-завода № 381, муниципальной "Службы Заказчика", Волжского электромеханического завода ВЭМЗ, Генеральный директор Подколзин Александр Иванович, и архитектора Котолевской Ирины Борисовны. Ирина Борисовна предложила изготовить металлические конструкции Постамента в виде Волжских волн, рядом же течёт Волга. И в песне "Священная война" есть строки созвучные: "Пусть ярость благородная вскипает как волна, идёт война Народная, Священная война!"</w:t>
      </w:r>
    </w:p>
    <w:p w14:paraId="4AB10F3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Специалисты ВЭМЗа: Кувшинов Сергей Иванович, Ильин Валерий Николаевич, Кузьменко Михаил Николаевич, под руководством Подколзина Александра Ивановича разработали конструктивно-силовую схему Постамента и узлов стыковки с самолётом. Провели расчёт конструкции на прочность.</w:t>
      </w:r>
    </w:p>
    <w:p w14:paraId="05A1218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Специалисты Муниципального учреждения "Служба Заказчика": Чернышов Анатолий Константинович, Складнов Анатолий Николаевич, Кутафина Лариса Николаевна, Торопов Юрий Михайлович, Осипов Игорь Евгеньевич, Живикина Светлана Фёдоровна, разработали чертежи фундаментов, благоустройства прилегающей территории и сметные расчёты на все работы.</w:t>
      </w:r>
    </w:p>
    <w:p w14:paraId="1190C1A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Дата открытия Памятника была определена, начался обратный отсчёт времени. А времени оставалось очень мало. Для иллюстрации напряженности графика уже общегородской деятельности по строительству Памятника, ниже приведены даты и события в апреле этого года. И так:</w:t>
      </w:r>
    </w:p>
    <w:p w14:paraId="79626D5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02 апреля 2008 года - штурмовик ИЛ-2 собран, вес изделия 3,75 тонны, площадь поверхности более 100 квадратных метров. Началась механическая зачистка всей поверхности самолёта для последующих процессов обезжиривания, грунтовки и покраски. Оформлено разрешение на производство работ на площадке у гостиницы "Гриль".</w:t>
      </w:r>
    </w:p>
    <w:p w14:paraId="500AD4D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апреля 2008 года - штурмовик ИЛ-2 зачищен. Бригада маляров МКБ "Радуга" под руководством Алексеевой Ларисы Вениаминовны командирована на завод № 381 и приступила к работам. ООО "Строймаш" под руководством Генерального директора Каприна Александра Ивановича и Хромина Владимира Валентиновича, установило забор, приступило к рытью котлованов под фундаменты опор Постамента.</w:t>
      </w:r>
    </w:p>
    <w:p w14:paraId="4A9320C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18 апреля 2008 года - штурмовик ИЛ-2 покрашен и отмаркирован. Началось изготовление специальных подъёмных и транспортных приспособлений для транспортировки самолёта к месту установки. Фундаменты опор Постамента готовы, общий объём уложенного бетона составил 48 кубических метров, вес закладных металлоконструкций 2 тонны. Общий вес фундаментов 108 тонн.</w:t>
      </w:r>
    </w:p>
    <w:p w14:paraId="095D5DB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апреля 2008 года - ООО "ВЭМЗ" изготовил металлические опоры. Первая партия опор завезена на площадку. Длина главных опор 22 метра. Началась обшивка опор нержавеющими листами. В связи со срочностью проводимых работ обшивку выполняют сразу три бригады специалистов: ВЭМЗа, завода № 381 ООО "ЭКСТЕН", МУП ПТО ГХ. Снабжение электроэнергией сварочных работ обеспечивается от дизель-генераторов МУП ПТО ГХ, ООО "Строймаш" - Генеральный директор Каприн Александр Иванович и ООО"Пламет" - Генеральный директор Мочалина Светлана Анатольевна. Большой объём сварочных работ выполнил моторист-сварщик этой же фирмы Жильцов Василий Васильевич.</w:t>
      </w:r>
    </w:p>
    <w:p w14:paraId="5DE207A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апреля 2008 года - Три главные опоры Постамента общими усилиями частично обшиты нержавеющими листами и установлены на фундаменты. Начались работы по благоустройству территории. Ведётся строительство тротуаров, прокладка электрических кабелей. Работы ведут ООО "Строймаш" - Генеральный директор Каприн Александр Иванович и ООО "Стройком" - Генеральный директор Голиберенко Леонид Геннадьевич. .</w:t>
      </w:r>
    </w:p>
    <w:p w14:paraId="434BA1E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апреля 2008 года - штурмовик ИЛ-2 в разобранном виде в сопровождении сотрудников ГАИ доставлен на место установки, собран и подготовлен к монтажу на Постамент. Отличились сотрудники ООО "ЭКСТЕН" - Генеральный директор Уланов Александр Петрович и ООО "Строй Двор" - Генеральный директор Арефьев Дмитрий Евгеньевич..</w:t>
      </w:r>
    </w:p>
    <w:p w14:paraId="478DE7E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апреля 2008 года - штурмовик ИЛ-2 установлен на Постамент 25-ти тонным автокраном предприятия "Экомебель" - Генеральный директор Захаров Николай Иванович, крановщик Корытников Юрий Алексеевич.</w:t>
      </w:r>
    </w:p>
    <w:p w14:paraId="2A06D82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05 мая 2008 года - перед Постаментом установлен в окончательном варианте гранитный камень от скульптуры И.В.Сталина. Общий вес камня 5 тонн, фундамента 3 тонны. Электрики подключили уличные фонари освещения. Администрация города, специалисты ДК "Октябрь" готовят программу открытия Памятника. Аэроклуб имени Чкалова в Борках готовит показательные полёты самолётов и прыжки парашютистов.</w:t>
      </w:r>
    </w:p>
    <w:p w14:paraId="639FD37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08 мая 2008 года - 10-00 - Закончена обшивка опор Постамента. Общий вес металлоконструкций составил 24 тонны в том числе 5 тонн нержавеющего листа и 6 тысяч нержавеющих заклёпок. Общий вес всех элементов Памятника равен 140 тоннам.</w:t>
      </w:r>
    </w:p>
    <w:p w14:paraId="05817BD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Закончено благоустройство территории вокруг Постамента. Сотрудниками МУП "Городское благоустройство" - Генеральный директор Негей Владимир Иванович, уложен готовый зелёный газон, высажены цветы и зелёные насаждения.</w:t>
      </w:r>
    </w:p>
    <w:p w14:paraId="5379A72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Установлена памятная табличка и звезда на гранитный камень. Табличка изготовлена МКБ "Радуга". Звезда изготовлена ООО "Д-Авиа".</w:t>
      </w:r>
    </w:p>
    <w:p w14:paraId="7D0D484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Специалисты ДК "Октябрь" начали монтаж навесов, подключение радиоаппаратуры, драпировку памятного камня с таблицей.</w:t>
      </w:r>
    </w:p>
    <w:p w14:paraId="019B650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15-00 - Всё готово к началу праздничной церемонии открытия Памятника Штурмовику ИЛ-2 № 381417.</w:t>
      </w:r>
    </w:p>
    <w:p w14:paraId="417E7F4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Дальше, как известно, Всё прошло по разработанной программе, сбоев не было. Поставленная задача всеми участниками проекта выполнена.</w:t>
      </w:r>
    </w:p>
    <w:p w14:paraId="2CE67FB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Сегодня, когда наш Штурмовик установлен на Пьедестал, мы констатируем, что это уникальный и единственный Памятник штурмовику ИЛ-2, изготовленному заводом № 381 и возможно из задела деталей, изготовленных у нас на 30-м заводе. Судьба сохранила для нас единственный экземпляр из 270 самолётов данного завода. В то время как за годы войны другими заводами было выпущено 35884 экземпляров штурмовиков различных модификаций.</w:t>
      </w:r>
    </w:p>
    <w:p w14:paraId="21BDA2F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Территория современной Дубны оказалась тесно связана с серийным производством бронированных штурмовиков ИЛ-2. Как могучая русская река Волга берёт своё начало от простого родника, так и производство самого массового самолёта Второй Мировой войны началось у нас на 30-м заводе. Далее исторические хитросплетения происходили следующим образом.</w:t>
      </w:r>
    </w:p>
    <w:p w14:paraId="032276C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декабря 1940 года 30-й завод в посёлке Иваньково, не изготовивший к тому времени ни одного самолёта из-за отсутствия бронекорпусов, получил приказ НКАП передать весь задел деталей и два комплекта технологической оснастки для производства штурмовиков БШ-2 на завод № 381 в г.Ленинград. Для справки, первые пять бронекорпусов для одноместных штурмовиков были изготовлены на заводе имени Орджоникидзе в подмосковном г. Подольске только к 15 февраля 1941 года.</w:t>
      </w:r>
    </w:p>
    <w:p w14:paraId="5C33E3A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1941 году завод № 381 изготовил всего 27 штурмовиков. Уже в июле 1941 года он был эвакуирован из г.Ленинграда в г.Нижний Тагил на Уралвагонзавод. За 1942 и первую половину 1943 года он изготовил мелкими сериями ещё 243 самолёта ИЛ-2. В 1943 году он был перебазирован в г.Москву и производил истребители ЛА-5, потом ЛА-7. После войны завод № 381 изготавливал образцы новых самолётов ЛА-150, И-250, И-310 (будущий МИГ-15) и др. В 1950 году завод № 381 был расформирован и передан опять же заводу № 30 в г. Москве.</w:t>
      </w:r>
    </w:p>
    <w:p w14:paraId="4DB2117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Уникальность штурмовиков ИЛ-2, серийное производство которых началось у нас на 30-ом заводе, а потом на 381-ом, состоит в том, что они имели расположение пушек ШВАК-20 ближе к оси самолёта, а пулемёты ШКАС-7,62 дальше. Такое расположение пушек и пулемётов повышало точность стрельбы на 50 процентов по сравнению со штурмовиками других заводов-изготовителей, у которых расположение пушек и пулемётов было как раз наоборот. На этом основании можно сделать простой вывод о том, что Объединённый Институт Ядерных исследований, город Дубна, ставший Наукоградом, и Особая Экономическая Зона технико-внедренческого типа образовались здесь, не просто так, а в силу исторической неизбежности. Если в 1940 году нашим предкам ума хватило правильно расположить пушки и пулемёты, то и в наше время их потомки себя не посрамят и найдут правильные решения (11709).</w:t>
      </w:r>
    </w:p>
    <w:p w14:paraId="43557DEA"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1CC58DE"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577A14D7" w14:textId="77777777" w:rsidR="00531570" w:rsidRPr="00D03F3E" w:rsidRDefault="00531570" w:rsidP="00D03F3E">
      <w:pPr>
        <w:pStyle w:val="Iauiue"/>
        <w:jc w:val="both"/>
        <w:rPr>
          <w:iCs/>
          <w:color w:val="000000" w:themeColor="text1"/>
          <w:sz w:val="16"/>
          <w:szCs w:val="16"/>
        </w:rPr>
      </w:pPr>
    </w:p>
    <w:p w14:paraId="017E4DE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7 по 21 мая 1943 в НИИ ВВС проходили контрольные гос. испытания Ил-2 N 2067 производства 30 завода. Прошел неудовлетворительно из-за потери скорости на 12-19 км/час и большого количества дефектов, затрудняющих эксплуатацию (1778,271).</w:t>
      </w:r>
    </w:p>
    <w:p w14:paraId="6580646C" w14:textId="77777777" w:rsidR="00531570" w:rsidRPr="00D03F3E" w:rsidRDefault="00531570" w:rsidP="00D03F3E">
      <w:pPr>
        <w:pStyle w:val="Iauiue"/>
        <w:jc w:val="both"/>
        <w:rPr>
          <w:color w:val="000000" w:themeColor="text1"/>
          <w:sz w:val="16"/>
          <w:szCs w:val="16"/>
        </w:rPr>
      </w:pPr>
    </w:p>
    <w:p w14:paraId="09996F9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 мая 1943 А.Кузнецов писал дир. завода 22 Окулову:</w:t>
      </w:r>
    </w:p>
    <w:p w14:paraId="5E5A7F1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связи с улучшением работы завода 203 установку РПК-10 начиная с 15 мая с.г. производить на каждом 2-м выпускаемом Пе-2." (1767,111).</w:t>
      </w:r>
    </w:p>
    <w:p w14:paraId="50CA9EFF" w14:textId="77777777" w:rsidR="00531570" w:rsidRPr="00D03F3E" w:rsidRDefault="00531570" w:rsidP="00D03F3E">
      <w:pPr>
        <w:pStyle w:val="Iauiue"/>
        <w:jc w:val="both"/>
        <w:rPr>
          <w:color w:val="000000" w:themeColor="text1"/>
          <w:sz w:val="16"/>
          <w:szCs w:val="16"/>
        </w:rPr>
      </w:pPr>
    </w:p>
    <w:p w14:paraId="0842905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 мая 1943 года директор Тракторного завода Эпштейн писал письмо зам. председателя СНК Молотову</w:t>
      </w:r>
    </w:p>
    <w:p w14:paraId="7CA7AB5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Вопреки распоряжению СНК от 28 апреля 1943 года № 8615-р о передаче завода № 328 Владимирскому тракторному заводу, зам. наркома авиапрома Кузнецов дал директору распоряжение завод не передавать (8914).</w:t>
      </w:r>
    </w:p>
    <w:p w14:paraId="476658F1" w14:textId="77777777" w:rsidR="00531570" w:rsidRPr="00D03F3E" w:rsidRDefault="00531570" w:rsidP="00D03F3E">
      <w:pPr>
        <w:pStyle w:val="Iauiue"/>
        <w:jc w:val="both"/>
        <w:rPr>
          <w:color w:val="000000" w:themeColor="text1"/>
          <w:sz w:val="16"/>
          <w:szCs w:val="16"/>
        </w:rPr>
      </w:pPr>
    </w:p>
    <w:p w14:paraId="3C6EF21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1943 г. Приказом НКАП № 277с для размещения НИСО были выделены помещения филиала завода № 482 НКАП, а старые помещения отданы в жилфонд НКАП.</w:t>
      </w:r>
    </w:p>
    <w:p w14:paraId="074A1C5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Приказом № 377с от 25.06.1943г. в НИСО в полном составе влито ОКБ завода № 456 НКАП гл. конструктора М.Ф. Поликарпова по антиобледенителям и аппаратуре обогрева и жизнеобеспечения кабин.</w:t>
      </w:r>
    </w:p>
    <w:p w14:paraId="412E3A7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579с от 1.10.1943г. при институте образована летная лаборатория с базированием на аэродроме завода № 482 НКАП на Ходынке. Далее в распоряжение НИСО была передана часть помещений завода № 81</w:t>
      </w:r>
    </w:p>
    <w:p w14:paraId="25854FD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НКАП (два ангара на Ходынке), куда была переведена ЛИС НИСО (приказ № 494с от 21.12.1945г.). В 08.1946г. один ангар передан обратно вновь образованному заводу № 81 МАП.</w:t>
      </w:r>
    </w:p>
    <w:p w14:paraId="065544A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1944г. создан универсальный регулятор температуры авиамоторов УРТ-НИСО.</w:t>
      </w:r>
    </w:p>
    <w:p w14:paraId="10366D3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Приказом № 179сс от 28.02.1946г. на НИСО возложены работы по широкому кругу оборудования: авиационным радио- и </w:t>
      </w:r>
      <w:r w:rsidRPr="00D03F3E">
        <w:rPr>
          <w:rFonts w:ascii="Times New Roman" w:hAnsi="Times New Roman"/>
          <w:color w:val="000000" w:themeColor="text1"/>
          <w:sz w:val="16"/>
          <w:szCs w:val="16"/>
          <w:lang w:val="en-US"/>
        </w:rPr>
        <w:t>PJI</w:t>
      </w:r>
      <w:r w:rsidRPr="00D03F3E">
        <w:rPr>
          <w:rFonts w:ascii="Times New Roman" w:hAnsi="Times New Roman"/>
          <w:color w:val="000000" w:themeColor="text1"/>
          <w:sz w:val="16"/>
          <w:szCs w:val="16"/>
        </w:rPr>
        <w:t>-приборам, телемеханике, высотному оборудованию, автоматике управления самолетом и оружием. Проводились работы по оборудованию Як-9 системой телеуправления (1948-49г.), испытания Ту-2 с аппаратурой наведения. Заключения по радиотехническим объектам и антеннам.</w:t>
      </w:r>
    </w:p>
    <w:p w14:paraId="1308AE9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1952г. в составе института действовала лаборатория навигационных приборов. Велась разработка автоматического секстанта («астроориентатора») для дальней авиации.</w:t>
      </w:r>
    </w:p>
    <w:p w14:paraId="4F1DFDD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1955г. НИСО передан из 7ГУ в 11ГУ МАП.</w:t>
      </w:r>
    </w:p>
    <w:p w14:paraId="4CA0030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Воссоздан в 1982г. как НИИАО (авиационного оборудования) из филиала ЛИИ.</w:t>
      </w:r>
    </w:p>
    <w:p w14:paraId="31A1599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по электрооборудованию для РКТ.</w:t>
      </w:r>
    </w:p>
    <w:p w14:paraId="15F7EB1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(1930-е)- Л.Ф. Иванов, (-23.01.1937г.)- Н.Г. Кильянов, (23.01-28.06.1937г.)- Г.В. Коренев, (7.07.1937г.)- Измаилов, (8.07.1937-2.02.1938г.)- И.А. Ткачев, (2.02-10.1938г.-)- Г.С. Игошин, М.О. Березин, (1941)- Фрадкин, (1942г.-)- г Н.И. Петров. Начальник (1943; -1945-46г.-)- Н.И. Петров, А.Ф. Фаломеев, (до 1944г.)- Г.А. Левин. И.О. начальника (07.1944г.)- Н.Д. Рязанцев.</w:t>
      </w:r>
    </w:p>
    <w:p w14:paraId="6302083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(1955г.)- Н.Д. Рязанцев.</w:t>
      </w:r>
    </w:p>
    <w:p w14:paraId="6002681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(1930-е)- Г.А. Левин, (1947г.-)- Н.Д. Рязанцев.</w:t>
      </w:r>
    </w:p>
    <w:p w14:paraId="576138F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Руководитель ОКБ - А.С. Абрамов.</w:t>
      </w:r>
    </w:p>
    <w:p w14:paraId="47D23A8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сектора (-1937г.)- Л.М. Кофман (11982).</w:t>
      </w:r>
    </w:p>
    <w:p w14:paraId="671D64F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DB6B8C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1943 г. помещения филиала завода № 482 в Москве. Приказом № 277с переданы под размещение НИСО (11982).</w:t>
      </w:r>
    </w:p>
    <w:p w14:paraId="15DBD030"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CCE7AE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1943 г. приказом № 276с завод № 453 в соответствии с пост. ГКО № 3218с от 21.04.1943 г. Завод № 453 НКАП /г. Москва Тушино/ был передан из 6ГУ в систему Треста «Оргавиапром». Далее по приказу № 459с от 31.07.1943 г. на заводе началась организация производства специнструмента и приспособлений, и завод реорганизован в филиал завода № 165 НКАП. С завода № 165 из Куйбышева сюда для укрепления производства переведена группа рабочих и ИТР (120 чел.). В том же году на площадку филиала из Куйбышева переведен завод № 165 НКАП (11982).</w:t>
      </w:r>
    </w:p>
    <w:p w14:paraId="084DFC56"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2D631DB"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7-го мая 1943 поступило телеграфное распоряжение об эвакуации завода № 600 в Урумчи. 12 августа 1943 г. директор завода </w:t>
      </w:r>
      <w:r w:rsidRPr="00D03F3E">
        <w:rPr>
          <w:rFonts w:ascii="Times New Roman" w:hAnsi="Times New Roman"/>
          <w:color w:val="000000" w:themeColor="text1"/>
          <w:sz w:val="16"/>
          <w:szCs w:val="16"/>
          <w:lang w:val="en-US"/>
        </w:rPr>
        <w:t>B</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C</w:t>
      </w:r>
      <w:r w:rsidRPr="00D03F3E">
        <w:rPr>
          <w:rFonts w:ascii="Times New Roman" w:hAnsi="Times New Roman"/>
          <w:color w:val="000000" w:themeColor="text1"/>
          <w:sz w:val="16"/>
          <w:szCs w:val="16"/>
        </w:rPr>
        <w:t>. Еськов докладывал наркому А.И. Шахурину о ходе эвакуации завода:</w:t>
      </w:r>
    </w:p>
    <w:p w14:paraId="5E436464"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основании Вашего телеграфного распоряжения от 7-го мая 1943 года, завод не</w:t>
      </w:r>
      <w:r w:rsidRPr="00D03F3E">
        <w:rPr>
          <w:rFonts w:ascii="Times New Roman" w:hAnsi="Times New Roman"/>
          <w:color w:val="000000" w:themeColor="text1"/>
          <w:sz w:val="16"/>
          <w:szCs w:val="16"/>
        </w:rPr>
        <w:softHyphen/>
        <w:t>медленно приступил к демонтажу и упаковке оборудования в последовательности, ука</w:t>
      </w:r>
      <w:r w:rsidRPr="00D03F3E">
        <w:rPr>
          <w:rFonts w:ascii="Times New Roman" w:hAnsi="Times New Roman"/>
          <w:color w:val="000000" w:themeColor="text1"/>
          <w:sz w:val="16"/>
          <w:szCs w:val="16"/>
        </w:rPr>
        <w:softHyphen/>
        <w:t>занной Вами.</w:t>
      </w:r>
    </w:p>
    <w:p w14:paraId="5A6F3541"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 1-го июня с.г. полностью был произведён демонтаж оборудования основного про</w:t>
      </w:r>
      <w:r w:rsidRPr="00D03F3E">
        <w:rPr>
          <w:rFonts w:ascii="Times New Roman" w:hAnsi="Times New Roman"/>
          <w:color w:val="000000" w:themeColor="text1"/>
          <w:sz w:val="16"/>
          <w:szCs w:val="16"/>
        </w:rPr>
        <w:softHyphen/>
        <w:t>изводства и подготовлен инструмент для отправки в Советский Союз.</w:t>
      </w:r>
    </w:p>
    <w:p w14:paraId="775AF226"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июня м[еся]ца произведён демонтаж и упаковка общезаводского оборудо</w:t>
      </w:r>
      <w:r w:rsidRPr="00D03F3E">
        <w:rPr>
          <w:rFonts w:ascii="Times New Roman" w:hAnsi="Times New Roman"/>
          <w:color w:val="000000" w:themeColor="text1"/>
          <w:sz w:val="16"/>
          <w:szCs w:val="16"/>
        </w:rPr>
        <w:softHyphen/>
        <w:t>вания, а также одновременно производилась погрузка и отправка имущества завода...</w:t>
      </w:r>
    </w:p>
    <w:p w14:paraId="77089F73"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и начале июня м[еся]цев с завода была направлена группа работников завода, имеющих заграничные паспорта в гор. Алма-Ата и ст. Сары-Озек. Остальные работни</w:t>
      </w:r>
      <w:r w:rsidRPr="00D03F3E">
        <w:rPr>
          <w:rFonts w:ascii="Times New Roman" w:hAnsi="Times New Roman"/>
          <w:color w:val="000000" w:themeColor="text1"/>
          <w:sz w:val="16"/>
          <w:szCs w:val="16"/>
        </w:rPr>
        <w:softHyphen/>
        <w:t>ки в течение мая и июня месяцев были заняты на демонтаже оборудования и упаковке заводского имущества.</w:t>
      </w:r>
    </w:p>
    <w:p w14:paraId="20DA0487"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Вашего указания об эвакуации завода заводской транспорт немедленно при</w:t>
      </w:r>
      <w:r w:rsidRPr="00D03F3E">
        <w:rPr>
          <w:rFonts w:ascii="Times New Roman" w:hAnsi="Times New Roman"/>
          <w:color w:val="000000" w:themeColor="text1"/>
          <w:sz w:val="16"/>
          <w:szCs w:val="16"/>
        </w:rPr>
        <w:softHyphen/>
        <w:t>ступил к перевозкам оборудования и работников в Советский Союз.</w:t>
      </w:r>
    </w:p>
    <w:p w14:paraId="66EC6B5C"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25-го мая с.г. приступила к вывозке оборудования воинская часть 8285, которая до 12 июля подала под заводской груз 1108 трёхтонных и пятитонных автомашин.</w:t>
      </w:r>
    </w:p>
    <w:p w14:paraId="16DF8ABB"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12 июля, в основном, было вывезено всё заводское имущество, исключая тяжело</w:t>
      </w:r>
      <w:r w:rsidRPr="00D03F3E">
        <w:rPr>
          <w:rFonts w:ascii="Times New Roman" w:hAnsi="Times New Roman"/>
          <w:color w:val="000000" w:themeColor="text1"/>
          <w:sz w:val="16"/>
          <w:szCs w:val="16"/>
        </w:rPr>
        <w:softHyphen/>
        <w:t>весы и длинномеры, которые до сего времени не вывозит воинская часть № 8285 (15811).</w:t>
      </w:r>
    </w:p>
    <w:p w14:paraId="18D9E767" w14:textId="77777777" w:rsidR="00F7391D" w:rsidRPr="00D03F3E" w:rsidRDefault="00F7391D" w:rsidP="00D03F3E">
      <w:pPr>
        <w:spacing w:after="0" w:line="240" w:lineRule="auto"/>
        <w:jc w:val="both"/>
        <w:rPr>
          <w:rFonts w:ascii="Times New Roman" w:hAnsi="Times New Roman"/>
          <w:color w:val="000000" w:themeColor="text1"/>
          <w:sz w:val="16"/>
          <w:szCs w:val="16"/>
        </w:rPr>
      </w:pPr>
    </w:p>
    <w:p w14:paraId="7A8F081F" w14:textId="77777777" w:rsidR="00E32537" w:rsidRPr="00D03F3E" w:rsidRDefault="00E3253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1943 г.: поступило неожиданное телеграфное распоряжение об эвакуации завода № 600 из Урумчи (19006).</w:t>
      </w:r>
    </w:p>
    <w:p w14:paraId="5C3785D2" w14:textId="77777777" w:rsidR="00E32537" w:rsidRPr="00D03F3E" w:rsidRDefault="00E32537" w:rsidP="00D03F3E">
      <w:pPr>
        <w:spacing w:after="0" w:line="240" w:lineRule="auto"/>
        <w:jc w:val="both"/>
        <w:rPr>
          <w:rFonts w:ascii="Times New Roman" w:hAnsi="Times New Roman"/>
          <w:color w:val="000000" w:themeColor="text1"/>
          <w:sz w:val="16"/>
          <w:szCs w:val="16"/>
        </w:rPr>
      </w:pPr>
    </w:p>
    <w:p w14:paraId="5915AD2B"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2FA12955" w14:textId="77777777" w:rsidR="00531570" w:rsidRPr="00D03F3E" w:rsidRDefault="00531570" w:rsidP="00D03F3E">
      <w:pPr>
        <w:pStyle w:val="Iauiue"/>
        <w:jc w:val="both"/>
        <w:rPr>
          <w:iCs/>
          <w:color w:val="000000" w:themeColor="text1"/>
          <w:sz w:val="16"/>
          <w:szCs w:val="16"/>
        </w:rPr>
      </w:pPr>
    </w:p>
    <w:p w14:paraId="54BB6C2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 мая 1943 Гороховецкий полигон выдал отчет, что по устранению неполадок 122-мм гаубица Д-1 может быть рекомендована к принятию на вооружение (3861).</w:t>
      </w:r>
    </w:p>
    <w:p w14:paraId="35302E6B" w14:textId="77777777" w:rsidR="00531570" w:rsidRPr="00D03F3E" w:rsidRDefault="00531570" w:rsidP="00D03F3E">
      <w:pPr>
        <w:pStyle w:val="Iauiue"/>
        <w:jc w:val="both"/>
        <w:rPr>
          <w:color w:val="000000" w:themeColor="text1"/>
          <w:sz w:val="16"/>
          <w:szCs w:val="16"/>
        </w:rPr>
      </w:pPr>
    </w:p>
    <w:p w14:paraId="14717F1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1943 вышло Постановление ГКО № 3296 О ремонте трофейных самоходных артиллерийских установок.РГАНИР, Фонд ГКО, д. 113, лл. 174 (11012).</w:t>
      </w:r>
    </w:p>
    <w:p w14:paraId="61253C0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C7C5B2A" w14:textId="77777777" w:rsidR="00E32537" w:rsidRPr="00D03F3E" w:rsidRDefault="00E3253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состоянию на 7 мая 1943 года на заводе №183 уже началось изготовление Т-43, как это указывалось в документах, установочной серии. Судя по переписке, речь шла о трёх танках — по крайней мере, один корпус уже был сварен, а ещё два ожидали закладки. Также на одну машину имелся комплект механизмов и деталей, исключая башню, её погон и крышки бортовых передач. Впрочем, на практике в мае ни одного Т-43 изготовлено не было, а их число сократилось до двух. 29 мая И.М. Зальцман подписал приказ по НКТП №307с о проведении совместных испытаниях Т-34 и Т-43. Выйти на них опытные машины должны были 10 июня, при этом предполагалось, что они пройдут маршрутом Нижний Тагил —Москва, преодолев 2000-2200 км не более чем за 20 дней (18587).</w:t>
      </w:r>
    </w:p>
    <w:p w14:paraId="79C241CE" w14:textId="77777777" w:rsidR="00E32537" w:rsidRPr="00D03F3E" w:rsidRDefault="00E32537" w:rsidP="00D03F3E">
      <w:pPr>
        <w:spacing w:after="0" w:line="240" w:lineRule="auto"/>
        <w:jc w:val="both"/>
        <w:rPr>
          <w:rFonts w:ascii="Times New Roman" w:hAnsi="Times New Roman"/>
          <w:color w:val="000000" w:themeColor="text1"/>
          <w:sz w:val="16"/>
          <w:szCs w:val="16"/>
        </w:rPr>
      </w:pPr>
    </w:p>
    <w:p w14:paraId="2C637D3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1943 вышло Постановление ГКО № 3297 Об учреждении переходящего Красного знамени Государственного Комитета Обороны для заводов Наркомсудпрома - победителей во Всесоюзном социалистическом соревновании.РГАНИР, Фонд ГКО, д. 113, лл. 175 (11012).</w:t>
      </w:r>
    </w:p>
    <w:p w14:paraId="7FC85B4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463D0D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1943 вышло Распоряжение ГКО № 3298. О временной передаче от НКО 50 узкоколейных платформ и 5 паровозов НКэлектростанций.РГАНИР, Фонд ГКО, д. 113, лл. 176 (11012).</w:t>
      </w:r>
    </w:p>
    <w:p w14:paraId="444FE51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8141EB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1943 вышло Постановление ГКО № 3299 Об учреждении двух переходящих Красных знамен ГКО и знамени ВЦСПС и НКХП для предприятий - победителей во Всесоюзном соцсоревновании.РГАНИР, Фонд ГКО, д. 113, лл. 177 (11012).</w:t>
      </w:r>
    </w:p>
    <w:p w14:paraId="46EAFBEA"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FCF2B0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1943 вышло Постановление ГКО № 3300 О плане распределения электроэнергии на май 1943 года.РГАНИР, Фонд ГКО, д. 113, лл. 178-179, 180-212 (11012).</w:t>
      </w:r>
    </w:p>
    <w:p w14:paraId="09B1ADE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068C63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1943 вышло Постановление ГКО № 3301 О плане распределения нефтепродуктов на май 1943 года.РГАНИР, Фонд ГКО, д. 114, лл. 1-2, 3-21 (11012).</w:t>
      </w:r>
    </w:p>
    <w:p w14:paraId="4E89034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94F5F5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1943 вышло Постановление ГКО № 3302 О плане распределения угля на май 1943 года.РГАНИР, Фонд ГКО, д. 114, лл. 22-23, 24-50 (11012).</w:t>
      </w:r>
    </w:p>
    <w:p w14:paraId="750A26D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181A90E"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7 мая 1943 вышло Постановление ГКО № 3303 О мероприятиях по улучшению работы Костромской ТЭЦ Наркомтекстиля СССР. (7104, 51-53,54-55).</w:t>
      </w:r>
    </w:p>
    <w:p w14:paraId="063F3D8E" w14:textId="77777777" w:rsidR="00531570" w:rsidRPr="00D03F3E" w:rsidRDefault="00531570" w:rsidP="00D03F3E">
      <w:pPr>
        <w:pStyle w:val="Iauiue"/>
        <w:tabs>
          <w:tab w:val="left" w:pos="11199"/>
        </w:tabs>
        <w:jc w:val="both"/>
        <w:rPr>
          <w:color w:val="000000" w:themeColor="text1"/>
          <w:sz w:val="16"/>
          <w:szCs w:val="16"/>
        </w:rPr>
      </w:pPr>
    </w:p>
    <w:p w14:paraId="43291E4B"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7 мая 1943 вышло Постановление ГКО № 3304 О мерах обеспечения нормальной работы электростанций Казэнерго. (7104, 56-57).</w:t>
      </w:r>
    </w:p>
    <w:p w14:paraId="1B7BF572" w14:textId="77777777" w:rsidR="00531570" w:rsidRPr="00D03F3E" w:rsidRDefault="00531570" w:rsidP="00D03F3E">
      <w:pPr>
        <w:pStyle w:val="Iauiue"/>
        <w:tabs>
          <w:tab w:val="left" w:pos="11199"/>
        </w:tabs>
        <w:jc w:val="both"/>
        <w:rPr>
          <w:color w:val="000000" w:themeColor="text1"/>
          <w:sz w:val="16"/>
          <w:szCs w:val="16"/>
        </w:rPr>
      </w:pPr>
    </w:p>
    <w:p w14:paraId="7D83D3D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1943 вышло Постановление ГКО № 3305 О дополнительных условиях Всесоюзного социалистического соревнования предприятий Наркомата рыбной промышленности СССР и рыболовецких колхозов.РГАНИР, Фонд ГКО, д. 114, лл. 58-60 (11012).</w:t>
      </w:r>
    </w:p>
    <w:p w14:paraId="4563504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E0C686D"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7 мая 1943 вышло Постановление ГКО № 3308 О передаче Украинского республиканского треста "Укркоммунэнерго" в систему Главюжэнерго НКЭС СССР. (7104, 63-65).</w:t>
      </w:r>
    </w:p>
    <w:p w14:paraId="0D0ED7E5" w14:textId="77777777" w:rsidR="00531570" w:rsidRPr="00D03F3E" w:rsidRDefault="00531570" w:rsidP="00D03F3E">
      <w:pPr>
        <w:pStyle w:val="Iauiue"/>
        <w:tabs>
          <w:tab w:val="left" w:pos="11199"/>
        </w:tabs>
        <w:jc w:val="both"/>
        <w:rPr>
          <w:color w:val="000000" w:themeColor="text1"/>
          <w:sz w:val="16"/>
          <w:szCs w:val="16"/>
        </w:rPr>
      </w:pPr>
    </w:p>
    <w:p w14:paraId="0D7D2BCF"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7 мая 1943 вышло Постановление ГКО № 3310 О плане производства и поставок передвижных ремонтных мастерских типов А, Б, ААРМ и ПАРМ-1 во II квартале 1943 года. (7104, 67-68,69-77).</w:t>
      </w:r>
    </w:p>
    <w:p w14:paraId="16065FD8" w14:textId="77777777" w:rsidR="00531570" w:rsidRPr="00D03F3E" w:rsidRDefault="00531570" w:rsidP="00D03F3E">
      <w:pPr>
        <w:pStyle w:val="Iauiue"/>
        <w:tabs>
          <w:tab w:val="left" w:pos="11199"/>
        </w:tabs>
        <w:jc w:val="both"/>
        <w:rPr>
          <w:color w:val="000000" w:themeColor="text1"/>
          <w:sz w:val="16"/>
          <w:szCs w:val="16"/>
        </w:rPr>
      </w:pPr>
    </w:p>
    <w:p w14:paraId="0D97AB6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1943 вышло Постановление ГКО № 3311 О подготовке рабочих кадров для предприятий и строительств цветной металлургии.РГАНИР, Фонд ГКО, д. 114, лл. 78-81, 82-90 (11012).</w:t>
      </w:r>
    </w:p>
    <w:p w14:paraId="0E9832C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FE14014"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7F643127" w14:textId="77777777" w:rsidR="00531570" w:rsidRPr="00D03F3E" w:rsidRDefault="00531570" w:rsidP="00D03F3E">
      <w:pPr>
        <w:pStyle w:val="Iauiue"/>
        <w:jc w:val="both"/>
        <w:rPr>
          <w:iCs/>
          <w:color w:val="000000" w:themeColor="text1"/>
          <w:sz w:val="16"/>
          <w:szCs w:val="16"/>
        </w:rPr>
      </w:pPr>
    </w:p>
    <w:p w14:paraId="41BEA8F8"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в 1943 году утреннее сообщение Совинформбюро:</w:t>
      </w:r>
    </w:p>
    <w:p w14:paraId="4A64F90D"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7 мая на Кубани, северо-восточнее Новороссийска, наши войска продолжали вести бои с противником. На других участках фронта ничего существенного не произошло.</w:t>
      </w:r>
    </w:p>
    <w:p w14:paraId="1EB34217"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северо-восточнее Новороссийска, советские артиллеристы, поддерживая действия пехоты, уничтожили 2 немецких танка, подавили огонь 20 артиллерийских батарей и более 30 пулемётных точек, разрушили много вражеских дзотов и блиндажей. Противник несёт большие потери в живой силе. В одном населённом пункте, занятом советским подразделением, подсчитано свыше 350 вражеских трупов. В другом населённом пункте немцы оставили до 200 раненых солдат и офицеров.</w:t>
      </w:r>
    </w:p>
    <w:p w14:paraId="5DFB2214"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Лётчик майор т. Семенишин в одном воздушном бою сбил два немецких истребителя «Мессершмитт-109». Старший лейтенант т. Дрыгин сбил два «Юнкерса-88».</w:t>
      </w:r>
    </w:p>
    <w:p w14:paraId="06573C2D"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Калининском фронте группа разведчиков под командованием старшего лейтенанта Полякова пробралась в расположение противника и уничтожила находившихся в блиндаже 10 гитлеровцев. Наши бойцы, захватив пленных, вернулись в свою часть.</w:t>
      </w:r>
    </w:p>
    <w:p w14:paraId="5BAC34D5"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Льгова наши артиллеристы уничтожили склад боеприпасов противника, разрушили 3 блиндажа и 2 дзота, подавили огонь трёх миномётных батарей и потопили на переправе 4 лодки с немецкими солдатами.</w:t>
      </w:r>
    </w:p>
    <w:p w14:paraId="7873A8D7"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снайперы Н-ской части за две недели истребили 238 немецких солдат и офицеров. Снайпер тов. Калашников уничтожил 18 гитлеровцев, снайпер т. Уваров — 16.</w:t>
      </w:r>
    </w:p>
    <w:p w14:paraId="08213BAA"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Молодые снайперы тт. Звягинцев, Страшный, Муратов и Руссинович за 3 дня истребили 20 немцев.</w:t>
      </w:r>
    </w:p>
    <w:p w14:paraId="7DFAB076"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огнём нашей артиллерии и разведывательных групп уничтожено до роты немецкой пехоты. Артиллеристы Н-ской части разрушили 3 немецких дзота, 5 землянок и подавили несколько огневых точек противника.</w:t>
      </w:r>
    </w:p>
    <w:p w14:paraId="1550988E"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Партизанский отряд, действующий в Полесской области, совершил нападение на немецкий гарнизон. Партизаны убили 70 гитлеровцев. Захвачены трофеи: 3 пулемёта, миномёт, 30 винтовок, много мин и патронов. Захвачено также 120 голов крупного рогатого скота, отнятого немцами у местных жителей. Скот возвращён населению. В этот же день группа партизан взорвала депо узкоколейной железной дороги, уничтожила ремонтную мастерскую и 3 паровоза.</w:t>
      </w:r>
    </w:p>
    <w:p w14:paraId="4FF93276"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солдат 35 полка 25 немецкой мотодивизии поляк Бронислав Шепанский рассказал: «Немцы установили в Польше режим разнузданного и кровавого террора. Они отобрали у многих крестьян землю и имущество. Сотни тысяч поляков убиты или брошены в концлагеря. Я проживал в Грудзендзском уезде. В моей деревне всех крестьян-поляков лишили земли. В их домах поселились немцы. Поляки были оставлены у немецких поселенцев в качестве батраков. Ксендзов — Беляковского из Завады, Садовского из Шенвальда гитлеровцы увезли в концлагерь в Дахау.</w:t>
      </w:r>
    </w:p>
    <w:p w14:paraId="2611BF85"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 видел, как немцы сгоняли поляков с родных насиженных мест. Это было зимою в Ласине. Ночью эсэсовцы врывались в квартиры, выбрасывали жителей на улицу, а затем угоняли их в концлагерь. Палач Гитлер залил Польшу кровью. Польский народ претерпел много горя и страданий от гитлеровцев, и я считал для себя величайшим позором служить в немецкой армии и воевать за немцев» (14884).</w:t>
      </w:r>
    </w:p>
    <w:p w14:paraId="11ED2550" w14:textId="77777777" w:rsidR="00F7391D" w:rsidRPr="00D03F3E" w:rsidRDefault="00F7391D" w:rsidP="00D03F3E">
      <w:pPr>
        <w:spacing w:after="0" w:line="240" w:lineRule="auto"/>
        <w:jc w:val="both"/>
        <w:rPr>
          <w:rFonts w:ascii="Times New Roman" w:hAnsi="Times New Roman"/>
          <w:color w:val="000000" w:themeColor="text1"/>
          <w:sz w:val="16"/>
          <w:szCs w:val="16"/>
        </w:rPr>
      </w:pPr>
    </w:p>
    <w:p w14:paraId="51BD394A"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в 1943 году вечернее сообщение Совинформбюро:</w:t>
      </w:r>
    </w:p>
    <w:p w14:paraId="634BB3CE"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течение 7 мая на Кубани, северо-восточнее Новороссийска, наши войска продолжали вести наступательные бои, артиллерийским огнём и бомбардировкой с воздуха разрушали укрепления противника, выбивали немцев из сильно укреплённых позиций. В воздушных боях сбито 27 самолётов противника. Наши потери 11 самолётов.</w:t>
      </w:r>
    </w:p>
    <w:p w14:paraId="6A3DE390"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ничего существенного не произошло.</w:t>
      </w:r>
    </w:p>
    <w:p w14:paraId="63500392"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мая частями нашей авиации на различных участках фронта уничтожено не менее 5 немецких танков, до 200 автомашин с войсками и грузами, подавлен огонь 17 артиллерийских и 2 миномётных батарей, взорвано 5 складов боеприпасов и 5 складов с горючим, потоплено два сторожевых катера, рассеяно и частью уничтожено до батальона пехоты противника.</w:t>
      </w:r>
    </w:p>
    <w:p w14:paraId="0FA5E656"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северо-восточнее Новороссийска, наши войска продолжали вести наступательные бои. Огнём нашей артиллерии разрушены десятки немецких дзотов и оборонительных сооружений. Бойцы Н-ского соединения уничтожили до 700 немецких солдат и офицеров. Танковое подразделение под командованием тов. Кавицкого разрушило 6 вражеских дзотов, уничтожило 6 орудий и 20 пулемётных точек, огнём и гусеницами танкисты истребили более роты гитлеровцев.</w:t>
      </w:r>
    </w:p>
    <w:p w14:paraId="6A82331A"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Юго-западнее Великих Лук бойцы Н-ской части вели бои с противником в целях улучшения своих позиций. Нашими подразделениями занято несколько населённых пунктов. Захвачены пленные и трофеи. На другом участке артиллеристы подразделения, где командиром тов. Михеев, огневым валетом уничтожила немецкий танк и несколько автомашин с боеприпасами.</w:t>
      </w:r>
    </w:p>
    <w:p w14:paraId="1FEF5FB0"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подразделения под прикрытием артиллерийского огня внезапно атаковали противника, укрепившегося в одном хуторе. Подразделениепод командованием лейтенанта Изотова ворвалось на северо-восточную окраинухутора. Другая группа бойцов под командованием младшего лейтенанта Козлова пробилась в тыл противника и зашла в хутор с юго-запада. В результате боя наши подразделения уничтожили несколько десятков немцев и заняли хутор.</w:t>
      </w:r>
    </w:p>
    <w:p w14:paraId="3D36A45A"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Чугуева наш разведывательный отряд переправился через реку Северный Донец и напал на немецких солдат, производивших оборонительные работы. Уничтожив 35 гитлеровцев и захватив пленных, наши разведчики вернулись в свою часть.</w:t>
      </w:r>
    </w:p>
    <w:p w14:paraId="744BDA1F"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происходила перестрелка с противником. Наши артиллеристы разрушили 22 вражеских дзота, 7 блиндажей, уничтожили 4 орудия, взорвали склад с боеприпасами и потопили на переправе 5 лодок с немецкими солдатами.</w:t>
      </w:r>
    </w:p>
    <w:p w14:paraId="1CFBD7C4"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Житомирской области, устроил завал на линии железной дороги. Через некоторое время у этого места остановился немецкий эшелон. Советские патриоты ворвались в вагоны и истребили 60 гитлеровцев. Затем партизаны подожгли эшелон и в нескольких местах подорвали железнодорожный путь. В Ровенской области группа партизан совершила налёт на железнодорожную станцию. Уничтожив охрану, партизаны привели в негодность станционные сооружения и пути.</w:t>
      </w:r>
    </w:p>
    <w:p w14:paraId="04914177"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окрестностях г. Курска обнаружено несколько могил, в которых зарыты трупы советских граждан, убитых немцами. На днях в урочище «Солянка» обнаружено 45 трупов жителей, замученных и расстрелянных гитлеровцами. Родственниками опознаны: главный кондуктор станции Курск Стефан Обуховский, жена военнослужащего Ольга Тюленева, начальник пожарной охраны завода Гавриил Беляев, рабочий кожевенного завода Александр Тесленко, пенсионер Александр Гонощвилли, наборщик Василий Кизилов и другие. В местечке Шуклинка обнаружено 77 трупов мирных граждан, среди которых опознаны: крестьянин деревни Букреевка Василий Жиленков, председатель колхоза деревни Мешково Андрей Сергеев, кладовщик Касиновской МТС Пётр Ларин, директор Белягинской МТС Георгий Хорошев, учительница Евдокия Лехтер и трое её детей.» (14884).</w:t>
      </w:r>
    </w:p>
    <w:p w14:paraId="53891BBD" w14:textId="77777777" w:rsidR="00F7391D" w:rsidRPr="00D03F3E" w:rsidRDefault="00F7391D" w:rsidP="00D03F3E">
      <w:pPr>
        <w:spacing w:after="0" w:line="240" w:lineRule="auto"/>
        <w:jc w:val="both"/>
        <w:rPr>
          <w:rFonts w:ascii="Times New Roman" w:hAnsi="Times New Roman"/>
          <w:color w:val="000000" w:themeColor="text1"/>
          <w:sz w:val="16"/>
          <w:szCs w:val="16"/>
        </w:rPr>
      </w:pPr>
    </w:p>
    <w:p w14:paraId="4DFA13A0" w14:textId="77777777" w:rsidR="00E32537" w:rsidRPr="00D03F3E" w:rsidRDefault="00E32537" w:rsidP="00D03F3E">
      <w:pPr>
        <w:pStyle w:val="ae"/>
        <w:spacing w:before="0" w:after="0"/>
        <w:jc w:val="both"/>
        <w:textAlignment w:val="baseline"/>
        <w:rPr>
          <w:color w:val="000000" w:themeColor="text1"/>
          <w:sz w:val="16"/>
          <w:szCs w:val="16"/>
        </w:rPr>
      </w:pPr>
      <w:r w:rsidRPr="00D03F3E">
        <w:rPr>
          <w:color w:val="000000" w:themeColor="text1"/>
          <w:sz w:val="16"/>
          <w:szCs w:val="16"/>
        </w:rPr>
        <w:t>7 мая 1943 утром был нанесен третий массированный удар по четырнадцати немецким аэродромам. На этот раз в налетах приняли участие 330 самолетов, в том числе 98 Ил-2. Но теперь ни на какую внезапность рассчитывать не приходилось. Уже на подходе к цели ударные группы были перехвачены патрульными истребителями люфтваффе и понесли большие потери.</w:t>
      </w:r>
    </w:p>
    <w:p w14:paraId="0DCFC588" w14:textId="77777777" w:rsidR="00E32537" w:rsidRPr="00D03F3E" w:rsidRDefault="00E32537" w:rsidP="00D03F3E">
      <w:pPr>
        <w:pStyle w:val="ae"/>
        <w:spacing w:before="0" w:after="0"/>
        <w:jc w:val="both"/>
        <w:textAlignment w:val="baseline"/>
        <w:rPr>
          <w:color w:val="000000" w:themeColor="text1"/>
          <w:sz w:val="16"/>
          <w:szCs w:val="16"/>
        </w:rPr>
      </w:pPr>
      <w:r w:rsidRPr="00D03F3E">
        <w:rPr>
          <w:color w:val="000000" w:themeColor="text1"/>
          <w:sz w:val="16"/>
          <w:szCs w:val="16"/>
        </w:rPr>
        <w:t>Так, 12 Ил-2 из 58-го и 79-го гв. шап попытались атаковать аэродром Хмелевка. Еще на пути к нему в воздухе появились две группы FW-190A из JG51 «Мёльдерс», сбившие несколько «горбатых». Потом в районе аэродрома по Илам открыла прицельный огонь зенитная артиллерия. В результате организованного удара не получилось, пилоты сбрасывали бомбы неприцельно, кто как мог, фактически по площадям.</w:t>
      </w:r>
    </w:p>
    <w:p w14:paraId="76D9B52A" w14:textId="77777777" w:rsidR="00E32537" w:rsidRPr="00D03F3E" w:rsidRDefault="00E32537" w:rsidP="00D03F3E">
      <w:pPr>
        <w:pStyle w:val="ae"/>
        <w:spacing w:before="0" w:after="0"/>
        <w:jc w:val="both"/>
        <w:textAlignment w:val="baseline"/>
        <w:rPr>
          <w:color w:val="000000" w:themeColor="text1"/>
          <w:sz w:val="16"/>
          <w:szCs w:val="16"/>
        </w:rPr>
      </w:pPr>
      <w:r w:rsidRPr="00D03F3E">
        <w:rPr>
          <w:color w:val="000000" w:themeColor="text1"/>
          <w:sz w:val="16"/>
          <w:szCs w:val="16"/>
        </w:rPr>
        <w:t>Развернувшись к линии фронта, уцелевшие штурмовики летели разрозненными парами и поодиночке. Отбивая атаки «Фокке-Вульфов», их бортстрелки отчаянно палили в разные стороны и быстро израсходовали весь боезапас. А где же все это время были истребители эскорта? Их, как всегда, не оказалось поблизости. Увидев разрывы сотен зенитных снарядов и «Мессершмитты», доблестные летчики-истребители просто не решились снижаться вслед за Ил-2 и в конце концов просто потеряли их из виду. В итоге обратно не вернулся ни один штурмовик!</w:t>
      </w:r>
    </w:p>
    <w:p w14:paraId="19080665" w14:textId="77777777" w:rsidR="00E32537" w:rsidRPr="00D03F3E" w:rsidRDefault="00E32537" w:rsidP="00D03F3E">
      <w:pPr>
        <w:pStyle w:val="ae"/>
        <w:spacing w:before="0" w:after="0"/>
        <w:jc w:val="both"/>
        <w:textAlignment w:val="baseline"/>
        <w:rPr>
          <w:color w:val="000000" w:themeColor="text1"/>
          <w:sz w:val="16"/>
          <w:szCs w:val="16"/>
        </w:rPr>
      </w:pPr>
      <w:r w:rsidRPr="00D03F3E">
        <w:rPr>
          <w:color w:val="000000" w:themeColor="text1"/>
          <w:sz w:val="16"/>
          <w:szCs w:val="16"/>
        </w:rPr>
        <w:t>В дальнейшем этот разгром стал поводом для следствия и разбирательства в военном трибунале. Командование штурмовиков всю вину пыталось свалить на истребителей, а последние, наоборот, на штурмовиков, мол, те шли неправильным курсом, теряли ориентировку и т. п.</w:t>
      </w:r>
    </w:p>
    <w:p w14:paraId="63EA072A" w14:textId="77777777" w:rsidR="00E32537" w:rsidRPr="00D03F3E" w:rsidRDefault="00E32537" w:rsidP="00D03F3E">
      <w:pPr>
        <w:pStyle w:val="ae"/>
        <w:spacing w:before="0" w:after="0"/>
        <w:jc w:val="both"/>
        <w:textAlignment w:val="baseline"/>
        <w:rPr>
          <w:color w:val="000000" w:themeColor="text1"/>
          <w:sz w:val="16"/>
          <w:szCs w:val="16"/>
        </w:rPr>
      </w:pPr>
      <w:r w:rsidRPr="00D03F3E">
        <w:rPr>
          <w:color w:val="000000" w:themeColor="text1"/>
          <w:sz w:val="16"/>
          <w:szCs w:val="16"/>
        </w:rPr>
        <w:t>Чуть менее драматично сложился удар 14 Ил-2 из 218-го шап по аэродрому Большая Куликовка. В 5.22 они вышли на цель и в течение пяти минут сбрасывали на нее осколочные и фугасные бомбы, а также пускали «эрэсы». Впрочем, ни одна из бомб или ракет в цель не попала. На обратном пути, к ужасу экипажей, в небе появились вездесущие немецкие истребители. При этом они напрасно всматривались в небо, надеясь увидеть там свое прикрытие. Пилотов Ла-5 снова не оказалось в нужное время в нужном месте.</w:t>
      </w:r>
    </w:p>
    <w:p w14:paraId="2421B21F" w14:textId="77777777" w:rsidR="00E32537" w:rsidRPr="00D03F3E" w:rsidRDefault="00E32537" w:rsidP="00D03F3E">
      <w:pPr>
        <w:pStyle w:val="ae"/>
        <w:spacing w:before="0" w:after="0"/>
        <w:jc w:val="both"/>
        <w:textAlignment w:val="baseline"/>
        <w:rPr>
          <w:color w:val="000000" w:themeColor="text1"/>
          <w:sz w:val="16"/>
          <w:szCs w:val="16"/>
        </w:rPr>
      </w:pPr>
      <w:r w:rsidRPr="00D03F3E">
        <w:rPr>
          <w:color w:val="000000" w:themeColor="text1"/>
          <w:sz w:val="16"/>
          <w:szCs w:val="16"/>
        </w:rPr>
        <w:t>В ходе первой же атаки была сбита «черная смерть» ведущего первой шестерки капитана Лебедева. Вслед за ней горящими кометами понеслись к земле штурмовики младших лейтенантов Назарова и Соковкина. Еще один Ил-2 получил повреждения и совершил вынужденную посадку в расположении советских войск. Лишь после этого откуда-то возникли «Лавочкины». Поэтому вторая шестерка пострадала меньше. Три машины были повреждены и сели на вынужденную в разных местах уже на своей территории. Потери истребителей прикрытия составили три машины. Таким образом, атакующая группа лишилась в общей сложности десятка самолетов.</w:t>
      </w:r>
    </w:p>
    <w:p w14:paraId="3BBB1D43" w14:textId="77777777" w:rsidR="00E32537" w:rsidRPr="00D03F3E" w:rsidRDefault="00E32537" w:rsidP="00D03F3E">
      <w:pPr>
        <w:pStyle w:val="ae"/>
        <w:spacing w:before="0" w:after="0"/>
        <w:jc w:val="both"/>
        <w:textAlignment w:val="baseline"/>
        <w:rPr>
          <w:color w:val="000000" w:themeColor="text1"/>
          <w:sz w:val="16"/>
          <w:szCs w:val="16"/>
        </w:rPr>
      </w:pPr>
      <w:r w:rsidRPr="00D03F3E">
        <w:rPr>
          <w:color w:val="000000" w:themeColor="text1"/>
          <w:sz w:val="16"/>
          <w:szCs w:val="16"/>
        </w:rPr>
        <w:t>Остальные удары по немецким аэродромам 7 мая тоже прошли неудачно, хотя и не с такими большими потерями. 735-й, 800-й и 820-й шап снова атаковали свои «любимые» аэродромы харьковского аэроузла: Алешки, Сокольники и Рогань. И затем штаб 1-го шак доложил о якобы четырнадцати уничтоженных и двадцати поврежденных самолетах. При этом полки 4-го иак, прикрывавшие штурмовики, лишились девяти Як-1 иЛа-5. Налеты, совершенные 565, 566, 571 и 996-м шап на авиабазы Сещинская и Брянск, также завершились безрезультатно.</w:t>
      </w:r>
    </w:p>
    <w:p w14:paraId="145E708E" w14:textId="77777777" w:rsidR="00E32537" w:rsidRPr="00D03F3E" w:rsidRDefault="00E32537" w:rsidP="00D03F3E">
      <w:pPr>
        <w:pStyle w:val="ae"/>
        <w:spacing w:before="0" w:after="0"/>
        <w:jc w:val="both"/>
        <w:textAlignment w:val="baseline"/>
        <w:rPr>
          <w:color w:val="000000" w:themeColor="text1"/>
          <w:sz w:val="16"/>
          <w:szCs w:val="16"/>
        </w:rPr>
      </w:pPr>
      <w:r w:rsidRPr="00D03F3E">
        <w:rPr>
          <w:color w:val="000000" w:themeColor="text1"/>
          <w:sz w:val="16"/>
          <w:szCs w:val="16"/>
        </w:rPr>
        <w:t>В общей сложности по итогам налетов, предпринятых 7 мая, сталинские авиаторы заявили о 122 уничтоженных на земле немецких самолетах. На самом же деле единственным их достижением стал Не-111Н-16 из II./KG55 «Грайф», поврежденный на аэродроме Сталино-Северный. Этот «успех» принадлежал экипажам 17 Пе-2 из 86-го бап, которые сбросили бомбы с одного захода с высоты 4700 метров. Немцы тоже не остались в долгу, сбив одну пешку и сильно повредив другую.</w:t>
      </w:r>
    </w:p>
    <w:p w14:paraId="0610A991" w14:textId="77777777" w:rsidR="00E32537" w:rsidRPr="00D03F3E" w:rsidRDefault="00E32537" w:rsidP="00D03F3E">
      <w:pPr>
        <w:pStyle w:val="ae"/>
        <w:spacing w:before="0" w:after="0"/>
        <w:jc w:val="both"/>
        <w:textAlignment w:val="baseline"/>
        <w:rPr>
          <w:color w:val="000000" w:themeColor="text1"/>
          <w:sz w:val="16"/>
          <w:szCs w:val="16"/>
        </w:rPr>
      </w:pPr>
      <w:r w:rsidRPr="00D03F3E">
        <w:rPr>
          <w:color w:val="000000" w:themeColor="text1"/>
          <w:sz w:val="16"/>
          <w:szCs w:val="16"/>
        </w:rPr>
        <w:t>В Сещинской, Сталино, Шаталово и Кутейниково получили ранения несколько человек из наземных частей. В то же время жертвами германских зенитчиков и истребителей стали 52 советских самолета, в том числе 27 Ил-2. В то утро самыми результативными снова были пилоты JG51 «Мёльдерс». Фельдфебель Герберт Баройтер из 3-й эскадрильи за тринадцать минут сбил два «цементбомбера» и МиГ-3, фельдфебель Лебер из 2-й эскадрильи за десять минут — два штурмовика и один Ла-5, а командир 11-й эскадрильи обер-лейтенант Адольф Борхерс за четыре минуты — МиГ-3, Ла-5 и Ил-2. На счету же обер-лейтенанта Герберта Эпихардта из штабного звена 1-й группы, лейтенанта Йоахима Бренделя из 2-й эскадрильи и унтер-офицера Отто Гайзера из 10-й эскадрильи было по два Ила.</w:t>
      </w:r>
    </w:p>
    <w:p w14:paraId="4845D912" w14:textId="77777777" w:rsidR="00E32537" w:rsidRPr="00D03F3E" w:rsidRDefault="00E32537" w:rsidP="00D03F3E">
      <w:pPr>
        <w:pStyle w:val="ae"/>
        <w:spacing w:before="0" w:after="0"/>
        <w:jc w:val="both"/>
        <w:textAlignment w:val="baseline"/>
        <w:rPr>
          <w:color w:val="000000" w:themeColor="text1"/>
          <w:sz w:val="16"/>
          <w:szCs w:val="16"/>
        </w:rPr>
      </w:pPr>
      <w:r w:rsidRPr="00D03F3E">
        <w:rPr>
          <w:color w:val="000000" w:themeColor="text1"/>
          <w:sz w:val="16"/>
          <w:szCs w:val="16"/>
        </w:rPr>
        <w:t>Но командующий ВВС Красной армии маршал авиации Новиков и не думал считаться с потерями, следуя известному принципу, что цель оправдывает средства. Опьяненный победными рапортами подчиненных, он в своей директиве от 8 мая сообщал:</w:t>
      </w:r>
    </w:p>
    <w:p w14:paraId="3AA566A0" w14:textId="77777777" w:rsidR="00E32537" w:rsidRPr="00D03F3E" w:rsidRDefault="00E32537"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«Наше нападение на аэродромы противника 6 мая 1943 г. было успешным благодаря внезапности.</w:t>
      </w:r>
    </w:p>
    <w:p w14:paraId="765ECEDB" w14:textId="77777777" w:rsidR="00E32537" w:rsidRPr="00D03F3E" w:rsidRDefault="00E32537"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7 мая 1943 г. обстановка стала иной. Истребительная авиация противника стала настороженной, в повышенной боевой готовности, приближена к линии фронта …</w:t>
      </w:r>
    </w:p>
    <w:p w14:paraId="2E329362" w14:textId="77777777" w:rsidR="00E32537" w:rsidRPr="00D03F3E" w:rsidRDefault="00E32537"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В такой обстановке действовать только по хорошо разведанным аэродромам, увеличить численность истребителей для прикрытия ударных групп. Группы штурмовиков должны быть постоянно сильными, чтобы они могли нанести удары не только по самолетам на аэродромах, но и надежно подавить средства ПВО …</w:t>
      </w:r>
    </w:p>
    <w:p w14:paraId="654CD8C3" w14:textId="77777777" w:rsidR="00E32537" w:rsidRPr="00D03F3E" w:rsidRDefault="00E32537"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В основу тактики налетов нужно теперь положить силу и хитрость, так как на внезапность действия уже нельзя рассчитывать» (19522).</w:t>
      </w:r>
    </w:p>
    <w:p w14:paraId="50249997" w14:textId="77777777" w:rsidR="00E32537" w:rsidRPr="00D03F3E" w:rsidRDefault="00E32537" w:rsidP="00D03F3E">
      <w:pPr>
        <w:pStyle w:val="ae"/>
        <w:spacing w:before="0" w:after="0"/>
        <w:jc w:val="both"/>
        <w:textAlignment w:val="baseline"/>
        <w:rPr>
          <w:color w:val="000000" w:themeColor="text1"/>
          <w:sz w:val="16"/>
          <w:szCs w:val="16"/>
        </w:rPr>
      </w:pPr>
    </w:p>
    <w:p w14:paraId="27250D2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7 мая 1943 вышло Постановление ГКО № 3307 О прекращении формирования новых авиасоединений и частей ВВС и пополнении действующих частей.РГАНИР, Фонд ГКО, д. 114, лл. 62 (11012).</w:t>
      </w:r>
    </w:p>
    <w:p w14:paraId="537635B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8F8395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 мая 1943 ГКО по предложению командования ВВС прекратило отвод авиачастей с фронта в запасные полки и бригады и доукомплектовываться стали на фронте. Зап и заб стали готовить эскадрильи, звенья, экипажи (340,138).</w:t>
      </w:r>
    </w:p>
    <w:p w14:paraId="65BCF32E" w14:textId="77777777" w:rsidR="00531570" w:rsidRPr="00D03F3E" w:rsidRDefault="00531570" w:rsidP="00D03F3E">
      <w:pPr>
        <w:pStyle w:val="Iauiue"/>
        <w:jc w:val="both"/>
        <w:rPr>
          <w:color w:val="000000" w:themeColor="text1"/>
          <w:sz w:val="16"/>
          <w:szCs w:val="16"/>
        </w:rPr>
      </w:pPr>
    </w:p>
    <w:p w14:paraId="1CCA22A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 мая 1943 с целью повышения боеготов</w:t>
      </w:r>
      <w:r w:rsidRPr="00D03F3E">
        <w:rPr>
          <w:color w:val="000000" w:themeColor="text1"/>
          <w:sz w:val="16"/>
          <w:szCs w:val="16"/>
        </w:rPr>
        <w:softHyphen/>
        <w:t>ности строевых авиачастей по предложению командования ВВС КА ГКО было принято постановление, согласно кото</w:t>
      </w:r>
      <w:r w:rsidRPr="00D03F3E">
        <w:rPr>
          <w:color w:val="000000" w:themeColor="text1"/>
          <w:sz w:val="16"/>
          <w:szCs w:val="16"/>
        </w:rPr>
        <w:softHyphen/>
        <w:t>рому отвод авиачастей с фронта в за</w:t>
      </w:r>
      <w:r w:rsidRPr="00D03F3E">
        <w:rPr>
          <w:color w:val="000000" w:themeColor="text1"/>
          <w:sz w:val="16"/>
          <w:szCs w:val="16"/>
        </w:rPr>
        <w:softHyphen/>
        <w:t>пасные авиационные полки для доукомплектования был прекращен. Пополне</w:t>
      </w:r>
      <w:r w:rsidRPr="00D03F3E">
        <w:rPr>
          <w:color w:val="000000" w:themeColor="text1"/>
          <w:sz w:val="16"/>
          <w:szCs w:val="16"/>
        </w:rPr>
        <w:softHyphen/>
        <w:t>ние штурмовых авиачастей стало осу</w:t>
      </w:r>
      <w:r w:rsidRPr="00D03F3E">
        <w:rPr>
          <w:color w:val="000000" w:themeColor="text1"/>
          <w:sz w:val="16"/>
          <w:szCs w:val="16"/>
        </w:rPr>
        <w:softHyphen/>
        <w:t>ществляться непосредственно на фрон</w:t>
      </w:r>
      <w:r w:rsidRPr="00D03F3E">
        <w:rPr>
          <w:color w:val="000000" w:themeColor="text1"/>
          <w:sz w:val="16"/>
          <w:szCs w:val="16"/>
        </w:rPr>
        <w:softHyphen/>
        <w:t>те за счет подготавливаемых в запас</w:t>
      </w:r>
      <w:r w:rsidRPr="00D03F3E">
        <w:rPr>
          <w:color w:val="000000" w:themeColor="text1"/>
          <w:sz w:val="16"/>
          <w:szCs w:val="16"/>
        </w:rPr>
        <w:softHyphen/>
        <w:t>ных полках авиаэскадрилий, звеньев и одиночных экипажей. Это позволило уже к концу 1943 г., в известной мере, из</w:t>
      </w:r>
      <w:r w:rsidRPr="00D03F3E">
        <w:rPr>
          <w:color w:val="000000" w:themeColor="text1"/>
          <w:sz w:val="16"/>
          <w:szCs w:val="16"/>
        </w:rPr>
        <w:softHyphen/>
        <w:t>жить поспешность в обучении летного состава, часто допускавшуюся в преды</w:t>
      </w:r>
      <w:r w:rsidRPr="00D03F3E">
        <w:rPr>
          <w:color w:val="000000" w:themeColor="text1"/>
          <w:sz w:val="16"/>
          <w:szCs w:val="16"/>
        </w:rPr>
        <w:softHyphen/>
        <w:t>дущие годы. Как следствие, число авиа</w:t>
      </w:r>
      <w:r w:rsidRPr="00D03F3E">
        <w:rPr>
          <w:color w:val="000000" w:themeColor="text1"/>
          <w:sz w:val="16"/>
          <w:szCs w:val="16"/>
        </w:rPr>
        <w:softHyphen/>
        <w:t>частей в 1943 г., прошедших через за</w:t>
      </w:r>
      <w:r w:rsidRPr="00D03F3E">
        <w:rPr>
          <w:color w:val="000000" w:themeColor="text1"/>
          <w:sz w:val="16"/>
          <w:szCs w:val="16"/>
        </w:rPr>
        <w:softHyphen/>
        <w:t>пасные полки, уменьшилось по сравне</w:t>
      </w:r>
      <w:r w:rsidRPr="00D03F3E">
        <w:rPr>
          <w:color w:val="000000" w:themeColor="text1"/>
          <w:sz w:val="16"/>
          <w:szCs w:val="16"/>
        </w:rPr>
        <w:softHyphen/>
        <w:t>нию с 1942 г. почти в 2 раза и состави</w:t>
      </w:r>
      <w:r w:rsidRPr="00D03F3E">
        <w:rPr>
          <w:color w:val="000000" w:themeColor="text1"/>
          <w:sz w:val="16"/>
          <w:szCs w:val="16"/>
        </w:rPr>
        <w:softHyphen/>
        <w:t>ло 65 штурмовых авиаполков, из которых 6 авиаполков прошли переформирование 4 раза, 12 полков - 3 раза, 30 полков - 2 раза и 17 полков - только один раз.</w:t>
      </w:r>
    </w:p>
    <w:p w14:paraId="119F11B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 сожалению, несмотря на предпри</w:t>
      </w:r>
      <w:r w:rsidRPr="00D03F3E">
        <w:rPr>
          <w:color w:val="000000" w:themeColor="text1"/>
          <w:sz w:val="16"/>
          <w:szCs w:val="16"/>
        </w:rPr>
        <w:softHyphen/>
        <w:t>нятые меры, командование ВВС КА все же не смогло в полной мере преодо</w:t>
      </w:r>
      <w:r w:rsidRPr="00D03F3E">
        <w:rPr>
          <w:color w:val="000000" w:themeColor="text1"/>
          <w:sz w:val="16"/>
          <w:szCs w:val="16"/>
        </w:rPr>
        <w:softHyphen/>
        <w:t>леть все трудности. Отпущенного вой</w:t>
      </w:r>
      <w:r w:rsidRPr="00D03F3E">
        <w:rPr>
          <w:color w:val="000000" w:themeColor="text1"/>
          <w:sz w:val="16"/>
          <w:szCs w:val="16"/>
        </w:rPr>
        <w:softHyphen/>
        <w:t>ной времени хватило лишь для укомп</w:t>
      </w:r>
      <w:r w:rsidRPr="00D03F3E">
        <w:rPr>
          <w:color w:val="000000" w:themeColor="text1"/>
          <w:sz w:val="16"/>
          <w:szCs w:val="16"/>
        </w:rPr>
        <w:softHyphen/>
        <w:t>лектования частей личным составом и техникой, но обучить летный состав бо</w:t>
      </w:r>
      <w:r w:rsidRPr="00D03F3E">
        <w:rPr>
          <w:color w:val="000000" w:themeColor="text1"/>
          <w:sz w:val="16"/>
          <w:szCs w:val="16"/>
        </w:rPr>
        <w:softHyphen/>
        <w:t>евому применению в полном объеме, главным образом, в составе групп само</w:t>
      </w:r>
      <w:r w:rsidRPr="00D03F3E">
        <w:rPr>
          <w:color w:val="000000" w:themeColor="text1"/>
          <w:sz w:val="16"/>
          <w:szCs w:val="16"/>
        </w:rPr>
        <w:softHyphen/>
        <w:t>летов - не удалось.</w:t>
      </w:r>
    </w:p>
    <w:p w14:paraId="1E777F2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Это привело к тому, что в воздушных армиях Красной Армии, предназначен</w:t>
      </w:r>
      <w:r w:rsidRPr="00D03F3E">
        <w:rPr>
          <w:color w:val="000000" w:themeColor="text1"/>
          <w:sz w:val="16"/>
          <w:szCs w:val="16"/>
        </w:rPr>
        <w:softHyphen/>
        <w:t>ных для участия в боях на Курском выс</w:t>
      </w:r>
      <w:r w:rsidRPr="00D03F3E">
        <w:rPr>
          <w:color w:val="000000" w:themeColor="text1"/>
          <w:sz w:val="16"/>
          <w:szCs w:val="16"/>
        </w:rPr>
        <w:softHyphen/>
        <w:t>тупе, боеготовых экипажей накануне сра</w:t>
      </w:r>
      <w:r w:rsidRPr="00D03F3E">
        <w:rPr>
          <w:color w:val="000000" w:themeColor="text1"/>
          <w:sz w:val="16"/>
          <w:szCs w:val="16"/>
        </w:rPr>
        <w:softHyphen/>
        <w:t>жения оказалось значительно меньше, чем боевых самолетов. Так, во 2-й и 17-й воздушных армиях на 733 исправных самолетов-истребителей приходилось только 586 боеготовых летчиков, а на 488 исправных штурмовиков Ил-2 - 359 бо</w:t>
      </w:r>
      <w:r w:rsidRPr="00D03F3E">
        <w:rPr>
          <w:color w:val="000000" w:themeColor="text1"/>
          <w:sz w:val="16"/>
          <w:szCs w:val="16"/>
        </w:rPr>
        <w:softHyphen/>
        <w:t>еготовых экипажей. В 16-й ВА Централь</w:t>
      </w:r>
      <w:r w:rsidRPr="00D03F3E">
        <w:rPr>
          <w:color w:val="000000" w:themeColor="text1"/>
          <w:sz w:val="16"/>
          <w:szCs w:val="16"/>
        </w:rPr>
        <w:softHyphen/>
        <w:t>ного фронта на 507 исправных истре</w:t>
      </w:r>
      <w:r w:rsidRPr="00D03F3E">
        <w:rPr>
          <w:color w:val="000000" w:themeColor="text1"/>
          <w:sz w:val="16"/>
          <w:szCs w:val="16"/>
        </w:rPr>
        <w:softHyphen/>
        <w:t>бителей приходилось всего 386 боего</w:t>
      </w:r>
      <w:r w:rsidRPr="00D03F3E">
        <w:rPr>
          <w:color w:val="000000" w:themeColor="text1"/>
          <w:sz w:val="16"/>
          <w:szCs w:val="16"/>
        </w:rPr>
        <w:softHyphen/>
        <w:t>товых летчиков, а на 267 исправных Ил-2 и того меньше - 109 боеготовых эки</w:t>
      </w:r>
      <w:r w:rsidRPr="00D03F3E">
        <w:rPr>
          <w:color w:val="000000" w:themeColor="text1"/>
          <w:sz w:val="16"/>
          <w:szCs w:val="16"/>
        </w:rPr>
        <w:softHyphen/>
        <w:t>пажей. Соответственно достигнутое ко</w:t>
      </w:r>
      <w:r w:rsidRPr="00D03F3E">
        <w:rPr>
          <w:color w:val="000000" w:themeColor="text1"/>
          <w:sz w:val="16"/>
          <w:szCs w:val="16"/>
        </w:rPr>
        <w:softHyphen/>
        <w:t>личественное превосходство в боевых самолетах практически сводилось на нет отсутствием достаточного резерва под</w:t>
      </w:r>
      <w:r w:rsidRPr="00D03F3E">
        <w:rPr>
          <w:color w:val="000000" w:themeColor="text1"/>
          <w:sz w:val="16"/>
          <w:szCs w:val="16"/>
        </w:rPr>
        <w:softHyphen/>
        <w:t>готовленных летчиков, в основном, лет</w:t>
      </w:r>
      <w:r w:rsidRPr="00D03F3E">
        <w:rPr>
          <w:color w:val="000000" w:themeColor="text1"/>
          <w:sz w:val="16"/>
          <w:szCs w:val="16"/>
        </w:rPr>
        <w:softHyphen/>
        <w:t>чиков-истребителей. Уже во время бит</w:t>
      </w:r>
      <w:r w:rsidRPr="00D03F3E">
        <w:rPr>
          <w:color w:val="000000" w:themeColor="text1"/>
          <w:sz w:val="16"/>
          <w:szCs w:val="16"/>
        </w:rPr>
        <w:softHyphen/>
        <w:t>вы командование ВВС Красной Армии не сможет оперативно скомпенсировать свои просчеты в организации и плани</w:t>
      </w:r>
      <w:r w:rsidRPr="00D03F3E">
        <w:rPr>
          <w:color w:val="000000" w:themeColor="text1"/>
          <w:sz w:val="16"/>
          <w:szCs w:val="16"/>
        </w:rPr>
        <w:softHyphen/>
        <w:t>ровании боевых действий авиации на начальном этапе сражения...</w:t>
      </w:r>
    </w:p>
    <w:p w14:paraId="69560E0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 мая 1943 г. с целью повышения боеготовности строевых авиачастей по предложению командования ВВС Государственный Комитет Обороны принял Постановление, согласно которому отвод авиачастей с фронта в запасные авиационные полки для доукомплекто-вания был прекращен. Пополнение штурмовых авиачастей стало осуществляться непосредственно на фронте за счет подготавливаемых в запасных полках авиаэскадрилий, звеньев и одиночных экипажей. Это позволило уже к концу года, в известной мере, изжить поспешность в обучении летного состава, часто допускавшуюся в предыдущие годы.</w:t>
      </w:r>
    </w:p>
    <w:p w14:paraId="2564FCF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Средний налет летчиков штурмовой авиации был увеличен с 5-13 часов в 1941-42 гг. до'18-20 часов в 1943-45 гг. (8687).</w:t>
      </w:r>
    </w:p>
    <w:p w14:paraId="2E4A0C3D" w14:textId="77777777" w:rsidR="00531570" w:rsidRPr="00D03F3E" w:rsidRDefault="00531570" w:rsidP="00D03F3E">
      <w:pPr>
        <w:pStyle w:val="Iauiue"/>
        <w:jc w:val="both"/>
        <w:rPr>
          <w:color w:val="000000" w:themeColor="text1"/>
          <w:sz w:val="16"/>
          <w:szCs w:val="16"/>
        </w:rPr>
      </w:pPr>
    </w:p>
    <w:p w14:paraId="69C45EF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1943 г. по предложению командования ВВС КА Государственным Комитетом Обороны было принято Постановление, согласно которому отвод авиачастей с фронта в запасные авиационные полки был прекращен, а их доукомплектование стало осуществляться непосредственно на фронте отдельными эскадрильями, звеньями и одиночными экипажами (12020).</w:t>
      </w:r>
    </w:p>
    <w:p w14:paraId="2D7B3B2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B9883A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 мая 1943 в ударах по аэродромам уничтожили и повредили 190 с, потеряв 62 (438,871).</w:t>
      </w:r>
    </w:p>
    <w:p w14:paraId="54FFAAFB" w14:textId="77777777" w:rsidR="00531570" w:rsidRPr="00D03F3E" w:rsidRDefault="00531570" w:rsidP="00D03F3E">
      <w:pPr>
        <w:pStyle w:val="Iauiue"/>
        <w:jc w:val="both"/>
        <w:rPr>
          <w:color w:val="000000" w:themeColor="text1"/>
          <w:sz w:val="16"/>
          <w:szCs w:val="16"/>
        </w:rPr>
      </w:pPr>
    </w:p>
    <w:p w14:paraId="6F4F4F3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 мая 1943 несмотря на явную неудачу всех без исключения повторных ударов, ВВС КА на рассвете провели третий мас</w:t>
      </w:r>
      <w:r w:rsidRPr="00D03F3E">
        <w:rPr>
          <w:color w:val="000000" w:themeColor="text1"/>
          <w:sz w:val="16"/>
          <w:szCs w:val="16"/>
        </w:rPr>
        <w:softHyphen/>
        <w:t>сированный удар по 22 аэродромам про</w:t>
      </w:r>
      <w:r w:rsidRPr="00D03F3E">
        <w:rPr>
          <w:color w:val="000000" w:themeColor="text1"/>
          <w:sz w:val="16"/>
          <w:szCs w:val="16"/>
        </w:rPr>
        <w:softHyphen/>
        <w:t>тивника, в котором участвовало 405 бо</w:t>
      </w:r>
      <w:r w:rsidRPr="00D03F3E">
        <w:rPr>
          <w:color w:val="000000" w:themeColor="text1"/>
          <w:sz w:val="16"/>
          <w:szCs w:val="16"/>
        </w:rPr>
        <w:softHyphen/>
        <w:t>евых самолетов. Вернувшись на свои базы, советские экипажи доложили о 23 поврежденных и 79 уничтоженных не</w:t>
      </w:r>
      <w:r w:rsidRPr="00D03F3E">
        <w:rPr>
          <w:color w:val="000000" w:themeColor="text1"/>
          <w:sz w:val="16"/>
          <w:szCs w:val="16"/>
        </w:rPr>
        <w:softHyphen/>
        <w:t>мецких самолетах на земле, а также о 21 сбитом в воздушных боях истребителе. Свои потери составили 49 самолетов. То есть результативность этого удара была значительно ниже планируемой, так как противодействие немецкой проти</w:t>
      </w:r>
      <w:r w:rsidRPr="00D03F3E">
        <w:rPr>
          <w:color w:val="000000" w:themeColor="text1"/>
          <w:sz w:val="16"/>
          <w:szCs w:val="16"/>
        </w:rPr>
        <w:softHyphen/>
        <w:t>вовоздушной обороны и истребитель</w:t>
      </w:r>
      <w:r w:rsidRPr="00D03F3E">
        <w:rPr>
          <w:color w:val="000000" w:themeColor="text1"/>
          <w:sz w:val="16"/>
          <w:szCs w:val="16"/>
        </w:rPr>
        <w:softHyphen/>
        <w:t>ной авиации резко возросло. Например, 12 Ил-2 и 14 Як-1 16-й ВА вообще не смогли прорваться к аэродрому Хмелевая (6467).</w:t>
      </w:r>
    </w:p>
    <w:p w14:paraId="509E4692" w14:textId="77777777" w:rsidR="00531570" w:rsidRPr="00D03F3E" w:rsidRDefault="00531570" w:rsidP="00D03F3E">
      <w:pPr>
        <w:pStyle w:val="Iauiue"/>
        <w:jc w:val="both"/>
        <w:rPr>
          <w:color w:val="000000" w:themeColor="text1"/>
          <w:sz w:val="16"/>
          <w:szCs w:val="16"/>
        </w:rPr>
      </w:pPr>
    </w:p>
    <w:p w14:paraId="6306305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1943 несмотря на явную неудачу почти всех повторных налетов 6 мая, ВВС КА в течение следующего дня провели еще одну серию ударов (на рассвете, днем и вечером) по 14 аэродромам против</w:t>
      </w:r>
      <w:r w:rsidRPr="00D03F3E">
        <w:rPr>
          <w:rFonts w:ascii="Times New Roman" w:hAnsi="Times New Roman"/>
          <w:color w:val="000000" w:themeColor="text1"/>
          <w:sz w:val="16"/>
          <w:szCs w:val="16"/>
        </w:rPr>
        <w:softHyphen/>
        <w:t>ника. В этих налетах участвовало 335 боевых самолетов (98 Ил-2, 35 бом</w:t>
      </w:r>
      <w:r w:rsidRPr="00D03F3E">
        <w:rPr>
          <w:rFonts w:ascii="Times New Roman" w:hAnsi="Times New Roman"/>
          <w:color w:val="000000" w:themeColor="text1"/>
          <w:sz w:val="16"/>
          <w:szCs w:val="16"/>
        </w:rPr>
        <w:softHyphen/>
        <w:t>бардировщиков и 202 истребителя). После возвращения на свои аэродро</w:t>
      </w:r>
      <w:r w:rsidRPr="00D03F3E">
        <w:rPr>
          <w:rFonts w:ascii="Times New Roman" w:hAnsi="Times New Roman"/>
          <w:color w:val="000000" w:themeColor="text1"/>
          <w:sz w:val="16"/>
          <w:szCs w:val="16"/>
        </w:rPr>
        <w:softHyphen/>
        <w:t>мы советские летчики доложили о 100 уничтоженных и поврежденных немец</w:t>
      </w:r>
      <w:r w:rsidRPr="00D03F3E">
        <w:rPr>
          <w:rFonts w:ascii="Times New Roman" w:hAnsi="Times New Roman"/>
          <w:color w:val="000000" w:themeColor="text1"/>
          <w:sz w:val="16"/>
          <w:szCs w:val="16"/>
        </w:rPr>
        <w:softHyphen/>
        <w:t>ких самолетах на земле и 16 сбитых в воздушных боях истребителях. Свои по</w:t>
      </w:r>
      <w:r w:rsidRPr="00D03F3E">
        <w:rPr>
          <w:rFonts w:ascii="Times New Roman" w:hAnsi="Times New Roman"/>
          <w:color w:val="000000" w:themeColor="text1"/>
          <w:sz w:val="16"/>
          <w:szCs w:val="16"/>
        </w:rPr>
        <w:softHyphen/>
        <w:t xml:space="preserve">тери составили 42 самолета, в том числе 27 </w:t>
      </w:r>
      <w:r w:rsidRPr="00D03F3E">
        <w:rPr>
          <w:rFonts w:ascii="Times New Roman" w:hAnsi="Times New Roman"/>
          <w:iCs/>
          <w:color w:val="000000" w:themeColor="text1"/>
          <w:sz w:val="16"/>
          <w:szCs w:val="16"/>
        </w:rPr>
        <w:t xml:space="preserve">Ил-2, 7 </w:t>
      </w:r>
      <w:r w:rsidRPr="00D03F3E">
        <w:rPr>
          <w:rFonts w:ascii="Times New Roman" w:hAnsi="Times New Roman"/>
          <w:color w:val="000000" w:themeColor="text1"/>
          <w:sz w:val="16"/>
          <w:szCs w:val="16"/>
        </w:rPr>
        <w:t>бомбардировщиков и 9 истребителей.</w:t>
      </w:r>
    </w:p>
    <w:p w14:paraId="7F7A847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Результативность ударов оказалась значительно ниже планируемой, так как противодействие немецкой противовоз</w:t>
      </w:r>
      <w:r w:rsidRPr="00D03F3E">
        <w:rPr>
          <w:rFonts w:ascii="Times New Roman" w:hAnsi="Times New Roman"/>
          <w:color w:val="000000" w:themeColor="text1"/>
          <w:sz w:val="16"/>
          <w:szCs w:val="16"/>
        </w:rPr>
        <w:softHyphen/>
        <w:t>душной обороны и истребительной авиации резко возросло.</w:t>
      </w:r>
    </w:p>
    <w:p w14:paraId="1A391F9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Абсолютно все удары проходили </w:t>
      </w:r>
      <w:r w:rsidRPr="00D03F3E">
        <w:rPr>
          <w:rFonts w:ascii="Times New Roman" w:hAnsi="Times New Roman"/>
          <w:iCs/>
          <w:color w:val="000000" w:themeColor="text1"/>
          <w:sz w:val="16"/>
          <w:szCs w:val="16"/>
        </w:rPr>
        <w:t>«с беспрерывными воздушными боями, на</w:t>
      </w:r>
      <w:r w:rsidRPr="00D03F3E">
        <w:rPr>
          <w:rFonts w:ascii="Times New Roman" w:hAnsi="Times New Roman"/>
          <w:iCs/>
          <w:color w:val="000000" w:themeColor="text1"/>
          <w:sz w:val="16"/>
          <w:szCs w:val="16"/>
        </w:rPr>
        <w:softHyphen/>
        <w:t xml:space="preserve">чиная с перелета линии фронта». </w:t>
      </w:r>
      <w:r w:rsidRPr="00D03F3E">
        <w:rPr>
          <w:rFonts w:ascii="Times New Roman" w:hAnsi="Times New Roman"/>
          <w:color w:val="000000" w:themeColor="text1"/>
          <w:sz w:val="16"/>
          <w:szCs w:val="16"/>
        </w:rPr>
        <w:t>В ито</w:t>
      </w:r>
      <w:r w:rsidRPr="00D03F3E">
        <w:rPr>
          <w:rFonts w:ascii="Times New Roman" w:hAnsi="Times New Roman"/>
          <w:color w:val="000000" w:themeColor="text1"/>
          <w:sz w:val="16"/>
          <w:szCs w:val="16"/>
        </w:rPr>
        <w:softHyphen/>
        <w:t>ге большая часть вылетавших на бое</w:t>
      </w:r>
      <w:r w:rsidRPr="00D03F3E">
        <w:rPr>
          <w:rFonts w:ascii="Times New Roman" w:hAnsi="Times New Roman"/>
          <w:color w:val="000000" w:themeColor="text1"/>
          <w:sz w:val="16"/>
          <w:szCs w:val="16"/>
        </w:rPr>
        <w:softHyphen/>
        <w:t>вое задание групп штурмовиков воз</w:t>
      </w:r>
      <w:r w:rsidRPr="00D03F3E">
        <w:rPr>
          <w:rFonts w:ascii="Times New Roman" w:hAnsi="Times New Roman"/>
          <w:color w:val="000000" w:themeColor="text1"/>
          <w:sz w:val="16"/>
          <w:szCs w:val="16"/>
        </w:rPr>
        <w:softHyphen/>
        <w:t>душных армий свои задачи выполнить не смогла и в ряде случаев понесла серьезные потери.</w:t>
      </w:r>
    </w:p>
    <w:p w14:paraId="1C7E245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Например, удар штурмовых авиа</w:t>
      </w:r>
      <w:r w:rsidRPr="00D03F3E">
        <w:rPr>
          <w:rFonts w:ascii="Times New Roman" w:hAnsi="Times New Roman"/>
          <w:color w:val="000000" w:themeColor="text1"/>
          <w:sz w:val="16"/>
          <w:szCs w:val="16"/>
        </w:rPr>
        <w:softHyphen/>
        <w:t>полков 16-й ВА по аэродромам Ор</w:t>
      </w:r>
      <w:r w:rsidRPr="00D03F3E">
        <w:rPr>
          <w:rFonts w:ascii="Times New Roman" w:hAnsi="Times New Roman"/>
          <w:color w:val="000000" w:themeColor="text1"/>
          <w:sz w:val="16"/>
          <w:szCs w:val="16"/>
        </w:rPr>
        <w:softHyphen/>
        <w:t>ловского аэроузла не только не увен</w:t>
      </w:r>
      <w:r w:rsidRPr="00D03F3E">
        <w:rPr>
          <w:rFonts w:ascii="Times New Roman" w:hAnsi="Times New Roman"/>
          <w:color w:val="000000" w:themeColor="text1"/>
          <w:sz w:val="16"/>
          <w:szCs w:val="16"/>
        </w:rPr>
        <w:softHyphen/>
        <w:t>чался успехом, но и закончился весь</w:t>
      </w:r>
      <w:r w:rsidRPr="00D03F3E">
        <w:rPr>
          <w:rFonts w:ascii="Times New Roman" w:hAnsi="Times New Roman"/>
          <w:color w:val="000000" w:themeColor="text1"/>
          <w:sz w:val="16"/>
          <w:szCs w:val="16"/>
        </w:rPr>
        <w:softHyphen/>
        <w:t>ма трагично для наших летчиков.</w:t>
      </w:r>
    </w:p>
    <w:p w14:paraId="2E45362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плану штаба 16-й ВА штурмови</w:t>
      </w:r>
      <w:r w:rsidRPr="00D03F3E">
        <w:rPr>
          <w:rFonts w:ascii="Times New Roman" w:hAnsi="Times New Roman"/>
          <w:color w:val="000000" w:themeColor="text1"/>
          <w:sz w:val="16"/>
          <w:szCs w:val="16"/>
        </w:rPr>
        <w:softHyphen/>
        <w:t xml:space="preserve">ки армии должны были на рассвете 7 мая нанести одновременный удар по трем аэродромам. По аэродрому Б.Ку-ликовка «работали» 16 Ил-2 от 218-го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299-й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 xml:space="preserve">под прикрытием 12 Ла-5 от 286-й </w:t>
      </w:r>
      <w:r w:rsidRPr="00D03F3E">
        <w:rPr>
          <w:rFonts w:ascii="Times New Roman" w:hAnsi="Times New Roman"/>
          <w:iCs/>
          <w:color w:val="000000" w:themeColor="text1"/>
          <w:sz w:val="16"/>
          <w:szCs w:val="16"/>
        </w:rPr>
        <w:t xml:space="preserve">иад, </w:t>
      </w:r>
      <w:r w:rsidRPr="00D03F3E">
        <w:rPr>
          <w:rFonts w:ascii="Times New Roman" w:hAnsi="Times New Roman"/>
          <w:color w:val="000000" w:themeColor="text1"/>
          <w:sz w:val="16"/>
          <w:szCs w:val="16"/>
        </w:rPr>
        <w:t>а по аэродромам Хме</w:t>
      </w:r>
      <w:r w:rsidRPr="00D03F3E">
        <w:rPr>
          <w:rFonts w:ascii="Times New Roman" w:hAnsi="Times New Roman"/>
          <w:color w:val="000000" w:themeColor="text1"/>
          <w:sz w:val="16"/>
          <w:szCs w:val="16"/>
        </w:rPr>
        <w:softHyphen/>
        <w:t xml:space="preserve">левая и Орел-Центральный — 12—16 Ил-2 от 58-го и 79-го </w:t>
      </w:r>
      <w:r w:rsidRPr="00D03F3E">
        <w:rPr>
          <w:rFonts w:ascii="Times New Roman" w:hAnsi="Times New Roman"/>
          <w:iCs/>
          <w:color w:val="000000" w:themeColor="text1"/>
          <w:sz w:val="16"/>
          <w:szCs w:val="16"/>
        </w:rPr>
        <w:t xml:space="preserve">гшап </w:t>
      </w:r>
      <w:r w:rsidRPr="00D03F3E">
        <w:rPr>
          <w:rFonts w:ascii="Times New Roman" w:hAnsi="Times New Roman"/>
          <w:color w:val="000000" w:themeColor="text1"/>
          <w:sz w:val="16"/>
          <w:szCs w:val="16"/>
        </w:rPr>
        <w:t xml:space="preserve">2-й </w:t>
      </w:r>
      <w:r w:rsidRPr="00D03F3E">
        <w:rPr>
          <w:rFonts w:ascii="Times New Roman" w:hAnsi="Times New Roman"/>
          <w:iCs/>
          <w:color w:val="000000" w:themeColor="text1"/>
          <w:sz w:val="16"/>
          <w:szCs w:val="16"/>
        </w:rPr>
        <w:t xml:space="preserve">гшад </w:t>
      </w:r>
      <w:r w:rsidRPr="00D03F3E">
        <w:rPr>
          <w:rFonts w:ascii="Times New Roman" w:hAnsi="Times New Roman"/>
          <w:color w:val="000000" w:themeColor="text1"/>
          <w:sz w:val="16"/>
          <w:szCs w:val="16"/>
        </w:rPr>
        <w:t xml:space="preserve">в сопровождении 16 Як-1 от 283-й иад. Предполагалось, что перед ударом штурмовиков аэродромы Б. Куликовка и Хомуты будут блокированы 10 Як-1 от 286-го </w:t>
      </w:r>
      <w:r w:rsidRPr="00D03F3E">
        <w:rPr>
          <w:rFonts w:ascii="Times New Roman" w:hAnsi="Times New Roman"/>
          <w:iCs/>
          <w:color w:val="000000" w:themeColor="text1"/>
          <w:sz w:val="16"/>
          <w:szCs w:val="16"/>
        </w:rPr>
        <w:t xml:space="preserve">иад </w:t>
      </w:r>
      <w:r w:rsidRPr="00D03F3E">
        <w:rPr>
          <w:rFonts w:ascii="Times New Roman" w:hAnsi="Times New Roman"/>
          <w:color w:val="000000" w:themeColor="text1"/>
          <w:sz w:val="16"/>
          <w:szCs w:val="16"/>
        </w:rPr>
        <w:t xml:space="preserve">и 10 Як-76 от 283-го </w:t>
      </w:r>
      <w:r w:rsidRPr="00D03F3E">
        <w:rPr>
          <w:rFonts w:ascii="Times New Roman" w:hAnsi="Times New Roman"/>
          <w:iCs/>
          <w:color w:val="000000" w:themeColor="text1"/>
          <w:sz w:val="16"/>
          <w:szCs w:val="16"/>
        </w:rPr>
        <w:t xml:space="preserve">иад, </w:t>
      </w:r>
      <w:r w:rsidRPr="00D03F3E">
        <w:rPr>
          <w:rFonts w:ascii="Times New Roman" w:hAnsi="Times New Roman"/>
          <w:color w:val="000000" w:themeColor="text1"/>
          <w:sz w:val="16"/>
          <w:szCs w:val="16"/>
        </w:rPr>
        <w:t>соответственно. Кроме того, рай</w:t>
      </w:r>
      <w:r w:rsidRPr="00D03F3E">
        <w:rPr>
          <w:rFonts w:ascii="Times New Roman" w:hAnsi="Times New Roman"/>
          <w:color w:val="000000" w:themeColor="text1"/>
          <w:sz w:val="16"/>
          <w:szCs w:val="16"/>
        </w:rPr>
        <w:softHyphen/>
        <w:t>он выхода штурмовиков на свою тер</w:t>
      </w:r>
      <w:r w:rsidRPr="00D03F3E">
        <w:rPr>
          <w:rFonts w:ascii="Times New Roman" w:hAnsi="Times New Roman"/>
          <w:color w:val="000000" w:themeColor="text1"/>
          <w:sz w:val="16"/>
          <w:szCs w:val="16"/>
        </w:rPr>
        <w:softHyphen/>
        <w:t xml:space="preserve">риторию должен патрулироваться 16 истребителями от 283-й </w:t>
      </w:r>
      <w:r w:rsidRPr="00D03F3E">
        <w:rPr>
          <w:rFonts w:ascii="Times New Roman" w:hAnsi="Times New Roman"/>
          <w:iCs/>
          <w:color w:val="000000" w:themeColor="text1"/>
          <w:sz w:val="16"/>
          <w:szCs w:val="16"/>
        </w:rPr>
        <w:t xml:space="preserve">иад </w:t>
      </w:r>
      <w:r w:rsidRPr="00D03F3E">
        <w:rPr>
          <w:rFonts w:ascii="Times New Roman" w:hAnsi="Times New Roman"/>
          <w:color w:val="000000" w:themeColor="text1"/>
          <w:sz w:val="16"/>
          <w:szCs w:val="16"/>
        </w:rPr>
        <w:t>с целью отсечения истребителей противника.</w:t>
      </w:r>
    </w:p>
    <w:p w14:paraId="303B95D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выполнения налета на аэро</w:t>
      </w:r>
      <w:r w:rsidRPr="00D03F3E">
        <w:rPr>
          <w:rFonts w:ascii="Times New Roman" w:hAnsi="Times New Roman"/>
          <w:color w:val="000000" w:themeColor="text1"/>
          <w:sz w:val="16"/>
          <w:szCs w:val="16"/>
        </w:rPr>
        <w:softHyphen/>
        <w:t>дромы противника полкам ставилась за</w:t>
      </w:r>
      <w:r w:rsidRPr="00D03F3E">
        <w:rPr>
          <w:rFonts w:ascii="Times New Roman" w:hAnsi="Times New Roman"/>
          <w:color w:val="000000" w:themeColor="text1"/>
          <w:sz w:val="16"/>
          <w:szCs w:val="16"/>
        </w:rPr>
        <w:softHyphen/>
        <w:t>дача быть готовыми к повторному уда</w:t>
      </w:r>
      <w:r w:rsidRPr="00D03F3E">
        <w:rPr>
          <w:rFonts w:ascii="Times New Roman" w:hAnsi="Times New Roman"/>
          <w:color w:val="000000" w:themeColor="text1"/>
          <w:sz w:val="16"/>
          <w:szCs w:val="16"/>
        </w:rPr>
        <w:softHyphen/>
        <w:t>ру через 40 минут посадки всех групп штурмовиков и истребителей.</w:t>
      </w:r>
    </w:p>
    <w:p w14:paraId="78F035D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Боевая задача была оформлена бо</w:t>
      </w:r>
      <w:r w:rsidRPr="00D03F3E">
        <w:rPr>
          <w:rFonts w:ascii="Times New Roman" w:hAnsi="Times New Roman"/>
          <w:color w:val="000000" w:themeColor="text1"/>
          <w:sz w:val="16"/>
          <w:szCs w:val="16"/>
        </w:rPr>
        <w:softHyphen/>
        <w:t>евыми приказами по дивизиям в стро</w:t>
      </w:r>
      <w:r w:rsidRPr="00D03F3E">
        <w:rPr>
          <w:rFonts w:ascii="Times New Roman" w:hAnsi="Times New Roman"/>
          <w:color w:val="000000" w:themeColor="text1"/>
          <w:sz w:val="16"/>
          <w:szCs w:val="16"/>
        </w:rPr>
        <w:softHyphen/>
        <w:t>гом соответствии с предварительным распоряжением штаба 16-й ВА.</w:t>
      </w:r>
    </w:p>
    <w:p w14:paraId="324F5A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заход на цель произво</w:t>
      </w:r>
      <w:r w:rsidRPr="00D03F3E">
        <w:rPr>
          <w:rFonts w:ascii="Times New Roman" w:hAnsi="Times New Roman"/>
          <w:color w:val="000000" w:themeColor="text1"/>
          <w:sz w:val="16"/>
          <w:szCs w:val="16"/>
        </w:rPr>
        <w:softHyphen/>
        <w:t>дился штурмовиками с юго-запада с пикирования с высоты 1100—900 м в бо</w:t>
      </w:r>
      <w:r w:rsidRPr="00D03F3E">
        <w:rPr>
          <w:rFonts w:ascii="Times New Roman" w:hAnsi="Times New Roman"/>
          <w:color w:val="000000" w:themeColor="text1"/>
          <w:sz w:val="16"/>
          <w:szCs w:val="16"/>
        </w:rPr>
        <w:softHyphen/>
        <w:t>евом порядке пеленг одиночных само</w:t>
      </w:r>
      <w:r w:rsidRPr="00D03F3E">
        <w:rPr>
          <w:rFonts w:ascii="Times New Roman" w:hAnsi="Times New Roman"/>
          <w:color w:val="000000" w:themeColor="text1"/>
          <w:sz w:val="16"/>
          <w:szCs w:val="16"/>
        </w:rPr>
        <w:softHyphen/>
        <w:t>летов. Выход из атаки выполнялся пра</w:t>
      </w:r>
      <w:r w:rsidRPr="00D03F3E">
        <w:rPr>
          <w:rFonts w:ascii="Times New Roman" w:hAnsi="Times New Roman"/>
          <w:color w:val="000000" w:themeColor="text1"/>
          <w:sz w:val="16"/>
          <w:szCs w:val="16"/>
        </w:rPr>
        <w:softHyphen/>
        <w:t>вым разворотом на юг. Выходные «во</w:t>
      </w:r>
      <w:r w:rsidRPr="00D03F3E">
        <w:rPr>
          <w:rFonts w:ascii="Times New Roman" w:hAnsi="Times New Roman"/>
          <w:color w:val="000000" w:themeColor="text1"/>
          <w:sz w:val="16"/>
          <w:szCs w:val="16"/>
        </w:rPr>
        <w:softHyphen/>
        <w:t>рота» определялись между населенны</w:t>
      </w:r>
      <w:r w:rsidRPr="00D03F3E">
        <w:rPr>
          <w:rFonts w:ascii="Times New Roman" w:hAnsi="Times New Roman"/>
          <w:color w:val="000000" w:themeColor="text1"/>
          <w:sz w:val="16"/>
          <w:szCs w:val="16"/>
        </w:rPr>
        <w:softHyphen/>
        <w:t>ми пунктами 1 -е Поныри и Самодуров-ка. Этот же район являлся и рубежом отсечения истребителей противника.</w:t>
      </w:r>
    </w:p>
    <w:p w14:paraId="295158B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Надо сказать, боевой порядок групп штурмовиков, высота подхода к цели, направление захода в атаку, способ атаки, порядок выхода из атаки, об</w:t>
      </w:r>
      <w:r w:rsidRPr="00D03F3E">
        <w:rPr>
          <w:rFonts w:ascii="Times New Roman" w:hAnsi="Times New Roman"/>
          <w:color w:val="000000" w:themeColor="text1"/>
          <w:sz w:val="16"/>
          <w:szCs w:val="16"/>
        </w:rPr>
        <w:softHyphen/>
        <w:t>ратный маршрут, а также выходные во</w:t>
      </w:r>
      <w:r w:rsidRPr="00D03F3E">
        <w:rPr>
          <w:rFonts w:ascii="Times New Roman" w:hAnsi="Times New Roman"/>
          <w:color w:val="000000" w:themeColor="text1"/>
          <w:sz w:val="16"/>
          <w:szCs w:val="16"/>
        </w:rPr>
        <w:softHyphen/>
        <w:t>рота и рубеж отсечения в обоих слу</w:t>
      </w:r>
      <w:r w:rsidRPr="00D03F3E">
        <w:rPr>
          <w:rFonts w:ascii="Times New Roman" w:hAnsi="Times New Roman"/>
          <w:color w:val="000000" w:themeColor="text1"/>
          <w:sz w:val="16"/>
          <w:szCs w:val="16"/>
        </w:rPr>
        <w:softHyphen/>
        <w:t xml:space="preserve">чаях оставались такими же, как и при ударах 6 мая. Претерпел изменения лишь маршрут полета к цели, который был проложен </w:t>
      </w:r>
      <w:r w:rsidRPr="00D03F3E">
        <w:rPr>
          <w:rFonts w:ascii="Times New Roman" w:hAnsi="Times New Roman"/>
          <w:iCs/>
          <w:color w:val="000000" w:themeColor="text1"/>
          <w:sz w:val="16"/>
          <w:szCs w:val="16"/>
        </w:rPr>
        <w:t>«с учетом дополнитель</w:t>
      </w:r>
      <w:r w:rsidRPr="00D03F3E">
        <w:rPr>
          <w:rFonts w:ascii="Times New Roman" w:hAnsi="Times New Roman"/>
          <w:iCs/>
          <w:color w:val="000000" w:themeColor="text1"/>
          <w:sz w:val="16"/>
          <w:szCs w:val="16"/>
        </w:rPr>
        <w:softHyphen/>
        <w:t>но вскрытого аэродрома Хомуты, где базировалось до 30 истребителей про</w:t>
      </w:r>
      <w:r w:rsidRPr="00D03F3E">
        <w:rPr>
          <w:rFonts w:ascii="Times New Roman" w:hAnsi="Times New Roman"/>
          <w:iCs/>
          <w:color w:val="000000" w:themeColor="text1"/>
          <w:sz w:val="16"/>
          <w:szCs w:val="16"/>
        </w:rPr>
        <w:softHyphen/>
        <w:t>тивника ФВ-190».</w:t>
      </w:r>
    </w:p>
    <w:p w14:paraId="30C4621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Налицо шаблон в выполнении уда</w:t>
      </w:r>
      <w:r w:rsidRPr="00D03F3E">
        <w:rPr>
          <w:rFonts w:ascii="Times New Roman" w:hAnsi="Times New Roman"/>
          <w:color w:val="000000" w:themeColor="text1"/>
          <w:sz w:val="16"/>
          <w:szCs w:val="16"/>
        </w:rPr>
        <w:softHyphen/>
        <w:t>ра, что является грубейшей ошибкой командного состава 16-й воздушной армии, дивизий и полков. Но даже и этот уже знакомый всем план полнос</w:t>
      </w:r>
      <w:r w:rsidRPr="00D03F3E">
        <w:rPr>
          <w:rFonts w:ascii="Times New Roman" w:hAnsi="Times New Roman"/>
          <w:color w:val="000000" w:themeColor="text1"/>
          <w:sz w:val="16"/>
          <w:szCs w:val="16"/>
        </w:rPr>
        <w:softHyphen/>
        <w:t>тью выполнен не был. Все карты спу</w:t>
      </w:r>
      <w:r w:rsidRPr="00D03F3E">
        <w:rPr>
          <w:rFonts w:ascii="Times New Roman" w:hAnsi="Times New Roman"/>
          <w:color w:val="000000" w:themeColor="text1"/>
          <w:sz w:val="16"/>
          <w:szCs w:val="16"/>
        </w:rPr>
        <w:softHyphen/>
        <w:t>тал штаб 16-й ВА, который по невыяс</w:t>
      </w:r>
      <w:r w:rsidRPr="00D03F3E">
        <w:rPr>
          <w:rFonts w:ascii="Times New Roman" w:hAnsi="Times New Roman"/>
          <w:color w:val="000000" w:themeColor="text1"/>
          <w:sz w:val="16"/>
          <w:szCs w:val="16"/>
        </w:rPr>
        <w:softHyphen/>
        <w:t>ненным причинам перенес время на</w:t>
      </w:r>
      <w:r w:rsidRPr="00D03F3E">
        <w:rPr>
          <w:rFonts w:ascii="Times New Roman" w:hAnsi="Times New Roman"/>
          <w:color w:val="000000" w:themeColor="text1"/>
          <w:sz w:val="16"/>
          <w:szCs w:val="16"/>
        </w:rPr>
        <w:softHyphen/>
        <w:t>несения удара по аэродромам на бо</w:t>
      </w:r>
      <w:r w:rsidRPr="00D03F3E">
        <w:rPr>
          <w:rFonts w:ascii="Times New Roman" w:hAnsi="Times New Roman"/>
          <w:color w:val="000000" w:themeColor="text1"/>
          <w:sz w:val="16"/>
          <w:szCs w:val="16"/>
        </w:rPr>
        <w:softHyphen/>
        <w:t>лее ранний срок и дал изменения по целям. Удар должен был наноситься только по аэродромам Б. Куликовка и Хмелевая и не в 5.40, как это было определено в предварительном бое</w:t>
      </w:r>
      <w:r w:rsidRPr="00D03F3E">
        <w:rPr>
          <w:rFonts w:ascii="Times New Roman" w:hAnsi="Times New Roman"/>
          <w:color w:val="000000" w:themeColor="text1"/>
          <w:sz w:val="16"/>
          <w:szCs w:val="16"/>
        </w:rPr>
        <w:softHyphen/>
        <w:t>вом распоряжении, а на 40 минут рань</w:t>
      </w:r>
      <w:r w:rsidRPr="00D03F3E">
        <w:rPr>
          <w:rFonts w:ascii="Times New Roman" w:hAnsi="Times New Roman"/>
          <w:color w:val="000000" w:themeColor="text1"/>
          <w:sz w:val="16"/>
          <w:szCs w:val="16"/>
        </w:rPr>
        <w:softHyphen/>
        <w:t>ше, то есть уже через 15 минут после взлета штурмовиков по первоначаль</w:t>
      </w:r>
      <w:r w:rsidRPr="00D03F3E">
        <w:rPr>
          <w:rFonts w:ascii="Times New Roman" w:hAnsi="Times New Roman"/>
          <w:color w:val="000000" w:themeColor="text1"/>
          <w:sz w:val="16"/>
          <w:szCs w:val="16"/>
        </w:rPr>
        <w:softHyphen/>
        <w:t>ному плану, что было не реально.</w:t>
      </w:r>
    </w:p>
    <w:p w14:paraId="78F47D8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Судя по документам, перенесение срока нанесения ударов во всех выде</w:t>
      </w:r>
      <w:r w:rsidRPr="00D03F3E">
        <w:rPr>
          <w:rFonts w:ascii="Times New Roman" w:hAnsi="Times New Roman"/>
          <w:color w:val="000000" w:themeColor="text1"/>
          <w:sz w:val="16"/>
          <w:szCs w:val="16"/>
        </w:rPr>
        <w:softHyphen/>
        <w:t>ленных для удара дивизиях вызвало оп</w:t>
      </w:r>
      <w:r w:rsidRPr="00D03F3E">
        <w:rPr>
          <w:rFonts w:ascii="Times New Roman" w:hAnsi="Times New Roman"/>
          <w:color w:val="000000" w:themeColor="text1"/>
          <w:sz w:val="16"/>
          <w:szCs w:val="16"/>
        </w:rPr>
        <w:softHyphen/>
        <w:t>ределенную «нервозность», переходя</w:t>
      </w:r>
      <w:r w:rsidRPr="00D03F3E">
        <w:rPr>
          <w:rFonts w:ascii="Times New Roman" w:hAnsi="Times New Roman"/>
          <w:color w:val="000000" w:themeColor="text1"/>
          <w:sz w:val="16"/>
          <w:szCs w:val="16"/>
        </w:rPr>
        <w:softHyphen/>
        <w:t>щую в «легкую панику».</w:t>
      </w:r>
    </w:p>
    <w:p w14:paraId="5681589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выяснилось позже на следствии, организация удара 7 мая в дивизиях и полках ограничилась только постанов</w:t>
      </w:r>
      <w:r w:rsidRPr="00D03F3E">
        <w:rPr>
          <w:rFonts w:ascii="Times New Roman" w:hAnsi="Times New Roman"/>
          <w:color w:val="000000" w:themeColor="text1"/>
          <w:sz w:val="16"/>
          <w:szCs w:val="16"/>
        </w:rPr>
        <w:softHyphen/>
        <w:t xml:space="preserve">кой задачи, </w:t>
      </w:r>
      <w:r w:rsidRPr="00D03F3E">
        <w:rPr>
          <w:rFonts w:ascii="Times New Roman" w:hAnsi="Times New Roman"/>
          <w:iCs/>
          <w:color w:val="000000" w:themeColor="text1"/>
          <w:sz w:val="16"/>
          <w:szCs w:val="16"/>
        </w:rPr>
        <w:t>«специального проигрыша боевого налета, как это было 6.05, не производили из-за недостатка време</w:t>
      </w:r>
      <w:r w:rsidRPr="00D03F3E">
        <w:rPr>
          <w:rFonts w:ascii="Times New Roman" w:hAnsi="Times New Roman"/>
          <w:iCs/>
          <w:color w:val="000000" w:themeColor="text1"/>
          <w:sz w:val="16"/>
          <w:szCs w:val="16"/>
        </w:rPr>
        <w:softHyphen/>
        <w:t xml:space="preserve">ни». </w:t>
      </w:r>
      <w:r w:rsidRPr="00D03F3E">
        <w:rPr>
          <w:rFonts w:ascii="Times New Roman" w:hAnsi="Times New Roman"/>
          <w:color w:val="000000" w:themeColor="text1"/>
          <w:sz w:val="16"/>
          <w:szCs w:val="16"/>
        </w:rPr>
        <w:t>У ведущих групп штурмовиков и истребителей не было полной догово</w:t>
      </w:r>
      <w:r w:rsidRPr="00D03F3E">
        <w:rPr>
          <w:rFonts w:ascii="Times New Roman" w:hAnsi="Times New Roman"/>
          <w:color w:val="000000" w:themeColor="text1"/>
          <w:sz w:val="16"/>
          <w:szCs w:val="16"/>
        </w:rPr>
        <w:softHyphen/>
        <w:t>ренности о порядке выполнения бое</w:t>
      </w:r>
      <w:r w:rsidRPr="00D03F3E">
        <w:rPr>
          <w:rFonts w:ascii="Times New Roman" w:hAnsi="Times New Roman"/>
          <w:color w:val="000000" w:themeColor="text1"/>
          <w:sz w:val="16"/>
          <w:szCs w:val="16"/>
        </w:rPr>
        <w:softHyphen/>
        <w:t xml:space="preserve">вого задания и взаимодействия в бою. Например, летчики 1 76-го и 563-го </w:t>
      </w:r>
      <w:r w:rsidRPr="00D03F3E">
        <w:rPr>
          <w:rFonts w:ascii="Times New Roman" w:hAnsi="Times New Roman"/>
          <w:iCs/>
          <w:color w:val="000000" w:themeColor="text1"/>
          <w:sz w:val="16"/>
          <w:szCs w:val="16"/>
        </w:rPr>
        <w:t xml:space="preserve">иап «не знали точного маршрута подхода к цели» </w:t>
      </w:r>
      <w:r w:rsidRPr="00D03F3E">
        <w:rPr>
          <w:rFonts w:ascii="Times New Roman" w:hAnsi="Times New Roman"/>
          <w:color w:val="000000" w:themeColor="text1"/>
          <w:sz w:val="16"/>
          <w:szCs w:val="16"/>
        </w:rPr>
        <w:t>прикрываемых групп Ил-2, на</w:t>
      </w:r>
      <w:r w:rsidRPr="00D03F3E">
        <w:rPr>
          <w:rFonts w:ascii="Times New Roman" w:hAnsi="Times New Roman"/>
          <w:color w:val="000000" w:themeColor="text1"/>
          <w:sz w:val="16"/>
          <w:szCs w:val="16"/>
        </w:rPr>
        <w:softHyphen/>
        <w:t>правление и порядок выполнения за</w:t>
      </w:r>
      <w:r w:rsidRPr="00D03F3E">
        <w:rPr>
          <w:rFonts w:ascii="Times New Roman" w:hAnsi="Times New Roman"/>
          <w:color w:val="000000" w:themeColor="text1"/>
          <w:sz w:val="16"/>
          <w:szCs w:val="16"/>
        </w:rPr>
        <w:softHyphen/>
        <w:t>ходов на цель, обратный маршрут и т.д. Вследствие этого истребители мог</w:t>
      </w:r>
      <w:r w:rsidRPr="00D03F3E">
        <w:rPr>
          <w:rFonts w:ascii="Times New Roman" w:hAnsi="Times New Roman"/>
          <w:color w:val="000000" w:themeColor="text1"/>
          <w:sz w:val="16"/>
          <w:szCs w:val="16"/>
        </w:rPr>
        <w:softHyphen/>
        <w:t xml:space="preserve">ли только пристроиться к штурмовикам и не более. В этих полках о боевом вылете было известно лишь следующее: </w:t>
      </w:r>
      <w:r w:rsidRPr="00D03F3E">
        <w:rPr>
          <w:rFonts w:ascii="Times New Roman" w:hAnsi="Times New Roman"/>
          <w:iCs/>
          <w:color w:val="000000" w:themeColor="text1"/>
          <w:sz w:val="16"/>
          <w:szCs w:val="16"/>
        </w:rPr>
        <w:t xml:space="preserve">«4.00 7.05 генерал </w:t>
      </w:r>
      <w:r w:rsidRPr="00D03F3E">
        <w:rPr>
          <w:rFonts w:ascii="Times New Roman" w:hAnsi="Times New Roman"/>
          <w:color w:val="000000" w:themeColor="text1"/>
          <w:sz w:val="16"/>
          <w:szCs w:val="16"/>
        </w:rPr>
        <w:t xml:space="preserve">(командир 283-й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 xml:space="preserve">генерал-лейтенант С. П. Денисов — авт.) </w:t>
      </w:r>
      <w:r w:rsidRPr="00D03F3E">
        <w:rPr>
          <w:rFonts w:ascii="Times New Roman" w:hAnsi="Times New Roman"/>
          <w:iCs/>
          <w:color w:val="000000" w:themeColor="text1"/>
          <w:sz w:val="16"/>
          <w:szCs w:val="16"/>
        </w:rPr>
        <w:t>приказал всеми исправными са</w:t>
      </w:r>
      <w:r w:rsidRPr="00D03F3E">
        <w:rPr>
          <w:rFonts w:ascii="Times New Roman" w:hAnsi="Times New Roman"/>
          <w:iCs/>
          <w:color w:val="000000" w:themeColor="text1"/>
          <w:sz w:val="16"/>
          <w:szCs w:val="16"/>
        </w:rPr>
        <w:softHyphen/>
        <w:t xml:space="preserve">молетами сопровождать 6-8 Ил-2 в район Хмелевая, самолеты придут на ваши аэродромы через 25—30 минут на высоте 400 м с левым кругом». </w:t>
      </w:r>
      <w:r w:rsidRPr="00D03F3E">
        <w:rPr>
          <w:rFonts w:ascii="Times New Roman" w:hAnsi="Times New Roman"/>
          <w:color w:val="000000" w:themeColor="text1"/>
          <w:sz w:val="16"/>
          <w:szCs w:val="16"/>
        </w:rPr>
        <w:t xml:space="preserve">Как следует из акта расследования летно-боевых потерь 563-го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для подго</w:t>
      </w:r>
      <w:r w:rsidRPr="00D03F3E">
        <w:rPr>
          <w:rFonts w:ascii="Times New Roman" w:hAnsi="Times New Roman"/>
          <w:color w:val="000000" w:themeColor="text1"/>
          <w:sz w:val="16"/>
          <w:szCs w:val="16"/>
        </w:rPr>
        <w:softHyphen/>
        <w:t xml:space="preserve">товки к боевому вылету летчиками </w:t>
      </w:r>
      <w:r w:rsidRPr="00D03F3E">
        <w:rPr>
          <w:rFonts w:ascii="Times New Roman" w:hAnsi="Times New Roman"/>
          <w:iCs/>
          <w:color w:val="000000" w:themeColor="text1"/>
          <w:sz w:val="16"/>
          <w:szCs w:val="16"/>
        </w:rPr>
        <w:t>«было затрачено 30—40 минут».</w:t>
      </w:r>
    </w:p>
    <w:p w14:paraId="3B30BF6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Командиру 299-й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полковнику И.В. Крупскому удалось вовремя вы</w:t>
      </w:r>
      <w:r w:rsidRPr="00D03F3E">
        <w:rPr>
          <w:rFonts w:ascii="Times New Roman" w:hAnsi="Times New Roman"/>
          <w:color w:val="000000" w:themeColor="text1"/>
          <w:sz w:val="16"/>
          <w:szCs w:val="16"/>
        </w:rPr>
        <w:softHyphen/>
        <w:t>полнить распоряжение командарма. В 4.00 он направил на имя генерала С.И. Руденко шифрованную телеграм</w:t>
      </w:r>
      <w:r w:rsidRPr="00D03F3E">
        <w:rPr>
          <w:rFonts w:ascii="Times New Roman" w:hAnsi="Times New Roman"/>
          <w:color w:val="000000" w:themeColor="text1"/>
          <w:sz w:val="16"/>
          <w:szCs w:val="16"/>
        </w:rPr>
        <w:softHyphen/>
        <w:t>му, в которой подтвердил вылет само</w:t>
      </w:r>
      <w:r w:rsidRPr="00D03F3E">
        <w:rPr>
          <w:rFonts w:ascii="Times New Roman" w:hAnsi="Times New Roman"/>
          <w:color w:val="000000" w:themeColor="text1"/>
          <w:sz w:val="16"/>
          <w:szCs w:val="16"/>
        </w:rPr>
        <w:softHyphen/>
        <w:t>летов дивизии для выполнения постав</w:t>
      </w:r>
      <w:r w:rsidRPr="00D03F3E">
        <w:rPr>
          <w:rFonts w:ascii="Times New Roman" w:hAnsi="Times New Roman"/>
          <w:color w:val="000000" w:themeColor="text1"/>
          <w:sz w:val="16"/>
          <w:szCs w:val="16"/>
        </w:rPr>
        <w:softHyphen/>
        <w:t xml:space="preserve">ленной задачи: </w:t>
      </w:r>
      <w:r w:rsidRPr="00D03F3E">
        <w:rPr>
          <w:rFonts w:ascii="Times New Roman" w:hAnsi="Times New Roman"/>
          <w:iCs/>
          <w:color w:val="000000" w:themeColor="text1"/>
          <w:sz w:val="16"/>
          <w:szCs w:val="16"/>
        </w:rPr>
        <w:t>«Вручить немедленно. Руденко. ...Доношу на атаку цели вы</w:t>
      </w:r>
      <w:r w:rsidRPr="00D03F3E">
        <w:rPr>
          <w:rFonts w:ascii="Times New Roman" w:hAnsi="Times New Roman"/>
          <w:iCs/>
          <w:color w:val="000000" w:themeColor="text1"/>
          <w:sz w:val="16"/>
          <w:szCs w:val="16"/>
        </w:rPr>
        <w:softHyphen/>
        <w:t>делено две группы по 8 самолетов от 218 шап под прикрытием двух групп истребителей по 6 самолетов. Крупекии».</w:t>
      </w:r>
    </w:p>
    <w:p w14:paraId="582C63E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самом худшем положении оказа</w:t>
      </w:r>
      <w:r w:rsidRPr="00D03F3E">
        <w:rPr>
          <w:rFonts w:ascii="Times New Roman" w:hAnsi="Times New Roman"/>
          <w:color w:val="000000" w:themeColor="text1"/>
          <w:sz w:val="16"/>
          <w:szCs w:val="16"/>
        </w:rPr>
        <w:softHyphen/>
        <w:t xml:space="preserve">лись части 2-й </w:t>
      </w:r>
      <w:r w:rsidRPr="00D03F3E">
        <w:rPr>
          <w:rFonts w:ascii="Times New Roman" w:hAnsi="Times New Roman"/>
          <w:iCs/>
          <w:color w:val="000000" w:themeColor="text1"/>
          <w:sz w:val="16"/>
          <w:szCs w:val="16"/>
        </w:rPr>
        <w:t xml:space="preserve">гшад, </w:t>
      </w:r>
      <w:r w:rsidRPr="00D03F3E">
        <w:rPr>
          <w:rFonts w:ascii="Times New Roman" w:hAnsi="Times New Roman"/>
          <w:color w:val="000000" w:themeColor="text1"/>
          <w:sz w:val="16"/>
          <w:szCs w:val="16"/>
        </w:rPr>
        <w:t>штаб которой по</w:t>
      </w:r>
      <w:r w:rsidRPr="00D03F3E">
        <w:rPr>
          <w:rFonts w:ascii="Times New Roman" w:hAnsi="Times New Roman"/>
          <w:color w:val="000000" w:themeColor="text1"/>
          <w:sz w:val="16"/>
          <w:szCs w:val="16"/>
        </w:rPr>
        <w:softHyphen/>
        <w:t>лучил боевое распоряжение позже всех, буквально за несколько минут до вылета. По этой причине начальник штаба дивизии п-к И.А. Трушин был вы</w:t>
      </w:r>
      <w:r w:rsidRPr="00D03F3E">
        <w:rPr>
          <w:rFonts w:ascii="Times New Roman" w:hAnsi="Times New Roman"/>
          <w:color w:val="000000" w:themeColor="text1"/>
          <w:sz w:val="16"/>
          <w:szCs w:val="16"/>
        </w:rPr>
        <w:softHyphen/>
        <w:t xml:space="preserve">нужден ставить </w:t>
      </w:r>
      <w:r w:rsidRPr="00D03F3E">
        <w:rPr>
          <w:rFonts w:ascii="Times New Roman" w:hAnsi="Times New Roman"/>
          <w:iCs/>
          <w:color w:val="000000" w:themeColor="text1"/>
          <w:sz w:val="16"/>
          <w:szCs w:val="16"/>
        </w:rPr>
        <w:t xml:space="preserve">«задачу полкам ...по проводам» </w:t>
      </w:r>
      <w:r w:rsidRPr="00D03F3E">
        <w:rPr>
          <w:rFonts w:ascii="Times New Roman" w:hAnsi="Times New Roman"/>
          <w:color w:val="000000" w:themeColor="text1"/>
          <w:sz w:val="16"/>
          <w:szCs w:val="16"/>
        </w:rPr>
        <w:t>и отдать приказ на вылет по тревоге. Времени для детального уяснения летным составом изменений боевой задачи не оставалось. Задача на вылет экипажам ставилась в пол</w:t>
      </w:r>
      <w:r w:rsidRPr="00D03F3E">
        <w:rPr>
          <w:rFonts w:ascii="Times New Roman" w:hAnsi="Times New Roman"/>
          <w:color w:val="000000" w:themeColor="text1"/>
          <w:sz w:val="16"/>
          <w:szCs w:val="16"/>
        </w:rPr>
        <w:softHyphen/>
        <w:t>ках, что называется, на ходу.</w:t>
      </w:r>
    </w:p>
    <w:p w14:paraId="3A0194A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Давая объяснения по поводу боль</w:t>
      </w:r>
      <w:r w:rsidRPr="00D03F3E">
        <w:rPr>
          <w:rFonts w:ascii="Times New Roman" w:hAnsi="Times New Roman"/>
          <w:color w:val="000000" w:themeColor="text1"/>
          <w:sz w:val="16"/>
          <w:szCs w:val="16"/>
        </w:rPr>
        <w:softHyphen/>
        <w:t xml:space="preserve">ших потерь дивизии 7 мая, п-к Трушин показал, что </w:t>
      </w:r>
      <w:r w:rsidRPr="00D03F3E">
        <w:rPr>
          <w:rFonts w:ascii="Times New Roman" w:hAnsi="Times New Roman"/>
          <w:iCs/>
          <w:color w:val="000000" w:themeColor="text1"/>
          <w:sz w:val="16"/>
          <w:szCs w:val="16"/>
        </w:rPr>
        <w:t>«...задачу вылета по тре</w:t>
      </w:r>
      <w:r w:rsidRPr="00D03F3E">
        <w:rPr>
          <w:rFonts w:ascii="Times New Roman" w:hAnsi="Times New Roman"/>
          <w:iCs/>
          <w:color w:val="000000" w:themeColor="text1"/>
          <w:sz w:val="16"/>
          <w:szCs w:val="16"/>
        </w:rPr>
        <w:softHyphen/>
        <w:t>воге группам 58 и 79 гв. шап я поста</w:t>
      </w:r>
      <w:r w:rsidRPr="00D03F3E">
        <w:rPr>
          <w:rFonts w:ascii="Times New Roman" w:hAnsi="Times New Roman"/>
          <w:iCs/>
          <w:color w:val="000000" w:themeColor="text1"/>
          <w:sz w:val="16"/>
          <w:szCs w:val="16"/>
        </w:rPr>
        <w:softHyphen/>
        <w:t>вил только потому, что они шли на вы</w:t>
      </w:r>
      <w:r w:rsidRPr="00D03F3E">
        <w:rPr>
          <w:rFonts w:ascii="Times New Roman" w:hAnsi="Times New Roman"/>
          <w:iCs/>
          <w:color w:val="000000" w:themeColor="text1"/>
          <w:sz w:val="16"/>
          <w:szCs w:val="16"/>
        </w:rPr>
        <w:softHyphen/>
        <w:t>полнение аналогичной боевой задачи, что и 6.05».</w:t>
      </w:r>
    </w:p>
    <w:p w14:paraId="69B158B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xml:space="preserve">План взаимодействия штурмовиков и истребителей, подготовленный штабом 2-й </w:t>
      </w:r>
      <w:r w:rsidRPr="00D03F3E">
        <w:rPr>
          <w:rFonts w:ascii="Times New Roman" w:hAnsi="Times New Roman"/>
          <w:iCs/>
          <w:color w:val="000000" w:themeColor="text1"/>
          <w:sz w:val="16"/>
          <w:szCs w:val="16"/>
        </w:rPr>
        <w:t xml:space="preserve">гшад, </w:t>
      </w:r>
      <w:r w:rsidRPr="00D03F3E">
        <w:rPr>
          <w:rFonts w:ascii="Times New Roman" w:hAnsi="Times New Roman"/>
          <w:color w:val="000000" w:themeColor="text1"/>
          <w:sz w:val="16"/>
          <w:szCs w:val="16"/>
        </w:rPr>
        <w:t>остался только за под</w:t>
      </w:r>
      <w:r w:rsidRPr="00D03F3E">
        <w:rPr>
          <w:rFonts w:ascii="Times New Roman" w:hAnsi="Times New Roman"/>
          <w:color w:val="000000" w:themeColor="text1"/>
          <w:sz w:val="16"/>
          <w:szCs w:val="16"/>
        </w:rPr>
        <w:softHyphen/>
        <w:t>писью начальника штаба дивизии пол</w:t>
      </w:r>
      <w:r w:rsidRPr="00D03F3E">
        <w:rPr>
          <w:rFonts w:ascii="Times New Roman" w:hAnsi="Times New Roman"/>
          <w:color w:val="000000" w:themeColor="text1"/>
          <w:sz w:val="16"/>
          <w:szCs w:val="16"/>
        </w:rPr>
        <w:softHyphen/>
        <w:t>ковника И.А. Трушина. Подпись началь</w:t>
      </w:r>
      <w:r w:rsidRPr="00D03F3E">
        <w:rPr>
          <w:rFonts w:ascii="Times New Roman" w:hAnsi="Times New Roman"/>
          <w:color w:val="000000" w:themeColor="text1"/>
          <w:sz w:val="16"/>
          <w:szCs w:val="16"/>
        </w:rPr>
        <w:softHyphen/>
        <w:t xml:space="preserve">ника штаба 283-й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подполковника А.В. Рындина на документе отсутству</w:t>
      </w:r>
      <w:r w:rsidRPr="00D03F3E">
        <w:rPr>
          <w:rFonts w:ascii="Times New Roman" w:hAnsi="Times New Roman"/>
          <w:color w:val="000000" w:themeColor="text1"/>
          <w:sz w:val="16"/>
          <w:szCs w:val="16"/>
        </w:rPr>
        <w:softHyphen/>
        <w:t>ет. Как станет ясно из дальнейшего, неспроста. В плане не указаны район патрулирования своих истребителей при возвращении штурмовиков с бое</w:t>
      </w:r>
      <w:r w:rsidRPr="00D03F3E">
        <w:rPr>
          <w:rFonts w:ascii="Times New Roman" w:hAnsi="Times New Roman"/>
          <w:color w:val="000000" w:themeColor="text1"/>
          <w:sz w:val="16"/>
          <w:szCs w:val="16"/>
        </w:rPr>
        <w:softHyphen/>
        <w:t>вого задания, а также запасная цель. Время встречи групп штурмовиков с истребителями определено в 4.15— 4.19, а время удара по аэродрому Хмелевая — 5.00.</w:t>
      </w:r>
    </w:p>
    <w:p w14:paraId="53A509D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спешку, одновременно</w:t>
      </w:r>
      <w:r w:rsidRPr="00D03F3E">
        <w:rPr>
          <w:rFonts w:ascii="Times New Roman" w:hAnsi="Times New Roman"/>
          <w:color w:val="000000" w:themeColor="text1"/>
          <w:sz w:val="16"/>
          <w:szCs w:val="16"/>
        </w:rPr>
        <w:softHyphen/>
        <w:t>го удара четырех групп штурмовиков по двум аэродромам все равно не получи</w:t>
      </w:r>
      <w:r w:rsidRPr="00D03F3E">
        <w:rPr>
          <w:rFonts w:ascii="Times New Roman" w:hAnsi="Times New Roman"/>
          <w:color w:val="000000" w:themeColor="text1"/>
          <w:sz w:val="16"/>
          <w:szCs w:val="16"/>
        </w:rPr>
        <w:softHyphen/>
        <w:t xml:space="preserve">лось: Ил-2 от 2-й </w:t>
      </w:r>
      <w:r w:rsidRPr="00D03F3E">
        <w:rPr>
          <w:rFonts w:ascii="Times New Roman" w:hAnsi="Times New Roman"/>
          <w:iCs/>
          <w:color w:val="000000" w:themeColor="text1"/>
          <w:sz w:val="16"/>
          <w:szCs w:val="16"/>
        </w:rPr>
        <w:t xml:space="preserve">гшад </w:t>
      </w:r>
      <w:r w:rsidRPr="00D03F3E">
        <w:rPr>
          <w:rFonts w:ascii="Times New Roman" w:hAnsi="Times New Roman"/>
          <w:color w:val="000000" w:themeColor="text1"/>
          <w:sz w:val="16"/>
          <w:szCs w:val="16"/>
        </w:rPr>
        <w:t>к цели подошли примерно через 28—38 минут после на</w:t>
      </w:r>
      <w:r w:rsidRPr="00D03F3E">
        <w:rPr>
          <w:rFonts w:ascii="Times New Roman" w:hAnsi="Times New Roman"/>
          <w:color w:val="000000" w:themeColor="text1"/>
          <w:sz w:val="16"/>
          <w:szCs w:val="16"/>
        </w:rPr>
        <w:softHyphen/>
        <w:t xml:space="preserve">лета штурмовиков 299-й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Это по</w:t>
      </w:r>
      <w:r w:rsidRPr="00D03F3E">
        <w:rPr>
          <w:rFonts w:ascii="Times New Roman" w:hAnsi="Times New Roman"/>
          <w:color w:val="000000" w:themeColor="text1"/>
          <w:sz w:val="16"/>
          <w:szCs w:val="16"/>
        </w:rPr>
        <w:softHyphen/>
        <w:t>зволило противнику, последовательно сосредоточивая свою истребительную авиацию в районе каждого из аэродро</w:t>
      </w:r>
      <w:r w:rsidRPr="00D03F3E">
        <w:rPr>
          <w:rFonts w:ascii="Times New Roman" w:hAnsi="Times New Roman"/>
          <w:color w:val="000000" w:themeColor="text1"/>
          <w:sz w:val="16"/>
          <w:szCs w:val="16"/>
        </w:rPr>
        <w:softHyphen/>
        <w:t>мов, поочередно бить превосходящими силами группы наших штурмовиков и ис</w:t>
      </w:r>
      <w:r w:rsidRPr="00D03F3E">
        <w:rPr>
          <w:rFonts w:ascii="Times New Roman" w:hAnsi="Times New Roman"/>
          <w:color w:val="000000" w:themeColor="text1"/>
          <w:sz w:val="16"/>
          <w:szCs w:val="16"/>
        </w:rPr>
        <w:softHyphen/>
        <w:t xml:space="preserve">требителей. В результате штурмовики 218-го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понесли серьезные потери, а обе группы от 58-го и 79-го </w:t>
      </w:r>
      <w:r w:rsidRPr="00D03F3E">
        <w:rPr>
          <w:rFonts w:ascii="Times New Roman" w:hAnsi="Times New Roman"/>
          <w:iCs/>
          <w:color w:val="000000" w:themeColor="text1"/>
          <w:sz w:val="16"/>
          <w:szCs w:val="16"/>
        </w:rPr>
        <w:t xml:space="preserve">гшап </w:t>
      </w:r>
      <w:r w:rsidRPr="00D03F3E">
        <w:rPr>
          <w:rFonts w:ascii="Times New Roman" w:hAnsi="Times New Roman"/>
          <w:color w:val="000000" w:themeColor="text1"/>
          <w:sz w:val="16"/>
          <w:szCs w:val="16"/>
        </w:rPr>
        <w:t>фак</w:t>
      </w:r>
      <w:r w:rsidRPr="00D03F3E">
        <w:rPr>
          <w:rFonts w:ascii="Times New Roman" w:hAnsi="Times New Roman"/>
          <w:color w:val="000000" w:themeColor="text1"/>
          <w:sz w:val="16"/>
          <w:szCs w:val="16"/>
        </w:rPr>
        <w:softHyphen/>
        <w:t>тически были уничтожены.</w:t>
      </w:r>
    </w:p>
    <w:p w14:paraId="7D787BF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Анализ имеющихся архивных доку</w:t>
      </w:r>
      <w:r w:rsidRPr="00D03F3E">
        <w:rPr>
          <w:rFonts w:ascii="Times New Roman" w:hAnsi="Times New Roman"/>
          <w:color w:val="000000" w:themeColor="text1"/>
          <w:sz w:val="16"/>
          <w:szCs w:val="16"/>
        </w:rPr>
        <w:softHyphen/>
        <w:t>ментов позволяет реконструировать следующую последовательность собы</w:t>
      </w:r>
      <w:r w:rsidRPr="00D03F3E">
        <w:rPr>
          <w:rFonts w:ascii="Times New Roman" w:hAnsi="Times New Roman"/>
          <w:color w:val="000000" w:themeColor="text1"/>
          <w:sz w:val="16"/>
          <w:szCs w:val="16"/>
        </w:rPr>
        <w:softHyphen/>
        <w:t>тий того дня.</w:t>
      </w:r>
    </w:p>
    <w:p w14:paraId="123979C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Штурмовики 218-го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в двух груп</w:t>
      </w:r>
      <w:r w:rsidRPr="00D03F3E">
        <w:rPr>
          <w:rFonts w:ascii="Times New Roman" w:hAnsi="Times New Roman"/>
          <w:color w:val="000000" w:themeColor="text1"/>
          <w:sz w:val="16"/>
          <w:szCs w:val="16"/>
        </w:rPr>
        <w:softHyphen/>
        <w:t>пах по 7 Ил-2 в каждой (ведущие к-н Лебедев и к-н Кровяков) в сопро</w:t>
      </w:r>
      <w:r w:rsidRPr="00D03F3E">
        <w:rPr>
          <w:rFonts w:ascii="Times New Roman" w:hAnsi="Times New Roman"/>
          <w:color w:val="000000" w:themeColor="text1"/>
          <w:sz w:val="16"/>
          <w:szCs w:val="16"/>
        </w:rPr>
        <w:softHyphen/>
        <w:t xml:space="preserve">вождении двух шестерок истребителей Ла-5 от 297-го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подошли к аэро</w:t>
      </w:r>
      <w:r w:rsidRPr="00D03F3E">
        <w:rPr>
          <w:rFonts w:ascii="Times New Roman" w:hAnsi="Times New Roman"/>
          <w:color w:val="000000" w:themeColor="text1"/>
          <w:sz w:val="16"/>
          <w:szCs w:val="16"/>
        </w:rPr>
        <w:softHyphen/>
        <w:t>дрому Б. Куликовка в 5.22 и в течение 5 минут штурмовали и бомбили матчасть противника на стоянках.</w:t>
      </w:r>
    </w:p>
    <w:p w14:paraId="4202355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плану 10 Як-1 от 896-го иол дол</w:t>
      </w:r>
      <w:r w:rsidRPr="00D03F3E">
        <w:rPr>
          <w:rFonts w:ascii="Times New Roman" w:hAnsi="Times New Roman"/>
          <w:color w:val="000000" w:themeColor="text1"/>
          <w:sz w:val="16"/>
          <w:szCs w:val="16"/>
        </w:rPr>
        <w:softHyphen/>
        <w:t>жны были за 3—4 км до подхода к аэро</w:t>
      </w:r>
      <w:r w:rsidRPr="00D03F3E">
        <w:rPr>
          <w:rFonts w:ascii="Times New Roman" w:hAnsi="Times New Roman"/>
          <w:color w:val="000000" w:themeColor="text1"/>
          <w:sz w:val="16"/>
          <w:szCs w:val="16"/>
        </w:rPr>
        <w:softHyphen/>
        <w:t xml:space="preserve">дрому Б. Куликовка </w:t>
      </w:r>
      <w:r w:rsidRPr="00D03F3E">
        <w:rPr>
          <w:rFonts w:ascii="Times New Roman" w:hAnsi="Times New Roman"/>
          <w:iCs/>
          <w:color w:val="000000" w:themeColor="text1"/>
          <w:sz w:val="16"/>
          <w:szCs w:val="16"/>
        </w:rPr>
        <w:t xml:space="preserve">«выскочить вперед», </w:t>
      </w:r>
      <w:r w:rsidRPr="00D03F3E">
        <w:rPr>
          <w:rFonts w:ascii="Times New Roman" w:hAnsi="Times New Roman"/>
          <w:color w:val="000000" w:themeColor="text1"/>
          <w:sz w:val="16"/>
          <w:szCs w:val="16"/>
        </w:rPr>
        <w:t>блокировать аэродром и затем совме</w:t>
      </w:r>
      <w:r w:rsidRPr="00D03F3E">
        <w:rPr>
          <w:rFonts w:ascii="Times New Roman" w:hAnsi="Times New Roman"/>
          <w:color w:val="000000" w:themeColor="text1"/>
          <w:sz w:val="16"/>
          <w:szCs w:val="16"/>
        </w:rPr>
        <w:softHyphen/>
        <w:t xml:space="preserve">стно с экипажами </w:t>
      </w:r>
      <w:r w:rsidRPr="00D03F3E">
        <w:rPr>
          <w:rFonts w:ascii="Times New Roman" w:hAnsi="Times New Roman"/>
          <w:iCs/>
          <w:color w:val="000000" w:themeColor="text1"/>
          <w:sz w:val="16"/>
          <w:szCs w:val="16"/>
        </w:rPr>
        <w:t>297-го иап «прикры</w:t>
      </w:r>
      <w:r w:rsidRPr="00D03F3E">
        <w:rPr>
          <w:rFonts w:ascii="Times New Roman" w:hAnsi="Times New Roman"/>
          <w:iCs/>
          <w:color w:val="000000" w:themeColor="text1"/>
          <w:sz w:val="16"/>
          <w:szCs w:val="16"/>
        </w:rPr>
        <w:softHyphen/>
        <w:t xml:space="preserve">тием в районе цели» </w:t>
      </w:r>
      <w:r w:rsidRPr="00D03F3E">
        <w:rPr>
          <w:rFonts w:ascii="Times New Roman" w:hAnsi="Times New Roman"/>
          <w:color w:val="000000" w:themeColor="text1"/>
          <w:sz w:val="16"/>
          <w:szCs w:val="16"/>
        </w:rPr>
        <w:t>обеспечить дей</w:t>
      </w:r>
      <w:r w:rsidRPr="00D03F3E">
        <w:rPr>
          <w:rFonts w:ascii="Times New Roman" w:hAnsi="Times New Roman"/>
          <w:color w:val="000000" w:themeColor="text1"/>
          <w:sz w:val="16"/>
          <w:szCs w:val="16"/>
        </w:rPr>
        <w:softHyphen/>
        <w:t>ствия штурмовиков. Однако, как сле</w:t>
      </w:r>
      <w:r w:rsidRPr="00D03F3E">
        <w:rPr>
          <w:rFonts w:ascii="Times New Roman" w:hAnsi="Times New Roman"/>
          <w:color w:val="000000" w:themeColor="text1"/>
          <w:sz w:val="16"/>
          <w:szCs w:val="16"/>
        </w:rPr>
        <w:softHyphen/>
        <w:t xml:space="preserve">дует из боевого донесения командира 896-го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майора Семенко, встреча блокирующей группы истребителей со штурмовиками и группой непосред</w:t>
      </w:r>
      <w:r w:rsidRPr="00D03F3E">
        <w:rPr>
          <w:rFonts w:ascii="Times New Roman" w:hAnsi="Times New Roman"/>
          <w:color w:val="000000" w:themeColor="text1"/>
          <w:sz w:val="16"/>
          <w:szCs w:val="16"/>
        </w:rPr>
        <w:softHyphen/>
        <w:t>ственного истребительного сопровож</w:t>
      </w:r>
      <w:r w:rsidRPr="00D03F3E">
        <w:rPr>
          <w:rFonts w:ascii="Times New Roman" w:hAnsi="Times New Roman"/>
          <w:color w:val="000000" w:themeColor="text1"/>
          <w:sz w:val="16"/>
          <w:szCs w:val="16"/>
        </w:rPr>
        <w:softHyphen/>
        <w:t xml:space="preserve">дения не состоялась. Истребители 896-го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 xml:space="preserve">выполняли боевую задачу самостоятельно. Когда они подошли к аэродрому Б. Куликовка, </w:t>
      </w:r>
      <w:r w:rsidRPr="00D03F3E">
        <w:rPr>
          <w:rFonts w:ascii="Times New Roman" w:hAnsi="Times New Roman"/>
          <w:iCs/>
          <w:color w:val="000000" w:themeColor="text1"/>
          <w:sz w:val="16"/>
          <w:szCs w:val="16"/>
        </w:rPr>
        <w:t xml:space="preserve">«там уже все горело», </w:t>
      </w:r>
      <w:r w:rsidRPr="00D03F3E">
        <w:rPr>
          <w:rFonts w:ascii="Times New Roman" w:hAnsi="Times New Roman"/>
          <w:color w:val="000000" w:themeColor="text1"/>
          <w:sz w:val="16"/>
          <w:szCs w:val="16"/>
        </w:rPr>
        <w:t>штурмовики «отработали» бо</w:t>
      </w:r>
      <w:r w:rsidRPr="00D03F3E">
        <w:rPr>
          <w:rFonts w:ascii="Times New Roman" w:hAnsi="Times New Roman"/>
          <w:color w:val="000000" w:themeColor="text1"/>
          <w:sz w:val="16"/>
          <w:szCs w:val="16"/>
        </w:rPr>
        <w:softHyphen/>
        <w:t>евую задачу и отходили на свою тер</w:t>
      </w:r>
      <w:r w:rsidRPr="00D03F3E">
        <w:rPr>
          <w:rFonts w:ascii="Times New Roman" w:hAnsi="Times New Roman"/>
          <w:color w:val="000000" w:themeColor="text1"/>
          <w:sz w:val="16"/>
          <w:szCs w:val="16"/>
        </w:rPr>
        <w:softHyphen/>
        <w:t xml:space="preserve">риторию. Не обнаружив в районе цели штурмовиков, истребители 896-го </w:t>
      </w:r>
      <w:r w:rsidRPr="00D03F3E">
        <w:rPr>
          <w:rFonts w:ascii="Times New Roman" w:hAnsi="Times New Roman"/>
          <w:iCs/>
          <w:color w:val="000000" w:themeColor="text1"/>
          <w:sz w:val="16"/>
          <w:szCs w:val="16"/>
        </w:rPr>
        <w:t>иап «встали на обратный маршрут».</w:t>
      </w:r>
    </w:p>
    <w:p w14:paraId="69C5273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временем, обе группы Ил-2 на отходе от аэродрома были атакованы немецкими истребителями и вели с ними воздушный бой.</w:t>
      </w:r>
    </w:p>
    <w:p w14:paraId="4B7E564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сожалению, штурмовикам не уда</w:t>
      </w:r>
      <w:r w:rsidRPr="00D03F3E">
        <w:rPr>
          <w:rFonts w:ascii="Times New Roman" w:hAnsi="Times New Roman"/>
          <w:color w:val="000000" w:themeColor="text1"/>
          <w:sz w:val="16"/>
          <w:szCs w:val="16"/>
        </w:rPr>
        <w:softHyphen/>
        <w:t>лось после атаки аэродрома сохранить целостность общего боевого порядка, и обе группы возвращались разными маршрутами. Это обстоятельство не позволило истребителям прикрытия обеспечить надежную защиту штурмо</w:t>
      </w:r>
      <w:r w:rsidRPr="00D03F3E">
        <w:rPr>
          <w:rFonts w:ascii="Times New Roman" w:hAnsi="Times New Roman"/>
          <w:color w:val="000000" w:themeColor="text1"/>
          <w:sz w:val="16"/>
          <w:szCs w:val="16"/>
        </w:rPr>
        <w:softHyphen/>
        <w:t>виков в условиях применения против</w:t>
      </w:r>
      <w:r w:rsidRPr="00D03F3E">
        <w:rPr>
          <w:rFonts w:ascii="Times New Roman" w:hAnsi="Times New Roman"/>
          <w:color w:val="000000" w:themeColor="text1"/>
          <w:sz w:val="16"/>
          <w:szCs w:val="16"/>
        </w:rPr>
        <w:softHyphen/>
        <w:t>ником больших групп своей истреби</w:t>
      </w:r>
      <w:r w:rsidRPr="00D03F3E">
        <w:rPr>
          <w:rFonts w:ascii="Times New Roman" w:hAnsi="Times New Roman"/>
          <w:color w:val="000000" w:themeColor="text1"/>
          <w:sz w:val="16"/>
          <w:szCs w:val="16"/>
        </w:rPr>
        <w:softHyphen/>
        <w:t>тельной авиации.</w:t>
      </w:r>
    </w:p>
    <w:p w14:paraId="48C1A25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Шестерка Ил-2 командира эскадри</w:t>
      </w:r>
      <w:r w:rsidRPr="00D03F3E">
        <w:rPr>
          <w:rFonts w:ascii="Times New Roman" w:hAnsi="Times New Roman"/>
          <w:color w:val="000000" w:themeColor="text1"/>
          <w:sz w:val="16"/>
          <w:szCs w:val="16"/>
        </w:rPr>
        <w:softHyphen/>
        <w:t>льи капитана Лебедева, которая ата</w:t>
      </w:r>
      <w:r w:rsidRPr="00D03F3E">
        <w:rPr>
          <w:rFonts w:ascii="Times New Roman" w:hAnsi="Times New Roman"/>
          <w:color w:val="000000" w:themeColor="text1"/>
          <w:sz w:val="16"/>
          <w:szCs w:val="16"/>
        </w:rPr>
        <w:softHyphen/>
        <w:t>ковала аэродром первой, была пере</w:t>
      </w:r>
      <w:r w:rsidRPr="00D03F3E">
        <w:rPr>
          <w:rFonts w:ascii="Times New Roman" w:hAnsi="Times New Roman"/>
          <w:color w:val="000000" w:themeColor="text1"/>
          <w:sz w:val="16"/>
          <w:szCs w:val="16"/>
        </w:rPr>
        <w:softHyphen/>
        <w:t>хвачена истребителями противника (до 8—10 ФВ190) в районе Сергиевс</w:t>
      </w:r>
      <w:r w:rsidRPr="00D03F3E">
        <w:rPr>
          <w:rFonts w:ascii="Times New Roman" w:hAnsi="Times New Roman"/>
          <w:color w:val="000000" w:themeColor="text1"/>
          <w:sz w:val="16"/>
          <w:szCs w:val="16"/>
        </w:rPr>
        <w:softHyphen/>
        <w:t xml:space="preserve">кое. Прикрывающих истребителей от </w:t>
      </w:r>
      <w:r w:rsidRPr="00D03F3E">
        <w:rPr>
          <w:rFonts w:ascii="Times New Roman" w:hAnsi="Times New Roman"/>
          <w:iCs/>
          <w:color w:val="000000" w:themeColor="text1"/>
          <w:sz w:val="16"/>
          <w:szCs w:val="16"/>
        </w:rPr>
        <w:t xml:space="preserve">297-т иап </w:t>
      </w:r>
      <w:r w:rsidRPr="00D03F3E">
        <w:rPr>
          <w:rFonts w:ascii="Times New Roman" w:hAnsi="Times New Roman"/>
          <w:color w:val="000000" w:themeColor="text1"/>
          <w:sz w:val="16"/>
          <w:szCs w:val="16"/>
        </w:rPr>
        <w:t>в районе боя не оказалось. В первой же атаке к-н Лебедев (воз</w:t>
      </w:r>
      <w:r w:rsidRPr="00D03F3E">
        <w:rPr>
          <w:rFonts w:ascii="Times New Roman" w:hAnsi="Times New Roman"/>
          <w:color w:val="000000" w:themeColor="text1"/>
          <w:sz w:val="16"/>
          <w:szCs w:val="16"/>
        </w:rPr>
        <w:softHyphen/>
        <w:t>душный стрелок сержант Ляхов) был сбит. Почти одновременно были сби</w:t>
      </w:r>
      <w:r w:rsidRPr="00D03F3E">
        <w:rPr>
          <w:rFonts w:ascii="Times New Roman" w:hAnsi="Times New Roman"/>
          <w:color w:val="000000" w:themeColor="text1"/>
          <w:sz w:val="16"/>
          <w:szCs w:val="16"/>
        </w:rPr>
        <w:softHyphen/>
        <w:t>ты и его ведомые: мл. л-т Соковнин и мл. л-т Назаров (воздушный стрелок сержант Николаенко). Все экипажи упа</w:t>
      </w:r>
      <w:r w:rsidRPr="00D03F3E">
        <w:rPr>
          <w:rFonts w:ascii="Times New Roman" w:hAnsi="Times New Roman"/>
          <w:color w:val="000000" w:themeColor="text1"/>
          <w:sz w:val="16"/>
          <w:szCs w:val="16"/>
        </w:rPr>
        <w:softHyphen/>
        <w:t>ли в районе Сергиевское. Получил по</w:t>
      </w:r>
      <w:r w:rsidRPr="00D03F3E">
        <w:rPr>
          <w:rFonts w:ascii="Times New Roman" w:hAnsi="Times New Roman"/>
          <w:color w:val="000000" w:themeColor="text1"/>
          <w:sz w:val="16"/>
          <w:szCs w:val="16"/>
        </w:rPr>
        <w:softHyphen/>
        <w:t>вреждения и после ухода истребите</w:t>
      </w:r>
      <w:r w:rsidRPr="00D03F3E">
        <w:rPr>
          <w:rFonts w:ascii="Times New Roman" w:hAnsi="Times New Roman"/>
          <w:color w:val="000000" w:themeColor="text1"/>
          <w:sz w:val="16"/>
          <w:szCs w:val="16"/>
        </w:rPr>
        <w:softHyphen/>
        <w:t>лей противника произвел вынужденную посадку на аэродром Круглики мл. л-т Губин (воздушный стрелок Лавренков).</w:t>
      </w:r>
    </w:p>
    <w:p w14:paraId="477D995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Вскоре на помощь подошли 6 Ла-5 из группы прикрытия. Им удалось от</w:t>
      </w:r>
      <w:r w:rsidRPr="00D03F3E">
        <w:rPr>
          <w:rFonts w:ascii="Times New Roman" w:hAnsi="Times New Roman"/>
          <w:color w:val="000000" w:themeColor="text1"/>
          <w:sz w:val="16"/>
          <w:szCs w:val="16"/>
        </w:rPr>
        <w:softHyphen/>
        <w:t>бить несколько атак противника и сбить один «фоккер». Отличился мл. л-т Ми</w:t>
      </w:r>
      <w:r w:rsidRPr="00D03F3E">
        <w:rPr>
          <w:rFonts w:ascii="Times New Roman" w:hAnsi="Times New Roman"/>
          <w:color w:val="000000" w:themeColor="text1"/>
          <w:sz w:val="16"/>
          <w:szCs w:val="16"/>
        </w:rPr>
        <w:softHyphen/>
        <w:t>хайлов. Сбитый им истребитель упал в районе Красное.</w:t>
      </w:r>
    </w:p>
    <w:p w14:paraId="38700E6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Группу комэска Кровякова немецкие истребители — до 10—12 ФВ190 — ата</w:t>
      </w:r>
      <w:r w:rsidRPr="00D03F3E">
        <w:rPr>
          <w:rFonts w:ascii="Times New Roman" w:hAnsi="Times New Roman"/>
          <w:color w:val="000000" w:themeColor="text1"/>
          <w:sz w:val="16"/>
          <w:szCs w:val="16"/>
        </w:rPr>
        <w:softHyphen/>
        <w:t>ковали на подходе к линии фронта в районе Новосиль. Атака выполнялась двумя группами одновременно с раз</w:t>
      </w:r>
      <w:r w:rsidRPr="00D03F3E">
        <w:rPr>
          <w:rFonts w:ascii="Times New Roman" w:hAnsi="Times New Roman"/>
          <w:color w:val="000000" w:themeColor="text1"/>
          <w:sz w:val="16"/>
          <w:szCs w:val="16"/>
        </w:rPr>
        <w:softHyphen/>
        <w:t>ных сторон и направлений. Сопровож</w:t>
      </w:r>
      <w:r w:rsidRPr="00D03F3E">
        <w:rPr>
          <w:rFonts w:ascii="Times New Roman" w:hAnsi="Times New Roman"/>
          <w:color w:val="000000" w:themeColor="text1"/>
          <w:sz w:val="16"/>
          <w:szCs w:val="16"/>
        </w:rPr>
        <w:softHyphen/>
        <w:t>дающая штурмовиков шестерка Ла-5 полностью отбить атаку не смогла — часть «фокке-вульфов» прорвалась к Ил-2. В результате были подбиты ко</w:t>
      </w:r>
      <w:r w:rsidRPr="00D03F3E">
        <w:rPr>
          <w:rFonts w:ascii="Times New Roman" w:hAnsi="Times New Roman"/>
          <w:color w:val="000000" w:themeColor="text1"/>
          <w:sz w:val="16"/>
          <w:szCs w:val="16"/>
        </w:rPr>
        <w:softHyphen/>
        <w:t>мандир звена мл. л-т Новоженов (воз</w:t>
      </w:r>
      <w:r w:rsidRPr="00D03F3E">
        <w:rPr>
          <w:rFonts w:ascii="Times New Roman" w:hAnsi="Times New Roman"/>
          <w:color w:val="000000" w:themeColor="text1"/>
          <w:sz w:val="16"/>
          <w:szCs w:val="16"/>
        </w:rPr>
        <w:softHyphen/>
        <w:t>душный стрелок ефрейтор Шестаков) и летчик мл. л-т Лебедев. При отраже</w:t>
      </w:r>
      <w:r w:rsidRPr="00D03F3E">
        <w:rPr>
          <w:rFonts w:ascii="Times New Roman" w:hAnsi="Times New Roman"/>
          <w:color w:val="000000" w:themeColor="text1"/>
          <w:sz w:val="16"/>
          <w:szCs w:val="16"/>
        </w:rPr>
        <w:softHyphen/>
        <w:t>нии атаки противника воздушному стрелку сержанту Ханутину удалось сбить один ФВ190, который упал в рай</w:t>
      </w:r>
      <w:r w:rsidRPr="00D03F3E">
        <w:rPr>
          <w:rFonts w:ascii="Times New Roman" w:hAnsi="Times New Roman"/>
          <w:color w:val="000000" w:themeColor="text1"/>
          <w:sz w:val="16"/>
          <w:szCs w:val="16"/>
        </w:rPr>
        <w:softHyphen/>
        <w:t>оне Новосиль. Падение «фокке-вуль-фа» наблюдал летчик мл. л-т Павлов. Несмотря на полученные от пулемет-но-пушечной очереди ранения, Ново-женову удалось посадить штурмовик в районе Власовки (самолет разбит, пи</w:t>
      </w:r>
      <w:r w:rsidRPr="00D03F3E">
        <w:rPr>
          <w:rFonts w:ascii="Times New Roman" w:hAnsi="Times New Roman"/>
          <w:color w:val="000000" w:themeColor="text1"/>
          <w:sz w:val="16"/>
          <w:szCs w:val="16"/>
        </w:rPr>
        <w:softHyphen/>
        <w:t>лот направлен в госпиталь в Хохлы, воздушный стрелок на следующий день прибыл в полк). В этом же районе вы</w:t>
      </w:r>
      <w:r w:rsidRPr="00D03F3E">
        <w:rPr>
          <w:rFonts w:ascii="Times New Roman" w:hAnsi="Times New Roman"/>
          <w:color w:val="000000" w:themeColor="text1"/>
          <w:sz w:val="16"/>
          <w:szCs w:val="16"/>
        </w:rPr>
        <w:softHyphen/>
        <w:t>нужденно сел и мл. л-т Лебедев (само</w:t>
      </w:r>
      <w:r w:rsidRPr="00D03F3E">
        <w:rPr>
          <w:rFonts w:ascii="Times New Roman" w:hAnsi="Times New Roman"/>
          <w:color w:val="000000" w:themeColor="text1"/>
          <w:sz w:val="16"/>
          <w:szCs w:val="16"/>
        </w:rPr>
        <w:softHyphen/>
        <w:t>лет разбит, летчик невредим).</w:t>
      </w:r>
    </w:p>
    <w:p w14:paraId="3DE6161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числа истребителей сопровож</w:t>
      </w:r>
      <w:r w:rsidRPr="00D03F3E">
        <w:rPr>
          <w:rFonts w:ascii="Times New Roman" w:hAnsi="Times New Roman"/>
          <w:color w:val="000000" w:themeColor="text1"/>
          <w:sz w:val="16"/>
          <w:szCs w:val="16"/>
        </w:rPr>
        <w:softHyphen/>
        <w:t xml:space="preserve">дения от </w:t>
      </w:r>
      <w:r w:rsidRPr="00D03F3E">
        <w:rPr>
          <w:rFonts w:ascii="Times New Roman" w:hAnsi="Times New Roman"/>
          <w:iCs/>
          <w:color w:val="000000" w:themeColor="text1"/>
          <w:sz w:val="16"/>
          <w:szCs w:val="16"/>
        </w:rPr>
        <w:t xml:space="preserve">297-го иап </w:t>
      </w:r>
      <w:r w:rsidRPr="00D03F3E">
        <w:rPr>
          <w:rFonts w:ascii="Times New Roman" w:hAnsi="Times New Roman"/>
          <w:color w:val="000000" w:themeColor="text1"/>
          <w:sz w:val="16"/>
          <w:szCs w:val="16"/>
        </w:rPr>
        <w:t>на свой аэродром не вернулись ст. л-т Н.С. Филин, л-т П.П. Венков и мл. л-т В.В. Климович.</w:t>
      </w:r>
    </w:p>
    <w:p w14:paraId="3EE9FD1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Истребители 896-го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на обрат</w:t>
      </w:r>
      <w:r w:rsidRPr="00D03F3E">
        <w:rPr>
          <w:rFonts w:ascii="Times New Roman" w:hAnsi="Times New Roman"/>
          <w:color w:val="000000" w:themeColor="text1"/>
          <w:sz w:val="16"/>
          <w:szCs w:val="16"/>
        </w:rPr>
        <w:softHyphen/>
        <w:t>ном маршруте атаковали паровоз на ст. Колодезь и в районе ст. Золотаре-во на высоте 1500 м провели скоро</w:t>
      </w:r>
      <w:r w:rsidRPr="00D03F3E">
        <w:rPr>
          <w:rFonts w:ascii="Times New Roman" w:hAnsi="Times New Roman"/>
          <w:color w:val="000000" w:themeColor="text1"/>
          <w:sz w:val="16"/>
          <w:szCs w:val="16"/>
        </w:rPr>
        <w:softHyphen/>
        <w:t>течный воздушный бой с двумя смешан</w:t>
      </w:r>
      <w:r w:rsidRPr="00D03F3E">
        <w:rPr>
          <w:rFonts w:ascii="Times New Roman" w:hAnsi="Times New Roman"/>
          <w:color w:val="000000" w:themeColor="text1"/>
          <w:sz w:val="16"/>
          <w:szCs w:val="16"/>
        </w:rPr>
        <w:softHyphen/>
        <w:t>ными парами немецких истребителей — ФВ190 и Ме109. После боя на свой аэродром не возвратились мл. л-т Вол</w:t>
      </w:r>
      <w:r w:rsidRPr="00D03F3E">
        <w:rPr>
          <w:rFonts w:ascii="Times New Roman" w:hAnsi="Times New Roman"/>
          <w:color w:val="000000" w:themeColor="text1"/>
          <w:sz w:val="16"/>
          <w:szCs w:val="16"/>
        </w:rPr>
        <w:softHyphen/>
        <w:t>ков (Як-1 зав. № 09115) и сержант Ду-юнов (Як-1 зав. № 38135).</w:t>
      </w:r>
    </w:p>
    <w:p w14:paraId="319F56E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докладам экипажей штурмови</w:t>
      </w:r>
      <w:r w:rsidRPr="00D03F3E">
        <w:rPr>
          <w:rFonts w:ascii="Times New Roman" w:hAnsi="Times New Roman"/>
          <w:color w:val="000000" w:themeColor="text1"/>
          <w:sz w:val="16"/>
          <w:szCs w:val="16"/>
        </w:rPr>
        <w:softHyphen/>
        <w:t>ков и прикрывающих истребителей на аэродроме Б. Куликовка было уничто</w:t>
      </w:r>
      <w:r w:rsidRPr="00D03F3E">
        <w:rPr>
          <w:rFonts w:ascii="Times New Roman" w:hAnsi="Times New Roman"/>
          <w:color w:val="000000" w:themeColor="text1"/>
          <w:sz w:val="16"/>
          <w:szCs w:val="16"/>
        </w:rPr>
        <w:softHyphen/>
        <w:t>жено и повреждено до 16 немецких самолетов, подавлен огонь 4 зенитных огневых точек, взорван один склад с горючим.</w:t>
      </w:r>
    </w:p>
    <w:p w14:paraId="48D616A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Характерно, что, несмотря на столь большие потери штурмовиков 218-го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от истребителей люфтваффе, на</w:t>
      </w:r>
      <w:r w:rsidRPr="00D03F3E">
        <w:rPr>
          <w:rFonts w:ascii="Times New Roman" w:hAnsi="Times New Roman"/>
          <w:color w:val="000000" w:themeColor="text1"/>
          <w:sz w:val="16"/>
          <w:szCs w:val="16"/>
        </w:rPr>
        <w:softHyphen/>
        <w:t xml:space="preserve">чальник штаба 286-й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п-к Фельдшнеров в оперативных документах ди</w:t>
      </w:r>
      <w:r w:rsidRPr="00D03F3E">
        <w:rPr>
          <w:rFonts w:ascii="Times New Roman" w:hAnsi="Times New Roman"/>
          <w:color w:val="000000" w:themeColor="text1"/>
          <w:sz w:val="16"/>
          <w:szCs w:val="16"/>
        </w:rPr>
        <w:softHyphen/>
        <w:t xml:space="preserve">визии по результатам боевой работы 7 мая доложил: </w:t>
      </w:r>
      <w:r w:rsidRPr="00D03F3E">
        <w:rPr>
          <w:rFonts w:ascii="Times New Roman" w:hAnsi="Times New Roman"/>
          <w:iCs/>
          <w:color w:val="000000" w:themeColor="text1"/>
          <w:sz w:val="16"/>
          <w:szCs w:val="16"/>
        </w:rPr>
        <w:t>«задание выполнено, штурмовики сопровождались до цели и обратно, потерь от истребительной авиации не имели...»</w:t>
      </w:r>
    </w:p>
    <w:p w14:paraId="582F5DE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Командир 297-го </w:t>
      </w:r>
      <w:r w:rsidRPr="00D03F3E">
        <w:rPr>
          <w:rFonts w:ascii="Times New Roman" w:hAnsi="Times New Roman"/>
          <w:iCs/>
          <w:color w:val="000000" w:themeColor="text1"/>
          <w:sz w:val="16"/>
          <w:szCs w:val="16"/>
        </w:rPr>
        <w:t xml:space="preserve">иап м-р </w:t>
      </w:r>
      <w:r w:rsidRPr="00D03F3E">
        <w:rPr>
          <w:rFonts w:ascii="Times New Roman" w:hAnsi="Times New Roman"/>
          <w:color w:val="000000" w:themeColor="text1"/>
          <w:sz w:val="16"/>
          <w:szCs w:val="16"/>
        </w:rPr>
        <w:t>Н.И. Оль</w:t>
      </w:r>
      <w:r w:rsidRPr="00D03F3E">
        <w:rPr>
          <w:rFonts w:ascii="Times New Roman" w:hAnsi="Times New Roman"/>
          <w:color w:val="000000" w:themeColor="text1"/>
          <w:sz w:val="16"/>
          <w:szCs w:val="16"/>
        </w:rPr>
        <w:softHyphen/>
        <w:t>ховский вообще не включил в отчет о боевой работе полка за май месяц какие-либо сведения об эффективнос</w:t>
      </w:r>
      <w:r w:rsidRPr="00D03F3E">
        <w:rPr>
          <w:rFonts w:ascii="Times New Roman" w:hAnsi="Times New Roman"/>
          <w:color w:val="000000" w:themeColor="text1"/>
          <w:sz w:val="16"/>
          <w:szCs w:val="16"/>
        </w:rPr>
        <w:softHyphen/>
        <w:t>ти сопровождения штурмовиков свои</w:t>
      </w:r>
      <w:r w:rsidRPr="00D03F3E">
        <w:rPr>
          <w:rFonts w:ascii="Times New Roman" w:hAnsi="Times New Roman"/>
          <w:color w:val="000000" w:themeColor="text1"/>
          <w:sz w:val="16"/>
          <w:szCs w:val="16"/>
        </w:rPr>
        <w:softHyphen/>
        <w:t>ми подчиненными, указав лишь побе</w:t>
      </w:r>
      <w:r w:rsidRPr="00D03F3E">
        <w:rPr>
          <w:rFonts w:ascii="Times New Roman" w:hAnsi="Times New Roman"/>
          <w:color w:val="000000" w:themeColor="text1"/>
          <w:sz w:val="16"/>
          <w:szCs w:val="16"/>
        </w:rPr>
        <w:softHyphen/>
        <w:t>ды и потери полка 6 и 7 мая.</w:t>
      </w:r>
    </w:p>
    <w:p w14:paraId="2C3350D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Удар опоздавших групп Ил-2 от 58-го и 79-го гвардейских штурмовых авиаполков 2-й </w:t>
      </w:r>
      <w:r w:rsidRPr="00D03F3E">
        <w:rPr>
          <w:rFonts w:ascii="Times New Roman" w:hAnsi="Times New Roman"/>
          <w:iCs/>
          <w:color w:val="000000" w:themeColor="text1"/>
          <w:sz w:val="16"/>
          <w:szCs w:val="16"/>
        </w:rPr>
        <w:t xml:space="preserve">гшад </w:t>
      </w:r>
      <w:r w:rsidRPr="00D03F3E">
        <w:rPr>
          <w:rFonts w:ascii="Times New Roman" w:hAnsi="Times New Roman"/>
          <w:color w:val="000000" w:themeColor="text1"/>
          <w:sz w:val="16"/>
          <w:szCs w:val="16"/>
        </w:rPr>
        <w:t>по аэродрому Хмелевая проходил в значительно бо</w:t>
      </w:r>
      <w:r w:rsidRPr="00D03F3E">
        <w:rPr>
          <w:rFonts w:ascii="Times New Roman" w:hAnsi="Times New Roman"/>
          <w:color w:val="000000" w:themeColor="text1"/>
          <w:sz w:val="16"/>
          <w:szCs w:val="16"/>
        </w:rPr>
        <w:softHyphen/>
        <w:t xml:space="preserve">лее сложных условиях, чем налет 218-го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так как зенитная артиллерия противника на всем маршруте следо</w:t>
      </w:r>
      <w:r w:rsidRPr="00D03F3E">
        <w:rPr>
          <w:rFonts w:ascii="Times New Roman" w:hAnsi="Times New Roman"/>
          <w:color w:val="000000" w:themeColor="text1"/>
          <w:sz w:val="16"/>
          <w:szCs w:val="16"/>
        </w:rPr>
        <w:softHyphen/>
        <w:t>вания штурмовиков была приведена в полную боевую готовность, а его ис</w:t>
      </w:r>
      <w:r w:rsidRPr="00D03F3E">
        <w:rPr>
          <w:rFonts w:ascii="Times New Roman" w:hAnsi="Times New Roman"/>
          <w:color w:val="000000" w:themeColor="text1"/>
          <w:sz w:val="16"/>
          <w:szCs w:val="16"/>
        </w:rPr>
        <w:softHyphen/>
        <w:t>требительная авиация находилась в воздухе.</w:t>
      </w:r>
    </w:p>
    <w:p w14:paraId="47B06E9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Положение усугублялось еще и тем обстоятельством, что обе группы штур</w:t>
      </w:r>
      <w:r w:rsidRPr="00D03F3E">
        <w:rPr>
          <w:rFonts w:ascii="Times New Roman" w:hAnsi="Times New Roman"/>
          <w:color w:val="000000" w:themeColor="text1"/>
          <w:sz w:val="16"/>
          <w:szCs w:val="16"/>
        </w:rPr>
        <w:softHyphen/>
        <w:t>мовиков, задержавшись со взлетом, ес</w:t>
      </w:r>
      <w:r w:rsidRPr="00D03F3E">
        <w:rPr>
          <w:rFonts w:ascii="Times New Roman" w:hAnsi="Times New Roman"/>
          <w:color w:val="000000" w:themeColor="text1"/>
          <w:sz w:val="16"/>
          <w:szCs w:val="16"/>
        </w:rPr>
        <w:softHyphen/>
        <w:t xml:space="preserve">тественно, опоздали и на встречу </w:t>
      </w:r>
      <w:r w:rsidRPr="00D03F3E">
        <w:rPr>
          <w:rFonts w:ascii="Times New Roman" w:hAnsi="Times New Roman"/>
          <w:iCs/>
          <w:color w:val="000000" w:themeColor="text1"/>
          <w:sz w:val="16"/>
          <w:szCs w:val="16"/>
        </w:rPr>
        <w:t xml:space="preserve">с </w:t>
      </w:r>
      <w:r w:rsidRPr="00D03F3E">
        <w:rPr>
          <w:rFonts w:ascii="Times New Roman" w:hAnsi="Times New Roman"/>
          <w:color w:val="000000" w:themeColor="text1"/>
          <w:sz w:val="16"/>
          <w:szCs w:val="16"/>
        </w:rPr>
        <w:t>ис</w:t>
      </w:r>
      <w:r w:rsidRPr="00D03F3E">
        <w:rPr>
          <w:rFonts w:ascii="Times New Roman" w:hAnsi="Times New Roman"/>
          <w:color w:val="000000" w:themeColor="text1"/>
          <w:sz w:val="16"/>
          <w:szCs w:val="16"/>
        </w:rPr>
        <w:softHyphen/>
        <w:t>требителями прикрытия. При этом груп</w:t>
      </w:r>
      <w:r w:rsidRPr="00D03F3E">
        <w:rPr>
          <w:rFonts w:ascii="Times New Roman" w:hAnsi="Times New Roman"/>
          <w:color w:val="000000" w:themeColor="text1"/>
          <w:sz w:val="16"/>
          <w:szCs w:val="16"/>
        </w:rPr>
        <w:softHyphen/>
        <w:t xml:space="preserve">па в составе 6 Ил-2 от 58-го </w:t>
      </w:r>
      <w:r w:rsidRPr="00D03F3E">
        <w:rPr>
          <w:rFonts w:ascii="Times New Roman" w:hAnsi="Times New Roman"/>
          <w:iCs/>
          <w:color w:val="000000" w:themeColor="text1"/>
          <w:sz w:val="16"/>
          <w:szCs w:val="16"/>
        </w:rPr>
        <w:t xml:space="preserve">гшап </w:t>
      </w:r>
      <w:r w:rsidRPr="00D03F3E">
        <w:rPr>
          <w:rFonts w:ascii="Times New Roman" w:hAnsi="Times New Roman"/>
          <w:color w:val="000000" w:themeColor="text1"/>
          <w:sz w:val="16"/>
          <w:szCs w:val="16"/>
        </w:rPr>
        <w:t>пос</w:t>
      </w:r>
      <w:r w:rsidRPr="00D03F3E">
        <w:rPr>
          <w:rFonts w:ascii="Times New Roman" w:hAnsi="Times New Roman"/>
          <w:color w:val="000000" w:themeColor="text1"/>
          <w:sz w:val="16"/>
          <w:szCs w:val="16"/>
        </w:rPr>
        <w:softHyphen/>
        <w:t xml:space="preserve">ле встречи со своими истребителями прикрытия от 176-го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вышла на ис</w:t>
      </w:r>
      <w:r w:rsidRPr="00D03F3E">
        <w:rPr>
          <w:rFonts w:ascii="Times New Roman" w:hAnsi="Times New Roman"/>
          <w:color w:val="000000" w:themeColor="text1"/>
          <w:sz w:val="16"/>
          <w:szCs w:val="16"/>
        </w:rPr>
        <w:softHyphen/>
        <w:t>ходный пункт маршрута (развилка до</w:t>
      </w:r>
      <w:r w:rsidRPr="00D03F3E">
        <w:rPr>
          <w:rFonts w:ascii="Times New Roman" w:hAnsi="Times New Roman"/>
          <w:color w:val="000000" w:themeColor="text1"/>
          <w:sz w:val="16"/>
          <w:szCs w:val="16"/>
        </w:rPr>
        <w:softHyphen/>
        <w:t>рог в 6 км к северу от Курска) через 25 минут после прохождения его груп</w:t>
      </w:r>
      <w:r w:rsidRPr="00D03F3E">
        <w:rPr>
          <w:rFonts w:ascii="Times New Roman" w:hAnsi="Times New Roman"/>
          <w:color w:val="000000" w:themeColor="text1"/>
          <w:sz w:val="16"/>
          <w:szCs w:val="16"/>
        </w:rPr>
        <w:softHyphen/>
        <w:t xml:space="preserve">пой от 79-го </w:t>
      </w:r>
      <w:r w:rsidRPr="00D03F3E">
        <w:rPr>
          <w:rFonts w:ascii="Times New Roman" w:hAnsi="Times New Roman"/>
          <w:iCs/>
          <w:color w:val="000000" w:themeColor="text1"/>
          <w:sz w:val="16"/>
          <w:szCs w:val="16"/>
        </w:rPr>
        <w:t xml:space="preserve">гшап </w:t>
      </w:r>
      <w:r w:rsidRPr="00D03F3E">
        <w:rPr>
          <w:rFonts w:ascii="Times New Roman" w:hAnsi="Times New Roman"/>
          <w:color w:val="000000" w:themeColor="text1"/>
          <w:sz w:val="16"/>
          <w:szCs w:val="16"/>
        </w:rPr>
        <w:t xml:space="preserve">и 563-го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Со</w:t>
      </w:r>
      <w:r w:rsidRPr="00D03F3E">
        <w:rPr>
          <w:rFonts w:ascii="Times New Roman" w:hAnsi="Times New Roman"/>
          <w:color w:val="000000" w:themeColor="text1"/>
          <w:sz w:val="16"/>
          <w:szCs w:val="16"/>
        </w:rPr>
        <w:softHyphen/>
        <w:t>вместного полета и удара по аэродро</w:t>
      </w:r>
      <w:r w:rsidRPr="00D03F3E">
        <w:rPr>
          <w:rFonts w:ascii="Times New Roman" w:hAnsi="Times New Roman"/>
          <w:color w:val="000000" w:themeColor="text1"/>
          <w:sz w:val="16"/>
          <w:szCs w:val="16"/>
        </w:rPr>
        <w:softHyphen/>
        <w:t>му не получилось.</w:t>
      </w:r>
    </w:p>
    <w:p w14:paraId="568E883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Кроме этого, на взлете и пристраи-вании к штурмовикам от 79-го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в районе аэродрома Курск (западный) пара Як-1 (ведущий мл. л-т Староко-шев) из ударной группы от 563-го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оторвалась от основной группы. По</w:t>
      </w:r>
      <w:r w:rsidRPr="00D03F3E">
        <w:rPr>
          <w:rFonts w:ascii="Times New Roman" w:hAnsi="Times New Roman"/>
          <w:color w:val="000000" w:themeColor="text1"/>
          <w:sz w:val="16"/>
          <w:szCs w:val="16"/>
        </w:rPr>
        <w:softHyphen/>
        <w:t>пытка догнать штурмовиков и истре</w:t>
      </w:r>
      <w:r w:rsidRPr="00D03F3E">
        <w:rPr>
          <w:rFonts w:ascii="Times New Roman" w:hAnsi="Times New Roman"/>
          <w:color w:val="000000" w:themeColor="text1"/>
          <w:sz w:val="16"/>
          <w:szCs w:val="16"/>
        </w:rPr>
        <w:softHyphen/>
        <w:t>бителей оказалась безуспешной, и эки</w:t>
      </w:r>
      <w:r w:rsidRPr="00D03F3E">
        <w:rPr>
          <w:rFonts w:ascii="Times New Roman" w:hAnsi="Times New Roman"/>
          <w:color w:val="000000" w:themeColor="text1"/>
          <w:sz w:val="16"/>
          <w:szCs w:val="16"/>
        </w:rPr>
        <w:softHyphen/>
        <w:t xml:space="preserve">пажи </w:t>
      </w:r>
      <w:r w:rsidRPr="00D03F3E">
        <w:rPr>
          <w:rFonts w:ascii="Times New Roman" w:hAnsi="Times New Roman"/>
          <w:iCs/>
          <w:color w:val="000000" w:themeColor="text1"/>
          <w:sz w:val="16"/>
          <w:szCs w:val="16"/>
        </w:rPr>
        <w:t>«из района Фатеж возвратились на свой аэродром».</w:t>
      </w:r>
    </w:p>
    <w:p w14:paraId="350B9FA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перелета линии фронта груп</w:t>
      </w:r>
      <w:r w:rsidRPr="00D03F3E">
        <w:rPr>
          <w:rFonts w:ascii="Times New Roman" w:hAnsi="Times New Roman"/>
          <w:color w:val="000000" w:themeColor="text1"/>
          <w:sz w:val="16"/>
          <w:szCs w:val="16"/>
        </w:rPr>
        <w:softHyphen/>
        <w:t>па понесла еще одну «потерю». На самолете лейтенанта Аленина из не</w:t>
      </w:r>
      <w:r w:rsidRPr="00D03F3E">
        <w:rPr>
          <w:rFonts w:ascii="Times New Roman" w:hAnsi="Times New Roman"/>
          <w:color w:val="000000" w:themeColor="text1"/>
          <w:sz w:val="16"/>
          <w:szCs w:val="16"/>
        </w:rPr>
        <w:softHyphen/>
        <w:t>посредственного истребительного со</w:t>
      </w:r>
      <w:r w:rsidRPr="00D03F3E">
        <w:rPr>
          <w:rFonts w:ascii="Times New Roman" w:hAnsi="Times New Roman"/>
          <w:color w:val="000000" w:themeColor="text1"/>
          <w:sz w:val="16"/>
          <w:szCs w:val="16"/>
        </w:rPr>
        <w:softHyphen/>
        <w:t>провождения мотор стал давать пере</w:t>
      </w:r>
      <w:r w:rsidRPr="00D03F3E">
        <w:rPr>
          <w:rFonts w:ascii="Times New Roman" w:hAnsi="Times New Roman"/>
          <w:color w:val="000000" w:themeColor="text1"/>
          <w:sz w:val="16"/>
          <w:szCs w:val="16"/>
        </w:rPr>
        <w:softHyphen/>
        <w:t xml:space="preserve">бои, летчик </w:t>
      </w:r>
      <w:r w:rsidRPr="00D03F3E">
        <w:rPr>
          <w:rFonts w:ascii="Times New Roman" w:hAnsi="Times New Roman"/>
          <w:iCs/>
          <w:color w:val="000000" w:themeColor="text1"/>
          <w:sz w:val="16"/>
          <w:szCs w:val="16"/>
        </w:rPr>
        <w:t>«прекратил выполнение боевого задания и вернулся на свой аэродром».</w:t>
      </w:r>
    </w:p>
    <w:p w14:paraId="19F7EFE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итоге, шестерку Ил-2 от 79-го </w:t>
      </w:r>
      <w:r w:rsidRPr="00D03F3E">
        <w:rPr>
          <w:rFonts w:ascii="Times New Roman" w:hAnsi="Times New Roman"/>
          <w:iCs/>
          <w:color w:val="000000" w:themeColor="text1"/>
          <w:sz w:val="16"/>
          <w:szCs w:val="16"/>
        </w:rPr>
        <w:t xml:space="preserve">гшап </w:t>
      </w:r>
      <w:r w:rsidRPr="00D03F3E">
        <w:rPr>
          <w:rFonts w:ascii="Times New Roman" w:hAnsi="Times New Roman"/>
          <w:color w:val="000000" w:themeColor="text1"/>
          <w:sz w:val="16"/>
          <w:szCs w:val="16"/>
        </w:rPr>
        <w:t>остались прикрывать только 5 истре</w:t>
      </w:r>
      <w:r w:rsidRPr="00D03F3E">
        <w:rPr>
          <w:rFonts w:ascii="Times New Roman" w:hAnsi="Times New Roman"/>
          <w:color w:val="000000" w:themeColor="text1"/>
          <w:sz w:val="16"/>
          <w:szCs w:val="16"/>
        </w:rPr>
        <w:softHyphen/>
        <w:t xml:space="preserve">бителей 563-го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три Як-1 в группе непосредственного сопровождения и два «Яка» — в ударной группе.</w:t>
      </w:r>
    </w:p>
    <w:p w14:paraId="57BB59E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маршруте к цели в районе Кромы обе группы штурмовиков и истре</w:t>
      </w:r>
      <w:r w:rsidRPr="00D03F3E">
        <w:rPr>
          <w:rFonts w:ascii="Times New Roman" w:hAnsi="Times New Roman"/>
          <w:color w:val="000000" w:themeColor="text1"/>
          <w:sz w:val="16"/>
          <w:szCs w:val="16"/>
        </w:rPr>
        <w:softHyphen/>
        <w:t>бителей были обстреляны сильным ог</w:t>
      </w:r>
      <w:r w:rsidRPr="00D03F3E">
        <w:rPr>
          <w:rFonts w:ascii="Times New Roman" w:hAnsi="Times New Roman"/>
          <w:color w:val="000000" w:themeColor="text1"/>
          <w:sz w:val="16"/>
          <w:szCs w:val="16"/>
        </w:rPr>
        <w:softHyphen/>
        <w:t>нем зенитной артиллерии. Противозе</w:t>
      </w:r>
      <w:r w:rsidRPr="00D03F3E">
        <w:rPr>
          <w:rFonts w:ascii="Times New Roman" w:hAnsi="Times New Roman"/>
          <w:color w:val="000000" w:themeColor="text1"/>
          <w:sz w:val="16"/>
          <w:szCs w:val="16"/>
        </w:rPr>
        <w:softHyphen/>
        <w:t>нитный маневр привел к полному на</w:t>
      </w:r>
      <w:r w:rsidRPr="00D03F3E">
        <w:rPr>
          <w:rFonts w:ascii="Times New Roman" w:hAnsi="Times New Roman"/>
          <w:color w:val="000000" w:themeColor="text1"/>
          <w:sz w:val="16"/>
          <w:szCs w:val="16"/>
        </w:rPr>
        <w:softHyphen/>
        <w:t>рушению общего боевого порядка в группах. Истребители запаниковали и начали шарахаться в разные стороны, пытаясь спрятаться от зенитного огня в облачность.</w:t>
      </w:r>
    </w:p>
    <w:p w14:paraId="49746C0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конечном итоге, обе группы штур</w:t>
      </w:r>
      <w:r w:rsidRPr="00D03F3E">
        <w:rPr>
          <w:rFonts w:ascii="Times New Roman" w:hAnsi="Times New Roman"/>
          <w:color w:val="000000" w:themeColor="text1"/>
          <w:sz w:val="16"/>
          <w:szCs w:val="16"/>
        </w:rPr>
        <w:softHyphen/>
        <w:t>мовиков потеряли ориентировку, сби</w:t>
      </w:r>
      <w:r w:rsidRPr="00D03F3E">
        <w:rPr>
          <w:rFonts w:ascii="Times New Roman" w:hAnsi="Times New Roman"/>
          <w:color w:val="000000" w:themeColor="text1"/>
          <w:sz w:val="16"/>
          <w:szCs w:val="16"/>
        </w:rPr>
        <w:softHyphen/>
        <w:t>лись с курса и проскочили мимо аэро</w:t>
      </w:r>
      <w:r w:rsidRPr="00D03F3E">
        <w:rPr>
          <w:rFonts w:ascii="Times New Roman" w:hAnsi="Times New Roman"/>
          <w:color w:val="000000" w:themeColor="text1"/>
          <w:sz w:val="16"/>
          <w:szCs w:val="16"/>
        </w:rPr>
        <w:softHyphen/>
        <w:t xml:space="preserve">дрома Хмелевая. Группа в составе 6 Ил-2 от 79-го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(ведущий к-н Паршин) вышла в район Карачев, а груп</w:t>
      </w:r>
      <w:r w:rsidRPr="00D03F3E">
        <w:rPr>
          <w:rFonts w:ascii="Times New Roman" w:hAnsi="Times New Roman"/>
          <w:color w:val="000000" w:themeColor="text1"/>
          <w:sz w:val="16"/>
          <w:szCs w:val="16"/>
        </w:rPr>
        <w:softHyphen/>
        <w:t xml:space="preserve">па в составе 6 Ил-2 от 58-го </w:t>
      </w:r>
      <w:r w:rsidRPr="00D03F3E">
        <w:rPr>
          <w:rFonts w:ascii="Times New Roman" w:hAnsi="Times New Roman"/>
          <w:iCs/>
          <w:color w:val="000000" w:themeColor="text1"/>
          <w:sz w:val="16"/>
          <w:szCs w:val="16"/>
        </w:rPr>
        <w:t xml:space="preserve">гшап </w:t>
      </w:r>
      <w:r w:rsidRPr="00D03F3E">
        <w:rPr>
          <w:rFonts w:ascii="Times New Roman" w:hAnsi="Times New Roman"/>
          <w:color w:val="000000" w:themeColor="text1"/>
          <w:sz w:val="16"/>
          <w:szCs w:val="16"/>
        </w:rPr>
        <w:t>(ве</w:t>
      </w:r>
      <w:r w:rsidRPr="00D03F3E">
        <w:rPr>
          <w:rFonts w:ascii="Times New Roman" w:hAnsi="Times New Roman"/>
          <w:color w:val="000000" w:themeColor="text1"/>
          <w:sz w:val="16"/>
          <w:szCs w:val="16"/>
        </w:rPr>
        <w:softHyphen/>
        <w:t>дущий л-т Мингалев) — в район На-рышкино. После восстановления де</w:t>
      </w:r>
      <w:r w:rsidRPr="00D03F3E">
        <w:rPr>
          <w:rFonts w:ascii="Times New Roman" w:hAnsi="Times New Roman"/>
          <w:color w:val="000000" w:themeColor="text1"/>
          <w:sz w:val="16"/>
          <w:szCs w:val="16"/>
        </w:rPr>
        <w:softHyphen/>
        <w:t>тальной ориентировки л-т Мингалев принял решение атаковать своей груп</w:t>
      </w:r>
      <w:r w:rsidRPr="00D03F3E">
        <w:rPr>
          <w:rFonts w:ascii="Times New Roman" w:hAnsi="Times New Roman"/>
          <w:color w:val="000000" w:themeColor="text1"/>
          <w:sz w:val="16"/>
          <w:szCs w:val="16"/>
        </w:rPr>
        <w:softHyphen/>
        <w:t>пой ближайший аэродром Орел-Цен</w:t>
      </w:r>
      <w:r w:rsidRPr="00D03F3E">
        <w:rPr>
          <w:rFonts w:ascii="Times New Roman" w:hAnsi="Times New Roman"/>
          <w:color w:val="000000" w:themeColor="text1"/>
          <w:sz w:val="16"/>
          <w:szCs w:val="16"/>
        </w:rPr>
        <w:softHyphen/>
        <w:t>тральный, а к-н Паршин повел свою группу на аэродром Хмелевая, как это</w:t>
      </w:r>
      <w:r w:rsidRPr="00D03F3E">
        <w:rPr>
          <w:rFonts w:ascii="Times New Roman" w:hAnsi="Times New Roman"/>
          <w:color w:val="000000" w:themeColor="text1"/>
          <w:sz w:val="16"/>
          <w:szCs w:val="16"/>
        </w:rPr>
        <w:softHyphen/>
        <w:t>го требовало задание.</w:t>
      </w:r>
    </w:p>
    <w:p w14:paraId="1261071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Пока штурмовики блуждали, 10 ис</w:t>
      </w:r>
      <w:r w:rsidRPr="00D03F3E">
        <w:rPr>
          <w:rFonts w:ascii="Times New Roman" w:hAnsi="Times New Roman"/>
          <w:color w:val="000000" w:themeColor="text1"/>
          <w:sz w:val="16"/>
          <w:szCs w:val="16"/>
        </w:rPr>
        <w:softHyphen/>
        <w:t xml:space="preserve">требителей от 519-го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блокирова</w:t>
      </w:r>
      <w:r w:rsidRPr="00D03F3E">
        <w:rPr>
          <w:rFonts w:ascii="Times New Roman" w:hAnsi="Times New Roman"/>
          <w:color w:val="000000" w:themeColor="text1"/>
          <w:sz w:val="16"/>
          <w:szCs w:val="16"/>
        </w:rPr>
        <w:softHyphen/>
        <w:t>ли аэродром Хомуты, но Ил-2 в райо</w:t>
      </w:r>
      <w:r w:rsidRPr="00D03F3E">
        <w:rPr>
          <w:rFonts w:ascii="Times New Roman" w:hAnsi="Times New Roman"/>
          <w:color w:val="000000" w:themeColor="text1"/>
          <w:sz w:val="16"/>
          <w:szCs w:val="16"/>
        </w:rPr>
        <w:softHyphen/>
        <w:t>не назначенных целей не было. Через несколько минут, выполнив боевую за</w:t>
      </w:r>
      <w:r w:rsidRPr="00D03F3E">
        <w:rPr>
          <w:rFonts w:ascii="Times New Roman" w:hAnsi="Times New Roman"/>
          <w:color w:val="000000" w:themeColor="text1"/>
          <w:sz w:val="16"/>
          <w:szCs w:val="16"/>
        </w:rPr>
        <w:softHyphen/>
        <w:t>дачу, истребители ушли на свою тер</w:t>
      </w:r>
      <w:r w:rsidRPr="00D03F3E">
        <w:rPr>
          <w:rFonts w:ascii="Times New Roman" w:hAnsi="Times New Roman"/>
          <w:color w:val="000000" w:themeColor="text1"/>
          <w:sz w:val="16"/>
          <w:szCs w:val="16"/>
        </w:rPr>
        <w:softHyphen/>
        <w:t>риторию.</w:t>
      </w:r>
    </w:p>
    <w:p w14:paraId="2F5A8A5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 подходе к аэродрому Хмелевая штурмовики от 79-го </w:t>
      </w:r>
      <w:r w:rsidRPr="00D03F3E">
        <w:rPr>
          <w:rFonts w:ascii="Times New Roman" w:hAnsi="Times New Roman"/>
          <w:iCs/>
          <w:color w:val="000000" w:themeColor="text1"/>
          <w:sz w:val="16"/>
          <w:szCs w:val="16"/>
        </w:rPr>
        <w:t xml:space="preserve">гшап </w:t>
      </w:r>
      <w:r w:rsidRPr="00D03F3E">
        <w:rPr>
          <w:rFonts w:ascii="Times New Roman" w:hAnsi="Times New Roman"/>
          <w:color w:val="000000" w:themeColor="text1"/>
          <w:sz w:val="16"/>
          <w:szCs w:val="16"/>
        </w:rPr>
        <w:t>подверглись атакам большой группы истребителей люфтваффе (до 12 Ру^190), а над аэро</w:t>
      </w:r>
      <w:r w:rsidRPr="00D03F3E">
        <w:rPr>
          <w:rFonts w:ascii="Times New Roman" w:hAnsi="Times New Roman"/>
          <w:color w:val="000000" w:themeColor="text1"/>
          <w:sz w:val="16"/>
          <w:szCs w:val="16"/>
        </w:rPr>
        <w:softHyphen/>
        <w:t>дромом — сильному огню зенитной ар</w:t>
      </w:r>
      <w:r w:rsidRPr="00D03F3E">
        <w:rPr>
          <w:rFonts w:ascii="Times New Roman" w:hAnsi="Times New Roman"/>
          <w:color w:val="000000" w:themeColor="text1"/>
          <w:sz w:val="16"/>
          <w:szCs w:val="16"/>
        </w:rPr>
        <w:softHyphen/>
        <w:t>тиллерии.</w:t>
      </w:r>
    </w:p>
    <w:p w14:paraId="3F7A559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то же время истребители прикры</w:t>
      </w:r>
      <w:r w:rsidRPr="00D03F3E">
        <w:rPr>
          <w:rFonts w:ascii="Times New Roman" w:hAnsi="Times New Roman"/>
          <w:color w:val="000000" w:themeColor="text1"/>
          <w:sz w:val="16"/>
          <w:szCs w:val="16"/>
        </w:rPr>
        <w:softHyphen/>
        <w:t>тия в составе лейтенанта Шатравина и мл. лейтенанта Мельника, составляв</w:t>
      </w:r>
      <w:r w:rsidRPr="00D03F3E">
        <w:rPr>
          <w:rFonts w:ascii="Times New Roman" w:hAnsi="Times New Roman"/>
          <w:color w:val="000000" w:themeColor="text1"/>
          <w:sz w:val="16"/>
          <w:szCs w:val="16"/>
        </w:rPr>
        <w:softHyphen/>
        <w:t>шие ударную группу, шли на значитель</w:t>
      </w:r>
      <w:r w:rsidRPr="00D03F3E">
        <w:rPr>
          <w:rFonts w:ascii="Times New Roman" w:hAnsi="Times New Roman"/>
          <w:color w:val="000000" w:themeColor="text1"/>
          <w:sz w:val="16"/>
          <w:szCs w:val="16"/>
        </w:rPr>
        <w:softHyphen/>
        <w:t xml:space="preserve">но большей высоте, чем положено по инструкции, и на подходе к аэродрому оторвались от штурмовиков: </w:t>
      </w:r>
      <w:r w:rsidRPr="00D03F3E">
        <w:rPr>
          <w:rFonts w:ascii="Times New Roman" w:hAnsi="Times New Roman"/>
          <w:iCs/>
          <w:color w:val="000000" w:themeColor="text1"/>
          <w:sz w:val="16"/>
          <w:szCs w:val="16"/>
        </w:rPr>
        <w:t>«боясь зе</w:t>
      </w:r>
      <w:r w:rsidRPr="00D03F3E">
        <w:rPr>
          <w:rFonts w:ascii="Times New Roman" w:hAnsi="Times New Roman"/>
          <w:iCs/>
          <w:color w:val="000000" w:themeColor="text1"/>
          <w:sz w:val="16"/>
          <w:szCs w:val="16"/>
        </w:rPr>
        <w:softHyphen/>
        <w:t>нитного огня, ушли в облач</w:t>
      </w:r>
      <w:r w:rsidRPr="00D03F3E">
        <w:rPr>
          <w:rFonts w:ascii="Times New Roman" w:hAnsi="Times New Roman"/>
          <w:iCs/>
          <w:color w:val="000000" w:themeColor="text1"/>
          <w:sz w:val="16"/>
          <w:szCs w:val="16"/>
        </w:rPr>
        <w:softHyphen/>
        <w:t xml:space="preserve">ность» </w:t>
      </w:r>
      <w:r w:rsidRPr="00D03F3E">
        <w:rPr>
          <w:rFonts w:ascii="Times New Roman" w:hAnsi="Times New Roman"/>
          <w:color w:val="000000" w:themeColor="text1"/>
          <w:sz w:val="16"/>
          <w:szCs w:val="16"/>
        </w:rPr>
        <w:t>и потеряли Ил-2 из виду. Никаких попыток найти своих подопечных Шатравин и Мельник не предпринимали и вернулись на свой аэродром самостоятельно. Позже, при расследовании случившегося, л-т Шатравин заявит, что он потерял группу Ил-2 над лес</w:t>
      </w:r>
      <w:r w:rsidRPr="00D03F3E">
        <w:rPr>
          <w:rFonts w:ascii="Times New Roman" w:hAnsi="Times New Roman"/>
          <w:color w:val="000000" w:themeColor="text1"/>
          <w:sz w:val="16"/>
          <w:szCs w:val="16"/>
        </w:rPr>
        <w:softHyphen/>
        <w:t>ным массивом в районе Ка</w:t>
      </w:r>
      <w:r w:rsidRPr="00D03F3E">
        <w:rPr>
          <w:rFonts w:ascii="Times New Roman" w:hAnsi="Times New Roman"/>
          <w:color w:val="000000" w:themeColor="text1"/>
          <w:sz w:val="16"/>
          <w:szCs w:val="16"/>
        </w:rPr>
        <w:softHyphen/>
        <w:t xml:space="preserve">рачев и, </w:t>
      </w:r>
      <w:r w:rsidRPr="00D03F3E">
        <w:rPr>
          <w:rFonts w:ascii="Times New Roman" w:hAnsi="Times New Roman"/>
          <w:iCs/>
          <w:color w:val="000000" w:themeColor="text1"/>
          <w:sz w:val="16"/>
          <w:szCs w:val="16"/>
        </w:rPr>
        <w:t>«видя, что запас го</w:t>
      </w:r>
      <w:r w:rsidRPr="00D03F3E">
        <w:rPr>
          <w:rFonts w:ascii="Times New Roman" w:hAnsi="Times New Roman"/>
          <w:iCs/>
          <w:color w:val="000000" w:themeColor="text1"/>
          <w:sz w:val="16"/>
          <w:szCs w:val="16"/>
        </w:rPr>
        <w:softHyphen/>
        <w:t xml:space="preserve">рючего на исходе», </w:t>
      </w:r>
      <w:r w:rsidRPr="00D03F3E">
        <w:rPr>
          <w:rFonts w:ascii="Times New Roman" w:hAnsi="Times New Roman"/>
          <w:color w:val="000000" w:themeColor="text1"/>
          <w:sz w:val="16"/>
          <w:szCs w:val="16"/>
        </w:rPr>
        <w:t>принял ре</w:t>
      </w:r>
      <w:r w:rsidRPr="00D03F3E">
        <w:rPr>
          <w:rFonts w:ascii="Times New Roman" w:hAnsi="Times New Roman"/>
          <w:color w:val="000000" w:themeColor="text1"/>
          <w:sz w:val="16"/>
          <w:szCs w:val="16"/>
        </w:rPr>
        <w:softHyphen/>
        <w:t xml:space="preserve">шение возвратиться на свой аэродром. При этом, поскольку </w:t>
      </w:r>
      <w:r w:rsidRPr="00D03F3E">
        <w:rPr>
          <w:rFonts w:ascii="Times New Roman" w:hAnsi="Times New Roman"/>
          <w:iCs/>
          <w:color w:val="000000" w:themeColor="text1"/>
          <w:sz w:val="16"/>
          <w:szCs w:val="16"/>
        </w:rPr>
        <w:t>«штурмовики ра</w:t>
      </w:r>
      <w:r w:rsidRPr="00D03F3E">
        <w:rPr>
          <w:rFonts w:ascii="Times New Roman" w:hAnsi="Times New Roman"/>
          <w:iCs/>
          <w:color w:val="000000" w:themeColor="text1"/>
          <w:sz w:val="16"/>
          <w:szCs w:val="16"/>
        </w:rPr>
        <w:softHyphen/>
        <w:t xml:space="preserve">ботали на запасной волне», </w:t>
      </w:r>
      <w:r w:rsidRPr="00D03F3E">
        <w:rPr>
          <w:rFonts w:ascii="Times New Roman" w:hAnsi="Times New Roman"/>
          <w:color w:val="000000" w:themeColor="text1"/>
          <w:sz w:val="16"/>
          <w:szCs w:val="16"/>
        </w:rPr>
        <w:t>то их по</w:t>
      </w:r>
      <w:r w:rsidRPr="00D03F3E">
        <w:rPr>
          <w:rFonts w:ascii="Times New Roman" w:hAnsi="Times New Roman"/>
          <w:color w:val="000000" w:themeColor="text1"/>
          <w:sz w:val="16"/>
          <w:szCs w:val="16"/>
        </w:rPr>
        <w:softHyphen/>
        <w:t>зывных или команд по радио не слы</w:t>
      </w:r>
      <w:r w:rsidRPr="00D03F3E">
        <w:rPr>
          <w:rFonts w:ascii="Times New Roman" w:hAnsi="Times New Roman"/>
          <w:color w:val="000000" w:themeColor="text1"/>
          <w:sz w:val="16"/>
          <w:szCs w:val="16"/>
        </w:rPr>
        <w:softHyphen/>
        <w:t>шал. По какой причине Шатравин не смог установить радиосвязь с истреби</w:t>
      </w:r>
      <w:r w:rsidRPr="00D03F3E">
        <w:rPr>
          <w:rFonts w:ascii="Times New Roman" w:hAnsi="Times New Roman"/>
          <w:color w:val="000000" w:themeColor="text1"/>
          <w:sz w:val="16"/>
          <w:szCs w:val="16"/>
        </w:rPr>
        <w:softHyphen/>
        <w:t xml:space="preserve">телями из группы непосредственного сопровождения, из документов 563-го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 xml:space="preserve">283-й </w:t>
      </w:r>
      <w:r w:rsidRPr="00D03F3E">
        <w:rPr>
          <w:rFonts w:ascii="Times New Roman" w:hAnsi="Times New Roman"/>
          <w:iCs/>
          <w:color w:val="000000" w:themeColor="text1"/>
          <w:sz w:val="16"/>
          <w:szCs w:val="16"/>
        </w:rPr>
        <w:t xml:space="preserve">иад </w:t>
      </w:r>
      <w:r w:rsidRPr="00D03F3E">
        <w:rPr>
          <w:rFonts w:ascii="Times New Roman" w:hAnsi="Times New Roman"/>
          <w:color w:val="000000" w:themeColor="text1"/>
          <w:sz w:val="16"/>
          <w:szCs w:val="16"/>
        </w:rPr>
        <w:t>и 16-й воздушной ар</w:t>
      </w:r>
      <w:r w:rsidRPr="00D03F3E">
        <w:rPr>
          <w:rFonts w:ascii="Times New Roman" w:hAnsi="Times New Roman"/>
          <w:color w:val="000000" w:themeColor="text1"/>
          <w:sz w:val="16"/>
          <w:szCs w:val="16"/>
        </w:rPr>
        <w:softHyphen/>
        <w:t>мии установить не удалось.</w:t>
      </w:r>
    </w:p>
    <w:p w14:paraId="53336DB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в районе аэродро</w:t>
      </w:r>
      <w:r w:rsidRPr="00D03F3E">
        <w:rPr>
          <w:rFonts w:ascii="Times New Roman" w:hAnsi="Times New Roman"/>
          <w:color w:val="000000" w:themeColor="text1"/>
          <w:sz w:val="16"/>
          <w:szCs w:val="16"/>
        </w:rPr>
        <w:softHyphen/>
        <w:t>ма штурмовиков прикрывали только три Як-1 из группы непосредственного со</w:t>
      </w:r>
      <w:r w:rsidRPr="00D03F3E">
        <w:rPr>
          <w:rFonts w:ascii="Times New Roman" w:hAnsi="Times New Roman"/>
          <w:color w:val="000000" w:themeColor="text1"/>
          <w:sz w:val="16"/>
          <w:szCs w:val="16"/>
        </w:rPr>
        <w:softHyphen/>
        <w:t>провождения (ведущий ст. л-т И.В. Кры</w:t>
      </w:r>
      <w:r w:rsidRPr="00D03F3E">
        <w:rPr>
          <w:rFonts w:ascii="Times New Roman" w:hAnsi="Times New Roman"/>
          <w:color w:val="000000" w:themeColor="text1"/>
          <w:sz w:val="16"/>
          <w:szCs w:val="16"/>
        </w:rPr>
        <w:softHyphen/>
        <w:t>лов, ведомые — мл. л-т Н.Т. Дъячко, мл. л-т М.Г. Кулиев), которые, как до</w:t>
      </w:r>
      <w:r w:rsidRPr="00D03F3E">
        <w:rPr>
          <w:rFonts w:ascii="Times New Roman" w:hAnsi="Times New Roman"/>
          <w:color w:val="000000" w:themeColor="text1"/>
          <w:sz w:val="16"/>
          <w:szCs w:val="16"/>
        </w:rPr>
        <w:softHyphen/>
        <w:t>ложил ведущий группы Ил-2 к-н Пар</w:t>
      </w:r>
      <w:r w:rsidRPr="00D03F3E">
        <w:rPr>
          <w:rFonts w:ascii="Times New Roman" w:hAnsi="Times New Roman"/>
          <w:color w:val="000000" w:themeColor="text1"/>
          <w:sz w:val="16"/>
          <w:szCs w:val="16"/>
        </w:rPr>
        <w:softHyphen/>
        <w:t xml:space="preserve">шин, </w:t>
      </w:r>
      <w:r w:rsidRPr="00D03F3E">
        <w:rPr>
          <w:rFonts w:ascii="Times New Roman" w:hAnsi="Times New Roman"/>
          <w:iCs/>
          <w:color w:val="000000" w:themeColor="text1"/>
          <w:sz w:val="16"/>
          <w:szCs w:val="16"/>
        </w:rPr>
        <w:t>«с превосходящим противником воздушный бой не вели».</w:t>
      </w:r>
    </w:p>
    <w:p w14:paraId="7704946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Как следует из документов 563-го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звено Крылова на свой аэродром не вернулось в полном составе. О судь</w:t>
      </w:r>
      <w:r w:rsidRPr="00D03F3E">
        <w:rPr>
          <w:rFonts w:ascii="Times New Roman" w:hAnsi="Times New Roman"/>
          <w:color w:val="000000" w:themeColor="text1"/>
          <w:sz w:val="16"/>
          <w:szCs w:val="16"/>
        </w:rPr>
        <w:softHyphen/>
        <w:t>бе летчиков ничего не известно.</w:t>
      </w:r>
    </w:p>
    <w:p w14:paraId="05BD9FC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Надо полагать, на подходе к аэро</w:t>
      </w:r>
      <w:r w:rsidRPr="00D03F3E">
        <w:rPr>
          <w:rFonts w:ascii="Times New Roman" w:hAnsi="Times New Roman"/>
          <w:color w:val="000000" w:themeColor="text1"/>
          <w:sz w:val="16"/>
          <w:szCs w:val="16"/>
        </w:rPr>
        <w:softHyphen/>
        <w:t>дрому «Яки» сопровождения были сразу же атакованы большими силами про</w:t>
      </w:r>
      <w:r w:rsidRPr="00D03F3E">
        <w:rPr>
          <w:rFonts w:ascii="Times New Roman" w:hAnsi="Times New Roman"/>
          <w:color w:val="000000" w:themeColor="text1"/>
          <w:sz w:val="16"/>
          <w:szCs w:val="16"/>
        </w:rPr>
        <w:softHyphen/>
        <w:t>тивника и сбиты.</w:t>
      </w:r>
    </w:p>
    <w:p w14:paraId="56A7CBB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этим причинам еще до начала атаки группа Ил-2 оказалась расстро</w:t>
      </w:r>
      <w:r w:rsidRPr="00D03F3E">
        <w:rPr>
          <w:rFonts w:ascii="Times New Roman" w:hAnsi="Times New Roman"/>
          <w:color w:val="000000" w:themeColor="text1"/>
          <w:sz w:val="16"/>
          <w:szCs w:val="16"/>
        </w:rPr>
        <w:softHyphen/>
        <w:t>енной и без истребительного прикры</w:t>
      </w:r>
      <w:r w:rsidRPr="00D03F3E">
        <w:rPr>
          <w:rFonts w:ascii="Times New Roman" w:hAnsi="Times New Roman"/>
          <w:color w:val="000000" w:themeColor="text1"/>
          <w:sz w:val="16"/>
          <w:szCs w:val="16"/>
        </w:rPr>
        <w:softHyphen/>
        <w:t>тия. В «довесок», при заходе в атаку к-н Паршин допустил серьезную ошиб</w:t>
      </w:r>
      <w:r w:rsidRPr="00D03F3E">
        <w:rPr>
          <w:rFonts w:ascii="Times New Roman" w:hAnsi="Times New Roman"/>
          <w:color w:val="000000" w:themeColor="text1"/>
          <w:sz w:val="16"/>
          <w:szCs w:val="16"/>
        </w:rPr>
        <w:softHyphen/>
        <w:t>ку. Вместо того чтобы атаковать аэродром всей группой в развернутом строе фронт, что соответствовало обстанов</w:t>
      </w:r>
      <w:r w:rsidRPr="00D03F3E">
        <w:rPr>
          <w:rFonts w:ascii="Times New Roman" w:hAnsi="Times New Roman"/>
          <w:color w:val="000000" w:themeColor="text1"/>
          <w:sz w:val="16"/>
          <w:szCs w:val="16"/>
        </w:rPr>
        <w:softHyphen/>
        <w:t>ке в воздухе, он решил придерживать</w:t>
      </w:r>
      <w:r w:rsidRPr="00D03F3E">
        <w:rPr>
          <w:rFonts w:ascii="Times New Roman" w:hAnsi="Times New Roman"/>
          <w:color w:val="000000" w:themeColor="text1"/>
          <w:sz w:val="16"/>
          <w:szCs w:val="16"/>
        </w:rPr>
        <w:softHyphen/>
        <w:t>ся запланированного порядка удара. Экипажи атаковали цели на аэродро</w:t>
      </w:r>
      <w:r w:rsidRPr="00D03F3E">
        <w:rPr>
          <w:rFonts w:ascii="Times New Roman" w:hAnsi="Times New Roman"/>
          <w:color w:val="000000" w:themeColor="text1"/>
          <w:sz w:val="16"/>
          <w:szCs w:val="16"/>
        </w:rPr>
        <w:softHyphen/>
        <w:t>ме последовательно одиночными само</w:t>
      </w:r>
      <w:r w:rsidRPr="00D03F3E">
        <w:rPr>
          <w:rFonts w:ascii="Times New Roman" w:hAnsi="Times New Roman"/>
          <w:color w:val="000000" w:themeColor="text1"/>
          <w:sz w:val="16"/>
          <w:szCs w:val="16"/>
        </w:rPr>
        <w:softHyphen/>
        <w:t>летами. В результате на выходе из ата</w:t>
      </w:r>
      <w:r w:rsidRPr="00D03F3E">
        <w:rPr>
          <w:rFonts w:ascii="Times New Roman" w:hAnsi="Times New Roman"/>
          <w:color w:val="000000" w:themeColor="text1"/>
          <w:sz w:val="16"/>
          <w:szCs w:val="16"/>
        </w:rPr>
        <w:softHyphen/>
        <w:t xml:space="preserve">ки Ил-2 растянулись еще более, </w:t>
      </w:r>
      <w:r w:rsidRPr="00D03F3E">
        <w:rPr>
          <w:rFonts w:ascii="Times New Roman" w:hAnsi="Times New Roman"/>
          <w:iCs/>
          <w:color w:val="000000" w:themeColor="text1"/>
          <w:sz w:val="16"/>
          <w:szCs w:val="16"/>
        </w:rPr>
        <w:t>«на</w:t>
      </w:r>
      <w:r w:rsidRPr="00D03F3E">
        <w:rPr>
          <w:rFonts w:ascii="Times New Roman" w:hAnsi="Times New Roman"/>
          <w:iCs/>
          <w:color w:val="000000" w:themeColor="text1"/>
          <w:sz w:val="16"/>
          <w:szCs w:val="16"/>
        </w:rPr>
        <w:softHyphen/>
        <w:t>рушая огневое взаимодействие и ис</w:t>
      </w:r>
      <w:r w:rsidRPr="00D03F3E">
        <w:rPr>
          <w:rFonts w:ascii="Times New Roman" w:hAnsi="Times New Roman"/>
          <w:iCs/>
          <w:color w:val="000000" w:themeColor="text1"/>
          <w:sz w:val="16"/>
          <w:szCs w:val="16"/>
        </w:rPr>
        <w:softHyphen/>
        <w:t>ключая сосредоточенный огонь воздуш</w:t>
      </w:r>
      <w:r w:rsidRPr="00D03F3E">
        <w:rPr>
          <w:rFonts w:ascii="Times New Roman" w:hAnsi="Times New Roman"/>
          <w:iCs/>
          <w:color w:val="000000" w:themeColor="text1"/>
          <w:sz w:val="16"/>
          <w:szCs w:val="16"/>
        </w:rPr>
        <w:softHyphen/>
        <w:t xml:space="preserve">ных стрелков». </w:t>
      </w:r>
      <w:r w:rsidRPr="00D03F3E">
        <w:rPr>
          <w:rFonts w:ascii="Times New Roman" w:hAnsi="Times New Roman"/>
          <w:color w:val="000000" w:themeColor="text1"/>
          <w:sz w:val="16"/>
          <w:szCs w:val="16"/>
        </w:rPr>
        <w:t>Собраться в компакт</w:t>
      </w:r>
      <w:r w:rsidRPr="00D03F3E">
        <w:rPr>
          <w:rFonts w:ascii="Times New Roman" w:hAnsi="Times New Roman"/>
          <w:color w:val="000000" w:themeColor="text1"/>
          <w:sz w:val="16"/>
          <w:szCs w:val="16"/>
        </w:rPr>
        <w:softHyphen/>
        <w:t xml:space="preserve">ную группу </w:t>
      </w:r>
      <w:r w:rsidRPr="00D03F3E">
        <w:rPr>
          <w:rFonts w:ascii="Times New Roman" w:hAnsi="Times New Roman"/>
          <w:color w:val="000000" w:themeColor="text1"/>
          <w:sz w:val="16"/>
          <w:szCs w:val="16"/>
        </w:rPr>
        <w:lastRenderedPageBreak/>
        <w:t>штурмовикам не удалось, так как были вновь атакованы истре</w:t>
      </w:r>
      <w:r w:rsidRPr="00D03F3E">
        <w:rPr>
          <w:rFonts w:ascii="Times New Roman" w:hAnsi="Times New Roman"/>
          <w:color w:val="000000" w:themeColor="text1"/>
          <w:sz w:val="16"/>
          <w:szCs w:val="16"/>
        </w:rPr>
        <w:softHyphen/>
        <w:t>бителями люфтваффе. Каждый Ил-2 был атакован 2—3 «фокке-вульфами», которые производили заходы одновре</w:t>
      </w:r>
      <w:r w:rsidRPr="00D03F3E">
        <w:rPr>
          <w:rFonts w:ascii="Times New Roman" w:hAnsi="Times New Roman"/>
          <w:color w:val="000000" w:themeColor="text1"/>
          <w:sz w:val="16"/>
          <w:szCs w:val="16"/>
        </w:rPr>
        <w:softHyphen/>
        <w:t>менно с разных сторон и направле</w:t>
      </w:r>
      <w:r w:rsidRPr="00D03F3E">
        <w:rPr>
          <w:rFonts w:ascii="Times New Roman" w:hAnsi="Times New Roman"/>
          <w:color w:val="000000" w:themeColor="text1"/>
          <w:sz w:val="16"/>
          <w:szCs w:val="16"/>
        </w:rPr>
        <w:softHyphen/>
        <w:t>ний. Групповым огнем воздушных стрел</w:t>
      </w:r>
      <w:r w:rsidRPr="00D03F3E">
        <w:rPr>
          <w:rFonts w:ascii="Times New Roman" w:hAnsi="Times New Roman"/>
          <w:color w:val="000000" w:themeColor="text1"/>
          <w:sz w:val="16"/>
          <w:szCs w:val="16"/>
        </w:rPr>
        <w:softHyphen/>
        <w:t xml:space="preserve">ков один Р\^190 был сбит. Экипажи отходили от аэродрома попарно и одиночно на больших дистанциях, что </w:t>
      </w:r>
      <w:r w:rsidRPr="00D03F3E">
        <w:rPr>
          <w:rFonts w:ascii="Times New Roman" w:hAnsi="Times New Roman"/>
          <w:iCs/>
          <w:color w:val="000000" w:themeColor="text1"/>
          <w:sz w:val="16"/>
          <w:szCs w:val="16"/>
        </w:rPr>
        <w:t>«исключило постановку в круг ...для ведения воздушного боя с истребите</w:t>
      </w:r>
      <w:r w:rsidRPr="00D03F3E">
        <w:rPr>
          <w:rFonts w:ascii="Times New Roman" w:hAnsi="Times New Roman"/>
          <w:iCs/>
          <w:color w:val="000000" w:themeColor="text1"/>
          <w:sz w:val="16"/>
          <w:szCs w:val="16"/>
        </w:rPr>
        <w:softHyphen/>
        <w:t xml:space="preserve">лями». </w:t>
      </w:r>
      <w:r w:rsidRPr="00D03F3E">
        <w:rPr>
          <w:rFonts w:ascii="Times New Roman" w:hAnsi="Times New Roman"/>
          <w:color w:val="000000" w:themeColor="text1"/>
          <w:sz w:val="16"/>
          <w:szCs w:val="16"/>
        </w:rPr>
        <w:t>В горячке боя экипажи штурмо</w:t>
      </w:r>
      <w:r w:rsidRPr="00D03F3E">
        <w:rPr>
          <w:rFonts w:ascii="Times New Roman" w:hAnsi="Times New Roman"/>
          <w:color w:val="000000" w:themeColor="text1"/>
          <w:sz w:val="16"/>
          <w:szCs w:val="16"/>
        </w:rPr>
        <w:softHyphen/>
        <w:t xml:space="preserve">виков почти не использовали радио для связи </w:t>
      </w:r>
      <w:r w:rsidRPr="00D03F3E">
        <w:rPr>
          <w:rFonts w:ascii="Times New Roman" w:hAnsi="Times New Roman"/>
          <w:iCs/>
          <w:color w:val="000000" w:themeColor="text1"/>
          <w:sz w:val="16"/>
          <w:szCs w:val="16"/>
        </w:rPr>
        <w:t>«как внутри строя, так и с истре</w:t>
      </w:r>
      <w:r w:rsidRPr="00D03F3E">
        <w:rPr>
          <w:rFonts w:ascii="Times New Roman" w:hAnsi="Times New Roman"/>
          <w:iCs/>
          <w:color w:val="000000" w:themeColor="text1"/>
          <w:sz w:val="16"/>
          <w:szCs w:val="16"/>
        </w:rPr>
        <w:softHyphen/>
        <w:t>бителями прикрытия и другими группа</w:t>
      </w:r>
      <w:r w:rsidRPr="00D03F3E">
        <w:rPr>
          <w:rFonts w:ascii="Times New Roman" w:hAnsi="Times New Roman"/>
          <w:iCs/>
          <w:color w:val="000000" w:themeColor="text1"/>
          <w:sz w:val="16"/>
          <w:szCs w:val="16"/>
        </w:rPr>
        <w:softHyphen/>
        <w:t xml:space="preserve">ми». </w:t>
      </w:r>
      <w:r w:rsidRPr="00D03F3E">
        <w:rPr>
          <w:rFonts w:ascii="Times New Roman" w:hAnsi="Times New Roman"/>
          <w:color w:val="000000" w:themeColor="text1"/>
          <w:sz w:val="16"/>
          <w:szCs w:val="16"/>
        </w:rPr>
        <w:t xml:space="preserve">Это привело к отсутствию всякого взаимодействия между экипажами и в конечном итоге </w:t>
      </w:r>
      <w:r w:rsidRPr="00D03F3E">
        <w:rPr>
          <w:rFonts w:ascii="Times New Roman" w:hAnsi="Times New Roman"/>
          <w:iCs/>
          <w:color w:val="000000" w:themeColor="text1"/>
          <w:sz w:val="16"/>
          <w:szCs w:val="16"/>
        </w:rPr>
        <w:t xml:space="preserve">«к безнаказанным атаком истребителей противника», </w:t>
      </w:r>
      <w:r w:rsidRPr="00D03F3E">
        <w:rPr>
          <w:rFonts w:ascii="Times New Roman" w:hAnsi="Times New Roman"/>
          <w:color w:val="000000" w:themeColor="text1"/>
          <w:sz w:val="16"/>
          <w:szCs w:val="16"/>
        </w:rPr>
        <w:t>кото</w:t>
      </w:r>
      <w:r w:rsidRPr="00D03F3E">
        <w:rPr>
          <w:rFonts w:ascii="Times New Roman" w:hAnsi="Times New Roman"/>
          <w:color w:val="000000" w:themeColor="text1"/>
          <w:sz w:val="16"/>
          <w:szCs w:val="16"/>
        </w:rPr>
        <w:softHyphen/>
        <w:t>рые расстреливали штурмовики «на вы</w:t>
      </w:r>
      <w:r w:rsidRPr="00D03F3E">
        <w:rPr>
          <w:rFonts w:ascii="Times New Roman" w:hAnsi="Times New Roman"/>
          <w:color w:val="000000" w:themeColor="text1"/>
          <w:sz w:val="16"/>
          <w:szCs w:val="16"/>
        </w:rPr>
        <w:softHyphen/>
        <w:t>бор и наверняка» — с дистанций 100-200 м, ведя стрельбу из всех огневых точек средними и короткими очередя</w:t>
      </w:r>
      <w:r w:rsidRPr="00D03F3E">
        <w:rPr>
          <w:rFonts w:ascii="Times New Roman" w:hAnsi="Times New Roman"/>
          <w:color w:val="000000" w:themeColor="text1"/>
          <w:sz w:val="16"/>
          <w:szCs w:val="16"/>
        </w:rPr>
        <w:softHyphen/>
        <w:t>ми одновременно с двух-трех направ</w:t>
      </w:r>
      <w:r w:rsidRPr="00D03F3E">
        <w:rPr>
          <w:rFonts w:ascii="Times New Roman" w:hAnsi="Times New Roman"/>
          <w:color w:val="000000" w:themeColor="text1"/>
          <w:sz w:val="16"/>
          <w:szCs w:val="16"/>
        </w:rPr>
        <w:softHyphen/>
        <w:t>лений.</w:t>
      </w:r>
    </w:p>
    <w:p w14:paraId="7E401D2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Экипажи штурмовиков отбивались в одиночку, кто как мог. По докладу ка</w:t>
      </w:r>
      <w:r w:rsidRPr="00D03F3E">
        <w:rPr>
          <w:rFonts w:ascii="Times New Roman" w:hAnsi="Times New Roman"/>
          <w:color w:val="000000" w:themeColor="text1"/>
          <w:sz w:val="16"/>
          <w:szCs w:val="16"/>
        </w:rPr>
        <w:softHyphen/>
        <w:t>питана Паршина, его воздушный стре</w:t>
      </w:r>
      <w:r w:rsidRPr="00D03F3E">
        <w:rPr>
          <w:rFonts w:ascii="Times New Roman" w:hAnsi="Times New Roman"/>
          <w:color w:val="000000" w:themeColor="text1"/>
          <w:sz w:val="16"/>
          <w:szCs w:val="16"/>
        </w:rPr>
        <w:softHyphen/>
        <w:t>лок ст. сержант Матвеев, отбивая ата</w:t>
      </w:r>
      <w:r w:rsidRPr="00D03F3E">
        <w:rPr>
          <w:rFonts w:ascii="Times New Roman" w:hAnsi="Times New Roman"/>
          <w:color w:val="000000" w:themeColor="text1"/>
          <w:sz w:val="16"/>
          <w:szCs w:val="16"/>
        </w:rPr>
        <w:softHyphen/>
        <w:t>ки ФВ190, с дистанции 100 м сбил один истребитель. Оставшиеся три «фокке-ра» преследовали Паршина до насе</w:t>
      </w:r>
      <w:r w:rsidRPr="00D03F3E">
        <w:rPr>
          <w:rFonts w:ascii="Times New Roman" w:hAnsi="Times New Roman"/>
          <w:color w:val="000000" w:themeColor="text1"/>
          <w:sz w:val="16"/>
          <w:szCs w:val="16"/>
        </w:rPr>
        <w:softHyphen/>
        <w:t>ленного пункта Шереметьевка, где он лично в лобовой атаке сбил еще один ФВ190. Что стало с другими экипажа</w:t>
      </w:r>
      <w:r w:rsidRPr="00D03F3E">
        <w:rPr>
          <w:rFonts w:ascii="Times New Roman" w:hAnsi="Times New Roman"/>
          <w:color w:val="000000" w:themeColor="text1"/>
          <w:sz w:val="16"/>
          <w:szCs w:val="16"/>
        </w:rPr>
        <w:softHyphen/>
        <w:t>ми из его группы, к-н Паршин пока</w:t>
      </w:r>
      <w:r w:rsidRPr="00D03F3E">
        <w:rPr>
          <w:rFonts w:ascii="Times New Roman" w:hAnsi="Times New Roman"/>
          <w:color w:val="000000" w:themeColor="text1"/>
          <w:sz w:val="16"/>
          <w:szCs w:val="16"/>
        </w:rPr>
        <w:softHyphen/>
        <w:t>зать не смог.</w:t>
      </w:r>
    </w:p>
    <w:p w14:paraId="7CAC296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Удар Ил-2 от 58-го </w:t>
      </w:r>
      <w:r w:rsidRPr="00D03F3E">
        <w:rPr>
          <w:rFonts w:ascii="Times New Roman" w:hAnsi="Times New Roman"/>
          <w:iCs/>
          <w:color w:val="000000" w:themeColor="text1"/>
          <w:sz w:val="16"/>
          <w:szCs w:val="16"/>
        </w:rPr>
        <w:t xml:space="preserve">гшап </w:t>
      </w:r>
      <w:r w:rsidRPr="00D03F3E">
        <w:rPr>
          <w:rFonts w:ascii="Times New Roman" w:hAnsi="Times New Roman"/>
          <w:color w:val="000000" w:themeColor="text1"/>
          <w:sz w:val="16"/>
          <w:szCs w:val="16"/>
        </w:rPr>
        <w:t>по аэро</w:t>
      </w:r>
      <w:r w:rsidRPr="00D03F3E">
        <w:rPr>
          <w:rFonts w:ascii="Times New Roman" w:hAnsi="Times New Roman"/>
          <w:color w:val="000000" w:themeColor="text1"/>
          <w:sz w:val="16"/>
          <w:szCs w:val="16"/>
        </w:rPr>
        <w:softHyphen/>
        <w:t>дрому Орел-Центральный проходил по аналогичному сценарию. На подходе к аэродрому с него и с юго-западной окраины г. Орел был открыт сильный огонь зенитной артиллерии. Группа при</w:t>
      </w:r>
      <w:r w:rsidRPr="00D03F3E">
        <w:rPr>
          <w:rFonts w:ascii="Times New Roman" w:hAnsi="Times New Roman"/>
          <w:color w:val="000000" w:themeColor="text1"/>
          <w:sz w:val="16"/>
          <w:szCs w:val="16"/>
        </w:rPr>
        <w:softHyphen/>
        <w:t xml:space="preserve">крывающих истребителей от 176-го </w:t>
      </w:r>
      <w:r w:rsidRPr="00D03F3E">
        <w:rPr>
          <w:rFonts w:ascii="Times New Roman" w:hAnsi="Times New Roman"/>
          <w:iCs/>
          <w:color w:val="000000" w:themeColor="text1"/>
          <w:sz w:val="16"/>
          <w:szCs w:val="16"/>
        </w:rPr>
        <w:t xml:space="preserve">иап «рассыпалась: по одному и попарно, ныряя в облачность». </w:t>
      </w:r>
      <w:r w:rsidRPr="00D03F3E">
        <w:rPr>
          <w:rFonts w:ascii="Times New Roman" w:hAnsi="Times New Roman"/>
          <w:color w:val="000000" w:themeColor="text1"/>
          <w:sz w:val="16"/>
          <w:szCs w:val="16"/>
        </w:rPr>
        <w:t>В результате са</w:t>
      </w:r>
      <w:r w:rsidRPr="00D03F3E">
        <w:rPr>
          <w:rFonts w:ascii="Times New Roman" w:hAnsi="Times New Roman"/>
          <w:color w:val="000000" w:themeColor="text1"/>
          <w:sz w:val="16"/>
          <w:szCs w:val="16"/>
        </w:rPr>
        <w:softHyphen/>
        <w:t>молеты Ил-2 были потеряны ими из виду.</w:t>
      </w:r>
    </w:p>
    <w:p w14:paraId="73BE31F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Когда штурмовики после атаки мат-части на аэродроме начали отход от него, зенитный огонь прекратился, но в этот момент с северной стороны по</w:t>
      </w:r>
      <w:r w:rsidRPr="00D03F3E">
        <w:rPr>
          <w:rFonts w:ascii="Times New Roman" w:hAnsi="Times New Roman"/>
          <w:color w:val="000000" w:themeColor="text1"/>
          <w:sz w:val="16"/>
          <w:szCs w:val="16"/>
        </w:rPr>
        <w:softHyphen/>
        <w:t>явились 12 ФВ190, атаковавшие Ил-2. В то же время пять истребителей со</w:t>
      </w:r>
      <w:r w:rsidRPr="00D03F3E">
        <w:rPr>
          <w:rFonts w:ascii="Times New Roman" w:hAnsi="Times New Roman"/>
          <w:color w:val="000000" w:themeColor="text1"/>
          <w:sz w:val="16"/>
          <w:szCs w:val="16"/>
        </w:rPr>
        <w:softHyphen/>
        <w:t xml:space="preserve">провождения от 176-го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 xml:space="preserve">которые должны были защищать штурмовиков 58-го </w:t>
      </w:r>
      <w:r w:rsidRPr="00D03F3E">
        <w:rPr>
          <w:rFonts w:ascii="Times New Roman" w:hAnsi="Times New Roman"/>
          <w:iCs/>
          <w:color w:val="000000" w:themeColor="text1"/>
          <w:sz w:val="16"/>
          <w:szCs w:val="16"/>
        </w:rPr>
        <w:t xml:space="preserve">гшап, </w:t>
      </w:r>
      <w:r w:rsidRPr="00D03F3E">
        <w:rPr>
          <w:rFonts w:ascii="Times New Roman" w:hAnsi="Times New Roman"/>
          <w:color w:val="000000" w:themeColor="text1"/>
          <w:sz w:val="16"/>
          <w:szCs w:val="16"/>
        </w:rPr>
        <w:t>своей задачи не выполнили. Как удалось установить по докумен</w:t>
      </w:r>
      <w:r w:rsidRPr="00D03F3E">
        <w:rPr>
          <w:rFonts w:ascii="Times New Roman" w:hAnsi="Times New Roman"/>
          <w:color w:val="000000" w:themeColor="text1"/>
          <w:sz w:val="16"/>
          <w:szCs w:val="16"/>
        </w:rPr>
        <w:softHyphen/>
        <w:t xml:space="preserve">там 176-го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 xml:space="preserve">ведущий группы ст. л-т Стрельцов, </w:t>
      </w:r>
      <w:r w:rsidRPr="00D03F3E">
        <w:rPr>
          <w:rFonts w:ascii="Times New Roman" w:hAnsi="Times New Roman"/>
          <w:iCs/>
          <w:color w:val="000000" w:themeColor="text1"/>
          <w:sz w:val="16"/>
          <w:szCs w:val="16"/>
        </w:rPr>
        <w:t xml:space="preserve">«брошенный ведомыми всей группы» </w:t>
      </w:r>
      <w:r w:rsidRPr="00D03F3E">
        <w:rPr>
          <w:rFonts w:ascii="Times New Roman" w:hAnsi="Times New Roman"/>
          <w:color w:val="000000" w:themeColor="text1"/>
          <w:sz w:val="16"/>
          <w:szCs w:val="16"/>
        </w:rPr>
        <w:t>при выполнении противозенит</w:t>
      </w:r>
      <w:r w:rsidRPr="00D03F3E">
        <w:rPr>
          <w:rFonts w:ascii="Times New Roman" w:hAnsi="Times New Roman"/>
          <w:color w:val="000000" w:themeColor="text1"/>
          <w:sz w:val="16"/>
          <w:szCs w:val="16"/>
        </w:rPr>
        <w:softHyphen/>
        <w:t>ного маневра, в районе цели был ата</w:t>
      </w:r>
      <w:r w:rsidRPr="00D03F3E">
        <w:rPr>
          <w:rFonts w:ascii="Times New Roman" w:hAnsi="Times New Roman"/>
          <w:color w:val="000000" w:themeColor="text1"/>
          <w:sz w:val="16"/>
          <w:szCs w:val="16"/>
        </w:rPr>
        <w:softHyphen/>
        <w:t>кован парой Ме109. Затем из облачно</w:t>
      </w:r>
      <w:r w:rsidRPr="00D03F3E">
        <w:rPr>
          <w:rFonts w:ascii="Times New Roman" w:hAnsi="Times New Roman"/>
          <w:color w:val="000000" w:themeColor="text1"/>
          <w:sz w:val="16"/>
          <w:szCs w:val="16"/>
        </w:rPr>
        <w:softHyphen/>
        <w:t>сти «вывалились» еще два «мессерш-митта» и 6 «фоккеров», которые пара</w:t>
      </w:r>
      <w:r w:rsidRPr="00D03F3E">
        <w:rPr>
          <w:rFonts w:ascii="Times New Roman" w:hAnsi="Times New Roman"/>
          <w:color w:val="000000" w:themeColor="text1"/>
          <w:sz w:val="16"/>
          <w:szCs w:val="16"/>
        </w:rPr>
        <w:softHyphen/>
        <w:t xml:space="preserve">ми атаковали Стрельцова. С большим трудом, </w:t>
      </w:r>
      <w:r w:rsidRPr="00D03F3E">
        <w:rPr>
          <w:rFonts w:ascii="Times New Roman" w:hAnsi="Times New Roman"/>
          <w:iCs/>
          <w:color w:val="000000" w:themeColor="text1"/>
          <w:sz w:val="16"/>
          <w:szCs w:val="16"/>
        </w:rPr>
        <w:t xml:space="preserve">«маневрируя и огрызаясь», </w:t>
      </w:r>
      <w:r w:rsidRPr="00D03F3E">
        <w:rPr>
          <w:rFonts w:ascii="Times New Roman" w:hAnsi="Times New Roman"/>
          <w:color w:val="000000" w:themeColor="text1"/>
          <w:sz w:val="16"/>
          <w:szCs w:val="16"/>
        </w:rPr>
        <w:t>Стрельцову удалось войти в облачность и оторваться от преследования. Пос</w:t>
      </w:r>
      <w:r w:rsidRPr="00D03F3E">
        <w:rPr>
          <w:rFonts w:ascii="Times New Roman" w:hAnsi="Times New Roman"/>
          <w:color w:val="000000" w:themeColor="text1"/>
          <w:sz w:val="16"/>
          <w:szCs w:val="16"/>
        </w:rPr>
        <w:softHyphen/>
        <w:t>ле этого Стрельцов взял курс 90°, вы</w:t>
      </w:r>
      <w:r w:rsidRPr="00D03F3E">
        <w:rPr>
          <w:rFonts w:ascii="Times New Roman" w:hAnsi="Times New Roman"/>
          <w:color w:val="000000" w:themeColor="text1"/>
          <w:sz w:val="16"/>
          <w:szCs w:val="16"/>
        </w:rPr>
        <w:softHyphen/>
        <w:t>шел на аэродром Бабарыкино, где и произвел посадку в связи с полной вы</w:t>
      </w:r>
      <w:r w:rsidRPr="00D03F3E">
        <w:rPr>
          <w:rFonts w:ascii="Times New Roman" w:hAnsi="Times New Roman"/>
          <w:color w:val="000000" w:themeColor="text1"/>
          <w:sz w:val="16"/>
          <w:szCs w:val="16"/>
        </w:rPr>
        <w:softHyphen/>
        <w:t>работкой горючего.</w:t>
      </w:r>
    </w:p>
    <w:p w14:paraId="628F6B7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докладу Стрельцова, в воздуш</w:t>
      </w:r>
      <w:r w:rsidRPr="00D03F3E">
        <w:rPr>
          <w:rFonts w:ascii="Times New Roman" w:hAnsi="Times New Roman"/>
          <w:color w:val="000000" w:themeColor="text1"/>
          <w:sz w:val="16"/>
          <w:szCs w:val="16"/>
        </w:rPr>
        <w:softHyphen/>
        <w:t>ном бою с немецкими истребителями при попытке взять его самолет в кле</w:t>
      </w:r>
      <w:r w:rsidRPr="00D03F3E">
        <w:rPr>
          <w:rFonts w:ascii="Times New Roman" w:hAnsi="Times New Roman"/>
          <w:color w:val="000000" w:themeColor="text1"/>
          <w:sz w:val="16"/>
          <w:szCs w:val="16"/>
        </w:rPr>
        <w:softHyphen/>
        <w:t>щи два «мессершмитта» столкнулись в воздухе и горящими упали в районе Маслово в 15 км западнее Орла.</w:t>
      </w:r>
    </w:p>
    <w:p w14:paraId="331B21A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Ведомый Стрельцова ст. сержант Пономарев, потерявший его во время противозенитного маневра, отбил атаку одного «мессера» на </w:t>
      </w:r>
      <w:r w:rsidRPr="00D03F3E">
        <w:rPr>
          <w:rFonts w:ascii="Times New Roman" w:hAnsi="Times New Roman"/>
          <w:iCs/>
          <w:color w:val="000000" w:themeColor="text1"/>
          <w:sz w:val="16"/>
          <w:szCs w:val="16"/>
        </w:rPr>
        <w:t xml:space="preserve">Ил-2, </w:t>
      </w:r>
      <w:r w:rsidRPr="00D03F3E">
        <w:rPr>
          <w:rFonts w:ascii="Times New Roman" w:hAnsi="Times New Roman"/>
          <w:color w:val="000000" w:themeColor="text1"/>
          <w:sz w:val="16"/>
          <w:szCs w:val="16"/>
        </w:rPr>
        <w:t>но затем был атако</w:t>
      </w:r>
      <w:r w:rsidRPr="00D03F3E">
        <w:rPr>
          <w:rFonts w:ascii="Times New Roman" w:hAnsi="Times New Roman"/>
          <w:color w:val="000000" w:themeColor="text1"/>
          <w:sz w:val="16"/>
          <w:szCs w:val="16"/>
        </w:rPr>
        <w:softHyphen/>
        <w:t xml:space="preserve">ван парой Ме109 и вышел из боя </w:t>
      </w:r>
      <w:r w:rsidRPr="00D03F3E">
        <w:rPr>
          <w:rFonts w:ascii="Times New Roman" w:hAnsi="Times New Roman"/>
          <w:iCs/>
          <w:color w:val="000000" w:themeColor="text1"/>
          <w:sz w:val="16"/>
          <w:szCs w:val="16"/>
        </w:rPr>
        <w:t>«путем захода в облач</w:t>
      </w:r>
      <w:r w:rsidRPr="00D03F3E">
        <w:rPr>
          <w:rFonts w:ascii="Times New Roman" w:hAnsi="Times New Roman"/>
          <w:iCs/>
          <w:color w:val="000000" w:themeColor="text1"/>
          <w:sz w:val="16"/>
          <w:szCs w:val="16"/>
        </w:rPr>
        <w:softHyphen/>
        <w:t>ность».</w:t>
      </w:r>
    </w:p>
    <w:p w14:paraId="32E7DB7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Второй ведомый Стрельцо</w:t>
      </w:r>
      <w:r w:rsidRPr="00D03F3E">
        <w:rPr>
          <w:rFonts w:ascii="Times New Roman" w:hAnsi="Times New Roman"/>
          <w:color w:val="000000" w:themeColor="text1"/>
          <w:sz w:val="16"/>
          <w:szCs w:val="16"/>
        </w:rPr>
        <w:softHyphen/>
        <w:t>ва, л-т Лебедев, также ото</w:t>
      </w:r>
      <w:r w:rsidRPr="00D03F3E">
        <w:rPr>
          <w:rFonts w:ascii="Times New Roman" w:hAnsi="Times New Roman"/>
          <w:color w:val="000000" w:themeColor="text1"/>
          <w:sz w:val="16"/>
          <w:szCs w:val="16"/>
        </w:rPr>
        <w:softHyphen/>
        <w:t>рвался от своего ведущего при выполнении противозенит</w:t>
      </w:r>
      <w:r w:rsidRPr="00D03F3E">
        <w:rPr>
          <w:rFonts w:ascii="Times New Roman" w:hAnsi="Times New Roman"/>
          <w:color w:val="000000" w:themeColor="text1"/>
          <w:sz w:val="16"/>
          <w:szCs w:val="16"/>
        </w:rPr>
        <w:softHyphen/>
        <w:t>ного маневра. На выходе из облачности в районе Орла неожиданно встретился с 12 ФВ190 и Ме109, которые шли тремя четверками. По докладу Лебедева, он сделал попытку снизу атаковать одно</w:t>
      </w:r>
      <w:r w:rsidRPr="00D03F3E">
        <w:rPr>
          <w:rFonts w:ascii="Times New Roman" w:hAnsi="Times New Roman"/>
          <w:color w:val="000000" w:themeColor="text1"/>
          <w:sz w:val="16"/>
          <w:szCs w:val="16"/>
        </w:rPr>
        <w:softHyphen/>
        <w:t>го «фокке-вульфа», но его самого ата</w:t>
      </w:r>
      <w:r w:rsidRPr="00D03F3E">
        <w:rPr>
          <w:rFonts w:ascii="Times New Roman" w:hAnsi="Times New Roman"/>
          <w:color w:val="000000" w:themeColor="text1"/>
          <w:sz w:val="16"/>
          <w:szCs w:val="16"/>
        </w:rPr>
        <w:softHyphen/>
        <w:t>ковала четверка немецких истребите</w:t>
      </w:r>
      <w:r w:rsidRPr="00D03F3E">
        <w:rPr>
          <w:rFonts w:ascii="Times New Roman" w:hAnsi="Times New Roman"/>
          <w:color w:val="000000" w:themeColor="text1"/>
          <w:sz w:val="16"/>
          <w:szCs w:val="16"/>
        </w:rPr>
        <w:softHyphen/>
        <w:t>лей, и он вышел из боя.</w:t>
      </w:r>
    </w:p>
    <w:p w14:paraId="03DA3F9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Пара Як-1 в составе лейтенанта Пантюхина и ст. сержанта Трошина при выполнении противозенитного ма</w:t>
      </w:r>
      <w:r w:rsidRPr="00D03F3E">
        <w:rPr>
          <w:rFonts w:ascii="Times New Roman" w:hAnsi="Times New Roman"/>
          <w:color w:val="000000" w:themeColor="text1"/>
          <w:sz w:val="16"/>
          <w:szCs w:val="16"/>
        </w:rPr>
        <w:softHyphen/>
        <w:t>невра дважды заходила в облачность и «разорвалась». На входе в облач</w:t>
      </w:r>
      <w:r w:rsidRPr="00D03F3E">
        <w:rPr>
          <w:rFonts w:ascii="Times New Roman" w:hAnsi="Times New Roman"/>
          <w:color w:val="000000" w:themeColor="text1"/>
          <w:sz w:val="16"/>
          <w:szCs w:val="16"/>
        </w:rPr>
        <w:softHyphen/>
        <w:t>ность Трошин потерял Пантюхина. Сделав несколько восьмерок и не най</w:t>
      </w:r>
      <w:r w:rsidRPr="00D03F3E">
        <w:rPr>
          <w:rFonts w:ascii="Times New Roman" w:hAnsi="Times New Roman"/>
          <w:color w:val="000000" w:themeColor="text1"/>
          <w:sz w:val="16"/>
          <w:szCs w:val="16"/>
        </w:rPr>
        <w:softHyphen/>
        <w:t>дя ведущего, Трошин ушел на свой аэродром.</w:t>
      </w:r>
    </w:p>
    <w:p w14:paraId="66C7416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временем л-т Пантюхин на вы</w:t>
      </w:r>
      <w:r w:rsidRPr="00D03F3E">
        <w:rPr>
          <w:rFonts w:ascii="Times New Roman" w:hAnsi="Times New Roman"/>
          <w:color w:val="000000" w:themeColor="text1"/>
          <w:sz w:val="16"/>
          <w:szCs w:val="16"/>
        </w:rPr>
        <w:softHyphen/>
        <w:t>ходе из облачности в районе Орла об</w:t>
      </w:r>
      <w:r w:rsidRPr="00D03F3E">
        <w:rPr>
          <w:rFonts w:ascii="Times New Roman" w:hAnsi="Times New Roman"/>
          <w:color w:val="000000" w:themeColor="text1"/>
          <w:sz w:val="16"/>
          <w:szCs w:val="16"/>
        </w:rPr>
        <w:softHyphen/>
        <w:t xml:space="preserve">наружил пару </w:t>
      </w:r>
      <w:r w:rsidRPr="00D03F3E">
        <w:rPr>
          <w:rFonts w:ascii="Times New Roman" w:hAnsi="Times New Roman"/>
          <w:smallCaps/>
          <w:color w:val="000000" w:themeColor="text1"/>
          <w:sz w:val="16"/>
          <w:szCs w:val="16"/>
        </w:rPr>
        <w:t xml:space="preserve">руу! </w:t>
      </w:r>
      <w:r w:rsidRPr="00D03F3E">
        <w:rPr>
          <w:rFonts w:ascii="Times New Roman" w:hAnsi="Times New Roman"/>
          <w:color w:val="000000" w:themeColor="text1"/>
          <w:sz w:val="16"/>
          <w:szCs w:val="16"/>
        </w:rPr>
        <w:t xml:space="preserve">90 и, по его словам, </w:t>
      </w:r>
      <w:r w:rsidRPr="00D03F3E">
        <w:rPr>
          <w:rFonts w:ascii="Times New Roman" w:hAnsi="Times New Roman"/>
          <w:iCs/>
          <w:color w:val="000000" w:themeColor="text1"/>
          <w:sz w:val="16"/>
          <w:szCs w:val="16"/>
        </w:rPr>
        <w:t xml:space="preserve">«вел с ними воздушный бой». </w:t>
      </w:r>
      <w:r w:rsidRPr="00D03F3E">
        <w:rPr>
          <w:rFonts w:ascii="Times New Roman" w:hAnsi="Times New Roman"/>
          <w:color w:val="000000" w:themeColor="text1"/>
          <w:sz w:val="16"/>
          <w:szCs w:val="16"/>
        </w:rPr>
        <w:t>По воз</w:t>
      </w:r>
      <w:r w:rsidRPr="00D03F3E">
        <w:rPr>
          <w:rFonts w:ascii="Times New Roman" w:hAnsi="Times New Roman"/>
          <w:color w:val="000000" w:themeColor="text1"/>
          <w:sz w:val="16"/>
          <w:szCs w:val="16"/>
        </w:rPr>
        <w:softHyphen/>
        <w:t>вращении на свой аэродром Пантю</w:t>
      </w:r>
      <w:r w:rsidRPr="00D03F3E">
        <w:rPr>
          <w:rFonts w:ascii="Times New Roman" w:hAnsi="Times New Roman"/>
          <w:color w:val="000000" w:themeColor="text1"/>
          <w:sz w:val="16"/>
          <w:szCs w:val="16"/>
        </w:rPr>
        <w:softHyphen/>
        <w:t xml:space="preserve">хин доложил, что на аэродроме Орел-Центральный он наблюдал три очага пожара, но самолетов Ил-2 не видел. Для оценки докладов летчиков 176-го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интересно проанализировать рас</w:t>
      </w:r>
      <w:r w:rsidRPr="00D03F3E">
        <w:rPr>
          <w:rFonts w:ascii="Times New Roman" w:hAnsi="Times New Roman"/>
          <w:color w:val="000000" w:themeColor="text1"/>
          <w:sz w:val="16"/>
          <w:szCs w:val="16"/>
        </w:rPr>
        <w:softHyphen/>
        <w:t>ход боекомплекта при проведении воз</w:t>
      </w:r>
      <w:r w:rsidRPr="00D03F3E">
        <w:rPr>
          <w:rFonts w:ascii="Times New Roman" w:hAnsi="Times New Roman"/>
          <w:color w:val="000000" w:themeColor="text1"/>
          <w:sz w:val="16"/>
          <w:szCs w:val="16"/>
        </w:rPr>
        <w:softHyphen/>
        <w:t>душных боев 7 мая. Как следует из до</w:t>
      </w:r>
      <w:r w:rsidRPr="00D03F3E">
        <w:rPr>
          <w:rFonts w:ascii="Times New Roman" w:hAnsi="Times New Roman"/>
          <w:color w:val="000000" w:themeColor="text1"/>
          <w:sz w:val="16"/>
          <w:szCs w:val="16"/>
        </w:rPr>
        <w:softHyphen/>
        <w:t>кументов, ст. л-т Стрельцов израсхо</w:t>
      </w:r>
      <w:r w:rsidRPr="00D03F3E">
        <w:rPr>
          <w:rFonts w:ascii="Times New Roman" w:hAnsi="Times New Roman"/>
          <w:color w:val="000000" w:themeColor="text1"/>
          <w:sz w:val="16"/>
          <w:szCs w:val="16"/>
        </w:rPr>
        <w:softHyphen/>
        <w:t>довал 50 снарядов к пушке ШВАК и 78 патронов к пулемету БС, ст. сер</w:t>
      </w:r>
      <w:r w:rsidRPr="00D03F3E">
        <w:rPr>
          <w:rFonts w:ascii="Times New Roman" w:hAnsi="Times New Roman"/>
          <w:color w:val="000000" w:themeColor="text1"/>
          <w:sz w:val="16"/>
          <w:szCs w:val="16"/>
        </w:rPr>
        <w:softHyphen/>
        <w:t>жант Пономарев — 70 снарядов и 50 патронов, л-т Лебедев — 25 снаря</w:t>
      </w:r>
      <w:r w:rsidRPr="00D03F3E">
        <w:rPr>
          <w:rFonts w:ascii="Times New Roman" w:hAnsi="Times New Roman"/>
          <w:color w:val="000000" w:themeColor="text1"/>
          <w:sz w:val="16"/>
          <w:szCs w:val="16"/>
        </w:rPr>
        <w:softHyphen/>
        <w:t>дов и 27 патронов, л-т Пантюхин и ст. сержант Трошин — расхода бое</w:t>
      </w:r>
      <w:r w:rsidRPr="00D03F3E">
        <w:rPr>
          <w:rFonts w:ascii="Times New Roman" w:hAnsi="Times New Roman"/>
          <w:color w:val="000000" w:themeColor="text1"/>
          <w:sz w:val="16"/>
          <w:szCs w:val="16"/>
        </w:rPr>
        <w:softHyphen/>
        <w:t>комплекта не имели.</w:t>
      </w:r>
    </w:p>
    <w:p w14:paraId="0524DE5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Командир 58-го </w:t>
      </w:r>
      <w:r w:rsidRPr="00D03F3E">
        <w:rPr>
          <w:rFonts w:ascii="Times New Roman" w:hAnsi="Times New Roman"/>
          <w:iCs/>
          <w:color w:val="000000" w:themeColor="text1"/>
          <w:sz w:val="16"/>
          <w:szCs w:val="16"/>
        </w:rPr>
        <w:t xml:space="preserve">гшап </w:t>
      </w:r>
      <w:r w:rsidRPr="00D03F3E">
        <w:rPr>
          <w:rFonts w:ascii="Times New Roman" w:hAnsi="Times New Roman"/>
          <w:color w:val="000000" w:themeColor="text1"/>
          <w:sz w:val="16"/>
          <w:szCs w:val="16"/>
        </w:rPr>
        <w:t>Герой Совет</w:t>
      </w:r>
      <w:r w:rsidRPr="00D03F3E">
        <w:rPr>
          <w:rFonts w:ascii="Times New Roman" w:hAnsi="Times New Roman"/>
          <w:color w:val="000000" w:themeColor="text1"/>
          <w:sz w:val="16"/>
          <w:szCs w:val="16"/>
        </w:rPr>
        <w:softHyphen/>
        <w:t>ского Союза капитан В.М. Голубев (вступил в командование полком вмес</w:t>
      </w:r>
      <w:r w:rsidRPr="00D03F3E">
        <w:rPr>
          <w:rFonts w:ascii="Times New Roman" w:hAnsi="Times New Roman"/>
          <w:color w:val="000000" w:themeColor="text1"/>
          <w:sz w:val="16"/>
          <w:szCs w:val="16"/>
        </w:rPr>
        <w:softHyphen/>
        <w:t>то погибшего 6 мая майора Е.П. Ко</w:t>
      </w:r>
      <w:r w:rsidRPr="00D03F3E">
        <w:rPr>
          <w:rFonts w:ascii="Times New Roman" w:hAnsi="Times New Roman"/>
          <w:color w:val="000000" w:themeColor="text1"/>
          <w:sz w:val="16"/>
          <w:szCs w:val="16"/>
        </w:rPr>
        <w:softHyphen/>
        <w:t>валя) в боевом донесении, составлен</w:t>
      </w:r>
      <w:r w:rsidRPr="00D03F3E">
        <w:rPr>
          <w:rFonts w:ascii="Times New Roman" w:hAnsi="Times New Roman"/>
          <w:color w:val="000000" w:themeColor="text1"/>
          <w:sz w:val="16"/>
          <w:szCs w:val="16"/>
        </w:rPr>
        <w:softHyphen/>
        <w:t>ном к 7.40 утра 7 мая, докладывал, что ни один из летчиков-истребителей прикрывающей группы не мог толком сказать, что же происходило в воздухе над аэродромом Орел-Центральный. Часть летчиков утверждала, что в рай</w:t>
      </w:r>
      <w:r w:rsidRPr="00D03F3E">
        <w:rPr>
          <w:rFonts w:ascii="Times New Roman" w:hAnsi="Times New Roman"/>
          <w:color w:val="000000" w:themeColor="text1"/>
          <w:sz w:val="16"/>
          <w:szCs w:val="16"/>
        </w:rPr>
        <w:softHyphen/>
        <w:t xml:space="preserve">оне аэродрома барражировало до 12 истребителей противника. Другие летчики, наоборот, </w:t>
      </w:r>
      <w:r w:rsidRPr="00D03F3E">
        <w:rPr>
          <w:rFonts w:ascii="Times New Roman" w:hAnsi="Times New Roman"/>
          <w:iCs/>
          <w:color w:val="000000" w:themeColor="text1"/>
          <w:sz w:val="16"/>
          <w:szCs w:val="16"/>
        </w:rPr>
        <w:t>«...самолетов про</w:t>
      </w:r>
      <w:r w:rsidRPr="00D03F3E">
        <w:rPr>
          <w:rFonts w:ascii="Times New Roman" w:hAnsi="Times New Roman"/>
          <w:iCs/>
          <w:color w:val="000000" w:themeColor="text1"/>
          <w:sz w:val="16"/>
          <w:szCs w:val="16"/>
        </w:rPr>
        <w:softHyphen/>
        <w:t xml:space="preserve">тивника ...в районе цели ...не видели». </w:t>
      </w:r>
      <w:r w:rsidRPr="00D03F3E">
        <w:rPr>
          <w:rFonts w:ascii="Times New Roman" w:hAnsi="Times New Roman"/>
          <w:color w:val="000000" w:themeColor="text1"/>
          <w:sz w:val="16"/>
          <w:szCs w:val="16"/>
        </w:rPr>
        <w:t>Один из летчиков заявил, что он слы</w:t>
      </w:r>
      <w:r w:rsidRPr="00D03F3E">
        <w:rPr>
          <w:rFonts w:ascii="Times New Roman" w:hAnsi="Times New Roman"/>
          <w:color w:val="000000" w:themeColor="text1"/>
          <w:sz w:val="16"/>
          <w:szCs w:val="16"/>
        </w:rPr>
        <w:softHyphen/>
        <w:t>шал по радио, как из группы Ил-2 пе</w:t>
      </w:r>
      <w:r w:rsidRPr="00D03F3E">
        <w:rPr>
          <w:rFonts w:ascii="Times New Roman" w:hAnsi="Times New Roman"/>
          <w:color w:val="000000" w:themeColor="text1"/>
          <w:sz w:val="16"/>
          <w:szCs w:val="16"/>
        </w:rPr>
        <w:softHyphen/>
        <w:t xml:space="preserve">редавали: </w:t>
      </w:r>
      <w:r w:rsidRPr="00D03F3E">
        <w:rPr>
          <w:rFonts w:ascii="Times New Roman" w:hAnsi="Times New Roman"/>
          <w:iCs/>
          <w:color w:val="000000" w:themeColor="text1"/>
          <w:sz w:val="16"/>
          <w:szCs w:val="16"/>
        </w:rPr>
        <w:t xml:space="preserve">«Меня атакуют». </w:t>
      </w:r>
      <w:r w:rsidRPr="00D03F3E">
        <w:rPr>
          <w:rFonts w:ascii="Times New Roman" w:hAnsi="Times New Roman"/>
          <w:color w:val="000000" w:themeColor="text1"/>
          <w:sz w:val="16"/>
          <w:szCs w:val="16"/>
        </w:rPr>
        <w:t xml:space="preserve">Доклады «соколов» 176-го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сходились лишь в одном: над целью был сильный зе</w:t>
      </w:r>
      <w:r w:rsidRPr="00D03F3E">
        <w:rPr>
          <w:rFonts w:ascii="Times New Roman" w:hAnsi="Times New Roman"/>
          <w:color w:val="000000" w:themeColor="text1"/>
          <w:sz w:val="16"/>
          <w:szCs w:val="16"/>
        </w:rPr>
        <w:softHyphen/>
        <w:t xml:space="preserve">нитный огонь, и они, </w:t>
      </w:r>
      <w:r w:rsidRPr="00D03F3E">
        <w:rPr>
          <w:rFonts w:ascii="Times New Roman" w:hAnsi="Times New Roman"/>
          <w:iCs/>
          <w:color w:val="000000" w:themeColor="text1"/>
          <w:sz w:val="16"/>
          <w:szCs w:val="16"/>
        </w:rPr>
        <w:t>«будучи на боль</w:t>
      </w:r>
      <w:r w:rsidRPr="00D03F3E">
        <w:rPr>
          <w:rFonts w:ascii="Times New Roman" w:hAnsi="Times New Roman"/>
          <w:iCs/>
          <w:color w:val="000000" w:themeColor="text1"/>
          <w:sz w:val="16"/>
          <w:szCs w:val="16"/>
        </w:rPr>
        <w:softHyphen/>
        <w:t xml:space="preserve">шой высоте», </w:t>
      </w:r>
      <w:r w:rsidRPr="00D03F3E">
        <w:rPr>
          <w:rFonts w:ascii="Times New Roman" w:hAnsi="Times New Roman"/>
          <w:color w:val="000000" w:themeColor="text1"/>
          <w:sz w:val="16"/>
          <w:szCs w:val="16"/>
        </w:rPr>
        <w:t xml:space="preserve">потеряли штурмовиков из виду. На свой аэродром истребители пришли </w:t>
      </w:r>
      <w:r w:rsidRPr="00D03F3E">
        <w:rPr>
          <w:rFonts w:ascii="Times New Roman" w:hAnsi="Times New Roman"/>
          <w:iCs/>
          <w:color w:val="000000" w:themeColor="text1"/>
          <w:sz w:val="16"/>
          <w:szCs w:val="16"/>
        </w:rPr>
        <w:t>«...поодиночке с интервалом 5— 10 минут».</w:t>
      </w:r>
    </w:p>
    <w:p w14:paraId="7271915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не имея огневого вза</w:t>
      </w:r>
      <w:r w:rsidRPr="00D03F3E">
        <w:rPr>
          <w:rFonts w:ascii="Times New Roman" w:hAnsi="Times New Roman"/>
          <w:color w:val="000000" w:themeColor="text1"/>
          <w:sz w:val="16"/>
          <w:szCs w:val="16"/>
        </w:rPr>
        <w:softHyphen/>
        <w:t xml:space="preserve">имодействия в группе, и </w:t>
      </w:r>
      <w:r w:rsidRPr="00D03F3E">
        <w:rPr>
          <w:rFonts w:ascii="Times New Roman" w:hAnsi="Times New Roman"/>
          <w:iCs/>
          <w:color w:val="000000" w:themeColor="text1"/>
          <w:sz w:val="16"/>
          <w:szCs w:val="16"/>
        </w:rPr>
        <w:t>«будучи ос</w:t>
      </w:r>
      <w:r w:rsidRPr="00D03F3E">
        <w:rPr>
          <w:rFonts w:ascii="Times New Roman" w:hAnsi="Times New Roman"/>
          <w:iCs/>
          <w:color w:val="000000" w:themeColor="text1"/>
          <w:sz w:val="16"/>
          <w:szCs w:val="16"/>
        </w:rPr>
        <w:softHyphen/>
        <w:t>тавленными сопровождающими истре</w:t>
      </w:r>
      <w:r w:rsidRPr="00D03F3E">
        <w:rPr>
          <w:rFonts w:ascii="Times New Roman" w:hAnsi="Times New Roman"/>
          <w:iCs/>
          <w:color w:val="000000" w:themeColor="text1"/>
          <w:sz w:val="16"/>
          <w:szCs w:val="16"/>
        </w:rPr>
        <w:softHyphen/>
        <w:t>бителями, ...штурмовики поодиночке и парами были уничтожены истребите</w:t>
      </w:r>
      <w:r w:rsidRPr="00D03F3E">
        <w:rPr>
          <w:rFonts w:ascii="Times New Roman" w:hAnsi="Times New Roman"/>
          <w:iCs/>
          <w:color w:val="000000" w:themeColor="text1"/>
          <w:sz w:val="16"/>
          <w:szCs w:val="16"/>
        </w:rPr>
        <w:softHyphen/>
        <w:t>лями противника в воздухе при подхо</w:t>
      </w:r>
      <w:r w:rsidRPr="00D03F3E">
        <w:rPr>
          <w:rFonts w:ascii="Times New Roman" w:hAnsi="Times New Roman"/>
          <w:iCs/>
          <w:color w:val="000000" w:themeColor="text1"/>
          <w:sz w:val="16"/>
          <w:szCs w:val="16"/>
        </w:rPr>
        <w:softHyphen/>
        <w:t>де к цели и уходе от нее».</w:t>
      </w:r>
    </w:p>
    <w:p w14:paraId="09E2384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боевого задания 7 мая из 1 2 эки</w:t>
      </w:r>
      <w:r w:rsidRPr="00D03F3E">
        <w:rPr>
          <w:rFonts w:ascii="Times New Roman" w:hAnsi="Times New Roman"/>
          <w:color w:val="000000" w:themeColor="text1"/>
          <w:sz w:val="16"/>
          <w:szCs w:val="16"/>
        </w:rPr>
        <w:softHyphen/>
        <w:t xml:space="preserve">пажей 2-й </w:t>
      </w:r>
      <w:r w:rsidRPr="00D03F3E">
        <w:rPr>
          <w:rFonts w:ascii="Times New Roman" w:hAnsi="Times New Roman"/>
          <w:iCs/>
          <w:color w:val="000000" w:themeColor="text1"/>
          <w:sz w:val="16"/>
          <w:szCs w:val="16"/>
        </w:rPr>
        <w:t xml:space="preserve">гшад </w:t>
      </w:r>
      <w:r w:rsidRPr="00D03F3E">
        <w:rPr>
          <w:rFonts w:ascii="Times New Roman" w:hAnsi="Times New Roman"/>
          <w:color w:val="000000" w:themeColor="text1"/>
          <w:sz w:val="16"/>
          <w:szCs w:val="16"/>
        </w:rPr>
        <w:t>не возвратились 10 лет</w:t>
      </w:r>
      <w:r w:rsidRPr="00D03F3E">
        <w:rPr>
          <w:rFonts w:ascii="Times New Roman" w:hAnsi="Times New Roman"/>
          <w:color w:val="000000" w:themeColor="text1"/>
          <w:sz w:val="16"/>
          <w:szCs w:val="16"/>
        </w:rPr>
        <w:softHyphen/>
        <w:t xml:space="preserve">чиков и 6 воздушных стрелков: от 58-го </w:t>
      </w:r>
      <w:r w:rsidRPr="00D03F3E">
        <w:rPr>
          <w:rFonts w:ascii="Times New Roman" w:hAnsi="Times New Roman"/>
          <w:iCs/>
          <w:color w:val="000000" w:themeColor="text1"/>
          <w:sz w:val="16"/>
          <w:szCs w:val="16"/>
        </w:rPr>
        <w:t xml:space="preserve">гшап — </w:t>
      </w:r>
      <w:r w:rsidRPr="00D03F3E">
        <w:rPr>
          <w:rFonts w:ascii="Times New Roman" w:hAnsi="Times New Roman"/>
          <w:color w:val="000000" w:themeColor="text1"/>
          <w:sz w:val="16"/>
          <w:szCs w:val="16"/>
        </w:rPr>
        <w:t>командир эскадрильи л-т Мингалев (воздушный стрелок стар</w:t>
      </w:r>
      <w:r w:rsidRPr="00D03F3E">
        <w:rPr>
          <w:rFonts w:ascii="Times New Roman" w:hAnsi="Times New Roman"/>
          <w:color w:val="000000" w:themeColor="text1"/>
          <w:sz w:val="16"/>
          <w:szCs w:val="16"/>
        </w:rPr>
        <w:softHyphen/>
        <w:t>шина Мысливцев), заместитель коман</w:t>
      </w:r>
      <w:r w:rsidRPr="00D03F3E">
        <w:rPr>
          <w:rFonts w:ascii="Times New Roman" w:hAnsi="Times New Roman"/>
          <w:color w:val="000000" w:themeColor="text1"/>
          <w:sz w:val="16"/>
          <w:szCs w:val="16"/>
        </w:rPr>
        <w:softHyphen/>
        <w:t>дира звена мл. л-т Баканов, летчик мл. л-т Васильев, летчик мл. л-т Серге</w:t>
      </w:r>
      <w:r w:rsidRPr="00D03F3E">
        <w:rPr>
          <w:rFonts w:ascii="Times New Roman" w:hAnsi="Times New Roman"/>
          <w:color w:val="000000" w:themeColor="text1"/>
          <w:sz w:val="16"/>
          <w:szCs w:val="16"/>
        </w:rPr>
        <w:softHyphen/>
        <w:t>ев, летчик мл. л-т Рожков (воздушный стрелок мл. сержант Исаков), летчик мл. л-т Киселев (воздушный стрелок еф</w:t>
      </w:r>
      <w:r w:rsidRPr="00D03F3E">
        <w:rPr>
          <w:rFonts w:ascii="Times New Roman" w:hAnsi="Times New Roman"/>
          <w:color w:val="000000" w:themeColor="text1"/>
          <w:sz w:val="16"/>
          <w:szCs w:val="16"/>
        </w:rPr>
        <w:softHyphen/>
        <w:t xml:space="preserve">рейтор Блинов); от 79-го </w:t>
      </w:r>
      <w:r w:rsidRPr="00D03F3E">
        <w:rPr>
          <w:rFonts w:ascii="Times New Roman" w:hAnsi="Times New Roman"/>
          <w:iCs/>
          <w:color w:val="000000" w:themeColor="text1"/>
          <w:sz w:val="16"/>
          <w:szCs w:val="16"/>
        </w:rPr>
        <w:t xml:space="preserve">гшап — </w:t>
      </w:r>
      <w:r w:rsidRPr="00D03F3E">
        <w:rPr>
          <w:rFonts w:ascii="Times New Roman" w:hAnsi="Times New Roman"/>
          <w:color w:val="000000" w:themeColor="text1"/>
          <w:sz w:val="16"/>
          <w:szCs w:val="16"/>
        </w:rPr>
        <w:t>за</w:t>
      </w:r>
      <w:r w:rsidRPr="00D03F3E">
        <w:rPr>
          <w:rFonts w:ascii="Times New Roman" w:hAnsi="Times New Roman"/>
          <w:color w:val="000000" w:themeColor="text1"/>
          <w:sz w:val="16"/>
          <w:szCs w:val="16"/>
        </w:rPr>
        <w:softHyphen/>
        <w:t>меститель командира эскадрильи л-т В.И. Белопольский (воздушный стре</w:t>
      </w:r>
      <w:r w:rsidRPr="00D03F3E">
        <w:rPr>
          <w:rFonts w:ascii="Times New Roman" w:hAnsi="Times New Roman"/>
          <w:color w:val="000000" w:themeColor="text1"/>
          <w:sz w:val="16"/>
          <w:szCs w:val="16"/>
        </w:rPr>
        <w:softHyphen/>
        <w:t>лок старшина А.Ф. Лебедев), коман</w:t>
      </w:r>
      <w:r w:rsidRPr="00D03F3E">
        <w:rPr>
          <w:rFonts w:ascii="Times New Roman" w:hAnsi="Times New Roman"/>
          <w:color w:val="000000" w:themeColor="text1"/>
          <w:sz w:val="16"/>
          <w:szCs w:val="16"/>
        </w:rPr>
        <w:softHyphen/>
        <w:t>дир звена л-т Н.А. Сафронов (воздуш</w:t>
      </w:r>
      <w:r w:rsidRPr="00D03F3E">
        <w:rPr>
          <w:rFonts w:ascii="Times New Roman" w:hAnsi="Times New Roman"/>
          <w:color w:val="000000" w:themeColor="text1"/>
          <w:sz w:val="16"/>
          <w:szCs w:val="16"/>
        </w:rPr>
        <w:softHyphen/>
        <w:t>ный стрелок сержант А.С. Брюшков), летчик мл. л-т И.Г. Андрейченко, лет</w:t>
      </w:r>
      <w:r w:rsidRPr="00D03F3E">
        <w:rPr>
          <w:rFonts w:ascii="Times New Roman" w:hAnsi="Times New Roman"/>
          <w:color w:val="000000" w:themeColor="text1"/>
          <w:sz w:val="16"/>
          <w:szCs w:val="16"/>
        </w:rPr>
        <w:softHyphen/>
        <w:t>чик мл. л-т М.В. Пискунов (воздушный стрелок старшина В.И. Архипов).</w:t>
      </w:r>
    </w:p>
    <w:p w14:paraId="4696157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Кроме этого, один Ил-2 от 79-го </w:t>
      </w:r>
      <w:r w:rsidRPr="00D03F3E">
        <w:rPr>
          <w:rFonts w:ascii="Times New Roman" w:hAnsi="Times New Roman"/>
          <w:iCs/>
          <w:color w:val="000000" w:themeColor="text1"/>
          <w:sz w:val="16"/>
          <w:szCs w:val="16"/>
        </w:rPr>
        <w:t xml:space="preserve">гшап </w:t>
      </w:r>
      <w:r w:rsidRPr="00D03F3E">
        <w:rPr>
          <w:rFonts w:ascii="Times New Roman" w:hAnsi="Times New Roman"/>
          <w:color w:val="000000" w:themeColor="text1"/>
          <w:sz w:val="16"/>
          <w:szCs w:val="16"/>
        </w:rPr>
        <w:t xml:space="preserve">на обратном пути </w:t>
      </w:r>
      <w:r w:rsidRPr="00D03F3E">
        <w:rPr>
          <w:rFonts w:ascii="Times New Roman" w:hAnsi="Times New Roman"/>
          <w:iCs/>
          <w:color w:val="000000" w:themeColor="text1"/>
          <w:sz w:val="16"/>
          <w:szCs w:val="16"/>
        </w:rPr>
        <w:t>«после выпол</w:t>
      </w:r>
      <w:r w:rsidRPr="00D03F3E">
        <w:rPr>
          <w:rFonts w:ascii="Times New Roman" w:hAnsi="Times New Roman"/>
          <w:iCs/>
          <w:color w:val="000000" w:themeColor="text1"/>
          <w:sz w:val="16"/>
          <w:szCs w:val="16"/>
        </w:rPr>
        <w:softHyphen/>
        <w:t>нения задания по штурмовке аэродро</w:t>
      </w:r>
      <w:r w:rsidRPr="00D03F3E">
        <w:rPr>
          <w:rFonts w:ascii="Times New Roman" w:hAnsi="Times New Roman"/>
          <w:iCs/>
          <w:color w:val="000000" w:themeColor="text1"/>
          <w:sz w:val="16"/>
          <w:szCs w:val="16"/>
        </w:rPr>
        <w:softHyphen/>
        <w:t>ма Хмелевая в результате поврежде</w:t>
      </w:r>
      <w:r w:rsidRPr="00D03F3E">
        <w:rPr>
          <w:rFonts w:ascii="Times New Roman" w:hAnsi="Times New Roman"/>
          <w:iCs/>
          <w:color w:val="000000" w:themeColor="text1"/>
          <w:sz w:val="16"/>
          <w:szCs w:val="16"/>
        </w:rPr>
        <w:softHyphen/>
        <w:t>ния мотора и системы управления по</w:t>
      </w:r>
      <w:r w:rsidRPr="00D03F3E">
        <w:rPr>
          <w:rFonts w:ascii="Times New Roman" w:hAnsi="Times New Roman"/>
          <w:iCs/>
          <w:color w:val="000000" w:themeColor="text1"/>
          <w:sz w:val="16"/>
          <w:szCs w:val="16"/>
        </w:rPr>
        <w:softHyphen/>
        <w:t xml:space="preserve">терпел катастрофу» </w:t>
      </w:r>
      <w:r w:rsidRPr="00D03F3E">
        <w:rPr>
          <w:rFonts w:ascii="Times New Roman" w:hAnsi="Times New Roman"/>
          <w:color w:val="000000" w:themeColor="text1"/>
          <w:sz w:val="16"/>
          <w:szCs w:val="16"/>
        </w:rPr>
        <w:t>в районе Новосиль. Опрос солдат и офицеров на</w:t>
      </w:r>
      <w:r w:rsidRPr="00D03F3E">
        <w:rPr>
          <w:rFonts w:ascii="Times New Roman" w:hAnsi="Times New Roman"/>
          <w:color w:val="000000" w:themeColor="text1"/>
          <w:sz w:val="16"/>
          <w:szCs w:val="16"/>
        </w:rPr>
        <w:softHyphen/>
        <w:t xml:space="preserve">земных частей показал, что самолет шел на посадку </w:t>
      </w:r>
      <w:r w:rsidRPr="00D03F3E">
        <w:rPr>
          <w:rFonts w:ascii="Times New Roman" w:hAnsi="Times New Roman"/>
          <w:iCs/>
          <w:color w:val="000000" w:themeColor="text1"/>
          <w:sz w:val="16"/>
          <w:szCs w:val="16"/>
        </w:rPr>
        <w:t>«с барахлящим мото</w:t>
      </w:r>
      <w:r w:rsidRPr="00D03F3E">
        <w:rPr>
          <w:rFonts w:ascii="Times New Roman" w:hAnsi="Times New Roman"/>
          <w:iCs/>
          <w:color w:val="000000" w:themeColor="text1"/>
          <w:sz w:val="16"/>
          <w:szCs w:val="16"/>
        </w:rPr>
        <w:softHyphen/>
        <w:t xml:space="preserve">ром через балку», </w:t>
      </w:r>
      <w:r w:rsidRPr="00D03F3E">
        <w:rPr>
          <w:rFonts w:ascii="Times New Roman" w:hAnsi="Times New Roman"/>
          <w:color w:val="000000" w:themeColor="text1"/>
          <w:sz w:val="16"/>
          <w:szCs w:val="16"/>
        </w:rPr>
        <w:t>в которую затем и врезался. По всей видимости, на глис</w:t>
      </w:r>
      <w:r w:rsidRPr="00D03F3E">
        <w:rPr>
          <w:rFonts w:ascii="Times New Roman" w:hAnsi="Times New Roman"/>
          <w:color w:val="000000" w:themeColor="text1"/>
          <w:sz w:val="16"/>
          <w:szCs w:val="16"/>
        </w:rPr>
        <w:softHyphen/>
        <w:t>саде мотор окончательно сдал. Само</w:t>
      </w:r>
      <w:r w:rsidRPr="00D03F3E">
        <w:rPr>
          <w:rFonts w:ascii="Times New Roman" w:hAnsi="Times New Roman"/>
          <w:color w:val="000000" w:themeColor="text1"/>
          <w:sz w:val="16"/>
          <w:szCs w:val="16"/>
        </w:rPr>
        <w:softHyphen/>
        <w:t>лет полностью разбит. Командир зве</w:t>
      </w:r>
      <w:r w:rsidRPr="00D03F3E">
        <w:rPr>
          <w:rFonts w:ascii="Times New Roman" w:hAnsi="Times New Roman"/>
          <w:color w:val="000000" w:themeColor="text1"/>
          <w:sz w:val="16"/>
          <w:szCs w:val="16"/>
        </w:rPr>
        <w:softHyphen/>
        <w:t>на л-т А.Г. Гамов и воздушный стрелок ст. сержант С.С. Ганжа имели тяжелые ранения и сразу же были отправлены в госпиталь, где и скончались. Похо</w:t>
      </w:r>
      <w:r w:rsidRPr="00D03F3E">
        <w:rPr>
          <w:rFonts w:ascii="Times New Roman" w:hAnsi="Times New Roman"/>
          <w:color w:val="000000" w:themeColor="text1"/>
          <w:sz w:val="16"/>
          <w:szCs w:val="16"/>
        </w:rPr>
        <w:softHyphen/>
        <w:t>ронены в д. Березовец.</w:t>
      </w:r>
    </w:p>
    <w:p w14:paraId="06C28B5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живых остался только один эки</w:t>
      </w:r>
      <w:r w:rsidRPr="00D03F3E">
        <w:rPr>
          <w:rFonts w:ascii="Times New Roman" w:hAnsi="Times New Roman"/>
          <w:color w:val="000000" w:themeColor="text1"/>
          <w:sz w:val="16"/>
          <w:szCs w:val="16"/>
        </w:rPr>
        <w:softHyphen/>
        <w:t>паж: к-н Паршин и воздушный стрелок ст. сержант Матвеев. Их самолет был подбит истребителями противника и при вынужденной посадке в районе Новосиль полностью разбит. В свой полк Паршин и Матвеев вернулись 8 мая.</w:t>
      </w:r>
    </w:p>
    <w:p w14:paraId="70684DE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Результаты удара штурмовиков 7 мая по аэродромам Хмелевая и Орел-Центральный установлены не были </w:t>
      </w:r>
      <w:r w:rsidRPr="00D03F3E">
        <w:rPr>
          <w:rFonts w:ascii="Times New Roman" w:hAnsi="Times New Roman"/>
          <w:iCs/>
          <w:color w:val="000000" w:themeColor="text1"/>
          <w:sz w:val="16"/>
          <w:szCs w:val="16"/>
        </w:rPr>
        <w:t>«по причине невозвращения с боевого задания экипажей штурмови</w:t>
      </w:r>
      <w:r w:rsidRPr="00D03F3E">
        <w:rPr>
          <w:rFonts w:ascii="Times New Roman" w:hAnsi="Times New Roman"/>
          <w:iCs/>
          <w:color w:val="000000" w:themeColor="text1"/>
          <w:sz w:val="16"/>
          <w:szCs w:val="16"/>
        </w:rPr>
        <w:softHyphen/>
        <w:t>ков, а сопровождающие истребители, возвратившиеся на свои аэродромы, над целью не были и результаты дей</w:t>
      </w:r>
      <w:r w:rsidRPr="00D03F3E">
        <w:rPr>
          <w:rFonts w:ascii="Times New Roman" w:hAnsi="Times New Roman"/>
          <w:iCs/>
          <w:color w:val="000000" w:themeColor="text1"/>
          <w:sz w:val="16"/>
          <w:szCs w:val="16"/>
        </w:rPr>
        <w:softHyphen/>
        <w:t>ствий не наблюдали».</w:t>
      </w:r>
    </w:p>
    <w:p w14:paraId="6C81E48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установления причин столь боль</w:t>
      </w:r>
      <w:r w:rsidRPr="00D03F3E">
        <w:rPr>
          <w:rFonts w:ascii="Times New Roman" w:hAnsi="Times New Roman"/>
          <w:color w:val="000000" w:themeColor="text1"/>
          <w:sz w:val="16"/>
          <w:szCs w:val="16"/>
        </w:rPr>
        <w:softHyphen/>
        <w:t>ших потерь штурмовиков и истребите</w:t>
      </w:r>
      <w:r w:rsidRPr="00D03F3E">
        <w:rPr>
          <w:rFonts w:ascii="Times New Roman" w:hAnsi="Times New Roman"/>
          <w:color w:val="000000" w:themeColor="text1"/>
          <w:sz w:val="16"/>
          <w:szCs w:val="16"/>
        </w:rPr>
        <w:softHyphen/>
        <w:t>лей (17 Ил-2, 3 Ла-5 и 4 Як-1, 14 лет</w:t>
      </w:r>
      <w:r w:rsidRPr="00D03F3E">
        <w:rPr>
          <w:rFonts w:ascii="Times New Roman" w:hAnsi="Times New Roman"/>
          <w:color w:val="000000" w:themeColor="text1"/>
          <w:sz w:val="16"/>
          <w:szCs w:val="16"/>
        </w:rPr>
        <w:softHyphen/>
        <w:t>чиков-штурмовиков, 9 воздушных стрел</w:t>
      </w:r>
      <w:r w:rsidRPr="00D03F3E">
        <w:rPr>
          <w:rFonts w:ascii="Times New Roman" w:hAnsi="Times New Roman"/>
          <w:color w:val="000000" w:themeColor="text1"/>
          <w:sz w:val="16"/>
          <w:szCs w:val="16"/>
        </w:rPr>
        <w:softHyphen/>
        <w:t>ков и 7 летчиков-истребителей) было назначено следствие. Помощник воен</w:t>
      </w:r>
      <w:r w:rsidRPr="00D03F3E">
        <w:rPr>
          <w:rFonts w:ascii="Times New Roman" w:hAnsi="Times New Roman"/>
          <w:color w:val="000000" w:themeColor="text1"/>
          <w:sz w:val="16"/>
          <w:szCs w:val="16"/>
        </w:rPr>
        <w:softHyphen/>
        <w:t xml:space="preserve">ного прокурора 16-й ВА военный юрист 2-го ранга Рейзин 19 мая </w:t>
      </w:r>
      <w:r w:rsidRPr="00D03F3E">
        <w:rPr>
          <w:rFonts w:ascii="Times New Roman" w:hAnsi="Times New Roman"/>
          <w:iCs/>
          <w:color w:val="000000" w:themeColor="text1"/>
          <w:sz w:val="16"/>
          <w:szCs w:val="16"/>
        </w:rPr>
        <w:t>«для приоб</w:t>
      </w:r>
      <w:r w:rsidRPr="00D03F3E">
        <w:rPr>
          <w:rFonts w:ascii="Times New Roman" w:hAnsi="Times New Roman"/>
          <w:iCs/>
          <w:color w:val="000000" w:themeColor="text1"/>
          <w:sz w:val="16"/>
          <w:szCs w:val="16"/>
        </w:rPr>
        <w:softHyphen/>
        <w:t xml:space="preserve">щения к следственному делу» </w:t>
      </w:r>
      <w:r w:rsidRPr="00D03F3E">
        <w:rPr>
          <w:rFonts w:ascii="Times New Roman" w:hAnsi="Times New Roman"/>
          <w:color w:val="000000" w:themeColor="text1"/>
          <w:sz w:val="16"/>
          <w:szCs w:val="16"/>
        </w:rPr>
        <w:t>затребо</w:t>
      </w:r>
      <w:r w:rsidRPr="00D03F3E">
        <w:rPr>
          <w:rFonts w:ascii="Times New Roman" w:hAnsi="Times New Roman"/>
          <w:color w:val="000000" w:themeColor="text1"/>
          <w:sz w:val="16"/>
          <w:szCs w:val="16"/>
        </w:rPr>
        <w:softHyphen/>
        <w:t xml:space="preserve">вал от командования 2-й </w:t>
      </w:r>
      <w:r w:rsidRPr="00D03F3E">
        <w:rPr>
          <w:rFonts w:ascii="Times New Roman" w:hAnsi="Times New Roman"/>
          <w:iCs/>
          <w:color w:val="000000" w:themeColor="text1"/>
          <w:sz w:val="16"/>
          <w:szCs w:val="16"/>
        </w:rPr>
        <w:t xml:space="preserve">гшад </w:t>
      </w:r>
      <w:r w:rsidRPr="00D03F3E">
        <w:rPr>
          <w:rFonts w:ascii="Times New Roman" w:hAnsi="Times New Roman"/>
          <w:color w:val="000000" w:themeColor="text1"/>
          <w:sz w:val="16"/>
          <w:szCs w:val="16"/>
        </w:rPr>
        <w:t xml:space="preserve">и 283-й </w:t>
      </w:r>
      <w:r w:rsidRPr="00D03F3E">
        <w:rPr>
          <w:rFonts w:ascii="Times New Roman" w:hAnsi="Times New Roman"/>
          <w:iCs/>
          <w:color w:val="000000" w:themeColor="text1"/>
          <w:sz w:val="16"/>
          <w:szCs w:val="16"/>
        </w:rPr>
        <w:t xml:space="preserve">иад </w:t>
      </w:r>
      <w:r w:rsidRPr="00D03F3E">
        <w:rPr>
          <w:rFonts w:ascii="Times New Roman" w:hAnsi="Times New Roman"/>
          <w:color w:val="000000" w:themeColor="text1"/>
          <w:sz w:val="16"/>
          <w:szCs w:val="16"/>
        </w:rPr>
        <w:t>копии всех боевых документов ди</w:t>
      </w:r>
      <w:r w:rsidRPr="00D03F3E">
        <w:rPr>
          <w:rFonts w:ascii="Times New Roman" w:hAnsi="Times New Roman"/>
          <w:color w:val="000000" w:themeColor="text1"/>
          <w:sz w:val="16"/>
          <w:szCs w:val="16"/>
        </w:rPr>
        <w:softHyphen/>
        <w:t>визий за 6 и 7 мая, а также рапорт капитана Паршина...</w:t>
      </w:r>
    </w:p>
    <w:p w14:paraId="4E28AC5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Нетрудно догадаться, что истреби</w:t>
      </w:r>
      <w:r w:rsidRPr="00D03F3E">
        <w:rPr>
          <w:rFonts w:ascii="Times New Roman" w:hAnsi="Times New Roman"/>
          <w:color w:val="000000" w:themeColor="text1"/>
          <w:sz w:val="16"/>
          <w:szCs w:val="16"/>
        </w:rPr>
        <w:softHyphen/>
        <w:t xml:space="preserve">тели 283-й </w:t>
      </w:r>
      <w:r w:rsidRPr="00D03F3E">
        <w:rPr>
          <w:rFonts w:ascii="Times New Roman" w:hAnsi="Times New Roman"/>
          <w:iCs/>
          <w:color w:val="000000" w:themeColor="text1"/>
          <w:sz w:val="16"/>
          <w:szCs w:val="16"/>
        </w:rPr>
        <w:t xml:space="preserve">иад </w:t>
      </w:r>
      <w:r w:rsidRPr="00D03F3E">
        <w:rPr>
          <w:rFonts w:ascii="Times New Roman" w:hAnsi="Times New Roman"/>
          <w:color w:val="000000" w:themeColor="text1"/>
          <w:sz w:val="16"/>
          <w:szCs w:val="16"/>
        </w:rPr>
        <w:t>своей вины не призна</w:t>
      </w:r>
      <w:r w:rsidRPr="00D03F3E">
        <w:rPr>
          <w:rFonts w:ascii="Times New Roman" w:hAnsi="Times New Roman"/>
          <w:color w:val="000000" w:themeColor="text1"/>
          <w:sz w:val="16"/>
          <w:szCs w:val="16"/>
        </w:rPr>
        <w:softHyphen/>
        <w:t>ли. В отчетных документах дивизии на</w:t>
      </w:r>
      <w:r w:rsidRPr="00D03F3E">
        <w:rPr>
          <w:rFonts w:ascii="Times New Roman" w:hAnsi="Times New Roman"/>
          <w:color w:val="000000" w:themeColor="text1"/>
          <w:sz w:val="16"/>
          <w:szCs w:val="16"/>
        </w:rPr>
        <w:softHyphen/>
        <w:t>чальник штаба п-п-к Рындин и его за</w:t>
      </w:r>
      <w:r w:rsidRPr="00D03F3E">
        <w:rPr>
          <w:rFonts w:ascii="Times New Roman" w:hAnsi="Times New Roman"/>
          <w:color w:val="000000" w:themeColor="text1"/>
          <w:sz w:val="16"/>
          <w:szCs w:val="16"/>
        </w:rPr>
        <w:softHyphen/>
        <w:t>меститель п-к Ефимов всю вину возло</w:t>
      </w:r>
      <w:r w:rsidRPr="00D03F3E">
        <w:rPr>
          <w:rFonts w:ascii="Times New Roman" w:hAnsi="Times New Roman"/>
          <w:color w:val="000000" w:themeColor="text1"/>
          <w:sz w:val="16"/>
          <w:szCs w:val="16"/>
        </w:rPr>
        <w:softHyphen/>
        <w:t xml:space="preserve">жили на штурмовики 2-й </w:t>
      </w:r>
      <w:r w:rsidRPr="00D03F3E">
        <w:rPr>
          <w:rFonts w:ascii="Times New Roman" w:hAnsi="Times New Roman"/>
          <w:iCs/>
          <w:color w:val="000000" w:themeColor="text1"/>
          <w:sz w:val="16"/>
          <w:szCs w:val="16"/>
        </w:rPr>
        <w:t xml:space="preserve">гшад, </w:t>
      </w:r>
      <w:r w:rsidRPr="00D03F3E">
        <w:rPr>
          <w:rFonts w:ascii="Times New Roman" w:hAnsi="Times New Roman"/>
          <w:color w:val="000000" w:themeColor="text1"/>
          <w:sz w:val="16"/>
          <w:szCs w:val="16"/>
        </w:rPr>
        <w:t>кото</w:t>
      </w:r>
      <w:r w:rsidRPr="00D03F3E">
        <w:rPr>
          <w:rFonts w:ascii="Times New Roman" w:hAnsi="Times New Roman"/>
          <w:color w:val="000000" w:themeColor="text1"/>
          <w:sz w:val="16"/>
          <w:szCs w:val="16"/>
        </w:rPr>
        <w:softHyphen/>
        <w:t xml:space="preserve">рые опоздали с вылетом, на маршруте потеряли ориентировку и не вышли к назначенным целям. Командир 563-го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п-п-к Ненашев и начальник штаба полка м-р Шагин считали, что основ</w:t>
      </w:r>
      <w:r w:rsidRPr="00D03F3E">
        <w:rPr>
          <w:rFonts w:ascii="Times New Roman" w:hAnsi="Times New Roman"/>
          <w:color w:val="000000" w:themeColor="text1"/>
          <w:sz w:val="16"/>
          <w:szCs w:val="16"/>
        </w:rPr>
        <w:softHyphen/>
        <w:t>ной причиной больших потерь в штур</w:t>
      </w:r>
      <w:r w:rsidRPr="00D03F3E">
        <w:rPr>
          <w:rFonts w:ascii="Times New Roman" w:hAnsi="Times New Roman"/>
          <w:color w:val="000000" w:themeColor="text1"/>
          <w:sz w:val="16"/>
          <w:szCs w:val="16"/>
        </w:rPr>
        <w:softHyphen/>
        <w:t>мовиках является плохое знание капи</w:t>
      </w:r>
      <w:r w:rsidRPr="00D03F3E">
        <w:rPr>
          <w:rFonts w:ascii="Times New Roman" w:hAnsi="Times New Roman"/>
          <w:color w:val="000000" w:themeColor="text1"/>
          <w:sz w:val="16"/>
          <w:szCs w:val="16"/>
        </w:rPr>
        <w:softHyphen/>
        <w:t>таном Паршиным района боевых дей</w:t>
      </w:r>
      <w:r w:rsidRPr="00D03F3E">
        <w:rPr>
          <w:rFonts w:ascii="Times New Roman" w:hAnsi="Times New Roman"/>
          <w:color w:val="000000" w:themeColor="text1"/>
          <w:sz w:val="16"/>
          <w:szCs w:val="16"/>
        </w:rPr>
        <w:softHyphen/>
        <w:t xml:space="preserve">ствий </w:t>
      </w:r>
      <w:r w:rsidRPr="00D03F3E">
        <w:rPr>
          <w:rFonts w:ascii="Times New Roman" w:hAnsi="Times New Roman"/>
          <w:iCs/>
          <w:color w:val="000000" w:themeColor="text1"/>
          <w:sz w:val="16"/>
          <w:szCs w:val="16"/>
        </w:rPr>
        <w:t>(«...не сумел вывести группу точ</w:t>
      </w:r>
      <w:r w:rsidRPr="00D03F3E">
        <w:rPr>
          <w:rFonts w:ascii="Times New Roman" w:hAnsi="Times New Roman"/>
          <w:iCs/>
          <w:color w:val="000000" w:themeColor="text1"/>
          <w:sz w:val="16"/>
          <w:szCs w:val="16"/>
        </w:rPr>
        <w:softHyphen/>
        <w:t xml:space="preserve">но на цель»}, </w:t>
      </w:r>
      <w:r w:rsidRPr="00D03F3E">
        <w:rPr>
          <w:rFonts w:ascii="Times New Roman" w:hAnsi="Times New Roman"/>
          <w:color w:val="000000" w:themeColor="text1"/>
          <w:sz w:val="16"/>
          <w:szCs w:val="16"/>
        </w:rPr>
        <w:t>а также отсутствие ра</w:t>
      </w:r>
      <w:r w:rsidRPr="00D03F3E">
        <w:rPr>
          <w:rFonts w:ascii="Times New Roman" w:hAnsi="Times New Roman"/>
          <w:color w:val="000000" w:themeColor="text1"/>
          <w:sz w:val="16"/>
          <w:szCs w:val="16"/>
        </w:rPr>
        <w:softHyphen/>
        <w:t>диосвязи между штурмовиками и ис</w:t>
      </w:r>
      <w:r w:rsidRPr="00D03F3E">
        <w:rPr>
          <w:rFonts w:ascii="Times New Roman" w:hAnsi="Times New Roman"/>
          <w:color w:val="000000" w:themeColor="text1"/>
          <w:sz w:val="16"/>
          <w:szCs w:val="16"/>
        </w:rPr>
        <w:softHyphen/>
        <w:t xml:space="preserve">требителями </w:t>
      </w:r>
      <w:r w:rsidRPr="00D03F3E">
        <w:rPr>
          <w:rFonts w:ascii="Times New Roman" w:hAnsi="Times New Roman"/>
          <w:iCs/>
          <w:color w:val="000000" w:themeColor="text1"/>
          <w:sz w:val="16"/>
          <w:szCs w:val="16"/>
        </w:rPr>
        <w:t>(«так как штурмовики ра</w:t>
      </w:r>
      <w:r w:rsidRPr="00D03F3E">
        <w:rPr>
          <w:rFonts w:ascii="Times New Roman" w:hAnsi="Times New Roman"/>
          <w:iCs/>
          <w:color w:val="000000" w:themeColor="text1"/>
          <w:sz w:val="16"/>
          <w:szCs w:val="16"/>
        </w:rPr>
        <w:softHyphen/>
        <w:t xml:space="preserve">ботали на запасной волне»}. </w:t>
      </w:r>
      <w:r w:rsidRPr="00D03F3E">
        <w:rPr>
          <w:rFonts w:ascii="Times New Roman" w:hAnsi="Times New Roman"/>
          <w:color w:val="000000" w:themeColor="text1"/>
          <w:sz w:val="16"/>
          <w:szCs w:val="16"/>
        </w:rPr>
        <w:t>Некото</w:t>
      </w:r>
      <w:r w:rsidRPr="00D03F3E">
        <w:rPr>
          <w:rFonts w:ascii="Times New Roman" w:hAnsi="Times New Roman"/>
          <w:color w:val="000000" w:themeColor="text1"/>
          <w:sz w:val="16"/>
          <w:szCs w:val="16"/>
        </w:rPr>
        <w:softHyphen/>
        <w:t>рая критика действий истребителей со</w:t>
      </w:r>
      <w:r w:rsidRPr="00D03F3E">
        <w:rPr>
          <w:rFonts w:ascii="Times New Roman" w:hAnsi="Times New Roman"/>
          <w:color w:val="000000" w:themeColor="text1"/>
          <w:sz w:val="16"/>
          <w:szCs w:val="16"/>
        </w:rPr>
        <w:softHyphen/>
        <w:t xml:space="preserve">держится лишь в боевом донесении штаба 176-го </w:t>
      </w:r>
      <w:r w:rsidRPr="00D03F3E">
        <w:rPr>
          <w:rFonts w:ascii="Times New Roman" w:hAnsi="Times New Roman"/>
          <w:iCs/>
          <w:color w:val="000000" w:themeColor="text1"/>
          <w:sz w:val="16"/>
          <w:szCs w:val="16"/>
        </w:rPr>
        <w:t xml:space="preserve">иап за 7 </w:t>
      </w:r>
      <w:r w:rsidRPr="00D03F3E">
        <w:rPr>
          <w:rFonts w:ascii="Times New Roman" w:hAnsi="Times New Roman"/>
          <w:color w:val="000000" w:themeColor="text1"/>
          <w:sz w:val="16"/>
          <w:szCs w:val="16"/>
        </w:rPr>
        <w:t>мая, подписан</w:t>
      </w:r>
      <w:r w:rsidRPr="00D03F3E">
        <w:rPr>
          <w:rFonts w:ascii="Times New Roman" w:hAnsi="Times New Roman"/>
          <w:color w:val="000000" w:themeColor="text1"/>
          <w:sz w:val="16"/>
          <w:szCs w:val="16"/>
        </w:rPr>
        <w:softHyphen/>
        <w:t>ном заместителем начальника штаба полка капитаном Петриченко.</w:t>
      </w:r>
    </w:p>
    <w:p w14:paraId="0968605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Штурмовики в своих выводах по ре</w:t>
      </w:r>
      <w:r w:rsidRPr="00D03F3E">
        <w:rPr>
          <w:rFonts w:ascii="Times New Roman" w:hAnsi="Times New Roman"/>
          <w:color w:val="000000" w:themeColor="text1"/>
          <w:sz w:val="16"/>
          <w:szCs w:val="16"/>
        </w:rPr>
        <w:softHyphen/>
        <w:t>зультатам боевого вылета 7 мая ока</w:t>
      </w:r>
      <w:r w:rsidRPr="00D03F3E">
        <w:rPr>
          <w:rFonts w:ascii="Times New Roman" w:hAnsi="Times New Roman"/>
          <w:color w:val="000000" w:themeColor="text1"/>
          <w:sz w:val="16"/>
          <w:szCs w:val="16"/>
        </w:rPr>
        <w:softHyphen/>
        <w:t>зались более объективными. В отчет</w:t>
      </w:r>
      <w:r w:rsidRPr="00D03F3E">
        <w:rPr>
          <w:rFonts w:ascii="Times New Roman" w:hAnsi="Times New Roman"/>
          <w:color w:val="000000" w:themeColor="text1"/>
          <w:sz w:val="16"/>
          <w:szCs w:val="16"/>
        </w:rPr>
        <w:softHyphen/>
        <w:t xml:space="preserve">ных документах штабов 2-й </w:t>
      </w:r>
      <w:r w:rsidRPr="00D03F3E">
        <w:rPr>
          <w:rFonts w:ascii="Times New Roman" w:hAnsi="Times New Roman"/>
          <w:iCs/>
          <w:color w:val="000000" w:themeColor="text1"/>
          <w:sz w:val="16"/>
          <w:szCs w:val="16"/>
        </w:rPr>
        <w:t xml:space="preserve">гшад </w:t>
      </w:r>
      <w:r w:rsidRPr="00D03F3E">
        <w:rPr>
          <w:rFonts w:ascii="Times New Roman" w:hAnsi="Times New Roman"/>
          <w:color w:val="000000" w:themeColor="text1"/>
          <w:sz w:val="16"/>
          <w:szCs w:val="16"/>
        </w:rPr>
        <w:t>и полков дивизии, наряду с отрицатель</w:t>
      </w:r>
      <w:r w:rsidRPr="00D03F3E">
        <w:rPr>
          <w:rFonts w:ascii="Times New Roman" w:hAnsi="Times New Roman"/>
          <w:color w:val="000000" w:themeColor="text1"/>
          <w:sz w:val="16"/>
          <w:szCs w:val="16"/>
        </w:rPr>
        <w:softHyphen/>
        <w:t>ной оценкой действий истребителей по прикрытию Ил-2, отмечаются и серь</w:t>
      </w:r>
      <w:r w:rsidRPr="00D03F3E">
        <w:rPr>
          <w:rFonts w:ascii="Times New Roman" w:hAnsi="Times New Roman"/>
          <w:color w:val="000000" w:themeColor="text1"/>
          <w:sz w:val="16"/>
          <w:szCs w:val="16"/>
        </w:rPr>
        <w:softHyphen/>
        <w:t>езные ошибки самих штурмовиков. Хотя в более поздних документах дивизии вся вина за большие потери штурмо</w:t>
      </w:r>
      <w:r w:rsidRPr="00D03F3E">
        <w:rPr>
          <w:rFonts w:ascii="Times New Roman" w:hAnsi="Times New Roman"/>
          <w:color w:val="000000" w:themeColor="text1"/>
          <w:sz w:val="16"/>
          <w:szCs w:val="16"/>
        </w:rPr>
        <w:softHyphen/>
        <w:t xml:space="preserve">виков полностью перекладывается на плечи истребителей: </w:t>
      </w:r>
      <w:r w:rsidRPr="00D03F3E">
        <w:rPr>
          <w:rFonts w:ascii="Times New Roman" w:hAnsi="Times New Roman"/>
          <w:iCs/>
          <w:color w:val="000000" w:themeColor="text1"/>
          <w:sz w:val="16"/>
          <w:szCs w:val="16"/>
        </w:rPr>
        <w:t>«6 и 7 мая при налетах на аэродром Хмелевая ...ис</w:t>
      </w:r>
      <w:r w:rsidRPr="00D03F3E">
        <w:rPr>
          <w:rFonts w:ascii="Times New Roman" w:hAnsi="Times New Roman"/>
          <w:iCs/>
          <w:color w:val="000000" w:themeColor="text1"/>
          <w:sz w:val="16"/>
          <w:szCs w:val="16"/>
        </w:rPr>
        <w:softHyphen/>
        <w:t>требители прикрытия преступно выпол</w:t>
      </w:r>
      <w:r w:rsidRPr="00D03F3E">
        <w:rPr>
          <w:rFonts w:ascii="Times New Roman" w:hAnsi="Times New Roman"/>
          <w:iCs/>
          <w:color w:val="000000" w:themeColor="text1"/>
          <w:sz w:val="16"/>
          <w:szCs w:val="16"/>
        </w:rPr>
        <w:softHyphen/>
        <w:t>няли боевую задачу, в результате чего и произошли большие боевые потери...»</w:t>
      </w:r>
    </w:p>
    <w:p w14:paraId="0444E88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Точка зрения вышестоящего коман</w:t>
      </w:r>
      <w:r w:rsidRPr="00D03F3E">
        <w:rPr>
          <w:rFonts w:ascii="Times New Roman" w:hAnsi="Times New Roman"/>
          <w:color w:val="000000" w:themeColor="text1"/>
          <w:sz w:val="16"/>
          <w:szCs w:val="16"/>
        </w:rPr>
        <w:softHyphen/>
        <w:t xml:space="preserve">дования, конечно же, была иной. Не признавая никаких ошибок штаба 16-й ВА, заместитель командующего армией генерал-майор М.М. Косых на акте расследования причин летно-бо-евых потерь штурмовиков 2-й </w:t>
      </w:r>
      <w:r w:rsidRPr="00D03F3E">
        <w:rPr>
          <w:rFonts w:ascii="Times New Roman" w:hAnsi="Times New Roman"/>
          <w:iCs/>
          <w:color w:val="000000" w:themeColor="text1"/>
          <w:sz w:val="16"/>
          <w:szCs w:val="16"/>
        </w:rPr>
        <w:t xml:space="preserve">гшад </w:t>
      </w:r>
      <w:r w:rsidRPr="00D03F3E">
        <w:rPr>
          <w:rFonts w:ascii="Times New Roman" w:hAnsi="Times New Roman"/>
          <w:color w:val="000000" w:themeColor="text1"/>
          <w:sz w:val="16"/>
          <w:szCs w:val="16"/>
        </w:rPr>
        <w:t>соб</w:t>
      </w:r>
      <w:r w:rsidRPr="00D03F3E">
        <w:rPr>
          <w:rFonts w:ascii="Times New Roman" w:hAnsi="Times New Roman"/>
          <w:color w:val="000000" w:themeColor="text1"/>
          <w:sz w:val="16"/>
          <w:szCs w:val="16"/>
        </w:rPr>
        <w:softHyphen/>
        <w:t xml:space="preserve">ственноручно начертал: </w:t>
      </w:r>
      <w:r w:rsidRPr="00D03F3E">
        <w:rPr>
          <w:rFonts w:ascii="Times New Roman" w:hAnsi="Times New Roman"/>
          <w:iCs/>
          <w:color w:val="000000" w:themeColor="text1"/>
          <w:sz w:val="16"/>
          <w:szCs w:val="16"/>
        </w:rPr>
        <w:t>«Потеря про</w:t>
      </w:r>
      <w:r w:rsidRPr="00D03F3E">
        <w:rPr>
          <w:rFonts w:ascii="Times New Roman" w:hAnsi="Times New Roman"/>
          <w:iCs/>
          <w:color w:val="000000" w:themeColor="text1"/>
          <w:sz w:val="16"/>
          <w:szCs w:val="16"/>
        </w:rPr>
        <w:softHyphen/>
        <w:t>изошла по вине командования полков, которые не организовали взаимодей</w:t>
      </w:r>
      <w:r w:rsidRPr="00D03F3E">
        <w:rPr>
          <w:rFonts w:ascii="Times New Roman" w:hAnsi="Times New Roman"/>
          <w:iCs/>
          <w:color w:val="000000" w:themeColor="text1"/>
          <w:sz w:val="16"/>
          <w:szCs w:val="16"/>
        </w:rPr>
        <w:softHyphen/>
        <w:t xml:space="preserve">ствия групп при выполнении боевой задачи...» </w:t>
      </w:r>
      <w:r w:rsidRPr="00D03F3E">
        <w:rPr>
          <w:rFonts w:ascii="Times New Roman" w:hAnsi="Times New Roman"/>
          <w:color w:val="000000" w:themeColor="text1"/>
          <w:sz w:val="16"/>
          <w:szCs w:val="16"/>
        </w:rPr>
        <w:t>Эта точка зрения стала и официальной позицией штаба воздуш</w:t>
      </w:r>
      <w:r w:rsidRPr="00D03F3E">
        <w:rPr>
          <w:rFonts w:ascii="Times New Roman" w:hAnsi="Times New Roman"/>
          <w:color w:val="000000" w:themeColor="text1"/>
          <w:sz w:val="16"/>
          <w:szCs w:val="16"/>
        </w:rPr>
        <w:softHyphen/>
        <w:t>ной армии на «разборе полетов».</w:t>
      </w:r>
    </w:p>
    <w:p w14:paraId="62999E1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Отметим, что ни в одном из доку</w:t>
      </w:r>
      <w:r w:rsidRPr="00D03F3E">
        <w:rPr>
          <w:rFonts w:ascii="Times New Roman" w:hAnsi="Times New Roman"/>
          <w:color w:val="000000" w:themeColor="text1"/>
          <w:sz w:val="16"/>
          <w:szCs w:val="16"/>
        </w:rPr>
        <w:softHyphen/>
        <w:t xml:space="preserve">ментов 2-й </w:t>
      </w:r>
      <w:r w:rsidRPr="00D03F3E">
        <w:rPr>
          <w:rFonts w:ascii="Times New Roman" w:hAnsi="Times New Roman"/>
          <w:iCs/>
          <w:color w:val="000000" w:themeColor="text1"/>
          <w:sz w:val="16"/>
          <w:szCs w:val="16"/>
        </w:rPr>
        <w:t xml:space="preserve">гшад </w:t>
      </w:r>
      <w:r w:rsidRPr="00D03F3E">
        <w:rPr>
          <w:rFonts w:ascii="Times New Roman" w:hAnsi="Times New Roman"/>
          <w:color w:val="000000" w:themeColor="text1"/>
          <w:sz w:val="16"/>
          <w:szCs w:val="16"/>
        </w:rPr>
        <w:t>не упоминается поте</w:t>
      </w:r>
      <w:r w:rsidRPr="00D03F3E">
        <w:rPr>
          <w:rFonts w:ascii="Times New Roman" w:hAnsi="Times New Roman"/>
          <w:color w:val="000000" w:themeColor="text1"/>
          <w:sz w:val="16"/>
          <w:szCs w:val="16"/>
        </w:rPr>
        <w:softHyphen/>
        <w:t>ря ориентировки ведущими групп штур</w:t>
      </w:r>
      <w:r w:rsidRPr="00D03F3E">
        <w:rPr>
          <w:rFonts w:ascii="Times New Roman" w:hAnsi="Times New Roman"/>
          <w:color w:val="000000" w:themeColor="text1"/>
          <w:sz w:val="16"/>
          <w:szCs w:val="16"/>
        </w:rPr>
        <w:softHyphen/>
        <w:t xml:space="preserve">мовиков и удар 58-го </w:t>
      </w:r>
      <w:r w:rsidRPr="00D03F3E">
        <w:rPr>
          <w:rFonts w:ascii="Times New Roman" w:hAnsi="Times New Roman"/>
          <w:iCs/>
          <w:color w:val="000000" w:themeColor="text1"/>
          <w:sz w:val="16"/>
          <w:szCs w:val="16"/>
        </w:rPr>
        <w:t xml:space="preserve">гшап </w:t>
      </w:r>
      <w:r w:rsidRPr="00D03F3E">
        <w:rPr>
          <w:rFonts w:ascii="Times New Roman" w:hAnsi="Times New Roman"/>
          <w:color w:val="000000" w:themeColor="text1"/>
          <w:sz w:val="16"/>
          <w:szCs w:val="16"/>
        </w:rPr>
        <w:t>по аэро</w:t>
      </w:r>
      <w:r w:rsidRPr="00D03F3E">
        <w:rPr>
          <w:rFonts w:ascii="Times New Roman" w:hAnsi="Times New Roman"/>
          <w:color w:val="000000" w:themeColor="text1"/>
          <w:sz w:val="16"/>
          <w:szCs w:val="16"/>
        </w:rPr>
        <w:softHyphen/>
        <w:t>дрому Орел-Центральный вместо аэро</w:t>
      </w:r>
      <w:r w:rsidRPr="00D03F3E">
        <w:rPr>
          <w:rFonts w:ascii="Times New Roman" w:hAnsi="Times New Roman"/>
          <w:color w:val="000000" w:themeColor="text1"/>
          <w:sz w:val="16"/>
          <w:szCs w:val="16"/>
        </w:rPr>
        <w:softHyphen/>
        <w:t>дрома Хмелевая. При этом время уда</w:t>
      </w:r>
      <w:r w:rsidRPr="00D03F3E">
        <w:rPr>
          <w:rFonts w:ascii="Times New Roman" w:hAnsi="Times New Roman"/>
          <w:color w:val="000000" w:themeColor="text1"/>
          <w:sz w:val="16"/>
          <w:szCs w:val="16"/>
        </w:rPr>
        <w:softHyphen/>
        <w:t xml:space="preserve">ра группы от 79-го </w:t>
      </w:r>
      <w:r w:rsidRPr="00D03F3E">
        <w:rPr>
          <w:rFonts w:ascii="Times New Roman" w:hAnsi="Times New Roman"/>
          <w:iCs/>
          <w:color w:val="000000" w:themeColor="text1"/>
          <w:sz w:val="16"/>
          <w:szCs w:val="16"/>
        </w:rPr>
        <w:t xml:space="preserve">гшап </w:t>
      </w:r>
      <w:r w:rsidRPr="00D03F3E">
        <w:rPr>
          <w:rFonts w:ascii="Times New Roman" w:hAnsi="Times New Roman"/>
          <w:color w:val="000000" w:themeColor="text1"/>
          <w:sz w:val="16"/>
          <w:szCs w:val="16"/>
        </w:rPr>
        <w:t>указывается 5.30, хотя по расчету времени с уче</w:t>
      </w:r>
      <w:r w:rsidRPr="00D03F3E">
        <w:rPr>
          <w:rFonts w:ascii="Times New Roman" w:hAnsi="Times New Roman"/>
          <w:color w:val="000000" w:themeColor="text1"/>
          <w:sz w:val="16"/>
          <w:szCs w:val="16"/>
        </w:rPr>
        <w:softHyphen/>
        <w:t>том реального маршрута полета штур</w:t>
      </w:r>
      <w:r w:rsidRPr="00D03F3E">
        <w:rPr>
          <w:rFonts w:ascii="Times New Roman" w:hAnsi="Times New Roman"/>
          <w:color w:val="000000" w:themeColor="text1"/>
          <w:sz w:val="16"/>
          <w:szCs w:val="16"/>
        </w:rPr>
        <w:softHyphen/>
        <w:t xml:space="preserve">мовиков к аэродрому Хмелевая он мог состояться не ранее 5.50—5.55. Удар экипажей 58-го </w:t>
      </w:r>
      <w:r w:rsidRPr="00D03F3E">
        <w:rPr>
          <w:rFonts w:ascii="Times New Roman" w:hAnsi="Times New Roman"/>
          <w:iCs/>
          <w:color w:val="000000" w:themeColor="text1"/>
          <w:sz w:val="16"/>
          <w:szCs w:val="16"/>
        </w:rPr>
        <w:t xml:space="preserve">гшап </w:t>
      </w:r>
      <w:r w:rsidRPr="00D03F3E">
        <w:rPr>
          <w:rFonts w:ascii="Times New Roman" w:hAnsi="Times New Roman"/>
          <w:color w:val="000000" w:themeColor="text1"/>
          <w:sz w:val="16"/>
          <w:szCs w:val="16"/>
        </w:rPr>
        <w:t>по аэродрому Орел-Центральный мог быть нанесен на 5—10 минут позже.</w:t>
      </w:r>
    </w:p>
    <w:p w14:paraId="3A51EB4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отчетных документах штаба 16-й воздушной армии о боевой работе ча</w:t>
      </w:r>
      <w:r w:rsidRPr="00D03F3E">
        <w:rPr>
          <w:rFonts w:ascii="Times New Roman" w:hAnsi="Times New Roman"/>
          <w:color w:val="000000" w:themeColor="text1"/>
          <w:sz w:val="16"/>
          <w:szCs w:val="16"/>
        </w:rPr>
        <w:softHyphen/>
        <w:t>стей армии за период воздушной опе</w:t>
      </w:r>
      <w:r w:rsidRPr="00D03F3E">
        <w:rPr>
          <w:rFonts w:ascii="Times New Roman" w:hAnsi="Times New Roman"/>
          <w:color w:val="000000" w:themeColor="text1"/>
          <w:sz w:val="16"/>
          <w:szCs w:val="16"/>
        </w:rPr>
        <w:softHyphen/>
        <w:t>рации и за май месяц время нанесе</w:t>
      </w:r>
      <w:r w:rsidRPr="00D03F3E">
        <w:rPr>
          <w:rFonts w:ascii="Times New Roman" w:hAnsi="Times New Roman"/>
          <w:color w:val="000000" w:themeColor="text1"/>
          <w:sz w:val="16"/>
          <w:szCs w:val="16"/>
        </w:rPr>
        <w:softHyphen/>
        <w:t>ния ударов по аэродромам штурмови</w:t>
      </w:r>
      <w:r w:rsidRPr="00D03F3E">
        <w:rPr>
          <w:rFonts w:ascii="Times New Roman" w:hAnsi="Times New Roman"/>
          <w:color w:val="000000" w:themeColor="text1"/>
          <w:sz w:val="16"/>
          <w:szCs w:val="16"/>
        </w:rPr>
        <w:softHyphen/>
        <w:t>ками 2-й гвардейской и 299-й штурмо</w:t>
      </w:r>
      <w:r w:rsidRPr="00D03F3E">
        <w:rPr>
          <w:rFonts w:ascii="Times New Roman" w:hAnsi="Times New Roman"/>
          <w:color w:val="000000" w:themeColor="text1"/>
          <w:sz w:val="16"/>
          <w:szCs w:val="16"/>
        </w:rPr>
        <w:softHyphen/>
        <w:t xml:space="preserve">вых авиадивизий указаны 5.15—5.20 утра, и ни слова про удар 58-го </w:t>
      </w:r>
      <w:r w:rsidRPr="00D03F3E">
        <w:rPr>
          <w:rFonts w:ascii="Times New Roman" w:hAnsi="Times New Roman"/>
          <w:iCs/>
          <w:color w:val="000000" w:themeColor="text1"/>
          <w:sz w:val="16"/>
          <w:szCs w:val="16"/>
        </w:rPr>
        <w:t xml:space="preserve">гшап </w:t>
      </w:r>
      <w:r w:rsidRPr="00D03F3E">
        <w:rPr>
          <w:rFonts w:ascii="Times New Roman" w:hAnsi="Times New Roman"/>
          <w:color w:val="000000" w:themeColor="text1"/>
          <w:sz w:val="16"/>
          <w:szCs w:val="16"/>
        </w:rPr>
        <w:t>по аэродрому Орел-Центральный. Если строго следовать отчетным документам штаба 16-й ВА, то все группы Ил-2 «от</w:t>
      </w:r>
      <w:r w:rsidRPr="00D03F3E">
        <w:rPr>
          <w:rFonts w:ascii="Times New Roman" w:hAnsi="Times New Roman"/>
          <w:color w:val="000000" w:themeColor="text1"/>
          <w:sz w:val="16"/>
          <w:szCs w:val="16"/>
        </w:rPr>
        <w:softHyphen/>
        <w:t>работали» по плану, то есть по аэро</w:t>
      </w:r>
      <w:r w:rsidRPr="00D03F3E">
        <w:rPr>
          <w:rFonts w:ascii="Times New Roman" w:hAnsi="Times New Roman"/>
          <w:color w:val="000000" w:themeColor="text1"/>
          <w:sz w:val="16"/>
          <w:szCs w:val="16"/>
        </w:rPr>
        <w:softHyphen/>
        <w:t>дрому Хмелевая и Б.Куликовка, и боль</w:t>
      </w:r>
      <w:r w:rsidRPr="00D03F3E">
        <w:rPr>
          <w:rFonts w:ascii="Times New Roman" w:hAnsi="Times New Roman"/>
          <w:color w:val="000000" w:themeColor="text1"/>
          <w:sz w:val="16"/>
          <w:szCs w:val="16"/>
        </w:rPr>
        <w:softHyphen/>
        <w:t>шие потери штурмовиков являются лишь следствием плохого истребитель</w:t>
      </w:r>
      <w:r w:rsidRPr="00D03F3E">
        <w:rPr>
          <w:rFonts w:ascii="Times New Roman" w:hAnsi="Times New Roman"/>
          <w:color w:val="000000" w:themeColor="text1"/>
          <w:sz w:val="16"/>
          <w:szCs w:val="16"/>
        </w:rPr>
        <w:softHyphen/>
        <w:t>ного обеспечения их действий.</w:t>
      </w:r>
    </w:p>
    <w:p w14:paraId="73BB313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Неизвестно, как сложилась бы судь</w:t>
      </w:r>
      <w:r w:rsidRPr="00D03F3E">
        <w:rPr>
          <w:rFonts w:ascii="Times New Roman" w:hAnsi="Times New Roman"/>
          <w:color w:val="000000" w:themeColor="text1"/>
          <w:sz w:val="16"/>
          <w:szCs w:val="16"/>
        </w:rPr>
        <w:softHyphen/>
        <w:t xml:space="preserve">ба экипажей группы из 6 Ил-2 от 820-го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2-й ВА (ведущий ст. л-т Ко-стырко), вылетевших вечером 7 мая для нанесения удара по аэродрому Харь</w:t>
      </w:r>
      <w:r w:rsidRPr="00D03F3E">
        <w:rPr>
          <w:rFonts w:ascii="Times New Roman" w:hAnsi="Times New Roman"/>
          <w:color w:val="000000" w:themeColor="text1"/>
          <w:sz w:val="16"/>
          <w:szCs w:val="16"/>
        </w:rPr>
        <w:softHyphen/>
        <w:t xml:space="preserve">ков-Сокольники, если бы не помощь «Яков» 183-го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(ведущий комполка м-р Обозненко).</w:t>
      </w:r>
    </w:p>
    <w:p w14:paraId="6F5B2C6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Штурмовиков 820-го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прикры</w:t>
      </w:r>
      <w:r w:rsidRPr="00D03F3E">
        <w:rPr>
          <w:rFonts w:ascii="Times New Roman" w:hAnsi="Times New Roman"/>
          <w:color w:val="000000" w:themeColor="text1"/>
          <w:sz w:val="16"/>
          <w:szCs w:val="16"/>
        </w:rPr>
        <w:softHyphen/>
        <w:t xml:space="preserve">вали 8 Як-76 от 6-го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 xml:space="preserve">(ведущий ко-мэск к-н Анодин), а группа майора Обозненко сопровождала 6 Ил-2 от 800-го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(ведущий старшина Чер</w:t>
      </w:r>
      <w:r w:rsidRPr="00D03F3E">
        <w:rPr>
          <w:rFonts w:ascii="Times New Roman" w:hAnsi="Times New Roman"/>
          <w:color w:val="000000" w:themeColor="text1"/>
          <w:sz w:val="16"/>
          <w:szCs w:val="16"/>
        </w:rPr>
        <w:softHyphen/>
        <w:t>нышев), которые должны были бить по аэродрому Харьков-Алешки и шли по</w:t>
      </w:r>
      <w:r w:rsidRPr="00D03F3E">
        <w:rPr>
          <w:rFonts w:ascii="Times New Roman" w:hAnsi="Times New Roman"/>
          <w:color w:val="000000" w:themeColor="text1"/>
          <w:sz w:val="16"/>
          <w:szCs w:val="16"/>
        </w:rPr>
        <w:softHyphen/>
        <w:t xml:space="preserve">зади Ил-2 820-го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на удалении 600—800 м.</w:t>
      </w:r>
    </w:p>
    <w:p w14:paraId="17C3FC6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Сразу же после перелета линии фронта в районе Муром, Нечаевка шестерка Ил-2 820-го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была об</w:t>
      </w:r>
      <w:r w:rsidRPr="00D03F3E">
        <w:rPr>
          <w:rFonts w:ascii="Times New Roman" w:hAnsi="Times New Roman"/>
          <w:color w:val="000000" w:themeColor="text1"/>
          <w:sz w:val="16"/>
          <w:szCs w:val="16"/>
        </w:rPr>
        <w:softHyphen/>
        <w:t>стреляна сильным огнем зенитной ар</w:t>
      </w:r>
      <w:r w:rsidRPr="00D03F3E">
        <w:rPr>
          <w:rFonts w:ascii="Times New Roman" w:hAnsi="Times New Roman"/>
          <w:color w:val="000000" w:themeColor="text1"/>
          <w:sz w:val="16"/>
          <w:szCs w:val="16"/>
        </w:rPr>
        <w:softHyphen/>
        <w:t>тиллерии и атакована парой Ме109, к которым из района Липцы подошли еще два «мессершмитта». Атака этой четверки Ме109 была успешно отбита сосредоточенным огнем воздушных стрелков и сопровождающими истре</w:t>
      </w:r>
      <w:r w:rsidRPr="00D03F3E">
        <w:rPr>
          <w:rFonts w:ascii="Times New Roman" w:hAnsi="Times New Roman"/>
          <w:color w:val="000000" w:themeColor="text1"/>
          <w:sz w:val="16"/>
          <w:szCs w:val="16"/>
        </w:rPr>
        <w:softHyphen/>
        <w:t>бителями. При отражении атаки был сбит л-т Руть из группы истребителей прикрытия.</w:t>
      </w:r>
    </w:p>
    <w:p w14:paraId="54B60AA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Следом за первой группой истре</w:t>
      </w:r>
      <w:r w:rsidRPr="00D03F3E">
        <w:rPr>
          <w:rFonts w:ascii="Times New Roman" w:hAnsi="Times New Roman"/>
          <w:color w:val="000000" w:themeColor="text1"/>
          <w:sz w:val="16"/>
          <w:szCs w:val="16"/>
        </w:rPr>
        <w:softHyphen/>
        <w:t>бителей люфтваффе к месту воздуш</w:t>
      </w:r>
      <w:r w:rsidRPr="00D03F3E">
        <w:rPr>
          <w:rFonts w:ascii="Times New Roman" w:hAnsi="Times New Roman"/>
          <w:color w:val="000000" w:themeColor="text1"/>
          <w:sz w:val="16"/>
          <w:szCs w:val="16"/>
        </w:rPr>
        <w:softHyphen/>
        <w:t>ного боя подошли еще 12 Ме109, ко</w:t>
      </w:r>
      <w:r w:rsidRPr="00D03F3E">
        <w:rPr>
          <w:rFonts w:ascii="Times New Roman" w:hAnsi="Times New Roman"/>
          <w:color w:val="000000" w:themeColor="text1"/>
          <w:sz w:val="16"/>
          <w:szCs w:val="16"/>
        </w:rPr>
        <w:softHyphen/>
        <w:t>торые парами с разных сторон атако</w:t>
      </w:r>
      <w:r w:rsidRPr="00D03F3E">
        <w:rPr>
          <w:rFonts w:ascii="Times New Roman" w:hAnsi="Times New Roman"/>
          <w:color w:val="000000" w:themeColor="text1"/>
          <w:sz w:val="16"/>
          <w:szCs w:val="16"/>
        </w:rPr>
        <w:softHyphen/>
        <w:t xml:space="preserve">вали Ил-2 820-го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и истребители прикрытия 6-го </w:t>
      </w:r>
      <w:r w:rsidRPr="00D03F3E">
        <w:rPr>
          <w:rFonts w:ascii="Times New Roman" w:hAnsi="Times New Roman"/>
          <w:iCs/>
          <w:color w:val="000000" w:themeColor="text1"/>
          <w:sz w:val="16"/>
          <w:szCs w:val="16"/>
        </w:rPr>
        <w:t>иап.</w:t>
      </w:r>
    </w:p>
    <w:p w14:paraId="66C3745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Надо сказать, боевой порядок ис</w:t>
      </w:r>
      <w:r w:rsidRPr="00D03F3E">
        <w:rPr>
          <w:rFonts w:ascii="Times New Roman" w:hAnsi="Times New Roman"/>
          <w:color w:val="000000" w:themeColor="text1"/>
          <w:sz w:val="16"/>
          <w:szCs w:val="16"/>
        </w:rPr>
        <w:softHyphen/>
        <w:t xml:space="preserve">требителей 6-го </w:t>
      </w:r>
      <w:r w:rsidRPr="00D03F3E">
        <w:rPr>
          <w:rFonts w:ascii="Times New Roman" w:hAnsi="Times New Roman"/>
          <w:iCs/>
          <w:color w:val="000000" w:themeColor="text1"/>
          <w:sz w:val="16"/>
          <w:szCs w:val="16"/>
        </w:rPr>
        <w:t xml:space="preserve">иап был </w:t>
      </w:r>
      <w:r w:rsidRPr="00D03F3E">
        <w:rPr>
          <w:rFonts w:ascii="Times New Roman" w:hAnsi="Times New Roman"/>
          <w:color w:val="000000" w:themeColor="text1"/>
          <w:sz w:val="16"/>
          <w:szCs w:val="16"/>
        </w:rPr>
        <w:t>выбран капи</w:t>
      </w:r>
      <w:r w:rsidRPr="00D03F3E">
        <w:rPr>
          <w:rFonts w:ascii="Times New Roman" w:hAnsi="Times New Roman"/>
          <w:color w:val="000000" w:themeColor="text1"/>
          <w:sz w:val="16"/>
          <w:szCs w:val="16"/>
        </w:rPr>
        <w:softHyphen/>
        <w:t>таном Анодиным совершенно невер</w:t>
      </w:r>
      <w:r w:rsidRPr="00D03F3E">
        <w:rPr>
          <w:rFonts w:ascii="Times New Roman" w:hAnsi="Times New Roman"/>
          <w:color w:val="000000" w:themeColor="text1"/>
          <w:sz w:val="16"/>
          <w:szCs w:val="16"/>
        </w:rPr>
        <w:softHyphen/>
        <w:t>но. Отсутствовало деление истребите</w:t>
      </w:r>
      <w:r w:rsidRPr="00D03F3E">
        <w:rPr>
          <w:rFonts w:ascii="Times New Roman" w:hAnsi="Times New Roman"/>
          <w:color w:val="000000" w:themeColor="text1"/>
          <w:sz w:val="16"/>
          <w:szCs w:val="16"/>
        </w:rPr>
        <w:softHyphen/>
        <w:t>лей на группу непосредственного со</w:t>
      </w:r>
      <w:r w:rsidRPr="00D03F3E">
        <w:rPr>
          <w:rFonts w:ascii="Times New Roman" w:hAnsi="Times New Roman"/>
          <w:color w:val="000000" w:themeColor="text1"/>
          <w:sz w:val="16"/>
          <w:szCs w:val="16"/>
        </w:rPr>
        <w:softHyphen/>
        <w:t>провождения и ударную группу. Истре</w:t>
      </w:r>
      <w:r w:rsidRPr="00D03F3E">
        <w:rPr>
          <w:rFonts w:ascii="Times New Roman" w:hAnsi="Times New Roman"/>
          <w:color w:val="000000" w:themeColor="text1"/>
          <w:sz w:val="16"/>
          <w:szCs w:val="16"/>
        </w:rPr>
        <w:softHyphen/>
        <w:t xml:space="preserve">бители следовали совместно с Ил-2 по четыре самолета справа и слева от штурмовиков. Это связывало их маневр и не обеспечивало </w:t>
      </w:r>
      <w:r w:rsidRPr="00D03F3E">
        <w:rPr>
          <w:rFonts w:ascii="Times New Roman" w:hAnsi="Times New Roman"/>
          <w:iCs/>
          <w:color w:val="000000" w:themeColor="text1"/>
          <w:sz w:val="16"/>
          <w:szCs w:val="16"/>
        </w:rPr>
        <w:t>«надежный обзор возможных атак истребителей против</w:t>
      </w:r>
      <w:r w:rsidRPr="00D03F3E">
        <w:rPr>
          <w:rFonts w:ascii="Times New Roman" w:hAnsi="Times New Roman"/>
          <w:iCs/>
          <w:color w:val="000000" w:themeColor="text1"/>
          <w:sz w:val="16"/>
          <w:szCs w:val="16"/>
        </w:rPr>
        <w:softHyphen/>
        <w:t xml:space="preserve">ника», </w:t>
      </w:r>
      <w:r w:rsidRPr="00D03F3E">
        <w:rPr>
          <w:rFonts w:ascii="Times New Roman" w:hAnsi="Times New Roman"/>
          <w:color w:val="000000" w:themeColor="text1"/>
          <w:sz w:val="16"/>
          <w:szCs w:val="16"/>
        </w:rPr>
        <w:t>особенно со стороны задней полусферы.</w:t>
      </w:r>
    </w:p>
    <w:p w14:paraId="73533F5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то же время группа майора Обо-зненко имела более продуманный бо</w:t>
      </w:r>
      <w:r w:rsidRPr="00D03F3E">
        <w:rPr>
          <w:rFonts w:ascii="Times New Roman" w:hAnsi="Times New Roman"/>
          <w:color w:val="000000" w:themeColor="text1"/>
          <w:sz w:val="16"/>
          <w:szCs w:val="16"/>
        </w:rPr>
        <w:softHyphen/>
        <w:t>евой порядок: по два самолета с каж</w:t>
      </w:r>
      <w:r w:rsidRPr="00D03F3E">
        <w:rPr>
          <w:rFonts w:ascii="Times New Roman" w:hAnsi="Times New Roman"/>
          <w:color w:val="000000" w:themeColor="text1"/>
          <w:sz w:val="16"/>
          <w:szCs w:val="16"/>
        </w:rPr>
        <w:softHyphen/>
        <w:t>дой стороны строя штурмовиков и че</w:t>
      </w:r>
      <w:r w:rsidRPr="00D03F3E">
        <w:rPr>
          <w:rFonts w:ascii="Times New Roman" w:hAnsi="Times New Roman"/>
          <w:color w:val="000000" w:themeColor="text1"/>
          <w:sz w:val="16"/>
          <w:szCs w:val="16"/>
        </w:rPr>
        <w:softHyphen/>
        <w:t>тыре истребителя в ударной группе. Именно такой боевой порядок позво</w:t>
      </w:r>
      <w:r w:rsidRPr="00D03F3E">
        <w:rPr>
          <w:rFonts w:ascii="Times New Roman" w:hAnsi="Times New Roman"/>
          <w:color w:val="000000" w:themeColor="text1"/>
          <w:sz w:val="16"/>
          <w:szCs w:val="16"/>
        </w:rPr>
        <w:softHyphen/>
        <w:t>лил, не опасаясь за экипажи штурмо</w:t>
      </w:r>
      <w:r w:rsidRPr="00D03F3E">
        <w:rPr>
          <w:rFonts w:ascii="Times New Roman" w:hAnsi="Times New Roman"/>
          <w:color w:val="000000" w:themeColor="text1"/>
          <w:sz w:val="16"/>
          <w:szCs w:val="16"/>
        </w:rPr>
        <w:softHyphen/>
        <w:t xml:space="preserve">виков 800-го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вовремя усилить обо</w:t>
      </w:r>
      <w:r w:rsidRPr="00D03F3E">
        <w:rPr>
          <w:rFonts w:ascii="Times New Roman" w:hAnsi="Times New Roman"/>
          <w:color w:val="000000" w:themeColor="text1"/>
          <w:sz w:val="16"/>
          <w:szCs w:val="16"/>
        </w:rPr>
        <w:softHyphen/>
        <w:t xml:space="preserve">рону группы Ил-2 820-го </w:t>
      </w:r>
      <w:r w:rsidRPr="00D03F3E">
        <w:rPr>
          <w:rFonts w:ascii="Times New Roman" w:hAnsi="Times New Roman"/>
          <w:iCs/>
          <w:color w:val="000000" w:themeColor="text1"/>
          <w:sz w:val="16"/>
          <w:szCs w:val="16"/>
        </w:rPr>
        <w:t>шап.</w:t>
      </w:r>
    </w:p>
    <w:p w14:paraId="5BB1D19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Ударная группа 183-го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в соста</w:t>
      </w:r>
      <w:r w:rsidRPr="00D03F3E">
        <w:rPr>
          <w:rFonts w:ascii="Times New Roman" w:hAnsi="Times New Roman"/>
          <w:color w:val="000000" w:themeColor="text1"/>
          <w:sz w:val="16"/>
          <w:szCs w:val="16"/>
        </w:rPr>
        <w:softHyphen/>
        <w:t>ве четырех истребителей Як-76 всту</w:t>
      </w:r>
      <w:r w:rsidRPr="00D03F3E">
        <w:rPr>
          <w:rFonts w:ascii="Times New Roman" w:hAnsi="Times New Roman"/>
          <w:color w:val="000000" w:themeColor="text1"/>
          <w:sz w:val="16"/>
          <w:szCs w:val="16"/>
        </w:rPr>
        <w:softHyphen/>
        <w:t>пила в воздушный бой с истребителя</w:t>
      </w:r>
      <w:r w:rsidRPr="00D03F3E">
        <w:rPr>
          <w:rFonts w:ascii="Times New Roman" w:hAnsi="Times New Roman"/>
          <w:color w:val="000000" w:themeColor="text1"/>
          <w:sz w:val="16"/>
          <w:szCs w:val="16"/>
        </w:rPr>
        <w:softHyphen/>
        <w:t xml:space="preserve">ми люфтваффе, в то время как «Яки» из 6-го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продолжали сопровождать штурмовиков своей группы, отбивая атаки «мессершмиттов». Как справед</w:t>
      </w:r>
      <w:r w:rsidRPr="00D03F3E">
        <w:rPr>
          <w:rFonts w:ascii="Times New Roman" w:hAnsi="Times New Roman"/>
          <w:color w:val="000000" w:themeColor="text1"/>
          <w:sz w:val="16"/>
          <w:szCs w:val="16"/>
        </w:rPr>
        <w:softHyphen/>
        <w:t xml:space="preserve">ливо отмечал командир 4-го </w:t>
      </w:r>
      <w:r w:rsidRPr="00D03F3E">
        <w:rPr>
          <w:rFonts w:ascii="Times New Roman" w:hAnsi="Times New Roman"/>
          <w:iCs/>
          <w:color w:val="000000" w:themeColor="text1"/>
          <w:sz w:val="16"/>
          <w:szCs w:val="16"/>
        </w:rPr>
        <w:t xml:space="preserve">иак </w:t>
      </w:r>
      <w:r w:rsidRPr="00D03F3E">
        <w:rPr>
          <w:rFonts w:ascii="Times New Roman" w:hAnsi="Times New Roman"/>
          <w:color w:val="000000" w:themeColor="text1"/>
          <w:sz w:val="16"/>
          <w:szCs w:val="16"/>
        </w:rPr>
        <w:t>гене</w:t>
      </w:r>
      <w:r w:rsidRPr="00D03F3E">
        <w:rPr>
          <w:rFonts w:ascii="Times New Roman" w:hAnsi="Times New Roman"/>
          <w:color w:val="000000" w:themeColor="text1"/>
          <w:sz w:val="16"/>
          <w:szCs w:val="16"/>
        </w:rPr>
        <w:softHyphen/>
        <w:t>рал И. Д. Подгорный в своем приказе № 044 от 19.05.43г., летчики группы Обозненко могли прикрывать штурмо</w:t>
      </w:r>
      <w:r w:rsidRPr="00D03F3E">
        <w:rPr>
          <w:rFonts w:ascii="Times New Roman" w:hAnsi="Times New Roman"/>
          <w:color w:val="000000" w:themeColor="text1"/>
          <w:sz w:val="16"/>
          <w:szCs w:val="16"/>
        </w:rPr>
        <w:softHyphen/>
        <w:t xml:space="preserve">вики лишь </w:t>
      </w:r>
      <w:r w:rsidRPr="00D03F3E">
        <w:rPr>
          <w:rFonts w:ascii="Times New Roman" w:hAnsi="Times New Roman"/>
          <w:iCs/>
          <w:color w:val="000000" w:themeColor="text1"/>
          <w:sz w:val="16"/>
          <w:szCs w:val="16"/>
        </w:rPr>
        <w:t xml:space="preserve">«своим телом, а не огнем и маневром», </w:t>
      </w:r>
      <w:r w:rsidRPr="00D03F3E">
        <w:rPr>
          <w:rFonts w:ascii="Times New Roman" w:hAnsi="Times New Roman"/>
          <w:color w:val="000000" w:themeColor="text1"/>
          <w:sz w:val="16"/>
          <w:szCs w:val="16"/>
        </w:rPr>
        <w:t>не имея при этом возмож</w:t>
      </w:r>
      <w:r w:rsidRPr="00D03F3E">
        <w:rPr>
          <w:rFonts w:ascii="Times New Roman" w:hAnsi="Times New Roman"/>
          <w:color w:val="000000" w:themeColor="text1"/>
          <w:sz w:val="16"/>
          <w:szCs w:val="16"/>
        </w:rPr>
        <w:softHyphen/>
        <w:t xml:space="preserve">ности выделить хотя бы часть сил для помощи ударной группе от 183-го </w:t>
      </w:r>
      <w:r w:rsidRPr="00D03F3E">
        <w:rPr>
          <w:rFonts w:ascii="Times New Roman" w:hAnsi="Times New Roman"/>
          <w:iCs/>
          <w:color w:val="000000" w:themeColor="text1"/>
          <w:sz w:val="16"/>
          <w:szCs w:val="16"/>
        </w:rPr>
        <w:t>иап.</w:t>
      </w:r>
    </w:p>
    <w:p w14:paraId="4FC321D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Атака четверки «Яков» 183-го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была совершенно неожиданной для не</w:t>
      </w:r>
      <w:r w:rsidRPr="00D03F3E">
        <w:rPr>
          <w:rFonts w:ascii="Times New Roman" w:hAnsi="Times New Roman"/>
          <w:color w:val="000000" w:themeColor="text1"/>
          <w:sz w:val="16"/>
          <w:szCs w:val="16"/>
        </w:rPr>
        <w:softHyphen/>
        <w:t>мецких пилотов, и они ее, что называ</w:t>
      </w:r>
      <w:r w:rsidRPr="00D03F3E">
        <w:rPr>
          <w:rFonts w:ascii="Times New Roman" w:hAnsi="Times New Roman"/>
          <w:color w:val="000000" w:themeColor="text1"/>
          <w:sz w:val="16"/>
          <w:szCs w:val="16"/>
        </w:rPr>
        <w:softHyphen/>
        <w:t>ется, «прозевали». Майор Обозненко снизу-сзади с дистанции 50 м «снял» ведущего пары Ме109, которая вышла в атаку на крайнюю справа пару Ил-2. Одновременно ведомый м-ра Обо</w:t>
      </w:r>
      <w:r w:rsidRPr="00D03F3E">
        <w:rPr>
          <w:rFonts w:ascii="Times New Roman" w:hAnsi="Times New Roman"/>
          <w:color w:val="000000" w:themeColor="text1"/>
          <w:sz w:val="16"/>
          <w:szCs w:val="16"/>
        </w:rPr>
        <w:softHyphen/>
        <w:t>зненко ст. сержант Юрченко атаковал ведомого немецкой пары и с дистан</w:t>
      </w:r>
      <w:r w:rsidRPr="00D03F3E">
        <w:rPr>
          <w:rFonts w:ascii="Times New Roman" w:hAnsi="Times New Roman"/>
          <w:color w:val="000000" w:themeColor="text1"/>
          <w:sz w:val="16"/>
          <w:szCs w:val="16"/>
        </w:rPr>
        <w:softHyphen/>
        <w:t>ции 75—50 м короткой очередью сбил его. Однако на выходе из атаки Юр</w:t>
      </w:r>
      <w:r w:rsidRPr="00D03F3E">
        <w:rPr>
          <w:rFonts w:ascii="Times New Roman" w:hAnsi="Times New Roman"/>
          <w:color w:val="000000" w:themeColor="text1"/>
          <w:sz w:val="16"/>
          <w:szCs w:val="16"/>
        </w:rPr>
        <w:softHyphen/>
        <w:t>ченко сам был атакован парой «мес</w:t>
      </w:r>
      <w:r w:rsidRPr="00D03F3E">
        <w:rPr>
          <w:rFonts w:ascii="Times New Roman" w:hAnsi="Times New Roman"/>
          <w:color w:val="000000" w:themeColor="text1"/>
          <w:sz w:val="16"/>
          <w:szCs w:val="16"/>
        </w:rPr>
        <w:softHyphen/>
        <w:t>серов» и вышел из боя, так как само</w:t>
      </w:r>
      <w:r w:rsidRPr="00D03F3E">
        <w:rPr>
          <w:rFonts w:ascii="Times New Roman" w:hAnsi="Times New Roman"/>
          <w:color w:val="000000" w:themeColor="text1"/>
          <w:sz w:val="16"/>
          <w:szCs w:val="16"/>
        </w:rPr>
        <w:softHyphen/>
        <w:t>лет получил повреждения.</w:t>
      </w:r>
    </w:p>
    <w:p w14:paraId="0BF5281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это время третья пара Ме109 сни</w:t>
      </w:r>
      <w:r w:rsidRPr="00D03F3E">
        <w:rPr>
          <w:rFonts w:ascii="Times New Roman" w:hAnsi="Times New Roman"/>
          <w:color w:val="000000" w:themeColor="text1"/>
          <w:sz w:val="16"/>
          <w:szCs w:val="16"/>
        </w:rPr>
        <w:softHyphen/>
        <w:t>зу в хвост атаковала Ил-2, но была контратакована мл. лейтенантом Петрушкиным, который сверху с дистан</w:t>
      </w:r>
      <w:r w:rsidRPr="00D03F3E">
        <w:rPr>
          <w:rFonts w:ascii="Times New Roman" w:hAnsi="Times New Roman"/>
          <w:color w:val="000000" w:themeColor="text1"/>
          <w:sz w:val="16"/>
          <w:szCs w:val="16"/>
        </w:rPr>
        <w:softHyphen/>
        <w:t>ции 120—100 м сбил ведущий «мес-сершмитт». Ведомый Петрушкина пы</w:t>
      </w:r>
      <w:r w:rsidRPr="00D03F3E">
        <w:rPr>
          <w:rFonts w:ascii="Times New Roman" w:hAnsi="Times New Roman"/>
          <w:color w:val="000000" w:themeColor="text1"/>
          <w:sz w:val="16"/>
          <w:szCs w:val="16"/>
        </w:rPr>
        <w:softHyphen/>
        <w:t>тался атаковать ведомого немецкой пары, но сам был атакован четвертой парой Ме109. Его «Як» получил повреж</w:t>
      </w:r>
      <w:r w:rsidRPr="00D03F3E">
        <w:rPr>
          <w:rFonts w:ascii="Times New Roman" w:hAnsi="Times New Roman"/>
          <w:color w:val="000000" w:themeColor="text1"/>
          <w:sz w:val="16"/>
          <w:szCs w:val="16"/>
        </w:rPr>
        <w:softHyphen/>
        <w:t>дения, и он был вынужден выйти из боя. В дальнейшем пилоту удалось сесть на вынужденную посадку на своей терри</w:t>
      </w:r>
      <w:r w:rsidRPr="00D03F3E">
        <w:rPr>
          <w:rFonts w:ascii="Times New Roman" w:hAnsi="Times New Roman"/>
          <w:color w:val="000000" w:themeColor="text1"/>
          <w:sz w:val="16"/>
          <w:szCs w:val="16"/>
        </w:rPr>
        <w:softHyphen/>
        <w:t>тории.</w:t>
      </w:r>
    </w:p>
    <w:p w14:paraId="570FDA0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Продолжавшие сопровождение ше</w:t>
      </w:r>
      <w:r w:rsidRPr="00D03F3E">
        <w:rPr>
          <w:rFonts w:ascii="Times New Roman" w:hAnsi="Times New Roman"/>
          <w:color w:val="000000" w:themeColor="text1"/>
          <w:sz w:val="16"/>
          <w:szCs w:val="16"/>
        </w:rPr>
        <w:softHyphen/>
        <w:t xml:space="preserve">стерки Ил-2 от 800-го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«Яки» из группы непосредственного прикрытия 183-го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вели бой с Ме109, которые двумя парами атаковали пару Литви-ненко и Попова. Положение спас ст. сержант Новиков, сумевший нео</w:t>
      </w:r>
      <w:r w:rsidRPr="00D03F3E">
        <w:rPr>
          <w:rFonts w:ascii="Times New Roman" w:hAnsi="Times New Roman"/>
          <w:color w:val="000000" w:themeColor="text1"/>
          <w:sz w:val="16"/>
          <w:szCs w:val="16"/>
        </w:rPr>
        <w:softHyphen/>
        <w:t>жиданной атакой сверху слева в хвост с дистанции 75—60 м длинной очере</w:t>
      </w:r>
      <w:r w:rsidRPr="00D03F3E">
        <w:rPr>
          <w:rFonts w:ascii="Times New Roman" w:hAnsi="Times New Roman"/>
          <w:color w:val="000000" w:themeColor="text1"/>
          <w:sz w:val="16"/>
          <w:szCs w:val="16"/>
        </w:rPr>
        <w:softHyphen/>
        <w:t xml:space="preserve">дью </w:t>
      </w:r>
      <w:r w:rsidRPr="00D03F3E">
        <w:rPr>
          <w:rFonts w:ascii="Times New Roman" w:hAnsi="Times New Roman"/>
          <w:iCs/>
          <w:color w:val="000000" w:themeColor="text1"/>
          <w:sz w:val="16"/>
          <w:szCs w:val="16"/>
        </w:rPr>
        <w:t xml:space="preserve">сбить </w:t>
      </w:r>
      <w:r w:rsidRPr="00D03F3E">
        <w:rPr>
          <w:rFonts w:ascii="Times New Roman" w:hAnsi="Times New Roman"/>
          <w:color w:val="000000" w:themeColor="text1"/>
          <w:sz w:val="16"/>
          <w:szCs w:val="16"/>
        </w:rPr>
        <w:t>ведомого первой пары не</w:t>
      </w:r>
      <w:r w:rsidRPr="00D03F3E">
        <w:rPr>
          <w:rFonts w:ascii="Times New Roman" w:hAnsi="Times New Roman"/>
          <w:color w:val="000000" w:themeColor="text1"/>
          <w:sz w:val="16"/>
          <w:szCs w:val="16"/>
        </w:rPr>
        <w:softHyphen/>
        <w:t>мецких истребителей, после чего ос</w:t>
      </w:r>
      <w:r w:rsidRPr="00D03F3E">
        <w:rPr>
          <w:rFonts w:ascii="Times New Roman" w:hAnsi="Times New Roman"/>
          <w:color w:val="000000" w:themeColor="text1"/>
          <w:sz w:val="16"/>
          <w:szCs w:val="16"/>
        </w:rPr>
        <w:softHyphen/>
        <w:t>тавшиеся «мессеры» вышли из боя.</w:t>
      </w:r>
    </w:p>
    <w:p w14:paraId="162C89C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воздушного боя с бое</w:t>
      </w:r>
      <w:r w:rsidRPr="00D03F3E">
        <w:rPr>
          <w:rFonts w:ascii="Times New Roman" w:hAnsi="Times New Roman"/>
          <w:color w:val="000000" w:themeColor="text1"/>
          <w:sz w:val="16"/>
          <w:szCs w:val="16"/>
        </w:rPr>
        <w:softHyphen/>
        <w:t xml:space="preserve">вого задания не вернулись лейтенанты Руть и Гриценко из 6-го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и три пило</w:t>
      </w:r>
      <w:r w:rsidRPr="00D03F3E">
        <w:rPr>
          <w:rFonts w:ascii="Times New Roman" w:hAnsi="Times New Roman"/>
          <w:color w:val="000000" w:themeColor="text1"/>
          <w:sz w:val="16"/>
          <w:szCs w:val="16"/>
        </w:rPr>
        <w:softHyphen/>
        <w:t>та на поврежденных «Яках» сели на вы</w:t>
      </w:r>
      <w:r w:rsidRPr="00D03F3E">
        <w:rPr>
          <w:rFonts w:ascii="Times New Roman" w:hAnsi="Times New Roman"/>
          <w:color w:val="000000" w:themeColor="text1"/>
          <w:sz w:val="16"/>
          <w:szCs w:val="16"/>
        </w:rPr>
        <w:softHyphen/>
        <w:t>нужденную, едва перетянув линию фрон</w:t>
      </w:r>
      <w:r w:rsidRPr="00D03F3E">
        <w:rPr>
          <w:rFonts w:ascii="Times New Roman" w:hAnsi="Times New Roman"/>
          <w:color w:val="000000" w:themeColor="text1"/>
          <w:sz w:val="16"/>
          <w:szCs w:val="16"/>
        </w:rPr>
        <w:softHyphen/>
        <w:t>та. Немцы недосчитались четырех Ме109.</w:t>
      </w:r>
    </w:p>
    <w:p w14:paraId="45AD559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Самоотверженные действия истре</w:t>
      </w:r>
      <w:r w:rsidRPr="00D03F3E">
        <w:rPr>
          <w:rFonts w:ascii="Times New Roman" w:hAnsi="Times New Roman"/>
          <w:color w:val="000000" w:themeColor="text1"/>
          <w:sz w:val="16"/>
          <w:szCs w:val="16"/>
        </w:rPr>
        <w:softHyphen/>
        <w:t>бителей прикрытия позволили штур</w:t>
      </w:r>
      <w:r w:rsidRPr="00D03F3E">
        <w:rPr>
          <w:rFonts w:ascii="Times New Roman" w:hAnsi="Times New Roman"/>
          <w:color w:val="000000" w:themeColor="text1"/>
          <w:sz w:val="16"/>
          <w:szCs w:val="16"/>
        </w:rPr>
        <w:softHyphen/>
        <w:t>мовикам в 19.20 атаковать цели и без потерь возвратиться на свои аэродромы.</w:t>
      </w:r>
    </w:p>
    <w:p w14:paraId="25B9E06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Экипажи 800-го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доложили об уничтожении на аэродроме Харьков-Алешки 7 Ме109 и 3 Ме110. Еще 7-10 самолетов были повреждены. Кроме этого, в районе аэродрома и на са</w:t>
      </w:r>
      <w:r w:rsidRPr="00D03F3E">
        <w:rPr>
          <w:rFonts w:ascii="Times New Roman" w:hAnsi="Times New Roman"/>
          <w:color w:val="000000" w:themeColor="text1"/>
          <w:sz w:val="16"/>
          <w:szCs w:val="16"/>
        </w:rPr>
        <w:softHyphen/>
        <w:t>мом аэродроме были разбиты 5 авто</w:t>
      </w:r>
      <w:r w:rsidRPr="00D03F3E">
        <w:rPr>
          <w:rFonts w:ascii="Times New Roman" w:hAnsi="Times New Roman"/>
          <w:color w:val="000000" w:themeColor="text1"/>
          <w:sz w:val="16"/>
          <w:szCs w:val="16"/>
        </w:rPr>
        <w:softHyphen/>
        <w:t>машин и взорван один бензозаправ</w:t>
      </w:r>
      <w:r w:rsidRPr="00D03F3E">
        <w:rPr>
          <w:rFonts w:ascii="Times New Roman" w:hAnsi="Times New Roman"/>
          <w:color w:val="000000" w:themeColor="text1"/>
          <w:sz w:val="16"/>
          <w:szCs w:val="16"/>
        </w:rPr>
        <w:softHyphen/>
        <w:t>щик. В районе аэродрома штурмови</w:t>
      </w:r>
      <w:r w:rsidRPr="00D03F3E">
        <w:rPr>
          <w:rFonts w:ascii="Times New Roman" w:hAnsi="Times New Roman"/>
          <w:color w:val="000000" w:themeColor="text1"/>
          <w:sz w:val="16"/>
          <w:szCs w:val="16"/>
        </w:rPr>
        <w:softHyphen/>
        <w:t>ки провели воздушный бой с истреби</w:t>
      </w:r>
      <w:r w:rsidRPr="00D03F3E">
        <w:rPr>
          <w:rFonts w:ascii="Times New Roman" w:hAnsi="Times New Roman"/>
          <w:color w:val="000000" w:themeColor="text1"/>
          <w:sz w:val="16"/>
          <w:szCs w:val="16"/>
        </w:rPr>
        <w:softHyphen/>
        <w:t>телями противника, в ходе которого воздушный стрелок сержант Белокон-ный сбил один «мессер».</w:t>
      </w:r>
    </w:p>
    <w:p w14:paraId="66E2484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Группа от 820-го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смогла унич</w:t>
      </w:r>
      <w:r w:rsidRPr="00D03F3E">
        <w:rPr>
          <w:rFonts w:ascii="Times New Roman" w:hAnsi="Times New Roman"/>
          <w:color w:val="000000" w:themeColor="text1"/>
          <w:sz w:val="16"/>
          <w:szCs w:val="16"/>
        </w:rPr>
        <w:softHyphen/>
        <w:t>тожить на аэродроме Харьков-Соколь</w:t>
      </w:r>
      <w:r w:rsidRPr="00D03F3E">
        <w:rPr>
          <w:rFonts w:ascii="Times New Roman" w:hAnsi="Times New Roman"/>
          <w:color w:val="000000" w:themeColor="text1"/>
          <w:sz w:val="16"/>
          <w:szCs w:val="16"/>
        </w:rPr>
        <w:softHyphen/>
        <w:t>ники 4 самолета противника и склад горючего.</w:t>
      </w:r>
    </w:p>
    <w:p w14:paraId="11FC820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этот же день в 19.15 7 Ил-2 от 735-го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(ведущий Ермолаев) в со провождении 8 Як-1 от 4-го </w:t>
      </w:r>
      <w:r w:rsidRPr="00D03F3E">
        <w:rPr>
          <w:rFonts w:ascii="Times New Roman" w:hAnsi="Times New Roman"/>
          <w:iCs/>
          <w:color w:val="000000" w:themeColor="text1"/>
          <w:sz w:val="16"/>
          <w:szCs w:val="16"/>
        </w:rPr>
        <w:t xml:space="preserve">иак </w:t>
      </w:r>
      <w:r w:rsidRPr="00D03F3E">
        <w:rPr>
          <w:rFonts w:ascii="Times New Roman" w:hAnsi="Times New Roman"/>
          <w:color w:val="000000" w:themeColor="text1"/>
          <w:sz w:val="16"/>
          <w:szCs w:val="16"/>
        </w:rPr>
        <w:t>«отра</w:t>
      </w:r>
      <w:r w:rsidRPr="00D03F3E">
        <w:rPr>
          <w:rFonts w:ascii="Times New Roman" w:hAnsi="Times New Roman"/>
          <w:color w:val="000000" w:themeColor="text1"/>
          <w:sz w:val="16"/>
          <w:szCs w:val="16"/>
        </w:rPr>
        <w:softHyphen/>
        <w:t>ботали» по аэродрому Рогань, на ко</w:t>
      </w:r>
      <w:r w:rsidRPr="00D03F3E">
        <w:rPr>
          <w:rFonts w:ascii="Times New Roman" w:hAnsi="Times New Roman"/>
          <w:color w:val="000000" w:themeColor="text1"/>
          <w:sz w:val="16"/>
          <w:szCs w:val="16"/>
        </w:rPr>
        <w:softHyphen/>
        <w:t>тором к моменту подхода группы на</w:t>
      </w:r>
      <w:r w:rsidRPr="00D03F3E">
        <w:rPr>
          <w:rFonts w:ascii="Times New Roman" w:hAnsi="Times New Roman"/>
          <w:color w:val="000000" w:themeColor="text1"/>
          <w:sz w:val="16"/>
          <w:szCs w:val="16"/>
        </w:rPr>
        <w:softHyphen/>
        <w:t>ходилось до 60 самолетов.</w:t>
      </w:r>
    </w:p>
    <w:p w14:paraId="1F13ED2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Допущенная командиром полка май</w:t>
      </w:r>
      <w:r w:rsidRPr="00D03F3E">
        <w:rPr>
          <w:rFonts w:ascii="Times New Roman" w:hAnsi="Times New Roman"/>
          <w:color w:val="000000" w:themeColor="text1"/>
          <w:sz w:val="16"/>
          <w:szCs w:val="16"/>
        </w:rPr>
        <w:softHyphen/>
        <w:t>ором Володиным и его штабом ошиб</w:t>
      </w:r>
      <w:r w:rsidRPr="00D03F3E">
        <w:rPr>
          <w:rFonts w:ascii="Times New Roman" w:hAnsi="Times New Roman"/>
          <w:color w:val="000000" w:themeColor="text1"/>
          <w:sz w:val="16"/>
          <w:szCs w:val="16"/>
        </w:rPr>
        <w:softHyphen/>
        <w:t xml:space="preserve">ка — 6 летчиков из состава группы были молодыми, не позволила в полном объеме выполнить боевую задачу. Как следует из документов штаба 266-й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 xml:space="preserve">на подходе к аэродрому </w:t>
      </w:r>
      <w:r w:rsidRPr="00D03F3E">
        <w:rPr>
          <w:rFonts w:ascii="Times New Roman" w:hAnsi="Times New Roman"/>
          <w:iCs/>
          <w:color w:val="000000" w:themeColor="text1"/>
          <w:sz w:val="16"/>
          <w:szCs w:val="16"/>
        </w:rPr>
        <w:t>«в усло</w:t>
      </w:r>
      <w:r w:rsidRPr="00D03F3E">
        <w:rPr>
          <w:rFonts w:ascii="Times New Roman" w:hAnsi="Times New Roman"/>
          <w:iCs/>
          <w:color w:val="000000" w:themeColor="text1"/>
          <w:sz w:val="16"/>
          <w:szCs w:val="16"/>
        </w:rPr>
        <w:softHyphen/>
        <w:t xml:space="preserve">виях сильного огня МЗА и встречного солнца произошел разрыв группы на две». </w:t>
      </w:r>
      <w:r w:rsidRPr="00D03F3E">
        <w:rPr>
          <w:rFonts w:ascii="Times New Roman" w:hAnsi="Times New Roman"/>
          <w:color w:val="000000" w:themeColor="text1"/>
          <w:sz w:val="16"/>
          <w:szCs w:val="16"/>
        </w:rPr>
        <w:t>Три молодых летчика — сержант Нерсисян (воздушный стрелок сержант Резванов), сержант Коваль (воздушный стрелок мл. сержант Худяков) и сер</w:t>
      </w:r>
      <w:r w:rsidRPr="00D03F3E">
        <w:rPr>
          <w:rFonts w:ascii="Times New Roman" w:hAnsi="Times New Roman"/>
          <w:color w:val="000000" w:themeColor="text1"/>
          <w:sz w:val="16"/>
          <w:szCs w:val="16"/>
        </w:rPr>
        <w:softHyphen/>
        <w:t xml:space="preserve">жант Мельников (воздушный стрелок мл. сержант Хренов), оказавшись </w:t>
      </w:r>
      <w:r w:rsidRPr="00D03F3E">
        <w:rPr>
          <w:rFonts w:ascii="Times New Roman" w:hAnsi="Times New Roman"/>
          <w:iCs/>
          <w:color w:val="000000" w:themeColor="text1"/>
          <w:sz w:val="16"/>
          <w:szCs w:val="16"/>
        </w:rPr>
        <w:t>«в зоне сильного зенитного огня на высо</w:t>
      </w:r>
      <w:r w:rsidRPr="00D03F3E">
        <w:rPr>
          <w:rFonts w:ascii="Times New Roman" w:hAnsi="Times New Roman"/>
          <w:iCs/>
          <w:color w:val="000000" w:themeColor="text1"/>
          <w:sz w:val="16"/>
          <w:szCs w:val="16"/>
        </w:rPr>
        <w:softHyphen/>
        <w:t xml:space="preserve">те 1000 м», </w:t>
      </w:r>
      <w:r w:rsidRPr="00D03F3E">
        <w:rPr>
          <w:rFonts w:ascii="Times New Roman" w:hAnsi="Times New Roman"/>
          <w:color w:val="000000" w:themeColor="text1"/>
          <w:sz w:val="16"/>
          <w:szCs w:val="16"/>
        </w:rPr>
        <w:t xml:space="preserve">не выдержали и </w:t>
      </w:r>
      <w:r w:rsidRPr="00D03F3E">
        <w:rPr>
          <w:rFonts w:ascii="Times New Roman" w:hAnsi="Times New Roman"/>
          <w:iCs/>
          <w:color w:val="000000" w:themeColor="text1"/>
          <w:sz w:val="16"/>
          <w:szCs w:val="16"/>
        </w:rPr>
        <w:t>«отверну</w:t>
      </w:r>
      <w:r w:rsidRPr="00D03F3E">
        <w:rPr>
          <w:rFonts w:ascii="Times New Roman" w:hAnsi="Times New Roman"/>
          <w:iCs/>
          <w:color w:val="000000" w:themeColor="text1"/>
          <w:sz w:val="16"/>
          <w:szCs w:val="16"/>
        </w:rPr>
        <w:softHyphen/>
        <w:t xml:space="preserve">ли вправо курсом на Змиев». </w:t>
      </w:r>
      <w:r w:rsidRPr="00D03F3E">
        <w:rPr>
          <w:rFonts w:ascii="Times New Roman" w:hAnsi="Times New Roman"/>
          <w:color w:val="000000" w:themeColor="text1"/>
          <w:sz w:val="16"/>
          <w:szCs w:val="16"/>
        </w:rPr>
        <w:t>С ними ушла и четверка истребителей сопро</w:t>
      </w:r>
      <w:r w:rsidRPr="00D03F3E">
        <w:rPr>
          <w:rFonts w:ascii="Times New Roman" w:hAnsi="Times New Roman"/>
          <w:color w:val="000000" w:themeColor="text1"/>
          <w:sz w:val="16"/>
          <w:szCs w:val="16"/>
        </w:rPr>
        <w:softHyphen/>
        <w:t>вождения.</w:t>
      </w:r>
    </w:p>
    <w:p w14:paraId="5A7EB38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Остальные 4 Ил-2 вышли на аэро</w:t>
      </w:r>
      <w:r w:rsidRPr="00D03F3E">
        <w:rPr>
          <w:rFonts w:ascii="Times New Roman" w:hAnsi="Times New Roman"/>
          <w:color w:val="000000" w:themeColor="text1"/>
          <w:sz w:val="16"/>
          <w:szCs w:val="16"/>
        </w:rPr>
        <w:softHyphen/>
        <w:t>дром и в одном заходе атаковали его.</w:t>
      </w:r>
    </w:p>
    <w:p w14:paraId="49B96C1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докладам экипажей, они уничтожи</w:t>
      </w:r>
      <w:r w:rsidRPr="00D03F3E">
        <w:rPr>
          <w:rFonts w:ascii="Times New Roman" w:hAnsi="Times New Roman"/>
          <w:color w:val="000000" w:themeColor="text1"/>
          <w:sz w:val="16"/>
          <w:szCs w:val="16"/>
        </w:rPr>
        <w:softHyphen/>
        <w:t>ли и повредили до 10 самолетов на северо-западной окраине аэродрома и создали два сильных взрыва.</w:t>
      </w:r>
    </w:p>
    <w:p w14:paraId="6974EE2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отходе от аэродрома штурмо</w:t>
      </w:r>
      <w:r w:rsidRPr="00D03F3E">
        <w:rPr>
          <w:rFonts w:ascii="Times New Roman" w:hAnsi="Times New Roman"/>
          <w:color w:val="000000" w:themeColor="text1"/>
          <w:sz w:val="16"/>
          <w:szCs w:val="16"/>
        </w:rPr>
        <w:softHyphen/>
        <w:t>вики вели воздушный бой с истребите</w:t>
      </w:r>
      <w:r w:rsidRPr="00D03F3E">
        <w:rPr>
          <w:rFonts w:ascii="Times New Roman" w:hAnsi="Times New Roman"/>
          <w:color w:val="000000" w:themeColor="text1"/>
          <w:sz w:val="16"/>
          <w:szCs w:val="16"/>
        </w:rPr>
        <w:softHyphen/>
        <w:t>лями противника. Атаки отбивались воздушными стрелками и оставшейся четверкой истребителей прикрытия. В ходе боя Ил-2 лейтенанта Усова (воз</w:t>
      </w:r>
      <w:r w:rsidRPr="00D03F3E">
        <w:rPr>
          <w:rFonts w:ascii="Times New Roman" w:hAnsi="Times New Roman"/>
          <w:color w:val="000000" w:themeColor="text1"/>
          <w:sz w:val="16"/>
          <w:szCs w:val="16"/>
        </w:rPr>
        <w:softHyphen/>
        <w:t>душный стрелок сержант Лозовой) по</w:t>
      </w:r>
      <w:r w:rsidRPr="00D03F3E">
        <w:rPr>
          <w:rFonts w:ascii="Times New Roman" w:hAnsi="Times New Roman"/>
          <w:color w:val="000000" w:themeColor="text1"/>
          <w:sz w:val="16"/>
          <w:szCs w:val="16"/>
        </w:rPr>
        <w:softHyphen/>
        <w:t>лучил повреждения, и после перелета линии фронта летчик вынужденно сел на аэродром Уразово.</w:t>
      </w:r>
    </w:p>
    <w:p w14:paraId="45E1E7D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Более точных сведений о том, что произошло над аэродромом Рогань и на обратном маршруте, найти не уда</w:t>
      </w:r>
      <w:r w:rsidRPr="00D03F3E">
        <w:rPr>
          <w:rFonts w:ascii="Times New Roman" w:hAnsi="Times New Roman"/>
          <w:color w:val="000000" w:themeColor="text1"/>
          <w:sz w:val="16"/>
          <w:szCs w:val="16"/>
        </w:rPr>
        <w:softHyphen/>
        <w:t>лось. Если следовать докладам возвра</w:t>
      </w:r>
      <w:r w:rsidRPr="00D03F3E">
        <w:rPr>
          <w:rFonts w:ascii="Times New Roman" w:hAnsi="Times New Roman"/>
          <w:color w:val="000000" w:themeColor="text1"/>
          <w:sz w:val="16"/>
          <w:szCs w:val="16"/>
        </w:rPr>
        <w:softHyphen/>
        <w:t>тившихся 10 мая в свой полк сержан</w:t>
      </w:r>
      <w:r w:rsidRPr="00D03F3E">
        <w:rPr>
          <w:rFonts w:ascii="Times New Roman" w:hAnsi="Times New Roman"/>
          <w:color w:val="000000" w:themeColor="text1"/>
          <w:sz w:val="16"/>
          <w:szCs w:val="16"/>
        </w:rPr>
        <w:softHyphen/>
        <w:t>тов Коваля и Мельникова, то получа</w:t>
      </w:r>
      <w:r w:rsidRPr="00D03F3E">
        <w:rPr>
          <w:rFonts w:ascii="Times New Roman" w:hAnsi="Times New Roman"/>
          <w:color w:val="000000" w:themeColor="text1"/>
          <w:sz w:val="16"/>
          <w:szCs w:val="16"/>
        </w:rPr>
        <w:softHyphen/>
        <w:t>ется следующая картина. При разво</w:t>
      </w:r>
      <w:r w:rsidRPr="00D03F3E">
        <w:rPr>
          <w:rFonts w:ascii="Times New Roman" w:hAnsi="Times New Roman"/>
          <w:color w:val="000000" w:themeColor="text1"/>
          <w:sz w:val="16"/>
          <w:szCs w:val="16"/>
        </w:rPr>
        <w:softHyphen/>
        <w:t>роте на аэродром в районе Безлюдовка, Основа они оторвались от основ</w:t>
      </w:r>
      <w:r w:rsidRPr="00D03F3E">
        <w:rPr>
          <w:rFonts w:ascii="Times New Roman" w:hAnsi="Times New Roman"/>
          <w:color w:val="000000" w:themeColor="text1"/>
          <w:sz w:val="16"/>
          <w:szCs w:val="16"/>
        </w:rPr>
        <w:softHyphen/>
        <w:t>ной группы. Оказавшись одни, атако</w:t>
      </w:r>
      <w:r w:rsidRPr="00D03F3E">
        <w:rPr>
          <w:rFonts w:ascii="Times New Roman" w:hAnsi="Times New Roman"/>
          <w:color w:val="000000" w:themeColor="text1"/>
          <w:sz w:val="16"/>
          <w:szCs w:val="16"/>
        </w:rPr>
        <w:softHyphen/>
        <w:t xml:space="preserve">вали аэродром Основа, так как </w:t>
      </w:r>
      <w:r w:rsidRPr="00D03F3E">
        <w:rPr>
          <w:rFonts w:ascii="Times New Roman" w:hAnsi="Times New Roman"/>
          <w:iCs/>
          <w:color w:val="000000" w:themeColor="text1"/>
          <w:sz w:val="16"/>
          <w:szCs w:val="16"/>
        </w:rPr>
        <w:t>«идти парой на аэродром Рогань не реши</w:t>
      </w:r>
      <w:r w:rsidRPr="00D03F3E">
        <w:rPr>
          <w:rFonts w:ascii="Times New Roman" w:hAnsi="Times New Roman"/>
          <w:iCs/>
          <w:color w:val="000000" w:themeColor="text1"/>
          <w:sz w:val="16"/>
          <w:szCs w:val="16"/>
        </w:rPr>
        <w:softHyphen/>
        <w:t xml:space="preserve">лись». </w:t>
      </w:r>
      <w:r w:rsidRPr="00D03F3E">
        <w:rPr>
          <w:rFonts w:ascii="Times New Roman" w:hAnsi="Times New Roman"/>
          <w:color w:val="000000" w:themeColor="text1"/>
          <w:sz w:val="16"/>
          <w:szCs w:val="16"/>
        </w:rPr>
        <w:t>Результат своего удара экипажи не наблюдали, но по их словам все бомбы и РСы точно легли по целям на аэродроме. При этом во время штур</w:t>
      </w:r>
      <w:r w:rsidRPr="00D03F3E">
        <w:rPr>
          <w:rFonts w:ascii="Times New Roman" w:hAnsi="Times New Roman"/>
          <w:color w:val="000000" w:themeColor="text1"/>
          <w:sz w:val="16"/>
          <w:szCs w:val="16"/>
        </w:rPr>
        <w:softHyphen/>
        <w:t>мовки самолет сержанта Коваля сза</w:t>
      </w:r>
      <w:r w:rsidRPr="00D03F3E">
        <w:rPr>
          <w:rFonts w:ascii="Times New Roman" w:hAnsi="Times New Roman"/>
          <w:color w:val="000000" w:themeColor="text1"/>
          <w:sz w:val="16"/>
          <w:szCs w:val="16"/>
        </w:rPr>
        <w:softHyphen/>
        <w:t>ди сверху был атакован одним «мес-сершмиттом». Его атака была успеш</w:t>
      </w:r>
      <w:r w:rsidRPr="00D03F3E">
        <w:rPr>
          <w:rFonts w:ascii="Times New Roman" w:hAnsi="Times New Roman"/>
          <w:color w:val="000000" w:themeColor="text1"/>
          <w:sz w:val="16"/>
          <w:szCs w:val="16"/>
        </w:rPr>
        <w:softHyphen/>
        <w:t>но отражена воздушным стрелком мл. сержантом Худяковым. Линию фронта при возвращении на свой аэродром пересекли в районе Чугуев. В этот момент к ним пристроился Ил-2 сер</w:t>
      </w:r>
      <w:r w:rsidRPr="00D03F3E">
        <w:rPr>
          <w:rFonts w:ascii="Times New Roman" w:hAnsi="Times New Roman"/>
          <w:color w:val="000000" w:themeColor="text1"/>
          <w:sz w:val="16"/>
          <w:szCs w:val="16"/>
        </w:rPr>
        <w:softHyphen/>
        <w:t>жанта Нерсесяна в сопровождении двух Ла-5. Один из летчиков-истреби</w:t>
      </w:r>
      <w:r w:rsidRPr="00D03F3E">
        <w:rPr>
          <w:rFonts w:ascii="Times New Roman" w:hAnsi="Times New Roman"/>
          <w:color w:val="000000" w:themeColor="text1"/>
          <w:sz w:val="16"/>
          <w:szCs w:val="16"/>
        </w:rPr>
        <w:softHyphen/>
        <w:t>телей (Ла-5 с бортовым номером 50) подал команду «следовать за мной» и дублировал глубоким покачиванием с крыла на крыло. Штурмовики пошли за ним. Вскоре вышли к р.Сев.Донец, где были обстреляны зенитной артил</w:t>
      </w:r>
      <w:r w:rsidRPr="00D03F3E">
        <w:rPr>
          <w:rFonts w:ascii="Times New Roman" w:hAnsi="Times New Roman"/>
          <w:color w:val="000000" w:themeColor="text1"/>
          <w:sz w:val="16"/>
          <w:szCs w:val="16"/>
        </w:rPr>
        <w:softHyphen/>
        <w:t>лерией противника. После отворота влево сержант Нерсесян выпустил шасси и пошел на посадку в районе Крас</w:t>
      </w:r>
      <w:r w:rsidRPr="00D03F3E">
        <w:rPr>
          <w:rFonts w:ascii="Times New Roman" w:hAnsi="Times New Roman"/>
          <w:color w:val="000000" w:themeColor="text1"/>
          <w:sz w:val="16"/>
          <w:szCs w:val="16"/>
        </w:rPr>
        <w:softHyphen/>
        <w:t>ный Лиман. Сержант Коваль произвел круг над местом его посадки, но Ил-2 не обнаружил. В дальнейшем ввиду быстрого наступления вечерних суме</w:t>
      </w:r>
      <w:r w:rsidRPr="00D03F3E">
        <w:rPr>
          <w:rFonts w:ascii="Times New Roman" w:hAnsi="Times New Roman"/>
          <w:color w:val="000000" w:themeColor="text1"/>
          <w:sz w:val="16"/>
          <w:szCs w:val="16"/>
        </w:rPr>
        <w:softHyphen/>
        <w:t>рек Коваль и Мельников благополуч</w:t>
      </w:r>
      <w:r w:rsidRPr="00D03F3E">
        <w:rPr>
          <w:rFonts w:ascii="Times New Roman" w:hAnsi="Times New Roman"/>
          <w:color w:val="000000" w:themeColor="text1"/>
          <w:sz w:val="16"/>
          <w:szCs w:val="16"/>
        </w:rPr>
        <w:softHyphen/>
        <w:t>но совершили вынужденные посадки на шасси в 6 км друг от друга в районе Кременная.</w:t>
      </w:r>
    </w:p>
    <w:p w14:paraId="06875B5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Подведя итоги боевого дня. штаб 1-го </w:t>
      </w:r>
      <w:r w:rsidRPr="00D03F3E">
        <w:rPr>
          <w:rFonts w:ascii="Times New Roman" w:hAnsi="Times New Roman"/>
          <w:iCs/>
          <w:color w:val="000000" w:themeColor="text1"/>
          <w:sz w:val="16"/>
          <w:szCs w:val="16"/>
        </w:rPr>
        <w:t xml:space="preserve">шок </w:t>
      </w:r>
      <w:r w:rsidRPr="00D03F3E">
        <w:rPr>
          <w:rFonts w:ascii="Times New Roman" w:hAnsi="Times New Roman"/>
          <w:color w:val="000000" w:themeColor="text1"/>
          <w:sz w:val="16"/>
          <w:szCs w:val="16"/>
        </w:rPr>
        <w:t>доложил наверх, что потери противника на всех трех атакованных аэродромах составили 14 уничтожен</w:t>
      </w:r>
      <w:r w:rsidRPr="00D03F3E">
        <w:rPr>
          <w:rFonts w:ascii="Times New Roman" w:hAnsi="Times New Roman"/>
          <w:color w:val="000000" w:themeColor="text1"/>
          <w:sz w:val="16"/>
          <w:szCs w:val="16"/>
        </w:rPr>
        <w:softHyphen/>
        <w:t>ных и до 17—20 поврежденных само</w:t>
      </w:r>
      <w:r w:rsidRPr="00D03F3E">
        <w:rPr>
          <w:rFonts w:ascii="Times New Roman" w:hAnsi="Times New Roman"/>
          <w:color w:val="000000" w:themeColor="text1"/>
          <w:sz w:val="16"/>
          <w:szCs w:val="16"/>
        </w:rPr>
        <w:softHyphen/>
        <w:t>летов, а также одна автомашина и один бензозаправщик. Кроме этого, экипажи наблюдали на аэродроме Харьков-Алешки один взрыв большой силы (предположительно взорван склад горючего) и два сильных взрыва на аэродроме Рогань.</w:t>
      </w:r>
    </w:p>
    <w:p w14:paraId="11C7588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Истребители 4-го </w:t>
      </w:r>
      <w:r w:rsidRPr="00D03F3E">
        <w:rPr>
          <w:rFonts w:ascii="Times New Roman" w:hAnsi="Times New Roman"/>
          <w:iCs/>
          <w:color w:val="000000" w:themeColor="text1"/>
          <w:sz w:val="16"/>
          <w:szCs w:val="16"/>
        </w:rPr>
        <w:t xml:space="preserve">иак, </w:t>
      </w:r>
      <w:r w:rsidRPr="00D03F3E">
        <w:rPr>
          <w:rFonts w:ascii="Times New Roman" w:hAnsi="Times New Roman"/>
          <w:color w:val="000000" w:themeColor="text1"/>
          <w:sz w:val="16"/>
          <w:szCs w:val="16"/>
        </w:rPr>
        <w:t>обеспечивав</w:t>
      </w:r>
      <w:r w:rsidRPr="00D03F3E">
        <w:rPr>
          <w:rFonts w:ascii="Times New Roman" w:hAnsi="Times New Roman"/>
          <w:color w:val="000000" w:themeColor="text1"/>
          <w:sz w:val="16"/>
          <w:szCs w:val="16"/>
        </w:rPr>
        <w:softHyphen/>
        <w:t>шие действия штурмовиков, провели два воздушных боя в районе аэродро</w:t>
      </w:r>
      <w:r w:rsidRPr="00D03F3E">
        <w:rPr>
          <w:rFonts w:ascii="Times New Roman" w:hAnsi="Times New Roman"/>
          <w:color w:val="000000" w:themeColor="text1"/>
          <w:sz w:val="16"/>
          <w:szCs w:val="16"/>
        </w:rPr>
        <w:softHyphen/>
        <w:t>мов, в ходе которых сбили 4 «мессер-шмитта». Безвозвратные потери кор</w:t>
      </w:r>
      <w:r w:rsidRPr="00D03F3E">
        <w:rPr>
          <w:rFonts w:ascii="Times New Roman" w:hAnsi="Times New Roman"/>
          <w:color w:val="000000" w:themeColor="text1"/>
          <w:sz w:val="16"/>
          <w:szCs w:val="16"/>
        </w:rPr>
        <w:softHyphen/>
        <w:t>пуса, так же как и накануне, 6 мая, оказались чрезмерно большими. Один Ла-5 был сбит зенитным огнем в райо</w:t>
      </w:r>
      <w:r w:rsidRPr="00D03F3E">
        <w:rPr>
          <w:rFonts w:ascii="Times New Roman" w:hAnsi="Times New Roman"/>
          <w:color w:val="000000" w:themeColor="text1"/>
          <w:sz w:val="16"/>
          <w:szCs w:val="16"/>
        </w:rPr>
        <w:softHyphen/>
        <w:t>не Харькова, а один Як-16 и один Ла-5 — истребителями люфтваффе. Еще 4 «Яка» и пара «лавочкиных» не вернулись с боевого задания по неиз</w:t>
      </w:r>
      <w:r w:rsidRPr="00D03F3E">
        <w:rPr>
          <w:rFonts w:ascii="Times New Roman" w:hAnsi="Times New Roman"/>
          <w:color w:val="000000" w:themeColor="text1"/>
          <w:sz w:val="16"/>
          <w:szCs w:val="16"/>
        </w:rPr>
        <w:softHyphen/>
        <w:t>вестным причинам.</w:t>
      </w:r>
    </w:p>
    <w:p w14:paraId="279C9AB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отношении высоких потерь истре</w:t>
      </w:r>
      <w:r w:rsidRPr="00D03F3E">
        <w:rPr>
          <w:rFonts w:ascii="Times New Roman" w:hAnsi="Times New Roman"/>
          <w:color w:val="000000" w:themeColor="text1"/>
          <w:sz w:val="16"/>
          <w:szCs w:val="16"/>
        </w:rPr>
        <w:softHyphen/>
        <w:t xml:space="preserve">бителей начальник штаба 4-го </w:t>
      </w:r>
      <w:r w:rsidRPr="00D03F3E">
        <w:rPr>
          <w:rFonts w:ascii="Times New Roman" w:hAnsi="Times New Roman"/>
          <w:iCs/>
          <w:color w:val="000000" w:themeColor="text1"/>
          <w:sz w:val="16"/>
          <w:szCs w:val="16"/>
        </w:rPr>
        <w:t xml:space="preserve">иак </w:t>
      </w:r>
      <w:r w:rsidRPr="00D03F3E">
        <w:rPr>
          <w:rFonts w:ascii="Times New Roman" w:hAnsi="Times New Roman"/>
          <w:color w:val="000000" w:themeColor="text1"/>
          <w:sz w:val="16"/>
          <w:szCs w:val="16"/>
        </w:rPr>
        <w:t>п-к Бегунов в отчетных документах кор</w:t>
      </w:r>
      <w:r w:rsidRPr="00D03F3E">
        <w:rPr>
          <w:rFonts w:ascii="Times New Roman" w:hAnsi="Times New Roman"/>
          <w:color w:val="000000" w:themeColor="text1"/>
          <w:sz w:val="16"/>
          <w:szCs w:val="16"/>
        </w:rPr>
        <w:softHyphen/>
        <w:t>пуса по итогам проведенной опера</w:t>
      </w:r>
      <w:r w:rsidRPr="00D03F3E">
        <w:rPr>
          <w:rFonts w:ascii="Times New Roman" w:hAnsi="Times New Roman"/>
          <w:color w:val="000000" w:themeColor="text1"/>
          <w:sz w:val="16"/>
          <w:szCs w:val="16"/>
        </w:rPr>
        <w:softHyphen/>
        <w:t xml:space="preserve">ции указывал, что: </w:t>
      </w:r>
      <w:r w:rsidRPr="00D03F3E">
        <w:rPr>
          <w:rFonts w:ascii="Times New Roman" w:hAnsi="Times New Roman"/>
          <w:iCs/>
          <w:color w:val="000000" w:themeColor="text1"/>
          <w:sz w:val="16"/>
          <w:szCs w:val="16"/>
        </w:rPr>
        <w:t>«...3) Основными при</w:t>
      </w:r>
      <w:r w:rsidRPr="00D03F3E">
        <w:rPr>
          <w:rFonts w:ascii="Times New Roman" w:hAnsi="Times New Roman"/>
          <w:iCs/>
          <w:color w:val="000000" w:themeColor="text1"/>
          <w:sz w:val="16"/>
          <w:szCs w:val="16"/>
        </w:rPr>
        <w:softHyphen/>
        <w:t>чинами потерь наших истребителей яв</w:t>
      </w:r>
      <w:r w:rsidRPr="00D03F3E">
        <w:rPr>
          <w:rFonts w:ascii="Times New Roman" w:hAnsi="Times New Roman"/>
          <w:iCs/>
          <w:color w:val="000000" w:themeColor="text1"/>
          <w:sz w:val="16"/>
          <w:szCs w:val="16"/>
        </w:rPr>
        <w:softHyphen/>
        <w:t>ляются: а) Неаккуратность штурмови</w:t>
      </w:r>
      <w:r w:rsidRPr="00D03F3E">
        <w:rPr>
          <w:rFonts w:ascii="Times New Roman" w:hAnsi="Times New Roman"/>
          <w:iCs/>
          <w:color w:val="000000" w:themeColor="text1"/>
          <w:sz w:val="16"/>
          <w:szCs w:val="16"/>
        </w:rPr>
        <w:softHyphen/>
        <w:t>ков в своевременном приходе в точку встречи и на цель. Их преступная не</w:t>
      </w:r>
      <w:r w:rsidRPr="00D03F3E">
        <w:rPr>
          <w:rFonts w:ascii="Times New Roman" w:hAnsi="Times New Roman"/>
          <w:iCs/>
          <w:color w:val="000000" w:themeColor="text1"/>
          <w:sz w:val="16"/>
          <w:szCs w:val="16"/>
        </w:rPr>
        <w:softHyphen/>
        <w:t>дисциплинированность, выражающая</w:t>
      </w:r>
      <w:r w:rsidRPr="00D03F3E">
        <w:rPr>
          <w:rFonts w:ascii="Times New Roman" w:hAnsi="Times New Roman"/>
          <w:iCs/>
          <w:color w:val="000000" w:themeColor="text1"/>
          <w:sz w:val="16"/>
          <w:szCs w:val="16"/>
        </w:rPr>
        <w:softHyphen/>
        <w:t>ся в растяжке строя в пути к цели и обратно, вследствие чего истребите</w:t>
      </w:r>
      <w:r w:rsidRPr="00D03F3E">
        <w:rPr>
          <w:rFonts w:ascii="Times New Roman" w:hAnsi="Times New Roman"/>
          <w:iCs/>
          <w:color w:val="000000" w:themeColor="text1"/>
          <w:sz w:val="16"/>
          <w:szCs w:val="16"/>
        </w:rPr>
        <w:softHyphen/>
        <w:t>ли, обеспечивая безопасность и со</w:t>
      </w:r>
      <w:r w:rsidRPr="00D03F3E">
        <w:rPr>
          <w:rFonts w:ascii="Times New Roman" w:hAnsi="Times New Roman"/>
          <w:iCs/>
          <w:color w:val="000000" w:themeColor="text1"/>
          <w:sz w:val="16"/>
          <w:szCs w:val="16"/>
        </w:rPr>
        <w:softHyphen/>
        <w:t>хранность штурмовиков, вынуждены вести воздушный бой в невыгодных для себя условиях рассредоточения по фронту, в глубину и по высоте, б) Не отмечено ни одного случая активного участия штурмовиков в отражении на</w:t>
      </w:r>
      <w:r w:rsidRPr="00D03F3E">
        <w:rPr>
          <w:rFonts w:ascii="Times New Roman" w:hAnsi="Times New Roman"/>
          <w:iCs/>
          <w:color w:val="000000" w:themeColor="text1"/>
          <w:sz w:val="16"/>
          <w:szCs w:val="16"/>
        </w:rPr>
        <w:softHyphen/>
        <w:t>падения противника, в) Не все истре</w:t>
      </w:r>
      <w:r w:rsidRPr="00D03F3E">
        <w:rPr>
          <w:rFonts w:ascii="Times New Roman" w:hAnsi="Times New Roman"/>
          <w:iCs/>
          <w:color w:val="000000" w:themeColor="text1"/>
          <w:sz w:val="16"/>
          <w:szCs w:val="16"/>
        </w:rPr>
        <w:softHyphen/>
        <w:t>бители умело распределяют свое вни</w:t>
      </w:r>
      <w:r w:rsidRPr="00D03F3E">
        <w:rPr>
          <w:rFonts w:ascii="Times New Roman" w:hAnsi="Times New Roman"/>
          <w:iCs/>
          <w:color w:val="000000" w:themeColor="text1"/>
          <w:sz w:val="16"/>
          <w:szCs w:val="16"/>
        </w:rPr>
        <w:softHyphen/>
        <w:t>мание но наблюдение за воздухом и штурмовиками. У молодого летного состава преобладает стремление боль</w:t>
      </w:r>
      <w:r w:rsidRPr="00D03F3E">
        <w:rPr>
          <w:rFonts w:ascii="Times New Roman" w:hAnsi="Times New Roman"/>
          <w:iCs/>
          <w:color w:val="000000" w:themeColor="text1"/>
          <w:sz w:val="16"/>
          <w:szCs w:val="16"/>
        </w:rPr>
        <w:softHyphen/>
        <w:t>ше наблюдать за штурмовиками, что</w:t>
      </w:r>
      <w:r w:rsidRPr="00D03F3E">
        <w:rPr>
          <w:rFonts w:ascii="Times New Roman" w:hAnsi="Times New Roman"/>
          <w:iCs/>
          <w:color w:val="000000" w:themeColor="text1"/>
          <w:sz w:val="16"/>
          <w:szCs w:val="16"/>
        </w:rPr>
        <w:softHyphen/>
        <w:t>бы сохранить их и не потерять, чем наблюдать за воздухом и тем самым обеспечить свою безопасность...»</w:t>
      </w:r>
    </w:p>
    <w:p w14:paraId="3DE876F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«уточнения» штабом 2-й воз</w:t>
      </w:r>
      <w:r w:rsidRPr="00D03F3E">
        <w:rPr>
          <w:rFonts w:ascii="Times New Roman" w:hAnsi="Times New Roman"/>
          <w:color w:val="000000" w:themeColor="text1"/>
          <w:sz w:val="16"/>
          <w:szCs w:val="16"/>
        </w:rPr>
        <w:softHyphen/>
        <w:t>душной армии данных корпусов поте</w:t>
      </w:r>
      <w:r w:rsidRPr="00D03F3E">
        <w:rPr>
          <w:rFonts w:ascii="Times New Roman" w:hAnsi="Times New Roman"/>
          <w:color w:val="000000" w:themeColor="text1"/>
          <w:sz w:val="16"/>
          <w:szCs w:val="16"/>
        </w:rPr>
        <w:softHyphen/>
        <w:t>ри противника в итоговых документах армии были доведены до уровня 28 уничтоженных и 7 поврежденных са</w:t>
      </w:r>
      <w:r w:rsidRPr="00D03F3E">
        <w:rPr>
          <w:rFonts w:ascii="Times New Roman" w:hAnsi="Times New Roman"/>
          <w:color w:val="000000" w:themeColor="text1"/>
          <w:sz w:val="16"/>
          <w:szCs w:val="16"/>
        </w:rPr>
        <w:softHyphen/>
        <w:t>молетов. Свои потери остались без из</w:t>
      </w:r>
      <w:r w:rsidRPr="00D03F3E">
        <w:rPr>
          <w:rFonts w:ascii="Times New Roman" w:hAnsi="Times New Roman"/>
          <w:color w:val="000000" w:themeColor="text1"/>
          <w:sz w:val="16"/>
          <w:szCs w:val="16"/>
        </w:rPr>
        <w:softHyphen/>
        <w:t>менений. Эти цифры и были доложены в штаб ВВС КА.</w:t>
      </w:r>
    </w:p>
    <w:p w14:paraId="1A28875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командующего 1-й ВА генерал-лейтенанта С. А. Худякова ча</w:t>
      </w:r>
      <w:r w:rsidRPr="00D03F3E">
        <w:rPr>
          <w:rFonts w:ascii="Times New Roman" w:hAnsi="Times New Roman"/>
          <w:color w:val="000000" w:themeColor="text1"/>
          <w:sz w:val="16"/>
          <w:szCs w:val="16"/>
        </w:rPr>
        <w:softHyphen/>
        <w:t xml:space="preserve">сти 224-й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должны были на рас</w:t>
      </w:r>
      <w:r w:rsidRPr="00D03F3E">
        <w:rPr>
          <w:rFonts w:ascii="Times New Roman" w:hAnsi="Times New Roman"/>
          <w:color w:val="000000" w:themeColor="text1"/>
          <w:sz w:val="16"/>
          <w:szCs w:val="16"/>
        </w:rPr>
        <w:softHyphen/>
        <w:t xml:space="preserve">свете 7 мая нанести повторный удар по аэродромам Сеща и Брянск. С этой целью к исходу 6 мая 13 экипажей от 565-го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и 7 экипажей от 996-го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перебазировались на аэродром Рыс-ня для действий по аэродрому Сеща, а 7 Ил-2 от 566-го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на аэро</w:t>
      </w:r>
      <w:r w:rsidRPr="00D03F3E">
        <w:rPr>
          <w:rFonts w:ascii="Times New Roman" w:hAnsi="Times New Roman"/>
          <w:color w:val="000000" w:themeColor="text1"/>
          <w:sz w:val="16"/>
          <w:szCs w:val="16"/>
        </w:rPr>
        <w:softHyphen/>
        <w:t xml:space="preserve">дром базирования 571-го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Полош-ково для совместного налета на аэро</w:t>
      </w:r>
      <w:r w:rsidRPr="00D03F3E">
        <w:rPr>
          <w:rFonts w:ascii="Times New Roman" w:hAnsi="Times New Roman"/>
          <w:color w:val="000000" w:themeColor="text1"/>
          <w:sz w:val="16"/>
          <w:szCs w:val="16"/>
        </w:rPr>
        <w:softHyphen/>
        <w:t>дром Брянск.</w:t>
      </w:r>
    </w:p>
    <w:p w14:paraId="1FDD1BD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4.23 с аэродрома Рысня взлетели две шестерки Ил-2 от 565-го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(ве</w:t>
      </w:r>
      <w:r w:rsidRPr="00D03F3E">
        <w:rPr>
          <w:rFonts w:ascii="Times New Roman" w:hAnsi="Times New Roman"/>
          <w:color w:val="000000" w:themeColor="text1"/>
          <w:sz w:val="16"/>
          <w:szCs w:val="16"/>
        </w:rPr>
        <w:softHyphen/>
        <w:t>дущие к-н Корниенко и ст. л-т Деми</w:t>
      </w:r>
      <w:r w:rsidRPr="00D03F3E">
        <w:rPr>
          <w:rFonts w:ascii="Times New Roman" w:hAnsi="Times New Roman"/>
          <w:color w:val="000000" w:themeColor="text1"/>
          <w:sz w:val="16"/>
          <w:szCs w:val="16"/>
        </w:rPr>
        <w:softHyphen/>
        <w:t xml:space="preserve">дов) и одна шестерка от 996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(ве</w:t>
      </w:r>
      <w:r w:rsidRPr="00D03F3E">
        <w:rPr>
          <w:rFonts w:ascii="Times New Roman" w:hAnsi="Times New Roman"/>
          <w:color w:val="000000" w:themeColor="text1"/>
          <w:sz w:val="16"/>
          <w:szCs w:val="16"/>
        </w:rPr>
        <w:softHyphen/>
        <w:t>дущий ст. л-т Маринкин).</w:t>
      </w:r>
    </w:p>
    <w:p w14:paraId="00824EB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сожалению, так же как и 6 мая, вылет сводной группы на боевое зада</w:t>
      </w:r>
      <w:r w:rsidRPr="00D03F3E">
        <w:rPr>
          <w:rFonts w:ascii="Times New Roman" w:hAnsi="Times New Roman"/>
          <w:color w:val="000000" w:themeColor="text1"/>
          <w:sz w:val="16"/>
          <w:szCs w:val="16"/>
        </w:rPr>
        <w:softHyphen/>
        <w:t xml:space="preserve">ние без происшествий не обошелся. При взлете шестерки от 996-го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на самолете (зав. № 1408) мл. лейте</w:t>
      </w:r>
      <w:r w:rsidRPr="00D03F3E">
        <w:rPr>
          <w:rFonts w:ascii="Times New Roman" w:hAnsi="Times New Roman"/>
          <w:color w:val="000000" w:themeColor="text1"/>
          <w:sz w:val="16"/>
          <w:szCs w:val="16"/>
        </w:rPr>
        <w:softHyphen/>
        <w:t>нанта Быстрова из универсальных бомбоотсеков выпали 12 осколочных авиа</w:t>
      </w:r>
      <w:r w:rsidRPr="00D03F3E">
        <w:rPr>
          <w:rFonts w:ascii="Times New Roman" w:hAnsi="Times New Roman"/>
          <w:color w:val="000000" w:themeColor="text1"/>
          <w:sz w:val="16"/>
          <w:szCs w:val="16"/>
        </w:rPr>
        <w:softHyphen/>
        <w:t>бомб АО-25, из которых три разорва</w:t>
      </w:r>
      <w:r w:rsidRPr="00D03F3E">
        <w:rPr>
          <w:rFonts w:ascii="Times New Roman" w:hAnsi="Times New Roman"/>
          <w:color w:val="000000" w:themeColor="text1"/>
          <w:sz w:val="16"/>
          <w:szCs w:val="16"/>
        </w:rPr>
        <w:softHyphen/>
        <w:t>лись. Штурмовик получил серьезные повреждения, но экипаж остался цел. Осколками был тяжело ранен авиатех</w:t>
      </w:r>
      <w:r w:rsidRPr="00D03F3E">
        <w:rPr>
          <w:rFonts w:ascii="Times New Roman" w:hAnsi="Times New Roman"/>
          <w:color w:val="000000" w:themeColor="text1"/>
          <w:sz w:val="16"/>
          <w:szCs w:val="16"/>
        </w:rPr>
        <w:softHyphen/>
        <w:t xml:space="preserve">ник из 565-го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ст. сержант К.Г. Ки-реев, который 12 мая скончался в гос</w:t>
      </w:r>
      <w:r w:rsidRPr="00D03F3E">
        <w:rPr>
          <w:rFonts w:ascii="Times New Roman" w:hAnsi="Times New Roman"/>
          <w:color w:val="000000" w:themeColor="text1"/>
          <w:sz w:val="16"/>
          <w:szCs w:val="16"/>
        </w:rPr>
        <w:softHyphen/>
        <w:t>питале.</w:t>
      </w:r>
    </w:p>
    <w:p w14:paraId="2212982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Вместо Быстрова оперативно взле</w:t>
      </w:r>
      <w:r w:rsidRPr="00D03F3E">
        <w:rPr>
          <w:rFonts w:ascii="Times New Roman" w:hAnsi="Times New Roman"/>
          <w:color w:val="000000" w:themeColor="text1"/>
          <w:sz w:val="16"/>
          <w:szCs w:val="16"/>
        </w:rPr>
        <w:softHyphen/>
        <w:t>тел запасной экипаж и пристроился к группе Маринкина.</w:t>
      </w:r>
    </w:p>
    <w:p w14:paraId="3E62CEB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Сбор штурмовиков в колонну про</w:t>
      </w:r>
      <w:r w:rsidRPr="00D03F3E">
        <w:rPr>
          <w:rFonts w:ascii="Times New Roman" w:hAnsi="Times New Roman"/>
          <w:color w:val="000000" w:themeColor="text1"/>
          <w:sz w:val="16"/>
          <w:szCs w:val="16"/>
        </w:rPr>
        <w:softHyphen/>
        <w:t>шел удовлетворительно. Возглавляла колонну шестерка Корниенко, следом за ней на удалении зрительной связи шла шестерка Демидова и замыкаю</w:t>
      </w:r>
      <w:r w:rsidRPr="00D03F3E">
        <w:rPr>
          <w:rFonts w:ascii="Times New Roman" w:hAnsi="Times New Roman"/>
          <w:color w:val="000000" w:themeColor="text1"/>
          <w:sz w:val="16"/>
          <w:szCs w:val="16"/>
        </w:rPr>
        <w:softHyphen/>
        <w:t xml:space="preserve">щей — группа Маринкина. Уже через 5 минут Ил-2 были над аэродромом истребителей Железинки, однако из 14 Як-7 от 1 68-го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 xml:space="preserve">303-й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 xml:space="preserve">к ним смогли пристроиться лишь 8 «Яков». Остальные </w:t>
      </w:r>
      <w:r w:rsidRPr="00D03F3E">
        <w:rPr>
          <w:rFonts w:ascii="Times New Roman" w:hAnsi="Times New Roman"/>
          <w:iCs/>
          <w:color w:val="000000" w:themeColor="text1"/>
          <w:sz w:val="16"/>
          <w:szCs w:val="16"/>
        </w:rPr>
        <w:t>«истребители ввиду темно</w:t>
      </w:r>
      <w:r w:rsidRPr="00D03F3E">
        <w:rPr>
          <w:rFonts w:ascii="Times New Roman" w:hAnsi="Times New Roman"/>
          <w:iCs/>
          <w:color w:val="000000" w:themeColor="text1"/>
          <w:sz w:val="16"/>
          <w:szCs w:val="16"/>
        </w:rPr>
        <w:softHyphen/>
        <w:t xml:space="preserve">ты не нашли в воздухе штурмовиков» </w:t>
      </w:r>
      <w:r w:rsidRPr="00D03F3E">
        <w:rPr>
          <w:rFonts w:ascii="Times New Roman" w:hAnsi="Times New Roman"/>
          <w:color w:val="000000" w:themeColor="text1"/>
          <w:sz w:val="16"/>
          <w:szCs w:val="16"/>
        </w:rPr>
        <w:t>и боевой задачи не выполняли. Исполь</w:t>
      </w:r>
      <w:r w:rsidRPr="00D03F3E">
        <w:rPr>
          <w:rFonts w:ascii="Times New Roman" w:hAnsi="Times New Roman"/>
          <w:color w:val="000000" w:themeColor="text1"/>
          <w:sz w:val="16"/>
          <w:szCs w:val="16"/>
        </w:rPr>
        <w:softHyphen/>
        <w:t>зовать радиосвязь для управления в воздухе до атаки цели ведущие групп не могли.</w:t>
      </w:r>
    </w:p>
    <w:p w14:paraId="6FA0B4E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Линию фронта штурмовики пересек</w:t>
      </w:r>
      <w:r w:rsidRPr="00D03F3E">
        <w:rPr>
          <w:rFonts w:ascii="Times New Roman" w:hAnsi="Times New Roman"/>
          <w:color w:val="000000" w:themeColor="text1"/>
          <w:sz w:val="16"/>
          <w:szCs w:val="16"/>
        </w:rPr>
        <w:softHyphen/>
        <w:t>ли в районе Шопотово. При перелете линии фронта и по всему маршруту до цели группы подверглись интенсивно</w:t>
      </w:r>
      <w:r w:rsidRPr="00D03F3E">
        <w:rPr>
          <w:rFonts w:ascii="Times New Roman" w:hAnsi="Times New Roman"/>
          <w:color w:val="000000" w:themeColor="text1"/>
          <w:sz w:val="16"/>
          <w:szCs w:val="16"/>
        </w:rPr>
        <w:softHyphen/>
        <w:t>му зенитному обстрелу противника.</w:t>
      </w:r>
    </w:p>
    <w:p w14:paraId="03480A0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Младший лейтенант Зарицкий (воз</w:t>
      </w:r>
      <w:r w:rsidRPr="00D03F3E">
        <w:rPr>
          <w:rFonts w:ascii="Times New Roman" w:hAnsi="Times New Roman"/>
          <w:color w:val="000000" w:themeColor="text1"/>
          <w:sz w:val="16"/>
          <w:szCs w:val="16"/>
        </w:rPr>
        <w:softHyphen/>
        <w:t>душный стрелок ст. сержант Стебли-на) из группы Демидова атаковал зе</w:t>
      </w:r>
      <w:r w:rsidRPr="00D03F3E">
        <w:rPr>
          <w:rFonts w:ascii="Times New Roman" w:hAnsi="Times New Roman"/>
          <w:color w:val="000000" w:themeColor="text1"/>
          <w:sz w:val="16"/>
          <w:szCs w:val="16"/>
        </w:rPr>
        <w:softHyphen/>
        <w:t>нитную батарею, но неудачно. Его Ил-2 получил повреждения мотора и системы управления самолетом. Зариц</w:t>
      </w:r>
      <w:r w:rsidRPr="00D03F3E">
        <w:rPr>
          <w:rFonts w:ascii="Times New Roman" w:hAnsi="Times New Roman"/>
          <w:color w:val="000000" w:themeColor="text1"/>
          <w:sz w:val="16"/>
          <w:szCs w:val="16"/>
        </w:rPr>
        <w:softHyphen/>
        <w:t>кий был вынужден вернуться обратно. На обратном маршруте мотор отка</w:t>
      </w:r>
      <w:r w:rsidRPr="00D03F3E">
        <w:rPr>
          <w:rFonts w:ascii="Times New Roman" w:hAnsi="Times New Roman"/>
          <w:color w:val="000000" w:themeColor="text1"/>
          <w:sz w:val="16"/>
          <w:szCs w:val="16"/>
        </w:rPr>
        <w:softHyphen/>
        <w:t>зал. Пришлось садиться на вынужден</w:t>
      </w:r>
      <w:r w:rsidRPr="00D03F3E">
        <w:rPr>
          <w:rFonts w:ascii="Times New Roman" w:hAnsi="Times New Roman"/>
          <w:color w:val="000000" w:themeColor="text1"/>
          <w:sz w:val="16"/>
          <w:szCs w:val="16"/>
        </w:rPr>
        <w:softHyphen/>
        <w:t>ную в 500 м северо-восточнее ж.д. ст. Темкино. Производя посадку с по</w:t>
      </w:r>
      <w:r w:rsidRPr="00D03F3E">
        <w:rPr>
          <w:rFonts w:ascii="Times New Roman" w:hAnsi="Times New Roman"/>
          <w:color w:val="000000" w:themeColor="text1"/>
          <w:sz w:val="16"/>
          <w:szCs w:val="16"/>
        </w:rPr>
        <w:softHyphen/>
        <w:t>врежденными рулями глубины и пово</w:t>
      </w:r>
      <w:r w:rsidRPr="00D03F3E">
        <w:rPr>
          <w:rFonts w:ascii="Times New Roman" w:hAnsi="Times New Roman"/>
          <w:color w:val="000000" w:themeColor="text1"/>
          <w:sz w:val="16"/>
          <w:szCs w:val="16"/>
        </w:rPr>
        <w:softHyphen/>
        <w:t>рота, Зарицкий не справился с силь</w:t>
      </w:r>
      <w:r w:rsidRPr="00D03F3E">
        <w:rPr>
          <w:rFonts w:ascii="Times New Roman" w:hAnsi="Times New Roman"/>
          <w:color w:val="000000" w:themeColor="text1"/>
          <w:sz w:val="16"/>
          <w:szCs w:val="16"/>
        </w:rPr>
        <w:softHyphen/>
        <w:t>ным боковым ветром. В результате самолет зацепил плоскостью за дере</w:t>
      </w:r>
      <w:r w:rsidRPr="00D03F3E">
        <w:rPr>
          <w:rFonts w:ascii="Times New Roman" w:hAnsi="Times New Roman"/>
          <w:color w:val="000000" w:themeColor="text1"/>
          <w:sz w:val="16"/>
          <w:szCs w:val="16"/>
        </w:rPr>
        <w:softHyphen/>
        <w:t>во, развернулся на 180° и ударился фю</w:t>
      </w:r>
      <w:r w:rsidRPr="00D03F3E">
        <w:rPr>
          <w:rFonts w:ascii="Times New Roman" w:hAnsi="Times New Roman"/>
          <w:color w:val="000000" w:themeColor="text1"/>
          <w:sz w:val="16"/>
          <w:szCs w:val="16"/>
        </w:rPr>
        <w:softHyphen/>
        <w:t>зеляжем о второе дерево. Самолет был разбит и ремонту не подлежал, но эки</w:t>
      </w:r>
      <w:r w:rsidRPr="00D03F3E">
        <w:rPr>
          <w:rFonts w:ascii="Times New Roman" w:hAnsi="Times New Roman"/>
          <w:color w:val="000000" w:themeColor="text1"/>
          <w:sz w:val="16"/>
          <w:szCs w:val="16"/>
        </w:rPr>
        <w:softHyphen/>
        <w:t>паж остался цел.</w:t>
      </w:r>
    </w:p>
    <w:p w14:paraId="7DB5BD2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Уклоняясь от зенитного огня, шес</w:t>
      </w:r>
      <w:r w:rsidRPr="00D03F3E">
        <w:rPr>
          <w:rFonts w:ascii="Times New Roman" w:hAnsi="Times New Roman"/>
          <w:color w:val="000000" w:themeColor="text1"/>
          <w:sz w:val="16"/>
          <w:szCs w:val="16"/>
        </w:rPr>
        <w:softHyphen/>
        <w:t>терка Корниенко снизилась до высоты 50 м, хотя по плану должна была идти на высоте 100—150 м. В результате истребители прикрытия, за исключени</w:t>
      </w:r>
      <w:r w:rsidRPr="00D03F3E">
        <w:rPr>
          <w:rFonts w:ascii="Times New Roman" w:hAnsi="Times New Roman"/>
          <w:color w:val="000000" w:themeColor="text1"/>
          <w:sz w:val="16"/>
          <w:szCs w:val="16"/>
        </w:rPr>
        <w:softHyphen/>
        <w:t>ем одного Як-7, потеряли их из виду. В дальнейшем оставшийся «Як» сопро-</w:t>
      </w:r>
    </w:p>
    <w:p w14:paraId="40258E3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вождал группу от 996-го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до цели и обратно.</w:t>
      </w:r>
    </w:p>
    <w:p w14:paraId="7BCE45E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населенного пункта Б. Островня — начало боевого пути — самолеты правой пары Ил-2 были дваж</w:t>
      </w:r>
      <w:r w:rsidRPr="00D03F3E">
        <w:rPr>
          <w:rFonts w:ascii="Times New Roman" w:hAnsi="Times New Roman"/>
          <w:color w:val="000000" w:themeColor="text1"/>
          <w:sz w:val="16"/>
          <w:szCs w:val="16"/>
        </w:rPr>
        <w:softHyphen/>
        <w:t>ды обстреляны с большой дистанции парой Рш190. Атаки отражались огнем воздушных стрелков. Когда штурмови</w:t>
      </w:r>
      <w:r w:rsidRPr="00D03F3E">
        <w:rPr>
          <w:rFonts w:ascii="Times New Roman" w:hAnsi="Times New Roman"/>
          <w:color w:val="000000" w:themeColor="text1"/>
          <w:sz w:val="16"/>
          <w:szCs w:val="16"/>
        </w:rPr>
        <w:softHyphen/>
        <w:t>ки вышли к аэродрому, «фоккеры» от</w:t>
      </w:r>
      <w:r w:rsidRPr="00D03F3E">
        <w:rPr>
          <w:rFonts w:ascii="Times New Roman" w:hAnsi="Times New Roman"/>
          <w:color w:val="000000" w:themeColor="text1"/>
          <w:sz w:val="16"/>
          <w:szCs w:val="16"/>
        </w:rPr>
        <w:softHyphen/>
        <w:t>стали.</w:t>
      </w:r>
    </w:p>
    <w:p w14:paraId="335D5C6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Атака целей на аэродроме выпол</w:t>
      </w:r>
      <w:r w:rsidRPr="00D03F3E">
        <w:rPr>
          <w:rFonts w:ascii="Times New Roman" w:hAnsi="Times New Roman"/>
          <w:color w:val="000000" w:themeColor="text1"/>
          <w:sz w:val="16"/>
          <w:szCs w:val="16"/>
        </w:rPr>
        <w:softHyphen/>
        <w:t>нялась с бреющего полета. Заход стро</w:t>
      </w:r>
      <w:r w:rsidRPr="00D03F3E">
        <w:rPr>
          <w:rFonts w:ascii="Times New Roman" w:hAnsi="Times New Roman"/>
          <w:color w:val="000000" w:themeColor="text1"/>
          <w:sz w:val="16"/>
          <w:szCs w:val="16"/>
        </w:rPr>
        <w:softHyphen/>
        <w:t>ился вдоль шоссе Брянск-Рославль. Группа разделилась: звено капитана Корниенко атаковала стоянки самоле</w:t>
      </w:r>
      <w:r w:rsidRPr="00D03F3E">
        <w:rPr>
          <w:rFonts w:ascii="Times New Roman" w:hAnsi="Times New Roman"/>
          <w:color w:val="000000" w:themeColor="text1"/>
          <w:sz w:val="16"/>
          <w:szCs w:val="16"/>
        </w:rPr>
        <w:softHyphen/>
        <w:t>тов на северо-восточной, а звено мл. лейтенанта Мокина — на юго-запад</w:t>
      </w:r>
      <w:r w:rsidRPr="00D03F3E">
        <w:rPr>
          <w:rFonts w:ascii="Times New Roman" w:hAnsi="Times New Roman"/>
          <w:color w:val="000000" w:themeColor="text1"/>
          <w:sz w:val="16"/>
          <w:szCs w:val="16"/>
        </w:rPr>
        <w:softHyphen/>
        <w:t>ной окраине аэродрома. Когда Ил-2 достигли середины аэродрома, по ним был открыт шквальный огонь МЗА и ЗПУ. Экипажам казалось, что на аэро</w:t>
      </w:r>
      <w:r w:rsidRPr="00D03F3E">
        <w:rPr>
          <w:rFonts w:ascii="Times New Roman" w:hAnsi="Times New Roman"/>
          <w:color w:val="000000" w:themeColor="text1"/>
          <w:sz w:val="16"/>
          <w:szCs w:val="16"/>
        </w:rPr>
        <w:softHyphen/>
        <w:t>дроме стреляло все, что только могло стрелять. Были сбиты и упали в районе аэродрома ст. л-т Ермаков и мл. л-т Ми</w:t>
      </w:r>
      <w:r w:rsidRPr="00D03F3E">
        <w:rPr>
          <w:rFonts w:ascii="Times New Roman" w:hAnsi="Times New Roman"/>
          <w:color w:val="000000" w:themeColor="text1"/>
          <w:sz w:val="16"/>
          <w:szCs w:val="16"/>
        </w:rPr>
        <w:softHyphen/>
        <w:t>хайлов из звена капитана Корниенко.</w:t>
      </w:r>
    </w:p>
    <w:p w14:paraId="1FAFBEC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выходе из атаки звено Мокина оторвалось от Корниенко, который после нескольких минут полета изме</w:t>
      </w:r>
      <w:r w:rsidRPr="00D03F3E">
        <w:rPr>
          <w:rFonts w:ascii="Times New Roman" w:hAnsi="Times New Roman"/>
          <w:color w:val="000000" w:themeColor="text1"/>
          <w:sz w:val="16"/>
          <w:szCs w:val="16"/>
        </w:rPr>
        <w:softHyphen/>
        <w:t>нил курс и пошел на юго-запад почти параллельно линии фронта. Идущие за ним экипажи продолжили полет в пре</w:t>
      </w:r>
      <w:r w:rsidRPr="00D03F3E">
        <w:rPr>
          <w:rFonts w:ascii="Times New Roman" w:hAnsi="Times New Roman"/>
          <w:color w:val="000000" w:themeColor="text1"/>
          <w:sz w:val="16"/>
          <w:szCs w:val="16"/>
        </w:rPr>
        <w:softHyphen/>
        <w:t>жнем направлении. Не имея передат</w:t>
      </w:r>
      <w:r w:rsidRPr="00D03F3E">
        <w:rPr>
          <w:rFonts w:ascii="Times New Roman" w:hAnsi="Times New Roman"/>
          <w:color w:val="000000" w:themeColor="text1"/>
          <w:sz w:val="16"/>
          <w:szCs w:val="16"/>
        </w:rPr>
        <w:softHyphen/>
        <w:t>чика и находясь на большом удалении, ни один из них «вернуть» Корниенко не мог. К тому же на участке маршру</w:t>
      </w:r>
      <w:r w:rsidRPr="00D03F3E">
        <w:rPr>
          <w:rFonts w:ascii="Times New Roman" w:hAnsi="Times New Roman"/>
          <w:color w:val="000000" w:themeColor="text1"/>
          <w:sz w:val="16"/>
          <w:szCs w:val="16"/>
        </w:rPr>
        <w:softHyphen/>
        <w:t>та Сеща-Яблонь звено Мокина было атаковано двумя парами Е\у190, кото</w:t>
      </w:r>
      <w:r w:rsidRPr="00D03F3E">
        <w:rPr>
          <w:rFonts w:ascii="Times New Roman" w:hAnsi="Times New Roman"/>
          <w:color w:val="000000" w:themeColor="text1"/>
          <w:sz w:val="16"/>
          <w:szCs w:val="16"/>
        </w:rPr>
        <w:softHyphen/>
        <w:t>рые провели по одной атаке. Экипажи отражали атаки в змейке. В ходе воз</w:t>
      </w:r>
      <w:r w:rsidRPr="00D03F3E">
        <w:rPr>
          <w:rFonts w:ascii="Times New Roman" w:hAnsi="Times New Roman"/>
          <w:color w:val="000000" w:themeColor="text1"/>
          <w:sz w:val="16"/>
          <w:szCs w:val="16"/>
        </w:rPr>
        <w:softHyphen/>
        <w:t xml:space="preserve">душного боя </w:t>
      </w:r>
      <w:r w:rsidRPr="00D03F3E">
        <w:rPr>
          <w:rFonts w:ascii="Times New Roman" w:hAnsi="Times New Roman"/>
          <w:iCs/>
          <w:color w:val="000000" w:themeColor="text1"/>
          <w:sz w:val="16"/>
          <w:szCs w:val="16"/>
        </w:rPr>
        <w:t>«был потерян из виду са</w:t>
      </w:r>
      <w:r w:rsidRPr="00D03F3E">
        <w:rPr>
          <w:rFonts w:ascii="Times New Roman" w:hAnsi="Times New Roman"/>
          <w:iCs/>
          <w:color w:val="000000" w:themeColor="text1"/>
          <w:sz w:val="16"/>
          <w:szCs w:val="16"/>
        </w:rPr>
        <w:softHyphen/>
        <w:t>молет мл. лейтенанта Воробьева».</w:t>
      </w:r>
    </w:p>
    <w:p w14:paraId="3437AC5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 обратном маршруте к Мокину и Ильюшенко пристроился экипаж от 996-го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В таком составе группа в 5.35 произвела посадку на аэродром Рысня.</w:t>
      </w:r>
    </w:p>
    <w:p w14:paraId="56DA843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Впоследствии удалось выяснить, что ст. л-т Ермаков и мл. л-т Михайлов по</w:t>
      </w:r>
      <w:r w:rsidRPr="00D03F3E">
        <w:rPr>
          <w:rFonts w:ascii="Times New Roman" w:hAnsi="Times New Roman"/>
          <w:color w:val="000000" w:themeColor="text1"/>
          <w:sz w:val="16"/>
          <w:szCs w:val="16"/>
        </w:rPr>
        <w:softHyphen/>
        <w:t>пали к партизанам. Судьба капитана Корниенко, мл. лейтенанта Воробье</w:t>
      </w:r>
      <w:r w:rsidRPr="00D03F3E">
        <w:rPr>
          <w:rFonts w:ascii="Times New Roman" w:hAnsi="Times New Roman"/>
          <w:color w:val="000000" w:themeColor="text1"/>
          <w:sz w:val="16"/>
          <w:szCs w:val="16"/>
        </w:rPr>
        <w:softHyphen/>
        <w:t>ва и воздушного стрелка ст. сержанта Якубовского из экипажа Ермакова ос</w:t>
      </w:r>
      <w:r w:rsidRPr="00D03F3E">
        <w:rPr>
          <w:rFonts w:ascii="Times New Roman" w:hAnsi="Times New Roman"/>
          <w:color w:val="000000" w:themeColor="text1"/>
          <w:sz w:val="16"/>
          <w:szCs w:val="16"/>
        </w:rPr>
        <w:softHyphen/>
        <w:t>талась неизвестной.</w:t>
      </w:r>
    </w:p>
    <w:p w14:paraId="180EA47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Группы Демидова и Маринкина, сни</w:t>
      </w:r>
      <w:r w:rsidRPr="00D03F3E">
        <w:rPr>
          <w:rFonts w:ascii="Times New Roman" w:hAnsi="Times New Roman"/>
          <w:color w:val="000000" w:themeColor="text1"/>
          <w:sz w:val="16"/>
          <w:szCs w:val="16"/>
        </w:rPr>
        <w:softHyphen/>
        <w:t>жаясь следом за шестеркой Корниен</w:t>
      </w:r>
      <w:r w:rsidRPr="00D03F3E">
        <w:rPr>
          <w:rFonts w:ascii="Times New Roman" w:hAnsi="Times New Roman"/>
          <w:color w:val="000000" w:themeColor="text1"/>
          <w:sz w:val="16"/>
          <w:szCs w:val="16"/>
        </w:rPr>
        <w:softHyphen/>
        <w:t>ко и одновременно выполняя противо</w:t>
      </w:r>
      <w:r w:rsidRPr="00D03F3E">
        <w:rPr>
          <w:rFonts w:ascii="Times New Roman" w:hAnsi="Times New Roman"/>
          <w:color w:val="000000" w:themeColor="text1"/>
          <w:sz w:val="16"/>
          <w:szCs w:val="16"/>
        </w:rPr>
        <w:softHyphen/>
        <w:t>зенитный маневр, сильно отстали.</w:t>
      </w:r>
    </w:p>
    <w:p w14:paraId="04C95B4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Ивашково группа Деми</w:t>
      </w:r>
      <w:r w:rsidRPr="00D03F3E">
        <w:rPr>
          <w:rFonts w:ascii="Times New Roman" w:hAnsi="Times New Roman"/>
          <w:color w:val="000000" w:themeColor="text1"/>
          <w:sz w:val="16"/>
          <w:szCs w:val="16"/>
        </w:rPr>
        <w:softHyphen/>
        <w:t>дова была атакована одной парой не</w:t>
      </w:r>
      <w:r w:rsidRPr="00D03F3E">
        <w:rPr>
          <w:rFonts w:ascii="Times New Roman" w:hAnsi="Times New Roman"/>
          <w:color w:val="000000" w:themeColor="text1"/>
          <w:sz w:val="16"/>
          <w:szCs w:val="16"/>
        </w:rPr>
        <w:softHyphen/>
        <w:t>мецких истребителей Р^190. Первую атаку «фоккеры» выполнили в лоб на Ил-2 ведущего группы. Самолет Деми</w:t>
      </w:r>
      <w:r w:rsidRPr="00D03F3E">
        <w:rPr>
          <w:rFonts w:ascii="Times New Roman" w:hAnsi="Times New Roman"/>
          <w:color w:val="000000" w:themeColor="text1"/>
          <w:sz w:val="16"/>
          <w:szCs w:val="16"/>
        </w:rPr>
        <w:softHyphen/>
        <w:t>дова был обстрелян одной пулеметно-пушечной очередью с дистанции 100— 120 м и получил повреждение мотора. Экипажи встали в боевой порядок круг.</w:t>
      </w:r>
    </w:p>
    <w:p w14:paraId="3BC0778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этот момент </w:t>
      </w:r>
      <w:r w:rsidRPr="00D03F3E">
        <w:rPr>
          <w:rFonts w:ascii="Times New Roman" w:hAnsi="Times New Roman"/>
          <w:iCs/>
          <w:color w:val="000000" w:themeColor="text1"/>
          <w:sz w:val="16"/>
          <w:szCs w:val="16"/>
        </w:rPr>
        <w:t>«в строй группы вре</w:t>
      </w:r>
      <w:r w:rsidRPr="00D03F3E">
        <w:rPr>
          <w:rFonts w:ascii="Times New Roman" w:hAnsi="Times New Roman"/>
          <w:iCs/>
          <w:color w:val="000000" w:themeColor="text1"/>
          <w:sz w:val="16"/>
          <w:szCs w:val="16"/>
        </w:rPr>
        <w:softHyphen/>
        <w:t xml:space="preserve">залась шестерка 996-го шап {ст. л-т Маринкин}», </w:t>
      </w:r>
      <w:r w:rsidRPr="00D03F3E">
        <w:rPr>
          <w:rFonts w:ascii="Times New Roman" w:hAnsi="Times New Roman"/>
          <w:color w:val="000000" w:themeColor="text1"/>
          <w:sz w:val="16"/>
          <w:szCs w:val="16"/>
        </w:rPr>
        <w:t>которая шла позади. Эки</w:t>
      </w:r>
      <w:r w:rsidRPr="00D03F3E">
        <w:rPr>
          <w:rFonts w:ascii="Times New Roman" w:hAnsi="Times New Roman"/>
          <w:color w:val="000000" w:themeColor="text1"/>
          <w:sz w:val="16"/>
          <w:szCs w:val="16"/>
        </w:rPr>
        <w:softHyphen/>
        <w:t xml:space="preserve">пажи обеих групп перемешались: </w:t>
      </w:r>
      <w:r w:rsidRPr="00D03F3E">
        <w:rPr>
          <w:rFonts w:ascii="Times New Roman" w:hAnsi="Times New Roman"/>
          <w:iCs/>
          <w:color w:val="000000" w:themeColor="text1"/>
          <w:sz w:val="16"/>
          <w:szCs w:val="16"/>
        </w:rPr>
        <w:t>«двое ведомых из группы Демидова присое</w:t>
      </w:r>
      <w:r w:rsidRPr="00D03F3E">
        <w:rPr>
          <w:rFonts w:ascii="Times New Roman" w:hAnsi="Times New Roman"/>
          <w:iCs/>
          <w:color w:val="000000" w:themeColor="text1"/>
          <w:sz w:val="16"/>
          <w:szCs w:val="16"/>
        </w:rPr>
        <w:softHyphen/>
        <w:t xml:space="preserve">динились к группе Маринкина», </w:t>
      </w:r>
      <w:r w:rsidRPr="00D03F3E">
        <w:rPr>
          <w:rFonts w:ascii="Times New Roman" w:hAnsi="Times New Roman"/>
          <w:color w:val="000000" w:themeColor="text1"/>
          <w:sz w:val="16"/>
          <w:szCs w:val="16"/>
        </w:rPr>
        <w:t xml:space="preserve">а один экипаж от 996-го </w:t>
      </w:r>
      <w:r w:rsidRPr="00D03F3E">
        <w:rPr>
          <w:rFonts w:ascii="Times New Roman" w:hAnsi="Times New Roman"/>
          <w:iCs/>
          <w:color w:val="000000" w:themeColor="text1"/>
          <w:sz w:val="16"/>
          <w:szCs w:val="16"/>
        </w:rPr>
        <w:t>шап «включился в обо</w:t>
      </w:r>
      <w:r w:rsidRPr="00D03F3E">
        <w:rPr>
          <w:rFonts w:ascii="Times New Roman" w:hAnsi="Times New Roman"/>
          <w:iCs/>
          <w:color w:val="000000" w:themeColor="text1"/>
          <w:sz w:val="16"/>
          <w:szCs w:val="16"/>
        </w:rPr>
        <w:softHyphen/>
        <w:t>ронительный круг группы Демидова».</w:t>
      </w:r>
    </w:p>
    <w:p w14:paraId="61B67F1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При отражении атак истребителей противника старшина Новиков из 565-го </w:t>
      </w:r>
      <w:r w:rsidRPr="00D03F3E">
        <w:rPr>
          <w:rFonts w:ascii="Times New Roman" w:hAnsi="Times New Roman"/>
          <w:iCs/>
          <w:color w:val="000000" w:themeColor="text1"/>
          <w:sz w:val="16"/>
          <w:szCs w:val="16"/>
        </w:rPr>
        <w:t xml:space="preserve">шап «был отбит от группы» </w:t>
      </w:r>
      <w:r w:rsidRPr="00D03F3E">
        <w:rPr>
          <w:rFonts w:ascii="Times New Roman" w:hAnsi="Times New Roman"/>
          <w:color w:val="000000" w:themeColor="text1"/>
          <w:sz w:val="16"/>
          <w:szCs w:val="16"/>
        </w:rPr>
        <w:t xml:space="preserve">и </w:t>
      </w:r>
      <w:r w:rsidRPr="00D03F3E">
        <w:rPr>
          <w:rFonts w:ascii="Times New Roman" w:hAnsi="Times New Roman"/>
          <w:iCs/>
          <w:color w:val="000000" w:themeColor="text1"/>
          <w:sz w:val="16"/>
          <w:szCs w:val="16"/>
        </w:rPr>
        <w:t xml:space="preserve">«вынужден был идти обратно на свою территорию». </w:t>
      </w:r>
      <w:r w:rsidRPr="00D03F3E">
        <w:rPr>
          <w:rFonts w:ascii="Times New Roman" w:hAnsi="Times New Roman"/>
          <w:color w:val="000000" w:themeColor="text1"/>
          <w:sz w:val="16"/>
          <w:szCs w:val="16"/>
        </w:rPr>
        <w:t>За ним увязались два «фокке-вульфа», которые оказались в районе боя. «Чужаки» преследовали его почти до линии фронта, где были встречены и отогнаны парой Як-7.</w:t>
      </w:r>
    </w:p>
    <w:p w14:paraId="3136514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дальнейшем из-за падения давле</w:t>
      </w:r>
      <w:r w:rsidRPr="00D03F3E">
        <w:rPr>
          <w:rFonts w:ascii="Times New Roman" w:hAnsi="Times New Roman"/>
          <w:color w:val="000000" w:themeColor="text1"/>
          <w:sz w:val="16"/>
          <w:szCs w:val="16"/>
        </w:rPr>
        <w:softHyphen/>
        <w:t>ния масла Новиков выполнил вынуж</w:t>
      </w:r>
      <w:r w:rsidRPr="00D03F3E">
        <w:rPr>
          <w:rFonts w:ascii="Times New Roman" w:hAnsi="Times New Roman"/>
          <w:color w:val="000000" w:themeColor="text1"/>
          <w:sz w:val="16"/>
          <w:szCs w:val="16"/>
        </w:rPr>
        <w:softHyphen/>
        <w:t>денную посадку на аэродроме в рай</w:t>
      </w:r>
      <w:r w:rsidRPr="00D03F3E">
        <w:rPr>
          <w:rFonts w:ascii="Times New Roman" w:hAnsi="Times New Roman"/>
          <w:color w:val="000000" w:themeColor="text1"/>
          <w:sz w:val="16"/>
          <w:szCs w:val="16"/>
        </w:rPr>
        <w:softHyphen/>
        <w:t>оне г. Киров, откуда после дозаправ</w:t>
      </w:r>
      <w:r w:rsidRPr="00D03F3E">
        <w:rPr>
          <w:rFonts w:ascii="Times New Roman" w:hAnsi="Times New Roman"/>
          <w:color w:val="000000" w:themeColor="text1"/>
          <w:sz w:val="16"/>
          <w:szCs w:val="16"/>
        </w:rPr>
        <w:softHyphen/>
        <w:t>ки и осмотра мотора перелетел на свой аэродром.</w:t>
      </w:r>
    </w:p>
    <w:p w14:paraId="0BD9B67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Как следует из документов 565-го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ст. л-т Н.В. Демидов из-за повреж</w:t>
      </w:r>
      <w:r w:rsidRPr="00D03F3E">
        <w:rPr>
          <w:rFonts w:ascii="Times New Roman" w:hAnsi="Times New Roman"/>
          <w:color w:val="000000" w:themeColor="text1"/>
          <w:sz w:val="16"/>
          <w:szCs w:val="16"/>
        </w:rPr>
        <w:softHyphen/>
        <w:t>дений водяной и масляной системы на своем самолете, а также вследствие большого расхода горючего на веде</w:t>
      </w:r>
      <w:r w:rsidRPr="00D03F3E">
        <w:rPr>
          <w:rFonts w:ascii="Times New Roman" w:hAnsi="Times New Roman"/>
          <w:color w:val="000000" w:themeColor="text1"/>
          <w:sz w:val="16"/>
          <w:szCs w:val="16"/>
        </w:rPr>
        <w:softHyphen/>
        <w:t>ние воздушного боя и отсутствия ис</w:t>
      </w:r>
      <w:r w:rsidRPr="00D03F3E">
        <w:rPr>
          <w:rFonts w:ascii="Times New Roman" w:hAnsi="Times New Roman"/>
          <w:color w:val="000000" w:themeColor="text1"/>
          <w:sz w:val="16"/>
          <w:szCs w:val="16"/>
        </w:rPr>
        <w:softHyphen/>
        <w:t>требительного прикрытия, принял ре</w:t>
      </w:r>
      <w:r w:rsidRPr="00D03F3E">
        <w:rPr>
          <w:rFonts w:ascii="Times New Roman" w:hAnsi="Times New Roman"/>
          <w:color w:val="000000" w:themeColor="text1"/>
          <w:sz w:val="16"/>
          <w:szCs w:val="16"/>
        </w:rPr>
        <w:softHyphen/>
        <w:t>шение на основную цель не идти. Ког</w:t>
      </w:r>
      <w:r w:rsidRPr="00D03F3E">
        <w:rPr>
          <w:rFonts w:ascii="Times New Roman" w:hAnsi="Times New Roman"/>
          <w:color w:val="000000" w:themeColor="text1"/>
          <w:sz w:val="16"/>
          <w:szCs w:val="16"/>
        </w:rPr>
        <w:softHyphen/>
        <w:t>да пилоты люфтваффе после очеред</w:t>
      </w:r>
      <w:r w:rsidRPr="00D03F3E">
        <w:rPr>
          <w:rFonts w:ascii="Times New Roman" w:hAnsi="Times New Roman"/>
          <w:color w:val="000000" w:themeColor="text1"/>
          <w:sz w:val="16"/>
          <w:szCs w:val="16"/>
        </w:rPr>
        <w:softHyphen/>
        <w:t>ной атаки ушли в сторону для нового захода, Демидов подал оставшимся в строю экипажам команду перестроить</w:t>
      </w:r>
      <w:r w:rsidRPr="00D03F3E">
        <w:rPr>
          <w:rFonts w:ascii="Times New Roman" w:hAnsi="Times New Roman"/>
          <w:color w:val="000000" w:themeColor="text1"/>
          <w:sz w:val="16"/>
          <w:szCs w:val="16"/>
        </w:rPr>
        <w:softHyphen/>
        <w:t>ся и вывел группу из боя. Отставшие истребители противника безуспешно пытались преследовать штурмовики вплоть до ж.д. ст. Сельцо.</w:t>
      </w:r>
    </w:p>
    <w:p w14:paraId="3A38BAC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Позже в документах 224-й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бу</w:t>
      </w:r>
      <w:r w:rsidRPr="00D03F3E">
        <w:rPr>
          <w:rFonts w:ascii="Times New Roman" w:hAnsi="Times New Roman"/>
          <w:color w:val="000000" w:themeColor="text1"/>
          <w:sz w:val="16"/>
          <w:szCs w:val="16"/>
        </w:rPr>
        <w:softHyphen/>
        <w:t>дет отмечено, что группа ст. л-та Де</w:t>
      </w:r>
      <w:r w:rsidRPr="00D03F3E">
        <w:rPr>
          <w:rFonts w:ascii="Times New Roman" w:hAnsi="Times New Roman"/>
          <w:color w:val="000000" w:themeColor="text1"/>
          <w:sz w:val="16"/>
          <w:szCs w:val="16"/>
        </w:rPr>
        <w:softHyphen/>
        <w:t>мидова вела воздушный бой с 10 Р^190 и после отражения всех атак истребителей противника на аэродром не пошла, а произвела штурмовку ав</w:t>
      </w:r>
      <w:r w:rsidRPr="00D03F3E">
        <w:rPr>
          <w:rFonts w:ascii="Times New Roman" w:hAnsi="Times New Roman"/>
          <w:color w:val="000000" w:themeColor="text1"/>
          <w:sz w:val="16"/>
          <w:szCs w:val="16"/>
        </w:rPr>
        <w:softHyphen/>
        <w:t>токолонны на большаке Ямское-Семи-рево. В результате атаки было уничто</w:t>
      </w:r>
      <w:r w:rsidRPr="00D03F3E">
        <w:rPr>
          <w:rFonts w:ascii="Times New Roman" w:hAnsi="Times New Roman"/>
          <w:color w:val="000000" w:themeColor="text1"/>
          <w:sz w:val="16"/>
          <w:szCs w:val="16"/>
        </w:rPr>
        <w:softHyphen/>
        <w:t>жено четыре и повреждено 6 грузовых автомашин.</w:t>
      </w:r>
    </w:p>
    <w:p w14:paraId="2D6176A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Пока группа Демидова отражала атаки двух «фокке-вульфов», группа Маринкина прорвалась к цели. Но атаку аэродрома произвели только 5 экипажей: четыре от 996-го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и один от 565-го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Остальные два экипа</w:t>
      </w:r>
      <w:r w:rsidRPr="00D03F3E">
        <w:rPr>
          <w:rFonts w:ascii="Times New Roman" w:hAnsi="Times New Roman"/>
          <w:color w:val="000000" w:themeColor="text1"/>
          <w:sz w:val="16"/>
          <w:szCs w:val="16"/>
        </w:rPr>
        <w:softHyphen/>
        <w:t xml:space="preserve">жа </w:t>
      </w:r>
      <w:r w:rsidRPr="00D03F3E">
        <w:rPr>
          <w:rFonts w:ascii="Times New Roman" w:hAnsi="Times New Roman"/>
          <w:iCs/>
          <w:color w:val="000000" w:themeColor="text1"/>
          <w:sz w:val="16"/>
          <w:szCs w:val="16"/>
        </w:rPr>
        <w:t>«из-за повреждений зенитной ар</w:t>
      </w:r>
      <w:r w:rsidRPr="00D03F3E">
        <w:rPr>
          <w:rFonts w:ascii="Times New Roman" w:hAnsi="Times New Roman"/>
          <w:iCs/>
          <w:color w:val="000000" w:themeColor="text1"/>
          <w:sz w:val="16"/>
          <w:szCs w:val="16"/>
        </w:rPr>
        <w:softHyphen/>
        <w:t>тиллерии и истребителей были вынуж</w:t>
      </w:r>
      <w:r w:rsidRPr="00D03F3E">
        <w:rPr>
          <w:rFonts w:ascii="Times New Roman" w:hAnsi="Times New Roman"/>
          <w:iCs/>
          <w:color w:val="000000" w:themeColor="text1"/>
          <w:sz w:val="16"/>
          <w:szCs w:val="16"/>
        </w:rPr>
        <w:softHyphen/>
        <w:t xml:space="preserve">дены отказаться от атаки аэродрома и нанесли удар по ж.д. ст. Сещинс-кая». </w:t>
      </w:r>
      <w:r w:rsidRPr="00D03F3E">
        <w:rPr>
          <w:rFonts w:ascii="Times New Roman" w:hAnsi="Times New Roman"/>
          <w:color w:val="000000" w:themeColor="text1"/>
          <w:sz w:val="16"/>
          <w:szCs w:val="16"/>
        </w:rPr>
        <w:t>Вместе с Ил-2 аэродром штур</w:t>
      </w:r>
      <w:r w:rsidRPr="00D03F3E">
        <w:rPr>
          <w:rFonts w:ascii="Times New Roman" w:hAnsi="Times New Roman"/>
          <w:color w:val="000000" w:themeColor="text1"/>
          <w:sz w:val="16"/>
          <w:szCs w:val="16"/>
        </w:rPr>
        <w:softHyphen/>
        <w:t>мовал и единственный Як-7 из группы прикрытия. Экипажи нанесли удар по северо-восточной окраине аэродрома.</w:t>
      </w:r>
    </w:p>
    <w:p w14:paraId="0F12884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 обратном маршруте </w:t>
      </w:r>
      <w:r w:rsidRPr="00D03F3E">
        <w:rPr>
          <w:rFonts w:ascii="Times New Roman" w:hAnsi="Times New Roman"/>
          <w:iCs/>
          <w:color w:val="000000" w:themeColor="text1"/>
          <w:sz w:val="16"/>
          <w:szCs w:val="16"/>
        </w:rPr>
        <w:t xml:space="preserve">«группа Маринкина растерялась». </w:t>
      </w:r>
      <w:r w:rsidRPr="00D03F3E">
        <w:rPr>
          <w:rFonts w:ascii="Times New Roman" w:hAnsi="Times New Roman"/>
          <w:color w:val="000000" w:themeColor="text1"/>
          <w:sz w:val="16"/>
          <w:szCs w:val="16"/>
        </w:rPr>
        <w:t>Штурмови</w:t>
      </w:r>
      <w:r w:rsidRPr="00D03F3E">
        <w:rPr>
          <w:rFonts w:ascii="Times New Roman" w:hAnsi="Times New Roman"/>
          <w:color w:val="000000" w:themeColor="text1"/>
          <w:sz w:val="16"/>
          <w:szCs w:val="16"/>
        </w:rPr>
        <w:softHyphen/>
        <w:t>ки возвращались одиночно и парами. На свой аэродром не вернулось три экипажа, из которых два вынужденно сели на своей территории. О судьбе третьего экипажа ничего не известно.</w:t>
      </w:r>
    </w:p>
    <w:p w14:paraId="5503569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 докладам вернувшихся экипажей 996-го и 565-го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на аэродроме Сеща было уничтожено до 10 двух- и одномо</w:t>
      </w:r>
      <w:r w:rsidRPr="00D03F3E">
        <w:rPr>
          <w:rFonts w:ascii="Times New Roman" w:hAnsi="Times New Roman"/>
          <w:color w:val="000000" w:themeColor="text1"/>
          <w:sz w:val="16"/>
          <w:szCs w:val="16"/>
        </w:rPr>
        <w:softHyphen/>
        <w:t>торных самолетов, 4 Ю52, подожжен ангар в северной части аэродрома, где был большой взрыв и пожар большой силы. Огнем пушек и РС уничтожено до 6 автомашин, стоявших у ангара.</w:t>
      </w:r>
    </w:p>
    <w:p w14:paraId="7C1F067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Налет экипажей 571-го и 566-го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на аэродром Брянск прошел значитель</w:t>
      </w:r>
      <w:r w:rsidRPr="00D03F3E">
        <w:rPr>
          <w:rFonts w:ascii="Times New Roman" w:hAnsi="Times New Roman"/>
          <w:color w:val="000000" w:themeColor="text1"/>
          <w:sz w:val="16"/>
          <w:szCs w:val="16"/>
        </w:rPr>
        <w:softHyphen/>
        <w:t>но более удачно, но также сопровож</w:t>
      </w:r>
      <w:r w:rsidRPr="00D03F3E">
        <w:rPr>
          <w:rFonts w:ascii="Times New Roman" w:hAnsi="Times New Roman"/>
          <w:color w:val="000000" w:themeColor="text1"/>
          <w:sz w:val="16"/>
          <w:szCs w:val="16"/>
        </w:rPr>
        <w:softHyphen/>
        <w:t>дался воздушными боями с истребите</w:t>
      </w:r>
      <w:r w:rsidRPr="00D03F3E">
        <w:rPr>
          <w:rFonts w:ascii="Times New Roman" w:hAnsi="Times New Roman"/>
          <w:color w:val="000000" w:themeColor="text1"/>
          <w:sz w:val="16"/>
          <w:szCs w:val="16"/>
        </w:rPr>
        <w:softHyphen/>
        <w:t>лями противника и без потерь не обо</w:t>
      </w:r>
      <w:r w:rsidRPr="00D03F3E">
        <w:rPr>
          <w:rFonts w:ascii="Times New Roman" w:hAnsi="Times New Roman"/>
          <w:color w:val="000000" w:themeColor="text1"/>
          <w:sz w:val="16"/>
          <w:szCs w:val="16"/>
        </w:rPr>
        <w:softHyphen/>
        <w:t>шелся.</w:t>
      </w:r>
    </w:p>
    <w:p w14:paraId="4D49363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4.10 с аэродрома Полошково взлетели 12 Ил-2 от 571-го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(ведущие групп ст. л-т Зацепа, ст. л-т Зин-ченко) и 6 Ил-2 от 566-го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(ст. л-т Рябов). Однако сразу же после взлета л-т Борисюк (воздушный стрелок ст. сержант Тимофеев) был вынужден вернуться, не выполнив боевого зада</w:t>
      </w:r>
      <w:r w:rsidRPr="00D03F3E">
        <w:rPr>
          <w:rFonts w:ascii="Times New Roman" w:hAnsi="Times New Roman"/>
          <w:color w:val="000000" w:themeColor="text1"/>
          <w:sz w:val="16"/>
          <w:szCs w:val="16"/>
        </w:rPr>
        <w:softHyphen/>
        <w:t xml:space="preserve">ния. При взлете на самолете Борисю-ка </w:t>
      </w:r>
      <w:r w:rsidRPr="00D03F3E">
        <w:rPr>
          <w:rFonts w:ascii="Times New Roman" w:hAnsi="Times New Roman"/>
          <w:iCs/>
          <w:color w:val="000000" w:themeColor="text1"/>
          <w:sz w:val="16"/>
          <w:szCs w:val="16"/>
        </w:rPr>
        <w:t xml:space="preserve">«масло залило всю кабину», </w:t>
      </w:r>
      <w:r w:rsidRPr="00D03F3E">
        <w:rPr>
          <w:rFonts w:ascii="Times New Roman" w:hAnsi="Times New Roman"/>
          <w:color w:val="000000" w:themeColor="text1"/>
          <w:sz w:val="16"/>
          <w:szCs w:val="16"/>
        </w:rPr>
        <w:t xml:space="preserve">лишив его обзора, </w:t>
      </w:r>
      <w:r w:rsidRPr="00D03F3E">
        <w:rPr>
          <w:rFonts w:ascii="Times New Roman" w:hAnsi="Times New Roman"/>
          <w:iCs/>
          <w:color w:val="000000" w:themeColor="text1"/>
          <w:sz w:val="16"/>
          <w:szCs w:val="16"/>
        </w:rPr>
        <w:t>«и только выдержка и спо</w:t>
      </w:r>
      <w:r w:rsidRPr="00D03F3E">
        <w:rPr>
          <w:rFonts w:ascii="Times New Roman" w:hAnsi="Times New Roman"/>
          <w:iCs/>
          <w:color w:val="000000" w:themeColor="text1"/>
          <w:sz w:val="16"/>
          <w:szCs w:val="16"/>
        </w:rPr>
        <w:softHyphen/>
        <w:t>койствие летчика обеспечило нормаль</w:t>
      </w:r>
      <w:r w:rsidRPr="00D03F3E">
        <w:rPr>
          <w:rFonts w:ascii="Times New Roman" w:hAnsi="Times New Roman"/>
          <w:iCs/>
          <w:color w:val="000000" w:themeColor="text1"/>
          <w:sz w:val="16"/>
          <w:szCs w:val="16"/>
        </w:rPr>
        <w:softHyphen/>
        <w:t xml:space="preserve">ную посадку на свой аэродром». </w:t>
      </w:r>
      <w:r w:rsidRPr="00D03F3E">
        <w:rPr>
          <w:rFonts w:ascii="Times New Roman" w:hAnsi="Times New Roman"/>
          <w:color w:val="000000" w:themeColor="text1"/>
          <w:sz w:val="16"/>
          <w:szCs w:val="16"/>
        </w:rPr>
        <w:t>Ока</w:t>
      </w:r>
      <w:r w:rsidRPr="00D03F3E">
        <w:rPr>
          <w:rFonts w:ascii="Times New Roman" w:hAnsi="Times New Roman"/>
          <w:color w:val="000000" w:themeColor="text1"/>
          <w:sz w:val="16"/>
          <w:szCs w:val="16"/>
        </w:rPr>
        <w:softHyphen/>
        <w:t>залось, что техник самолета техник-лей</w:t>
      </w:r>
      <w:r w:rsidRPr="00D03F3E">
        <w:rPr>
          <w:rFonts w:ascii="Times New Roman" w:hAnsi="Times New Roman"/>
          <w:color w:val="000000" w:themeColor="text1"/>
          <w:sz w:val="16"/>
          <w:szCs w:val="16"/>
        </w:rPr>
        <w:softHyphen/>
        <w:t xml:space="preserve">тенант В.М. Белоцветов </w:t>
      </w:r>
      <w:r w:rsidRPr="00D03F3E">
        <w:rPr>
          <w:rFonts w:ascii="Times New Roman" w:hAnsi="Times New Roman"/>
          <w:iCs/>
          <w:color w:val="000000" w:themeColor="text1"/>
          <w:sz w:val="16"/>
          <w:szCs w:val="16"/>
        </w:rPr>
        <w:t>«перезалил масло (90 кг) и не закрыл плотно проб</w:t>
      </w:r>
      <w:r w:rsidRPr="00D03F3E">
        <w:rPr>
          <w:rFonts w:ascii="Times New Roman" w:hAnsi="Times New Roman"/>
          <w:iCs/>
          <w:color w:val="000000" w:themeColor="text1"/>
          <w:sz w:val="16"/>
          <w:szCs w:val="16"/>
        </w:rPr>
        <w:softHyphen/>
        <w:t xml:space="preserve">ку». </w:t>
      </w:r>
      <w:r w:rsidRPr="00D03F3E">
        <w:rPr>
          <w:rFonts w:ascii="Times New Roman" w:hAnsi="Times New Roman"/>
          <w:color w:val="000000" w:themeColor="text1"/>
          <w:sz w:val="16"/>
          <w:szCs w:val="16"/>
        </w:rPr>
        <w:t xml:space="preserve">Как следствие, за </w:t>
      </w:r>
      <w:r w:rsidRPr="00D03F3E">
        <w:rPr>
          <w:rFonts w:ascii="Times New Roman" w:hAnsi="Times New Roman"/>
          <w:iCs/>
          <w:color w:val="000000" w:themeColor="text1"/>
          <w:sz w:val="16"/>
          <w:szCs w:val="16"/>
        </w:rPr>
        <w:t>«преступно-ха</w:t>
      </w:r>
      <w:r w:rsidRPr="00D03F3E">
        <w:rPr>
          <w:rFonts w:ascii="Times New Roman" w:hAnsi="Times New Roman"/>
          <w:iCs/>
          <w:color w:val="000000" w:themeColor="text1"/>
          <w:sz w:val="16"/>
          <w:szCs w:val="16"/>
        </w:rPr>
        <w:softHyphen/>
        <w:t xml:space="preserve">латное отношение к подготовке мат-части» </w:t>
      </w:r>
      <w:r w:rsidRPr="00D03F3E">
        <w:rPr>
          <w:rFonts w:ascii="Times New Roman" w:hAnsi="Times New Roman"/>
          <w:color w:val="000000" w:themeColor="text1"/>
          <w:sz w:val="16"/>
          <w:szCs w:val="16"/>
        </w:rPr>
        <w:t>на него было наложено взыс</w:t>
      </w:r>
      <w:r w:rsidRPr="00D03F3E">
        <w:rPr>
          <w:rFonts w:ascii="Times New Roman" w:hAnsi="Times New Roman"/>
          <w:color w:val="000000" w:themeColor="text1"/>
          <w:sz w:val="16"/>
          <w:szCs w:val="16"/>
        </w:rPr>
        <w:softHyphen/>
        <w:t>кание в виде 8 суток ареста с удержа</w:t>
      </w:r>
      <w:r w:rsidRPr="00D03F3E">
        <w:rPr>
          <w:rFonts w:ascii="Times New Roman" w:hAnsi="Times New Roman"/>
          <w:color w:val="000000" w:themeColor="text1"/>
          <w:sz w:val="16"/>
          <w:szCs w:val="16"/>
        </w:rPr>
        <w:softHyphen/>
        <w:t>нием 50% денежного содержания.</w:t>
      </w:r>
    </w:p>
    <w:p w14:paraId="0CB0B99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 аэродромом Хатенки к штур</w:t>
      </w:r>
      <w:r w:rsidRPr="00D03F3E">
        <w:rPr>
          <w:rFonts w:ascii="Times New Roman" w:hAnsi="Times New Roman"/>
          <w:color w:val="000000" w:themeColor="text1"/>
          <w:sz w:val="16"/>
          <w:szCs w:val="16"/>
        </w:rPr>
        <w:softHyphen/>
        <w:t>мовикам пристроились истребители со</w:t>
      </w:r>
      <w:r w:rsidRPr="00D03F3E">
        <w:rPr>
          <w:rFonts w:ascii="Times New Roman" w:hAnsi="Times New Roman"/>
          <w:color w:val="000000" w:themeColor="text1"/>
          <w:sz w:val="16"/>
          <w:szCs w:val="16"/>
        </w:rPr>
        <w:softHyphen/>
        <w:t xml:space="preserve">провождения от 18-го </w:t>
      </w:r>
      <w:r w:rsidRPr="00D03F3E">
        <w:rPr>
          <w:rFonts w:ascii="Times New Roman" w:hAnsi="Times New Roman"/>
          <w:iCs/>
          <w:color w:val="000000" w:themeColor="text1"/>
          <w:sz w:val="16"/>
          <w:szCs w:val="16"/>
        </w:rPr>
        <w:t xml:space="preserve">гиап </w:t>
      </w:r>
      <w:r w:rsidRPr="00D03F3E">
        <w:rPr>
          <w:rFonts w:ascii="Times New Roman" w:hAnsi="Times New Roman"/>
          <w:color w:val="000000" w:themeColor="text1"/>
          <w:sz w:val="16"/>
          <w:szCs w:val="16"/>
        </w:rPr>
        <w:t xml:space="preserve">303-й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(21 Як-7).</w:t>
      </w:r>
    </w:p>
    <w:p w14:paraId="72CD7E4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подготовке к вылету было ре</w:t>
      </w:r>
      <w:r w:rsidRPr="00D03F3E">
        <w:rPr>
          <w:rFonts w:ascii="Times New Roman" w:hAnsi="Times New Roman"/>
          <w:color w:val="000000" w:themeColor="text1"/>
          <w:sz w:val="16"/>
          <w:szCs w:val="16"/>
        </w:rPr>
        <w:softHyphen/>
        <w:t>шено атаковать аэродром не с пря</w:t>
      </w:r>
      <w:r w:rsidRPr="00D03F3E">
        <w:rPr>
          <w:rFonts w:ascii="Times New Roman" w:hAnsi="Times New Roman"/>
          <w:color w:val="000000" w:themeColor="text1"/>
          <w:sz w:val="16"/>
          <w:szCs w:val="16"/>
        </w:rPr>
        <w:softHyphen/>
        <w:t>мой, как это было в первом ударе, а с тыла с обходом г. Брянск с левой юж</w:t>
      </w:r>
      <w:r w:rsidRPr="00D03F3E">
        <w:rPr>
          <w:rFonts w:ascii="Times New Roman" w:hAnsi="Times New Roman"/>
          <w:color w:val="000000" w:themeColor="text1"/>
          <w:sz w:val="16"/>
          <w:szCs w:val="16"/>
        </w:rPr>
        <w:softHyphen/>
        <w:t>ной стороны. Выход из атаки строился в сторону р. Десна с таким расчетом, чтобы прикрыться берегом реки от огня зенитной артиллерии.</w:t>
      </w:r>
    </w:p>
    <w:p w14:paraId="50720CC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маршруту Ил-2 шли на высоте 100—50 м, а истребители на высоте 500—600 м. Группа вышла на ст. Бе</w:t>
      </w:r>
      <w:r w:rsidRPr="00D03F3E">
        <w:rPr>
          <w:rFonts w:ascii="Times New Roman" w:hAnsi="Times New Roman"/>
          <w:color w:val="000000" w:themeColor="text1"/>
          <w:sz w:val="16"/>
          <w:szCs w:val="16"/>
        </w:rPr>
        <w:softHyphen/>
        <w:t>лые Берега и затем курсом на ж.д. ст. Свень. В этот момент со станции выходил на юг эшелон из 20 вагонов. Штурмовики обстреляли его схода.</w:t>
      </w:r>
    </w:p>
    <w:p w14:paraId="42614E4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Разворот на цель экипажи выполни</w:t>
      </w:r>
      <w:r w:rsidRPr="00D03F3E">
        <w:rPr>
          <w:rFonts w:ascii="Times New Roman" w:hAnsi="Times New Roman"/>
          <w:color w:val="000000" w:themeColor="text1"/>
          <w:sz w:val="16"/>
          <w:szCs w:val="16"/>
        </w:rPr>
        <w:softHyphen/>
        <w:t>ли в районе южнее Супонево над бе</w:t>
      </w:r>
      <w:r w:rsidRPr="00D03F3E">
        <w:rPr>
          <w:rFonts w:ascii="Times New Roman" w:hAnsi="Times New Roman"/>
          <w:color w:val="000000" w:themeColor="text1"/>
          <w:sz w:val="16"/>
          <w:szCs w:val="16"/>
        </w:rPr>
        <w:softHyphen/>
        <w:t>регом р. Десна. Атака целей на аэро</w:t>
      </w:r>
      <w:r w:rsidRPr="00D03F3E">
        <w:rPr>
          <w:rFonts w:ascii="Times New Roman" w:hAnsi="Times New Roman"/>
          <w:color w:val="000000" w:themeColor="text1"/>
          <w:sz w:val="16"/>
          <w:szCs w:val="16"/>
        </w:rPr>
        <w:softHyphen/>
        <w:t>дроме была выполнена в 5.07 с брею</w:t>
      </w:r>
      <w:r w:rsidRPr="00D03F3E">
        <w:rPr>
          <w:rFonts w:ascii="Times New Roman" w:hAnsi="Times New Roman"/>
          <w:color w:val="000000" w:themeColor="text1"/>
          <w:sz w:val="16"/>
          <w:szCs w:val="16"/>
        </w:rPr>
        <w:softHyphen/>
        <w:t>щего полета. В момент атаки на севе</w:t>
      </w:r>
      <w:r w:rsidRPr="00D03F3E">
        <w:rPr>
          <w:rFonts w:ascii="Times New Roman" w:hAnsi="Times New Roman"/>
          <w:color w:val="000000" w:themeColor="text1"/>
          <w:sz w:val="16"/>
          <w:szCs w:val="16"/>
        </w:rPr>
        <w:softHyphen/>
        <w:t>ро-восточной окраине аэродрома у ангаров стояло в 4 ряда до 40 истре</w:t>
      </w:r>
      <w:r w:rsidRPr="00D03F3E">
        <w:rPr>
          <w:rFonts w:ascii="Times New Roman" w:hAnsi="Times New Roman"/>
          <w:color w:val="000000" w:themeColor="text1"/>
          <w:sz w:val="16"/>
          <w:szCs w:val="16"/>
        </w:rPr>
        <w:softHyphen/>
        <w:t xml:space="preserve">бителей типа Ме109. По этой стоянке </w:t>
      </w:r>
      <w:r w:rsidRPr="00D03F3E">
        <w:rPr>
          <w:rFonts w:ascii="Times New Roman" w:hAnsi="Times New Roman"/>
          <w:iCs/>
          <w:color w:val="000000" w:themeColor="text1"/>
          <w:sz w:val="16"/>
          <w:szCs w:val="16"/>
        </w:rPr>
        <w:t>«открыли кассеты 3 экипажа и 3 экипа</w:t>
      </w:r>
      <w:r w:rsidRPr="00D03F3E">
        <w:rPr>
          <w:rFonts w:ascii="Times New Roman" w:hAnsi="Times New Roman"/>
          <w:iCs/>
          <w:color w:val="000000" w:themeColor="text1"/>
          <w:sz w:val="16"/>
          <w:szCs w:val="16"/>
        </w:rPr>
        <w:softHyphen/>
        <w:t xml:space="preserve">жа обстреляли ее из РС, пулеметным и пушечным огнем». </w:t>
      </w:r>
      <w:r w:rsidRPr="00D03F3E">
        <w:rPr>
          <w:rFonts w:ascii="Times New Roman" w:hAnsi="Times New Roman"/>
          <w:color w:val="000000" w:themeColor="text1"/>
          <w:sz w:val="16"/>
          <w:szCs w:val="16"/>
        </w:rPr>
        <w:t>В результате пря</w:t>
      </w:r>
      <w:r w:rsidRPr="00D03F3E">
        <w:rPr>
          <w:rFonts w:ascii="Times New Roman" w:hAnsi="Times New Roman"/>
          <w:color w:val="000000" w:themeColor="text1"/>
          <w:sz w:val="16"/>
          <w:szCs w:val="16"/>
        </w:rPr>
        <w:softHyphen/>
        <w:t>мых попаданий РС и бомб загорелось два ангара и два здания на северо</w:t>
      </w:r>
      <w:r w:rsidRPr="00D03F3E">
        <w:rPr>
          <w:rFonts w:ascii="Times New Roman" w:hAnsi="Times New Roman"/>
          <w:color w:val="000000" w:themeColor="text1"/>
          <w:sz w:val="16"/>
          <w:szCs w:val="16"/>
        </w:rPr>
        <w:softHyphen/>
        <w:t>восточной окраине. На северной ок</w:t>
      </w:r>
      <w:r w:rsidRPr="00D03F3E">
        <w:rPr>
          <w:rFonts w:ascii="Times New Roman" w:hAnsi="Times New Roman"/>
          <w:color w:val="000000" w:themeColor="text1"/>
          <w:sz w:val="16"/>
          <w:szCs w:val="16"/>
        </w:rPr>
        <w:softHyphen/>
        <w:t>раине аэродрома в один ряд стояли 12 _1и52. По ним разрядили боекомп</w:t>
      </w:r>
      <w:r w:rsidRPr="00D03F3E">
        <w:rPr>
          <w:rFonts w:ascii="Times New Roman" w:hAnsi="Times New Roman"/>
          <w:color w:val="000000" w:themeColor="text1"/>
          <w:sz w:val="16"/>
          <w:szCs w:val="16"/>
        </w:rPr>
        <w:softHyphen/>
        <w:t xml:space="preserve">лект 5 </w:t>
      </w:r>
      <w:r w:rsidRPr="00D03F3E">
        <w:rPr>
          <w:rFonts w:ascii="Times New Roman" w:hAnsi="Times New Roman"/>
          <w:iCs/>
          <w:color w:val="000000" w:themeColor="text1"/>
          <w:sz w:val="16"/>
          <w:szCs w:val="16"/>
        </w:rPr>
        <w:t xml:space="preserve">Ил-2. </w:t>
      </w:r>
      <w:r w:rsidRPr="00D03F3E">
        <w:rPr>
          <w:rFonts w:ascii="Times New Roman" w:hAnsi="Times New Roman"/>
          <w:color w:val="000000" w:themeColor="text1"/>
          <w:sz w:val="16"/>
          <w:szCs w:val="16"/>
        </w:rPr>
        <w:t>В общей сложности эки</w:t>
      </w:r>
      <w:r w:rsidRPr="00D03F3E">
        <w:rPr>
          <w:rFonts w:ascii="Times New Roman" w:hAnsi="Times New Roman"/>
          <w:color w:val="000000" w:themeColor="text1"/>
          <w:sz w:val="16"/>
          <w:szCs w:val="16"/>
        </w:rPr>
        <w:softHyphen/>
        <w:t>пажи доложили, что им удалось унич</w:t>
      </w:r>
      <w:r w:rsidRPr="00D03F3E">
        <w:rPr>
          <w:rFonts w:ascii="Times New Roman" w:hAnsi="Times New Roman"/>
          <w:color w:val="000000" w:themeColor="text1"/>
          <w:sz w:val="16"/>
          <w:szCs w:val="16"/>
        </w:rPr>
        <w:softHyphen/>
        <w:t>тожить 12 «мессершмиттов» и 4 «юн-керса». Кроме этого, воздушный стре</w:t>
      </w:r>
      <w:r w:rsidRPr="00D03F3E">
        <w:rPr>
          <w:rFonts w:ascii="Times New Roman" w:hAnsi="Times New Roman"/>
          <w:color w:val="000000" w:themeColor="text1"/>
          <w:sz w:val="16"/>
          <w:szCs w:val="16"/>
        </w:rPr>
        <w:softHyphen/>
        <w:t xml:space="preserve">лок ст. сержант Тимофеев повредил из своего пулемета </w:t>
      </w:r>
      <w:r w:rsidRPr="00D03F3E">
        <w:rPr>
          <w:rFonts w:ascii="Times New Roman" w:hAnsi="Times New Roman"/>
          <w:iCs/>
          <w:color w:val="000000" w:themeColor="text1"/>
          <w:sz w:val="16"/>
          <w:szCs w:val="16"/>
        </w:rPr>
        <w:t>«руливший к старту» Ме1</w:t>
      </w:r>
      <w:r w:rsidRPr="00D03F3E">
        <w:rPr>
          <w:rFonts w:ascii="Times New Roman" w:hAnsi="Times New Roman"/>
          <w:color w:val="000000" w:themeColor="text1"/>
          <w:sz w:val="16"/>
          <w:szCs w:val="16"/>
        </w:rPr>
        <w:t>09, который задымил и прекратил взлет.</w:t>
      </w:r>
    </w:p>
    <w:p w14:paraId="2A0458F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изменение направле</w:t>
      </w:r>
      <w:r w:rsidRPr="00D03F3E">
        <w:rPr>
          <w:rFonts w:ascii="Times New Roman" w:hAnsi="Times New Roman"/>
          <w:color w:val="000000" w:themeColor="text1"/>
          <w:sz w:val="16"/>
          <w:szCs w:val="16"/>
        </w:rPr>
        <w:softHyphen/>
        <w:t>ния выхода на аэродром, внезапного удара не получилось. При подходе к аэродрому с южной стороны штурмо</w:t>
      </w:r>
      <w:r w:rsidRPr="00D03F3E">
        <w:rPr>
          <w:rFonts w:ascii="Times New Roman" w:hAnsi="Times New Roman"/>
          <w:color w:val="000000" w:themeColor="text1"/>
          <w:sz w:val="16"/>
          <w:szCs w:val="16"/>
        </w:rPr>
        <w:softHyphen/>
        <w:t>вики уже за 15 км до цели были об</w:t>
      </w:r>
      <w:r w:rsidRPr="00D03F3E">
        <w:rPr>
          <w:rFonts w:ascii="Times New Roman" w:hAnsi="Times New Roman"/>
          <w:color w:val="000000" w:themeColor="text1"/>
          <w:sz w:val="16"/>
          <w:szCs w:val="16"/>
        </w:rPr>
        <w:softHyphen/>
        <w:t>стреляны сильным огнем ЗА и МЗА, а в 6-8 км до аэродрома — перехвачены 4 Ру^190. Атаку немецких истребите</w:t>
      </w:r>
      <w:r w:rsidRPr="00D03F3E">
        <w:rPr>
          <w:rFonts w:ascii="Times New Roman" w:hAnsi="Times New Roman"/>
          <w:color w:val="000000" w:themeColor="text1"/>
          <w:sz w:val="16"/>
          <w:szCs w:val="16"/>
        </w:rPr>
        <w:softHyphen/>
        <w:t>лей вовремя заметили сопровождаю</w:t>
      </w:r>
      <w:r w:rsidRPr="00D03F3E">
        <w:rPr>
          <w:rFonts w:ascii="Times New Roman" w:hAnsi="Times New Roman"/>
          <w:color w:val="000000" w:themeColor="text1"/>
          <w:sz w:val="16"/>
          <w:szCs w:val="16"/>
        </w:rPr>
        <w:softHyphen/>
        <w:t>щие истребители. Одну пару «фокке-ров» связала боем пара в составе мл. лейтенантов Лобашева и Пинчука, а вторую — пара в составе лейтенанта Соколова и мл. лейтенанта Осипенко.</w:t>
      </w:r>
    </w:p>
    <w:p w14:paraId="03D6333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непродолжительного боя немец</w:t>
      </w:r>
      <w:r w:rsidRPr="00D03F3E">
        <w:rPr>
          <w:rFonts w:ascii="Times New Roman" w:hAnsi="Times New Roman"/>
          <w:color w:val="000000" w:themeColor="text1"/>
          <w:sz w:val="16"/>
          <w:szCs w:val="16"/>
        </w:rPr>
        <w:softHyphen/>
        <w:t>кие пилоты ушли и больше атак на штурмовики не производили.</w:t>
      </w:r>
    </w:p>
    <w:p w14:paraId="4B78320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аэродрома экипажи об</w:t>
      </w:r>
      <w:r w:rsidRPr="00D03F3E">
        <w:rPr>
          <w:rFonts w:ascii="Times New Roman" w:hAnsi="Times New Roman"/>
          <w:color w:val="000000" w:themeColor="text1"/>
          <w:sz w:val="16"/>
          <w:szCs w:val="16"/>
        </w:rPr>
        <w:softHyphen/>
        <w:t>стреливались главным образом ЗПУ и МЗА. На отходе от цели штурмовики «напоролись» на три зенитные бата</w:t>
      </w:r>
      <w:r w:rsidRPr="00D03F3E">
        <w:rPr>
          <w:rFonts w:ascii="Times New Roman" w:hAnsi="Times New Roman"/>
          <w:color w:val="000000" w:themeColor="text1"/>
          <w:sz w:val="16"/>
          <w:szCs w:val="16"/>
        </w:rPr>
        <w:softHyphen/>
        <w:t>реи, которые располагались у станци</w:t>
      </w:r>
      <w:r w:rsidRPr="00D03F3E">
        <w:rPr>
          <w:rFonts w:ascii="Times New Roman" w:hAnsi="Times New Roman"/>
          <w:color w:val="000000" w:themeColor="text1"/>
          <w:sz w:val="16"/>
          <w:szCs w:val="16"/>
        </w:rPr>
        <w:softHyphen/>
        <w:t>онных зданий ж.д. ст. Самара-Радица. На их огонь экипажи ответили пушка</w:t>
      </w:r>
      <w:r w:rsidRPr="00D03F3E">
        <w:rPr>
          <w:rFonts w:ascii="Times New Roman" w:hAnsi="Times New Roman"/>
          <w:color w:val="000000" w:themeColor="text1"/>
          <w:sz w:val="16"/>
          <w:szCs w:val="16"/>
        </w:rPr>
        <w:softHyphen/>
        <w:t>ми и пулеметами. Две батареи сразу же прекратили стрельбу.</w:t>
      </w:r>
    </w:p>
    <w:p w14:paraId="5D2511D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подлете к Березовке экипажи были атакованы истребителями против</w:t>
      </w:r>
      <w:r w:rsidRPr="00D03F3E">
        <w:rPr>
          <w:rFonts w:ascii="Times New Roman" w:hAnsi="Times New Roman"/>
          <w:color w:val="000000" w:themeColor="text1"/>
          <w:sz w:val="16"/>
          <w:szCs w:val="16"/>
        </w:rPr>
        <w:softHyphen/>
        <w:t>ника Р\у190. Атаки выполнялись сбоку сзади на высоте 20—40 м, выход из атаки — с набором высоты левым раз</w:t>
      </w:r>
      <w:r w:rsidRPr="00D03F3E">
        <w:rPr>
          <w:rFonts w:ascii="Times New Roman" w:hAnsi="Times New Roman"/>
          <w:color w:val="000000" w:themeColor="text1"/>
          <w:sz w:val="16"/>
          <w:szCs w:val="16"/>
        </w:rPr>
        <w:softHyphen/>
        <w:t>воротом. Пилоты люфтваффе прово</w:t>
      </w:r>
      <w:r w:rsidRPr="00D03F3E">
        <w:rPr>
          <w:rFonts w:ascii="Times New Roman" w:hAnsi="Times New Roman"/>
          <w:color w:val="000000" w:themeColor="text1"/>
          <w:sz w:val="16"/>
          <w:szCs w:val="16"/>
        </w:rPr>
        <w:softHyphen/>
        <w:t>дили атаки главным образом на край</w:t>
      </w:r>
      <w:r w:rsidRPr="00D03F3E">
        <w:rPr>
          <w:rFonts w:ascii="Times New Roman" w:hAnsi="Times New Roman"/>
          <w:color w:val="000000" w:themeColor="text1"/>
          <w:sz w:val="16"/>
          <w:szCs w:val="16"/>
        </w:rPr>
        <w:softHyphen/>
        <w:t>ние в группе Ил-2 или отставшие от группы. На каждый экипаж было вы</w:t>
      </w:r>
      <w:r w:rsidRPr="00D03F3E">
        <w:rPr>
          <w:rFonts w:ascii="Times New Roman" w:hAnsi="Times New Roman"/>
          <w:color w:val="000000" w:themeColor="text1"/>
          <w:sz w:val="16"/>
          <w:szCs w:val="16"/>
        </w:rPr>
        <w:softHyphen/>
        <w:t>полнено от 4 до 10 атак.</w:t>
      </w:r>
    </w:p>
    <w:p w14:paraId="722A14E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Надо отдать должное ведущим групп штурмовиков, они выбрали правильную тактику боя — экипажи маневрировали змейкой, ведя огонь по выходящим из атаки истребителям. В результате л-т Большаков подловил один «фоккер», когда тот выходил из атаки, и сбил его. Воздушный стрелок мл. сержант Иль</w:t>
      </w:r>
      <w:r w:rsidRPr="00D03F3E">
        <w:rPr>
          <w:rFonts w:ascii="Times New Roman" w:hAnsi="Times New Roman"/>
          <w:color w:val="000000" w:themeColor="text1"/>
          <w:sz w:val="16"/>
          <w:szCs w:val="16"/>
        </w:rPr>
        <w:softHyphen/>
        <w:t>ин сбил еще один «фокке-вульф», так</w:t>
      </w:r>
      <w:r w:rsidRPr="00D03F3E">
        <w:rPr>
          <w:rFonts w:ascii="Times New Roman" w:hAnsi="Times New Roman"/>
          <w:color w:val="000000" w:themeColor="text1"/>
          <w:sz w:val="16"/>
          <w:szCs w:val="16"/>
        </w:rPr>
        <w:softHyphen/>
        <w:t>же на выходе из атаки. Оба истреби</w:t>
      </w:r>
      <w:r w:rsidRPr="00D03F3E">
        <w:rPr>
          <w:rFonts w:ascii="Times New Roman" w:hAnsi="Times New Roman"/>
          <w:color w:val="000000" w:themeColor="text1"/>
          <w:sz w:val="16"/>
          <w:szCs w:val="16"/>
        </w:rPr>
        <w:softHyphen/>
        <w:t xml:space="preserve">теля </w:t>
      </w:r>
      <w:r w:rsidRPr="00D03F3E">
        <w:rPr>
          <w:rFonts w:ascii="Times New Roman" w:hAnsi="Times New Roman"/>
          <w:iCs/>
          <w:color w:val="000000" w:themeColor="text1"/>
          <w:sz w:val="16"/>
          <w:szCs w:val="16"/>
        </w:rPr>
        <w:t>«упали в лес в районе ст. Бобки, что подтверждают все воздушные стрелки группы».</w:t>
      </w:r>
    </w:p>
    <w:p w14:paraId="5371042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Истребители прикрытия, находясь на высоте 1000—1100 м, </w:t>
      </w:r>
      <w:r w:rsidRPr="00D03F3E">
        <w:rPr>
          <w:rFonts w:ascii="Times New Roman" w:hAnsi="Times New Roman"/>
          <w:iCs/>
          <w:color w:val="000000" w:themeColor="text1"/>
          <w:sz w:val="16"/>
          <w:szCs w:val="16"/>
        </w:rPr>
        <w:t xml:space="preserve">«первое время в воздушном бою не участвовали». </w:t>
      </w:r>
      <w:r w:rsidRPr="00D03F3E">
        <w:rPr>
          <w:rFonts w:ascii="Times New Roman" w:hAnsi="Times New Roman"/>
          <w:color w:val="000000" w:themeColor="text1"/>
          <w:sz w:val="16"/>
          <w:szCs w:val="16"/>
        </w:rPr>
        <w:t>За</w:t>
      </w:r>
      <w:r w:rsidRPr="00D03F3E">
        <w:rPr>
          <w:rFonts w:ascii="Times New Roman" w:hAnsi="Times New Roman"/>
          <w:color w:val="000000" w:themeColor="text1"/>
          <w:sz w:val="16"/>
          <w:szCs w:val="16"/>
        </w:rPr>
        <w:softHyphen/>
        <w:t xml:space="preserve">тем, </w:t>
      </w:r>
      <w:r w:rsidRPr="00D03F3E">
        <w:rPr>
          <w:rFonts w:ascii="Times New Roman" w:hAnsi="Times New Roman"/>
          <w:iCs/>
          <w:color w:val="000000" w:themeColor="text1"/>
          <w:sz w:val="16"/>
          <w:szCs w:val="16"/>
        </w:rPr>
        <w:t>«приняв сигнал о нападении ис</w:t>
      </w:r>
      <w:r w:rsidRPr="00D03F3E">
        <w:rPr>
          <w:rFonts w:ascii="Times New Roman" w:hAnsi="Times New Roman"/>
          <w:iCs/>
          <w:color w:val="000000" w:themeColor="text1"/>
          <w:sz w:val="16"/>
          <w:szCs w:val="16"/>
        </w:rPr>
        <w:softHyphen/>
        <w:t>требителей противника по радио, ...снизились, но истребители противни</w:t>
      </w:r>
      <w:r w:rsidRPr="00D03F3E">
        <w:rPr>
          <w:rFonts w:ascii="Times New Roman" w:hAnsi="Times New Roman"/>
          <w:iCs/>
          <w:color w:val="000000" w:themeColor="text1"/>
          <w:sz w:val="16"/>
          <w:szCs w:val="16"/>
        </w:rPr>
        <w:softHyphen/>
        <w:t>ка ушли».</w:t>
      </w:r>
    </w:p>
    <w:p w14:paraId="31B8964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отражении многочисленных атак двух «фоккеров» снарядом от авиапушки был убит воздушный стре</w:t>
      </w:r>
      <w:r w:rsidRPr="00D03F3E">
        <w:rPr>
          <w:rFonts w:ascii="Times New Roman" w:hAnsi="Times New Roman"/>
          <w:color w:val="000000" w:themeColor="text1"/>
          <w:sz w:val="16"/>
          <w:szCs w:val="16"/>
        </w:rPr>
        <w:softHyphen/>
        <w:t>лок сержант М.Ф. Михайлов из экипа</w:t>
      </w:r>
      <w:r w:rsidRPr="00D03F3E">
        <w:rPr>
          <w:rFonts w:ascii="Times New Roman" w:hAnsi="Times New Roman"/>
          <w:color w:val="000000" w:themeColor="text1"/>
          <w:sz w:val="16"/>
          <w:szCs w:val="16"/>
        </w:rPr>
        <w:softHyphen/>
        <w:t xml:space="preserve">жа командира эскадрильи 571-го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ст. лейтенанта Зинченко. В теле Ми</w:t>
      </w:r>
      <w:r w:rsidRPr="00D03F3E">
        <w:rPr>
          <w:rFonts w:ascii="Times New Roman" w:hAnsi="Times New Roman"/>
          <w:color w:val="000000" w:themeColor="text1"/>
          <w:sz w:val="16"/>
          <w:szCs w:val="16"/>
        </w:rPr>
        <w:softHyphen/>
        <w:t xml:space="preserve">хайлова </w:t>
      </w:r>
      <w:r w:rsidRPr="00D03F3E">
        <w:rPr>
          <w:rFonts w:ascii="Times New Roman" w:hAnsi="Times New Roman"/>
          <w:iCs/>
          <w:color w:val="000000" w:themeColor="text1"/>
          <w:sz w:val="16"/>
          <w:szCs w:val="16"/>
        </w:rPr>
        <w:t>«было обнаружено 15 оскол</w:t>
      </w:r>
      <w:r w:rsidRPr="00D03F3E">
        <w:rPr>
          <w:rFonts w:ascii="Times New Roman" w:hAnsi="Times New Roman"/>
          <w:iCs/>
          <w:color w:val="000000" w:themeColor="text1"/>
          <w:sz w:val="16"/>
          <w:szCs w:val="16"/>
        </w:rPr>
        <w:softHyphen/>
        <w:t xml:space="preserve">ков, из которых один пробил сердце героя». </w:t>
      </w:r>
      <w:r w:rsidRPr="00D03F3E">
        <w:rPr>
          <w:rFonts w:ascii="Times New Roman" w:hAnsi="Times New Roman"/>
          <w:color w:val="000000" w:themeColor="text1"/>
          <w:sz w:val="16"/>
          <w:szCs w:val="16"/>
        </w:rPr>
        <w:t>Самолет мужественного экипажа получил серьезные повреждения. Старшему лейтенанту Зинченко с тру</w:t>
      </w:r>
      <w:r w:rsidRPr="00D03F3E">
        <w:rPr>
          <w:rFonts w:ascii="Times New Roman" w:hAnsi="Times New Roman"/>
          <w:color w:val="000000" w:themeColor="text1"/>
          <w:sz w:val="16"/>
          <w:szCs w:val="16"/>
        </w:rPr>
        <w:softHyphen/>
        <w:t xml:space="preserve">дом удалось посадить «покалеченный» Ил-2 (зав. № 1 872750) </w:t>
      </w:r>
      <w:r w:rsidRPr="00D03F3E">
        <w:rPr>
          <w:rFonts w:ascii="Times New Roman" w:hAnsi="Times New Roman"/>
          <w:iCs/>
          <w:color w:val="000000" w:themeColor="text1"/>
          <w:sz w:val="16"/>
          <w:szCs w:val="16"/>
        </w:rPr>
        <w:t xml:space="preserve">«с подбитыми шасси» </w:t>
      </w:r>
      <w:r w:rsidRPr="00D03F3E">
        <w:rPr>
          <w:rFonts w:ascii="Times New Roman" w:hAnsi="Times New Roman"/>
          <w:color w:val="000000" w:themeColor="text1"/>
          <w:sz w:val="16"/>
          <w:szCs w:val="16"/>
        </w:rPr>
        <w:t>на свой аэродром. Сержант Михайлов был похоронен в тот же день вечером со всеми воинскими почестями.</w:t>
      </w:r>
    </w:p>
    <w:p w14:paraId="116AA47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Кроме этого, два экипажа 571-го </w:t>
      </w:r>
      <w:r w:rsidRPr="00D03F3E">
        <w:rPr>
          <w:rFonts w:ascii="Times New Roman" w:hAnsi="Times New Roman"/>
          <w:iCs/>
          <w:color w:val="000000" w:themeColor="text1"/>
          <w:sz w:val="16"/>
          <w:szCs w:val="16"/>
        </w:rPr>
        <w:t xml:space="preserve">шап — </w:t>
      </w:r>
      <w:r w:rsidRPr="00D03F3E">
        <w:rPr>
          <w:rFonts w:ascii="Times New Roman" w:hAnsi="Times New Roman"/>
          <w:color w:val="000000" w:themeColor="text1"/>
          <w:sz w:val="16"/>
          <w:szCs w:val="16"/>
        </w:rPr>
        <w:t>ст. л-та В.В. Бубнова и л-та Н.С. Коломникова — из-за выра</w:t>
      </w:r>
      <w:r w:rsidRPr="00D03F3E">
        <w:rPr>
          <w:rFonts w:ascii="Times New Roman" w:hAnsi="Times New Roman"/>
          <w:color w:val="000000" w:themeColor="text1"/>
          <w:sz w:val="16"/>
          <w:szCs w:val="16"/>
        </w:rPr>
        <w:softHyphen/>
        <w:t>ботки горючего произвели вынужден</w:t>
      </w:r>
      <w:r w:rsidRPr="00D03F3E">
        <w:rPr>
          <w:rFonts w:ascii="Times New Roman" w:hAnsi="Times New Roman"/>
          <w:color w:val="000000" w:themeColor="text1"/>
          <w:sz w:val="16"/>
          <w:szCs w:val="16"/>
        </w:rPr>
        <w:softHyphen/>
        <w:t>ные посадки в 1-2 км северо-запад-нее Сухиничи. Если посадка самолета Бубнова на колеса оказалась удачной, то посадка Ил-2 Коломникова закон</w:t>
      </w:r>
      <w:r w:rsidRPr="00D03F3E">
        <w:rPr>
          <w:rFonts w:ascii="Times New Roman" w:hAnsi="Times New Roman"/>
          <w:color w:val="000000" w:themeColor="text1"/>
          <w:sz w:val="16"/>
          <w:szCs w:val="16"/>
        </w:rPr>
        <w:softHyphen/>
        <w:t>чилась поломкой самолета. От зенит</w:t>
      </w:r>
      <w:r w:rsidRPr="00D03F3E">
        <w:rPr>
          <w:rFonts w:ascii="Times New Roman" w:hAnsi="Times New Roman"/>
          <w:color w:val="000000" w:themeColor="text1"/>
          <w:sz w:val="16"/>
          <w:szCs w:val="16"/>
        </w:rPr>
        <w:softHyphen/>
        <w:t xml:space="preserve">ного огня </w:t>
      </w:r>
      <w:r w:rsidRPr="00D03F3E">
        <w:rPr>
          <w:rFonts w:ascii="Times New Roman" w:hAnsi="Times New Roman"/>
          <w:iCs/>
          <w:color w:val="000000" w:themeColor="text1"/>
          <w:sz w:val="16"/>
          <w:szCs w:val="16"/>
        </w:rPr>
        <w:t>«одна нога оказалась со</w:t>
      </w:r>
      <w:r w:rsidRPr="00D03F3E">
        <w:rPr>
          <w:rFonts w:ascii="Times New Roman" w:hAnsi="Times New Roman"/>
          <w:iCs/>
          <w:color w:val="000000" w:themeColor="text1"/>
          <w:sz w:val="16"/>
          <w:szCs w:val="16"/>
        </w:rPr>
        <w:softHyphen/>
        <w:t xml:space="preserve">вершенно перебитой», </w:t>
      </w:r>
      <w:r w:rsidRPr="00D03F3E">
        <w:rPr>
          <w:rFonts w:ascii="Times New Roman" w:hAnsi="Times New Roman"/>
          <w:color w:val="000000" w:themeColor="text1"/>
          <w:sz w:val="16"/>
          <w:szCs w:val="16"/>
        </w:rPr>
        <w:t xml:space="preserve">вследствие чего </w:t>
      </w:r>
      <w:r w:rsidRPr="00D03F3E">
        <w:rPr>
          <w:rFonts w:ascii="Times New Roman" w:hAnsi="Times New Roman"/>
          <w:iCs/>
          <w:color w:val="000000" w:themeColor="text1"/>
          <w:sz w:val="16"/>
          <w:szCs w:val="16"/>
        </w:rPr>
        <w:t>«самолет после посадки на одну ногу получил повреждения и нуждается в ремонте».</w:t>
      </w:r>
    </w:p>
    <w:p w14:paraId="433384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боевого задания не вернулись три экипажа: мл. л-т Т.В. Аксенов (воздуш</w:t>
      </w:r>
      <w:r w:rsidRPr="00D03F3E">
        <w:rPr>
          <w:rFonts w:ascii="Times New Roman" w:hAnsi="Times New Roman"/>
          <w:color w:val="000000" w:themeColor="text1"/>
          <w:sz w:val="16"/>
          <w:szCs w:val="16"/>
        </w:rPr>
        <w:softHyphen/>
        <w:t xml:space="preserve">ный стрелок сержант Ф.В. Матвиенко) и мл. л-т С.Е. Слепченко (воздушный стрелок ефрейтор В.Ф. Костенко) — от 571-го </w:t>
      </w:r>
      <w:r w:rsidRPr="00D03F3E">
        <w:rPr>
          <w:rFonts w:ascii="Times New Roman" w:hAnsi="Times New Roman"/>
          <w:iCs/>
          <w:color w:val="000000" w:themeColor="text1"/>
          <w:sz w:val="16"/>
          <w:szCs w:val="16"/>
        </w:rPr>
        <w:t xml:space="preserve">шап, и </w:t>
      </w:r>
      <w:r w:rsidRPr="00D03F3E">
        <w:rPr>
          <w:rFonts w:ascii="Times New Roman" w:hAnsi="Times New Roman"/>
          <w:color w:val="000000" w:themeColor="text1"/>
          <w:sz w:val="16"/>
          <w:szCs w:val="16"/>
        </w:rPr>
        <w:t xml:space="preserve">мл. л-т В.Г. Сильчен-ко (воздушный стрелок сержант А.И. Анашкин) — от 566-го </w:t>
      </w:r>
      <w:r w:rsidRPr="00D03F3E">
        <w:rPr>
          <w:rFonts w:ascii="Times New Roman" w:hAnsi="Times New Roman"/>
          <w:iCs/>
          <w:color w:val="000000" w:themeColor="text1"/>
          <w:sz w:val="16"/>
          <w:szCs w:val="16"/>
        </w:rPr>
        <w:t>шап..</w:t>
      </w:r>
    </w:p>
    <w:p w14:paraId="2A61A4B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потом выяснилось, Сильченко (Ил-2 зав. № 301584) сел на вынуж</w:t>
      </w:r>
      <w:r w:rsidRPr="00D03F3E">
        <w:rPr>
          <w:rFonts w:ascii="Times New Roman" w:hAnsi="Times New Roman"/>
          <w:color w:val="000000" w:themeColor="text1"/>
          <w:sz w:val="16"/>
          <w:szCs w:val="16"/>
        </w:rPr>
        <w:softHyphen/>
        <w:t>денную в районе Сенино. Место по</w:t>
      </w:r>
      <w:r w:rsidRPr="00D03F3E">
        <w:rPr>
          <w:rFonts w:ascii="Times New Roman" w:hAnsi="Times New Roman"/>
          <w:color w:val="000000" w:themeColor="text1"/>
          <w:sz w:val="16"/>
          <w:szCs w:val="16"/>
        </w:rPr>
        <w:softHyphen/>
        <w:t xml:space="preserve">садки Аксенова и Слепченко </w:t>
      </w:r>
      <w:r w:rsidRPr="00D03F3E">
        <w:rPr>
          <w:rFonts w:ascii="Times New Roman" w:hAnsi="Times New Roman"/>
          <w:iCs/>
          <w:color w:val="000000" w:themeColor="text1"/>
          <w:sz w:val="16"/>
          <w:szCs w:val="16"/>
        </w:rPr>
        <w:t>«не уста</w:t>
      </w:r>
      <w:r w:rsidRPr="00D03F3E">
        <w:rPr>
          <w:rFonts w:ascii="Times New Roman" w:hAnsi="Times New Roman"/>
          <w:iCs/>
          <w:color w:val="000000" w:themeColor="text1"/>
          <w:sz w:val="16"/>
          <w:szCs w:val="16"/>
        </w:rPr>
        <w:softHyphen/>
        <w:t>новлено, состояние самолетов и эки</w:t>
      </w:r>
      <w:r w:rsidRPr="00D03F3E">
        <w:rPr>
          <w:rFonts w:ascii="Times New Roman" w:hAnsi="Times New Roman"/>
          <w:iCs/>
          <w:color w:val="000000" w:themeColor="text1"/>
          <w:sz w:val="16"/>
          <w:szCs w:val="16"/>
        </w:rPr>
        <w:softHyphen/>
        <w:t>пажей неизвестно...»</w:t>
      </w:r>
    </w:p>
    <w:p w14:paraId="7EF98E9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По аэродрому Лубинка «отработа</w:t>
      </w:r>
      <w:r w:rsidRPr="00D03F3E">
        <w:rPr>
          <w:rFonts w:ascii="Times New Roman" w:hAnsi="Times New Roman"/>
          <w:color w:val="000000" w:themeColor="text1"/>
          <w:sz w:val="16"/>
          <w:szCs w:val="16"/>
        </w:rPr>
        <w:softHyphen/>
        <w:t xml:space="preserve">ли» пилоты 303-й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которые уничто</w:t>
      </w:r>
      <w:r w:rsidRPr="00D03F3E">
        <w:rPr>
          <w:rFonts w:ascii="Times New Roman" w:hAnsi="Times New Roman"/>
          <w:color w:val="000000" w:themeColor="text1"/>
          <w:sz w:val="16"/>
          <w:szCs w:val="16"/>
        </w:rPr>
        <w:softHyphen/>
        <w:t>жили и повредили на земле до 8 одно</w:t>
      </w:r>
      <w:r w:rsidRPr="00D03F3E">
        <w:rPr>
          <w:rFonts w:ascii="Times New Roman" w:hAnsi="Times New Roman"/>
          <w:color w:val="000000" w:themeColor="text1"/>
          <w:sz w:val="16"/>
          <w:szCs w:val="16"/>
        </w:rPr>
        <w:softHyphen/>
        <w:t>моторных самолетов. С боевого зада</w:t>
      </w:r>
      <w:r w:rsidRPr="00D03F3E">
        <w:rPr>
          <w:rFonts w:ascii="Times New Roman" w:hAnsi="Times New Roman"/>
          <w:color w:val="000000" w:themeColor="text1"/>
          <w:sz w:val="16"/>
          <w:szCs w:val="16"/>
        </w:rPr>
        <w:softHyphen/>
        <w:t>ния не вернулся л-т Майе из эскадри</w:t>
      </w:r>
      <w:r w:rsidRPr="00D03F3E">
        <w:rPr>
          <w:rFonts w:ascii="Times New Roman" w:hAnsi="Times New Roman"/>
          <w:color w:val="000000" w:themeColor="text1"/>
          <w:sz w:val="16"/>
          <w:szCs w:val="16"/>
        </w:rPr>
        <w:softHyphen/>
        <w:t>льи «Нормандия».</w:t>
      </w:r>
    </w:p>
    <w:p w14:paraId="46E0564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Фотоконтроль результатов ударов ни в одном из трех налетов не произ</w:t>
      </w:r>
      <w:r w:rsidRPr="00D03F3E">
        <w:rPr>
          <w:rFonts w:ascii="Times New Roman" w:hAnsi="Times New Roman"/>
          <w:color w:val="000000" w:themeColor="text1"/>
          <w:sz w:val="16"/>
          <w:szCs w:val="16"/>
        </w:rPr>
        <w:softHyphen/>
        <w:t>водился по метеоусловиям.</w:t>
      </w:r>
    </w:p>
    <w:p w14:paraId="275BB63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Командиры авиационных полков в своих донесениях по итогам дня все как один были вынуждены констатиро</w:t>
      </w:r>
      <w:r w:rsidRPr="00D03F3E">
        <w:rPr>
          <w:rFonts w:ascii="Times New Roman" w:hAnsi="Times New Roman"/>
          <w:color w:val="000000" w:themeColor="text1"/>
          <w:sz w:val="16"/>
          <w:szCs w:val="16"/>
        </w:rPr>
        <w:softHyphen/>
        <w:t>вать очевидные факты: противник, учи</w:t>
      </w:r>
      <w:r w:rsidRPr="00D03F3E">
        <w:rPr>
          <w:rFonts w:ascii="Times New Roman" w:hAnsi="Times New Roman"/>
          <w:color w:val="000000" w:themeColor="text1"/>
          <w:sz w:val="16"/>
          <w:szCs w:val="16"/>
        </w:rPr>
        <w:softHyphen/>
        <w:t>тывая сложившуюся тактику наших ВВС при действии по аэродромам, вполне обоснованно сделал вывод о возмож</w:t>
      </w:r>
      <w:r w:rsidRPr="00D03F3E">
        <w:rPr>
          <w:rFonts w:ascii="Times New Roman" w:hAnsi="Times New Roman"/>
          <w:color w:val="000000" w:themeColor="text1"/>
          <w:sz w:val="16"/>
          <w:szCs w:val="16"/>
        </w:rPr>
        <w:softHyphen/>
        <w:t xml:space="preserve">ности повторения налетов с утра 7 мая и </w:t>
      </w:r>
      <w:r w:rsidRPr="00D03F3E">
        <w:rPr>
          <w:rFonts w:ascii="Times New Roman" w:hAnsi="Times New Roman"/>
          <w:iCs/>
          <w:color w:val="000000" w:themeColor="text1"/>
          <w:sz w:val="16"/>
          <w:szCs w:val="16"/>
        </w:rPr>
        <w:t xml:space="preserve">«подбросил в район базирования своей авиации истребители с целью встретить штурмовики на подходах к аэродромам». </w:t>
      </w:r>
      <w:r w:rsidRPr="00D03F3E">
        <w:rPr>
          <w:rFonts w:ascii="Times New Roman" w:hAnsi="Times New Roman"/>
          <w:color w:val="000000" w:themeColor="text1"/>
          <w:sz w:val="16"/>
          <w:szCs w:val="16"/>
        </w:rPr>
        <w:t xml:space="preserve">При этом, поскольку часть аэродромов находилась почти на предельном радиусе действия </w:t>
      </w:r>
      <w:r w:rsidRPr="00D03F3E">
        <w:rPr>
          <w:rFonts w:ascii="Times New Roman" w:hAnsi="Times New Roman"/>
          <w:iCs/>
          <w:color w:val="000000" w:themeColor="text1"/>
          <w:sz w:val="16"/>
          <w:szCs w:val="16"/>
        </w:rPr>
        <w:t xml:space="preserve">Ил-2, </w:t>
      </w:r>
      <w:r w:rsidRPr="00D03F3E">
        <w:rPr>
          <w:rFonts w:ascii="Times New Roman" w:hAnsi="Times New Roman"/>
          <w:color w:val="000000" w:themeColor="text1"/>
          <w:sz w:val="16"/>
          <w:szCs w:val="16"/>
        </w:rPr>
        <w:t>маршрут штурмовиков почти совпадал с маршрутом в предыдущих ударах. Понимание этого вопроса позволяло немцам легко сосредоточивать свои истребители в районах наиболее ве</w:t>
      </w:r>
      <w:r w:rsidRPr="00D03F3E">
        <w:rPr>
          <w:rFonts w:ascii="Times New Roman" w:hAnsi="Times New Roman"/>
          <w:color w:val="000000" w:themeColor="text1"/>
          <w:sz w:val="16"/>
          <w:szCs w:val="16"/>
        </w:rPr>
        <w:softHyphen/>
        <w:t>роятного подлета Ил-2 к своим аэро</w:t>
      </w:r>
      <w:r w:rsidRPr="00D03F3E">
        <w:rPr>
          <w:rFonts w:ascii="Times New Roman" w:hAnsi="Times New Roman"/>
          <w:color w:val="000000" w:themeColor="text1"/>
          <w:sz w:val="16"/>
          <w:szCs w:val="16"/>
        </w:rPr>
        <w:softHyphen/>
        <w:t>дромам и перехватывать их. В резуль</w:t>
      </w:r>
      <w:r w:rsidRPr="00D03F3E">
        <w:rPr>
          <w:rFonts w:ascii="Times New Roman" w:hAnsi="Times New Roman"/>
          <w:color w:val="000000" w:themeColor="text1"/>
          <w:sz w:val="16"/>
          <w:szCs w:val="16"/>
        </w:rPr>
        <w:softHyphen/>
        <w:t>тате все группы штурмовиков вели воз</w:t>
      </w:r>
      <w:r w:rsidRPr="00D03F3E">
        <w:rPr>
          <w:rFonts w:ascii="Times New Roman" w:hAnsi="Times New Roman"/>
          <w:color w:val="000000" w:themeColor="text1"/>
          <w:sz w:val="16"/>
          <w:szCs w:val="16"/>
        </w:rPr>
        <w:softHyphen/>
        <w:t>душные бои и понесли потери.</w:t>
      </w:r>
    </w:p>
    <w:p w14:paraId="0469571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сожалению, все это совершенно не учитывалось штабами всех уровней при организации повторных налетов на немецкие аэродромы.</w:t>
      </w:r>
    </w:p>
    <w:p w14:paraId="583DAB7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Более того, вторая серия ударов продемонстрировала и низкую испол</w:t>
      </w:r>
      <w:r w:rsidRPr="00D03F3E">
        <w:rPr>
          <w:rFonts w:ascii="Times New Roman" w:hAnsi="Times New Roman"/>
          <w:color w:val="000000" w:themeColor="text1"/>
          <w:sz w:val="16"/>
          <w:szCs w:val="16"/>
        </w:rPr>
        <w:softHyphen/>
        <w:t>нительскую дисциплину среди комэсков и командиров звеньев авиаполков. При этом большую часть вины следует возложить все же на истребители, кото</w:t>
      </w:r>
      <w:r w:rsidRPr="00D03F3E">
        <w:rPr>
          <w:rFonts w:ascii="Times New Roman" w:hAnsi="Times New Roman"/>
          <w:color w:val="000000" w:themeColor="text1"/>
          <w:sz w:val="16"/>
          <w:szCs w:val="16"/>
        </w:rPr>
        <w:softHyphen/>
        <w:t>рые не только постоянно опаздывали с вылетом, но и не выполняли на мар</w:t>
      </w:r>
      <w:r w:rsidRPr="00D03F3E">
        <w:rPr>
          <w:rFonts w:ascii="Times New Roman" w:hAnsi="Times New Roman"/>
          <w:color w:val="000000" w:themeColor="text1"/>
          <w:sz w:val="16"/>
          <w:szCs w:val="16"/>
        </w:rPr>
        <w:softHyphen/>
        <w:t xml:space="preserve">шруте к цели и в бою </w:t>
      </w:r>
      <w:r w:rsidRPr="00D03F3E">
        <w:rPr>
          <w:rFonts w:ascii="Times New Roman" w:hAnsi="Times New Roman"/>
          <w:iCs/>
          <w:color w:val="000000" w:themeColor="text1"/>
          <w:sz w:val="16"/>
          <w:szCs w:val="16"/>
        </w:rPr>
        <w:t xml:space="preserve">«всех условий договоренности». </w:t>
      </w:r>
      <w:r w:rsidRPr="00D03F3E">
        <w:rPr>
          <w:rFonts w:ascii="Times New Roman" w:hAnsi="Times New Roman"/>
          <w:color w:val="000000" w:themeColor="text1"/>
          <w:sz w:val="16"/>
          <w:szCs w:val="16"/>
        </w:rPr>
        <w:t>Группы Ил-2 действо</w:t>
      </w:r>
      <w:r w:rsidRPr="00D03F3E">
        <w:rPr>
          <w:rFonts w:ascii="Times New Roman" w:hAnsi="Times New Roman"/>
          <w:color w:val="000000" w:themeColor="text1"/>
          <w:sz w:val="16"/>
          <w:szCs w:val="16"/>
        </w:rPr>
        <w:softHyphen/>
        <w:t>вали над целью, или совсем не при</w:t>
      </w:r>
      <w:r w:rsidRPr="00D03F3E">
        <w:rPr>
          <w:rFonts w:ascii="Times New Roman" w:hAnsi="Times New Roman"/>
          <w:color w:val="000000" w:themeColor="text1"/>
          <w:sz w:val="16"/>
          <w:szCs w:val="16"/>
        </w:rPr>
        <w:softHyphen/>
        <w:t>крытые, или имели прикрытие одиноч</w:t>
      </w:r>
      <w:r w:rsidRPr="00D03F3E">
        <w:rPr>
          <w:rFonts w:ascii="Times New Roman" w:hAnsi="Times New Roman"/>
          <w:color w:val="000000" w:themeColor="text1"/>
          <w:sz w:val="16"/>
          <w:szCs w:val="16"/>
        </w:rPr>
        <w:softHyphen/>
        <w:t>ными истребителями и парами.</w:t>
      </w:r>
    </w:p>
    <w:p w14:paraId="50E71BD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 этому поводу командир 565-го </w:t>
      </w:r>
      <w:r w:rsidRPr="00D03F3E">
        <w:rPr>
          <w:rFonts w:ascii="Times New Roman" w:hAnsi="Times New Roman"/>
          <w:iCs/>
          <w:color w:val="000000" w:themeColor="text1"/>
          <w:sz w:val="16"/>
          <w:szCs w:val="16"/>
        </w:rPr>
        <w:t xml:space="preserve">шап м-р </w:t>
      </w:r>
      <w:r w:rsidRPr="00D03F3E">
        <w:rPr>
          <w:rFonts w:ascii="Times New Roman" w:hAnsi="Times New Roman"/>
          <w:color w:val="000000" w:themeColor="text1"/>
          <w:sz w:val="16"/>
          <w:szCs w:val="16"/>
        </w:rPr>
        <w:t>В.И. Сериков в итоговом бое</w:t>
      </w:r>
      <w:r w:rsidRPr="00D03F3E">
        <w:rPr>
          <w:rFonts w:ascii="Times New Roman" w:hAnsi="Times New Roman"/>
          <w:color w:val="000000" w:themeColor="text1"/>
          <w:sz w:val="16"/>
          <w:szCs w:val="16"/>
        </w:rPr>
        <w:softHyphen/>
        <w:t xml:space="preserve">вом донесении за 7 мая указывал: </w:t>
      </w:r>
      <w:r w:rsidRPr="00D03F3E">
        <w:rPr>
          <w:rFonts w:ascii="Times New Roman" w:hAnsi="Times New Roman"/>
          <w:iCs/>
          <w:color w:val="000000" w:themeColor="text1"/>
          <w:sz w:val="16"/>
          <w:szCs w:val="16"/>
        </w:rPr>
        <w:t>«...При повторных налетах нужно осо</w:t>
      </w:r>
      <w:r w:rsidRPr="00D03F3E">
        <w:rPr>
          <w:rFonts w:ascii="Times New Roman" w:hAnsi="Times New Roman"/>
          <w:iCs/>
          <w:color w:val="000000" w:themeColor="text1"/>
          <w:sz w:val="16"/>
          <w:szCs w:val="16"/>
        </w:rPr>
        <w:softHyphen/>
        <w:t>бое внимание обращать на организа</w:t>
      </w:r>
      <w:r w:rsidRPr="00D03F3E">
        <w:rPr>
          <w:rFonts w:ascii="Times New Roman" w:hAnsi="Times New Roman"/>
          <w:iCs/>
          <w:color w:val="000000" w:themeColor="text1"/>
          <w:sz w:val="16"/>
          <w:szCs w:val="16"/>
        </w:rPr>
        <w:softHyphen/>
        <w:t>цию сопровождения штурмовиков ис</w:t>
      </w:r>
      <w:r w:rsidRPr="00D03F3E">
        <w:rPr>
          <w:rFonts w:ascii="Times New Roman" w:hAnsi="Times New Roman"/>
          <w:iCs/>
          <w:color w:val="000000" w:themeColor="text1"/>
          <w:sz w:val="16"/>
          <w:szCs w:val="16"/>
        </w:rPr>
        <w:softHyphen/>
        <w:t>требителями» (11087).</w:t>
      </w:r>
    </w:p>
    <w:p w14:paraId="4D22EDE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64B298B2" w14:textId="77777777" w:rsidR="00003434" w:rsidRPr="00D03F3E" w:rsidRDefault="0000343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7 мая 1943 утром был нанесен третий массированный удар по четырнадцати немецким аэродромам. На этот раз в налетах приняли участие 330 самолетов, в том числе 98 Ил</w:t>
      </w:r>
      <w:r w:rsidRPr="00D03F3E">
        <w:rPr>
          <w:rFonts w:ascii="Times New Roman" w:hAnsi="Times New Roman"/>
          <w:color w:val="0070C0"/>
          <w:sz w:val="16"/>
          <w:szCs w:val="16"/>
        </w:rPr>
        <w:noBreakHyphen/>
        <w:t>2. Но теперь ни на какую внезапность рассчитывать не приходилось. Уже на подходе к цели ударные группы были перехвачены патрульными истребителями люфтваффе и понесли большие потери.</w:t>
      </w:r>
    </w:p>
    <w:p w14:paraId="3298DDD3" w14:textId="77777777" w:rsidR="00003434" w:rsidRPr="00D03F3E" w:rsidRDefault="0000343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Так, 12 Ил</w:t>
      </w:r>
      <w:r w:rsidRPr="00D03F3E">
        <w:rPr>
          <w:rFonts w:ascii="Times New Roman" w:hAnsi="Times New Roman"/>
          <w:color w:val="0070C0"/>
          <w:sz w:val="16"/>
          <w:szCs w:val="16"/>
        </w:rPr>
        <w:noBreakHyphen/>
        <w:t>2 из 58</w:t>
      </w:r>
      <w:r w:rsidRPr="00D03F3E">
        <w:rPr>
          <w:rFonts w:ascii="Times New Roman" w:hAnsi="Times New Roman"/>
          <w:color w:val="0070C0"/>
          <w:sz w:val="16"/>
          <w:szCs w:val="16"/>
        </w:rPr>
        <w:noBreakHyphen/>
        <w:t>го и 79</w:t>
      </w:r>
      <w:r w:rsidRPr="00D03F3E">
        <w:rPr>
          <w:rFonts w:ascii="Times New Roman" w:hAnsi="Times New Roman"/>
          <w:color w:val="0070C0"/>
          <w:sz w:val="16"/>
          <w:szCs w:val="16"/>
        </w:rPr>
        <w:noBreakHyphen/>
        <w:t>го гв. шап попытались атаковать аэродром Хмелевка. Еще на пути к нему в воздухе появились две группы FW</w:t>
      </w:r>
      <w:r w:rsidRPr="00D03F3E">
        <w:rPr>
          <w:rFonts w:ascii="Times New Roman" w:hAnsi="Times New Roman"/>
          <w:color w:val="0070C0"/>
          <w:sz w:val="16"/>
          <w:szCs w:val="16"/>
        </w:rPr>
        <w:noBreakHyphen/>
        <w:t>190A из JG51 «Мёльдерс», сбившие несколько «горбатых». Потом в районе аэродрома по Илам открыла прицельный огонь зенитная артиллерия. В результате организованного удара не получилось, пилоты сбрасывали бомбы неприцельно, кто как мог, фактически по площадям.</w:t>
      </w:r>
    </w:p>
    <w:p w14:paraId="2D82B67A" w14:textId="77777777" w:rsidR="00003434" w:rsidRPr="00D03F3E" w:rsidRDefault="0000343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Развернувшись к линии фронта, уцелевшие штурмовики летели разрозненными парами и поодиночке. Отбивая атаки «Фокке</w:t>
      </w:r>
      <w:r w:rsidRPr="00D03F3E">
        <w:rPr>
          <w:rFonts w:ascii="Times New Roman" w:hAnsi="Times New Roman"/>
          <w:color w:val="0070C0"/>
          <w:sz w:val="16"/>
          <w:szCs w:val="16"/>
        </w:rPr>
        <w:noBreakHyphen/>
        <w:t>Вульфов», их бортстрелки отчаянно палили в разные стороны и быстро израсходовали весь боезапас. А где же все это время были истребители эскорта? Их, как всегда, не оказалось поблизости. Увидев разрывы сотен зенитных снарядов и «Мессершмитты», доблестные летчики</w:t>
      </w:r>
      <w:r w:rsidRPr="00D03F3E">
        <w:rPr>
          <w:rFonts w:ascii="Times New Roman" w:hAnsi="Times New Roman"/>
          <w:color w:val="0070C0"/>
          <w:sz w:val="16"/>
          <w:szCs w:val="16"/>
        </w:rPr>
        <w:noBreakHyphen/>
        <w:t>истребители просто не решились снижаться вслед за Ил</w:t>
      </w:r>
      <w:r w:rsidRPr="00D03F3E">
        <w:rPr>
          <w:rFonts w:ascii="Times New Roman" w:hAnsi="Times New Roman"/>
          <w:color w:val="0070C0"/>
          <w:sz w:val="16"/>
          <w:szCs w:val="16"/>
        </w:rPr>
        <w:noBreakHyphen/>
        <w:t>2 и в конце концов просто потеряли их из виду. В итоге обратно не вернулся ни один штурмовик!</w:t>
      </w:r>
    </w:p>
    <w:p w14:paraId="0A9F4376" w14:textId="083211AA" w:rsidR="00003434" w:rsidRPr="00D03F3E" w:rsidRDefault="0000343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дальнейшем этот разгром стал поводом для следствия и разбирательства в военном трибунале. Командование штурмовиков всю вину пыталось свалить на истребителей, а последние, наоборот, на штурмовиков, мол, те шли неправильным курсом, теряли ориентировку и т. п.</w:t>
      </w:r>
    </w:p>
    <w:p w14:paraId="1AEBB0E1" w14:textId="77777777" w:rsidR="00003434" w:rsidRPr="00D03F3E" w:rsidRDefault="0000343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Чуть менее драматично сложился удар 14 Ил</w:t>
      </w:r>
      <w:r w:rsidRPr="00D03F3E">
        <w:rPr>
          <w:rFonts w:ascii="Times New Roman" w:hAnsi="Times New Roman"/>
          <w:color w:val="0070C0"/>
          <w:sz w:val="16"/>
          <w:szCs w:val="16"/>
        </w:rPr>
        <w:noBreakHyphen/>
        <w:t>2 из 218</w:t>
      </w:r>
      <w:r w:rsidRPr="00D03F3E">
        <w:rPr>
          <w:rFonts w:ascii="Times New Roman" w:hAnsi="Times New Roman"/>
          <w:color w:val="0070C0"/>
          <w:sz w:val="16"/>
          <w:szCs w:val="16"/>
        </w:rPr>
        <w:noBreakHyphen/>
        <w:t>го шап по аэродрому Большая Куликовка. В 5.22 они вышли на цель и в течение пяти минут сбрасывали на нее осколочные и фугасные бомбы, а также пускали «эрэсы». Впрочем, ни одна из бомб или ракет в цель не попала. На обратном пути, к ужасу экипажей, в небе появились вездесущие немецкие истребители. При этом они напрасно всматривались в небо, надеясь увидеть там свое прикрытие. Пилотов Ла</w:t>
      </w:r>
      <w:r w:rsidRPr="00D03F3E">
        <w:rPr>
          <w:rFonts w:ascii="Times New Roman" w:hAnsi="Times New Roman"/>
          <w:color w:val="0070C0"/>
          <w:sz w:val="16"/>
          <w:szCs w:val="16"/>
        </w:rPr>
        <w:noBreakHyphen/>
        <w:t>5 снова не оказалось в нужное время в нужном месте.</w:t>
      </w:r>
    </w:p>
    <w:p w14:paraId="5EED6541" w14:textId="77777777" w:rsidR="00003434" w:rsidRPr="00D03F3E" w:rsidRDefault="0000343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ходе первой же атаки была сбита «черная смерть» ведущего первой шестерки капитана Лебедева. Вслед за ней горящими кометами понеслись к земле штурмовики младших лейтенантов Назарова и Соковкина. Еще один Ил</w:t>
      </w:r>
      <w:r w:rsidRPr="00D03F3E">
        <w:rPr>
          <w:rFonts w:ascii="Times New Roman" w:hAnsi="Times New Roman"/>
          <w:color w:val="0070C0"/>
          <w:sz w:val="16"/>
          <w:szCs w:val="16"/>
        </w:rPr>
        <w:noBreakHyphen/>
        <w:t>2 получил повреждения и совершил вынужденную посадку в расположении советских войск. Лишь после этого откуда</w:t>
      </w:r>
      <w:r w:rsidRPr="00D03F3E">
        <w:rPr>
          <w:rFonts w:ascii="Times New Roman" w:hAnsi="Times New Roman"/>
          <w:color w:val="0070C0"/>
          <w:sz w:val="16"/>
          <w:szCs w:val="16"/>
        </w:rPr>
        <w:noBreakHyphen/>
        <w:t>то возникли «Лавочкины». Поэтому вторая шестерка пострадала меньше. Три машины были повреждены и сели на вынужденную в разных местах уже на своей территории. Потери истребителей прикрытия составили три машины. Таким образом, атакующая группа лишилась в общей сложности десятка самолетов.</w:t>
      </w:r>
    </w:p>
    <w:p w14:paraId="54524D52" w14:textId="77777777" w:rsidR="00003434" w:rsidRPr="00D03F3E" w:rsidRDefault="0000343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Остальные удары по немецким аэродромам 7 мая тоже прошли неудачно, хотя и не с такими большими потерями. 735</w:t>
      </w:r>
      <w:r w:rsidRPr="00D03F3E">
        <w:rPr>
          <w:rFonts w:ascii="Times New Roman" w:hAnsi="Times New Roman"/>
          <w:color w:val="0070C0"/>
          <w:sz w:val="16"/>
          <w:szCs w:val="16"/>
        </w:rPr>
        <w:noBreakHyphen/>
        <w:t>й, 800</w:t>
      </w:r>
      <w:r w:rsidRPr="00D03F3E">
        <w:rPr>
          <w:rFonts w:ascii="Times New Roman" w:hAnsi="Times New Roman"/>
          <w:color w:val="0070C0"/>
          <w:sz w:val="16"/>
          <w:szCs w:val="16"/>
        </w:rPr>
        <w:noBreakHyphen/>
        <w:t>й и 820</w:t>
      </w:r>
      <w:r w:rsidRPr="00D03F3E">
        <w:rPr>
          <w:rFonts w:ascii="Times New Roman" w:hAnsi="Times New Roman"/>
          <w:color w:val="0070C0"/>
          <w:sz w:val="16"/>
          <w:szCs w:val="16"/>
        </w:rPr>
        <w:noBreakHyphen/>
        <w:t>й шап снова атаковали свои «любимые» аэродромы харьковского аэроузла: Алешки, Сокольники и Рогань. И затем штаб 1</w:t>
      </w:r>
      <w:r w:rsidRPr="00D03F3E">
        <w:rPr>
          <w:rFonts w:ascii="Times New Roman" w:hAnsi="Times New Roman"/>
          <w:color w:val="0070C0"/>
          <w:sz w:val="16"/>
          <w:szCs w:val="16"/>
        </w:rPr>
        <w:noBreakHyphen/>
        <w:t>го шак доложил о якобы четырнадцати уничтоженных и двадцати поврежденных самолетах. При этом полки 4</w:t>
      </w:r>
      <w:r w:rsidRPr="00D03F3E">
        <w:rPr>
          <w:rFonts w:ascii="Times New Roman" w:hAnsi="Times New Roman"/>
          <w:color w:val="0070C0"/>
          <w:sz w:val="16"/>
          <w:szCs w:val="16"/>
        </w:rPr>
        <w:noBreakHyphen/>
        <w:t>го иак, прикрывавшие штурмовики, лишились девяти Як</w:t>
      </w:r>
      <w:r w:rsidRPr="00D03F3E">
        <w:rPr>
          <w:rFonts w:ascii="Times New Roman" w:hAnsi="Times New Roman"/>
          <w:color w:val="0070C0"/>
          <w:sz w:val="16"/>
          <w:szCs w:val="16"/>
        </w:rPr>
        <w:noBreakHyphen/>
        <w:t>1 иЛа</w:t>
      </w:r>
      <w:r w:rsidRPr="00D03F3E">
        <w:rPr>
          <w:rFonts w:ascii="Times New Roman" w:hAnsi="Times New Roman"/>
          <w:color w:val="0070C0"/>
          <w:sz w:val="16"/>
          <w:szCs w:val="16"/>
        </w:rPr>
        <w:noBreakHyphen/>
        <w:t>5. Налеты, совершенные 565, 566, 571 и 996</w:t>
      </w:r>
      <w:r w:rsidRPr="00D03F3E">
        <w:rPr>
          <w:rFonts w:ascii="Times New Roman" w:hAnsi="Times New Roman"/>
          <w:color w:val="0070C0"/>
          <w:sz w:val="16"/>
          <w:szCs w:val="16"/>
        </w:rPr>
        <w:noBreakHyphen/>
        <w:t>м шап на авиабазы Сещинская и Брянск, также завершились безрезультатно.</w:t>
      </w:r>
    </w:p>
    <w:p w14:paraId="746D3367" w14:textId="77777777" w:rsidR="00003434" w:rsidRPr="00D03F3E" w:rsidRDefault="0000343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общей сложности по итогам налетов, предпринятых 7 мая, сталинские авиаторы заявили о 122 уничтоженных на земле немецких самолетах. На самом же деле единственным их достижением стал Не</w:t>
      </w:r>
      <w:r w:rsidRPr="00D03F3E">
        <w:rPr>
          <w:rFonts w:ascii="Times New Roman" w:hAnsi="Times New Roman"/>
          <w:color w:val="0070C0"/>
          <w:sz w:val="16"/>
          <w:szCs w:val="16"/>
        </w:rPr>
        <w:noBreakHyphen/>
        <w:t>111Н</w:t>
      </w:r>
      <w:r w:rsidRPr="00D03F3E">
        <w:rPr>
          <w:rFonts w:ascii="Times New Roman" w:hAnsi="Times New Roman"/>
          <w:color w:val="0070C0"/>
          <w:sz w:val="16"/>
          <w:szCs w:val="16"/>
        </w:rPr>
        <w:noBreakHyphen/>
        <w:t>16 из II./KG55 «Грайф», поврежденный на аэродроме Сталино</w:t>
      </w:r>
      <w:r w:rsidRPr="00D03F3E">
        <w:rPr>
          <w:rFonts w:ascii="Times New Roman" w:hAnsi="Times New Roman"/>
          <w:color w:val="0070C0"/>
          <w:sz w:val="16"/>
          <w:szCs w:val="16"/>
        </w:rPr>
        <w:noBreakHyphen/>
        <w:t>Северный. Этот «успех» принадлежал экипажам 17 Пе</w:t>
      </w:r>
      <w:r w:rsidRPr="00D03F3E">
        <w:rPr>
          <w:rFonts w:ascii="Times New Roman" w:hAnsi="Times New Roman"/>
          <w:color w:val="0070C0"/>
          <w:sz w:val="16"/>
          <w:szCs w:val="16"/>
        </w:rPr>
        <w:noBreakHyphen/>
        <w:t>2 из 86</w:t>
      </w:r>
      <w:r w:rsidRPr="00D03F3E">
        <w:rPr>
          <w:rFonts w:ascii="Times New Roman" w:hAnsi="Times New Roman"/>
          <w:color w:val="0070C0"/>
          <w:sz w:val="16"/>
          <w:szCs w:val="16"/>
        </w:rPr>
        <w:noBreakHyphen/>
        <w:t>го бап, которые сбросили бомбы с одного захода с высоты 4700 метров. Немцы тоже не остались в долгу, сбив одну пешку и сильно повредив другую.</w:t>
      </w:r>
    </w:p>
    <w:p w14:paraId="1C59F6D9" w14:textId="77777777" w:rsidR="00003434" w:rsidRPr="00D03F3E" w:rsidRDefault="0000343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Сещинской, Сталино, Шаталово и Кутейниково получили ранения несколько человек из наземных частей. В то же время жертвами германских зенитчиков и истребителей стали 52 советских самолета, в том числе 27 Ил</w:t>
      </w:r>
      <w:r w:rsidRPr="00D03F3E">
        <w:rPr>
          <w:rFonts w:ascii="Times New Roman" w:hAnsi="Times New Roman"/>
          <w:color w:val="0070C0"/>
          <w:sz w:val="16"/>
          <w:szCs w:val="16"/>
        </w:rPr>
        <w:noBreakHyphen/>
        <w:t>2. В то утро самыми результативными снова были пилоты JG51 «Мёльдерс». Фельдфебель Герберт Баройтер из 3</w:t>
      </w:r>
      <w:r w:rsidRPr="00D03F3E">
        <w:rPr>
          <w:rFonts w:ascii="Times New Roman" w:hAnsi="Times New Roman"/>
          <w:color w:val="0070C0"/>
          <w:sz w:val="16"/>
          <w:szCs w:val="16"/>
        </w:rPr>
        <w:noBreakHyphen/>
        <w:t>й эскадрильи за тринадцать минут сбил два «цементбомбера» и МиГ</w:t>
      </w:r>
      <w:r w:rsidRPr="00D03F3E">
        <w:rPr>
          <w:rFonts w:ascii="Times New Roman" w:hAnsi="Times New Roman"/>
          <w:color w:val="0070C0"/>
          <w:sz w:val="16"/>
          <w:szCs w:val="16"/>
        </w:rPr>
        <w:noBreakHyphen/>
        <w:t>3, фельдфебель Лебер из 2</w:t>
      </w:r>
      <w:r w:rsidRPr="00D03F3E">
        <w:rPr>
          <w:rFonts w:ascii="Times New Roman" w:hAnsi="Times New Roman"/>
          <w:color w:val="0070C0"/>
          <w:sz w:val="16"/>
          <w:szCs w:val="16"/>
        </w:rPr>
        <w:noBreakHyphen/>
        <w:t>й эскадрильи за десять минут – два штурмовика и один Ла</w:t>
      </w:r>
      <w:r w:rsidRPr="00D03F3E">
        <w:rPr>
          <w:rFonts w:ascii="Times New Roman" w:hAnsi="Times New Roman"/>
          <w:color w:val="0070C0"/>
          <w:sz w:val="16"/>
          <w:szCs w:val="16"/>
        </w:rPr>
        <w:noBreakHyphen/>
        <w:t>5, а командир 11</w:t>
      </w:r>
      <w:r w:rsidRPr="00D03F3E">
        <w:rPr>
          <w:rFonts w:ascii="Times New Roman" w:hAnsi="Times New Roman"/>
          <w:color w:val="0070C0"/>
          <w:sz w:val="16"/>
          <w:szCs w:val="16"/>
        </w:rPr>
        <w:noBreakHyphen/>
        <w:t>й эскадрильи обер</w:t>
      </w:r>
      <w:r w:rsidRPr="00D03F3E">
        <w:rPr>
          <w:rFonts w:ascii="Times New Roman" w:hAnsi="Times New Roman"/>
          <w:color w:val="0070C0"/>
          <w:sz w:val="16"/>
          <w:szCs w:val="16"/>
        </w:rPr>
        <w:noBreakHyphen/>
        <w:t>лейтенант Адольф Борхерс за четыре минуты – МиГ</w:t>
      </w:r>
      <w:r w:rsidRPr="00D03F3E">
        <w:rPr>
          <w:rFonts w:ascii="Times New Roman" w:hAnsi="Times New Roman"/>
          <w:color w:val="0070C0"/>
          <w:sz w:val="16"/>
          <w:szCs w:val="16"/>
        </w:rPr>
        <w:noBreakHyphen/>
        <w:t>3, Ла</w:t>
      </w:r>
      <w:r w:rsidRPr="00D03F3E">
        <w:rPr>
          <w:rFonts w:ascii="Times New Roman" w:hAnsi="Times New Roman"/>
          <w:color w:val="0070C0"/>
          <w:sz w:val="16"/>
          <w:szCs w:val="16"/>
        </w:rPr>
        <w:noBreakHyphen/>
        <w:t>5 и Ил</w:t>
      </w:r>
      <w:r w:rsidRPr="00D03F3E">
        <w:rPr>
          <w:rFonts w:ascii="Times New Roman" w:hAnsi="Times New Roman"/>
          <w:color w:val="0070C0"/>
          <w:sz w:val="16"/>
          <w:szCs w:val="16"/>
        </w:rPr>
        <w:noBreakHyphen/>
        <w:t>2. На счету же обер</w:t>
      </w:r>
      <w:r w:rsidRPr="00D03F3E">
        <w:rPr>
          <w:rFonts w:ascii="Times New Roman" w:hAnsi="Times New Roman"/>
          <w:color w:val="0070C0"/>
          <w:sz w:val="16"/>
          <w:szCs w:val="16"/>
        </w:rPr>
        <w:noBreakHyphen/>
        <w:t>лейтенанта Герберта Эпихардта из штабного звена 1</w:t>
      </w:r>
      <w:r w:rsidRPr="00D03F3E">
        <w:rPr>
          <w:rFonts w:ascii="Times New Roman" w:hAnsi="Times New Roman"/>
          <w:color w:val="0070C0"/>
          <w:sz w:val="16"/>
          <w:szCs w:val="16"/>
        </w:rPr>
        <w:noBreakHyphen/>
        <w:t>й группы, лейтенанта Йоахима Бренделя из 2</w:t>
      </w:r>
      <w:r w:rsidRPr="00D03F3E">
        <w:rPr>
          <w:rFonts w:ascii="Times New Roman" w:hAnsi="Times New Roman"/>
          <w:color w:val="0070C0"/>
          <w:sz w:val="16"/>
          <w:szCs w:val="16"/>
        </w:rPr>
        <w:noBreakHyphen/>
        <w:t>й эскадрильи и унтер</w:t>
      </w:r>
      <w:r w:rsidRPr="00D03F3E">
        <w:rPr>
          <w:rFonts w:ascii="Times New Roman" w:hAnsi="Times New Roman"/>
          <w:color w:val="0070C0"/>
          <w:sz w:val="16"/>
          <w:szCs w:val="16"/>
        </w:rPr>
        <w:noBreakHyphen/>
        <w:t>офицера Отто Гайзера из 10</w:t>
      </w:r>
      <w:r w:rsidRPr="00D03F3E">
        <w:rPr>
          <w:rFonts w:ascii="Times New Roman" w:hAnsi="Times New Roman"/>
          <w:color w:val="0070C0"/>
          <w:sz w:val="16"/>
          <w:szCs w:val="16"/>
        </w:rPr>
        <w:noBreakHyphen/>
        <w:t>й эскадрильи было по два Ила (23199).</w:t>
      </w:r>
    </w:p>
    <w:p w14:paraId="425FA332" w14:textId="77777777" w:rsidR="00003434" w:rsidRPr="00D03F3E" w:rsidRDefault="00003434" w:rsidP="00D03F3E">
      <w:pPr>
        <w:spacing w:after="0" w:line="240" w:lineRule="auto"/>
        <w:jc w:val="both"/>
        <w:rPr>
          <w:rFonts w:ascii="Times New Roman" w:hAnsi="Times New Roman"/>
          <w:color w:val="0070C0"/>
          <w:sz w:val="16"/>
          <w:szCs w:val="16"/>
        </w:rPr>
      </w:pPr>
    </w:p>
    <w:p w14:paraId="500C991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1943 из 12 экипажей Ил-2 от 58-го и 79-го гвардейских штурмовых авиаполков 2-й гшад, которые вылетали для нанесения удара по аэродрому Хмелевая, в живых остался только один экипаж: капитан Паршин и воздушный стрелок ст. сержант Матвеев. Их самолет был подбит истребителями противника и при вынужденной посадке в районе Новосиль полностью разбит.</w:t>
      </w:r>
    </w:p>
    <w:p w14:paraId="0E5AFF9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Оказалось, что группы потеряли ориентировку, сбились с курса и проскочили мимо аэродрома Хмелевая. В результате 6 Ил-2 от 58-го гшап (ведущий лейтенант Минга- лев) атаковали аэродром Орел-Центральный, а 6 Ил-2 от 79-го гшап (ведущий капитан Паршин) - аэродром Хмелевая, как этого требовало задание. В свою очередь, истребители сопровождения при первых же залпах зенитной артиллерии запаниковали и начали шарахаться в разные стороны, пытаясь спрятаться в облачность. Штурмовики над аэродромами оказались без прикрытия.</w:t>
      </w:r>
    </w:p>
    <w:p w14:paraId="540B5E8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итоге, "будучи оставленными сопровождающими истребителями, ...штурмовики по одиночке и парами были уничтожены истребителями противника в воздухе при подходе к цели и уходе от нее..." (12020).</w:t>
      </w:r>
    </w:p>
    <w:p w14:paraId="5337313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769188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1943 пара Ил-2-"охотников" от 617-го шап 291 -й шад в составе комэска лейтенанта Прошкина (воздушный стрелок старшина Сапиев) и командир звена мл. лейтенанта Алексухина (воздушный стрелок мл. сержант Апухин) в 4.37 вылетела на свободную "охоту" вдоль железной дороги на участке Сумы-Белополье. Экипажи шли по заранее рассчитанному маршруту на высоте 3-5 м. Линию фронта пересекли над лесом. Дальнейший полет проходил с использованием оврагов вдали населенных пунктов. Примерно в 5.00-5.05 при входе на ж.д. ст. Амбары был обнаружен эшелон в составе 42 крытых вагонов с войсками.</w:t>
      </w:r>
    </w:p>
    <w:p w14:paraId="65DFAAD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Первая атака была выполнена по паровозу под углом к составу 30° с выскакиванием на высоту 100-120 м на удалении от эшелона 2-3 км. Ведущий пары Ил-2 лейтенант Прошкин атаковал паровоз бомбами ФАБ-50, а ведомый мл .лейтенант Алексухин обстрелял паровоз из стрелково-пушечного вооружения. Паровоз окутался паром и остановился.</w:t>
      </w:r>
    </w:p>
    <w:p w14:paraId="50A90CB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втором заходе свои ФАБ-50 на вагоны из состава эшелона сбросил Алексухин, а Прошкин - огнем из пушек и PC подавил огневые точки МЗА, расположенные на открытых платформах в составе эшелона.</w:t>
      </w:r>
    </w:p>
    <w:p w14:paraId="0059747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6 последующих атак эшелона выполнялись без противодействия противника. В результате, кроме паровоза, получили различные повреждения около 30 вагонов, из которых часть загорелись (12020).</w:t>
      </w:r>
    </w:p>
    <w:p w14:paraId="02D5C49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DE4642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1943 вышло Постановление ГКО № 3309 О прекращении формирования новых танковых частей, соединении и пополнении действующих частей.РГАНИР, Фонд ГКО, д. 114, лл. 66 (11012).</w:t>
      </w:r>
    </w:p>
    <w:p w14:paraId="1DE3C97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6B567F9"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7 мая 1943 вышло Постановление ГКО № 3306 О распространении постановления ГОКО о введении отличительных знаков для раненых военнослужащих Красной Армии на фронтах Отечественной войны на сотрудников органов НКВД и НКГБ. (7104, 61).</w:t>
      </w:r>
    </w:p>
    <w:p w14:paraId="386291B3" w14:textId="77777777" w:rsidR="00531570" w:rsidRPr="00D03F3E" w:rsidRDefault="00531570" w:rsidP="00D03F3E">
      <w:pPr>
        <w:pStyle w:val="Iauiue"/>
        <w:tabs>
          <w:tab w:val="left" w:pos="11199"/>
        </w:tabs>
        <w:jc w:val="both"/>
        <w:rPr>
          <w:color w:val="000000" w:themeColor="text1"/>
          <w:sz w:val="16"/>
          <w:szCs w:val="16"/>
        </w:rPr>
      </w:pPr>
    </w:p>
    <w:p w14:paraId="387C5C7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1943 г. советскому "Спитфай</w:t>
      </w:r>
      <w:r w:rsidRPr="00D03F3E">
        <w:rPr>
          <w:rFonts w:ascii="Times New Roman" w:hAnsi="Times New Roman"/>
          <w:color w:val="000000" w:themeColor="text1"/>
          <w:sz w:val="16"/>
          <w:szCs w:val="16"/>
        </w:rPr>
        <w:softHyphen/>
        <w:t>ру" удалось заснять в Альтен-фьорде "Шарнхорст", "Адмирал Шеер", два крейсера, плавбазу и четыре эсминца (10790).</w:t>
      </w:r>
    </w:p>
    <w:p w14:paraId="15F506C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4127C59"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Жизнь и внутренняя политика:</w:t>
      </w:r>
    </w:p>
    <w:p w14:paraId="04396409" w14:textId="77777777" w:rsidR="00531570" w:rsidRPr="00D03F3E" w:rsidRDefault="00531570" w:rsidP="00D03F3E">
      <w:pPr>
        <w:pStyle w:val="Iauiue"/>
        <w:jc w:val="both"/>
        <w:rPr>
          <w:iCs/>
          <w:color w:val="000000" w:themeColor="text1"/>
          <w:sz w:val="16"/>
          <w:szCs w:val="16"/>
        </w:rPr>
      </w:pPr>
    </w:p>
    <w:p w14:paraId="28BF70EE"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7 мая 1943 вышло Постановление ГКО № 3295 О Музее-выставке трофейного вооружения и техники. (7103, 163,164-173).</w:t>
      </w:r>
    </w:p>
    <w:p w14:paraId="535C3520" w14:textId="77777777" w:rsidR="00531570" w:rsidRPr="00D03F3E" w:rsidRDefault="00531570" w:rsidP="00D03F3E">
      <w:pPr>
        <w:pStyle w:val="Iauiue"/>
        <w:tabs>
          <w:tab w:val="left" w:pos="11199"/>
        </w:tabs>
        <w:jc w:val="both"/>
        <w:rPr>
          <w:color w:val="000000" w:themeColor="text1"/>
          <w:sz w:val="16"/>
          <w:szCs w:val="16"/>
        </w:rPr>
      </w:pPr>
    </w:p>
    <w:p w14:paraId="136EDE3A"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1F500321" w14:textId="77777777" w:rsidR="00531570" w:rsidRPr="00D03F3E" w:rsidRDefault="00531570" w:rsidP="00D03F3E">
      <w:pPr>
        <w:pStyle w:val="Iauiue"/>
        <w:jc w:val="both"/>
        <w:rPr>
          <w:iCs/>
          <w:color w:val="000000" w:themeColor="text1"/>
          <w:sz w:val="16"/>
          <w:szCs w:val="16"/>
        </w:rPr>
      </w:pPr>
    </w:p>
    <w:p w14:paraId="5B94DB55"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xml:space="preserve">7 мая в 1943 году облетали переделанный на фирме «DLH Staaken» в морской разведывательный самолет </w:t>
      </w:r>
      <w:hyperlink r:id="rId155" w:tgtFrame="_blank" w:history="1">
        <w:r w:rsidRPr="00D03F3E">
          <w:rPr>
            <w:rFonts w:ascii="Times New Roman" w:hAnsi="Times New Roman"/>
            <w:color w:val="000000" w:themeColor="text1"/>
            <w:sz w:val="16"/>
            <w:szCs w:val="16"/>
          </w:rPr>
          <w:t xml:space="preserve">«Ме-210А-1» </w:t>
        </w:r>
      </w:hyperlink>
      <w:r w:rsidRPr="00D03F3E">
        <w:rPr>
          <w:rFonts w:ascii="Times New Roman" w:hAnsi="Times New Roman"/>
          <w:color w:val="000000" w:themeColor="text1"/>
          <w:sz w:val="16"/>
          <w:szCs w:val="16"/>
        </w:rPr>
        <w:t>(W.Nr.2319) (14884).</w:t>
      </w:r>
    </w:p>
    <w:p w14:paraId="78AF3D9E" w14:textId="77777777" w:rsidR="00F7391D" w:rsidRPr="00D03F3E" w:rsidRDefault="00F7391D" w:rsidP="00D03F3E">
      <w:pPr>
        <w:spacing w:after="0" w:line="240" w:lineRule="auto"/>
        <w:jc w:val="both"/>
        <w:rPr>
          <w:rFonts w:ascii="Times New Roman" w:hAnsi="Times New Roman"/>
          <w:color w:val="000000" w:themeColor="text1"/>
          <w:sz w:val="16"/>
          <w:szCs w:val="16"/>
        </w:rPr>
      </w:pPr>
    </w:p>
    <w:p w14:paraId="75DBCC42" w14:textId="77777777" w:rsidR="00F7391D" w:rsidRPr="00D03F3E" w:rsidRDefault="00F7391D" w:rsidP="00D03F3E">
      <w:pPr>
        <w:pStyle w:val="Iauiue"/>
        <w:jc w:val="both"/>
        <w:rPr>
          <w:color w:val="000000" w:themeColor="text1"/>
          <w:sz w:val="16"/>
          <w:szCs w:val="16"/>
          <w:lang w:val="en-US"/>
        </w:rPr>
      </w:pPr>
      <w:r w:rsidRPr="00D03F3E">
        <w:rPr>
          <w:color w:val="000000" w:themeColor="text1"/>
          <w:sz w:val="16"/>
          <w:szCs w:val="16"/>
          <w:lang w:val="en-US"/>
        </w:rPr>
        <w:t>May 7 1943 Navy representatives witnessed landing trials of the XR-4 helicopter aboard the merchant tanker Bunker Hill in a demonstration sponsored by the Maritime Commission and conducted in Long Island Sound. The pilot, Colonel R. F. Gregory, AAF, made about 15 flights, and in some of these flights he landed on the water before returning to the platform on the deck of the ship (1090).</w:t>
      </w:r>
    </w:p>
    <w:p w14:paraId="0C37F58B" w14:textId="77777777" w:rsidR="00F7391D" w:rsidRPr="00D03F3E" w:rsidRDefault="00F7391D" w:rsidP="00D03F3E">
      <w:pPr>
        <w:pStyle w:val="Iauiue"/>
        <w:jc w:val="both"/>
        <w:rPr>
          <w:color w:val="000000" w:themeColor="text1"/>
          <w:sz w:val="16"/>
          <w:szCs w:val="16"/>
          <w:lang w:val="en-US"/>
        </w:rPr>
      </w:pPr>
    </w:p>
    <w:p w14:paraId="59D388D2" w14:textId="77777777" w:rsidR="00F7391D" w:rsidRPr="00D03F3E" w:rsidRDefault="00F7391D" w:rsidP="00D03F3E">
      <w:pPr>
        <w:pStyle w:val="Iauiue"/>
        <w:jc w:val="both"/>
        <w:rPr>
          <w:color w:val="000000" w:themeColor="text1"/>
          <w:sz w:val="16"/>
          <w:szCs w:val="16"/>
        </w:rPr>
      </w:pPr>
      <w:r w:rsidRPr="00D03F3E">
        <w:rPr>
          <w:color w:val="000000" w:themeColor="text1"/>
          <w:sz w:val="16"/>
          <w:szCs w:val="16"/>
        </w:rPr>
        <w:t>7 мая 1943 представители ВМФ наблюдали за 15 посадками вертолета XR-4 на танкер. В некоторых случаях вертолет садился и на воду (1090).</w:t>
      </w:r>
    </w:p>
    <w:p w14:paraId="2334CA64" w14:textId="77777777" w:rsidR="00F7391D" w:rsidRPr="00D03F3E" w:rsidRDefault="00F7391D" w:rsidP="00D03F3E">
      <w:pPr>
        <w:pStyle w:val="Iauiue"/>
        <w:jc w:val="both"/>
        <w:rPr>
          <w:color w:val="000000" w:themeColor="text1"/>
          <w:sz w:val="16"/>
          <w:szCs w:val="16"/>
        </w:rPr>
      </w:pPr>
    </w:p>
    <w:p w14:paraId="745282ED"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7 мая 1943 - Для определения возможности эксплуатации вертолетов с палуб торговых судов для противолодочных патрулей, полковник ВВС США Франклин ("Фрэнк") Грегори сделал 23 посадок и взлетов на танкере Bunker Hill в Лонг-Айленде. Для полетов использовался вертолет Vought-Sikorsky XR-4 (22510).</w:t>
      </w:r>
    </w:p>
    <w:p w14:paraId="1C75A43A" w14:textId="77777777" w:rsidR="00474574" w:rsidRPr="00D03F3E" w:rsidRDefault="00474574" w:rsidP="00D03F3E">
      <w:pPr>
        <w:pStyle w:val="1162"/>
        <w:shd w:val="clear" w:color="auto" w:fill="auto"/>
        <w:spacing w:after="0" w:line="240" w:lineRule="auto"/>
        <w:ind w:firstLine="0"/>
        <w:jc w:val="both"/>
        <w:rPr>
          <w:rFonts w:ascii="Times New Roman" w:hAnsi="Times New Roman" w:cs="Times New Roman"/>
          <w:color w:val="0070C0"/>
          <w:sz w:val="16"/>
          <w:szCs w:val="16"/>
        </w:rPr>
      </w:pPr>
    </w:p>
    <w:p w14:paraId="3B451999"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в 1943 году британские спецслужбы проводят успешную операцию по дезинформации немецкой разведки, в результате которой Канарис передает в ОКБ сведения о том, что в 1943 союзники намереваются провести главные амфибийные операции на острове Сардиния/Италия и полуострове Пелопоннес/Греция, имитируя высадку морского и воздушного десантов на Сицилии/Италия и в номе Додеканес/Греция. Руководствуясь полученными разведдонесениями, ОКБ разрабатывает и принимает ошибочную диспозицию на средиземноморском театре военных действий (14884).</w:t>
      </w:r>
    </w:p>
    <w:p w14:paraId="64F3D00E" w14:textId="77777777" w:rsidR="00F7391D" w:rsidRPr="00D03F3E" w:rsidRDefault="00F7391D" w:rsidP="00D03F3E">
      <w:pPr>
        <w:spacing w:after="0" w:line="240" w:lineRule="auto"/>
        <w:jc w:val="both"/>
        <w:rPr>
          <w:rFonts w:ascii="Times New Roman" w:hAnsi="Times New Roman"/>
          <w:color w:val="000000" w:themeColor="text1"/>
          <w:sz w:val="16"/>
          <w:szCs w:val="16"/>
        </w:rPr>
      </w:pPr>
    </w:p>
    <w:p w14:paraId="7881A23E" w14:textId="77777777" w:rsidR="00F7391D" w:rsidRPr="00D03F3E" w:rsidRDefault="00F739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в 1943 году в Северной Африке англо-американские войска заняли Тунис и Бизерту (14884).</w:t>
      </w:r>
    </w:p>
    <w:p w14:paraId="203A19B7" w14:textId="77777777" w:rsidR="00F7391D" w:rsidRPr="00D03F3E" w:rsidRDefault="00F7391D" w:rsidP="00D03F3E">
      <w:pPr>
        <w:spacing w:after="0" w:line="240" w:lineRule="auto"/>
        <w:jc w:val="both"/>
        <w:rPr>
          <w:rFonts w:ascii="Times New Roman" w:hAnsi="Times New Roman"/>
          <w:color w:val="000000" w:themeColor="text1"/>
          <w:sz w:val="16"/>
          <w:szCs w:val="16"/>
        </w:rPr>
      </w:pPr>
    </w:p>
    <w:p w14:paraId="6FF93840"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7 мая 1943 войска союзников заняли Тунис (4962), части 1-ой британской армии вошли в город Тунис (4963 ).</w:t>
      </w:r>
    </w:p>
    <w:p w14:paraId="46EFE6FC" w14:textId="77777777" w:rsidR="00531570" w:rsidRPr="00D03F3E" w:rsidRDefault="00531570" w:rsidP="00D03F3E">
      <w:pPr>
        <w:pStyle w:val="Iauiue"/>
        <w:tabs>
          <w:tab w:val="left" w:pos="11199"/>
        </w:tabs>
        <w:jc w:val="both"/>
        <w:rPr>
          <w:color w:val="000000" w:themeColor="text1"/>
          <w:sz w:val="16"/>
          <w:szCs w:val="16"/>
        </w:rPr>
      </w:pPr>
    </w:p>
    <w:p w14:paraId="7C7D3593"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May 7th, 1943: 5.Panzerarmee evacuates Tunis and Bizerta (3819).</w:t>
      </w:r>
    </w:p>
    <w:p w14:paraId="6A7D350C" w14:textId="77777777" w:rsidR="00531570" w:rsidRPr="00D03F3E" w:rsidRDefault="00531570" w:rsidP="00D03F3E">
      <w:pPr>
        <w:pStyle w:val="Iauiue"/>
        <w:jc w:val="both"/>
        <w:rPr>
          <w:color w:val="000000" w:themeColor="text1"/>
          <w:sz w:val="16"/>
          <w:szCs w:val="16"/>
          <w:lang w:val="en-US"/>
        </w:rPr>
      </w:pPr>
    </w:p>
    <w:p w14:paraId="6068F5E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May 7 1943 Allies take Tunisia (1050).</w:t>
      </w:r>
    </w:p>
    <w:p w14:paraId="35ADC7DA" w14:textId="77777777" w:rsidR="00531570" w:rsidRPr="00D03F3E" w:rsidRDefault="00531570" w:rsidP="00D03F3E">
      <w:pPr>
        <w:pStyle w:val="Iauiue"/>
        <w:jc w:val="both"/>
        <w:rPr>
          <w:color w:val="000000" w:themeColor="text1"/>
          <w:sz w:val="16"/>
          <w:szCs w:val="16"/>
        </w:rPr>
      </w:pPr>
    </w:p>
    <w:p w14:paraId="66D8CD7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 мая 1943 союзники захватили Тунис (1050) и боевые операции в Северной Африке закончились (2246,2).</w:t>
      </w:r>
    </w:p>
    <w:p w14:paraId="264FFF57" w14:textId="77777777" w:rsidR="00531570" w:rsidRPr="00D03F3E" w:rsidRDefault="00531570" w:rsidP="00D03F3E">
      <w:pPr>
        <w:pStyle w:val="Iauiue"/>
        <w:jc w:val="both"/>
        <w:rPr>
          <w:color w:val="000000" w:themeColor="text1"/>
          <w:sz w:val="16"/>
          <w:szCs w:val="16"/>
        </w:rPr>
      </w:pPr>
    </w:p>
    <w:p w14:paraId="660378A8"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2E38ACE2" w14:textId="77777777" w:rsidR="00531570" w:rsidRPr="00D03F3E" w:rsidRDefault="00531570" w:rsidP="00D03F3E">
      <w:pPr>
        <w:pStyle w:val="Iauiue"/>
        <w:jc w:val="both"/>
        <w:rPr>
          <w:iCs/>
          <w:color w:val="000000" w:themeColor="text1"/>
          <w:sz w:val="16"/>
          <w:szCs w:val="16"/>
        </w:rPr>
      </w:pPr>
    </w:p>
    <w:p w14:paraId="4F4D2A8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 мая 1943 в 14:00 была авария Ла-5 N 3921ФНО1-13 л Мишенкова, который неправильно произвел расчет на посадку (2129).</w:t>
      </w:r>
    </w:p>
    <w:p w14:paraId="5E644684" w14:textId="77777777" w:rsidR="00531570" w:rsidRPr="00D03F3E" w:rsidRDefault="00531570" w:rsidP="00D03F3E">
      <w:pPr>
        <w:pStyle w:val="Iauiue"/>
        <w:jc w:val="both"/>
        <w:rPr>
          <w:color w:val="000000" w:themeColor="text1"/>
          <w:sz w:val="16"/>
          <w:szCs w:val="16"/>
        </w:rPr>
      </w:pPr>
    </w:p>
    <w:p w14:paraId="47F223D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 мая 1943 года вышел приказ 5 ГУ НКАП № 28с во исполнение Постановления ГКО № 3218с от 21 апреля 1943 года и приказа НКАП № 253с от 26 апреля 1943 года, в соответствии с которыми в июне 1943 года производство приборов “АК-1Д” было передано с завода № 133 заводу № 122, а ремонт электрических приборов на завод № 339. С завода № 213 (Энгельс) на завод № 133 было переведено производство анероидно-мембранных приборов (указатели скорости, высотомеры, вариометры, моновакуумметры, бензиномеры гидростатические, трубки ПИТО, вакуумметры, указатели азота и антифриза). Завод приступил к реорганизации производства. К началу 1944 года завод стал окончательно организованным предприятием.</w:t>
      </w:r>
    </w:p>
    <w:p w14:paraId="2F570DC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1944 году по Постановлению ГКО и приказу НКАП № 517 от 27 августа 1943 года, завод производил выпуск ампульных терморегуляторов для инкубаторов.</w:t>
      </w:r>
    </w:p>
    <w:p w14:paraId="39B7ACF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Приказом НКАП № 431с от 14 июля 1944 года при заводе № 133 было организовано ОКБ анероидно-мембранных, трубчато-пружинных и сильфонных приборов.</w:t>
      </w:r>
    </w:p>
    <w:p w14:paraId="567318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соответствии с приказом МАП № 683с от 27 августа 1949 года для размещения ОКБ-133 были предоставлены строения и площадка бывш. цеха ширпотреба завода № 140 МАП.</w:t>
      </w:r>
    </w:p>
    <w:p w14:paraId="188F575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первом квартале 1951 года ОКБ-133 полностью перебазировалось на новую площадку.</w:t>
      </w:r>
    </w:p>
    <w:p w14:paraId="4E15B2D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1 января 1959 года</w:t>
      </w:r>
    </w:p>
    <w:p w14:paraId="317BAC7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Адрес: Москва, Б. Божениновский пер., д. 17</w:t>
      </w:r>
    </w:p>
    <w:p w14:paraId="7094257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Директора завода:</w:t>
      </w:r>
    </w:p>
    <w:p w14:paraId="7E6D8C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Качкачьян М.М. – с октября 1941 года по август 1942 года</w:t>
      </w:r>
    </w:p>
    <w:p w14:paraId="4BC3A24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Комиссаров М.И. – с 18 августа 1942 года по 16 января 1951 года</w:t>
      </w:r>
    </w:p>
    <w:p w14:paraId="2B3583B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Павлов П.А. – с 16 января 1951 года по 20 апреля 1953 года</w:t>
      </w:r>
    </w:p>
    <w:p w14:paraId="3F09E77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Михайлов К.И. – с 20 апреля 1953 года по 31 января 1958 года</w:t>
      </w:r>
    </w:p>
    <w:p w14:paraId="7A022CC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Касьянов Н.Я. – с 31 января 1958 года (9456).</w:t>
      </w:r>
    </w:p>
    <w:p w14:paraId="407CB8FE" w14:textId="77777777" w:rsidR="00531570" w:rsidRPr="00D03F3E" w:rsidRDefault="00531570" w:rsidP="00D03F3E">
      <w:pPr>
        <w:pStyle w:val="Iauiue"/>
        <w:jc w:val="both"/>
        <w:rPr>
          <w:color w:val="000000" w:themeColor="text1"/>
          <w:sz w:val="16"/>
          <w:szCs w:val="16"/>
        </w:rPr>
      </w:pPr>
    </w:p>
    <w:p w14:paraId="0BD1B4EE"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0716BAF9" w14:textId="77777777" w:rsidR="00531570" w:rsidRPr="00D03F3E" w:rsidRDefault="00531570" w:rsidP="00D03F3E">
      <w:pPr>
        <w:pStyle w:val="Iauiue"/>
        <w:jc w:val="both"/>
        <w:rPr>
          <w:iCs/>
          <w:color w:val="000000" w:themeColor="text1"/>
          <w:sz w:val="16"/>
          <w:szCs w:val="16"/>
        </w:rPr>
      </w:pPr>
    </w:p>
    <w:p w14:paraId="0E0F91E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8 мая 1943 г. приказом НКВ/НКТП № 233/260 в соответствии с Пост. ГКО № 3289сс от 5.05.1943 г. ЦАКБ и заводу № 9 поручено изготовить опытные 85-мм пушки для </w:t>
      </w:r>
      <w:r w:rsidRPr="00D03F3E">
        <w:rPr>
          <w:rFonts w:ascii="Times New Roman" w:hAnsi="Times New Roman"/>
          <w:color w:val="000000" w:themeColor="text1"/>
          <w:sz w:val="16"/>
          <w:szCs w:val="16"/>
          <w:lang w:val="en-US"/>
        </w:rPr>
        <w:t>KB</w:t>
      </w:r>
      <w:r w:rsidRPr="00D03F3E">
        <w:rPr>
          <w:rFonts w:ascii="Times New Roman" w:hAnsi="Times New Roman"/>
          <w:color w:val="000000" w:themeColor="text1"/>
          <w:sz w:val="16"/>
          <w:szCs w:val="16"/>
        </w:rPr>
        <w:t>-1С и ИС и к 1.07.1943 г. представить их на испытания. В соответствии с пост. ГКО № 4851сс от 27.12.1943 г. создана пушка С-34.</w:t>
      </w:r>
    </w:p>
    <w:p w14:paraId="065C8A7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12.09.1943 г. вышло распоряжение ГКО № 4094 об улучшении условий работы ЦАКБ. 26.02.1944 г. - постановление ГКО № 5253 об обеспечении ЦАКБ ИТР и рабочей силой.</w:t>
      </w:r>
    </w:p>
    <w:p w14:paraId="2739626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1944 г. группа конструкторов во главе с И.И. Ивановым была направлена на завод № 232 для освоения серийного выпуска пушки БС-3. На ее базе пост, правительства от 27.05.1944 г. организован Ленинградский филиал ЦАКБ, пост. ГКО № 7739 от 8.03.1945 г. преобразованный в самостоятельное МАЦКБ.</w:t>
      </w:r>
    </w:p>
    <w:p w14:paraId="5F81F65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ГКО № 3187 от 15.04.1943 г. начата разработка 100-мм корпусной пушки с качествами противотанковой. 4.06.1943 г. были готовы чертежи пушки С-3, в 04.1944 г. на заводе № 172 изготовен оытный образец. В соответствии с пост. ГКО № 5822 от 7.05.1944 г. пушка БС-3 пнв и запущена в серию.</w:t>
      </w:r>
    </w:p>
    <w:p w14:paraId="17D371E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18.08.1943 г. вышло постановление ГКО № 3950 об изготовлении 45-мм пушки разработки ЦАКБ для самолетов-истребителей.</w:t>
      </w:r>
    </w:p>
    <w:p w14:paraId="25C52A5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ГКО № 4873сс от 1.01.1944 г. пушка С-53 пнв для танка Т-34.</w:t>
      </w:r>
    </w:p>
    <w:p w14:paraId="17F5543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Разработка систем автоматического управления и защиты ядерных реакторов (1950-е  г.).</w:t>
      </w:r>
    </w:p>
    <w:p w14:paraId="39ADC12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решению ГКОТ от 3.07.1959 г. ЦНИИ-58 с опытным заводом вошел в состав ОКБ-1 С.П. Королева.</w:t>
      </w:r>
    </w:p>
    <w:p w14:paraId="59D83EA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другой информации, НИИ-58 далее это - НИИ «Геодезия».</w:t>
      </w:r>
    </w:p>
    <w:p w14:paraId="57E850B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(1943-44 г.-)- г-л В. Г. Грабил. И.О. директора (2009 г.)- М. Сидоров.</w:t>
      </w:r>
    </w:p>
    <w:p w14:paraId="066CE08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(1943 г.)- Левертовский, (1944 г.)- И.И. Иванов.</w:t>
      </w:r>
    </w:p>
    <w:p w14:paraId="19EEA4C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(1944-59 г.)- г-л В. Г. Грабин.</w:t>
      </w:r>
    </w:p>
    <w:p w14:paraId="7333A12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отделов: 18-го (1944 г.)- К.К. Ренне.</w:t>
      </w:r>
    </w:p>
    <w:p w14:paraId="1EB97C7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Создано: пушки:</w:t>
      </w:r>
      <w:r w:rsidRPr="00D03F3E">
        <w:rPr>
          <w:rFonts w:ascii="Times New Roman" w:hAnsi="Times New Roman"/>
          <w:color w:val="000000" w:themeColor="text1"/>
          <w:sz w:val="16"/>
          <w:szCs w:val="16"/>
        </w:rPr>
        <w:t xml:space="preserve"> танковые: 76-мм С-54 для Т-34 (проект, 1943), 85-мм С-18 (1943), 85-мм С-31 для </w:t>
      </w:r>
      <w:r w:rsidRPr="00D03F3E">
        <w:rPr>
          <w:rFonts w:ascii="Times New Roman" w:hAnsi="Times New Roman"/>
          <w:color w:val="000000" w:themeColor="text1"/>
          <w:sz w:val="16"/>
          <w:szCs w:val="16"/>
          <w:lang w:val="en-US"/>
        </w:rPr>
        <w:t>KB</w:t>
      </w:r>
      <w:r w:rsidRPr="00D03F3E">
        <w:rPr>
          <w:rFonts w:ascii="Times New Roman" w:hAnsi="Times New Roman"/>
          <w:color w:val="000000" w:themeColor="text1"/>
          <w:sz w:val="16"/>
          <w:szCs w:val="16"/>
        </w:rPr>
        <w:t xml:space="preserve"> и ИС (1943), 85-мм С-50 для Т-34 (1943), 85-мм С-53 для Т-34-85 (пнв 1.01.1944 г.), 100-мм С-34 для ИС (1944), 122-мм С-41 (1943), 130-мм С-26 (1946) и С-70 (1947) для ИС-7; корабельная 100-мм спаренная С-44 (проект, 1943); полевая 100-мм БС-3 (пнв 7.05.1944 г.), Н-3-457 (1945); зенитная С-68 (на базе С-60) для ЗСУ-57-2 (пнв 14.02.1955 г.); авиационная 76-мм ДРП С-14 (1943-44);</w:t>
      </w:r>
      <w:r w:rsidRPr="00D03F3E">
        <w:rPr>
          <w:rFonts w:ascii="Times New Roman" w:hAnsi="Times New Roman"/>
          <w:iCs/>
          <w:color w:val="000000" w:themeColor="text1"/>
          <w:sz w:val="16"/>
          <w:szCs w:val="16"/>
        </w:rPr>
        <w:t xml:space="preserve"> самоходные ПУ:</w:t>
      </w:r>
      <w:r w:rsidRPr="00D03F3E">
        <w:rPr>
          <w:rFonts w:ascii="Times New Roman" w:hAnsi="Times New Roman"/>
          <w:color w:val="000000" w:themeColor="text1"/>
          <w:sz w:val="16"/>
          <w:szCs w:val="16"/>
        </w:rPr>
        <w:t xml:space="preserve"> С-119А (2П2) на шасси ПТ-76 и С-121 для ОТРК «Марс» (1950-е); С-123А (2П16, «объект 160») на базе ПТ-76 для ОТРК 2К6 «Луна» (1950-е); транспортно-заряжающая машина 2ПЗ на шасси ПТ-76 для ОТРК «Марс» (1950-е); опытное безоткатное орудие С-103 (калибр 420 мм) на самоходном гусеничном шасси для стрельбы ядерными боеприпасами (1956) (11982).</w:t>
      </w:r>
    </w:p>
    <w:p w14:paraId="4CE8459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5C23DF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мая 1943 г. в НКТП был издан приказ, в котором было дано зада</w:t>
      </w:r>
      <w:r w:rsidRPr="00D03F3E">
        <w:rPr>
          <w:rFonts w:ascii="Times New Roman" w:hAnsi="Times New Roman"/>
          <w:color w:val="000000" w:themeColor="text1"/>
          <w:sz w:val="16"/>
          <w:szCs w:val="16"/>
        </w:rPr>
        <w:softHyphen/>
        <w:t>ние заводам № 100 и ЧКЗ на изготовление опытных образцов танков ИС. Этим приказом предусматривалось построить три опытных образ</w:t>
      </w:r>
      <w:r w:rsidRPr="00D03F3E">
        <w:rPr>
          <w:rFonts w:ascii="Times New Roman" w:hAnsi="Times New Roman"/>
          <w:color w:val="000000" w:themeColor="text1"/>
          <w:sz w:val="16"/>
          <w:szCs w:val="16"/>
        </w:rPr>
        <w:softHyphen/>
        <w:t>ца танка ИС и два - КВ-1 С, вооруженных 85-мм пушкой с зенитной баллистикой. Причем один опытный образец танка ИС должен был по</w:t>
      </w:r>
      <w:r w:rsidRPr="00D03F3E">
        <w:rPr>
          <w:rFonts w:ascii="Times New Roman" w:hAnsi="Times New Roman"/>
          <w:color w:val="000000" w:themeColor="text1"/>
          <w:sz w:val="16"/>
          <w:szCs w:val="16"/>
        </w:rPr>
        <w:softHyphen/>
        <w:t>строить завод № 100, а два других - ЧКЗ. Узлы и детали на все три об</w:t>
      </w:r>
      <w:r w:rsidRPr="00D03F3E">
        <w:rPr>
          <w:rFonts w:ascii="Times New Roman" w:hAnsi="Times New Roman"/>
          <w:color w:val="000000" w:themeColor="text1"/>
          <w:sz w:val="16"/>
          <w:szCs w:val="16"/>
        </w:rPr>
        <w:softHyphen/>
        <w:t>разца изготавливались на ЧКЗ и один комплект узлов и деталей (до</w:t>
      </w:r>
      <w:r w:rsidRPr="00D03F3E">
        <w:rPr>
          <w:rFonts w:ascii="Times New Roman" w:hAnsi="Times New Roman"/>
          <w:color w:val="000000" w:themeColor="text1"/>
          <w:sz w:val="16"/>
          <w:szCs w:val="16"/>
        </w:rPr>
        <w:softHyphen/>
        <w:t>полнительно) делал завод № 100. Необходимо отметить, что вместо трех опытных танков были построены лишь два, которые впоследствии использовались для проведения различных опытно-конструкторских работ на заводе № 100. Новые требования по усилению вооружения танков во многом све</w:t>
      </w:r>
      <w:r w:rsidRPr="00D03F3E">
        <w:rPr>
          <w:rFonts w:ascii="Times New Roman" w:hAnsi="Times New Roman"/>
          <w:color w:val="000000" w:themeColor="text1"/>
          <w:sz w:val="16"/>
          <w:szCs w:val="16"/>
        </w:rPr>
        <w:softHyphen/>
        <w:t>ли на нет развернутую на ЧКЗ работу по подготовке серийного произ</w:t>
      </w:r>
      <w:r w:rsidRPr="00D03F3E">
        <w:rPr>
          <w:rFonts w:ascii="Times New Roman" w:hAnsi="Times New Roman"/>
          <w:color w:val="000000" w:themeColor="text1"/>
          <w:sz w:val="16"/>
          <w:szCs w:val="16"/>
        </w:rPr>
        <w:softHyphen/>
        <w:t>водства танка ИС (10703).</w:t>
      </w:r>
    </w:p>
    <w:p w14:paraId="07D1237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D49B503" w14:textId="77777777" w:rsidR="00823A64" w:rsidRPr="00D03F3E" w:rsidRDefault="00823A64" w:rsidP="00D03F3E">
      <w:pPr>
        <w:pStyle w:val="a3"/>
        <w:rPr>
          <w:color w:val="000000" w:themeColor="text1"/>
          <w:lang w:val="ru-RU"/>
        </w:rPr>
      </w:pPr>
      <w:r w:rsidRPr="00D03F3E">
        <w:rPr>
          <w:color w:val="000000" w:themeColor="text1"/>
          <w:lang w:val="ru-RU"/>
        </w:rPr>
        <w:t xml:space="preserve">8 мая 1943 года И.М. Зальцман и глава наркомата вооружения Д. Ф. Устинов подписали совместный приказ №233сс/260сс. В этом приказе повторялись указания ГКО и предписывалось Грабину передать Кировскому заводу к 15 июня образцы 85-мм пушки об изготовлении опытных образцов танков и самоходок с 85-мм пушкой, а НКТП передать Грабину один танк КВ-1С и самоходку СУ-122. В отданном в тот же день приказе НКТП № 261сс Зальцман увеличил число изготавливаемых танков </w:t>
      </w:r>
      <w:r w:rsidRPr="00D03F3E">
        <w:rPr>
          <w:color w:val="000000" w:themeColor="text1"/>
          <w:lang w:val="ru-RU"/>
        </w:rPr>
        <w:lastRenderedPageBreak/>
        <w:t>ИС до трёх, два из которых должны были быть готовы к 20 июня. Завод № 200 должен был в первой половине июня изготовить три корпуса и башни. К тому же 20 числу должны были быть готовы самоходки (ГАРФ. Ф. Р-5446. Оп. 44а. Д. 7540. Л. 22).</w:t>
      </w:r>
    </w:p>
    <w:p w14:paraId="0FB223D0" w14:textId="77777777" w:rsidR="00823A64" w:rsidRPr="00D03F3E" w:rsidRDefault="00823A64" w:rsidP="00D03F3E">
      <w:pPr>
        <w:pStyle w:val="a3"/>
        <w:rPr>
          <w:color w:val="000000" w:themeColor="text1"/>
          <w:lang w:val="ru-RU"/>
        </w:rPr>
      </w:pPr>
      <w:r w:rsidRPr="00D03F3E">
        <w:rPr>
          <w:color w:val="000000" w:themeColor="text1"/>
          <w:lang w:val="ru-RU"/>
        </w:rPr>
        <w:t>Но реализация этих решений оказалась не такой простой. Вокруг выполнения этого постановления развернулась серьёзная борьба. Споры шли о том, какую именно пушку устанавливать на САУ и тяжёлый танк. Постановление ГКО и приказ НКТП/НКВ поручал разработку новой пушки главе Центрального артиллерийского конструкторского бюро (далее ЦАКБ) В. Г. Грабину, знаменитому советскому артиллерийскому конструктору, пользовавшемуся уважением и поддержкой И. В. Сталина. Но в Наркомате танковой промышленности отношение к Грабину было достаточно настороженное. Танкостроителям было известно его кредо: танк является «повозкой для пушки», и что поэтому не разработчики орудий должны исходить из требований танкостроителей, а танкостроители должны сами искать возможность разместить пушку в танке в том виде, в каком она будет создана конструкторами орудий. Грабин много заботился об удобстве производителей своих орудий (что было в принципе верно), но не придавал значения удобству ни тех, кто эти орудия будет устанавливать в танки, ни тех, кто этими орудиями будет пользоваться в бою.</w:t>
      </w:r>
    </w:p>
    <w:p w14:paraId="40148F72" w14:textId="77777777" w:rsidR="00823A64" w:rsidRPr="00D03F3E" w:rsidRDefault="00823A64" w:rsidP="00D03F3E">
      <w:pPr>
        <w:pStyle w:val="a3"/>
        <w:rPr>
          <w:color w:val="000000" w:themeColor="text1"/>
          <w:lang w:val="ru-RU"/>
        </w:rPr>
      </w:pPr>
      <w:r w:rsidRPr="00D03F3E">
        <w:rPr>
          <w:color w:val="000000" w:themeColor="text1"/>
          <w:lang w:val="ru-RU"/>
        </w:rPr>
        <w:t>В. Г. Грабин предложил свои 85-мм пушки С-31 и С-18. Обе эти пушки оказались неудобны для установки в танки или самоходки. Например, так специалисты НКТП оценили возможные трудности установления в САУ пушки С-18:</w:t>
      </w:r>
    </w:p>
    <w:p w14:paraId="6FCFDAAF" w14:textId="77777777" w:rsidR="00823A64" w:rsidRPr="00D03F3E" w:rsidRDefault="00823A64" w:rsidP="00D03F3E">
      <w:pPr>
        <w:pStyle w:val="a3"/>
        <w:rPr>
          <w:color w:val="000000" w:themeColor="text1"/>
          <w:lang w:val="ru-RU"/>
        </w:rPr>
      </w:pPr>
      <w:r w:rsidRPr="00D03F3E">
        <w:rPr>
          <w:color w:val="000000" w:themeColor="text1"/>
          <w:lang w:val="ru-RU"/>
        </w:rPr>
        <w:t>«1. Штатная люлька орудия ЗИС-5 слишком широка, что требует использовать широкую амбразуру и широкую качающуюся бронировку...</w:t>
      </w:r>
    </w:p>
    <w:p w14:paraId="1405565A" w14:textId="77777777" w:rsidR="00823A64" w:rsidRPr="00D03F3E" w:rsidRDefault="00823A64" w:rsidP="00D03F3E">
      <w:pPr>
        <w:pStyle w:val="a3"/>
        <w:tabs>
          <w:tab w:val="left" w:pos="946"/>
        </w:tabs>
        <w:rPr>
          <w:color w:val="000000" w:themeColor="text1"/>
          <w:lang w:val="ru-RU"/>
        </w:rPr>
      </w:pPr>
      <w:r w:rsidRPr="00D03F3E">
        <w:rPr>
          <w:color w:val="000000" w:themeColor="text1"/>
          <w:lang w:val="ru-RU"/>
        </w:rPr>
        <w:t>2. Большая бронировка ухудшает обзор и не позволяет использовать полноценный люк-лаз механика-водителя.</w:t>
      </w:r>
    </w:p>
    <w:p w14:paraId="2BCE6807" w14:textId="77777777" w:rsidR="00823A64" w:rsidRPr="00D03F3E" w:rsidRDefault="00823A64" w:rsidP="00D03F3E">
      <w:pPr>
        <w:pStyle w:val="a3"/>
        <w:tabs>
          <w:tab w:val="left" w:pos="1066"/>
        </w:tabs>
        <w:rPr>
          <w:color w:val="000000" w:themeColor="text1"/>
          <w:lang w:val="ru-RU"/>
        </w:rPr>
      </w:pPr>
      <w:r w:rsidRPr="00D03F3E">
        <w:rPr>
          <w:color w:val="000000" w:themeColor="text1"/>
          <w:lang w:val="ru-RU"/>
        </w:rPr>
        <w:t>3. Значительное смещение орудия вправо ограничивает угол обстрела влево от направления движения и ухудшает распределение масс между катками разных бортов.</w:t>
      </w:r>
    </w:p>
    <w:p w14:paraId="2879AA43" w14:textId="77777777" w:rsidR="00823A64" w:rsidRPr="00D03F3E" w:rsidRDefault="00823A64" w:rsidP="00D03F3E">
      <w:pPr>
        <w:pStyle w:val="a3"/>
        <w:tabs>
          <w:tab w:val="left" w:pos="1090"/>
        </w:tabs>
        <w:rPr>
          <w:color w:val="000000" w:themeColor="text1"/>
          <w:lang w:val="ru-RU"/>
        </w:rPr>
      </w:pPr>
      <w:r w:rsidRPr="00D03F3E">
        <w:rPr>
          <w:color w:val="000000" w:themeColor="text1"/>
          <w:lang w:val="ru-RU"/>
        </w:rPr>
        <w:t>4. Боеукладка может быть размещена только у моторной перегородки САУ и загромождает доступ к МТО изнутри.»</w:t>
      </w:r>
    </w:p>
    <w:p w14:paraId="5E859E63" w14:textId="77777777" w:rsidR="00823A64" w:rsidRPr="00D03F3E" w:rsidRDefault="00823A64" w:rsidP="00D03F3E">
      <w:pPr>
        <w:pStyle w:val="a3"/>
        <w:rPr>
          <w:color w:val="000000" w:themeColor="text1"/>
          <w:lang w:val="ru-RU"/>
        </w:rPr>
      </w:pPr>
      <w:r w:rsidRPr="00D03F3E">
        <w:rPr>
          <w:color w:val="000000" w:themeColor="text1"/>
          <w:lang w:val="ru-RU"/>
        </w:rPr>
        <w:t>Значительный вес пушек Грабина приводил к тому, что наводчику приходилось прикладывать большие усилия для вращения маховиков подъёмного и поворотного механизмов, а значительные габариты пушек Грабина стесняли экипаж не только в небольшой танковой башне, но даже в относительно просторной рубке самоходки. Но зато у его пушек 72% деталей было заимствовано от уже производившихся орудий ЗИС-5.</w:t>
      </w:r>
    </w:p>
    <w:p w14:paraId="471A11D5" w14:textId="77777777" w:rsidR="00823A64" w:rsidRPr="00D03F3E" w:rsidRDefault="00823A64" w:rsidP="00D03F3E">
      <w:pPr>
        <w:pStyle w:val="a3"/>
        <w:rPr>
          <w:color w:val="000000" w:themeColor="text1"/>
          <w:lang w:val="ru-RU"/>
        </w:rPr>
      </w:pPr>
      <w:r w:rsidRPr="00D03F3E">
        <w:rPr>
          <w:color w:val="000000" w:themeColor="text1"/>
          <w:lang w:val="ru-RU"/>
        </w:rPr>
        <w:t>Поэтому танкостроители обратились за помощью к Ф. Ф. Петрову, другому крупному артиллерийскому конструктору, руководителю ОКБ завода № 9. Ф. Ф. Петров в короткие сроки представил 85-мм пушку Д-5. Одну из её модификаций (Д-5Т) можно было устанавливать в танк, а другую (Д-5С) в САУ. Когда был готов её проект, директор завода № 9 Л. Р. Гонор, директор УЗТМ Б. Г. Музруков, директор Кировского завода М. А. Длугач и главный конструктор НКТП Ж. Я. Котин обратились с письмом к В. М. Молотову, который официально санкционировал разработку нового орудия и его установку в один из «ИСов», КВ-1с и самоходку. Поскольку в этот момент возникли проблемы с изготовлением пушки С-31, которое было поручено заводу № 9, и вместо пяти пушек завод изготовил к положенному сроку только две, то использование пушек Петрова стало единственным выходом. Петров не обманул возлагавшиеся на него надежды. Его пушка оказалась удобной, компактной, хорошо приспособленной для установки в танк, так как Петрову очень удачно удалось её сбалансировать. Пушка, предложенная В. Г. Грабиным, была лишена этих достоинств. Из-за неудачного баланса для её установки в танк приходилось помещать дополнительный груз. Зато В. Г. Грабин, что всегда было его сильной стороной, хорошо поработал над простотой технологии изготовления пушки, и для её производства не требовалось такой тщательной обработки мелких деталей, как у пушки Ф. Ф. Петрова. В итоге, по результатам проведённых в июле-августе 1943 испытаний новых танков и самоходок Д-5 победили грабинские орудия и в танковом, и в самоходном варианте. Именно её стали устанавливать и на модернизированный КВ, и на первый серийный вариант ИСа, и на СУ-85 (12290).</w:t>
      </w:r>
    </w:p>
    <w:p w14:paraId="4E2AF85D" w14:textId="77777777" w:rsidR="00823A64" w:rsidRPr="00D03F3E" w:rsidRDefault="00823A64" w:rsidP="00D03F3E">
      <w:pPr>
        <w:pStyle w:val="a3"/>
        <w:rPr>
          <w:color w:val="000000" w:themeColor="text1"/>
          <w:lang w:val="ru-RU"/>
        </w:rPr>
      </w:pPr>
    </w:p>
    <w:p w14:paraId="6186D56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мая 1943 г., согласно приказу № 261 НКТП, заводам ЧКЗ и № 100 предписывалось для проведе</w:t>
      </w:r>
      <w:r w:rsidRPr="00D03F3E">
        <w:rPr>
          <w:rFonts w:ascii="Times New Roman" w:hAnsi="Times New Roman"/>
          <w:color w:val="000000" w:themeColor="text1"/>
          <w:sz w:val="16"/>
          <w:szCs w:val="16"/>
        </w:rPr>
        <w:softHyphen/>
        <w:t>ния испытаний изготовить три танка ИС, а также перевоо</w:t>
      </w:r>
      <w:r w:rsidRPr="00D03F3E">
        <w:rPr>
          <w:rFonts w:ascii="Times New Roman" w:hAnsi="Times New Roman"/>
          <w:color w:val="000000" w:themeColor="text1"/>
          <w:sz w:val="16"/>
          <w:szCs w:val="16"/>
        </w:rPr>
        <w:softHyphen/>
        <w:t>ружить два танка КВ- 1С 85-мм пушкой («Объект 238»). Но к условленному сроку в наличии имелось всего два полностью работающих орудия С-31, одно из которых уже стояло в башне танка ИС, а второе устанавливалось в башне КВ-1С. Завод мог не выполнить приказ № 261 от 8 мая. Но к этому моменту ЧКЗ и завод № 100 получили также три 85-мм ору</w:t>
      </w:r>
      <w:r w:rsidRPr="00D03F3E">
        <w:rPr>
          <w:rFonts w:ascii="Times New Roman" w:hAnsi="Times New Roman"/>
          <w:color w:val="000000" w:themeColor="text1"/>
          <w:sz w:val="16"/>
          <w:szCs w:val="16"/>
        </w:rPr>
        <w:softHyphen/>
        <w:t>дия Д-5Т конструкции КБ Ф. Петрова, изготовленных заво</w:t>
      </w:r>
      <w:r w:rsidRPr="00D03F3E">
        <w:rPr>
          <w:rFonts w:ascii="Times New Roman" w:hAnsi="Times New Roman"/>
          <w:color w:val="000000" w:themeColor="text1"/>
          <w:sz w:val="16"/>
          <w:szCs w:val="16"/>
        </w:rPr>
        <w:softHyphen/>
        <w:t>дом № 9 НКВ по собственной инициативе, но с поддержки техуправления НКВ и по тем же ТТТ, что и пушка ЦАКБ.</w:t>
      </w:r>
    </w:p>
    <w:p w14:paraId="0CB5FDE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Интересно заметить, что Наркомат танковой промыш</w:t>
      </w:r>
      <w:r w:rsidRPr="00D03F3E">
        <w:rPr>
          <w:rFonts w:ascii="Times New Roman" w:hAnsi="Times New Roman"/>
          <w:color w:val="000000" w:themeColor="text1"/>
          <w:sz w:val="16"/>
          <w:szCs w:val="16"/>
        </w:rPr>
        <w:softHyphen/>
        <w:t>ленности ориентировался на 85-мм пушку С-31, которую можно было по идее устанавливать в штатной башне тан</w:t>
      </w:r>
      <w:r w:rsidRPr="00D03F3E">
        <w:rPr>
          <w:rFonts w:ascii="Times New Roman" w:hAnsi="Times New Roman"/>
          <w:color w:val="000000" w:themeColor="text1"/>
          <w:sz w:val="16"/>
          <w:szCs w:val="16"/>
        </w:rPr>
        <w:softHyphen/>
        <w:t>ков КВ и КВ-1С на опорах 76,2-мм орудия ЗИС-5. Таким образом, все пять танков могли быть вооружены 85-мм пушкой с баллистикой зенитного орудия обр. 1939 г. толь</w:t>
      </w:r>
      <w:r w:rsidRPr="00D03F3E">
        <w:rPr>
          <w:rFonts w:ascii="Times New Roman" w:hAnsi="Times New Roman"/>
          <w:color w:val="000000" w:themeColor="text1"/>
          <w:sz w:val="16"/>
          <w:szCs w:val="16"/>
        </w:rPr>
        <w:softHyphen/>
        <w:t>ко в том случае, если три танка будут оснащены не вполне «законной» 85-мм пушкой Д-5Т КБ завода № 9.</w:t>
      </w:r>
    </w:p>
    <w:p w14:paraId="3CD9675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Также завод № 100 не успевал закончить изготовление трех танков ИС. Лишь для двух имелись комплекты двига</w:t>
      </w:r>
      <w:r w:rsidRPr="00D03F3E">
        <w:rPr>
          <w:rFonts w:ascii="Times New Roman" w:hAnsi="Times New Roman"/>
          <w:color w:val="000000" w:themeColor="text1"/>
          <w:sz w:val="16"/>
          <w:szCs w:val="16"/>
        </w:rPr>
        <w:softHyphen/>
        <w:t>телей, механизмов и подвески. Для третьего же были пода</w:t>
      </w:r>
      <w:r w:rsidRPr="00D03F3E">
        <w:rPr>
          <w:rFonts w:ascii="Times New Roman" w:hAnsi="Times New Roman"/>
          <w:color w:val="000000" w:themeColor="text1"/>
          <w:sz w:val="16"/>
          <w:szCs w:val="16"/>
        </w:rPr>
        <w:softHyphen/>
        <w:t>ны лишь башня с вооружением. Изготовление корпуса за</w:t>
      </w:r>
      <w:r w:rsidRPr="00D03F3E">
        <w:rPr>
          <w:rFonts w:ascii="Times New Roman" w:hAnsi="Times New Roman"/>
          <w:color w:val="000000" w:themeColor="text1"/>
          <w:sz w:val="16"/>
          <w:szCs w:val="16"/>
        </w:rPr>
        <w:softHyphen/>
        <w:t>тормозилось на заводе № 200. Механизмов не хватало. Нужно было как-то срочно выходить из положения. Автор</w:t>
      </w:r>
      <w:r w:rsidRPr="00D03F3E">
        <w:rPr>
          <w:rFonts w:ascii="Times New Roman" w:hAnsi="Times New Roman"/>
          <w:color w:val="000000" w:themeColor="text1"/>
          <w:sz w:val="16"/>
          <w:szCs w:val="16"/>
        </w:rPr>
        <w:softHyphen/>
        <w:t>ство идеи по объединению корпуса КВ-1С с башней танка ИС и установке в башни ИС 85-мм пушек КБ Ф. Петрова молва приписывает С. Махонину. Трудно сказать, верно ли это, в рекордно короткий срок для проведения совместных испытаний к 1 июля 1943 г. было собрано два танка ИС (с вооружением из 85-мм пушки С-31 и 85-мм пушки Д-5Т), а 19 июля завод отгрузил два танка КВ-1С, причем тот, что нес 85-мм пушку Д-5Т, получил ее вместе с башней третье</w:t>
      </w:r>
      <w:r w:rsidRPr="00D03F3E">
        <w:rPr>
          <w:rFonts w:ascii="Times New Roman" w:hAnsi="Times New Roman"/>
          <w:color w:val="000000" w:themeColor="text1"/>
          <w:sz w:val="16"/>
          <w:szCs w:val="16"/>
        </w:rPr>
        <w:softHyphen/>
        <w:t>го танка ИС и таким образом являлся новым изделием, именовавшимся «Объект 239» (11135).</w:t>
      </w:r>
    </w:p>
    <w:p w14:paraId="7B5D92A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FD0C12D" w14:textId="77777777" w:rsidR="00823A64" w:rsidRPr="00D03F3E" w:rsidRDefault="00823A64" w:rsidP="00D03F3E">
      <w:pPr>
        <w:pStyle w:val="a3"/>
        <w:rPr>
          <w:color w:val="000000" w:themeColor="text1"/>
          <w:lang w:val="ru-RU"/>
        </w:rPr>
      </w:pPr>
      <w:r w:rsidRPr="00D03F3E">
        <w:rPr>
          <w:color w:val="000000" w:themeColor="text1"/>
          <w:lang w:val="ru-RU"/>
        </w:rPr>
        <w:t>8 мая 1943 г. по данным, отправленным с исходящим за теми же подписями, фигури</w:t>
      </w:r>
      <w:r w:rsidRPr="00D03F3E">
        <w:rPr>
          <w:color w:val="000000" w:themeColor="text1"/>
          <w:lang w:val="ru-RU"/>
        </w:rPr>
        <w:softHyphen/>
        <w:t>ровали уточненные параметры танка уже кон</w:t>
      </w:r>
      <w:r w:rsidRPr="00D03F3E">
        <w:rPr>
          <w:color w:val="000000" w:themeColor="text1"/>
          <w:lang w:val="ru-RU"/>
        </w:rPr>
        <w:softHyphen/>
        <w:t>кретной марки — Т—</w:t>
      </w:r>
      <w:r w:rsidRPr="00D03F3E">
        <w:rPr>
          <w:color w:val="000000" w:themeColor="text1"/>
        </w:rPr>
        <w:t>VI</w:t>
      </w:r>
      <w:r w:rsidRPr="00D03F3E">
        <w:rPr>
          <w:color w:val="000000" w:themeColor="text1"/>
          <w:lang w:val="ru-RU"/>
        </w:rPr>
        <w:t>:</w:t>
      </w:r>
    </w:p>
    <w:p w14:paraId="168FBC62" w14:textId="77777777" w:rsidR="00823A64" w:rsidRPr="00D03F3E" w:rsidRDefault="00823A64" w:rsidP="00D03F3E">
      <w:pPr>
        <w:pStyle w:val="6a"/>
        <w:shd w:val="clear" w:color="auto" w:fill="auto"/>
        <w:spacing w:before="0" w:line="240" w:lineRule="auto"/>
        <w:rPr>
          <w:rFonts w:ascii="Times New Roman" w:hAnsi="Times New Roman"/>
          <w:color w:val="000000" w:themeColor="text1"/>
          <w:sz w:val="16"/>
          <w:szCs w:val="16"/>
        </w:rPr>
      </w:pPr>
      <w:r w:rsidRPr="00D03F3E">
        <w:rPr>
          <w:rFonts w:ascii="Times New Roman" w:hAnsi="Times New Roman"/>
          <w:color w:val="000000" w:themeColor="text1"/>
          <w:sz w:val="16"/>
          <w:szCs w:val="16"/>
        </w:rPr>
        <w:t>«1. Боевой вес танка - 56 т.</w:t>
      </w:r>
    </w:p>
    <w:p w14:paraId="233AB7B2" w14:textId="77777777" w:rsidR="00823A64" w:rsidRPr="00D03F3E" w:rsidRDefault="00823A64" w:rsidP="00D03F3E">
      <w:pPr>
        <w:pStyle w:val="6a"/>
        <w:shd w:val="clear" w:color="auto" w:fill="auto"/>
        <w:tabs>
          <w:tab w:val="left" w:pos="490"/>
        </w:tabs>
        <w:spacing w:before="0" w:line="240" w:lineRule="auto"/>
        <w:rPr>
          <w:rFonts w:ascii="Times New Roman" w:hAnsi="Times New Roman"/>
          <w:color w:val="000000" w:themeColor="text1"/>
          <w:sz w:val="16"/>
          <w:szCs w:val="16"/>
        </w:rPr>
      </w:pPr>
      <w:r w:rsidRPr="00D03F3E">
        <w:rPr>
          <w:rFonts w:ascii="Times New Roman" w:hAnsi="Times New Roman"/>
          <w:color w:val="000000" w:themeColor="text1"/>
          <w:sz w:val="16"/>
          <w:szCs w:val="16"/>
        </w:rPr>
        <w:t>2. Вооружение: одна 88-мм пушка и два 7,92-мм пулемета.</w:t>
      </w:r>
    </w:p>
    <w:p w14:paraId="1EA5F511" w14:textId="77777777" w:rsidR="00823A64" w:rsidRPr="00D03F3E" w:rsidRDefault="00823A64" w:rsidP="00D03F3E">
      <w:pPr>
        <w:pStyle w:val="6a"/>
        <w:shd w:val="clear" w:color="auto" w:fill="auto"/>
        <w:tabs>
          <w:tab w:val="left" w:pos="495"/>
        </w:tabs>
        <w:spacing w:before="0" w:line="240" w:lineRule="auto"/>
        <w:rPr>
          <w:rFonts w:ascii="Times New Roman" w:hAnsi="Times New Roman"/>
          <w:color w:val="000000" w:themeColor="text1"/>
          <w:sz w:val="16"/>
          <w:szCs w:val="16"/>
        </w:rPr>
      </w:pPr>
      <w:r w:rsidRPr="00D03F3E">
        <w:rPr>
          <w:rFonts w:ascii="Times New Roman" w:hAnsi="Times New Roman"/>
          <w:color w:val="000000" w:themeColor="text1"/>
          <w:sz w:val="16"/>
          <w:szCs w:val="16"/>
        </w:rPr>
        <w:t>3. Размеры: а) длина - 6,1 м, б) длина с пушкой - 8,12 м, в) ширина - 3,8 м, г) высота - 2,84 м, д) ширина гусеницы -0,7м. Имеются танки, ширина гусеницы которых - 0,52 м, ширина танка с такой гусеницей - 3,4 м.</w:t>
      </w:r>
    </w:p>
    <w:p w14:paraId="5FB75900" w14:textId="77777777" w:rsidR="00823A64" w:rsidRPr="00D03F3E" w:rsidRDefault="00823A64" w:rsidP="00D03F3E">
      <w:pPr>
        <w:pStyle w:val="6a"/>
        <w:shd w:val="clear" w:color="auto" w:fill="auto"/>
        <w:tabs>
          <w:tab w:val="left" w:pos="468"/>
        </w:tabs>
        <w:spacing w:before="0" w:line="240" w:lineRule="auto"/>
        <w:rPr>
          <w:rFonts w:ascii="Times New Roman" w:hAnsi="Times New Roman"/>
          <w:color w:val="000000" w:themeColor="text1"/>
          <w:sz w:val="16"/>
          <w:szCs w:val="16"/>
        </w:rPr>
      </w:pPr>
      <w:r w:rsidRPr="00D03F3E">
        <w:rPr>
          <w:rFonts w:ascii="Times New Roman" w:hAnsi="Times New Roman"/>
          <w:color w:val="000000" w:themeColor="text1"/>
          <w:sz w:val="16"/>
          <w:szCs w:val="16"/>
        </w:rPr>
        <w:t>4. Броня:</w:t>
      </w:r>
    </w:p>
    <w:p w14:paraId="17DE4E50" w14:textId="77777777" w:rsidR="00823A64" w:rsidRPr="00D03F3E" w:rsidRDefault="00823A64" w:rsidP="00D03F3E">
      <w:pPr>
        <w:pStyle w:val="6a"/>
        <w:shd w:val="clear" w:color="auto" w:fill="auto"/>
        <w:tabs>
          <w:tab w:val="left" w:pos="500"/>
        </w:tabs>
        <w:spacing w:before="0" w:line="240" w:lineRule="auto"/>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w:t>
      </w:r>
      <w:r w:rsidRPr="00D03F3E">
        <w:rPr>
          <w:rFonts w:ascii="Times New Roman" w:hAnsi="Times New Roman"/>
          <w:color w:val="000000" w:themeColor="text1"/>
          <w:sz w:val="16"/>
          <w:szCs w:val="16"/>
        </w:rPr>
        <w:tab/>
        <w:t>башня: 1) щит пушки 97 мм; 2) стенка башни 82 мм; 3) крыша башни 26 мм.</w:t>
      </w:r>
    </w:p>
    <w:p w14:paraId="466F0976" w14:textId="77777777" w:rsidR="00823A64" w:rsidRPr="00D03F3E" w:rsidRDefault="00823A64" w:rsidP="00D03F3E">
      <w:pPr>
        <w:pStyle w:val="6a"/>
        <w:shd w:val="clear" w:color="auto" w:fill="auto"/>
        <w:tabs>
          <w:tab w:val="left" w:pos="534"/>
        </w:tabs>
        <w:spacing w:before="0" w:line="240" w:lineRule="auto"/>
        <w:rPr>
          <w:rFonts w:ascii="Times New Roman" w:hAnsi="Times New Roman"/>
          <w:color w:val="000000" w:themeColor="text1"/>
          <w:sz w:val="16"/>
          <w:szCs w:val="16"/>
        </w:rPr>
      </w:pPr>
      <w:r w:rsidRPr="00D03F3E">
        <w:rPr>
          <w:rFonts w:ascii="Times New Roman" w:hAnsi="Times New Roman"/>
          <w:color w:val="000000" w:themeColor="text1"/>
          <w:sz w:val="16"/>
          <w:szCs w:val="16"/>
        </w:rPr>
        <w:t>б)</w:t>
      </w:r>
      <w:r w:rsidRPr="00D03F3E">
        <w:rPr>
          <w:rFonts w:ascii="Times New Roman" w:hAnsi="Times New Roman"/>
          <w:color w:val="000000" w:themeColor="text1"/>
          <w:sz w:val="16"/>
          <w:szCs w:val="16"/>
        </w:rPr>
        <w:tab/>
        <w:t>командирская башня: 1) передняя - 102 мм под углом 10 град.; 2) боковые стенки башни 82 мм под углом 90 град.; 3) тыльная стенка башни 82 мм под углом 20 град.; 4) крыша 26 мм.</w:t>
      </w:r>
    </w:p>
    <w:p w14:paraId="2CCAC8C3" w14:textId="77777777" w:rsidR="00823A64" w:rsidRPr="00D03F3E" w:rsidRDefault="00823A64" w:rsidP="00D03F3E">
      <w:pPr>
        <w:pStyle w:val="6a"/>
        <w:shd w:val="clear" w:color="auto" w:fill="auto"/>
        <w:tabs>
          <w:tab w:val="left" w:pos="462"/>
        </w:tabs>
        <w:spacing w:before="0" w:line="240" w:lineRule="auto"/>
        <w:rPr>
          <w:rFonts w:ascii="Times New Roman" w:hAnsi="Times New Roman"/>
          <w:color w:val="000000" w:themeColor="text1"/>
          <w:sz w:val="16"/>
          <w:szCs w:val="16"/>
        </w:rPr>
      </w:pPr>
      <w:r w:rsidRPr="00D03F3E">
        <w:rPr>
          <w:rFonts w:ascii="Times New Roman" w:hAnsi="Times New Roman"/>
          <w:color w:val="000000" w:themeColor="text1"/>
          <w:sz w:val="16"/>
          <w:szCs w:val="16"/>
        </w:rPr>
        <w:t>в)</w:t>
      </w:r>
      <w:r w:rsidRPr="00D03F3E">
        <w:rPr>
          <w:rFonts w:ascii="Times New Roman" w:hAnsi="Times New Roman"/>
          <w:color w:val="000000" w:themeColor="text1"/>
          <w:sz w:val="16"/>
          <w:szCs w:val="16"/>
        </w:rPr>
        <w:tab/>
        <w:t>корпус: 1) верхняя лобовая броня 102 мм под углом 20 град.; 2) нижняя лобовая броня 62 мм под углом 60 град.; 3) боковая броня 62 мм под углом 90 град.; 4) кормовая броня 82 мм под углом 20 град.; 5) дно 26 мм (12617).</w:t>
      </w:r>
    </w:p>
    <w:p w14:paraId="7A84B2F5" w14:textId="77777777" w:rsidR="00823A64" w:rsidRPr="00D03F3E" w:rsidRDefault="00823A64" w:rsidP="00D03F3E">
      <w:pPr>
        <w:pStyle w:val="6a"/>
        <w:shd w:val="clear" w:color="auto" w:fill="auto"/>
        <w:tabs>
          <w:tab w:val="left" w:pos="462"/>
        </w:tabs>
        <w:spacing w:before="0" w:line="240" w:lineRule="auto"/>
        <w:rPr>
          <w:rFonts w:ascii="Times New Roman" w:hAnsi="Times New Roman"/>
          <w:color w:val="000000" w:themeColor="text1"/>
          <w:sz w:val="16"/>
          <w:szCs w:val="16"/>
        </w:rPr>
      </w:pPr>
    </w:p>
    <w:p w14:paraId="4FD26434"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8 мая 1943 вышло Постановление ГКО № 3312 Об общем плане перевозок народнохозяйственных и воинских грузов по железнодорожному и водному транспорту на май 1943 года. (7104, 91).</w:t>
      </w:r>
    </w:p>
    <w:p w14:paraId="555AFAD4" w14:textId="77777777" w:rsidR="00531570" w:rsidRPr="00D03F3E" w:rsidRDefault="00531570" w:rsidP="00D03F3E">
      <w:pPr>
        <w:pStyle w:val="Iauiue"/>
        <w:tabs>
          <w:tab w:val="left" w:pos="11199"/>
        </w:tabs>
        <w:jc w:val="both"/>
        <w:rPr>
          <w:color w:val="000000" w:themeColor="text1"/>
          <w:sz w:val="16"/>
          <w:szCs w:val="16"/>
        </w:rPr>
      </w:pPr>
    </w:p>
    <w:p w14:paraId="1E556BF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мая 1943 вышло Постановление ГКО № 3313 О плане производства и поставок патронов и звеньев Наркоматом вооружения в мае 1943 г.РГАНИР, Фонд ГКО, д. 114, лл. 92-95, 96-104 (11012).</w:t>
      </w:r>
    </w:p>
    <w:p w14:paraId="4E1C7BA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5BFF4E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мая 1943 вышло Постановление ГКО № 3314 О плане производства и поставок пулеметов-пистолетов Шпагина в мае 1943 года.РГАНИР, Фонд ГКО, д. 114, лл. 105-110, 111-120 (11012).</w:t>
      </w:r>
    </w:p>
    <w:p w14:paraId="20242AB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686DF8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мая 1943 вышло Постановление ГКО № 3315 О плане производства и поставок артиллерийского и стрелкового вооружения и военных приборов на май 1943 г.РГАНИР, Фонд ГКО, д. 114, лл. 121-134, 135-145 (11012).</w:t>
      </w:r>
    </w:p>
    <w:p w14:paraId="1F3946D6"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35F339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мая 1943 вышло Постановление ГКО № 3316 О плане производства минометного вооружения на май 1943 года.РГАНИР, Фонд ГКО, д. 114, лл. 146-150, 151-166 (11012).</w:t>
      </w:r>
    </w:p>
    <w:p w14:paraId="264B1C5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A8C2D5F"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8 мая 1943 вышло Постановление ГКО № 3317 Об организации производства и внедрения в промышленность турбокислородных установок академика Капица [и создании Главного управления по кислороду при Совнаркоме СССР (Главкислород).] (7104, 167-171,172-177).</w:t>
      </w:r>
    </w:p>
    <w:p w14:paraId="5EB56C94" w14:textId="77777777" w:rsidR="00531570" w:rsidRPr="00D03F3E" w:rsidRDefault="00531570" w:rsidP="00D03F3E">
      <w:pPr>
        <w:pStyle w:val="Iauiue"/>
        <w:tabs>
          <w:tab w:val="left" w:pos="11199"/>
        </w:tabs>
        <w:jc w:val="both"/>
        <w:rPr>
          <w:color w:val="000000" w:themeColor="text1"/>
          <w:sz w:val="16"/>
          <w:szCs w:val="16"/>
        </w:rPr>
      </w:pPr>
    </w:p>
    <w:p w14:paraId="71134626"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8 мая 1943 вышло Постановление ГКО № 3318 Об обеспечении перевозок воинских грузов, импортных грузов из Красноводского порта и хлопка с дорог Ташкентской и Ашхабадской. (7104, 178-179).</w:t>
      </w:r>
    </w:p>
    <w:p w14:paraId="0B771E96" w14:textId="77777777" w:rsidR="00531570" w:rsidRPr="00D03F3E" w:rsidRDefault="00531570" w:rsidP="00D03F3E">
      <w:pPr>
        <w:pStyle w:val="Iauiue"/>
        <w:tabs>
          <w:tab w:val="left" w:pos="11199"/>
        </w:tabs>
        <w:jc w:val="both"/>
        <w:rPr>
          <w:color w:val="000000" w:themeColor="text1"/>
          <w:sz w:val="16"/>
          <w:szCs w:val="16"/>
        </w:rPr>
      </w:pPr>
    </w:p>
    <w:p w14:paraId="73DD20DA"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8 мая 1943 вышло Постановление ГКО № 3319 Об обеспечении вывоза воинских, импортных и других грузов с Закавказской ж.д. Им. Берия л. П. (7104, 180).</w:t>
      </w:r>
    </w:p>
    <w:p w14:paraId="05424C87" w14:textId="77777777" w:rsidR="00531570" w:rsidRPr="00D03F3E" w:rsidRDefault="00531570" w:rsidP="00D03F3E">
      <w:pPr>
        <w:pStyle w:val="Iauiue"/>
        <w:tabs>
          <w:tab w:val="left" w:pos="11199"/>
        </w:tabs>
        <w:jc w:val="both"/>
        <w:rPr>
          <w:color w:val="000000" w:themeColor="text1"/>
          <w:sz w:val="16"/>
          <w:szCs w:val="16"/>
        </w:rPr>
      </w:pPr>
    </w:p>
    <w:p w14:paraId="5B7E77EF"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8 мая 1943 вышло Постановление ГКО № 3320 Об обеспечении погрузки воинских грузов на дорогах Востока и импортных грузов во Владивостоке. (7104, 181-182).</w:t>
      </w:r>
    </w:p>
    <w:p w14:paraId="1DCC0210" w14:textId="77777777" w:rsidR="00531570" w:rsidRPr="00D03F3E" w:rsidRDefault="00531570" w:rsidP="00D03F3E">
      <w:pPr>
        <w:pStyle w:val="Iauiue"/>
        <w:tabs>
          <w:tab w:val="left" w:pos="11199"/>
        </w:tabs>
        <w:jc w:val="both"/>
        <w:rPr>
          <w:color w:val="000000" w:themeColor="text1"/>
          <w:sz w:val="16"/>
          <w:szCs w:val="16"/>
        </w:rPr>
      </w:pPr>
    </w:p>
    <w:p w14:paraId="3677EB6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мая 1943 вышло Распоряжение ГКО № 3321. О мобилизации из сельского населения 150 человек в Куйбышевской обл. на торфопредприятия на 6 месяцев.РГАНИР, Фонд ГКО, д. 114, лл. 183 (11012).</w:t>
      </w:r>
    </w:p>
    <w:p w14:paraId="318F25EA"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BAE44C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8 мая 1943 вышло Постановление ГКО № 3323 О плане добычи угля и сланца на май 1943 года.РГАНИР, Фонд ГКО, д. 115, лл. 13-17, 18-19 (11012).</w:t>
      </w:r>
    </w:p>
    <w:p w14:paraId="47910D56"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2B978E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мая 1943 вышло Постановление ГКО № 3324 О добыче нефти и выработке нефтепродуктов в мае месяце 1943 года.РГАНИР, Фонд ГКО, д. 115, лл. 20-24, 25-26 (11012).</w:t>
      </w:r>
    </w:p>
    <w:p w14:paraId="4061106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6BE7C3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мая 1943 вышло Постановление ГКО № 3325 О плане снабжения горюче-смазочными материалами Красной Армии и Военно-Морского флота на май 1943 года.РГАНИР, Фонд ГКО, д. 115, лл. 27-28, 29-58 (11012).</w:t>
      </w:r>
    </w:p>
    <w:p w14:paraId="34AFD9B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94020D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мая 1943 вышло Постановление ГКО№ 3326 О плане комплектной сдачи боеприпасов на май месяц 1943 года.РГАНИР, Фонд ГКО, д. 115, лл. 59-71, 72-88 (11012).</w:t>
      </w:r>
    </w:p>
    <w:p w14:paraId="0C39A0E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9DE262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мая 1943 вышло Постановление ГКО № 3327 О плане производства важнейших химикатов для боеприпасов и народного хозяйства на май 1943 года.РГАНИР, Фонд ГКО, д. 115, лл. 89-97 (11012).</w:t>
      </w:r>
    </w:p>
    <w:p w14:paraId="7A6B033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666DBF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мая 1943 г. - из постановления Государственного Комитета Обороны от "О плане производства важнейших химикатов для боеприпасов и народного хозяйства на май 1943 года"</w:t>
      </w:r>
    </w:p>
    <w:p w14:paraId="6310CF1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Обязать НКХП (т. Первухина) поставить НКБ в мае 1943 г. для производства боеприпасов (в тоннах):</w:t>
      </w:r>
    </w:p>
    <w:p w14:paraId="16E4BEA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Аммиак 1700</w:t>
      </w:r>
    </w:p>
    <w:p w14:paraId="6071FF3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Азотная кислота крепкая 19000</w:t>
      </w:r>
    </w:p>
    <w:p w14:paraId="10584A2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Аммиачная селитра(в т.ч. за счет остатковна заводах НКХП) 3000</w:t>
      </w:r>
    </w:p>
    <w:p w14:paraId="26209E7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Натриевая селитра 70</w:t>
      </w:r>
    </w:p>
    <w:p w14:paraId="4C6C2A3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Дифениламин 75</w:t>
      </w:r>
    </w:p>
    <w:p w14:paraId="6C9BC0B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Диметиланилин 100</w:t>
      </w:r>
    </w:p>
    <w:p w14:paraId="2E3E072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Централит 70</w:t>
      </w:r>
    </w:p>
    <w:p w14:paraId="1CA60E3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Дибутилфталат 40</w:t>
      </w:r>
    </w:p>
    <w:p w14:paraId="297BDE5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Нашатырь 300</w:t>
      </w:r>
    </w:p>
    <w:p w14:paraId="100CCC2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Бертолетова соль 250</w:t>
      </w:r>
    </w:p>
    <w:p w14:paraId="5601B2C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Пикриновая кислота 150</w:t>
      </w:r>
    </w:p>
    <w:p w14:paraId="1A33C99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Динитронафталин 340</w:t>
      </w:r>
    </w:p>
    <w:p w14:paraId="4FC89AA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Обязать НКХП (т. Первухина) и НКЛес (т. Салтыкова) поставить в мае 1943 г. 150 тонн уротропина, из них НКХП – 100 тонн, НКЛес СССР – 50 тонн…"Председатель ГКО И. Сталин (11780).</w:t>
      </w:r>
    </w:p>
    <w:p w14:paraId="5DE14CA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747BDE0"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8 мая 1943 г. вышло постановление Государственного Комитета Обороны от "О плане производства важнейших химикатов для боеприпасов и народного хозяйства на май 1943 года"</w:t>
      </w:r>
    </w:p>
    <w:p w14:paraId="064C0E39"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"…2. Обязать НКХП (т. Первухина) поставить НКБ в мае 1943 г. для производства боеприпасов (в тоннах):</w:t>
      </w:r>
    </w:p>
    <w:p w14:paraId="2ECA5E00"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Аммиак 1700</w:t>
      </w:r>
    </w:p>
    <w:p w14:paraId="2484EFCE"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Азотная кислота крепкая 19000</w:t>
      </w:r>
    </w:p>
    <w:p w14:paraId="1AF08875"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Аммиачная селитра (в т.ч. за счет остатков на заводах НКХП) 3000</w:t>
      </w:r>
    </w:p>
    <w:p w14:paraId="18AFA315"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Натриевая селитра 70</w:t>
      </w:r>
    </w:p>
    <w:p w14:paraId="25102769"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Дифениламин 75</w:t>
      </w:r>
    </w:p>
    <w:p w14:paraId="77C4A542"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Диметиланилин 100</w:t>
      </w:r>
    </w:p>
    <w:p w14:paraId="4E04C512"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Централит 70</w:t>
      </w:r>
    </w:p>
    <w:p w14:paraId="28091331"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Дибутилфталат 40</w:t>
      </w:r>
    </w:p>
    <w:p w14:paraId="7F31F57F"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Нашатырь 300</w:t>
      </w:r>
    </w:p>
    <w:p w14:paraId="3AA3F9E8"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Бертолетова соль 250</w:t>
      </w:r>
    </w:p>
    <w:p w14:paraId="3FB6FAFE"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Пикриновая кислота 150</w:t>
      </w:r>
    </w:p>
    <w:p w14:paraId="69C7C793"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Динитронафталин 340</w:t>
      </w:r>
    </w:p>
    <w:p w14:paraId="3040426C"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…4. Обязать НКХП (т. Первухина) и НКЛес (т. Салтыкова) поставить в мае 1943 г. 150 тонн уротропина, из них НКХП – 100 тонн, НКЛес СССР – 50 тонн…"</w:t>
      </w:r>
    </w:p>
    <w:p w14:paraId="2C40F1EB"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Председатель ГКО И. Сталин (11493).</w:t>
      </w:r>
    </w:p>
    <w:p w14:paraId="528D7F30" w14:textId="77777777" w:rsidR="00531570" w:rsidRPr="00D03F3E" w:rsidRDefault="00531570" w:rsidP="00D03F3E">
      <w:pPr>
        <w:pStyle w:val="afff1"/>
        <w:jc w:val="both"/>
        <w:rPr>
          <w:i w:val="0"/>
          <w:iCs w:val="0"/>
          <w:color w:val="000000" w:themeColor="text1"/>
          <w:spacing w:val="0"/>
          <w:kern w:val="0"/>
          <w:position w:val="0"/>
          <w:sz w:val="16"/>
          <w:szCs w:val="16"/>
        </w:rPr>
      </w:pPr>
    </w:p>
    <w:p w14:paraId="195544D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мая 1943 вышло Распоряжение ГКО № 3328. О мерах по выполнению плана производства фильтркартона во II кв. 1943 г.РГАНИР, Фонд ГКО, д. 115, лл. 98-100, 101 (11012).</w:t>
      </w:r>
    </w:p>
    <w:p w14:paraId="773E648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FA3CEB6"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8 мая 1943 вышло Распоряжение ГКО № 3329 [О мерах по производству легкого полевого провода для связи на фронте.] (7105, 102).</w:t>
      </w:r>
    </w:p>
    <w:p w14:paraId="3A3DE82C" w14:textId="77777777" w:rsidR="00531570" w:rsidRPr="00D03F3E" w:rsidRDefault="00531570" w:rsidP="00D03F3E">
      <w:pPr>
        <w:pStyle w:val="Iauiue"/>
        <w:tabs>
          <w:tab w:val="left" w:pos="11199"/>
        </w:tabs>
        <w:jc w:val="both"/>
        <w:rPr>
          <w:color w:val="000000" w:themeColor="text1"/>
          <w:sz w:val="16"/>
          <w:szCs w:val="16"/>
        </w:rPr>
      </w:pPr>
    </w:p>
    <w:p w14:paraId="7400A17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мая 1943 вышло Распоряжение ГКО № 3330. О восстановлении на Калининской ТЭЦ частично демонтированного котла.РГАНИР, Фонд ГКО, д. 115, лл. 103 (11012).</w:t>
      </w:r>
    </w:p>
    <w:p w14:paraId="573F6F5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79FCC27"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8 мая 1943 вышло Постановление ГКО № 3331 О вводе в эксплуатацию гидрогенератора № 3 на Рыбинской гидростанции. (7105, 104-105).</w:t>
      </w:r>
    </w:p>
    <w:p w14:paraId="0867C2B2" w14:textId="77777777" w:rsidR="00531570" w:rsidRPr="00D03F3E" w:rsidRDefault="00531570" w:rsidP="00D03F3E">
      <w:pPr>
        <w:pStyle w:val="Iauiue"/>
        <w:tabs>
          <w:tab w:val="left" w:pos="11199"/>
        </w:tabs>
        <w:jc w:val="both"/>
        <w:rPr>
          <w:color w:val="000000" w:themeColor="text1"/>
          <w:sz w:val="16"/>
          <w:szCs w:val="16"/>
        </w:rPr>
      </w:pPr>
    </w:p>
    <w:p w14:paraId="0FA4E7E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мая 1943 вышло Постановление ГКО № 3332 О подготовке инженерно-технических кадров для предприятий цветной металлургии.РГАНИР, Фонд ГКО, д. 115, лл. 106-109 (11012).</w:t>
      </w:r>
    </w:p>
    <w:p w14:paraId="446250F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AC8830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мая 1943 вышло Постановление ГКО № 3333 О мероприятиях по выполнению постановления Государственного Комитета Обороны от 26 марта 1943 г. № 3081сс "Об обеспечении Авиации дальнего действия радионавигационной аппаратурой и радиоаппаратурой для на ведения на цель в 1943 г. "РГАНИР, Фонд ГКО, д. 115, лл. 110-119 (11012).</w:t>
      </w:r>
    </w:p>
    <w:p w14:paraId="4957439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3C9ADF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мая 1943 вышло Постановление ГКО № 3334 О плане снабжения дровами на II квартал 1943 года.РГАНИР, Фонд ГКО, д. 115, лл. 120-122, 123-164 (11012).</w:t>
      </w:r>
    </w:p>
    <w:p w14:paraId="5B246F1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FC7B22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 мая 1943 военное положение было распространено на речной и морской транспорт (338,36).</w:t>
      </w:r>
    </w:p>
    <w:p w14:paraId="4B0B7836" w14:textId="77777777" w:rsidR="00531570" w:rsidRPr="00D03F3E" w:rsidRDefault="00531570" w:rsidP="00D03F3E">
      <w:pPr>
        <w:pStyle w:val="Iauiue"/>
        <w:jc w:val="both"/>
        <w:rPr>
          <w:color w:val="000000" w:themeColor="text1"/>
          <w:sz w:val="16"/>
          <w:szCs w:val="16"/>
        </w:rPr>
      </w:pPr>
    </w:p>
    <w:p w14:paraId="120F7FDE"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77A92FBA" w14:textId="77777777" w:rsidR="00531570" w:rsidRPr="00D03F3E" w:rsidRDefault="00531570" w:rsidP="00D03F3E">
      <w:pPr>
        <w:pStyle w:val="Iauiue"/>
        <w:jc w:val="both"/>
        <w:rPr>
          <w:iCs/>
          <w:color w:val="000000" w:themeColor="text1"/>
          <w:sz w:val="16"/>
          <w:szCs w:val="16"/>
        </w:rPr>
      </w:pPr>
    </w:p>
    <w:p w14:paraId="3098E8BC"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мая в 1943 году утреннее сообщение Совинформбюро:</w:t>
      </w:r>
    </w:p>
    <w:p w14:paraId="75253901"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8 мая на Кубани, северо-восточнее Новороссийска, нашивойска продолжали вести бои с противником. На других участках фронта ничего существенного не произошло.</w:t>
      </w:r>
    </w:p>
    <w:p w14:paraId="3008CADC"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в районе северо-восточнее Новороссийска, советские артиллеристы, поддерживая действия пехоты, подавили огонь 27 артиллерийских и миномётных батарей, 60 пулемётных точек противника, уничтожили 10 грузовых автомашин с боеприпасами, несколько десятков повозок с грузами и истребили до батальона немецкой пехоты.</w:t>
      </w:r>
    </w:p>
    <w:p w14:paraId="5C5B1830"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разведывательные отряды наших частей уничтожили до 200 немецких солдат и офицеров. Подавлен огонь миномётной и 3 артиллерийских батарей противника. Советские лётчики в воздушном бою сбили 4 немецких истребителя.</w:t>
      </w:r>
    </w:p>
    <w:p w14:paraId="2DBBC11B"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Калининском фронте отряд немецкой пехоты напал на сержанта Лебедева и красноармейцев Нурулаева и Гинатулина, находившихся в боевом охранении. В течение часа три бойца пулемётным огнём отбивались от наседавших на них немцев. В неравном бою с численно превосходящими силами противника тт. Лебедев, Нурулаеви Гинатулин уничтожили 60 гитлеровцев. Подоспевшие на помощь бойцы Н-ского подразделения уничтожили остатки немецкого отряда. Захвачены ручные пулемёты,автоматы и винтовки.</w:t>
      </w:r>
    </w:p>
    <w:p w14:paraId="16EBF038"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Снайперы Н-ской части за день истребили 105 немцев.</w:t>
      </w:r>
    </w:p>
    <w:p w14:paraId="746B4BCA"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Западнее Ростова-на-Дону происходила перестрелка с противником. Нашим артиллерийским огнём разрушено 7 немецких блиндажей, взорван склад боеприпасов и уничтожено 4 миномёта. На другом участке рота гитлеровцев пыталась боем разведать систему нашей обороны. Встреченные ружейно-пулемётным огнём гитлеровцы в беспорядке отошли, оставив перед нашими позициями 35 трупов своих солдат и офицеров.</w:t>
      </w:r>
    </w:p>
    <w:p w14:paraId="53476E1B"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артиллеристы разрушили 4 немецких дзота и 7 землянок, подавили огонь миномётной и артиллерийской батарей противника. Советские лётчики атаковали немецкую автоколонну и уничтожили 16 автомашин с солдатами и грузами. Снайперы Н-ской части за день истребили 43 гитлеровца.</w:t>
      </w:r>
    </w:p>
    <w:p w14:paraId="7657E709"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партизан отряда «Железняк», действующего в Минской области, заминировала немецкую казарму. Вечером, когда гитлеровцы вернулись с учений, партизаны взорвали казарму и прилегающие к ней склады. В этот же день другая группа партизан взорвала большой железнодорожный мост. Партизанский отряд «Пламя» пустил под откос немецкий воинский эшелон. Уничтожены 9 вагонов с грузами и паровоз. В апреле месяце партизаны этого отряда организовали крушения 5 немецких железнодорожных эшелонов.</w:t>
      </w:r>
    </w:p>
    <w:p w14:paraId="25472D52"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солдат 293 немецкой пехотной дивизии Вернер М. рассказал: «В ноябре прошлого года во всех ротах был зачитан приказ Гитлера, в котором было сказано: «Не отдавать ни одного километра оккупированной территории и в течение всей зимы любой ценой удерживать занимаемые позиции». Каждый солдат обязан был расписаться в том, что он читал этот приказ. Вскоре началось русское наступление, и немецкая армия была отброшена далеко на запад.Катастрофа под Сталинградом показала, что Россия становится всё сильнее, а Германия, напротив, становится всё слабее. За 22 месяца войны на Востоке немецкая армия потеряла свои лучшие дивизии. На боеспособное пополнение сейчас рассчитывать нельзя. Среди прибывающего пополнения много пожилых и больных солдат, еще не оправившихся от ран. После одного неудачного боя, в котором наши подразделения понесли большие потери, ефрейтор Бауэр в беседе со мной заявил: «В победу Германии я теперь не верю».</w:t>
      </w:r>
    </w:p>
    <w:p w14:paraId="36A26FBE"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патриоты разбили итальянскую часть. Партизанами захвачены дваминомёта, 600 винтовок, 60 тысяч патронов и другие трофеи. В другом районе партизаны уничтожили 70 гитлеровцев и успешно продолжают развивать наступление против оккупантов.» (14885).</w:t>
      </w:r>
    </w:p>
    <w:p w14:paraId="10A59468" w14:textId="77777777" w:rsidR="00041D00" w:rsidRPr="00D03F3E" w:rsidRDefault="00041D00" w:rsidP="00D03F3E">
      <w:pPr>
        <w:spacing w:after="0" w:line="240" w:lineRule="auto"/>
        <w:jc w:val="both"/>
        <w:rPr>
          <w:rFonts w:ascii="Times New Roman" w:hAnsi="Times New Roman"/>
          <w:color w:val="000000" w:themeColor="text1"/>
          <w:sz w:val="16"/>
          <w:szCs w:val="16"/>
        </w:rPr>
      </w:pPr>
    </w:p>
    <w:p w14:paraId="3B3B1F17"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мая в 1943 году вечернее сообщение Совинформбюро:</w:t>
      </w:r>
    </w:p>
    <w:p w14:paraId="66248FDE"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8 мая на Кубани, северо-восточнее Новороссийска, наши войска,преодолевая яростное сопротивление противника, подошли к новой линии обороны немцев, оборудованной многочисленными инженерными сооружениями. Наши части мощным артиллерийским огнём и бомбардировкой с воздуха уничтожали долговременные огневые точки, блиндажи и другие укрепления противника. В воздушных боях сбит 21 немецкий самолёт. Наши потери 9 самолётов.</w:t>
      </w:r>
    </w:p>
    <w:p w14:paraId="23B021AD"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ничего существенного не произошло.</w:t>
      </w:r>
    </w:p>
    <w:p w14:paraId="37089E26"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частями нашей авиации на различных участках фронта уничтожено до 200 немецких автомашин с войсками и грузами, подавлен огонь 17 артиллерийских батарей, потоплен сторожевой корабль, рассеяно и частью уничтожено до батальона пехоты противника.</w:t>
      </w:r>
    </w:p>
    <w:p w14:paraId="60A7E966"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северо-восточнее Новороссийска, наши войска продолжали вести бои. Одна наша артиллерийская часть разрушила 20 вражеских дзотов и подавила огонь 7 артиллерийских батарей противника. За последние дни бойцами Н-ского соединения захвачены у немцев большие трофеи, в том числе 39 миномётов, 600 винтовок, 300 тысяч патронов, 100 железнодорожных вагонов и цистерн, 11 паровозов и несколько складов.</w:t>
      </w:r>
    </w:p>
    <w:p w14:paraId="24B1E6D7"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Чугуева наши артиллеристы и миномётчики разбили 5 дзотов и 3блиндажа, уничтожили орудие и 4 пулемётные точки противника. Гвардейцы-миномётчики огневыми налётами рассеяли батальон немецкой пехоты. Уничтожено до 200 вражеских солдат и офицеров. Командир танка лейтенант Чичулин огнём из пулемёта сбил самолёт противника.</w:t>
      </w:r>
    </w:p>
    <w:p w14:paraId="57F19873"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части уничтожили два взвода гитлеровцев, 6 пулемётов, разрушили 4 дзота, 8 блиндажей и взорвали склад противника с горючим.</w:t>
      </w:r>
    </w:p>
    <w:p w14:paraId="6A726584"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советские артиллеристы обстреливали вражеские позиции. Разрушено 13 немецких дзотов, 8 блиндажей и наблюдательный пункт, подавлен огонь 5 артиллерийских и 2 миномётных батарей противника.</w:t>
      </w:r>
    </w:p>
    <w:p w14:paraId="41AD6ED1"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Немецкие оккупационные власти усиленно охраняли железнодорожный мост на линии Осиповичи—Слуцк. На подступах к мосту гитлеровцы соорудили дзоты и разместили в них сильные гарнизоны. Отряд минских партизан совершил смелый налёт и штурмом захватил вражеские дзоты. Советские патриоты перебили немецкую охрану и взорвали мост. Другой отряд минских партизан 26 и 27 апреля пустил под откос два немецких железнодорожных эшелона. Разбито 2 паровоза и 17 вагонов, уничтожено свыше 50 гитлеровцев.</w:t>
      </w:r>
    </w:p>
    <w:p w14:paraId="3581170D"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сожгли 59 селений Полоцкого района, Витебской области. Уничтожение деревень сопровождалось разнузданными грабежами и массовыми убийствами мирных советских граждан. Немцы отняли у колхозников скот, продовольствие и домашние вещи. В деревнях Сестрёнки, Чёрная, Сухой Бор и Большие Жарцы немецкие палачи расстреляли и сожгли 190 стариков, женщин и детей.</w:t>
      </w:r>
    </w:p>
    <w:p w14:paraId="345E205F"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Греческие патриоты разгромили в районе города Гревены крупный итальянский отряд. Оккупанты понесли тяжёлые потери. При налёте на Фарсалу партизаны причинили оккупантам большой урон, захватили трофеи и взяли в плен 40 итальянских солдат.» (14885).</w:t>
      </w:r>
    </w:p>
    <w:p w14:paraId="1A0C9D67" w14:textId="77777777" w:rsidR="00041D00" w:rsidRPr="00D03F3E" w:rsidRDefault="00041D00" w:rsidP="00D03F3E">
      <w:pPr>
        <w:spacing w:after="0" w:line="240" w:lineRule="auto"/>
        <w:jc w:val="both"/>
        <w:rPr>
          <w:rFonts w:ascii="Times New Roman" w:hAnsi="Times New Roman"/>
          <w:color w:val="000000" w:themeColor="text1"/>
          <w:sz w:val="16"/>
          <w:szCs w:val="16"/>
        </w:rPr>
      </w:pPr>
    </w:p>
    <w:p w14:paraId="70FF376E" w14:textId="77777777" w:rsidR="00E32537" w:rsidRPr="00D03F3E" w:rsidRDefault="00E32537" w:rsidP="00D03F3E">
      <w:pPr>
        <w:pStyle w:val="ae"/>
        <w:spacing w:before="0" w:after="0"/>
        <w:jc w:val="both"/>
        <w:textAlignment w:val="baseline"/>
        <w:rPr>
          <w:color w:val="000000" w:themeColor="text1"/>
          <w:sz w:val="16"/>
          <w:szCs w:val="16"/>
        </w:rPr>
      </w:pPr>
      <w:r w:rsidRPr="00D03F3E">
        <w:rPr>
          <w:color w:val="000000" w:themeColor="text1"/>
          <w:sz w:val="16"/>
          <w:szCs w:val="16"/>
        </w:rPr>
        <w:t>8 мая 1943 в воздух был поднят 181 самолет, чтобы снова атаковать немецкие аэродромы Брянск, Озерская, Краматорск и Красилино. Полагаясь на мнимые «результаты» прошлых ударов, командование авиаполков и авиадивизий, вероятно, думало, что взлетные полосы противника уже перепаханы, а почти все самолеты сгорели. Однако на подходе к целям экипажи вновь увидели в воздухе неизвестно откуда взявшиеся «тучи» Bf-109G и FW-190A, видимо «спешно переброшенные из Франции».</w:t>
      </w:r>
    </w:p>
    <w:p w14:paraId="09FE6DF3" w14:textId="77777777" w:rsidR="00E32537" w:rsidRPr="00D03F3E" w:rsidRDefault="00E32537" w:rsidP="00D03F3E">
      <w:pPr>
        <w:pStyle w:val="ae"/>
        <w:spacing w:before="0" w:after="0"/>
        <w:jc w:val="both"/>
        <w:textAlignment w:val="baseline"/>
        <w:rPr>
          <w:color w:val="000000" w:themeColor="text1"/>
          <w:sz w:val="16"/>
          <w:szCs w:val="16"/>
        </w:rPr>
      </w:pPr>
      <w:r w:rsidRPr="00D03F3E">
        <w:rPr>
          <w:color w:val="000000" w:themeColor="text1"/>
          <w:sz w:val="16"/>
          <w:szCs w:val="16"/>
        </w:rPr>
        <w:t>В результате четвертый и последний удар завершился ничем и стоил еще семи потерянных Ил-2. Побросав бомбы куда придется, штурмовики и бомбардировщики поспешили удалиться на свою территорию. Правда, их экипажи затем все же отчитались о шести якобы уничтоженных немецких самолетах. Но и эти достижения оказались преувеличением. На самом деле получили повреждения лишь два разведчика FW-189 из 1-й эскадрильи ближней разведки Aufkl.Gr.ll, которая тогда базировалась на аэродроме Озерская (19522).</w:t>
      </w:r>
    </w:p>
    <w:p w14:paraId="00CCC7D7" w14:textId="77777777" w:rsidR="00E32537" w:rsidRPr="00D03F3E" w:rsidRDefault="00E32537" w:rsidP="00D03F3E">
      <w:pPr>
        <w:pStyle w:val="ae"/>
        <w:spacing w:before="0" w:after="0"/>
        <w:jc w:val="both"/>
        <w:textAlignment w:val="baseline"/>
        <w:rPr>
          <w:color w:val="000000" w:themeColor="text1"/>
          <w:sz w:val="16"/>
          <w:szCs w:val="16"/>
        </w:rPr>
      </w:pPr>
      <w:r w:rsidRPr="00D03F3E">
        <w:rPr>
          <w:color w:val="000000" w:themeColor="text1"/>
          <w:sz w:val="16"/>
          <w:szCs w:val="16"/>
        </w:rPr>
        <w:t>С 6 по 8 мая 1943 г. — советская авиация совершила 1392 самолето-вылета, из которых 325 приходилось на Ил-2. Согласно официальным данным, на земле был уничтожен 501 немецкий самолет! Если верить этим победным данным, то получается, что в те дни на аэродромах, лишаясь всей своей техники, гибли целые эскадры люфтваффе. Можно сказать, что за три майских дня должен был быть уничтожен целый воздушный флот. Для всего Третьего рейха в целом это должно было стать поражением, сравнимым по масштабу последствий с капитуляциями 6-й полевой армии в Сталинграде и армейской группы «Африка» в Тунисе.</w:t>
      </w:r>
    </w:p>
    <w:p w14:paraId="4B1B3E4C" w14:textId="77777777" w:rsidR="00E32537" w:rsidRPr="00D03F3E" w:rsidRDefault="00E32537" w:rsidP="00D03F3E">
      <w:pPr>
        <w:pStyle w:val="ae"/>
        <w:spacing w:before="0" w:after="0"/>
        <w:jc w:val="both"/>
        <w:textAlignment w:val="baseline"/>
        <w:rPr>
          <w:color w:val="000000" w:themeColor="text1"/>
          <w:sz w:val="16"/>
          <w:szCs w:val="16"/>
        </w:rPr>
      </w:pPr>
      <w:r w:rsidRPr="00D03F3E">
        <w:rPr>
          <w:color w:val="000000" w:themeColor="text1"/>
          <w:sz w:val="16"/>
          <w:szCs w:val="16"/>
        </w:rPr>
        <w:t>Однако ни малейших намеков на это в Германии не наблюдалось. Словно противник и не заметил все эти удары. И неудивительно, поскольку фактически немцы потеряли на земле только пять самолетов: три Не-111Н, один Ju-88D и один Bf-109G. Еще двадцать машин получили различные повреждения и могли быть отремонтированы. Эти мизерные потери, естественно, не оказали никакого заметного влияния на ход воздушной войны даже на каком-нибудь отдельном локальном участке.</w:t>
      </w:r>
    </w:p>
    <w:p w14:paraId="6F31D67B" w14:textId="77777777" w:rsidR="00E32537" w:rsidRPr="00D03F3E" w:rsidRDefault="00E32537" w:rsidP="00D03F3E">
      <w:pPr>
        <w:pStyle w:val="ae"/>
        <w:spacing w:before="0" w:after="0"/>
        <w:jc w:val="both"/>
        <w:textAlignment w:val="baseline"/>
        <w:rPr>
          <w:color w:val="000000" w:themeColor="text1"/>
          <w:sz w:val="16"/>
          <w:szCs w:val="16"/>
        </w:rPr>
      </w:pPr>
      <w:r w:rsidRPr="00D03F3E">
        <w:rPr>
          <w:color w:val="000000" w:themeColor="text1"/>
          <w:sz w:val="16"/>
          <w:szCs w:val="16"/>
        </w:rPr>
        <w:t>Тут надо сказать, что определенное завышение собственных успехов и соответственно потерь противника существовало во все времена и во всех армиях мира. Такова уж суть человеческой природы. Если же посмотреть на официальные итоги майских воздушных ударов по немецким аэродромам, то это «преувеличение» достигает поистине фантастического стократного размера! Столь огромной разницы между заявленными результатами и реальностью больше не было нигде и никогда за всю войну.</w:t>
      </w:r>
    </w:p>
    <w:p w14:paraId="65FE0F10" w14:textId="77777777" w:rsidR="00E32537" w:rsidRPr="00D03F3E" w:rsidRDefault="00E32537" w:rsidP="00D03F3E">
      <w:pPr>
        <w:pStyle w:val="ae"/>
        <w:spacing w:before="0" w:after="0"/>
        <w:jc w:val="both"/>
        <w:textAlignment w:val="baseline"/>
        <w:rPr>
          <w:color w:val="000000" w:themeColor="text1"/>
          <w:sz w:val="16"/>
          <w:szCs w:val="16"/>
        </w:rPr>
      </w:pPr>
      <w:r w:rsidRPr="00D03F3E">
        <w:rPr>
          <w:color w:val="000000" w:themeColor="text1"/>
          <w:sz w:val="16"/>
          <w:szCs w:val="16"/>
        </w:rPr>
        <w:t>В то же время общие потери атакующих составили 134 самолета. Среди них были 77 Ил-2, из которых 45 сбили истребители, а остальные — зенитная артиллерия. Штурмовые полки лишились 52 летчиков и 41 воздушного стрелка. Фактически за три дня немцы уничтожили целую штурмовую авиадивизию. На основании этих цифр можно смело утверждать: задуманная с размахом операция по уничтожению на земле сил 4-го и 6-го воздушных флотов люфтваффе закончилась полным крахом (19522).</w:t>
      </w:r>
    </w:p>
    <w:p w14:paraId="5E94C5AF" w14:textId="77777777" w:rsidR="00E32537" w:rsidRPr="00D03F3E" w:rsidRDefault="00E32537" w:rsidP="00D03F3E">
      <w:pPr>
        <w:pStyle w:val="ae"/>
        <w:spacing w:before="0" w:after="0"/>
        <w:jc w:val="both"/>
        <w:textAlignment w:val="baseline"/>
        <w:rPr>
          <w:color w:val="000000" w:themeColor="text1"/>
          <w:sz w:val="16"/>
          <w:szCs w:val="16"/>
        </w:rPr>
      </w:pPr>
    </w:p>
    <w:p w14:paraId="0C70A17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 мая 1943 1-я и 16-я воз</w:t>
      </w:r>
      <w:r w:rsidRPr="00D03F3E">
        <w:rPr>
          <w:color w:val="000000" w:themeColor="text1"/>
          <w:sz w:val="16"/>
          <w:szCs w:val="16"/>
        </w:rPr>
        <w:softHyphen/>
        <w:t>душные армии по аэродромам не дей</w:t>
      </w:r>
      <w:r w:rsidRPr="00D03F3E">
        <w:rPr>
          <w:color w:val="000000" w:themeColor="text1"/>
          <w:sz w:val="16"/>
          <w:szCs w:val="16"/>
        </w:rPr>
        <w:softHyphen/>
        <w:t>ствовали, 8-я, 15-я и 17-я армии "рабо</w:t>
      </w:r>
      <w:r w:rsidRPr="00D03F3E">
        <w:rPr>
          <w:color w:val="000000" w:themeColor="text1"/>
          <w:sz w:val="16"/>
          <w:szCs w:val="16"/>
        </w:rPr>
        <w:softHyphen/>
        <w:t>тали" только ночью и результаты нале</w:t>
      </w:r>
      <w:r w:rsidRPr="00D03F3E">
        <w:rPr>
          <w:color w:val="000000" w:themeColor="text1"/>
          <w:sz w:val="16"/>
          <w:szCs w:val="16"/>
        </w:rPr>
        <w:softHyphen/>
        <w:t>тов установить не удалось. Удары эки</w:t>
      </w:r>
      <w:r w:rsidRPr="00D03F3E">
        <w:rPr>
          <w:color w:val="000000" w:themeColor="text1"/>
          <w:sz w:val="16"/>
          <w:szCs w:val="16"/>
        </w:rPr>
        <w:softHyphen/>
        <w:t>пажей 2-й воздушной армии были со</w:t>
      </w:r>
      <w:r w:rsidRPr="00D03F3E">
        <w:rPr>
          <w:color w:val="000000" w:themeColor="text1"/>
          <w:sz w:val="16"/>
          <w:szCs w:val="16"/>
        </w:rPr>
        <w:softHyphen/>
        <w:t>вершенно не результативными. При од</w:t>
      </w:r>
      <w:r w:rsidRPr="00D03F3E">
        <w:rPr>
          <w:color w:val="000000" w:themeColor="text1"/>
          <w:sz w:val="16"/>
          <w:szCs w:val="16"/>
        </w:rPr>
        <w:softHyphen/>
        <w:t>ном истребителе противника, сбитом в воздушном бою, собственные потери армии составили один самолет.</w:t>
      </w:r>
    </w:p>
    <w:p w14:paraId="57F02D3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Учитывая обстановку, заместитель командующего ВВС КА Генерал-Полковник авиации Г.А.Ворожейкин отдал, надо сказать, весьма запоздалое приказание командующим воздушными армиями о прекращении на три-четыре дня масси</w:t>
      </w:r>
      <w:r w:rsidRPr="00D03F3E">
        <w:rPr>
          <w:color w:val="000000" w:themeColor="text1"/>
          <w:sz w:val="16"/>
          <w:szCs w:val="16"/>
        </w:rPr>
        <w:softHyphen/>
        <w:t>рованных действий по немецким аэро</w:t>
      </w:r>
      <w:r w:rsidRPr="00D03F3E">
        <w:rPr>
          <w:color w:val="000000" w:themeColor="text1"/>
          <w:sz w:val="16"/>
          <w:szCs w:val="16"/>
        </w:rPr>
        <w:softHyphen/>
        <w:t xml:space="preserve">дромам и переходе </w:t>
      </w:r>
      <w:r w:rsidRPr="00D03F3E">
        <w:rPr>
          <w:iCs/>
          <w:color w:val="000000" w:themeColor="text1"/>
          <w:sz w:val="16"/>
          <w:szCs w:val="16"/>
        </w:rPr>
        <w:t>"...к широким дей</w:t>
      </w:r>
      <w:r w:rsidRPr="00D03F3E">
        <w:rPr>
          <w:iCs/>
          <w:color w:val="000000" w:themeColor="text1"/>
          <w:sz w:val="16"/>
          <w:szCs w:val="16"/>
        </w:rPr>
        <w:softHyphen/>
        <w:t>ствиям по автотранспортным и желез</w:t>
      </w:r>
      <w:r w:rsidRPr="00D03F3E">
        <w:rPr>
          <w:iCs/>
          <w:color w:val="000000" w:themeColor="text1"/>
          <w:sz w:val="16"/>
          <w:szCs w:val="16"/>
        </w:rPr>
        <w:softHyphen/>
        <w:t>нодорожным перевозкам силами "охот</w:t>
      </w:r>
      <w:r w:rsidRPr="00D03F3E">
        <w:rPr>
          <w:iCs/>
          <w:color w:val="000000" w:themeColor="text1"/>
          <w:sz w:val="16"/>
          <w:szCs w:val="16"/>
        </w:rPr>
        <w:softHyphen/>
        <w:t>ников"</w:t>
      </w:r>
      <w:r w:rsidRPr="00D03F3E">
        <w:rPr>
          <w:color w:val="000000" w:themeColor="text1"/>
          <w:sz w:val="16"/>
          <w:szCs w:val="16"/>
        </w:rPr>
        <w:t>...(6467).</w:t>
      </w:r>
    </w:p>
    <w:p w14:paraId="3403C45E" w14:textId="77777777" w:rsidR="00531570" w:rsidRPr="00D03F3E" w:rsidRDefault="00531570" w:rsidP="00D03F3E">
      <w:pPr>
        <w:pStyle w:val="Iauiue"/>
        <w:jc w:val="both"/>
        <w:rPr>
          <w:color w:val="000000" w:themeColor="text1"/>
          <w:sz w:val="16"/>
          <w:szCs w:val="16"/>
        </w:rPr>
      </w:pPr>
    </w:p>
    <w:p w14:paraId="0F9109C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 мая 1943 вышла директива командующего ВВС КА: "Наше нападение на аэродромы 6 мая было успешным благодаря внезапности, 7 - обстановка стала иной... В этот день был 4-й удар 181 машины, но надежд не оправдал и уничтожили и сбили только 6. Всего было 1392 вылета (415 бомбардировщиками, 325 штурмовиками и 635 истребителями - 25% всех авиасил). Потеряли - 122 (1 к 4.1 и уничтожили 429 (311 бомбардировщиков) (518,80).</w:t>
      </w:r>
    </w:p>
    <w:p w14:paraId="4A305FD9" w14:textId="77777777" w:rsidR="00531570" w:rsidRPr="00D03F3E" w:rsidRDefault="00531570" w:rsidP="00D03F3E">
      <w:pPr>
        <w:pStyle w:val="Iauiue"/>
        <w:jc w:val="both"/>
        <w:rPr>
          <w:color w:val="000000" w:themeColor="text1"/>
          <w:sz w:val="16"/>
          <w:szCs w:val="16"/>
        </w:rPr>
      </w:pPr>
    </w:p>
    <w:p w14:paraId="447EC218" w14:textId="77777777" w:rsidR="00961A6C" w:rsidRPr="00D03F3E" w:rsidRDefault="00961A6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8 мая 1943 командующий ВВС Красной армии маршал авиации Новиков сообщал:</w:t>
      </w:r>
    </w:p>
    <w:p w14:paraId="4DE8DCF9" w14:textId="77777777" w:rsidR="00961A6C" w:rsidRPr="00D03F3E" w:rsidRDefault="00961A6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«Наше нападение на аэродромы противника 6 мая 1943 г. было успешным благодаря внезапности. </w:t>
      </w:r>
    </w:p>
    <w:p w14:paraId="79721685" w14:textId="77777777" w:rsidR="00961A6C" w:rsidRPr="00D03F3E" w:rsidRDefault="00961A6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7 мая 1943 г. обстановка стала иной. Истребительная авиация противника стала настороженной, в повышенной боевой готовности, приближена к линии фронта …</w:t>
      </w:r>
    </w:p>
    <w:p w14:paraId="28D6D2E5" w14:textId="77777777" w:rsidR="00961A6C" w:rsidRPr="00D03F3E" w:rsidRDefault="00961A6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В такой обстановке действовать только по хорошо разведанным аэродромам, увеличить численность истребителей для прикрытия ударных групп. Группы штурмовиков должны быть постоянно сильными, чтобы они могли нанести удары не только по самолетам на аэродромах, но и надежно подавить средства ПВО …</w:t>
      </w:r>
    </w:p>
    <w:p w14:paraId="5465684B" w14:textId="77777777" w:rsidR="00961A6C" w:rsidRPr="00D03F3E" w:rsidRDefault="00961A6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основу тактики налетов нужно теперь положить силу и хитрость, так как на внезапность действия уже нельзя рассчитывать» (23199).</w:t>
      </w:r>
    </w:p>
    <w:p w14:paraId="515EDB90" w14:textId="77777777" w:rsidR="00961A6C" w:rsidRPr="00D03F3E" w:rsidRDefault="00961A6C" w:rsidP="00D03F3E">
      <w:pPr>
        <w:spacing w:after="0" w:line="240" w:lineRule="auto"/>
        <w:jc w:val="both"/>
        <w:rPr>
          <w:rFonts w:ascii="Times New Roman" w:hAnsi="Times New Roman"/>
          <w:color w:val="0070C0"/>
          <w:sz w:val="16"/>
          <w:szCs w:val="16"/>
        </w:rPr>
      </w:pPr>
    </w:p>
    <w:p w14:paraId="3F1A06BE" w14:textId="77777777" w:rsidR="00961A6C" w:rsidRPr="00D03F3E" w:rsidRDefault="00961A6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8 мая 1943 утром в воздух был поднят 181 самолет, чтобы снова атаковать немецкие аэродромы Брянск, Озерская, Краматорск и Красилино. Полагаясь на мнимые «результаты» прошлых ударов, командование авиаполков и авиадивизий, вероятно, думало, что взлетные полосы противника уже перепаханы, а почти все самолеты сгорели. Однако на подходе к целям экипажи вновь увидели в воздухе неизвестно откуда взявшиеся «тучи» Bf</w:t>
      </w:r>
      <w:r w:rsidRPr="00D03F3E">
        <w:rPr>
          <w:rFonts w:ascii="Times New Roman" w:hAnsi="Times New Roman"/>
          <w:color w:val="0070C0"/>
          <w:sz w:val="16"/>
          <w:szCs w:val="16"/>
        </w:rPr>
        <w:noBreakHyphen/>
        <w:t>109G и FW</w:t>
      </w:r>
      <w:r w:rsidRPr="00D03F3E">
        <w:rPr>
          <w:rFonts w:ascii="Times New Roman" w:hAnsi="Times New Roman"/>
          <w:color w:val="0070C0"/>
          <w:sz w:val="16"/>
          <w:szCs w:val="16"/>
        </w:rPr>
        <w:noBreakHyphen/>
        <w:t>190A, видимо «спешно переброшенные из Франции».</w:t>
      </w:r>
    </w:p>
    <w:p w14:paraId="64818249" w14:textId="77777777" w:rsidR="00961A6C" w:rsidRPr="00D03F3E" w:rsidRDefault="00961A6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результате четвертый и последний удар завершился ничем и стоил еще семи потерянных Ил</w:t>
      </w:r>
      <w:r w:rsidRPr="00D03F3E">
        <w:rPr>
          <w:rFonts w:ascii="Times New Roman" w:hAnsi="Times New Roman"/>
          <w:color w:val="0070C0"/>
          <w:sz w:val="16"/>
          <w:szCs w:val="16"/>
        </w:rPr>
        <w:noBreakHyphen/>
        <w:t>2. Побросав бомбы куда придется, штурмовики и бомбардировщики поспешили удалиться на свою территорию. Правда, их экипажи затем все же отчитались о шести якобы уничтоженных немецких самолетах. Но и эти достижения оказались преувеличением. На самом деле получили повреждения лишь два разведчика FW</w:t>
      </w:r>
      <w:r w:rsidRPr="00D03F3E">
        <w:rPr>
          <w:rFonts w:ascii="Times New Roman" w:hAnsi="Times New Roman"/>
          <w:color w:val="0070C0"/>
          <w:sz w:val="16"/>
          <w:szCs w:val="16"/>
        </w:rPr>
        <w:noBreakHyphen/>
        <w:t>189 из 1</w:t>
      </w:r>
      <w:r w:rsidRPr="00D03F3E">
        <w:rPr>
          <w:rFonts w:ascii="Times New Roman" w:hAnsi="Times New Roman"/>
          <w:color w:val="0070C0"/>
          <w:sz w:val="16"/>
          <w:szCs w:val="16"/>
        </w:rPr>
        <w:noBreakHyphen/>
        <w:t>й эскадрильи ближней разведки Aufkl.Gr.ll, которая тогда базировалась на аэродроме Озерская [65] .</w:t>
      </w:r>
    </w:p>
    <w:p w14:paraId="57700D80" w14:textId="77777777" w:rsidR="00961A6C" w:rsidRPr="00D03F3E" w:rsidRDefault="00961A6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Всего в течение трех дней – с 6 по 8 мая 1943 г. – советская авиация совершила 1392 самолето</w:t>
      </w:r>
      <w:r w:rsidRPr="00D03F3E">
        <w:rPr>
          <w:rFonts w:ascii="Times New Roman" w:hAnsi="Times New Roman"/>
          <w:color w:val="0070C0"/>
          <w:sz w:val="16"/>
          <w:szCs w:val="16"/>
        </w:rPr>
        <w:noBreakHyphen/>
        <w:t>вылета, из которых 325 приходилось на Ил</w:t>
      </w:r>
      <w:r w:rsidRPr="00D03F3E">
        <w:rPr>
          <w:rFonts w:ascii="Times New Roman" w:hAnsi="Times New Roman"/>
          <w:color w:val="0070C0"/>
          <w:sz w:val="16"/>
          <w:szCs w:val="16"/>
        </w:rPr>
        <w:noBreakHyphen/>
        <w:t>2. Согласно официальным данным, на земле был уничтожен 501 немецкий самолет! Если верить этим победным данным, то получается, что в те дни на аэродромах, лишаясь всей своей техники, гибли целые эскадры люфтваффе. Можно сказать, что за три майских дня должен был быть уничтожен целый воздушный флот. Для всего Третьего рейха в целом это должно было стать поражением, сравнимым по масштабу последствий с капитуляциями 6</w:t>
      </w:r>
      <w:r w:rsidRPr="00D03F3E">
        <w:rPr>
          <w:rFonts w:ascii="Times New Roman" w:hAnsi="Times New Roman"/>
          <w:color w:val="0070C0"/>
          <w:sz w:val="16"/>
          <w:szCs w:val="16"/>
        </w:rPr>
        <w:noBreakHyphen/>
        <w:t>й полевой армии в Сталинграде и армейской группы «Африка» в Тунисе.</w:t>
      </w:r>
    </w:p>
    <w:p w14:paraId="00C2BF52" w14:textId="77777777" w:rsidR="00961A6C" w:rsidRPr="00D03F3E" w:rsidRDefault="00961A6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Однако ни малейших намеков на это в Германии не наблюдалось. Словно противник и не заметил все эти удары. И неудивительно, поскольку фактически немцы потеряли на земле только пять самолетов: три Не</w:t>
      </w:r>
      <w:r w:rsidRPr="00D03F3E">
        <w:rPr>
          <w:rFonts w:ascii="Times New Roman" w:hAnsi="Times New Roman"/>
          <w:color w:val="0070C0"/>
          <w:sz w:val="16"/>
          <w:szCs w:val="16"/>
        </w:rPr>
        <w:noBreakHyphen/>
        <w:t>111Н, один Ju</w:t>
      </w:r>
      <w:r w:rsidRPr="00D03F3E">
        <w:rPr>
          <w:rFonts w:ascii="Times New Roman" w:hAnsi="Times New Roman"/>
          <w:color w:val="0070C0"/>
          <w:sz w:val="16"/>
          <w:szCs w:val="16"/>
        </w:rPr>
        <w:noBreakHyphen/>
        <w:t>88D и один Bf</w:t>
      </w:r>
      <w:r w:rsidRPr="00D03F3E">
        <w:rPr>
          <w:rFonts w:ascii="Times New Roman" w:hAnsi="Times New Roman"/>
          <w:color w:val="0070C0"/>
          <w:sz w:val="16"/>
          <w:szCs w:val="16"/>
        </w:rPr>
        <w:noBreakHyphen/>
        <w:t>109G. Еще двадцать машин получили различные повреждения и могли быть отремонтированы. Эти мизерные потери, естественно, не оказали никакого заметного влияния на ход воздушной войны даже на каком</w:t>
      </w:r>
      <w:r w:rsidRPr="00D03F3E">
        <w:rPr>
          <w:rFonts w:ascii="Times New Roman" w:hAnsi="Times New Roman"/>
          <w:color w:val="0070C0"/>
          <w:sz w:val="16"/>
          <w:szCs w:val="16"/>
        </w:rPr>
        <w:noBreakHyphen/>
        <w:t>нибудь отдельном локальном участке.</w:t>
      </w:r>
    </w:p>
    <w:p w14:paraId="4A325BC5" w14:textId="77777777" w:rsidR="00961A6C" w:rsidRPr="00D03F3E" w:rsidRDefault="00961A6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то же время общие потери атакующих составили 134 самолета. Среди них были 77 Ил</w:t>
      </w:r>
      <w:r w:rsidRPr="00D03F3E">
        <w:rPr>
          <w:rFonts w:ascii="Times New Roman" w:hAnsi="Times New Roman"/>
          <w:color w:val="0070C0"/>
          <w:sz w:val="16"/>
          <w:szCs w:val="16"/>
        </w:rPr>
        <w:noBreakHyphen/>
        <w:t>2, из которых 45 сбили истребители, а остальные – зенитная артиллерия. Штурмовые полки лишились 52 летчиков и 41 воздушного стрелка. Фактически за три дня немцы уничтожили целую штурмовую авиадивизию. На основании этих цифр можно смело утверждать: задуманная с размахом операция по уничтожению на земле сил 4</w:t>
      </w:r>
      <w:r w:rsidRPr="00D03F3E">
        <w:rPr>
          <w:rFonts w:ascii="Times New Roman" w:hAnsi="Times New Roman"/>
          <w:color w:val="0070C0"/>
          <w:sz w:val="16"/>
          <w:szCs w:val="16"/>
        </w:rPr>
        <w:noBreakHyphen/>
        <w:t>го и 6</w:t>
      </w:r>
      <w:r w:rsidRPr="00D03F3E">
        <w:rPr>
          <w:rFonts w:ascii="Times New Roman" w:hAnsi="Times New Roman"/>
          <w:color w:val="0070C0"/>
          <w:sz w:val="16"/>
          <w:szCs w:val="16"/>
        </w:rPr>
        <w:noBreakHyphen/>
        <w:t>го воздушных флотов люфтваффе закончилась полным крахом (23199).</w:t>
      </w:r>
    </w:p>
    <w:p w14:paraId="08F76A24" w14:textId="77777777" w:rsidR="00961A6C" w:rsidRPr="00D03F3E" w:rsidRDefault="00961A6C" w:rsidP="00D03F3E">
      <w:pPr>
        <w:spacing w:after="0" w:line="240" w:lineRule="auto"/>
        <w:jc w:val="both"/>
        <w:rPr>
          <w:rFonts w:ascii="Times New Roman" w:hAnsi="Times New Roman"/>
          <w:color w:val="0070C0"/>
          <w:sz w:val="16"/>
          <w:szCs w:val="16"/>
        </w:rPr>
      </w:pPr>
    </w:p>
    <w:p w14:paraId="3CD9D1C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Утром 8 мая 1943 экипажи пары Ил-2-"охотников" от 617-го шап 291 -й шад в составе комэска лейтенанта Прошкина (воздушный стрелок старшина Сапиев) и командир звена мл. лейтенанта Алексухина (воздушный стрелок мл. сержант Апухин), "охотясь" вдоль дороги Золочев-Готня, в 5.10 обнаружили в 2-3 км от ст. Золочев эшелон из 50 вагонов (30 крытых вагонов, 10 открытых платформ, 10 цистерн). В первом заходе Прошкин подавил огонь огневых точек МЗА, расположенных на открытых платформах. В это время Алексухин, находясь на удалении от ведущего на 300-400 м, бомбардировал головную часть эшелона бомбами.</w:t>
      </w:r>
    </w:p>
    <w:p w14:paraId="0B51F09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летчики выполнили по 5 заходов каждый. Прямым попаданием PC был поврежден паровоз, подожжены два крытых вагона и груз на открытых платформах. Эшелон разорвался на две части, из которых хвостовая часть ушла под уклон в сторону Золочева. От огня МЗА оба Ил-2 получили повреждения.</w:t>
      </w:r>
    </w:p>
    <w:p w14:paraId="6187081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Вечером 8 мая Прошкин и Алексухин вновь в поиске. На это раз в районе южнее Готня, Грайворон, Б. Писаревка. Взлет был выполнен в 19.30. До линии фронта экипажи шли на высоте 5-10 м. После перелета линии фронта с наступлением темноты высота полета была увеличена до 20-25 м. Поиск подходящей цели продолжался около получаса. В районе Грайворон удалось обнаружить скопление автомашин до 70 единиц. Выходя в атаку, примерно в 5 км от Грайворон экипажи "по ходу дела" обстреляли из пулеметов и пушек две грузовых автомашины. Результат экипажи не наблюдали. </w:t>
      </w:r>
    </w:p>
    <w:p w14:paraId="144E98F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Цель поражена успешно Непосредственно по скоплению автомашин Прошкин и Алексухин выполнили по четыре захода каждый. В первом заходе выполнен пуск PC и стрельба из пушек и пулеметов. Во втором заходе - сброшены все бомбы и произведен обстрел целей из стрел- ково-пушечного вооружения. В последующих заходах применялись только пушки и пулеметы.</w:t>
      </w:r>
    </w:p>
    <w:p w14:paraId="264F65E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докладу экипажей, уже после второго захода цель была окутана дымом и огнем так, что отдельные автомашины едва просматривались. Над целью интенсивно "работала" МЗА противника, но все обошлось - Ил-2 получили лишь незначительные повреждения (12020).</w:t>
      </w:r>
    </w:p>
    <w:p w14:paraId="4F04C91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5A2B14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утру 8 мая 1943, учитывая активность советской авиации, немецкое командование перебазировало большую часть авиации на тыловые и запасные аэродромы. Тщательно замаскирова</w:t>
      </w:r>
      <w:r w:rsidRPr="00D03F3E">
        <w:rPr>
          <w:rFonts w:ascii="Times New Roman" w:hAnsi="Times New Roman"/>
          <w:color w:val="000000" w:themeColor="text1"/>
          <w:sz w:val="16"/>
          <w:szCs w:val="16"/>
        </w:rPr>
        <w:softHyphen/>
        <w:t>ло и рассредоточило на них самоле</w:t>
      </w:r>
      <w:r w:rsidRPr="00D03F3E">
        <w:rPr>
          <w:rFonts w:ascii="Times New Roman" w:hAnsi="Times New Roman"/>
          <w:color w:val="000000" w:themeColor="text1"/>
          <w:sz w:val="16"/>
          <w:szCs w:val="16"/>
        </w:rPr>
        <w:softHyphen/>
        <w:t>ты. Кроме этого, на борьбу с авиаци</w:t>
      </w:r>
      <w:r w:rsidRPr="00D03F3E">
        <w:rPr>
          <w:rFonts w:ascii="Times New Roman" w:hAnsi="Times New Roman"/>
          <w:color w:val="000000" w:themeColor="text1"/>
          <w:sz w:val="16"/>
          <w:szCs w:val="16"/>
        </w:rPr>
        <w:softHyphen/>
        <w:t>ей Красной Армии в этот день были выделены значительные силы истреби</w:t>
      </w:r>
      <w:r w:rsidRPr="00D03F3E">
        <w:rPr>
          <w:rFonts w:ascii="Times New Roman" w:hAnsi="Times New Roman"/>
          <w:color w:val="000000" w:themeColor="text1"/>
          <w:sz w:val="16"/>
          <w:szCs w:val="16"/>
        </w:rPr>
        <w:softHyphen/>
        <w:t>тельной авиации люфтваффе. Активи</w:t>
      </w:r>
      <w:r w:rsidRPr="00D03F3E">
        <w:rPr>
          <w:rFonts w:ascii="Times New Roman" w:hAnsi="Times New Roman"/>
          <w:color w:val="000000" w:themeColor="text1"/>
          <w:sz w:val="16"/>
          <w:szCs w:val="16"/>
        </w:rPr>
        <w:softHyphen/>
        <w:t>зировалась работа станций радиораз</w:t>
      </w:r>
      <w:r w:rsidRPr="00D03F3E">
        <w:rPr>
          <w:rFonts w:ascii="Times New Roman" w:hAnsi="Times New Roman"/>
          <w:color w:val="000000" w:themeColor="text1"/>
          <w:sz w:val="16"/>
          <w:szCs w:val="16"/>
        </w:rPr>
        <w:softHyphen/>
        <w:t>ведки и радиоперехвата. Для дальне</w:t>
      </w:r>
      <w:r w:rsidRPr="00D03F3E">
        <w:rPr>
          <w:rFonts w:ascii="Times New Roman" w:hAnsi="Times New Roman"/>
          <w:color w:val="000000" w:themeColor="text1"/>
          <w:sz w:val="16"/>
          <w:szCs w:val="16"/>
        </w:rPr>
        <w:softHyphen/>
        <w:t>го обнаружения советских самолетов и оповещения об их приближении, кроме радиолокационных станций, немцы применили небольшие истреби</w:t>
      </w:r>
      <w:r w:rsidRPr="00D03F3E">
        <w:rPr>
          <w:rFonts w:ascii="Times New Roman" w:hAnsi="Times New Roman"/>
          <w:color w:val="000000" w:themeColor="text1"/>
          <w:sz w:val="16"/>
          <w:szCs w:val="16"/>
        </w:rPr>
        <w:softHyphen/>
        <w:t>тельные заслоны, которые патрулиро</w:t>
      </w:r>
      <w:r w:rsidRPr="00D03F3E">
        <w:rPr>
          <w:rFonts w:ascii="Times New Roman" w:hAnsi="Times New Roman"/>
          <w:color w:val="000000" w:themeColor="text1"/>
          <w:sz w:val="16"/>
          <w:szCs w:val="16"/>
        </w:rPr>
        <w:softHyphen/>
        <w:t>вали вдоль линии боевого соприкос</w:t>
      </w:r>
      <w:r w:rsidRPr="00D03F3E">
        <w:rPr>
          <w:rFonts w:ascii="Times New Roman" w:hAnsi="Times New Roman"/>
          <w:color w:val="000000" w:themeColor="text1"/>
          <w:sz w:val="16"/>
          <w:szCs w:val="16"/>
        </w:rPr>
        <w:softHyphen/>
        <w:t>новения.</w:t>
      </w:r>
    </w:p>
    <w:p w14:paraId="4D7890D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этой связи днем 8 мая воздушные армии по аэродромам не действова</w:t>
      </w:r>
      <w:r w:rsidRPr="00D03F3E">
        <w:rPr>
          <w:rFonts w:ascii="Times New Roman" w:hAnsi="Times New Roman"/>
          <w:color w:val="000000" w:themeColor="text1"/>
          <w:sz w:val="16"/>
          <w:szCs w:val="16"/>
        </w:rPr>
        <w:softHyphen/>
        <w:t>ли, а ночью «работали» только 2-я, 8-я, 15-я и 17-я воздушные армии.</w:t>
      </w:r>
    </w:p>
    <w:p w14:paraId="2558847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Стало очевидным, что дальнейшее проведение ударов по аэродромам ба</w:t>
      </w:r>
      <w:r w:rsidRPr="00D03F3E">
        <w:rPr>
          <w:rFonts w:ascii="Times New Roman" w:hAnsi="Times New Roman"/>
          <w:color w:val="000000" w:themeColor="text1"/>
          <w:sz w:val="16"/>
          <w:szCs w:val="16"/>
        </w:rPr>
        <w:softHyphen/>
        <w:t>зирования немецкой авиации приведет лишь к излишним, ничем не оправдан</w:t>
      </w:r>
      <w:r w:rsidRPr="00D03F3E">
        <w:rPr>
          <w:rFonts w:ascii="Times New Roman" w:hAnsi="Times New Roman"/>
          <w:color w:val="000000" w:themeColor="text1"/>
          <w:sz w:val="16"/>
          <w:szCs w:val="16"/>
        </w:rPr>
        <w:softHyphen/>
        <w:t>ным потерям в летном составе и тех</w:t>
      </w:r>
      <w:r w:rsidRPr="00D03F3E">
        <w:rPr>
          <w:rFonts w:ascii="Times New Roman" w:hAnsi="Times New Roman"/>
          <w:color w:val="000000" w:themeColor="text1"/>
          <w:sz w:val="16"/>
          <w:szCs w:val="16"/>
        </w:rPr>
        <w:softHyphen/>
        <w:t>нике. Поэтому заместитель командую</w:t>
      </w:r>
      <w:r w:rsidRPr="00D03F3E">
        <w:rPr>
          <w:rFonts w:ascii="Times New Roman" w:hAnsi="Times New Roman"/>
          <w:color w:val="000000" w:themeColor="text1"/>
          <w:sz w:val="16"/>
          <w:szCs w:val="16"/>
        </w:rPr>
        <w:softHyphen/>
        <w:t>щего ВВС КА генерал-полковник Г.А. Ворожейкин отдал приказание ко</w:t>
      </w:r>
      <w:r w:rsidRPr="00D03F3E">
        <w:rPr>
          <w:rFonts w:ascii="Times New Roman" w:hAnsi="Times New Roman"/>
          <w:color w:val="000000" w:themeColor="text1"/>
          <w:sz w:val="16"/>
          <w:szCs w:val="16"/>
        </w:rPr>
        <w:softHyphen/>
        <w:t>мандующим воздушных армий о пре</w:t>
      </w:r>
      <w:r w:rsidRPr="00D03F3E">
        <w:rPr>
          <w:rFonts w:ascii="Times New Roman" w:hAnsi="Times New Roman"/>
          <w:color w:val="000000" w:themeColor="text1"/>
          <w:sz w:val="16"/>
          <w:szCs w:val="16"/>
        </w:rPr>
        <w:softHyphen/>
        <w:t>кращении на три-четыре дня массиро</w:t>
      </w:r>
      <w:r w:rsidRPr="00D03F3E">
        <w:rPr>
          <w:rFonts w:ascii="Times New Roman" w:hAnsi="Times New Roman"/>
          <w:color w:val="000000" w:themeColor="text1"/>
          <w:sz w:val="16"/>
          <w:szCs w:val="16"/>
        </w:rPr>
        <w:softHyphen/>
        <w:t>ванных действий по аэродромам про</w:t>
      </w:r>
      <w:r w:rsidRPr="00D03F3E">
        <w:rPr>
          <w:rFonts w:ascii="Times New Roman" w:hAnsi="Times New Roman"/>
          <w:color w:val="000000" w:themeColor="text1"/>
          <w:sz w:val="16"/>
          <w:szCs w:val="16"/>
        </w:rPr>
        <w:softHyphen/>
        <w:t xml:space="preserve">тивника и переходе в эти дни </w:t>
      </w:r>
      <w:r w:rsidRPr="00D03F3E">
        <w:rPr>
          <w:rFonts w:ascii="Times New Roman" w:hAnsi="Times New Roman"/>
          <w:iCs/>
          <w:color w:val="000000" w:themeColor="text1"/>
          <w:sz w:val="16"/>
          <w:szCs w:val="16"/>
        </w:rPr>
        <w:t>«к широ</w:t>
      </w:r>
      <w:r w:rsidRPr="00D03F3E">
        <w:rPr>
          <w:rFonts w:ascii="Times New Roman" w:hAnsi="Times New Roman"/>
          <w:iCs/>
          <w:color w:val="000000" w:themeColor="text1"/>
          <w:sz w:val="16"/>
          <w:szCs w:val="16"/>
        </w:rPr>
        <w:softHyphen/>
        <w:t>ким действиям по автотранспортным и железнодорожным перевозкам силами «охотников»...»</w:t>
      </w:r>
    </w:p>
    <w:p w14:paraId="4FDE50D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в адрес командующих воздушных армий были направлены «Указания заместителя командующего ВВС Красной Армии от 8 мая 1943 г. об устранении недочетов в боевых действиях нашей авиации по аэродро</w:t>
      </w:r>
      <w:r w:rsidRPr="00D03F3E">
        <w:rPr>
          <w:rFonts w:ascii="Times New Roman" w:hAnsi="Times New Roman"/>
          <w:color w:val="000000" w:themeColor="text1"/>
          <w:sz w:val="16"/>
          <w:szCs w:val="16"/>
        </w:rPr>
        <w:softHyphen/>
        <w:t>мам противника».</w:t>
      </w:r>
    </w:p>
    <w:p w14:paraId="1ED1691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Разбирая недостатки в действиях ко</w:t>
      </w:r>
      <w:r w:rsidRPr="00D03F3E">
        <w:rPr>
          <w:rFonts w:ascii="Times New Roman" w:hAnsi="Times New Roman"/>
          <w:color w:val="000000" w:themeColor="text1"/>
          <w:sz w:val="16"/>
          <w:szCs w:val="16"/>
        </w:rPr>
        <w:softHyphen/>
        <w:t xml:space="preserve">мандующих и их штабов, Ворожейкин отмечал, что: </w:t>
      </w:r>
      <w:r w:rsidRPr="00D03F3E">
        <w:rPr>
          <w:rFonts w:ascii="Times New Roman" w:hAnsi="Times New Roman"/>
          <w:iCs/>
          <w:color w:val="000000" w:themeColor="text1"/>
          <w:sz w:val="16"/>
          <w:szCs w:val="16"/>
        </w:rPr>
        <w:t>«изменений в обстанов</w:t>
      </w:r>
      <w:r w:rsidRPr="00D03F3E">
        <w:rPr>
          <w:rFonts w:ascii="Times New Roman" w:hAnsi="Times New Roman"/>
          <w:iCs/>
          <w:color w:val="000000" w:themeColor="text1"/>
          <w:sz w:val="16"/>
          <w:szCs w:val="16"/>
        </w:rPr>
        <w:softHyphen/>
        <w:t>ке ... командиры не поняли: сегодня, как и вчера, действуют стандартные мелкие группы 6—8 штурмовиков под прикрытием примерно такого же коли</w:t>
      </w:r>
      <w:r w:rsidRPr="00D03F3E">
        <w:rPr>
          <w:rFonts w:ascii="Times New Roman" w:hAnsi="Times New Roman"/>
          <w:iCs/>
          <w:color w:val="000000" w:themeColor="text1"/>
          <w:sz w:val="16"/>
          <w:szCs w:val="16"/>
        </w:rPr>
        <w:softHyphen/>
        <w:t>чества истребителей, в результате чего потери резко возросли...»</w:t>
      </w:r>
    </w:p>
    <w:p w14:paraId="62B91D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 командующих требовалось впредь: увеличить состав групп штур</w:t>
      </w:r>
      <w:r w:rsidRPr="00D03F3E">
        <w:rPr>
          <w:rFonts w:ascii="Times New Roman" w:hAnsi="Times New Roman"/>
          <w:color w:val="000000" w:themeColor="text1"/>
          <w:sz w:val="16"/>
          <w:szCs w:val="16"/>
        </w:rPr>
        <w:softHyphen/>
        <w:t xml:space="preserve">мовиков и истребителей прикрытия с тем, </w:t>
      </w:r>
      <w:r w:rsidRPr="00D03F3E">
        <w:rPr>
          <w:rFonts w:ascii="Times New Roman" w:hAnsi="Times New Roman"/>
          <w:iCs/>
          <w:color w:val="000000" w:themeColor="text1"/>
          <w:sz w:val="16"/>
          <w:szCs w:val="16"/>
        </w:rPr>
        <w:t>«чтобы они могли нанести удар не только по самолетам противника на аэродроме, но и надежно подавить средства противовоздушной оборо</w:t>
      </w:r>
      <w:r w:rsidRPr="00D03F3E">
        <w:rPr>
          <w:rFonts w:ascii="Times New Roman" w:hAnsi="Times New Roman"/>
          <w:iCs/>
          <w:color w:val="000000" w:themeColor="text1"/>
          <w:sz w:val="16"/>
          <w:szCs w:val="16"/>
        </w:rPr>
        <w:softHyphen/>
        <w:t xml:space="preserve">ны...»', </w:t>
      </w:r>
      <w:r w:rsidRPr="00D03F3E">
        <w:rPr>
          <w:rFonts w:ascii="Times New Roman" w:hAnsi="Times New Roman"/>
          <w:color w:val="000000" w:themeColor="text1"/>
          <w:sz w:val="16"/>
          <w:szCs w:val="16"/>
        </w:rPr>
        <w:t xml:space="preserve">отказаться от эшелонированных действий и наносить удары </w:t>
      </w:r>
      <w:r w:rsidRPr="00D03F3E">
        <w:rPr>
          <w:rFonts w:ascii="Times New Roman" w:hAnsi="Times New Roman"/>
          <w:iCs/>
          <w:color w:val="000000" w:themeColor="text1"/>
          <w:sz w:val="16"/>
          <w:szCs w:val="16"/>
        </w:rPr>
        <w:t xml:space="preserve">«только по хорошо разведанным аэродромам...»', </w:t>
      </w:r>
      <w:r w:rsidRPr="00D03F3E">
        <w:rPr>
          <w:rFonts w:ascii="Times New Roman" w:hAnsi="Times New Roman"/>
          <w:color w:val="000000" w:themeColor="text1"/>
          <w:sz w:val="16"/>
          <w:szCs w:val="16"/>
        </w:rPr>
        <w:t xml:space="preserve">шире практиковать </w:t>
      </w:r>
      <w:r w:rsidRPr="00D03F3E">
        <w:rPr>
          <w:rFonts w:ascii="Times New Roman" w:hAnsi="Times New Roman"/>
          <w:iCs/>
          <w:color w:val="000000" w:themeColor="text1"/>
          <w:sz w:val="16"/>
          <w:szCs w:val="16"/>
        </w:rPr>
        <w:t>«применение хит</w:t>
      </w:r>
      <w:r w:rsidRPr="00D03F3E">
        <w:rPr>
          <w:rFonts w:ascii="Times New Roman" w:hAnsi="Times New Roman"/>
          <w:iCs/>
          <w:color w:val="000000" w:themeColor="text1"/>
          <w:sz w:val="16"/>
          <w:szCs w:val="16"/>
        </w:rPr>
        <w:softHyphen/>
        <w:t>рости, например, отвлекать истреби</w:t>
      </w:r>
      <w:r w:rsidRPr="00D03F3E">
        <w:rPr>
          <w:rFonts w:ascii="Times New Roman" w:hAnsi="Times New Roman"/>
          <w:iCs/>
          <w:color w:val="000000" w:themeColor="text1"/>
          <w:sz w:val="16"/>
          <w:szCs w:val="16"/>
        </w:rPr>
        <w:softHyphen/>
        <w:t>телей противника высылкой впереди штурмовиков небольших групп истре</w:t>
      </w:r>
      <w:r w:rsidRPr="00D03F3E">
        <w:rPr>
          <w:rFonts w:ascii="Times New Roman" w:hAnsi="Times New Roman"/>
          <w:iCs/>
          <w:color w:val="000000" w:themeColor="text1"/>
          <w:sz w:val="16"/>
          <w:szCs w:val="16"/>
        </w:rPr>
        <w:softHyphen/>
        <w:t>бителей, применять блокирование аэродромов истребительной авиации противника, чтобы лишить его возмож</w:t>
      </w:r>
      <w:r w:rsidRPr="00D03F3E">
        <w:rPr>
          <w:rFonts w:ascii="Times New Roman" w:hAnsi="Times New Roman"/>
          <w:iCs/>
          <w:color w:val="000000" w:themeColor="text1"/>
          <w:sz w:val="16"/>
          <w:szCs w:val="16"/>
        </w:rPr>
        <w:softHyphen/>
        <w:t>ности оказывать помощь тем аэродро</w:t>
      </w:r>
      <w:r w:rsidRPr="00D03F3E">
        <w:rPr>
          <w:rFonts w:ascii="Times New Roman" w:hAnsi="Times New Roman"/>
          <w:iCs/>
          <w:color w:val="000000" w:themeColor="text1"/>
          <w:sz w:val="16"/>
          <w:szCs w:val="16"/>
        </w:rPr>
        <w:softHyphen/>
        <w:t>мам, которые атакованы нашей авиа</w:t>
      </w:r>
      <w:r w:rsidRPr="00D03F3E">
        <w:rPr>
          <w:rFonts w:ascii="Times New Roman" w:hAnsi="Times New Roman"/>
          <w:iCs/>
          <w:color w:val="000000" w:themeColor="text1"/>
          <w:sz w:val="16"/>
          <w:szCs w:val="16"/>
        </w:rPr>
        <w:softHyphen/>
        <w:t>цией...» (11087).</w:t>
      </w:r>
    </w:p>
    <w:p w14:paraId="72BECC8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CB8CA9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мая 1943 г. четверке "спитфай-ров", которую вел старший лейтенант В. Солдатов, поставили задачу при</w:t>
      </w:r>
      <w:r w:rsidRPr="00D03F3E">
        <w:rPr>
          <w:rFonts w:ascii="Times New Roman" w:hAnsi="Times New Roman"/>
          <w:color w:val="000000" w:themeColor="text1"/>
          <w:sz w:val="16"/>
          <w:szCs w:val="16"/>
        </w:rPr>
        <w:softHyphen/>
        <w:t>крыть штурмовики Ил-2 при налете на аэродром у станицы Крымская. Но на пути к точке встречи со штурмовика</w:t>
      </w:r>
      <w:r w:rsidRPr="00D03F3E">
        <w:rPr>
          <w:rFonts w:ascii="Times New Roman" w:hAnsi="Times New Roman"/>
          <w:color w:val="000000" w:themeColor="text1"/>
          <w:sz w:val="16"/>
          <w:szCs w:val="16"/>
        </w:rPr>
        <w:softHyphen/>
        <w:t>ми, западнее Абинской, на них напа</w:t>
      </w:r>
      <w:r w:rsidRPr="00D03F3E">
        <w:rPr>
          <w:rFonts w:ascii="Times New Roman" w:hAnsi="Times New Roman"/>
          <w:color w:val="000000" w:themeColor="text1"/>
          <w:sz w:val="16"/>
          <w:szCs w:val="16"/>
        </w:rPr>
        <w:softHyphen/>
        <w:t>ли шесть Ме 109, к которым потом при</w:t>
      </w:r>
      <w:r w:rsidRPr="00D03F3E">
        <w:rPr>
          <w:rFonts w:ascii="Times New Roman" w:hAnsi="Times New Roman"/>
          <w:color w:val="000000" w:themeColor="text1"/>
          <w:sz w:val="16"/>
          <w:szCs w:val="16"/>
        </w:rPr>
        <w:softHyphen/>
        <w:t>соединились еще два. В ходе нерав</w:t>
      </w:r>
      <w:r w:rsidRPr="00D03F3E">
        <w:rPr>
          <w:rFonts w:ascii="Times New Roman" w:hAnsi="Times New Roman"/>
          <w:color w:val="000000" w:themeColor="text1"/>
          <w:sz w:val="16"/>
          <w:szCs w:val="16"/>
        </w:rPr>
        <w:softHyphen/>
        <w:t>ного боя советские летчики сбили один (по другим данным - два) немецких ис</w:t>
      </w:r>
      <w:r w:rsidRPr="00D03F3E">
        <w:rPr>
          <w:rFonts w:ascii="Times New Roman" w:hAnsi="Times New Roman"/>
          <w:color w:val="000000" w:themeColor="text1"/>
          <w:sz w:val="16"/>
          <w:szCs w:val="16"/>
        </w:rPr>
        <w:softHyphen/>
        <w:t>требителя. Советская сторона потеря</w:t>
      </w:r>
      <w:r w:rsidRPr="00D03F3E">
        <w:rPr>
          <w:rFonts w:ascii="Times New Roman" w:hAnsi="Times New Roman"/>
          <w:color w:val="000000" w:themeColor="text1"/>
          <w:sz w:val="16"/>
          <w:szCs w:val="16"/>
        </w:rPr>
        <w:softHyphen/>
        <w:t>ла один "Спитфайр" лейтенанта Мар</w:t>
      </w:r>
      <w:r w:rsidRPr="00D03F3E">
        <w:rPr>
          <w:rFonts w:ascii="Times New Roman" w:hAnsi="Times New Roman"/>
          <w:color w:val="000000" w:themeColor="text1"/>
          <w:sz w:val="16"/>
          <w:szCs w:val="16"/>
        </w:rPr>
        <w:softHyphen/>
        <w:t>тынова. Азаров, у которого кончились боеприпасы, прикрыл своей машиной самолет Солдатова, атакуемый двумя немцами. Азаров выпрыгнул из горя</w:t>
      </w:r>
      <w:r w:rsidRPr="00D03F3E">
        <w:rPr>
          <w:rFonts w:ascii="Times New Roman" w:hAnsi="Times New Roman"/>
          <w:color w:val="000000" w:themeColor="text1"/>
          <w:sz w:val="16"/>
          <w:szCs w:val="16"/>
        </w:rPr>
        <w:softHyphen/>
        <w:t>щего истребителя, но продолжал го</w:t>
      </w:r>
      <w:r w:rsidRPr="00D03F3E">
        <w:rPr>
          <w:rFonts w:ascii="Times New Roman" w:hAnsi="Times New Roman"/>
          <w:color w:val="000000" w:themeColor="text1"/>
          <w:sz w:val="16"/>
          <w:szCs w:val="16"/>
        </w:rPr>
        <w:softHyphen/>
        <w:t>реть, спускаясь на парашюте. Впослед</w:t>
      </w:r>
      <w:r w:rsidRPr="00D03F3E">
        <w:rPr>
          <w:rFonts w:ascii="Times New Roman" w:hAnsi="Times New Roman"/>
          <w:color w:val="000000" w:themeColor="text1"/>
          <w:sz w:val="16"/>
          <w:szCs w:val="16"/>
        </w:rPr>
        <w:softHyphen/>
        <w:t>ствии он скончался от ожогов. Азаро</w:t>
      </w:r>
      <w:r w:rsidRPr="00D03F3E">
        <w:rPr>
          <w:rFonts w:ascii="Times New Roman" w:hAnsi="Times New Roman"/>
          <w:color w:val="000000" w:themeColor="text1"/>
          <w:sz w:val="16"/>
          <w:szCs w:val="16"/>
        </w:rPr>
        <w:softHyphen/>
        <w:t>ву посмертно присвоили звание Героя Советского Союза (10790).</w:t>
      </w:r>
    </w:p>
    <w:p w14:paraId="7841707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0183EB4F"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Жизнь и внутренняя политика:</w:t>
      </w:r>
    </w:p>
    <w:p w14:paraId="3CE6EF2B" w14:textId="77777777" w:rsidR="00531570" w:rsidRPr="00D03F3E" w:rsidRDefault="00531570" w:rsidP="00D03F3E">
      <w:pPr>
        <w:pStyle w:val="Iauiue"/>
        <w:jc w:val="both"/>
        <w:rPr>
          <w:iCs/>
          <w:color w:val="000000" w:themeColor="text1"/>
          <w:sz w:val="16"/>
          <w:szCs w:val="16"/>
        </w:rPr>
      </w:pPr>
    </w:p>
    <w:p w14:paraId="02722AAE"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8 мая 1943 вышло Постановление ГКО № 3322 О вывозе хлеба из глубинных заготовительных пунктов "Заготзерно". (7105, 1-5,6-12).</w:t>
      </w:r>
    </w:p>
    <w:p w14:paraId="70DBFCEC" w14:textId="77777777" w:rsidR="00531570" w:rsidRPr="00D03F3E" w:rsidRDefault="00531570" w:rsidP="00D03F3E">
      <w:pPr>
        <w:pStyle w:val="Iauiue"/>
        <w:tabs>
          <w:tab w:val="left" w:pos="11199"/>
        </w:tabs>
        <w:jc w:val="both"/>
        <w:rPr>
          <w:color w:val="000000" w:themeColor="text1"/>
          <w:sz w:val="16"/>
          <w:szCs w:val="16"/>
        </w:rPr>
      </w:pPr>
    </w:p>
    <w:p w14:paraId="4282CDEA"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2F22753B" w14:textId="77777777" w:rsidR="00531570" w:rsidRPr="00D03F3E" w:rsidRDefault="00531570" w:rsidP="00D03F3E">
      <w:pPr>
        <w:pStyle w:val="Iauiue"/>
        <w:jc w:val="both"/>
        <w:rPr>
          <w:iCs/>
          <w:color w:val="000000" w:themeColor="text1"/>
          <w:sz w:val="16"/>
          <w:szCs w:val="16"/>
        </w:rPr>
      </w:pPr>
    </w:p>
    <w:p w14:paraId="48C90ED0"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8 мая 1943 первый полет Savoia-Marchetti SM.95 (20376).</w:t>
      </w:r>
    </w:p>
    <w:p w14:paraId="644A0B71" w14:textId="77777777" w:rsidR="00474574" w:rsidRPr="00D03F3E" w:rsidRDefault="00474574" w:rsidP="00D03F3E">
      <w:pPr>
        <w:spacing w:after="0" w:line="240" w:lineRule="auto"/>
        <w:jc w:val="both"/>
        <w:rPr>
          <w:rFonts w:ascii="Times New Roman" w:hAnsi="Times New Roman"/>
          <w:color w:val="0070C0"/>
          <w:sz w:val="16"/>
          <w:szCs w:val="16"/>
        </w:rPr>
      </w:pPr>
    </w:p>
    <w:p w14:paraId="57F82F80"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8 мая 1943 войска союзников вошли в Бизерту (4963 ).</w:t>
      </w:r>
    </w:p>
    <w:p w14:paraId="67431DE2" w14:textId="77777777" w:rsidR="00531570" w:rsidRPr="00D03F3E" w:rsidRDefault="00531570" w:rsidP="00D03F3E">
      <w:pPr>
        <w:pStyle w:val="Iauiue"/>
        <w:tabs>
          <w:tab w:val="left" w:pos="11199"/>
        </w:tabs>
        <w:jc w:val="both"/>
        <w:rPr>
          <w:color w:val="000000" w:themeColor="text1"/>
          <w:sz w:val="16"/>
          <w:szCs w:val="16"/>
        </w:rPr>
      </w:pPr>
    </w:p>
    <w:p w14:paraId="14DE65E2"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8 мая 1943 три экипажа итальянских боевых пловцов на торпедах атаковали корабли и суда в бухте Гибралтара, стартовав с судна Ольтерра. Повредили два: Пэт Харрисон (7700 т), Махсуд (7500 т) и потопили Камерату (4900 т) (3961, 60).</w:t>
      </w:r>
    </w:p>
    <w:p w14:paraId="32F74F77" w14:textId="77777777" w:rsidR="00531570" w:rsidRPr="00D03F3E" w:rsidRDefault="00531570" w:rsidP="00D03F3E">
      <w:pPr>
        <w:pStyle w:val="Iauiue"/>
        <w:tabs>
          <w:tab w:val="left" w:pos="11199"/>
        </w:tabs>
        <w:jc w:val="both"/>
        <w:rPr>
          <w:color w:val="000000" w:themeColor="text1"/>
          <w:sz w:val="16"/>
          <w:szCs w:val="16"/>
        </w:rPr>
      </w:pPr>
    </w:p>
    <w:p w14:paraId="2C062C29"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8 мая 1943 в результате удара США из Хендерсон-Филд, Гуадалканал , 60 самолетов потопили два японских эсминца и серьезно повредили третий у побережья Коломбангара. Самолеты союзников начинают бомбардировку Пантеллерии - первый из 5285 вылетов, которые они совершат против острова, прежде чем он будет захвачен 11 июня (29376).</w:t>
      </w:r>
    </w:p>
    <w:p w14:paraId="03D8EE4D" w14:textId="77777777" w:rsidR="00474574" w:rsidRPr="00D03F3E" w:rsidRDefault="00474574" w:rsidP="00D03F3E">
      <w:pPr>
        <w:spacing w:after="0" w:line="240" w:lineRule="auto"/>
        <w:jc w:val="both"/>
        <w:rPr>
          <w:rFonts w:ascii="Times New Roman" w:hAnsi="Times New Roman"/>
          <w:color w:val="0070C0"/>
          <w:sz w:val="16"/>
          <w:szCs w:val="16"/>
        </w:rPr>
      </w:pPr>
    </w:p>
    <w:p w14:paraId="54B06331"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0DDA3C46" w14:textId="77777777" w:rsidR="00531570" w:rsidRPr="00D03F3E" w:rsidRDefault="00531570" w:rsidP="00D03F3E">
      <w:pPr>
        <w:pStyle w:val="Iauiue"/>
        <w:jc w:val="both"/>
        <w:rPr>
          <w:iCs/>
          <w:color w:val="000000" w:themeColor="text1"/>
          <w:sz w:val="16"/>
          <w:szCs w:val="16"/>
        </w:rPr>
      </w:pPr>
    </w:p>
    <w:p w14:paraId="08470B5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 мая 1943 директор завода 39 Абрамов писал нач. 10 ГУ Тарасевичу и А.И.Ш. телеграмму N 2298 в 8:15:</w:t>
      </w:r>
    </w:p>
    <w:p w14:paraId="288BE8F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мая 1943 из-за отказа ВМГ (раскрутка винта) заводской самолет Ил-4 сделал вынужденную посадку в р-не станции Головик в 240 км от завода.</w:t>
      </w:r>
    </w:p>
    <w:p w14:paraId="1A763BE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Экипаж невредим. На земле произошло загорание моторной части. Самолет доставляется на завод для восстановления. После окончания работы комиссии по расследованию причин, акт Вам будет выслан (1768,164).</w:t>
      </w:r>
    </w:p>
    <w:p w14:paraId="44E5E344" w14:textId="77777777" w:rsidR="00531570" w:rsidRPr="00D03F3E" w:rsidRDefault="00531570" w:rsidP="00D03F3E">
      <w:pPr>
        <w:pStyle w:val="Iauiue"/>
        <w:jc w:val="both"/>
        <w:rPr>
          <w:color w:val="000000" w:themeColor="text1"/>
          <w:sz w:val="16"/>
          <w:szCs w:val="16"/>
        </w:rPr>
      </w:pPr>
    </w:p>
    <w:p w14:paraId="424C7E5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 мая 1943 первый полет выполнил Пе-2ВИ А.И.Путилова после первого полета, сделанного 30 апреля 1943. Отказал мотор, но машина удачно села. А.И.Путилов работу не закончил, а В.М.М. заниматься высотной машиной не захотел и отдал ее в ЛИИ, тот спихнул заводу 26, а в конце 1943 тему закрыли (2475,19).</w:t>
      </w:r>
    </w:p>
    <w:p w14:paraId="0B96E8BC" w14:textId="77777777" w:rsidR="00531570" w:rsidRPr="00D03F3E" w:rsidRDefault="00531570" w:rsidP="00D03F3E">
      <w:pPr>
        <w:pStyle w:val="Iauiue"/>
        <w:jc w:val="both"/>
        <w:rPr>
          <w:color w:val="000000" w:themeColor="text1"/>
          <w:sz w:val="16"/>
          <w:szCs w:val="16"/>
        </w:rPr>
      </w:pPr>
    </w:p>
    <w:p w14:paraId="376B18B6"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229FE299" w14:textId="77777777" w:rsidR="00531570" w:rsidRPr="00D03F3E" w:rsidRDefault="00531570" w:rsidP="00D03F3E">
      <w:pPr>
        <w:pStyle w:val="Iauiue"/>
        <w:jc w:val="both"/>
        <w:rPr>
          <w:iCs/>
          <w:color w:val="000000" w:themeColor="text1"/>
          <w:sz w:val="16"/>
          <w:szCs w:val="16"/>
        </w:rPr>
      </w:pPr>
    </w:p>
    <w:p w14:paraId="6AC4D14F"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9 мая 1943 вышло Постановление ГКО № 3335 Об обеспечении вывоза импортных нефтепродуктов и растительного масла с Дальнего Востока. (7106, 1).</w:t>
      </w:r>
    </w:p>
    <w:p w14:paraId="1B9EB9B7" w14:textId="77777777" w:rsidR="00531570" w:rsidRPr="00D03F3E" w:rsidRDefault="00531570" w:rsidP="00D03F3E">
      <w:pPr>
        <w:pStyle w:val="Iauiue"/>
        <w:tabs>
          <w:tab w:val="left" w:pos="11199"/>
        </w:tabs>
        <w:jc w:val="both"/>
        <w:rPr>
          <w:color w:val="000000" w:themeColor="text1"/>
          <w:sz w:val="16"/>
          <w:szCs w:val="16"/>
        </w:rPr>
      </w:pPr>
    </w:p>
    <w:p w14:paraId="33475841"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9 мая 1943 вышло Постановление ГКО № 3336 Об обеспечении перевозок нефтепродуктов от Астраханского рейда до Саратова. (7106, 2-4,5).</w:t>
      </w:r>
    </w:p>
    <w:p w14:paraId="531186FC" w14:textId="77777777" w:rsidR="00531570" w:rsidRPr="00D03F3E" w:rsidRDefault="00531570" w:rsidP="00D03F3E">
      <w:pPr>
        <w:pStyle w:val="Iauiue"/>
        <w:tabs>
          <w:tab w:val="left" w:pos="11199"/>
        </w:tabs>
        <w:jc w:val="both"/>
        <w:rPr>
          <w:color w:val="000000" w:themeColor="text1"/>
          <w:sz w:val="16"/>
          <w:szCs w:val="16"/>
        </w:rPr>
      </w:pPr>
    </w:p>
    <w:p w14:paraId="6274556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мая 1943 вышло Постановление ГКО № 3336 Об обеспечении перевозок нефтепродуктов от Астраханского рейда до Саратова.РГАНИР, Фонд ГКО, д. 116, лл. 2-4, 5 (11012).</w:t>
      </w:r>
    </w:p>
    <w:p w14:paraId="23FE154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58441F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мая 1943 вышло Постановление ГКО № 3337 О т.т. Кузнецове М.Г. и Корниец Л.Р.РГАНИР, Фонд ГКО, д. 116, лл. 6 (11012).</w:t>
      </w:r>
    </w:p>
    <w:p w14:paraId="1DE307B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9AB6AF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мая 1943 вышло Постановление ГКО № 3338 Об увеличении выпуска танковых дизелей на заводах Наркомтанкопрома.РГАНИР, Фонд ГКО, д. 116, лл. 7-17, 18-34 (11012).</w:t>
      </w:r>
    </w:p>
    <w:p w14:paraId="3033791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1BA699C"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9 мая 1943 в СССР все работники морского и речного флота объявлялись мобилизованными (4962).</w:t>
      </w:r>
    </w:p>
    <w:p w14:paraId="27726D39" w14:textId="77777777" w:rsidR="00531570" w:rsidRPr="00D03F3E" w:rsidRDefault="00531570" w:rsidP="00D03F3E">
      <w:pPr>
        <w:pStyle w:val="Iauiue"/>
        <w:tabs>
          <w:tab w:val="left" w:pos="11199"/>
        </w:tabs>
        <w:jc w:val="both"/>
        <w:rPr>
          <w:color w:val="000000" w:themeColor="text1"/>
          <w:sz w:val="16"/>
          <w:szCs w:val="16"/>
        </w:rPr>
      </w:pPr>
    </w:p>
    <w:p w14:paraId="6BD4FE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 мая 1943 вышел указ Президиума ВС О введении военного положения на судах морского и речного флота (3398,176).</w:t>
      </w:r>
    </w:p>
    <w:p w14:paraId="6537F3B8" w14:textId="77777777" w:rsidR="00531570" w:rsidRPr="00D03F3E" w:rsidRDefault="00531570" w:rsidP="00D03F3E">
      <w:pPr>
        <w:pStyle w:val="Iauiue"/>
        <w:jc w:val="both"/>
        <w:rPr>
          <w:color w:val="000000" w:themeColor="text1"/>
          <w:sz w:val="16"/>
          <w:szCs w:val="16"/>
        </w:rPr>
      </w:pPr>
    </w:p>
    <w:p w14:paraId="2E8DC644"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0FFBF22D" w14:textId="77777777" w:rsidR="00531570" w:rsidRPr="00D03F3E" w:rsidRDefault="00531570" w:rsidP="00D03F3E">
      <w:pPr>
        <w:pStyle w:val="Iauiue"/>
        <w:jc w:val="both"/>
        <w:rPr>
          <w:iCs/>
          <w:color w:val="000000" w:themeColor="text1"/>
          <w:sz w:val="16"/>
          <w:szCs w:val="16"/>
        </w:rPr>
      </w:pPr>
    </w:p>
    <w:p w14:paraId="4F866929"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мая в 1943 году утреннее сообщение Совинформбюро:</w:t>
      </w:r>
    </w:p>
    <w:p w14:paraId="727D284D"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9 мая на Кубани, северо-восточнее Новороссийска, наши войска продолжали вести бои с противником. На других участках фронта ничегосущественного не произошло.</w:t>
      </w:r>
    </w:p>
    <w:p w14:paraId="46800D14"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кораблями в Чёрном море потоплен транспорт противника.</w:t>
      </w:r>
    </w:p>
    <w:p w14:paraId="3982A2E4"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северо-восточнее Новороссийска, артиллеристы Н-ской части обстреливали укрепления немцев и разрушили 24 дзота, 9 блиндажей, подавили огонь 6 артиллерийских и 2 миномётных батарей противника. Гвардейцы-миномётчики произвели огневой налет на скопление пехоты противника и уничтожили до 200 гитлеровцев.</w:t>
      </w:r>
    </w:p>
    <w:p w14:paraId="63AFCA82"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разведывательные отряды уничтожили более 100 немецких солдат и офицеров. Группа разведчиков под командованием младшего сержанта Шурупова скрытно подобралась к немецкому дзоту и забросала его гранатами. Уничтожив находившихся в дзоте гитлеровцев, наши бойцы захватили пулемёт, винтовки и благополучно вернулась в свою часть.</w:t>
      </w:r>
    </w:p>
    <w:p w14:paraId="69F8DA94"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наши подразделения на днях выбили немцев из одного населённого пункта. Пытаясь вернуть потерянные позиции, противник предпринял ряд контратак. Бойцы Н-ской части отбили все контратаки гитлеровцев, продвинулись вперёд и захватили две высоты, имеющие важное значение. В этих боях уничтожено до батальона немецкой пехоты, 5 орудий, 34 пулемёта и миномётная батарея. Захвачены трофеи и пленные.</w:t>
      </w:r>
    </w:p>
    <w:p w14:paraId="0AE65B8D"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артиллеристы Н-ской части уничтожили орудие, 8 автомашин и дороты гитлеровцев. Разрушено 4 дзота и 3 блиндажа противника.</w:t>
      </w:r>
    </w:p>
    <w:p w14:paraId="4252E665"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Снайперами Н-ской части уничтожено 45 немецких солдат и офицеров.</w:t>
      </w:r>
    </w:p>
    <w:p w14:paraId="015D970C"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Ленинградской области, вёл бои с немецкой карательной экспедицией. Уклоняясь от лобовых схваток с численно превосходящими силами противника, советские патриоты истребили до 100 вражеских солдат и офицеров. В числе убитых немецкий обер-лейтенант — комендант гарнизона. Другой отряд ленинградских партизан 25 апреля взорвал немецкий воинский эшелон. Взрывом уничтожены паровоз и 12 пассажирских вагонов. Под обломками вагонов погибло много гитлеровцев.</w:t>
      </w:r>
    </w:p>
    <w:p w14:paraId="7E785F7A"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убитого обер-ефрейтора штаба 3 батальона 597 полка 327 немецкой пехотной дивизии Сильвестера найдено неотправленное письмо на имя Руперта Моспонтера. Ниже публикуются выдержки из этого письма: «Мы в России с начала февраля. Дивизия сразу была введена в бой и понесла тяжёлые потери. О наступлении русских у меня до сих пор сохранились самые страшные воспоминания. Почти все офицеры погибли. От нашей роты осталось в живых лишь 8 человек».</w:t>
      </w:r>
    </w:p>
    <w:p w14:paraId="6AF3CD65"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Продолжают поступать сообщения о зверских преступлениях немецко-фашистских мерзавцев. В колхозе «Красный бережок», Знаменского района, Смоленской области, гитлеровцы убили 45 мирных жителей. Немцы сожгли 74 дома, хозяйственные надворные постройки колхозников. В деревне Свиридово немцы начисто ограбили всех колхозников и расстреляли ни в чём не повинных 67 жителей, в числе которых были женщины и дети.» (14886).</w:t>
      </w:r>
    </w:p>
    <w:p w14:paraId="261B8DA9" w14:textId="77777777" w:rsidR="00041D00" w:rsidRPr="00D03F3E" w:rsidRDefault="00041D00" w:rsidP="00D03F3E">
      <w:pPr>
        <w:spacing w:after="0" w:line="240" w:lineRule="auto"/>
        <w:jc w:val="both"/>
        <w:rPr>
          <w:rFonts w:ascii="Times New Roman" w:hAnsi="Times New Roman"/>
          <w:color w:val="000000" w:themeColor="text1"/>
          <w:sz w:val="16"/>
          <w:szCs w:val="16"/>
        </w:rPr>
      </w:pPr>
    </w:p>
    <w:p w14:paraId="0A164A84"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мая в 1943 году вечернее сообщение Совинформбюро:</w:t>
      </w:r>
    </w:p>
    <w:p w14:paraId="14354D53"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9 мая на Кубани, северо-восточнее Новороссийска, наши войска продолжали вести бои по разрушению, укреплений противника. На отдельных участках немцы ожесточёнными контратаками пытались вернуть утерянные ими позиции. Наши части отбили все атаки противника и нанесли ему значительные потери.</w:t>
      </w:r>
    </w:p>
    <w:p w14:paraId="5BE41270"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Ha других участках фронта ничего существенного не произошло.</w:t>
      </w:r>
    </w:p>
    <w:p w14:paraId="57A42FBF"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 корабль в Чёрном море потопил транспорт с войсками противника.</w:t>
      </w:r>
    </w:p>
    <w:p w14:paraId="50C8A327"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2 по 8 мая включительно, в воздушных боях и на аэродромах противника уничтожено и повреждено 930 немецких самолётов. Наши потери за это же время — 235 самолётов.</w:t>
      </w:r>
    </w:p>
    <w:p w14:paraId="3C27F72B"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в районе северо-восточнее Новороссийска, части Н-ского соединения вели бои с противником. Наши артиллеристы подавили огонь 14 немецких артиллерийских и 6 миномётных батарей, уничтожили 3 шестиствольных миномёта, разрушили несколько десятков дзотов и блиндажей. В Азовском море потоплено четыре катера и четыре моторные лодки противника вместе с находившимися в них гитлеровцами.</w:t>
      </w:r>
    </w:p>
    <w:p w14:paraId="64420AF4"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уничтожили до 200 немецких солдат и офицеров. В результате штурмовых и бомбардировочных действий нашей авиации уничтожено 40 железнодорожных вагонов, 4 паровоза и свыше 25 автомашин противника. В воздушном бою сбито 2 немецких истребителя.</w:t>
      </w:r>
    </w:p>
    <w:p w14:paraId="54AB26C7"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противник, стремясь вернуть занятый советскими подразделениями населённый пункт, предпринял несколько контратак. Немцы ввели в бой до двух полков пехоты, 60 танков и значительные силы авиации. Отбивая контратаки и сдерживая натиск численно превосходящих сил врага, советские бойцы подбили и сожгли 25 немецких танков и уничтожили до 800 солдат и офицеров противника.</w:t>
      </w:r>
    </w:p>
    <w:p w14:paraId="44FB8EF6"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наши части артиллерийским огнем уничтожили до роты гитлеровцев, самоходную пушку, несколько автомашин с грузами и подавили огонь тяжёлой артиллерийской батареи противника.</w:t>
      </w:r>
    </w:p>
    <w:p w14:paraId="01A85813"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наша артиллерия, обстреливая передний край и ближние тылы противника, разрушила 13 дзотов и блиндажей, уничтожила 5 орудий, 2 миномёта и несколько повозок с грузами. На одном участке немцы пытались боем разведать передний край нашей обороны. Наши бойцы пулемётным и ружейным огнём истребили до 50 гитлеровцев. Остальные немецкие солдаты поспешно отступили.</w:t>
      </w:r>
    </w:p>
    <w:p w14:paraId="3247892D"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Каменец-Подольской области, заминировал участок железнодорожного пути. Когда эшелон с немецкими войсками проходил по этому участку, раздался взрыв. Паровоз и 15 вагонов полностью были разбиты. Во время взрыва и под обломками вагонов погибло многог итлеровцев. Партизаны отряда имени XXV годовщины Советской Украины, действующего в Винницкой области, внезапно напали на бензозаправочный пункт противника. Уничтожив немецкую охрану, советские патриоты сожгли 12 тонн горючего.</w:t>
      </w:r>
    </w:p>
    <w:p w14:paraId="7D6646A2"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отразили многочисленные попытки итало-немецких оккупантов вновь захватить потерянные ими населённые пункты. B ожесточённых боях патриоты уничтожили 2 немецких танка, 5 грузовых автомашин и захватили 8 миномётов, 25 пулемётов, 300 винтовок и другое военное имущество. В районе Белановиц партизаны сожгли все здания гитлеровской военно-строительной организации Тодта и уничтожили её мастерские. У местечка Прибой партизаны взорвали железнодорожный мост на реке Южна Морава. В другом районе патриоты пустили под откос немецкий поезд с артиллерией.» (14886).</w:t>
      </w:r>
    </w:p>
    <w:p w14:paraId="57B09E89" w14:textId="77777777" w:rsidR="00041D00" w:rsidRPr="00D03F3E" w:rsidRDefault="00041D00" w:rsidP="00D03F3E">
      <w:pPr>
        <w:spacing w:after="0" w:line="240" w:lineRule="auto"/>
        <w:jc w:val="both"/>
        <w:rPr>
          <w:rFonts w:ascii="Times New Roman" w:hAnsi="Times New Roman"/>
          <w:color w:val="000000" w:themeColor="text1"/>
          <w:sz w:val="16"/>
          <w:szCs w:val="16"/>
        </w:rPr>
      </w:pPr>
    </w:p>
    <w:p w14:paraId="2DBEE2B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течение 9 мая 1943 от 299-го шап 290-й шад на "охоту" вылетало три пары Ил-2 (ведущие капитан Сотников и младшие лейтенанты Иванов и Обухов), которые уничтожали эшелоны на участках Барвенково-Лозовая и Лозовая-Беляевка. Прямыми попаданиями PC и бомбами летчики повредили один и уничтожили пять паровозов, сожгли один эшелон полностью и подожгли 10 вагонов. Кроме того, штурмовики атаковали автоколонну в движении и уничтожили около пяти автомашин (12020).</w:t>
      </w:r>
    </w:p>
    <w:p w14:paraId="0F0D0E8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2F32EC8"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мая в 1943 году в восточных формированиях вермахта создана система офицерских званий и введены погоны, внешне напоминающие образцы погон Российской Императорской Армии (14886).</w:t>
      </w:r>
    </w:p>
    <w:p w14:paraId="46566B0C" w14:textId="77777777" w:rsidR="00041D00" w:rsidRPr="00D03F3E" w:rsidRDefault="00041D00" w:rsidP="00D03F3E">
      <w:pPr>
        <w:spacing w:after="0" w:line="240" w:lineRule="auto"/>
        <w:jc w:val="both"/>
        <w:rPr>
          <w:rFonts w:ascii="Times New Roman" w:hAnsi="Times New Roman"/>
          <w:color w:val="000000" w:themeColor="text1"/>
          <w:sz w:val="16"/>
          <w:szCs w:val="16"/>
        </w:rPr>
      </w:pPr>
    </w:p>
    <w:p w14:paraId="7C5594A2"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мая в 1943 году 170 немецких бомбардировщиков произвели налет на советский город Батайск на реке Дон (14886).</w:t>
      </w:r>
    </w:p>
    <w:p w14:paraId="7A34038F" w14:textId="77777777" w:rsidR="00041D00" w:rsidRPr="00D03F3E" w:rsidRDefault="00041D00" w:rsidP="00D03F3E">
      <w:pPr>
        <w:spacing w:after="0" w:line="240" w:lineRule="auto"/>
        <w:jc w:val="both"/>
        <w:rPr>
          <w:rFonts w:ascii="Times New Roman" w:hAnsi="Times New Roman"/>
          <w:color w:val="000000" w:themeColor="text1"/>
          <w:sz w:val="16"/>
          <w:szCs w:val="16"/>
        </w:rPr>
      </w:pPr>
    </w:p>
    <w:p w14:paraId="387976C4"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9 мая 1943 170 немецких бомбардировщиков произвели налет на советский город Батайск на реке Дон (4963 ).</w:t>
      </w:r>
    </w:p>
    <w:p w14:paraId="26CE13BF" w14:textId="77777777" w:rsidR="00531570" w:rsidRPr="00D03F3E" w:rsidRDefault="00531570" w:rsidP="00D03F3E">
      <w:pPr>
        <w:pStyle w:val="Iauiue"/>
        <w:tabs>
          <w:tab w:val="left" w:pos="11199"/>
        </w:tabs>
        <w:jc w:val="both"/>
        <w:rPr>
          <w:color w:val="000000" w:themeColor="text1"/>
          <w:sz w:val="16"/>
          <w:szCs w:val="16"/>
        </w:rPr>
      </w:pPr>
    </w:p>
    <w:p w14:paraId="4AD8585C"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9 мая 1943 в СССР поляки начали формирование дивизии имени Т. Костюшко (4962).</w:t>
      </w:r>
    </w:p>
    <w:p w14:paraId="68C29052" w14:textId="77777777" w:rsidR="00531570" w:rsidRPr="00D03F3E" w:rsidRDefault="00531570" w:rsidP="00D03F3E">
      <w:pPr>
        <w:pStyle w:val="Iauiue"/>
        <w:tabs>
          <w:tab w:val="left" w:pos="11199"/>
        </w:tabs>
        <w:jc w:val="both"/>
        <w:rPr>
          <w:color w:val="000000" w:themeColor="text1"/>
          <w:sz w:val="16"/>
          <w:szCs w:val="16"/>
        </w:rPr>
      </w:pPr>
    </w:p>
    <w:p w14:paraId="0B277DE6"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05158772" w14:textId="77777777" w:rsidR="00531570" w:rsidRPr="00D03F3E" w:rsidRDefault="00531570" w:rsidP="00D03F3E">
      <w:pPr>
        <w:pStyle w:val="Iauiue"/>
        <w:jc w:val="both"/>
        <w:rPr>
          <w:iCs/>
          <w:color w:val="000000" w:themeColor="text1"/>
          <w:sz w:val="16"/>
          <w:szCs w:val="16"/>
        </w:rPr>
      </w:pPr>
    </w:p>
    <w:p w14:paraId="42C4FF9D" w14:textId="6DF2A1AA"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9 мая 1943 немецкий экипаж ночного истребителя сбегает в Соединенное Королевство, летая там на Junkers Ju 88R-1, который все еще находится в Великобритании в 21 веке. Это бегство дает британским ученым и тактикам доступ к радиолокационной станции воздушного перехвата FuG 202 Lichtenstein B / C диапазона УВЧ, что раскрвает секреты ранней версии радара диапазона B / C диапазона УВЧ (20376).</w:t>
      </w:r>
    </w:p>
    <w:p w14:paraId="1A8EFEEE" w14:textId="77777777" w:rsidR="00474574" w:rsidRPr="00D03F3E" w:rsidRDefault="00474574" w:rsidP="00D03F3E">
      <w:pPr>
        <w:spacing w:after="0" w:line="240" w:lineRule="auto"/>
        <w:jc w:val="both"/>
        <w:rPr>
          <w:rFonts w:ascii="Times New Roman" w:hAnsi="Times New Roman"/>
          <w:color w:val="0070C0"/>
          <w:sz w:val="16"/>
          <w:szCs w:val="16"/>
        </w:rPr>
      </w:pPr>
    </w:p>
    <w:p w14:paraId="25F9DE4F"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9 мая 1943 немецкие оккупационные власти ввели в Голландии комендантский час (4962).</w:t>
      </w:r>
    </w:p>
    <w:p w14:paraId="7DD23185" w14:textId="77777777" w:rsidR="00531570" w:rsidRPr="00D03F3E" w:rsidRDefault="00531570" w:rsidP="00D03F3E">
      <w:pPr>
        <w:pStyle w:val="Iauiue"/>
        <w:tabs>
          <w:tab w:val="left" w:pos="11199"/>
        </w:tabs>
        <w:jc w:val="both"/>
        <w:rPr>
          <w:color w:val="000000" w:themeColor="text1"/>
          <w:sz w:val="16"/>
          <w:szCs w:val="16"/>
        </w:rPr>
      </w:pPr>
    </w:p>
    <w:p w14:paraId="03C2BDB2"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60F40B3C" w14:textId="77777777" w:rsidR="00531570" w:rsidRPr="00D03F3E" w:rsidRDefault="00531570" w:rsidP="00D03F3E">
      <w:pPr>
        <w:pStyle w:val="Iauiue"/>
        <w:jc w:val="both"/>
        <w:rPr>
          <w:iCs/>
          <w:color w:val="000000" w:themeColor="text1"/>
          <w:sz w:val="16"/>
          <w:szCs w:val="16"/>
        </w:rPr>
      </w:pPr>
    </w:p>
    <w:p w14:paraId="0D5FF822"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10 мая 1943 г. был выполнен первый полет штурмовика Ил-8 (6395).</w:t>
      </w:r>
    </w:p>
    <w:p w14:paraId="35BEE314" w14:textId="77777777" w:rsidR="00531570" w:rsidRPr="00D03F3E" w:rsidRDefault="00531570" w:rsidP="00D03F3E">
      <w:pPr>
        <w:pStyle w:val="Iauiue"/>
        <w:tabs>
          <w:tab w:val="left" w:pos="11199"/>
        </w:tabs>
        <w:jc w:val="both"/>
        <w:rPr>
          <w:color w:val="000000" w:themeColor="text1"/>
          <w:sz w:val="16"/>
          <w:szCs w:val="16"/>
        </w:rPr>
      </w:pPr>
    </w:p>
    <w:p w14:paraId="771A4EF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мая 1943 г. состоялся первый полет опытного "следо</w:t>
      </w:r>
      <w:r w:rsidRPr="00D03F3E">
        <w:rPr>
          <w:rFonts w:ascii="Times New Roman" w:hAnsi="Times New Roman"/>
          <w:color w:val="000000" w:themeColor="text1"/>
          <w:sz w:val="16"/>
          <w:szCs w:val="16"/>
        </w:rPr>
        <w:softHyphen/>
        <w:t>пыта" 240-го авиазавода - разведчика и корректировщика артиллерийского огня - под управлением лет</w:t>
      </w:r>
      <w:r w:rsidRPr="00D03F3E">
        <w:rPr>
          <w:rFonts w:ascii="Times New Roman" w:hAnsi="Times New Roman"/>
          <w:color w:val="000000" w:themeColor="text1"/>
          <w:sz w:val="16"/>
          <w:szCs w:val="16"/>
        </w:rPr>
        <w:softHyphen/>
        <w:t>чика-испытателя В. К. Коккинаки. Вы</w:t>
      </w:r>
      <w:r w:rsidRPr="00D03F3E">
        <w:rPr>
          <w:rFonts w:ascii="Times New Roman" w:hAnsi="Times New Roman"/>
          <w:color w:val="000000" w:themeColor="text1"/>
          <w:sz w:val="16"/>
          <w:szCs w:val="16"/>
        </w:rPr>
        <w:softHyphen/>
        <w:t>яснилось, что деревянное крыло, из</w:t>
      </w:r>
      <w:r w:rsidRPr="00D03F3E">
        <w:rPr>
          <w:rFonts w:ascii="Times New Roman" w:hAnsi="Times New Roman"/>
          <w:color w:val="000000" w:themeColor="text1"/>
          <w:sz w:val="16"/>
          <w:szCs w:val="16"/>
        </w:rPr>
        <w:softHyphen/>
        <w:t>готовленное на заводе № 30, имеет существенные производственные де</w:t>
      </w:r>
      <w:r w:rsidRPr="00D03F3E">
        <w:rPr>
          <w:rFonts w:ascii="Times New Roman" w:hAnsi="Times New Roman"/>
          <w:color w:val="000000" w:themeColor="text1"/>
          <w:sz w:val="16"/>
          <w:szCs w:val="16"/>
        </w:rPr>
        <w:softHyphen/>
        <w:t>фекты. Были претензии и к работе мотора АМ-42. Полеты прекратили, а самолет возвратили на завод.</w:t>
      </w:r>
    </w:p>
    <w:p w14:paraId="4754CF6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Старший военпред ГУ ИАС ВВС на заводе № 240 инженер-майор Григорьев докладывал своему руко</w:t>
      </w:r>
      <w:r w:rsidRPr="00D03F3E">
        <w:rPr>
          <w:rFonts w:ascii="Times New Roman" w:hAnsi="Times New Roman"/>
          <w:color w:val="000000" w:themeColor="text1"/>
          <w:sz w:val="16"/>
          <w:szCs w:val="16"/>
        </w:rPr>
        <w:softHyphen/>
        <w:t>водству, что по состоянию на 20 июля на самолете еще продолжаются ра</w:t>
      </w:r>
      <w:r w:rsidRPr="00D03F3E">
        <w:rPr>
          <w:rFonts w:ascii="Times New Roman" w:hAnsi="Times New Roman"/>
          <w:color w:val="000000" w:themeColor="text1"/>
          <w:sz w:val="16"/>
          <w:szCs w:val="16"/>
        </w:rPr>
        <w:softHyphen/>
        <w:t>боты по стыковке нового крыла (так</w:t>
      </w:r>
      <w:r w:rsidRPr="00D03F3E">
        <w:rPr>
          <w:rFonts w:ascii="Times New Roman" w:hAnsi="Times New Roman"/>
          <w:color w:val="000000" w:themeColor="text1"/>
          <w:sz w:val="16"/>
          <w:szCs w:val="16"/>
        </w:rPr>
        <w:softHyphen/>
        <w:t>же деревянного), завершается уста</w:t>
      </w:r>
      <w:r w:rsidRPr="00D03F3E">
        <w:rPr>
          <w:rFonts w:ascii="Times New Roman" w:hAnsi="Times New Roman"/>
          <w:color w:val="000000" w:themeColor="text1"/>
          <w:sz w:val="16"/>
          <w:szCs w:val="16"/>
        </w:rPr>
        <w:softHyphen/>
        <w:t>новка вооружения, а также рамы второй фотоустановки в задней час</w:t>
      </w:r>
      <w:r w:rsidRPr="00D03F3E">
        <w:rPr>
          <w:rFonts w:ascii="Times New Roman" w:hAnsi="Times New Roman"/>
          <w:color w:val="000000" w:themeColor="text1"/>
          <w:sz w:val="16"/>
          <w:szCs w:val="16"/>
        </w:rPr>
        <w:softHyphen/>
        <w:t>ти фюзеляжа за стрелком. Для про</w:t>
      </w:r>
      <w:r w:rsidRPr="00D03F3E">
        <w:rPr>
          <w:rFonts w:ascii="Times New Roman" w:hAnsi="Times New Roman"/>
          <w:color w:val="000000" w:themeColor="text1"/>
          <w:sz w:val="16"/>
          <w:szCs w:val="16"/>
        </w:rPr>
        <w:softHyphen/>
        <w:t>ведения наземных испытаний на вы</w:t>
      </w:r>
      <w:r w:rsidRPr="00D03F3E">
        <w:rPr>
          <w:rFonts w:ascii="Times New Roman" w:hAnsi="Times New Roman"/>
          <w:color w:val="000000" w:themeColor="text1"/>
          <w:sz w:val="16"/>
          <w:szCs w:val="16"/>
        </w:rPr>
        <w:softHyphen/>
        <w:t>работку горючего из подвесных бен</w:t>
      </w:r>
      <w:r w:rsidRPr="00D03F3E">
        <w:rPr>
          <w:rFonts w:ascii="Times New Roman" w:hAnsi="Times New Roman"/>
          <w:color w:val="000000" w:themeColor="text1"/>
          <w:sz w:val="16"/>
          <w:szCs w:val="16"/>
        </w:rPr>
        <w:softHyphen/>
        <w:t>зобаков завершен монтаж системы бензопроводки для одного ПТБ на 150 кг горючего. Кроме этого, на самолете предполагалось установить новый всасывающий патрубок с уп</w:t>
      </w:r>
      <w:r w:rsidRPr="00D03F3E">
        <w:rPr>
          <w:rFonts w:ascii="Times New Roman" w:hAnsi="Times New Roman"/>
          <w:color w:val="000000" w:themeColor="text1"/>
          <w:sz w:val="16"/>
          <w:szCs w:val="16"/>
        </w:rPr>
        <w:softHyphen/>
        <w:t>равляемой внутренней заслонкой, связанной с кинематикой шасси: на земле (шасси выпущено) забор воз</w:t>
      </w:r>
      <w:r w:rsidRPr="00D03F3E">
        <w:rPr>
          <w:rFonts w:ascii="Times New Roman" w:hAnsi="Times New Roman"/>
          <w:color w:val="000000" w:themeColor="text1"/>
          <w:sz w:val="16"/>
          <w:szCs w:val="16"/>
        </w:rPr>
        <w:softHyphen/>
        <w:t>духа производится из подкапотного пространства, а при полете в возду</w:t>
      </w:r>
      <w:r w:rsidRPr="00D03F3E">
        <w:rPr>
          <w:rFonts w:ascii="Times New Roman" w:hAnsi="Times New Roman"/>
          <w:color w:val="000000" w:themeColor="text1"/>
          <w:sz w:val="16"/>
          <w:szCs w:val="16"/>
        </w:rPr>
        <w:softHyphen/>
        <w:t>хе (шасси убрано) - снаружи (11427).</w:t>
      </w:r>
    </w:p>
    <w:p w14:paraId="1BA62CC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11110F5" w14:textId="77777777" w:rsidR="00303512" w:rsidRPr="00D03F3E" w:rsidRDefault="003035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мая 1943 начались официальные заводские испытания «следопыта». Самолет выкатили на площадку ЛИС завода № 240 (Центральный аэродром Москвы). Были выполнены пробы мотора на земле, рулежки и подлеты. Винтомоторная группа работала вполне удовлетворительно. Однако выявился дефект полотняной обтяжки крыла. Пришлось снять консоли и направить их на завод № 240 для ремонта. К этому времени с положительным результатом закончились статические испытания основных агрегатов самолета, за исключением посадочных щитков. Проведены испытания самолета на вибропрочность. С учетом срока ремонта консолей первый вылет самолета ожидался в самом начале июня (17490).</w:t>
      </w:r>
    </w:p>
    <w:p w14:paraId="16C45D19" w14:textId="77777777" w:rsidR="00303512" w:rsidRPr="00D03F3E" w:rsidRDefault="00303512" w:rsidP="00D03F3E">
      <w:pPr>
        <w:spacing w:after="0" w:line="240" w:lineRule="auto"/>
        <w:jc w:val="both"/>
        <w:rPr>
          <w:rFonts w:ascii="Times New Roman" w:hAnsi="Times New Roman"/>
          <w:color w:val="000000" w:themeColor="text1"/>
          <w:sz w:val="16"/>
          <w:szCs w:val="16"/>
        </w:rPr>
      </w:pPr>
    </w:p>
    <w:p w14:paraId="0634569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мая 1943 г. состоялся первый полет опытного "следопыта" 240-го завода. Выяснилось, что деревянное крыло, изготовленное на заводе № 30, имеет существенные производственные дефекты. Были претензии и к работе мотора АМ-42. Полеты прекратили. К 26 июля самолет привели в летное состояние, но уже действовал запрет Микулина на полеты с АМ-42. Только 14 августа была проведена одна рулежка и сделано три пробежки с доведением самолета до момента отрыва от полосы.</w:t>
      </w:r>
    </w:p>
    <w:p w14:paraId="20EB5FF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Одновременно с Ил-2М был снят мотор, который выработал ресурс, и начаты работы по устранению недостатков и дефектов самолета.</w:t>
      </w:r>
    </w:p>
    <w:p w14:paraId="00CC35A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обширную доводочную работу, ОКБ Микулина долго не могло добиться надежности АМ-42: наблюдалась сильная тряска и дымление, мотор недодавал мощности, в масле появлялась стружка и т.д.</w:t>
      </w:r>
    </w:p>
    <w:p w14:paraId="3534369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Параллельно, чтобы "отстроиться" от резонанса в системе воздушный винт и "коленчатый вал - редуктор" мотора на заводе № 35 приступили к созданию для АМ-42 воздушных винтов диаметром менее 4,0 м.</w:t>
      </w:r>
    </w:p>
    <w:p w14:paraId="2F1F2BA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этому времени над ОКБ Ильюшина начали сгущаться "тучи". В сентябре неудачно закончились госиспытания истребителя Ил-2-И. Максимальная скорость у земли в сравнении с двухместным Ил-2 оказалась выше всего на 6 км/ч, а на границе высотности - на 10 км/ч.</w:t>
      </w:r>
    </w:p>
    <w:p w14:paraId="59DA811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"Самолеты Ил-2И могут быть использованы для борьбы только с некоторыми типами ...самолетов противника, имеющих сравнительно небольшие скорости (Не 111, Fw 200, Ju 87, Ju 52) на высотах ниже 4000 м, однако ...Fw 200 могут уходить от атак Ил-2 И набором высоты за счет лучшей скороподъемности. Ил-2И может атаковать более скоростные бомбардировщики Ju 88 и Do 215 только случайно, так как последние, за счет большей скорости, всегда имеют возможность уйти от Ил-2 И. ...Вести активную борьбу с истребителями ...Ил-2И не может", - констатировалось в Акте испытаний. В тоже время вооружение Ил-2-И состояло только из двух пушек ВЯ-23.</w:t>
      </w:r>
    </w:p>
    <w:p w14:paraId="2E983D1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 есть, Ил-2-И как истребитель бомбардировщиков и транспортных самолетов не состоялся, а все качества "чистого" штурмовика - потерял. Командующий ВВС маршал Новиков наложил на Акт резолюцию: "...считать, что дальнейшая постройка Ил-2И в варианте истребителя и установка мотора АМ-42 ...на истребительный вариант Ил-2 нецелесообразна".</w:t>
      </w:r>
    </w:p>
    <w:p w14:paraId="216D888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по истребителю Ил-2-2И были прекращены, хотя к концу августа один экземпляр самолета почти собрали, а для второго экземпляра изготовлены необходимые узлы и агрегаты (12020).</w:t>
      </w:r>
    </w:p>
    <w:p w14:paraId="021C959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DA2975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 мая 1943 первый полет на Ил-8 (Ил-АМ-42) выполнил В.К.Коккинаки. Самолет оказался простым и легким в управлении (5,131). Заводские испытания шли до 22 февраля 1944 (3846,19).</w:t>
      </w:r>
    </w:p>
    <w:p w14:paraId="0193EEC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Ил-8 с АМ-42 в 2000 л.с. мог нести 1000 кг бомб. Доводка затянулась и гос. испытания начались в феврале 1944 (173,134).</w:t>
      </w:r>
    </w:p>
    <w:p w14:paraId="233AEA9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другим данным первый полет состоялся 2 июня 1943 (24,311).</w:t>
      </w:r>
    </w:p>
    <w:p w14:paraId="26461DC3" w14:textId="77777777" w:rsidR="00531570" w:rsidRPr="00D03F3E" w:rsidRDefault="00531570" w:rsidP="00D03F3E">
      <w:pPr>
        <w:pStyle w:val="Iauiue"/>
        <w:jc w:val="both"/>
        <w:rPr>
          <w:color w:val="000000" w:themeColor="text1"/>
          <w:sz w:val="16"/>
          <w:szCs w:val="16"/>
        </w:rPr>
      </w:pPr>
    </w:p>
    <w:p w14:paraId="6AF099B1"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10 мая в 1943 году первый полет опытного штурмовика </w:t>
      </w:r>
      <w:hyperlink r:id="rId156" w:tgtFrame="_blank" w:history="1">
        <w:r w:rsidRPr="00D03F3E">
          <w:rPr>
            <w:rFonts w:ascii="Times New Roman" w:hAnsi="Times New Roman"/>
            <w:color w:val="000000" w:themeColor="text1"/>
            <w:sz w:val="16"/>
            <w:szCs w:val="16"/>
          </w:rPr>
          <w:t xml:space="preserve">«Ил-8» </w:t>
        </w:r>
      </w:hyperlink>
      <w:r w:rsidRPr="00D03F3E">
        <w:rPr>
          <w:rFonts w:ascii="Times New Roman" w:hAnsi="Times New Roman"/>
          <w:color w:val="000000" w:themeColor="text1"/>
          <w:sz w:val="16"/>
          <w:szCs w:val="16"/>
        </w:rPr>
        <w:t>«АМ-42» (№ 1) под управлением летчика-испытателя В.К.Коккинаки. После этого начались заводские летные испытания (14887).</w:t>
      </w:r>
    </w:p>
    <w:p w14:paraId="2B450750" w14:textId="77777777" w:rsidR="00041D00" w:rsidRPr="00D03F3E" w:rsidRDefault="00041D00" w:rsidP="00D03F3E">
      <w:pPr>
        <w:spacing w:after="0" w:line="240" w:lineRule="auto"/>
        <w:jc w:val="both"/>
        <w:rPr>
          <w:rFonts w:ascii="Times New Roman" w:hAnsi="Times New Roman"/>
          <w:color w:val="000000" w:themeColor="text1"/>
          <w:sz w:val="16"/>
          <w:szCs w:val="16"/>
        </w:rPr>
      </w:pPr>
    </w:p>
    <w:p w14:paraId="1236486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 мая 1943-го под управлением летчика-испытателя В.К.Коккинаки состоялся первый полет опытного Ил-8 с двигателем АМ-42.</w:t>
      </w:r>
    </w:p>
    <w:p w14:paraId="4785588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пилотажным свойствам самолет оказался в целом простым и легким в управлении. Развивал максимальную горизонтальную скорость 470 км/ч на высоте 2240 м. Однако из-за ненадежной работы двигателя (с дымлением и тряской) заводские испытания самолета затянулись.</w:t>
      </w:r>
    </w:p>
    <w:p w14:paraId="61A3536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конечном итоге на Ил-8 пришлось заменить пять двигателей, прежде чем удалось обеспечить их достаточно надежную работу (9532,6).</w:t>
      </w:r>
    </w:p>
    <w:p w14:paraId="51C4182C" w14:textId="77777777" w:rsidR="00531570" w:rsidRPr="00D03F3E" w:rsidRDefault="00531570" w:rsidP="00D03F3E">
      <w:pPr>
        <w:pStyle w:val="Iauiue"/>
        <w:jc w:val="both"/>
        <w:rPr>
          <w:color w:val="000000" w:themeColor="text1"/>
          <w:sz w:val="16"/>
          <w:szCs w:val="16"/>
        </w:rPr>
      </w:pPr>
    </w:p>
    <w:p w14:paraId="6AE023D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 мая 1943 г. состоялся первый полет опытного Ил-8 с двигателем АМ-42 (летчик В.К.Коккинаки). Самолет оказался, в целом, простым и легким в управлении. С полетным весом 7250 кг он развил максимальную скорость 470 км/ч на высоте 2240 м. Однако из-за ненадежной работы двигателя (дымление и тряска) испытания затянулись. Пришлось сменить пять двигателей, прежде чем удалось обеспечить достаточно надежную работу силовой установки (9528).</w:t>
      </w:r>
    </w:p>
    <w:p w14:paraId="33CB5FAC" w14:textId="77777777" w:rsidR="00531570" w:rsidRPr="00D03F3E" w:rsidRDefault="00531570" w:rsidP="00D03F3E">
      <w:pPr>
        <w:pStyle w:val="Iauiue"/>
        <w:jc w:val="both"/>
        <w:rPr>
          <w:color w:val="000000" w:themeColor="text1"/>
          <w:sz w:val="16"/>
          <w:szCs w:val="16"/>
        </w:rPr>
      </w:pPr>
    </w:p>
    <w:p w14:paraId="1C22137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 мая 1943 г. под управлением летчика-испытателя В. К.Коккинаки состоялся первый полет опытного штурмовика Ил-8 АМ-42 (№ 1). После этого начались заводские летные испытания.</w:t>
      </w:r>
    </w:p>
    <w:p w14:paraId="6250943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Собственно говоря, испытывался и доводился не столько самолет, сколько его еще далеко несовершенная винтомоторная группа.24-му заводу, несмотря на проводимую обширную доводочную работу, долго не удавалось добиться надежной работы мотора.</w:t>
      </w:r>
    </w:p>
    <w:p w14:paraId="4853DF3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процессе заводских испытаний Ил-8-го на машине пришлось заменить пять (!) моторов АМ-42, прежде чем удалось обеспечить их устойчивую работу в полете. В этой связи испытания нового штурмовика затянулись до 26 ноября 1943 г. (9649).</w:t>
      </w:r>
    </w:p>
    <w:p w14:paraId="54A7593C" w14:textId="77777777" w:rsidR="00531570" w:rsidRPr="00D03F3E" w:rsidRDefault="00531570" w:rsidP="00D03F3E">
      <w:pPr>
        <w:pStyle w:val="Iauiue"/>
        <w:jc w:val="both"/>
        <w:rPr>
          <w:color w:val="000000" w:themeColor="text1"/>
          <w:sz w:val="16"/>
          <w:szCs w:val="16"/>
        </w:rPr>
      </w:pPr>
    </w:p>
    <w:p w14:paraId="3317303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10 мая 1943 г. по 22 февраля 1944 г. на Ил-АМ-42 (экз. № 1) в общей сложности в период было выпол</w:t>
      </w:r>
      <w:r w:rsidRPr="00D03F3E">
        <w:rPr>
          <w:rFonts w:ascii="Times New Roman" w:hAnsi="Times New Roman"/>
          <w:color w:val="000000" w:themeColor="text1"/>
          <w:sz w:val="16"/>
          <w:szCs w:val="16"/>
        </w:rPr>
        <w:softHyphen/>
        <w:t>нено 40 полетов с суммарным нале</w:t>
      </w:r>
      <w:r w:rsidRPr="00D03F3E">
        <w:rPr>
          <w:rFonts w:ascii="Times New Roman" w:hAnsi="Times New Roman"/>
          <w:color w:val="000000" w:themeColor="text1"/>
          <w:sz w:val="16"/>
          <w:szCs w:val="16"/>
        </w:rPr>
        <w:softHyphen/>
        <w:t>том 21 час 9 минут.</w:t>
      </w:r>
    </w:p>
    <w:p w14:paraId="1BA234A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полетном весе 7200 кг с вин</w:t>
      </w:r>
      <w:r w:rsidRPr="00D03F3E">
        <w:rPr>
          <w:rFonts w:ascii="Times New Roman" w:hAnsi="Times New Roman"/>
          <w:color w:val="000000" w:themeColor="text1"/>
          <w:sz w:val="16"/>
          <w:szCs w:val="16"/>
        </w:rPr>
        <w:softHyphen/>
        <w:t>том АВ-5л-18Б была получена до</w:t>
      </w:r>
      <w:r w:rsidRPr="00D03F3E">
        <w:rPr>
          <w:rFonts w:ascii="Times New Roman" w:hAnsi="Times New Roman"/>
          <w:color w:val="000000" w:themeColor="text1"/>
          <w:sz w:val="16"/>
          <w:szCs w:val="16"/>
        </w:rPr>
        <w:softHyphen/>
        <w:t>вольно высокая скорость горизонтального полета: 470 км/ч - на вы</w:t>
      </w:r>
      <w:r w:rsidRPr="00D03F3E">
        <w:rPr>
          <w:rFonts w:ascii="Times New Roman" w:hAnsi="Times New Roman"/>
          <w:color w:val="000000" w:themeColor="text1"/>
          <w:sz w:val="16"/>
          <w:szCs w:val="16"/>
        </w:rPr>
        <w:softHyphen/>
        <w:t>соте 2240 м и 434,5 км/ч - у земли. Вертикальная скорость у земли со</w:t>
      </w:r>
      <w:r w:rsidRPr="00D03F3E">
        <w:rPr>
          <w:rFonts w:ascii="Times New Roman" w:hAnsi="Times New Roman"/>
          <w:color w:val="000000" w:themeColor="text1"/>
          <w:sz w:val="16"/>
          <w:szCs w:val="16"/>
        </w:rPr>
        <w:softHyphen/>
        <w:t>ставила 8,32 м/с, а время подъема на высоту 1000 м - 1,97 мин. Это были неплохие результаты. Как от</w:t>
      </w:r>
      <w:r w:rsidRPr="00D03F3E">
        <w:rPr>
          <w:rFonts w:ascii="Times New Roman" w:hAnsi="Times New Roman"/>
          <w:color w:val="000000" w:themeColor="text1"/>
          <w:sz w:val="16"/>
          <w:szCs w:val="16"/>
        </w:rPr>
        <w:softHyphen/>
        <w:t>мечал Коккинаки, "...на всех режи</w:t>
      </w:r>
      <w:r w:rsidRPr="00D03F3E">
        <w:rPr>
          <w:rFonts w:ascii="Times New Roman" w:hAnsi="Times New Roman"/>
          <w:color w:val="000000" w:themeColor="text1"/>
          <w:sz w:val="16"/>
          <w:szCs w:val="16"/>
        </w:rPr>
        <w:softHyphen/>
        <w:t>мах полета чувствуется большой за</w:t>
      </w:r>
      <w:r w:rsidRPr="00D03F3E">
        <w:rPr>
          <w:rFonts w:ascii="Times New Roman" w:hAnsi="Times New Roman"/>
          <w:color w:val="000000" w:themeColor="text1"/>
          <w:sz w:val="16"/>
          <w:szCs w:val="16"/>
        </w:rPr>
        <w:softHyphen/>
        <w:t>пас мощности".</w:t>
      </w:r>
    </w:p>
    <w:p w14:paraId="38CBCA9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имел удовлетворитель</w:t>
      </w:r>
      <w:r w:rsidRPr="00D03F3E">
        <w:rPr>
          <w:rFonts w:ascii="Times New Roman" w:hAnsi="Times New Roman"/>
          <w:color w:val="000000" w:themeColor="text1"/>
          <w:sz w:val="16"/>
          <w:szCs w:val="16"/>
        </w:rPr>
        <w:softHyphen/>
        <w:t>ную устойчивость по всем направ</w:t>
      </w:r>
      <w:r w:rsidRPr="00D03F3E">
        <w:rPr>
          <w:rFonts w:ascii="Times New Roman" w:hAnsi="Times New Roman"/>
          <w:color w:val="000000" w:themeColor="text1"/>
          <w:sz w:val="16"/>
          <w:szCs w:val="16"/>
        </w:rPr>
        <w:softHyphen/>
        <w:t>лениям. При соответствующей балан</w:t>
      </w:r>
      <w:r w:rsidRPr="00D03F3E">
        <w:rPr>
          <w:rFonts w:ascii="Times New Roman" w:hAnsi="Times New Roman"/>
          <w:color w:val="000000" w:themeColor="text1"/>
          <w:sz w:val="16"/>
          <w:szCs w:val="16"/>
        </w:rPr>
        <w:softHyphen/>
        <w:t>сировке триммером самолет позво</w:t>
      </w:r>
      <w:r w:rsidRPr="00D03F3E">
        <w:rPr>
          <w:rFonts w:ascii="Times New Roman" w:hAnsi="Times New Roman"/>
          <w:color w:val="000000" w:themeColor="text1"/>
          <w:sz w:val="16"/>
          <w:szCs w:val="16"/>
        </w:rPr>
        <w:softHyphen/>
        <w:t>лял полет с брошенной ручкой уп</w:t>
      </w:r>
      <w:r w:rsidRPr="00D03F3E">
        <w:rPr>
          <w:rFonts w:ascii="Times New Roman" w:hAnsi="Times New Roman"/>
          <w:color w:val="000000" w:themeColor="text1"/>
          <w:sz w:val="16"/>
          <w:szCs w:val="16"/>
        </w:rPr>
        <w:softHyphen/>
        <w:t>равления. Виражил и пикировал ус</w:t>
      </w:r>
      <w:r w:rsidRPr="00D03F3E">
        <w:rPr>
          <w:rFonts w:ascii="Times New Roman" w:hAnsi="Times New Roman"/>
          <w:color w:val="000000" w:themeColor="text1"/>
          <w:sz w:val="16"/>
          <w:szCs w:val="16"/>
        </w:rPr>
        <w:softHyphen/>
        <w:t>тойчиво, без рысканий. Это обеспе</w:t>
      </w:r>
      <w:r w:rsidRPr="00D03F3E">
        <w:rPr>
          <w:rFonts w:ascii="Times New Roman" w:hAnsi="Times New Roman"/>
          <w:color w:val="000000" w:themeColor="text1"/>
          <w:sz w:val="16"/>
          <w:szCs w:val="16"/>
        </w:rPr>
        <w:softHyphen/>
        <w:t>чивало лучшие условия для прицели</w:t>
      </w:r>
      <w:r w:rsidRPr="00D03F3E">
        <w:rPr>
          <w:rFonts w:ascii="Times New Roman" w:hAnsi="Times New Roman"/>
          <w:color w:val="000000" w:themeColor="text1"/>
          <w:sz w:val="16"/>
          <w:szCs w:val="16"/>
        </w:rPr>
        <w:softHyphen/>
        <w:t>вания и стрельбы.</w:t>
      </w:r>
    </w:p>
    <w:p w14:paraId="7D287C8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пилотировании Ил-АМ-42 ни</w:t>
      </w:r>
      <w:r w:rsidRPr="00D03F3E">
        <w:rPr>
          <w:rFonts w:ascii="Times New Roman" w:hAnsi="Times New Roman"/>
          <w:color w:val="000000" w:themeColor="text1"/>
          <w:sz w:val="16"/>
          <w:szCs w:val="16"/>
        </w:rPr>
        <w:softHyphen/>
        <w:t>чем не отличается от Ил-2. Для вы</w:t>
      </w:r>
      <w:r w:rsidRPr="00D03F3E">
        <w:rPr>
          <w:rFonts w:ascii="Times New Roman" w:hAnsi="Times New Roman"/>
          <w:color w:val="000000" w:themeColor="text1"/>
          <w:sz w:val="16"/>
          <w:szCs w:val="16"/>
        </w:rPr>
        <w:softHyphen/>
        <w:t>лета на Ил-АМ-42 обучение и вы</w:t>
      </w:r>
      <w:r w:rsidRPr="00D03F3E">
        <w:rPr>
          <w:rFonts w:ascii="Times New Roman" w:hAnsi="Times New Roman"/>
          <w:color w:val="000000" w:themeColor="text1"/>
          <w:sz w:val="16"/>
          <w:szCs w:val="16"/>
        </w:rPr>
        <w:softHyphen/>
        <w:t>возка излишни", — указывалось в от</w:t>
      </w:r>
      <w:r w:rsidRPr="00D03F3E">
        <w:rPr>
          <w:rFonts w:ascii="Times New Roman" w:hAnsi="Times New Roman"/>
          <w:color w:val="000000" w:themeColor="text1"/>
          <w:sz w:val="16"/>
          <w:szCs w:val="16"/>
        </w:rPr>
        <w:softHyphen/>
        <w:t>чете по испытаниям.</w:t>
      </w:r>
    </w:p>
    <w:p w14:paraId="153DB67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Было решено готовить машину к государственным испытаниям. В этой связи 22 февраля на самолете был установлен винт диаметром 4,0 м и изменена компенсация элеронов с целью снижения нагрузок на ручку управления. Пробный полет показал, что новый винт "погоды не делает". Его срочно заменили "старым" про</w:t>
      </w:r>
      <w:r w:rsidRPr="00D03F3E">
        <w:rPr>
          <w:rFonts w:ascii="Times New Roman" w:hAnsi="Times New Roman"/>
          <w:color w:val="000000" w:themeColor="text1"/>
          <w:sz w:val="16"/>
          <w:szCs w:val="16"/>
        </w:rPr>
        <w:softHyphen/>
        <w:t>веренным винтом АВ-5л-18Б, с кото</w:t>
      </w:r>
      <w:r w:rsidRPr="00D03F3E">
        <w:rPr>
          <w:rFonts w:ascii="Times New Roman" w:hAnsi="Times New Roman"/>
          <w:color w:val="000000" w:themeColor="text1"/>
          <w:sz w:val="16"/>
          <w:szCs w:val="16"/>
        </w:rPr>
        <w:softHyphen/>
        <w:t>рым Ил-АМ-42 (экз. № 1) 26 февра</w:t>
      </w:r>
      <w:r w:rsidRPr="00D03F3E">
        <w:rPr>
          <w:rFonts w:ascii="Times New Roman" w:hAnsi="Times New Roman"/>
          <w:color w:val="000000" w:themeColor="text1"/>
          <w:sz w:val="16"/>
          <w:szCs w:val="16"/>
        </w:rPr>
        <w:softHyphen/>
        <w:t>ля перелетел на аэродром НИИ ВВС, где официально был передан воен</w:t>
      </w:r>
      <w:r w:rsidRPr="00D03F3E">
        <w:rPr>
          <w:rFonts w:ascii="Times New Roman" w:hAnsi="Times New Roman"/>
          <w:color w:val="000000" w:themeColor="text1"/>
          <w:sz w:val="16"/>
          <w:szCs w:val="16"/>
        </w:rPr>
        <w:softHyphen/>
        <w:t>ным специалистам для производства государственных летных испытаний (11427).</w:t>
      </w:r>
    </w:p>
    <w:p w14:paraId="7B8E877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25F0BB7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10 мая 1943 удалось изготовить основные стапели, кондукторы, шаблоны и плазы и начать сборку агрегатов для статических испытаний и для первой летной машины Ил-6. Недостающие материалы пришлось доставлять из Москвы воздушным транспортом (в то время 39-й завод располагал транспортным самолетом ПС-84). В итоге сроки почти что удалось выдержать - в первый полет Ил-6 поднялся 7 августа 1943 г. Для его испытаний в Иркутск прибыл шеф-пилот ОКБ С.В. Илыошина летчик-испытатель В.К. Коккинаки. Аэродром завода N" 39 имел открытые подходы к ВПП, и при выполнении нескольких испытательных полетов Коккинаки не заметил особых проблем в пилотировании самолета, кроме малого запаса руля высоты и больших усилий на штурвале при посадке (12037).</w:t>
      </w:r>
    </w:p>
    <w:p w14:paraId="1F53FA2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3AF852C" w14:textId="77777777" w:rsidR="00041D00" w:rsidRPr="00D03F3E" w:rsidRDefault="00041D00" w:rsidP="00D03F3E">
      <w:pPr>
        <w:pStyle w:val="a3"/>
        <w:rPr>
          <w:color w:val="000000" w:themeColor="text1"/>
          <w:lang w:val="ru-RU"/>
        </w:rPr>
      </w:pPr>
      <w:r w:rsidRPr="00D03F3E">
        <w:rPr>
          <w:color w:val="000000" w:themeColor="text1"/>
          <w:lang w:val="ru-RU"/>
        </w:rPr>
        <w:t>10 мая 1943 г. лётчик-испытатель А.И. Жу</w:t>
      </w:r>
      <w:r w:rsidRPr="00D03F3E">
        <w:rPr>
          <w:color w:val="000000" w:themeColor="text1"/>
          <w:lang w:val="ru-RU"/>
        </w:rPr>
        <w:softHyphen/>
        <w:t>ков поднял в воздух первый экземпляр улучшенного МиГ-3У (Д-01). Программу заводских испытаний завершили к концу июля. Всего выполнили 28 полётов с налётом 1 3 ч 26</w:t>
      </w:r>
      <w:r w:rsidRPr="00D03F3E">
        <w:rPr>
          <w:rStyle w:val="362"/>
          <w:rFonts w:ascii="Times New Roman" w:hAnsi="Times New Roman" w:cs="Times New Roman"/>
          <w:i w:val="0"/>
          <w:color w:val="000000" w:themeColor="text1"/>
          <w:sz w:val="16"/>
          <w:szCs w:val="16"/>
          <w:lang w:val="ru-RU"/>
        </w:rPr>
        <w:t xml:space="preserve"> мин.</w:t>
      </w:r>
      <w:r w:rsidRPr="00D03F3E">
        <w:rPr>
          <w:color w:val="000000" w:themeColor="text1"/>
          <w:lang w:val="ru-RU"/>
        </w:rPr>
        <w:t xml:space="preserve"> За время испытаний основные проблемы вызвала доводка температурных режимов ВМГ, в особенности маслосистемы (15976).</w:t>
      </w:r>
    </w:p>
    <w:p w14:paraId="2F94EA3D" w14:textId="77777777" w:rsidR="00041D00" w:rsidRPr="00D03F3E" w:rsidRDefault="00041D00" w:rsidP="00D03F3E">
      <w:pPr>
        <w:pStyle w:val="a3"/>
        <w:rPr>
          <w:color w:val="000000" w:themeColor="text1"/>
          <w:lang w:val="ru-RU"/>
        </w:rPr>
      </w:pPr>
    </w:p>
    <w:p w14:paraId="7EEAE65F"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1494BDE7" w14:textId="77777777" w:rsidR="00531570" w:rsidRPr="00D03F3E" w:rsidRDefault="00531570" w:rsidP="00D03F3E">
      <w:pPr>
        <w:pStyle w:val="Iauiue"/>
        <w:jc w:val="both"/>
        <w:rPr>
          <w:iCs/>
          <w:color w:val="000000" w:themeColor="text1"/>
          <w:sz w:val="16"/>
          <w:szCs w:val="16"/>
        </w:rPr>
      </w:pPr>
    </w:p>
    <w:p w14:paraId="2946164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мая 1943 вышло Постановление ГКО № 3339 О восстановлении сооружений связи на территории, освобождаемой от противника.РГАНИР, Фонд ГКО, д. 116, лл. 35, 36-37 (11012).</w:t>
      </w:r>
    </w:p>
    <w:p w14:paraId="00D1164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04F968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мая 1943 вышло Постановление ГКО № 3340 О материально-техническом обеспечении строительства завода № 507 Наркомрезинпрома.РГАНИР, Фонд ГКО, д. 116, лл. 38-44, 45-49 (11012).</w:t>
      </w:r>
    </w:p>
    <w:p w14:paraId="384D930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30D5EF7"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0300D5CB" w14:textId="77777777" w:rsidR="00531570" w:rsidRPr="00D03F3E" w:rsidRDefault="00531570" w:rsidP="00D03F3E">
      <w:pPr>
        <w:pStyle w:val="Iauiue"/>
        <w:jc w:val="both"/>
        <w:rPr>
          <w:iCs/>
          <w:color w:val="000000" w:themeColor="text1"/>
          <w:sz w:val="16"/>
          <w:szCs w:val="16"/>
        </w:rPr>
      </w:pPr>
    </w:p>
    <w:p w14:paraId="521678BA"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мая в 1943 году утреннее сообщение Совинформбюро:</w:t>
      </w:r>
    </w:p>
    <w:p w14:paraId="43226950"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10 мая на Кубани, северо-восточнее Новороссийска, наши войска продолжали вести бои с противником. На других участках фронта ничего существенного не произошло.</w:t>
      </w:r>
    </w:p>
    <w:p w14:paraId="1A2F0891"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северо-восточнее Новороссийска, миномётчики части, где командиром тов. Суворов, поддерживая действия пехотных подразделений, истребили до двух рот гитлеровцев. Артиллерийские батареи под командованием тт. Саукова и Сухомлинова уничтожили 6 артиллерийских и миномётных батарей, 21 пулемётную точку и разрушили 8 блиндажей противника.</w:t>
      </w:r>
    </w:p>
    <w:p w14:paraId="196868BD"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наши подразделения отбили несколько контратак противника, уничтожили 3 танка и до 200 немецких солдат и офицеров. Захвачены трофеи и пленные.</w:t>
      </w:r>
    </w:p>
    <w:p w14:paraId="5586C7C4"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Чугуева немецкая пехота пыталась переправиться через водный рубеж. Наши передовые подразделения встретили противника ружейно-пулемётным огнём и истребили 60 немецких солдат и офицеров. Артиллеристы Н-ской части разбили 3 немецких дзота, уничтожили 5 автомашин и 10 повозок с боеприпасами.</w:t>
      </w:r>
    </w:p>
    <w:p w14:paraId="2EAA9161"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продолжалась артиллерийско-миномётная перестрелка с противником. Снайперы Н-ской части за день истребили 38 гитлеровцев. Советские лётчики-истребители вынудили к посадке на нашей территории немецкий самолёт «Фокке-Вульф-189». Экипаж самолёта взят в плен.</w:t>
      </w:r>
    </w:p>
    <w:p w14:paraId="609814A5"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на участке Н-ской части немцы предприняли одну за другой три атаки. Наши бойцы отбили атаки противника и огнём из всех видов оружия истребили до 100 гитлеровцев.</w:t>
      </w:r>
    </w:p>
    <w:p w14:paraId="455CF90C"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Гомельской области, 2 и 3 мая вёл ожесточённые бои с немецкой карательной экспедицией. Нанося противник увнезапные удары, партизаны истребили более 200 гитлеровцев. Захвачены трофеи, в числе которых 90 лошадей с сёдлами, много вооружения и боеприпасов. Группа партизан, действующая в Полесской области, пустила под откос два немецких воинских эшелона. Разбиты паровоз и 16 вагонов с боеприпасами и вооружением. Кроме того, советские патриоты разрушили железнодорожные пути общей протяжённостью свыше 7 километров.</w:t>
      </w:r>
    </w:p>
    <w:p w14:paraId="1ACB2BE9"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Сдавшийся добровольно в плен солдат 112 немецкой пехотной дивизии Бруно Р., работавший до призыва в армию на судоверфи в Вильгельмсгафене, рассказал: «Недавно я был на родине. Бросаются в глаза резкие перемены, происшедшие в Германии. Постоянные воздушные тревоги издёргали всех. Жители городов, подвергающихся бомбардировкам, возмущены лживыми сообщениями немецкого радио о результатах налётов английской авиации. Вильгельмсгафен, например, напоминает город, в котором происходили ожесточённые сражения. Особенно пострадали верфи. Разрушены артиллерийский, литейный и столярный цехи и другие производственные корпуса» (14887).</w:t>
      </w:r>
    </w:p>
    <w:p w14:paraId="7F60485B" w14:textId="77777777" w:rsidR="00041D00" w:rsidRPr="00D03F3E" w:rsidRDefault="00041D00" w:rsidP="00D03F3E">
      <w:pPr>
        <w:spacing w:after="0" w:line="240" w:lineRule="auto"/>
        <w:jc w:val="both"/>
        <w:rPr>
          <w:rFonts w:ascii="Times New Roman" w:hAnsi="Times New Roman"/>
          <w:color w:val="000000" w:themeColor="text1"/>
          <w:sz w:val="16"/>
          <w:szCs w:val="16"/>
        </w:rPr>
      </w:pPr>
    </w:p>
    <w:p w14:paraId="2BC4CC89"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мая в 1943 году вечернее сообщение Совинформбюро:</w:t>
      </w:r>
    </w:p>
    <w:p w14:paraId="37E778D0"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10 мая на Кубани, северо-восточнее Новороссийска, наши войска вели сильный огневой бой с противником. Наша авиация наносила удары по укреплениям и скоплениям пехоты противника.</w:t>
      </w:r>
    </w:p>
    <w:p w14:paraId="4612A39F"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ничего существенного не произошло.</w:t>
      </w:r>
    </w:p>
    <w:p w14:paraId="541BDF5B"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в районе северо-восточнее Новороссийска, артиллеристы Н-ского соединения подавили огонь 26 артиллерийских и 12 миномётных батарей противника, уничтожили несколько зенитных орудий, разрушили ряд вражеских дзотов и блиндажей. Артиллеристы под командованием тов. Обзалова подбили 2 танка и истребили до роты немецкой пехоты. Лётчики сержант т. Варач, старший лейтенантт. Сигарев, старший лейтенант т. Бастриков и лейтенант т. Куденко в течение дня в воздушных боях сбили по два немецких самолёта каждый.</w:t>
      </w:r>
    </w:p>
    <w:p w14:paraId="4C5482AB"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два батальона пехоты и 15 танков противника атаковали позиции Н-ской части. Наши бойцы вначале несколько отошли, а затем контрударом во фланг опрокинули немцев и отбросили их на исходные позиции. В этом бою подбито и сожжено 9 немецких танков и уничтожено до 300 гитлеровцев. На другом участке наши бойцы отбили четыре контратаки противника. На поле боя осталось 2 сгоревших немецких танка и свыше 100 вражеских трупов.</w:t>
      </w:r>
    </w:p>
    <w:p w14:paraId="6125C771"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происходила артиллерийская перестрелка. Наши части уничтожили 2 немецких орудия, 6 пулемётов, разрушили 4 блиндажа и 5 дзотов. Ружейно-пулемётным огнём наших подразделений и разведывательными группами истреблено более роты немецкой пехоты.</w:t>
      </w:r>
    </w:p>
    <w:p w14:paraId="0161146B"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 одном участке противник сосредоточил большое количество артиллерии. Наши разведчики точно установили месторасположение немецких батарей. Пользуясь данными разведки, артиллеристы Н-ского соединения произвели мощный огневой налёт на артиллерийские батареи противника. Наблюдениями и воздушной разведкой установлено, что значительная часть вражеских батарей уничтожена.</w:t>
      </w:r>
    </w:p>
    <w:p w14:paraId="04590299"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Ленинградской области, внезапно атаковал на шоссейной дороге немецкую колонну. Ружейно-пулемётным огнёми ручными гранатами убито 52 и ранено 29 гитлеровцев. Партизаны захватили 6 пулемётов, автоматы, винтовки и много патронов. Группа подрывников другого отряда ленинградских партизан пустила под откос немецкий эшелон с боеприпасами. Вагоны, слетевшие под откос, загорелись, а находившиеся в них боеприпасы рвалисьв течение нескольких часов. Через пять дней на этом же участке советские патриоты подорвали на минах два немецких воинских эшелона, следовавших в Псков. Уничтожено 2 паровоза, 29 вагонов и платформ с вооружением.</w:t>
      </w:r>
    </w:p>
    <w:p w14:paraId="65C56420"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солдат 258 немецкого пехотного полка поляк Рудольф С. рассказал: «Оккупировав Польшу, гитлеровцы обрушили на головы поляков жесточайшие репрессии. Многие мои друзья попали в концлагеря и тюрьмы. Ян Валлах и Бернард Клен умерли в концлагере. Шафферна гитлеровцы выпустили из концлагеря только после того, как он сошел с ума. Адвокат Домбек из Рыбника и многие ксендзы до сих пор находятся в концлагере в Освенциме, где режим отличается чрезвычайной жестокостью. Поляки ненавидят немцев жгучей ненавистью. Самые широкие круги населения Польши симпатизируют России и её союзникам. Свои надежды на освобождение поляки связывают с борьбой Красной Армии» (14887).</w:t>
      </w:r>
    </w:p>
    <w:p w14:paraId="609EFBF8" w14:textId="77777777" w:rsidR="00041D00" w:rsidRPr="00D03F3E" w:rsidRDefault="00041D00" w:rsidP="00D03F3E">
      <w:pPr>
        <w:spacing w:after="0" w:line="240" w:lineRule="auto"/>
        <w:jc w:val="both"/>
        <w:rPr>
          <w:rFonts w:ascii="Times New Roman" w:hAnsi="Times New Roman"/>
          <w:color w:val="000000" w:themeColor="text1"/>
          <w:sz w:val="16"/>
          <w:szCs w:val="16"/>
        </w:rPr>
      </w:pPr>
    </w:p>
    <w:p w14:paraId="4E35399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 10 мая 1943 закончилось наше наступление на Кубани с 29 апреля за 10 тыс. самолетовылетов уничтожили 368 самолетов потеряв 70 (340,121).</w:t>
      </w:r>
    </w:p>
    <w:p w14:paraId="6AEFA0FC" w14:textId="77777777" w:rsidR="00531570" w:rsidRPr="00D03F3E" w:rsidRDefault="00531570" w:rsidP="00D03F3E">
      <w:pPr>
        <w:pStyle w:val="Iauiue"/>
        <w:jc w:val="both"/>
        <w:rPr>
          <w:color w:val="000000" w:themeColor="text1"/>
          <w:sz w:val="16"/>
          <w:szCs w:val="16"/>
        </w:rPr>
      </w:pPr>
    </w:p>
    <w:p w14:paraId="05FFCDC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 мая 1943 г. вышел ПРИКАЗ № 0373 О ПРИСВОЕНИИ ВОЕННОГО ЗВАНИЯ И НАЗНАЧЕНИИ КОМАНДИРОМ ЗВЕНА ПИЛОТА 293-го ИСТРЕБИТЕЛЬНОГО АВИАЦИОННОГО ПОЛКА РУДЧЕНКО В. П.</w:t>
      </w:r>
    </w:p>
    <w:p w14:paraId="4186D47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Северо-Кавказском фронте 9.5.43 г. четверка наших истребителей 293-го истребительного авиационного полка на самолетах Як-1 в районе Крымская встретила группу вражеских истребителей в составе 8 Ме-109 и вступила с ними в бой. В ожесточенном групповом бою наши истребители сбили 2 Ме-109, а сержант Рудченко В. П., отражая атаку истребителей противника на своего ведущего, прикрыл его своим самолетом и тараном сбил одного вражеского истребителя, а сам благополучно спустился на парашюте. Это был пятый сбитый им самолет противника в боях на Кубани</w:t>
      </w:r>
      <w:r w:rsidRPr="00D03F3E">
        <w:rPr>
          <w:color w:val="000000" w:themeColor="text1"/>
          <w:sz w:val="16"/>
          <w:szCs w:val="16"/>
          <w:vertAlign w:val="superscript"/>
        </w:rPr>
        <w:t>34</w:t>
      </w:r>
      <w:r w:rsidRPr="00D03F3E">
        <w:rPr>
          <w:color w:val="000000" w:themeColor="text1"/>
          <w:sz w:val="16"/>
          <w:szCs w:val="16"/>
        </w:rPr>
        <w:t>.</w:t>
      </w:r>
    </w:p>
    <w:p w14:paraId="6C91AC6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Своим смелым и мужественным поступком сержант Рудченко В. П. выполнил одну из основных своих задач как ведомого в паре и предотвратил сбитие своего ведущего.</w:t>
      </w:r>
    </w:p>
    <w:p w14:paraId="2B8FB6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Приказываю:</w:t>
      </w:r>
    </w:p>
    <w:p w14:paraId="43619FD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За смелость и выручку товарища в тяжелом и неравном воздушном бою с истребителями противника сержанту 293-го истребительного авиационного полка Рудченко Владимиру Петровичу присвоить военное звание “младший лейтенант” и назначить командиром авиазвена 293-го истребительного авиационного полка. Кроме того, Рудченко В. П. мною награжден орденом Александра Невского.</w:t>
      </w:r>
    </w:p>
    <w:p w14:paraId="133CC8C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Приказ объявить всему летно-техническому составу частей Военно-воздушных сил Красной Армии.</w:t>
      </w:r>
    </w:p>
    <w:p w14:paraId="1DEF4872" w14:textId="77777777" w:rsidR="00531570" w:rsidRPr="00D03F3E" w:rsidRDefault="00531570" w:rsidP="00D03F3E">
      <w:pPr>
        <w:pStyle w:val="Iauiue"/>
        <w:jc w:val="both"/>
        <w:rPr>
          <w:color w:val="000000" w:themeColor="text1"/>
          <w:sz w:val="16"/>
          <w:szCs w:val="16"/>
        </w:rPr>
      </w:pPr>
      <w:r w:rsidRPr="00D03F3E">
        <w:rPr>
          <w:iCs/>
          <w:color w:val="000000" w:themeColor="text1"/>
          <w:sz w:val="16"/>
          <w:szCs w:val="16"/>
        </w:rPr>
        <w:t xml:space="preserve">Заместитель Народного комиссара обороны маршал авиации НОВИКОВ </w:t>
      </w:r>
      <w:r w:rsidRPr="00D03F3E">
        <w:rPr>
          <w:color w:val="000000" w:themeColor="text1"/>
          <w:sz w:val="16"/>
          <w:szCs w:val="16"/>
        </w:rPr>
        <w:t>(9844).</w:t>
      </w:r>
    </w:p>
    <w:p w14:paraId="7FBB0232" w14:textId="77777777" w:rsidR="00531570" w:rsidRPr="00D03F3E" w:rsidRDefault="00531570" w:rsidP="00D03F3E">
      <w:pPr>
        <w:pStyle w:val="Iauiue"/>
        <w:jc w:val="both"/>
        <w:rPr>
          <w:color w:val="000000" w:themeColor="text1"/>
          <w:sz w:val="16"/>
          <w:szCs w:val="16"/>
        </w:rPr>
      </w:pPr>
    </w:p>
    <w:p w14:paraId="44502EA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 мая 1943 г. начальником Главного управления ГВФ генерал-полковником авиации Ф. А. Астаховым было подписано Положении о премиальной оплате летно-технического состава Красноярской воздушной трассы, в котором определялись суммы премий в рублях и американских долларах пилоту истребителя, каждому члену экипажей бомбардировщика, самолета-лидера, транспортного самолета и самолета скорой помощи за каждый доставленный в пункт назначения самолет. Так, пилот истребителя за перегонку самолета на участке трассы Фербенкс (США) - Уэлькаль (СССР) в качестве премии получал 225 рублей и 15 долларов, на участке Уэлькаль — Якутск — 375 рублей, на участке Якутск — Красноярск — 300 рублей; премия первого пилота бомбардировщика составляла соответственно 240 рублей и 15 долларов, 425 рублей, 325 рублей. Премии устанавливались также командиру эскадрильи — за каждые 10 самолетов, командованию полка, техническому составу полков и авиабаз — за каждые 20 самолетов, сданных в пункте назначения. Кроме того, в распоряжение начальника трассы ежеквартально выделялся премиальный фонд (50 тыс. рублей) для премирования лиц, не перечисленных в Положении (9844).</w:t>
      </w:r>
    </w:p>
    <w:p w14:paraId="531990B5" w14:textId="77777777" w:rsidR="00531570" w:rsidRPr="00D03F3E" w:rsidRDefault="00531570" w:rsidP="00D03F3E">
      <w:pPr>
        <w:pStyle w:val="Iauiue"/>
        <w:jc w:val="both"/>
        <w:rPr>
          <w:color w:val="000000" w:themeColor="text1"/>
          <w:sz w:val="16"/>
          <w:szCs w:val="16"/>
        </w:rPr>
      </w:pPr>
    </w:p>
    <w:p w14:paraId="16D14EC4"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76C774F7" w14:textId="77777777" w:rsidR="00531570" w:rsidRPr="00D03F3E" w:rsidRDefault="00531570" w:rsidP="00D03F3E">
      <w:pPr>
        <w:pStyle w:val="Iauiue"/>
        <w:jc w:val="both"/>
        <w:rPr>
          <w:iCs/>
          <w:color w:val="000000" w:themeColor="text1"/>
          <w:sz w:val="16"/>
          <w:szCs w:val="16"/>
        </w:rPr>
      </w:pPr>
    </w:p>
    <w:p w14:paraId="5CDF17AC"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мая в 1943 году прототип «XB-32» (№ 41-141) вскоре после взлета рухнул на землю из-за сбоев в закрылках. В результате аварии шесть членов экипажа получили ранения, а летчик-испытатель «Consolidated» Ричард МакМакин погиб. Авария стала главной причиной задержки развития программы «B-32» «Dominator», так как в ходе катастрофы был уничтожен ряд отчетов о уже проведенных испытаниях и их пришлось проводить заново</w:t>
      </w:r>
    </w:p>
    <w:p w14:paraId="759C09B5" w14:textId="77777777" w:rsidR="00041D00" w:rsidRPr="00D03F3E" w:rsidRDefault="00041D00" w:rsidP="00D03F3E">
      <w:pPr>
        <w:spacing w:after="0" w:line="240" w:lineRule="auto"/>
        <w:jc w:val="both"/>
        <w:rPr>
          <w:rFonts w:ascii="Times New Roman" w:hAnsi="Times New Roman"/>
          <w:color w:val="000000" w:themeColor="text1"/>
          <w:sz w:val="16"/>
          <w:szCs w:val="16"/>
        </w:rPr>
      </w:pPr>
    </w:p>
    <w:p w14:paraId="7E2D57FD"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10 мая 1943 на мысе Бон началась капитуляция итало-германских войск в Северной Африке (4963 ).</w:t>
      </w:r>
    </w:p>
    <w:p w14:paraId="2C959333" w14:textId="77777777" w:rsidR="00531570" w:rsidRPr="00D03F3E" w:rsidRDefault="00531570" w:rsidP="00D03F3E">
      <w:pPr>
        <w:pStyle w:val="Iauiue"/>
        <w:tabs>
          <w:tab w:val="left" w:pos="11199"/>
        </w:tabs>
        <w:jc w:val="both"/>
        <w:rPr>
          <w:color w:val="000000" w:themeColor="text1"/>
          <w:sz w:val="16"/>
          <w:szCs w:val="16"/>
        </w:rPr>
      </w:pPr>
    </w:p>
    <w:p w14:paraId="013CE2F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 мая 1943 американцы высадились на двух алеутских островах, захваченных японцами (2100).</w:t>
      </w:r>
    </w:p>
    <w:p w14:paraId="17DC1CF6" w14:textId="77777777" w:rsidR="00531570" w:rsidRPr="00D03F3E" w:rsidRDefault="00531570" w:rsidP="00D03F3E">
      <w:pPr>
        <w:pStyle w:val="Iauiue"/>
        <w:jc w:val="both"/>
        <w:rPr>
          <w:color w:val="000000" w:themeColor="text1"/>
          <w:sz w:val="16"/>
          <w:szCs w:val="16"/>
        </w:rPr>
      </w:pPr>
    </w:p>
    <w:p w14:paraId="724FCD2D"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мая в 1943 году (11-30 мая) захват американскими войсками острова Атту (14887).</w:t>
      </w:r>
    </w:p>
    <w:p w14:paraId="7A7F2B72" w14:textId="77777777" w:rsidR="00041D00" w:rsidRPr="00D03F3E" w:rsidRDefault="00041D00" w:rsidP="00D03F3E">
      <w:pPr>
        <w:spacing w:after="0" w:line="240" w:lineRule="auto"/>
        <w:jc w:val="both"/>
        <w:rPr>
          <w:rFonts w:ascii="Times New Roman" w:hAnsi="Times New Roman"/>
          <w:color w:val="000000" w:themeColor="text1"/>
          <w:sz w:val="16"/>
          <w:szCs w:val="16"/>
        </w:rPr>
      </w:pPr>
    </w:p>
    <w:p w14:paraId="4248EEDF"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10 мая 1943  British Overseas Airways Corporation представляет свою первую бортпроводницу Розамонд Гилмор на рейсе Бристоль (Уитчёрч) - Шеннон (20376).</w:t>
      </w:r>
    </w:p>
    <w:p w14:paraId="0300B503" w14:textId="77777777" w:rsidR="00474574" w:rsidRPr="00D03F3E" w:rsidRDefault="00474574" w:rsidP="00D03F3E">
      <w:pPr>
        <w:spacing w:after="0" w:line="240" w:lineRule="auto"/>
        <w:jc w:val="both"/>
        <w:rPr>
          <w:rFonts w:ascii="Times New Roman" w:hAnsi="Times New Roman"/>
          <w:color w:val="0070C0"/>
          <w:sz w:val="16"/>
          <w:szCs w:val="16"/>
        </w:rPr>
      </w:pPr>
    </w:p>
    <w:p w14:paraId="7BB2B2D1" w14:textId="77777777" w:rsidR="00041D0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1182E641" w14:textId="77777777" w:rsidR="00041D00" w:rsidRPr="00D03F3E" w:rsidRDefault="00041D00" w:rsidP="00D03F3E">
      <w:pPr>
        <w:pStyle w:val="Iauiue"/>
        <w:jc w:val="both"/>
        <w:rPr>
          <w:iCs/>
          <w:color w:val="000000" w:themeColor="text1"/>
          <w:sz w:val="16"/>
          <w:szCs w:val="16"/>
        </w:rPr>
      </w:pPr>
    </w:p>
    <w:p w14:paraId="65C7F57F" w14:textId="77777777" w:rsidR="00041D00" w:rsidRPr="00D03F3E" w:rsidRDefault="00041D00"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По первой декаде мая 1943 года в отчете за</w:t>
      </w:r>
      <w:r w:rsidRPr="00D03F3E">
        <w:rPr>
          <w:rFonts w:ascii="Times New Roman" w:cs="Times New Roman"/>
          <w:color w:val="000000" w:themeColor="text1"/>
          <w:spacing w:val="0"/>
        </w:rPr>
        <w:softHyphen/>
        <w:t>вода № 100 за гово</w:t>
      </w:r>
      <w:r w:rsidRPr="00D03F3E">
        <w:rPr>
          <w:rFonts w:ascii="Times New Roman" w:cs="Times New Roman"/>
          <w:color w:val="000000" w:themeColor="text1"/>
          <w:spacing w:val="0"/>
        </w:rPr>
        <w:softHyphen/>
        <w:t>рилось следующее:</w:t>
      </w:r>
    </w:p>
    <w:p w14:paraId="4321F795" w14:textId="77777777" w:rsidR="00041D00" w:rsidRPr="00D03F3E" w:rsidRDefault="00041D00"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«Модернизация танка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(в части во</w:t>
      </w:r>
      <w:r w:rsidRPr="00D03F3E">
        <w:rPr>
          <w:rFonts w:ascii="Times New Roman" w:cs="Times New Roman"/>
          <w:color w:val="000000" w:themeColor="text1"/>
          <w:spacing w:val="0"/>
        </w:rPr>
        <w:softHyphen/>
        <w:t>оружения).</w:t>
      </w:r>
    </w:p>
    <w:p w14:paraId="0923DEEE" w14:textId="77777777" w:rsidR="00041D00" w:rsidRPr="00D03F3E" w:rsidRDefault="00041D00"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Выпущены и сданы в производство чер</w:t>
      </w:r>
      <w:r w:rsidRPr="00D03F3E">
        <w:rPr>
          <w:rFonts w:ascii="Times New Roman" w:cs="Times New Roman"/>
          <w:color w:val="000000" w:themeColor="text1"/>
          <w:spacing w:val="0"/>
        </w:rPr>
        <w:softHyphen/>
        <w:t xml:space="preserve">тежи на модернизированные танки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Первый вариант с установкой башни ИС и артсистемы Ф-85 выполняется заводом № 100 совместно с заводом № 200. Второй вариант с установкой системы Ф-85 в штат</w:t>
      </w:r>
      <w:r w:rsidRPr="00D03F3E">
        <w:rPr>
          <w:rFonts w:ascii="Times New Roman" w:cs="Times New Roman"/>
          <w:color w:val="000000" w:themeColor="text1"/>
          <w:spacing w:val="0"/>
        </w:rPr>
        <w:softHyphen/>
        <w:t xml:space="preserve">ной башне танка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при штатном пого</w:t>
      </w:r>
      <w:r w:rsidRPr="00D03F3E">
        <w:rPr>
          <w:rFonts w:ascii="Times New Roman" w:cs="Times New Roman"/>
          <w:color w:val="000000" w:themeColor="text1"/>
          <w:spacing w:val="0"/>
        </w:rPr>
        <w:softHyphen/>
        <w:t>не, выполняет Кировский завод.</w:t>
      </w:r>
    </w:p>
    <w:p w14:paraId="402C1518" w14:textId="77777777" w:rsidR="00041D00" w:rsidRPr="00D03F3E" w:rsidRDefault="00041D00"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По первому варианту завод № 100 с заво</w:t>
      </w:r>
      <w:r w:rsidRPr="00D03F3E">
        <w:rPr>
          <w:rFonts w:ascii="Times New Roman" w:cs="Times New Roman"/>
          <w:color w:val="000000" w:themeColor="text1"/>
          <w:spacing w:val="0"/>
        </w:rPr>
        <w:softHyphen/>
        <w:t>дом № 200 составили согласованный план работы с ее окончанием 25.6.43 г. Танк КВ-1С № 15002 подготовлен заводом № 100 к рабо</w:t>
      </w:r>
      <w:r w:rsidRPr="00D03F3E">
        <w:rPr>
          <w:rFonts w:ascii="Times New Roman" w:cs="Times New Roman"/>
          <w:color w:val="000000" w:themeColor="text1"/>
          <w:spacing w:val="0"/>
        </w:rPr>
        <w:softHyphen/>
        <w:t>те и передан на завод № 200 9 июня. В насто</w:t>
      </w:r>
      <w:r w:rsidRPr="00D03F3E">
        <w:rPr>
          <w:rFonts w:ascii="Times New Roman" w:cs="Times New Roman"/>
          <w:color w:val="000000" w:themeColor="text1"/>
          <w:spacing w:val="0"/>
        </w:rPr>
        <w:softHyphen/>
        <w:t>ящее время работу задерживает завод № 200. Измененные и вновь вводимые детали про</w:t>
      </w:r>
      <w:r w:rsidRPr="00D03F3E">
        <w:rPr>
          <w:rFonts w:ascii="Times New Roman" w:cs="Times New Roman"/>
          <w:color w:val="000000" w:themeColor="text1"/>
          <w:spacing w:val="0"/>
        </w:rPr>
        <w:softHyphen/>
        <w:t>ходят обработку на заводе № 100, запущены в производство.</w:t>
      </w:r>
    </w:p>
    <w:p w14:paraId="7632223E" w14:textId="77777777" w:rsidR="00041D00" w:rsidRPr="00D03F3E" w:rsidRDefault="00041D00"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По второму варианту Кировского завода все детали и узлы (в основном боеукладка и баки) спущены в производство. Задержка из-за артсистемы» (15226).</w:t>
      </w:r>
    </w:p>
    <w:p w14:paraId="7C588D45" w14:textId="77777777" w:rsidR="00041D00" w:rsidRPr="00D03F3E" w:rsidRDefault="00041D00" w:rsidP="00D03F3E">
      <w:pPr>
        <w:pStyle w:val="27"/>
        <w:shd w:val="clear" w:color="auto" w:fill="auto"/>
        <w:spacing w:after="0" w:line="240" w:lineRule="auto"/>
        <w:ind w:firstLine="0"/>
        <w:rPr>
          <w:rFonts w:ascii="Times New Roman" w:cs="Times New Roman"/>
          <w:color w:val="000000" w:themeColor="text1"/>
          <w:spacing w:val="0"/>
        </w:rPr>
      </w:pPr>
    </w:p>
    <w:p w14:paraId="6C308DDE"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1DBF7CF4" w14:textId="77777777" w:rsidR="00531570" w:rsidRPr="00D03F3E" w:rsidRDefault="00531570" w:rsidP="00D03F3E">
      <w:pPr>
        <w:pStyle w:val="Iauiue"/>
        <w:jc w:val="both"/>
        <w:rPr>
          <w:iCs/>
          <w:color w:val="000000" w:themeColor="text1"/>
          <w:sz w:val="16"/>
          <w:szCs w:val="16"/>
        </w:rPr>
      </w:pPr>
    </w:p>
    <w:p w14:paraId="5629677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мая 1943 г. на танковом полигоне НИИ БТ КА в Кубинке были проведены полигонные стрельбы с самолетов Ил-2 и ЛаГГ-3 с НС-37 в воздухе по тяжелому немецкому танку Р</w:t>
      </w:r>
      <w:r w:rsidRPr="00D03F3E">
        <w:rPr>
          <w:rFonts w:ascii="Times New Roman" w:hAnsi="Times New Roman"/>
          <w:color w:val="000000" w:themeColor="text1"/>
          <w:sz w:val="16"/>
          <w:szCs w:val="16"/>
          <w:lang w:val="en-US"/>
        </w:rPr>
        <w:t>z</w:t>
      </w:r>
      <w:r w:rsidRPr="00D03F3E">
        <w:rPr>
          <w:rFonts w:ascii="Times New Roman" w:hAnsi="Times New Roman"/>
          <w:color w:val="000000" w:themeColor="text1"/>
          <w:sz w:val="16"/>
          <w:szCs w:val="16"/>
        </w:rPr>
        <w:t>.У1, которые показали фактически низкую эффективность снарядов этой пушки против новейшего танка вермахта. Летали летчики-ис</w:t>
      </w:r>
      <w:r w:rsidRPr="00D03F3E">
        <w:rPr>
          <w:rFonts w:ascii="Times New Roman" w:hAnsi="Times New Roman"/>
          <w:color w:val="000000" w:themeColor="text1"/>
          <w:sz w:val="16"/>
          <w:szCs w:val="16"/>
        </w:rPr>
        <w:softHyphen/>
        <w:t>пытатели НИИ АВ капитаны Кусакин и Кравченко.</w:t>
      </w:r>
    </w:p>
    <w:p w14:paraId="0D74383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35 выстрелах с ЛаГГ-3 было зафиксировано три попада</w:t>
      </w:r>
      <w:r w:rsidRPr="00D03F3E">
        <w:rPr>
          <w:rFonts w:ascii="Times New Roman" w:hAnsi="Times New Roman"/>
          <w:color w:val="000000" w:themeColor="text1"/>
          <w:sz w:val="16"/>
          <w:szCs w:val="16"/>
        </w:rPr>
        <w:softHyphen/>
        <w:t>ния, из которых зачетным оказалось лишь одно — снарядом была пробита крыша. С самолета Ил-2 произведено 55 выстре</w:t>
      </w:r>
      <w:r w:rsidRPr="00D03F3E">
        <w:rPr>
          <w:rFonts w:ascii="Times New Roman" w:hAnsi="Times New Roman"/>
          <w:color w:val="000000" w:themeColor="text1"/>
          <w:sz w:val="16"/>
          <w:szCs w:val="16"/>
        </w:rPr>
        <w:softHyphen/>
        <w:t>лов, получено одно-единственное попадание, признанное за</w:t>
      </w:r>
      <w:r w:rsidRPr="00D03F3E">
        <w:rPr>
          <w:rFonts w:ascii="Times New Roman" w:hAnsi="Times New Roman"/>
          <w:color w:val="000000" w:themeColor="text1"/>
          <w:sz w:val="16"/>
          <w:szCs w:val="16"/>
        </w:rPr>
        <w:softHyphen/>
        <w:t>четным — разбита гусеница.</w:t>
      </w:r>
    </w:p>
    <w:p w14:paraId="3E9DA85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выводах отчета по результатам стрельб указывалось, что поражение тяжелых танков возможно только в крышу башни и надмоторную броню. Для этого необходимо атаковать «Тигр» под углами пикирования 45—50°. Именно при этих условиях атаки летчику ЛаГГ-3 удалось поразить броню немецкого тан</w:t>
      </w:r>
      <w:r w:rsidRPr="00D03F3E">
        <w:rPr>
          <w:rFonts w:ascii="Times New Roman" w:hAnsi="Times New Roman"/>
          <w:color w:val="000000" w:themeColor="text1"/>
          <w:sz w:val="16"/>
          <w:szCs w:val="16"/>
        </w:rPr>
        <w:softHyphen/>
        <w:t>ка. Однако пилотирование Ил-2 и стрельба на этих режимах были очень сложными и недоступными для большинства строевых летчиков.</w:t>
      </w:r>
    </w:p>
    <w:p w14:paraId="414EFB7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Летчики-испытатели, проводившие полигонные испыта</w:t>
      </w:r>
      <w:r w:rsidRPr="00D03F3E">
        <w:rPr>
          <w:rFonts w:ascii="Times New Roman" w:hAnsi="Times New Roman"/>
          <w:color w:val="000000" w:themeColor="text1"/>
          <w:sz w:val="16"/>
          <w:szCs w:val="16"/>
        </w:rPr>
        <w:softHyphen/>
        <w:t>ния Ил-2 с НС-37, особо обращали внимание на то, что лет</w:t>
      </w:r>
      <w:r w:rsidRPr="00D03F3E">
        <w:rPr>
          <w:rFonts w:ascii="Times New Roman" w:hAnsi="Times New Roman"/>
          <w:color w:val="000000" w:themeColor="text1"/>
          <w:sz w:val="16"/>
          <w:szCs w:val="16"/>
        </w:rPr>
        <w:softHyphen/>
        <w:t>ный состав, летающий на этих самолетах, должен пройти спе</w:t>
      </w:r>
      <w:r w:rsidRPr="00D03F3E">
        <w:rPr>
          <w:rFonts w:ascii="Times New Roman" w:hAnsi="Times New Roman"/>
          <w:color w:val="000000" w:themeColor="text1"/>
          <w:sz w:val="16"/>
          <w:szCs w:val="16"/>
        </w:rPr>
        <w:softHyphen/>
        <w:t>циальную подготовку в ведении прицельной стрельбы корот</w:t>
      </w:r>
      <w:r w:rsidRPr="00D03F3E">
        <w:rPr>
          <w:rFonts w:ascii="Times New Roman" w:hAnsi="Times New Roman"/>
          <w:color w:val="000000" w:themeColor="text1"/>
          <w:sz w:val="16"/>
          <w:szCs w:val="16"/>
        </w:rPr>
        <w:softHyphen/>
        <w:t>кими очередями по отдельным танкам, автомашинам и т.п. (11474,339).</w:t>
      </w:r>
    </w:p>
    <w:p w14:paraId="0E11445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776B396" w14:textId="77777777" w:rsidR="00303512" w:rsidRPr="00D03F3E" w:rsidRDefault="0030351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11 мая 1943 г. на танковом полигоне НИИ БТ КА в Кубинке были проведены опытные стрельбы с самолетов Ил-2 и ЛаГГ-3 с 11П в воздухе по тяже</w:t>
      </w:r>
      <w:r w:rsidRPr="00D03F3E">
        <w:rPr>
          <w:color w:val="000000" w:themeColor="text1"/>
          <w:sz w:val="16"/>
          <w:szCs w:val="16"/>
        </w:rPr>
        <w:softHyphen/>
        <w:t xml:space="preserve">лому немецкому танку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VI</w:t>
      </w:r>
      <w:r w:rsidRPr="00D03F3E">
        <w:rPr>
          <w:color w:val="000000" w:themeColor="text1"/>
          <w:sz w:val="16"/>
          <w:szCs w:val="16"/>
        </w:rPr>
        <w:t xml:space="preserve"> «Тигр». Судя по всему, был задействован Ил-2 зав. № 301407. Летали лет</w:t>
      </w:r>
      <w:r w:rsidRPr="00D03F3E">
        <w:rPr>
          <w:color w:val="000000" w:themeColor="text1"/>
          <w:sz w:val="16"/>
          <w:szCs w:val="16"/>
        </w:rPr>
        <w:softHyphen/>
        <w:t>чики-испытатели НИИ АВ ВВС капитан А. В. Кусакин и капитан В. М. Кравченко.</w:t>
      </w:r>
    </w:p>
    <w:p w14:paraId="2FD46B5E" w14:textId="77777777" w:rsidR="00303512" w:rsidRPr="00D03F3E" w:rsidRDefault="0030351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Стрельбы показали фактически низкую эффек</w:t>
      </w:r>
      <w:r w:rsidRPr="00D03F3E">
        <w:rPr>
          <w:color w:val="000000" w:themeColor="text1"/>
          <w:sz w:val="16"/>
          <w:szCs w:val="16"/>
        </w:rPr>
        <w:softHyphen/>
        <w:t>тивность 37-мм бронебойных снарядов пушки 11П против новейшего танка вермахта.</w:t>
      </w:r>
    </w:p>
    <w:p w14:paraId="0327C1E1" w14:textId="77777777" w:rsidR="00303512" w:rsidRPr="00D03F3E" w:rsidRDefault="0030351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2 полетах с самолета ЛаГГ-3 (летал капитан Кусакин) всего было отстреляно 68 снарядов БТ-37 (35 и 33 выстрела), зафиксировано 4 попадания. Из этого числа зачетными оказались лишь два — один снаряд пробил броню крыши толщиной 28 мм, а другой — угодил в гусеницу.</w:t>
      </w:r>
    </w:p>
    <w:p w14:paraId="27458837" w14:textId="77777777" w:rsidR="00303512" w:rsidRPr="00D03F3E" w:rsidRDefault="0030351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 самолета Ил-2 (летал капитан Кравченко) про</w:t>
      </w:r>
      <w:r w:rsidRPr="00D03F3E">
        <w:rPr>
          <w:color w:val="000000" w:themeColor="text1"/>
          <w:sz w:val="16"/>
          <w:szCs w:val="16"/>
        </w:rPr>
        <w:softHyphen/>
        <w:t>изведено 30 выстрелов, получено 3 попадания, из них 2 признали зачетными — в обоих случаях была разбита гусеница.</w:t>
      </w:r>
    </w:p>
    <w:p w14:paraId="318777A8" w14:textId="77777777" w:rsidR="00303512" w:rsidRPr="00D03F3E" w:rsidRDefault="0030351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выводах отчета по результатам стрельб указы</w:t>
      </w:r>
      <w:r w:rsidRPr="00D03F3E">
        <w:rPr>
          <w:color w:val="000000" w:themeColor="text1"/>
          <w:sz w:val="16"/>
          <w:szCs w:val="16"/>
        </w:rPr>
        <w:softHyphen/>
        <w:t>валось, что поражение тяжелых танков возможно только в крышу башни и надмоторную броню. Для этого необходимо атаковать «Тигр» под углом пи</w:t>
      </w:r>
      <w:r w:rsidRPr="00D03F3E">
        <w:rPr>
          <w:color w:val="000000" w:themeColor="text1"/>
          <w:sz w:val="16"/>
          <w:szCs w:val="16"/>
        </w:rPr>
        <w:softHyphen/>
        <w:t>кирования 40—50° с дистанции 300—600 м. Имен</w:t>
      </w:r>
      <w:r w:rsidRPr="00D03F3E">
        <w:rPr>
          <w:color w:val="000000" w:themeColor="text1"/>
          <w:sz w:val="16"/>
          <w:szCs w:val="16"/>
        </w:rPr>
        <w:softHyphen/>
        <w:t>но при этих условиях атаки капитану Кусакину на ЛаГГ-3 удалось поразить броню немецкого танка. Однако пилотирование Ил-2 и стрельба на этих ре</w:t>
      </w:r>
      <w:r w:rsidRPr="00D03F3E">
        <w:rPr>
          <w:color w:val="000000" w:themeColor="text1"/>
          <w:sz w:val="16"/>
          <w:szCs w:val="16"/>
        </w:rPr>
        <w:softHyphen/>
        <w:t>жимах были очень сложными и недоступными для большинства строевых летчиков (17500).</w:t>
      </w:r>
    </w:p>
    <w:p w14:paraId="35063210" w14:textId="77777777" w:rsidR="00303512" w:rsidRPr="00D03F3E" w:rsidRDefault="00303512" w:rsidP="00D03F3E">
      <w:pPr>
        <w:pStyle w:val="12a"/>
        <w:shd w:val="clear" w:color="auto" w:fill="auto"/>
        <w:spacing w:after="0" w:line="240" w:lineRule="auto"/>
        <w:jc w:val="both"/>
        <w:rPr>
          <w:color w:val="000000" w:themeColor="text1"/>
          <w:sz w:val="16"/>
          <w:szCs w:val="16"/>
        </w:rPr>
      </w:pPr>
    </w:p>
    <w:p w14:paraId="49BB54F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мая 1943 В.К.К. давал объяснение НКАП А.И.Ш. в отношении Нач. штаба ВВС МВО N 43734с по поводу аварии на Ил-4 (ВВС ошибочно считали, что на Як-6) в районе Вятские поляны (ст. Кизнер), на котором везли комиссию завода 81 из Москвы в Н.Тагил и чертежи Ла-5 из Н. Тагила в Москву (1784,9).</w:t>
      </w:r>
    </w:p>
    <w:p w14:paraId="32B7A109" w14:textId="77777777" w:rsidR="00531570" w:rsidRPr="00D03F3E" w:rsidRDefault="00531570" w:rsidP="00D03F3E">
      <w:pPr>
        <w:pStyle w:val="Iauiue"/>
        <w:jc w:val="both"/>
        <w:rPr>
          <w:color w:val="000000" w:themeColor="text1"/>
          <w:sz w:val="16"/>
          <w:szCs w:val="16"/>
        </w:rPr>
      </w:pPr>
    </w:p>
    <w:p w14:paraId="49A9A22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мая 1943 года вышло распоряжения СНК № 9423р по проверке метода нанесения лакокрасочных материалов в подогретом виде в целях сокращения потребления органических растворителей расходуемых при изготовлении лакокрасочной продукции на заводах НКХП и при применении на заводах НКАП (8922).</w:t>
      </w:r>
    </w:p>
    <w:p w14:paraId="0BBF4BE7" w14:textId="77777777" w:rsidR="00531570" w:rsidRPr="00D03F3E" w:rsidRDefault="00531570" w:rsidP="00D03F3E">
      <w:pPr>
        <w:pStyle w:val="Iauiue"/>
        <w:jc w:val="both"/>
        <w:rPr>
          <w:color w:val="000000" w:themeColor="text1"/>
          <w:sz w:val="16"/>
          <w:szCs w:val="16"/>
        </w:rPr>
      </w:pPr>
    </w:p>
    <w:p w14:paraId="118A7BEC"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11 мая 1943 г.</w:t>
      </w:r>
    </w:p>
    <w:p w14:paraId="08C0C622"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Сов. секретно</w:t>
      </w:r>
    </w:p>
    <w:p w14:paraId="667DBF12"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ПРИКАЗ</w:t>
      </w:r>
    </w:p>
    <w:p w14:paraId="011802A4"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ВОЕННЫМ ВОЗДУШНЫМ СИЛАМ КРАСНОЙ АРМИИ</w:t>
      </w:r>
    </w:p>
    <w:p w14:paraId="1129ECAD"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11 мая 1943 г.</w:t>
      </w:r>
      <w:r w:rsidRPr="00D03F3E">
        <w:rPr>
          <w:rFonts w:ascii="Times New Roman" w:hAnsi="Times New Roman"/>
          <w:color w:val="0070C0"/>
          <w:sz w:val="16"/>
          <w:szCs w:val="16"/>
        </w:rPr>
        <w:tab/>
        <w:t>№ 009</w:t>
      </w:r>
      <w:r w:rsidRPr="00D03F3E">
        <w:rPr>
          <w:rFonts w:ascii="Times New Roman" w:hAnsi="Times New Roman"/>
          <w:color w:val="0070C0"/>
          <w:sz w:val="16"/>
          <w:szCs w:val="16"/>
        </w:rPr>
        <w:tab/>
        <w:t>г. Москва</w:t>
      </w:r>
    </w:p>
    <w:p w14:paraId="10696AF0"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СОДЕРЖАНИЕ: О применении зажигательных и дымовых веществ авиацией. </w:t>
      </w:r>
    </w:p>
    <w:p w14:paraId="3738401C"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1. Боевой опыт показал, что применением зажигательных веществ авиацией нанесен значительный ущерб живой силе и технике противника, а применением дымовых завес оказано значительное содействие наземным войскам в выполнении ими боевых задач.</w:t>
      </w:r>
    </w:p>
    <w:p w14:paraId="040035E0"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итоге боевых действий авиацией за летний период 1942 г. комбинированным применением зажигательных веществ с бомбометанием и пулеметно-пушечным огнем уничтожено: самолетов 440, автомашин 536, танков 98, складов 39, вагонов 113, создано 2096 пожаров на железнодорожных станциях, в населенных пунктах, на аэродромах и в лесах.</w:t>
      </w:r>
    </w:p>
    <w:p w14:paraId="171F76F1"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Противник понес также от зажигательных веществ значительные потери в живой силе.</w:t>
      </w:r>
    </w:p>
    <w:p w14:paraId="2D22C79B"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Несмотря на требования приказа. Народного Комиссара Обороны № 0068 от 14.8.41 г. широкого применения зажигательных веществ и полученный положительный боевой опыт, применение их до сих пор остается недостаточным.</w:t>
      </w:r>
    </w:p>
    <w:p w14:paraId="2A5046CC"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ПРИКАЗЫВАЮ:</w:t>
      </w:r>
    </w:p>
    <w:p w14:paraId="64B8D081"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летний период производить широкое применение всех видов зажигательных веществ, а также постановку дымовых завес, руководствуясь следующим:</w:t>
      </w:r>
    </w:p>
    <w:p w14:paraId="2123E13F"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Ампулы, снаряженные отневой смесью .«КС», и ЗАБ применять, как правило, комбинированно с бомбометанием по следующим целям:</w:t>
      </w:r>
    </w:p>
    <w:p w14:paraId="7884F571"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 танкам и автоколоннам — с целью создания пожаров, взрывов и поражения живой силы;</w:t>
      </w:r>
    </w:p>
    <w:p w14:paraId="1FC8DBCD"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б) коннице и обозам — для создания паники и поражения живой силы противника;</w:t>
      </w:r>
    </w:p>
    <w:p w14:paraId="77A502BD"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аэродромам — с целью сжигания самолетов, создания пожаров и взрывов складов боеприпасов, горючего и др.;</w:t>
      </w:r>
    </w:p>
    <w:p w14:paraId="10670081"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 железнодорожным станциям — для создания пожаров служебных зданий, депо и подвижного состава;</w:t>
      </w:r>
    </w:p>
    <w:p w14:paraId="5A8B0172"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 населенным пунктам, лесам и посевам, особенно в сухую погоду, при наличии валежника и др.</w:t>
      </w:r>
    </w:p>
    <w:p w14:paraId="21C34F2D"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Гранулированный фосфор из выливных авиационных приборов с дополнительным прибором применять с высоты не более 30—40 м по следующим целям:</w:t>
      </w:r>
    </w:p>
    <w:p w14:paraId="5CC1463D"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 скоплениям живой силы противника — с целью нанесения ожогов и вывода ее из строя;</w:t>
      </w:r>
    </w:p>
    <w:p w14:paraId="7DB08AA4"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б) автомотоколоннам —с целью поражения живой силы и уничтожения техники;</w:t>
      </w:r>
    </w:p>
    <w:p w14:paraId="78C3B8C6"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населенным пунктам с соломенными крышами, созревшим посевам и сухой траве с целью их сжигания.</w:t>
      </w:r>
    </w:p>
    <w:p w14:paraId="0794863C"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Постановку дымовых завес производить при помощи универсальных химических авиационных приборов (УХАП), дымовых авиационных бомб (ДАБ-100ф) и гранулированного фосфора из выливных авиационных приборов без дополнительного прибора с целью:</w:t>
      </w:r>
    </w:p>
    <w:p w14:paraId="67EE5A7A"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 задымления огневых точек и опорных пунктов противника;</w:t>
      </w:r>
    </w:p>
    <w:p w14:paraId="3E11DA61"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б) постановки отсечных дымовых завес для прикрытия флангов нашей пехоты и танков;</w:t>
      </w:r>
    </w:p>
    <w:p w14:paraId="4DF38FD5"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ослепления огневых средств противовоздушной и противотанковой обороны противника;</w:t>
      </w:r>
    </w:p>
    <w:p w14:paraId="13E1BAFE"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 введения противника в заблуждение путем постановки ложных дымовых завес.</w:t>
      </w:r>
    </w:p>
    <w:p w14:paraId="55CF693B"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Для обеспечения взаимодействия наземных войск с самолетами-дымовиками необходима надлежащая организация связи между ними.</w:t>
      </w:r>
    </w:p>
    <w:p w14:paraId="1104D6CD"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 При применении зажигательных и дымовых веществ надлежит руководствоваться рассылаемым пособием: «Применение зажигательных и дымовых веществ авиацией». Воениздат 1943 г.</w:t>
      </w:r>
    </w:p>
    <w:p w14:paraId="01B12C33"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Итоги боевого применения зажигательных и дымовых веществ включать в оперативные сводки.</w:t>
      </w:r>
    </w:p>
    <w:p w14:paraId="04F95D13"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Заместитель командующего Военно-воздушными силами Красной Армии генерал-полковник авиации НИКИТИН</w:t>
      </w:r>
    </w:p>
    <w:p w14:paraId="6D744C63"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Член Военного совета Военно-воздушных сил Красной Армии генерал-лейтенант авиации ШИМАНОВ</w:t>
      </w:r>
    </w:p>
    <w:p w14:paraId="21A3626D"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Временно исполняющий должность начальника штаба Военно-воздушных сил Красной Армии генерал-лейтенант авиации КРОЛЕНКО (21025).</w:t>
      </w:r>
    </w:p>
    <w:p w14:paraId="1403AC84" w14:textId="77777777" w:rsidR="00474574" w:rsidRPr="00D03F3E" w:rsidRDefault="00474574" w:rsidP="00D03F3E">
      <w:pPr>
        <w:spacing w:after="0" w:line="240" w:lineRule="auto"/>
        <w:jc w:val="both"/>
        <w:rPr>
          <w:rFonts w:ascii="Times New Roman" w:hAnsi="Times New Roman"/>
          <w:color w:val="0070C0"/>
          <w:sz w:val="16"/>
          <w:szCs w:val="16"/>
        </w:rPr>
      </w:pPr>
    </w:p>
    <w:p w14:paraId="44CF8F32"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69B5466E" w14:textId="77777777" w:rsidR="00531570" w:rsidRPr="00D03F3E" w:rsidRDefault="00531570" w:rsidP="00D03F3E">
      <w:pPr>
        <w:pStyle w:val="Iauiue"/>
        <w:jc w:val="both"/>
        <w:rPr>
          <w:iCs/>
          <w:color w:val="000000" w:themeColor="text1"/>
          <w:sz w:val="16"/>
          <w:szCs w:val="16"/>
        </w:rPr>
      </w:pPr>
    </w:p>
    <w:p w14:paraId="6A5BDEEC"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мая в 1943 году на вооружение принят станковый пулемет СГ-43 (Станковый Горюнова образца 1943 года) (14888).</w:t>
      </w:r>
    </w:p>
    <w:p w14:paraId="6183F254" w14:textId="77777777" w:rsidR="00041D00" w:rsidRPr="00D03F3E" w:rsidRDefault="00041D00" w:rsidP="00D03F3E">
      <w:pPr>
        <w:spacing w:after="0" w:line="240" w:lineRule="auto"/>
        <w:jc w:val="both"/>
        <w:rPr>
          <w:rFonts w:ascii="Times New Roman" w:hAnsi="Times New Roman"/>
          <w:color w:val="000000" w:themeColor="text1"/>
          <w:sz w:val="16"/>
          <w:szCs w:val="16"/>
        </w:rPr>
      </w:pPr>
    </w:p>
    <w:p w14:paraId="1DF45E41"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11 мая 1943 года вышел Приказ 2-го Главное управление Наркомата минометного вооружения № 5 (6840):</w:t>
      </w:r>
    </w:p>
    <w:p w14:paraId="42D0A001"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Директор завода № 771 Захаркин (6840).</w:t>
      </w:r>
    </w:p>
    <w:p w14:paraId="58972FA3" w14:textId="77777777" w:rsidR="00531570" w:rsidRPr="00D03F3E" w:rsidRDefault="00531570" w:rsidP="00D03F3E">
      <w:pPr>
        <w:pStyle w:val="Iauiue"/>
        <w:tabs>
          <w:tab w:val="left" w:pos="11199"/>
        </w:tabs>
        <w:jc w:val="both"/>
        <w:rPr>
          <w:color w:val="000000" w:themeColor="text1"/>
          <w:sz w:val="16"/>
          <w:szCs w:val="16"/>
        </w:rPr>
      </w:pPr>
    </w:p>
    <w:p w14:paraId="3B0B61EC"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11 мая 1943 года вышел приказ № 273с НКТП</w:t>
      </w:r>
    </w:p>
    <w:p w14:paraId="3EB86F2E"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В целях организации строительства завода № 74 в Новосибирске (6135, 239).</w:t>
      </w:r>
    </w:p>
    <w:p w14:paraId="448E0663" w14:textId="77777777" w:rsidR="00531570" w:rsidRPr="00D03F3E" w:rsidRDefault="00531570" w:rsidP="00D03F3E">
      <w:pPr>
        <w:pStyle w:val="Iauiue"/>
        <w:tabs>
          <w:tab w:val="left" w:pos="11199"/>
        </w:tabs>
        <w:jc w:val="both"/>
        <w:rPr>
          <w:color w:val="000000" w:themeColor="text1"/>
          <w:sz w:val="16"/>
          <w:szCs w:val="16"/>
        </w:rPr>
      </w:pPr>
    </w:p>
    <w:p w14:paraId="1797D32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мая 1943 вышло Распоряжение ГКО № 3341. О проверке соответствия лимитов потребления электроэнергии и производственных программ уральских предприятий.РГАНИР, Фонд ГКО, д. 116, лл. 50 (11012).</w:t>
      </w:r>
    </w:p>
    <w:p w14:paraId="368CCBD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2760D2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мая 1943 вышло Постановление ГКО № 3342 О дополнительном учреждении двух переходящих Красных знамен Государственного Комитета Обороны для предприятий Наркомпищепрома СССР.РГАНИР, Фонд ГКО, д. 116, лл. 51 (11012).</w:t>
      </w:r>
    </w:p>
    <w:p w14:paraId="15E303D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116CF7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мая 1943 вышло Распоряжение ГКО № 3343. О передаче НКБ для ТЭЦ Алтайского тракторного завода турбины из резерва СНК и ее замене в резерве турбиной, находящейся на заводе № 71 НКВ .РГАНИР, Фонд ГКО, д. 116, лл. 52 (11012).</w:t>
      </w:r>
    </w:p>
    <w:p w14:paraId="2322780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C627B6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мая 1943 вышло Распоряжение ГКО № 3344. О выделении НКВМФ топлива для заводских испытаний строящихся или ремонтируемых кораблей.РГАНИР, Фонд ГКО, д. 116, лл. 53 (11012).</w:t>
      </w:r>
    </w:p>
    <w:p w14:paraId="6926063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2C99BD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мая 1943 вышло Постановление ГКО № 3345 О назначении высшего комсостава чехословацких частей на территории СССР.РГАНИР, Фонд ГКО, д. 116, лл. 54 (11012).</w:t>
      </w:r>
    </w:p>
    <w:p w14:paraId="3B6C467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3D94363"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11 мая 1943 вышло Распоряжение ГКО № 3346 [О ежедневном представлении в ГКО сводок о перевозках вверх по Волге нефтепродуктов через Сталинград.] (7106, 55).</w:t>
      </w:r>
    </w:p>
    <w:p w14:paraId="00FB1139" w14:textId="77777777" w:rsidR="00531570" w:rsidRPr="00D03F3E" w:rsidRDefault="00531570" w:rsidP="00D03F3E">
      <w:pPr>
        <w:pStyle w:val="Iauiue"/>
        <w:tabs>
          <w:tab w:val="left" w:pos="11199"/>
        </w:tabs>
        <w:jc w:val="both"/>
        <w:rPr>
          <w:color w:val="000000" w:themeColor="text1"/>
          <w:sz w:val="16"/>
          <w:szCs w:val="16"/>
        </w:rPr>
      </w:pPr>
    </w:p>
    <w:p w14:paraId="3AD06C8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мая 1943 вышло Распоряжение ГКО № 3347. О дополнительных поставках Березниковской ТЭЦ металла, топлива и горючего.РГАНИР, Фонд ГКО, д. 116, лл. 56 (11012).</w:t>
      </w:r>
    </w:p>
    <w:p w14:paraId="68E0796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69EE54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мая 1943 вышло Распоряжение ГКО № 3348. О пополнении заводов HКТП выпускниками РУ, военнообязанными, ограниченно годными к службе в армии, и об отсрочке призыва рабочих 1922-1925 годов рождения.РГАНИР, Фонд ГКО, д. 116, лл. 57 (11012).</w:t>
      </w:r>
    </w:p>
    <w:p w14:paraId="18CE7B6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46026FB"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11 мая 1943 вышло Постановление ГКО № 3349 О неотложных мерах по обеспечению железнодорожного транспорта черными металлами и металлоизделиями во втором квартале 1943 года. (7106, 58-63).</w:t>
      </w:r>
    </w:p>
    <w:p w14:paraId="37C456DB" w14:textId="77777777" w:rsidR="00531570" w:rsidRPr="00D03F3E" w:rsidRDefault="00531570" w:rsidP="00D03F3E">
      <w:pPr>
        <w:pStyle w:val="Iauiue"/>
        <w:tabs>
          <w:tab w:val="left" w:pos="11199"/>
        </w:tabs>
        <w:jc w:val="both"/>
        <w:rPr>
          <w:color w:val="000000" w:themeColor="text1"/>
          <w:sz w:val="16"/>
          <w:szCs w:val="16"/>
        </w:rPr>
      </w:pPr>
    </w:p>
    <w:p w14:paraId="0244EA1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мая 1943 вышло Постановление ГКО № 3350 Об обеспечении оборудованием, валками и запасными частями строек и предприятий черной металлургии в 1943 году.РГАНИР, Фонд ГКО, д. 116, лл. 64-83, 84-175 (11012).</w:t>
      </w:r>
    </w:p>
    <w:p w14:paraId="28D49E90"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FD3D4F9"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7C9E636B" w14:textId="77777777" w:rsidR="00531570" w:rsidRPr="00D03F3E" w:rsidRDefault="00531570" w:rsidP="00D03F3E">
      <w:pPr>
        <w:pStyle w:val="Iauiue"/>
        <w:jc w:val="both"/>
        <w:rPr>
          <w:iCs/>
          <w:color w:val="000000" w:themeColor="text1"/>
          <w:sz w:val="16"/>
          <w:szCs w:val="16"/>
        </w:rPr>
      </w:pPr>
    </w:p>
    <w:p w14:paraId="6358EF96"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мая в 1943 году утреннее сообщение Совинформбюро:</w:t>
      </w:r>
    </w:p>
    <w:p w14:paraId="65EC4719"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11 мая на Кубани, северо-восточнее Новороссийска, наши войска продолжали вести бои с противником. На других участках фронта ничего существенного не произошло.</w:t>
      </w:r>
    </w:p>
    <w:p w14:paraId="347082B8"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 корабль в Баренцевом море потопил транспорт противника.</w:t>
      </w:r>
    </w:p>
    <w:p w14:paraId="5B539140"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Ha Кубани, в районе северо-восточнее Новороссийска, бойцы Н-ской части отбили контратаку противника. В результате боя уничтожены танк, 2 бронемашины и до 200 гитлеровцев. Захвачено у немцев 6 пулемётов, 3 миномёта, много автоматов и винтовок. Подразделение, где командиром тов. Игонин, штурмом захватило вражеские траншеи, уничтожив при этом 80 немецких солдат и офицеров.</w:t>
      </w:r>
    </w:p>
    <w:p w14:paraId="2FF83E3C"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уничтожили свыше 150 немецких солдат и офицеров, разбили 4 орудия и 3 миномётные батареи противника. В воздушном бою сбит немецкий самолёт «Хеншель-126».</w:t>
      </w:r>
    </w:p>
    <w:p w14:paraId="6178528B"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Южнее Балаклеи 200 немецких автоматчиков после сильной артиллерийской подготовки пытались разведать наши позиции. B получасовой схватке наши бойцы истребили до 100 гитлеровцев. Остальные немецкие автоматчики в беспорядке отошли на исходные позиции.</w:t>
      </w:r>
    </w:p>
    <w:p w14:paraId="60039B06"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наши артиллеристы произвели огневые налёты на колонну немецкой пехоты. Рассеяно и частью уничтожено до батальона гитлеровцев. Разведывательный отряд Н-ской части пробрался в расположение противника и взорвал 3 немецких блиндажа. Захватив трофеи и пленных, разведчики вернулись в свою часть.</w:t>
      </w:r>
    </w:p>
    <w:p w14:paraId="055F310A"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наша разведывательная группа захватила немецкий дзот. Противник предпринял контратаку, но был отброшен, оставив на поле боя 40 трупов. На другом участке огнём нашей артиллерии разрушено 9 немецких дзотов и блиндажей, уничтожено 3 орудия, 7 миномётов, 3 автомашины и несколько подвод с грузами.</w:t>
      </w:r>
    </w:p>
    <w:p w14:paraId="2FE909C7"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Действующий на Украине партизанский отряд имени Кармелюка внезапно атаковал немецкий гарнизон. Партизаны уничтожили 60 гитлеровцев и взорвали склады с вооружением и боеприпасами. Группа партизан отряда имени Щорса из винтовок обстреляла немецкий самолёт-разведчик. Самолёт потерял управление и упал в реку.</w:t>
      </w:r>
    </w:p>
    <w:p w14:paraId="1A28D32A"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Тумановском районе, Смоленской области, гитлеровцы разорили Дом инвалидов, в котором проживало 195 человек. Немецко-фашистские мерзавцы за время оккупации района уморили голодом большую часть женщин-инвалидов. Инвалиды Моторина, Суханова и Петрова направились в деревню в поисках пищи. Немецкие солдаты задержали их на дороге и расстреляли. Когда части Красной Армии освободили Тумановский район от немецких оккупантов, в Доме инвалидов оставалось в живых всего лишь 58 инвалидов.» (14888).</w:t>
      </w:r>
    </w:p>
    <w:p w14:paraId="2B39AAC1" w14:textId="77777777" w:rsidR="00041D00" w:rsidRPr="00D03F3E" w:rsidRDefault="00041D00" w:rsidP="00D03F3E">
      <w:pPr>
        <w:spacing w:after="0" w:line="240" w:lineRule="auto"/>
        <w:jc w:val="both"/>
        <w:rPr>
          <w:rFonts w:ascii="Times New Roman" w:hAnsi="Times New Roman"/>
          <w:color w:val="000000" w:themeColor="text1"/>
          <w:sz w:val="16"/>
          <w:szCs w:val="16"/>
        </w:rPr>
      </w:pPr>
    </w:p>
    <w:p w14:paraId="5E58864D"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мая в 1943 году вечернее сообщение Совинформбюро:</w:t>
      </w:r>
    </w:p>
    <w:p w14:paraId="05253029"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течение 11 мая на Кубани, северо-восточнее Новороссийска, наши войска артиллерийским огнём и бомбардировкой с воздуха продолжали разрушать укрепления противника. В воздушных боях сбито 35 огнём зенитной артиллерии 21, а всего 56 немецких самолётов. Наши потери 11 самолётов.</w:t>
      </w:r>
    </w:p>
    <w:p w14:paraId="7EB555DB"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ничего существенного не произошло.</w:t>
      </w:r>
    </w:p>
    <w:p w14:paraId="0DAB9EE9"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корабли в Баренцевом море потопили транспорт противника.</w:t>
      </w:r>
    </w:p>
    <w:p w14:paraId="0BFBF6F0"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северо-восточнее Новороссийска, части Н-ского соединения вели огневой бой с противником. Разрушен ряд немецких дзотов, блиндажей и других оборонительных сооружений. Наши штурмовые отряды блокировали 4 вражеских дзота, уничтожили находившихся в них немецких солдат и захватили 3 орудия.</w:t>
      </w:r>
    </w:p>
    <w:p w14:paraId="5C3D01B2"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низовьях Кубани нашими отрядами захвачен один укреплённый опорный пункт немцев. Уничтожено до роты гитлеровцев, 2 миномётные батареи и 5 пулемётных точек.</w:t>
      </w:r>
    </w:p>
    <w:p w14:paraId="2B76DF75"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из участков Ленинградского фронта противник после сильного артиллерийского обстрела пытался атаковать наши позиции. Все атаки немцев были отбиты нашими частями. Противник потерял только убитыми до 700 солдат и офицеров. Нашей артиллерией подавлен огонь нескольких артиллерийских батарей противника и уничтожено 7 шестиствольных миномётов.</w:t>
      </w:r>
    </w:p>
    <w:p w14:paraId="0A676486"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Калининском фронте группа пеших и конных разведчиков под командованием капитана Роговского проникла в расположение противника и атаковала немецкий гарнизон. В завязавшейся рукопашной схватке наши бойцы уничтожили 30 гитлеровцев, а затем взорвали 8 дзотов, орудие и миномёт. Разведывательная группа части, где командиром т. Войтенко, проникла в немецкие траншеи, гранатами и штыками уничтожила 15 гитлеровцев и взяла в плен немецкого офицера.</w:t>
      </w:r>
    </w:p>
    <w:p w14:paraId="3B881410"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Н-ская часть отразила три атаки вражеской пехоты, усиленной танками. Наши бойцы подбили и сожгли 13 вражеских танков и уничтожили до 600 немецких солдат и офицеров.</w:t>
      </w:r>
    </w:p>
    <w:p w14:paraId="6E768A2B"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происходила артиллерийско-миномётная перестрелка. Огнём советской артиллерии и миномётов уничтожено более 100 немецких солдат и офицеров, подавлен огонь 4 артиллерийских и 2 миномётных батарей и подожжён склад противника с горючим. Орудийный расчёт сержанта Добрина несколькими выстрелами зажёг вражеский склад боеприпасов. B течение всего дня были слышны взрывы большой силы.</w:t>
      </w:r>
    </w:p>
    <w:p w14:paraId="549F8416"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Один из партизанских отрядов, действующих на Украине, за последние 5 дней пустил под откос 3 немецких воинских эшелона. В упорных боях с немецкими захватчиками партизаны истребили до 200 гитлеровцев. За это же время советские патриоты уничтожили 2 немецких танка, бронемашину, 7 автомашин, противотанковое орудие, сожгли 27 тонн бензина. Захвачены трофеи, в числе которых 6 автомашин, 2 тягача, 3 миномёта, 5 пулемётов, 64 винтовки. Партизанский отряд, действующий в Волынской области, 3 мая организовал крушение воинского эшелона противника с боеприпасами.</w:t>
      </w:r>
    </w:p>
    <w:p w14:paraId="069B3290"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солдат 4 роты 106 полка 15 немецкой пехотной дивизии Герберт Бух рассказал: «За двухмесячное пребывание на Восточном фронте наш полк подвергся сильным ударам. Его численность уменьшилась наполовину. В 4 роте осталось всего лишь 50 человек. Большие потери вызывают среди солдат острое беспокойство. Ефрейтор Мюллер как-то сказал: «С тех пор, как дивизия уехала из Франции и перешагнула русскую границу, мы стали одной ногой в могилу».</w:t>
      </w:r>
    </w:p>
    <w:p w14:paraId="0AEF6760" w14:textId="77777777" w:rsidR="00041D00" w:rsidRPr="00D03F3E" w:rsidRDefault="00041D0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в Сухой Краине совершили успешные налёты на итальянские гарнизоны и истребили до 500 вражеских солдат и офицеров. Патриоты захватили 6 миномётов, 38 пулемётов, 450 винтовок, 3 радиостанции и много боеприпасов. В Санджаке партизаны рассеяли итальянскую колонну. Преследуя оккупантов, партизаны уничтожили 45 итальянцев и захватили 37 пленных.» (14888).</w:t>
      </w:r>
    </w:p>
    <w:p w14:paraId="1D5D9609" w14:textId="77777777" w:rsidR="00041D00" w:rsidRPr="00D03F3E" w:rsidRDefault="00041D00" w:rsidP="00D03F3E">
      <w:pPr>
        <w:spacing w:after="0" w:line="240" w:lineRule="auto"/>
        <w:jc w:val="both"/>
        <w:rPr>
          <w:rFonts w:ascii="Times New Roman" w:hAnsi="Times New Roman"/>
          <w:color w:val="000000" w:themeColor="text1"/>
          <w:sz w:val="16"/>
          <w:szCs w:val="16"/>
        </w:rPr>
      </w:pPr>
    </w:p>
    <w:p w14:paraId="2A5187AD"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11 мая 1943 150 немецких бомбардировщиков произвели налет на советский город Батайск на реке Дон (4963 ).</w:t>
      </w:r>
    </w:p>
    <w:p w14:paraId="14CEB85D" w14:textId="77777777" w:rsidR="00531570" w:rsidRPr="00D03F3E" w:rsidRDefault="00531570" w:rsidP="00D03F3E">
      <w:pPr>
        <w:pStyle w:val="Iauiue"/>
        <w:tabs>
          <w:tab w:val="left" w:pos="11199"/>
        </w:tabs>
        <w:jc w:val="both"/>
        <w:rPr>
          <w:color w:val="000000" w:themeColor="text1"/>
          <w:sz w:val="16"/>
          <w:szCs w:val="16"/>
        </w:rPr>
      </w:pPr>
    </w:p>
    <w:p w14:paraId="59838A5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мая 1943 вышел документ:</w:t>
      </w:r>
    </w:p>
    <w:p w14:paraId="265E510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“УТВЕРЖДАЮ”</w:t>
      </w:r>
    </w:p>
    <w:p w14:paraId="0B56EF8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Начальник оперативной группы гвардейских минометных частей Центрального фронта</w:t>
      </w:r>
    </w:p>
    <w:p w14:paraId="212EF4A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(подпись)</w:t>
      </w:r>
    </w:p>
    <w:p w14:paraId="216CFE9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мая 1943 г.</w:t>
      </w:r>
    </w:p>
    <w:p w14:paraId="6D6ECE3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Секретно</w:t>
      </w:r>
    </w:p>
    <w:p w14:paraId="4EEA60D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ИНСТРУКЦИЯ</w:t>
      </w:r>
    </w:p>
    <w:p w14:paraId="1091BC9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ГВАРДЕЙСКИМ МИНОМЕТНЫМ ЧАСТЯМ ЦЕНТРАЛЬНОГО ФРОНТА ПО БОРЬБЕ С ТАНКАМИ</w:t>
      </w:r>
    </w:p>
    <w:p w14:paraId="41FCFEA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Боевые действия на различных фронтах и проведенные опытные боевые стрельбы показывают, что огонь гвардейских минометных частей по наступающим танкам и по танкам, расположенным в районах сосре-доточения, является весьма эффективным 'не только при стрельбе с за-крытых огневых позиций на предельных и средних дальностях, но и при стрельбе по атакующим танкам на ближних дистанциях, отражая их атаки огнем прямой наводкой в составе дивизиона, батареи и от-дельно действующих установок.</w:t>
      </w:r>
    </w:p>
    <w:p w14:paraId="21C2ABB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Борьба с танками противника подразделяется на три этапа:</w:t>
      </w:r>
    </w:p>
    <w:p w14:paraId="4442F4F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1-й этап-уничтожение танков в районах их сосредоточения;</w:t>
      </w:r>
    </w:p>
    <w:p w14:paraId="57BC348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2-й этап - уничтожение наступающих танков до подхода их к переднему краю нашей обороны;</w:t>
      </w:r>
    </w:p>
    <w:p w14:paraId="6A3894A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3-й этап - отражение танковых атак, уничтожение танков в расположении боевых порядков наших войск с огневых позиций, подготовленных для стрельбы прямой наводкой.</w:t>
      </w:r>
    </w:p>
    <w:p w14:paraId="17ABDA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Борьба с танками в местах их сосредоточений</w:t>
      </w:r>
    </w:p>
    <w:p w14:paraId="36F9C30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Огонь по районам сосредоточения танков вести с основных, а лучше</w:t>
      </w:r>
    </w:p>
    <w:p w14:paraId="26BAFD9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всего с передовых или временных огневых позиций снарядами всех систем. Лучший результат дает стрельба снарядами М-20.</w:t>
      </w:r>
    </w:p>
    <w:p w14:paraId="6E9E755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 время огневого налета огонь вести сосредоточенным веером одним-двумя дивизионами. Установка взрывателя должна быть: 50% на осколочное и 50% на фугасное действие; этим достигается одновре-менно сильное разрушительное и зажигательное действие.</w:t>
      </w:r>
    </w:p>
    <w:p w14:paraId="5008B0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Борьба с наступающими танками до подхода их к нашему переднему краю</w:t>
      </w:r>
    </w:p>
    <w:p w14:paraId="7870778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этом случае огонь вести методом подвижного заградительного огня (ПЗО).</w:t>
      </w:r>
    </w:p>
    <w:p w14:paraId="0DA588F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этого предварительно наметить и пристрелять (4-6 снарядов) рубежи ПЗО на направлениях наиболее вероятного движения танков' противника. Огонь по атакующим танкам вести дивизионными залпами с основных или временных огневых позиций. Взрыватель устанавливать на осколочное действие с тем, чтобы одновременно поражать и пехоту, следующую за танками. При постановке подвижного заградительного огня применять и снаряды М-20.</w:t>
      </w:r>
    </w:p>
    <w:p w14:paraId="22839A2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Отражение танковых атак</w:t>
      </w:r>
    </w:p>
    <w:p w14:paraId="2DBCEB9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Ведение огня прямой наводкой</w:t>
      </w:r>
    </w:p>
    <w:p w14:paraId="43A790A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Огонь прямой наводкой по танкам вести с 'основных или открытых огневых позиций. Если с основных позиций нельзя вести огонь прямой наводкой, то на танкоопасных направлениях следует оборудовать про-тивотанковые огневые позиции.</w:t>
      </w:r>
    </w:p>
    <w:p w14:paraId="0E65D78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Огонь прямой наводкой из аппарелей открывать с дистанции 2 км и ближе снарядами уменьшенной дальности с установкой взрывателя на фугасное действие (огонь снарядами нормальной дальности в этих условиях менее эффективен в силу большого рассеивания).</w:t>
      </w:r>
    </w:p>
    <w:p w14:paraId="7409FCA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Если непосредственно за танками следует пехота противника, то •установку взрывателя ставить: 50 %&lt; -на осколочное и 50% на фугасное действие.</w:t>
      </w:r>
    </w:p>
    <w:p w14:paraId="3E2D9B3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Установки прицела брать табличные, соответственно дальности до цели. Огонь вести залпами отдельных установок и батарей до подхода танков на дистанцию до 300 м. Ближе 200 м огонь вести опасно.</w:t>
      </w:r>
    </w:p>
    <w:p w14:paraId="76A9124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При условии' хорошей видимости цели с огневой позиции, особенно при стрельбе по движущимся танкам на дистанциях свыше 2 км, вести огонь прямой наводкой, не заводя орудия в аппарели. Огонь вести ба-тарейными или взводными залпами, а при массовых атаках танков про-тивника - дивизионными и полковыми залпами до подхода танков на дистанцию до 2 км, после чего продолжать огонь из аппарелей. При отсутствии оборудованных огневых позиций (отражение танковой атаки на марше) для стрельбы прямой наводкой использовать канавы, кюветы для опускания передней части машины (наскоро их приспо-сабливать для использования как аппарели). При этом огонь установок должен чередоваться таким образом, чтобы прикрывать отход на пере-зарядку отстрелявшихся установок.</w:t>
      </w:r>
    </w:p>
    <w:p w14:paraId="4F2E301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Выбор и оборудование огневых позиций в противотанковом отношении</w:t>
      </w:r>
    </w:p>
    <w:p w14:paraId="39F6B7B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Выбор открытых огневых позиций производить в сочетании с общей системой артиллерийской противотанковой обороны и выбирать с учетом возможности ведения с нее огня прямой наводкой по танкам, а также возможности ведения огня на самооборону при отражении тан-ковых атак на огневую позицию.</w:t>
      </w:r>
    </w:p>
    <w:p w14:paraId="48F3DD5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Огневая позиция должна иметь круговой обзор и обстрел, все танкоопасные направления должны простреливаться с нее. При выборе огневой позиции учитывать складки местности (рвы, овраги), которые могут служить препятствиями для танков.</w:t>
      </w:r>
    </w:p>
    <w:p w14:paraId="4E806E3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наблюдения за танками противника на танкоопасных направлениях выдвигать ближние наблюдательные пункты. Наблюдателей обеспечивать сигнальными средствами и связью.</w:t>
      </w:r>
    </w:p>
    <w:p w14:paraId="300FF7C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Все огневые позиции (основные, передовые, временные и противо-танковые) должны быть оборудованы аппарелями для стрельбы пря-мой наводкой с расчетом кругового обстрела.</w:t>
      </w:r>
    </w:p>
    <w:p w14:paraId="6FA0C2E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Глубина аппарелей должна быть такой, чтобы при опускании в нее машины спарки приняли горизонтальное положение, а именно:</w:t>
      </w:r>
    </w:p>
    <w:p w14:paraId="0561708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для установок, смонтированных на машинах ЗИС-6, 70-80 см, '</w:t>
      </w:r>
    </w:p>
    <w:p w14:paraId="0625F06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для установок, смонтированных на машинах Студебеккер, Шеврале, “Интернационал”, 40-50 см; аппарели отрывать в виде сектора с расчетом разворачивания в них машины при доворотах огня; одна аппл-рель должна позволять вести огонь в секторе до 15-00.</w:t>
      </w:r>
    </w:p>
    <w:p w14:paraId="7883D28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Количество аппарелей на огневых позициях должно быть по коли-честву установок и из расчета кругового обстрела. Для укрытия рас- J чета в 5-10 м от орудия отрывать щели.</w:t>
      </w:r>
    </w:p>
    <w:p w14:paraId="7430EA6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Все противотанковые средства (противотанковые ружья, противо-танковые гранаты, бутылки с горючей смесью) иметь в готовности. Противотанковые ружья располагать впереди и на флангах огневых позиций, а на противотанковых позициях - на флангах.</w:t>
      </w:r>
    </w:p>
    <w:p w14:paraId="139D250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Противотанковые ружья являются средствами прикрытия огневых позиций; они открывают огонь с дистанции 300 м.</w:t>
      </w:r>
    </w:p>
    <w:p w14:paraId="0EA2F6A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 занятии боевого порядка составлять карточку противотанковoгo огня и представлять ее со схемой боевого порядка.</w:t>
      </w:r>
    </w:p>
    <w:p w14:paraId="1CDE495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Один залп снарядов уменьшенной дальности иметь на огневых позициях как неприкосновенный запас и применять его для стрельбы танкам на ближних дистанциях.</w:t>
      </w:r>
    </w:p>
    <w:p w14:paraId="16AFE65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Начальник штаба оперативной группы гвардейских минометных частей Центрального фронта.....</w:t>
      </w:r>
    </w:p>
    <w:p w14:paraId="75258F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(подпись) (7606).</w:t>
      </w:r>
    </w:p>
    <w:p w14:paraId="3D02A631" w14:textId="77777777" w:rsidR="00531570" w:rsidRPr="00D03F3E" w:rsidRDefault="00531570" w:rsidP="00D03F3E">
      <w:pPr>
        <w:pStyle w:val="Iauiue"/>
        <w:jc w:val="both"/>
        <w:rPr>
          <w:color w:val="000000" w:themeColor="text1"/>
          <w:sz w:val="16"/>
          <w:szCs w:val="16"/>
        </w:rPr>
      </w:pPr>
    </w:p>
    <w:p w14:paraId="29AE75E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мая 1943 А.А.Н. провел совещание командиров авиачастей С-КФ в станице Пашковской близ Краснодара. Положительно оценил действия в районе Мысхако и на участке наступления 56-й армии. Дал оценку теории и практике действий авиации: о господстве в воздухе, о авианаступлениии об использовании радиосвязи (340,125).</w:t>
      </w:r>
    </w:p>
    <w:p w14:paraId="24EDD910" w14:textId="77777777" w:rsidR="00531570" w:rsidRPr="00D03F3E" w:rsidRDefault="00531570" w:rsidP="00D03F3E">
      <w:pPr>
        <w:pStyle w:val="Iauiue"/>
        <w:jc w:val="both"/>
        <w:rPr>
          <w:color w:val="000000" w:themeColor="text1"/>
          <w:sz w:val="16"/>
          <w:szCs w:val="16"/>
        </w:rPr>
      </w:pPr>
    </w:p>
    <w:p w14:paraId="53AD12D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мая 1943 вышел приказ командующего ВВС, обязывающий штабы ВА ежедневно взаимно информировать об оперативной обстановке на фронте (340,138).</w:t>
      </w:r>
    </w:p>
    <w:p w14:paraId="31B91F72" w14:textId="77777777" w:rsidR="00531570" w:rsidRPr="00D03F3E" w:rsidRDefault="00531570" w:rsidP="00D03F3E">
      <w:pPr>
        <w:pStyle w:val="Iauiue"/>
        <w:jc w:val="both"/>
        <w:rPr>
          <w:color w:val="000000" w:themeColor="text1"/>
          <w:sz w:val="16"/>
          <w:szCs w:val="16"/>
        </w:rPr>
      </w:pPr>
    </w:p>
    <w:p w14:paraId="25F8219F"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3B2E95FF" w14:textId="77777777" w:rsidR="00531570" w:rsidRPr="00D03F3E" w:rsidRDefault="00531570" w:rsidP="00D03F3E">
      <w:pPr>
        <w:pStyle w:val="Iauiue"/>
        <w:jc w:val="both"/>
        <w:rPr>
          <w:iCs/>
          <w:color w:val="000000" w:themeColor="text1"/>
          <w:sz w:val="16"/>
          <w:szCs w:val="16"/>
        </w:rPr>
      </w:pPr>
    </w:p>
    <w:p w14:paraId="053D2B30" w14:textId="77777777" w:rsidR="005E3F20" w:rsidRPr="00D03F3E" w:rsidRDefault="005E3F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мая в 1943 году отменен проект «XP-69» в пользу параллельного проекта «Republic» «XP-72», из-за задержки с освоением двигателя «Wright» «Tornado», который на тот момент имел больше шансов быть реализованным. Проект двигателя «Wright» «Tornado» был также закрыт еще до постройки первого экземпляра двигателя (14888).</w:t>
      </w:r>
    </w:p>
    <w:p w14:paraId="16AE71DC" w14:textId="77777777" w:rsidR="005E3F20" w:rsidRPr="00D03F3E" w:rsidRDefault="005E3F20" w:rsidP="00D03F3E">
      <w:pPr>
        <w:spacing w:after="0" w:line="240" w:lineRule="auto"/>
        <w:jc w:val="both"/>
        <w:rPr>
          <w:rFonts w:ascii="Times New Roman" w:hAnsi="Times New Roman"/>
          <w:color w:val="000000" w:themeColor="text1"/>
          <w:sz w:val="16"/>
          <w:szCs w:val="16"/>
        </w:rPr>
      </w:pPr>
    </w:p>
    <w:p w14:paraId="4B0139D9" w14:textId="77777777" w:rsidR="00474574" w:rsidRPr="00D03F3E" w:rsidRDefault="0047457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11 мая 1943 в ходе операции «Ландкраб» американские войска вторгаются в Атту. С авиакрылом, полностью состоящим из F4F Wildcat, состоящим из 26 истребителей F4F-4 и трех самолетов фоторазведки F4F-3P, авианосец сопровождения USS Nassau поддерживает операции на Атту до 20 мая; это первый раз, когда ВМС США используют палубные самолеты для фотографической разведки, и впервые на Тихоокеанском театре военных действий авианосец сопровождения участвует в боевых действиях. ВМС США пришли к выводу, что бомбардировщики должны быть включены в состав будущих авиакрыльей эскортных авианосцев, чтобы сделать их более эффективными при поддержке десантных операций (20376).</w:t>
      </w:r>
    </w:p>
    <w:p w14:paraId="09150883" w14:textId="77777777" w:rsidR="00474574" w:rsidRPr="00D03F3E" w:rsidRDefault="00474574" w:rsidP="00D03F3E">
      <w:pPr>
        <w:spacing w:after="0" w:line="240" w:lineRule="auto"/>
        <w:jc w:val="both"/>
        <w:rPr>
          <w:rFonts w:ascii="Times New Roman" w:hAnsi="Times New Roman"/>
          <w:color w:val="0070C0"/>
          <w:sz w:val="16"/>
          <w:szCs w:val="16"/>
        </w:rPr>
      </w:pPr>
    </w:p>
    <w:p w14:paraId="3D52B8D9"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May 11-27 1943 TRIDENT conference (3rd in Washington) Churchill, Roosevelt. Main result: Plans set for invasion of Italy, steppedup Pacific war, increased air attacks on Germany (1052).</w:t>
      </w:r>
    </w:p>
    <w:p w14:paraId="298A31F4" w14:textId="77777777" w:rsidR="00531570" w:rsidRPr="00D03F3E" w:rsidRDefault="00531570" w:rsidP="00D03F3E">
      <w:pPr>
        <w:pStyle w:val="Iauiue"/>
        <w:jc w:val="both"/>
        <w:rPr>
          <w:color w:val="000000" w:themeColor="text1"/>
          <w:sz w:val="16"/>
          <w:szCs w:val="16"/>
          <w:lang w:val="en-US"/>
        </w:rPr>
      </w:pPr>
    </w:p>
    <w:p w14:paraId="35AB1E4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11-27 мая 1943 в Вашингтоне состоялась третья конференция с участием Ф.Д.Р. и У.Черчиля. Решили высадиться в Италии, усилить войну на Тихом океане и бомбардировки Германии (1052), а также высадиться в Нормандии 1 мая 1944 (2246,2).</w:t>
      </w:r>
    </w:p>
    <w:p w14:paraId="00B666D0" w14:textId="77777777" w:rsidR="00531570" w:rsidRPr="00D03F3E" w:rsidRDefault="00531570" w:rsidP="00D03F3E">
      <w:pPr>
        <w:pStyle w:val="Iauiue"/>
        <w:jc w:val="both"/>
        <w:rPr>
          <w:color w:val="000000" w:themeColor="text1"/>
          <w:sz w:val="16"/>
          <w:szCs w:val="16"/>
        </w:rPr>
      </w:pPr>
    </w:p>
    <w:p w14:paraId="7092F02F" w14:textId="77777777" w:rsidR="005E3F20" w:rsidRPr="00D03F3E" w:rsidRDefault="005E3F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мая в 1943 году Вашингтонская конференция (до 25 мая). Рузвельт и Черчилль встречаются в столице США и обсуждают план будущих действий союзных войск: вторжение на Сицилию, вторжение в Италию, вторжение в Северную Европу (14888).</w:t>
      </w:r>
    </w:p>
    <w:p w14:paraId="501524E0" w14:textId="77777777" w:rsidR="005E3F20" w:rsidRPr="00D03F3E" w:rsidRDefault="005E3F20" w:rsidP="00D03F3E">
      <w:pPr>
        <w:spacing w:after="0" w:line="240" w:lineRule="auto"/>
        <w:jc w:val="both"/>
        <w:rPr>
          <w:rFonts w:ascii="Times New Roman" w:hAnsi="Times New Roman"/>
          <w:color w:val="000000" w:themeColor="text1"/>
          <w:sz w:val="16"/>
          <w:szCs w:val="16"/>
        </w:rPr>
      </w:pPr>
    </w:p>
    <w:p w14:paraId="563476A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мая 1943 американские морские пехотинцы высадились на Алеутских островах (2246,2).</w:t>
      </w:r>
    </w:p>
    <w:p w14:paraId="35B98165" w14:textId="77777777" w:rsidR="00531570" w:rsidRPr="00D03F3E" w:rsidRDefault="00531570" w:rsidP="00D03F3E">
      <w:pPr>
        <w:pStyle w:val="Iauiue"/>
        <w:jc w:val="both"/>
        <w:rPr>
          <w:color w:val="000000" w:themeColor="text1"/>
          <w:sz w:val="16"/>
          <w:szCs w:val="16"/>
        </w:rPr>
      </w:pPr>
    </w:p>
    <w:p w14:paraId="28A5E286" w14:textId="77777777" w:rsidR="005E3F20" w:rsidRPr="00D03F3E" w:rsidRDefault="005E3F2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мая в 1943 году американцы освобождают остров Атту (Алеутские острова; операция завершится 29 мая) (14888).</w:t>
      </w:r>
    </w:p>
    <w:p w14:paraId="7EEFF88E" w14:textId="77777777" w:rsidR="005E3F20" w:rsidRPr="00D03F3E" w:rsidRDefault="005E3F20" w:rsidP="00D03F3E">
      <w:pPr>
        <w:spacing w:after="0" w:line="240" w:lineRule="auto"/>
        <w:jc w:val="both"/>
        <w:rPr>
          <w:rFonts w:ascii="Times New Roman" w:hAnsi="Times New Roman"/>
          <w:color w:val="000000" w:themeColor="text1"/>
          <w:sz w:val="16"/>
          <w:szCs w:val="16"/>
        </w:rPr>
      </w:pPr>
    </w:p>
    <w:p w14:paraId="571F6389"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6A3A53A9" w14:textId="77777777" w:rsidR="00531570" w:rsidRPr="00D03F3E" w:rsidRDefault="00531570" w:rsidP="00D03F3E">
      <w:pPr>
        <w:pStyle w:val="Iauiue"/>
        <w:jc w:val="both"/>
        <w:rPr>
          <w:iCs/>
          <w:color w:val="000000" w:themeColor="text1"/>
          <w:sz w:val="16"/>
          <w:szCs w:val="16"/>
        </w:rPr>
      </w:pPr>
    </w:p>
    <w:p w14:paraId="5AA872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мая 1943 вышел приказ НКАП N 287с:</w:t>
      </w:r>
    </w:p>
    <w:p w14:paraId="0B4BFE9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всестороннего изучения прочности самолета Ил-2:</w:t>
      </w:r>
    </w:p>
    <w:p w14:paraId="7D72294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Назначить комиссию</w:t>
      </w:r>
    </w:p>
    <w:p w14:paraId="1FA5E3B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Комиссии произвести анализ прочности и исчерпывающие стат. и полетные испытания самолета на прочность и дать заключение к 31 мая с.г.</w:t>
      </w:r>
    </w:p>
    <w:p w14:paraId="3A1D4DA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Испытание в полете произвести до эксплуатационных нормированных перегрузок на 5-6 самолетах производства завода 30 и один производства завода 1.</w:t>
      </w:r>
    </w:p>
    <w:p w14:paraId="1139C52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Полным испытаниям на прочность в ЦАГИ подвергнуть самолеты в целом виде: 2 самолета производства завода 30 и один самолет производства завода 1.</w:t>
      </w:r>
    </w:p>
    <w:p w14:paraId="704D6B2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Комиссии ознакомиться с состоянием самолетов Ил-2 выпуска завода 30 на близлежащих подмосковных аэродромах 3 ЗАБ ВВС и к 15 мая дать свое заключение по осмотренным машинам (1717,4).</w:t>
      </w:r>
    </w:p>
    <w:p w14:paraId="65153014" w14:textId="77777777" w:rsidR="00531570" w:rsidRPr="00D03F3E" w:rsidRDefault="00531570" w:rsidP="00D03F3E">
      <w:pPr>
        <w:pStyle w:val="Iauiue"/>
        <w:jc w:val="both"/>
        <w:rPr>
          <w:color w:val="000000" w:themeColor="text1"/>
          <w:sz w:val="16"/>
          <w:szCs w:val="16"/>
        </w:rPr>
      </w:pPr>
    </w:p>
    <w:p w14:paraId="78E258F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мая 1943 вышел приказ НКАП N 288с:</w:t>
      </w:r>
    </w:p>
    <w:p w14:paraId="1E7CC7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целях быстрейшей ликвидации дефектов самолета Ил-2 выпуска заводов N 1 и 30 по некачественной проклейке обшивки крыльев:</w:t>
      </w:r>
    </w:p>
    <w:p w14:paraId="33ED930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Директору завода 1 Третьякову и директору завода 30 Шапиро в целях обеспечения 100% проклейки обшивки крыльев самолета Ил-2 и осуществления надежного контроля за приклейкой обшивки крыльев, производить обшивку крыльев в два этапа:</w:t>
      </w:r>
    </w:p>
    <w:p w14:paraId="3C2EEBD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1-й этап - приклейка верхней обшивки крыла с обеспечением полного 100% проклея, после чего производить тщательный контроль приклейки верхней обшивки крыльев.</w:t>
      </w:r>
    </w:p>
    <w:p w14:paraId="6F1B08B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2-й этап - после проверки контролем приклейки верхней обшивки, устранения выявленных дефектов, производить приклейку нижней обшивки крыла.</w:t>
      </w:r>
    </w:p>
    <w:p w14:paraId="7B2B7F9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Переход на приклейку обшивки всех крыльев в два этапа внедрить полностью с 19 июня 1943, начав обшивку крыльев в 2 этапа 1/4 части выпускаемых крыльев с 14 мая с.г.</w:t>
      </w:r>
    </w:p>
    <w:p w14:paraId="4EC9EB5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ГК самолета Ил-2 С.В.И. к 14 мая 1943 дать чертежи крыла самолета Ил-2 с увеличенной площадью приклейки обшивки крыльев, а также и д. мероприятия, увеличивающие прочность крыла и надежность приклейки обшивки (1717,235).</w:t>
      </w:r>
    </w:p>
    <w:p w14:paraId="33573B35" w14:textId="77777777" w:rsidR="00531570" w:rsidRPr="00D03F3E" w:rsidRDefault="00531570" w:rsidP="00D03F3E">
      <w:pPr>
        <w:pStyle w:val="Iauiue"/>
        <w:jc w:val="both"/>
        <w:rPr>
          <w:color w:val="000000" w:themeColor="text1"/>
          <w:sz w:val="16"/>
          <w:szCs w:val="16"/>
        </w:rPr>
      </w:pPr>
    </w:p>
    <w:p w14:paraId="348733BA" w14:textId="77777777" w:rsidR="00E32537" w:rsidRPr="00D03F3E" w:rsidRDefault="00E32537" w:rsidP="00D03F3E">
      <w:pPr>
        <w:pStyle w:val="250"/>
        <w:shd w:val="clear" w:color="auto" w:fill="auto"/>
        <w:spacing w:after="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12 мая 1943 приказом НКАП была назначена специальная комиссия НКАП по вопросу прочности самолета Ил-2.</w:t>
      </w:r>
    </w:p>
    <w:p w14:paraId="41D82762" w14:textId="77777777" w:rsidR="00E32537" w:rsidRPr="00D03F3E" w:rsidRDefault="00E32537" w:rsidP="00D03F3E">
      <w:pPr>
        <w:pStyle w:val="250"/>
        <w:shd w:val="clear" w:color="auto" w:fill="auto"/>
        <w:spacing w:after="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Планировалось испытать в ЛИИ НКАП неколько самолетов Ил-2 производства заводов №№ 1 и 30 с целью проверить прочность при пикировании на сверхмак</w:t>
      </w:r>
      <w:r w:rsidRPr="00D03F3E">
        <w:rPr>
          <w:rFonts w:ascii="Times New Roman" w:cs="Times New Roman"/>
          <w:color w:val="000000" w:themeColor="text1"/>
          <w:sz w:val="16"/>
          <w:szCs w:val="16"/>
        </w:rPr>
        <w:softHyphen/>
        <w:t>симальной скорости и нормированной эксплуатационной перегрузке, а также определить возможность получения опас</w:t>
      </w:r>
      <w:r w:rsidRPr="00D03F3E">
        <w:rPr>
          <w:rFonts w:ascii="Times New Roman" w:cs="Times New Roman"/>
          <w:color w:val="000000" w:themeColor="text1"/>
          <w:sz w:val="16"/>
          <w:szCs w:val="16"/>
        </w:rPr>
        <w:softHyphen/>
        <w:t xml:space="preserve">ных перегрузок и определения потребных </w:t>
      </w:r>
      <w:r w:rsidRPr="00D03F3E">
        <w:rPr>
          <w:rFonts w:ascii="Times New Roman" w:cs="Times New Roman"/>
          <w:color w:val="000000" w:themeColor="text1"/>
          <w:sz w:val="16"/>
          <w:szCs w:val="16"/>
        </w:rPr>
        <w:lastRenderedPageBreak/>
        <w:t>запасов высоты при выполнении упраж</w:t>
      </w:r>
      <w:r w:rsidRPr="00D03F3E">
        <w:rPr>
          <w:rFonts w:ascii="Times New Roman" w:cs="Times New Roman"/>
          <w:color w:val="000000" w:themeColor="text1"/>
          <w:sz w:val="16"/>
          <w:szCs w:val="16"/>
        </w:rPr>
        <w:softHyphen/>
        <w:t>нений согласно Курсу боевой подготовки штурмовой авиации. Затем два штурмо</w:t>
      </w:r>
      <w:r w:rsidRPr="00D03F3E">
        <w:rPr>
          <w:rFonts w:ascii="Times New Roman" w:cs="Times New Roman"/>
          <w:color w:val="000000" w:themeColor="text1"/>
          <w:sz w:val="16"/>
          <w:szCs w:val="16"/>
        </w:rPr>
        <w:softHyphen/>
        <w:t>вика предполагалось «разрушить» в ЦАГИ и оценить соответствие нормам прочно</w:t>
      </w:r>
      <w:r w:rsidRPr="00D03F3E">
        <w:rPr>
          <w:rFonts w:ascii="Times New Roman" w:cs="Times New Roman"/>
          <w:color w:val="000000" w:themeColor="text1"/>
          <w:sz w:val="16"/>
          <w:szCs w:val="16"/>
        </w:rPr>
        <w:softHyphen/>
        <w:t>сти 1943 г.</w:t>
      </w:r>
    </w:p>
    <w:p w14:paraId="1C6BB904" w14:textId="77777777" w:rsidR="00E32537" w:rsidRPr="00D03F3E" w:rsidRDefault="00E32537" w:rsidP="00D03F3E">
      <w:pPr>
        <w:pStyle w:val="250"/>
        <w:shd w:val="clear" w:color="auto" w:fill="auto"/>
        <w:spacing w:after="0" w:line="240" w:lineRule="auto"/>
        <w:jc w:val="both"/>
        <w:rPr>
          <w:rFonts w:ascii="Times New Roman" w:cs="Times New Roman"/>
          <w:color w:val="000000" w:themeColor="text1"/>
          <w:sz w:val="16"/>
          <w:szCs w:val="16"/>
        </w:rPr>
      </w:pPr>
      <w:r w:rsidRPr="00D03F3E">
        <w:rPr>
          <w:rFonts w:ascii="Times New Roman" w:cs="Times New Roman"/>
          <w:color w:val="000000" w:themeColor="text1"/>
          <w:sz w:val="16"/>
          <w:szCs w:val="16"/>
        </w:rPr>
        <w:t>Одновременно с этим предусматрива</w:t>
      </w:r>
      <w:r w:rsidRPr="00D03F3E">
        <w:rPr>
          <w:rFonts w:ascii="Times New Roman" w:cs="Times New Roman"/>
          <w:color w:val="000000" w:themeColor="text1"/>
          <w:sz w:val="16"/>
          <w:szCs w:val="16"/>
        </w:rPr>
        <w:softHyphen/>
        <w:t>лось провести работу по определению об</w:t>
      </w:r>
      <w:r w:rsidRPr="00D03F3E">
        <w:rPr>
          <w:rFonts w:ascii="Times New Roman" w:cs="Times New Roman"/>
          <w:color w:val="000000" w:themeColor="text1"/>
          <w:sz w:val="16"/>
          <w:szCs w:val="16"/>
        </w:rPr>
        <w:softHyphen/>
        <w:t>щих аэродинамических характеристик и разработать рекомендации по улучшению устойчивости и управляемости самоле</w:t>
      </w:r>
      <w:r w:rsidRPr="00D03F3E">
        <w:rPr>
          <w:rFonts w:ascii="Times New Roman" w:cs="Times New Roman"/>
          <w:color w:val="000000" w:themeColor="text1"/>
          <w:sz w:val="16"/>
          <w:szCs w:val="16"/>
        </w:rPr>
        <w:softHyphen/>
        <w:t>тов Ил-2, а также повышению их скорост</w:t>
      </w:r>
      <w:r w:rsidRPr="00D03F3E">
        <w:rPr>
          <w:rFonts w:ascii="Times New Roman" w:cs="Times New Roman"/>
          <w:color w:val="000000" w:themeColor="text1"/>
          <w:sz w:val="16"/>
          <w:szCs w:val="16"/>
        </w:rPr>
        <w:softHyphen/>
        <w:t>ных качеств. С этой целью рассчитывали исследовать в аэродинамической трубе Т-101 ЦАГИ один серийный Ил-2, предва</w:t>
      </w:r>
      <w:r w:rsidRPr="00D03F3E">
        <w:rPr>
          <w:rFonts w:ascii="Times New Roman" w:cs="Times New Roman"/>
          <w:color w:val="000000" w:themeColor="text1"/>
          <w:sz w:val="16"/>
          <w:szCs w:val="16"/>
        </w:rPr>
        <w:softHyphen/>
        <w:t>рительно испытав его в ЛИИ (19557).</w:t>
      </w:r>
    </w:p>
    <w:p w14:paraId="6BA57CD5" w14:textId="77777777" w:rsidR="00E32537" w:rsidRPr="00D03F3E" w:rsidRDefault="00E32537" w:rsidP="00D03F3E">
      <w:pPr>
        <w:spacing w:after="0" w:line="240" w:lineRule="auto"/>
        <w:jc w:val="both"/>
        <w:rPr>
          <w:rStyle w:val="9pt80"/>
          <w:rFonts w:ascii="Times New Roman" w:hAnsi="Times New Roman" w:cs="Times New Roman"/>
          <w:color w:val="000000" w:themeColor="text1"/>
          <w:w w:val="100"/>
          <w:sz w:val="16"/>
          <w:szCs w:val="16"/>
        </w:rPr>
      </w:pPr>
    </w:p>
    <w:p w14:paraId="46B2E1E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мая 1943 согласно записи в журнале наблюдения за проектированием, постройкой и испытаниями МиГ-5 2АМ-37 и 2М-82 от 10 июня 1943 была проверена работа ВМТ-3 2 экз. ДИС (МиГ-5) с М-82 на земле, все нормально. По указанию ГК полеты не производились (из донесения Князева от 19 мая 1943 (990,8).</w:t>
      </w:r>
    </w:p>
    <w:p w14:paraId="5792265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CD5273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мая 1943 был подписан аварийный акт на аварию Ла-5 N 3921ФНО1-13 (2129).</w:t>
      </w:r>
    </w:p>
    <w:p w14:paraId="384DC2B1" w14:textId="77777777" w:rsidR="00531570" w:rsidRPr="00D03F3E" w:rsidRDefault="00531570" w:rsidP="00D03F3E">
      <w:pPr>
        <w:pStyle w:val="Iauiue"/>
        <w:jc w:val="both"/>
        <w:rPr>
          <w:color w:val="000000" w:themeColor="text1"/>
          <w:sz w:val="16"/>
          <w:szCs w:val="16"/>
        </w:rPr>
      </w:pPr>
    </w:p>
    <w:p w14:paraId="1A32E11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мая 1943 г. вышло постановление ГКО № 3358: "В связи с тем, что Климов не выполнил вовремя решение ГКО по созданию мотора М-107А, имеющее в настоящее время исключительное значение,... прислать на помощь д.т.н. Швецова и д.т.н. Микулина и обеспечить успешное прохождение государственного испытания мотором М-107А в кратчайший срок". Прибытие "варягов" больно ударило по авторитету Главного, но и ситуацию не исправило (9025).</w:t>
      </w:r>
    </w:p>
    <w:p w14:paraId="2CF2BCB9" w14:textId="77777777" w:rsidR="00531570" w:rsidRPr="00D03F3E" w:rsidRDefault="00531570" w:rsidP="00D03F3E">
      <w:pPr>
        <w:pStyle w:val="Iauiue"/>
        <w:jc w:val="both"/>
        <w:rPr>
          <w:color w:val="000000" w:themeColor="text1"/>
          <w:sz w:val="16"/>
          <w:szCs w:val="16"/>
        </w:rPr>
      </w:pPr>
    </w:p>
    <w:p w14:paraId="773EDEF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мая 1943 вышло постановление ГОКО N 3358 О работе ГК АП (2659,178) - “...В связи с тем, что Климов не выполнил вовремя решение ГКО по созданию мотора М-107А, имеющего в настояшее время исключительное значение,...прислать на помощь дтн Швецова и дтн Микулина и обеспечить успешное прохождение гос. испытания мотором М-107А в кратчайший срок.” (7495, 34).</w:t>
      </w:r>
    </w:p>
    <w:p w14:paraId="41FCC129" w14:textId="77777777" w:rsidR="00531570" w:rsidRPr="00D03F3E" w:rsidRDefault="00531570" w:rsidP="00D03F3E">
      <w:pPr>
        <w:pStyle w:val="Iauiue"/>
        <w:jc w:val="both"/>
        <w:rPr>
          <w:color w:val="000000" w:themeColor="text1"/>
          <w:sz w:val="16"/>
          <w:szCs w:val="16"/>
        </w:rPr>
      </w:pPr>
    </w:p>
    <w:p w14:paraId="188B1F7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мая 1943 года А. Шахурин писал письмо председателю ГКО Сталину И.В.</w:t>
      </w:r>
    </w:p>
    <w:p w14:paraId="2C43868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Посылаю на Ваше рассмотрение проект постановления ГКО об оказании гл. конструкторам Климову и Путилову взаимопомощи со стороны гл. конструкторов Микулина, Швецова и Сухого (8917).</w:t>
      </w:r>
    </w:p>
    <w:p w14:paraId="358BCE0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Постановление ГКО (проект)</w:t>
      </w:r>
    </w:p>
    <w:p w14:paraId="4F6B506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 работе гл. конструкторов авиапромышленности</w:t>
      </w:r>
    </w:p>
    <w:p w14:paraId="62F8A7A1" w14:textId="77777777" w:rsidR="00531570" w:rsidRPr="00D03F3E" w:rsidRDefault="00531570" w:rsidP="00D03F3E">
      <w:pPr>
        <w:pStyle w:val="Iauiue"/>
        <w:numPr>
          <w:ilvl w:val="0"/>
          <w:numId w:val="1"/>
        </w:numPr>
        <w:tabs>
          <w:tab w:val="left" w:pos="360"/>
        </w:tabs>
        <w:ind w:left="0" w:firstLine="0"/>
        <w:jc w:val="both"/>
        <w:rPr>
          <w:color w:val="000000" w:themeColor="text1"/>
          <w:sz w:val="16"/>
          <w:szCs w:val="16"/>
        </w:rPr>
      </w:pPr>
      <w:r w:rsidRPr="00D03F3E">
        <w:rPr>
          <w:color w:val="000000" w:themeColor="text1"/>
          <w:sz w:val="16"/>
          <w:szCs w:val="16"/>
        </w:rPr>
        <w:t>ГКО признал целесообразным дополнить существующую организационную систему работы гл. конструкторов по созданию новых моторов и самолетов или их модификаций формой взаимопомощи со стороны других гл. конструкторов в том случае, если гл. конструктор, ведущий данную работу, не справляется с решением задач в установленные сроки.</w:t>
      </w:r>
    </w:p>
    <w:p w14:paraId="7843C35F" w14:textId="77777777" w:rsidR="00531570" w:rsidRPr="00D03F3E" w:rsidRDefault="00531570" w:rsidP="00D03F3E">
      <w:pPr>
        <w:pStyle w:val="Iauiue"/>
        <w:numPr>
          <w:ilvl w:val="0"/>
          <w:numId w:val="2"/>
        </w:numPr>
        <w:tabs>
          <w:tab w:val="left" w:pos="360"/>
        </w:tabs>
        <w:ind w:left="0" w:firstLine="0"/>
        <w:jc w:val="both"/>
        <w:rPr>
          <w:color w:val="000000" w:themeColor="text1"/>
          <w:sz w:val="16"/>
          <w:szCs w:val="16"/>
        </w:rPr>
      </w:pPr>
      <w:r w:rsidRPr="00D03F3E">
        <w:rPr>
          <w:color w:val="000000" w:themeColor="text1"/>
          <w:sz w:val="16"/>
          <w:szCs w:val="16"/>
        </w:rPr>
        <w:t>В связи с тем, что гл. конструктор Климов не выполнил в срок решение ГКО по созданию мотора М-107А, имеющего в настоящее время исключительное значение для развития авиации, поручить гл. конструкторам Микулину и Швецову прийти на помощь гл. конструктору Климову и обеспечить успешное прохождение госиспытаний мотора М-107А в кратчайший срок.</w:t>
      </w:r>
    </w:p>
    <w:p w14:paraId="5AAB0554" w14:textId="77777777" w:rsidR="00531570" w:rsidRPr="00D03F3E" w:rsidRDefault="00531570" w:rsidP="00D03F3E">
      <w:pPr>
        <w:pStyle w:val="Iauiue"/>
        <w:numPr>
          <w:ilvl w:val="0"/>
          <w:numId w:val="3"/>
        </w:numPr>
        <w:tabs>
          <w:tab w:val="left" w:pos="360"/>
        </w:tabs>
        <w:ind w:left="0" w:firstLine="0"/>
        <w:jc w:val="both"/>
        <w:rPr>
          <w:color w:val="000000" w:themeColor="text1"/>
          <w:sz w:val="16"/>
          <w:szCs w:val="16"/>
        </w:rPr>
      </w:pPr>
      <w:r w:rsidRPr="00D03F3E">
        <w:rPr>
          <w:color w:val="000000" w:themeColor="text1"/>
          <w:sz w:val="16"/>
          <w:szCs w:val="16"/>
        </w:rPr>
        <w:t>В связи с тем, что гл. конструктор Путилов не обеспечивает необходимого развития самолета Пе-2 поручить гл. конструктору Сухому, используя имеющиеся в его распоряжении конструкторские силы, включиться в работу по улучшению летных и боевых качеств самолета Пе-2 в кратчайшие сроки (8917).</w:t>
      </w:r>
    </w:p>
    <w:p w14:paraId="6DF83E0E" w14:textId="77777777" w:rsidR="00531570" w:rsidRPr="00D03F3E" w:rsidRDefault="00531570" w:rsidP="00D03F3E">
      <w:pPr>
        <w:pStyle w:val="Iauiue"/>
        <w:tabs>
          <w:tab w:val="left" w:pos="360"/>
        </w:tabs>
        <w:jc w:val="both"/>
        <w:rPr>
          <w:color w:val="000000" w:themeColor="text1"/>
          <w:sz w:val="16"/>
          <w:szCs w:val="16"/>
        </w:rPr>
      </w:pPr>
    </w:p>
    <w:p w14:paraId="6771976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мая 1943 г. вышло необычное Постановление ГКО №3358, а котором, в частности, говорилось: "В связи с тем, что т.Климов не выполнил вовремя решение ГКО по созданию мотора М-107А, имеющее в настоящее время исключительное значение,... поручить прислать на помощь д.т.н. Швецова и д.т.н. Микулина и обеспечить успешное прохождение государственного испытания мотором М-W7A в кратчайший срок.”. Верховный приказал председателю комиссии по испытаниям М-107А военинженеру 1-го ранга П.Н.Никифорову постоянно докладывать ему о ходе работ. Более того, желание получить во что бы то ни стало летом 1943 г. истребитель, способный превзойти по летно-тактическим данным немецкий Bf109G-2, вызвало указание вождя проработать возможность установки лучших (из известных и доступных нам) импортных моторов на отечественные самолеты. В частности, для истребителей Як могли бы подойти английский "Мерлин”ХХ или американский “Аллисон”У-1710.</w:t>
      </w:r>
    </w:p>
    <w:p w14:paraId="0BCAD94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Расчеты показали, что с последним у Як-1, Як-7 и Як-9 ухудшатся все летные данные, за исключением дальности на крейсерской скорости, величина которой возростала примерно на 130 км. Более преспективным был вариант с английским мотором, но возрастал мидель двигательного отсека, а кроме того приходилось перенести все вооружение в консоли (“Мерлины” не предусматривали синхронной установки пулеметов и не имели полого вала для ствола пушки)*. Вдобавок, желательно было увеличить редукцию мотора. Однако в результате этого на высотах 6000-7000 м скорость Як-1 могла быть реально увеличена до 665 км/ч, хотя у земли неизбежно уменьшалась до 510-515 км/ч. Правда несколько улучшалась скороподъемность. В частности, время набора 5000 м у “гибридного” Як-1 сократилось бы на 18 секунд, а дальность возрастала на 70 км.</w:t>
      </w:r>
    </w:p>
    <w:p w14:paraId="7FFE913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Чтобы понять “стоила ли овчинка выделки”, следовало выяснить, а согласны ли были англичане продать (или передать по лендлизу) СССР партию моторов “Мерлин”? Нарком внешней торговли А.И.Микоян оценивал шансы на приобретение достаточно крупной партии двигателей фирмы “Роллс-Ройс” невысоко. Причина как ни странно крылась в том, что в Канаде по-преженму строили в массовых количествах Харрикейны в варианте истребителей-бомбардировщиков эти уже устаревшие самолеты тем неменее мощным потоком поступали на Средиземноморский и Дальневосточный ТВД, высвобождая тем самым для Европейского ТВД более современные истребители (4842).</w:t>
      </w:r>
    </w:p>
    <w:p w14:paraId="64151689" w14:textId="77777777" w:rsidR="00531570" w:rsidRPr="00D03F3E" w:rsidRDefault="00531570" w:rsidP="00D03F3E">
      <w:pPr>
        <w:pStyle w:val="Iauiue"/>
        <w:jc w:val="both"/>
        <w:rPr>
          <w:color w:val="000000" w:themeColor="text1"/>
          <w:sz w:val="16"/>
          <w:szCs w:val="16"/>
        </w:rPr>
      </w:pPr>
    </w:p>
    <w:p w14:paraId="180E6AD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мая 1943 в дополнение к материалам от 23 апреля 1943 Нач. 3У ГРУ Хлопов и Нач. 2 отдела 3у Лапкин писали письмо N 236405 Зам. НКАП А.С.Я. с новыми материалами по новым итальянским самолетам (1780,113).</w:t>
      </w:r>
    </w:p>
    <w:p w14:paraId="7C25E1F1" w14:textId="77777777" w:rsidR="00531570" w:rsidRPr="00D03F3E" w:rsidRDefault="00531570" w:rsidP="00D03F3E">
      <w:pPr>
        <w:pStyle w:val="Iauiue"/>
        <w:jc w:val="both"/>
        <w:rPr>
          <w:color w:val="000000" w:themeColor="text1"/>
          <w:sz w:val="16"/>
          <w:szCs w:val="16"/>
        </w:rPr>
      </w:pPr>
    </w:p>
    <w:p w14:paraId="5459D5F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мая 1943 Зам. Нач. 7 ГУ Алексеев писал за № 5730 для НКАП А.И.Ш.</w:t>
      </w:r>
    </w:p>
    <w:p w14:paraId="1571F82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П Р А В К А по самолету "Москито"</w:t>
      </w:r>
    </w:p>
    <w:p w14:paraId="5049324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Двухмоторный двухместный самолет “Москито" фирмы Да— Хивилэнд состоит на вооружении английских ВВС и используется в качестве разведчика, легкого бомбардировщика, и истребителя сопровождения и применяется главным образом для боевых действии на европейском континенте.</w:t>
      </w:r>
    </w:p>
    <w:p w14:paraId="231AA64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Самолеты "Москито" выпускаются с двумя моторами Роллс-Ройс Мерлин— 20 или Мерлин— 21.</w:t>
      </w:r>
    </w:p>
    <w:p w14:paraId="506A05D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время пребывания в Англии члена Советской Военной Миссии генерал-майора инженерно-авиационной службы тов. Федрови Л.Я., им был осмотрен и обле</w:t>
      </w:r>
      <w:r w:rsidRPr="00D03F3E">
        <w:rPr>
          <w:rFonts w:ascii="Times New Roman" w:hAnsi="Times New Roman"/>
          <w:color w:val="000000" w:themeColor="text1"/>
          <w:sz w:val="16"/>
          <w:szCs w:val="16"/>
        </w:rPr>
        <w:softHyphen/>
        <w:t>тан самолет “Москито” в варианте разведчика, не имеющего вооружения. В тот период времени (август-октябрь 1941 года) "Москито" - истребител» в ВВС еще не поступил и находились в стадии испытаний.</w:t>
      </w:r>
    </w:p>
    <w:p w14:paraId="0E6F530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сведениям, приведенным в отчете тов. Федрови, самолет "Москито" обла</w:t>
      </w:r>
      <w:r w:rsidRPr="00D03F3E">
        <w:rPr>
          <w:rFonts w:ascii="Times New Roman" w:hAnsi="Times New Roman"/>
          <w:color w:val="000000" w:themeColor="text1"/>
          <w:sz w:val="16"/>
          <w:szCs w:val="16"/>
        </w:rPr>
        <w:softHyphen/>
        <w:t>дает следующими данныим:</w:t>
      </w:r>
    </w:p>
    <w:tbl>
      <w:tblPr>
        <w:tblW w:w="0" w:type="auto"/>
        <w:tblInd w:w="40" w:type="dxa"/>
        <w:tblLayout w:type="fixed"/>
        <w:tblCellMar>
          <w:left w:w="40" w:type="dxa"/>
          <w:right w:w="40" w:type="dxa"/>
        </w:tblCellMar>
        <w:tblLook w:val="0000" w:firstRow="0" w:lastRow="0" w:firstColumn="0" w:lastColumn="0" w:noHBand="0" w:noVBand="0"/>
      </w:tblPr>
      <w:tblGrid>
        <w:gridCol w:w="3389"/>
        <w:gridCol w:w="797"/>
        <w:gridCol w:w="1181"/>
        <w:gridCol w:w="1699"/>
      </w:tblGrid>
      <w:tr w:rsidR="00860B4B" w:rsidRPr="00D03F3E" w14:paraId="70C0CEB1" w14:textId="77777777">
        <w:trPr>
          <w:trHeight w:val="538"/>
        </w:trPr>
        <w:tc>
          <w:tcPr>
            <w:tcW w:w="3389" w:type="dxa"/>
            <w:tcBorders>
              <w:top w:val="single" w:sz="12" w:space="0" w:color="auto"/>
              <w:left w:val="single" w:sz="12" w:space="0" w:color="auto"/>
              <w:bottom w:val="single" w:sz="6" w:space="0" w:color="auto"/>
              <w:right w:val="single" w:sz="6" w:space="0" w:color="auto"/>
            </w:tcBorders>
          </w:tcPr>
          <w:p w14:paraId="5FD16E1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Данные самолета</w:t>
            </w:r>
          </w:p>
        </w:tc>
        <w:tc>
          <w:tcPr>
            <w:tcW w:w="797" w:type="dxa"/>
            <w:tcBorders>
              <w:top w:val="single" w:sz="12" w:space="0" w:color="auto"/>
              <w:left w:val="single" w:sz="6" w:space="0" w:color="auto"/>
              <w:bottom w:val="single" w:sz="6" w:space="0" w:color="auto"/>
              <w:right w:val="single" w:sz="6" w:space="0" w:color="auto"/>
            </w:tcBorders>
          </w:tcPr>
          <w:p w14:paraId="007A335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81" w:type="dxa"/>
            <w:tcBorders>
              <w:top w:val="single" w:sz="12" w:space="0" w:color="auto"/>
              <w:left w:val="single" w:sz="6" w:space="0" w:color="auto"/>
              <w:bottom w:val="single" w:sz="6" w:space="0" w:color="auto"/>
              <w:right w:val="single" w:sz="6" w:space="0" w:color="auto"/>
            </w:tcBorders>
          </w:tcPr>
          <w:p w14:paraId="6B0F69A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Вариант разведчика</w:t>
            </w:r>
          </w:p>
        </w:tc>
        <w:tc>
          <w:tcPr>
            <w:tcW w:w="1699" w:type="dxa"/>
            <w:tcBorders>
              <w:top w:val="single" w:sz="12" w:space="0" w:color="auto"/>
              <w:left w:val="single" w:sz="6" w:space="0" w:color="auto"/>
              <w:bottom w:val="single" w:sz="6" w:space="0" w:color="auto"/>
              <w:right w:val="single" w:sz="12" w:space="0" w:color="auto"/>
            </w:tcBorders>
          </w:tcPr>
          <w:p w14:paraId="4955844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Вариант истре</w:t>
            </w:r>
            <w:r w:rsidRPr="00D03F3E">
              <w:rPr>
                <w:rFonts w:ascii="Times New Roman" w:hAnsi="Times New Roman"/>
                <w:color w:val="000000" w:themeColor="text1"/>
                <w:sz w:val="16"/>
                <w:szCs w:val="16"/>
              </w:rPr>
              <w:softHyphen/>
              <w:t>бителя сопро</w:t>
            </w:r>
            <w:r w:rsidRPr="00D03F3E">
              <w:rPr>
                <w:rFonts w:ascii="Times New Roman" w:hAnsi="Times New Roman"/>
                <w:color w:val="000000" w:themeColor="text1"/>
                <w:sz w:val="16"/>
                <w:szCs w:val="16"/>
              </w:rPr>
              <w:softHyphen/>
              <w:t>вождения</w:t>
            </w:r>
          </w:p>
        </w:tc>
      </w:tr>
      <w:tr w:rsidR="00860B4B" w:rsidRPr="00D03F3E" w14:paraId="3134B9C8" w14:textId="77777777">
        <w:trPr>
          <w:trHeight w:val="355"/>
        </w:trPr>
        <w:tc>
          <w:tcPr>
            <w:tcW w:w="3389" w:type="dxa"/>
            <w:tcBorders>
              <w:top w:val="single" w:sz="6" w:space="0" w:color="auto"/>
              <w:left w:val="single" w:sz="12" w:space="0" w:color="auto"/>
              <w:bottom w:val="single" w:sz="6" w:space="0" w:color="auto"/>
              <w:right w:val="single" w:sz="6" w:space="0" w:color="auto"/>
            </w:tcBorders>
          </w:tcPr>
          <w:p w14:paraId="2FC644E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Номинальная мощность мотора на высоте</w:t>
            </w:r>
          </w:p>
        </w:tc>
        <w:tc>
          <w:tcPr>
            <w:tcW w:w="797" w:type="dxa"/>
            <w:tcBorders>
              <w:top w:val="single" w:sz="6" w:space="0" w:color="auto"/>
              <w:left w:val="single" w:sz="6" w:space="0" w:color="auto"/>
              <w:bottom w:val="single" w:sz="6" w:space="0" w:color="auto"/>
              <w:right w:val="single" w:sz="6" w:space="0" w:color="auto"/>
            </w:tcBorders>
          </w:tcPr>
          <w:p w14:paraId="644E1B4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 с.</w:t>
            </w:r>
          </w:p>
        </w:tc>
        <w:tc>
          <w:tcPr>
            <w:tcW w:w="1181" w:type="dxa"/>
            <w:tcBorders>
              <w:top w:val="single" w:sz="6" w:space="0" w:color="auto"/>
              <w:left w:val="single" w:sz="6" w:space="0" w:color="auto"/>
              <w:bottom w:val="single" w:sz="6" w:space="0" w:color="auto"/>
              <w:right w:val="single" w:sz="6" w:space="0" w:color="auto"/>
            </w:tcBorders>
          </w:tcPr>
          <w:p w14:paraId="23791F9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2x1370</w:t>
            </w:r>
          </w:p>
        </w:tc>
        <w:tc>
          <w:tcPr>
            <w:tcW w:w="1699" w:type="dxa"/>
            <w:tcBorders>
              <w:top w:val="single" w:sz="6" w:space="0" w:color="auto"/>
              <w:left w:val="single" w:sz="6" w:space="0" w:color="auto"/>
              <w:bottom w:val="single" w:sz="6" w:space="0" w:color="auto"/>
              <w:right w:val="single" w:sz="12" w:space="0" w:color="auto"/>
            </w:tcBorders>
          </w:tcPr>
          <w:p w14:paraId="78BE223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2x1370</w:t>
            </w:r>
          </w:p>
        </w:tc>
      </w:tr>
      <w:tr w:rsidR="00860B4B" w:rsidRPr="00D03F3E" w14:paraId="3CBC7DE9" w14:textId="77777777">
        <w:trPr>
          <w:trHeight w:val="355"/>
        </w:trPr>
        <w:tc>
          <w:tcPr>
            <w:tcW w:w="3389" w:type="dxa"/>
            <w:tcBorders>
              <w:top w:val="single" w:sz="6" w:space="0" w:color="auto"/>
              <w:left w:val="single" w:sz="12" w:space="0" w:color="auto"/>
              <w:bottom w:val="single" w:sz="6" w:space="0" w:color="auto"/>
              <w:right w:val="single" w:sz="6" w:space="0" w:color="auto"/>
            </w:tcBorders>
          </w:tcPr>
          <w:p w14:paraId="4EC800E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Взлетная мощность</w:t>
            </w:r>
          </w:p>
        </w:tc>
        <w:tc>
          <w:tcPr>
            <w:tcW w:w="797" w:type="dxa"/>
            <w:tcBorders>
              <w:top w:val="single" w:sz="6" w:space="0" w:color="auto"/>
              <w:left w:val="single" w:sz="6" w:space="0" w:color="auto"/>
              <w:bottom w:val="single" w:sz="6" w:space="0" w:color="auto"/>
              <w:right w:val="single" w:sz="6" w:space="0" w:color="auto"/>
            </w:tcBorders>
          </w:tcPr>
          <w:p w14:paraId="69D7703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 с.</w:t>
            </w:r>
          </w:p>
        </w:tc>
        <w:tc>
          <w:tcPr>
            <w:tcW w:w="1181" w:type="dxa"/>
            <w:tcBorders>
              <w:top w:val="single" w:sz="6" w:space="0" w:color="auto"/>
              <w:left w:val="single" w:sz="6" w:space="0" w:color="auto"/>
              <w:bottom w:val="single" w:sz="6" w:space="0" w:color="auto"/>
              <w:right w:val="single" w:sz="6" w:space="0" w:color="auto"/>
            </w:tcBorders>
          </w:tcPr>
          <w:p w14:paraId="08F7CC3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1450</w:t>
            </w:r>
          </w:p>
        </w:tc>
        <w:tc>
          <w:tcPr>
            <w:tcW w:w="1699" w:type="dxa"/>
            <w:tcBorders>
              <w:top w:val="single" w:sz="6" w:space="0" w:color="auto"/>
              <w:left w:val="single" w:sz="6" w:space="0" w:color="auto"/>
              <w:bottom w:val="single" w:sz="6" w:space="0" w:color="auto"/>
              <w:right w:val="single" w:sz="12" w:space="0" w:color="auto"/>
            </w:tcBorders>
          </w:tcPr>
          <w:p w14:paraId="2562073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1450</w:t>
            </w:r>
          </w:p>
        </w:tc>
      </w:tr>
      <w:tr w:rsidR="00860B4B" w:rsidRPr="00D03F3E" w14:paraId="4F641BDA" w14:textId="77777777">
        <w:trPr>
          <w:trHeight w:val="211"/>
        </w:trPr>
        <w:tc>
          <w:tcPr>
            <w:tcW w:w="3389" w:type="dxa"/>
            <w:tcBorders>
              <w:top w:val="single" w:sz="6" w:space="0" w:color="auto"/>
              <w:left w:val="single" w:sz="12" w:space="0" w:color="auto"/>
              <w:bottom w:val="single" w:sz="6" w:space="0" w:color="auto"/>
              <w:right w:val="single" w:sz="6" w:space="0" w:color="auto"/>
            </w:tcBorders>
          </w:tcPr>
          <w:p w14:paraId="263729D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на высоте</w:t>
            </w:r>
          </w:p>
        </w:tc>
        <w:tc>
          <w:tcPr>
            <w:tcW w:w="797" w:type="dxa"/>
            <w:tcBorders>
              <w:top w:val="single" w:sz="6" w:space="0" w:color="auto"/>
              <w:left w:val="single" w:sz="6" w:space="0" w:color="auto"/>
              <w:bottom w:val="single" w:sz="6" w:space="0" w:color="auto"/>
              <w:right w:val="single" w:sz="6" w:space="0" w:color="auto"/>
            </w:tcBorders>
          </w:tcPr>
          <w:p w14:paraId="2D4BE60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км/час/мт.</w:t>
            </w:r>
          </w:p>
        </w:tc>
        <w:tc>
          <w:tcPr>
            <w:tcW w:w="1181" w:type="dxa"/>
            <w:tcBorders>
              <w:top w:val="single" w:sz="6" w:space="0" w:color="auto"/>
              <w:left w:val="single" w:sz="6" w:space="0" w:color="auto"/>
              <w:bottom w:val="single" w:sz="6" w:space="0" w:color="auto"/>
              <w:right w:val="single" w:sz="6" w:space="0" w:color="auto"/>
            </w:tcBorders>
          </w:tcPr>
          <w:p w14:paraId="53C58A9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540/5250</w:t>
            </w:r>
          </w:p>
        </w:tc>
        <w:tc>
          <w:tcPr>
            <w:tcW w:w="1699" w:type="dxa"/>
            <w:tcBorders>
              <w:top w:val="single" w:sz="6" w:space="0" w:color="auto"/>
              <w:left w:val="single" w:sz="6" w:space="0" w:color="auto"/>
              <w:bottom w:val="single" w:sz="6" w:space="0" w:color="auto"/>
              <w:right w:val="single" w:sz="12" w:space="0" w:color="auto"/>
            </w:tcBorders>
          </w:tcPr>
          <w:p w14:paraId="5C62A51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625/5200</w:t>
            </w:r>
          </w:p>
        </w:tc>
      </w:tr>
      <w:tr w:rsidR="00860B4B" w:rsidRPr="00D03F3E" w14:paraId="6A5306ED" w14:textId="77777777">
        <w:trPr>
          <w:trHeight w:val="374"/>
        </w:trPr>
        <w:tc>
          <w:tcPr>
            <w:tcW w:w="3389" w:type="dxa"/>
            <w:tcBorders>
              <w:top w:val="single" w:sz="6" w:space="0" w:color="auto"/>
              <w:left w:val="single" w:sz="12" w:space="0" w:color="auto"/>
              <w:bottom w:val="single" w:sz="6" w:space="0" w:color="auto"/>
              <w:right w:val="single" w:sz="6" w:space="0" w:color="auto"/>
            </w:tcBorders>
          </w:tcPr>
          <w:p w14:paraId="4E8D526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Крейсерская скорость</w:t>
            </w:r>
          </w:p>
        </w:tc>
        <w:tc>
          <w:tcPr>
            <w:tcW w:w="797" w:type="dxa"/>
            <w:tcBorders>
              <w:top w:val="single" w:sz="6" w:space="0" w:color="auto"/>
              <w:left w:val="single" w:sz="6" w:space="0" w:color="auto"/>
              <w:bottom w:val="single" w:sz="6" w:space="0" w:color="auto"/>
              <w:right w:val="single" w:sz="6" w:space="0" w:color="auto"/>
            </w:tcBorders>
          </w:tcPr>
          <w:p w14:paraId="1E9E71C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км/час</w:t>
            </w:r>
          </w:p>
        </w:tc>
        <w:tc>
          <w:tcPr>
            <w:tcW w:w="1181" w:type="dxa"/>
            <w:tcBorders>
              <w:top w:val="single" w:sz="6" w:space="0" w:color="auto"/>
              <w:left w:val="single" w:sz="6" w:space="0" w:color="auto"/>
              <w:bottom w:val="single" w:sz="6" w:space="0" w:color="auto"/>
              <w:right w:val="single" w:sz="6" w:space="0" w:color="auto"/>
            </w:tcBorders>
          </w:tcPr>
          <w:p w14:paraId="3F80135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w:t>
            </w:r>
          </w:p>
        </w:tc>
        <w:tc>
          <w:tcPr>
            <w:tcW w:w="1699" w:type="dxa"/>
            <w:tcBorders>
              <w:top w:val="single" w:sz="6" w:space="0" w:color="auto"/>
              <w:left w:val="single" w:sz="6" w:space="0" w:color="auto"/>
              <w:bottom w:val="single" w:sz="6" w:space="0" w:color="auto"/>
              <w:right w:val="single" w:sz="12" w:space="0" w:color="auto"/>
            </w:tcBorders>
          </w:tcPr>
          <w:p w14:paraId="2F73035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480</w:t>
            </w:r>
          </w:p>
        </w:tc>
      </w:tr>
      <w:tr w:rsidR="00860B4B" w:rsidRPr="00D03F3E" w14:paraId="024AE25B" w14:textId="77777777">
        <w:trPr>
          <w:trHeight w:val="259"/>
        </w:trPr>
        <w:tc>
          <w:tcPr>
            <w:tcW w:w="3389" w:type="dxa"/>
            <w:tcBorders>
              <w:top w:val="single" w:sz="6" w:space="0" w:color="auto"/>
              <w:left w:val="single" w:sz="12" w:space="0" w:color="auto"/>
              <w:bottom w:val="single" w:sz="6" w:space="0" w:color="auto"/>
              <w:right w:val="single" w:sz="6" w:space="0" w:color="auto"/>
            </w:tcBorders>
          </w:tcPr>
          <w:p w14:paraId="0E3D9D6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Продолжительность полета да крейсерской скорости</w:t>
            </w:r>
          </w:p>
        </w:tc>
        <w:tc>
          <w:tcPr>
            <w:tcW w:w="797" w:type="dxa"/>
            <w:tcBorders>
              <w:top w:val="single" w:sz="6" w:space="0" w:color="auto"/>
              <w:left w:val="single" w:sz="6" w:space="0" w:color="auto"/>
              <w:bottom w:val="single" w:sz="6" w:space="0" w:color="auto"/>
              <w:right w:val="single" w:sz="6" w:space="0" w:color="auto"/>
            </w:tcBorders>
          </w:tcPr>
          <w:p w14:paraId="6CCC09B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час</w:t>
            </w:r>
          </w:p>
        </w:tc>
        <w:tc>
          <w:tcPr>
            <w:tcW w:w="1181" w:type="dxa"/>
            <w:tcBorders>
              <w:top w:val="single" w:sz="6" w:space="0" w:color="auto"/>
              <w:left w:val="single" w:sz="6" w:space="0" w:color="auto"/>
              <w:bottom w:val="single" w:sz="6" w:space="0" w:color="auto"/>
              <w:right w:val="single" w:sz="6" w:space="0" w:color="auto"/>
            </w:tcBorders>
          </w:tcPr>
          <w:p w14:paraId="6A9DFCD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w:t>
            </w:r>
          </w:p>
        </w:tc>
        <w:tc>
          <w:tcPr>
            <w:tcW w:w="1699" w:type="dxa"/>
            <w:tcBorders>
              <w:top w:val="single" w:sz="6" w:space="0" w:color="auto"/>
              <w:left w:val="single" w:sz="6" w:space="0" w:color="auto"/>
              <w:bottom w:val="single" w:sz="6" w:space="0" w:color="auto"/>
              <w:right w:val="single" w:sz="12" w:space="0" w:color="auto"/>
            </w:tcBorders>
          </w:tcPr>
          <w:p w14:paraId="49F976A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w:t>
            </w:r>
          </w:p>
        </w:tc>
      </w:tr>
      <w:tr w:rsidR="00860B4B" w:rsidRPr="00D03F3E" w14:paraId="6C39C060" w14:textId="77777777">
        <w:trPr>
          <w:trHeight w:val="259"/>
        </w:trPr>
        <w:tc>
          <w:tcPr>
            <w:tcW w:w="3389" w:type="dxa"/>
            <w:tcBorders>
              <w:top w:val="single" w:sz="6" w:space="0" w:color="auto"/>
              <w:left w:val="single" w:sz="12" w:space="0" w:color="auto"/>
              <w:bottom w:val="single" w:sz="6" w:space="0" w:color="auto"/>
              <w:right w:val="single" w:sz="6" w:space="0" w:color="auto"/>
            </w:tcBorders>
          </w:tcPr>
          <w:p w14:paraId="0DDA7B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под"ема на 5000 мт.</w:t>
            </w:r>
          </w:p>
        </w:tc>
        <w:tc>
          <w:tcPr>
            <w:tcW w:w="797" w:type="dxa"/>
            <w:tcBorders>
              <w:top w:val="single" w:sz="6" w:space="0" w:color="auto"/>
              <w:left w:val="single" w:sz="6" w:space="0" w:color="auto"/>
              <w:bottom w:val="single" w:sz="6" w:space="0" w:color="auto"/>
              <w:right w:val="single" w:sz="6" w:space="0" w:color="auto"/>
            </w:tcBorders>
          </w:tcPr>
          <w:p w14:paraId="11B4371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мин.</w:t>
            </w:r>
          </w:p>
        </w:tc>
        <w:tc>
          <w:tcPr>
            <w:tcW w:w="1181" w:type="dxa"/>
            <w:tcBorders>
              <w:top w:val="single" w:sz="6" w:space="0" w:color="auto"/>
              <w:left w:val="single" w:sz="6" w:space="0" w:color="auto"/>
              <w:bottom w:val="single" w:sz="6" w:space="0" w:color="auto"/>
              <w:right w:val="single" w:sz="6" w:space="0" w:color="auto"/>
            </w:tcBorders>
          </w:tcPr>
          <w:p w14:paraId="49B1E0E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c>
          <w:tcPr>
            <w:tcW w:w="1699" w:type="dxa"/>
            <w:tcBorders>
              <w:top w:val="single" w:sz="6" w:space="0" w:color="auto"/>
              <w:left w:val="single" w:sz="6" w:space="0" w:color="auto"/>
              <w:bottom w:val="single" w:sz="6" w:space="0" w:color="auto"/>
              <w:right w:val="single" w:sz="12" w:space="0" w:color="auto"/>
            </w:tcBorders>
          </w:tcPr>
          <w:p w14:paraId="480E6B5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r>
      <w:tr w:rsidR="00860B4B" w:rsidRPr="00D03F3E" w14:paraId="3B862491" w14:textId="77777777">
        <w:trPr>
          <w:trHeight w:val="182"/>
        </w:trPr>
        <w:tc>
          <w:tcPr>
            <w:tcW w:w="3389" w:type="dxa"/>
            <w:tcBorders>
              <w:top w:val="single" w:sz="6" w:space="0" w:color="auto"/>
              <w:left w:val="single" w:sz="12" w:space="0" w:color="auto"/>
              <w:bottom w:val="single" w:sz="6" w:space="0" w:color="auto"/>
              <w:right w:val="single" w:sz="6" w:space="0" w:color="auto"/>
            </w:tcBorders>
          </w:tcPr>
          <w:p w14:paraId="7E960AC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Рабочий потолок.</w:t>
            </w:r>
          </w:p>
        </w:tc>
        <w:tc>
          <w:tcPr>
            <w:tcW w:w="797" w:type="dxa"/>
            <w:tcBorders>
              <w:top w:val="single" w:sz="6" w:space="0" w:color="auto"/>
              <w:left w:val="single" w:sz="6" w:space="0" w:color="auto"/>
              <w:bottom w:val="single" w:sz="6" w:space="0" w:color="auto"/>
              <w:right w:val="single" w:sz="6" w:space="0" w:color="auto"/>
            </w:tcBorders>
          </w:tcPr>
          <w:p w14:paraId="5D2931E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w:t>
            </w:r>
          </w:p>
        </w:tc>
        <w:tc>
          <w:tcPr>
            <w:tcW w:w="1181" w:type="dxa"/>
            <w:tcBorders>
              <w:top w:val="single" w:sz="6" w:space="0" w:color="auto"/>
              <w:left w:val="single" w:sz="6" w:space="0" w:color="auto"/>
              <w:bottom w:val="single" w:sz="6" w:space="0" w:color="auto"/>
              <w:right w:val="single" w:sz="6" w:space="0" w:color="auto"/>
            </w:tcBorders>
          </w:tcPr>
          <w:p w14:paraId="106CB6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10500</w:t>
            </w:r>
          </w:p>
        </w:tc>
        <w:tc>
          <w:tcPr>
            <w:tcW w:w="1699" w:type="dxa"/>
            <w:tcBorders>
              <w:top w:val="single" w:sz="6" w:space="0" w:color="auto"/>
              <w:left w:val="single" w:sz="6" w:space="0" w:color="auto"/>
              <w:bottom w:val="single" w:sz="6" w:space="0" w:color="auto"/>
              <w:right w:val="single" w:sz="12" w:space="0" w:color="auto"/>
            </w:tcBorders>
          </w:tcPr>
          <w:p w14:paraId="35B3530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10500</w:t>
            </w:r>
          </w:p>
        </w:tc>
      </w:tr>
      <w:tr w:rsidR="00860B4B" w:rsidRPr="00D03F3E" w14:paraId="685B1E21" w14:textId="77777777">
        <w:trPr>
          <w:trHeight w:val="182"/>
        </w:trPr>
        <w:tc>
          <w:tcPr>
            <w:tcW w:w="3389" w:type="dxa"/>
            <w:tcBorders>
              <w:top w:val="single" w:sz="6" w:space="0" w:color="auto"/>
              <w:left w:val="single" w:sz="12" w:space="0" w:color="auto"/>
              <w:bottom w:val="single" w:sz="6" w:space="0" w:color="auto"/>
              <w:right w:val="single" w:sz="6" w:space="0" w:color="auto"/>
            </w:tcBorders>
          </w:tcPr>
          <w:p w14:paraId="2435986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w:t>
            </w:r>
          </w:p>
        </w:tc>
        <w:tc>
          <w:tcPr>
            <w:tcW w:w="797" w:type="dxa"/>
            <w:tcBorders>
              <w:top w:val="single" w:sz="6" w:space="0" w:color="auto"/>
              <w:left w:val="single" w:sz="6" w:space="0" w:color="auto"/>
              <w:bottom w:val="single" w:sz="6" w:space="0" w:color="auto"/>
              <w:right w:val="single" w:sz="6" w:space="0" w:color="auto"/>
            </w:tcBorders>
          </w:tcPr>
          <w:p w14:paraId="37249D6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км</w:t>
            </w:r>
          </w:p>
        </w:tc>
        <w:tc>
          <w:tcPr>
            <w:tcW w:w="1181" w:type="dxa"/>
            <w:tcBorders>
              <w:top w:val="single" w:sz="6" w:space="0" w:color="auto"/>
              <w:left w:val="single" w:sz="6" w:space="0" w:color="auto"/>
              <w:bottom w:val="single" w:sz="6" w:space="0" w:color="auto"/>
              <w:right w:val="single" w:sz="6" w:space="0" w:color="auto"/>
            </w:tcBorders>
          </w:tcPr>
          <w:p w14:paraId="12B8620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3200</w:t>
            </w:r>
          </w:p>
        </w:tc>
        <w:tc>
          <w:tcPr>
            <w:tcW w:w="1699" w:type="dxa"/>
            <w:tcBorders>
              <w:top w:val="single" w:sz="6" w:space="0" w:color="auto"/>
              <w:left w:val="single" w:sz="6" w:space="0" w:color="auto"/>
              <w:bottom w:val="single" w:sz="6" w:space="0" w:color="auto"/>
              <w:right w:val="single" w:sz="12" w:space="0" w:color="auto"/>
            </w:tcBorders>
          </w:tcPr>
          <w:p w14:paraId="46954A9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3800</w:t>
            </w:r>
          </w:p>
        </w:tc>
      </w:tr>
      <w:tr w:rsidR="00860B4B" w:rsidRPr="00D03F3E" w14:paraId="1F7342EB" w14:textId="77777777">
        <w:trPr>
          <w:trHeight w:val="182"/>
        </w:trPr>
        <w:tc>
          <w:tcPr>
            <w:tcW w:w="3389" w:type="dxa"/>
            <w:tcBorders>
              <w:top w:val="single" w:sz="6" w:space="0" w:color="auto"/>
              <w:left w:val="single" w:sz="12" w:space="0" w:color="auto"/>
              <w:bottom w:val="single" w:sz="6" w:space="0" w:color="auto"/>
              <w:right w:val="single" w:sz="6" w:space="0" w:color="auto"/>
            </w:tcBorders>
          </w:tcPr>
          <w:p w14:paraId="0A9FB65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Запас горючего</w:t>
            </w:r>
          </w:p>
        </w:tc>
        <w:tc>
          <w:tcPr>
            <w:tcW w:w="797" w:type="dxa"/>
            <w:tcBorders>
              <w:top w:val="single" w:sz="6" w:space="0" w:color="auto"/>
              <w:left w:val="single" w:sz="6" w:space="0" w:color="auto"/>
              <w:bottom w:val="single" w:sz="6" w:space="0" w:color="auto"/>
              <w:right w:val="single" w:sz="6" w:space="0" w:color="auto"/>
            </w:tcBorders>
          </w:tcPr>
          <w:p w14:paraId="2C225BE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кг</w:t>
            </w:r>
          </w:p>
        </w:tc>
        <w:tc>
          <w:tcPr>
            <w:tcW w:w="1181" w:type="dxa"/>
            <w:tcBorders>
              <w:top w:val="single" w:sz="6" w:space="0" w:color="auto"/>
              <w:left w:val="single" w:sz="6" w:space="0" w:color="auto"/>
              <w:bottom w:val="single" w:sz="6" w:space="0" w:color="auto"/>
              <w:right w:val="single" w:sz="6" w:space="0" w:color="auto"/>
            </w:tcBorders>
          </w:tcPr>
          <w:p w14:paraId="3D2D81C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1350</w:t>
            </w:r>
          </w:p>
        </w:tc>
        <w:tc>
          <w:tcPr>
            <w:tcW w:w="1699" w:type="dxa"/>
            <w:tcBorders>
              <w:top w:val="single" w:sz="6" w:space="0" w:color="auto"/>
              <w:left w:val="single" w:sz="6" w:space="0" w:color="auto"/>
              <w:bottom w:val="single" w:sz="6" w:space="0" w:color="auto"/>
              <w:right w:val="single" w:sz="12" w:space="0" w:color="auto"/>
            </w:tcBorders>
          </w:tcPr>
          <w:p w14:paraId="15D820E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1350</w:t>
            </w:r>
          </w:p>
        </w:tc>
      </w:tr>
      <w:tr w:rsidR="00860B4B" w:rsidRPr="00D03F3E" w14:paraId="4E4DF5CA" w14:textId="77777777">
        <w:trPr>
          <w:trHeight w:val="182"/>
        </w:trPr>
        <w:tc>
          <w:tcPr>
            <w:tcW w:w="3389" w:type="dxa"/>
            <w:tcBorders>
              <w:top w:val="single" w:sz="6" w:space="0" w:color="auto"/>
              <w:left w:val="single" w:sz="12" w:space="0" w:color="auto"/>
              <w:bottom w:val="single" w:sz="6" w:space="0" w:color="auto"/>
              <w:right w:val="single" w:sz="6" w:space="0" w:color="auto"/>
            </w:tcBorders>
          </w:tcPr>
          <w:p w14:paraId="23DAF4A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Разбег</w:t>
            </w:r>
          </w:p>
        </w:tc>
        <w:tc>
          <w:tcPr>
            <w:tcW w:w="797" w:type="dxa"/>
            <w:tcBorders>
              <w:top w:val="single" w:sz="6" w:space="0" w:color="auto"/>
              <w:left w:val="single" w:sz="6" w:space="0" w:color="auto"/>
              <w:bottom w:val="single" w:sz="6" w:space="0" w:color="auto"/>
              <w:right w:val="single" w:sz="6" w:space="0" w:color="auto"/>
            </w:tcBorders>
          </w:tcPr>
          <w:p w14:paraId="21E8AF3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мт.</w:t>
            </w:r>
          </w:p>
        </w:tc>
        <w:tc>
          <w:tcPr>
            <w:tcW w:w="1181" w:type="dxa"/>
            <w:tcBorders>
              <w:top w:val="single" w:sz="6" w:space="0" w:color="auto"/>
              <w:left w:val="single" w:sz="6" w:space="0" w:color="auto"/>
              <w:bottom w:val="single" w:sz="6" w:space="0" w:color="auto"/>
              <w:right w:val="single" w:sz="6" w:space="0" w:color="auto"/>
            </w:tcBorders>
          </w:tcPr>
          <w:p w14:paraId="7696B72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tc>
        <w:tc>
          <w:tcPr>
            <w:tcW w:w="1699" w:type="dxa"/>
            <w:tcBorders>
              <w:top w:val="single" w:sz="6" w:space="0" w:color="auto"/>
              <w:left w:val="single" w:sz="6" w:space="0" w:color="auto"/>
              <w:bottom w:val="single" w:sz="6" w:space="0" w:color="auto"/>
              <w:right w:val="single" w:sz="12" w:space="0" w:color="auto"/>
            </w:tcBorders>
          </w:tcPr>
          <w:p w14:paraId="0EFE56A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420</w:t>
            </w:r>
          </w:p>
        </w:tc>
      </w:tr>
      <w:tr w:rsidR="00860B4B" w:rsidRPr="00D03F3E" w14:paraId="4783B5DA" w14:textId="77777777">
        <w:trPr>
          <w:trHeight w:val="182"/>
        </w:trPr>
        <w:tc>
          <w:tcPr>
            <w:tcW w:w="3389" w:type="dxa"/>
            <w:tcBorders>
              <w:top w:val="single" w:sz="6" w:space="0" w:color="auto"/>
              <w:left w:val="single" w:sz="12" w:space="0" w:color="auto"/>
              <w:bottom w:val="single" w:sz="6" w:space="0" w:color="auto"/>
              <w:right w:val="single" w:sz="6" w:space="0" w:color="auto"/>
            </w:tcBorders>
          </w:tcPr>
          <w:p w14:paraId="1FDB330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Пробег</w:t>
            </w:r>
          </w:p>
        </w:tc>
        <w:tc>
          <w:tcPr>
            <w:tcW w:w="797" w:type="dxa"/>
            <w:tcBorders>
              <w:top w:val="single" w:sz="6" w:space="0" w:color="auto"/>
              <w:left w:val="single" w:sz="6" w:space="0" w:color="auto"/>
              <w:bottom w:val="single" w:sz="6" w:space="0" w:color="auto"/>
              <w:right w:val="single" w:sz="6" w:space="0" w:color="auto"/>
            </w:tcBorders>
          </w:tcPr>
          <w:p w14:paraId="37417BE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мт.</w:t>
            </w:r>
          </w:p>
        </w:tc>
        <w:tc>
          <w:tcPr>
            <w:tcW w:w="1181" w:type="dxa"/>
            <w:tcBorders>
              <w:top w:val="single" w:sz="6" w:space="0" w:color="auto"/>
              <w:left w:val="single" w:sz="6" w:space="0" w:color="auto"/>
              <w:bottom w:val="single" w:sz="6" w:space="0" w:color="auto"/>
              <w:right w:val="single" w:sz="6" w:space="0" w:color="auto"/>
            </w:tcBorders>
          </w:tcPr>
          <w:p w14:paraId="663BC12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w:t>
            </w:r>
          </w:p>
        </w:tc>
        <w:tc>
          <w:tcPr>
            <w:tcW w:w="1699" w:type="dxa"/>
            <w:tcBorders>
              <w:top w:val="single" w:sz="6" w:space="0" w:color="auto"/>
              <w:left w:val="single" w:sz="6" w:space="0" w:color="auto"/>
              <w:bottom w:val="single" w:sz="6" w:space="0" w:color="auto"/>
              <w:right w:val="single" w:sz="12" w:space="0" w:color="auto"/>
            </w:tcBorders>
          </w:tcPr>
          <w:p w14:paraId="1D6F079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tc>
      </w:tr>
      <w:tr w:rsidR="00860B4B" w:rsidRPr="00D03F3E" w14:paraId="3DF363FC" w14:textId="77777777">
        <w:trPr>
          <w:trHeight w:val="182"/>
        </w:trPr>
        <w:tc>
          <w:tcPr>
            <w:tcW w:w="3389" w:type="dxa"/>
            <w:tcBorders>
              <w:top w:val="single" w:sz="6" w:space="0" w:color="auto"/>
              <w:left w:val="single" w:sz="12" w:space="0" w:color="auto"/>
              <w:bottom w:val="single" w:sz="6" w:space="0" w:color="auto"/>
              <w:right w:val="single" w:sz="6" w:space="0" w:color="auto"/>
            </w:tcBorders>
          </w:tcPr>
          <w:p w14:paraId="22E43F4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Посадочная скорость</w:t>
            </w:r>
          </w:p>
        </w:tc>
        <w:tc>
          <w:tcPr>
            <w:tcW w:w="797" w:type="dxa"/>
            <w:tcBorders>
              <w:top w:val="single" w:sz="6" w:space="0" w:color="auto"/>
              <w:left w:val="single" w:sz="6" w:space="0" w:color="auto"/>
              <w:bottom w:val="single" w:sz="6" w:space="0" w:color="auto"/>
              <w:right w:val="single" w:sz="6" w:space="0" w:color="auto"/>
            </w:tcBorders>
          </w:tcPr>
          <w:p w14:paraId="295CE49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км/час</w:t>
            </w:r>
          </w:p>
        </w:tc>
        <w:tc>
          <w:tcPr>
            <w:tcW w:w="1181" w:type="dxa"/>
            <w:tcBorders>
              <w:top w:val="single" w:sz="6" w:space="0" w:color="auto"/>
              <w:left w:val="single" w:sz="6" w:space="0" w:color="auto"/>
              <w:bottom w:val="single" w:sz="6" w:space="0" w:color="auto"/>
              <w:right w:val="single" w:sz="6" w:space="0" w:color="auto"/>
            </w:tcBorders>
          </w:tcPr>
          <w:p w14:paraId="6BB9F4C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w:t>
            </w:r>
          </w:p>
        </w:tc>
        <w:tc>
          <w:tcPr>
            <w:tcW w:w="1699" w:type="dxa"/>
            <w:tcBorders>
              <w:top w:val="single" w:sz="6" w:space="0" w:color="auto"/>
              <w:left w:val="single" w:sz="6" w:space="0" w:color="auto"/>
              <w:bottom w:val="single" w:sz="6" w:space="0" w:color="auto"/>
              <w:right w:val="single" w:sz="12" w:space="0" w:color="auto"/>
            </w:tcBorders>
          </w:tcPr>
          <w:p w14:paraId="57F06F8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w:t>
            </w:r>
          </w:p>
        </w:tc>
      </w:tr>
      <w:tr w:rsidR="00860B4B" w:rsidRPr="00D03F3E" w14:paraId="40D38219" w14:textId="77777777">
        <w:trPr>
          <w:trHeight w:val="182"/>
        </w:trPr>
        <w:tc>
          <w:tcPr>
            <w:tcW w:w="3389" w:type="dxa"/>
            <w:tcBorders>
              <w:top w:val="single" w:sz="6" w:space="0" w:color="auto"/>
              <w:left w:val="single" w:sz="12" w:space="0" w:color="auto"/>
              <w:bottom w:val="single" w:sz="6" w:space="0" w:color="auto"/>
              <w:right w:val="single" w:sz="6" w:space="0" w:color="auto"/>
            </w:tcBorders>
          </w:tcPr>
          <w:p w14:paraId="3D4FA18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Полетный вес</w:t>
            </w:r>
          </w:p>
        </w:tc>
        <w:tc>
          <w:tcPr>
            <w:tcW w:w="797" w:type="dxa"/>
            <w:tcBorders>
              <w:top w:val="single" w:sz="6" w:space="0" w:color="auto"/>
              <w:left w:val="single" w:sz="6" w:space="0" w:color="auto"/>
              <w:bottom w:val="single" w:sz="6" w:space="0" w:color="auto"/>
              <w:right w:val="single" w:sz="6" w:space="0" w:color="auto"/>
            </w:tcBorders>
          </w:tcPr>
          <w:p w14:paraId="32F3750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кг</w:t>
            </w:r>
          </w:p>
        </w:tc>
        <w:tc>
          <w:tcPr>
            <w:tcW w:w="1181" w:type="dxa"/>
            <w:tcBorders>
              <w:top w:val="single" w:sz="6" w:space="0" w:color="auto"/>
              <w:left w:val="single" w:sz="6" w:space="0" w:color="auto"/>
              <w:bottom w:val="single" w:sz="6" w:space="0" w:color="auto"/>
              <w:right w:val="single" w:sz="6" w:space="0" w:color="auto"/>
            </w:tcBorders>
          </w:tcPr>
          <w:p w14:paraId="40DC887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8150</w:t>
            </w:r>
          </w:p>
        </w:tc>
        <w:tc>
          <w:tcPr>
            <w:tcW w:w="1699" w:type="dxa"/>
            <w:tcBorders>
              <w:top w:val="single" w:sz="6" w:space="0" w:color="auto"/>
              <w:left w:val="single" w:sz="6" w:space="0" w:color="auto"/>
              <w:bottom w:val="single" w:sz="6" w:space="0" w:color="auto"/>
              <w:right w:val="single" w:sz="12" w:space="0" w:color="auto"/>
            </w:tcBorders>
          </w:tcPr>
          <w:p w14:paraId="676C4D0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8300</w:t>
            </w:r>
          </w:p>
        </w:tc>
      </w:tr>
      <w:tr w:rsidR="00860B4B" w:rsidRPr="00D03F3E" w14:paraId="16D93816" w14:textId="77777777">
        <w:trPr>
          <w:trHeight w:val="182"/>
        </w:trPr>
        <w:tc>
          <w:tcPr>
            <w:tcW w:w="3389" w:type="dxa"/>
            <w:tcBorders>
              <w:top w:val="single" w:sz="6" w:space="0" w:color="auto"/>
              <w:left w:val="single" w:sz="12" w:space="0" w:color="auto"/>
              <w:bottom w:val="single" w:sz="6" w:space="0" w:color="auto"/>
              <w:right w:val="single" w:sz="6" w:space="0" w:color="auto"/>
            </w:tcBorders>
          </w:tcPr>
          <w:p w14:paraId="0D32C54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удельная нагрузка</w:t>
            </w:r>
          </w:p>
        </w:tc>
        <w:tc>
          <w:tcPr>
            <w:tcW w:w="797" w:type="dxa"/>
            <w:tcBorders>
              <w:top w:val="single" w:sz="6" w:space="0" w:color="auto"/>
              <w:left w:val="single" w:sz="6" w:space="0" w:color="auto"/>
              <w:bottom w:val="single" w:sz="6" w:space="0" w:color="auto"/>
              <w:right w:val="single" w:sz="6" w:space="0" w:color="auto"/>
            </w:tcBorders>
          </w:tcPr>
          <w:p w14:paraId="6FC750F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кг/мт2</w:t>
            </w:r>
          </w:p>
        </w:tc>
        <w:tc>
          <w:tcPr>
            <w:tcW w:w="1181" w:type="dxa"/>
            <w:tcBorders>
              <w:top w:val="single" w:sz="6" w:space="0" w:color="auto"/>
              <w:left w:val="single" w:sz="6" w:space="0" w:color="auto"/>
              <w:bottom w:val="single" w:sz="6" w:space="0" w:color="auto"/>
              <w:right w:val="single" w:sz="6" w:space="0" w:color="auto"/>
            </w:tcBorders>
          </w:tcPr>
          <w:p w14:paraId="4C791C1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162</w:t>
            </w:r>
          </w:p>
        </w:tc>
        <w:tc>
          <w:tcPr>
            <w:tcW w:w="1699" w:type="dxa"/>
            <w:tcBorders>
              <w:top w:val="single" w:sz="6" w:space="0" w:color="auto"/>
              <w:left w:val="single" w:sz="6" w:space="0" w:color="auto"/>
              <w:bottom w:val="single" w:sz="6" w:space="0" w:color="auto"/>
              <w:right w:val="single" w:sz="12" w:space="0" w:color="auto"/>
            </w:tcBorders>
          </w:tcPr>
          <w:p w14:paraId="5D36B56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165</w:t>
            </w:r>
          </w:p>
        </w:tc>
      </w:tr>
      <w:tr w:rsidR="00860B4B" w:rsidRPr="00D03F3E" w14:paraId="1720D38B" w14:textId="77777777">
        <w:trPr>
          <w:trHeight w:val="182"/>
        </w:trPr>
        <w:tc>
          <w:tcPr>
            <w:tcW w:w="3389" w:type="dxa"/>
            <w:tcBorders>
              <w:top w:val="single" w:sz="6" w:space="0" w:color="auto"/>
              <w:left w:val="single" w:sz="12" w:space="0" w:color="auto"/>
              <w:bottom w:val="single" w:sz="6" w:space="0" w:color="auto"/>
              <w:right w:val="single" w:sz="6" w:space="0" w:color="auto"/>
            </w:tcBorders>
          </w:tcPr>
          <w:p w14:paraId="2649626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Стрелкоео-пушечное вооружение:</w:t>
            </w:r>
          </w:p>
        </w:tc>
        <w:tc>
          <w:tcPr>
            <w:tcW w:w="797" w:type="dxa"/>
            <w:tcBorders>
              <w:top w:val="single" w:sz="6" w:space="0" w:color="auto"/>
              <w:left w:val="single" w:sz="6" w:space="0" w:color="auto"/>
              <w:bottom w:val="single" w:sz="6" w:space="0" w:color="auto"/>
              <w:right w:val="single" w:sz="6" w:space="0" w:color="auto"/>
            </w:tcBorders>
          </w:tcPr>
          <w:p w14:paraId="68511562"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9AE362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 имеетУстановлено 3 фотоаппарата, один в хвосте и два в носовой кабине</w:t>
            </w:r>
          </w:p>
        </w:tc>
        <w:tc>
          <w:tcPr>
            <w:tcW w:w="1699" w:type="dxa"/>
            <w:tcBorders>
              <w:top w:val="single" w:sz="6" w:space="0" w:color="auto"/>
              <w:left w:val="single" w:sz="6" w:space="0" w:color="auto"/>
              <w:bottom w:val="single" w:sz="6" w:space="0" w:color="auto"/>
              <w:right w:val="single" w:sz="12" w:space="0" w:color="auto"/>
            </w:tcBorders>
          </w:tcPr>
          <w:p w14:paraId="7B5F6E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пушrи Испано-Сюиза 20 мм в носу с боезапасом 400 снарядов, 4 пулемета 7,7 с боезапасом 4000 патронов</w:t>
            </w:r>
          </w:p>
        </w:tc>
      </w:tr>
      <w:tr w:rsidR="00860B4B" w:rsidRPr="00D03F3E" w14:paraId="7A00BF0C" w14:textId="77777777">
        <w:trPr>
          <w:trHeight w:val="182"/>
        </w:trPr>
        <w:tc>
          <w:tcPr>
            <w:tcW w:w="3389" w:type="dxa"/>
            <w:tcBorders>
              <w:top w:val="single" w:sz="6" w:space="0" w:color="auto"/>
              <w:left w:val="single" w:sz="12" w:space="0" w:color="auto"/>
              <w:bottom w:val="single" w:sz="6" w:space="0" w:color="auto"/>
              <w:right w:val="single" w:sz="6" w:space="0" w:color="auto"/>
            </w:tcBorders>
          </w:tcPr>
          <w:p w14:paraId="6160378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Бомбовая нагрузка</w:t>
            </w:r>
          </w:p>
        </w:tc>
        <w:tc>
          <w:tcPr>
            <w:tcW w:w="797" w:type="dxa"/>
            <w:tcBorders>
              <w:top w:val="single" w:sz="6" w:space="0" w:color="auto"/>
              <w:left w:val="single" w:sz="6" w:space="0" w:color="auto"/>
              <w:bottom w:val="single" w:sz="6" w:space="0" w:color="auto"/>
              <w:right w:val="single" w:sz="6" w:space="0" w:color="auto"/>
            </w:tcBorders>
          </w:tcPr>
          <w:p w14:paraId="433E8963"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1296AEA"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12" w:space="0" w:color="auto"/>
            </w:tcBorders>
          </w:tcPr>
          <w:p w14:paraId="3CF7659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Предусмотрен люк под фозеляжем для бомб 700 кг.</w:t>
            </w:r>
          </w:p>
        </w:tc>
      </w:tr>
      <w:tr w:rsidR="00860B4B" w:rsidRPr="00D03F3E" w14:paraId="7E52EA31" w14:textId="77777777">
        <w:trPr>
          <w:trHeight w:val="182"/>
        </w:trPr>
        <w:tc>
          <w:tcPr>
            <w:tcW w:w="3389" w:type="dxa"/>
            <w:tcBorders>
              <w:top w:val="single" w:sz="6" w:space="0" w:color="auto"/>
              <w:left w:val="single" w:sz="12" w:space="0" w:color="auto"/>
              <w:bottom w:val="single" w:sz="6" w:space="0" w:color="auto"/>
              <w:right w:val="single" w:sz="6" w:space="0" w:color="auto"/>
            </w:tcBorders>
          </w:tcPr>
          <w:p w14:paraId="09AE18D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w:t>
            </w:r>
          </w:p>
        </w:tc>
        <w:tc>
          <w:tcPr>
            <w:tcW w:w="797" w:type="dxa"/>
            <w:tcBorders>
              <w:top w:val="single" w:sz="6" w:space="0" w:color="auto"/>
              <w:left w:val="single" w:sz="6" w:space="0" w:color="auto"/>
              <w:bottom w:val="single" w:sz="6" w:space="0" w:color="auto"/>
              <w:right w:val="single" w:sz="6" w:space="0" w:color="auto"/>
            </w:tcBorders>
          </w:tcPr>
          <w:p w14:paraId="76FC802B"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FCDE01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летчик и радист</w:t>
            </w:r>
          </w:p>
        </w:tc>
        <w:tc>
          <w:tcPr>
            <w:tcW w:w="1699" w:type="dxa"/>
            <w:tcBorders>
              <w:top w:val="single" w:sz="6" w:space="0" w:color="auto"/>
              <w:left w:val="single" w:sz="6" w:space="0" w:color="auto"/>
              <w:bottom w:val="single" w:sz="6" w:space="0" w:color="auto"/>
              <w:right w:val="single" w:sz="12" w:space="0" w:color="auto"/>
            </w:tcBorders>
          </w:tcPr>
          <w:p w14:paraId="2819BC2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летчик и радист</w:t>
            </w:r>
          </w:p>
        </w:tc>
      </w:tr>
      <w:tr w:rsidR="00860B4B" w:rsidRPr="00D03F3E" w14:paraId="23E7DA87" w14:textId="77777777">
        <w:trPr>
          <w:trHeight w:val="182"/>
        </w:trPr>
        <w:tc>
          <w:tcPr>
            <w:tcW w:w="3389" w:type="dxa"/>
            <w:tcBorders>
              <w:top w:val="single" w:sz="6" w:space="0" w:color="auto"/>
              <w:left w:val="single" w:sz="12" w:space="0" w:color="auto"/>
              <w:bottom w:val="single" w:sz="12" w:space="0" w:color="auto"/>
              <w:right w:val="single" w:sz="6" w:space="0" w:color="auto"/>
            </w:tcBorders>
          </w:tcPr>
          <w:p w14:paraId="4DEF607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Бронирование</w:t>
            </w:r>
          </w:p>
        </w:tc>
        <w:tc>
          <w:tcPr>
            <w:tcW w:w="797" w:type="dxa"/>
            <w:tcBorders>
              <w:top w:val="single" w:sz="6" w:space="0" w:color="auto"/>
              <w:left w:val="single" w:sz="6" w:space="0" w:color="auto"/>
              <w:bottom w:val="single" w:sz="12" w:space="0" w:color="auto"/>
              <w:right w:val="single" w:sz="6" w:space="0" w:color="auto"/>
            </w:tcBorders>
          </w:tcPr>
          <w:p w14:paraId="7353DEFC"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12" w:space="0" w:color="auto"/>
              <w:right w:val="single" w:sz="6" w:space="0" w:color="auto"/>
            </w:tcBorders>
          </w:tcPr>
          <w:p w14:paraId="739E672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бронеспинка</w:t>
            </w:r>
          </w:p>
        </w:tc>
        <w:tc>
          <w:tcPr>
            <w:tcW w:w="1699" w:type="dxa"/>
            <w:tcBorders>
              <w:top w:val="single" w:sz="6" w:space="0" w:color="auto"/>
              <w:left w:val="single" w:sz="6" w:space="0" w:color="auto"/>
              <w:bottom w:val="single" w:sz="12" w:space="0" w:color="auto"/>
              <w:right w:val="single" w:sz="12" w:space="0" w:color="auto"/>
            </w:tcBorders>
          </w:tcPr>
          <w:p w14:paraId="1EE720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бронеспинка</w:t>
            </w:r>
          </w:p>
        </w:tc>
      </w:tr>
    </w:tbl>
    <w:p w14:paraId="10B7352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 По данным, приведенным в листовке английского министерства авиации имеющейся в импортном отделе УВВС КА, самолет "'Москито" имеет макс. скорость 505 км/час.</w:t>
      </w:r>
    </w:p>
    <w:p w14:paraId="5F7DDC6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Размерные данные</w:t>
      </w:r>
    </w:p>
    <w:p w14:paraId="7A7E063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Размерные данные самолета в существующих вариантах одинаковы: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78"/>
        <w:gridCol w:w="2178"/>
      </w:tblGrid>
      <w:tr w:rsidR="00860B4B" w:rsidRPr="00D03F3E" w14:paraId="78097B46" w14:textId="77777777">
        <w:tc>
          <w:tcPr>
            <w:tcW w:w="2178" w:type="dxa"/>
            <w:tcBorders>
              <w:top w:val="single" w:sz="12" w:space="0" w:color="auto"/>
            </w:tcBorders>
          </w:tcPr>
          <w:p w14:paraId="4FC1EDF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размах крыла</w:t>
            </w:r>
          </w:p>
        </w:tc>
        <w:tc>
          <w:tcPr>
            <w:tcW w:w="2178" w:type="dxa"/>
            <w:tcBorders>
              <w:top w:val="single" w:sz="12" w:space="0" w:color="auto"/>
            </w:tcBorders>
          </w:tcPr>
          <w:p w14:paraId="5DD2B8D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метров</w:t>
            </w:r>
          </w:p>
        </w:tc>
      </w:tr>
      <w:tr w:rsidR="00860B4B" w:rsidRPr="00D03F3E" w14:paraId="105201B7" w14:textId="77777777">
        <w:tc>
          <w:tcPr>
            <w:tcW w:w="2178" w:type="dxa"/>
          </w:tcPr>
          <w:p w14:paraId="1ECB199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самолета</w:t>
            </w:r>
          </w:p>
        </w:tc>
        <w:tc>
          <w:tcPr>
            <w:tcW w:w="2178" w:type="dxa"/>
          </w:tcPr>
          <w:p w14:paraId="70A1F57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метров</w:t>
            </w:r>
          </w:p>
        </w:tc>
      </w:tr>
      <w:tr w:rsidR="00860B4B" w:rsidRPr="00D03F3E" w14:paraId="3D81B41D" w14:textId="77777777">
        <w:tc>
          <w:tcPr>
            <w:tcW w:w="2178" w:type="dxa"/>
            <w:tcBorders>
              <w:bottom w:val="single" w:sz="12" w:space="0" w:color="auto"/>
            </w:tcBorders>
          </w:tcPr>
          <w:p w14:paraId="351881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высота самолета</w:t>
            </w:r>
          </w:p>
        </w:tc>
        <w:tc>
          <w:tcPr>
            <w:tcW w:w="2178" w:type="dxa"/>
            <w:tcBorders>
              <w:bottom w:val="single" w:sz="12" w:space="0" w:color="auto"/>
            </w:tcBorders>
          </w:tcPr>
          <w:p w14:paraId="081F8D7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метра</w:t>
            </w:r>
          </w:p>
        </w:tc>
      </w:tr>
    </w:tbl>
    <w:p w14:paraId="33E79FB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Строительство самолетов "Москито"</w:t>
      </w:r>
    </w:p>
    <w:p w14:paraId="57E8026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данным журнала "'Интеравиа" № 844-845 за 1942 год самолеты "Москито", помимо Англии, строятся также в Канадском филиале фирмы Де-Хивилзнд и доставку их в Англию намечается производить путем перегонки яо воздуху.</w:t>
      </w:r>
    </w:p>
    <w:p w14:paraId="7AB0329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Конструкция</w:t>
      </w:r>
    </w:p>
    <w:p w14:paraId="549154D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имеет среднерасположенное крыло и фюзеляж-монокок с одной каби</w:t>
      </w:r>
      <w:r w:rsidRPr="00D03F3E">
        <w:rPr>
          <w:rFonts w:ascii="Times New Roman" w:hAnsi="Times New Roman"/>
          <w:color w:val="000000" w:themeColor="text1"/>
          <w:sz w:val="16"/>
          <w:szCs w:val="16"/>
        </w:rPr>
        <w:softHyphen/>
        <w:t>ной, в. которой уступами размещены летчик и радист. Самолет построен из дерева, за исключением оперения и элеронов.</w:t>
      </w:r>
    </w:p>
    <w:p w14:paraId="666FDC4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Крыло - нераз"емное, с фанерной, покрытой полотном, обшивкой.</w:t>
      </w:r>
    </w:p>
    <w:p w14:paraId="6C62370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носке крыла между фюзеляжем и мотором установлены масло - и водорадиаторы, занимающие по размаху около 1-го метра.</w:t>
      </w:r>
    </w:p>
    <w:p w14:paraId="0EE6F4D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крыле по обоим сторонам моторов расположены бензобаки. Между моторами и фюзеляжем размещены по два двойных бензобака, а ближе к консолям находится по одному бензобаку. Все бензобаки - протектированные. За кабиной летчика помещаются еще два бензобака и под ними, а такте под кабиной имеется свободное пространство, используемое для подвески дополнительных баков емкостыо 680 лтр.</w:t>
      </w:r>
    </w:p>
    <w:p w14:paraId="4D4AE2F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Фюзеляж санолета сигарообразной ормы, построен из шпона.</w:t>
      </w:r>
    </w:p>
    <w:p w14:paraId="4CF142C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зависимости от назначения самолета, носовая вместительная часть фюзеляжа используется или для стрелкового вооружения, или для оборудования для фотосъемки.</w:t>
      </w:r>
    </w:p>
    <w:p w14:paraId="5E9B45C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 моторами установлены ноги шасси с маслопневматической амортизацией, убиравшиеся в люки за моторами. .Механизм под"ема шасси электрический; выпуск шасси можно производить ручным насосом через маслосистему.</w:t>
      </w:r>
    </w:p>
    <w:p w14:paraId="05D09E5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Хвостовое колесо в полете убирается. </w:t>
      </w:r>
    </w:p>
    <w:p w14:paraId="2F5728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Летная оценка самолета.</w:t>
      </w:r>
    </w:p>
    <w:p w14:paraId="3DAD258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данным тов. Федрови самолет "Москито"' обладает очень хорошей маневренностью и не уступает в этом отношении нашему МиГ, при этом управление элеронами на самолете "Москито." мягче и легче.</w:t>
      </w:r>
    </w:p>
    <w:p w14:paraId="3684B9E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Взлетно-посадочные свойства также сходны с самолетом МиГ.</w:t>
      </w:r>
    </w:p>
    <w:p w14:paraId="1CDDA0C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при одном выключенном моторе свободно виражит, набирает высоту и отбалансированкый тримиерами, спокойно идет с брошенным управлением.</w:t>
      </w:r>
    </w:p>
    <w:p w14:paraId="7D6E9AE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дашным английских летчиков, самолет вьполняет все фигуры пилотажа, но при этом крыльевые баки не должны быть полностью, залиты горючим.</w:t>
      </w:r>
    </w:p>
    <w:p w14:paraId="173AA11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счет установки дополнительных баков дальность полета увеличивается до 4150 км., а продолжительность до 9 часов.</w:t>
      </w:r>
    </w:p>
    <w:p w14:paraId="3F428F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время полета на "Москито" при полностью заправленных баках, самолет свободно выполнял горки до набора высоты после разгона до 1000 м., боевые развороты, пикирование, вертикальные виражи, восьмерки.</w:t>
      </w:r>
    </w:p>
    <w:p w14:paraId="779937A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Радиус виража по времени занимает 23-25 сек. на скорости 400 км/час.</w:t>
      </w:r>
    </w:p>
    <w:p w14:paraId="4BF86AA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Источники данных</w:t>
      </w:r>
    </w:p>
    <w:p w14:paraId="1420DEB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самолету "Москито" в заграничной литературе имеются лишь отдельные отрывочные данные без указания летных характеристик: Интеравиа № 844-4.5 за 1942 г., Флайт № 1773 за 1942 г. и другие. Наиболее полные сведения по самолету содержатся в отчете тов. Федрови “О летно-технических данных и организации воздушных сил Англии”, из которых они и взяты для настоящей справки.</w:t>
      </w:r>
    </w:p>
    <w:p w14:paraId="4C0DD07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Фотография самолета "Москито" из .журнала «Фляйт» (1458,205).</w:t>
      </w:r>
    </w:p>
    <w:p w14:paraId="4903ADA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smallCaps/>
          <w:color w:val="000000" w:themeColor="text1"/>
          <w:sz w:val="16"/>
          <w:szCs w:val="16"/>
        </w:rPr>
        <w:t xml:space="preserve">ТАКТИКО-ТЕХНИЧКСКИЕ ДАННЫЕ САМОЛЕТА </w:t>
      </w:r>
      <w:r w:rsidRPr="00D03F3E">
        <w:rPr>
          <w:rFonts w:ascii="Times New Roman" w:hAnsi="Times New Roman"/>
          <w:color w:val="000000" w:themeColor="text1"/>
          <w:sz w:val="16"/>
          <w:szCs w:val="16"/>
        </w:rPr>
        <w:t>"МОСКИТО”</w:t>
      </w:r>
    </w:p>
    <w:tbl>
      <w:tblPr>
        <w:tblW w:w="0" w:type="auto"/>
        <w:tblLayout w:type="fixed"/>
        <w:tblLook w:val="0000" w:firstRow="0" w:lastRow="0" w:firstColumn="0" w:lastColumn="0" w:noHBand="0" w:noVBand="0"/>
      </w:tblPr>
      <w:tblGrid>
        <w:gridCol w:w="3708"/>
        <w:gridCol w:w="3708"/>
      </w:tblGrid>
      <w:tr w:rsidR="00860B4B" w:rsidRPr="00D03F3E" w14:paraId="2457F23D" w14:textId="77777777">
        <w:tc>
          <w:tcPr>
            <w:tcW w:w="3708" w:type="dxa"/>
            <w:tcBorders>
              <w:top w:val="single" w:sz="12" w:space="0" w:color="auto"/>
              <w:left w:val="single" w:sz="12" w:space="0" w:color="auto"/>
              <w:bottom w:val="single" w:sz="6" w:space="0" w:color="auto"/>
              <w:right w:val="single" w:sz="6" w:space="0" w:color="auto"/>
            </w:tcBorders>
          </w:tcPr>
          <w:p w14:paraId="2D2A285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Марка и мощность мотора</w:t>
            </w:r>
          </w:p>
        </w:tc>
        <w:tc>
          <w:tcPr>
            <w:tcW w:w="3708" w:type="dxa"/>
            <w:tcBorders>
              <w:top w:val="single" w:sz="12" w:space="0" w:color="auto"/>
              <w:left w:val="single" w:sz="6" w:space="0" w:color="auto"/>
              <w:bottom w:val="single" w:sz="6" w:space="0" w:color="auto"/>
              <w:right w:val="single" w:sz="12" w:space="0" w:color="auto"/>
            </w:tcBorders>
          </w:tcPr>
          <w:p w14:paraId="4559E2A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Роллс-Ройс "Мерлин" 20 по 1370 л/с.</w:t>
            </w:r>
          </w:p>
        </w:tc>
      </w:tr>
      <w:tr w:rsidR="00860B4B" w:rsidRPr="00D03F3E" w14:paraId="3060B4FC" w14:textId="77777777">
        <w:tc>
          <w:tcPr>
            <w:tcW w:w="3708" w:type="dxa"/>
            <w:tcBorders>
              <w:top w:val="single" w:sz="6" w:space="0" w:color="auto"/>
              <w:left w:val="single" w:sz="12" w:space="0" w:color="auto"/>
              <w:bottom w:val="single" w:sz="6" w:space="0" w:color="auto"/>
              <w:right w:val="single" w:sz="6" w:space="0" w:color="auto"/>
            </w:tcBorders>
          </w:tcPr>
          <w:p w14:paraId="5CF4C70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w:t>
            </w:r>
          </w:p>
        </w:tc>
        <w:tc>
          <w:tcPr>
            <w:tcW w:w="3708" w:type="dxa"/>
            <w:tcBorders>
              <w:top w:val="single" w:sz="6" w:space="0" w:color="auto"/>
              <w:left w:val="single" w:sz="6" w:space="0" w:color="auto"/>
              <w:bottom w:val="single" w:sz="6" w:space="0" w:color="auto"/>
              <w:right w:val="single" w:sz="12" w:space="0" w:color="auto"/>
            </w:tcBorders>
          </w:tcPr>
          <w:p w14:paraId="3584529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человека.</w:t>
            </w:r>
          </w:p>
        </w:tc>
      </w:tr>
      <w:tr w:rsidR="00860B4B" w:rsidRPr="00D03F3E" w14:paraId="06B3BE2D" w14:textId="77777777">
        <w:tc>
          <w:tcPr>
            <w:tcW w:w="3708" w:type="dxa"/>
            <w:tcBorders>
              <w:top w:val="single" w:sz="6" w:space="0" w:color="auto"/>
              <w:left w:val="single" w:sz="12" w:space="0" w:color="auto"/>
              <w:bottom w:val="single" w:sz="6" w:space="0" w:color="auto"/>
              <w:right w:val="single" w:sz="6" w:space="0" w:color="auto"/>
            </w:tcBorders>
          </w:tcPr>
          <w:p w14:paraId="090BEA6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Полетный вес</w:t>
            </w:r>
          </w:p>
        </w:tc>
        <w:tc>
          <w:tcPr>
            <w:tcW w:w="3708" w:type="dxa"/>
            <w:tcBorders>
              <w:top w:val="single" w:sz="6" w:space="0" w:color="auto"/>
              <w:left w:val="single" w:sz="6" w:space="0" w:color="auto"/>
              <w:bottom w:val="single" w:sz="6" w:space="0" w:color="auto"/>
              <w:right w:val="single" w:sz="12" w:space="0" w:color="auto"/>
            </w:tcBorders>
          </w:tcPr>
          <w:p w14:paraId="292B8C5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8300</w:t>
            </w:r>
          </w:p>
        </w:tc>
      </w:tr>
      <w:tr w:rsidR="00860B4B" w:rsidRPr="00D03F3E" w14:paraId="5025B561" w14:textId="77777777">
        <w:tc>
          <w:tcPr>
            <w:tcW w:w="3708" w:type="dxa"/>
            <w:tcBorders>
              <w:top w:val="single" w:sz="6" w:space="0" w:color="auto"/>
              <w:left w:val="single" w:sz="12" w:space="0" w:color="auto"/>
              <w:bottom w:val="single" w:sz="6" w:space="0" w:color="auto"/>
              <w:right w:val="single" w:sz="6" w:space="0" w:color="auto"/>
            </w:tcBorders>
          </w:tcPr>
          <w:p w14:paraId="38936C4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Скорость в км/ч.</w:t>
            </w:r>
          </w:p>
        </w:tc>
        <w:tc>
          <w:tcPr>
            <w:tcW w:w="3708" w:type="dxa"/>
            <w:tcBorders>
              <w:top w:val="single" w:sz="6" w:space="0" w:color="auto"/>
              <w:left w:val="single" w:sz="6" w:space="0" w:color="auto"/>
              <w:bottom w:val="single" w:sz="6" w:space="0" w:color="auto"/>
              <w:right w:val="single" w:sz="12" w:space="0" w:color="auto"/>
            </w:tcBorders>
          </w:tcPr>
          <w:p w14:paraId="0AADFF3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00C697C2" w14:textId="77777777">
        <w:tc>
          <w:tcPr>
            <w:tcW w:w="3708" w:type="dxa"/>
            <w:tcBorders>
              <w:top w:val="single" w:sz="6" w:space="0" w:color="auto"/>
              <w:left w:val="single" w:sz="12" w:space="0" w:color="auto"/>
              <w:bottom w:val="single" w:sz="6" w:space="0" w:color="auto"/>
              <w:right w:val="single" w:sz="6" w:space="0" w:color="auto"/>
            </w:tcBorders>
          </w:tcPr>
          <w:p w14:paraId="51AC2B7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максимальная</w:t>
            </w:r>
          </w:p>
        </w:tc>
        <w:tc>
          <w:tcPr>
            <w:tcW w:w="3708" w:type="dxa"/>
            <w:tcBorders>
              <w:top w:val="single" w:sz="6" w:space="0" w:color="auto"/>
              <w:left w:val="single" w:sz="6" w:space="0" w:color="auto"/>
              <w:bottom w:val="single" w:sz="6" w:space="0" w:color="auto"/>
              <w:right w:val="single" w:sz="12" w:space="0" w:color="auto"/>
            </w:tcBorders>
          </w:tcPr>
          <w:p w14:paraId="550D782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640/5700</w:t>
            </w:r>
          </w:p>
        </w:tc>
      </w:tr>
      <w:tr w:rsidR="00860B4B" w:rsidRPr="00D03F3E" w14:paraId="7D5BF6B8" w14:textId="77777777">
        <w:tc>
          <w:tcPr>
            <w:tcW w:w="3708" w:type="dxa"/>
            <w:tcBorders>
              <w:top w:val="single" w:sz="6" w:space="0" w:color="auto"/>
              <w:left w:val="single" w:sz="12" w:space="0" w:color="auto"/>
              <w:bottom w:val="single" w:sz="6" w:space="0" w:color="auto"/>
              <w:right w:val="single" w:sz="6" w:space="0" w:color="auto"/>
            </w:tcBorders>
          </w:tcPr>
          <w:p w14:paraId="5DB8941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крейсерская</w:t>
            </w:r>
          </w:p>
        </w:tc>
        <w:tc>
          <w:tcPr>
            <w:tcW w:w="3708" w:type="dxa"/>
            <w:tcBorders>
              <w:top w:val="single" w:sz="6" w:space="0" w:color="auto"/>
              <w:left w:val="single" w:sz="6" w:space="0" w:color="auto"/>
              <w:bottom w:val="single" w:sz="6" w:space="0" w:color="auto"/>
              <w:right w:val="single" w:sz="12" w:space="0" w:color="auto"/>
            </w:tcBorders>
          </w:tcPr>
          <w:p w14:paraId="0D15189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480</w:t>
            </w:r>
          </w:p>
        </w:tc>
      </w:tr>
      <w:tr w:rsidR="00860B4B" w:rsidRPr="00D03F3E" w14:paraId="653E01E1" w14:textId="77777777">
        <w:tc>
          <w:tcPr>
            <w:tcW w:w="3708" w:type="dxa"/>
            <w:tcBorders>
              <w:top w:val="single" w:sz="6" w:space="0" w:color="auto"/>
              <w:left w:val="single" w:sz="12" w:space="0" w:color="auto"/>
              <w:bottom w:val="single" w:sz="6" w:space="0" w:color="auto"/>
              <w:right w:val="single" w:sz="6" w:space="0" w:color="auto"/>
            </w:tcBorders>
          </w:tcPr>
          <w:p w14:paraId="4C14E9B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Посадочная скорость в км/ч.</w:t>
            </w:r>
          </w:p>
        </w:tc>
        <w:tc>
          <w:tcPr>
            <w:tcW w:w="3708" w:type="dxa"/>
            <w:tcBorders>
              <w:top w:val="single" w:sz="6" w:space="0" w:color="auto"/>
              <w:left w:val="single" w:sz="6" w:space="0" w:color="auto"/>
              <w:bottom w:val="single" w:sz="6" w:space="0" w:color="auto"/>
              <w:right w:val="single" w:sz="12" w:space="0" w:color="auto"/>
            </w:tcBorders>
          </w:tcPr>
          <w:p w14:paraId="595677C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145</w:t>
            </w:r>
          </w:p>
        </w:tc>
      </w:tr>
      <w:tr w:rsidR="00860B4B" w:rsidRPr="00D03F3E" w14:paraId="5F6727A6" w14:textId="77777777">
        <w:tc>
          <w:tcPr>
            <w:tcW w:w="3708" w:type="dxa"/>
            <w:tcBorders>
              <w:top w:val="single" w:sz="6" w:space="0" w:color="auto"/>
              <w:left w:val="single" w:sz="12" w:space="0" w:color="auto"/>
              <w:bottom w:val="single" w:sz="6" w:space="0" w:color="auto"/>
              <w:right w:val="single" w:sz="6" w:space="0" w:color="auto"/>
            </w:tcBorders>
          </w:tcPr>
          <w:p w14:paraId="16DB06D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Разбег</w:t>
            </w:r>
          </w:p>
        </w:tc>
        <w:tc>
          <w:tcPr>
            <w:tcW w:w="3708" w:type="dxa"/>
            <w:tcBorders>
              <w:top w:val="single" w:sz="6" w:space="0" w:color="auto"/>
              <w:left w:val="single" w:sz="6" w:space="0" w:color="auto"/>
              <w:bottom w:val="single" w:sz="6" w:space="0" w:color="auto"/>
              <w:right w:val="single" w:sz="12" w:space="0" w:color="auto"/>
            </w:tcBorders>
          </w:tcPr>
          <w:p w14:paraId="6BA2CB8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w:t>
            </w:r>
          </w:p>
        </w:tc>
      </w:tr>
      <w:tr w:rsidR="00860B4B" w:rsidRPr="00D03F3E" w14:paraId="198A9B9A" w14:textId="77777777">
        <w:tc>
          <w:tcPr>
            <w:tcW w:w="3708" w:type="dxa"/>
            <w:tcBorders>
              <w:top w:val="single" w:sz="6" w:space="0" w:color="auto"/>
              <w:left w:val="single" w:sz="12" w:space="0" w:color="auto"/>
              <w:bottom w:val="single" w:sz="6" w:space="0" w:color="auto"/>
              <w:right w:val="single" w:sz="6" w:space="0" w:color="auto"/>
            </w:tcBorders>
          </w:tcPr>
          <w:p w14:paraId="1369064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Пробег</w:t>
            </w:r>
          </w:p>
        </w:tc>
        <w:tc>
          <w:tcPr>
            <w:tcW w:w="3708" w:type="dxa"/>
            <w:tcBorders>
              <w:top w:val="single" w:sz="6" w:space="0" w:color="auto"/>
              <w:left w:val="single" w:sz="6" w:space="0" w:color="auto"/>
              <w:bottom w:val="single" w:sz="6" w:space="0" w:color="auto"/>
              <w:right w:val="single" w:sz="12" w:space="0" w:color="auto"/>
            </w:tcBorders>
          </w:tcPr>
          <w:p w14:paraId="3F2214F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tc>
      </w:tr>
      <w:tr w:rsidR="00860B4B" w:rsidRPr="00D03F3E" w14:paraId="0274C8FC" w14:textId="77777777">
        <w:tc>
          <w:tcPr>
            <w:tcW w:w="3708" w:type="dxa"/>
            <w:tcBorders>
              <w:top w:val="single" w:sz="6" w:space="0" w:color="auto"/>
              <w:left w:val="single" w:sz="12" w:space="0" w:color="auto"/>
              <w:bottom w:val="single" w:sz="6" w:space="0" w:color="auto"/>
              <w:right w:val="single" w:sz="6" w:space="0" w:color="auto"/>
            </w:tcBorders>
          </w:tcPr>
          <w:p w14:paraId="758016F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Рабочий потолок в м.</w:t>
            </w:r>
          </w:p>
        </w:tc>
        <w:tc>
          <w:tcPr>
            <w:tcW w:w="3708" w:type="dxa"/>
            <w:tcBorders>
              <w:top w:val="single" w:sz="6" w:space="0" w:color="auto"/>
              <w:left w:val="single" w:sz="6" w:space="0" w:color="auto"/>
              <w:bottom w:val="single" w:sz="6" w:space="0" w:color="auto"/>
              <w:right w:val="single" w:sz="12" w:space="0" w:color="auto"/>
            </w:tcBorders>
          </w:tcPr>
          <w:p w14:paraId="4DFD1E0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11.000</w:t>
            </w:r>
          </w:p>
        </w:tc>
      </w:tr>
      <w:tr w:rsidR="00860B4B" w:rsidRPr="00D03F3E" w14:paraId="5CE8428A" w14:textId="77777777">
        <w:tc>
          <w:tcPr>
            <w:tcW w:w="3708" w:type="dxa"/>
            <w:tcBorders>
              <w:top w:val="single" w:sz="6" w:space="0" w:color="auto"/>
              <w:left w:val="single" w:sz="12" w:space="0" w:color="auto"/>
              <w:bottom w:val="single" w:sz="6" w:space="0" w:color="auto"/>
              <w:right w:val="single" w:sz="6" w:space="0" w:color="auto"/>
            </w:tcBorders>
          </w:tcPr>
          <w:p w14:paraId="554F1D0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полета в к</w:t>
            </w:r>
          </w:p>
        </w:tc>
        <w:tc>
          <w:tcPr>
            <w:tcW w:w="3708" w:type="dxa"/>
            <w:tcBorders>
              <w:top w:val="single" w:sz="6" w:space="0" w:color="auto"/>
              <w:left w:val="single" w:sz="6" w:space="0" w:color="auto"/>
              <w:bottom w:val="single" w:sz="6" w:space="0" w:color="auto"/>
              <w:right w:val="single" w:sz="12" w:space="0" w:color="auto"/>
            </w:tcBorders>
          </w:tcPr>
          <w:p w14:paraId="57185E5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3200 при скорости 500 км/ч. 4100 с допол.бачками.</w:t>
            </w:r>
          </w:p>
        </w:tc>
      </w:tr>
      <w:tr w:rsidR="00860B4B" w:rsidRPr="00D03F3E" w14:paraId="60333555" w14:textId="77777777">
        <w:tc>
          <w:tcPr>
            <w:tcW w:w="3708" w:type="dxa"/>
            <w:tcBorders>
              <w:top w:val="single" w:sz="6" w:space="0" w:color="auto"/>
              <w:left w:val="single" w:sz="12" w:space="0" w:color="auto"/>
              <w:bottom w:val="single" w:sz="6" w:space="0" w:color="auto"/>
              <w:right w:val="single" w:sz="6" w:space="0" w:color="auto"/>
            </w:tcBorders>
          </w:tcPr>
          <w:p w14:paraId="554D898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Бомбовая нагрузка</w:t>
            </w:r>
          </w:p>
        </w:tc>
        <w:tc>
          <w:tcPr>
            <w:tcW w:w="3708" w:type="dxa"/>
            <w:tcBorders>
              <w:top w:val="single" w:sz="6" w:space="0" w:color="auto"/>
              <w:left w:val="single" w:sz="6" w:space="0" w:color="auto"/>
              <w:bottom w:val="single" w:sz="6" w:space="0" w:color="auto"/>
              <w:right w:val="single" w:sz="12" w:space="0" w:color="auto"/>
            </w:tcBorders>
          </w:tcPr>
          <w:p w14:paraId="1AA2521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900 кг.</w:t>
            </w:r>
          </w:p>
        </w:tc>
      </w:tr>
      <w:tr w:rsidR="00860B4B" w:rsidRPr="00D03F3E" w14:paraId="62268A13" w14:textId="77777777">
        <w:tc>
          <w:tcPr>
            <w:tcW w:w="3708" w:type="dxa"/>
            <w:tcBorders>
              <w:top w:val="single" w:sz="6" w:space="0" w:color="auto"/>
              <w:left w:val="single" w:sz="12" w:space="0" w:color="auto"/>
              <w:bottom w:val="single" w:sz="6" w:space="0" w:color="auto"/>
              <w:right w:val="single" w:sz="6" w:space="0" w:color="auto"/>
            </w:tcBorders>
          </w:tcPr>
          <w:p w14:paraId="2791F1F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Размеры в мет.:</w:t>
            </w:r>
          </w:p>
        </w:tc>
        <w:tc>
          <w:tcPr>
            <w:tcW w:w="3708" w:type="dxa"/>
            <w:tcBorders>
              <w:top w:val="single" w:sz="6" w:space="0" w:color="auto"/>
              <w:left w:val="single" w:sz="6" w:space="0" w:color="auto"/>
              <w:bottom w:val="single" w:sz="6" w:space="0" w:color="auto"/>
              <w:right w:val="single" w:sz="12" w:space="0" w:color="auto"/>
            </w:tcBorders>
          </w:tcPr>
          <w:p w14:paraId="24FB924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6CAB43AD" w14:textId="77777777">
        <w:tc>
          <w:tcPr>
            <w:tcW w:w="3708" w:type="dxa"/>
            <w:tcBorders>
              <w:top w:val="single" w:sz="6" w:space="0" w:color="auto"/>
              <w:left w:val="single" w:sz="12" w:space="0" w:color="auto"/>
              <w:bottom w:val="single" w:sz="6" w:space="0" w:color="auto"/>
              <w:right w:val="single" w:sz="6" w:space="0" w:color="auto"/>
            </w:tcBorders>
          </w:tcPr>
          <w:p w14:paraId="7B8BD92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размах</w:t>
            </w:r>
          </w:p>
        </w:tc>
        <w:tc>
          <w:tcPr>
            <w:tcW w:w="3708" w:type="dxa"/>
            <w:tcBorders>
              <w:top w:val="single" w:sz="6" w:space="0" w:color="auto"/>
              <w:left w:val="single" w:sz="6" w:space="0" w:color="auto"/>
              <w:bottom w:val="single" w:sz="6" w:space="0" w:color="auto"/>
              <w:right w:val="single" w:sz="12" w:space="0" w:color="auto"/>
            </w:tcBorders>
          </w:tcPr>
          <w:p w14:paraId="3F16E71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17,0</w:t>
            </w:r>
          </w:p>
        </w:tc>
      </w:tr>
      <w:tr w:rsidR="00860B4B" w:rsidRPr="00D03F3E" w14:paraId="780D2C95" w14:textId="77777777">
        <w:tc>
          <w:tcPr>
            <w:tcW w:w="3708" w:type="dxa"/>
            <w:tcBorders>
              <w:top w:val="single" w:sz="6" w:space="0" w:color="auto"/>
              <w:left w:val="single" w:sz="12" w:space="0" w:color="auto"/>
              <w:bottom w:val="single" w:sz="6" w:space="0" w:color="auto"/>
              <w:right w:val="single" w:sz="6" w:space="0" w:color="auto"/>
            </w:tcBorders>
          </w:tcPr>
          <w:p w14:paraId="01502F2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длина</w:t>
            </w:r>
          </w:p>
        </w:tc>
        <w:tc>
          <w:tcPr>
            <w:tcW w:w="3708" w:type="dxa"/>
            <w:tcBorders>
              <w:top w:val="single" w:sz="6" w:space="0" w:color="auto"/>
              <w:left w:val="single" w:sz="6" w:space="0" w:color="auto"/>
              <w:bottom w:val="single" w:sz="6" w:space="0" w:color="auto"/>
              <w:right w:val="single" w:sz="12" w:space="0" w:color="auto"/>
            </w:tcBorders>
          </w:tcPr>
          <w:p w14:paraId="7C2D7C7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w:t>
            </w:r>
          </w:p>
        </w:tc>
      </w:tr>
      <w:tr w:rsidR="00860B4B" w:rsidRPr="00D03F3E" w14:paraId="0366292E" w14:textId="77777777">
        <w:tc>
          <w:tcPr>
            <w:tcW w:w="3708" w:type="dxa"/>
            <w:tcBorders>
              <w:top w:val="single" w:sz="6" w:space="0" w:color="auto"/>
              <w:left w:val="single" w:sz="12" w:space="0" w:color="auto"/>
              <w:bottom w:val="single" w:sz="6" w:space="0" w:color="auto"/>
              <w:right w:val="single" w:sz="6" w:space="0" w:color="auto"/>
            </w:tcBorders>
          </w:tcPr>
          <w:p w14:paraId="2C745AD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высота</w:t>
            </w:r>
          </w:p>
        </w:tc>
        <w:tc>
          <w:tcPr>
            <w:tcW w:w="3708" w:type="dxa"/>
            <w:tcBorders>
              <w:top w:val="single" w:sz="6" w:space="0" w:color="auto"/>
              <w:left w:val="single" w:sz="6" w:space="0" w:color="auto"/>
              <w:bottom w:val="single" w:sz="6" w:space="0" w:color="auto"/>
              <w:right w:val="single" w:sz="12" w:space="0" w:color="auto"/>
            </w:tcBorders>
          </w:tcPr>
          <w:p w14:paraId="06CD0C8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tc>
      </w:tr>
      <w:tr w:rsidR="00860B4B" w:rsidRPr="00D03F3E" w14:paraId="3D5C2DF8" w14:textId="77777777">
        <w:tc>
          <w:tcPr>
            <w:tcW w:w="3708" w:type="dxa"/>
            <w:tcBorders>
              <w:top w:val="single" w:sz="6" w:space="0" w:color="auto"/>
              <w:left w:val="single" w:sz="12" w:space="0" w:color="auto"/>
              <w:bottom w:val="single" w:sz="12" w:space="0" w:color="auto"/>
              <w:right w:val="single" w:sz="6" w:space="0" w:color="auto"/>
            </w:tcBorders>
          </w:tcPr>
          <w:p w14:paraId="01467B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w:t>
            </w:r>
          </w:p>
        </w:tc>
        <w:tc>
          <w:tcPr>
            <w:tcW w:w="3708" w:type="dxa"/>
            <w:tcBorders>
              <w:top w:val="single" w:sz="6" w:space="0" w:color="auto"/>
              <w:left w:val="single" w:sz="6" w:space="0" w:color="auto"/>
              <w:bottom w:val="single" w:sz="12" w:space="0" w:color="auto"/>
              <w:right w:val="single" w:sz="12" w:space="0" w:color="auto"/>
            </w:tcBorders>
          </w:tcPr>
          <w:p w14:paraId="07FE2EF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- 4 пулемета и 4 пушки кал.20 мм. Снарядов 400 шт. Патрон 4000 шт.</w:t>
            </w:r>
          </w:p>
        </w:tc>
      </w:tr>
    </w:tbl>
    <w:p w14:paraId="145C549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(1458,210.</w:t>
      </w:r>
    </w:p>
    <w:p w14:paraId="35258CE1" w14:textId="77777777" w:rsidR="00531570" w:rsidRPr="00D03F3E" w:rsidRDefault="00531570" w:rsidP="00D03F3E">
      <w:pPr>
        <w:pStyle w:val="Iauiue"/>
        <w:jc w:val="both"/>
        <w:rPr>
          <w:iCs/>
          <w:color w:val="000000" w:themeColor="text1"/>
          <w:sz w:val="16"/>
          <w:szCs w:val="16"/>
        </w:rPr>
      </w:pPr>
    </w:p>
    <w:p w14:paraId="7C9A68C7" w14:textId="77777777" w:rsidR="002A10B9"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мая 1943 вышло Постановление ГКО № 3358 О работе главных конструкторов авиационной промышленности.РГАНИР, Фонд ГКО, д. 117, лл. 20-21 (11012).</w:t>
      </w:r>
    </w:p>
    <w:p w14:paraId="4AB2A0B7" w14:textId="77777777" w:rsidR="002A10B9" w:rsidRPr="00D03F3E" w:rsidRDefault="002A10B9" w:rsidP="00D03F3E">
      <w:pPr>
        <w:spacing w:after="0" w:line="240" w:lineRule="auto"/>
        <w:jc w:val="both"/>
        <w:rPr>
          <w:rFonts w:ascii="Times New Roman" w:hAnsi="Times New Roman"/>
          <w:color w:val="000000" w:themeColor="text1"/>
          <w:sz w:val="16"/>
          <w:szCs w:val="16"/>
        </w:rPr>
      </w:pPr>
    </w:p>
    <w:p w14:paraId="41CC6139" w14:textId="77777777" w:rsidR="002A10B9"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мая 1943 г. ГОСУДАРСТВЕННЫЙ КОМИТЕТ ОБОРОНЫ ПОСТАНОВЛЕНИЕ № ГКО-3358</w:t>
      </w:r>
    </w:p>
    <w:p w14:paraId="58BAB241" w14:textId="77777777" w:rsidR="002A10B9"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 Кремль</w:t>
      </w:r>
    </w:p>
    <w:p w14:paraId="0D554CB2"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работе главных конструкторов авиационной промышленности</w:t>
      </w:r>
    </w:p>
    <w:p w14:paraId="1C6BFD6B"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 Государственный Комитет Обороны признал целесообразным дополнить существующую организационную систему работы главных конструкторов по созданию новых моторов и самолетов или их модицикации, формой взаимопомощи со стороны других главных конструкторов в том случае, если главный конструктор, ведущий данную работу, не справляется с решением задач в установленные сроки. </w:t>
      </w:r>
    </w:p>
    <w:p w14:paraId="75E5A08C"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xml:space="preserve">Установить, что главные конструкторы, обеспечивающие своей помощью быстрое и удовлетворительное решение поставленых вопросов, награждаются Правительством, исходя из значения для обороны страны разрешенной задачи. </w:t>
      </w:r>
    </w:p>
    <w:p w14:paraId="054D2149"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 В связи с тем, что главный конструктор т. Климов не выполнил в срок решение Государственного Комитета Обороны по созданию мотора М-107А, имеющего в настоящее время исключительное значение для развития авиации - поручить главным конструкторам - доктору технических наук т. Микулину и доктору технических наук - т. Швецову прийти на помощь главному конструктору т. Климову и обеспечить успешное прохождение государственных испытаний мотора М-107А в кратчайший срок. </w:t>
      </w:r>
    </w:p>
    <w:p w14:paraId="7B029BE6"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3. В связи с тем, что главный конструктор т. Путилов не обеспечивает необходимого развития самолета Пе-2 - поручить главному конструктору доктору технических паук - т. Сухому, используя имеющиеся в его распоряжении конструкторские силы, включиться в работу по улучшению летных и боевых качеств самолета Пе-2 в кратчайшие сроки. </w:t>
      </w:r>
    </w:p>
    <w:p w14:paraId="2E23B11B"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ГОСУДАРСТВЕННОГО КОМИТЕТА ОБОРОНЫ И. СТАЛИН</w:t>
      </w:r>
    </w:p>
    <w:p w14:paraId="2A4E17AD"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Выписки: </w:t>
      </w:r>
    </w:p>
    <w:p w14:paraId="10EF0A89"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т.т. Шахурину, Маленкову, Климову, Микулину, Швецову, Путилову, Сухому (12659).</w:t>
      </w:r>
    </w:p>
    <w:p w14:paraId="3D73F692" w14:textId="77777777" w:rsidR="00823A64" w:rsidRPr="00D03F3E" w:rsidRDefault="00823A64" w:rsidP="00D03F3E">
      <w:pPr>
        <w:pStyle w:val="Iauiue"/>
        <w:jc w:val="both"/>
        <w:rPr>
          <w:iCs/>
          <w:color w:val="000000" w:themeColor="text1"/>
          <w:sz w:val="16"/>
          <w:szCs w:val="16"/>
        </w:rPr>
      </w:pPr>
    </w:p>
    <w:p w14:paraId="24C71FD9"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12 августа 1943 г. директор завода </w:t>
      </w:r>
      <w:r w:rsidRPr="00D03F3E">
        <w:rPr>
          <w:rFonts w:ascii="Times New Roman" w:hAnsi="Times New Roman"/>
          <w:color w:val="000000" w:themeColor="text1"/>
          <w:sz w:val="16"/>
          <w:szCs w:val="16"/>
          <w:lang w:val="en-US"/>
        </w:rPr>
        <w:t>B</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C</w:t>
      </w:r>
      <w:r w:rsidRPr="00D03F3E">
        <w:rPr>
          <w:rFonts w:ascii="Times New Roman" w:hAnsi="Times New Roman"/>
          <w:color w:val="000000" w:themeColor="text1"/>
          <w:sz w:val="16"/>
          <w:szCs w:val="16"/>
        </w:rPr>
        <w:t>. Еськов докладывал наркому А.И. Шахурину о ходе эвакуации завода:</w:t>
      </w:r>
    </w:p>
    <w:p w14:paraId="061D9563"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основании Вашего телеграфного распоряжения от 7-го мая 1943 года, завод не</w:t>
      </w:r>
      <w:r w:rsidRPr="00D03F3E">
        <w:rPr>
          <w:rFonts w:ascii="Times New Roman" w:hAnsi="Times New Roman"/>
          <w:color w:val="000000" w:themeColor="text1"/>
          <w:sz w:val="16"/>
          <w:szCs w:val="16"/>
        </w:rPr>
        <w:softHyphen/>
        <w:t>медленно приступил к демонтажу и упаковке оборудования в последовательности, ука</w:t>
      </w:r>
      <w:r w:rsidRPr="00D03F3E">
        <w:rPr>
          <w:rFonts w:ascii="Times New Roman" w:hAnsi="Times New Roman"/>
          <w:color w:val="000000" w:themeColor="text1"/>
          <w:sz w:val="16"/>
          <w:szCs w:val="16"/>
        </w:rPr>
        <w:softHyphen/>
        <w:t>занной Вами.</w:t>
      </w:r>
    </w:p>
    <w:p w14:paraId="37F8AA5E"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 1-го июня с.г. полностью был произведён демонтаж оборудования основного про</w:t>
      </w:r>
      <w:r w:rsidRPr="00D03F3E">
        <w:rPr>
          <w:rFonts w:ascii="Times New Roman" w:hAnsi="Times New Roman"/>
          <w:color w:val="000000" w:themeColor="text1"/>
          <w:sz w:val="16"/>
          <w:szCs w:val="16"/>
        </w:rPr>
        <w:softHyphen/>
        <w:t>изводства и подготовлен инструмент для отправки в Советский Союз.</w:t>
      </w:r>
    </w:p>
    <w:p w14:paraId="59ACA2DA"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июня м[еся]ца произведён демонтаж и упаковка общезаводского оборудо</w:t>
      </w:r>
      <w:r w:rsidRPr="00D03F3E">
        <w:rPr>
          <w:rFonts w:ascii="Times New Roman" w:hAnsi="Times New Roman"/>
          <w:color w:val="000000" w:themeColor="text1"/>
          <w:sz w:val="16"/>
          <w:szCs w:val="16"/>
        </w:rPr>
        <w:softHyphen/>
        <w:t>вания, а также одновременно производилась погрузка и отправка имущества завода...</w:t>
      </w:r>
    </w:p>
    <w:p w14:paraId="4EF062B5"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и начале июня м[еся]цев с завода была направлена группа работников завода, имеющих заграничные паспорта в гор. Алма-Ата и ст. Сары-Озек. Остальные работни</w:t>
      </w:r>
      <w:r w:rsidRPr="00D03F3E">
        <w:rPr>
          <w:rFonts w:ascii="Times New Roman" w:hAnsi="Times New Roman"/>
          <w:color w:val="000000" w:themeColor="text1"/>
          <w:sz w:val="16"/>
          <w:szCs w:val="16"/>
        </w:rPr>
        <w:softHyphen/>
        <w:t>ки в течение мая и июня месяцев были заняты на демонтаже оборудования и упаковке заводского имущества.</w:t>
      </w:r>
    </w:p>
    <w:p w14:paraId="7707879A"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Вашего указания об эвакуации завода заводской транспорт немедленно при</w:t>
      </w:r>
      <w:r w:rsidRPr="00D03F3E">
        <w:rPr>
          <w:rFonts w:ascii="Times New Roman" w:hAnsi="Times New Roman"/>
          <w:color w:val="000000" w:themeColor="text1"/>
          <w:sz w:val="16"/>
          <w:szCs w:val="16"/>
        </w:rPr>
        <w:softHyphen/>
        <w:t>ступил к перевозкам оборудования и работников в Советский Союз.</w:t>
      </w:r>
    </w:p>
    <w:p w14:paraId="76EA1494"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25-го мая с.г. приступила к вывозке оборудования воинская часть 8285, которая до 12 июля подала под заводской груз 1108 трёхтонных и пятитонных автомашин.</w:t>
      </w:r>
    </w:p>
    <w:p w14:paraId="0D2478DD"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12 июля, в основном, было вывезено всё заводское имущество, исключая тяжело</w:t>
      </w:r>
      <w:r w:rsidRPr="00D03F3E">
        <w:rPr>
          <w:rFonts w:ascii="Times New Roman" w:hAnsi="Times New Roman"/>
          <w:color w:val="000000" w:themeColor="text1"/>
          <w:sz w:val="16"/>
          <w:szCs w:val="16"/>
        </w:rPr>
        <w:softHyphen/>
        <w:t>весы и длинномеры, которые до сего времени не вывозит воинская часть № 8285.</w:t>
      </w:r>
    </w:p>
    <w:p w14:paraId="4B3D7CF1"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моменту ликвидации завода на последнем находилось около 1100 командированных работников с членами семей, в том числе 350 «упрощенцев», не имеющих загранпас</w:t>
      </w:r>
      <w:r w:rsidRPr="00D03F3E">
        <w:rPr>
          <w:rFonts w:ascii="Times New Roman" w:hAnsi="Times New Roman"/>
          <w:color w:val="000000" w:themeColor="text1"/>
          <w:sz w:val="16"/>
          <w:szCs w:val="16"/>
        </w:rPr>
        <w:softHyphen/>
        <w:t>портов, а также около 800 местных жителей, подлежащих, согласно указанию товарищаМолотова, вывозу в Союз. Командированные начали выезжать в Союз в конце мая, т.е. после получения Вашего указания об этом. До второй половины июля «упрощенцы» не могли выезжать в Союз, т.к. местные власти не давали им выездные визы.</w:t>
      </w:r>
    </w:p>
    <w:p w14:paraId="10EF0E68"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июля нам удалось нелегально от местных властей вывезти со спецкара</w:t>
      </w:r>
      <w:r w:rsidRPr="00D03F3E">
        <w:rPr>
          <w:rFonts w:ascii="Times New Roman" w:hAnsi="Times New Roman"/>
          <w:color w:val="000000" w:themeColor="text1"/>
          <w:sz w:val="16"/>
          <w:szCs w:val="16"/>
        </w:rPr>
        <w:softHyphen/>
        <w:t>ваном 42 «упрощенца»-одиночки. Остальная часть «упрощенцев» начала выезжать в Со</w:t>
      </w:r>
      <w:r w:rsidRPr="00D03F3E">
        <w:rPr>
          <w:rFonts w:ascii="Times New Roman" w:hAnsi="Times New Roman"/>
          <w:color w:val="000000" w:themeColor="text1"/>
          <w:sz w:val="16"/>
          <w:szCs w:val="16"/>
        </w:rPr>
        <w:softHyphen/>
        <w:t>юз во второй половине июля. Сейчас «упрощенцев» на заводе осталось всего лишь несколько человек. Первый самолёт с местными рабочими завода вылетел в Союз только 25.</w:t>
      </w:r>
      <w:r w:rsidRPr="00D03F3E">
        <w:rPr>
          <w:rFonts w:ascii="Times New Roman" w:hAnsi="Times New Roman"/>
          <w:color w:val="000000" w:themeColor="text1"/>
          <w:sz w:val="16"/>
          <w:szCs w:val="16"/>
          <w:lang w:val="en-US"/>
        </w:rPr>
        <w:t>VII</w:t>
      </w:r>
      <w:r w:rsidRPr="00D03F3E">
        <w:rPr>
          <w:rFonts w:ascii="Times New Roman" w:hAnsi="Times New Roman"/>
          <w:color w:val="000000" w:themeColor="text1"/>
          <w:sz w:val="16"/>
          <w:szCs w:val="16"/>
        </w:rPr>
        <w:t xml:space="preserve">.1943 г. С </w:t>
      </w:r>
      <w:r w:rsidRPr="00D03F3E">
        <w:rPr>
          <w:rFonts w:ascii="Times New Roman" w:hAnsi="Times New Roman"/>
          <w:color w:val="000000" w:themeColor="text1"/>
          <w:sz w:val="16"/>
          <w:szCs w:val="16"/>
          <w:lang w:val="en-US"/>
        </w:rPr>
        <w:t>I</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VIII</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c</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r</w:t>
      </w:r>
      <w:r w:rsidRPr="00D03F3E">
        <w:rPr>
          <w:rFonts w:ascii="Times New Roman" w:hAnsi="Times New Roman"/>
          <w:color w:val="000000" w:themeColor="text1"/>
          <w:sz w:val="16"/>
          <w:szCs w:val="16"/>
        </w:rPr>
        <w:t>. местные рабочие вывозятся только одним самолётом ТБ-3. По состоянию на 13.</w:t>
      </w:r>
      <w:r w:rsidRPr="00D03F3E">
        <w:rPr>
          <w:rFonts w:ascii="Times New Roman" w:hAnsi="Times New Roman"/>
          <w:color w:val="000000" w:themeColor="text1"/>
          <w:sz w:val="16"/>
          <w:szCs w:val="16"/>
          <w:lang w:val="en-US"/>
        </w:rPr>
        <w:t>Vlll</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c</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r</w:t>
      </w:r>
      <w:r w:rsidRPr="00D03F3E">
        <w:rPr>
          <w:rFonts w:ascii="Times New Roman" w:hAnsi="Times New Roman"/>
          <w:color w:val="000000" w:themeColor="text1"/>
          <w:sz w:val="16"/>
          <w:szCs w:val="16"/>
        </w:rPr>
        <w:t>. вывезено всего лишь 321 человек местных жителей.</w:t>
      </w:r>
    </w:p>
    <w:p w14:paraId="3E0871FD"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основании вышеуказанного, прошу Вашего указания о немедленном выделении дополнительно двух самолётов для переброски местных жителей, а также ускорить ре</w:t>
      </w:r>
      <w:r w:rsidRPr="00D03F3E">
        <w:rPr>
          <w:rFonts w:ascii="Times New Roman" w:hAnsi="Times New Roman"/>
          <w:color w:val="000000" w:themeColor="text1"/>
          <w:sz w:val="16"/>
          <w:szCs w:val="16"/>
        </w:rPr>
        <w:softHyphen/>
        <w:t>шение о немедленном вывозе длинномеров и тяжеловесов».</w:t>
      </w:r>
    </w:p>
    <w:p w14:paraId="6509D851"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время работы в Синьцзяне завод собрал в 1941 г. 143 И-16 стоимостью 42015,8 тыс. руб., в 1942 г. выпустил запчастей к истребителям И-16, ЛаГГ-3 и Як-7б на 4760,5 тыс. руб, собрал один И-16 (283 тыс. руб.) и построил 17 УТ-2МВ (1241 тыс. руб.) Кроме то</w:t>
      </w:r>
      <w:r w:rsidRPr="00D03F3E">
        <w:rPr>
          <w:rFonts w:ascii="Times New Roman" w:hAnsi="Times New Roman"/>
          <w:color w:val="000000" w:themeColor="text1"/>
          <w:sz w:val="16"/>
          <w:szCs w:val="16"/>
        </w:rPr>
        <w:softHyphen/>
        <w:t>го, капитально отремонтировали 5 И-16 и 4 СБ.</w:t>
      </w:r>
    </w:p>
    <w:p w14:paraId="45BC7A5C"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СССР завод № 600 первоначально разместили в Ташкенте, а осенью 1944 г. его начали перебазировать в только что освобожденный от фашистов Таллин (15811).</w:t>
      </w:r>
    </w:p>
    <w:p w14:paraId="6AAEFA94" w14:textId="77777777" w:rsidR="002A10B9" w:rsidRPr="00D03F3E" w:rsidRDefault="002A10B9" w:rsidP="00D03F3E">
      <w:pPr>
        <w:spacing w:after="0" w:line="240" w:lineRule="auto"/>
        <w:jc w:val="both"/>
        <w:rPr>
          <w:rFonts w:ascii="Times New Roman" w:hAnsi="Times New Roman"/>
          <w:color w:val="000000" w:themeColor="text1"/>
          <w:sz w:val="16"/>
          <w:szCs w:val="16"/>
        </w:rPr>
      </w:pPr>
    </w:p>
    <w:p w14:paraId="55CFF3D4" w14:textId="77777777" w:rsidR="00E15604" w:rsidRPr="00D03F3E" w:rsidRDefault="00E15604" w:rsidP="00D03F3E">
      <w:pPr>
        <w:pStyle w:val="ae"/>
        <w:spacing w:before="0" w:after="0"/>
        <w:jc w:val="both"/>
        <w:rPr>
          <w:color w:val="000000" w:themeColor="text1"/>
          <w:sz w:val="16"/>
          <w:szCs w:val="16"/>
        </w:rPr>
      </w:pPr>
      <w:r w:rsidRPr="00D03F3E">
        <w:rPr>
          <w:color w:val="000000" w:themeColor="text1"/>
          <w:sz w:val="16"/>
          <w:szCs w:val="16"/>
          <w:shd w:val="clear" w:color="auto" w:fill="FFFFFF"/>
        </w:rPr>
        <w:t>12 мая 1943 «юнкерс» ГВФ, шедший из Челябинска, угодил под огонь вблизи моста в Ульяновске. Машина совершила вынужденную посадку на аэродроме Стригино, механики нашли две приличных пробоины в правом крыле. Оправдываясь, командование ПВО сообщило, что самолёт вошёл в запретную зону, и батарея сделала несколько предупредительных выстрелов</w:t>
      </w:r>
      <w:r w:rsidRPr="00D03F3E">
        <w:rPr>
          <w:color w:val="000000" w:themeColor="text1"/>
          <w:sz w:val="16"/>
          <w:szCs w:val="16"/>
        </w:rPr>
        <w:t xml:space="preserve"> (19686).</w:t>
      </w:r>
    </w:p>
    <w:p w14:paraId="25C9F3B8" w14:textId="77777777" w:rsidR="00E15604" w:rsidRPr="00D03F3E" w:rsidRDefault="00E15604" w:rsidP="00D03F3E">
      <w:pPr>
        <w:spacing w:after="0" w:line="240" w:lineRule="auto"/>
        <w:jc w:val="both"/>
        <w:rPr>
          <w:rFonts w:ascii="Times New Roman" w:hAnsi="Times New Roman"/>
          <w:color w:val="000000" w:themeColor="text1"/>
          <w:sz w:val="16"/>
          <w:szCs w:val="16"/>
        </w:rPr>
      </w:pPr>
    </w:p>
    <w:p w14:paraId="4F979C4E"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06543A99" w14:textId="77777777" w:rsidR="00531570" w:rsidRPr="00D03F3E" w:rsidRDefault="00531570" w:rsidP="00D03F3E">
      <w:pPr>
        <w:pStyle w:val="Iauiue"/>
        <w:jc w:val="both"/>
        <w:rPr>
          <w:iCs/>
          <w:color w:val="000000" w:themeColor="text1"/>
          <w:sz w:val="16"/>
          <w:szCs w:val="16"/>
        </w:rPr>
      </w:pPr>
    </w:p>
    <w:p w14:paraId="6858C663"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12 мая 1943 года вышел приказ № 245сс НКВ</w:t>
      </w:r>
    </w:p>
    <w:p w14:paraId="30BFB6C2"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В соответствии с постановлением ГКО от 6 апреля 1943 года № 3129сс:</w:t>
      </w:r>
    </w:p>
    <w:p w14:paraId="45D2EE71"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Организовать на базе завода № 44 Особое КБ для разработки новых образцов патронов и усовершенствования существующих, присвоив ему № 44 (ОКБ-44) и подчинить 3 Гл. управлению НКВ (6434, 82).</w:t>
      </w:r>
    </w:p>
    <w:p w14:paraId="48124735" w14:textId="77777777" w:rsidR="00531570" w:rsidRPr="00D03F3E" w:rsidRDefault="00531570" w:rsidP="00D03F3E">
      <w:pPr>
        <w:pStyle w:val="Iauiue"/>
        <w:tabs>
          <w:tab w:val="left" w:pos="11199"/>
        </w:tabs>
        <w:jc w:val="both"/>
        <w:rPr>
          <w:color w:val="000000" w:themeColor="text1"/>
          <w:sz w:val="16"/>
          <w:szCs w:val="16"/>
        </w:rPr>
      </w:pPr>
    </w:p>
    <w:p w14:paraId="0042942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мая 1943 года приказом НКВ № 245 во исполнение Постановления ГКО № 129сс от 6 апреля 1943 года на площадке завода № 44 НУВ было организовано ОКБ № 44 (ОКБ-44) по разработке новых и совершенствованию существующих образцов патронов стрелкового оружия. Позже ОКБ-44 было переведено на площадку завода № 304 (Кунцево), а в мае 1946 года – на площадку завода № 711 (платформа 48 км). Приказом Министерства вооружения № 195 от 20 июля 1946 года (во исполнение Постановления СМ № 1540-687сс от 10 июля 1946 года) ОКБ-44 реорганизовано в НИИ-44 по боеприпасам стрелково-пулеметного вооружения с приданием ему опытного завода (№ 711). В соответствии с распоряжением СМ № 12924-рс от 15 ноября 1946 года приказом Министерства вооружения № 333 от 21 ноября 1946 года НИИ-44 передан полигон, принадлежавший Климовскому машиностроительному заводу Министерства машиностроения и приборостроения (полигон, находящийся вблизи ст. Львовская Курской ж/д) (10293).</w:t>
      </w:r>
    </w:p>
    <w:p w14:paraId="153A2BC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3AD5C8F" w14:textId="77777777" w:rsidR="00C30558" w:rsidRPr="00D03F3E" w:rsidRDefault="00C3055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12 мая 1943 года на Артиллерийский научно-испытательный полигон (АНИОП) прибыли ВТ-42 - 45 мм длинноствольная танковая пушка ОКБ завода №235 (г. Воткинск), которое, как и ОКБ-172, подчинялось НКВД, вместе с Т-70 прибыла. Испытания продолжались до 1 июня, пушка испытания выдержала. Вопрос в том, что на 1 июня 1943 года она уже слегка припозднилась. Кроме того, у ГАУ КА и НКВ уже имелась альтернатива этому орудию – подкалиберный снаряд, который с 200 метров пробивал бортовую броню «Тигра» (17695).</w:t>
      </w:r>
    </w:p>
    <w:p w14:paraId="5CC4D32A" w14:textId="77777777" w:rsidR="00C30558" w:rsidRPr="00D03F3E" w:rsidRDefault="00C30558" w:rsidP="00D03F3E">
      <w:pPr>
        <w:spacing w:after="0" w:line="240" w:lineRule="auto"/>
        <w:jc w:val="both"/>
        <w:rPr>
          <w:rFonts w:ascii="Times New Roman" w:eastAsia="Times New Roman" w:hAnsi="Times New Roman"/>
          <w:color w:val="000000" w:themeColor="text1"/>
          <w:sz w:val="16"/>
          <w:szCs w:val="16"/>
          <w:lang w:eastAsia="ru-RU"/>
        </w:rPr>
      </w:pPr>
    </w:p>
    <w:p w14:paraId="05E5CFFF" w14:textId="77777777" w:rsidR="00B610FB" w:rsidRPr="00D03F3E" w:rsidRDefault="00B610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мая 1943 года в адрес председателя технического комитета НКВ Сателя и председателя Артиллерийского комитета ГАУ генерал-лейте</w:t>
      </w:r>
      <w:r w:rsidRPr="00D03F3E">
        <w:rPr>
          <w:rFonts w:ascii="Times New Roman" w:hAnsi="Times New Roman"/>
          <w:color w:val="000000" w:themeColor="text1"/>
          <w:sz w:val="16"/>
          <w:szCs w:val="16"/>
        </w:rPr>
        <w:softHyphen/>
        <w:t>нанта Хохлова были отправлены эскизные проекты двух самоходных установок. Первой из них была СУ-2-122, представлявшая собой дву</w:t>
      </w:r>
      <w:r w:rsidRPr="00D03F3E">
        <w:rPr>
          <w:rFonts w:ascii="Times New Roman" w:hAnsi="Times New Roman"/>
          <w:color w:val="000000" w:themeColor="text1"/>
          <w:sz w:val="16"/>
          <w:szCs w:val="16"/>
        </w:rPr>
        <w:softHyphen/>
        <w:t>ствольную установку 122-мм гаубицы М-30 на шасси среднего танка Т-34. Ради такого мегадробовика, который должен был уметь вести залповый огонь, шасси Т-34 пришлось удлинять на один каток. В на</w:t>
      </w:r>
      <w:r w:rsidRPr="00D03F3E">
        <w:rPr>
          <w:rFonts w:ascii="Times New Roman" w:hAnsi="Times New Roman"/>
          <w:color w:val="000000" w:themeColor="text1"/>
          <w:sz w:val="16"/>
          <w:szCs w:val="16"/>
        </w:rPr>
        <w:softHyphen/>
        <w:t>шем случае куда больший интерес представляет второй проект, который получил заводской индекс СУ-203. Согласно описанию, при раз</w:t>
      </w:r>
      <w:r w:rsidRPr="00D03F3E">
        <w:rPr>
          <w:rFonts w:ascii="Times New Roman" w:hAnsi="Times New Roman"/>
          <w:color w:val="000000" w:themeColor="text1"/>
          <w:sz w:val="16"/>
          <w:szCs w:val="16"/>
        </w:rPr>
        <w:softHyphen/>
        <w:t>работке СУ-203 были положены следующие требования:</w:t>
      </w:r>
    </w:p>
    <w:p w14:paraId="5C692607" w14:textId="77777777" w:rsidR="00B610FB" w:rsidRPr="00D03F3E" w:rsidRDefault="00B610FB" w:rsidP="00D03F3E">
      <w:pPr>
        <w:pStyle w:val="a3"/>
        <w:widowControl/>
        <w:tabs>
          <w:tab w:val="left" w:pos="536"/>
        </w:tabs>
        <w:autoSpaceDE/>
        <w:autoSpaceDN/>
        <w:adjustRightInd/>
        <w:rPr>
          <w:color w:val="000000" w:themeColor="text1"/>
          <w:lang w:val="ru-RU"/>
        </w:rPr>
      </w:pPr>
      <w:r w:rsidRPr="00D03F3E">
        <w:rPr>
          <w:color w:val="000000" w:themeColor="text1"/>
          <w:lang w:val="ru-RU"/>
        </w:rPr>
        <w:t xml:space="preserve">1. Выполнение установки по типу </w:t>
      </w:r>
      <w:r w:rsidRPr="00D03F3E">
        <w:rPr>
          <w:color w:val="000000" w:themeColor="text1"/>
        </w:rPr>
        <w:t>KB</w:t>
      </w:r>
      <w:r w:rsidRPr="00D03F3E">
        <w:rPr>
          <w:color w:val="000000" w:themeColor="text1"/>
          <w:lang w:val="ru-RU"/>
        </w:rPr>
        <w:t>-14;</w:t>
      </w:r>
    </w:p>
    <w:p w14:paraId="48E4C3D1" w14:textId="77777777" w:rsidR="00B610FB" w:rsidRPr="00D03F3E" w:rsidRDefault="00B610FB" w:rsidP="00D03F3E">
      <w:pPr>
        <w:pStyle w:val="a3"/>
        <w:widowControl/>
        <w:tabs>
          <w:tab w:val="left" w:pos="546"/>
        </w:tabs>
        <w:autoSpaceDE/>
        <w:autoSpaceDN/>
        <w:adjustRightInd/>
        <w:rPr>
          <w:color w:val="000000" w:themeColor="text1"/>
          <w:lang w:val="ru-RU"/>
        </w:rPr>
      </w:pPr>
      <w:r w:rsidRPr="00D03F3E">
        <w:rPr>
          <w:color w:val="000000" w:themeColor="text1"/>
          <w:lang w:val="ru-RU"/>
        </w:rPr>
        <w:t>2. Размещение максимального количества выстрелов;</w:t>
      </w:r>
    </w:p>
    <w:p w14:paraId="0B390AA3" w14:textId="77777777" w:rsidR="00B610FB" w:rsidRPr="00D03F3E" w:rsidRDefault="00B610FB" w:rsidP="00D03F3E">
      <w:pPr>
        <w:pStyle w:val="a3"/>
        <w:widowControl/>
        <w:tabs>
          <w:tab w:val="left" w:pos="546"/>
        </w:tabs>
        <w:autoSpaceDE/>
        <w:autoSpaceDN/>
        <w:adjustRightInd/>
        <w:rPr>
          <w:color w:val="000000" w:themeColor="text1"/>
          <w:lang w:val="ru-RU"/>
        </w:rPr>
      </w:pPr>
      <w:r w:rsidRPr="00D03F3E">
        <w:rPr>
          <w:color w:val="000000" w:themeColor="text1"/>
          <w:lang w:val="ru-RU"/>
        </w:rPr>
        <w:t>3. Обеспечение удобства работы экипажа;</w:t>
      </w:r>
    </w:p>
    <w:p w14:paraId="2659BD4C" w14:textId="77777777" w:rsidR="00B610FB" w:rsidRPr="00D03F3E" w:rsidRDefault="00B610FB" w:rsidP="00D03F3E">
      <w:pPr>
        <w:pStyle w:val="a3"/>
        <w:widowControl/>
        <w:tabs>
          <w:tab w:val="left" w:pos="570"/>
        </w:tabs>
        <w:autoSpaceDE/>
        <w:autoSpaceDN/>
        <w:adjustRightInd/>
        <w:rPr>
          <w:color w:val="000000" w:themeColor="text1"/>
          <w:lang w:val="ru-RU"/>
        </w:rPr>
      </w:pPr>
      <w:r w:rsidRPr="00D03F3E">
        <w:rPr>
          <w:color w:val="000000" w:themeColor="text1"/>
          <w:lang w:val="ru-RU"/>
        </w:rPr>
        <w:t>4. Подача и заряжание простейшего типа, но не требующие приме</w:t>
      </w:r>
      <w:r w:rsidRPr="00D03F3E">
        <w:rPr>
          <w:color w:val="000000" w:themeColor="text1"/>
          <w:lang w:val="ru-RU"/>
        </w:rPr>
        <w:softHyphen/>
        <w:t>нений больших усилий и обеспечивающие скорострельность по</w:t>
      </w:r>
      <w:r w:rsidRPr="00D03F3E">
        <w:rPr>
          <w:color w:val="000000" w:themeColor="text1"/>
          <w:lang w:val="ru-RU"/>
        </w:rPr>
        <w:softHyphen/>
        <w:t>рядка 1 выстрел в 1 — 1,5 минуты;</w:t>
      </w:r>
    </w:p>
    <w:p w14:paraId="5BBFDB48" w14:textId="77777777" w:rsidR="00B610FB" w:rsidRPr="00D03F3E" w:rsidRDefault="00B610FB" w:rsidP="00D03F3E">
      <w:pPr>
        <w:pStyle w:val="a3"/>
        <w:widowControl/>
        <w:tabs>
          <w:tab w:val="left" w:pos="555"/>
        </w:tabs>
        <w:autoSpaceDE/>
        <w:autoSpaceDN/>
        <w:adjustRightInd/>
        <w:rPr>
          <w:color w:val="000000" w:themeColor="text1"/>
          <w:lang w:val="ru-RU"/>
        </w:rPr>
      </w:pPr>
      <w:r w:rsidRPr="00D03F3E">
        <w:rPr>
          <w:color w:val="000000" w:themeColor="text1"/>
          <w:lang w:val="ru-RU"/>
        </w:rPr>
        <w:t>5. Вес установки с боезапасом порядка 46—46 тонн;</w:t>
      </w:r>
    </w:p>
    <w:p w14:paraId="6A4C4EB7" w14:textId="77777777" w:rsidR="00B610FB" w:rsidRPr="00D03F3E" w:rsidRDefault="00B610FB" w:rsidP="00D03F3E">
      <w:pPr>
        <w:pStyle w:val="a3"/>
        <w:widowControl/>
        <w:tabs>
          <w:tab w:val="left" w:pos="565"/>
        </w:tabs>
        <w:autoSpaceDE/>
        <w:autoSpaceDN/>
        <w:adjustRightInd/>
        <w:rPr>
          <w:color w:val="000000" w:themeColor="text1"/>
          <w:lang w:val="ru-RU"/>
        </w:rPr>
      </w:pPr>
      <w:r w:rsidRPr="00D03F3E">
        <w:rPr>
          <w:color w:val="000000" w:themeColor="text1"/>
          <w:lang w:val="ru-RU"/>
        </w:rPr>
        <w:t>5. Прицел телескопический как основной и, кроме того, нормали</w:t>
      </w:r>
      <w:r w:rsidRPr="00D03F3E">
        <w:rPr>
          <w:color w:val="000000" w:themeColor="text1"/>
          <w:lang w:val="ru-RU"/>
        </w:rPr>
        <w:softHyphen/>
        <w:t>зированный, устанавливаемый на гаубице М-4. Для наблюде</w:t>
      </w:r>
      <w:r w:rsidRPr="00D03F3E">
        <w:rPr>
          <w:color w:val="000000" w:themeColor="text1"/>
          <w:lang w:val="ru-RU"/>
        </w:rPr>
        <w:softHyphen/>
        <w:t>ния — танковая командирская панорама ПТК;</w:t>
      </w:r>
    </w:p>
    <w:p w14:paraId="0C74C276" w14:textId="77777777" w:rsidR="00B610FB" w:rsidRPr="00D03F3E" w:rsidRDefault="00B610FB" w:rsidP="00D03F3E">
      <w:pPr>
        <w:pStyle w:val="a3"/>
        <w:widowControl/>
        <w:tabs>
          <w:tab w:val="left" w:pos="531"/>
        </w:tabs>
        <w:autoSpaceDE/>
        <w:autoSpaceDN/>
        <w:adjustRightInd/>
        <w:rPr>
          <w:color w:val="000000" w:themeColor="text1"/>
          <w:lang w:val="ru-RU"/>
        </w:rPr>
      </w:pPr>
      <w:r w:rsidRPr="00D03F3E">
        <w:rPr>
          <w:color w:val="000000" w:themeColor="text1"/>
          <w:lang w:val="ru-RU"/>
        </w:rPr>
        <w:t>7. Толщина брони: лобовая — 70 мм, борта — 60 мм, крыша и кормо</w:t>
      </w:r>
      <w:r w:rsidRPr="00D03F3E">
        <w:rPr>
          <w:color w:val="000000" w:themeColor="text1"/>
          <w:lang w:val="ru-RU"/>
        </w:rPr>
        <w:softHyphen/>
        <w:t>вая стена 20—25 мм;</w:t>
      </w:r>
    </w:p>
    <w:p w14:paraId="7654E5A2" w14:textId="77777777" w:rsidR="00B610FB" w:rsidRPr="00D03F3E" w:rsidRDefault="00B610FB" w:rsidP="00D03F3E">
      <w:pPr>
        <w:pStyle w:val="a3"/>
        <w:widowControl/>
        <w:tabs>
          <w:tab w:val="left" w:pos="589"/>
        </w:tabs>
        <w:autoSpaceDE/>
        <w:autoSpaceDN/>
        <w:adjustRightInd/>
        <w:rPr>
          <w:color w:val="000000" w:themeColor="text1"/>
          <w:lang w:val="ru-RU"/>
        </w:rPr>
      </w:pPr>
      <w:r w:rsidRPr="00D03F3E">
        <w:rPr>
          <w:color w:val="000000" w:themeColor="text1"/>
          <w:lang w:val="ru-RU"/>
        </w:rPr>
        <w:t>8. Дополнительное вооружение: зенитный пулемет. Кроме того, в броне должны быть предусмотрены отверстия с заглушками для ручного оружия.</w:t>
      </w:r>
    </w:p>
    <w:p w14:paraId="31FA5D9B" w14:textId="77777777" w:rsidR="00B610FB" w:rsidRPr="00D03F3E" w:rsidRDefault="00B610FB" w:rsidP="00D03F3E">
      <w:pPr>
        <w:pStyle w:val="a3"/>
        <w:rPr>
          <w:color w:val="000000" w:themeColor="text1"/>
          <w:lang w:val="ru-RU"/>
        </w:rPr>
      </w:pPr>
      <w:r w:rsidRPr="00D03F3E">
        <w:rPr>
          <w:color w:val="000000" w:themeColor="text1"/>
          <w:lang w:val="ru-RU"/>
        </w:rPr>
        <w:t xml:space="preserve">В случае с СУ-203 выражение «по типу </w:t>
      </w:r>
      <w:r w:rsidRPr="00D03F3E">
        <w:rPr>
          <w:color w:val="000000" w:themeColor="text1"/>
        </w:rPr>
        <w:t>KB</w:t>
      </w:r>
      <w:r w:rsidRPr="00D03F3E">
        <w:rPr>
          <w:color w:val="000000" w:themeColor="text1"/>
          <w:lang w:val="ru-RU"/>
        </w:rPr>
        <w:t>-14» как нельзя лучше подходит к тому, что разработал коллектив во главе с А.Ф. Смирно</w:t>
      </w:r>
      <w:r w:rsidRPr="00D03F3E">
        <w:rPr>
          <w:color w:val="000000" w:themeColor="text1"/>
          <w:lang w:val="ru-RU"/>
        </w:rPr>
        <w:softHyphen/>
        <w:t xml:space="preserve">вым (он в чертежах СУ-203 и СУ-2-122 помечен как руководитель проекта). От исходной самоходной установки в проекте осталась только орудийная маска и неподвижная бронировка. В остальном же получилась совершенно новая самоходная установка на шасси </w:t>
      </w:r>
      <w:r w:rsidRPr="00D03F3E">
        <w:rPr>
          <w:color w:val="000000" w:themeColor="text1"/>
        </w:rPr>
        <w:t>KB</w:t>
      </w:r>
      <w:r w:rsidRPr="00D03F3E">
        <w:rPr>
          <w:color w:val="000000" w:themeColor="text1"/>
          <w:lang w:val="ru-RU"/>
        </w:rPr>
        <w:t>-1С. Благодаря тому, что в задачу проекта не входило максималь</w:t>
      </w:r>
      <w:r w:rsidRPr="00D03F3E">
        <w:rPr>
          <w:color w:val="000000" w:themeColor="text1"/>
          <w:lang w:val="ru-RU"/>
        </w:rPr>
        <w:softHyphen/>
        <w:t>ное использование уже имеющейся конструкции рубки СУ-152, кон</w:t>
      </w:r>
      <w:r w:rsidRPr="00D03F3E">
        <w:rPr>
          <w:color w:val="000000" w:themeColor="text1"/>
          <w:lang w:val="ru-RU"/>
        </w:rPr>
        <w:softHyphen/>
        <w:t>структора ОКБ-172 имели свободу действий. В результате получился проект самобытной САУ, который отличался высокой продуманно</w:t>
      </w:r>
      <w:r w:rsidRPr="00D03F3E">
        <w:rPr>
          <w:color w:val="000000" w:themeColor="text1"/>
          <w:lang w:val="ru-RU"/>
        </w:rPr>
        <w:softHyphen/>
        <w:t>стью работы экипажа.</w:t>
      </w:r>
    </w:p>
    <w:p w14:paraId="6CE5D08F" w14:textId="77777777" w:rsidR="00B610FB" w:rsidRPr="00D03F3E" w:rsidRDefault="00B610FB" w:rsidP="00D03F3E">
      <w:pPr>
        <w:pStyle w:val="a3"/>
        <w:rPr>
          <w:color w:val="000000" w:themeColor="text1"/>
          <w:lang w:val="ru-RU"/>
        </w:rPr>
      </w:pPr>
      <w:r w:rsidRPr="00D03F3E">
        <w:rPr>
          <w:color w:val="000000" w:themeColor="text1"/>
          <w:lang w:val="ru-RU"/>
        </w:rPr>
        <w:t>Ввиду того, что механизм наведения мортиры М-4 оставлял слиш</w:t>
      </w:r>
      <w:r w:rsidRPr="00D03F3E">
        <w:rPr>
          <w:color w:val="000000" w:themeColor="text1"/>
          <w:lang w:val="ru-RU"/>
        </w:rPr>
        <w:softHyphen/>
        <w:t>ком мало места для механика-водителя, его место перенесли вправо. Для улучшения условий работы механика-водителя установку воору</w:t>
      </w:r>
      <w:r w:rsidRPr="00D03F3E">
        <w:rPr>
          <w:color w:val="000000" w:themeColor="text1"/>
          <w:lang w:val="ru-RU"/>
        </w:rPr>
        <w:softHyphen/>
        <w:t>жения предлагалось сместить немного влево. Впрочем, допускалась и возможность возвращения механика-водителя на его штатное место, в таком случае предполагалось изменить привод затвора, сделав его бо</w:t>
      </w:r>
      <w:r w:rsidRPr="00D03F3E">
        <w:rPr>
          <w:color w:val="000000" w:themeColor="text1"/>
          <w:lang w:val="ru-RU"/>
        </w:rPr>
        <w:softHyphen/>
        <w:t>лее компактным.</w:t>
      </w:r>
    </w:p>
    <w:p w14:paraId="477EE234" w14:textId="77777777" w:rsidR="00B610FB" w:rsidRPr="00D03F3E" w:rsidRDefault="00B610FB" w:rsidP="00D03F3E">
      <w:pPr>
        <w:pStyle w:val="a3"/>
        <w:rPr>
          <w:color w:val="000000" w:themeColor="text1"/>
          <w:lang w:val="ru-RU"/>
        </w:rPr>
      </w:pPr>
      <w:r w:rsidRPr="00D03F3E">
        <w:rPr>
          <w:color w:val="000000" w:themeColor="text1"/>
          <w:lang w:val="ru-RU"/>
        </w:rPr>
        <w:t>Проблему размещения командира, который в СУ-152 сидел как раз справа от орудия, решили просто — его сделали одновременно наводчиком. Радиостанции в СУ-</w:t>
      </w:r>
      <w:r w:rsidRPr="00D03F3E">
        <w:rPr>
          <w:color w:val="000000" w:themeColor="text1"/>
          <w:lang w:val="ru-RU"/>
        </w:rPr>
        <w:lastRenderedPageBreak/>
        <w:t>203 не было предусмотрено в прин</w:t>
      </w:r>
      <w:r w:rsidRPr="00D03F3E">
        <w:rPr>
          <w:color w:val="000000" w:themeColor="text1"/>
          <w:lang w:val="ru-RU"/>
        </w:rPr>
        <w:softHyphen/>
        <w:t>ципе, что делало идею совместить командира и наводчика вполне логичной. Тем более что число членов экипажа от этого не снизи</w:t>
      </w:r>
      <w:r w:rsidRPr="00D03F3E">
        <w:rPr>
          <w:color w:val="000000" w:themeColor="text1"/>
          <w:lang w:val="ru-RU"/>
        </w:rPr>
        <w:softHyphen/>
        <w:t>лось — заряжающих стало двое. При этом заряжающий, находящий</w:t>
      </w:r>
      <w:r w:rsidRPr="00D03F3E">
        <w:rPr>
          <w:color w:val="000000" w:themeColor="text1"/>
          <w:lang w:val="ru-RU"/>
        </w:rPr>
        <w:softHyphen/>
        <w:t>ся по левую сторону от орудия, получал поистине царские условия. В его распоряжении была командирская башенка с пятью смотровы</w:t>
      </w:r>
      <w:r w:rsidRPr="00D03F3E">
        <w:rPr>
          <w:color w:val="000000" w:themeColor="text1"/>
          <w:lang w:val="ru-RU"/>
        </w:rPr>
        <w:softHyphen/>
        <w:t xml:space="preserve">ми приборами, взятая с танка </w:t>
      </w:r>
      <w:r w:rsidRPr="00D03F3E">
        <w:rPr>
          <w:color w:val="000000" w:themeColor="text1"/>
        </w:rPr>
        <w:t>KB</w:t>
      </w:r>
      <w:r w:rsidRPr="00D03F3E">
        <w:rPr>
          <w:color w:val="000000" w:themeColor="text1"/>
          <w:lang w:val="ru-RU"/>
        </w:rPr>
        <w:t>-1С. У правого заряжающего место оказалось не менее роскошным: в его распоряжении имелся люк со встроенным вертлюгом для зенитного пулемета ДТ. Замковой получил в свое распоряжение смотровой перископический прицел ПТК. У командира же в распоряжении имелись лишь спаренный с оруди</w:t>
      </w:r>
      <w:r w:rsidRPr="00D03F3E">
        <w:rPr>
          <w:color w:val="000000" w:themeColor="text1"/>
          <w:lang w:val="ru-RU"/>
        </w:rPr>
        <w:softHyphen/>
        <w:t>ем телескопический прицел СТ-10 да панорама для стрельбы с за</w:t>
      </w:r>
      <w:r w:rsidRPr="00D03F3E">
        <w:rPr>
          <w:color w:val="000000" w:themeColor="text1"/>
          <w:lang w:val="ru-RU"/>
        </w:rPr>
        <w:softHyphen/>
        <w:t>крытых позиций. Таким образом, командиром наводчик становился чисто формально.</w:t>
      </w:r>
    </w:p>
    <w:p w14:paraId="69B8C03A" w14:textId="77777777" w:rsidR="00B610FB" w:rsidRPr="00D03F3E" w:rsidRDefault="00B610FB" w:rsidP="00D03F3E">
      <w:pPr>
        <w:pStyle w:val="a3"/>
        <w:rPr>
          <w:color w:val="000000" w:themeColor="text1"/>
          <w:lang w:val="ru-RU"/>
        </w:rPr>
      </w:pPr>
      <w:r w:rsidRPr="00D03F3E">
        <w:rPr>
          <w:color w:val="000000" w:themeColor="text1"/>
          <w:lang w:val="ru-RU"/>
        </w:rPr>
        <w:t>Основной боезапас в 14 выстрелов (по 7 с каждого борта) размещался в бортах, таким образом, баки с правого борта пришлось убирать. Для вынимания снарядов из укладок был разработан специальный меха</w:t>
      </w:r>
      <w:r w:rsidRPr="00D03F3E">
        <w:rPr>
          <w:color w:val="000000" w:themeColor="text1"/>
          <w:lang w:val="ru-RU"/>
        </w:rPr>
        <w:softHyphen/>
        <w:t>низм, без него такую массу вытаскивать было бы крайне затруднитель</w:t>
      </w:r>
      <w:r w:rsidRPr="00D03F3E">
        <w:rPr>
          <w:color w:val="000000" w:themeColor="text1"/>
          <w:lang w:val="ru-RU"/>
        </w:rPr>
        <w:softHyphen/>
        <w:t>но. При стрельбе брался крайний в укладке снаряд, после чего на его место перекатывался соседний боеприпас. Заряды размещались в инди</w:t>
      </w:r>
      <w:r w:rsidRPr="00D03F3E">
        <w:rPr>
          <w:color w:val="000000" w:themeColor="text1"/>
          <w:lang w:val="ru-RU"/>
        </w:rPr>
        <w:softHyphen/>
        <w:t>видуальных пеналах, которые были вставлены в конструкцию снаряд</w:t>
      </w:r>
      <w:r w:rsidRPr="00D03F3E">
        <w:rPr>
          <w:color w:val="000000" w:themeColor="text1"/>
          <w:lang w:val="ru-RU"/>
        </w:rPr>
        <w:softHyphen/>
        <w:t>ных стеллажей. Еще по два снаряда разместили в нишах, выступавших за габариты рубки. Кроме того, два дополнительных снаряда при не</w:t>
      </w:r>
      <w:r w:rsidRPr="00D03F3E">
        <w:rPr>
          <w:color w:val="000000" w:themeColor="text1"/>
          <w:lang w:val="ru-RU"/>
        </w:rPr>
        <w:softHyphen/>
        <w:t>обходимости размещались в перегрузочных лотках. Упомянутые 6 до</w:t>
      </w:r>
      <w:r w:rsidRPr="00D03F3E">
        <w:rPr>
          <w:color w:val="000000" w:themeColor="text1"/>
          <w:lang w:val="ru-RU"/>
        </w:rPr>
        <w:softHyphen/>
        <w:t>полнительных снарядов являлись укладкой второй очереди и требовали перегрузки в основную укладку по мере ее использования. Благодаря плотной компоновке размещения боезапаса высота боевого отделения СУ-203, по сравнению с СУ-152, стала больше всего на 10 см. Помимо размещения боекомплекта, увеличение высоты потребовалось для кра</w:t>
      </w:r>
      <w:r w:rsidRPr="00D03F3E">
        <w:rPr>
          <w:color w:val="000000" w:themeColor="text1"/>
          <w:lang w:val="ru-RU"/>
        </w:rPr>
        <w:softHyphen/>
        <w:t>нового оборудования (без него тягать снаряды массой центнер каждый было крайне проблематично). Конструкторской группе Смирнова надо отдать должное: в отличие от поистине чудовищной по размерам и мас</w:t>
      </w:r>
      <w:r w:rsidRPr="00D03F3E">
        <w:rPr>
          <w:color w:val="000000" w:themeColor="text1"/>
          <w:lang w:val="ru-RU"/>
        </w:rPr>
        <w:softHyphen/>
        <w:t>се У-19, СУ-203 получилась максимально компактной, при этом внутри оставалось достаточно места для комфортного размещения экипажа.</w:t>
      </w:r>
    </w:p>
    <w:p w14:paraId="6FB35B04" w14:textId="77777777" w:rsidR="00B610FB" w:rsidRPr="00D03F3E" w:rsidRDefault="00B610FB" w:rsidP="00D03F3E">
      <w:pPr>
        <w:pStyle w:val="a3"/>
        <w:rPr>
          <w:color w:val="000000" w:themeColor="text1"/>
          <w:lang w:val="ru-RU"/>
        </w:rPr>
      </w:pPr>
      <w:r w:rsidRPr="00D03F3E">
        <w:rPr>
          <w:color w:val="000000" w:themeColor="text1"/>
          <w:lang w:val="ru-RU"/>
        </w:rPr>
        <w:t>Заключение по проекту СУ-203 было утверждено 21 мая 1943 года. Оно оказалось, увы, не в пользу реализации проекта. Претензий непо</w:t>
      </w:r>
      <w:r w:rsidRPr="00D03F3E">
        <w:rPr>
          <w:color w:val="000000" w:themeColor="text1"/>
          <w:lang w:val="ru-RU"/>
        </w:rPr>
        <w:softHyphen/>
        <w:t>средственно к конструкции самоходной установки не было, проблема лежала совсем в другой плоскости. Главной причиной неудачи оказа</w:t>
      </w:r>
      <w:r w:rsidRPr="00D03F3E">
        <w:rPr>
          <w:color w:val="000000" w:themeColor="text1"/>
          <w:lang w:val="ru-RU"/>
        </w:rPr>
        <w:softHyphen/>
        <w:t>лась система М-4:</w:t>
      </w:r>
    </w:p>
    <w:p w14:paraId="4EB7A283" w14:textId="77777777" w:rsidR="00B610FB" w:rsidRPr="00D03F3E" w:rsidRDefault="00B610FB" w:rsidP="00D03F3E">
      <w:pPr>
        <w:pStyle w:val="Bodytext141"/>
        <w:shd w:val="clear" w:color="auto" w:fill="auto"/>
        <w:spacing w:line="240" w:lineRule="auto"/>
        <w:ind w:firstLine="0"/>
        <w:jc w:val="both"/>
        <w:rPr>
          <w:i w:val="0"/>
          <w:color w:val="000000" w:themeColor="text1"/>
          <w:sz w:val="16"/>
          <w:szCs w:val="16"/>
        </w:rPr>
      </w:pPr>
      <w:r w:rsidRPr="00D03F3E">
        <w:rPr>
          <w:i w:val="0"/>
          <w:color w:val="000000" w:themeColor="text1"/>
          <w:sz w:val="16"/>
          <w:szCs w:val="16"/>
        </w:rPr>
        <w:t>«Представленный к рассмотрению проект 203-мм самоходной мор</w:t>
      </w:r>
      <w:r w:rsidRPr="00D03F3E">
        <w:rPr>
          <w:i w:val="0"/>
          <w:color w:val="000000" w:themeColor="text1"/>
          <w:sz w:val="16"/>
          <w:szCs w:val="16"/>
        </w:rPr>
        <w:softHyphen/>
        <w:t>тиры по огневой мощи, по действию снаряда у цели не имеет никаких преимуществ по сравнению с имеющейся на вооружении Красной Армии 152-мм самоходной гаубицей-пушкой, так как 152-мм снаряд при скоро</w:t>
      </w:r>
      <w:r w:rsidRPr="00D03F3E">
        <w:rPr>
          <w:i w:val="0"/>
          <w:color w:val="000000" w:themeColor="text1"/>
          <w:sz w:val="16"/>
          <w:szCs w:val="16"/>
        </w:rPr>
        <w:softHyphen/>
        <w:t>сти на момент удара 600 м/с пробивает слой железобетона толщиной 1,4 м, а 203-мм снаряд при скорости 350 м/с только 0,8 м; кроме того, скорострельность (теоретическая — по расчету) 203-мм мортиры равна выстрела в минуту, практическая же скорострельность 152-мм са</w:t>
      </w:r>
      <w:r w:rsidRPr="00D03F3E">
        <w:rPr>
          <w:i w:val="0"/>
          <w:color w:val="000000" w:themeColor="text1"/>
          <w:sz w:val="16"/>
          <w:szCs w:val="16"/>
        </w:rPr>
        <w:softHyphen/>
        <w:t>моходной гаубицы-пушки равна 2,8 выстрела в минуту. (17484).</w:t>
      </w:r>
    </w:p>
    <w:p w14:paraId="75E25161" w14:textId="77777777" w:rsidR="00B610FB" w:rsidRPr="00D03F3E" w:rsidRDefault="00B610FB" w:rsidP="00D03F3E">
      <w:pPr>
        <w:spacing w:after="0" w:line="240" w:lineRule="auto"/>
        <w:jc w:val="both"/>
        <w:rPr>
          <w:rFonts w:ascii="Times New Roman" w:hAnsi="Times New Roman"/>
          <w:color w:val="000000" w:themeColor="text1"/>
          <w:sz w:val="16"/>
          <w:szCs w:val="16"/>
        </w:rPr>
      </w:pPr>
    </w:p>
    <w:p w14:paraId="0658F59F"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12 мая 1943 вышло Постановление ГКО № 3351 О мероприятиях по обеспечению изготовления металлургического оборудования в 1943 году на заводах Наркомтяжмаша для пусковых объектов и заводов черной металлургии. (7106, 176-179,180-224).</w:t>
      </w:r>
    </w:p>
    <w:p w14:paraId="1DD38026" w14:textId="77777777" w:rsidR="00531570" w:rsidRPr="00D03F3E" w:rsidRDefault="00531570" w:rsidP="00D03F3E">
      <w:pPr>
        <w:pStyle w:val="Iauiue"/>
        <w:tabs>
          <w:tab w:val="left" w:pos="11199"/>
        </w:tabs>
        <w:jc w:val="both"/>
        <w:rPr>
          <w:color w:val="000000" w:themeColor="text1"/>
          <w:sz w:val="16"/>
          <w:szCs w:val="16"/>
        </w:rPr>
      </w:pPr>
    </w:p>
    <w:p w14:paraId="55E7EBCC"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12 мая 1943 вышло Постановление ГКО № 3352 О подсобном хозяйстве для Севанского водозаборного сооружения "Севанстрой". (7106, 225).</w:t>
      </w:r>
    </w:p>
    <w:p w14:paraId="3D4DE194" w14:textId="77777777" w:rsidR="00531570" w:rsidRPr="00D03F3E" w:rsidRDefault="00531570" w:rsidP="00D03F3E">
      <w:pPr>
        <w:pStyle w:val="Iauiue"/>
        <w:tabs>
          <w:tab w:val="left" w:pos="11199"/>
        </w:tabs>
        <w:jc w:val="both"/>
        <w:rPr>
          <w:color w:val="000000" w:themeColor="text1"/>
          <w:sz w:val="16"/>
          <w:szCs w:val="16"/>
        </w:rPr>
      </w:pPr>
    </w:p>
    <w:p w14:paraId="6FD3B6E4" w14:textId="77777777" w:rsidR="002A10B9"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12 мая 1943 вышло Постановление ГКО № 3353 [О мерах по созданию новых приборов для управления взрывами на расстоянии и разминирования местности.] (7107, 1-2).</w:t>
      </w:r>
    </w:p>
    <w:p w14:paraId="281C37A6" w14:textId="77777777" w:rsidR="002A10B9" w:rsidRPr="00D03F3E" w:rsidRDefault="002A10B9" w:rsidP="00D03F3E">
      <w:pPr>
        <w:pStyle w:val="Iauiue"/>
        <w:tabs>
          <w:tab w:val="left" w:pos="11199"/>
        </w:tabs>
        <w:jc w:val="both"/>
        <w:rPr>
          <w:color w:val="000000" w:themeColor="text1"/>
          <w:sz w:val="16"/>
          <w:szCs w:val="16"/>
        </w:rPr>
      </w:pPr>
    </w:p>
    <w:p w14:paraId="5D8FA7A8" w14:textId="77777777" w:rsidR="00823A64" w:rsidRPr="00D03F3E" w:rsidRDefault="00823A64" w:rsidP="00D03F3E">
      <w:pPr>
        <w:pStyle w:val="Iauiue"/>
        <w:tabs>
          <w:tab w:val="left" w:pos="11199"/>
        </w:tabs>
        <w:jc w:val="both"/>
        <w:rPr>
          <w:color w:val="000000" w:themeColor="text1"/>
          <w:sz w:val="16"/>
          <w:szCs w:val="16"/>
        </w:rPr>
      </w:pPr>
      <w:r w:rsidRPr="00D03F3E">
        <w:rPr>
          <w:color w:val="000000" w:themeColor="text1"/>
          <w:sz w:val="16"/>
          <w:szCs w:val="16"/>
        </w:rPr>
        <w:t>12 мая 1943 г. ГОСУДАРСТВЕННЫЙ КОМИТЕТ ОБОРОНЫ ПОСТАНОВЛЕНИЕ № ГКО-3353сс</w:t>
      </w:r>
    </w:p>
    <w:p w14:paraId="6B1FB564"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 Кремль</w:t>
      </w:r>
    </w:p>
    <w:p w14:paraId="3A7EA39B"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целях дальнейшего усовершенствования и создания новых приборов для управления взрывами на расстоянии и приборов по разминированию местности Государственный Комитет Обороны ПОСТАНОВЛЯЕТ: </w:t>
      </w:r>
    </w:p>
    <w:p w14:paraId="275748E7"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 Обязать Наркомэлектропром (т. Кабанова) организовать во II квартале 1943 года при НИИ-20 научно-исследовательскую лабораторию специальной военно-инжнерной техники, возложив на неё следующие задачи: </w:t>
      </w:r>
    </w:p>
    <w:p w14:paraId="5A94865B"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разработку новых образцов приборов для беспроводного управления минными полями и одиночными взрывами дальнего и тактического действия; </w:t>
      </w:r>
    </w:p>
    <w:p w14:paraId="0EF332FE"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б) разработку упрощённых приборов для беспроводного управления минными полями и одиночными взрывами ближнего действия, а также электрических взрывателей и замыкателей для мин; </w:t>
      </w:r>
    </w:p>
    <w:p w14:paraId="22F7FD43"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разработку новых конструкций и усовершенствование существущих приборов для обнаружения мин различных типов и разминирования минных полей; </w:t>
      </w:r>
    </w:p>
    <w:p w14:paraId="1EBBB5A7"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 оказание технической помощи заводам, производящим специальные электрические и радиоприборы ддя Главного Военно-Инженерного Управления Красной Армии. </w:t>
      </w:r>
    </w:p>
    <w:p w14:paraId="223497FE"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 Организовать на заводе № 210 Наркомэлектропрома в составе отдела главного конструктора специальную процзводственно-техническую лабораторию для освоения в производстве навых приборов для управления взрывами на расстоянии, усовершенствования и испытания этих приборов совместно с Главным Военно-Инженерным Управлением Красной Армии. </w:t>
      </w:r>
    </w:p>
    <w:p w14:paraId="56B7BA52"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3. Обязать Наркомэлектропром (т. Кабанова) и Наркомобороны (т. Воробьева) в месячный срок совместно разработать и утвердить тематику работы для научно-исследовательской лаборатории НИИ-20 и производственно-технической лаборатории завода № 210. </w:t>
      </w:r>
    </w:p>
    <w:p w14:paraId="6173CDD4"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4. Обязатъ Наркомобороны (т. Воробьева): </w:t>
      </w:r>
    </w:p>
    <w:p w14:paraId="32AC2964"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в месячный срок передать лабораториям НИИ-20 и завода № 210 все имеющиеся образцы и техническую документацию по приборам управления взрывами на расстоянии, обнаружения мин и разминирования местности; </w:t>
      </w:r>
    </w:p>
    <w:p w14:paraId="11BC9FF9"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б) обеспечивать по требованию Наркомэлектропрома проведение полигонных испытаний указанных приборов на полигонах ГВИУ КА. </w:t>
      </w:r>
    </w:p>
    <w:p w14:paraId="0C51C13E"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5. Разрешить Наркомэлектропрому установить персональные оклады для начальников указанных лабораторий и ведущих инженеров - 4 отклада по 2000 рублей и 10 окладов по 1500 рублей. </w:t>
      </w:r>
    </w:p>
    <w:p w14:paraId="376F1A53"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6. Обязать Омский Облисполком к 20 мая 1943 г. изыскать в г. Омске и представить соответствующее помещение для поликлиники УНКВД. НКВД СССР в двадцатидневный срок после представления Облисполкомом помещения перевести в него поликлинику, а занимаемое в настоящее время поликлиникой помещение на торритории завода № 210 НКЭП - передать последнему для размещения производственно-технической лаборатории. </w:t>
      </w:r>
    </w:p>
    <w:p w14:paraId="3C51C1D6"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7. Обязать Наромторг СССР отпускать с 1 июля 1943 г. дополнительно на заводе № 210 и НИИ-20 Наркомэлектропрома: </w:t>
      </w:r>
    </w:p>
    <w:p w14:paraId="278606DC"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второе горячее питание на 70 человек - рабочим, перевыполняющим нормы выработки, а также мастерам и бригадирам, занятым на разработке и производстве спецаппаратуры для ГВИУ КА; </w:t>
      </w:r>
    </w:p>
    <w:p w14:paraId="5BC1F0C6"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б) обеды на 30 человек инженерно-технических работников, занятых на разработке и производстве спецаппаратуры для ГВИУ КА, по специальным обеденным карточкам, установленным Постановлением Совнаркома СССР от 17 сентября 1942 г. № 1548-742с. </w:t>
      </w:r>
    </w:p>
    <w:p w14:paraId="3A3EC761"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8. Обязать Наркомвооружения откомандировать в месячный срок в распоряжение Наркомэлектропрома двух специалкстов, ранее работавших по приборам управления взрывами на расстоянии. </w:t>
      </w:r>
    </w:p>
    <w:p w14:paraId="157399D9"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9. Обязать Наркомобороны (т. Щаденко) по согласованию с Наркомэлектропромом возвратить в месячный срок из Красной Армии 10 человек специалистов, ранее работавших на предприятиях Наркомэлектропрома по разработке и производству приборов управления взрывами. </w:t>
      </w:r>
    </w:p>
    <w:p w14:paraId="0EE1E9DC"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10. Обязать Государственную Штатную Комиссию при Совнаркоме СССР к 22 мая 1943 г. рассмотреть и утвердить штаты и должностные оклады работникам лабораторий по специальной аппаратуре для ГВИУ КА при НИИ-20 Наркомэлектропрома. </w:t>
      </w:r>
    </w:p>
    <w:p w14:paraId="0BD5501A"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11. Обязать Омский обком ВКП(б) (т. Кудинова) оказывать систематическую помощь заводу № 210 Наркомэлектропрома в выполнении заданий ГОКО по разработке новых образцов приборов управления взрывами на расстоянии и в выполнении плана производства спецприборов для ГВИУ КА. </w:t>
      </w:r>
    </w:p>
    <w:p w14:paraId="116EAB3F"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председателя Государственного Комитета Обороны В. Молотов (12658)</w:t>
      </w:r>
    </w:p>
    <w:p w14:paraId="5DAC5365" w14:textId="77777777" w:rsidR="00823A64" w:rsidRPr="00D03F3E" w:rsidRDefault="00823A64" w:rsidP="00D03F3E">
      <w:pPr>
        <w:pStyle w:val="Iauiue"/>
        <w:tabs>
          <w:tab w:val="left" w:pos="11199"/>
        </w:tabs>
        <w:jc w:val="both"/>
        <w:rPr>
          <w:color w:val="000000" w:themeColor="text1"/>
          <w:sz w:val="16"/>
          <w:szCs w:val="16"/>
        </w:rPr>
      </w:pPr>
    </w:p>
    <w:p w14:paraId="37083CC8"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12 мая 1943 вышло Распоряжение ГКО № 3354 [Об организации автобаз треста "Авторазгрузжелдор" в Свердловске и Челябинске и их пополнении машинами в Москве и Горьком для обеспечения перевозок боеприпасов.] (7107, 3-5).</w:t>
      </w:r>
    </w:p>
    <w:p w14:paraId="52109E7F" w14:textId="77777777" w:rsidR="00531570" w:rsidRPr="00D03F3E" w:rsidRDefault="00531570" w:rsidP="00D03F3E">
      <w:pPr>
        <w:pStyle w:val="Iauiue"/>
        <w:tabs>
          <w:tab w:val="left" w:pos="11199"/>
        </w:tabs>
        <w:jc w:val="both"/>
        <w:rPr>
          <w:color w:val="000000" w:themeColor="text1"/>
          <w:sz w:val="16"/>
          <w:szCs w:val="16"/>
        </w:rPr>
      </w:pPr>
    </w:p>
    <w:p w14:paraId="629D3FCF"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12 мая 1943 вышло Распоряжение ГКО № 3355 [О выделении ВВ и материалов для взрывных работ на строительстве Ташкентских гидростанций.] (7107, 6).</w:t>
      </w:r>
    </w:p>
    <w:p w14:paraId="45A5C197" w14:textId="77777777" w:rsidR="00531570" w:rsidRPr="00D03F3E" w:rsidRDefault="00531570" w:rsidP="00D03F3E">
      <w:pPr>
        <w:pStyle w:val="Iauiue"/>
        <w:tabs>
          <w:tab w:val="left" w:pos="11199"/>
        </w:tabs>
        <w:jc w:val="both"/>
        <w:rPr>
          <w:color w:val="000000" w:themeColor="text1"/>
          <w:sz w:val="16"/>
          <w:szCs w:val="16"/>
        </w:rPr>
      </w:pPr>
    </w:p>
    <w:p w14:paraId="03008C1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мая 1943 вышло Распоряжение ГКО № 3356. О мерах по восстановлению Сталинградского гидролизного завода Главлесоспирта и ТЭЦ Сталинградского лесокомбината.РГАНИР, Фонд ГКО, д. 117, лл. 7-10, 11-18 (11012).</w:t>
      </w:r>
    </w:p>
    <w:p w14:paraId="470ACD6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475F49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мая 1943 года приказом № 174 НКВ был утвержден Устав ОКБ № 44 НКВ (9284).</w:t>
      </w:r>
    </w:p>
    <w:p w14:paraId="3C34C9A7" w14:textId="77777777" w:rsidR="00531570" w:rsidRPr="00D03F3E" w:rsidRDefault="00531570" w:rsidP="00D03F3E">
      <w:pPr>
        <w:pStyle w:val="Iauiue"/>
        <w:jc w:val="both"/>
        <w:rPr>
          <w:color w:val="000000" w:themeColor="text1"/>
          <w:sz w:val="16"/>
          <w:szCs w:val="16"/>
        </w:rPr>
      </w:pPr>
    </w:p>
    <w:p w14:paraId="5028D71F"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49D196BB" w14:textId="77777777" w:rsidR="00531570" w:rsidRPr="00D03F3E" w:rsidRDefault="00531570" w:rsidP="00D03F3E">
      <w:pPr>
        <w:pStyle w:val="Iauiue"/>
        <w:jc w:val="both"/>
        <w:rPr>
          <w:iCs/>
          <w:color w:val="000000" w:themeColor="text1"/>
          <w:sz w:val="16"/>
          <w:szCs w:val="16"/>
        </w:rPr>
      </w:pPr>
    </w:p>
    <w:p w14:paraId="08904EF1"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мая в 1943 году утреннее сообщение Совинформбюро:</w:t>
      </w:r>
    </w:p>
    <w:p w14:paraId="23312036"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течение ночи на 12 мая на Кубани, северо-восточнее Новороссийска, наши войска продолжали вести бои с противником. На других участках фронта ничего существенного не произошло.</w:t>
      </w:r>
    </w:p>
    <w:p w14:paraId="2EAD74FC"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северо-восточнее Новороссийска, артиллеристы Н-ской части разбили 17 немецких дзотов и блиндажей, уничтожили 4 орудия и взорвали склад противника с боеприпасами. Наше подразделение выбило немцев из одной рощи. На месте боя осталось 190 вражеских трупов и много оружия, брошенного гитлеровцами.</w:t>
      </w:r>
    </w:p>
    <w:p w14:paraId="4F6DB852"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уничтожили до роты немецкой пехоты, подавили огонь 6 артиллерийских и 2 миномётных батарей противника. На одном участке гитлеровцы пытались проникнуть в расположение наших войск. Огнём артиллерии и автоматического оружия противник был отброшен. На поле боя осталось 40 вражеских трупов.</w:t>
      </w:r>
    </w:p>
    <w:p w14:paraId="3F44F449"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нашей артиллерией разрушено 8 немецких Дзотов, подавлен огонь 2 артиллерийских и 2 миномётных батарей. На одном участке артиллеристы Н-ской части разгромили обоз противника. Уничтожено свыше 30 автомашин и повозок с грузом.</w:t>
      </w:r>
    </w:p>
    <w:p w14:paraId="535C6DD5"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Снайперы Н-ской части за две недели истребили 172 гитлеровца.</w:t>
      </w:r>
    </w:p>
    <w:p w14:paraId="1BEE7200"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наши артиллеристы обстреливали вражеские позиции и разрушили 7 дзотов и 6 блиндажей, уничтожили 2 шестиствольных миномёта, 3 орудия, 8 пулемётов и до 100 немецких солдат и офицеров.</w:t>
      </w:r>
    </w:p>
    <w:p w14:paraId="259839E0"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подразделения истребили до двух рот пехоты противника. Артиллерийским огнём разрушены 9 вражеских дзотов, 21 землянка и наблюдательный пункт. Разведчики под командованием лейтенанта Каршева, ворвавшись в блиндажи и траншеи противника, гранатами и огнём из автоматов уничтожили 30 немецких солдат. Захватив пленных и трофеи, наши бойцы благополучно вернулись в свою часть.</w:t>
      </w:r>
    </w:p>
    <w:p w14:paraId="5BF111FA"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имени Героя Советского Союза Заслонова, действующий в одном из районов Витебской области, за пять дней пустил под откос 6 воинских эшелонов противника. Разбито несколько десятков вагонов и платформ. Под обломками вагонов погибло много гитлеровцев. За это же время партизаны взорвали 2 железнодорожных и 6 шоссейных мостов. В боях с немецко-фашистскими оккупантами партизаны захватили 15 пулемётов, 56 винтовок и 16 тысяч патронов.</w:t>
      </w:r>
    </w:p>
    <w:p w14:paraId="4A4B8839"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Сдавшийся добровольно в плен солдат 9 немецкого полка Ганс В. рассказал: «Наш полк несёт значительные потери от русских снайперов. За один месяц 7 рота потеряла убитыми 17 человек. Потери 3 роты убитыми и ранеными за это же время составляют более 40 человек. На передовой линии развешены плакаты: «Осторожно: снайперы». Солдаты боятся голову высунуть из окопов. Командир полка полковник Девиц на днях сказал: «Русские снайперы угрожают нашему существованию. Если такбудет продолжаться дальше, то через каких-нибудь три месяца от полка ничего не останется».</w:t>
      </w:r>
    </w:p>
    <w:p w14:paraId="4EB5DBD5"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Недавно части Красной Армии освободили населённые пункты Чернозем и Хлопково, Калининской области. Перед отступлением гитлеровцы полностью разрушили и сожгли все дома и хозяйственные постройки в этих деревнях, а жителей насильно угнали накаторгу в Германию. В Черноземе обнаружено 33 трупа пленных советских бойцов, зверски замученных немецко-фашистскими извергами.» (14889).</w:t>
      </w:r>
    </w:p>
    <w:p w14:paraId="31BF4E26" w14:textId="77777777" w:rsidR="002A10B9" w:rsidRPr="00D03F3E" w:rsidRDefault="002A10B9" w:rsidP="00D03F3E">
      <w:pPr>
        <w:spacing w:after="0" w:line="240" w:lineRule="auto"/>
        <w:jc w:val="both"/>
        <w:rPr>
          <w:rFonts w:ascii="Times New Roman" w:hAnsi="Times New Roman"/>
          <w:color w:val="000000" w:themeColor="text1"/>
          <w:sz w:val="16"/>
          <w:szCs w:val="16"/>
        </w:rPr>
      </w:pPr>
    </w:p>
    <w:p w14:paraId="1325E47E"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мая в 1943 году вечернее сообщение Совинформбюро:</w:t>
      </w:r>
    </w:p>
    <w:p w14:paraId="2FBB83B3"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течение 12 мая на Кубани, северо-восточнее Новороссийска, наши войска интенсивным артиллерийским огнём разрушали оборонительные сооружения противника. В воздушных боях и огнём зенитной артиллерии сбито 18 немецких самолётов. Наши потери — 5 самолётов.</w:t>
      </w:r>
    </w:p>
    <w:p w14:paraId="47B84045"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Ha других участках фронта ничего существенного не произошло.</w:t>
      </w:r>
    </w:p>
    <w:p w14:paraId="02867388"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северо-восточнее Новороссийска, части Н-ского соединения продолжали вести бои с противником. Экипаж танка под командованием капитана т. Воронова уничтожил немецкий танк, 5 орудий, 5 пулемётных точек и до роты немецкой пехоты. Автоматчик т. Балтачинян убил 4 гитлеровцев и взял в плен двух немецких офицеров. Бронебойщик т. Убуж Багликов огнём из противотанкового ружья сбил немецкий бомбардировщик «Юнкерс-88».</w:t>
      </w:r>
    </w:p>
    <w:p w14:paraId="7B0AE16C"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низовьях Кубани наши подразделения продолжали вести активные боевые действия и уничтожили до 200 немецких солдат и офицеров.</w:t>
      </w:r>
    </w:p>
    <w:p w14:paraId="6B76F534"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районе Лисичанска наши части вели бои с танками и мотопехотой противника. На одном участке советские бойцы сломили сопротивление немцев, продвинулись вперёд и захватили выгодные позиции. Уничтожено более 600 гитлеровцев, подбито исожжено 4 немецких танка. Взяты пленные.</w:t>
      </w:r>
    </w:p>
    <w:p w14:paraId="4DA9BE4E"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разведчики Н-ской части атаковали боевое охранение немцев. В рукопашной схватке советские бойцы истребили 20 гитлеровцев, а затеем взорвали несколько блиндажей. На другом участке наша рота под прикрытием артиллерийскогои миномётного огня преодолела два ряда проволочных заграждений и ворвалась в траншеи противника. Наши бойцы истребили 42 гитлеровца и, захватив пленных и трофеи, возвратились в расположение своей части.</w:t>
      </w:r>
    </w:p>
    <w:p w14:paraId="03F69E44"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артиллерийские подразделения, где командирами тт. Скрылов и Андриенко, уничтожили три немецких орудия, 6 пулемётов, разбили 10 дзотов и блиндажей. Снайперы Н-ской части за три дня истребили 62 гитлеровца. Снайпер гвардии сержант т. Семёнов за это же время уничтожил 11 немцев.</w:t>
      </w:r>
    </w:p>
    <w:p w14:paraId="272247B5"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«Смерть немецким оккупантам», действующий в одном из районов Орловской области, совершил ночью налёт на крупную железнодорожную станцию. В бою с немецким гарнизоном, охранявшим станцию, партизаны истребили до 200 гитлеровцев. Станционное оборудование выведено из строя. Уничтожены входные и выходные стрелки. Партизаны другого отряда на железной дороге близ Брянска пустили под откос 3 немецких воинских эшелона. Уничтожено 2 паровоза, 5 платформ с орудиями, 5 платформ с танками, 3 платформы с автомоторами и несколько вагонов с разными грузами.</w:t>
      </w:r>
    </w:p>
    <w:p w14:paraId="6925BCA6"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Советские граждане, бежавшие из фашистского плена, рассказали о кровавой расправе немецко-фашистских мерзавцев над мирными жителями оккупированных ими районов. Гитлеровские изверги сожгли дотла деревни Понизовье, Стаи, Корнилы, Конец, Козловичи, Горюны, Коробы и многие другие селения Витебской области. Спасаясь от немецких убийц, свыше 10 тысяч советских граждан из многих деревень ушли в Щелбовский лес. Отряды немцев окружили лес. Они обстреливали мирных жителей артиллерийско-миномётным огнём, и несколько раз немецкие самолёты бомбардировали лес. По далеко не полным подсчётам, гитлеровские изверги убили в Щелбовском лесу свыше двух тысяч ни в чём не повинных женщин, детей и стариков. Советские люди, бывшие свидетелями этих чудовищных злодеяний, которые творили гитлеровцы, призывают всех бойцов и командиров Красной Армии и всех патриотов нашей Родины беспощадно мстить фашистским сволочам.</w:t>
      </w:r>
    </w:p>
    <w:p w14:paraId="67C31A99"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Греческие партизаны с боями ворвались в города Янина и Ливадия и освободили из тюрем жителей, арестованных немцами в качестве заложников. Получив свободу, патриоты присоединились к партизанам и вместе с ними ушли в горы. В районе Салоник партизаны организовали крушение немецкого бронепоезда. В порту Пирей группа рабочих подожгла итальянское нефтеналивное судно.» (14889).</w:t>
      </w:r>
    </w:p>
    <w:p w14:paraId="42E047CF" w14:textId="77777777" w:rsidR="002A10B9" w:rsidRPr="00D03F3E" w:rsidRDefault="002A10B9" w:rsidP="00D03F3E">
      <w:pPr>
        <w:spacing w:after="0" w:line="240" w:lineRule="auto"/>
        <w:jc w:val="both"/>
        <w:rPr>
          <w:rFonts w:ascii="Times New Roman" w:hAnsi="Times New Roman"/>
          <w:color w:val="000000" w:themeColor="text1"/>
          <w:sz w:val="16"/>
          <w:szCs w:val="16"/>
        </w:rPr>
      </w:pPr>
    </w:p>
    <w:p w14:paraId="312F9D1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мая 1943 сержанты Н.Смирнов и А.Смирнов из 6-го гшап 3-й ВА у разъезда Власье обнаружили и атаковали два железнодорожных эшелона. Первая атака производилась со стороны солнца, последующие - с разных направлений. В результате трех атак поврежден паровоз и разбиты два вагона и две платформы с автомашинами. После посадки "охотников", по их данным, для повторной атаки была выслана группа ст. лейтенанта Феофанова (4 Ил-2), которой удалось повредить шесть крытых вагонов и семь платформ с автомашинами (12020).</w:t>
      </w:r>
    </w:p>
    <w:p w14:paraId="0AA9C9A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EAAE1A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мая 1943 трофейный пятьдесятвторой “юнкерс”, шедший из Челябинска, угодил под огонь вблизи моста в Ульяновске. Машина совершила вынуж-. денную посадку на аэродроме Стригино, механики нашли две приличных пробоины в правом крыле. Оправдываясь, командование ПВО сообщило, что самолёт вошёл в запретную зону и батарея сделала несколько предупредительных выстрелов. Таких случаев было много (6393).</w:t>
      </w:r>
    </w:p>
    <w:p w14:paraId="6C9F2AB7" w14:textId="77777777" w:rsidR="00531570" w:rsidRPr="00D03F3E" w:rsidRDefault="00531570" w:rsidP="00D03F3E">
      <w:pPr>
        <w:pStyle w:val="Iauiue"/>
        <w:jc w:val="both"/>
        <w:rPr>
          <w:color w:val="000000" w:themeColor="text1"/>
          <w:sz w:val="16"/>
          <w:szCs w:val="16"/>
        </w:rPr>
      </w:pPr>
    </w:p>
    <w:p w14:paraId="31369C0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мая 1943 г. вышло ПРИКАЗАНИЕ КОМАНДУЮЩЕГО БТ и МВ КА О БОРЬБЕ С ПРОТИВОТАНКОВЫМИ ОТРЯДАМИ САМОЛЕТОВ ПРОТИВНИКА № РО/37</w:t>
      </w:r>
    </w:p>
    <w:p w14:paraId="170C819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вооружение германской армии поступил новый противотанковый самолет, по своей конструкции являющийся пикирующим бомбардировщиком Ю-87, у которого вместо приспособления для метания бомб установлены две пушки по одной на каждом крыле. Пушки 37-мм автоматические. Боекомплект 24 снаряда. Начальная скорость 1300 м/с. Пробивная способность на дистанцию 800 м — 12-мм броню, на дистанцию 600 м — 14-мм. Максимальная скорость полета 320 км/ч. Козырек пилота имеет 50-мм броню. Сидение пилота, спинка и бока кабины имеют 20-мм броню. Уязвимые места — мотор, деревянный про</w:t>
      </w:r>
      <w:r w:rsidRPr="00D03F3E">
        <w:rPr>
          <w:rFonts w:ascii="Times New Roman" w:hAnsi="Times New Roman"/>
          <w:color w:val="000000" w:themeColor="text1"/>
          <w:sz w:val="16"/>
          <w:szCs w:val="16"/>
        </w:rPr>
        <w:softHyphen/>
        <w:t>пеллер, бензобаки, расположенные в крыльях, дно кабины летчика и кабина радиста.</w:t>
      </w:r>
    </w:p>
    <w:p w14:paraId="55D4A83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разведывательным данным, 12 апреля 1943 г. штабом 4-го воздушного флота германской армии разослано следующее указание:</w:t>
      </w:r>
    </w:p>
    <w:p w14:paraId="5A472E4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«Противотанковые отряды и подразделения для борьбы с танками должны прежде всего использовать</w:t>
      </w:r>
      <w:r w:rsidRPr="00D03F3E">
        <w:rPr>
          <w:rFonts w:ascii="Times New Roman" w:hAnsi="Times New Roman"/>
          <w:color w:val="000000" w:themeColor="text1"/>
          <w:sz w:val="16"/>
          <w:szCs w:val="16"/>
        </w:rPr>
        <w:softHyphen/>
        <w:t>ся против танков противника, прорвавшихся через наши линии. Кроме того, данные подразделения могут быть также использованы против танков в случае, когда в результате сложившейся на земле обстановки противник не сможет обеспечить свои танки концентрированной воздушной защитой. Помощь данных подразделений должна быть организованной и проводиться время от времени, несмотря на наличие дру</w:t>
      </w:r>
      <w:r w:rsidRPr="00D03F3E">
        <w:rPr>
          <w:rFonts w:ascii="Times New Roman" w:hAnsi="Times New Roman"/>
          <w:color w:val="000000" w:themeColor="text1"/>
          <w:sz w:val="16"/>
          <w:szCs w:val="16"/>
        </w:rPr>
        <w:softHyphen/>
        <w:t>гих оперативных задач. Необходимо, чтобы ПТ полразделения использовались с максимальной ударной эффективностью только при возникновении обстановки, разрешающей применение ПТ подразделений. Использование подразделений для выполнения других задач категорически воспрещается».</w:t>
      </w:r>
    </w:p>
    <w:p w14:paraId="77C87A1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Командующий БТМВ КА приказал довести немедленно указанную информацию до танковых и механизированных войск фронта и дать указания о том, что:</w:t>
      </w:r>
    </w:p>
    <w:p w14:paraId="6100CC0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борьба с противотанковыми отрядами самолетов противника должна быть организована танковыми и механизированными войсками немедленно путем рассредоточенного расположения танковых частей, тща</w:t>
      </w:r>
      <w:r w:rsidRPr="00D03F3E">
        <w:rPr>
          <w:rFonts w:ascii="Times New Roman" w:hAnsi="Times New Roman"/>
          <w:color w:val="000000" w:themeColor="text1"/>
          <w:sz w:val="16"/>
          <w:szCs w:val="16"/>
        </w:rPr>
        <w:softHyphen/>
        <w:t>тельной их маскировки и укрытия танков в специальных окопах. Марш должен быть организован в расчле</w:t>
      </w:r>
      <w:r w:rsidRPr="00D03F3E">
        <w:rPr>
          <w:rFonts w:ascii="Times New Roman" w:hAnsi="Times New Roman"/>
          <w:color w:val="000000" w:themeColor="text1"/>
          <w:sz w:val="16"/>
          <w:szCs w:val="16"/>
        </w:rPr>
        <w:softHyphen/>
        <w:t>ненных походных порядках с максимальным использованием ночного времени и нелетной погоды. При насту</w:t>
      </w:r>
      <w:r w:rsidRPr="00D03F3E">
        <w:rPr>
          <w:rFonts w:ascii="Times New Roman" w:hAnsi="Times New Roman"/>
          <w:color w:val="000000" w:themeColor="text1"/>
          <w:sz w:val="16"/>
          <w:szCs w:val="16"/>
        </w:rPr>
        <w:softHyphen/>
        <w:t xml:space="preserve">плении, контратаках и действиях в глубине обороны противника не допускать скученных боевых порядков. Во всех случаях зенитные средства должны находиться с танками, имея особой задачей прикрытие их от действий ПТ отрядов авиации. Планом ПВО предусматривать [зенитные средства в] боевых порядках танковых частей. При организации взаимодействия иметь в </w:t>
      </w:r>
      <w:r w:rsidRPr="00D03F3E">
        <w:rPr>
          <w:rFonts w:ascii="Times New Roman" w:hAnsi="Times New Roman"/>
          <w:color w:val="000000" w:themeColor="text1"/>
          <w:sz w:val="16"/>
          <w:szCs w:val="16"/>
        </w:rPr>
        <w:lastRenderedPageBreak/>
        <w:t>виду прикрытие танков зенитными средствами других родов войск, особенно в динамике боя. При даче заявок авиации предусматривать разведку аэродромов базирования ПТ авиации и поражение ее на земле, а также прикрытие района действий танков истребительной авиацией.</w:t>
      </w:r>
    </w:p>
    <w:p w14:paraId="76A0E6C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доведении указаний до войск донести.</w:t>
      </w:r>
    </w:p>
    <w:p w14:paraId="15C1B11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штаба БТ и МВ КА полковник Заев</w:t>
      </w:r>
    </w:p>
    <w:p w14:paraId="42B388B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Ф.38. Оп. 11353. Д. 425. Л. 45-46. Подлинник (11403).</w:t>
      </w:r>
    </w:p>
    <w:p w14:paraId="7C90814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EBCBF2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мая 1943 г. вышел ПРИКАЗ № 0348 О СБЕРЕЖЕНИИ ТРАКТОРНОГО ПАРКА КРАСНОЙ АРМИИ</w:t>
      </w:r>
    </w:p>
    <w:p w14:paraId="39FF5D0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Проверкой технического состояния тракторов, поступающих в капитальный ремонт, установлено:</w:t>
      </w:r>
    </w:p>
    <w:p w14:paraId="14A1493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Тракторы поступают на ремонтные заводы разукомплектованными, без дефектных актов и приемно-сдаточных ведомостей.</w:t>
      </w:r>
    </w:p>
    <w:p w14:paraId="0A826AC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Многие агрегаты трактора, особено двигатели и ходовая часть, имеют преждевременный износ, как результат небрежной эксплуатации и плохого технического ухода.</w:t>
      </w:r>
    </w:p>
    <w:p w14:paraId="4846CC5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Некоторые войсковые части, пытаясь производить капитальный ремонт у себя, делают это кустарно, без достаточной технической подготовки, чем только портят отдельные узлы и агрегаты и расходуют зря большое количество запасных частей.</w:t>
      </w:r>
    </w:p>
    <w:p w14:paraId="5F1A68C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Командующим артиллерией фронтов и армий и начальникам артиллерии округов приказываю:</w:t>
      </w:r>
    </w:p>
    <w:p w14:paraId="1333144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Категорически запретить всякое разукомплектование тракторов перед отправкой их в капитальный ремонт. За разукомплектование тракторов привлекать к ответственности, как за порчу военного имущества.</w:t>
      </w:r>
    </w:p>
    <w:p w14:paraId="299CD9A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На каждый трактор, отправляемый в капитальный ремонт, составлять дефектный акт и приемно-сдаточную ведомость с перечислением имеющихся агрегатов и отдельных узлов. Дефектный акт и приемно-сдаточную ведомость утверждать командиру войсковой части.</w:t>
      </w:r>
    </w:p>
    <w:p w14:paraId="0156C5E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Тракторы, предназначенные для капитального ремонта, отправлять на ремонтные заводы в сопровождении трактористов, ответственных за сохранность машин в пути.</w:t>
      </w:r>
    </w:p>
    <w:p w14:paraId="78F3919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Поступившие на ремонтные заводы тракторы обязательно возвращать после капитального ремонта в ту войсковую часть, от которой они поступили в ремонт.</w:t>
      </w:r>
    </w:p>
    <w:p w14:paraId="3324A00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В целях сокращения времени простоя тракторов в капитальном ремонте образовать на ремонтных заводах Главного артиллерийского управления Красной Армии оборотный фонд тракторов, допускающих немедленную выдачу отремонтированных тракторов войсковым частям взамен завозимых в ремонт.</w:t>
      </w:r>
    </w:p>
    <w:p w14:paraId="1F1AFF1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Установить оборотный фонд тракторов на ремонтных заводах Главного артиллерийского управления Красной Армии в следующих количествах:</w:t>
      </w:r>
    </w:p>
    <w:p w14:paraId="69B8B5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на ремонтном заводе № 81—40 тракторов;</w:t>
      </w:r>
    </w:p>
    <w:p w14:paraId="6E20660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на ремонтном заводе № 29—30 тракторов;</w:t>
      </w:r>
    </w:p>
    <w:p w14:paraId="6BF702F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на ремонтном заводе № 9—30 тракторов;</w:t>
      </w:r>
    </w:p>
    <w:p w14:paraId="7E3AAC3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 на ремонтном заводе № 83—50 тракторов.</w:t>
      </w:r>
    </w:p>
    <w:p w14:paraId="2BED305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 Воспретить производство капитальных ремонтов тракторов в войсковых частях, не имеющих хорошо подготовленных ремонтных подразделений (ОРВБ, ПРБ и др.).</w:t>
      </w:r>
    </w:p>
    <w:p w14:paraId="45635CC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 Всему начальствующему составу и трактористам войсковых частей, имеющих в эксплуатации тракторы, строго соблюдать установленные правила ухода за тракторами. Беспечных и нерадивых в этом отношении привлекать к судебной ответственности.</w:t>
      </w:r>
    </w:p>
    <w:p w14:paraId="0FEB37D4" w14:textId="77777777" w:rsidR="00531570" w:rsidRPr="00D03F3E" w:rsidRDefault="00531570" w:rsidP="00D03F3E">
      <w:pPr>
        <w:pStyle w:val="Iauiue"/>
        <w:jc w:val="both"/>
        <w:rPr>
          <w:color w:val="000000" w:themeColor="text1"/>
          <w:sz w:val="16"/>
          <w:szCs w:val="16"/>
        </w:rPr>
      </w:pPr>
      <w:r w:rsidRPr="00D03F3E">
        <w:rPr>
          <w:iCs/>
          <w:color w:val="000000" w:themeColor="text1"/>
          <w:sz w:val="16"/>
          <w:szCs w:val="16"/>
        </w:rPr>
        <w:t xml:space="preserve">Заместитель Народного комиссара обороны маршал артиллерии ВОРОНОВ </w:t>
      </w:r>
      <w:r w:rsidRPr="00D03F3E">
        <w:rPr>
          <w:color w:val="000000" w:themeColor="text1"/>
          <w:sz w:val="16"/>
          <w:szCs w:val="16"/>
        </w:rPr>
        <w:t>(9844).</w:t>
      </w:r>
    </w:p>
    <w:p w14:paraId="4DC98B51" w14:textId="77777777" w:rsidR="00531570" w:rsidRPr="00D03F3E" w:rsidRDefault="00531570" w:rsidP="00D03F3E">
      <w:pPr>
        <w:pStyle w:val="Iauiue"/>
        <w:jc w:val="both"/>
        <w:rPr>
          <w:color w:val="000000" w:themeColor="text1"/>
          <w:sz w:val="16"/>
          <w:szCs w:val="16"/>
        </w:rPr>
      </w:pPr>
    </w:p>
    <w:p w14:paraId="47F2915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мая 1943г. вышла ДИРЕКТИВА НАЧАЛЬНИКА ШТАБА ТЫЛА КА ОБ ПОДБОРЕ ЭКСПОНАТОВ ДЛЯ МУЗЕЯ-ВЫСТАВКИ ТРОФЕЙНОГО ВООРУЖЕНИЯ И ТЕХНИКИ №1167НС</w:t>
      </w:r>
    </w:p>
    <w:p w14:paraId="3FBDCA0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Государственный комитет обороны [Постановлением] №ГОКО-3295 от 7 мая 1943 года утвер</w:t>
      </w:r>
      <w:r w:rsidRPr="00D03F3E">
        <w:rPr>
          <w:rFonts w:ascii="Times New Roman" w:hAnsi="Times New Roman"/>
          <w:color w:val="000000" w:themeColor="text1"/>
          <w:sz w:val="16"/>
          <w:szCs w:val="16"/>
        </w:rPr>
        <w:softHyphen/>
        <w:t>дил представленный Трофейным комитетом при ГОКО тематический и эскизный план музея-выставки трофейного вооружения и техники.</w:t>
      </w:r>
    </w:p>
    <w:p w14:paraId="6EFC8D8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Полное сосредоточение всех экспонатов музея намечено закончить к 25 мая с.г. и только при задержке в доставке их с бывших полей сражений, окончательный срок установлен 7 июня 1943 г. Во исполнение указанного постановления Государственного комитета обороны прошу:</w:t>
      </w:r>
    </w:p>
    <w:p w14:paraId="69CED1E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Дать спешное указание об отборе предусмотренных экспонатов из числа трофейного имуще</w:t>
      </w:r>
      <w:r w:rsidRPr="00D03F3E">
        <w:rPr>
          <w:rFonts w:ascii="Times New Roman" w:hAnsi="Times New Roman"/>
          <w:color w:val="000000" w:themeColor="text1"/>
          <w:sz w:val="16"/>
          <w:szCs w:val="16"/>
        </w:rPr>
        <w:softHyphen/>
        <w:t>ства и своевременной доставки их на территорию музея.</w:t>
      </w:r>
    </w:p>
    <w:p w14:paraId="3E5784F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Копию Вашего распоряжения выслать в штаб тыла Красной Армии.</w:t>
      </w:r>
    </w:p>
    <w:p w14:paraId="3E95408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выписки из тематического плана музея-выставки и ориентировочного перечня на 2 листах.</w:t>
      </w:r>
    </w:p>
    <w:p w14:paraId="7ED9C0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штаба тыла Красной Армии генерал-лейтенант Миловский</w:t>
      </w:r>
    </w:p>
    <w:p w14:paraId="02AE7A9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ВЫПИСКА из тематического плана музея-выставки трофейного вооружения и техники</w:t>
      </w:r>
    </w:p>
    <w:p w14:paraId="7AA15FE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Отдел военно-санитарной техники противника.</w:t>
      </w:r>
    </w:p>
    <w:p w14:paraId="1BE8D61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Батальонный перевязочный пункт, санитарная рота дивизии, дивизионный лазарет, санитар</w:t>
      </w:r>
      <w:r w:rsidRPr="00D03F3E">
        <w:rPr>
          <w:rFonts w:ascii="Times New Roman" w:hAnsi="Times New Roman"/>
          <w:color w:val="000000" w:themeColor="text1"/>
          <w:sz w:val="16"/>
          <w:szCs w:val="16"/>
        </w:rPr>
        <w:softHyphen/>
        <w:t>ные склады и тыл, противоэпидемические средства, санитарная техника, медицинское имущество, перевязочные материалы, санхозимущество и лабораторное оборудование и т.д. демонстрируются в закрытом помещении и на открытой площадке.</w:t>
      </w:r>
    </w:p>
    <w:p w14:paraId="4E6B2C7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Отдел интендантский.</w:t>
      </w:r>
    </w:p>
    <w:p w14:paraId="0095BCD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Обмундирование, обувь (эрзацы), продовольствие и предметы быта противника демонстриру</w:t>
      </w:r>
      <w:r w:rsidRPr="00D03F3E">
        <w:rPr>
          <w:rFonts w:ascii="Times New Roman" w:hAnsi="Times New Roman"/>
          <w:color w:val="000000" w:themeColor="text1"/>
          <w:sz w:val="16"/>
          <w:szCs w:val="16"/>
        </w:rPr>
        <w:softHyphen/>
        <w:t>ются в закрытом помещении и на открытой площадке.</w:t>
      </w:r>
    </w:p>
    <w:p w14:paraId="0B79E49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Отдел транспортный.</w:t>
      </w:r>
    </w:p>
    <w:p w14:paraId="5E42301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Средства транспорта противника — автомобили, автотягачи, прицепы, санитарные и штабные машины, мастерские, оборудованные в автомобилях, тележки, конные повозки и прочее демонстри</w:t>
      </w:r>
      <w:r w:rsidRPr="00D03F3E">
        <w:rPr>
          <w:rFonts w:ascii="Times New Roman" w:hAnsi="Times New Roman"/>
          <w:color w:val="000000" w:themeColor="text1"/>
          <w:sz w:val="16"/>
          <w:szCs w:val="16"/>
        </w:rPr>
        <w:softHyphen/>
        <w:t>руются на открытой площадке.</w:t>
      </w:r>
    </w:p>
    <w:p w14:paraId="2C3BEE8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IV. Порядок демонстрации экспоната на выставке.</w:t>
      </w:r>
    </w:p>
    <w:p w14:paraId="1239D50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Каждый вид вооружения или боевой техники представляется в музее-выставке в исправном и обезвреженном виде.</w:t>
      </w:r>
    </w:p>
    <w:p w14:paraId="4FAE6BA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специально оборудованных стендах дается краткая характеристика демонстрируемого экспоната.</w:t>
      </w:r>
    </w:p>
    <w:p w14:paraId="71648DA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каждом отделе крупных экспонатов на видных местах будут даваться цифровые, периодиче</w:t>
      </w:r>
      <w:r w:rsidRPr="00D03F3E">
        <w:rPr>
          <w:rFonts w:ascii="Times New Roman" w:hAnsi="Times New Roman"/>
          <w:color w:val="000000" w:themeColor="text1"/>
          <w:sz w:val="16"/>
          <w:szCs w:val="16"/>
        </w:rPr>
        <w:softHyphen/>
        <w:t>ски обновляемые сведения из сводок Совинформбюро о количествах танков, орудий, самолетов и прочих, захваченных и уничтоженных Красной Армией.</w:t>
      </w:r>
    </w:p>
    <w:p w14:paraId="399C25E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V. Экскурсоводы.</w:t>
      </w:r>
    </w:p>
    <w:p w14:paraId="3666D2B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Обслуживание посетителей проводится квалифицированными специалистами, дающими объ</w:t>
      </w:r>
      <w:r w:rsidRPr="00D03F3E">
        <w:rPr>
          <w:rFonts w:ascii="Times New Roman" w:hAnsi="Times New Roman"/>
          <w:color w:val="000000" w:themeColor="text1"/>
          <w:sz w:val="16"/>
          <w:szCs w:val="16"/>
        </w:rPr>
        <w:softHyphen/>
        <w:t>яснения по экспонатам.</w:t>
      </w:r>
    </w:p>
    <w:p w14:paraId="21AF122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41. Оп. 11584. Д. 262. Л. 12-13. Копия (11403).</w:t>
      </w:r>
    </w:p>
    <w:p w14:paraId="5458EB5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2493BC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мая 1943 командующий флотом приказал подновить минные поля у Таллинна и Котки. Организация постановок в целом повторяла мартовскую, за исключением того, что в связи с увеличением светлого времени суток самолетам не удавалось произвести более одного вылета за ночь (9965).</w:t>
      </w:r>
    </w:p>
    <w:p w14:paraId="7E870C9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DFB1231" w14:textId="77777777" w:rsidR="002A10B9"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43F595BA" w14:textId="77777777" w:rsidR="002A10B9" w:rsidRPr="00D03F3E" w:rsidRDefault="002A10B9" w:rsidP="00D03F3E">
      <w:pPr>
        <w:pStyle w:val="Iauiue"/>
        <w:jc w:val="both"/>
        <w:rPr>
          <w:iCs/>
          <w:color w:val="000000" w:themeColor="text1"/>
          <w:sz w:val="16"/>
          <w:szCs w:val="16"/>
        </w:rPr>
      </w:pPr>
    </w:p>
    <w:p w14:paraId="3F7DD5B0"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мая в 1943 году нота НКИД СССР всем послам и посланникам стран, с которыми СССР имел дипломатические отношения, о массовом насильственном уводе в немецко-фашистское рабство мирных советских граждан и об ответственности за это преступление германских властей и частных лиц, эксплуатирующих подневольный труд советских граждан в Германии (14889).</w:t>
      </w:r>
    </w:p>
    <w:p w14:paraId="597BA7F6" w14:textId="77777777" w:rsidR="002A10B9" w:rsidRPr="00D03F3E" w:rsidRDefault="002A10B9" w:rsidP="00D03F3E">
      <w:pPr>
        <w:spacing w:after="0" w:line="240" w:lineRule="auto"/>
        <w:jc w:val="both"/>
        <w:rPr>
          <w:rFonts w:ascii="Times New Roman" w:hAnsi="Times New Roman"/>
          <w:color w:val="000000" w:themeColor="text1"/>
          <w:sz w:val="16"/>
          <w:szCs w:val="16"/>
        </w:rPr>
      </w:pPr>
    </w:p>
    <w:p w14:paraId="77E77F33"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0707CAE1" w14:textId="77777777" w:rsidR="00531570" w:rsidRPr="00D03F3E" w:rsidRDefault="00531570" w:rsidP="00D03F3E">
      <w:pPr>
        <w:pStyle w:val="Iauiue"/>
        <w:jc w:val="both"/>
        <w:rPr>
          <w:iCs/>
          <w:color w:val="000000" w:themeColor="text1"/>
          <w:sz w:val="16"/>
          <w:szCs w:val="16"/>
        </w:rPr>
      </w:pPr>
    </w:p>
    <w:p w14:paraId="50FEDD3F" w14:textId="77777777" w:rsidR="00531570" w:rsidRPr="00D03F3E" w:rsidRDefault="00531570" w:rsidP="00D03F3E">
      <w:pPr>
        <w:pStyle w:val="Iauiue"/>
        <w:tabs>
          <w:tab w:val="left" w:pos="11199"/>
        </w:tabs>
        <w:jc w:val="both"/>
        <w:rPr>
          <w:color w:val="000000" w:themeColor="text1"/>
          <w:sz w:val="16"/>
          <w:szCs w:val="16"/>
          <w:lang w:val="en-US"/>
        </w:rPr>
      </w:pPr>
      <w:r w:rsidRPr="00D03F3E">
        <w:rPr>
          <w:color w:val="000000" w:themeColor="text1"/>
          <w:sz w:val="16"/>
          <w:szCs w:val="16"/>
        </w:rPr>
        <w:t xml:space="preserve">12 мая 1943 Гитлер приказал перебросить основные силы в Италии из Сицилии в Сардинию </w:t>
      </w:r>
      <w:r w:rsidRPr="00D03F3E">
        <w:rPr>
          <w:color w:val="000000" w:themeColor="text1"/>
          <w:sz w:val="16"/>
          <w:szCs w:val="16"/>
          <w:lang w:val="en-US"/>
        </w:rPr>
        <w:t>(4962).</w:t>
      </w:r>
    </w:p>
    <w:p w14:paraId="5C7AACFA" w14:textId="77777777" w:rsidR="00531570" w:rsidRPr="00D03F3E" w:rsidRDefault="00531570" w:rsidP="00D03F3E">
      <w:pPr>
        <w:pStyle w:val="Iauiue"/>
        <w:tabs>
          <w:tab w:val="left" w:pos="11199"/>
        </w:tabs>
        <w:jc w:val="both"/>
        <w:rPr>
          <w:color w:val="000000" w:themeColor="text1"/>
          <w:sz w:val="16"/>
          <w:szCs w:val="16"/>
          <w:lang w:val="en-US"/>
        </w:rPr>
      </w:pPr>
    </w:p>
    <w:p w14:paraId="694ACCA8" w14:textId="77777777" w:rsidR="00531570" w:rsidRPr="00D03F3E" w:rsidRDefault="00531570" w:rsidP="00D03F3E">
      <w:pPr>
        <w:pStyle w:val="Iauiue"/>
        <w:tabs>
          <w:tab w:val="left" w:pos="11199"/>
        </w:tabs>
        <w:jc w:val="both"/>
        <w:rPr>
          <w:color w:val="000000" w:themeColor="text1"/>
          <w:sz w:val="16"/>
          <w:szCs w:val="16"/>
          <w:lang w:val="en-US"/>
        </w:rPr>
      </w:pPr>
      <w:r w:rsidRPr="00D03F3E">
        <w:rPr>
          <w:color w:val="000000" w:themeColor="text1"/>
          <w:sz w:val="16"/>
          <w:szCs w:val="16"/>
          <w:lang w:val="en-US"/>
        </w:rPr>
        <w:t xml:space="preserve">12 </w:t>
      </w:r>
      <w:r w:rsidRPr="00D03F3E">
        <w:rPr>
          <w:color w:val="000000" w:themeColor="text1"/>
          <w:sz w:val="16"/>
          <w:szCs w:val="16"/>
        </w:rPr>
        <w:t>мая</w:t>
      </w:r>
      <w:r w:rsidRPr="00D03F3E">
        <w:rPr>
          <w:color w:val="000000" w:themeColor="text1"/>
          <w:sz w:val="16"/>
          <w:szCs w:val="16"/>
          <w:lang w:val="en-US"/>
        </w:rPr>
        <w:t xml:space="preserve"> 1943 </w:t>
      </w:r>
      <w:r w:rsidRPr="00D03F3E">
        <w:rPr>
          <w:color w:val="000000" w:themeColor="text1"/>
          <w:sz w:val="16"/>
          <w:szCs w:val="16"/>
        </w:rPr>
        <w:t>итало</w:t>
      </w:r>
      <w:r w:rsidRPr="00D03F3E">
        <w:rPr>
          <w:color w:val="000000" w:themeColor="text1"/>
          <w:sz w:val="16"/>
          <w:szCs w:val="16"/>
          <w:lang w:val="en-US"/>
        </w:rPr>
        <w:t>-</w:t>
      </w:r>
      <w:r w:rsidRPr="00D03F3E">
        <w:rPr>
          <w:color w:val="000000" w:themeColor="text1"/>
          <w:sz w:val="16"/>
          <w:szCs w:val="16"/>
        </w:rPr>
        <w:t>германскиевойскавТунисекапитулировали</w:t>
      </w:r>
      <w:r w:rsidRPr="00D03F3E">
        <w:rPr>
          <w:color w:val="000000" w:themeColor="text1"/>
          <w:sz w:val="16"/>
          <w:szCs w:val="16"/>
          <w:lang w:val="en-US"/>
        </w:rPr>
        <w:t xml:space="preserve"> (4963 ).</w:t>
      </w:r>
    </w:p>
    <w:p w14:paraId="759A4110" w14:textId="77777777" w:rsidR="00531570" w:rsidRPr="00D03F3E" w:rsidRDefault="00531570" w:rsidP="00D03F3E">
      <w:pPr>
        <w:pStyle w:val="Iauiue"/>
        <w:tabs>
          <w:tab w:val="left" w:pos="11199"/>
        </w:tabs>
        <w:jc w:val="both"/>
        <w:rPr>
          <w:color w:val="000000" w:themeColor="text1"/>
          <w:sz w:val="16"/>
          <w:szCs w:val="16"/>
          <w:lang w:val="en-US"/>
        </w:rPr>
      </w:pPr>
    </w:p>
    <w:p w14:paraId="39BF0291"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May 12th, 1943: Surrender of all German and Italian forces in Tunisia (130,000 German and 120,000 Italian prisoners), marking the end of the three-year North African campaign (3819).</w:t>
      </w:r>
    </w:p>
    <w:p w14:paraId="6FD242F9" w14:textId="77777777" w:rsidR="00531570" w:rsidRPr="00D03F3E" w:rsidRDefault="00531570" w:rsidP="00D03F3E">
      <w:pPr>
        <w:pStyle w:val="Iauiue"/>
        <w:jc w:val="both"/>
        <w:rPr>
          <w:color w:val="000000" w:themeColor="text1"/>
          <w:sz w:val="16"/>
          <w:szCs w:val="16"/>
          <w:lang w:val="en-US"/>
        </w:rPr>
      </w:pPr>
    </w:p>
    <w:p w14:paraId="7060438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мая 1943 остатки итальянских и немецких частей в Тунисе сдались (130 тыс. немцев и 120 тыс. итальянцев взято в плен) (3819).</w:t>
      </w:r>
    </w:p>
    <w:p w14:paraId="380BF35A" w14:textId="77777777" w:rsidR="00531570" w:rsidRPr="00D03F3E" w:rsidRDefault="00531570" w:rsidP="00D03F3E">
      <w:pPr>
        <w:pStyle w:val="Iauiue"/>
        <w:jc w:val="both"/>
        <w:rPr>
          <w:color w:val="000000" w:themeColor="text1"/>
          <w:sz w:val="16"/>
          <w:szCs w:val="16"/>
        </w:rPr>
      </w:pPr>
    </w:p>
    <w:p w14:paraId="3D83A507"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мая в 1943 году Адольф Гитлер приказывает перебросить основные силы в Италии из Сицилии в Сардинию (14889).</w:t>
      </w:r>
    </w:p>
    <w:p w14:paraId="7E5ED581" w14:textId="77777777" w:rsidR="002A10B9" w:rsidRPr="00D03F3E" w:rsidRDefault="002A10B9" w:rsidP="00D03F3E">
      <w:pPr>
        <w:spacing w:after="0" w:line="240" w:lineRule="auto"/>
        <w:jc w:val="both"/>
        <w:rPr>
          <w:rFonts w:ascii="Times New Roman" w:hAnsi="Times New Roman"/>
          <w:color w:val="000000" w:themeColor="text1"/>
          <w:sz w:val="16"/>
          <w:szCs w:val="16"/>
        </w:rPr>
      </w:pPr>
    </w:p>
    <w:p w14:paraId="1731BF82"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12 мая в 1943 году приказ о мобилизации румынских немцев в войска СС (14889).</w:t>
      </w:r>
    </w:p>
    <w:p w14:paraId="6A8CABA0" w14:textId="77777777" w:rsidR="002A10B9" w:rsidRPr="00D03F3E" w:rsidRDefault="002A10B9" w:rsidP="00D03F3E">
      <w:pPr>
        <w:spacing w:after="0" w:line="240" w:lineRule="auto"/>
        <w:jc w:val="both"/>
        <w:rPr>
          <w:rFonts w:ascii="Times New Roman" w:hAnsi="Times New Roman"/>
          <w:color w:val="000000" w:themeColor="text1"/>
          <w:sz w:val="16"/>
          <w:szCs w:val="16"/>
        </w:rPr>
      </w:pPr>
    </w:p>
    <w:p w14:paraId="31A10B51" w14:textId="77777777" w:rsidR="002A10B9" w:rsidRPr="00D03F3E" w:rsidRDefault="002A10B9" w:rsidP="00D03F3E">
      <w:pPr>
        <w:pStyle w:val="Iauiue"/>
        <w:tabs>
          <w:tab w:val="left" w:pos="11199"/>
        </w:tabs>
        <w:jc w:val="both"/>
        <w:rPr>
          <w:color w:val="000000" w:themeColor="text1"/>
          <w:sz w:val="16"/>
          <w:szCs w:val="16"/>
        </w:rPr>
      </w:pPr>
      <w:r w:rsidRPr="00D03F3E">
        <w:rPr>
          <w:color w:val="000000" w:themeColor="text1"/>
          <w:sz w:val="16"/>
          <w:szCs w:val="16"/>
        </w:rPr>
        <w:t>12 мая 1943 в Лондоне в знак протеста против апатии мирового сообщества в отношении немецких зверств в еврейском гетто Варшавы покончил с собой Ш. Цигельбойм, лидер еврейских социал-демократов Польши (4962).</w:t>
      </w:r>
    </w:p>
    <w:p w14:paraId="0A3BF560" w14:textId="77777777" w:rsidR="002A10B9" w:rsidRPr="00D03F3E" w:rsidRDefault="002A10B9" w:rsidP="00D03F3E">
      <w:pPr>
        <w:pStyle w:val="Iauiue"/>
        <w:tabs>
          <w:tab w:val="left" w:pos="11199"/>
        </w:tabs>
        <w:jc w:val="both"/>
        <w:rPr>
          <w:color w:val="000000" w:themeColor="text1"/>
          <w:sz w:val="16"/>
          <w:szCs w:val="16"/>
        </w:rPr>
      </w:pPr>
    </w:p>
    <w:p w14:paraId="39411A46"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12 мая 1943 Черчилль и Рузвельт встретились в Вашингтоне (4962).</w:t>
      </w:r>
    </w:p>
    <w:p w14:paraId="1199C454" w14:textId="77777777" w:rsidR="00531570" w:rsidRPr="00D03F3E" w:rsidRDefault="00531570" w:rsidP="00D03F3E">
      <w:pPr>
        <w:pStyle w:val="Iauiue"/>
        <w:tabs>
          <w:tab w:val="left" w:pos="11199"/>
        </w:tabs>
        <w:jc w:val="both"/>
        <w:rPr>
          <w:color w:val="000000" w:themeColor="text1"/>
          <w:sz w:val="16"/>
          <w:szCs w:val="16"/>
        </w:rPr>
      </w:pPr>
    </w:p>
    <w:p w14:paraId="530D7646"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мая в 1943 году Вашингтонская конференция. Черчиль и Рузвельт подтверждают намерение не открывать второго фронта в Западной Европе в течение 1943 года и устанавливают ориентировочную дату его открытия – 1 мая 1944 (14889).</w:t>
      </w:r>
    </w:p>
    <w:p w14:paraId="467F3844" w14:textId="77777777" w:rsidR="002A10B9" w:rsidRPr="00D03F3E" w:rsidRDefault="002A10B9" w:rsidP="00D03F3E">
      <w:pPr>
        <w:spacing w:after="0" w:line="240" w:lineRule="auto"/>
        <w:jc w:val="both"/>
        <w:rPr>
          <w:rFonts w:ascii="Times New Roman" w:hAnsi="Times New Roman"/>
          <w:color w:val="000000" w:themeColor="text1"/>
          <w:sz w:val="16"/>
          <w:szCs w:val="16"/>
        </w:rPr>
      </w:pPr>
    </w:p>
    <w:p w14:paraId="199E649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C 12 мая по 16 августа 1943 проходила операция морского десанта США против японцев на Алеутских островах Атту и Кыска. 40 тыс. десантников, 100 кораблей2, 236 самолетов против 8.5 тыс. японцев и 20 самолетов. Бои за Атту шли 19 дней и почти весь японский гарнизон погиб. С Кыску японцы эвакуировались, но американская разведка этого не заметили и оставленный остров бомбили, а потом пытались высадить 35 тыс. десант со 100 кораблей (2438,23).</w:t>
      </w:r>
    </w:p>
    <w:p w14:paraId="6C84DCAC" w14:textId="77777777" w:rsidR="00531570" w:rsidRPr="00D03F3E" w:rsidRDefault="00531570" w:rsidP="00D03F3E">
      <w:pPr>
        <w:pStyle w:val="Iauiue"/>
        <w:jc w:val="both"/>
        <w:rPr>
          <w:color w:val="000000" w:themeColor="text1"/>
          <w:sz w:val="16"/>
          <w:szCs w:val="16"/>
        </w:rPr>
      </w:pPr>
    </w:p>
    <w:p w14:paraId="4012B60F"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мая в 1943 году начинается Алеутская операция морских десантников США во время 2-й мировой войны. Ее цель - овладеть островами Атту и Кыска, захваченными японцами в 1942. Участвуют около 40 тысяч американских десантников, 100 кораблей и 236 самолетов. Японский гарнизон состоит из 8,5 тысяч человек и 20 самолетов. Операция завершится 16 августа 1943. Японский гарнизон острова Атту почти весь погибнет, с острова Кыска японцы скрытно эвакуируются (14889).</w:t>
      </w:r>
    </w:p>
    <w:p w14:paraId="28DF35CB" w14:textId="77777777" w:rsidR="002A10B9" w:rsidRPr="00D03F3E" w:rsidRDefault="002A10B9" w:rsidP="00D03F3E">
      <w:pPr>
        <w:spacing w:after="0" w:line="240" w:lineRule="auto"/>
        <w:jc w:val="both"/>
        <w:rPr>
          <w:rFonts w:ascii="Times New Roman" w:hAnsi="Times New Roman"/>
          <w:color w:val="000000" w:themeColor="text1"/>
          <w:sz w:val="16"/>
          <w:szCs w:val="16"/>
        </w:rPr>
      </w:pPr>
    </w:p>
    <w:p w14:paraId="161F662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мая 1943 началась вторая Вашингтонская конференция (2262), которая продолжалась до 25 мая 1943 и согласовала планы действий в Южной Италии и на Тихом океане. Открытие второго фронта опять было отложено (2438,131).</w:t>
      </w:r>
    </w:p>
    <w:p w14:paraId="4D9E5229" w14:textId="77777777" w:rsidR="00531570" w:rsidRPr="00D03F3E" w:rsidRDefault="00531570" w:rsidP="00D03F3E">
      <w:pPr>
        <w:pStyle w:val="Iauiue"/>
        <w:jc w:val="both"/>
        <w:rPr>
          <w:color w:val="000000" w:themeColor="text1"/>
          <w:sz w:val="16"/>
          <w:szCs w:val="16"/>
        </w:rPr>
      </w:pPr>
    </w:p>
    <w:p w14:paraId="4DC2DBFD"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мая в 1943 году во время обстрела японского, аэродрома на Коломбангрё в башне № 1 крейсера Нэшвилл взорвался пороховой заряд (14889).</w:t>
      </w:r>
    </w:p>
    <w:p w14:paraId="477E64BB" w14:textId="77777777" w:rsidR="002A10B9" w:rsidRPr="00D03F3E" w:rsidRDefault="002A10B9" w:rsidP="00D03F3E">
      <w:pPr>
        <w:spacing w:after="0" w:line="240" w:lineRule="auto"/>
        <w:jc w:val="both"/>
        <w:rPr>
          <w:rFonts w:ascii="Times New Roman" w:hAnsi="Times New Roman"/>
          <w:color w:val="000000" w:themeColor="text1"/>
          <w:sz w:val="16"/>
          <w:szCs w:val="16"/>
        </w:rPr>
      </w:pPr>
    </w:p>
    <w:p w14:paraId="56EB4262"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1A5E8B63" w14:textId="77777777" w:rsidR="00531570" w:rsidRPr="00D03F3E" w:rsidRDefault="00531570" w:rsidP="00D03F3E">
      <w:pPr>
        <w:pStyle w:val="Iauiue"/>
        <w:jc w:val="both"/>
        <w:rPr>
          <w:iCs/>
          <w:color w:val="000000" w:themeColor="text1"/>
          <w:sz w:val="16"/>
          <w:szCs w:val="16"/>
        </w:rPr>
      </w:pPr>
    </w:p>
    <w:p w14:paraId="38160A0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 мая 1943 С.В.И. писал А.И.Ш. письмо N 1/524с:</w:t>
      </w:r>
    </w:p>
    <w:p w14:paraId="408B060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основании проделанных расчетов на самолете Ил-2 с АМ-42 при снятии с него ряда нагрузок можно получить нижеследующие данные:</w:t>
      </w:r>
    </w:p>
    <w:p w14:paraId="30724A4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Самолет одноместный</w:t>
      </w:r>
    </w:p>
    <w:p w14:paraId="2B9942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АМ-42 номинальная мощность у земли 1750 нр, а на высоте 100 м 1875 нр</w:t>
      </w:r>
    </w:p>
    <w:p w14:paraId="318854B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Полетный вес самолета 5350 кг</w:t>
      </w:r>
    </w:p>
    <w:p w14:paraId="56263EA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Вооружение - 2хВЯ с 300 снарядами</w:t>
      </w:r>
    </w:p>
    <w:p w14:paraId="143E6E8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Запас бензина и масла остается без изменения</w:t>
      </w:r>
    </w:p>
    <w:p w14:paraId="3A22ED1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При этих условиях макс. скорость у земли 440 км/час</w:t>
      </w:r>
    </w:p>
    <w:p w14:paraId="68ED453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 Макс. скорость на высоте 1200 м 460 км/час</w:t>
      </w:r>
    </w:p>
    <w:p w14:paraId="718651D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получения указанных свойств на самолете необходимо произвести след. работы:</w:t>
      </w:r>
    </w:p>
    <w:p w14:paraId="48FE515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установить АМ-42</w:t>
      </w:r>
    </w:p>
    <w:p w14:paraId="5F824A7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водорадиатор и маслорадиатор поместить в одном канале</w:t>
      </w:r>
    </w:p>
    <w:p w14:paraId="2470BB3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изменить форму фонаря кабины</w:t>
      </w:r>
    </w:p>
    <w:p w14:paraId="13CACEA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 улучшить обтекатель шасси</w:t>
      </w:r>
    </w:p>
    <w:p w14:paraId="666598F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 ликвидировать бомболюки в центроплане, зашив центроплан двойной обшивкой</w:t>
      </w:r>
    </w:p>
    <w:p w14:paraId="62A9B7C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е) клепку центроплана и консолей сделать впотай</w:t>
      </w:r>
    </w:p>
    <w:p w14:paraId="23FB75A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Кроме того необходимо произвести ряд других более мелких работ.</w:t>
      </w:r>
    </w:p>
    <w:p w14:paraId="00DC676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данные самолета Ил-2 с АМ-38Ф</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860B4B" w:rsidRPr="00D03F3E" w14:paraId="43C5F9CE" w14:textId="77777777">
        <w:tc>
          <w:tcPr>
            <w:tcW w:w="2818" w:type="dxa"/>
          </w:tcPr>
          <w:p w14:paraId="2277799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Скорость макс. у земли</w:t>
            </w:r>
          </w:p>
        </w:tc>
        <w:tc>
          <w:tcPr>
            <w:tcW w:w="2818" w:type="dxa"/>
          </w:tcPr>
          <w:p w14:paraId="5C805EE9" w14:textId="77777777" w:rsidR="00531570" w:rsidRPr="00D03F3E" w:rsidRDefault="00531570" w:rsidP="00D03F3E">
            <w:pPr>
              <w:pStyle w:val="Iauiue"/>
              <w:jc w:val="both"/>
              <w:rPr>
                <w:color w:val="000000" w:themeColor="text1"/>
                <w:sz w:val="16"/>
                <w:szCs w:val="16"/>
              </w:rPr>
            </w:pPr>
          </w:p>
        </w:tc>
      </w:tr>
      <w:tr w:rsidR="00860B4B" w:rsidRPr="00D03F3E" w14:paraId="07C28C8C" w14:textId="77777777">
        <w:tc>
          <w:tcPr>
            <w:tcW w:w="2818" w:type="dxa"/>
          </w:tcPr>
          <w:p w14:paraId="1D0D3E3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на номинале</w:t>
            </w:r>
          </w:p>
        </w:tc>
        <w:tc>
          <w:tcPr>
            <w:tcW w:w="2818" w:type="dxa"/>
          </w:tcPr>
          <w:p w14:paraId="20195AF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415 км/час</w:t>
            </w:r>
          </w:p>
        </w:tc>
      </w:tr>
      <w:tr w:rsidR="00860B4B" w:rsidRPr="00D03F3E" w14:paraId="68F80C7C" w14:textId="77777777">
        <w:tc>
          <w:tcPr>
            <w:tcW w:w="2818" w:type="dxa"/>
          </w:tcPr>
          <w:p w14:paraId="4D9684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на форсаже</w:t>
            </w:r>
          </w:p>
        </w:tc>
        <w:tc>
          <w:tcPr>
            <w:tcW w:w="2818" w:type="dxa"/>
          </w:tcPr>
          <w:p w14:paraId="2271207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428 км/час</w:t>
            </w:r>
          </w:p>
        </w:tc>
      </w:tr>
      <w:tr w:rsidR="00860B4B" w:rsidRPr="00D03F3E" w14:paraId="2E35D78C" w14:textId="77777777">
        <w:tc>
          <w:tcPr>
            <w:tcW w:w="2818" w:type="dxa"/>
          </w:tcPr>
          <w:p w14:paraId="0F03F04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Скорость на высоте 1500-2000</w:t>
            </w:r>
          </w:p>
        </w:tc>
        <w:tc>
          <w:tcPr>
            <w:tcW w:w="2818" w:type="dxa"/>
          </w:tcPr>
          <w:p w14:paraId="2525979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435 км/час</w:t>
            </w:r>
          </w:p>
        </w:tc>
      </w:tr>
    </w:tbl>
    <w:p w14:paraId="629ADF3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Переделки нужно произвести на самолете завода 18 с металлической консолью, так как самолет с металлической консолью легче, чем с деревянной на 100 кг.</w:t>
      </w:r>
    </w:p>
    <w:p w14:paraId="6A72142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Чертежи по изменениям самолета Ил-2 могут быть мною закончены 1 июня 1943 г.</w:t>
      </w:r>
    </w:p>
    <w:p w14:paraId="357BE77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Завод 18 может выпустить 1-й самолет 1 июля 1943 (1775,123).</w:t>
      </w:r>
    </w:p>
    <w:p w14:paraId="6D6BD57C" w14:textId="77777777" w:rsidR="00531570" w:rsidRPr="00D03F3E" w:rsidRDefault="00531570" w:rsidP="00D03F3E">
      <w:pPr>
        <w:pStyle w:val="Iauiue"/>
        <w:jc w:val="both"/>
        <w:rPr>
          <w:color w:val="000000" w:themeColor="text1"/>
          <w:sz w:val="16"/>
          <w:szCs w:val="16"/>
        </w:rPr>
      </w:pPr>
    </w:p>
    <w:p w14:paraId="5CE9EFA7" w14:textId="77777777" w:rsidR="00E32537" w:rsidRPr="00D03F3E" w:rsidRDefault="00E32537" w:rsidP="00D03F3E">
      <w:pPr>
        <w:spacing w:after="0" w:line="240" w:lineRule="auto"/>
        <w:jc w:val="both"/>
        <w:rPr>
          <w:rFonts w:ascii="Times New Roman" w:hAnsi="Times New Roman"/>
          <w:color w:val="000000" w:themeColor="text1"/>
          <w:sz w:val="16"/>
          <w:szCs w:val="16"/>
          <w:shd w:val="clear" w:color="auto" w:fill="FFFFFF"/>
        </w:rPr>
      </w:pPr>
      <w:r w:rsidRPr="00D03F3E">
        <w:rPr>
          <w:rFonts w:ascii="Times New Roman" w:hAnsi="Times New Roman"/>
          <w:color w:val="000000" w:themeColor="text1"/>
          <w:sz w:val="16"/>
          <w:szCs w:val="16"/>
          <w:shd w:val="clear" w:color="auto" w:fill="FFFFFF"/>
        </w:rPr>
        <w:t>13 мая 1943 С.В.Ильюшин отправил А.И.Шахурину письмо N 1/524с:</w:t>
      </w:r>
    </w:p>
    <w:p w14:paraId="159BD261" w14:textId="77777777" w:rsidR="00E32537" w:rsidRPr="00D03F3E" w:rsidRDefault="00E32537" w:rsidP="00D03F3E">
      <w:pPr>
        <w:spacing w:after="0" w:line="240" w:lineRule="auto"/>
        <w:jc w:val="both"/>
        <w:rPr>
          <w:rFonts w:ascii="Times New Roman" w:hAnsi="Times New Roman"/>
          <w:color w:val="000000" w:themeColor="text1"/>
          <w:sz w:val="16"/>
          <w:szCs w:val="16"/>
          <w:shd w:val="clear" w:color="auto" w:fill="FFFFFF"/>
        </w:rPr>
      </w:pPr>
      <w:r w:rsidRPr="00D03F3E">
        <w:rPr>
          <w:rFonts w:ascii="Times New Roman" w:hAnsi="Times New Roman"/>
          <w:color w:val="000000" w:themeColor="text1"/>
          <w:sz w:val="16"/>
          <w:szCs w:val="16"/>
          <w:shd w:val="clear" w:color="auto" w:fill="FFFFFF"/>
        </w:rPr>
        <w:t>На основании проделанных расчетов на самолете Ил-2 с АМ-42 при снятии с него ряда нагрузок можно получить нижеследующие данные…</w:t>
      </w:r>
    </w:p>
    <w:p w14:paraId="15E29E9E" w14:textId="77777777" w:rsidR="00E32537" w:rsidRPr="00D03F3E" w:rsidRDefault="00E32537" w:rsidP="00D03F3E">
      <w:pPr>
        <w:spacing w:after="0" w:line="240" w:lineRule="auto"/>
        <w:jc w:val="both"/>
        <w:rPr>
          <w:rFonts w:ascii="Times New Roman" w:hAnsi="Times New Roman"/>
          <w:color w:val="000000" w:themeColor="text1"/>
          <w:sz w:val="16"/>
          <w:szCs w:val="16"/>
          <w:shd w:val="clear" w:color="auto" w:fill="FFFFFF"/>
        </w:rPr>
      </w:pPr>
      <w:r w:rsidRPr="00D03F3E">
        <w:rPr>
          <w:rFonts w:ascii="Times New Roman" w:hAnsi="Times New Roman"/>
          <w:color w:val="000000" w:themeColor="text1"/>
          <w:sz w:val="16"/>
          <w:szCs w:val="16"/>
          <w:shd w:val="clear" w:color="auto" w:fill="FFFFFF"/>
        </w:rPr>
        <w:t>… Переделки нужно произвести на самолете завода 18 с металлической консолью, так как самолет с металлической консолью легче, чем с деревянной на 100 кг.</w:t>
      </w:r>
    </w:p>
    <w:p w14:paraId="31EBE2E6" w14:textId="77777777" w:rsidR="00E32537" w:rsidRPr="00D03F3E" w:rsidRDefault="00E32537" w:rsidP="00D03F3E">
      <w:pPr>
        <w:spacing w:after="0" w:line="240" w:lineRule="auto"/>
        <w:jc w:val="both"/>
        <w:rPr>
          <w:rFonts w:ascii="Times New Roman" w:hAnsi="Times New Roman"/>
          <w:color w:val="000000" w:themeColor="text1"/>
          <w:sz w:val="16"/>
          <w:szCs w:val="16"/>
          <w:shd w:val="clear" w:color="auto" w:fill="FFFFFF"/>
        </w:rPr>
      </w:pPr>
      <w:r w:rsidRPr="00D03F3E">
        <w:rPr>
          <w:rFonts w:ascii="Times New Roman" w:hAnsi="Times New Roman"/>
          <w:color w:val="000000" w:themeColor="text1"/>
          <w:sz w:val="16"/>
          <w:szCs w:val="16"/>
          <w:shd w:val="clear" w:color="auto" w:fill="FFFFFF"/>
        </w:rPr>
        <w:t>Чертежи по изменениям самолета Ил-2 могут быть мною закончены 1 июня 1943 г.</w:t>
      </w:r>
    </w:p>
    <w:p w14:paraId="416C60AE" w14:textId="77777777" w:rsidR="00E32537" w:rsidRPr="00D03F3E" w:rsidRDefault="00E3253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shd w:val="clear" w:color="auto" w:fill="FFFFFF"/>
        </w:rPr>
        <w:t>Завод 18 может выпустить 1-й самолет 1 июля 1943 (19206).</w:t>
      </w:r>
    </w:p>
    <w:p w14:paraId="75C5C5DB" w14:textId="77777777" w:rsidR="00E32537" w:rsidRPr="00D03F3E" w:rsidRDefault="00E32537" w:rsidP="00D03F3E">
      <w:pPr>
        <w:spacing w:after="0" w:line="240" w:lineRule="auto"/>
        <w:jc w:val="both"/>
        <w:rPr>
          <w:rFonts w:ascii="Times New Roman" w:hAnsi="Times New Roman"/>
          <w:color w:val="000000" w:themeColor="text1"/>
          <w:sz w:val="16"/>
          <w:szCs w:val="16"/>
        </w:rPr>
      </w:pPr>
    </w:p>
    <w:p w14:paraId="3F4449C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 мая 1943 А.И.М. и М.И.Г. писали письмо N 347 А.И.Ш. НКАП:</w:t>
      </w:r>
    </w:p>
    <w:p w14:paraId="39D06FB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Настоящим сообщаем, что в настоящее время заводом 155 выпущены и проходят заводские испытания истребителей:</w:t>
      </w:r>
    </w:p>
    <w:p w14:paraId="0C5B112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И-220 с АМ-39, вооруженный 4хШВАК</w:t>
      </w:r>
    </w:p>
    <w:p w14:paraId="1CAD01A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МиГ-3 с М-82Ф, вооруженный 2хШВАК</w:t>
      </w:r>
    </w:p>
    <w:p w14:paraId="3425DF6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И-220 прошел испытания с АМ-38Ф (ввиду задержки с получением АМ-39).</w:t>
      </w:r>
    </w:p>
    <w:p w14:paraId="2BF93E6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Испытания с АМ-38Ф дали следующие результаты:</w:t>
      </w:r>
    </w:p>
    <w:p w14:paraId="13DCAFA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скорость на 2500 м - 627 км/час</w:t>
      </w:r>
    </w:p>
    <w:p w14:paraId="144C055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скорость на 900 м - 618 км/час, что соответствует 605 км/час у земли</w:t>
      </w:r>
    </w:p>
    <w:p w14:paraId="4374D83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скороподъемность на 5000 м - 4.5 мин.</w:t>
      </w:r>
    </w:p>
    <w:p w14:paraId="7498272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настоящее время самолет подготовлен к испытаниям с АМ-39</w:t>
      </w:r>
    </w:p>
    <w:p w14:paraId="0C23B7B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Самолет МиГ-3 с М-82Ф выпущен в 2-х - с М-82Ф карбюраторным и М-82НВФ.</w:t>
      </w:r>
    </w:p>
    <w:p w14:paraId="514C0E0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 самолета 3080, дальность с полностью залитыми баками - 1200 км</w:t>
      </w:r>
    </w:p>
    <w:p w14:paraId="6DC3B40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процессе заводских испытаний снята скорость 610 км/час</w:t>
      </w:r>
    </w:p>
    <w:p w14:paraId="07DE704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Скорости по высотам и остальные данные еще не получены, т.к. испытания задерживаются из-за плохой работы моторов и карбюраторов." (1775,109).</w:t>
      </w:r>
    </w:p>
    <w:p w14:paraId="7B86E1E8" w14:textId="77777777" w:rsidR="00531570" w:rsidRPr="00D03F3E" w:rsidRDefault="00531570" w:rsidP="00D03F3E">
      <w:pPr>
        <w:pStyle w:val="Iauiue"/>
        <w:jc w:val="both"/>
        <w:rPr>
          <w:color w:val="000000" w:themeColor="text1"/>
          <w:sz w:val="16"/>
          <w:szCs w:val="16"/>
        </w:rPr>
      </w:pPr>
    </w:p>
    <w:p w14:paraId="00957A5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13 по 31 мая 1943 проходили гос. испытания трофейного Хе-111. Сделали 11 полетов и налетали 7 час. 25 мин. (797,10). Это была машина He 111H-11, захваченный 16 января 1943 в районе Питомника и летал Г.А.Ашитков (2466,149).</w:t>
      </w:r>
    </w:p>
    <w:p w14:paraId="0184300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 июня 1943 П.И.Федоров утвердил Отчет по результатам гос. испытаний трофейного немецкого дальнего бомбардировщика Хейнкель - 111 с ЮМО-211 Ф-11. Летал Г.А.Ашитков</w:t>
      </w:r>
    </w:p>
    <w:p w14:paraId="4732779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Отв. исполнители:</w:t>
      </w:r>
    </w:p>
    <w:p w14:paraId="7623EB4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вед. и 3 отд. Ии-м Г.В.Грибакин</w:t>
      </w:r>
    </w:p>
    <w:p w14:paraId="5B05220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вед. л л 3 отд. НИИ п/п Г.А.Ашитков</w:t>
      </w:r>
    </w:p>
    <w:p w14:paraId="6EF8869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исп. Грибов</w:t>
      </w:r>
    </w:p>
    <w:p w14:paraId="4F514E3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Цель испытания: опр. Лтд и выявить конструктивно-эксплуатационные особенности с-та, ВМГ. Способы обороны и вооружение</w:t>
      </w:r>
    </w:p>
    <w:p w14:paraId="7D316BC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Объект испытаний: с-т Хе-111 (тип Н-6 и Н-11) является ДБ германских ВВС</w:t>
      </w:r>
    </w:p>
    <w:p w14:paraId="6C00205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Цельнометаллической конструкции, 2-х моторный моноплан с низкорасположенным крылом.</w:t>
      </w:r>
    </w:p>
    <w:p w14:paraId="5BE6417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Несколько необычная внешняя форма кабины (без фонаря).</w:t>
      </w:r>
    </w:p>
    <w:p w14:paraId="2B6A363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Т.к. в носке фюзеляжа установлена пушка и бомбардировочный прицел, то для обеспечения л обзора вперед, форма носка фюзеляжа выполнена ассиметричной, вершина носка смещена вправо и вся кабина пилота остеклена</w:t>
      </w:r>
    </w:p>
    <w:p w14:paraId="24ADC5F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Экипаж: пилот 1, штурман 1, стрелдок-радист 1, стрелки - 1-2</w:t>
      </w:r>
    </w:p>
    <w:p w14:paraId="3990C8E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Пилот и штурман расположена в кабине рялдом (слева пилос, справа ш).</w:t>
      </w:r>
    </w:p>
    <w:p w14:paraId="02794CB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Бомбардировочное вооружение Н-6 имеет замки для внутренней подвески 4-х бомб калибра до 250 кг или бомб малого калибра в спецкассетах и внешней подвески для 1000 кг бомб калибра не более 500 кг. На Н-12 пять замков только для наружной подвески бомб калибра 250 - 1700 кг. Бомбовая нагрузка Н-6 - до 1500 к, Н-11 - 2000-3000 кг</w:t>
      </w:r>
    </w:p>
    <w:p w14:paraId="0281FFA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Моторы 2 ЮМО 211 </w:t>
      </w:r>
      <w:r w:rsidRPr="00D03F3E">
        <w:rPr>
          <w:color w:val="000000" w:themeColor="text1"/>
          <w:sz w:val="16"/>
          <w:szCs w:val="16"/>
          <w:lang w:val="en-US"/>
        </w:rPr>
        <w:t>F</w:t>
      </w:r>
      <w:r w:rsidRPr="00D03F3E">
        <w:rPr>
          <w:color w:val="000000" w:themeColor="text1"/>
          <w:sz w:val="16"/>
          <w:szCs w:val="16"/>
        </w:rPr>
        <w:t xml:space="preserve"> 11 </w:t>
      </w:r>
      <w:r w:rsidRPr="00D03F3E">
        <w:rPr>
          <w:color w:val="000000" w:themeColor="text1"/>
          <w:sz w:val="16"/>
          <w:szCs w:val="16"/>
          <w:lang w:val="en-US"/>
        </w:rPr>
        <w:t>V</w:t>
      </w:r>
      <w:r w:rsidRPr="00D03F3E">
        <w:rPr>
          <w:color w:val="000000" w:themeColor="text1"/>
          <w:sz w:val="16"/>
          <w:szCs w:val="16"/>
        </w:rPr>
        <w:t xml:space="preserve">-образный, перевернутого типа, 12-цилиндровый жидкостного охлаждения с непосреддственным впрыском топлива в цилиндры. Взлетная мощность 1350 лс, номинальная - 1020 на 5500, винты Юнкерс </w:t>
      </w:r>
      <w:r w:rsidRPr="00D03F3E">
        <w:rPr>
          <w:color w:val="000000" w:themeColor="text1"/>
          <w:sz w:val="16"/>
          <w:szCs w:val="16"/>
          <w:lang w:val="en-US"/>
        </w:rPr>
        <w:t>VS</w:t>
      </w:r>
      <w:r w:rsidRPr="00D03F3E">
        <w:rPr>
          <w:color w:val="000000" w:themeColor="text1"/>
          <w:sz w:val="16"/>
          <w:szCs w:val="16"/>
        </w:rPr>
        <w:t>-11 изменяемого в полете шага , з-х лопастной деревянный диаметром 3,5 м</w:t>
      </w:r>
    </w:p>
    <w:p w14:paraId="503948F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Винты могут устанавливаться во флюгерное положение.</w:t>
      </w:r>
    </w:p>
    <w:p w14:paraId="40B1FFE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Шасси и костыль убираются. Система подъема и выпуска гидравлическая. Авиарийная система - троссовая. Размер колес 1140х410, костыля\ 500х180. Тормоза тпа Юнкерс. Закрылки - щелевые. Система управления гидравлическая. Взлетный угол 15, посадочный - 60. Бронирование в виде щитков имеют все члены экипажа. Частично забронированы наиболее уязвимые агрегаты ВМГ - масляные и водяные радиаторы. Антиобледенители - жидкостные и только на винтах.</w:t>
      </w:r>
    </w:p>
    <w:p w14:paraId="07B305A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Стрелковое вооружение:</w:t>
      </w:r>
    </w:p>
    <w:p w14:paraId="79EBBA9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Н-6 - в носу подвижная установка пушки Эрликон 20 мм, управляемая штурманом. Сверзху фюзеляжа в задней кабине турельная установка пулемета МГ-15 калибра 7,92, управляемая стрелком-радистом.</w:t>
      </w:r>
    </w:p>
    <w:p w14:paraId="6363240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задней кабине два бортовых пулемета калибра 7,92, управляемых стрелком. В гондоле фюзеляжа два люковых пулемета МГ-15 калибра 7,92, управляемых люковым стрелком</w:t>
      </w:r>
    </w:p>
    <w:p w14:paraId="6D69F84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хвостовом коке один неподвижный пулемет МГ-17 калибра 7,92 с дистанционным управлением стрелком радистом</w:t>
      </w:r>
    </w:p>
    <w:p w14:paraId="1566D6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Все пулеметы и пушка за исключением Мг-17 с магазинным питанием.</w:t>
      </w:r>
    </w:p>
    <w:p w14:paraId="254EE90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Н-11 сверху фюзеляжа в задней кабине вместо МГ-15 установлен МГ-131 калибром 13 мм с непрерывным ленточным питанием</w:t>
      </w:r>
    </w:p>
    <w:p w14:paraId="5F4EA99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люковой установке - спарка МГ-15с непрерывным ленточным питанием.</w:t>
      </w:r>
    </w:p>
    <w:p w14:paraId="67CC6C2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вооружения снят неподвижный хвостовой МГ-17</w:t>
      </w:r>
    </w:p>
    <w:p w14:paraId="285E08C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Остальные установки - аналогичны Н-6</w:t>
      </w:r>
    </w:p>
    <w:p w14:paraId="3A82C63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Спецоборудование:</w:t>
      </w:r>
    </w:p>
    <w:p w14:paraId="45FB916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с-те установлен автомат курса, аппаратура для слепой посадки, длинноволновая и коротковолновая р/с и РПК</w:t>
      </w:r>
    </w:p>
    <w:p w14:paraId="5F064A0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с-те установлено 2 генератора общей мощностью 4 КВ</w:t>
      </w:r>
    </w:p>
    <w:p w14:paraId="0F52C3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Обогрев кабины - от выхлопной система моторов</w:t>
      </w:r>
    </w:p>
    <w:p w14:paraId="7512127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Н-11 изготовлен во второй половине 1942</w:t>
      </w:r>
    </w:p>
    <w:p w14:paraId="515ADD9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Результаты испытаний:</w:t>
      </w:r>
    </w:p>
    <w:p w14:paraId="25F377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С-т Н-6 прибыл в НИИ 24 февраля 1943, ст- Н-11-25 - 20 марта 1943</w:t>
      </w:r>
    </w:p>
    <w:p w14:paraId="0833594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Вследствие поломки с-т Н-6 26 марта выбыл из испытаний. На с-те Н-11 ыследствие его ремонта и отсутствия горючего полеты в апреле и в первой половине мая не производились.</w:t>
      </w:r>
    </w:p>
    <w:p w14:paraId="34F3B52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Летные испытания Н-11 начаты 13 мая и закончены 31 мая 1943. За время испытаний на Н-11 выполнено 11 полетов с налетом 7:25.</w:t>
      </w:r>
    </w:p>
    <w:p w14:paraId="04798F4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 пустого - 8550, центровка 24,75% САХ</w:t>
      </w:r>
    </w:p>
    <w:p w14:paraId="467994A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Полетный вес 12270 кг, центровка 27,6% САХ</w:t>
      </w:r>
    </w:p>
    <w:p w14:paraId="4148443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Нагрузка:</w:t>
      </w:r>
    </w:p>
    <w:p w14:paraId="0C6E271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экипаж 4х90=360</w:t>
      </w:r>
    </w:p>
    <w:p w14:paraId="78DE2B7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Горючее (уд. Вес 0,73) - 3000</w:t>
      </w:r>
    </w:p>
    <w:p w14:paraId="7E356D9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масло - 150</w:t>
      </w:r>
    </w:p>
    <w:p w14:paraId="62B9DDB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стрелковое вооружение - 82</w:t>
      </w:r>
    </w:p>
    <w:p w14:paraId="0F7CC28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Патроны к пулеметам и пушке с магазинами (не полный комплект) - 128</w:t>
      </w:r>
    </w:p>
    <w:p w14:paraId="403F7C3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Всего: 3720</w:t>
      </w:r>
    </w:p>
    <w:p w14:paraId="5E8D85F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Летные характеристики для машины с полетным весом 11500, которые состоит из веса пустого 8550 + горючее 2230, масло 150, пушки и пулеметы с патронами - 210, экипаж 4х90:</w:t>
      </w:r>
    </w:p>
    <w:p w14:paraId="7659978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у земли - 330 при работе мотора на 30 мин. Номинале Рк 1250, на 1 гр. высотности (2500) - 374, на 2-й гв (5700) - 400 км/час</w:t>
      </w:r>
    </w:p>
    <w:p w14:paraId="6617938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Максимальные скорости, полученные при испытаниях, совпадают с немецкими данными</w:t>
      </w:r>
    </w:p>
    <w:p w14:paraId="3183686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Высота переключения 3250, скорость - 365, Рк 920 и 7000 на 7000 м, скорость 376, Рк 752</w:t>
      </w:r>
    </w:p>
    <w:p w14:paraId="1949006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Время набора 5000 м - 20 мин.</w:t>
      </w:r>
    </w:p>
    <w:p w14:paraId="20A11FC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Потолок 8750, время набора - 57</w:t>
      </w:r>
    </w:p>
    <w:p w14:paraId="604BC2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Разбег 560 м</w:t>
      </w:r>
    </w:p>
    <w:p w14:paraId="5569A44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Посадочная скорость - 133</w:t>
      </w:r>
    </w:p>
    <w:p w14:paraId="50CFA98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Пробег 495</w:t>
      </w:r>
    </w:p>
    <w:p w14:paraId="49A8992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Вертикальная скорость у земли - 5,0</w:t>
      </w:r>
    </w:p>
    <w:p w14:paraId="640874F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Вертикальная скорость на 1 гр. 5,2</w:t>
      </w:r>
    </w:p>
    <w:p w14:paraId="337AFA1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Вертикальная скорость на 2 гр. 5000 м 3,7</w:t>
      </w:r>
    </w:p>
    <w:p w14:paraId="0FDA566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Вертикальная скорость на 7000 м 2,2</w:t>
      </w:r>
    </w:p>
    <w:p w14:paraId="46323AE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Граница переключения скорости нагнетателя 3400 при скорости 3,4, а на макс. скорости гр. переключения 3250</w:t>
      </w:r>
    </w:p>
    <w:p w14:paraId="100BCA8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Бензосистема (по бортовому описанию). Расходные баки 2х200 - 400. Консольные баки - 2х1025=2500 с автосливом, фюзеляжный бак 1х835 с автосливом</w:t>
      </w:r>
    </w:p>
    <w:p w14:paraId="2F655F8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Дальность и продолжительность полета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792"/>
        <w:gridCol w:w="872"/>
        <w:gridCol w:w="873"/>
        <w:gridCol w:w="872"/>
        <w:gridCol w:w="3053"/>
      </w:tblGrid>
      <w:tr w:rsidR="00860B4B" w:rsidRPr="00D03F3E" w14:paraId="34D7EBF0" w14:textId="77777777">
        <w:tc>
          <w:tcPr>
            <w:tcW w:w="1868" w:type="dxa"/>
            <w:tcBorders>
              <w:top w:val="single" w:sz="12" w:space="0" w:color="auto"/>
            </w:tcBorders>
          </w:tcPr>
          <w:p w14:paraId="5F0DB61F" w14:textId="77777777" w:rsidR="00531570" w:rsidRPr="00D03F3E" w:rsidRDefault="00531570" w:rsidP="00D03F3E">
            <w:pPr>
              <w:pStyle w:val="Iauiue"/>
              <w:jc w:val="both"/>
              <w:rPr>
                <w:color w:val="000000" w:themeColor="text1"/>
                <w:sz w:val="16"/>
                <w:szCs w:val="16"/>
              </w:rPr>
            </w:pPr>
          </w:p>
        </w:tc>
        <w:tc>
          <w:tcPr>
            <w:tcW w:w="792" w:type="dxa"/>
            <w:tcBorders>
              <w:top w:val="single" w:sz="12" w:space="0" w:color="auto"/>
            </w:tcBorders>
          </w:tcPr>
          <w:p w14:paraId="2C10B06F" w14:textId="77777777" w:rsidR="00531570" w:rsidRPr="00D03F3E" w:rsidRDefault="00531570" w:rsidP="00D03F3E">
            <w:pPr>
              <w:pStyle w:val="Iauiue"/>
              <w:jc w:val="both"/>
              <w:rPr>
                <w:color w:val="000000" w:themeColor="text1"/>
                <w:sz w:val="16"/>
                <w:szCs w:val="16"/>
              </w:rPr>
            </w:pPr>
          </w:p>
        </w:tc>
        <w:tc>
          <w:tcPr>
            <w:tcW w:w="872" w:type="dxa"/>
            <w:tcBorders>
              <w:top w:val="single" w:sz="12" w:space="0" w:color="auto"/>
            </w:tcBorders>
          </w:tcPr>
          <w:p w14:paraId="174D5EC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w:t>
            </w:r>
          </w:p>
        </w:tc>
        <w:tc>
          <w:tcPr>
            <w:tcW w:w="873" w:type="dxa"/>
            <w:tcBorders>
              <w:top w:val="single" w:sz="12" w:space="0" w:color="auto"/>
            </w:tcBorders>
          </w:tcPr>
          <w:p w14:paraId="0E38D01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2000</w:t>
            </w:r>
          </w:p>
        </w:tc>
        <w:tc>
          <w:tcPr>
            <w:tcW w:w="872" w:type="dxa"/>
            <w:tcBorders>
              <w:top w:val="single" w:sz="12" w:space="0" w:color="auto"/>
            </w:tcBorders>
          </w:tcPr>
          <w:p w14:paraId="3493716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5000</w:t>
            </w:r>
          </w:p>
        </w:tc>
        <w:tc>
          <w:tcPr>
            <w:tcW w:w="3053" w:type="dxa"/>
            <w:tcBorders>
              <w:top w:val="single" w:sz="12" w:space="0" w:color="auto"/>
            </w:tcBorders>
          </w:tcPr>
          <w:p w14:paraId="1773142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Примечание</w:t>
            </w:r>
          </w:p>
        </w:tc>
      </w:tr>
      <w:tr w:rsidR="00860B4B" w:rsidRPr="00D03F3E" w14:paraId="39CA11B9" w14:textId="77777777">
        <w:tc>
          <w:tcPr>
            <w:tcW w:w="1868" w:type="dxa"/>
          </w:tcPr>
          <w:p w14:paraId="5A8327A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Давление наддува</w:t>
            </w:r>
          </w:p>
        </w:tc>
        <w:tc>
          <w:tcPr>
            <w:tcW w:w="792" w:type="dxa"/>
          </w:tcPr>
          <w:p w14:paraId="74945CB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атм.</w:t>
            </w:r>
          </w:p>
        </w:tc>
        <w:tc>
          <w:tcPr>
            <w:tcW w:w="872" w:type="dxa"/>
          </w:tcPr>
          <w:p w14:paraId="7AB5199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1,15</w:t>
            </w:r>
          </w:p>
        </w:tc>
        <w:tc>
          <w:tcPr>
            <w:tcW w:w="873" w:type="dxa"/>
          </w:tcPr>
          <w:p w14:paraId="10A48D1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1,15</w:t>
            </w:r>
          </w:p>
        </w:tc>
        <w:tc>
          <w:tcPr>
            <w:tcW w:w="872" w:type="dxa"/>
          </w:tcPr>
          <w:p w14:paraId="13C5FC0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1,15</w:t>
            </w:r>
          </w:p>
        </w:tc>
        <w:tc>
          <w:tcPr>
            <w:tcW w:w="3053" w:type="dxa"/>
          </w:tcPr>
          <w:p w14:paraId="2D6293B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Данные приведены с учетом резерва горючего на 15-20 мин. полета</w:t>
            </w:r>
          </w:p>
        </w:tc>
      </w:tr>
      <w:tr w:rsidR="00860B4B" w:rsidRPr="00D03F3E" w14:paraId="734B41FB" w14:textId="77777777">
        <w:tc>
          <w:tcPr>
            <w:tcW w:w="1868" w:type="dxa"/>
          </w:tcPr>
          <w:p w14:paraId="1816C72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Обороты</w:t>
            </w:r>
          </w:p>
        </w:tc>
        <w:tc>
          <w:tcPr>
            <w:tcW w:w="792" w:type="dxa"/>
          </w:tcPr>
          <w:p w14:paraId="3CE371BF" w14:textId="77777777" w:rsidR="00531570" w:rsidRPr="00D03F3E" w:rsidRDefault="00531570" w:rsidP="00D03F3E">
            <w:pPr>
              <w:pStyle w:val="Iauiue"/>
              <w:jc w:val="both"/>
              <w:rPr>
                <w:color w:val="000000" w:themeColor="text1"/>
                <w:sz w:val="16"/>
                <w:szCs w:val="16"/>
              </w:rPr>
            </w:pPr>
          </w:p>
        </w:tc>
        <w:tc>
          <w:tcPr>
            <w:tcW w:w="872" w:type="dxa"/>
          </w:tcPr>
          <w:p w14:paraId="7C8F7D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2250</w:t>
            </w:r>
          </w:p>
        </w:tc>
        <w:tc>
          <w:tcPr>
            <w:tcW w:w="873" w:type="dxa"/>
          </w:tcPr>
          <w:p w14:paraId="27DE1F1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2250</w:t>
            </w:r>
          </w:p>
        </w:tc>
        <w:tc>
          <w:tcPr>
            <w:tcW w:w="872" w:type="dxa"/>
          </w:tcPr>
          <w:p w14:paraId="0F5BD8A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2250</w:t>
            </w:r>
          </w:p>
        </w:tc>
        <w:tc>
          <w:tcPr>
            <w:tcW w:w="3053" w:type="dxa"/>
          </w:tcPr>
          <w:p w14:paraId="51924419" w14:textId="77777777" w:rsidR="00531570" w:rsidRPr="00D03F3E" w:rsidRDefault="00531570" w:rsidP="00D03F3E">
            <w:pPr>
              <w:pStyle w:val="Iauiue"/>
              <w:jc w:val="both"/>
              <w:rPr>
                <w:color w:val="000000" w:themeColor="text1"/>
                <w:sz w:val="16"/>
                <w:szCs w:val="16"/>
              </w:rPr>
            </w:pPr>
          </w:p>
        </w:tc>
      </w:tr>
      <w:tr w:rsidR="00860B4B" w:rsidRPr="00D03F3E" w14:paraId="6D32FBC0" w14:textId="77777777">
        <w:tc>
          <w:tcPr>
            <w:tcW w:w="1868" w:type="dxa"/>
          </w:tcPr>
          <w:p w14:paraId="292F1E4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Расход горючего</w:t>
            </w:r>
          </w:p>
        </w:tc>
        <w:tc>
          <w:tcPr>
            <w:tcW w:w="792" w:type="dxa"/>
          </w:tcPr>
          <w:p w14:paraId="0FA9CA2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л/час</w:t>
            </w:r>
          </w:p>
        </w:tc>
        <w:tc>
          <w:tcPr>
            <w:tcW w:w="872" w:type="dxa"/>
          </w:tcPr>
          <w:p w14:paraId="7FBC5E9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585</w:t>
            </w:r>
          </w:p>
        </w:tc>
        <w:tc>
          <w:tcPr>
            <w:tcW w:w="873" w:type="dxa"/>
          </w:tcPr>
          <w:p w14:paraId="78863B7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625</w:t>
            </w:r>
          </w:p>
        </w:tc>
        <w:tc>
          <w:tcPr>
            <w:tcW w:w="872" w:type="dxa"/>
          </w:tcPr>
          <w:p w14:paraId="50A5533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615</w:t>
            </w:r>
          </w:p>
        </w:tc>
        <w:tc>
          <w:tcPr>
            <w:tcW w:w="3053" w:type="dxa"/>
          </w:tcPr>
          <w:p w14:paraId="717694AF" w14:textId="77777777" w:rsidR="00531570" w:rsidRPr="00D03F3E" w:rsidRDefault="00531570" w:rsidP="00D03F3E">
            <w:pPr>
              <w:pStyle w:val="Iauiue"/>
              <w:jc w:val="both"/>
              <w:rPr>
                <w:color w:val="000000" w:themeColor="text1"/>
                <w:sz w:val="16"/>
                <w:szCs w:val="16"/>
              </w:rPr>
            </w:pPr>
          </w:p>
        </w:tc>
      </w:tr>
      <w:tr w:rsidR="00860B4B" w:rsidRPr="00D03F3E" w14:paraId="19F4D79B" w14:textId="77777777">
        <w:tc>
          <w:tcPr>
            <w:tcW w:w="1868" w:type="dxa"/>
          </w:tcPr>
          <w:p w14:paraId="57F0F07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Скорость полета (0,9 макс.)</w:t>
            </w:r>
          </w:p>
        </w:tc>
        <w:tc>
          <w:tcPr>
            <w:tcW w:w="792" w:type="dxa"/>
          </w:tcPr>
          <w:p w14:paraId="51458E25" w14:textId="77777777" w:rsidR="00531570" w:rsidRPr="00D03F3E" w:rsidRDefault="00531570" w:rsidP="00D03F3E">
            <w:pPr>
              <w:pStyle w:val="Iauiue"/>
              <w:jc w:val="both"/>
              <w:rPr>
                <w:color w:val="000000" w:themeColor="text1"/>
                <w:sz w:val="16"/>
                <w:szCs w:val="16"/>
              </w:rPr>
            </w:pPr>
          </w:p>
        </w:tc>
        <w:tc>
          <w:tcPr>
            <w:tcW w:w="872" w:type="dxa"/>
          </w:tcPr>
          <w:p w14:paraId="746B12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w:t>
            </w:r>
          </w:p>
        </w:tc>
        <w:tc>
          <w:tcPr>
            <w:tcW w:w="873" w:type="dxa"/>
          </w:tcPr>
          <w:p w14:paraId="4AC0421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330</w:t>
            </w:r>
          </w:p>
        </w:tc>
        <w:tc>
          <w:tcPr>
            <w:tcW w:w="872" w:type="dxa"/>
          </w:tcPr>
          <w:p w14:paraId="4CB44C0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345</w:t>
            </w:r>
          </w:p>
        </w:tc>
        <w:tc>
          <w:tcPr>
            <w:tcW w:w="3053" w:type="dxa"/>
          </w:tcPr>
          <w:p w14:paraId="3BD5F3C0" w14:textId="77777777" w:rsidR="00531570" w:rsidRPr="00D03F3E" w:rsidRDefault="00531570" w:rsidP="00D03F3E">
            <w:pPr>
              <w:pStyle w:val="Iauiue"/>
              <w:jc w:val="both"/>
              <w:rPr>
                <w:color w:val="000000" w:themeColor="text1"/>
                <w:sz w:val="16"/>
                <w:szCs w:val="16"/>
              </w:rPr>
            </w:pPr>
          </w:p>
        </w:tc>
      </w:tr>
      <w:tr w:rsidR="00860B4B" w:rsidRPr="00D03F3E" w14:paraId="647657E9" w14:textId="77777777">
        <w:tc>
          <w:tcPr>
            <w:tcW w:w="1868" w:type="dxa"/>
          </w:tcPr>
          <w:p w14:paraId="61001A6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Дальность при заправке</w:t>
            </w:r>
          </w:p>
        </w:tc>
        <w:tc>
          <w:tcPr>
            <w:tcW w:w="792" w:type="dxa"/>
          </w:tcPr>
          <w:p w14:paraId="5C015A4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2180</w:t>
            </w:r>
          </w:p>
        </w:tc>
        <w:tc>
          <w:tcPr>
            <w:tcW w:w="872" w:type="dxa"/>
          </w:tcPr>
          <w:p w14:paraId="3AF20BF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1065</w:t>
            </w:r>
          </w:p>
        </w:tc>
        <w:tc>
          <w:tcPr>
            <w:tcW w:w="873" w:type="dxa"/>
          </w:tcPr>
          <w:p w14:paraId="72C30F2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1065</w:t>
            </w:r>
          </w:p>
        </w:tc>
        <w:tc>
          <w:tcPr>
            <w:tcW w:w="872" w:type="dxa"/>
          </w:tcPr>
          <w:p w14:paraId="402A0D8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1090</w:t>
            </w:r>
          </w:p>
        </w:tc>
        <w:tc>
          <w:tcPr>
            <w:tcW w:w="3053" w:type="dxa"/>
          </w:tcPr>
          <w:p w14:paraId="28551E40" w14:textId="77777777" w:rsidR="00531570" w:rsidRPr="00D03F3E" w:rsidRDefault="00531570" w:rsidP="00D03F3E">
            <w:pPr>
              <w:pStyle w:val="Iauiue"/>
              <w:jc w:val="both"/>
              <w:rPr>
                <w:color w:val="000000" w:themeColor="text1"/>
                <w:sz w:val="16"/>
                <w:szCs w:val="16"/>
              </w:rPr>
            </w:pPr>
          </w:p>
        </w:tc>
      </w:tr>
      <w:tr w:rsidR="00860B4B" w:rsidRPr="00D03F3E" w14:paraId="10B1D973" w14:textId="77777777">
        <w:tc>
          <w:tcPr>
            <w:tcW w:w="1868" w:type="dxa"/>
          </w:tcPr>
          <w:p w14:paraId="2B177D9B" w14:textId="77777777" w:rsidR="00531570" w:rsidRPr="00D03F3E" w:rsidRDefault="00531570" w:rsidP="00D03F3E">
            <w:pPr>
              <w:pStyle w:val="Iauiue"/>
              <w:jc w:val="both"/>
              <w:rPr>
                <w:color w:val="000000" w:themeColor="text1"/>
                <w:sz w:val="16"/>
                <w:szCs w:val="16"/>
              </w:rPr>
            </w:pPr>
          </w:p>
        </w:tc>
        <w:tc>
          <w:tcPr>
            <w:tcW w:w="792" w:type="dxa"/>
          </w:tcPr>
          <w:p w14:paraId="3F3A75B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3280</w:t>
            </w:r>
          </w:p>
        </w:tc>
        <w:tc>
          <w:tcPr>
            <w:tcW w:w="872" w:type="dxa"/>
          </w:tcPr>
          <w:p w14:paraId="40C3594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1675</w:t>
            </w:r>
          </w:p>
        </w:tc>
        <w:tc>
          <w:tcPr>
            <w:tcW w:w="873" w:type="dxa"/>
          </w:tcPr>
          <w:p w14:paraId="2144EA8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1685</w:t>
            </w:r>
          </w:p>
        </w:tc>
        <w:tc>
          <w:tcPr>
            <w:tcW w:w="872" w:type="dxa"/>
          </w:tcPr>
          <w:p w14:paraId="6BE6594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1755</w:t>
            </w:r>
          </w:p>
        </w:tc>
        <w:tc>
          <w:tcPr>
            <w:tcW w:w="3053" w:type="dxa"/>
          </w:tcPr>
          <w:p w14:paraId="7EFB7B30" w14:textId="77777777" w:rsidR="00531570" w:rsidRPr="00D03F3E" w:rsidRDefault="00531570" w:rsidP="00D03F3E">
            <w:pPr>
              <w:pStyle w:val="Iauiue"/>
              <w:jc w:val="both"/>
              <w:rPr>
                <w:color w:val="000000" w:themeColor="text1"/>
                <w:sz w:val="16"/>
                <w:szCs w:val="16"/>
              </w:rPr>
            </w:pPr>
          </w:p>
        </w:tc>
      </w:tr>
      <w:tr w:rsidR="00860B4B" w:rsidRPr="00D03F3E" w14:paraId="080E1E66" w14:textId="77777777">
        <w:tc>
          <w:tcPr>
            <w:tcW w:w="1868" w:type="dxa"/>
          </w:tcPr>
          <w:p w14:paraId="11EFD1B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Продолжительность при заправке</w:t>
            </w:r>
          </w:p>
        </w:tc>
        <w:tc>
          <w:tcPr>
            <w:tcW w:w="792" w:type="dxa"/>
          </w:tcPr>
          <w:p w14:paraId="384E2C0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2180</w:t>
            </w:r>
          </w:p>
        </w:tc>
        <w:tc>
          <w:tcPr>
            <w:tcW w:w="872" w:type="dxa"/>
          </w:tcPr>
          <w:p w14:paraId="29FB153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3:20</w:t>
            </w:r>
          </w:p>
        </w:tc>
        <w:tc>
          <w:tcPr>
            <w:tcW w:w="873" w:type="dxa"/>
          </w:tcPr>
          <w:p w14:paraId="206A3D5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3:20</w:t>
            </w:r>
          </w:p>
        </w:tc>
        <w:tc>
          <w:tcPr>
            <w:tcW w:w="872" w:type="dxa"/>
          </w:tcPr>
          <w:p w14:paraId="26C11D2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3:20</w:t>
            </w:r>
          </w:p>
        </w:tc>
        <w:tc>
          <w:tcPr>
            <w:tcW w:w="3053" w:type="dxa"/>
          </w:tcPr>
          <w:p w14:paraId="59896C57" w14:textId="77777777" w:rsidR="00531570" w:rsidRPr="00D03F3E" w:rsidRDefault="00531570" w:rsidP="00D03F3E">
            <w:pPr>
              <w:pStyle w:val="Iauiue"/>
              <w:jc w:val="both"/>
              <w:rPr>
                <w:color w:val="000000" w:themeColor="text1"/>
                <w:sz w:val="16"/>
                <w:szCs w:val="16"/>
              </w:rPr>
            </w:pPr>
          </w:p>
        </w:tc>
      </w:tr>
      <w:tr w:rsidR="00860B4B" w:rsidRPr="00D03F3E" w14:paraId="3EF17AD6" w14:textId="77777777">
        <w:tc>
          <w:tcPr>
            <w:tcW w:w="1868" w:type="dxa"/>
          </w:tcPr>
          <w:p w14:paraId="20B0EBE6" w14:textId="77777777" w:rsidR="00531570" w:rsidRPr="00D03F3E" w:rsidRDefault="00531570" w:rsidP="00D03F3E">
            <w:pPr>
              <w:pStyle w:val="Iauiue"/>
              <w:jc w:val="both"/>
              <w:rPr>
                <w:color w:val="000000" w:themeColor="text1"/>
                <w:sz w:val="16"/>
                <w:szCs w:val="16"/>
              </w:rPr>
            </w:pPr>
          </w:p>
        </w:tc>
        <w:tc>
          <w:tcPr>
            <w:tcW w:w="792" w:type="dxa"/>
          </w:tcPr>
          <w:p w14:paraId="3E569CE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3280</w:t>
            </w:r>
          </w:p>
        </w:tc>
        <w:tc>
          <w:tcPr>
            <w:tcW w:w="872" w:type="dxa"/>
          </w:tcPr>
          <w:p w14:paraId="1BCE85F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5:15</w:t>
            </w:r>
          </w:p>
        </w:tc>
        <w:tc>
          <w:tcPr>
            <w:tcW w:w="873" w:type="dxa"/>
          </w:tcPr>
          <w:p w14:paraId="5CF7119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w:t>
            </w:r>
          </w:p>
        </w:tc>
        <w:tc>
          <w:tcPr>
            <w:tcW w:w="872" w:type="dxa"/>
          </w:tcPr>
          <w:p w14:paraId="0D6B20D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5:05</w:t>
            </w:r>
          </w:p>
        </w:tc>
        <w:tc>
          <w:tcPr>
            <w:tcW w:w="3053" w:type="dxa"/>
          </w:tcPr>
          <w:p w14:paraId="61D83837" w14:textId="77777777" w:rsidR="00531570" w:rsidRPr="00D03F3E" w:rsidRDefault="00531570" w:rsidP="00D03F3E">
            <w:pPr>
              <w:pStyle w:val="Iauiue"/>
              <w:jc w:val="both"/>
              <w:rPr>
                <w:color w:val="000000" w:themeColor="text1"/>
                <w:sz w:val="16"/>
                <w:szCs w:val="16"/>
              </w:rPr>
            </w:pPr>
          </w:p>
        </w:tc>
      </w:tr>
      <w:tr w:rsidR="00860B4B" w:rsidRPr="00D03F3E" w14:paraId="2A407355" w14:textId="77777777">
        <w:tc>
          <w:tcPr>
            <w:tcW w:w="1868" w:type="dxa"/>
            <w:tcBorders>
              <w:bottom w:val="single" w:sz="12" w:space="0" w:color="auto"/>
            </w:tcBorders>
          </w:tcPr>
          <w:p w14:paraId="510229F3" w14:textId="77777777" w:rsidR="00531570" w:rsidRPr="00D03F3E" w:rsidRDefault="00531570" w:rsidP="00D03F3E">
            <w:pPr>
              <w:pStyle w:val="Iauiue"/>
              <w:jc w:val="both"/>
              <w:rPr>
                <w:color w:val="000000" w:themeColor="text1"/>
                <w:sz w:val="16"/>
                <w:szCs w:val="16"/>
              </w:rPr>
            </w:pPr>
          </w:p>
        </w:tc>
        <w:tc>
          <w:tcPr>
            <w:tcW w:w="792" w:type="dxa"/>
            <w:tcBorders>
              <w:bottom w:val="single" w:sz="12" w:space="0" w:color="auto"/>
            </w:tcBorders>
          </w:tcPr>
          <w:p w14:paraId="5B1030AF" w14:textId="77777777" w:rsidR="00531570" w:rsidRPr="00D03F3E" w:rsidRDefault="00531570" w:rsidP="00D03F3E">
            <w:pPr>
              <w:pStyle w:val="Iauiue"/>
              <w:jc w:val="both"/>
              <w:rPr>
                <w:color w:val="000000" w:themeColor="text1"/>
                <w:sz w:val="16"/>
                <w:szCs w:val="16"/>
              </w:rPr>
            </w:pPr>
          </w:p>
        </w:tc>
        <w:tc>
          <w:tcPr>
            <w:tcW w:w="872" w:type="dxa"/>
            <w:tcBorders>
              <w:bottom w:val="single" w:sz="12" w:space="0" w:color="auto"/>
            </w:tcBorders>
          </w:tcPr>
          <w:p w14:paraId="17288883" w14:textId="77777777" w:rsidR="00531570" w:rsidRPr="00D03F3E" w:rsidRDefault="00531570" w:rsidP="00D03F3E">
            <w:pPr>
              <w:pStyle w:val="Iauiue"/>
              <w:jc w:val="both"/>
              <w:rPr>
                <w:color w:val="000000" w:themeColor="text1"/>
                <w:sz w:val="16"/>
                <w:szCs w:val="16"/>
              </w:rPr>
            </w:pPr>
          </w:p>
        </w:tc>
        <w:tc>
          <w:tcPr>
            <w:tcW w:w="873" w:type="dxa"/>
            <w:tcBorders>
              <w:bottom w:val="single" w:sz="12" w:space="0" w:color="auto"/>
            </w:tcBorders>
          </w:tcPr>
          <w:p w14:paraId="0909C264" w14:textId="77777777" w:rsidR="00531570" w:rsidRPr="00D03F3E" w:rsidRDefault="00531570" w:rsidP="00D03F3E">
            <w:pPr>
              <w:pStyle w:val="Iauiue"/>
              <w:jc w:val="both"/>
              <w:rPr>
                <w:color w:val="000000" w:themeColor="text1"/>
                <w:sz w:val="16"/>
                <w:szCs w:val="16"/>
              </w:rPr>
            </w:pPr>
          </w:p>
        </w:tc>
        <w:tc>
          <w:tcPr>
            <w:tcW w:w="872" w:type="dxa"/>
            <w:tcBorders>
              <w:bottom w:val="single" w:sz="12" w:space="0" w:color="auto"/>
            </w:tcBorders>
          </w:tcPr>
          <w:p w14:paraId="56731DAA" w14:textId="77777777" w:rsidR="00531570" w:rsidRPr="00D03F3E" w:rsidRDefault="00531570" w:rsidP="00D03F3E">
            <w:pPr>
              <w:pStyle w:val="Iauiue"/>
              <w:jc w:val="both"/>
              <w:rPr>
                <w:color w:val="000000" w:themeColor="text1"/>
                <w:sz w:val="16"/>
                <w:szCs w:val="16"/>
              </w:rPr>
            </w:pPr>
          </w:p>
        </w:tc>
        <w:tc>
          <w:tcPr>
            <w:tcW w:w="3053" w:type="dxa"/>
            <w:tcBorders>
              <w:bottom w:val="single" w:sz="12" w:space="0" w:color="auto"/>
            </w:tcBorders>
          </w:tcPr>
          <w:p w14:paraId="1945EA76" w14:textId="77777777" w:rsidR="00531570" w:rsidRPr="00D03F3E" w:rsidRDefault="00531570" w:rsidP="00D03F3E">
            <w:pPr>
              <w:pStyle w:val="Iauiue"/>
              <w:jc w:val="both"/>
              <w:rPr>
                <w:color w:val="000000" w:themeColor="text1"/>
                <w:sz w:val="16"/>
                <w:szCs w:val="16"/>
              </w:rPr>
            </w:pPr>
          </w:p>
        </w:tc>
      </w:tr>
    </w:tbl>
    <w:p w14:paraId="05953BC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Виражи на Н-11 при полетном весе 11500 на всоте 2000 м при 2400 оборотах и Ра 1,2</w:t>
      </w:r>
    </w:p>
    <w:p w14:paraId="4923081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левый (крен 55-60 гр.) при скорости 281 км/час 48,3 с учетом ввода и вывода</w:t>
      </w:r>
    </w:p>
    <w:p w14:paraId="5FFA99D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правый (крен тот же) при скорости 286 - 49 с учетом ввода и вывода</w:t>
      </w:r>
    </w:p>
    <w:p w14:paraId="2BEDE45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Таблица сравнения данныфх Хе-11 Н-11 2 ЮМО 211 </w:t>
      </w:r>
      <w:r w:rsidRPr="00D03F3E">
        <w:rPr>
          <w:color w:val="000000" w:themeColor="text1"/>
          <w:sz w:val="16"/>
          <w:szCs w:val="16"/>
          <w:lang w:val="en-US"/>
        </w:rPr>
        <w:t>F</w:t>
      </w:r>
      <w:r w:rsidRPr="00D03F3E">
        <w:rPr>
          <w:color w:val="000000" w:themeColor="text1"/>
          <w:sz w:val="16"/>
          <w:szCs w:val="16"/>
        </w:rPr>
        <w:t>-11 с Ил-4 2М-88б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2042"/>
        <w:gridCol w:w="1985"/>
      </w:tblGrid>
      <w:tr w:rsidR="00860B4B" w:rsidRPr="00D03F3E" w14:paraId="685FA755" w14:textId="77777777">
        <w:tc>
          <w:tcPr>
            <w:tcW w:w="3736" w:type="dxa"/>
            <w:tcBorders>
              <w:top w:val="single" w:sz="12" w:space="0" w:color="auto"/>
            </w:tcBorders>
          </w:tcPr>
          <w:p w14:paraId="605DBFC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Наименование</w:t>
            </w:r>
          </w:p>
        </w:tc>
        <w:tc>
          <w:tcPr>
            <w:tcW w:w="2042" w:type="dxa"/>
            <w:tcBorders>
              <w:top w:val="single" w:sz="12" w:space="0" w:color="auto"/>
            </w:tcBorders>
          </w:tcPr>
          <w:p w14:paraId="079273B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Хе-111 Н-11</w:t>
            </w:r>
          </w:p>
        </w:tc>
        <w:tc>
          <w:tcPr>
            <w:tcW w:w="1985" w:type="dxa"/>
            <w:tcBorders>
              <w:top w:val="single" w:sz="12" w:space="0" w:color="auto"/>
            </w:tcBorders>
          </w:tcPr>
          <w:p w14:paraId="186EA93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Ил-4 М-88Б № 2307 исп. в НИИ в феврале 1943</w:t>
            </w:r>
          </w:p>
        </w:tc>
      </w:tr>
      <w:tr w:rsidR="00860B4B" w:rsidRPr="00D03F3E" w14:paraId="34086239" w14:textId="77777777">
        <w:tc>
          <w:tcPr>
            <w:tcW w:w="3736" w:type="dxa"/>
          </w:tcPr>
          <w:p w14:paraId="38A352B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Размах крыла (м)</w:t>
            </w:r>
          </w:p>
        </w:tc>
        <w:tc>
          <w:tcPr>
            <w:tcW w:w="2042" w:type="dxa"/>
          </w:tcPr>
          <w:p w14:paraId="6CA9842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22,45</w:t>
            </w:r>
          </w:p>
        </w:tc>
        <w:tc>
          <w:tcPr>
            <w:tcW w:w="1985" w:type="dxa"/>
          </w:tcPr>
          <w:p w14:paraId="3E3FE38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21,44</w:t>
            </w:r>
          </w:p>
        </w:tc>
      </w:tr>
      <w:tr w:rsidR="00860B4B" w:rsidRPr="00D03F3E" w14:paraId="4382AF0B" w14:textId="77777777">
        <w:tc>
          <w:tcPr>
            <w:tcW w:w="3736" w:type="dxa"/>
          </w:tcPr>
          <w:p w14:paraId="40ACF6A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Длина в линии полета (м)</w:t>
            </w:r>
          </w:p>
        </w:tc>
        <w:tc>
          <w:tcPr>
            <w:tcW w:w="2042" w:type="dxa"/>
          </w:tcPr>
          <w:p w14:paraId="4680401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16,69</w:t>
            </w:r>
          </w:p>
        </w:tc>
        <w:tc>
          <w:tcPr>
            <w:tcW w:w="1985" w:type="dxa"/>
          </w:tcPr>
          <w:p w14:paraId="4128564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14,788</w:t>
            </w:r>
          </w:p>
        </w:tc>
      </w:tr>
      <w:tr w:rsidR="00860B4B" w:rsidRPr="00D03F3E" w14:paraId="734055F6" w14:textId="77777777">
        <w:tc>
          <w:tcPr>
            <w:tcW w:w="3736" w:type="dxa"/>
          </w:tcPr>
          <w:p w14:paraId="07821D4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Высота на стоянке (м)</w:t>
            </w:r>
          </w:p>
        </w:tc>
        <w:tc>
          <w:tcPr>
            <w:tcW w:w="2042" w:type="dxa"/>
          </w:tcPr>
          <w:p w14:paraId="25A8FB7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4,61</w:t>
            </w:r>
          </w:p>
        </w:tc>
        <w:tc>
          <w:tcPr>
            <w:tcW w:w="1985" w:type="dxa"/>
          </w:tcPr>
          <w:p w14:paraId="5EC2D3B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4,675</w:t>
            </w:r>
          </w:p>
        </w:tc>
      </w:tr>
      <w:tr w:rsidR="00860B4B" w:rsidRPr="00D03F3E" w14:paraId="6A7B7B0D" w14:textId="77777777">
        <w:tc>
          <w:tcPr>
            <w:tcW w:w="3736" w:type="dxa"/>
          </w:tcPr>
          <w:p w14:paraId="062EB9B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Диаметр винта (м)</w:t>
            </w:r>
          </w:p>
        </w:tc>
        <w:tc>
          <w:tcPr>
            <w:tcW w:w="2042" w:type="dxa"/>
          </w:tcPr>
          <w:p w14:paraId="4996E14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3,5</w:t>
            </w:r>
          </w:p>
        </w:tc>
        <w:tc>
          <w:tcPr>
            <w:tcW w:w="1985" w:type="dxa"/>
          </w:tcPr>
          <w:p w14:paraId="3C4CD45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w:t>
            </w:r>
          </w:p>
        </w:tc>
      </w:tr>
      <w:tr w:rsidR="00860B4B" w:rsidRPr="00D03F3E" w14:paraId="5AC375B0" w14:textId="77777777">
        <w:tc>
          <w:tcPr>
            <w:tcW w:w="3736" w:type="dxa"/>
          </w:tcPr>
          <w:p w14:paraId="1E2C935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Площадь крыла</w:t>
            </w:r>
          </w:p>
        </w:tc>
        <w:tc>
          <w:tcPr>
            <w:tcW w:w="2042" w:type="dxa"/>
          </w:tcPr>
          <w:p w14:paraId="2F1C4BF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85,72</w:t>
            </w:r>
          </w:p>
        </w:tc>
        <w:tc>
          <w:tcPr>
            <w:tcW w:w="1985" w:type="dxa"/>
          </w:tcPr>
          <w:p w14:paraId="6B9C004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66,7</w:t>
            </w:r>
          </w:p>
        </w:tc>
      </w:tr>
      <w:tr w:rsidR="00860B4B" w:rsidRPr="00D03F3E" w14:paraId="5B6D310B" w14:textId="77777777">
        <w:tc>
          <w:tcPr>
            <w:tcW w:w="3736" w:type="dxa"/>
          </w:tcPr>
          <w:p w14:paraId="1786CF4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Емкость баков (л)</w:t>
            </w:r>
          </w:p>
        </w:tc>
        <w:tc>
          <w:tcPr>
            <w:tcW w:w="2042" w:type="dxa"/>
          </w:tcPr>
          <w:p w14:paraId="29CBD28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4285</w:t>
            </w:r>
          </w:p>
        </w:tc>
        <w:tc>
          <w:tcPr>
            <w:tcW w:w="1985" w:type="dxa"/>
          </w:tcPr>
          <w:p w14:paraId="0B58742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3855</w:t>
            </w:r>
          </w:p>
        </w:tc>
      </w:tr>
      <w:tr w:rsidR="00860B4B" w:rsidRPr="00D03F3E" w14:paraId="74E7FDA8" w14:textId="77777777">
        <w:tc>
          <w:tcPr>
            <w:tcW w:w="3736" w:type="dxa"/>
          </w:tcPr>
          <w:p w14:paraId="06FF5F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Мощность моторов</w:t>
            </w:r>
          </w:p>
        </w:tc>
        <w:tc>
          <w:tcPr>
            <w:tcW w:w="2042" w:type="dxa"/>
          </w:tcPr>
          <w:p w14:paraId="0DF69F9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2х1350/2х1100/5000</w:t>
            </w:r>
          </w:p>
        </w:tc>
        <w:tc>
          <w:tcPr>
            <w:tcW w:w="1985" w:type="dxa"/>
          </w:tcPr>
          <w:p w14:paraId="4955A00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2х1100/2х1000/6000</w:t>
            </w:r>
          </w:p>
        </w:tc>
      </w:tr>
      <w:tr w:rsidR="00860B4B" w:rsidRPr="00D03F3E" w14:paraId="75EE3102" w14:textId="77777777">
        <w:tc>
          <w:tcPr>
            <w:tcW w:w="3736" w:type="dxa"/>
          </w:tcPr>
          <w:p w14:paraId="02FB183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Стрелковое вооружение</w:t>
            </w:r>
          </w:p>
        </w:tc>
        <w:tc>
          <w:tcPr>
            <w:tcW w:w="2042" w:type="dxa"/>
          </w:tcPr>
          <w:p w14:paraId="75DB8A2E" w14:textId="77777777" w:rsidR="00531570" w:rsidRPr="00D03F3E" w:rsidRDefault="00531570" w:rsidP="00D03F3E">
            <w:pPr>
              <w:pStyle w:val="Iauiue"/>
              <w:jc w:val="both"/>
              <w:rPr>
                <w:color w:val="000000" w:themeColor="text1"/>
                <w:sz w:val="16"/>
                <w:szCs w:val="16"/>
              </w:rPr>
            </w:pPr>
          </w:p>
        </w:tc>
        <w:tc>
          <w:tcPr>
            <w:tcW w:w="1985" w:type="dxa"/>
          </w:tcPr>
          <w:p w14:paraId="0250EF04" w14:textId="77777777" w:rsidR="00531570" w:rsidRPr="00D03F3E" w:rsidRDefault="00531570" w:rsidP="00D03F3E">
            <w:pPr>
              <w:pStyle w:val="Iauiue"/>
              <w:jc w:val="both"/>
              <w:rPr>
                <w:color w:val="000000" w:themeColor="text1"/>
                <w:sz w:val="16"/>
                <w:szCs w:val="16"/>
              </w:rPr>
            </w:pPr>
          </w:p>
        </w:tc>
      </w:tr>
      <w:tr w:rsidR="00860B4B" w:rsidRPr="00D03F3E" w14:paraId="0F4C5876" w14:textId="77777777">
        <w:tc>
          <w:tcPr>
            <w:tcW w:w="3736" w:type="dxa"/>
          </w:tcPr>
          <w:p w14:paraId="4DDB21A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подвижная вперед</w:t>
            </w:r>
          </w:p>
        </w:tc>
        <w:tc>
          <w:tcPr>
            <w:tcW w:w="2042" w:type="dxa"/>
          </w:tcPr>
          <w:p w14:paraId="6AA6BAE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1хпушка 20 мм</w:t>
            </w:r>
          </w:p>
        </w:tc>
        <w:tc>
          <w:tcPr>
            <w:tcW w:w="1985" w:type="dxa"/>
          </w:tcPr>
          <w:p w14:paraId="195C91A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1хШКАС</w:t>
            </w:r>
          </w:p>
        </w:tc>
      </w:tr>
      <w:tr w:rsidR="00860B4B" w:rsidRPr="00D03F3E" w14:paraId="37326274" w14:textId="77777777">
        <w:tc>
          <w:tcPr>
            <w:tcW w:w="3736" w:type="dxa"/>
          </w:tcPr>
          <w:p w14:paraId="7EEA617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подвижная вверх</w:t>
            </w:r>
          </w:p>
        </w:tc>
        <w:tc>
          <w:tcPr>
            <w:tcW w:w="2042" w:type="dxa"/>
          </w:tcPr>
          <w:p w14:paraId="00A9C75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1хМГ-131</w:t>
            </w:r>
          </w:p>
        </w:tc>
        <w:tc>
          <w:tcPr>
            <w:tcW w:w="1985" w:type="dxa"/>
          </w:tcPr>
          <w:p w14:paraId="0C51BFA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1хУБТ</w:t>
            </w:r>
          </w:p>
        </w:tc>
      </w:tr>
      <w:tr w:rsidR="00860B4B" w:rsidRPr="00D03F3E" w14:paraId="6DA7794B" w14:textId="77777777">
        <w:tc>
          <w:tcPr>
            <w:tcW w:w="3736" w:type="dxa"/>
          </w:tcPr>
          <w:p w14:paraId="22F7D9F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подвижная вниз</w:t>
            </w:r>
          </w:p>
        </w:tc>
        <w:tc>
          <w:tcPr>
            <w:tcW w:w="2042" w:type="dxa"/>
          </w:tcPr>
          <w:p w14:paraId="197298F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спаркаМГ-81</w:t>
            </w:r>
          </w:p>
        </w:tc>
        <w:tc>
          <w:tcPr>
            <w:tcW w:w="1985" w:type="dxa"/>
          </w:tcPr>
          <w:p w14:paraId="5C636F0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1хШКАС</w:t>
            </w:r>
          </w:p>
        </w:tc>
      </w:tr>
      <w:tr w:rsidR="00860B4B" w:rsidRPr="00D03F3E" w14:paraId="7F649D59" w14:textId="77777777">
        <w:tc>
          <w:tcPr>
            <w:tcW w:w="3736" w:type="dxa"/>
          </w:tcPr>
          <w:p w14:paraId="4CE527F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 подвижная люковая</w:t>
            </w:r>
          </w:p>
        </w:tc>
        <w:tc>
          <w:tcPr>
            <w:tcW w:w="2042" w:type="dxa"/>
          </w:tcPr>
          <w:p w14:paraId="0E3AC9A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2хМК-15</w:t>
            </w:r>
          </w:p>
        </w:tc>
        <w:tc>
          <w:tcPr>
            <w:tcW w:w="1985" w:type="dxa"/>
          </w:tcPr>
          <w:p w14:paraId="0056075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нет</w:t>
            </w:r>
          </w:p>
        </w:tc>
      </w:tr>
      <w:tr w:rsidR="00860B4B" w:rsidRPr="00D03F3E" w14:paraId="2B2067C5" w14:textId="77777777">
        <w:tc>
          <w:tcPr>
            <w:tcW w:w="3736" w:type="dxa"/>
          </w:tcPr>
          <w:p w14:paraId="51F54C2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 правый и левый бортовые</w:t>
            </w:r>
          </w:p>
        </w:tc>
        <w:tc>
          <w:tcPr>
            <w:tcW w:w="2042" w:type="dxa"/>
          </w:tcPr>
          <w:p w14:paraId="4A766C5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2хМГ-15</w:t>
            </w:r>
          </w:p>
        </w:tc>
        <w:tc>
          <w:tcPr>
            <w:tcW w:w="1985" w:type="dxa"/>
          </w:tcPr>
          <w:p w14:paraId="3C2679E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нет</w:t>
            </w:r>
          </w:p>
        </w:tc>
      </w:tr>
      <w:tr w:rsidR="00860B4B" w:rsidRPr="00D03F3E" w14:paraId="5FC07537" w14:textId="77777777">
        <w:tc>
          <w:tcPr>
            <w:tcW w:w="3736" w:type="dxa"/>
          </w:tcPr>
          <w:p w14:paraId="1539AEE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Бомбардировочное вооружение</w:t>
            </w:r>
          </w:p>
        </w:tc>
        <w:tc>
          <w:tcPr>
            <w:tcW w:w="2042" w:type="dxa"/>
          </w:tcPr>
          <w:p w14:paraId="60F7D8EA" w14:textId="77777777" w:rsidR="00531570" w:rsidRPr="00D03F3E" w:rsidRDefault="00531570" w:rsidP="00D03F3E">
            <w:pPr>
              <w:pStyle w:val="Iauiue"/>
              <w:jc w:val="both"/>
              <w:rPr>
                <w:color w:val="000000" w:themeColor="text1"/>
                <w:sz w:val="16"/>
                <w:szCs w:val="16"/>
              </w:rPr>
            </w:pPr>
          </w:p>
        </w:tc>
        <w:tc>
          <w:tcPr>
            <w:tcW w:w="1985" w:type="dxa"/>
          </w:tcPr>
          <w:p w14:paraId="1F4972A9" w14:textId="77777777" w:rsidR="00531570" w:rsidRPr="00D03F3E" w:rsidRDefault="00531570" w:rsidP="00D03F3E">
            <w:pPr>
              <w:pStyle w:val="Iauiue"/>
              <w:jc w:val="both"/>
              <w:rPr>
                <w:color w:val="000000" w:themeColor="text1"/>
                <w:sz w:val="16"/>
                <w:szCs w:val="16"/>
              </w:rPr>
            </w:pPr>
          </w:p>
        </w:tc>
      </w:tr>
      <w:tr w:rsidR="00860B4B" w:rsidRPr="00D03F3E" w14:paraId="2DADD908" w14:textId="77777777">
        <w:tc>
          <w:tcPr>
            <w:tcW w:w="3736" w:type="dxa"/>
          </w:tcPr>
          <w:p w14:paraId="755DA52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наружное</w:t>
            </w:r>
          </w:p>
        </w:tc>
        <w:tc>
          <w:tcPr>
            <w:tcW w:w="2042" w:type="dxa"/>
          </w:tcPr>
          <w:p w14:paraId="2496CCA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2000-3000</w:t>
            </w:r>
          </w:p>
        </w:tc>
        <w:tc>
          <w:tcPr>
            <w:tcW w:w="1985" w:type="dxa"/>
          </w:tcPr>
          <w:p w14:paraId="4834D3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1500</w:t>
            </w:r>
          </w:p>
        </w:tc>
      </w:tr>
      <w:tr w:rsidR="00860B4B" w:rsidRPr="00D03F3E" w14:paraId="1147475B" w14:textId="77777777">
        <w:tc>
          <w:tcPr>
            <w:tcW w:w="3736" w:type="dxa"/>
          </w:tcPr>
          <w:p w14:paraId="016BC9E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внутреннее</w:t>
            </w:r>
          </w:p>
        </w:tc>
        <w:tc>
          <w:tcPr>
            <w:tcW w:w="2042" w:type="dxa"/>
          </w:tcPr>
          <w:p w14:paraId="1F2E173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нет</w:t>
            </w:r>
          </w:p>
        </w:tc>
        <w:tc>
          <w:tcPr>
            <w:tcW w:w="1985" w:type="dxa"/>
          </w:tcPr>
          <w:p w14:paraId="463C459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w:t>
            </w:r>
          </w:p>
        </w:tc>
      </w:tr>
      <w:tr w:rsidR="00860B4B" w:rsidRPr="00D03F3E" w14:paraId="3348B070" w14:textId="77777777">
        <w:tc>
          <w:tcPr>
            <w:tcW w:w="3736" w:type="dxa"/>
          </w:tcPr>
          <w:p w14:paraId="7689296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Калибры бомб</w:t>
            </w:r>
          </w:p>
        </w:tc>
        <w:tc>
          <w:tcPr>
            <w:tcW w:w="2042" w:type="dxa"/>
          </w:tcPr>
          <w:p w14:paraId="070628DE" w14:textId="77777777" w:rsidR="00531570" w:rsidRPr="00D03F3E" w:rsidRDefault="00531570" w:rsidP="00D03F3E">
            <w:pPr>
              <w:pStyle w:val="Iauiue"/>
              <w:jc w:val="both"/>
              <w:rPr>
                <w:color w:val="000000" w:themeColor="text1"/>
                <w:sz w:val="16"/>
                <w:szCs w:val="16"/>
              </w:rPr>
            </w:pPr>
          </w:p>
        </w:tc>
        <w:tc>
          <w:tcPr>
            <w:tcW w:w="1985" w:type="dxa"/>
          </w:tcPr>
          <w:p w14:paraId="125A750A" w14:textId="77777777" w:rsidR="00531570" w:rsidRPr="00D03F3E" w:rsidRDefault="00531570" w:rsidP="00D03F3E">
            <w:pPr>
              <w:pStyle w:val="Iauiue"/>
              <w:jc w:val="both"/>
              <w:rPr>
                <w:color w:val="000000" w:themeColor="text1"/>
                <w:sz w:val="16"/>
                <w:szCs w:val="16"/>
              </w:rPr>
            </w:pPr>
          </w:p>
        </w:tc>
      </w:tr>
      <w:tr w:rsidR="00860B4B" w:rsidRPr="00D03F3E" w14:paraId="2BDD647A" w14:textId="77777777">
        <w:tc>
          <w:tcPr>
            <w:tcW w:w="3736" w:type="dxa"/>
          </w:tcPr>
          <w:p w14:paraId="06A58E2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снаружи</w:t>
            </w:r>
          </w:p>
        </w:tc>
        <w:tc>
          <w:tcPr>
            <w:tcW w:w="2042" w:type="dxa"/>
          </w:tcPr>
          <w:p w14:paraId="184C5E3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1985" w:type="dxa"/>
          </w:tcPr>
          <w:p w14:paraId="44C7463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 и 500</w:t>
            </w:r>
          </w:p>
        </w:tc>
      </w:tr>
      <w:tr w:rsidR="00860B4B" w:rsidRPr="00D03F3E" w14:paraId="5EAFADF0" w14:textId="77777777">
        <w:tc>
          <w:tcPr>
            <w:tcW w:w="3736" w:type="dxa"/>
          </w:tcPr>
          <w:p w14:paraId="6764748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внутри</w:t>
            </w:r>
          </w:p>
        </w:tc>
        <w:tc>
          <w:tcPr>
            <w:tcW w:w="2042" w:type="dxa"/>
          </w:tcPr>
          <w:p w14:paraId="13D6976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нет</w:t>
            </w:r>
          </w:p>
        </w:tc>
        <w:tc>
          <w:tcPr>
            <w:tcW w:w="1985" w:type="dxa"/>
          </w:tcPr>
          <w:p w14:paraId="2A7B7E7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r>
      <w:tr w:rsidR="00860B4B" w:rsidRPr="00D03F3E" w14:paraId="07CBA977" w14:textId="77777777">
        <w:tc>
          <w:tcPr>
            <w:tcW w:w="3736" w:type="dxa"/>
          </w:tcPr>
          <w:p w14:paraId="14B0C30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Нагрузка на 1 кв. м</w:t>
            </w:r>
          </w:p>
        </w:tc>
        <w:tc>
          <w:tcPr>
            <w:tcW w:w="2042" w:type="dxa"/>
          </w:tcPr>
          <w:p w14:paraId="5C37B50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135</w:t>
            </w:r>
          </w:p>
        </w:tc>
        <w:tc>
          <w:tcPr>
            <w:tcW w:w="1985" w:type="dxa"/>
          </w:tcPr>
          <w:p w14:paraId="60285ED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138</w:t>
            </w:r>
          </w:p>
        </w:tc>
      </w:tr>
      <w:tr w:rsidR="00860B4B" w:rsidRPr="00D03F3E" w14:paraId="21D9E54C" w14:textId="77777777">
        <w:tc>
          <w:tcPr>
            <w:tcW w:w="3736" w:type="dxa"/>
          </w:tcPr>
          <w:p w14:paraId="2B30ECA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Нагрузка на лс</w:t>
            </w:r>
          </w:p>
        </w:tc>
        <w:tc>
          <w:tcPr>
            <w:tcW w:w="2042" w:type="dxa"/>
          </w:tcPr>
          <w:p w14:paraId="0EF3CC3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4,3</w:t>
            </w:r>
          </w:p>
        </w:tc>
        <w:tc>
          <w:tcPr>
            <w:tcW w:w="1985" w:type="dxa"/>
          </w:tcPr>
          <w:p w14:paraId="39EF068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4,25</w:t>
            </w:r>
          </w:p>
        </w:tc>
      </w:tr>
      <w:tr w:rsidR="00860B4B" w:rsidRPr="00D03F3E" w14:paraId="3AF31355" w14:textId="77777777">
        <w:tc>
          <w:tcPr>
            <w:tcW w:w="3736" w:type="dxa"/>
          </w:tcPr>
          <w:p w14:paraId="3F3E6B4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на о</w:t>
            </w:r>
          </w:p>
        </w:tc>
        <w:tc>
          <w:tcPr>
            <w:tcW w:w="2042" w:type="dxa"/>
          </w:tcPr>
          <w:p w14:paraId="58A748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330</w:t>
            </w:r>
          </w:p>
        </w:tc>
        <w:tc>
          <w:tcPr>
            <w:tcW w:w="1985" w:type="dxa"/>
          </w:tcPr>
          <w:p w14:paraId="24A3CCC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341</w:t>
            </w:r>
          </w:p>
        </w:tc>
      </w:tr>
      <w:tr w:rsidR="00860B4B" w:rsidRPr="00D03F3E" w14:paraId="22125B12" w14:textId="77777777">
        <w:tc>
          <w:tcPr>
            <w:tcW w:w="3736" w:type="dxa"/>
          </w:tcPr>
          <w:p w14:paraId="1A396A1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1000</w:t>
            </w:r>
          </w:p>
        </w:tc>
        <w:tc>
          <w:tcPr>
            <w:tcW w:w="2042" w:type="dxa"/>
          </w:tcPr>
          <w:p w14:paraId="27A7AF6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347</w:t>
            </w:r>
          </w:p>
        </w:tc>
        <w:tc>
          <w:tcPr>
            <w:tcW w:w="1985" w:type="dxa"/>
          </w:tcPr>
          <w:p w14:paraId="6700BAF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355</w:t>
            </w:r>
          </w:p>
        </w:tc>
      </w:tr>
      <w:tr w:rsidR="00860B4B" w:rsidRPr="00D03F3E" w14:paraId="40684BB9" w14:textId="77777777">
        <w:tc>
          <w:tcPr>
            <w:tcW w:w="3736" w:type="dxa"/>
          </w:tcPr>
          <w:p w14:paraId="353C8F3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3000</w:t>
            </w:r>
          </w:p>
        </w:tc>
        <w:tc>
          <w:tcPr>
            <w:tcW w:w="2042" w:type="dxa"/>
          </w:tcPr>
          <w:p w14:paraId="6F4FFED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368</w:t>
            </w:r>
          </w:p>
        </w:tc>
        <w:tc>
          <w:tcPr>
            <w:tcW w:w="1985" w:type="dxa"/>
          </w:tcPr>
          <w:p w14:paraId="6AF126B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384</w:t>
            </w:r>
          </w:p>
        </w:tc>
      </w:tr>
      <w:tr w:rsidR="00860B4B" w:rsidRPr="00D03F3E" w14:paraId="2F635523" w14:textId="77777777">
        <w:tc>
          <w:tcPr>
            <w:tcW w:w="3736" w:type="dxa"/>
          </w:tcPr>
          <w:p w14:paraId="7C2DC60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5000</w:t>
            </w:r>
          </w:p>
        </w:tc>
        <w:tc>
          <w:tcPr>
            <w:tcW w:w="2042" w:type="dxa"/>
          </w:tcPr>
          <w:p w14:paraId="0313FCB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393</w:t>
            </w:r>
          </w:p>
        </w:tc>
        <w:tc>
          <w:tcPr>
            <w:tcW w:w="1985" w:type="dxa"/>
          </w:tcPr>
          <w:p w14:paraId="30D325F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392</w:t>
            </w:r>
          </w:p>
        </w:tc>
      </w:tr>
      <w:tr w:rsidR="00860B4B" w:rsidRPr="00D03F3E" w14:paraId="3B08BCC2" w14:textId="77777777">
        <w:tc>
          <w:tcPr>
            <w:tcW w:w="3736" w:type="dxa"/>
          </w:tcPr>
          <w:p w14:paraId="10C5EE3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6000</w:t>
            </w:r>
          </w:p>
        </w:tc>
        <w:tc>
          <w:tcPr>
            <w:tcW w:w="2042" w:type="dxa"/>
          </w:tcPr>
          <w:p w14:paraId="145181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396</w:t>
            </w:r>
          </w:p>
        </w:tc>
        <w:tc>
          <w:tcPr>
            <w:tcW w:w="1985" w:type="dxa"/>
          </w:tcPr>
          <w:p w14:paraId="15ECDD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403</w:t>
            </w:r>
          </w:p>
        </w:tc>
      </w:tr>
      <w:tr w:rsidR="00860B4B" w:rsidRPr="00D03F3E" w14:paraId="10F178AB" w14:textId="77777777">
        <w:tc>
          <w:tcPr>
            <w:tcW w:w="3736" w:type="dxa"/>
          </w:tcPr>
          <w:p w14:paraId="593E24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7000</w:t>
            </w:r>
          </w:p>
        </w:tc>
        <w:tc>
          <w:tcPr>
            <w:tcW w:w="2042" w:type="dxa"/>
          </w:tcPr>
          <w:p w14:paraId="401ACE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378</w:t>
            </w:r>
          </w:p>
        </w:tc>
        <w:tc>
          <w:tcPr>
            <w:tcW w:w="1985" w:type="dxa"/>
          </w:tcPr>
          <w:p w14:paraId="5F746F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398</w:t>
            </w:r>
          </w:p>
        </w:tc>
      </w:tr>
      <w:tr w:rsidR="00860B4B" w:rsidRPr="00D03F3E" w14:paraId="100FD7F8" w14:textId="77777777">
        <w:tc>
          <w:tcPr>
            <w:tcW w:w="3736" w:type="dxa"/>
          </w:tcPr>
          <w:p w14:paraId="1AAEFB4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2-й гр. высотности</w:t>
            </w:r>
          </w:p>
        </w:tc>
        <w:tc>
          <w:tcPr>
            <w:tcW w:w="2042" w:type="dxa"/>
          </w:tcPr>
          <w:p w14:paraId="45E9E33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400/5700</w:t>
            </w:r>
          </w:p>
        </w:tc>
        <w:tc>
          <w:tcPr>
            <w:tcW w:w="1985" w:type="dxa"/>
          </w:tcPr>
          <w:p w14:paraId="38BEF02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406/6400</w:t>
            </w:r>
          </w:p>
        </w:tc>
      </w:tr>
      <w:tr w:rsidR="00860B4B" w:rsidRPr="00D03F3E" w14:paraId="1A49E4E3" w14:textId="77777777">
        <w:tc>
          <w:tcPr>
            <w:tcW w:w="3736" w:type="dxa"/>
          </w:tcPr>
          <w:p w14:paraId="4ADD09B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Время набора 5000</w:t>
            </w:r>
          </w:p>
        </w:tc>
        <w:tc>
          <w:tcPr>
            <w:tcW w:w="2042" w:type="dxa"/>
          </w:tcPr>
          <w:p w14:paraId="1CCB0D1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w:t>
            </w:r>
          </w:p>
        </w:tc>
        <w:tc>
          <w:tcPr>
            <w:tcW w:w="1985" w:type="dxa"/>
          </w:tcPr>
          <w:p w14:paraId="34C23A7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16,1</w:t>
            </w:r>
          </w:p>
        </w:tc>
      </w:tr>
      <w:tr w:rsidR="00860B4B" w:rsidRPr="00D03F3E" w14:paraId="7ECB4EC5" w14:textId="77777777">
        <w:tc>
          <w:tcPr>
            <w:tcW w:w="3736" w:type="dxa"/>
          </w:tcPr>
          <w:p w14:paraId="1FDEA36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Пактический потолок</w:t>
            </w:r>
          </w:p>
        </w:tc>
        <w:tc>
          <w:tcPr>
            <w:tcW w:w="2042" w:type="dxa"/>
          </w:tcPr>
          <w:p w14:paraId="3B2F25B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8750</w:t>
            </w:r>
          </w:p>
        </w:tc>
        <w:tc>
          <w:tcPr>
            <w:tcW w:w="1985" w:type="dxa"/>
          </w:tcPr>
          <w:p w14:paraId="1AC7D1E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8750</w:t>
            </w:r>
          </w:p>
        </w:tc>
      </w:tr>
      <w:tr w:rsidR="00860B4B" w:rsidRPr="00D03F3E" w14:paraId="7C0B741A" w14:textId="77777777">
        <w:tc>
          <w:tcPr>
            <w:tcW w:w="3736" w:type="dxa"/>
          </w:tcPr>
          <w:p w14:paraId="5899D7F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Разбег</w:t>
            </w:r>
          </w:p>
        </w:tc>
        <w:tc>
          <w:tcPr>
            <w:tcW w:w="2042" w:type="dxa"/>
          </w:tcPr>
          <w:p w14:paraId="20FE4CD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560/11000</w:t>
            </w:r>
          </w:p>
        </w:tc>
        <w:tc>
          <w:tcPr>
            <w:tcW w:w="1985" w:type="dxa"/>
          </w:tcPr>
          <w:p w14:paraId="56D6732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530</w:t>
            </w:r>
          </w:p>
        </w:tc>
      </w:tr>
      <w:tr w:rsidR="00860B4B" w:rsidRPr="00D03F3E" w14:paraId="14C18C7E" w14:textId="77777777">
        <w:tc>
          <w:tcPr>
            <w:tcW w:w="3736" w:type="dxa"/>
          </w:tcPr>
          <w:p w14:paraId="5E7215B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Вздллетная дистанция</w:t>
            </w:r>
          </w:p>
        </w:tc>
        <w:tc>
          <w:tcPr>
            <w:tcW w:w="2042" w:type="dxa"/>
          </w:tcPr>
          <w:p w14:paraId="59B7C22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1200</w:t>
            </w:r>
          </w:p>
        </w:tc>
        <w:tc>
          <w:tcPr>
            <w:tcW w:w="1985" w:type="dxa"/>
          </w:tcPr>
          <w:p w14:paraId="79A0469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1400</w:t>
            </w:r>
          </w:p>
        </w:tc>
      </w:tr>
      <w:tr w:rsidR="00860B4B" w:rsidRPr="00D03F3E" w14:paraId="6B6D42D8" w14:textId="77777777">
        <w:tc>
          <w:tcPr>
            <w:tcW w:w="3736" w:type="dxa"/>
          </w:tcPr>
          <w:p w14:paraId="60376BB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Пробег</w:t>
            </w:r>
          </w:p>
        </w:tc>
        <w:tc>
          <w:tcPr>
            <w:tcW w:w="2042" w:type="dxa"/>
          </w:tcPr>
          <w:p w14:paraId="492BBF7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495</w:t>
            </w:r>
          </w:p>
        </w:tc>
        <w:tc>
          <w:tcPr>
            <w:tcW w:w="1985" w:type="dxa"/>
          </w:tcPr>
          <w:p w14:paraId="2E5E1C3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410</w:t>
            </w:r>
          </w:p>
        </w:tc>
      </w:tr>
      <w:tr w:rsidR="00860B4B" w:rsidRPr="00D03F3E" w14:paraId="762DA53C" w14:textId="77777777">
        <w:tc>
          <w:tcPr>
            <w:tcW w:w="3736" w:type="dxa"/>
          </w:tcPr>
          <w:p w14:paraId="59AA42A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Посадочная скорость</w:t>
            </w:r>
          </w:p>
        </w:tc>
        <w:tc>
          <w:tcPr>
            <w:tcW w:w="2042" w:type="dxa"/>
          </w:tcPr>
          <w:p w14:paraId="73CB764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133</w:t>
            </w:r>
          </w:p>
        </w:tc>
        <w:tc>
          <w:tcPr>
            <w:tcW w:w="1985" w:type="dxa"/>
          </w:tcPr>
          <w:p w14:paraId="5F846BE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129</w:t>
            </w:r>
          </w:p>
        </w:tc>
      </w:tr>
      <w:tr w:rsidR="00860B4B" w:rsidRPr="00D03F3E" w14:paraId="4BE7840F" w14:textId="77777777">
        <w:tc>
          <w:tcPr>
            <w:tcW w:w="3736" w:type="dxa"/>
            <w:tcBorders>
              <w:bottom w:val="single" w:sz="12" w:space="0" w:color="auto"/>
            </w:tcBorders>
          </w:tcPr>
          <w:p w14:paraId="5028E0D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Дальность</w:t>
            </w:r>
          </w:p>
        </w:tc>
        <w:tc>
          <w:tcPr>
            <w:tcW w:w="2042" w:type="dxa"/>
            <w:tcBorders>
              <w:bottom w:val="single" w:sz="12" w:space="0" w:color="auto"/>
            </w:tcBorders>
          </w:tcPr>
          <w:p w14:paraId="4B465D4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2300 на 0,9 на 5000 м</w:t>
            </w:r>
          </w:p>
        </w:tc>
        <w:tc>
          <w:tcPr>
            <w:tcW w:w="1985" w:type="dxa"/>
            <w:tcBorders>
              <w:bottom w:val="single" w:sz="12" w:space="0" w:color="auto"/>
            </w:tcBorders>
          </w:tcPr>
          <w:p w14:paraId="6574C647" w14:textId="77777777" w:rsidR="00531570" w:rsidRPr="00D03F3E" w:rsidRDefault="00531570" w:rsidP="00D03F3E">
            <w:pPr>
              <w:pStyle w:val="Iauiue"/>
              <w:jc w:val="both"/>
              <w:rPr>
                <w:color w:val="000000" w:themeColor="text1"/>
                <w:sz w:val="16"/>
                <w:szCs w:val="16"/>
              </w:rPr>
            </w:pPr>
          </w:p>
        </w:tc>
      </w:tr>
    </w:tbl>
    <w:p w14:paraId="0BC20D5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Выводы:</w:t>
      </w:r>
    </w:p>
    <w:p w14:paraId="2E87816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Хе-11 меньше скорости Ил-4 у земли на 11, на 3000 м на 16, на 7000 на 19, время набора 5000 больше на 3,9, пробег и разбег практически одинаковы</w:t>
      </w:r>
    </w:p>
    <w:p w14:paraId="1F7D07D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вооружению Н-11 является одной из последних модификаций Хе-111 (усиление огневой защиты в секторах наиболее вероятных атак передней, нижней т верхней задней полусферы), замена простых кольцевых прицелов с мушкой коллиматорными прицелами с механизмом стабилизации вектора собственной скорости с-та, рост числа патронов для всех пулеметов с доведением времени непрерывной стрельюы до 75 сек. (на отечественных с-тах это время в среднем 15 сек.). Увеличение бомбовой нагрузки и калибра бомб (внутрення подвеска требует сложной конструктивной переделки). Исходя из условий прочности с-та и обеспечения взлета с перегрузкой (до 14000 - 15000 м) можно предвидеть бомбовую нагрузку до 3000 кг.</w:t>
      </w:r>
    </w:p>
    <w:p w14:paraId="1AA39E4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технике прилотирования с-т прост. Обладает хорошей управляемостью и устойчивостью. Доступен л средней квалификации. Удобен для л. Обзор - хорош. Расположение ручек управления и приборов хорошо и обеспечивает выполнение полетов днем и ночью на всех высотах в длительных полетах. Расположение экипажа в д-х местной кабине рядом при наличии свободного прозода из кабины в кабину увеличивает его боеспособность, позволяя осуществлять взаимопомощь и хорошую непосредственную связь. Бронирование экипажа не является удовлетворительным (толщина брони 10 мм и нет защиты сверху и сзади).</w:t>
      </w:r>
    </w:p>
    <w:p w14:paraId="11FAC57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ВМГ достаточна надежна и проста в эксплуатации.</w:t>
      </w:r>
    </w:p>
    <w:p w14:paraId="5C76DD6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ВМГ имеет ряд положительных сторон, отсутствующих на наших с-тах. Основные из них:</w:t>
      </w:r>
    </w:p>
    <w:p w14:paraId="571934A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наличие автомата переключения скоростей нагнетателя, флегирования винтов, аварийного слива горючего при помощи выдавливания горючего из бака нейтральным газом, применением ацетилена для холодного запуска моторов, наличие расходометров горючего, показывающих расход горючего при юбом режиме работы мотора в литровом исчислении, возможность замены моторов вместе с подмоторной рамой и со смонтированными на них агрегатами.</w:t>
      </w:r>
    </w:p>
    <w:p w14:paraId="7D04C76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Подписали Грибакин 17 и Ашитков 19 июня 1943</w:t>
      </w:r>
    </w:p>
    <w:p w14:paraId="3B6275C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Из Заключения:</w:t>
      </w:r>
    </w:p>
    <w:p w14:paraId="4B4C8E4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Макс. скорость Хе-11 меньше скорости Ил-4 у земли на 11, на 3000 м на 16, на 7000 на 19, время набора 5000 больше на 3,9, пробег и разбег практически одинаковы</w:t>
      </w:r>
    </w:p>
    <w:p w14:paraId="52FB553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ВМГ, спецоборудование и вооружение Хе-11 Н-11 в сравнении с Хе-111 прежних выпусков значительно улучшились</w:t>
      </w:r>
    </w:p>
    <w:p w14:paraId="0F002E5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Для изучения отечественной промышленностью представляют интерес:</w:t>
      </w:r>
    </w:p>
    <w:p w14:paraId="14FF7F6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автомат переключения скорости нагнетателя</w:t>
      </w:r>
    </w:p>
    <w:p w14:paraId="28C74F3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дистанционные установки винта Юнкерс 11 во флюгерное положение</w:t>
      </w:r>
    </w:p>
    <w:p w14:paraId="0135A3D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система холодного запуска моторов на ацетитене</w:t>
      </w:r>
    </w:p>
    <w:p w14:paraId="01DAC91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система авиарийного слива горючего</w:t>
      </w:r>
    </w:p>
    <w:p w14:paraId="41625A3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электрические расходомеры горючего</w:t>
      </w:r>
    </w:p>
    <w:p w14:paraId="752BDE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автоматический РПК</w:t>
      </w:r>
    </w:p>
    <w:p w14:paraId="2F13639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точный электрический высотомер</w:t>
      </w:r>
    </w:p>
    <w:p w14:paraId="15E074B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электрическая установка мотор-генератор</w:t>
      </w:r>
    </w:p>
    <w:p w14:paraId="5EE9862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Подписано 19 июня 1943 (797,3).</w:t>
      </w:r>
    </w:p>
    <w:p w14:paraId="3FCCC742" w14:textId="77777777" w:rsidR="00531570" w:rsidRPr="00D03F3E" w:rsidRDefault="00531570" w:rsidP="00D03F3E">
      <w:pPr>
        <w:pStyle w:val="Iauiue"/>
        <w:jc w:val="both"/>
        <w:rPr>
          <w:color w:val="000000" w:themeColor="text1"/>
          <w:sz w:val="16"/>
          <w:szCs w:val="16"/>
        </w:rPr>
      </w:pPr>
    </w:p>
    <w:p w14:paraId="2E050C3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мая 1943 Зам. Нач. 7 ГУ Алексеев писал НКАП А.И.Ш. справку:</w:t>
      </w:r>
    </w:p>
    <w:p w14:paraId="12B165C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германском самолете с реактивным двигателем</w:t>
      </w:r>
    </w:p>
    <w:p w14:paraId="3A9A630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Докладываю о полученных сведениях Разведывательного Отдела Штаба ВВС КА по германскому реактивному самолету:</w:t>
      </w:r>
    </w:p>
    <w:p w14:paraId="4FD6C8C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Фирмой Хейнкель сконструирован самолет Не-280 о двумя реактивными двигателями, являющийся дальнейшим развитием первого германского реактивного самолета Не-180.</w:t>
      </w:r>
    </w:p>
    <w:p w14:paraId="7DE273E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Не-280 - моноплан, со средним расположением крыла, имекшмм размах 11 м. Первые сведения по этому самолету появились в 1940 г. и с тех пор новых подробностей по нему не было получено. В захваченных в 1942 г, на Среднем Востоке документах упоминается о самолете Не-280, однако, без указании на то, имеет ли этот самолет реактивный двигатель или двигатель обычно применяемого типа.</w:t>
      </w:r>
    </w:p>
    <w:p w14:paraId="73865D4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Приводится сообщение о том, что при фотосъемке аэродрома фирмы Хейнкель в Ростоке в1943 г. был зафиксирован самолет с аналогичьим размахом крыла и с двойным стабилизаторами и рулями, не может рассматриваться, как прямое указание на то, что на аэродроме в это вромя находился именно само</w:t>
      </w:r>
      <w:r w:rsidRPr="00D03F3E">
        <w:rPr>
          <w:rFonts w:ascii="Times New Roman" w:hAnsi="Times New Roman"/>
          <w:color w:val="000000" w:themeColor="text1"/>
          <w:sz w:val="16"/>
          <w:szCs w:val="16"/>
        </w:rPr>
        <w:softHyphen/>
        <w:t>лет Не-280, так как иногие типы истребителей и учебно-тренировочных самоле</w:t>
      </w:r>
      <w:r w:rsidRPr="00D03F3E">
        <w:rPr>
          <w:rFonts w:ascii="Times New Roman" w:hAnsi="Times New Roman"/>
          <w:color w:val="000000" w:themeColor="text1"/>
          <w:sz w:val="16"/>
          <w:szCs w:val="16"/>
        </w:rPr>
        <w:softHyphen/>
        <w:t>тов имеют размах около 11 м.</w:t>
      </w:r>
    </w:p>
    <w:p w14:paraId="04B57BA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Сделав анализ собранных данных, Разведывательный Отдел установил, что самолет Не-280 доляен обладать следующими летными характеристиками:</w:t>
      </w:r>
    </w:p>
    <w:p w14:paraId="4156AB0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Скорость у земли - 710 км/час.</w:t>
      </w:r>
    </w:p>
    <w:p w14:paraId="34EC568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на высоте 9150 м. - 790</w:t>
      </w:r>
    </w:p>
    <w:p w14:paraId="69C0663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Скоропод"емность у земля - 17,8 м/сек.</w:t>
      </w:r>
    </w:p>
    <w:p w14:paraId="151E186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Скоропод"емность на высо</w:t>
      </w:r>
      <w:r w:rsidRPr="00D03F3E">
        <w:rPr>
          <w:rFonts w:ascii="Times New Roman" w:hAnsi="Times New Roman"/>
          <w:color w:val="000000" w:themeColor="text1"/>
          <w:sz w:val="16"/>
          <w:szCs w:val="16"/>
        </w:rPr>
        <w:softHyphen/>
        <w:t>те 9150 м. - 7,5</w:t>
      </w:r>
    </w:p>
    <w:p w14:paraId="3E9B321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Потолок теоретический - 14300 м.</w:t>
      </w:r>
    </w:p>
    <w:p w14:paraId="62DE3E5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Основываясь на имеющихся сообщениях, Разведывательный Отдел Штаба ВВС КА считает вероятным появление </w:t>
      </w:r>
      <w:r w:rsidRPr="00D03F3E">
        <w:rPr>
          <w:rFonts w:ascii="Times New Roman" w:hAnsi="Times New Roman"/>
          <w:smallCaps/>
          <w:color w:val="000000" w:themeColor="text1"/>
          <w:sz w:val="16"/>
          <w:szCs w:val="16"/>
        </w:rPr>
        <w:t xml:space="preserve">б </w:t>
      </w:r>
      <w:r w:rsidRPr="00D03F3E">
        <w:rPr>
          <w:rFonts w:ascii="Times New Roman" w:hAnsi="Times New Roman"/>
          <w:color w:val="000000" w:themeColor="text1"/>
          <w:sz w:val="16"/>
          <w:szCs w:val="16"/>
        </w:rPr>
        <w:t>1943 г. экспериментальных образцов реактивного самолета фириы Хейкель (1458,143).</w:t>
      </w:r>
    </w:p>
    <w:p w14:paraId="0309F46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2FF21618"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lastRenderedPageBreak/>
        <w:t>Другие оборонные отрасли:</w:t>
      </w:r>
    </w:p>
    <w:p w14:paraId="7546682A" w14:textId="77777777" w:rsidR="00531570" w:rsidRPr="00D03F3E" w:rsidRDefault="00531570" w:rsidP="00D03F3E">
      <w:pPr>
        <w:pStyle w:val="Iauiue"/>
        <w:jc w:val="both"/>
        <w:rPr>
          <w:iCs/>
          <w:color w:val="000000" w:themeColor="text1"/>
          <w:sz w:val="16"/>
          <w:szCs w:val="16"/>
        </w:rPr>
      </w:pPr>
    </w:p>
    <w:p w14:paraId="2917151C" w14:textId="77777777" w:rsidR="002A10B9" w:rsidRPr="00D03F3E" w:rsidRDefault="002A10B9"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13 мая 1943 года в Ка</w:t>
      </w:r>
      <w:r w:rsidRPr="00D03F3E">
        <w:rPr>
          <w:rFonts w:ascii="Times New Roman" w:cs="Times New Roman"/>
          <w:color w:val="000000" w:themeColor="text1"/>
          <w:spacing w:val="0"/>
        </w:rPr>
        <w:softHyphen/>
        <w:t xml:space="preserve">зань был направлен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с за</w:t>
      </w:r>
      <w:r w:rsidRPr="00D03F3E">
        <w:rPr>
          <w:rFonts w:ascii="Times New Roman" w:cs="Times New Roman"/>
          <w:color w:val="000000" w:themeColor="text1"/>
          <w:spacing w:val="0"/>
        </w:rPr>
        <w:softHyphen/>
        <w:t>водским № 30430, выделенный для испытаний. Машина находилась в пробегах с 20 мая по 19 июня 1943 года. На 1040 километре пробега испытания были прекращены из-за поломки двигателя, про</w:t>
      </w:r>
      <w:r w:rsidRPr="00D03F3E">
        <w:rPr>
          <w:rFonts w:ascii="Times New Roman" w:cs="Times New Roman"/>
          <w:color w:val="000000" w:themeColor="text1"/>
          <w:spacing w:val="0"/>
        </w:rPr>
        <w:softHyphen/>
        <w:t>работавшего 84 часа. При этом все агрегаты танка, за исключением двигателя, ведомого барабана главного фрикциона и бронзовых конусов со ступицей вентилятора «по сво</w:t>
      </w:r>
      <w:r w:rsidRPr="00D03F3E">
        <w:rPr>
          <w:rFonts w:ascii="Times New Roman" w:cs="Times New Roman"/>
          <w:color w:val="000000" w:themeColor="text1"/>
          <w:spacing w:val="0"/>
        </w:rPr>
        <w:softHyphen/>
        <w:t>ей прочности обеспечивали бесперебойную эксплуатацию танка в пределах пройденного километража». Среди недостатков, снижав</w:t>
      </w:r>
      <w:r w:rsidRPr="00D03F3E">
        <w:rPr>
          <w:rFonts w:ascii="Times New Roman" w:cs="Times New Roman"/>
          <w:color w:val="000000" w:themeColor="text1"/>
          <w:spacing w:val="0"/>
        </w:rPr>
        <w:softHyphen/>
        <w:t xml:space="preserve">ших надежность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отмечались низкое качество крепежных соединений и «слабый контроль за монтажом танка на заводе». Ко</w:t>
      </w:r>
      <w:r w:rsidRPr="00D03F3E">
        <w:rPr>
          <w:rFonts w:ascii="Times New Roman" w:cs="Times New Roman"/>
          <w:color w:val="000000" w:themeColor="text1"/>
          <w:spacing w:val="0"/>
        </w:rPr>
        <w:softHyphen/>
        <w:t>миссия, проводившая испытания, рекомен</w:t>
      </w:r>
      <w:r w:rsidRPr="00D03F3E">
        <w:rPr>
          <w:rFonts w:ascii="Times New Roman" w:cs="Times New Roman"/>
          <w:color w:val="000000" w:themeColor="text1"/>
          <w:spacing w:val="0"/>
        </w:rPr>
        <w:softHyphen/>
        <w:t>довала улучшить работу воздухоочистителя, повысить прочность ступицы ведомого бара</w:t>
      </w:r>
      <w:r w:rsidRPr="00D03F3E">
        <w:rPr>
          <w:rFonts w:ascii="Times New Roman" w:cs="Times New Roman"/>
          <w:color w:val="000000" w:themeColor="text1"/>
          <w:spacing w:val="0"/>
        </w:rPr>
        <w:softHyphen/>
        <w:t>бана главного фрикциона и улучшить каче</w:t>
      </w:r>
      <w:r w:rsidRPr="00D03F3E">
        <w:rPr>
          <w:rFonts w:ascii="Times New Roman" w:cs="Times New Roman"/>
          <w:color w:val="000000" w:themeColor="text1"/>
          <w:spacing w:val="0"/>
        </w:rPr>
        <w:softHyphen/>
        <w:t>ство подгонки ступицы вентилятора и затяж</w:t>
      </w:r>
      <w:r w:rsidRPr="00D03F3E">
        <w:rPr>
          <w:rFonts w:ascii="Times New Roman" w:cs="Times New Roman"/>
          <w:color w:val="000000" w:themeColor="text1"/>
          <w:spacing w:val="0"/>
        </w:rPr>
        <w:softHyphen/>
        <w:t>ку бронзовых конусов. В выводах по испыта</w:t>
      </w:r>
      <w:r w:rsidRPr="00D03F3E">
        <w:rPr>
          <w:rFonts w:ascii="Times New Roman" w:cs="Times New Roman"/>
          <w:color w:val="000000" w:themeColor="text1"/>
          <w:spacing w:val="0"/>
        </w:rPr>
        <w:softHyphen/>
        <w:t>ниям отмечалось:</w:t>
      </w:r>
    </w:p>
    <w:p w14:paraId="7591A4C4" w14:textId="77777777" w:rsidR="002A10B9" w:rsidRPr="00D03F3E" w:rsidRDefault="002A10B9"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«Двигатель по своей долговечности и бес</w:t>
      </w:r>
      <w:r w:rsidRPr="00D03F3E">
        <w:rPr>
          <w:rFonts w:ascii="Times New Roman" w:cs="Times New Roman"/>
          <w:color w:val="000000" w:themeColor="text1"/>
          <w:spacing w:val="0"/>
        </w:rPr>
        <w:softHyphen/>
        <w:t>перебойности в работе не обеспечивает на</w:t>
      </w:r>
      <w:r w:rsidRPr="00D03F3E">
        <w:rPr>
          <w:rFonts w:ascii="Times New Roman" w:cs="Times New Roman"/>
          <w:color w:val="000000" w:themeColor="text1"/>
          <w:spacing w:val="0"/>
        </w:rPr>
        <w:softHyphen/>
        <w:t>дежности танка в эксплуатации в пределах гарантийного километража. Он не выдержал испытаний из-за преждевременного износа поршневой группы.</w:t>
      </w:r>
    </w:p>
    <w:p w14:paraId="6F6AEBFC" w14:textId="77777777" w:rsidR="002A10B9" w:rsidRPr="00D03F3E" w:rsidRDefault="002A10B9"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Вентилятор — надежен в работе, слабое ме</w:t>
      </w:r>
      <w:r w:rsidRPr="00D03F3E">
        <w:rPr>
          <w:rFonts w:ascii="Times New Roman" w:cs="Times New Roman"/>
          <w:color w:val="000000" w:themeColor="text1"/>
          <w:spacing w:val="0"/>
        </w:rPr>
        <w:softHyphen/>
        <w:t>сто — бронзовые конуса и ступица.</w:t>
      </w:r>
    </w:p>
    <w:p w14:paraId="73EC1B41" w14:textId="77777777" w:rsidR="002A10B9" w:rsidRPr="00D03F3E" w:rsidRDefault="002A10B9"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Главный фрикцион испытаний не выдер</w:t>
      </w:r>
      <w:r w:rsidRPr="00D03F3E">
        <w:rPr>
          <w:rFonts w:ascii="Times New Roman" w:cs="Times New Roman"/>
          <w:color w:val="000000" w:themeColor="text1"/>
          <w:spacing w:val="0"/>
        </w:rPr>
        <w:softHyphen/>
        <w:t>жал. Слабое место - ступица ведомого ба</w:t>
      </w:r>
      <w:r w:rsidRPr="00D03F3E">
        <w:rPr>
          <w:rFonts w:ascii="Times New Roman" w:cs="Times New Roman"/>
          <w:color w:val="000000" w:themeColor="text1"/>
          <w:spacing w:val="0"/>
        </w:rPr>
        <w:softHyphen/>
        <w:t>рабана. Коробка перемены передач надежна в работе, и в пределах 1040 км регулировки не требовала. Вполне пригодна к дальнейшей эксплуатации.</w:t>
      </w:r>
    </w:p>
    <w:p w14:paraId="43DE7E6E" w14:textId="77777777" w:rsidR="002A10B9" w:rsidRPr="00D03F3E" w:rsidRDefault="002A10B9"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Фрикционы на всем протяжении работа</w:t>
      </w:r>
      <w:r w:rsidRPr="00D03F3E">
        <w:rPr>
          <w:rFonts w:ascii="Times New Roman" w:cs="Times New Roman"/>
          <w:color w:val="000000" w:themeColor="text1"/>
          <w:spacing w:val="0"/>
        </w:rPr>
        <w:softHyphen/>
        <w:t>ли надежно, и регулировки не требуют. Тор</w:t>
      </w:r>
      <w:r w:rsidRPr="00D03F3E">
        <w:rPr>
          <w:rFonts w:ascii="Times New Roman" w:cs="Times New Roman"/>
          <w:color w:val="000000" w:themeColor="text1"/>
          <w:spacing w:val="0"/>
        </w:rPr>
        <w:softHyphen/>
        <w:t>мозные ленты требуют регулировки через 50-100 км.</w:t>
      </w:r>
    </w:p>
    <w:p w14:paraId="49A51881" w14:textId="77777777" w:rsidR="002A10B9" w:rsidRPr="00D03F3E" w:rsidRDefault="002A10B9"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Бортовые редукторы надежны в работе.</w:t>
      </w:r>
    </w:p>
    <w:p w14:paraId="5DA9DED5" w14:textId="77777777" w:rsidR="002A10B9" w:rsidRPr="00D03F3E" w:rsidRDefault="002A10B9"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Подвеска танка все время эксплуатации прошла без поломок и неисправностей. Тор</w:t>
      </w:r>
      <w:r w:rsidRPr="00D03F3E">
        <w:rPr>
          <w:rFonts w:ascii="Times New Roman" w:cs="Times New Roman"/>
          <w:color w:val="000000" w:themeColor="text1"/>
          <w:spacing w:val="0"/>
        </w:rPr>
        <w:softHyphen/>
        <w:t>сионные валы не потеряли угла закрутки. Опорные катки - за период испытаний поло</w:t>
      </w:r>
      <w:r w:rsidRPr="00D03F3E">
        <w:rPr>
          <w:rFonts w:ascii="Times New Roman" w:cs="Times New Roman"/>
          <w:color w:val="000000" w:themeColor="text1"/>
          <w:spacing w:val="0"/>
        </w:rPr>
        <w:softHyphen/>
        <w:t>мок и неисправностей не имели. Поддержи</w:t>
      </w:r>
      <w:r w:rsidRPr="00D03F3E">
        <w:rPr>
          <w:rFonts w:ascii="Times New Roman" w:cs="Times New Roman"/>
          <w:color w:val="000000" w:themeColor="text1"/>
          <w:spacing w:val="0"/>
        </w:rPr>
        <w:softHyphen/>
        <w:t>вающие катки работали ненадежно из-за не</w:t>
      </w:r>
      <w:r w:rsidRPr="00D03F3E">
        <w:rPr>
          <w:rFonts w:ascii="Times New Roman" w:cs="Times New Roman"/>
          <w:color w:val="000000" w:themeColor="text1"/>
          <w:spacing w:val="0"/>
        </w:rPr>
        <w:softHyphen/>
        <w:t>достаточной прочности болтов крепления кронштейнов и их некачественной затяжки на заводе.</w:t>
      </w:r>
    </w:p>
    <w:p w14:paraId="58D686A4" w14:textId="77777777" w:rsidR="002A10B9" w:rsidRPr="00D03F3E" w:rsidRDefault="002A10B9"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Гусеница за период испытаний показала свою работоспособность без отрыва и разру</w:t>
      </w:r>
      <w:r w:rsidRPr="00D03F3E">
        <w:rPr>
          <w:rFonts w:ascii="Times New Roman" w:cs="Times New Roman"/>
          <w:color w:val="000000" w:themeColor="text1"/>
          <w:spacing w:val="0"/>
        </w:rPr>
        <w:softHyphen/>
        <w:t>шения отдельных пальцев и траков.</w:t>
      </w:r>
    </w:p>
    <w:p w14:paraId="38F825AF" w14:textId="77777777" w:rsidR="002A10B9" w:rsidRPr="00D03F3E" w:rsidRDefault="002A10B9"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Средняя скорость движения по проселоч</w:t>
      </w:r>
      <w:r w:rsidRPr="00D03F3E">
        <w:rPr>
          <w:rFonts w:ascii="Times New Roman" w:cs="Times New Roman"/>
          <w:color w:val="000000" w:themeColor="text1"/>
          <w:spacing w:val="0"/>
        </w:rPr>
        <w:softHyphen/>
        <w:t>ной дороге - 13,5 км/ч - удовлетворительна. Запас хода по проселочным дорогам 140 км является достаточным».</w:t>
      </w:r>
    </w:p>
    <w:p w14:paraId="22CA77D4" w14:textId="77777777" w:rsidR="002A10B9" w:rsidRPr="00D03F3E" w:rsidRDefault="002A10B9"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При стрельбе была получена скорострель</w:t>
      </w:r>
      <w:r w:rsidRPr="00D03F3E">
        <w:rPr>
          <w:rFonts w:ascii="Times New Roman" w:cs="Times New Roman"/>
          <w:color w:val="000000" w:themeColor="text1"/>
          <w:spacing w:val="0"/>
        </w:rPr>
        <w:softHyphen/>
        <w:t>ность 6-7 выстрелов в минуту с места, и 6 вы</w:t>
      </w:r>
      <w:r w:rsidRPr="00D03F3E">
        <w:rPr>
          <w:rFonts w:ascii="Times New Roman" w:cs="Times New Roman"/>
          <w:color w:val="000000" w:themeColor="text1"/>
          <w:spacing w:val="0"/>
        </w:rPr>
        <w:softHyphen/>
        <w:t>стрелов в минуту с хода (15226).</w:t>
      </w:r>
    </w:p>
    <w:p w14:paraId="4C63BDE8" w14:textId="77777777" w:rsidR="002A10B9" w:rsidRPr="00D03F3E" w:rsidRDefault="002A10B9" w:rsidP="00D03F3E">
      <w:pPr>
        <w:pStyle w:val="27"/>
        <w:shd w:val="clear" w:color="auto" w:fill="auto"/>
        <w:spacing w:after="0" w:line="240" w:lineRule="auto"/>
        <w:ind w:firstLine="0"/>
        <w:rPr>
          <w:rFonts w:ascii="Times New Roman" w:cs="Times New Roman"/>
          <w:color w:val="000000" w:themeColor="text1"/>
          <w:spacing w:val="0"/>
        </w:rPr>
      </w:pPr>
    </w:p>
    <w:p w14:paraId="29794878"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13 мая 1943 вышло Постановление ГКО № 3359 О развитии добычи угля открытым способом в Свердловской области. (7107, 22-30,31-41).</w:t>
      </w:r>
    </w:p>
    <w:p w14:paraId="2CDDFF9B" w14:textId="77777777" w:rsidR="00531570" w:rsidRPr="00D03F3E" w:rsidRDefault="00531570" w:rsidP="00D03F3E">
      <w:pPr>
        <w:pStyle w:val="Iauiue"/>
        <w:tabs>
          <w:tab w:val="left" w:pos="11199"/>
        </w:tabs>
        <w:jc w:val="both"/>
        <w:rPr>
          <w:color w:val="000000" w:themeColor="text1"/>
          <w:sz w:val="16"/>
          <w:szCs w:val="16"/>
        </w:rPr>
      </w:pPr>
    </w:p>
    <w:p w14:paraId="5BA3B93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мая 1943 вышло Постановление ГКО № 3359 О развитии добычи угля открытым способом в Свердловской области.РГАНИР, Фонд ГКО, д. 117, лл. 22-30, 31-41 (11012).</w:t>
      </w:r>
    </w:p>
    <w:p w14:paraId="33067AD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AA3FCA7"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13 мая 1943 вышло Постановление ГКО № 3360 О развитии добычи угля открытым способом в Челябинской области. (7107, 42-53,54-64).</w:t>
      </w:r>
    </w:p>
    <w:p w14:paraId="20204506" w14:textId="77777777" w:rsidR="00531570" w:rsidRPr="00D03F3E" w:rsidRDefault="00531570" w:rsidP="00D03F3E">
      <w:pPr>
        <w:pStyle w:val="Iauiue"/>
        <w:tabs>
          <w:tab w:val="left" w:pos="11199"/>
        </w:tabs>
        <w:jc w:val="both"/>
        <w:rPr>
          <w:color w:val="000000" w:themeColor="text1"/>
          <w:sz w:val="16"/>
          <w:szCs w:val="16"/>
        </w:rPr>
      </w:pPr>
    </w:p>
    <w:p w14:paraId="1104AD0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мая 1943 вышло Постановление ГКО № 3361 Об особых мерах по увеличению мощностей пороховой промышленности.РГАНИР, Фонд ГКО, д. 117, лл. 65-76, 77-111 (11012).</w:t>
      </w:r>
    </w:p>
    <w:p w14:paraId="7B6FBC90"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8A1CF49"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4299D772" w14:textId="77777777" w:rsidR="00531570" w:rsidRPr="00D03F3E" w:rsidRDefault="00531570" w:rsidP="00D03F3E">
      <w:pPr>
        <w:pStyle w:val="Iauiue"/>
        <w:jc w:val="both"/>
        <w:rPr>
          <w:iCs/>
          <w:color w:val="000000" w:themeColor="text1"/>
          <w:sz w:val="16"/>
          <w:szCs w:val="16"/>
        </w:rPr>
      </w:pPr>
    </w:p>
    <w:p w14:paraId="22EB0589"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мая в 1943 году утреннее сообщение Совинформбюро:</w:t>
      </w:r>
    </w:p>
    <w:p w14:paraId="2D40196F"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13 мая на Кубани, северо-восточнее Новороссийска, наши войска продолжали вести бои с противником. На других участках фронта ничего существенного не произошло.</w:t>
      </w:r>
    </w:p>
    <w:p w14:paraId="0F1C87CD"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северо-восточнее Новороссийска, артиллеристы Н-ского соединения разбили 11 немецких дзотов и 18 блиндажей, уничтожили 3 миномётные и 2 артиллерийские батареи противника. На другом участке немцы предприняли контратаку. Наши бойцы отбили контратаку гитлеровцев и уничтожила до роты пехоты противника.</w:t>
      </w:r>
    </w:p>
    <w:p w14:paraId="54927A18"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противник после ожесточённого боя ворвался на окраины населённого пункта, занятого на днях нашими подразделениями. В упорных уличных схватках советские бойцы измотали немцев, а затем решительной атакой выбили их из населённого пункта. Преследуя противника, наши подразделения овладели высотой, имеющей важное значение. B этом бою уничтожено до 400 немецких солдат и офицеров. Захвачен в плен штаб батальона противника. Взяты трофеи: большое количество пехотного оружия, 6 радиостанций и другое военное имущество.</w:t>
      </w:r>
    </w:p>
    <w:p w14:paraId="1262D485"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разведывательные отряды и снайперы уничтожили более 200 немецких солдат и офицеров. В воздушном бою сбит вражеский самолёт «Фокке-Вульф-189». На другом участке уничтожен аэростат наблюдения противника.</w:t>
      </w:r>
    </w:p>
    <w:p w14:paraId="747FB812"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Калининском фронте артиллеристы Н-ской части уничтожили 2 немецких орудия, взорвали склад боеприпасов и рассеяли до роты пехоты противника. Наши разведчики встретились с немецким разведывательным отрядом. В рукопашной схватке советские бойцы уничтожили 12 гитлеровцев. Взяты пленные.</w:t>
      </w:r>
    </w:p>
    <w:p w14:paraId="62C58EDC"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происходила артиллерийская перестрелка. Огнём нашей артиллерии разрушено 5 блиндажей, подавлен огонь миномётной и 2 артиллерийских батарей противника. На одном участке немцы предприняли разведку боем. Бойцы Н-ской части сосредоточенным огнём встретили гитлеровцев. Лишь немногим немцам удалось спастись бегством. На поле боя осталось 60 вражеских трупов.</w:t>
      </w:r>
    </w:p>
    <w:p w14:paraId="500685BB"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подразделения взорвали два склада противника с боеприпасами, уничтожили 7 миномётов, в том числе 2 шестиствольных, 6 пулемётов,12 немецких автомашин с войсками и грузами. На подступах к городу огнём зенитной артиллерии сбит немецкий бомбардировщик.</w:t>
      </w:r>
    </w:p>
    <w:p w14:paraId="254541C9"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латвийских партизан пустила под откос немецкий воинский эшелон, следовавший к фронту. При крушении разбиты паровоз, 7 вагонов с войсками и 9 платформ с орудиями. Движение поездов на этом участке железной дороги было приостановлено. На минах, расставленных партизанами, взорвалась немецкая автомашина с солдатами и офицерами. Убито 8 гитлеровцев. Другая группа советских патриотов обстреляла легковую автомашину и уничтожила ехавших в ней немецких офицеров.</w:t>
      </w:r>
    </w:p>
    <w:p w14:paraId="6CF9703E"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Бельгийские патриоты в районах Maлин—Лувэн и Намюр—Гюи пустили под откос немецкий эшелон и три товарных поезда с военными грузами. В Генте вольные стрелки совершили налёт на немецкий гараж. Патриоты перебили охрану и уничтожили 11 автомашин. В Антверпене вольные стрелки бросили связку гранат в немецкую казарму. Взрывом убито и ранено 14 гитлеровцев.» (14890).</w:t>
      </w:r>
    </w:p>
    <w:p w14:paraId="3853EB84" w14:textId="77777777" w:rsidR="002A10B9" w:rsidRPr="00D03F3E" w:rsidRDefault="002A10B9" w:rsidP="00D03F3E">
      <w:pPr>
        <w:spacing w:after="0" w:line="240" w:lineRule="auto"/>
        <w:jc w:val="both"/>
        <w:rPr>
          <w:rFonts w:ascii="Times New Roman" w:hAnsi="Times New Roman"/>
          <w:color w:val="000000" w:themeColor="text1"/>
          <w:sz w:val="16"/>
          <w:szCs w:val="16"/>
        </w:rPr>
      </w:pPr>
    </w:p>
    <w:p w14:paraId="067EFD80"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мая в 1943 году вечернее сообщение Совинформбюро:</w:t>
      </w:r>
    </w:p>
    <w:p w14:paraId="50CFC31C"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течение 13 мая на Кубани, северо-восточнее Новороссийска, наши войска вели артиллерийскую перестрелку с противником.</w:t>
      </w:r>
    </w:p>
    <w:p w14:paraId="4D7CD812"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других участках фронта ничего существенного не произошло.</w:t>
      </w:r>
    </w:p>
    <w:p w14:paraId="497A0EA5"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северо-восточнее Новороссийска, наши артиллеристы подавили огонь 54 пулемётных точек, 19 артиллерийских и 5 миномётных батарей противника, подбили 2 немецких танка, разрушили несколько дзотов и блиндажей. Огнём зенитной артиллерии сбито 4 немецких самолёта.</w:t>
      </w:r>
    </w:p>
    <w:p w14:paraId="6A909D31"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низовьях Кубани наши отряды за последние дни уничтожили до батальона пехоты противника.</w:t>
      </w:r>
    </w:p>
    <w:p w14:paraId="48EB450E"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районе Лисичанска наши части отбили несколько контратак противника. Уничтожено 3 немецких танка и до двух рот гитлеровцев. Захвачено в плен 50 немецких солдат.</w:t>
      </w:r>
    </w:p>
    <w:p w14:paraId="04C50547"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происходила редкая артиллерийско-миномётная перестрелка. Артиллеристы Н-ской части уничтожили 5 немецких блиндажей, подавили огонь артиллерийской и двух миномётных батарей. На другом участке уничтожен немецкий разведывательный отряд численностью в 60 человек.</w:t>
      </w:r>
    </w:p>
    <w:p w14:paraId="15682A72"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наши артиллеристы, обстреливая вражеские позиции, разрушили 15 дзотов и блиндажей, подавили огонь нескольких артиллерийских батарей, уничтожили 6 орудий, 8 пулемётов и взорвали 4 склада противника с боеприпасами. Группа советских разведчиков внезапно ворвалась в немецкие окопы ив короткой схватке уничтожила 15 гитлеровцев.</w:t>
      </w:r>
    </w:p>
    <w:p w14:paraId="58310CFD"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подразделения и снайперы истребили до 200 немецких солдат и офицеров. Группа бойцов под командованием старшего лейтенантат. Фёдорова, преодолев проволочные заграждения, ворвалась в немецкие траншеи. Врукопашной схватке наши бойцы уничтожили 70 немецких солдат и благополучно вернулись в свою часть.</w:t>
      </w:r>
    </w:p>
    <w:p w14:paraId="6CCC1AE0"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Сумской области, внезапно напал на немецкую карательную, экспедицию и истребил 35 гитлеровцев. Партизаны, кроме того, сожгли немецкую, бронемашину и 3 грузовые автомашины. Группы партизан-подрывников 8 мая пустили под откос 2 воинских эшелона противника. Разбито 2 паровоза и 23 вагона.</w:t>
      </w:r>
    </w:p>
    <w:p w14:paraId="6D3002D3"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Советские люди, насильно угнанные гитлеровцами на каторгу в Германию, изнывают в немецко-фашистской неволе. В письме к родителям Тамара Н. пишет: «Мои дорогие мама и папа! Если бы вы знали, как я страдаю на чужбине. Я вожу землю тачкою и в дождь и в непогоду. Сказала я однажды хозяину, что дождь идёт, надо переждать, а он меня избил. Папа и мама! Нас тут морят голодом. Раз я пришла с работы, и комендант меня избил ни за что ни про что. Избил так, что водой отливали. И пожаловаться некому. Не думала я и не чаяла, что придётся переносить такие муки. Были бы крылья, так и полетела бы в родные края. Горько жить вневоле. Спать ложимся под замком. Работаем с 7 часов утра и до темна. Устаю так, что не ногу стоять на ногах. Не знаю, останется ли кто-нибудь из нас в живых».</w:t>
      </w:r>
    </w:p>
    <w:p w14:paraId="65E957CE" w14:textId="77777777" w:rsidR="002A10B9" w:rsidRPr="00D03F3E" w:rsidRDefault="002A10B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Немецкие оккупационные власти в Голландии обязали всех бывших военнослужащих голландской армии явиться на сборные пункты для направления в лагеря военнопленных. Это распоряжение вызвало всеобщее возмущение в Голландии. Во многих районах страны вспыхнули забастовки. В Арнхеме рабочие верфи затопили недостроенное судно. В Утрехте железнодорожники вывели из строя 5 паровозов и убили 4 гитлеровцев. В Амстердаме рабочие уничтожили немецкие склады с горючим и текстилем. В Роттердаме группа студентов убила 7 немцев и уничтожила зенитное орудие.» (14890).</w:t>
      </w:r>
    </w:p>
    <w:p w14:paraId="43DA5D1E" w14:textId="77777777" w:rsidR="002A10B9" w:rsidRPr="00D03F3E" w:rsidRDefault="002A10B9" w:rsidP="00D03F3E">
      <w:pPr>
        <w:spacing w:after="0" w:line="240" w:lineRule="auto"/>
        <w:jc w:val="both"/>
        <w:rPr>
          <w:rFonts w:ascii="Times New Roman" w:hAnsi="Times New Roman"/>
          <w:color w:val="000000" w:themeColor="text1"/>
          <w:sz w:val="16"/>
          <w:szCs w:val="16"/>
        </w:rPr>
      </w:pPr>
    </w:p>
    <w:p w14:paraId="2B33153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 мая 1943 г. командующий ВВС КА А.А.Новиков лично доложил Верховно</w:t>
      </w:r>
      <w:r w:rsidRPr="00D03F3E">
        <w:rPr>
          <w:color w:val="000000" w:themeColor="text1"/>
          <w:sz w:val="16"/>
          <w:szCs w:val="16"/>
        </w:rPr>
        <w:softHyphen/>
        <w:t>му Главнокомандующему следующие итоговые данные о действиях авиации в воздушной операции за 6, 7 и 8 мая:</w:t>
      </w:r>
    </w:p>
    <w:p w14:paraId="61C216ED" w14:textId="77777777" w:rsidR="00531570" w:rsidRPr="00D03F3E" w:rsidRDefault="00531570" w:rsidP="00D03F3E">
      <w:pPr>
        <w:pStyle w:val="Iauiue"/>
        <w:jc w:val="both"/>
        <w:rPr>
          <w:color w:val="000000" w:themeColor="text1"/>
          <w:sz w:val="16"/>
          <w:szCs w:val="16"/>
        </w:rPr>
      </w:pPr>
      <w:r w:rsidRPr="00D03F3E">
        <w:rPr>
          <w:iCs/>
          <w:color w:val="000000" w:themeColor="text1"/>
          <w:sz w:val="16"/>
          <w:szCs w:val="16"/>
        </w:rPr>
        <w:t>"За трое суток нашими ВВС произведе</w:t>
      </w:r>
      <w:r w:rsidRPr="00D03F3E">
        <w:rPr>
          <w:iCs/>
          <w:color w:val="000000" w:themeColor="text1"/>
          <w:sz w:val="16"/>
          <w:szCs w:val="16"/>
        </w:rPr>
        <w:softHyphen/>
        <w:t>но 1392 самолето-вылета, уничтожено на аэродромах противника 373 самолета, повреждено -51, сбито в воздушных боях - 67 и подбито -10В итоге противник потерял 501 самолет. Эти данные осно</w:t>
      </w:r>
      <w:r w:rsidRPr="00D03F3E">
        <w:rPr>
          <w:iCs/>
          <w:color w:val="000000" w:themeColor="text1"/>
          <w:sz w:val="16"/>
          <w:szCs w:val="16"/>
        </w:rPr>
        <w:softHyphen/>
        <w:t>ваны на показаниях летчиков, сведениях партизан и фотоснимков. Наши потери составили 122 самолета, из них сбито в воздушных боях -21 самолет, зенитной артиллерией противника - 8, не верну</w:t>
      </w:r>
      <w:r w:rsidRPr="00D03F3E">
        <w:rPr>
          <w:iCs/>
          <w:color w:val="000000" w:themeColor="text1"/>
          <w:sz w:val="16"/>
          <w:szCs w:val="16"/>
        </w:rPr>
        <w:softHyphen/>
        <w:t>лось с боевого задания - 93 самолета".</w:t>
      </w:r>
    </w:p>
    <w:p w14:paraId="6DF67F8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докладе указывалось, что в первом массированном ударе на один потерян</w:t>
      </w:r>
      <w:r w:rsidRPr="00D03F3E">
        <w:rPr>
          <w:color w:val="000000" w:themeColor="text1"/>
          <w:sz w:val="16"/>
          <w:szCs w:val="16"/>
        </w:rPr>
        <w:softHyphen/>
        <w:t>ный самолет ВВС КА приходилось 21,7 самолето-вылетов, во втором - 8,1 ив третьем - 8,4.</w:t>
      </w:r>
    </w:p>
    <w:p w14:paraId="24873A6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мнению авторов, потери Люфтваффе в воздушной операции ВВС КА за</w:t>
      </w:r>
      <w:r w:rsidRPr="00D03F3E">
        <w:rPr>
          <w:color w:val="000000" w:themeColor="text1"/>
          <w:sz w:val="16"/>
          <w:szCs w:val="16"/>
        </w:rPr>
        <w:softHyphen/>
        <w:t>вышены советской стороной примерно в 2-3 раза (6467).</w:t>
      </w:r>
    </w:p>
    <w:p w14:paraId="72D96673" w14:textId="77777777" w:rsidR="00531570" w:rsidRPr="00D03F3E" w:rsidRDefault="00531570" w:rsidP="00D03F3E">
      <w:pPr>
        <w:pStyle w:val="Iauiue"/>
        <w:jc w:val="both"/>
        <w:rPr>
          <w:color w:val="000000" w:themeColor="text1"/>
          <w:sz w:val="16"/>
          <w:szCs w:val="16"/>
        </w:rPr>
      </w:pPr>
    </w:p>
    <w:p w14:paraId="193C377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мая 1943 г. командующий ВВС КА маршал А.А. Новиков лично доло</w:t>
      </w:r>
      <w:r w:rsidRPr="00D03F3E">
        <w:rPr>
          <w:rFonts w:ascii="Times New Roman" w:hAnsi="Times New Roman"/>
          <w:color w:val="000000" w:themeColor="text1"/>
          <w:sz w:val="16"/>
          <w:szCs w:val="16"/>
        </w:rPr>
        <w:softHyphen/>
        <w:t>жил Верховному Главнокомандующе</w:t>
      </w:r>
      <w:r w:rsidRPr="00D03F3E">
        <w:rPr>
          <w:rFonts w:ascii="Times New Roman" w:hAnsi="Times New Roman"/>
          <w:color w:val="000000" w:themeColor="text1"/>
          <w:sz w:val="16"/>
          <w:szCs w:val="16"/>
        </w:rPr>
        <w:softHyphen/>
        <w:t>му следующие итоговые данные о дей</w:t>
      </w:r>
      <w:r w:rsidRPr="00D03F3E">
        <w:rPr>
          <w:rFonts w:ascii="Times New Roman" w:hAnsi="Times New Roman"/>
          <w:color w:val="000000" w:themeColor="text1"/>
          <w:sz w:val="16"/>
          <w:szCs w:val="16"/>
        </w:rPr>
        <w:softHyphen/>
        <w:t xml:space="preserve">ствиях авиации в воздушной операции за 6, 7 и 8 мая: </w:t>
      </w:r>
      <w:r w:rsidRPr="00D03F3E">
        <w:rPr>
          <w:rFonts w:ascii="Times New Roman" w:hAnsi="Times New Roman"/>
          <w:iCs/>
          <w:color w:val="000000" w:themeColor="text1"/>
          <w:sz w:val="16"/>
          <w:szCs w:val="16"/>
        </w:rPr>
        <w:t>«За трое суток наши</w:t>
      </w:r>
      <w:r w:rsidRPr="00D03F3E">
        <w:rPr>
          <w:rFonts w:ascii="Times New Roman" w:hAnsi="Times New Roman"/>
          <w:iCs/>
          <w:color w:val="000000" w:themeColor="text1"/>
          <w:sz w:val="16"/>
          <w:szCs w:val="16"/>
        </w:rPr>
        <w:softHyphen/>
        <w:t>ми ВВС произведено 1392 самолето</w:t>
      </w:r>
      <w:r w:rsidRPr="00D03F3E">
        <w:rPr>
          <w:rFonts w:ascii="Times New Roman" w:hAnsi="Times New Roman"/>
          <w:iCs/>
          <w:color w:val="000000" w:themeColor="text1"/>
          <w:sz w:val="16"/>
          <w:szCs w:val="16"/>
        </w:rPr>
        <w:softHyphen/>
        <w:t>вылета, уничтожено на аэродромах противника 373 самолета, поврежде</w:t>
      </w:r>
      <w:r w:rsidRPr="00D03F3E">
        <w:rPr>
          <w:rFonts w:ascii="Times New Roman" w:hAnsi="Times New Roman"/>
          <w:iCs/>
          <w:color w:val="000000" w:themeColor="text1"/>
          <w:sz w:val="16"/>
          <w:szCs w:val="16"/>
        </w:rPr>
        <w:softHyphen/>
        <w:t xml:space="preserve">но — 51, сбито в воздушных боях — 67 и подбито </w:t>
      </w:r>
      <w:r w:rsidRPr="00D03F3E">
        <w:rPr>
          <w:rFonts w:ascii="Times New Roman" w:hAnsi="Times New Roman"/>
          <w:color w:val="000000" w:themeColor="text1"/>
          <w:sz w:val="16"/>
          <w:szCs w:val="16"/>
        </w:rPr>
        <w:t xml:space="preserve">— </w:t>
      </w:r>
      <w:r w:rsidRPr="00D03F3E">
        <w:rPr>
          <w:rFonts w:ascii="Times New Roman" w:hAnsi="Times New Roman"/>
          <w:iCs/>
          <w:color w:val="000000" w:themeColor="text1"/>
          <w:sz w:val="16"/>
          <w:szCs w:val="16"/>
        </w:rPr>
        <w:t>10. В итоге противник потерял 501 самолет. Эти данные ос</w:t>
      </w:r>
      <w:r w:rsidRPr="00D03F3E">
        <w:rPr>
          <w:rFonts w:ascii="Times New Roman" w:hAnsi="Times New Roman"/>
          <w:iCs/>
          <w:color w:val="000000" w:themeColor="text1"/>
          <w:sz w:val="16"/>
          <w:szCs w:val="16"/>
        </w:rPr>
        <w:softHyphen/>
        <w:t>нованы на показаниях летчиков, све</w:t>
      </w:r>
      <w:r w:rsidRPr="00D03F3E">
        <w:rPr>
          <w:rFonts w:ascii="Times New Roman" w:hAnsi="Times New Roman"/>
          <w:iCs/>
          <w:color w:val="000000" w:themeColor="text1"/>
          <w:sz w:val="16"/>
          <w:szCs w:val="16"/>
        </w:rPr>
        <w:softHyphen/>
        <w:t xml:space="preserve">дениях партизан и фотоснимков. Наши потери составили 122 самолета, из них сбито в воздушных боях </w:t>
      </w:r>
      <w:r w:rsidRPr="00D03F3E">
        <w:rPr>
          <w:rFonts w:ascii="Times New Roman" w:hAnsi="Times New Roman"/>
          <w:color w:val="000000" w:themeColor="text1"/>
          <w:sz w:val="16"/>
          <w:szCs w:val="16"/>
        </w:rPr>
        <w:t xml:space="preserve">— </w:t>
      </w:r>
      <w:r w:rsidRPr="00D03F3E">
        <w:rPr>
          <w:rFonts w:ascii="Times New Roman" w:hAnsi="Times New Roman"/>
          <w:iCs/>
          <w:color w:val="000000" w:themeColor="text1"/>
          <w:sz w:val="16"/>
          <w:szCs w:val="16"/>
        </w:rPr>
        <w:t>21 само</w:t>
      </w:r>
      <w:r w:rsidRPr="00D03F3E">
        <w:rPr>
          <w:rFonts w:ascii="Times New Roman" w:hAnsi="Times New Roman"/>
          <w:iCs/>
          <w:color w:val="000000" w:themeColor="text1"/>
          <w:sz w:val="16"/>
          <w:szCs w:val="16"/>
        </w:rPr>
        <w:softHyphen/>
        <w:t>лет, зенитной артиллерией противни</w:t>
      </w:r>
      <w:r w:rsidRPr="00D03F3E">
        <w:rPr>
          <w:rFonts w:ascii="Times New Roman" w:hAnsi="Times New Roman"/>
          <w:iCs/>
          <w:color w:val="000000" w:themeColor="text1"/>
          <w:sz w:val="16"/>
          <w:szCs w:val="16"/>
        </w:rPr>
        <w:softHyphen/>
        <w:t>ка — 8, не вернулось с боевого зада</w:t>
      </w:r>
      <w:r w:rsidRPr="00D03F3E">
        <w:rPr>
          <w:rFonts w:ascii="Times New Roman" w:hAnsi="Times New Roman"/>
          <w:iCs/>
          <w:color w:val="000000" w:themeColor="text1"/>
          <w:sz w:val="16"/>
          <w:szCs w:val="16"/>
        </w:rPr>
        <w:softHyphen/>
        <w:t>ния — 93 самолета».</w:t>
      </w:r>
    </w:p>
    <w:p w14:paraId="3628F3C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докладе говорилось, что изучение материалов по итогам действий совет</w:t>
      </w:r>
      <w:r w:rsidRPr="00D03F3E">
        <w:rPr>
          <w:rFonts w:ascii="Times New Roman" w:hAnsi="Times New Roman"/>
          <w:color w:val="000000" w:themeColor="text1"/>
          <w:sz w:val="16"/>
          <w:szCs w:val="16"/>
        </w:rPr>
        <w:softHyphen/>
        <w:t>ской авиации показывает высокую эф</w:t>
      </w:r>
      <w:r w:rsidRPr="00D03F3E">
        <w:rPr>
          <w:rFonts w:ascii="Times New Roman" w:hAnsi="Times New Roman"/>
          <w:color w:val="000000" w:themeColor="text1"/>
          <w:sz w:val="16"/>
          <w:szCs w:val="16"/>
        </w:rPr>
        <w:softHyphen/>
        <w:t>фективность нанесения одновременных массированных ударов по аэродромам противника на широком фронте. В пер</w:t>
      </w:r>
      <w:r w:rsidRPr="00D03F3E">
        <w:rPr>
          <w:rFonts w:ascii="Times New Roman" w:hAnsi="Times New Roman"/>
          <w:color w:val="000000" w:themeColor="text1"/>
          <w:sz w:val="16"/>
          <w:szCs w:val="16"/>
        </w:rPr>
        <w:softHyphen/>
        <w:t>вых ударах на каждый уничтоженный или выведенный из строя самолет про</w:t>
      </w:r>
      <w:r w:rsidRPr="00D03F3E">
        <w:rPr>
          <w:rFonts w:ascii="Times New Roman" w:hAnsi="Times New Roman"/>
          <w:color w:val="000000" w:themeColor="text1"/>
          <w:sz w:val="16"/>
          <w:szCs w:val="16"/>
        </w:rPr>
        <w:softHyphen/>
        <w:t>тивника нашей авиацией было затра</w:t>
      </w:r>
      <w:r w:rsidRPr="00D03F3E">
        <w:rPr>
          <w:rFonts w:ascii="Times New Roman" w:hAnsi="Times New Roman"/>
          <w:color w:val="000000" w:themeColor="text1"/>
          <w:sz w:val="16"/>
          <w:szCs w:val="16"/>
        </w:rPr>
        <w:softHyphen/>
        <w:t>чено 2 самолето-вылета, во втором — 2,4, в третьем — 3,2, а в четвертом — уже 30,2. Это говорит о возрастании противодействия противника. На один потерянный советский самолет в пер</w:t>
      </w:r>
      <w:r w:rsidRPr="00D03F3E">
        <w:rPr>
          <w:rFonts w:ascii="Times New Roman" w:hAnsi="Times New Roman"/>
          <w:color w:val="000000" w:themeColor="text1"/>
          <w:sz w:val="16"/>
          <w:szCs w:val="16"/>
        </w:rPr>
        <w:softHyphen/>
        <w:t>вых ударах приходилось 21,7 самоле</w:t>
      </w:r>
      <w:r w:rsidRPr="00D03F3E">
        <w:rPr>
          <w:rFonts w:ascii="Times New Roman" w:hAnsi="Times New Roman"/>
          <w:color w:val="000000" w:themeColor="text1"/>
          <w:sz w:val="16"/>
          <w:szCs w:val="16"/>
        </w:rPr>
        <w:softHyphen/>
        <w:t>то-вылетов, во втором — 8,1 ив тре</w:t>
      </w:r>
      <w:r w:rsidRPr="00D03F3E">
        <w:rPr>
          <w:rFonts w:ascii="Times New Roman" w:hAnsi="Times New Roman"/>
          <w:color w:val="000000" w:themeColor="text1"/>
          <w:sz w:val="16"/>
          <w:szCs w:val="16"/>
        </w:rPr>
        <w:softHyphen/>
        <w:t>тьем — 8,4.</w:t>
      </w:r>
    </w:p>
    <w:p w14:paraId="5C1DC6F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Маршал Новиков провел анализ причин понижения эффективности по</w:t>
      </w:r>
      <w:r w:rsidRPr="00D03F3E">
        <w:rPr>
          <w:rFonts w:ascii="Times New Roman" w:hAnsi="Times New Roman"/>
          <w:color w:val="000000" w:themeColor="text1"/>
          <w:sz w:val="16"/>
          <w:szCs w:val="16"/>
        </w:rPr>
        <w:softHyphen/>
        <w:t>вторных ударов, связанных с повыше</w:t>
      </w:r>
      <w:r w:rsidRPr="00D03F3E">
        <w:rPr>
          <w:rFonts w:ascii="Times New Roman" w:hAnsi="Times New Roman"/>
          <w:color w:val="000000" w:themeColor="text1"/>
          <w:sz w:val="16"/>
          <w:szCs w:val="16"/>
        </w:rPr>
        <w:softHyphen/>
        <w:t>нием боевой готовности авиации про</w:t>
      </w:r>
      <w:r w:rsidRPr="00D03F3E">
        <w:rPr>
          <w:rFonts w:ascii="Times New Roman" w:hAnsi="Times New Roman"/>
          <w:color w:val="000000" w:themeColor="text1"/>
          <w:sz w:val="16"/>
          <w:szCs w:val="16"/>
        </w:rPr>
        <w:softHyphen/>
        <w:t>тивника и зенитных средств обороны аэродромов, а также перебазирова</w:t>
      </w:r>
      <w:r w:rsidRPr="00D03F3E">
        <w:rPr>
          <w:rFonts w:ascii="Times New Roman" w:hAnsi="Times New Roman"/>
          <w:color w:val="000000" w:themeColor="text1"/>
          <w:sz w:val="16"/>
          <w:szCs w:val="16"/>
        </w:rPr>
        <w:softHyphen/>
        <w:t>нием части сил на запасные аэродро</w:t>
      </w:r>
      <w:r w:rsidRPr="00D03F3E">
        <w:rPr>
          <w:rFonts w:ascii="Times New Roman" w:hAnsi="Times New Roman"/>
          <w:color w:val="000000" w:themeColor="text1"/>
          <w:sz w:val="16"/>
          <w:szCs w:val="16"/>
        </w:rPr>
        <w:softHyphen/>
        <w:t>мы и площадки, нападение на кото</w:t>
      </w:r>
      <w:r w:rsidRPr="00D03F3E">
        <w:rPr>
          <w:rFonts w:ascii="Times New Roman" w:hAnsi="Times New Roman"/>
          <w:color w:val="000000" w:themeColor="text1"/>
          <w:sz w:val="16"/>
          <w:szCs w:val="16"/>
        </w:rPr>
        <w:softHyphen/>
        <w:t>рые без предварительного их розыска и разведки было весьма сложным. Де</w:t>
      </w:r>
      <w:r w:rsidRPr="00D03F3E">
        <w:rPr>
          <w:rFonts w:ascii="Times New Roman" w:hAnsi="Times New Roman"/>
          <w:color w:val="000000" w:themeColor="text1"/>
          <w:sz w:val="16"/>
          <w:szCs w:val="16"/>
        </w:rPr>
        <w:softHyphen/>
        <w:t>лался правильный вывод, что наибо</w:t>
      </w:r>
      <w:r w:rsidRPr="00D03F3E">
        <w:rPr>
          <w:rFonts w:ascii="Times New Roman" w:hAnsi="Times New Roman"/>
          <w:color w:val="000000" w:themeColor="text1"/>
          <w:sz w:val="16"/>
          <w:szCs w:val="16"/>
        </w:rPr>
        <w:softHyphen/>
        <w:t>лее целесообразными при действиях по аэродромам противника с целью унич</w:t>
      </w:r>
      <w:r w:rsidRPr="00D03F3E">
        <w:rPr>
          <w:rFonts w:ascii="Times New Roman" w:hAnsi="Times New Roman"/>
          <w:color w:val="000000" w:themeColor="text1"/>
          <w:sz w:val="16"/>
          <w:szCs w:val="16"/>
        </w:rPr>
        <w:softHyphen/>
        <w:t>тожения его авиации являются одно</w:t>
      </w:r>
      <w:r w:rsidRPr="00D03F3E">
        <w:rPr>
          <w:rFonts w:ascii="Times New Roman" w:hAnsi="Times New Roman"/>
          <w:color w:val="000000" w:themeColor="text1"/>
          <w:sz w:val="16"/>
          <w:szCs w:val="16"/>
        </w:rPr>
        <w:softHyphen/>
        <w:t>временные внезапные удары большо</w:t>
      </w:r>
      <w:r w:rsidRPr="00D03F3E">
        <w:rPr>
          <w:rFonts w:ascii="Times New Roman" w:hAnsi="Times New Roman"/>
          <w:color w:val="000000" w:themeColor="text1"/>
          <w:sz w:val="16"/>
          <w:szCs w:val="16"/>
        </w:rPr>
        <w:softHyphen/>
        <w:t>го числа самолетов. Поэтому предла</w:t>
      </w:r>
      <w:r w:rsidRPr="00D03F3E">
        <w:rPr>
          <w:rFonts w:ascii="Times New Roman" w:hAnsi="Times New Roman"/>
          <w:color w:val="000000" w:themeColor="text1"/>
          <w:sz w:val="16"/>
          <w:szCs w:val="16"/>
        </w:rPr>
        <w:softHyphen/>
        <w:t>галось в дальнейшем наносить первые удары по аэродромам исключительно крупными силами авиации, с тем что</w:t>
      </w:r>
      <w:r w:rsidRPr="00D03F3E">
        <w:rPr>
          <w:rFonts w:ascii="Times New Roman" w:hAnsi="Times New Roman"/>
          <w:color w:val="000000" w:themeColor="text1"/>
          <w:sz w:val="16"/>
          <w:szCs w:val="16"/>
        </w:rPr>
        <w:softHyphen/>
        <w:t>бы максимально использовать эффект внезапности и нанести неприятелю се</w:t>
      </w:r>
      <w:r w:rsidRPr="00D03F3E">
        <w:rPr>
          <w:rFonts w:ascii="Times New Roman" w:hAnsi="Times New Roman"/>
          <w:color w:val="000000" w:themeColor="text1"/>
          <w:sz w:val="16"/>
          <w:szCs w:val="16"/>
        </w:rPr>
        <w:softHyphen/>
        <w:t>рьезный урон при минимальных своих потерях (11086).</w:t>
      </w:r>
    </w:p>
    <w:p w14:paraId="7D66636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Маршал Новиков считал, что цель операции 6 и 7 мая достигнута, а за</w:t>
      </w:r>
      <w:r w:rsidRPr="00D03F3E">
        <w:rPr>
          <w:rFonts w:ascii="Times New Roman" w:hAnsi="Times New Roman"/>
          <w:color w:val="000000" w:themeColor="text1"/>
          <w:sz w:val="16"/>
          <w:szCs w:val="16"/>
        </w:rPr>
        <w:softHyphen/>
        <w:t>дачи, поставленные Ставкой, полнос</w:t>
      </w:r>
      <w:r w:rsidRPr="00D03F3E">
        <w:rPr>
          <w:rFonts w:ascii="Times New Roman" w:hAnsi="Times New Roman"/>
          <w:color w:val="000000" w:themeColor="text1"/>
          <w:sz w:val="16"/>
          <w:szCs w:val="16"/>
        </w:rPr>
        <w:softHyphen/>
        <w:t>тью выполнены. Достигнутые в опера</w:t>
      </w:r>
      <w:r w:rsidRPr="00D03F3E">
        <w:rPr>
          <w:rFonts w:ascii="Times New Roman" w:hAnsi="Times New Roman"/>
          <w:color w:val="000000" w:themeColor="text1"/>
          <w:sz w:val="16"/>
          <w:szCs w:val="16"/>
        </w:rPr>
        <w:softHyphen/>
        <w:t>ции результаты обеспечили улучшение воздушной обстановки для ВВС КА на центральном и южном участках фронта.</w:t>
      </w:r>
    </w:p>
    <w:p w14:paraId="5C00E57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сожалению, некоторые моменты, вытекающие из опыта боевого приме</w:t>
      </w:r>
      <w:r w:rsidRPr="00D03F3E">
        <w:rPr>
          <w:rFonts w:ascii="Times New Roman" w:hAnsi="Times New Roman"/>
          <w:color w:val="000000" w:themeColor="text1"/>
          <w:sz w:val="16"/>
          <w:szCs w:val="16"/>
        </w:rPr>
        <w:softHyphen/>
        <w:t>нения нашей авиации в прошедшей операции, не нашли должного отра</w:t>
      </w:r>
      <w:r w:rsidRPr="00D03F3E">
        <w:rPr>
          <w:rFonts w:ascii="Times New Roman" w:hAnsi="Times New Roman"/>
          <w:color w:val="000000" w:themeColor="text1"/>
          <w:sz w:val="16"/>
          <w:szCs w:val="16"/>
        </w:rPr>
        <w:softHyphen/>
        <w:t>жения в отчетном документе штаба ВВС. Проведенное офицерами штаба обобщение результатов ударов не</w:t>
      </w:r>
      <w:r w:rsidRPr="00D03F3E">
        <w:rPr>
          <w:rFonts w:ascii="Times New Roman" w:hAnsi="Times New Roman"/>
          <w:color w:val="000000" w:themeColor="text1"/>
          <w:sz w:val="16"/>
          <w:szCs w:val="16"/>
        </w:rPr>
        <w:softHyphen/>
        <w:t>вольно вскрыло ряд особенностей, ко</w:t>
      </w:r>
      <w:r w:rsidRPr="00D03F3E">
        <w:rPr>
          <w:rFonts w:ascii="Times New Roman" w:hAnsi="Times New Roman"/>
          <w:color w:val="000000" w:themeColor="text1"/>
          <w:sz w:val="16"/>
          <w:szCs w:val="16"/>
        </w:rPr>
        <w:softHyphen/>
        <w:t>торые позволяют несколько иначе трак</w:t>
      </w:r>
      <w:r w:rsidRPr="00D03F3E">
        <w:rPr>
          <w:rFonts w:ascii="Times New Roman" w:hAnsi="Times New Roman"/>
          <w:color w:val="000000" w:themeColor="text1"/>
          <w:sz w:val="16"/>
          <w:szCs w:val="16"/>
        </w:rPr>
        <w:softHyphen/>
        <w:t>товать результаты операции. В этой связи позволим себе дать некоторые уточнения к докладу маршала Нови</w:t>
      </w:r>
      <w:r w:rsidRPr="00D03F3E">
        <w:rPr>
          <w:rFonts w:ascii="Times New Roman" w:hAnsi="Times New Roman"/>
          <w:color w:val="000000" w:themeColor="text1"/>
          <w:sz w:val="16"/>
          <w:szCs w:val="16"/>
        </w:rPr>
        <w:softHyphen/>
        <w:t>кова.</w:t>
      </w:r>
    </w:p>
    <w:p w14:paraId="2970387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следует из оперативных доку</w:t>
      </w:r>
      <w:r w:rsidRPr="00D03F3E">
        <w:rPr>
          <w:rFonts w:ascii="Times New Roman" w:hAnsi="Times New Roman"/>
          <w:color w:val="000000" w:themeColor="text1"/>
          <w:sz w:val="16"/>
          <w:szCs w:val="16"/>
        </w:rPr>
        <w:softHyphen/>
        <w:t>ментов штабов полков, дивизий и воз</w:t>
      </w:r>
      <w:r w:rsidRPr="00D03F3E">
        <w:rPr>
          <w:rFonts w:ascii="Times New Roman" w:hAnsi="Times New Roman"/>
          <w:color w:val="000000" w:themeColor="text1"/>
          <w:sz w:val="16"/>
          <w:szCs w:val="16"/>
        </w:rPr>
        <w:softHyphen/>
        <w:t>душных армий, для ударов по аэро</w:t>
      </w:r>
      <w:r w:rsidRPr="00D03F3E">
        <w:rPr>
          <w:rFonts w:ascii="Times New Roman" w:hAnsi="Times New Roman"/>
          <w:color w:val="000000" w:themeColor="text1"/>
          <w:sz w:val="16"/>
          <w:szCs w:val="16"/>
        </w:rPr>
        <w:softHyphen/>
        <w:t>дромам противника в течение 6 и 7 мая было выполнено 1112 боевых са</w:t>
      </w:r>
      <w:r w:rsidRPr="00D03F3E">
        <w:rPr>
          <w:rFonts w:ascii="Times New Roman" w:hAnsi="Times New Roman"/>
          <w:color w:val="000000" w:themeColor="text1"/>
          <w:sz w:val="16"/>
          <w:szCs w:val="16"/>
        </w:rPr>
        <w:softHyphen/>
        <w:t>молето-вылетов, которые завершились либо ударом по аэродрому, либо воз</w:t>
      </w:r>
      <w:r w:rsidRPr="00D03F3E">
        <w:rPr>
          <w:rFonts w:ascii="Times New Roman" w:hAnsi="Times New Roman"/>
          <w:color w:val="000000" w:themeColor="text1"/>
          <w:sz w:val="16"/>
          <w:szCs w:val="16"/>
        </w:rPr>
        <w:softHyphen/>
        <w:t>душными боями с истребителями люф</w:t>
      </w:r>
      <w:r w:rsidRPr="00D03F3E">
        <w:rPr>
          <w:rFonts w:ascii="Times New Roman" w:hAnsi="Times New Roman"/>
          <w:color w:val="000000" w:themeColor="text1"/>
          <w:sz w:val="16"/>
          <w:szCs w:val="16"/>
        </w:rPr>
        <w:softHyphen/>
        <w:t>тваффе. Из этого числа на долю Ил-2 пришлось 300 вылетов, Пе-2 и Б-3 -165 и истребителей - 647 вылетов.</w:t>
      </w:r>
    </w:p>
    <w:p w14:paraId="5133CB9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Безвозвратные потери воздушных армий при дневных ударах по аэро</w:t>
      </w:r>
      <w:r w:rsidRPr="00D03F3E">
        <w:rPr>
          <w:rFonts w:ascii="Times New Roman" w:hAnsi="Times New Roman"/>
          <w:color w:val="000000" w:themeColor="text1"/>
          <w:sz w:val="16"/>
          <w:szCs w:val="16"/>
        </w:rPr>
        <w:softHyphen/>
        <w:t>дромам 6 и 7 мая составили 70 само</w:t>
      </w:r>
      <w:r w:rsidRPr="00D03F3E">
        <w:rPr>
          <w:rFonts w:ascii="Times New Roman" w:hAnsi="Times New Roman"/>
          <w:color w:val="000000" w:themeColor="text1"/>
          <w:sz w:val="16"/>
          <w:szCs w:val="16"/>
        </w:rPr>
        <w:softHyphen/>
        <w:t>летов Ил-2, 40 истребителей и 13 бом</w:t>
      </w:r>
      <w:r w:rsidRPr="00D03F3E">
        <w:rPr>
          <w:rFonts w:ascii="Times New Roman" w:hAnsi="Times New Roman"/>
          <w:color w:val="000000" w:themeColor="text1"/>
          <w:sz w:val="16"/>
          <w:szCs w:val="16"/>
        </w:rPr>
        <w:softHyphen/>
        <w:t>бардировщиков Пе-2 и "Бостон" (Б-3).</w:t>
      </w:r>
    </w:p>
    <w:p w14:paraId="4B16DBF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отчетов штабов штурмо</w:t>
      </w:r>
      <w:r w:rsidRPr="00D03F3E">
        <w:rPr>
          <w:rFonts w:ascii="Times New Roman" w:hAnsi="Times New Roman"/>
          <w:color w:val="000000" w:themeColor="text1"/>
          <w:sz w:val="16"/>
          <w:szCs w:val="16"/>
        </w:rPr>
        <w:softHyphen/>
        <w:t>вых авиаполков, 9 самолетов Ил-2 были сбиты истребителями люфтваф</w:t>
      </w:r>
      <w:r w:rsidRPr="00D03F3E">
        <w:rPr>
          <w:rFonts w:ascii="Times New Roman" w:hAnsi="Times New Roman"/>
          <w:color w:val="000000" w:themeColor="text1"/>
          <w:sz w:val="16"/>
          <w:szCs w:val="16"/>
        </w:rPr>
        <w:softHyphen/>
        <w:t>фе, 8 - огнем зенитной артиллерии, 36 - не вернулись с боевого задания и 17 - списаны после вынужденных по</w:t>
      </w:r>
      <w:r w:rsidRPr="00D03F3E">
        <w:rPr>
          <w:rFonts w:ascii="Times New Roman" w:hAnsi="Times New Roman"/>
          <w:color w:val="000000" w:themeColor="text1"/>
          <w:sz w:val="16"/>
          <w:szCs w:val="16"/>
        </w:rPr>
        <w:softHyphen/>
        <w:t>садок.</w:t>
      </w:r>
    </w:p>
    <w:p w14:paraId="47025B3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Примерно в 63% боевых вылетов штурмовики вели воздушные бои с не</w:t>
      </w:r>
      <w:r w:rsidRPr="00D03F3E">
        <w:rPr>
          <w:rFonts w:ascii="Times New Roman" w:hAnsi="Times New Roman"/>
          <w:color w:val="000000" w:themeColor="text1"/>
          <w:sz w:val="16"/>
          <w:szCs w:val="16"/>
        </w:rPr>
        <w:softHyphen/>
        <w:t>мецкими истребителями, и каждый вы</w:t>
      </w:r>
      <w:r w:rsidRPr="00D03F3E">
        <w:rPr>
          <w:rFonts w:ascii="Times New Roman" w:hAnsi="Times New Roman"/>
          <w:color w:val="000000" w:themeColor="text1"/>
          <w:sz w:val="16"/>
          <w:szCs w:val="16"/>
        </w:rPr>
        <w:softHyphen/>
        <w:t>лет Ил-2 сопровождался обстрелом зе</w:t>
      </w:r>
      <w:r w:rsidRPr="00D03F3E">
        <w:rPr>
          <w:rFonts w:ascii="Times New Roman" w:hAnsi="Times New Roman"/>
          <w:color w:val="000000" w:themeColor="text1"/>
          <w:sz w:val="16"/>
          <w:szCs w:val="16"/>
        </w:rPr>
        <w:softHyphen/>
        <w:t>нитной артиллерии противника. Мож</w:t>
      </w:r>
      <w:r w:rsidRPr="00D03F3E">
        <w:rPr>
          <w:rFonts w:ascii="Times New Roman" w:hAnsi="Times New Roman"/>
          <w:color w:val="000000" w:themeColor="text1"/>
          <w:sz w:val="16"/>
          <w:szCs w:val="16"/>
        </w:rPr>
        <w:softHyphen/>
        <w:t>но считать, что в воздушных боях с ис</w:t>
      </w:r>
      <w:r w:rsidRPr="00D03F3E">
        <w:rPr>
          <w:rFonts w:ascii="Times New Roman" w:hAnsi="Times New Roman"/>
          <w:color w:val="000000" w:themeColor="text1"/>
          <w:sz w:val="16"/>
          <w:szCs w:val="16"/>
        </w:rPr>
        <w:softHyphen/>
        <w:t>требителями люфтваффе было потеря</w:t>
      </w:r>
      <w:r w:rsidRPr="00D03F3E">
        <w:rPr>
          <w:rFonts w:ascii="Times New Roman" w:hAnsi="Times New Roman"/>
          <w:color w:val="000000" w:themeColor="text1"/>
          <w:sz w:val="16"/>
          <w:szCs w:val="16"/>
        </w:rPr>
        <w:softHyphen/>
        <w:t>но около 45 самолетов Ил-2. Осталь</w:t>
      </w:r>
      <w:r w:rsidRPr="00D03F3E">
        <w:rPr>
          <w:rFonts w:ascii="Times New Roman" w:hAnsi="Times New Roman"/>
          <w:color w:val="000000" w:themeColor="text1"/>
          <w:sz w:val="16"/>
          <w:szCs w:val="16"/>
        </w:rPr>
        <w:softHyphen/>
        <w:t>ные потери в_штурмовиках пришлись на долю немецких зенитчиков. При этом боевая живучесть Ил-2 не превысила 4,3, а летчика - 5,8 самолето-выле</w:t>
      </w:r>
      <w:r w:rsidRPr="00D03F3E">
        <w:rPr>
          <w:rFonts w:ascii="Times New Roman" w:hAnsi="Times New Roman"/>
          <w:color w:val="000000" w:themeColor="text1"/>
          <w:sz w:val="16"/>
          <w:szCs w:val="16"/>
        </w:rPr>
        <w:softHyphen/>
        <w:t>тов. Каждая группа штурмовиков при ударе по аэродрому в среднем теря</w:t>
      </w:r>
      <w:r w:rsidRPr="00D03F3E">
        <w:rPr>
          <w:rFonts w:ascii="Times New Roman" w:hAnsi="Times New Roman"/>
          <w:color w:val="000000" w:themeColor="text1"/>
          <w:sz w:val="16"/>
          <w:szCs w:val="16"/>
        </w:rPr>
        <w:softHyphen/>
        <w:t>ла около 23% своего состава. Из этих потерь 75% составляли безвозвратные потери летного состава.</w:t>
      </w:r>
    </w:p>
    <w:p w14:paraId="407232C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общей сложности с боевого за</w:t>
      </w:r>
      <w:r w:rsidRPr="00D03F3E">
        <w:rPr>
          <w:rFonts w:ascii="Times New Roman" w:hAnsi="Times New Roman"/>
          <w:color w:val="000000" w:themeColor="text1"/>
          <w:sz w:val="16"/>
          <w:szCs w:val="16"/>
        </w:rPr>
        <w:softHyphen/>
        <w:t>дания не возвратились 52 летчика-штурмовика и 41 воздушный стрелок. Основную массу боевых потерь - 52% составили молодые летчики, которые имели небольшой боевой опыт или не имели его вовсе. Остальные 48% по</w:t>
      </w:r>
      <w:r w:rsidRPr="00D03F3E">
        <w:rPr>
          <w:rFonts w:ascii="Times New Roman" w:hAnsi="Times New Roman"/>
          <w:color w:val="000000" w:themeColor="text1"/>
          <w:sz w:val="16"/>
          <w:szCs w:val="16"/>
        </w:rPr>
        <w:softHyphen/>
        <w:t>терь пришлись на летчиков с хорошей и выше летно-боевой подготовкой, в том числе: 21% - на командный со</w:t>
      </w:r>
      <w:r w:rsidRPr="00D03F3E">
        <w:rPr>
          <w:rFonts w:ascii="Times New Roman" w:hAnsi="Times New Roman"/>
          <w:color w:val="000000" w:themeColor="text1"/>
          <w:sz w:val="16"/>
          <w:szCs w:val="16"/>
        </w:rPr>
        <w:softHyphen/>
        <w:t>став полков (командиры полков, штур</w:t>
      </w:r>
      <w:r w:rsidRPr="00D03F3E">
        <w:rPr>
          <w:rFonts w:ascii="Times New Roman" w:hAnsi="Times New Roman"/>
          <w:color w:val="000000" w:themeColor="text1"/>
          <w:sz w:val="16"/>
          <w:szCs w:val="16"/>
        </w:rPr>
        <w:softHyphen/>
        <w:t>маны полков, командиры эскадрилий и звеньев), то есть на очень опытных лет</w:t>
      </w:r>
      <w:r w:rsidRPr="00D03F3E">
        <w:rPr>
          <w:rFonts w:ascii="Times New Roman" w:hAnsi="Times New Roman"/>
          <w:color w:val="000000" w:themeColor="text1"/>
          <w:sz w:val="16"/>
          <w:szCs w:val="16"/>
        </w:rPr>
        <w:softHyphen/>
        <w:t>чиков, и 27% - на старших летчиков с достаточным опытом войны.</w:t>
      </w:r>
    </w:p>
    <w:p w14:paraId="7814034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Отметим, что при подсчетах потери Ил-2, включенные в отчетах полков в графы "не вернулись с боевого зада</w:t>
      </w:r>
      <w:r w:rsidRPr="00D03F3E">
        <w:rPr>
          <w:rFonts w:ascii="Times New Roman" w:hAnsi="Times New Roman"/>
          <w:color w:val="000000" w:themeColor="text1"/>
          <w:sz w:val="16"/>
          <w:szCs w:val="16"/>
        </w:rPr>
        <w:softHyphen/>
        <w:t>ния" и "на вынужденных посадках", рас</w:t>
      </w:r>
      <w:r w:rsidRPr="00D03F3E">
        <w:rPr>
          <w:rFonts w:ascii="Times New Roman" w:hAnsi="Times New Roman"/>
          <w:color w:val="000000" w:themeColor="text1"/>
          <w:sz w:val="16"/>
          <w:szCs w:val="16"/>
        </w:rPr>
        <w:softHyphen/>
        <w:t>пределялись между графами "сбит ис</w:t>
      </w:r>
      <w:r w:rsidRPr="00D03F3E">
        <w:rPr>
          <w:rFonts w:ascii="Times New Roman" w:hAnsi="Times New Roman"/>
          <w:color w:val="000000" w:themeColor="text1"/>
          <w:sz w:val="16"/>
          <w:szCs w:val="16"/>
        </w:rPr>
        <w:softHyphen/>
        <w:t>требительной авиацией" и "сбит зенит</w:t>
      </w:r>
      <w:r w:rsidRPr="00D03F3E">
        <w:rPr>
          <w:rFonts w:ascii="Times New Roman" w:hAnsi="Times New Roman"/>
          <w:color w:val="000000" w:themeColor="text1"/>
          <w:sz w:val="16"/>
          <w:szCs w:val="16"/>
        </w:rPr>
        <w:softHyphen/>
        <w:t>ной артиллерией" исходя из конкрет</w:t>
      </w:r>
      <w:r w:rsidRPr="00D03F3E">
        <w:rPr>
          <w:rFonts w:ascii="Times New Roman" w:hAnsi="Times New Roman"/>
          <w:color w:val="000000" w:themeColor="text1"/>
          <w:sz w:val="16"/>
          <w:szCs w:val="16"/>
        </w:rPr>
        <w:softHyphen/>
        <w:t>ных условий каждого боевого вылета.</w:t>
      </w:r>
    </w:p>
    <w:p w14:paraId="32CE404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Командующий ВВС КА маршал А.А. Новиков</w:t>
      </w:r>
    </w:p>
    <w:p w14:paraId="2D842E3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число безвозвратных потерь летно</w:t>
      </w:r>
      <w:r w:rsidRPr="00D03F3E">
        <w:rPr>
          <w:rFonts w:ascii="Times New Roman" w:hAnsi="Times New Roman"/>
          <w:color w:val="000000" w:themeColor="text1"/>
          <w:sz w:val="16"/>
          <w:szCs w:val="16"/>
        </w:rPr>
        <w:softHyphen/>
        <w:t>го состава вошли летчики и воздуш</w:t>
      </w:r>
      <w:r w:rsidRPr="00D03F3E">
        <w:rPr>
          <w:rFonts w:ascii="Times New Roman" w:hAnsi="Times New Roman"/>
          <w:color w:val="000000" w:themeColor="text1"/>
          <w:sz w:val="16"/>
          <w:szCs w:val="16"/>
        </w:rPr>
        <w:softHyphen/>
        <w:t>ные стрелки, сбитые истребительной авиацией и зенитной артиллерией над территорией противника и не вернув</w:t>
      </w:r>
      <w:r w:rsidRPr="00D03F3E">
        <w:rPr>
          <w:rFonts w:ascii="Times New Roman" w:hAnsi="Times New Roman"/>
          <w:color w:val="000000" w:themeColor="text1"/>
          <w:sz w:val="16"/>
          <w:szCs w:val="16"/>
        </w:rPr>
        <w:softHyphen/>
        <w:t>шиеся с боевого задания, о судьбе которых ничего не известно, а также убитые в бою и раненые, скончавшие</w:t>
      </w:r>
      <w:r w:rsidRPr="00D03F3E">
        <w:rPr>
          <w:rFonts w:ascii="Times New Roman" w:hAnsi="Times New Roman"/>
          <w:color w:val="000000" w:themeColor="text1"/>
          <w:sz w:val="16"/>
          <w:szCs w:val="16"/>
        </w:rPr>
        <w:softHyphen/>
        <w:t>ся в госпиталях.</w:t>
      </w:r>
    </w:p>
    <w:p w14:paraId="42EDF90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сравнения, живучесть бомбар</w:t>
      </w:r>
      <w:r w:rsidRPr="00D03F3E">
        <w:rPr>
          <w:rFonts w:ascii="Times New Roman" w:hAnsi="Times New Roman"/>
          <w:color w:val="000000" w:themeColor="text1"/>
          <w:sz w:val="16"/>
          <w:szCs w:val="16"/>
        </w:rPr>
        <w:softHyphen/>
        <w:t>дировщиков и истребителей при днев</w:t>
      </w:r>
      <w:r w:rsidRPr="00D03F3E">
        <w:rPr>
          <w:rFonts w:ascii="Times New Roman" w:hAnsi="Times New Roman"/>
          <w:color w:val="000000" w:themeColor="text1"/>
          <w:sz w:val="16"/>
          <w:szCs w:val="16"/>
        </w:rPr>
        <w:softHyphen/>
        <w:t>ных налетах на аэродромы противни</w:t>
      </w:r>
      <w:r w:rsidRPr="00D03F3E">
        <w:rPr>
          <w:rFonts w:ascii="Times New Roman" w:hAnsi="Times New Roman"/>
          <w:color w:val="000000" w:themeColor="text1"/>
          <w:sz w:val="16"/>
          <w:szCs w:val="16"/>
        </w:rPr>
        <w:softHyphen/>
        <w:t>ка 6-7 мая составила 12,7 и 16,6 са</w:t>
      </w:r>
      <w:r w:rsidRPr="00D03F3E">
        <w:rPr>
          <w:rFonts w:ascii="Times New Roman" w:hAnsi="Times New Roman"/>
          <w:color w:val="000000" w:themeColor="text1"/>
          <w:sz w:val="16"/>
          <w:szCs w:val="16"/>
        </w:rPr>
        <w:softHyphen/>
        <w:t>молето-вылетов на одну безвозврат</w:t>
      </w:r>
      <w:r w:rsidRPr="00D03F3E">
        <w:rPr>
          <w:rFonts w:ascii="Times New Roman" w:hAnsi="Times New Roman"/>
          <w:color w:val="000000" w:themeColor="text1"/>
          <w:sz w:val="16"/>
          <w:szCs w:val="16"/>
        </w:rPr>
        <w:softHyphen/>
        <w:t>ную потерю, соответственно. При этом потери бомбардировщиков от огня зе</w:t>
      </w:r>
      <w:r w:rsidRPr="00D03F3E">
        <w:rPr>
          <w:rFonts w:ascii="Times New Roman" w:hAnsi="Times New Roman"/>
          <w:color w:val="000000" w:themeColor="text1"/>
          <w:sz w:val="16"/>
          <w:szCs w:val="16"/>
        </w:rPr>
        <w:softHyphen/>
        <w:t>нитной артиллерии и истребителей люфтваффе были почти одинаковыми.</w:t>
      </w:r>
    </w:p>
    <w:p w14:paraId="3E78585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с оценкой своих потерь более или менее понятно, то с оценкой по</w:t>
      </w:r>
      <w:r w:rsidRPr="00D03F3E">
        <w:rPr>
          <w:rFonts w:ascii="Times New Roman" w:hAnsi="Times New Roman"/>
          <w:color w:val="000000" w:themeColor="text1"/>
          <w:sz w:val="16"/>
          <w:szCs w:val="16"/>
        </w:rPr>
        <w:softHyphen/>
        <w:t>терь противника дело обстоит значи</w:t>
      </w:r>
      <w:r w:rsidRPr="00D03F3E">
        <w:rPr>
          <w:rFonts w:ascii="Times New Roman" w:hAnsi="Times New Roman"/>
          <w:color w:val="000000" w:themeColor="text1"/>
          <w:sz w:val="16"/>
          <w:szCs w:val="16"/>
        </w:rPr>
        <w:softHyphen/>
        <w:t>тельно сложнее. Как следует из доку</w:t>
      </w:r>
      <w:r w:rsidRPr="00D03F3E">
        <w:rPr>
          <w:rFonts w:ascii="Times New Roman" w:hAnsi="Times New Roman"/>
          <w:color w:val="000000" w:themeColor="text1"/>
          <w:sz w:val="16"/>
          <w:szCs w:val="16"/>
        </w:rPr>
        <w:softHyphen/>
        <w:t>ментов частей и соединений воздушных армий, потери люфтваффе при дневных ударах по аэродромам по док</w:t>
      </w:r>
      <w:r w:rsidRPr="00D03F3E">
        <w:rPr>
          <w:rFonts w:ascii="Times New Roman" w:hAnsi="Times New Roman"/>
          <w:color w:val="000000" w:themeColor="text1"/>
          <w:sz w:val="16"/>
          <w:szCs w:val="16"/>
        </w:rPr>
        <w:softHyphen/>
        <w:t>ладам экипажей составили 467 само</w:t>
      </w:r>
      <w:r w:rsidRPr="00D03F3E">
        <w:rPr>
          <w:rFonts w:ascii="Times New Roman" w:hAnsi="Times New Roman"/>
          <w:color w:val="000000" w:themeColor="text1"/>
          <w:sz w:val="16"/>
          <w:szCs w:val="16"/>
        </w:rPr>
        <w:softHyphen/>
        <w:t>летов различного типа, в том числе 420 самолетов, уничтоженных и поврежден</w:t>
      </w:r>
      <w:r w:rsidRPr="00D03F3E">
        <w:rPr>
          <w:rFonts w:ascii="Times New Roman" w:hAnsi="Times New Roman"/>
          <w:color w:val="000000" w:themeColor="text1"/>
          <w:sz w:val="16"/>
          <w:szCs w:val="16"/>
        </w:rPr>
        <w:softHyphen/>
        <w:t>ных непосредственно на аэродромах. Из этого числа на долю штурмовиков приходится 308 боевых самолетов, а на долю бомбардировщиков и истре</w:t>
      </w:r>
      <w:r w:rsidRPr="00D03F3E">
        <w:rPr>
          <w:rFonts w:ascii="Times New Roman" w:hAnsi="Times New Roman"/>
          <w:color w:val="000000" w:themeColor="text1"/>
          <w:sz w:val="16"/>
          <w:szCs w:val="16"/>
        </w:rPr>
        <w:softHyphen/>
        <w:t>бителей - 47 и 57 самолетов соответ</w:t>
      </w:r>
      <w:r w:rsidRPr="00D03F3E">
        <w:rPr>
          <w:rFonts w:ascii="Times New Roman" w:hAnsi="Times New Roman"/>
          <w:color w:val="000000" w:themeColor="text1"/>
          <w:sz w:val="16"/>
          <w:szCs w:val="16"/>
        </w:rPr>
        <w:softHyphen/>
        <w:t>ственно. Остальные самолеты были сбиты в воздушных боях: 39 - истре</w:t>
      </w:r>
      <w:r w:rsidRPr="00D03F3E">
        <w:rPr>
          <w:rFonts w:ascii="Times New Roman" w:hAnsi="Times New Roman"/>
          <w:color w:val="000000" w:themeColor="text1"/>
          <w:sz w:val="16"/>
          <w:szCs w:val="16"/>
        </w:rPr>
        <w:softHyphen/>
        <w:t>бителями, 12 - штурмовиками и 4 -бомбардировщиками.</w:t>
      </w:r>
    </w:p>
    <w:p w14:paraId="29E1DBA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Следует учитывать, что основным методом оценки результатов удара яв</w:t>
      </w:r>
      <w:r w:rsidRPr="00D03F3E">
        <w:rPr>
          <w:rFonts w:ascii="Times New Roman" w:hAnsi="Times New Roman"/>
          <w:color w:val="000000" w:themeColor="text1"/>
          <w:sz w:val="16"/>
          <w:szCs w:val="16"/>
        </w:rPr>
        <w:softHyphen/>
        <w:t>лялись наблюдения экипажей штурмо</w:t>
      </w:r>
      <w:r w:rsidRPr="00D03F3E">
        <w:rPr>
          <w:rFonts w:ascii="Times New Roman" w:hAnsi="Times New Roman"/>
          <w:color w:val="000000" w:themeColor="text1"/>
          <w:sz w:val="16"/>
          <w:szCs w:val="16"/>
        </w:rPr>
        <w:softHyphen/>
        <w:t>виков, бомбардировщиков и истреби</w:t>
      </w:r>
      <w:r w:rsidRPr="00D03F3E">
        <w:rPr>
          <w:rFonts w:ascii="Times New Roman" w:hAnsi="Times New Roman"/>
          <w:color w:val="000000" w:themeColor="text1"/>
          <w:sz w:val="16"/>
          <w:szCs w:val="16"/>
        </w:rPr>
        <w:softHyphen/>
        <w:t>телей сопровождения. В некоторых случаях результаты ударов подтверж</w:t>
      </w:r>
      <w:r w:rsidRPr="00D03F3E">
        <w:rPr>
          <w:rFonts w:ascii="Times New Roman" w:hAnsi="Times New Roman"/>
          <w:color w:val="000000" w:themeColor="text1"/>
          <w:sz w:val="16"/>
          <w:szCs w:val="16"/>
        </w:rPr>
        <w:softHyphen/>
        <w:t>дались агентурными данными по линии штаба партизанского движения и по</w:t>
      </w:r>
      <w:r w:rsidRPr="00D03F3E">
        <w:rPr>
          <w:rFonts w:ascii="Times New Roman" w:hAnsi="Times New Roman"/>
          <w:color w:val="000000" w:themeColor="text1"/>
          <w:sz w:val="16"/>
          <w:szCs w:val="16"/>
        </w:rPr>
        <w:softHyphen/>
        <w:t>казаниями пленных немецких летчиков. При анализе оперативных документов штабов полков и дивизий обращает внимание явная корреляция количества наблюдаемых экипажами пожаров на аэродромах с заявленными потерями противника в самолетах. Можно пред</w:t>
      </w:r>
      <w:r w:rsidRPr="00D03F3E">
        <w:rPr>
          <w:rFonts w:ascii="Times New Roman" w:hAnsi="Times New Roman"/>
          <w:color w:val="000000" w:themeColor="text1"/>
          <w:sz w:val="16"/>
          <w:szCs w:val="16"/>
        </w:rPr>
        <w:softHyphen/>
        <w:t>положить, что количество уничтожен</w:t>
      </w:r>
      <w:r w:rsidRPr="00D03F3E">
        <w:rPr>
          <w:rFonts w:ascii="Times New Roman" w:hAnsi="Times New Roman"/>
          <w:color w:val="000000" w:themeColor="text1"/>
          <w:sz w:val="16"/>
          <w:szCs w:val="16"/>
        </w:rPr>
        <w:softHyphen/>
        <w:t>ных самолетов в ходе ударов опреде</w:t>
      </w:r>
      <w:r w:rsidRPr="00D03F3E">
        <w:rPr>
          <w:rFonts w:ascii="Times New Roman" w:hAnsi="Times New Roman"/>
          <w:color w:val="000000" w:themeColor="text1"/>
          <w:sz w:val="16"/>
          <w:szCs w:val="16"/>
        </w:rPr>
        <w:softHyphen/>
        <w:t>лялось в штабах по количеству пожа</w:t>
      </w:r>
      <w:r w:rsidRPr="00D03F3E">
        <w:rPr>
          <w:rFonts w:ascii="Times New Roman" w:hAnsi="Times New Roman"/>
          <w:color w:val="000000" w:themeColor="text1"/>
          <w:sz w:val="16"/>
          <w:szCs w:val="16"/>
        </w:rPr>
        <w:softHyphen/>
        <w:t>ров на аэродромах. Во всяком случае, эти данные, несомненно, учитывались при составлении итоговых донесений и сводок.</w:t>
      </w:r>
    </w:p>
    <w:p w14:paraId="58B515B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тем количество ударов по аэродромам, сопровождавшихся фото</w:t>
      </w:r>
      <w:r w:rsidRPr="00D03F3E">
        <w:rPr>
          <w:rFonts w:ascii="Times New Roman" w:hAnsi="Times New Roman"/>
          <w:color w:val="000000" w:themeColor="text1"/>
          <w:sz w:val="16"/>
          <w:szCs w:val="16"/>
        </w:rPr>
        <w:softHyphen/>
        <w:t>графированием результатов, оказа</w:t>
      </w:r>
      <w:r w:rsidRPr="00D03F3E">
        <w:rPr>
          <w:rFonts w:ascii="Times New Roman" w:hAnsi="Times New Roman"/>
          <w:color w:val="000000" w:themeColor="text1"/>
          <w:sz w:val="16"/>
          <w:szCs w:val="16"/>
        </w:rPr>
        <w:softHyphen/>
        <w:t>лось весьма небольшим — всего 5,6% всех налетов. Характерно, что при вы</w:t>
      </w:r>
      <w:r w:rsidRPr="00D03F3E">
        <w:rPr>
          <w:rFonts w:ascii="Times New Roman" w:hAnsi="Times New Roman"/>
          <w:color w:val="000000" w:themeColor="text1"/>
          <w:sz w:val="16"/>
          <w:szCs w:val="16"/>
        </w:rPr>
        <w:softHyphen/>
        <w:t>полнении первых ударов 6 мая фото</w:t>
      </w:r>
      <w:r w:rsidRPr="00D03F3E">
        <w:rPr>
          <w:rFonts w:ascii="Times New Roman" w:hAnsi="Times New Roman"/>
          <w:color w:val="000000" w:themeColor="text1"/>
          <w:sz w:val="16"/>
          <w:szCs w:val="16"/>
        </w:rPr>
        <w:softHyphen/>
        <w:t>контроль результатов проводился, но при всех повторных налетах фотогра</w:t>
      </w:r>
      <w:r w:rsidRPr="00D03F3E">
        <w:rPr>
          <w:rFonts w:ascii="Times New Roman" w:hAnsi="Times New Roman"/>
          <w:color w:val="000000" w:themeColor="text1"/>
          <w:sz w:val="16"/>
          <w:szCs w:val="16"/>
        </w:rPr>
        <w:softHyphen/>
        <w:t>фирование аэродромов практически не выполнялось, хотя метеоусловия в рай</w:t>
      </w:r>
      <w:r w:rsidRPr="00D03F3E">
        <w:rPr>
          <w:rFonts w:ascii="Times New Roman" w:hAnsi="Times New Roman"/>
          <w:color w:val="000000" w:themeColor="text1"/>
          <w:sz w:val="16"/>
          <w:szCs w:val="16"/>
        </w:rPr>
        <w:softHyphen/>
        <w:t>оне целей вполне позволяли произво</w:t>
      </w:r>
      <w:r w:rsidRPr="00D03F3E">
        <w:rPr>
          <w:rFonts w:ascii="Times New Roman" w:hAnsi="Times New Roman"/>
          <w:color w:val="000000" w:themeColor="text1"/>
          <w:sz w:val="16"/>
          <w:szCs w:val="16"/>
        </w:rPr>
        <w:softHyphen/>
        <w:t>дить фотосъемку.</w:t>
      </w:r>
    </w:p>
    <w:p w14:paraId="360E410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Возможно, это связано с низким ко</w:t>
      </w:r>
      <w:r w:rsidRPr="00D03F3E">
        <w:rPr>
          <w:rFonts w:ascii="Times New Roman" w:hAnsi="Times New Roman"/>
          <w:color w:val="000000" w:themeColor="text1"/>
          <w:sz w:val="16"/>
          <w:szCs w:val="16"/>
        </w:rPr>
        <w:softHyphen/>
        <w:t>эффициентом подтверждаемости по</w:t>
      </w:r>
      <w:r w:rsidRPr="00D03F3E">
        <w:rPr>
          <w:rFonts w:ascii="Times New Roman" w:hAnsi="Times New Roman"/>
          <w:color w:val="000000" w:themeColor="text1"/>
          <w:sz w:val="16"/>
          <w:szCs w:val="16"/>
        </w:rPr>
        <w:softHyphen/>
        <w:t>терь противника. Например, из 25 са</w:t>
      </w:r>
      <w:r w:rsidRPr="00D03F3E">
        <w:rPr>
          <w:rFonts w:ascii="Times New Roman" w:hAnsi="Times New Roman"/>
          <w:color w:val="000000" w:themeColor="text1"/>
          <w:sz w:val="16"/>
          <w:szCs w:val="16"/>
        </w:rPr>
        <w:softHyphen/>
        <w:t>молетов, уничтоженных и поврежден</w:t>
      </w:r>
      <w:r w:rsidRPr="00D03F3E">
        <w:rPr>
          <w:rFonts w:ascii="Times New Roman" w:hAnsi="Times New Roman"/>
          <w:color w:val="000000" w:themeColor="text1"/>
          <w:sz w:val="16"/>
          <w:szCs w:val="16"/>
        </w:rPr>
        <w:softHyphen/>
        <w:t>ных по докладам экипажей на аэро</w:t>
      </w:r>
      <w:r w:rsidRPr="00D03F3E">
        <w:rPr>
          <w:rFonts w:ascii="Times New Roman" w:hAnsi="Times New Roman"/>
          <w:color w:val="000000" w:themeColor="text1"/>
          <w:sz w:val="16"/>
          <w:szCs w:val="16"/>
        </w:rPr>
        <w:softHyphen/>
        <w:t>дромах Шаталово и Боровское утром 6 мая, фотоконтроль подтвердил все</w:t>
      </w:r>
      <w:r w:rsidRPr="00D03F3E">
        <w:rPr>
          <w:rFonts w:ascii="Times New Roman" w:hAnsi="Times New Roman"/>
          <w:color w:val="000000" w:themeColor="text1"/>
          <w:sz w:val="16"/>
          <w:szCs w:val="16"/>
        </w:rPr>
        <w:softHyphen/>
        <w:t>го 14 самолетов как поврежденных, а из 30 самолетов на аэродроме Рогань - только 6.</w:t>
      </w:r>
    </w:p>
    <w:p w14:paraId="5BE2856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другой стороны, фотографирова</w:t>
      </w:r>
      <w:r w:rsidRPr="00D03F3E">
        <w:rPr>
          <w:rFonts w:ascii="Times New Roman" w:hAnsi="Times New Roman"/>
          <w:color w:val="000000" w:themeColor="text1"/>
          <w:sz w:val="16"/>
          <w:szCs w:val="16"/>
        </w:rPr>
        <w:softHyphen/>
        <w:t>ние результатов удара в условиях, ког</w:t>
      </w:r>
      <w:r w:rsidRPr="00D03F3E">
        <w:rPr>
          <w:rFonts w:ascii="Times New Roman" w:hAnsi="Times New Roman"/>
          <w:color w:val="000000" w:themeColor="text1"/>
          <w:sz w:val="16"/>
          <w:szCs w:val="16"/>
        </w:rPr>
        <w:softHyphen/>
        <w:t xml:space="preserve">да </w:t>
      </w:r>
      <w:r w:rsidRPr="00D03F3E">
        <w:rPr>
          <w:rFonts w:ascii="Times New Roman" w:hAnsi="Times New Roman"/>
          <w:iCs/>
          <w:color w:val="000000" w:themeColor="text1"/>
          <w:sz w:val="16"/>
          <w:szCs w:val="16"/>
        </w:rPr>
        <w:t>"прицельно бьет зенитная артилле</w:t>
      </w:r>
      <w:r w:rsidRPr="00D03F3E">
        <w:rPr>
          <w:rFonts w:ascii="Times New Roman" w:hAnsi="Times New Roman"/>
          <w:iCs/>
          <w:color w:val="000000" w:themeColor="text1"/>
          <w:sz w:val="16"/>
          <w:szCs w:val="16"/>
        </w:rPr>
        <w:softHyphen/>
        <w:t>рия и охотится истребительная авиа</w:t>
      </w:r>
      <w:r w:rsidRPr="00D03F3E">
        <w:rPr>
          <w:rFonts w:ascii="Times New Roman" w:hAnsi="Times New Roman"/>
          <w:iCs/>
          <w:color w:val="000000" w:themeColor="text1"/>
          <w:sz w:val="16"/>
          <w:szCs w:val="16"/>
        </w:rPr>
        <w:softHyphen/>
        <w:t xml:space="preserve">ция противника", </w:t>
      </w:r>
      <w:r w:rsidRPr="00D03F3E">
        <w:rPr>
          <w:rFonts w:ascii="Times New Roman" w:hAnsi="Times New Roman"/>
          <w:color w:val="000000" w:themeColor="text1"/>
          <w:sz w:val="16"/>
          <w:szCs w:val="16"/>
        </w:rPr>
        <w:t>было делом весьма сложным и опасным. Дело в том, что для получения качественных фотосним</w:t>
      </w:r>
      <w:r w:rsidRPr="00D03F3E">
        <w:rPr>
          <w:rFonts w:ascii="Times New Roman" w:hAnsi="Times New Roman"/>
          <w:color w:val="000000" w:themeColor="text1"/>
          <w:sz w:val="16"/>
          <w:szCs w:val="16"/>
        </w:rPr>
        <w:softHyphen/>
        <w:t>ков необходимо было строго соблю</w:t>
      </w:r>
      <w:r w:rsidRPr="00D03F3E">
        <w:rPr>
          <w:rFonts w:ascii="Times New Roman" w:hAnsi="Times New Roman"/>
          <w:color w:val="000000" w:themeColor="text1"/>
          <w:sz w:val="16"/>
          <w:szCs w:val="16"/>
        </w:rPr>
        <w:softHyphen/>
        <w:t>дать режим полета - скорость, высоту и т.д., со всеми вытекающими последствиями для экипажа. Как правило, самолеты-"фотографы", будучи замы</w:t>
      </w:r>
      <w:r w:rsidRPr="00D03F3E">
        <w:rPr>
          <w:rFonts w:ascii="Times New Roman" w:hAnsi="Times New Roman"/>
          <w:color w:val="000000" w:themeColor="text1"/>
          <w:sz w:val="16"/>
          <w:szCs w:val="16"/>
        </w:rPr>
        <w:softHyphen/>
        <w:t>кающими в группе или выполнявшими пролет над аэродромом через несколь</w:t>
      </w:r>
      <w:r w:rsidRPr="00D03F3E">
        <w:rPr>
          <w:rFonts w:ascii="Times New Roman" w:hAnsi="Times New Roman"/>
          <w:color w:val="000000" w:themeColor="text1"/>
          <w:sz w:val="16"/>
          <w:szCs w:val="16"/>
        </w:rPr>
        <w:softHyphen/>
        <w:t>ко минут после ударных групп, доволь</w:t>
      </w:r>
      <w:r w:rsidRPr="00D03F3E">
        <w:rPr>
          <w:rFonts w:ascii="Times New Roman" w:hAnsi="Times New Roman"/>
          <w:color w:val="000000" w:themeColor="text1"/>
          <w:sz w:val="16"/>
          <w:szCs w:val="16"/>
        </w:rPr>
        <w:softHyphen/>
        <w:t>но легко "снимались" немецкими зенит</w:t>
      </w:r>
      <w:r w:rsidRPr="00D03F3E">
        <w:rPr>
          <w:rFonts w:ascii="Times New Roman" w:hAnsi="Times New Roman"/>
          <w:color w:val="000000" w:themeColor="text1"/>
          <w:sz w:val="16"/>
          <w:szCs w:val="16"/>
        </w:rPr>
        <w:softHyphen/>
        <w:t>чиками и перехватывались истребите</w:t>
      </w:r>
      <w:r w:rsidRPr="00D03F3E">
        <w:rPr>
          <w:rFonts w:ascii="Times New Roman" w:hAnsi="Times New Roman"/>
          <w:color w:val="000000" w:themeColor="text1"/>
          <w:sz w:val="16"/>
          <w:szCs w:val="16"/>
        </w:rPr>
        <w:softHyphen/>
        <w:t>лями люфтваффе. Вместе с самолетом терялась и ценная материальная часть - фотоаппарат. А их в частях и БАО всегда ощущался недостаток...</w:t>
      </w:r>
    </w:p>
    <w:p w14:paraId="1C25DAE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Сопоставление результатов ударов по докладам летчиков с имеющимися данными фотоконтроля, а также оцен</w:t>
      </w:r>
      <w:r w:rsidRPr="00D03F3E">
        <w:rPr>
          <w:rFonts w:ascii="Times New Roman" w:hAnsi="Times New Roman"/>
          <w:color w:val="000000" w:themeColor="text1"/>
          <w:sz w:val="16"/>
          <w:szCs w:val="16"/>
        </w:rPr>
        <w:softHyphen/>
        <w:t>ка боевых возможностей Ил-2 по ма</w:t>
      </w:r>
      <w:r w:rsidRPr="00D03F3E">
        <w:rPr>
          <w:rFonts w:ascii="Times New Roman" w:hAnsi="Times New Roman"/>
          <w:color w:val="000000" w:themeColor="text1"/>
          <w:sz w:val="16"/>
          <w:szCs w:val="16"/>
        </w:rPr>
        <w:softHyphen/>
        <w:t>териалам полигонных испытаний его вооружения при действии по самоле</w:t>
      </w:r>
      <w:r w:rsidRPr="00D03F3E">
        <w:rPr>
          <w:rFonts w:ascii="Times New Roman" w:hAnsi="Times New Roman"/>
          <w:color w:val="000000" w:themeColor="text1"/>
          <w:sz w:val="16"/>
          <w:szCs w:val="16"/>
        </w:rPr>
        <w:softHyphen/>
        <w:t>там позволяет утверждать, что реаль</w:t>
      </w:r>
      <w:r w:rsidRPr="00D03F3E">
        <w:rPr>
          <w:rFonts w:ascii="Times New Roman" w:hAnsi="Times New Roman"/>
          <w:color w:val="000000" w:themeColor="text1"/>
          <w:sz w:val="16"/>
          <w:szCs w:val="16"/>
        </w:rPr>
        <w:softHyphen/>
        <w:t>ные потери люфтваффе в течение 6 и 7 мая на аэродромах от советских штурмовиков составили не более 120-130 самолетов. То есть эффективность штурмовиков примерно в 2,5-3 раза была ниже, чем докладывалось экипа</w:t>
      </w:r>
      <w:r w:rsidRPr="00D03F3E">
        <w:rPr>
          <w:rFonts w:ascii="Times New Roman" w:hAnsi="Times New Roman"/>
          <w:color w:val="000000" w:themeColor="text1"/>
          <w:sz w:val="16"/>
          <w:szCs w:val="16"/>
        </w:rPr>
        <w:softHyphen/>
        <w:t>жами.</w:t>
      </w:r>
    </w:p>
    <w:p w14:paraId="734A9E4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учесть эффективность действия бомбардировщиков и истребителей, то общие потери люфтваффе на аэродро</w:t>
      </w:r>
      <w:r w:rsidRPr="00D03F3E">
        <w:rPr>
          <w:rFonts w:ascii="Times New Roman" w:hAnsi="Times New Roman"/>
          <w:color w:val="000000" w:themeColor="text1"/>
          <w:sz w:val="16"/>
          <w:szCs w:val="16"/>
        </w:rPr>
        <w:softHyphen/>
        <w:t>мах можно оценить в 170-180 самоле</w:t>
      </w:r>
      <w:r w:rsidRPr="00D03F3E">
        <w:rPr>
          <w:rFonts w:ascii="Times New Roman" w:hAnsi="Times New Roman"/>
          <w:color w:val="000000" w:themeColor="text1"/>
          <w:sz w:val="16"/>
          <w:szCs w:val="16"/>
        </w:rPr>
        <w:softHyphen/>
        <w:t>тов, уничтоженных и выведенных из строя.</w:t>
      </w:r>
    </w:p>
    <w:p w14:paraId="10A656D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Несомненно, количество немецких самолетов, сбитых советскими летчи</w:t>
      </w:r>
      <w:r w:rsidRPr="00D03F3E">
        <w:rPr>
          <w:rFonts w:ascii="Times New Roman" w:hAnsi="Times New Roman"/>
          <w:color w:val="000000" w:themeColor="text1"/>
          <w:sz w:val="16"/>
          <w:szCs w:val="16"/>
        </w:rPr>
        <w:softHyphen/>
        <w:t>ками в воздушных боях, также завы</w:t>
      </w:r>
      <w:r w:rsidRPr="00D03F3E">
        <w:rPr>
          <w:rFonts w:ascii="Times New Roman" w:hAnsi="Times New Roman"/>
          <w:color w:val="000000" w:themeColor="text1"/>
          <w:sz w:val="16"/>
          <w:szCs w:val="16"/>
        </w:rPr>
        <w:softHyphen/>
        <w:t>шено и требует уточнения.</w:t>
      </w:r>
    </w:p>
    <w:p w14:paraId="585E628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Анализ распределения потерь и эф</w:t>
      </w:r>
      <w:r w:rsidRPr="00D03F3E">
        <w:rPr>
          <w:rFonts w:ascii="Times New Roman" w:hAnsi="Times New Roman"/>
          <w:color w:val="000000" w:themeColor="text1"/>
          <w:sz w:val="16"/>
          <w:szCs w:val="16"/>
        </w:rPr>
        <w:softHyphen/>
        <w:t>фективности ударов по времени их на</w:t>
      </w:r>
      <w:r w:rsidRPr="00D03F3E">
        <w:rPr>
          <w:rFonts w:ascii="Times New Roman" w:hAnsi="Times New Roman"/>
          <w:color w:val="000000" w:themeColor="text1"/>
          <w:sz w:val="16"/>
          <w:szCs w:val="16"/>
        </w:rPr>
        <w:softHyphen/>
        <w:t>несения позволяет сделать вполне оче</w:t>
      </w:r>
      <w:r w:rsidRPr="00D03F3E">
        <w:rPr>
          <w:rFonts w:ascii="Times New Roman" w:hAnsi="Times New Roman"/>
          <w:color w:val="000000" w:themeColor="text1"/>
          <w:sz w:val="16"/>
          <w:szCs w:val="16"/>
        </w:rPr>
        <w:softHyphen/>
        <w:t>видный вывод: наибольший эффект был достигнут именно в первых ударах ут</w:t>
      </w:r>
      <w:r w:rsidRPr="00D03F3E">
        <w:rPr>
          <w:rFonts w:ascii="Times New Roman" w:hAnsi="Times New Roman"/>
          <w:color w:val="000000" w:themeColor="text1"/>
          <w:sz w:val="16"/>
          <w:szCs w:val="16"/>
        </w:rPr>
        <w:softHyphen/>
        <w:t>ром 6 мая, когда сказывался эффект внезапности налетов.</w:t>
      </w:r>
    </w:p>
    <w:p w14:paraId="37F6A88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Можно считать, что в утренних на</w:t>
      </w:r>
      <w:r w:rsidRPr="00D03F3E">
        <w:rPr>
          <w:rFonts w:ascii="Times New Roman" w:hAnsi="Times New Roman"/>
          <w:color w:val="000000" w:themeColor="text1"/>
          <w:sz w:val="16"/>
          <w:szCs w:val="16"/>
        </w:rPr>
        <w:softHyphen/>
        <w:t>летах Ил-2 немцы лишились на аэро</w:t>
      </w:r>
      <w:r w:rsidRPr="00D03F3E">
        <w:rPr>
          <w:rFonts w:ascii="Times New Roman" w:hAnsi="Times New Roman"/>
          <w:color w:val="000000" w:themeColor="text1"/>
          <w:sz w:val="16"/>
          <w:szCs w:val="16"/>
        </w:rPr>
        <w:softHyphen/>
        <w:t>дромах около 45-50 самолетов про</w:t>
      </w:r>
      <w:r w:rsidRPr="00D03F3E">
        <w:rPr>
          <w:rFonts w:ascii="Times New Roman" w:hAnsi="Times New Roman"/>
          <w:color w:val="000000" w:themeColor="text1"/>
          <w:sz w:val="16"/>
          <w:szCs w:val="16"/>
        </w:rPr>
        <w:softHyphen/>
        <w:t>тив 35-40 в повторных ударах. Общие же потери люфтваффе могли составить, соответственно, 70-75 и 50-55 само</w:t>
      </w:r>
      <w:r w:rsidRPr="00D03F3E">
        <w:rPr>
          <w:rFonts w:ascii="Times New Roman" w:hAnsi="Times New Roman"/>
          <w:color w:val="000000" w:themeColor="text1"/>
          <w:sz w:val="16"/>
          <w:szCs w:val="16"/>
        </w:rPr>
        <w:softHyphen/>
        <w:t>летов в том и другом случаях. Причем, что важно, если утром 6 мая потери противника более чем в 4 раза пре</w:t>
      </w:r>
      <w:r w:rsidRPr="00D03F3E">
        <w:rPr>
          <w:rFonts w:ascii="Times New Roman" w:hAnsi="Times New Roman"/>
          <w:color w:val="000000" w:themeColor="text1"/>
          <w:sz w:val="16"/>
          <w:szCs w:val="16"/>
        </w:rPr>
        <w:softHyphen/>
        <w:t>высили потери Ил-2, то во всех повтор</w:t>
      </w:r>
      <w:r w:rsidRPr="00D03F3E">
        <w:rPr>
          <w:rFonts w:ascii="Times New Roman" w:hAnsi="Times New Roman"/>
          <w:color w:val="000000" w:themeColor="text1"/>
          <w:sz w:val="16"/>
          <w:szCs w:val="16"/>
        </w:rPr>
        <w:softHyphen/>
        <w:t>ных ударах потери в штурмовиках по</w:t>
      </w:r>
      <w:r w:rsidRPr="00D03F3E">
        <w:rPr>
          <w:rFonts w:ascii="Times New Roman" w:hAnsi="Times New Roman"/>
          <w:color w:val="000000" w:themeColor="text1"/>
          <w:sz w:val="16"/>
          <w:szCs w:val="16"/>
        </w:rPr>
        <w:softHyphen/>
        <w:t>чти совпали с потерями противника. То есть днем и вечером 6 мая советская сторона фактически разменивала каж</w:t>
      </w:r>
      <w:r w:rsidRPr="00D03F3E">
        <w:rPr>
          <w:rFonts w:ascii="Times New Roman" w:hAnsi="Times New Roman"/>
          <w:color w:val="000000" w:themeColor="text1"/>
          <w:sz w:val="16"/>
          <w:szCs w:val="16"/>
        </w:rPr>
        <w:softHyphen/>
        <w:t>дый потерянный Ил-2 на один самолет люфтваффе.</w:t>
      </w:r>
    </w:p>
    <w:p w14:paraId="0CAB90C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Последнее обстоятельство объясня</w:t>
      </w:r>
      <w:r w:rsidRPr="00D03F3E">
        <w:rPr>
          <w:rFonts w:ascii="Times New Roman" w:hAnsi="Times New Roman"/>
          <w:color w:val="000000" w:themeColor="text1"/>
          <w:sz w:val="16"/>
          <w:szCs w:val="16"/>
        </w:rPr>
        <w:softHyphen/>
        <w:t>ется резким ростом противодействия немецкой противовоздушной обороны и истребительной авиации при выполне</w:t>
      </w:r>
      <w:r w:rsidRPr="00D03F3E">
        <w:rPr>
          <w:rFonts w:ascii="Times New Roman" w:hAnsi="Times New Roman"/>
          <w:color w:val="000000" w:themeColor="text1"/>
          <w:sz w:val="16"/>
          <w:szCs w:val="16"/>
        </w:rPr>
        <w:softHyphen/>
        <w:t>нии повторных налетов на аэродромы.</w:t>
      </w:r>
    </w:p>
    <w:p w14:paraId="2CDD8D9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Действительно, утром 6 мая воздуш</w:t>
      </w:r>
      <w:r w:rsidRPr="00D03F3E">
        <w:rPr>
          <w:rFonts w:ascii="Times New Roman" w:hAnsi="Times New Roman"/>
          <w:color w:val="000000" w:themeColor="text1"/>
          <w:sz w:val="16"/>
          <w:szCs w:val="16"/>
        </w:rPr>
        <w:softHyphen/>
        <w:t>ные бои вели только 4 группы Ил-2 из 17 вылетавших на боевое задание групп, а при повторных ударах - уже 13 из 14 групп штурмовиков. При этом наряд сил истребителей для обеспече</w:t>
      </w:r>
      <w:r w:rsidRPr="00D03F3E">
        <w:rPr>
          <w:rFonts w:ascii="Times New Roman" w:hAnsi="Times New Roman"/>
          <w:color w:val="000000" w:themeColor="text1"/>
          <w:sz w:val="16"/>
          <w:szCs w:val="16"/>
        </w:rPr>
        <w:softHyphen/>
        <w:t>ния действий Ил-2 (сопровождение групп и блокировка аэродромов про</w:t>
      </w:r>
      <w:r w:rsidRPr="00D03F3E">
        <w:rPr>
          <w:rFonts w:ascii="Times New Roman" w:hAnsi="Times New Roman"/>
          <w:color w:val="000000" w:themeColor="text1"/>
          <w:sz w:val="16"/>
          <w:szCs w:val="16"/>
        </w:rPr>
        <w:softHyphen/>
        <w:t>тивника) серьезно не увеличился. В пересчете на один самолето-вылет Ил-2 истребители выполнили 1,7 и 1,8 самолето-вылетов утром и во второй половине дня соответственно. Как следствие, при повторных ударах боевая живучесть штурмовиков снизилась по</w:t>
      </w:r>
      <w:r w:rsidRPr="00D03F3E">
        <w:rPr>
          <w:rFonts w:ascii="Times New Roman" w:hAnsi="Times New Roman"/>
          <w:color w:val="000000" w:themeColor="text1"/>
          <w:sz w:val="16"/>
          <w:szCs w:val="16"/>
        </w:rPr>
        <w:softHyphen/>
        <w:t>чти в 3,4 раза - с 9,9 до 2,9 самоле</w:t>
      </w:r>
      <w:r w:rsidRPr="00D03F3E">
        <w:rPr>
          <w:rFonts w:ascii="Times New Roman" w:hAnsi="Times New Roman"/>
          <w:color w:val="000000" w:themeColor="text1"/>
          <w:sz w:val="16"/>
          <w:szCs w:val="16"/>
        </w:rPr>
        <w:softHyphen/>
        <w:t>то-вылетов на одну потерю Ил-2.</w:t>
      </w:r>
    </w:p>
    <w:p w14:paraId="4A8E94C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свою очередь, потери истребите</w:t>
      </w:r>
      <w:r w:rsidRPr="00D03F3E">
        <w:rPr>
          <w:rFonts w:ascii="Times New Roman" w:hAnsi="Times New Roman"/>
          <w:color w:val="000000" w:themeColor="text1"/>
          <w:sz w:val="16"/>
          <w:szCs w:val="16"/>
        </w:rPr>
        <w:softHyphen/>
        <w:t>лей при повторных ударах 6 мая удво</w:t>
      </w:r>
      <w:r w:rsidRPr="00D03F3E">
        <w:rPr>
          <w:rFonts w:ascii="Times New Roman" w:hAnsi="Times New Roman"/>
          <w:color w:val="000000" w:themeColor="text1"/>
          <w:sz w:val="16"/>
          <w:szCs w:val="16"/>
        </w:rPr>
        <w:softHyphen/>
        <w:t>ились - с 8 до 16 самолетов, что при фактически одинаковой интенсивнос</w:t>
      </w:r>
      <w:r w:rsidRPr="00D03F3E">
        <w:rPr>
          <w:rFonts w:ascii="Times New Roman" w:hAnsi="Times New Roman"/>
          <w:color w:val="000000" w:themeColor="text1"/>
          <w:sz w:val="16"/>
          <w:szCs w:val="16"/>
        </w:rPr>
        <w:softHyphen/>
        <w:t>ти вылетов привело примерно к дву</w:t>
      </w:r>
      <w:r w:rsidRPr="00D03F3E">
        <w:rPr>
          <w:rFonts w:ascii="Times New Roman" w:hAnsi="Times New Roman"/>
          <w:color w:val="000000" w:themeColor="text1"/>
          <w:sz w:val="16"/>
          <w:szCs w:val="16"/>
        </w:rPr>
        <w:softHyphen/>
        <w:t>кратному понижению их живучести - с 28 до 13,8 самолето-вылетов на одну безвозвратную потерю.</w:t>
      </w:r>
    </w:p>
    <w:p w14:paraId="5AEE80D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Потери штурмовиков от истребите</w:t>
      </w:r>
      <w:r w:rsidRPr="00D03F3E">
        <w:rPr>
          <w:rFonts w:ascii="Times New Roman" w:hAnsi="Times New Roman"/>
          <w:color w:val="000000" w:themeColor="text1"/>
          <w:sz w:val="16"/>
          <w:szCs w:val="16"/>
        </w:rPr>
        <w:softHyphen/>
        <w:t>лей противника в сравнении с утрен</w:t>
      </w:r>
      <w:r w:rsidRPr="00D03F3E">
        <w:rPr>
          <w:rFonts w:ascii="Times New Roman" w:hAnsi="Times New Roman"/>
          <w:color w:val="000000" w:themeColor="text1"/>
          <w:sz w:val="16"/>
          <w:szCs w:val="16"/>
        </w:rPr>
        <w:softHyphen/>
        <w:t>ними ударами резко возросли - с 5 до 18 самолетов, хотя эффективность прикрытия своими истребителями ухуд</w:t>
      </w:r>
      <w:r w:rsidRPr="00D03F3E">
        <w:rPr>
          <w:rFonts w:ascii="Times New Roman" w:hAnsi="Times New Roman"/>
          <w:color w:val="000000" w:themeColor="text1"/>
          <w:sz w:val="16"/>
          <w:szCs w:val="16"/>
        </w:rPr>
        <w:softHyphen/>
        <w:t>шилась незначительно - с 1,3 до 1,4 самолетов Ил-2, в среднем сбитых в каждой группе штурмовиков, которые были атакованы пилотами люфтваффе.</w:t>
      </w:r>
    </w:p>
    <w:p w14:paraId="0AD19D3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Утром 7 мая картина примерно та</w:t>
      </w:r>
      <w:r w:rsidRPr="00D03F3E">
        <w:rPr>
          <w:rFonts w:ascii="Times New Roman" w:hAnsi="Times New Roman"/>
          <w:color w:val="000000" w:themeColor="text1"/>
          <w:sz w:val="16"/>
          <w:szCs w:val="16"/>
        </w:rPr>
        <w:softHyphen/>
        <w:t>кая же. Выделяемый ресурс истреби</w:t>
      </w:r>
      <w:r w:rsidRPr="00D03F3E">
        <w:rPr>
          <w:rFonts w:ascii="Times New Roman" w:hAnsi="Times New Roman"/>
          <w:color w:val="000000" w:themeColor="text1"/>
          <w:sz w:val="16"/>
          <w:szCs w:val="16"/>
        </w:rPr>
        <w:softHyphen/>
        <w:t>телей для обеспечения действий штур</w:t>
      </w:r>
      <w:r w:rsidRPr="00D03F3E">
        <w:rPr>
          <w:rFonts w:ascii="Times New Roman" w:hAnsi="Times New Roman"/>
          <w:color w:val="000000" w:themeColor="text1"/>
          <w:sz w:val="16"/>
          <w:szCs w:val="16"/>
        </w:rPr>
        <w:softHyphen/>
        <w:t>мовиков остался почти на прежнем уровне - на один вылет Ил-2 пришлось 1,9 самолето-вылетов истребителей. Вероятность встречи с истребителями противника и ведения с ними воздуш</w:t>
      </w:r>
      <w:r w:rsidRPr="00D03F3E">
        <w:rPr>
          <w:rFonts w:ascii="Times New Roman" w:hAnsi="Times New Roman"/>
          <w:color w:val="000000" w:themeColor="text1"/>
          <w:sz w:val="16"/>
          <w:szCs w:val="16"/>
        </w:rPr>
        <w:softHyphen/>
        <w:t>ного боя в сравнении с повторными ударами 6 мая не увеличилась, но про</w:t>
      </w:r>
      <w:r w:rsidRPr="00D03F3E">
        <w:rPr>
          <w:rFonts w:ascii="Times New Roman" w:hAnsi="Times New Roman"/>
          <w:color w:val="000000" w:themeColor="text1"/>
          <w:sz w:val="16"/>
          <w:szCs w:val="16"/>
        </w:rPr>
        <w:softHyphen/>
        <w:t>тивник стал применять свою истреби</w:t>
      </w:r>
      <w:r w:rsidRPr="00D03F3E">
        <w:rPr>
          <w:rFonts w:ascii="Times New Roman" w:hAnsi="Times New Roman"/>
          <w:color w:val="000000" w:themeColor="text1"/>
          <w:sz w:val="16"/>
          <w:szCs w:val="16"/>
        </w:rPr>
        <w:softHyphen/>
        <w:t>тельную авиацию значительно более массированно, чем в предыдущий день. Поэтому эффективность работы истре</w:t>
      </w:r>
      <w:r w:rsidRPr="00D03F3E">
        <w:rPr>
          <w:rFonts w:ascii="Times New Roman" w:hAnsi="Times New Roman"/>
          <w:color w:val="000000" w:themeColor="text1"/>
          <w:sz w:val="16"/>
          <w:szCs w:val="16"/>
        </w:rPr>
        <w:softHyphen/>
        <w:t>бителей сопровождения по обеспече</w:t>
      </w:r>
      <w:r w:rsidRPr="00D03F3E">
        <w:rPr>
          <w:rFonts w:ascii="Times New Roman" w:hAnsi="Times New Roman"/>
          <w:color w:val="000000" w:themeColor="text1"/>
          <w:sz w:val="16"/>
          <w:szCs w:val="16"/>
        </w:rPr>
        <w:softHyphen/>
        <w:t>нию действий штурмовиков понизилась в 1,7 раза - потери каждой атакован</w:t>
      </w:r>
      <w:r w:rsidRPr="00D03F3E">
        <w:rPr>
          <w:rFonts w:ascii="Times New Roman" w:hAnsi="Times New Roman"/>
          <w:color w:val="000000" w:themeColor="text1"/>
          <w:sz w:val="16"/>
          <w:szCs w:val="16"/>
        </w:rPr>
        <w:softHyphen/>
        <w:t>ной истребителями противника группы Ил-2 в среднем составили 2,3 самоле</w:t>
      </w:r>
      <w:r w:rsidRPr="00D03F3E">
        <w:rPr>
          <w:rFonts w:ascii="Times New Roman" w:hAnsi="Times New Roman"/>
          <w:color w:val="000000" w:themeColor="text1"/>
          <w:sz w:val="16"/>
          <w:szCs w:val="16"/>
        </w:rPr>
        <w:softHyphen/>
        <w:t>та. Как следствие, живучесть Ил-2 со</w:t>
      </w:r>
      <w:r w:rsidRPr="00D03F3E">
        <w:rPr>
          <w:rFonts w:ascii="Times New Roman" w:hAnsi="Times New Roman"/>
          <w:color w:val="000000" w:themeColor="text1"/>
          <w:sz w:val="16"/>
          <w:szCs w:val="16"/>
        </w:rPr>
        <w:softHyphen/>
        <w:t>ставила всего 2,8 самолето-вылетов на одну боевую потерю штурмовика, а потери противника на аэродромах ока</w:t>
      </w:r>
      <w:r w:rsidRPr="00D03F3E">
        <w:rPr>
          <w:rFonts w:ascii="Times New Roman" w:hAnsi="Times New Roman"/>
          <w:color w:val="000000" w:themeColor="text1"/>
          <w:sz w:val="16"/>
          <w:szCs w:val="16"/>
        </w:rPr>
        <w:softHyphen/>
        <w:t>зались ненамного выше потерь Ил-2 -всего на 12%.</w:t>
      </w:r>
    </w:p>
    <w:p w14:paraId="2687EF3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Усиление активности немецкой ис</w:t>
      </w:r>
      <w:r w:rsidRPr="00D03F3E">
        <w:rPr>
          <w:rFonts w:ascii="Times New Roman" w:hAnsi="Times New Roman"/>
          <w:color w:val="000000" w:themeColor="text1"/>
          <w:sz w:val="16"/>
          <w:szCs w:val="16"/>
        </w:rPr>
        <w:softHyphen/>
        <w:t>требительной авиации отрицательно сказалось и на боевой живучести ис</w:t>
      </w:r>
      <w:r w:rsidRPr="00D03F3E">
        <w:rPr>
          <w:rFonts w:ascii="Times New Roman" w:hAnsi="Times New Roman"/>
          <w:color w:val="000000" w:themeColor="text1"/>
          <w:sz w:val="16"/>
          <w:szCs w:val="16"/>
        </w:rPr>
        <w:softHyphen/>
        <w:t>требителей воздушных армий. На одну безвозвратную боевую потерю наших истребителей в среднем пришлось 12,6 самолето-вылетов.</w:t>
      </w:r>
    </w:p>
    <w:p w14:paraId="47EFD97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Очевидно, что для обеспечения по</w:t>
      </w:r>
      <w:r w:rsidRPr="00D03F3E">
        <w:rPr>
          <w:rFonts w:ascii="Times New Roman" w:hAnsi="Times New Roman"/>
          <w:color w:val="000000" w:themeColor="text1"/>
          <w:sz w:val="16"/>
          <w:szCs w:val="16"/>
        </w:rPr>
        <w:softHyphen/>
        <w:t>терь штурмовиков, равно как и потерь истребителей сопровождения, на уров</w:t>
      </w:r>
      <w:r w:rsidRPr="00D03F3E">
        <w:rPr>
          <w:rFonts w:ascii="Times New Roman" w:hAnsi="Times New Roman"/>
          <w:color w:val="000000" w:themeColor="text1"/>
          <w:sz w:val="16"/>
          <w:szCs w:val="16"/>
        </w:rPr>
        <w:softHyphen/>
        <w:t>не первых ударов, командованию воз</w:t>
      </w:r>
      <w:r w:rsidRPr="00D03F3E">
        <w:rPr>
          <w:rFonts w:ascii="Times New Roman" w:hAnsi="Times New Roman"/>
          <w:color w:val="000000" w:themeColor="text1"/>
          <w:sz w:val="16"/>
          <w:szCs w:val="16"/>
        </w:rPr>
        <w:softHyphen/>
        <w:t>душных армий при повторных налетах 6 и 7 мая следовало бы значительно увеличить наряд сил истребителей. К сожалению, этого сделано не было.</w:t>
      </w:r>
    </w:p>
    <w:p w14:paraId="577723B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сопоставить возможные поте</w:t>
      </w:r>
      <w:r w:rsidRPr="00D03F3E">
        <w:rPr>
          <w:rFonts w:ascii="Times New Roman" w:hAnsi="Times New Roman"/>
          <w:color w:val="000000" w:themeColor="text1"/>
          <w:sz w:val="16"/>
          <w:szCs w:val="16"/>
        </w:rPr>
        <w:softHyphen/>
        <w:t>ри противника с численностью его груп</w:t>
      </w:r>
      <w:r w:rsidRPr="00D03F3E">
        <w:rPr>
          <w:rFonts w:ascii="Times New Roman" w:hAnsi="Times New Roman"/>
          <w:color w:val="000000" w:themeColor="text1"/>
          <w:sz w:val="16"/>
          <w:szCs w:val="16"/>
        </w:rPr>
        <w:softHyphen/>
        <w:t>пировки самолетов, вскрытой советс</w:t>
      </w:r>
      <w:r w:rsidRPr="00D03F3E">
        <w:rPr>
          <w:rFonts w:ascii="Times New Roman" w:hAnsi="Times New Roman"/>
          <w:color w:val="000000" w:themeColor="text1"/>
          <w:sz w:val="16"/>
          <w:szCs w:val="16"/>
        </w:rPr>
        <w:softHyphen/>
        <w:t>кой авиаразведкой накануне опера</w:t>
      </w:r>
      <w:r w:rsidRPr="00D03F3E">
        <w:rPr>
          <w:rFonts w:ascii="Times New Roman" w:hAnsi="Times New Roman"/>
          <w:color w:val="000000" w:themeColor="text1"/>
          <w:sz w:val="16"/>
          <w:szCs w:val="16"/>
        </w:rPr>
        <w:softHyphen/>
        <w:t>ции на основных аэродромах, то по</w:t>
      </w:r>
      <w:r w:rsidRPr="00D03F3E">
        <w:rPr>
          <w:rFonts w:ascii="Times New Roman" w:hAnsi="Times New Roman"/>
          <w:color w:val="000000" w:themeColor="text1"/>
          <w:sz w:val="16"/>
          <w:szCs w:val="16"/>
        </w:rPr>
        <w:softHyphen/>
        <w:t>лучается, что люфтваффе 6-7 мая мог</w:t>
      </w:r>
      <w:r w:rsidRPr="00D03F3E">
        <w:rPr>
          <w:rFonts w:ascii="Times New Roman" w:hAnsi="Times New Roman"/>
          <w:color w:val="000000" w:themeColor="text1"/>
          <w:sz w:val="16"/>
          <w:szCs w:val="16"/>
        </w:rPr>
        <w:softHyphen/>
        <w:t>ли потерять до 16-17% наличных сил авиации. В то же время безвозврат</w:t>
      </w:r>
      <w:r w:rsidRPr="00D03F3E">
        <w:rPr>
          <w:rFonts w:ascii="Times New Roman" w:hAnsi="Times New Roman"/>
          <w:color w:val="000000" w:themeColor="text1"/>
          <w:sz w:val="16"/>
          <w:szCs w:val="16"/>
        </w:rPr>
        <w:softHyphen/>
        <w:t>ная убыль матчасти воздушных армий ВВС КА составила 11% от общего числа "ходивших" на аэродромы самолетов.</w:t>
      </w:r>
    </w:p>
    <w:p w14:paraId="10A3049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этом необходимо учитывать, что если советская сторона несла в ос</w:t>
      </w:r>
      <w:r w:rsidRPr="00D03F3E">
        <w:rPr>
          <w:rFonts w:ascii="Times New Roman" w:hAnsi="Times New Roman"/>
          <w:color w:val="000000" w:themeColor="text1"/>
          <w:sz w:val="16"/>
          <w:szCs w:val="16"/>
        </w:rPr>
        <w:softHyphen/>
        <w:t>новном безвозвратные потери не толь</w:t>
      </w:r>
      <w:r w:rsidRPr="00D03F3E">
        <w:rPr>
          <w:rFonts w:ascii="Times New Roman" w:hAnsi="Times New Roman"/>
          <w:color w:val="000000" w:themeColor="text1"/>
          <w:sz w:val="16"/>
          <w:szCs w:val="16"/>
        </w:rPr>
        <w:softHyphen/>
        <w:t>ко в самолетах, но и в летном составе, то немецкая сторона - главным об</w:t>
      </w:r>
      <w:r w:rsidRPr="00D03F3E">
        <w:rPr>
          <w:rFonts w:ascii="Times New Roman" w:hAnsi="Times New Roman"/>
          <w:color w:val="000000" w:themeColor="text1"/>
          <w:sz w:val="16"/>
          <w:szCs w:val="16"/>
        </w:rPr>
        <w:softHyphen/>
        <w:t>разом в самолетах, из которых часть могла быть восстановлена уже через некоторое время. Потерь в летном составе немцы практически не понес</w:t>
      </w:r>
      <w:r w:rsidRPr="00D03F3E">
        <w:rPr>
          <w:rFonts w:ascii="Times New Roman" w:hAnsi="Times New Roman"/>
          <w:color w:val="000000" w:themeColor="text1"/>
          <w:sz w:val="16"/>
          <w:szCs w:val="16"/>
        </w:rPr>
        <w:softHyphen/>
        <w:t>ли: недосчитались лишь тех летчиков, которые погибли в воздушных боях. Поэтому боевая мощь группировки люфтваффе на атакованных участках фронта могла быть быстро восстанов</w:t>
      </w:r>
      <w:r w:rsidRPr="00D03F3E">
        <w:rPr>
          <w:rFonts w:ascii="Times New Roman" w:hAnsi="Times New Roman"/>
          <w:color w:val="000000" w:themeColor="text1"/>
          <w:sz w:val="16"/>
          <w:szCs w:val="16"/>
        </w:rPr>
        <w:softHyphen/>
        <w:t>лена за счет переброски резервов самолетов и маневра авиационных сил. Тогда как советскому командованию необходимо было пополнять части и самолетами, и летным составом, кото</w:t>
      </w:r>
      <w:r w:rsidRPr="00D03F3E">
        <w:rPr>
          <w:rFonts w:ascii="Times New Roman" w:hAnsi="Times New Roman"/>
          <w:color w:val="000000" w:themeColor="text1"/>
          <w:sz w:val="16"/>
          <w:szCs w:val="16"/>
        </w:rPr>
        <w:softHyphen/>
        <w:t>рый еще требовалось ввести в строй.</w:t>
      </w:r>
    </w:p>
    <w:p w14:paraId="58F4FE0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учетом сказанного, следует при</w:t>
      </w:r>
      <w:r w:rsidRPr="00D03F3E">
        <w:rPr>
          <w:rFonts w:ascii="Times New Roman" w:hAnsi="Times New Roman"/>
          <w:color w:val="000000" w:themeColor="text1"/>
          <w:sz w:val="16"/>
          <w:szCs w:val="16"/>
        </w:rPr>
        <w:softHyphen/>
        <w:t>знать: нашим воздушным армиям не удалось решить поставленные Ставкой и командованием ВВС КА задачи, то есть подавить немецкую авиацию на аэродромах базирования. Намеченные цели воздушной операции достигнуты не были, хотя противник, несомненно, понес чувствительный урон.</w:t>
      </w:r>
    </w:p>
    <w:p w14:paraId="49C1800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Отметим, что оценка результатив</w:t>
      </w:r>
      <w:r w:rsidRPr="00D03F3E">
        <w:rPr>
          <w:rFonts w:ascii="Times New Roman" w:hAnsi="Times New Roman"/>
          <w:color w:val="000000" w:themeColor="text1"/>
          <w:sz w:val="16"/>
          <w:szCs w:val="16"/>
        </w:rPr>
        <w:softHyphen/>
        <w:t>ности действия авиации по количеству самолето-пролетов противника до и после ударов по аэродромам в дан</w:t>
      </w:r>
      <w:r w:rsidRPr="00D03F3E">
        <w:rPr>
          <w:rFonts w:ascii="Times New Roman" w:hAnsi="Times New Roman"/>
          <w:color w:val="000000" w:themeColor="text1"/>
          <w:sz w:val="16"/>
          <w:szCs w:val="16"/>
        </w:rPr>
        <w:softHyphen/>
        <w:t>ном конкретном случае все же непра</w:t>
      </w:r>
      <w:r w:rsidRPr="00D03F3E">
        <w:rPr>
          <w:rFonts w:ascii="Times New Roman" w:hAnsi="Times New Roman"/>
          <w:color w:val="000000" w:themeColor="text1"/>
          <w:sz w:val="16"/>
          <w:szCs w:val="16"/>
        </w:rPr>
        <w:softHyphen/>
        <w:t>вомерна. Дело в том, что в период затишья авиационная группировка ни</w:t>
      </w:r>
      <w:r w:rsidRPr="00D03F3E">
        <w:rPr>
          <w:rFonts w:ascii="Times New Roman" w:hAnsi="Times New Roman"/>
          <w:color w:val="000000" w:themeColor="text1"/>
          <w:sz w:val="16"/>
          <w:szCs w:val="16"/>
        </w:rPr>
        <w:softHyphen/>
        <w:t>когда не работает всеми своими са</w:t>
      </w:r>
      <w:r w:rsidRPr="00D03F3E">
        <w:rPr>
          <w:rFonts w:ascii="Times New Roman" w:hAnsi="Times New Roman"/>
          <w:color w:val="000000" w:themeColor="text1"/>
          <w:sz w:val="16"/>
          <w:szCs w:val="16"/>
        </w:rPr>
        <w:softHyphen/>
        <w:t>молетами, а действует лишь частью сил. Поэтому понесенные потери легко ком</w:t>
      </w:r>
      <w:r w:rsidRPr="00D03F3E">
        <w:rPr>
          <w:rFonts w:ascii="Times New Roman" w:hAnsi="Times New Roman"/>
          <w:color w:val="000000" w:themeColor="text1"/>
          <w:sz w:val="16"/>
          <w:szCs w:val="16"/>
        </w:rPr>
        <w:softHyphen/>
        <w:t>пенсируются имеющимися в наличии ис</w:t>
      </w:r>
      <w:r w:rsidRPr="00D03F3E">
        <w:rPr>
          <w:rFonts w:ascii="Times New Roman" w:hAnsi="Times New Roman"/>
          <w:color w:val="000000" w:themeColor="text1"/>
          <w:sz w:val="16"/>
          <w:szCs w:val="16"/>
        </w:rPr>
        <w:softHyphen/>
        <w:t>правными самолетами, что и обеспе</w:t>
      </w:r>
      <w:r w:rsidRPr="00D03F3E">
        <w:rPr>
          <w:rFonts w:ascii="Times New Roman" w:hAnsi="Times New Roman"/>
          <w:color w:val="000000" w:themeColor="text1"/>
          <w:sz w:val="16"/>
          <w:szCs w:val="16"/>
        </w:rPr>
        <w:softHyphen/>
        <w:t>чивает запланированный уровень ин</w:t>
      </w:r>
      <w:r w:rsidRPr="00D03F3E">
        <w:rPr>
          <w:rFonts w:ascii="Times New Roman" w:hAnsi="Times New Roman"/>
          <w:color w:val="000000" w:themeColor="text1"/>
          <w:sz w:val="16"/>
          <w:szCs w:val="16"/>
        </w:rPr>
        <w:softHyphen/>
        <w:t>тенсивности боевых вылетов. Убыль матчасти сказывается сразу лишь при условии, что поставленные боевые за</w:t>
      </w:r>
      <w:r w:rsidRPr="00D03F3E">
        <w:rPr>
          <w:rFonts w:ascii="Times New Roman" w:hAnsi="Times New Roman"/>
          <w:color w:val="000000" w:themeColor="text1"/>
          <w:sz w:val="16"/>
          <w:szCs w:val="16"/>
        </w:rPr>
        <w:softHyphen/>
        <w:t>дачи требуют привлечения всех сил авиационной группировки и их действий с максимальным напряжением (11087).</w:t>
      </w:r>
    </w:p>
    <w:p w14:paraId="1F5A26B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1612E24" w14:textId="77777777" w:rsidR="00D37CFD" w:rsidRPr="00D03F3E" w:rsidRDefault="00D37CFD"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13 </w:t>
      </w:r>
      <w:r w:rsidRPr="00D03F3E">
        <w:rPr>
          <w:rFonts w:ascii="Times New Roman" w:eastAsia="Times New Roman" w:hAnsi="Times New Roman"/>
          <w:color w:val="0070C0"/>
          <w:sz w:val="16"/>
          <w:szCs w:val="16"/>
        </w:rPr>
        <w:t>мая 1943 г. командующий ВВС РККА А.А. Новиков лично доложил Верховному Главнокомандующему следующие итоговые данные о действиях авиации в воздушной операции за 6, 7 и 8 мая: «За трое суток нашими ВВС произведено 1392 самолето-вылета, уничтожено на аэродромах противника 373 самолета, повреждено -51, сбито в воздушных боях - 67 и подбито - 10. В итоге противник потерял 501 самолет. Эти данные были основаны на показаниях летчиков, сведениях партизан и фотоснимков. Наши потери составили 122 самолета, из них сбито в воздушных боях - 21 самолет, зенитной артиллерией противника - 8, не вернулось с боевого задания - 93 самолета»</w:t>
      </w:r>
      <w:r w:rsidRPr="00D03F3E">
        <w:rPr>
          <w:rFonts w:ascii="Times New Roman" w:eastAsia="Times New Roman" w:hAnsi="Times New Roman"/>
          <w:color w:val="0070C0"/>
          <w:sz w:val="16"/>
          <w:szCs w:val="16"/>
          <w:vertAlign w:val="superscript"/>
        </w:rPr>
        <w:t>2</w:t>
      </w:r>
      <w:r w:rsidRPr="00D03F3E">
        <w:rPr>
          <w:rFonts w:ascii="Times New Roman" w:eastAsia="Times New Roman" w:hAnsi="Times New Roman"/>
          <w:color w:val="0070C0"/>
          <w:sz w:val="16"/>
          <w:szCs w:val="16"/>
        </w:rPr>
        <w:t>.</w:t>
      </w:r>
    </w:p>
    <w:p w14:paraId="18340089" w14:textId="77777777" w:rsidR="00D37CFD" w:rsidRPr="00D03F3E" w:rsidRDefault="00D37CFD" w:rsidP="00D03F3E">
      <w:pPr>
        <w:shd w:val="clear" w:color="auto" w:fill="FFFFFF"/>
        <w:spacing w:after="0" w:line="240" w:lineRule="auto"/>
        <w:jc w:val="both"/>
        <w:rPr>
          <w:rFonts w:ascii="Times New Roman" w:hAnsi="Times New Roman"/>
          <w:color w:val="0070C0"/>
          <w:sz w:val="16"/>
          <w:szCs w:val="16"/>
        </w:rPr>
      </w:pPr>
      <w:r w:rsidRPr="00D03F3E">
        <w:rPr>
          <w:rFonts w:ascii="Times New Roman" w:eastAsia="Times New Roman" w:hAnsi="Times New Roman"/>
          <w:color w:val="0070C0"/>
          <w:sz w:val="16"/>
          <w:szCs w:val="16"/>
        </w:rPr>
        <w:t>В докладе указывалось, что в первом массированном ударе на один потерянный самолет ВВС приходилось 21,7 самолето-вылетов, во втором -8,1 ив третьем- 8,4 (20186).</w:t>
      </w:r>
    </w:p>
    <w:p w14:paraId="1E053900" w14:textId="77777777" w:rsidR="00D37CFD" w:rsidRPr="00D03F3E" w:rsidRDefault="00D37CFD" w:rsidP="00D03F3E">
      <w:pPr>
        <w:shd w:val="clear" w:color="auto" w:fill="FFFFFF"/>
        <w:spacing w:after="0" w:line="240" w:lineRule="auto"/>
        <w:jc w:val="both"/>
        <w:rPr>
          <w:rFonts w:ascii="Times New Roman" w:eastAsia="Times New Roman" w:hAnsi="Times New Roman"/>
          <w:color w:val="0070C0"/>
          <w:sz w:val="16"/>
          <w:szCs w:val="16"/>
        </w:rPr>
      </w:pPr>
    </w:p>
    <w:p w14:paraId="49FF1609"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13 мая 1943 г.</w:t>
      </w:r>
    </w:p>
    <w:p w14:paraId="59FD268B"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ВЫВОДЫ ЗАМЕСТИТЕЛЯ КОМАНДУЮЩЕГО БТ И МВ</w:t>
      </w:r>
    </w:p>
    <w:p w14:paraId="5FBC8314"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БРЯНСКОГО ФРОНТА ИЗ АНАЛИЗА БОЕВОГО ПРИМЕНЕНИЯ</w:t>
      </w:r>
    </w:p>
    <w:p w14:paraId="5DFD7546"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АЭРОСАННЫХ БАТАЛЬОНОВ В ЗИМНИХ ОПЕРАЦИЯХ 1943 г.</w:t>
      </w:r>
    </w:p>
    <w:p w14:paraId="5F88E48E"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13 мая 1943 г.</w:t>
      </w:r>
    </w:p>
    <w:p w14:paraId="21B50B88"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В составе Брянского фронта в период боевых действий январь—февраль имелось два аэросанных батальона (далее — аэсб) — 45 и 55 аэсб, имевших аэросаней по 42 каждый.</w:t>
      </w:r>
    </w:p>
    <w:p w14:paraId="3988221E"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Для участия в [Воронежско-] Касторненской операции в составе подвижной группы 129 тбр для ведения разведки, связи и подбора отставших автоматчиков были выделены два отряда аэросаней: от 45 аэсб — 6 аэросаней и от 55 аэсб — 5 аэросаней.</w:t>
      </w:r>
    </w:p>
    <w:p w14:paraId="3691BE34"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Аэросани обоих батальонов поставленной задачи не выполнили, отстали от танков и пехоты вследствие плохой проходимости их по местности, даже слабо пересеченной.</w:t>
      </w:r>
    </w:p>
    <w:p w14:paraId="103A9A8C"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В дальнейшем аэросанные батальоны придавались для службы связи, поротно штабам 13-й и 48-й армий, а также работали в составе подвижных средств связи фронта.</w:t>
      </w:r>
    </w:p>
    <w:p w14:paraId="3347B58A"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этой работе аэросанные батальны не оправдали себя, а особенно на больших расстояниях.</w:t>
      </w:r>
    </w:p>
    <w:p w14:paraId="610C5050"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Например:</w:t>
      </w:r>
    </w:p>
    <w:p w14:paraId="3071FD75"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A. Аэросани подвижного пункта сбора донесений полковника Морева ни одного задания не выполнили, а отставали на маршах по техническим неисправностям и в район сбора приходили с опозданием на 2—3 суток.</w:t>
      </w:r>
    </w:p>
    <w:p w14:paraId="201536AA"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Б. Аэросани на маршах показали низкую маневренность и плохие технические качества.</w:t>
      </w:r>
    </w:p>
    <w:p w14:paraId="68DEE455"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55 аэсб — совершая марш [по маршруту] ст. Казаки, Афанасьево, Чернава Гниловоды, Прилепы — длина марша 45 км, сосредоточивался в районе сосредоточения четверо суток. Большой процент матчасти отстал на марше по тех [ническим] неисправностям.</w:t>
      </w:r>
    </w:p>
    <w:p w14:paraId="49EA8325"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B. В период снежных заносов, когда для автотранспорта дороги не проходимы, аэросани применялись как средство связи, но и здесь они не оправдали себя. Заводка трудна, и очень много времени уходит на запуск двигателя и прогрев его, а в движении, в снежные заносы имелись случаи втыкания аэросаней в снежные сугробы и выхода из строя,</w:t>
      </w:r>
    </w:p>
    <w:p w14:paraId="44B5FC5B"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 Аэросанные батальоны на маршах растягивались, в район сосредоточения приходили с опозданием, сжигая весь запас горючего, а имеющийся транспорт большой расход горючего пополнить не мог. Вследствие этого аэросанные батальоны в большинстве случаев стояли без горючего и ни в одной операции не участвовали.</w:t>
      </w:r>
    </w:p>
    <w:p w14:paraId="149F07B4"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Выводы.</w:t>
      </w:r>
    </w:p>
    <w:p w14:paraId="33F7334C"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Аэросанные батальоны вследствие недостаточной проходимости аэросаней и низкого технического качества матчасти боевого применения не нашли.</w:t>
      </w:r>
    </w:p>
    <w:p w14:paraId="2D77B936"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Вследствие большого расхода горючего, содержания дорогостоящей матчасти и личного состава и малой боевой эффективности существование батальонов не оправдывается.</w:t>
      </w:r>
    </w:p>
    <w:p w14:paraId="650914D9"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Для службы связи аэросани вследствие низкого технического качества и маневренности не гарантируют своевременную доставку донесений и приказов частям.</w:t>
      </w:r>
    </w:p>
    <w:p w14:paraId="2871A692"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Аэросанные батальоны как сезонный род войск, используемый только в зимнее, очень ограниченное время, содержать нецелесообразно.</w:t>
      </w:r>
    </w:p>
    <w:p w14:paraId="2B0FEB6F"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Заместитель командующего БТ и МВ Брянского фронта полковник ИГНАТЬЕВ</w:t>
      </w:r>
    </w:p>
    <w:p w14:paraId="1CC7C43D"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Начальник штаба БТ и МВ Брянского фронта полковник МОРЕВ</w:t>
      </w:r>
    </w:p>
    <w:p w14:paraId="36C01381" w14:textId="77777777" w:rsidR="009C5DF4" w:rsidRPr="00D03F3E" w:rsidRDefault="009C5DF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ЦАМО. Ф. 202. Оп. 36. Д. 1230. Л. 2 (21088).</w:t>
      </w:r>
    </w:p>
    <w:p w14:paraId="01B91050" w14:textId="77777777" w:rsidR="009C5DF4" w:rsidRPr="00D03F3E" w:rsidRDefault="009C5DF4" w:rsidP="00D03F3E">
      <w:pPr>
        <w:spacing w:after="0" w:line="240" w:lineRule="auto"/>
        <w:jc w:val="both"/>
        <w:rPr>
          <w:rFonts w:ascii="Times New Roman" w:hAnsi="Times New Roman"/>
          <w:color w:val="0070C0"/>
          <w:sz w:val="16"/>
          <w:szCs w:val="16"/>
        </w:rPr>
      </w:pPr>
    </w:p>
    <w:p w14:paraId="608C634B"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lastRenderedPageBreak/>
        <w:t>За рубежом:</w:t>
      </w:r>
    </w:p>
    <w:p w14:paraId="04CA1728" w14:textId="77777777" w:rsidR="00531570" w:rsidRPr="00D03F3E" w:rsidRDefault="00531570" w:rsidP="00D03F3E">
      <w:pPr>
        <w:pStyle w:val="Iauiue"/>
        <w:jc w:val="both"/>
        <w:rPr>
          <w:iCs/>
          <w:color w:val="000000" w:themeColor="text1"/>
          <w:sz w:val="16"/>
          <w:szCs w:val="16"/>
        </w:rPr>
      </w:pPr>
    </w:p>
    <w:p w14:paraId="57E70404" w14:textId="77777777" w:rsidR="00943CC4" w:rsidRPr="00D03F3E" w:rsidRDefault="00943CC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мая в 1943 году А.А.Власов в статье «Представляет ли национальная Россия опасность для Европы» заявил, что Великороссия не может отказаться от Украины и Кавказа (14890).</w:t>
      </w:r>
    </w:p>
    <w:p w14:paraId="5491E6EB" w14:textId="77777777" w:rsidR="00943CC4" w:rsidRPr="00D03F3E" w:rsidRDefault="00943CC4" w:rsidP="00D03F3E">
      <w:pPr>
        <w:spacing w:after="0" w:line="240" w:lineRule="auto"/>
        <w:jc w:val="both"/>
        <w:rPr>
          <w:rFonts w:ascii="Times New Roman" w:hAnsi="Times New Roman"/>
          <w:color w:val="000000" w:themeColor="text1"/>
          <w:sz w:val="16"/>
          <w:szCs w:val="16"/>
        </w:rPr>
      </w:pPr>
    </w:p>
    <w:p w14:paraId="7C549A90"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13 мая 1943 войска союзников ликвидировали последнюю немецкую группировку в Тунисе (4962).</w:t>
      </w:r>
    </w:p>
    <w:p w14:paraId="54BA744E" w14:textId="77777777" w:rsidR="00531570" w:rsidRPr="00D03F3E" w:rsidRDefault="00531570" w:rsidP="00D03F3E">
      <w:pPr>
        <w:pStyle w:val="Iauiue"/>
        <w:tabs>
          <w:tab w:val="left" w:pos="11199"/>
        </w:tabs>
        <w:jc w:val="both"/>
        <w:rPr>
          <w:color w:val="000000" w:themeColor="text1"/>
          <w:sz w:val="16"/>
          <w:szCs w:val="16"/>
        </w:rPr>
      </w:pPr>
    </w:p>
    <w:p w14:paraId="100CC70E"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13 мая 1943 немецко-итальянские войска капитулировали в Северной Африке (4962).</w:t>
      </w:r>
    </w:p>
    <w:p w14:paraId="553D1B15" w14:textId="77777777" w:rsidR="00531570" w:rsidRPr="00D03F3E" w:rsidRDefault="00531570" w:rsidP="00D03F3E">
      <w:pPr>
        <w:pStyle w:val="Iauiue"/>
        <w:tabs>
          <w:tab w:val="left" w:pos="11199"/>
        </w:tabs>
        <w:jc w:val="both"/>
        <w:rPr>
          <w:color w:val="000000" w:themeColor="text1"/>
          <w:sz w:val="16"/>
          <w:szCs w:val="16"/>
        </w:rPr>
      </w:pPr>
    </w:p>
    <w:p w14:paraId="2444DAE8"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13 (12 - 2262) May 1943 Germans and Italian forces in North Africa surrender (270).</w:t>
      </w:r>
    </w:p>
    <w:p w14:paraId="008ECDCD" w14:textId="77777777" w:rsidR="00531570" w:rsidRPr="00D03F3E" w:rsidRDefault="00531570" w:rsidP="00D03F3E">
      <w:pPr>
        <w:pStyle w:val="Iauiue"/>
        <w:jc w:val="both"/>
        <w:rPr>
          <w:color w:val="000000" w:themeColor="text1"/>
          <w:sz w:val="16"/>
          <w:szCs w:val="16"/>
          <w:lang w:val="en-US"/>
        </w:rPr>
      </w:pPr>
    </w:p>
    <w:p w14:paraId="0179EAF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 (12 - 2262) мая 1943 германский и итальянские части сдались в Северной Африке (270) - в Тунисе (3481).</w:t>
      </w:r>
    </w:p>
    <w:p w14:paraId="3D37059B" w14:textId="77777777" w:rsidR="00531570" w:rsidRPr="00D03F3E" w:rsidRDefault="00531570" w:rsidP="00D03F3E">
      <w:pPr>
        <w:pStyle w:val="Iauiue"/>
        <w:jc w:val="both"/>
        <w:rPr>
          <w:color w:val="000000" w:themeColor="text1"/>
          <w:sz w:val="16"/>
          <w:szCs w:val="16"/>
        </w:rPr>
      </w:pPr>
    </w:p>
    <w:p w14:paraId="02DED96C" w14:textId="77777777" w:rsidR="00943CC4" w:rsidRPr="00D03F3E" w:rsidRDefault="00943CC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мая в 1943 году окончательно утвержден план англо-американского вторжения на остров Сицилию в Средиземном море под кодовым названием ''Хаски'' (14890).</w:t>
      </w:r>
    </w:p>
    <w:p w14:paraId="3A47C1C0" w14:textId="77777777" w:rsidR="00943CC4" w:rsidRPr="00D03F3E" w:rsidRDefault="00943CC4" w:rsidP="00D03F3E">
      <w:pPr>
        <w:spacing w:after="0" w:line="240" w:lineRule="auto"/>
        <w:jc w:val="both"/>
        <w:rPr>
          <w:rFonts w:ascii="Times New Roman" w:hAnsi="Times New Roman"/>
          <w:color w:val="000000" w:themeColor="text1"/>
          <w:sz w:val="16"/>
          <w:szCs w:val="16"/>
        </w:rPr>
      </w:pPr>
    </w:p>
    <w:p w14:paraId="6DE0C176" w14:textId="77777777" w:rsidR="00943CC4" w:rsidRPr="00D03F3E" w:rsidRDefault="00943CC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мая в 1943 году капитуляцией итало-немецких войск на полуострове Бон завершилась Северо-Африканская кампания 1940-1943 гг. Вся территория Северной Африки перешла под контроль войск союзников (14890).</w:t>
      </w:r>
    </w:p>
    <w:p w14:paraId="626AAD1F" w14:textId="77777777" w:rsidR="00943CC4" w:rsidRPr="00D03F3E" w:rsidRDefault="00943CC4" w:rsidP="00D03F3E">
      <w:pPr>
        <w:spacing w:after="0" w:line="240" w:lineRule="auto"/>
        <w:jc w:val="both"/>
        <w:rPr>
          <w:rFonts w:ascii="Times New Roman" w:hAnsi="Times New Roman"/>
          <w:color w:val="000000" w:themeColor="text1"/>
          <w:sz w:val="16"/>
          <w:szCs w:val="16"/>
        </w:rPr>
      </w:pPr>
    </w:p>
    <w:p w14:paraId="585036E1" w14:textId="77777777" w:rsidR="00D37CFD" w:rsidRPr="00D03F3E" w:rsidRDefault="00D37CF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13 мая 1943 двадцать японских бомбардировщиков- торпедоносцев Mitsubishi G4M ( союзническое название "Бетти") вылетают из Парамушира, чтобы атаковать американские корабли у побережья Атту, но плохая погода вынуждает их повернуть назад, не начав атаковать (20376).</w:t>
      </w:r>
    </w:p>
    <w:p w14:paraId="1856411D" w14:textId="77777777" w:rsidR="00D37CFD" w:rsidRPr="00D03F3E" w:rsidRDefault="00D37CFD" w:rsidP="00D03F3E">
      <w:pPr>
        <w:spacing w:after="0" w:line="240" w:lineRule="auto"/>
        <w:jc w:val="both"/>
        <w:rPr>
          <w:rFonts w:ascii="Times New Roman" w:hAnsi="Times New Roman"/>
          <w:color w:val="0070C0"/>
          <w:sz w:val="16"/>
          <w:szCs w:val="16"/>
        </w:rPr>
      </w:pPr>
    </w:p>
    <w:p w14:paraId="400CB42D" w14:textId="77777777" w:rsidR="00D37CFD" w:rsidRPr="00D03F3E" w:rsidRDefault="00D37CFD"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13 мая 1943 основана Венесуэльская авиакомпания Avensa. Он начнет полеты в декабре (20376).</w:t>
      </w:r>
    </w:p>
    <w:p w14:paraId="4268F67E" w14:textId="77777777" w:rsidR="00D37CFD" w:rsidRPr="00D03F3E" w:rsidRDefault="00D37CFD" w:rsidP="00D03F3E">
      <w:pPr>
        <w:spacing w:after="0" w:line="240" w:lineRule="auto"/>
        <w:jc w:val="both"/>
        <w:rPr>
          <w:rFonts w:ascii="Times New Roman" w:hAnsi="Times New Roman"/>
          <w:color w:val="0070C0"/>
          <w:sz w:val="16"/>
          <w:szCs w:val="16"/>
        </w:rPr>
      </w:pPr>
    </w:p>
    <w:p w14:paraId="318075C6"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2832FBE8" w14:textId="77777777" w:rsidR="00531570" w:rsidRPr="00D03F3E" w:rsidRDefault="00531570" w:rsidP="00D03F3E">
      <w:pPr>
        <w:pStyle w:val="Iauiue"/>
        <w:jc w:val="both"/>
        <w:rPr>
          <w:iCs/>
          <w:color w:val="000000" w:themeColor="text1"/>
          <w:sz w:val="16"/>
          <w:szCs w:val="16"/>
        </w:rPr>
      </w:pPr>
    </w:p>
    <w:p w14:paraId="46F6B7FE"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14 мая 1943 испытания Ил-2 зав. № 301415 «с пушками № НС-556 и НС-561», которые велись с 15 марта, были окончены. Отчет по результатам испытаний был утвержден 6 июня начальником НИИ АВ генерал-майором М. В. Гуревичем.</w:t>
      </w:r>
    </w:p>
    <w:p w14:paraId="01FD5468"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15 марта 1943 г. в НИИ АВ поступили 3 самолета Ил-2 зав. № 301396, 301407, 301415 производства завода № 30, на которые при участии специалистов по вооружению ОКБ-240 были установлены пуш</w:t>
      </w:r>
      <w:r w:rsidRPr="00D03F3E">
        <w:rPr>
          <w:color w:val="000000" w:themeColor="text1"/>
          <w:sz w:val="16"/>
          <w:szCs w:val="16"/>
        </w:rPr>
        <w:softHyphen/>
        <w:t>ки 11П серийного изготовления завода № 74 НКВ. В ходе контрольных испытаний предполагалось определить живучесть, безотказность, эффектив</w:t>
      </w:r>
      <w:r w:rsidRPr="00D03F3E">
        <w:rPr>
          <w:color w:val="000000" w:themeColor="text1"/>
          <w:sz w:val="16"/>
          <w:szCs w:val="16"/>
        </w:rPr>
        <w:softHyphen/>
        <w:t>ность стрельбы из двух и одной пушек в воздухе, а также оценить влияние пушек на самолет и его прочность.</w:t>
      </w:r>
    </w:p>
    <w:p w14:paraId="6E9BD80B"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Ответственным исполнителем по испытаниям был назначен инженер-капитан Смирнов, веду</w:t>
      </w:r>
      <w:r w:rsidRPr="00D03F3E">
        <w:rPr>
          <w:color w:val="000000" w:themeColor="text1"/>
          <w:sz w:val="16"/>
          <w:szCs w:val="16"/>
        </w:rPr>
        <w:softHyphen/>
        <w:t>щим летчиком-испытателем — капитан Кравченко.</w:t>
      </w:r>
    </w:p>
    <w:p w14:paraId="6BBC1C07"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Помимо военных специалистов, в состав испыта</w:t>
      </w:r>
      <w:r w:rsidRPr="00D03F3E">
        <w:rPr>
          <w:color w:val="000000" w:themeColor="text1"/>
          <w:sz w:val="16"/>
          <w:szCs w:val="16"/>
        </w:rPr>
        <w:softHyphen/>
        <w:t>тельной бригады входили: от ОКБ-16 — Лебедев и Исаков, от ОКБ-240 — Певзнер, от завода № 30 — Зуйков.</w:t>
      </w:r>
    </w:p>
    <w:p w14:paraId="2A8C1707"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следует из документов, после окончания программы контрольных испытаний один из штур</w:t>
      </w:r>
      <w:r w:rsidRPr="00D03F3E">
        <w:rPr>
          <w:color w:val="000000" w:themeColor="text1"/>
          <w:sz w:val="16"/>
          <w:szCs w:val="16"/>
        </w:rPr>
        <w:softHyphen/>
        <w:t>мовиков Ил-2 зав. № 301396 был передан в НИИ ВВС для снятия летных данных, а Ил-2 зав. № 301415 был испытан по отдельной программе «на опреде</w:t>
      </w:r>
      <w:r w:rsidRPr="00D03F3E">
        <w:rPr>
          <w:color w:val="000000" w:themeColor="text1"/>
          <w:sz w:val="16"/>
          <w:szCs w:val="16"/>
        </w:rPr>
        <w:softHyphen/>
        <w:t>ление живучести двух пушек 37 мм ОКБ-16 серий</w:t>
      </w:r>
      <w:r w:rsidRPr="00D03F3E">
        <w:rPr>
          <w:color w:val="000000" w:themeColor="text1"/>
          <w:sz w:val="16"/>
          <w:szCs w:val="16"/>
        </w:rPr>
        <w:softHyphen/>
        <w:t>ного изготовления и установок под них». Третий самолет был возвращен заводу для устранения вы</w:t>
      </w:r>
      <w:r w:rsidRPr="00D03F3E">
        <w:rPr>
          <w:color w:val="000000" w:themeColor="text1"/>
          <w:sz w:val="16"/>
          <w:szCs w:val="16"/>
        </w:rPr>
        <w:softHyphen/>
        <w:t>явленных дефектов и недостатков.</w:t>
      </w:r>
    </w:p>
    <w:p w14:paraId="5B5C4354"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стрельб была составлена дефектная ве</w:t>
      </w:r>
      <w:r w:rsidRPr="00D03F3E">
        <w:rPr>
          <w:color w:val="000000" w:themeColor="text1"/>
          <w:sz w:val="16"/>
          <w:szCs w:val="16"/>
        </w:rPr>
        <w:softHyphen/>
        <w:t>домость на пушки и установки и отправлена на заводы № 30 и № 74 для внесения изменений в се</w:t>
      </w:r>
      <w:r w:rsidRPr="00D03F3E">
        <w:rPr>
          <w:color w:val="000000" w:themeColor="text1"/>
          <w:sz w:val="16"/>
          <w:szCs w:val="16"/>
        </w:rPr>
        <w:softHyphen/>
        <w:t>рийное производство.</w:t>
      </w:r>
    </w:p>
    <w:p w14:paraId="7D8FDAE8"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Живучесть деталей пушек и пушечных устано</w:t>
      </w:r>
      <w:r w:rsidRPr="00D03F3E">
        <w:rPr>
          <w:color w:val="000000" w:themeColor="text1"/>
          <w:sz w:val="16"/>
          <w:szCs w:val="16"/>
        </w:rPr>
        <w:softHyphen/>
        <w:t>вок оценивалась по количеству выстрелов, «кото</w:t>
      </w:r>
      <w:r w:rsidRPr="00D03F3E">
        <w:rPr>
          <w:color w:val="000000" w:themeColor="text1"/>
          <w:sz w:val="16"/>
          <w:szCs w:val="16"/>
        </w:rPr>
        <w:softHyphen/>
        <w:t>рые способна выдержать деталь без поломки, де</w:t>
      </w:r>
      <w:r w:rsidRPr="00D03F3E">
        <w:rPr>
          <w:color w:val="000000" w:themeColor="text1"/>
          <w:sz w:val="16"/>
          <w:szCs w:val="16"/>
        </w:rPr>
        <w:softHyphen/>
        <w:t>формации или любых изменений, препятствующих нормальной работе пушек». Критический износ ствола определялся по снижению начальной ско</w:t>
      </w:r>
      <w:r w:rsidRPr="00D03F3E">
        <w:rPr>
          <w:color w:val="000000" w:themeColor="text1"/>
          <w:sz w:val="16"/>
          <w:szCs w:val="16"/>
        </w:rPr>
        <w:softHyphen/>
        <w:t>рости снаряда и его эффективности у цели, а так</w:t>
      </w:r>
      <w:r w:rsidRPr="00D03F3E">
        <w:rPr>
          <w:color w:val="000000" w:themeColor="text1"/>
          <w:sz w:val="16"/>
          <w:szCs w:val="16"/>
        </w:rPr>
        <w:softHyphen/>
        <w:t>же по ухудшению устойчивости снаряда в полете и рассеивания снаряда на дистанции 400—600 м в зависимости от настрела пушки. При этом по</w:t>
      </w:r>
      <w:r w:rsidRPr="00D03F3E">
        <w:rPr>
          <w:color w:val="000000" w:themeColor="text1"/>
          <w:sz w:val="16"/>
          <w:szCs w:val="16"/>
        </w:rPr>
        <w:softHyphen/>
        <w:t>скольку «основным назначением пушек калибра 37 мм является борьба с бронированными целями», то «изменение эффективности у цели» для 37-мм бронебойных снарядов оценивалось в диапазоне 100—2000 выстрелов.</w:t>
      </w:r>
    </w:p>
    <w:p w14:paraId="12CDFDFB"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Стрельба велась по танку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III</w:t>
      </w:r>
      <w:r w:rsidRPr="00D03F3E">
        <w:rPr>
          <w:color w:val="000000" w:themeColor="text1"/>
          <w:sz w:val="16"/>
          <w:szCs w:val="16"/>
        </w:rPr>
        <w:t xml:space="preserve"> бронебойно-трас- сирующими и бронебойно-зажигательными снаря</w:t>
      </w:r>
      <w:r w:rsidRPr="00D03F3E">
        <w:rPr>
          <w:color w:val="000000" w:themeColor="text1"/>
          <w:sz w:val="16"/>
          <w:szCs w:val="16"/>
        </w:rPr>
        <w:softHyphen/>
        <w:t>дами БТ-37 и БЗ-37 с дистанции 400 м со станка.</w:t>
      </w:r>
    </w:p>
    <w:p w14:paraId="039537DD"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Основные результаты сводились к следующему. Новый ствол (118 выстрелов) обеспечивает 37-мм снаряду во всех случаях пробитие брони толщиной 30 мм на дистанции 400 м под углом к нормали 30°. После производства 1390 выстрелов броне- пробиваемость снарядов резко падает и в услови</w:t>
      </w:r>
      <w:r w:rsidRPr="00D03F3E">
        <w:rPr>
          <w:color w:val="000000" w:themeColor="text1"/>
          <w:sz w:val="16"/>
          <w:szCs w:val="16"/>
        </w:rPr>
        <w:softHyphen/>
        <w:t>ях, аналогичных предыдущим, получается только 33% сквозных пробоин. При доведении настрела до 2012 выстрелов баллистические качества ство</w:t>
      </w:r>
      <w:r w:rsidRPr="00D03F3E">
        <w:rPr>
          <w:color w:val="000000" w:themeColor="text1"/>
          <w:sz w:val="16"/>
          <w:szCs w:val="16"/>
        </w:rPr>
        <w:softHyphen/>
        <w:t>ла ухудшаются настолько, что немецкая танковая броня 30 мм на дистанции 400 м под углом 30° к нормали и вовсе не пробивается. На основании этого был сделан вывод, что «стрельба по танкам из пушек с настрелом более 2000 выстрелов не яв</w:t>
      </w:r>
      <w:r w:rsidRPr="00D03F3E">
        <w:rPr>
          <w:color w:val="000000" w:themeColor="text1"/>
          <w:sz w:val="16"/>
          <w:szCs w:val="16"/>
        </w:rPr>
        <w:softHyphen/>
        <w:t>ляется эффективной. Отсюда допустимый предел живучести ствола, исходя из оценки изменения эф</w:t>
      </w:r>
      <w:r w:rsidRPr="00D03F3E">
        <w:rPr>
          <w:color w:val="000000" w:themeColor="text1"/>
          <w:sz w:val="16"/>
          <w:szCs w:val="16"/>
        </w:rPr>
        <w:softHyphen/>
        <w:t>фективности снаряда у цели, лежит ниже 1390 вы</w:t>
      </w:r>
      <w:r w:rsidRPr="00D03F3E">
        <w:rPr>
          <w:color w:val="000000" w:themeColor="text1"/>
          <w:sz w:val="16"/>
          <w:szCs w:val="16"/>
        </w:rPr>
        <w:softHyphen/>
        <w:t>стрелов. Окончательное установление предела живучести должно быть произведено после специ</w:t>
      </w:r>
      <w:r w:rsidRPr="00D03F3E">
        <w:rPr>
          <w:color w:val="000000" w:themeColor="text1"/>
          <w:sz w:val="16"/>
          <w:szCs w:val="16"/>
        </w:rPr>
        <w:softHyphen/>
        <w:t>ального испытания ствола на живучесть с опреде</w:t>
      </w:r>
      <w:r w:rsidRPr="00D03F3E">
        <w:rPr>
          <w:color w:val="000000" w:themeColor="text1"/>
          <w:sz w:val="16"/>
          <w:szCs w:val="16"/>
        </w:rPr>
        <w:softHyphen/>
        <w:t>лением допустимых норм снижения эффективности снаряда».</w:t>
      </w:r>
    </w:p>
    <w:p w14:paraId="0E8CDD2C"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Изменение начальной скорости снарядов из-за износа ствола не является резким и уменьшается по линейному закону. После каждой сотни выстре</w:t>
      </w:r>
      <w:r w:rsidRPr="00D03F3E">
        <w:rPr>
          <w:color w:val="000000" w:themeColor="text1"/>
          <w:sz w:val="16"/>
          <w:szCs w:val="16"/>
        </w:rPr>
        <w:softHyphen/>
        <w:t>лов начальная скорость понижается на 4,3—4,5 м/с (до 0,5%). Допустимой нормой снижения начальной скорости снаряда для 37-мм пушек предваритель</w:t>
      </w:r>
      <w:r w:rsidRPr="00D03F3E">
        <w:rPr>
          <w:color w:val="000000" w:themeColor="text1"/>
          <w:sz w:val="16"/>
          <w:szCs w:val="16"/>
        </w:rPr>
        <w:softHyphen/>
        <w:t>но («до более глубокого изучения») сочли 7% от значения при малом настреле (до 100 выстрелов).</w:t>
      </w:r>
    </w:p>
    <w:p w14:paraId="4D0DAA30"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Влияние износа ствола на устойчивость снаря</w:t>
      </w:r>
      <w:r w:rsidRPr="00D03F3E">
        <w:rPr>
          <w:color w:val="000000" w:themeColor="text1"/>
          <w:sz w:val="16"/>
          <w:szCs w:val="16"/>
        </w:rPr>
        <w:softHyphen/>
        <w:t>дов в полете определялось по размеру пробоин у цели. Нормальными считались пробоины, наи</w:t>
      </w:r>
      <w:r w:rsidRPr="00D03F3E">
        <w:rPr>
          <w:color w:val="000000" w:themeColor="text1"/>
          <w:sz w:val="16"/>
          <w:szCs w:val="16"/>
        </w:rPr>
        <w:softHyphen/>
        <w:t>больший диаметр которых не превышает калибра снаряда, увеличенного на 10%, а боковыми — про</w:t>
      </w:r>
      <w:r w:rsidRPr="00D03F3E">
        <w:rPr>
          <w:color w:val="000000" w:themeColor="text1"/>
          <w:sz w:val="16"/>
          <w:szCs w:val="16"/>
        </w:rPr>
        <w:softHyphen/>
        <w:t>боины, наибольший диаметр которых превышает половину длины снаряда.</w:t>
      </w:r>
    </w:p>
    <w:p w14:paraId="2046DF09"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Стрельба велась одиночными выстрелами с дистанции 50 и 400 м. Живучесть ствола пушки НС-37, исходя из критерия устойчивости снаряда на траектории полета, составила 2013 выстрелов.</w:t>
      </w:r>
    </w:p>
    <w:p w14:paraId="59E72FD0"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Замеры рассеивания снарядов в зависимо</w:t>
      </w:r>
      <w:r w:rsidRPr="00D03F3E">
        <w:rPr>
          <w:color w:val="000000" w:themeColor="text1"/>
          <w:sz w:val="16"/>
          <w:szCs w:val="16"/>
        </w:rPr>
        <w:softHyphen/>
        <w:t>сти от износа ствола показали, что стволы и сами пушки, задействованные в испытаниях, оказались неодинакового качества. Вероятное отклонение снарядов при стрельбе в одинаковых условиях (50 и 400 м) и при практически равном настреле (1591—1450 выстрелов) отличалось почти в 1,5 раза. Характерно, что и износ ствола у пушки зав. № НС-561 резко отличается от износа ствола у пуш</w:t>
      </w:r>
      <w:r w:rsidRPr="00D03F3E">
        <w:rPr>
          <w:color w:val="000000" w:themeColor="text1"/>
          <w:sz w:val="16"/>
          <w:szCs w:val="16"/>
        </w:rPr>
        <w:softHyphen/>
        <w:t>ки зав. № НС-556. В дульной части ствола первой пушки отсутствовали 3 поля нарезов на длине 70 мм, в то время как у 2-й пушки они сохранились полностью.</w:t>
      </w:r>
    </w:p>
    <w:p w14:paraId="15222CB6"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испытаний произошло четыре полом</w:t>
      </w:r>
      <w:r w:rsidRPr="00D03F3E">
        <w:rPr>
          <w:color w:val="000000" w:themeColor="text1"/>
          <w:sz w:val="16"/>
          <w:szCs w:val="16"/>
        </w:rPr>
        <w:softHyphen/>
        <w:t>ки вкладыша пушек после 164, 249, 454 и 558-го (зав. № НС-556) выстрела. Флажок оси фиксатора у пушки зав. № НС-556 вышел из строя на 1223-м выстреле, а у пушки зав. № НС-561 — на 202-м вы</w:t>
      </w:r>
      <w:r w:rsidRPr="00D03F3E">
        <w:rPr>
          <w:color w:val="000000" w:themeColor="text1"/>
          <w:sz w:val="16"/>
          <w:szCs w:val="16"/>
        </w:rPr>
        <w:softHyphen/>
        <w:t>стреле. Живучесть бойка (предел живучести пушки) ограничивалась 1899, флажка оси защелки проти- воотскочного механизма — 1510, звеньеотвода — 1820 выстрелами. При износе затвора в 0,3 мм он полностью поворачивался в ствольной коробке, что приводило к неполному запиранию и большо</w:t>
      </w:r>
      <w:r w:rsidRPr="00D03F3E">
        <w:rPr>
          <w:color w:val="000000" w:themeColor="text1"/>
          <w:sz w:val="16"/>
          <w:szCs w:val="16"/>
        </w:rPr>
        <w:softHyphen/>
        <w:t>му износу запирающих выступов.</w:t>
      </w:r>
    </w:p>
    <w:p w14:paraId="5B19F60B"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После 867 выстрелов произошла поломка крон</w:t>
      </w:r>
      <w:r w:rsidRPr="00D03F3E">
        <w:rPr>
          <w:color w:val="000000" w:themeColor="text1"/>
          <w:sz w:val="16"/>
          <w:szCs w:val="16"/>
        </w:rPr>
        <w:softHyphen/>
        <w:t>штейнов заднего крепления пушечной установки. Трубки воздухопроводов выходили из строя после 723, 790, 870, 950 и 1200-го выстрела. Болты перед</w:t>
      </w:r>
      <w:r w:rsidRPr="00D03F3E">
        <w:rPr>
          <w:color w:val="000000" w:themeColor="text1"/>
          <w:sz w:val="16"/>
          <w:szCs w:val="16"/>
        </w:rPr>
        <w:softHyphen/>
        <w:t>него крепления пушек из-за поломок заменялись пять раз — после 443, 560, 1000, 1470 и 1500 вы</w:t>
      </w:r>
      <w:r w:rsidRPr="00D03F3E">
        <w:rPr>
          <w:color w:val="000000" w:themeColor="text1"/>
          <w:sz w:val="16"/>
          <w:szCs w:val="16"/>
        </w:rPr>
        <w:softHyphen/>
        <w:t>стрелов. Более того, после 1500-го выстрела пушки зав. № НС-561 при осмотре была обнаружена тре</w:t>
      </w:r>
      <w:r w:rsidRPr="00D03F3E">
        <w:rPr>
          <w:color w:val="000000" w:themeColor="text1"/>
          <w:sz w:val="16"/>
          <w:szCs w:val="16"/>
        </w:rPr>
        <w:softHyphen/>
        <w:t>щина в стенке лонжерона у заднего крепления.</w:t>
      </w:r>
    </w:p>
    <w:p w14:paraId="0E00D91E"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Детальный анализ отказов и дефектов пушек и их установок показал, что поломка крепления пушки зав. № НС-561 на 867-м выстреле обусловли</w:t>
      </w:r>
      <w:r w:rsidRPr="00D03F3E">
        <w:rPr>
          <w:color w:val="000000" w:themeColor="text1"/>
          <w:sz w:val="16"/>
          <w:szCs w:val="16"/>
        </w:rPr>
        <w:softHyphen/>
        <w:t>валась некачественным его монтажом на самолете Ил-2 зав. № 301415. Как выяснилось, «между само</w:t>
      </w:r>
      <w:r w:rsidRPr="00D03F3E">
        <w:rPr>
          <w:color w:val="000000" w:themeColor="text1"/>
          <w:sz w:val="16"/>
          <w:szCs w:val="16"/>
        </w:rPr>
        <w:softHyphen/>
        <w:t>летной жесткостью и кронштейном были проложе</w:t>
      </w:r>
      <w:r w:rsidRPr="00D03F3E">
        <w:rPr>
          <w:color w:val="000000" w:themeColor="text1"/>
          <w:sz w:val="16"/>
          <w:szCs w:val="16"/>
        </w:rPr>
        <w:softHyphen/>
        <w:t>ны прокладки, имеющие разную толщину по длине, что привело к перекосу и односторонней затяжки кронштейна».</w:t>
      </w:r>
    </w:p>
    <w:p w14:paraId="51961490"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Многочисленные поломки болтов объяснялись недостаточной их прочностью «плюс дефект мон</w:t>
      </w:r>
      <w:r w:rsidRPr="00D03F3E">
        <w:rPr>
          <w:color w:val="000000" w:themeColor="text1"/>
          <w:sz w:val="16"/>
          <w:szCs w:val="16"/>
        </w:rPr>
        <w:softHyphen/>
        <w:t>тажа — односторонняя затяжка, вместо отверстия в силовом угольнике жесткости самолета сделаны сквозные прорези».</w:t>
      </w:r>
    </w:p>
    <w:p w14:paraId="059FA8CA"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Поломка трубок воздухопроводов произошла из-за небрежного монтажа на заводе № 30, малых радиусов кривизны изгибов. По этим причинам «при настреле в 1500—2000 выстрелов пушечная установка конструкции ОКБ-240 достигает своей живучести, так как ведение автоматической стрель</w:t>
      </w:r>
      <w:r w:rsidRPr="00D03F3E">
        <w:rPr>
          <w:color w:val="000000" w:themeColor="text1"/>
          <w:sz w:val="16"/>
          <w:szCs w:val="16"/>
        </w:rPr>
        <w:softHyphen/>
        <w:t>бы становится невозможным из-за большого числа задержек по вине установки». Так, при настреле 1000—1500 выстрелов было зафиксировано 9 за</w:t>
      </w:r>
      <w:r w:rsidRPr="00D03F3E">
        <w:rPr>
          <w:color w:val="000000" w:themeColor="text1"/>
          <w:sz w:val="16"/>
          <w:szCs w:val="16"/>
        </w:rPr>
        <w:softHyphen/>
        <w:t>держек (1,8%) по вине правой установки («сход звена за закраину патрона»). Оказалось, что после 2000 выстрелов, несмотря на подтяжку болтов по</w:t>
      </w:r>
      <w:r w:rsidRPr="00D03F3E">
        <w:rPr>
          <w:color w:val="000000" w:themeColor="text1"/>
          <w:sz w:val="16"/>
          <w:szCs w:val="16"/>
        </w:rPr>
        <w:softHyphen/>
        <w:t>сле каждых 500 выстрелов и замену сломанных болтов, «правая установка допускает смещение пушки при стрельбе до 12 мм». Налицо «общее ос</w:t>
      </w:r>
      <w:r w:rsidRPr="00D03F3E">
        <w:rPr>
          <w:color w:val="000000" w:themeColor="text1"/>
          <w:sz w:val="16"/>
          <w:szCs w:val="16"/>
        </w:rPr>
        <w:softHyphen/>
        <w:t>лабление установки из-за потери упругих свойств, особенно в месте, связывавшем кронштейн с само</w:t>
      </w:r>
      <w:r w:rsidRPr="00D03F3E">
        <w:rPr>
          <w:color w:val="000000" w:themeColor="text1"/>
          <w:sz w:val="16"/>
          <w:szCs w:val="16"/>
        </w:rPr>
        <w:softHyphen/>
        <w:t>летными жесткостями». По мнению военных специ</w:t>
      </w:r>
      <w:r w:rsidRPr="00D03F3E">
        <w:rPr>
          <w:color w:val="000000" w:themeColor="text1"/>
          <w:sz w:val="16"/>
          <w:szCs w:val="16"/>
        </w:rPr>
        <w:softHyphen/>
        <w:t>алистов, именно это обстоятельство, а также вы</w:t>
      </w:r>
      <w:r w:rsidRPr="00D03F3E">
        <w:rPr>
          <w:color w:val="000000" w:themeColor="text1"/>
          <w:sz w:val="16"/>
          <w:szCs w:val="16"/>
        </w:rPr>
        <w:softHyphen/>
        <w:t>явленные производственные дефекты («сквозные прорези вместо отверстий, неодинаковые по высо</w:t>
      </w:r>
      <w:r w:rsidRPr="00D03F3E">
        <w:rPr>
          <w:color w:val="000000" w:themeColor="text1"/>
          <w:sz w:val="16"/>
          <w:szCs w:val="16"/>
        </w:rPr>
        <w:softHyphen/>
        <w:t>те прокладки») «способствуют преждевременному выходу установки из строя».</w:t>
      </w:r>
    </w:p>
    <w:p w14:paraId="591B0401"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Стрельба в воздухе из пушек 11П (для оценки величины рассеивания и эффективности снаряда у цели в зависимости от настрела) выполнялась по щитам 6x8 м и танку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III</w:t>
      </w:r>
      <w:r w:rsidRPr="00D03F3E">
        <w:rPr>
          <w:color w:val="000000" w:themeColor="text1"/>
          <w:sz w:val="16"/>
          <w:szCs w:val="16"/>
        </w:rPr>
        <w:t xml:space="preserve"> с пикирования под углом 30° (высота ввода 400—600 м) и с бреющего полета. Всего в 12 полетах было отстреляно 275 снарядов. Стрельба велась очередями от 4—5 до 24—49 сна</w:t>
      </w:r>
      <w:r w:rsidRPr="00D03F3E">
        <w:rPr>
          <w:color w:val="000000" w:themeColor="text1"/>
          <w:sz w:val="16"/>
          <w:szCs w:val="16"/>
        </w:rPr>
        <w:softHyphen/>
        <w:t>рядов в очереди.</w:t>
      </w:r>
    </w:p>
    <w:p w14:paraId="7C758429"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Вероятное отклонение по дальности и в боко</w:t>
      </w:r>
      <w:r w:rsidRPr="00D03F3E">
        <w:rPr>
          <w:color w:val="000000" w:themeColor="text1"/>
          <w:sz w:val="16"/>
          <w:szCs w:val="16"/>
        </w:rPr>
        <w:softHyphen/>
        <w:t>вом направлении в зависимости от длины очереди изменялось от 6 до 20 м и от 3,5 до 13,5 м соответ</w:t>
      </w:r>
      <w:r w:rsidRPr="00D03F3E">
        <w:rPr>
          <w:color w:val="000000" w:themeColor="text1"/>
          <w:sz w:val="16"/>
          <w:szCs w:val="16"/>
        </w:rPr>
        <w:softHyphen/>
        <w:t>ственно. В танк было получено всего 2 попадания. Одно — в крышу танка, была пробита 10-мм броня под углом 40°, снаряд пробил 5-мм пол и образо</w:t>
      </w:r>
      <w:r w:rsidRPr="00D03F3E">
        <w:rPr>
          <w:color w:val="000000" w:themeColor="text1"/>
          <w:sz w:val="16"/>
          <w:szCs w:val="16"/>
        </w:rPr>
        <w:softHyphen/>
        <w:t xml:space="preserve">вал трещину около 300 мм в длину. </w:t>
      </w:r>
      <w:r w:rsidRPr="00D03F3E">
        <w:rPr>
          <w:color w:val="000000" w:themeColor="text1"/>
          <w:sz w:val="16"/>
          <w:szCs w:val="16"/>
        </w:rPr>
        <w:lastRenderedPageBreak/>
        <w:t>Второе попада</w:t>
      </w:r>
      <w:r w:rsidRPr="00D03F3E">
        <w:rPr>
          <w:color w:val="000000" w:themeColor="text1"/>
          <w:sz w:val="16"/>
          <w:szCs w:val="16"/>
        </w:rPr>
        <w:softHyphen/>
        <w:t>ние — в бронеплиту толщиной 40 мм под углом 15° к нормали, броня не пробита, образовалась вмяти на глубиной 20 мм (настрел пушек к этому времени составил 1223 выстрела).</w:t>
      </w:r>
    </w:p>
    <w:p w14:paraId="435C0504"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Заместитель командира эскадрильи капитан В. М. Кравченко отмечал, что Ил-2 с пушками 11П «в воздухе инертный, при выполнении разворотов, виражей, планирования следует держать скорость на 10—15 км/ч больше, чем на серийном Ил-2, на пикировании устойчив». Прицельная стрельба из пушек вполне возможна, «хотя отдача пушек силь</w:t>
      </w:r>
      <w:r w:rsidRPr="00D03F3E">
        <w:rPr>
          <w:color w:val="000000" w:themeColor="text1"/>
          <w:sz w:val="16"/>
          <w:szCs w:val="16"/>
        </w:rPr>
        <w:softHyphen/>
        <w:t>ная, ощущается летчиком». При стрельбе из одной пушки «в цель попадут первые 1—2 снаряда из очереди, /.../ остальные снаряды из очереди бу</w:t>
      </w:r>
      <w:r w:rsidRPr="00D03F3E">
        <w:rPr>
          <w:color w:val="000000" w:themeColor="text1"/>
          <w:sz w:val="16"/>
          <w:szCs w:val="16"/>
        </w:rPr>
        <w:softHyphen/>
        <w:t>дут ложиться в стороне стреляющей пушки». При этом «сохранение длительно точки прицеливания во время стрельбы из одной пушки невозмож</w:t>
      </w:r>
      <w:r w:rsidRPr="00D03F3E">
        <w:rPr>
          <w:color w:val="000000" w:themeColor="text1"/>
          <w:sz w:val="16"/>
          <w:szCs w:val="16"/>
        </w:rPr>
        <w:softHyphen/>
        <w:t>но из-за разворота самолета вследствие отдачи пушки». Стрельбу по наземной цели необходимо вести с пикирования под углом 30—35° при вы</w:t>
      </w:r>
      <w:r w:rsidRPr="00D03F3E">
        <w:rPr>
          <w:color w:val="000000" w:themeColor="text1"/>
          <w:sz w:val="16"/>
          <w:szCs w:val="16"/>
        </w:rPr>
        <w:softHyphen/>
        <w:t>соте ввода в пикирование 400—600 м и скорости 220—230 км/ч. Огонь следовало вести с дистанции 300—400 м, не более. Боекомплекта в 55 снарядов достаточно на 10—12 атак, «стрельба очередями более 4—5 выстрелов в очереди по наземной цели нецелесообразна».</w:t>
      </w:r>
    </w:p>
    <w:p w14:paraId="3C39487D"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опыту эксплуатации требовалось доработать приемные рукава от патронного ящика к прием</w:t>
      </w:r>
      <w:r w:rsidRPr="00D03F3E">
        <w:rPr>
          <w:color w:val="000000" w:themeColor="text1"/>
          <w:sz w:val="16"/>
          <w:szCs w:val="16"/>
        </w:rPr>
        <w:softHyphen/>
        <w:t>нику пушки — «рукав должен входить в приемник и быть гибким, /.../ этим самым перекосы, полу</w:t>
      </w:r>
      <w:r w:rsidRPr="00D03F3E">
        <w:rPr>
          <w:color w:val="000000" w:themeColor="text1"/>
          <w:sz w:val="16"/>
          <w:szCs w:val="16"/>
        </w:rPr>
        <w:softHyphen/>
        <w:t>чаемые при смещении пушки и во время стрель</w:t>
      </w:r>
      <w:r w:rsidRPr="00D03F3E">
        <w:rPr>
          <w:color w:val="000000" w:themeColor="text1"/>
          <w:sz w:val="16"/>
          <w:szCs w:val="16"/>
        </w:rPr>
        <w:softHyphen/>
        <w:t>бы и погрешности в сборке, будут меньше влиять на работу агрегатов питания», а также улучшить качество монтажа приемного рукава. Кроме это</w:t>
      </w:r>
      <w:r w:rsidRPr="00D03F3E">
        <w:rPr>
          <w:color w:val="000000" w:themeColor="text1"/>
          <w:sz w:val="16"/>
          <w:szCs w:val="16"/>
        </w:rPr>
        <w:softHyphen/>
        <w:t>го, необходимо было установить электроспуски и оптический прицел ПБП-1б взамен механиче</w:t>
      </w:r>
      <w:r w:rsidRPr="00D03F3E">
        <w:rPr>
          <w:color w:val="000000" w:themeColor="text1"/>
          <w:sz w:val="16"/>
          <w:szCs w:val="16"/>
        </w:rPr>
        <w:softHyphen/>
        <w:t>ского ВВ-1.</w:t>
      </w:r>
    </w:p>
    <w:p w14:paraId="7C9EBBAC"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результатам стрельб было сделано заклю</w:t>
      </w:r>
      <w:r w:rsidRPr="00D03F3E">
        <w:rPr>
          <w:color w:val="000000" w:themeColor="text1"/>
          <w:sz w:val="16"/>
          <w:szCs w:val="16"/>
        </w:rPr>
        <w:softHyphen/>
        <w:t>чение, что пушки 11П и пушечные установки кон</w:t>
      </w:r>
      <w:r w:rsidRPr="00D03F3E">
        <w:rPr>
          <w:color w:val="000000" w:themeColor="text1"/>
          <w:sz w:val="16"/>
          <w:szCs w:val="16"/>
        </w:rPr>
        <w:softHyphen/>
        <w:t>струкции ОКБ-240 на самолете Ил-2 «полигонные испытания не выдержали из-за недостаточной жесткости крепления». Живучесть стволов серий</w:t>
      </w:r>
      <w:r w:rsidRPr="00D03F3E">
        <w:rPr>
          <w:color w:val="000000" w:themeColor="text1"/>
          <w:sz w:val="16"/>
          <w:szCs w:val="16"/>
        </w:rPr>
        <w:softHyphen/>
        <w:t>ных пушек 11П ОКБ-16 «1200—1300 выстрелов при стрельбе по бронированным целям является недо</w:t>
      </w:r>
      <w:r w:rsidRPr="00D03F3E">
        <w:rPr>
          <w:color w:val="000000" w:themeColor="text1"/>
          <w:sz w:val="16"/>
          <w:szCs w:val="16"/>
        </w:rPr>
        <w:softHyphen/>
        <w:t>статочной».</w:t>
      </w:r>
    </w:p>
    <w:p w14:paraId="7092B4A3"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Поставив на вооружение противотанковые ва</w:t>
      </w:r>
      <w:r w:rsidRPr="00D03F3E">
        <w:rPr>
          <w:color w:val="000000" w:themeColor="text1"/>
          <w:sz w:val="16"/>
          <w:szCs w:val="16"/>
        </w:rPr>
        <w:softHyphen/>
        <w:t>рианты истребителей (ЛаГГ-3, Як-9т) и штурмовиков Ил-2, советское командование всерьез рассчитыва</w:t>
      </w:r>
      <w:r w:rsidRPr="00D03F3E">
        <w:rPr>
          <w:color w:val="000000" w:themeColor="text1"/>
          <w:sz w:val="16"/>
          <w:szCs w:val="16"/>
        </w:rPr>
        <w:softHyphen/>
        <w:t>ло в летней кампании 1943 г. сокрушить брониро</w:t>
      </w:r>
      <w:r w:rsidRPr="00D03F3E">
        <w:rPr>
          <w:color w:val="000000" w:themeColor="text1"/>
          <w:sz w:val="16"/>
          <w:szCs w:val="16"/>
        </w:rPr>
        <w:softHyphen/>
        <w:t>ванный «зверинец» вермахта. Однако реальность оказалась более чем приземленной.</w:t>
      </w:r>
    </w:p>
    <w:p w14:paraId="4728B47F"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Основная проблема состояла в обеспечении точной стрельбы из пушек 11П по малоразмерным целям. Двухместный Ил-2 был неустойчив в про</w:t>
      </w:r>
      <w:r w:rsidRPr="00D03F3E">
        <w:rPr>
          <w:color w:val="000000" w:themeColor="text1"/>
          <w:sz w:val="16"/>
          <w:szCs w:val="16"/>
        </w:rPr>
        <w:softHyphen/>
        <w:t>дольном отношении в еще большей степени, чем одноместный Ил-2, и в силу этого стрельба из 11П сказывалась на полете самолета значительно сильнее.</w:t>
      </w:r>
    </w:p>
    <w:p w14:paraId="7FA13989" w14:textId="77777777" w:rsidR="00C30558" w:rsidRPr="00D03F3E" w:rsidRDefault="00C30558"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Эффективность стрельбы в воздухе из 11П с са</w:t>
      </w:r>
      <w:r w:rsidRPr="00D03F3E">
        <w:rPr>
          <w:color w:val="000000" w:themeColor="text1"/>
          <w:sz w:val="16"/>
          <w:szCs w:val="16"/>
        </w:rPr>
        <w:softHyphen/>
        <w:t>молета Ил-2 по немецким танкам практически ни</w:t>
      </w:r>
      <w:r w:rsidRPr="00D03F3E">
        <w:rPr>
          <w:color w:val="000000" w:themeColor="text1"/>
          <w:sz w:val="16"/>
          <w:szCs w:val="16"/>
        </w:rPr>
        <w:softHyphen/>
        <w:t>чем не отличалась от стрельбы из пушки Ш-37 и ха</w:t>
      </w:r>
      <w:r w:rsidRPr="00D03F3E">
        <w:rPr>
          <w:color w:val="000000" w:themeColor="text1"/>
          <w:sz w:val="16"/>
          <w:szCs w:val="16"/>
        </w:rPr>
        <w:softHyphen/>
        <w:t>рактеризовалась тем, что 52% попаданий снарядов по среднему танку и 73% попаданий по легкому танку выводили их из строя. При этом лишь в 43% вылетов получались попадания в танки, а число по</w:t>
      </w:r>
      <w:r w:rsidRPr="00D03F3E">
        <w:rPr>
          <w:color w:val="000000" w:themeColor="text1"/>
          <w:sz w:val="16"/>
          <w:szCs w:val="16"/>
        </w:rPr>
        <w:softHyphen/>
        <w:t>паданий к израсходованному боекомплекту не пре</w:t>
      </w:r>
      <w:r w:rsidRPr="00D03F3E">
        <w:rPr>
          <w:color w:val="000000" w:themeColor="text1"/>
          <w:sz w:val="16"/>
          <w:szCs w:val="16"/>
        </w:rPr>
        <w:softHyphen/>
        <w:t>вышало 3% (17500).</w:t>
      </w:r>
    </w:p>
    <w:p w14:paraId="67292EF5" w14:textId="77777777" w:rsidR="00C30558" w:rsidRPr="00D03F3E" w:rsidRDefault="00C30558" w:rsidP="00D03F3E">
      <w:pPr>
        <w:spacing w:after="0" w:line="240" w:lineRule="auto"/>
        <w:jc w:val="both"/>
        <w:rPr>
          <w:rFonts w:ascii="Times New Roman" w:eastAsia="Times New Roman" w:hAnsi="Times New Roman"/>
          <w:color w:val="000000" w:themeColor="text1"/>
          <w:sz w:val="16"/>
          <w:szCs w:val="16"/>
          <w:lang w:eastAsia="ru-RU"/>
        </w:rPr>
      </w:pPr>
    </w:p>
    <w:p w14:paraId="31FB6650" w14:textId="77777777" w:rsidR="00456B82" w:rsidRPr="00D03F3E" w:rsidRDefault="00456B82"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14 мая 1943 в ЛИИ НКАП начались летные испытания на прочность 7 само</w:t>
      </w:r>
      <w:r w:rsidRPr="00D03F3E">
        <w:rPr>
          <w:rFonts w:ascii="Times New Roman" w:hAnsi="Times New Roman" w:cs="Times New Roman"/>
          <w:color w:val="000000" w:themeColor="text1"/>
          <w:sz w:val="16"/>
          <w:szCs w:val="16"/>
        </w:rPr>
        <w:softHyphen/>
        <w:t>летов Ил-2 производства заводов №№1 и 30 (№№7004, 7005, 302114, 302221, 302263, 302345,302363). Самолеты были изготовлены заводами и приняты во</w:t>
      </w:r>
      <w:r w:rsidRPr="00D03F3E">
        <w:rPr>
          <w:rFonts w:ascii="Times New Roman" w:hAnsi="Times New Roman" w:cs="Times New Roman"/>
          <w:color w:val="000000" w:themeColor="text1"/>
          <w:sz w:val="16"/>
          <w:szCs w:val="16"/>
        </w:rPr>
        <w:softHyphen/>
        <w:t>енной приемкой «по бою» в апреле и мае месяца.</w:t>
      </w:r>
    </w:p>
    <w:p w14:paraId="1490E7D4" w14:textId="77777777" w:rsidR="00456B82" w:rsidRPr="00D03F3E" w:rsidRDefault="00456B82"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Прочность самолетов проверялась пу</w:t>
      </w:r>
      <w:r w:rsidRPr="00D03F3E">
        <w:rPr>
          <w:rFonts w:ascii="Times New Roman" w:hAnsi="Times New Roman" w:cs="Times New Roman"/>
          <w:color w:val="000000" w:themeColor="text1"/>
          <w:sz w:val="16"/>
          <w:szCs w:val="16"/>
        </w:rPr>
        <w:softHyphen/>
        <w:t>тем многократных выходов из пикиро</w:t>
      </w:r>
      <w:r w:rsidRPr="00D03F3E">
        <w:rPr>
          <w:rFonts w:ascii="Times New Roman" w:hAnsi="Times New Roman" w:cs="Times New Roman"/>
          <w:color w:val="000000" w:themeColor="text1"/>
          <w:sz w:val="16"/>
          <w:szCs w:val="16"/>
        </w:rPr>
        <w:softHyphen/>
        <w:t>вания на сверхмаксимальной скорости при нормированной перегрузке. Полет</w:t>
      </w:r>
      <w:r w:rsidRPr="00D03F3E">
        <w:rPr>
          <w:rFonts w:ascii="Times New Roman" w:hAnsi="Times New Roman" w:cs="Times New Roman"/>
          <w:color w:val="000000" w:themeColor="text1"/>
          <w:sz w:val="16"/>
          <w:szCs w:val="16"/>
        </w:rPr>
        <w:softHyphen/>
        <w:t>ный вес составлял 6080 кг - 400 кг бомб (внутри), боекомплект к пушкам и пулеме</w:t>
      </w:r>
      <w:r w:rsidRPr="00D03F3E">
        <w:rPr>
          <w:rFonts w:ascii="Times New Roman" w:hAnsi="Times New Roman" w:cs="Times New Roman"/>
          <w:color w:val="000000" w:themeColor="text1"/>
          <w:sz w:val="16"/>
          <w:szCs w:val="16"/>
        </w:rPr>
        <w:softHyphen/>
        <w:t>там, четыре РС-82. Центровка самолетов - 32,8% САХ.</w:t>
      </w:r>
    </w:p>
    <w:p w14:paraId="161A5E8D" w14:textId="77777777" w:rsidR="00456B82" w:rsidRPr="00D03F3E" w:rsidRDefault="00456B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на этих семи Ил-2 в 33 полетах было выполнено 207 пикирований: от 26 до 34 пикирований на каждом самолете. Скорость по прибору при пикировании достигала 452 - 484 км/ч, перегрузка на выводе - от 3,5 до 5,97. При этом в 23% пикирований перегрузка составляла от 4 до 4,5, в 29% - от 4,5 до 5, и 29% - свыше 5 единиц. В остальных случаях перегрузка находилась в пределах от 3 до 4 единиц.</w:t>
      </w:r>
    </w:p>
    <w:p w14:paraId="0CA9F2FC" w14:textId="77777777" w:rsidR="00456B82" w:rsidRPr="00D03F3E" w:rsidRDefault="00456B82"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Отмечалось, что при переходе к двух</w:t>
      </w:r>
      <w:r w:rsidRPr="00D03F3E">
        <w:rPr>
          <w:rFonts w:ascii="Times New Roman" w:hAnsi="Times New Roman" w:cs="Times New Roman"/>
          <w:color w:val="000000" w:themeColor="text1"/>
          <w:sz w:val="16"/>
          <w:szCs w:val="16"/>
        </w:rPr>
        <w:softHyphen/>
        <w:t>местному варианту Ил-2 «большие пере</w:t>
      </w:r>
      <w:r w:rsidRPr="00D03F3E">
        <w:rPr>
          <w:rFonts w:ascii="Times New Roman" w:hAnsi="Times New Roman" w:cs="Times New Roman"/>
          <w:color w:val="000000" w:themeColor="text1"/>
          <w:sz w:val="16"/>
          <w:szCs w:val="16"/>
        </w:rPr>
        <w:softHyphen/>
        <w:t>грузки получаются значительно легче, чем у одноместных вариантов Ил-2».</w:t>
      </w:r>
    </w:p>
    <w:p w14:paraId="6EDB6404" w14:textId="77777777" w:rsidR="00456B82" w:rsidRPr="00D03F3E" w:rsidRDefault="00456B82" w:rsidP="00D03F3E">
      <w:pPr>
        <w:spacing w:after="0" w:line="240" w:lineRule="auto"/>
        <w:jc w:val="both"/>
        <w:rPr>
          <w:rStyle w:val="9pt80"/>
          <w:rFonts w:ascii="Times New Roman" w:hAnsi="Times New Roman" w:cs="Times New Roman"/>
          <w:color w:val="000000" w:themeColor="text1"/>
          <w:w w:val="100"/>
          <w:sz w:val="16"/>
          <w:szCs w:val="16"/>
        </w:rPr>
      </w:pPr>
      <w:r w:rsidRPr="00D03F3E">
        <w:rPr>
          <w:rFonts w:ascii="Times New Roman" w:hAnsi="Times New Roman"/>
          <w:color w:val="000000" w:themeColor="text1"/>
          <w:sz w:val="16"/>
          <w:szCs w:val="16"/>
        </w:rPr>
        <w:t>При испытании в ЛИИ одноместного самолета Ил-2 зав. №1878916 перегрузка в 5,2 единицы была получена с большим трудом. При этом скорость полета на вы</w:t>
      </w:r>
      <w:r w:rsidRPr="00D03F3E">
        <w:rPr>
          <w:rFonts w:ascii="Times New Roman" w:hAnsi="Times New Roman"/>
          <w:color w:val="000000" w:themeColor="text1"/>
          <w:sz w:val="16"/>
          <w:szCs w:val="16"/>
        </w:rPr>
        <w:softHyphen/>
        <w:t>воде из пикирования достигала 500 км/ч, а нагрузка на ручку управления самоле</w:t>
      </w:r>
      <w:r w:rsidRPr="00D03F3E">
        <w:rPr>
          <w:rFonts w:ascii="Times New Roman" w:hAnsi="Times New Roman"/>
          <w:color w:val="000000" w:themeColor="text1"/>
          <w:sz w:val="16"/>
          <w:szCs w:val="16"/>
        </w:rPr>
        <w:softHyphen/>
        <w:t>том 24 кг</w:t>
      </w:r>
    </w:p>
    <w:p w14:paraId="7198EFAD" w14:textId="77777777" w:rsidR="00456B82" w:rsidRPr="00D03F3E" w:rsidRDefault="00456B82"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 то же время на всех испытанных двухместных самолетах Ил-2 перегрузка порядка 4,5-5,5 получалась значительно легче. Скорость пикирования при выводе составляла 470 км/ч по прибору, а уси</w:t>
      </w:r>
      <w:r w:rsidRPr="00D03F3E">
        <w:rPr>
          <w:rFonts w:ascii="Times New Roman" w:hAnsi="Times New Roman" w:cs="Times New Roman"/>
          <w:color w:val="000000" w:themeColor="text1"/>
          <w:sz w:val="16"/>
          <w:szCs w:val="16"/>
        </w:rPr>
        <w:softHyphen/>
        <w:t>лие на ручке управления на превышало 18-20 кг.</w:t>
      </w:r>
    </w:p>
    <w:p w14:paraId="132FB45D" w14:textId="77777777" w:rsidR="00456B82" w:rsidRPr="00D03F3E" w:rsidRDefault="00456B82"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По этим причинам вывод из пики</w:t>
      </w:r>
      <w:r w:rsidRPr="00D03F3E">
        <w:rPr>
          <w:rFonts w:ascii="Times New Roman" w:hAnsi="Times New Roman" w:cs="Times New Roman"/>
          <w:color w:val="000000" w:themeColor="text1"/>
          <w:sz w:val="16"/>
          <w:szCs w:val="16"/>
        </w:rPr>
        <w:softHyphen/>
        <w:t>рования следовало выполнять плавно и очень координированно, так чтобы не перейти предел установленной макси</w:t>
      </w:r>
      <w:r w:rsidRPr="00D03F3E">
        <w:rPr>
          <w:rFonts w:ascii="Times New Roman" w:hAnsi="Times New Roman" w:cs="Times New Roman"/>
          <w:color w:val="000000" w:themeColor="text1"/>
          <w:sz w:val="16"/>
          <w:szCs w:val="16"/>
        </w:rPr>
        <w:softHyphen/>
        <w:t>мальной эксплуатационной перегрузки - 5,15 единиц. Однако это было непросто. Даже опытные летчики-испытатели ЛИИ в ходе испытаний часто получали пере</w:t>
      </w:r>
      <w:r w:rsidRPr="00D03F3E">
        <w:rPr>
          <w:rFonts w:ascii="Times New Roman" w:hAnsi="Times New Roman" w:cs="Times New Roman"/>
          <w:color w:val="000000" w:themeColor="text1"/>
          <w:sz w:val="16"/>
          <w:szCs w:val="16"/>
        </w:rPr>
        <w:softHyphen/>
        <w:t>грузки до 6 единиц вместо 4,5 единиц по заданию (19558).</w:t>
      </w:r>
    </w:p>
    <w:p w14:paraId="282718A5" w14:textId="77777777" w:rsidR="00456B82" w:rsidRPr="00D03F3E" w:rsidRDefault="00456B82" w:rsidP="00D03F3E">
      <w:pPr>
        <w:pStyle w:val="184"/>
        <w:shd w:val="clear" w:color="auto" w:fill="auto"/>
        <w:spacing w:before="0" w:after="0" w:line="240" w:lineRule="auto"/>
        <w:rPr>
          <w:rFonts w:ascii="Times New Roman" w:hAnsi="Times New Roman" w:cs="Times New Roman"/>
          <w:color w:val="000000" w:themeColor="text1"/>
          <w:sz w:val="16"/>
          <w:szCs w:val="16"/>
        </w:rPr>
      </w:pPr>
    </w:p>
    <w:p w14:paraId="7EE9490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 мая 1943 Зам. Нач. ВВС ВМФ по тылу Купреев писал письмо N 60170с Зам. НКАП П.А.Воронину:</w:t>
      </w:r>
    </w:p>
    <w:p w14:paraId="56A2AE1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"Самолеты Бостон в ВВС действующих флотов используются для ведения дальней разведки и сопровождения транспортов, вследствие чего необходимо максимально увеличить дальность данного типа самолетов. Для этой цели на самолетах Бостон устанавливаются дополнительные бензобаки, для чего используются бензобаки Пе-2 группа 1 и Пе-3 группы 7..." (1778,145).</w:t>
      </w:r>
    </w:p>
    <w:p w14:paraId="39FE6707" w14:textId="77777777" w:rsidR="00531570" w:rsidRPr="00D03F3E" w:rsidRDefault="00531570" w:rsidP="00D03F3E">
      <w:pPr>
        <w:pStyle w:val="Iauiue"/>
        <w:jc w:val="both"/>
        <w:rPr>
          <w:color w:val="000000" w:themeColor="text1"/>
          <w:sz w:val="16"/>
          <w:szCs w:val="16"/>
        </w:rPr>
      </w:pPr>
    </w:p>
    <w:p w14:paraId="6FC33ED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 мая 1943 А.Н.Т. была подготовлена справка о результатах совместных испытаний Ту-2 после доводки М-82 и его агрегатов:</w:t>
      </w:r>
    </w:p>
    <w:p w14:paraId="304FEE3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 апреля 1943 в Омске закончены испытания Ту-2, после доводки М-82 и его агрегатов.</w:t>
      </w:r>
    </w:p>
    <w:p w14:paraId="0572A1E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Испытания проведены совместно ЛИИ НКАП и ОКБ А.Н.Т.</w:t>
      </w:r>
    </w:p>
    <w:p w14:paraId="19B9E04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Доводка заключалась в следующем:</w:t>
      </w:r>
    </w:p>
    <w:p w14:paraId="0ADECB7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установлен нагнетатель большей высотности</w:t>
      </w:r>
    </w:p>
    <w:p w14:paraId="2030070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установлено новое доведенное магнето с большей высотностью</w:t>
      </w:r>
    </w:p>
    <w:p w14:paraId="6D8B0C0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установлены новые свечи</w:t>
      </w:r>
    </w:p>
    <w:p w14:paraId="0A59835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установлен улучшенный карбюратор...</w:t>
      </w:r>
    </w:p>
    <w:p w14:paraId="2710AB4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мая 1943 телеграммой N 8345с за подписями руководителей испытаний ви ЛИИ НКА Пояркова, ви ОКБ А.Н.Т. Стомана сообщены следующие максимальные скорости, полученные при этих испытаниях:</w:t>
      </w:r>
    </w:p>
    <w:p w14:paraId="458864C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 земли - 496 км/час</w:t>
      </w:r>
    </w:p>
    <w:p w14:paraId="1C8E8B1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1750 - 537</w:t>
      </w:r>
    </w:p>
    <w:p w14:paraId="237AF40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5500 - 545</w:t>
      </w:r>
    </w:p>
    <w:p w14:paraId="3EF0A85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6000 - 543</w:t>
      </w:r>
    </w:p>
    <w:p w14:paraId="31776F8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7000 - 528...(1775,66).</w:t>
      </w:r>
    </w:p>
    <w:p w14:paraId="4DFF0215" w14:textId="77777777" w:rsidR="00531570" w:rsidRPr="00D03F3E" w:rsidRDefault="00531570" w:rsidP="00D03F3E">
      <w:pPr>
        <w:pStyle w:val="Iauiue"/>
        <w:jc w:val="both"/>
        <w:rPr>
          <w:color w:val="000000" w:themeColor="text1"/>
          <w:sz w:val="16"/>
          <w:szCs w:val="16"/>
        </w:rPr>
      </w:pPr>
    </w:p>
    <w:p w14:paraId="4AFFD09F"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52F33A4E" w14:textId="77777777" w:rsidR="00531570" w:rsidRPr="00D03F3E" w:rsidRDefault="00531570" w:rsidP="00D03F3E">
      <w:pPr>
        <w:pStyle w:val="Iauiue"/>
        <w:jc w:val="both"/>
        <w:rPr>
          <w:iCs/>
          <w:color w:val="000000" w:themeColor="text1"/>
          <w:sz w:val="16"/>
          <w:szCs w:val="16"/>
        </w:rPr>
      </w:pPr>
    </w:p>
    <w:p w14:paraId="5810944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 мая 1943 г. был принят на вооружение Красной Армии пулемет под названием “7,62-мм станковый пулемет системы Горюнова образца 1943 года (СГ-43)” был разработан конструктором П. М. Горюновым при содействии В. Е. Воронкова и М. М. Горюнова. Пулемет был с воздушным охлаждением и значительно легче пулемета системы “Максим” образца 1910/41 г. с водяным охлаждением. СГ-43 превосходил существующие образцы по боевым качествам, был прост в изготовлении и надежен в эксплуатации. П. М. Горюнову (посмертно) В. Е. Воронкову и М. М. Горюнову в 1944 г. была присуждена Государственная премия 1-й степени (9844).</w:t>
      </w:r>
    </w:p>
    <w:p w14:paraId="0F16699A" w14:textId="77777777" w:rsidR="00531570" w:rsidRPr="00D03F3E" w:rsidRDefault="00531570" w:rsidP="00D03F3E">
      <w:pPr>
        <w:pStyle w:val="Iauiue"/>
        <w:jc w:val="both"/>
        <w:rPr>
          <w:color w:val="000000" w:themeColor="text1"/>
          <w:sz w:val="16"/>
          <w:szCs w:val="16"/>
        </w:rPr>
      </w:pPr>
    </w:p>
    <w:p w14:paraId="69DDF6A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мая 1943 г. станковый пулемет конструкции Горюнова под маркой СГ-43 был принят на : РККА. Масса пулемета не превышала 13,5 кг. Наибольшая прице дальность стрельбы из спаренного пулемета составляла 2200 м. Темп стрельбы - 600 - 700 выстр./мин., а боевая скорострельность - 250-300 выстр./мин. Емкость пулеметной ленты была рассчитана на 2501 патронов. Начальная скорость полета пули составляла 800 м/с (10703).</w:t>
      </w:r>
    </w:p>
    <w:p w14:paraId="034D8B3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0E194B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мая 1943 года решением Государственного Комитета Обороны этот пулемет был принят на вооружение под наименованием «7,62</w:t>
      </w:r>
      <w:r w:rsidRPr="00D03F3E">
        <w:rPr>
          <w:rFonts w:ascii="Times New Roman" w:hAnsi="Times New Roman"/>
          <w:color w:val="000000" w:themeColor="text1"/>
          <w:sz w:val="16"/>
          <w:szCs w:val="16"/>
        </w:rPr>
        <w:noBreakHyphen/>
        <w:t>мм станковый пулемет системы Горюнова образца 1943 года (СГ</w:t>
      </w:r>
      <w:r w:rsidRPr="00D03F3E">
        <w:rPr>
          <w:rFonts w:ascii="Times New Roman" w:hAnsi="Times New Roman"/>
          <w:color w:val="000000" w:themeColor="text1"/>
          <w:sz w:val="16"/>
          <w:szCs w:val="16"/>
        </w:rPr>
        <w:noBreakHyphen/>
        <w:t>43)». Принятие данного образца на вооружение не снизило темпа работ по его усовершенствованию, которое уже приняло форму модернизации. В этой работе, как и при первоначальной доработке образца под наименованием ГВГ, со стороны полигона (НИПСВО) как испытатели и исследователи оружия, одновременно вносящие и предложения по его усовершенствованию, принимали участие В.С. Дейкин и В.Ф. Лютый, прошедший с этим пулеметом по фронтовым дорогам от Кривого Рога до Николаева и Одессы весной 1944 года в составе 8</w:t>
      </w:r>
      <w:r w:rsidRPr="00D03F3E">
        <w:rPr>
          <w:rFonts w:ascii="Times New Roman" w:hAnsi="Times New Roman"/>
          <w:color w:val="000000" w:themeColor="text1"/>
          <w:sz w:val="16"/>
          <w:szCs w:val="16"/>
        </w:rPr>
        <w:noBreakHyphen/>
        <w:t>й армии 3</w:t>
      </w:r>
      <w:r w:rsidRPr="00D03F3E">
        <w:rPr>
          <w:rFonts w:ascii="Times New Roman" w:hAnsi="Times New Roman"/>
          <w:color w:val="000000" w:themeColor="text1"/>
          <w:sz w:val="16"/>
          <w:szCs w:val="16"/>
        </w:rPr>
        <w:noBreakHyphen/>
        <w:t>го Украинского фронта (11746).</w:t>
      </w:r>
    </w:p>
    <w:p w14:paraId="7912257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8351F6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мая 1943г. была подготовлена ДОКЛАДНАЯ ЗАПИСКА ЗАМЕСТИТЕЛЮ ПРЕДСЕДАТЕЛЯ ГКО МОЛОТОВУ ПО ТЕХНИЧЕСКОМУ ПРОЕКТУ АРТИЛЛЕРИЙСКОЙ САМОХОДНОЙ УСТАНОВКИ, РАЗРАБОТАННОМУ НАТИ НКСМ И ЦАКБ НКВ №1151274</w:t>
      </w:r>
    </w:p>
    <w:p w14:paraId="39036B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Докладываю по техническому проекту артиллерийской самоходной установки, разработанному НАТИ НКСМ и ЦАКБ НКВ с пушкой 76-мм (Ф-34) или 57-мм (ЗИС-4).</w:t>
      </w:r>
    </w:p>
    <w:p w14:paraId="5341904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Комиссия под председательством генерал-майора технических войск т. Лебедева И.А., рассмотрев материалы по техническому проекту, рекомендует изготовить два опытных образца: один с пушкой 76-мм (Ф-34) и второй с пушкой калибра 57-мм (ЗИС-4) согласно тактико-технической характеристи</w:t>
      </w:r>
      <w:r w:rsidRPr="00D03F3E">
        <w:rPr>
          <w:rFonts w:ascii="Times New Roman" w:hAnsi="Times New Roman"/>
          <w:color w:val="000000" w:themeColor="text1"/>
          <w:sz w:val="16"/>
          <w:szCs w:val="16"/>
        </w:rPr>
        <w:softHyphen/>
        <w:t>ке, приложенной к заключению.</w:t>
      </w:r>
    </w:p>
    <w:p w14:paraId="154808E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Рассмотренный проект отличается от самоходной установки СУ-76, имеющей массовые полом</w:t>
      </w:r>
      <w:r w:rsidRPr="00D03F3E">
        <w:rPr>
          <w:rFonts w:ascii="Times New Roman" w:hAnsi="Times New Roman"/>
          <w:color w:val="000000" w:themeColor="text1"/>
          <w:sz w:val="16"/>
          <w:szCs w:val="16"/>
        </w:rPr>
        <w:softHyphen/>
        <w:t>ки шестерен коробки перемены передач в следующем:</w:t>
      </w:r>
    </w:p>
    <w:p w14:paraId="0789252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 Коробки перемены передач нагружены меньшим (на 14%) крутящим моментом, так как мото</w:t>
      </w:r>
      <w:r w:rsidRPr="00D03F3E">
        <w:rPr>
          <w:rFonts w:ascii="Times New Roman" w:hAnsi="Times New Roman"/>
          <w:color w:val="000000" w:themeColor="text1"/>
          <w:sz w:val="16"/>
          <w:szCs w:val="16"/>
        </w:rPr>
        <w:softHyphen/>
        <w:t>ры М-1 имеют меньшую мощность и крутящий момент по сравнению с двигателем ГАЗ-202.</w:t>
      </w:r>
    </w:p>
    <w:p w14:paraId="3362663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Меньший (на 1200 кг) вес самоходной установки.</w:t>
      </w:r>
    </w:p>
    <w:p w14:paraId="60F71B4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Уменьшена на 22% скорость машины по сравнению с СУ-76.</w:t>
      </w:r>
    </w:p>
    <w:p w14:paraId="02DF26F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улучшает работу 2 спаренных коробок перемены передач на предлагаемой установке по сравнению с СУ-76.</w:t>
      </w:r>
    </w:p>
    <w:p w14:paraId="45E6FBA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улучшены условия работы экипажа за счет расположения моторно-трансмиссион-ного отделения в кормовой части установки.</w:t>
      </w:r>
    </w:p>
    <w:p w14:paraId="4951A77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создания конструктивно отработанной и надежной в эксплуатации 76-мм само</w:t>
      </w:r>
      <w:r w:rsidRPr="00D03F3E">
        <w:rPr>
          <w:rFonts w:ascii="Times New Roman" w:hAnsi="Times New Roman"/>
          <w:color w:val="000000" w:themeColor="text1"/>
          <w:sz w:val="16"/>
          <w:szCs w:val="16"/>
        </w:rPr>
        <w:softHyphen/>
        <w:t>ходной артиллерийской установки считаю целесообразным в кратчайший срок изготовить два опытных образца, предлагаемых комиссией, и испытать их совместно с образцами завода №38 и ГАЗ им. Молотова.</w:t>
      </w:r>
    </w:p>
    <w:p w14:paraId="5C9250A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Комиссия в своем заключении особо отметила тот факт, что для легких самоходных артиллерийских установок в производстве нет двигателей мощностью 100-250 л.с. Это вынудило в рассмотренном проекте применить установку двух двигателей М-1 с параллель</w:t>
      </w:r>
      <w:r w:rsidRPr="00D03F3E">
        <w:rPr>
          <w:rFonts w:ascii="Times New Roman" w:hAnsi="Times New Roman"/>
          <w:color w:val="000000" w:themeColor="text1"/>
          <w:sz w:val="16"/>
          <w:szCs w:val="16"/>
        </w:rPr>
        <w:softHyphen/>
        <w:t>ным их расположением.</w:t>
      </w:r>
    </w:p>
    <w:p w14:paraId="742C068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Считаю правильным предложение комиссии обязать Наркомсредмаш представить правитель</w:t>
      </w:r>
      <w:r w:rsidRPr="00D03F3E">
        <w:rPr>
          <w:rFonts w:ascii="Times New Roman" w:hAnsi="Times New Roman"/>
          <w:color w:val="000000" w:themeColor="text1"/>
          <w:sz w:val="16"/>
          <w:szCs w:val="16"/>
        </w:rPr>
        <w:softHyphen/>
        <w:t>ству в кратчайший срок план мероприятий по ускорению организации производства дизель-мото</w:t>
      </w:r>
      <w:r w:rsidRPr="00D03F3E">
        <w:rPr>
          <w:rFonts w:ascii="Times New Roman" w:hAnsi="Times New Roman"/>
          <w:color w:val="000000" w:themeColor="text1"/>
          <w:sz w:val="16"/>
          <w:szCs w:val="16"/>
        </w:rPr>
        <w:softHyphen/>
        <w:t>ров мощностью 100-250 л. с.</w:t>
      </w:r>
    </w:p>
    <w:p w14:paraId="580270C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Представляя проект постановления, прошу утвердить его.</w:t>
      </w:r>
    </w:p>
    <w:p w14:paraId="70AD947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w:t>
      </w:r>
    </w:p>
    <w:p w14:paraId="4E25F4C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Проект постановления на 1 листе.</w:t>
      </w:r>
    </w:p>
    <w:p w14:paraId="212C0B8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Заключение комиссии на 13 листах.</w:t>
      </w:r>
    </w:p>
    <w:p w14:paraId="31C1F07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Тактико-техническая характеристика на 3 листах.</w:t>
      </w:r>
    </w:p>
    <w:p w14:paraId="7833ADB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Заместитель народного комиссара вооружения Рябиков</w:t>
      </w:r>
    </w:p>
    <w:p w14:paraId="719C628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Народный комиссар среднего машиностроения Акопов</w:t>
      </w:r>
    </w:p>
    <w:p w14:paraId="177CCA7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ГАУ Красной Армии генерал-полковник артиллерии Яковлев</w:t>
      </w:r>
    </w:p>
    <w:p w14:paraId="296FB64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Заместитель командующего ВТ и МВ КА генерал-лейтенант танковых войск Коробков</w:t>
      </w:r>
    </w:p>
    <w:p w14:paraId="3DAFCDF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Член военного совета БТ и МВ КА генерал-лейтенант танковых войск Бирюков</w:t>
      </w:r>
    </w:p>
    <w:p w14:paraId="1C7CEA8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11369. Д. 68. Л. 15-16. Копия (11403).</w:t>
      </w:r>
    </w:p>
    <w:p w14:paraId="7F3DEB3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ECD4B33" w14:textId="77777777" w:rsidR="00BE724F" w:rsidRPr="00D03F3E" w:rsidRDefault="00BE724F" w:rsidP="00D03F3E">
      <w:pPr>
        <w:pStyle w:val="article-renderblock"/>
        <w:shd w:val="clear" w:color="auto" w:fill="FFFFFF"/>
        <w:spacing w:before="0" w:beforeAutospacing="0" w:after="0" w:afterAutospacing="0"/>
        <w:jc w:val="both"/>
        <w:rPr>
          <w:color w:val="0070C0"/>
          <w:sz w:val="16"/>
          <w:szCs w:val="16"/>
        </w:rPr>
      </w:pPr>
      <w:r w:rsidRPr="00D03F3E">
        <w:rPr>
          <w:color w:val="0070C0"/>
          <w:sz w:val="16"/>
          <w:szCs w:val="16"/>
        </w:rPr>
        <w:t>К 14 мая 1943 года был подготовлен первый проект орудия С-31, спустя всего 9 дней после подписания постановления ГКО №3289 "Об усилении артиллерийского вооружения танков и самоходных установок". В рамках этого постановления требовалось изготовить два образца КВ-1с и два образца ИС-1, которые предполагалось вооружить орудиями калибра 85 мм. Надо понимать, что за 9 дней подобное не проектируется. Система, разработку которой возглавили начальник 17-го отдела ЦАКБ П.Ф. Муравьев и начальник 3-го отдела ЦАКБ Е.В. Синильщиков, стала развитием орудия ЗИС-25. Но не менее интересна башня. КБ завода №9, которое разрабатывало орудие Д-5Т-85, требовало расширения погона в свету как минимум до 1700 мм. ЦАКБ предполагало штатный погон оставить, но башня достаточно сильно менялась. При этом башня делалась унифицированной - для КВ-1с и ИС-1. В башне увеличивались размеры кормовой ниши, что позволяло разместить в ней 18 патронов к 85-мм пушке С-31. Изменялась командирская башенка и крыша башни, что позволяло заряжающему работать с более длинным унитарным патроном. Башенка располагалась во всю ширину крыши башни. Кроме того, башня получала полик (подбашенную корзину).</w:t>
      </w:r>
    </w:p>
    <w:p w14:paraId="54CAC801" w14:textId="77777777" w:rsidR="00BE724F" w:rsidRPr="00D03F3E" w:rsidRDefault="00BE724F"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ЦАКБ весьма вольно смотрели на вопрос того. что считать переделкой штатной башни.</w:t>
      </w:r>
    </w:p>
    <w:p w14:paraId="0267BE89" w14:textId="77777777" w:rsidR="00BE724F" w:rsidRPr="00D03F3E" w:rsidRDefault="00BE724F" w:rsidP="00D03F3E">
      <w:pPr>
        <w:pStyle w:val="article-renderblock"/>
        <w:shd w:val="clear" w:color="auto" w:fill="FFFFFF"/>
        <w:spacing w:before="0" w:beforeAutospacing="0" w:after="0" w:afterAutospacing="0"/>
        <w:jc w:val="both"/>
        <w:rPr>
          <w:color w:val="0070C0"/>
          <w:sz w:val="16"/>
          <w:szCs w:val="16"/>
        </w:rPr>
      </w:pPr>
      <w:r w:rsidRPr="00D03F3E">
        <w:rPr>
          <w:color w:val="0070C0"/>
          <w:sz w:val="16"/>
          <w:szCs w:val="16"/>
        </w:rPr>
        <w:t>Идею ЦАКБ не оценили ни в ГАУ, ни в ГБТУ, ни в НКТП. Там хватало претензий и по самому орудию. Например, согласно требованиям, длина отката составляла 350 мм, а расчёты ЦАКБ показали, что он составит не менее 520 мм (20276).</w:t>
      </w:r>
    </w:p>
    <w:p w14:paraId="61053E06" w14:textId="77777777" w:rsidR="00BE724F" w:rsidRPr="00D03F3E" w:rsidRDefault="00BE724F" w:rsidP="00D03F3E">
      <w:pPr>
        <w:pStyle w:val="article-renderblock"/>
        <w:shd w:val="clear" w:color="auto" w:fill="FFFFFF"/>
        <w:spacing w:before="0" w:beforeAutospacing="0" w:after="0" w:afterAutospacing="0"/>
        <w:jc w:val="both"/>
        <w:rPr>
          <w:color w:val="0070C0"/>
          <w:sz w:val="16"/>
          <w:szCs w:val="16"/>
        </w:rPr>
      </w:pPr>
    </w:p>
    <w:p w14:paraId="21294520" w14:textId="77777777" w:rsidR="00BE724F" w:rsidRPr="00D03F3E" w:rsidRDefault="00BE724F" w:rsidP="00D03F3E">
      <w:pPr>
        <w:pStyle w:val="article-renderblock"/>
        <w:shd w:val="clear" w:color="auto" w:fill="FFFFFF"/>
        <w:spacing w:before="0" w:beforeAutospacing="0" w:after="0" w:afterAutospacing="0"/>
        <w:jc w:val="both"/>
        <w:rPr>
          <w:color w:val="0070C0"/>
          <w:sz w:val="16"/>
          <w:szCs w:val="16"/>
        </w:rPr>
      </w:pPr>
      <w:r w:rsidRPr="00D03F3E">
        <w:rPr>
          <w:color w:val="0070C0"/>
          <w:sz w:val="16"/>
          <w:szCs w:val="16"/>
        </w:rPr>
        <w:t>14 мая 1943 Шпитальный прислал предложение о постройке 5 машин ЗУТ-37, с использованием базы Т-80, для войсковых испытаний. Стоимость каждой системы оценивалось в 130 тысяч рублей, с учетом того, что базовый Т-70 стоил в 2 раза меньше. А еще он предлагал сделать опытный образец зенитного танка с 45-мм автоматической пушкой. Тут вообще была сама скромность - 800 тысяч рублей. В эту сумму входил полный объем НИР по данной машине.</w:t>
      </w:r>
    </w:p>
    <w:p w14:paraId="474D980B" w14:textId="77777777" w:rsidR="00BE724F" w:rsidRPr="00D03F3E" w:rsidRDefault="00BE724F" w:rsidP="00D03F3E">
      <w:pPr>
        <w:pStyle w:val="article-renderblock"/>
        <w:shd w:val="clear" w:color="auto" w:fill="FFFFFF"/>
        <w:spacing w:before="0" w:beforeAutospacing="0" w:after="0" w:afterAutospacing="0"/>
        <w:jc w:val="both"/>
        <w:rPr>
          <w:color w:val="0070C0"/>
          <w:sz w:val="16"/>
          <w:szCs w:val="16"/>
        </w:rPr>
      </w:pPr>
      <w:r w:rsidRPr="00D03F3E">
        <w:rPr>
          <w:color w:val="0070C0"/>
          <w:sz w:val="16"/>
          <w:szCs w:val="16"/>
        </w:rPr>
        <w:t xml:space="preserve">На это предложение генерал-лейтенант Б.Г. Вершинин, начальник ГБТУ КА, ответил весьма остроумно. Начальнику ОКБ-15 он сообщил, что с такими предложениями надо обращаться не к нему, а в ГАУ КА, соответственно, за деньгами туда же. Да и вообще, из ГАУ сообщили, что Ш-37 с производства снята, а ГБТУ КА брать на себя ответственность за чужие работы не может. От Шпитального последовало несколько писем, весьма эмоциональных, но товарища Вершинина они как-то не впечатлили (20346). </w:t>
      </w:r>
    </w:p>
    <w:p w14:paraId="06CEB96A" w14:textId="77777777" w:rsidR="00BE724F" w:rsidRPr="00D03F3E" w:rsidRDefault="00BE724F" w:rsidP="00D03F3E">
      <w:pPr>
        <w:pStyle w:val="article-renderblock"/>
        <w:shd w:val="clear" w:color="auto" w:fill="FFFFFF"/>
        <w:spacing w:before="0" w:beforeAutospacing="0" w:after="0" w:afterAutospacing="0"/>
        <w:jc w:val="both"/>
        <w:rPr>
          <w:color w:val="0070C0"/>
          <w:sz w:val="16"/>
          <w:szCs w:val="16"/>
        </w:rPr>
      </w:pPr>
      <w:r w:rsidRPr="00D03F3E">
        <w:rPr>
          <w:color w:val="0070C0"/>
          <w:sz w:val="16"/>
          <w:szCs w:val="16"/>
        </w:rPr>
        <w:t>28 июня 1943 года в последнем письме сообщалось, что ЗУТ-37 прошла заводские испытания, далее возникал вопрос о направлении ее на фронт. Уехала ли она туда, вопрос открытый. В любом случае, ничего хорошего ЗУТ-37 уже не ждало. Дело не только в том, что Ш-37 уже год как сняли с производства (20346).</w:t>
      </w:r>
    </w:p>
    <w:p w14:paraId="43ABBBB3" w14:textId="77777777" w:rsidR="00BE724F" w:rsidRPr="00D03F3E" w:rsidRDefault="00BE724F" w:rsidP="00D03F3E">
      <w:pPr>
        <w:pStyle w:val="article-renderblock"/>
        <w:shd w:val="clear" w:color="auto" w:fill="FFFFFF"/>
        <w:spacing w:before="0" w:beforeAutospacing="0" w:after="0" w:afterAutospacing="0"/>
        <w:jc w:val="both"/>
        <w:rPr>
          <w:color w:val="0070C0"/>
          <w:sz w:val="16"/>
          <w:szCs w:val="16"/>
        </w:rPr>
      </w:pPr>
    </w:p>
    <w:p w14:paraId="2E4C919A" w14:textId="77777777" w:rsidR="00BE724F" w:rsidRPr="00D03F3E" w:rsidRDefault="00BE724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14 мая 1943 заместителю председателя ГКО Моло</w:t>
      </w:r>
      <w:r w:rsidRPr="00D03F3E">
        <w:rPr>
          <w:rFonts w:ascii="Times New Roman" w:hAnsi="Times New Roman"/>
          <w:color w:val="0070C0"/>
          <w:sz w:val="16"/>
          <w:szCs w:val="16"/>
        </w:rPr>
        <w:softHyphen/>
        <w:t>тову была направлена докладная записка по техни</w:t>
      </w:r>
      <w:r w:rsidRPr="00D03F3E">
        <w:rPr>
          <w:rFonts w:ascii="Times New Roman" w:hAnsi="Times New Roman"/>
          <w:color w:val="0070C0"/>
          <w:sz w:val="16"/>
          <w:szCs w:val="16"/>
        </w:rPr>
        <w:softHyphen/>
        <w:t>ческому проекту артиллерийской самоходной уста</w:t>
      </w:r>
      <w:r w:rsidRPr="00D03F3E">
        <w:rPr>
          <w:rFonts w:ascii="Times New Roman" w:hAnsi="Times New Roman"/>
          <w:color w:val="0070C0"/>
          <w:sz w:val="16"/>
          <w:szCs w:val="16"/>
        </w:rPr>
        <w:softHyphen/>
        <w:t>новки, разработанному HATИ НКСМ и ЦАКБ НКВ, от заместителя Народного Комиссара вооружений Рябикова и Народного Комиссара среднего машинос</w:t>
      </w:r>
      <w:r w:rsidRPr="00D03F3E">
        <w:rPr>
          <w:rFonts w:ascii="Times New Roman" w:hAnsi="Times New Roman"/>
          <w:color w:val="0070C0"/>
          <w:sz w:val="16"/>
          <w:szCs w:val="16"/>
        </w:rPr>
        <w:softHyphen/>
        <w:t>троения Акопова.</w:t>
      </w:r>
    </w:p>
    <w:p w14:paraId="4A7A970A" w14:textId="77777777" w:rsidR="00BE724F" w:rsidRPr="00D03F3E" w:rsidRDefault="00BE724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Самоходная установка «СУ» с двумя двигателями ГАЗ-М, параллельно расположенными в стальном корпусе была разработана по инициативе В.Я. Слонимского.</w:t>
      </w:r>
    </w:p>
    <w:p w14:paraId="5C012928" w14:textId="77777777" w:rsidR="00BE724F" w:rsidRPr="00D03F3E" w:rsidRDefault="00BE724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Схема расположения двигателей повторяла схе</w:t>
      </w:r>
      <w:r w:rsidRPr="00D03F3E">
        <w:rPr>
          <w:rFonts w:ascii="Times New Roman" w:hAnsi="Times New Roman"/>
          <w:color w:val="0070C0"/>
          <w:sz w:val="16"/>
          <w:szCs w:val="16"/>
        </w:rPr>
        <w:softHyphen/>
        <w:t>му тягача Я-12. Но в отличие от последней, для дос</w:t>
      </w:r>
      <w:r w:rsidRPr="00D03F3E">
        <w:rPr>
          <w:rFonts w:ascii="Times New Roman" w:hAnsi="Times New Roman"/>
          <w:color w:val="0070C0"/>
          <w:sz w:val="16"/>
          <w:szCs w:val="16"/>
        </w:rPr>
        <w:softHyphen/>
        <w:t>тижения компактности, из трансмиссии были изъяты длинные карданные валы. Крутящий момент от ко</w:t>
      </w:r>
      <w:r w:rsidRPr="00D03F3E">
        <w:rPr>
          <w:rFonts w:ascii="Times New Roman" w:hAnsi="Times New Roman"/>
          <w:color w:val="0070C0"/>
          <w:sz w:val="16"/>
          <w:szCs w:val="16"/>
        </w:rPr>
        <w:softHyphen/>
        <w:t>робки передач через пару конических шестерен не</w:t>
      </w:r>
      <w:r w:rsidRPr="00D03F3E">
        <w:rPr>
          <w:rFonts w:ascii="Times New Roman" w:hAnsi="Times New Roman"/>
          <w:color w:val="0070C0"/>
          <w:sz w:val="16"/>
          <w:szCs w:val="16"/>
        </w:rPr>
        <w:softHyphen/>
        <w:t>посредственно передавался на поперечный вал бор</w:t>
      </w:r>
      <w:r w:rsidRPr="00D03F3E">
        <w:rPr>
          <w:rFonts w:ascii="Times New Roman" w:hAnsi="Times New Roman"/>
          <w:color w:val="0070C0"/>
          <w:sz w:val="16"/>
          <w:szCs w:val="16"/>
        </w:rPr>
        <w:softHyphen/>
        <w:t>товых фрикционов и далее на ведущие звездочки. Упругие резиновые муфты были установлены лишь на поперечном валу.</w:t>
      </w:r>
    </w:p>
    <w:p w14:paraId="3394CB28" w14:textId="77777777" w:rsidR="00BE724F" w:rsidRPr="00D03F3E" w:rsidRDefault="00BE724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Работы по проектированию самоходной установ</w:t>
      </w:r>
      <w:r w:rsidRPr="00D03F3E">
        <w:rPr>
          <w:rFonts w:ascii="Times New Roman" w:hAnsi="Times New Roman"/>
          <w:color w:val="0070C0"/>
          <w:sz w:val="16"/>
          <w:szCs w:val="16"/>
        </w:rPr>
        <w:softHyphen/>
        <w:t>ки велись совместно с Центральным артиллерий</w:t>
      </w:r>
      <w:r w:rsidRPr="00D03F3E">
        <w:rPr>
          <w:rFonts w:ascii="Times New Roman" w:hAnsi="Times New Roman"/>
          <w:color w:val="0070C0"/>
          <w:sz w:val="16"/>
          <w:szCs w:val="16"/>
        </w:rPr>
        <w:softHyphen/>
        <w:t>ским конструкторским бюро Народного Комиссариа</w:t>
      </w:r>
      <w:r w:rsidRPr="00D03F3E">
        <w:rPr>
          <w:rFonts w:ascii="Times New Roman" w:hAnsi="Times New Roman"/>
          <w:color w:val="0070C0"/>
          <w:sz w:val="16"/>
          <w:szCs w:val="16"/>
        </w:rPr>
        <w:softHyphen/>
        <w:t>та вооружений (ЦАКБ НКВ).</w:t>
      </w:r>
    </w:p>
    <w:p w14:paraId="6E429F63" w14:textId="77777777" w:rsidR="00BE724F" w:rsidRPr="00D03F3E" w:rsidRDefault="00BE724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Самоходная установка разрабатывалась с пуш</w:t>
      </w:r>
      <w:r w:rsidRPr="00D03F3E">
        <w:rPr>
          <w:rFonts w:ascii="Times New Roman" w:hAnsi="Times New Roman"/>
          <w:color w:val="0070C0"/>
          <w:sz w:val="16"/>
          <w:szCs w:val="16"/>
        </w:rPr>
        <w:softHyphen/>
        <w:t>кой 76-мм (Ф-34) или 57-мм (ЗИС-4). Комиссия под председательством генерал-майора технических войск И.А. Лебедева рекомендовала изготовить два опытных образца самоходки: один с 76-мм пушкой и второй - с 57-мм. Постановлением ГКО № 3187сс от 15.04.43 г. предусматривалось производство 57-мм танковых пушек ЗИС-4 для танков Т-34.</w:t>
      </w:r>
    </w:p>
    <w:p w14:paraId="0CE97B59" w14:textId="77777777" w:rsidR="00BE724F" w:rsidRPr="00D03F3E" w:rsidRDefault="00BE724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Сборка опытной установки «СУ» осу</w:t>
      </w:r>
      <w:r w:rsidRPr="00D03F3E">
        <w:rPr>
          <w:rFonts w:ascii="Times New Roman" w:hAnsi="Times New Roman"/>
          <w:color w:val="0070C0"/>
          <w:sz w:val="16"/>
          <w:szCs w:val="16"/>
        </w:rPr>
        <w:softHyphen/>
        <w:t>ществлялась на Опытном заводе.</w:t>
      </w:r>
    </w:p>
    <w:p w14:paraId="742DCBD6" w14:textId="77777777" w:rsidR="00BE724F" w:rsidRPr="00D03F3E" w:rsidRDefault="00BE724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Проект самоходки HATH отличался от установки СУ-76, имеющей массовые поломки шестерен ко</w:t>
      </w:r>
      <w:r w:rsidRPr="00D03F3E">
        <w:rPr>
          <w:rFonts w:ascii="Times New Roman" w:hAnsi="Times New Roman"/>
          <w:color w:val="0070C0"/>
          <w:sz w:val="16"/>
          <w:szCs w:val="16"/>
        </w:rPr>
        <w:softHyphen/>
        <w:t>робки перемены передач, следующим:</w:t>
      </w:r>
    </w:p>
    <w:p w14:paraId="1BF1CE06" w14:textId="77777777" w:rsidR="00BE724F" w:rsidRPr="00D03F3E" w:rsidRDefault="00BE724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Коробки перемены передач нагружены мень</w:t>
      </w:r>
      <w:r w:rsidRPr="00D03F3E">
        <w:rPr>
          <w:rFonts w:ascii="Times New Roman" w:hAnsi="Times New Roman"/>
          <w:color w:val="0070C0"/>
          <w:sz w:val="16"/>
          <w:szCs w:val="16"/>
        </w:rPr>
        <w:softHyphen/>
        <w:t>шим (на 14 %) крутящим моментом, так как двигатель М-1 имеет меньшую мощность по сравнению с ГАЗ-202.</w:t>
      </w:r>
    </w:p>
    <w:p w14:paraId="26798AA2" w14:textId="77777777" w:rsidR="00BE724F" w:rsidRPr="00D03F3E" w:rsidRDefault="00BE724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Меньший (на 1200 кг) вес установки.</w:t>
      </w:r>
    </w:p>
    <w:p w14:paraId="1FC82326" w14:textId="77777777" w:rsidR="00BE724F" w:rsidRPr="00D03F3E" w:rsidRDefault="00BE724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Уменьшенная на 22 % скорость по сравнению с СУ-76.</w:t>
      </w:r>
    </w:p>
    <w:p w14:paraId="5BF9286B" w14:textId="77777777" w:rsidR="00BE724F" w:rsidRPr="00D03F3E" w:rsidRDefault="00BE724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Это улучшало работу двух спаренных коробок. Кроме того, были улучшены условия работы экипа</w:t>
      </w:r>
      <w:r w:rsidRPr="00D03F3E">
        <w:rPr>
          <w:rFonts w:ascii="Times New Roman" w:hAnsi="Times New Roman"/>
          <w:color w:val="0070C0"/>
          <w:sz w:val="16"/>
          <w:szCs w:val="16"/>
        </w:rPr>
        <w:softHyphen/>
        <w:t>жа за счет расположения моторно-трансмиссион</w:t>
      </w:r>
      <w:r w:rsidRPr="00D03F3E">
        <w:rPr>
          <w:rFonts w:ascii="Times New Roman" w:hAnsi="Times New Roman"/>
          <w:color w:val="0070C0"/>
          <w:sz w:val="16"/>
          <w:szCs w:val="16"/>
        </w:rPr>
        <w:softHyphen/>
        <w:t>ного отделения в кормовой части установки (22518).</w:t>
      </w:r>
    </w:p>
    <w:p w14:paraId="009072E2" w14:textId="77777777" w:rsidR="00BE724F" w:rsidRPr="00D03F3E" w:rsidRDefault="00BE724F" w:rsidP="00D03F3E">
      <w:pPr>
        <w:spacing w:after="0" w:line="240" w:lineRule="auto"/>
        <w:jc w:val="both"/>
        <w:rPr>
          <w:rFonts w:ascii="Times New Roman" w:hAnsi="Times New Roman"/>
          <w:color w:val="0070C0"/>
          <w:sz w:val="16"/>
          <w:szCs w:val="16"/>
        </w:rPr>
      </w:pPr>
    </w:p>
    <w:p w14:paraId="0574D92D" w14:textId="77777777" w:rsidR="0037334C" w:rsidRPr="00D03F3E" w:rsidRDefault="0037334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14 мая 1943 была готова пояснительная записка, а также эскизы установки орудия в тяжелые танки ИС-1 и КВ-1с. Стоит отметить, что первоначальная концепция установки С-31 в КВ-1с отличалась от того, что позже было создано в металле. Прежде всего, это касалось башни. ЦАКБ не стало требовать увеличить диаметр башенного погона, как это сделало КБ завода №9, но в конструкцию башни вносился ряд изменений. Приоритетной машиной ЦАКБ считало ИС-1, но благодаря одинаковому башенному погону эту же башню предполагалось ставить и на КВ-1с. В башне увеличивались размеры кормовой ниши, что позволяло разместить в ней 18 патронов к 85-мм пушке. Изменялась командирская башенка и крыша башни, что позволяло заряжающему работать с более длинным патроном. Башенка располагалась во всю ширину крыши башни. Кроме того, башня получала полик. Согласно проекту, боекомплект КВ-1с с новым орудием и башней должен был составлять 76 патронов.</w:t>
      </w:r>
    </w:p>
    <w:p w14:paraId="6EBC3823" w14:textId="77777777" w:rsidR="0037334C" w:rsidRPr="00D03F3E" w:rsidRDefault="0037334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Конструкция самого орудия являлась развитием конструкции ЗИС-25. Удалось достичь большой унификации С-31 с ЗИС-5: из 449 деталей 350 унифицировались, правда, некоторые с небольшими переделками. Ствол новой системы, как и указывалось в требованиях, обладал баллистикой 52-К, а казенник и клин с полуавтоматикой выполнялись по типу аналогичных элементов ЗИС-5 (17698).</w:t>
      </w:r>
    </w:p>
    <w:p w14:paraId="45C277AC" w14:textId="77777777" w:rsidR="0037334C" w:rsidRPr="00D03F3E" w:rsidRDefault="0037334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075DD1F" w14:textId="77777777" w:rsidR="0037334C" w:rsidRPr="00D03F3E" w:rsidRDefault="0037334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14 мая 1943 года поступил ответ из Британской военной миссии в СССР. Согласно ответу, англичане были готовы поставлять «Сенторс» (так Centaur указывается в документе), но Военное Министерство предлагало вместо них увеличить поставку танков «Шерман». Речь шла об M4A2 в «английской» комплектации (английские радиостанции и некоторые изменения в оборудовании), которые в английской армии имели индекс Sherman III. То есть, англичане предлагали перепродать Советскому Союзу танки, поставленные, в свою очередь, американцами для англичан.</w:t>
      </w:r>
    </w:p>
    <w:p w14:paraId="54B0CDB8" w14:textId="77777777" w:rsidR="0037334C" w:rsidRPr="00D03F3E" w:rsidRDefault="0037334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Судя по переписке, так оно в итоге и получилось. Тем не менее, англичане были готовы продемонстрировать Centaur советским представителям в Великобритании. На этом активность по новым танкам затихла, поскольку M4A2, даже в английской комплектации, ГБТУ КА показались более интересными (17645).</w:t>
      </w:r>
    </w:p>
    <w:p w14:paraId="1DD0F56C" w14:textId="77777777" w:rsidR="0037334C" w:rsidRPr="00D03F3E" w:rsidRDefault="0037334C" w:rsidP="00D03F3E">
      <w:pPr>
        <w:spacing w:after="0" w:line="240" w:lineRule="auto"/>
        <w:jc w:val="both"/>
        <w:rPr>
          <w:rFonts w:ascii="Times New Roman" w:eastAsia="Times New Roman" w:hAnsi="Times New Roman"/>
          <w:color w:val="000000" w:themeColor="text1"/>
          <w:sz w:val="16"/>
          <w:szCs w:val="16"/>
          <w:lang w:eastAsia="ru-RU"/>
        </w:rPr>
      </w:pPr>
    </w:p>
    <w:p w14:paraId="7463E11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мая 1943 вышло Постановление ГКО № 3362 Об отпуске продовольственных, госпитальных и фуражных пайков для Красной Армии, Военно-Морского Флота и войск НКВД в мае 1943 г.РГАНИР, Фонд ГКО, д. 117, лл. 112-114, 115-116 (11012).</w:t>
      </w:r>
    </w:p>
    <w:p w14:paraId="36BEF35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6893AAC"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14 мая 1943 вышло Распоряжение ГКО № 3363 [О поставках HКТП дополнительного количества металла во II кв. 1943 г. и об импортных поставках проката для HКТП.] (7107, 117-118).</w:t>
      </w:r>
    </w:p>
    <w:p w14:paraId="699CC6ED" w14:textId="77777777" w:rsidR="00531570" w:rsidRPr="00D03F3E" w:rsidRDefault="00531570" w:rsidP="00D03F3E">
      <w:pPr>
        <w:pStyle w:val="Iauiue"/>
        <w:tabs>
          <w:tab w:val="left" w:pos="11199"/>
        </w:tabs>
        <w:jc w:val="both"/>
        <w:rPr>
          <w:color w:val="000000" w:themeColor="text1"/>
          <w:sz w:val="16"/>
          <w:szCs w:val="16"/>
        </w:rPr>
      </w:pPr>
    </w:p>
    <w:p w14:paraId="3E88684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мая 1943 вышло Постановление ГКО № 3364 О ремонте танков, артсамоходов и дизелей по Наркомтанкопрому в мае и июне месяцах 1943 г.РГАНИР, Фонд ГКО, д. 117, лл. 119-120 (11012).</w:t>
      </w:r>
    </w:p>
    <w:p w14:paraId="121496FA"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AF0B6F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мая 1943 вышло Распоряжение ГКО № 3365. О передаче НКВМФ 250 судов для переоборудования под тральщики.РГАНИР, Фонд ГКО, д. 117, лл. 121 (11012).</w:t>
      </w:r>
    </w:p>
    <w:p w14:paraId="3FA8A3E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3A5DF1E"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14 мая 1943 вышло Распоряжение ГКО № 3366 [Об обеспечении Тамбовского вагоностроительного завода электроэнергией за счет НКБ.] (7107, 122).</w:t>
      </w:r>
    </w:p>
    <w:p w14:paraId="4D6D4CD4" w14:textId="77777777" w:rsidR="00531570" w:rsidRPr="00D03F3E" w:rsidRDefault="00531570" w:rsidP="00D03F3E">
      <w:pPr>
        <w:pStyle w:val="Iauiue"/>
        <w:tabs>
          <w:tab w:val="left" w:pos="11199"/>
        </w:tabs>
        <w:jc w:val="both"/>
        <w:rPr>
          <w:color w:val="000000" w:themeColor="text1"/>
          <w:sz w:val="16"/>
          <w:szCs w:val="16"/>
        </w:rPr>
      </w:pPr>
    </w:p>
    <w:p w14:paraId="75292D11"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14 мая 1943 вышло Распоряжение ГКО № 3367 [О досрочной отгрузке Калининскому вагоностроительному заводу металла для строительства думпкаров.] (7107, 123,124-125).</w:t>
      </w:r>
    </w:p>
    <w:p w14:paraId="47B2CD07" w14:textId="77777777" w:rsidR="00531570" w:rsidRPr="00D03F3E" w:rsidRDefault="00531570" w:rsidP="00D03F3E">
      <w:pPr>
        <w:pStyle w:val="Iauiue"/>
        <w:tabs>
          <w:tab w:val="left" w:pos="11199"/>
        </w:tabs>
        <w:jc w:val="both"/>
        <w:rPr>
          <w:color w:val="000000" w:themeColor="text1"/>
          <w:sz w:val="16"/>
          <w:szCs w:val="16"/>
        </w:rPr>
      </w:pPr>
    </w:p>
    <w:p w14:paraId="31705618"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14 мая 1943 вышло Постановление ГКО № 3368 О плане распределения тракторов на II квартал 1943 года. (7107, 126,127).</w:t>
      </w:r>
    </w:p>
    <w:p w14:paraId="3DA3944F" w14:textId="77777777" w:rsidR="00531570" w:rsidRPr="00D03F3E" w:rsidRDefault="00531570" w:rsidP="00D03F3E">
      <w:pPr>
        <w:pStyle w:val="Iauiue"/>
        <w:tabs>
          <w:tab w:val="left" w:pos="11199"/>
        </w:tabs>
        <w:jc w:val="both"/>
        <w:rPr>
          <w:color w:val="000000" w:themeColor="text1"/>
          <w:sz w:val="16"/>
          <w:szCs w:val="16"/>
        </w:rPr>
      </w:pPr>
    </w:p>
    <w:p w14:paraId="477D8060"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14 мая 1943 вышло Постановление ГКО № 3369 О неотложных мерах по борьбе с пожарами на торфопредприятиях наркоматов и ведомств. (7107, 128-134).</w:t>
      </w:r>
    </w:p>
    <w:p w14:paraId="34B2CF5F" w14:textId="77777777" w:rsidR="00531570" w:rsidRPr="00D03F3E" w:rsidRDefault="00531570" w:rsidP="00D03F3E">
      <w:pPr>
        <w:pStyle w:val="Iauiue"/>
        <w:tabs>
          <w:tab w:val="left" w:pos="11199"/>
        </w:tabs>
        <w:jc w:val="both"/>
        <w:rPr>
          <w:color w:val="000000" w:themeColor="text1"/>
          <w:sz w:val="16"/>
          <w:szCs w:val="16"/>
        </w:rPr>
      </w:pPr>
    </w:p>
    <w:p w14:paraId="4ACA49F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мая 1943 вышло Постановление ГКО № 3370 О восстановлении в г. Ефремове завода синтетического каучука Наркомрезинпрома, Лобановского и Ефремовского заводов технического спирта Наркомпищепрома СССР.РГАНИР, Фонд ГКО, д. 117, лл. 135 (11012).</w:t>
      </w:r>
    </w:p>
    <w:p w14:paraId="4D83D25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528E5A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мая 1943 вышло Постановление ГКО № 3371 О снижении плана производства и поставки ствольных брусков, установленного постановлением ГОКО от 8 января 1943 г. № 2718с.РГАНИР, Фонд ГКО, д. 117, лл. 136 (11012).</w:t>
      </w:r>
    </w:p>
    <w:p w14:paraId="1CFF7BF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0442221"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20DE0C94" w14:textId="77777777" w:rsidR="00531570" w:rsidRPr="00D03F3E" w:rsidRDefault="00531570" w:rsidP="00D03F3E">
      <w:pPr>
        <w:pStyle w:val="Iauiue"/>
        <w:jc w:val="both"/>
        <w:rPr>
          <w:iCs/>
          <w:color w:val="000000" w:themeColor="text1"/>
          <w:sz w:val="16"/>
          <w:szCs w:val="16"/>
        </w:rPr>
      </w:pPr>
    </w:p>
    <w:p w14:paraId="01955346"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мая в 1943 году утреннее сообщение Совинформбюро:</w:t>
      </w:r>
    </w:p>
    <w:p w14:paraId="58A85F2C"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14 мая на Кубани, северо-восточнее Новороссийска, наши войска вели огневой бой с противником. На других участках фронта ничего существенного не произошло.</w:t>
      </w:r>
    </w:p>
    <w:p w14:paraId="4E580469"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Нашей авиацией в Баренцевом море потоплено два транспорта и два тральщика противника.</w:t>
      </w:r>
    </w:p>
    <w:p w14:paraId="21AE04E4"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северо-восточнее Новороссийска, советские артиллеристы и миномётчики разрушили несколько десятков вражеских дзотов и блиндажей, уничтожили 5 орудий, 13 автомашин с грузами и взорвали склад боеприпасов. Отряд немцев пытался разведать наши позиции. Пулемётным и залповым ружейным огнём советские бойцы истребили 40 гитлеровцев. Остальные немецкие солдаты поспешно отступили.</w:t>
      </w:r>
    </w:p>
    <w:p w14:paraId="2BFE6304"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Вчера в течение дня на Кубани в воздушных боях и огнём зенитной артиллериисбито 11 немецких самолётов. Наша авиация потерь не имела.</w:t>
      </w:r>
    </w:p>
    <w:p w14:paraId="59294F2B"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разведывательные отряды уничтожили до 100 немецких солдат и офицеров. Наши лётчики разбили 40 железнодорожных вагонов и взорвали два склада противника с горючим. В воздушном бою сбит немецкий самолёт «Фокке-Вульф-190».</w:t>
      </w:r>
    </w:p>
    <w:p w14:paraId="20CEFFBC"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наши подразделения вели активные боевые действия и улучшили свои позиции. Противник предпринял несколько контратак, но был отброшен. Уничтожено до 400 немецких солдат и офицеров. В последних боях наши подразделения захватили 8 немецких орудий, 42 пулемёта, 82 автомата, 5миномётов, свыше 250 винтовок и другие трофеи.</w:t>
      </w:r>
    </w:p>
    <w:p w14:paraId="4035A457"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артиллеристы произвели огневой налёт на обоз противника. Рассеяно и частью уничтожено более 100 повозок с грузами. Миномётчики подразделения, где командиром тов. Зубанов, за два дня уничтожили до роты гитлеровцев, разрушили 2 блиндажа и подавили огонь 6 пулемётных точек противника.</w:t>
      </w:r>
    </w:p>
    <w:p w14:paraId="64EE7DA9"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публикуются краткие выдержки из записей тов. В., командира партизанского отряда, действующего в Ровенской области.</w:t>
      </w:r>
    </w:p>
    <w:p w14:paraId="2C57B75A"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мая. Праздник мы отметили налётом на железнодорожную станцию. Завязался упорный бой с вражеским гарнизоном. Воодушевлённые приказом товарища Сталина, партизаны отважно дрались с гитлеровцами. Истреблено 65 немецких солдат и офицеров, взорван склад с военным имуществом.</w:t>
      </w:r>
    </w:p>
    <w:p w14:paraId="3C21D44F"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мая. Группа подрывников пустила сегодня под откос немецкий воинский эшелон.</w:t>
      </w:r>
    </w:p>
    <w:p w14:paraId="78DAA1A7"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мая. Крестьяне рассказали, что из-под обломков разбитых вагонов взорванного вчера поезда немцы извлекли 80 трупов своих солдат и офицеров».</w:t>
      </w:r>
    </w:p>
    <w:p w14:paraId="76788464"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 поле боя подобрано письмо некоей Марии Сгырчиу из села Корнуцел, уезда Северин (Румыния), сержанту 5 роты 94 румынского полка Мартину Вильяму. В письме говорится: «На все мои запросы о судьбе мужа я до сих пор не получила никакого ответа. Я была в Бухаресте, в военном министерстве и в обществе Красного Креста. Тысячи женщин с детьми осаждают эти учреждения с утра до ночи, но ничего не могут добиться. Здесь ходят упорные слухи, что дивизия, в которой служил мой муж, и все дивизии и полки, находившиеся у Волги и Дона, полностью уничтожены. Почему же так подло обманывают народ и скрывают от нас эту страшную правду».</w:t>
      </w:r>
    </w:p>
    <w:p w14:paraId="087BF2EF"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Получены сведения о деятельности некоторых отрядов французских вольных стрелков. В апреле вольные стрелки вывели из строя 180 паровозов, уничтожили 1.200 вагонов с военным имуществом и несколько сот порожних вагонов. Патриоты взорвали три железнодорожных моста, привели в негодность 450 тормозных механизмов и два подъёмных крана. Активно действуют на железных дорогах группы подрывников. Они почти ежедневно пускают под откос один-два немецких поезда.» (14891).</w:t>
      </w:r>
    </w:p>
    <w:p w14:paraId="16235F04" w14:textId="77777777" w:rsidR="00C80E64" w:rsidRPr="00D03F3E" w:rsidRDefault="00C80E64" w:rsidP="00D03F3E">
      <w:pPr>
        <w:spacing w:after="0" w:line="240" w:lineRule="auto"/>
        <w:jc w:val="both"/>
        <w:rPr>
          <w:rFonts w:ascii="Times New Roman" w:hAnsi="Times New Roman"/>
          <w:color w:val="000000" w:themeColor="text1"/>
          <w:sz w:val="16"/>
          <w:szCs w:val="16"/>
        </w:rPr>
      </w:pPr>
    </w:p>
    <w:p w14:paraId="6600EC06"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мая в 1943 году вечернее сообщение Совинформбюро:</w:t>
      </w:r>
    </w:p>
    <w:p w14:paraId="4C6B9EA3"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течение 14 мая на Кубани, северо-восточнее Новороссийска, наши войска вели огневой бой с противником. На других участках фронта ничего существенного не произошло.</w:t>
      </w:r>
    </w:p>
    <w:p w14:paraId="57B1A1BD"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северо-восточнее Новороссийска, наши артиллеристы и миномётчики обстреливали укрепления противника. Расчёт тяжёлого орудия, где командиром сержант Павленко, прямым попаданием снаряда взорвал крупный немецкий склад с боеприпасами. Миномётчики под командованием лейтенанта Комленка уничтожили до взвода пехоты и два пулемёта противника. Лётчик сержант Михайлов вступил в бой с вражеским бомбардировщиком и дважды таранил немецкий самолёт. «Юнкерс-88» упал на нашей территории. Тов. Михайлов благополучно приземлился на своём аэродроме.</w:t>
      </w:r>
    </w:p>
    <w:p w14:paraId="5496B749"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низовьях Кубани наши отряды отбили несколько контратак противника и уничтожили до 100 гитлеровцев. Захвачено много винтовок, 4 пулемёта и лодка с боеприпасами.</w:t>
      </w:r>
    </w:p>
    <w:p w14:paraId="35024D60"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наши части вели активные боевые действия и выбили немцев из укреплённых позиций. На поле боя осталось до 200 вражеских трупов. Захвачены 2 миномёта, 3 крупнокалиберных пулемёта, склад боеприпасов и радиостанция.</w:t>
      </w:r>
    </w:p>
    <w:p w14:paraId="345F3E42"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наши бойцы окружили и истребили разведывательную группу противника численностью в 80 человек. Взяты пленные и трофеи.</w:t>
      </w:r>
    </w:p>
    <w:p w14:paraId="44E43069"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наши части вели обстрел вражеских позиций. Разрушены 20 дзотов и блиндажей, взорвано 3 склада с боеприпасами, уничтожено 3 автомашины и несколько повозок с военными грузами. На одном участке наши разведчики взорвали3 немецких дзота и захватили 9 пулемётов, 10 автоматов и радиостанцию.</w:t>
      </w:r>
    </w:p>
    <w:p w14:paraId="0121FC19"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Могилёвской области, за последнее время пустил под откос 3 немецких воинских эшелона. Уничтожено 3 паровоза, 52 вагона и платформы. Другая группа партизан совершила налёт на тюрьму и освободила 13 арестованных немцами советских граждан. Подрывники партизанского отряда имени Котовского взорвали поезд противника с горючим. Сгорело 19 цистерн с бензином.</w:t>
      </w:r>
    </w:p>
    <w:p w14:paraId="0FD0F74B"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 поле боя найдено письмо Ганса Лежа, обер-лейтенанта батареи 31 немецкого артиллерийского полка—обер-лейтенанту Шумф-Бибербаху в Берлин: «...Я просто не в состоянии описать тебе, что у нас тут произошло. Мы сражались в ближнем бою, и я потерял орудие и 19 человек. Пятая батарея потеряла все свои 4 орудия, 12 человек убитыми и 25 пропавшими без вести. При отступлении пришлось бросить 65 раненых. Всё это сплошное идиотство. Наша жизнь не стоит и пфеннига. Русские появляются в самых невозможных местах».</w:t>
      </w:r>
    </w:p>
    <w:p w14:paraId="5EABB22A"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Получено сообщение о новых чудовищных злодеяниях немецко-фашистских извергов. В течение февраля и марта гитлеровцы учинили кровавую расправу над мирными жителями Суражского района. Витебской области. Немцы зверски замучили и расстреляли многих мужчин, женщин и детей. Гитлеровцы насильно угнали на каторжные работы в Германию несколько тысяч взрослых и подростков. Спаслись от фашистской каторги только те, кто скрылся в лесах.</w:t>
      </w:r>
    </w:p>
    <w:p w14:paraId="7BDEEA41"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Иностранные рабочие, насильно привезённые в Германию, мстят немецким рабовладельцам, ломают оборудование, портят сырьё, совершают диверсионные акты. Близ Эссена французы организовали крушение эшелона с горючим. Возникшим пожаром уничтожено 14 железнодорожных цистерн. За один месяц норвежцы и французы, работавшие в рейнском пароходстве, вывели из строя 3 катера и 7 буксиров. В Бремене бельгийская патриотка сожгла военную гостиницу, в которой она работала уборщицей. Гостиница сгорела дотла. Близ Дюссельдорфа югославы и французы потопили немецкий пароход, переводивший военные грузы.» (14891).</w:t>
      </w:r>
    </w:p>
    <w:p w14:paraId="31CDC4D6" w14:textId="77777777" w:rsidR="00C80E64" w:rsidRPr="00D03F3E" w:rsidRDefault="00C80E64" w:rsidP="00D03F3E">
      <w:pPr>
        <w:spacing w:after="0" w:line="240" w:lineRule="auto"/>
        <w:jc w:val="both"/>
        <w:rPr>
          <w:rFonts w:ascii="Times New Roman" w:hAnsi="Times New Roman"/>
          <w:color w:val="000000" w:themeColor="text1"/>
          <w:sz w:val="16"/>
          <w:szCs w:val="16"/>
        </w:rPr>
      </w:pPr>
    </w:p>
    <w:p w14:paraId="3E051E1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14 мая 1943 командующий ВВС КА в директиве на имя командующих 16 и 2 ВА указывал: "Основная задача наших ВВС в предстоящих операциях заключается в том, чтобы завоевать господство в воздухе. Для уничтожения авиации противника в воздухе выделить специальные части истребителей, имеющих более высокую подготовку в ведении воздушного боя... Предусмотреть действия по аэродромам противника... Для уничтожения вражеских разведчиков и корректировщиков широко использовать засады истребителей на земле и действия охотников (518,47).</w:t>
      </w:r>
    </w:p>
    <w:p w14:paraId="655FEB63" w14:textId="77777777" w:rsidR="00531570" w:rsidRPr="00D03F3E" w:rsidRDefault="00531570" w:rsidP="00D03F3E">
      <w:pPr>
        <w:pStyle w:val="Iauiue"/>
        <w:jc w:val="both"/>
        <w:rPr>
          <w:color w:val="000000" w:themeColor="text1"/>
          <w:sz w:val="16"/>
          <w:szCs w:val="16"/>
        </w:rPr>
      </w:pPr>
    </w:p>
    <w:p w14:paraId="2BD6140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 мая 1943 Командующий ВВС А.А.Новиков докладывал в СВГК: "Воздушной разведкой к исходу 15 мая 1943 в районе Орел - Кромны установлено свыше 900 танков и 1500 автомашин противника. Танки расположены в 5-10 км от фронта, частично зарыты в землю и замаскированы. Кроме того, систематическими наблюдениями с воздуха за последние 3 дня на 16 аэродромах в районе Орел отмечено свыше 580 вражеских самолетов." (518,211).</w:t>
      </w:r>
    </w:p>
    <w:p w14:paraId="4ECBFD74" w14:textId="77777777" w:rsidR="00531570" w:rsidRPr="00D03F3E" w:rsidRDefault="00531570" w:rsidP="00D03F3E">
      <w:pPr>
        <w:pStyle w:val="Iauiue"/>
        <w:jc w:val="both"/>
        <w:rPr>
          <w:color w:val="000000" w:themeColor="text1"/>
          <w:sz w:val="16"/>
          <w:szCs w:val="16"/>
        </w:rPr>
      </w:pPr>
    </w:p>
    <w:p w14:paraId="02C736F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 мая 1943 Bf 109G-2 N 14545 зеленая 11 перелетел в расположение 31 гиап в Тамани (Белая Глина) и И.И.Запрягаев испытал его в условном бою против Як-1 (2466,117).</w:t>
      </w:r>
    </w:p>
    <w:p w14:paraId="2F9463D2" w14:textId="77777777" w:rsidR="00531570" w:rsidRPr="00D03F3E" w:rsidRDefault="00531570" w:rsidP="00D03F3E">
      <w:pPr>
        <w:pStyle w:val="Iauiue"/>
        <w:jc w:val="both"/>
        <w:rPr>
          <w:color w:val="000000" w:themeColor="text1"/>
          <w:sz w:val="16"/>
          <w:szCs w:val="16"/>
        </w:rPr>
      </w:pPr>
    </w:p>
    <w:p w14:paraId="6AC62AB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 мая 1943 л Н.Гулаев в одиночку атаковал три Ю-87, сбил один и таранил другой, оставшись в живых (4237,56).</w:t>
      </w:r>
    </w:p>
    <w:p w14:paraId="4F61542B" w14:textId="77777777" w:rsidR="00531570" w:rsidRPr="00D03F3E" w:rsidRDefault="00531570" w:rsidP="00D03F3E">
      <w:pPr>
        <w:pStyle w:val="Iauiue"/>
        <w:jc w:val="both"/>
        <w:rPr>
          <w:color w:val="000000" w:themeColor="text1"/>
          <w:sz w:val="16"/>
          <w:szCs w:val="16"/>
        </w:rPr>
      </w:pPr>
    </w:p>
    <w:p w14:paraId="63E6DD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мая 1943г. было подготовлено СООБЩЕНИЕ НАЧАЛЬНИКА ГАВТУ КА НАРКОМУ ВНЕШНЕЙ ТОРГОВЛИ СССР МИКОЯНУ О ПОСТУПЛЕНИИ ИМПОРТНЫХ АВТОМАШИН ИЗ ИРАНА №1190140</w:t>
      </w:r>
    </w:p>
    <w:p w14:paraId="2ACE1B3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Докладываю, что с начала поступления импортных автомашин из Ирана принято следующее количество:</w:t>
      </w:r>
    </w:p>
    <w:p w14:paraId="3FF751F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-Джульфа (с 15.03 по 10.05.1943г.) - 5999 машин;</w:t>
      </w:r>
    </w:p>
    <w:p w14:paraId="0E105F0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-Астара (с 15.04 по 10.05.1943г.) - 873 машин.</w:t>
      </w:r>
    </w:p>
    <w:p w14:paraId="251A516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приема поступающих машин Главным автомобильным управлением КА в Джульфе и Астаре организовано два специальных склада и для перегонки автомашин своим ходом по трассам: Джульфа-Оржоникидзе и Астара-Орджоникидзе, работает автомобильная бригада.</w:t>
      </w:r>
    </w:p>
    <w:p w14:paraId="7DB1CFA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Перегон машин в указанные два пункта потребовали от НКВТ и ГАВТУ КА:</w:t>
      </w:r>
    </w:p>
    <w:p w14:paraId="297847C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организации пунктов питания и заправки машин горючим на трассах: Тавриз-Джульфа, Тегеран-Астара;</w:t>
      </w:r>
    </w:p>
    <w:p w14:paraId="066799B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организации пунктов питания и заправки машин горючим на трассах: Джульфа-Орджоникидзе, Астара-Орджоникидзе;</w:t>
      </w:r>
    </w:p>
    <w:p w14:paraId="4F806F7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дробление личного состава 6-го полка и 1 -и автобригады.</w:t>
      </w:r>
    </w:p>
    <w:p w14:paraId="0D42449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 незначительным поступлением машин в Астару, а также и тем обстоятельствам, что склад в Джульфе и автобригада вполне справляются с приемкой и своевременной отгонкой машин, не допуская скопления, считаю целесообразным одновременную подачу машин в два пункта.</w:t>
      </w:r>
    </w:p>
    <w:p w14:paraId="424D119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Докладывая об изложенном, прошу Вашего указания о прекращении отправки машин из Ирана в Астану и направлении всех поступающих машин только в Джульфу.</w:t>
      </w:r>
    </w:p>
    <w:p w14:paraId="21A8C06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Главного автомобильного управления КА генерал-лейтенант Белокосков</w:t>
      </w:r>
    </w:p>
    <w:p w14:paraId="61EABEA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41. Оп. 11593. Д. 108. Л. 39. Копия (11403).</w:t>
      </w:r>
    </w:p>
    <w:p w14:paraId="05A1218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190F4F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 мая 1943 в СССР началось формирование 1 польской пехотной дивизии им. Тадеуша Костюшко под командованием Зигмунда Берлинга (3263,237).</w:t>
      </w:r>
    </w:p>
    <w:p w14:paraId="011374CA" w14:textId="77777777" w:rsidR="00531570" w:rsidRPr="00D03F3E" w:rsidRDefault="00531570" w:rsidP="00D03F3E">
      <w:pPr>
        <w:pStyle w:val="Iauiue"/>
        <w:jc w:val="both"/>
        <w:rPr>
          <w:color w:val="000000" w:themeColor="text1"/>
          <w:sz w:val="16"/>
          <w:szCs w:val="16"/>
        </w:rPr>
      </w:pPr>
    </w:p>
    <w:p w14:paraId="62742BEB"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мая в 1943 году в военных лагерях Сельцы под Рязанью началось формирование 1-й польской пехотной дивизии имени Тадеуша Костюшко. Командиром ее был назначен кадровый польский офицер Зигмунд Берлинг (14891).</w:t>
      </w:r>
    </w:p>
    <w:p w14:paraId="1DC5BB9A" w14:textId="77777777" w:rsidR="00C80E64" w:rsidRPr="00D03F3E" w:rsidRDefault="00C80E64" w:rsidP="00D03F3E">
      <w:pPr>
        <w:spacing w:after="0" w:line="240" w:lineRule="auto"/>
        <w:jc w:val="both"/>
        <w:rPr>
          <w:rFonts w:ascii="Times New Roman" w:hAnsi="Times New Roman"/>
          <w:color w:val="000000" w:themeColor="text1"/>
          <w:sz w:val="16"/>
          <w:szCs w:val="16"/>
        </w:rPr>
      </w:pPr>
    </w:p>
    <w:p w14:paraId="45BAD118"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2AF470DE" w14:textId="77777777" w:rsidR="00531570" w:rsidRPr="00D03F3E" w:rsidRDefault="00531570" w:rsidP="00D03F3E">
      <w:pPr>
        <w:pStyle w:val="Iauiue"/>
        <w:jc w:val="both"/>
        <w:rPr>
          <w:iCs/>
          <w:color w:val="000000" w:themeColor="text1"/>
          <w:sz w:val="16"/>
          <w:szCs w:val="16"/>
        </w:rPr>
      </w:pPr>
    </w:p>
    <w:p w14:paraId="7E9AC4B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 мая 1943 года</w:t>
      </w:r>
    </w:p>
    <w:p w14:paraId="127AB3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ЛИЧНОЕ ПОСЛАНИЕ ОТ ПРЕМЬЕР-МИНИСТРА г-на УИНСТОНА ЧЕРЧИЛЛЯ МАРШАЛУ И. В. СТАЛИНУ</w:t>
      </w:r>
    </w:p>
    <w:p w14:paraId="0854303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своем послании, датированном 10 апреля, я сообщал Вам, что мы составляем планы отправки Вам “Харрикейнов”, “Аэрокобр” и “Китигауков”, снятых с конвоев JW 54 и JW 55.</w:t>
      </w:r>
    </w:p>
    <w:p w14:paraId="20CB31A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Теперь я могу Вам сообщить некоторые сведения о мерах, которые нами приняты.</w:t>
      </w:r>
    </w:p>
    <w:p w14:paraId="2E3DCFC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Количество “Харрикейнов” составляет в настоящее время 435, включая 60 “Харрикейнов IID”. 235 “Харрикейнов” будут отправлены в Гибралтар морским путем, где они будут собраны и переброшены своим ходом в Басру (а не в Тегеран, как предполагалось ранее) для принятия их там Вашими представителями. Мы надеемся, что эти “Харрикейны” начнут поступать в Басру в течение первой половины июня.</w:t>
      </w:r>
    </w:p>
    <w:p w14:paraId="1458F0E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Остальные 200 “Харрикейнов”, включая 60 “Харрикейнов IID”, будут отправлены через Средиземное море и будут переданы, в Басре. Я говорил ранее о том, что “Харрикейны IID”, вероятно, будут идти через Такоради, но теперь решено отправлять их в Басру, так как мы не смогли, не снимая пушек, которые пришлось бы затем отправлять в Тегеран, оборудовать их дополнительными баками, необходимыми для перелета через Африку.</w:t>
      </w:r>
    </w:p>
    <w:p w14:paraId="331E2E6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Г-н Гарриман принимает меры для отправки 285 “Аэрокобр” и “Китигауков” через Средиземное море и Красное море в Абадан, где они будут собраны (7430).</w:t>
      </w:r>
    </w:p>
    <w:p w14:paraId="27E5E0A8" w14:textId="77777777" w:rsidR="00531570" w:rsidRPr="00D03F3E" w:rsidRDefault="00531570" w:rsidP="00D03F3E">
      <w:pPr>
        <w:pStyle w:val="Iauiue"/>
        <w:jc w:val="both"/>
        <w:rPr>
          <w:color w:val="000000" w:themeColor="text1"/>
          <w:sz w:val="16"/>
          <w:szCs w:val="16"/>
        </w:rPr>
      </w:pPr>
    </w:p>
    <w:p w14:paraId="38E8675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 мая 1943 в своем послании И.В. Сталину премьер-министр г-н У. Черчилль любезно сообщил: "...остальные 200 "Харрикейнов", включая 60 "Харрикейнов" ТШ, будут отправлены через Средиземное море и будут переданы в Басре... решено отправлять их в Басру, т.к. мы не смогли, не снимая пушек, которые пришлось бы затем отправлять в Тегеран, оборудовать их дополнительными баками, необходимыми для перелета через Африку".</w:t>
      </w:r>
    </w:p>
    <w:p w14:paraId="46D089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"Харрикейны" в трюмах кораблей (условно считать - от Бизерты) доставлялись в Басру -8200 морских миль, или 25-28 суток хода. Здесь ящики с самолетами выгружались, производилась сборка и средний ремонт. После опробования в воздухе и приемки военпредами ИНО (Импортного управления ВВС КА) "Харрикейны" передавались летчикам 6-го ПИАЛ (перегоночного истребительного авиаполка), которые доставляли их в СССР по маршруту Басра-Тегеран-Кировобад. Перелеты проходили в сложных условиях, через два горных перевала, с одной промежуточной посадкой в Тегеране. Поскольку из Басры перегонялись в основном бомбардировщики, то "Харрикейны" вначале попали не по назначению - в 11-й ЗБАП [Запасной бомбардировочный АП. Под термином "запасной авиаполк" или ЗАЛ подразумевалось звено системы ВВС. выполнявшее две основные функции: учебного центра для подготовки личного состава на конкретные типы самолетов (аналог немецкой B-Schule) и депо, непосредственно распределявшего новые машины в боевые авиаполки. Даже потери восполнялись не с заводов, как ранее у нас писалось, а именно через ЗАПы.], расположенный в Кировобаде (3187).</w:t>
      </w:r>
    </w:p>
    <w:p w14:paraId="4947704F" w14:textId="77777777" w:rsidR="00531570" w:rsidRPr="00D03F3E" w:rsidRDefault="00531570" w:rsidP="00D03F3E">
      <w:pPr>
        <w:pStyle w:val="Iauiue"/>
        <w:jc w:val="both"/>
        <w:rPr>
          <w:color w:val="000000" w:themeColor="text1"/>
          <w:sz w:val="16"/>
          <w:szCs w:val="16"/>
        </w:rPr>
      </w:pPr>
    </w:p>
    <w:p w14:paraId="54AC572C"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72990FF8" w14:textId="77777777" w:rsidR="00531570" w:rsidRPr="00D03F3E" w:rsidRDefault="00531570" w:rsidP="00D03F3E">
      <w:pPr>
        <w:pStyle w:val="Iauiue"/>
        <w:jc w:val="both"/>
        <w:rPr>
          <w:iCs/>
          <w:color w:val="000000" w:themeColor="text1"/>
          <w:sz w:val="16"/>
          <w:szCs w:val="16"/>
        </w:rPr>
      </w:pPr>
    </w:p>
    <w:p w14:paraId="750686E4" w14:textId="77777777" w:rsidR="00C80E64" w:rsidRPr="00D03F3E" w:rsidRDefault="00C80E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14 мая в 1943 году состоялся первый полет аргентинского УТС </w:t>
      </w:r>
      <w:hyperlink r:id="rId157" w:tgtFrame="_blank" w:history="1">
        <w:r w:rsidRPr="00D03F3E">
          <w:rPr>
            <w:rFonts w:ascii="Times New Roman" w:hAnsi="Times New Roman"/>
            <w:color w:val="000000" w:themeColor="text1"/>
            <w:sz w:val="16"/>
            <w:szCs w:val="16"/>
          </w:rPr>
          <w:t xml:space="preserve">«FMA.21». </w:t>
        </w:r>
      </w:hyperlink>
      <w:r w:rsidRPr="00D03F3E">
        <w:rPr>
          <w:rFonts w:ascii="Times New Roman" w:hAnsi="Times New Roman"/>
          <w:color w:val="000000" w:themeColor="text1"/>
          <w:sz w:val="16"/>
          <w:szCs w:val="16"/>
        </w:rPr>
        <w:t>В начале 1943 года фирма «Fabrica Militar de Aviones» («FMA») представила учебно-тренировочный самолет начального обучения, созданный на базе американского самолета «North American» «NA-16-IP». Самолет, получивший обозначение «FMA.21», представлял собой двухместный низкоплан смешанной конструкции, оснащенный двигателем «Wright Whirlwind» «975-E-3» мощностью 450 л.с. От своего предшественника самолет получил фюзеляж, а крылья (профиль «NACA 23015» в корневой части и «NACA 23015» в конце) были спроектированы полностью специалистами «FMA». «FMA.21» стал первым аргентинский самолетом с убирающимся шасси. «FMA.21» прошел весь комплекс испытаний, однако в серийное производство не пошел, из-за проблемы импортирования необходимых запчастей (14891).</w:t>
      </w:r>
    </w:p>
    <w:p w14:paraId="1671C4F4" w14:textId="77777777" w:rsidR="00C80E64" w:rsidRPr="00D03F3E" w:rsidRDefault="00C80E64" w:rsidP="00D03F3E">
      <w:pPr>
        <w:spacing w:after="0" w:line="240" w:lineRule="auto"/>
        <w:jc w:val="both"/>
        <w:rPr>
          <w:rFonts w:ascii="Times New Roman" w:hAnsi="Times New Roman"/>
          <w:color w:val="000000" w:themeColor="text1"/>
          <w:sz w:val="16"/>
          <w:szCs w:val="16"/>
        </w:rPr>
      </w:pPr>
    </w:p>
    <w:p w14:paraId="259D7C50"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May 14th, 1943: The US 8th Air Force attacks Kiel with 125 aircraft, destroying 3 U-boats in the harbor (3819).</w:t>
      </w:r>
    </w:p>
    <w:p w14:paraId="25B6E154" w14:textId="77777777" w:rsidR="00531570" w:rsidRPr="00D03F3E" w:rsidRDefault="00531570" w:rsidP="00D03F3E">
      <w:pPr>
        <w:pStyle w:val="Iauiue"/>
        <w:jc w:val="both"/>
        <w:rPr>
          <w:color w:val="000000" w:themeColor="text1"/>
          <w:sz w:val="16"/>
          <w:szCs w:val="16"/>
          <w:lang w:val="en-US"/>
        </w:rPr>
      </w:pPr>
    </w:p>
    <w:p w14:paraId="73EF2C4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 мая 1943 8ВА США совершила налет на Киль и уничтожила 3 п/л в гавани (3819).</w:t>
      </w:r>
    </w:p>
    <w:p w14:paraId="39838F8B" w14:textId="77777777" w:rsidR="00531570" w:rsidRPr="00D03F3E" w:rsidRDefault="00531570" w:rsidP="00D03F3E">
      <w:pPr>
        <w:pStyle w:val="Iauiue"/>
        <w:jc w:val="both"/>
        <w:rPr>
          <w:color w:val="000000" w:themeColor="text1"/>
          <w:sz w:val="16"/>
          <w:szCs w:val="16"/>
        </w:rPr>
      </w:pPr>
    </w:p>
    <w:p w14:paraId="07268DDC"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6D1CD389" w14:textId="77777777" w:rsidR="00531570" w:rsidRPr="00D03F3E" w:rsidRDefault="00531570" w:rsidP="00D03F3E">
      <w:pPr>
        <w:pStyle w:val="Iauiue"/>
        <w:jc w:val="both"/>
        <w:rPr>
          <w:iCs/>
          <w:color w:val="000000" w:themeColor="text1"/>
          <w:sz w:val="16"/>
          <w:szCs w:val="16"/>
        </w:rPr>
      </w:pPr>
    </w:p>
    <w:p w14:paraId="05EC2BD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 мая 1943 А.И.Ш. и С.В.И. писали И.В.С. письмо N 2428:</w:t>
      </w:r>
    </w:p>
    <w:p w14:paraId="505A1DA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"Успешное применение самолета Ил-2 в качестве истребителя возможно, для чего требуется провести следующие мероприятия:</w:t>
      </w:r>
    </w:p>
    <w:p w14:paraId="2C2FC3D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Уменьшить полетный вес самолета за счет снятия бомбовой нагрузки, снятия РС, снятия ШКАС и переделки машины в одноместную.</w:t>
      </w:r>
    </w:p>
    <w:p w14:paraId="3F78EFD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Из боевого вооружения оставить две ВЯ с запасом снарядов 300 на обе</w:t>
      </w:r>
    </w:p>
    <w:p w14:paraId="1D95D1B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Провести ряд работ по улучшению аэродинамических качеств самолета.</w:t>
      </w:r>
    </w:p>
    <w:p w14:paraId="179A2AD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Работу по приспособлению самолета Ил-2 целесообразно провести в 2 этапа:</w:t>
      </w:r>
    </w:p>
    <w:p w14:paraId="1069AAF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первом этапе провести работы по облегчению самолета Ил-2 с АМ-38Ф, указанные в п. 1</w:t>
      </w:r>
    </w:p>
    <w:p w14:paraId="40D1403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во втором этапе провести аэродинамические улучшения Ил-2 с АМ-38Ф и кроме того, на два самолета установить АМ-42</w:t>
      </w:r>
    </w:p>
    <w:p w14:paraId="3699607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Работы по первому этапу, т.е. по облегчению самолета, можно провести сравнительно быстро и в июне с.г. уже можно выпустить 50 самолетов, а работы по 2 этапу потребуют длительного времени и проверки.</w:t>
      </w:r>
    </w:p>
    <w:p w14:paraId="3515761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проведении 1 этапа работ, т.е. после облегчения самолет Ил-2 с АМ-38Ф будет иметь следующие данные:</w:t>
      </w:r>
    </w:p>
    <w:p w14:paraId="13601C3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у земли - 400 км/час</w:t>
      </w:r>
    </w:p>
    <w:p w14:paraId="69260A0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на высоте 1000-1500 м - 410 км/час</w:t>
      </w:r>
    </w:p>
    <w:p w14:paraId="735B3E9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Полетный вес 5300 кг вместо 6100 кг имеющегося</w:t>
      </w:r>
    </w:p>
    <w:p w14:paraId="0E7C88A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Бронирование самолета остается прежним, т.к. иначе самолет потеряет свое главное преимущество</w:t>
      </w:r>
    </w:p>
    <w:p w14:paraId="5A938D9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проведении 2-го этапа работы, т.е. после проведения аэродинамических улучшений, самолет Ил-2 будет иметь следующие основные данные:</w:t>
      </w:r>
    </w:p>
    <w:p w14:paraId="69ABBDA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АМ-38Ф</w:t>
      </w:r>
    </w:p>
    <w:p w14:paraId="7C97D42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у земли - 425 км/час</w:t>
      </w:r>
    </w:p>
    <w:p w14:paraId="67B2111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на высоте 1000-1500 м - 440 км/час</w:t>
      </w:r>
    </w:p>
    <w:p w14:paraId="3546793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АМ-42</w:t>
      </w:r>
    </w:p>
    <w:p w14:paraId="6BA444D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у земли - 445 км/час</w:t>
      </w:r>
    </w:p>
    <w:p w14:paraId="17F19F2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на высоте 1000-1500 м - 460 км/час</w:t>
      </w:r>
    </w:p>
    <w:p w14:paraId="2B72A9A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Просим утвердить прилагаемый проект постановления ГКО о самолете Ил-2, для применения его в качестве истребителя.</w:t>
      </w:r>
    </w:p>
    <w:p w14:paraId="68E33E6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Резолюция с подписью Фирсанова - утверждено пост. ГКО N 3386 от 17 мая 1943 (1688,186).</w:t>
      </w:r>
    </w:p>
    <w:p w14:paraId="70DD4A2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Постановление ГКО:</w:t>
      </w:r>
    </w:p>
    <w:p w14:paraId="7473CE5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Для борьбы с бомбардировщиками и истребителями противника, считать необходимым часть самолетов Ил-2 превратить в истребители с ограниченной скоростью пикирования, для чего уменьшить полетный вес самолета Ил-2, сняв с него бомбовую нагрузку, РС, ШКАС, превратив самолет в одноместный и улучшить его аэродинамические качества.</w:t>
      </w:r>
    </w:p>
    <w:p w14:paraId="19BF640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Обязать НКАП - А.И.Ш., ГК С.В.И. и директору завода 1 Третьякова на заводе 1:</w:t>
      </w:r>
    </w:p>
    <w:p w14:paraId="5E6D2F9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построить в июне 1943 50 самолетов Ил-2 с АМ-38Ф в истребительном одноместном варианте, облегчив выпускаемые ныне машины, сняв с него бомбовую нагрузку, РС, ШКАС. Оставить на самолете вооружение - 2 ВЯ с запасом снарядов 300 шт., со след. данными:</w:t>
      </w:r>
    </w:p>
    <w:p w14:paraId="1DC7A5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у земли - 400 км/час</w:t>
      </w:r>
    </w:p>
    <w:p w14:paraId="0F342D9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на высоте 1000-1500 м - 410 км/час</w:t>
      </w:r>
    </w:p>
    <w:p w14:paraId="5FC4D25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Полетный вес 5300 кг вместо 6100 кг имеющегося</w:t>
      </w:r>
    </w:p>
    <w:p w14:paraId="1CC5419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построить два самолета Ил-2 с АМ-38Ф с улучшенной аэродинамикой к 15 июля 1943 со следующими данными:</w:t>
      </w:r>
    </w:p>
    <w:p w14:paraId="5671573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у земли - 425 км/час</w:t>
      </w:r>
    </w:p>
    <w:p w14:paraId="552B459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на высоте 1000-1500 м - 440 км/час</w:t>
      </w:r>
    </w:p>
    <w:p w14:paraId="7818F08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АМ-42</w:t>
      </w:r>
    </w:p>
    <w:p w14:paraId="6FCFE92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построить два самолета Ил-2 с АМ-42 с улучшенной аэродинамикой к 15 июля 1943 со следующими данными:</w:t>
      </w:r>
    </w:p>
    <w:p w14:paraId="1631022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у земли - 445 км/час</w:t>
      </w:r>
    </w:p>
    <w:p w14:paraId="712C121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на высоте 1000-1500 м - 460 км/час</w:t>
      </w:r>
    </w:p>
    <w:p w14:paraId="42BEF59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 провести заводские испытания самолета Ил-2 с АМ-38Ф и АМ-42 с улучшенной аэродинамикой и предъявить их на гос. испытания с АМ-38Ф 1 августа 1943, с АМ-42 - 20 августа 1943 (1688,186).</w:t>
      </w:r>
    </w:p>
    <w:p w14:paraId="32E077CD" w14:textId="77777777" w:rsidR="00531570" w:rsidRPr="00D03F3E" w:rsidRDefault="00531570" w:rsidP="00D03F3E">
      <w:pPr>
        <w:pStyle w:val="Iauiue"/>
        <w:jc w:val="both"/>
        <w:rPr>
          <w:color w:val="000000" w:themeColor="text1"/>
          <w:sz w:val="16"/>
          <w:szCs w:val="16"/>
        </w:rPr>
      </w:pPr>
    </w:p>
    <w:p w14:paraId="5C2E91EB" w14:textId="77777777" w:rsidR="00EC5467" w:rsidRPr="00D03F3E" w:rsidRDefault="00EC546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15 мая 1943 г. А.И. Шахурин и С.В. Ильюшин подписали записку, адресованную И.В. Сталину, которая выглядела как ответ на ранее заданный вопрос: «Успешное применение самолета Ил-2 в качестве истребителя возможно, для чего требуется провести следующие мероприятия: 1. Уменьшить полетный вес самолета за счет снятия бомбовой нагрузки, снятия РС, снятия ШКАС и переделки машины в одноместную. Из боевого вооружения оставить две ВЯ калибра 23 мм с запасом снарядов на обе пушки в количестве 300 шт. 2. Провести ряд работ по улучшению аэродинамических качеств самолета. Работу по приспособлению самолета Ил-2 целесообразно провести в 2 этапа: в первом этапе провести работы по облегчению самолета Ил-2 с АМ-38Ф, указанные в пункте 1-м, а во втором этапе провести аэродинамические улучшения Ил-2 с мотором АМ-38Ф и, кроме того, на два самолета установить мотор АМ-42. Работы по первому этапу, т.е. по облегчению самолета, можно провести сравнительно быстро и в июне с.г. уже можно выпустить 50 самолетов, а работы по 2 этапу потребуют длительного времени и проверки. По проведении первого этапа работ, т.е. после облегчения самолет Ил-2 с АМ-38Ф будет иметь следующие данные: Макс. скорость у земли – 400 клм., макс. скорость на высоте 1000-1500 м – 410 клм. Полетный вес 5300 кгр. (вместо имеющегося веса 6100 кгр). Бронирование самолета остается прежним, т.к. иначе самолет потеряет свое главное преимущество. По проведении 2-го этапа работы, т.е. после проведения аэродинамических улучшений, самолет Ил-2 будет иметь следующие основные данные: с мотором АМ-38Ф: Макс. скорость у земли – 425 клм., макс. скорость на высоте 1000-1500 м – 440 клм.,с мотором АМ-42: макс. скорость у земли – 445 клм макс., скорость на высоте 1000-1500 м – 460 клм. Просим утвердить прилагаемый проект постановления ГКО о самолете Ил-2, для применения его в качестве истребителя» (21005).</w:t>
      </w:r>
    </w:p>
    <w:p w14:paraId="01A0C4CF" w14:textId="77777777" w:rsidR="00EC5467" w:rsidRPr="00D03F3E" w:rsidRDefault="00EC5467" w:rsidP="00D03F3E">
      <w:pPr>
        <w:spacing w:after="0" w:line="240" w:lineRule="auto"/>
        <w:jc w:val="both"/>
        <w:rPr>
          <w:rFonts w:ascii="Times New Roman" w:hAnsi="Times New Roman"/>
          <w:color w:val="0070C0"/>
          <w:sz w:val="16"/>
          <w:szCs w:val="16"/>
        </w:rPr>
      </w:pPr>
    </w:p>
    <w:p w14:paraId="6860B40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 мая 1943 вышло постановление ГОКО N 3386сс о дальнейшей постройке Ил-2И и постановке на него АМ-42 (1862).</w:t>
      </w:r>
    </w:p>
    <w:p w14:paraId="60E89351" w14:textId="77777777" w:rsidR="00531570" w:rsidRPr="00D03F3E" w:rsidRDefault="00531570" w:rsidP="00D03F3E">
      <w:pPr>
        <w:pStyle w:val="Iauiue"/>
        <w:jc w:val="both"/>
        <w:rPr>
          <w:color w:val="000000" w:themeColor="text1"/>
          <w:sz w:val="16"/>
          <w:szCs w:val="16"/>
        </w:rPr>
      </w:pPr>
    </w:p>
    <w:p w14:paraId="55686B8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1943 года НКАП, неудовлетворенный работой главного кон</w:t>
      </w:r>
      <w:r w:rsidRPr="00D03F3E">
        <w:rPr>
          <w:rFonts w:ascii="Times New Roman" w:hAnsi="Times New Roman"/>
          <w:color w:val="000000" w:themeColor="text1"/>
          <w:sz w:val="16"/>
          <w:szCs w:val="16"/>
        </w:rPr>
        <w:softHyphen/>
        <w:t>структора А.И. Путилова по доводке и совершенство</w:t>
      </w:r>
      <w:r w:rsidRPr="00D03F3E">
        <w:rPr>
          <w:rFonts w:ascii="Times New Roman" w:hAnsi="Times New Roman"/>
          <w:color w:val="000000" w:themeColor="text1"/>
          <w:sz w:val="16"/>
          <w:szCs w:val="16"/>
        </w:rPr>
        <w:softHyphen/>
        <w:t>ванию пикирующего бомбардировщика Пе-2, прика</w:t>
      </w:r>
      <w:r w:rsidRPr="00D03F3E">
        <w:rPr>
          <w:rFonts w:ascii="Times New Roman" w:hAnsi="Times New Roman"/>
          <w:color w:val="000000" w:themeColor="text1"/>
          <w:sz w:val="16"/>
          <w:szCs w:val="16"/>
        </w:rPr>
        <w:softHyphen/>
        <w:t>зом № 298 от назначил вместо него П.О. Сухого. Но это назначение не состоялось. 22 ию</w:t>
      </w:r>
      <w:r w:rsidRPr="00D03F3E">
        <w:rPr>
          <w:rFonts w:ascii="Times New Roman" w:hAnsi="Times New Roman"/>
          <w:color w:val="000000" w:themeColor="text1"/>
          <w:sz w:val="16"/>
          <w:szCs w:val="16"/>
        </w:rPr>
        <w:softHyphen/>
        <w:t>ня вышел новый приказ Шахурина № 367, в котором говорилось:</w:t>
      </w:r>
    </w:p>
    <w:p w14:paraId="21F229D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постановления ГКО № 3601 от 18 ию</w:t>
      </w:r>
      <w:r w:rsidRPr="00D03F3E">
        <w:rPr>
          <w:rFonts w:ascii="Times New Roman" w:hAnsi="Times New Roman"/>
          <w:color w:val="000000" w:themeColor="text1"/>
          <w:sz w:val="16"/>
          <w:szCs w:val="16"/>
        </w:rPr>
        <w:softHyphen/>
        <w:t>ня 1943 г. для улучшения работы КБ завода № 22 и обес</w:t>
      </w:r>
      <w:r w:rsidRPr="00D03F3E">
        <w:rPr>
          <w:rFonts w:ascii="Times New Roman" w:hAnsi="Times New Roman"/>
          <w:color w:val="000000" w:themeColor="text1"/>
          <w:sz w:val="16"/>
          <w:szCs w:val="16"/>
        </w:rPr>
        <w:softHyphen/>
        <w:t>печения скорейшего выпуска модифицированного само</w:t>
      </w:r>
      <w:r w:rsidRPr="00D03F3E">
        <w:rPr>
          <w:rFonts w:ascii="Times New Roman" w:hAnsi="Times New Roman"/>
          <w:color w:val="000000" w:themeColor="text1"/>
          <w:sz w:val="16"/>
          <w:szCs w:val="16"/>
        </w:rPr>
        <w:softHyphen/>
        <w:t>лета Пе-2 с улучшенными летно-техническими данными ПРИКАЗЫВАЮ:</w:t>
      </w:r>
    </w:p>
    <w:p w14:paraId="623B99A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Назначить главным конструктором завода № 22 тов. Мясищева В.М.</w:t>
      </w:r>
    </w:p>
    <w:p w14:paraId="2382B49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Тов. Путилова А. И. от обязанностей Главного конст</w:t>
      </w:r>
      <w:r w:rsidRPr="00D03F3E">
        <w:rPr>
          <w:rFonts w:ascii="Times New Roman" w:hAnsi="Times New Roman"/>
          <w:color w:val="000000" w:themeColor="text1"/>
          <w:sz w:val="16"/>
          <w:szCs w:val="16"/>
        </w:rPr>
        <w:softHyphen/>
        <w:t>руктора завода № 22 — освободить...</w:t>
      </w:r>
    </w:p>
    <w:p w14:paraId="6857210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Директору завода № 288 тов. Кутепову и главному конструктору Мясищеву перевести с завода № 288 в ОКБ завода № 22 основной конструкторский состав и в опыт</w:t>
      </w:r>
      <w:r w:rsidRPr="00D03F3E">
        <w:rPr>
          <w:rFonts w:ascii="Times New Roman" w:hAnsi="Times New Roman"/>
          <w:color w:val="000000" w:themeColor="text1"/>
          <w:sz w:val="16"/>
          <w:szCs w:val="16"/>
        </w:rPr>
        <w:softHyphen/>
        <w:t>ный цех завода № 22 производственный персонал и рабо</w:t>
      </w:r>
      <w:r w:rsidRPr="00D03F3E">
        <w:rPr>
          <w:rFonts w:ascii="Times New Roman" w:hAnsi="Times New Roman"/>
          <w:color w:val="000000" w:themeColor="text1"/>
          <w:sz w:val="16"/>
          <w:szCs w:val="16"/>
        </w:rPr>
        <w:softHyphen/>
        <w:t>чих. ..</w:t>
      </w:r>
    </w:p>
    <w:p w14:paraId="719A11E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Для выполнения заданий по боевым высотным са</w:t>
      </w:r>
      <w:r w:rsidRPr="00D03F3E">
        <w:rPr>
          <w:rFonts w:ascii="Times New Roman" w:hAnsi="Times New Roman"/>
          <w:color w:val="000000" w:themeColor="text1"/>
          <w:sz w:val="16"/>
          <w:szCs w:val="16"/>
        </w:rPr>
        <w:softHyphen/>
        <w:t>молетам, их оборудованию и вооружению создать филиал ОКБ завода № 22 главного конструктора тов. Мясищева на заводе № 482 в г. Москве...».</w:t>
      </w:r>
    </w:p>
    <w:p w14:paraId="3EACE1D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Первой большой работой нового «главного» стало создание в Казани модификации пикирующего бом</w:t>
      </w:r>
      <w:r w:rsidRPr="00D03F3E">
        <w:rPr>
          <w:rFonts w:ascii="Times New Roman" w:hAnsi="Times New Roman"/>
          <w:color w:val="000000" w:themeColor="text1"/>
          <w:sz w:val="16"/>
          <w:szCs w:val="16"/>
        </w:rPr>
        <w:softHyphen/>
        <w:t>бардировщика Пе-2И «Москито», но ей предшество вала «скромная» модернизация самолета с целью ус</w:t>
      </w:r>
      <w:r w:rsidRPr="00D03F3E">
        <w:rPr>
          <w:rFonts w:ascii="Times New Roman" w:hAnsi="Times New Roman"/>
          <w:color w:val="000000" w:themeColor="text1"/>
          <w:sz w:val="16"/>
          <w:szCs w:val="16"/>
        </w:rPr>
        <w:softHyphen/>
        <w:t>тановки на Пе-2 системы вооружения М-1. Кроме это</w:t>
      </w:r>
      <w:r w:rsidRPr="00D03F3E">
        <w:rPr>
          <w:rFonts w:ascii="Times New Roman" w:hAnsi="Times New Roman"/>
          <w:color w:val="000000" w:themeColor="text1"/>
          <w:sz w:val="16"/>
          <w:szCs w:val="16"/>
        </w:rPr>
        <w:softHyphen/>
        <w:t>го, в плане опытного самолетостроения ОКБ-22 стоял одноместный высотный истребитель-перехватчик с герметичной кабиной и двигателем М-107А с двухсту</w:t>
      </w:r>
      <w:r w:rsidRPr="00D03F3E">
        <w:rPr>
          <w:rFonts w:ascii="Times New Roman" w:hAnsi="Times New Roman"/>
          <w:color w:val="000000" w:themeColor="text1"/>
          <w:sz w:val="16"/>
          <w:szCs w:val="16"/>
        </w:rPr>
        <w:softHyphen/>
        <w:t>пенчатым нагнетателем и турбокомпрессорами. Соглас</w:t>
      </w:r>
      <w:r w:rsidRPr="00D03F3E">
        <w:rPr>
          <w:rFonts w:ascii="Times New Roman" w:hAnsi="Times New Roman"/>
          <w:color w:val="000000" w:themeColor="text1"/>
          <w:sz w:val="16"/>
          <w:szCs w:val="16"/>
        </w:rPr>
        <w:softHyphen/>
        <w:t>но заданию самолет должен был развивать скорость до 655 км/ч на высоте 10 000 метров, иметь скорост</w:t>
      </w:r>
      <w:r w:rsidRPr="00D03F3E">
        <w:rPr>
          <w:rFonts w:ascii="Times New Roman" w:hAnsi="Times New Roman"/>
          <w:color w:val="000000" w:themeColor="text1"/>
          <w:sz w:val="16"/>
          <w:szCs w:val="16"/>
        </w:rPr>
        <w:softHyphen/>
        <w:t>ную дальность 700 км и практический потолок 13 000 метров, подниматься на высоту 10 000 метров за 13 минут. Его вооружение должно было включать 23-миллиметровую пушку и пулемет калибра 12,7 мм. Предписывалось предъявить самолет на государст</w:t>
      </w:r>
      <w:r w:rsidRPr="00D03F3E">
        <w:rPr>
          <w:rFonts w:ascii="Times New Roman" w:hAnsi="Times New Roman"/>
          <w:color w:val="000000" w:themeColor="text1"/>
          <w:sz w:val="16"/>
          <w:szCs w:val="16"/>
        </w:rPr>
        <w:softHyphen/>
        <w:t>венные испытания в марте 1944 года, но он так и ос</w:t>
      </w:r>
      <w:r w:rsidRPr="00D03F3E">
        <w:rPr>
          <w:rFonts w:ascii="Times New Roman" w:hAnsi="Times New Roman"/>
          <w:color w:val="000000" w:themeColor="text1"/>
          <w:sz w:val="16"/>
          <w:szCs w:val="16"/>
        </w:rPr>
        <w:softHyphen/>
        <w:t>тался на бумаге.</w:t>
      </w:r>
    </w:p>
    <w:p w14:paraId="0961E8A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по установке М-1 на серийном самолете, получившем обозначение Пе-2Е, были предусмотре</w:t>
      </w:r>
      <w:r w:rsidRPr="00D03F3E">
        <w:rPr>
          <w:rFonts w:ascii="Times New Roman" w:hAnsi="Times New Roman"/>
          <w:color w:val="000000" w:themeColor="text1"/>
          <w:sz w:val="16"/>
          <w:szCs w:val="16"/>
        </w:rPr>
        <w:softHyphen/>
        <w:t xml:space="preserve">ны тематическим планом </w:t>
      </w:r>
      <w:r w:rsidRPr="00D03F3E">
        <w:rPr>
          <w:rFonts w:ascii="Times New Roman" w:hAnsi="Times New Roman"/>
          <w:color w:val="000000" w:themeColor="text1"/>
          <w:sz w:val="16"/>
          <w:szCs w:val="16"/>
          <w:lang w:val="en-US"/>
        </w:rPr>
        <w:t>IV</w:t>
      </w:r>
      <w:r w:rsidRPr="00D03F3E">
        <w:rPr>
          <w:rFonts w:ascii="Times New Roman" w:hAnsi="Times New Roman"/>
          <w:color w:val="000000" w:themeColor="text1"/>
          <w:sz w:val="16"/>
          <w:szCs w:val="16"/>
        </w:rPr>
        <w:t xml:space="preserve"> квартала 1943 года НКАП. К проектированию установки М-1 на самолете Пе-2 № 12/224 приступили в августе того же года и закон</w:t>
      </w:r>
      <w:r w:rsidRPr="00D03F3E">
        <w:rPr>
          <w:rFonts w:ascii="Times New Roman" w:hAnsi="Times New Roman"/>
          <w:color w:val="000000" w:themeColor="text1"/>
          <w:sz w:val="16"/>
          <w:szCs w:val="16"/>
        </w:rPr>
        <w:softHyphen/>
        <w:t>чили спустя три месяца. Заводские испытания закон</w:t>
      </w:r>
      <w:r w:rsidRPr="00D03F3E">
        <w:rPr>
          <w:rFonts w:ascii="Times New Roman" w:hAnsi="Times New Roman"/>
          <w:color w:val="000000" w:themeColor="text1"/>
          <w:sz w:val="16"/>
          <w:szCs w:val="16"/>
        </w:rPr>
        <w:softHyphen/>
        <w:t>чились 18 февраля 1944 года и отчет по их результа</w:t>
      </w:r>
      <w:r w:rsidRPr="00D03F3E">
        <w:rPr>
          <w:rFonts w:ascii="Times New Roman" w:hAnsi="Times New Roman"/>
          <w:color w:val="000000" w:themeColor="text1"/>
          <w:sz w:val="16"/>
          <w:szCs w:val="16"/>
        </w:rPr>
        <w:softHyphen/>
        <w:t>там отправили в 7-е Главное управление НКАП. Затем самолет № 12/224 восстановили до серийного со</w:t>
      </w:r>
      <w:r w:rsidRPr="00D03F3E">
        <w:rPr>
          <w:rFonts w:ascii="Times New Roman" w:hAnsi="Times New Roman"/>
          <w:color w:val="000000" w:themeColor="text1"/>
          <w:sz w:val="16"/>
          <w:szCs w:val="16"/>
        </w:rPr>
        <w:softHyphen/>
        <w:t>стояния и сдали на летно-испытательную станцию (ЛИС) завода № 22.</w:t>
      </w:r>
    </w:p>
    <w:p w14:paraId="0C28055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Главную же цель в модификации Пе-2 Мясищев ви</w:t>
      </w:r>
      <w:r w:rsidRPr="00D03F3E">
        <w:rPr>
          <w:rFonts w:ascii="Times New Roman" w:hAnsi="Times New Roman"/>
          <w:color w:val="000000" w:themeColor="text1"/>
          <w:sz w:val="16"/>
          <w:szCs w:val="16"/>
        </w:rPr>
        <w:softHyphen/>
        <w:t>дел в улучшении скоростных и взлетно-посадочных характеристик. В марте 1943 года на основании при</w:t>
      </w:r>
      <w:r w:rsidRPr="00D03F3E">
        <w:rPr>
          <w:rFonts w:ascii="Times New Roman" w:hAnsi="Times New Roman"/>
          <w:color w:val="000000" w:themeColor="text1"/>
          <w:sz w:val="16"/>
          <w:szCs w:val="16"/>
        </w:rPr>
        <w:softHyphen/>
        <w:t>каза НКАП от 10 апреля началась разработка самолета Пе-2А с моторами М-105ПФ. Постройка самолета № 17/176 закончилась в сентябре того же года, а за</w:t>
      </w:r>
      <w:r w:rsidRPr="00D03F3E">
        <w:rPr>
          <w:rFonts w:ascii="Times New Roman" w:hAnsi="Times New Roman"/>
          <w:color w:val="000000" w:themeColor="text1"/>
          <w:sz w:val="16"/>
          <w:szCs w:val="16"/>
        </w:rPr>
        <w:softHyphen/>
        <w:t>водские испытания — в середине февраля 1944 г.</w:t>
      </w:r>
    </w:p>
    <w:p w14:paraId="7660F7C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Ожидалось, что максимальная скорость этой машины возрастет до 528 км/ч.</w:t>
      </w:r>
    </w:p>
    <w:p w14:paraId="010E50B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Планировалась постройка второго экземпляра са</w:t>
      </w:r>
      <w:r w:rsidRPr="00D03F3E">
        <w:rPr>
          <w:rFonts w:ascii="Times New Roman" w:hAnsi="Times New Roman"/>
          <w:color w:val="000000" w:themeColor="text1"/>
          <w:sz w:val="16"/>
          <w:szCs w:val="16"/>
        </w:rPr>
        <w:softHyphen/>
        <w:t>молета, но вместо него на основании приказа НКАП от 26 июня 1943 года построили самолет Пе-2Б. На этой машине предполагалось довести скорость до 540 км/ч, а также улучшить условия стрельбы и работы штурмана.</w:t>
      </w:r>
    </w:p>
    <w:p w14:paraId="1D3BDBB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Среди сотрудников КБ-22 выделялся еще моло</w:t>
      </w:r>
      <w:r w:rsidRPr="00D03F3E">
        <w:rPr>
          <w:rFonts w:ascii="Times New Roman" w:hAnsi="Times New Roman"/>
          <w:color w:val="000000" w:themeColor="text1"/>
          <w:sz w:val="16"/>
          <w:szCs w:val="16"/>
        </w:rPr>
        <w:softHyphen/>
        <w:t>дой, но опытный ведущий конструктор Л.Л. Селяков. Еще до назначения Мясищева главным конструкто</w:t>
      </w:r>
      <w:r w:rsidRPr="00D03F3E">
        <w:rPr>
          <w:rFonts w:ascii="Times New Roman" w:hAnsi="Times New Roman"/>
          <w:color w:val="000000" w:themeColor="text1"/>
          <w:sz w:val="16"/>
          <w:szCs w:val="16"/>
        </w:rPr>
        <w:softHyphen/>
        <w:t>ром 22-го завода под руководством Леонида Леони</w:t>
      </w:r>
      <w:r w:rsidRPr="00D03F3E">
        <w:rPr>
          <w:rFonts w:ascii="Times New Roman" w:hAnsi="Times New Roman"/>
          <w:color w:val="000000" w:themeColor="text1"/>
          <w:sz w:val="16"/>
          <w:szCs w:val="16"/>
        </w:rPr>
        <w:softHyphen/>
        <w:t>довича разработали и внедрили в серийное произ</w:t>
      </w:r>
      <w:r w:rsidRPr="00D03F3E">
        <w:rPr>
          <w:rFonts w:ascii="Times New Roman" w:hAnsi="Times New Roman"/>
          <w:color w:val="000000" w:themeColor="text1"/>
          <w:sz w:val="16"/>
          <w:szCs w:val="16"/>
        </w:rPr>
        <w:softHyphen/>
        <w:t>водство Пе-2ФТ с турельной установкой под крупно</w:t>
      </w:r>
      <w:r w:rsidRPr="00D03F3E">
        <w:rPr>
          <w:rFonts w:ascii="Times New Roman" w:hAnsi="Times New Roman"/>
          <w:color w:val="000000" w:themeColor="text1"/>
          <w:sz w:val="16"/>
          <w:szCs w:val="16"/>
        </w:rPr>
        <w:softHyphen/>
        <w:t>калиберный пулемет УБТ.</w:t>
      </w:r>
    </w:p>
    <w:p w14:paraId="1C67F34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Самолету Пе-2И предшествовал бомбардировщик Пе-2Б с носком профиля крыла ВВ5 до первого лонже</w:t>
      </w:r>
      <w:r w:rsidRPr="00D03F3E">
        <w:rPr>
          <w:rFonts w:ascii="Times New Roman" w:hAnsi="Times New Roman"/>
          <w:color w:val="000000" w:themeColor="text1"/>
          <w:sz w:val="16"/>
          <w:szCs w:val="16"/>
        </w:rPr>
        <w:softHyphen/>
        <w:t>рона, замененным на МАСА-23012. На этой же машине установили новые отъемные части крыла увеличенных размаха на 0,92 м и площади на 0,846 квадратных метра. При этом претерпели незна</w:t>
      </w:r>
      <w:r w:rsidRPr="00D03F3E">
        <w:rPr>
          <w:rFonts w:ascii="Times New Roman" w:hAnsi="Times New Roman"/>
          <w:color w:val="000000" w:themeColor="text1"/>
          <w:sz w:val="16"/>
          <w:szCs w:val="16"/>
        </w:rPr>
        <w:softHyphen/>
        <w:t>чительные изменения перед</w:t>
      </w:r>
      <w:r w:rsidRPr="00D03F3E">
        <w:rPr>
          <w:rFonts w:ascii="Times New Roman" w:hAnsi="Times New Roman"/>
          <w:color w:val="000000" w:themeColor="text1"/>
          <w:sz w:val="16"/>
          <w:szCs w:val="16"/>
        </w:rPr>
        <w:softHyphen/>
        <w:t>ний лонжерон, входной канал туннеля водорадиатора и средние части нервюр. Все это способствовало улучше</w:t>
      </w:r>
      <w:r w:rsidRPr="00D03F3E">
        <w:rPr>
          <w:rFonts w:ascii="Times New Roman" w:hAnsi="Times New Roman"/>
          <w:color w:val="000000" w:themeColor="text1"/>
          <w:sz w:val="16"/>
          <w:szCs w:val="16"/>
        </w:rPr>
        <w:softHyphen/>
        <w:t>нию взлетно-посадочных ха</w:t>
      </w:r>
      <w:r w:rsidRPr="00D03F3E">
        <w:rPr>
          <w:rFonts w:ascii="Times New Roman" w:hAnsi="Times New Roman"/>
          <w:color w:val="000000" w:themeColor="text1"/>
          <w:sz w:val="16"/>
          <w:szCs w:val="16"/>
        </w:rPr>
        <w:softHyphen/>
        <w:t>рактеристик самолета (11446).</w:t>
      </w:r>
    </w:p>
    <w:p w14:paraId="5AEC2E2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1B2E047" w14:textId="77777777" w:rsidR="00456B82" w:rsidRPr="00D03F3E" w:rsidRDefault="00456B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1943 года был издан приказ НКАП № 298с О работе главных конструкторов авиационной п р о м ы ш л е н н о с т и, в котором: «Государственный Комитет Обороны постановлением от 12 мая 1943 года … признал целесообразным дополнить существующую организационную систему р а б о т ы г л а в н ы х конструкторов по с о з д а н и ю н о в ы х моторов и самолетов или их модификации, формой взаимопомощи со стороны других главных конструкторов в том случае, если главный конструктор, ведущий данную работу, не справляется с решением задач в установленные сроки. Этим же постановлением Государственный Комитет Обороны также установил, что главные конструкторы, обеспечившие своей помощью быстрое и удовлетворительное решение поставленных вопросов, награждаются Правительством, исходя из значения для обороны страны разрешенной задачи. Государственный Комитет Обороны одновременно постановил:</w:t>
      </w:r>
    </w:p>
    <w:p w14:paraId="3652C0A3" w14:textId="77777777" w:rsidR="00456B82" w:rsidRPr="00D03F3E" w:rsidRDefault="00456B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 В связи с тем, что главный конструктор т. Климов не выполнил в срок решение Государственного Комитета Обороны по созданию мотора М-107А, имеющего в настоящее время исключительное значение для развития авиации, поручил главным конструкторам – доктору технических наук т. Микулину и доктору технических наук т. Швецову прийти на помощь главному конструктору т. Климову и обеспечить успешное прохождение государственных испытаний мотора М-107А в кратчайший срок. </w:t>
      </w:r>
    </w:p>
    <w:p w14:paraId="1FB4F393" w14:textId="77777777" w:rsidR="00456B82" w:rsidRPr="00D03F3E" w:rsidRDefault="00456B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 связи с тем, что главный конструктор т. Путилов не обеспечивает необходимого развития самолета Пе-2, поручил главному конструктору доктору технических наук т. Сухому, используя имеющиеся в его распоряжении конструкторские силы, включиться в работу по улучшению летных и боевых качеств самолета Пе-2 в кратчайшие сроки.»</w:t>
      </w:r>
    </w:p>
    <w:p w14:paraId="7BF11761" w14:textId="77777777" w:rsidR="00456B82" w:rsidRPr="00D03F3E" w:rsidRDefault="00456B8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данном приказе (постановлении) нет никакого намека на смену руководства ОКО-22, речь идет лишь об оказании помощи (19769).</w:t>
      </w:r>
    </w:p>
    <w:p w14:paraId="6B1AE14B" w14:textId="77777777" w:rsidR="00456B82" w:rsidRPr="00D03F3E" w:rsidRDefault="00456B82" w:rsidP="00D03F3E">
      <w:pPr>
        <w:spacing w:after="0" w:line="240" w:lineRule="auto"/>
        <w:jc w:val="both"/>
        <w:rPr>
          <w:rFonts w:ascii="Times New Roman" w:hAnsi="Times New Roman"/>
          <w:color w:val="000000" w:themeColor="text1"/>
          <w:sz w:val="16"/>
          <w:szCs w:val="16"/>
        </w:rPr>
      </w:pPr>
    </w:p>
    <w:p w14:paraId="0141DA3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 мая 1943 в ЛИИ НКАП закончились испытания Ла-5 с М-82 с автоматом переключения скоростей нагнетателя Э-67 ЦИАМ (1783).</w:t>
      </w:r>
    </w:p>
    <w:p w14:paraId="565DD722" w14:textId="77777777" w:rsidR="00531570" w:rsidRPr="00D03F3E" w:rsidRDefault="00531570" w:rsidP="00D03F3E">
      <w:pPr>
        <w:pStyle w:val="Iauiue"/>
        <w:jc w:val="both"/>
        <w:rPr>
          <w:color w:val="000000" w:themeColor="text1"/>
          <w:sz w:val="16"/>
          <w:szCs w:val="16"/>
        </w:rPr>
      </w:pPr>
    </w:p>
    <w:p w14:paraId="69131B0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 мая 1943 был подписан акт ЛИИ по совместным (ОКБ и ЛИИ) испытаниям Як-7Б с М-105ПФ и улучшенной аэродинамикой. Испытывалась машина 31-й серии N 31-01 с отполированными носками крыла и оперения до 30% хорды, реактивными патрубками двух вариантов (8 от ОКБ и 12 от НИИ ВВС) в обтекателях, тщательно герметизированного, с антенной внутри фюзеляжа и полной уборкой хвостового колеса и т.п. (65,90).</w:t>
      </w:r>
    </w:p>
    <w:p w14:paraId="1D01B604" w14:textId="77777777" w:rsidR="00531570" w:rsidRPr="00D03F3E" w:rsidRDefault="00531570" w:rsidP="00D03F3E">
      <w:pPr>
        <w:pStyle w:val="Iauiue"/>
        <w:jc w:val="both"/>
        <w:rPr>
          <w:color w:val="000000" w:themeColor="text1"/>
          <w:sz w:val="16"/>
          <w:szCs w:val="16"/>
        </w:rPr>
      </w:pPr>
    </w:p>
    <w:p w14:paraId="65B0675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C 15 мая 1943 с 45 серии Як-9 на заводе 153 стали делать покрытия фанерной обшивки крыла должным образом. Введенная со второй половины декабря 1942 начиная с 35 серии новая технология лакокрасочных покрытий фанерной обшивки крыльев на Як-7 и потом на Як-9 и привело к растрескиванию и отслаиванию полотна (2519,269).</w:t>
      </w:r>
    </w:p>
    <w:p w14:paraId="3B790457" w14:textId="77777777" w:rsidR="00531570" w:rsidRPr="00D03F3E" w:rsidRDefault="00531570" w:rsidP="00D03F3E">
      <w:pPr>
        <w:pStyle w:val="Iauiue"/>
        <w:jc w:val="both"/>
        <w:rPr>
          <w:color w:val="000000" w:themeColor="text1"/>
          <w:sz w:val="16"/>
          <w:szCs w:val="16"/>
        </w:rPr>
      </w:pPr>
    </w:p>
    <w:p w14:paraId="2CA85CFE" w14:textId="77777777" w:rsidR="00C80E64" w:rsidRPr="00D03F3E" w:rsidRDefault="00C80E6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15 мая 1943, как следует из документов, была последняя гонка моторов на ДИС-200 (ИТ), а к 10 октября 1943 г. с са</w:t>
      </w:r>
      <w:r w:rsidRPr="00D03F3E">
        <w:rPr>
          <w:rFonts w:ascii="Times New Roman" w:cs="Times New Roman"/>
          <w:color w:val="000000" w:themeColor="text1"/>
          <w:spacing w:val="0"/>
        </w:rPr>
        <w:softHyphen/>
        <w:t>молета сняли винты и отправили в ЛИИ НКАП. После 29 октября самолет в свод</w:t>
      </w:r>
      <w:r w:rsidRPr="00D03F3E">
        <w:rPr>
          <w:rFonts w:ascii="Times New Roman" w:cs="Times New Roman"/>
          <w:color w:val="000000" w:themeColor="text1"/>
          <w:spacing w:val="0"/>
        </w:rPr>
        <w:softHyphen/>
        <w:t>ках НИИ ВВС по опытному строительст</w:t>
      </w:r>
      <w:r w:rsidRPr="00D03F3E">
        <w:rPr>
          <w:rFonts w:ascii="Times New Roman" w:cs="Times New Roman"/>
          <w:color w:val="000000" w:themeColor="text1"/>
          <w:spacing w:val="0"/>
        </w:rPr>
        <w:softHyphen/>
        <w:t>ву больше не упоминается». В общей сложности ДИС-200 (ИТ) выполнил 14 полетов. Была получена максимальная скорость 604 км/ч на вы</w:t>
      </w:r>
      <w:r w:rsidRPr="00D03F3E">
        <w:rPr>
          <w:rFonts w:ascii="Times New Roman" w:cs="Times New Roman"/>
          <w:color w:val="000000" w:themeColor="text1"/>
          <w:spacing w:val="0"/>
        </w:rPr>
        <w:softHyphen/>
        <w:t>соте 5000 м. Расчетная дальность по</w:t>
      </w:r>
      <w:r w:rsidRPr="00D03F3E">
        <w:rPr>
          <w:rFonts w:ascii="Times New Roman" w:cs="Times New Roman"/>
          <w:color w:val="000000" w:themeColor="text1"/>
          <w:spacing w:val="0"/>
        </w:rPr>
        <w:softHyphen/>
        <w:t>лета - 2500 км. Практический потолок - 9800 м (15755).</w:t>
      </w:r>
    </w:p>
    <w:p w14:paraId="52043884" w14:textId="77777777" w:rsidR="00C80E64" w:rsidRPr="00D03F3E" w:rsidRDefault="00C80E64" w:rsidP="00D03F3E">
      <w:pPr>
        <w:pStyle w:val="27"/>
        <w:shd w:val="clear" w:color="auto" w:fill="auto"/>
        <w:spacing w:after="0" w:line="240" w:lineRule="auto"/>
        <w:ind w:firstLine="0"/>
        <w:rPr>
          <w:rFonts w:ascii="Times New Roman" w:cs="Times New Roman"/>
          <w:color w:val="000000" w:themeColor="text1"/>
          <w:spacing w:val="0"/>
        </w:rPr>
      </w:pPr>
    </w:p>
    <w:p w14:paraId="06F8FB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 мая 1943 О.К.А. выдал А.С.М. доверенность, которой разрешал "...производить на планере А-7 все изменения и переделки, какие понадобятся в соответствии с изменением ТТТ до изменения площади крыльев, длинны фюзеляжа и полезной нагрузки включительно, но не свыше 11 бойцов с полным вооружением, т.е. по 115 кг (94,73).</w:t>
      </w:r>
    </w:p>
    <w:p w14:paraId="18CD2FD6" w14:textId="77777777" w:rsidR="00531570" w:rsidRPr="00D03F3E" w:rsidRDefault="00531570" w:rsidP="00D03F3E">
      <w:pPr>
        <w:pStyle w:val="Iauiue"/>
        <w:jc w:val="both"/>
        <w:rPr>
          <w:color w:val="000000" w:themeColor="text1"/>
          <w:sz w:val="16"/>
          <w:szCs w:val="16"/>
        </w:rPr>
      </w:pPr>
    </w:p>
    <w:p w14:paraId="12B0D214"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1943 О.К.А. письменно разрешив Москалеву изменять всё, что необходимо (в том числе размах и площадь крыла, а также длину фюзеляжа), но ограни</w:t>
      </w:r>
      <w:r w:rsidRPr="00D03F3E">
        <w:rPr>
          <w:rFonts w:ascii="Times New Roman" w:hAnsi="Times New Roman"/>
          <w:color w:val="000000" w:themeColor="text1"/>
          <w:sz w:val="16"/>
          <w:szCs w:val="16"/>
        </w:rPr>
        <w:softHyphen/>
        <w:t>чил вместимость планёра 11 бойцами с полным снаряжением (вес каждого определялся в 115 кг). Появление это</w:t>
      </w:r>
      <w:r w:rsidRPr="00D03F3E">
        <w:rPr>
          <w:rFonts w:ascii="Times New Roman" w:hAnsi="Times New Roman"/>
          <w:color w:val="000000" w:themeColor="text1"/>
          <w:sz w:val="16"/>
          <w:szCs w:val="16"/>
        </w:rPr>
        <w:softHyphen/>
        <w:t>го документа было связано с предло</w:t>
      </w:r>
      <w:r w:rsidRPr="00D03F3E">
        <w:rPr>
          <w:rFonts w:ascii="Times New Roman" w:hAnsi="Times New Roman"/>
          <w:color w:val="000000" w:themeColor="text1"/>
          <w:sz w:val="16"/>
          <w:szCs w:val="16"/>
        </w:rPr>
        <w:softHyphen/>
        <w:t>жением Москалёву от командования воздушно-десантных войск на создание модификации А-7 с увеличенной грузо</w:t>
      </w:r>
      <w:r w:rsidRPr="00D03F3E">
        <w:rPr>
          <w:rFonts w:ascii="Times New Roman" w:hAnsi="Times New Roman"/>
          <w:color w:val="000000" w:themeColor="text1"/>
          <w:sz w:val="16"/>
          <w:szCs w:val="16"/>
        </w:rPr>
        <w:softHyphen/>
        <w:t>подъёмностью.</w:t>
      </w:r>
    </w:p>
    <w:p w14:paraId="2477F89F"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Предварительные расчёты показы</w:t>
      </w:r>
      <w:r w:rsidRPr="00D03F3E">
        <w:rPr>
          <w:rFonts w:ascii="Times New Roman" w:hAnsi="Times New Roman"/>
          <w:color w:val="000000" w:themeColor="text1"/>
          <w:sz w:val="16"/>
          <w:szCs w:val="16"/>
        </w:rPr>
        <w:softHyphen/>
        <w:t>вали, что вместимость планёра при доработке можно довести до 12 - 14 человек, то есть больше, чем пред</w:t>
      </w:r>
      <w:r w:rsidRPr="00D03F3E">
        <w:rPr>
          <w:rFonts w:ascii="Times New Roman" w:hAnsi="Times New Roman"/>
          <w:color w:val="000000" w:themeColor="text1"/>
          <w:sz w:val="16"/>
          <w:szCs w:val="16"/>
        </w:rPr>
        <w:softHyphen/>
        <w:t>полагал Антонов. В короткий срок под руководством Москалёва разработали проект А-7М и построили его опытный образец. Площадь крыла увеличили на 5,3 м2, нарастив его хорду (в основном, у корня) при неизменном размахе. На передней кромке смонтировали интерцепторы. Щитки стали выпускаться винтовым механизмом, приводимым тросом от штурвала.</w:t>
      </w:r>
    </w:p>
    <w:p w14:paraId="2989BDCF"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фюзеляжа возросла до 11,206 м. Чтобы разместить в грузовой кабине значительно большее количест</w:t>
      </w:r>
      <w:r w:rsidRPr="00D03F3E">
        <w:rPr>
          <w:rFonts w:ascii="Times New Roman" w:hAnsi="Times New Roman"/>
          <w:color w:val="000000" w:themeColor="text1"/>
          <w:sz w:val="16"/>
          <w:szCs w:val="16"/>
        </w:rPr>
        <w:softHyphen/>
        <w:t>во десантников, их усадили в заты</w:t>
      </w:r>
      <w:r w:rsidRPr="00D03F3E">
        <w:rPr>
          <w:rFonts w:ascii="Times New Roman" w:hAnsi="Times New Roman"/>
          <w:color w:val="000000" w:themeColor="text1"/>
          <w:sz w:val="16"/>
          <w:szCs w:val="16"/>
        </w:rPr>
        <w:softHyphen/>
        <w:t>лок друг другу на две узкие (шириной 200 мм) продольные лавки. Нормаль</w:t>
      </w:r>
      <w:r w:rsidRPr="00D03F3E">
        <w:rPr>
          <w:rFonts w:ascii="Times New Roman" w:hAnsi="Times New Roman"/>
          <w:color w:val="000000" w:themeColor="text1"/>
          <w:sz w:val="16"/>
          <w:szCs w:val="16"/>
        </w:rPr>
        <w:softHyphen/>
        <w:t>ной нагрузкой считались 12 человек (по шесть на лавке), максимальной - 14; в последнем случае ещё два бойца раз</w:t>
      </w:r>
      <w:r w:rsidRPr="00D03F3E">
        <w:rPr>
          <w:rFonts w:ascii="Times New Roman" w:hAnsi="Times New Roman"/>
          <w:color w:val="000000" w:themeColor="text1"/>
          <w:sz w:val="16"/>
          <w:szCs w:val="16"/>
        </w:rPr>
        <w:softHyphen/>
        <w:t>мещались на передней части правой, более длинной лавки, которая частично заходила в кабину пилота. Для этого место лётчика сместили влево, как на учебном А-7У. При перевозке грузов лавки складывались на пол. Вход и вы</w:t>
      </w:r>
      <w:r w:rsidRPr="00D03F3E">
        <w:rPr>
          <w:rFonts w:ascii="Times New Roman" w:hAnsi="Times New Roman"/>
          <w:color w:val="000000" w:themeColor="text1"/>
          <w:sz w:val="16"/>
          <w:szCs w:val="16"/>
        </w:rPr>
        <w:softHyphen/>
        <w:t>ход осуществлялся, как на А-7, через двери спереди слева и сзади справа.</w:t>
      </w:r>
    </w:p>
    <w:p w14:paraId="24438412"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Значительно изменилось оперение. Горизонтальное оперение получило другую форму в плане и стало больше по площади. Киль и руль направления тоже переделали и увеличили. Перед</w:t>
      </w:r>
      <w:r w:rsidRPr="00D03F3E">
        <w:rPr>
          <w:rFonts w:ascii="Times New Roman" w:hAnsi="Times New Roman"/>
          <w:color w:val="000000" w:themeColor="text1"/>
          <w:sz w:val="16"/>
          <w:szCs w:val="16"/>
        </w:rPr>
        <w:softHyphen/>
        <w:t>нюю кромку киля сделали выпуклой, руль направления лишился рогового компенсатора.</w:t>
      </w:r>
    </w:p>
    <w:p w14:paraId="4D2E6029"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Шасси выполнили по образцу планё</w:t>
      </w:r>
      <w:r w:rsidRPr="00D03F3E">
        <w:rPr>
          <w:rFonts w:ascii="Times New Roman" w:hAnsi="Times New Roman"/>
          <w:color w:val="000000" w:themeColor="text1"/>
          <w:sz w:val="16"/>
          <w:szCs w:val="16"/>
        </w:rPr>
        <w:softHyphen/>
        <w:t>ра Г-11. Его снабдили увеличенными колёсами размером 600x250 мм. От уборки шасси винтовым механизмом отказались. Теперь, как у Г-11, пилот перед посадкой тросиком открывал за</w:t>
      </w:r>
      <w:r w:rsidRPr="00D03F3E">
        <w:rPr>
          <w:rFonts w:ascii="Times New Roman" w:hAnsi="Times New Roman"/>
          <w:color w:val="000000" w:themeColor="text1"/>
          <w:sz w:val="16"/>
          <w:szCs w:val="16"/>
        </w:rPr>
        <w:softHyphen/>
        <w:t>мок заднего подкоса, при ударе колё</w:t>
      </w:r>
      <w:r w:rsidRPr="00D03F3E">
        <w:rPr>
          <w:rFonts w:ascii="Times New Roman" w:hAnsi="Times New Roman"/>
          <w:color w:val="000000" w:themeColor="text1"/>
          <w:sz w:val="16"/>
          <w:szCs w:val="16"/>
        </w:rPr>
        <w:softHyphen/>
        <w:t>сами о землю подкос складывался, и планёр приземлялся на лыжу.</w:t>
      </w:r>
    </w:p>
    <w:p w14:paraId="072BD286"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Опытный образец А-7М прошёл краткие заводские испытания, ле</w:t>
      </w:r>
      <w:r w:rsidRPr="00D03F3E">
        <w:rPr>
          <w:rFonts w:ascii="Times New Roman" w:hAnsi="Times New Roman"/>
          <w:color w:val="000000" w:themeColor="text1"/>
          <w:sz w:val="16"/>
          <w:szCs w:val="16"/>
        </w:rPr>
        <w:softHyphen/>
        <w:t>тал А.О. Добахов. В первых полётах планёр продемонстрировал склонность к кабрированию. Пришлось изменить угол установки стабилизатора. После этого кабрирование исчезло, но ухуд</w:t>
      </w:r>
      <w:r w:rsidRPr="00D03F3E">
        <w:rPr>
          <w:rFonts w:ascii="Times New Roman" w:hAnsi="Times New Roman"/>
          <w:color w:val="000000" w:themeColor="text1"/>
          <w:sz w:val="16"/>
          <w:szCs w:val="16"/>
        </w:rPr>
        <w:softHyphen/>
        <w:t>шилась поперечная устойчивость. Это, а также отсутствие у планёра грузового люка, стало причиной отрицательной оценки.</w:t>
      </w:r>
    </w:p>
    <w:p w14:paraId="3738190D" w14:textId="77777777" w:rsidR="00823A64" w:rsidRPr="00D03F3E" w:rsidRDefault="00823A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второй половине 1943 г. постро</w:t>
      </w:r>
      <w:r w:rsidRPr="00D03F3E">
        <w:rPr>
          <w:rFonts w:ascii="Times New Roman" w:hAnsi="Times New Roman"/>
          <w:color w:val="000000" w:themeColor="text1"/>
          <w:sz w:val="16"/>
          <w:szCs w:val="16"/>
        </w:rPr>
        <w:softHyphen/>
        <w:t>или другой опытный образец А-7М. У него правую дверь заменили грузо</w:t>
      </w:r>
      <w:r w:rsidRPr="00D03F3E">
        <w:rPr>
          <w:rFonts w:ascii="Times New Roman" w:hAnsi="Times New Roman"/>
          <w:color w:val="000000" w:themeColor="text1"/>
          <w:sz w:val="16"/>
          <w:szCs w:val="16"/>
        </w:rPr>
        <w:softHyphen/>
        <w:t>вым люком размером 1600x1060 мм, закрывавшимся двумя створками. Од</w:t>
      </w:r>
      <w:r w:rsidRPr="00D03F3E">
        <w:rPr>
          <w:rFonts w:ascii="Times New Roman" w:hAnsi="Times New Roman"/>
          <w:color w:val="000000" w:themeColor="text1"/>
          <w:sz w:val="16"/>
          <w:szCs w:val="16"/>
        </w:rPr>
        <w:softHyphen/>
        <w:t>новременно в конструкцию внесли ряд других, менее значимых изменений (12266).</w:t>
      </w:r>
    </w:p>
    <w:p w14:paraId="7E25CE4D" w14:textId="77777777" w:rsidR="00823A64" w:rsidRPr="00D03F3E" w:rsidRDefault="00823A64" w:rsidP="00D03F3E">
      <w:pPr>
        <w:spacing w:after="0" w:line="240" w:lineRule="auto"/>
        <w:jc w:val="both"/>
        <w:rPr>
          <w:rFonts w:ascii="Times New Roman" w:hAnsi="Times New Roman"/>
          <w:color w:val="000000" w:themeColor="text1"/>
          <w:sz w:val="16"/>
          <w:szCs w:val="16"/>
        </w:rPr>
      </w:pPr>
    </w:p>
    <w:p w14:paraId="0B68643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 мая 1943 вышел приказ НКАП N 297с:</w:t>
      </w:r>
    </w:p>
    <w:p w14:paraId="3ED9A91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"КБ П.В.Гулянского на заводе 156 разработало метод получения неметаллического конструкционного материала путем литья из растительных волокон и по этому методу создало ряд конструкций: подвесные самолетные баки, авиационное десантное оборудование, приборы спец. вооружения и т.д.</w:t>
      </w:r>
    </w:p>
    <w:p w14:paraId="3F397F2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дальнейшего совершенствования этого дела:</w:t>
      </w:r>
    </w:p>
    <w:p w14:paraId="1BD0995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выделить КБ Гулянского в самостоятельный завод по производству неметаллических агрегатов на существующей базе производства неметаллических авиабаков и наличным оборудованием, имуществом и кадрами, присвоив ему N 225</w:t>
      </w:r>
    </w:p>
    <w:p w14:paraId="2C96AC9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завод 225 подчинить 6 ГУ</w:t>
      </w:r>
    </w:p>
    <w:p w14:paraId="2B66FEF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Установить основным заданием для завода 225 разработку и изготовление образцов, малых серий агрегатов и деталей и неметаллических материалов (1711,74).</w:t>
      </w:r>
    </w:p>
    <w:p w14:paraId="2950C7E4" w14:textId="77777777" w:rsidR="00531570" w:rsidRPr="00D03F3E" w:rsidRDefault="00531570" w:rsidP="00D03F3E">
      <w:pPr>
        <w:pStyle w:val="Iauiue"/>
        <w:jc w:val="both"/>
        <w:rPr>
          <w:color w:val="000000" w:themeColor="text1"/>
          <w:sz w:val="16"/>
          <w:szCs w:val="16"/>
        </w:rPr>
      </w:pPr>
    </w:p>
    <w:p w14:paraId="1B112E1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1943 г. на месте ОКБ-156 НКАП по приказу № 297с был организован завод № 225 НКАП.</w:t>
      </w:r>
    </w:p>
    <w:p w14:paraId="7D225EB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Приказом № 233с от 14/19.04.1943 г. Туполев назначен гл. конструктором/ ответственным руководителем завода № 156. Осенью 1943 г. КБ вернулось из Омска на площадку завода № 156 и действовало как ОКБ-156 НКАП.</w:t>
      </w:r>
    </w:p>
    <w:p w14:paraId="2A990A1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вновь организованном заводе № 156 созданы отделы: вооружения, в который входили бригады Д.А. Горского, С.И. Савельева; специальных конструкций (средства спасения, высотное и бытовое оборудование).</w:t>
      </w:r>
    </w:p>
    <w:p w14:paraId="4C26072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Во время ВОВ в состав ОКБ-156 вошло КБ Голубкова, занимавшееся до этого внедрением в серию самолетов В-25, </w:t>
      </w:r>
      <w:r w:rsidRPr="00D03F3E">
        <w:rPr>
          <w:rFonts w:ascii="Times New Roman" w:hAnsi="Times New Roman"/>
          <w:color w:val="000000" w:themeColor="text1"/>
          <w:sz w:val="16"/>
          <w:szCs w:val="16"/>
          <w:lang w:val="en-US"/>
        </w:rPr>
        <w:t>DC</w:t>
      </w:r>
      <w:r w:rsidRPr="00D03F3E">
        <w:rPr>
          <w:rFonts w:ascii="Times New Roman" w:hAnsi="Times New Roman"/>
          <w:color w:val="000000" w:themeColor="text1"/>
          <w:sz w:val="16"/>
          <w:szCs w:val="16"/>
        </w:rPr>
        <w:t>-3. Затем Голубков работал самостоятельно. В 1954 г. в состав ОКБ-156 вновь влился штат ликвидированного ОКБ-ЗО МАП гл. конструктора А.П. Голубкова, который стал замом Туполева по гражданским самолетам.</w:t>
      </w:r>
    </w:p>
    <w:p w14:paraId="69EE20D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возвращения коллектива в Москву продолжены работы по модификациям Ту-2. В соответствии с пост. ГКО № 5947 от 22.05.1944 г. создан опытный СДБ («63»), По пр. № 444 от 20.07.1944 г. создан опытный Ту-2М с АШ-83ФН. В соответствии с ПСМ № 472-191 от 26.02.1946 г. разрабатывались варианты Ту-2 с двигателями М- 250 и с М-93 (Ту-6), пост. № 2548-1065 от 30.11.1946 г. и № 493-192 от 11.03.1947 г., соответственно, работы прекращены. Создан фоторазведчик Ту-2Ф, пост. СМ СССР № 2941-957 от 22.08.1947 г. он пнв под обозначением Ту-6. В 1946 г. создан опытный Ту-2Д («65»), по пр. № 766 от 4.12.1946 г. работы по нему прекращены. В 1947 г. выпущена малая серия Ту-10 - последнего отечественного бомбардировщика с поршневыми двигателями. В соответствии с ПСМ № 760-288 от 22.02.1949 г. проводились работы по буксировке за Ту-2 истребителя Як-23 с возможностью отцепки и повторной сцепки в воздухе.</w:t>
      </w:r>
    </w:p>
    <w:p w14:paraId="6F6F9E1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1944 г.- разработка проекта тяжелого бомбардировщика «64», приказом № 223 от 16.04.1947 г. работы прекращены.</w:t>
      </w:r>
    </w:p>
    <w:p w14:paraId="2811CAF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 началом масштабных работ по Б-4 (Ту-4) в соответствии с пост. ГКО № 8934 от 6.06.1945 г., по приказу № 263сс от 22.06.1945 г. образован филиал ОКБ на заводе № 22. Для этого в подчинение ОКБ-156 передано ОКБ-22 гл. конструктора И.Ф. Незваля с остатками коллектива гл. конструктора В.М. Мясищева. Далее по приказам № 341с от 14.08.1945 г. и № 371с от 8.09.1945 г. в распоряжение ОКБ-156 в качестве филиала передан филиал завода № 301 (переведен из 1ГУ в 7ГУ), включивший также в свой состав штат и оборудование филиала завода № 134 НКАП. В 1948 г. ОКБ-22 переведено в состав завода № 22. В 1957 г. вновь действовал филиал ОКБ- 156 на заводе № 22.</w:t>
      </w:r>
    </w:p>
    <w:p w14:paraId="4DA3B56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1949-51 г. сформирована Летно-доводочная база (ДЦБ, затем- ЛИиДБ) ОКБ в Жуковском. Там имелись административно-бытовое здание, ангарный комплекс, ангар-навес.</w:t>
      </w:r>
    </w:p>
    <w:p w14:paraId="1C73043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1954 г. образован филиал в Томилино. Работы по Ту-4, Ту-16, Ту-95ЛАЛ, Ту-124, БПЛА Ту-123.</w:t>
      </w:r>
    </w:p>
    <w:p w14:paraId="0374822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03.1956 г. создан филиал ОКБ-156 на заводе № 18. Проектировались Ту-115, Ту-126. Работы по Ту-95, Ту- 142, Ту-154.</w:t>
      </w:r>
    </w:p>
    <w:p w14:paraId="27B0D38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1956-57 г. в ОКБ создан отдел «К» по разработке БПЛА, который возглавил А.А. Туполев.</w:t>
      </w:r>
    </w:p>
    <w:p w14:paraId="45B09E7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1940-е  г. проекты самолетов в ОКБ имели нумерацию: «471» - 1-й проект 1947 г.; «485» - 5-й проект 1948 г.</w:t>
      </w:r>
      <w:r w:rsidRPr="00D03F3E">
        <w:rPr>
          <w:rFonts w:ascii="Times New Roman" w:hAnsi="Times New Roman"/>
          <w:color w:val="000000" w:themeColor="text1"/>
          <w:sz w:val="16"/>
          <w:szCs w:val="16"/>
          <w:vertAlign w:val="superscript"/>
        </w:rPr>
        <w:t>30</w:t>
      </w:r>
    </w:p>
    <w:p w14:paraId="23BC17B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ПСМ № 472-191 от 02.1946 г. начата разработка пассажирского варианта Ту-4 - самолета Ту- 70 («70», Ту-12). В соответствии с ПСМ № 3140-1028 от 8.09.1947 г. начата разработка Ту-4К в составе РК «Комета», в 1953 г. он пнв. В соответствии с ПСМ № 3159-1317 от 14.07.1950 г. велось создание системы «Бурлаки»: буксировке за Ту-4 истребителя МиГ-15бис. Пост, правительства № 3193-1214 от 10.07.1952 г. серийный выпуск Ту-4 прекращен.</w:t>
      </w:r>
    </w:p>
    <w:p w14:paraId="01E5C0B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1947 г. разработан проект фронтового бомбардировщика «73». Пост, правительства № 493-192 от 11.03.1947 г. утверждена его постройка, а также начата разработка дальнего бомбардировщика «69» (Ту-8). Пост. № 2941-957 от 22.08.1947 г. определена разработка «73» в варианте разведчика. Была начата подготовка к серийному выпуску самолета на заводе № 23, но пост. № 1890-700 от 14.05.1949 г. работы прекращены.</w:t>
      </w:r>
    </w:p>
    <w:p w14:paraId="661DDC2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ПСМ № 2052-804 от 12.06.1948 г. начата разработка тяжелого бомбардировщика Ту-80 со сроком предъявления на испытания в середине 1949 г. Пост. № 3929-1608 от 16.09.1949 г. опытный самолет был передан для проведения летных исследований; этим же постановлением задана разработка бомбардировщика Ту- 85. В соответствии с ПСМ № 4764-2062 от 28.11.1950 г. и приказом МАП № 240 начата подготовка к серийному выпуску самолета на заводах № 18, 22 и 23, но самолет не строился. Ту-85 стал последним построенным отечественным бомбардировщиком с поршневыми двигателями; его взлетная масса впервые в СССР превысила 100 т.</w:t>
      </w:r>
    </w:p>
    <w:p w14:paraId="2294AC0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ПСМ № 2474-974 от 10.06.1950 г. на базе проектов 1949 г. «494» и «495» начата разработка дальнего бомбардировщика «88» с 2 двигателями АМ-3. 1-й опытный экземпляр взлетел 27.04.1952 г. Пост. № 3193-1214 от 10.07.1952 г. Ту-16 запущен в серию на заводе № 22. В соответствии с ПСМ № 1034-443 от 28.05.1954 г. Ту-16 пнв. В соответствии с ПСМ № 1659-657 от 3.07.1953 г. создан разведчик Ту-16Р («92»), пост. № 1545-777 от 3.12.1956 г. Ту-16Р пнв. В соответствии с ПСМ № 788-437 от 11.06.1956 г. разработан Ту-16Р-1 с новым комплексом оборудования. По пр. № 44 от 17.09.1953 г. создан заправщик Ту-163, по постановлению от 24.05.1954 г. создан опытный заправщик Ту-16Н для дозаправки двух МиГ-19. В соответствии с ПСМ № 2253- 1069 от 3.11.1954 г. был испытан опытный Ту-16 с кормовой оборонительной установкой, стреляющей реактивными ТРС. По распоряжению от 12.07.1954 г. создан торпедоносец Ту-16Т. В соответствии с ПСМ № 163- 97сс от 2.02.1955 г. Ту-16Т пнв. В соответствии с пост.ениями правительства № 178-110 от 3.02.1955 г. и № 1946- 1045 от 16.11.1955 г. начата разработка носителя Ту-16К-10 ПКР К-10С комплекса «Комета-10». Решением от 31.12.1958 г. самолет запущен в серию на заводе № 22, пост. № 742-315 от 12.08.1961 г. он пнв. По постановлению от 26.11.1955 г. велись работы (шифр «Архангельск») по размещению на Ту-16 радиоуправляемой спасательной лодки. В соответствии с ПСМ № 424-261сс от 28.03.1956 г. построен опытный Ту-16Б с двигателями М16-15. В соответствии с ПСМ № 1528-768 от 23.11.1956 г. начата разработка радиоуправляемой мишени М-16 на базе Ту- 16. Пост, от 4.02.1961 г. начаты работы по Ту-16КСР-2 комплекса К-16 с предъявлением на испытания к 15.04.1961 г., пост. № 1184-514 от 30.12.1961 г. он пнв. Пост. № 314-157 от 13.04.1962 г. пнв Ту-16КСР-2-11 комплекса К-11. В соответствии с ПСМ № 838-357 от 11.08.1962 г. начата отработка Ту-16К-26 комплекса К-26, пост. № 882-315 от 12.11.1969 г. он пнв. Пост. № 123-43 от 7.02.1964 г. задана разработка Ту-16К-26П, носителя КСР-5П с пассивной ГСН, пост. № 643-205 от 4.09.1973 г. он пнв. Пост. № 552-229 от 23.06.1964 г. задана разработка Ту-16К-10-26 комплекса К-34, пост. № 882-315 от 12.11.1969 г. и пр. МО от 4.12.1969 г. он пнв. В соответствии с ПСМ № 1081-370 от 22.11.1967 г. создан радиационный разведчик Ту-16РР.</w:t>
      </w:r>
    </w:p>
    <w:p w14:paraId="3C99495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1950 г. разработан проект палубного торпедоносца «507». В соответствии с ПСМ от 04.1951 г. на его базе в 1954 г. построен опытный пикирующий бомбардировщик-торпедоносец Ту-91 (в ОКБ неофициально именовался «Чиж-Пин-Бог-15Ш»).</w:t>
      </w:r>
    </w:p>
    <w:p w14:paraId="5F9E4CB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соответствии с ПСМ № 2396-1137 от 11.07.1951 г. начата разработка скоростного тяжелого бомбардировщика Ту-95. В соответствии с ПСМ № 1551-544 от 29.03.1952 г. создан высотный Ту-96, в 03.1956 г. работы прекращены. Пост, от 11.03.1954 г. задана разработка Ту-95К комплекса К-20 с УР Х-20, 9.09.1960 г. он пнв. В соответствии с пост.ениями от 2.07.1959 г. и от 20.05.1960 г. разработан Ту-95КД с системой дозаправки. Пост. № 1606-727 от 30.07.1954 г. была задана разработка летающей лаборатории на базе Ту-95 для испытаний самолета «100». Пост. № 710-338 от 2.07.1958 г. задана разработка Ту-95К-10 - ностиеля УР К-10С. В соответствии с ПСМ от 12.08.1955 г. на базе Ту-95 начата разработка пассажирского Ту-114. В соответствии с ПСМ от 31.07.1958 г. разрабатывался Ту-95С - носитель стратегической КР С-30, в 02.1960 г. тема закрыта. В соответствии с ПСМ от 21.07.1959 г. начата разработка самолета </w:t>
      </w:r>
      <w:r w:rsidRPr="00D03F3E">
        <w:rPr>
          <w:rFonts w:ascii="Times New Roman" w:hAnsi="Times New Roman"/>
          <w:color w:val="000000" w:themeColor="text1"/>
          <w:sz w:val="16"/>
          <w:szCs w:val="16"/>
          <w:lang w:val="en-US"/>
        </w:rPr>
        <w:t>PJI</w:t>
      </w:r>
      <w:r w:rsidRPr="00D03F3E">
        <w:rPr>
          <w:rFonts w:ascii="Times New Roman" w:hAnsi="Times New Roman"/>
          <w:color w:val="000000" w:themeColor="text1"/>
          <w:sz w:val="16"/>
          <w:szCs w:val="16"/>
        </w:rPr>
        <w:t>, радиотехнической и фоторазведки Ту-95РЦ, пост, от 30.05.1966 г. самолет пнв. В соответствии с ПСМ от 20.05.1960 г. начата разработка разведчика Ту-95Р, распоряжением № 65 от 9.01.1962 г. серийный Ту-95М переоборудован в Ту-95Р. Пост. СМ № 358-128 от 30.04.1965 г. задана разработка и постройка дальнего противолодочного самолета Ту-142. В соответствии с ПСМ № 104-36 от 13.02.1973 г. Ту-95 был переоборудован в Ту-95М-5 - носитель УР КСР-5, в 05.1977 г. работы прекращены; в соответствии с тем же пост. Ту-95К переоборудовались в Ту-95К-22 - носители Х-22. В соответствии с ПСМ от 9.12.1976 г. разрабатывался Ту-95МА - носитель ракет «Метеорит-А», в 1984 г. работы прекращены.</w:t>
      </w:r>
    </w:p>
    <w:p w14:paraId="56F0F8D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1953 г. велись работы по подвесному бомбардировщику «100» - носителю ядерной бомбы в составе стратегической системы «108». Официально создание самолета задано пост. № 1606-727 от 30.07.1954 г. Работы прекращены в 1958 г.</w:t>
      </w:r>
    </w:p>
    <w:p w14:paraId="7587487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12.04.1954 г. вышло постановление СМ СССР № 683-301сс «О постройке фронтового бомбардировщика со сверхзвуковыми скоростями конструкции Туполева» с предъявлением на Госиспытания в 12.1956 г. Пост. № 1013-482 от 02.1958 г. работы по Ту-98 прекращены.</w:t>
      </w:r>
    </w:p>
    <w:p w14:paraId="61F2E5F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соответствии с ПСМ № 1605-726 от 30.07.1954 г. начата разработка дальних бомбардировщиков: «105» с двигателями ВД-5Ф и «106» с </w:t>
      </w:r>
      <w:r w:rsidRPr="00D03F3E">
        <w:rPr>
          <w:rFonts w:ascii="Times New Roman" w:hAnsi="Times New Roman"/>
          <w:color w:val="000000" w:themeColor="text1"/>
          <w:sz w:val="16"/>
          <w:szCs w:val="16"/>
          <w:lang w:val="en-US"/>
        </w:rPr>
        <w:t>AM</w:t>
      </w:r>
      <w:r w:rsidRPr="00D03F3E">
        <w:rPr>
          <w:rFonts w:ascii="Times New Roman" w:hAnsi="Times New Roman"/>
          <w:color w:val="000000" w:themeColor="text1"/>
          <w:sz w:val="16"/>
          <w:szCs w:val="16"/>
        </w:rPr>
        <w:t>-19 или ВД-9. Пост. № 1317-752 уже ставилась задача создания бомбардировщика с двигателями НК-6, которые должны были быть представлены на Госиспытания в 4-м квартале 1957 г. Пост. № 426-201 от 17.04.1958 г. ОКБ поручена разработка Ту-22 на базе проектов «105» и «106». 23.02.1960 г. вышло постановление СМ СССР № 219-82 «О создании дальнего сверхзвукового самолета- разведчика ТУ-22Р». 23.04.1960 г. - постановление № 440-177 «О дальнейшем производстве самолетов Ту-22». В соответствии с решением ВПК от 01.1974 г. и ПСМ № 534-187 от 26.06.1974 г. начата разработка Ту-22МЗ с двигателями НК-25.</w:t>
      </w:r>
    </w:p>
    <w:p w14:paraId="3E6C7F7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соответствии с ПСМ № 1561-868 от 12.08.1955 г. ОКБ поручено создание первого отечественного самолета с ЯСУ, выполнена комплексная НИР. В соответствии с ПСМ от 26.03.1956 г. начато проектирование </w:t>
      </w:r>
      <w:r w:rsidRPr="00D03F3E">
        <w:rPr>
          <w:rFonts w:ascii="Times New Roman" w:hAnsi="Times New Roman"/>
          <w:color w:val="000000" w:themeColor="text1"/>
          <w:sz w:val="16"/>
          <w:szCs w:val="16"/>
          <w:lang w:val="en-US"/>
        </w:rPr>
        <w:t>Ty</w:t>
      </w:r>
      <w:r w:rsidRPr="00D03F3E">
        <w:rPr>
          <w:rFonts w:ascii="Times New Roman" w:hAnsi="Times New Roman"/>
          <w:color w:val="000000" w:themeColor="text1"/>
          <w:sz w:val="16"/>
          <w:szCs w:val="16"/>
        </w:rPr>
        <w:t>-95</w:t>
      </w:r>
      <w:r w:rsidRPr="00D03F3E">
        <w:rPr>
          <w:rFonts w:ascii="Times New Roman" w:hAnsi="Times New Roman"/>
          <w:color w:val="000000" w:themeColor="text1"/>
          <w:sz w:val="16"/>
          <w:szCs w:val="16"/>
          <w:lang w:val="en-US"/>
        </w:rPr>
        <w:t>JIAJI</w:t>
      </w:r>
      <w:r w:rsidRPr="00D03F3E">
        <w:rPr>
          <w:rFonts w:ascii="Times New Roman" w:hAnsi="Times New Roman"/>
          <w:color w:val="000000" w:themeColor="text1"/>
          <w:sz w:val="16"/>
          <w:szCs w:val="16"/>
        </w:rPr>
        <w:t>. В 05-08.1961 г. выполнено 34 полета, в т.ч. с работающим реактором. Дальнейшее развитие - «119».</w:t>
      </w:r>
    </w:p>
    <w:p w14:paraId="63627FB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соответствии с пост. СМ СССР № 1172-516сс от 11.06.1954 г. начато создание Ту-104. 11.04.1958 г. вышло распоряжение правительства № 1144-рс о доработке Ту-104 под десантное и санитарное оборудование; 18.07.1958 г. - распоряжение № 2314-рс о выпуске Ту-104А, приспособленных под санитарное оборудование. 27.12.1958 г. вышло постановление правительства № 1408-688 «О катастрофах самолётов Ту-104 и мерах повышения безопасности полётов на этих самолётах». В 11.1960 г. на базе Ту-104 создана </w:t>
      </w:r>
      <w:r w:rsidRPr="00D03F3E">
        <w:rPr>
          <w:rFonts w:ascii="Times New Roman" w:hAnsi="Times New Roman"/>
          <w:color w:val="000000" w:themeColor="text1"/>
          <w:sz w:val="16"/>
          <w:szCs w:val="16"/>
          <w:lang w:val="en-US"/>
        </w:rPr>
        <w:t>JIJI</w:t>
      </w:r>
      <w:r w:rsidRPr="00D03F3E">
        <w:rPr>
          <w:rFonts w:ascii="Times New Roman" w:hAnsi="Times New Roman"/>
          <w:color w:val="000000" w:themeColor="text1"/>
          <w:sz w:val="16"/>
          <w:szCs w:val="16"/>
        </w:rPr>
        <w:t xml:space="preserve"> для подготовки космонавтов в невесомости.</w:t>
      </w:r>
    </w:p>
    <w:p w14:paraId="54CABC5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СМ № 1145-519 от 23.09.1957 г. началась разработка изд. «С» («121»), в 1959 г.- бросковые пуски. Пост. СМ от 1960 г. работы по Ту-121 прекращены. В соответствии с пост. СМ № 900-376 от 16.08.1960 г. на базе «С» начались работы по системе дальней беспилотной разведки ДБР-1 «Ястреб» с Ту-123. Пост. СМ от 23.05.1964 г. он принят на вооружение. На вооружении- до 1979 г. В соответствии с пост.ениями правительства от 08.1968 г. и от 09.1975 г. создан оперативно-тактический разведчик «123П». В соответствии с пост. Правительства от 03.1981 г. создан разведчик «243» («Рейс-Д»), строился серийно с 1999 г. С 1983 г. разрабатывался многоцелевой Ту-300 «Коршун».</w:t>
      </w:r>
    </w:p>
    <w:p w14:paraId="00A8312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18.07.1958 г. вышло постановление СМ СССР о создании Ту-124.</w:t>
      </w:r>
    </w:p>
    <w:p w14:paraId="4F73171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ПСМ № 867-408 от 31.07.1958 г. начато проектирование низковысотного дальнего бомбардировщика «132», эскизный проект создан в 1960 г.</w:t>
      </w:r>
    </w:p>
    <w:p w14:paraId="0D4A7AD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30.05.1960 г. вышло постановление СМ СССР № 567-230 «О мероприятиях по обеспечению разработки самолета радиолокационного дозора Ту-126». Пост. СМ № 363-133 от 30.04.1965 г. Ту-126 пнв.</w:t>
      </w:r>
    </w:p>
    <w:p w14:paraId="7D5878F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правительства № 826-341 от 1.08.1960 г. началась разработка Ту-124А (Ту-134).</w:t>
      </w:r>
    </w:p>
    <w:p w14:paraId="46250E7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ПСМ№ 1084-444 от 12.10.1960 г. начата разработка самолета Ту-110Д.</w:t>
      </w:r>
    </w:p>
    <w:p w14:paraId="16A8E5B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1963 г. было принято постановление СМ СССР о создании сверхзвукового пассажирского самолета Ту- 144 («044»),</w:t>
      </w:r>
    </w:p>
    <w:p w14:paraId="68825CD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ПСМ № 362-132 от 30.04.1965 г. комплекс перехвата Ту-28-80 пнв.</w:t>
      </w:r>
    </w:p>
    <w:p w14:paraId="6C2FEA5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ПСМ № 1098-378 от 8.11.1967 г. начата разработка Ту-22М с изменяемой геометрией крыла.</w:t>
      </w:r>
    </w:p>
    <w:p w14:paraId="053DBD5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1960-е  г. созданы, строились серийно аэросани 2-го поколения А-3. В 2000-е  г. созданы аэросани-амфибия АС-2.</w:t>
      </w:r>
    </w:p>
    <w:p w14:paraId="2C963D4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ОКБ-156 имело испытательную базу во Владимировке ( г. Ахтубинск), в 08.1959 г. здесь испытан Ту-121; экспериментальную базу Половинка в районе  г. Семипалатинска (здесь в 1961 г. испытывался Ту-95ЛАЛ).</w:t>
      </w:r>
    </w:p>
    <w:p w14:paraId="1AB991E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Имелся Томилинский филиал (1957 г.), здесь велись работы по поисково-спасательному Ту-16С с катером «Фрегат».</w:t>
      </w:r>
    </w:p>
    <w:p w14:paraId="5C1E2A5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1961 г. образован филиал ОКБ на заводе № 64 МАП ( г. Воронеж). Работы по сопровождению серии Ту-16, Ту-128, Ту-144. Действовал в 2006 г. (серийный выпуск аэросаней АС-2).</w:t>
      </w:r>
    </w:p>
    <w:p w14:paraId="0C4B685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1978 г. в качестве филиала в ОКБ-156 вошел Закарпатский машиностроительный завод, далее- ЗВПО.</w:t>
      </w:r>
    </w:p>
    <w:p w14:paraId="43EF449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СМ СССР № 127-39 от 28.01.1981 г. на базе Ту-134А создан Ту-134СХ.</w:t>
      </w:r>
    </w:p>
    <w:p w14:paraId="4D277DB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1988 г. образован филиал ОКБ на УАПК (Ульяновск) по внедрению в производство Ту-204.</w:t>
      </w:r>
    </w:p>
    <w:p w14:paraId="7F0FCBE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ОКБ принимало участие в программе создания ОК «Буран».</w:t>
      </w:r>
    </w:p>
    <w:p w14:paraId="1C0E034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состав ОКБ входили: здание ЛИК с лабораторией статических испытаний; лабораторно-производственный корпус № 9 (фасад выходит на набережную Яузы).</w:t>
      </w:r>
    </w:p>
    <w:p w14:paraId="60A0BAF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xml:space="preserve">В 08.1957 г. - в ведении 1ГУ МАП. ОКБ-156 ГКАТ в 1966 г. переименовано в Московский машиностроительный завод (ММЗ) «Опыт», с 1973 г. - ММЗ «Опыт» им. А.Н. Туполева МАП. В 1989 г. преобразовано в АНТК им. А.Н. Туполева. С 1993 г. - АООТ «АНТК им. А.Н. Туполева». В соответствии с пост. Правительства № 720 от 30.06.1999 г. образовано ОАО «Туполев», в которое вошли «АНТК им. Туполева» со всеми конструкторскими мощностями и АО «Авиастар». По решению правительства № 22-р от 9.01.2004 г. и Указу Президента РФ № 1009 от 4.08.2004 г. ОАО «Туполев» вошло в число стратегических оборонных предприятий. По Указу Президента РФ от 20.02.2006 г. вошло в ОАО </w:t>
      </w:r>
      <w:r w:rsidRPr="00D03F3E">
        <w:rPr>
          <w:rFonts w:ascii="Times New Roman" w:hAnsi="Times New Roman"/>
          <w:color w:val="000000" w:themeColor="text1"/>
          <w:sz w:val="16"/>
          <w:szCs w:val="16"/>
          <w:lang w:val="en-US"/>
        </w:rPr>
        <w:t>OAK</w:t>
      </w:r>
      <w:r w:rsidRPr="00D03F3E">
        <w:rPr>
          <w:rFonts w:ascii="Times New Roman" w:hAnsi="Times New Roman"/>
          <w:color w:val="000000" w:themeColor="text1"/>
          <w:sz w:val="16"/>
          <w:szCs w:val="16"/>
        </w:rPr>
        <w:t>.</w:t>
      </w:r>
    </w:p>
    <w:p w14:paraId="11329A5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1990-х  г. на КАПО действовало АО «Казанское КБ «АНТК им. А.Н. Туполева» (начальник- Э.М. Соркин). Действовали филиалы в Воронеже, Ульяновске, Самаре, Томилино; представительства- в Киеве и Таганроге.</w:t>
      </w:r>
    </w:p>
    <w:p w14:paraId="5D56A21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2000-м  г. за время существования ОКБ было разработано более 300 проектов ЛА, аэросаней и катеров. Более 80 проектов реализованы в металле, 35- строились серийно.</w:t>
      </w:r>
    </w:p>
    <w:p w14:paraId="5F951A9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Работы (2002 г.): по пассажирским самолетам Ту-334, Ту-324, Ту-234, Ту-214, грузовьм Ту-330, Ту-230, Ту- 130, сельскохозяйственному Ту-54, легкому многоцелевому Ту-34, ВКС Ту-2000. (2006 г.): модернизация Ту- 142МЭ в </w:t>
      </w:r>
      <w:r w:rsidRPr="00D03F3E">
        <w:rPr>
          <w:rFonts w:ascii="Times New Roman" w:hAnsi="Times New Roman"/>
          <w:color w:val="000000" w:themeColor="text1"/>
          <w:sz w:val="16"/>
          <w:szCs w:val="16"/>
          <w:lang w:val="en-US"/>
        </w:rPr>
        <w:t>Ty</w:t>
      </w:r>
      <w:r w:rsidRPr="00D03F3E">
        <w:rPr>
          <w:rFonts w:ascii="Times New Roman" w:hAnsi="Times New Roman"/>
          <w:color w:val="000000" w:themeColor="text1"/>
          <w:sz w:val="16"/>
          <w:szCs w:val="16"/>
        </w:rPr>
        <w:t>-142</w:t>
      </w:r>
      <w:r w:rsidRPr="00D03F3E">
        <w:rPr>
          <w:rFonts w:ascii="Times New Roman" w:hAnsi="Times New Roman"/>
          <w:color w:val="000000" w:themeColor="text1"/>
          <w:sz w:val="16"/>
          <w:szCs w:val="16"/>
          <w:lang w:val="en-US"/>
        </w:rPr>
        <w:t>MSD</w:t>
      </w:r>
      <w:r w:rsidRPr="00D03F3E">
        <w:rPr>
          <w:rFonts w:ascii="Times New Roman" w:hAnsi="Times New Roman"/>
          <w:color w:val="000000" w:themeColor="text1"/>
          <w:sz w:val="16"/>
          <w:szCs w:val="16"/>
        </w:rPr>
        <w:t xml:space="preserve"> для Индии. (2008 г.): правительственные Ту-214СР, Ту-214ПУ и Ту-214СУС.</w:t>
      </w:r>
    </w:p>
    <w:p w14:paraId="762991E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состав АНТК входили (2002 г.): ЦКБ ( г. Москва), Экспериментальный завод ( г. Москва), Жуковская ЛИиДБ, Томилинский филиал, Казанское КБ, Воронежское КБ, Самарское КБ, Ульяновский филиал, Таганрогское представительство, Украинское отделение ( г. Киев).</w:t>
      </w:r>
      <w:r w:rsidRPr="00D03F3E">
        <w:rPr>
          <w:rFonts w:ascii="Times New Roman" w:hAnsi="Times New Roman"/>
          <w:color w:val="000000" w:themeColor="text1"/>
          <w:sz w:val="16"/>
          <w:szCs w:val="16"/>
          <w:vertAlign w:val="superscript"/>
        </w:rPr>
        <w:t>69</w:t>
      </w:r>
    </w:p>
    <w:p w14:paraId="33CE571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территории (наб. Академика Туполева, 2009 г.)- 7 га.</w:t>
      </w:r>
    </w:p>
    <w:p w14:paraId="0DEF7B4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(19.04.1943-56 г.)- А.Н. Туполев. Ген. конструктор (12.1956-72 г.)- г-п академик (1953 г.) А.Н. Туполев {29.10.1888-22.12.1972}, (1973-12.1992 г.)- академик (1984 г.) А.А. Туполев {20.05.1925-12.05.2001}, (12Л992 г.-&gt; В.Т. Климов, (2001-07 г.-)- И.С. Шевчук {30.01.1953-}.</w:t>
      </w:r>
    </w:p>
    <w:p w14:paraId="3759F51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1-й зам. ген. конструктора (1947 г.-)- А.А. Архангельский, (начало 1970-х  г.)- Н.И. Базенков, (2005 г.)- О. Алашеев. Помощник гл. конструктора по вооружению (1931 г.-)- А.В. Надашкевич. Зам. гл., Ген. конструктора (1945-; 1960-е)- И.Ф. Незваль, (1930-е; 11.1949-53 г.)- П.О. Сухой, (1953 г.-)- </w:t>
      </w:r>
      <w:r w:rsidRPr="00D03F3E">
        <w:rPr>
          <w:rFonts w:ascii="Times New Roman" w:hAnsi="Times New Roman"/>
          <w:color w:val="000000" w:themeColor="text1"/>
          <w:sz w:val="16"/>
          <w:szCs w:val="16"/>
          <w:lang w:val="en-US"/>
        </w:rPr>
        <w:t>A</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M</w:t>
      </w:r>
      <w:r w:rsidRPr="00D03F3E">
        <w:rPr>
          <w:rFonts w:ascii="Times New Roman" w:hAnsi="Times New Roman"/>
          <w:color w:val="000000" w:themeColor="text1"/>
          <w:sz w:val="16"/>
          <w:szCs w:val="16"/>
        </w:rPr>
        <w:t>. Черемухин, (1962 г.-)- Л.Л. Селяков, (1941-66 г.-)- А.А. Архангельский, (1970-е)- С.М. Егер, (1963-73 г.)- А.А. Туполев, (1990-е)- А.И. Кандалов; по пассажирским и транспортным самолетам (1954 г.-)- А.П. Голубков; по Ту-204- О.Ю. Алашеев; (2005 г.)- С. Ильюшенко, (2008 г.)- В. Солозобов.</w:t>
      </w:r>
    </w:p>
    <w:p w14:paraId="111B5A9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(1924-31 г.; 01.1933 г.-)- А.Н. Туполев. Ответственный руководитель (19.04.1943 г.-)- А.Н. Туполев, (1973 г.-)- А.А. Туполев. Гендиректор (-1992 г.)- А.А. Туполев, (12.1992-97 г.)- В.Т. Климов, (1997 г.-)- И.С. Шевчук, (1998-2002 г.-)- В.Е. Александров.</w:t>
      </w:r>
    </w:p>
    <w:p w14:paraId="616EAB9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Помощник начальника (1932 г.)- А.В. Надашкевич. Зам. начальника (1933 г.)- И.И. Погосский, (1930-е)- В.М. Петляков.</w:t>
      </w:r>
    </w:p>
    <w:p w14:paraId="6DB9B92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ЦКБ (2008 г.)- В. Солозобов; военных программ (2006 г.)- В. Бендеров; центра ВЭД и информации (2002 г.)- С.М. Раевский.</w:t>
      </w:r>
    </w:p>
    <w:p w14:paraId="09015D0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Жуковской ЛИиДБ (1953 г.)- П.О. Сухой, (1960-е)- А.С. Благовещенский, (1980-е)- В.Т. Климов; филиала на заводе № 22 (1945-48 г.-)- И.Ф. Незваль; филиала на заводе № 18 (1956 г.-)- А.И. Путилов; Томилинского филиала (1957 г.-)- И.Ф. Незваль; Воронежского филиала (1961 г.-)- А.И. Путилов. Гл. инженер ЛДБ (1949-53 г.)~ Е.А. Иванов.</w:t>
      </w:r>
    </w:p>
    <w:p w14:paraId="145A5DD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конструкторы: (1936 г.-)- П.О. Сухой («Иванов»), (1938 г.)- И.Ф. Незваль (АНТ-42), (1944-92 г.)- Д.С. Марков («64», «106», «145», Ту-4, -80, -16, -16КС, -16К-10, -16К-26, -98, -22, -22Б, -22М, -22М2), (-1952-74 Г.-)- Н.И. Базенков (Ту-95, -95М, -95М-5, -95К, -95К-22, -96, -116, -119, -142), (1953 г.)- В.А. Чижевский (Ту-91), (1960-е)-  Г.А. Озеров (Ту-119), (1963-73 г.)- А.А. Туполев (Ту-144), (-1958-73 г.)- С.М. Егер («105», «106», Ту-154; уволен после катастрофы Ту-144), (1974 г.-)- Н.В. Кирсанов (Ту-95К, -95К-22, -95МС), (1981-88 г.-)- Д.А. Антонов (Ту-95К, -95К-22, -95МС, -142М), (1976 г.-)- Л.Л. Селяков (Ту-134), А.С. Шенгардт, (1980-е)- В.И. Близнюк (Ту-160), (1992 г.-)- Б.Е. Леванович (Ту-16, -22, -22М, -22М2),</w:t>
      </w:r>
    </w:p>
    <w:p w14:paraId="69CFA0F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(-1985-96 г.-)- А.Л. Пухов (Ту-260, -334, -360, -144ЛЛ), (2003 г.)- И.С. Калыгин (Ту-334), (2008 г.)- Л.А. Лановский (Ту-204), Ю.В. Воробьев (Ту-214).</w:t>
      </w:r>
    </w:p>
    <w:p w14:paraId="5D5F91C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конструкторов: (1947 г.-)- Д.С. Марков (Ту-4), (-1963 г.)- А.А. Туполев, (1968 г.-)- Н.В. Кирсанов (Ту- 95), (1981 г.-)- Д.А. Антонов (Ту-95), Ю. Попов (Ту-144), В.И. Близнюк (Ту-144), (-1992 г.)- Б.Е. Леванович (Ту-16, Ту-22, Ту-22М).</w:t>
      </w:r>
    </w:p>
    <w:p w14:paraId="36685BE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 конструкторской частью (1925 г.)- А.И. Путилов.</w:t>
      </w:r>
    </w:p>
    <w:p w14:paraId="5C9A9A3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отделов: вооружения (1931-37 г.; 1943-64 г.-)- А.В. Надашкевич; КО № 15 (1936-06.1939 г.)- П.О. Сухой; технических проектов (1943-58 г.-)- С.М. Егер («125», «127»); спецконструкций (1943-68 г.-)- Н.В. Кирсанов; «К» (1957 г.-)- А.А. Туполев, (1960-е  г.)-  Г.М. Гофбауэр, (1990-е  г.)- Л.Т. Куликов; экспортного (1990- е)- А.И. Автоманов; В.И. Близнюк.</w:t>
      </w:r>
    </w:p>
    <w:p w14:paraId="321BF08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отдела: (-1939 г.)- С.Я. Горбунов. Зам. начальника испытательной базы- Э. Крупянский. Начальники бригад: № 1 (10.1931-35 г.)- В.М. Петляков; № 2 (-21.04.1934 г.)- И.И. Погосский (погиб в катастрофе МДР-4), (1934 г.-)- А.П. Голубков; № 3 (1930-32 г.-&gt; П.О. Сухой; № 4 (09.1930-32 г.)- П.О. Сухой; № 5 (1932-36 г.)- А.А. Архангельский; № 6 (1934-37 г.)- В.М. Мясищев; № 7- В.Л. Александров; № 8- Е.И. Погосский; № 9- М.Н. Петров; № 10 (-1931-37 г.)- Н.С. Некрасов (репрессирован); № 12- (1931 г.-)- А.А. Рапп, (1934-36 г.)- И.П. Шебанов; № 13 (-1936 г.)- А.И. Шульгин; № 14 (-1936 г.)- М.Н. Родионов; испытаний вооружения (1931 г.)- Б.С. Вахмистров; двигательных установок (1950 г.)- П. Г. Климков; по АНТ-42 (1930-е)- В.М. Петляков; (1924- 32 г.)- А.А. Архангельский, (-1939 г.)- В.А. Алыбин, (-1939 г.)- А.С. Воскресенский, (1943 г.)- Д.А. Горский, (- 1939 г.)-  Г.С. Еленевский, (-1939 г.)- Л.С. Каменомостский, (1948 г.)- Б.М. Кондорский («487»), (-1939 г.)- Н.П. Поленов, (-1939 г.)- Д.А. Ромейко-Гурко, (1943 г.)- С.И. Савельев, (-1939 г.)- Е.С. Фельснер, (-1939 г.)- Н.А. Фомин.</w:t>
      </w:r>
    </w:p>
    <w:p w14:paraId="74E720C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бригады: № 2 (-1934 г.)- А.П. Голубков; № 3 (07-11.1932 г.)- Н.Н. Поликарпов, (11.1932 г.-)-  Г.О. Бертош; (-1939 г.)- В.П. Балуев, (-1939 г.)- Н.С. Дубинин, (-1939 г.)- М.М. Зуев, (-1939 г.)- В.А. Иванов, (-1939 г.)- М.И. Козлов, (-1939 г.)- Е.М. Мен, (-1939 г.)- Я.Б. Нодельман, (-1939 г.)- С.Н. Строгачев, (- 1939 г.)- А.Н. Титов, (-1939 г.)- Н.И. Щербинин.</w:t>
      </w:r>
    </w:p>
    <w:p w14:paraId="61E0E21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Ведущие конструкторы: (1980-е)- В.А. Андреев (Ту-360), (1930-е-49 г.-)- А.А. Архангельский (АНТ-40, «73», «81», «82»), (-1960-69 г.-)- С.М. Егер («132», Ту-128Б), (1980-е-98 г.)- Н.В. Кирсанов, Б.Е. Леванович, (1950-е)- А.В. Надашкевич (Ту-4К), (1960-е)- И.Ф. Незваль (Ту-148), (1956 г.)-  Г.А. Озеров (Ту-95ЛАЛ), (1949-63 г.)- А.А. Туполев, (1985 г.)- Ю.А. Фазылов (Ту-260).</w:t>
      </w:r>
    </w:p>
    <w:p w14:paraId="0B4F1D0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Руководители групп: прочности и аэродинамики (1932 г.)- В.Н. Беляев.</w:t>
      </w:r>
    </w:p>
    <w:p w14:paraId="7519224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Ведущие инженеры: по испытаниям: (1935 г.)- Е.К. Стоман (АНТ-25), О. Купцов (Ту-144), (-1973 г.)- Б. Первухин (погиб на Ту-144); по прочности Ту-2 (1940-е)-  Г.А. Озеров. Летчики-испытатели: А.Д. Калина.</w:t>
      </w:r>
    </w:p>
    <w:p w14:paraId="6044F95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Создано: самолеты: АНТ-1 (21.10.1923 г.), АНТ-2 (26.05.1924 г.), пассажирский АНТ-9 (5.05.1929 г.), АНТ-10 (Р-7, 31.01.1930 г.), АНТ-20 «Максим Горький» (17.06.1934 г.), морской крейсер АНТ-22 (МК-1, 8.08.1934 г.), АНТ- 25 («РД», 22.06.1933 г.), многоцелевой АНТ-51 («Иванов», 25.08.1937 г.); разведчики: АНТ-3 (10.07.1925 г.), АНТ-7 (Р-6, 11.09.1929 г.), морской дальний АНТ-8 (МДР-2, 30.01.1931 г.); истребители: И-4 (АНТ-5, 10.08.1927 г.), И-8 «Жокей» (АНТ-13, 12.12.1930 г.), многоместный МИ-3 (АНТ-21, 23.05.1933 г.), двухместный пушечный ДИП (14.02.1935 г.), И-12 (АНТ-23, 29.08.1931 г.), И-12бис (1931, не реализован), И-14 (АНТ-31, 27.05.1931 г.), ДИ-8 (АНТ-46, 1.08.1935 г.); бомбардировщики: скоростной СБ (АНТ-40, 7.10.1934 г.), торпедоносец Т-1 (АНТ-41, 2.06.1936 г.); тяжелые: ТБ-1 (АНТ-4, 26.11.1925 г.), ТБ-3 (АНТ-6, 22.12.1930 г.), ТБ-7 (АНТ-42, 27.12.1936 г.), морской МТБ-2 (АНТ-44,19.04.1937 г.), Ту-4 (19.05.1947 г., пнв в 1947 г.), Ту-4К (пнв в 1953 г.), Ту-80 (1.12.1949 г.), Ту-85 («85», 9.01.1951 г.), Ту-95 (12.11.1952 г.), Ту-95М (22.02.1957 г., пнв 26.09.1957 г.), Ту-95К (пнв 9.09.1960 г.), целеуказатель Ту-95РЦ (пнв в 1965 г.), Ту-95М-5 (1976), Ту-95К-22 (пнв в 1987 г.), Ту-95МС (09.1979 г., пнв в 1981(3) г.), Ту-160 («К», «70», 18.12.1981 г.), высотный Ту-96 («96», 1955); дальние: ДБ-2 (АНТ-37, 16.06.1935 г.), ДБ-2Б (АНТ-37бис, 25.02.1936 г.), Ту-2Д («62», 12.07.1944), высотный «65» (1.07.1946 г.), «67» (12.02.1946 г.), Ту- 10 («68», Ту-4, 19.5.1945 г.), Ту-8 («69», 24.05.1947 г.), Ту-16 («88», 27.04.1952 г., пнв 28.05.1954 г.), Ту-16А (пнв в 1955 г.), Ту-16Б, -В (1955-57), Ту-16КС (пнв в 1955 г.), Ту-16К-10 («НК-10», пнв 12.08.1961 г.), Ту-16К-10-26, Ту- 16КСР-2 (Ту-16К-16, «НК-3», пнв 30.12.1961 г.), Ту-16КСР-2-11 («НК-2», пнв 13.04.1962 г.), Ту-16К-26 («НК-4», пнв 12.11.1969 г.), Ту-16К-26П («НК-26П», пнв 4.09.1973 г.), Ту-16К-10-26 («НК-6», пнв 12.11.1969 г.), разведчики Ту-16Р, -РМ-1, -РМ-2 (1960-е), целеуказатель Ту-16РЦ (пнв в 1965 г.), «105» (21.07.1958 г.), Ту-22 («105А», «Ю», 7.09.1959 г.), Ту-22Б («Ю»), Ту-22К (пнв в 1967 г.), Ту-22М0 («АМ», изд. 45-00, 30.08.1969 г.), Ту-22М1 (изд. 45-01, 28.07.1971 г.), Ту-22М2 (изд. 45-02, 7.05.1973 г., пнв в 08.1976 г.), Ту-22МЗ (изд. 45-03, 20.06.1977 г., пнв в 03.1989 г.), противолодочные Ту-142 (18.06.1968 г.), Ту-142МЗ (пнв в 1993 г.); фронтовые: скоростной дневной С ДБ («63», АНТ-63, 21.05.1944 г.), перехватчик «104» (1944), Ту-2М (18.05.1945 г.), фоторазведчик Ту-6 (Ту-2Ф, пнв 22.08.1947 г.), Ту-14 («73», 20.12.1947 г.), Ту-12 («77», 27.07.1947 г.), разведчик «78» («73Р», 1948), Ту-14 («81», 13.10.1949 г.), «82» (Ту-22, Ту-82, 24.03.1949 г.), Ту-14Р («89»), Ту-98 («98», 1956), перехватчик Ту-28 (пнв 30.04.1965 г.), дальний перехватчик Ту-128 («128», 18.03.1961); торпедоносцы: Ту-2Т («К», 1944), «62Т» (2.08.1946 г.), Ту-14Т («81Т», 13.10.1949 г., пнв в 07.1951 г.), Ту-91 «Бычок» («194», 2.09.1954 г.); ДРЛО Ту-126 (23.01.1962 г., пнв 30.04.1965 г.); военно-транспортные: Ту-75 («75», 22.01.1950г,), Ту-107 («107»); пассажирские: АНТ-14 «Правда» (14.08.1931 г.), ПС-35 (АНТ-35, 20.08.1936 г.), Ту-70 («70», 27.11.1946 г.), Ту-104 (17.07.1955 г.), Ту-110 (11.03.1957 г.), Ту-114 (15.11.1957 г.), Ту-116 (Ту-114Д, 1958), Ту-124 (24.03.1960 г.), Ту-134 (Ту-124А, 29.07.1963 г.), сверхзвуковой Ту-144 (31.12.1968 г.), Ту-144Д (30.11.1974 г.), Ту-154 (3.10.1968 г.), Ту-154М (Ту-164, 11.06.1980 г.), Ту-204 (2.01.1989 г.), Ту-214 (Ту-204-200, 21.03.1996 г.), Ту-334 (8.02.1999 г.); экспериментальные: с ЯСУ Ту-95ЛАЛ (1961), на криогенном топливе Ту-155 (15.04.1988 г.); проекты самолетов: бомбардировщиков: тяжелых: «64» (1944), «471», «473», «474» (1947), стратегических: «485», «487», «489» (1948), высотного «99», летающей лодки «504» (1950), «108» (1956), «109» (1950-е); дальних: пикирующего «57» (ПБ, 1939), «61» (Ту-2Д, АНТ-61, 1941), среднего «72» (1946), «76» (Ту-32, 1947), «86» и «87» (1951), «90» (1954), «97» (1950-е), «103» (1950-е), «106» (1050-е-60-е), с ЯСУ «120» (1960-е), «124» (1957), «125» (1960-е), «132» (1960), «135» (1960-е), «137» (1960-е), «145» («ЮМ», 1967); фронтовых: Ту-6 (Ту-2 с М-93, 1946), «71» (1946), «76» (Ту-32, 1948), «81» (Ту-18), «83» (1949), «112» (1950-е), «122» (1950-е), «127» (1958), Ту-128Б (1969), «129»; «98А» (Ту-24, 1950-е), «100» (1954); многоцелевого Ту-148 (1960-е); гиперзвуковых ударных «230» (Ту-260, 1985), «360» (Ту-360, 1980- е), воздушно-космического «2000» (Ту-2000, 1990-е); разведчиков: «74» и «79» (1949), «84»; торпедоносцев: палубного «509» (1950), «93» (1952); военно-транспортного Ту-115, «117» (1950-е); экспериментального с ЯСУ «119» (Ту-119,1960-е); пассажирского «118» (1950-е), административного Ту-334 на базе Ту-22МЗ (1990-е);</w:t>
      </w:r>
      <w:r w:rsidRPr="00D03F3E">
        <w:rPr>
          <w:rFonts w:ascii="Times New Roman" w:hAnsi="Times New Roman"/>
          <w:color w:val="000000" w:themeColor="text1"/>
          <w:sz w:val="16"/>
          <w:szCs w:val="16"/>
          <w:vertAlign w:val="superscript"/>
        </w:rPr>
        <w:t>31</w:t>
      </w:r>
    </w:p>
    <w:p w14:paraId="511EB96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самолеты-снаряды: Ту-121 («С», 25.08.1959), Ту-130 («ДП»), Ту-140 («140»); ЗУР Ту-131 («3», 1959, не реализован); БПЛА: разведчики: Ту-123 (ДБР-1 «Ястреб-1»), Ту-133 («СД»), «136» (1960), Ту-139 (ДБР-2 «Ястреб-2», 1964), Ту-141 (123П», ВР-2 «Стриж»), тактический Ту-143 (ВР-3 «Рейс», пнв в 1976 г.), «243» («Рейс- Д»), «Орел», Ту-300 «Коршун» (1983), «Коршун-У»; ударный с ЯСУ Ту-123 (не реализован); мишени: «123М» (Ту-123М, не реализован), «143МВ» (ВР-ЗМВ, 1983), М-243; воздушно-космический Ту-136 «Звезда» (не реализован);</w:t>
      </w:r>
    </w:p>
    <w:p w14:paraId="22BB77B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катапультные кресла: для Ту-16, КТ-1 для Ту-128, КТ-1М для Ту-22М (11982).</w:t>
      </w:r>
    </w:p>
    <w:p w14:paraId="0CED66E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A916C3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1943 г. по приказу № 297с в связи с расширением работ по производству неметаллических агрегатов (литье из растительных волокон) на существующей базе ОКБ в составе 14 чел. создан самостоятельный завод № 225 НКАП.</w:t>
      </w:r>
    </w:p>
    <w:p w14:paraId="07F1014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(1942-43 г.)- П.В. Гулянский (11982).</w:t>
      </w:r>
    </w:p>
    <w:p w14:paraId="43C9BF7A"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DC3933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1943 г. в 6ГУ на базе ОКБ-156 НКАП гл. конструктора П.В. Гулянского по приказу № 297с был организован Завод № 225 НКАП для расширения работ по производству неметаллических агрегатов (литье из растительного волокна). Заводу поручена организация опытного и мелкосерийного производства ПТБ, ВАП, десантного оборудования.</w:t>
      </w:r>
    </w:p>
    <w:p w14:paraId="42F4AF4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годы войны созданы и приняты на вооружение несколько типов ПТБ (в т.ч. ПЛБТ-350 для Пе-2), противопехотных мин, десантного оборудования. Совместно с ВЭИ велись работы по кремний-органическим соединениям для использования в качестве конструкционных и пропиточных материалов.</w:t>
      </w:r>
    </w:p>
    <w:p w14:paraId="3FF4228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186с от 5.04.1945 г. планировалось опытный завод ликвидировать, а коллектив с заделом работ передать из 6ГУ в 7ГУ в ведение ВИАМ. Завод был передан ВИАМ, но некоторое время продолжал действовать. По приказу № 309с от 20.05.1946 г. в помещениях завода № 225 сформирована специальная лаборатория кремний- органической химии в составе ВИАМ для упорядочения работ по неметаллическим авиационным материалам.</w:t>
      </w:r>
    </w:p>
    <w:p w14:paraId="13DCC38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Гулянский от своих обязанностей освобожден, продолжил работу в ВИАМ, а затем возглавлял отдел пластмасс на ММЗ «Авангард».</w:t>
      </w:r>
    </w:p>
    <w:p w14:paraId="1745AD8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гл. конструктор (05.1943-05.1946 г.)- П.В. Гулянский (11982).</w:t>
      </w:r>
    </w:p>
    <w:p w14:paraId="671F7A5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DA6764A"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3614BE50" w14:textId="77777777" w:rsidR="00531570" w:rsidRPr="00D03F3E" w:rsidRDefault="00531570" w:rsidP="00D03F3E">
      <w:pPr>
        <w:pStyle w:val="Iauiue"/>
        <w:jc w:val="both"/>
        <w:rPr>
          <w:iCs/>
          <w:color w:val="000000" w:themeColor="text1"/>
          <w:sz w:val="16"/>
          <w:szCs w:val="16"/>
        </w:rPr>
      </w:pPr>
    </w:p>
    <w:p w14:paraId="54D5DD3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 мая 1943 на вооружение приняли 57 мм противотанковую пушку обр. 1943 (3398,183).</w:t>
      </w:r>
    </w:p>
    <w:p w14:paraId="2B93DB13" w14:textId="77777777" w:rsidR="00531570" w:rsidRPr="00D03F3E" w:rsidRDefault="00531570" w:rsidP="00D03F3E">
      <w:pPr>
        <w:pStyle w:val="Iauiue"/>
        <w:jc w:val="both"/>
        <w:rPr>
          <w:color w:val="000000" w:themeColor="text1"/>
          <w:sz w:val="16"/>
          <w:szCs w:val="16"/>
        </w:rPr>
      </w:pPr>
    </w:p>
    <w:p w14:paraId="624830C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 мая 1943 была испытана новая башня для Т-34 (7637,26).</w:t>
      </w:r>
    </w:p>
    <w:p w14:paraId="068544ED" w14:textId="77777777" w:rsidR="00531570" w:rsidRPr="00D03F3E" w:rsidRDefault="00531570" w:rsidP="00D03F3E">
      <w:pPr>
        <w:pStyle w:val="Iauiue"/>
        <w:jc w:val="both"/>
        <w:rPr>
          <w:color w:val="000000" w:themeColor="text1"/>
          <w:sz w:val="16"/>
          <w:szCs w:val="16"/>
        </w:rPr>
      </w:pPr>
    </w:p>
    <w:p w14:paraId="41B1F5C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15 мая 1943 г. первый танк Т-34 с новой башней закончил первый этап испытаний Башня оказалась удачной. Почти все меха</w:t>
      </w:r>
      <w:r w:rsidRPr="00D03F3E">
        <w:rPr>
          <w:rFonts w:ascii="Times New Roman" w:hAnsi="Times New Roman"/>
          <w:color w:val="000000" w:themeColor="text1"/>
          <w:sz w:val="16"/>
          <w:szCs w:val="16"/>
        </w:rPr>
        <w:softHyphen/>
        <w:t>низмы в ней работали безупречно, лишь одностворчатый люк командира, требовавший уравновешивания, было ре</w:t>
      </w:r>
      <w:r w:rsidRPr="00D03F3E">
        <w:rPr>
          <w:rFonts w:ascii="Times New Roman" w:hAnsi="Times New Roman"/>
          <w:color w:val="000000" w:themeColor="text1"/>
          <w:sz w:val="16"/>
          <w:szCs w:val="16"/>
        </w:rPr>
        <w:softHyphen/>
        <w:t>комендовано заменить двухстворчатым (по типу люка за</w:t>
      </w:r>
      <w:r w:rsidRPr="00D03F3E">
        <w:rPr>
          <w:rFonts w:ascii="Times New Roman" w:hAnsi="Times New Roman"/>
          <w:color w:val="000000" w:themeColor="text1"/>
          <w:sz w:val="16"/>
          <w:szCs w:val="16"/>
        </w:rPr>
        <w:softHyphen/>
        <w:t>вода № 112 танка Т- 34). Новый корпус Т-43 был дополнен полноценным лю</w:t>
      </w:r>
      <w:r w:rsidRPr="00D03F3E">
        <w:rPr>
          <w:rFonts w:ascii="Times New Roman" w:hAnsi="Times New Roman"/>
          <w:color w:val="000000" w:themeColor="text1"/>
          <w:sz w:val="16"/>
          <w:szCs w:val="16"/>
        </w:rPr>
        <w:softHyphen/>
        <w:t>ком механика-водителя вместо люка-пробки, оснащен усиленными торсионами. В июне 1943 г. танк, прежде но</w:t>
      </w:r>
      <w:r w:rsidRPr="00D03F3E">
        <w:rPr>
          <w:rFonts w:ascii="Times New Roman" w:hAnsi="Times New Roman"/>
          <w:color w:val="000000" w:themeColor="text1"/>
          <w:sz w:val="16"/>
          <w:szCs w:val="16"/>
        </w:rPr>
        <w:softHyphen/>
        <w:t>сивший в наркомате индекс Т-44, был переименован в Т-43-П, или Т-43 эталонный (11135).</w:t>
      </w:r>
    </w:p>
    <w:p w14:paraId="632E267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C874B6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с 15 мая по 10 июня 1943 г. заводом № 9 НКВ был спроектирован и изготовлея в двух вариантах опытный образец 85 танковой пушки Д-5Т-85, приспособленной для установки в танк (пушка Д-5Т-85) и в самоходную артиллерийскую установку на базе танка Т-34 (Д-5С-85) (10703).</w:t>
      </w:r>
    </w:p>
    <w:p w14:paraId="6D65490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61B030E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15 мая по 10 июня 1943 г. завод № 9 в период доработал конструкцию пушки У-12 и представил ее на ис</w:t>
      </w:r>
      <w:r w:rsidRPr="00D03F3E">
        <w:rPr>
          <w:rFonts w:ascii="Times New Roman" w:hAnsi="Times New Roman"/>
          <w:color w:val="000000" w:themeColor="text1"/>
          <w:sz w:val="16"/>
          <w:szCs w:val="16"/>
        </w:rPr>
        <w:softHyphen/>
        <w:t>пытания под индексом Д-5Т-85. Совместные испытания опытных тан</w:t>
      </w:r>
      <w:r w:rsidRPr="00D03F3E">
        <w:rPr>
          <w:rFonts w:ascii="Times New Roman" w:hAnsi="Times New Roman"/>
          <w:color w:val="000000" w:themeColor="text1"/>
          <w:sz w:val="16"/>
          <w:szCs w:val="16"/>
        </w:rPr>
        <w:softHyphen/>
        <w:t>ков КВ-1 С и ИС-1 с пушками С-31 и Д-5Т-85 показали преимущество орудия завода № 9, которое и было принято на вооружение. С августа 1943 г. 85-мм танковая пушка Д-5Т-85 стала устанавливаться на тяже</w:t>
      </w:r>
      <w:r w:rsidRPr="00D03F3E">
        <w:rPr>
          <w:rFonts w:ascii="Times New Roman" w:hAnsi="Times New Roman"/>
          <w:color w:val="000000" w:themeColor="text1"/>
          <w:sz w:val="16"/>
          <w:szCs w:val="16"/>
        </w:rPr>
        <w:softHyphen/>
        <w:t>лых танках КВ-85, а сентября того же года - на тяжелых танках ИС-1. В сентябре - ноябре 1943 г. на заводе № 183 эта пушка была установ</w:t>
      </w:r>
      <w:r w:rsidRPr="00D03F3E">
        <w:rPr>
          <w:rFonts w:ascii="Times New Roman" w:hAnsi="Times New Roman"/>
          <w:color w:val="000000" w:themeColor="text1"/>
          <w:sz w:val="16"/>
          <w:szCs w:val="16"/>
        </w:rPr>
        <w:softHyphen/>
        <w:t>лена в танк Т-34 с увеличенным до 1600 мм диаметром опоры башни и успешно прошла полигонные испытания. 15 декабря 1943 г. она была принята на вооружение танка Т-34-85 обр. 1943 г. (10703).</w:t>
      </w:r>
    </w:p>
    <w:p w14:paraId="3F508B7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0026E7B"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15 мая по 10 июня 1943 года КБ артиллерийского завода № 9 спроектировало и изготовило два опытных образца 85-мм танковой пушки для вооружения танков (Д5-Т-85) и самоходных установок (Д5-С-85) (12217).</w:t>
      </w:r>
    </w:p>
    <w:p w14:paraId="485524E6" w14:textId="77777777" w:rsidR="005119DD" w:rsidRPr="00D03F3E" w:rsidRDefault="005119DD" w:rsidP="00D03F3E">
      <w:pPr>
        <w:spacing w:after="0" w:line="240" w:lineRule="auto"/>
        <w:jc w:val="both"/>
        <w:rPr>
          <w:rFonts w:ascii="Times New Roman" w:hAnsi="Times New Roman"/>
          <w:color w:val="000000" w:themeColor="text1"/>
          <w:sz w:val="16"/>
          <w:szCs w:val="16"/>
        </w:rPr>
      </w:pPr>
    </w:p>
    <w:p w14:paraId="0575589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1943 г. вышел приказ № 85 НКСМ об испытаниях американ</w:t>
      </w:r>
      <w:r w:rsidRPr="00D03F3E">
        <w:rPr>
          <w:rFonts w:ascii="Times New Roman" w:hAnsi="Times New Roman"/>
          <w:color w:val="000000" w:themeColor="text1"/>
          <w:sz w:val="16"/>
          <w:szCs w:val="16"/>
        </w:rPr>
        <w:softHyphen/>
        <w:t>ских мотоциклов фирм «Индиан» и «Харлей-Дэвидсон». В состав государственной комис</w:t>
      </w:r>
      <w:r w:rsidRPr="00D03F3E">
        <w:rPr>
          <w:rFonts w:ascii="Times New Roman" w:hAnsi="Times New Roman"/>
          <w:color w:val="000000" w:themeColor="text1"/>
          <w:sz w:val="16"/>
          <w:szCs w:val="16"/>
        </w:rPr>
        <w:softHyphen/>
        <w:t>сии по этим испытаниям включили главных конструкторов ММЗ - Михайлова и ВКБ - В.В. Рогожина [5.101]. После прове</w:t>
      </w:r>
      <w:r w:rsidRPr="00D03F3E">
        <w:rPr>
          <w:rFonts w:ascii="Times New Roman" w:hAnsi="Times New Roman"/>
          <w:color w:val="000000" w:themeColor="text1"/>
          <w:sz w:val="16"/>
          <w:szCs w:val="16"/>
        </w:rPr>
        <w:softHyphen/>
        <w:t>денных испытаний, в соответствии с приказом № 94 НКСМ от 9 июля 1943 г. ввели улучшения конструкции мотоцикла М-72 и мотоциклетной коляски к нему. В ней усилили ось, кузов в угло вых соединениях, переднюю шпильку и кронштейн крепления к раме мотоцикла, толщину спиц колеса увеличили до 4 мм и пр. [5.102]. За период 1941-1945 гг. на ГАЗ изготовили более 35 тыс. колясок: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1559"/>
        <w:gridCol w:w="1559"/>
      </w:tblGrid>
      <w:tr w:rsidR="00860B4B" w:rsidRPr="00D03F3E" w14:paraId="3AA7F40F" w14:textId="77777777">
        <w:tc>
          <w:tcPr>
            <w:tcW w:w="1384" w:type="dxa"/>
            <w:tcBorders>
              <w:top w:val="single" w:sz="12" w:space="0" w:color="auto"/>
            </w:tcBorders>
            <w:shd w:val="clear" w:color="auto" w:fill="FFFFFF"/>
          </w:tcPr>
          <w:p w14:paraId="01D41B7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Год выпуска</w:t>
            </w:r>
          </w:p>
        </w:tc>
        <w:tc>
          <w:tcPr>
            <w:tcW w:w="1559" w:type="dxa"/>
            <w:tcBorders>
              <w:top w:val="single" w:sz="12" w:space="0" w:color="auto"/>
            </w:tcBorders>
            <w:shd w:val="clear" w:color="auto" w:fill="FFFFFF"/>
          </w:tcPr>
          <w:p w14:paraId="412EFED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Объем</w:t>
            </w:r>
          </w:p>
        </w:tc>
        <w:tc>
          <w:tcPr>
            <w:tcW w:w="1559" w:type="dxa"/>
            <w:tcBorders>
              <w:top w:val="single" w:sz="12" w:space="0" w:color="auto"/>
            </w:tcBorders>
            <w:shd w:val="clear" w:color="auto" w:fill="FFFFFF"/>
          </w:tcPr>
          <w:p w14:paraId="42F48BE7"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r>
      <w:tr w:rsidR="00860B4B" w:rsidRPr="00D03F3E" w14:paraId="125E87CD" w14:textId="77777777">
        <w:tc>
          <w:tcPr>
            <w:tcW w:w="1384" w:type="dxa"/>
            <w:shd w:val="clear" w:color="auto" w:fill="FFFFFF"/>
          </w:tcPr>
          <w:p w14:paraId="584AC6C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1941</w:t>
            </w:r>
          </w:p>
        </w:tc>
        <w:tc>
          <w:tcPr>
            <w:tcW w:w="1559" w:type="dxa"/>
            <w:shd w:val="clear" w:color="auto" w:fill="FFFFFF"/>
          </w:tcPr>
          <w:p w14:paraId="47B9A12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5346</w:t>
            </w:r>
          </w:p>
        </w:tc>
        <w:tc>
          <w:tcPr>
            <w:tcW w:w="1559" w:type="dxa"/>
            <w:shd w:val="clear" w:color="auto" w:fill="FFFFFF"/>
          </w:tcPr>
          <w:p w14:paraId="3767561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[5.21]</w:t>
            </w:r>
          </w:p>
        </w:tc>
      </w:tr>
      <w:tr w:rsidR="00860B4B" w:rsidRPr="00D03F3E" w14:paraId="644253B5" w14:textId="77777777">
        <w:tc>
          <w:tcPr>
            <w:tcW w:w="1384" w:type="dxa"/>
            <w:shd w:val="clear" w:color="auto" w:fill="FFFFFF"/>
          </w:tcPr>
          <w:p w14:paraId="4F8C75F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1942</w:t>
            </w:r>
          </w:p>
        </w:tc>
        <w:tc>
          <w:tcPr>
            <w:tcW w:w="1559" w:type="dxa"/>
            <w:shd w:val="clear" w:color="auto" w:fill="FFFFFF"/>
          </w:tcPr>
          <w:p w14:paraId="5A96BBA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1997</w:t>
            </w:r>
          </w:p>
        </w:tc>
        <w:tc>
          <w:tcPr>
            <w:tcW w:w="1559" w:type="dxa"/>
            <w:shd w:val="clear" w:color="auto" w:fill="FFFFFF"/>
          </w:tcPr>
          <w:p w14:paraId="63A8F81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[5.103]</w:t>
            </w:r>
          </w:p>
        </w:tc>
      </w:tr>
      <w:tr w:rsidR="00860B4B" w:rsidRPr="00D03F3E" w14:paraId="4DDF2457" w14:textId="77777777">
        <w:tc>
          <w:tcPr>
            <w:tcW w:w="1384" w:type="dxa"/>
            <w:shd w:val="clear" w:color="auto" w:fill="FFFFFF"/>
          </w:tcPr>
          <w:p w14:paraId="5F92404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1943</w:t>
            </w:r>
          </w:p>
        </w:tc>
        <w:tc>
          <w:tcPr>
            <w:tcW w:w="1559" w:type="dxa"/>
            <w:shd w:val="clear" w:color="auto" w:fill="FFFFFF"/>
          </w:tcPr>
          <w:p w14:paraId="08B9223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8062</w:t>
            </w:r>
          </w:p>
        </w:tc>
        <w:tc>
          <w:tcPr>
            <w:tcW w:w="1559" w:type="dxa"/>
            <w:shd w:val="clear" w:color="auto" w:fill="FFFFFF"/>
          </w:tcPr>
          <w:p w14:paraId="416153F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[5.103,5.104]</w:t>
            </w:r>
          </w:p>
        </w:tc>
      </w:tr>
      <w:tr w:rsidR="00860B4B" w:rsidRPr="00D03F3E" w14:paraId="73E27C58" w14:textId="77777777">
        <w:tc>
          <w:tcPr>
            <w:tcW w:w="1384" w:type="dxa"/>
            <w:shd w:val="clear" w:color="auto" w:fill="FFFFFF"/>
          </w:tcPr>
          <w:p w14:paraId="0481EFE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1944</w:t>
            </w:r>
          </w:p>
        </w:tc>
        <w:tc>
          <w:tcPr>
            <w:tcW w:w="1559" w:type="dxa"/>
            <w:shd w:val="clear" w:color="auto" w:fill="FFFFFF"/>
          </w:tcPr>
          <w:p w14:paraId="07DC4F2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10736</w:t>
            </w:r>
          </w:p>
        </w:tc>
        <w:tc>
          <w:tcPr>
            <w:tcW w:w="1559" w:type="dxa"/>
            <w:shd w:val="clear" w:color="auto" w:fill="FFFFFF"/>
          </w:tcPr>
          <w:p w14:paraId="29D5386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[5.104,5.105]</w:t>
            </w:r>
          </w:p>
        </w:tc>
      </w:tr>
      <w:tr w:rsidR="00860B4B" w:rsidRPr="00D03F3E" w14:paraId="0E53424F" w14:textId="77777777">
        <w:tc>
          <w:tcPr>
            <w:tcW w:w="1384" w:type="dxa"/>
            <w:shd w:val="clear" w:color="auto" w:fill="FFFFFF"/>
          </w:tcPr>
          <w:p w14:paraId="52C9388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1945</w:t>
            </w:r>
          </w:p>
        </w:tc>
        <w:tc>
          <w:tcPr>
            <w:tcW w:w="1559" w:type="dxa"/>
            <w:shd w:val="clear" w:color="auto" w:fill="FFFFFF"/>
          </w:tcPr>
          <w:p w14:paraId="0C895C2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9317</w:t>
            </w:r>
          </w:p>
        </w:tc>
        <w:tc>
          <w:tcPr>
            <w:tcW w:w="1559" w:type="dxa"/>
            <w:shd w:val="clear" w:color="auto" w:fill="FFFFFF"/>
          </w:tcPr>
          <w:p w14:paraId="0CA0C28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[5.105]</w:t>
            </w:r>
          </w:p>
        </w:tc>
      </w:tr>
      <w:tr w:rsidR="00860B4B" w:rsidRPr="00D03F3E" w14:paraId="782D1817" w14:textId="77777777">
        <w:tc>
          <w:tcPr>
            <w:tcW w:w="1384" w:type="dxa"/>
            <w:tcBorders>
              <w:bottom w:val="single" w:sz="12" w:space="0" w:color="auto"/>
            </w:tcBorders>
            <w:shd w:val="clear" w:color="auto" w:fill="FFFFFF"/>
          </w:tcPr>
          <w:p w14:paraId="2B2389F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tc>
        <w:tc>
          <w:tcPr>
            <w:tcW w:w="1559" w:type="dxa"/>
            <w:tcBorders>
              <w:bottom w:val="single" w:sz="12" w:space="0" w:color="auto"/>
            </w:tcBorders>
            <w:shd w:val="clear" w:color="auto" w:fill="FFFFFF"/>
          </w:tcPr>
          <w:p w14:paraId="0D6FDA1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35 458</w:t>
            </w:r>
          </w:p>
        </w:tc>
        <w:tc>
          <w:tcPr>
            <w:tcW w:w="1559" w:type="dxa"/>
            <w:tcBorders>
              <w:bottom w:val="single" w:sz="12" w:space="0" w:color="auto"/>
            </w:tcBorders>
            <w:shd w:val="clear" w:color="auto" w:fill="FFFFFF"/>
          </w:tcPr>
          <w:p w14:paraId="170D66CA"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r>
    </w:tbl>
    <w:p w14:paraId="750219D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Мотоциклетных колясок на ГАЗ сделали меньше, чем тре</w:t>
      </w:r>
      <w:r w:rsidRPr="00D03F3E">
        <w:rPr>
          <w:rFonts w:ascii="Times New Roman" w:hAnsi="Times New Roman"/>
          <w:color w:val="000000" w:themeColor="text1"/>
          <w:sz w:val="16"/>
          <w:szCs w:val="16"/>
        </w:rPr>
        <w:softHyphen/>
        <w:t>бовалось, поэтому часть мотоциклов, поставляемых в Красную Армию, передавали без колясок. Дефицит мотоколясок ска</w:t>
      </w:r>
      <w:r w:rsidRPr="00D03F3E">
        <w:rPr>
          <w:rFonts w:ascii="Times New Roman" w:hAnsi="Times New Roman"/>
          <w:color w:val="000000" w:themeColor="text1"/>
          <w:sz w:val="16"/>
          <w:szCs w:val="16"/>
        </w:rPr>
        <w:softHyphen/>
        <w:t>зался на количестве собранных импортных мотоциклов. На БТРЗ № 20 собрали столько мотоциклов фирмы «Харлей-Дэ-видсон», сколько мотоколясок удалось получить. Мотоколяски, изготавливаемые на ГАЗе и на ММЗ устанавливали на постав</w:t>
      </w:r>
      <w:r w:rsidRPr="00D03F3E">
        <w:rPr>
          <w:rFonts w:ascii="Times New Roman" w:hAnsi="Times New Roman"/>
          <w:color w:val="000000" w:themeColor="text1"/>
          <w:sz w:val="16"/>
          <w:szCs w:val="16"/>
        </w:rPr>
        <w:softHyphen/>
        <w:t>ляемые в Красную Армию тяжелые мотоциклы: отечествен</w:t>
      </w:r>
      <w:r w:rsidRPr="00D03F3E">
        <w:rPr>
          <w:rFonts w:ascii="Times New Roman" w:hAnsi="Times New Roman"/>
          <w:color w:val="000000" w:themeColor="text1"/>
          <w:sz w:val="16"/>
          <w:szCs w:val="16"/>
        </w:rPr>
        <w:softHyphen/>
        <w:t>ные - М-72, импортные - «Индиан» 741-Б и «Харлей-Дэвидсон», трофейные - БМВ Р-71 и др. Для каждого типа мотоцикла по</w:t>
      </w:r>
      <w:r w:rsidRPr="00D03F3E">
        <w:rPr>
          <w:rFonts w:ascii="Times New Roman" w:hAnsi="Times New Roman"/>
          <w:color w:val="000000" w:themeColor="text1"/>
          <w:sz w:val="16"/>
          <w:szCs w:val="16"/>
        </w:rPr>
        <w:softHyphen/>
        <w:t>ставляли особое сцепное устройство, которое изготавливали на ММЗ по чертежам, разработанным конструкторами ВКБ г. Серпухов.</w:t>
      </w:r>
    </w:p>
    <w:p w14:paraId="6CA67E7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период 1930 - апрель 1945 г. в нашей стране произведено 114 734 мотоцикла, в числе которых отечественные и трофей</w:t>
      </w:r>
      <w:r w:rsidRPr="00D03F3E">
        <w:rPr>
          <w:rFonts w:ascii="Times New Roman" w:hAnsi="Times New Roman"/>
          <w:color w:val="000000" w:themeColor="text1"/>
          <w:sz w:val="16"/>
          <w:szCs w:val="16"/>
        </w:rPr>
        <w:softHyphen/>
        <w:t>ные мотоциклы (табл. 29). Из которых 75 837 (66,1%) были но</w:t>
      </w:r>
      <w:r w:rsidRPr="00D03F3E">
        <w:rPr>
          <w:rFonts w:ascii="Times New Roman" w:hAnsi="Times New Roman"/>
          <w:color w:val="000000" w:themeColor="text1"/>
          <w:sz w:val="16"/>
          <w:szCs w:val="16"/>
        </w:rPr>
        <w:softHyphen/>
        <w:t>выми отечественными мотоциклами, ориентировочно 10 000 (8,7%) - восстановленными из подобранных отечественных на полях сражений, 6372 (5,6%) - восстановленными трофейными, 22 525 (19,6%) - собранными из комплектов, полученным по Ленд-лизу (11429).</w:t>
      </w:r>
    </w:p>
    <w:p w14:paraId="4A4E4C9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8DDCB1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1943 вышло Распоряжение ГКО № 3372. О поставках тресту "Сталинскпромстрой" НКЧМ цемента с сибирских заводов.РГАНИР, Фонд ГКО, д. 117, лл. 137 (11012).</w:t>
      </w:r>
    </w:p>
    <w:p w14:paraId="2FC644E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44ED15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1943 вышло Распоряжение ГКО № 3373. Об изготовлении серийной партии 122 мм кумулятивных и 152 мм бронебойно-трассирующих снарядов.РГАНИР, Фонд ГКО, д. 117, лл. 138-139 (11012).</w:t>
      </w:r>
    </w:p>
    <w:p w14:paraId="3EC2255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91F448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1943 вышло Постановление ГКО № 3374 О восстановлении огнеупорных предприятий Наркомчермета в Воронежской области.РГАНИР, Фонд ГКО, д. 117, лл. 140-147, 148-149 (11012).</w:t>
      </w:r>
    </w:p>
    <w:p w14:paraId="7F960680"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984539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1943 вышло Постановление ГКО № 3375 О мерах по обеспечению электроэнергией завода № 3 НКВ и других предприятий Ульяновска.РГАНИР, Фонд ГКО, д. 117, лл. 150-152 (11012).</w:t>
      </w:r>
    </w:p>
    <w:p w14:paraId="248686E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7F2A36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1943 вышло Постановление ГКО № 3376 О восстановлении ордена Ленина металлургического завода "Красный Октябрь" Наркомчермета в г. Сталинграде.РГАНИР, Фонд ГКО, д. 117, лл. 153-163, 164-172 (11012).</w:t>
      </w:r>
    </w:p>
    <w:p w14:paraId="1273DC46"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1D616D7"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15 мая 1943 вышло Постановление ГКО № 3377 О дополнительных мероприятиях по строительству гидроэлектростанций в Узбекистане. (7108, 1-4).</w:t>
      </w:r>
    </w:p>
    <w:p w14:paraId="0D36EC6F" w14:textId="77777777" w:rsidR="00531570" w:rsidRPr="00D03F3E" w:rsidRDefault="00531570" w:rsidP="00D03F3E">
      <w:pPr>
        <w:pStyle w:val="Iauiue"/>
        <w:tabs>
          <w:tab w:val="left" w:pos="11199"/>
        </w:tabs>
        <w:jc w:val="both"/>
        <w:rPr>
          <w:color w:val="000000" w:themeColor="text1"/>
          <w:sz w:val="16"/>
          <w:szCs w:val="16"/>
        </w:rPr>
      </w:pPr>
    </w:p>
    <w:p w14:paraId="0F1905E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1943 вышло Распоряжение ГКО № 3378. О мерах по обеспечению поставок средств связи и радионавигации АДР. ГАНИР, Фонд ГКО, д. РГАНИР, Фонд ГКО, д. 118, лл. 5-6, 7-8 (11012).</w:t>
      </w:r>
    </w:p>
    <w:p w14:paraId="4E03C2B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151378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1943 вышло Постановление ГКО № 3379 Об обеспечении лесоматериалами промышленных, коммунальных предприятий и строек в Узбекской ССР.РГАНИР, Фонд ГКО, д. 118, лл. 9-12 (11012).</w:t>
      </w:r>
    </w:p>
    <w:p w14:paraId="23CC778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6118FEA"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15 мая 1943 вышло Постановление ГКО № 3380 О мероприятиях по поставке дров железным дорогам во II квартале 1943 г. (7108, 13-18,19-24).</w:t>
      </w:r>
    </w:p>
    <w:p w14:paraId="1ACAF99C" w14:textId="77777777" w:rsidR="00531570" w:rsidRPr="00D03F3E" w:rsidRDefault="00531570" w:rsidP="00D03F3E">
      <w:pPr>
        <w:pStyle w:val="Iauiue"/>
        <w:tabs>
          <w:tab w:val="left" w:pos="11199"/>
        </w:tabs>
        <w:jc w:val="both"/>
        <w:rPr>
          <w:color w:val="000000" w:themeColor="text1"/>
          <w:sz w:val="16"/>
          <w:szCs w:val="16"/>
        </w:rPr>
      </w:pPr>
    </w:p>
    <w:p w14:paraId="77D69F9F"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15 мая 1943 вышло Постановление ГКО № 3381 Об организации производства гусеничных тягачей ЯАЗ-НАТИ на Ярославском автозаводе Наркомсредмаша. (7108, 25-34,35-44).</w:t>
      </w:r>
    </w:p>
    <w:p w14:paraId="7FB6A1AD" w14:textId="77777777" w:rsidR="00531570" w:rsidRPr="00D03F3E" w:rsidRDefault="00531570" w:rsidP="00D03F3E">
      <w:pPr>
        <w:pStyle w:val="Iauiue"/>
        <w:tabs>
          <w:tab w:val="left" w:pos="11199"/>
        </w:tabs>
        <w:jc w:val="both"/>
        <w:rPr>
          <w:color w:val="000000" w:themeColor="text1"/>
          <w:sz w:val="16"/>
          <w:szCs w:val="16"/>
        </w:rPr>
      </w:pPr>
    </w:p>
    <w:p w14:paraId="1C65611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1943 вышло Постановление ГКО № 3382 О перемещении ближе к фронту из мобрезерва НКО высокооктанового бензина и авиамасел для авиации и танков и о перевозке ГСМ по заявке УСГ КА.РГАНИР, Фонд ГКО, д. 118, лл. 45, 46-54 (11012).</w:t>
      </w:r>
    </w:p>
    <w:p w14:paraId="784955F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074A71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1943 вышло Распоряжение ГКО № 3383. О поставке ГБТУ КА материалов для ремонта танков.РГАНИР, Фонд ГКО, д. 118, лл. 55, 56-58 (11012).</w:t>
      </w:r>
    </w:p>
    <w:p w14:paraId="063A479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4D839F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1943 Балтийцы провели аварийный ремонт валопровода на эсминце "Стойкий" (закончен 25 мая). Ждановцы передали флоту после ремонта СКР "Буря" (10671).</w:t>
      </w:r>
    </w:p>
    <w:p w14:paraId="7634FD6A"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9EAC44A"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6E794397" w14:textId="77777777" w:rsidR="00531570" w:rsidRPr="00D03F3E" w:rsidRDefault="00531570" w:rsidP="00D03F3E">
      <w:pPr>
        <w:pStyle w:val="Iauiue"/>
        <w:jc w:val="both"/>
        <w:rPr>
          <w:iCs/>
          <w:color w:val="000000" w:themeColor="text1"/>
          <w:sz w:val="16"/>
          <w:szCs w:val="16"/>
        </w:rPr>
      </w:pPr>
    </w:p>
    <w:p w14:paraId="3D22E999" w14:textId="77777777" w:rsidR="007730EF" w:rsidRPr="00D03F3E" w:rsidRDefault="007730E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в 1943 году утреннее сообщение Совинформбюро:</w:t>
      </w:r>
    </w:p>
    <w:p w14:paraId="7F68623A" w14:textId="77777777" w:rsidR="007730EF" w:rsidRPr="00D03F3E" w:rsidRDefault="007730E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15 мая на Кубани, северо-восточнее Новороссийска, наши войска вели артиллерийскую перестрелку с противником. На других участках фронтаничего существенного не произошло.</w:t>
      </w:r>
    </w:p>
    <w:p w14:paraId="628D4E7E" w14:textId="77777777" w:rsidR="007730EF" w:rsidRPr="00D03F3E" w:rsidRDefault="007730E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северо-восточнее Новороссийска, наши части артиллерийско-миномётными налётами разрушали укрепления противника. Огнём нашей артиллерии разбито несколько вражеских дзотов и блиндажей, уничтожено 4 орудия и подбито 2 немецких танка. Бойцы Н-ской части рассеяли и отбросили до роты пехоты противника, пытавшейся разведать систему нашей обороны. Прожектористы расчётов старшего сержанта Гальковского и сержанта Козлова поймали в лучи прожекторов немецкий самолёт «Хейнкель-111». Летчик был ослеплён, самолёт вошёл в пикирование, врезался в землю и взорвался на собственных бомбах.</w:t>
      </w:r>
    </w:p>
    <w:p w14:paraId="620928B0" w14:textId="77777777" w:rsidR="007730EF" w:rsidRPr="00D03F3E" w:rsidRDefault="007730E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уничтожили до 200 немецких солдат и офицеров. Наши лётчики совершили налёт на железнодорожные станции и эшелоны противника. Отмечены прямые попадания в станционные здания и сооружения. Вызваны большиепожары и взрывы. В воздушном бою сбито 2 немецких самолёта.</w:t>
      </w:r>
    </w:p>
    <w:p w14:paraId="146ADDE1" w14:textId="77777777" w:rsidR="007730EF" w:rsidRPr="00D03F3E" w:rsidRDefault="007730E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бойцы Н-ской части отбили контратаку немецкой пехоты. Противник понёс значительные потери и был отброшен. Нашими подразделениями захвачено 5 гранатомётов, 28 станковых и ручных пулемётов, 86 винтовок и автоматов.</w:t>
      </w:r>
    </w:p>
    <w:p w14:paraId="62CEB077" w14:textId="77777777" w:rsidR="007730EF" w:rsidRPr="00D03F3E" w:rsidRDefault="007730E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южнее Изюма наши передовые части вели разведку и артиллерийско-миномётным огнём обстреливали наблюдаемые цели противника. Подавлен огонь артиллерийской батареи и 8 пулемётных точек, разбито 16 повозок, рассеяно и частью уничтожено до роты немецкой пехоты.</w:t>
      </w:r>
    </w:p>
    <w:p w14:paraId="2E54BA1F" w14:textId="77777777" w:rsidR="007730EF" w:rsidRPr="00D03F3E" w:rsidRDefault="007730E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пехота противника пыталась боем разведать нашу оборону, но была отброшена на исходные позиции. На поле боя осталось 80 вражеских трупов.</w:t>
      </w:r>
    </w:p>
    <w:p w14:paraId="0374F887" w14:textId="77777777" w:rsidR="007730EF" w:rsidRPr="00D03F3E" w:rsidRDefault="007730E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Тарнопольской области, разрушил два железнодорожных моста и пустил под откос поезд противника.Уничтожены паровоз и 27 вагонов с военными грузами. Отряд черниговских партизан совершил налёт на немецкий гарнизон, охранявший железнодорожный мост. В ожесточённом бою советские патриоты истребили немецкую охрану, а затем взорвали мост. За последние дни партизаны этого отряда пустили под откос 3 немецких воинских эшелона. Уничтожено 3 паровоза, 9 вагонов и 36 платформ с автомашинами.</w:t>
      </w:r>
    </w:p>
    <w:p w14:paraId="396F0E89" w14:textId="77777777" w:rsidR="007730EF" w:rsidRPr="00D03F3E" w:rsidRDefault="007730E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письмо советского юноши Николая, насильно увезённого гитлеровцами на каторгу в Германию: «Здравствуй, дорогая мама! Я нахожусь в настоящее время в городе Лейпциге. Работаю на заводе. Два раза пробивался домой, но не удалось. Может быть, мы как-нибудь отбудем эту тяжёлую и нестерпимую каторгу, но жизнь моя уже разбита. Хлеба дают крохотный кусочек, приварок бывает не каждый день. Нас поместили в бараках. Кругом забор, а поверх колючая проволока. Живём, как арестанты. Без конвоя нельзя шагу ступить... Мама, не знаю, увижу ли я тебя когда-нибудь, а также своих братьев».</w:t>
      </w:r>
    </w:p>
    <w:p w14:paraId="748D8026" w14:textId="77777777" w:rsidR="007730EF" w:rsidRPr="00D03F3E" w:rsidRDefault="007730E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ряде итальянских гарнизонов в Югославии произошли волнения. Солдаты потребовали немедленного прекращения войны и возвращения на родину. В Стразе близ Ново Место восстал итальянский батальон. Солдаты убили двух немецких офицеров, прикомандированных к штабу батальона для контроля. За последние дни участились случаи перехода итальянских солдат на сторону партизан. В одном районе рота итальянцев обезоружила немцев и передала их партизанам. Итальянские солдаты примкнули к партизанам и вместе с ними сражаются против немцев.» (14892).</w:t>
      </w:r>
    </w:p>
    <w:p w14:paraId="737A1E99" w14:textId="77777777" w:rsidR="007730EF" w:rsidRPr="00D03F3E" w:rsidRDefault="007730EF" w:rsidP="00D03F3E">
      <w:pPr>
        <w:spacing w:after="0" w:line="240" w:lineRule="auto"/>
        <w:jc w:val="both"/>
        <w:rPr>
          <w:rFonts w:ascii="Times New Roman" w:hAnsi="Times New Roman"/>
          <w:color w:val="000000" w:themeColor="text1"/>
          <w:sz w:val="16"/>
          <w:szCs w:val="16"/>
        </w:rPr>
      </w:pPr>
    </w:p>
    <w:p w14:paraId="2EF4C9E5" w14:textId="77777777" w:rsidR="007730EF" w:rsidRPr="00D03F3E" w:rsidRDefault="007730E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в 1943 году вечернее сообщение Совинформбюро:</w:t>
      </w:r>
    </w:p>
    <w:p w14:paraId="7FF228D5" w14:textId="77777777" w:rsidR="007730EF" w:rsidRPr="00D03F3E" w:rsidRDefault="007730E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течение 15 мая на фронте существенных изменений не произошло.</w:t>
      </w:r>
    </w:p>
    <w:p w14:paraId="081580FF" w14:textId="77777777" w:rsidR="007730EF" w:rsidRPr="00D03F3E" w:rsidRDefault="007730E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мая нашей авиацией на различных участках фронта уничтожено и повреждено до 100 немецких автомашин, разбито 5 железнодорожных эшелонов, подавлен огонь 11 артиллерийских и миномётных батарей, взорвано два склада противника с боеприпасами. В воздушных боях и огнём зенитной артиллерии сбито 32 немецких самолёта. Кроме того, уничтожено на аэродромах 7 самолётов противника. С боевого задания не вернулись 9 наших самолётов.</w:t>
      </w:r>
    </w:p>
    <w:p w14:paraId="3C0275CD" w14:textId="77777777" w:rsidR="007730EF" w:rsidRPr="00D03F3E" w:rsidRDefault="007730E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северо-восточнее Новороссийска, наши части вели огневой бой с противником. Разрушено свыше 20 вражеских дзотов и блиндажей, уничтожено 3 миномётных батареи и взорвано два склада боеприпасов. На одном участке противник силою до роты пехоты при поддержке 7 танков пытался вести разведку. На другом участке два батальона немецкой пехоты при поддержке 15 танков атаковали наши позиции. На том и на другом участках наши части нанесли гитлеровцам тяжёлые потери и отбросили их в исходное положение. Подбито и сожжено 5 немецких танков.</w:t>
      </w:r>
    </w:p>
    <w:p w14:paraId="456E1808" w14:textId="77777777" w:rsidR="007730EF" w:rsidRPr="00D03F3E" w:rsidRDefault="007730E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Красного Лимана немцы предприняли попытку переправиться через СеверныйДонец. Рано утром батальон пехоты противника под прикрытием сильного артиллерийско-миномётного огня начал форсировать реку. Переправившиеся на лодках гитлеровцы атаковали наши передовые подразделения. Советские бойцы контратакой опрокинули противника. Гитлеровцы были прижаты к реке и разгромлены. Потоплено12 лодок и истреблено до 200 немецких солдат и офицеров. Захвачены пленные и трофеи.</w:t>
      </w:r>
    </w:p>
    <w:p w14:paraId="2B9CCD97" w14:textId="77777777" w:rsidR="007730EF" w:rsidRPr="00D03F3E" w:rsidRDefault="007730E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наши артиллеристы произвели несколько огневых налётов на позиции противника. Уничтожены 3 немецких орудия, миномётная батарея, 4 станковых пулемёта, 25 автомашин и повозок с различными военными грузами.</w:t>
      </w:r>
    </w:p>
    <w:p w14:paraId="3987D5CC" w14:textId="77777777" w:rsidR="007730EF" w:rsidRPr="00D03F3E" w:rsidRDefault="007730E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подразделения истребили более 100 вражеских солдат и офицеров. Артиллерийским и миномётным огнём разрушено 14 немецких дзотов и 9 землянок, уничтожена артиллерийская батарея противника. Группа разведчиков под командованием тов. Степанова была атакована численно превосходящими силами гитлеровцев. Советские разведчики уничтожили 10 немецких солдат, вышли из боя и без потерь вернулись в свою часть.</w:t>
      </w:r>
    </w:p>
    <w:p w14:paraId="2B21D8F0" w14:textId="77777777" w:rsidR="007730EF" w:rsidRPr="00D03F3E" w:rsidRDefault="007730E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Волынской области, внезапно атаковал немецкий гарнизон в крупном населённом пункте. В ожесточённой схватке советские патриоты убили 120 гитлеровцев, взяли в плен 60 немецких солдат и 56 полицейских. Партизаны взорвали несколько складов противника. Партизанский отряд имени XXV годовщины Советской Украины 7 мая напал на автоколонну противника. Партизаны сожгли 7 автомашин, истребили 36 венгерских солдат и захватили трофеи.</w:t>
      </w:r>
    </w:p>
    <w:p w14:paraId="4C8C4342" w14:textId="77777777" w:rsidR="007730EF" w:rsidRPr="00D03F3E" w:rsidRDefault="007730E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ефрейтор 2 велоэскадрона 332 немецкой пехотной дивизии Иозеф Макспер сообщил: «Гибель армии Паулюса под Сталинградом и отступление немецких войск подорвали у солдат веру в победу Германии. Многие солдаты нашего эскадрона с тревогой ждут развития событий. Первая зима в России кончилась для нас весьма плачевно. Русские разгромили немецкую армию под Москвой и отогнали сё до Ржева. Вторая зима оказалась ещё хуже, чем первая. Русские вернули большую территорию и отогнали нас ещё дальше на запад. Потери немецких войск неслыханно возросли. Что будет, если дело дойдёт до третьей зимы. Но дотянем ли мы до третьей зимы? Солдаты боятся, что летом русские ударят с востока, а англичане и американцы — с запада и возьмут германскую армию в гигантские клещи. Вслед за этим наступит полный военный разгром Германии».</w:t>
      </w:r>
    </w:p>
    <w:p w14:paraId="3BFD0D2C" w14:textId="77777777" w:rsidR="007730EF" w:rsidRPr="00D03F3E" w:rsidRDefault="007730E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время оккупации Демянского района, Ленинградской области, немецко-фашистские мерзавцы угнали тысячи мирных жителей на каторгу в Германию. Отправка советских граждан в рабство сопровождалась дикими издевательствами со стороны немецких бандитов. Из села Шишково гитлеровцы под угрозой расстрела угнали 210 мужчин, женщин и подростков. Колхозницу Николаеву Л.Ф., не явившуюся на сборный пункт в назначенный срок, немецкий офицер избил до полусмерти. Из деревни Ильина Гора немцы угнали всё взрослое население. Изверги разлучили родителей с детьми. Малолетние дети были брошены на произвол судьбы.» (14892).</w:t>
      </w:r>
    </w:p>
    <w:p w14:paraId="75EF34C9" w14:textId="77777777" w:rsidR="007730EF" w:rsidRPr="00D03F3E" w:rsidRDefault="007730EF" w:rsidP="00D03F3E">
      <w:pPr>
        <w:spacing w:after="0" w:line="240" w:lineRule="auto"/>
        <w:jc w:val="both"/>
        <w:rPr>
          <w:rFonts w:ascii="Times New Roman" w:hAnsi="Times New Roman"/>
          <w:color w:val="000000" w:themeColor="text1"/>
          <w:sz w:val="16"/>
          <w:szCs w:val="16"/>
        </w:rPr>
      </w:pPr>
    </w:p>
    <w:p w14:paraId="74C9011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1943 57 гв полк перебазировали в Сла</w:t>
      </w:r>
      <w:r w:rsidRPr="00D03F3E">
        <w:rPr>
          <w:rFonts w:ascii="Times New Roman" w:hAnsi="Times New Roman"/>
          <w:color w:val="000000" w:themeColor="text1"/>
          <w:sz w:val="16"/>
          <w:szCs w:val="16"/>
        </w:rPr>
        <w:softHyphen/>
        <w:t>вянскую. Оттуда он продолжал летать к линии фронта. Интенсивность боев не ослабевала. 28 мая уже к 10 утра на счету полка были шесть воздушных побед. Полк и сам нес существенные поте</w:t>
      </w:r>
      <w:r w:rsidRPr="00D03F3E">
        <w:rPr>
          <w:rFonts w:ascii="Times New Roman" w:hAnsi="Times New Roman"/>
          <w:color w:val="000000" w:themeColor="text1"/>
          <w:sz w:val="16"/>
          <w:szCs w:val="16"/>
        </w:rPr>
        <w:softHyphen/>
        <w:t>ри. В среднем на один сбитый "Спит</w:t>
      </w:r>
      <w:r w:rsidRPr="00D03F3E">
        <w:rPr>
          <w:rFonts w:ascii="Times New Roman" w:hAnsi="Times New Roman"/>
          <w:color w:val="000000" w:themeColor="text1"/>
          <w:sz w:val="16"/>
          <w:szCs w:val="16"/>
        </w:rPr>
        <w:softHyphen/>
        <w:t>файр" приходились 32 самолето-выле</w:t>
      </w:r>
      <w:r w:rsidRPr="00D03F3E">
        <w:rPr>
          <w:rFonts w:ascii="Times New Roman" w:hAnsi="Times New Roman"/>
          <w:color w:val="000000" w:themeColor="text1"/>
          <w:sz w:val="16"/>
          <w:szCs w:val="16"/>
        </w:rPr>
        <w:softHyphen/>
        <w:t>та. Боеспособность падала и из-за износа материальной части. Не хва</w:t>
      </w:r>
      <w:r w:rsidRPr="00D03F3E">
        <w:rPr>
          <w:rFonts w:ascii="Times New Roman" w:hAnsi="Times New Roman"/>
          <w:color w:val="000000" w:themeColor="text1"/>
          <w:sz w:val="16"/>
          <w:szCs w:val="16"/>
        </w:rPr>
        <w:softHyphen/>
        <w:t>тало запасных двигателей. Механикам приходилось одевать на поршневые кольца самодельные прокладки из кон</w:t>
      </w:r>
      <w:r w:rsidRPr="00D03F3E">
        <w:rPr>
          <w:rFonts w:ascii="Times New Roman" w:hAnsi="Times New Roman"/>
          <w:color w:val="000000" w:themeColor="text1"/>
          <w:sz w:val="16"/>
          <w:szCs w:val="16"/>
        </w:rPr>
        <w:softHyphen/>
        <w:t>сервных банок, чтобы моторы продол</w:t>
      </w:r>
      <w:r w:rsidRPr="00D03F3E">
        <w:rPr>
          <w:rFonts w:ascii="Times New Roman" w:hAnsi="Times New Roman"/>
          <w:color w:val="000000" w:themeColor="text1"/>
          <w:sz w:val="16"/>
          <w:szCs w:val="16"/>
        </w:rPr>
        <w:softHyphen/>
        <w:t>жали работать. В конце июня посту</w:t>
      </w:r>
      <w:r w:rsidRPr="00D03F3E">
        <w:rPr>
          <w:rFonts w:ascii="Times New Roman" w:hAnsi="Times New Roman"/>
          <w:color w:val="000000" w:themeColor="text1"/>
          <w:sz w:val="16"/>
          <w:szCs w:val="16"/>
        </w:rPr>
        <w:softHyphen/>
        <w:t>пил приказ сдать оставшиеся "Спит</w:t>
      </w:r>
      <w:r w:rsidRPr="00D03F3E">
        <w:rPr>
          <w:rFonts w:ascii="Times New Roman" w:hAnsi="Times New Roman"/>
          <w:color w:val="000000" w:themeColor="text1"/>
          <w:sz w:val="16"/>
          <w:szCs w:val="16"/>
        </w:rPr>
        <w:softHyphen/>
        <w:t>файры" и отбыть в тыл для перевоору</w:t>
      </w:r>
      <w:r w:rsidRPr="00D03F3E">
        <w:rPr>
          <w:rFonts w:ascii="Times New Roman" w:hAnsi="Times New Roman"/>
          <w:color w:val="000000" w:themeColor="text1"/>
          <w:sz w:val="16"/>
          <w:szCs w:val="16"/>
        </w:rPr>
        <w:softHyphen/>
        <w:t>жения. На фронте осталось одно зве</w:t>
      </w:r>
      <w:r w:rsidRPr="00D03F3E">
        <w:rPr>
          <w:rFonts w:ascii="Times New Roman" w:hAnsi="Times New Roman"/>
          <w:color w:val="000000" w:themeColor="text1"/>
          <w:sz w:val="16"/>
          <w:szCs w:val="16"/>
        </w:rPr>
        <w:softHyphen/>
        <w:t>но, которое в основном охотилось с засадных площадок на немецкие кор</w:t>
      </w:r>
      <w:r w:rsidRPr="00D03F3E">
        <w:rPr>
          <w:rFonts w:ascii="Times New Roman" w:hAnsi="Times New Roman"/>
          <w:color w:val="000000" w:themeColor="text1"/>
          <w:sz w:val="16"/>
          <w:szCs w:val="16"/>
        </w:rPr>
        <w:softHyphen/>
        <w:t>ректировщики РУУ 189. 14 июня сдали и их. Полк впоследствии укомплекто</w:t>
      </w:r>
      <w:r w:rsidRPr="00D03F3E">
        <w:rPr>
          <w:rFonts w:ascii="Times New Roman" w:hAnsi="Times New Roman"/>
          <w:color w:val="000000" w:themeColor="text1"/>
          <w:sz w:val="16"/>
          <w:szCs w:val="16"/>
        </w:rPr>
        <w:softHyphen/>
        <w:t>вали американскими истребителями Р-39 (10790).</w:t>
      </w:r>
    </w:p>
    <w:p w14:paraId="5E3CF71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63DF74A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С 15 по 31 мая 1943 722-й иап в Горьком, располагавший 15 МиГами, выполнил 17 дневных и два ночных вылета на перехват, но не добился успехов. Отсутствие встреч с самолетами врага объяснялось плохой организацией взаимодействия истребительной авиации с постами ВНОС. Однако наличие поблизости от аэродрома хорошо различимых ориентиров позволило летчикам чувствовать себя вполне уверенно ночью и днем при плохой видимости (12045).</w:t>
      </w:r>
    </w:p>
    <w:p w14:paraId="0E8A57CD" w14:textId="77777777" w:rsidR="00531570" w:rsidRPr="00D03F3E" w:rsidRDefault="00531570" w:rsidP="00D03F3E">
      <w:pPr>
        <w:pStyle w:val="Iauiue"/>
        <w:tabs>
          <w:tab w:val="left" w:pos="11199"/>
        </w:tabs>
        <w:jc w:val="both"/>
        <w:rPr>
          <w:color w:val="000000" w:themeColor="text1"/>
          <w:sz w:val="16"/>
          <w:szCs w:val="16"/>
        </w:rPr>
      </w:pPr>
    </w:p>
    <w:p w14:paraId="6C570AF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 мая 1943 г. вышел ПРИКАЗ № 0351 ОБ УСТАНОВЛЕНИИ ОКЛАДОВ СОДЕРЖАНИЯ ПО ОСНОВНЫМ ДОЛЖНОСТЯМ В ОКРУГАХ, ФРОНТАХ И АРМИЯХ</w:t>
      </w:r>
    </w:p>
    <w:p w14:paraId="624DA2F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 исполнение Постановления Совета Народных Комиссаров Союза ССР от 13 мая 1943 г. № 516—161с “Об установлении новых окладов содержания по должностям руководящего начальствующего состава фронтов, округов, армий и центральных управлений НКО” приказываю:</w:t>
      </w:r>
    </w:p>
    <w:p w14:paraId="5771BEC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С 1 мая 1943 г. установить штатно-должностные оклады содержания (в месяц в рублях) по должностям:</w:t>
      </w:r>
    </w:p>
    <w:tbl>
      <w:tblPr>
        <w:tblW w:w="0" w:type="auto"/>
        <w:tblInd w:w="3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579"/>
        <w:gridCol w:w="1047"/>
        <w:gridCol w:w="1216"/>
      </w:tblGrid>
      <w:tr w:rsidR="00860B4B" w:rsidRPr="00D03F3E" w14:paraId="44C3F4EB" w14:textId="77777777" w:rsidTr="00531570">
        <w:trPr>
          <w:trHeight w:val="225"/>
        </w:trPr>
        <w:tc>
          <w:tcPr>
            <w:tcW w:w="4579" w:type="dxa"/>
          </w:tcPr>
          <w:p w14:paraId="41B0214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Командующий войсками фронта...............</w:t>
            </w:r>
          </w:p>
        </w:tc>
        <w:tc>
          <w:tcPr>
            <w:tcW w:w="312" w:type="dxa"/>
            <w:gridSpan w:val="2"/>
          </w:tcPr>
          <w:p w14:paraId="1CFA2E0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4000</w:t>
            </w:r>
          </w:p>
        </w:tc>
      </w:tr>
      <w:tr w:rsidR="00860B4B" w:rsidRPr="00D03F3E" w14:paraId="79B6A454" w14:textId="77777777" w:rsidTr="00531570">
        <w:trPr>
          <w:trHeight w:val="195"/>
        </w:trPr>
        <w:tc>
          <w:tcPr>
            <w:tcW w:w="4579" w:type="dxa"/>
          </w:tcPr>
          <w:p w14:paraId="2C97AE5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Член военного совета фронта.................</w:t>
            </w:r>
          </w:p>
        </w:tc>
        <w:tc>
          <w:tcPr>
            <w:tcW w:w="312" w:type="dxa"/>
            <w:gridSpan w:val="2"/>
          </w:tcPr>
          <w:p w14:paraId="5207363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3500</w:t>
            </w:r>
          </w:p>
        </w:tc>
      </w:tr>
      <w:tr w:rsidR="00860B4B" w:rsidRPr="00D03F3E" w14:paraId="6AD654AD" w14:textId="77777777" w:rsidTr="00531570">
        <w:trPr>
          <w:trHeight w:val="210"/>
        </w:trPr>
        <w:tc>
          <w:tcPr>
            <w:tcW w:w="4579" w:type="dxa"/>
          </w:tcPr>
          <w:p w14:paraId="6ECB22F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Первый заместитель командующего войсками фронта..</w:t>
            </w:r>
          </w:p>
        </w:tc>
        <w:tc>
          <w:tcPr>
            <w:tcW w:w="312" w:type="dxa"/>
            <w:gridSpan w:val="2"/>
          </w:tcPr>
          <w:p w14:paraId="020A93D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3400</w:t>
            </w:r>
          </w:p>
        </w:tc>
      </w:tr>
      <w:tr w:rsidR="00860B4B" w:rsidRPr="00D03F3E" w14:paraId="497E5E5B" w14:textId="77777777" w:rsidTr="00531570">
        <w:trPr>
          <w:trHeight w:val="210"/>
        </w:trPr>
        <w:tc>
          <w:tcPr>
            <w:tcW w:w="4579" w:type="dxa"/>
          </w:tcPr>
          <w:p w14:paraId="3B7B6C2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Заместитель командующего по тылу............</w:t>
            </w:r>
          </w:p>
        </w:tc>
        <w:tc>
          <w:tcPr>
            <w:tcW w:w="312" w:type="dxa"/>
            <w:gridSpan w:val="2"/>
          </w:tcPr>
          <w:p w14:paraId="08F210E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3200</w:t>
            </w:r>
          </w:p>
        </w:tc>
      </w:tr>
      <w:tr w:rsidR="00860B4B" w:rsidRPr="00D03F3E" w14:paraId="510B4AC5" w14:textId="77777777" w:rsidTr="00531570">
        <w:trPr>
          <w:trHeight w:val="210"/>
        </w:trPr>
        <w:tc>
          <w:tcPr>
            <w:tcW w:w="4579" w:type="dxa"/>
          </w:tcPr>
          <w:p w14:paraId="0FF6A20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Начальник штаба фронта...................</w:t>
            </w:r>
          </w:p>
        </w:tc>
        <w:tc>
          <w:tcPr>
            <w:tcW w:w="312" w:type="dxa"/>
            <w:gridSpan w:val="2"/>
          </w:tcPr>
          <w:p w14:paraId="03B1A4C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3200*</w:t>
            </w:r>
          </w:p>
        </w:tc>
      </w:tr>
      <w:tr w:rsidR="00860B4B" w:rsidRPr="00D03F3E" w14:paraId="7DDA890E" w14:textId="77777777" w:rsidTr="00531570">
        <w:trPr>
          <w:trHeight w:val="210"/>
        </w:trPr>
        <w:tc>
          <w:tcPr>
            <w:tcW w:w="4579" w:type="dxa"/>
          </w:tcPr>
          <w:p w14:paraId="394057A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Командующий армией.....................</w:t>
            </w:r>
          </w:p>
        </w:tc>
        <w:tc>
          <w:tcPr>
            <w:tcW w:w="312" w:type="dxa"/>
            <w:gridSpan w:val="2"/>
          </w:tcPr>
          <w:p w14:paraId="746FBE0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3200</w:t>
            </w:r>
          </w:p>
        </w:tc>
      </w:tr>
      <w:tr w:rsidR="00860B4B" w:rsidRPr="00D03F3E" w14:paraId="45C43527" w14:textId="77777777" w:rsidTr="00531570">
        <w:trPr>
          <w:trHeight w:val="210"/>
        </w:trPr>
        <w:tc>
          <w:tcPr>
            <w:tcW w:w="4579" w:type="dxa"/>
          </w:tcPr>
          <w:p w14:paraId="43C8CF0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Член военного совета армии.................</w:t>
            </w:r>
          </w:p>
        </w:tc>
        <w:tc>
          <w:tcPr>
            <w:tcW w:w="312" w:type="dxa"/>
            <w:gridSpan w:val="2"/>
          </w:tcPr>
          <w:p w14:paraId="09BA290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2800</w:t>
            </w:r>
          </w:p>
        </w:tc>
      </w:tr>
      <w:tr w:rsidR="00860B4B" w:rsidRPr="00D03F3E" w14:paraId="56FF9DF7" w14:textId="77777777" w:rsidTr="00531570">
        <w:trPr>
          <w:trHeight w:val="195"/>
        </w:trPr>
        <w:tc>
          <w:tcPr>
            <w:tcW w:w="4579" w:type="dxa"/>
          </w:tcPr>
          <w:p w14:paraId="1337E39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Заместитель командующего армией.............</w:t>
            </w:r>
          </w:p>
        </w:tc>
        <w:tc>
          <w:tcPr>
            <w:tcW w:w="312" w:type="dxa"/>
            <w:gridSpan w:val="2"/>
          </w:tcPr>
          <w:p w14:paraId="6222400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2600</w:t>
            </w:r>
          </w:p>
        </w:tc>
      </w:tr>
      <w:tr w:rsidR="00860B4B" w:rsidRPr="00D03F3E" w14:paraId="29AF8F22" w14:textId="77777777" w:rsidTr="00531570">
        <w:trPr>
          <w:trHeight w:val="210"/>
        </w:trPr>
        <w:tc>
          <w:tcPr>
            <w:tcW w:w="4579" w:type="dxa"/>
          </w:tcPr>
          <w:p w14:paraId="275C00D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Начальник штаба армии....................</w:t>
            </w:r>
          </w:p>
        </w:tc>
        <w:tc>
          <w:tcPr>
            <w:tcW w:w="312" w:type="dxa"/>
            <w:gridSpan w:val="2"/>
          </w:tcPr>
          <w:p w14:paraId="0F9A335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2600*</w:t>
            </w:r>
          </w:p>
        </w:tc>
      </w:tr>
      <w:tr w:rsidR="00860B4B" w:rsidRPr="00D03F3E" w14:paraId="58355E54" w14:textId="77777777" w:rsidTr="00531570">
        <w:trPr>
          <w:trHeight w:val="195"/>
        </w:trPr>
        <w:tc>
          <w:tcPr>
            <w:tcW w:w="4579" w:type="dxa"/>
          </w:tcPr>
          <w:p w14:paraId="4F12C39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Командующий воздушной армий...............</w:t>
            </w:r>
          </w:p>
        </w:tc>
        <w:tc>
          <w:tcPr>
            <w:tcW w:w="312" w:type="dxa"/>
            <w:gridSpan w:val="2"/>
          </w:tcPr>
          <w:p w14:paraId="1DE7946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...3400</w:t>
            </w:r>
          </w:p>
        </w:tc>
      </w:tr>
      <w:tr w:rsidR="00860B4B" w:rsidRPr="00D03F3E" w14:paraId="77830948" w14:textId="77777777" w:rsidTr="00531570">
        <w:trPr>
          <w:trHeight w:val="210"/>
        </w:trPr>
        <w:tc>
          <w:tcPr>
            <w:tcW w:w="4579" w:type="dxa"/>
          </w:tcPr>
          <w:p w14:paraId="1270A2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Начальник штаба воздушной армии............</w:t>
            </w:r>
          </w:p>
        </w:tc>
        <w:tc>
          <w:tcPr>
            <w:tcW w:w="312" w:type="dxa"/>
            <w:gridSpan w:val="2"/>
          </w:tcPr>
          <w:p w14:paraId="061F3D6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2700*</w:t>
            </w:r>
          </w:p>
        </w:tc>
      </w:tr>
      <w:tr w:rsidR="00860B4B" w:rsidRPr="00D03F3E" w14:paraId="14C7FAC3" w14:textId="77777777" w:rsidTr="00531570">
        <w:trPr>
          <w:trHeight w:val="210"/>
        </w:trPr>
        <w:tc>
          <w:tcPr>
            <w:tcW w:w="4579" w:type="dxa"/>
          </w:tcPr>
          <w:p w14:paraId="7907F4D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Главный инженер воздушной армии............</w:t>
            </w:r>
          </w:p>
        </w:tc>
        <w:tc>
          <w:tcPr>
            <w:tcW w:w="312" w:type="dxa"/>
            <w:gridSpan w:val="2"/>
          </w:tcPr>
          <w:p w14:paraId="41487BF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2500</w:t>
            </w:r>
          </w:p>
        </w:tc>
      </w:tr>
      <w:tr w:rsidR="00860B4B" w:rsidRPr="00D03F3E" w14:paraId="0E265FDF" w14:textId="77777777" w:rsidTr="00531570">
        <w:trPr>
          <w:trHeight w:val="225"/>
        </w:trPr>
        <w:tc>
          <w:tcPr>
            <w:tcW w:w="4579" w:type="dxa"/>
          </w:tcPr>
          <w:p w14:paraId="56EBCA6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Главный штурман воздушной армии............</w:t>
            </w:r>
          </w:p>
        </w:tc>
        <w:tc>
          <w:tcPr>
            <w:tcW w:w="312" w:type="dxa"/>
            <w:gridSpan w:val="2"/>
          </w:tcPr>
          <w:p w14:paraId="2EBFC64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2500</w:t>
            </w:r>
          </w:p>
        </w:tc>
      </w:tr>
      <w:tr w:rsidR="00860B4B" w:rsidRPr="00D03F3E" w14:paraId="079C4707" w14:textId="77777777" w:rsidTr="00531570">
        <w:trPr>
          <w:trHeight w:val="360"/>
        </w:trPr>
        <w:tc>
          <w:tcPr>
            <w:tcW w:w="4579" w:type="dxa"/>
          </w:tcPr>
          <w:p w14:paraId="7138ABD3" w14:textId="77777777" w:rsidR="00531570" w:rsidRPr="00D03F3E" w:rsidRDefault="00531570" w:rsidP="00D03F3E">
            <w:pPr>
              <w:pStyle w:val="Iauiue"/>
              <w:jc w:val="both"/>
              <w:rPr>
                <w:color w:val="000000" w:themeColor="text1"/>
                <w:sz w:val="16"/>
                <w:szCs w:val="16"/>
              </w:rPr>
            </w:pPr>
          </w:p>
        </w:tc>
        <w:tc>
          <w:tcPr>
            <w:tcW w:w="1047" w:type="dxa"/>
          </w:tcPr>
          <w:p w14:paraId="2624B83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Московского</w:t>
            </w:r>
          </w:p>
        </w:tc>
        <w:tc>
          <w:tcPr>
            <w:tcW w:w="1216" w:type="dxa"/>
          </w:tcPr>
          <w:p w14:paraId="69BCB5E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Остальных военных округов</w:t>
            </w:r>
          </w:p>
        </w:tc>
      </w:tr>
      <w:tr w:rsidR="00860B4B" w:rsidRPr="00D03F3E" w14:paraId="575E370C" w14:textId="77777777" w:rsidTr="00531570">
        <w:trPr>
          <w:trHeight w:val="255"/>
        </w:trPr>
        <w:tc>
          <w:tcPr>
            <w:tcW w:w="4579" w:type="dxa"/>
          </w:tcPr>
          <w:p w14:paraId="115D89A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Командующий войсками округа.........</w:t>
            </w:r>
          </w:p>
        </w:tc>
        <w:tc>
          <w:tcPr>
            <w:tcW w:w="1047" w:type="dxa"/>
          </w:tcPr>
          <w:p w14:paraId="4C7752D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3800</w:t>
            </w:r>
          </w:p>
        </w:tc>
        <w:tc>
          <w:tcPr>
            <w:tcW w:w="1216" w:type="dxa"/>
          </w:tcPr>
          <w:p w14:paraId="18B0F2C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3200</w:t>
            </w:r>
          </w:p>
        </w:tc>
      </w:tr>
      <w:tr w:rsidR="00860B4B" w:rsidRPr="00D03F3E" w14:paraId="2CE8F734" w14:textId="77777777" w:rsidTr="00531570">
        <w:trPr>
          <w:trHeight w:val="225"/>
        </w:trPr>
        <w:tc>
          <w:tcPr>
            <w:tcW w:w="4579" w:type="dxa"/>
          </w:tcPr>
          <w:p w14:paraId="5472AC2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Член военного совета округа...........</w:t>
            </w:r>
          </w:p>
        </w:tc>
        <w:tc>
          <w:tcPr>
            <w:tcW w:w="1047" w:type="dxa"/>
          </w:tcPr>
          <w:p w14:paraId="4E42A05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3500</w:t>
            </w:r>
          </w:p>
        </w:tc>
        <w:tc>
          <w:tcPr>
            <w:tcW w:w="1216" w:type="dxa"/>
          </w:tcPr>
          <w:p w14:paraId="6D0D28F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2800</w:t>
            </w:r>
          </w:p>
        </w:tc>
      </w:tr>
      <w:tr w:rsidR="00860B4B" w:rsidRPr="00D03F3E" w14:paraId="411F7125" w14:textId="77777777" w:rsidTr="00531570">
        <w:trPr>
          <w:trHeight w:val="255"/>
        </w:trPr>
        <w:tc>
          <w:tcPr>
            <w:tcW w:w="4579" w:type="dxa"/>
          </w:tcPr>
          <w:p w14:paraId="0060425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Заместитель командующего войсками округа.</w:t>
            </w:r>
          </w:p>
        </w:tc>
        <w:tc>
          <w:tcPr>
            <w:tcW w:w="1047" w:type="dxa"/>
          </w:tcPr>
          <w:p w14:paraId="07DE8D4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3200</w:t>
            </w:r>
          </w:p>
        </w:tc>
        <w:tc>
          <w:tcPr>
            <w:tcW w:w="1216" w:type="dxa"/>
          </w:tcPr>
          <w:p w14:paraId="7FDFA08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2600</w:t>
            </w:r>
          </w:p>
        </w:tc>
      </w:tr>
      <w:tr w:rsidR="00860B4B" w:rsidRPr="00D03F3E" w14:paraId="2D0B6125" w14:textId="77777777" w:rsidTr="00531570">
        <w:trPr>
          <w:trHeight w:val="210"/>
        </w:trPr>
        <w:tc>
          <w:tcPr>
            <w:tcW w:w="4579" w:type="dxa"/>
          </w:tcPr>
          <w:p w14:paraId="6E44760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Начальник штаба окоуга.............</w:t>
            </w:r>
          </w:p>
        </w:tc>
        <w:tc>
          <w:tcPr>
            <w:tcW w:w="1047" w:type="dxa"/>
          </w:tcPr>
          <w:p w14:paraId="5370BF5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3200</w:t>
            </w:r>
          </w:p>
        </w:tc>
        <w:tc>
          <w:tcPr>
            <w:tcW w:w="1216" w:type="dxa"/>
          </w:tcPr>
          <w:p w14:paraId="276A1DF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2600</w:t>
            </w:r>
          </w:p>
        </w:tc>
      </w:tr>
    </w:tbl>
    <w:p w14:paraId="289AA3E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Среднему и выше начальствующему составу полевых управлений гвардейских и ударных армий с 1 мая 1943 г. выплачивать оклады содержания на 25% выше против окладов, установленных в соответствии с Постановлением СНК СССР от 13 мая 1943 г. № 516—161с для среднего и выше начальствующего состава полевых управлений негвардейских (и неударных) армий.</w:t>
      </w:r>
    </w:p>
    <w:p w14:paraId="4F8FB2F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Начальнику Финансового управления при НКО сообщить своим распоряжением штатно-должностные оклады содержания в соответствии с Постановлением СНК СССР от 13 мая 1943 г. за № 516—161с по всем остальным должностям высшего, старшего и среднего начальствующего состава управлений фронтов, округов и армий.</w:t>
      </w:r>
    </w:p>
    <w:p w14:paraId="56D23900" w14:textId="77777777" w:rsidR="00531570" w:rsidRPr="00D03F3E" w:rsidRDefault="00531570" w:rsidP="00D03F3E">
      <w:pPr>
        <w:pStyle w:val="Iauiue"/>
        <w:jc w:val="both"/>
        <w:rPr>
          <w:iCs/>
          <w:color w:val="000000" w:themeColor="text1"/>
          <w:sz w:val="16"/>
          <w:szCs w:val="16"/>
        </w:rPr>
      </w:pPr>
      <w:r w:rsidRPr="00D03F3E">
        <w:rPr>
          <w:iCs/>
          <w:color w:val="000000" w:themeColor="text1"/>
          <w:sz w:val="16"/>
          <w:szCs w:val="16"/>
        </w:rPr>
        <w:t>Заместитель Народного комиссара обороны генерал-полковник интендантской службы А. ХРУЛЕВ (9844).</w:t>
      </w:r>
    </w:p>
    <w:p w14:paraId="59E18B77" w14:textId="77777777" w:rsidR="00531570" w:rsidRPr="00D03F3E" w:rsidRDefault="00531570" w:rsidP="00D03F3E">
      <w:pPr>
        <w:pStyle w:val="Iauiue"/>
        <w:jc w:val="both"/>
        <w:rPr>
          <w:iCs/>
          <w:color w:val="000000" w:themeColor="text1"/>
          <w:sz w:val="16"/>
          <w:szCs w:val="16"/>
        </w:rPr>
      </w:pPr>
    </w:p>
    <w:p w14:paraId="3CB0459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15-16 мая 1943 года была переброшена финская группа (2 чел.) (8983).</w:t>
      </w:r>
    </w:p>
    <w:p w14:paraId="516AD19A" w14:textId="77777777" w:rsidR="00531570" w:rsidRPr="00D03F3E" w:rsidRDefault="00531570" w:rsidP="00D03F3E">
      <w:pPr>
        <w:pStyle w:val="Iauiue"/>
        <w:jc w:val="both"/>
        <w:rPr>
          <w:color w:val="000000" w:themeColor="text1"/>
          <w:sz w:val="16"/>
          <w:szCs w:val="16"/>
        </w:rPr>
      </w:pPr>
    </w:p>
    <w:p w14:paraId="09F7E4AE"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060C91A0" w14:textId="77777777" w:rsidR="00531570" w:rsidRPr="00D03F3E" w:rsidRDefault="00531570" w:rsidP="00D03F3E">
      <w:pPr>
        <w:pStyle w:val="Iauiue"/>
        <w:jc w:val="both"/>
        <w:rPr>
          <w:iCs/>
          <w:color w:val="000000" w:themeColor="text1"/>
          <w:sz w:val="16"/>
          <w:szCs w:val="16"/>
        </w:rPr>
      </w:pPr>
    </w:p>
    <w:p w14:paraId="2B3B5342"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15 мая 1943 распущен Коминтерн (4962).</w:t>
      </w:r>
    </w:p>
    <w:p w14:paraId="1DF5E44B" w14:textId="77777777" w:rsidR="00531570" w:rsidRPr="00D03F3E" w:rsidRDefault="00531570" w:rsidP="00D03F3E">
      <w:pPr>
        <w:pStyle w:val="Iauiue"/>
        <w:tabs>
          <w:tab w:val="left" w:pos="11199"/>
        </w:tabs>
        <w:jc w:val="both"/>
        <w:rPr>
          <w:color w:val="000000" w:themeColor="text1"/>
          <w:sz w:val="16"/>
          <w:szCs w:val="16"/>
        </w:rPr>
      </w:pPr>
    </w:p>
    <w:p w14:paraId="7D43D880"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May 15th, 1943: Stalin, to appease his Western allies, announces the dissolution of the Komintern, the Communist International working for world revolution. German, Italian and Croatian forces begin an offensive against Tito's partisan army in Montenegro (3819).</w:t>
      </w:r>
    </w:p>
    <w:p w14:paraId="2ED59CBD" w14:textId="77777777" w:rsidR="00531570" w:rsidRPr="00D03F3E" w:rsidRDefault="00531570" w:rsidP="00D03F3E">
      <w:pPr>
        <w:pStyle w:val="Iauiue"/>
        <w:jc w:val="both"/>
        <w:rPr>
          <w:color w:val="000000" w:themeColor="text1"/>
          <w:sz w:val="16"/>
          <w:szCs w:val="16"/>
          <w:lang w:val="en-US"/>
        </w:rPr>
      </w:pPr>
    </w:p>
    <w:p w14:paraId="53EACA6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 мая 1943 был распущен Коминтерн (1348,246).</w:t>
      </w:r>
    </w:p>
    <w:p w14:paraId="7164107B" w14:textId="77777777" w:rsidR="00531570" w:rsidRPr="00D03F3E" w:rsidRDefault="00531570" w:rsidP="00D03F3E">
      <w:pPr>
        <w:pStyle w:val="Iauiue"/>
        <w:jc w:val="both"/>
        <w:rPr>
          <w:color w:val="000000" w:themeColor="text1"/>
          <w:sz w:val="16"/>
          <w:szCs w:val="16"/>
        </w:rPr>
      </w:pPr>
    </w:p>
    <w:p w14:paraId="26D945EE" w14:textId="77777777" w:rsidR="002449BF" w:rsidRPr="00D03F3E" w:rsidRDefault="002449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1943. Ликвидация Сталиным в угоду союзникам Коминтерна (18693).</w:t>
      </w:r>
    </w:p>
    <w:p w14:paraId="785C900D" w14:textId="77777777" w:rsidR="002449BF" w:rsidRPr="00D03F3E" w:rsidRDefault="002449BF" w:rsidP="00D03F3E">
      <w:pPr>
        <w:spacing w:after="0" w:line="240" w:lineRule="auto"/>
        <w:jc w:val="both"/>
        <w:rPr>
          <w:rFonts w:ascii="Times New Roman" w:hAnsi="Times New Roman"/>
          <w:color w:val="000000" w:themeColor="text1"/>
          <w:sz w:val="16"/>
          <w:szCs w:val="16"/>
        </w:rPr>
      </w:pPr>
    </w:p>
    <w:p w14:paraId="120F45B3"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в 1943 году по постановлению Президиума ИККИ был распущен Коминтерн для возможного единства действий всех национальных и международных сил, борющихся против фашизма (14892).</w:t>
      </w:r>
    </w:p>
    <w:p w14:paraId="6EF1AAFB" w14:textId="77777777" w:rsidR="000C6CCD" w:rsidRPr="00D03F3E" w:rsidRDefault="000C6CCD" w:rsidP="00D03F3E">
      <w:pPr>
        <w:spacing w:after="0" w:line="240" w:lineRule="auto"/>
        <w:jc w:val="both"/>
        <w:rPr>
          <w:rFonts w:ascii="Times New Roman" w:hAnsi="Times New Roman"/>
          <w:color w:val="000000" w:themeColor="text1"/>
          <w:sz w:val="16"/>
          <w:szCs w:val="16"/>
        </w:rPr>
      </w:pPr>
    </w:p>
    <w:p w14:paraId="48395FE9"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5C2149E1" w14:textId="77777777" w:rsidR="00531570" w:rsidRPr="00D03F3E" w:rsidRDefault="00531570" w:rsidP="00D03F3E">
      <w:pPr>
        <w:pStyle w:val="Iauiue"/>
        <w:jc w:val="both"/>
        <w:rPr>
          <w:iCs/>
          <w:color w:val="000000" w:themeColor="text1"/>
          <w:sz w:val="16"/>
          <w:szCs w:val="16"/>
        </w:rPr>
      </w:pPr>
    </w:p>
    <w:p w14:paraId="041C2D96"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15 мая в 1943 году поднялся в воздух прототип </w:t>
      </w:r>
      <w:hyperlink r:id="rId158" w:tgtFrame="_blank" w:history="1">
        <w:r w:rsidRPr="00D03F3E">
          <w:rPr>
            <w:rFonts w:ascii="Times New Roman" w:hAnsi="Times New Roman"/>
            <w:color w:val="000000" w:themeColor="text1"/>
            <w:sz w:val="16"/>
            <w:szCs w:val="16"/>
          </w:rPr>
          <w:t xml:space="preserve">«В-25Н» </w:t>
        </w:r>
      </w:hyperlink>
      <w:r w:rsidRPr="00D03F3E">
        <w:rPr>
          <w:rFonts w:ascii="Times New Roman" w:hAnsi="Times New Roman"/>
          <w:color w:val="000000" w:themeColor="text1"/>
          <w:sz w:val="16"/>
          <w:szCs w:val="16"/>
        </w:rPr>
        <w:t>(«В-25С-10», 42-32372), оснащенный двигателями «Wright» "Cyclone" «R-1600-20» с карбюраторами «Bendix Stromberg» «PR 48A1» и системой зажигания «American Bosch» «SF 14LU-10». Но «изюминкой» прототипа была 75 мм. Пушка.Самолет пилотировал Эд Верджин, ему ассистировал механик Гас Пиктайрн. Два высокооборотных центробежных турбо-наддува обеспечивали сжатие на низкой скорости 7,06:1, а на высокой скорости 10,06:1. Несколько расширился носовой обтекатель самолета. Экипаж самолета состоял из следующих членов: пилот, хвостовой стрелок, штурман-радист-заряжающий, башенный стрелок-механик, бортовой стрелок-оператор камеры.После серии пробных полетов было решено вернуть на самолет штатные двигатели «Wright R-2600-13». Предсерийный «В-25Н» (43-4105) 31 июля 1943 года поднял в воздух испытатель Роберт Чилтон. Через две недели самолет приняли на вооружение ВВС США и пустили в серию (14892).</w:t>
      </w:r>
    </w:p>
    <w:p w14:paraId="480D75BC" w14:textId="77777777" w:rsidR="000C6CCD" w:rsidRPr="00D03F3E" w:rsidRDefault="000C6CCD" w:rsidP="00D03F3E">
      <w:pPr>
        <w:spacing w:after="0" w:line="240" w:lineRule="auto"/>
        <w:jc w:val="both"/>
        <w:rPr>
          <w:rFonts w:ascii="Times New Roman" w:hAnsi="Times New Roman"/>
          <w:color w:val="000000" w:themeColor="text1"/>
          <w:sz w:val="16"/>
          <w:szCs w:val="16"/>
        </w:rPr>
      </w:pPr>
    </w:p>
    <w:p w14:paraId="476A8783"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15 мая в 1943 году состоялся первый полет японского палубного разведчика </w:t>
      </w:r>
      <w:hyperlink w:tgtFrame="_blank" w:history="1">
        <w:r w:rsidRPr="00D03F3E">
          <w:rPr>
            <w:rFonts w:ascii="Times New Roman" w:hAnsi="Times New Roman"/>
            <w:color w:val="000000" w:themeColor="text1"/>
            <w:sz w:val="16"/>
            <w:szCs w:val="16"/>
          </w:rPr>
          <w:t xml:space="preserve">«C6N1». </w:t>
        </w:r>
      </w:hyperlink>
      <w:r w:rsidRPr="00D03F3E">
        <w:rPr>
          <w:rFonts w:ascii="Times New Roman" w:hAnsi="Times New Roman"/>
          <w:color w:val="000000" w:themeColor="text1"/>
          <w:sz w:val="16"/>
          <w:szCs w:val="16"/>
        </w:rPr>
        <w:t>Новый разведчик показал хорошую управляемость, но двигатель "Хомаре" оказался ненадежным. К тому же мощность двигателя с высотой резко падала. В результате «C6N1» так и не смог достигнуть заданной скорости, развив около 638 км/ч (14892).</w:t>
      </w:r>
    </w:p>
    <w:p w14:paraId="5CDD7ABD" w14:textId="77777777" w:rsidR="000C6CCD" w:rsidRPr="00D03F3E" w:rsidRDefault="000C6CCD" w:rsidP="00D03F3E">
      <w:pPr>
        <w:spacing w:after="0" w:line="240" w:lineRule="auto"/>
        <w:jc w:val="both"/>
        <w:rPr>
          <w:rFonts w:ascii="Times New Roman" w:hAnsi="Times New Roman"/>
          <w:color w:val="000000" w:themeColor="text1"/>
          <w:sz w:val="16"/>
          <w:szCs w:val="16"/>
        </w:rPr>
      </w:pPr>
    </w:p>
    <w:p w14:paraId="698BD842" w14:textId="77777777" w:rsidR="00EC5467" w:rsidRPr="00D03F3E" w:rsidRDefault="00EC546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15 мая 1943 - Состоялся первый полет японского палубного разведчика C6N1. Новый разведчик показал хорошую управляемость, но двигатель "Хомаре" оказался ненадежным. К тому же мощность двигателя с высотой резко падала. В результате C6N1 так и не смог достигнуть заданной скорости, развив около 638 км/ч (22501).</w:t>
      </w:r>
    </w:p>
    <w:p w14:paraId="34F43F7B" w14:textId="77777777" w:rsidR="00EC5467" w:rsidRPr="00D03F3E" w:rsidRDefault="00EC5467" w:rsidP="00D03F3E">
      <w:pPr>
        <w:spacing w:after="0" w:line="240" w:lineRule="auto"/>
        <w:jc w:val="both"/>
        <w:rPr>
          <w:rFonts w:ascii="Times New Roman" w:hAnsi="Times New Roman"/>
          <w:color w:val="0070C0"/>
          <w:sz w:val="16"/>
          <w:szCs w:val="16"/>
        </w:rPr>
      </w:pPr>
    </w:p>
    <w:p w14:paraId="4A50DAB4" w14:textId="77777777" w:rsidR="00EC5467" w:rsidRPr="00D03F3E" w:rsidRDefault="00EC546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15 мая 1943 первый полет Накадзима C6N Saiun («Раскрашенное облако»), союзники используют имя «Мирт» (20376).</w:t>
      </w:r>
    </w:p>
    <w:p w14:paraId="1AE3198A" w14:textId="77777777" w:rsidR="00EC5467" w:rsidRPr="00D03F3E" w:rsidRDefault="00EC5467" w:rsidP="00D03F3E">
      <w:pPr>
        <w:spacing w:after="0" w:line="240" w:lineRule="auto"/>
        <w:jc w:val="both"/>
        <w:rPr>
          <w:rFonts w:ascii="Times New Roman" w:hAnsi="Times New Roman"/>
          <w:color w:val="0070C0"/>
          <w:sz w:val="16"/>
          <w:szCs w:val="16"/>
        </w:rPr>
      </w:pPr>
    </w:p>
    <w:p w14:paraId="37BA8FCF"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15 мая в 1943 году был готов пятый и последний </w:t>
      </w:r>
      <w:hyperlink r:id="rId159" w:tgtFrame="_blank" w:history="1">
        <w:r w:rsidRPr="00D03F3E">
          <w:rPr>
            <w:rFonts w:ascii="Times New Roman" w:hAnsi="Times New Roman"/>
            <w:color w:val="000000" w:themeColor="text1"/>
            <w:sz w:val="16"/>
            <w:szCs w:val="16"/>
          </w:rPr>
          <w:t xml:space="preserve">«ВV.141b-V13» </w:t>
        </w:r>
      </w:hyperlink>
      <w:r w:rsidRPr="00D03F3E">
        <w:rPr>
          <w:rFonts w:ascii="Times New Roman" w:hAnsi="Times New Roman"/>
          <w:color w:val="000000" w:themeColor="text1"/>
          <w:sz w:val="16"/>
          <w:szCs w:val="16"/>
        </w:rPr>
        <w:t>(NС+RH) немецкий тактический разведчик. Официальную пpогpамму испытаний постоянно сопpовождали pазличные мелкие непpиятности. В pезультате планы РЛМ на пpоизводство еще 15 машин не были pеализованы, а выпущенные ВV.141 так и не пpиняли участия в боях (14892).</w:t>
      </w:r>
    </w:p>
    <w:p w14:paraId="0B2BC84D" w14:textId="77777777" w:rsidR="000C6CCD" w:rsidRPr="00D03F3E" w:rsidRDefault="000C6CCD" w:rsidP="00D03F3E">
      <w:pPr>
        <w:spacing w:after="0" w:line="240" w:lineRule="auto"/>
        <w:jc w:val="both"/>
        <w:rPr>
          <w:rFonts w:ascii="Times New Roman" w:hAnsi="Times New Roman"/>
          <w:color w:val="000000" w:themeColor="text1"/>
          <w:sz w:val="16"/>
          <w:szCs w:val="16"/>
        </w:rPr>
      </w:pPr>
    </w:p>
    <w:p w14:paraId="5B8D1180" w14:textId="77777777" w:rsidR="00EC5467" w:rsidRPr="00D03F3E" w:rsidRDefault="00EC5467"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15 мая 1943 ас Люфтваффе Leutnant Хорст Hannig погиб, когда его парашют не раскрылся, как он выпрыгивает из его Фокке-Вульф Fw 190 над Францией во время боя с истребителями Королевских ВВС эскадрильи № 611, которые нападают на аэродром Кан-Карпике и аэродром Пуа . Ему приписывают 98 воздушных побед (20376).</w:t>
      </w:r>
    </w:p>
    <w:p w14:paraId="4DE545BF" w14:textId="77777777" w:rsidR="00EC5467" w:rsidRPr="00D03F3E" w:rsidRDefault="00EC5467" w:rsidP="00D03F3E">
      <w:pPr>
        <w:spacing w:after="0" w:line="240" w:lineRule="auto"/>
        <w:jc w:val="both"/>
        <w:rPr>
          <w:rFonts w:ascii="Times New Roman" w:hAnsi="Times New Roman"/>
          <w:color w:val="0070C0"/>
          <w:sz w:val="16"/>
          <w:szCs w:val="16"/>
        </w:rPr>
      </w:pPr>
    </w:p>
    <w:p w14:paraId="29AFEC1E"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15 мая 1943 французское командование в Северной Африке сместило правителя Туниса за сотрудничество его с фашистами (4962).</w:t>
      </w:r>
    </w:p>
    <w:p w14:paraId="5D0212F0" w14:textId="77777777" w:rsidR="00531570" w:rsidRPr="00D03F3E" w:rsidRDefault="00531570" w:rsidP="00D03F3E">
      <w:pPr>
        <w:pStyle w:val="Iauiue"/>
        <w:tabs>
          <w:tab w:val="left" w:pos="11199"/>
        </w:tabs>
        <w:jc w:val="both"/>
        <w:rPr>
          <w:color w:val="000000" w:themeColor="text1"/>
          <w:sz w:val="16"/>
          <w:szCs w:val="16"/>
        </w:rPr>
      </w:pPr>
    </w:p>
    <w:p w14:paraId="339D6B70"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lastRenderedPageBreak/>
        <w:t>15 мая 1943 немецкие войска начали карательную экспедицию по уничтожению югославских партизан И. Тито (4962).</w:t>
      </w:r>
    </w:p>
    <w:p w14:paraId="392F70E5" w14:textId="77777777" w:rsidR="00531570" w:rsidRPr="00D03F3E" w:rsidRDefault="00531570" w:rsidP="00D03F3E">
      <w:pPr>
        <w:pStyle w:val="Iauiue"/>
        <w:tabs>
          <w:tab w:val="left" w:pos="11199"/>
        </w:tabs>
        <w:jc w:val="both"/>
        <w:rPr>
          <w:color w:val="000000" w:themeColor="text1"/>
          <w:sz w:val="16"/>
          <w:szCs w:val="16"/>
        </w:rPr>
      </w:pPr>
    </w:p>
    <w:p w14:paraId="6C0AC66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 мая 1943 немцы, итальянцы и хорваты начали наступление против югославских партизан в Монтенегро (Черногории) (3819).</w:t>
      </w:r>
    </w:p>
    <w:p w14:paraId="746B1724" w14:textId="77777777" w:rsidR="00531570" w:rsidRPr="00D03F3E" w:rsidRDefault="00531570" w:rsidP="00D03F3E">
      <w:pPr>
        <w:pStyle w:val="Iauiue"/>
        <w:jc w:val="both"/>
        <w:rPr>
          <w:color w:val="000000" w:themeColor="text1"/>
          <w:sz w:val="16"/>
          <w:szCs w:val="16"/>
        </w:rPr>
      </w:pPr>
    </w:p>
    <w:p w14:paraId="4B63AE4C"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15 мая 1943 недалеко от Брисбена японская подлодка потопила австралийский корабль-госпиталь, 268 чел. погибли (4962).</w:t>
      </w:r>
    </w:p>
    <w:p w14:paraId="4A227AF1" w14:textId="77777777" w:rsidR="00531570" w:rsidRPr="00D03F3E" w:rsidRDefault="00531570" w:rsidP="00D03F3E">
      <w:pPr>
        <w:pStyle w:val="Iauiue"/>
        <w:tabs>
          <w:tab w:val="left" w:pos="11199"/>
        </w:tabs>
        <w:jc w:val="both"/>
        <w:rPr>
          <w:color w:val="000000" w:themeColor="text1"/>
          <w:sz w:val="16"/>
          <w:szCs w:val="16"/>
        </w:rPr>
      </w:pPr>
    </w:p>
    <w:p w14:paraId="27D34785"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6F6B763B" w14:textId="77777777" w:rsidR="00531570" w:rsidRPr="00D03F3E" w:rsidRDefault="00531570" w:rsidP="00D03F3E">
      <w:pPr>
        <w:pStyle w:val="Iauiue"/>
        <w:jc w:val="both"/>
        <w:rPr>
          <w:iCs/>
          <w:color w:val="000000" w:themeColor="text1"/>
          <w:sz w:val="16"/>
          <w:szCs w:val="16"/>
        </w:rPr>
      </w:pPr>
    </w:p>
    <w:p w14:paraId="08A3A92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мая 1943 г. С. В. Иль</w:t>
      </w:r>
      <w:r w:rsidRPr="00D03F3E">
        <w:rPr>
          <w:rFonts w:ascii="Times New Roman" w:hAnsi="Times New Roman"/>
          <w:color w:val="000000" w:themeColor="text1"/>
          <w:sz w:val="16"/>
          <w:szCs w:val="16"/>
        </w:rPr>
        <w:softHyphen/>
        <w:t>юшин обратился к заместителю нар</w:t>
      </w:r>
      <w:r w:rsidRPr="00D03F3E">
        <w:rPr>
          <w:rFonts w:ascii="Times New Roman" w:hAnsi="Times New Roman"/>
          <w:color w:val="000000" w:themeColor="text1"/>
          <w:sz w:val="16"/>
          <w:szCs w:val="16"/>
        </w:rPr>
        <w:softHyphen/>
        <w:t>кома авиапромышленности П. В. Де</w:t>
      </w:r>
      <w:r w:rsidRPr="00D03F3E">
        <w:rPr>
          <w:rFonts w:ascii="Times New Roman" w:hAnsi="Times New Roman"/>
          <w:color w:val="000000" w:themeColor="text1"/>
          <w:sz w:val="16"/>
          <w:szCs w:val="16"/>
        </w:rPr>
        <w:softHyphen/>
        <w:t>ментьеву с письмом следующего содер</w:t>
      </w:r>
      <w:r w:rsidRPr="00D03F3E">
        <w:rPr>
          <w:rFonts w:ascii="Times New Roman" w:hAnsi="Times New Roman"/>
          <w:color w:val="000000" w:themeColor="text1"/>
          <w:sz w:val="16"/>
          <w:szCs w:val="16"/>
        </w:rPr>
        <w:softHyphen/>
        <w:t xml:space="preserve">жания: </w:t>
      </w:r>
      <w:r w:rsidRPr="00D03F3E">
        <w:rPr>
          <w:rFonts w:ascii="Times New Roman" w:hAnsi="Times New Roman"/>
          <w:iCs/>
          <w:color w:val="000000" w:themeColor="text1"/>
          <w:sz w:val="16"/>
          <w:szCs w:val="16"/>
        </w:rPr>
        <w:t>«С переходом на двухместный Ил-2 с мотором АМ-38 центровка само</w:t>
      </w:r>
      <w:r w:rsidRPr="00D03F3E">
        <w:rPr>
          <w:rFonts w:ascii="Times New Roman" w:hAnsi="Times New Roman"/>
          <w:iCs/>
          <w:color w:val="000000" w:themeColor="text1"/>
          <w:sz w:val="16"/>
          <w:szCs w:val="16"/>
        </w:rPr>
        <w:softHyphen/>
        <w:t>лета сместилась назад до 31,5%. В дан</w:t>
      </w:r>
      <w:r w:rsidRPr="00D03F3E">
        <w:rPr>
          <w:rFonts w:ascii="Times New Roman" w:hAnsi="Times New Roman"/>
          <w:iCs/>
          <w:color w:val="000000" w:themeColor="text1"/>
          <w:sz w:val="16"/>
          <w:szCs w:val="16"/>
        </w:rPr>
        <w:softHyphen/>
        <w:t>ный момент на всех заводах, особенно на 30-м заводе, центровка имеет тен</w:t>
      </w:r>
      <w:r w:rsidRPr="00D03F3E">
        <w:rPr>
          <w:rFonts w:ascii="Times New Roman" w:hAnsi="Times New Roman"/>
          <w:iCs/>
          <w:color w:val="000000" w:themeColor="text1"/>
          <w:sz w:val="16"/>
          <w:szCs w:val="16"/>
        </w:rPr>
        <w:softHyphen/>
        <w:t>денцию уходить назад до 33,4% (з-д № 30). Совершенно необходимо центров</w:t>
      </w:r>
      <w:r w:rsidRPr="00D03F3E">
        <w:rPr>
          <w:rFonts w:ascii="Times New Roman" w:hAnsi="Times New Roman"/>
          <w:iCs/>
          <w:color w:val="000000" w:themeColor="text1"/>
          <w:sz w:val="16"/>
          <w:szCs w:val="16"/>
        </w:rPr>
        <w:softHyphen/>
        <w:t>ку сместить более вперед, так как цен</w:t>
      </w:r>
      <w:r w:rsidRPr="00D03F3E">
        <w:rPr>
          <w:rFonts w:ascii="Times New Roman" w:hAnsi="Times New Roman"/>
          <w:iCs/>
          <w:color w:val="000000" w:themeColor="text1"/>
          <w:sz w:val="16"/>
          <w:szCs w:val="16"/>
        </w:rPr>
        <w:softHyphen/>
        <w:t>тровка 33,5-34% усложняет технику пилотирования самолетом. Для возвра</w:t>
      </w:r>
      <w:r w:rsidRPr="00D03F3E">
        <w:rPr>
          <w:rFonts w:ascii="Times New Roman" w:hAnsi="Times New Roman"/>
          <w:iCs/>
          <w:color w:val="000000" w:themeColor="text1"/>
          <w:sz w:val="16"/>
          <w:szCs w:val="16"/>
        </w:rPr>
        <w:softHyphen/>
        <w:t>щения центровки самолета к центров</w:t>
      </w:r>
      <w:r w:rsidRPr="00D03F3E">
        <w:rPr>
          <w:rFonts w:ascii="Times New Roman" w:hAnsi="Times New Roman"/>
          <w:iCs/>
          <w:color w:val="000000" w:themeColor="text1"/>
          <w:sz w:val="16"/>
          <w:szCs w:val="16"/>
        </w:rPr>
        <w:softHyphen/>
        <w:t>ке одноместного Ил-2 необходимо сдви</w:t>
      </w:r>
      <w:r w:rsidRPr="00D03F3E">
        <w:rPr>
          <w:rFonts w:ascii="Times New Roman" w:hAnsi="Times New Roman"/>
          <w:iCs/>
          <w:color w:val="000000" w:themeColor="text1"/>
          <w:sz w:val="16"/>
          <w:szCs w:val="16"/>
        </w:rPr>
        <w:softHyphen/>
        <w:t xml:space="preserve">нуть концы консолей крыла назад на 6°, что обеспечит центровку 29%». </w:t>
      </w:r>
      <w:r w:rsidRPr="00D03F3E">
        <w:rPr>
          <w:rFonts w:ascii="Times New Roman" w:hAnsi="Times New Roman"/>
          <w:color w:val="000000" w:themeColor="text1"/>
          <w:sz w:val="16"/>
          <w:szCs w:val="16"/>
        </w:rPr>
        <w:t>В заключение письма Ильюшин просил дать задание директорам авиазаводов №№ 1,18 и 30 изготовить к 1 июля по два самолета Ил-2 с новым крылом.</w:t>
      </w:r>
    </w:p>
    <w:p w14:paraId="099BF57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Руководство наркомата весьма оперативно отреагировало на предло</w:t>
      </w:r>
      <w:r w:rsidRPr="00D03F3E">
        <w:rPr>
          <w:rFonts w:ascii="Times New Roman" w:hAnsi="Times New Roman"/>
          <w:color w:val="000000" w:themeColor="text1"/>
          <w:sz w:val="16"/>
          <w:szCs w:val="16"/>
        </w:rPr>
        <w:softHyphen/>
        <w:t>жение Ильюшина, и уже 28 мая вышел приказ по НКАП, согласно которому завод № 18 обязывался построить са</w:t>
      </w:r>
      <w:r w:rsidRPr="00D03F3E">
        <w:rPr>
          <w:rFonts w:ascii="Times New Roman" w:hAnsi="Times New Roman"/>
          <w:color w:val="000000" w:themeColor="text1"/>
          <w:sz w:val="16"/>
          <w:szCs w:val="16"/>
        </w:rPr>
        <w:softHyphen/>
        <w:t>молет С-38 с мотором АМ-38ф с улуч</w:t>
      </w:r>
      <w:r w:rsidRPr="00D03F3E">
        <w:rPr>
          <w:rFonts w:ascii="Times New Roman" w:hAnsi="Times New Roman"/>
          <w:color w:val="000000" w:themeColor="text1"/>
          <w:sz w:val="16"/>
          <w:szCs w:val="16"/>
        </w:rPr>
        <w:softHyphen/>
        <w:t xml:space="preserve">шенной продольной устойчивостью. На С-38 требовалось установить новое крыло «с </w:t>
      </w:r>
      <w:r w:rsidRPr="00D03F3E">
        <w:rPr>
          <w:rFonts w:ascii="Times New Roman" w:hAnsi="Times New Roman"/>
          <w:iCs/>
          <w:color w:val="000000" w:themeColor="text1"/>
          <w:sz w:val="16"/>
          <w:szCs w:val="16"/>
        </w:rPr>
        <w:t xml:space="preserve">отведенными назад на 6° отъемными частями крыла». </w:t>
      </w:r>
      <w:r w:rsidRPr="00D03F3E">
        <w:rPr>
          <w:rFonts w:ascii="Times New Roman" w:hAnsi="Times New Roman"/>
          <w:color w:val="000000" w:themeColor="text1"/>
          <w:sz w:val="16"/>
          <w:szCs w:val="16"/>
        </w:rPr>
        <w:t>В доку</w:t>
      </w:r>
      <w:r w:rsidRPr="00D03F3E">
        <w:rPr>
          <w:rFonts w:ascii="Times New Roman" w:hAnsi="Times New Roman"/>
          <w:color w:val="000000" w:themeColor="text1"/>
          <w:sz w:val="16"/>
          <w:szCs w:val="16"/>
        </w:rPr>
        <w:softHyphen/>
        <w:t xml:space="preserve">ментах такое крыло еще называлось </w:t>
      </w:r>
      <w:r w:rsidRPr="00D03F3E">
        <w:rPr>
          <w:rFonts w:ascii="Times New Roman" w:hAnsi="Times New Roman"/>
          <w:iCs/>
          <w:color w:val="000000" w:themeColor="text1"/>
          <w:sz w:val="16"/>
          <w:szCs w:val="16"/>
        </w:rPr>
        <w:t xml:space="preserve">«крыло со стрелкой». </w:t>
      </w:r>
      <w:r w:rsidRPr="00D03F3E">
        <w:rPr>
          <w:rFonts w:ascii="Times New Roman" w:hAnsi="Times New Roman"/>
          <w:color w:val="000000" w:themeColor="text1"/>
          <w:sz w:val="16"/>
          <w:szCs w:val="16"/>
        </w:rPr>
        <w:t>При этом куйбы</w:t>
      </w:r>
      <w:r w:rsidRPr="00D03F3E">
        <w:rPr>
          <w:rFonts w:ascii="Times New Roman" w:hAnsi="Times New Roman"/>
          <w:color w:val="000000" w:themeColor="text1"/>
          <w:sz w:val="16"/>
          <w:szCs w:val="16"/>
        </w:rPr>
        <w:softHyphen/>
        <w:t>шевские авиазаводы №№ 1 и 18 долж</w:t>
      </w:r>
      <w:r w:rsidRPr="00D03F3E">
        <w:rPr>
          <w:rFonts w:ascii="Times New Roman" w:hAnsi="Times New Roman"/>
          <w:color w:val="000000" w:themeColor="text1"/>
          <w:sz w:val="16"/>
          <w:szCs w:val="16"/>
        </w:rPr>
        <w:softHyphen/>
        <w:t>ны были предъявить на государствен</w:t>
      </w:r>
      <w:r w:rsidRPr="00D03F3E">
        <w:rPr>
          <w:rFonts w:ascii="Times New Roman" w:hAnsi="Times New Roman"/>
          <w:color w:val="000000" w:themeColor="text1"/>
          <w:sz w:val="16"/>
          <w:szCs w:val="16"/>
        </w:rPr>
        <w:softHyphen/>
        <w:t>ные испытания по одному такому са</w:t>
      </w:r>
      <w:r w:rsidRPr="00D03F3E">
        <w:rPr>
          <w:rFonts w:ascii="Times New Roman" w:hAnsi="Times New Roman"/>
          <w:color w:val="000000" w:themeColor="text1"/>
          <w:sz w:val="16"/>
          <w:szCs w:val="16"/>
        </w:rPr>
        <w:softHyphen/>
        <w:t>молету к 10 июля, а московский авиа</w:t>
      </w:r>
      <w:r w:rsidRPr="00D03F3E">
        <w:rPr>
          <w:rFonts w:ascii="Times New Roman" w:hAnsi="Times New Roman"/>
          <w:color w:val="000000" w:themeColor="text1"/>
          <w:sz w:val="16"/>
          <w:szCs w:val="16"/>
        </w:rPr>
        <w:softHyphen/>
        <w:t>завод № 30 - один самолет к 1 августа (11215).</w:t>
      </w:r>
    </w:p>
    <w:p w14:paraId="3F256D1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9D7CDE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мая 1943 г. Ильюшин обратился к заместителю наркома авиапромышленности Дементьеву с письмом следующего содержания: "С переходом на двухместный Ил-2 с мотором АМ-38 центровка самолета сместилась назад до 31,5%. В данный момент на всех заводах, особенно на 30-м заводе, центровка имеет тенденцию уходить назад до 33,4% (з-д № 30). Совершенно необходимо центровку сместить более вперед, так как центровка 33,5-34% усложняет технику пилотирования самолетом. Для возвращения центровки самолета к центровке одноместного Ил-2 необходимо сдвинуть концы консолей крыла назад на 6°, что обеспечит центровку 29%". Предлагалось дать задание заводам построить к 1 июля по два самолета Ил-2 с новым крылом.</w:t>
      </w:r>
    </w:p>
    <w:p w14:paraId="0703AF2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этому времени в ЛИИ НКАП была отработана установка на Ил-2 в системе управления рулем высоты амортизационной пружины и контрбалансира.</w:t>
      </w:r>
    </w:p>
    <w:p w14:paraId="33632B8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Контрбалансир уравновешивал силы инерции, возникающие от весовой компенсации руля высоты при криволинейном полете. Амортизационная пружина повышала запас продольной устойчивости при полете с брошенной ручкой управления - натяжение пружины создавало постоянно действующую силу, возвращающую руль высоты в исходное положение при изменении режима полета самолета под действием внешних сил.</w:t>
      </w:r>
    </w:p>
    <w:p w14:paraId="7E89DB5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Пилотирование Ил-2 упростилось. На виражах и пикировании самолет вел себя устойчиво. С отрегулированным триммером руля высоты позволял полет с брошенной ручкой управления.</w:t>
      </w:r>
    </w:p>
    <w:p w14:paraId="09B1929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недостаткам летчики относили лишь то, что амортизационная пружина на рулении и на пробеге оттягивала ручку управления от себя - "самолет сильно висит на ручке", а при выводе из пикирования требовалось прикладывать большие усилия (12020).</w:t>
      </w:r>
    </w:p>
    <w:p w14:paraId="7C529FC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8C849B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мая 1943 на заводе № 18 были завершены работы по Ил-2М и начались предварительные заводские испытания. На самолете устанавливался опытный воздушный винт АВ-5л-18А диаметром 4,0 м.</w:t>
      </w:r>
    </w:p>
    <w:p w14:paraId="06C1DD9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первой же рулежке обнаружились серьезные дефекты винтовой группы. Их устранение затянулось до конца мая. По некоторым сведениям первый полет Ил-2М выполнил 2 июня.</w:t>
      </w:r>
    </w:p>
    <w:p w14:paraId="565D812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летным и пилотажным качествам Ил-2М оказался значительно лучше серийного Ил-2 с АМ-38ф. Так, максимальная скорость горизонтального полета достигала 470 км/ч. Однако из-за сильной тряски летные данные самолета в полном объеме снять не удалось. Тряска появлялась при оборотах винта 2220 об/мин и ниже. Причем "при утяжелении винта" тряска увеличивалась "до размеров, препятствующих нормальному полету". Кроме этого, "при резкой даче газа наблюдался заброс оборотов винта на 150-200 об/мин при очень быстром восстановлении (3-4 сек)". Раскрутки винта не было.</w:t>
      </w:r>
    </w:p>
    <w:p w14:paraId="5C2FA21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демонстрировал вполне приличные пилотажные качества. При наборе высоты, в горизонтальном полете и на планировании штурмовик был устойчив во всех плоскостях. Устойчивость оказалась даже несколько излишней. В отчете по испытаниям отмечалось, что "при возникновении крена при болтанке самолет не быстро возвращается в горизонтальное положение и требует значительных усилий для выравнивания". При вводе самолета в разворот для создания крена требовались значительные усилия. Заметного запаздывания в реагировании на отклонение рулей не наблюдалось. Посадка, даже без щитков, производилась без затруднений. Отклонение рулей было вполне достаточным.</w:t>
      </w:r>
    </w:p>
    <w:p w14:paraId="2A69EA5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рулежке и взлете самолет хорошо выдерживал прямолинейное движение, был "послушен к тормозам", тенденций к подъему хвоста и развороту не имел. Самолет быстро набирал скорость и отрывался от земли.</w:t>
      </w:r>
    </w:p>
    <w:p w14:paraId="3C4F652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 работал устойчиво без признаков детонации, показывая хорошую приемистость. Новая схема размещения водо- и маслорадиаторов оказалась вполне удачной: температура воды и масла на всех режимах полета находилась в пределах нормы. В Гоже время воздушный пылефильтр ЦАГИ не обеспечивал требуемых значений наддува воздуха на номинальном и взлетном режимах. Требовалось изменить его конструкцию.</w:t>
      </w:r>
    </w:p>
    <w:p w14:paraId="4CE8F57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общем, по летным, пилотажным и эксплуатационным возможностям новый штурмовик производил вполне благоприятное впечатление, но постоянная тряска не позволяла нормально летать (12920).</w:t>
      </w:r>
    </w:p>
    <w:p w14:paraId="201EB89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59B6BB1" w14:textId="77777777" w:rsidR="002449BF" w:rsidRPr="00D03F3E" w:rsidRDefault="002449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мая 1943 работа комиссия под председательством заместителя на</w:t>
      </w:r>
      <w:r w:rsidRPr="00D03F3E">
        <w:rPr>
          <w:rFonts w:ascii="Times New Roman" w:hAnsi="Times New Roman"/>
          <w:color w:val="000000" w:themeColor="text1"/>
          <w:sz w:val="16"/>
          <w:szCs w:val="16"/>
        </w:rPr>
        <w:softHyphen/>
        <w:t>чальника УЗСиМ ВВС инженер-полков- ника Я.Я. Салтанова, которая проводила инспек</w:t>
      </w:r>
      <w:r w:rsidRPr="00D03F3E">
        <w:rPr>
          <w:rFonts w:ascii="Times New Roman" w:hAnsi="Times New Roman"/>
          <w:color w:val="000000" w:themeColor="text1"/>
          <w:sz w:val="16"/>
          <w:szCs w:val="16"/>
        </w:rPr>
        <w:softHyphen/>
        <w:t>цию организации производства и соблю</w:t>
      </w:r>
      <w:r w:rsidRPr="00D03F3E">
        <w:rPr>
          <w:rFonts w:ascii="Times New Roman" w:hAnsi="Times New Roman"/>
          <w:color w:val="000000" w:themeColor="text1"/>
          <w:sz w:val="16"/>
          <w:szCs w:val="16"/>
        </w:rPr>
        <w:softHyphen/>
        <w:t>дения технологии изготовления деревян</w:t>
      </w:r>
      <w:r w:rsidRPr="00D03F3E">
        <w:rPr>
          <w:rFonts w:ascii="Times New Roman" w:hAnsi="Times New Roman"/>
          <w:color w:val="000000" w:themeColor="text1"/>
          <w:sz w:val="16"/>
          <w:szCs w:val="16"/>
        </w:rPr>
        <w:softHyphen/>
        <w:t>ных агрегатов Ил-2 на заводах №№ 1, 18 и 30 и в состав которой вошли предста вители ГУ ИАС ВВС, 10 ГУ НКАП, СКБ-240 Ильюшина и заводов выявила примене</w:t>
      </w:r>
      <w:r w:rsidRPr="00D03F3E">
        <w:rPr>
          <w:rFonts w:ascii="Times New Roman" w:hAnsi="Times New Roman"/>
          <w:color w:val="000000" w:themeColor="text1"/>
          <w:sz w:val="16"/>
          <w:szCs w:val="16"/>
        </w:rPr>
        <w:softHyphen/>
        <w:t>ние недоброкачественных материалов и многочисленные нарушения технологи</w:t>
      </w:r>
      <w:r w:rsidRPr="00D03F3E">
        <w:rPr>
          <w:rFonts w:ascii="Times New Roman" w:hAnsi="Times New Roman"/>
          <w:color w:val="000000" w:themeColor="text1"/>
          <w:sz w:val="16"/>
          <w:szCs w:val="16"/>
        </w:rPr>
        <w:softHyphen/>
        <w:t>ческого процесса обработки древесины, склейки, сборки и окраски крыльев, а также случаи правки стыковых узлов по</w:t>
      </w:r>
      <w:r w:rsidRPr="00D03F3E">
        <w:rPr>
          <w:rFonts w:ascii="Times New Roman" w:hAnsi="Times New Roman"/>
          <w:color w:val="000000" w:themeColor="text1"/>
          <w:sz w:val="16"/>
          <w:szCs w:val="16"/>
        </w:rPr>
        <w:softHyphen/>
        <w:t>сле их термической обработки. При этом наиболее серьезные нарушения техно</w:t>
      </w:r>
      <w:r w:rsidRPr="00D03F3E">
        <w:rPr>
          <w:rFonts w:ascii="Times New Roman" w:hAnsi="Times New Roman"/>
          <w:color w:val="000000" w:themeColor="text1"/>
          <w:sz w:val="16"/>
          <w:szCs w:val="16"/>
        </w:rPr>
        <w:softHyphen/>
        <w:t>логии изготовления деталей и агрегатов Ил-2 были зафиксированы на московском заводе №30 (19557).</w:t>
      </w:r>
    </w:p>
    <w:p w14:paraId="467F370C" w14:textId="77777777" w:rsidR="002449BF" w:rsidRPr="00D03F3E" w:rsidRDefault="002449BF" w:rsidP="00D03F3E">
      <w:pPr>
        <w:spacing w:after="0" w:line="240" w:lineRule="auto"/>
        <w:jc w:val="both"/>
        <w:rPr>
          <w:rFonts w:ascii="Times New Roman" w:hAnsi="Times New Roman"/>
          <w:color w:val="000000" w:themeColor="text1"/>
          <w:sz w:val="16"/>
          <w:szCs w:val="16"/>
        </w:rPr>
      </w:pPr>
    </w:p>
    <w:p w14:paraId="196FA7B8" w14:textId="77777777" w:rsidR="002449BF" w:rsidRPr="00D03F3E" w:rsidRDefault="002449BF"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середине мая 1943 г. ОКБ В.Ф. Болховитинов было перебазировано на старую базу в Химки. Началась организация отдела двигателей. В нем стали работать: Л.А. Пчелин, А.А. Толстов, В.Ф. Берг лезов, И.И. Райков, Г.Г. Головинцова, В.Г. Ефремов, Н.И. Коровин (19586).</w:t>
      </w:r>
    </w:p>
    <w:p w14:paraId="6B8207F2" w14:textId="77777777" w:rsidR="002449BF" w:rsidRPr="00D03F3E" w:rsidRDefault="002449BF" w:rsidP="00D03F3E">
      <w:pPr>
        <w:pStyle w:val="ae"/>
        <w:shd w:val="clear" w:color="auto" w:fill="FFFFFF"/>
        <w:spacing w:before="0" w:after="0"/>
        <w:jc w:val="both"/>
        <w:rPr>
          <w:color w:val="000000" w:themeColor="text1"/>
          <w:sz w:val="16"/>
          <w:szCs w:val="16"/>
        </w:rPr>
      </w:pPr>
    </w:p>
    <w:p w14:paraId="7677C167" w14:textId="77777777" w:rsidR="00531570" w:rsidRPr="00D03F3E" w:rsidRDefault="00C81444" w:rsidP="00D03F3E">
      <w:pPr>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6B437B3C" w14:textId="77777777" w:rsidR="00531570" w:rsidRPr="00D03F3E" w:rsidRDefault="00531570" w:rsidP="00D03F3E">
      <w:pPr>
        <w:spacing w:after="0" w:line="240" w:lineRule="auto"/>
        <w:jc w:val="both"/>
        <w:rPr>
          <w:rFonts w:ascii="Times New Roman" w:hAnsi="Times New Roman"/>
          <w:iCs/>
          <w:color w:val="000000" w:themeColor="text1"/>
          <w:sz w:val="16"/>
          <w:szCs w:val="16"/>
        </w:rPr>
      </w:pPr>
    </w:p>
    <w:p w14:paraId="16DB9F8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мая 1943 г., ввиду прекращения произ</w:t>
      </w:r>
      <w:r w:rsidRPr="00D03F3E">
        <w:rPr>
          <w:rFonts w:ascii="Times New Roman" w:hAnsi="Times New Roman"/>
          <w:color w:val="000000" w:themeColor="text1"/>
          <w:sz w:val="16"/>
          <w:szCs w:val="16"/>
        </w:rPr>
        <w:softHyphen/>
        <w:t>водства командирских панорам ПТ-4-7, СУ С-1 начали ком</w:t>
      </w:r>
      <w:r w:rsidRPr="00D03F3E">
        <w:rPr>
          <w:rFonts w:ascii="Times New Roman" w:hAnsi="Times New Roman"/>
          <w:color w:val="000000" w:themeColor="text1"/>
          <w:sz w:val="16"/>
          <w:szCs w:val="16"/>
        </w:rPr>
        <w:softHyphen/>
        <w:t>плектовать ПТК-5, которые монтировались вместе с их бро</w:t>
      </w:r>
      <w:r w:rsidRPr="00D03F3E">
        <w:rPr>
          <w:rFonts w:ascii="Times New Roman" w:hAnsi="Times New Roman"/>
          <w:color w:val="000000" w:themeColor="text1"/>
          <w:sz w:val="16"/>
          <w:szCs w:val="16"/>
        </w:rPr>
        <w:softHyphen/>
        <w:t>нировкой от танка Т-34. Некоторые САУ перед Курской ду</w:t>
      </w:r>
      <w:r w:rsidRPr="00D03F3E">
        <w:rPr>
          <w:rFonts w:ascii="Times New Roman" w:hAnsi="Times New Roman"/>
          <w:color w:val="000000" w:themeColor="text1"/>
          <w:sz w:val="16"/>
          <w:szCs w:val="16"/>
        </w:rPr>
        <w:softHyphen/>
        <w:t>гой были приняты без панорамного прицела, так как их предполагали использовать главным образом против немец</w:t>
      </w:r>
      <w:r w:rsidRPr="00D03F3E">
        <w:rPr>
          <w:rFonts w:ascii="Times New Roman" w:hAnsi="Times New Roman"/>
          <w:color w:val="000000" w:themeColor="text1"/>
          <w:sz w:val="16"/>
          <w:szCs w:val="16"/>
        </w:rPr>
        <w:softHyphen/>
        <w:t>ких танков и иных целей ведением огня «прямой наводкой» (11417).</w:t>
      </w:r>
    </w:p>
    <w:p w14:paraId="0283420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0088CD6E"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1B3DA1FF" w14:textId="77777777" w:rsidR="00531570" w:rsidRPr="00D03F3E" w:rsidRDefault="00531570" w:rsidP="00D03F3E">
      <w:pPr>
        <w:pStyle w:val="Iauiue"/>
        <w:jc w:val="both"/>
        <w:rPr>
          <w:iCs/>
          <w:color w:val="000000" w:themeColor="text1"/>
          <w:sz w:val="16"/>
          <w:szCs w:val="16"/>
        </w:rPr>
      </w:pPr>
    </w:p>
    <w:p w14:paraId="267C847B"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16 мая 1943 испытания самолета «Пегас» № 01 пришлось прекратить.</w:t>
      </w:r>
    </w:p>
    <w:p w14:paraId="11F32902"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Летную программу испытаний, возобновленных 9 апреля 1943, в полном объеме завершить не удалось, так как самолет после 36 ч 30 мин налета (96 полетов, включая заводские испытания) пришел в полную негодность.</w:t>
      </w:r>
    </w:p>
    <w:p w14:paraId="3878E40B"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Основные изменения в ходе доработки самоле</w:t>
      </w:r>
      <w:r w:rsidRPr="00D03F3E">
        <w:rPr>
          <w:color w:val="000000" w:themeColor="text1"/>
          <w:sz w:val="16"/>
          <w:szCs w:val="16"/>
        </w:rPr>
        <w:softHyphen/>
        <w:t>та сводились к следующему. Отработана подвеска под фюзеляжем легкосъемного лафета с двумя пуш</w:t>
      </w:r>
      <w:r w:rsidRPr="00D03F3E">
        <w:rPr>
          <w:color w:val="000000" w:themeColor="text1"/>
          <w:sz w:val="16"/>
          <w:szCs w:val="16"/>
        </w:rPr>
        <w:softHyphen/>
        <w:t>ками ВЯ с боекомплектом по 80 снарядов на ствол. Доведена носовая пулеметная установка в части обеспечения сбора гильз и звеньев в носовой ча</w:t>
      </w:r>
      <w:r w:rsidRPr="00D03F3E">
        <w:rPr>
          <w:color w:val="000000" w:themeColor="text1"/>
          <w:sz w:val="16"/>
          <w:szCs w:val="16"/>
        </w:rPr>
        <w:softHyphen/>
        <w:t>сти фюзеляжа. Боекомплект к пулемету сократил</w:t>
      </w:r>
      <w:r w:rsidRPr="00D03F3E">
        <w:rPr>
          <w:color w:val="000000" w:themeColor="text1"/>
          <w:sz w:val="16"/>
          <w:szCs w:val="16"/>
        </w:rPr>
        <w:softHyphen/>
        <w:t>ся до 140 патронов. Доработали бомбовый мост. Вместо 3 на него смонтировали 5 замков МДЗ-40. Теперь на него допускалась подвеска бомбовой нагрузки в 500 кг, в том числе одной ФАБ-500. При этом подвеска бомб на 2 крайних замка осущест</w:t>
      </w:r>
      <w:r w:rsidRPr="00D03F3E">
        <w:rPr>
          <w:color w:val="000000" w:themeColor="text1"/>
          <w:sz w:val="16"/>
          <w:szCs w:val="16"/>
        </w:rPr>
        <w:softHyphen/>
        <w:t>влялась вручную, а на 3 средних — при помощи лебедки. Как и прежде, бомбометание обеспечива</w:t>
      </w:r>
      <w:r w:rsidRPr="00D03F3E">
        <w:rPr>
          <w:color w:val="000000" w:themeColor="text1"/>
          <w:sz w:val="16"/>
          <w:szCs w:val="16"/>
        </w:rPr>
        <w:softHyphen/>
        <w:t>лось только с горизонтального полета. Прицел для бомбометания не устанавливался. Емкость бро</w:t>
      </w:r>
      <w:r w:rsidRPr="00D03F3E">
        <w:rPr>
          <w:color w:val="000000" w:themeColor="text1"/>
          <w:sz w:val="16"/>
          <w:szCs w:val="16"/>
        </w:rPr>
        <w:softHyphen/>
        <w:t>нированных бензиновых бачков в мотогондолах и основных бензобаков немного увеличили — до 20 и 153 л каждый соответственно.</w:t>
      </w:r>
    </w:p>
    <w:p w14:paraId="10D13F92"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Вес пустого самолета возрос до 1450 кг. Полет</w:t>
      </w:r>
      <w:r w:rsidRPr="00D03F3E">
        <w:rPr>
          <w:color w:val="000000" w:themeColor="text1"/>
          <w:sz w:val="16"/>
          <w:szCs w:val="16"/>
        </w:rPr>
        <w:softHyphen/>
        <w:t>ный вес самолета в варианте штурмовика с пушка</w:t>
      </w:r>
      <w:r w:rsidRPr="00D03F3E">
        <w:rPr>
          <w:color w:val="000000" w:themeColor="text1"/>
          <w:sz w:val="16"/>
          <w:szCs w:val="16"/>
        </w:rPr>
        <w:softHyphen/>
        <w:t>ми ВЯ достигал 2150 кг, а в варианте легкого бом</w:t>
      </w:r>
      <w:r w:rsidRPr="00D03F3E">
        <w:rPr>
          <w:color w:val="000000" w:themeColor="text1"/>
          <w:sz w:val="16"/>
          <w:szCs w:val="16"/>
        </w:rPr>
        <w:softHyphen/>
        <w:t>бардировщика с 500 кг бомб — 2320 кг. Центровка самолета при всех вариантах нагрузки находилась в диапазоне от 29,45% САХ (пустой самолет) до 30,2% САХ (с ВЯ).</w:t>
      </w:r>
    </w:p>
    <w:p w14:paraId="46807D6F"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варианте штурмовика максимальная скорость у земли составила 172 км/ч. Вертикальная скорость у земли — 2,7 м/с. На высоту 1000 м самолет за</w:t>
      </w:r>
      <w:r w:rsidRPr="00D03F3E">
        <w:rPr>
          <w:color w:val="000000" w:themeColor="text1"/>
          <w:sz w:val="16"/>
          <w:szCs w:val="16"/>
        </w:rPr>
        <w:softHyphen/>
        <w:t>бирался за 7,7 мин. Вираж на 1000 м выполнялся за 39—41 с. Практический потолок не превышал 2620 м.</w:t>
      </w:r>
    </w:p>
    <w:p w14:paraId="4A58EA68"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В варианте бомбардировщика (500 кг бомб) летные данные ухудшались: скорость у земли — 167 км/ч, вертикальная скорость — 1,6 м/с, время подъема на 1000 м — 12,6 мин, практический по</w:t>
      </w:r>
      <w:r w:rsidRPr="00D03F3E">
        <w:rPr>
          <w:color w:val="000000" w:themeColor="text1"/>
          <w:sz w:val="16"/>
          <w:szCs w:val="16"/>
        </w:rPr>
        <w:softHyphen/>
        <w:t>толок — 1900 м.</w:t>
      </w:r>
    </w:p>
    <w:p w14:paraId="502584E0"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полетном весе 1868 кг (без бомб) разбег не превышал 230 м, пробег (50% горючего) — 440 м. При увеличении полетного веса до 2068 кг разбег возрастал до 345 м.</w:t>
      </w:r>
    </w:p>
    <w:p w14:paraId="4A677132"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Дальность полета в варианте штурмовика на скорости 0,85 максимальной (150 км/ч — мини</w:t>
      </w:r>
      <w:r w:rsidRPr="00D03F3E">
        <w:rPr>
          <w:color w:val="000000" w:themeColor="text1"/>
          <w:sz w:val="16"/>
          <w:szCs w:val="16"/>
        </w:rPr>
        <w:softHyphen/>
        <w:t>мальная скорость из условий безопасности полета) достигала 410 км.</w:t>
      </w:r>
    </w:p>
    <w:p w14:paraId="7D6E739C"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Модернизированный «Пегас» оказался не столь простым в управлении, как ожидалось. В полете наблюдались раскачивание при подвешенном во</w:t>
      </w:r>
      <w:r w:rsidRPr="00D03F3E">
        <w:rPr>
          <w:color w:val="000000" w:themeColor="text1"/>
          <w:sz w:val="16"/>
          <w:szCs w:val="16"/>
        </w:rPr>
        <w:softHyphen/>
        <w:t>оружении (особенно с бомбами) и тряска хвоста на некоторых режимах полета.</w:t>
      </w:r>
    </w:p>
    <w:p w14:paraId="11562FD2"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Летчики отмечали, что из-за отсутствия управля</w:t>
      </w:r>
      <w:r w:rsidRPr="00D03F3E">
        <w:rPr>
          <w:color w:val="000000" w:themeColor="text1"/>
          <w:sz w:val="16"/>
          <w:szCs w:val="16"/>
        </w:rPr>
        <w:softHyphen/>
        <w:t>емого триммера самолет балансируется только на определенных режимах и центровках: при наборе высоты — на скорости 155—160 км/ч, на планиро</w:t>
      </w:r>
      <w:r w:rsidRPr="00D03F3E">
        <w:rPr>
          <w:color w:val="000000" w:themeColor="text1"/>
          <w:sz w:val="16"/>
          <w:szCs w:val="16"/>
        </w:rPr>
        <w:softHyphen/>
        <w:t>вании — на скорости 180—190 км/ч и в горизон</w:t>
      </w:r>
      <w:r w:rsidRPr="00D03F3E">
        <w:rPr>
          <w:color w:val="000000" w:themeColor="text1"/>
          <w:sz w:val="16"/>
          <w:szCs w:val="16"/>
        </w:rPr>
        <w:softHyphen/>
        <w:t>тальном полете — на скорости 160—170 км/ч.</w:t>
      </w:r>
    </w:p>
    <w:p w14:paraId="3275406A"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Самолет характеризовался недостаточной путе</w:t>
      </w:r>
      <w:r w:rsidRPr="00D03F3E">
        <w:rPr>
          <w:color w:val="000000" w:themeColor="text1"/>
          <w:sz w:val="16"/>
          <w:szCs w:val="16"/>
        </w:rPr>
        <w:softHyphen/>
        <w:t>вой и близкой к нейтральной поперечной устойчи</w:t>
      </w:r>
      <w:r w:rsidRPr="00D03F3E">
        <w:rPr>
          <w:color w:val="000000" w:themeColor="text1"/>
          <w:sz w:val="16"/>
          <w:szCs w:val="16"/>
        </w:rPr>
        <w:softHyphen/>
        <w:t>востью. Руля высоты для трехточечной посадки при предельно передней центровке 26,7% САХ хватает, но запас мал. Вводить самолет в пикирование с га</w:t>
      </w:r>
      <w:r w:rsidRPr="00D03F3E">
        <w:rPr>
          <w:color w:val="000000" w:themeColor="text1"/>
          <w:sz w:val="16"/>
          <w:szCs w:val="16"/>
        </w:rPr>
        <w:softHyphen/>
        <w:t>зом очень тяжело.</w:t>
      </w:r>
    </w:p>
    <w:p w14:paraId="5734F407"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полете сильно задувает в кабину с пола. В го</w:t>
      </w:r>
      <w:r w:rsidRPr="00D03F3E">
        <w:rPr>
          <w:color w:val="000000" w:themeColor="text1"/>
          <w:sz w:val="16"/>
          <w:szCs w:val="16"/>
        </w:rPr>
        <w:softHyphen/>
        <w:t>ризонтальном полете и на пикировании «винты дают раскрутку, поэтому полностью использовать мощность моторов невозможно».</w:t>
      </w:r>
    </w:p>
    <w:p w14:paraId="2582A25C"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Диапазон возможных скоростей полета («при большой минимальной скорости») сочли совершен</w:t>
      </w:r>
      <w:r w:rsidRPr="00D03F3E">
        <w:rPr>
          <w:color w:val="000000" w:themeColor="text1"/>
          <w:sz w:val="16"/>
          <w:szCs w:val="16"/>
        </w:rPr>
        <w:softHyphen/>
        <w:t>но недостаточным для выполнения маневров при построении захода на цель и ухода от нее и при по</w:t>
      </w:r>
      <w:r w:rsidRPr="00D03F3E">
        <w:rPr>
          <w:color w:val="000000" w:themeColor="text1"/>
          <w:sz w:val="16"/>
          <w:szCs w:val="16"/>
        </w:rPr>
        <w:softHyphen/>
        <w:t>летах в строю, особенно большими группами.</w:t>
      </w:r>
    </w:p>
    <w:p w14:paraId="1F9B79E4"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Стрелковое и пушечное вооружение в ходе ис</w:t>
      </w:r>
      <w:r w:rsidRPr="00D03F3E">
        <w:rPr>
          <w:color w:val="000000" w:themeColor="text1"/>
          <w:sz w:val="16"/>
          <w:szCs w:val="16"/>
        </w:rPr>
        <w:softHyphen/>
        <w:t>пытаний постоянно доводилось силами специали</w:t>
      </w:r>
      <w:r w:rsidRPr="00D03F3E">
        <w:rPr>
          <w:color w:val="000000" w:themeColor="text1"/>
          <w:sz w:val="16"/>
          <w:szCs w:val="16"/>
        </w:rPr>
        <w:softHyphen/>
        <w:t>стов НИИ ВВС. На отработку оружия было выпол</w:t>
      </w:r>
      <w:r w:rsidRPr="00D03F3E">
        <w:rPr>
          <w:color w:val="000000" w:themeColor="text1"/>
          <w:sz w:val="16"/>
          <w:szCs w:val="16"/>
        </w:rPr>
        <w:softHyphen/>
        <w:t>нено 11 полетов. Стрельба велась в горизонталь ном полете и с пикирования. Из пушек всего было выполнено 1842 выстрела, в том числе 454 — на земле, 1388 — в воздухе. Получено 6,8% задержек в стрельбе и 3 поломки. Из пулемета УБК отстреля</w:t>
      </w:r>
      <w:r w:rsidRPr="00D03F3E">
        <w:rPr>
          <w:color w:val="000000" w:themeColor="text1"/>
          <w:sz w:val="16"/>
          <w:szCs w:val="16"/>
        </w:rPr>
        <w:softHyphen/>
        <w:t>ли в воздухе 875 и на земле 475 патронов. Было за</w:t>
      </w:r>
      <w:r w:rsidRPr="00D03F3E">
        <w:rPr>
          <w:color w:val="000000" w:themeColor="text1"/>
          <w:sz w:val="16"/>
          <w:szCs w:val="16"/>
        </w:rPr>
        <w:softHyphen/>
        <w:t>фиксировано 10% задержек и 4 поломки.</w:t>
      </w:r>
    </w:p>
    <w:p w14:paraId="2A9FEAD5"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Рассеивание определялось стрельбой в воздухе по щитам (12x12 м). Стрельба велась с пикирова</w:t>
      </w:r>
      <w:r w:rsidRPr="00D03F3E">
        <w:rPr>
          <w:color w:val="000000" w:themeColor="text1"/>
          <w:sz w:val="16"/>
          <w:szCs w:val="16"/>
        </w:rPr>
        <w:softHyphen/>
        <w:t>ния под углом 25—30° с дистанции 800—900 м оче</w:t>
      </w:r>
      <w:r w:rsidRPr="00D03F3E">
        <w:rPr>
          <w:color w:val="000000" w:themeColor="text1"/>
          <w:sz w:val="16"/>
          <w:szCs w:val="16"/>
        </w:rPr>
        <w:softHyphen/>
        <w:t>редями по 2—10 снарядов.</w:t>
      </w:r>
    </w:p>
    <w:p w14:paraId="5400C066"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Выяснилось, что при стрельбе из пулемета УБК на скорости 150—160 км/ч самолет стремился ка- брировать, а при стрельбе из пушек, наоборот — пикировать. При стрельбе из всех 3 точек — из пушек и пулемета — «моменты кабрирования и пикирования уравновешиваются, но самолет раска</w:t>
      </w:r>
      <w:r w:rsidRPr="00D03F3E">
        <w:rPr>
          <w:color w:val="000000" w:themeColor="text1"/>
          <w:sz w:val="16"/>
          <w:szCs w:val="16"/>
        </w:rPr>
        <w:softHyphen/>
        <w:t>чивается, и продолжительное время вести стрель</w:t>
      </w:r>
      <w:r w:rsidRPr="00D03F3E">
        <w:rPr>
          <w:color w:val="000000" w:themeColor="text1"/>
          <w:sz w:val="16"/>
          <w:szCs w:val="16"/>
        </w:rPr>
        <w:softHyphen/>
        <w:t>бу невозможно».</w:t>
      </w:r>
    </w:p>
    <w:p w14:paraId="3BE1ECC9"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стрельбе из пушек в горизонтальном по</w:t>
      </w:r>
      <w:r w:rsidRPr="00D03F3E">
        <w:rPr>
          <w:color w:val="000000" w:themeColor="text1"/>
          <w:sz w:val="16"/>
          <w:szCs w:val="16"/>
        </w:rPr>
        <w:softHyphen/>
        <w:t>лете длинными очередями до 10 снарядов само</w:t>
      </w:r>
      <w:r w:rsidRPr="00D03F3E">
        <w:rPr>
          <w:color w:val="000000" w:themeColor="text1"/>
          <w:sz w:val="16"/>
          <w:szCs w:val="16"/>
        </w:rPr>
        <w:softHyphen/>
        <w:t>лет терял в скорости полета до 15 км/ч (примерно 9% от максимальной скорости). При этом самолет испытывал значительную тряску и летчик не в со</w:t>
      </w:r>
      <w:r w:rsidRPr="00D03F3E">
        <w:rPr>
          <w:color w:val="000000" w:themeColor="text1"/>
          <w:sz w:val="16"/>
          <w:szCs w:val="16"/>
        </w:rPr>
        <w:softHyphen/>
        <w:t>стоянии при стрельбе удерживать линию визиро</w:t>
      </w:r>
      <w:r w:rsidRPr="00D03F3E">
        <w:rPr>
          <w:color w:val="000000" w:themeColor="text1"/>
          <w:sz w:val="16"/>
          <w:szCs w:val="16"/>
        </w:rPr>
        <w:softHyphen/>
        <w:t>вания на цели. Прицельность стрельбы из пушек нарушалась уже после первых 1—2 выстрелов. Кроме того, из-за слишком длинных пламегасите</w:t>
      </w:r>
      <w:r w:rsidRPr="00D03F3E">
        <w:rPr>
          <w:color w:val="000000" w:themeColor="text1"/>
          <w:sz w:val="16"/>
          <w:szCs w:val="16"/>
        </w:rPr>
        <w:softHyphen/>
        <w:t>лей стволы пушек при стрельбе сильно вибрирова</w:t>
      </w:r>
      <w:r w:rsidRPr="00D03F3E">
        <w:rPr>
          <w:color w:val="000000" w:themeColor="text1"/>
          <w:sz w:val="16"/>
          <w:szCs w:val="16"/>
        </w:rPr>
        <w:softHyphen/>
        <w:t>ли. Все это, вместе взятое, вызывало большое рас</w:t>
      </w:r>
      <w:r w:rsidRPr="00D03F3E">
        <w:rPr>
          <w:color w:val="000000" w:themeColor="text1"/>
          <w:sz w:val="16"/>
          <w:szCs w:val="16"/>
        </w:rPr>
        <w:softHyphen/>
        <w:t>сеивание снарядов. Так, при стрельбе короткими очередями (2—4 выстрела) боковое отклонение и отклонение по дальности достигало 7,2 и 13,2 м соответственно. Прицеливаться, используя кольцо и мушку, было крайне неудобно. После первой оче</w:t>
      </w:r>
      <w:r w:rsidRPr="00D03F3E">
        <w:rPr>
          <w:color w:val="000000" w:themeColor="text1"/>
          <w:sz w:val="16"/>
          <w:szCs w:val="16"/>
        </w:rPr>
        <w:softHyphen/>
        <w:t>реди поймать цель снова в прицел трудно, поэтому прицельно вести стрельбу по одной и той же цели невозможно. Не обеспечена перезарядка пулемета в воздухе. Обзор летчику вперед-вниз на 15° при</w:t>
      </w:r>
      <w:r w:rsidRPr="00D03F3E">
        <w:rPr>
          <w:color w:val="000000" w:themeColor="text1"/>
          <w:sz w:val="16"/>
          <w:szCs w:val="16"/>
        </w:rPr>
        <w:softHyphen/>
        <w:t>знавался недостаточным.</w:t>
      </w:r>
    </w:p>
    <w:p w14:paraId="6545ABCA"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Бомбовое вооружение в воздухе не испытыва- лось ввиду отсутствия прицела для бомбометания и изношенности шасси. Дело в том, что после по</w:t>
      </w:r>
      <w:r w:rsidRPr="00D03F3E">
        <w:rPr>
          <w:color w:val="000000" w:themeColor="text1"/>
          <w:sz w:val="16"/>
          <w:szCs w:val="16"/>
        </w:rPr>
        <w:softHyphen/>
        <w:t>летов на определение летных данных и испытание стрелково-пушечного вооружения «Пегас» № 01 пришел в негодность. Летать на нем было нельзя. Самолету требовался капитальный ремонт.</w:t>
      </w:r>
    </w:p>
    <w:p w14:paraId="3CDC5D3E"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Мнение летчиков-испытателей было неутеши</w:t>
      </w:r>
      <w:r w:rsidRPr="00D03F3E">
        <w:rPr>
          <w:color w:val="000000" w:themeColor="text1"/>
          <w:sz w:val="16"/>
          <w:szCs w:val="16"/>
        </w:rPr>
        <w:softHyphen/>
        <w:t>тельным. Основной вывод сводился к тому, что полученные при испытании летно-боевые данные «не обеспечивают для самолета «Пегас» успешного выполнения боевых задач» в качестве штурмовика и легкого бомбардировщика.</w:t>
      </w:r>
    </w:p>
    <w:p w14:paraId="6CF1ECD6"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Боевую живучесть машины сочли совершенно недостаточной: «Бронирование летчика обеспечи</w:t>
      </w:r>
      <w:r w:rsidRPr="00D03F3E">
        <w:rPr>
          <w:color w:val="000000" w:themeColor="text1"/>
          <w:sz w:val="16"/>
          <w:szCs w:val="16"/>
        </w:rPr>
        <w:softHyphen/>
        <w:t>вает защиту только от пуль калибра 7,62 мм с дис</w:t>
      </w:r>
      <w:r w:rsidRPr="00D03F3E">
        <w:rPr>
          <w:color w:val="000000" w:themeColor="text1"/>
          <w:sz w:val="16"/>
          <w:szCs w:val="16"/>
        </w:rPr>
        <w:softHyphen/>
        <w:t>танции 700—1000 м. Недостаточная угловая защита головы летчика спереди (малая площадь прозрач</w:t>
      </w:r>
      <w:r w:rsidRPr="00D03F3E">
        <w:rPr>
          <w:color w:val="000000" w:themeColor="text1"/>
          <w:sz w:val="16"/>
          <w:szCs w:val="16"/>
        </w:rPr>
        <w:softHyphen/>
        <w:t>ной брони) на козырьке. Недостаточная броня сза</w:t>
      </w:r>
      <w:r w:rsidRPr="00D03F3E">
        <w:rPr>
          <w:color w:val="000000" w:themeColor="text1"/>
          <w:sz w:val="16"/>
          <w:szCs w:val="16"/>
        </w:rPr>
        <w:softHyphen/>
        <w:t>ди от пуль калибра 12,7 мм и выше. /.../ Нет брони моторов, основные бензобаки не защищены, нет протектора и нет системы нейтральных газов. /.../ Сброс бензобаков не исключает пожара, так как летчик может не засечь его начало, противопо</w:t>
      </w:r>
      <w:r w:rsidRPr="00D03F3E">
        <w:rPr>
          <w:color w:val="000000" w:themeColor="text1"/>
          <w:sz w:val="16"/>
          <w:szCs w:val="16"/>
        </w:rPr>
        <w:softHyphen/>
        <w:t>жарная перегородка отсутствует. /. / При малых горизонтальных скоростях легко уязвим от назем</w:t>
      </w:r>
      <w:r w:rsidRPr="00D03F3E">
        <w:rPr>
          <w:color w:val="000000" w:themeColor="text1"/>
          <w:sz w:val="16"/>
          <w:szCs w:val="16"/>
        </w:rPr>
        <w:softHyphen/>
        <w:t>ного огня, плохая маневренность (время виража на 1000 м — 40 сек) делает его беззащитным перед ис</w:t>
      </w:r>
      <w:r w:rsidRPr="00D03F3E">
        <w:rPr>
          <w:color w:val="000000" w:themeColor="text1"/>
          <w:sz w:val="16"/>
          <w:szCs w:val="16"/>
        </w:rPr>
        <w:softHyphen/>
        <w:t>требительной авиацией противника, что приведет к большим потерям летчиков и матчасти».</w:t>
      </w:r>
    </w:p>
    <w:p w14:paraId="1817BB5D"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Констатировалось, что по технике пилотирова</w:t>
      </w:r>
      <w:r w:rsidRPr="00D03F3E">
        <w:rPr>
          <w:color w:val="000000" w:themeColor="text1"/>
          <w:sz w:val="16"/>
          <w:szCs w:val="16"/>
        </w:rPr>
        <w:softHyphen/>
        <w:t>ния самолет недоступен «массовому летному соста</w:t>
      </w:r>
      <w:r w:rsidRPr="00D03F3E">
        <w:rPr>
          <w:color w:val="000000" w:themeColor="text1"/>
          <w:sz w:val="16"/>
          <w:szCs w:val="16"/>
        </w:rPr>
        <w:softHyphen/>
        <w:t>ву, из-за малого диапазона скорости (20—25 км/ч) между максимальной и эволютивной», недоста</w:t>
      </w:r>
      <w:r w:rsidRPr="00D03F3E">
        <w:rPr>
          <w:color w:val="000000" w:themeColor="text1"/>
          <w:sz w:val="16"/>
          <w:szCs w:val="16"/>
        </w:rPr>
        <w:softHyphen/>
        <w:t>точной боковой устойчивости и крутой глиссады планирования. К полетам на «Пегасе» допускались только летчики с летной подготовкой не ниже средней и лишь днем в простых метеоусловиях.</w:t>
      </w:r>
    </w:p>
    <w:p w14:paraId="617BAEBB"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Боевое применение имело смысл в перегру</w:t>
      </w:r>
      <w:r w:rsidRPr="00D03F3E">
        <w:rPr>
          <w:color w:val="000000" w:themeColor="text1"/>
          <w:sz w:val="16"/>
          <w:szCs w:val="16"/>
        </w:rPr>
        <w:softHyphen/>
        <w:t>зочном варианте нагрузки, «но в этом случае проч</w:t>
      </w:r>
      <w:r w:rsidRPr="00D03F3E">
        <w:rPr>
          <w:color w:val="000000" w:themeColor="text1"/>
          <w:sz w:val="16"/>
          <w:szCs w:val="16"/>
        </w:rPr>
        <w:softHyphen/>
        <w:t>ность шасси не обеспечивает длительной эксплуа</w:t>
      </w:r>
      <w:r w:rsidRPr="00D03F3E">
        <w:rPr>
          <w:color w:val="000000" w:themeColor="text1"/>
          <w:sz w:val="16"/>
          <w:szCs w:val="16"/>
        </w:rPr>
        <w:softHyphen/>
        <w:t>тации самолета».</w:t>
      </w:r>
    </w:p>
    <w:p w14:paraId="60EB34DE"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Прицельная стрельба из пушек возможна толь</w:t>
      </w:r>
      <w:r w:rsidRPr="00D03F3E">
        <w:rPr>
          <w:color w:val="000000" w:themeColor="text1"/>
          <w:sz w:val="16"/>
          <w:szCs w:val="16"/>
        </w:rPr>
        <w:softHyphen/>
        <w:t>ко очередями по 2—4 снаряда с восстановлением прицеливания после каждой очереди. Установка пушек калибра 23 и 37 мм нецелесообразна из-за большой силы отдачи.</w:t>
      </w:r>
    </w:p>
    <w:p w14:paraId="3A5808EF"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существующей конструкции носовой части, расположения брони и летчика установка прицель</w:t>
      </w:r>
      <w:r w:rsidRPr="00D03F3E">
        <w:rPr>
          <w:color w:val="000000" w:themeColor="text1"/>
          <w:sz w:val="16"/>
          <w:szCs w:val="16"/>
        </w:rPr>
        <w:softHyphen/>
        <w:t>ных приспособлений для бомбометания невозмож</w:t>
      </w:r>
      <w:r w:rsidRPr="00D03F3E">
        <w:rPr>
          <w:color w:val="000000" w:themeColor="text1"/>
          <w:sz w:val="16"/>
          <w:szCs w:val="16"/>
        </w:rPr>
        <w:softHyphen/>
        <w:t>на. Это исключает возможность бомбометания по целям ограниченных размеров.</w:t>
      </w:r>
    </w:p>
    <w:p w14:paraId="5E5B7BF5"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Применение второсортных материалов в зна</w:t>
      </w:r>
      <w:r w:rsidRPr="00D03F3E">
        <w:rPr>
          <w:color w:val="000000" w:themeColor="text1"/>
          <w:sz w:val="16"/>
          <w:szCs w:val="16"/>
        </w:rPr>
        <w:softHyphen/>
        <w:t>чительной мере удешевило производство самоле</w:t>
      </w:r>
      <w:r w:rsidRPr="00D03F3E">
        <w:rPr>
          <w:color w:val="000000" w:themeColor="text1"/>
          <w:sz w:val="16"/>
          <w:szCs w:val="16"/>
        </w:rPr>
        <w:softHyphen/>
        <w:t>та, но вместе с этим этот же факт сделал самолет недолговечным и одновременно привел к много</w:t>
      </w:r>
      <w:r w:rsidRPr="00D03F3E">
        <w:rPr>
          <w:color w:val="000000" w:themeColor="text1"/>
          <w:sz w:val="16"/>
          <w:szCs w:val="16"/>
        </w:rPr>
        <w:softHyphen/>
        <w:t>численным дефектам и поломкам в ходе эксплуа</w:t>
      </w:r>
      <w:r w:rsidRPr="00D03F3E">
        <w:rPr>
          <w:color w:val="000000" w:themeColor="text1"/>
          <w:sz w:val="16"/>
          <w:szCs w:val="16"/>
        </w:rPr>
        <w:softHyphen/>
        <w:t>тации.</w:t>
      </w:r>
    </w:p>
    <w:p w14:paraId="76AF5C9D"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Так, «в основных бензобаках, изготовленных из низкосортного листового материала, образует</w:t>
      </w:r>
      <w:r w:rsidRPr="00D03F3E">
        <w:rPr>
          <w:color w:val="000000" w:themeColor="text1"/>
          <w:sz w:val="16"/>
          <w:szCs w:val="16"/>
        </w:rPr>
        <w:softHyphen/>
        <w:t>ся постоянная течь по швам и заклепкам». Ленты крепления маслобаков быстро приходили в негод</w:t>
      </w:r>
      <w:r w:rsidRPr="00D03F3E">
        <w:rPr>
          <w:color w:val="000000" w:themeColor="text1"/>
          <w:sz w:val="16"/>
          <w:szCs w:val="16"/>
        </w:rPr>
        <w:softHyphen/>
        <w:t>ность и разрушались. Маслобаки начинали вибри</w:t>
      </w:r>
      <w:r w:rsidRPr="00D03F3E">
        <w:rPr>
          <w:color w:val="000000" w:themeColor="text1"/>
          <w:sz w:val="16"/>
          <w:szCs w:val="16"/>
        </w:rPr>
        <w:softHyphen/>
        <w:t>ровать, что приводило к течи по швам и в местах пайки. Прочность обшивки центроплана не обе</w:t>
      </w:r>
      <w:r w:rsidRPr="00D03F3E">
        <w:rPr>
          <w:color w:val="000000" w:themeColor="text1"/>
          <w:sz w:val="16"/>
          <w:szCs w:val="16"/>
        </w:rPr>
        <w:softHyphen/>
        <w:t>спечивала свободный проход к горловинам бен- зо- и маслобаков при заправке, обшивка дефор</w:t>
      </w:r>
      <w:r w:rsidRPr="00D03F3E">
        <w:rPr>
          <w:color w:val="000000" w:themeColor="text1"/>
          <w:sz w:val="16"/>
          <w:szCs w:val="16"/>
        </w:rPr>
        <w:softHyphen/>
        <w:t>мировалась и проламывалась. Фанерная обшивка самолета везде покрывалась трещинами и шелуши</w:t>
      </w:r>
      <w:r w:rsidRPr="00D03F3E">
        <w:rPr>
          <w:color w:val="000000" w:themeColor="text1"/>
          <w:sz w:val="16"/>
          <w:szCs w:val="16"/>
        </w:rPr>
        <w:softHyphen/>
        <w:t>лась.</w:t>
      </w:r>
    </w:p>
    <w:p w14:paraId="4080E17B"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Кроме того, низкое располо</w:t>
      </w:r>
      <w:r w:rsidRPr="00D03F3E">
        <w:rPr>
          <w:color w:val="000000" w:themeColor="text1"/>
          <w:sz w:val="16"/>
          <w:szCs w:val="16"/>
        </w:rPr>
        <w:softHyphen/>
        <w:t>жение моторов (под крылом) не позволяло запускать моторы при помощи автостартера и не обеспе</w:t>
      </w:r>
      <w:r w:rsidRPr="00D03F3E">
        <w:rPr>
          <w:color w:val="000000" w:themeColor="text1"/>
          <w:sz w:val="16"/>
          <w:szCs w:val="16"/>
        </w:rPr>
        <w:softHyphen/>
        <w:t>чивало необходимого расстояния между концами лопастей винтов и землей в линии полета.</w:t>
      </w:r>
    </w:p>
    <w:p w14:paraId="2B56FBA2"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Помимо летчиков НИИ ВВС, «Пе</w:t>
      </w:r>
      <w:r w:rsidRPr="00D03F3E">
        <w:rPr>
          <w:color w:val="000000" w:themeColor="text1"/>
          <w:sz w:val="16"/>
          <w:szCs w:val="16"/>
        </w:rPr>
        <w:softHyphen/>
        <w:t>гас» облетал инспектор Управления боевой подготовки ВВС КА гвардии подполковник К. Н. Холобаев, кото</w:t>
      </w:r>
      <w:r w:rsidRPr="00D03F3E">
        <w:rPr>
          <w:color w:val="000000" w:themeColor="text1"/>
          <w:sz w:val="16"/>
          <w:szCs w:val="16"/>
        </w:rPr>
        <w:softHyphen/>
        <w:t>рый в составе 4-го шап (с 7.3.42 г. — 7-й гшап) был одним из первых, кто применил бронированный штурмо</w:t>
      </w:r>
      <w:r w:rsidRPr="00D03F3E">
        <w:rPr>
          <w:color w:val="000000" w:themeColor="text1"/>
          <w:sz w:val="16"/>
          <w:szCs w:val="16"/>
        </w:rPr>
        <w:softHyphen/>
        <w:t>вик Ил-2 на фронтах войны.</w:t>
      </w:r>
    </w:p>
    <w:p w14:paraId="4300486C" w14:textId="77777777" w:rsidR="0037334C" w:rsidRPr="00D03F3E" w:rsidRDefault="003733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заключении отчета констатировалось, что са</w:t>
      </w:r>
      <w:r w:rsidRPr="00D03F3E">
        <w:rPr>
          <w:rFonts w:ascii="Times New Roman" w:hAnsi="Times New Roman"/>
          <w:color w:val="000000" w:themeColor="text1"/>
          <w:sz w:val="16"/>
          <w:szCs w:val="16"/>
        </w:rPr>
        <w:softHyphen/>
        <w:t>молет «Пегас» «государственные испытания не вы</w:t>
      </w:r>
      <w:r w:rsidRPr="00D03F3E">
        <w:rPr>
          <w:rFonts w:ascii="Times New Roman" w:hAnsi="Times New Roman"/>
          <w:color w:val="000000" w:themeColor="text1"/>
          <w:sz w:val="16"/>
          <w:szCs w:val="16"/>
        </w:rPr>
        <w:softHyphen/>
        <w:t>держал; дальнейшие работы по доводке самолета «Пегас» считать нецелесообразными».</w:t>
      </w:r>
    </w:p>
    <w:p w14:paraId="7CE73784"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НИИ ВВС и использовать как макет для полиго</w:t>
      </w:r>
      <w:r w:rsidRPr="00D03F3E">
        <w:rPr>
          <w:color w:val="000000" w:themeColor="text1"/>
          <w:sz w:val="16"/>
          <w:szCs w:val="16"/>
        </w:rPr>
        <w:softHyphen/>
        <w:t>на», а оставшиеся 4 опытных самолета, «заканчи</w:t>
      </w:r>
      <w:r w:rsidRPr="00D03F3E">
        <w:rPr>
          <w:color w:val="000000" w:themeColor="text1"/>
          <w:sz w:val="16"/>
          <w:szCs w:val="16"/>
        </w:rPr>
        <w:softHyphen/>
        <w:t>вающихся постройкой на заводе № 288, передать в один из запасных авиаполков для использования в качестве мишеней в целях тренировок в стрельбе по наземным целям».</w:t>
      </w:r>
    </w:p>
    <w:p w14:paraId="4D49AC74" w14:textId="77777777" w:rsidR="0037334C" w:rsidRPr="00D03F3E" w:rsidRDefault="0037334C"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Заключение подписали начальник НИИ ВВС ге</w:t>
      </w:r>
      <w:r w:rsidRPr="00D03F3E">
        <w:rPr>
          <w:color w:val="000000" w:themeColor="text1"/>
          <w:sz w:val="16"/>
          <w:szCs w:val="16"/>
        </w:rPr>
        <w:softHyphen/>
        <w:t>нерал-лейтенант П. А. Лосюков и начальник 3-го отдела института полковник С. И. Сафронов 11 ию</w:t>
      </w:r>
      <w:r w:rsidRPr="00D03F3E">
        <w:rPr>
          <w:color w:val="000000" w:themeColor="text1"/>
          <w:sz w:val="16"/>
          <w:szCs w:val="16"/>
        </w:rPr>
        <w:softHyphen/>
        <w:t>ня 1943 г. Акт по результатам испытаний самолета «Пегас» главный инженер ВВС генерал-полковник Репин утвердил через 3 дня — 14 июня (17500).</w:t>
      </w:r>
    </w:p>
    <w:p w14:paraId="1E69AE64" w14:textId="77777777" w:rsidR="0037334C" w:rsidRPr="00D03F3E" w:rsidRDefault="0037334C" w:rsidP="00D03F3E">
      <w:pPr>
        <w:spacing w:after="0" w:line="240" w:lineRule="auto"/>
        <w:jc w:val="both"/>
        <w:rPr>
          <w:rFonts w:ascii="Times New Roman" w:hAnsi="Times New Roman"/>
          <w:color w:val="000000" w:themeColor="text1"/>
          <w:sz w:val="16"/>
          <w:szCs w:val="16"/>
        </w:rPr>
      </w:pPr>
    </w:p>
    <w:p w14:paraId="5753FA6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 мая 1943 в 14:00 произошла авария Ла-5 N 3921ФНО1-15 с М-82 N 8211057, управляемого л Г.А.Мищенко (2129).</w:t>
      </w:r>
    </w:p>
    <w:p w14:paraId="4BBA5DF1" w14:textId="77777777" w:rsidR="00531570" w:rsidRPr="00D03F3E" w:rsidRDefault="00531570" w:rsidP="00D03F3E">
      <w:pPr>
        <w:pStyle w:val="Iauiue"/>
        <w:jc w:val="both"/>
        <w:rPr>
          <w:color w:val="000000" w:themeColor="text1"/>
          <w:sz w:val="16"/>
          <w:szCs w:val="16"/>
        </w:rPr>
      </w:pPr>
    </w:p>
    <w:p w14:paraId="47B2D18C" w14:textId="77777777" w:rsidR="000C6CCD" w:rsidRPr="00D03F3E" w:rsidRDefault="000C6CCD"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16 мая 1943 в полете лётчика-испытателя ОКБ завода № 21 майора Г.А. Мищен</w:t>
      </w:r>
      <w:r w:rsidRPr="00D03F3E">
        <w:rPr>
          <w:rFonts w:ascii="Times New Roman" w:cs="Times New Roman"/>
          <w:color w:val="000000" w:themeColor="text1"/>
          <w:spacing w:val="0"/>
        </w:rPr>
        <w:softHyphen/>
        <w:t>ко произошло ЧП. Выполняя на самолёте № 3921ФН0115 с мотором № 8211057 полёт на снятие скоростей на Н=2000 и 1500 м, лётчик почувствовал в кабине запах бензина. Пилот прекратил выполнение задания и пошёл на посадку. При рулежке на линейку с ни</w:t>
      </w:r>
      <w:r w:rsidRPr="00D03F3E">
        <w:rPr>
          <w:rFonts w:ascii="Times New Roman" w:cs="Times New Roman"/>
          <w:color w:val="000000" w:themeColor="text1"/>
          <w:spacing w:val="0"/>
        </w:rPr>
        <w:softHyphen/>
        <w:t>жней и левой замоторной части показалось пламя. Почти одновременно раздался не</w:t>
      </w:r>
      <w:r w:rsidRPr="00D03F3E">
        <w:rPr>
          <w:rFonts w:ascii="Times New Roman" w:cs="Times New Roman"/>
          <w:color w:val="000000" w:themeColor="text1"/>
          <w:spacing w:val="0"/>
        </w:rPr>
        <w:softHyphen/>
        <w:t>сильный взрыв, в кабине появился дым и пламя. Лётчик успел выскочить из кабины, получив лишь ожог руки выше кисти, а самолёт полностью сгорел. Вскоре произошел аналогичный случай в полёте у лётчика-испытателя майора Работкина, который с выклю</w:t>
      </w:r>
      <w:r w:rsidRPr="00D03F3E">
        <w:rPr>
          <w:rFonts w:ascii="Times New Roman" w:cs="Times New Roman"/>
          <w:color w:val="000000" w:themeColor="text1"/>
          <w:spacing w:val="0"/>
        </w:rPr>
        <w:softHyphen/>
        <w:t>ченным мотором сел вне аэродрома и потерпел аварию. А потом при пробе мотора на земле вспыхнул пожар на ещё одном самолёте.</w:t>
      </w:r>
    </w:p>
    <w:p w14:paraId="321DD063" w14:textId="77777777" w:rsidR="000C6CCD" w:rsidRPr="00D03F3E" w:rsidRDefault="000C6CCD"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Причина всех этих происшествий была одна: переходники бензосистемы НВ на пер</w:t>
      </w:r>
      <w:r w:rsidRPr="00D03F3E">
        <w:rPr>
          <w:rFonts w:ascii="Times New Roman" w:cs="Times New Roman"/>
          <w:color w:val="000000" w:themeColor="text1"/>
          <w:spacing w:val="0"/>
        </w:rPr>
        <w:softHyphen/>
        <w:t>вых моторах делали из стали, они не выдерживали тряски с вибрацией и лопались. Бен</w:t>
      </w:r>
      <w:r w:rsidRPr="00D03F3E">
        <w:rPr>
          <w:rFonts w:ascii="Times New Roman" w:cs="Times New Roman"/>
          <w:color w:val="000000" w:themeColor="text1"/>
          <w:spacing w:val="0"/>
        </w:rPr>
        <w:softHyphen/>
        <w:t>зин под давлением, доходившем после насоса до 300 атм, бил в расположенные рядом раскаленные выхлопные патрубки и вспыхивал. Жесткие стальные трубки на всех мото</w:t>
      </w:r>
      <w:r w:rsidRPr="00D03F3E">
        <w:rPr>
          <w:rFonts w:ascii="Times New Roman" w:cs="Times New Roman"/>
          <w:color w:val="000000" w:themeColor="text1"/>
          <w:spacing w:val="0"/>
        </w:rPr>
        <w:softHyphen/>
        <w:t>рах срочно заменили гибкими шлангами типа «петрофлекс», и дефект ликвидировали. Правда, лётчики предположили, что Ла-5 с М-82ФН должен быть более пожароопасен в брю, так как при повреждении шлангов высокого давления опасность возгорания уве</w:t>
      </w:r>
      <w:r w:rsidRPr="00D03F3E">
        <w:rPr>
          <w:rFonts w:ascii="Times New Roman" w:cs="Times New Roman"/>
          <w:color w:val="000000" w:themeColor="text1"/>
          <w:spacing w:val="0"/>
        </w:rPr>
        <w:softHyphen/>
        <w:t>личивалась. К счастью, длина этих шлангов от насоса НВ до каждого из цилиндров бы</w:t>
      </w:r>
      <w:r w:rsidRPr="00D03F3E">
        <w:rPr>
          <w:rFonts w:ascii="Times New Roman" w:cs="Times New Roman"/>
          <w:color w:val="000000" w:themeColor="text1"/>
          <w:spacing w:val="0"/>
        </w:rPr>
        <w:softHyphen/>
        <w:t>ла невелика, и такие случаи на фронте впоследствии оказались нечастыми (15813).</w:t>
      </w:r>
    </w:p>
    <w:p w14:paraId="3CD0285A" w14:textId="77777777" w:rsidR="000C6CCD" w:rsidRPr="00D03F3E" w:rsidRDefault="000C6CCD" w:rsidP="00D03F3E">
      <w:pPr>
        <w:pStyle w:val="27"/>
        <w:shd w:val="clear" w:color="auto" w:fill="auto"/>
        <w:spacing w:after="0" w:line="240" w:lineRule="auto"/>
        <w:ind w:firstLine="0"/>
        <w:rPr>
          <w:rFonts w:ascii="Times New Roman" w:cs="Times New Roman"/>
          <w:color w:val="000000" w:themeColor="text1"/>
          <w:spacing w:val="0"/>
        </w:rPr>
      </w:pPr>
    </w:p>
    <w:p w14:paraId="18A8DBF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мая 1943 в полете летчика-испытателя ОКБ за</w:t>
      </w:r>
      <w:r w:rsidRPr="00D03F3E">
        <w:rPr>
          <w:rFonts w:ascii="Times New Roman" w:hAnsi="Times New Roman"/>
          <w:color w:val="000000" w:themeColor="text1"/>
          <w:sz w:val="16"/>
          <w:szCs w:val="16"/>
        </w:rPr>
        <w:softHyphen/>
        <w:t>вода №21 майора Г.А. Мищенко про</w:t>
      </w:r>
      <w:r w:rsidRPr="00D03F3E">
        <w:rPr>
          <w:rFonts w:ascii="Times New Roman" w:hAnsi="Times New Roman"/>
          <w:color w:val="000000" w:themeColor="text1"/>
          <w:sz w:val="16"/>
          <w:szCs w:val="16"/>
        </w:rPr>
        <w:softHyphen/>
        <w:t>изошло ЧП. Выполняя на самолете №3921ФН0115 с мотором №8211057 полет на снятие скорос</w:t>
      </w:r>
      <w:r w:rsidRPr="00D03F3E">
        <w:rPr>
          <w:rFonts w:ascii="Times New Roman" w:hAnsi="Times New Roman"/>
          <w:color w:val="000000" w:themeColor="text1"/>
          <w:sz w:val="16"/>
          <w:szCs w:val="16"/>
        </w:rPr>
        <w:softHyphen/>
        <w:t>тей на Н=2000 и 1500 м, летчик по</w:t>
      </w:r>
      <w:r w:rsidRPr="00D03F3E">
        <w:rPr>
          <w:rFonts w:ascii="Times New Roman" w:hAnsi="Times New Roman"/>
          <w:color w:val="000000" w:themeColor="text1"/>
          <w:sz w:val="16"/>
          <w:szCs w:val="16"/>
        </w:rPr>
        <w:softHyphen/>
        <w:t>чувствовал в кабине запах бензина. Пилот прекратил выполнение зада</w:t>
      </w:r>
      <w:r w:rsidRPr="00D03F3E">
        <w:rPr>
          <w:rFonts w:ascii="Times New Roman" w:hAnsi="Times New Roman"/>
          <w:color w:val="000000" w:themeColor="text1"/>
          <w:sz w:val="16"/>
          <w:szCs w:val="16"/>
        </w:rPr>
        <w:softHyphen/>
        <w:t>ния и пошел на посадку. При рулежке на линейку с нижней и левой за-моторной части показалось пламя. Почти одновременно раздался несиль</w:t>
      </w:r>
      <w:r w:rsidRPr="00D03F3E">
        <w:rPr>
          <w:rFonts w:ascii="Times New Roman" w:hAnsi="Times New Roman"/>
          <w:color w:val="000000" w:themeColor="text1"/>
          <w:sz w:val="16"/>
          <w:szCs w:val="16"/>
        </w:rPr>
        <w:softHyphen/>
        <w:t>ный взрыв, в кабине появился дым и пламя. Летчик успел выскочить из кабины, получив лишь ожог руки выше кисти, а самолет полностью сгорел. Вскоре произошел аналогичный слу</w:t>
      </w:r>
      <w:r w:rsidRPr="00D03F3E">
        <w:rPr>
          <w:rFonts w:ascii="Times New Roman" w:hAnsi="Times New Roman"/>
          <w:color w:val="000000" w:themeColor="text1"/>
          <w:sz w:val="16"/>
          <w:szCs w:val="16"/>
        </w:rPr>
        <w:softHyphen/>
        <w:t>чай в полете у летчика-испытателя майора Работкина, который с выклю</w:t>
      </w:r>
      <w:r w:rsidRPr="00D03F3E">
        <w:rPr>
          <w:rFonts w:ascii="Times New Roman" w:hAnsi="Times New Roman"/>
          <w:color w:val="000000" w:themeColor="text1"/>
          <w:sz w:val="16"/>
          <w:szCs w:val="16"/>
        </w:rPr>
        <w:softHyphen/>
        <w:t>ченным мотором сел вне аэродрома и потерпел аварию. А потом при про</w:t>
      </w:r>
      <w:r w:rsidRPr="00D03F3E">
        <w:rPr>
          <w:rFonts w:ascii="Times New Roman" w:hAnsi="Times New Roman"/>
          <w:color w:val="000000" w:themeColor="text1"/>
          <w:sz w:val="16"/>
          <w:szCs w:val="16"/>
        </w:rPr>
        <w:softHyphen/>
        <w:t xml:space="preserve">бе мотора на земле вспыхнул пожар на еще одном </w:t>
      </w:r>
      <w:r w:rsidRPr="00D03F3E">
        <w:rPr>
          <w:rFonts w:ascii="Times New Roman" w:hAnsi="Times New Roman"/>
          <w:color w:val="000000" w:themeColor="text1"/>
          <w:sz w:val="16"/>
          <w:szCs w:val="16"/>
        </w:rPr>
        <w:lastRenderedPageBreak/>
        <w:t>самолете. Причина всех этих происшествий была одна: переходники бензосистемы НВ на первых моторах делались из стали, они не выдерживали тряски с вибрацией и лопались. Бензин под давлением (давление его после на</w:t>
      </w:r>
      <w:r w:rsidRPr="00D03F3E">
        <w:rPr>
          <w:rFonts w:ascii="Times New Roman" w:hAnsi="Times New Roman"/>
          <w:color w:val="000000" w:themeColor="text1"/>
          <w:sz w:val="16"/>
          <w:szCs w:val="16"/>
        </w:rPr>
        <w:softHyphen/>
        <w:t>соса доходило до 300 атм) бил в рас</w:t>
      </w:r>
      <w:r w:rsidRPr="00D03F3E">
        <w:rPr>
          <w:rFonts w:ascii="Times New Roman" w:hAnsi="Times New Roman"/>
          <w:color w:val="000000" w:themeColor="text1"/>
          <w:sz w:val="16"/>
          <w:szCs w:val="16"/>
        </w:rPr>
        <w:softHyphen/>
        <w:t>положенные рядом раскаленные вых</w:t>
      </w:r>
      <w:r w:rsidRPr="00D03F3E">
        <w:rPr>
          <w:rFonts w:ascii="Times New Roman" w:hAnsi="Times New Roman"/>
          <w:color w:val="000000" w:themeColor="text1"/>
          <w:sz w:val="16"/>
          <w:szCs w:val="16"/>
        </w:rPr>
        <w:softHyphen/>
        <w:t>лопные патрубки и вспыхивал. Сроч</w:t>
      </w:r>
      <w:r w:rsidRPr="00D03F3E">
        <w:rPr>
          <w:rFonts w:ascii="Times New Roman" w:hAnsi="Times New Roman"/>
          <w:color w:val="000000" w:themeColor="text1"/>
          <w:sz w:val="16"/>
          <w:szCs w:val="16"/>
        </w:rPr>
        <w:softHyphen/>
        <w:t>но жесткие стальные трубки были за</w:t>
      </w:r>
      <w:r w:rsidRPr="00D03F3E">
        <w:rPr>
          <w:rFonts w:ascii="Times New Roman" w:hAnsi="Times New Roman"/>
          <w:color w:val="000000" w:themeColor="text1"/>
          <w:sz w:val="16"/>
          <w:szCs w:val="16"/>
        </w:rPr>
        <w:softHyphen/>
        <w:t>менены на всех моторах на гибкие шланги типа «петрофлекс», и дефект был ликвидирован. Правда, летчики предположили, что Ла-5 с М-82ФН должен быть более пожароопасен в бою, так как при повреждении шлан</w:t>
      </w:r>
      <w:r w:rsidRPr="00D03F3E">
        <w:rPr>
          <w:rFonts w:ascii="Times New Roman" w:hAnsi="Times New Roman"/>
          <w:color w:val="000000" w:themeColor="text1"/>
          <w:sz w:val="16"/>
          <w:szCs w:val="16"/>
        </w:rPr>
        <w:softHyphen/>
        <w:t>гов высокого давления опасность воз</w:t>
      </w:r>
      <w:r w:rsidRPr="00D03F3E">
        <w:rPr>
          <w:rFonts w:ascii="Times New Roman" w:hAnsi="Times New Roman"/>
          <w:color w:val="000000" w:themeColor="text1"/>
          <w:sz w:val="16"/>
          <w:szCs w:val="16"/>
        </w:rPr>
        <w:softHyphen/>
        <w:t>горания увеличивалась. К счастью, длина этих шлангов от насоса НВ до каждого из цилиндров была невелика, и такие случаи на фронте впослед</w:t>
      </w:r>
      <w:r w:rsidRPr="00D03F3E">
        <w:rPr>
          <w:rFonts w:ascii="Times New Roman" w:hAnsi="Times New Roman"/>
          <w:color w:val="000000" w:themeColor="text1"/>
          <w:sz w:val="16"/>
          <w:szCs w:val="16"/>
        </w:rPr>
        <w:softHyphen/>
        <w:t>ствии оказались нечастыми (10723).</w:t>
      </w:r>
    </w:p>
    <w:p w14:paraId="210C43D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6E935B28"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261CF562" w14:textId="77777777" w:rsidR="00531570" w:rsidRPr="00D03F3E" w:rsidRDefault="00531570" w:rsidP="00D03F3E">
      <w:pPr>
        <w:pStyle w:val="Iauiue"/>
        <w:jc w:val="both"/>
        <w:rPr>
          <w:iCs/>
          <w:color w:val="000000" w:themeColor="text1"/>
          <w:sz w:val="16"/>
          <w:szCs w:val="16"/>
        </w:rPr>
      </w:pPr>
    </w:p>
    <w:p w14:paraId="3FFE8126"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мая 1943 года в районе Казани по проселочным дорогам и целине начались испытания на гарантийный километраж пяти тридцатьчетверок производства заводов № 183. № 112, № 174 ЧКЗ и УЗТМ «с отрывом от базы на расстояние 100-150 километров». Их материалы интересны тем, что по ним можно сравнить характеристики машин разных заводов. По первому этапу, завершенному 30 мая, были сделаны следующие выводы по качеству танков Т-34:</w:t>
      </w:r>
    </w:p>
    <w:p w14:paraId="21AD72C3"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.Общими недостатками всех танков, которые снижают эксплуатационные возможности и требуют большой затраты времени на их устранение при обслуживании и ремонте являются:</w:t>
      </w:r>
    </w:p>
    <w:p w14:paraId="16186228"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Плохое качество крепежей деталей и надежность их фиксации;</w:t>
      </w:r>
    </w:p>
    <w:p w14:paraId="407A5EAA"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ТанкТ-34-85с пушкой ЗИС-С-53 выпусказавода № 112 «Красное Сормово» марта 1944года, вид спереди (ЦАМО).</w:t>
      </w:r>
    </w:p>
    <w:p w14:paraId="318E7A33"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w:t>
      </w:r>
      <w:r w:rsidRPr="00D03F3E">
        <w:rPr>
          <w:rFonts w:ascii="Times New Roman" w:hAnsi="Times New Roman"/>
          <w:color w:val="000000" w:themeColor="text1"/>
          <w:sz w:val="16"/>
          <w:szCs w:val="16"/>
        </w:rPr>
        <w:tab/>
        <w:t>Неудовлетворительный контроль при сборке танков на заводах;</w:t>
      </w:r>
    </w:p>
    <w:p w14:paraId="41F2B338"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w:t>
      </w:r>
      <w:r w:rsidRPr="00D03F3E">
        <w:rPr>
          <w:rFonts w:ascii="Times New Roman" w:hAnsi="Times New Roman"/>
          <w:color w:val="000000" w:themeColor="text1"/>
          <w:sz w:val="16"/>
          <w:szCs w:val="16"/>
        </w:rPr>
        <w:tab/>
        <w:t>Несоблюдение допусков на резьбу;</w:t>
      </w:r>
    </w:p>
    <w:p w14:paraId="16D24A22"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w:t>
      </w:r>
      <w:r w:rsidRPr="00D03F3E">
        <w:rPr>
          <w:rFonts w:ascii="Times New Roman" w:hAnsi="Times New Roman"/>
          <w:color w:val="000000" w:themeColor="text1"/>
          <w:sz w:val="16"/>
          <w:szCs w:val="16"/>
        </w:rPr>
        <w:tab/>
        <w:t>Небрежное выполнение сварных соединений;</w:t>
      </w:r>
    </w:p>
    <w:p w14:paraId="1C72A537"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Наилучшую надежность при испытании танков Т-34 показал танк УЗТМ, прошедший первую тысячу километров за пять ходовых дней.</w:t>
      </w:r>
    </w:p>
    <w:p w14:paraId="7538DE8F"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Выводы:</w:t>
      </w:r>
    </w:p>
    <w:p w14:paraId="21BEFAE7"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Тщательное техническое обслуживание обеспечивает надежную и безостановочную работу танков только в пределах 100-300 километров.</w:t>
      </w:r>
    </w:p>
    <w:p w14:paraId="36AC3993"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Безостановочное движение всех танков лимитирует, а зачастую приводит к серьезным поломкам агрегатов и деталей плохое качество нормалей и ненадежная фиксация крепежа. Указанные недостатки объяснняются недостаточным контролем. производимым при сборке танков на заводах. Ненадежный крепеж в 2-3 раза увеличивает объем работы, затрачиваемой на техническое обслуживание танка относительно объема, указанного в руководстве службы.</w:t>
      </w:r>
    </w:p>
    <w:p w14:paraId="08298516"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частые поломки и неисправности танков вследствие конструктивных и производственных недостатков, а также вследствие низкого качества крепежных деталей и слабого контроля за сборкой танков на заводе, снижают эксплуатационные возможности всех танков.</w:t>
      </w:r>
    </w:p>
    <w:p w14:paraId="3BE357D0"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Из всех танков за пять ходовых дней прошел без серьезных поломок первую тысячу километров Т-34</w:t>
      </w:r>
    </w:p>
    <w:p w14:paraId="1BAC9098"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УЗТМ.</w:t>
      </w:r>
    </w:p>
    <w:p w14:paraId="4633DC61"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Двигатели танков работали удовлетворительно.</w:t>
      </w:r>
    </w:p>
    <w:p w14:paraId="4E9A41D0"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Механизмы пушек и установок пулеметов на всех танках работали безотказно. Кучность боя 76-мм танковой пушки хорошая.</w:t>
      </w:r>
    </w:p>
    <w:p w14:paraId="0EDBBAD5"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На всех танках Т-34 систематически выходят из строя манометры вследствие недостаточной механической прочности капиллярных трубок.</w:t>
      </w:r>
    </w:p>
    <w:p w14:paraId="1E9B30EF"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Обшим недостатком для танков Т-34 является повышенная температура выходящего масла, которая снижает среднюю скорость движения.</w:t>
      </w:r>
    </w:p>
    <w:p w14:paraId="42B0F31A"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Имевшие место случаи выхода из строя коробки перемены передач танков Т-34 завода № 112 через 455 километров, завода N° 183 через 729 километров, завода № 174 через 842 километра и УЗТМ через 1001 километр, по предварительным данным являются следствием ненадежного стопорения гаек передач вала и особенно гаек левого конца главного вала коробки перемены передач.</w:t>
      </w:r>
    </w:p>
    <w:p w14:paraId="196B01B7"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Характерными дефектами для всех Т-34 является также разрушение или выпадение роликов ведущих колес.</w:t>
      </w:r>
    </w:p>
    <w:p w14:paraId="392D9815"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5-скоростаная коробка перемены передач более надежна в работе. легче в управлении, чем 4-скоростная. Желательно установить на муфтах переключения передач 5-скоростной КПП синхронизаторы, обеспечивающие бесшумность включения передач и повышающие надежность работы коробки в целом.</w:t>
      </w:r>
    </w:p>
    <w:p w14:paraId="253025DD"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Вследствие незначительного количества заливаемого масла (2,5 литра) в бортовую передачу Т-34 и большой внутренней поверхности картера, происходит разбрызгивание шестернями всей смазки по стенкам картера. В целях предохранения бортовых передач танка Т-34 от разрушения необходимо количество смазки на каждую передачу увеличить до 3 литров и срок замены установить через 500 километров вместо 1000, указанной в руководстве.</w:t>
      </w:r>
    </w:p>
    <w:p w14:paraId="432946A8"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Передние крылья всех Т-34 не имеют достаточной прочности и разрушаются от собственного веса при движении по пересеченной местности. Необходимо конструкцию передних крыльев усилить или изменить, сделав их по типу американских танков М-3 или английских МК-Ш.</w:t>
      </w:r>
    </w:p>
    <w:p w14:paraId="21887DCA"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Существенным недостатком в электрооборудовании танков является пусковое реле, в котором происходит пригорание контактов при включенном стартере.</w:t>
      </w:r>
    </w:p>
    <w:p w14:paraId="0C4E714C"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На танках Т-34 резиновые бандажи опорных катков работают надежно».</w:t>
      </w:r>
    </w:p>
    <w:p w14:paraId="385D2BF4"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Завод-изготовительПройденный километражКоличество ходовых днейКоличество дней на восстановление и ремонтТ-34 УЗТМ10014,99,1Т-34 завода № 1837293,410,6Т-34 завода № 1748423,810,2Т-34 завода № 1125733,110,9Т-34* ЧКЗ4092,86,2* Т-34 производства ЧКЗ начал испытания четыре дня позже других, 20 мая (12217).</w:t>
      </w:r>
    </w:p>
    <w:p w14:paraId="696C0415" w14:textId="77777777" w:rsidR="005119DD" w:rsidRPr="00D03F3E" w:rsidRDefault="005119DD" w:rsidP="00D03F3E">
      <w:pPr>
        <w:spacing w:after="0" w:line="240" w:lineRule="auto"/>
        <w:jc w:val="both"/>
        <w:rPr>
          <w:rFonts w:ascii="Times New Roman" w:hAnsi="Times New Roman"/>
          <w:color w:val="000000" w:themeColor="text1"/>
          <w:sz w:val="16"/>
          <w:szCs w:val="16"/>
        </w:rPr>
      </w:pPr>
    </w:p>
    <w:p w14:paraId="6FE58EA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16—17 мая 1943 г. изготовленный в апреле 1943 г. опыт</w:t>
      </w:r>
      <w:r w:rsidRPr="00D03F3E">
        <w:rPr>
          <w:rFonts w:ascii="Times New Roman" w:hAnsi="Times New Roman"/>
          <w:color w:val="000000" w:themeColor="text1"/>
          <w:sz w:val="16"/>
          <w:szCs w:val="16"/>
        </w:rPr>
        <w:softHyphen/>
        <w:t>ный образец модернизированного самохода СУ-122М уже прошел заводские испытания про</w:t>
      </w:r>
      <w:r w:rsidRPr="00D03F3E">
        <w:rPr>
          <w:rFonts w:ascii="Times New Roman" w:hAnsi="Times New Roman"/>
          <w:color w:val="000000" w:themeColor="text1"/>
          <w:sz w:val="16"/>
          <w:szCs w:val="16"/>
        </w:rPr>
        <w:softHyphen/>
        <w:t>бегом на 100 км и 50 выстрелами.</w:t>
      </w:r>
    </w:p>
    <w:p w14:paraId="549F055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сравнению с СУ-122 новый артсамоход имел целый ряд преимуществ:</w:t>
      </w:r>
    </w:p>
    <w:p w14:paraId="739BF47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Более просторное боевое отделение за счет расширения стенок подкрылков до внешнего габарита гусениц и подъема крыши на 50 мм (т.е. увеличение высоты бое</w:t>
      </w:r>
      <w:r w:rsidRPr="00D03F3E">
        <w:rPr>
          <w:rFonts w:ascii="Times New Roman" w:hAnsi="Times New Roman"/>
          <w:color w:val="000000" w:themeColor="text1"/>
          <w:sz w:val="16"/>
          <w:szCs w:val="16"/>
        </w:rPr>
        <w:softHyphen/>
        <w:t>вого отделения до 1700 мм).</w:t>
      </w:r>
    </w:p>
    <w:p w14:paraId="40FED66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122-мм штурмовое орудие У-11, имея ту же баллистику, что и гаубица М-30, было уравновешено в цапфах и ус</w:t>
      </w:r>
      <w:r w:rsidRPr="00D03F3E">
        <w:rPr>
          <w:rFonts w:ascii="Times New Roman" w:hAnsi="Times New Roman"/>
          <w:color w:val="000000" w:themeColor="text1"/>
          <w:sz w:val="16"/>
          <w:szCs w:val="16"/>
        </w:rPr>
        <w:softHyphen/>
        <w:t>тановлено в карданную рамку, прикрепленную к лобо</w:t>
      </w:r>
      <w:r w:rsidRPr="00D03F3E">
        <w:rPr>
          <w:rFonts w:ascii="Times New Roman" w:hAnsi="Times New Roman"/>
          <w:color w:val="000000" w:themeColor="text1"/>
          <w:sz w:val="16"/>
          <w:szCs w:val="16"/>
        </w:rPr>
        <w:softHyphen/>
        <w:t>вому листу корпуса.</w:t>
      </w:r>
    </w:p>
    <w:p w14:paraId="0B74A88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Сокращение длины противооткатных устройств, умень</w:t>
      </w:r>
      <w:r w:rsidRPr="00D03F3E">
        <w:rPr>
          <w:rFonts w:ascii="Times New Roman" w:hAnsi="Times New Roman"/>
          <w:color w:val="000000" w:themeColor="text1"/>
          <w:sz w:val="16"/>
          <w:szCs w:val="16"/>
        </w:rPr>
        <w:softHyphen/>
        <w:t>шение длины отката, рамочная установка оружия улуч</w:t>
      </w:r>
      <w:r w:rsidRPr="00D03F3E">
        <w:rPr>
          <w:rFonts w:ascii="Times New Roman" w:hAnsi="Times New Roman"/>
          <w:color w:val="000000" w:themeColor="text1"/>
          <w:sz w:val="16"/>
          <w:szCs w:val="16"/>
        </w:rPr>
        <w:softHyphen/>
        <w:t>шили условия обитания экипажа и позволили оснастить орудие шаровой бронировкой, а трудоемкость монтажа вооружения уменьшилась с 17—18 часов до 1,5—2.</w:t>
      </w:r>
    </w:p>
    <w:p w14:paraId="15712A5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Расположение центра масс орудия было более благо</w:t>
      </w:r>
      <w:r w:rsidRPr="00D03F3E">
        <w:rPr>
          <w:rFonts w:ascii="Times New Roman" w:hAnsi="Times New Roman"/>
          <w:color w:val="000000" w:themeColor="text1"/>
          <w:sz w:val="16"/>
          <w:szCs w:val="16"/>
        </w:rPr>
        <w:softHyphen/>
        <w:t>приятно для передних опорных катков.</w:t>
      </w:r>
    </w:p>
    <w:p w14:paraId="31721E6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Для ведения огня прямой наводкой орудие оснащалось телескопическим прицелом.</w:t>
      </w:r>
    </w:p>
    <w:p w14:paraId="0205243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Был введен люк-лаз механика-водителя, расположение остальных люков изменилось для обеспечения как тех</w:t>
      </w:r>
      <w:r w:rsidRPr="00D03F3E">
        <w:rPr>
          <w:rFonts w:ascii="Times New Roman" w:hAnsi="Times New Roman"/>
          <w:color w:val="000000" w:themeColor="text1"/>
          <w:sz w:val="16"/>
          <w:szCs w:val="16"/>
        </w:rPr>
        <w:softHyphen/>
        <w:t>нологических, так и эксплуатационных преимуществ (11417).</w:t>
      </w:r>
    </w:p>
    <w:p w14:paraId="1A4C3BA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99993C4" w14:textId="77777777" w:rsidR="0062502E" w:rsidRPr="00D03F3E" w:rsidRDefault="0062502E" w:rsidP="00D03F3E">
      <w:pPr>
        <w:pStyle w:val="ae"/>
        <w:shd w:val="clear" w:color="auto" w:fill="FFFFFF"/>
        <w:spacing w:before="0" w:after="0"/>
        <w:jc w:val="both"/>
        <w:rPr>
          <w:color w:val="000000" w:themeColor="text1"/>
          <w:sz w:val="16"/>
          <w:szCs w:val="16"/>
        </w:rPr>
      </w:pPr>
      <w:r w:rsidRPr="00D03F3E">
        <w:rPr>
          <w:color w:val="000000" w:themeColor="text1"/>
          <w:sz w:val="16"/>
          <w:szCs w:val="16"/>
        </w:rPr>
        <w:t>К 16 мая 1943 года проект самоходной пушки С-18 ЦАКБ был закончен. При его разработке выяснилось, что боекомплект из 60 патронов в машине разместить не получится, его ограничили 50 патронами. В отличие от КБ завода №9 в случае с С-18 о дуплексе речь не шла. Проект, который вёл начальник 3-го отдела ЦАКБ Е.В. Синильщиков, разрабатывался исключительно для установки в САУ и имел всего один тип ствола — калибра 85 мм. Как и в случае с Д-5, от тумбы в ЦАКБ отказались, заменив её на рамку. Высота линии огня повышалась с 1400 до 1600 мм, а вот боевая масса, наоборот, снижалась с 30 до 29,5 тонн. Как и было прописано в требованиях, ЦАКБ провело максимальную унификацию орудия с 76-мм пушкой ЗИС-5, уровень взаимозаменяемости превысил 70%. Одной из главных проблем С-18 оказалась чрезмерная длина отката. Она составила 470-570 мм, более чем в полтора раза больше требуемой.</w:t>
      </w:r>
    </w:p>
    <w:p w14:paraId="13C6C117" w14:textId="77777777" w:rsidR="0062502E" w:rsidRPr="00D03F3E" w:rsidRDefault="0062502E" w:rsidP="00D03F3E">
      <w:pPr>
        <w:pStyle w:val="ae"/>
        <w:shd w:val="clear" w:color="auto" w:fill="FFFFFF"/>
        <w:spacing w:before="0" w:after="0"/>
        <w:jc w:val="both"/>
        <w:rPr>
          <w:color w:val="000000" w:themeColor="text1"/>
          <w:sz w:val="16"/>
          <w:szCs w:val="16"/>
        </w:rPr>
      </w:pPr>
      <w:r w:rsidRPr="00D03F3E">
        <w:rPr>
          <w:color w:val="000000" w:themeColor="text1"/>
          <w:sz w:val="16"/>
          <w:szCs w:val="16"/>
        </w:rPr>
        <w:t>История противоборства самоходных систем ЦАКБ и завода №9 развивалась по сценарию, который позже повторился с танковыми системами. На стороне возглавляемого Грабиным коллектива было время, а преимущество свердловских оружейников заключалось в более проработанной системе и географической близости к предприятиям, производившим самоходные установки.</w:t>
      </w:r>
    </w:p>
    <w:p w14:paraId="4AEA3EA3" w14:textId="77777777" w:rsidR="0062502E" w:rsidRPr="00D03F3E" w:rsidRDefault="0062502E" w:rsidP="00D03F3E">
      <w:pPr>
        <w:pStyle w:val="ae"/>
        <w:shd w:val="clear" w:color="auto" w:fill="FFFFFF"/>
        <w:spacing w:before="0" w:after="0"/>
        <w:jc w:val="both"/>
        <w:rPr>
          <w:color w:val="000000" w:themeColor="text1"/>
          <w:sz w:val="16"/>
          <w:szCs w:val="16"/>
        </w:rPr>
      </w:pPr>
      <w:r w:rsidRPr="00D03F3E">
        <w:rPr>
          <w:color w:val="000000" w:themeColor="text1"/>
          <w:sz w:val="16"/>
          <w:szCs w:val="16"/>
        </w:rPr>
        <w:t>Неспешность разработки семейства Д-5 привела к тому, что к концу мая 1943 года ЦАКБ вырвалось вперёд. Это касалось как танковых, так и самоходных пушек. Гораздо быстрее удалось подготовить эскизный проект сначала танкового орудия С-31, а затем и самоходного С-18. К 20 мая заводу №9 для изготовления были переданы чертежи С-31. К этому же сроку передали почти всю документацию по С-18, за исключением чертежей поворотного механизма, переходных деталей прицела и ЗИП. Окончательно документацию по обеим системам ЦАКБ передало 31 мая, в срок, указанный в приказе Народного комиссариата вооружений (НКВ) и НКТП №283сс/260сс от 8 мая 1943 года (17704).</w:t>
      </w:r>
    </w:p>
    <w:p w14:paraId="1771BE4C" w14:textId="77777777" w:rsidR="0062502E" w:rsidRPr="00D03F3E" w:rsidRDefault="0062502E" w:rsidP="00D03F3E">
      <w:pPr>
        <w:spacing w:after="0" w:line="240" w:lineRule="auto"/>
        <w:jc w:val="both"/>
        <w:rPr>
          <w:rFonts w:ascii="Times New Roman" w:hAnsi="Times New Roman"/>
          <w:color w:val="000000" w:themeColor="text1"/>
          <w:sz w:val="16"/>
          <w:szCs w:val="16"/>
        </w:rPr>
      </w:pPr>
    </w:p>
    <w:p w14:paraId="019E1D3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мая 1943 г. была подготовлена ДОКЛАДНАЯ ЗАПИСКА НАЧАЛЬНИКА ГАВТУ КА В СНК СССР МОЛОТОВУ ПО ВОПРОСУ РЕМОНТА АВТОМАШИН</w:t>
      </w:r>
    </w:p>
    <w:p w14:paraId="29D4666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Докладываю, что большое количество автомашин Красной Армии является неисправным. Число машин, требующих капитального и среднего ремонта, увеличивается и на 1.04.1943 г. составляет 96355 штук.</w:t>
      </w:r>
    </w:p>
    <w:tbl>
      <w:tblPr>
        <w:tblW w:w="0" w:type="auto"/>
        <w:tblInd w:w="40" w:type="dxa"/>
        <w:tblLayout w:type="fixed"/>
        <w:tblCellMar>
          <w:left w:w="40" w:type="dxa"/>
          <w:right w:w="40" w:type="dxa"/>
        </w:tblCellMar>
        <w:tblLook w:val="0000" w:firstRow="0" w:lastRow="0" w:firstColumn="0" w:lastColumn="0" w:noHBand="0" w:noVBand="0"/>
      </w:tblPr>
      <w:tblGrid>
        <w:gridCol w:w="1747"/>
        <w:gridCol w:w="1421"/>
        <w:gridCol w:w="1363"/>
        <w:gridCol w:w="1373"/>
        <w:gridCol w:w="1363"/>
        <w:gridCol w:w="1430"/>
      </w:tblGrid>
      <w:tr w:rsidR="00860B4B" w:rsidRPr="00D03F3E" w14:paraId="699C21E1" w14:textId="77777777">
        <w:trPr>
          <w:trHeight w:val="269"/>
        </w:trPr>
        <w:tc>
          <w:tcPr>
            <w:tcW w:w="1747" w:type="dxa"/>
            <w:tcBorders>
              <w:top w:val="single" w:sz="6" w:space="0" w:color="auto"/>
              <w:left w:val="single" w:sz="6" w:space="0" w:color="auto"/>
              <w:bottom w:val="nil"/>
              <w:right w:val="single" w:sz="6" w:space="0" w:color="auto"/>
            </w:tcBorders>
          </w:tcPr>
          <w:p w14:paraId="546974E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Дата</w:t>
            </w:r>
          </w:p>
          <w:p w14:paraId="6CB7A8E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950" w:type="dxa"/>
            <w:gridSpan w:val="5"/>
            <w:tcBorders>
              <w:top w:val="single" w:sz="6" w:space="0" w:color="auto"/>
              <w:left w:val="single" w:sz="6" w:space="0" w:color="auto"/>
              <w:bottom w:val="single" w:sz="6" w:space="0" w:color="auto"/>
              <w:right w:val="single" w:sz="6" w:space="0" w:color="auto"/>
            </w:tcBorders>
          </w:tcPr>
          <w:p w14:paraId="5CD8D28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Наличие автомашин в Красной Армии</w:t>
            </w:r>
          </w:p>
          <w:p w14:paraId="05109E7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1DADAC43" w14:textId="77777777">
        <w:trPr>
          <w:trHeight w:val="259"/>
        </w:trPr>
        <w:tc>
          <w:tcPr>
            <w:tcW w:w="1747" w:type="dxa"/>
            <w:tcBorders>
              <w:top w:val="nil"/>
              <w:left w:val="single" w:sz="6" w:space="0" w:color="auto"/>
              <w:bottom w:val="nil"/>
              <w:right w:val="single" w:sz="6" w:space="0" w:color="auto"/>
            </w:tcBorders>
          </w:tcPr>
          <w:p w14:paraId="25CCAF1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8661D50"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nil"/>
              <w:right w:val="single" w:sz="6" w:space="0" w:color="auto"/>
            </w:tcBorders>
          </w:tcPr>
          <w:p w14:paraId="407F47A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p w14:paraId="6DEB9C7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4099" w:type="dxa"/>
            <w:gridSpan w:val="3"/>
            <w:tcBorders>
              <w:top w:val="single" w:sz="6" w:space="0" w:color="auto"/>
              <w:left w:val="single" w:sz="6" w:space="0" w:color="auto"/>
              <w:bottom w:val="single" w:sz="6" w:space="0" w:color="auto"/>
              <w:right w:val="single" w:sz="6" w:space="0" w:color="auto"/>
            </w:tcBorders>
          </w:tcPr>
          <w:p w14:paraId="02DF5FA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них требует ремонта</w:t>
            </w:r>
          </w:p>
          <w:p w14:paraId="4E66117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30" w:type="dxa"/>
            <w:tcBorders>
              <w:top w:val="single" w:sz="6" w:space="0" w:color="auto"/>
              <w:left w:val="single" w:sz="6" w:space="0" w:color="auto"/>
              <w:bottom w:val="nil"/>
              <w:right w:val="single" w:sz="6" w:space="0" w:color="auto"/>
            </w:tcBorders>
          </w:tcPr>
          <w:p w14:paraId="3CB9D79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неисправных автомашин</w:t>
            </w:r>
          </w:p>
          <w:p w14:paraId="4091351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59BB7997" w14:textId="77777777">
        <w:trPr>
          <w:trHeight w:val="259"/>
        </w:trPr>
        <w:tc>
          <w:tcPr>
            <w:tcW w:w="1747" w:type="dxa"/>
            <w:tcBorders>
              <w:top w:val="nil"/>
              <w:left w:val="single" w:sz="6" w:space="0" w:color="auto"/>
              <w:bottom w:val="single" w:sz="6" w:space="0" w:color="auto"/>
              <w:right w:val="single" w:sz="6" w:space="0" w:color="auto"/>
            </w:tcBorders>
          </w:tcPr>
          <w:p w14:paraId="2AB64D1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EB7975D"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421" w:type="dxa"/>
            <w:tcBorders>
              <w:top w:val="nil"/>
              <w:left w:val="single" w:sz="6" w:space="0" w:color="auto"/>
              <w:bottom w:val="single" w:sz="6" w:space="0" w:color="auto"/>
              <w:right w:val="single" w:sz="6" w:space="0" w:color="auto"/>
            </w:tcBorders>
          </w:tcPr>
          <w:p w14:paraId="54368CD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BC728CB"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274CF2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Среднего</w:t>
            </w:r>
          </w:p>
          <w:p w14:paraId="463C227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C02655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Капитальн.</w:t>
            </w:r>
          </w:p>
          <w:p w14:paraId="52F703C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9592AE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p w14:paraId="1CCFEDE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30" w:type="dxa"/>
            <w:tcBorders>
              <w:top w:val="nil"/>
              <w:left w:val="single" w:sz="6" w:space="0" w:color="auto"/>
              <w:bottom w:val="single" w:sz="6" w:space="0" w:color="auto"/>
              <w:right w:val="single" w:sz="6" w:space="0" w:color="auto"/>
            </w:tcBorders>
          </w:tcPr>
          <w:p w14:paraId="6FE6BF2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023F841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0BA2E18F" w14:textId="77777777">
        <w:trPr>
          <w:trHeight w:val="278"/>
        </w:trPr>
        <w:tc>
          <w:tcPr>
            <w:tcW w:w="1747" w:type="dxa"/>
            <w:tcBorders>
              <w:top w:val="single" w:sz="6" w:space="0" w:color="auto"/>
              <w:left w:val="single" w:sz="6" w:space="0" w:color="auto"/>
              <w:bottom w:val="single" w:sz="6" w:space="0" w:color="auto"/>
              <w:right w:val="single" w:sz="6" w:space="0" w:color="auto"/>
            </w:tcBorders>
          </w:tcPr>
          <w:p w14:paraId="08346CC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января 1942 г.</w:t>
            </w:r>
          </w:p>
          <w:p w14:paraId="5E3DCD6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3FD003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318485</w:t>
            </w:r>
          </w:p>
          <w:p w14:paraId="1BFD3E9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D577BE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38545</w:t>
            </w:r>
          </w:p>
          <w:p w14:paraId="003829B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5A586E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18849</w:t>
            </w:r>
          </w:p>
          <w:p w14:paraId="3A345C6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5CA9F0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57394</w:t>
            </w:r>
          </w:p>
          <w:p w14:paraId="4943593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37C230A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w:t>
            </w:r>
          </w:p>
          <w:p w14:paraId="2FD14DD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280C6685" w14:textId="77777777">
        <w:trPr>
          <w:trHeight w:val="269"/>
        </w:trPr>
        <w:tc>
          <w:tcPr>
            <w:tcW w:w="1747" w:type="dxa"/>
            <w:tcBorders>
              <w:top w:val="single" w:sz="6" w:space="0" w:color="auto"/>
              <w:left w:val="single" w:sz="6" w:space="0" w:color="auto"/>
              <w:bottom w:val="single" w:sz="6" w:space="0" w:color="auto"/>
              <w:right w:val="single" w:sz="6" w:space="0" w:color="auto"/>
            </w:tcBorders>
          </w:tcPr>
          <w:p w14:paraId="02B3D8E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января 1943 г.</w:t>
            </w:r>
          </w:p>
          <w:p w14:paraId="489416D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743D0D8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379052</w:t>
            </w:r>
          </w:p>
          <w:p w14:paraId="653DA3B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8BEF7C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52604</w:t>
            </w:r>
          </w:p>
          <w:p w14:paraId="2133712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4D885D9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31350</w:t>
            </w:r>
          </w:p>
          <w:p w14:paraId="037BA98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A23459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84054</w:t>
            </w:r>
          </w:p>
          <w:p w14:paraId="76313F0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5A4C61A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22,2</w:t>
            </w:r>
          </w:p>
          <w:p w14:paraId="3F4A7F8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1CDC08B9" w14:textId="77777777">
        <w:trPr>
          <w:trHeight w:val="298"/>
        </w:trPr>
        <w:tc>
          <w:tcPr>
            <w:tcW w:w="1747" w:type="dxa"/>
            <w:tcBorders>
              <w:top w:val="single" w:sz="6" w:space="0" w:color="auto"/>
              <w:left w:val="single" w:sz="6" w:space="0" w:color="auto"/>
              <w:bottom w:val="single" w:sz="6" w:space="0" w:color="auto"/>
              <w:right w:val="single" w:sz="6" w:space="0" w:color="auto"/>
            </w:tcBorders>
          </w:tcPr>
          <w:p w14:paraId="7EC5C06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января 1943 г.</w:t>
            </w:r>
          </w:p>
          <w:p w14:paraId="0373F3B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125945F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396367</w:t>
            </w:r>
          </w:p>
          <w:p w14:paraId="05DECF9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FCE445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64585</w:t>
            </w:r>
          </w:p>
          <w:p w14:paraId="3720CD2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06BC55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31770</w:t>
            </w:r>
          </w:p>
          <w:p w14:paraId="417F32F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7D3E23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96355</w:t>
            </w:r>
          </w:p>
          <w:p w14:paraId="269A0FC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7F5D11A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w:t>
            </w:r>
          </w:p>
          <w:p w14:paraId="307BEA6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bl>
    <w:p w14:paraId="4047677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значительная часть ходового автопарка КА находится в низком техническом состо</w:t>
      </w:r>
      <w:r w:rsidRPr="00D03F3E">
        <w:rPr>
          <w:rFonts w:ascii="Times New Roman" w:hAnsi="Times New Roman"/>
          <w:color w:val="000000" w:themeColor="text1"/>
          <w:sz w:val="16"/>
          <w:szCs w:val="16"/>
        </w:rPr>
        <w:softHyphen/>
        <w:t>янии, крайне изношенна, не выдерживает установленных сроков межремонтных пробегов и нена</w:t>
      </w:r>
      <w:r w:rsidRPr="00D03F3E">
        <w:rPr>
          <w:rFonts w:ascii="Times New Roman" w:hAnsi="Times New Roman"/>
          <w:color w:val="000000" w:themeColor="text1"/>
          <w:sz w:val="16"/>
          <w:szCs w:val="16"/>
        </w:rPr>
        <w:softHyphen/>
        <w:t>дежна в работе.</w:t>
      </w:r>
    </w:p>
    <w:p w14:paraId="0E5A0EC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Основной причиной ухудшения технического состояния автопарка КА является острый недо</w:t>
      </w:r>
      <w:r w:rsidRPr="00D03F3E">
        <w:rPr>
          <w:rFonts w:ascii="Times New Roman" w:hAnsi="Times New Roman"/>
          <w:color w:val="000000" w:themeColor="text1"/>
          <w:sz w:val="16"/>
          <w:szCs w:val="16"/>
        </w:rPr>
        <w:softHyphen/>
        <w:t>статок запасных частей за весь период ведения войны.</w:t>
      </w:r>
    </w:p>
    <w:p w14:paraId="2FF60FD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запасных частей по сравнению с довоенным уровнем сократилось в 2,5 раза.</w:t>
      </w:r>
    </w:p>
    <w:p w14:paraId="0DCA3DE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привело к тому, что, несмотря на увеличивающийся автопарк КА и возросшую на него нагрузку, поставка запасных частей для Армии протекает на очень низком уровне.</w:t>
      </w:r>
    </w:p>
    <w:tbl>
      <w:tblPr>
        <w:tblW w:w="0" w:type="auto"/>
        <w:tblInd w:w="40" w:type="dxa"/>
        <w:tblLayout w:type="fixed"/>
        <w:tblCellMar>
          <w:left w:w="40" w:type="dxa"/>
          <w:right w:w="40" w:type="dxa"/>
        </w:tblCellMar>
        <w:tblLook w:val="0000" w:firstRow="0" w:lastRow="0" w:firstColumn="0" w:lastColumn="0" w:noHBand="0" w:noVBand="0"/>
      </w:tblPr>
      <w:tblGrid>
        <w:gridCol w:w="2438"/>
        <w:gridCol w:w="864"/>
        <w:gridCol w:w="854"/>
        <w:gridCol w:w="874"/>
        <w:gridCol w:w="864"/>
        <w:gridCol w:w="1229"/>
        <w:gridCol w:w="1229"/>
        <w:gridCol w:w="1162"/>
      </w:tblGrid>
      <w:tr w:rsidR="00860B4B" w:rsidRPr="00D03F3E" w14:paraId="29DAF70F" w14:textId="77777777">
        <w:trPr>
          <w:trHeight w:val="221"/>
        </w:trPr>
        <w:tc>
          <w:tcPr>
            <w:tcW w:w="2438" w:type="dxa"/>
            <w:tcBorders>
              <w:top w:val="single" w:sz="6" w:space="0" w:color="auto"/>
              <w:left w:val="single" w:sz="6" w:space="0" w:color="auto"/>
              <w:bottom w:val="nil"/>
              <w:right w:val="single" w:sz="6" w:space="0" w:color="auto"/>
            </w:tcBorders>
          </w:tcPr>
          <w:p w14:paraId="22B6043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BCB788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07DBE41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Единица измерения</w:t>
            </w:r>
          </w:p>
          <w:p w14:paraId="19CAAC7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nil"/>
              <w:right w:val="single" w:sz="6" w:space="0" w:color="auto"/>
            </w:tcBorders>
          </w:tcPr>
          <w:p w14:paraId="0F46FDB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1941 г</w:t>
            </w:r>
          </w:p>
          <w:p w14:paraId="3181117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nil"/>
              <w:right w:val="single" w:sz="6" w:space="0" w:color="auto"/>
            </w:tcBorders>
          </w:tcPr>
          <w:p w14:paraId="3F87682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1942г.</w:t>
            </w:r>
          </w:p>
          <w:p w14:paraId="48B3984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2CE5BC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!кв. 1943г.</w:t>
            </w:r>
          </w:p>
          <w:p w14:paraId="046FEE4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620" w:type="dxa"/>
            <w:gridSpan w:val="3"/>
            <w:tcBorders>
              <w:top w:val="single" w:sz="6" w:space="0" w:color="auto"/>
              <w:left w:val="single" w:sz="6" w:space="0" w:color="auto"/>
              <w:bottom w:val="single" w:sz="6" w:space="0" w:color="auto"/>
              <w:right w:val="single" w:sz="6" w:space="0" w:color="auto"/>
            </w:tcBorders>
          </w:tcPr>
          <w:p w14:paraId="5514BF8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Среднемесячные данные</w:t>
            </w:r>
          </w:p>
          <w:p w14:paraId="1805996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16FDCC04" w14:textId="77777777">
        <w:trPr>
          <w:trHeight w:val="221"/>
        </w:trPr>
        <w:tc>
          <w:tcPr>
            <w:tcW w:w="2438" w:type="dxa"/>
            <w:tcBorders>
              <w:top w:val="nil"/>
              <w:left w:val="single" w:sz="6" w:space="0" w:color="auto"/>
              <w:bottom w:val="single" w:sz="6" w:space="0" w:color="auto"/>
              <w:right w:val="single" w:sz="6" w:space="0" w:color="auto"/>
            </w:tcBorders>
          </w:tcPr>
          <w:p w14:paraId="5044D0D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B0CB280"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3128D60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6A6C7CC"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854" w:type="dxa"/>
            <w:tcBorders>
              <w:top w:val="nil"/>
              <w:left w:val="single" w:sz="6" w:space="0" w:color="auto"/>
              <w:bottom w:val="single" w:sz="6" w:space="0" w:color="auto"/>
              <w:right w:val="single" w:sz="6" w:space="0" w:color="auto"/>
            </w:tcBorders>
          </w:tcPr>
          <w:p w14:paraId="474B920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92D39B5"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874" w:type="dxa"/>
            <w:tcBorders>
              <w:top w:val="nil"/>
              <w:left w:val="single" w:sz="6" w:space="0" w:color="auto"/>
              <w:bottom w:val="single" w:sz="6" w:space="0" w:color="auto"/>
              <w:right w:val="single" w:sz="6" w:space="0" w:color="auto"/>
            </w:tcBorders>
          </w:tcPr>
          <w:p w14:paraId="170BAC9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5E83262"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27E1AF2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809EF19"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502649D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1941 г.</w:t>
            </w:r>
          </w:p>
          <w:p w14:paraId="67EB293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39A50E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1942г.</w:t>
            </w:r>
          </w:p>
          <w:p w14:paraId="121F2AF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50BF957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1 кв. 1943г.</w:t>
            </w:r>
          </w:p>
          <w:p w14:paraId="60D6440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5A9CEB53" w14:textId="77777777">
        <w:trPr>
          <w:trHeight w:val="422"/>
        </w:trPr>
        <w:tc>
          <w:tcPr>
            <w:tcW w:w="2438" w:type="dxa"/>
            <w:tcBorders>
              <w:top w:val="single" w:sz="6" w:space="0" w:color="auto"/>
              <w:left w:val="single" w:sz="6" w:space="0" w:color="auto"/>
              <w:bottom w:val="single" w:sz="6" w:space="0" w:color="auto"/>
              <w:right w:val="single" w:sz="6" w:space="0" w:color="auto"/>
            </w:tcBorders>
          </w:tcPr>
          <w:p w14:paraId="218883C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автозапчастей промышленностью</w:t>
            </w:r>
          </w:p>
          <w:p w14:paraId="0D3355D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570BA9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тыс. руб.</w:t>
            </w:r>
          </w:p>
          <w:p w14:paraId="50B360D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C96E91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317000</w:t>
            </w:r>
          </w:p>
          <w:p w14:paraId="147971D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12115EC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116700</w:t>
            </w:r>
          </w:p>
          <w:p w14:paraId="3F6E0D6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C04EDB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27429</w:t>
            </w:r>
          </w:p>
          <w:p w14:paraId="6420D31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5A4EB6A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26416</w:t>
            </w:r>
          </w:p>
          <w:p w14:paraId="18C1FF5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656D317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9725</w:t>
            </w:r>
          </w:p>
          <w:p w14:paraId="290FE7B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623A365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9143</w:t>
            </w:r>
          </w:p>
          <w:p w14:paraId="6E44A5E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57ED4334" w14:textId="77777777">
        <w:trPr>
          <w:trHeight w:val="394"/>
        </w:trPr>
        <w:tc>
          <w:tcPr>
            <w:tcW w:w="2438" w:type="dxa"/>
            <w:tcBorders>
              <w:top w:val="single" w:sz="6" w:space="0" w:color="auto"/>
              <w:left w:val="single" w:sz="6" w:space="0" w:color="auto"/>
              <w:bottom w:val="single" w:sz="6" w:space="0" w:color="auto"/>
              <w:right w:val="single" w:sz="6" w:space="0" w:color="auto"/>
            </w:tcBorders>
          </w:tcPr>
          <w:p w14:paraId="50FCC4B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Поставка автозапчастей КА</w:t>
            </w:r>
          </w:p>
          <w:p w14:paraId="0C137A1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23FCDD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тыс. руб.</w:t>
            </w:r>
          </w:p>
          <w:p w14:paraId="44C8E39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9CFBE9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82557</w:t>
            </w:r>
          </w:p>
          <w:p w14:paraId="61CFA38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5C1A23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50337</w:t>
            </w:r>
          </w:p>
          <w:p w14:paraId="207859C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4197D8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16252</w:t>
            </w:r>
          </w:p>
          <w:p w14:paraId="20F0F05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56412D1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6880</w:t>
            </w:r>
          </w:p>
          <w:p w14:paraId="1D6AE1D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286771F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4195</w:t>
            </w:r>
          </w:p>
          <w:p w14:paraId="238CD2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6C67C4F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5417</w:t>
            </w:r>
          </w:p>
          <w:p w14:paraId="63FC0F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bl>
    <w:p w14:paraId="4437F77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 запасных частей на 1 списочную машину в 1942 г. уменьшилось вдвое по сравнению с 1941 г. Вследствие этого увеличилась потребность в производстве средних и капитальных ремонтов и снизилась возможность удовлетворения для текущих ремонтов:</w:t>
      </w:r>
    </w:p>
    <w:tbl>
      <w:tblPr>
        <w:tblW w:w="0" w:type="auto"/>
        <w:tblInd w:w="40" w:type="dxa"/>
        <w:tblLayout w:type="fixed"/>
        <w:tblCellMar>
          <w:left w:w="40" w:type="dxa"/>
          <w:right w:w="40" w:type="dxa"/>
        </w:tblCellMar>
        <w:tblLook w:val="0000" w:firstRow="0" w:lastRow="0" w:firstColumn="0" w:lastColumn="0" w:noHBand="0" w:noVBand="0"/>
      </w:tblPr>
      <w:tblGrid>
        <w:gridCol w:w="4387"/>
        <w:gridCol w:w="1037"/>
        <w:gridCol w:w="1046"/>
        <w:gridCol w:w="1066"/>
      </w:tblGrid>
      <w:tr w:rsidR="00860B4B" w:rsidRPr="00D03F3E" w14:paraId="0C856EA1" w14:textId="77777777">
        <w:trPr>
          <w:trHeight w:val="384"/>
        </w:trPr>
        <w:tc>
          <w:tcPr>
            <w:tcW w:w="4387" w:type="dxa"/>
            <w:tcBorders>
              <w:top w:val="single" w:sz="6" w:space="0" w:color="auto"/>
              <w:left w:val="single" w:sz="6" w:space="0" w:color="auto"/>
              <w:bottom w:val="single" w:sz="6" w:space="0" w:color="auto"/>
              <w:right w:val="single" w:sz="6" w:space="0" w:color="auto"/>
            </w:tcBorders>
          </w:tcPr>
          <w:p w14:paraId="321D2DF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2479ADE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B1262B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Единица измерения</w:t>
            </w:r>
          </w:p>
          <w:p w14:paraId="3B611B5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7626F9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1941 г.</w:t>
            </w:r>
          </w:p>
          <w:p w14:paraId="3660847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FC5DBE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1942 г.</w:t>
            </w:r>
          </w:p>
          <w:p w14:paraId="549252F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10339959" w14:textId="77777777">
        <w:trPr>
          <w:trHeight w:val="230"/>
        </w:trPr>
        <w:tc>
          <w:tcPr>
            <w:tcW w:w="4387" w:type="dxa"/>
            <w:tcBorders>
              <w:top w:val="single" w:sz="6" w:space="0" w:color="auto"/>
              <w:left w:val="single" w:sz="6" w:space="0" w:color="auto"/>
              <w:bottom w:val="single" w:sz="6" w:space="0" w:color="auto"/>
              <w:right w:val="single" w:sz="6" w:space="0" w:color="auto"/>
            </w:tcBorders>
          </w:tcPr>
          <w:p w14:paraId="75F1BFF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Наличие автомашин к концу года</w:t>
            </w:r>
          </w:p>
          <w:p w14:paraId="565F8B9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A7B776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штук</w:t>
            </w:r>
          </w:p>
          <w:p w14:paraId="5DA15A5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213182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318485</w:t>
            </w:r>
          </w:p>
          <w:p w14:paraId="0192E05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AB4743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379052</w:t>
            </w:r>
          </w:p>
          <w:p w14:paraId="77DA63C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78A60479" w14:textId="77777777">
        <w:trPr>
          <w:trHeight w:val="230"/>
        </w:trPr>
        <w:tc>
          <w:tcPr>
            <w:tcW w:w="4387" w:type="dxa"/>
            <w:tcBorders>
              <w:top w:val="single" w:sz="6" w:space="0" w:color="auto"/>
              <w:left w:val="single" w:sz="6" w:space="0" w:color="auto"/>
              <w:bottom w:val="single" w:sz="6" w:space="0" w:color="auto"/>
              <w:right w:val="single" w:sz="6" w:space="0" w:color="auto"/>
            </w:tcBorders>
          </w:tcPr>
          <w:p w14:paraId="268EB82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Получено запчастей для КА</w:t>
            </w:r>
          </w:p>
          <w:p w14:paraId="4C3AD12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776DF7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тыс. руб.</w:t>
            </w:r>
          </w:p>
          <w:p w14:paraId="7666F2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665996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82557</w:t>
            </w:r>
          </w:p>
          <w:p w14:paraId="62BB551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7BC4E8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50337</w:t>
            </w:r>
          </w:p>
          <w:p w14:paraId="1E1DCF4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232E38B0" w14:textId="77777777">
        <w:trPr>
          <w:trHeight w:val="240"/>
        </w:trPr>
        <w:tc>
          <w:tcPr>
            <w:tcW w:w="4387" w:type="dxa"/>
            <w:tcBorders>
              <w:top w:val="single" w:sz="6" w:space="0" w:color="auto"/>
              <w:left w:val="single" w:sz="6" w:space="0" w:color="auto"/>
              <w:bottom w:val="single" w:sz="6" w:space="0" w:color="auto"/>
              <w:right w:val="single" w:sz="6" w:space="0" w:color="auto"/>
            </w:tcBorders>
          </w:tcPr>
          <w:p w14:paraId="140697D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Приходится запчастей на 1 списочную машину в м-ц</w:t>
            </w:r>
          </w:p>
          <w:p w14:paraId="5BFAB1C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B83B18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руб.</w:t>
            </w:r>
          </w:p>
          <w:p w14:paraId="463E80C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6DE377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21,7</w:t>
            </w:r>
          </w:p>
          <w:p w14:paraId="7603AC4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5F4C88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11,1</w:t>
            </w:r>
          </w:p>
          <w:p w14:paraId="1ABEC23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bl>
    <w:p w14:paraId="3F4176F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Из-за необеспеченности запасными частями автомашины ремонтируются некачественно, изно</w:t>
      </w:r>
      <w:r w:rsidRPr="00D03F3E">
        <w:rPr>
          <w:rFonts w:ascii="Times New Roman" w:hAnsi="Times New Roman"/>
          <w:color w:val="000000" w:themeColor="text1"/>
          <w:sz w:val="16"/>
          <w:szCs w:val="16"/>
        </w:rPr>
        <w:softHyphen/>
        <w:t>шенные детали в большей части не заменяются, много машин простаивает в ожидании ремонта:</w:t>
      </w:r>
    </w:p>
    <w:tbl>
      <w:tblPr>
        <w:tblW w:w="0" w:type="auto"/>
        <w:tblInd w:w="40" w:type="dxa"/>
        <w:tblLayout w:type="fixed"/>
        <w:tblCellMar>
          <w:left w:w="40" w:type="dxa"/>
          <w:right w:w="40" w:type="dxa"/>
        </w:tblCellMar>
        <w:tblLook w:val="0000" w:firstRow="0" w:lastRow="0" w:firstColumn="0" w:lastColumn="0" w:noHBand="0" w:noVBand="0"/>
      </w:tblPr>
      <w:tblGrid>
        <w:gridCol w:w="1968"/>
        <w:gridCol w:w="1133"/>
        <w:gridCol w:w="1123"/>
        <w:gridCol w:w="1123"/>
        <w:gridCol w:w="1171"/>
        <w:gridCol w:w="1171"/>
        <w:gridCol w:w="1181"/>
      </w:tblGrid>
      <w:tr w:rsidR="00860B4B" w:rsidRPr="00D03F3E" w14:paraId="37CFD9E6" w14:textId="77777777">
        <w:trPr>
          <w:trHeight w:val="230"/>
        </w:trPr>
        <w:tc>
          <w:tcPr>
            <w:tcW w:w="1968" w:type="dxa"/>
            <w:tcBorders>
              <w:top w:val="single" w:sz="6" w:space="0" w:color="auto"/>
              <w:left w:val="single" w:sz="6" w:space="0" w:color="auto"/>
              <w:bottom w:val="nil"/>
              <w:right w:val="single" w:sz="6" w:space="0" w:color="auto"/>
            </w:tcBorders>
          </w:tcPr>
          <w:p w14:paraId="4D7D3F4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8F0D84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379" w:type="dxa"/>
            <w:gridSpan w:val="3"/>
            <w:tcBorders>
              <w:top w:val="single" w:sz="6" w:space="0" w:color="auto"/>
              <w:left w:val="single" w:sz="6" w:space="0" w:color="auto"/>
              <w:bottom w:val="single" w:sz="6" w:space="0" w:color="auto"/>
              <w:right w:val="single" w:sz="6" w:space="0" w:color="auto"/>
            </w:tcBorders>
          </w:tcPr>
          <w:p w14:paraId="2AA563E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Произведено ремонтов</w:t>
            </w:r>
          </w:p>
          <w:p w14:paraId="25F6351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nil"/>
              <w:right w:val="single" w:sz="6" w:space="0" w:color="auto"/>
            </w:tcBorders>
          </w:tcPr>
          <w:p w14:paraId="715E7DB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Требовалось запчастей в тыс. руб.</w:t>
            </w:r>
          </w:p>
          <w:p w14:paraId="510A3D6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nil"/>
              <w:right w:val="single" w:sz="6" w:space="0" w:color="auto"/>
            </w:tcBorders>
          </w:tcPr>
          <w:p w14:paraId="10E1B95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Получено запчастей тыс.руб.</w:t>
            </w:r>
          </w:p>
          <w:p w14:paraId="3E8FDED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nil"/>
              <w:right w:val="single" w:sz="6" w:space="0" w:color="auto"/>
            </w:tcBorders>
          </w:tcPr>
          <w:p w14:paraId="3064228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обеспечения</w:t>
            </w:r>
          </w:p>
          <w:p w14:paraId="0C8DD27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247765F7" w14:textId="77777777">
        <w:trPr>
          <w:trHeight w:val="317"/>
        </w:trPr>
        <w:tc>
          <w:tcPr>
            <w:tcW w:w="1968" w:type="dxa"/>
            <w:tcBorders>
              <w:top w:val="nil"/>
              <w:left w:val="single" w:sz="6" w:space="0" w:color="auto"/>
              <w:bottom w:val="single" w:sz="6" w:space="0" w:color="auto"/>
              <w:right w:val="single" w:sz="6" w:space="0" w:color="auto"/>
            </w:tcBorders>
          </w:tcPr>
          <w:p w14:paraId="3BE72F0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F03537E"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DA6D49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Средних</w:t>
            </w:r>
          </w:p>
          <w:p w14:paraId="7436EAE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9DE099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Капитальных</w:t>
            </w:r>
          </w:p>
          <w:p w14:paraId="5622BAE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D68E9B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p w14:paraId="0CD9E08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nil"/>
              <w:left w:val="single" w:sz="6" w:space="0" w:color="auto"/>
              <w:bottom w:val="single" w:sz="6" w:space="0" w:color="auto"/>
              <w:right w:val="single" w:sz="6" w:space="0" w:color="auto"/>
            </w:tcBorders>
          </w:tcPr>
          <w:p w14:paraId="1D8666F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829E59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nil"/>
              <w:left w:val="single" w:sz="6" w:space="0" w:color="auto"/>
              <w:bottom w:val="single" w:sz="6" w:space="0" w:color="auto"/>
              <w:right w:val="single" w:sz="6" w:space="0" w:color="auto"/>
            </w:tcBorders>
          </w:tcPr>
          <w:p w14:paraId="0A5A42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3A899A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81" w:type="dxa"/>
            <w:tcBorders>
              <w:top w:val="nil"/>
              <w:left w:val="single" w:sz="6" w:space="0" w:color="auto"/>
              <w:bottom w:val="single" w:sz="6" w:space="0" w:color="auto"/>
              <w:right w:val="single" w:sz="6" w:space="0" w:color="auto"/>
            </w:tcBorders>
          </w:tcPr>
          <w:p w14:paraId="361B5A1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25BBD3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058DC6C8" w14:textId="77777777">
        <w:trPr>
          <w:trHeight w:val="230"/>
        </w:trPr>
        <w:tc>
          <w:tcPr>
            <w:tcW w:w="1968" w:type="dxa"/>
            <w:tcBorders>
              <w:top w:val="single" w:sz="6" w:space="0" w:color="auto"/>
              <w:left w:val="single" w:sz="6" w:space="0" w:color="auto"/>
              <w:bottom w:val="single" w:sz="6" w:space="0" w:color="auto"/>
              <w:right w:val="single" w:sz="6" w:space="0" w:color="auto"/>
            </w:tcBorders>
          </w:tcPr>
          <w:p w14:paraId="138F6CE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2-е полугодие 1941 г.</w:t>
            </w:r>
          </w:p>
          <w:p w14:paraId="0052A2C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D3B8E9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0DA696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60AC3A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601984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63C43E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84524</w:t>
            </w:r>
          </w:p>
          <w:p w14:paraId="310683E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200417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96711</w:t>
            </w:r>
          </w:p>
          <w:p w14:paraId="3EDB48D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D855FA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52600</w:t>
            </w:r>
          </w:p>
          <w:p w14:paraId="00B4635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352CA7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w:t>
            </w:r>
          </w:p>
          <w:p w14:paraId="3A2DAE8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1E5D60CD" w14:textId="77777777">
        <w:trPr>
          <w:trHeight w:val="221"/>
        </w:trPr>
        <w:tc>
          <w:tcPr>
            <w:tcW w:w="1968" w:type="dxa"/>
            <w:tcBorders>
              <w:top w:val="single" w:sz="6" w:space="0" w:color="auto"/>
              <w:left w:val="single" w:sz="6" w:space="0" w:color="auto"/>
              <w:bottom w:val="single" w:sz="6" w:space="0" w:color="auto"/>
              <w:right w:val="single" w:sz="6" w:space="0" w:color="auto"/>
            </w:tcBorders>
          </w:tcPr>
          <w:p w14:paraId="2B0F8BF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1942 год 164259</w:t>
            </w:r>
          </w:p>
          <w:p w14:paraId="0E79947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9417E3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164259</w:t>
            </w:r>
          </w:p>
          <w:p w14:paraId="109497F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F95D1B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112475</w:t>
            </w:r>
          </w:p>
          <w:p w14:paraId="219B392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AECD85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276374</w:t>
            </w:r>
          </w:p>
          <w:p w14:paraId="4B35A5B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423BC0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211920</w:t>
            </w:r>
          </w:p>
          <w:p w14:paraId="49F0D16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69F129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50337</w:t>
            </w:r>
          </w:p>
          <w:p w14:paraId="0F9A374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A48612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23,7</w:t>
            </w:r>
          </w:p>
          <w:p w14:paraId="35C33F3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2873A472" w14:textId="77777777">
        <w:trPr>
          <w:trHeight w:val="250"/>
        </w:trPr>
        <w:tc>
          <w:tcPr>
            <w:tcW w:w="1968" w:type="dxa"/>
            <w:tcBorders>
              <w:top w:val="single" w:sz="6" w:space="0" w:color="auto"/>
              <w:left w:val="single" w:sz="6" w:space="0" w:color="auto"/>
              <w:bottom w:val="single" w:sz="6" w:space="0" w:color="auto"/>
              <w:right w:val="single" w:sz="6" w:space="0" w:color="auto"/>
            </w:tcBorders>
          </w:tcPr>
          <w:p w14:paraId="7F574BF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квартал 1943 г.</w:t>
            </w:r>
          </w:p>
          <w:p w14:paraId="53097A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DBE95D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62408</w:t>
            </w:r>
          </w:p>
          <w:p w14:paraId="03864F1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294E8D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32088</w:t>
            </w:r>
          </w:p>
          <w:p w14:paraId="35B6596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F8F91B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94496</w:t>
            </w:r>
          </w:p>
          <w:p w14:paraId="31D5EB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6AB108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66700</w:t>
            </w:r>
          </w:p>
          <w:p w14:paraId="1BA70C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28AE61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16252</w:t>
            </w:r>
          </w:p>
          <w:p w14:paraId="55AA3F6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F4FF34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24,4</w:t>
            </w:r>
          </w:p>
          <w:p w14:paraId="39345A2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bl>
    <w:p w14:paraId="777883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Анализ причин невыполнения поставки автомобильных запасных частей, проведенный ГАВТУ КА на автозаводе им. Молотова, хуже всех выполняющий свои обязательства по автозапчастям для КА, показывает, что при должном внимании к этому вопросу со стороны дирекции завода и техни</w:t>
      </w:r>
      <w:r w:rsidRPr="00D03F3E">
        <w:rPr>
          <w:rFonts w:ascii="Times New Roman" w:hAnsi="Times New Roman"/>
          <w:color w:val="000000" w:themeColor="text1"/>
          <w:sz w:val="16"/>
          <w:szCs w:val="16"/>
        </w:rPr>
        <w:softHyphen/>
        <w:t>ческого руководящего состава завод может не только выполнять устанавливаемый правительством план поставки, но и перевыполнять.</w:t>
      </w:r>
    </w:p>
    <w:tbl>
      <w:tblPr>
        <w:tblW w:w="0" w:type="auto"/>
        <w:tblInd w:w="40" w:type="dxa"/>
        <w:tblLayout w:type="fixed"/>
        <w:tblCellMar>
          <w:left w:w="40" w:type="dxa"/>
          <w:right w:w="40" w:type="dxa"/>
        </w:tblCellMar>
        <w:tblLook w:val="0000" w:firstRow="0" w:lastRow="0" w:firstColumn="0" w:lastColumn="0" w:noHBand="0" w:noVBand="0"/>
      </w:tblPr>
      <w:tblGrid>
        <w:gridCol w:w="1574"/>
        <w:gridCol w:w="1805"/>
        <w:gridCol w:w="1411"/>
        <w:gridCol w:w="1411"/>
        <w:gridCol w:w="1421"/>
        <w:gridCol w:w="1402"/>
      </w:tblGrid>
      <w:tr w:rsidR="00860B4B" w:rsidRPr="00D03F3E" w14:paraId="39675F14" w14:textId="77777777">
        <w:trPr>
          <w:trHeight w:val="432"/>
        </w:trPr>
        <w:tc>
          <w:tcPr>
            <w:tcW w:w="1574" w:type="dxa"/>
            <w:tcBorders>
              <w:top w:val="single" w:sz="6" w:space="0" w:color="auto"/>
              <w:left w:val="single" w:sz="6" w:space="0" w:color="auto"/>
              <w:bottom w:val="single" w:sz="6" w:space="0" w:color="auto"/>
              <w:right w:val="single" w:sz="6" w:space="0" w:color="auto"/>
            </w:tcBorders>
          </w:tcPr>
          <w:p w14:paraId="654D466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Наименование завода</w:t>
            </w:r>
          </w:p>
          <w:p w14:paraId="60932E1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095C23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Период</w:t>
            </w:r>
          </w:p>
          <w:p w14:paraId="2ECC304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A65417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Поставка в III кв. 1942 г. в тыс. руб.</w:t>
            </w:r>
          </w:p>
          <w:p w14:paraId="498DC0C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E2A96B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Поставка в IV кв. 1942 г. в тыс. руб.</w:t>
            </w:r>
          </w:p>
          <w:p w14:paraId="22E502A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46A3E3D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Поставка I кв. 1943 г. в тыс. руб.</w:t>
            </w:r>
          </w:p>
          <w:p w14:paraId="1869604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D9FC9E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Поставка в апреле 1943 г. в тыс.руб.</w:t>
            </w:r>
          </w:p>
          <w:p w14:paraId="161186A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299D141D" w14:textId="77777777">
        <w:trPr>
          <w:trHeight w:val="278"/>
        </w:trPr>
        <w:tc>
          <w:tcPr>
            <w:tcW w:w="1574" w:type="dxa"/>
            <w:tcBorders>
              <w:top w:val="single" w:sz="6" w:space="0" w:color="auto"/>
              <w:left w:val="single" w:sz="6" w:space="0" w:color="auto"/>
              <w:bottom w:val="nil"/>
              <w:right w:val="single" w:sz="6" w:space="0" w:color="auto"/>
            </w:tcBorders>
          </w:tcPr>
          <w:p w14:paraId="4DB754C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ГАЗ им. Молотова</w:t>
            </w:r>
          </w:p>
          <w:p w14:paraId="0D3B962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41FC43C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за квартал</w:t>
            </w:r>
          </w:p>
          <w:p w14:paraId="05C16C4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862EB9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9355,0</w:t>
            </w:r>
          </w:p>
          <w:p w14:paraId="35F4712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7DA667B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5913,5</w:t>
            </w:r>
          </w:p>
          <w:p w14:paraId="73E6DE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7AE5815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6253,0</w:t>
            </w:r>
          </w:p>
          <w:p w14:paraId="51A0CF1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135540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5E5BD5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1A2D3C70" w14:textId="77777777">
        <w:trPr>
          <w:trHeight w:val="269"/>
        </w:trPr>
        <w:tc>
          <w:tcPr>
            <w:tcW w:w="1574" w:type="dxa"/>
            <w:tcBorders>
              <w:top w:val="nil"/>
              <w:left w:val="single" w:sz="6" w:space="0" w:color="auto"/>
              <w:bottom w:val="single" w:sz="6" w:space="0" w:color="auto"/>
              <w:right w:val="single" w:sz="6" w:space="0" w:color="auto"/>
            </w:tcBorders>
          </w:tcPr>
          <w:p w14:paraId="0A1952C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889AFFB"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2530E43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среднем за месяц</w:t>
            </w:r>
          </w:p>
          <w:p w14:paraId="5FAEBB2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D4EF6C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3118,0</w:t>
            </w:r>
          </w:p>
          <w:p w14:paraId="695EE75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78DD0E4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12971,0</w:t>
            </w:r>
          </w:p>
          <w:p w14:paraId="5378A8C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56F0D4E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2081,0</w:t>
            </w:r>
          </w:p>
          <w:p w14:paraId="70249B9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7723C2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3150,0</w:t>
            </w:r>
          </w:p>
          <w:p w14:paraId="047BBDC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16D55D44" w14:textId="77777777">
        <w:trPr>
          <w:trHeight w:val="278"/>
        </w:trPr>
        <w:tc>
          <w:tcPr>
            <w:tcW w:w="1574" w:type="dxa"/>
            <w:tcBorders>
              <w:top w:val="single" w:sz="6" w:space="0" w:color="auto"/>
              <w:left w:val="single" w:sz="6" w:space="0" w:color="auto"/>
              <w:bottom w:val="nil"/>
              <w:right w:val="single" w:sz="6" w:space="0" w:color="auto"/>
            </w:tcBorders>
          </w:tcPr>
          <w:p w14:paraId="54745BC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Миасский завод им. Сталина</w:t>
            </w:r>
          </w:p>
          <w:p w14:paraId="0EF2630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03CE973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за квартал</w:t>
            </w:r>
          </w:p>
          <w:p w14:paraId="278B898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F2889A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658,3</w:t>
            </w:r>
          </w:p>
          <w:p w14:paraId="4136156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2DEDCD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773,1</w:t>
            </w:r>
          </w:p>
          <w:p w14:paraId="4ACA08B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43BCC5D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583,0</w:t>
            </w:r>
          </w:p>
          <w:p w14:paraId="3BFFC5B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E51D9A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518788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2734A2F1" w14:textId="77777777">
        <w:trPr>
          <w:trHeight w:val="278"/>
        </w:trPr>
        <w:tc>
          <w:tcPr>
            <w:tcW w:w="1574" w:type="dxa"/>
            <w:tcBorders>
              <w:top w:val="nil"/>
              <w:left w:val="single" w:sz="6" w:space="0" w:color="auto"/>
              <w:bottom w:val="single" w:sz="6" w:space="0" w:color="auto"/>
              <w:right w:val="single" w:sz="6" w:space="0" w:color="auto"/>
            </w:tcBorders>
          </w:tcPr>
          <w:p w14:paraId="1267BB5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08AD6F1"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5964A95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среднем за месяц</w:t>
            </w:r>
          </w:p>
          <w:p w14:paraId="05C0C3D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F2533F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219,0</w:t>
            </w:r>
          </w:p>
          <w:p w14:paraId="614875E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3E02EE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264,0</w:t>
            </w:r>
          </w:p>
          <w:p w14:paraId="3A753EA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EF1262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188,0</w:t>
            </w:r>
          </w:p>
          <w:p w14:paraId="445129F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8C4B2D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342,0</w:t>
            </w:r>
          </w:p>
          <w:p w14:paraId="2D0EADF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5EFF333F" w14:textId="77777777">
        <w:trPr>
          <w:trHeight w:val="278"/>
        </w:trPr>
        <w:tc>
          <w:tcPr>
            <w:tcW w:w="1574" w:type="dxa"/>
            <w:tcBorders>
              <w:top w:val="single" w:sz="6" w:space="0" w:color="auto"/>
              <w:left w:val="single" w:sz="6" w:space="0" w:color="auto"/>
              <w:bottom w:val="nil"/>
              <w:right w:val="single" w:sz="6" w:space="0" w:color="auto"/>
            </w:tcBorders>
          </w:tcPr>
          <w:p w14:paraId="295BB29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Московский завод им. Сталина</w:t>
            </w:r>
          </w:p>
          <w:p w14:paraId="3DDF50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3B12C75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за квартал</w:t>
            </w:r>
          </w:p>
          <w:p w14:paraId="5A75AF3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FCFB8A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1686,1</w:t>
            </w:r>
          </w:p>
          <w:p w14:paraId="0EECD40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E8F3B9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2693,7</w:t>
            </w:r>
          </w:p>
          <w:p w14:paraId="47EE771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25B4F4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5538,2</w:t>
            </w:r>
          </w:p>
          <w:p w14:paraId="23FDFB5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19F0AB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D6A385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474A603E" w14:textId="77777777">
        <w:trPr>
          <w:trHeight w:val="288"/>
        </w:trPr>
        <w:tc>
          <w:tcPr>
            <w:tcW w:w="1574" w:type="dxa"/>
            <w:tcBorders>
              <w:top w:val="nil"/>
              <w:left w:val="single" w:sz="6" w:space="0" w:color="auto"/>
              <w:bottom w:val="single" w:sz="6" w:space="0" w:color="auto"/>
              <w:right w:val="single" w:sz="6" w:space="0" w:color="auto"/>
            </w:tcBorders>
          </w:tcPr>
          <w:p w14:paraId="7F5DDE16"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F1DE8E7"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497CC9F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среднем за месяц</w:t>
            </w:r>
          </w:p>
          <w:p w14:paraId="535C358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137F975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562,0</w:t>
            </w:r>
          </w:p>
          <w:p w14:paraId="20DD25F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F06544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897,9</w:t>
            </w:r>
          </w:p>
          <w:p w14:paraId="10DB7EE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4F9F773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1841,0</w:t>
            </w:r>
          </w:p>
          <w:p w14:paraId="33ACA3D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11721F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1680,1</w:t>
            </w:r>
          </w:p>
          <w:p w14:paraId="6F7DC70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bl>
    <w:p w14:paraId="0B5B0F2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сейчас не будут приняты решительные меры к резкому увеличению производства автомо</w:t>
      </w:r>
      <w:r w:rsidRPr="00D03F3E">
        <w:rPr>
          <w:rFonts w:ascii="Times New Roman" w:hAnsi="Times New Roman"/>
          <w:color w:val="000000" w:themeColor="text1"/>
          <w:sz w:val="16"/>
          <w:szCs w:val="16"/>
        </w:rPr>
        <w:softHyphen/>
        <w:t>бильных запасных частей, то автопарк КА в ближайшее время окажется в тяжелом положении и не может полностью обеспечить боевые операции фронта.</w:t>
      </w:r>
    </w:p>
    <w:p w14:paraId="3F6122D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ваших распоряжений:</w:t>
      </w:r>
    </w:p>
    <w:p w14:paraId="0C8233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Пересмотреть план производства и поставки НКО автомобильных запасных частей в сторону увеличения.</w:t>
      </w:r>
    </w:p>
    <w:p w14:paraId="79F1169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Поставить НКО (ГАВТУ КА) как минимум автозапчасти: в июне месяце 1943 г. на 15 млн руб. в III квартале 1943 г. на 60 млн руб.</w:t>
      </w:r>
    </w:p>
    <w:p w14:paraId="30FD6EC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Поставку производить комплектно по номенклатуре НКО (ГАВТУ КА) равномерно по графику.</w:t>
      </w:r>
    </w:p>
    <w:p w14:paraId="058EEDB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Поручить специальной правительственной комиссии разработать и представить в СНК Союза ССР на утверждение перечень мероприятий (в разрезе каждого автозавода и НКСМ в целом) по увеличению выпуска автомобильных запасных частей.</w:t>
      </w:r>
    </w:p>
    <w:p w14:paraId="5741FB7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w:t>
      </w:r>
    </w:p>
    <w:p w14:paraId="1957EAD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Анализ причин невыполнения плана поставки НКО автозапчастей;</w:t>
      </w:r>
    </w:p>
    <w:p w14:paraId="5CD98E0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Проект постановления СНК Союза ССР.</w:t>
      </w:r>
    </w:p>
    <w:p w14:paraId="212989E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Начальник Главного автомобильного управления КА генерал-лейтенант Белокосков</w:t>
      </w:r>
    </w:p>
    <w:p w14:paraId="519CAFC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41. Оп. 11580 Д. 403. Л. 46-47 с об. Подлинник (11403).</w:t>
      </w:r>
    </w:p>
    <w:p w14:paraId="031009A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94E695D"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702CE2A3" w14:textId="77777777" w:rsidR="00531570" w:rsidRPr="00D03F3E" w:rsidRDefault="00531570" w:rsidP="00D03F3E">
      <w:pPr>
        <w:pStyle w:val="Iauiue"/>
        <w:jc w:val="both"/>
        <w:rPr>
          <w:iCs/>
          <w:color w:val="000000" w:themeColor="text1"/>
          <w:sz w:val="16"/>
          <w:szCs w:val="16"/>
        </w:rPr>
      </w:pPr>
    </w:p>
    <w:p w14:paraId="04FF6D7F"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16 мая</w:t>
      </w:r>
      <w:r w:rsidRPr="00D03F3E">
        <w:rPr>
          <w:rFonts w:ascii="Times New Roman" w:hAnsi="Times New Roman"/>
          <w:color w:val="000000" w:themeColor="text1"/>
          <w:sz w:val="16"/>
          <w:szCs w:val="16"/>
        </w:rPr>
        <w:t xml:space="preserve"> в 1943 году утреннее сообщение Совинформбюро:</w:t>
      </w:r>
    </w:p>
    <w:p w14:paraId="5618525D"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16 мая на фронте ничего существенного не произошло.</w:t>
      </w:r>
    </w:p>
    <w:p w14:paraId="7E1CA095"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северо-восточнее Новороссийска, противник пытался атаковать наши позиции в районе одной высоты. Бойцы Н-ской части отбили атаку гитлеровцев и отбросили их на исходный рубеж. В низовьях Кубани наши отряды вели активные боевые действия. Советские подразделения уничтожили более 100 немецких солдат и офицеров.</w:t>
      </w:r>
    </w:p>
    <w:p w14:paraId="2B497C6D"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наши подразделения заняли ряд немецких траншей и дзотов.Уничтожено до роты гитлеровцев и подбит немецкий танк. Захвачены трофеи ипленные.</w:t>
      </w:r>
    </w:p>
    <w:p w14:paraId="3D3724A9"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группа разведчиков под командованием старшины Колашникова скрытно переправилась через водный рубеж и неожиданно напала на боевое охранение противника. Наши бойцы уничтожили группу гитлеровцев и, захватив в плен немецкого офицера, вернулись в свою часть. Снайперы Н-ской части за пять дней истребили 89 немцев. Снайпер т. Черепков уничтожил 7 гитлеровцев, тт. Серафанников и Имырев убили по 6 немцев каждый.</w:t>
      </w:r>
    </w:p>
    <w:p w14:paraId="078630AE"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Н-ская миномётная часть разбила 3 немецких автомашины и 10 повозок с военными грузами. На другом участке артиллерийским огнём разрушено 4 дзота и взорван склад боеприпасов противника.</w:t>
      </w:r>
    </w:p>
    <w:p w14:paraId="4206290D"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артиллеристы части, где командиром тов. Манкевич, разбили 3 немецких орудия, разрушили 5 блиндажей и рассеяли три колонны пехоты противника. Разведчики и снайперы части, где командиром тов. Кортавенко, за последние дни уничтожили до 200 гитлеровцев.</w:t>
      </w:r>
    </w:p>
    <w:p w14:paraId="0161A727"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Сумской области, ночью атаковал немецкий гарнизон, расположенный в районном центре. Советские патриоты уничтожили большую часть гарнизона, а остальные гитлеровцы разбежались. Партизаны взорвали ремонтные мастерские, находившиеся в этом населённом пункте, и сожгли все танки и автомашины, подлежавшие ремонту. Партизаны другого отряда пустили под откос эшелон противника с боеприпасами. Разбиты паровоз и 11 вагонов.</w:t>
      </w:r>
    </w:p>
    <w:p w14:paraId="1A5624F7"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ефрейтор 112 немецкой пехотной дивизии Рихард X. заявил: «Я участвовал в походах на Польшу и Францию. Уже 20 месяцев нахожусь в России. Был ранен. Много раз я смотрел смерти в глаза. Сдача в плен также была сопряжена с риском, но я сознательно шёл на риск, так как война для Германии безнадёжно проиграна. К такому заключению я пришёл, будучи на родине. Германия сейчас так же близка к своему поражению, как и в начале 1918 года. Старики, пережившие первую мировую войну, утверждают, что события принимают трагический для Германии оборот. Никто не знает, откуда и с какой стороны последует сокрушительный удар, но каждый знает, что он будет нанесён. Мой родственник, работающий в министерстве юстиции, сообщил мне, что в Эссене расстреляно большое количество иностранных рабочих за отказ тушить пожары, вызванные бомбардировкой. В Эссене имели место крупные инциденты с полицией. Люди в Германии начинают понимать, что им уже нечего терять, и они смелее высказывают своё недовольство».</w:t>
      </w:r>
    </w:p>
    <w:p w14:paraId="75D4C822"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учинили кровавую расправу над мирными жителями села Загалье, Минской области. Гитлеровцы согнали население к церкви и расстреляли 18 ни в чём не повинных жителей. Немцы затем подожгли деревню. Из 77 домов они сожгли 60 дворов. В огне погибло всё имущество колхозников.» (14893).</w:t>
      </w:r>
    </w:p>
    <w:p w14:paraId="7F0EB2BA" w14:textId="77777777" w:rsidR="000C6CCD" w:rsidRPr="00D03F3E" w:rsidRDefault="000C6CCD" w:rsidP="00D03F3E">
      <w:pPr>
        <w:spacing w:after="0" w:line="240" w:lineRule="auto"/>
        <w:jc w:val="both"/>
        <w:rPr>
          <w:rFonts w:ascii="Times New Roman" w:hAnsi="Times New Roman"/>
          <w:color w:val="000000" w:themeColor="text1"/>
          <w:sz w:val="16"/>
          <w:szCs w:val="16"/>
        </w:rPr>
      </w:pPr>
    </w:p>
    <w:p w14:paraId="71EB813A"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16 мая</w:t>
      </w:r>
      <w:r w:rsidRPr="00D03F3E">
        <w:rPr>
          <w:rFonts w:ascii="Times New Roman" w:hAnsi="Times New Roman"/>
          <w:color w:val="000000" w:themeColor="text1"/>
          <w:sz w:val="16"/>
          <w:szCs w:val="16"/>
        </w:rPr>
        <w:t xml:space="preserve"> в 1943 году вечернее сообщение Совинформбюро:</w:t>
      </w:r>
    </w:p>
    <w:p w14:paraId="72C9916B"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16 мая на фронте существенных изменений не произошло.</w:t>
      </w:r>
    </w:p>
    <w:p w14:paraId="39DC9FBF"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9 по 15 мая включительно, в воздушных боях и на аэродромах противника уничтожено 370 немецких самолётов. Наши потери за это же время — 104 самолёта.</w:t>
      </w:r>
    </w:p>
    <w:p w14:paraId="5FE92F30"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нашей авиацией на различных участках фронта уничтожено и повреждено до 60 немецких автомашин с войсками и грузами, подавлен огонь 10 артиллерийских и 5 миномётных батарей, потоплены транспорт и тральщик противника.</w:t>
      </w:r>
    </w:p>
    <w:p w14:paraId="0FC42540"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северо-восточнее Новороссийска, наши артиллеристы и миномётчики разрушили свыше 30 дзотов и блиндажей, уничтожили 7 немецких орудий и 18 пулемётных точек. На одном участке противник силой до батальона пехоты при поддержке танков дважды пытался атаковать наши позиции. Бойцы Н-ской части отбили атаки гитлеровцев. Подбито 3 танка и уничтожено до роты немецкой пехоты.</w:t>
      </w:r>
    </w:p>
    <w:p w14:paraId="72D5AF6F"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низовьях Кубани наши отряды отразили попытку разведывательных групп противника переправиться через водный рубеж. Уничтожено 80 немецких солдат иофицеров. Захвачено 2 пулемёта, миномёт, 40 винтовок и автоматов.</w:t>
      </w:r>
    </w:p>
    <w:p w14:paraId="0AB83575"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наши части артиллерийским огнём уничтожили 3 немецких орудия, 7 автомашин с грузами, рассеяли и частью истребили до роты пехоты противника. Снайперы Н-ской части уничтожили 56 гитлеровцев.</w:t>
      </w:r>
    </w:p>
    <w:p w14:paraId="57E76DFE"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разведчики под командованием лейтенанта тов. Гриценко скрытно пробрались в тыл противника. B завязавшейся схватке они уничтожили группу немцев и, захватив пленных, вернулись в свою часть.</w:t>
      </w:r>
    </w:p>
    <w:p w14:paraId="647394B8"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происходила редкая артиллерийско-миномётная перестрелка. Наши подразделения разрушили 10 немецких дзотов, 5 блиндажей, взорвали склад боеприпасов и уничтожили более 100 немецких солдат и офицеров.</w:t>
      </w:r>
    </w:p>
    <w:p w14:paraId="411D42D1"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Гитлеровцы снарядили крупную карательную экспедицию против партизанского отряда, действующего в одном из районов Смоленской области. Ночью численно превосходящим силам противника удалось окружить отряд. Партизаны заняли круговую оборону и метким огнём успешно отражали атаки немцев. Упорно обороняясь, советские патриоты измотали противника, а затем атаковали гитлеровцев и вышли из окружения, сохранив живую силу, вооружение и обоз. За три дня боёв убито до 400 немецких солдат и офицеров. Отходя на новую базу, партизаны разгромили немецкие гарнизоны в двух населённых пунктах и захватили 6 пулемётов, много винтовок и боеприпасов.</w:t>
      </w:r>
    </w:p>
    <w:p w14:paraId="1A991BF4"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сержант 7 роты 20 полка 1 словацкой моторизованной дивизии Штефан Ондрачка заявил: «Чехословаки всей душой ненавидят немцев и называют их убийцами. Когда гитлеровские банды ворвались в Чехословакию, жизнь стала невыносимой. Десятки тысяч людей они бросили в тюрьмы и концлагеря. Мне хочется отомстить немцам за их зверства и гнусные преступления. Я верю, что гитлеровская нечисть будет раздавлена и сметена, а Чехословакия будет восстановлена. Мы знали, что в России есть чехословацкая воинская часть, которая с оружием в руках борется против немцев. Я завидую солдатам этой чехословацкой части. Они вместе с русскими сражаются против немцев за честь и свободу Чехословакии. Воевать за свою родину против гитлеровцев — это высшее счастье».</w:t>
      </w:r>
    </w:p>
    <w:p w14:paraId="7ED212D0"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письмо советской девушки Насти, насильно увезённой на каторгу в Германию: «Здравствуй, моя дорогая мама! Я пока жива, но здоровье моё всё ухудшается. Работать заставляют с раннего утра и до поздней ночи. Всем, кто попал сюда, очень плохо. Нас гоняют, как собак. Хлеб дают какой-то древесный. Нас пригнали сюда из России на смерть. Ни на шаг не отпускают без конвоя. И на работе, и в бараках сидим как будто в тюрьме. Один раз в день дают суп. Это нес уп, а свиное месиво. Завтрака и ужина нет, работай и живи как хочешь. Здесь до того тяжко, что жизнь опостылела. Лучше умереть на родине, чем жить и мучиться здесь, где над нами издеваются и не считают за людей» (14893).</w:t>
      </w:r>
    </w:p>
    <w:p w14:paraId="5C28B816" w14:textId="77777777" w:rsidR="000C6CCD" w:rsidRPr="00D03F3E" w:rsidRDefault="000C6CCD" w:rsidP="00D03F3E">
      <w:pPr>
        <w:spacing w:after="0" w:line="240" w:lineRule="auto"/>
        <w:jc w:val="both"/>
        <w:rPr>
          <w:rFonts w:ascii="Times New Roman" w:hAnsi="Times New Roman"/>
          <w:color w:val="000000" w:themeColor="text1"/>
          <w:sz w:val="16"/>
          <w:szCs w:val="16"/>
        </w:rPr>
      </w:pPr>
    </w:p>
    <w:p w14:paraId="212B0E05" w14:textId="77777777" w:rsidR="000C6CCD" w:rsidRPr="00D03F3E" w:rsidRDefault="000C6C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16 мая</w:t>
      </w:r>
      <w:r w:rsidRPr="00D03F3E">
        <w:rPr>
          <w:rFonts w:ascii="Times New Roman" w:hAnsi="Times New Roman"/>
          <w:color w:val="000000" w:themeColor="text1"/>
          <w:sz w:val="16"/>
          <w:szCs w:val="16"/>
        </w:rPr>
        <w:t xml:space="preserve"> в 1944 году первый Указ о награждении орденом Ушакова I степени. Этим Указом были награждены командир бригады подводных лодок Черноморского флота контр-адмирал Болтунов П.И. и командующий авиацией Черноморского флота генерал-лейтенант Ермаченков В.В. за успешные действия по освобождению Крыма (14893).</w:t>
      </w:r>
    </w:p>
    <w:p w14:paraId="0BC58A1F" w14:textId="77777777" w:rsidR="000C6CCD" w:rsidRPr="00D03F3E" w:rsidRDefault="000C6CCD" w:rsidP="00D03F3E">
      <w:pPr>
        <w:spacing w:after="0" w:line="240" w:lineRule="auto"/>
        <w:jc w:val="both"/>
        <w:rPr>
          <w:rFonts w:ascii="Times New Roman" w:hAnsi="Times New Roman"/>
          <w:color w:val="000000" w:themeColor="text1"/>
          <w:sz w:val="16"/>
          <w:szCs w:val="16"/>
        </w:rPr>
      </w:pPr>
    </w:p>
    <w:p w14:paraId="3450727F"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16 мая 1943 немецкие войска начали операцию “Цыганский барон” по уничтожению советских партизан в Белоруссии и на Украине (4962).</w:t>
      </w:r>
    </w:p>
    <w:p w14:paraId="0D454490" w14:textId="77777777" w:rsidR="00531570" w:rsidRPr="00D03F3E" w:rsidRDefault="00531570" w:rsidP="00D03F3E">
      <w:pPr>
        <w:pStyle w:val="Iauiue"/>
        <w:tabs>
          <w:tab w:val="left" w:pos="11199"/>
        </w:tabs>
        <w:jc w:val="both"/>
        <w:rPr>
          <w:color w:val="000000" w:themeColor="text1"/>
          <w:sz w:val="16"/>
          <w:szCs w:val="16"/>
        </w:rPr>
      </w:pPr>
    </w:p>
    <w:p w14:paraId="3563F44C"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569FD2FC" w14:textId="77777777" w:rsidR="00531570" w:rsidRPr="00D03F3E" w:rsidRDefault="00531570" w:rsidP="00D03F3E">
      <w:pPr>
        <w:pStyle w:val="Iauiue"/>
        <w:jc w:val="both"/>
        <w:rPr>
          <w:iCs/>
          <w:color w:val="000000" w:themeColor="text1"/>
          <w:sz w:val="16"/>
          <w:szCs w:val="16"/>
        </w:rPr>
      </w:pPr>
    </w:p>
    <w:p w14:paraId="4C6E036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 мая 1943 Президиум ИККИ распустил Коминтерн (3481).</w:t>
      </w:r>
    </w:p>
    <w:p w14:paraId="3385A245" w14:textId="77777777" w:rsidR="00531570" w:rsidRPr="00D03F3E" w:rsidRDefault="00531570" w:rsidP="00D03F3E">
      <w:pPr>
        <w:pStyle w:val="Iauiue"/>
        <w:jc w:val="both"/>
        <w:rPr>
          <w:color w:val="000000" w:themeColor="text1"/>
          <w:sz w:val="16"/>
          <w:szCs w:val="16"/>
        </w:rPr>
      </w:pPr>
    </w:p>
    <w:p w14:paraId="28AF03B7"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5D2E445E" w14:textId="77777777" w:rsidR="00531570" w:rsidRPr="00D03F3E" w:rsidRDefault="00531570" w:rsidP="00D03F3E">
      <w:pPr>
        <w:pStyle w:val="Iauiue"/>
        <w:jc w:val="both"/>
        <w:rPr>
          <w:iCs/>
          <w:color w:val="000000" w:themeColor="text1"/>
          <w:sz w:val="16"/>
          <w:szCs w:val="16"/>
        </w:rPr>
      </w:pPr>
    </w:p>
    <w:p w14:paraId="5301AF87" w14:textId="77777777" w:rsidR="000C6CCD" w:rsidRPr="00D03F3E" w:rsidRDefault="000C6CCD" w:rsidP="00D03F3E">
      <w:pPr>
        <w:spacing w:after="0" w:line="240" w:lineRule="auto"/>
        <w:jc w:val="both"/>
        <w:rPr>
          <w:rFonts w:ascii="Times New Roman" w:hAnsi="Times New Roman"/>
          <w:color w:val="000000" w:themeColor="text1"/>
          <w:sz w:val="16"/>
          <w:szCs w:val="16"/>
          <w:lang w:val="en-US"/>
        </w:rPr>
      </w:pPr>
      <w:r w:rsidRPr="00D03F3E">
        <w:rPr>
          <w:rFonts w:ascii="Times New Roman" w:hAnsi="Times New Roman"/>
          <w:bCs/>
          <w:color w:val="000000" w:themeColor="text1"/>
          <w:sz w:val="16"/>
          <w:szCs w:val="16"/>
        </w:rPr>
        <w:t>16 мая</w:t>
      </w:r>
      <w:r w:rsidRPr="00D03F3E">
        <w:rPr>
          <w:rFonts w:ascii="Times New Roman" w:hAnsi="Times New Roman"/>
          <w:color w:val="000000" w:themeColor="text1"/>
          <w:sz w:val="16"/>
          <w:szCs w:val="16"/>
        </w:rPr>
        <w:t xml:space="preserve"> в 1943 году операция "Апкип" ("Возмездие"). Британские бомбардировщики под командованием Гая Гибсона, командира авиационного крыла, наносят бомбовый удар по шести плотинам в Рурской области Германии, применяя изобретенные Барнсом Уоллесом вращающиеся, или "прыгающие", бомбы. Все 23 "Ланкастера", переделанных для несения бомб Уоллиса, были стандартными BIII с моторами "Мерлин" 28. В результате налета разрушаются две дамбы. Эскадрилья шла тремя волнами. Первую вел командир Г.Гибсон. Она состояла из девяти самолетов, а остальные по пяти. Первая волна начинала атаку на две наиболее важные из шести плотин - Моне и Эдер, вторая волна (которая взлетала на самом деле первой) атаковала плотину Сорпе, а третья, использовавшаяся как мобильный резерв, </w:t>
      </w:r>
      <w:r w:rsidRPr="00D03F3E">
        <w:rPr>
          <w:rFonts w:ascii="Times New Roman" w:hAnsi="Times New Roman"/>
          <w:color w:val="000000" w:themeColor="text1"/>
          <w:sz w:val="16"/>
          <w:szCs w:val="16"/>
        </w:rPr>
        <w:lastRenderedPageBreak/>
        <w:t>должна была атаковать плотины Сорпе, Эннепе и Листер. Только первая волна была удачливой: пять самолетов сбросили бомбы на плотину Моне, что привело к ее разрушению. Один "Ланкастер" был потерян. Оставшиеся три машины атаковали Сорпе и одна разрушила плотину Эдер. Две бомбы были сброшены на плотину Сорпе, одна на Эннепе без серьезного эффекта. Восемьиз</w:t>
      </w:r>
      <w:r w:rsidRPr="00D03F3E">
        <w:rPr>
          <w:rFonts w:ascii="Times New Roman" w:hAnsi="Times New Roman"/>
          <w:color w:val="000000" w:themeColor="text1"/>
          <w:sz w:val="16"/>
          <w:szCs w:val="16"/>
          <w:lang w:val="en-US"/>
        </w:rPr>
        <w:t xml:space="preserve"> 19 "</w:t>
      </w:r>
      <w:r w:rsidRPr="00D03F3E">
        <w:rPr>
          <w:rFonts w:ascii="Times New Roman" w:hAnsi="Times New Roman"/>
          <w:color w:val="000000" w:themeColor="text1"/>
          <w:sz w:val="16"/>
          <w:szCs w:val="16"/>
        </w:rPr>
        <w:t>Ланкастеров</w:t>
      </w:r>
      <w:r w:rsidRPr="00D03F3E">
        <w:rPr>
          <w:rFonts w:ascii="Times New Roman" w:hAnsi="Times New Roman"/>
          <w:color w:val="000000" w:themeColor="text1"/>
          <w:sz w:val="16"/>
          <w:szCs w:val="16"/>
          <w:lang w:val="en-US"/>
        </w:rPr>
        <w:t xml:space="preserve">" </w:t>
      </w:r>
      <w:r w:rsidRPr="00D03F3E">
        <w:rPr>
          <w:rFonts w:ascii="Times New Roman" w:hAnsi="Times New Roman"/>
          <w:color w:val="000000" w:themeColor="text1"/>
          <w:sz w:val="16"/>
          <w:szCs w:val="16"/>
        </w:rPr>
        <w:t>невернулись</w:t>
      </w:r>
      <w:r w:rsidRPr="00D03F3E">
        <w:rPr>
          <w:rFonts w:ascii="Times New Roman" w:hAnsi="Times New Roman"/>
          <w:color w:val="000000" w:themeColor="text1"/>
          <w:sz w:val="16"/>
          <w:szCs w:val="16"/>
          <w:lang w:val="en-US"/>
        </w:rPr>
        <w:t xml:space="preserve"> (14893).</w:t>
      </w:r>
    </w:p>
    <w:p w14:paraId="02B79EAB" w14:textId="77777777" w:rsidR="000C6CCD" w:rsidRPr="00D03F3E" w:rsidRDefault="000C6CCD" w:rsidP="00D03F3E">
      <w:pPr>
        <w:spacing w:after="0" w:line="240" w:lineRule="auto"/>
        <w:jc w:val="both"/>
        <w:rPr>
          <w:rFonts w:ascii="Times New Roman" w:hAnsi="Times New Roman"/>
          <w:color w:val="000000" w:themeColor="text1"/>
          <w:sz w:val="16"/>
          <w:szCs w:val="16"/>
          <w:lang w:val="en-US"/>
        </w:rPr>
      </w:pPr>
    </w:p>
    <w:p w14:paraId="594ECAAE"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May 16th, 1943: The RAF launches a night raid (19 aircraft) against the Mohne and Eder dams which causes severe flooding and loss of civilian life in the Ruhr valley below them, but does little damage to industrial installations. The uprising in the Jewish ghetto of Warsaw is brought to a bloody end by German police and SS units (3819).</w:t>
      </w:r>
    </w:p>
    <w:p w14:paraId="3EC256C5" w14:textId="77777777" w:rsidR="00531570" w:rsidRPr="00D03F3E" w:rsidRDefault="00531570" w:rsidP="00D03F3E">
      <w:pPr>
        <w:pStyle w:val="Iauiue"/>
        <w:jc w:val="both"/>
        <w:rPr>
          <w:color w:val="000000" w:themeColor="text1"/>
          <w:sz w:val="16"/>
          <w:szCs w:val="16"/>
          <w:lang w:val="en-US"/>
        </w:rPr>
      </w:pPr>
    </w:p>
    <w:p w14:paraId="4087A114"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May 16-17 1943 Royal Air Force raid breaches Mohne and Eder dams, flooding portions of the Ruhr (1037).</w:t>
      </w:r>
    </w:p>
    <w:p w14:paraId="2E3B4A1E" w14:textId="77777777" w:rsidR="00531570" w:rsidRPr="00D03F3E" w:rsidRDefault="00531570" w:rsidP="00D03F3E">
      <w:pPr>
        <w:pStyle w:val="Iauiue"/>
        <w:jc w:val="both"/>
        <w:rPr>
          <w:color w:val="000000" w:themeColor="text1"/>
          <w:sz w:val="16"/>
          <w:szCs w:val="16"/>
          <w:lang w:val="en-US"/>
        </w:rPr>
      </w:pPr>
    </w:p>
    <w:p w14:paraId="3397302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16-17 мая 1943 RAF разбомбили дамбы и затопил часть Рура (1037).</w:t>
      </w:r>
    </w:p>
    <w:p w14:paraId="4A1FE89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Использовали специальную мину диаметром 127 см и длинной 152 см весом 4196 кг включая более 3000 кг взрывчатки. Летали на Ланкастерах 617 эскадрильи. Бросали с 20 м раскрученную мину, чтобы взорвалась достигнув дна плотины (1144,28) - операция Наказание - Wownwood (3907,242).</w:t>
      </w:r>
    </w:p>
    <w:p w14:paraId="4529E1A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Из 19 Ланкастеров со 133 чл. экипажа потеряли 9 и 56. При затоплении погибло около 1000 чел. (4194).</w:t>
      </w:r>
    </w:p>
    <w:p w14:paraId="72C3DCB3" w14:textId="77777777" w:rsidR="00531570" w:rsidRPr="00D03F3E" w:rsidRDefault="00531570" w:rsidP="00D03F3E">
      <w:pPr>
        <w:pStyle w:val="Iauiue"/>
        <w:jc w:val="both"/>
        <w:rPr>
          <w:color w:val="000000" w:themeColor="text1"/>
          <w:sz w:val="16"/>
          <w:szCs w:val="16"/>
        </w:rPr>
      </w:pPr>
    </w:p>
    <w:p w14:paraId="5EF6AEF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16 мая 1943 назначили операцию по взрыву плотин. Дату полета выбрали не случайно-именно в мае уровень воды в плотинах максимальный. Атака осуществлялась тремя эшелонами. Первую волну из девяти самолетов вел сам Гибсон, и целью для нее были плотины на реках Мене и Эдер. Вторая волна из пяти «Ланкастеров» шла к плотине на Зорпе, и еще пять «авро» составляли третий, резервный, эшелон. Успех операции был впечатляющим, хотя 8 из 19 «Ланкастеров», участвовавших в операции, немцам удалось сбить. Через взорванные плотины ушла половина имевшегося запаса воды, было повреждено несколько гидроэлектростанций, погибло много людей (11860).</w:t>
      </w:r>
    </w:p>
    <w:p w14:paraId="38A3485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B1A3EAA"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May 16 1943 Jewish resistance in Warsaw ghetto ends (1050).</w:t>
      </w:r>
    </w:p>
    <w:p w14:paraId="68E2E788" w14:textId="77777777" w:rsidR="00531570" w:rsidRPr="00D03F3E" w:rsidRDefault="00531570" w:rsidP="00D03F3E">
      <w:pPr>
        <w:pStyle w:val="Iauiue"/>
        <w:jc w:val="both"/>
        <w:rPr>
          <w:color w:val="000000" w:themeColor="text1"/>
          <w:sz w:val="16"/>
          <w:szCs w:val="16"/>
          <w:lang w:val="en-US"/>
        </w:rPr>
      </w:pPr>
    </w:p>
    <w:p w14:paraId="63D93C4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 мая 1943 сопротивление восстания в Варшавском гетто было сломлено (1050).</w:t>
      </w:r>
    </w:p>
    <w:p w14:paraId="1FEA2A8A" w14:textId="77777777" w:rsidR="00531570" w:rsidRPr="00D03F3E" w:rsidRDefault="00531570" w:rsidP="00D03F3E">
      <w:pPr>
        <w:pStyle w:val="Iauiue"/>
        <w:jc w:val="both"/>
        <w:rPr>
          <w:color w:val="000000" w:themeColor="text1"/>
          <w:sz w:val="16"/>
          <w:szCs w:val="16"/>
        </w:rPr>
      </w:pPr>
    </w:p>
    <w:p w14:paraId="756EB331"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16 мая 1943 немецкое гестапо отправило в концлагерь около 4 тысяч голландских студентов, отказавшихся подписать декларацию о повиновению немецким властям (4962).</w:t>
      </w:r>
    </w:p>
    <w:p w14:paraId="32DD4E72" w14:textId="77777777" w:rsidR="00531570" w:rsidRPr="00D03F3E" w:rsidRDefault="00531570" w:rsidP="00D03F3E">
      <w:pPr>
        <w:pStyle w:val="Iauiue"/>
        <w:tabs>
          <w:tab w:val="left" w:pos="11199"/>
        </w:tabs>
        <w:jc w:val="both"/>
        <w:rPr>
          <w:color w:val="000000" w:themeColor="text1"/>
          <w:sz w:val="16"/>
          <w:szCs w:val="16"/>
        </w:rPr>
      </w:pPr>
    </w:p>
    <w:p w14:paraId="6F1737C3"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68C33790" w14:textId="77777777" w:rsidR="00531570" w:rsidRPr="00D03F3E" w:rsidRDefault="00531570" w:rsidP="00D03F3E">
      <w:pPr>
        <w:pStyle w:val="Iauiue"/>
        <w:jc w:val="both"/>
        <w:rPr>
          <w:iCs/>
          <w:color w:val="000000" w:themeColor="text1"/>
          <w:sz w:val="16"/>
          <w:szCs w:val="16"/>
        </w:rPr>
      </w:pPr>
    </w:p>
    <w:p w14:paraId="243775BE" w14:textId="77777777" w:rsidR="0062502E" w:rsidRPr="00D03F3E" w:rsidRDefault="006250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мая 1943 вышло постановление ГКО № 3386 сс, которое предусматривало постройку на заводе № 1 «50 самолетов Ил-2 с мотором АМ-38ф в истребительном одноместном варианте» (в переписке Ил-2-И или И-Ил-2), двух Ил-2 АМ-42 в истребительном варианте (в переписке Ил-2-2 И или 2И-Ил-2) и двух Ил-2 АМ-38ф с «облагороженной аэродинамикой». Самолеты Ил-2 с моторами АМ-38ф и АМ-42 требовалось предъявить на государственные испытания соответственно 1 и 20 августа 1943 года. Соответствующий приказ НКАП № 305 сс вышел 21 мая.</w:t>
      </w:r>
    </w:p>
    <w:p w14:paraId="7EACB91C" w14:textId="77777777" w:rsidR="0062502E" w:rsidRPr="00D03F3E" w:rsidRDefault="006250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Возможность создания на основе хорошо освоенного в производстве Ил-2 истребителя бомбардировщиков выглядела достаточно заманчивой. К тому же появлялась альтернатива истребителю Сухого и мотору М-71ф. Нарком Шахурин идею Ильюшина поддержал. В кратчайшие сроки в аппарате НКАП была подготовлена докладная записка на имя И. В. Сталина и за подписью А. И. Шахурина и С. В. Ильюшина направлена в аппарат ГКО.</w:t>
      </w:r>
    </w:p>
    <w:p w14:paraId="43466520" w14:textId="77777777" w:rsidR="0062502E" w:rsidRPr="00D03F3E" w:rsidRDefault="006250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заданию максимальная скорость Ил-2-И должна была составлять 400 км/ч у земли и 410 км/ч – на высоте 1000–1500 м, Ил-2-2И – 445 и 460 км/ч и самолета Ил-2 АМ-38ф с улучшенной аэродинамикой – 425 и 440 км/ч, соответственно.</w:t>
      </w:r>
    </w:p>
    <w:p w14:paraId="7EA2637F" w14:textId="77777777" w:rsidR="0062502E" w:rsidRPr="00D03F3E" w:rsidRDefault="006250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истребительных вариантов Ил-2 состояло из двух пушек ВЯ с боекомплектом по 150 снарядов на ствол. Стрелковое и ракетное оружие отсутствовало. Бомбардировочное вооружение сохранялось только на внешней подвеске.</w:t>
      </w:r>
    </w:p>
    <w:p w14:paraId="36D00E67" w14:textId="77777777" w:rsidR="0062502E" w:rsidRPr="00D03F3E" w:rsidRDefault="006250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отличие от Ил-2-И на самолете Ил-2-2И для улучшения аэродинамики самолета водо- и маслорадиаторы размещались в одном канале внутри бронекорпуса, уменьшались («против серийных») заборники воздуха у боковых бронекрышек капота. Для увеличения входной площади воздушного канала верхняя крышка на 30 мм приподнималась вверх. Изменялся фонарь кабины летчика (по форме напоминал фонарь построенного позже одноместного истребителя Ил-1 АМ-42. – Прим. авт.), облагораживались обтекатели шасси (изменена форма, обшивка сделана встык), осуществлялась уборка хвостового колеса, листы обшивки консолей и центроплана крыла устанавливались встык, применялась клепка впотай. Вводилось электрическое управление заслонкой водорадиатора. Управление боковыми заслонками маслорадиатора выполнялось тросовым («от серийного штурвала маслорадиатора»). Устанавливалось дублированное управление рулем высоты. Руль высоты имел роговую компенсацию. Управление щитками – от воздушной системы (отклонение: полное – 60°, взлетное и на виражах – 17°).</w:t>
      </w:r>
    </w:p>
    <w:p w14:paraId="66C54448" w14:textId="77777777" w:rsidR="0062502E" w:rsidRPr="00D03F3E" w:rsidRDefault="006250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Известно, что ВВС пытались возражать, доказывая нецелесообразность постройки бронированного истребителя как типа боевого самолета и тем более истребительных вариантов Ил-2, и даже подготовили справку по этому вопросу. Из документа следовало, что если и строить бронированный истребитель, то лучше взять за основу удачную схему одноместного штурмовика Су-6. По скоростям, маневренности и боевой живучести «сухой» имел явное преимущество перед истребительной модификацией Ил-2 с АМ-42. Кроме того, уже построен и проходит заводские испытания двухместный штурмовик Су-6 М-71ф с 37-мм пушками 11П и заметно более высокими летными данными по сравнению со штурмовой модификацией Ил-2М АМ-42. В случае постановки его на вооружение ВВС КА можно будет на одном заводе выпускать и двухместный (противотанковый и штурмовой), и одноместный (истребительный) варианты Су-6 М-71ф (так же как и модификации Ил-2 с АМ-42). Но решение было принято в пользу предложения Ильюшина. Сработал довод, что преемственность в технологии изготовления и возможность использования существующей оснастки позволит быстро и с меньшими затратами организовать производство Ил-2-2И и Ил-2М на серийных заводах, уже выпускающих штурмовики Ил-2.</w:t>
      </w:r>
    </w:p>
    <w:p w14:paraId="38D96735" w14:textId="77777777" w:rsidR="0062502E" w:rsidRPr="00D03F3E" w:rsidRDefault="006250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Прекрасно понимая, что, оставаясь в рамках «облика» «двойки», создать истребитель-штурмовик, равный по летно-боевым качествам машине Сухого, практически невозможно, и, учитывая позицию военных, Ильюшин параллельно самолету Ил-2-2И приступил к проектированию бронированного истребителя Ил-1 АМ-42 с совершенно иными компоновочными и аэродинамическими решениями.</w:t>
      </w:r>
    </w:p>
    <w:p w14:paraId="0759290F" w14:textId="77777777" w:rsidR="0062502E" w:rsidRPr="00D03F3E" w:rsidRDefault="006250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Ил-1 имел бронекорпус с чистыми аэродинамическими формами, трапециевидное в плане крыло со скоростными профилями и уменьшенной относительной толщиной, размахом и площадью. Масляный и водяной радиаторы размещались в центроплане рядом друг с другом под кабиной летчика, охлаждение воздухом осуществлялось по каналам, расположенным в носке центроплана по обе стороны от мотора (все как на МШ-АМ-38). Шасси одностоечное убиралось назад с поворотом колес вокруг оси на 90° (как на Су-6), что позволяло уменьшить мидель и лобовое сопротивление обтекателей шасси. Хвостовое колесо убирающееся. Для улучшения аэродинамики обшивка везде встык, клепка впотай.</w:t>
      </w:r>
    </w:p>
    <w:p w14:paraId="0288DEE6" w14:textId="77777777" w:rsidR="0062502E" w:rsidRPr="00D03F3E" w:rsidRDefault="006250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Планировалась установка системы заполнения бензобаков нейтральными газами от выхлопа мотора и дублированного управления рулем высоты. Вооружение включало две пушки ВЯ.</w:t>
      </w:r>
    </w:p>
    <w:p w14:paraId="57DBC4BE" w14:textId="77777777" w:rsidR="0062502E" w:rsidRPr="00D03F3E" w:rsidRDefault="006250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Конструкция машины предполагалась смешанной: центроплан, консоли крыла и стабилизатор – цельнометаллические, хвостовая часть фюзеляжа – деревянная, рули высоты и направления – каркас металлический, обшивка полотняная.</w:t>
      </w:r>
    </w:p>
    <w:p w14:paraId="251786CB" w14:textId="77777777" w:rsidR="0062502E" w:rsidRPr="00D03F3E" w:rsidRDefault="006250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предварительным расчетам, летные данные Ил-1 с АМ-42 получались на уровне истребителя Сухого: максимальная скорость у земли – порядка 530–540 км/ч и на высоте 3000 м – 590–600 км/ч, вертикальная скорость на 1000 м – не менее 12,5 м/с (17490).</w:t>
      </w:r>
    </w:p>
    <w:p w14:paraId="129AD518" w14:textId="77777777" w:rsidR="0062502E" w:rsidRPr="00D03F3E" w:rsidRDefault="0062502E" w:rsidP="00D03F3E">
      <w:pPr>
        <w:spacing w:after="0" w:line="240" w:lineRule="auto"/>
        <w:jc w:val="both"/>
        <w:rPr>
          <w:rFonts w:ascii="Times New Roman" w:hAnsi="Times New Roman"/>
          <w:color w:val="000000" w:themeColor="text1"/>
          <w:sz w:val="16"/>
          <w:szCs w:val="16"/>
        </w:rPr>
      </w:pPr>
    </w:p>
    <w:p w14:paraId="68BC2CDE" w14:textId="77777777" w:rsidR="008814C1" w:rsidRPr="00D03F3E" w:rsidRDefault="008814C1"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17 мая 1943 г. по ре</w:t>
      </w:r>
      <w:r w:rsidRPr="00D03F3E">
        <w:rPr>
          <w:rFonts w:ascii="Times New Roman" w:hAnsi="Times New Roman" w:cs="Times New Roman"/>
          <w:color w:val="0070C0"/>
          <w:sz w:val="16"/>
          <w:szCs w:val="16"/>
        </w:rPr>
        <w:softHyphen/>
        <w:t>зультатам обсуждения докладной запи</w:t>
      </w:r>
      <w:r w:rsidRPr="00D03F3E">
        <w:rPr>
          <w:rFonts w:ascii="Times New Roman" w:hAnsi="Times New Roman" w:cs="Times New Roman"/>
          <w:color w:val="0070C0"/>
          <w:sz w:val="16"/>
          <w:szCs w:val="16"/>
        </w:rPr>
        <w:softHyphen/>
        <w:t>ски Ильюшина и Шахурина вышло постановление ГКО № 3386сс, ко</w:t>
      </w:r>
      <w:r w:rsidRPr="00D03F3E">
        <w:rPr>
          <w:rFonts w:ascii="Times New Roman" w:hAnsi="Times New Roman" w:cs="Times New Roman"/>
          <w:color w:val="0070C0"/>
          <w:sz w:val="16"/>
          <w:szCs w:val="16"/>
        </w:rPr>
        <w:softHyphen/>
        <w:t>торое предусматривало постройку на за</w:t>
      </w:r>
      <w:r w:rsidRPr="00D03F3E">
        <w:rPr>
          <w:rFonts w:ascii="Times New Roman" w:hAnsi="Times New Roman" w:cs="Times New Roman"/>
          <w:color w:val="0070C0"/>
          <w:sz w:val="16"/>
          <w:szCs w:val="16"/>
        </w:rPr>
        <w:softHyphen/>
        <w:t>воде №</w:t>
      </w:r>
      <w:r w:rsidRPr="00D03F3E">
        <w:rPr>
          <w:rFonts w:ascii="Times New Roman" w:hAnsi="Times New Roman" w:cs="Times New Roman"/>
          <w:i/>
          <w:iCs/>
          <w:color w:val="0070C0"/>
          <w:sz w:val="16"/>
          <w:szCs w:val="16"/>
        </w:rPr>
        <w:t>1</w:t>
      </w:r>
      <w:r w:rsidRPr="00D03F3E">
        <w:rPr>
          <w:rStyle w:val="aff6"/>
          <w:rFonts w:ascii="Times New Roman" w:hAnsi="Times New Roman" w:cs="Times New Roman"/>
          <w:i w:val="0"/>
          <w:iCs w:val="0"/>
          <w:color w:val="0070C0"/>
        </w:rPr>
        <w:t xml:space="preserve"> «50 самолетов Ил-2 с мото</w:t>
      </w:r>
      <w:r w:rsidRPr="00D03F3E">
        <w:rPr>
          <w:rStyle w:val="aff6"/>
          <w:rFonts w:ascii="Times New Roman" w:hAnsi="Times New Roman" w:cs="Times New Roman"/>
          <w:i w:val="0"/>
          <w:iCs w:val="0"/>
          <w:color w:val="0070C0"/>
        </w:rPr>
        <w:softHyphen/>
        <w:t>ром АМ-38ф в истребительном одномест</w:t>
      </w:r>
      <w:r w:rsidRPr="00D03F3E">
        <w:rPr>
          <w:rStyle w:val="aff6"/>
          <w:rFonts w:ascii="Times New Roman" w:hAnsi="Times New Roman" w:cs="Times New Roman"/>
          <w:i w:val="0"/>
          <w:iCs w:val="0"/>
          <w:color w:val="0070C0"/>
        </w:rPr>
        <w:softHyphen/>
        <w:t>ном варианте»</w:t>
      </w:r>
      <w:r w:rsidRPr="00D03F3E">
        <w:rPr>
          <w:rFonts w:ascii="Times New Roman" w:hAnsi="Times New Roman" w:cs="Times New Roman"/>
          <w:color w:val="0070C0"/>
          <w:sz w:val="16"/>
          <w:szCs w:val="16"/>
        </w:rPr>
        <w:t xml:space="preserve"> (в переписке Ил-2-И или И-Ил-2) и двух Ил-2 АМ-42 в истреби</w:t>
      </w:r>
      <w:r w:rsidRPr="00D03F3E">
        <w:rPr>
          <w:rFonts w:ascii="Times New Roman" w:hAnsi="Times New Roman" w:cs="Times New Roman"/>
          <w:color w:val="0070C0"/>
          <w:sz w:val="16"/>
          <w:szCs w:val="16"/>
        </w:rPr>
        <w:softHyphen/>
        <w:t>тельном варианте (в переписке Ил-2-2И или 2И-Ил-2). Соответствующий приказ' НКАП №305сс Шахурин подписал 21 мая.</w:t>
      </w:r>
    </w:p>
    <w:p w14:paraId="16122BE0" w14:textId="77777777" w:rsidR="008814C1" w:rsidRPr="00D03F3E" w:rsidRDefault="008814C1"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По заданию максимальная скорость Ил-2-И должна была составлять 400 км/ч - у земли, и 410 км/ч - на высоте 1000- 1500 м, а Ил-2-2И - 445 и 460 км/ч, соот</w:t>
      </w:r>
      <w:r w:rsidRPr="00D03F3E">
        <w:rPr>
          <w:rFonts w:ascii="Times New Roman" w:hAnsi="Times New Roman" w:cs="Times New Roman"/>
          <w:color w:val="0070C0"/>
          <w:sz w:val="16"/>
          <w:szCs w:val="16"/>
        </w:rPr>
        <w:softHyphen/>
        <w:t>ветственно.</w:t>
      </w:r>
    </w:p>
    <w:p w14:paraId="5229E114" w14:textId="77777777" w:rsidR="008814C1" w:rsidRPr="00D03F3E" w:rsidRDefault="008814C1"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Известно, что ВВС пытались возра</w:t>
      </w:r>
      <w:r w:rsidRPr="00D03F3E">
        <w:rPr>
          <w:rFonts w:ascii="Times New Roman" w:hAnsi="Times New Roman" w:cs="Times New Roman"/>
          <w:color w:val="0070C0"/>
          <w:sz w:val="16"/>
          <w:szCs w:val="16"/>
        </w:rPr>
        <w:softHyphen/>
        <w:t>жать, доказывая нецелесообразность по</w:t>
      </w:r>
      <w:r w:rsidRPr="00D03F3E">
        <w:rPr>
          <w:rFonts w:ascii="Times New Roman" w:hAnsi="Times New Roman" w:cs="Times New Roman"/>
          <w:color w:val="0070C0"/>
          <w:sz w:val="16"/>
          <w:szCs w:val="16"/>
        </w:rPr>
        <w:softHyphen/>
        <w:t>стройки бронированного истребителя как типа боевого самолета и тем более истре</w:t>
      </w:r>
      <w:r w:rsidRPr="00D03F3E">
        <w:rPr>
          <w:rFonts w:ascii="Times New Roman" w:hAnsi="Times New Roman" w:cs="Times New Roman"/>
          <w:color w:val="0070C0"/>
          <w:sz w:val="16"/>
          <w:szCs w:val="16"/>
        </w:rPr>
        <w:softHyphen/>
        <w:t>бительных вариантов Ил-2, и даже подго</w:t>
      </w:r>
      <w:r w:rsidRPr="00D03F3E">
        <w:rPr>
          <w:rFonts w:ascii="Times New Roman" w:hAnsi="Times New Roman" w:cs="Times New Roman"/>
          <w:color w:val="0070C0"/>
          <w:sz w:val="16"/>
          <w:szCs w:val="16"/>
        </w:rPr>
        <w:softHyphen/>
        <w:t>товили справку по этому вопросу. Из до</w:t>
      </w:r>
      <w:r w:rsidRPr="00D03F3E">
        <w:rPr>
          <w:rFonts w:ascii="Times New Roman" w:hAnsi="Times New Roman" w:cs="Times New Roman"/>
          <w:color w:val="0070C0"/>
          <w:sz w:val="16"/>
          <w:szCs w:val="16"/>
        </w:rPr>
        <w:softHyphen/>
        <w:t>кумента следовало, что если и строить бронированный истребитель, то лучше взять за основу удачную схему одномест</w:t>
      </w:r>
      <w:r w:rsidRPr="00D03F3E">
        <w:rPr>
          <w:rFonts w:ascii="Times New Roman" w:hAnsi="Times New Roman" w:cs="Times New Roman"/>
          <w:color w:val="0070C0"/>
          <w:sz w:val="16"/>
          <w:szCs w:val="16"/>
        </w:rPr>
        <w:softHyphen/>
        <w:t>ного штурмовика Су-6. По скоростям, ма</w:t>
      </w:r>
      <w:r w:rsidRPr="00D03F3E">
        <w:rPr>
          <w:rFonts w:ascii="Times New Roman" w:hAnsi="Times New Roman" w:cs="Times New Roman"/>
          <w:color w:val="0070C0"/>
          <w:sz w:val="16"/>
          <w:szCs w:val="16"/>
        </w:rPr>
        <w:softHyphen/>
        <w:t>невренности и боевой живучести «су</w:t>
      </w:r>
      <w:r w:rsidRPr="00D03F3E">
        <w:rPr>
          <w:rFonts w:ascii="Times New Roman" w:hAnsi="Times New Roman" w:cs="Times New Roman"/>
          <w:color w:val="0070C0"/>
          <w:sz w:val="16"/>
          <w:szCs w:val="16"/>
        </w:rPr>
        <w:softHyphen/>
        <w:t>хой» имел явное преимущество перед ис</w:t>
      </w:r>
      <w:r w:rsidRPr="00D03F3E">
        <w:rPr>
          <w:rFonts w:ascii="Times New Roman" w:hAnsi="Times New Roman" w:cs="Times New Roman"/>
          <w:color w:val="0070C0"/>
          <w:sz w:val="16"/>
          <w:szCs w:val="16"/>
        </w:rPr>
        <w:softHyphen/>
        <w:t>требительной модификацией Ил-2-2И с АМ-42. Кроме того, уже построен и про</w:t>
      </w:r>
      <w:r w:rsidRPr="00D03F3E">
        <w:rPr>
          <w:rFonts w:ascii="Times New Roman" w:hAnsi="Times New Roman" w:cs="Times New Roman"/>
          <w:color w:val="0070C0"/>
          <w:sz w:val="16"/>
          <w:szCs w:val="16"/>
        </w:rPr>
        <w:softHyphen/>
        <w:t>ходит заводские испытания двухместный штурмовик Су-6 М-71ф с 37-мм пушками 11П и заметно более высокими летными данными по сравнению со штурмовой модификацией Ил-2М АМ-42 и вариан</w:t>
      </w:r>
      <w:r w:rsidRPr="00D03F3E">
        <w:rPr>
          <w:rFonts w:ascii="Times New Roman" w:hAnsi="Times New Roman" w:cs="Times New Roman"/>
          <w:color w:val="0070C0"/>
          <w:sz w:val="16"/>
          <w:szCs w:val="16"/>
        </w:rPr>
        <w:softHyphen/>
        <w:t>том Ил-2 АМ-42 (РК). В случае постановки его на вооружение ВВС КА можно будет на одном заводе выпускать и двухмест</w:t>
      </w:r>
      <w:r w:rsidRPr="00D03F3E">
        <w:rPr>
          <w:rFonts w:ascii="Times New Roman" w:hAnsi="Times New Roman" w:cs="Times New Roman"/>
          <w:color w:val="0070C0"/>
          <w:sz w:val="16"/>
          <w:szCs w:val="16"/>
        </w:rPr>
        <w:softHyphen/>
        <w:t>ный (противотанковый и штур</w:t>
      </w:r>
      <w:r w:rsidRPr="00D03F3E">
        <w:rPr>
          <w:rFonts w:ascii="Times New Roman" w:hAnsi="Times New Roman" w:cs="Times New Roman"/>
          <w:color w:val="0070C0"/>
          <w:sz w:val="16"/>
          <w:szCs w:val="16"/>
        </w:rPr>
        <w:softHyphen/>
        <w:t>мовой), и одноместный (ис</w:t>
      </w:r>
      <w:r w:rsidRPr="00D03F3E">
        <w:rPr>
          <w:rFonts w:ascii="Times New Roman" w:hAnsi="Times New Roman" w:cs="Times New Roman"/>
          <w:color w:val="0070C0"/>
          <w:sz w:val="16"/>
          <w:szCs w:val="16"/>
        </w:rPr>
        <w:softHyphen/>
        <w:t>требительный) варианты Су-6 М-71ф (собственно, как и мо</w:t>
      </w:r>
      <w:r w:rsidRPr="00D03F3E">
        <w:rPr>
          <w:rFonts w:ascii="Times New Roman" w:hAnsi="Times New Roman" w:cs="Times New Roman"/>
          <w:color w:val="0070C0"/>
          <w:sz w:val="16"/>
          <w:szCs w:val="16"/>
        </w:rPr>
        <w:softHyphen/>
        <w:t>дификации Ил-2 с АМ-42). Но решение было принято в пользу предложения Иль</w:t>
      </w:r>
      <w:r w:rsidRPr="00D03F3E">
        <w:rPr>
          <w:rFonts w:ascii="Times New Roman" w:hAnsi="Times New Roman" w:cs="Times New Roman"/>
          <w:color w:val="0070C0"/>
          <w:sz w:val="16"/>
          <w:szCs w:val="16"/>
        </w:rPr>
        <w:softHyphen/>
        <w:t>юшина. Сработал довод, что преемственность в технологии изготовления и возможность использования существующей оснастки позволит быстро и с меньшими затратами организовать про</w:t>
      </w:r>
      <w:r w:rsidRPr="00D03F3E">
        <w:rPr>
          <w:rFonts w:ascii="Times New Roman" w:hAnsi="Times New Roman" w:cs="Times New Roman"/>
          <w:color w:val="0070C0"/>
          <w:sz w:val="16"/>
          <w:szCs w:val="16"/>
        </w:rPr>
        <w:softHyphen/>
        <w:t>изводство Ил-2-2И и Ил-2М на серий</w:t>
      </w:r>
      <w:r w:rsidRPr="00D03F3E">
        <w:rPr>
          <w:rFonts w:ascii="Times New Roman" w:hAnsi="Times New Roman" w:cs="Times New Roman"/>
          <w:color w:val="0070C0"/>
          <w:sz w:val="16"/>
          <w:szCs w:val="16"/>
        </w:rPr>
        <w:softHyphen/>
        <w:t>ных заводах, уже выпускающих штурмо</w:t>
      </w:r>
      <w:r w:rsidRPr="00D03F3E">
        <w:rPr>
          <w:rFonts w:ascii="Times New Roman" w:hAnsi="Times New Roman" w:cs="Times New Roman"/>
          <w:color w:val="0070C0"/>
          <w:sz w:val="16"/>
          <w:szCs w:val="16"/>
        </w:rPr>
        <w:softHyphen/>
        <w:t>вики Ил-2.</w:t>
      </w:r>
    </w:p>
    <w:p w14:paraId="2BAC98A7" w14:textId="77777777" w:rsidR="008814C1" w:rsidRPr="00D03F3E" w:rsidRDefault="008814C1"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lastRenderedPageBreak/>
        <w:t>Учитывая позицию военных и пре</w:t>
      </w:r>
      <w:r w:rsidRPr="00D03F3E">
        <w:rPr>
          <w:rFonts w:ascii="Times New Roman" w:hAnsi="Times New Roman" w:cs="Times New Roman"/>
          <w:color w:val="0070C0"/>
          <w:sz w:val="16"/>
          <w:szCs w:val="16"/>
        </w:rPr>
        <w:softHyphen/>
        <w:t>красно понимая, что оставаясь в рамках «облика» «двойки», создать истребитель- штурмовик, равный по летно-боевым ка</w:t>
      </w:r>
      <w:r w:rsidRPr="00D03F3E">
        <w:rPr>
          <w:rFonts w:ascii="Times New Roman" w:hAnsi="Times New Roman" w:cs="Times New Roman"/>
          <w:color w:val="0070C0"/>
          <w:sz w:val="16"/>
          <w:szCs w:val="16"/>
        </w:rPr>
        <w:softHyphen/>
        <w:t>чествам машине Сухого, практически не</w:t>
      </w:r>
      <w:r w:rsidRPr="00D03F3E">
        <w:rPr>
          <w:rFonts w:ascii="Times New Roman" w:hAnsi="Times New Roman" w:cs="Times New Roman"/>
          <w:color w:val="0070C0"/>
          <w:sz w:val="16"/>
          <w:szCs w:val="16"/>
        </w:rPr>
        <w:softHyphen/>
        <w:t>возможно, Ильюшин параллельно рабо</w:t>
      </w:r>
      <w:r w:rsidRPr="00D03F3E">
        <w:rPr>
          <w:rFonts w:ascii="Times New Roman" w:hAnsi="Times New Roman" w:cs="Times New Roman"/>
          <w:color w:val="0070C0"/>
          <w:sz w:val="16"/>
          <w:szCs w:val="16"/>
        </w:rPr>
        <w:softHyphen/>
        <w:t>там по самолету Ил-2-2И приступил к проектированию бронированного истре</w:t>
      </w:r>
      <w:r w:rsidRPr="00D03F3E">
        <w:rPr>
          <w:rFonts w:ascii="Times New Roman" w:hAnsi="Times New Roman" w:cs="Times New Roman"/>
          <w:color w:val="0070C0"/>
          <w:sz w:val="16"/>
          <w:szCs w:val="16"/>
        </w:rPr>
        <w:softHyphen/>
        <w:t>бителя Ил-1 АМ-42 с совершенно иными компоновочными и аэродинамическими решениями.</w:t>
      </w:r>
    </w:p>
    <w:p w14:paraId="17691716" w14:textId="77777777" w:rsidR="008814C1" w:rsidRPr="00D03F3E" w:rsidRDefault="008814C1"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Самолет Ил-1 имел чистый в аэроди</w:t>
      </w:r>
      <w:r w:rsidRPr="00D03F3E">
        <w:rPr>
          <w:rFonts w:ascii="Times New Roman" w:hAnsi="Times New Roman" w:cs="Times New Roman"/>
          <w:color w:val="0070C0"/>
          <w:sz w:val="16"/>
          <w:szCs w:val="16"/>
        </w:rPr>
        <w:softHyphen/>
        <w:t>намическом отношении бронекорпус, тра</w:t>
      </w:r>
      <w:r w:rsidRPr="00D03F3E">
        <w:rPr>
          <w:rFonts w:ascii="Times New Roman" w:hAnsi="Times New Roman" w:cs="Times New Roman"/>
          <w:color w:val="0070C0"/>
          <w:sz w:val="16"/>
          <w:szCs w:val="16"/>
        </w:rPr>
        <w:softHyphen/>
        <w:t>пециевидное в плане крыло со скорост</w:t>
      </w:r>
      <w:r w:rsidRPr="00D03F3E">
        <w:rPr>
          <w:rFonts w:ascii="Times New Roman" w:hAnsi="Times New Roman" w:cs="Times New Roman"/>
          <w:color w:val="0070C0"/>
          <w:sz w:val="16"/>
          <w:szCs w:val="16"/>
        </w:rPr>
        <w:softHyphen/>
        <w:t xml:space="preserve">ными профилями (у корня - </w:t>
      </w:r>
      <w:r w:rsidRPr="00D03F3E">
        <w:rPr>
          <w:rFonts w:ascii="Times New Roman" w:hAnsi="Times New Roman" w:cs="Times New Roman"/>
          <w:color w:val="0070C0"/>
          <w:sz w:val="16"/>
          <w:szCs w:val="16"/>
          <w:lang w:val="en-US"/>
        </w:rPr>
        <w:t>NACA</w:t>
      </w:r>
      <w:r w:rsidRPr="00D03F3E">
        <w:rPr>
          <w:rFonts w:ascii="Times New Roman" w:hAnsi="Times New Roman" w:cs="Times New Roman"/>
          <w:color w:val="0070C0"/>
          <w:sz w:val="16"/>
          <w:szCs w:val="16"/>
        </w:rPr>
        <w:t xml:space="preserve">-0018, далее - </w:t>
      </w:r>
      <w:r w:rsidRPr="00D03F3E">
        <w:rPr>
          <w:rFonts w:ascii="Times New Roman" w:hAnsi="Times New Roman" w:cs="Times New Roman"/>
          <w:color w:val="0070C0"/>
          <w:sz w:val="16"/>
          <w:szCs w:val="16"/>
          <w:lang w:val="en-US"/>
        </w:rPr>
        <w:t>NACA</w:t>
      </w:r>
      <w:r w:rsidRPr="00D03F3E">
        <w:rPr>
          <w:rFonts w:ascii="Times New Roman" w:hAnsi="Times New Roman" w:cs="Times New Roman"/>
          <w:color w:val="0070C0"/>
          <w:sz w:val="16"/>
          <w:szCs w:val="16"/>
        </w:rPr>
        <w:t xml:space="preserve">-230, на концах крыла - </w:t>
      </w:r>
      <w:r w:rsidRPr="00D03F3E">
        <w:rPr>
          <w:rFonts w:ascii="Times New Roman" w:hAnsi="Times New Roman" w:cs="Times New Roman"/>
          <w:color w:val="0070C0"/>
          <w:sz w:val="16"/>
          <w:szCs w:val="16"/>
          <w:lang w:val="en-US"/>
        </w:rPr>
        <w:t>NACA</w:t>
      </w:r>
      <w:r w:rsidRPr="00D03F3E">
        <w:rPr>
          <w:rFonts w:ascii="Times New Roman" w:hAnsi="Times New Roman" w:cs="Times New Roman"/>
          <w:color w:val="0070C0"/>
          <w:sz w:val="16"/>
          <w:szCs w:val="16"/>
        </w:rPr>
        <w:t>-4410) и уменьшенной относитель</w:t>
      </w:r>
      <w:r w:rsidRPr="00D03F3E">
        <w:rPr>
          <w:rFonts w:ascii="Times New Roman" w:hAnsi="Times New Roman" w:cs="Times New Roman"/>
          <w:color w:val="0070C0"/>
          <w:sz w:val="16"/>
          <w:szCs w:val="16"/>
        </w:rPr>
        <w:softHyphen/>
        <w:t>ной толщиной (18% - у корня, 9% - на концах), размахом и площадью. Масляный и водяной радиаторы размещались в цен</w:t>
      </w:r>
      <w:r w:rsidRPr="00D03F3E">
        <w:rPr>
          <w:rFonts w:ascii="Times New Roman" w:hAnsi="Times New Roman" w:cs="Times New Roman"/>
          <w:color w:val="0070C0"/>
          <w:sz w:val="16"/>
          <w:szCs w:val="16"/>
        </w:rPr>
        <w:softHyphen/>
        <w:t>троплане рядом друг с другом под каби</w:t>
      </w:r>
      <w:r w:rsidRPr="00D03F3E">
        <w:rPr>
          <w:rFonts w:ascii="Times New Roman" w:hAnsi="Times New Roman" w:cs="Times New Roman"/>
          <w:color w:val="0070C0"/>
          <w:sz w:val="16"/>
          <w:szCs w:val="16"/>
        </w:rPr>
        <w:softHyphen/>
        <w:t>ной летчика, охлаждение воздухом осу</w:t>
      </w:r>
      <w:r w:rsidRPr="00D03F3E">
        <w:rPr>
          <w:rFonts w:ascii="Times New Roman" w:hAnsi="Times New Roman" w:cs="Times New Roman"/>
          <w:color w:val="0070C0"/>
          <w:sz w:val="16"/>
          <w:szCs w:val="16"/>
        </w:rPr>
        <w:softHyphen/>
        <w:t>ществлялось по каналам, расположенным в носке центроплана по обе стороны от мотора (все как на МШ-АМ-38). Шасси од</w:t>
      </w:r>
      <w:r w:rsidRPr="00D03F3E">
        <w:rPr>
          <w:rFonts w:ascii="Times New Roman" w:hAnsi="Times New Roman" w:cs="Times New Roman"/>
          <w:color w:val="0070C0"/>
          <w:sz w:val="16"/>
          <w:szCs w:val="16"/>
        </w:rPr>
        <w:softHyphen/>
        <w:t>ностоечное убиралось назад с поворотом колес вокруг оси на 90° (как на Су-6), что позволяло уменьшить мидель и лобовое сопротивление обтекателей шасси. Хво</w:t>
      </w:r>
      <w:r w:rsidRPr="00D03F3E">
        <w:rPr>
          <w:rFonts w:ascii="Times New Roman" w:hAnsi="Times New Roman" w:cs="Times New Roman"/>
          <w:color w:val="0070C0"/>
          <w:sz w:val="16"/>
          <w:szCs w:val="16"/>
        </w:rPr>
        <w:softHyphen/>
        <w:t>стовое колесо убирающееся. Для улучше</w:t>
      </w:r>
      <w:r w:rsidRPr="00D03F3E">
        <w:rPr>
          <w:rFonts w:ascii="Times New Roman" w:hAnsi="Times New Roman" w:cs="Times New Roman"/>
          <w:color w:val="0070C0"/>
          <w:sz w:val="16"/>
          <w:szCs w:val="16"/>
        </w:rPr>
        <w:softHyphen/>
        <w:t>ния аэродинамики обшивка везде встык, клепка впотай.</w:t>
      </w:r>
    </w:p>
    <w:p w14:paraId="35A7675B" w14:textId="77777777" w:rsidR="008814C1" w:rsidRPr="00D03F3E" w:rsidRDefault="008814C1"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Конструкция машины предполагалась смешанной: центроплан, консоли крыла и стабилизатор - цельнометаллические, хвостовая часть фюзеляжа - деревянная, рули высоты и направления - каркас ме</w:t>
      </w:r>
      <w:r w:rsidRPr="00D03F3E">
        <w:rPr>
          <w:rFonts w:ascii="Times New Roman" w:hAnsi="Times New Roman" w:cs="Times New Roman"/>
          <w:color w:val="0070C0"/>
          <w:sz w:val="16"/>
          <w:szCs w:val="16"/>
        </w:rPr>
        <w:softHyphen/>
        <w:t>таллический, обшивка полотняная.</w:t>
      </w:r>
    </w:p>
    <w:p w14:paraId="7234E905" w14:textId="77777777" w:rsidR="008814C1" w:rsidRPr="00D03F3E" w:rsidRDefault="008814C1"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По предварительным расчетам лет</w:t>
      </w:r>
      <w:r w:rsidRPr="00D03F3E">
        <w:rPr>
          <w:rFonts w:ascii="Times New Roman" w:hAnsi="Times New Roman" w:cs="Times New Roman"/>
          <w:color w:val="0070C0"/>
          <w:sz w:val="16"/>
          <w:szCs w:val="16"/>
        </w:rPr>
        <w:softHyphen/>
        <w:t>ные данные Ил-1 с АМ-42 получались на уровне истребителя Сухого: максимальная скорость у земли - порядка 530-540 км/ч, и на высоте 3000 м - 590-600 км/ч, вер</w:t>
      </w:r>
      <w:r w:rsidRPr="00D03F3E">
        <w:rPr>
          <w:rFonts w:ascii="Times New Roman" w:hAnsi="Times New Roman" w:cs="Times New Roman"/>
          <w:color w:val="0070C0"/>
          <w:sz w:val="16"/>
          <w:szCs w:val="16"/>
        </w:rPr>
        <w:softHyphen/>
        <w:t>тикальная скорость на 1000 м - не ме</w:t>
      </w:r>
      <w:r w:rsidRPr="00D03F3E">
        <w:rPr>
          <w:rFonts w:ascii="Times New Roman" w:hAnsi="Times New Roman" w:cs="Times New Roman"/>
          <w:color w:val="0070C0"/>
          <w:sz w:val="16"/>
          <w:szCs w:val="16"/>
        </w:rPr>
        <w:softHyphen/>
        <w:t>нее 12,5 м/с (19846).</w:t>
      </w:r>
    </w:p>
    <w:p w14:paraId="72DC5249" w14:textId="77777777" w:rsidR="008814C1" w:rsidRPr="00D03F3E" w:rsidRDefault="008814C1"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p>
    <w:p w14:paraId="094DA2E6" w14:textId="77777777" w:rsidR="008814C1" w:rsidRPr="00D03F3E" w:rsidRDefault="008814C1" w:rsidP="00D03F3E">
      <w:pPr>
        <w:pStyle w:val="36"/>
        <w:shd w:val="clear" w:color="auto" w:fill="auto"/>
        <w:spacing w:after="0" w:line="240" w:lineRule="auto"/>
        <w:jc w:val="both"/>
        <w:rPr>
          <w:rFonts w:ascii="Times New Roman" w:cs="Times New Roman"/>
          <w:color w:val="0070C0"/>
          <w:spacing w:val="0"/>
          <w:sz w:val="16"/>
          <w:szCs w:val="16"/>
        </w:rPr>
      </w:pPr>
      <w:r w:rsidRPr="00D03F3E">
        <w:rPr>
          <w:rFonts w:ascii="Times New Roman" w:cs="Times New Roman"/>
          <w:color w:val="0070C0"/>
          <w:spacing w:val="0"/>
          <w:sz w:val="16"/>
          <w:szCs w:val="16"/>
        </w:rPr>
        <w:t>17 мая 1943 г. вы</w:t>
      </w:r>
      <w:r w:rsidRPr="00D03F3E">
        <w:rPr>
          <w:rFonts w:ascii="Times New Roman" w:cs="Times New Roman"/>
          <w:color w:val="0070C0"/>
          <w:spacing w:val="0"/>
          <w:sz w:val="16"/>
          <w:szCs w:val="16"/>
        </w:rPr>
        <w:softHyphen/>
        <w:t>шло Постановление ГКО № 3336, пред</w:t>
      </w:r>
      <w:r w:rsidRPr="00D03F3E">
        <w:rPr>
          <w:rFonts w:ascii="Times New Roman" w:cs="Times New Roman"/>
          <w:color w:val="0070C0"/>
          <w:spacing w:val="0"/>
          <w:sz w:val="16"/>
          <w:szCs w:val="16"/>
        </w:rPr>
        <w:softHyphen/>
        <w:t xml:space="preserve">усматривавшее постройку на заводе № </w:t>
      </w:r>
      <w:r w:rsidRPr="00D03F3E">
        <w:rPr>
          <w:rFonts w:ascii="Times New Roman" w:cs="Times New Roman"/>
          <w:i/>
          <w:iCs/>
          <w:color w:val="0070C0"/>
          <w:spacing w:val="0"/>
          <w:sz w:val="16"/>
          <w:szCs w:val="16"/>
        </w:rPr>
        <w:t>1</w:t>
      </w:r>
      <w:r w:rsidRPr="00D03F3E">
        <w:rPr>
          <w:rStyle w:val="1pt3"/>
          <w:rFonts w:ascii="Times New Roman" w:hAnsi="Times New Roman" w:cs="Times New Roman"/>
          <w:i w:val="0"/>
          <w:iCs w:val="0"/>
          <w:color w:val="0070C0"/>
          <w:spacing w:val="0"/>
          <w:sz w:val="16"/>
          <w:szCs w:val="16"/>
        </w:rPr>
        <w:t xml:space="preserve"> «50 самолетов Ил-2 с мотором АМ-38Ф в истребительном одномест</w:t>
      </w:r>
      <w:r w:rsidRPr="00D03F3E">
        <w:rPr>
          <w:rStyle w:val="1pt3"/>
          <w:rFonts w:ascii="Times New Roman" w:hAnsi="Times New Roman" w:cs="Times New Roman"/>
          <w:i w:val="0"/>
          <w:iCs w:val="0"/>
          <w:color w:val="0070C0"/>
          <w:spacing w:val="0"/>
          <w:sz w:val="16"/>
          <w:szCs w:val="16"/>
        </w:rPr>
        <w:softHyphen/>
        <w:t>ном варианте и двух Ил-2АМ-42 в истре</w:t>
      </w:r>
      <w:r w:rsidRPr="00D03F3E">
        <w:rPr>
          <w:rStyle w:val="1pt3"/>
          <w:rFonts w:ascii="Times New Roman" w:hAnsi="Times New Roman" w:cs="Times New Roman"/>
          <w:i w:val="0"/>
          <w:iCs w:val="0"/>
          <w:color w:val="0070C0"/>
          <w:spacing w:val="0"/>
          <w:sz w:val="16"/>
          <w:szCs w:val="16"/>
        </w:rPr>
        <w:softHyphen/>
        <w:t>бительном варианте...»</w:t>
      </w:r>
      <w:r w:rsidRPr="00D03F3E">
        <w:rPr>
          <w:rStyle w:val="1pt3"/>
          <w:rFonts w:ascii="Times New Roman" w:hAnsi="Times New Roman" w:cs="Times New Roman"/>
          <w:color w:val="0070C0"/>
          <w:spacing w:val="0"/>
          <w:sz w:val="16"/>
          <w:szCs w:val="16"/>
        </w:rPr>
        <w:t>.</w:t>
      </w:r>
      <w:r w:rsidRPr="00D03F3E">
        <w:rPr>
          <w:rFonts w:ascii="Times New Roman" w:cs="Times New Roman"/>
          <w:color w:val="0070C0"/>
          <w:spacing w:val="0"/>
          <w:sz w:val="16"/>
          <w:szCs w:val="16"/>
        </w:rPr>
        <w:t xml:space="preserve"> Выполняя это задание, в июле 1943 г. ОКБ Ильюшина передало на испытания</w:t>
      </w:r>
      <w:r w:rsidRPr="00D03F3E">
        <w:rPr>
          <w:rStyle w:val="8pt0"/>
          <w:rFonts w:eastAsia="Gulim"/>
          <w:color w:val="0070C0"/>
        </w:rPr>
        <w:t xml:space="preserve"> </w:t>
      </w:r>
      <w:r w:rsidRPr="00D03F3E">
        <w:rPr>
          <w:rStyle w:val="8pt0"/>
          <w:rFonts w:eastAsia="Gulim"/>
          <w:b w:val="0"/>
          <w:bCs w:val="0"/>
          <w:color w:val="0070C0"/>
        </w:rPr>
        <w:t>Ил-2И АМ-38Ф.</w:t>
      </w:r>
      <w:r w:rsidRPr="00D03F3E">
        <w:rPr>
          <w:rFonts w:ascii="Times New Roman" w:cs="Times New Roman"/>
          <w:color w:val="0070C0"/>
          <w:spacing w:val="0"/>
          <w:sz w:val="16"/>
          <w:szCs w:val="16"/>
        </w:rPr>
        <w:t xml:space="preserve"> Он представлял собой одноместный вариант серийного двух</w:t>
      </w:r>
      <w:r w:rsidRPr="00D03F3E">
        <w:rPr>
          <w:rFonts w:ascii="Times New Roman" w:cs="Times New Roman"/>
          <w:color w:val="0070C0"/>
          <w:spacing w:val="0"/>
          <w:sz w:val="16"/>
          <w:szCs w:val="16"/>
        </w:rPr>
        <w:softHyphen/>
        <w:t>местного штурмовика с усиленным крылом. Вооружение ис</w:t>
      </w:r>
      <w:r w:rsidRPr="00D03F3E">
        <w:rPr>
          <w:rFonts w:ascii="Times New Roman" w:cs="Times New Roman"/>
          <w:color w:val="0070C0"/>
          <w:spacing w:val="0"/>
          <w:sz w:val="16"/>
          <w:szCs w:val="16"/>
        </w:rPr>
        <w:softHyphen/>
        <w:t>требителя состояло только из двух пушек ВЯ-23 с боезапасом по 150 снарядов, хотя сохранилась возможность наружной подвески двух 250-кг бомб (19854).</w:t>
      </w:r>
    </w:p>
    <w:p w14:paraId="026F0615" w14:textId="77777777" w:rsidR="008814C1" w:rsidRPr="00D03F3E" w:rsidRDefault="008814C1" w:rsidP="00D03F3E">
      <w:pPr>
        <w:pStyle w:val="36"/>
        <w:shd w:val="clear" w:color="auto" w:fill="auto"/>
        <w:spacing w:after="0" w:line="240" w:lineRule="auto"/>
        <w:jc w:val="both"/>
        <w:rPr>
          <w:rFonts w:ascii="Times New Roman" w:cs="Times New Roman"/>
          <w:color w:val="0070C0"/>
          <w:spacing w:val="0"/>
          <w:sz w:val="16"/>
          <w:szCs w:val="16"/>
        </w:rPr>
      </w:pPr>
    </w:p>
    <w:p w14:paraId="784913C4" w14:textId="77777777" w:rsidR="008814C1" w:rsidRPr="00D03F3E" w:rsidRDefault="008814C1"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С 17 по 31 мая 1944 г. в НИИ ВВС прохо</w:t>
      </w:r>
      <w:r w:rsidRPr="00D03F3E">
        <w:rPr>
          <w:rFonts w:ascii="Times New Roman" w:hAnsi="Times New Roman" w:cs="Times New Roman"/>
          <w:color w:val="0070C0"/>
          <w:sz w:val="16"/>
          <w:szCs w:val="16"/>
        </w:rPr>
        <w:softHyphen/>
        <w:t>дил специальные контрольные испытания са</w:t>
      </w:r>
      <w:r w:rsidRPr="00D03F3E">
        <w:rPr>
          <w:rFonts w:ascii="Times New Roman" w:hAnsi="Times New Roman" w:cs="Times New Roman"/>
          <w:color w:val="0070C0"/>
          <w:sz w:val="16"/>
          <w:szCs w:val="16"/>
        </w:rPr>
        <w:softHyphen/>
        <w:t>молет Ил-2 зав. №304128 с установкой УБШ.</w:t>
      </w:r>
    </w:p>
    <w:p w14:paraId="268832A1" w14:textId="77777777" w:rsidR="008814C1" w:rsidRPr="00D03F3E" w:rsidRDefault="008814C1" w:rsidP="00D03F3E">
      <w:pPr>
        <w:pStyle w:val="28"/>
        <w:shd w:val="clear" w:color="auto" w:fill="auto"/>
        <w:spacing w:before="0" w:line="240" w:lineRule="auto"/>
        <w:jc w:val="both"/>
        <w:rPr>
          <w:rFonts w:ascii="Times New Roman" w:hAnsi="Times New Roman" w:cs="Times New Roman"/>
          <w:color w:val="0070C0"/>
          <w:sz w:val="16"/>
          <w:szCs w:val="16"/>
        </w:rPr>
      </w:pPr>
      <w:r w:rsidRPr="00D03F3E">
        <w:rPr>
          <w:rStyle w:val="2750"/>
          <w:rFonts w:ascii="Times New Roman" w:hAnsi="Times New Roman" w:cs="Times New Roman"/>
          <w:i w:val="0"/>
          <w:iCs w:val="0"/>
          <w:color w:val="0070C0"/>
          <w:w w:val="100"/>
          <w:sz w:val="16"/>
          <w:szCs w:val="16"/>
        </w:rPr>
        <w:t>По сравнению с опытными установками УБШ, проходившими войсковые испытания в 1943 г., предъявленный образец имел сле</w:t>
      </w:r>
      <w:r w:rsidRPr="00D03F3E">
        <w:rPr>
          <w:rStyle w:val="2750"/>
          <w:rFonts w:ascii="Times New Roman" w:hAnsi="Times New Roman" w:cs="Times New Roman"/>
          <w:i w:val="0"/>
          <w:iCs w:val="0"/>
          <w:color w:val="0070C0"/>
          <w:w w:val="100"/>
          <w:sz w:val="16"/>
          <w:szCs w:val="16"/>
        </w:rPr>
        <w:softHyphen/>
        <w:t>дующие основные отличия:</w:t>
      </w:r>
      <w:r w:rsidRPr="00D03F3E">
        <w:rPr>
          <w:rFonts w:ascii="Times New Roman" w:hAnsi="Times New Roman" w:cs="Times New Roman"/>
          <w:color w:val="0070C0"/>
          <w:sz w:val="16"/>
          <w:szCs w:val="16"/>
        </w:rPr>
        <w:t xml:space="preserve"> «смонтирована серийная стабилизация прицела ОМП-И, на вертлюге установлен фигурный ограничитель вертикальных углов, установлен плечевой упор, изменена лейка крепления вертлюга к основа</w:t>
      </w:r>
      <w:r w:rsidRPr="00D03F3E">
        <w:rPr>
          <w:rFonts w:ascii="Times New Roman" w:hAnsi="Times New Roman" w:cs="Times New Roman"/>
          <w:color w:val="0070C0"/>
          <w:sz w:val="16"/>
          <w:szCs w:val="16"/>
        </w:rPr>
        <w:softHyphen/>
        <w:t>нию».</w:t>
      </w:r>
    </w:p>
    <w:p w14:paraId="520B0E99" w14:textId="77777777" w:rsidR="008814C1" w:rsidRPr="00D03F3E" w:rsidRDefault="008814C1"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УБШ отстреляли на земле и в воздухе. В общей сложности выполнили 24 полета (налет 13 ч 35 мин), в том числе четыре -</w:t>
      </w:r>
      <w:r w:rsidRPr="00D03F3E">
        <w:rPr>
          <w:rStyle w:val="800"/>
          <w:rFonts w:ascii="Times New Roman" w:hAnsi="Times New Roman" w:cs="Times New Roman"/>
          <w:i w:val="0"/>
          <w:iCs w:val="0"/>
          <w:color w:val="0070C0"/>
          <w:w w:val="100"/>
          <w:sz w:val="16"/>
          <w:szCs w:val="16"/>
        </w:rPr>
        <w:t xml:space="preserve"> «на воздуш</w:t>
      </w:r>
      <w:r w:rsidRPr="00D03F3E">
        <w:rPr>
          <w:rStyle w:val="800"/>
          <w:rFonts w:ascii="Times New Roman" w:hAnsi="Times New Roman" w:cs="Times New Roman"/>
          <w:i w:val="0"/>
          <w:iCs w:val="0"/>
          <w:color w:val="0070C0"/>
          <w:w w:val="100"/>
          <w:sz w:val="16"/>
          <w:szCs w:val="16"/>
        </w:rPr>
        <w:softHyphen/>
        <w:t>ный бой с Ла-5 с целью определения маневрен</w:t>
      </w:r>
      <w:r w:rsidRPr="00D03F3E">
        <w:rPr>
          <w:rStyle w:val="800"/>
          <w:rFonts w:ascii="Times New Roman" w:hAnsi="Times New Roman" w:cs="Times New Roman"/>
          <w:i w:val="0"/>
          <w:iCs w:val="0"/>
          <w:color w:val="0070C0"/>
          <w:w w:val="100"/>
          <w:sz w:val="16"/>
          <w:szCs w:val="16"/>
        </w:rPr>
        <w:softHyphen/>
        <w:t>ных качеств УБШ и ВУБ-3».</w:t>
      </w:r>
      <w:r w:rsidRPr="00D03F3E">
        <w:rPr>
          <w:rFonts w:ascii="Times New Roman" w:hAnsi="Times New Roman" w:cs="Times New Roman"/>
          <w:color w:val="0070C0"/>
          <w:sz w:val="16"/>
          <w:szCs w:val="16"/>
        </w:rPr>
        <w:t xml:space="preserve"> Всего из УБШ осу</w:t>
      </w:r>
      <w:r w:rsidRPr="00D03F3E">
        <w:rPr>
          <w:rFonts w:ascii="Times New Roman" w:hAnsi="Times New Roman" w:cs="Times New Roman"/>
          <w:color w:val="0070C0"/>
          <w:sz w:val="16"/>
          <w:szCs w:val="16"/>
        </w:rPr>
        <w:softHyphen/>
        <w:t>ществили 5136 выстрелов, в том числе 4000 на земле и 1136 в воздухе. Зафиксировали 39 задержек (0,76%), из них 21 - из-за дефектов установки.</w:t>
      </w:r>
    </w:p>
    <w:p w14:paraId="0D3BE1B2" w14:textId="77777777" w:rsidR="008814C1" w:rsidRPr="00D03F3E" w:rsidRDefault="008814C1"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По сравнению с ВУБ-3 опытная установка УБШ обеспечивала несколько большие углы обстрела. Отмечалось, что маневрирование оружием</w:t>
      </w:r>
      <w:r w:rsidRPr="00D03F3E">
        <w:rPr>
          <w:rStyle w:val="800"/>
          <w:rFonts w:ascii="Times New Roman" w:hAnsi="Times New Roman" w:cs="Times New Roman"/>
          <w:i w:val="0"/>
          <w:iCs w:val="0"/>
          <w:color w:val="0070C0"/>
          <w:w w:val="100"/>
          <w:sz w:val="16"/>
          <w:szCs w:val="16"/>
        </w:rPr>
        <w:t xml:space="preserve"> «заметно легче, чем на ВУБ-3, но при отстреле одного магазина и более пуле</w:t>
      </w:r>
      <w:r w:rsidRPr="00D03F3E">
        <w:rPr>
          <w:rStyle w:val="800"/>
          <w:rFonts w:ascii="Times New Roman" w:hAnsi="Times New Roman" w:cs="Times New Roman"/>
          <w:i w:val="0"/>
          <w:iCs w:val="0"/>
          <w:color w:val="0070C0"/>
          <w:w w:val="100"/>
          <w:sz w:val="16"/>
          <w:szCs w:val="16"/>
        </w:rPr>
        <w:softHyphen/>
        <w:t>мет затяжеляется стреляными гильзами и звеньями и становится хуже, чем ВУБ-3».</w:t>
      </w:r>
      <w:r w:rsidRPr="00D03F3E">
        <w:rPr>
          <w:rFonts w:ascii="Times New Roman" w:hAnsi="Times New Roman" w:cs="Times New Roman"/>
          <w:color w:val="0070C0"/>
          <w:sz w:val="16"/>
          <w:szCs w:val="16"/>
        </w:rPr>
        <w:t xml:space="preserve"> Пе</w:t>
      </w:r>
      <w:r w:rsidRPr="00D03F3E">
        <w:rPr>
          <w:rFonts w:ascii="Times New Roman" w:hAnsi="Times New Roman" w:cs="Times New Roman"/>
          <w:color w:val="0070C0"/>
          <w:sz w:val="16"/>
          <w:szCs w:val="16"/>
        </w:rPr>
        <w:softHyphen/>
        <w:t>реброска пулемета с борта на борт в гори</w:t>
      </w:r>
      <w:r w:rsidRPr="00D03F3E">
        <w:rPr>
          <w:rFonts w:ascii="Times New Roman" w:hAnsi="Times New Roman" w:cs="Times New Roman"/>
          <w:color w:val="0070C0"/>
          <w:sz w:val="16"/>
          <w:szCs w:val="16"/>
        </w:rPr>
        <w:softHyphen/>
        <w:t>зонтальном полете осуществлялась быстро и без затруднений. Питание магазина признали надежным:</w:t>
      </w:r>
      <w:r w:rsidRPr="00D03F3E">
        <w:rPr>
          <w:rStyle w:val="800"/>
          <w:rFonts w:ascii="Times New Roman" w:hAnsi="Times New Roman" w:cs="Times New Roman"/>
          <w:i w:val="0"/>
          <w:iCs w:val="0"/>
          <w:color w:val="0070C0"/>
          <w:w w:val="100"/>
          <w:sz w:val="16"/>
          <w:szCs w:val="16"/>
        </w:rPr>
        <w:t xml:space="preserve"> «на замену магазина затрачива</w:t>
      </w:r>
      <w:r w:rsidRPr="00D03F3E">
        <w:rPr>
          <w:rStyle w:val="800"/>
          <w:rFonts w:ascii="Times New Roman" w:hAnsi="Times New Roman" w:cs="Times New Roman"/>
          <w:i w:val="0"/>
          <w:iCs w:val="0"/>
          <w:color w:val="0070C0"/>
          <w:w w:val="100"/>
          <w:sz w:val="16"/>
          <w:szCs w:val="16"/>
        </w:rPr>
        <w:softHyphen/>
        <w:t>ется 35-50 секунд в перчатках».</w:t>
      </w:r>
    </w:p>
    <w:p w14:paraId="4D4E2289" w14:textId="77777777" w:rsidR="008814C1" w:rsidRPr="00D03F3E" w:rsidRDefault="008814C1"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Среди основных недостатков отмечались магазинное питание</w:t>
      </w:r>
      <w:r w:rsidRPr="00D03F3E">
        <w:rPr>
          <w:rStyle w:val="800"/>
          <w:rFonts w:ascii="Times New Roman" w:hAnsi="Times New Roman" w:cs="Times New Roman"/>
          <w:i w:val="0"/>
          <w:iCs w:val="0"/>
          <w:color w:val="0070C0"/>
          <w:w w:val="100"/>
          <w:sz w:val="16"/>
          <w:szCs w:val="16"/>
        </w:rPr>
        <w:t xml:space="preserve"> («необходимость замены магазина в боевой обстановке»),</w:t>
      </w:r>
      <w:r w:rsidRPr="00D03F3E">
        <w:rPr>
          <w:rFonts w:ascii="Times New Roman" w:hAnsi="Times New Roman" w:cs="Times New Roman"/>
          <w:color w:val="0070C0"/>
          <w:sz w:val="16"/>
          <w:szCs w:val="16"/>
        </w:rPr>
        <w:t xml:space="preserve"> ухудшение обзора из-за магазина в нижней задней по</w:t>
      </w:r>
      <w:r w:rsidRPr="00D03F3E">
        <w:rPr>
          <w:rFonts w:ascii="Times New Roman" w:hAnsi="Times New Roman" w:cs="Times New Roman"/>
          <w:color w:val="0070C0"/>
          <w:sz w:val="16"/>
          <w:szCs w:val="16"/>
        </w:rPr>
        <w:softHyphen/>
        <w:t xml:space="preserve">лусфере (с левого борта самолета по полету), невозможность ведения огня по наземной цели (с левого борта). Указывалось и на то, что </w:t>
      </w:r>
      <w:r w:rsidRPr="00D03F3E">
        <w:rPr>
          <w:rStyle w:val="800"/>
          <w:rFonts w:ascii="Times New Roman" w:hAnsi="Times New Roman" w:cs="Times New Roman"/>
          <w:i w:val="0"/>
          <w:iCs w:val="0"/>
          <w:color w:val="0070C0"/>
          <w:w w:val="100"/>
          <w:sz w:val="16"/>
          <w:szCs w:val="16"/>
        </w:rPr>
        <w:t>«в крайних положениях установка стопорится ненадежно, при длинной очереди пулемет сры</w:t>
      </w:r>
      <w:r w:rsidRPr="00D03F3E">
        <w:rPr>
          <w:rStyle w:val="800"/>
          <w:rFonts w:ascii="Times New Roman" w:hAnsi="Times New Roman" w:cs="Times New Roman"/>
          <w:i w:val="0"/>
          <w:iCs w:val="0"/>
          <w:color w:val="0070C0"/>
          <w:w w:val="100"/>
          <w:sz w:val="16"/>
          <w:szCs w:val="16"/>
        </w:rPr>
        <w:softHyphen/>
        <w:t>вается со стопора и уводится к килю - воз</w:t>
      </w:r>
      <w:r w:rsidRPr="00D03F3E">
        <w:rPr>
          <w:rStyle w:val="800"/>
          <w:rFonts w:ascii="Times New Roman" w:hAnsi="Times New Roman" w:cs="Times New Roman"/>
          <w:i w:val="0"/>
          <w:iCs w:val="0"/>
          <w:color w:val="0070C0"/>
          <w:w w:val="100"/>
          <w:sz w:val="16"/>
          <w:szCs w:val="16"/>
        </w:rPr>
        <w:softHyphen/>
        <w:t>можны прострелы хвостового оперения».</w:t>
      </w:r>
    </w:p>
    <w:p w14:paraId="498FB670" w14:textId="77777777" w:rsidR="008814C1" w:rsidRPr="00D03F3E" w:rsidRDefault="008814C1"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В заключении акта по испытаниям кон</w:t>
      </w:r>
      <w:r w:rsidRPr="00D03F3E">
        <w:rPr>
          <w:rFonts w:ascii="Times New Roman" w:hAnsi="Times New Roman" w:cs="Times New Roman"/>
          <w:color w:val="0070C0"/>
          <w:sz w:val="16"/>
          <w:szCs w:val="16"/>
        </w:rPr>
        <w:softHyphen/>
        <w:t>статировалось, что</w:t>
      </w:r>
      <w:r w:rsidRPr="00D03F3E">
        <w:rPr>
          <w:rStyle w:val="800"/>
          <w:rFonts w:ascii="Times New Roman" w:hAnsi="Times New Roman" w:cs="Times New Roman"/>
          <w:i w:val="0"/>
          <w:iCs w:val="0"/>
          <w:color w:val="0070C0"/>
          <w:w w:val="100"/>
          <w:sz w:val="16"/>
          <w:szCs w:val="16"/>
        </w:rPr>
        <w:t xml:space="preserve"> «в целом установка УБШ не улучшает обороноспособности самолета Ил-2 и имеет недостаточную живучесть».</w:t>
      </w:r>
      <w:r w:rsidRPr="00D03F3E">
        <w:rPr>
          <w:rFonts w:ascii="Times New Roman" w:hAnsi="Times New Roman" w:cs="Times New Roman"/>
          <w:color w:val="0070C0"/>
          <w:sz w:val="16"/>
          <w:szCs w:val="16"/>
        </w:rPr>
        <w:t xml:space="preserve"> Как следствие, работы по дальнейшему совершен</w:t>
      </w:r>
      <w:r w:rsidRPr="00D03F3E">
        <w:rPr>
          <w:rFonts w:ascii="Times New Roman" w:hAnsi="Times New Roman" w:cs="Times New Roman"/>
          <w:color w:val="0070C0"/>
          <w:sz w:val="16"/>
          <w:szCs w:val="16"/>
        </w:rPr>
        <w:softHyphen/>
        <w:t>ствованию установки УБШ прекратили. Собст</w:t>
      </w:r>
      <w:r w:rsidRPr="00D03F3E">
        <w:rPr>
          <w:rFonts w:ascii="Times New Roman" w:hAnsi="Times New Roman" w:cs="Times New Roman"/>
          <w:color w:val="0070C0"/>
          <w:sz w:val="16"/>
          <w:szCs w:val="16"/>
        </w:rPr>
        <w:softHyphen/>
        <w:t>венно, в этом уже и не было надобности, так как в НИИ ВВС уже прошли государственные испытания более совершенные штурмовики Ил-8 и Ил-10, и решался вопрос о принятии</w:t>
      </w:r>
    </w:p>
    <w:p w14:paraId="2956CA45" w14:textId="77777777" w:rsidR="008814C1" w:rsidRPr="00D03F3E" w:rsidRDefault="008814C1"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одного из них на вооружение ВВС КА (19879).</w:t>
      </w:r>
    </w:p>
    <w:p w14:paraId="019A7BE8" w14:textId="77777777" w:rsidR="008814C1" w:rsidRPr="00D03F3E" w:rsidRDefault="008814C1" w:rsidP="00D03F3E">
      <w:pPr>
        <w:pStyle w:val="11c"/>
        <w:shd w:val="clear" w:color="auto" w:fill="auto"/>
        <w:spacing w:after="0" w:line="240" w:lineRule="auto"/>
        <w:jc w:val="both"/>
        <w:rPr>
          <w:rFonts w:ascii="Times New Roman" w:hAnsi="Times New Roman" w:cs="Times New Roman"/>
          <w:color w:val="0070C0"/>
          <w:sz w:val="16"/>
          <w:szCs w:val="16"/>
        </w:rPr>
      </w:pPr>
    </w:p>
    <w:p w14:paraId="1E9027A9" w14:textId="77777777" w:rsidR="008814C1" w:rsidRPr="00D03F3E" w:rsidRDefault="008814C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17 мая 1943 год И.В. Сталин без замечаний подписал проект постановления ГКО, получившего № 3386сс. В соответствии с этим документом заводу № 1 предписывалось построить в июне 1943 г. 50 самолетов Ил-2 с АМ-38Ф в истребительном одноместном варианте, облегчив выпускаемые в тот период машины, сняв с них бомбовую нагрузку, РС, пулеметы ШКАС, оставив на самолетах вооружение – две пушки ВЯ с боезапасом 300 снарядов. Помимо этого, к 15 июля 1943 года должны были быть готовы два самолета Ил-2 с АМ-38Ф с улучшенной аэродинамикой, а к 1-му августа – два самолета Ил-2 с АМ-42 с улучшенной аэродинамикой. Заводские испытания этих машин надлежало закончить, соответственно, 1 и 20 августа 1943 года. На государственные испытания отводились две недели. 21 мая 1943 вышел приказ НКАП № 305сс «Во исполнение постановления ГКО № 3386№ 3386». Расплывчатые формулировки постановления № 3386сс оставляли некоторое пространство для бюрократического маневра (21005).</w:t>
      </w:r>
    </w:p>
    <w:p w14:paraId="1B4E309A" w14:textId="77777777" w:rsidR="008814C1" w:rsidRPr="00D03F3E" w:rsidRDefault="008814C1" w:rsidP="00D03F3E">
      <w:pPr>
        <w:spacing w:after="0" w:line="240" w:lineRule="auto"/>
        <w:jc w:val="both"/>
        <w:rPr>
          <w:rFonts w:ascii="Times New Roman" w:hAnsi="Times New Roman"/>
          <w:color w:val="0070C0"/>
          <w:sz w:val="16"/>
          <w:szCs w:val="16"/>
        </w:rPr>
      </w:pPr>
    </w:p>
    <w:p w14:paraId="58EDA7C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 мая 1943 Кузнецов писал С.В.И. письмо N Н-35/1938:</w:t>
      </w:r>
    </w:p>
    <w:p w14:paraId="304B322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целях исключения возможности попадания бензина на поверхности нижнего бензобака у самолета Ил-2, необходимо пересмотреть конструкцию фланца для крепления датчика у бензиномеров и дать указание заводам о замене их в серийном производстве.</w:t>
      </w:r>
    </w:p>
    <w:p w14:paraId="4FCFAB0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Конструкция фланца должны предусматривать, в соответствии с инструкцией завода-поставщика, полную непроницаемость, не допуская через фланец датчика и крепежные болты, попадание бензина как во внутрь, так и на верхнюю поверхность бака (1775,64).</w:t>
      </w:r>
    </w:p>
    <w:p w14:paraId="6CE01EFA" w14:textId="77777777" w:rsidR="00531570" w:rsidRPr="00D03F3E" w:rsidRDefault="00531570" w:rsidP="00D03F3E">
      <w:pPr>
        <w:pStyle w:val="Iauiue"/>
        <w:jc w:val="both"/>
        <w:rPr>
          <w:color w:val="000000" w:themeColor="text1"/>
          <w:sz w:val="16"/>
          <w:szCs w:val="16"/>
        </w:rPr>
      </w:pPr>
    </w:p>
    <w:p w14:paraId="6D113FF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 мая 1943 г. Государственным комитетом обороны было принято решение (постановление N 3380) о создании истребительного варианта Ил-2, который был передан на государственные испытания уже в июле 1943 (5).</w:t>
      </w:r>
    </w:p>
    <w:p w14:paraId="49CF331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Постановление ГКО N 3386 от 17 мая 1943 (1688,186):</w:t>
      </w:r>
    </w:p>
    <w:p w14:paraId="2CE866F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Для борьбы с бомбардировщиками и истребителями противника, считать необходимым часть самолетов Ил-2 превратить в истребители с ограниченной скоростью пикирования, для чего уменьшить полетный вес самолета Ил-2, сняв с него бомбовую нагрузку, РС, ШКАС, превратив самолет в одноместный и улучшить его аэродинамические качества.</w:t>
      </w:r>
    </w:p>
    <w:p w14:paraId="6AC277C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Обязать НКАП - А.И.Ш., ГК С.В.И. и директору завода 1 Третьякова на заводе 1:</w:t>
      </w:r>
    </w:p>
    <w:p w14:paraId="417AF98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построить в июне 1943 50 самолетов Ил-2 с АМ-38Ф в истребительном одноместном варианте, облегчив выпускаемые ныне машины, сняв с него бомбовую нагрузку, РС, ШКАС. Оставить на самолете вооружение - 2 ВЯ с запасом снарядов 300 шт., со след. данными:</w:t>
      </w:r>
    </w:p>
    <w:p w14:paraId="25C33B6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у земли - 400 км/час</w:t>
      </w:r>
    </w:p>
    <w:p w14:paraId="4DCBDC2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на высоте 1000-1500 м - 410 км/час</w:t>
      </w:r>
    </w:p>
    <w:p w14:paraId="20CA95C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Полетный вес 5300 кг вместо 6100 кг имеющегося</w:t>
      </w:r>
    </w:p>
    <w:p w14:paraId="16E178B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построить два самолета Ил-2 с АМ-38Ф с улучшенной аэродинамикой к 15 июля 1943 со следующими данными:</w:t>
      </w:r>
    </w:p>
    <w:p w14:paraId="62E0FAD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у земли - 425 км/час</w:t>
      </w:r>
    </w:p>
    <w:p w14:paraId="6C04F02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на высоте 1000-1500 м - 440 км/час</w:t>
      </w:r>
    </w:p>
    <w:p w14:paraId="147F3D9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АМ-42</w:t>
      </w:r>
    </w:p>
    <w:p w14:paraId="706B009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построить два самолета Ил-2 с АМ-42 с улучшенной аэродинамикой к 15 июля 1943 со следующими данными:</w:t>
      </w:r>
    </w:p>
    <w:p w14:paraId="540314F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у земли - 445 км/час</w:t>
      </w:r>
    </w:p>
    <w:p w14:paraId="1548663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на высоте 1000-1500 м - 460 км/час</w:t>
      </w:r>
    </w:p>
    <w:p w14:paraId="1585B94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 провести заводские испытания самолета Ил-2 с АМ-38Ф и АМ-42 с улучшенной аэродинамикой и предъявить их на гос. испытания с АМ-38Ф 1 августа 1943, с АМ-42 - 20 августа 1943 (1688,186).</w:t>
      </w:r>
    </w:p>
    <w:p w14:paraId="4620965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Есть мнение, что предложения по истребительному варианту Ил-2 были сделаны самим С.В.И. и машина с мотором АМ-38Ф, вооруженная 2 ВЯ должна была действовать на низких и средних высотах против транспортников, Ю-87 и Не-111 (241,19).</w:t>
      </w:r>
    </w:p>
    <w:p w14:paraId="6B34ED2F" w14:textId="77777777" w:rsidR="00531570" w:rsidRPr="00D03F3E" w:rsidRDefault="00531570" w:rsidP="00D03F3E">
      <w:pPr>
        <w:pStyle w:val="Iauiue"/>
        <w:jc w:val="both"/>
        <w:rPr>
          <w:color w:val="000000" w:themeColor="text1"/>
          <w:sz w:val="16"/>
          <w:szCs w:val="16"/>
        </w:rPr>
      </w:pPr>
    </w:p>
    <w:p w14:paraId="687C12E4"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мая 1943 вышло Постановление ГКО N 3386</w:t>
      </w:r>
    </w:p>
    <w:p w14:paraId="7AEDA78A"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Государственна Комитет Обороны постановляет:</w:t>
      </w:r>
    </w:p>
    <w:p w14:paraId="0A415CDC"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Для борьбы с бомбардировщиками и истребителями противника считать необходимым часть самолетов Ил-2 прев</w:t>
      </w:r>
      <w:r w:rsidRPr="00D03F3E">
        <w:rPr>
          <w:rFonts w:ascii="Times New Roman" w:hAnsi="Times New Roman"/>
          <w:color w:val="000000" w:themeColor="text1"/>
          <w:sz w:val="16"/>
          <w:szCs w:val="16"/>
        </w:rPr>
        <w:softHyphen/>
        <w:t xml:space="preserve">ратить в истребители с ограниченной скоростью пикиро-^ вания, для чего уменьшить полетный вес самолета Ил-2,сняв с него бомбовую нагрузку, </w:t>
      </w:r>
      <w:r w:rsidRPr="00D03F3E">
        <w:rPr>
          <w:rFonts w:ascii="Times New Roman" w:hAnsi="Times New Roman"/>
          <w:color w:val="000000" w:themeColor="text1"/>
          <w:sz w:val="16"/>
          <w:szCs w:val="16"/>
          <w:lang w:val="en-US"/>
        </w:rPr>
        <w:t>PC</w:t>
      </w:r>
      <w:r w:rsidRPr="00D03F3E">
        <w:rPr>
          <w:rFonts w:ascii="Times New Roman" w:hAnsi="Times New Roman"/>
          <w:color w:val="000000" w:themeColor="text1"/>
          <w:sz w:val="16"/>
          <w:szCs w:val="16"/>
        </w:rPr>
        <w:t>, пулеметы Шкас, превратив самолет из двухместного в одноместный и улучшить его аэродинамические качества.</w:t>
      </w:r>
    </w:p>
    <w:p w14:paraId="089423FD"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Обязать Наркомавиапром - т.Шахурина, главного конструктора т.Ильюшина и директора завода № 1 - т.Треть</w:t>
      </w:r>
      <w:r w:rsidRPr="00D03F3E">
        <w:rPr>
          <w:rFonts w:ascii="Times New Roman" w:hAnsi="Times New Roman"/>
          <w:color w:val="000000" w:themeColor="text1"/>
          <w:sz w:val="16"/>
          <w:szCs w:val="16"/>
        </w:rPr>
        <w:softHyphen/>
        <w:t xml:space="preserve">якова 'на заводе № </w:t>
      </w:r>
      <w:r w:rsidRPr="00D03F3E">
        <w:rPr>
          <w:rFonts w:ascii="Times New Roman" w:hAnsi="Times New Roman"/>
          <w:color w:val="000000" w:themeColor="text1"/>
          <w:sz w:val="16"/>
          <w:szCs w:val="16"/>
          <w:lang w:val="en-US"/>
        </w:rPr>
        <w:t>i</w:t>
      </w:r>
      <w:r w:rsidRPr="00D03F3E">
        <w:rPr>
          <w:rFonts w:ascii="Times New Roman" w:hAnsi="Times New Roman"/>
          <w:color w:val="000000" w:themeColor="text1"/>
          <w:sz w:val="16"/>
          <w:szCs w:val="16"/>
        </w:rPr>
        <w:t>:</w:t>
      </w:r>
    </w:p>
    <w:p w14:paraId="36356000" w14:textId="77777777" w:rsidR="000449CB" w:rsidRPr="00D03F3E" w:rsidRDefault="000449CB" w:rsidP="00D03F3E">
      <w:pPr>
        <w:tabs>
          <w:tab w:val="left" w:pos="226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построить в июне 1943 года 50 самолетов Ил-2 с мотором АМ-38Ф в истребительном одноместном варианте, облегчив выпускаемый ныне самолет, сняв с него бомбовую нагрузку, </w:t>
      </w:r>
      <w:r w:rsidRPr="00D03F3E">
        <w:rPr>
          <w:rFonts w:ascii="Times New Roman" w:hAnsi="Times New Roman"/>
          <w:color w:val="000000" w:themeColor="text1"/>
          <w:sz w:val="16"/>
          <w:szCs w:val="16"/>
          <w:lang w:val="en-US"/>
        </w:rPr>
        <w:t>PC</w:t>
      </w:r>
      <w:r w:rsidRPr="00D03F3E">
        <w:rPr>
          <w:rFonts w:ascii="Times New Roman" w:hAnsi="Times New Roman"/>
          <w:color w:val="000000" w:themeColor="text1"/>
          <w:sz w:val="16"/>
          <w:szCs w:val="16"/>
        </w:rPr>
        <w:t xml:space="preserve"> и пулеметы Шкас. Оставить на самолете воору</w:t>
      </w:r>
      <w:r w:rsidRPr="00D03F3E">
        <w:rPr>
          <w:rFonts w:ascii="Times New Roman" w:hAnsi="Times New Roman"/>
          <w:color w:val="000000" w:themeColor="text1"/>
          <w:sz w:val="16"/>
          <w:szCs w:val="16"/>
        </w:rPr>
        <w:softHyphen/>
        <w:t>жение - две пушки Волкова-Ярцева калибром 23 мм с запа</w:t>
      </w:r>
      <w:r w:rsidRPr="00D03F3E">
        <w:rPr>
          <w:rFonts w:ascii="Times New Roman" w:hAnsi="Times New Roman"/>
          <w:color w:val="000000" w:themeColor="text1"/>
          <w:sz w:val="16"/>
          <w:szCs w:val="16"/>
        </w:rPr>
        <w:softHyphen/>
        <w:t>сом снарядов 300 штук, со следующими основными данными:</w:t>
      </w:r>
    </w:p>
    <w:p w14:paraId="38B0B798"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у земли - 400 клм.</w:t>
      </w:r>
    </w:p>
    <w:p w14:paraId="6E8002A8" w14:textId="77777777" w:rsidR="000449CB" w:rsidRPr="00D03F3E" w:rsidRDefault="000449CB" w:rsidP="00D03F3E">
      <w:pPr>
        <w:tabs>
          <w:tab w:val="left" w:pos="478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максимальная скорость на высо</w:t>
      </w:r>
      <w:r w:rsidRPr="00D03F3E">
        <w:rPr>
          <w:rFonts w:ascii="Times New Roman" w:hAnsi="Times New Roman"/>
          <w:color w:val="000000" w:themeColor="text1"/>
          <w:sz w:val="16"/>
          <w:szCs w:val="16"/>
        </w:rPr>
        <w:softHyphen/>
        <w:t>те 1000-1500 мтр.</w:t>
      </w:r>
      <w:r w:rsidRPr="00D03F3E">
        <w:rPr>
          <w:rFonts w:ascii="Times New Roman" w:hAnsi="Times New Roman"/>
          <w:color w:val="000000" w:themeColor="text1"/>
          <w:sz w:val="16"/>
          <w:szCs w:val="16"/>
        </w:rPr>
        <w:tab/>
        <w:t>- 410 клм.</w:t>
      </w:r>
    </w:p>
    <w:p w14:paraId="3FF2C8F6" w14:textId="77777777" w:rsidR="000449CB" w:rsidRPr="00D03F3E" w:rsidRDefault="000449CB" w:rsidP="00D03F3E">
      <w:pPr>
        <w:tabs>
          <w:tab w:val="left" w:pos="478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полетный вес</w:t>
      </w:r>
      <w:r w:rsidRPr="00D03F3E">
        <w:rPr>
          <w:rFonts w:ascii="Times New Roman" w:hAnsi="Times New Roman"/>
          <w:color w:val="000000" w:themeColor="text1"/>
          <w:sz w:val="16"/>
          <w:szCs w:val="16"/>
        </w:rPr>
        <w:tab/>
        <w:t>- 5300 кг.</w:t>
      </w:r>
    </w:p>
    <w:p w14:paraId="60146ECA" w14:textId="77777777" w:rsidR="000449CB" w:rsidRPr="00D03F3E" w:rsidRDefault="000449CB" w:rsidP="00D03F3E">
      <w:pPr>
        <w:tabs>
          <w:tab w:val="left" w:pos="221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б)построить</w:t>
      </w:r>
      <w:r w:rsidRPr="00D03F3E">
        <w:rPr>
          <w:rFonts w:ascii="Times New Roman" w:hAnsi="Times New Roman"/>
          <w:color w:val="000000" w:themeColor="text1"/>
          <w:sz w:val="16"/>
          <w:szCs w:val="16"/>
        </w:rPr>
        <w:tab/>
        <w:t>два самолета Ил-2 с мотором АМ-38Ф</w:t>
      </w:r>
    </w:p>
    <w:p w14:paraId="0AEB2B08"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улучшенной аэродинамикой к 15 июля 1943 года со следую</w:t>
      </w:r>
      <w:r w:rsidRPr="00D03F3E">
        <w:rPr>
          <w:rFonts w:ascii="Times New Roman" w:hAnsi="Times New Roman"/>
          <w:color w:val="000000" w:themeColor="text1"/>
          <w:sz w:val="16"/>
          <w:szCs w:val="16"/>
        </w:rPr>
        <w:softHyphen/>
        <w:t>щими основными данными:</w:t>
      </w:r>
    </w:p>
    <w:p w14:paraId="7ADE77BE"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у земли - 425 клм.</w:t>
      </w:r>
    </w:p>
    <w:p w14:paraId="43A4A9D0" w14:textId="77777777" w:rsidR="000449CB" w:rsidRPr="00D03F3E" w:rsidRDefault="000449CB" w:rsidP="00D03F3E">
      <w:pPr>
        <w:tabs>
          <w:tab w:val="left" w:pos="478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на высо</w:t>
      </w:r>
      <w:r w:rsidRPr="00D03F3E">
        <w:rPr>
          <w:rFonts w:ascii="Times New Roman" w:hAnsi="Times New Roman"/>
          <w:color w:val="000000" w:themeColor="text1"/>
          <w:sz w:val="16"/>
          <w:szCs w:val="16"/>
        </w:rPr>
        <w:softHyphen/>
        <w:t>те 1000-1500 мтр.</w:t>
      </w:r>
      <w:r w:rsidRPr="00D03F3E">
        <w:rPr>
          <w:rFonts w:ascii="Times New Roman" w:hAnsi="Times New Roman"/>
          <w:color w:val="000000" w:themeColor="text1"/>
          <w:sz w:val="16"/>
          <w:szCs w:val="16"/>
        </w:rPr>
        <w:tab/>
        <w:t>- 440 клм.</w:t>
      </w:r>
    </w:p>
    <w:p w14:paraId="1F1358B9"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построить два самолета Ил-2 с мотором АМ-42 с улучшенной аэродинамикой к 1 августа 1943 года со следую</w:t>
      </w:r>
      <w:r w:rsidRPr="00D03F3E">
        <w:rPr>
          <w:rFonts w:ascii="Times New Roman" w:hAnsi="Times New Roman"/>
          <w:color w:val="000000" w:themeColor="text1"/>
          <w:sz w:val="16"/>
          <w:szCs w:val="16"/>
        </w:rPr>
        <w:softHyphen/>
        <w:t>щими основными данными:</w:t>
      </w:r>
    </w:p>
    <w:p w14:paraId="443F619C"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у земли 445 клм.</w:t>
      </w:r>
    </w:p>
    <w:p w14:paraId="4E90848C"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на высо</w:t>
      </w:r>
      <w:r w:rsidRPr="00D03F3E">
        <w:rPr>
          <w:rFonts w:ascii="Times New Roman" w:hAnsi="Times New Roman"/>
          <w:color w:val="000000" w:themeColor="text1"/>
          <w:sz w:val="16"/>
          <w:szCs w:val="16"/>
        </w:rPr>
        <w:softHyphen/>
        <w:t xml:space="preserve">те 1000-1500 мтр. </w:t>
      </w:r>
      <w:r w:rsidRPr="00D03F3E">
        <w:rPr>
          <w:rStyle w:val="16"/>
          <w:rFonts w:ascii="Times New Roman" w:hAnsi="Times New Roman" w:cs="Times New Roman"/>
          <w:color w:val="000000" w:themeColor="text1"/>
          <w:spacing w:val="0"/>
        </w:rPr>
        <w:t>460</w:t>
      </w:r>
      <w:r w:rsidRPr="00D03F3E">
        <w:rPr>
          <w:rFonts w:ascii="Times New Roman" w:hAnsi="Times New Roman"/>
          <w:color w:val="000000" w:themeColor="text1"/>
          <w:sz w:val="16"/>
          <w:szCs w:val="16"/>
        </w:rPr>
        <w:t xml:space="preserve"> клм.</w:t>
      </w:r>
    </w:p>
    <w:p w14:paraId="1939D7C3"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 провести заводские летные испытания самолета Ил-2 с мотором </w:t>
      </w:r>
      <w:r w:rsidRPr="00D03F3E">
        <w:rPr>
          <w:rStyle w:val="16"/>
          <w:rFonts w:ascii="Times New Roman" w:hAnsi="Times New Roman" w:cs="Times New Roman"/>
          <w:color w:val="000000" w:themeColor="text1"/>
          <w:spacing w:val="0"/>
        </w:rPr>
        <w:t>АМ-38Ф</w:t>
      </w:r>
      <w:r w:rsidRPr="00D03F3E">
        <w:rPr>
          <w:rFonts w:ascii="Times New Roman" w:hAnsi="Times New Roman"/>
          <w:color w:val="000000" w:themeColor="text1"/>
          <w:sz w:val="16"/>
          <w:szCs w:val="16"/>
        </w:rPr>
        <w:t xml:space="preserve"> и с мотором АМ-42 с улучшенной аэро</w:t>
      </w:r>
      <w:r w:rsidRPr="00D03F3E">
        <w:rPr>
          <w:rFonts w:ascii="Times New Roman" w:hAnsi="Times New Roman"/>
          <w:color w:val="000000" w:themeColor="text1"/>
          <w:sz w:val="16"/>
          <w:szCs w:val="16"/>
        </w:rPr>
        <w:softHyphen/>
        <w:t>динамикой и пред"явить на государственные испытания само</w:t>
      </w:r>
      <w:r w:rsidRPr="00D03F3E">
        <w:rPr>
          <w:rFonts w:ascii="Times New Roman" w:hAnsi="Times New Roman"/>
          <w:color w:val="000000" w:themeColor="text1"/>
          <w:sz w:val="16"/>
          <w:szCs w:val="16"/>
        </w:rPr>
        <w:softHyphen/>
        <w:t xml:space="preserve">лет Ил-2 с мотором </w:t>
      </w:r>
      <w:r w:rsidRPr="00D03F3E">
        <w:rPr>
          <w:rStyle w:val="16"/>
          <w:rFonts w:ascii="Times New Roman" w:hAnsi="Times New Roman" w:cs="Times New Roman"/>
          <w:color w:val="000000" w:themeColor="text1"/>
          <w:spacing w:val="0"/>
        </w:rPr>
        <w:t>АМ-38Ф</w:t>
      </w:r>
      <w:r w:rsidRPr="00D03F3E">
        <w:rPr>
          <w:rFonts w:ascii="Times New Roman" w:hAnsi="Times New Roman"/>
          <w:color w:val="000000" w:themeColor="text1"/>
          <w:sz w:val="16"/>
          <w:szCs w:val="16"/>
        </w:rPr>
        <w:t xml:space="preserve"> 1 августа </w:t>
      </w:r>
      <w:r w:rsidRPr="00D03F3E">
        <w:rPr>
          <w:rStyle w:val="16"/>
          <w:rFonts w:ascii="Times New Roman" w:hAnsi="Times New Roman" w:cs="Times New Roman"/>
          <w:color w:val="000000" w:themeColor="text1"/>
          <w:spacing w:val="0"/>
        </w:rPr>
        <w:t>1943</w:t>
      </w:r>
      <w:r w:rsidRPr="00D03F3E">
        <w:rPr>
          <w:rFonts w:ascii="Times New Roman" w:hAnsi="Times New Roman"/>
          <w:color w:val="000000" w:themeColor="text1"/>
          <w:sz w:val="16"/>
          <w:szCs w:val="16"/>
        </w:rPr>
        <w:t xml:space="preserve"> года, а самолет Ил-2 с мотором </w:t>
      </w:r>
      <w:r w:rsidRPr="00D03F3E">
        <w:rPr>
          <w:rStyle w:val="16"/>
          <w:rFonts w:ascii="Times New Roman" w:hAnsi="Times New Roman" w:cs="Times New Roman"/>
          <w:color w:val="000000" w:themeColor="text1"/>
          <w:spacing w:val="0"/>
        </w:rPr>
        <w:t>АМ-42</w:t>
      </w:r>
      <w:r w:rsidRPr="00D03F3E">
        <w:rPr>
          <w:rFonts w:ascii="Times New Roman" w:hAnsi="Times New Roman"/>
          <w:color w:val="000000" w:themeColor="text1"/>
          <w:sz w:val="16"/>
          <w:szCs w:val="16"/>
        </w:rPr>
        <w:t xml:space="preserve"> пред"явить на государственные испы</w:t>
      </w:r>
      <w:r w:rsidRPr="00D03F3E">
        <w:rPr>
          <w:rFonts w:ascii="Times New Roman" w:hAnsi="Times New Roman"/>
          <w:color w:val="000000" w:themeColor="text1"/>
          <w:sz w:val="16"/>
          <w:szCs w:val="16"/>
        </w:rPr>
        <w:softHyphen/>
        <w:t xml:space="preserve">тания 20 августа </w:t>
      </w:r>
      <w:r w:rsidRPr="00D03F3E">
        <w:rPr>
          <w:rStyle w:val="16"/>
          <w:rFonts w:ascii="Times New Roman" w:hAnsi="Times New Roman" w:cs="Times New Roman"/>
          <w:color w:val="000000" w:themeColor="text1"/>
          <w:spacing w:val="0"/>
        </w:rPr>
        <w:t>1943</w:t>
      </w:r>
      <w:r w:rsidRPr="00D03F3E">
        <w:rPr>
          <w:rFonts w:ascii="Times New Roman" w:hAnsi="Times New Roman"/>
          <w:color w:val="000000" w:themeColor="text1"/>
          <w:sz w:val="16"/>
          <w:szCs w:val="16"/>
        </w:rPr>
        <w:t xml:space="preserve"> года</w:t>
      </w:r>
    </w:p>
    <w:p w14:paraId="5B1712B4"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Обязать ВВС КА - т.Новикова закончить государ</w:t>
      </w:r>
      <w:r w:rsidRPr="00D03F3E">
        <w:rPr>
          <w:rFonts w:ascii="Times New Roman" w:hAnsi="Times New Roman"/>
          <w:color w:val="000000" w:themeColor="text1"/>
          <w:sz w:val="16"/>
          <w:szCs w:val="16"/>
        </w:rPr>
        <w:softHyphen/>
        <w:t>ственные испытания указанных в пункте "г" самолетов Ил-2 через пятнадцать дней после пред явления их на государ</w:t>
      </w:r>
      <w:r w:rsidRPr="00D03F3E">
        <w:rPr>
          <w:rFonts w:ascii="Times New Roman" w:hAnsi="Times New Roman"/>
          <w:color w:val="000000" w:themeColor="text1"/>
          <w:sz w:val="16"/>
          <w:szCs w:val="16"/>
        </w:rPr>
        <w:softHyphen/>
        <w:t>ственные испытания.</w:t>
      </w:r>
    </w:p>
    <w:p w14:paraId="1F356C71"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Обязать Наркомфин СССР - т.Зверева выделить из резервного фонда СНК СССР в распоряжение Наркомавиапрома - т.Шахурина 300 тысяч рублей, для поощрения работников завода № 1 и ОКБ т.Ильюшина за своевременное выполнение работ по переделкам самолета Ил-2 (19397).</w:t>
      </w:r>
    </w:p>
    <w:p w14:paraId="5F8DF7DA" w14:textId="77777777" w:rsidR="000449CB" w:rsidRPr="00D03F3E" w:rsidRDefault="000449CB" w:rsidP="00D03F3E">
      <w:pPr>
        <w:pStyle w:val="Iauiue"/>
        <w:jc w:val="both"/>
        <w:rPr>
          <w:color w:val="000000" w:themeColor="text1"/>
          <w:sz w:val="16"/>
          <w:szCs w:val="16"/>
        </w:rPr>
      </w:pPr>
      <w:r w:rsidRPr="00D03F3E">
        <w:rPr>
          <w:color w:val="000000" w:themeColor="text1"/>
          <w:sz w:val="16"/>
          <w:szCs w:val="16"/>
        </w:rPr>
        <w:t>АМ-42 - 20 августа 1943 (1688,186).</w:t>
      </w:r>
    </w:p>
    <w:p w14:paraId="646A4700" w14:textId="77777777" w:rsidR="000449CB" w:rsidRPr="00D03F3E" w:rsidRDefault="000449CB" w:rsidP="00D03F3E">
      <w:pPr>
        <w:pStyle w:val="Iauiue"/>
        <w:jc w:val="both"/>
        <w:rPr>
          <w:color w:val="000000" w:themeColor="text1"/>
          <w:sz w:val="16"/>
          <w:szCs w:val="16"/>
        </w:rPr>
      </w:pPr>
    </w:p>
    <w:p w14:paraId="5C32BEE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 мая 1943 г. с учетом опыта Сталинградских боев, а именно успешного применения Ил-2 в качестве истребителя транспортных и бомбарди</w:t>
      </w:r>
      <w:r w:rsidRPr="00D03F3E">
        <w:rPr>
          <w:color w:val="000000" w:themeColor="text1"/>
          <w:sz w:val="16"/>
          <w:szCs w:val="16"/>
        </w:rPr>
        <w:softHyphen/>
        <w:t>ровочных самолетов Люфтваффе принимается решение о постройке истребительного варианта штурмовика Ил-2 и в Постановлении ГОКО № 3336 указы</w:t>
      </w:r>
      <w:r w:rsidRPr="00D03F3E">
        <w:rPr>
          <w:color w:val="000000" w:themeColor="text1"/>
          <w:sz w:val="16"/>
          <w:szCs w:val="16"/>
        </w:rPr>
        <w:softHyphen/>
        <w:t xml:space="preserve">валось, что: </w:t>
      </w:r>
      <w:r w:rsidRPr="00D03F3E">
        <w:rPr>
          <w:iCs/>
          <w:color w:val="000000" w:themeColor="text1"/>
          <w:sz w:val="16"/>
          <w:szCs w:val="16"/>
        </w:rPr>
        <w:t>"Для борьбы с бомбарди</w:t>
      </w:r>
      <w:r w:rsidRPr="00D03F3E">
        <w:rPr>
          <w:iCs/>
          <w:color w:val="000000" w:themeColor="text1"/>
          <w:sz w:val="16"/>
          <w:szCs w:val="16"/>
        </w:rPr>
        <w:softHyphen/>
        <w:t>ровщиками и истребителями противни</w:t>
      </w:r>
      <w:r w:rsidRPr="00D03F3E">
        <w:rPr>
          <w:iCs/>
          <w:color w:val="000000" w:themeColor="text1"/>
          <w:sz w:val="16"/>
          <w:szCs w:val="16"/>
        </w:rPr>
        <w:softHyphen/>
        <w:t>ка считать необходимым часть самоле</w:t>
      </w:r>
      <w:r w:rsidRPr="00D03F3E">
        <w:rPr>
          <w:iCs/>
          <w:color w:val="000000" w:themeColor="text1"/>
          <w:sz w:val="16"/>
          <w:szCs w:val="16"/>
        </w:rPr>
        <w:softHyphen/>
        <w:t>тов Ил-2 превратить в истребители с ограниченной скоростью пикирования, для чего уменьшить полетный вес са</w:t>
      </w:r>
      <w:r w:rsidRPr="00D03F3E">
        <w:rPr>
          <w:iCs/>
          <w:color w:val="000000" w:themeColor="text1"/>
          <w:sz w:val="16"/>
          <w:szCs w:val="16"/>
        </w:rPr>
        <w:softHyphen/>
        <w:t>молета Ил-2, сняв с него бомбовую на</w:t>
      </w:r>
      <w:r w:rsidRPr="00D03F3E">
        <w:rPr>
          <w:iCs/>
          <w:color w:val="000000" w:themeColor="text1"/>
          <w:sz w:val="16"/>
          <w:szCs w:val="16"/>
        </w:rPr>
        <w:softHyphen/>
        <w:t>грузку, PC, пулеметы ШКАС, превратить его из двухместного в одноместный и улучшить его аэродинамические свой</w:t>
      </w:r>
      <w:r w:rsidRPr="00D03F3E">
        <w:rPr>
          <w:iCs/>
          <w:color w:val="000000" w:themeColor="text1"/>
          <w:sz w:val="16"/>
          <w:szCs w:val="16"/>
        </w:rPr>
        <w:softHyphen/>
        <w:t>ства... "</w:t>
      </w:r>
      <w:r w:rsidRPr="00D03F3E">
        <w:rPr>
          <w:color w:val="000000" w:themeColor="text1"/>
          <w:sz w:val="16"/>
          <w:szCs w:val="16"/>
        </w:rPr>
        <w:t xml:space="preserve"> (6467).</w:t>
      </w:r>
    </w:p>
    <w:p w14:paraId="21D2F0C6" w14:textId="77777777" w:rsidR="00531570" w:rsidRPr="00D03F3E" w:rsidRDefault="00531570" w:rsidP="00D03F3E">
      <w:pPr>
        <w:pStyle w:val="Iauiue"/>
        <w:jc w:val="both"/>
        <w:rPr>
          <w:color w:val="000000" w:themeColor="text1"/>
          <w:sz w:val="16"/>
          <w:szCs w:val="16"/>
        </w:rPr>
      </w:pPr>
    </w:p>
    <w:p w14:paraId="346BA6A2"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17 мая 1943 вышло Постановление ГКО № 3386 [О преобразовании части самолетов Ил-2 в истребители.] (7108, 86-86об.).</w:t>
      </w:r>
    </w:p>
    <w:p w14:paraId="20E4725D" w14:textId="77777777" w:rsidR="000449CB" w:rsidRPr="00D03F3E" w:rsidRDefault="000449CB" w:rsidP="00D03F3E">
      <w:pPr>
        <w:pStyle w:val="Iauiue"/>
        <w:tabs>
          <w:tab w:val="left" w:pos="11199"/>
        </w:tabs>
        <w:jc w:val="both"/>
        <w:rPr>
          <w:color w:val="000000" w:themeColor="text1"/>
          <w:sz w:val="16"/>
          <w:szCs w:val="16"/>
        </w:rPr>
      </w:pPr>
    </w:p>
    <w:p w14:paraId="770427A2" w14:textId="77777777" w:rsidR="00DA42A5" w:rsidRPr="00D03F3E" w:rsidRDefault="00DA42A5"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17 мая</w:t>
      </w:r>
      <w:r w:rsidRPr="00D03F3E">
        <w:rPr>
          <w:rFonts w:ascii="Times New Roman" w:hAnsi="Times New Roman"/>
          <w:color w:val="000000" w:themeColor="text1"/>
          <w:sz w:val="16"/>
          <w:szCs w:val="16"/>
        </w:rPr>
        <w:t xml:space="preserve"> в 1943 году в постановлении ГОКО № 3336 указывалось, что: "Для борьбы с бомбардировщиками и истребителями противника считать необходимым часть самолетов </w:t>
      </w:r>
      <w:hyperlink r:id="rId160" w:tgtFrame="_blank" w:history="1">
        <w:r w:rsidRPr="00D03F3E">
          <w:rPr>
            <w:rFonts w:ascii="Times New Roman" w:hAnsi="Times New Roman"/>
            <w:color w:val="000000" w:themeColor="text1"/>
            <w:sz w:val="16"/>
            <w:szCs w:val="16"/>
          </w:rPr>
          <w:t xml:space="preserve">«Ил-2» </w:t>
        </w:r>
      </w:hyperlink>
      <w:r w:rsidRPr="00D03F3E">
        <w:rPr>
          <w:rFonts w:ascii="Times New Roman" w:hAnsi="Times New Roman"/>
          <w:color w:val="000000" w:themeColor="text1"/>
          <w:sz w:val="16"/>
          <w:szCs w:val="16"/>
        </w:rPr>
        <w:t>превратить в истребители с ограниченной скоростью пикирования, для чего уменьшить полетный вес самолета «Ил-2», сняв с него бомбовую нагрузку, PC, пулеметы ШКАС, превратить его из двухместного в одноместный и улучшить его аэродинамические свойства..."Выполняя решение Государственного Комитета Обороны, С.В.Ильюшин уже в июле 1943 г. представляет на государственные испытания модифицированный самолет «Ил-2И» в варианте истребителя бомбардировщиков. Это был одноместный самолет «Ил-2» с двигателем «АМ-38Ф», переделанный из обычного серийного двухместного самолета-штурмовика. Его крыло усилили, изменив раскрой листов деревянной обшивки, увеличив площадь их склейки и приклепав обшивку к верхним полкам лонжеронов. С самолета «Ил-2И» сняли пулеметы ШКАС, бомбардировочное вооружение внутренних бомбоотсеков и узлы крепления к крылу пусковых балок ракетных снарядов. Люки подхода к пулеметам и вырезы под бомбоотсеки были заделаны. На вооружении самолета «Ил-2И» осталось только две пушки В Я с боезапасом по 150 снарядов. На наружные бомбовые замки самолета могли быть подвешены две бомбы массой по 250 кг (14894).</w:t>
      </w:r>
    </w:p>
    <w:p w14:paraId="7571677C" w14:textId="77777777" w:rsidR="00DA42A5" w:rsidRPr="00D03F3E" w:rsidRDefault="00DA42A5" w:rsidP="00D03F3E">
      <w:pPr>
        <w:spacing w:after="0" w:line="240" w:lineRule="auto"/>
        <w:jc w:val="both"/>
        <w:rPr>
          <w:rFonts w:ascii="Times New Roman" w:hAnsi="Times New Roman"/>
          <w:color w:val="000000" w:themeColor="text1"/>
          <w:sz w:val="16"/>
          <w:szCs w:val="16"/>
        </w:rPr>
      </w:pPr>
    </w:p>
    <w:p w14:paraId="1A9C072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 мая 1943-го в соответствии с боевым опытом использования Ил-2 в качестве истребителей ГКО принял решение о разработке нового одноместного бронированного истребителя малых и средних высот с двигателем АМ-42 мощностью 2000 л.с.</w:t>
      </w:r>
    </w:p>
    <w:p w14:paraId="6ECADD1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Создание такого истребителя, получившего заводское обозначение Ил-1, поручили конструкторскому коллективу С.В.Ильюшина. При проектировании Ил-1 одной из главных задач являлось обеспечение максимально высокого аэродинамического совершенства самолета.</w:t>
      </w:r>
    </w:p>
    <w:p w14:paraId="7790ECE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Его крыло компоновалось из скоростных аэродинамических профилей, была значительно улучшена форма бронекорпуса без излишнего усложнения технологии его изготовления, разработана кинематика уборки главных опор в крыло, обеспечивающая минимальные размеры гондол шасси (9532,5).</w:t>
      </w:r>
    </w:p>
    <w:p w14:paraId="0DDE798C" w14:textId="77777777" w:rsidR="00531570" w:rsidRPr="00D03F3E" w:rsidRDefault="00531570" w:rsidP="00D03F3E">
      <w:pPr>
        <w:pStyle w:val="Iauiue"/>
        <w:jc w:val="both"/>
        <w:rPr>
          <w:color w:val="000000" w:themeColor="text1"/>
          <w:sz w:val="16"/>
          <w:szCs w:val="16"/>
        </w:rPr>
      </w:pPr>
    </w:p>
    <w:p w14:paraId="2AE9B8E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 мая 1943 г. вышло Постановление ГКО, которое предусматривало (кроме постройки серии самолетов Ил-2И АМ-38Ф) разработку и постройку на авиазаводе № 18 двух экземпляров бронированного истребителя Ил-1 с мотором АМ-42 в одноместном и двухместном вариантах с представлением машин на испытания в июле месяце (9649).</w:t>
      </w:r>
    </w:p>
    <w:p w14:paraId="6367C6AB" w14:textId="77777777" w:rsidR="00531570" w:rsidRPr="00D03F3E" w:rsidRDefault="00531570" w:rsidP="00D03F3E">
      <w:pPr>
        <w:pStyle w:val="Iauiue"/>
        <w:jc w:val="both"/>
        <w:rPr>
          <w:color w:val="000000" w:themeColor="text1"/>
          <w:sz w:val="16"/>
          <w:szCs w:val="16"/>
        </w:rPr>
      </w:pPr>
    </w:p>
    <w:p w14:paraId="1F3D69E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 мая 1943 г. ГКО принял решение о разработке в конструкторском коллективе С.В.Ильюшина нового одноместного бронированного истребителя для малых и средних высот (9528).</w:t>
      </w:r>
    </w:p>
    <w:p w14:paraId="1214D6AE" w14:textId="77777777" w:rsidR="00531570" w:rsidRPr="00D03F3E" w:rsidRDefault="00531570" w:rsidP="00D03F3E">
      <w:pPr>
        <w:pStyle w:val="Iauiue"/>
        <w:jc w:val="both"/>
        <w:rPr>
          <w:color w:val="000000" w:themeColor="text1"/>
          <w:sz w:val="16"/>
          <w:szCs w:val="16"/>
        </w:rPr>
      </w:pPr>
    </w:p>
    <w:p w14:paraId="447C8C2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мая 1943 г. вышло постановление ГКО, которое пре</w:t>
      </w:r>
      <w:r w:rsidRPr="00D03F3E">
        <w:rPr>
          <w:rFonts w:ascii="Times New Roman" w:hAnsi="Times New Roman"/>
          <w:color w:val="000000" w:themeColor="text1"/>
          <w:sz w:val="16"/>
          <w:szCs w:val="16"/>
        </w:rPr>
        <w:softHyphen/>
        <w:t>дусматривало постройку на заводе № 1 Ил-2И (10680).</w:t>
      </w:r>
    </w:p>
    <w:p w14:paraId="791A98A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C60082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мая 1943 г. вышло Постановление ГОКО, кото</w:t>
      </w:r>
      <w:r w:rsidRPr="00D03F3E">
        <w:rPr>
          <w:rFonts w:ascii="Times New Roman" w:hAnsi="Times New Roman"/>
          <w:color w:val="000000" w:themeColor="text1"/>
          <w:sz w:val="16"/>
          <w:szCs w:val="16"/>
        </w:rPr>
        <w:softHyphen/>
        <w:t>рое предусматривало постройку на заводе № 1 50 самолетов Ил-2 с мотором АМ-38ф в истребительном одноместном варианте" (в переписке Ил-2-И или И-Ил-2), двух Ил-2 АМ-42 в истребительном варианте (в пе</w:t>
      </w:r>
      <w:r w:rsidRPr="00D03F3E">
        <w:rPr>
          <w:rFonts w:ascii="Times New Roman" w:hAnsi="Times New Roman"/>
          <w:color w:val="000000" w:themeColor="text1"/>
          <w:sz w:val="16"/>
          <w:szCs w:val="16"/>
        </w:rPr>
        <w:softHyphen/>
        <w:t>реписке Ил-2-2И или 2И-Ил-2) и двух Ил-2 АМ-38ф с "облагороженной аэродинамикой". Кроме этого, на заводе № 18 планировалось пост</w:t>
      </w:r>
      <w:r w:rsidRPr="00D03F3E">
        <w:rPr>
          <w:rFonts w:ascii="Times New Roman" w:hAnsi="Times New Roman"/>
          <w:color w:val="000000" w:themeColor="text1"/>
          <w:sz w:val="16"/>
          <w:szCs w:val="16"/>
        </w:rPr>
        <w:softHyphen/>
        <w:t>роить два экземпляра бронирован</w:t>
      </w:r>
      <w:r w:rsidRPr="00D03F3E">
        <w:rPr>
          <w:rFonts w:ascii="Times New Roman" w:hAnsi="Times New Roman"/>
          <w:color w:val="000000" w:themeColor="text1"/>
          <w:sz w:val="16"/>
          <w:szCs w:val="16"/>
        </w:rPr>
        <w:softHyphen/>
        <w:t>ного истребителя Ил-1 АМ-42 - од</w:t>
      </w:r>
      <w:r w:rsidRPr="00D03F3E">
        <w:rPr>
          <w:rFonts w:ascii="Times New Roman" w:hAnsi="Times New Roman"/>
          <w:color w:val="000000" w:themeColor="text1"/>
          <w:sz w:val="16"/>
          <w:szCs w:val="16"/>
        </w:rPr>
        <w:softHyphen/>
        <w:t>номестный и двухместный. При этом постройка Ил-2М с 18-го авиазаво</w:t>
      </w:r>
      <w:r w:rsidRPr="00D03F3E">
        <w:rPr>
          <w:rFonts w:ascii="Times New Roman" w:hAnsi="Times New Roman"/>
          <w:color w:val="000000" w:themeColor="text1"/>
          <w:sz w:val="16"/>
          <w:szCs w:val="16"/>
        </w:rPr>
        <w:softHyphen/>
        <w:t>да не снималась. Самолеты Ил-2 с моторами АМ-38ф и АМ-42 с улуч</w:t>
      </w:r>
      <w:r w:rsidRPr="00D03F3E">
        <w:rPr>
          <w:rFonts w:ascii="Times New Roman" w:hAnsi="Times New Roman"/>
          <w:color w:val="000000" w:themeColor="text1"/>
          <w:sz w:val="16"/>
          <w:szCs w:val="16"/>
        </w:rPr>
        <w:softHyphen/>
        <w:t>шенной аэродинамикой требовалось предъявить на государственные ис</w:t>
      </w:r>
      <w:r w:rsidRPr="00D03F3E">
        <w:rPr>
          <w:rFonts w:ascii="Times New Roman" w:hAnsi="Times New Roman"/>
          <w:color w:val="000000" w:themeColor="text1"/>
          <w:sz w:val="16"/>
          <w:szCs w:val="16"/>
        </w:rPr>
        <w:softHyphen/>
        <w:t>пытания в августе, а Ил-1 - в июле 1943 г.</w:t>
      </w:r>
    </w:p>
    <w:p w14:paraId="5B24A76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расчетам одноместный бронированный истребитель Ил-2-2И с АМ-42 при полетном весе 5360 кг должен был иметь максимальную ско</w:t>
      </w:r>
      <w:r w:rsidRPr="00D03F3E">
        <w:rPr>
          <w:rFonts w:ascii="Times New Roman" w:hAnsi="Times New Roman"/>
          <w:color w:val="000000" w:themeColor="text1"/>
          <w:sz w:val="16"/>
          <w:szCs w:val="16"/>
        </w:rPr>
        <w:softHyphen/>
        <w:t>рость у земли 440 км/ч и на высоте 1700 м - 460 км/ч. Вооружение включало две пушки ВЯ-23 с боеком</w:t>
      </w:r>
      <w:r w:rsidRPr="00D03F3E">
        <w:rPr>
          <w:rFonts w:ascii="Times New Roman" w:hAnsi="Times New Roman"/>
          <w:color w:val="000000" w:themeColor="text1"/>
          <w:sz w:val="16"/>
          <w:szCs w:val="16"/>
        </w:rPr>
        <w:softHyphen/>
        <w:t>плектом 300 снарядов. Для улучше</w:t>
      </w:r>
      <w:r w:rsidRPr="00D03F3E">
        <w:rPr>
          <w:rFonts w:ascii="Times New Roman" w:hAnsi="Times New Roman"/>
          <w:color w:val="000000" w:themeColor="text1"/>
          <w:sz w:val="16"/>
          <w:szCs w:val="16"/>
        </w:rPr>
        <w:softHyphen/>
        <w:t>ния аэродинамики самолета водо- и маслорадиаторы размещались в од</w:t>
      </w:r>
      <w:r w:rsidRPr="00D03F3E">
        <w:rPr>
          <w:rFonts w:ascii="Times New Roman" w:hAnsi="Times New Roman"/>
          <w:color w:val="000000" w:themeColor="text1"/>
          <w:sz w:val="16"/>
          <w:szCs w:val="16"/>
        </w:rPr>
        <w:softHyphen/>
        <w:t>ном канале внутри бронекорпуса, из</w:t>
      </w:r>
      <w:r w:rsidRPr="00D03F3E">
        <w:rPr>
          <w:rFonts w:ascii="Times New Roman" w:hAnsi="Times New Roman"/>
          <w:color w:val="000000" w:themeColor="text1"/>
          <w:sz w:val="16"/>
          <w:szCs w:val="16"/>
        </w:rPr>
        <w:softHyphen/>
        <w:t>менялась форма кабины пилота, об</w:t>
      </w:r>
      <w:r w:rsidRPr="00D03F3E">
        <w:rPr>
          <w:rFonts w:ascii="Times New Roman" w:hAnsi="Times New Roman"/>
          <w:color w:val="000000" w:themeColor="text1"/>
          <w:sz w:val="16"/>
          <w:szCs w:val="16"/>
        </w:rPr>
        <w:softHyphen/>
        <w:t>лагораживались обтекатели шасси, осуществлялась уборка хвостового колеса, листы обшивки консолей и центроплана крыла устанавливались встык и применялась клепка впотай (11426).</w:t>
      </w:r>
    </w:p>
    <w:p w14:paraId="2836732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BEC987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мая 1943, учитывая положительный опыт боевого применения Ил-2 против бомбардировщиков и транспортных самолетов под Сталинградом, вышло Постановление ГКО, которое предусматривало постройку на заводе № 1 его истребительных одноместных вариантов: 50 Ил-2 с АМ-38ф (Ил-2-И или И-Ил-2) и двух экземпляров Ил-2 с АМ-42 (Ил-2-2И или 2И-Ил-2). Кроме этого, на заводе № 18 планировалось построить два экземпляра бронированного истребителя Ил-1 с АМ-42 - одноместный и двухместный (12020).</w:t>
      </w:r>
    </w:p>
    <w:p w14:paraId="4EA25D1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5D9C38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мая 1943 вышло Постановление ГКО № 3388 Об увеличении выпуска истребителей.РГАНИР, Фонд ГКО, д. 118, лл. 88-89 (11012).</w:t>
      </w:r>
    </w:p>
    <w:p w14:paraId="4E2EBDC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2343E4E"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мая 1943 вышло Постановление ГКО № 3388 Об увеличении выпуска истребителей</w:t>
      </w:r>
    </w:p>
    <w:p w14:paraId="5947388F" w14:textId="77777777" w:rsidR="000449CB" w:rsidRPr="00D03F3E" w:rsidRDefault="000449CB" w:rsidP="00D03F3E">
      <w:pPr>
        <w:pStyle w:val="36"/>
        <w:shd w:val="clear" w:color="auto" w:fill="auto"/>
        <w:tabs>
          <w:tab w:val="left" w:pos="1368"/>
        </w:tabs>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2. Считать важнейшей военно-хозяйственной задачей Нар</w:t>
      </w:r>
      <w:r w:rsidRPr="00D03F3E">
        <w:rPr>
          <w:rFonts w:ascii="Times New Roman" w:cs="Times New Roman"/>
          <w:color w:val="000000" w:themeColor="text1"/>
          <w:spacing w:val="0"/>
          <w:sz w:val="16"/>
          <w:szCs w:val="16"/>
        </w:rPr>
        <w:softHyphen/>
        <w:t>комата авиационной промышленности увеличение выпуска истреби</w:t>
      </w:r>
      <w:r w:rsidRPr="00D03F3E">
        <w:rPr>
          <w:rFonts w:ascii="Times New Roman" w:cs="Times New Roman"/>
          <w:color w:val="000000" w:themeColor="text1"/>
          <w:spacing w:val="0"/>
          <w:sz w:val="16"/>
          <w:szCs w:val="16"/>
        </w:rPr>
        <w:softHyphen/>
        <w:t>телей.</w:t>
      </w:r>
    </w:p>
    <w:p w14:paraId="1C51BA77" w14:textId="77777777" w:rsidR="000449CB" w:rsidRPr="00D03F3E"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Обязать НКАП - т.Шахурина бее уменьшения выпуска штурмо</w:t>
      </w:r>
      <w:r w:rsidRPr="00D03F3E">
        <w:rPr>
          <w:rFonts w:ascii="Times New Roman" w:cs="Times New Roman"/>
          <w:color w:val="000000" w:themeColor="text1"/>
          <w:spacing w:val="0"/>
          <w:sz w:val="16"/>
          <w:szCs w:val="16"/>
        </w:rPr>
        <w:softHyphen/>
        <w:t>виков и бомбардировщиков обеспечить производство истребителей в следующих количествах:</w:t>
      </w:r>
    </w:p>
    <w:p w14:paraId="066B2C05" w14:textId="77777777" w:rsidR="000449CB" w:rsidRPr="00D03F3E"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в июне - 50 самолетов в день в июле - 54 самолета в день в августе - 60 самолетов в день.</w:t>
      </w:r>
    </w:p>
    <w:p w14:paraId="5884658D" w14:textId="77777777" w:rsidR="000449CB" w:rsidRPr="00D03F3E" w:rsidRDefault="000449CB" w:rsidP="00D03F3E">
      <w:pPr>
        <w:framePr w:w="1787" w:h="953" w:wrap="around" w:hAnchor="margin" w:x="5873" w:y="-187"/>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w:t>
      </w:r>
    </w:p>
    <w:p w14:paraId="6A38B2BA" w14:textId="77777777" w:rsidR="000449CB" w:rsidRPr="00D03F3E" w:rsidRDefault="000449CB" w:rsidP="00D03F3E">
      <w:pPr>
        <w:framePr w:w="1787" w:h="953" w:wrap="around" w:hAnchor="margin" w:x="5873" w:y="-187"/>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ЩсШШ\</w:t>
      </w:r>
    </w:p>
    <w:p w14:paraId="1C2D87FA" w14:textId="77777777" w:rsidR="000449CB" w:rsidRPr="00D03F3E" w:rsidRDefault="000449CB" w:rsidP="00D03F3E">
      <w:pPr>
        <w:pStyle w:val="36"/>
        <w:shd w:val="clear" w:color="auto" w:fill="auto"/>
        <w:tabs>
          <w:tab w:val="left" w:pos="1390"/>
        </w:tabs>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2. Утвердить истребительным заводам НКАП следующие за</w:t>
      </w:r>
      <w:r w:rsidRPr="00D03F3E">
        <w:rPr>
          <w:rFonts w:ascii="Times New Roman" w:cs="Times New Roman"/>
          <w:color w:val="000000" w:themeColor="text1"/>
          <w:spacing w:val="0"/>
          <w:sz w:val="16"/>
          <w:szCs w:val="16"/>
        </w:rPr>
        <w:softHyphen/>
        <w:t>дания по ежесуточному выпуску истребителей.</w:t>
      </w:r>
    </w:p>
    <w:p w14:paraId="19C645B5" w14:textId="77777777" w:rsidR="000449CB" w:rsidRPr="00D03F3E"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Style w:val="16"/>
          <w:rFonts w:ascii="Times New Roman" w:cs="Times New Roman"/>
          <w:color w:val="000000" w:themeColor="text1"/>
          <w:spacing w:val="0"/>
        </w:rPr>
        <w:t>План ежесуточного выпуска истребителей</w:t>
      </w:r>
    </w:p>
    <w:p w14:paraId="666CF9F5"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 заводов</w:t>
      </w:r>
      <w:r w:rsidRPr="00D03F3E">
        <w:rPr>
          <w:rFonts w:ascii="Times New Roman" w:hAnsi="Times New Roman"/>
          <w:color w:val="000000" w:themeColor="text1"/>
          <w:sz w:val="16"/>
          <w:szCs w:val="16"/>
        </w:rPr>
        <w:tab/>
        <w:t>Июнь</w:t>
      </w:r>
      <w:r w:rsidRPr="00D03F3E">
        <w:rPr>
          <w:rFonts w:ascii="Times New Roman" w:hAnsi="Times New Roman"/>
          <w:color w:val="000000" w:themeColor="text1"/>
          <w:sz w:val="16"/>
          <w:szCs w:val="16"/>
        </w:rPr>
        <w:tab/>
        <w:t>Июль</w:t>
      </w:r>
      <w:r w:rsidRPr="00D03F3E">
        <w:rPr>
          <w:rFonts w:ascii="Times New Roman" w:hAnsi="Times New Roman"/>
          <w:color w:val="000000" w:themeColor="text1"/>
          <w:sz w:val="16"/>
          <w:szCs w:val="16"/>
        </w:rPr>
        <w:tab/>
        <w:t>Август</w:t>
      </w:r>
    </w:p>
    <w:p w14:paraId="7DBE1799"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г. Горький</w:t>
      </w:r>
      <w:r w:rsidRPr="00D03F3E">
        <w:rPr>
          <w:rFonts w:ascii="Times New Roman" w:hAnsi="Times New Roman"/>
          <w:color w:val="000000" w:themeColor="text1"/>
          <w:sz w:val="16"/>
          <w:szCs w:val="16"/>
        </w:rPr>
        <w:tab/>
        <w:t>15</w:t>
      </w:r>
      <w:r w:rsidRPr="00D03F3E">
        <w:rPr>
          <w:rFonts w:ascii="Times New Roman" w:hAnsi="Times New Roman"/>
          <w:color w:val="000000" w:themeColor="text1"/>
          <w:sz w:val="16"/>
          <w:szCs w:val="16"/>
        </w:rPr>
        <w:tab/>
        <w:t>15</w:t>
      </w:r>
      <w:r w:rsidRPr="00D03F3E">
        <w:rPr>
          <w:rFonts w:ascii="Times New Roman" w:hAnsi="Times New Roman"/>
          <w:color w:val="000000" w:themeColor="text1"/>
          <w:sz w:val="16"/>
          <w:szCs w:val="16"/>
        </w:rPr>
        <w:tab/>
        <w:t>15</w:t>
      </w:r>
    </w:p>
    <w:p w14:paraId="009C427F"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г. Тбилиси</w:t>
      </w:r>
      <w:r w:rsidRPr="00D03F3E">
        <w:rPr>
          <w:rFonts w:ascii="Times New Roman" w:hAnsi="Times New Roman"/>
          <w:color w:val="000000" w:themeColor="text1"/>
          <w:sz w:val="16"/>
          <w:szCs w:val="16"/>
        </w:rPr>
        <w:tab/>
        <w:t>4</w:t>
      </w:r>
      <w:r w:rsidRPr="00D03F3E">
        <w:rPr>
          <w:rFonts w:ascii="Times New Roman" w:hAnsi="Times New Roman"/>
          <w:color w:val="000000" w:themeColor="text1"/>
          <w:sz w:val="16"/>
          <w:szCs w:val="16"/>
        </w:rPr>
        <w:tab/>
        <w:t>5</w:t>
      </w:r>
      <w:r w:rsidRPr="00D03F3E">
        <w:rPr>
          <w:rFonts w:ascii="Times New Roman" w:hAnsi="Times New Roman"/>
          <w:color w:val="000000" w:themeColor="text1"/>
          <w:sz w:val="16"/>
          <w:szCs w:val="16"/>
        </w:rPr>
        <w:tab/>
        <w:t>5</w:t>
      </w:r>
    </w:p>
    <w:p w14:paraId="05AFA3A2"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82 г. Москва</w:t>
      </w:r>
      <w:r w:rsidRPr="00D03F3E">
        <w:rPr>
          <w:rFonts w:ascii="Times New Roman" w:hAnsi="Times New Roman"/>
          <w:color w:val="000000" w:themeColor="text1"/>
          <w:sz w:val="16"/>
          <w:szCs w:val="16"/>
        </w:rPr>
        <w:tab/>
        <w:t>2</w:t>
      </w:r>
      <w:r w:rsidRPr="00D03F3E">
        <w:rPr>
          <w:rFonts w:ascii="Times New Roman" w:hAnsi="Times New Roman"/>
          <w:color w:val="000000" w:themeColor="text1"/>
          <w:sz w:val="16"/>
          <w:szCs w:val="16"/>
        </w:rPr>
        <w:tab/>
        <w:t>3</w:t>
      </w:r>
      <w:r w:rsidRPr="00D03F3E">
        <w:rPr>
          <w:rFonts w:ascii="Times New Roman" w:hAnsi="Times New Roman"/>
          <w:color w:val="000000" w:themeColor="text1"/>
          <w:sz w:val="16"/>
          <w:szCs w:val="16"/>
        </w:rPr>
        <w:tab/>
        <w:t>4</w:t>
      </w:r>
    </w:p>
    <w:p w14:paraId="3E2538BF"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153 г. Новосибирск</w:t>
      </w:r>
      <w:r w:rsidRPr="00D03F3E">
        <w:rPr>
          <w:rFonts w:ascii="Times New Roman" w:hAnsi="Times New Roman"/>
          <w:color w:val="000000" w:themeColor="text1"/>
          <w:sz w:val="16"/>
          <w:szCs w:val="16"/>
        </w:rPr>
        <w:tab/>
        <w:t>15</w:t>
      </w:r>
      <w:r w:rsidRPr="00D03F3E">
        <w:rPr>
          <w:rFonts w:ascii="Times New Roman" w:hAnsi="Times New Roman"/>
          <w:color w:val="000000" w:themeColor="text1"/>
          <w:sz w:val="16"/>
          <w:szCs w:val="16"/>
        </w:rPr>
        <w:tab/>
        <w:t>15</w:t>
      </w:r>
      <w:r w:rsidRPr="00D03F3E">
        <w:rPr>
          <w:rFonts w:ascii="Times New Roman" w:hAnsi="Times New Roman"/>
          <w:color w:val="000000" w:themeColor="text1"/>
          <w:sz w:val="16"/>
          <w:szCs w:val="16"/>
        </w:rPr>
        <w:tab/>
        <w:t>16</w:t>
      </w:r>
    </w:p>
    <w:p w14:paraId="34FED3E2"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166 г. Омск</w:t>
      </w:r>
      <w:r w:rsidRPr="00D03F3E">
        <w:rPr>
          <w:rFonts w:ascii="Times New Roman" w:hAnsi="Times New Roman"/>
          <w:color w:val="000000" w:themeColor="text1"/>
          <w:sz w:val="16"/>
          <w:szCs w:val="16"/>
        </w:rPr>
        <w:tab/>
        <w:t>2</w:t>
      </w:r>
      <w:r w:rsidRPr="00D03F3E">
        <w:rPr>
          <w:rFonts w:ascii="Times New Roman" w:hAnsi="Times New Roman"/>
          <w:color w:val="000000" w:themeColor="text1"/>
          <w:sz w:val="16"/>
          <w:szCs w:val="16"/>
        </w:rPr>
        <w:tab/>
        <w:t>3</w:t>
      </w:r>
      <w:r w:rsidRPr="00D03F3E">
        <w:rPr>
          <w:rFonts w:ascii="Times New Roman" w:hAnsi="Times New Roman"/>
          <w:color w:val="000000" w:themeColor="text1"/>
          <w:sz w:val="16"/>
          <w:szCs w:val="16"/>
        </w:rPr>
        <w:tab/>
        <w:t>5</w:t>
      </w:r>
    </w:p>
    <w:p w14:paraId="2F134D2F"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292. г. Саратов</w:t>
      </w:r>
      <w:r w:rsidRPr="00D03F3E">
        <w:rPr>
          <w:rFonts w:ascii="Times New Roman" w:hAnsi="Times New Roman"/>
          <w:color w:val="000000" w:themeColor="text1"/>
          <w:sz w:val="16"/>
          <w:szCs w:val="16"/>
        </w:rPr>
        <w:tab/>
        <w:t>12</w:t>
      </w:r>
      <w:r w:rsidRPr="00D03F3E">
        <w:rPr>
          <w:rFonts w:ascii="Times New Roman" w:hAnsi="Times New Roman"/>
          <w:color w:val="000000" w:themeColor="text1"/>
          <w:sz w:val="16"/>
          <w:szCs w:val="16"/>
        </w:rPr>
        <w:tab/>
        <w:t>12</w:t>
      </w:r>
      <w:r w:rsidRPr="00D03F3E">
        <w:rPr>
          <w:rFonts w:ascii="Times New Roman" w:hAnsi="Times New Roman"/>
          <w:color w:val="000000" w:themeColor="text1"/>
          <w:sz w:val="16"/>
          <w:szCs w:val="16"/>
        </w:rPr>
        <w:tab/>
        <w:t>12</w:t>
      </w:r>
    </w:p>
    <w:p w14:paraId="1284D3E0"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381 г. Москва</w:t>
      </w:r>
      <w:r w:rsidRPr="00D03F3E">
        <w:rPr>
          <w:rFonts w:ascii="Times New Roman" w:hAnsi="Times New Roman"/>
          <w:color w:val="000000" w:themeColor="text1"/>
          <w:sz w:val="16"/>
          <w:szCs w:val="16"/>
        </w:rPr>
        <w:tab/>
        <w:t>-</w:t>
      </w:r>
      <w:r w:rsidRPr="00D03F3E">
        <w:rPr>
          <w:rFonts w:ascii="Times New Roman" w:hAnsi="Times New Roman"/>
          <w:color w:val="000000" w:themeColor="text1"/>
          <w:sz w:val="16"/>
          <w:szCs w:val="16"/>
        </w:rPr>
        <w:tab/>
        <w:t>13</w:t>
      </w:r>
    </w:p>
    <w:p w14:paraId="0CC0FD03"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r w:rsidRPr="00D03F3E">
        <w:rPr>
          <w:rFonts w:ascii="Times New Roman" w:hAnsi="Times New Roman"/>
          <w:color w:val="000000" w:themeColor="text1"/>
          <w:sz w:val="16"/>
          <w:szCs w:val="16"/>
        </w:rPr>
        <w:tab/>
        <w:t>50</w:t>
      </w:r>
      <w:r w:rsidRPr="00D03F3E">
        <w:rPr>
          <w:rFonts w:ascii="Times New Roman" w:hAnsi="Times New Roman"/>
          <w:color w:val="000000" w:themeColor="text1"/>
          <w:sz w:val="16"/>
          <w:szCs w:val="16"/>
        </w:rPr>
        <w:tab/>
        <w:t>54</w:t>
      </w:r>
      <w:r w:rsidRPr="00D03F3E">
        <w:rPr>
          <w:rFonts w:ascii="Times New Roman" w:hAnsi="Times New Roman"/>
          <w:color w:val="000000" w:themeColor="text1"/>
          <w:sz w:val="16"/>
          <w:szCs w:val="16"/>
        </w:rPr>
        <w:tab/>
        <w:t>60</w:t>
      </w:r>
    </w:p>
    <w:p w14:paraId="62B71E40"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Обязать НКАП и директора завода № 381 обеспечить выпуск в июне месяце 10 самолетов Ла-5; в июле по одному самолету в день и в августе по три самолета в день.</w:t>
      </w:r>
    </w:p>
    <w:p w14:paraId="26106600" w14:textId="77777777" w:rsidR="000449CB" w:rsidRPr="00D03F3E" w:rsidRDefault="000449CB" w:rsidP="00D03F3E">
      <w:pPr>
        <w:tabs>
          <w:tab w:val="left" w:pos="101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xml:space="preserve">4. Обяэать НКАП - т.Воронина перевести </w:t>
      </w:r>
      <w:r w:rsidRPr="00D03F3E">
        <w:rPr>
          <w:rStyle w:val="0pt"/>
          <w:rFonts w:ascii="Times New Roman" w:hAnsi="Times New Roman" w:cs="Times New Roman"/>
          <w:color w:val="000000" w:themeColor="text1"/>
          <w:spacing w:val="0"/>
          <w:sz w:val="16"/>
          <w:szCs w:val="16"/>
        </w:rPr>
        <w:t>1000</w:t>
      </w:r>
      <w:r w:rsidRPr="00D03F3E">
        <w:rPr>
          <w:rFonts w:ascii="Times New Roman" w:hAnsi="Times New Roman"/>
          <w:color w:val="000000" w:themeColor="text1"/>
          <w:sz w:val="16"/>
          <w:szCs w:val="16"/>
        </w:rPr>
        <w:t xml:space="preserve"> человек рабочих на завод № 82 за счет завода № </w:t>
      </w:r>
      <w:r w:rsidRPr="00D03F3E">
        <w:rPr>
          <w:rStyle w:val="0pt"/>
          <w:rFonts w:ascii="Times New Roman" w:hAnsi="Times New Roman" w:cs="Times New Roman"/>
          <w:color w:val="000000" w:themeColor="text1"/>
          <w:spacing w:val="0"/>
          <w:sz w:val="16"/>
          <w:szCs w:val="16"/>
        </w:rPr>
        <w:t>381</w:t>
      </w:r>
      <w:r w:rsidRPr="00D03F3E">
        <w:rPr>
          <w:rFonts w:ascii="Times New Roman" w:hAnsi="Times New Roman"/>
          <w:color w:val="000000" w:themeColor="text1"/>
          <w:sz w:val="16"/>
          <w:szCs w:val="16"/>
        </w:rPr>
        <w:t xml:space="preserve"> и </w:t>
      </w:r>
      <w:r w:rsidRPr="00D03F3E">
        <w:rPr>
          <w:rStyle w:val="0pt"/>
          <w:rFonts w:ascii="Times New Roman" w:hAnsi="Times New Roman" w:cs="Times New Roman"/>
          <w:color w:val="000000" w:themeColor="text1"/>
          <w:spacing w:val="0"/>
          <w:sz w:val="16"/>
          <w:szCs w:val="16"/>
        </w:rPr>
        <w:t>25</w:t>
      </w:r>
      <w:r w:rsidRPr="00D03F3E">
        <w:rPr>
          <w:rFonts w:ascii="Times New Roman" w:hAnsi="Times New Roman"/>
          <w:color w:val="000000" w:themeColor="text1"/>
          <w:sz w:val="16"/>
          <w:szCs w:val="16"/>
        </w:rPr>
        <w:t xml:space="preserve"> медников с заводов № № 30 и 89 и др. до 25 мая с.г.</w:t>
      </w:r>
    </w:p>
    <w:p w14:paraId="5E25E54A" w14:textId="77777777" w:rsidR="000449CB" w:rsidRPr="00D03F3E" w:rsidRDefault="000449CB" w:rsidP="00D03F3E">
      <w:pPr>
        <w:tabs>
          <w:tab w:val="left" w:pos="102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Обязать наркома электростанций т.Жимерина обеспе</w:t>
      </w:r>
      <w:r w:rsidRPr="00D03F3E">
        <w:rPr>
          <w:rFonts w:ascii="Times New Roman" w:hAnsi="Times New Roman"/>
          <w:color w:val="000000" w:themeColor="text1"/>
          <w:sz w:val="16"/>
          <w:szCs w:val="16"/>
        </w:rPr>
        <w:softHyphen/>
        <w:t>чивать при всех условиях электроэнергией заводы НКАП, находя</w:t>
      </w:r>
      <w:r w:rsidRPr="00D03F3E">
        <w:rPr>
          <w:rFonts w:ascii="Times New Roman" w:hAnsi="Times New Roman"/>
          <w:color w:val="000000" w:themeColor="text1"/>
          <w:sz w:val="16"/>
          <w:szCs w:val="16"/>
        </w:rPr>
        <w:softHyphen/>
        <w:t xml:space="preserve">щиеся в г.Омске №№ </w:t>
      </w:r>
      <w:r w:rsidRPr="00D03F3E">
        <w:rPr>
          <w:rStyle w:val="0pt"/>
          <w:rFonts w:ascii="Times New Roman" w:hAnsi="Times New Roman" w:cs="Times New Roman"/>
          <w:color w:val="000000" w:themeColor="text1"/>
          <w:spacing w:val="0"/>
          <w:sz w:val="16"/>
          <w:szCs w:val="16"/>
        </w:rPr>
        <w:t>166, 29 и 20.</w:t>
      </w:r>
      <w:r w:rsidRPr="00D03F3E">
        <w:rPr>
          <w:rFonts w:ascii="Times New Roman" w:hAnsi="Times New Roman"/>
          <w:color w:val="000000" w:themeColor="text1"/>
          <w:sz w:val="16"/>
          <w:szCs w:val="16"/>
        </w:rPr>
        <w:t xml:space="preserve"> Предупредить т.Жимерина, что он лично отвечает перед Государственным Комитетом Обо</w:t>
      </w:r>
      <w:r w:rsidRPr="00D03F3E">
        <w:rPr>
          <w:rFonts w:ascii="Times New Roman" w:hAnsi="Times New Roman"/>
          <w:color w:val="000000" w:themeColor="text1"/>
          <w:sz w:val="16"/>
          <w:szCs w:val="16"/>
        </w:rPr>
        <w:softHyphen/>
        <w:t>роны за выполнение настоящего решения.</w:t>
      </w:r>
    </w:p>
    <w:p w14:paraId="6EDA392C" w14:textId="77777777" w:rsidR="000449CB" w:rsidRPr="00D03F3E" w:rsidRDefault="000449C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6. Обязать Наркомтяхмаш - т.Казакова обеспечить полную потребность в кислороде заводов </w:t>
      </w:r>
      <w:r w:rsidRPr="00D03F3E">
        <w:rPr>
          <w:rStyle w:val="16"/>
          <w:rFonts w:ascii="Times New Roman" w:hAnsi="Times New Roman" w:cs="Times New Roman"/>
          <w:color w:val="000000" w:themeColor="text1"/>
          <w:spacing w:val="0"/>
        </w:rPr>
        <w:t>НКАП</w:t>
      </w:r>
      <w:r w:rsidRPr="00D03F3E">
        <w:rPr>
          <w:rStyle w:val="0pt"/>
          <w:rFonts w:ascii="Times New Roman" w:hAnsi="Times New Roman" w:cs="Times New Roman"/>
          <w:color w:val="000000" w:themeColor="text1"/>
          <w:spacing w:val="0"/>
          <w:sz w:val="16"/>
          <w:szCs w:val="16"/>
        </w:rPr>
        <w:t xml:space="preserve"> № № 166, 29, 20 и </w:t>
      </w:r>
      <w:r w:rsidRPr="00D03F3E">
        <w:rPr>
          <w:rFonts w:ascii="Times New Roman" w:hAnsi="Times New Roman"/>
          <w:color w:val="000000" w:themeColor="text1"/>
          <w:sz w:val="16"/>
          <w:szCs w:val="16"/>
        </w:rPr>
        <w:t xml:space="preserve">стройтреста </w:t>
      </w:r>
      <w:r w:rsidRPr="00D03F3E">
        <w:rPr>
          <w:rFonts w:ascii="Times New Roman" w:hAnsi="Times New Roman"/>
          <w:color w:val="000000" w:themeColor="text1"/>
          <w:sz w:val="16"/>
          <w:szCs w:val="16"/>
          <w:lang w:val="en-US"/>
        </w:rPr>
        <w:t>JP</w:t>
      </w:r>
      <w:r w:rsidRPr="00D03F3E">
        <w:rPr>
          <w:rFonts w:ascii="Times New Roman" w:hAnsi="Times New Roman"/>
          <w:color w:val="000000" w:themeColor="text1"/>
          <w:sz w:val="16"/>
          <w:szCs w:val="16"/>
        </w:rPr>
        <w:t xml:space="preserve"> 2, находящихся в г.Омске. Предупредить т.Ка</w:t>
      </w:r>
      <w:r w:rsidRPr="00D03F3E">
        <w:rPr>
          <w:rFonts w:ascii="Times New Roman" w:hAnsi="Times New Roman"/>
          <w:color w:val="000000" w:themeColor="text1"/>
          <w:sz w:val="16"/>
          <w:szCs w:val="16"/>
        </w:rPr>
        <w:softHyphen/>
        <w:t>закова, что он лично отвечает перед Государственным Комите</w:t>
      </w:r>
      <w:r w:rsidRPr="00D03F3E">
        <w:rPr>
          <w:rFonts w:ascii="Times New Roman" w:hAnsi="Times New Roman"/>
          <w:color w:val="000000" w:themeColor="text1"/>
          <w:sz w:val="16"/>
          <w:szCs w:val="16"/>
        </w:rPr>
        <w:softHyphen/>
        <w:t>том Обороны за выполнение настоящего решения (10398).</w:t>
      </w:r>
    </w:p>
    <w:p w14:paraId="44D03F66" w14:textId="77777777" w:rsidR="000449CB" w:rsidRPr="00D03F3E" w:rsidRDefault="000449CB" w:rsidP="00D03F3E">
      <w:pPr>
        <w:spacing w:after="0" w:line="240" w:lineRule="auto"/>
        <w:jc w:val="both"/>
        <w:rPr>
          <w:rFonts w:ascii="Times New Roman" w:hAnsi="Times New Roman"/>
          <w:color w:val="000000" w:themeColor="text1"/>
          <w:sz w:val="16"/>
          <w:szCs w:val="16"/>
        </w:rPr>
      </w:pPr>
    </w:p>
    <w:p w14:paraId="041D13F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 мая 1943 ГКО постановлением N 3388 посчитал важнейшей военно-хозяйственной задачей НКАП увеличение выпуска истребителей и обязал, без уменьшения выпуска штурмовиков и бомбардировщиков, обеспечить производство истребителей в количествах до 60 в день с августа 1943 (1711,151).</w:t>
      </w:r>
    </w:p>
    <w:p w14:paraId="6A945B8C" w14:textId="77777777" w:rsidR="00531570" w:rsidRPr="00D03F3E" w:rsidRDefault="00531570" w:rsidP="00D03F3E">
      <w:pPr>
        <w:pStyle w:val="Iauiue"/>
        <w:jc w:val="both"/>
        <w:rPr>
          <w:color w:val="000000" w:themeColor="text1"/>
          <w:sz w:val="16"/>
          <w:szCs w:val="16"/>
        </w:rPr>
      </w:pPr>
    </w:p>
    <w:p w14:paraId="5889021E" w14:textId="77777777" w:rsidR="00BE614C" w:rsidRPr="00D03F3E" w:rsidRDefault="00BE61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мая 1943 г. посол Панюшкин ознакомил и.о. министра иностранных дел У Гожэня с памятной запиской правительства СССР по вопросу об авиазаводе. Китаец сказал, что он в свою очередь хотел бы обратить внимание на следующие два обстоятельства: «Во-первых, у него создалось впечатление, что как будто китайская сторона просила советскую сторону дать проект соглашения об авиазаводе, а потом выяснилось, что яко</w:t>
      </w:r>
      <w:r w:rsidRPr="00D03F3E">
        <w:rPr>
          <w:rFonts w:ascii="Times New Roman" w:hAnsi="Times New Roman"/>
          <w:color w:val="000000" w:themeColor="text1"/>
          <w:sz w:val="16"/>
          <w:szCs w:val="16"/>
        </w:rPr>
        <w:softHyphen/>
        <w:t>бы советская сторона просит китайскую сторону дать соответствующий проект. По мне</w:t>
      </w:r>
      <w:r w:rsidRPr="00D03F3E">
        <w:rPr>
          <w:rFonts w:ascii="Times New Roman" w:hAnsi="Times New Roman"/>
          <w:color w:val="000000" w:themeColor="text1"/>
          <w:sz w:val="16"/>
          <w:szCs w:val="16"/>
        </w:rPr>
        <w:softHyphen/>
        <w:t>нию У Гожэня, благодаря чисто формальной стороне возникло недоразумение, которое затянуло переговоры и привело к нынешнему состоянию дел».</w:t>
      </w:r>
    </w:p>
    <w:p w14:paraId="1B232732" w14:textId="77777777" w:rsidR="00BE614C" w:rsidRPr="00D03F3E" w:rsidRDefault="00BE61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Посол ответил, что по вопросу о проекте он два раза (22 и 26 января с.г.) беседовал с министром Сун Цзывэнем и каждый раз указывал, что не советская сторона собира</w:t>
      </w:r>
      <w:r w:rsidRPr="00D03F3E">
        <w:rPr>
          <w:rFonts w:ascii="Times New Roman" w:hAnsi="Times New Roman"/>
          <w:color w:val="000000" w:themeColor="text1"/>
          <w:sz w:val="16"/>
          <w:szCs w:val="16"/>
        </w:rPr>
        <w:softHyphen/>
        <w:t>ется дать проект соглашения об авиазаводе, а, наоборот, советская сторона ждет это</w:t>
      </w:r>
      <w:r w:rsidRPr="00D03F3E">
        <w:rPr>
          <w:rFonts w:ascii="Times New Roman" w:hAnsi="Times New Roman"/>
          <w:color w:val="000000" w:themeColor="text1"/>
          <w:sz w:val="16"/>
          <w:szCs w:val="16"/>
        </w:rPr>
        <w:softHyphen/>
        <w:t>го проекта от китайской стороны. Он напомнил, что... между ним и министром Сун Цзы</w:t>
      </w:r>
      <w:r w:rsidRPr="00D03F3E">
        <w:rPr>
          <w:rFonts w:ascii="Times New Roman" w:hAnsi="Times New Roman"/>
          <w:color w:val="000000" w:themeColor="text1"/>
          <w:sz w:val="16"/>
          <w:szCs w:val="16"/>
        </w:rPr>
        <w:softHyphen/>
        <w:t>вэнем произошел разговор, в котором посол заявил, что советская сторона, если китай</w:t>
      </w:r>
      <w:r w:rsidRPr="00D03F3E">
        <w:rPr>
          <w:rFonts w:ascii="Times New Roman" w:hAnsi="Times New Roman"/>
          <w:color w:val="000000" w:themeColor="text1"/>
          <w:sz w:val="16"/>
          <w:szCs w:val="16"/>
        </w:rPr>
        <w:softHyphen/>
        <w:t>ское правительство найдёт нужным ставить этот вопрос, ждёт проекта соглашения об авиазаводе в Синьцзяне. У Гожэнь сослался на то, что в этом вопросе не было взаим</w:t>
      </w:r>
      <w:r w:rsidRPr="00D03F3E">
        <w:rPr>
          <w:rFonts w:ascii="Times New Roman" w:hAnsi="Times New Roman"/>
          <w:color w:val="000000" w:themeColor="text1"/>
          <w:sz w:val="16"/>
          <w:szCs w:val="16"/>
        </w:rPr>
        <w:softHyphen/>
        <w:t>ного понимания обеих сторон и это обстоятельство привело к тому, что обе стороны вы</w:t>
      </w:r>
      <w:r w:rsidRPr="00D03F3E">
        <w:rPr>
          <w:rFonts w:ascii="Times New Roman" w:hAnsi="Times New Roman"/>
          <w:color w:val="000000" w:themeColor="text1"/>
          <w:sz w:val="16"/>
          <w:szCs w:val="16"/>
        </w:rPr>
        <w:softHyphen/>
        <w:t>жидали друг друга».</w:t>
      </w:r>
    </w:p>
    <w:p w14:paraId="2EA36B07" w14:textId="77777777" w:rsidR="00BE614C" w:rsidRPr="00D03F3E" w:rsidRDefault="00BE61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Далее У Гожэнь сказал, что «он хотел бы внести ясность относительно информации об отношении синьцзянских властей к авиазаводу и нефтекомбинату. У Гожэнь заявил, что та информация, которой он располагает, полностью противоположна той, которая была сообщена мною... Вопрос не в умышленном торможении и чинении всяких препятствий синьцзянскими властями авиазаводу и нефтекомбинату, а, пожалуй, в том, что этот во</w:t>
      </w:r>
      <w:r w:rsidRPr="00D03F3E">
        <w:rPr>
          <w:rFonts w:ascii="Times New Roman" w:hAnsi="Times New Roman"/>
          <w:color w:val="000000" w:themeColor="text1"/>
          <w:sz w:val="16"/>
          <w:szCs w:val="16"/>
        </w:rPr>
        <w:softHyphen/>
        <w:t>прос недостаточно выяснен обеими сторонами...»</w:t>
      </w:r>
    </w:p>
    <w:p w14:paraId="4E4DB86B" w14:textId="77777777" w:rsidR="00BE614C" w:rsidRPr="00D03F3E" w:rsidRDefault="00BE61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 посла: «Во время беседы У Гожэнь сильно нервничал. Он все время менялся в лице, не находил слов для беседы. Совершенно очевидно, что У не ожидал такого ответа на вопросы, поставленные им передо мной при встрече 6 мая с.г. (15811).</w:t>
      </w:r>
    </w:p>
    <w:p w14:paraId="16A8C8A6" w14:textId="77777777" w:rsidR="00BE614C" w:rsidRPr="00D03F3E" w:rsidRDefault="00BE614C" w:rsidP="00D03F3E">
      <w:pPr>
        <w:spacing w:after="0" w:line="240" w:lineRule="auto"/>
        <w:jc w:val="both"/>
        <w:rPr>
          <w:rFonts w:ascii="Times New Roman" w:hAnsi="Times New Roman"/>
          <w:color w:val="000000" w:themeColor="text1"/>
          <w:sz w:val="16"/>
          <w:szCs w:val="16"/>
        </w:rPr>
      </w:pPr>
    </w:p>
    <w:p w14:paraId="642651BC"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2D1A7370" w14:textId="77777777" w:rsidR="00531570" w:rsidRPr="00D03F3E" w:rsidRDefault="00531570" w:rsidP="00D03F3E">
      <w:pPr>
        <w:pStyle w:val="Iauiue"/>
        <w:jc w:val="both"/>
        <w:rPr>
          <w:iCs/>
          <w:color w:val="000000" w:themeColor="text1"/>
          <w:sz w:val="16"/>
          <w:szCs w:val="16"/>
        </w:rPr>
      </w:pPr>
    </w:p>
    <w:p w14:paraId="6ACB56D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мая 1943 г. были проведены испытания установки СУ-76М, которые показали вполне надежную работу трансмиссии. Машина поступила в серийное производство сразу на трех заводах (№ 38, 40 и ГАЗ), которое продолжалось до ноября 1945 г. В 1944 г., когда производство нкового вооружения в СССР достигло своего максимума, выпуск самоходных установок СУ-76М количественно составлял существенную долю объема всего производства бронетанкового вооружения и техники. Во исполнении решения ГКО по установке на легкую самоходную установку одного (вместо двух) двигателя на Горьковском автозаводе были разработаны и в 1943 г. изготовлены опытные образцы установок СУ-74А и СУ-74Д. Самоходная установка СУ-74А была разработана на едином ированном шасси (имевшем наименование СУ-74) с передним ением моторно-трансмиссионного отделения с карбюраторным двигателем ЗИС-16Ф и отделения управления. В кормовой части корпуса машины в броневой рубке была установлена 76,2-мм пушка Ф-34. Кроме того, на основе использования унифицированного шасси СУ-74 в КБ автозавода были раз</w:t>
      </w:r>
      <w:r w:rsidRPr="00D03F3E">
        <w:rPr>
          <w:rFonts w:ascii="Times New Roman" w:hAnsi="Times New Roman"/>
          <w:color w:val="000000" w:themeColor="text1"/>
          <w:sz w:val="16"/>
          <w:szCs w:val="16"/>
        </w:rPr>
        <w:softHyphen/>
        <w:t>работаны самоходная установка СУ-57Б (СУ-74Б) с 57-мм пушкой ЗИС-4, самоходная зенитная установка и артиллерийский тягач. Однако инзкая удельная мощность и отсутствие преимуществ, по сравнению с са</w:t>
      </w:r>
      <w:r w:rsidRPr="00D03F3E">
        <w:rPr>
          <w:rFonts w:ascii="Times New Roman" w:hAnsi="Times New Roman"/>
          <w:color w:val="000000" w:themeColor="text1"/>
          <w:sz w:val="16"/>
          <w:szCs w:val="16"/>
        </w:rPr>
        <w:softHyphen/>
        <w:t>моходной установкой СУ-76, определили нецелесообразность продолже</w:t>
      </w:r>
      <w:r w:rsidRPr="00D03F3E">
        <w:rPr>
          <w:rFonts w:ascii="Times New Roman" w:hAnsi="Times New Roman"/>
          <w:color w:val="000000" w:themeColor="text1"/>
          <w:sz w:val="16"/>
          <w:szCs w:val="16"/>
        </w:rPr>
        <w:softHyphen/>
        <w:t>ния дальнейших работ над данной машиной (10703).</w:t>
      </w:r>
    </w:p>
    <w:p w14:paraId="15D071E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8AF142B" w14:textId="77777777" w:rsidR="0062502E" w:rsidRPr="00D03F3E" w:rsidRDefault="0062502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17 мая 1943 прошли первые заводские испытания законченного в самом конце апреля опытного образеца СУ-122М. В их ходе машина прошла 100 километров и произвела 50 выстрелов.</w:t>
      </w:r>
    </w:p>
    <w:p w14:paraId="6FA5A09E" w14:textId="77777777" w:rsidR="0062502E" w:rsidRPr="00D03F3E" w:rsidRDefault="0062502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Участвовавший в испытаниях Соломонов указал не только на достоинства, но и на недостатки машины. Для начала, боевая масса САУ выросла еще больше и составила 31,5 тонну. Обзорность была признана недостаточной. Нашлись минусы и у системы Д-11. На углах возвышения 5 градусов и выше поршневой затвор орудия ложился на колени командира. Не очень удачной получилась и конструкция неподвижной бронировки (17689).</w:t>
      </w:r>
    </w:p>
    <w:p w14:paraId="400FB5EC" w14:textId="77777777" w:rsidR="0062502E" w:rsidRPr="00D03F3E" w:rsidRDefault="0062502E" w:rsidP="00D03F3E">
      <w:pPr>
        <w:pStyle w:val="12a"/>
        <w:shd w:val="clear" w:color="auto" w:fill="auto"/>
        <w:spacing w:after="0" w:line="240" w:lineRule="auto"/>
        <w:jc w:val="both"/>
        <w:rPr>
          <w:color w:val="000000" w:themeColor="text1"/>
          <w:sz w:val="16"/>
          <w:szCs w:val="16"/>
        </w:rPr>
      </w:pPr>
    </w:p>
    <w:p w14:paraId="35C3078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мая 1943 вышло Распоряжение ГКО № 3384. О строительстве для Челябинского металлургического завода 10 тыс. кв. м жилья.РГАНИР, Фонд ГКО, д. 118, лл. 59 (11012).</w:t>
      </w:r>
    </w:p>
    <w:p w14:paraId="1605D736"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91DF96C"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17 мая 1943 вышло Постановление ГКО № 3385 О размещении центральных управлений и достройке зданий НКО Союза ССР. (7108, 60-65,66-85).</w:t>
      </w:r>
    </w:p>
    <w:p w14:paraId="0DF69707" w14:textId="77777777" w:rsidR="00531570" w:rsidRPr="00D03F3E" w:rsidRDefault="00531570" w:rsidP="00D03F3E">
      <w:pPr>
        <w:pStyle w:val="Iauiue"/>
        <w:tabs>
          <w:tab w:val="left" w:pos="11199"/>
        </w:tabs>
        <w:jc w:val="both"/>
        <w:rPr>
          <w:color w:val="000000" w:themeColor="text1"/>
          <w:sz w:val="16"/>
          <w:szCs w:val="16"/>
        </w:rPr>
      </w:pPr>
    </w:p>
    <w:p w14:paraId="480CA58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мая 1943 вышло Распоряжение ГКО № 3387. О поставке 25 импортных думпкаров Наркомстрою для строительств Орского металлургического и Губахинского коксохимического заводов.РГАНИР, Фонд ГКО, д. 118, лл. 87 (11012).</w:t>
      </w:r>
    </w:p>
    <w:p w14:paraId="28364E6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669DD7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 мая 1943 вышло постановление ГКО о восстановлении ж/д в освобожденных районах (3908,367).</w:t>
      </w:r>
    </w:p>
    <w:p w14:paraId="66630715" w14:textId="77777777" w:rsidR="00531570" w:rsidRPr="00D03F3E" w:rsidRDefault="00531570" w:rsidP="00D03F3E">
      <w:pPr>
        <w:pStyle w:val="Iauiue"/>
        <w:jc w:val="both"/>
        <w:rPr>
          <w:color w:val="000000" w:themeColor="text1"/>
          <w:sz w:val="16"/>
          <w:szCs w:val="16"/>
        </w:rPr>
      </w:pPr>
    </w:p>
    <w:p w14:paraId="0013A872" w14:textId="77777777" w:rsidR="00776347" w:rsidRPr="00D03F3E" w:rsidRDefault="0077634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мая 1943 г. (18.05.43 г. 0 ч. 10 мин.)</w:t>
      </w:r>
    </w:p>
    <w:p w14:paraId="0D31BB8A" w14:textId="77777777" w:rsidR="00776347" w:rsidRPr="00D03F3E" w:rsidRDefault="0077634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Указания тов. Сталина</w:t>
      </w:r>
    </w:p>
    <w:p w14:paraId="47F4515C" w14:textId="77777777" w:rsidR="00776347" w:rsidRPr="00D03F3E" w:rsidRDefault="0077634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Проверить результаты расследования по приборам ночного вождения. Их нельзя было посылать без разрешения тов. Сталина.</w:t>
      </w:r>
    </w:p>
    <w:p w14:paraId="02E20EB6" w14:textId="77777777" w:rsidR="00776347" w:rsidRPr="00D03F3E" w:rsidRDefault="0077634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 же самое нельзя было делать и с минными тралами. Нужно было получить разрешение тов. Сталина. Расследовать, кто послал минные тралы фронтам, где они находятся. Минные тралы и приборы ночного вождения являются секретными, и без разрешения тов. Сталина никому не посылать. Учесть все тралы на фронтах и запретить их применение без разрешения тов. Сталина. Проверить по всем фронтам наличие тралов, где они и сколько их находится. Все учесть и запретить применение без разрешения тов. Сталина. Результаты по обоим вопросам доложить тов. Сталину. Всякое нововведение в танках и танковом вооружении, могущее быть использованным противником, можно посылать в действующую армию по разрешению тов. Сталину.</w:t>
      </w:r>
    </w:p>
    <w:p w14:paraId="355B06AD" w14:textId="77777777" w:rsidR="00776347" w:rsidRPr="00D03F3E" w:rsidRDefault="0077634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Проверить, где находится полк с экранированными танками и доложить тов. Сталину на предмет получения разрешения на его применение (18157).</w:t>
      </w:r>
    </w:p>
    <w:p w14:paraId="001BFB49" w14:textId="77777777" w:rsidR="00776347" w:rsidRPr="00D03F3E" w:rsidRDefault="00776347" w:rsidP="00D03F3E">
      <w:pPr>
        <w:spacing w:after="0" w:line="240" w:lineRule="auto"/>
        <w:jc w:val="both"/>
        <w:rPr>
          <w:rFonts w:ascii="Times New Roman" w:hAnsi="Times New Roman"/>
          <w:color w:val="000000" w:themeColor="text1"/>
          <w:sz w:val="16"/>
          <w:szCs w:val="16"/>
        </w:rPr>
      </w:pPr>
    </w:p>
    <w:p w14:paraId="4C83E13B" w14:textId="77777777" w:rsidR="00BE614C" w:rsidRPr="00D03F3E" w:rsidRDefault="00BE61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мая 1943 г. Из оперативного письма № 31-го Управления НКГБ СССР резиденту лондонской резидентуры КМ. Кукину о задачах в области научно-техни</w:t>
      </w:r>
      <w:r w:rsidRPr="00D03F3E">
        <w:rPr>
          <w:rFonts w:ascii="Times New Roman" w:hAnsi="Times New Roman"/>
          <w:color w:val="000000" w:themeColor="text1"/>
          <w:sz w:val="16"/>
          <w:szCs w:val="16"/>
        </w:rPr>
        <w:softHyphen/>
        <w:t>ческой разведки—о проблеме «Энормоз»2</w:t>
      </w:r>
    </w:p>
    <w:p w14:paraId="7A6479BC" w14:textId="77777777" w:rsidR="00BE614C" w:rsidRPr="00D03F3E" w:rsidRDefault="00BE61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«Игорю»</w:t>
      </w:r>
    </w:p>
    <w:p w14:paraId="7B9F1FB3" w14:textId="77777777" w:rsidR="00BE614C" w:rsidRPr="00D03F3E" w:rsidRDefault="00BE61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290005A" w14:textId="77777777" w:rsidR="00BE614C" w:rsidRPr="00D03F3E" w:rsidRDefault="00BE61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4. Проблема «Энормоз»3</w:t>
      </w:r>
    </w:p>
    <w:p w14:paraId="096A4CF2" w14:textId="77777777" w:rsidR="00BE614C" w:rsidRPr="00D03F3E" w:rsidRDefault="00BE61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сведения сообщаем Вам перечень организаций в стране Вашего пребывания, занимающихся разработкой проблемы «Энормоз».</w:t>
      </w:r>
    </w:p>
    <w:p w14:paraId="4E16A7FF" w14:textId="77777777" w:rsidR="00BE614C" w:rsidRPr="00D03F3E" w:rsidRDefault="00BE61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Работа по «Энормоз» возглавляется Департаментом научных и промыш</w:t>
      </w:r>
      <w:r w:rsidRPr="00D03F3E">
        <w:rPr>
          <w:rFonts w:ascii="Times New Roman" w:hAnsi="Times New Roman"/>
          <w:color w:val="000000" w:themeColor="text1"/>
          <w:sz w:val="16"/>
          <w:szCs w:val="16"/>
        </w:rPr>
        <w:softHyphen/>
        <w:t>ленных изысканий под прикрытием одного из управлений этого Департамен</w:t>
      </w:r>
      <w:r w:rsidRPr="00D03F3E">
        <w:rPr>
          <w:rFonts w:ascii="Times New Roman" w:hAnsi="Times New Roman"/>
          <w:color w:val="000000" w:themeColor="text1"/>
          <w:sz w:val="16"/>
          <w:szCs w:val="16"/>
        </w:rPr>
        <w:softHyphen/>
        <w:t>та, так называемого] Управления по разработке4 «Tube alloys* — сплавов для труб (или радиоламп — нужно уточнить) в тесном ссгфудничестве с концер</w:t>
      </w:r>
      <w:r w:rsidRPr="00D03F3E">
        <w:rPr>
          <w:rFonts w:ascii="Times New Roman" w:hAnsi="Times New Roman"/>
          <w:color w:val="000000" w:themeColor="text1"/>
          <w:sz w:val="16"/>
          <w:szCs w:val="16"/>
        </w:rPr>
        <w:softHyphen/>
        <w:t>ном Империал Кемикал Индастриес, фирмой Метрополитен-Виккерс и Вуль-вичским арсеналом. Слветслвенным за проведение всей работы является пред</w:t>
      </w:r>
      <w:r w:rsidRPr="00D03F3E">
        <w:rPr>
          <w:rFonts w:ascii="Times New Roman" w:hAnsi="Times New Roman"/>
          <w:color w:val="000000" w:themeColor="text1"/>
          <w:sz w:val="16"/>
          <w:szCs w:val="16"/>
        </w:rPr>
        <w:softHyphen/>
        <w:t>седатель Правительственного комитета, помещающегося по адресу: 16, Олд Куин Стрит (юго-западный район 1). |...]5</w:t>
      </w:r>
    </w:p>
    <w:p w14:paraId="5637B16F" w14:textId="77777777" w:rsidR="00BE614C" w:rsidRPr="00D03F3E" w:rsidRDefault="00BE61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«Виктор»6</w:t>
      </w:r>
    </w:p>
    <w:p w14:paraId="319EDA53" w14:textId="77777777" w:rsidR="00BE614C" w:rsidRPr="00D03F3E" w:rsidRDefault="00BE61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Печатается по: Атомный проект СССР: Документы и материалы: В Зт. Т. 1. 1938-1945. Часть 1. М.: Наука. Физматлит, 1998, с. 345 (15493).</w:t>
      </w:r>
    </w:p>
    <w:p w14:paraId="362A6451" w14:textId="77777777" w:rsidR="00BE614C" w:rsidRPr="00D03F3E" w:rsidRDefault="00BE61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См. т. 2 настоящего сборника, документ № 594; т. 3, документ № 1142, а также документы № 1347, 1382.</w:t>
      </w:r>
    </w:p>
    <w:p w14:paraId="135739D1" w14:textId="77777777" w:rsidR="00BE614C" w:rsidRPr="00D03F3E" w:rsidRDefault="00BE61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«Энормоз» (от англ. enormous—огромный) — кодовое название проблемы атом</w:t>
      </w:r>
      <w:r w:rsidRPr="00D03F3E">
        <w:rPr>
          <w:rFonts w:ascii="Times New Roman" w:hAnsi="Times New Roman"/>
          <w:color w:val="000000" w:themeColor="text1"/>
          <w:sz w:val="16"/>
          <w:szCs w:val="16"/>
        </w:rPr>
        <w:softHyphen/>
        <w:t>ного оружия, установленное 1-м Управлением НКВД СССР.</w:t>
      </w:r>
    </w:p>
    <w:p w14:paraId="1451B7DB" w14:textId="77777777" w:rsidR="00BE614C" w:rsidRPr="00D03F3E" w:rsidRDefault="00BE61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Далее 2 слова вписаны П.М. Фитиным от руки над строкой.</w:t>
      </w:r>
    </w:p>
    <w:p w14:paraId="1E07177D" w14:textId="77777777" w:rsidR="00BE614C" w:rsidRPr="00D03F3E" w:rsidRDefault="00BE61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Далее опущены: список членов Технического комитета с указанием места их работы; список организаций, шдущих «исследовательскую работу по «Энормозу», ученых, работаю</w:t>
      </w:r>
      <w:r w:rsidRPr="00D03F3E">
        <w:rPr>
          <w:rFonts w:ascii="Times New Roman" w:hAnsi="Times New Roman"/>
          <w:color w:val="000000" w:themeColor="text1"/>
          <w:sz w:val="16"/>
          <w:szCs w:val="16"/>
        </w:rPr>
        <w:softHyphen/>
        <w:t>щих в них, и тематики их исследований; список ученых, как сказано в документе, «места работы которых нам не известны» (упоминаются П.М. С. Блэкетт, УА Фаулер и др.).</w:t>
      </w:r>
    </w:p>
    <w:p w14:paraId="111CE277" w14:textId="77777777" w:rsidR="00BE614C" w:rsidRPr="00D03F3E" w:rsidRDefault="00BE61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«Виктор» — псевдоним П.М. Фитина (15493).</w:t>
      </w:r>
    </w:p>
    <w:p w14:paraId="1C28B0B8" w14:textId="77777777" w:rsidR="00BE614C" w:rsidRPr="00D03F3E" w:rsidRDefault="00BE614C" w:rsidP="00D03F3E">
      <w:pPr>
        <w:spacing w:after="0" w:line="240" w:lineRule="auto"/>
        <w:jc w:val="both"/>
        <w:rPr>
          <w:rFonts w:ascii="Times New Roman" w:hAnsi="Times New Roman"/>
          <w:color w:val="000000" w:themeColor="text1"/>
          <w:sz w:val="16"/>
          <w:szCs w:val="16"/>
        </w:rPr>
      </w:pPr>
    </w:p>
    <w:p w14:paraId="6010533D" w14:textId="77777777" w:rsidR="00BE614C" w:rsidRPr="00D03F3E" w:rsidRDefault="00BE61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мая 1943 Адмиралтейцы завершили постройку и швартовные испытания головного МБК, выполнили ремонт трех ТК (10671).</w:t>
      </w:r>
    </w:p>
    <w:p w14:paraId="6D56478A" w14:textId="77777777" w:rsidR="00BE614C" w:rsidRPr="00D03F3E" w:rsidRDefault="00BE614C" w:rsidP="00D03F3E">
      <w:pPr>
        <w:spacing w:after="0" w:line="240" w:lineRule="auto"/>
        <w:jc w:val="both"/>
        <w:rPr>
          <w:rFonts w:ascii="Times New Roman" w:hAnsi="Times New Roman"/>
          <w:color w:val="000000" w:themeColor="text1"/>
          <w:sz w:val="16"/>
          <w:szCs w:val="16"/>
        </w:rPr>
      </w:pPr>
    </w:p>
    <w:p w14:paraId="2203670E"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7795498B" w14:textId="77777777" w:rsidR="00531570" w:rsidRPr="00D03F3E" w:rsidRDefault="00531570" w:rsidP="00D03F3E">
      <w:pPr>
        <w:pStyle w:val="Iauiue"/>
        <w:jc w:val="both"/>
        <w:rPr>
          <w:iCs/>
          <w:color w:val="000000" w:themeColor="text1"/>
          <w:sz w:val="16"/>
          <w:szCs w:val="16"/>
        </w:rPr>
      </w:pPr>
    </w:p>
    <w:p w14:paraId="353341F2" w14:textId="77777777" w:rsidR="00DA42A5" w:rsidRPr="00D03F3E" w:rsidRDefault="00DA42A5"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17 мая</w:t>
      </w:r>
      <w:r w:rsidRPr="00D03F3E">
        <w:rPr>
          <w:rFonts w:ascii="Times New Roman" w:hAnsi="Times New Roman"/>
          <w:color w:val="000000" w:themeColor="text1"/>
          <w:sz w:val="16"/>
          <w:szCs w:val="16"/>
        </w:rPr>
        <w:t xml:space="preserve"> в 1943 году утреннее сообщение Совинформбюро:</w:t>
      </w:r>
    </w:p>
    <w:p w14:paraId="0A75C2D9" w14:textId="77777777" w:rsidR="00DA42A5" w:rsidRPr="00D03F3E" w:rsidRDefault="00DA42A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течение ночи на 17 мая на фронте ничего существенного не произошло.</w:t>
      </w:r>
    </w:p>
    <w:p w14:paraId="62C0C1D1" w14:textId="77777777" w:rsidR="00DA42A5" w:rsidRPr="00D03F3E" w:rsidRDefault="00DA42A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северо-восточнее Новороссийска, артиллеристы Н-ского соединения, совершив несколько огневых налётов на позиции и ближние тылы противника, разрушили 8 немецких дзотов, подавили огонь 4 артиллерийских батарей, уничтожили 25 автомашин и повозок с грузами.</w:t>
      </w:r>
    </w:p>
    <w:p w14:paraId="17D8579A" w14:textId="77777777" w:rsidR="00DA42A5" w:rsidRPr="00D03F3E" w:rsidRDefault="00DA42A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отряд немцев пытался боем разведать наши позиции. Наши подразделения умелым манёвром обошли противника и уничтожили до 100 немецких солдат и офицеров. Захвачены 3 пулемёта и 75 винтовок и автоматов.</w:t>
      </w:r>
    </w:p>
    <w:p w14:paraId="61A57F44" w14:textId="77777777" w:rsidR="00DA42A5" w:rsidRPr="00D03F3E" w:rsidRDefault="00DA42A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Калининском фронте группы разведчиков под командованием старшего лейтенанта т. Ботовского и старшего лейтенанта т. Маслова ворвались в деревню, занятую немцами. Автоматчики группы Ботовского противотанковыми гранатами взорвали 3 дзота и 2 землянки вместе с находившимися в них гитлеровцами. Тем временем группа Маслова отрезала немцам пути отступления из деревни. В непродолжительной схватке весь вражеский гарнизон был уничтожен.</w:t>
      </w:r>
    </w:p>
    <w:p w14:paraId="2510491E" w14:textId="77777777" w:rsidR="00DA42A5" w:rsidRPr="00D03F3E" w:rsidRDefault="00DA42A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наши части вели огневой бой с противником. Уничтожено 11немецких дзотов и блиндажей, 3 орудия, 7 автомашин с боеприпасами и до роты гитлеровцев.</w:t>
      </w:r>
    </w:p>
    <w:p w14:paraId="7CD1CF93" w14:textId="77777777" w:rsidR="00DA42A5" w:rsidRPr="00D03F3E" w:rsidRDefault="00DA42A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Несколько партизанских отрядов, действующих в Могилёвской области, одновременно напали на 8 немецких гарнизонов. Партизаны истребили более 200 гитлеровцев. Советскими патриотами захвачены 10 пулемётов, 3 миномёта, 120 винтовок и много боеприпасов. Другой партизанский отряд взорвал на минах немецкий эшелон с продовольствием. Разбито 16 вагонов. Во время крушения убито12 гитлеровцев из охраны эшелона.</w:t>
      </w:r>
    </w:p>
    <w:p w14:paraId="181525C7" w14:textId="77777777" w:rsidR="00DA42A5" w:rsidRPr="00D03F3E" w:rsidRDefault="00DA42A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солдат 76 пехотного полка 20 немецкой мотодивизии Ганс М. рассказал: «Известие о поражении немецких и итальянских войск в Тунисе произвело в полку гнетущее впечатление. Зимой катастрофа постигла армию Паулюса под Сталинградом, теперь уничтожена армия Арнима. Одно поражениеследует за другим. Военное счастье отвернулось от Германии, её силы иссякают быстрее, чем можно было предположить. Сводки германского командования вызывают негодование солдат. B сводках ведь всегда сообщается, что военные действия развиваются планомерно. Какой бы оборот события ни принимали, нам неизменно внушали, что всё заранее предопределено немецким командованием. Теперь солдатыпо этому поводу говорят: «С Кавказа мы отступали в соответствии с планом. Армия Паулюса погибла планомерно. Планомерно оставлены Ржев и Вязьма, Великие Луки и Демянск. Теперь планомерно сдали Тунис. Наверно, Германия так же «планомерно» проиграет войну». Многие солдаты настроены весьма мрачно. Каждый понимает, что будущее не сулит немецкой армии ничего хорошего, особенно теперь, когда англо-американские силы в Тунисе освободились и со дня на день могут вступить в дело на других фронтах».</w:t>
      </w:r>
    </w:p>
    <w:p w14:paraId="7E570201" w14:textId="77777777" w:rsidR="00DA42A5" w:rsidRPr="00D03F3E" w:rsidRDefault="00DA42A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Норвежские патриоты самоотверженно ведут борьбу против немецких оккупантов. В районе Бергена норвежцы сожгли склад немецкой военно-строительной организации Тодта. Близ Осло патриоты взорвали пароход, на котором находилось свыше 60 гитлеровцев. B районе Тронхейма норвежские партизаны пустили под откос поезд с орудиями морской артиллерии. B апреле норвежские партизаны совершили налёт на концлагерь, перебили немецкую охрану и освободили всех заключённых патриотов.» (14894).</w:t>
      </w:r>
    </w:p>
    <w:p w14:paraId="6AF4E1D6" w14:textId="77777777" w:rsidR="00DA42A5" w:rsidRPr="00D03F3E" w:rsidRDefault="00DA42A5" w:rsidP="00D03F3E">
      <w:pPr>
        <w:spacing w:after="0" w:line="240" w:lineRule="auto"/>
        <w:jc w:val="both"/>
        <w:rPr>
          <w:rFonts w:ascii="Times New Roman" w:hAnsi="Times New Roman"/>
          <w:color w:val="000000" w:themeColor="text1"/>
          <w:sz w:val="16"/>
          <w:szCs w:val="16"/>
        </w:rPr>
      </w:pPr>
    </w:p>
    <w:p w14:paraId="4F88CA26" w14:textId="77777777" w:rsidR="00DA42A5" w:rsidRPr="00D03F3E" w:rsidRDefault="00DA42A5"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17 мая</w:t>
      </w:r>
      <w:r w:rsidRPr="00D03F3E">
        <w:rPr>
          <w:rFonts w:ascii="Times New Roman" w:hAnsi="Times New Roman"/>
          <w:color w:val="000000" w:themeColor="text1"/>
          <w:sz w:val="16"/>
          <w:szCs w:val="16"/>
        </w:rPr>
        <w:t xml:space="preserve"> в 1943 году вечернее сообщение Совинформбюро:</w:t>
      </w:r>
    </w:p>
    <w:p w14:paraId="4DBFF3F0" w14:textId="77777777" w:rsidR="00DA42A5" w:rsidRPr="00D03F3E" w:rsidRDefault="00DA42A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17 мая на фронте существенных изменений не произошло.</w:t>
      </w:r>
    </w:p>
    <w:p w14:paraId="57FE19C0" w14:textId="77777777" w:rsidR="00DA42A5" w:rsidRPr="00D03F3E" w:rsidRDefault="00DA42A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мая частями нашей авиации на различных участках фронта уничтожено или повреждено не менее 40 немецких автомашин с войсками и грузами, подавлен огонь10 артиллерийских и 2 миномётных батарей, взорван склад боеприпасов, потоплен сторожевой корабль, рассеяно и частично уничтожено до роты пехоты противника.</w:t>
      </w:r>
    </w:p>
    <w:p w14:paraId="4A2EB33D" w14:textId="77777777" w:rsidR="00DA42A5" w:rsidRPr="00D03F3E" w:rsidRDefault="00DA42A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северо-восточнее Новороссийска, пехота и танки противника несколько раз атаковали наши позиции. Атаки немцев отбиты с большими для противника потерями. Артиллеристы Н-ской части разгромили 2 артиллерийские и 2 миномётные батареи противника, уничтожили шестиствольный миномёт, самоходное орудие и несколько пулемётных точек.</w:t>
      </w:r>
    </w:p>
    <w:p w14:paraId="7C9F18DA" w14:textId="77777777" w:rsidR="00DA42A5" w:rsidRPr="00D03F3E" w:rsidRDefault="00DA42A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в воздушных боях сбили 8 немецких самолётов. Кроме того, 6 самолётов противника уничтожено огнём зенитной артиллерии.</w:t>
      </w:r>
    </w:p>
    <w:p w14:paraId="7E896066" w14:textId="77777777" w:rsidR="00DA42A5" w:rsidRPr="00D03F3E" w:rsidRDefault="00DA42A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наши подразделения вели огневой бой. Истреблено до 200 немецких солдат и офицеров, разрушено 2 дзота и 5 блиндажей, подавлен огонь 2 миномётных батарей противника.</w:t>
      </w:r>
    </w:p>
    <w:p w14:paraId="774416F9" w14:textId="77777777" w:rsidR="00DA42A5" w:rsidRPr="00D03F3E" w:rsidRDefault="00DA42A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гвардейцы-миномётчики подбили вражеский танк и сожгли несколько железнодорожных вагонов с военными грузами. Наша разведывательная группа проникла в расположение противника, уничтожила 30 гитлеровцев и, захватив станковый пулемёт, без потерь вернулась в свою часть.</w:t>
      </w:r>
    </w:p>
    <w:p w14:paraId="0A323A48" w14:textId="77777777" w:rsidR="00DA42A5" w:rsidRPr="00D03F3E" w:rsidRDefault="00DA42A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из участков Калининского фронта противник силою до батальона пехоты при поддержке 6 танков три раза атаковал наши подразделения, обороняющие один населённый пункт. В ожесточённом бою за этот пункт убито и ранено до 300 немецких солдат и офицеров и уничтожено три танка противника.</w:t>
      </w:r>
    </w:p>
    <w:p w14:paraId="43F29E51" w14:textId="77777777" w:rsidR="00DA42A5" w:rsidRPr="00D03F3E" w:rsidRDefault="00DA42A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наши части вели обстрел вражеских позиций. Разрушено 6 немецких дзотов, 4 блиндажа и 2 наблюдательных пункта.</w:t>
      </w:r>
    </w:p>
    <w:p w14:paraId="4DB0722D" w14:textId="77777777" w:rsidR="00DA42A5" w:rsidRPr="00D03F3E" w:rsidRDefault="00DA42A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Днепропетровской области, совершил налёт на немецкую железнодорожную охрану. Советские патриоты истребили 60 солдат и офицеров противника, уничтожили 6 автомашин и сожгли два склада.Партизанский отряд, действующий в Сталинской области, напал на вражескийгарнизон. В завязавшемся бою партизаны убили несколько десятков гитлеровцев. Советские патриоты захватили автомашину, 40 винтовок, 11 пистолетов и радиостанцию. В другом населённом пункте партизаны того же отряда сожгли 10 тонн бензина и 2 тонны смазочных материалов.</w:t>
      </w:r>
    </w:p>
    <w:p w14:paraId="0518FFA5" w14:textId="77777777" w:rsidR="00DA42A5" w:rsidRPr="00D03F3E" w:rsidRDefault="00DA42A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на сторону Красной Армии перешла группа солдат 1 словацкоймотодивизии. Перебежчик солдат Ян Бодо заявил: «Немцы ограбили Словакию и обрекли наш народ на голод. Гитлеровцы затеяли эту ужасную войну и насильно хотят заставить нас воевать против русских. У словаков не может быть ничего общего с немецкими убийцами. У нас с гитлеровцами старая вражда. Вот почему надо быть дураком, чтобы проливать кровь за гитлеровцев. Вместе с русскими, англичанами и американцами мы хотим мстить немцам за поруганную ими честь и свободу Чехословакии» (14894).</w:t>
      </w:r>
    </w:p>
    <w:p w14:paraId="2B140182" w14:textId="77777777" w:rsidR="00DA42A5" w:rsidRPr="00D03F3E" w:rsidRDefault="00DA42A5" w:rsidP="00D03F3E">
      <w:pPr>
        <w:spacing w:after="0" w:line="240" w:lineRule="auto"/>
        <w:jc w:val="both"/>
        <w:rPr>
          <w:rFonts w:ascii="Times New Roman" w:hAnsi="Times New Roman"/>
          <w:color w:val="000000" w:themeColor="text1"/>
          <w:sz w:val="16"/>
          <w:szCs w:val="16"/>
        </w:rPr>
      </w:pPr>
    </w:p>
    <w:p w14:paraId="398AA44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17-19 мая 1943 1-м ГМТАП на подходах к Котке были сброшены 16 АМГ-1, а между 20-м и 26-м числами у Таллинна - 16 АМГ и две А-4. В четырех случаях самолеты избавлялись от мин у запасных целей, либо аварийно (9965).</w:t>
      </w:r>
    </w:p>
    <w:p w14:paraId="16CD1FA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643CD57"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022958A1" w14:textId="77777777" w:rsidR="00531570" w:rsidRPr="00D03F3E" w:rsidRDefault="00531570" w:rsidP="00D03F3E">
      <w:pPr>
        <w:pStyle w:val="Iauiue"/>
        <w:jc w:val="both"/>
        <w:rPr>
          <w:iCs/>
          <w:color w:val="000000" w:themeColor="text1"/>
          <w:sz w:val="16"/>
          <w:szCs w:val="16"/>
        </w:rPr>
      </w:pPr>
    </w:p>
    <w:p w14:paraId="0739B9AF" w14:textId="77777777" w:rsidR="00A5166D" w:rsidRPr="00D03F3E" w:rsidRDefault="00A5166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17 мая</w:t>
      </w:r>
      <w:r w:rsidRPr="00D03F3E">
        <w:rPr>
          <w:rFonts w:ascii="Times New Roman" w:hAnsi="Times New Roman"/>
          <w:color w:val="000000" w:themeColor="text1"/>
          <w:sz w:val="16"/>
          <w:szCs w:val="16"/>
        </w:rPr>
        <w:t xml:space="preserve"> в 1943 году на конференции под председательством бригадного генерала Фрэнклина О.Кэрролла - главы армейского авиационно-инженерного отдела - были подготовлены предварительные требования к реактивному самолету. «Локхиду» было предложено построить один истребитель под двигатель «Н.1 В», закупленный в Англии. Сразу после этого «Локхид» провела эскизное проектирование реактивного истребителя, получившего фирменное обозначение «L-140». Менее чем через месяц коллектив Клэренса Джонсона представил армейским ВВС США предварительный проект реактивного истребителя. Уже через два дня, 17 июня 1943 г., штаб-квартира ВВС и техническая служба одобрили проект «L-140», a 24 июня был официально заключен контракт. Проект получил обозначение </w:t>
      </w:r>
      <w:hyperlink r:id="rId161" w:tgtFrame="_blank" w:history="1">
        <w:r w:rsidRPr="00D03F3E">
          <w:rPr>
            <w:rFonts w:ascii="Times New Roman" w:hAnsi="Times New Roman"/>
            <w:color w:val="000000" w:themeColor="text1"/>
            <w:sz w:val="16"/>
            <w:szCs w:val="16"/>
          </w:rPr>
          <w:t>«ХР-80».</w:t>
        </w:r>
      </w:hyperlink>
    </w:p>
    <w:p w14:paraId="4C9533F6" w14:textId="77777777" w:rsidR="00A5166D" w:rsidRPr="00D03F3E" w:rsidRDefault="00A5166D" w:rsidP="00D03F3E">
      <w:pPr>
        <w:spacing w:after="0" w:line="240" w:lineRule="auto"/>
        <w:jc w:val="both"/>
        <w:rPr>
          <w:rFonts w:ascii="Times New Roman" w:hAnsi="Times New Roman"/>
          <w:color w:val="000000" w:themeColor="text1"/>
          <w:sz w:val="16"/>
          <w:szCs w:val="16"/>
        </w:rPr>
      </w:pPr>
    </w:p>
    <w:p w14:paraId="55F4781F" w14:textId="77777777" w:rsidR="00496B0C" w:rsidRPr="00D03F3E" w:rsidRDefault="00496B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17–18 мая 1943 специально модифицированные Avro Lancasters из 617-й эскадрильи Королевских ВВС совершают налеты использованием бомб «Дамбустер» на плотины Мёне , Эдер и Сорпе (20376).</w:t>
      </w:r>
    </w:p>
    <w:p w14:paraId="1EB1183A" w14:textId="77777777" w:rsidR="00496B0C" w:rsidRPr="00D03F3E" w:rsidRDefault="00496B0C" w:rsidP="00D03F3E">
      <w:pPr>
        <w:spacing w:after="0" w:line="240" w:lineRule="auto"/>
        <w:jc w:val="both"/>
        <w:rPr>
          <w:rFonts w:ascii="Times New Roman" w:hAnsi="Times New Roman"/>
          <w:color w:val="0070C0"/>
          <w:sz w:val="16"/>
          <w:szCs w:val="16"/>
        </w:rPr>
      </w:pPr>
    </w:p>
    <w:p w14:paraId="0AFB302E" w14:textId="77777777" w:rsidR="00496B0C" w:rsidRPr="00D03F3E" w:rsidRDefault="00496B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17 мая 1943 – во время налёта авиации союзников разрушены несколько плотин в Рурском бассейне, что привело к гибели около 1500 немцев.</w:t>
      </w:r>
    </w:p>
    <w:p w14:paraId="617416A5" w14:textId="77777777" w:rsidR="00496B0C" w:rsidRPr="00D03F3E" w:rsidRDefault="00496B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Авианалёт был совершён 617-й эскадрильей Королевских ВВС, впоследствии известной как разрушители плотин (Dambusters). В результате налёта плотины на Мёне и Эдере были частично разрушены, что вызвало затопление Рурской долины и деревень в долине Эдера, тогда как плотина в Зорпе получила незначительные повреждения. Использовались специально разработанные английским инженером и изобретателем Барнсом Уоллесом "прыгающие" бомбы (22499).</w:t>
      </w:r>
    </w:p>
    <w:p w14:paraId="3D95B226" w14:textId="77777777" w:rsidR="00496B0C" w:rsidRPr="00D03F3E" w:rsidRDefault="00496B0C" w:rsidP="00D03F3E">
      <w:pPr>
        <w:spacing w:after="0" w:line="240" w:lineRule="auto"/>
        <w:jc w:val="both"/>
        <w:rPr>
          <w:rFonts w:ascii="Times New Roman" w:hAnsi="Times New Roman"/>
          <w:color w:val="0070C0"/>
          <w:sz w:val="16"/>
          <w:szCs w:val="16"/>
        </w:rPr>
      </w:pPr>
    </w:p>
    <w:p w14:paraId="12F7367B"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17 мая 1943 во время налета авиации союзников разрушены несколько плотин в Рурском бассейне, что привело к гибели около 1500 немцев (4962).</w:t>
      </w:r>
    </w:p>
    <w:p w14:paraId="30F1DA3C" w14:textId="77777777" w:rsidR="00531570" w:rsidRPr="00D03F3E" w:rsidRDefault="00531570" w:rsidP="00D03F3E">
      <w:pPr>
        <w:pStyle w:val="Iauiue"/>
        <w:tabs>
          <w:tab w:val="left" w:pos="11199"/>
        </w:tabs>
        <w:jc w:val="both"/>
        <w:rPr>
          <w:color w:val="000000" w:themeColor="text1"/>
          <w:sz w:val="16"/>
          <w:szCs w:val="16"/>
        </w:rPr>
      </w:pPr>
    </w:p>
    <w:p w14:paraId="494E0990"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17 мая 1943 США и Англия обменялись кодовыми сигналами своих спецслужб (4962).</w:t>
      </w:r>
    </w:p>
    <w:p w14:paraId="51D1A404" w14:textId="77777777" w:rsidR="00531570" w:rsidRPr="00D03F3E" w:rsidRDefault="00531570" w:rsidP="00D03F3E">
      <w:pPr>
        <w:pStyle w:val="Iauiue"/>
        <w:tabs>
          <w:tab w:val="left" w:pos="11199"/>
        </w:tabs>
        <w:jc w:val="both"/>
        <w:rPr>
          <w:color w:val="000000" w:themeColor="text1"/>
          <w:sz w:val="16"/>
          <w:szCs w:val="16"/>
        </w:rPr>
      </w:pPr>
    </w:p>
    <w:p w14:paraId="728E0AF6"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May 17th, 1943: The Luftwaffe carries out a night raid (89 aircraft) against Cardiff in Wales (3819).</w:t>
      </w:r>
    </w:p>
    <w:p w14:paraId="4E477395" w14:textId="77777777" w:rsidR="00531570" w:rsidRPr="00D03F3E" w:rsidRDefault="00531570" w:rsidP="00D03F3E">
      <w:pPr>
        <w:pStyle w:val="Iauiue"/>
        <w:jc w:val="both"/>
        <w:rPr>
          <w:color w:val="000000" w:themeColor="text1"/>
          <w:sz w:val="16"/>
          <w:szCs w:val="16"/>
          <w:lang w:val="en-US"/>
        </w:rPr>
      </w:pPr>
    </w:p>
    <w:p w14:paraId="2629EA7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 мая 1943 Люфтваффе силами 89 самолетов совершила налет на Кардиф (3819).</w:t>
      </w:r>
    </w:p>
    <w:p w14:paraId="311531DF" w14:textId="77777777" w:rsidR="00531570" w:rsidRPr="00D03F3E" w:rsidRDefault="00531570" w:rsidP="00D03F3E">
      <w:pPr>
        <w:pStyle w:val="Iauiue"/>
        <w:jc w:val="both"/>
        <w:rPr>
          <w:color w:val="000000" w:themeColor="text1"/>
          <w:sz w:val="16"/>
          <w:szCs w:val="16"/>
        </w:rPr>
      </w:pPr>
    </w:p>
    <w:p w14:paraId="152712E7"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17 мая 1943 Верховный суд США объявил незаконным лишение права голоса американцев японского происхождения (4962).</w:t>
      </w:r>
    </w:p>
    <w:p w14:paraId="170CE80F" w14:textId="77777777" w:rsidR="00531570" w:rsidRPr="00D03F3E" w:rsidRDefault="00531570" w:rsidP="00D03F3E">
      <w:pPr>
        <w:pStyle w:val="Iauiue"/>
        <w:tabs>
          <w:tab w:val="left" w:pos="11199"/>
        </w:tabs>
        <w:jc w:val="both"/>
        <w:rPr>
          <w:color w:val="000000" w:themeColor="text1"/>
          <w:sz w:val="16"/>
          <w:szCs w:val="16"/>
        </w:rPr>
      </w:pPr>
    </w:p>
    <w:p w14:paraId="652F4D81"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62BD47B2" w14:textId="77777777" w:rsidR="00531570" w:rsidRPr="00D03F3E" w:rsidRDefault="00531570" w:rsidP="00D03F3E">
      <w:pPr>
        <w:pStyle w:val="Iauiue"/>
        <w:jc w:val="both"/>
        <w:rPr>
          <w:iCs/>
          <w:color w:val="000000" w:themeColor="text1"/>
          <w:sz w:val="16"/>
          <w:szCs w:val="16"/>
        </w:rPr>
      </w:pPr>
    </w:p>
    <w:p w14:paraId="12745ED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18 мая 1943 вышел приказ НКАП N 300, предусмотревшим реализацию мер, разработанных заводом 115 для Як-7 и Як-9 по повышению летных данных самолета Як-1 292 завода и предъявить на испытания 5 июня (939,137).</w:t>
      </w:r>
    </w:p>
    <w:p w14:paraId="15673C85" w14:textId="77777777" w:rsidR="00531570" w:rsidRPr="00D03F3E" w:rsidRDefault="00531570" w:rsidP="00D03F3E">
      <w:pPr>
        <w:pStyle w:val="Iauiue"/>
        <w:jc w:val="both"/>
        <w:rPr>
          <w:color w:val="000000" w:themeColor="text1"/>
          <w:sz w:val="16"/>
          <w:szCs w:val="16"/>
        </w:rPr>
      </w:pPr>
    </w:p>
    <w:p w14:paraId="348968B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18 мая 1943 вышел приказ НКАП N 300</w:t>
      </w:r>
    </w:p>
    <w:p w14:paraId="16825F3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целью повышения летных данных с-та Як-1, директору завода № 292 т. Левину И.С. провести мероприятия по увеличению скорости, осуществленных заводом № 115 на с-тах Як-7 и Як-9 и обеспечить на с-те Як-1 с мотором М-105ПФ:</w:t>
      </w:r>
    </w:p>
    <w:p w14:paraId="228B7FB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Скор. Макс. на 0 м - 545 км/час</w:t>
      </w:r>
    </w:p>
    <w:p w14:paraId="5CAEAAC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Скор. Макс. на 4000 м - 610 км/час, для чего:</w:t>
      </w:r>
    </w:p>
    <w:p w14:paraId="33DA695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Выделить 3 с-та, облетанных Як-3, и провести на них следующие удучшения по чертежам и указаниям ГК:</w:t>
      </w:r>
    </w:p>
    <w:p w14:paraId="5D07E84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Установка нового размера выхлопных патрубков,</w:t>
      </w:r>
    </w:p>
    <w:p w14:paraId="1367A69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Замена радиомачты наклонным лучем,</w:t>
      </w:r>
    </w:p>
    <w:p w14:paraId="0A6DE54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Улучшение всасывающего патрубка,</w:t>
      </w:r>
    </w:p>
    <w:p w14:paraId="35020ED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 Улучшение герметизации фюзеляжа, а также провести другие мероприятия по дальнейшему улучшению аэродинамики самолета.</w:t>
      </w:r>
    </w:p>
    <w:p w14:paraId="2B00287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Улучшенные самолеты Як-1 предъявить на испытания в НИИ ВВС к 5 июня 1943...(939,137)</w:t>
      </w:r>
    </w:p>
    <w:p w14:paraId="401D5FAE" w14:textId="77777777" w:rsidR="00531570" w:rsidRPr="00D03F3E" w:rsidRDefault="00531570" w:rsidP="00D03F3E">
      <w:pPr>
        <w:pStyle w:val="Iauiue"/>
        <w:jc w:val="both"/>
        <w:rPr>
          <w:color w:val="000000" w:themeColor="text1"/>
          <w:sz w:val="16"/>
          <w:szCs w:val="16"/>
        </w:rPr>
      </w:pPr>
    </w:p>
    <w:p w14:paraId="41EC791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18 мая 1943 в НКАП было получено письмо (вх. N 5958) Зам. начальника 7-го Гл. управления Алексеев А.И.Шахурину.</w:t>
      </w:r>
    </w:p>
    <w:p w14:paraId="27EF44B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 германском самолете с реактивным двигателем.</w:t>
      </w:r>
    </w:p>
    <w:p w14:paraId="212D2CD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Докладываю о полученных сведениях Разведывательного Отдела Штаба ВВС по германскому реактивному самолету:</w:t>
      </w:r>
    </w:p>
    <w:p w14:paraId="5D1E7C6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Фирмой Хейнкель сконструирован самолет Не-280 с двумя реактивными двигателями, являющийся дальнейшим развитием первого германского реактивного самолета Не-180.</w:t>
      </w:r>
    </w:p>
    <w:p w14:paraId="7596CFF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Самолет Не-280 - моноплан, со средним расположением крыла, имеющим размах 11 м. Первые сведения по этому самолету появились в 1940 году и с тех пор новых подробностей по нему не было получено. В захваченных в 1942 году на Среднем востоке документах упоминается о самолете Не-280, однако, без указаний на то, имеет ли этот самолет реактивный двигатель или двигатель обычно применяемого типа.</w:t>
      </w:r>
    </w:p>
    <w:p w14:paraId="35B4DCB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Приводимые сообщения о том, что при фотосъемке аэродрома фирмы Хейнкель в Ростоке в 1942 году был зафиксирован самолет с аналогичным размахом крыла и с двойными стабилизаторами и рулями, не может рассматриваться как прямое указание на то, что на аэродроме в это время находился именно самолет Не-280, так как многие типы истребителей и учебно-тренировочных самолетов имеют размах около 11 м.</w:t>
      </w:r>
    </w:p>
    <w:p w14:paraId="76845C4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Сделав анализ собранных данных, Разведывательный отдел установил, что самолет Не-280 должен обладать следующими летными характеристиками:</w:t>
      </w:r>
    </w:p>
    <w:p w14:paraId="4ED4FD0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Скорость у земли - 710 км/час</w:t>
      </w:r>
    </w:p>
    <w:p w14:paraId="5BFC3C2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Максимальная скорость на высоте 9150 м - 790 км/час</w:t>
      </w:r>
    </w:p>
    <w:p w14:paraId="769D787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Скороподъемность у земли - 17,8 м/сек</w:t>
      </w:r>
    </w:p>
    <w:p w14:paraId="122454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Скороподъемность на высоте 9150 м - 7,5 м/сек</w:t>
      </w:r>
    </w:p>
    <w:p w14:paraId="16B9BF0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Потолок теоретический - 14300 м</w:t>
      </w:r>
    </w:p>
    <w:p w14:paraId="6EE1775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Основываясь на имеющихся сообщениях, Разведывательный отдел Штаба ВВС считает вероятным появление в 1943 году экспериментальных образцов реактивного самолета фирмы Хейнкель (1458,143).</w:t>
      </w:r>
    </w:p>
    <w:p w14:paraId="5AACD0C6" w14:textId="77777777" w:rsidR="00531570" w:rsidRPr="00D03F3E" w:rsidRDefault="00531570" w:rsidP="00D03F3E">
      <w:pPr>
        <w:pStyle w:val="Iauiue"/>
        <w:jc w:val="both"/>
        <w:rPr>
          <w:color w:val="000000" w:themeColor="text1"/>
          <w:sz w:val="16"/>
          <w:szCs w:val="16"/>
        </w:rPr>
      </w:pPr>
    </w:p>
    <w:p w14:paraId="32D2195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18 мая 1943 Болховитинов написал письмо N 205 НКАП А.И.Ш. (вход.№ 6017 от 19 мая 1943) в сопровождение отчета о работе завода 293 по ракетному самолету (с августа 1941 по май 1943) и дальнейшие перспективы. За 1.5 года завод построил 7 самолетов, 4 стенда-лаборатории, 10 приборов и агрегатов, провел 2 длительных испытания двигателя и 2 испытания самолета на прочность. Только 1/3 работы была чисто самолетная. Писал, что пора начинать работы над машиной со скоростью 2000 км/час (1775,126).</w:t>
      </w:r>
    </w:p>
    <w:p w14:paraId="4123F20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т.ч. 293 завод спроектировал, изготовил и испытал кассету-пулемет, стреляющую 2.5 кг бомбами с темпом стрельбы 3000 в минуту. Была отстреляна в тире и с самолета в полете в НИИ ВВС КА. Создавалась для ракетного БИ, но м.б. использована и на истребителях и штурмовиках для поражения наземных целей (1775,138).</w:t>
      </w:r>
    </w:p>
    <w:p w14:paraId="1B08F04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ОТЧЕТ О РАБОТЕ з-да № 293 ПО РАКЕТНОМУ САМОЛЕТУ И ДАЛЬНЕЙШИЕ ПЕРСПЕКТИВЫ.</w:t>
      </w:r>
    </w:p>
    <w:p w14:paraId="40F79A2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Первый опыт создания ракетного самолета завершен успешно.</w:t>
      </w:r>
    </w:p>
    <w:p w14:paraId="75E2B93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Впервые в мире летал , и не раз, самолет с жидкостым ракетным двигателем. Испытания опытных образцов ракетного самолета БИ закончены успешно.</w:t>
      </w:r>
    </w:p>
    <w:p w14:paraId="15E953E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то, что это была первая и, следователь</w:t>
      </w:r>
      <w:r w:rsidRPr="00D03F3E">
        <w:rPr>
          <w:rFonts w:ascii="Times New Roman" w:hAnsi="Times New Roman"/>
          <w:color w:val="000000" w:themeColor="text1"/>
          <w:sz w:val="16"/>
          <w:szCs w:val="16"/>
        </w:rPr>
        <w:softHyphen/>
        <w:t>но, несовершенная попытка реализовать полет на новом принципе, асе-же данные, ракетного самолета БИ, получен</w:t>
      </w:r>
      <w:r w:rsidRPr="00D03F3E">
        <w:rPr>
          <w:rFonts w:ascii="Times New Roman" w:hAnsi="Times New Roman"/>
          <w:color w:val="000000" w:themeColor="text1"/>
          <w:sz w:val="16"/>
          <w:szCs w:val="16"/>
        </w:rPr>
        <w:softHyphen/>
        <w:t>ные при испытаниях,намного превзошли данные современных истребителей по скорости, скоропод"емкости и прие</w:t>
      </w:r>
      <w:r w:rsidRPr="00D03F3E">
        <w:rPr>
          <w:rFonts w:ascii="Times New Roman" w:hAnsi="Times New Roman"/>
          <w:color w:val="000000" w:themeColor="text1"/>
          <w:sz w:val="16"/>
          <w:szCs w:val="16"/>
        </w:rPr>
        <w:softHyphen/>
        <w:t>мистости: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860B4B" w:rsidRPr="00D03F3E" w14:paraId="465296AC" w14:textId="77777777">
        <w:tc>
          <w:tcPr>
            <w:tcW w:w="2394" w:type="dxa"/>
            <w:tcBorders>
              <w:top w:val="single" w:sz="12" w:space="0" w:color="auto"/>
            </w:tcBorders>
          </w:tcPr>
          <w:p w14:paraId="3344400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w:t>
            </w:r>
          </w:p>
        </w:tc>
        <w:tc>
          <w:tcPr>
            <w:tcW w:w="2394" w:type="dxa"/>
            <w:tcBorders>
              <w:top w:val="single" w:sz="12" w:space="0" w:color="auto"/>
            </w:tcBorders>
          </w:tcPr>
          <w:p w14:paraId="5C59ED9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скорость</w:t>
            </w:r>
          </w:p>
        </w:tc>
        <w:tc>
          <w:tcPr>
            <w:tcW w:w="2394" w:type="dxa"/>
            <w:tcBorders>
              <w:top w:val="single" w:sz="12" w:space="0" w:color="auto"/>
            </w:tcBorders>
          </w:tcPr>
          <w:p w14:paraId="00FD976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скоропод"емность</w:t>
            </w:r>
          </w:p>
        </w:tc>
        <w:tc>
          <w:tcPr>
            <w:tcW w:w="2394" w:type="dxa"/>
            <w:tcBorders>
              <w:top w:val="single" w:sz="12" w:space="0" w:color="auto"/>
            </w:tcBorders>
          </w:tcPr>
          <w:p w14:paraId="1BA5E51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приемистость</w:t>
            </w:r>
          </w:p>
        </w:tc>
      </w:tr>
      <w:tr w:rsidR="00860B4B" w:rsidRPr="00D03F3E" w14:paraId="35426B86" w14:textId="77777777">
        <w:tc>
          <w:tcPr>
            <w:tcW w:w="2394" w:type="dxa"/>
          </w:tcPr>
          <w:p w14:paraId="696B185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Истребитель</w:t>
            </w:r>
          </w:p>
        </w:tc>
        <w:tc>
          <w:tcPr>
            <w:tcW w:w="2394" w:type="dxa"/>
          </w:tcPr>
          <w:p w14:paraId="4C92A21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550-650км/час</w:t>
            </w:r>
          </w:p>
        </w:tc>
        <w:tc>
          <w:tcPr>
            <w:tcW w:w="2394" w:type="dxa"/>
          </w:tcPr>
          <w:p w14:paraId="306050C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15-18 мт/сек.</w:t>
            </w:r>
          </w:p>
        </w:tc>
        <w:tc>
          <w:tcPr>
            <w:tcW w:w="2394" w:type="dxa"/>
          </w:tcPr>
          <w:p w14:paraId="7A088E2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км/час за 1 сек.</w:t>
            </w:r>
          </w:p>
        </w:tc>
      </w:tr>
      <w:tr w:rsidR="00860B4B" w:rsidRPr="00D03F3E" w14:paraId="5FEECFE0" w14:textId="77777777">
        <w:tc>
          <w:tcPr>
            <w:tcW w:w="2394" w:type="dxa"/>
            <w:tcBorders>
              <w:bottom w:val="single" w:sz="12" w:space="0" w:color="auto"/>
            </w:tcBorders>
          </w:tcPr>
          <w:p w14:paraId="5023C92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Ракета</w:t>
            </w:r>
          </w:p>
        </w:tc>
        <w:tc>
          <w:tcPr>
            <w:tcW w:w="2394" w:type="dxa"/>
            <w:tcBorders>
              <w:bottom w:val="single" w:sz="12" w:space="0" w:color="auto"/>
            </w:tcBorders>
          </w:tcPr>
          <w:p w14:paraId="07E9807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700-800км/час.</w:t>
            </w:r>
          </w:p>
        </w:tc>
        <w:tc>
          <w:tcPr>
            <w:tcW w:w="2394" w:type="dxa"/>
            <w:tcBorders>
              <w:bottom w:val="single" w:sz="12" w:space="0" w:color="auto"/>
            </w:tcBorders>
          </w:tcPr>
          <w:p w14:paraId="23F31DA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60-80 мт/сек</w:t>
            </w:r>
          </w:p>
        </w:tc>
        <w:tc>
          <w:tcPr>
            <w:tcW w:w="2394" w:type="dxa"/>
            <w:tcBorders>
              <w:bottom w:val="single" w:sz="12" w:space="0" w:color="auto"/>
            </w:tcBorders>
          </w:tcPr>
          <w:p w14:paraId="40C4FB7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км/час за 1 сек.</w:t>
            </w:r>
          </w:p>
        </w:tc>
      </w:tr>
    </w:tbl>
    <w:p w14:paraId="67A9BC8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Недоработанность двигателя не позволила получить лучшие данные и значительно снизила такие ввличины, как потолок /на 60%/, время полета /в 3 раза/, скоропод"ем</w:t>
      </w:r>
      <w:r w:rsidRPr="00D03F3E">
        <w:rPr>
          <w:rFonts w:ascii="Times New Roman" w:hAnsi="Times New Roman"/>
          <w:color w:val="000000" w:themeColor="text1"/>
          <w:sz w:val="16"/>
          <w:szCs w:val="16"/>
        </w:rPr>
        <w:softHyphen/>
        <w:t>кость /на 30%/ и скорость /на 10-15%/. Подробнее это можно видеть в акте госиспытаний ракетного самолета БИ.</w:t>
      </w:r>
    </w:p>
    <w:p w14:paraId="75B3A14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Новизна проблемы, отсутствие какого бы то ни было опыта и полная неразработанность систем питания и управления двигателем сильно увеличили об"ем работы и заотавили з-д № 293 заняться не только самолетом, но также испытать двигатель, найти условия, при которых он может работать надежно хотя бы минимальное время, создать систему питания двигателя, систему управления им, сконструировать и сделать приборы для самолета и двигателя, потребоваашиеся спецификой и обстановкой.</w:t>
      </w:r>
    </w:p>
    <w:p w14:paraId="073EE6C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неполно, но коротко, характеризовать об"ем работы, проделанной заводом за 1,5 года, то она состоит из 7-ми построенных самолетов, 4-х специальных стендов-лабораторий с оборудованием, 10-ти специальных приборов иагрегатов, 2-х длительных испытаний двигателя, 2-х испытаний самолета на прочность, одного испытания самолета в трубе и испытаний самолета в воздухе.</w:t>
      </w:r>
    </w:p>
    <w:p w14:paraId="13282C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Укрупненный список вопросов, разрешенных при создании первого ракетного самолета БИ можно видеть в приложении № 1. Из него следует, что часть чисто самолетная, в обычном понимании этого слова, составляет только 1/3 всей работы, а остальные 2/3 - новые, до этого неисследованные вопросы. . Решение их привело к тому,что на заводе был проведен ряд теоретических и экспериментальных рябот: исследование свойств ракетных самолетов, методика расчета и испытаний ЖРД, методика расчета ВРД и т.д. /подробиее изложено в при</w:t>
      </w:r>
      <w:r w:rsidRPr="00D03F3E">
        <w:rPr>
          <w:rFonts w:ascii="Times New Roman" w:hAnsi="Times New Roman"/>
          <w:color w:val="000000" w:themeColor="text1"/>
          <w:sz w:val="16"/>
          <w:szCs w:val="16"/>
        </w:rPr>
        <w:softHyphen/>
        <w:t>ложении № 2/; был закончен ряд отдельных оригинальных конструкций: сигнализаторы, автостоп, дроссельный кран, редуктор, отсечной кран, касета-пулемет и т.д./подробнее в приложении № 3/; созданы заново испытательные стенды, аппаратура и, что самое главное, на заводе собраны и выращены кадры, квалификации и опыту которых в области ракетной техники позавидует любой институт/ приложение № 4/.</w:t>
      </w:r>
    </w:p>
    <w:p w14:paraId="075112C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Весь комплекс этих работ и, особенно, испытания показали, что самолет- перехватчик с ракетным двигателем обладает рядом качеств недостижимых не только, для нормаль</w:t>
      </w:r>
      <w:r w:rsidRPr="00D03F3E">
        <w:rPr>
          <w:rFonts w:ascii="Times New Roman" w:hAnsi="Times New Roman"/>
          <w:color w:val="000000" w:themeColor="text1"/>
          <w:sz w:val="16"/>
          <w:szCs w:val="16"/>
        </w:rPr>
        <w:softHyphen/>
        <w:t>ных самолетов,но и для самолетов с ракетными двигателями других типов. Таковы например: скорость, скоропод"емность и приемистость.</w:t>
      </w:r>
    </w:p>
    <w:p w14:paraId="4C4A7ED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вместе с тем эти работы и испытания раскрыли всю глубину решаемой задачи и поставили целый ряд вопросов, подлежащих изучению и разрешению до того , как этот тип самолета войдет прочно а ряды безотказно действующего оружия.</w:t>
      </w:r>
    </w:p>
    <w:p w14:paraId="60EFCA9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Ближайшие и основные вопросы, без решения которых немыслимо боевое применение ракетных самолетов, следующие:</w:t>
      </w:r>
    </w:p>
    <w:p w14:paraId="6A3B618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Увеличение срока службы двигателя и баллонов, уменьшение расхода топлива, увеличение диапазона тягдвигателя, улучшение и многократность запуска.</w:t>
      </w:r>
    </w:p>
    <w:p w14:paraId="0318BEF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Отработка тактики боя, оружия и способа наведения ракетного самолета на противника.</w:t>
      </w:r>
    </w:p>
    <w:p w14:paraId="67623A6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Исследование свойств человеческого организма в условиях ракетного полета.</w:t>
      </w:r>
    </w:p>
    <w:p w14:paraId="3E668DB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Первый из этих вопросов надо решать на заводе; второй НИИ ВВС и НИИ СС и заводу, в специально созданной для этой цели войсковой части, вооруженной серийными ракетными само</w:t>
      </w:r>
      <w:r w:rsidRPr="00D03F3E">
        <w:rPr>
          <w:rFonts w:ascii="Times New Roman" w:hAnsi="Times New Roman"/>
          <w:color w:val="000000" w:themeColor="text1"/>
          <w:sz w:val="16"/>
          <w:szCs w:val="16"/>
        </w:rPr>
        <w:softHyphen/>
        <w:t>летами БИ, а также работой соответствующих НИИ над дистанциометром и целеискателем; третий-Академии Наук, ЦАГИ и заводу постановкой специальных медиклтехнических экспе</w:t>
      </w:r>
      <w:r w:rsidRPr="00D03F3E">
        <w:rPr>
          <w:rFonts w:ascii="Times New Roman" w:hAnsi="Times New Roman"/>
          <w:color w:val="000000" w:themeColor="text1"/>
          <w:sz w:val="16"/>
          <w:szCs w:val="16"/>
        </w:rPr>
        <w:softHyphen/>
        <w:t>риментов. Более детально ближайшие задачи указаны в приложе</w:t>
      </w:r>
      <w:r w:rsidRPr="00D03F3E">
        <w:rPr>
          <w:rFonts w:ascii="Times New Roman" w:hAnsi="Times New Roman"/>
          <w:color w:val="000000" w:themeColor="text1"/>
          <w:sz w:val="16"/>
          <w:szCs w:val="16"/>
        </w:rPr>
        <w:softHyphen/>
        <w:t>нии № 5.</w:t>
      </w:r>
    </w:p>
    <w:p w14:paraId="7F581E6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параллельно с ними, на основе освоенияи разработки теории, а также полученного практического опыта, ясно выри</w:t>
      </w:r>
      <w:r w:rsidRPr="00D03F3E">
        <w:rPr>
          <w:rFonts w:ascii="Times New Roman" w:hAnsi="Times New Roman"/>
          <w:color w:val="000000" w:themeColor="text1"/>
          <w:sz w:val="16"/>
          <w:szCs w:val="16"/>
        </w:rPr>
        <w:softHyphen/>
        <w:t>совались вопросы еще более широкие, которые для своего реше</w:t>
      </w:r>
      <w:r w:rsidRPr="00D03F3E">
        <w:rPr>
          <w:rFonts w:ascii="Times New Roman" w:hAnsi="Times New Roman"/>
          <w:color w:val="000000" w:themeColor="text1"/>
          <w:sz w:val="16"/>
          <w:szCs w:val="16"/>
        </w:rPr>
        <w:softHyphen/>
        <w:t>ния потребуют значительных сил и времени /приложение № 6/.</w:t>
      </w:r>
    </w:p>
    <w:p w14:paraId="7292CBE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Главнейшие из них изложены ниже.</w:t>
      </w:r>
    </w:p>
    <w:p w14:paraId="04A5343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Первое и основное, что выяснилось в результате разработки теории ракетных самолетов и двигателей - это чрезвычайная чувствительность ракетного самолета к оптимальному соотноше</w:t>
      </w:r>
      <w:r w:rsidRPr="00D03F3E">
        <w:rPr>
          <w:rFonts w:ascii="Times New Roman" w:hAnsi="Times New Roman"/>
          <w:color w:val="000000" w:themeColor="text1"/>
          <w:sz w:val="16"/>
          <w:szCs w:val="16"/>
        </w:rPr>
        <w:softHyphen/>
        <w:t>нию и компоновке самолета и двигателя.</w:t>
      </w:r>
    </w:p>
    <w:p w14:paraId="50D0C69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Несоответствие между ними ведет к резкому снижению качеств самолета. Поэтому, если мы хотим получить хороший ракетный самолет, мы должны и самолет и двигатель проектировать и делать на одном заводе, под одним руководством в тесной увязке конструкторов по самолетам , двигателям и приборам. Т.е. надо усилить и укреплять существующую базу и кадры.</w:t>
      </w:r>
    </w:p>
    <w:p w14:paraId="746094C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Второе - это дальнейшее улучшение жидкостных ракетных двигателей, на сегодня далеко неудовлетворительных, а также создание воздушно- ракетных двигателей для самолетов других назначений и приборов к ним.</w:t>
      </w:r>
    </w:p>
    <w:p w14:paraId="3838A06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Третье - это исследование самолета до вхождения его в волновой кризис, условий прохождения этого кризиса,полета На скоростях выше скорости звука и создание перехватчика со скоростью порядка 2000 .км/ч.</w:t>
      </w:r>
    </w:p>
    <w:p w14:paraId="6F6DC6C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Эту задачу необходимо начать решать немедленно, т.к. техника достигла такого уровня развития, что можно ожидать в. ближайшее время появления не только у нас, но и у наших про</w:t>
      </w:r>
      <w:r w:rsidRPr="00D03F3E">
        <w:rPr>
          <w:rFonts w:ascii="Times New Roman" w:hAnsi="Times New Roman"/>
          <w:color w:val="000000" w:themeColor="text1"/>
          <w:sz w:val="16"/>
          <w:szCs w:val="16"/>
        </w:rPr>
        <w:softHyphen/>
        <w:t>тивников, ракетных- самолетов разведывательного и бомбардировочного типа, летающих на скоростях близких к скорости звука. И мы должны быть поповы к отражению этих самолетов.Отразить же их способен только самолет с жидкостным ракетным двигателем /дальнейшее раввине самолета БИ/ т.к. он. один может ра</w:t>
      </w:r>
      <w:r w:rsidRPr="00D03F3E">
        <w:rPr>
          <w:rFonts w:ascii="Times New Roman" w:hAnsi="Times New Roman"/>
          <w:color w:val="000000" w:themeColor="text1"/>
          <w:sz w:val="16"/>
          <w:szCs w:val="16"/>
        </w:rPr>
        <w:softHyphen/>
        <w:t>ботать, как до, так и выше скорости звука, в то .время как зоздушно- ракетные двигатели пригодны пока только для дозвуковых скоростей, и самолет с ВРД зазвуковым-еще проблема и, притом, очень далекая.</w:t>
      </w:r>
    </w:p>
    <w:p w14:paraId="6170F30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того, чтобы решать эти задачи, необходимо завод подкрепить оборудованием, которого не хватает для полного комплекта требующегося по роду работы / приложение № 7/, а главное рабсилой - в основном рабочими и в меньшей степени инженерно- конструкторскими кадрами / приложение № 8/.</w:t>
      </w:r>
    </w:p>
    <w:p w14:paraId="452828E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Необходима также помощь по линии улучшения соцбытовых условий жизни работников завода.</w:t>
      </w:r>
    </w:p>
    <w:p w14:paraId="30B5620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линии капитального строительства необходимо, чяобы ГУКС, в этом году выполнил Ваш прошлогодний приказ по з-ду № 293.</w:t>
      </w:r>
    </w:p>
    <w:p w14:paraId="397EB76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Наконец, поскольку завод занимается тематикой научно-исследовательской и работники его для решения практических задач проводят, и уже провели, целый ряд теоретических и экспериментальных работ, необходимо з-ду дать право наравне о институтами представлять и присваивать таким людям ученые звания.</w:t>
      </w:r>
    </w:p>
    <w:p w14:paraId="4D4DE25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ПРИЛОЖЕНИЯ: 1,2,3,4,5,6,7 и 8 (1775,138).</w:t>
      </w:r>
    </w:p>
    <w:p w14:paraId="3FF14F9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 1.</w:t>
      </w:r>
    </w:p>
    <w:p w14:paraId="2786425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УКРУПНЕННЫЙ СПИСОК ПРАКТИЧЕСКИХ И ЗКСПЕРИМЕТАЛЬНЫХ РАБОТ ЗАВОДА № 293 ЗА ПЕРИОД с УШ-1941 г. по У-1943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78"/>
        <w:gridCol w:w="8640"/>
      </w:tblGrid>
      <w:tr w:rsidR="00860B4B" w:rsidRPr="00D03F3E" w14:paraId="41E62330" w14:textId="77777777">
        <w:tc>
          <w:tcPr>
            <w:tcW w:w="2178" w:type="dxa"/>
            <w:tcBorders>
              <w:top w:val="single" w:sz="12" w:space="0" w:color="auto"/>
            </w:tcBorders>
          </w:tcPr>
          <w:p w14:paraId="64AC0D8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Наименование темы</w:t>
            </w:r>
          </w:p>
        </w:tc>
        <w:tc>
          <w:tcPr>
            <w:tcW w:w="8640" w:type="dxa"/>
            <w:tcBorders>
              <w:top w:val="single" w:sz="12" w:space="0" w:color="auto"/>
            </w:tcBorders>
          </w:tcPr>
          <w:p w14:paraId="37909D0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Содержание работы</w:t>
            </w:r>
          </w:p>
        </w:tc>
      </w:tr>
      <w:tr w:rsidR="00860B4B" w:rsidRPr="00D03F3E" w14:paraId="4D07797A" w14:textId="77777777">
        <w:tc>
          <w:tcPr>
            <w:tcW w:w="2178" w:type="dxa"/>
          </w:tcPr>
          <w:p w14:paraId="34E0C10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Самолетная тематика.</w:t>
            </w:r>
          </w:p>
        </w:tc>
        <w:tc>
          <w:tcPr>
            <w:tcW w:w="8640" w:type="dxa"/>
          </w:tcPr>
          <w:p w14:paraId="2D5911A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Проектирование, расчеты, наземные испытания, продувка в трубе ЦАРИ, летные испытания.</w:t>
            </w:r>
          </w:p>
        </w:tc>
      </w:tr>
      <w:tr w:rsidR="00860B4B" w:rsidRPr="00D03F3E" w14:paraId="24938354" w14:textId="77777777">
        <w:tc>
          <w:tcPr>
            <w:tcW w:w="2178" w:type="dxa"/>
          </w:tcPr>
          <w:p w14:paraId="32CC2B8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1.Планер самолета "Перехватчик"</w:t>
            </w:r>
          </w:p>
        </w:tc>
        <w:tc>
          <w:tcPr>
            <w:tcW w:w="8640" w:type="dxa"/>
          </w:tcPr>
          <w:p w14:paraId="5DAF2E6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Построенный заводом планер самолета "Перехватчик" после прохождения на</w:t>
            </w:r>
            <w:r w:rsidRPr="00D03F3E">
              <w:rPr>
                <w:rFonts w:ascii="Times New Roman" w:hAnsi="Times New Roman"/>
                <w:color w:val="000000" w:themeColor="text1"/>
                <w:sz w:val="16"/>
                <w:szCs w:val="16"/>
              </w:rPr>
              <w:softHyphen/>
              <w:t>земных испытаний,был направлен на аэродром ЦАГИ-Раменское для прове</w:t>
            </w:r>
            <w:r w:rsidRPr="00D03F3E">
              <w:rPr>
                <w:rFonts w:ascii="Times New Roman" w:hAnsi="Times New Roman"/>
                <w:color w:val="000000" w:themeColor="text1"/>
                <w:sz w:val="16"/>
                <w:szCs w:val="16"/>
              </w:rPr>
              <w:softHyphen/>
              <w:t>дения летных испытании,во время кото</w:t>
            </w:r>
            <w:r w:rsidRPr="00D03F3E">
              <w:rPr>
                <w:rFonts w:ascii="Times New Roman" w:hAnsi="Times New Roman"/>
                <w:color w:val="000000" w:themeColor="text1"/>
                <w:sz w:val="16"/>
                <w:szCs w:val="16"/>
              </w:rPr>
              <w:softHyphen/>
              <w:t>рых планер был продут в трубе ЦАГИ на снятие его аэродинамических характе</w:t>
            </w:r>
            <w:r w:rsidRPr="00D03F3E">
              <w:rPr>
                <w:rFonts w:ascii="Times New Roman" w:hAnsi="Times New Roman"/>
                <w:color w:val="000000" w:themeColor="text1"/>
                <w:sz w:val="16"/>
                <w:szCs w:val="16"/>
              </w:rPr>
              <w:softHyphen/>
              <w:t>ристик, а,затем были закончены'летные испытания.</w:t>
            </w:r>
          </w:p>
        </w:tc>
      </w:tr>
      <w:tr w:rsidR="00860B4B" w:rsidRPr="00D03F3E" w14:paraId="41923D02" w14:textId="77777777">
        <w:tc>
          <w:tcPr>
            <w:tcW w:w="2178" w:type="dxa"/>
          </w:tcPr>
          <w:p w14:paraId="4A21EE8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Ракетный самолет "Перехватчик"</w:t>
            </w:r>
          </w:p>
        </w:tc>
        <w:tc>
          <w:tcPr>
            <w:tcW w:w="8640" w:type="dxa"/>
          </w:tcPr>
          <w:p w14:paraId="12C98A8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Конструирование, расчет, производство, стат-динамические испытания, наземные испытания, летные испытания.</w:t>
            </w:r>
          </w:p>
          <w:p w14:paraId="58D4988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проведения статдинамических испытаний заводом было изготовлено три экземпляра планеров, из них два управляемых, испытанных в ЦАГИ, и один поагрегатно испытывался на за</w:t>
            </w:r>
            <w:r w:rsidRPr="00D03F3E">
              <w:rPr>
                <w:rFonts w:ascii="Times New Roman" w:hAnsi="Times New Roman"/>
                <w:color w:val="000000" w:themeColor="text1"/>
                <w:sz w:val="16"/>
                <w:szCs w:val="16"/>
              </w:rPr>
              <w:softHyphen/>
              <w:t>воде.</w:t>
            </w:r>
          </w:p>
          <w:p w14:paraId="6EEBC54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проведения летных испытаний заводом построено три экземпляра самолетов.</w:t>
            </w:r>
          </w:p>
          <w:p w14:paraId="65FB75D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наземные испытания входило: испытания органов управления, шасси, щитков, крыла и фонаря в рабочем положении имитационными эксплоатационными нагруз</w:t>
            </w:r>
            <w:r w:rsidRPr="00D03F3E">
              <w:rPr>
                <w:rFonts w:ascii="Times New Roman" w:hAnsi="Times New Roman"/>
                <w:color w:val="000000" w:themeColor="text1"/>
                <w:sz w:val="16"/>
                <w:szCs w:val="16"/>
              </w:rPr>
              <w:softHyphen/>
              <w:t>ками, а также отработка двигательнойгруппы.</w:t>
            </w:r>
          </w:p>
          <w:p w14:paraId="7AE5163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Летные испытания проводились на аэрдроме НИИ ВВС в Кольцове.Программа испытаний по снятию летной характе</w:t>
            </w:r>
            <w:r w:rsidRPr="00D03F3E">
              <w:rPr>
                <w:rFonts w:ascii="Times New Roman" w:hAnsi="Times New Roman"/>
                <w:color w:val="000000" w:themeColor="text1"/>
                <w:sz w:val="16"/>
                <w:szCs w:val="16"/>
              </w:rPr>
              <w:softHyphen/>
              <w:t>ристики самолета окончена. Кроме ука</w:t>
            </w:r>
            <w:r w:rsidRPr="00D03F3E">
              <w:rPr>
                <w:rFonts w:ascii="Times New Roman" w:hAnsi="Times New Roman"/>
                <w:color w:val="000000" w:themeColor="text1"/>
                <w:sz w:val="16"/>
                <w:szCs w:val="16"/>
              </w:rPr>
              <w:softHyphen/>
              <w:t>занных шести самолетов заводом был из</w:t>
            </w:r>
            <w:r w:rsidRPr="00D03F3E">
              <w:rPr>
                <w:rFonts w:ascii="Times New Roman" w:hAnsi="Times New Roman"/>
                <w:color w:val="000000" w:themeColor="text1"/>
                <w:sz w:val="16"/>
                <w:szCs w:val="16"/>
              </w:rPr>
              <w:softHyphen/>
              <w:t>готовлен один макетный экземпляр,слу</w:t>
            </w:r>
            <w:r w:rsidRPr="00D03F3E">
              <w:rPr>
                <w:rFonts w:ascii="Times New Roman" w:hAnsi="Times New Roman"/>
                <w:color w:val="000000" w:themeColor="text1"/>
                <w:sz w:val="16"/>
                <w:szCs w:val="16"/>
              </w:rPr>
              <w:softHyphen/>
              <w:t>жащий для отработки компановок.</w:t>
            </w:r>
          </w:p>
        </w:tc>
      </w:tr>
      <w:tr w:rsidR="00860B4B" w:rsidRPr="00D03F3E" w14:paraId="2C9E6688" w14:textId="77777777">
        <w:tc>
          <w:tcPr>
            <w:tcW w:w="2178" w:type="dxa"/>
          </w:tcPr>
          <w:p w14:paraId="223B477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Ракетный самолет "Перехватчик" 1-ая модернизация</w:t>
            </w:r>
          </w:p>
        </w:tc>
        <w:tc>
          <w:tcPr>
            <w:tcW w:w="8640" w:type="dxa"/>
          </w:tcPr>
          <w:p w14:paraId="5731CD5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Конструирование и расчет. Так как производственная база завода не обеспечивала выпуска шаровых балло</w:t>
            </w:r>
            <w:r w:rsidRPr="00D03F3E">
              <w:rPr>
                <w:rFonts w:ascii="Times New Roman" w:hAnsi="Times New Roman"/>
                <w:color w:val="000000" w:themeColor="text1"/>
                <w:sz w:val="16"/>
                <w:szCs w:val="16"/>
              </w:rPr>
              <w:softHyphen/>
              <w:t>нов, последние были,согласно решения ГОКО, переданы па Уралмашзавод. В на</w:t>
            </w:r>
            <w:r w:rsidRPr="00D03F3E">
              <w:rPr>
                <w:rFonts w:ascii="Times New Roman" w:hAnsi="Times New Roman"/>
                <w:color w:val="000000" w:themeColor="text1"/>
                <w:sz w:val="16"/>
                <w:szCs w:val="16"/>
              </w:rPr>
              <w:softHyphen/>
              <w:t>стоящее время часть штампов закончена.</w:t>
            </w:r>
          </w:p>
        </w:tc>
      </w:tr>
      <w:tr w:rsidR="00860B4B" w:rsidRPr="00D03F3E" w14:paraId="771CE058" w14:textId="77777777">
        <w:tc>
          <w:tcPr>
            <w:tcW w:w="2178" w:type="dxa"/>
          </w:tcPr>
          <w:p w14:paraId="53D03B8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Ракетный самолет "Перехватчик" 2-ая модернизация</w:t>
            </w:r>
          </w:p>
        </w:tc>
        <w:tc>
          <w:tcPr>
            <w:tcW w:w="8640" w:type="dxa"/>
          </w:tcPr>
          <w:p w14:paraId="7688BF3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Проектирование, расчет, производство 2-ая модернизация самолета "Перехват</w:t>
            </w:r>
            <w:r w:rsidRPr="00D03F3E">
              <w:rPr>
                <w:rFonts w:ascii="Times New Roman" w:hAnsi="Times New Roman"/>
                <w:color w:val="000000" w:themeColor="text1"/>
                <w:sz w:val="16"/>
                <w:szCs w:val="16"/>
              </w:rPr>
              <w:softHyphen/>
              <w:t>чик" включает в себе: шаровые баллоны 1-й модернизации и установку по консо</w:t>
            </w:r>
            <w:r w:rsidRPr="00D03F3E">
              <w:rPr>
                <w:rFonts w:ascii="Times New Roman" w:hAnsi="Times New Roman"/>
                <w:color w:val="000000" w:themeColor="text1"/>
                <w:sz w:val="16"/>
                <w:szCs w:val="16"/>
              </w:rPr>
              <w:softHyphen/>
              <w:t>лям крыла 2-х ПВРД. 3 ходе проектирова</w:t>
            </w:r>
            <w:r w:rsidRPr="00D03F3E">
              <w:rPr>
                <w:rFonts w:ascii="Times New Roman" w:hAnsi="Times New Roman"/>
                <w:color w:val="000000" w:themeColor="text1"/>
                <w:sz w:val="16"/>
                <w:szCs w:val="16"/>
              </w:rPr>
              <w:softHyphen/>
              <w:t>ния 2-й модернизации, Ввиду' отсутствия шаровых баллонов, компоновку самолета, конструирование, а также производство отдельных узлов пришлось изменить. Кроме этого КБ проделаны расчеты и сделана конструкция планера под ЖРД с прямоугольным крылом., являющимся одним из вариантов 2-ой модернизации. Необходимость разработки данного вари</w:t>
            </w:r>
            <w:r w:rsidRPr="00D03F3E">
              <w:rPr>
                <w:rFonts w:ascii="Times New Roman" w:hAnsi="Times New Roman"/>
                <w:color w:val="000000" w:themeColor="text1"/>
                <w:sz w:val="16"/>
                <w:szCs w:val="16"/>
              </w:rPr>
              <w:softHyphen/>
              <w:t>анта диктовалась решением прочностных вопросов планера от аэродинамических сил, действующих на ПВРД.</w:t>
            </w:r>
          </w:p>
        </w:tc>
      </w:tr>
      <w:tr w:rsidR="00860B4B" w:rsidRPr="00D03F3E" w14:paraId="4E41E81A" w14:textId="77777777">
        <w:tc>
          <w:tcPr>
            <w:tcW w:w="2178" w:type="dxa"/>
          </w:tcPr>
          <w:p w14:paraId="29D78CE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Серия самолетов "Перехватчик"</w:t>
            </w:r>
          </w:p>
        </w:tc>
        <w:tc>
          <w:tcPr>
            <w:tcW w:w="8640" w:type="dxa"/>
          </w:tcPr>
          <w:p w14:paraId="4D443F6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Приказом НКАП на завод № 381 было передано строительство серии самоле</w:t>
            </w:r>
            <w:r w:rsidRPr="00D03F3E">
              <w:rPr>
                <w:rFonts w:ascii="Times New Roman" w:hAnsi="Times New Roman"/>
                <w:color w:val="000000" w:themeColor="text1"/>
                <w:sz w:val="16"/>
                <w:szCs w:val="16"/>
              </w:rPr>
              <w:softHyphen/>
              <w:t>тов "Перехватчик". Ввиду специфичности самолета, заводом № 293 была выделена группа конструкторов, технологов и производственников в помощь заводу № 381, для быстрейшего освоения и выпуска серки.</w:t>
            </w:r>
          </w:p>
        </w:tc>
      </w:tr>
      <w:tr w:rsidR="00860B4B" w:rsidRPr="00D03F3E" w14:paraId="26C2153A" w14:textId="77777777">
        <w:tc>
          <w:tcPr>
            <w:tcW w:w="2178" w:type="dxa"/>
          </w:tcPr>
          <w:p w14:paraId="51720D6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Противокислотные лаки для деревянных и металличееких конструкций, противокислотная смазка и электрооизоляция</w:t>
            </w:r>
          </w:p>
        </w:tc>
        <w:tc>
          <w:tcPr>
            <w:tcW w:w="8640" w:type="dxa"/>
          </w:tcPr>
          <w:p w14:paraId="1F7A029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процессе изготовления самолетов заводом, совместно с работниками Инсти тута Азота были разработаны и применены лаки, защищающие деревоконструкцию и металл самолета от воздействия на них азотной кислоты. Кроме того, пришлось разработать противокислотпую смазку для трущихся детадок агрегатов управле</w:t>
            </w:r>
            <w:r w:rsidRPr="00D03F3E">
              <w:rPr>
                <w:rFonts w:ascii="Times New Roman" w:hAnsi="Times New Roman"/>
                <w:color w:val="000000" w:themeColor="text1"/>
                <w:sz w:val="16"/>
                <w:szCs w:val="16"/>
              </w:rPr>
              <w:softHyphen/>
              <w:t>ния, работающих или в кислоте, или в парах ее. После проведения испытаний в эксплоатационных условиях работы са</w:t>
            </w:r>
            <w:r w:rsidRPr="00D03F3E">
              <w:rPr>
                <w:rFonts w:ascii="Times New Roman" w:hAnsi="Times New Roman"/>
                <w:color w:val="000000" w:themeColor="text1"/>
                <w:sz w:val="16"/>
                <w:szCs w:val="16"/>
              </w:rPr>
              <w:softHyphen/>
              <w:t>молета и получения положительных резуль</w:t>
            </w:r>
            <w:r w:rsidRPr="00D03F3E">
              <w:rPr>
                <w:rFonts w:ascii="Times New Roman" w:hAnsi="Times New Roman"/>
                <w:color w:val="000000" w:themeColor="text1"/>
                <w:sz w:val="16"/>
                <w:szCs w:val="16"/>
              </w:rPr>
              <w:softHyphen/>
              <w:t>татов, лаки, смазки и электроизоляция были рекомендованы заводу № 381 для при</w:t>
            </w:r>
            <w:r w:rsidRPr="00D03F3E">
              <w:rPr>
                <w:rFonts w:ascii="Times New Roman" w:hAnsi="Times New Roman"/>
                <w:color w:val="000000" w:themeColor="text1"/>
                <w:sz w:val="16"/>
                <w:szCs w:val="16"/>
              </w:rPr>
              <w:softHyphen/>
              <w:t>менения их в строящейся серии.</w:t>
            </w:r>
          </w:p>
        </w:tc>
      </w:tr>
      <w:tr w:rsidR="00860B4B" w:rsidRPr="00D03F3E" w14:paraId="2EA5BDFE" w14:textId="77777777">
        <w:tc>
          <w:tcPr>
            <w:tcW w:w="2178" w:type="dxa"/>
          </w:tcPr>
          <w:p w14:paraId="7EB518A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Баллоны для топлива и окислителя</w:t>
            </w:r>
          </w:p>
        </w:tc>
        <w:tc>
          <w:tcPr>
            <w:tcW w:w="8640" w:type="dxa"/>
          </w:tcPr>
          <w:p w14:paraId="047F9C8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Заводом проведен ряд эксперименталь</w:t>
            </w:r>
            <w:r w:rsidRPr="00D03F3E">
              <w:rPr>
                <w:rFonts w:ascii="Times New Roman" w:hAnsi="Times New Roman"/>
                <w:color w:val="000000" w:themeColor="text1"/>
                <w:sz w:val="16"/>
                <w:szCs w:val="16"/>
              </w:rPr>
              <w:softHyphen/>
              <w:t>но-исследовательских работ по технологии выполнения баллонов ж предохранения их от воздействия кислоты. Разработан метод покрытия оловом. Разрабатывается плаки</w:t>
            </w:r>
            <w:r w:rsidRPr="00D03F3E">
              <w:rPr>
                <w:rFonts w:ascii="Times New Roman" w:hAnsi="Times New Roman"/>
                <w:color w:val="000000" w:themeColor="text1"/>
                <w:sz w:val="16"/>
                <w:szCs w:val="16"/>
              </w:rPr>
              <w:softHyphen/>
              <w:t>рование нержавеющей сталью, газовое хромирование и покрытие проивокислотнок пластмассой.</w:t>
            </w:r>
          </w:p>
        </w:tc>
      </w:tr>
      <w:tr w:rsidR="00860B4B" w:rsidRPr="00D03F3E" w14:paraId="0D55DCF6" w14:textId="77777777">
        <w:tc>
          <w:tcPr>
            <w:tcW w:w="2178" w:type="dxa"/>
          </w:tcPr>
          <w:p w14:paraId="27767AE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Двкжителъная тематика</w:t>
            </w:r>
          </w:p>
        </w:tc>
        <w:tc>
          <w:tcPr>
            <w:tcW w:w="8640" w:type="dxa"/>
          </w:tcPr>
          <w:p w14:paraId="07561AFC"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r>
      <w:tr w:rsidR="00860B4B" w:rsidRPr="00D03F3E" w14:paraId="7BDB0812" w14:textId="77777777">
        <w:tc>
          <w:tcPr>
            <w:tcW w:w="2178" w:type="dxa"/>
          </w:tcPr>
          <w:p w14:paraId="320A91A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Испытание и доводка жидкостного-реактив</w:t>
            </w:r>
            <w:r w:rsidRPr="00D03F3E">
              <w:rPr>
                <w:rFonts w:ascii="Times New Roman" w:hAnsi="Times New Roman"/>
                <w:color w:val="000000" w:themeColor="text1"/>
                <w:sz w:val="16"/>
                <w:szCs w:val="16"/>
              </w:rPr>
              <w:softHyphen/>
              <w:t>ного двигателя кон</w:t>
            </w:r>
            <w:r w:rsidRPr="00D03F3E">
              <w:rPr>
                <w:rFonts w:ascii="Times New Roman" w:hAnsi="Times New Roman"/>
                <w:color w:val="000000" w:themeColor="text1"/>
                <w:sz w:val="16"/>
                <w:szCs w:val="16"/>
              </w:rPr>
              <w:softHyphen/>
              <w:t>струкции НИИ-3</w:t>
            </w:r>
          </w:p>
        </w:tc>
        <w:tc>
          <w:tcPr>
            <w:tcW w:w="8640" w:type="dxa"/>
          </w:tcPr>
          <w:p w14:paraId="5A83583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Принятый заводом жидкостной реактивный двигатель конструкции НИИ-3, испытывался в институте в закрытой изо</w:t>
            </w:r>
            <w:r w:rsidRPr="00D03F3E">
              <w:rPr>
                <w:rFonts w:ascii="Times New Roman" w:hAnsi="Times New Roman"/>
                <w:color w:val="000000" w:themeColor="text1"/>
                <w:sz w:val="16"/>
                <w:szCs w:val="16"/>
              </w:rPr>
              <w:softHyphen/>
              <w:t>лированной бетонной башне, без наблюде</w:t>
            </w:r>
            <w:r w:rsidRPr="00D03F3E">
              <w:rPr>
                <w:rFonts w:ascii="Times New Roman" w:hAnsi="Times New Roman"/>
                <w:color w:val="000000" w:themeColor="text1"/>
                <w:sz w:val="16"/>
                <w:szCs w:val="16"/>
              </w:rPr>
              <w:softHyphen/>
              <w:t>ния за ним жизого человека.</w:t>
            </w:r>
          </w:p>
        </w:tc>
      </w:tr>
      <w:tr w:rsidR="00860B4B" w:rsidRPr="00D03F3E" w14:paraId="27608EB1" w14:textId="77777777">
        <w:tc>
          <w:tcPr>
            <w:tcW w:w="2178" w:type="dxa"/>
          </w:tcPr>
          <w:p w14:paraId="1CD1843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Испытание питающей системы и управления ЖРД конструкции за</w:t>
            </w:r>
            <w:r w:rsidRPr="00D03F3E">
              <w:rPr>
                <w:rFonts w:ascii="Times New Roman" w:hAnsi="Times New Roman"/>
                <w:color w:val="000000" w:themeColor="text1"/>
                <w:sz w:val="16"/>
                <w:szCs w:val="16"/>
              </w:rPr>
              <w:softHyphen/>
              <w:t>вода № 293</w:t>
            </w:r>
          </w:p>
        </w:tc>
        <w:tc>
          <w:tcPr>
            <w:tcW w:w="8640" w:type="dxa"/>
          </w:tcPr>
          <w:p w14:paraId="2CC903C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этого, питающая, контролирую</w:t>
            </w:r>
            <w:r w:rsidRPr="00D03F3E">
              <w:rPr>
                <w:rFonts w:ascii="Times New Roman" w:hAnsi="Times New Roman"/>
                <w:color w:val="000000" w:themeColor="text1"/>
                <w:sz w:val="16"/>
                <w:szCs w:val="16"/>
              </w:rPr>
              <w:softHyphen/>
              <w:t xml:space="preserve">щая и управляющая системы двигателя, принятые в институте, ни в коем случае не могли сколько-нибудь удовлетворить пред"явлемым самолетом требованиям, как все сводилось только к забросу порции топлива и окислителя,потребного для тяги, поэтому дал применения этого двигателя </w:t>
            </w:r>
            <w:r w:rsidRPr="00D03F3E">
              <w:rPr>
                <w:rFonts w:ascii="Times New Roman" w:hAnsi="Times New Roman"/>
                <w:smallCaps/>
                <w:color w:val="000000" w:themeColor="text1"/>
                <w:sz w:val="16"/>
                <w:szCs w:val="16"/>
              </w:rPr>
              <w:t xml:space="preserve">б </w:t>
            </w:r>
            <w:r w:rsidRPr="00D03F3E">
              <w:rPr>
                <w:rFonts w:ascii="Times New Roman" w:hAnsi="Times New Roman"/>
                <w:color w:val="000000" w:themeColor="text1"/>
                <w:sz w:val="16"/>
                <w:szCs w:val="16"/>
              </w:rPr>
              <w:t>условиях работы его на от</w:t>
            </w:r>
            <w:r w:rsidRPr="00D03F3E">
              <w:rPr>
                <w:rFonts w:ascii="Times New Roman" w:hAnsi="Times New Roman"/>
                <w:color w:val="000000" w:themeColor="text1"/>
                <w:sz w:val="16"/>
                <w:szCs w:val="16"/>
              </w:rPr>
              <w:softHyphen/>
              <w:t>крытое стенде и самолете заводу № 293 пришлось отработать пусковые свойства двигателя, рабочие режимы его, питащую систему и управление им при обеспечении необходимого контроля за его работой.</w:t>
            </w:r>
          </w:p>
          <w:p w14:paraId="36A290B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Стендовое испытание ЖРД завод на</w:t>
            </w:r>
            <w:r w:rsidRPr="00D03F3E">
              <w:rPr>
                <w:rFonts w:ascii="Times New Roman" w:hAnsi="Times New Roman"/>
                <w:color w:val="000000" w:themeColor="text1"/>
                <w:sz w:val="16"/>
                <w:szCs w:val="16"/>
              </w:rPr>
              <w:softHyphen/>
              <w:t>чал с сентября м-ца 1941 г. На заводе был построен стенд, отвечающий самолету "Перехватчик" по компоновке и оборудова</w:t>
            </w:r>
            <w:r w:rsidRPr="00D03F3E">
              <w:rPr>
                <w:rFonts w:ascii="Times New Roman" w:hAnsi="Times New Roman"/>
                <w:color w:val="000000" w:themeColor="text1"/>
                <w:sz w:val="16"/>
                <w:szCs w:val="16"/>
              </w:rPr>
              <w:softHyphen/>
              <w:t>нию. Начальные работы свелись к отработ</w:t>
            </w:r>
            <w:r w:rsidRPr="00D03F3E">
              <w:rPr>
                <w:rFonts w:ascii="Times New Roman" w:hAnsi="Times New Roman"/>
                <w:color w:val="000000" w:themeColor="text1"/>
                <w:sz w:val="16"/>
                <w:szCs w:val="16"/>
              </w:rPr>
              <w:softHyphen/>
              <w:t>ке надежности запуска, так как первые эксперименты характеризовались одним пуском из двадцати-тридцати попыток. Для этой целм заводом были спроектиро</w:t>
            </w:r>
            <w:r w:rsidRPr="00D03F3E">
              <w:rPr>
                <w:rFonts w:ascii="Times New Roman" w:hAnsi="Times New Roman"/>
                <w:color w:val="000000" w:themeColor="text1"/>
                <w:sz w:val="16"/>
                <w:szCs w:val="16"/>
              </w:rPr>
              <w:softHyphen/>
              <w:t>ваны и изготовлены специальные пусковые краны, работающие только на пусковые форсунки_и дающие постоянство в соотношенни окислителя и топлива и тирована свеча накала. Так как рабочийкрай НИИ-3 давал необходимое соот</w:t>
            </w:r>
            <w:r w:rsidRPr="00D03F3E">
              <w:rPr>
                <w:rFonts w:ascii="Times New Roman" w:hAnsi="Times New Roman"/>
                <w:color w:val="000000" w:themeColor="text1"/>
                <w:sz w:val="16"/>
                <w:szCs w:val="16"/>
              </w:rPr>
              <w:softHyphen/>
              <w:t>ношение между компонентами только при полном его открытии и не обеспечи</w:t>
            </w:r>
            <w:r w:rsidRPr="00D03F3E">
              <w:rPr>
                <w:rFonts w:ascii="Times New Roman" w:hAnsi="Times New Roman"/>
                <w:color w:val="000000" w:themeColor="text1"/>
                <w:sz w:val="16"/>
                <w:szCs w:val="16"/>
              </w:rPr>
              <w:softHyphen/>
              <w:t>вал это соотношение в рабочем диапазоне, заводом был изготовлен дроссельный кран с профилированными окнами,причем начальное открытие его обеспечивало малу тягу при необходимом соотношении компонентов и дальнейшую пропорциональ</w:t>
            </w:r>
            <w:r w:rsidRPr="00D03F3E">
              <w:rPr>
                <w:rFonts w:ascii="Times New Roman" w:hAnsi="Times New Roman"/>
                <w:color w:val="000000" w:themeColor="text1"/>
                <w:sz w:val="16"/>
                <w:szCs w:val="16"/>
              </w:rPr>
              <w:softHyphen/>
              <w:t>ную подачу на всех режимах работы дви</w:t>
            </w:r>
            <w:r w:rsidRPr="00D03F3E">
              <w:rPr>
                <w:rFonts w:ascii="Times New Roman" w:hAnsi="Times New Roman"/>
                <w:color w:val="000000" w:themeColor="text1"/>
                <w:sz w:val="16"/>
                <w:szCs w:val="16"/>
              </w:rPr>
              <w:softHyphen/>
              <w:t>гателя.</w:t>
            </w:r>
          </w:p>
          <w:p w14:paraId="1596381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Наличие такого крана дало возмож</w:t>
            </w:r>
            <w:r w:rsidRPr="00D03F3E">
              <w:rPr>
                <w:rFonts w:ascii="Times New Roman" w:hAnsi="Times New Roman"/>
                <w:color w:val="000000" w:themeColor="text1"/>
                <w:sz w:val="16"/>
                <w:szCs w:val="16"/>
              </w:rPr>
              <w:softHyphen/>
              <w:t>ность работать на любом режиме двига</w:t>
            </w:r>
            <w:r w:rsidRPr="00D03F3E">
              <w:rPr>
                <w:rFonts w:ascii="Times New Roman" w:hAnsi="Times New Roman"/>
                <w:color w:val="000000" w:themeColor="text1"/>
                <w:sz w:val="16"/>
                <w:szCs w:val="16"/>
              </w:rPr>
              <w:softHyphen/>
              <w:t>теля, начиная с малой тяги (400 кг.) с плавными переходами, аналогичными обычному авиационному мотору.</w:t>
            </w:r>
          </w:p>
          <w:p w14:paraId="3EF17C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одновременного пуска и прекращения подачи окислителя и топлива в двигатель, перед рабочими форсунками был введен специальный отсечной кран, исключающий отдельно доступ в камеру двигателя кислоты или керосина и тем самым сводящий к минимуму догорание после выключения двигателя.</w:t>
            </w:r>
          </w:p>
          <w:p w14:paraId="5134C2C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Управление всеми тремя кранами, для отождествления его с управлением обычных авиационных моторов, сведено на один рычаг сектора. Это дало возмож</w:t>
            </w:r>
            <w:r w:rsidRPr="00D03F3E">
              <w:rPr>
                <w:rFonts w:ascii="Times New Roman" w:hAnsi="Times New Roman"/>
                <w:color w:val="000000" w:themeColor="text1"/>
                <w:sz w:val="16"/>
                <w:szCs w:val="16"/>
              </w:rPr>
              <w:softHyphen/>
              <w:t>ность пилоту свободно манипулировать при даче-уборке "газа", как и на обычных самоле тах.</w:t>
            </w:r>
          </w:p>
          <w:p w14:paraId="70221C1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изготовлении указанных работ, завод до своей эвакуации, отработал на</w:t>
            </w:r>
            <w:r w:rsidRPr="00D03F3E">
              <w:rPr>
                <w:rFonts w:ascii="Times New Roman" w:hAnsi="Times New Roman"/>
                <w:color w:val="000000" w:themeColor="text1"/>
                <w:sz w:val="16"/>
                <w:szCs w:val="16"/>
              </w:rPr>
              <w:softHyphen/>
              <w:t>дежность пуска двигателя.</w:t>
            </w:r>
          </w:p>
          <w:p w14:paraId="679DAF7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Урале, до первого полета само</w:t>
            </w:r>
            <w:r w:rsidRPr="00D03F3E">
              <w:rPr>
                <w:rFonts w:ascii="Times New Roman" w:hAnsi="Times New Roman"/>
                <w:color w:val="000000" w:themeColor="text1"/>
                <w:sz w:val="16"/>
                <w:szCs w:val="16"/>
              </w:rPr>
              <w:softHyphen/>
              <w:t>лета (май 1942г.) заводом был отработан переход.с пускового режима на малую тягу (400 кг.) и работа двигателя до тяги. 600 кг., на которой и был совершен пер</w:t>
            </w:r>
            <w:r w:rsidRPr="00D03F3E">
              <w:rPr>
                <w:rFonts w:ascii="Times New Roman" w:hAnsi="Times New Roman"/>
                <w:color w:val="000000" w:themeColor="text1"/>
                <w:sz w:val="16"/>
                <w:szCs w:val="16"/>
              </w:rPr>
              <w:softHyphen/>
              <w:t>вый вылет. Вторым этапом работы над всей двигательной установкой были испы</w:t>
            </w:r>
            <w:r w:rsidRPr="00D03F3E">
              <w:rPr>
                <w:rFonts w:ascii="Times New Roman" w:hAnsi="Times New Roman"/>
                <w:color w:val="000000" w:themeColor="text1"/>
                <w:sz w:val="16"/>
                <w:szCs w:val="16"/>
              </w:rPr>
              <w:softHyphen/>
              <w:t>тания двигателя на продолжительность и доведение его тяги до 1100 кг. В резуль</w:t>
            </w:r>
            <w:r w:rsidRPr="00D03F3E">
              <w:rPr>
                <w:rFonts w:ascii="Times New Roman" w:hAnsi="Times New Roman"/>
                <w:color w:val="000000" w:themeColor="text1"/>
                <w:sz w:val="16"/>
                <w:szCs w:val="16"/>
              </w:rPr>
              <w:softHyphen/>
              <w:t>тате этих испытаний, окончившихся ц октябре 1942 г., были получены регла</w:t>
            </w:r>
            <w:r w:rsidRPr="00D03F3E">
              <w:rPr>
                <w:rFonts w:ascii="Times New Roman" w:hAnsi="Times New Roman"/>
                <w:color w:val="000000" w:themeColor="text1"/>
                <w:sz w:val="16"/>
                <w:szCs w:val="16"/>
              </w:rPr>
              <w:softHyphen/>
              <w:t xml:space="preserve">менты на работу сопла (6 рабочих пусков) и головку </w:t>
            </w:r>
            <w:r w:rsidRPr="00D03F3E">
              <w:rPr>
                <w:rFonts w:ascii="Times New Roman" w:hAnsi="Times New Roman"/>
                <w:color w:val="000000" w:themeColor="text1"/>
                <w:sz w:val="16"/>
                <w:szCs w:val="16"/>
              </w:rPr>
              <w:lastRenderedPageBreak/>
              <w:t>с камерой двигателя (12 рабо</w:t>
            </w:r>
            <w:r w:rsidRPr="00D03F3E">
              <w:rPr>
                <w:rFonts w:ascii="Times New Roman" w:hAnsi="Times New Roman"/>
                <w:color w:val="000000" w:themeColor="text1"/>
                <w:sz w:val="16"/>
                <w:szCs w:val="16"/>
              </w:rPr>
              <w:softHyphen/>
              <w:t>чих пусков). После указанной работы завод приступил к снятию летных харак</w:t>
            </w:r>
            <w:r w:rsidRPr="00D03F3E">
              <w:rPr>
                <w:rFonts w:ascii="Times New Roman" w:hAnsi="Times New Roman"/>
                <w:color w:val="000000" w:themeColor="text1"/>
                <w:sz w:val="16"/>
                <w:szCs w:val="16"/>
              </w:rPr>
              <w:softHyphen/>
              <w:t>теристик самолета, которые закончил в марте 1943 года.</w:t>
            </w:r>
          </w:p>
        </w:tc>
      </w:tr>
      <w:tr w:rsidR="00860B4B" w:rsidRPr="00D03F3E" w14:paraId="11DAFE04" w14:textId="77777777">
        <w:tc>
          <w:tcPr>
            <w:tcW w:w="2178" w:type="dxa"/>
          </w:tcPr>
          <w:p w14:paraId="3E4EF3D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 Водушный ракетный двигатель.</w:t>
            </w:r>
          </w:p>
          <w:p w14:paraId="75EC78C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Топливный-насос и воздушный привод к нему.</w:t>
            </w:r>
          </w:p>
        </w:tc>
        <w:tc>
          <w:tcPr>
            <w:tcW w:w="8640" w:type="dxa"/>
          </w:tcPr>
          <w:p w14:paraId="0BE1908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Вторая модернизация самолета включала установку по консолям крыла двух дополнительных воздушно-ракетных двигателей.</w:t>
            </w:r>
          </w:p>
          <w:p w14:paraId="6772742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этой цели заводом были запроекти</w:t>
            </w:r>
            <w:r w:rsidRPr="00D03F3E">
              <w:rPr>
                <w:rFonts w:ascii="Times New Roman" w:hAnsi="Times New Roman"/>
                <w:color w:val="000000" w:themeColor="text1"/>
                <w:sz w:val="16"/>
                <w:szCs w:val="16"/>
              </w:rPr>
              <w:softHyphen/>
              <w:t>рованы., и изготовлены прямоточные ВРД №№ 100, 120, 121 и 122.. Отличие их между собой состоит в рабочем давлении подачи топлива, пусковых и рабочих форсунках. Стендовые испытания, проводимые на заводе, подтвердили проектные предположения, и для установки на самолет был выбран ВРД типа 122 с увеличенным тепловым ре</w:t>
            </w:r>
            <w:r w:rsidRPr="00D03F3E">
              <w:rPr>
                <w:rFonts w:ascii="Times New Roman" w:hAnsi="Times New Roman"/>
                <w:color w:val="000000" w:themeColor="text1"/>
                <w:sz w:val="16"/>
                <w:szCs w:val="16"/>
              </w:rPr>
              <w:softHyphen/>
              <w:t>жимом и повышенным давлением подачи топлива.</w:t>
            </w:r>
          </w:p>
          <w:p w14:paraId="2CDF696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этой целью заводом был спроектиро</w:t>
            </w:r>
            <w:r w:rsidRPr="00D03F3E">
              <w:rPr>
                <w:rFonts w:ascii="Times New Roman" w:hAnsi="Times New Roman"/>
                <w:color w:val="000000" w:themeColor="text1"/>
                <w:sz w:val="16"/>
                <w:szCs w:val="16"/>
              </w:rPr>
              <w:softHyphen/>
              <w:t>ван к изготовлен топливный насос с.при</w:t>
            </w:r>
            <w:r w:rsidRPr="00D03F3E">
              <w:rPr>
                <w:rFonts w:ascii="Times New Roman" w:hAnsi="Times New Roman"/>
                <w:color w:val="000000" w:themeColor="text1"/>
                <w:sz w:val="16"/>
                <w:szCs w:val="16"/>
              </w:rPr>
              <w:softHyphen/>
              <w:t>водом к нему от воздушного ветряка.</w:t>
            </w:r>
          </w:p>
        </w:tc>
      </w:tr>
      <w:tr w:rsidR="00860B4B" w:rsidRPr="00D03F3E" w14:paraId="4972A325" w14:textId="77777777">
        <w:tc>
          <w:tcPr>
            <w:tcW w:w="2178" w:type="dxa"/>
          </w:tcPr>
          <w:p w14:paraId="194FAD6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Тематика спецоборудо</w:t>
            </w:r>
            <w:r w:rsidRPr="00D03F3E">
              <w:rPr>
                <w:rFonts w:ascii="Times New Roman" w:hAnsi="Times New Roman"/>
                <w:color w:val="000000" w:themeColor="text1"/>
                <w:sz w:val="16"/>
                <w:szCs w:val="16"/>
              </w:rPr>
              <w:softHyphen/>
              <w:t>вания и вооружения</w:t>
            </w:r>
          </w:p>
        </w:tc>
        <w:tc>
          <w:tcPr>
            <w:tcW w:w="8640" w:type="dxa"/>
          </w:tcPr>
          <w:p w14:paraId="20BB387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ведения контроля и регулирования работ агрегатов питания и управления ЖРД и ВРД заводом были спроектированы, изготовлены и испытатщ следующие приборы и агрегаты:</w:t>
            </w:r>
          </w:p>
        </w:tc>
      </w:tr>
      <w:tr w:rsidR="00860B4B" w:rsidRPr="00D03F3E" w14:paraId="013CB804" w14:textId="77777777">
        <w:tc>
          <w:tcPr>
            <w:tcW w:w="2178" w:type="dxa"/>
          </w:tcPr>
          <w:p w14:paraId="4DE9A1D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Сигнализатор керосина</w:t>
            </w:r>
          </w:p>
        </w:tc>
        <w:tc>
          <w:tcPr>
            <w:tcW w:w="8640" w:type="dxa"/>
          </w:tcPr>
          <w:p w14:paraId="16F1FE4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Разработанаконструкция, изготовлен и испытан сигнализатор с контактом в керо</w:t>
            </w:r>
            <w:r w:rsidRPr="00D03F3E">
              <w:rPr>
                <w:rFonts w:ascii="Times New Roman" w:hAnsi="Times New Roman"/>
                <w:color w:val="000000" w:themeColor="text1"/>
                <w:sz w:val="16"/>
                <w:szCs w:val="16"/>
              </w:rPr>
              <w:softHyphen/>
              <w:t>сине, служащий для дачи сигнала при вы</w:t>
            </w:r>
            <w:r w:rsidRPr="00D03F3E">
              <w:rPr>
                <w:rFonts w:ascii="Times New Roman" w:hAnsi="Times New Roman"/>
                <w:color w:val="000000" w:themeColor="text1"/>
                <w:sz w:val="16"/>
                <w:szCs w:val="16"/>
              </w:rPr>
              <w:softHyphen/>
              <w:t>работке керосина. Изготовлена .войс.ковая серия. Сигнализатор прошел испытания на стенде и в полете.</w:t>
            </w:r>
          </w:p>
          <w:p w14:paraId="5CB4055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улучшения работ керосинового сигнализатора, спроектирован и изготовлен сигнализатор с принципиально новой системой магнитдой передачи на контакт. Прибор успешно прошел испытания на стнеде ЖРД.</w:t>
            </w:r>
          </w:p>
        </w:tc>
      </w:tr>
      <w:tr w:rsidR="00860B4B" w:rsidRPr="00D03F3E" w14:paraId="3C056235" w14:textId="77777777">
        <w:tc>
          <w:tcPr>
            <w:tcW w:w="2178" w:type="dxa"/>
          </w:tcPr>
          <w:p w14:paraId="116C1EC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Сигнализатор кислоты</w:t>
            </w:r>
          </w:p>
        </w:tc>
        <w:tc>
          <w:tcPr>
            <w:tcW w:w="8640" w:type="dxa"/>
          </w:tcPr>
          <w:p w14:paraId="7BE5DAB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Разработана конструкция сигнализа</w:t>
            </w:r>
            <w:r w:rsidRPr="00D03F3E">
              <w:rPr>
                <w:rFonts w:ascii="Times New Roman" w:hAnsi="Times New Roman"/>
                <w:color w:val="000000" w:themeColor="text1"/>
                <w:sz w:val="16"/>
                <w:szCs w:val="16"/>
              </w:rPr>
              <w:softHyphen/>
              <w:t>тора с электролитическим контактом в кислоте. Проведены наземные и летные испытания, показавшие полную надеж</w:t>
            </w:r>
            <w:r w:rsidRPr="00D03F3E">
              <w:rPr>
                <w:rFonts w:ascii="Times New Roman" w:hAnsi="Times New Roman"/>
                <w:color w:val="000000" w:themeColor="text1"/>
                <w:sz w:val="16"/>
                <w:szCs w:val="16"/>
              </w:rPr>
              <w:softHyphen/>
              <w:t>ность действия и безотказность. Изготовлена войсковая серия приборов. Назначение то же,что и керосинового сигнализатора.</w:t>
            </w:r>
          </w:p>
        </w:tc>
      </w:tr>
      <w:tr w:rsidR="00860B4B" w:rsidRPr="00D03F3E" w14:paraId="36BDCEC0" w14:textId="77777777">
        <w:tc>
          <w:tcPr>
            <w:tcW w:w="2178" w:type="dxa"/>
          </w:tcPr>
          <w:p w14:paraId="35956FE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Термосигнализатор, служащий для дачи сигнала при перег</w:t>
            </w:r>
            <w:r w:rsidRPr="00D03F3E">
              <w:rPr>
                <w:rFonts w:ascii="Times New Roman" w:hAnsi="Times New Roman"/>
                <w:color w:val="000000" w:themeColor="text1"/>
                <w:sz w:val="16"/>
                <w:szCs w:val="16"/>
              </w:rPr>
              <w:softHyphen/>
              <w:t>реве двигателя</w:t>
            </w:r>
          </w:p>
        </w:tc>
        <w:tc>
          <w:tcPr>
            <w:tcW w:w="8640" w:type="dxa"/>
          </w:tcPr>
          <w:p w14:paraId="40F208C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Разработана конструкция биметал</w:t>
            </w:r>
            <w:r w:rsidRPr="00D03F3E">
              <w:rPr>
                <w:rFonts w:ascii="Times New Roman" w:hAnsi="Times New Roman"/>
                <w:color w:val="000000" w:themeColor="text1"/>
                <w:sz w:val="16"/>
                <w:szCs w:val="16"/>
              </w:rPr>
              <w:softHyphen/>
              <w:t>лического сигнализатора, включаемого в керосиновую магистраль. Проведены стендовые и летные испытания. Изго</w:t>
            </w:r>
            <w:r w:rsidRPr="00D03F3E">
              <w:rPr>
                <w:rFonts w:ascii="Times New Roman" w:hAnsi="Times New Roman"/>
                <w:color w:val="000000" w:themeColor="text1"/>
                <w:sz w:val="16"/>
                <w:szCs w:val="16"/>
              </w:rPr>
              <w:softHyphen/>
              <w:t>товлена войсковая серия.</w:t>
            </w:r>
          </w:p>
          <w:p w14:paraId="204734F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уменьшения теплоинерцион-ности биметаллического термосигнали</w:t>
            </w:r>
            <w:r w:rsidRPr="00D03F3E">
              <w:rPr>
                <w:rFonts w:ascii="Times New Roman" w:hAnsi="Times New Roman"/>
                <w:color w:val="000000" w:themeColor="text1"/>
                <w:sz w:val="16"/>
                <w:szCs w:val="16"/>
              </w:rPr>
              <w:softHyphen/>
              <w:t>затора разработана новая конструкция малоинерпдонного сигнализатора, сов</w:t>
            </w:r>
            <w:r w:rsidRPr="00D03F3E">
              <w:rPr>
                <w:rFonts w:ascii="Times New Roman" w:hAnsi="Times New Roman"/>
                <w:color w:val="000000" w:themeColor="text1"/>
                <w:sz w:val="16"/>
                <w:szCs w:val="16"/>
              </w:rPr>
              <w:softHyphen/>
              <w:t>мещенного с электротермометром.</w:t>
            </w:r>
          </w:p>
          <w:p w14:paraId="66C8124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Изготовлен опытный образец термометра, показавшего уменьшение тепловой инерции в 8-10 раз по срав</w:t>
            </w:r>
            <w:r w:rsidRPr="00D03F3E">
              <w:rPr>
                <w:rFonts w:ascii="Times New Roman" w:hAnsi="Times New Roman"/>
                <w:color w:val="000000" w:themeColor="text1"/>
                <w:sz w:val="16"/>
                <w:szCs w:val="16"/>
              </w:rPr>
              <w:softHyphen/>
              <w:t>нению с серийным типа ТМЭ.</w:t>
            </w:r>
          </w:p>
          <w:p w14:paraId="2471A46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Проведены стендовые испытания прибора на стенде ЖРД.</w:t>
            </w:r>
          </w:p>
        </w:tc>
      </w:tr>
      <w:tr w:rsidR="00860B4B" w:rsidRPr="00D03F3E" w14:paraId="6FE4DB67" w14:textId="77777777">
        <w:tc>
          <w:tcPr>
            <w:tcW w:w="2178" w:type="dxa"/>
          </w:tcPr>
          <w:p w14:paraId="2AB17DD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Свеча накаливания (запальная)</w:t>
            </w:r>
          </w:p>
        </w:tc>
        <w:tc>
          <w:tcPr>
            <w:tcW w:w="8640" w:type="dxa"/>
          </w:tcPr>
          <w:p w14:paraId="7635254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Разработана конструкция и изготовлена войсковая серия запаль</w:t>
            </w:r>
            <w:r w:rsidRPr="00D03F3E">
              <w:rPr>
                <w:rFonts w:ascii="Times New Roman" w:hAnsi="Times New Roman"/>
                <w:color w:val="000000" w:themeColor="text1"/>
                <w:sz w:val="16"/>
                <w:szCs w:val="16"/>
              </w:rPr>
              <w:softHyphen/>
              <w:t>ной свечи для запуска ЖРД. Проведены стендовые и летные испытания.</w:t>
            </w:r>
          </w:p>
        </w:tc>
      </w:tr>
      <w:tr w:rsidR="00860B4B" w:rsidRPr="00D03F3E" w14:paraId="46A27F13" w14:textId="77777777">
        <w:tc>
          <w:tcPr>
            <w:tcW w:w="2178" w:type="dxa"/>
          </w:tcPr>
          <w:p w14:paraId="39C1F5E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Сигнализатор накала</w:t>
            </w:r>
          </w:p>
        </w:tc>
        <w:tc>
          <w:tcPr>
            <w:tcW w:w="8640" w:type="dxa"/>
          </w:tcPr>
          <w:p w14:paraId="61047A8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Разработана конструкция и изго</w:t>
            </w:r>
            <w:r w:rsidRPr="00D03F3E">
              <w:rPr>
                <w:rFonts w:ascii="Times New Roman" w:hAnsi="Times New Roman"/>
                <w:color w:val="000000" w:themeColor="text1"/>
                <w:sz w:val="16"/>
                <w:szCs w:val="16"/>
              </w:rPr>
              <w:softHyphen/>
              <w:t>товлена войсковая серия сигнализа</w:t>
            </w:r>
            <w:r w:rsidRPr="00D03F3E">
              <w:rPr>
                <w:rFonts w:ascii="Times New Roman" w:hAnsi="Times New Roman"/>
                <w:color w:val="000000" w:themeColor="text1"/>
                <w:sz w:val="16"/>
                <w:szCs w:val="16"/>
              </w:rPr>
              <w:softHyphen/>
              <w:t>торов накала, служащего для контроля за запальной свечой, для определения момента открытия пусковых форсунок.</w:t>
            </w:r>
          </w:p>
          <w:p w14:paraId="03DCBF4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Проведены стендовые и летные испытания.</w:t>
            </w:r>
          </w:p>
        </w:tc>
      </w:tr>
      <w:tr w:rsidR="00860B4B" w:rsidRPr="00D03F3E" w14:paraId="6E4046C3" w14:textId="77777777">
        <w:tc>
          <w:tcPr>
            <w:tcW w:w="2178" w:type="dxa"/>
          </w:tcPr>
          <w:p w14:paraId="62F1E0E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Манометр тяги с защитной мембраной</w:t>
            </w:r>
          </w:p>
        </w:tc>
        <w:tc>
          <w:tcPr>
            <w:tcW w:w="8640" w:type="dxa"/>
          </w:tcPr>
          <w:p w14:paraId="744DF86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Разработана конструкция и изго</w:t>
            </w:r>
            <w:r w:rsidRPr="00D03F3E">
              <w:rPr>
                <w:rFonts w:ascii="Times New Roman" w:hAnsi="Times New Roman"/>
                <w:color w:val="000000" w:themeColor="text1"/>
                <w:sz w:val="16"/>
                <w:szCs w:val="16"/>
              </w:rPr>
              <w:softHyphen/>
              <w:t>товлена войсковая серия манометров тяги для ЖРД с защитной мембраной типа сильфона. Проведены стендовые и летные испытания. Назначение - замер тяги двига</w:t>
            </w:r>
            <w:r w:rsidRPr="00D03F3E">
              <w:rPr>
                <w:rFonts w:ascii="Times New Roman" w:hAnsi="Times New Roman"/>
                <w:color w:val="000000" w:themeColor="text1"/>
                <w:sz w:val="16"/>
                <w:szCs w:val="16"/>
              </w:rPr>
              <w:softHyphen/>
              <w:t>теля во время его работы. Заменяет тахо-, метр в обычных авиационных моторах.</w:t>
            </w:r>
          </w:p>
        </w:tc>
      </w:tr>
      <w:tr w:rsidR="00860B4B" w:rsidRPr="00D03F3E" w14:paraId="156F029E" w14:textId="77777777">
        <w:tc>
          <w:tcPr>
            <w:tcW w:w="2178" w:type="dxa"/>
          </w:tcPr>
          <w:p w14:paraId="32E786A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7.Электрический дистан ционный индикатор тяги</w:t>
            </w:r>
          </w:p>
        </w:tc>
        <w:tc>
          <w:tcPr>
            <w:tcW w:w="8640" w:type="dxa"/>
          </w:tcPr>
          <w:p w14:paraId="77265A9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Разработажконструкция и изготовлены 3 опытных образца электрических дистан</w:t>
            </w:r>
            <w:r w:rsidRPr="00D03F3E">
              <w:rPr>
                <w:rFonts w:ascii="Times New Roman" w:hAnsi="Times New Roman"/>
                <w:color w:val="000000" w:themeColor="text1"/>
                <w:sz w:val="16"/>
                <w:szCs w:val="16"/>
              </w:rPr>
              <w:softHyphen/>
              <w:t>ционных индикатора тяги для ЖРД. Назначение то же,что и манометратяги.</w:t>
            </w:r>
          </w:p>
        </w:tc>
      </w:tr>
      <w:tr w:rsidR="00860B4B" w:rsidRPr="00D03F3E" w14:paraId="04DCE8E9" w14:textId="77777777">
        <w:tc>
          <w:tcPr>
            <w:tcW w:w="2178" w:type="dxa"/>
          </w:tcPr>
          <w:p w14:paraId="5EC4294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Указатель .скорости до 1000 км/час., совмещенный с реле уборки шасси и щит</w:t>
            </w:r>
            <w:r w:rsidRPr="00D03F3E">
              <w:rPr>
                <w:rFonts w:ascii="Times New Roman" w:hAnsi="Times New Roman"/>
                <w:color w:val="000000" w:themeColor="text1"/>
                <w:sz w:val="16"/>
                <w:szCs w:val="16"/>
              </w:rPr>
              <w:softHyphen/>
              <w:t>ков крыла.</w:t>
            </w:r>
          </w:p>
        </w:tc>
        <w:tc>
          <w:tcPr>
            <w:tcW w:w="8640" w:type="dxa"/>
          </w:tcPr>
          <w:p w14:paraId="266FBC3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Разработана конструкция и изготов</w:t>
            </w:r>
            <w:r w:rsidRPr="00D03F3E">
              <w:rPr>
                <w:rFonts w:ascii="Times New Roman" w:hAnsi="Times New Roman"/>
                <w:color w:val="000000" w:themeColor="text1"/>
                <w:sz w:val="16"/>
                <w:szCs w:val="16"/>
              </w:rPr>
              <w:softHyphen/>
              <w:t>лены 3 опытных образца указателей ско</w:t>
            </w:r>
            <w:r w:rsidRPr="00D03F3E">
              <w:rPr>
                <w:rFonts w:ascii="Times New Roman" w:hAnsi="Times New Roman"/>
                <w:color w:val="000000" w:themeColor="text1"/>
                <w:sz w:val="16"/>
                <w:szCs w:val="16"/>
              </w:rPr>
              <w:softHyphen/>
              <w:t>рости до 1000 км/ч,, совмещенных с реле скорости. Реле скорости включает авто</w:t>
            </w:r>
            <w:r w:rsidRPr="00D03F3E">
              <w:rPr>
                <w:rFonts w:ascii="Times New Roman" w:hAnsi="Times New Roman"/>
                <w:color w:val="000000" w:themeColor="text1"/>
                <w:sz w:val="16"/>
                <w:szCs w:val="16"/>
              </w:rPr>
              <w:softHyphen/>
              <w:t>матику уборки шасси и закрылков при заданной скорости полета.</w:t>
            </w:r>
          </w:p>
          <w:p w14:paraId="279471C2"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r>
      <w:tr w:rsidR="00860B4B" w:rsidRPr="00D03F3E" w14:paraId="08BFC5C8" w14:textId="77777777">
        <w:tc>
          <w:tcPr>
            <w:tcW w:w="2178" w:type="dxa"/>
          </w:tcPr>
          <w:p w14:paraId="29DFE66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Реле скорости до 400 км/ч.</w:t>
            </w:r>
          </w:p>
        </w:tc>
        <w:tc>
          <w:tcPr>
            <w:tcW w:w="8640" w:type="dxa"/>
          </w:tcPr>
          <w:p w14:paraId="0D97846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Разработана конструкция и изготов</w:t>
            </w:r>
            <w:r w:rsidRPr="00D03F3E">
              <w:rPr>
                <w:rFonts w:ascii="Times New Roman" w:hAnsi="Times New Roman"/>
                <w:color w:val="000000" w:themeColor="text1"/>
                <w:sz w:val="16"/>
                <w:szCs w:val="16"/>
              </w:rPr>
              <w:softHyphen/>
              <w:t>лена опытная серия реле скорости до 400 км/ч, для автомата уборки шасси и закрылков.</w:t>
            </w:r>
          </w:p>
        </w:tc>
      </w:tr>
      <w:tr w:rsidR="00860B4B" w:rsidRPr="00D03F3E" w14:paraId="5C17B1E4" w14:textId="77777777">
        <w:tc>
          <w:tcPr>
            <w:tcW w:w="2178" w:type="dxa"/>
          </w:tcPr>
          <w:p w14:paraId="4013330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Сигнализатор критической скорости</w:t>
            </w:r>
          </w:p>
        </w:tc>
        <w:tc>
          <w:tcPr>
            <w:tcW w:w="8640" w:type="dxa"/>
          </w:tcPr>
          <w:p w14:paraId="3B99047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Разработана конструкция и изготов</w:t>
            </w:r>
            <w:r w:rsidRPr="00D03F3E">
              <w:rPr>
                <w:rFonts w:ascii="Times New Roman" w:hAnsi="Times New Roman"/>
                <w:color w:val="000000" w:themeColor="text1"/>
                <w:sz w:val="16"/>
                <w:szCs w:val="16"/>
              </w:rPr>
              <w:softHyphen/>
              <w:t>лена опытная серия сигнализаторов кри</w:t>
            </w:r>
            <w:r w:rsidRPr="00D03F3E">
              <w:rPr>
                <w:rFonts w:ascii="Times New Roman" w:hAnsi="Times New Roman"/>
                <w:color w:val="000000" w:themeColor="text1"/>
                <w:sz w:val="16"/>
                <w:szCs w:val="16"/>
              </w:rPr>
              <w:softHyphen/>
              <w:t>тической скорости с двумя аэродинами</w:t>
            </w:r>
            <w:r w:rsidRPr="00D03F3E">
              <w:rPr>
                <w:rFonts w:ascii="Times New Roman" w:hAnsi="Times New Roman"/>
                <w:color w:val="000000" w:themeColor="text1"/>
                <w:sz w:val="16"/>
                <w:szCs w:val="16"/>
              </w:rPr>
              <w:softHyphen/>
              <w:t>ческими телами.</w:t>
            </w:r>
          </w:p>
          <w:p w14:paraId="784DCF5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Разработана конструкция и изготов</w:t>
            </w:r>
            <w:r w:rsidRPr="00D03F3E">
              <w:rPr>
                <w:rFonts w:ascii="Times New Roman" w:hAnsi="Times New Roman"/>
                <w:color w:val="000000" w:themeColor="text1"/>
                <w:sz w:val="16"/>
                <w:szCs w:val="16"/>
              </w:rPr>
              <w:softHyphen/>
              <w:t>лен опытный образец сигнализатора кри</w:t>
            </w:r>
            <w:r w:rsidRPr="00D03F3E">
              <w:rPr>
                <w:rFonts w:ascii="Times New Roman" w:hAnsi="Times New Roman"/>
                <w:color w:val="000000" w:themeColor="text1"/>
                <w:sz w:val="16"/>
                <w:szCs w:val="16"/>
              </w:rPr>
              <w:softHyphen/>
              <w:t>тической скорости, работающего от трубки ПИТО, Проведены испытания в скоростной трубе НИИ ВВС КА.</w:t>
            </w:r>
          </w:p>
        </w:tc>
      </w:tr>
      <w:tr w:rsidR="00860B4B" w:rsidRPr="00D03F3E" w14:paraId="7C69CEC6" w14:textId="77777777">
        <w:tc>
          <w:tcPr>
            <w:tcW w:w="2178" w:type="dxa"/>
          </w:tcPr>
          <w:p w14:paraId="141052B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Автоматическая система управления питанием ВРД</w:t>
            </w:r>
          </w:p>
        </w:tc>
        <w:tc>
          <w:tcPr>
            <w:tcW w:w="8640" w:type="dxa"/>
          </w:tcPr>
          <w:p w14:paraId="51421CF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Разработана конструкция и изготов</w:t>
            </w:r>
            <w:r w:rsidRPr="00D03F3E">
              <w:rPr>
                <w:rFonts w:ascii="Times New Roman" w:hAnsi="Times New Roman"/>
                <w:color w:val="000000" w:themeColor="text1"/>
                <w:sz w:val="16"/>
                <w:szCs w:val="16"/>
              </w:rPr>
              <w:softHyphen/>
              <w:t>лен опытный образец датчика автомати</w:t>
            </w:r>
            <w:r w:rsidRPr="00D03F3E">
              <w:rPr>
                <w:rFonts w:ascii="Times New Roman" w:hAnsi="Times New Roman"/>
                <w:color w:val="000000" w:themeColor="text1"/>
                <w:sz w:val="16"/>
                <w:szCs w:val="16"/>
              </w:rPr>
              <w:softHyphen/>
              <w:t>ческого управления электробензокранами питания ВРД. Датчик помещается в бензо</w:t>
            </w:r>
            <w:r w:rsidRPr="00D03F3E">
              <w:rPr>
                <w:rFonts w:ascii="Times New Roman" w:hAnsi="Times New Roman"/>
                <w:color w:val="000000" w:themeColor="text1"/>
                <w:sz w:val="16"/>
                <w:szCs w:val="16"/>
              </w:rPr>
              <w:softHyphen/>
              <w:t>бак и снабжен принципиально новым устройством магнитной передачи движения.</w:t>
            </w:r>
          </w:p>
          <w:p w14:paraId="705EB59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Разработана конструкция автоматического электробензокрана.</w:t>
            </w:r>
          </w:p>
        </w:tc>
      </w:tr>
      <w:tr w:rsidR="00860B4B" w:rsidRPr="00D03F3E" w14:paraId="2D4F27C3" w14:textId="77777777">
        <w:tc>
          <w:tcPr>
            <w:tcW w:w="2178" w:type="dxa"/>
          </w:tcPr>
          <w:p w14:paraId="022E8FA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Автомат расхода го</w:t>
            </w:r>
            <w:r w:rsidRPr="00D03F3E">
              <w:rPr>
                <w:rFonts w:ascii="Times New Roman" w:hAnsi="Times New Roman"/>
                <w:color w:val="000000" w:themeColor="text1"/>
                <w:sz w:val="16"/>
                <w:szCs w:val="16"/>
              </w:rPr>
              <w:softHyphen/>
              <w:t xml:space="preserve">рючего (по </w:t>
            </w:r>
            <w:r w:rsidRPr="00D03F3E">
              <w:rPr>
                <w:rFonts w:ascii="Times New Roman" w:hAnsi="Times New Roman"/>
                <w:smallCaps/>
                <w:color w:val="000000" w:themeColor="text1"/>
                <w:sz w:val="16"/>
                <w:szCs w:val="16"/>
              </w:rPr>
              <w:t xml:space="preserve">оу </w:t>
            </w:r>
            <w:r w:rsidRPr="00D03F3E">
              <w:rPr>
                <w:rFonts w:ascii="Times New Roman" w:hAnsi="Times New Roman"/>
                <w:color w:val="000000" w:themeColor="text1"/>
                <w:sz w:val="16"/>
                <w:szCs w:val="16"/>
              </w:rPr>
              <w:t>) для ВРД</w:t>
            </w:r>
          </w:p>
        </w:tc>
        <w:tc>
          <w:tcPr>
            <w:tcW w:w="8640" w:type="dxa"/>
          </w:tcPr>
          <w:p w14:paraId="4F488CD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Спроектирован и изготовлен опытный образец автоматического регулятора расхода горючего для ВРД, исключающий возможность несинхронной работы воздушно-ракетных двигателей.</w:t>
            </w:r>
          </w:p>
        </w:tc>
      </w:tr>
      <w:tr w:rsidR="00860B4B" w:rsidRPr="00D03F3E" w14:paraId="4C104571" w14:textId="77777777">
        <w:tc>
          <w:tcPr>
            <w:tcW w:w="2178" w:type="dxa"/>
          </w:tcPr>
          <w:p w14:paraId="50B53BA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Другие работы</w:t>
            </w:r>
          </w:p>
        </w:tc>
        <w:tc>
          <w:tcPr>
            <w:tcW w:w="8640" w:type="dxa"/>
          </w:tcPr>
          <w:p w14:paraId="53BE716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перечисленных работ, относящихся непосредственно к реактивной тематике, заводом были проведены работы по усовер</w:t>
            </w:r>
            <w:r w:rsidRPr="00D03F3E">
              <w:rPr>
                <w:rFonts w:ascii="Times New Roman" w:hAnsi="Times New Roman"/>
                <w:color w:val="000000" w:themeColor="text1"/>
                <w:sz w:val="16"/>
                <w:szCs w:val="16"/>
              </w:rPr>
              <w:softHyphen/>
              <w:t>шенствованию имеющегося серийного самолетного оборудования и выпуск продукции в малых сериях.</w:t>
            </w:r>
          </w:p>
        </w:tc>
      </w:tr>
      <w:tr w:rsidR="00860B4B" w:rsidRPr="00D03F3E" w14:paraId="25ECC89E" w14:textId="77777777">
        <w:tc>
          <w:tcPr>
            <w:tcW w:w="2178" w:type="dxa"/>
          </w:tcPr>
          <w:p w14:paraId="2744EA8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Ручки управления</w:t>
            </w:r>
          </w:p>
        </w:tc>
        <w:tc>
          <w:tcPr>
            <w:tcW w:w="8640" w:type="dxa"/>
          </w:tcPr>
          <w:p w14:paraId="19E5F4C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Ручки управления самолетом типа Ме-109, выпущенные заводом в количестве 300 шт. и после освоения технологии, пере</w:t>
            </w:r>
            <w:r w:rsidRPr="00D03F3E">
              <w:rPr>
                <w:rFonts w:ascii="Times New Roman" w:hAnsi="Times New Roman"/>
                <w:color w:val="000000" w:themeColor="text1"/>
                <w:sz w:val="16"/>
                <w:szCs w:val="16"/>
              </w:rPr>
              <w:softHyphen/>
              <w:t>даны серийному заводу.</w:t>
            </w:r>
          </w:p>
        </w:tc>
      </w:tr>
      <w:tr w:rsidR="00860B4B" w:rsidRPr="00D03F3E" w14:paraId="0DC32251" w14:textId="77777777">
        <w:tc>
          <w:tcPr>
            <w:tcW w:w="2178" w:type="dxa"/>
          </w:tcPr>
          <w:p w14:paraId="07D92A1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Пневмоэлектро</w:t>
            </w:r>
            <w:r w:rsidRPr="00D03F3E">
              <w:rPr>
                <w:rFonts w:ascii="Times New Roman" w:hAnsi="Times New Roman"/>
                <w:color w:val="000000" w:themeColor="text1"/>
                <w:sz w:val="16"/>
                <w:szCs w:val="16"/>
              </w:rPr>
              <w:softHyphen/>
              <w:t>клапана</w:t>
            </w:r>
          </w:p>
        </w:tc>
        <w:tc>
          <w:tcPr>
            <w:tcW w:w="8640" w:type="dxa"/>
          </w:tcPr>
          <w:p w14:paraId="312FB1C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Пневмо электроклапаны выпускаются за</w:t>
            </w:r>
            <w:r w:rsidRPr="00D03F3E">
              <w:rPr>
                <w:rFonts w:ascii="Times New Roman" w:hAnsi="Times New Roman"/>
                <w:color w:val="000000" w:themeColor="text1"/>
                <w:sz w:val="16"/>
                <w:szCs w:val="16"/>
              </w:rPr>
              <w:softHyphen/>
              <w:t>водом серией в 50 штук для Илов.</w:t>
            </w:r>
          </w:p>
        </w:tc>
      </w:tr>
      <w:tr w:rsidR="00860B4B" w:rsidRPr="00D03F3E" w14:paraId="350373EF" w14:textId="77777777">
        <w:tc>
          <w:tcPr>
            <w:tcW w:w="2178" w:type="dxa"/>
          </w:tcPr>
          <w:p w14:paraId="120831C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Дистанционное управление рацией</w:t>
            </w:r>
          </w:p>
        </w:tc>
        <w:tc>
          <w:tcPr>
            <w:tcW w:w="8640" w:type="dxa"/>
          </w:tcPr>
          <w:p w14:paraId="5F6B5E0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Дистанционное управление рацией, выпущенное заводом в количестве 50 ком</w:t>
            </w:r>
            <w:r w:rsidRPr="00D03F3E">
              <w:rPr>
                <w:rFonts w:ascii="Times New Roman" w:hAnsi="Times New Roman"/>
                <w:color w:val="000000" w:themeColor="text1"/>
                <w:sz w:val="16"/>
                <w:szCs w:val="16"/>
              </w:rPr>
              <w:softHyphen/>
              <w:t>плектов для ЯК"ов.</w:t>
            </w:r>
          </w:p>
        </w:tc>
      </w:tr>
      <w:tr w:rsidR="00860B4B" w:rsidRPr="00D03F3E" w14:paraId="5BA801BC" w14:textId="77777777">
        <w:tc>
          <w:tcPr>
            <w:tcW w:w="2178" w:type="dxa"/>
          </w:tcPr>
          <w:p w14:paraId="60836A8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Перевооружение ЛАГГ под 37 мм</w:t>
            </w:r>
          </w:p>
        </w:tc>
        <w:tc>
          <w:tcPr>
            <w:tcW w:w="8640" w:type="dxa"/>
          </w:tcPr>
          <w:p w14:paraId="2C9B44B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Перевооружено первое звено ЛАГГ"ов с 37-мм. пушками на фронт в 1941 году.</w:t>
            </w:r>
          </w:p>
        </w:tc>
      </w:tr>
      <w:tr w:rsidR="00860B4B" w:rsidRPr="00D03F3E" w14:paraId="4C1E3346" w14:textId="77777777">
        <w:tc>
          <w:tcPr>
            <w:tcW w:w="2178" w:type="dxa"/>
            <w:tcBorders>
              <w:bottom w:val="single" w:sz="12" w:space="0" w:color="auto"/>
            </w:tcBorders>
          </w:tcPr>
          <w:p w14:paraId="575780A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Кассета-пулемет</w:t>
            </w:r>
          </w:p>
        </w:tc>
        <w:tc>
          <w:tcPr>
            <w:tcW w:w="8640" w:type="dxa"/>
            <w:tcBorders>
              <w:bottom w:val="single" w:sz="12" w:space="0" w:color="auto"/>
            </w:tcBorders>
          </w:tcPr>
          <w:p w14:paraId="52EF946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Спроектирована, изготовлена и испы</w:t>
            </w:r>
            <w:r w:rsidRPr="00D03F3E">
              <w:rPr>
                <w:rFonts w:ascii="Times New Roman" w:hAnsi="Times New Roman"/>
                <w:color w:val="000000" w:themeColor="text1"/>
                <w:sz w:val="16"/>
                <w:szCs w:val="16"/>
              </w:rPr>
              <w:softHyphen/>
              <w:t>тана кассета-пулемет, стреляющая 2,5 кг. бомбами,с темпом 3000 выстрелов в минуту. Отстрелян в тире и с самолета в полете в НИИ ВВС КА. Создана для ракетного само</w:t>
            </w:r>
            <w:r w:rsidRPr="00D03F3E">
              <w:rPr>
                <w:rFonts w:ascii="Times New Roman" w:hAnsi="Times New Roman"/>
                <w:color w:val="000000" w:themeColor="text1"/>
                <w:sz w:val="16"/>
                <w:szCs w:val="16"/>
              </w:rPr>
              <w:softHyphen/>
              <w:t>лета БИ, но может быть использована на истребителях и штурмовиках для поражения наземных целей.</w:t>
            </w:r>
          </w:p>
        </w:tc>
      </w:tr>
    </w:tbl>
    <w:p w14:paraId="3DA1F3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трудоемкость работ, затраченных по самолету в разрезе всей проделанной заводом тематики, составляет не выше 30%.(1775,127).</w:t>
      </w:r>
    </w:p>
    <w:p w14:paraId="08FACAA9" w14:textId="77777777" w:rsidR="00531570" w:rsidRPr="00D03F3E" w:rsidRDefault="00531570" w:rsidP="00D03F3E">
      <w:pPr>
        <w:pStyle w:val="Iauiue"/>
        <w:jc w:val="both"/>
        <w:rPr>
          <w:color w:val="000000" w:themeColor="text1"/>
          <w:sz w:val="16"/>
          <w:szCs w:val="16"/>
        </w:rPr>
      </w:pPr>
    </w:p>
    <w:p w14:paraId="183D698C"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0706E386" w14:textId="77777777" w:rsidR="00531570" w:rsidRPr="00D03F3E" w:rsidRDefault="00531570" w:rsidP="00D03F3E">
      <w:pPr>
        <w:pStyle w:val="Iauiue"/>
        <w:jc w:val="both"/>
        <w:rPr>
          <w:iCs/>
          <w:color w:val="000000" w:themeColor="text1"/>
          <w:sz w:val="16"/>
          <w:szCs w:val="16"/>
        </w:rPr>
      </w:pPr>
    </w:p>
    <w:p w14:paraId="2E533FFB"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18 мая 1943 вышло Постановление ГКО № 3389 [Об увеличении на 8 тыс. т количества авиабензина для подготовки летных кадров ВВС.] (7108, 90).</w:t>
      </w:r>
    </w:p>
    <w:p w14:paraId="4ACA51C8" w14:textId="77777777" w:rsidR="00531570" w:rsidRPr="00D03F3E" w:rsidRDefault="00531570" w:rsidP="00D03F3E">
      <w:pPr>
        <w:pStyle w:val="Iauiue"/>
        <w:tabs>
          <w:tab w:val="left" w:pos="11199"/>
        </w:tabs>
        <w:jc w:val="both"/>
        <w:rPr>
          <w:color w:val="000000" w:themeColor="text1"/>
          <w:sz w:val="16"/>
          <w:szCs w:val="16"/>
        </w:rPr>
      </w:pPr>
    </w:p>
    <w:p w14:paraId="4EB03814"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18 мая 1943 вышло Постановление ГКО № 3390 О производстве и поставке Наркомобороны, Наркомвоенморфлоту и войскам НКВД СССР средств инженерного вооружения во II квартале 1943 года. (7108, 91-94,95-134).</w:t>
      </w:r>
    </w:p>
    <w:p w14:paraId="5964299C" w14:textId="77777777" w:rsidR="00531570" w:rsidRPr="00D03F3E" w:rsidRDefault="00531570" w:rsidP="00D03F3E">
      <w:pPr>
        <w:pStyle w:val="Iauiue"/>
        <w:tabs>
          <w:tab w:val="left" w:pos="11199"/>
        </w:tabs>
        <w:jc w:val="both"/>
        <w:rPr>
          <w:color w:val="000000" w:themeColor="text1"/>
          <w:sz w:val="16"/>
          <w:szCs w:val="16"/>
        </w:rPr>
      </w:pPr>
    </w:p>
    <w:p w14:paraId="729D3769"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18 мая 1943 вышло Распоряжение ГКО № 3391 [Об изготовлении и перевозке оборудования для крейсера "Каганович".] (7108, 135).</w:t>
      </w:r>
    </w:p>
    <w:p w14:paraId="1463AD02" w14:textId="77777777" w:rsidR="00531570" w:rsidRPr="00D03F3E" w:rsidRDefault="00531570" w:rsidP="00D03F3E">
      <w:pPr>
        <w:pStyle w:val="Iauiue"/>
        <w:tabs>
          <w:tab w:val="left" w:pos="11199"/>
        </w:tabs>
        <w:jc w:val="both"/>
        <w:rPr>
          <w:color w:val="000000" w:themeColor="text1"/>
          <w:sz w:val="16"/>
          <w:szCs w:val="16"/>
        </w:rPr>
      </w:pPr>
    </w:p>
    <w:p w14:paraId="4EF0F4ED"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0CF101B7" w14:textId="77777777" w:rsidR="00531570" w:rsidRPr="00D03F3E" w:rsidRDefault="00531570" w:rsidP="00D03F3E">
      <w:pPr>
        <w:pStyle w:val="Iauiue"/>
        <w:jc w:val="both"/>
        <w:rPr>
          <w:iCs/>
          <w:color w:val="000000" w:themeColor="text1"/>
          <w:sz w:val="16"/>
          <w:szCs w:val="16"/>
        </w:rPr>
      </w:pPr>
    </w:p>
    <w:p w14:paraId="14DB8640"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18 МАЯ 1943 УТРЕННЕЕ СООБЩЕНИЕ СОВИНФОРМБЮРО:</w:t>
      </w:r>
    </w:p>
    <w:p w14:paraId="44BA04A4"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течение ночи на 18 мая на фронте ничего существенного не произошло.</w:t>
      </w:r>
    </w:p>
    <w:p w14:paraId="2F50D4AE"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северо-восточнее Новороссийска, бойцы Н-ской части отбили атаку противника и отбросили его на исходные позиции. В этом бою уничтожено несколько танков и более 100 немецких солдат и офицеров. В низовьях Кубани наши отряды подавили огонь 13 пулемётных точек, 3 миномётных батарей и уничтожили до роты гитлеровцев.</w:t>
      </w:r>
    </w:p>
    <w:p w14:paraId="4AFBED87"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уничтожили до 300 немецких солдат и офицеров, разбили 9 пулемётов и подавили огонь 4 артиллерийских батарей противника. На отдельных участках отряды немцев пытались вести разведку, но были рассеяны огнём нашей артиллерии.</w:t>
      </w:r>
    </w:p>
    <w:p w14:paraId="3DD43779"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огневыми налётами нашей артиллерии разрушено 5 вражеских дзотов, подбито 2 немецких танка и уничтожено 15 автомашин и повозок. В воздушных боях наши лётчики сбили 3 немецких самолёта «Юнкерс-87».</w:t>
      </w:r>
    </w:p>
    <w:p w14:paraId="1160F839"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На Ленинградском фронте группа автоматчиков под командованием сержанта Кондратьева, выполняя боевую задачу, уничтожила 26 немцев. На другом участке группа наших разведчиков внезапно ворвалась в траншеи противника и в рукопашной схватке перебила 20 белофиннов. Снайперы Н-ского соединения за день истребили 60гитлеровцев. В воздушном бою на подступах к Ленинграду наши лётчики сбили немецкий самолёт. Другой вражеский самолёт уничтожен огнём зенитной артиллерии.</w:t>
      </w:r>
    </w:p>
    <w:p w14:paraId="501F5F53"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«За власть Советов», действующий в одном из районов Орловской области, совершил налёт на немецкий гарнизон. Уничтожив 20гитлеровцев, партизаны сожгли склады с продовольствием и обмундированием. Через несколько дней партизаны ночью напали на другой немецкий гарнизон и истребили 80вражеских солдат и офицеров. Захвачены у противника 5 пулемётов, несколько тысяч патронов и другие трофеи.</w:t>
      </w:r>
    </w:p>
    <w:p w14:paraId="5E98CAF7"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Участившиеся налёты англо-американской авиации на промышленные центры Германии вызывают тревогу среди населения. Письма, найденные у убитых и пленных немецких солдат, свидетельствуют о том, что налёты авиации союзников причиняют противнику значительный ущерб. Доктор Шмитфранц из Кельна пишет ефрейтору Паулю Шмитфранцу: «У нас почти ежедневно воздушные тревоги. Правда, в центре города падают только единичные бомбы. В основном налетают на окраины, где расположены крупные заводы». Ингеборг Мюнг из Аахена сообщает солдату Гансу: «...Лётчики опять порядочно насолили нам. Дюссельдорф, Аахен сильно пострадали. Чувствуешь полную беспомощность перед ужасной неизбежностью трагического конца». Рут Радкепишет вахмистру Фрицу Радке: «...Томми опять хозяйничали в Эссене. За одну эту ночь было 45 крупных пожаров. Это просто ужасно! С каждым месяцем налёты становятся всё более интенсивными... В последнее время англичане бросают воздушные мины. Дома валятся, как спичечные коробки. Подвесная дорога повреждена и сейчас не действует».</w:t>
      </w:r>
    </w:p>
    <w:p w14:paraId="26AF6170"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Обер-ефрейтору Гейнцу Курцвегу пишет его мать из Берлина: «...У нас был воздушный налёт. Берлину порядочно досталось. Англичане наделали тут дела. Ужасно». Фриц Кюне пишет ефрейтору Георгу Егеру: «Мы в Берлине получили представление о войне. После налёта по всему городу были пожары. Пожарные несколько дней не могли справиться с работой по тушению пожаров».</w:t>
      </w:r>
    </w:p>
    <w:p w14:paraId="3139DB42"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Греческие патриоты усиливают борьбу против итало-немецких захватчиков. Близ Саламио греческие партизаны заманили в горы немецкий карательный отряд и целиком его уничтожили. На участке железной дороги Афины—Пирей железнодорожники организовали столкновение двух воинских поездов. Как сообщают, во время крушения поездов погибло не менее 400 итальянских и немецких солдат (14895).</w:t>
      </w:r>
    </w:p>
    <w:p w14:paraId="139D3717" w14:textId="77777777" w:rsidR="000116FD" w:rsidRPr="00D03F3E" w:rsidRDefault="000116FD" w:rsidP="00D03F3E">
      <w:pPr>
        <w:spacing w:after="0" w:line="240" w:lineRule="auto"/>
        <w:jc w:val="both"/>
        <w:rPr>
          <w:rFonts w:ascii="Times New Roman" w:hAnsi="Times New Roman"/>
          <w:color w:val="000000" w:themeColor="text1"/>
          <w:sz w:val="16"/>
          <w:szCs w:val="16"/>
        </w:rPr>
      </w:pPr>
    </w:p>
    <w:p w14:paraId="1157251B"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18 МАЯ 1943 ВЕЧЕРНЕЕ СООБЩЕНИЕ СОВИНФОРМБЮРО:</w:t>
      </w:r>
    </w:p>
    <w:p w14:paraId="573735AE"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18 мая на фронте существенных изменений не произошло.</w:t>
      </w:r>
    </w:p>
    <w:p w14:paraId="7C1328E0"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мая частями нашей авиации на различных участках фронта уничтожено или повреждено не менее 30 немецких автомашин с войсками и грузами, подавлен огонь10 артиллерийских и миномётных батарей, взорвано два склада противника с боеприпасами.</w:t>
      </w:r>
    </w:p>
    <w:p w14:paraId="06142352"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Северо-восточнее Новороссийска части Н-ского соединения вели огневой бой с противником. Наши артиллеристы подавили огонь 4 немецких артиллерийских батарей, разрушили 9 дзотов и блиндажей, уничтожили 2 орудия и несколько автомашин с грузом. На другом участке разведчики Н-ской части взорвали склад боеприпасов противника.</w:t>
      </w:r>
    </w:p>
    <w:p w14:paraId="4D9BC3B3"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районе Севска группа разведчиков под командованием старшего сержанта Петракова скрытно пробралась в тыл противника и вступила в бой с отрядом немцев. Наши бойцы уничтожили немецкий отряд и, захватив важные документы, без потерь вернулись в свою часть.</w:t>
      </w:r>
    </w:p>
    <w:p w14:paraId="6BAF8BBB"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Н-ское гвардейское миномётное соединение истребило более 200 немецких солдат и офицеров, уничтожило 2 орудия и 14 автомашин противника.</w:t>
      </w:r>
    </w:p>
    <w:p w14:paraId="48907FBE"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подразделения и снайперы за два дня уничтожили до 400 вражеских солдат и офицеров. Огнём артиллерии и миномётов разрушено 22дзота, 21 землянка, 6 наблюдательных пунктов, уничтожено 5 орудий и 12пулемётов.</w:t>
      </w:r>
    </w:p>
    <w:p w14:paraId="6A816AC5"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подступах к Ленинграду огнём зенитной артиллерии сбито 4 немецких самолёта. Лётчики Краснознамённого Балтийского флота потопили сторожевой катер и баржу противника.</w:t>
      </w:r>
    </w:p>
    <w:p w14:paraId="01EA041A"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ровенских партизан 12 мая пустила под откос два немецких воинских эшелона с вооружением. Разбито 2 паровоза и 25 вагонов. Через несколько дней наминах, установленных партизанами, подорвался ещё один поезд противника. Партизаны отряда имени Богдана Хмельницкого уничтожили на шоссе вражескую штабную автомашину и истребили трёх немецких офицеров.</w:t>
      </w:r>
    </w:p>
    <w:p w14:paraId="09AC0894"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радист сбитого немецкого самолёта «Юнкерс-88» фельдфебель Ганс Хаузер рассказал: «Тяжёлые поражения немецкой армии на фронтах подорвали у многих веру в победу Германии. Не только солдаты, но и лётчики чрезвычайно устали. Некоторые  открыто говорят о неизбежном поражении немецкой армии. Лейтенант П. недавно заявил мне: «Теперь, когда у Германии уже нет никаких шансов на победу, бессмысленно продолжать войну и приносить новые жертвы».</w:t>
      </w:r>
    </w:p>
    <w:p w14:paraId="27D1D2E9"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Два месяца назад я был в Вене. В городе свирепствует террор. Гестапо жестоко расправляется с недовольными. Еженедельно в газетах сообщается о казнях за пораженчество и саботаж. Однако, несмотря на это, люди всё громче выражают недовольство войной и гитлеровским режимом. Полицейский обер-фельдфебель Наас из17 военного округа, охватывающего Австрию, сообщил мне, что в этом округе скрывается очень много дезертиров из немецкой армии. Подавляющее большинство населения Австрии хочет поражения Германии и связывает с этим все свои надежды на избавление от тирании Гитлера».</w:t>
      </w:r>
    </w:p>
    <w:p w14:paraId="37950782"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Каждый день выявляются всё новые и новые злодеяния, совершённые гитлеровскими мерзавцами в районах Воронежской области, подвергавшихся немецкой оккупации. На днях конюх колхоза имени Будённого обнаружил в Поповом Логу торчащую из земли человеческую руку. В присутствии специальной комиссии из представителей местных организаций яма была вскрыта. Из неё извлечено 47 мужских трупов, 20 женских трупов и 10 трупов-детей в возрасте от полутора до 12 лет. Расследованием установлено, что осенью прошлого года гитлеровцы арестовали большую группу мирных жителей и на грузовых автомашинах увезли их в Попов Лог. Здесь фашистские убийцы учинили кровавую расправу над арестованными. Многие трупы изуродованы до неузнаваемости. Среди убитых опознаны жители города Воронежа: зубной врач Мария Жарковская, рабочий завода им. Дзержинского Александр Сигаев, портниха Софья Козловская и другие (14895).</w:t>
      </w:r>
    </w:p>
    <w:p w14:paraId="6B4DCCC5" w14:textId="77777777" w:rsidR="000116FD" w:rsidRPr="00D03F3E" w:rsidRDefault="000116FD" w:rsidP="00D03F3E">
      <w:pPr>
        <w:spacing w:after="0" w:line="240" w:lineRule="auto"/>
        <w:jc w:val="both"/>
        <w:rPr>
          <w:rFonts w:ascii="Times New Roman" w:hAnsi="Times New Roman"/>
          <w:color w:val="000000" w:themeColor="text1"/>
          <w:sz w:val="16"/>
          <w:szCs w:val="16"/>
        </w:rPr>
      </w:pPr>
    </w:p>
    <w:p w14:paraId="22B58F1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мая 1943 Астраханский городской комитет обороны принял постановление об усилении подготовки к ПВО и ПВХО Астрахани. Командование Волжской флотилии с 17 мая организовало конвоирование транспортов канонерскими лодками, бронекатерами и сторожевыми катерами, а также проводку судов за тралами в районах, где возникала минная опасность. Наращивались темпы и объем боевого траления с целью расширения действовавших фарватеров и уничтожения вновь поставленных противником минных банок. Одновременно, в соответствии с решением ГКО, принимались срочные меры по переоборудованию речных судов в тральщики. В апреле из Астрахани вышли 49 конвоев, доставивших в центральные районы СССР 467 000 т нефтепродуктов, в мае перевозки нефти стали более интенсивными. Конвои насчитывали десятки транспортных судов и кораблей охранения (11774).</w:t>
      </w:r>
    </w:p>
    <w:p w14:paraId="2A40149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762C28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мая 1943 г. стало наиболее “урожайным” на самолеты для партизан Тогда в ходе знаменитого Карпатского рейда ковпаковцы один за другим сбили сначала разведчик “Фокке-Вульф” Fw 189, а затем - истребитель-бомбардировщик “Мессершмитт” Bf 110. Падение “мессера” вызвало большой взрыв и пожар, так как он рухнул прямо на замаскированный в горах нефтетрубопровод. Третья машина, по описанию - “одномоторный моноплан с неубирающимся шасси” (очевидно - Ju 87) в тот же день при бомбежке партизанской переправы через Днестр получила сильные повреждения от взрыва собственной бомбы, едва не врезалась в береговой обрыв и, “ковыляя” на бреющем, ушла в направлении аэродрома (9974).</w:t>
      </w:r>
    </w:p>
    <w:p w14:paraId="22CD1DB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1FAC92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мая 1943 вышло Постановление ГКО № 3392 О сформировании тридцати отдельных истребительно-противотанковых дивизионов для танковых и механизированных корпусов.РГАНИР, Фонд ГКО, д. 118, лл. 136-138 (11012).</w:t>
      </w:r>
    </w:p>
    <w:p w14:paraId="7D02DF4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23CEDBA"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Жизнь и внутренняя политика:</w:t>
      </w:r>
    </w:p>
    <w:p w14:paraId="2678DC4D" w14:textId="77777777" w:rsidR="00531570" w:rsidRPr="00D03F3E" w:rsidRDefault="00531570" w:rsidP="00D03F3E">
      <w:pPr>
        <w:pStyle w:val="Iauiue"/>
        <w:jc w:val="both"/>
        <w:rPr>
          <w:iCs/>
          <w:color w:val="000000" w:themeColor="text1"/>
          <w:sz w:val="16"/>
          <w:szCs w:val="16"/>
        </w:rPr>
      </w:pPr>
    </w:p>
    <w:p w14:paraId="05A846D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мая 1943 Горьковский городской комитет обороны впервые после долгого перерыва рассматривал вопросы «О состоянии бомбоубежищ в г. Горьком», а также «О состоянии местной противовоздушной и противохимической обороны в гг. Горьком, Дзержинске и Балахне».</w:t>
      </w:r>
    </w:p>
    <w:p w14:paraId="23B1BFC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июню в Ворошиловском районе Горького насчитывались 739 формирований МПВО из 4930 человек, в т.ч. 680 противопожарных постов и 25 групп самозащиты. Из 1048 зданий были обработаны огнезащитной обмазкой 786. Были разобраны 569 деревянных сараев. Топка печей в домах была строго регламентирована: утром – с 06.00 до 09.00, вечером – с 19.00 до 22.00. Кроме того, были построены газоубежища на 450 человек. Этого было явно недостаточно. Так, если обеспеченность населения бомбоубежищами составляла 70%, то газоубежищами – лишь 23%.</w:t>
      </w:r>
    </w:p>
    <w:p w14:paraId="7516244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радиотелефонном заводе № 197 им. Ленина имелись 25 щелей, в которых могли укрыться 960 человек. Для оказания первой медицинской помощи здесь даже существовала медико-санитарная команда из 38 человек, располагавшая одним автомобилем «скорой помощи». Однако и тут имели место многочисленные недостатки. 264 щели были захламлены или вовсе завалены, пожарные водоемы частично обвалились. Дисциплина оставляла желать лучшего. По учебному сигналу «ВТ» на свои места являлись лишь 30—50% членов групп самозащиты.</w:t>
      </w:r>
    </w:p>
    <w:p w14:paraId="6D7BB25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Свердловском районе города на 1 июня насчитывались 66 групп самозащиты, а также 26 команд на учреждениях и предприятиях общей численностью 3800 чел. Имелось четыре пункта первой медицинской помощи. Из 1096 зданий района огнезащитной обмазкой были обработаны 596. Во дворах домов и предприятий были залиты 25 противопожарных водоемов. Здесь принимались меры к нарушителям светомаскировки. С января по май 780 жителей центра города были оштрафованы на общую сумму в 37 тыс. рублей. В центре города имелись 36 бомбоубежищ подвального типа, в которых могли спрятаться от бомбежки 4390 человек, а также два </w:t>
      </w:r>
      <w:r w:rsidRPr="00D03F3E">
        <w:rPr>
          <w:rFonts w:ascii="Times New Roman" w:hAnsi="Times New Roman"/>
          <w:color w:val="000000" w:themeColor="text1"/>
          <w:sz w:val="16"/>
          <w:szCs w:val="16"/>
        </w:rPr>
        <w:lastRenderedPageBreak/>
        <w:t>тоннеля в волжском откосе на 4500 человек. В 351 щели могли укрыться 13 000 жителей. Но и здесь за два года войны так и не смогли вырыть укрытия для всех граждан. 22 тыс. человек по-прежнему не были обеспечены никакими бомбоубежищами.</w:t>
      </w:r>
    </w:p>
    <w:p w14:paraId="3D75333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 все руководители предприятий уяснили значение проводимых мероприятий по МПВО. Например, товарищ Скороделов, директор пивзавода, расположенного на Почаинском съезде, напротив Кремля, вопросами местной противовоздушной обороны вообще не занимался. Щели на территории предприятия развалились, оснащение было давно растащено на хознужды. При проведении учебной тренировки на заводе пожарные шланги были найдены через полчаса, когда их все-таки притащили, оказалось, что в гидрантах нет воды. В хорошем состоянии находилась МПВО кондитерской фабрики «Красный Октябрь» и Дома связи, расположенных на ул. Свердлова (ныне Большая Покровская).</w:t>
      </w:r>
    </w:p>
    <w:p w14:paraId="543B3BD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Самым слабым местом, пожалуй, всех предприятий города оставалась техническая маскировка. Из-за нехватки времени и средств, а также в силу усыпления бдительности директора заводов практически не занимались этим вопросом, перепоручая его второстепенным лицам. В итоге наступил май, распустились листья на деревьях и кустах, зазеленела трава, жители готовились к купанию на пляжах, а корпуса цехов по-прежнему выделялись белым камуфляжем. К началу лета лишь на авиационном заводе № 21 и на соседнем артзаводе № 92 им. Сталина были в целом выполнены мероприятия по весенне-летней маскировке. Первый был полностью затянут зелеными маскировочными сетями, практически слившись с расположенным рядом Сормовским парком (11774).</w:t>
      </w:r>
    </w:p>
    <w:p w14:paraId="7F74A0E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84D4496"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074D0EC7" w14:textId="77777777" w:rsidR="00531570" w:rsidRPr="00D03F3E" w:rsidRDefault="00531570" w:rsidP="00D03F3E">
      <w:pPr>
        <w:pStyle w:val="Iauiue"/>
        <w:jc w:val="both"/>
        <w:rPr>
          <w:iCs/>
          <w:color w:val="000000" w:themeColor="text1"/>
          <w:sz w:val="16"/>
          <w:szCs w:val="16"/>
        </w:rPr>
      </w:pPr>
    </w:p>
    <w:p w14:paraId="323CAB6E"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18 мая 1943 японская подлодка потопила австралийский корабль-госпиталь “Кентавр”, 299 человек погибли (4962).</w:t>
      </w:r>
    </w:p>
    <w:p w14:paraId="5C896B35" w14:textId="77777777" w:rsidR="00531570" w:rsidRPr="00D03F3E" w:rsidRDefault="00531570" w:rsidP="00D03F3E">
      <w:pPr>
        <w:pStyle w:val="Iauiue"/>
        <w:tabs>
          <w:tab w:val="left" w:pos="11199"/>
        </w:tabs>
        <w:jc w:val="both"/>
        <w:rPr>
          <w:color w:val="000000" w:themeColor="text1"/>
          <w:sz w:val="16"/>
          <w:szCs w:val="16"/>
        </w:rPr>
      </w:pPr>
    </w:p>
    <w:p w14:paraId="1EE2BEB3"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7BBAA8D3" w14:textId="77777777" w:rsidR="00531570" w:rsidRPr="00D03F3E" w:rsidRDefault="00531570" w:rsidP="00D03F3E">
      <w:pPr>
        <w:pStyle w:val="Iauiue"/>
        <w:jc w:val="both"/>
        <w:rPr>
          <w:iCs/>
          <w:color w:val="000000" w:themeColor="text1"/>
          <w:sz w:val="16"/>
          <w:szCs w:val="16"/>
        </w:rPr>
      </w:pPr>
    </w:p>
    <w:p w14:paraId="42EB91A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19 мая 1943 года начальник ЛИИ А.В. Чесалов, летчик-испытатель С.Ф. Машковский утвердили:</w:t>
      </w:r>
    </w:p>
    <w:p w14:paraId="623F75D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Акт</w:t>
      </w:r>
    </w:p>
    <w:p w14:paraId="37982EC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об испытаниях по определению перегрузок при выполнении упражнений "Курса боевой подготовки штурмовой авиации на самолете Ил-2, 1943 г."</w:t>
      </w:r>
    </w:p>
    <w:p w14:paraId="6446EC7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целью определения перегрузок, получающих при выполнении упражнений курса боевой подготовки на двухместном самолете Ил-2, были проведены испытания на серийном самолете Ил-2 N 302114 производства завода N 30, апрельского выпуска.</w:t>
      </w:r>
    </w:p>
    <w:p w14:paraId="0FEB8F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Испытания заключали выполнение планирований для штурмовки и бомбометания с малых высот, при чем были произведены те элементы упражнений курса, при выполнении которых можно было ожидать получения больших перегрузок по сравнению с другими упражнениями.</w:t>
      </w:r>
    </w:p>
    <w:p w14:paraId="5ADC4B3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Летчиком ЛИИ Героем Сов. Союза Машковским И.Ф. были выполнены два полета. В первом полете на высоте 500 м на скорости по прибору 250-270 км/час машина вводилась в планирование и производилась наводка на цель; машина выводилась из планирования на высоте 150 м-180 м. Скорость по прибору достигала к концу планирования 390-410 км/час. Максимальная перегрузка при выполнении указанного маневра была равна приблизительно 3 g. По наблюдению летчика угол планирования был порядка 25-30 градусов. Заходов указанного типа было проделано 6. Выполненные режимы соответствуют заданию курса по бомбометанию на выходе из планирования.</w:t>
      </w:r>
    </w:p>
    <w:p w14:paraId="503ED7E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 втором полете на высоте 100 м с горизонтальной максимальной скоростью летчик переводил машину на горку до скорости 230-240 км/час по прибору. С горки летчик переводил машину на планирование, производил наводку на цель и имитацию стрельбы. Машина выводилась из планирования на высоте 50-80 м. По наблюдению летчика угол планирования был 20-30 градусов. Аналогичный маневр летчик проделал с горизонтали на максимальной скорости на высоте 50 м. Всего указанных режимов было выполнено 6. Перегрузки при этом были от 2 g до 3 g.</w:t>
      </w:r>
    </w:p>
    <w:p w14:paraId="15EE492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Заключение</w:t>
      </w:r>
    </w:p>
    <w:p w14:paraId="7178735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При нормальном выполнении упражнений "Курса боевой подготовки штурмовой авиации на самолете Ил-2" по бомбометанию и штурмовке на малых высотах полученные при испытаниях перегрузки при плавном выводе из планирования ниже максимальной эксплуатационной перегрузки норм прочности (5,2 g).</w:t>
      </w:r>
    </w:p>
    <w:p w14:paraId="34EECB1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Необходима летная проверка основных упражнений курса на самолетах, снабженных самопишущими приборами (в том числе самописцем перегрузок) летчиками испытателями и строевыми летчиками для выяснения особенностей пилотирования.</w:t>
      </w:r>
    </w:p>
    <w:p w14:paraId="47F136F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Выписка</w:t>
      </w:r>
    </w:p>
    <w:p w14:paraId="0BD7BD1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из полетных листов по выполнению задания на планирование</w:t>
      </w:r>
    </w:p>
    <w:p w14:paraId="6E7DD6C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Полет 18 мая 1943 г. Полетный вес самолета - 5600 кг.</w:t>
      </w:r>
    </w:p>
    <w:p w14:paraId="6CA5455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Выполнено мною 6 режимов по следующему заданию: ввод на горку со скоростью по прибору 320-325 км/час. Набор высоты 400 м. Плавный ввод и пикирование со скоростью 230-240 км/час. Вывод плавный. Скорость в конце пикирования 380-400 км/час. Высота вывода 50-80 м. Угол пикирования 25-30 градусов. После ввода в пикирование с 20 градусов машину затягивает в пикирование. Для установления заданного угла больших усилий не требуется. Усилия для вывода из пикирования у самолета без бомбовой нагрузки нормальные. При нормальном выполнении упражнения, заключающегося в переходе с максимальной скорости на высоте 50 или 100 м на горку до скорости 250 км/час, затем в переходе с горки на пикирование под углом 20-50 градусов и в выходе из пикирования на высоте 100 м, упражнения следует считать безопасным. Перегрузки на выходе из планирования порядка 2-3 g.</w:t>
      </w:r>
    </w:p>
    <w:p w14:paraId="1B620B8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Полет 18 мая 1943 г. Полетный вес самолета - 6080 кг.</w:t>
      </w:r>
    </w:p>
    <w:p w14:paraId="1B60E35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Выполнено мною 6 режимов по следующему заданию: на высоте 500 м ввод в пикирование со скоростью 270-250 км/час, пикирование под углом 25-30 градусов. Вывод на высоте 150-180 м. Скорость в конце пикирования 390-410 км/час. Нагрузки на руль глубины при выводе из пикирования больше чем при пикировании без бомбовой нагрузки. Усилия при выводе из пикирования не чрезмерно велики. После ввода в пикирование, с угла приблизительно в 20 градусов машину затягивает в пикирование. Для установления заданного угла пикирования не требуется больших усилий. При выходе на бомбометание с высоты 500 м и скорости 280 км/час, угле пикирования 25-30 градусов, времени прицеливания 3-4 сек, и выходе на горизонталь на высоте 200 м указанное упражнение при нормальном выполнении безопасно (1783).</w:t>
      </w:r>
    </w:p>
    <w:p w14:paraId="6EFDEA93" w14:textId="77777777" w:rsidR="00531570" w:rsidRPr="00D03F3E" w:rsidRDefault="00531570" w:rsidP="00D03F3E">
      <w:pPr>
        <w:pStyle w:val="Iauiue"/>
        <w:jc w:val="both"/>
        <w:rPr>
          <w:color w:val="000000" w:themeColor="text1"/>
          <w:sz w:val="16"/>
          <w:szCs w:val="16"/>
        </w:rPr>
      </w:pPr>
    </w:p>
    <w:p w14:paraId="1E1CFA2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19 мая 1943 вышел приказ НКАП N 302сс:</w:t>
      </w:r>
    </w:p>
    <w:p w14:paraId="58B62BB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"ГКО постановлением N 3388 от 17 мая 1943 считает важнейшей военно-хозяйственной задачей НКАП увеличение выпуска истребителей и обязал, без уменьшения выпуска штурмовиков и бомбардировщиков, обеспечить производство истребителей в следующих количествах:</w:t>
      </w:r>
    </w:p>
    <w:p w14:paraId="5FB730F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июне - 50 в день</w:t>
      </w:r>
    </w:p>
    <w:p w14:paraId="11DE63C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июле - 54 в день</w:t>
      </w:r>
    </w:p>
    <w:p w14:paraId="1BA5856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августе - 60 в день (1711,151).</w:t>
      </w:r>
    </w:p>
    <w:p w14:paraId="37FCAE25" w14:textId="77777777" w:rsidR="00531570" w:rsidRPr="00D03F3E" w:rsidRDefault="00531570" w:rsidP="00D03F3E">
      <w:pPr>
        <w:pStyle w:val="Iauiue"/>
        <w:jc w:val="both"/>
        <w:rPr>
          <w:color w:val="000000" w:themeColor="text1"/>
          <w:sz w:val="16"/>
          <w:szCs w:val="16"/>
        </w:rPr>
      </w:pPr>
    </w:p>
    <w:p w14:paraId="73B18B7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19 и 20 мая 1943 экспериментальный геликоптер Омега с 2хМВ-6 Братухина в Алма-Ате произвел свободные, без привязи полеты (1458,167).</w:t>
      </w:r>
    </w:p>
    <w:p w14:paraId="7D40661D" w14:textId="77777777" w:rsidR="00531570" w:rsidRPr="00D03F3E" w:rsidRDefault="00531570" w:rsidP="00D03F3E">
      <w:pPr>
        <w:pStyle w:val="Iauiue"/>
        <w:jc w:val="both"/>
        <w:rPr>
          <w:color w:val="000000" w:themeColor="text1"/>
          <w:sz w:val="16"/>
          <w:szCs w:val="16"/>
        </w:rPr>
      </w:pPr>
    </w:p>
    <w:p w14:paraId="2A9A598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19 мая 1943 года вышел приказ № 201/247 НКАП и НКСМ</w:t>
      </w:r>
    </w:p>
    <w:p w14:paraId="7E6A492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 исполнение распоряжения СНК от 28 апреля 1943 года № 8615-р:</w:t>
      </w:r>
    </w:p>
    <w:p w14:paraId="4E85D362" w14:textId="77777777" w:rsidR="00531570" w:rsidRPr="00D03F3E" w:rsidRDefault="00531570" w:rsidP="00D03F3E">
      <w:pPr>
        <w:pStyle w:val="Iauiue"/>
        <w:numPr>
          <w:ilvl w:val="0"/>
          <w:numId w:val="4"/>
        </w:numPr>
        <w:tabs>
          <w:tab w:val="left" w:pos="360"/>
        </w:tabs>
        <w:ind w:left="0" w:firstLine="0"/>
        <w:jc w:val="both"/>
        <w:rPr>
          <w:color w:val="000000" w:themeColor="text1"/>
          <w:sz w:val="16"/>
          <w:szCs w:val="16"/>
        </w:rPr>
      </w:pPr>
      <w:r w:rsidRPr="00D03F3E">
        <w:rPr>
          <w:color w:val="000000" w:themeColor="text1"/>
          <w:sz w:val="16"/>
          <w:szCs w:val="16"/>
        </w:rPr>
        <w:t>Передать завод № 328 НКАП в Наркомсредмаш (8922).</w:t>
      </w:r>
    </w:p>
    <w:p w14:paraId="7F0B2BA4" w14:textId="77777777" w:rsidR="00531570" w:rsidRPr="00D03F3E" w:rsidRDefault="00531570" w:rsidP="00D03F3E">
      <w:pPr>
        <w:pStyle w:val="Iauiue"/>
        <w:tabs>
          <w:tab w:val="left" w:pos="360"/>
        </w:tabs>
        <w:jc w:val="both"/>
        <w:rPr>
          <w:color w:val="000000" w:themeColor="text1"/>
          <w:sz w:val="16"/>
          <w:szCs w:val="16"/>
        </w:rPr>
      </w:pPr>
    </w:p>
    <w:p w14:paraId="6A9638FF"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201589BF" w14:textId="77777777" w:rsidR="00531570" w:rsidRPr="00D03F3E" w:rsidRDefault="00531570" w:rsidP="00D03F3E">
      <w:pPr>
        <w:pStyle w:val="Iauiue"/>
        <w:jc w:val="both"/>
        <w:rPr>
          <w:iCs/>
          <w:color w:val="000000" w:themeColor="text1"/>
          <w:sz w:val="16"/>
          <w:szCs w:val="16"/>
        </w:rPr>
      </w:pPr>
    </w:p>
    <w:p w14:paraId="4F1B33E6" w14:textId="77777777" w:rsidR="00A10501" w:rsidRPr="00D03F3E" w:rsidRDefault="00A10501" w:rsidP="00D03F3E">
      <w:pPr>
        <w:pStyle w:val="article-renderblock"/>
        <w:shd w:val="clear" w:color="auto" w:fill="FFFFFF"/>
        <w:spacing w:before="0" w:beforeAutospacing="0" w:after="0" w:afterAutospacing="0"/>
        <w:jc w:val="both"/>
        <w:rPr>
          <w:color w:val="0070C0"/>
          <w:sz w:val="16"/>
          <w:szCs w:val="16"/>
        </w:rPr>
      </w:pPr>
      <w:r w:rsidRPr="00D03F3E">
        <w:rPr>
          <w:color w:val="0070C0"/>
          <w:sz w:val="16"/>
          <w:szCs w:val="16"/>
        </w:rPr>
        <w:t>С 19 мая по 1 июня 1943 года прошли испытания Т-70, вместе с ВТ-42. Всего было произведено 1205 выстрелов, из них 607 усиленным зарядом, а 56 - подкалиберными снарядами. Орудие показало неплохие результаты, другое дело, что оно было нужно как минимум осенью 1942, а не в мае 1943 года.</w:t>
      </w:r>
    </w:p>
    <w:p w14:paraId="61A2F098" w14:textId="77777777" w:rsidR="00A10501" w:rsidRPr="00D03F3E" w:rsidRDefault="00A10501" w:rsidP="00D03F3E">
      <w:pPr>
        <w:pStyle w:val="article-renderblock"/>
        <w:shd w:val="clear" w:color="auto" w:fill="FFFFFF"/>
        <w:spacing w:before="0" w:beforeAutospacing="0" w:after="0" w:afterAutospacing="0"/>
        <w:jc w:val="both"/>
        <w:rPr>
          <w:color w:val="0070C0"/>
          <w:sz w:val="16"/>
          <w:szCs w:val="16"/>
        </w:rPr>
      </w:pPr>
      <w:r w:rsidRPr="00D03F3E">
        <w:rPr>
          <w:color w:val="0070C0"/>
          <w:sz w:val="16"/>
          <w:szCs w:val="16"/>
        </w:rPr>
        <w:t>Следует отметить, что ВТ-42 была не тем же самым, что и М-42. Орудие фактически являлось новой разработкой, по всем узлам она отличалась от прародительницы. Например, вертикальный затвор заменен на горизонтальный, введена полуавтоматика копирного типа, цилиндр тормоза отката заполнялся жидкостью "Стеол". По ряду агрегатов ВТ-42 была унифицирована с другим орудием - танковой пушкой обр.1938 года. При этом целью конструкторов было обеспечение установки системы без переделки боевого отделения. По этому поводу на Гороховецеом АНИОП были проведены отдельные исследования. Они показали, что наводчику (он же командир) вполне достаточно места для нормальной работы. В ходе испытаний была достигнута максимальная скорострельность 30 выстрелов в минуту.</w:t>
      </w:r>
    </w:p>
    <w:p w14:paraId="42F4E297" w14:textId="77777777" w:rsidR="00A10501" w:rsidRPr="00D03F3E" w:rsidRDefault="00A10501"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Несмотря на некоторые недостатки, Артком ГАУ КА рекомендовал пустить ВТ-42 в серию. Но летом 1943 года это было уже поздновато.</w:t>
      </w:r>
    </w:p>
    <w:p w14:paraId="47A59FDC" w14:textId="77777777" w:rsidR="00A10501" w:rsidRPr="00D03F3E" w:rsidRDefault="00A10501"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Надо сказать, что комиссия больше претензий высказала не к орудию, а к тому, как было отработано боевое отделение. Не до конца была хороша конструкция орудийной укладки, не понравилось штатное сиденье наводчика/командира, ножной спуск итд. Что же касается самого орудия, то оно показало не так много дефектов, как обычно бывает у опытных орудий. Из наиболее серьёзных отметили закипание жидкости "Стеол" после 60-100 выстрелов, на 756-м выстреле порвался воротник сальника тормоза отката, а на 802-м выстреле порвалось ушко полуавтоматики. Чуть меньшими оказались углы вертикальной наводки (от -4 до +19 градусов). Также оказалась немного хуже кучность при стрельбе, нежели у танковой пушки обр.1938 года.</w:t>
      </w:r>
    </w:p>
    <w:p w14:paraId="37F28F11" w14:textId="77777777" w:rsidR="00A10501" w:rsidRPr="00D03F3E" w:rsidRDefault="00A10501"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В своём заключении Артиллерийский Комитет ГАУ КА рекомендовал, после устранения недостатков, принять ВТ-42 на вооружение и запустить в серию. А вот УСА ГБТУ КА предлагало сначала испытать пушку ВТ-43, которая предназначалась для танка Т-80, и уже дальше решать вопрос о запуске ВТ-42 в серию. Собственно говоря, это и стало ВТ-42 приговором. Задержка с разработкой на полгода и так делало запуск ВТ-42 в серию крайне призрачным. А решение ГБТУ КА фактически похоронило орудие (20344).</w:t>
      </w:r>
    </w:p>
    <w:p w14:paraId="6F675856" w14:textId="77777777" w:rsidR="00A10501" w:rsidRPr="00D03F3E" w:rsidRDefault="00A10501" w:rsidP="00D03F3E">
      <w:pPr>
        <w:pStyle w:val="article-renderblock"/>
        <w:shd w:val="clear" w:color="auto" w:fill="FFFFFF"/>
        <w:spacing w:before="0" w:beforeAutospacing="0" w:after="0" w:afterAutospacing="0"/>
        <w:jc w:val="both"/>
        <w:rPr>
          <w:color w:val="0070C0"/>
          <w:sz w:val="16"/>
          <w:szCs w:val="16"/>
        </w:rPr>
      </w:pPr>
    </w:p>
    <w:p w14:paraId="7552289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мая 1943 вышло Постановление ГКО № 3394 Об обеспечении рабочей силой Орского завода металлургического оборудования Наркомтяжмаша .РГАНИР, Фонд ГКО, д. 118, лл. 140-143, 144-145 (11012).</w:t>
      </w:r>
    </w:p>
    <w:p w14:paraId="6BEB4E1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D20B01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мая 1943 вышло Распоряжение ГКО № 3395. Об организации 7-го Главного управления НКБ для централизованного руководства производством реактивных снарядов.РГАНИР, Фонд ГКО, д. 118, лл. 146-147, 148 (11012).</w:t>
      </w:r>
    </w:p>
    <w:p w14:paraId="2A10181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6789A2C"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19 мая 1943 вышло Постановление ГКО № 3396 О восстановлении электростанций и сетей Баксанского энергокомбината [Кабардино-Балкарская АССР]. (7108, 149-153,154-157).</w:t>
      </w:r>
    </w:p>
    <w:p w14:paraId="1BBF5AD6" w14:textId="77777777" w:rsidR="00531570" w:rsidRPr="00D03F3E" w:rsidRDefault="00531570" w:rsidP="00D03F3E">
      <w:pPr>
        <w:pStyle w:val="Iauiue"/>
        <w:tabs>
          <w:tab w:val="left" w:pos="11199"/>
        </w:tabs>
        <w:jc w:val="both"/>
        <w:rPr>
          <w:color w:val="000000" w:themeColor="text1"/>
          <w:sz w:val="16"/>
          <w:szCs w:val="16"/>
        </w:rPr>
      </w:pPr>
    </w:p>
    <w:p w14:paraId="170C76D9"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19 мая 1943 вышло Распоряжение ГКО № 3398 [О распространении на работников НК водного хозяйства Казахской ССР, работающих на строительстве Алма-Атинских гидроэлектростанций, должностных окладов, установленных на строительствах НКЭС.] (7109, 2).</w:t>
      </w:r>
    </w:p>
    <w:p w14:paraId="543811A9" w14:textId="77777777" w:rsidR="00531570" w:rsidRPr="00D03F3E" w:rsidRDefault="00531570" w:rsidP="00D03F3E">
      <w:pPr>
        <w:pStyle w:val="Iauiue"/>
        <w:tabs>
          <w:tab w:val="left" w:pos="11199"/>
        </w:tabs>
        <w:jc w:val="both"/>
        <w:rPr>
          <w:color w:val="000000" w:themeColor="text1"/>
          <w:sz w:val="16"/>
          <w:szCs w:val="16"/>
        </w:rPr>
      </w:pPr>
    </w:p>
    <w:p w14:paraId="060A6E65"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5939BEAE" w14:textId="77777777" w:rsidR="00531570" w:rsidRPr="00D03F3E" w:rsidRDefault="00531570" w:rsidP="00D03F3E">
      <w:pPr>
        <w:pStyle w:val="Iauiue"/>
        <w:jc w:val="both"/>
        <w:rPr>
          <w:iCs/>
          <w:color w:val="000000" w:themeColor="text1"/>
          <w:sz w:val="16"/>
          <w:szCs w:val="16"/>
        </w:rPr>
      </w:pPr>
    </w:p>
    <w:p w14:paraId="1754F693"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19 мая</w:t>
      </w:r>
      <w:r w:rsidRPr="00D03F3E">
        <w:rPr>
          <w:rFonts w:ascii="Times New Roman" w:hAnsi="Times New Roman"/>
          <w:color w:val="000000" w:themeColor="text1"/>
          <w:sz w:val="16"/>
          <w:szCs w:val="16"/>
        </w:rPr>
        <w:t xml:space="preserve"> в 1943 году утреннее сообщение Совинформбюро:</w:t>
      </w:r>
    </w:p>
    <w:p w14:paraId="31842551"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течение ночи на 19 мая на фронте ничего существенного не произошло.</w:t>
      </w:r>
    </w:p>
    <w:p w14:paraId="35986BF1"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северо-восточнее Новороссийска, наши подразделения отбили атаку гитлеровцев. Уничтожено более 100 немецких солдат и офицеров, самоходное орудие и сожжён немецкий танк.</w:t>
      </w:r>
    </w:p>
    <w:p w14:paraId="3371DC63"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низовьях Кубани наши отряды потопили 4 лодки с немецкими солдатами, пытавшимися переправиться через водный рубеж.</w:t>
      </w:r>
    </w:p>
    <w:p w14:paraId="322081A8"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разведывательные отряды и снайперы уничтожили 150 вражеских солдат и офицеров. Подразделение под командованием старшего лейтенанта Нечаева ночью преодолело проволочные заграждения противника и ворвалось в немецкие траншеи. В ожесточённой схватке наши бойцы истребили 40 гитлеровцев, а затем разрушили 7 блиндажей и артиллерийский наблюдательный пункт. Захватив пленных, станковый пулемёт, стереотрубу и оперативные документы, советские бойцы вернулись в свою часть.</w:t>
      </w:r>
    </w:p>
    <w:p w14:paraId="241ACCA5"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продолжался огневой бой. Артиллеристы Н-ской части разбили несколько десятков дзотов и подавили огонь 7 артиллерийских батарей противника. На одном участке немецкая пехота пыталась атаковать наши позиции. Советские бойцы отбросили гитлеровцев и нанесли им большие потери.</w:t>
      </w:r>
    </w:p>
    <w:p w14:paraId="33299BC7"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происходила артиллерийская и миномётная перестрелка. Огнем нашей артиллерии рассеяно и частью уничтожено до батальона пехоты противника. Снайперы Н-ского соединения истребили 110 немецких солдат и офицеров.</w:t>
      </w:r>
    </w:p>
    <w:p w14:paraId="5E49DFDB"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Лётчик младший лейтенант т. Шевченко с воздуха заметил, что экипаж немецкого самолёта, подбитого советскими истребителями и совершившего вынужденную посадку на нашей территории, пытается взлететь. Тов. Шевченко посадил свой самолёт рядомс немецким, застрелил одного лётчика, оказавшего сопротивление, а двух других обезоружил и взял в плен.</w:t>
      </w:r>
    </w:p>
    <w:p w14:paraId="531DC819"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имени фельдмаршала Кутузова, действующий в одном из районов Львовской области, 13 мая пустил под откос немецкий воинский эшелон. Уничтожено 4 платформы с танками и 7 вагонов с различными грузами. 15 мая советские патриоты подорвали на минах ещё один поезд. При крушении взорвалось несколько вагонов с боеприпасами. Движение на этом участке железной дороги было прекращено на пять дней.</w:t>
      </w:r>
    </w:p>
    <w:p w14:paraId="3892445E"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ефрейтор штабной роты 36 полка 9 немецкой пехотной дивизии Хорст Фаульветер рассказал: «36 полк понёс тяжёлые потери. Только за один день в районе Новороссийска наш батальон потерял от миномётного огня 200 человек. Мы не успевали выносить раненых с поля боя. Брошенные всеми, они валялись на земле, истекая кровью. Солдаты нервничают, все устали от войны. Теперь, на 23 месяце войны на «Востоке, я убедился, что немецкое командование гонит своих солдат в проигранный бой. Командование не хочет примириться с потерей Кубани, где похоронены десятки тысяч немецких солдат. Однако нам ясно, что, несмотря на огромные жертвы, Кубань потеряна навсегда. Раньше у нас было много солдат, желавших выслужиться, жаждавших железных крестов. Животный страх заглушил теперь у них всякое тщеславие и любовь к наградам. Они говорят: «Лучше не иметь железного креста, но вырваться живыми из России».</w:t>
      </w:r>
    </w:p>
    <w:p w14:paraId="5E55A975"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Парижа французские вольные стрелки пустили под откос немецкий воинский эшелон. При крушении убито и ранено 130 гитлеровцев. В Лориане во время воздушного налёта английской авиации патриоты вывели из строя установки, вырабатывавшие кислород для немецких подводных лодок. Между Невером и Шаньи на минах подорван товарный поезд с военными грузами немецких оккупантов.»</w:t>
      </w:r>
    </w:p>
    <w:p w14:paraId="1752C925" w14:textId="77777777" w:rsidR="000116FD" w:rsidRPr="00D03F3E" w:rsidRDefault="000116FD" w:rsidP="00D03F3E">
      <w:pPr>
        <w:spacing w:after="0" w:line="240" w:lineRule="auto"/>
        <w:jc w:val="both"/>
        <w:rPr>
          <w:rFonts w:ascii="Times New Roman" w:hAnsi="Times New Roman"/>
          <w:color w:val="000000" w:themeColor="text1"/>
          <w:sz w:val="16"/>
          <w:szCs w:val="16"/>
        </w:rPr>
      </w:pPr>
    </w:p>
    <w:p w14:paraId="5DFB4989"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19 мая</w:t>
      </w:r>
      <w:r w:rsidRPr="00D03F3E">
        <w:rPr>
          <w:rFonts w:ascii="Times New Roman" w:hAnsi="Times New Roman"/>
          <w:color w:val="000000" w:themeColor="text1"/>
          <w:sz w:val="16"/>
          <w:szCs w:val="16"/>
        </w:rPr>
        <w:t xml:space="preserve"> в 1943 году вечернее сообщение Совинформбюро:</w:t>
      </w:r>
    </w:p>
    <w:p w14:paraId="0C40F659"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19 мая на фронте существенных изменений не произошло.</w:t>
      </w:r>
    </w:p>
    <w:p w14:paraId="33376530"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мая частями нашей авиации на различных участках фронта разбито несколько железнодорожных эшелонов, уничтожено до 40 немецких автомашин с войсками и грузами, подавлен огонь 11 артиллерийских батарей, уничтожен прожектор и взорван склад противника с горючим.</w:t>
      </w:r>
    </w:p>
    <w:p w14:paraId="6F31A665"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Северо-восточнее Новороссийска на одном участке батальон пехоты и 5 танков противника атаковали наши позиции. Подпустив врага на близкое расстояние, наши подразделения открыли огонь, подбили 2 немецких танка и уничтожили до 150 гитлеровцев.</w:t>
      </w:r>
    </w:p>
    <w:p w14:paraId="5EC9673A"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низовьях Кубани немцы проникли в стык наших подразделений. Бойцы Н-ской части внезапно атаковали противника и уничтожили до роты немецкой пехоты. Оставшиеся в живых гитлеровцы пытались спастись на лодках. Наша артиллерия открыла огонь и потопила 14 лодок вместе с находившимися в них немецкими солдатами.</w:t>
      </w:r>
    </w:p>
    <w:p w14:paraId="6F8A03B2"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уничтожили до 300 солдат и офицеров противника, разрушили 7 блиндажей и наблюдательный пункт, подавили огонь миномётной и 6 артиллерийских батарей. Разведчики Н-ской части захватили пленных и важные оперативные документы.</w:t>
      </w:r>
    </w:p>
    <w:p w14:paraId="1CBCA586"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огнём пехотного оружия и артиллерии истреблено более 100 немецких солдат и офицеров, разрушено 3 блиндажа, 2 дзота и уничтожено 4 орудия противника. Снайперы Н-ской части за два дня истребили 60 гитлеровцев.</w:t>
      </w:r>
    </w:p>
    <w:p w14:paraId="0C26C1DA"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наша артиллерия совершила огневой налёт на скопление танков противника. В районе цели произошло несколько сильных взрывов, и возникли пожары.</w:t>
      </w:r>
    </w:p>
    <w:p w14:paraId="45E77634"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происходила артиллерийско-миномётная перестрелка. Миномётчики Н-ского гвардейского соединения уничтожили до 200 немецких coлдат и офицеров, подавили огонь 4 артиллерийских батарей, разрушили 13 блиндажей, разбили 3 железнодорожных вагона и 6 автомашин с военными грузами противника.</w:t>
      </w:r>
    </w:p>
    <w:p w14:paraId="5BAE7098"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городе Сталино отряд украинских партизан совершил налёт на немецкие военные мастерские. Перебив вооружённую охрану, партизаны взорвали мастерские и подожгли склады с авиабомбами, снарядами и порохом. Пожары и взрывы складов продолжалисьв течение двух дней.</w:t>
      </w:r>
    </w:p>
    <w:p w14:paraId="4E2270E7"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командир 51 немецкой воздушной эскадры майор авиации Эгберт фон Франкенберг заявил: «Я длительное время находился во Франции, а затем в Сицилии. Из Сицилии неоднократно совершал налёты на Мальту. В феврале в связи с неудачами немецких войск на советско-германском фронте был срочно отправлен на Восток. Второй год войны против России принёс нам горькие разочарования и неожиданности. Гитлер хотел захватить Юг, кавказскую нефть, достичь Волги и затем ударить на Москву. Все знают, что эти планы провалились. Немецкая армия потерпела под Сталинградом небывалое поражение. Разгром итало-немецких войск в Северной Африке явился для многих из нас полной неожиданностью. Мы, лётчики, знали, что немецкие и итальянские войска в Тунисе испытывают большие трудности, но никто не думал,что конец наступит так скоро. Тяжесть положения усугубляется ещё тем, что население оккупированных стран заметно усилило сопротивление германским властям. Уже после Сталинграда многие французы, норвежцы, бельгийцы воспряли духом и стали держать себя вызывающе по отношению к немцам. Почти все ожидают высадки англо-американских войск в Европе и жаждут поражения Германии. Всё это заставляет меня сделать вывод, что военное и политическое положение Германии за истекший год резко ухудшилось и положение немецкой армии безнадёжное».</w:t>
      </w:r>
    </w:p>
    <w:p w14:paraId="1A522729"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разгромили на шоссейной дороге Приепола—Биело Поле итальянскую колонну. Патриоты уничтожили 130 итальянских солдат и двух офицеров, захватили 6 грузовых автомашин с военным имуществом, 10 пулемётов, миномёт и другие трофеи. Взято в плен 50 итальянских солдат. В Сухой Крайне патриоты истребили 180 солдат и офицеров противника. При налёте на рудник Загорье партизаны взорвали электростанцию и вывели из строя всё оборудование.» (14896).</w:t>
      </w:r>
    </w:p>
    <w:p w14:paraId="5CB5102E" w14:textId="77777777" w:rsidR="000116FD" w:rsidRPr="00D03F3E" w:rsidRDefault="000116FD" w:rsidP="00D03F3E">
      <w:pPr>
        <w:spacing w:after="0" w:line="240" w:lineRule="auto"/>
        <w:jc w:val="both"/>
        <w:rPr>
          <w:rFonts w:ascii="Times New Roman" w:hAnsi="Times New Roman"/>
          <w:color w:val="000000" w:themeColor="text1"/>
          <w:sz w:val="16"/>
          <w:szCs w:val="16"/>
        </w:rPr>
      </w:pPr>
    </w:p>
    <w:p w14:paraId="293AAF1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19 мая 1943 4 Ил-2 8-го </w:t>
      </w:r>
      <w:r w:rsidRPr="00D03F3E">
        <w:rPr>
          <w:iCs/>
          <w:color w:val="000000" w:themeColor="text1"/>
          <w:sz w:val="16"/>
          <w:szCs w:val="16"/>
        </w:rPr>
        <w:t>гшап</w:t>
      </w:r>
      <w:r w:rsidRPr="00D03F3E">
        <w:rPr>
          <w:color w:val="000000" w:themeColor="text1"/>
          <w:sz w:val="16"/>
          <w:szCs w:val="16"/>
        </w:rPr>
        <w:t xml:space="preserve"> под при</w:t>
      </w:r>
      <w:r w:rsidRPr="00D03F3E">
        <w:rPr>
          <w:color w:val="000000" w:themeColor="text1"/>
          <w:sz w:val="16"/>
          <w:szCs w:val="16"/>
        </w:rPr>
        <w:softHyphen/>
        <w:t xml:space="preserve">крытием 10 Як-1 из 6-го </w:t>
      </w:r>
      <w:r w:rsidRPr="00D03F3E">
        <w:rPr>
          <w:iCs/>
          <w:color w:val="000000" w:themeColor="text1"/>
          <w:sz w:val="16"/>
          <w:szCs w:val="16"/>
        </w:rPr>
        <w:t>гиап в</w:t>
      </w:r>
      <w:r w:rsidRPr="00D03F3E">
        <w:rPr>
          <w:color w:val="000000" w:themeColor="text1"/>
          <w:sz w:val="16"/>
          <w:szCs w:val="16"/>
        </w:rPr>
        <w:t xml:space="preserve"> районе Благовещенской атаковали конвой "Kleiner Bar-89" в составе 4 БДБ. Выход на конвой штурмовики выполнили на бреющем полете, а атаку - с планиро</w:t>
      </w:r>
      <w:r w:rsidRPr="00D03F3E">
        <w:rPr>
          <w:color w:val="000000" w:themeColor="text1"/>
          <w:sz w:val="16"/>
          <w:szCs w:val="16"/>
        </w:rPr>
        <w:softHyphen/>
        <w:t>вания под углом 10° с предварительным подскоком до высоты 350 м. На подходе к конвою "Илы" были встречены силь</w:t>
      </w:r>
      <w:r w:rsidRPr="00D03F3E">
        <w:rPr>
          <w:color w:val="000000" w:themeColor="text1"/>
          <w:sz w:val="16"/>
          <w:szCs w:val="16"/>
        </w:rPr>
        <w:softHyphen/>
        <w:t>ным заградительным зенитным огнем. По докладам экипажей уже в первом заходе удалось потопить одну БДБ. Ус</w:t>
      </w:r>
      <w:r w:rsidRPr="00D03F3E">
        <w:rPr>
          <w:color w:val="000000" w:themeColor="text1"/>
          <w:sz w:val="16"/>
          <w:szCs w:val="16"/>
        </w:rPr>
        <w:softHyphen/>
        <w:t xml:space="preserve">пех сопутствовал к-ну </w:t>
      </w:r>
      <w:r w:rsidRPr="00D03F3E">
        <w:rPr>
          <w:color w:val="000000" w:themeColor="text1"/>
          <w:sz w:val="16"/>
          <w:szCs w:val="16"/>
        </w:rPr>
        <w:lastRenderedPageBreak/>
        <w:t>Н.И.Николаеву. От прямых попаданий PC и бомб взорва</w:t>
      </w:r>
      <w:r w:rsidRPr="00D03F3E">
        <w:rPr>
          <w:color w:val="000000" w:themeColor="text1"/>
          <w:sz w:val="16"/>
          <w:szCs w:val="16"/>
        </w:rPr>
        <w:softHyphen/>
        <w:t>лась вторая БДБ. На втором заходе ог</w:t>
      </w:r>
      <w:r w:rsidRPr="00D03F3E">
        <w:rPr>
          <w:color w:val="000000" w:themeColor="text1"/>
          <w:sz w:val="16"/>
          <w:szCs w:val="16"/>
        </w:rPr>
        <w:softHyphen/>
        <w:t>нем ПВО конвоя был сбит Ил-2 лейтенанта А. Колесника (воздушный стрелок сержант А.Ильченко). Экипаж погиб. Однако была потоплена еще одна БДБ. В третьем заходе получила поврежде</w:t>
      </w:r>
      <w:r w:rsidRPr="00D03F3E">
        <w:rPr>
          <w:color w:val="000000" w:themeColor="text1"/>
          <w:sz w:val="16"/>
          <w:szCs w:val="16"/>
        </w:rPr>
        <w:softHyphen/>
        <w:t>ния и четвертая БДБ. От уничтожения ее спасло только то, что штурмовики израсходовали боезапас. Все Ил-2 от зенитного огня получили значительные повреждения и многочисленные пробоины.</w:t>
      </w:r>
    </w:p>
    <w:p w14:paraId="4B5B10C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Немецкие документы подтверждают потопление советскими штурмовиками в районе Благовещенской двух БДБ (ко</w:t>
      </w:r>
      <w:r w:rsidRPr="00D03F3E">
        <w:rPr>
          <w:color w:val="000000" w:themeColor="text1"/>
          <w:sz w:val="16"/>
          <w:szCs w:val="16"/>
        </w:rPr>
        <w:softHyphen/>
        <w:t>ординаты 44°53' с.ш. и 37°20' в.д.): ар</w:t>
      </w:r>
      <w:r w:rsidRPr="00D03F3E">
        <w:rPr>
          <w:color w:val="000000" w:themeColor="text1"/>
          <w:sz w:val="16"/>
          <w:szCs w:val="16"/>
        </w:rPr>
        <w:softHyphen/>
        <w:t>тиллерийская БДБ AF70 и БДБ F376A. Третья БДБ - F304A - была уничтожена в этот день в районе Тамани (координа</w:t>
      </w:r>
      <w:r w:rsidRPr="00D03F3E">
        <w:rPr>
          <w:color w:val="000000" w:themeColor="text1"/>
          <w:sz w:val="16"/>
          <w:szCs w:val="16"/>
        </w:rPr>
        <w:softHyphen/>
        <w:t>ты 45°03' с.ш. и 36°44' в.д.) (6467).</w:t>
      </w:r>
    </w:p>
    <w:p w14:paraId="7F9F1720" w14:textId="77777777" w:rsidR="00531570" w:rsidRPr="00D03F3E" w:rsidRDefault="00531570" w:rsidP="00D03F3E">
      <w:pPr>
        <w:pStyle w:val="Iauiue"/>
        <w:jc w:val="both"/>
        <w:rPr>
          <w:color w:val="000000" w:themeColor="text1"/>
          <w:sz w:val="16"/>
          <w:szCs w:val="16"/>
        </w:rPr>
      </w:pPr>
    </w:p>
    <w:p w14:paraId="1547245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мая 1943 на участке Сталинград – Камышин группа бронекатеров сильным заградительным огнем отразила налет пяти немецких самолетов, заставила их отказаться от атаки караванов судов и постановки мин с малых высот. Особенно отличился бронекатер № 33 лейтенанта К. И. Воробьева. В тот день другие корабли флотилии отражали бомбардировку конвоя судов у Черного Яра. В результате ни одна из бомб, сброшенных противником, не попала в транспорты. 1 июня в районе Черного Яра бронекатер № 33 отразил шесть ночных атак «Хейнкелей». Последние сбросили около 60 бомб, все они упали в стороне от транспортных судов. Но и ВВФ несла потери. 17 мая подорвалась на мине и затонула канонерская лодка «Красный Дагестан», а через девять дней – канонерская лодка «Красногвардеец». На обоих судах погибли 30 членов их команд. Несмотря на все принятые меры, грузооборот судов по-прежнему оставлял желать лучшего. Из-за необходимости соблюдать строгий порядок конвоирования, узости протраленного фарватера, нехватки судов движение нефтекараванов шло значительно медленнее желаемого. Если в последней декаде апреля по участку Астрахань – Саратов были перевезены 445 000 т нефтепродуктов, то за весь май удалось перевезти 765 000 т, что составило 76,5% от плана и не шло ни в какое сравнение с показателями годичной давности. Поэтому страна продолжала задыхаться без топлива (11773).</w:t>
      </w:r>
    </w:p>
    <w:p w14:paraId="654A891A"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77AA6AC"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37591AD5" w14:textId="77777777" w:rsidR="00531570" w:rsidRPr="00D03F3E" w:rsidRDefault="00531570" w:rsidP="00D03F3E">
      <w:pPr>
        <w:pStyle w:val="Iauiue"/>
        <w:jc w:val="both"/>
        <w:rPr>
          <w:iCs/>
          <w:color w:val="000000" w:themeColor="text1"/>
          <w:sz w:val="16"/>
          <w:szCs w:val="16"/>
        </w:rPr>
      </w:pPr>
    </w:p>
    <w:p w14:paraId="70672B14" w14:textId="77777777" w:rsidR="00983A9C" w:rsidRPr="00D03F3E" w:rsidRDefault="00983A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мая 1943. В Москву прибыл специальный представитель президента США - бывший американский посол в СССР Джозеф Дэвис (18693).</w:t>
      </w:r>
    </w:p>
    <w:p w14:paraId="40EC85F7" w14:textId="77777777" w:rsidR="00983A9C" w:rsidRPr="00D03F3E" w:rsidRDefault="00983A9C" w:rsidP="00D03F3E">
      <w:pPr>
        <w:spacing w:after="0" w:line="240" w:lineRule="auto"/>
        <w:jc w:val="both"/>
        <w:rPr>
          <w:rFonts w:ascii="Times New Roman" w:hAnsi="Times New Roman"/>
          <w:color w:val="000000" w:themeColor="text1"/>
          <w:sz w:val="16"/>
          <w:szCs w:val="16"/>
        </w:rPr>
      </w:pPr>
    </w:p>
    <w:p w14:paraId="4CDC3D8E"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19 мая 1943 вышло Постановление ГКО № 3393 [О поставках из США паровозов.] (7108, 139).</w:t>
      </w:r>
    </w:p>
    <w:p w14:paraId="38324ED9" w14:textId="77777777" w:rsidR="00531570" w:rsidRPr="00D03F3E" w:rsidRDefault="00531570" w:rsidP="00D03F3E">
      <w:pPr>
        <w:pStyle w:val="Iauiue"/>
        <w:tabs>
          <w:tab w:val="left" w:pos="11199"/>
        </w:tabs>
        <w:jc w:val="both"/>
        <w:rPr>
          <w:color w:val="000000" w:themeColor="text1"/>
          <w:sz w:val="16"/>
          <w:szCs w:val="16"/>
        </w:rPr>
      </w:pPr>
    </w:p>
    <w:p w14:paraId="7D07A1A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Style w:val="af0"/>
          <w:rFonts w:ascii="Times New Roman" w:hAnsi="Times New Roman"/>
          <w:i w:val="0"/>
          <w:iCs w:val="0"/>
          <w:color w:val="000000" w:themeColor="text1"/>
          <w:sz w:val="16"/>
          <w:szCs w:val="16"/>
        </w:rPr>
        <w:t>19 мая 1943</w:t>
      </w:r>
      <w:r w:rsidRPr="00D03F3E">
        <w:rPr>
          <w:rFonts w:ascii="Times New Roman" w:hAnsi="Times New Roman"/>
          <w:color w:val="000000" w:themeColor="text1"/>
          <w:sz w:val="16"/>
          <w:szCs w:val="16"/>
        </w:rPr>
        <w:t xml:space="preserve"> было подготовлено спецсообщение В.Н. Меркулова И.В. Сталину о поездке Д. Девиса № 244/м </w:t>
      </w:r>
    </w:p>
    <w:p w14:paraId="28D0DD0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Сов. секретно </w:t>
      </w:r>
    </w:p>
    <w:p w14:paraId="6FBB53B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ГОСУДАРСТВЕННЫЙ КОМИТЕТ ОБОРОНЫ </w:t>
      </w:r>
    </w:p>
    <w:p w14:paraId="00868F7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товарищу Сталину,</w:t>
      </w:r>
    </w:p>
    <w:p w14:paraId="453A538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*Джозеф ДЕВИС и сопровождающие его лица прибыли в гор. Куйбышев 17 мая с.г. в 14 час. 30 мин*. </w:t>
      </w:r>
    </w:p>
    <w:p w14:paraId="69A3E5B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Подчеркнуто карандашом. </w:t>
      </w:r>
    </w:p>
    <w:p w14:paraId="4FB1A50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За исключением полуторачасовой прогулки по городу, ДЕВИС и сопровождающие его лица провели остаток дня в особняке американского посольства. </w:t>
      </w:r>
    </w:p>
    <w:p w14:paraId="6D15EDA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Во время прогулки ДЕВИС посетил комиссионный магазин и магазин Инснаба, где купил шелковое полотно на костюм. От первоначального намерения осмотреть авиационный завод № 1 отказался, сославшись на переутомление. </w:t>
      </w:r>
    </w:p>
    <w:p w14:paraId="7D4B7BF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Вечером ДЕВИС имел разговор с 1-м секретарем американского посольства ПЕРКИНС о разрыве советско-польских отношений, причем ДЕВИС отрицательно отозвался о политике польского правительства, назвав ее «глупой и несвоевременной», о чем он, якобы, также говорил польскому послу в Вашингтоне. </w:t>
      </w:r>
    </w:p>
    <w:p w14:paraId="53DF40B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22 часа ДЕВИС принял мексиканского посла КИНТАНИЙЯ, разговор с которым особого интереса не представлял. </w:t>
      </w:r>
    </w:p>
    <w:p w14:paraId="36C391A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18 мая с.г. в 8 час. 50 мин. ДЕВИС вылетел из Куйбышева в Сталинград, где в сопровождении секретаря обкома ВКП(б) т. ЧУЯНОВА осматривал разрушенные здания в центре города, заводы, дом, в котором был пленен ПАУЛЮС. При осмотре поля, где находилось около 5 разбитых немецких самолетов, ДЕВИС на фоне этих самолетов несколько раз сфотографировался. </w:t>
      </w:r>
    </w:p>
    <w:p w14:paraId="07B7FC0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**У братской могилы бойцов, павших за Сталинград, ДЕВИС, возложив на могилу цветы, построил всех сопровождавших его лиц в две шеренги, сам встал в центре и, обращаясь к собравшейся толпе бойцов и сталинградских жителей, произнес речь следующего содержания: </w:t>
      </w:r>
    </w:p>
    <w:p w14:paraId="384C672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«Дорогие товарищи! Я приехал навестить город героев. Люди, защищавшие город, сумели остановить немцев. Я приехал возложить цветы на могилу погибших героев от имени президента США РУЗВЕЛЬТА и народа США. Народы Советского Союза, Америки и Великобритании сумеют разгромить Гитлера под руководством своих вождей. Слава советским солдатам»**. </w:t>
      </w:r>
    </w:p>
    <w:p w14:paraId="661DBEA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Подчеркнуто карандашом и на полях отчеркнуто тремя чертами. </w:t>
      </w:r>
    </w:p>
    <w:p w14:paraId="1E28AA3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Получив справку, что в район Сталинграда залетают иногда вражеские разведчики, ДЕВИС поинтересовался, будут ли его сопровождать истребители, а на аэродроме лично проверил наличие истребителей. </w:t>
      </w:r>
    </w:p>
    <w:p w14:paraId="1917091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Перед отлетом из Сталинграда для ДЕВИСА и сопровождавших его лиц в облисполкоме был устроен небольшой завтрак, на котором он благодарил за заботы о нем и заявил о «неизгладимом впечатлении» от посещения Сталинграда. </w:t>
      </w:r>
    </w:p>
    <w:p w14:paraId="23C4ED5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Народный комиссар государственной безопасности Союза ССР </w:t>
      </w:r>
    </w:p>
    <w:p w14:paraId="54D29DC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РГАСПИ. Ф. 558. Оп. 11. Д. 181. Л. 70—71. Подлинник. Машинопись. </w:t>
      </w:r>
    </w:p>
    <w:p w14:paraId="2EFB3CA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первом листе имеется резолюция Сталина: «Почему это дело не публикуется? Где корреспонденты наших газет?» (11430)</w:t>
      </w:r>
    </w:p>
    <w:p w14:paraId="77527AFA"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244BE62"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12488F4B" w14:textId="77777777" w:rsidR="00531570" w:rsidRPr="00D03F3E" w:rsidRDefault="00531570" w:rsidP="00D03F3E">
      <w:pPr>
        <w:pStyle w:val="Iauiue"/>
        <w:jc w:val="both"/>
        <w:rPr>
          <w:iCs/>
          <w:color w:val="000000" w:themeColor="text1"/>
          <w:sz w:val="16"/>
          <w:szCs w:val="16"/>
        </w:rPr>
      </w:pPr>
    </w:p>
    <w:p w14:paraId="04ADF3FC"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19 мая</w:t>
      </w:r>
      <w:r w:rsidRPr="00D03F3E">
        <w:rPr>
          <w:rFonts w:ascii="Times New Roman" w:hAnsi="Times New Roman"/>
          <w:color w:val="000000" w:themeColor="text1"/>
          <w:sz w:val="16"/>
          <w:szCs w:val="16"/>
        </w:rPr>
        <w:t xml:space="preserve"> в 1943 году совершил первый полет бомбардировщик </w:t>
      </w:r>
      <w:hyperlink r:id="rId162" w:tgtFrame="_blank" w:history="1">
        <w:r w:rsidRPr="00D03F3E">
          <w:rPr>
            <w:rFonts w:ascii="Times New Roman" w:hAnsi="Times New Roman"/>
            <w:color w:val="000000" w:themeColor="text1"/>
            <w:sz w:val="16"/>
            <w:szCs w:val="16"/>
          </w:rPr>
          <w:t xml:space="preserve">«Lockheed» «Vega» «XB-38». </w:t>
        </w:r>
      </w:hyperlink>
      <w:r w:rsidRPr="00D03F3E">
        <w:rPr>
          <w:rFonts w:ascii="Times New Roman" w:hAnsi="Times New Roman"/>
          <w:color w:val="000000" w:themeColor="text1"/>
          <w:sz w:val="16"/>
          <w:szCs w:val="16"/>
        </w:rPr>
        <w:t>USAAF заключили контракт с отделением «Vega» компании «Lockheed», на переоборудование одного планера «B-17E» 12-цилиндровыми V-образными двигателями жидкостного охлаждения «Allison» «V-1710-89» мощностью 1425 л.с., применявшимися на истребителе «Lockheed» «P-38». Преследовалась цель повысить скоростные характеристики «В-17» и обеспечить запасной вариант самолета на случай возможного дефицита радиальных моторов «Wright Cyclone» (14896).</w:t>
      </w:r>
    </w:p>
    <w:p w14:paraId="2075C5D1" w14:textId="77777777" w:rsidR="000116FD" w:rsidRPr="00D03F3E" w:rsidRDefault="000116FD" w:rsidP="00D03F3E">
      <w:pPr>
        <w:spacing w:after="0" w:line="240" w:lineRule="auto"/>
        <w:jc w:val="both"/>
        <w:rPr>
          <w:rFonts w:ascii="Times New Roman" w:hAnsi="Times New Roman"/>
          <w:color w:val="000000" w:themeColor="text1"/>
          <w:sz w:val="16"/>
          <w:szCs w:val="16"/>
        </w:rPr>
      </w:pPr>
    </w:p>
    <w:p w14:paraId="6132B066"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19 мая</w:t>
      </w:r>
      <w:r w:rsidRPr="00D03F3E">
        <w:rPr>
          <w:rFonts w:ascii="Times New Roman" w:hAnsi="Times New Roman"/>
          <w:color w:val="000000" w:themeColor="text1"/>
          <w:sz w:val="16"/>
          <w:szCs w:val="16"/>
        </w:rPr>
        <w:t xml:space="preserve"> в 1943 году в 49-м полете первый опытный образец «N-9M-1» разбился, при этом летчик Макс Констант погиб. К этому времени самолет налетал около 30 часов. Роковой полет был плановым. Летчик удалился от ВПП на достаточно большое расстояние, выйдя из поля зрения наблюдателей. Поэтому никто не видел падения самолета. Положение обломков на земле косвенно указывало на то, что «N-9M» или вошел в штопор, или беспорядочно кувыркался перед встречей с землей (14896).</w:t>
      </w:r>
    </w:p>
    <w:p w14:paraId="70A63236" w14:textId="77777777" w:rsidR="000116FD" w:rsidRPr="00D03F3E" w:rsidRDefault="000116FD" w:rsidP="00D03F3E">
      <w:pPr>
        <w:spacing w:after="0" w:line="240" w:lineRule="auto"/>
        <w:jc w:val="both"/>
        <w:rPr>
          <w:rFonts w:ascii="Times New Roman" w:hAnsi="Times New Roman"/>
          <w:color w:val="000000" w:themeColor="text1"/>
          <w:sz w:val="16"/>
          <w:szCs w:val="16"/>
        </w:rPr>
      </w:pPr>
    </w:p>
    <w:p w14:paraId="0C2A1086" w14:textId="77777777" w:rsidR="00D959B3" w:rsidRPr="00D03F3E" w:rsidRDefault="00D959B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19 мая 1943 B-17F Flying Fortress Memphis Belle возвращается в Англию после налета на Киль, Германия, и становится первым американским тяжелым бомбардировщиком, завершившим 25 вылетов с неповрежденным экипажем. Мемфис Белль и ее команда возвращаются в Соединенные Штаты в июне, чтобы способствовать продаже военных облигаций (20376).</w:t>
      </w:r>
    </w:p>
    <w:p w14:paraId="44C893E2" w14:textId="77777777" w:rsidR="00D959B3" w:rsidRPr="00D03F3E" w:rsidRDefault="00D959B3" w:rsidP="00D03F3E">
      <w:pPr>
        <w:spacing w:after="0" w:line="240" w:lineRule="auto"/>
        <w:jc w:val="both"/>
        <w:rPr>
          <w:rFonts w:ascii="Times New Roman" w:hAnsi="Times New Roman"/>
          <w:color w:val="0070C0"/>
          <w:sz w:val="16"/>
          <w:szCs w:val="16"/>
        </w:rPr>
      </w:pPr>
    </w:p>
    <w:p w14:paraId="32E136CE"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19 мая 1943 фашисты объявили о том, что Берлин полностью очищен от евреев (4962).</w:t>
      </w:r>
    </w:p>
    <w:p w14:paraId="050059FA" w14:textId="77777777" w:rsidR="00531570" w:rsidRPr="00D03F3E" w:rsidRDefault="00531570" w:rsidP="00D03F3E">
      <w:pPr>
        <w:pStyle w:val="Iauiue"/>
        <w:tabs>
          <w:tab w:val="left" w:pos="11199"/>
        </w:tabs>
        <w:jc w:val="both"/>
        <w:rPr>
          <w:color w:val="000000" w:themeColor="text1"/>
          <w:sz w:val="16"/>
          <w:szCs w:val="16"/>
        </w:rPr>
      </w:pPr>
    </w:p>
    <w:p w14:paraId="798876D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19 мая 1943 нацисты объявили Берлин очищенным от евреев (Jude frei) (1798).</w:t>
      </w:r>
    </w:p>
    <w:p w14:paraId="034386E6" w14:textId="77777777" w:rsidR="00531570" w:rsidRPr="00D03F3E" w:rsidRDefault="00531570" w:rsidP="00D03F3E">
      <w:pPr>
        <w:pStyle w:val="Iauiue"/>
        <w:jc w:val="both"/>
        <w:rPr>
          <w:color w:val="000000" w:themeColor="text1"/>
          <w:sz w:val="16"/>
          <w:szCs w:val="16"/>
        </w:rPr>
      </w:pPr>
    </w:p>
    <w:p w14:paraId="509ADDFA"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19 мая</w:t>
      </w:r>
      <w:r w:rsidRPr="00D03F3E">
        <w:rPr>
          <w:rFonts w:ascii="Times New Roman" w:hAnsi="Times New Roman"/>
          <w:color w:val="000000" w:themeColor="text1"/>
          <w:sz w:val="16"/>
          <w:szCs w:val="16"/>
        </w:rPr>
        <w:t xml:space="preserve"> в 1943 году на совещании в Ставке Адольф Гитлер заявил, что потеря Балкан имела бы для Германии весьма тяжелые последствия (14896).</w:t>
      </w:r>
    </w:p>
    <w:p w14:paraId="6042910B" w14:textId="77777777" w:rsidR="000116FD" w:rsidRPr="00D03F3E" w:rsidRDefault="000116FD" w:rsidP="00D03F3E">
      <w:pPr>
        <w:spacing w:after="0" w:line="240" w:lineRule="auto"/>
        <w:jc w:val="both"/>
        <w:rPr>
          <w:rFonts w:ascii="Times New Roman" w:hAnsi="Times New Roman"/>
          <w:color w:val="000000" w:themeColor="text1"/>
          <w:sz w:val="16"/>
          <w:szCs w:val="16"/>
        </w:rPr>
      </w:pPr>
    </w:p>
    <w:p w14:paraId="74C33FF0" w14:textId="77777777" w:rsidR="000116FD" w:rsidRPr="00D03F3E" w:rsidRDefault="000116F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19 мая</w:t>
      </w:r>
      <w:r w:rsidRPr="00D03F3E">
        <w:rPr>
          <w:rFonts w:ascii="Times New Roman" w:hAnsi="Times New Roman"/>
          <w:color w:val="000000" w:themeColor="text1"/>
          <w:sz w:val="16"/>
          <w:szCs w:val="16"/>
        </w:rPr>
        <w:t xml:space="preserve"> в 1943 году указ Рейхсканцлера Германской Империи о предоставлении немецкого гражданства ненемцам, вступившим в действующую армию и войска СС. Всего гражданство согласно этому указу было предоставлено 12 тысячам человек (14896).</w:t>
      </w:r>
    </w:p>
    <w:p w14:paraId="0178DE71" w14:textId="77777777" w:rsidR="000116FD" w:rsidRPr="00D03F3E" w:rsidRDefault="000116FD" w:rsidP="00D03F3E">
      <w:pPr>
        <w:spacing w:after="0" w:line="240" w:lineRule="auto"/>
        <w:jc w:val="both"/>
        <w:rPr>
          <w:rFonts w:ascii="Times New Roman" w:hAnsi="Times New Roman"/>
          <w:color w:val="000000" w:themeColor="text1"/>
          <w:sz w:val="16"/>
          <w:szCs w:val="16"/>
        </w:rPr>
      </w:pPr>
    </w:p>
    <w:p w14:paraId="14FA391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19 мая 1943 У.Черчиль выступил перед Конгрессом США (2246,3).</w:t>
      </w:r>
    </w:p>
    <w:p w14:paraId="5E6D0F5B" w14:textId="77777777" w:rsidR="00531570" w:rsidRPr="00D03F3E" w:rsidRDefault="00531570" w:rsidP="00D03F3E">
      <w:pPr>
        <w:pStyle w:val="Iauiue"/>
        <w:jc w:val="both"/>
        <w:rPr>
          <w:color w:val="000000" w:themeColor="text1"/>
          <w:sz w:val="16"/>
          <w:szCs w:val="16"/>
        </w:rPr>
      </w:pPr>
    </w:p>
    <w:p w14:paraId="18F2FFE6" w14:textId="77777777" w:rsidR="00303512" w:rsidRPr="00D03F3E" w:rsidRDefault="00303512"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3D4FD0A7" w14:textId="77777777" w:rsidR="00303512" w:rsidRPr="00D03F3E" w:rsidRDefault="00303512" w:rsidP="00D03F3E">
      <w:pPr>
        <w:pStyle w:val="Iauiue"/>
        <w:jc w:val="both"/>
        <w:rPr>
          <w:iCs/>
          <w:color w:val="000000" w:themeColor="text1"/>
          <w:sz w:val="16"/>
          <w:szCs w:val="16"/>
        </w:rPr>
      </w:pPr>
    </w:p>
    <w:p w14:paraId="3A04760D" w14:textId="77777777" w:rsidR="00303512" w:rsidRPr="00D03F3E" w:rsidRDefault="0030351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 десятых чисел мая 1943 года развернулись работы по орудиям семейства Д-5. К 22 мая были отправлены на производство рабочие чертежи. В качестве срока изготовления опытных образцов систем было обозначено 15 июня. Как уже говорилось, в целом система Д-5-С-122 являлась развитием Д-11, при этом КБ завода №9 учло ряд недостатков предшествующего орудия. Установка системы стала более компактной, ее ограждение стало короче, а вместе с ним уменьшилась до 430 мм и длина отката. Более простой стала подвижная бронировка системы, при этом толщина ее заметно выросла. Удалось избавиться от ряда недостатков неподвижной бронировки, а вместо крышки сферической формы сверху появилась простая по конструкции крышка (17689).</w:t>
      </w:r>
    </w:p>
    <w:p w14:paraId="5831B354" w14:textId="77777777" w:rsidR="00303512" w:rsidRPr="00D03F3E" w:rsidRDefault="00303512" w:rsidP="00D03F3E">
      <w:pPr>
        <w:spacing w:after="0" w:line="240" w:lineRule="auto"/>
        <w:jc w:val="both"/>
        <w:rPr>
          <w:rFonts w:ascii="Times New Roman" w:hAnsi="Times New Roman"/>
          <w:color w:val="000000" w:themeColor="text1"/>
          <w:sz w:val="16"/>
          <w:szCs w:val="16"/>
        </w:rPr>
      </w:pPr>
    </w:p>
    <w:p w14:paraId="05B978DB"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375E2D25" w14:textId="77777777" w:rsidR="00531570" w:rsidRPr="00D03F3E" w:rsidRDefault="00531570" w:rsidP="00D03F3E">
      <w:pPr>
        <w:pStyle w:val="Iauiue"/>
        <w:jc w:val="both"/>
        <w:rPr>
          <w:iCs/>
          <w:color w:val="000000" w:themeColor="text1"/>
          <w:sz w:val="16"/>
          <w:szCs w:val="16"/>
        </w:rPr>
      </w:pPr>
    </w:p>
    <w:p w14:paraId="32F6B82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 мая 1943 состоялось заседание моторной комиссии НКАП. Был и С.В.И. и обсуждали модернизированный ТК - ТКМ. Постановили:</w:t>
      </w:r>
    </w:p>
    <w:p w14:paraId="3E02EC6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"Постановка модернизированного ТК (ТКМ) в соответствии с предъявленными ЦИАМ расчетными характеристиками и экспериментальными материалами обеспечивает заданные мощности и высотность мотора (940 нр на 9000 м без радиатора на 1-й скорости нагнетателя)." (1775,171).</w:t>
      </w:r>
    </w:p>
    <w:p w14:paraId="11353060" w14:textId="77777777" w:rsidR="00531570" w:rsidRPr="00D03F3E" w:rsidRDefault="00531570" w:rsidP="00D03F3E">
      <w:pPr>
        <w:pStyle w:val="Iauiue"/>
        <w:jc w:val="both"/>
        <w:rPr>
          <w:color w:val="000000" w:themeColor="text1"/>
          <w:sz w:val="16"/>
          <w:szCs w:val="16"/>
        </w:rPr>
      </w:pPr>
    </w:p>
    <w:p w14:paraId="408D826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 мая 1943 проект реактивного истребителя М.И.Гудкова с ТРД А.М.Люлька повторно рассматривался на экспертной комиссии 8 ГУ НКАП, а на комиссии 7 ГУ он был 27 апреля 1943 (2168,4).</w:t>
      </w:r>
    </w:p>
    <w:p w14:paraId="0FCFA33A" w14:textId="77777777" w:rsidR="00531570" w:rsidRPr="00D03F3E" w:rsidRDefault="00531570" w:rsidP="00D03F3E">
      <w:pPr>
        <w:pStyle w:val="Iauiue"/>
        <w:jc w:val="both"/>
        <w:rPr>
          <w:color w:val="000000" w:themeColor="text1"/>
          <w:sz w:val="16"/>
          <w:szCs w:val="16"/>
        </w:rPr>
      </w:pPr>
    </w:p>
    <w:p w14:paraId="2BB58F5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 мая 1943 собрали Комиссию по рассмотрению двигателя Люлька. Присутствовали заместитель наркома В.П. Кузнецов, Г.Д. Воликов, В.Д. Владимиров, В.В. Уваров, В.Д. Дмитриевский, А.А. Фадеев, Н.С. Холщевников, Г.М. Абрамович, С.В. Ильюшин и другие. Формально состав комиссии считался весьма представительным, но через призму истории можно сказать, что компетентность ее членов по рассматриваемому вопросу оказалась недостаточной. Первым выступил Люлька с докладом о двигателе для нового самолета Гудкова. Рецензентами были назначены Уваров (ЦИАМ) и Абрамович (ЦАГИ). В своем выступлении Уваров заявил: "Схема двигателя, доложенная тов. Люлька А.М., не нова. Она с центробежным нагнетателем была опубликована еще в 1932 г., а в 1942 г. фирмой Броун-Бовери опубликована схема с осевым нагнетателем, в которой турбина принята двухступенчатой. С рядом допущений и значениями к.п.д. отдельных агрегатов, принятыми автором, согласиться нельзя. Но все же схема представляет существенный интерес и над ней надо работать" (9016).</w:t>
      </w:r>
    </w:p>
    <w:p w14:paraId="6F48909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Выступление Уварова было непоследовательным. В недалеком прошлом он поддерживал Люлька. Начало выступления звучит так, как будто Люлька подал заявку на изобретение. Кстати, Уваров наверняка должен был знать, что первым приступил к практическому созданию реактивного двигателя с осевым компрессором в 1939 г. именно Люлька. Возражения по принятым допущениям и полученным результатам Уваровым не обосновывались. Спасибо и на том, что он хотя бы отметил "... все же схема представляет существенный интерес и над ней надо работать". Если бы он при этом еще и предложил усилить кадрами группу Люлька, дать ей соответствующую производственную базу, тогда он поступил бы честно до конца.</w:t>
      </w:r>
    </w:p>
    <w:p w14:paraId="4DE09D9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Заключение Абрамовича мало отличалось от заключения Уварова. Он также заявил о целесообразности продолжения работ и необходимости "вести экспериментальные работы по отдельным агрегатам". И ни слова о том, что следует построить реальный двигатель и уже на нем экспериментировать.</w:t>
      </w:r>
    </w:p>
    <w:p w14:paraId="3D0B946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Постановляющую часть заключения комиссии, особенно пункт 1, можно считать образцом бюрократической осторожности:</w:t>
      </w:r>
    </w:p>
    <w:p w14:paraId="004A3E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Двигатель системы т. Люлька А.М. на данной стадии разработки считать недостаточно проверенным по отдельным элементам. Заявленные данные двигателя преувеличены. При работе двигателя, построенного по представленному проекту, (данные - прим. ред.) могут снизиться до неприемлемых величин. В связи с этим, считать преждевременным и нецелесообразным постройку опытного образца двигателя и самолета под него.</w:t>
      </w:r>
    </w:p>
    <w:p w14:paraId="3B4FFFA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Двигатель по своей схеме представляет существенный интерес. Считать необходимым развернуть экспериментальные работы по отработке отдельных узлов двигателя.</w:t>
      </w:r>
    </w:p>
    <w:p w14:paraId="070F402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Считать целесообразным работу по разработке реактивного двигателя предложенной схемы развернуть в ЦИАМ. Экспериментальные работы над указанным двигателем необходимо развернуть в таком объеме, чтобы в конце 1943 г. можно было приступить к разработке опытного образца реактивного двигателя.</w:t>
      </w:r>
    </w:p>
    <w:p w14:paraId="6F1CC68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Для успешного проведения работы над реактивным двигателем системы т. Люлька А.М. в ЦИАМ считать необходимым увеличение производственной базы ЦИАМ не менее чем на 30 металлорежущих станков.</w:t>
      </w:r>
    </w:p>
    <w:p w14:paraId="3DF9D36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Одновременно с работами по двигателю системы тов. Люлька А.М. считать необходимым форсировать работы по разработке других систем мощных реактивных двигателей.</w:t>
      </w:r>
    </w:p>
    <w:p w14:paraId="3430220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По мероприятиям, обеспечивающим разработку в ЦИАМ реактивных двигателей, подготовить проект решения ГОКО".</w:t>
      </w:r>
    </w:p>
    <w:p w14:paraId="35958FC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Протокол заседания комиссии подписали ее председатель - Поликовский и ученый секретарь Макаренков (9016).</w:t>
      </w:r>
    </w:p>
    <w:p w14:paraId="45B99218" w14:textId="77777777" w:rsidR="00531570" w:rsidRPr="00D03F3E" w:rsidRDefault="00531570" w:rsidP="00D03F3E">
      <w:pPr>
        <w:pStyle w:val="Iauiue"/>
        <w:jc w:val="both"/>
        <w:rPr>
          <w:color w:val="000000" w:themeColor="text1"/>
          <w:sz w:val="16"/>
          <w:szCs w:val="16"/>
        </w:rPr>
      </w:pPr>
    </w:p>
    <w:p w14:paraId="7B268386"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0F909F99" w14:textId="77777777" w:rsidR="00531570" w:rsidRPr="00D03F3E" w:rsidRDefault="00531570" w:rsidP="00D03F3E">
      <w:pPr>
        <w:pStyle w:val="Iauiue"/>
        <w:jc w:val="both"/>
        <w:rPr>
          <w:iCs/>
          <w:color w:val="000000" w:themeColor="text1"/>
          <w:sz w:val="16"/>
          <w:szCs w:val="16"/>
        </w:rPr>
      </w:pPr>
    </w:p>
    <w:p w14:paraId="3A47640F"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20 мая 1943 года вышел приказ НКБ № 506</w:t>
      </w:r>
    </w:p>
    <w:p w14:paraId="5FD6651F"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Бывший завод № 3 НКМФ включить в число действующих предприятий НКБ, присвоив ему № 518 и подчинить 3 Гл. управлению (5949, 15).</w:t>
      </w:r>
    </w:p>
    <w:p w14:paraId="3EF22FA7" w14:textId="77777777" w:rsidR="00531570" w:rsidRPr="00D03F3E" w:rsidRDefault="00531570" w:rsidP="00D03F3E">
      <w:pPr>
        <w:pStyle w:val="Iauiue"/>
        <w:tabs>
          <w:tab w:val="left" w:pos="11199"/>
        </w:tabs>
        <w:jc w:val="both"/>
        <w:rPr>
          <w:color w:val="000000" w:themeColor="text1"/>
          <w:sz w:val="16"/>
          <w:szCs w:val="16"/>
        </w:rPr>
      </w:pPr>
    </w:p>
    <w:p w14:paraId="6C1AE7E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мая 1943 вышло Распоряжение ГКО № 3397. О передаче недостроенного каменного 5 этажного дома в г. Свердловске НКЭС.РГАНИР, Фонд ГКО, д. 119, лл. 1 (11012).</w:t>
      </w:r>
    </w:p>
    <w:p w14:paraId="5F3F07F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0209AF8"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20 мая 1943 вышло Распоряжение ГКО № 3401 [О порядке и размере оплаты командировочных работникам военной приемки ГБТУ КА на предприятиях, ремонтирующих танки в полевых условиях.] (7109, 6).</w:t>
      </w:r>
    </w:p>
    <w:p w14:paraId="4DE5DD95" w14:textId="77777777" w:rsidR="00531570" w:rsidRPr="00D03F3E" w:rsidRDefault="00531570" w:rsidP="00D03F3E">
      <w:pPr>
        <w:pStyle w:val="Iauiue"/>
        <w:tabs>
          <w:tab w:val="left" w:pos="11199"/>
        </w:tabs>
        <w:jc w:val="both"/>
        <w:rPr>
          <w:color w:val="000000" w:themeColor="text1"/>
          <w:sz w:val="16"/>
          <w:szCs w:val="16"/>
        </w:rPr>
      </w:pPr>
    </w:p>
    <w:p w14:paraId="06726D8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мая 1943 вышло Постановление ГКО № 3402 О принятии на вооружение Красной Армии и обеспечении выпуска 7,62 мм пистолета-пулемета Судаева.РГАНИР, Фонд ГКО, д. 119, лл. 7-8, 9-17 (11012).</w:t>
      </w:r>
    </w:p>
    <w:p w14:paraId="6EE0AA0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BE8EF5F" w14:textId="77777777" w:rsidR="000116FD" w:rsidRPr="00D03F3E" w:rsidRDefault="000116FD"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С 20 мая по 19 июня 1943 года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с за</w:t>
      </w:r>
      <w:r w:rsidRPr="00D03F3E">
        <w:rPr>
          <w:rFonts w:ascii="Times New Roman" w:cs="Times New Roman"/>
          <w:color w:val="000000" w:themeColor="text1"/>
          <w:spacing w:val="0"/>
        </w:rPr>
        <w:softHyphen/>
        <w:t>водским № 30430, выделенный для испытаний, находился в пробегах в Казани. На 1040 километре пробега испытания были прекращены из-за поломки двигателя, про</w:t>
      </w:r>
      <w:r w:rsidRPr="00D03F3E">
        <w:rPr>
          <w:rFonts w:ascii="Times New Roman" w:cs="Times New Roman"/>
          <w:color w:val="000000" w:themeColor="text1"/>
          <w:spacing w:val="0"/>
        </w:rPr>
        <w:softHyphen/>
        <w:t>работавшего 84 часа. При этом все агрегаты танка, за исключением двигателя, ведомого барабана главного фрикциона и бронзовых конусов со ступицей вентилятора «по сво</w:t>
      </w:r>
      <w:r w:rsidRPr="00D03F3E">
        <w:rPr>
          <w:rFonts w:ascii="Times New Roman" w:cs="Times New Roman"/>
          <w:color w:val="000000" w:themeColor="text1"/>
          <w:spacing w:val="0"/>
        </w:rPr>
        <w:softHyphen/>
        <w:t>ей прочности обеспечивали бесперебойную эксплуатацию танка в пределах пройденного километража». Среди недостатков, снижав</w:t>
      </w:r>
      <w:r w:rsidRPr="00D03F3E">
        <w:rPr>
          <w:rFonts w:ascii="Times New Roman" w:cs="Times New Roman"/>
          <w:color w:val="000000" w:themeColor="text1"/>
          <w:spacing w:val="0"/>
        </w:rPr>
        <w:softHyphen/>
        <w:t xml:space="preserve">ших надежность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отмечались низкое качество крепежных соединений и «слабый контроль за монтажом танка на заводе». Ко</w:t>
      </w:r>
      <w:r w:rsidRPr="00D03F3E">
        <w:rPr>
          <w:rFonts w:ascii="Times New Roman" w:cs="Times New Roman"/>
          <w:color w:val="000000" w:themeColor="text1"/>
          <w:spacing w:val="0"/>
        </w:rPr>
        <w:softHyphen/>
        <w:t>миссия, проводившая испытания, рекомен</w:t>
      </w:r>
      <w:r w:rsidRPr="00D03F3E">
        <w:rPr>
          <w:rFonts w:ascii="Times New Roman" w:cs="Times New Roman"/>
          <w:color w:val="000000" w:themeColor="text1"/>
          <w:spacing w:val="0"/>
        </w:rPr>
        <w:softHyphen/>
        <w:t>довала улучшить работу воздухоочистителя, повысить прочность ступицы ведомого бара</w:t>
      </w:r>
      <w:r w:rsidRPr="00D03F3E">
        <w:rPr>
          <w:rFonts w:ascii="Times New Roman" w:cs="Times New Roman"/>
          <w:color w:val="000000" w:themeColor="text1"/>
          <w:spacing w:val="0"/>
        </w:rPr>
        <w:softHyphen/>
        <w:t>бана главного фрикциона и улучшить каче</w:t>
      </w:r>
      <w:r w:rsidRPr="00D03F3E">
        <w:rPr>
          <w:rFonts w:ascii="Times New Roman" w:cs="Times New Roman"/>
          <w:color w:val="000000" w:themeColor="text1"/>
          <w:spacing w:val="0"/>
        </w:rPr>
        <w:softHyphen/>
        <w:t>ство подгонки ступицы вентилятора и затяж</w:t>
      </w:r>
      <w:r w:rsidRPr="00D03F3E">
        <w:rPr>
          <w:rFonts w:ascii="Times New Roman" w:cs="Times New Roman"/>
          <w:color w:val="000000" w:themeColor="text1"/>
          <w:spacing w:val="0"/>
        </w:rPr>
        <w:softHyphen/>
        <w:t>ку бронзовых конусов. В выводах по испыта</w:t>
      </w:r>
      <w:r w:rsidRPr="00D03F3E">
        <w:rPr>
          <w:rFonts w:ascii="Times New Roman" w:cs="Times New Roman"/>
          <w:color w:val="000000" w:themeColor="text1"/>
          <w:spacing w:val="0"/>
        </w:rPr>
        <w:softHyphen/>
        <w:t>ниям отмечалось:</w:t>
      </w:r>
    </w:p>
    <w:p w14:paraId="7233D4F8" w14:textId="77777777" w:rsidR="000116FD" w:rsidRPr="00D03F3E" w:rsidRDefault="000116FD"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«Двигатель по своей долговечности и бес</w:t>
      </w:r>
      <w:r w:rsidRPr="00D03F3E">
        <w:rPr>
          <w:rFonts w:ascii="Times New Roman" w:cs="Times New Roman"/>
          <w:color w:val="000000" w:themeColor="text1"/>
          <w:spacing w:val="0"/>
        </w:rPr>
        <w:softHyphen/>
        <w:t>перебойности в работе не обеспечивает на</w:t>
      </w:r>
      <w:r w:rsidRPr="00D03F3E">
        <w:rPr>
          <w:rFonts w:ascii="Times New Roman" w:cs="Times New Roman"/>
          <w:color w:val="000000" w:themeColor="text1"/>
          <w:spacing w:val="0"/>
        </w:rPr>
        <w:softHyphen/>
        <w:t>дежности танка в эксплуатации в пределах гарантийного километража. Он не выдержал испытаний из-за преждевременного износа поршневой группы.</w:t>
      </w:r>
    </w:p>
    <w:p w14:paraId="497E168B" w14:textId="77777777" w:rsidR="000116FD" w:rsidRPr="00D03F3E" w:rsidRDefault="000116FD"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Вентилятор — надежен в работе, слабое ме</w:t>
      </w:r>
      <w:r w:rsidRPr="00D03F3E">
        <w:rPr>
          <w:rFonts w:ascii="Times New Roman" w:cs="Times New Roman"/>
          <w:color w:val="000000" w:themeColor="text1"/>
          <w:spacing w:val="0"/>
        </w:rPr>
        <w:softHyphen/>
        <w:t>сто — бронзовые конуса и ступица.</w:t>
      </w:r>
    </w:p>
    <w:p w14:paraId="0533B46E" w14:textId="77777777" w:rsidR="000116FD" w:rsidRPr="00D03F3E" w:rsidRDefault="000116FD"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Главный фрикцион испытаний не выдер</w:t>
      </w:r>
      <w:r w:rsidRPr="00D03F3E">
        <w:rPr>
          <w:rFonts w:ascii="Times New Roman" w:cs="Times New Roman"/>
          <w:color w:val="000000" w:themeColor="text1"/>
          <w:spacing w:val="0"/>
        </w:rPr>
        <w:softHyphen/>
        <w:t>жал. Слабое место - ступица ведомого ба</w:t>
      </w:r>
      <w:r w:rsidRPr="00D03F3E">
        <w:rPr>
          <w:rFonts w:ascii="Times New Roman" w:cs="Times New Roman"/>
          <w:color w:val="000000" w:themeColor="text1"/>
          <w:spacing w:val="0"/>
        </w:rPr>
        <w:softHyphen/>
        <w:t>рабана. Коробка перемены передач надежна в работе, и в пределах 1040 км регулировки не требовала. Вполне пригодна к дальнейшей эксплуатации.</w:t>
      </w:r>
    </w:p>
    <w:p w14:paraId="2B9DA2F3" w14:textId="77777777" w:rsidR="000116FD" w:rsidRPr="00D03F3E" w:rsidRDefault="000116FD"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Фрикционы на всем протяжении работа</w:t>
      </w:r>
      <w:r w:rsidRPr="00D03F3E">
        <w:rPr>
          <w:rFonts w:ascii="Times New Roman" w:cs="Times New Roman"/>
          <w:color w:val="000000" w:themeColor="text1"/>
          <w:spacing w:val="0"/>
        </w:rPr>
        <w:softHyphen/>
        <w:t>ли надежно, и регулировки не требуют. Тор</w:t>
      </w:r>
      <w:r w:rsidRPr="00D03F3E">
        <w:rPr>
          <w:rFonts w:ascii="Times New Roman" w:cs="Times New Roman"/>
          <w:color w:val="000000" w:themeColor="text1"/>
          <w:spacing w:val="0"/>
        </w:rPr>
        <w:softHyphen/>
        <w:t>мозные ленты требуют регулировки через 50-100 км.</w:t>
      </w:r>
    </w:p>
    <w:p w14:paraId="59810696" w14:textId="77777777" w:rsidR="000116FD" w:rsidRPr="00D03F3E" w:rsidRDefault="000116FD"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Бортовые редукторы надежны в работе.</w:t>
      </w:r>
    </w:p>
    <w:p w14:paraId="45E69F2E" w14:textId="77777777" w:rsidR="000116FD" w:rsidRPr="00D03F3E" w:rsidRDefault="000116FD"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Подвеска танка все время эксплуатации прошла без поломок и неисправностей. Тор</w:t>
      </w:r>
      <w:r w:rsidRPr="00D03F3E">
        <w:rPr>
          <w:rFonts w:ascii="Times New Roman" w:cs="Times New Roman"/>
          <w:color w:val="000000" w:themeColor="text1"/>
          <w:spacing w:val="0"/>
        </w:rPr>
        <w:softHyphen/>
        <w:t>сионные валы не потеряли угла закрутки. Опорные катки - за период испытаний поло</w:t>
      </w:r>
      <w:r w:rsidRPr="00D03F3E">
        <w:rPr>
          <w:rFonts w:ascii="Times New Roman" w:cs="Times New Roman"/>
          <w:color w:val="000000" w:themeColor="text1"/>
          <w:spacing w:val="0"/>
        </w:rPr>
        <w:softHyphen/>
        <w:t>мок и неисправностей не имели. Поддержи</w:t>
      </w:r>
      <w:r w:rsidRPr="00D03F3E">
        <w:rPr>
          <w:rFonts w:ascii="Times New Roman" w:cs="Times New Roman"/>
          <w:color w:val="000000" w:themeColor="text1"/>
          <w:spacing w:val="0"/>
        </w:rPr>
        <w:softHyphen/>
        <w:t>вающие катки работали ненадежно из-за не</w:t>
      </w:r>
      <w:r w:rsidRPr="00D03F3E">
        <w:rPr>
          <w:rFonts w:ascii="Times New Roman" w:cs="Times New Roman"/>
          <w:color w:val="000000" w:themeColor="text1"/>
          <w:spacing w:val="0"/>
        </w:rPr>
        <w:softHyphen/>
        <w:t>достаточной прочности болтов крепления кронштейнов и их некачественной затяжки на заводе.</w:t>
      </w:r>
    </w:p>
    <w:p w14:paraId="3B7576C3" w14:textId="77777777" w:rsidR="000116FD" w:rsidRPr="00D03F3E" w:rsidRDefault="000116FD"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Гусеница за период испытаний показала свою работоспособность без отрыва и разру</w:t>
      </w:r>
      <w:r w:rsidRPr="00D03F3E">
        <w:rPr>
          <w:rFonts w:ascii="Times New Roman" w:cs="Times New Roman"/>
          <w:color w:val="000000" w:themeColor="text1"/>
          <w:spacing w:val="0"/>
        </w:rPr>
        <w:softHyphen/>
        <w:t>шения отдельных пальцев и траков.</w:t>
      </w:r>
    </w:p>
    <w:p w14:paraId="2459E285" w14:textId="77777777" w:rsidR="000116FD" w:rsidRPr="00D03F3E" w:rsidRDefault="000116FD"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Средняя скорость движения по проселоч</w:t>
      </w:r>
      <w:r w:rsidRPr="00D03F3E">
        <w:rPr>
          <w:rFonts w:ascii="Times New Roman" w:cs="Times New Roman"/>
          <w:color w:val="000000" w:themeColor="text1"/>
          <w:spacing w:val="0"/>
        </w:rPr>
        <w:softHyphen/>
        <w:t>ной дороге - 13,5 км/ч - удовлетворительна. Запас хода по проселочным дорогам 140 км является достаточным».</w:t>
      </w:r>
    </w:p>
    <w:p w14:paraId="2753CD54" w14:textId="77777777" w:rsidR="000116FD" w:rsidRPr="00D03F3E" w:rsidRDefault="000116FD"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При стрельбе была получена скорострель</w:t>
      </w:r>
      <w:r w:rsidRPr="00D03F3E">
        <w:rPr>
          <w:rFonts w:ascii="Times New Roman" w:cs="Times New Roman"/>
          <w:color w:val="000000" w:themeColor="text1"/>
          <w:spacing w:val="0"/>
        </w:rPr>
        <w:softHyphen/>
        <w:t>ность 6-7 выстрелов в минуту с места, и 6 вы</w:t>
      </w:r>
      <w:r w:rsidRPr="00D03F3E">
        <w:rPr>
          <w:rFonts w:ascii="Times New Roman" w:cs="Times New Roman"/>
          <w:color w:val="000000" w:themeColor="text1"/>
          <w:spacing w:val="0"/>
        </w:rPr>
        <w:softHyphen/>
        <w:t>стрелов в минуту с хода (15226).</w:t>
      </w:r>
    </w:p>
    <w:p w14:paraId="54F8CE28" w14:textId="77777777" w:rsidR="000116FD" w:rsidRPr="00D03F3E" w:rsidRDefault="000116FD" w:rsidP="00D03F3E">
      <w:pPr>
        <w:pStyle w:val="27"/>
        <w:shd w:val="clear" w:color="auto" w:fill="auto"/>
        <w:spacing w:after="0" w:line="240" w:lineRule="auto"/>
        <w:ind w:firstLine="0"/>
        <w:rPr>
          <w:rFonts w:ascii="Times New Roman" w:cs="Times New Roman"/>
          <w:color w:val="000000" w:themeColor="text1"/>
          <w:spacing w:val="0"/>
        </w:rPr>
      </w:pPr>
    </w:p>
    <w:p w14:paraId="6809A8AC" w14:textId="77777777" w:rsidR="00531570" w:rsidRPr="00D03F3E" w:rsidRDefault="00531570" w:rsidP="00D03F3E">
      <w:pPr>
        <w:pStyle w:val="a8"/>
        <w:widowControl/>
        <w:jc w:val="both"/>
        <w:rPr>
          <w:rFonts w:ascii="Times New Roman" w:hAnsi="Times New Roman" w:cs="Times New Roman"/>
          <w:color w:val="000000" w:themeColor="text1"/>
        </w:rPr>
      </w:pPr>
      <w:r w:rsidRPr="00D03F3E">
        <w:rPr>
          <w:rFonts w:ascii="Times New Roman" w:hAnsi="Times New Roman" w:cs="Times New Roman"/>
          <w:color w:val="000000" w:themeColor="text1"/>
        </w:rPr>
        <w:t xml:space="preserve">20 мая - 10 июля 1943 года на НИБТПолигоне в условиях, приближенных к боевым прошли сравнительные испытания ГАЗ-64, "Бантам BRC-40", "Виллис-МВ", "Форд GPW". Благодаря своим отличным тяговым свойствам доработанный ГАЗ-64 (его уже тогда называли ГАЗ-67) "...во всех случаях движения по тяжелым дорогам как с прицепом, так и без него..." мог преодолевать короткие подъемы до 42°, длительные - до 38° ("Виллис" и "Форд" - до 37°), а с 45-мм пушкой на крюке - до 31 °, ("они" - до 26°). По максимальному тяговому усилию ГАЗ-64 также значительно превосходил "Виллис" и "Форд" (1195 кгс против 890 кгс), а на бездорожье - в среднем на 12-25%. Имел он и несколько лучшую проходимость, что объяснялось лучшим сцеплением шин с более удачным протектором, меньшим удельным давлением на грунт, а также более устойчивой работой двигателя на малых оборотах с реализацией при этом значительного крутящего момента. Можно было длительно двигаться по бездорожью на "ползучих" скоростях на III и даже IV передачах почти без их переключения, ибо чаще всего в этот момент происходит разрыв потока мощности и теряется подвижность. На высшей передаче машина могла разгоняться со скорости всего 9 км/ч. Будучи заметно тяжелее американских "джипов" и имея меньшую удельную мощность, ГАЗ-64 практически не уступал им в подвижности (средние скорости по шоссе - соответственно 42,8 и 44 км/ч, по проселку - 34,8 и 36,2, по бездорожью - 25,1 и 25,8 км/ч), а с прицепом двигался даже лучше. Этому содействовала и подвеска с удачно подобранными характеристиками, необычайно мягкая для автомобиля подобного назначения. Конечно, машина была еще достаточно "сырая", не столь технически совершенная и законченная, как "Виллис",- трудно было иного ожидать при столь рекордных темпах проектирования и освоения в производстве принципиально нового, ранее нам неизвестного типа </w:t>
      </w:r>
      <w:r w:rsidRPr="00D03F3E">
        <w:rPr>
          <w:rFonts w:ascii="Times New Roman" w:hAnsi="Times New Roman" w:cs="Times New Roman"/>
          <w:color w:val="000000" w:themeColor="text1"/>
        </w:rPr>
        <w:lastRenderedPageBreak/>
        <w:t>автомобиля (который в то же время был вынужден базироваться по большей части на устаревших агрегатах). При положительном в целом отзыве в отчете отмечались и недостатки, вызванные применением некачественных материалов и низкой культурой изготовления - неизбежное следствие военного времени. Отсюда и малая износостойкость ряда деталей (хотя и в пределах гарантийного пробега), поломки элементов рамы и рессор (у "Виллиса" - тоже), неудобная посадка пассажиров и затруднительное управление, большой расход топлива и масла, плохая работа тормозов. Не оправдала себя узкая колея - автомобиль не вписывался в проложенные грузовиками следы, имел недостаточную боковую устойчивость на косогорах, были даже случаи его опрокидывания (как и на "Виллисе") (9638).</w:t>
      </w:r>
    </w:p>
    <w:p w14:paraId="5598CE03" w14:textId="77777777" w:rsidR="00531570" w:rsidRPr="00D03F3E" w:rsidRDefault="00531570" w:rsidP="00D03F3E">
      <w:pPr>
        <w:pStyle w:val="a8"/>
        <w:widowControl/>
        <w:jc w:val="both"/>
        <w:rPr>
          <w:rFonts w:ascii="Times New Roman" w:hAnsi="Times New Roman" w:cs="Times New Roman"/>
          <w:color w:val="000000" w:themeColor="text1"/>
        </w:rPr>
      </w:pPr>
    </w:p>
    <w:p w14:paraId="622428C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мая 1943 Адмиралтейцы начали швартовные испытания второго МБК (10671).</w:t>
      </w:r>
    </w:p>
    <w:p w14:paraId="203D0C0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103F336"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6F964A10" w14:textId="77777777" w:rsidR="00531570" w:rsidRPr="00D03F3E" w:rsidRDefault="00531570" w:rsidP="00D03F3E">
      <w:pPr>
        <w:pStyle w:val="Iauiue"/>
        <w:jc w:val="both"/>
        <w:rPr>
          <w:iCs/>
          <w:color w:val="000000" w:themeColor="text1"/>
          <w:sz w:val="16"/>
          <w:szCs w:val="16"/>
        </w:rPr>
      </w:pPr>
    </w:p>
    <w:p w14:paraId="73A433C8"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20 мая</w:t>
      </w:r>
      <w:r w:rsidRPr="00D03F3E">
        <w:rPr>
          <w:rFonts w:ascii="Times New Roman" w:hAnsi="Times New Roman"/>
          <w:color w:val="000000" w:themeColor="text1"/>
          <w:sz w:val="16"/>
          <w:szCs w:val="16"/>
        </w:rPr>
        <w:t xml:space="preserve"> в 1943 году утреннее сообщение Совинформбюро:</w:t>
      </w:r>
    </w:p>
    <w:p w14:paraId="7D63761D"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20 мая на фронте ничего существенного не произошло.</w:t>
      </w:r>
    </w:p>
    <w:p w14:paraId="6BB73D7B"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Северо-восточнее Новороссийска артиллеристы Н-ского соединения уничтожили 2 немецких наблюдательных пункта, разрушили 5 дзотов, подавили огонь 4 артиллерийских и 12 миномётных батарей, из них двух батарей шестиствольных миномётов.</w:t>
      </w:r>
    </w:p>
    <w:p w14:paraId="6FBE76C4"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бомбардировали войска противника. В объектах, подвергавшихся бомбардировке, возникло много пожаров и произошло несколько сильных взрывов. В воздушных боях сбито 3 немецких самолёта.</w:t>
      </w:r>
    </w:p>
    <w:p w14:paraId="78DF2A5F"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Изюма наши подразделения предприняли разведку боем. Две группы разведчиков стремительным ударом выбили противника с одной высоты и закрепились на ней. Немцы дважды переходили в контратаки, пытаясь вернуть утерянные ими позиции. Наши подразделения отбили контратаки гитлеровцев с большими для противника потерями.</w:t>
      </w:r>
    </w:p>
    <w:p w14:paraId="24697161"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огнём советской артиллерии уничтожен склад боеприпасов противника, взорвано большое минное поле, рассеяно и частью уничтожено до роты немецкой пехоты. На одном участке взвод под командованием тов. Мамедова окружил вражескую разведывательную группу, истребил 10 гитлеровцев и захватил 5 пленных.</w:t>
      </w:r>
    </w:p>
    <w:p w14:paraId="7C2F5B3E"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группа разведчиков под командованием старшего лейтенанта Савельева и старшего лейтенанта Малько пробралась в расположение штаба дивизии противника и захватила в плен двух немецких штабных офицеров. Разведчики благополучно прошли по тылам противника и доставили пленных офицеров в свою часть.</w:t>
      </w:r>
    </w:p>
    <w:p w14:paraId="3FCC64E4"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огнём артиллерии разрушено 8 немецких дзотов и 5 землянок, уничтожено 2 орудия, 14 автомашин с грузами, взорван склад боеприпасов противника. Снайперами наших подразделений уничтожено 147 гитлеровцев.</w:t>
      </w:r>
    </w:p>
    <w:p w14:paraId="1F4752FA"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воздушных боях на подступах к Ленинграду и огнём зенитной артиллерии сбито 8 немецких самолётов. Лётчики-балтийцы потопили сторожевой корабль, катер и баржу противника.</w:t>
      </w:r>
    </w:p>
    <w:p w14:paraId="0E46F3A0"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Барановичской области, взорвал 2 железнодорожных моста и пустил под откос 3 немецких воинских эшелона. Партизаны этого же отряда сожгли склад с горючим. Огнём уничтожено 4 тонны бензина, 150 бочек с керосином и 4 вагона со смазочными материалами.</w:t>
      </w:r>
    </w:p>
    <w:p w14:paraId="52FCFA72"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шоссейных дорогах и из засад убито 43 гитлеровца.</w:t>
      </w:r>
    </w:p>
    <w:p w14:paraId="4E20BF87"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городе Ейске, Краснодарского края, выявлены новые кровавые злодеяния немецко-фашистских мерзавцев. В 7 километрах от города в двух окопах обнаружено 42 трупа местных жителей, замученных гитлеровцами. В числе убитых 12 женщин и 10 детей. Опознаны трупы рабочего электростанции С.Клименко, бухгалтера И.Кулиша, водопроводчика М.Божевольного, телефонистки В.Топорковой, колхозника колхоза «КИМ» В.Горбаня и других.</w:t>
      </w:r>
    </w:p>
    <w:p w14:paraId="59608F42"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Итальянский отряд пытался выбить греческих партизан из одного населённого пункта. Партизаны встретили оккупантов на подступах к этому населённому пункту и из засад уничтожили 80 итальянских солдат и офицеров. Другой отряд греческих партизан напал на итальянский гарнизон и истребил 58 солдат и офицеров противника.» (14897).</w:t>
      </w:r>
    </w:p>
    <w:p w14:paraId="6864C26C" w14:textId="77777777" w:rsidR="006A034F" w:rsidRPr="00D03F3E" w:rsidRDefault="006A034F" w:rsidP="00D03F3E">
      <w:pPr>
        <w:spacing w:after="0" w:line="240" w:lineRule="auto"/>
        <w:jc w:val="both"/>
        <w:rPr>
          <w:rFonts w:ascii="Times New Roman" w:hAnsi="Times New Roman"/>
          <w:color w:val="000000" w:themeColor="text1"/>
          <w:sz w:val="16"/>
          <w:szCs w:val="16"/>
        </w:rPr>
      </w:pPr>
    </w:p>
    <w:p w14:paraId="7C839534"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20 мая</w:t>
      </w:r>
      <w:r w:rsidRPr="00D03F3E">
        <w:rPr>
          <w:rFonts w:ascii="Times New Roman" w:hAnsi="Times New Roman"/>
          <w:color w:val="000000" w:themeColor="text1"/>
          <w:sz w:val="16"/>
          <w:szCs w:val="16"/>
        </w:rPr>
        <w:t xml:space="preserve"> в 1943 году вечернее сообщение Совинформбюро:</w:t>
      </w:r>
    </w:p>
    <w:p w14:paraId="5EFFE247"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20 мая на фронте существенных изменений не произошло.</w:t>
      </w:r>
    </w:p>
    <w:p w14:paraId="19989756"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кораблями и авиацией в Чёрном море, в районе Анапа—Керчь потоплено 6 самоходных барж с войсками противника.</w:t>
      </w:r>
    </w:p>
    <w:p w14:paraId="0DF2740B"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мая частями нашей авиации на различных участках фронта уничтожено или повреждено не менее 20 немецких автомашин с войсками и грузами, подожжён железнодорожный эшелон, разбито 2 паровоза, подавлен огонь 6 артиллерийских батарей противника.</w:t>
      </w:r>
    </w:p>
    <w:p w14:paraId="295A8D82"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Северо-восточнее Новороссийска на одном из участков противник силою до четырёх полков пехоты после сильной артиллерийской и миномётной подготовки пытался атаковать наши позиции. Бойцы Н-ского соединения встретили немцев мощным огнём из всех видов оружия, а затем перешли в контратаку. Противник понёс большие потери и был отброшен. Наши части захватили трофеи и пленных.</w:t>
      </w:r>
    </w:p>
    <w:p w14:paraId="11F380F5"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артиллеристы Н-ской части произвели огневой налёт на позиции противника и его ближние тылы. Артиллерийским огнём уничтожено 6 немецких дзотов вместе с их гарнизонами, 4 орудия, 7 пулемётных точек, взорван склад боеприпасов и подожжён склад горючего.</w:t>
      </w:r>
    </w:p>
    <w:p w14:paraId="45A6EA7B"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Изюма немцы, пытаясь вернуть потерянную ими накануне высоту, предприняли контратаку. Наши подразделения отбили контратаку гитлеровцев и уничтожили в этом бою до 300 солдат и офицеров противника.</w:t>
      </w:r>
    </w:p>
    <w:p w14:paraId="2F7E425B"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наши части вели огневой бой с противником. Разведывательные группы немцев пытались переправиться на левый берег реки Северный Донец. Огнём наших подразделений гитлеровцы были отброшены. Захвачены пленные. Советские артиллеристы уничтожили самоходную пушку, разрушили 2 дзота,7 вражеских блиндажей, рассеяли и частью истребили до роты немецкой пехоты.</w:t>
      </w:r>
    </w:p>
    <w:p w14:paraId="19C47673"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две роты пехоты противника пытались боем разведать наши позиции. Советские подразделения отбросили немцев на исходный рубеж. На поле боя осталось 90 вражеских трупов. Снайперы Н-ского соединения в течение дня истребили 70 немцев.</w:t>
      </w:r>
    </w:p>
    <w:p w14:paraId="2100E801"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 отдельных участках наши части вели огневой бой с противником. Разрушено 13 немецких дзотов и блиндажей, взорвано 2 железнодорожных вагона с боеприпасами, подавлен огонь 2 артиллерийских и 3 миномётных батарей противника. Наши лётчики в воздушном бою сбили два немецких самолёта.</w:t>
      </w:r>
    </w:p>
    <w:p w14:paraId="3AD13A1E"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Ленинградской области, в трёхдневных боях с крупной карательной экспедицией немцев истребил более 200 гитлеровцев. Советские патриоты уничтожили 2 полевых орудия, 5 автомашин с грузами, 2 штабные автомашины, 13 повозок противника с боеприпасами и продовольствием. Партизаны другого ленинградского отряда подорвали на минах немецкий воинский эшелон, шедший к станции Чудово. Взрывом уничтожены паровоз, 7 вагонов с солдатами и 9 платформ с танками и автомашинами.</w:t>
      </w:r>
    </w:p>
    <w:p w14:paraId="07AF5CE1"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солдат 2 роты 106 полка 16 немецкой пехотной дивизия Рудольф Штумпф рассказал: «Меня призвали в армию в феврале этого года, а в апреле послали на фронт. В роте, которую мы сменили, осталось 7 солдат, два унтер-офицера и один офицер. Солдаты имели жалкий и измученный вид. До призыва в армию я жил в Вене. Город наводнен немцами, эвакуированными из Кельма, Манхейма, Гамбурга, Берлина и других городов Германии, подвергающихся воздушным налётам. В Вене так же много иностранных рабочих, насильно привезённых из разных стран Европы. Много французов, сербов, бельгийцев, голландцев, итальянцев и других. Рабочих, которых сейчас мобилизуют в армию и отправляют на фронт, заменяют иностранцами. Однако иностранцы не хотят работать и стараются побольше напортить. В Флоридсдорфе на автомобильном заводе они недавно сожгли много автомашин, предназначенных для армии. В Обер-Лаа сгорели склады с зерном. В Вене часто выключается свет. Такие акты саботажа происходят почти каждый день».</w:t>
      </w:r>
    </w:p>
    <w:p w14:paraId="6D8ADE41" w14:textId="77777777" w:rsidR="006A034F" w:rsidRPr="00D03F3E" w:rsidRDefault="006A034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Датский народ активно борется против немецких оккупантов. В Свендборге патриоты подожгли судостроительный завод. Пожаром уничтожены основные цехи, всё оборудование, а также склады. В Ольборге на судостроительной верфи взрывом выведен из строя сухой док. В другом районе патриоты взорвали завод железнодорожного оборудования.» (14897).</w:t>
      </w:r>
    </w:p>
    <w:p w14:paraId="037D5E80" w14:textId="77777777" w:rsidR="006A034F" w:rsidRPr="00D03F3E" w:rsidRDefault="006A034F" w:rsidP="00D03F3E">
      <w:pPr>
        <w:spacing w:after="0" w:line="240" w:lineRule="auto"/>
        <w:jc w:val="both"/>
        <w:rPr>
          <w:rFonts w:ascii="Times New Roman" w:hAnsi="Times New Roman"/>
          <w:color w:val="000000" w:themeColor="text1"/>
          <w:sz w:val="16"/>
          <w:szCs w:val="16"/>
        </w:rPr>
      </w:pPr>
    </w:p>
    <w:p w14:paraId="7B9F03C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 мая 1943 года подполковник H.Г.Павлов летая на Бостоне впервые сфотографировал порт Нарвик. Он подкрался к цели с приглушенными моторами и благополучно ушел без единого выстрела с земли (3457,106).</w:t>
      </w:r>
    </w:p>
    <w:p w14:paraId="1E60DABD" w14:textId="77777777" w:rsidR="00531570" w:rsidRPr="00D03F3E" w:rsidRDefault="00531570" w:rsidP="00D03F3E">
      <w:pPr>
        <w:pStyle w:val="Iauiue"/>
        <w:jc w:val="both"/>
        <w:rPr>
          <w:color w:val="000000" w:themeColor="text1"/>
          <w:sz w:val="16"/>
          <w:szCs w:val="16"/>
        </w:rPr>
      </w:pPr>
    </w:p>
    <w:p w14:paraId="04B4387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 мая 1943 г. вышел ПРИКАЗ № 0370 О ВВЕДЕНИИ В ДЕЙСТВИЕ ПОЛОЖЕНИЯ О ПРЕМИАЛЬНОЙ ОПЛАТЕ ЛЕТНО-ТЕХНИЧЕСКОГО СОСТАВА КРАСНОЯРСКОЙ ВОЗДУШНОЙ ТРАССЫ</w:t>
      </w:r>
    </w:p>
    <w:p w14:paraId="10E5E7D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Приказываю:</w:t>
      </w:r>
    </w:p>
    <w:p w14:paraId="5EFD1EEA" w14:textId="77777777" w:rsidR="00531570" w:rsidRPr="00D03F3E" w:rsidRDefault="00531570" w:rsidP="00D03F3E">
      <w:pPr>
        <w:pStyle w:val="Iauiue"/>
        <w:jc w:val="both"/>
        <w:rPr>
          <w:color w:val="000000" w:themeColor="text1"/>
          <w:sz w:val="16"/>
          <w:szCs w:val="16"/>
          <w:vertAlign w:val="superscript"/>
        </w:rPr>
      </w:pPr>
      <w:r w:rsidRPr="00D03F3E">
        <w:rPr>
          <w:color w:val="000000" w:themeColor="text1"/>
          <w:sz w:val="16"/>
          <w:szCs w:val="16"/>
        </w:rPr>
        <w:t>1. Ввести в действие с 1 июня 1943 года прилагаемое положение “О премиальной оплате летно-технического состава Красноярской воздушной трассы”.</w:t>
      </w:r>
    </w:p>
    <w:p w14:paraId="2F97ED1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Начальнику Финансового управления при НКО СССР генерал-майору интендантской службы т. Хотенко отнести расходы по выплате премиального вознаграждения летно-техническому составу Красноярской воздушной трассы, произведенные до 1-го июня 1943 г., а также предстоящие выплаты по новому Положению, — на ст. 1 § 1 сметы НКО.</w:t>
      </w:r>
    </w:p>
    <w:p w14:paraId="726F95B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Приложение: на 5 л.</w:t>
      </w:r>
    </w:p>
    <w:p w14:paraId="3DD0AD09" w14:textId="77777777" w:rsidR="00531570" w:rsidRPr="00D03F3E" w:rsidRDefault="00531570" w:rsidP="00D03F3E">
      <w:pPr>
        <w:pStyle w:val="Iauiue"/>
        <w:jc w:val="both"/>
        <w:rPr>
          <w:color w:val="000000" w:themeColor="text1"/>
          <w:sz w:val="16"/>
          <w:szCs w:val="16"/>
        </w:rPr>
      </w:pPr>
      <w:r w:rsidRPr="00D03F3E">
        <w:rPr>
          <w:iCs/>
          <w:color w:val="000000" w:themeColor="text1"/>
          <w:sz w:val="16"/>
          <w:szCs w:val="16"/>
        </w:rPr>
        <w:t xml:space="preserve">Заместитель Народного комиссара обороны СССР генерал-полковник интендантской службы ХРУЛЕВ </w:t>
      </w:r>
      <w:r w:rsidRPr="00D03F3E">
        <w:rPr>
          <w:color w:val="000000" w:themeColor="text1"/>
          <w:sz w:val="16"/>
          <w:szCs w:val="16"/>
        </w:rPr>
        <w:t>(9844).</w:t>
      </w:r>
    </w:p>
    <w:p w14:paraId="098AF46F" w14:textId="77777777" w:rsidR="00531570" w:rsidRPr="00D03F3E" w:rsidRDefault="00531570" w:rsidP="00D03F3E">
      <w:pPr>
        <w:pStyle w:val="Iauiue"/>
        <w:jc w:val="both"/>
        <w:rPr>
          <w:color w:val="000000" w:themeColor="text1"/>
          <w:sz w:val="16"/>
          <w:szCs w:val="16"/>
        </w:rPr>
      </w:pPr>
    </w:p>
    <w:p w14:paraId="32D008B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мая 1943 вышло Постановление ГКО № 3399 О сокращении числа заместителей наркома обороны до двух человек.РГАНИР, Фонд ГКО, д. 119, лл. 3-4 (11012).</w:t>
      </w:r>
    </w:p>
    <w:p w14:paraId="71EB056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03B581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мая 1943 вышло Постановление ГКО № 3400 Об освобождении от должности начальника Оперативного управления ГШ КА Антонова А.И. и назначении на эту должность Штеменко С.М.РГАНИР, Фонд ГКО, д. 119, лл. 5 (11012).</w:t>
      </w:r>
    </w:p>
    <w:p w14:paraId="5FAE9CF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8C8247E"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412CC62C" w14:textId="77777777" w:rsidR="00531570" w:rsidRPr="00D03F3E" w:rsidRDefault="00531570" w:rsidP="00D03F3E">
      <w:pPr>
        <w:pStyle w:val="Iauiue"/>
        <w:jc w:val="both"/>
        <w:rPr>
          <w:iCs/>
          <w:color w:val="000000" w:themeColor="text1"/>
          <w:sz w:val="16"/>
          <w:szCs w:val="16"/>
        </w:rPr>
      </w:pPr>
    </w:p>
    <w:p w14:paraId="6DBB5C00" w14:textId="77777777" w:rsidR="00983A9C" w:rsidRPr="00D03F3E" w:rsidRDefault="00983A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мая 1943. В 9 часов вечера Сталин в присутствии Молотова принял Джозефа Дэвиса. Дэвис передал Сталину послание от президента Рузвельта. В письме президент объяснил, что обеспокоен ослаблением связи между союзниками. Он также пожелал провести личную встречу со Сталиным без участия Черчилля. Сталин спросил, почему предлагается встреча без участия Черчилля. Дэвис ответил, что Черчилль и Рузвельт доверяют друг другу, и президент будет информировать премьер-министра о встрече. Тем не менее, Рузвельт и Черчилль имеют разные представления о колониализме и империализме. Если Сталин и Рузвельт встретятся между собой, то, безусловно, достигнут взаимопонимания. Сталин ответил, что не уверен в этом. Когда Дэвис изложил позицию Рузвельта по международным событиям, Сталин согласился на встречу.</w:t>
      </w:r>
    </w:p>
    <w:p w14:paraId="47C559EB" w14:textId="77777777" w:rsidR="00983A9C" w:rsidRPr="00D03F3E" w:rsidRDefault="00983A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Сын Л. П. Берии Серго Берия пишет: "Известно, что весной 1943 года Рузвельт направил в Москву специального курьера - бывшего посла в СССР Дж. Дэвиса с конфиденциальным письмом Сталину. Он предлагал неформальную встречу "либо на Вашей, либо, на моей стороне Берингова пролива". В ней не должен был участвовать Черчилль, а количество сопровождающих лидеров двух стран должно было быть крайне ограниченным. Предлагалось, в частности, "обсудить военные вопросы на суше и на море" Сталин дал принципиальное согласие на встречу, но с оговоркой - в предстоящей встрече должен был непременно участвовать и Черчилль. Встреча не состоялась... Рузвельт не скрывал, что он союзник Англии в борьбе с фашизмом, но никак не в сохранении Британской империи... Америка Рузвельта имела свои, совершенно однозначные взгляды на послевоенный мир, и они во многом совпадали с видением советского правительства. С англичанами - иначе. Те гораздо ближе были к конфронтации, которая началась после Победы" (18693).</w:t>
      </w:r>
    </w:p>
    <w:p w14:paraId="79177831" w14:textId="77777777" w:rsidR="00983A9C" w:rsidRPr="00D03F3E" w:rsidRDefault="00983A9C" w:rsidP="00D03F3E">
      <w:pPr>
        <w:spacing w:after="0" w:line="240" w:lineRule="auto"/>
        <w:jc w:val="both"/>
        <w:rPr>
          <w:rFonts w:ascii="Times New Roman" w:hAnsi="Times New Roman"/>
          <w:color w:val="000000" w:themeColor="text1"/>
          <w:sz w:val="16"/>
          <w:szCs w:val="16"/>
        </w:rPr>
      </w:pPr>
    </w:p>
    <w:p w14:paraId="146AD84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 мая 1943 года было получено:</w:t>
      </w:r>
    </w:p>
    <w:p w14:paraId="61F6F12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ЛИЧНО И СЕКРЕТНО ОТ ПРЕЗИДЕНТА МАРШАЛУ СТАЛИНУ</w:t>
      </w:r>
    </w:p>
    <w:p w14:paraId="598F5B0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Я уверен, что приводимые ниже американские оценки потерь, понесенных державами оси в Северной Африке за период с 8 декабря 1940 года по 12 мая 1943 года, будут представлять для Вас интерес. Эти цифры в основном совпадают с оценками англичан, за исключением потерь личного состава. Британская оценка этих потерь несколько ниже нашей.</w:t>
      </w:r>
    </w:p>
    <w:p w14:paraId="6BA5371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Общие потери в личном составе — 625 000.</w:t>
      </w:r>
    </w:p>
    <w:p w14:paraId="3C4096F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Общие потери самолетов в Северной Африке и на Средиземном море): уничтожено — 7596, вероятно уничтожено — 1748, повреждено — 4499.</w:t>
      </w:r>
    </w:p>
    <w:p w14:paraId="14EBB75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Общие потери танков — не менее 2100.</w:t>
      </w:r>
    </w:p>
    <w:p w14:paraId="31E4DD3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Общие потери торговых судов: потоплено 625 судов (общим водоизмещением приблизительно в 2 200 000 тонн) и повреждено 371 судно (общим водоизмещением приблизительно в 1 600 000 тонн).</w:t>
      </w:r>
    </w:p>
    <w:p w14:paraId="34068C2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Потери итальянцев в Восточной Африке—150000 (исключая туземцев) (7430).</w:t>
      </w:r>
    </w:p>
    <w:p w14:paraId="7A3C58FC" w14:textId="77777777" w:rsidR="00531570" w:rsidRPr="00D03F3E" w:rsidRDefault="00531570" w:rsidP="00D03F3E">
      <w:pPr>
        <w:pStyle w:val="Iauiue"/>
        <w:jc w:val="both"/>
        <w:rPr>
          <w:color w:val="000000" w:themeColor="text1"/>
          <w:sz w:val="16"/>
          <w:szCs w:val="16"/>
        </w:rPr>
      </w:pPr>
    </w:p>
    <w:p w14:paraId="782EB60D" w14:textId="77777777" w:rsidR="00531570" w:rsidRPr="00D03F3E" w:rsidRDefault="00C81444" w:rsidP="00D03F3E">
      <w:pPr>
        <w:pStyle w:val="Iauiue"/>
        <w:jc w:val="both"/>
        <w:rPr>
          <w:iCs/>
          <w:color w:val="000000" w:themeColor="text1"/>
          <w:sz w:val="16"/>
          <w:szCs w:val="16"/>
          <w:lang w:val="en-US"/>
        </w:rPr>
      </w:pPr>
      <w:r w:rsidRPr="00D03F3E">
        <w:rPr>
          <w:i/>
          <w:iCs/>
          <w:color w:val="000000" w:themeColor="text1"/>
          <w:sz w:val="16"/>
          <w:szCs w:val="16"/>
        </w:rPr>
        <w:t>За</w:t>
      </w:r>
      <w:r w:rsidRPr="00D03F3E">
        <w:rPr>
          <w:i/>
          <w:iCs/>
          <w:color w:val="000000" w:themeColor="text1"/>
          <w:sz w:val="16"/>
          <w:szCs w:val="16"/>
          <w:lang w:val="en-US"/>
        </w:rPr>
        <w:t xml:space="preserve"> </w:t>
      </w:r>
      <w:r w:rsidRPr="00D03F3E">
        <w:rPr>
          <w:i/>
          <w:iCs/>
          <w:color w:val="000000" w:themeColor="text1"/>
          <w:sz w:val="16"/>
          <w:szCs w:val="16"/>
        </w:rPr>
        <w:t>рубежом</w:t>
      </w:r>
      <w:r w:rsidRPr="00D03F3E">
        <w:rPr>
          <w:i/>
          <w:iCs/>
          <w:color w:val="000000" w:themeColor="text1"/>
          <w:sz w:val="16"/>
          <w:szCs w:val="16"/>
          <w:lang w:val="en-US"/>
        </w:rPr>
        <w:t>:</w:t>
      </w:r>
    </w:p>
    <w:p w14:paraId="330B1054" w14:textId="77777777" w:rsidR="00531570" w:rsidRPr="00D03F3E" w:rsidRDefault="00531570" w:rsidP="00D03F3E">
      <w:pPr>
        <w:pStyle w:val="Iauiue"/>
        <w:jc w:val="both"/>
        <w:rPr>
          <w:iCs/>
          <w:color w:val="000000" w:themeColor="text1"/>
          <w:sz w:val="16"/>
          <w:szCs w:val="16"/>
          <w:lang w:val="en-US"/>
        </w:rPr>
      </w:pPr>
    </w:p>
    <w:p w14:paraId="4A7E26E1"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May 20th, 1943: The US Tenth Fleet is formed for anti-submarine operations in the Atlantic (3819).</w:t>
      </w:r>
    </w:p>
    <w:p w14:paraId="64A660B3" w14:textId="77777777" w:rsidR="00531570" w:rsidRPr="00D03F3E" w:rsidRDefault="00531570" w:rsidP="00D03F3E">
      <w:pPr>
        <w:pStyle w:val="Iauiue"/>
        <w:jc w:val="both"/>
        <w:rPr>
          <w:color w:val="000000" w:themeColor="text1"/>
          <w:sz w:val="16"/>
          <w:szCs w:val="16"/>
          <w:lang w:val="en-US"/>
        </w:rPr>
      </w:pPr>
    </w:p>
    <w:p w14:paraId="5DD8A07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 мая 1943 для борьбы с подложками в Атлантике был создан 10 флот США (3819).</w:t>
      </w:r>
    </w:p>
    <w:p w14:paraId="5A921070" w14:textId="77777777" w:rsidR="00531570" w:rsidRPr="00D03F3E" w:rsidRDefault="00531570" w:rsidP="00D03F3E">
      <w:pPr>
        <w:pStyle w:val="Iauiue"/>
        <w:jc w:val="both"/>
        <w:rPr>
          <w:color w:val="000000" w:themeColor="text1"/>
          <w:sz w:val="16"/>
          <w:szCs w:val="16"/>
        </w:rPr>
      </w:pPr>
    </w:p>
    <w:p w14:paraId="308D6C89"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3C898110" w14:textId="77777777" w:rsidR="00531570" w:rsidRPr="00D03F3E" w:rsidRDefault="00531570" w:rsidP="00D03F3E">
      <w:pPr>
        <w:pStyle w:val="Iauiue"/>
        <w:jc w:val="both"/>
        <w:rPr>
          <w:iCs/>
          <w:color w:val="000000" w:themeColor="text1"/>
          <w:sz w:val="16"/>
          <w:szCs w:val="16"/>
        </w:rPr>
      </w:pPr>
    </w:p>
    <w:p w14:paraId="02290C9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 мая 1943 вышел приказ НКАП N 305сс:</w:t>
      </w:r>
    </w:p>
    <w:p w14:paraId="7BD5E00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"ГКО постановлением N 3386 от 17 мая 1943 для борьбы с бомбардировщиками и истребителями противника, считает необходимым часть самолетов Ил-2 превратить в истребители с ограниченной скоростью пикирования, для чего уменьшить полетный вес самолета Ил-2. сняв с него бомбовую нагрузку, РС и п ШКАС, превратив самолет из 2-го в одноместный и улучшить его аэродинамические качества.</w:t>
      </w:r>
    </w:p>
    <w:p w14:paraId="56FFD26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исполнение этого постановления ГКО:</w:t>
      </w:r>
    </w:p>
    <w:p w14:paraId="2F374E7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Нач. 10 ГУ Тарасевичу, ГК С.В.И. и директору завода 1 Третьякову на заводе 1:</w:t>
      </w:r>
    </w:p>
    <w:p w14:paraId="77CA535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построить в июне 1943 50 самолетов Ил-2 с АМ-38Ф в истребительном одноместном варианте, облегчив выпускаемый ныне самолет, сняв с него бомбовую нагрузку, РС и п ШКАС. Оставить на самолете вооружение - 2 пушки ВЯ 23 мм с запасом снарядов 300 шт. со след. основными данными:</w:t>
      </w:r>
    </w:p>
    <w:p w14:paraId="27ED2E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у земли - 400 км/час</w:t>
      </w:r>
    </w:p>
    <w:p w14:paraId="510D11D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на высоте 1000-1500 м - 410 км/час</w:t>
      </w:r>
    </w:p>
    <w:p w14:paraId="7D71A8B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Полетный вес 5300 кг вместо 6100 кг имеющегося</w:t>
      </w:r>
    </w:p>
    <w:p w14:paraId="0C623EE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построить два самолета Ил-2 с АМ-38Ф с улучшенной аэродинамикой к 15 июля 1943 со следующими данными:</w:t>
      </w:r>
    </w:p>
    <w:p w14:paraId="30134C2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у земли - 425 км/час</w:t>
      </w:r>
    </w:p>
    <w:p w14:paraId="6F5E3FA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на высоте 1000-1500 м - 440 км/час</w:t>
      </w:r>
    </w:p>
    <w:p w14:paraId="0DBCB35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АМ-42</w:t>
      </w:r>
    </w:p>
    <w:p w14:paraId="1B383FE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построить два самолета Ил-2 с АМ-42 с улучшенной аэродинамикой к 15 июля 1943 со следующими данными:</w:t>
      </w:r>
    </w:p>
    <w:p w14:paraId="57F88F6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у земли - 445 км/час</w:t>
      </w:r>
    </w:p>
    <w:p w14:paraId="75A35B3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на высоте 1000-1500 м - 460 км/час</w:t>
      </w:r>
    </w:p>
    <w:p w14:paraId="16EFD25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 провести заводские испытания самолета Ил-2 с АМ-38Ф и АМ-42 с улучшенной аэродинамикой и предъявить их на гос. испытания с АМ-38Ф 1 августа 1943, с АМ-42 - 20 августа 1943 (1688,186).</w:t>
      </w:r>
    </w:p>
    <w:p w14:paraId="0964CFF0" w14:textId="77777777" w:rsidR="00531570" w:rsidRPr="00D03F3E" w:rsidRDefault="00531570" w:rsidP="00D03F3E">
      <w:pPr>
        <w:pStyle w:val="Iauiue"/>
        <w:jc w:val="both"/>
        <w:rPr>
          <w:color w:val="000000" w:themeColor="text1"/>
          <w:sz w:val="16"/>
          <w:szCs w:val="16"/>
        </w:rPr>
      </w:pPr>
    </w:p>
    <w:p w14:paraId="3477CB79" w14:textId="77777777" w:rsidR="002222D8" w:rsidRPr="00D03F3E" w:rsidRDefault="002222D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21 мая 1943 вышел приказ НКАП № 305сс «Во исполнение постановления ГКО № 3386». Расплывчатые формулировки постановления № 3386сс оставляли некоторое пространство для бюрократического маневра (21005).</w:t>
      </w:r>
    </w:p>
    <w:p w14:paraId="72C5B4E0" w14:textId="77777777" w:rsidR="002222D8" w:rsidRPr="00D03F3E" w:rsidRDefault="002222D8" w:rsidP="00D03F3E">
      <w:pPr>
        <w:spacing w:after="0" w:line="240" w:lineRule="auto"/>
        <w:jc w:val="both"/>
        <w:rPr>
          <w:rFonts w:ascii="Times New Roman" w:hAnsi="Times New Roman"/>
          <w:color w:val="0070C0"/>
          <w:sz w:val="16"/>
          <w:szCs w:val="16"/>
        </w:rPr>
      </w:pPr>
    </w:p>
    <w:p w14:paraId="7B89E17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 мая 1943 вышел приказ НКАП N 307сс:</w:t>
      </w:r>
    </w:p>
    <w:p w14:paraId="739C2DD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последнее время в строевых частях ВВС произошло несколько случаев разрушения стыковых узлов крыла с центропланом и разрушения крыльев самолетов Ил-2.</w:t>
      </w:r>
    </w:p>
    <w:p w14:paraId="499731D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Специально назначенная комиссия от Наркомата для расследования причин разрушения деревянных крыльев на самолетах Ил-2 установила, что все указанные разрушения крыльев произошли по причине некачественного производственного выполнения и отсутствия надлежащего контроля.</w:t>
      </w:r>
    </w:p>
    <w:p w14:paraId="48603A3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самолетах Ил-2, находящихся в эксплуатацию, выпущенных заводом 30, обнаружены дефекты: неприклейка деревянной обшивки крыла к стрингерам, нервюрам и по дуге концевой заделки крыла, полотняная обшивка деревянного крыла приклеена неудовлетворительно - полотно легко отдирается от обшивки, наружная шпаклевка крыла произведена небрежно и местами отсутствует, заделка полотна на крыле по элеронной щели сверху вниз, по кромкам посадочных щитков и патронных ящиков, в местах прохода тяг посадочных щитков и элеронов выполнены неудовлетворительно.</w:t>
      </w:r>
    </w:p>
    <w:p w14:paraId="2EA5DE1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Сталь марки 30 ХГСА, применяемая для стыковочных узлов, имеет отступления от устанавливаемых ТУ</w:t>
      </w:r>
    </w:p>
    <w:p w14:paraId="2C4511B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заводах специально не выделен контроль особо ответственных узлов.</w:t>
      </w:r>
    </w:p>
    <w:p w14:paraId="70C53D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заводе 18 до января 1943 допускалась правка стыковых узлов после термической обработки.</w:t>
      </w:r>
    </w:p>
    <w:p w14:paraId="59CD5FB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Самолеты Ил-2, выпущенные заводами 1, 18, 30 осмотренные в строевых частях, несмотря на то, что они прошли приемку заводских ОТК, в сборочных цехах и на аэродромах, попали в строевые части в захламленном виде, в плоскостях самолета и фюзеляже мусор (стружки, остатки клея, шурупу, гвозди, заклепки, шайбы и т.п.).</w:t>
      </w:r>
    </w:p>
    <w:p w14:paraId="36DD672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целях....наведения строжайшего порядка в технологической дисциплине, в работе ОТК и обеспечении хорошего качества выпускаемых самолетов Ил2 на заводах 1, 18 и 30:</w:t>
      </w:r>
    </w:p>
    <w:p w14:paraId="66CB89E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Директорам заводов 1, 18 и 30 Третьякову, Белянскому и Шапиро:</w:t>
      </w:r>
    </w:p>
    <w:p w14:paraId="29754B7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ввести с 25 мая контроль на химанализ макро и микро поступающего металла 30 ХГСА для изготовления стыковочных узлов центроплана с крылом, узлов крепления стабилизатора и тавриков лонжеронов центроплана и крыла</w:t>
      </w:r>
    </w:p>
    <w:p w14:paraId="13DDD09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б) ввести в технологию контроля повторную проверку стыковых узлов, узлов крепления стабилизатора и тавриков лонжеронов через магнофлокс, перед закладкой </w:t>
      </w:r>
      <w:r w:rsidRPr="00D03F3E">
        <w:rPr>
          <w:color w:val="000000" w:themeColor="text1"/>
          <w:sz w:val="16"/>
          <w:szCs w:val="16"/>
        </w:rPr>
        <w:lastRenderedPageBreak/>
        <w:t>лонжеронов и центроплана в стапеля, осмотр стыковых узлов перед закрытием стыковой ленты в цехе окончательной сборки и осмотр узлов после облета перед отправкой в строевые части с занесением результатов осмотра в паспорт.</w:t>
      </w:r>
    </w:p>
    <w:p w14:paraId="3F97934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отменить покрытие узлов краской, ограничившись покраской прозрачным лаком</w:t>
      </w:r>
    </w:p>
    <w:p w14:paraId="34F92E7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 запретить правку стыковых узлов после термической обработки</w:t>
      </w:r>
    </w:p>
    <w:p w14:paraId="567906E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 при горячей штамповке стыковых узлов установить жесткий режим температуры нагрева в соответствии с ТУ</w:t>
      </w:r>
    </w:p>
    <w:p w14:paraId="7C0B1DD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е) не реже одного раза в неделю проводить выборочную проверку процесса термообработки стыковых узлов и тавриков лонжеронов путем проведения полных механических испытаний (1716,12).</w:t>
      </w:r>
    </w:p>
    <w:p w14:paraId="5185A5D7" w14:textId="77777777" w:rsidR="00531570" w:rsidRPr="00D03F3E" w:rsidRDefault="00531570" w:rsidP="00D03F3E">
      <w:pPr>
        <w:pStyle w:val="Iauiue"/>
        <w:jc w:val="both"/>
        <w:rPr>
          <w:color w:val="000000" w:themeColor="text1"/>
          <w:sz w:val="16"/>
          <w:szCs w:val="16"/>
        </w:rPr>
      </w:pPr>
    </w:p>
    <w:p w14:paraId="0F37FB0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 мая 1943 в НИИ ВВС закончились контрольные гос. испытания Ил-2 N 2067 производства 30 завода, которые шли с 7 мая 1943. Прошел неудовлетворительно из-за потери скорости на 12-19 км/час и большого количества дефектов, затрудняющих эксплуатацию (1778,271).</w:t>
      </w:r>
    </w:p>
    <w:p w14:paraId="71A51D4B" w14:textId="77777777" w:rsidR="00531570" w:rsidRPr="00D03F3E" w:rsidRDefault="00531570" w:rsidP="00D03F3E">
      <w:pPr>
        <w:pStyle w:val="Iauiue"/>
        <w:jc w:val="both"/>
        <w:rPr>
          <w:color w:val="000000" w:themeColor="text1"/>
          <w:sz w:val="16"/>
          <w:szCs w:val="16"/>
        </w:rPr>
      </w:pPr>
    </w:p>
    <w:p w14:paraId="6661AE78" w14:textId="77777777" w:rsidR="0062502E" w:rsidRPr="00D03F3E" w:rsidRDefault="006250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мая 1943 вышел приказ НКАП № 305 сс во исполнение постановления ГКО № 3386 сс от 17 мая 1943, которое предусматривало постройку на заводе № 1 «50 самолетов Ил-2 с мотором АМ-38ф в истребительном одноместном варианте» (в переписке Ил-2-И или И-Ил-2), двух Ил-2 АМ-42 в истребительном варианте (в переписке Ил-2-2 И или 2И-Ил-2) и двух Ил-2 АМ-38ф с «облагороженной аэродинамикой». Самолеты Ил-2 с моторами АМ-38ф и АМ-42 требовалось предъявить на государственные испытания соответственно 1 и 20 августа 1943 года. Соответствующий.</w:t>
      </w:r>
    </w:p>
    <w:p w14:paraId="4C6F24E8" w14:textId="77777777" w:rsidR="0062502E" w:rsidRPr="00D03F3E" w:rsidRDefault="006250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Возможность создания на основе хорошо освоенного в производстве Ил-2 истребителя бомбардировщиков выглядела достаточно заманчивой. К тому же появлялась альтернатива истребителю Сухого и мотору М-71ф. Нарком Шахурин идею Ильюшина поддержал. В кратчайшие сроки в аппарате НКАП была подготовлена докладная записка на имя И. В. Сталина и за подписью А. И. Шахурина и С. В. Ильюшина направлена в аппарат ГКО.</w:t>
      </w:r>
    </w:p>
    <w:p w14:paraId="5EE7C706" w14:textId="77777777" w:rsidR="0062502E" w:rsidRPr="00D03F3E" w:rsidRDefault="006250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заданию максимальная скорость Ил-2-И должна была составлять 400 км/ч у земли и 410 км/ч – на высоте 1000–1500 м, Ил-2-2И – 445 и 460 км/ч и самолета Ил-2 АМ-38ф с улучшенной аэродинамикой – 425 и 440 км/ч, соответственно.</w:t>
      </w:r>
    </w:p>
    <w:p w14:paraId="7CCB1CD9" w14:textId="77777777" w:rsidR="0062502E" w:rsidRPr="00D03F3E" w:rsidRDefault="006250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истребительных вариантов Ил-2 состояло из двух пушек ВЯ с боекомплектом по 150 снарядов на ствол. Стрелковое и ракетное оружие отсутствовало. Бомбардировочное вооружение сохранялось только на внешней подвеске.</w:t>
      </w:r>
    </w:p>
    <w:p w14:paraId="171EB1B6" w14:textId="77777777" w:rsidR="0062502E" w:rsidRPr="00D03F3E" w:rsidRDefault="006250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отличие от Ил-2-И на самолете Ил-2-2И для улучшения аэродинамики самолета водо- и маслорадиаторы размещались в одном канале внутри бронекорпуса, уменьшались («против серийных») заборники воздуха у боковых бронекрышек капота. Для увеличения входной площади воздушного канала верхняя крышка на 30 мм приподнималась вверх. Изменялся фонарь кабины летчика (по форме напоминал фонарь построенного позже одноместного истребителя Ил-1 АМ-42. – Прим. авт.), облагораживались обтекатели шасси (изменена форма, обшивка сделана встык), осуществлялась уборка хвостового колеса, листы обшивки консолей и центроплана крыла устанавливались встык, применялась клепка впотай. Вводилось электрическое управление заслонкой водорадиатора. Управление боковыми заслонками маслорадиатора выполнялось тросовым («от серийного штурвала маслорадиатора»). Устанавливалось дублированное управление рулем высоты. Руль высоты имел роговую компенсацию. Управление щитками – от воздушной системы (отклонение: полное – 60°, взлетное и на виражах – 17°).</w:t>
      </w:r>
    </w:p>
    <w:p w14:paraId="0F9456C8" w14:textId="77777777" w:rsidR="0062502E" w:rsidRPr="00D03F3E" w:rsidRDefault="006250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Известно, что ВВС пытались возражать, доказывая нецелесообразность постройки бронированного истребителя как типа боевого самолета и тем более истребительных вариантов Ил-2, и даже подготовили справку по этому вопросу. Из документа следовало, что если и строить бронированный истребитель, то лучше взять за основу удачную схему одноместного штурмовика Су-6. По скоростям, маневренности и боевой живучести «сухой» имел явное преимущество перед истребительной модификацией Ил-2 с АМ-42. Кроме того, уже построен и проходит заводские испытания двухместный штурмовик Су-6 М-71ф с 37-мм пушками 11П и заметно более высокими летными данными по сравнению со штурмовой модификацией Ил-2М АМ-42. В случае постановки его на вооружение ВВС КА можно будет на одном заводе выпускать и двухместный (противотанковый и штурмовой), и одноместный (истребительный) варианты Су-6 М-71ф (так же как и модификации Ил-2 с АМ-42). Но решение было принято в пользу предложения Ильюшина. Сработал довод, что преемственность в технологии изготовления и возможность использования существующей оснастки позволит быстро и с меньшими затратами организовать производство Ил-2-2И и Ил-2М на серийных заводах, уже выпускающих штурмовики Ил-2.</w:t>
      </w:r>
    </w:p>
    <w:p w14:paraId="48D1EAF5" w14:textId="77777777" w:rsidR="0062502E" w:rsidRPr="00D03F3E" w:rsidRDefault="006250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Прекрасно понимая, что, оставаясь в рамках «облика» «двойки», создать истребитель-штурмовик, равный по летно-боевым качествам машине Сухого, практически невозможно, и, учитывая позицию военных, Ильюшин параллельно самолету Ил-2-2И приступил к проектированию бронированного истребителя Ил-1 АМ-42 с совершенно иными компоновочными и аэродинамическими решениями.</w:t>
      </w:r>
    </w:p>
    <w:p w14:paraId="382F8A9A" w14:textId="77777777" w:rsidR="0062502E" w:rsidRPr="00D03F3E" w:rsidRDefault="006250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Ил-1 имел бронекорпус с чистыми аэродинамическими формами, трапециевидное в плане крыло со скоростными профилями и уменьшенной относительной толщиной, размахом и площадью. Масляный и водяной радиаторы размещались в центроплане рядом друг с другом под кабиной летчика, охлаждение воздухом осуществлялось по каналам, расположенным в носке центроплана по обе стороны от мотора (все как на МШ-АМ-38). Шасси одностоечное убиралось назад с поворотом колес вокруг оси на 90° (как на Су-6), что позволяло уменьшить мидель и лобовое сопротивление обтекателей шасси. Хвостовое колесо убирающееся. Для улучшения аэродинамики обшивка везде встык, клепка впотай.</w:t>
      </w:r>
    </w:p>
    <w:p w14:paraId="12E5085F" w14:textId="77777777" w:rsidR="0062502E" w:rsidRPr="00D03F3E" w:rsidRDefault="006250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Планировалась установка системы заполнения бензобаков нейтральными газами от выхлопа мотора и дублированного управления рулем высоты. Вооружение включало две пушки ВЯ.</w:t>
      </w:r>
    </w:p>
    <w:p w14:paraId="777ED07E" w14:textId="77777777" w:rsidR="0062502E" w:rsidRPr="00D03F3E" w:rsidRDefault="006250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Конструкция машины предполагалась смешанной: центроплан, консоли крыла и стабилизатор – цельнометаллические, хвостовая часть фюзеляжа – деревянная, рули высоты и направления – каркас металлический, обшивка полотняная.</w:t>
      </w:r>
    </w:p>
    <w:p w14:paraId="57116383" w14:textId="77777777" w:rsidR="0062502E" w:rsidRPr="00D03F3E" w:rsidRDefault="0062502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предварительным расчетам, летные данные Ил-1 с АМ-42 получались на уровне истребителя Сухого: максимальная скорость у земли – порядка 530–540 км/ч и на высоте 3000 м – 590–600 км/ч, вертикальная скорость на 1000 м – не менее 12,5 м/с (17490).</w:t>
      </w:r>
    </w:p>
    <w:p w14:paraId="51238E9A" w14:textId="77777777" w:rsidR="0062502E" w:rsidRPr="00D03F3E" w:rsidRDefault="0062502E" w:rsidP="00D03F3E">
      <w:pPr>
        <w:spacing w:after="0" w:line="240" w:lineRule="auto"/>
        <w:jc w:val="both"/>
        <w:rPr>
          <w:rFonts w:ascii="Times New Roman" w:hAnsi="Times New Roman"/>
          <w:color w:val="000000" w:themeColor="text1"/>
          <w:sz w:val="16"/>
          <w:szCs w:val="16"/>
        </w:rPr>
      </w:pPr>
    </w:p>
    <w:p w14:paraId="5C228701"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мая 1943 г. был доклад инженер-майора Рототаева, из пяти запланированных к постройке самолётов «Пегас» один экземпляр (</w:t>
      </w:r>
      <w:r w:rsidRPr="00D03F3E">
        <w:rPr>
          <w:rFonts w:ascii="Times New Roman" w:hAnsi="Times New Roman"/>
          <w:color w:val="000000" w:themeColor="text1"/>
          <w:sz w:val="16"/>
          <w:szCs w:val="16"/>
          <w:lang w:val="en-US"/>
        </w:rPr>
        <w:t>N</w:t>
      </w:r>
      <w:r w:rsidRPr="00D03F3E">
        <w:rPr>
          <w:rFonts w:ascii="Times New Roman" w:hAnsi="Times New Roman"/>
          <w:color w:val="000000" w:themeColor="text1"/>
          <w:sz w:val="16"/>
          <w:szCs w:val="16"/>
        </w:rPr>
        <w:t>° 01) находился в НИИ ВВС, три экземпляра (№№ 02, 03, 04) - собраны и переданы на ЛИС завода для производства! заводских лётных испытаний, еще один экземпляр (№ 05) - закачивается сборкой. При этом ни один из них не был принят и оплачен военной приемкой,</w:t>
      </w:r>
      <w:r w:rsidRPr="00D03F3E">
        <w:rPr>
          <w:rStyle w:val="aff6"/>
          <w:rFonts w:ascii="Times New Roman" w:eastAsia="Arial Narrow" w:hAnsi="Times New Roman" w:cs="Times New Roman"/>
          <w:i w:val="0"/>
          <w:color w:val="000000" w:themeColor="text1"/>
        </w:rPr>
        <w:t xml:space="preserve"> «из-за отсутствия ТТТ или каких-либо иных указаний»</w:t>
      </w:r>
      <w:r w:rsidRPr="00D03F3E">
        <w:rPr>
          <w:rFonts w:ascii="Times New Roman" w:hAnsi="Times New Roman"/>
          <w:color w:val="000000" w:themeColor="text1"/>
          <w:sz w:val="16"/>
          <w:szCs w:val="16"/>
        </w:rPr>
        <w:t xml:space="preserve"> со стороны Управления опытного строительства ГУ ИАС.</w:t>
      </w:r>
    </w:p>
    <w:p w14:paraId="33A22222" w14:textId="77777777" w:rsidR="00354EBF" w:rsidRPr="00D03F3E" w:rsidRDefault="00354EBF" w:rsidP="00D03F3E">
      <w:pPr>
        <w:pStyle w:val="109"/>
        <w:shd w:val="clear" w:color="auto" w:fill="auto"/>
        <w:spacing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построенных «Пегасов» наибольший интерес представляет экземпляр N° 04, который значительно отличался от всех других. На нём для улучшения обзора вперёд-вниз</w:t>
      </w:r>
      <w:r w:rsidRPr="00D03F3E">
        <w:rPr>
          <w:rStyle w:val="109pt"/>
          <w:rFonts w:ascii="Times New Roman" w:hAnsi="Times New Roman" w:cs="Times New Roman"/>
          <w:color w:val="000000" w:themeColor="text1"/>
          <w:sz w:val="16"/>
          <w:szCs w:val="16"/>
        </w:rPr>
        <w:t xml:space="preserve"> и</w:t>
      </w:r>
      <w:r w:rsidRPr="00D03F3E">
        <w:rPr>
          <w:rFonts w:ascii="Times New Roman" w:hAnsi="Times New Roman"/>
          <w:color w:val="000000" w:themeColor="text1"/>
          <w:sz w:val="16"/>
          <w:szCs w:val="16"/>
        </w:rPr>
        <w:t xml:space="preserve"> обес</w:t>
      </w:r>
      <w:r w:rsidRPr="00D03F3E">
        <w:rPr>
          <w:rFonts w:ascii="Times New Roman" w:hAnsi="Times New Roman"/>
          <w:color w:val="000000" w:themeColor="text1"/>
          <w:sz w:val="16"/>
          <w:szCs w:val="16"/>
        </w:rPr>
        <w:softHyphen/>
        <w:t xml:space="preserve">печения прицельного бомбометания носовая часть фюзеляжа была укорочена вплоть до </w:t>
      </w:r>
      <w:r w:rsidRPr="00D03F3E">
        <w:rPr>
          <w:rStyle w:val="109pt"/>
          <w:rFonts w:ascii="Times New Roman" w:hAnsi="Times New Roman" w:cs="Times New Roman"/>
          <w:color w:val="000000" w:themeColor="text1"/>
          <w:sz w:val="16"/>
          <w:szCs w:val="16"/>
        </w:rPr>
        <w:t>бронекабины.</w:t>
      </w:r>
      <w:r w:rsidRPr="00D03F3E">
        <w:rPr>
          <w:rFonts w:ascii="Times New Roman" w:hAnsi="Times New Roman"/>
          <w:color w:val="000000" w:themeColor="text1"/>
          <w:sz w:val="16"/>
          <w:szCs w:val="16"/>
        </w:rPr>
        <w:t xml:space="preserve"> В полу</w:t>
      </w:r>
      <w:r w:rsidRPr="00D03F3E">
        <w:rPr>
          <w:rStyle w:val="109pt"/>
          <w:rFonts w:ascii="Times New Roman" w:hAnsi="Times New Roman" w:cs="Times New Roman"/>
          <w:color w:val="000000" w:themeColor="text1"/>
          <w:sz w:val="16"/>
          <w:szCs w:val="16"/>
        </w:rPr>
        <w:t xml:space="preserve"> кабины,</w:t>
      </w:r>
      <w:r w:rsidRPr="00D03F3E">
        <w:rPr>
          <w:rFonts w:ascii="Times New Roman" w:hAnsi="Times New Roman"/>
          <w:color w:val="000000" w:themeColor="text1"/>
          <w:sz w:val="16"/>
          <w:szCs w:val="16"/>
        </w:rPr>
        <w:t xml:space="preserve"> прямо под</w:t>
      </w:r>
      <w:r w:rsidRPr="00D03F3E">
        <w:rPr>
          <w:rStyle w:val="109pt"/>
          <w:rFonts w:ascii="Times New Roman" w:hAnsi="Times New Roman" w:cs="Times New Roman"/>
          <w:color w:val="000000" w:themeColor="text1"/>
          <w:sz w:val="16"/>
          <w:szCs w:val="16"/>
        </w:rPr>
        <w:t xml:space="preserve"> ногами лётчика, сделали вырез, закрытый плекси</w:t>
      </w:r>
      <w:r w:rsidRPr="00D03F3E">
        <w:rPr>
          <w:rStyle w:val="109pt"/>
          <w:rFonts w:ascii="Times New Roman" w:hAnsi="Times New Roman" w:cs="Times New Roman"/>
          <w:color w:val="000000" w:themeColor="text1"/>
          <w:sz w:val="16"/>
          <w:szCs w:val="16"/>
        </w:rPr>
        <w:softHyphen/>
        <w:t>гласом, и установили бомбовый прицел. Угол обзора вперёд-вниз возрос до феноменаль</w:t>
      </w:r>
      <w:r w:rsidRPr="00D03F3E">
        <w:rPr>
          <w:rStyle w:val="109pt"/>
          <w:rFonts w:ascii="Times New Roman" w:hAnsi="Times New Roman" w:cs="Times New Roman"/>
          <w:color w:val="000000" w:themeColor="text1"/>
          <w:sz w:val="16"/>
          <w:szCs w:val="16"/>
        </w:rPr>
        <w:softHyphen/>
        <w:t>ных 55°. Пулемёт УБК перенесли под фюзеляж. Теперь всё вооружение крепилось только снизу,</w:t>
      </w:r>
      <w:r w:rsidRPr="00D03F3E">
        <w:rPr>
          <w:rFonts w:ascii="Times New Roman" w:hAnsi="Times New Roman"/>
          <w:color w:val="000000" w:themeColor="text1"/>
          <w:sz w:val="16"/>
          <w:szCs w:val="16"/>
        </w:rPr>
        <w:t xml:space="preserve"> на съёмном лафете. Для уменьшения вероятности пожара низ фюзеляжа</w:t>
      </w:r>
      <w:r w:rsidRPr="00D03F3E">
        <w:rPr>
          <w:rStyle w:val="109pt"/>
          <w:rFonts w:ascii="Times New Roman" w:hAnsi="Times New Roman" w:cs="Times New Roman"/>
          <w:color w:val="000000" w:themeColor="text1"/>
          <w:sz w:val="16"/>
          <w:szCs w:val="16"/>
        </w:rPr>
        <w:t xml:space="preserve"> в</w:t>
      </w:r>
      <w:r w:rsidRPr="00D03F3E">
        <w:rPr>
          <w:rFonts w:ascii="Times New Roman" w:hAnsi="Times New Roman"/>
          <w:color w:val="000000" w:themeColor="text1"/>
          <w:sz w:val="16"/>
          <w:szCs w:val="16"/>
        </w:rPr>
        <w:t xml:space="preserve"> районе подвески вооружения обшивался металлом.</w:t>
      </w:r>
    </w:p>
    <w:p w14:paraId="6E0433FC"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улучшения взлётно-посадочных качеств и повышения манёвренности на малых ско</w:t>
      </w:r>
      <w:r w:rsidRPr="00D03F3E">
        <w:rPr>
          <w:rFonts w:ascii="Times New Roman" w:hAnsi="Times New Roman"/>
          <w:color w:val="000000" w:themeColor="text1"/>
          <w:sz w:val="16"/>
          <w:szCs w:val="16"/>
        </w:rPr>
        <w:softHyphen/>
        <w:t>ростях в крыле между моторами и фюзеляжем установили дополнительные неподвижные предкрылки, а стык крыла и фюзеляжа в районе задней кромки облагородили мощным зализом простейших форм (15846).</w:t>
      </w:r>
    </w:p>
    <w:p w14:paraId="324B4F3F" w14:textId="77777777" w:rsidR="00354EBF" w:rsidRPr="00D03F3E" w:rsidRDefault="00354EBF" w:rsidP="00D03F3E">
      <w:pPr>
        <w:spacing w:after="0" w:line="240" w:lineRule="auto"/>
        <w:jc w:val="both"/>
        <w:rPr>
          <w:rFonts w:ascii="Times New Roman" w:hAnsi="Times New Roman"/>
          <w:color w:val="000000" w:themeColor="text1"/>
          <w:sz w:val="16"/>
          <w:szCs w:val="16"/>
        </w:rPr>
      </w:pPr>
    </w:p>
    <w:p w14:paraId="0E2BF1BE" w14:textId="77777777" w:rsidR="00354EBF" w:rsidRPr="00D03F3E" w:rsidRDefault="00354EBF" w:rsidP="00D03F3E">
      <w:pPr>
        <w:pStyle w:val="45"/>
        <w:shd w:val="clear" w:color="auto" w:fill="auto"/>
        <w:spacing w:before="0" w:line="240" w:lineRule="auto"/>
        <w:jc w:val="both"/>
        <w:rPr>
          <w:rFonts w:ascii="Times New Roman" w:cs="Times New Roman"/>
          <w:color w:val="000000" w:themeColor="text1"/>
          <w:sz w:val="16"/>
          <w:szCs w:val="16"/>
        </w:rPr>
      </w:pPr>
      <w:r w:rsidRPr="00D03F3E">
        <w:rPr>
          <w:rStyle w:val="4f0"/>
          <w:rFonts w:ascii="Times New Roman" w:hAnsi="Times New Roman" w:cs="Times New Roman"/>
          <w:i w:val="0"/>
          <w:color w:val="000000" w:themeColor="text1"/>
          <w:sz w:val="16"/>
          <w:szCs w:val="16"/>
        </w:rPr>
        <w:t xml:space="preserve">21 мая 1943 г. в письме от </w:t>
      </w:r>
      <w:r w:rsidRPr="00D03F3E">
        <w:rPr>
          <w:rFonts w:ascii="Times New Roman" w:cs="Times New Roman"/>
          <w:color w:val="000000" w:themeColor="text1"/>
          <w:sz w:val="16"/>
          <w:szCs w:val="16"/>
        </w:rPr>
        <w:t>замести</w:t>
      </w:r>
      <w:r w:rsidRPr="00D03F3E">
        <w:rPr>
          <w:rFonts w:ascii="Times New Roman" w:cs="Times New Roman"/>
          <w:color w:val="000000" w:themeColor="text1"/>
          <w:sz w:val="16"/>
          <w:szCs w:val="16"/>
        </w:rPr>
        <w:softHyphen/>
        <w:t>тель командующего ВВС КА генерал-полков</w:t>
      </w:r>
      <w:r w:rsidRPr="00D03F3E">
        <w:rPr>
          <w:rFonts w:ascii="Times New Roman" w:cs="Times New Roman"/>
          <w:color w:val="000000" w:themeColor="text1"/>
          <w:sz w:val="16"/>
          <w:szCs w:val="16"/>
        </w:rPr>
        <w:softHyphen/>
        <w:t>ник А.К. Репин в письме к наркому авиапромышленности А.И. Шахурину</w:t>
      </w:r>
      <w:r w:rsidRPr="00D03F3E">
        <w:rPr>
          <w:rStyle w:val="4f0"/>
          <w:rFonts w:ascii="Times New Roman" w:hAnsi="Times New Roman" w:cs="Times New Roman"/>
          <w:i w:val="0"/>
          <w:color w:val="000000" w:themeColor="text1"/>
          <w:sz w:val="16"/>
          <w:szCs w:val="16"/>
        </w:rPr>
        <w:t xml:space="preserve"> отмечал: </w:t>
      </w:r>
      <w:r w:rsidRPr="00D03F3E">
        <w:rPr>
          <w:rFonts w:ascii="Times New Roman" w:cs="Times New Roman"/>
          <w:color w:val="000000" w:themeColor="text1"/>
          <w:sz w:val="16"/>
          <w:szCs w:val="16"/>
        </w:rPr>
        <w:t>«Приказом по НКАП и ВВС КА от 24.7.42 г. за № 559с/032 была создана комиссия по рас</w:t>
      </w:r>
      <w:r w:rsidRPr="00D03F3E">
        <w:rPr>
          <w:rFonts w:ascii="Times New Roman" w:cs="Times New Roman"/>
          <w:color w:val="000000" w:themeColor="text1"/>
          <w:sz w:val="16"/>
          <w:szCs w:val="16"/>
        </w:rPr>
        <w:softHyphen/>
        <w:t>смотрению бронирования серийных самоле</w:t>
      </w:r>
      <w:r w:rsidRPr="00D03F3E">
        <w:rPr>
          <w:rFonts w:ascii="Times New Roman" w:cs="Times New Roman"/>
          <w:color w:val="000000" w:themeColor="text1"/>
          <w:sz w:val="16"/>
          <w:szCs w:val="16"/>
        </w:rPr>
        <w:softHyphen/>
        <w:t>тов ВВС КА. Комиссия, на основании матери</w:t>
      </w:r>
      <w:r w:rsidRPr="00D03F3E">
        <w:rPr>
          <w:rFonts w:ascii="Times New Roman" w:cs="Times New Roman"/>
          <w:color w:val="000000" w:themeColor="text1"/>
          <w:sz w:val="16"/>
          <w:szCs w:val="16"/>
        </w:rPr>
        <w:softHyphen/>
        <w:t>алов опыта войны, летно-технических данных самолетов и возможностей отечественной промышленности, рекомендовала усиленные схемы бронирования боевых самолетов ВВС КА и предлагала обязать главных конструкто</w:t>
      </w:r>
      <w:r w:rsidRPr="00D03F3E">
        <w:rPr>
          <w:rFonts w:ascii="Times New Roman" w:cs="Times New Roman"/>
          <w:color w:val="000000" w:themeColor="text1"/>
          <w:sz w:val="16"/>
          <w:szCs w:val="16"/>
        </w:rPr>
        <w:softHyphen/>
        <w:t>ров самолетов представить в 7 Главное управ</w:t>
      </w:r>
      <w:r w:rsidRPr="00D03F3E">
        <w:rPr>
          <w:rFonts w:ascii="Times New Roman" w:cs="Times New Roman"/>
          <w:color w:val="000000" w:themeColor="text1"/>
          <w:sz w:val="16"/>
          <w:szCs w:val="16"/>
        </w:rPr>
        <w:softHyphen/>
        <w:t>ление НКАП и НИИ ВВС КА свои соображения и мероприятия по реализации рекомендуемых Комиссией схем бронирования. Протокол этой комиссии утвержден Вашим заместителем генерал-майором т. Яковлевым и мною. Со времени окончания работ Комиссии прошло 8 месяцев, однако ни одна из рекомендован</w:t>
      </w:r>
      <w:r w:rsidRPr="00D03F3E">
        <w:rPr>
          <w:rFonts w:ascii="Times New Roman" w:cs="Times New Roman"/>
          <w:color w:val="000000" w:themeColor="text1"/>
          <w:sz w:val="16"/>
          <w:szCs w:val="16"/>
        </w:rPr>
        <w:softHyphen/>
        <w:t>ных Комиссией усиленных схем бронирования до настоящего времени в серию не внедрена» (15778).</w:t>
      </w:r>
    </w:p>
    <w:p w14:paraId="46E5AEEF" w14:textId="77777777" w:rsidR="00354EBF" w:rsidRPr="00D03F3E" w:rsidRDefault="00354EBF" w:rsidP="00D03F3E">
      <w:pPr>
        <w:pStyle w:val="45"/>
        <w:shd w:val="clear" w:color="auto" w:fill="auto"/>
        <w:spacing w:before="0" w:line="240" w:lineRule="auto"/>
        <w:jc w:val="both"/>
        <w:rPr>
          <w:rFonts w:ascii="Times New Roman" w:cs="Times New Roman"/>
          <w:color w:val="000000" w:themeColor="text1"/>
          <w:sz w:val="16"/>
          <w:szCs w:val="16"/>
        </w:rPr>
      </w:pPr>
      <w:r w:rsidRPr="00D03F3E">
        <w:rPr>
          <w:rStyle w:val="4f0"/>
          <w:rFonts w:ascii="Times New Roman" w:hAnsi="Times New Roman" w:cs="Times New Roman"/>
          <w:i w:val="0"/>
          <w:color w:val="000000" w:themeColor="text1"/>
          <w:sz w:val="16"/>
          <w:szCs w:val="16"/>
        </w:rPr>
        <w:t xml:space="preserve">14 сентября 1943 г. </w:t>
      </w:r>
      <w:r w:rsidRPr="00D03F3E">
        <w:rPr>
          <w:rFonts w:ascii="Times New Roman" w:cs="Times New Roman"/>
          <w:color w:val="000000" w:themeColor="text1"/>
          <w:sz w:val="16"/>
          <w:szCs w:val="16"/>
        </w:rPr>
        <w:t>замести</w:t>
      </w:r>
      <w:r w:rsidRPr="00D03F3E">
        <w:rPr>
          <w:rFonts w:ascii="Times New Roman" w:cs="Times New Roman"/>
          <w:color w:val="000000" w:themeColor="text1"/>
          <w:sz w:val="16"/>
          <w:szCs w:val="16"/>
        </w:rPr>
        <w:softHyphen/>
        <w:t>тель командующего ВВС КА генерал-полков</w:t>
      </w:r>
      <w:r w:rsidRPr="00D03F3E">
        <w:rPr>
          <w:rFonts w:ascii="Times New Roman" w:cs="Times New Roman"/>
          <w:color w:val="000000" w:themeColor="text1"/>
          <w:sz w:val="16"/>
          <w:szCs w:val="16"/>
        </w:rPr>
        <w:softHyphen/>
        <w:t>ник А.К. Репин в письме к наркому авиапромышленности А.И. Шахурину</w:t>
      </w:r>
      <w:r w:rsidRPr="00D03F3E">
        <w:rPr>
          <w:rStyle w:val="4f0"/>
          <w:rFonts w:ascii="Times New Roman" w:hAnsi="Times New Roman" w:cs="Times New Roman"/>
          <w:i w:val="0"/>
          <w:color w:val="000000" w:themeColor="text1"/>
          <w:sz w:val="16"/>
          <w:szCs w:val="16"/>
        </w:rPr>
        <w:t xml:space="preserve"> давал более расширенную картину бедствия. В частности, он отмечал:</w:t>
      </w:r>
      <w:r w:rsidRPr="00D03F3E">
        <w:rPr>
          <w:rFonts w:ascii="Times New Roman" w:cs="Times New Roman"/>
          <w:color w:val="000000" w:themeColor="text1"/>
          <w:sz w:val="16"/>
          <w:szCs w:val="16"/>
        </w:rPr>
        <w:t xml:space="preserve"> «На немецких истре</w:t>
      </w:r>
      <w:r w:rsidRPr="00D03F3E">
        <w:rPr>
          <w:rFonts w:ascii="Times New Roman" w:cs="Times New Roman"/>
          <w:color w:val="000000" w:themeColor="text1"/>
          <w:sz w:val="16"/>
          <w:szCs w:val="16"/>
        </w:rPr>
        <w:softHyphen/>
        <w:t>бителях для защиты летчика сверху применены надголовники, а для защиты снизу установле</w:t>
      </w:r>
      <w:r w:rsidRPr="00D03F3E">
        <w:rPr>
          <w:rFonts w:ascii="Times New Roman" w:cs="Times New Roman"/>
          <w:color w:val="000000" w:themeColor="text1"/>
          <w:sz w:val="16"/>
          <w:szCs w:val="16"/>
        </w:rPr>
        <w:softHyphen/>
        <w:t>на броня под сидением летчика. Подобной за</w:t>
      </w:r>
      <w:r w:rsidRPr="00D03F3E">
        <w:rPr>
          <w:rFonts w:ascii="Times New Roman" w:cs="Times New Roman"/>
          <w:color w:val="000000" w:themeColor="text1"/>
          <w:sz w:val="16"/>
          <w:szCs w:val="16"/>
        </w:rPr>
        <w:softHyphen/>
        <w:t>щиты на отечественных истребителях нет. На самолете Як-1 №3560, испытанном в НИИ ВВС КА в июле 1942 г., был установлен макет бро</w:t>
      </w:r>
      <w:r w:rsidRPr="00D03F3E">
        <w:rPr>
          <w:rFonts w:ascii="Times New Roman" w:cs="Times New Roman"/>
          <w:color w:val="000000" w:themeColor="text1"/>
          <w:sz w:val="16"/>
          <w:szCs w:val="16"/>
        </w:rPr>
        <w:softHyphen/>
        <w:t>ни - надголовника для защиты летчика свер</w:t>
      </w:r>
      <w:r w:rsidRPr="00D03F3E">
        <w:rPr>
          <w:rFonts w:ascii="Times New Roman" w:cs="Times New Roman"/>
          <w:color w:val="000000" w:themeColor="text1"/>
          <w:sz w:val="16"/>
          <w:szCs w:val="16"/>
        </w:rPr>
        <w:softHyphen/>
        <w:t>ху. Надголовник был рекомендован НИИ ВВС КА для установки на все серийные самолеты Як-1, после устранения отмеченных дефектов по недостаточной угловой защите. Однако до настоящего времени надголовники летчика ни на</w:t>
      </w:r>
      <w:r w:rsidRPr="00D03F3E">
        <w:rPr>
          <w:rStyle w:val="4f0"/>
          <w:rFonts w:ascii="Times New Roman" w:hAnsi="Times New Roman" w:cs="Times New Roman"/>
          <w:i w:val="0"/>
          <w:color w:val="000000" w:themeColor="text1"/>
          <w:sz w:val="16"/>
          <w:szCs w:val="16"/>
        </w:rPr>
        <w:t xml:space="preserve"> одном истребителе</w:t>
      </w:r>
      <w:r w:rsidRPr="00D03F3E">
        <w:rPr>
          <w:rFonts w:ascii="Times New Roman" w:cs="Times New Roman"/>
          <w:color w:val="000000" w:themeColor="text1"/>
          <w:sz w:val="16"/>
          <w:szCs w:val="16"/>
        </w:rPr>
        <w:t xml:space="preserve"> не</w:t>
      </w:r>
      <w:r w:rsidRPr="00D03F3E">
        <w:rPr>
          <w:rStyle w:val="4f0"/>
          <w:rFonts w:ascii="Times New Roman" w:hAnsi="Times New Roman" w:cs="Times New Roman"/>
          <w:i w:val="0"/>
          <w:color w:val="000000" w:themeColor="text1"/>
          <w:sz w:val="16"/>
          <w:szCs w:val="16"/>
        </w:rPr>
        <w:t xml:space="preserve"> устанавливаются. </w:t>
      </w:r>
      <w:r w:rsidRPr="00D03F3E">
        <w:rPr>
          <w:rFonts w:ascii="Times New Roman" w:cs="Times New Roman"/>
          <w:color w:val="000000" w:themeColor="text1"/>
          <w:sz w:val="16"/>
          <w:szCs w:val="16"/>
        </w:rPr>
        <w:t>Отработка металлических броневых надго- ловников для защиты головы летчика сверху предусматривалась и в решениях Комиссии по рассмотрению бронирования серийных само</w:t>
      </w:r>
      <w:r w:rsidRPr="00D03F3E">
        <w:rPr>
          <w:rFonts w:ascii="Times New Roman" w:cs="Times New Roman"/>
          <w:color w:val="000000" w:themeColor="text1"/>
          <w:sz w:val="16"/>
          <w:szCs w:val="16"/>
        </w:rPr>
        <w:softHyphen/>
        <w:t>летов ВВС КА, утвержденных в августе 1942 г. Вашим заместителем и мною, но ни одна из рекомендованных комиссией усиленных схем бронирования в серию до сего времени также еще не внедрена».</w:t>
      </w:r>
    </w:p>
    <w:p w14:paraId="7474E767" w14:textId="77777777" w:rsidR="00354EBF" w:rsidRPr="00D03F3E" w:rsidRDefault="00354EBF"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Генерал-полковник Репин в который раз просил Шахурина дать указания директорам заводов и главным конструкторам самолетов в кратчайшие сроки отработать надголовники для самолетов Як-7, Як-9, Ла-5 и ЛаГГ-3, обо</w:t>
      </w:r>
      <w:r w:rsidRPr="00D03F3E">
        <w:rPr>
          <w:rFonts w:ascii="Times New Roman" w:cs="Times New Roman"/>
          <w:color w:val="000000" w:themeColor="text1"/>
          <w:spacing w:val="0"/>
          <w:sz w:val="16"/>
          <w:szCs w:val="16"/>
        </w:rPr>
        <w:softHyphen/>
        <w:t>рудовать ими по одному самолету и направить их в НИИ ВВС КА на испытания. Кроме этого, требовалось</w:t>
      </w:r>
      <w:r w:rsidRPr="00D03F3E">
        <w:rPr>
          <w:rStyle w:val="aff6"/>
          <w:rFonts w:ascii="Times New Roman" w:eastAsia="Arial Narrow" w:hAnsi="Times New Roman" w:cs="Times New Roman"/>
          <w:i w:val="0"/>
          <w:color w:val="000000" w:themeColor="text1"/>
          <w:spacing w:val="0"/>
        </w:rPr>
        <w:t xml:space="preserve"> «установить для главных кон</w:t>
      </w:r>
      <w:r w:rsidRPr="00D03F3E">
        <w:rPr>
          <w:rStyle w:val="aff6"/>
          <w:rFonts w:ascii="Times New Roman" w:eastAsia="Arial Narrow" w:hAnsi="Times New Roman" w:cs="Times New Roman"/>
          <w:i w:val="0"/>
          <w:color w:val="000000" w:themeColor="text1"/>
          <w:spacing w:val="0"/>
        </w:rPr>
        <w:softHyphen/>
        <w:t>структоров самолетов сроки представления в НКАП и ВВС КА мероприятий по реализации рекомендованных совместной Комиссией НКАП и ВВС КА</w:t>
      </w:r>
      <w:r w:rsidRPr="00D03F3E">
        <w:rPr>
          <w:rFonts w:ascii="Times New Roman" w:cs="Times New Roman"/>
          <w:color w:val="000000" w:themeColor="text1"/>
          <w:spacing w:val="0"/>
          <w:sz w:val="16"/>
          <w:szCs w:val="16"/>
        </w:rPr>
        <w:t xml:space="preserve"> усиленных схем бронирования </w:t>
      </w:r>
      <w:r w:rsidRPr="00D03F3E">
        <w:rPr>
          <w:rStyle w:val="aff6"/>
          <w:rFonts w:ascii="Times New Roman" w:eastAsia="Arial Narrow" w:hAnsi="Times New Roman" w:cs="Times New Roman"/>
          <w:i w:val="0"/>
          <w:color w:val="000000" w:themeColor="text1"/>
          <w:spacing w:val="0"/>
        </w:rPr>
        <w:t>серийных самолетов».</w:t>
      </w:r>
    </w:p>
    <w:p w14:paraId="43DE5FCA" w14:textId="77777777" w:rsidR="00354EBF" w:rsidRPr="00D03F3E" w:rsidRDefault="00354EBF"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Однако все призывы ВВС оказались тщет</w:t>
      </w:r>
      <w:r w:rsidRPr="00D03F3E">
        <w:rPr>
          <w:rFonts w:ascii="Times New Roman" w:cs="Times New Roman"/>
          <w:color w:val="000000" w:themeColor="text1"/>
          <w:spacing w:val="0"/>
          <w:sz w:val="16"/>
          <w:szCs w:val="16"/>
        </w:rPr>
        <w:softHyphen/>
        <w:t>ными. Ни одна из рекомендаций совместной комиссии ВВС и НКАП на серийных самоле</w:t>
      </w:r>
      <w:r w:rsidRPr="00D03F3E">
        <w:rPr>
          <w:rFonts w:ascii="Times New Roman" w:cs="Times New Roman"/>
          <w:color w:val="000000" w:themeColor="text1"/>
          <w:spacing w:val="0"/>
          <w:sz w:val="16"/>
          <w:szCs w:val="16"/>
        </w:rPr>
        <w:softHyphen/>
        <w:t xml:space="preserve">тах так и не была реализована. Для успешного внедрения усиленных схем бронирования не хватало мощности моторов. Только на Як-9У (38 кг, или 1,2% полетного веса) и Як-3 (40 кг, или 1,85% </w:t>
      </w:r>
      <w:r w:rsidRPr="00D03F3E">
        <w:rPr>
          <w:rFonts w:ascii="Times New Roman" w:cs="Times New Roman"/>
          <w:color w:val="000000" w:themeColor="text1"/>
          <w:spacing w:val="0"/>
          <w:sz w:val="16"/>
          <w:szCs w:val="16"/>
        </w:rPr>
        <w:lastRenderedPageBreak/>
        <w:t>полетного веса), помимо броне</w:t>
      </w:r>
      <w:r w:rsidRPr="00D03F3E">
        <w:rPr>
          <w:rFonts w:ascii="Times New Roman" w:cs="Times New Roman"/>
          <w:color w:val="000000" w:themeColor="text1"/>
          <w:spacing w:val="0"/>
          <w:sz w:val="16"/>
          <w:szCs w:val="16"/>
        </w:rPr>
        <w:softHyphen/>
        <w:t>спинки толщиной 8,5 мм, появился надголов</w:t>
      </w:r>
      <w:r w:rsidRPr="00D03F3E">
        <w:rPr>
          <w:rFonts w:ascii="Times New Roman" w:cs="Times New Roman"/>
          <w:color w:val="000000" w:themeColor="text1"/>
          <w:spacing w:val="0"/>
          <w:sz w:val="16"/>
          <w:szCs w:val="16"/>
        </w:rPr>
        <w:softHyphen/>
        <w:t>ник из 6-мм брони и заголовник из прозрачной брони толщиной 70 мм. Кроме этого, на Як-3 устанавливался подлокотник из 3,5-мм брони под левую руку летчика. Эта схема бронирова</w:t>
      </w:r>
      <w:r w:rsidRPr="00D03F3E">
        <w:rPr>
          <w:rFonts w:ascii="Times New Roman" w:cs="Times New Roman"/>
          <w:color w:val="000000" w:themeColor="text1"/>
          <w:spacing w:val="0"/>
          <w:sz w:val="16"/>
          <w:szCs w:val="16"/>
        </w:rPr>
        <w:softHyphen/>
        <w:t>ния защищала летчика от пуль нормального калибра сзади под углами по вертикали - от +20' до -10°, и по горизонтали - в пределах ±20°.</w:t>
      </w:r>
    </w:p>
    <w:p w14:paraId="450DAE83" w14:textId="77777777" w:rsidR="00354EBF" w:rsidRPr="00D03F3E" w:rsidRDefault="00354EBF" w:rsidP="00D03F3E">
      <w:pPr>
        <w:pStyle w:val="36"/>
        <w:shd w:val="clear" w:color="auto" w:fill="auto"/>
        <w:spacing w:after="0" w:line="240" w:lineRule="auto"/>
        <w:jc w:val="both"/>
        <w:rPr>
          <w:rStyle w:val="aff6"/>
          <w:rFonts w:ascii="Times New Roman" w:eastAsia="Arial Narrow" w:hAnsi="Times New Roman" w:cs="Times New Roman"/>
          <w:i w:val="0"/>
          <w:color w:val="000000" w:themeColor="text1"/>
          <w:spacing w:val="0"/>
        </w:rPr>
      </w:pPr>
      <w:r w:rsidRPr="00D03F3E">
        <w:rPr>
          <w:rFonts w:ascii="Times New Roman" w:cs="Times New Roman"/>
          <w:color w:val="000000" w:themeColor="text1"/>
          <w:spacing w:val="0"/>
          <w:sz w:val="16"/>
          <w:szCs w:val="16"/>
        </w:rPr>
        <w:t>Между тем, как неоднократно отмечалось в заключениях 1-го отдела НИИ ВВС, броне- защита истребителей «Як» не отвечала требо</w:t>
      </w:r>
      <w:r w:rsidRPr="00D03F3E">
        <w:rPr>
          <w:rFonts w:ascii="Times New Roman" w:cs="Times New Roman"/>
          <w:color w:val="000000" w:themeColor="text1"/>
          <w:spacing w:val="0"/>
          <w:sz w:val="16"/>
          <w:szCs w:val="16"/>
        </w:rPr>
        <w:softHyphen/>
        <w:t>ваниям войны. Для усиления защиты летчика были необходимы</w:t>
      </w:r>
      <w:r w:rsidRPr="00D03F3E">
        <w:rPr>
          <w:rStyle w:val="aff6"/>
          <w:rFonts w:ascii="Times New Roman" w:eastAsia="Arial Narrow" w:hAnsi="Times New Roman" w:cs="Times New Roman"/>
          <w:i w:val="0"/>
          <w:color w:val="000000" w:themeColor="text1"/>
          <w:spacing w:val="0"/>
        </w:rPr>
        <w:t xml:space="preserve"> «переднее бронестекло, бронеспинка за приборной доской, плита для защиты левой руки летчика, бронеспинка под сиденье» (15778).</w:t>
      </w:r>
    </w:p>
    <w:p w14:paraId="38ECA12C" w14:textId="77777777" w:rsidR="00354EBF" w:rsidRPr="00D03F3E" w:rsidRDefault="00354EBF" w:rsidP="00D03F3E">
      <w:pPr>
        <w:pStyle w:val="36"/>
        <w:shd w:val="clear" w:color="auto" w:fill="auto"/>
        <w:spacing w:after="0" w:line="240" w:lineRule="auto"/>
        <w:jc w:val="both"/>
        <w:rPr>
          <w:rFonts w:ascii="Times New Roman" w:cs="Times New Roman"/>
          <w:color w:val="000000" w:themeColor="text1"/>
          <w:spacing w:val="0"/>
          <w:sz w:val="16"/>
          <w:szCs w:val="16"/>
        </w:rPr>
      </w:pPr>
    </w:p>
    <w:p w14:paraId="68EFD6B2" w14:textId="77777777" w:rsidR="0062502E" w:rsidRPr="00D03F3E" w:rsidRDefault="0062502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 21 мая 1943 г., как следует из доклада инженер-майора Рототаева, из 5 запланированных к постройке самолетов «Пегас» 1 экземпляр (№ 01) находится в НИИ ВВС, 3 экземпляра (№ 02, 03, 04) собраны и переданы на ЛИС завода для производ</w:t>
      </w:r>
      <w:r w:rsidRPr="00D03F3E">
        <w:rPr>
          <w:color w:val="000000" w:themeColor="text1"/>
          <w:sz w:val="16"/>
          <w:szCs w:val="16"/>
        </w:rPr>
        <w:softHyphen/>
        <w:t>ства заводских летных испытаний, еще 1 экземпляр (№ 05) — заканчивается сборкой. При этом ни один из них не был принят и оплачен военной приемкой «из-за отсутствия ТТТ или каких-либо иных указа</w:t>
      </w:r>
      <w:r w:rsidRPr="00D03F3E">
        <w:rPr>
          <w:color w:val="000000" w:themeColor="text1"/>
          <w:sz w:val="16"/>
          <w:szCs w:val="16"/>
        </w:rPr>
        <w:softHyphen/>
        <w:t>ний» со стороны Управления опытного строитель</w:t>
      </w:r>
      <w:r w:rsidRPr="00D03F3E">
        <w:rPr>
          <w:color w:val="000000" w:themeColor="text1"/>
          <w:sz w:val="16"/>
          <w:szCs w:val="16"/>
        </w:rPr>
        <w:softHyphen/>
        <w:t>ства ГУ ИАС.</w:t>
      </w:r>
    </w:p>
    <w:p w14:paraId="540C4FF7" w14:textId="77777777" w:rsidR="0062502E" w:rsidRPr="00D03F3E" w:rsidRDefault="0062502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Из числа построенных опытных самолетов «Пе</w:t>
      </w:r>
      <w:r w:rsidRPr="00D03F3E">
        <w:rPr>
          <w:color w:val="000000" w:themeColor="text1"/>
          <w:sz w:val="16"/>
          <w:szCs w:val="16"/>
        </w:rPr>
        <w:softHyphen/>
        <w:t>гас» наибольший интерес представляет экземпляр № 04, который значительно отличался от всех дру</w:t>
      </w:r>
      <w:r w:rsidRPr="00D03F3E">
        <w:rPr>
          <w:color w:val="000000" w:themeColor="text1"/>
          <w:sz w:val="16"/>
          <w:szCs w:val="16"/>
        </w:rPr>
        <w:softHyphen/>
        <w:t>гих. На нем для улучшения обзора вперед-вниз и обеспечения прицельного бомбометания носо</w:t>
      </w:r>
      <w:r w:rsidRPr="00D03F3E">
        <w:rPr>
          <w:color w:val="000000" w:themeColor="text1"/>
          <w:sz w:val="16"/>
          <w:szCs w:val="16"/>
        </w:rPr>
        <w:softHyphen/>
        <w:t>вая часть фюзеляжа была укорочена вплоть до бронекабины. В полу кабины прямо под ногами летчи</w:t>
      </w:r>
      <w:r w:rsidRPr="00D03F3E">
        <w:rPr>
          <w:color w:val="000000" w:themeColor="text1"/>
          <w:sz w:val="16"/>
          <w:szCs w:val="16"/>
        </w:rPr>
        <w:softHyphen/>
        <w:t>ка сделали вырез, закрытый плексигласом, и уста</w:t>
      </w:r>
      <w:r w:rsidRPr="00D03F3E">
        <w:rPr>
          <w:color w:val="000000" w:themeColor="text1"/>
          <w:sz w:val="16"/>
          <w:szCs w:val="16"/>
        </w:rPr>
        <w:softHyphen/>
        <w:t>новили бомбовый прицел. Угол обзора летчика вперед-вниз возрос до 55°. Пулемет УБК перенесли под фюзеляж. Теперь все вооружение крепилось только снизу, на съемном лафете. Для уменьшения вероятности пожара низ фюзеляжа в районе под</w:t>
      </w:r>
      <w:r w:rsidRPr="00D03F3E">
        <w:rPr>
          <w:color w:val="000000" w:themeColor="text1"/>
          <w:sz w:val="16"/>
          <w:szCs w:val="16"/>
        </w:rPr>
        <w:softHyphen/>
        <w:t>вески вооружения обшивался металлом.</w:t>
      </w:r>
    </w:p>
    <w:p w14:paraId="7764A6BF" w14:textId="77777777" w:rsidR="0062502E" w:rsidRPr="00D03F3E" w:rsidRDefault="0062502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Для улучшения взлетно-посадочных качеств и повышения маневренности на малых скоростях в крыле между моторами и фюзеляжем установили дополнительные неподвижные предкрылки, а стык крыла и фюзеляжа в районе задней кромки облаго</w:t>
      </w:r>
      <w:r w:rsidRPr="00D03F3E">
        <w:rPr>
          <w:color w:val="000000" w:themeColor="text1"/>
          <w:sz w:val="16"/>
          <w:szCs w:val="16"/>
        </w:rPr>
        <w:softHyphen/>
        <w:t>родили мощным зализом простейших форм (17500).</w:t>
      </w:r>
    </w:p>
    <w:p w14:paraId="6B5DDC6E" w14:textId="77777777" w:rsidR="0062502E" w:rsidRPr="00D03F3E" w:rsidRDefault="0062502E" w:rsidP="00D03F3E">
      <w:pPr>
        <w:spacing w:after="0" w:line="240" w:lineRule="auto"/>
        <w:jc w:val="both"/>
        <w:rPr>
          <w:rFonts w:ascii="Times New Roman" w:hAnsi="Times New Roman"/>
          <w:color w:val="000000" w:themeColor="text1"/>
          <w:sz w:val="16"/>
          <w:szCs w:val="16"/>
        </w:rPr>
      </w:pPr>
    </w:p>
    <w:p w14:paraId="0ADE494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 мая 1943 С.В.И. писал А.И.Ш. письмо N 8/547с:</w:t>
      </w:r>
    </w:p>
    <w:p w14:paraId="0CAE9A4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основании материалов предварительных испытаний самолета Ил-4-ТК-2М88Б с турбокомпрессорами докладываю, что высотность М-88Б с ТК-3 на 1-й скорости вместо заявленной ЦИАМом (письмо ЦИАМ N 0596с от 14 ноября 1942) 9000 м получена 7100 м</w:t>
      </w:r>
    </w:p>
    <w:p w14:paraId="2161CCC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Получить высотность 9000 м на 1-й скорости нагнетателя мотора с ТК-3 невозможно.</w:t>
      </w:r>
    </w:p>
    <w:p w14:paraId="3FF96AC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того, чтобы получить высотность М-88Б на 1-й скорости нагнетателя 9000 м необходимо установить более мощный ТК (1775,173).</w:t>
      </w:r>
    </w:p>
    <w:p w14:paraId="5E81F329" w14:textId="77777777" w:rsidR="00531570" w:rsidRPr="00D03F3E" w:rsidRDefault="00531570" w:rsidP="00D03F3E">
      <w:pPr>
        <w:pStyle w:val="Iauiue"/>
        <w:jc w:val="both"/>
        <w:rPr>
          <w:color w:val="000000" w:themeColor="text1"/>
          <w:sz w:val="16"/>
          <w:szCs w:val="16"/>
        </w:rPr>
      </w:pPr>
    </w:p>
    <w:p w14:paraId="3A5A65C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 мая 1943 была четвертая рулежка с подлетом самолета Гу-1 до взлетной скорости 22 км/час. Дистанция отрыва установлена в 550-570 м. Ви был Фоменко (1458,152).</w:t>
      </w:r>
    </w:p>
    <w:p w14:paraId="3900579E" w14:textId="77777777" w:rsidR="00531570" w:rsidRPr="00D03F3E" w:rsidRDefault="00531570" w:rsidP="00D03F3E">
      <w:pPr>
        <w:pStyle w:val="Iauiue"/>
        <w:jc w:val="both"/>
        <w:rPr>
          <w:color w:val="000000" w:themeColor="text1"/>
          <w:sz w:val="16"/>
          <w:szCs w:val="16"/>
        </w:rPr>
      </w:pPr>
    </w:p>
    <w:p w14:paraId="5D2E22B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C 21 мая по 6 июня 1943 в НИИ испытывали Норт Америкен АТ-6С Тексан. В испытаниях участвовал командир 6-й бригады полковник Ю. И. Шумов. Общая оценка АТ-6С была.достаточно высокой. В отчете записано: "По технике пилотирования самолет прост, имеет хорошую продольную и боковую устойчивость, позволяет выполнять весь пилотаж, необходимый самолетам истребительного типа: виражи, боевые развороты, перевороты, бочки, иммельманы, петли, пикирование". Мотоустановка была надежной, самолет в целом прост и удобен в эксплуатации. Особо подчеркнули наличие вооружения п оборудования.для слепых и ночных полетов. Весьма цепным сочли то, что компоновка кабины походила па американские истребители, которых в наших ВВС, тогда было немало. "Тексан" годился для тренировки нилотов, обучения воздушной стрельбе. Но вот для подготовки штурманов его сочли непригодным-нет бомбового прицела, бомбосбрасывателя во второй кабине. Не было п радио-полукомпаса, тогда уже стоявшего практически иа всех бомбардировщиках (3457,141).</w:t>
      </w:r>
    </w:p>
    <w:p w14:paraId="4DF58F0E" w14:textId="77777777" w:rsidR="00531570" w:rsidRPr="00D03F3E" w:rsidRDefault="00531570" w:rsidP="00D03F3E">
      <w:pPr>
        <w:pStyle w:val="Iauiue"/>
        <w:jc w:val="both"/>
        <w:rPr>
          <w:color w:val="000000" w:themeColor="text1"/>
          <w:sz w:val="16"/>
          <w:szCs w:val="16"/>
        </w:rPr>
      </w:pPr>
    </w:p>
    <w:p w14:paraId="607DF31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мая 1943 вышло Постановление ГКО № 3403 О плане поставки авиапоковок заводом № 71 Hаркомвооружения.РГАНИР, Фонд ГКО, д. 119, лл. 18 (11012).</w:t>
      </w:r>
    </w:p>
    <w:p w14:paraId="5AE4700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8A9D9B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мая 1943 вышло Постановление ГКО № 3406 О мерах по обеспечению производства авиабензинов.РГАНИР, Фонд ГКО, д. 119, лл. 21 (11012).</w:t>
      </w:r>
    </w:p>
    <w:p w14:paraId="771204EA"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9537122"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6127DD06" w14:textId="77777777" w:rsidR="00531570" w:rsidRPr="00D03F3E" w:rsidRDefault="00531570" w:rsidP="00D03F3E">
      <w:pPr>
        <w:pStyle w:val="Iauiue"/>
        <w:jc w:val="both"/>
        <w:rPr>
          <w:iCs/>
          <w:color w:val="000000" w:themeColor="text1"/>
          <w:sz w:val="16"/>
          <w:szCs w:val="16"/>
        </w:rPr>
      </w:pPr>
    </w:p>
    <w:p w14:paraId="51570772" w14:textId="77777777" w:rsidR="00B610FB" w:rsidRPr="00D03F3E" w:rsidRDefault="00B610FB" w:rsidP="00D03F3E">
      <w:pPr>
        <w:pStyle w:val="a3"/>
        <w:rPr>
          <w:color w:val="000000" w:themeColor="text1"/>
          <w:lang w:val="ru-RU"/>
        </w:rPr>
      </w:pPr>
      <w:r w:rsidRPr="00D03F3E">
        <w:rPr>
          <w:color w:val="000000" w:themeColor="text1"/>
          <w:lang w:val="ru-RU"/>
        </w:rPr>
        <w:t>21 мая 1943 года было утверждено Заключение по проекту СУ-203. Оно оказалось, увы, не в пользу реализации проекта. Претензий непо</w:t>
      </w:r>
      <w:r w:rsidRPr="00D03F3E">
        <w:rPr>
          <w:color w:val="000000" w:themeColor="text1"/>
          <w:lang w:val="ru-RU"/>
        </w:rPr>
        <w:softHyphen/>
        <w:t>средственно к конструкции самоходной установки не было, проблема лежала совсем в другой плоскости. Главной причиной неудачи оказа</w:t>
      </w:r>
      <w:r w:rsidRPr="00D03F3E">
        <w:rPr>
          <w:color w:val="000000" w:themeColor="text1"/>
          <w:lang w:val="ru-RU"/>
        </w:rPr>
        <w:softHyphen/>
        <w:t>лась система М-4:</w:t>
      </w:r>
    </w:p>
    <w:p w14:paraId="12C57935" w14:textId="77777777" w:rsidR="00B610FB" w:rsidRPr="00D03F3E" w:rsidRDefault="00B610FB" w:rsidP="00D03F3E">
      <w:pPr>
        <w:pStyle w:val="Bodytext141"/>
        <w:shd w:val="clear" w:color="auto" w:fill="auto"/>
        <w:spacing w:line="240" w:lineRule="auto"/>
        <w:ind w:firstLine="0"/>
        <w:jc w:val="both"/>
        <w:rPr>
          <w:i w:val="0"/>
          <w:color w:val="000000" w:themeColor="text1"/>
          <w:sz w:val="16"/>
          <w:szCs w:val="16"/>
        </w:rPr>
      </w:pPr>
      <w:r w:rsidRPr="00D03F3E">
        <w:rPr>
          <w:i w:val="0"/>
          <w:color w:val="000000" w:themeColor="text1"/>
          <w:sz w:val="16"/>
          <w:szCs w:val="16"/>
        </w:rPr>
        <w:t>«Представленный к рассмотрению проект 203-мм самоходной мор</w:t>
      </w:r>
      <w:r w:rsidRPr="00D03F3E">
        <w:rPr>
          <w:i w:val="0"/>
          <w:color w:val="000000" w:themeColor="text1"/>
          <w:sz w:val="16"/>
          <w:szCs w:val="16"/>
        </w:rPr>
        <w:softHyphen/>
        <w:t>тиры по огневой мощи, по действию снаряда у цели не имеет никаких преимуществ по сравнению с имеющейся на вооружении Красной Армии 152-мм самоходной гаубицей-пушкой, так как 152-мм снаряд при скоро</w:t>
      </w:r>
      <w:r w:rsidRPr="00D03F3E">
        <w:rPr>
          <w:i w:val="0"/>
          <w:color w:val="000000" w:themeColor="text1"/>
          <w:sz w:val="16"/>
          <w:szCs w:val="16"/>
        </w:rPr>
        <w:softHyphen/>
        <w:t>сти на момент удара 600 м/с пробивает слой железобетона толщиной 1,4 м, а 203-мм снаряд при скорости 350 м/с только 0,8 м; кроме того, скорострельность (теоретическая — по расчету) 203-мм мортиры равна выстрела в минуту, практическая же скорострельность 152-мм са</w:t>
      </w:r>
      <w:r w:rsidRPr="00D03F3E">
        <w:rPr>
          <w:i w:val="0"/>
          <w:color w:val="000000" w:themeColor="text1"/>
          <w:sz w:val="16"/>
          <w:szCs w:val="16"/>
        </w:rPr>
        <w:softHyphen/>
        <w:t>моходной гаубицы-пушки равна 2,8 выстрела в минуту.</w:t>
      </w:r>
    </w:p>
    <w:p w14:paraId="3CC7A319" w14:textId="77777777" w:rsidR="00B610FB" w:rsidRPr="00D03F3E" w:rsidRDefault="00B610FB" w:rsidP="00D03F3E">
      <w:pPr>
        <w:pStyle w:val="Bodytext141"/>
        <w:shd w:val="clear" w:color="auto" w:fill="auto"/>
        <w:spacing w:line="240" w:lineRule="auto"/>
        <w:ind w:firstLine="0"/>
        <w:jc w:val="both"/>
        <w:rPr>
          <w:i w:val="0"/>
          <w:color w:val="000000" w:themeColor="text1"/>
          <w:sz w:val="16"/>
          <w:szCs w:val="16"/>
        </w:rPr>
      </w:pPr>
      <w:r w:rsidRPr="00D03F3E">
        <w:rPr>
          <w:i w:val="0"/>
          <w:color w:val="000000" w:themeColor="text1"/>
          <w:sz w:val="16"/>
          <w:szCs w:val="16"/>
        </w:rPr>
        <w:t>В данном случае будет полностью выполнено требование «Полевого Устава», запрещающего использование орудий крупного калибра в случае возможности решения боевой задачи меньшим калибром.</w:t>
      </w:r>
    </w:p>
    <w:p w14:paraId="51C8BC70" w14:textId="77777777" w:rsidR="00B610FB" w:rsidRPr="00D03F3E" w:rsidRDefault="00B610FB" w:rsidP="00D03F3E">
      <w:pPr>
        <w:pStyle w:val="Bodytext141"/>
        <w:shd w:val="clear" w:color="auto" w:fill="auto"/>
        <w:spacing w:line="240" w:lineRule="auto"/>
        <w:ind w:firstLine="0"/>
        <w:jc w:val="both"/>
        <w:rPr>
          <w:i w:val="0"/>
          <w:color w:val="000000" w:themeColor="text1"/>
          <w:sz w:val="16"/>
          <w:szCs w:val="16"/>
        </w:rPr>
      </w:pPr>
      <w:r w:rsidRPr="00D03F3E">
        <w:rPr>
          <w:i w:val="0"/>
          <w:color w:val="000000" w:themeColor="text1"/>
          <w:sz w:val="16"/>
          <w:szCs w:val="16"/>
        </w:rPr>
        <w:t>Таким образом, 203-мм самоходную мортиру следует рассматривать как орудие четвертого типа — как самодвижущееся орудие большой мощ</w:t>
      </w:r>
      <w:r w:rsidRPr="00D03F3E">
        <w:rPr>
          <w:i w:val="0"/>
          <w:color w:val="000000" w:themeColor="text1"/>
          <w:sz w:val="16"/>
          <w:szCs w:val="16"/>
        </w:rPr>
        <w:softHyphen/>
        <w:t>ности.</w:t>
      </w:r>
    </w:p>
    <w:p w14:paraId="1CF20409" w14:textId="77777777" w:rsidR="00B610FB" w:rsidRPr="00D03F3E" w:rsidRDefault="00B610FB" w:rsidP="00D03F3E">
      <w:pPr>
        <w:pStyle w:val="Bodytext141"/>
        <w:shd w:val="clear" w:color="auto" w:fill="auto"/>
        <w:spacing w:line="240" w:lineRule="auto"/>
        <w:ind w:firstLine="0"/>
        <w:jc w:val="both"/>
        <w:rPr>
          <w:i w:val="0"/>
          <w:color w:val="000000" w:themeColor="text1"/>
          <w:sz w:val="16"/>
          <w:szCs w:val="16"/>
        </w:rPr>
      </w:pPr>
      <w:r w:rsidRPr="00D03F3E">
        <w:rPr>
          <w:i w:val="0"/>
          <w:color w:val="000000" w:themeColor="text1"/>
          <w:sz w:val="16"/>
          <w:szCs w:val="16"/>
        </w:rPr>
        <w:t>Но для этого необходимо:</w:t>
      </w:r>
    </w:p>
    <w:p w14:paraId="0B917D9A" w14:textId="77777777" w:rsidR="00B610FB" w:rsidRPr="00D03F3E" w:rsidRDefault="00B610FB" w:rsidP="00D03F3E">
      <w:pPr>
        <w:pStyle w:val="Bodytext141"/>
        <w:shd w:val="clear" w:color="auto" w:fill="auto"/>
        <w:tabs>
          <w:tab w:val="left" w:pos="825"/>
        </w:tabs>
        <w:spacing w:line="240" w:lineRule="auto"/>
        <w:ind w:firstLine="0"/>
        <w:jc w:val="both"/>
        <w:rPr>
          <w:i w:val="0"/>
          <w:color w:val="000000" w:themeColor="text1"/>
          <w:sz w:val="16"/>
          <w:szCs w:val="16"/>
        </w:rPr>
      </w:pPr>
      <w:r w:rsidRPr="00D03F3E">
        <w:rPr>
          <w:i w:val="0"/>
          <w:color w:val="000000" w:themeColor="text1"/>
          <w:sz w:val="16"/>
          <w:szCs w:val="16"/>
        </w:rPr>
        <w:t>а) снять мощную развитую бронировку;</w:t>
      </w:r>
    </w:p>
    <w:p w14:paraId="678C367D" w14:textId="77777777" w:rsidR="00B610FB" w:rsidRPr="00D03F3E" w:rsidRDefault="00B610FB" w:rsidP="00D03F3E">
      <w:pPr>
        <w:pStyle w:val="Bodytext141"/>
        <w:shd w:val="clear" w:color="auto" w:fill="auto"/>
        <w:tabs>
          <w:tab w:val="left" w:pos="801"/>
        </w:tabs>
        <w:spacing w:line="240" w:lineRule="auto"/>
        <w:ind w:firstLine="0"/>
        <w:jc w:val="both"/>
        <w:rPr>
          <w:i w:val="0"/>
          <w:color w:val="000000" w:themeColor="text1"/>
          <w:sz w:val="16"/>
          <w:szCs w:val="16"/>
        </w:rPr>
      </w:pPr>
      <w:r w:rsidRPr="00D03F3E">
        <w:rPr>
          <w:i w:val="0"/>
          <w:color w:val="000000" w:themeColor="text1"/>
          <w:sz w:val="16"/>
          <w:szCs w:val="16"/>
        </w:rPr>
        <w:t>б) увеличить угол возвышения до 65— 70°.</w:t>
      </w:r>
    </w:p>
    <w:p w14:paraId="0913466F" w14:textId="77777777" w:rsidR="00B610FB" w:rsidRPr="00D03F3E" w:rsidRDefault="00B610FB" w:rsidP="00D03F3E">
      <w:pPr>
        <w:pStyle w:val="Bodytext141"/>
        <w:shd w:val="clear" w:color="auto" w:fill="auto"/>
        <w:spacing w:line="240" w:lineRule="auto"/>
        <w:ind w:firstLine="0"/>
        <w:jc w:val="both"/>
        <w:rPr>
          <w:i w:val="0"/>
          <w:color w:val="000000" w:themeColor="text1"/>
          <w:sz w:val="16"/>
          <w:szCs w:val="16"/>
        </w:rPr>
      </w:pPr>
      <w:r w:rsidRPr="00D03F3E">
        <w:rPr>
          <w:i w:val="0"/>
          <w:color w:val="000000" w:themeColor="text1"/>
          <w:sz w:val="16"/>
          <w:szCs w:val="16"/>
        </w:rPr>
        <w:t>В результате рассмотрения представленного проекта Артиллерий</w:t>
      </w:r>
      <w:r w:rsidRPr="00D03F3E">
        <w:rPr>
          <w:i w:val="0"/>
          <w:color w:val="000000" w:themeColor="text1"/>
          <w:sz w:val="16"/>
          <w:szCs w:val="16"/>
        </w:rPr>
        <w:softHyphen/>
        <w:t>ский Комитет ГАУ Красной Армии приходит к следующему заключению:</w:t>
      </w:r>
    </w:p>
    <w:p w14:paraId="4381CED1" w14:textId="77777777" w:rsidR="00B610FB" w:rsidRPr="00D03F3E" w:rsidRDefault="00B610FB" w:rsidP="00D03F3E">
      <w:pPr>
        <w:pStyle w:val="Bodytext141"/>
        <w:shd w:val="clear" w:color="auto" w:fill="auto"/>
        <w:tabs>
          <w:tab w:val="left" w:pos="606"/>
        </w:tabs>
        <w:spacing w:line="240" w:lineRule="auto"/>
        <w:ind w:firstLine="0"/>
        <w:jc w:val="both"/>
        <w:rPr>
          <w:i w:val="0"/>
          <w:color w:val="000000" w:themeColor="text1"/>
          <w:sz w:val="16"/>
          <w:szCs w:val="16"/>
        </w:rPr>
      </w:pPr>
      <w:r w:rsidRPr="00D03F3E">
        <w:rPr>
          <w:i w:val="0"/>
          <w:color w:val="000000" w:themeColor="text1"/>
          <w:sz w:val="16"/>
          <w:szCs w:val="16"/>
        </w:rPr>
        <w:t>1. 203-мм самоходное орудие следует рассмотреть как самодвижуще</w:t>
      </w:r>
      <w:r w:rsidRPr="00D03F3E">
        <w:rPr>
          <w:i w:val="0"/>
          <w:color w:val="000000" w:themeColor="text1"/>
          <w:sz w:val="16"/>
          <w:szCs w:val="16"/>
        </w:rPr>
        <w:softHyphen/>
        <w:t>еся орудие большой мощности.</w:t>
      </w:r>
    </w:p>
    <w:p w14:paraId="65E7EE22" w14:textId="77777777" w:rsidR="00B610FB" w:rsidRPr="00D03F3E" w:rsidRDefault="00B610FB" w:rsidP="00D03F3E">
      <w:pPr>
        <w:pStyle w:val="Bodytext141"/>
        <w:shd w:val="clear" w:color="auto" w:fill="auto"/>
        <w:tabs>
          <w:tab w:val="left" w:pos="626"/>
        </w:tabs>
        <w:spacing w:line="240" w:lineRule="auto"/>
        <w:ind w:firstLine="0"/>
        <w:jc w:val="both"/>
        <w:rPr>
          <w:i w:val="0"/>
          <w:color w:val="000000" w:themeColor="text1"/>
          <w:sz w:val="16"/>
          <w:szCs w:val="16"/>
        </w:rPr>
      </w:pPr>
      <w:r w:rsidRPr="00D03F3E">
        <w:rPr>
          <w:i w:val="0"/>
          <w:color w:val="000000" w:themeColor="text1"/>
          <w:sz w:val="16"/>
          <w:szCs w:val="16"/>
        </w:rPr>
        <w:t>2. 203-мм мортира «М-4» является орудием малой мощности, облада</w:t>
      </w:r>
      <w:r w:rsidRPr="00D03F3E">
        <w:rPr>
          <w:i w:val="0"/>
          <w:color w:val="000000" w:themeColor="text1"/>
          <w:sz w:val="16"/>
          <w:szCs w:val="16"/>
        </w:rPr>
        <w:softHyphen/>
        <w:t>ющим малой начальной скоростью и недостаточной дальностью.</w:t>
      </w:r>
    </w:p>
    <w:p w14:paraId="0DA76FC3" w14:textId="77777777" w:rsidR="00B610FB" w:rsidRPr="00D03F3E" w:rsidRDefault="00B610FB" w:rsidP="00D03F3E">
      <w:pPr>
        <w:pStyle w:val="Bodytext141"/>
        <w:shd w:val="clear" w:color="auto" w:fill="auto"/>
        <w:tabs>
          <w:tab w:val="left" w:pos="717"/>
        </w:tabs>
        <w:spacing w:line="240" w:lineRule="auto"/>
        <w:ind w:firstLine="0"/>
        <w:jc w:val="both"/>
        <w:rPr>
          <w:i w:val="0"/>
          <w:color w:val="000000" w:themeColor="text1"/>
          <w:sz w:val="16"/>
          <w:szCs w:val="16"/>
        </w:rPr>
      </w:pPr>
      <w:r w:rsidRPr="00D03F3E">
        <w:rPr>
          <w:i w:val="0"/>
          <w:color w:val="000000" w:themeColor="text1"/>
          <w:sz w:val="16"/>
          <w:szCs w:val="16"/>
        </w:rPr>
        <w:t>3. Артиллерийский Комитет считает необходимым предложить ОКБ-172разработать проект самоходной установки 203-мм гауби</w:t>
      </w:r>
      <w:r w:rsidRPr="00D03F3E">
        <w:rPr>
          <w:i w:val="0"/>
          <w:color w:val="000000" w:themeColor="text1"/>
          <w:sz w:val="16"/>
          <w:szCs w:val="16"/>
        </w:rPr>
        <w:softHyphen/>
        <w:t>цы обр. 1931 года (Б-4).</w:t>
      </w:r>
    </w:p>
    <w:p w14:paraId="6B774469" w14:textId="77777777" w:rsidR="00B610FB" w:rsidRPr="00D03F3E" w:rsidRDefault="00B610FB" w:rsidP="00D03F3E">
      <w:pPr>
        <w:pStyle w:val="Bodytext141"/>
        <w:shd w:val="clear" w:color="auto" w:fill="auto"/>
        <w:spacing w:line="240" w:lineRule="auto"/>
        <w:ind w:firstLine="0"/>
        <w:jc w:val="both"/>
        <w:rPr>
          <w:i w:val="0"/>
          <w:color w:val="000000" w:themeColor="text1"/>
          <w:sz w:val="16"/>
          <w:szCs w:val="16"/>
        </w:rPr>
      </w:pPr>
      <w:r w:rsidRPr="00D03F3E">
        <w:rPr>
          <w:i w:val="0"/>
          <w:color w:val="000000" w:themeColor="text1"/>
          <w:sz w:val="16"/>
          <w:szCs w:val="16"/>
        </w:rPr>
        <w:t>ОКБ-172 НКВ следует переработать проект при снятой мощ</w:t>
      </w:r>
      <w:r w:rsidRPr="00D03F3E">
        <w:rPr>
          <w:i w:val="0"/>
          <w:color w:val="000000" w:themeColor="text1"/>
          <w:sz w:val="16"/>
          <w:szCs w:val="16"/>
        </w:rPr>
        <w:softHyphen/>
        <w:t>ной круговой бронировке, ограничиваясь лишь легким щитовым прикрытием. Увеличить угол возвышения до 60°—70°. Общий вес установки не должен превышать веса 152-мм самоходной гаубицы- пушки "Су-152", то есть 45тонн» (17484).</w:t>
      </w:r>
    </w:p>
    <w:p w14:paraId="59884F4D" w14:textId="77777777" w:rsidR="00B610FB" w:rsidRPr="00D03F3E" w:rsidRDefault="00B610FB" w:rsidP="00D03F3E">
      <w:pPr>
        <w:spacing w:after="0" w:line="240" w:lineRule="auto"/>
        <w:jc w:val="both"/>
        <w:rPr>
          <w:rFonts w:ascii="Times New Roman" w:hAnsi="Times New Roman"/>
          <w:color w:val="000000" w:themeColor="text1"/>
          <w:sz w:val="16"/>
          <w:szCs w:val="16"/>
        </w:rPr>
      </w:pPr>
    </w:p>
    <w:p w14:paraId="5D57312F"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21 мая 1943 года вышел приказ № 290сс НКТП</w:t>
      </w:r>
    </w:p>
    <w:p w14:paraId="7506CDB5"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В соответствии с распоряжением СНК от 9 мая 1943 года № 9307-рс:</w:t>
      </w:r>
    </w:p>
    <w:p w14:paraId="210E9FB4"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Включить в число действующих предприятий в Челябинске: завод резино-паранитовых изделий и завод шурупного производства.</w:t>
      </w:r>
    </w:p>
    <w:p w14:paraId="4911751C"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Указанные заводы считать подсобными предприятиями Главснаба НКТП (6135, 365).</w:t>
      </w:r>
    </w:p>
    <w:p w14:paraId="3DC6A045" w14:textId="77777777" w:rsidR="00531570" w:rsidRPr="00D03F3E" w:rsidRDefault="00531570" w:rsidP="00D03F3E">
      <w:pPr>
        <w:pStyle w:val="Iauiue"/>
        <w:tabs>
          <w:tab w:val="left" w:pos="11199"/>
        </w:tabs>
        <w:jc w:val="both"/>
        <w:rPr>
          <w:color w:val="000000" w:themeColor="text1"/>
          <w:sz w:val="16"/>
          <w:szCs w:val="16"/>
        </w:rPr>
      </w:pPr>
    </w:p>
    <w:p w14:paraId="07FF3C8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мая 1943 вышло Постановление ГКО № 3404 О строительстве гидроэлектростанций в Казахской ССР.РГАНИР, Фонд ГКО, д. 119, лл. 19 (11012).</w:t>
      </w:r>
    </w:p>
    <w:p w14:paraId="65C1C92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64DD8C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мая 1943 вышло Постановление ГКО № 3405 Об освобождении завода № 718 HКМВ от поставок чугунного литья другим заводам.РГАНИР, Фонд ГКО, д. 119, лл. 20 (11012).</w:t>
      </w:r>
    </w:p>
    <w:p w14:paraId="0381D8F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76DDFBD"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21 мая 1943 вышло Постановление ГКО № 3407 О строительстве железнодорожной линии Комсомольск - Советская Гавань. (7109, 22-25).</w:t>
      </w:r>
    </w:p>
    <w:p w14:paraId="3D2D253C" w14:textId="77777777" w:rsidR="00531570" w:rsidRPr="00D03F3E" w:rsidRDefault="00531570" w:rsidP="00D03F3E">
      <w:pPr>
        <w:pStyle w:val="Iauiue"/>
        <w:tabs>
          <w:tab w:val="left" w:pos="11199"/>
        </w:tabs>
        <w:jc w:val="both"/>
        <w:rPr>
          <w:color w:val="000000" w:themeColor="text1"/>
          <w:sz w:val="16"/>
          <w:szCs w:val="16"/>
        </w:rPr>
      </w:pPr>
    </w:p>
    <w:p w14:paraId="07FA44E5"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2731AD5B" w14:textId="77777777" w:rsidR="00531570" w:rsidRPr="00D03F3E" w:rsidRDefault="00531570" w:rsidP="00D03F3E">
      <w:pPr>
        <w:pStyle w:val="Iauiue"/>
        <w:jc w:val="both"/>
        <w:rPr>
          <w:iCs/>
          <w:color w:val="000000" w:themeColor="text1"/>
          <w:sz w:val="16"/>
          <w:szCs w:val="16"/>
        </w:rPr>
      </w:pPr>
    </w:p>
    <w:p w14:paraId="37D43D52"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мая</w:t>
      </w:r>
      <w:r w:rsidRPr="00D03F3E">
        <w:rPr>
          <w:rFonts w:ascii="Times New Roman" w:hAnsi="Times New Roman"/>
          <w:color w:val="000000" w:themeColor="text1"/>
          <w:sz w:val="16"/>
          <w:szCs w:val="16"/>
        </w:rPr>
        <w:t xml:space="preserve"> в 1943 году утреннее сообщение Совинформбюро:</w:t>
      </w:r>
    </w:p>
    <w:p w14:paraId="644154A5"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21 мая на фронте ничего существенного не произошло.</w:t>
      </w:r>
    </w:p>
    <w:p w14:paraId="39592053"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Северо-восточнее Новороссийска наши части вели огневой бой с противником. Артиллерийским огнём разбито 12 вражеских дзотов и блиндажей, подавлен огонь нескольких артиллерийских и миномётных батарей противника.</w:t>
      </w:r>
    </w:p>
    <w:p w14:paraId="2B39D696"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лётчиками и огнём зенитной артиллерии сбито 4 немецких самолёта.</w:t>
      </w:r>
    </w:p>
    <w:p w14:paraId="64EA0870"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уничтожили до 200 немецких солдат и офицеров, 2 орудия и подавили огонь артиллерийской батареи противника. Группа снайперов под командованием старшего сержанта Шумилина пробыла в засаде два дня и истребила 43 гитлеровца. Снайпер красноармеец т. Мигульков убил 6 немцев, снайпер сержант т.Попов уничтожил 4 немцев.</w:t>
      </w:r>
    </w:p>
    <w:p w14:paraId="0152A9A0"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разведывательная группа под командованием старшего лейтенанта Колбасина ночью напала на боевое охранение противника. Советские бойцы уничтожили 17 немцев, станковый пулемёт и захватили важные документы. Разведка установила, что на железнодорожную станцию в тылу противника прибыл эшелон свойсками и боеприпасами. Наши лётчики-штурмовики атаковали вражеский эшелон во время разгрузки и разбомбили его.</w:t>
      </w:r>
    </w:p>
    <w:p w14:paraId="5B42190B"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Западнее Ростова-на-Дону продолжалась редкая артиллерийская перестрелка. Наша артиллерия разрушила 3 дзота, 2 наблюдательных пункта, взорвала склад боеприпасов и успешно обстреляла несколько батарей противника.</w:t>
      </w:r>
    </w:p>
    <w:p w14:paraId="11C7A480"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нашей артиллерией и штурмовыми действиями авиации подавлен огонь нескольких артиллерийских батарей, взорван склад боеприпасов, рассеяно и частью уничтожено до двух рот пехоты противника. На подступах кЛенинграду огнём зенитной артиллерии сбит немецкий истребитель.</w:t>
      </w:r>
    </w:p>
    <w:p w14:paraId="32FE77DA"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Украины, совершил нападение на немецкий гарнизон и истребил 40 гитлеровцев. Советские патриоты захватили склад с зерном и роздали жителям окружающих сёл и рабочих посёлков 2 тысячи центнеров хлеба.</w:t>
      </w:r>
    </w:p>
    <w:p w14:paraId="6748A642"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ефрейтор 11 роты 445 полка 134 немецкой пехотной дивизии Артур Шмидт рассказал: «До осени 1942 года я служил в 23 пехотной дивизии. Я участвовал во многих боях и пережил разгром немецких войск под Москвой. Недавно я попал в 445 полк. Меня поразили упаднические настроения большинства солдат. Нынешнийнемецкий солдат уже не тот, каким он был в 1941 году. У солдат, испытавших на своей шкуре сокрушительные удары русских, окончательно подорвана вера в победу Германии. Они ссылаются на примеры Сталинграда, Ростова, Курска, Великих Лук, Ржева и другие. В успех тотальной мобилизации мало кто верит. Некоторые солдаты полагают, что в лучшем случае эта мобилизация может лишь на небольшой срок отсрочить неизбежное поражение Германии».</w:t>
      </w:r>
    </w:p>
    <w:p w14:paraId="691F176D"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Жительница города Курска Тамара В. была насильно увезена на каторгу в Германию. Она инвалидом вернулась на родину и рассказала: «Немцы угнали меня, мою сестру и многих полных здоровья и энергии девушек в Германию. Когда мы туда приехали, нас поместили в бараках, обнесённых в три ряда колючей проволокой. Я со своей сестрой, а также Римма и Соня из Курска попали на фабрику. Потекли тяжёлые, мучительные дни. Мы изнывали от непосильного труда, подвергались всевозможным лишениям и унижениям. Нам выдали халат из мешка со значком «ОСТ» и деревянные колодки. Работать заставляли до упаду, а кормили; какой-то бурдой. Заодин месяц я подорвала своё здоровье, заболела и не могла даже ходить. Меня не лечили, а выдали бумажку, что я отправляюсь обратно на родину, как непригодная. Сестра моя осталась в немецкой неволе. Я получила oт неё письмо. Она писала: «Живу так же, как и при тебе. Дня не проходит, чтобы я не плакала. Очень тяжело... Вспоминая свою прежнюю жизнь, я думаю: неужели мне ещё долго придётся быть здесь? Нам всё запрещено. Сидим в четырёх стенах, как заключённые, и работаем без отдыха».</w:t>
      </w:r>
    </w:p>
    <w:p w14:paraId="68D2AE8D"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Дорогие товарищи бойцы и командиры Красной Армии! Отомстите за муки советских людей, за наших сестёр и братьев! Освободите их из фашистского плена» (14898).</w:t>
      </w:r>
    </w:p>
    <w:p w14:paraId="757F3E05" w14:textId="77777777" w:rsidR="00354EBF" w:rsidRPr="00D03F3E" w:rsidRDefault="00354EBF" w:rsidP="00D03F3E">
      <w:pPr>
        <w:spacing w:after="0" w:line="240" w:lineRule="auto"/>
        <w:jc w:val="both"/>
        <w:rPr>
          <w:rFonts w:ascii="Times New Roman" w:hAnsi="Times New Roman"/>
          <w:color w:val="000000" w:themeColor="text1"/>
          <w:sz w:val="16"/>
          <w:szCs w:val="16"/>
        </w:rPr>
      </w:pPr>
    </w:p>
    <w:p w14:paraId="2D7B4E1D"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мая</w:t>
      </w:r>
      <w:r w:rsidRPr="00D03F3E">
        <w:rPr>
          <w:rFonts w:ascii="Times New Roman" w:hAnsi="Times New Roman"/>
          <w:color w:val="000000" w:themeColor="text1"/>
          <w:sz w:val="16"/>
          <w:szCs w:val="16"/>
        </w:rPr>
        <w:t xml:space="preserve"> в 1943 году вечернее сообщение Совинформбюро:</w:t>
      </w:r>
    </w:p>
    <w:p w14:paraId="6E707198"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21 мая на фронте существенных изменений не произошло.</w:t>
      </w:r>
    </w:p>
    <w:p w14:paraId="6AC2C3DC"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кораблями и авиацией потоплены торпедный катер и сторожевой корабль противника.</w:t>
      </w:r>
    </w:p>
    <w:p w14:paraId="4CE0C1A3"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мая частями нашей авиации на различных участках фронта уничтожено или повреждено 4 немецких танка, до 60 автомашин с войсками и грузами, сожжён склад с горючим, разбит железнодорожный эшелон и подавлен огонь 5 артиллерийских батарей противника.</w:t>
      </w:r>
    </w:p>
    <w:p w14:paraId="65716793"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Северо-восточнее Новороссийска наши части укрепляли занимаемые позиции и вели артиллерийскую перестрелку с противником. Артиллеристы Н-ской части разбили 2 блиндажа, 2 наблюдательных пункта и подавили огонь 6 артиллерийских батарей противника.</w:t>
      </w:r>
    </w:p>
    <w:p w14:paraId="4A9F58AE"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Огнём нашей зенитной артиллерии сбито 5 немецких самолётов.</w:t>
      </w:r>
    </w:p>
    <w:p w14:paraId="5E19E2BA"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советская артиллерия совершила несколько огневых налётов по скоплению войск противника. Рассеяно и частично уничтожено до двух батальонов гитлеровцев. На другом участке разведка обнаружила 60 замаскированных немецких танков. Наша артиллерия обстреляла этот район. В районе цели отмечены пожары и взрывы.</w:t>
      </w:r>
    </w:p>
    <w:p w14:paraId="221BD968"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Калининском фронте артиллеристы части, где командиром тов. Богданов, подавлен огонь нескольких миномётных батарей, разрушили 5 блиндажей и уничтожили 4 автомашины противника. Снайперы части, где командиром тов. Голубев, истребили 78 гитлеровцев.</w:t>
      </w:r>
    </w:p>
    <w:p w14:paraId="21702A79"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наши части вели обстрел позиций противника. Огнём советской артиллерии разрушено 11 немецких дзотов и 4 наблюдательных пункта, уничтожено 4 автомашины и 9 повозок с грузами. Ружейно-пулемётным и миномётным огнём истреблено свыше 80 гитлеровцев.</w:t>
      </w:r>
    </w:p>
    <w:p w14:paraId="671A2691"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Житомирской области, заминировал участок полотна железной дороги. На поставленных партизанами минах взорвался немецкий воинский эшелон. Уничтожены паровоз и 17 вагонов с боеприпасами. В результате крушения и взрывов движение поездов на этом участке железной дороги было прекращено на несколько дней. Партизаны отряда имени Щорса 17 мая пустили под откос эшелон с продовольствием, следовавший в Германию.</w:t>
      </w:r>
    </w:p>
    <w:p w14:paraId="714674DF"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солдат 15 роты 4 батальона 3 финской пехотной бригады Маури Илмари Мяннисте рассказал: «За месяц 15 рота потеряла от огня русских снайперов 15 человек убитыми. В начале апреля, когда сержант Аалтонен и один командир взвода были ранены осколками взорвавшейся мины, взвод отказался таскать проволоку на передний край. В конце марта 2 батальон начал наступление на русские позиции. Солдаты нашего батальона очень нервничали и опасались, что скоро и нас погонят в бой, чтобы вернуть высоты, захваченные русскими еще в прошлом году. Узнав, что операция 2 батальона провалилась, все были очень довольны. В этих боях 2 батальона потеряли 200 человек убитыми и ранеными. Многие солдаты считают, что чем скорее Германия потерпит поражение, тем скорее кончится война».</w:t>
      </w:r>
    </w:p>
    <w:p w14:paraId="36FE73F1"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Польские патриоты усиливают борьбу против немецких оккупантов. В Келецком уезде партизаны подожгли немецкие казармы и, воспользовавшись создавшейся паникой, захватили много оружия. В районе Люблина железнодорожники пустили под откос немецкий эшелон с войсками и товарный поезд с военными грузами. В Радоме группа поляков бросила несколько гранат в помещение, где находилось много немецких чиновников и полицейских. Убито и ранено свыше 50 гитлеровцев. В числе убитых начальник немецкой полиции, немецкий бургомистр и другие. В Кракове партизаны днём убили проезжавших в машине трёх ненецких офицеров.» (14898).</w:t>
      </w:r>
    </w:p>
    <w:p w14:paraId="5AB2B1CD" w14:textId="77777777" w:rsidR="00354EBF" w:rsidRPr="00D03F3E" w:rsidRDefault="00354EBF" w:rsidP="00D03F3E">
      <w:pPr>
        <w:spacing w:after="0" w:line="240" w:lineRule="auto"/>
        <w:jc w:val="both"/>
        <w:rPr>
          <w:rFonts w:ascii="Times New Roman" w:hAnsi="Times New Roman"/>
          <w:color w:val="000000" w:themeColor="text1"/>
          <w:sz w:val="16"/>
          <w:szCs w:val="16"/>
        </w:rPr>
      </w:pPr>
    </w:p>
    <w:p w14:paraId="145BE9BB"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мая</w:t>
      </w:r>
      <w:r w:rsidRPr="00D03F3E">
        <w:rPr>
          <w:rFonts w:ascii="Times New Roman" w:hAnsi="Times New Roman"/>
          <w:color w:val="000000" w:themeColor="text1"/>
          <w:sz w:val="16"/>
          <w:szCs w:val="16"/>
        </w:rPr>
        <w:t xml:space="preserve"> в 1943 году в соответствии с приказом наркома обороны СССР сформированы 1-я воздушная истребительная армия ПВО (14898).</w:t>
      </w:r>
    </w:p>
    <w:p w14:paraId="25225FC3" w14:textId="77777777" w:rsidR="00354EBF" w:rsidRPr="00D03F3E" w:rsidRDefault="00354EBF" w:rsidP="00D03F3E">
      <w:pPr>
        <w:spacing w:after="0" w:line="240" w:lineRule="auto"/>
        <w:jc w:val="both"/>
        <w:rPr>
          <w:rFonts w:ascii="Times New Roman" w:hAnsi="Times New Roman"/>
          <w:color w:val="000000" w:themeColor="text1"/>
          <w:sz w:val="16"/>
          <w:szCs w:val="16"/>
        </w:rPr>
      </w:pPr>
    </w:p>
    <w:p w14:paraId="32C0717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 мая 1943 шестерка “пешек”, ведомая старшим лейтенантом Голубевым, под прикрытием 3 Як-7 и 4 Ла-5 сумела разрушить мост через Нарву, добившись четырех прямых попаданий бомбами ФАБ-250. При отходе наши самолеты были атакованы истребителями FW 190, в ходе воздушного боя потери составили 2 Пе-2 и 2 Як-7. Однако основная задача была выполнена - снабжение противника по железнодорожной ветке Таллин - Гатчина прекратилось почти на месяц (4476).</w:t>
      </w:r>
    </w:p>
    <w:p w14:paraId="1BCEA45A" w14:textId="77777777" w:rsidR="00531570" w:rsidRPr="00D03F3E" w:rsidRDefault="00531570" w:rsidP="00D03F3E">
      <w:pPr>
        <w:pStyle w:val="Iauiue"/>
        <w:jc w:val="both"/>
        <w:rPr>
          <w:color w:val="000000" w:themeColor="text1"/>
          <w:sz w:val="16"/>
          <w:szCs w:val="16"/>
        </w:rPr>
      </w:pPr>
    </w:p>
    <w:p w14:paraId="6183BF4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 мая 1943 г. вышел ПРИКАЗ № 0087 О РЕОРГАНИЗАЦИИ УПРАВЛЕНИЯ СИСТЕМОЙ ПРОТИВОВОЗДУШНОЙ ОБОРОНЫ МОСКВЫ</w:t>
      </w:r>
    </w:p>
    <w:p w14:paraId="164EC6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целях улучшения управления средствами Московского фронта ПВОприказываю:</w:t>
      </w:r>
    </w:p>
    <w:p w14:paraId="67112C8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Реорганизовать 72-й гвардейский, 82, 176, 250, 251, 329, 745, 864, 1201, 1202, 1203, 1204 и 1205-й зенитные артиллерийские полки в зенитные артиллерийские дивизии ПВО (из них 72-й гвардейский полк в гвардейскую дивизию). В состав каждой дивизии включить пять двадцатиорудийных зенитных артиллерийских полков ПВО среднего калибра, один зенитный прожекторный полк в 60 прожстанций и один зенитный артиллерийский дивизион МЗА в составе 12 орудий.</w:t>
      </w:r>
    </w:p>
    <w:p w14:paraId="18E6134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Реорганизовать 751-й и 862-й зенитные артиллерийские полки МЗА в зенитные артиллерийские дивизии МЗА каждая в составе пяти двадцатиорудийных полков МЗА.</w:t>
      </w:r>
    </w:p>
    <w:p w14:paraId="4D7E7BA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Линейные зенитные артиллерийские дивизионы полков Московского фронта ПВО реорганизовать в зенитные артиллерийские полки ПВО двадца-тиорудийного состава в каждом.</w:t>
      </w:r>
    </w:p>
    <w:p w14:paraId="0859E4D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Реорганизовать 1, 14, 30 и 31-й зенитные прожекторные полки в зенитные прожекторные дивизии; 1, 9 и 13-й полки аэростатов воздушного заграждения — в дивизии аэростатов воздушного заграждения; 1-й и 12-й полки ВНОС — в дивизии ВНОС и 1, 20 и 22-й зенитные пулеметные полки — в зенитные пулеметные дивизии; линейные прожекторные батальоны, дивизионы аэростатов заграждения, пулеметные батальоны и батальоны ВНОС существующих прожекторных, аэростатных, пулеметных и ВНОСовских полков — в зенитные и прожекторные, аэростатные, пулеметные и ВНОСовские полки.</w:t>
      </w:r>
    </w:p>
    <w:p w14:paraId="7BAC268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139-й отдельный батальон связи реорганизовать в отдельный полк связи фронта, а 337-й отдельный радиобатальон ВНОС — в радиополк ВНОС.</w:t>
      </w:r>
    </w:p>
    <w:p w14:paraId="164DF10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6-й истребительный авиационный корпус ПВО реорганизовать в Первую воздушную истребительную армию ПВО.</w:t>
      </w:r>
    </w:p>
    <w:p w14:paraId="4723EB5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составе армии сформировать четыре управления истребительных авиадивизий ПВО. Каждую дивизию иметь в составе 4—5 истребительных авиационных полков.</w:t>
      </w:r>
    </w:p>
    <w:p w14:paraId="4807332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Командующим Первой ВИА ПВО назначить генерал-майора авиации Бормана Александра Владимировича.</w:t>
      </w:r>
    </w:p>
    <w:p w14:paraId="5741556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 В штат управления Московского фронта ПВО ввести дополнительно четырех заместителей командующего фронтом по артиллерии.</w:t>
      </w:r>
    </w:p>
    <w:p w14:paraId="00751C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 Командующему Войсками ПВО ТС реорганизацию по Московскому фронту ПВО закончить к 20.6.43 года.</w:t>
      </w:r>
    </w:p>
    <w:p w14:paraId="27CB299C" w14:textId="77777777" w:rsidR="00531570" w:rsidRPr="00D03F3E" w:rsidRDefault="00531570" w:rsidP="00D03F3E">
      <w:pPr>
        <w:pStyle w:val="Iauiue"/>
        <w:jc w:val="both"/>
        <w:rPr>
          <w:color w:val="000000" w:themeColor="text1"/>
          <w:sz w:val="16"/>
          <w:szCs w:val="16"/>
        </w:rPr>
      </w:pPr>
      <w:r w:rsidRPr="00D03F3E">
        <w:rPr>
          <w:iCs/>
          <w:color w:val="000000" w:themeColor="text1"/>
          <w:sz w:val="16"/>
          <w:szCs w:val="16"/>
        </w:rPr>
        <w:t xml:space="preserve">Народный комиссар обороны СССР Маршал Советского Союза И. СТАЛИН </w:t>
      </w:r>
      <w:r w:rsidRPr="00D03F3E">
        <w:rPr>
          <w:color w:val="000000" w:themeColor="text1"/>
          <w:sz w:val="16"/>
          <w:szCs w:val="16"/>
        </w:rPr>
        <w:t>(9844).</w:t>
      </w:r>
    </w:p>
    <w:p w14:paraId="380820A3" w14:textId="77777777" w:rsidR="00531570" w:rsidRPr="00D03F3E" w:rsidRDefault="00531570" w:rsidP="00D03F3E">
      <w:pPr>
        <w:pStyle w:val="Iauiue"/>
        <w:jc w:val="both"/>
        <w:rPr>
          <w:color w:val="000000" w:themeColor="text1"/>
          <w:sz w:val="16"/>
          <w:szCs w:val="16"/>
        </w:rPr>
      </w:pPr>
    </w:p>
    <w:p w14:paraId="2AD8DFD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 мая 1943 приказом НКО N 0087 впервые были сформированы 1ВИА ПВО, зенитные артдивизии, зенитные прожекторные дивизии, зенитные пулеметные дивизии, дивизии аэростатов заграждения (3398,189).</w:t>
      </w:r>
    </w:p>
    <w:p w14:paraId="5D0F7246" w14:textId="77777777" w:rsidR="00531570" w:rsidRPr="00D03F3E" w:rsidRDefault="00531570" w:rsidP="00D03F3E">
      <w:pPr>
        <w:pStyle w:val="Iauiue"/>
        <w:jc w:val="both"/>
        <w:rPr>
          <w:color w:val="000000" w:themeColor="text1"/>
          <w:sz w:val="16"/>
          <w:szCs w:val="16"/>
        </w:rPr>
      </w:pPr>
    </w:p>
    <w:p w14:paraId="356AEA44" w14:textId="77777777" w:rsidR="002222D8" w:rsidRPr="00D03F3E" w:rsidRDefault="002222D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21 мая 1943 г. 1-й корпус ПВО преобразо</w:t>
      </w:r>
      <w:r w:rsidRPr="00D03F3E">
        <w:rPr>
          <w:rFonts w:ascii="Times New Roman" w:hAnsi="Times New Roman"/>
          <w:color w:val="0070C0"/>
          <w:sz w:val="16"/>
          <w:szCs w:val="16"/>
        </w:rPr>
        <w:softHyphen/>
        <w:t>вали в Особую московскую армию войск ПВО (ОМА ПВО). Вместо 1-го, 9-го и 13-го полков сформировали три дивизии АЗ: 1-я дивизия (2-й и 16-й полки) (командир — генерал-май</w:t>
      </w:r>
      <w:r w:rsidRPr="00D03F3E">
        <w:rPr>
          <w:rFonts w:ascii="Times New Roman" w:hAnsi="Times New Roman"/>
          <w:color w:val="0070C0"/>
          <w:sz w:val="16"/>
          <w:szCs w:val="16"/>
        </w:rPr>
        <w:softHyphen/>
        <w:t xml:space="preserve">ор П.И. Иванов), 2-я дивизия (7-й и 8-й полки) (командир — полковник Э.К. Бирнбаум), 3-я дивизия (10-й и </w:t>
      </w:r>
      <w:r w:rsidRPr="00D03F3E">
        <w:rPr>
          <w:rFonts w:ascii="Times New Roman" w:hAnsi="Times New Roman"/>
          <w:color w:val="0070C0"/>
          <w:sz w:val="16"/>
          <w:szCs w:val="16"/>
        </w:rPr>
        <w:lastRenderedPageBreak/>
        <w:t>12-й полки) (командир — под</w:t>
      </w:r>
      <w:r w:rsidRPr="00D03F3E">
        <w:rPr>
          <w:rFonts w:ascii="Times New Roman" w:hAnsi="Times New Roman"/>
          <w:color w:val="0070C0"/>
          <w:sz w:val="16"/>
          <w:szCs w:val="16"/>
        </w:rPr>
        <w:softHyphen/>
        <w:t>полковник В.М. Шевченко, с 1944 г. – полковник К.</w:t>
      </w:r>
      <w:r w:rsidRPr="00D03F3E">
        <w:rPr>
          <w:rFonts w:ascii="Times New Roman" w:hAnsi="Times New Roman"/>
          <w:color w:val="0070C0"/>
          <w:sz w:val="16"/>
          <w:szCs w:val="16"/>
        </w:rPr>
        <w:tab/>
        <w:t>Леандров). Всего в ОМА ПВО в это время было 445 постов АЗ. Начальник штаба 1-го пол</w:t>
      </w:r>
      <w:r w:rsidRPr="00D03F3E">
        <w:rPr>
          <w:rFonts w:ascii="Times New Roman" w:hAnsi="Times New Roman"/>
          <w:color w:val="0070C0"/>
          <w:sz w:val="16"/>
          <w:szCs w:val="16"/>
        </w:rPr>
        <w:softHyphen/>
        <w:t>ка полковник К.И. Зилле был направлен в службу аэростатов заграждения Восточного фронта ПВО.</w:t>
      </w:r>
    </w:p>
    <w:p w14:paraId="61AA1322" w14:textId="77777777" w:rsidR="002222D8" w:rsidRPr="00D03F3E" w:rsidRDefault="002222D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До самого дня Победы аэростаты заграждения по ночам поднимались в небо Москвы. За период налётов вражеской авиации 268 раз ночью и 8 раз днём звучала команда: «Поднять заграждения!» Последний раз боевой подъём АЗ состоялся 9 мая 1945 г. В небо на километровую высоту аэроста</w:t>
      </w:r>
      <w:r w:rsidRPr="00D03F3E">
        <w:rPr>
          <w:rFonts w:ascii="Times New Roman" w:hAnsi="Times New Roman"/>
          <w:color w:val="0070C0"/>
          <w:sz w:val="16"/>
          <w:szCs w:val="16"/>
        </w:rPr>
        <w:softHyphen/>
        <w:t>ты подняли Красное Знамя Победы. После окон</w:t>
      </w:r>
      <w:r w:rsidRPr="00D03F3E">
        <w:rPr>
          <w:rFonts w:ascii="Times New Roman" w:hAnsi="Times New Roman"/>
          <w:color w:val="0070C0"/>
          <w:sz w:val="16"/>
          <w:szCs w:val="16"/>
        </w:rPr>
        <w:softHyphen/>
        <w:t>чания войны полки и дивизии АЗ ПВО Москвы расформировали, а личный состав демобилизо</w:t>
      </w:r>
      <w:r w:rsidRPr="00D03F3E">
        <w:rPr>
          <w:rFonts w:ascii="Times New Roman" w:hAnsi="Times New Roman"/>
          <w:color w:val="0070C0"/>
          <w:sz w:val="16"/>
          <w:szCs w:val="16"/>
        </w:rPr>
        <w:softHyphen/>
        <w:t>вали (20120).</w:t>
      </w:r>
    </w:p>
    <w:p w14:paraId="54ACF6C9" w14:textId="77777777" w:rsidR="002222D8" w:rsidRPr="00D03F3E" w:rsidRDefault="002222D8" w:rsidP="00D03F3E">
      <w:pPr>
        <w:spacing w:after="0" w:line="240" w:lineRule="auto"/>
        <w:jc w:val="both"/>
        <w:rPr>
          <w:rFonts w:ascii="Times New Roman" w:hAnsi="Times New Roman"/>
          <w:color w:val="0070C0"/>
          <w:sz w:val="16"/>
          <w:szCs w:val="16"/>
        </w:rPr>
      </w:pPr>
    </w:p>
    <w:p w14:paraId="6D5E81A6" w14:textId="77777777" w:rsidR="002222D8" w:rsidRPr="00D03F3E" w:rsidRDefault="002222D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 21 мая 1943 года небо Москвы прикрывало уже 440 постов аэростатчиков сформированного в апреле Московского фронта ПВО (22863).</w:t>
      </w:r>
    </w:p>
    <w:p w14:paraId="5DA0A574" w14:textId="77777777" w:rsidR="002222D8" w:rsidRPr="00D03F3E" w:rsidRDefault="002222D8" w:rsidP="00D03F3E">
      <w:pPr>
        <w:spacing w:after="0" w:line="240" w:lineRule="auto"/>
        <w:jc w:val="both"/>
        <w:rPr>
          <w:rFonts w:ascii="Times New Roman" w:hAnsi="Times New Roman"/>
          <w:color w:val="0070C0"/>
          <w:sz w:val="16"/>
          <w:szCs w:val="16"/>
        </w:rPr>
      </w:pPr>
    </w:p>
    <w:p w14:paraId="349FD25A"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7255A840" w14:textId="77777777" w:rsidR="00531570" w:rsidRPr="00D03F3E" w:rsidRDefault="00531570" w:rsidP="00D03F3E">
      <w:pPr>
        <w:pStyle w:val="Iauiue"/>
        <w:jc w:val="both"/>
        <w:rPr>
          <w:iCs/>
          <w:color w:val="000000" w:themeColor="text1"/>
          <w:sz w:val="16"/>
          <w:szCs w:val="16"/>
        </w:rPr>
      </w:pPr>
    </w:p>
    <w:p w14:paraId="5B248C1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 мая 1943 И.В.С. объявил о роспуске 3 Интернационала (Коминтерна) (2246,3).</w:t>
      </w:r>
    </w:p>
    <w:p w14:paraId="24205841" w14:textId="77777777" w:rsidR="00531570" w:rsidRPr="00D03F3E" w:rsidRDefault="00531570" w:rsidP="00D03F3E">
      <w:pPr>
        <w:pStyle w:val="Iauiue"/>
        <w:jc w:val="both"/>
        <w:rPr>
          <w:color w:val="000000" w:themeColor="text1"/>
          <w:sz w:val="16"/>
          <w:szCs w:val="16"/>
        </w:rPr>
      </w:pPr>
    </w:p>
    <w:p w14:paraId="07E68B09"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32708E72" w14:textId="77777777" w:rsidR="00531570" w:rsidRPr="00D03F3E" w:rsidRDefault="00531570" w:rsidP="00D03F3E">
      <w:pPr>
        <w:pStyle w:val="Iauiue"/>
        <w:jc w:val="both"/>
        <w:rPr>
          <w:iCs/>
          <w:color w:val="000000" w:themeColor="text1"/>
          <w:sz w:val="16"/>
          <w:szCs w:val="16"/>
        </w:rPr>
      </w:pPr>
    </w:p>
    <w:p w14:paraId="301D9156" w14:textId="77777777" w:rsidR="002222D8" w:rsidRPr="00D03F3E" w:rsidRDefault="002222D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21 мая 1943 года в Сиэтле был облетан головной B-17G-1-BO. Внешне почти не отличаясь от «B-17F с бородой», он был рассчитан на увеличенный на 4482 кг взлетный вес и брал больше топлива и бомб, максимальный калибр которых достиг 1814 кг. Надеясь на носовую турель, пулеметы в окнах кабины штурмана сняли, а установки в бортах хвостовой части застеклили, но максимальная скорость упала на 9 км/ч, а крейсерская почти на 100, ухудшилась скороподъемность. Для участия в массированных рейдах предельно загруженный самолет должен был набирать 7620 м не более чем за 2 часа и держать в строю скорость не ниже 300 км/ч. Показатели B-17G пока были хуже, и все же 4 сентября 1943 года начались его поставки в войска с завода «Боинг» в Сиэтле в штате Вашингтон, а затем и с калифорнийских заводов «Локхид — Вега» в Бербанке и «Дуглас» в городе Лонг-Бич. Их продукция обозначалась соответственно B-17G-BO, B-17G-VE и B-17G-DL</w:t>
      </w:r>
    </w:p>
    <w:p w14:paraId="795D5A1E" w14:textId="77777777" w:rsidR="002222D8" w:rsidRPr="00D03F3E" w:rsidRDefault="002222D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Первым шагом к восстановлению летных качеств стала замена «шершавого» камуфляжа на покрытие предварительно полированной обшивки бесцветным лаком начиная с серий B-17G35-BO, G-20-VE и G-45-DL. В (22893).</w:t>
      </w:r>
    </w:p>
    <w:p w14:paraId="0D5734DA" w14:textId="77777777" w:rsidR="002222D8" w:rsidRPr="00D03F3E" w:rsidRDefault="002222D8" w:rsidP="00D03F3E">
      <w:pPr>
        <w:spacing w:after="0" w:line="240" w:lineRule="auto"/>
        <w:jc w:val="both"/>
        <w:rPr>
          <w:rFonts w:ascii="Times New Roman" w:hAnsi="Times New Roman"/>
          <w:color w:val="0070C0"/>
          <w:sz w:val="16"/>
          <w:szCs w:val="16"/>
        </w:rPr>
      </w:pPr>
    </w:p>
    <w:p w14:paraId="65933DB9" w14:textId="77777777" w:rsidR="002222D8" w:rsidRPr="00D03F3E" w:rsidRDefault="002222D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21 мая 1943 в ходе первого использования японским самолетом пушки, стреляющей вверх, двухмоторный ночной истребитель Nakajima J1N Императорского флота Японии (союзное название "Ирвинг") использует 20-мм пушку Type 99, стреляющую вверх, при сбитии двух американских самолетов - B-17. Командующий ВМС Японии Ясуна Козоно придумал расположение пушки с направленной вверх стрельбой независимо от аналогичного немецкого оружия Schräge Musik (20376).</w:t>
      </w:r>
    </w:p>
    <w:p w14:paraId="5CB3DAB1" w14:textId="77777777" w:rsidR="002222D8" w:rsidRPr="00D03F3E" w:rsidRDefault="002222D8" w:rsidP="00D03F3E">
      <w:pPr>
        <w:spacing w:after="0" w:line="240" w:lineRule="auto"/>
        <w:jc w:val="both"/>
        <w:rPr>
          <w:rFonts w:ascii="Times New Roman" w:hAnsi="Times New Roman"/>
          <w:color w:val="0070C0"/>
          <w:sz w:val="16"/>
          <w:szCs w:val="16"/>
        </w:rPr>
      </w:pPr>
    </w:p>
    <w:p w14:paraId="23156B68"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May 21st, 1943: The Luftwaffe carries out a raid by FW-190 fighter bombers against Malta (3819).</w:t>
      </w:r>
    </w:p>
    <w:p w14:paraId="07C62CE8" w14:textId="77777777" w:rsidR="00531570" w:rsidRPr="00D03F3E" w:rsidRDefault="00531570" w:rsidP="00D03F3E">
      <w:pPr>
        <w:pStyle w:val="Iauiue"/>
        <w:jc w:val="both"/>
        <w:rPr>
          <w:color w:val="000000" w:themeColor="text1"/>
          <w:sz w:val="16"/>
          <w:szCs w:val="16"/>
          <w:lang w:val="en-US"/>
        </w:rPr>
      </w:pPr>
    </w:p>
    <w:p w14:paraId="58B575A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 мая 1943 Ф-190 с бомбами совершили налет на Мальту (3819).</w:t>
      </w:r>
    </w:p>
    <w:p w14:paraId="446E87EA" w14:textId="77777777" w:rsidR="00531570" w:rsidRPr="00D03F3E" w:rsidRDefault="00531570" w:rsidP="00D03F3E">
      <w:pPr>
        <w:pStyle w:val="Iauiue"/>
        <w:jc w:val="both"/>
        <w:rPr>
          <w:color w:val="000000" w:themeColor="text1"/>
          <w:sz w:val="16"/>
          <w:szCs w:val="16"/>
        </w:rPr>
      </w:pPr>
    </w:p>
    <w:p w14:paraId="5F61017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 мая 1943 японцы предприняли последнее наступление в центральном Китае (2245,3).</w:t>
      </w:r>
    </w:p>
    <w:p w14:paraId="2781E376" w14:textId="77777777" w:rsidR="00531570" w:rsidRPr="00D03F3E" w:rsidRDefault="00531570" w:rsidP="00D03F3E">
      <w:pPr>
        <w:pStyle w:val="Iauiue"/>
        <w:jc w:val="both"/>
        <w:rPr>
          <w:color w:val="000000" w:themeColor="text1"/>
          <w:sz w:val="16"/>
          <w:szCs w:val="16"/>
        </w:rPr>
      </w:pPr>
    </w:p>
    <w:p w14:paraId="3CFFE64E"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40332044" w14:textId="77777777" w:rsidR="00531570" w:rsidRPr="00D03F3E" w:rsidRDefault="00531570" w:rsidP="00D03F3E">
      <w:pPr>
        <w:pStyle w:val="Iauiue"/>
        <w:jc w:val="both"/>
        <w:rPr>
          <w:iCs/>
          <w:color w:val="000000" w:themeColor="text1"/>
          <w:sz w:val="16"/>
          <w:szCs w:val="16"/>
        </w:rPr>
      </w:pPr>
    </w:p>
    <w:p w14:paraId="0469BA0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Утверждаю: зам. наркома Авиапрома Кузнецов В.П. 22 мая 1943 года.</w:t>
      </w:r>
    </w:p>
    <w:p w14:paraId="67136D6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Протокол</w:t>
      </w:r>
    </w:p>
    <w:p w14:paraId="6F58B26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заседания моторной комиссии НКАП</w:t>
      </w:r>
    </w:p>
    <w:p w14:paraId="38C0024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от 20 мая 1943 года</w:t>
      </w:r>
    </w:p>
    <w:p w14:paraId="39249CA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Присутствовали: Поликовский В.И., Воликов Г.Д., Дмитриевский В.И., Шишкин С.М., Фадеев А.А., Холщевников, С.В.И., Коралкин, Воронцов, Макаренков В.В., Владимиров В.Д.</w:t>
      </w:r>
    </w:p>
    <w:p w14:paraId="4C99E53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Повестка дня</w:t>
      </w:r>
    </w:p>
    <w:p w14:paraId="46FA69A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Обсуждение мероприятий, обеспечивающих получение заданной высотности самолета Ил-4 с ТК.</w:t>
      </w:r>
    </w:p>
    <w:p w14:paraId="0FB5331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Докладчики: С.В.И., Дмитриевский В.И.</w:t>
      </w:r>
    </w:p>
    <w:p w14:paraId="3575F55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Слушали:</w:t>
      </w:r>
    </w:p>
    <w:p w14:paraId="0952BBD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Доклад С.В.И. об испытаниях самолета Ил-4 с турбокомпрессорами ТК-3 ЦИАМ.</w:t>
      </w:r>
    </w:p>
    <w:p w14:paraId="45FDE74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Доклад Дмитриевского В.И. о мероприятиях по повышению данных ТК.</w:t>
      </w:r>
    </w:p>
    <w:p w14:paraId="389E480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Постановили:</w:t>
      </w:r>
    </w:p>
    <w:p w14:paraId="2B3E78C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Полученные результаты испытаний самолета Ил-4 с турбокомпрессорами ТК-3 ЦИАМ дали недобор высоты на 2000 м (7000 м вместо 9000 м).</w:t>
      </w:r>
    </w:p>
    <w:p w14:paraId="16AC5FA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Основной причиной недобора высоты можно считать недостаточную мощность ТК-3 (один ТК-3 на моторе М-88).</w:t>
      </w:r>
    </w:p>
    <w:p w14:paraId="6DDD8E8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Имея ввиду, что винтомоторная установка по техническим данным удовлетворительна и работа ТК нормальна, считать необходимым обеспечить высотность за счет постановки модернизированных ТК.</w:t>
      </w:r>
    </w:p>
    <w:p w14:paraId="67B2F37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Постановка модернизированного ТК (ТК-М) в соответствии с предъявленными ЦИАМ расчетными характеристиками и экспериментальными материалами обеспечивает заданные мощности и высотности мотора (940 л.с. на высоте 9000 м без радиатора на первой скорости нагнетателя).</w:t>
      </w:r>
    </w:p>
    <w:p w14:paraId="57321AA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Считать необходимым передать в ЛИИ НКАП один из самолетов Ил-4, оборудованный ТК-3, для проведения совместных работ ЦИАМ, ЦАГИ и ЛИИ по отработке ТК, одновременно с доводкой самолета Ил-4 с ТК-М на заводе N 240 (1775,171).</w:t>
      </w:r>
    </w:p>
    <w:p w14:paraId="38365CE1" w14:textId="77777777" w:rsidR="00531570" w:rsidRPr="00D03F3E" w:rsidRDefault="00531570" w:rsidP="00D03F3E">
      <w:pPr>
        <w:pStyle w:val="Iauiue"/>
        <w:jc w:val="both"/>
        <w:rPr>
          <w:color w:val="000000" w:themeColor="text1"/>
          <w:sz w:val="16"/>
          <w:szCs w:val="16"/>
        </w:rPr>
      </w:pPr>
    </w:p>
    <w:p w14:paraId="1895EB2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 мая 1943 Дементьев писал директору завода 23 Иосиловичу и нач. 10 ГУ Тарасевичу, а также директору завода 240 С.В.И. письмо N Н-35/2029:</w:t>
      </w:r>
    </w:p>
    <w:p w14:paraId="4A6AC84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"Предлагаю не позднее 25 мая с.г. отправить заводам 39 и 126 чертежи, утвержденные ГК С.В.И., на оборудование самолетов Ил-4 ультрафиолетовым освещением УФО (1768,135).</w:t>
      </w:r>
    </w:p>
    <w:p w14:paraId="7D9128F8" w14:textId="77777777" w:rsidR="00531570" w:rsidRPr="00D03F3E" w:rsidRDefault="00531570" w:rsidP="00D03F3E">
      <w:pPr>
        <w:pStyle w:val="Iauiue"/>
        <w:jc w:val="both"/>
        <w:rPr>
          <w:color w:val="000000" w:themeColor="text1"/>
          <w:sz w:val="16"/>
          <w:szCs w:val="16"/>
        </w:rPr>
      </w:pPr>
    </w:p>
    <w:p w14:paraId="44DDBD9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 мая 1943 Дементьев писал директору завода 23 Иосиловичу и нач. 10 ГУ Тарасевичу, а также директору завода 240 С.В.И. письмо:</w:t>
      </w:r>
    </w:p>
    <w:p w14:paraId="09BFEB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"Предлагаю не позднее 10 июня с.г. обеспечить выпуск серийных самолетов Ил-4, оборудованных УФО кабин пилота. При этом существующее освещение кабины необходимо сохранить.</w:t>
      </w:r>
    </w:p>
    <w:p w14:paraId="22C9DBC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окончательной отработки чертежей к 10 мая с.г. произвести совместно с ГК С.В.И. оборудование одного самолета данным освещением, где устранить все недостатки, отмеченные на гос. испытаниях (1768,103).</w:t>
      </w:r>
    </w:p>
    <w:p w14:paraId="3501397C" w14:textId="77777777" w:rsidR="00531570" w:rsidRPr="00D03F3E" w:rsidRDefault="00531570" w:rsidP="00D03F3E">
      <w:pPr>
        <w:pStyle w:val="Iauiue"/>
        <w:jc w:val="both"/>
        <w:rPr>
          <w:color w:val="000000" w:themeColor="text1"/>
          <w:sz w:val="16"/>
          <w:szCs w:val="16"/>
        </w:rPr>
      </w:pPr>
    </w:p>
    <w:p w14:paraId="0B071BD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 мая 1943 Дементьев писал директору завода 39 Аврамову и нач. 10 ГУ Тарасевичу письмо N Н-35/2030:</w:t>
      </w:r>
    </w:p>
    <w:p w14:paraId="2AC4FAF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"Предлагаю не позднее 15 июля с.г. обеспечить по чертежам завода 23, выпуск серийных самолетов Ил-4, оборудованных ультрафиолетовым освещением УФО (1768,136).</w:t>
      </w:r>
    </w:p>
    <w:p w14:paraId="61DD0ECD" w14:textId="77777777" w:rsidR="00531570" w:rsidRPr="00D03F3E" w:rsidRDefault="00531570" w:rsidP="00D03F3E">
      <w:pPr>
        <w:pStyle w:val="Iauiue"/>
        <w:jc w:val="both"/>
        <w:rPr>
          <w:color w:val="000000" w:themeColor="text1"/>
          <w:sz w:val="16"/>
          <w:szCs w:val="16"/>
        </w:rPr>
      </w:pPr>
    </w:p>
    <w:p w14:paraId="788DC15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 мая 1943 Дементьев писал директору завода 126 Тимофееву и нач. 10 ГУ Тарасевичу, а также директору завода 240 С.В.И. письмо N Н-35/2031:</w:t>
      </w:r>
    </w:p>
    <w:p w14:paraId="713EEB8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"Предлагаю не позднее 1 августа с.г. обеспечить по чертежам завода 23, выпуск серийных самолетов Ил-4, оборудованных ультрафиолетовым освещением УФО (1768,137).</w:t>
      </w:r>
    </w:p>
    <w:p w14:paraId="15DEEB2C" w14:textId="77777777" w:rsidR="00531570" w:rsidRPr="00D03F3E" w:rsidRDefault="00531570" w:rsidP="00D03F3E">
      <w:pPr>
        <w:pStyle w:val="Iauiue"/>
        <w:jc w:val="both"/>
        <w:rPr>
          <w:color w:val="000000" w:themeColor="text1"/>
          <w:sz w:val="16"/>
          <w:szCs w:val="16"/>
        </w:rPr>
      </w:pPr>
    </w:p>
    <w:p w14:paraId="23F0A8F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 мая 1943 Дементьев писал директору завода 126 Тимофееву, нач. 10 ГУ Тарасевичу, а также ГИ АДД Маркову:</w:t>
      </w:r>
    </w:p>
    <w:p w14:paraId="628EC52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"Предлагаю 50 самолетов Ил-4 оборудовать автоматом курса АПГ-1 в сроки: июль - 25, август - 25 (1768,150).</w:t>
      </w:r>
    </w:p>
    <w:p w14:paraId="1A2D3BB6" w14:textId="77777777" w:rsidR="00531570" w:rsidRPr="00D03F3E" w:rsidRDefault="00531570" w:rsidP="00D03F3E">
      <w:pPr>
        <w:pStyle w:val="Iauiue"/>
        <w:jc w:val="both"/>
        <w:rPr>
          <w:color w:val="000000" w:themeColor="text1"/>
          <w:sz w:val="16"/>
          <w:szCs w:val="16"/>
        </w:rPr>
      </w:pPr>
    </w:p>
    <w:p w14:paraId="54587BD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 мая 1943 Дементьев писал письмо N Н-35/2032 дир. завода 22 Окулову, Нач. 10 ГУ Тарасевичу и ГК ОКБ-42 на заводе 22 Незваль:</w:t>
      </w:r>
    </w:p>
    <w:p w14:paraId="61941FA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"Предлагаю не позднее июня с.г. обеспечить выпуск серийных Пе-8, оборудованных УФО кабин пилотов. При этом существующее освещение необходимо сохранить." (1767,138).</w:t>
      </w:r>
    </w:p>
    <w:p w14:paraId="0A8F321F" w14:textId="77777777" w:rsidR="00531570" w:rsidRPr="00D03F3E" w:rsidRDefault="00531570" w:rsidP="00D03F3E">
      <w:pPr>
        <w:pStyle w:val="Iauiue"/>
        <w:jc w:val="both"/>
        <w:rPr>
          <w:color w:val="000000" w:themeColor="text1"/>
          <w:sz w:val="16"/>
          <w:szCs w:val="16"/>
        </w:rPr>
      </w:pPr>
    </w:p>
    <w:p w14:paraId="32828AA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 мая 1943 года Шахурину.</w:t>
      </w:r>
    </w:p>
    <w:p w14:paraId="550F109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связи с установкой на немецких боевых самолетах крупнокалиберных пулеметов и пушек, бронезащита серийных самолетов ВВС оказалась недостаточной.</w:t>
      </w:r>
    </w:p>
    <w:p w14:paraId="3DFD94A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связи с этим, приказом по НКАП и ВВС от 24.07.42 г. за N 559с/032 была создана Комиссия по рассмотрению бронирования серийных самолетов ВВС.</w:t>
      </w:r>
    </w:p>
    <w:p w14:paraId="443DA6C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Комиссия, на основании материалов опыта войны, летно-технических данных самолетов и возможностей отечественной промышленности, рекомендовала усиленные схемы бронирования боевых самолетов ВВС и предлагала обязать гл. конструкторов самолетов представить в 7-е Гл. управление НКАП и НИИ ВВС свои соображения и мероприятия по реализации рекомендуемых Комиссией схем бронирования.</w:t>
      </w:r>
    </w:p>
    <w:p w14:paraId="0C34431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Протокол этой комиссии утвержден Вашим заместителем генерал-майором ИАС Яковлевым и мною.</w:t>
      </w:r>
    </w:p>
    <w:p w14:paraId="4BFF7E0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времени окончания работ Комиссии прошло 8 месяцев, однако ни одна из рекомендованных комиссией усиленных схем бронирования до настоящего времени в серию не внедрена (1778,245).</w:t>
      </w:r>
    </w:p>
    <w:p w14:paraId="2393ED14" w14:textId="77777777" w:rsidR="00531570" w:rsidRPr="00D03F3E" w:rsidRDefault="00531570" w:rsidP="00D03F3E">
      <w:pPr>
        <w:pStyle w:val="Iauiue"/>
        <w:jc w:val="both"/>
        <w:rPr>
          <w:color w:val="000000" w:themeColor="text1"/>
          <w:sz w:val="16"/>
          <w:szCs w:val="16"/>
        </w:rPr>
      </w:pPr>
    </w:p>
    <w:p w14:paraId="7CFAD3C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 мая 1943 ГУ ВВС писало письмо N 555745 НКАП А.И.Ш. о том, что М-82 с НВ удовлетворительно прошел 100 час. испытания и испытания на Ла-5, но производство приборов НВ на 296 встречает трудности (1779).</w:t>
      </w:r>
    </w:p>
    <w:p w14:paraId="3D9A9BDC" w14:textId="77777777" w:rsidR="00531570" w:rsidRPr="00D03F3E" w:rsidRDefault="00531570" w:rsidP="00D03F3E">
      <w:pPr>
        <w:pStyle w:val="Iauiue"/>
        <w:jc w:val="both"/>
        <w:rPr>
          <w:color w:val="000000" w:themeColor="text1"/>
          <w:sz w:val="16"/>
          <w:szCs w:val="16"/>
        </w:rPr>
      </w:pPr>
    </w:p>
    <w:p w14:paraId="6F5A0D6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мая 1943 года А.А. Новиков в пись</w:t>
      </w:r>
      <w:r w:rsidRPr="00D03F3E">
        <w:rPr>
          <w:rFonts w:ascii="Times New Roman" w:hAnsi="Times New Roman"/>
          <w:color w:val="000000" w:themeColor="text1"/>
          <w:sz w:val="16"/>
          <w:szCs w:val="16"/>
        </w:rPr>
        <w:softHyphen/>
        <w:t>ме наркому авиапромышленности А.И. Шахурину писал:</w:t>
      </w:r>
    </w:p>
    <w:p w14:paraId="6CC20BE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«100-часовые государственные стендовые испытания мотора М-82 с питанием от насоса непосред</w:t>
      </w:r>
      <w:r w:rsidRPr="00D03F3E">
        <w:rPr>
          <w:rFonts w:ascii="Times New Roman" w:hAnsi="Times New Roman"/>
          <w:color w:val="000000" w:themeColor="text1"/>
          <w:sz w:val="16"/>
          <w:szCs w:val="16"/>
        </w:rPr>
        <w:softHyphen/>
        <w:t>ственного впрыска НБЗ-У и совмес</w:t>
      </w:r>
      <w:r w:rsidRPr="00D03F3E">
        <w:rPr>
          <w:rFonts w:ascii="Times New Roman" w:hAnsi="Times New Roman"/>
          <w:color w:val="000000" w:themeColor="text1"/>
          <w:sz w:val="16"/>
          <w:szCs w:val="16"/>
        </w:rPr>
        <w:softHyphen/>
        <w:t>тные летные испытания его на са</w:t>
      </w:r>
      <w:r w:rsidRPr="00D03F3E">
        <w:rPr>
          <w:rFonts w:ascii="Times New Roman" w:hAnsi="Times New Roman"/>
          <w:color w:val="000000" w:themeColor="text1"/>
          <w:sz w:val="16"/>
          <w:szCs w:val="16"/>
        </w:rPr>
        <w:softHyphen/>
        <w:t>молете Ла-5, в отличие от мотора с карбюратором АК-82БП, показали хорошую и надежную работу дви</w:t>
      </w:r>
      <w:r w:rsidRPr="00D03F3E">
        <w:rPr>
          <w:rFonts w:ascii="Times New Roman" w:hAnsi="Times New Roman"/>
          <w:color w:val="000000" w:themeColor="text1"/>
          <w:sz w:val="16"/>
          <w:szCs w:val="16"/>
        </w:rPr>
        <w:softHyphen/>
        <w:t>гателя на всех режимах и высотах до 10000 м.</w:t>
      </w:r>
    </w:p>
    <w:p w14:paraId="6B4E853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Учитывая, что карбюратор АК-82БП, несмотря на двухлетнюю его доводку, не обеспечивает нормаль</w:t>
      </w:r>
      <w:r w:rsidRPr="00D03F3E">
        <w:rPr>
          <w:rFonts w:ascii="Times New Roman" w:hAnsi="Times New Roman"/>
          <w:color w:val="000000" w:themeColor="text1"/>
          <w:sz w:val="16"/>
          <w:szCs w:val="16"/>
        </w:rPr>
        <w:softHyphen/>
        <w:t>ной работы моторов М-82 и М-82Ф, необходимо ускорить перевод мо</w:t>
      </w:r>
      <w:r w:rsidRPr="00D03F3E">
        <w:rPr>
          <w:rFonts w:ascii="Times New Roman" w:hAnsi="Times New Roman"/>
          <w:color w:val="000000" w:themeColor="text1"/>
          <w:sz w:val="16"/>
          <w:szCs w:val="16"/>
        </w:rPr>
        <w:softHyphen/>
        <w:t>торов семейства М-82 на питание от насоса непосредственного впрыска...» (10723).</w:t>
      </w:r>
    </w:p>
    <w:p w14:paraId="3E58632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FE155A4"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мая 1943 г. А.А. Новиков в письме наркому авиапромыш</w:t>
      </w:r>
      <w:r w:rsidRPr="00D03F3E">
        <w:rPr>
          <w:rFonts w:ascii="Times New Roman" w:hAnsi="Times New Roman"/>
          <w:color w:val="000000" w:themeColor="text1"/>
          <w:sz w:val="16"/>
          <w:szCs w:val="16"/>
        </w:rPr>
        <w:softHyphen/>
        <w:t>ленности А.И. Шахурину писал: «100-часовые государственные стендовые испытания мотора М-82 с питанием от насоса непосредственного впрыска НБЗ-У и совместные лётные испытания его на самолёте Ла-5, в отличие от мотора с карбюратором АК-82БП, показали хорошую и надёжную работу двигателя на всех режимах и высотах до 10000 м.</w:t>
      </w:r>
    </w:p>
    <w:p w14:paraId="629F596E"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Учитывая, что карбюратор АК-82БП, несмотря на двухлетнюю его доводку, не обес</w:t>
      </w:r>
      <w:r w:rsidRPr="00D03F3E">
        <w:rPr>
          <w:rFonts w:ascii="Times New Roman" w:hAnsi="Times New Roman"/>
          <w:color w:val="000000" w:themeColor="text1"/>
          <w:sz w:val="16"/>
          <w:szCs w:val="16"/>
        </w:rPr>
        <w:softHyphen/>
        <w:t>печивает нормальной работы моторов М-82 и М-82Ф, необходимо ускорить перевод моторов семейства М-82 на питание от насоса непосредственного впрыска...»</w:t>
      </w:r>
    </w:p>
    <w:p w14:paraId="1636BD89"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Лимитировало этот перевод ограниченное пока производство насосов НБ-ЗУ (15829).</w:t>
      </w:r>
    </w:p>
    <w:p w14:paraId="4D11EBD0" w14:textId="77777777" w:rsidR="00354EBF" w:rsidRPr="00D03F3E" w:rsidRDefault="00354EBF" w:rsidP="00D03F3E">
      <w:pPr>
        <w:spacing w:after="0" w:line="240" w:lineRule="auto"/>
        <w:jc w:val="both"/>
        <w:rPr>
          <w:rFonts w:ascii="Times New Roman" w:hAnsi="Times New Roman"/>
          <w:color w:val="000000" w:themeColor="text1"/>
          <w:sz w:val="16"/>
          <w:szCs w:val="16"/>
        </w:rPr>
      </w:pPr>
    </w:p>
    <w:p w14:paraId="4390697F"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162C0C4C" w14:textId="77777777" w:rsidR="00531570" w:rsidRPr="00D03F3E" w:rsidRDefault="00531570" w:rsidP="00D03F3E">
      <w:pPr>
        <w:pStyle w:val="Iauiue"/>
        <w:jc w:val="both"/>
        <w:rPr>
          <w:iCs/>
          <w:color w:val="000000" w:themeColor="text1"/>
          <w:sz w:val="16"/>
          <w:szCs w:val="16"/>
        </w:rPr>
      </w:pPr>
    </w:p>
    <w:p w14:paraId="32E08D50" w14:textId="77777777" w:rsidR="0062502E" w:rsidRPr="00D03F3E" w:rsidRDefault="0062502E" w:rsidP="00D03F3E">
      <w:pPr>
        <w:pStyle w:val="ae"/>
        <w:spacing w:before="0" w:after="0"/>
        <w:jc w:val="both"/>
        <w:textAlignment w:val="baseline"/>
        <w:rPr>
          <w:color w:val="000000" w:themeColor="text1"/>
          <w:sz w:val="16"/>
          <w:szCs w:val="16"/>
        </w:rPr>
      </w:pPr>
      <w:r w:rsidRPr="00D03F3E">
        <w:rPr>
          <w:color w:val="000000" w:themeColor="text1"/>
          <w:sz w:val="16"/>
          <w:szCs w:val="16"/>
        </w:rPr>
        <w:t>К 22 мая 1943 года на ЧКЗ был готов эскизный проект Объекта 239. Ведущим инженером проекта являлся М.Ф. Балжи. Помимо расширения погона, в корпус вносился ряд других изменений. Радист из отделения управления убирался, рация перемещалась в башню, а в носовую часть корпуса переносились топливные баки. Согласно расчётам, боевая масса танка возрастала до 46,5 тонн. Заместитель наркома танковой промышленности и главный конструктор ЧКЗ Жозеф Яковлевич Котин был настроен продолжить разработку данного танка, но до поры до времени избегал огласки этого решения. Тем не менее руководство НКТП настояло на изготовлении опытного образца. В качестве базы для создания новой машины решили использовать второй образец КВ-1с с серийным номером 15002. Согласно первоначальному плану, сроком изготовления Объекта 239 определили 25 июня (17710).</w:t>
      </w:r>
    </w:p>
    <w:p w14:paraId="6B99F766" w14:textId="77777777" w:rsidR="0062502E" w:rsidRPr="00D03F3E" w:rsidRDefault="0062502E" w:rsidP="00D03F3E">
      <w:pPr>
        <w:spacing w:after="0" w:line="240" w:lineRule="auto"/>
        <w:jc w:val="both"/>
        <w:rPr>
          <w:rFonts w:ascii="Times New Roman" w:hAnsi="Times New Roman"/>
          <w:color w:val="000000" w:themeColor="text1"/>
          <w:sz w:val="16"/>
          <w:szCs w:val="16"/>
        </w:rPr>
      </w:pPr>
    </w:p>
    <w:p w14:paraId="0CB4ECE2" w14:textId="77777777" w:rsidR="0062502E" w:rsidRPr="00D03F3E" w:rsidRDefault="0062502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22 мая 1943 проект С-31 был рассмотрен Артиллерийским комитетом ГАУ КА. Больше всего вопросов вызвала новая башня, которая получалась не только более просторной, но и более тяжелой. Наличие полика делало более удобным работу расчета башни, но одновременно усложнило использование укладок в корпусе. Судьбу башни решили определить на большом совещании с участием представителей ГБТУ, Народного комиссариата вооружения (НКВ), ГАУ, НКТП и ЦАКБ.</w:t>
      </w:r>
    </w:p>
    <w:p w14:paraId="13F05213" w14:textId="77777777" w:rsidR="0062502E" w:rsidRPr="00D03F3E" w:rsidRDefault="0062502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Нашлись вопросы и к самому орудию. Вместо максимального угла возвышения в 30 градусов, указанного в ТТТ, проект предусматривал угол в 25 градусов, и это было признано приемлемым. Куда больше вопросов вызвала длина отката: ТТТ предусматривал откат в 350 мм, а расчёты ЦАКБ показали, вложиться меньше чем в 520 мм никак не получается. Артиллерийский комитет поставил задачу попытаться снизить длину отката. Здесь стоит заметить, что длина отката немецкого орудия 8.8 cm KwK 36 L/56 составляла 600 мм, и это при наличии дульного тормоза.</w:t>
      </w:r>
    </w:p>
    <w:p w14:paraId="058970AF" w14:textId="77777777" w:rsidR="0062502E" w:rsidRPr="00D03F3E" w:rsidRDefault="0062502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Также изначально в конструкции С-31 не предусматривался электроспуск соленоидного типа. По итогам совещания было получено указание установить его в ходе изготовления опытного образца (17698).</w:t>
      </w:r>
    </w:p>
    <w:p w14:paraId="04B48B85" w14:textId="77777777" w:rsidR="0062502E" w:rsidRPr="00D03F3E" w:rsidRDefault="0062502E" w:rsidP="00D03F3E">
      <w:pPr>
        <w:spacing w:after="0" w:line="240" w:lineRule="auto"/>
        <w:jc w:val="both"/>
        <w:rPr>
          <w:rFonts w:ascii="Times New Roman" w:hAnsi="Times New Roman"/>
          <w:color w:val="000000" w:themeColor="text1"/>
          <w:sz w:val="16"/>
          <w:szCs w:val="16"/>
        </w:rPr>
      </w:pPr>
    </w:p>
    <w:p w14:paraId="1D592BA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22 мая 1943 г. вышло РАСПОРЯЖЕНИЕ НАЧАЛЬНИКА УЭТ ГБТУ КА НАЧАЛЬНИКУ НИБТ ПОЛИГОНА О ПРОВЕДЕНИИ ИСПЫТАНИЯ ОБОГРЕВАТЕЛЯ №1162027 </w:t>
      </w:r>
    </w:p>
    <w:p w14:paraId="00ECAAA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приказанию заместителя начальника ГБТУ КА генерал-майора технических войск т. Лебедева срочно произведите испытание обогревателя типа «Эванс» модель НУ203464 для обо</w:t>
      </w:r>
      <w:r w:rsidRPr="00D03F3E">
        <w:rPr>
          <w:rFonts w:ascii="Times New Roman" w:hAnsi="Times New Roman"/>
          <w:color w:val="000000" w:themeColor="text1"/>
          <w:sz w:val="16"/>
          <w:szCs w:val="16"/>
        </w:rPr>
        <w:softHyphen/>
        <w:t>грева американского среднего танка М-3.</w:t>
      </w:r>
    </w:p>
    <w:p w14:paraId="125C256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испытании проверить: является ли обогреватель «Эванс» дополнением к установленному на танке вспомогательному генератору для подогрева двигателя танка в холодную погоду посредством теплоотдачи от электрического нагревательного элемента или является самостоятельным средством обогрева, исключающим электроподогрев.</w:t>
      </w:r>
    </w:p>
    <w:p w14:paraId="7413E4F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процессе испытания необходимо выяснить:</w:t>
      </w:r>
    </w:p>
    <w:p w14:paraId="3A43C96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Время розжига и готовность к работе.</w:t>
      </w:r>
    </w:p>
    <w:p w14:paraId="5593868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Расход горючего на 1 час работы.</w:t>
      </w:r>
    </w:p>
    <w:p w14:paraId="179DF09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Противопожарную безопасность.</w:t>
      </w:r>
    </w:p>
    <w:p w14:paraId="2124C0F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Максимальную продолжительность бесперебойной работы.</w:t>
      </w:r>
    </w:p>
    <w:p w14:paraId="1A0C200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Время, необходимое на монтаж и демонтаж обогревателя.</w:t>
      </w:r>
    </w:p>
    <w:p w14:paraId="5E353A8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Доступность контроля за работой обогревателя.</w:t>
      </w:r>
    </w:p>
    <w:p w14:paraId="3B14322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Подсчитать количество выделяемого тепла обогревателем и наивысшую температуру у сеток.</w:t>
      </w:r>
    </w:p>
    <w:p w14:paraId="10D4D07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Степень вредности газов при нахождении экипажа в танке.</w:t>
      </w:r>
    </w:p>
    <w:p w14:paraId="4F4E5E5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Циркуляцию и направление потоков нагретого воздуха от обогревателя.</w:t>
      </w:r>
    </w:p>
    <w:p w14:paraId="0C85114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положительных результатах испытания установить обогреватель «Эванс» на танках Т-34 и КВ и дать заключение о возможности их применения для обогрева двигателей и системы охлаждения. Бочек для горючего (небольшой емкости) следует установить на танках Т-34 и КВ дополнительно. Срок испытания к 10 июня с.г. Обогреватель и инструкцию к нему получить во 2-м отделе управления эксплуатации танков ГБТУ КА.</w:t>
      </w:r>
    </w:p>
    <w:p w14:paraId="67F4D86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управления эксплуатации танков ГБТУ КА генерал-майор инженерно-танковой службы Печеникин</w:t>
      </w:r>
    </w:p>
    <w:p w14:paraId="371F2B8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2 отдела УЭТ ГБТУ КА инженер-подполковник Слонов</w:t>
      </w:r>
    </w:p>
    <w:p w14:paraId="41D4DB4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11362. Д. 6. Л. 31. Подлинник (11403).</w:t>
      </w:r>
    </w:p>
    <w:p w14:paraId="1DEC8CA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6DCD16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мая 1943г. была подготовлен СПРАВКА НАЧАЛЬНИКА УПРАВЛЕНИЯ БРОНЕПОЕЗДОВ И БРОНЕМАШИН О ПОСТАВКЕ ГБТУ КА МОТОЦИКЛОВ С КОЛЯСКОЙ СОГЛАСНО ПОСТАНОВЛЕНИЮ ГОКО № 3057с ОТ 19.03.1943 г.</w:t>
      </w:r>
    </w:p>
    <w:tbl>
      <w:tblPr>
        <w:tblW w:w="0" w:type="auto"/>
        <w:tblInd w:w="40" w:type="dxa"/>
        <w:tblLayout w:type="fixed"/>
        <w:tblCellMar>
          <w:left w:w="40" w:type="dxa"/>
          <w:right w:w="40" w:type="dxa"/>
        </w:tblCellMar>
        <w:tblLook w:val="0000" w:firstRow="0" w:lastRow="0" w:firstColumn="0" w:lastColumn="0" w:noHBand="0" w:noVBand="0"/>
      </w:tblPr>
      <w:tblGrid>
        <w:gridCol w:w="1258"/>
        <w:gridCol w:w="1795"/>
        <w:gridCol w:w="653"/>
        <w:gridCol w:w="643"/>
        <w:gridCol w:w="643"/>
        <w:gridCol w:w="653"/>
        <w:gridCol w:w="653"/>
        <w:gridCol w:w="643"/>
        <w:gridCol w:w="653"/>
        <w:gridCol w:w="643"/>
        <w:gridCol w:w="653"/>
        <w:gridCol w:w="672"/>
      </w:tblGrid>
      <w:tr w:rsidR="00860B4B" w:rsidRPr="00D03F3E" w14:paraId="394D379E" w14:textId="77777777">
        <w:trPr>
          <w:trHeight w:val="230"/>
        </w:trPr>
        <w:tc>
          <w:tcPr>
            <w:tcW w:w="1258" w:type="dxa"/>
            <w:tcBorders>
              <w:top w:val="single" w:sz="6" w:space="0" w:color="auto"/>
              <w:left w:val="single" w:sz="6" w:space="0" w:color="auto"/>
              <w:bottom w:val="nil"/>
              <w:right w:val="single" w:sz="6" w:space="0" w:color="auto"/>
            </w:tcBorders>
          </w:tcPr>
          <w:p w14:paraId="305A94D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Наименование мотоциклетных заводов</w:t>
            </w:r>
          </w:p>
          <w:p w14:paraId="1E0BF07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795" w:type="dxa"/>
            <w:tcBorders>
              <w:top w:val="single" w:sz="6" w:space="0" w:color="auto"/>
              <w:left w:val="single" w:sz="6" w:space="0" w:color="auto"/>
              <w:bottom w:val="nil"/>
              <w:right w:val="single" w:sz="6" w:space="0" w:color="auto"/>
            </w:tcBorders>
          </w:tcPr>
          <w:p w14:paraId="4B13E2B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Марка мотоцикла</w:t>
            </w:r>
          </w:p>
          <w:p w14:paraId="54ED3AC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09" w:type="dxa"/>
            <w:gridSpan w:val="10"/>
            <w:tcBorders>
              <w:top w:val="single" w:sz="6" w:space="0" w:color="auto"/>
              <w:left w:val="single" w:sz="6" w:space="0" w:color="auto"/>
              <w:bottom w:val="single" w:sz="6" w:space="0" w:color="auto"/>
              <w:right w:val="single" w:sz="6" w:space="0" w:color="auto"/>
            </w:tcBorders>
          </w:tcPr>
          <w:p w14:paraId="2BF4DC4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 выпуска мотоциклов мотозаводами и колясок Горьковским автозаводам им. Молотова</w:t>
            </w:r>
          </w:p>
          <w:p w14:paraId="6BB27C0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2B6C611B" w14:textId="77777777">
        <w:trPr>
          <w:trHeight w:val="221"/>
        </w:trPr>
        <w:tc>
          <w:tcPr>
            <w:tcW w:w="1258" w:type="dxa"/>
            <w:tcBorders>
              <w:top w:val="nil"/>
              <w:left w:val="single" w:sz="6" w:space="0" w:color="auto"/>
              <w:bottom w:val="nil"/>
              <w:right w:val="single" w:sz="6" w:space="0" w:color="auto"/>
            </w:tcBorders>
          </w:tcPr>
          <w:p w14:paraId="625B73D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97848A9"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795" w:type="dxa"/>
            <w:tcBorders>
              <w:top w:val="nil"/>
              <w:left w:val="single" w:sz="6" w:space="0" w:color="auto"/>
              <w:bottom w:val="nil"/>
              <w:right w:val="single" w:sz="6" w:space="0" w:color="auto"/>
            </w:tcBorders>
          </w:tcPr>
          <w:p w14:paraId="46886CC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AC147DB"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296" w:type="dxa"/>
            <w:gridSpan w:val="2"/>
            <w:tcBorders>
              <w:top w:val="single" w:sz="6" w:space="0" w:color="auto"/>
              <w:left w:val="single" w:sz="6" w:space="0" w:color="auto"/>
              <w:bottom w:val="single" w:sz="6" w:space="0" w:color="auto"/>
              <w:right w:val="single" w:sz="6" w:space="0" w:color="auto"/>
            </w:tcBorders>
          </w:tcPr>
          <w:p w14:paraId="63EEA6A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март-апрель</w:t>
            </w:r>
          </w:p>
          <w:p w14:paraId="557C258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96" w:type="dxa"/>
            <w:gridSpan w:val="2"/>
            <w:tcBorders>
              <w:top w:val="single" w:sz="6" w:space="0" w:color="auto"/>
              <w:left w:val="single" w:sz="6" w:space="0" w:color="auto"/>
              <w:bottom w:val="single" w:sz="6" w:space="0" w:color="auto"/>
              <w:right w:val="single" w:sz="6" w:space="0" w:color="auto"/>
            </w:tcBorders>
          </w:tcPr>
          <w:p w14:paraId="16B8126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май</w:t>
            </w:r>
          </w:p>
          <w:p w14:paraId="2EA7681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96" w:type="dxa"/>
            <w:gridSpan w:val="2"/>
            <w:tcBorders>
              <w:top w:val="single" w:sz="6" w:space="0" w:color="auto"/>
              <w:left w:val="single" w:sz="6" w:space="0" w:color="auto"/>
              <w:bottom w:val="single" w:sz="6" w:space="0" w:color="auto"/>
              <w:right w:val="single" w:sz="6" w:space="0" w:color="auto"/>
            </w:tcBorders>
          </w:tcPr>
          <w:p w14:paraId="67501BC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июнь</w:t>
            </w:r>
          </w:p>
          <w:p w14:paraId="0747A08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96" w:type="dxa"/>
            <w:gridSpan w:val="2"/>
            <w:tcBorders>
              <w:top w:val="single" w:sz="6" w:space="0" w:color="auto"/>
              <w:left w:val="single" w:sz="6" w:space="0" w:color="auto"/>
              <w:bottom w:val="single" w:sz="6" w:space="0" w:color="auto"/>
              <w:right w:val="single" w:sz="6" w:space="0" w:color="auto"/>
            </w:tcBorders>
          </w:tcPr>
          <w:p w14:paraId="61E71E9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июль</w:t>
            </w:r>
          </w:p>
          <w:p w14:paraId="7A8D206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25" w:type="dxa"/>
            <w:gridSpan w:val="2"/>
            <w:tcBorders>
              <w:top w:val="single" w:sz="6" w:space="0" w:color="auto"/>
              <w:left w:val="single" w:sz="6" w:space="0" w:color="auto"/>
              <w:bottom w:val="single" w:sz="6" w:space="0" w:color="auto"/>
              <w:right w:val="single" w:sz="6" w:space="0" w:color="auto"/>
            </w:tcBorders>
          </w:tcPr>
          <w:p w14:paraId="13210D4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w:t>
            </w:r>
          </w:p>
          <w:p w14:paraId="7607FC7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35C684E1" w14:textId="77777777">
        <w:trPr>
          <w:trHeight w:val="374"/>
        </w:trPr>
        <w:tc>
          <w:tcPr>
            <w:tcW w:w="1258" w:type="dxa"/>
            <w:tcBorders>
              <w:top w:val="nil"/>
              <w:left w:val="single" w:sz="6" w:space="0" w:color="auto"/>
              <w:bottom w:val="single" w:sz="6" w:space="0" w:color="auto"/>
              <w:right w:val="single" w:sz="6" w:space="0" w:color="auto"/>
            </w:tcBorders>
          </w:tcPr>
          <w:p w14:paraId="77D60B9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986B3CF"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795" w:type="dxa"/>
            <w:tcBorders>
              <w:top w:val="nil"/>
              <w:left w:val="single" w:sz="6" w:space="0" w:color="auto"/>
              <w:bottom w:val="single" w:sz="6" w:space="0" w:color="auto"/>
              <w:right w:val="single" w:sz="6" w:space="0" w:color="auto"/>
            </w:tcBorders>
          </w:tcPr>
          <w:p w14:paraId="6FACE90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774DA21"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38E1188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w:t>
            </w:r>
            <w:r w:rsidRPr="00D03F3E">
              <w:rPr>
                <w:rFonts w:ascii="Times New Roman" w:hAnsi="Times New Roman"/>
                <w:color w:val="000000" w:themeColor="text1"/>
                <w:sz w:val="16"/>
                <w:szCs w:val="16"/>
              </w:rPr>
              <w:softHyphen/>
              <w:t>циклы</w:t>
            </w:r>
          </w:p>
          <w:p w14:paraId="2E75D1A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8F89D6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коляски</w:t>
            </w:r>
          </w:p>
          <w:p w14:paraId="74BB58E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24F542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w:t>
            </w:r>
            <w:r w:rsidRPr="00D03F3E">
              <w:rPr>
                <w:rFonts w:ascii="Times New Roman" w:hAnsi="Times New Roman"/>
                <w:color w:val="000000" w:themeColor="text1"/>
                <w:sz w:val="16"/>
                <w:szCs w:val="16"/>
              </w:rPr>
              <w:softHyphen/>
              <w:t>циклы</w:t>
            </w:r>
          </w:p>
          <w:p w14:paraId="485BAD0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00A28C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коляски</w:t>
            </w:r>
          </w:p>
          <w:p w14:paraId="20CC4E5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58E526F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w:t>
            </w:r>
            <w:r w:rsidRPr="00D03F3E">
              <w:rPr>
                <w:rFonts w:ascii="Times New Roman" w:hAnsi="Times New Roman"/>
                <w:color w:val="000000" w:themeColor="text1"/>
                <w:sz w:val="16"/>
                <w:szCs w:val="16"/>
              </w:rPr>
              <w:softHyphen/>
              <w:t>циклы</w:t>
            </w:r>
          </w:p>
          <w:p w14:paraId="6A15637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194D45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коляски</w:t>
            </w:r>
          </w:p>
          <w:p w14:paraId="55A31C3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6D7D770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w:t>
            </w:r>
            <w:r w:rsidRPr="00D03F3E">
              <w:rPr>
                <w:rFonts w:ascii="Times New Roman" w:hAnsi="Times New Roman"/>
                <w:color w:val="000000" w:themeColor="text1"/>
                <w:sz w:val="16"/>
                <w:szCs w:val="16"/>
              </w:rPr>
              <w:softHyphen/>
              <w:t>циклы</w:t>
            </w:r>
          </w:p>
          <w:p w14:paraId="014CA26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3FF5FA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коляски</w:t>
            </w:r>
          </w:p>
          <w:p w14:paraId="2705446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101E651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w:t>
            </w:r>
            <w:r w:rsidRPr="00D03F3E">
              <w:rPr>
                <w:rFonts w:ascii="Times New Roman" w:hAnsi="Times New Roman"/>
                <w:color w:val="000000" w:themeColor="text1"/>
                <w:sz w:val="16"/>
                <w:szCs w:val="16"/>
              </w:rPr>
              <w:softHyphen/>
              <w:t>циклы</w:t>
            </w:r>
          </w:p>
          <w:p w14:paraId="7919AB6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68D16C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коляски</w:t>
            </w:r>
          </w:p>
          <w:p w14:paraId="452EF70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0CD1FDCC" w14:textId="77777777">
        <w:trPr>
          <w:trHeight w:val="230"/>
        </w:trPr>
        <w:tc>
          <w:tcPr>
            <w:tcW w:w="1258" w:type="dxa"/>
            <w:tcBorders>
              <w:top w:val="single" w:sz="6" w:space="0" w:color="auto"/>
              <w:left w:val="single" w:sz="6" w:space="0" w:color="auto"/>
              <w:bottom w:val="single" w:sz="6" w:space="0" w:color="auto"/>
              <w:right w:val="single" w:sz="6" w:space="0" w:color="auto"/>
            </w:tcBorders>
          </w:tcPr>
          <w:p w14:paraId="1BE4895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Ирбитский</w:t>
            </w:r>
          </w:p>
          <w:p w14:paraId="297509F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0A0C609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М-72</w:t>
            </w:r>
          </w:p>
          <w:p w14:paraId="17E321A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7F8DF8F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550</w:t>
            </w:r>
          </w:p>
          <w:p w14:paraId="0495605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19DDB6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550</w:t>
            </w:r>
          </w:p>
          <w:p w14:paraId="4FF794B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81088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350</w:t>
            </w:r>
          </w:p>
          <w:p w14:paraId="5D531D7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589DC6A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350</w:t>
            </w:r>
          </w:p>
          <w:p w14:paraId="37D9E00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3C739E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450</w:t>
            </w:r>
          </w:p>
          <w:p w14:paraId="3A9610F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A159EB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450</w:t>
            </w:r>
          </w:p>
          <w:p w14:paraId="1A77655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7176B8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550</w:t>
            </w:r>
          </w:p>
          <w:p w14:paraId="7283A74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FB62DF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550</w:t>
            </w:r>
          </w:p>
          <w:p w14:paraId="4B0EDD8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1454B09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1900</w:t>
            </w:r>
          </w:p>
          <w:p w14:paraId="1006C3E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6E96603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1900</w:t>
            </w:r>
          </w:p>
          <w:p w14:paraId="19F5FC0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069C61CE" w14:textId="77777777">
        <w:trPr>
          <w:trHeight w:val="230"/>
        </w:trPr>
        <w:tc>
          <w:tcPr>
            <w:tcW w:w="1258" w:type="dxa"/>
            <w:tcBorders>
              <w:top w:val="single" w:sz="6" w:space="0" w:color="auto"/>
              <w:left w:val="single" w:sz="6" w:space="0" w:color="auto"/>
              <w:bottom w:val="single" w:sz="6" w:space="0" w:color="auto"/>
              <w:right w:val="single" w:sz="6" w:space="0" w:color="auto"/>
            </w:tcBorders>
          </w:tcPr>
          <w:p w14:paraId="6F02348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Горьковский</w:t>
            </w:r>
          </w:p>
          <w:p w14:paraId="42A517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52948C1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М-72</w:t>
            </w:r>
          </w:p>
          <w:p w14:paraId="27CEF46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4983913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w:t>
            </w:r>
          </w:p>
          <w:p w14:paraId="576633A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6D9987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w:t>
            </w:r>
          </w:p>
          <w:p w14:paraId="64BAE98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19E4AF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w:t>
            </w:r>
          </w:p>
          <w:p w14:paraId="60ADEA6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B0625C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w:t>
            </w:r>
          </w:p>
          <w:p w14:paraId="05E4B55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320C8C5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p w14:paraId="26719E8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FDAA91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w:t>
            </w:r>
          </w:p>
          <w:p w14:paraId="32956BE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2958B49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p w14:paraId="4B15BA0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1B8DC9C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p w14:paraId="2983869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35CFA69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p w14:paraId="7A362D1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0B6BD2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p w14:paraId="42886BC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2C13338F" w14:textId="77777777">
        <w:trPr>
          <w:trHeight w:val="221"/>
        </w:trPr>
        <w:tc>
          <w:tcPr>
            <w:tcW w:w="1258" w:type="dxa"/>
            <w:tcBorders>
              <w:top w:val="single" w:sz="6" w:space="0" w:color="auto"/>
              <w:left w:val="single" w:sz="6" w:space="0" w:color="auto"/>
              <w:bottom w:val="single" w:sz="6" w:space="0" w:color="auto"/>
              <w:right w:val="single" w:sz="6" w:space="0" w:color="auto"/>
            </w:tcBorders>
          </w:tcPr>
          <w:p w14:paraId="3860D68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Тюменский</w:t>
            </w:r>
          </w:p>
          <w:p w14:paraId="7611F55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29FD183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АМ-600</w:t>
            </w:r>
          </w:p>
          <w:p w14:paraId="6D95DBB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291A624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p w14:paraId="743A22F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55CA61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w:t>
            </w:r>
          </w:p>
          <w:p w14:paraId="7E5C8F1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FEAD50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p w14:paraId="2EFC304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1BD43A5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p w14:paraId="37CE870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91DE6B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w:t>
            </w:r>
          </w:p>
          <w:p w14:paraId="5B28BA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4894B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w:t>
            </w:r>
          </w:p>
          <w:p w14:paraId="623380D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6CE3AB7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w:t>
            </w:r>
          </w:p>
          <w:p w14:paraId="75353CB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1666D52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w:t>
            </w:r>
          </w:p>
          <w:p w14:paraId="020D0F1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4A07D25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w:t>
            </w:r>
          </w:p>
          <w:p w14:paraId="291D6BA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68B72BB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w:t>
            </w:r>
          </w:p>
          <w:p w14:paraId="56162EE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7DBC3450" w14:textId="77777777">
        <w:trPr>
          <w:trHeight w:val="422"/>
        </w:trPr>
        <w:tc>
          <w:tcPr>
            <w:tcW w:w="1258" w:type="dxa"/>
            <w:tcBorders>
              <w:top w:val="single" w:sz="6" w:space="0" w:color="auto"/>
              <w:left w:val="single" w:sz="6" w:space="0" w:color="auto"/>
              <w:bottom w:val="nil"/>
              <w:right w:val="single" w:sz="6" w:space="0" w:color="auto"/>
            </w:tcBorders>
          </w:tcPr>
          <w:p w14:paraId="77ADB94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Московский</w:t>
            </w:r>
          </w:p>
          <w:p w14:paraId="5EA9F22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38BC54E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трофейные, разных марок</w:t>
            </w:r>
          </w:p>
          <w:p w14:paraId="2C130B3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71A25E9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w:t>
            </w:r>
          </w:p>
          <w:p w14:paraId="7D140C1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51FC50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ED5E00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E00418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p w14:paraId="4ADE17A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453F46E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790CE5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794883B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DF218C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BAEBDD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9B6296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5C5EA90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68791A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9EC06F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ED4144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691A22B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350</w:t>
            </w:r>
          </w:p>
          <w:p w14:paraId="2AB267D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1945DCF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83B15B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0A040B4B" w14:textId="77777777">
        <w:trPr>
          <w:trHeight w:val="432"/>
        </w:trPr>
        <w:tc>
          <w:tcPr>
            <w:tcW w:w="1258" w:type="dxa"/>
            <w:tcBorders>
              <w:top w:val="nil"/>
              <w:left w:val="single" w:sz="6" w:space="0" w:color="auto"/>
              <w:bottom w:val="single" w:sz="6" w:space="0" w:color="auto"/>
              <w:right w:val="single" w:sz="6" w:space="0" w:color="auto"/>
            </w:tcBorders>
          </w:tcPr>
          <w:p w14:paraId="382FDB6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F01898A"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19063BA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Индиан с коляской М-72</w:t>
            </w:r>
          </w:p>
          <w:p w14:paraId="1F2BBC0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6BD844A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w:t>
            </w:r>
          </w:p>
          <w:p w14:paraId="62CDE59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FEEFED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w:t>
            </w:r>
          </w:p>
          <w:p w14:paraId="5EB2940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3E4E2C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p w14:paraId="7EDC9BC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7051C11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p w14:paraId="0B69836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69E387A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w:t>
            </w:r>
          </w:p>
          <w:p w14:paraId="58D7B4B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63D6A6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w:t>
            </w:r>
          </w:p>
          <w:p w14:paraId="5D2911D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B9F60E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w:t>
            </w:r>
          </w:p>
          <w:p w14:paraId="7C55E71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68F67C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w:t>
            </w:r>
          </w:p>
          <w:p w14:paraId="468BF71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293B62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1600</w:t>
            </w:r>
          </w:p>
          <w:p w14:paraId="77BFCCD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1422F3D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1600</w:t>
            </w:r>
          </w:p>
          <w:p w14:paraId="1BF1101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3E6CA660" w14:textId="77777777">
        <w:trPr>
          <w:trHeight w:val="432"/>
        </w:trPr>
        <w:tc>
          <w:tcPr>
            <w:tcW w:w="1258" w:type="dxa"/>
            <w:tcBorders>
              <w:top w:val="single" w:sz="6" w:space="0" w:color="auto"/>
              <w:left w:val="single" w:sz="6" w:space="0" w:color="auto"/>
              <w:bottom w:val="nil"/>
              <w:right w:val="single" w:sz="6" w:space="0" w:color="auto"/>
            </w:tcBorders>
          </w:tcPr>
          <w:p w14:paraId="5831FF2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Серпуховской</w:t>
            </w:r>
          </w:p>
          <w:p w14:paraId="1116833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27B58F9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трофейные, разных марок</w:t>
            </w:r>
          </w:p>
          <w:p w14:paraId="7B52FBF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3999C1B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p w14:paraId="5AAA961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D4C410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1667EA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414DA5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p w14:paraId="0F089B5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583B1AE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E83539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3F2B0C5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p w14:paraId="7184637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EE845C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FCA188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771C755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p w14:paraId="19CDA90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1DB1EA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p w14:paraId="4E34D39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5BA58A7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w:t>
            </w:r>
          </w:p>
          <w:p w14:paraId="78BED75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4C572C9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755B77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682AA681" w14:textId="77777777">
        <w:trPr>
          <w:trHeight w:val="422"/>
        </w:trPr>
        <w:tc>
          <w:tcPr>
            <w:tcW w:w="1258" w:type="dxa"/>
            <w:tcBorders>
              <w:top w:val="nil"/>
              <w:left w:val="single" w:sz="6" w:space="0" w:color="auto"/>
              <w:bottom w:val="single" w:sz="6" w:space="0" w:color="auto"/>
              <w:right w:val="single" w:sz="6" w:space="0" w:color="auto"/>
            </w:tcBorders>
          </w:tcPr>
          <w:p w14:paraId="69378FA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38F179F"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7389DE5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Индиан с коляской М-72</w:t>
            </w:r>
          </w:p>
          <w:p w14:paraId="0B23968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6F53B59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w:t>
            </w:r>
          </w:p>
          <w:p w14:paraId="796AC3F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FEDA23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w:t>
            </w:r>
          </w:p>
          <w:p w14:paraId="2A75FC9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B670A9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p w14:paraId="0B0CFF8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CB3568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p w14:paraId="570C32C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A04775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p w14:paraId="68636B9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92487E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p w14:paraId="197DA9C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4E694A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p w14:paraId="1CE28DD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A680E2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p w14:paraId="44F4C07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7C88998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1300</w:t>
            </w:r>
          </w:p>
          <w:p w14:paraId="1F77ADE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4D56941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1300</w:t>
            </w:r>
          </w:p>
          <w:p w14:paraId="0D7BF9C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5A9659A3" w14:textId="77777777">
        <w:trPr>
          <w:trHeight w:val="250"/>
        </w:trPr>
        <w:tc>
          <w:tcPr>
            <w:tcW w:w="1258" w:type="dxa"/>
            <w:tcBorders>
              <w:top w:val="single" w:sz="6" w:space="0" w:color="auto"/>
              <w:left w:val="single" w:sz="6" w:space="0" w:color="auto"/>
              <w:bottom w:val="single" w:sz="6" w:space="0" w:color="auto"/>
              <w:right w:val="single" w:sz="6" w:space="0" w:color="auto"/>
            </w:tcBorders>
          </w:tcPr>
          <w:p w14:paraId="474280D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p w14:paraId="5D54EF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1E861A3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9A7864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4AD6CEF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1600</w:t>
            </w:r>
          </w:p>
          <w:p w14:paraId="2DCDF78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19CBE5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1450</w:t>
            </w:r>
          </w:p>
          <w:p w14:paraId="053E1AF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A9C708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1400</w:t>
            </w:r>
          </w:p>
          <w:p w14:paraId="1E9506B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562F6C0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1250</w:t>
            </w:r>
          </w:p>
          <w:p w14:paraId="744F2DD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1C9D816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1900</w:t>
            </w:r>
          </w:p>
          <w:p w14:paraId="6179CAD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1867A16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1750</w:t>
            </w:r>
          </w:p>
          <w:p w14:paraId="5AA8AE1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142B538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2100</w:t>
            </w:r>
          </w:p>
          <w:p w14:paraId="5D2FBA6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B0EFE4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2100</w:t>
            </w:r>
          </w:p>
          <w:p w14:paraId="593CA84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70F98A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7000</w:t>
            </w:r>
          </w:p>
          <w:p w14:paraId="7C5F629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7255BEE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6400</w:t>
            </w:r>
          </w:p>
          <w:p w14:paraId="5E89769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bl>
    <w:p w14:paraId="54F9AE8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 1) Мотоциклы М-72 и АМ-600 Ирбитского, Тюменского мотозаводов укомплекто</w:t>
      </w:r>
      <w:r w:rsidRPr="00D03F3E">
        <w:rPr>
          <w:rFonts w:ascii="Times New Roman" w:hAnsi="Times New Roman"/>
          <w:color w:val="000000" w:themeColor="text1"/>
          <w:sz w:val="16"/>
          <w:szCs w:val="16"/>
        </w:rPr>
        <w:softHyphen/>
        <w:t>вываются колясками на Московском мотозаводе.</w:t>
      </w:r>
    </w:p>
    <w:p w14:paraId="09AA96D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Поставка запасных частей предусмотрена постановлением ГОКО только для двух марок мотоциклов М-72 и АМ-600 ежемесячно по 500 тыс. руб.</w:t>
      </w:r>
    </w:p>
    <w:p w14:paraId="706894D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управления бронепоездов и бронемашин ГБТУ КА</w:t>
      </w:r>
    </w:p>
    <w:p w14:paraId="772399F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генерал-майор танковых войск Чернов</w:t>
      </w:r>
    </w:p>
    <w:p w14:paraId="2BD6245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11358. Д. 939. Л. 68. Подлинник (11403).</w:t>
      </w:r>
    </w:p>
    <w:p w14:paraId="513D23C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1935587"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22 мая 1943 года вышел приказ № 292сс НКТП</w:t>
      </w:r>
    </w:p>
    <w:p w14:paraId="7C44DEA7"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В соответствии с постановлением ГОКО от 12 апреля 1943 года № 3165с:</w:t>
      </w:r>
    </w:p>
    <w:p w14:paraId="791E98DC"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Завод зуборезных станков Наркомата станкостроения в Саратове считать принятым НКТП в ведение ГУРТа.</w:t>
      </w:r>
    </w:p>
    <w:p w14:paraId="25DB3B37"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Заводу зуборезных станков присвоить № 44 (директор Казаков Виктор Дмитриевич) (6135, 379-377).</w:t>
      </w:r>
    </w:p>
    <w:p w14:paraId="667B7A3B" w14:textId="77777777" w:rsidR="00531570" w:rsidRPr="00D03F3E" w:rsidRDefault="00531570" w:rsidP="00D03F3E">
      <w:pPr>
        <w:pStyle w:val="Iauiue"/>
        <w:tabs>
          <w:tab w:val="left" w:pos="11199"/>
        </w:tabs>
        <w:jc w:val="both"/>
        <w:rPr>
          <w:color w:val="000000" w:themeColor="text1"/>
          <w:sz w:val="16"/>
          <w:szCs w:val="16"/>
        </w:rPr>
      </w:pPr>
    </w:p>
    <w:p w14:paraId="2A0D0DB0"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22 мая 1943 года вышел приказ № 296сс НКТП</w:t>
      </w:r>
    </w:p>
    <w:p w14:paraId="51D2F420"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В соответствии с постановлением ГОКО от 12 апреля 1943 года № 3165с:</w:t>
      </w:r>
    </w:p>
    <w:p w14:paraId="24EC4BA4"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Машиностроительный завод “Коммунист” в Марксе с его филиалом в Энгельсе считать принятым НКТП с подчинением ГУРТу.</w:t>
      </w:r>
    </w:p>
    <w:p w14:paraId="181E8828"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Машиностроительному заводу в Марксе с его филиалом в Энгельсе присвоить № 45 (директор Лисин Иван Иванович) (6135, 404-403).</w:t>
      </w:r>
    </w:p>
    <w:p w14:paraId="665A1522" w14:textId="77777777" w:rsidR="00531570" w:rsidRPr="00D03F3E" w:rsidRDefault="00531570" w:rsidP="00D03F3E">
      <w:pPr>
        <w:pStyle w:val="Iauiue"/>
        <w:tabs>
          <w:tab w:val="left" w:pos="11199"/>
        </w:tabs>
        <w:jc w:val="both"/>
        <w:rPr>
          <w:color w:val="000000" w:themeColor="text1"/>
          <w:sz w:val="16"/>
          <w:szCs w:val="16"/>
        </w:rPr>
      </w:pPr>
    </w:p>
    <w:p w14:paraId="28E9B8C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мая 1943 вышло Распоряжение ГКО № 3408. О приравнивании рабочих, ИТР и руководящих работников Ишимбаевской электростанции и электросетей НКНП по уровню зарплаты к работникам HКЭС.РГАНИР, Фонд ГКО, д. 119, лл. 26 (11012).</w:t>
      </w:r>
    </w:p>
    <w:p w14:paraId="29638F8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B86F07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мая 1943 вышло Распоряжение ГКО № 3409. О помощи строительству линии электропередачи в гор. Актюбинске.РГАНИР, Фонд ГКО, д. 119, лл. 27 (11012).</w:t>
      </w:r>
    </w:p>
    <w:p w14:paraId="32C3A95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7448417"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22 мая 1943 вышло Постановление ГКО № 3410 О производстве новых паровозов в 1943 году и подготовке мощностей к производству их в 1944 году. (7109, 28-47,48-91).</w:t>
      </w:r>
    </w:p>
    <w:p w14:paraId="3A8C2825" w14:textId="77777777" w:rsidR="00531570" w:rsidRPr="00D03F3E" w:rsidRDefault="00531570" w:rsidP="00D03F3E">
      <w:pPr>
        <w:pStyle w:val="Iauiue"/>
        <w:tabs>
          <w:tab w:val="left" w:pos="11199"/>
        </w:tabs>
        <w:jc w:val="both"/>
        <w:rPr>
          <w:color w:val="000000" w:themeColor="text1"/>
          <w:sz w:val="16"/>
          <w:szCs w:val="16"/>
        </w:rPr>
      </w:pPr>
    </w:p>
    <w:p w14:paraId="2DECD95A"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22 мая 1943 вышло Постановление ГКО № 3411 О мероприятиях по улучшению качества подготовки и увеличению выпуска инженеров по вооружению, боеприпасам, точному приборостроению, общему машиностроению и паротехнике. (7109, 92-94,95).</w:t>
      </w:r>
    </w:p>
    <w:p w14:paraId="725B173A" w14:textId="77777777" w:rsidR="00531570" w:rsidRPr="00D03F3E" w:rsidRDefault="00531570" w:rsidP="00D03F3E">
      <w:pPr>
        <w:pStyle w:val="Iauiue"/>
        <w:tabs>
          <w:tab w:val="left" w:pos="11199"/>
        </w:tabs>
        <w:jc w:val="both"/>
        <w:rPr>
          <w:color w:val="000000" w:themeColor="text1"/>
          <w:sz w:val="16"/>
          <w:szCs w:val="16"/>
        </w:rPr>
      </w:pPr>
    </w:p>
    <w:p w14:paraId="2B96FB7E"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22 мая 1943 вышло Постановление ГКО № 3412 Об организации Всесоюзного социалистического соревнования предприятий и трестов Наркомавиапрома, осуществляющих лесодровозаготовки. (7109, 96,97-98).</w:t>
      </w:r>
    </w:p>
    <w:p w14:paraId="5A3AC825" w14:textId="77777777" w:rsidR="00531570" w:rsidRPr="00D03F3E" w:rsidRDefault="00531570" w:rsidP="00D03F3E">
      <w:pPr>
        <w:pStyle w:val="Iauiue"/>
        <w:tabs>
          <w:tab w:val="left" w:pos="11199"/>
        </w:tabs>
        <w:jc w:val="both"/>
        <w:rPr>
          <w:color w:val="000000" w:themeColor="text1"/>
          <w:sz w:val="16"/>
          <w:szCs w:val="16"/>
        </w:rPr>
      </w:pPr>
    </w:p>
    <w:p w14:paraId="1C1D163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мая 1943 вышло Постановление ГКО № 3416 О мероприятиях по обеспечению строительства завода турбокислородных установок Главкислорода при Совнаркоме СССР.РГАНИР, Фонд ГКО, д. 119, лл. 103-105, 106-108 (11012).</w:t>
      </w:r>
    </w:p>
    <w:p w14:paraId="22E9657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EE55B6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мая 1943 вышло Распоряжение ГКО № 3417. О выделении в мае 1943 г. 800 военнообязанных не годных к строевой службе для заводов НКСМ.РГАНИР, Фонд ГКО, д. 119, лл. 109 (11012).</w:t>
      </w:r>
    </w:p>
    <w:p w14:paraId="6FF0062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6283B76"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22 мая 1943 вышло Постановление ГКО № 3418 О предоставлении отсрочки от призыва в Красную Армию рабочим и инженерно-техническим работникам рождения 1922-1925 гг., работающим на Горьковском автозаводе им. Молотова Hаркомсредмаша. (7109, 110).</w:t>
      </w:r>
    </w:p>
    <w:p w14:paraId="307E1A79" w14:textId="77777777" w:rsidR="00531570" w:rsidRPr="00D03F3E" w:rsidRDefault="00531570" w:rsidP="00D03F3E">
      <w:pPr>
        <w:pStyle w:val="Iauiue"/>
        <w:tabs>
          <w:tab w:val="left" w:pos="11199"/>
        </w:tabs>
        <w:jc w:val="both"/>
        <w:rPr>
          <w:color w:val="000000" w:themeColor="text1"/>
          <w:sz w:val="16"/>
          <w:szCs w:val="16"/>
        </w:rPr>
      </w:pPr>
    </w:p>
    <w:p w14:paraId="70CA706A"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22 мая 1943 вышло Постановление ГКО № 3419 О предоставлении отсрочки от призыва в Красную Армию рабочим строительных и рабочих колонн, работающим на Горьковском автозаводе им. Молотова Наркомсредмаша. (7109, 111).</w:t>
      </w:r>
    </w:p>
    <w:p w14:paraId="21479842" w14:textId="77777777" w:rsidR="00531570" w:rsidRPr="00D03F3E" w:rsidRDefault="00531570" w:rsidP="00D03F3E">
      <w:pPr>
        <w:pStyle w:val="Iauiue"/>
        <w:tabs>
          <w:tab w:val="left" w:pos="11199"/>
        </w:tabs>
        <w:jc w:val="both"/>
        <w:rPr>
          <w:color w:val="000000" w:themeColor="text1"/>
          <w:sz w:val="16"/>
          <w:szCs w:val="16"/>
        </w:rPr>
      </w:pPr>
    </w:p>
    <w:p w14:paraId="52A8D84B"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327E978E" w14:textId="77777777" w:rsidR="00531570" w:rsidRPr="00D03F3E" w:rsidRDefault="00531570" w:rsidP="00D03F3E">
      <w:pPr>
        <w:pStyle w:val="Iauiue"/>
        <w:jc w:val="both"/>
        <w:rPr>
          <w:iCs/>
          <w:color w:val="000000" w:themeColor="text1"/>
          <w:sz w:val="16"/>
          <w:szCs w:val="16"/>
        </w:rPr>
      </w:pPr>
    </w:p>
    <w:p w14:paraId="3D88E20D"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22 мая</w:t>
      </w:r>
      <w:r w:rsidRPr="00D03F3E">
        <w:rPr>
          <w:rFonts w:ascii="Times New Roman" w:hAnsi="Times New Roman"/>
          <w:color w:val="000000" w:themeColor="text1"/>
          <w:sz w:val="16"/>
          <w:szCs w:val="16"/>
        </w:rPr>
        <w:t xml:space="preserve"> в 1943 году утреннее сообщение Совинформбюро:</w:t>
      </w:r>
    </w:p>
    <w:p w14:paraId="4754E0CB"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22 мая на фронте ничего существенного не произошло.</w:t>
      </w:r>
    </w:p>
    <w:p w14:paraId="1E409DF2"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Северо-восточнее Новороссийска наши артиллеристы уничтожили 2 немецких танка, 8 пулемётных точек, противотанковое орудие, разрушили несколько блиндажей и взорвали склад противника с боеприпасами.</w:t>
      </w:r>
    </w:p>
    <w:p w14:paraId="2FF80A5B"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уничтожили 35 автомашин противника и истребили до 300 немецких солдат и офицеров. На одном участке артиллерийским огнём уничтожен немецкий самолёт, приземлившийся в районе позиций противника.</w:t>
      </w:r>
    </w:p>
    <w:p w14:paraId="59B21CCC"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разведчики Н-ской части обнаружили взвод немецких сапёров, устанавливавших мины. Наши бойцы напали на гитлеровцев и уничтожили тех из них, кто оказал сопротивление. Несколько немецких солдат взято в плен.</w:t>
      </w:r>
    </w:p>
    <w:p w14:paraId="2107B2DA"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продолжалась редкая артиллерийско-миномётная перестрелка. Огнём артиллерии и миномётов разрушено 10 блиндажей и 3 наблюдательных пункта, подавлен огонь нескольких миномётных батарей противника.</w:t>
      </w:r>
    </w:p>
    <w:p w14:paraId="3F650886"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подразделения истребили свыше роты пехоты противника, разрушили 9 дзотов и 5 блиндажей, уничтожили 6 автомашин и 5 повозок с грузами. Снайпер гвардии сержант Фёдор Вишнев заметил немецкую автомашину с походной кухней. Снайпер убил шофёра, а затем бронебойно-зажигательными пулями поджёг автомашину. Несколько немецких солдат выбежали из землянок и пытались потушить огонь, охвативший машину. Меткими выстрелами Вишнев убил ещё четырёх гитлеровцев.</w:t>
      </w:r>
    </w:p>
    <w:p w14:paraId="2204C06B"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латвийских партизан в бою с численно превосходящими силами противника истребил более 100 немецких солдат и офицеров и взял 15 пленных. Захвачено у противника 5 пулемётов, несколько десятков автоматов и много патронов. Группа партизан этого же отряда напала на команду гитлеровцев, грабившую крестьян окрестных деревень. Советские патриоты истребили фашистских бандитов. Скот, продукты и вещи, награбленные немцами у населения, возвращены их владельцам.</w:t>
      </w:r>
    </w:p>
    <w:p w14:paraId="2B568424"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ефрейтор 3 полка 21 немецкой авиапехотной дивизии Гельмут К. рассказал: «Английская авиация произвела большие опустошения во многих городах Германии. В Дуйсбурге разрушены завод электролитов, сталелитейный завод, центральный вокзал и другие предприятия. В Гамбурге бомбами, сброшенными англичанами, уничтожено много предприятий. Особенно сильно пострадали от воздушных бомбардировок судостроительные верфи Блом и Фосс. В Берлине также произведены большие разрушения. Я видел развалины фабрики неоновых ламп, мясозавода, консервной фабрики, и других предприятий, а также зданий государственных учреждений. Массированные налёты на Германию вызвали растерянность. Все видят беспомощность и слабость немецких воздушных сил. Отправляясь в бомбоубежище, немцы проклинают нацистов, затеявших эту войну.</w:t>
      </w:r>
    </w:p>
    <w:p w14:paraId="3118268E"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Геринг когда-то уверял, что ни один вражеский самолёт никогда не появится над территорией Германии. Вспоминая бахвальство Геринга, многие теперь говорят: «Действительно, вражеский самолёт никогда не прилетает в Германию один. Самолёты прилетают сотнями и притом не только ночью, но даже днём».</w:t>
      </w:r>
    </w:p>
    <w:p w14:paraId="068BE863"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Вырвавшийся из фашистского плена житель города Таганрога Виктор Гудов рассказал: «В городе царит дикий произвол. За время оккупации немецкие палачи расстреляли в районе Петрушанской балки много тысяч мирных жителей города Таганрога и его окрестностей. В марте немецкие варвары в той же Петрушанской балке замучили насмерть 40 рыбаков. Перед казнью их заставили выкопать себе могилы. Фашистские звери бросали в ямы живых людей и засыпали их землёй».</w:t>
      </w:r>
    </w:p>
    <w:p w14:paraId="405EC66D"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Французские патриоты нарушают железнодорожные коммуникации немцев и выводят из строя подвижной состав. В районе Урвилля группа французов взорвала железнодорожный мост. В департаменте Соммы вольные стрелки пустили под откос четыре немецких эшелона. При крушениях разбито 110 вагонов и 3 паровоза. Убито 27 и ранено 37 гитлеровцев. В Френье вольные стрелки рассеяли отряд жандармов и освободили из тюрьмы рабочих, отказавшихся ехать на каторгу в Германию.» (14899).</w:t>
      </w:r>
    </w:p>
    <w:p w14:paraId="0EEF20BD" w14:textId="77777777" w:rsidR="00354EBF" w:rsidRPr="00D03F3E" w:rsidRDefault="00354EBF" w:rsidP="00D03F3E">
      <w:pPr>
        <w:spacing w:after="0" w:line="240" w:lineRule="auto"/>
        <w:jc w:val="both"/>
        <w:rPr>
          <w:rFonts w:ascii="Times New Roman" w:hAnsi="Times New Roman"/>
          <w:color w:val="000000" w:themeColor="text1"/>
          <w:sz w:val="16"/>
          <w:szCs w:val="16"/>
        </w:rPr>
      </w:pPr>
    </w:p>
    <w:p w14:paraId="06C79DAC"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22 мая</w:t>
      </w:r>
      <w:r w:rsidRPr="00D03F3E">
        <w:rPr>
          <w:rFonts w:ascii="Times New Roman" w:hAnsi="Times New Roman"/>
          <w:color w:val="000000" w:themeColor="text1"/>
          <w:sz w:val="16"/>
          <w:szCs w:val="16"/>
        </w:rPr>
        <w:t xml:space="preserve"> в 1943 году вечернее сообщение Совинформбюро:</w:t>
      </w:r>
    </w:p>
    <w:p w14:paraId="32F88D00"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22 мая на фронте существенных изменений не произошло.</w:t>
      </w:r>
    </w:p>
    <w:p w14:paraId="044617B7"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мая частями нашей авиации на различных участках фронта уничтожено или повреждено до 10 немецких танков, свыше 50 автомашин с войсками и грузами, разбито 3 железнодорожных эшелона, взорваны склад боеприпасов и склад с горючим, подавлен огонь 5 артиллерийских батарей, потоплены сторожевой корабль и два катера противника.</w:t>
      </w:r>
    </w:p>
    <w:p w14:paraId="10086B60"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вели разведку и артиллерийским огнём уничтожали живую силу и оборонительные сооружения противника. Огнём из всех видов оружия в течение дня уничтожено до 400 немецких солдат и офицеров. Артиллеристы Н-ского соединения уничтожили 4 противотанковых орудия и 17 пулемётов, подавили огонь 4 артиллерийских и 5 миномётных батарей, разбили 6 дзотов и блиндажей противника.</w:t>
      </w:r>
    </w:p>
    <w:p w14:paraId="2E0BF594"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происходили бои местного значения. Подразделения Н-скойчасти атаковали противника и выбили немцев из укреплённых позиций. Гитлеровцы, пытаясь восстановить положение, предприняли несколько контратак. В этом бою уничтожено до батальона немецкой пехоты, сожжён один и подбито 2 вражеских танка.</w:t>
      </w:r>
    </w:p>
    <w:p w14:paraId="1BD8EEFB"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продолжалась артиллерийско-миномётная перестрелка. Наши подразделения истребили до роты немецких солдат, разрушили 2 дзота и 14 блиндажей. Группа снайперов под командованием гвардии младшего лейтенанта Васильева за десять дней уничтожила 125 гитлеровцев.</w:t>
      </w:r>
    </w:p>
    <w:p w14:paraId="6C54E035"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артиллерийское подразделение, где командиром лейтенант Ткачук, за несколько дней уничтожило свыше 10 вражеских дзотов вместе с их гарнизонами. На другом участке разведчики во главе с лейтенантом Картавенко проникли в расположение противника, взорвали 3 землянки и истребили 20 гитлеровцев.</w:t>
      </w:r>
    </w:p>
    <w:p w14:paraId="0F2A46F8"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наши артиллеристы обстреливали передовые позиции и ближние тылы противника. Разрушено 7 дзотов, взорвано 2 склада боеприпасов, уничтожено 2 орудия и несколько немецких автомашин с военными грузами.</w:t>
      </w:r>
    </w:p>
    <w:p w14:paraId="63F1595B"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Смоленской области, устроил засаду у линии железной дороги. Умело замаскировавшись, партизаны расположились по обеим сторонам полотна. Вскоре показался воинский эшелон противника. Советские патриоты открыли по вагонам огонь из пулемётов, автоматов и винтовок. В результате обстрела поезда убито и ранено большое количество немецких солдат и офицеров.</w:t>
      </w:r>
    </w:p>
    <w:p w14:paraId="3CFDD9EA"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Другой отряд смоленских партизан разгромил немецкий гарнизон и в ряде мест разобрал железнодорожные пути. Движение поездов на этом участке было приостановлено на несколько суток.</w:t>
      </w:r>
    </w:p>
    <w:p w14:paraId="719DC863"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попирая самые элементарные права и достоинство человека, с помощью обмана, угроз и дикого насилия угоняют в рабство в Германию мирных советских граждан. Гитлеровцы пытались было отрицать эти преступления. Они хотели представить дело так, что советские люди якобы добровольно едут в Германию, что они сами дают согласие на поездку и т. д. Эту ложь разоблачает некто другой, как командование немецкой армии. Так, например, в приказе, изданном немецкими военными властями 20 апреля и расклеенном в городе Давид-Городок, Пинской области, Белорусской ССР, говорится: «Доводится до сведения населения Давид-Городского района, что, согласно распоряжению генерального уполномоченного по вербовке рабочей силы в Германию, все мужчины и женщины 1922, 1923, 1924,1925, 1926 и 1927 годов рождения, проживающие на территории района, мобилизуются для работы в Германию. За неявку на приёмный пункт, согласно распоряжению генерального уполномоченного по вербовке рабочей силы в Германию, виновные будут строго наказаны, вплоть до расстрела».</w:t>
      </w:r>
    </w:p>
    <w:p w14:paraId="4D1D6AC3" w14:textId="77777777" w:rsidR="00354EBF" w:rsidRPr="00D03F3E" w:rsidRDefault="00354EB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Этот документ лишний раз изобличает преступную гитлеровскую клику в том, что, пытаясь заполучить рабов для своей военной промышленности, она применяет к советским гражданам самые жестокие репрессии, вплоть до расстрела. Советский народ ведёт полный и точный учёт всех злодеяний фашистских мерзавцев, и недалёк тот день, когда гитлеровские работорговцы понесут суровое наказание за все их преступления.» (14899).</w:t>
      </w:r>
    </w:p>
    <w:p w14:paraId="7C958AC9" w14:textId="77777777" w:rsidR="00354EBF" w:rsidRPr="00D03F3E" w:rsidRDefault="00354EBF" w:rsidP="00D03F3E">
      <w:pPr>
        <w:spacing w:after="0" w:line="240" w:lineRule="auto"/>
        <w:jc w:val="both"/>
        <w:rPr>
          <w:rFonts w:ascii="Times New Roman" w:hAnsi="Times New Roman"/>
          <w:color w:val="000000" w:themeColor="text1"/>
          <w:sz w:val="16"/>
          <w:szCs w:val="16"/>
        </w:rPr>
      </w:pPr>
    </w:p>
    <w:p w14:paraId="0FFA39F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 мая 1943 был первый массированный налет немецкой авиации на Курск. 170 машин. И 16 и 2ВА и 101 иад ПВО отражали и смогли рассеять (340,141).</w:t>
      </w:r>
    </w:p>
    <w:p w14:paraId="0D8E2614" w14:textId="77777777" w:rsidR="00531570" w:rsidRPr="00D03F3E" w:rsidRDefault="00531570" w:rsidP="00D03F3E">
      <w:pPr>
        <w:pStyle w:val="Iauiue"/>
        <w:jc w:val="both"/>
        <w:rPr>
          <w:color w:val="000000" w:themeColor="text1"/>
          <w:sz w:val="16"/>
          <w:szCs w:val="16"/>
        </w:rPr>
      </w:pPr>
    </w:p>
    <w:p w14:paraId="215777FA"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22 мая</w:t>
      </w:r>
      <w:r w:rsidRPr="00D03F3E">
        <w:rPr>
          <w:rFonts w:ascii="Times New Roman" w:hAnsi="Times New Roman"/>
          <w:color w:val="000000" w:themeColor="text1"/>
          <w:sz w:val="16"/>
          <w:szCs w:val="16"/>
        </w:rPr>
        <w:t xml:space="preserve"> в 1943 году в 5:00 утра состоялся первый налет немецкой авиации на город Курск - первый этап операции "Кармен" по срыву железнодорожных перевозок в полосе действия группы Армии Центр. Так как оповещение было получено с опозданием, то все бои ВВС прикрывающих узел велись с бомбардировщиками уже уходящими от цели. В результате отражения было сбито 75 самолетов и 8 самолетов уничтожено огнем зенитной артиллерии. Но и сам железнодорожный узел получил значительные повреждения (14899).</w:t>
      </w:r>
    </w:p>
    <w:p w14:paraId="33A279D4" w14:textId="77777777" w:rsidR="00E76B68" w:rsidRPr="00D03F3E" w:rsidRDefault="00E76B68" w:rsidP="00D03F3E">
      <w:pPr>
        <w:spacing w:after="0" w:line="240" w:lineRule="auto"/>
        <w:jc w:val="both"/>
        <w:rPr>
          <w:rFonts w:ascii="Times New Roman" w:hAnsi="Times New Roman"/>
          <w:color w:val="000000" w:themeColor="text1"/>
          <w:sz w:val="16"/>
          <w:szCs w:val="16"/>
        </w:rPr>
      </w:pPr>
    </w:p>
    <w:p w14:paraId="7B2882D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 мая 1943 вышла директива наркома ВМФ Н.К.Кузнецова N 118/Ш о противодействии авиации противника (2120).</w:t>
      </w:r>
    </w:p>
    <w:p w14:paraId="5C308796" w14:textId="77777777" w:rsidR="00531570" w:rsidRPr="00D03F3E" w:rsidRDefault="00531570" w:rsidP="00D03F3E">
      <w:pPr>
        <w:pStyle w:val="Iauiue"/>
        <w:jc w:val="both"/>
        <w:rPr>
          <w:color w:val="000000" w:themeColor="text1"/>
          <w:sz w:val="16"/>
          <w:szCs w:val="16"/>
        </w:rPr>
      </w:pPr>
    </w:p>
    <w:p w14:paraId="4CCE6DB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22 - 30 мая 1943 в период непосредственного прорыва подводных лодок бомбардировщики 1-го ГМТАП продолжали «тралить» минные поля и почти так же безуспешно бомбили с больших высот корабельные дозоры противника. В дополнение к этому, 12 мая командующий флотом приказал подновить минные поля у Таллинна и Котки. Организация постановок в целом повторяла мартовскую, за исключением того, что в связи с увеличением светлого времени суток самолетам не удавалось произвести более одного вылета за ночь. В результате 17-19 мая на подходах к Котке были сброшены 16 АМГ-1, а между 20-м и 26-м числами у Таллинна - 16 АМГ и две А-4. В четырех случаях самолеты избавлялись от мин у запасных целей, либо аварийно. Единственный известный успех был достигнут 27 мая, когда у острова Аэгна подорвался и затонул немецкий мобилизованный сторожевой катер ORe35. Впрочем, подрыв столь небольшого плавсредства на мине АМГ, ставившейся на углубление 1,8 м против больших судов, вызывает обоснованные сомнения. К счастью, все эти вылеты не привели к новым потерям. Кроме уже описывавшейся катастрофы 2 мая, полк лишился только одного Ил-4, разбившегося при приземлении 31-го числа. Поскольку посылать одиночный самолет в насыщенный истребителями Финский залив в хороших метеоусловиях было равносильно самоубийству, торпедоносцы вылетали только при низкой облачности или в дождь. Практически во всех случаях эти же условия заставляли летчиков поворачивать в базу, не обнаружив противника. Так закончились вылеты 11, 13 и 14 мая. В дальнейшем полк переключился на минные постановки, и на две недели о вылетах на «свободную охоту» забыли. Когда в конце мая к ним решили вернуться, кого-то осенила идея: зачем летать в плохую погоду в «пустой» залив, когда можно искать противника на просторах Балтики? После того, как враг убедился в невозможности прорыва его сетевых заграждений, суда стали ходить по открытой части моря одиночным порядком в любое время суток кратчайшими курсами. С воздуха эти перевозки никак не прикрывались. Если не считать зенитного вооружения самих судов, торпедоносцы подвергались опасности только при перелете линии фронта или пролете над заливом, что можно было осуществлять и на большой высоте, выше слоя облачности (9965).</w:t>
      </w:r>
    </w:p>
    <w:p w14:paraId="2653F8B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E79929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мая 1943 г. 2 И-15бис прикрывали морские транспорты, в районе Джугби вели воздушный бой с немецкими самолетами. Своих потерь не имели, пилоты заявили о трех подбитых вражеских машинах. 23 мая 4 И-15бис вели поиск экипажа подбитого МБР-2. Одна пара вела воздушный бой с парой ВП09, один И-15бис был сбит (12014).</w:t>
      </w:r>
    </w:p>
    <w:p w14:paraId="18FAA73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2ECDCF0"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мая в ночь на 23 мая 1943 г. отбуксировали сразу 18 планеров. На них перебросили 119 десантников и 2100 кг груза, по большей части взрывчатки. Из тыла противника в ту же ночь вывезли 26 планеристов. На следующую ночь эти летчики опять отправились к партизанам с грузом оружия, боеприпасов и медика</w:t>
      </w:r>
      <w:r w:rsidRPr="00D03F3E">
        <w:rPr>
          <w:rFonts w:ascii="Times New Roman" w:hAnsi="Times New Roman"/>
          <w:color w:val="000000" w:themeColor="text1"/>
          <w:sz w:val="16"/>
          <w:szCs w:val="16"/>
        </w:rPr>
        <w:softHyphen/>
        <w:t>ментов (12300).</w:t>
      </w:r>
    </w:p>
    <w:p w14:paraId="33E4D0BC" w14:textId="77777777" w:rsidR="005119DD" w:rsidRPr="00D03F3E" w:rsidRDefault="005119DD" w:rsidP="00D03F3E">
      <w:pPr>
        <w:spacing w:after="0" w:line="240" w:lineRule="auto"/>
        <w:jc w:val="both"/>
        <w:rPr>
          <w:rFonts w:ascii="Times New Roman" w:hAnsi="Times New Roman"/>
          <w:color w:val="000000" w:themeColor="text1"/>
          <w:sz w:val="16"/>
          <w:szCs w:val="16"/>
        </w:rPr>
      </w:pPr>
    </w:p>
    <w:p w14:paraId="6C288533"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мая в ночь на 23 мая 1943 г. отбукси</w:t>
      </w:r>
      <w:r w:rsidRPr="00D03F3E">
        <w:rPr>
          <w:rFonts w:ascii="Times New Roman" w:hAnsi="Times New Roman"/>
          <w:color w:val="000000" w:themeColor="text1"/>
          <w:sz w:val="16"/>
          <w:szCs w:val="16"/>
        </w:rPr>
        <w:softHyphen/>
        <w:t>ровали сразу 18 планёров. На них пе</w:t>
      </w:r>
      <w:r w:rsidRPr="00D03F3E">
        <w:rPr>
          <w:rFonts w:ascii="Times New Roman" w:hAnsi="Times New Roman"/>
          <w:color w:val="000000" w:themeColor="text1"/>
          <w:sz w:val="16"/>
          <w:szCs w:val="16"/>
        </w:rPr>
        <w:softHyphen/>
        <w:t>ребросили 119 десантников и 2100 кг груза, по большей части взрывчатки. Из тыла противника в ту же ночь вывезли 26 планеристов. На следующую ночь эти лётчики опять отправились к пар</w:t>
      </w:r>
      <w:r w:rsidRPr="00D03F3E">
        <w:rPr>
          <w:rFonts w:ascii="Times New Roman" w:hAnsi="Times New Roman"/>
          <w:color w:val="000000" w:themeColor="text1"/>
          <w:sz w:val="16"/>
          <w:szCs w:val="16"/>
        </w:rPr>
        <w:softHyphen/>
        <w:t>тизанам с грузом оружия, боеприпасов и медикаментов.</w:t>
      </w:r>
    </w:p>
    <w:p w14:paraId="698AEB9D"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в тыл врага были отбуксирова</w:t>
      </w:r>
      <w:r w:rsidRPr="00D03F3E">
        <w:rPr>
          <w:rFonts w:ascii="Times New Roman" w:hAnsi="Times New Roman"/>
          <w:color w:val="000000" w:themeColor="text1"/>
          <w:sz w:val="16"/>
          <w:szCs w:val="16"/>
        </w:rPr>
        <w:softHyphen/>
        <w:t>ны 135 планёров, загруженных боевым снаряжением. Перевозили командиров, диверсионные группы, медикаменты, а также продукты питания, в которых партизаны очень нуждались. Вот вы</w:t>
      </w:r>
      <w:r w:rsidRPr="00D03F3E">
        <w:rPr>
          <w:rFonts w:ascii="Times New Roman" w:hAnsi="Times New Roman"/>
          <w:color w:val="000000" w:themeColor="text1"/>
          <w:sz w:val="16"/>
          <w:szCs w:val="16"/>
        </w:rPr>
        <w:softHyphen/>
        <w:t>держка из докладной записки с указа</w:t>
      </w:r>
      <w:r w:rsidRPr="00D03F3E">
        <w:rPr>
          <w:rFonts w:ascii="Times New Roman" w:hAnsi="Times New Roman"/>
          <w:color w:val="000000" w:themeColor="text1"/>
          <w:sz w:val="16"/>
          <w:szCs w:val="16"/>
        </w:rPr>
        <w:softHyphen/>
        <w:t>нием груза, полученного народными мстителями за одну ночь: «Винтовок - 420 шт., пулёметов ДП - 21, дисков - 84, автоматов-240, миномётов 50-мм-7; патронов винтовочных, для ТТ, брау</w:t>
      </w:r>
      <w:r w:rsidRPr="00D03F3E">
        <w:rPr>
          <w:rFonts w:ascii="Times New Roman" w:hAnsi="Times New Roman"/>
          <w:color w:val="000000" w:themeColor="text1"/>
          <w:sz w:val="16"/>
          <w:szCs w:val="16"/>
        </w:rPr>
        <w:softHyphen/>
        <w:t>нингов, наганов — 1 433 940; гранат Ф-1, РГД, ПГ — 3820; мин 50-мм — 1288, ПМК-40-1900; ружей ПТР-50, патронов к ним - 7760; тола - 450 кг; приборов Брамит - 450; соли - 480 кг; мыла - 690 кусков; медикаментов - 15 тюков; табаку - 65 кг; МУВ - 320 шт.; питания к рациям - 5; бикфордова шну</w:t>
      </w:r>
      <w:r w:rsidRPr="00D03F3E">
        <w:rPr>
          <w:rFonts w:ascii="Times New Roman" w:hAnsi="Times New Roman"/>
          <w:color w:val="000000" w:themeColor="text1"/>
          <w:sz w:val="16"/>
          <w:szCs w:val="16"/>
        </w:rPr>
        <w:softHyphen/>
        <w:t>ра - 200 м; посылок детям - 700 кг; литературы - 1337 кг...»</w:t>
      </w:r>
    </w:p>
    <w:p w14:paraId="117DCA11"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Были случаи самопроизвольных от</w:t>
      </w:r>
      <w:r w:rsidRPr="00D03F3E">
        <w:rPr>
          <w:rFonts w:ascii="Times New Roman" w:hAnsi="Times New Roman"/>
          <w:color w:val="000000" w:themeColor="text1"/>
          <w:sz w:val="16"/>
          <w:szCs w:val="16"/>
        </w:rPr>
        <w:softHyphen/>
        <w:t>цепок планёра от самолёта, обрывов тросов, а также блуждания из-за пло</w:t>
      </w:r>
      <w:r w:rsidRPr="00D03F3E">
        <w:rPr>
          <w:rFonts w:ascii="Times New Roman" w:hAnsi="Times New Roman"/>
          <w:color w:val="000000" w:themeColor="text1"/>
          <w:sz w:val="16"/>
          <w:szCs w:val="16"/>
        </w:rPr>
        <w:softHyphen/>
        <w:t>хой погоды. Однажды планёр сержанта Ю. Соболева из-за неисправности бук</w:t>
      </w:r>
      <w:r w:rsidRPr="00D03F3E">
        <w:rPr>
          <w:rFonts w:ascii="Times New Roman" w:hAnsi="Times New Roman"/>
          <w:color w:val="000000" w:themeColor="text1"/>
          <w:sz w:val="16"/>
          <w:szCs w:val="16"/>
        </w:rPr>
        <w:softHyphen/>
        <w:t>сировочного замка отцепился от само</w:t>
      </w:r>
      <w:r w:rsidRPr="00D03F3E">
        <w:rPr>
          <w:rFonts w:ascii="Times New Roman" w:hAnsi="Times New Roman"/>
          <w:color w:val="000000" w:themeColor="text1"/>
          <w:sz w:val="16"/>
          <w:szCs w:val="16"/>
        </w:rPr>
        <w:softHyphen/>
        <w:t>лёта за 60 км от партизанской площад</w:t>
      </w:r>
      <w:r w:rsidRPr="00D03F3E">
        <w:rPr>
          <w:rFonts w:ascii="Times New Roman" w:hAnsi="Times New Roman"/>
          <w:color w:val="000000" w:themeColor="text1"/>
          <w:sz w:val="16"/>
          <w:szCs w:val="16"/>
        </w:rPr>
        <w:softHyphen/>
        <w:t xml:space="preserve">ки на небольшой высоте. Внизу лес, но планерист не растерялся и </w:t>
      </w:r>
      <w:r w:rsidRPr="00D03F3E">
        <w:rPr>
          <w:rFonts w:ascii="Times New Roman" w:hAnsi="Times New Roman"/>
          <w:color w:val="000000" w:themeColor="text1"/>
          <w:sz w:val="16"/>
          <w:szCs w:val="16"/>
        </w:rPr>
        <w:lastRenderedPageBreak/>
        <w:t>выполнил посадку на берегу озера. Он сел на территории, занятой врагом. Соболев разгрузил планёр и спрятал всё в вы</w:t>
      </w:r>
      <w:r w:rsidRPr="00D03F3E">
        <w:rPr>
          <w:rFonts w:ascii="Times New Roman" w:hAnsi="Times New Roman"/>
          <w:color w:val="000000" w:themeColor="text1"/>
          <w:sz w:val="16"/>
          <w:szCs w:val="16"/>
        </w:rPr>
        <w:softHyphen/>
        <w:t>рытую им за ночь яму. Пока заваливал её землёй и маскировал, силы иссякли. Заполз в мелкий ельник, положил под голову автомат и мгновенно уснул.</w:t>
      </w:r>
    </w:p>
    <w:p w14:paraId="21BDB476"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Счастье, что бесшумно планирующий А-7 враги не засекли. Проснувшись, лётчик сориентировался и пошёл ис</w:t>
      </w:r>
      <w:r w:rsidRPr="00D03F3E">
        <w:rPr>
          <w:rFonts w:ascii="Times New Roman" w:hAnsi="Times New Roman"/>
          <w:color w:val="000000" w:themeColor="text1"/>
          <w:sz w:val="16"/>
          <w:szCs w:val="16"/>
        </w:rPr>
        <w:softHyphen/>
        <w:t>кать партизан. Он наткнулся на их до</w:t>
      </w:r>
      <w:r w:rsidRPr="00D03F3E">
        <w:rPr>
          <w:rFonts w:ascii="Times New Roman" w:hAnsi="Times New Roman"/>
          <w:color w:val="000000" w:themeColor="text1"/>
          <w:sz w:val="16"/>
          <w:szCs w:val="16"/>
        </w:rPr>
        <w:softHyphen/>
        <w:t>зоры и попал в расположения бригады Героя Советского Союза В. Лобанка. Через ночь группа партизан на теле</w:t>
      </w:r>
      <w:r w:rsidRPr="00D03F3E">
        <w:rPr>
          <w:rFonts w:ascii="Times New Roman" w:hAnsi="Times New Roman"/>
          <w:color w:val="000000" w:themeColor="text1"/>
          <w:sz w:val="16"/>
          <w:szCs w:val="16"/>
        </w:rPr>
        <w:softHyphen/>
        <w:t>гах вывезла в бригаду весь спрятанный груз. Соболева наградили орденом (12266).</w:t>
      </w:r>
    </w:p>
    <w:p w14:paraId="05C0D4E2" w14:textId="77777777" w:rsidR="005119DD" w:rsidRPr="00D03F3E" w:rsidRDefault="005119DD" w:rsidP="00D03F3E">
      <w:pPr>
        <w:spacing w:after="0" w:line="240" w:lineRule="auto"/>
        <w:jc w:val="both"/>
        <w:rPr>
          <w:rFonts w:ascii="Times New Roman" w:hAnsi="Times New Roman"/>
          <w:color w:val="000000" w:themeColor="text1"/>
          <w:sz w:val="16"/>
          <w:szCs w:val="16"/>
        </w:rPr>
      </w:pPr>
    </w:p>
    <w:p w14:paraId="51B3968D"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Жизнь и внутренняя политика:</w:t>
      </w:r>
    </w:p>
    <w:p w14:paraId="71A37EC1" w14:textId="77777777" w:rsidR="00531570" w:rsidRPr="00D03F3E" w:rsidRDefault="00531570" w:rsidP="00D03F3E">
      <w:pPr>
        <w:pStyle w:val="Iauiue"/>
        <w:jc w:val="both"/>
        <w:rPr>
          <w:iCs/>
          <w:color w:val="000000" w:themeColor="text1"/>
          <w:sz w:val="16"/>
          <w:szCs w:val="16"/>
        </w:rPr>
      </w:pPr>
    </w:p>
    <w:p w14:paraId="2842A2A8" w14:textId="77777777" w:rsidR="00983A9C" w:rsidRPr="00D03F3E" w:rsidRDefault="00983A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мая 1943. В Каретном ряду открылся сад "Эрмитаж". Здесь имелись тир и читальня. На сцене ставили оперетту "Свадьба в Малиновке", проходили концерты с участием Утесова, Райкина и Рознера (18693).</w:t>
      </w:r>
    </w:p>
    <w:p w14:paraId="1F66DA47" w14:textId="77777777" w:rsidR="00983A9C" w:rsidRPr="00D03F3E" w:rsidRDefault="00983A9C" w:rsidP="00D03F3E">
      <w:pPr>
        <w:spacing w:after="0" w:line="240" w:lineRule="auto"/>
        <w:jc w:val="both"/>
        <w:rPr>
          <w:rFonts w:ascii="Times New Roman" w:hAnsi="Times New Roman"/>
          <w:color w:val="000000" w:themeColor="text1"/>
          <w:sz w:val="16"/>
          <w:szCs w:val="16"/>
        </w:rPr>
      </w:pPr>
    </w:p>
    <w:p w14:paraId="47D0A81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мая 1943 вышло Распоряжение ГКО № 3413. О распространении порядка взыскания с виновных стоимости похищенных или недостающих продовольственных и промышленных товаров на все дела, независимо от того, в каких организациях имели место хищения, недостачи и злоупотребления.РГАНИР, Фонд ГКО, д. 119, лл. 99 (11012).</w:t>
      </w:r>
    </w:p>
    <w:p w14:paraId="2ACC5896"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C6F461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мая 1943 вышло Постановление ГКО № 3414 О назначении Правительственной комиссии для приемки объекта № 31 Метростроя РГАНИР, Фонд ГКО, д. 119, лл. 100 (11012).</w:t>
      </w:r>
    </w:p>
    <w:p w14:paraId="53E1954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028E7C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мая 1943 вышло Распоряжение ГКО № 3415. О строительстве эстакад топливоподачи и жилых бараков на Горьковской ГРЭС Наркомата электростанций.РГАНИР, Фонд ГКО, д. 119, лл. 101-102 (11012).</w:t>
      </w:r>
    </w:p>
    <w:p w14:paraId="0C50004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428695A" w14:textId="77777777" w:rsidR="00531570" w:rsidRPr="00D03F3E" w:rsidRDefault="00C81444" w:rsidP="00D03F3E">
      <w:pPr>
        <w:pStyle w:val="Iauiue"/>
        <w:jc w:val="both"/>
        <w:rPr>
          <w:iCs/>
          <w:color w:val="000000" w:themeColor="text1"/>
          <w:sz w:val="16"/>
          <w:szCs w:val="16"/>
          <w:lang w:val="en-US"/>
        </w:rPr>
      </w:pPr>
      <w:r w:rsidRPr="00D03F3E">
        <w:rPr>
          <w:i/>
          <w:iCs/>
          <w:color w:val="000000" w:themeColor="text1"/>
          <w:sz w:val="16"/>
          <w:szCs w:val="16"/>
        </w:rPr>
        <w:t>Внешняя</w:t>
      </w:r>
      <w:r w:rsidRPr="00D03F3E">
        <w:rPr>
          <w:i/>
          <w:iCs/>
          <w:color w:val="000000" w:themeColor="text1"/>
          <w:sz w:val="16"/>
          <w:szCs w:val="16"/>
          <w:lang w:val="en-US"/>
        </w:rPr>
        <w:t xml:space="preserve"> </w:t>
      </w:r>
      <w:r w:rsidRPr="00D03F3E">
        <w:rPr>
          <w:i/>
          <w:iCs/>
          <w:color w:val="000000" w:themeColor="text1"/>
          <w:sz w:val="16"/>
          <w:szCs w:val="16"/>
        </w:rPr>
        <w:t>политика</w:t>
      </w:r>
      <w:r w:rsidRPr="00D03F3E">
        <w:rPr>
          <w:i/>
          <w:iCs/>
          <w:color w:val="000000" w:themeColor="text1"/>
          <w:sz w:val="16"/>
          <w:szCs w:val="16"/>
          <w:lang w:val="en-US"/>
        </w:rPr>
        <w:t>:</w:t>
      </w:r>
    </w:p>
    <w:p w14:paraId="4D5EAAAA" w14:textId="77777777" w:rsidR="00531570" w:rsidRPr="00D03F3E" w:rsidRDefault="00531570" w:rsidP="00D03F3E">
      <w:pPr>
        <w:pStyle w:val="Iauiue"/>
        <w:jc w:val="both"/>
        <w:rPr>
          <w:iCs/>
          <w:color w:val="000000" w:themeColor="text1"/>
          <w:sz w:val="16"/>
          <w:szCs w:val="16"/>
          <w:lang w:val="en-US"/>
        </w:rPr>
      </w:pPr>
    </w:p>
    <w:p w14:paraId="43C61718"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22 May 1943 Comintern Pact is dissolved (270).</w:t>
      </w:r>
    </w:p>
    <w:p w14:paraId="2170DDAB" w14:textId="77777777" w:rsidR="00531570" w:rsidRPr="00D03F3E" w:rsidRDefault="00531570" w:rsidP="00D03F3E">
      <w:pPr>
        <w:pStyle w:val="Iauiue"/>
        <w:jc w:val="both"/>
        <w:rPr>
          <w:color w:val="000000" w:themeColor="text1"/>
          <w:sz w:val="16"/>
          <w:szCs w:val="16"/>
          <w:lang w:val="en-US"/>
        </w:rPr>
      </w:pPr>
    </w:p>
    <w:p w14:paraId="01F4BCD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 мая 1943 Коминтерн был распущен (270).</w:t>
      </w:r>
    </w:p>
    <w:p w14:paraId="24FC73A5" w14:textId="77777777" w:rsidR="00531570" w:rsidRPr="00D03F3E" w:rsidRDefault="00531570" w:rsidP="00D03F3E">
      <w:pPr>
        <w:pStyle w:val="Iauiue"/>
        <w:jc w:val="both"/>
        <w:rPr>
          <w:color w:val="000000" w:themeColor="text1"/>
          <w:sz w:val="16"/>
          <w:szCs w:val="16"/>
        </w:rPr>
      </w:pPr>
    </w:p>
    <w:p w14:paraId="03ED52FF"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22 мая</w:t>
      </w:r>
      <w:r w:rsidRPr="00D03F3E">
        <w:rPr>
          <w:rFonts w:ascii="Times New Roman" w:hAnsi="Times New Roman"/>
          <w:color w:val="000000" w:themeColor="text1"/>
          <w:sz w:val="16"/>
          <w:szCs w:val="16"/>
        </w:rPr>
        <w:t xml:space="preserve"> в 1943 году в "Правде" опубликовано постановление о роспуске Коммунистического Интернационала (14899).</w:t>
      </w:r>
    </w:p>
    <w:p w14:paraId="4295A0C8" w14:textId="77777777" w:rsidR="00E76B68" w:rsidRPr="00D03F3E" w:rsidRDefault="00E76B68" w:rsidP="00D03F3E">
      <w:pPr>
        <w:spacing w:after="0" w:line="240" w:lineRule="auto"/>
        <w:jc w:val="both"/>
        <w:rPr>
          <w:rFonts w:ascii="Times New Roman" w:hAnsi="Times New Roman"/>
          <w:color w:val="000000" w:themeColor="text1"/>
          <w:sz w:val="16"/>
          <w:szCs w:val="16"/>
        </w:rPr>
      </w:pPr>
    </w:p>
    <w:p w14:paraId="0145EF94" w14:textId="77777777" w:rsidR="00531570" w:rsidRPr="00D03F3E" w:rsidRDefault="00C81444" w:rsidP="00D03F3E">
      <w:pPr>
        <w:pStyle w:val="Iauiue"/>
        <w:jc w:val="both"/>
        <w:rPr>
          <w:iCs/>
          <w:color w:val="000000" w:themeColor="text1"/>
          <w:sz w:val="16"/>
          <w:szCs w:val="16"/>
          <w:lang w:val="en-US"/>
        </w:rPr>
      </w:pPr>
      <w:r w:rsidRPr="00D03F3E">
        <w:rPr>
          <w:i/>
          <w:iCs/>
          <w:color w:val="000000" w:themeColor="text1"/>
          <w:sz w:val="16"/>
          <w:szCs w:val="16"/>
        </w:rPr>
        <w:t>За</w:t>
      </w:r>
      <w:r w:rsidRPr="00D03F3E">
        <w:rPr>
          <w:i/>
          <w:iCs/>
          <w:color w:val="000000" w:themeColor="text1"/>
          <w:sz w:val="16"/>
          <w:szCs w:val="16"/>
          <w:lang w:val="en-US"/>
        </w:rPr>
        <w:t xml:space="preserve"> </w:t>
      </w:r>
      <w:r w:rsidRPr="00D03F3E">
        <w:rPr>
          <w:i/>
          <w:iCs/>
          <w:color w:val="000000" w:themeColor="text1"/>
          <w:sz w:val="16"/>
          <w:szCs w:val="16"/>
        </w:rPr>
        <w:t>рубежом</w:t>
      </w:r>
      <w:r w:rsidRPr="00D03F3E">
        <w:rPr>
          <w:i/>
          <w:iCs/>
          <w:color w:val="000000" w:themeColor="text1"/>
          <w:sz w:val="16"/>
          <w:szCs w:val="16"/>
          <w:lang w:val="en-US"/>
        </w:rPr>
        <w:t>:</w:t>
      </w:r>
    </w:p>
    <w:p w14:paraId="7304A8D9" w14:textId="77777777" w:rsidR="00531570" w:rsidRPr="00D03F3E" w:rsidRDefault="00531570" w:rsidP="00D03F3E">
      <w:pPr>
        <w:pStyle w:val="Iauiue"/>
        <w:jc w:val="both"/>
        <w:rPr>
          <w:iCs/>
          <w:color w:val="000000" w:themeColor="text1"/>
          <w:sz w:val="16"/>
          <w:szCs w:val="16"/>
          <w:lang w:val="en-US"/>
        </w:rPr>
      </w:pPr>
    </w:p>
    <w:p w14:paraId="14CE93DB"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May 22 1943 German Messerschmitt Me-262 turbojet fighter prototype flight tested at Rechlin. Test flights continued during the year on interceptor type, while series production did not begin until spring of 1944 (1038).</w:t>
      </w:r>
    </w:p>
    <w:p w14:paraId="540B03B6" w14:textId="77777777" w:rsidR="00531570" w:rsidRPr="00D03F3E" w:rsidRDefault="00531570" w:rsidP="00D03F3E">
      <w:pPr>
        <w:pStyle w:val="Iauiue"/>
        <w:jc w:val="both"/>
        <w:rPr>
          <w:color w:val="000000" w:themeColor="text1"/>
          <w:sz w:val="16"/>
          <w:szCs w:val="16"/>
          <w:lang w:val="en-US"/>
        </w:rPr>
      </w:pPr>
    </w:p>
    <w:p w14:paraId="459A3E1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 мая 1943 был испытан прототип Ме-262 (1038).</w:t>
      </w:r>
    </w:p>
    <w:p w14:paraId="494C3A64" w14:textId="77777777" w:rsidR="00531570" w:rsidRPr="00D03F3E" w:rsidRDefault="00531570" w:rsidP="00D03F3E">
      <w:pPr>
        <w:pStyle w:val="Iauiue"/>
        <w:jc w:val="both"/>
        <w:rPr>
          <w:color w:val="000000" w:themeColor="text1"/>
          <w:sz w:val="16"/>
          <w:szCs w:val="16"/>
        </w:rPr>
      </w:pPr>
    </w:p>
    <w:p w14:paraId="0C68DFDB"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22 мая</w:t>
      </w:r>
      <w:r w:rsidRPr="00D03F3E">
        <w:rPr>
          <w:rFonts w:ascii="Times New Roman" w:hAnsi="Times New Roman"/>
          <w:color w:val="000000" w:themeColor="text1"/>
          <w:sz w:val="16"/>
          <w:szCs w:val="16"/>
        </w:rPr>
        <w:t xml:space="preserve"> в 1943 году первый испытательный полет немецкого реактивного самолета «Ме-262». Это единственый реактивный самолет, который успел принять участие в боях второй мировой войны и который сумел сбить Иван Кожедуб (14899).</w:t>
      </w:r>
    </w:p>
    <w:p w14:paraId="2E6079A6" w14:textId="77777777" w:rsidR="00E76B68" w:rsidRPr="00D03F3E" w:rsidRDefault="00E76B68" w:rsidP="00D03F3E">
      <w:pPr>
        <w:spacing w:after="0" w:line="240" w:lineRule="auto"/>
        <w:jc w:val="both"/>
        <w:rPr>
          <w:rFonts w:ascii="Times New Roman" w:hAnsi="Times New Roman"/>
          <w:color w:val="000000" w:themeColor="text1"/>
          <w:sz w:val="16"/>
          <w:szCs w:val="16"/>
        </w:rPr>
      </w:pPr>
    </w:p>
    <w:p w14:paraId="4627ABC6"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22 мая</w:t>
      </w:r>
      <w:r w:rsidRPr="00D03F3E">
        <w:rPr>
          <w:rFonts w:ascii="Times New Roman" w:hAnsi="Times New Roman"/>
          <w:color w:val="000000" w:themeColor="text1"/>
          <w:sz w:val="16"/>
          <w:szCs w:val="16"/>
        </w:rPr>
        <w:t xml:space="preserve"> в 1943 году американская авиация уничтожила японский самолет, на котором летел главнокомандующий японским объединенном флотом адмирал Ямамото (14899).</w:t>
      </w:r>
    </w:p>
    <w:p w14:paraId="7AF595EE" w14:textId="77777777" w:rsidR="00E76B68" w:rsidRPr="00D03F3E" w:rsidRDefault="00E76B68" w:rsidP="00D03F3E">
      <w:pPr>
        <w:spacing w:after="0" w:line="240" w:lineRule="auto"/>
        <w:jc w:val="both"/>
        <w:rPr>
          <w:rFonts w:ascii="Times New Roman" w:hAnsi="Times New Roman"/>
          <w:color w:val="000000" w:themeColor="text1"/>
          <w:sz w:val="16"/>
          <w:szCs w:val="16"/>
        </w:rPr>
      </w:pPr>
    </w:p>
    <w:p w14:paraId="3A85C4D8"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May 22 1943 Denitz suspends U-boat operations in the North Atlantic (1050).</w:t>
      </w:r>
    </w:p>
    <w:p w14:paraId="38DD7633" w14:textId="77777777" w:rsidR="00531570" w:rsidRPr="00D03F3E" w:rsidRDefault="00531570" w:rsidP="00D03F3E">
      <w:pPr>
        <w:pStyle w:val="Iauiue"/>
        <w:jc w:val="both"/>
        <w:rPr>
          <w:color w:val="000000" w:themeColor="text1"/>
          <w:sz w:val="16"/>
          <w:szCs w:val="16"/>
          <w:lang w:val="en-US"/>
        </w:rPr>
      </w:pPr>
    </w:p>
    <w:p w14:paraId="230C534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 мая 1943 а Дениц приостановил операции подлодок в Северной Атлантике (1050).</w:t>
      </w:r>
    </w:p>
    <w:p w14:paraId="2AE48378" w14:textId="77777777" w:rsidR="00531570" w:rsidRPr="00D03F3E" w:rsidRDefault="00531570" w:rsidP="00D03F3E">
      <w:pPr>
        <w:pStyle w:val="Iauiue"/>
        <w:jc w:val="both"/>
        <w:rPr>
          <w:color w:val="000000" w:themeColor="text1"/>
          <w:sz w:val="16"/>
          <w:szCs w:val="16"/>
        </w:rPr>
      </w:pPr>
    </w:p>
    <w:p w14:paraId="07669507" w14:textId="77777777" w:rsidR="002220FF" w:rsidRPr="00D03F3E" w:rsidRDefault="002220F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22 мая 1943 противолодочная группа ВМС США впервые уничтожила подводную лодку противника, когда TBM Avengers of Composite Squadron 9 (VC-9) с авианосца сопровождения USS Bogue потопила немецкую подводную лодку U-569 в северной части Атлантического океана. Самолеты американских групп охотников потопят - или будут участвовать в сотрудничестве с надводными боевыми кораблями в потоплении - еще 31 п/л Kriegsmarine и двух подводных лодок IJN - вероятно, обе немецкие RO-501 из IJN и I-52 в отдельных миссиях в Атлантика во время Второй мировой войны (20376).</w:t>
      </w:r>
    </w:p>
    <w:p w14:paraId="056FD99B" w14:textId="77777777" w:rsidR="002220FF" w:rsidRPr="00D03F3E" w:rsidRDefault="002220FF" w:rsidP="00D03F3E">
      <w:pPr>
        <w:spacing w:after="0" w:line="240" w:lineRule="auto"/>
        <w:jc w:val="both"/>
        <w:rPr>
          <w:rFonts w:ascii="Times New Roman" w:hAnsi="Times New Roman"/>
          <w:color w:val="0070C0"/>
          <w:sz w:val="16"/>
          <w:szCs w:val="16"/>
        </w:rPr>
      </w:pPr>
    </w:p>
    <w:p w14:paraId="2EFBBB4B" w14:textId="77777777" w:rsidR="002220FF" w:rsidRPr="00D03F3E" w:rsidRDefault="002220F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22 мая 1943 19 торпедоносцев Mitsubishi G4M "Betty", базирующихся в Парамушире, наносят единственный японский воздушный удар в битве при Атту, атакуя эсминец ВМС США USS Phelps и канонерскую лодку USS Charleston у побережья Атту. Они теряют два самолета и не добиваются попаданий бомб (20376).</w:t>
      </w:r>
    </w:p>
    <w:p w14:paraId="0A4CF7A1" w14:textId="77777777" w:rsidR="002220FF" w:rsidRPr="00D03F3E" w:rsidRDefault="002220FF" w:rsidP="00D03F3E">
      <w:pPr>
        <w:spacing w:after="0" w:line="240" w:lineRule="auto"/>
        <w:jc w:val="both"/>
        <w:rPr>
          <w:rFonts w:ascii="Times New Roman" w:hAnsi="Times New Roman"/>
          <w:color w:val="0070C0"/>
          <w:sz w:val="16"/>
          <w:szCs w:val="16"/>
        </w:rPr>
      </w:pPr>
    </w:p>
    <w:p w14:paraId="1B946BE9"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27FC90E7" w14:textId="77777777" w:rsidR="00531570" w:rsidRPr="00D03F3E" w:rsidRDefault="00531570" w:rsidP="00D03F3E">
      <w:pPr>
        <w:pStyle w:val="Iauiue"/>
        <w:jc w:val="both"/>
        <w:rPr>
          <w:iCs/>
          <w:color w:val="000000" w:themeColor="text1"/>
          <w:sz w:val="16"/>
          <w:szCs w:val="16"/>
        </w:rPr>
      </w:pPr>
    </w:p>
    <w:p w14:paraId="1F4FBDC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 мая 1943 на ЦА в Москве состоялся первый полет НБ Н.Н.П. Летал л Гаврилов. Смертью Н.Н.П. 30 июля полеты прервались и позже НБ раздавили бульдозером (4621, 21).</w:t>
      </w:r>
    </w:p>
    <w:p w14:paraId="5130E059" w14:textId="77777777" w:rsidR="00531570" w:rsidRPr="00D03F3E" w:rsidRDefault="00531570" w:rsidP="00D03F3E">
      <w:pPr>
        <w:pStyle w:val="Iauiue"/>
        <w:jc w:val="both"/>
        <w:rPr>
          <w:color w:val="000000" w:themeColor="text1"/>
          <w:sz w:val="16"/>
          <w:szCs w:val="16"/>
        </w:rPr>
      </w:pPr>
    </w:p>
    <w:p w14:paraId="5B1B9ABC"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4D0C076C" w14:textId="77777777" w:rsidR="00531570" w:rsidRPr="00D03F3E" w:rsidRDefault="00531570" w:rsidP="00D03F3E">
      <w:pPr>
        <w:pStyle w:val="Iauiue"/>
        <w:jc w:val="both"/>
        <w:rPr>
          <w:iCs/>
          <w:color w:val="000000" w:themeColor="text1"/>
          <w:sz w:val="16"/>
          <w:szCs w:val="16"/>
        </w:rPr>
      </w:pPr>
    </w:p>
    <w:p w14:paraId="61858E0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мая 1943 г. ЦАКБ, занятое обустройством на новом месте, прислало новый проект 85-мм пушки, имею</w:t>
      </w:r>
      <w:r w:rsidRPr="00D03F3E">
        <w:rPr>
          <w:rFonts w:ascii="Times New Roman" w:hAnsi="Times New Roman"/>
          <w:color w:val="000000" w:themeColor="text1"/>
          <w:sz w:val="16"/>
          <w:szCs w:val="16"/>
        </w:rPr>
        <w:softHyphen/>
        <w:t>щей индекс С-18. Однако, по каким-то соображениям, этот вариант орудия снова был скорее танковым, чем са</w:t>
      </w:r>
      <w:r w:rsidRPr="00D03F3E">
        <w:rPr>
          <w:rFonts w:ascii="Times New Roman" w:hAnsi="Times New Roman"/>
          <w:color w:val="000000" w:themeColor="text1"/>
          <w:sz w:val="16"/>
          <w:szCs w:val="16"/>
        </w:rPr>
        <w:softHyphen/>
        <w:t>моходным. Правда, новое орудие было более предпочти</w:t>
      </w:r>
      <w:r w:rsidRPr="00D03F3E">
        <w:rPr>
          <w:rFonts w:ascii="Times New Roman" w:hAnsi="Times New Roman"/>
          <w:color w:val="000000" w:themeColor="text1"/>
          <w:sz w:val="16"/>
          <w:szCs w:val="16"/>
        </w:rPr>
        <w:softHyphen/>
        <w:t>тельно, чем С-31, так как имело более простую люльку, по</w:t>
      </w:r>
      <w:r w:rsidRPr="00D03F3E">
        <w:rPr>
          <w:rFonts w:ascii="Times New Roman" w:hAnsi="Times New Roman"/>
          <w:color w:val="000000" w:themeColor="text1"/>
          <w:sz w:val="16"/>
          <w:szCs w:val="16"/>
        </w:rPr>
        <w:softHyphen/>
        <w:t>добную люльке 76-мм пушки ЗИС-5, но вместе с тем новая пушка имела также целый ряд серьезных недостатков: «1. Штатная люлька орудия ЗИС-5 слишком широка, что требует использовать широкую амбразуру и широкую кача</w:t>
      </w:r>
      <w:r w:rsidRPr="00D03F3E">
        <w:rPr>
          <w:rFonts w:ascii="Times New Roman" w:hAnsi="Times New Roman"/>
          <w:color w:val="000000" w:themeColor="text1"/>
          <w:sz w:val="16"/>
          <w:szCs w:val="16"/>
        </w:rPr>
        <w:softHyphen/>
        <w:t>ющуюся бронировку...</w:t>
      </w:r>
    </w:p>
    <w:p w14:paraId="5BA5990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Большая бронировка ухудшает обзор и не позволяет исполь</w:t>
      </w:r>
      <w:r w:rsidRPr="00D03F3E">
        <w:rPr>
          <w:rFonts w:ascii="Times New Roman" w:hAnsi="Times New Roman"/>
          <w:color w:val="000000" w:themeColor="text1"/>
          <w:sz w:val="16"/>
          <w:szCs w:val="16"/>
        </w:rPr>
        <w:softHyphen/>
        <w:t>зовать полноценный люк-лаз механика-водителя...</w:t>
      </w:r>
    </w:p>
    <w:p w14:paraId="7AED55A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Значительное смещение орудия вправо ограничивает угол об</w:t>
      </w:r>
      <w:r w:rsidRPr="00D03F3E">
        <w:rPr>
          <w:rFonts w:ascii="Times New Roman" w:hAnsi="Times New Roman"/>
          <w:color w:val="000000" w:themeColor="text1"/>
          <w:sz w:val="16"/>
          <w:szCs w:val="16"/>
        </w:rPr>
        <w:softHyphen/>
        <w:t>стрела влево от направления движения и ухудшает распреде</w:t>
      </w:r>
      <w:r w:rsidRPr="00D03F3E">
        <w:rPr>
          <w:rFonts w:ascii="Times New Roman" w:hAnsi="Times New Roman"/>
          <w:color w:val="000000" w:themeColor="text1"/>
          <w:sz w:val="16"/>
          <w:szCs w:val="16"/>
        </w:rPr>
        <w:softHyphen/>
        <w:t>ление масс между катками разных бортов.</w:t>
      </w:r>
    </w:p>
    <w:p w14:paraId="7DFB97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Боеукладка может быть размещена только у моторной пе</w:t>
      </w:r>
      <w:r w:rsidRPr="00D03F3E">
        <w:rPr>
          <w:rFonts w:ascii="Times New Roman" w:hAnsi="Times New Roman"/>
          <w:color w:val="000000" w:themeColor="text1"/>
          <w:sz w:val="16"/>
          <w:szCs w:val="16"/>
        </w:rPr>
        <w:softHyphen/>
        <w:t>регородки САУи загромождает доступ к МТО изнутри.</w:t>
      </w:r>
    </w:p>
    <w:p w14:paraId="37F1B26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По сравнению с проектом завода № 9, установка С-18 уже имеет перевес в 850кг и это еще не окончательное значение...»</w:t>
      </w:r>
    </w:p>
    <w:p w14:paraId="4E55B31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решение Техуправления НКВ в пользу Д-5С85, ЦАКБ в лице своего начальника начало бомбарди</w:t>
      </w:r>
      <w:r w:rsidRPr="00D03F3E">
        <w:rPr>
          <w:rFonts w:ascii="Times New Roman" w:hAnsi="Times New Roman"/>
          <w:color w:val="000000" w:themeColor="text1"/>
          <w:sz w:val="16"/>
          <w:szCs w:val="16"/>
        </w:rPr>
        <w:softHyphen/>
        <w:t>ровать все инстанции письмами с требованием «справедли</w:t>
      </w:r>
      <w:r w:rsidRPr="00D03F3E">
        <w:rPr>
          <w:rFonts w:ascii="Times New Roman" w:hAnsi="Times New Roman"/>
          <w:color w:val="000000" w:themeColor="text1"/>
          <w:sz w:val="16"/>
          <w:szCs w:val="16"/>
        </w:rPr>
        <w:softHyphen/>
        <w:t>вости». Как бы то ни было, В.Г. Грабину удалось настоять на своем, и 7 июня 1943 г. специальная комиссия представите</w:t>
      </w:r>
      <w:r w:rsidRPr="00D03F3E">
        <w:rPr>
          <w:rFonts w:ascii="Times New Roman" w:hAnsi="Times New Roman"/>
          <w:color w:val="000000" w:themeColor="text1"/>
          <w:sz w:val="16"/>
          <w:szCs w:val="16"/>
        </w:rPr>
        <w:softHyphen/>
        <w:t>лей НКВ, НКТП, ГАУ и ГБТУ, рассмотрев все проекты, вы</w:t>
      </w:r>
      <w:r w:rsidRPr="00D03F3E">
        <w:rPr>
          <w:rFonts w:ascii="Times New Roman" w:hAnsi="Times New Roman"/>
          <w:color w:val="000000" w:themeColor="text1"/>
          <w:sz w:val="16"/>
          <w:szCs w:val="16"/>
        </w:rPr>
        <w:softHyphen/>
        <w:t>несла решение изготовить для сравнительных испытаний три опытных образца СУ-85 с вооружением ОКБ № 9 и ЦАКБ, а также одного модернизированного образца СУ-122 (11417).</w:t>
      </w:r>
    </w:p>
    <w:p w14:paraId="48C56B5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8B4334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мая 1943 г. была подготовлена ДОКЛАДНАЯ ЗАПИСКА НАЧАЛЬНИКА ГБТУ КА НАЧАЛЬНИКУ УПРАВЛЕНИЯ ОСОБЫХ ОТДЕЛОВ С ПРОСЬБОЙ О ПРОИЗВЕДЕНИИ ДОПОЛНИТЕЛЬНОГО РАССЛЕДОВАНИЯ УТРАТЫ ОПЫТНЫХ ОБРАЗЦОВ ПРИБОРОВ НОЧНОГО ВОЖДЕНИЯ ТАНКОВ</w:t>
      </w:r>
    </w:p>
    <w:p w14:paraId="14205E5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сентябре месяце 1942 г. в 16-ю и 17-ю гвардейские танковые бригады 1-го гвардейского Донского танкового корпуса были направлены опытные образцы приборов ночного вождения тан</w:t>
      </w:r>
      <w:r w:rsidRPr="00D03F3E">
        <w:rPr>
          <w:rFonts w:ascii="Times New Roman" w:hAnsi="Times New Roman"/>
          <w:color w:val="000000" w:themeColor="text1"/>
          <w:sz w:val="16"/>
          <w:szCs w:val="16"/>
        </w:rPr>
        <w:softHyphen/>
        <w:t>ков в количестве 24 комплектов.</w:t>
      </w:r>
    </w:p>
    <w:p w14:paraId="38CF51B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Приборы в количестве 14 комплектов были установлены на танках в 16-й гвардейской танковой бригаде и в количестве 9 комплектов в 17-й гвардейской танковой бригаде.</w:t>
      </w:r>
    </w:p>
    <w:p w14:paraId="047EE93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предварительных испытаний на танках приборы были сданы танковым бригадам по акту и оставлены для дальнейшей эксплуатации и проверки их в боевых условиях.</w:t>
      </w:r>
    </w:p>
    <w:p w14:paraId="13C4E57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месяце с.г. были получены сведения, что приборы ночного вождения уничтожены.</w:t>
      </w:r>
    </w:p>
    <w:p w14:paraId="03A449A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выяснения обстоятельств уничтожения приборов был командирован в 1-й гвардейский Донской танковый корпус подполковник т. Дорофеев, который в результате расследования установил: в 16-й гвардейской танковой бригаде по приказанию командира бригады полковни</w:t>
      </w:r>
      <w:r w:rsidRPr="00D03F3E">
        <w:rPr>
          <w:rFonts w:ascii="Times New Roman" w:hAnsi="Times New Roman"/>
          <w:color w:val="000000" w:themeColor="text1"/>
          <w:sz w:val="16"/>
          <w:szCs w:val="16"/>
        </w:rPr>
        <w:softHyphen/>
        <w:t xml:space="preserve">ка т. Филипенко приборы, как не </w:t>
      </w:r>
      <w:r w:rsidRPr="00D03F3E">
        <w:rPr>
          <w:rFonts w:ascii="Times New Roman" w:hAnsi="Times New Roman"/>
          <w:color w:val="000000" w:themeColor="text1"/>
          <w:sz w:val="16"/>
          <w:szCs w:val="16"/>
        </w:rPr>
        <w:lastRenderedPageBreak/>
        <w:t>обеспечивающие надежной видимости и ориентировки води</w:t>
      </w:r>
      <w:r w:rsidRPr="00D03F3E">
        <w:rPr>
          <w:rFonts w:ascii="Times New Roman" w:hAnsi="Times New Roman"/>
          <w:color w:val="000000" w:themeColor="text1"/>
          <w:sz w:val="16"/>
          <w:szCs w:val="16"/>
        </w:rPr>
        <w:softHyphen/>
        <w:t>телю при вождении танков ночью, были сняты с танков и хранились на грузовом автомобиле роты технического обеспечения.</w:t>
      </w:r>
    </w:p>
    <w:p w14:paraId="50AA0DF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время налета вражеской авиации 22.02.1943 г. на город Орельки Днепропетровской области авиабомба попала в автомобиль и все, что было в автомобиле, сгорело.</w:t>
      </w:r>
    </w:p>
    <w:p w14:paraId="26E794F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17-й гвардейской танковой бригаде по тем же причинам были сняты приборы с танков и хра</w:t>
      </w:r>
      <w:r w:rsidRPr="00D03F3E">
        <w:rPr>
          <w:rFonts w:ascii="Times New Roman" w:hAnsi="Times New Roman"/>
          <w:color w:val="000000" w:themeColor="text1"/>
          <w:sz w:val="16"/>
          <w:szCs w:val="16"/>
        </w:rPr>
        <w:softHyphen/>
        <w:t>нились в роте технического обеспечения.</w:t>
      </w:r>
    </w:p>
    <w:p w14:paraId="1D4A19A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время боевых действий бригады в районе Запорожья в конце февраля также был налет вра</w:t>
      </w:r>
      <w:r w:rsidRPr="00D03F3E">
        <w:rPr>
          <w:rFonts w:ascii="Times New Roman" w:hAnsi="Times New Roman"/>
          <w:color w:val="000000" w:themeColor="text1"/>
          <w:sz w:val="16"/>
          <w:szCs w:val="16"/>
        </w:rPr>
        <w:softHyphen/>
        <w:t>жеской авиации, и в деревне Голая Долина Сталинской области одна бомба попала в автомобиль, где хранились приборы и все, что было в автомобиле, сгорело.</w:t>
      </w:r>
    </w:p>
    <w:p w14:paraId="3EC6DA4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Достоверность фактов уничтожения приборов подтверждена актами и письменными показа</w:t>
      </w:r>
      <w:r w:rsidRPr="00D03F3E">
        <w:rPr>
          <w:rFonts w:ascii="Times New Roman" w:hAnsi="Times New Roman"/>
          <w:color w:val="000000" w:themeColor="text1"/>
          <w:sz w:val="16"/>
          <w:szCs w:val="16"/>
        </w:rPr>
        <w:softHyphen/>
        <w:t>ниями тт. полковника Филипенко, капитана Синиченко П.К., лейтенанта Фоменко Г.Г., сержантов: Митина Г.Г. и Мусенко, красноармейцев: Дегтярева Ф.Г. и Свистун С. Уцелел только один прибор, командира 16-й гвардейской танковой бригады, который доставлен в г. Москву.</w:t>
      </w:r>
    </w:p>
    <w:p w14:paraId="6DB1DCD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Показания очевидцев, и особенно по 17-й гвардейской танковой бригаде, где представилась воз</w:t>
      </w:r>
      <w:r w:rsidRPr="00D03F3E">
        <w:rPr>
          <w:rFonts w:ascii="Times New Roman" w:hAnsi="Times New Roman"/>
          <w:color w:val="000000" w:themeColor="text1"/>
          <w:sz w:val="16"/>
          <w:szCs w:val="16"/>
        </w:rPr>
        <w:softHyphen/>
        <w:t>можность опросить только двух человек, не дают полных оснований к тому, что приборы уничтоже</w:t>
      </w:r>
      <w:r w:rsidRPr="00D03F3E">
        <w:rPr>
          <w:rFonts w:ascii="Times New Roman" w:hAnsi="Times New Roman"/>
          <w:color w:val="000000" w:themeColor="text1"/>
          <w:sz w:val="16"/>
          <w:szCs w:val="16"/>
        </w:rPr>
        <w:softHyphen/>
        <w:t>ны и не попали в руки к противнику.</w:t>
      </w:r>
    </w:p>
    <w:p w14:paraId="5B7223A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Вас произвести дополнительно более тщательное расследование этого вопроса.</w:t>
      </w:r>
    </w:p>
    <w:p w14:paraId="44CDDDA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ГБТУ Красной Армии генерал-лейтенант танковых войск Вершинин</w:t>
      </w:r>
    </w:p>
    <w:p w14:paraId="28BE68A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танкового управления ГБТУ Красной Армии инженер-полковник Афонин</w:t>
      </w:r>
    </w:p>
    <w:p w14:paraId="2BC0AB1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1423. Л. 95. Подлинник (11403).</w:t>
      </w:r>
    </w:p>
    <w:p w14:paraId="1970CA4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70CEAB9" w14:textId="77777777" w:rsidR="00E76B68"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65958862" w14:textId="77777777" w:rsidR="00E76B68" w:rsidRPr="00D03F3E" w:rsidRDefault="00E76B68" w:rsidP="00D03F3E">
      <w:pPr>
        <w:pStyle w:val="Iauiue"/>
        <w:jc w:val="both"/>
        <w:rPr>
          <w:iCs/>
          <w:color w:val="000000" w:themeColor="text1"/>
          <w:sz w:val="16"/>
          <w:szCs w:val="16"/>
        </w:rPr>
      </w:pPr>
    </w:p>
    <w:p w14:paraId="349DF4E3"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23 мая</w:t>
      </w:r>
      <w:r w:rsidRPr="00D03F3E">
        <w:rPr>
          <w:rFonts w:ascii="Times New Roman" w:hAnsi="Times New Roman"/>
          <w:color w:val="000000" w:themeColor="text1"/>
          <w:sz w:val="16"/>
          <w:szCs w:val="16"/>
        </w:rPr>
        <w:t xml:space="preserve"> в 1943 году утреннее сообщение Совинформбюро:</w:t>
      </w:r>
    </w:p>
    <w:p w14:paraId="2AC887C6"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23 мая на фронте ничего существенного не произошло.</w:t>
      </w:r>
    </w:p>
    <w:p w14:paraId="6A0D9291"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участке Западного фронта наши разведчики преодолели проволочные заграждения, минные поля противника и овладели первыми линиями немецких траншей. В завязавшемся бою истреблено до 200 немецких солдат и офицеров, уничтожено 14 пулемётов и 2 противотанковых орудия. Успешно выполнив боевую задачу, наши бойцы вернулись в свою часть.</w:t>
      </w:r>
    </w:p>
    <w:p w14:paraId="25BCA423"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Калининском фронте артиллеристы Н-ской части произвели огневой налёт на позиции противника. Уничтожено 4 повозки с грузами, 7 автомашин, разрушено 3 блиндажа и истреблено до взвода гитлеровцев.</w:t>
      </w:r>
    </w:p>
    <w:p w14:paraId="50F195ED"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наши подразделения отбивали атаки гитлеровцев, пытавшихся вернуть утерянные ими позиции. Ружейно-пулемётным и миномётным огнём уничтожено до роты немецкой пехоты.</w:t>
      </w:r>
    </w:p>
    <w:p w14:paraId="5F117C50"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лётчиками в воздушных боях сбито 4 немецких истребителя. Кроме того, один немецкий самолёт сбит огнём из противотанковых ружей.</w:t>
      </w:r>
    </w:p>
    <w:p w14:paraId="3CDAF363"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артиллерийская батарея под командованием капитана Лейдермана разрушила 7 вражеских дзотов и блиндажей, 2 наблюдательных пункта и взорвала склад противника с боеприпасами.</w:t>
      </w:r>
    </w:p>
    <w:p w14:paraId="36B7ED24"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 одном участке две роты гитлеровцев в сопровождении 4 танков пытались атаковать наши позиции. Массированным огнём артиллерии и миномётов противник был рассеян. Гитлеровцы отошли, оставив на поле боя свыше 50 трупов своих солдат и офицеров.</w:t>
      </w:r>
    </w:p>
    <w:p w14:paraId="49113F31"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Лётчики Краснознамённого Балтийского флота в воздушных боях сбили 6 немецких самолётов.</w:t>
      </w:r>
    </w:p>
    <w:p w14:paraId="35B20EB9"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Тарнопольской области, совершил налёт на железнодорожную станцию. В упорном бою с вооружённой немецкой охраной станции советские патриоты истребили 70 гитлеровцев, взорвали 3 грузовые автомашины с боеприпасами, вывели из строя паровоз и станционное оборудование. Захвачено у немцев 9 пулемётов, 2 автомашины и несколько десятков винтовок. Партизаны другого отряда за несколько дней взорвали 3 железобетонных моста на важном участке железной дороги. Движение поездов на этом участке прекращено на длительный срок.</w:t>
      </w:r>
    </w:p>
    <w:p w14:paraId="0AEB9378"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ефрейтор 4 роты 994 румынского штрафного батальона Павел Удря рассказал: «Штрафной батальон прибыл на Кубань недавно, но он уже потерял все свои противотанковые орудия, много пулемётов и винтовок и более половины личного состава. Немцы распоряжаются нами, как им вздумается. Когда создается критическое положение, они удирают на машинах, а румын оставляют для прикрытия отступающих немецких подразделений. Это вызывает злобу и возмущение румынских солдат. На этой почве нередко происходят стычки между немцами и румынами».</w:t>
      </w:r>
    </w:p>
    <w:p w14:paraId="0A852848"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зверствах немецко-фашистских мерзавцев над пленными красноармейцами: «Наше подразделение, действующее на одном участке Калининскогофронта, 6 мая захватило вражеские позиции. У немецких блиндажей мы обнаружили 15 трупов бойцов Красной Армии. После тщательного исследования трупов установлено, что эти красноармейцы попали в плен к немцам и подверглись страшным, нечеловеческим пыткам. Девять трупов сожжены, причём у четырёх руки и ноги скручены колючей проволокой, у двух отрублены руки по локтевой сустав, у одного отрублены ноги выше ступней. Личность этих и других замученных бойцов установить не удалось, так как они изуродованы немцами до неузнаваемости. У трупов наших товарищей, погибших от рук гитлеровских людоедов, советские бойцы и командиры поклялись жестоко отомстить немецко-фашистским извергам». Акт подписали: гвардии капитан Данилюк, гвардии старший лейтенант Голодов, гвардии лейтенант Мельник, гвардии младший лейтенант медицинской службы Олейник, гвардии красноармейцы Михайлов, Княжер и Шепсюк.</w:t>
      </w:r>
    </w:p>
    <w:p w14:paraId="316702C9"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на левом берегу реки Дрина разгромили колонну немецкой пехоты. Па другом участке партизанами уничтожено несколько грузовых автомашин противника, перевозивших солдат и боеприпасы. У города Служа партизаны в ожесточённом бою истребили 140 гитлеровцев и взяли 80 пленных. Партизанами захвачены большие трофеи.» (14900).</w:t>
      </w:r>
    </w:p>
    <w:p w14:paraId="57E2AE70" w14:textId="77777777" w:rsidR="00E76B68" w:rsidRPr="00D03F3E" w:rsidRDefault="00E76B68" w:rsidP="00D03F3E">
      <w:pPr>
        <w:spacing w:after="0" w:line="240" w:lineRule="auto"/>
        <w:jc w:val="both"/>
        <w:rPr>
          <w:rFonts w:ascii="Times New Roman" w:hAnsi="Times New Roman"/>
          <w:color w:val="000000" w:themeColor="text1"/>
          <w:sz w:val="16"/>
          <w:szCs w:val="16"/>
        </w:rPr>
      </w:pPr>
    </w:p>
    <w:p w14:paraId="2E4ADB3A"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23 мая</w:t>
      </w:r>
      <w:r w:rsidRPr="00D03F3E">
        <w:rPr>
          <w:rFonts w:ascii="Times New Roman" w:hAnsi="Times New Roman"/>
          <w:color w:val="000000" w:themeColor="text1"/>
          <w:sz w:val="16"/>
          <w:szCs w:val="16"/>
        </w:rPr>
        <w:t xml:space="preserve"> в 1943 году вечернее сообщение Совинформбюро:</w:t>
      </w:r>
    </w:p>
    <w:p w14:paraId="08C90010"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23 мая на фронте существенных изменений не произошло.</w:t>
      </w:r>
    </w:p>
    <w:p w14:paraId="22141DF0"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16 по 22 мая включительно, в воздушных боях и на аэродромах противника уничтожено 318 немецких самолётов. Наши потери за это же время — 61 самолёт.</w:t>
      </w:r>
    </w:p>
    <w:p w14:paraId="78CD3589"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мая частями нашей авиации на различных участках фронта уничтожено до 30 немецких автомашин с войсками и грузами, разбит железнодорожный состав, подавлен огонь 9 артиллерийских и миномётных батарей, повреждены сторожевой корабль и тральщик противника.</w:t>
      </w:r>
    </w:p>
    <w:p w14:paraId="738BAF32"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огнём артиллерии и пехотного оружия уничтожали живую силу и оборонительные укрепления противника. В течение дня уничтожено до300 немецких солдат и офицеров, разрушено 6 блиндажей и подавлен огонь 4 артиллерийских батарей противника. Группа наших разведчиков атаковала вражеские позиции и истребила до 30 немцев. Захватив пулемёт, винтовки и автоматы, разведчики вернулись в свою часть.</w:t>
      </w:r>
    </w:p>
    <w:p w14:paraId="50CCF6B1"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из участков Калининского фронта разведывательный отряд Н-ской части рано утром стремительно атаковал противника и овладел одним населённым пунктом. Наши бойцы закрепились в населённом пункте и в течение дня отбили десять контратак противника. В этом бою немцы понесли большие потери. Взяты пленные и трофеи.</w:t>
      </w:r>
    </w:p>
    <w:p w14:paraId="6220C2EF"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наши части укрепляли занимаемые рубежи и вели обстрел позиций противника. Артиллерийским огнём разрушено 3 дзота и 4 блиндажа. Подбиты 2 танкетки и подавлен огонь нескольких артиллерийских и миномётных батарей противника.</w:t>
      </w:r>
    </w:p>
    <w:p w14:paraId="1DE3347A"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происходила редкая артиллерийско-миномётная перестрелка. Орудийный расчёт старшего сержанта Кулиева взорвал склад боеприпасов, разбил наблюдательный пункт и подавил огонь артиллерийской батареи противника.</w:t>
      </w:r>
    </w:p>
    <w:p w14:paraId="3060E425"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Северо-восточнее Новороссийска артиллеристы Н-ской части подавили огонь 8 артиллерийских и 2 миномётных батарей противника. Нашими лётчиками и огнём зенитной артиллерии сбито 13 немецких самолётов.</w:t>
      </w:r>
    </w:p>
    <w:p w14:paraId="101D1F49"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Крупный партизанский отряд, действующий в одном из районов Украины, атаковал сильно охраняемый немцами железнодорожный разъезд. Партизаны разрушили оборудование разъезда и в нескольких местах взорвали железнодорожные пути. На помощь охране разъезда немцы выслали с ближайшей станции подкрепление. Вражеский поезд, не дойдя до места назначения, подорвался на минах, установленных партизанами, и полетел под откос. В бою на разъезде и при крушении поезда убито до 200 немецких солдат и офицеров. Как сообщают с Украины, на сторону партизанского отряда имени Ворошилова перешли 29 немецких солдат с вооружением. Они принесли с собой 4 пулемёта, 2 миномёта, 22 винтовки и несколько тысяч патронов.</w:t>
      </w:r>
    </w:p>
    <w:p w14:paraId="4845DDB4"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пилот обер-фельдфебель 2 группы 2 немецкой эскадры пикирующих бомбардировщиков «Юнкерс-87» Фридрих Штюкер сообщил: «На Кубани вторая эскадра потеряла в воздушных боях 60 самолётов вместе с их экипажами. Кроме того, при налёте советской авиации на аэродромы было уничтожено ещё 7 и повреждено 11 самолётов. В районе Новороссийска советский лётчик сбил самолёт командира первой группы 2 эскадры майора Дилай». Пленный лётчик унтер-офицер 5 отряда 2 группы немецкой штурмовой эскадры Отто Глезер заявил: «Группа эскадры "Удет" и группа 52 истребительной эскадры в последних боях потеряли 25 самолётов. Много самолётов уничтожено на земле. Только на аэродроме Анапы в результате действий советской авиации за один месяц уничтожено свыше 40 немецких самолётов». Пленный лётчик-наблюдатель 3 труппы 4 немецкой бомбардировочной эскадры Курт Лезер рассказал: «Потери немецких воздушных сил очень велики. Достаточно сказать, что лётный состав эскадры уже несколько раз обновлялся. Недавно русские лётчики бомбили аэродром в Саки и уничтожили на земле 9 самолётов».</w:t>
      </w:r>
    </w:p>
    <w:p w14:paraId="3B572658"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Близ Сааргемюнда (Лотарингия) гитлеровцы устроили военную тюрьму. За последние два месяца в эту тюрьму брошено свыше тысячи немецких солдат. Многие заключённые ранее участвовали в боях, были ранены и после выздоровления категорически отказались снова ехать на советско-германский фронт. В конце апреля в тюрьму был доставлен экипаж немецкой подводной лодки, отказавшийс явыйти в море на выполнение боевого задания.» (14900).</w:t>
      </w:r>
    </w:p>
    <w:p w14:paraId="1966E3A6" w14:textId="77777777" w:rsidR="00E76B68" w:rsidRPr="00D03F3E" w:rsidRDefault="00E76B68" w:rsidP="00D03F3E">
      <w:pPr>
        <w:spacing w:after="0" w:line="240" w:lineRule="auto"/>
        <w:jc w:val="both"/>
        <w:rPr>
          <w:rFonts w:ascii="Times New Roman" w:hAnsi="Times New Roman"/>
          <w:color w:val="000000" w:themeColor="text1"/>
          <w:sz w:val="16"/>
          <w:szCs w:val="16"/>
        </w:rPr>
      </w:pPr>
    </w:p>
    <w:p w14:paraId="1B381D71" w14:textId="77777777" w:rsidR="00983A9C" w:rsidRPr="00D03F3E" w:rsidRDefault="00983A9C"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52CE2C20" w14:textId="77777777" w:rsidR="00983A9C" w:rsidRPr="00D03F3E" w:rsidRDefault="00983A9C" w:rsidP="00D03F3E">
      <w:pPr>
        <w:pStyle w:val="Iauiue"/>
        <w:jc w:val="both"/>
        <w:rPr>
          <w:iCs/>
          <w:color w:val="000000" w:themeColor="text1"/>
          <w:sz w:val="16"/>
          <w:szCs w:val="16"/>
        </w:rPr>
      </w:pPr>
    </w:p>
    <w:p w14:paraId="4A7FAAAE" w14:textId="77777777" w:rsidR="00983A9C" w:rsidRPr="00D03F3E" w:rsidRDefault="00983A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мая 1943. Вечером Сталин устроил обед в честь Джозефа Дэвиса и американского посла Уильяма Стэндли. После ряда тостов и отменной закуски Сталин произнес: "Сейчас мы сделаем перерыв, и все пойдем в кинозал, где будем смотреть фильм нашего почетного гостя "Миссия в Москве"",</w:t>
      </w:r>
    </w:p>
    <w:p w14:paraId="1EC3B3FF" w14:textId="77777777" w:rsidR="00983A9C" w:rsidRPr="00D03F3E" w:rsidRDefault="00983A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Кларк-Клер вспоминал: "Вместо траты впустую традиционных двух часов на питье алкоголя посреди зеленых с золотом столов в фойе, нас, еще трезвых, торопливо перевели в кинозал смотреть фильм мистера Дэвиса про него самого".</w:t>
      </w:r>
    </w:p>
    <w:p w14:paraId="54DD0EDC" w14:textId="77777777" w:rsidR="00983A9C" w:rsidRPr="00D03F3E" w:rsidRDefault="00983A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Деннис Данн в книге "Между Рузвельтом и Сталиным. Американские послы в Москве писал: "В фильме были положительно отражены показательные процессы. Сталин был изображен национальным кумиром и подлинным демократом, и подчеркивалась решающая роль Дэвиса в развитии американо-советской дружбы в период его службы послом, В фильме было много исторических неточностей, неоправданной пропаганды и плохой актерской игры. Американские и британские представители, знавшие свою историю, были оскорблены" (18693).</w:t>
      </w:r>
    </w:p>
    <w:p w14:paraId="3F8FE3DD" w14:textId="77777777" w:rsidR="00983A9C" w:rsidRPr="00D03F3E" w:rsidRDefault="00983A9C" w:rsidP="00D03F3E">
      <w:pPr>
        <w:spacing w:after="0" w:line="240" w:lineRule="auto"/>
        <w:jc w:val="both"/>
        <w:rPr>
          <w:rFonts w:ascii="Times New Roman" w:hAnsi="Times New Roman"/>
          <w:color w:val="000000" w:themeColor="text1"/>
          <w:sz w:val="16"/>
          <w:szCs w:val="16"/>
        </w:rPr>
      </w:pPr>
    </w:p>
    <w:p w14:paraId="0E257C3D"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4F1BF9AA" w14:textId="77777777" w:rsidR="00531570" w:rsidRPr="00D03F3E" w:rsidRDefault="00531570" w:rsidP="00D03F3E">
      <w:pPr>
        <w:pStyle w:val="Iauiue"/>
        <w:jc w:val="both"/>
        <w:rPr>
          <w:iCs/>
          <w:color w:val="000000" w:themeColor="text1"/>
          <w:sz w:val="16"/>
          <w:szCs w:val="16"/>
        </w:rPr>
      </w:pPr>
    </w:p>
    <w:p w14:paraId="7F45CFDD"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23 мая 1943 немецкий гроссадмирал К. Дениц приказал снабдить все подлодки Германии зенитным оружием (4962).</w:t>
      </w:r>
    </w:p>
    <w:p w14:paraId="34443AB6" w14:textId="77777777" w:rsidR="00531570" w:rsidRPr="00D03F3E" w:rsidRDefault="00531570" w:rsidP="00D03F3E">
      <w:pPr>
        <w:pStyle w:val="Iauiue"/>
        <w:tabs>
          <w:tab w:val="left" w:pos="11199"/>
        </w:tabs>
        <w:jc w:val="both"/>
        <w:rPr>
          <w:color w:val="000000" w:themeColor="text1"/>
          <w:sz w:val="16"/>
          <w:szCs w:val="16"/>
        </w:rPr>
      </w:pPr>
    </w:p>
    <w:p w14:paraId="388D2179"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May 23rd, 1943: The RaF launches a heavy raid on Dortmund, dropping 2,000 tons of bombs (3819).</w:t>
      </w:r>
    </w:p>
    <w:p w14:paraId="1949F221" w14:textId="77777777" w:rsidR="00531570" w:rsidRPr="00D03F3E" w:rsidRDefault="00531570" w:rsidP="00D03F3E">
      <w:pPr>
        <w:pStyle w:val="Iauiue"/>
        <w:jc w:val="both"/>
        <w:rPr>
          <w:color w:val="000000" w:themeColor="text1"/>
          <w:sz w:val="16"/>
          <w:szCs w:val="16"/>
          <w:lang w:val="en-US"/>
        </w:rPr>
      </w:pPr>
    </w:p>
    <w:p w14:paraId="44DAA7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 мая 1943 в ходе налета на Deourmund англичане сбросили 2 тыс. т бомб (2262).</w:t>
      </w:r>
    </w:p>
    <w:p w14:paraId="1350B0C8" w14:textId="77777777" w:rsidR="00531570" w:rsidRPr="00D03F3E" w:rsidRDefault="00531570" w:rsidP="00D03F3E">
      <w:pPr>
        <w:pStyle w:val="Iauiue"/>
        <w:jc w:val="both"/>
        <w:rPr>
          <w:color w:val="000000" w:themeColor="text1"/>
          <w:sz w:val="16"/>
          <w:szCs w:val="16"/>
        </w:rPr>
      </w:pPr>
    </w:p>
    <w:p w14:paraId="3E6A4702" w14:textId="77777777" w:rsidR="00E1323F" w:rsidRPr="00D03F3E" w:rsidRDefault="00E1323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23 мая 1943 самолет впервые топит вражескую подводную лодку ракетами класса "воздух-поверхность" - Fairey Swordfish с британского эскортного авианосца HMS Archer топит немецкую подводную лодку U-752 в Атлантике (20376).</w:t>
      </w:r>
    </w:p>
    <w:p w14:paraId="0E32EAC0" w14:textId="77777777" w:rsidR="00E1323F" w:rsidRPr="00D03F3E" w:rsidRDefault="00E1323F" w:rsidP="00D03F3E">
      <w:pPr>
        <w:spacing w:after="0" w:line="240" w:lineRule="auto"/>
        <w:jc w:val="both"/>
        <w:rPr>
          <w:rFonts w:ascii="Times New Roman" w:hAnsi="Times New Roman"/>
          <w:color w:val="0070C0"/>
          <w:sz w:val="16"/>
          <w:szCs w:val="16"/>
        </w:rPr>
      </w:pPr>
    </w:p>
    <w:p w14:paraId="199A958A"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5A67A167" w14:textId="77777777" w:rsidR="00531570" w:rsidRPr="00D03F3E" w:rsidRDefault="00531570" w:rsidP="00D03F3E">
      <w:pPr>
        <w:pStyle w:val="Iauiue"/>
        <w:jc w:val="both"/>
        <w:rPr>
          <w:iCs/>
          <w:color w:val="000000" w:themeColor="text1"/>
          <w:sz w:val="16"/>
          <w:szCs w:val="16"/>
        </w:rPr>
      </w:pPr>
    </w:p>
    <w:p w14:paraId="54A7D73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 мая 1943 Зам. А.Н.Т. Н.Базенков направил в НКАП (7 ГУ) план работы ОКБ А.Н.Т. на 2 кв. 1943, где впервые появился 4-х моторный ДБ (1042):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5078"/>
        <w:gridCol w:w="2126"/>
        <w:gridCol w:w="1843"/>
      </w:tblGrid>
      <w:tr w:rsidR="00860B4B" w:rsidRPr="00D03F3E" w14:paraId="5F6A0909" w14:textId="77777777">
        <w:tc>
          <w:tcPr>
            <w:tcW w:w="1409" w:type="dxa"/>
          </w:tcPr>
          <w:p w14:paraId="45F7466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п/п</w:t>
            </w:r>
          </w:p>
        </w:tc>
        <w:tc>
          <w:tcPr>
            <w:tcW w:w="5078" w:type="dxa"/>
          </w:tcPr>
          <w:p w14:paraId="3A556BF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Наименование работ</w:t>
            </w:r>
          </w:p>
        </w:tc>
        <w:tc>
          <w:tcPr>
            <w:tcW w:w="2126" w:type="dxa"/>
          </w:tcPr>
          <w:p w14:paraId="7A1C78B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Срок</w:t>
            </w:r>
          </w:p>
        </w:tc>
        <w:tc>
          <w:tcPr>
            <w:tcW w:w="1843" w:type="dxa"/>
          </w:tcPr>
          <w:p w14:paraId="314FD9F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Примечание</w:t>
            </w:r>
          </w:p>
        </w:tc>
      </w:tr>
      <w:tr w:rsidR="00860B4B" w:rsidRPr="00D03F3E" w14:paraId="2304705F" w14:textId="77777777">
        <w:tc>
          <w:tcPr>
            <w:tcW w:w="1409" w:type="dxa"/>
          </w:tcPr>
          <w:p w14:paraId="01E9877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w:t>
            </w:r>
          </w:p>
        </w:tc>
        <w:tc>
          <w:tcPr>
            <w:tcW w:w="5078" w:type="dxa"/>
          </w:tcPr>
          <w:p w14:paraId="76FEE15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4-х моторный дальний бомбардировщик</w:t>
            </w:r>
          </w:p>
        </w:tc>
        <w:tc>
          <w:tcPr>
            <w:tcW w:w="2126" w:type="dxa"/>
          </w:tcPr>
          <w:p w14:paraId="2B17527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31.12.44</w:t>
            </w:r>
          </w:p>
        </w:tc>
        <w:tc>
          <w:tcPr>
            <w:tcW w:w="1843" w:type="dxa"/>
          </w:tcPr>
          <w:p w14:paraId="38C2C4C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Приказ 430сс</w:t>
            </w:r>
          </w:p>
        </w:tc>
      </w:tr>
      <w:tr w:rsidR="00860B4B" w:rsidRPr="00D03F3E" w14:paraId="5F295B29" w14:textId="77777777">
        <w:tc>
          <w:tcPr>
            <w:tcW w:w="1409" w:type="dxa"/>
          </w:tcPr>
          <w:p w14:paraId="7C57B1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w:t>
            </w:r>
          </w:p>
        </w:tc>
        <w:tc>
          <w:tcPr>
            <w:tcW w:w="5078" w:type="dxa"/>
          </w:tcPr>
          <w:p w14:paraId="4B30E11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Самолет Ту-2 с 282НВ с ТК-5</w:t>
            </w:r>
          </w:p>
        </w:tc>
        <w:tc>
          <w:tcPr>
            <w:tcW w:w="2126" w:type="dxa"/>
          </w:tcPr>
          <w:p w14:paraId="2D3842B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01.10.43</w:t>
            </w:r>
          </w:p>
        </w:tc>
        <w:tc>
          <w:tcPr>
            <w:tcW w:w="1843" w:type="dxa"/>
          </w:tcPr>
          <w:p w14:paraId="62653183" w14:textId="77777777" w:rsidR="00531570" w:rsidRPr="00D03F3E" w:rsidRDefault="00531570" w:rsidP="00D03F3E">
            <w:pPr>
              <w:pStyle w:val="Iauiue"/>
              <w:jc w:val="both"/>
              <w:rPr>
                <w:color w:val="000000" w:themeColor="text1"/>
                <w:sz w:val="16"/>
                <w:szCs w:val="16"/>
              </w:rPr>
            </w:pPr>
          </w:p>
        </w:tc>
      </w:tr>
      <w:tr w:rsidR="00860B4B" w:rsidRPr="00D03F3E" w14:paraId="24662174" w14:textId="77777777">
        <w:tc>
          <w:tcPr>
            <w:tcW w:w="1409" w:type="dxa"/>
          </w:tcPr>
          <w:p w14:paraId="509B154D" w14:textId="77777777" w:rsidR="00531570" w:rsidRPr="00D03F3E" w:rsidRDefault="00531570" w:rsidP="00D03F3E">
            <w:pPr>
              <w:pStyle w:val="Iauiue"/>
              <w:jc w:val="both"/>
              <w:rPr>
                <w:color w:val="000000" w:themeColor="text1"/>
                <w:sz w:val="16"/>
                <w:szCs w:val="16"/>
              </w:rPr>
            </w:pPr>
          </w:p>
        </w:tc>
        <w:tc>
          <w:tcPr>
            <w:tcW w:w="5078" w:type="dxa"/>
          </w:tcPr>
          <w:p w14:paraId="688D09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проектирование</w:t>
            </w:r>
          </w:p>
        </w:tc>
        <w:tc>
          <w:tcPr>
            <w:tcW w:w="2126" w:type="dxa"/>
          </w:tcPr>
          <w:p w14:paraId="05C1E872" w14:textId="77777777" w:rsidR="00531570" w:rsidRPr="00D03F3E" w:rsidRDefault="00531570" w:rsidP="00D03F3E">
            <w:pPr>
              <w:pStyle w:val="Iauiue"/>
              <w:jc w:val="both"/>
              <w:rPr>
                <w:color w:val="000000" w:themeColor="text1"/>
                <w:sz w:val="16"/>
                <w:szCs w:val="16"/>
              </w:rPr>
            </w:pPr>
          </w:p>
        </w:tc>
        <w:tc>
          <w:tcPr>
            <w:tcW w:w="1843" w:type="dxa"/>
          </w:tcPr>
          <w:p w14:paraId="7AFF04C0" w14:textId="77777777" w:rsidR="00531570" w:rsidRPr="00D03F3E" w:rsidRDefault="00531570" w:rsidP="00D03F3E">
            <w:pPr>
              <w:pStyle w:val="Iauiue"/>
              <w:jc w:val="both"/>
              <w:rPr>
                <w:color w:val="000000" w:themeColor="text1"/>
                <w:sz w:val="16"/>
                <w:szCs w:val="16"/>
              </w:rPr>
            </w:pPr>
          </w:p>
        </w:tc>
      </w:tr>
      <w:tr w:rsidR="00860B4B" w:rsidRPr="00D03F3E" w14:paraId="5C542945" w14:textId="77777777">
        <w:tc>
          <w:tcPr>
            <w:tcW w:w="1409" w:type="dxa"/>
          </w:tcPr>
          <w:p w14:paraId="7D1E219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w:t>
            </w:r>
          </w:p>
        </w:tc>
        <w:tc>
          <w:tcPr>
            <w:tcW w:w="5078" w:type="dxa"/>
          </w:tcPr>
          <w:p w14:paraId="07FBEF3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Самолет Ту-2 с 2М82ФН в варианте дальнего разведчика</w:t>
            </w:r>
          </w:p>
        </w:tc>
        <w:tc>
          <w:tcPr>
            <w:tcW w:w="2126" w:type="dxa"/>
          </w:tcPr>
          <w:p w14:paraId="67148B3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01.11.43</w:t>
            </w:r>
          </w:p>
        </w:tc>
        <w:tc>
          <w:tcPr>
            <w:tcW w:w="1843" w:type="dxa"/>
          </w:tcPr>
          <w:p w14:paraId="1A2D70F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Приказ 430сс</w:t>
            </w:r>
          </w:p>
        </w:tc>
      </w:tr>
      <w:tr w:rsidR="00860B4B" w:rsidRPr="00D03F3E" w14:paraId="2BFC54C1" w14:textId="77777777">
        <w:tc>
          <w:tcPr>
            <w:tcW w:w="1409" w:type="dxa"/>
          </w:tcPr>
          <w:p w14:paraId="23C01EF9" w14:textId="77777777" w:rsidR="00531570" w:rsidRPr="00D03F3E" w:rsidRDefault="00531570" w:rsidP="00D03F3E">
            <w:pPr>
              <w:pStyle w:val="Iauiue"/>
              <w:jc w:val="both"/>
              <w:rPr>
                <w:color w:val="000000" w:themeColor="text1"/>
                <w:sz w:val="16"/>
                <w:szCs w:val="16"/>
              </w:rPr>
            </w:pPr>
          </w:p>
        </w:tc>
        <w:tc>
          <w:tcPr>
            <w:tcW w:w="5078" w:type="dxa"/>
          </w:tcPr>
          <w:p w14:paraId="1C71074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 бомбардировщика (2-й)</w:t>
            </w:r>
          </w:p>
        </w:tc>
        <w:tc>
          <w:tcPr>
            <w:tcW w:w="2126" w:type="dxa"/>
          </w:tcPr>
          <w:p w14:paraId="373214C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01.12.43</w:t>
            </w:r>
          </w:p>
        </w:tc>
        <w:tc>
          <w:tcPr>
            <w:tcW w:w="1843" w:type="dxa"/>
          </w:tcPr>
          <w:p w14:paraId="1754D1AB" w14:textId="77777777" w:rsidR="00531570" w:rsidRPr="00D03F3E" w:rsidRDefault="00531570" w:rsidP="00D03F3E">
            <w:pPr>
              <w:pStyle w:val="Iauiue"/>
              <w:jc w:val="both"/>
              <w:rPr>
                <w:color w:val="000000" w:themeColor="text1"/>
                <w:sz w:val="16"/>
                <w:szCs w:val="16"/>
              </w:rPr>
            </w:pPr>
          </w:p>
        </w:tc>
      </w:tr>
      <w:tr w:rsidR="00860B4B" w:rsidRPr="00D03F3E" w14:paraId="29C66C7C" w14:textId="77777777">
        <w:tc>
          <w:tcPr>
            <w:tcW w:w="1409" w:type="dxa"/>
          </w:tcPr>
          <w:p w14:paraId="0A4C3C78" w14:textId="77777777" w:rsidR="00531570" w:rsidRPr="00D03F3E" w:rsidRDefault="00531570" w:rsidP="00D03F3E">
            <w:pPr>
              <w:pStyle w:val="Iauiue"/>
              <w:jc w:val="both"/>
              <w:rPr>
                <w:color w:val="000000" w:themeColor="text1"/>
                <w:sz w:val="16"/>
                <w:szCs w:val="16"/>
              </w:rPr>
            </w:pPr>
          </w:p>
        </w:tc>
        <w:tc>
          <w:tcPr>
            <w:tcW w:w="5078" w:type="dxa"/>
          </w:tcPr>
          <w:p w14:paraId="29B87E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проектирование</w:t>
            </w:r>
          </w:p>
        </w:tc>
        <w:tc>
          <w:tcPr>
            <w:tcW w:w="2126" w:type="dxa"/>
          </w:tcPr>
          <w:p w14:paraId="25DD4D22" w14:textId="77777777" w:rsidR="00531570" w:rsidRPr="00D03F3E" w:rsidRDefault="00531570" w:rsidP="00D03F3E">
            <w:pPr>
              <w:pStyle w:val="Iauiue"/>
              <w:jc w:val="both"/>
              <w:rPr>
                <w:color w:val="000000" w:themeColor="text1"/>
                <w:sz w:val="16"/>
                <w:szCs w:val="16"/>
              </w:rPr>
            </w:pPr>
          </w:p>
        </w:tc>
        <w:tc>
          <w:tcPr>
            <w:tcW w:w="1843" w:type="dxa"/>
          </w:tcPr>
          <w:p w14:paraId="35E4E8DE" w14:textId="77777777" w:rsidR="00531570" w:rsidRPr="00D03F3E" w:rsidRDefault="00531570" w:rsidP="00D03F3E">
            <w:pPr>
              <w:pStyle w:val="Iauiue"/>
              <w:jc w:val="both"/>
              <w:rPr>
                <w:color w:val="000000" w:themeColor="text1"/>
                <w:sz w:val="16"/>
                <w:szCs w:val="16"/>
              </w:rPr>
            </w:pPr>
          </w:p>
        </w:tc>
      </w:tr>
      <w:tr w:rsidR="00860B4B" w:rsidRPr="00D03F3E" w14:paraId="43378B3E" w14:textId="77777777">
        <w:tc>
          <w:tcPr>
            <w:tcW w:w="1409" w:type="dxa"/>
          </w:tcPr>
          <w:p w14:paraId="3C3C90BD" w14:textId="77777777" w:rsidR="00531570" w:rsidRPr="00D03F3E" w:rsidRDefault="00531570" w:rsidP="00D03F3E">
            <w:pPr>
              <w:pStyle w:val="Iauiue"/>
              <w:jc w:val="both"/>
              <w:rPr>
                <w:color w:val="000000" w:themeColor="text1"/>
                <w:sz w:val="16"/>
                <w:szCs w:val="16"/>
              </w:rPr>
            </w:pPr>
          </w:p>
        </w:tc>
        <w:tc>
          <w:tcPr>
            <w:tcW w:w="5078" w:type="dxa"/>
          </w:tcPr>
          <w:p w14:paraId="7A8965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постройка</w:t>
            </w:r>
          </w:p>
        </w:tc>
        <w:tc>
          <w:tcPr>
            <w:tcW w:w="2126" w:type="dxa"/>
          </w:tcPr>
          <w:p w14:paraId="03FEF444" w14:textId="77777777" w:rsidR="00531570" w:rsidRPr="00D03F3E" w:rsidRDefault="00531570" w:rsidP="00D03F3E">
            <w:pPr>
              <w:pStyle w:val="Iauiue"/>
              <w:jc w:val="both"/>
              <w:rPr>
                <w:color w:val="000000" w:themeColor="text1"/>
                <w:sz w:val="16"/>
                <w:szCs w:val="16"/>
              </w:rPr>
            </w:pPr>
          </w:p>
        </w:tc>
        <w:tc>
          <w:tcPr>
            <w:tcW w:w="1843" w:type="dxa"/>
          </w:tcPr>
          <w:p w14:paraId="66ED9344" w14:textId="77777777" w:rsidR="00531570" w:rsidRPr="00D03F3E" w:rsidRDefault="00531570" w:rsidP="00D03F3E">
            <w:pPr>
              <w:pStyle w:val="Iauiue"/>
              <w:jc w:val="both"/>
              <w:rPr>
                <w:color w:val="000000" w:themeColor="text1"/>
                <w:sz w:val="16"/>
                <w:szCs w:val="16"/>
              </w:rPr>
            </w:pPr>
          </w:p>
        </w:tc>
      </w:tr>
      <w:tr w:rsidR="00860B4B" w:rsidRPr="00D03F3E" w14:paraId="478FCBBF" w14:textId="77777777">
        <w:tc>
          <w:tcPr>
            <w:tcW w:w="1409" w:type="dxa"/>
          </w:tcPr>
          <w:p w14:paraId="44E5A6C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w:t>
            </w:r>
          </w:p>
        </w:tc>
        <w:tc>
          <w:tcPr>
            <w:tcW w:w="5078" w:type="dxa"/>
          </w:tcPr>
          <w:p w14:paraId="393D328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Самолет Ту-2 с 2М-43 с первоначальной установкой</w:t>
            </w:r>
          </w:p>
        </w:tc>
        <w:tc>
          <w:tcPr>
            <w:tcW w:w="2126" w:type="dxa"/>
          </w:tcPr>
          <w:p w14:paraId="7BC780D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01.11.43</w:t>
            </w:r>
          </w:p>
        </w:tc>
        <w:tc>
          <w:tcPr>
            <w:tcW w:w="1843" w:type="dxa"/>
          </w:tcPr>
          <w:p w14:paraId="2FA77DBF" w14:textId="77777777" w:rsidR="00531570" w:rsidRPr="00D03F3E" w:rsidRDefault="00531570" w:rsidP="00D03F3E">
            <w:pPr>
              <w:pStyle w:val="Iauiue"/>
              <w:jc w:val="both"/>
              <w:rPr>
                <w:color w:val="000000" w:themeColor="text1"/>
                <w:sz w:val="16"/>
                <w:szCs w:val="16"/>
              </w:rPr>
            </w:pPr>
          </w:p>
        </w:tc>
      </w:tr>
      <w:tr w:rsidR="00860B4B" w:rsidRPr="00D03F3E" w14:paraId="5B91DE9A" w14:textId="77777777">
        <w:tc>
          <w:tcPr>
            <w:tcW w:w="1409" w:type="dxa"/>
          </w:tcPr>
          <w:p w14:paraId="7288438A" w14:textId="77777777" w:rsidR="00531570" w:rsidRPr="00D03F3E" w:rsidRDefault="00531570" w:rsidP="00D03F3E">
            <w:pPr>
              <w:pStyle w:val="Iauiue"/>
              <w:jc w:val="both"/>
              <w:rPr>
                <w:color w:val="000000" w:themeColor="text1"/>
                <w:sz w:val="16"/>
                <w:szCs w:val="16"/>
              </w:rPr>
            </w:pPr>
          </w:p>
        </w:tc>
        <w:tc>
          <w:tcPr>
            <w:tcW w:w="5078" w:type="dxa"/>
          </w:tcPr>
          <w:p w14:paraId="7093E73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М-39</w:t>
            </w:r>
          </w:p>
        </w:tc>
        <w:tc>
          <w:tcPr>
            <w:tcW w:w="2126" w:type="dxa"/>
          </w:tcPr>
          <w:p w14:paraId="7519F9FA" w14:textId="77777777" w:rsidR="00531570" w:rsidRPr="00D03F3E" w:rsidRDefault="00531570" w:rsidP="00D03F3E">
            <w:pPr>
              <w:pStyle w:val="Iauiue"/>
              <w:jc w:val="both"/>
              <w:rPr>
                <w:color w:val="000000" w:themeColor="text1"/>
                <w:sz w:val="16"/>
                <w:szCs w:val="16"/>
              </w:rPr>
            </w:pPr>
          </w:p>
        </w:tc>
        <w:tc>
          <w:tcPr>
            <w:tcW w:w="1843" w:type="dxa"/>
          </w:tcPr>
          <w:p w14:paraId="0097D34D" w14:textId="77777777" w:rsidR="00531570" w:rsidRPr="00D03F3E" w:rsidRDefault="00531570" w:rsidP="00D03F3E">
            <w:pPr>
              <w:pStyle w:val="Iauiue"/>
              <w:jc w:val="both"/>
              <w:rPr>
                <w:color w:val="000000" w:themeColor="text1"/>
                <w:sz w:val="16"/>
                <w:szCs w:val="16"/>
              </w:rPr>
            </w:pPr>
          </w:p>
        </w:tc>
      </w:tr>
      <w:tr w:rsidR="00860B4B" w:rsidRPr="00D03F3E" w14:paraId="29CE73CB" w14:textId="77777777">
        <w:tc>
          <w:tcPr>
            <w:tcW w:w="1409" w:type="dxa"/>
          </w:tcPr>
          <w:p w14:paraId="0615AB8B" w14:textId="77777777" w:rsidR="00531570" w:rsidRPr="00D03F3E" w:rsidRDefault="00531570" w:rsidP="00D03F3E">
            <w:pPr>
              <w:pStyle w:val="Iauiue"/>
              <w:jc w:val="both"/>
              <w:rPr>
                <w:color w:val="000000" w:themeColor="text1"/>
                <w:sz w:val="16"/>
                <w:szCs w:val="16"/>
              </w:rPr>
            </w:pPr>
          </w:p>
        </w:tc>
        <w:tc>
          <w:tcPr>
            <w:tcW w:w="5078" w:type="dxa"/>
          </w:tcPr>
          <w:p w14:paraId="08629A2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проектирование</w:t>
            </w:r>
          </w:p>
        </w:tc>
        <w:tc>
          <w:tcPr>
            <w:tcW w:w="2126" w:type="dxa"/>
          </w:tcPr>
          <w:p w14:paraId="49C0E63E" w14:textId="77777777" w:rsidR="00531570" w:rsidRPr="00D03F3E" w:rsidRDefault="00531570" w:rsidP="00D03F3E">
            <w:pPr>
              <w:pStyle w:val="Iauiue"/>
              <w:jc w:val="both"/>
              <w:rPr>
                <w:color w:val="000000" w:themeColor="text1"/>
                <w:sz w:val="16"/>
                <w:szCs w:val="16"/>
              </w:rPr>
            </w:pPr>
          </w:p>
        </w:tc>
        <w:tc>
          <w:tcPr>
            <w:tcW w:w="1843" w:type="dxa"/>
          </w:tcPr>
          <w:p w14:paraId="084DC014" w14:textId="77777777" w:rsidR="00531570" w:rsidRPr="00D03F3E" w:rsidRDefault="00531570" w:rsidP="00D03F3E">
            <w:pPr>
              <w:pStyle w:val="Iauiue"/>
              <w:jc w:val="both"/>
              <w:rPr>
                <w:color w:val="000000" w:themeColor="text1"/>
                <w:sz w:val="16"/>
                <w:szCs w:val="16"/>
              </w:rPr>
            </w:pPr>
          </w:p>
        </w:tc>
      </w:tr>
      <w:tr w:rsidR="00860B4B" w:rsidRPr="00D03F3E" w14:paraId="4CC4A95B" w14:textId="77777777">
        <w:tc>
          <w:tcPr>
            <w:tcW w:w="1409" w:type="dxa"/>
          </w:tcPr>
          <w:p w14:paraId="703CF2E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w:t>
            </w:r>
          </w:p>
        </w:tc>
        <w:tc>
          <w:tcPr>
            <w:tcW w:w="5078" w:type="dxa"/>
          </w:tcPr>
          <w:p w14:paraId="6D3EB48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Самолет Ту-2 с 2М82НВ в максимально упрощенном</w:t>
            </w:r>
          </w:p>
        </w:tc>
        <w:tc>
          <w:tcPr>
            <w:tcW w:w="2126" w:type="dxa"/>
          </w:tcPr>
          <w:p w14:paraId="19A04C3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15.12.43</w:t>
            </w:r>
          </w:p>
        </w:tc>
        <w:tc>
          <w:tcPr>
            <w:tcW w:w="1843" w:type="dxa"/>
          </w:tcPr>
          <w:p w14:paraId="359914E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Приказ 430сс</w:t>
            </w:r>
          </w:p>
        </w:tc>
      </w:tr>
      <w:tr w:rsidR="00860B4B" w:rsidRPr="00D03F3E" w14:paraId="5700DFE0" w14:textId="77777777">
        <w:tc>
          <w:tcPr>
            <w:tcW w:w="1409" w:type="dxa"/>
          </w:tcPr>
          <w:p w14:paraId="2FA1D90F" w14:textId="77777777" w:rsidR="00531570" w:rsidRPr="00D03F3E" w:rsidRDefault="00531570" w:rsidP="00D03F3E">
            <w:pPr>
              <w:pStyle w:val="Iauiue"/>
              <w:jc w:val="both"/>
              <w:rPr>
                <w:color w:val="000000" w:themeColor="text1"/>
                <w:sz w:val="16"/>
                <w:szCs w:val="16"/>
              </w:rPr>
            </w:pPr>
          </w:p>
        </w:tc>
        <w:tc>
          <w:tcPr>
            <w:tcW w:w="5078" w:type="dxa"/>
          </w:tcPr>
          <w:p w14:paraId="6F10D57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виде</w:t>
            </w:r>
          </w:p>
        </w:tc>
        <w:tc>
          <w:tcPr>
            <w:tcW w:w="2126" w:type="dxa"/>
          </w:tcPr>
          <w:p w14:paraId="73DAE95C" w14:textId="77777777" w:rsidR="00531570" w:rsidRPr="00D03F3E" w:rsidRDefault="00531570" w:rsidP="00D03F3E">
            <w:pPr>
              <w:pStyle w:val="Iauiue"/>
              <w:jc w:val="both"/>
              <w:rPr>
                <w:color w:val="000000" w:themeColor="text1"/>
                <w:sz w:val="16"/>
                <w:szCs w:val="16"/>
              </w:rPr>
            </w:pPr>
          </w:p>
        </w:tc>
        <w:tc>
          <w:tcPr>
            <w:tcW w:w="1843" w:type="dxa"/>
          </w:tcPr>
          <w:p w14:paraId="30375D3E" w14:textId="77777777" w:rsidR="00531570" w:rsidRPr="00D03F3E" w:rsidRDefault="00531570" w:rsidP="00D03F3E">
            <w:pPr>
              <w:pStyle w:val="Iauiue"/>
              <w:jc w:val="both"/>
              <w:rPr>
                <w:color w:val="000000" w:themeColor="text1"/>
                <w:sz w:val="16"/>
                <w:szCs w:val="16"/>
              </w:rPr>
            </w:pPr>
          </w:p>
        </w:tc>
      </w:tr>
      <w:tr w:rsidR="00860B4B" w:rsidRPr="00D03F3E" w14:paraId="21D6F505" w14:textId="77777777">
        <w:tc>
          <w:tcPr>
            <w:tcW w:w="1409" w:type="dxa"/>
          </w:tcPr>
          <w:p w14:paraId="579971BC" w14:textId="77777777" w:rsidR="00531570" w:rsidRPr="00D03F3E" w:rsidRDefault="00531570" w:rsidP="00D03F3E">
            <w:pPr>
              <w:pStyle w:val="Iauiue"/>
              <w:jc w:val="both"/>
              <w:rPr>
                <w:color w:val="000000" w:themeColor="text1"/>
                <w:sz w:val="16"/>
                <w:szCs w:val="16"/>
              </w:rPr>
            </w:pPr>
          </w:p>
        </w:tc>
        <w:tc>
          <w:tcPr>
            <w:tcW w:w="5078" w:type="dxa"/>
          </w:tcPr>
          <w:p w14:paraId="34AD1F9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проектирование</w:t>
            </w:r>
          </w:p>
        </w:tc>
        <w:tc>
          <w:tcPr>
            <w:tcW w:w="2126" w:type="dxa"/>
          </w:tcPr>
          <w:p w14:paraId="70A121EA" w14:textId="77777777" w:rsidR="00531570" w:rsidRPr="00D03F3E" w:rsidRDefault="00531570" w:rsidP="00D03F3E">
            <w:pPr>
              <w:pStyle w:val="Iauiue"/>
              <w:jc w:val="both"/>
              <w:rPr>
                <w:color w:val="000000" w:themeColor="text1"/>
                <w:sz w:val="16"/>
                <w:szCs w:val="16"/>
              </w:rPr>
            </w:pPr>
          </w:p>
        </w:tc>
        <w:tc>
          <w:tcPr>
            <w:tcW w:w="1843" w:type="dxa"/>
          </w:tcPr>
          <w:p w14:paraId="709F1434" w14:textId="77777777" w:rsidR="00531570" w:rsidRPr="00D03F3E" w:rsidRDefault="00531570" w:rsidP="00D03F3E">
            <w:pPr>
              <w:pStyle w:val="Iauiue"/>
              <w:jc w:val="both"/>
              <w:rPr>
                <w:color w:val="000000" w:themeColor="text1"/>
                <w:sz w:val="16"/>
                <w:szCs w:val="16"/>
              </w:rPr>
            </w:pPr>
          </w:p>
        </w:tc>
      </w:tr>
      <w:tr w:rsidR="00860B4B" w:rsidRPr="00D03F3E" w14:paraId="16787DA7" w14:textId="77777777">
        <w:tc>
          <w:tcPr>
            <w:tcW w:w="1409" w:type="dxa"/>
          </w:tcPr>
          <w:p w14:paraId="4E828A78" w14:textId="77777777" w:rsidR="00531570" w:rsidRPr="00D03F3E" w:rsidRDefault="00531570" w:rsidP="00D03F3E">
            <w:pPr>
              <w:pStyle w:val="Iauiue"/>
              <w:jc w:val="both"/>
              <w:rPr>
                <w:color w:val="000000" w:themeColor="text1"/>
                <w:sz w:val="16"/>
                <w:szCs w:val="16"/>
              </w:rPr>
            </w:pPr>
          </w:p>
        </w:tc>
        <w:tc>
          <w:tcPr>
            <w:tcW w:w="5078" w:type="dxa"/>
          </w:tcPr>
          <w:p w14:paraId="01070CA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постройка</w:t>
            </w:r>
          </w:p>
        </w:tc>
        <w:tc>
          <w:tcPr>
            <w:tcW w:w="2126" w:type="dxa"/>
          </w:tcPr>
          <w:p w14:paraId="067CAA67" w14:textId="77777777" w:rsidR="00531570" w:rsidRPr="00D03F3E" w:rsidRDefault="00531570" w:rsidP="00D03F3E">
            <w:pPr>
              <w:pStyle w:val="Iauiue"/>
              <w:jc w:val="both"/>
              <w:rPr>
                <w:color w:val="000000" w:themeColor="text1"/>
                <w:sz w:val="16"/>
                <w:szCs w:val="16"/>
              </w:rPr>
            </w:pPr>
          </w:p>
        </w:tc>
        <w:tc>
          <w:tcPr>
            <w:tcW w:w="1843" w:type="dxa"/>
          </w:tcPr>
          <w:p w14:paraId="77A1D515" w14:textId="77777777" w:rsidR="00531570" w:rsidRPr="00D03F3E" w:rsidRDefault="00531570" w:rsidP="00D03F3E">
            <w:pPr>
              <w:pStyle w:val="Iauiue"/>
              <w:jc w:val="both"/>
              <w:rPr>
                <w:color w:val="000000" w:themeColor="text1"/>
                <w:sz w:val="16"/>
                <w:szCs w:val="16"/>
              </w:rPr>
            </w:pPr>
          </w:p>
        </w:tc>
      </w:tr>
      <w:tr w:rsidR="00860B4B" w:rsidRPr="00D03F3E" w14:paraId="66FBC684" w14:textId="77777777">
        <w:tc>
          <w:tcPr>
            <w:tcW w:w="1409" w:type="dxa"/>
          </w:tcPr>
          <w:p w14:paraId="27791D0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w:t>
            </w:r>
          </w:p>
        </w:tc>
        <w:tc>
          <w:tcPr>
            <w:tcW w:w="5078" w:type="dxa"/>
          </w:tcPr>
          <w:p w14:paraId="6C5A5EB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Самолет Ту-2 с 2М82ФНВ</w:t>
            </w:r>
          </w:p>
        </w:tc>
        <w:tc>
          <w:tcPr>
            <w:tcW w:w="2126" w:type="dxa"/>
          </w:tcPr>
          <w:p w14:paraId="61F08AE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10.06.43</w:t>
            </w:r>
          </w:p>
        </w:tc>
        <w:tc>
          <w:tcPr>
            <w:tcW w:w="1843" w:type="dxa"/>
          </w:tcPr>
          <w:p w14:paraId="640D22C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Приказ 133сс</w:t>
            </w:r>
          </w:p>
        </w:tc>
      </w:tr>
      <w:tr w:rsidR="00860B4B" w:rsidRPr="00D03F3E" w14:paraId="7B26B70F" w14:textId="77777777">
        <w:tc>
          <w:tcPr>
            <w:tcW w:w="1409" w:type="dxa"/>
          </w:tcPr>
          <w:p w14:paraId="63FBA5D2" w14:textId="77777777" w:rsidR="00531570" w:rsidRPr="00D03F3E" w:rsidRDefault="00531570" w:rsidP="00D03F3E">
            <w:pPr>
              <w:pStyle w:val="Iauiue"/>
              <w:jc w:val="both"/>
              <w:rPr>
                <w:color w:val="000000" w:themeColor="text1"/>
                <w:sz w:val="16"/>
                <w:szCs w:val="16"/>
              </w:rPr>
            </w:pPr>
          </w:p>
        </w:tc>
        <w:tc>
          <w:tcPr>
            <w:tcW w:w="5078" w:type="dxa"/>
          </w:tcPr>
          <w:p w14:paraId="48154A6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проектирование</w:t>
            </w:r>
          </w:p>
        </w:tc>
        <w:tc>
          <w:tcPr>
            <w:tcW w:w="2126" w:type="dxa"/>
          </w:tcPr>
          <w:p w14:paraId="73D3EE1D" w14:textId="77777777" w:rsidR="00531570" w:rsidRPr="00D03F3E" w:rsidRDefault="00531570" w:rsidP="00D03F3E">
            <w:pPr>
              <w:pStyle w:val="Iauiue"/>
              <w:jc w:val="both"/>
              <w:rPr>
                <w:color w:val="000000" w:themeColor="text1"/>
                <w:sz w:val="16"/>
                <w:szCs w:val="16"/>
              </w:rPr>
            </w:pPr>
          </w:p>
        </w:tc>
        <w:tc>
          <w:tcPr>
            <w:tcW w:w="1843" w:type="dxa"/>
          </w:tcPr>
          <w:p w14:paraId="2462BE2E" w14:textId="77777777" w:rsidR="00531570" w:rsidRPr="00D03F3E" w:rsidRDefault="00531570" w:rsidP="00D03F3E">
            <w:pPr>
              <w:pStyle w:val="Iauiue"/>
              <w:jc w:val="both"/>
              <w:rPr>
                <w:color w:val="000000" w:themeColor="text1"/>
                <w:sz w:val="16"/>
                <w:szCs w:val="16"/>
              </w:rPr>
            </w:pPr>
          </w:p>
        </w:tc>
      </w:tr>
      <w:tr w:rsidR="00860B4B" w:rsidRPr="00D03F3E" w14:paraId="5C1F23CA" w14:textId="77777777">
        <w:tc>
          <w:tcPr>
            <w:tcW w:w="1409" w:type="dxa"/>
          </w:tcPr>
          <w:p w14:paraId="1749BE2D" w14:textId="77777777" w:rsidR="00531570" w:rsidRPr="00D03F3E" w:rsidRDefault="00531570" w:rsidP="00D03F3E">
            <w:pPr>
              <w:pStyle w:val="Iauiue"/>
              <w:jc w:val="both"/>
              <w:rPr>
                <w:color w:val="000000" w:themeColor="text1"/>
                <w:sz w:val="16"/>
                <w:szCs w:val="16"/>
              </w:rPr>
            </w:pPr>
          </w:p>
        </w:tc>
        <w:tc>
          <w:tcPr>
            <w:tcW w:w="5078" w:type="dxa"/>
          </w:tcPr>
          <w:p w14:paraId="0311846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постройка</w:t>
            </w:r>
          </w:p>
        </w:tc>
        <w:tc>
          <w:tcPr>
            <w:tcW w:w="2126" w:type="dxa"/>
          </w:tcPr>
          <w:p w14:paraId="52119599" w14:textId="77777777" w:rsidR="00531570" w:rsidRPr="00D03F3E" w:rsidRDefault="00531570" w:rsidP="00D03F3E">
            <w:pPr>
              <w:pStyle w:val="Iauiue"/>
              <w:jc w:val="both"/>
              <w:rPr>
                <w:color w:val="000000" w:themeColor="text1"/>
                <w:sz w:val="16"/>
                <w:szCs w:val="16"/>
              </w:rPr>
            </w:pPr>
          </w:p>
        </w:tc>
        <w:tc>
          <w:tcPr>
            <w:tcW w:w="1843" w:type="dxa"/>
          </w:tcPr>
          <w:p w14:paraId="07A4E62E" w14:textId="77777777" w:rsidR="00531570" w:rsidRPr="00D03F3E" w:rsidRDefault="00531570" w:rsidP="00D03F3E">
            <w:pPr>
              <w:pStyle w:val="Iauiue"/>
              <w:jc w:val="both"/>
              <w:rPr>
                <w:color w:val="000000" w:themeColor="text1"/>
                <w:sz w:val="16"/>
                <w:szCs w:val="16"/>
              </w:rPr>
            </w:pPr>
          </w:p>
        </w:tc>
      </w:tr>
      <w:tr w:rsidR="00860B4B" w:rsidRPr="00D03F3E" w14:paraId="1E153270" w14:textId="77777777">
        <w:tc>
          <w:tcPr>
            <w:tcW w:w="1409" w:type="dxa"/>
          </w:tcPr>
          <w:p w14:paraId="31ACD540" w14:textId="77777777" w:rsidR="00531570" w:rsidRPr="00D03F3E" w:rsidRDefault="00531570" w:rsidP="00D03F3E">
            <w:pPr>
              <w:pStyle w:val="Iauiue"/>
              <w:jc w:val="both"/>
              <w:rPr>
                <w:color w:val="000000" w:themeColor="text1"/>
                <w:sz w:val="16"/>
                <w:szCs w:val="16"/>
              </w:rPr>
            </w:pPr>
          </w:p>
        </w:tc>
        <w:tc>
          <w:tcPr>
            <w:tcW w:w="5078" w:type="dxa"/>
          </w:tcPr>
          <w:p w14:paraId="4E7DBC0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испытания и доводки</w:t>
            </w:r>
          </w:p>
        </w:tc>
        <w:tc>
          <w:tcPr>
            <w:tcW w:w="2126" w:type="dxa"/>
          </w:tcPr>
          <w:p w14:paraId="48A4740D" w14:textId="77777777" w:rsidR="00531570" w:rsidRPr="00D03F3E" w:rsidRDefault="00531570" w:rsidP="00D03F3E">
            <w:pPr>
              <w:pStyle w:val="Iauiue"/>
              <w:jc w:val="both"/>
              <w:rPr>
                <w:color w:val="000000" w:themeColor="text1"/>
                <w:sz w:val="16"/>
                <w:szCs w:val="16"/>
              </w:rPr>
            </w:pPr>
          </w:p>
        </w:tc>
        <w:tc>
          <w:tcPr>
            <w:tcW w:w="1843" w:type="dxa"/>
          </w:tcPr>
          <w:p w14:paraId="6804E013" w14:textId="77777777" w:rsidR="00531570" w:rsidRPr="00D03F3E" w:rsidRDefault="00531570" w:rsidP="00D03F3E">
            <w:pPr>
              <w:pStyle w:val="Iauiue"/>
              <w:jc w:val="both"/>
              <w:rPr>
                <w:color w:val="000000" w:themeColor="text1"/>
                <w:sz w:val="16"/>
                <w:szCs w:val="16"/>
              </w:rPr>
            </w:pPr>
          </w:p>
        </w:tc>
      </w:tr>
      <w:tr w:rsidR="00860B4B" w:rsidRPr="00D03F3E" w14:paraId="4CC14433" w14:textId="77777777">
        <w:tc>
          <w:tcPr>
            <w:tcW w:w="1409" w:type="dxa"/>
          </w:tcPr>
          <w:p w14:paraId="2E3CBDF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w:t>
            </w:r>
          </w:p>
        </w:tc>
        <w:tc>
          <w:tcPr>
            <w:tcW w:w="5078" w:type="dxa"/>
          </w:tcPr>
          <w:p w14:paraId="6B5181C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Самолет 103-В с 2М82ФНВ</w:t>
            </w:r>
          </w:p>
        </w:tc>
        <w:tc>
          <w:tcPr>
            <w:tcW w:w="2126" w:type="dxa"/>
          </w:tcPr>
          <w:p w14:paraId="30ED8F1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05.06.43</w:t>
            </w:r>
          </w:p>
        </w:tc>
        <w:tc>
          <w:tcPr>
            <w:tcW w:w="1843" w:type="dxa"/>
          </w:tcPr>
          <w:p w14:paraId="2496EAF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Приказ 133сс</w:t>
            </w:r>
          </w:p>
        </w:tc>
      </w:tr>
      <w:tr w:rsidR="00860B4B" w:rsidRPr="00D03F3E" w14:paraId="67CF26AB" w14:textId="77777777">
        <w:tc>
          <w:tcPr>
            <w:tcW w:w="1409" w:type="dxa"/>
          </w:tcPr>
          <w:p w14:paraId="2D622807" w14:textId="77777777" w:rsidR="00531570" w:rsidRPr="00D03F3E" w:rsidRDefault="00531570" w:rsidP="00D03F3E">
            <w:pPr>
              <w:pStyle w:val="Iauiue"/>
              <w:jc w:val="both"/>
              <w:rPr>
                <w:color w:val="000000" w:themeColor="text1"/>
                <w:sz w:val="16"/>
                <w:szCs w:val="16"/>
              </w:rPr>
            </w:pPr>
          </w:p>
        </w:tc>
        <w:tc>
          <w:tcPr>
            <w:tcW w:w="5078" w:type="dxa"/>
          </w:tcPr>
          <w:p w14:paraId="29A663A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проектирование</w:t>
            </w:r>
          </w:p>
        </w:tc>
        <w:tc>
          <w:tcPr>
            <w:tcW w:w="2126" w:type="dxa"/>
          </w:tcPr>
          <w:p w14:paraId="6F4A69C4" w14:textId="77777777" w:rsidR="00531570" w:rsidRPr="00D03F3E" w:rsidRDefault="00531570" w:rsidP="00D03F3E">
            <w:pPr>
              <w:pStyle w:val="Iauiue"/>
              <w:jc w:val="both"/>
              <w:rPr>
                <w:color w:val="000000" w:themeColor="text1"/>
                <w:sz w:val="16"/>
                <w:szCs w:val="16"/>
              </w:rPr>
            </w:pPr>
          </w:p>
        </w:tc>
        <w:tc>
          <w:tcPr>
            <w:tcW w:w="1843" w:type="dxa"/>
          </w:tcPr>
          <w:p w14:paraId="14C86B75" w14:textId="77777777" w:rsidR="00531570" w:rsidRPr="00D03F3E" w:rsidRDefault="00531570" w:rsidP="00D03F3E">
            <w:pPr>
              <w:pStyle w:val="Iauiue"/>
              <w:jc w:val="both"/>
              <w:rPr>
                <w:color w:val="000000" w:themeColor="text1"/>
                <w:sz w:val="16"/>
                <w:szCs w:val="16"/>
              </w:rPr>
            </w:pPr>
          </w:p>
        </w:tc>
      </w:tr>
      <w:tr w:rsidR="00860B4B" w:rsidRPr="00D03F3E" w14:paraId="3FD308C8" w14:textId="77777777">
        <w:tc>
          <w:tcPr>
            <w:tcW w:w="1409" w:type="dxa"/>
          </w:tcPr>
          <w:p w14:paraId="110B4CAF" w14:textId="77777777" w:rsidR="00531570" w:rsidRPr="00D03F3E" w:rsidRDefault="00531570" w:rsidP="00D03F3E">
            <w:pPr>
              <w:pStyle w:val="Iauiue"/>
              <w:jc w:val="both"/>
              <w:rPr>
                <w:color w:val="000000" w:themeColor="text1"/>
                <w:sz w:val="16"/>
                <w:szCs w:val="16"/>
              </w:rPr>
            </w:pPr>
          </w:p>
        </w:tc>
        <w:tc>
          <w:tcPr>
            <w:tcW w:w="5078" w:type="dxa"/>
          </w:tcPr>
          <w:p w14:paraId="798991E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постройка</w:t>
            </w:r>
          </w:p>
        </w:tc>
        <w:tc>
          <w:tcPr>
            <w:tcW w:w="2126" w:type="dxa"/>
          </w:tcPr>
          <w:p w14:paraId="2DAEBA23" w14:textId="77777777" w:rsidR="00531570" w:rsidRPr="00D03F3E" w:rsidRDefault="00531570" w:rsidP="00D03F3E">
            <w:pPr>
              <w:pStyle w:val="Iauiue"/>
              <w:jc w:val="both"/>
              <w:rPr>
                <w:color w:val="000000" w:themeColor="text1"/>
                <w:sz w:val="16"/>
                <w:szCs w:val="16"/>
              </w:rPr>
            </w:pPr>
          </w:p>
        </w:tc>
        <w:tc>
          <w:tcPr>
            <w:tcW w:w="1843" w:type="dxa"/>
          </w:tcPr>
          <w:p w14:paraId="2327902E" w14:textId="77777777" w:rsidR="00531570" w:rsidRPr="00D03F3E" w:rsidRDefault="00531570" w:rsidP="00D03F3E">
            <w:pPr>
              <w:pStyle w:val="Iauiue"/>
              <w:jc w:val="both"/>
              <w:rPr>
                <w:color w:val="000000" w:themeColor="text1"/>
                <w:sz w:val="16"/>
                <w:szCs w:val="16"/>
              </w:rPr>
            </w:pPr>
          </w:p>
        </w:tc>
      </w:tr>
      <w:tr w:rsidR="00860B4B" w:rsidRPr="00D03F3E" w14:paraId="5C83D9BE" w14:textId="77777777">
        <w:tc>
          <w:tcPr>
            <w:tcW w:w="1409" w:type="dxa"/>
          </w:tcPr>
          <w:p w14:paraId="1E04B2DB" w14:textId="77777777" w:rsidR="00531570" w:rsidRPr="00D03F3E" w:rsidRDefault="00531570" w:rsidP="00D03F3E">
            <w:pPr>
              <w:pStyle w:val="Iauiue"/>
              <w:jc w:val="both"/>
              <w:rPr>
                <w:color w:val="000000" w:themeColor="text1"/>
                <w:sz w:val="16"/>
                <w:szCs w:val="16"/>
              </w:rPr>
            </w:pPr>
          </w:p>
        </w:tc>
        <w:tc>
          <w:tcPr>
            <w:tcW w:w="5078" w:type="dxa"/>
          </w:tcPr>
          <w:p w14:paraId="354E390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испытания и доводки</w:t>
            </w:r>
          </w:p>
        </w:tc>
        <w:tc>
          <w:tcPr>
            <w:tcW w:w="2126" w:type="dxa"/>
          </w:tcPr>
          <w:p w14:paraId="14ED8CBE" w14:textId="77777777" w:rsidR="00531570" w:rsidRPr="00D03F3E" w:rsidRDefault="00531570" w:rsidP="00D03F3E">
            <w:pPr>
              <w:pStyle w:val="Iauiue"/>
              <w:jc w:val="both"/>
              <w:rPr>
                <w:color w:val="000000" w:themeColor="text1"/>
                <w:sz w:val="16"/>
                <w:szCs w:val="16"/>
              </w:rPr>
            </w:pPr>
          </w:p>
        </w:tc>
        <w:tc>
          <w:tcPr>
            <w:tcW w:w="1843" w:type="dxa"/>
          </w:tcPr>
          <w:p w14:paraId="783D2365" w14:textId="77777777" w:rsidR="00531570" w:rsidRPr="00D03F3E" w:rsidRDefault="00531570" w:rsidP="00D03F3E">
            <w:pPr>
              <w:pStyle w:val="Iauiue"/>
              <w:jc w:val="both"/>
              <w:rPr>
                <w:color w:val="000000" w:themeColor="text1"/>
                <w:sz w:val="16"/>
                <w:szCs w:val="16"/>
              </w:rPr>
            </w:pPr>
          </w:p>
        </w:tc>
      </w:tr>
    </w:tbl>
    <w:p w14:paraId="4945383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(1042).</w:t>
      </w:r>
    </w:p>
    <w:p w14:paraId="7F89BEC3" w14:textId="77777777" w:rsidR="00531570" w:rsidRPr="00D03F3E" w:rsidRDefault="00531570" w:rsidP="00D03F3E">
      <w:pPr>
        <w:pStyle w:val="Iauiue"/>
        <w:jc w:val="both"/>
        <w:rPr>
          <w:color w:val="000000" w:themeColor="text1"/>
          <w:sz w:val="16"/>
          <w:szCs w:val="16"/>
        </w:rPr>
      </w:pPr>
    </w:p>
    <w:p w14:paraId="62682E8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мая 1943 Зам. ГК и И.о. Ответственного руковолителя завода № 288 Н.Базенков писал письмо № 15ф,389с Зам. Нач. 7 ГУ НКАП Долинскому А.С.</w:t>
      </w:r>
    </w:p>
    <w:p w14:paraId="51CEF73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Препровождая план опытных работ 2 квартала с.г. по заводу № 156, прошу таковой утверпить (10742,1)</w:t>
      </w:r>
    </w:p>
    <w:p w14:paraId="0BEE0B7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мая 1943 был подготовлен</w:t>
      </w:r>
    </w:p>
    <w:p w14:paraId="46398C1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156. План опытных работна 2 квартал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8"/>
        <w:gridCol w:w="3420"/>
        <w:gridCol w:w="540"/>
        <w:gridCol w:w="1309"/>
        <w:gridCol w:w="1309"/>
        <w:gridCol w:w="1309"/>
        <w:gridCol w:w="1309"/>
      </w:tblGrid>
      <w:tr w:rsidR="00860B4B" w:rsidRPr="00D03F3E" w14:paraId="3532BD0A" w14:textId="77777777">
        <w:tc>
          <w:tcPr>
            <w:tcW w:w="378" w:type="dxa"/>
            <w:tcBorders>
              <w:top w:val="single" w:sz="12" w:space="0" w:color="auto"/>
            </w:tcBorders>
          </w:tcPr>
          <w:p w14:paraId="28C06EB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п/п</w:t>
            </w:r>
          </w:p>
        </w:tc>
        <w:tc>
          <w:tcPr>
            <w:tcW w:w="3420" w:type="dxa"/>
            <w:tcBorders>
              <w:top w:val="single" w:sz="12" w:space="0" w:color="auto"/>
            </w:tcBorders>
          </w:tcPr>
          <w:p w14:paraId="7963BE2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Наименование работ</w:t>
            </w:r>
          </w:p>
        </w:tc>
        <w:tc>
          <w:tcPr>
            <w:tcW w:w="540" w:type="dxa"/>
            <w:tcBorders>
              <w:top w:val="single" w:sz="12" w:space="0" w:color="auto"/>
            </w:tcBorders>
          </w:tcPr>
          <w:p w14:paraId="0282414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 экз.</w:t>
            </w:r>
          </w:p>
        </w:tc>
        <w:tc>
          <w:tcPr>
            <w:tcW w:w="1309" w:type="dxa"/>
            <w:tcBorders>
              <w:top w:val="single" w:sz="12" w:space="0" w:color="auto"/>
            </w:tcBorders>
          </w:tcPr>
          <w:p w14:paraId="5A0DE38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Срок предъявления на гос. испытания</w:t>
            </w:r>
          </w:p>
        </w:tc>
        <w:tc>
          <w:tcPr>
            <w:tcW w:w="3927" w:type="dxa"/>
            <w:gridSpan w:val="3"/>
            <w:tcBorders>
              <w:top w:val="single" w:sz="12" w:space="0" w:color="auto"/>
            </w:tcBorders>
          </w:tcPr>
          <w:p w14:paraId="61DEA37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Трудоемость</w:t>
            </w:r>
          </w:p>
        </w:tc>
      </w:tr>
      <w:tr w:rsidR="00860B4B" w:rsidRPr="00D03F3E" w14:paraId="40B58587" w14:textId="77777777">
        <w:tc>
          <w:tcPr>
            <w:tcW w:w="378" w:type="dxa"/>
          </w:tcPr>
          <w:p w14:paraId="768AFF2C"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3420" w:type="dxa"/>
          </w:tcPr>
          <w:p w14:paraId="4D6C3352"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540" w:type="dxa"/>
          </w:tcPr>
          <w:p w14:paraId="4AF99FD7"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309" w:type="dxa"/>
          </w:tcPr>
          <w:p w14:paraId="6575C6C8"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309" w:type="dxa"/>
          </w:tcPr>
          <w:p w14:paraId="7257D20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Рабочие</w:t>
            </w:r>
          </w:p>
        </w:tc>
        <w:tc>
          <w:tcPr>
            <w:tcW w:w="1309" w:type="dxa"/>
          </w:tcPr>
          <w:p w14:paraId="2E213B8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ИТР</w:t>
            </w:r>
          </w:p>
        </w:tc>
        <w:tc>
          <w:tcPr>
            <w:tcW w:w="1309" w:type="dxa"/>
          </w:tcPr>
          <w:p w14:paraId="4BF63E0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КСХ</w:t>
            </w:r>
          </w:p>
        </w:tc>
      </w:tr>
      <w:tr w:rsidR="00860B4B" w:rsidRPr="00D03F3E" w14:paraId="6C53469C" w14:textId="77777777">
        <w:tc>
          <w:tcPr>
            <w:tcW w:w="378" w:type="dxa"/>
          </w:tcPr>
          <w:p w14:paraId="0ED06BB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420" w:type="dxa"/>
          </w:tcPr>
          <w:p w14:paraId="6CC196A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4-х моторный дальний бомбардировщик. Проектирование</w:t>
            </w:r>
          </w:p>
        </w:tc>
        <w:tc>
          <w:tcPr>
            <w:tcW w:w="540" w:type="dxa"/>
          </w:tcPr>
          <w:p w14:paraId="59BEA8C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1309" w:type="dxa"/>
          </w:tcPr>
          <w:p w14:paraId="025E38E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31.12.44</w:t>
            </w:r>
          </w:p>
        </w:tc>
        <w:tc>
          <w:tcPr>
            <w:tcW w:w="1309" w:type="dxa"/>
          </w:tcPr>
          <w:p w14:paraId="73B9E8D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09" w:type="dxa"/>
          </w:tcPr>
          <w:p w14:paraId="3E270BD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1309" w:type="dxa"/>
          </w:tcPr>
          <w:p w14:paraId="7AFD8E9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3F6499C7" w14:textId="77777777">
        <w:tc>
          <w:tcPr>
            <w:tcW w:w="378" w:type="dxa"/>
          </w:tcPr>
          <w:p w14:paraId="51C8CB4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3420" w:type="dxa"/>
          </w:tcPr>
          <w:p w14:paraId="1F2B3F5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Ту-2 с 2М82НВ с ТК-3. Проектирование</w:t>
            </w:r>
          </w:p>
        </w:tc>
        <w:tc>
          <w:tcPr>
            <w:tcW w:w="540" w:type="dxa"/>
          </w:tcPr>
          <w:p w14:paraId="59295FD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1309" w:type="dxa"/>
          </w:tcPr>
          <w:p w14:paraId="234FA62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01.10.43</w:t>
            </w:r>
          </w:p>
        </w:tc>
        <w:tc>
          <w:tcPr>
            <w:tcW w:w="1309" w:type="dxa"/>
          </w:tcPr>
          <w:p w14:paraId="41A5421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09" w:type="dxa"/>
          </w:tcPr>
          <w:p w14:paraId="7BE4463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1309" w:type="dxa"/>
          </w:tcPr>
          <w:p w14:paraId="7F67779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135640D7" w14:textId="77777777">
        <w:tc>
          <w:tcPr>
            <w:tcW w:w="378" w:type="dxa"/>
          </w:tcPr>
          <w:p w14:paraId="116C35B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3420" w:type="dxa"/>
          </w:tcPr>
          <w:p w14:paraId="7F569AA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Ту-2 с 2М82НВ в варианте дальнего разведчика и бомбардировщика. Проектирование. Постройка</w:t>
            </w:r>
          </w:p>
        </w:tc>
        <w:tc>
          <w:tcPr>
            <w:tcW w:w="540" w:type="dxa"/>
          </w:tcPr>
          <w:p w14:paraId="3878EB3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1309" w:type="dxa"/>
          </w:tcPr>
          <w:p w14:paraId="11E3728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01.11.43</w:t>
            </w:r>
          </w:p>
          <w:p w14:paraId="5DAD293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01.12.43</w:t>
            </w:r>
          </w:p>
        </w:tc>
        <w:tc>
          <w:tcPr>
            <w:tcW w:w="1309" w:type="dxa"/>
          </w:tcPr>
          <w:p w14:paraId="5713E99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w:t>
            </w:r>
          </w:p>
          <w:p w14:paraId="31F53D4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c>
          <w:tcPr>
            <w:tcW w:w="1309" w:type="dxa"/>
          </w:tcPr>
          <w:p w14:paraId="283D2E4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w:t>
            </w:r>
          </w:p>
          <w:p w14:paraId="4E243C7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09" w:type="dxa"/>
          </w:tcPr>
          <w:p w14:paraId="5F2FAA2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42A01BC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3A38D478" w14:textId="77777777">
        <w:tc>
          <w:tcPr>
            <w:tcW w:w="378" w:type="dxa"/>
          </w:tcPr>
          <w:p w14:paraId="6F023DA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3420" w:type="dxa"/>
          </w:tcPr>
          <w:p w14:paraId="440385A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Ту-2 с 2М-43 с первоначальной установкой М-39. Проектирование</w:t>
            </w:r>
          </w:p>
        </w:tc>
        <w:tc>
          <w:tcPr>
            <w:tcW w:w="540" w:type="dxa"/>
          </w:tcPr>
          <w:p w14:paraId="562A759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1309" w:type="dxa"/>
          </w:tcPr>
          <w:p w14:paraId="35EDDE4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01.11.43</w:t>
            </w:r>
          </w:p>
        </w:tc>
        <w:tc>
          <w:tcPr>
            <w:tcW w:w="1309" w:type="dxa"/>
          </w:tcPr>
          <w:p w14:paraId="0174002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1309" w:type="dxa"/>
          </w:tcPr>
          <w:p w14:paraId="5A37069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1309" w:type="dxa"/>
          </w:tcPr>
          <w:p w14:paraId="0C05166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r>
      <w:tr w:rsidR="00860B4B" w:rsidRPr="00D03F3E" w14:paraId="2F8A43D6" w14:textId="77777777">
        <w:tc>
          <w:tcPr>
            <w:tcW w:w="378" w:type="dxa"/>
          </w:tcPr>
          <w:p w14:paraId="313BC6C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3420" w:type="dxa"/>
          </w:tcPr>
          <w:p w14:paraId="5D45893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Ту-2 с 2М82НВ в максимально упрощенном виде. Проектирование. Постройка</w:t>
            </w:r>
          </w:p>
        </w:tc>
        <w:tc>
          <w:tcPr>
            <w:tcW w:w="540" w:type="dxa"/>
          </w:tcPr>
          <w:p w14:paraId="4FAD394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1309" w:type="dxa"/>
          </w:tcPr>
          <w:p w14:paraId="437A304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15.12.43</w:t>
            </w:r>
          </w:p>
        </w:tc>
        <w:tc>
          <w:tcPr>
            <w:tcW w:w="1309" w:type="dxa"/>
          </w:tcPr>
          <w:p w14:paraId="419B007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726CB10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w:t>
            </w:r>
          </w:p>
        </w:tc>
        <w:tc>
          <w:tcPr>
            <w:tcW w:w="1309" w:type="dxa"/>
          </w:tcPr>
          <w:p w14:paraId="4ED18DA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p w14:paraId="583312A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09" w:type="dxa"/>
          </w:tcPr>
          <w:p w14:paraId="3A5FA79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w:t>
            </w:r>
          </w:p>
          <w:p w14:paraId="02AC858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71E92BA4" w14:textId="77777777">
        <w:tc>
          <w:tcPr>
            <w:tcW w:w="378" w:type="dxa"/>
          </w:tcPr>
          <w:p w14:paraId="6659356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3420" w:type="dxa"/>
          </w:tcPr>
          <w:p w14:paraId="07624D9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Ту-2 с 2М82ФНВ. Проектирование. Постройка. Испытания и доводки</w:t>
            </w:r>
          </w:p>
        </w:tc>
        <w:tc>
          <w:tcPr>
            <w:tcW w:w="540" w:type="dxa"/>
          </w:tcPr>
          <w:p w14:paraId="6146806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1309" w:type="dxa"/>
          </w:tcPr>
          <w:p w14:paraId="68B8C94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10.06.43</w:t>
            </w:r>
          </w:p>
        </w:tc>
        <w:tc>
          <w:tcPr>
            <w:tcW w:w="1309" w:type="dxa"/>
          </w:tcPr>
          <w:p w14:paraId="140DBAA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6DBE4BB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p w14:paraId="386AB9E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1309" w:type="dxa"/>
          </w:tcPr>
          <w:p w14:paraId="716A2B9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p w14:paraId="1116BF1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0AE4FD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09" w:type="dxa"/>
          </w:tcPr>
          <w:p w14:paraId="2A39CD9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p w14:paraId="068FDAB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7C66A4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76E5ACAD" w14:textId="77777777">
        <w:tc>
          <w:tcPr>
            <w:tcW w:w="378" w:type="dxa"/>
          </w:tcPr>
          <w:p w14:paraId="193C35B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c>
          <w:tcPr>
            <w:tcW w:w="3420" w:type="dxa"/>
          </w:tcPr>
          <w:p w14:paraId="35E50F6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103-В с 2М82ФНВ. Проектирование. Постройка. Испытания и доводки</w:t>
            </w:r>
          </w:p>
        </w:tc>
        <w:tc>
          <w:tcPr>
            <w:tcW w:w="540" w:type="dxa"/>
          </w:tcPr>
          <w:p w14:paraId="2F8DF56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1309" w:type="dxa"/>
          </w:tcPr>
          <w:p w14:paraId="740B853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15.06.43</w:t>
            </w:r>
          </w:p>
        </w:tc>
        <w:tc>
          <w:tcPr>
            <w:tcW w:w="1309" w:type="dxa"/>
          </w:tcPr>
          <w:p w14:paraId="7901ABC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5027B84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ED449B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09" w:type="dxa"/>
          </w:tcPr>
          <w:p w14:paraId="511BC7F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p w14:paraId="31D43A0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5C422A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09" w:type="dxa"/>
          </w:tcPr>
          <w:p w14:paraId="4072F66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p w14:paraId="15649A8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F89DCB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7412E4BD" w14:textId="77777777">
        <w:tc>
          <w:tcPr>
            <w:tcW w:w="378" w:type="dxa"/>
          </w:tcPr>
          <w:p w14:paraId="641E5245"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3420" w:type="dxa"/>
          </w:tcPr>
          <w:p w14:paraId="7A4710C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Итого по госбюджету</w:t>
            </w:r>
          </w:p>
        </w:tc>
        <w:tc>
          <w:tcPr>
            <w:tcW w:w="540" w:type="dxa"/>
          </w:tcPr>
          <w:p w14:paraId="135BC231"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309" w:type="dxa"/>
          </w:tcPr>
          <w:p w14:paraId="42359D41"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309" w:type="dxa"/>
          </w:tcPr>
          <w:p w14:paraId="1DDE9D1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w:t>
            </w:r>
          </w:p>
        </w:tc>
        <w:tc>
          <w:tcPr>
            <w:tcW w:w="1309" w:type="dxa"/>
          </w:tcPr>
          <w:p w14:paraId="003CF9A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144</w:t>
            </w:r>
          </w:p>
        </w:tc>
        <w:tc>
          <w:tcPr>
            <w:tcW w:w="1309" w:type="dxa"/>
          </w:tcPr>
          <w:p w14:paraId="3E418ED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w:t>
            </w:r>
          </w:p>
        </w:tc>
      </w:tr>
      <w:tr w:rsidR="00860B4B" w:rsidRPr="00D03F3E" w14:paraId="242A0663" w14:textId="77777777">
        <w:tc>
          <w:tcPr>
            <w:tcW w:w="378" w:type="dxa"/>
          </w:tcPr>
          <w:p w14:paraId="13DE2C2F"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3420" w:type="dxa"/>
          </w:tcPr>
          <w:p w14:paraId="4D51D4E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Прочие работы по договорам</w:t>
            </w:r>
          </w:p>
        </w:tc>
        <w:tc>
          <w:tcPr>
            <w:tcW w:w="540" w:type="dxa"/>
          </w:tcPr>
          <w:p w14:paraId="5762575F"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309" w:type="dxa"/>
          </w:tcPr>
          <w:p w14:paraId="72BEB817"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309" w:type="dxa"/>
          </w:tcPr>
          <w:p w14:paraId="19A94FB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tc>
        <w:tc>
          <w:tcPr>
            <w:tcW w:w="1309" w:type="dxa"/>
          </w:tcPr>
          <w:p w14:paraId="0F6478B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309" w:type="dxa"/>
          </w:tcPr>
          <w:p w14:paraId="1C77349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58FF8C2F" w14:textId="77777777">
        <w:tc>
          <w:tcPr>
            <w:tcW w:w="378" w:type="dxa"/>
            <w:tcBorders>
              <w:bottom w:val="single" w:sz="12" w:space="0" w:color="auto"/>
            </w:tcBorders>
          </w:tcPr>
          <w:p w14:paraId="7B43C2E7"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3420" w:type="dxa"/>
            <w:tcBorders>
              <w:bottom w:val="single" w:sz="12" w:space="0" w:color="auto"/>
            </w:tcBorders>
          </w:tcPr>
          <w:p w14:paraId="719907E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tc>
        <w:tc>
          <w:tcPr>
            <w:tcW w:w="540" w:type="dxa"/>
            <w:tcBorders>
              <w:bottom w:val="single" w:sz="12" w:space="0" w:color="auto"/>
            </w:tcBorders>
          </w:tcPr>
          <w:p w14:paraId="16D24AF2"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309" w:type="dxa"/>
            <w:tcBorders>
              <w:bottom w:val="single" w:sz="12" w:space="0" w:color="auto"/>
            </w:tcBorders>
          </w:tcPr>
          <w:p w14:paraId="1C91E7C7"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309" w:type="dxa"/>
            <w:tcBorders>
              <w:bottom w:val="single" w:sz="12" w:space="0" w:color="auto"/>
            </w:tcBorders>
          </w:tcPr>
          <w:p w14:paraId="24758A2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450</w:t>
            </w:r>
          </w:p>
        </w:tc>
        <w:tc>
          <w:tcPr>
            <w:tcW w:w="1309" w:type="dxa"/>
            <w:tcBorders>
              <w:bottom w:val="single" w:sz="12" w:space="0" w:color="auto"/>
            </w:tcBorders>
          </w:tcPr>
          <w:p w14:paraId="4C427B6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144</w:t>
            </w:r>
          </w:p>
        </w:tc>
        <w:tc>
          <w:tcPr>
            <w:tcW w:w="1309" w:type="dxa"/>
            <w:tcBorders>
              <w:bottom w:val="single" w:sz="12" w:space="0" w:color="auto"/>
            </w:tcBorders>
          </w:tcPr>
          <w:p w14:paraId="2D84C17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w:t>
            </w:r>
          </w:p>
        </w:tc>
      </w:tr>
    </w:tbl>
    <w:p w14:paraId="5EB1D49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4-х моторный появился в планах КБ впервые (10742,2).</w:t>
      </w:r>
    </w:p>
    <w:p w14:paraId="6736A0A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5BE8FD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 мая 1943 расчет самолета Пе-2 с установкой РУ-1, выполненный С.П.Королевым 27 января 1943, был утвержден (234,192).</w:t>
      </w:r>
    </w:p>
    <w:p w14:paraId="6AA1357F" w14:textId="77777777" w:rsidR="00531570" w:rsidRPr="00D03F3E" w:rsidRDefault="00531570" w:rsidP="00D03F3E">
      <w:pPr>
        <w:pStyle w:val="Iauiue"/>
        <w:jc w:val="both"/>
        <w:rPr>
          <w:color w:val="000000" w:themeColor="text1"/>
          <w:sz w:val="16"/>
          <w:szCs w:val="16"/>
        </w:rPr>
      </w:pPr>
    </w:p>
    <w:p w14:paraId="458E35C8"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7BB22207" w14:textId="77777777" w:rsidR="00531570" w:rsidRPr="00D03F3E" w:rsidRDefault="00531570" w:rsidP="00D03F3E">
      <w:pPr>
        <w:pStyle w:val="Iauiue"/>
        <w:jc w:val="both"/>
        <w:rPr>
          <w:iCs/>
          <w:color w:val="000000" w:themeColor="text1"/>
          <w:sz w:val="16"/>
          <w:szCs w:val="16"/>
        </w:rPr>
      </w:pPr>
    </w:p>
    <w:p w14:paraId="7BD067B7"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24 мая 1943 вышло Распоряжение ГКО № 3420 [О передаче и ремонте здания для РУ в Сталинском поселке Омска.] (7109, 112).</w:t>
      </w:r>
    </w:p>
    <w:p w14:paraId="0527DD62" w14:textId="77777777" w:rsidR="00531570" w:rsidRPr="00D03F3E" w:rsidRDefault="00531570" w:rsidP="00D03F3E">
      <w:pPr>
        <w:pStyle w:val="Iauiue"/>
        <w:tabs>
          <w:tab w:val="left" w:pos="11199"/>
        </w:tabs>
        <w:jc w:val="both"/>
        <w:rPr>
          <w:color w:val="000000" w:themeColor="text1"/>
          <w:sz w:val="16"/>
          <w:szCs w:val="16"/>
        </w:rPr>
      </w:pPr>
    </w:p>
    <w:p w14:paraId="65649C7E"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24 мая 1943 вышло Распоряжение ГКО № 3421 [О направлении на стройки черной металлургии 8 тыс. чел. не годных к строевой службе до 15 июля.] (7109, 113).</w:t>
      </w:r>
    </w:p>
    <w:p w14:paraId="5FD467D6" w14:textId="77777777" w:rsidR="00531570" w:rsidRPr="00D03F3E" w:rsidRDefault="00531570" w:rsidP="00D03F3E">
      <w:pPr>
        <w:pStyle w:val="Iauiue"/>
        <w:tabs>
          <w:tab w:val="left" w:pos="11199"/>
        </w:tabs>
        <w:jc w:val="both"/>
        <w:rPr>
          <w:color w:val="000000" w:themeColor="text1"/>
          <w:sz w:val="16"/>
          <w:szCs w:val="16"/>
        </w:rPr>
      </w:pPr>
    </w:p>
    <w:p w14:paraId="72A0635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мая 1943 вышло Распоряжение ГКО № 3422. О разрешении ввоза НКЧМ 283 работников с семьями в Москву.РГАНИР, Фонд ГКО, д. 119, лл. 114 (11012).</w:t>
      </w:r>
    </w:p>
    <w:p w14:paraId="0E0F0DD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291DA4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мая 1943 вышло Постановление ГКО № 3423 О производстве запасных частей к тракторам, комбайнам, сельскохозяйственным машинам и материально-техническом обеспечении уборки урожая 1943 года.РГАНИР, Фонд ГКО, д. 119, лл. 115-126, 127-149 (11012).</w:t>
      </w:r>
    </w:p>
    <w:p w14:paraId="606F96F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3FFF639"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24 мая 1943 вышло Постановление ГКО № 3424 [О назначении Иванова И.И. сроком на 2 месяца уполномоченным ГКО на Сталинградский металлургический завод "Красный Октябрь".] (7109, 150).</w:t>
      </w:r>
    </w:p>
    <w:p w14:paraId="7D95B6C7" w14:textId="77777777" w:rsidR="00531570" w:rsidRPr="00D03F3E" w:rsidRDefault="00531570" w:rsidP="00D03F3E">
      <w:pPr>
        <w:pStyle w:val="Iauiue"/>
        <w:tabs>
          <w:tab w:val="left" w:pos="11199"/>
        </w:tabs>
        <w:jc w:val="both"/>
        <w:rPr>
          <w:color w:val="000000" w:themeColor="text1"/>
          <w:sz w:val="16"/>
          <w:szCs w:val="16"/>
        </w:rPr>
      </w:pPr>
    </w:p>
    <w:p w14:paraId="7391FAD5"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4250B809" w14:textId="77777777" w:rsidR="00531570" w:rsidRPr="00D03F3E" w:rsidRDefault="00531570" w:rsidP="00D03F3E">
      <w:pPr>
        <w:pStyle w:val="Iauiue"/>
        <w:jc w:val="both"/>
        <w:rPr>
          <w:iCs/>
          <w:color w:val="000000" w:themeColor="text1"/>
          <w:sz w:val="16"/>
          <w:szCs w:val="16"/>
        </w:rPr>
      </w:pPr>
    </w:p>
    <w:p w14:paraId="2DB11872"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24 мая</w:t>
      </w:r>
      <w:r w:rsidRPr="00D03F3E">
        <w:rPr>
          <w:rFonts w:ascii="Times New Roman" w:hAnsi="Times New Roman"/>
          <w:color w:val="000000" w:themeColor="text1"/>
          <w:sz w:val="16"/>
          <w:szCs w:val="16"/>
        </w:rPr>
        <w:t xml:space="preserve"> в 1943 году вечернее сообщение Совинформбюро:</w:t>
      </w:r>
    </w:p>
    <w:p w14:paraId="7E03ABD2"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24 мая на фронте ничего существенного не произошло.</w:t>
      </w:r>
    </w:p>
    <w:p w14:paraId="6DE39265"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Северо-восточнее Новороссийска артиллеристы Н-ской части обстреляли скопление войск противника. Артиллерийским огнём разбито 3 танка, 10 автомашин, рассеяно и частью уничтожено до двух рот немецкой пехоты. На другом участке наше подразделение ночью предприняло разведку боем. Советские бойцы ворвались в расположение противника, взорвали 2 дзота, 5 блиндажей и уничтожили 40 гитлеровцев. Взяты пленные и трофеи.</w:t>
      </w:r>
    </w:p>
    <w:p w14:paraId="4E741750"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разрушили 8 дзотов и разгромили немецкую автоколонну. Разведывательная группа Н-ской части проникла в тыл противника и уничтожила склады с инженерным имуществом. Разведчики истребили 30 немецких солдат из охраны складов.</w:t>
      </w:r>
    </w:p>
    <w:p w14:paraId="56AF442F"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разведывательный отряд Н-ской части обнаружил движение большой колонны пехоты противника. Наши артиллеристы, получив от разведчиков эти данные, открыли сосредоточенный огонь. В результате обстрела рассеяно и частью уничтожено до двух батальонов гитлеровцев.</w:t>
      </w:r>
    </w:p>
    <w:p w14:paraId="1CD79D09"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лётчики-истребители в воздушных боях сбили 4 немецких самолёта. Кроме того, один самолёт противника уничтожен залповым ружейным огнём.</w:t>
      </w:r>
    </w:p>
    <w:p w14:paraId="16B03392"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части истребили до роты солдат противника, подавили огонь нескольких артиллерийских батарей, уничтожили 9 автомашин, разрушили 13 дзотов, 8 блиндажей и 2 наблюдательных пункта. Снайпер красноармеецт. Кругов, находясь в засаде, убил 5 немецких солдат и 2 офицеров.</w:t>
      </w:r>
    </w:p>
    <w:p w14:paraId="00B71E97"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разрушили железнодорожный мост и нанесли повреждения сторожевому кораблю противника.</w:t>
      </w:r>
    </w:p>
    <w:p w14:paraId="0C1D4353"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Винницкой области, 14 мая атаковал немецкий гарнизон в населённом пункте. В ожесточённых схватках партизаны истребили до 80 гитлеровцев, захватили несколько десятков винтовок, 5.000 патронов, много мин и другие трофеи. Овладев населённым пунктом, партизаны захватили крупную немецкую базу рогатого скота и склад, в котором находилосьсвыше 1.200 пудов зерна. Скот и зерно розданы местному населению.</w:t>
      </w:r>
    </w:p>
    <w:p w14:paraId="59AC9108"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солдат пулемётной роты 3 батальона 31 финского пехотного полка Вейкко Липпонен рассказал: «В нашем батальоне преобладают резервисты. Это семейные люди, которые не имеют желания воевать и стремятся домой к своим семьям. В победу Германии мы не верим, да и не хотим её. Все говорят, что если бы Гитлер выиграл войну, то Финляндию постигла бы участь Норвегии и Франции. Немцы уже сейчас ограбили нашу страну и принесли народу столько мучений, каких он не переживал никогда».</w:t>
      </w:r>
    </w:p>
    <w:p w14:paraId="4C44C8FE"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Трансильванских Альпах (Румыния) действуют сильные и хорошо вооружённые партизанские отряды. Отряды пополняются солдатами, дезертировавшими из румынской армии и не желающими воевать за Гитлера. Румынское правительство неоднократно посылало крупные карательные экспедиции с задачей разгромить партизан. Все эти экспедиции терпели крах. Последняя карательная экспедиция, направленная против партизан в начале мая месяца, даже не добралась до Трансильванских Альп. В районе Сальча партизаны разбили карателей и обратили их в бегство.» (14901).</w:t>
      </w:r>
    </w:p>
    <w:p w14:paraId="05DF9BC8" w14:textId="77777777" w:rsidR="00E76B68" w:rsidRPr="00D03F3E" w:rsidRDefault="00E76B68" w:rsidP="00D03F3E">
      <w:pPr>
        <w:spacing w:after="0" w:line="240" w:lineRule="auto"/>
        <w:jc w:val="both"/>
        <w:rPr>
          <w:rFonts w:ascii="Times New Roman" w:hAnsi="Times New Roman"/>
          <w:color w:val="000000" w:themeColor="text1"/>
          <w:sz w:val="16"/>
          <w:szCs w:val="16"/>
        </w:rPr>
      </w:pPr>
    </w:p>
    <w:p w14:paraId="6E680385"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24 мая</w:t>
      </w:r>
      <w:r w:rsidRPr="00D03F3E">
        <w:rPr>
          <w:rFonts w:ascii="Times New Roman" w:hAnsi="Times New Roman"/>
          <w:color w:val="000000" w:themeColor="text1"/>
          <w:sz w:val="16"/>
          <w:szCs w:val="16"/>
        </w:rPr>
        <w:t xml:space="preserve"> в 1943 году вечернее сообщение Совинформбюро:</w:t>
      </w:r>
    </w:p>
    <w:p w14:paraId="275C0A8A"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24 мая на фронте существенных изменений не произошло.</w:t>
      </w:r>
    </w:p>
    <w:p w14:paraId="110D287A"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кораблями и авиацией в Чёрном море потоплено 6 самоходных барж и подожжён транспорт противника.</w:t>
      </w:r>
    </w:p>
    <w:p w14:paraId="40D689B7"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мая частями нашей авиации на различных участках фронта уничтожено или повреждено не менее 20 немецких автомашин с войсками и Грузами, разбит железнодорожный эшелон, взорван склад боеприпасов, подавлен огонь 5 артиллерийских и миномётных батарей противника.</w:t>
      </w:r>
    </w:p>
    <w:p w14:paraId="016E1092"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франте наши части истребили более 200 немецких солдат и офицеров, разрушили 2 блиндажа и подавили огонь нескольких артиллерийских и миномётных батарей противника. На одном участке отряд разведчиков под командованием тов. Найдёнова ворвался в блиндажи противника и истребил 50 гитлеровцев. Разведчики разрушили 6 блиндажей, захватили миномёт, пулемёт и взяли пленных. Выполнив поставленную задачу, отряд отошёл на исходные позиции.</w:t>
      </w:r>
    </w:p>
    <w:p w14:paraId="767E5168"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в результате боевых действий, предпринятых нашими подразделениями с начала мая месяца, захвачены у противника следующие трофеи: 12 орудий, 47 миномётов, 239 пулемётов, 2.603 винтовки, 61 противотанковое ружьё, 152 автомата, 30 гранатомётов, 9 радиостанций, около 100 тысяч патронов и различное военное имущество.</w:t>
      </w:r>
    </w:p>
    <w:p w14:paraId="6705EE9A"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огнём артиллерии и миномётов уничтожено 5 немецких блиндажей, разбито 16 автомашин, подавлен огонь десяти артиллерийских и миномётных батарей противника. На одном участке батальон немецкой пехоты пытался вести разведку боем. Встреченные огнём из всех видов оружия, немцы в беспорядке отошли на исходные позиции. На поле боя осталось свыше 100 вражеских трупов.</w:t>
      </w:r>
    </w:p>
    <w:p w14:paraId="699F7E02"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Немецкая авиация в количестве 28 самолётов пыталась совершить налёт на наши военные объекты в районе полуостровов Рыбачий и Средний. Советская авиация не допустила самолёты противника к этому району. В воздушных боях нашими лётчиками сбито 10 немецких самолётов.</w:t>
      </w:r>
    </w:p>
    <w:p w14:paraId="26B1FA6E"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партизан из действующего в Киевской области отряда имени Лениназ аминировала железнодорожный путь. На поставленных партизанами минах взорвался воинский эшелон противника. Под обломками вагонов погибло много немецких солдат и офицеров. Партизаны-подрывники из отряда имени Чапаева пустили под откос эшелон противника с вооружением и боеприпасами. Разбиты паровоз и 18 вагонов.</w:t>
      </w:r>
    </w:p>
    <w:p w14:paraId="14E1106D"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захваченного в плен солдата 15 самокатного батальона 15 немецкой пехотной дивизии Фридриха Фогта найдены письма от родных и знакомых. Ниже публикуются выдержки из них:</w:t>
      </w:r>
    </w:p>
    <w:p w14:paraId="193FDD7F"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марта. Дорогой Фридрих, не лезь в огонь. Спрячься в большую яму и лежи там, пока всё кончится. Если будете отступать, мчись изо всех сил на родину. Адольф Гауш и сын Антона Шелля ничего не пишут с 20 января. Один солдат, бывший вместе с ними, писал, что они отступили на 400 километров и русские их всё время преследовали».</w:t>
      </w:r>
    </w:p>
    <w:p w14:paraId="422117F2"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письме, датированном 5 апреля, говорится: «Смотри, не будь последним, когда вы будете приближаться к родине. Людвиг сказал, что блажен тот немец, которыйотступает, так как он имеет ещё шансы вернуться домой. Если станет слишком опасно, тогда лучше поднять руки вверх...» В письме от 10 апреля Фогту пишут из Германии: "Ты должен уклониться от передовой. Будь таким же разумным, как другие. Ведь ты ещё дома был нервным, заяви же, что ты болен, скажи врачу, чтоты не в состоянии больше воевать, и постарайся выбраться из России. С нас уже давно хватит. Ведь Штифель добился этого. Неужели нам надо жертвовать всем? Ради чего? Постарайся уйти!»</w:t>
      </w:r>
    </w:p>
    <w:p w14:paraId="0AA06B58" w14:textId="77777777" w:rsidR="00E76B68" w:rsidRPr="00D03F3E" w:rsidRDefault="00E76B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Шестнадцать месяцев находились в немецкой оккупации деревни и сёла Покровского района, Орловской области. За это время гитлеровцы расстреляли и замучили насмерть 407 мирных жителей этого района. Немецко-фашистские мерзавцы угнали из Покровского района 2.897 советских граждан на каторжные работы в Германию. Гитлеровцы не только дочиста ограбили крестьян, но и сожгли электростанцию, пекарню, 39 школ, 8 библиотек, 5 зданий МТС, 1.950 колхозных домов и другие постройки (14901).</w:t>
      </w:r>
    </w:p>
    <w:p w14:paraId="4742CCEF" w14:textId="77777777" w:rsidR="00E76B68" w:rsidRPr="00D03F3E" w:rsidRDefault="00E76B68" w:rsidP="00D03F3E">
      <w:pPr>
        <w:spacing w:after="0" w:line="240" w:lineRule="auto"/>
        <w:jc w:val="both"/>
        <w:rPr>
          <w:rFonts w:ascii="Times New Roman" w:hAnsi="Times New Roman"/>
          <w:color w:val="000000" w:themeColor="text1"/>
          <w:sz w:val="16"/>
          <w:szCs w:val="16"/>
        </w:rPr>
      </w:pPr>
    </w:p>
    <w:p w14:paraId="68BCCEFA"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24 мая 1943 88 немецких бомбардировщиков совершили налет на советский город Батайск на реке Дон (4963 ).</w:t>
      </w:r>
    </w:p>
    <w:p w14:paraId="2E5D4B13" w14:textId="77777777" w:rsidR="00531570" w:rsidRPr="00D03F3E" w:rsidRDefault="00531570" w:rsidP="00D03F3E">
      <w:pPr>
        <w:pStyle w:val="Iauiue"/>
        <w:tabs>
          <w:tab w:val="left" w:pos="11199"/>
        </w:tabs>
        <w:jc w:val="both"/>
        <w:rPr>
          <w:color w:val="000000" w:themeColor="text1"/>
          <w:sz w:val="16"/>
          <w:szCs w:val="16"/>
        </w:rPr>
      </w:pPr>
    </w:p>
    <w:p w14:paraId="4C15F43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24 мая 1943 года началась одна из самых опасных операций черноморской авиации. Дело в том, что в порту Батуми на якоре стоял танкер "Иосиф Сталин". Долгое </w:t>
      </w:r>
      <w:r w:rsidRPr="00D03F3E">
        <w:rPr>
          <w:color w:val="000000" w:themeColor="text1"/>
          <w:sz w:val="16"/>
          <w:szCs w:val="16"/>
        </w:rPr>
        <w:lastRenderedPageBreak/>
        <w:t>время танкер не выпускали в море, поскольку немцы могли пустить "Сталина" на дно. Но необходимость в бензине была столь велика, что танкер, погрузив 14000 тонн топлива на борт, вышел в направлении Туапсе. Танкер сопровождали девять кораблей и сверху непрерывно висели истребители. Воздушный зонт попеременно держали 44 истребителя из 7-го ИАП, 32-го ИАП и 30-го МРАП так, чтобы в воздухе одновременно находилось 48 машин. Немцы обнаружили конвой и дважды его атаковали: в порту Туапсе и во время обратного рейса, в ночь с 26 на 27 мая 1943 года. Однако все атаки немцев были отбиты. Немцы потеряли два самолета в порту и 6 во время второго налета (2691).</w:t>
      </w:r>
    </w:p>
    <w:p w14:paraId="0146B36F" w14:textId="77777777" w:rsidR="00531570" w:rsidRPr="00D03F3E" w:rsidRDefault="00531570" w:rsidP="00D03F3E">
      <w:pPr>
        <w:pStyle w:val="Iauiue"/>
        <w:jc w:val="both"/>
        <w:rPr>
          <w:color w:val="000000" w:themeColor="text1"/>
          <w:sz w:val="16"/>
          <w:szCs w:val="16"/>
        </w:rPr>
      </w:pPr>
    </w:p>
    <w:p w14:paraId="105E477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мая 1943 вышло Постановление ГКО № 3425 О результатах проверки положения дел с питанием красноармейцев на Калининском фронте.РГАНИР, Фонд ГКО, д. 119, лл. 151-154 (11012).</w:t>
      </w:r>
    </w:p>
    <w:p w14:paraId="0BE7BB0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3FDEB7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мая 1943 вышло Постановление ГКО № 3426 Об упразднении института заместителей командиров по политической части рот, батарей, эскадронов, эскадрилий, отдельных взводов и частичном сокращении политработников других категорий.РГАНИР, Фонд ГКО, д. 119, лл. 155-156 (11012).</w:t>
      </w:r>
    </w:p>
    <w:p w14:paraId="4F4025F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AFD472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 мая 1943 ЦК ВКП(б) принял постановление об усилении роли фронтовых, армейских и дивизионных газет - так появилось множество авиационных (1217,218).</w:t>
      </w:r>
    </w:p>
    <w:p w14:paraId="119F7584" w14:textId="77777777" w:rsidR="00531570" w:rsidRPr="00D03F3E" w:rsidRDefault="00531570" w:rsidP="00D03F3E">
      <w:pPr>
        <w:pStyle w:val="Iauiue"/>
        <w:jc w:val="both"/>
        <w:rPr>
          <w:color w:val="000000" w:themeColor="text1"/>
          <w:sz w:val="16"/>
          <w:szCs w:val="16"/>
        </w:rPr>
      </w:pPr>
    </w:p>
    <w:p w14:paraId="2D6C1468" w14:textId="77777777" w:rsidR="00983A9C" w:rsidRPr="00D03F3E" w:rsidRDefault="00983A9C"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2657B040" w14:textId="77777777" w:rsidR="00983A9C" w:rsidRPr="00D03F3E" w:rsidRDefault="00983A9C" w:rsidP="00D03F3E">
      <w:pPr>
        <w:pStyle w:val="Iauiue"/>
        <w:jc w:val="both"/>
        <w:rPr>
          <w:iCs/>
          <w:color w:val="000000" w:themeColor="text1"/>
          <w:sz w:val="16"/>
          <w:szCs w:val="16"/>
        </w:rPr>
      </w:pPr>
    </w:p>
    <w:p w14:paraId="0D115242" w14:textId="77777777" w:rsidR="00983A9C" w:rsidRPr="00D03F3E" w:rsidRDefault="00983A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мая 1943. Сталин вновь встретился с Дэвисом. Он вручил ему письмо к Рузвельту, в котором говорил, что встретится с ним в Фэрбенксе на Аляске примерно 15 июля, но окончательная дата встречи и сама встреча будут зависеть от военной ситуации. Дэвис улетел из Москвы 29 мая. 8 августа Сталин сообщил Рузвельту, что встреча на Аляске невозможна (18693).</w:t>
      </w:r>
    </w:p>
    <w:p w14:paraId="6C8D5AA2" w14:textId="77777777" w:rsidR="00983A9C" w:rsidRPr="00D03F3E" w:rsidRDefault="00983A9C" w:rsidP="00D03F3E">
      <w:pPr>
        <w:spacing w:after="0" w:line="240" w:lineRule="auto"/>
        <w:jc w:val="both"/>
        <w:rPr>
          <w:rFonts w:ascii="Times New Roman" w:hAnsi="Times New Roman"/>
          <w:color w:val="000000" w:themeColor="text1"/>
          <w:sz w:val="16"/>
          <w:szCs w:val="16"/>
        </w:rPr>
      </w:pPr>
    </w:p>
    <w:p w14:paraId="05DADC96" w14:textId="77777777" w:rsidR="00531570" w:rsidRPr="00D03F3E" w:rsidRDefault="00C81444" w:rsidP="00D03F3E">
      <w:pPr>
        <w:pStyle w:val="Iauiue"/>
        <w:jc w:val="both"/>
        <w:rPr>
          <w:iCs/>
          <w:color w:val="000000" w:themeColor="text1"/>
          <w:sz w:val="16"/>
          <w:szCs w:val="16"/>
          <w:lang w:val="en-US"/>
        </w:rPr>
      </w:pPr>
      <w:r w:rsidRPr="00D03F3E">
        <w:rPr>
          <w:i/>
          <w:iCs/>
          <w:color w:val="000000" w:themeColor="text1"/>
          <w:sz w:val="16"/>
          <w:szCs w:val="16"/>
        </w:rPr>
        <w:t>За</w:t>
      </w:r>
      <w:r w:rsidRPr="00D03F3E">
        <w:rPr>
          <w:i/>
          <w:iCs/>
          <w:color w:val="000000" w:themeColor="text1"/>
          <w:sz w:val="16"/>
          <w:szCs w:val="16"/>
          <w:lang w:val="en-US"/>
        </w:rPr>
        <w:t xml:space="preserve"> </w:t>
      </w:r>
      <w:r w:rsidRPr="00D03F3E">
        <w:rPr>
          <w:i/>
          <w:iCs/>
          <w:color w:val="000000" w:themeColor="text1"/>
          <w:sz w:val="16"/>
          <w:szCs w:val="16"/>
        </w:rPr>
        <w:t>рубежом</w:t>
      </w:r>
      <w:r w:rsidRPr="00D03F3E">
        <w:rPr>
          <w:i/>
          <w:iCs/>
          <w:color w:val="000000" w:themeColor="text1"/>
          <w:sz w:val="16"/>
          <w:szCs w:val="16"/>
          <w:lang w:val="en-US"/>
        </w:rPr>
        <w:t>:</w:t>
      </w:r>
    </w:p>
    <w:p w14:paraId="384D10FA" w14:textId="77777777" w:rsidR="00531570" w:rsidRPr="00D03F3E" w:rsidRDefault="00531570" w:rsidP="00D03F3E">
      <w:pPr>
        <w:pStyle w:val="Iauiue"/>
        <w:jc w:val="both"/>
        <w:rPr>
          <w:iCs/>
          <w:color w:val="000000" w:themeColor="text1"/>
          <w:sz w:val="16"/>
          <w:szCs w:val="16"/>
          <w:lang w:val="en-US"/>
        </w:rPr>
      </w:pPr>
    </w:p>
    <w:p w14:paraId="7F912048"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May 24th, 1943: Grossadmiral Donitz, C-in-C of the Kriegsmarine, orders suspension of all U-boat operations against Allied convoys after the loss of 56 boats in April and May (3819).</w:t>
      </w:r>
    </w:p>
    <w:p w14:paraId="7D9065B6" w14:textId="77777777" w:rsidR="00531570" w:rsidRPr="00D03F3E" w:rsidRDefault="00531570" w:rsidP="00D03F3E">
      <w:pPr>
        <w:pStyle w:val="Iauiue"/>
        <w:jc w:val="both"/>
        <w:rPr>
          <w:color w:val="000000" w:themeColor="text1"/>
          <w:sz w:val="16"/>
          <w:szCs w:val="16"/>
          <w:lang w:val="en-US"/>
        </w:rPr>
      </w:pPr>
    </w:p>
    <w:p w14:paraId="279AE530"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May 24 1943 Donitz orders all subs out of N. Atlantic; 45-month campaign comes to an end (1052).</w:t>
      </w:r>
    </w:p>
    <w:p w14:paraId="7C5735D4" w14:textId="77777777" w:rsidR="00531570" w:rsidRPr="00D03F3E" w:rsidRDefault="00531570" w:rsidP="00D03F3E">
      <w:pPr>
        <w:pStyle w:val="Iauiue"/>
        <w:jc w:val="both"/>
        <w:rPr>
          <w:color w:val="000000" w:themeColor="text1"/>
          <w:sz w:val="16"/>
          <w:szCs w:val="16"/>
          <w:lang w:val="en-US"/>
        </w:rPr>
      </w:pPr>
    </w:p>
    <w:p w14:paraId="38B90C9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 мая 1943 Дениц приказал подлодкам вернуться из Северной Атлантики после 45 месячной кампании (1052) из-за тяжелых потерь (2245,3).</w:t>
      </w:r>
    </w:p>
    <w:p w14:paraId="2E24B906" w14:textId="77777777" w:rsidR="00531570" w:rsidRPr="00D03F3E" w:rsidRDefault="00531570" w:rsidP="00D03F3E">
      <w:pPr>
        <w:pStyle w:val="Iauiue"/>
        <w:jc w:val="both"/>
        <w:rPr>
          <w:color w:val="000000" w:themeColor="text1"/>
          <w:sz w:val="16"/>
          <w:szCs w:val="16"/>
        </w:rPr>
      </w:pPr>
    </w:p>
    <w:p w14:paraId="51DAEF8C"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24 мая 1943 немецкий гроссадмирал К. Дениц приказал отозвать немецкие подлодки из Северной Атлантики (4962).</w:t>
      </w:r>
    </w:p>
    <w:p w14:paraId="5724BBEE" w14:textId="77777777" w:rsidR="00531570" w:rsidRPr="00D03F3E" w:rsidRDefault="00531570" w:rsidP="00D03F3E">
      <w:pPr>
        <w:pStyle w:val="Iauiue"/>
        <w:tabs>
          <w:tab w:val="left" w:pos="11199"/>
        </w:tabs>
        <w:jc w:val="both"/>
        <w:rPr>
          <w:color w:val="000000" w:themeColor="text1"/>
          <w:sz w:val="16"/>
          <w:szCs w:val="16"/>
        </w:rPr>
      </w:pPr>
    </w:p>
    <w:p w14:paraId="374A6CC8"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24 мая</w:t>
      </w:r>
      <w:r w:rsidRPr="00D03F3E">
        <w:rPr>
          <w:rFonts w:ascii="Times New Roman" w:hAnsi="Times New Roman"/>
          <w:color w:val="000000" w:themeColor="text1"/>
          <w:sz w:val="16"/>
          <w:szCs w:val="16"/>
        </w:rPr>
        <w:t xml:space="preserve"> в 1943 году немецкий гроссадмирал Карл Дениц отдано приказ об отходе немецких подводных лодок из северной части Атлантического океана и прекращения борьбы с англо-американскими конвоями (14901).</w:t>
      </w:r>
    </w:p>
    <w:p w14:paraId="3D3C0DE5" w14:textId="77777777" w:rsidR="00F1014E" w:rsidRPr="00D03F3E" w:rsidRDefault="00F1014E" w:rsidP="00D03F3E">
      <w:pPr>
        <w:spacing w:after="0" w:line="240" w:lineRule="auto"/>
        <w:jc w:val="both"/>
        <w:rPr>
          <w:rFonts w:ascii="Times New Roman" w:hAnsi="Times New Roman"/>
          <w:color w:val="000000" w:themeColor="text1"/>
          <w:sz w:val="16"/>
          <w:szCs w:val="16"/>
        </w:rPr>
      </w:pPr>
    </w:p>
    <w:p w14:paraId="43EDF0D8"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24 мая 1943 немецкий доктор Й. Менгеле занял пост врача концлагеря Освенцима (4962).</w:t>
      </w:r>
    </w:p>
    <w:p w14:paraId="1A3D6277" w14:textId="77777777" w:rsidR="00531570" w:rsidRPr="00D03F3E" w:rsidRDefault="00531570" w:rsidP="00D03F3E">
      <w:pPr>
        <w:pStyle w:val="Iauiue"/>
        <w:tabs>
          <w:tab w:val="left" w:pos="11199"/>
        </w:tabs>
        <w:jc w:val="both"/>
        <w:rPr>
          <w:color w:val="000000" w:themeColor="text1"/>
          <w:sz w:val="16"/>
          <w:szCs w:val="16"/>
        </w:rPr>
      </w:pPr>
    </w:p>
    <w:p w14:paraId="3FF73A75"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24 мая</w:t>
      </w:r>
      <w:r w:rsidRPr="00D03F3E">
        <w:rPr>
          <w:rFonts w:ascii="Times New Roman" w:hAnsi="Times New Roman"/>
          <w:color w:val="000000" w:themeColor="text1"/>
          <w:sz w:val="16"/>
          <w:szCs w:val="16"/>
        </w:rPr>
        <w:t xml:space="preserve"> в 1943 году в концентрационном лагере смерти Аушвиц (Польша), где было много русских пленных, а также женщин и детей, приступил к работе новый доктор, 32-летний Иосиф Менгеле, (родился 16 марта 1911 года), который из-за проводимых исследованиях на живых людях станет известен миру под прозвищем "Доктор Смерть". После войны бежал в Южную Америку. В 1985 г. группа судебных экспертов вынесла заключение, что Менгеле, скрывавшийся в Бразилии, под именем Герхард, умер в 1979 г. от сердечного приступа во время плавания (14901).</w:t>
      </w:r>
    </w:p>
    <w:p w14:paraId="0A8A826F" w14:textId="77777777" w:rsidR="00F1014E" w:rsidRPr="00D03F3E" w:rsidRDefault="00F1014E" w:rsidP="00D03F3E">
      <w:pPr>
        <w:spacing w:after="0" w:line="240" w:lineRule="auto"/>
        <w:jc w:val="both"/>
        <w:rPr>
          <w:rFonts w:ascii="Times New Roman" w:hAnsi="Times New Roman"/>
          <w:color w:val="000000" w:themeColor="text1"/>
          <w:sz w:val="16"/>
          <w:szCs w:val="16"/>
        </w:rPr>
      </w:pPr>
    </w:p>
    <w:p w14:paraId="7EBA8D53"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24 мая</w:t>
      </w:r>
      <w:r w:rsidRPr="00D03F3E">
        <w:rPr>
          <w:rFonts w:ascii="Times New Roman" w:hAnsi="Times New Roman"/>
          <w:color w:val="000000" w:themeColor="text1"/>
          <w:sz w:val="16"/>
          <w:szCs w:val="16"/>
        </w:rPr>
        <w:t xml:space="preserve"> в 1943 году немецкая подводная лодка «U-441» атакует (!) и сбивает в Бискайском заливе английский самолет «Шорт» «S.25» «Сандерленд» «Mk I». (Тип: морская разведывательная/ бомбардировочная летающая лодка) (14901).</w:t>
      </w:r>
    </w:p>
    <w:p w14:paraId="55CCA169" w14:textId="77777777" w:rsidR="00F1014E" w:rsidRPr="00D03F3E" w:rsidRDefault="00F1014E" w:rsidP="00D03F3E">
      <w:pPr>
        <w:spacing w:after="0" w:line="240" w:lineRule="auto"/>
        <w:jc w:val="both"/>
        <w:rPr>
          <w:rFonts w:ascii="Times New Roman" w:hAnsi="Times New Roman"/>
          <w:color w:val="000000" w:themeColor="text1"/>
          <w:sz w:val="16"/>
          <w:szCs w:val="16"/>
        </w:rPr>
      </w:pPr>
    </w:p>
    <w:p w14:paraId="26592784"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24 мая</w:t>
      </w:r>
      <w:r w:rsidRPr="00D03F3E">
        <w:rPr>
          <w:rFonts w:ascii="Times New Roman" w:hAnsi="Times New Roman"/>
          <w:color w:val="000000" w:themeColor="text1"/>
          <w:sz w:val="16"/>
          <w:szCs w:val="16"/>
        </w:rPr>
        <w:t xml:space="preserve"> в 1943 году посол Англии при польском правительстве в изгнании, сэр Оуэн О'Маллей, направил своему правительству подробный рапорт, в котором, тщательно проанализировав Катынское дело, пришел к выводу: не подлежит сомнению за катынские злодеяния ответственна Москва, а не фашистская Германия. Документ был засекречен: о нем не проинформировали ни британский парламент, ни тогдашний Совет Министров (14901).</w:t>
      </w:r>
    </w:p>
    <w:p w14:paraId="454DBBC9" w14:textId="77777777" w:rsidR="00F1014E" w:rsidRPr="00D03F3E" w:rsidRDefault="00F1014E" w:rsidP="00D03F3E">
      <w:pPr>
        <w:spacing w:after="0" w:line="240" w:lineRule="auto"/>
        <w:jc w:val="both"/>
        <w:rPr>
          <w:rFonts w:ascii="Times New Roman" w:hAnsi="Times New Roman"/>
          <w:color w:val="000000" w:themeColor="text1"/>
          <w:sz w:val="16"/>
          <w:szCs w:val="16"/>
        </w:rPr>
      </w:pPr>
    </w:p>
    <w:p w14:paraId="5229D6C6"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2A215215" w14:textId="77777777" w:rsidR="00531570" w:rsidRPr="00D03F3E" w:rsidRDefault="00531570" w:rsidP="00D03F3E">
      <w:pPr>
        <w:pStyle w:val="Iauiue"/>
        <w:jc w:val="both"/>
        <w:rPr>
          <w:iCs/>
          <w:color w:val="000000" w:themeColor="text1"/>
          <w:sz w:val="16"/>
          <w:szCs w:val="16"/>
        </w:rPr>
      </w:pPr>
    </w:p>
    <w:p w14:paraId="5B56B58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 мая 1943 директор завода 30 Шапиро писал письмо N 3493 А.И.Ш.:</w:t>
      </w:r>
    </w:p>
    <w:p w14:paraId="287F34A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связи со снятием балок РО с самолетов Ил-2, оборудованных 37-мм пушкой конструкции Нудельмана прошу Вашего согласия на снятие с крыльев крепления под РО" (1767,163).</w:t>
      </w:r>
    </w:p>
    <w:p w14:paraId="33144D2D" w14:textId="77777777" w:rsidR="00531570" w:rsidRPr="00D03F3E" w:rsidRDefault="00531570" w:rsidP="00D03F3E">
      <w:pPr>
        <w:pStyle w:val="Iauiue"/>
        <w:jc w:val="both"/>
        <w:rPr>
          <w:color w:val="000000" w:themeColor="text1"/>
          <w:sz w:val="16"/>
          <w:szCs w:val="16"/>
        </w:rPr>
      </w:pPr>
    </w:p>
    <w:p w14:paraId="2CE1950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25 по 28 мая 1943 в НИП АВ ВВС проходил испытания противотанковый У-2ВС, вооруженный подрыльевыми кассетами мелких бомб типов АБК-П-100 на 33 ПТАБ-2.5-1.5 и БАС-1 на 20 ПТАБ. Испытывали с 4хАБК и 6хБАС. Общая площадь разрывав при бомбометании с 200 м на скорости 110-120 - 12х124 м для АБК и 13х192 м для БАС. Одиночный танк поражался с вероятностью 0.4-0.5. Сделали вывод о возможности использования на фронте, но лишь в лунные ночи или при подсветке САБ, а дневное применение - исулючалось (4542, 14).</w:t>
      </w:r>
    </w:p>
    <w:p w14:paraId="651E4983" w14:textId="77777777" w:rsidR="00531570" w:rsidRPr="00D03F3E" w:rsidRDefault="00531570" w:rsidP="00D03F3E">
      <w:pPr>
        <w:pStyle w:val="Iauiue"/>
        <w:jc w:val="both"/>
        <w:rPr>
          <w:color w:val="000000" w:themeColor="text1"/>
          <w:sz w:val="16"/>
          <w:szCs w:val="16"/>
        </w:rPr>
      </w:pPr>
    </w:p>
    <w:p w14:paraId="55F713F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 мая 1943 Нач. 8 ГУ НКАП проф. Поликовский писал письмо НКАП А.И.Ш.:</w:t>
      </w:r>
    </w:p>
    <w:p w14:paraId="02C68BE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вопросам письма С.В.И. о недоборе высоты Ил-4 с ТК-3 сообщаю следующее:</w:t>
      </w:r>
    </w:p>
    <w:p w14:paraId="15F10EB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Недобор высоты самолетом Ил-4 с ТК-3 (7100 м вместо 9000 м на первой скорости нагнетателя) объясняется специфичностью установки ТК на этом самолете.</w:t>
      </w:r>
    </w:p>
    <w:p w14:paraId="5BCDF2A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недобор высоты был обнаружен при первых же полетах и тогда же были приняты необходимые меры.</w:t>
      </w:r>
    </w:p>
    <w:p w14:paraId="06E394D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в результате напряженной работы ЦИАМ в течение 4-х месяцев отработан модернизированный ТК (ТКМ), обеспечивающий заданные мощности и высотности мотора и самолета. 2 шт. ТКМ переданы на завод 240 С.В.И. для установки на самолет.</w:t>
      </w:r>
    </w:p>
    <w:p w14:paraId="63D0D1B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 на заседании экспертной моторной комиссии НКАП были обсуждены результаты летных испытаний и проведенных работ ЦИАМ по повышению данных ТК. Экспертная моторная комиссия НКАП с участием ГК С.В.И. пришла к следующему выводу:</w:t>
      </w:r>
    </w:p>
    <w:p w14:paraId="5D0A57B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"Постановка модернизированного ТК (ТКМ) в соответствии с предъявленными ЦИАМ расчетными характеристиками и экспериментальными материалами обеспечивает заданные мощности и высотность мотора (940 нр на 9000 м без радиатора на 1-й скорости нагнетателя)."</w:t>
      </w:r>
    </w:p>
    <w:p w14:paraId="70D4A39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Копия протокола - прилагается." (1775,170).</w:t>
      </w:r>
    </w:p>
    <w:p w14:paraId="2895691F" w14:textId="77777777" w:rsidR="00531570" w:rsidRPr="00D03F3E" w:rsidRDefault="00531570" w:rsidP="00D03F3E">
      <w:pPr>
        <w:pStyle w:val="Iauiue"/>
        <w:jc w:val="both"/>
        <w:rPr>
          <w:color w:val="000000" w:themeColor="text1"/>
          <w:sz w:val="16"/>
          <w:szCs w:val="16"/>
        </w:rPr>
      </w:pPr>
    </w:p>
    <w:p w14:paraId="06EE8ED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 мая 1943 в Иркутске на заводе 39 закончилась постройка Ил-6 (3846,19).</w:t>
      </w:r>
    </w:p>
    <w:p w14:paraId="08E9EFD9" w14:textId="77777777" w:rsidR="00531570" w:rsidRPr="00D03F3E" w:rsidRDefault="00531570" w:rsidP="00D03F3E">
      <w:pPr>
        <w:pStyle w:val="Iauiue"/>
        <w:jc w:val="both"/>
        <w:rPr>
          <w:color w:val="000000" w:themeColor="text1"/>
          <w:sz w:val="16"/>
          <w:szCs w:val="16"/>
        </w:rPr>
      </w:pPr>
    </w:p>
    <w:p w14:paraId="11A31E5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25 мая по 6 июня 1943 неудовлетворительно прошел гос. испытания самолет Пе-2 N 7/187 производства завода 22 по причине:</w:t>
      </w:r>
    </w:p>
    <w:p w14:paraId="39CFC68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потери скоростей</w:t>
      </w:r>
    </w:p>
    <w:p w14:paraId="72FFD12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плохого производственного выполнения (1778,271).</w:t>
      </w:r>
    </w:p>
    <w:p w14:paraId="5B06BFA5" w14:textId="77777777" w:rsidR="00531570" w:rsidRPr="00D03F3E" w:rsidRDefault="00531570" w:rsidP="00D03F3E">
      <w:pPr>
        <w:pStyle w:val="Iauiue"/>
        <w:jc w:val="both"/>
        <w:rPr>
          <w:color w:val="000000" w:themeColor="text1"/>
          <w:sz w:val="16"/>
          <w:szCs w:val="16"/>
        </w:rPr>
      </w:pPr>
    </w:p>
    <w:p w14:paraId="2CF3031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 мая 1943 г. состоялся первый вылет И-220 №01 с АМ-39, а в июле, после отладки ВМГ, приступили к определению основных летных характеристик с новым мотором. На испытаниях И-220 с АМ-39 достиг на боевом режиме скорости 614 км/ч на высоте 2700 м (первая граница высотности) и 697 км/ч на 7800 м (вторая граница высотности). Высоту 5000 м самолет набирал за 4,5 мин, а 8000 м за 8,2 мин. 21 августа 1943 г. испытания ненадолго прервались, так как самолет потерпел аварию. При заходе на посадку не вышла левая стойка шасси, и летчику-испытателю А.И.Жукову, после нескольких безуспешных попыток ее выпустить, пришлось сажать машину на одно колесо. Посадка была выполнена мастерски, самолет получил минимальные повреждения, после чего его отправили в ремонт. Кроме этого, в процессе испытаний самолет И-220 №01 приходилось пять раз заводить в цех для замены двигателей АМ-39. Последние были еще в опытном варианте и имели множество конструктивных недостатков, которые мешали их нормальной эксплуатации на самолете - выход из строя вследствие появления стружки в масле, выброс масла из-под вала редуктора, уход масла в картер и большая теплоотдача (5669).</w:t>
      </w:r>
    </w:p>
    <w:p w14:paraId="01C9931F" w14:textId="77777777" w:rsidR="00531570" w:rsidRPr="00D03F3E" w:rsidRDefault="00531570" w:rsidP="00D03F3E">
      <w:pPr>
        <w:pStyle w:val="Iauiue"/>
        <w:jc w:val="both"/>
        <w:rPr>
          <w:color w:val="000000" w:themeColor="text1"/>
          <w:sz w:val="16"/>
          <w:szCs w:val="16"/>
        </w:rPr>
      </w:pPr>
    </w:p>
    <w:p w14:paraId="2D1DCDF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мая 1943 г. И—220 зав. № 01 с АМ—39 выполнил первый вылет (9984).</w:t>
      </w:r>
    </w:p>
    <w:p w14:paraId="6B73AEC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0044F7F"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25 мая</w:t>
      </w:r>
      <w:r w:rsidRPr="00D03F3E">
        <w:rPr>
          <w:rFonts w:ascii="Times New Roman" w:hAnsi="Times New Roman"/>
          <w:color w:val="000000" w:themeColor="text1"/>
          <w:sz w:val="16"/>
          <w:szCs w:val="16"/>
        </w:rPr>
        <w:t xml:space="preserve"> в 1943 году состоялся первый вылет высотного истребителя </w:t>
      </w:r>
      <w:hyperlink r:id="rId163" w:tgtFrame="_blank" w:history="1">
        <w:r w:rsidRPr="00D03F3E">
          <w:rPr>
            <w:rFonts w:ascii="Times New Roman" w:hAnsi="Times New Roman"/>
            <w:color w:val="000000" w:themeColor="text1"/>
            <w:sz w:val="16"/>
            <w:szCs w:val="16"/>
          </w:rPr>
          <w:t xml:space="preserve">«И-220» </w:t>
        </w:r>
      </w:hyperlink>
      <w:r w:rsidRPr="00D03F3E">
        <w:rPr>
          <w:rFonts w:ascii="Times New Roman" w:hAnsi="Times New Roman"/>
          <w:color w:val="000000" w:themeColor="text1"/>
          <w:sz w:val="16"/>
          <w:szCs w:val="16"/>
        </w:rPr>
        <w:t>№01 с «АМ-39» ОКБ Микояна и Гуревича (14902).</w:t>
      </w:r>
    </w:p>
    <w:p w14:paraId="506AA143" w14:textId="77777777" w:rsidR="00F1014E" w:rsidRPr="00D03F3E" w:rsidRDefault="00F1014E" w:rsidP="00D03F3E">
      <w:pPr>
        <w:spacing w:after="0" w:line="240" w:lineRule="auto"/>
        <w:jc w:val="both"/>
        <w:rPr>
          <w:rFonts w:ascii="Times New Roman" w:hAnsi="Times New Roman"/>
          <w:color w:val="000000" w:themeColor="text1"/>
          <w:sz w:val="16"/>
          <w:szCs w:val="16"/>
        </w:rPr>
      </w:pPr>
    </w:p>
    <w:p w14:paraId="25B9774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25 мая 1943 г. состоялся вылет И-220 с АМ-29, полученным в апреле. В июле, отладив работу мотора и радиаторов, приступили к определению основных летных характеристик. На боевом режиме работы двигателя самолет достиг скорости 614 км/ч на высоте 2700 м и 697 км/ч на 7800 м. Высоту 5000 м самолет набирал за 4,5 мин, а 8000 м - за 8,2 мин. Однако бочки меда не бывает без ложки дегтя. В процессе испытаний пришлось пять раз заменять двигатели АМ-39. Мотор имел множество конструктивных дефектов. В сентябре 1943 г. А.И. Микоян был вынужден снова вернуться к серийному АМ-38Ф. 1 октября 1943 г. полеты возобновились, а уже на следующий день машина потерпела аварию, и ее отправили в ремонт. Тем временем на заводе №155 строился второй экземпляр И-220, также с двигателем АМ-38Ф. </w:t>
      </w:r>
    </w:p>
    <w:p w14:paraId="5721ED3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летно-технические характеристики опытных самолетов Микояна и Гуревича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860B4B" w:rsidRPr="00D03F3E" w14:paraId="06432133" w14:textId="77777777">
        <w:tc>
          <w:tcPr>
            <w:tcW w:w="1868" w:type="dxa"/>
            <w:tcBorders>
              <w:top w:val="single" w:sz="12" w:space="0" w:color="auto"/>
            </w:tcBorders>
          </w:tcPr>
          <w:p w14:paraId="4B96D5B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Характеристика</w:t>
            </w:r>
          </w:p>
        </w:tc>
        <w:tc>
          <w:tcPr>
            <w:tcW w:w="1868" w:type="dxa"/>
            <w:tcBorders>
              <w:top w:val="single" w:sz="12" w:space="0" w:color="auto"/>
            </w:tcBorders>
          </w:tcPr>
          <w:p w14:paraId="74927D5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МиГ-3</w:t>
            </w:r>
          </w:p>
        </w:tc>
        <w:tc>
          <w:tcPr>
            <w:tcW w:w="1868" w:type="dxa"/>
            <w:tcBorders>
              <w:top w:val="single" w:sz="12" w:space="0" w:color="auto"/>
            </w:tcBorders>
          </w:tcPr>
          <w:p w14:paraId="32DE551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МиГ-9</w:t>
            </w:r>
          </w:p>
        </w:tc>
        <w:tc>
          <w:tcPr>
            <w:tcW w:w="1868" w:type="dxa"/>
            <w:tcBorders>
              <w:top w:val="single" w:sz="12" w:space="0" w:color="auto"/>
            </w:tcBorders>
          </w:tcPr>
          <w:p w14:paraId="1673CE2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И-220</w:t>
            </w:r>
          </w:p>
        </w:tc>
        <w:tc>
          <w:tcPr>
            <w:tcW w:w="1868" w:type="dxa"/>
            <w:tcBorders>
              <w:top w:val="single" w:sz="12" w:space="0" w:color="auto"/>
            </w:tcBorders>
          </w:tcPr>
          <w:p w14:paraId="73B8130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И-224</w:t>
            </w:r>
          </w:p>
        </w:tc>
        <w:tc>
          <w:tcPr>
            <w:tcW w:w="1868" w:type="dxa"/>
            <w:tcBorders>
              <w:top w:val="single" w:sz="12" w:space="0" w:color="auto"/>
            </w:tcBorders>
          </w:tcPr>
          <w:p w14:paraId="77BF704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И-225</w:t>
            </w:r>
          </w:p>
        </w:tc>
      </w:tr>
      <w:tr w:rsidR="00860B4B" w:rsidRPr="00D03F3E" w14:paraId="06FF5C66" w14:textId="77777777">
        <w:tc>
          <w:tcPr>
            <w:tcW w:w="1868" w:type="dxa"/>
          </w:tcPr>
          <w:p w14:paraId="585D471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двигателя</w:t>
            </w:r>
          </w:p>
        </w:tc>
        <w:tc>
          <w:tcPr>
            <w:tcW w:w="1868" w:type="dxa"/>
          </w:tcPr>
          <w:p w14:paraId="0D7C311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АМ-38</w:t>
            </w:r>
          </w:p>
        </w:tc>
        <w:tc>
          <w:tcPr>
            <w:tcW w:w="1868" w:type="dxa"/>
          </w:tcPr>
          <w:p w14:paraId="707417F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М-82</w:t>
            </w:r>
          </w:p>
        </w:tc>
        <w:tc>
          <w:tcPr>
            <w:tcW w:w="1868" w:type="dxa"/>
          </w:tcPr>
          <w:p w14:paraId="30C966E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АМ-39</w:t>
            </w:r>
          </w:p>
        </w:tc>
        <w:tc>
          <w:tcPr>
            <w:tcW w:w="1868" w:type="dxa"/>
          </w:tcPr>
          <w:p w14:paraId="397DA10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АМ-39ФБ</w:t>
            </w:r>
          </w:p>
        </w:tc>
        <w:tc>
          <w:tcPr>
            <w:tcW w:w="1868" w:type="dxa"/>
          </w:tcPr>
          <w:p w14:paraId="2397861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АМ-42ФБ</w:t>
            </w:r>
          </w:p>
        </w:tc>
      </w:tr>
      <w:tr w:rsidR="00860B4B" w:rsidRPr="00D03F3E" w14:paraId="07309188" w14:textId="77777777">
        <w:tc>
          <w:tcPr>
            <w:tcW w:w="1868" w:type="dxa"/>
          </w:tcPr>
          <w:p w14:paraId="0D88723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Взлетная мощность, л.с.</w:t>
            </w:r>
          </w:p>
        </w:tc>
        <w:tc>
          <w:tcPr>
            <w:tcW w:w="1868" w:type="dxa"/>
          </w:tcPr>
          <w:p w14:paraId="4691CA6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1665</w:t>
            </w:r>
          </w:p>
        </w:tc>
        <w:tc>
          <w:tcPr>
            <w:tcW w:w="1868" w:type="dxa"/>
          </w:tcPr>
          <w:p w14:paraId="620E638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1700</w:t>
            </w:r>
          </w:p>
        </w:tc>
        <w:tc>
          <w:tcPr>
            <w:tcW w:w="1868" w:type="dxa"/>
          </w:tcPr>
          <w:p w14:paraId="5D0DF06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1800</w:t>
            </w:r>
          </w:p>
        </w:tc>
        <w:tc>
          <w:tcPr>
            <w:tcW w:w="1868" w:type="dxa"/>
          </w:tcPr>
          <w:p w14:paraId="7ACCE45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1850</w:t>
            </w:r>
          </w:p>
        </w:tc>
        <w:tc>
          <w:tcPr>
            <w:tcW w:w="1868" w:type="dxa"/>
          </w:tcPr>
          <w:p w14:paraId="216051D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w:t>
            </w:r>
          </w:p>
        </w:tc>
      </w:tr>
      <w:tr w:rsidR="00860B4B" w:rsidRPr="00D03F3E" w14:paraId="60EA8180" w14:textId="77777777">
        <w:tc>
          <w:tcPr>
            <w:tcW w:w="1868" w:type="dxa"/>
          </w:tcPr>
          <w:p w14:paraId="6D4BBB8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самолета, м</w:t>
            </w:r>
          </w:p>
        </w:tc>
        <w:tc>
          <w:tcPr>
            <w:tcW w:w="1868" w:type="dxa"/>
          </w:tcPr>
          <w:p w14:paraId="0D6577C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8,25</w:t>
            </w:r>
          </w:p>
        </w:tc>
        <w:tc>
          <w:tcPr>
            <w:tcW w:w="1868" w:type="dxa"/>
          </w:tcPr>
          <w:p w14:paraId="08B078B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8,078</w:t>
            </w:r>
          </w:p>
        </w:tc>
        <w:tc>
          <w:tcPr>
            <w:tcW w:w="1868" w:type="dxa"/>
          </w:tcPr>
          <w:p w14:paraId="7512D3A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9,5</w:t>
            </w:r>
          </w:p>
        </w:tc>
        <w:tc>
          <w:tcPr>
            <w:tcW w:w="1868" w:type="dxa"/>
          </w:tcPr>
          <w:p w14:paraId="6E4E6DB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9,6</w:t>
            </w:r>
          </w:p>
        </w:tc>
        <w:tc>
          <w:tcPr>
            <w:tcW w:w="1868" w:type="dxa"/>
          </w:tcPr>
          <w:p w14:paraId="51D4847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9,5</w:t>
            </w:r>
          </w:p>
        </w:tc>
      </w:tr>
      <w:tr w:rsidR="00860B4B" w:rsidRPr="00D03F3E" w14:paraId="45137E55" w14:textId="77777777">
        <w:tc>
          <w:tcPr>
            <w:tcW w:w="1868" w:type="dxa"/>
          </w:tcPr>
          <w:p w14:paraId="1F76F52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Размах крыла, м</w:t>
            </w:r>
          </w:p>
        </w:tc>
        <w:tc>
          <w:tcPr>
            <w:tcW w:w="1868" w:type="dxa"/>
          </w:tcPr>
          <w:p w14:paraId="31A790F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w:t>
            </w:r>
          </w:p>
        </w:tc>
        <w:tc>
          <w:tcPr>
            <w:tcW w:w="1868" w:type="dxa"/>
          </w:tcPr>
          <w:p w14:paraId="0472201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w:t>
            </w:r>
          </w:p>
        </w:tc>
        <w:tc>
          <w:tcPr>
            <w:tcW w:w="1868" w:type="dxa"/>
          </w:tcPr>
          <w:p w14:paraId="2946C91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w:t>
            </w:r>
          </w:p>
        </w:tc>
        <w:tc>
          <w:tcPr>
            <w:tcW w:w="1868" w:type="dxa"/>
          </w:tcPr>
          <w:p w14:paraId="1B9D0E9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w:t>
            </w:r>
          </w:p>
        </w:tc>
        <w:tc>
          <w:tcPr>
            <w:tcW w:w="1868" w:type="dxa"/>
          </w:tcPr>
          <w:p w14:paraId="73454FC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w:t>
            </w:r>
          </w:p>
        </w:tc>
      </w:tr>
      <w:tr w:rsidR="00860B4B" w:rsidRPr="00D03F3E" w14:paraId="10819774" w14:textId="77777777">
        <w:tc>
          <w:tcPr>
            <w:tcW w:w="1868" w:type="dxa"/>
          </w:tcPr>
          <w:p w14:paraId="17E25D5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крыла, м2</w:t>
            </w:r>
          </w:p>
        </w:tc>
        <w:tc>
          <w:tcPr>
            <w:tcW w:w="1868" w:type="dxa"/>
          </w:tcPr>
          <w:p w14:paraId="6222CF7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17,44</w:t>
            </w:r>
          </w:p>
        </w:tc>
        <w:tc>
          <w:tcPr>
            <w:tcW w:w="1868" w:type="dxa"/>
          </w:tcPr>
          <w:p w14:paraId="6C7E807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17,44</w:t>
            </w:r>
          </w:p>
        </w:tc>
        <w:tc>
          <w:tcPr>
            <w:tcW w:w="1868" w:type="dxa"/>
          </w:tcPr>
          <w:p w14:paraId="4C134CD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20,38</w:t>
            </w:r>
          </w:p>
        </w:tc>
        <w:tc>
          <w:tcPr>
            <w:tcW w:w="1868" w:type="dxa"/>
          </w:tcPr>
          <w:p w14:paraId="1B76C3D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22,4</w:t>
            </w:r>
          </w:p>
        </w:tc>
        <w:tc>
          <w:tcPr>
            <w:tcW w:w="1868" w:type="dxa"/>
          </w:tcPr>
          <w:p w14:paraId="3645029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20,4</w:t>
            </w:r>
          </w:p>
        </w:tc>
      </w:tr>
      <w:tr w:rsidR="00860B4B" w:rsidRPr="00D03F3E" w14:paraId="6180B6A8" w14:textId="77777777">
        <w:tc>
          <w:tcPr>
            <w:tcW w:w="1868" w:type="dxa"/>
          </w:tcPr>
          <w:p w14:paraId="569BF7E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Высота самолета, м</w:t>
            </w:r>
          </w:p>
        </w:tc>
        <w:tc>
          <w:tcPr>
            <w:tcW w:w="1868" w:type="dxa"/>
          </w:tcPr>
          <w:p w14:paraId="3881828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3,325</w:t>
            </w:r>
          </w:p>
        </w:tc>
        <w:tc>
          <w:tcPr>
            <w:tcW w:w="1868" w:type="dxa"/>
          </w:tcPr>
          <w:p w14:paraId="5B793E5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2762</w:t>
            </w:r>
          </w:p>
        </w:tc>
        <w:tc>
          <w:tcPr>
            <w:tcW w:w="1868" w:type="dxa"/>
          </w:tcPr>
          <w:p w14:paraId="5558C25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3,66</w:t>
            </w:r>
          </w:p>
        </w:tc>
        <w:tc>
          <w:tcPr>
            <w:tcW w:w="1868" w:type="dxa"/>
          </w:tcPr>
          <w:p w14:paraId="4924EC7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3,66</w:t>
            </w:r>
          </w:p>
        </w:tc>
        <w:tc>
          <w:tcPr>
            <w:tcW w:w="1868" w:type="dxa"/>
          </w:tcPr>
          <w:p w14:paraId="2891193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w:t>
            </w:r>
          </w:p>
        </w:tc>
      </w:tr>
      <w:tr w:rsidR="00860B4B" w:rsidRPr="00D03F3E" w14:paraId="6119BD19" w14:textId="77777777">
        <w:tc>
          <w:tcPr>
            <w:tcW w:w="1868" w:type="dxa"/>
          </w:tcPr>
          <w:p w14:paraId="21EC31E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Масса пустого самолета, кг</w:t>
            </w:r>
          </w:p>
        </w:tc>
        <w:tc>
          <w:tcPr>
            <w:tcW w:w="1868" w:type="dxa"/>
          </w:tcPr>
          <w:p w14:paraId="7D437A2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3325</w:t>
            </w:r>
          </w:p>
        </w:tc>
        <w:tc>
          <w:tcPr>
            <w:tcW w:w="1868" w:type="dxa"/>
          </w:tcPr>
          <w:p w14:paraId="20B31BF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3382</w:t>
            </w:r>
          </w:p>
        </w:tc>
        <w:tc>
          <w:tcPr>
            <w:tcW w:w="1868" w:type="dxa"/>
          </w:tcPr>
          <w:p w14:paraId="1243AF5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3103</w:t>
            </w:r>
          </w:p>
        </w:tc>
        <w:tc>
          <w:tcPr>
            <w:tcW w:w="1868" w:type="dxa"/>
          </w:tcPr>
          <w:p w14:paraId="49A963D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3105</w:t>
            </w:r>
          </w:p>
        </w:tc>
        <w:tc>
          <w:tcPr>
            <w:tcW w:w="1868" w:type="dxa"/>
          </w:tcPr>
          <w:p w14:paraId="0267BF1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ЗОЮ</w:t>
            </w:r>
          </w:p>
        </w:tc>
      </w:tr>
      <w:tr w:rsidR="00860B4B" w:rsidRPr="00D03F3E" w14:paraId="1FFBBC3D" w14:textId="77777777">
        <w:tc>
          <w:tcPr>
            <w:tcW w:w="1868" w:type="dxa"/>
          </w:tcPr>
          <w:p w14:paraId="337864B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Взлетная масса, кг</w:t>
            </w:r>
          </w:p>
        </w:tc>
        <w:tc>
          <w:tcPr>
            <w:tcW w:w="1868" w:type="dxa"/>
          </w:tcPr>
          <w:p w14:paraId="2CBBA76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3595</w:t>
            </w:r>
          </w:p>
        </w:tc>
        <w:tc>
          <w:tcPr>
            <w:tcW w:w="1868" w:type="dxa"/>
          </w:tcPr>
          <w:p w14:paraId="3611F0BC"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868" w:type="dxa"/>
          </w:tcPr>
          <w:p w14:paraId="694D3FB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3835</w:t>
            </w:r>
          </w:p>
        </w:tc>
        <w:tc>
          <w:tcPr>
            <w:tcW w:w="1868" w:type="dxa"/>
          </w:tcPr>
          <w:p w14:paraId="53929DD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3780</w:t>
            </w:r>
          </w:p>
        </w:tc>
        <w:tc>
          <w:tcPr>
            <w:tcW w:w="1868" w:type="dxa"/>
          </w:tcPr>
          <w:p w14:paraId="3ABDD75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3912</w:t>
            </w:r>
          </w:p>
        </w:tc>
      </w:tr>
      <w:tr w:rsidR="00860B4B" w:rsidRPr="00D03F3E" w14:paraId="1E72892F" w14:textId="77777777">
        <w:tc>
          <w:tcPr>
            <w:tcW w:w="1868" w:type="dxa"/>
          </w:tcPr>
          <w:p w14:paraId="1771458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Запас топлива, кг</w:t>
            </w:r>
          </w:p>
        </w:tc>
        <w:tc>
          <w:tcPr>
            <w:tcW w:w="1868" w:type="dxa"/>
          </w:tcPr>
          <w:p w14:paraId="6F843B6E"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868" w:type="dxa"/>
          </w:tcPr>
          <w:p w14:paraId="3EE8D56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360</w:t>
            </w:r>
          </w:p>
        </w:tc>
        <w:tc>
          <w:tcPr>
            <w:tcW w:w="1868" w:type="dxa"/>
          </w:tcPr>
          <w:p w14:paraId="0550E18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335</w:t>
            </w:r>
          </w:p>
        </w:tc>
        <w:tc>
          <w:tcPr>
            <w:tcW w:w="1868" w:type="dxa"/>
          </w:tcPr>
          <w:p w14:paraId="0AE81E6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3551</w:t>
            </w:r>
          </w:p>
        </w:tc>
        <w:tc>
          <w:tcPr>
            <w:tcW w:w="1868" w:type="dxa"/>
          </w:tcPr>
          <w:p w14:paraId="05E4328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3252</w:t>
            </w:r>
          </w:p>
        </w:tc>
      </w:tr>
      <w:tr w:rsidR="00860B4B" w:rsidRPr="00D03F3E" w14:paraId="054F096C" w14:textId="77777777">
        <w:tc>
          <w:tcPr>
            <w:tcW w:w="1868" w:type="dxa"/>
          </w:tcPr>
          <w:p w14:paraId="2B058F6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полета, км/ч:</w:t>
            </w:r>
          </w:p>
        </w:tc>
        <w:tc>
          <w:tcPr>
            <w:tcW w:w="1868" w:type="dxa"/>
          </w:tcPr>
          <w:p w14:paraId="0F5AB577"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868" w:type="dxa"/>
          </w:tcPr>
          <w:p w14:paraId="25F04A4F"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868" w:type="dxa"/>
          </w:tcPr>
          <w:p w14:paraId="0E5F7565"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868" w:type="dxa"/>
          </w:tcPr>
          <w:p w14:paraId="7F275C1C"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868" w:type="dxa"/>
          </w:tcPr>
          <w:p w14:paraId="240595C2"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r>
      <w:tr w:rsidR="00860B4B" w:rsidRPr="00D03F3E" w14:paraId="10D9240D" w14:textId="77777777">
        <w:tc>
          <w:tcPr>
            <w:tcW w:w="1868" w:type="dxa"/>
          </w:tcPr>
          <w:p w14:paraId="442934D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 земли</w:t>
            </w:r>
          </w:p>
        </w:tc>
        <w:tc>
          <w:tcPr>
            <w:tcW w:w="1868" w:type="dxa"/>
          </w:tcPr>
          <w:p w14:paraId="7BDC4C2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519</w:t>
            </w:r>
          </w:p>
        </w:tc>
        <w:tc>
          <w:tcPr>
            <w:tcW w:w="1868" w:type="dxa"/>
          </w:tcPr>
          <w:p w14:paraId="4D627BA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475</w:t>
            </w:r>
          </w:p>
        </w:tc>
        <w:tc>
          <w:tcPr>
            <w:tcW w:w="1868" w:type="dxa"/>
          </w:tcPr>
          <w:p w14:paraId="562E05A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625</w:t>
            </w:r>
          </w:p>
        </w:tc>
        <w:tc>
          <w:tcPr>
            <w:tcW w:w="1868" w:type="dxa"/>
          </w:tcPr>
          <w:p w14:paraId="3E9B2DD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574</w:t>
            </w:r>
          </w:p>
        </w:tc>
        <w:tc>
          <w:tcPr>
            <w:tcW w:w="1868" w:type="dxa"/>
          </w:tcPr>
          <w:p w14:paraId="623B1D1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560</w:t>
            </w:r>
          </w:p>
        </w:tc>
      </w:tr>
      <w:tr w:rsidR="00860B4B" w:rsidRPr="00D03F3E" w14:paraId="33E35460" w14:textId="77777777">
        <w:tc>
          <w:tcPr>
            <w:tcW w:w="1868" w:type="dxa"/>
          </w:tcPr>
          <w:p w14:paraId="7548CEE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на высоте 5000 м</w:t>
            </w:r>
          </w:p>
        </w:tc>
        <w:tc>
          <w:tcPr>
            <w:tcW w:w="1868" w:type="dxa"/>
          </w:tcPr>
          <w:p w14:paraId="0535648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5923</w:t>
            </w:r>
          </w:p>
        </w:tc>
        <w:tc>
          <w:tcPr>
            <w:tcW w:w="1868" w:type="dxa"/>
          </w:tcPr>
          <w:p w14:paraId="6C5D8FE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5C65EE4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4D73DD1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70F64C8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650</w:t>
            </w:r>
          </w:p>
        </w:tc>
      </w:tr>
      <w:tr w:rsidR="00860B4B" w:rsidRPr="00D03F3E" w14:paraId="75D1F42E" w14:textId="77777777">
        <w:tc>
          <w:tcPr>
            <w:tcW w:w="1868" w:type="dxa"/>
          </w:tcPr>
          <w:p w14:paraId="3328C5A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на высоте 10 ООО м</w:t>
            </w:r>
          </w:p>
        </w:tc>
        <w:tc>
          <w:tcPr>
            <w:tcW w:w="1868" w:type="dxa"/>
          </w:tcPr>
          <w:p w14:paraId="3E33B59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60CB445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5654</w:t>
            </w:r>
          </w:p>
        </w:tc>
        <w:tc>
          <w:tcPr>
            <w:tcW w:w="1868" w:type="dxa"/>
          </w:tcPr>
          <w:p w14:paraId="7109A48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6955</w:t>
            </w:r>
          </w:p>
        </w:tc>
        <w:tc>
          <w:tcPr>
            <w:tcW w:w="1868" w:type="dxa"/>
          </w:tcPr>
          <w:p w14:paraId="19FACB7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6936</w:t>
            </w:r>
          </w:p>
        </w:tc>
        <w:tc>
          <w:tcPr>
            <w:tcW w:w="1868" w:type="dxa"/>
          </w:tcPr>
          <w:p w14:paraId="455C025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726</w:t>
            </w:r>
          </w:p>
        </w:tc>
      </w:tr>
      <w:tr w:rsidR="00860B4B" w:rsidRPr="00D03F3E" w14:paraId="71793FC7" w14:textId="77777777">
        <w:tc>
          <w:tcPr>
            <w:tcW w:w="1868" w:type="dxa"/>
          </w:tcPr>
          <w:p w14:paraId="1291743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высоты 5000 м, мин</w:t>
            </w:r>
          </w:p>
        </w:tc>
        <w:tc>
          <w:tcPr>
            <w:tcW w:w="1868" w:type="dxa"/>
          </w:tcPr>
          <w:p w14:paraId="7124EE7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7,93</w:t>
            </w:r>
          </w:p>
        </w:tc>
        <w:tc>
          <w:tcPr>
            <w:tcW w:w="1868" w:type="dxa"/>
          </w:tcPr>
          <w:p w14:paraId="30DC84A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w:t>
            </w:r>
          </w:p>
        </w:tc>
        <w:tc>
          <w:tcPr>
            <w:tcW w:w="1868" w:type="dxa"/>
          </w:tcPr>
          <w:p w14:paraId="16D9AA4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w:t>
            </w:r>
          </w:p>
        </w:tc>
        <w:tc>
          <w:tcPr>
            <w:tcW w:w="1868" w:type="dxa"/>
          </w:tcPr>
          <w:p w14:paraId="376519D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3C9D169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r>
      <w:tr w:rsidR="00860B4B" w:rsidRPr="00D03F3E" w14:paraId="0DC1A602" w14:textId="77777777">
        <w:tc>
          <w:tcPr>
            <w:tcW w:w="1868" w:type="dxa"/>
          </w:tcPr>
          <w:p w14:paraId="53909EB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 м</w:t>
            </w:r>
          </w:p>
        </w:tc>
        <w:tc>
          <w:tcPr>
            <w:tcW w:w="1868" w:type="dxa"/>
          </w:tcPr>
          <w:p w14:paraId="6E25C23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3997F1B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8700</w:t>
            </w:r>
          </w:p>
        </w:tc>
        <w:tc>
          <w:tcPr>
            <w:tcW w:w="1868" w:type="dxa"/>
          </w:tcPr>
          <w:p w14:paraId="15202B7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11 000</w:t>
            </w:r>
          </w:p>
        </w:tc>
        <w:tc>
          <w:tcPr>
            <w:tcW w:w="1868" w:type="dxa"/>
          </w:tcPr>
          <w:p w14:paraId="0E30E42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14 100</w:t>
            </w:r>
          </w:p>
        </w:tc>
        <w:tc>
          <w:tcPr>
            <w:tcW w:w="1868" w:type="dxa"/>
          </w:tcPr>
          <w:p w14:paraId="04AD772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12 600</w:t>
            </w:r>
          </w:p>
        </w:tc>
      </w:tr>
      <w:tr w:rsidR="00860B4B" w:rsidRPr="00D03F3E" w14:paraId="48624FEA" w14:textId="77777777">
        <w:tc>
          <w:tcPr>
            <w:tcW w:w="1868" w:type="dxa"/>
          </w:tcPr>
          <w:p w14:paraId="590A581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разбега, м</w:t>
            </w:r>
          </w:p>
        </w:tc>
        <w:tc>
          <w:tcPr>
            <w:tcW w:w="1868" w:type="dxa"/>
          </w:tcPr>
          <w:p w14:paraId="7CE2617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13C2F14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146</w:t>
            </w:r>
          </w:p>
        </w:tc>
        <w:tc>
          <w:tcPr>
            <w:tcW w:w="1868" w:type="dxa"/>
          </w:tcPr>
          <w:p w14:paraId="38AEBD7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22A6FFB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230</w:t>
            </w:r>
          </w:p>
        </w:tc>
        <w:tc>
          <w:tcPr>
            <w:tcW w:w="1868" w:type="dxa"/>
          </w:tcPr>
          <w:p w14:paraId="7BAD74A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257</w:t>
            </w:r>
          </w:p>
        </w:tc>
      </w:tr>
      <w:tr w:rsidR="00860B4B" w:rsidRPr="00D03F3E" w14:paraId="2FD5D048" w14:textId="77777777">
        <w:tc>
          <w:tcPr>
            <w:tcW w:w="1868" w:type="dxa"/>
          </w:tcPr>
          <w:p w14:paraId="7EA0A50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пробега, м</w:t>
            </w:r>
          </w:p>
        </w:tc>
        <w:tc>
          <w:tcPr>
            <w:tcW w:w="1868" w:type="dxa"/>
          </w:tcPr>
          <w:p w14:paraId="73E8531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32C866E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410</w:t>
            </w:r>
          </w:p>
        </w:tc>
        <w:tc>
          <w:tcPr>
            <w:tcW w:w="1868" w:type="dxa"/>
          </w:tcPr>
          <w:p w14:paraId="4D20AC1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7977F2E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440</w:t>
            </w:r>
          </w:p>
        </w:tc>
        <w:tc>
          <w:tcPr>
            <w:tcW w:w="1868" w:type="dxa"/>
          </w:tcPr>
          <w:p w14:paraId="09AF943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450</w:t>
            </w:r>
          </w:p>
        </w:tc>
      </w:tr>
      <w:tr w:rsidR="00860B4B" w:rsidRPr="00D03F3E" w14:paraId="28E2FD7A" w14:textId="77777777">
        <w:tc>
          <w:tcPr>
            <w:tcW w:w="1868" w:type="dxa"/>
            <w:tcBorders>
              <w:bottom w:val="single" w:sz="12" w:space="0" w:color="auto"/>
            </w:tcBorders>
          </w:tcPr>
          <w:p w14:paraId="38A42CE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Посадочная скорость, км/ч</w:t>
            </w:r>
          </w:p>
        </w:tc>
        <w:tc>
          <w:tcPr>
            <w:tcW w:w="1868" w:type="dxa"/>
            <w:tcBorders>
              <w:bottom w:val="single" w:sz="12" w:space="0" w:color="auto"/>
            </w:tcBorders>
          </w:tcPr>
          <w:p w14:paraId="0D5A7B9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Borders>
              <w:bottom w:val="single" w:sz="12" w:space="0" w:color="auto"/>
            </w:tcBorders>
          </w:tcPr>
          <w:p w14:paraId="6344577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w:t>
            </w:r>
          </w:p>
        </w:tc>
        <w:tc>
          <w:tcPr>
            <w:tcW w:w="1868" w:type="dxa"/>
            <w:tcBorders>
              <w:bottom w:val="single" w:sz="12" w:space="0" w:color="auto"/>
            </w:tcBorders>
          </w:tcPr>
          <w:p w14:paraId="4FDCB45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Borders>
              <w:bottom w:val="single" w:sz="12" w:space="0" w:color="auto"/>
            </w:tcBorders>
          </w:tcPr>
          <w:p w14:paraId="60FE6ED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127</w:t>
            </w:r>
          </w:p>
        </w:tc>
        <w:tc>
          <w:tcPr>
            <w:tcW w:w="1868" w:type="dxa"/>
            <w:tcBorders>
              <w:bottom w:val="single" w:sz="12" w:space="0" w:color="auto"/>
            </w:tcBorders>
          </w:tcPr>
          <w:p w14:paraId="1BEE87F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134</w:t>
            </w:r>
          </w:p>
        </w:tc>
      </w:tr>
    </w:tbl>
    <w:p w14:paraId="2722F6A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Примечания:</w:t>
      </w:r>
    </w:p>
    <w:p w14:paraId="035C590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 в крыльевых топливных баках в перегрузку еще 124 кг;</w:t>
      </w:r>
    </w:p>
    <w:p w14:paraId="08CF3F0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 в крыльевых топливных баках в перегрузку еще 127 кг;</w:t>
      </w:r>
    </w:p>
    <w:p w14:paraId="11B1A3D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 на высоте 3400 м;</w:t>
      </w:r>
    </w:p>
    <w:p w14:paraId="66E7671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 на высоте 6150 м;</w:t>
      </w:r>
    </w:p>
    <w:p w14:paraId="5669C99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 на высоте 7500 м при боевом режиме работы мотора;</w:t>
      </w:r>
    </w:p>
    <w:p w14:paraId="3367C4E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6 - расчетная на высоте 13 100 м. </w:t>
      </w:r>
    </w:p>
    <w:p w14:paraId="2EFAA9D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октябре 1943 г. после ремонта первая опытная машина с двигателем АМ-38Ф поступила в НИИ ВВС на госиспытания. Летчику-испытателю П.М. Стефановско- му удалось получить следующие максимальные скорости на номинальном режиме: 572 км/ч у земли, 622 км/ч на высоте 2600 м, а на боевом режиме - 608 км/ч и 652 км/ч, соответственно. По его мнению, самолет И-220, был прост в пилотировании, обладал высокими летными характеристиками и мощным вооружением. В акте по испытаниям отмечалось, что даже с двигателем АМ-38Ф летные данные И-220 до высоты 3500 м лучше, чем у всех опытных самолетов, прошедших к тому времени госиспытания в НИИ ВВС. Установка мотора АМ-39 должна была способствовать еще большему расширению возможностей самолета. Рекомендовалось ускорить доводку мотора и предъявить И-220 с АМ-39 на государственные испытания.</w:t>
      </w:r>
    </w:p>
    <w:p w14:paraId="61526C9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1944 г. ответственными за проведение государственных испытаний И-220 зав. № 01 с мотором АМ-39 в НИИ ВВС назначили ведущего инженера В.И. Алексеенко и л етч и ка-испытателя Д. Г. Пикуленко. На номинальном режиме работы мотора Пикуленко получил скорость 606 км/ч на высоте 2700 м и 668 км/ч на высоте 6800 м. Высоту 5000 м самолет набирал за 6,3 мин. Практический потолок И-220 составил 11 000 м. Такие данные практически не выделяли И-220 на фоне серийных вариантов истребителей Як-3, Як-9У и Ла-7. 26 сентября госиспытания были прекращены по просьбе главного конструктора А.И. Микояна (12045).</w:t>
      </w:r>
    </w:p>
    <w:p w14:paraId="321D456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7FD85F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 мая 1943 на 21 заводе была авария Ла-5 N 37211593 с М-82 65022939 (2129).</w:t>
      </w:r>
    </w:p>
    <w:p w14:paraId="44096258" w14:textId="77777777" w:rsidR="00531570" w:rsidRPr="00D03F3E" w:rsidRDefault="00531570" w:rsidP="00D03F3E">
      <w:pPr>
        <w:pStyle w:val="Iauiue"/>
        <w:jc w:val="both"/>
        <w:rPr>
          <w:color w:val="000000" w:themeColor="text1"/>
          <w:sz w:val="16"/>
          <w:szCs w:val="16"/>
        </w:rPr>
      </w:pPr>
    </w:p>
    <w:p w14:paraId="370EAF59" w14:textId="77777777" w:rsidR="00F1014E" w:rsidRPr="00D03F3E" w:rsidRDefault="00F1014E"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С 25 мая 1943 с момента переформирования полка по 25 августа 1943 г. велось наблюдение за эксплуатацией моторов М-82ФН в 32-м гвардейском иап (бывшем 434-му иап) инженером 5 отдела НИИ ВВС инженер-капитан Ф.Ф. Бабанин (15813).</w:t>
      </w:r>
    </w:p>
    <w:p w14:paraId="4969B9F4" w14:textId="77777777" w:rsidR="00F1014E" w:rsidRPr="00D03F3E" w:rsidRDefault="00F1014E" w:rsidP="00D03F3E">
      <w:pPr>
        <w:pStyle w:val="27"/>
        <w:shd w:val="clear" w:color="auto" w:fill="auto"/>
        <w:spacing w:after="0" w:line="240" w:lineRule="auto"/>
        <w:ind w:firstLine="0"/>
        <w:rPr>
          <w:rFonts w:ascii="Times New Roman" w:cs="Times New Roman"/>
          <w:color w:val="000000" w:themeColor="text1"/>
          <w:spacing w:val="0"/>
        </w:rPr>
      </w:pPr>
    </w:p>
    <w:p w14:paraId="780FB08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25 мая по 25 августа 1943 проходили войсковые испытания Ла-5ФН, которые проходили в 32 гиап (быв</w:t>
      </w:r>
      <w:r w:rsidRPr="00D03F3E">
        <w:rPr>
          <w:rFonts w:ascii="Times New Roman" w:hAnsi="Times New Roman"/>
          <w:color w:val="000000" w:themeColor="text1"/>
          <w:sz w:val="16"/>
          <w:szCs w:val="16"/>
        </w:rPr>
        <w:softHyphen/>
        <w:t>шем 434 ИАП), который ранее отка</w:t>
      </w:r>
      <w:r w:rsidRPr="00D03F3E">
        <w:rPr>
          <w:rFonts w:ascii="Times New Roman" w:hAnsi="Times New Roman"/>
          <w:color w:val="000000" w:themeColor="text1"/>
          <w:sz w:val="16"/>
          <w:szCs w:val="16"/>
        </w:rPr>
        <w:softHyphen/>
        <w:t>зался от первых серийных Ла-5. Пол</w:t>
      </w:r>
      <w:r w:rsidRPr="00D03F3E">
        <w:rPr>
          <w:rFonts w:ascii="Times New Roman" w:hAnsi="Times New Roman"/>
          <w:color w:val="000000" w:themeColor="text1"/>
          <w:sz w:val="16"/>
          <w:szCs w:val="16"/>
        </w:rPr>
        <w:softHyphen/>
        <w:t>ком командовал Герой Совет</w:t>
      </w:r>
      <w:r w:rsidRPr="00D03F3E">
        <w:rPr>
          <w:rFonts w:ascii="Times New Roman" w:hAnsi="Times New Roman"/>
          <w:color w:val="000000" w:themeColor="text1"/>
          <w:sz w:val="16"/>
          <w:szCs w:val="16"/>
        </w:rPr>
        <w:softHyphen/>
        <w:t>ского Союза подполковник В.И. Давидков, сменивший полковника В.И. Сталина после того, как последний в апреле 1943 года получил «боевое» ранение своим же РС-82 во время неудачной рыбалки. Испытания проводились во время переформирования полка и с 5 июля 1943 - с начала боевых действий. К 4 июля 1943 было получено с завода №21 всего 13 самолетов Ла-5 с М-82ФН, один из них разбит при катастрофе во время тренировочного полета (из- за ошибки в технике пилотирования). В период боевых действий получено еще 2 самолета. Таким образом, ис</w:t>
      </w:r>
      <w:r w:rsidRPr="00D03F3E">
        <w:rPr>
          <w:rFonts w:ascii="Times New Roman" w:hAnsi="Times New Roman"/>
          <w:color w:val="000000" w:themeColor="text1"/>
          <w:sz w:val="16"/>
          <w:szCs w:val="16"/>
        </w:rPr>
        <w:softHyphen/>
        <w:t>пытанию подвергались 14 самолетов Ла-5 с М-82ФН. Остальные самоле</w:t>
      </w:r>
      <w:r w:rsidRPr="00D03F3E">
        <w:rPr>
          <w:rFonts w:ascii="Times New Roman" w:hAnsi="Times New Roman"/>
          <w:color w:val="000000" w:themeColor="text1"/>
          <w:sz w:val="16"/>
          <w:szCs w:val="16"/>
        </w:rPr>
        <w:softHyphen/>
        <w:t>ты в полку были Ла-5 с М-82Ф. Во время тренировки было проведено несколько показательных боев само</w:t>
      </w:r>
      <w:r w:rsidRPr="00D03F3E">
        <w:rPr>
          <w:rFonts w:ascii="Times New Roman" w:hAnsi="Times New Roman"/>
          <w:color w:val="000000" w:themeColor="text1"/>
          <w:sz w:val="16"/>
          <w:szCs w:val="16"/>
        </w:rPr>
        <w:softHyphen/>
        <w:t>летов Ла-5 с М-82ФН с самолетами Ла-5 с М-82Ф, которыми было выяв</w:t>
      </w:r>
      <w:r w:rsidRPr="00D03F3E">
        <w:rPr>
          <w:rFonts w:ascii="Times New Roman" w:hAnsi="Times New Roman"/>
          <w:color w:val="000000" w:themeColor="text1"/>
          <w:sz w:val="16"/>
          <w:szCs w:val="16"/>
        </w:rPr>
        <w:softHyphen/>
        <w:t>лено полное преимущество первых над вторыми. Испытания проходили в боевых ус</w:t>
      </w:r>
      <w:r w:rsidRPr="00D03F3E">
        <w:rPr>
          <w:rFonts w:ascii="Times New Roman" w:hAnsi="Times New Roman"/>
          <w:color w:val="000000" w:themeColor="text1"/>
          <w:sz w:val="16"/>
          <w:szCs w:val="16"/>
        </w:rPr>
        <w:softHyphen/>
        <w:t>ловиях в 32 ГИАП 1 ГИАК 15 ВА на Брянском фронте (северный фас Кур</w:t>
      </w:r>
      <w:r w:rsidRPr="00D03F3E">
        <w:rPr>
          <w:rFonts w:ascii="Times New Roman" w:hAnsi="Times New Roman"/>
          <w:color w:val="000000" w:themeColor="text1"/>
          <w:sz w:val="16"/>
          <w:szCs w:val="16"/>
        </w:rPr>
        <w:softHyphen/>
        <w:t>ской дуги) с 5 июля по 25 августа 1943 года. В процессе испытаний полк выпол</w:t>
      </w:r>
      <w:r w:rsidRPr="00D03F3E">
        <w:rPr>
          <w:rFonts w:ascii="Times New Roman" w:hAnsi="Times New Roman"/>
          <w:color w:val="000000" w:themeColor="text1"/>
          <w:sz w:val="16"/>
          <w:szCs w:val="16"/>
        </w:rPr>
        <w:softHyphen/>
        <w:t>нял боевую задачу по прикрытию на</w:t>
      </w:r>
      <w:r w:rsidRPr="00D03F3E">
        <w:rPr>
          <w:rFonts w:ascii="Times New Roman" w:hAnsi="Times New Roman"/>
          <w:color w:val="000000" w:themeColor="text1"/>
          <w:sz w:val="16"/>
          <w:szCs w:val="16"/>
        </w:rPr>
        <w:softHyphen/>
        <w:t>земных войск и освобождению воз</w:t>
      </w:r>
      <w:r w:rsidRPr="00D03F3E">
        <w:rPr>
          <w:rFonts w:ascii="Times New Roman" w:hAnsi="Times New Roman"/>
          <w:color w:val="000000" w:themeColor="text1"/>
          <w:sz w:val="16"/>
          <w:szCs w:val="16"/>
        </w:rPr>
        <w:softHyphen/>
        <w:t>духа над линией фронта от самоле</w:t>
      </w:r>
      <w:r w:rsidRPr="00D03F3E">
        <w:rPr>
          <w:rFonts w:ascii="Times New Roman" w:hAnsi="Times New Roman"/>
          <w:color w:val="000000" w:themeColor="text1"/>
          <w:sz w:val="16"/>
          <w:szCs w:val="16"/>
        </w:rPr>
        <w:softHyphen/>
        <w:t>тов противника. Продвигаясь вслед за наступающими частями, полк в про</w:t>
      </w:r>
      <w:r w:rsidRPr="00D03F3E">
        <w:rPr>
          <w:rFonts w:ascii="Times New Roman" w:hAnsi="Times New Roman"/>
          <w:color w:val="000000" w:themeColor="text1"/>
          <w:sz w:val="16"/>
          <w:szCs w:val="16"/>
        </w:rPr>
        <w:softHyphen/>
        <w:t>цессе испытаний 5 раз менял место базирования и находился на аэро</w:t>
      </w:r>
      <w:r w:rsidRPr="00D03F3E">
        <w:rPr>
          <w:rFonts w:ascii="Times New Roman" w:hAnsi="Times New Roman"/>
          <w:color w:val="000000" w:themeColor="text1"/>
          <w:sz w:val="16"/>
          <w:szCs w:val="16"/>
        </w:rPr>
        <w:softHyphen/>
        <w:t>дромах: Студенец, Пруды (около г. Новосиль), Протасове (вост. г. Орел в 20 км), Орел гражданский и «9 ду</w:t>
      </w:r>
      <w:r w:rsidRPr="00D03F3E">
        <w:rPr>
          <w:rFonts w:ascii="Times New Roman" w:hAnsi="Times New Roman"/>
          <w:color w:val="000000" w:themeColor="text1"/>
          <w:sz w:val="16"/>
          <w:szCs w:val="16"/>
        </w:rPr>
        <w:softHyphen/>
        <w:t>бов» (с.в. Карачево, в 14 км). Все аэро</w:t>
      </w:r>
      <w:r w:rsidRPr="00D03F3E">
        <w:rPr>
          <w:rFonts w:ascii="Times New Roman" w:hAnsi="Times New Roman"/>
          <w:color w:val="000000" w:themeColor="text1"/>
          <w:sz w:val="16"/>
          <w:szCs w:val="16"/>
        </w:rPr>
        <w:softHyphen/>
        <w:t>дромы были организованы на полях с травянистым покровом средней пыльности (10723).</w:t>
      </w:r>
    </w:p>
    <w:p w14:paraId="0CF565D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за период с 25 мая по 25 августа было выполнено 818 с/в с об</w:t>
      </w:r>
      <w:r w:rsidRPr="00D03F3E">
        <w:rPr>
          <w:rFonts w:ascii="Times New Roman" w:hAnsi="Times New Roman"/>
          <w:color w:val="000000" w:themeColor="text1"/>
          <w:sz w:val="16"/>
          <w:szCs w:val="16"/>
        </w:rPr>
        <w:softHyphen/>
        <w:t>щей наработкой моторов 782 ч 25 мин, из них: в воздухе - 636 ч 42 мин и на земле 145 ч 43 мин.</w:t>
      </w:r>
    </w:p>
    <w:p w14:paraId="3D51E2A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Работа моторов была проверена до высоты 6000 м. Основная масса полетов проходила на высотах 2000-4000 м при работе моторов на 1-й скорости нагнетателя. Полеты на 2-й скорости нагнетателя до высоты 6000 м производились в редких случаях.</w:t>
      </w:r>
    </w:p>
    <w:p w14:paraId="09719EF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Моторы на 1-й и 2-й скоростях нагнетателя, на всех режимах и высо</w:t>
      </w:r>
      <w:r w:rsidRPr="00D03F3E">
        <w:rPr>
          <w:rFonts w:ascii="Times New Roman" w:hAnsi="Times New Roman"/>
          <w:color w:val="000000" w:themeColor="text1"/>
          <w:sz w:val="16"/>
          <w:szCs w:val="16"/>
        </w:rPr>
        <w:softHyphen/>
        <w:t>тах полета работали хорошо. 2-я ско</w:t>
      </w:r>
      <w:r w:rsidRPr="00D03F3E">
        <w:rPr>
          <w:rFonts w:ascii="Times New Roman" w:hAnsi="Times New Roman"/>
          <w:color w:val="000000" w:themeColor="text1"/>
          <w:sz w:val="16"/>
          <w:szCs w:val="16"/>
        </w:rPr>
        <w:softHyphen/>
        <w:t>рость нагнетателя включалась на вы</w:t>
      </w:r>
      <w:r w:rsidRPr="00D03F3E">
        <w:rPr>
          <w:rFonts w:ascii="Times New Roman" w:hAnsi="Times New Roman"/>
          <w:color w:val="000000" w:themeColor="text1"/>
          <w:sz w:val="16"/>
          <w:szCs w:val="16"/>
        </w:rPr>
        <w:softHyphen/>
        <w:t>соте 3500-4000 м. При работе мото</w:t>
      </w:r>
      <w:r w:rsidRPr="00D03F3E">
        <w:rPr>
          <w:rFonts w:ascii="Times New Roman" w:hAnsi="Times New Roman"/>
          <w:color w:val="000000" w:themeColor="text1"/>
          <w:sz w:val="16"/>
          <w:szCs w:val="16"/>
        </w:rPr>
        <w:softHyphen/>
        <w:t>ров на 2-й скорости нагнетателя на</w:t>
      </w:r>
      <w:r w:rsidRPr="00D03F3E">
        <w:rPr>
          <w:rFonts w:ascii="Times New Roman" w:hAnsi="Times New Roman"/>
          <w:color w:val="000000" w:themeColor="text1"/>
          <w:sz w:val="16"/>
          <w:szCs w:val="16"/>
        </w:rPr>
        <w:softHyphen/>
        <w:t>блюдалось дымление мотора, которое стало проявляться в большей степени после наработки 60 и более часов. Дымление на работу мотора не ска</w:t>
      </w:r>
      <w:r w:rsidRPr="00D03F3E">
        <w:rPr>
          <w:rFonts w:ascii="Times New Roman" w:hAnsi="Times New Roman"/>
          <w:color w:val="000000" w:themeColor="text1"/>
          <w:sz w:val="16"/>
          <w:szCs w:val="16"/>
        </w:rPr>
        <w:softHyphen/>
        <w:t>зывалось, он работал нормально.</w:t>
      </w:r>
    </w:p>
    <w:p w14:paraId="66ECA30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Работа моторов на форсаже (п=2500 об/мин и Рк=1180 мм рт.ст.) была нормальная. Непрерывная про</w:t>
      </w:r>
      <w:r w:rsidRPr="00D03F3E">
        <w:rPr>
          <w:rFonts w:ascii="Times New Roman" w:hAnsi="Times New Roman"/>
          <w:color w:val="000000" w:themeColor="text1"/>
          <w:sz w:val="16"/>
          <w:szCs w:val="16"/>
        </w:rPr>
        <w:softHyphen/>
        <w:t>должительность работы мотора на форсаже допускалась не более 3-4 мин, так как дольше свечи ВГ-12 не выдерживали, давали перебои, и лет</w:t>
      </w:r>
      <w:r w:rsidRPr="00D03F3E">
        <w:rPr>
          <w:rFonts w:ascii="Times New Roman" w:hAnsi="Times New Roman"/>
          <w:color w:val="000000" w:themeColor="text1"/>
          <w:sz w:val="16"/>
          <w:szCs w:val="16"/>
        </w:rPr>
        <w:softHyphen/>
        <w:t>чик вынужден был уменьшать наддув.</w:t>
      </w:r>
    </w:p>
    <w:p w14:paraId="1F3724F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Запуск мотора в летних условиях при температуре воздуха +10...+25°С - отличный. Мотор запускался все</w:t>
      </w:r>
      <w:r w:rsidRPr="00D03F3E">
        <w:rPr>
          <w:rFonts w:ascii="Times New Roman" w:hAnsi="Times New Roman"/>
          <w:color w:val="000000" w:themeColor="text1"/>
          <w:sz w:val="16"/>
          <w:szCs w:val="16"/>
        </w:rPr>
        <w:softHyphen/>
        <w:t>гда с первой попытки. При пониже</w:t>
      </w:r>
      <w:r w:rsidRPr="00D03F3E">
        <w:rPr>
          <w:rFonts w:ascii="Times New Roman" w:hAnsi="Times New Roman"/>
          <w:color w:val="000000" w:themeColor="text1"/>
          <w:sz w:val="16"/>
          <w:szCs w:val="16"/>
        </w:rPr>
        <w:softHyphen/>
        <w:t>нии температуры (холодные утренни</w:t>
      </w:r>
      <w:r w:rsidRPr="00D03F3E">
        <w:rPr>
          <w:rFonts w:ascii="Times New Roman" w:hAnsi="Times New Roman"/>
          <w:color w:val="000000" w:themeColor="text1"/>
          <w:sz w:val="16"/>
          <w:szCs w:val="16"/>
        </w:rPr>
        <w:softHyphen/>
        <w:t>ки в августе месяце) мотор запускал</w:t>
      </w:r>
      <w:r w:rsidRPr="00D03F3E">
        <w:rPr>
          <w:rFonts w:ascii="Times New Roman" w:hAnsi="Times New Roman"/>
          <w:color w:val="000000" w:themeColor="text1"/>
          <w:sz w:val="16"/>
          <w:szCs w:val="16"/>
        </w:rPr>
        <w:softHyphen/>
        <w:t>ся также хорошо.</w:t>
      </w:r>
    </w:p>
    <w:p w14:paraId="21915D3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процессе боевой работы режи</w:t>
      </w:r>
      <w:r w:rsidRPr="00D03F3E">
        <w:rPr>
          <w:rFonts w:ascii="Times New Roman" w:hAnsi="Times New Roman"/>
          <w:color w:val="000000" w:themeColor="text1"/>
          <w:sz w:val="16"/>
          <w:szCs w:val="16"/>
        </w:rPr>
        <w:softHyphen/>
        <w:t>мы моторов были:</w:t>
      </w:r>
    </w:p>
    <w:p w14:paraId="60B1BFC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при следовании на фронт и об</w:t>
      </w:r>
      <w:r w:rsidRPr="00D03F3E">
        <w:rPr>
          <w:rFonts w:ascii="Times New Roman" w:hAnsi="Times New Roman"/>
          <w:color w:val="000000" w:themeColor="text1"/>
          <w:sz w:val="16"/>
          <w:szCs w:val="16"/>
        </w:rPr>
        <w:softHyphen/>
        <w:t>ратно: п=2000-2200 об/мин и Рк=600-800 мм рт.ст.;</w:t>
      </w:r>
    </w:p>
    <w:p w14:paraId="1E1702F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над линией фронта: п=2000-2200 об/мин и Рк=800-950 мм;</w:t>
      </w:r>
    </w:p>
    <w:p w14:paraId="73DAB1F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при ведении воздушного боя ре</w:t>
      </w:r>
      <w:r w:rsidRPr="00D03F3E">
        <w:rPr>
          <w:rFonts w:ascii="Times New Roman" w:hAnsi="Times New Roman"/>
          <w:color w:val="000000" w:themeColor="text1"/>
          <w:sz w:val="16"/>
          <w:szCs w:val="16"/>
        </w:rPr>
        <w:softHyphen/>
        <w:t>жим работы мотора изменялся в за</w:t>
      </w:r>
      <w:r w:rsidRPr="00D03F3E">
        <w:rPr>
          <w:rFonts w:ascii="Times New Roman" w:hAnsi="Times New Roman"/>
          <w:color w:val="000000" w:themeColor="text1"/>
          <w:sz w:val="16"/>
          <w:szCs w:val="16"/>
        </w:rPr>
        <w:softHyphen/>
        <w:t>висимости от обстановки и полная мощность мотора использовалась не</w:t>
      </w:r>
      <w:r w:rsidRPr="00D03F3E">
        <w:rPr>
          <w:rFonts w:ascii="Times New Roman" w:hAnsi="Times New Roman"/>
          <w:color w:val="000000" w:themeColor="text1"/>
          <w:sz w:val="16"/>
          <w:szCs w:val="16"/>
        </w:rPr>
        <w:softHyphen/>
        <w:t>сколько раз периодами по 3-4 мину</w:t>
      </w:r>
      <w:r w:rsidRPr="00D03F3E">
        <w:rPr>
          <w:rFonts w:ascii="Times New Roman" w:hAnsi="Times New Roman"/>
          <w:color w:val="000000" w:themeColor="text1"/>
          <w:sz w:val="16"/>
          <w:szCs w:val="16"/>
        </w:rPr>
        <w:softHyphen/>
        <w:t>ты.</w:t>
      </w:r>
    </w:p>
    <w:p w14:paraId="27EA864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Температура головок цилиндров перед вылетом была в пределах 1 30-140 °С, температура масла - 30-40 °С. При этих условиях взлет произво</w:t>
      </w:r>
      <w:r w:rsidRPr="00D03F3E">
        <w:rPr>
          <w:rFonts w:ascii="Times New Roman" w:hAnsi="Times New Roman"/>
          <w:color w:val="000000" w:themeColor="text1"/>
          <w:sz w:val="16"/>
          <w:szCs w:val="16"/>
        </w:rPr>
        <w:softHyphen/>
        <w:t>дился нормально и мотор работал хорошо, как на номинальном режиме, так и на форсаже. Температура го</w:t>
      </w:r>
      <w:r w:rsidRPr="00D03F3E">
        <w:rPr>
          <w:rFonts w:ascii="Times New Roman" w:hAnsi="Times New Roman"/>
          <w:color w:val="000000" w:themeColor="text1"/>
          <w:sz w:val="16"/>
          <w:szCs w:val="16"/>
        </w:rPr>
        <w:softHyphen/>
        <w:t>ловок цилиндров при наборе высоты, а также при работе на форсаже, не превышала 200-230 °С и температу</w:t>
      </w:r>
      <w:r w:rsidRPr="00D03F3E">
        <w:rPr>
          <w:rFonts w:ascii="Times New Roman" w:hAnsi="Times New Roman"/>
          <w:color w:val="000000" w:themeColor="text1"/>
          <w:sz w:val="16"/>
          <w:szCs w:val="16"/>
        </w:rPr>
        <w:softHyphen/>
        <w:t>ра масла - 50-65 °С. Температура головок цилиндров в горизонтальном полете находилась в пределах 160-190 °С, температура масла - 50-60 "С. Взлет и полет производились, как правило, при полностью закрытых бо</w:t>
      </w:r>
      <w:r w:rsidRPr="00D03F3E">
        <w:rPr>
          <w:rFonts w:ascii="Times New Roman" w:hAnsi="Times New Roman"/>
          <w:color w:val="000000" w:themeColor="text1"/>
          <w:sz w:val="16"/>
          <w:szCs w:val="16"/>
        </w:rPr>
        <w:softHyphen/>
        <w:t>ковых створках капота мотора и со</w:t>
      </w:r>
      <w:r w:rsidRPr="00D03F3E">
        <w:rPr>
          <w:rFonts w:ascii="Times New Roman" w:hAnsi="Times New Roman"/>
          <w:color w:val="000000" w:themeColor="text1"/>
          <w:sz w:val="16"/>
          <w:szCs w:val="16"/>
        </w:rPr>
        <w:softHyphen/>
        <w:t>вке маслорадиатора - по потоку.</w:t>
      </w:r>
    </w:p>
    <w:p w14:paraId="6B2E567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Необходимо отметить, что темпера</w:t>
      </w:r>
      <w:r w:rsidRPr="00D03F3E">
        <w:rPr>
          <w:rFonts w:ascii="Times New Roman" w:hAnsi="Times New Roman"/>
          <w:color w:val="000000" w:themeColor="text1"/>
          <w:sz w:val="16"/>
          <w:szCs w:val="16"/>
        </w:rPr>
        <w:softHyphen/>
        <w:t>тура головок цилиндров моторов М-82ФН при равных условиях полета и режимах работы моторов, оказалась ниже на 20-30 градусов, а темпера</w:t>
      </w:r>
      <w:r w:rsidRPr="00D03F3E">
        <w:rPr>
          <w:rFonts w:ascii="Times New Roman" w:hAnsi="Times New Roman"/>
          <w:color w:val="000000" w:themeColor="text1"/>
          <w:sz w:val="16"/>
          <w:szCs w:val="16"/>
        </w:rPr>
        <w:softHyphen/>
        <w:t>тура масла на 10-15 градусов, чем у моторов М-82Ф. Это было следстви</w:t>
      </w:r>
      <w:r w:rsidRPr="00D03F3E">
        <w:rPr>
          <w:rFonts w:ascii="Times New Roman" w:hAnsi="Times New Roman"/>
          <w:color w:val="000000" w:themeColor="text1"/>
          <w:sz w:val="16"/>
          <w:szCs w:val="16"/>
        </w:rPr>
        <w:softHyphen/>
        <w:t>ем лучшего охлаждения цилиндров в результате испарения непосредствен</w:t>
      </w:r>
      <w:r w:rsidRPr="00D03F3E">
        <w:rPr>
          <w:rFonts w:ascii="Times New Roman" w:hAnsi="Times New Roman"/>
          <w:color w:val="000000" w:themeColor="text1"/>
          <w:sz w:val="16"/>
          <w:szCs w:val="16"/>
        </w:rPr>
        <w:softHyphen/>
        <w:t>но в них впрыскиваемого топлива.</w:t>
      </w:r>
    </w:p>
    <w:p w14:paraId="6BB8ED8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Свечи ВГ-12 до наддува 950-1000 мм работали 15-20 часов. При рабо</w:t>
      </w:r>
      <w:r w:rsidRPr="00D03F3E">
        <w:rPr>
          <w:rFonts w:ascii="Times New Roman" w:hAnsi="Times New Roman"/>
          <w:color w:val="000000" w:themeColor="text1"/>
          <w:sz w:val="16"/>
          <w:szCs w:val="16"/>
        </w:rPr>
        <w:softHyphen/>
        <w:t>те мотора на форсаже (Рк=1 180 мм) свечи ВГ-12 отказывали в работе че</w:t>
      </w:r>
      <w:r w:rsidRPr="00D03F3E">
        <w:rPr>
          <w:rFonts w:ascii="Times New Roman" w:hAnsi="Times New Roman"/>
          <w:color w:val="000000" w:themeColor="text1"/>
          <w:sz w:val="16"/>
          <w:szCs w:val="16"/>
        </w:rPr>
        <w:softHyphen/>
        <w:t>рез 5-10 часов. Полет на Рк=1180 мм продолжительностью свыше 3-4 минут был невозможен из-за отказа свечей.</w:t>
      </w:r>
    </w:p>
    <w:p w14:paraId="307E02A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Насос НБ-ЗУ за время испытаний обеспечивал нормальную работу мо</w:t>
      </w:r>
      <w:r w:rsidRPr="00D03F3E">
        <w:rPr>
          <w:rFonts w:ascii="Times New Roman" w:hAnsi="Times New Roman"/>
          <w:color w:val="000000" w:themeColor="text1"/>
          <w:sz w:val="16"/>
          <w:szCs w:val="16"/>
        </w:rPr>
        <w:softHyphen/>
        <w:t>тора на всех режимах и высотах по</w:t>
      </w:r>
      <w:r w:rsidRPr="00D03F3E">
        <w:rPr>
          <w:rFonts w:ascii="Times New Roman" w:hAnsi="Times New Roman"/>
          <w:color w:val="000000" w:themeColor="text1"/>
          <w:sz w:val="16"/>
          <w:szCs w:val="16"/>
        </w:rPr>
        <w:softHyphen/>
        <w:t>лета. Форсунки ФБ-10, маятниковый воздухоотделитель и трубки высокого давления (за исключением трещины трубки на самолете №0257) работа</w:t>
      </w:r>
      <w:r w:rsidRPr="00D03F3E">
        <w:rPr>
          <w:rFonts w:ascii="Times New Roman" w:hAnsi="Times New Roman"/>
          <w:color w:val="000000" w:themeColor="text1"/>
          <w:sz w:val="16"/>
          <w:szCs w:val="16"/>
        </w:rPr>
        <w:softHyphen/>
        <w:t>ли безотказно и дефектов не имели.</w:t>
      </w:r>
    </w:p>
    <w:p w14:paraId="6D39998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полку были случаи, показавшие, что мотор М-82ФН и ВМГ самолета Ла-5 с мотором М-82ФН в противо</w:t>
      </w:r>
      <w:r w:rsidRPr="00D03F3E">
        <w:rPr>
          <w:rFonts w:ascii="Times New Roman" w:hAnsi="Times New Roman"/>
          <w:color w:val="000000" w:themeColor="text1"/>
          <w:sz w:val="16"/>
          <w:szCs w:val="16"/>
        </w:rPr>
        <w:softHyphen/>
        <w:t>пожарном отношении достаточно жи</w:t>
      </w:r>
      <w:r w:rsidRPr="00D03F3E">
        <w:rPr>
          <w:rFonts w:ascii="Times New Roman" w:hAnsi="Times New Roman"/>
          <w:color w:val="000000" w:themeColor="text1"/>
          <w:sz w:val="16"/>
          <w:szCs w:val="16"/>
        </w:rPr>
        <w:softHyphen/>
        <w:t>вуч. Так, например: на самолете №39210257 в полете в результате излома сухариков и обрыва грибка клапана выхлопа произошло разру</w:t>
      </w:r>
      <w:r w:rsidRPr="00D03F3E">
        <w:rPr>
          <w:rFonts w:ascii="Times New Roman" w:hAnsi="Times New Roman"/>
          <w:color w:val="000000" w:themeColor="text1"/>
          <w:sz w:val="16"/>
          <w:szCs w:val="16"/>
        </w:rPr>
        <w:softHyphen/>
        <w:t>шение головки цилиндра №12 на три части. Летчик не заметил отклоне</w:t>
      </w:r>
      <w:r w:rsidRPr="00D03F3E">
        <w:rPr>
          <w:rFonts w:ascii="Times New Roman" w:hAnsi="Times New Roman"/>
          <w:color w:val="000000" w:themeColor="text1"/>
          <w:sz w:val="16"/>
          <w:szCs w:val="16"/>
        </w:rPr>
        <w:softHyphen/>
        <w:t>ний в работе мотора, продолжал по</w:t>
      </w:r>
      <w:r w:rsidRPr="00D03F3E">
        <w:rPr>
          <w:rFonts w:ascii="Times New Roman" w:hAnsi="Times New Roman"/>
          <w:color w:val="000000" w:themeColor="text1"/>
          <w:sz w:val="16"/>
          <w:szCs w:val="16"/>
        </w:rPr>
        <w:softHyphen/>
        <w:t>лет нормально и сел на свой аэро</w:t>
      </w:r>
      <w:r w:rsidRPr="00D03F3E">
        <w:rPr>
          <w:rFonts w:ascii="Times New Roman" w:hAnsi="Times New Roman"/>
          <w:color w:val="000000" w:themeColor="text1"/>
          <w:sz w:val="16"/>
          <w:szCs w:val="16"/>
        </w:rPr>
        <w:softHyphen/>
        <w:t>дром. Только при осмотре техником на земле обнаружено разрушение головки цилиндра.</w:t>
      </w:r>
    </w:p>
    <w:p w14:paraId="55C506A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самолете №39210218 в поле</w:t>
      </w:r>
      <w:r w:rsidRPr="00D03F3E">
        <w:rPr>
          <w:rFonts w:ascii="Times New Roman" w:hAnsi="Times New Roman"/>
          <w:color w:val="000000" w:themeColor="text1"/>
          <w:sz w:val="16"/>
          <w:szCs w:val="16"/>
        </w:rPr>
        <w:softHyphen/>
        <w:t>те образовалась трещина трубки, под</w:t>
      </w:r>
      <w:r w:rsidRPr="00D03F3E">
        <w:rPr>
          <w:rFonts w:ascii="Times New Roman" w:hAnsi="Times New Roman"/>
          <w:color w:val="000000" w:themeColor="text1"/>
          <w:sz w:val="16"/>
          <w:szCs w:val="16"/>
        </w:rPr>
        <w:softHyphen/>
        <w:t>водящей бензин от бензофильтра к насосу НБ-ЗУ. Бензин струей бил в кабину летчика. Летчик продолжал полет в течение 15 минут и сел нор</w:t>
      </w:r>
      <w:r w:rsidRPr="00D03F3E">
        <w:rPr>
          <w:rFonts w:ascii="Times New Roman" w:hAnsi="Times New Roman"/>
          <w:color w:val="000000" w:themeColor="text1"/>
          <w:sz w:val="16"/>
          <w:szCs w:val="16"/>
        </w:rPr>
        <w:softHyphen/>
        <w:t>мально на свой аэродром.</w:t>
      </w:r>
    </w:p>
    <w:p w14:paraId="029DDAE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самолете №39210262 в поле</w:t>
      </w:r>
      <w:r w:rsidRPr="00D03F3E">
        <w:rPr>
          <w:rFonts w:ascii="Times New Roman" w:hAnsi="Times New Roman"/>
          <w:color w:val="000000" w:themeColor="text1"/>
          <w:sz w:val="16"/>
          <w:szCs w:val="16"/>
        </w:rPr>
        <w:softHyphen/>
        <w:t>те произошел обрыв трубки бензо-манометра. Бензин под давлением 1,5 кг/см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xml:space="preserve"> бил в кабину и лицо летчи</w:t>
      </w:r>
      <w:r w:rsidRPr="00D03F3E">
        <w:rPr>
          <w:rFonts w:ascii="Times New Roman" w:hAnsi="Times New Roman"/>
          <w:color w:val="000000" w:themeColor="text1"/>
          <w:sz w:val="16"/>
          <w:szCs w:val="16"/>
        </w:rPr>
        <w:softHyphen/>
        <w:t>ка - пожара не произошло.</w:t>
      </w:r>
    </w:p>
    <w:p w14:paraId="7CE4021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самолете №39210257 на 20-м часу работы мотора была обнаруже</w:t>
      </w:r>
      <w:r w:rsidRPr="00D03F3E">
        <w:rPr>
          <w:rFonts w:ascii="Times New Roman" w:hAnsi="Times New Roman"/>
          <w:color w:val="000000" w:themeColor="text1"/>
          <w:sz w:val="16"/>
          <w:szCs w:val="16"/>
        </w:rPr>
        <w:softHyphen/>
        <w:t>на трещина (во время послеполетно</w:t>
      </w:r>
      <w:r w:rsidRPr="00D03F3E">
        <w:rPr>
          <w:rFonts w:ascii="Times New Roman" w:hAnsi="Times New Roman"/>
          <w:color w:val="000000" w:themeColor="text1"/>
          <w:sz w:val="16"/>
          <w:szCs w:val="16"/>
        </w:rPr>
        <w:softHyphen/>
        <w:t>го осмотра) трубки высокого давления цилиндра №1 - пожара в полете не произошло.</w:t>
      </w:r>
    </w:p>
    <w:p w14:paraId="523150A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Отмечалось, что М-82 как мотор воздушного охлаждения по сравнению с мотором жидкостного охлаждения в бою более живуч и достаточно наде</w:t>
      </w:r>
      <w:r w:rsidRPr="00D03F3E">
        <w:rPr>
          <w:rFonts w:ascii="Times New Roman" w:hAnsi="Times New Roman"/>
          <w:color w:val="000000" w:themeColor="text1"/>
          <w:sz w:val="16"/>
          <w:szCs w:val="16"/>
        </w:rPr>
        <w:softHyphen/>
        <w:t>жен. В полку на самолете Ла-5 с М-82Ф летчик гв. л-т Тукин в воздуш</w:t>
      </w:r>
      <w:r w:rsidRPr="00D03F3E">
        <w:rPr>
          <w:rFonts w:ascii="Times New Roman" w:hAnsi="Times New Roman"/>
          <w:color w:val="000000" w:themeColor="text1"/>
          <w:sz w:val="16"/>
          <w:szCs w:val="16"/>
        </w:rPr>
        <w:softHyphen/>
        <w:t>ном бою 21 июля 1943 года был ата</w:t>
      </w:r>
      <w:r w:rsidRPr="00D03F3E">
        <w:rPr>
          <w:rFonts w:ascii="Times New Roman" w:hAnsi="Times New Roman"/>
          <w:color w:val="000000" w:themeColor="text1"/>
          <w:sz w:val="16"/>
          <w:szCs w:val="16"/>
        </w:rPr>
        <w:softHyphen/>
        <w:t>кован ГУ/ 190 и получил следующие повреждения мотора: пробита гильза цилиндра №13, разрушены перемыч</w:t>
      </w:r>
      <w:r w:rsidRPr="00D03F3E">
        <w:rPr>
          <w:rFonts w:ascii="Times New Roman" w:hAnsi="Times New Roman"/>
          <w:color w:val="000000" w:themeColor="text1"/>
          <w:sz w:val="16"/>
          <w:szCs w:val="16"/>
        </w:rPr>
        <w:softHyphen/>
        <w:t>ки поршня и поршневые кольца (в месте пробоя цилиндра), пробит вса</w:t>
      </w:r>
      <w:r w:rsidRPr="00D03F3E">
        <w:rPr>
          <w:rFonts w:ascii="Times New Roman" w:hAnsi="Times New Roman"/>
          <w:color w:val="000000" w:themeColor="text1"/>
          <w:sz w:val="16"/>
          <w:szCs w:val="16"/>
        </w:rPr>
        <w:softHyphen/>
        <w:t>сывающий патрубок цилиндра №14 (разрыв площадью около 30 см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пе</w:t>
      </w:r>
      <w:r w:rsidRPr="00D03F3E">
        <w:rPr>
          <w:rFonts w:ascii="Times New Roman" w:hAnsi="Times New Roman"/>
          <w:color w:val="000000" w:themeColor="text1"/>
          <w:sz w:val="16"/>
          <w:szCs w:val="16"/>
        </w:rPr>
        <w:softHyphen/>
        <w:t>ребит кожух тяги клапана всасыва</w:t>
      </w:r>
      <w:r w:rsidRPr="00D03F3E">
        <w:rPr>
          <w:rFonts w:ascii="Times New Roman" w:hAnsi="Times New Roman"/>
          <w:color w:val="000000" w:themeColor="text1"/>
          <w:sz w:val="16"/>
          <w:szCs w:val="16"/>
        </w:rPr>
        <w:softHyphen/>
        <w:t>ния цилиндра №13 и перебита экра</w:t>
      </w:r>
      <w:r w:rsidRPr="00D03F3E">
        <w:rPr>
          <w:rFonts w:ascii="Times New Roman" w:hAnsi="Times New Roman"/>
          <w:color w:val="000000" w:themeColor="text1"/>
          <w:sz w:val="16"/>
          <w:szCs w:val="16"/>
        </w:rPr>
        <w:softHyphen/>
        <w:t>нировка коллектора зажигания. С эти</w:t>
      </w:r>
      <w:r w:rsidRPr="00D03F3E">
        <w:rPr>
          <w:rFonts w:ascii="Times New Roman" w:hAnsi="Times New Roman"/>
          <w:color w:val="000000" w:themeColor="text1"/>
          <w:sz w:val="16"/>
          <w:szCs w:val="16"/>
        </w:rPr>
        <w:softHyphen/>
        <w:t>ми повреждениями гв. л-т Тукин сам атаковал и сбил противника, благо</w:t>
      </w:r>
      <w:r w:rsidRPr="00D03F3E">
        <w:rPr>
          <w:rFonts w:ascii="Times New Roman" w:hAnsi="Times New Roman"/>
          <w:color w:val="000000" w:themeColor="text1"/>
          <w:sz w:val="16"/>
          <w:szCs w:val="16"/>
        </w:rPr>
        <w:softHyphen/>
        <w:t>получно совершив посадку на свой аэродром. Полет после повреждений продолжался в течение 15 минут.</w:t>
      </w:r>
    </w:p>
    <w:p w14:paraId="48F0D44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Случаев повреждений в воздуш</w:t>
      </w:r>
      <w:r w:rsidRPr="00D03F3E">
        <w:rPr>
          <w:rFonts w:ascii="Times New Roman" w:hAnsi="Times New Roman"/>
          <w:color w:val="000000" w:themeColor="text1"/>
          <w:sz w:val="16"/>
          <w:szCs w:val="16"/>
        </w:rPr>
        <w:softHyphen/>
        <w:t>ном бою моторов М-82ФН за время боевой работы полка не было (10723).</w:t>
      </w:r>
    </w:p>
    <w:p w14:paraId="5A0CF3B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DEFD090"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с 25 по 28 мая 1943 г. в НИП АВ ВВС проходил испытания противотанковый У-2ВС, вооруженный подкрыльевыми кассетами мелких бомб двух типов: АБК-П-100, вмещавшей 33 бомбы ПТАБ-2,5-1,5, и БАС-1, рассчитанной на 20 таких бомб. Испытывались У-2ВС со следующими вариантами бомбового вооружения: 4хАБК-П-100 и 6хБАС-1.</w:t>
      </w:r>
    </w:p>
    <w:p w14:paraId="3420E68D"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показали, что при сбрасывании ПТАБ с высоты 200 м с горизонтального полета при скорости полета 110-120 км/ч с использованием кассет АБК-П-100 общая область разрывов занимала полосу 12x124 м, а при использовании кассет БАС-1 - 13x192 м.</w:t>
      </w:r>
    </w:p>
    <w:p w14:paraId="6D397893"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Расчеты показывают, что летчик с хорошей летной и стрелковой подготовкой в дневных условиях вполне мог обеспечить в одном заходе вероятность поражения одиночного танка с использованием кассет АБК-П-100 около 0,5 и не более 0,4 в случае применения кассет БАС-1.</w:t>
      </w:r>
    </w:p>
    <w:p w14:paraId="50D398EF"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Столь высокие результаты объясняются, прежде всего, тем, что площадь, занимаемая одним танком, составляла величину порядка 20-22 м?, а попадание хотя бы одной ПТАБ в танк было вполне достаточным для вывода его из строя, в большинстве случаев безвозвратно.</w:t>
      </w:r>
    </w:p>
    <w:p w14:paraId="609EFAA3"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результатам полигонных испытаний противотанкового У-2ВС военными летчиками был сделан вывод о возможности использования такого самолета на фронте по своему прямому назначению (то есть, против танков) лишь в лунную ночь или при подсветке цели светящимися бомбами. Дневное применение У-2 против танков исключалось ввиду сильного насыщения переднего края огневыми средствами ПВО и истребителями противника (15142).</w:t>
      </w:r>
    </w:p>
    <w:p w14:paraId="4E023C0B" w14:textId="77777777" w:rsidR="00F1014E" w:rsidRPr="00D03F3E" w:rsidRDefault="00F1014E" w:rsidP="00D03F3E">
      <w:pPr>
        <w:spacing w:after="0" w:line="240" w:lineRule="auto"/>
        <w:jc w:val="both"/>
        <w:rPr>
          <w:rFonts w:ascii="Times New Roman" w:hAnsi="Times New Roman"/>
          <w:color w:val="000000" w:themeColor="text1"/>
          <w:sz w:val="16"/>
          <w:szCs w:val="16"/>
        </w:rPr>
      </w:pPr>
    </w:p>
    <w:p w14:paraId="46C6635D"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мая 1943 г. московские власти одними из первых приняли решение о внедрении поточной системы производства на авиазаводах столицы, а к осени 1943 г. этот метод стал внедряться повсеместно, чему содействовал выпущенный в начале октября 1943 г. приказ НКАП «Об организации поточных методов производства» (18305).</w:t>
      </w:r>
    </w:p>
    <w:p w14:paraId="43DEB9CE"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Развитие поточного производства на авиазаводах</w:t>
      </w:r>
    </w:p>
    <w:tbl>
      <w:tblPr>
        <w:tblW w:w="21600" w:type="dxa"/>
        <w:tblCellSpacing w:w="15" w:type="dxa"/>
        <w:tblCellMar>
          <w:top w:w="15" w:type="dxa"/>
          <w:left w:w="15" w:type="dxa"/>
          <w:bottom w:w="15" w:type="dxa"/>
          <w:right w:w="15" w:type="dxa"/>
        </w:tblCellMar>
        <w:tblLook w:val="04A0" w:firstRow="1" w:lastRow="0" w:firstColumn="1" w:lastColumn="0" w:noHBand="0" w:noVBand="1"/>
      </w:tblPr>
      <w:tblGrid>
        <w:gridCol w:w="3233"/>
        <w:gridCol w:w="1641"/>
        <w:gridCol w:w="4543"/>
        <w:gridCol w:w="4543"/>
        <w:gridCol w:w="7640"/>
      </w:tblGrid>
      <w:tr w:rsidR="00860B4B" w:rsidRPr="00D03F3E" w14:paraId="1BD589D1" w14:textId="77777777" w:rsidTr="0017275A">
        <w:trPr>
          <w:tblHeader/>
          <w:tblCellSpacing w:w="15" w:type="dxa"/>
        </w:trPr>
        <w:tc>
          <w:tcPr>
            <w:tcW w:w="0" w:type="auto"/>
            <w:tcBorders>
              <w:bottom w:val="single" w:sz="4" w:space="0" w:color="CCCCCC"/>
            </w:tcBorders>
            <w:shd w:val="clear" w:color="auto" w:fill="auto"/>
            <w:tcMar>
              <w:top w:w="44" w:type="dxa"/>
              <w:left w:w="44" w:type="dxa"/>
              <w:bottom w:w="44" w:type="dxa"/>
              <w:right w:w="44" w:type="dxa"/>
            </w:tcMar>
            <w:vAlign w:val="center"/>
            <w:hideMark/>
          </w:tcPr>
          <w:p w14:paraId="528AF791"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Номер авиазавода</w:t>
            </w:r>
          </w:p>
        </w:tc>
        <w:tc>
          <w:tcPr>
            <w:tcW w:w="0" w:type="auto"/>
            <w:tcBorders>
              <w:bottom w:val="single" w:sz="4" w:space="0" w:color="CCCCCC"/>
            </w:tcBorders>
            <w:shd w:val="clear" w:color="auto" w:fill="auto"/>
            <w:tcMar>
              <w:top w:w="44" w:type="dxa"/>
              <w:left w:w="44" w:type="dxa"/>
              <w:bottom w:w="44" w:type="dxa"/>
              <w:right w:w="44" w:type="dxa"/>
            </w:tcMar>
            <w:vAlign w:val="center"/>
            <w:hideMark/>
          </w:tcPr>
          <w:p w14:paraId="38484673"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Самолёт</w:t>
            </w:r>
          </w:p>
        </w:tc>
        <w:tc>
          <w:tcPr>
            <w:tcW w:w="0" w:type="auto"/>
            <w:tcBorders>
              <w:bottom w:val="single" w:sz="4" w:space="0" w:color="CCCCCC"/>
            </w:tcBorders>
            <w:shd w:val="clear" w:color="auto" w:fill="auto"/>
            <w:tcMar>
              <w:top w:w="44" w:type="dxa"/>
              <w:left w:w="44" w:type="dxa"/>
              <w:bottom w:w="44" w:type="dxa"/>
              <w:right w:w="44" w:type="dxa"/>
            </w:tcMar>
            <w:vAlign w:val="center"/>
            <w:hideMark/>
          </w:tcPr>
          <w:p w14:paraId="47C37C46"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Поточных линий в 1943 г.</w:t>
            </w:r>
          </w:p>
        </w:tc>
        <w:tc>
          <w:tcPr>
            <w:tcW w:w="0" w:type="auto"/>
            <w:tcBorders>
              <w:bottom w:val="single" w:sz="4" w:space="0" w:color="CCCCCC"/>
            </w:tcBorders>
            <w:shd w:val="clear" w:color="auto" w:fill="auto"/>
            <w:tcMar>
              <w:top w:w="44" w:type="dxa"/>
              <w:left w:w="44" w:type="dxa"/>
              <w:bottom w:w="44" w:type="dxa"/>
              <w:right w:w="44" w:type="dxa"/>
            </w:tcMar>
            <w:vAlign w:val="center"/>
            <w:hideMark/>
          </w:tcPr>
          <w:p w14:paraId="318362BF"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Поточных линий в 1945 г.</w:t>
            </w:r>
          </w:p>
        </w:tc>
        <w:tc>
          <w:tcPr>
            <w:tcW w:w="0" w:type="auto"/>
            <w:tcBorders>
              <w:bottom w:val="single" w:sz="4" w:space="0" w:color="CCCCCC"/>
            </w:tcBorders>
            <w:shd w:val="clear" w:color="auto" w:fill="4B75B1"/>
            <w:tcMar>
              <w:top w:w="44" w:type="dxa"/>
              <w:left w:w="44" w:type="dxa"/>
              <w:bottom w:w="44" w:type="dxa"/>
              <w:right w:w="44" w:type="dxa"/>
            </w:tcMar>
            <w:vAlign w:val="center"/>
            <w:hideMark/>
          </w:tcPr>
          <w:p w14:paraId="187000A5"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Примечания</w:t>
            </w:r>
          </w:p>
        </w:tc>
      </w:tr>
      <w:tr w:rsidR="00860B4B" w:rsidRPr="00D03F3E" w14:paraId="20E12250" w14:textId="77777777" w:rsidTr="0017275A">
        <w:trPr>
          <w:tblCellSpacing w:w="15" w:type="dxa"/>
        </w:trPr>
        <w:tc>
          <w:tcPr>
            <w:tcW w:w="0" w:type="auto"/>
            <w:tcBorders>
              <w:top w:val="single" w:sz="4" w:space="0" w:color="FFFFFF"/>
              <w:bottom w:val="nil"/>
            </w:tcBorders>
            <w:shd w:val="clear" w:color="auto" w:fill="auto"/>
            <w:tcMar>
              <w:top w:w="44" w:type="dxa"/>
              <w:left w:w="44" w:type="dxa"/>
              <w:bottom w:w="44" w:type="dxa"/>
              <w:right w:w="44" w:type="dxa"/>
            </w:tcMar>
            <w:vAlign w:val="center"/>
            <w:hideMark/>
          </w:tcPr>
          <w:p w14:paraId="6A14E287" w14:textId="77777777" w:rsidR="0019152A" w:rsidRPr="00D03F3E" w:rsidRDefault="0019152A" w:rsidP="00D03F3E">
            <w:pPr>
              <w:spacing w:after="0" w:line="240" w:lineRule="auto"/>
              <w:jc w:val="both"/>
              <w:rPr>
                <w:rFonts w:ascii="Times New Roman" w:hAnsi="Times New Roman"/>
                <w:color w:val="000000" w:themeColor="text1"/>
                <w:sz w:val="16"/>
                <w:szCs w:val="16"/>
              </w:rPr>
            </w:pPr>
          </w:p>
        </w:tc>
        <w:tc>
          <w:tcPr>
            <w:tcW w:w="0" w:type="auto"/>
            <w:tcBorders>
              <w:top w:val="single" w:sz="4" w:space="0" w:color="FFFFFF"/>
              <w:bottom w:val="nil"/>
            </w:tcBorders>
            <w:shd w:val="clear" w:color="auto" w:fill="auto"/>
            <w:tcMar>
              <w:top w:w="44" w:type="dxa"/>
              <w:left w:w="44" w:type="dxa"/>
              <w:bottom w:w="44" w:type="dxa"/>
              <w:right w:w="44" w:type="dxa"/>
            </w:tcMar>
            <w:vAlign w:val="center"/>
            <w:hideMark/>
          </w:tcPr>
          <w:p w14:paraId="3E433973" w14:textId="77777777" w:rsidR="0019152A" w:rsidRPr="00D03F3E" w:rsidRDefault="0019152A" w:rsidP="00D03F3E">
            <w:pPr>
              <w:spacing w:after="0" w:line="240" w:lineRule="auto"/>
              <w:jc w:val="both"/>
              <w:rPr>
                <w:rFonts w:ascii="Times New Roman" w:hAnsi="Times New Roman"/>
                <w:color w:val="000000" w:themeColor="text1"/>
                <w:sz w:val="16"/>
                <w:szCs w:val="16"/>
              </w:rPr>
            </w:pPr>
          </w:p>
        </w:tc>
        <w:tc>
          <w:tcPr>
            <w:tcW w:w="0" w:type="auto"/>
            <w:tcBorders>
              <w:top w:val="single" w:sz="4" w:space="0" w:color="FFFFFF"/>
              <w:bottom w:val="nil"/>
            </w:tcBorders>
            <w:shd w:val="clear" w:color="auto" w:fill="auto"/>
            <w:tcMar>
              <w:top w:w="44" w:type="dxa"/>
              <w:left w:w="44" w:type="dxa"/>
              <w:bottom w:w="44" w:type="dxa"/>
              <w:right w:w="44" w:type="dxa"/>
            </w:tcMar>
            <w:vAlign w:val="center"/>
            <w:hideMark/>
          </w:tcPr>
          <w:p w14:paraId="33FFB38A" w14:textId="77777777" w:rsidR="0019152A" w:rsidRPr="00D03F3E" w:rsidRDefault="0019152A" w:rsidP="00D03F3E">
            <w:pPr>
              <w:spacing w:after="0" w:line="240" w:lineRule="auto"/>
              <w:jc w:val="both"/>
              <w:rPr>
                <w:rFonts w:ascii="Times New Roman" w:hAnsi="Times New Roman"/>
                <w:color w:val="000000" w:themeColor="text1"/>
                <w:sz w:val="16"/>
                <w:szCs w:val="16"/>
              </w:rPr>
            </w:pPr>
          </w:p>
        </w:tc>
        <w:tc>
          <w:tcPr>
            <w:tcW w:w="0" w:type="auto"/>
            <w:tcBorders>
              <w:top w:val="single" w:sz="4" w:space="0" w:color="FFFFFF"/>
              <w:bottom w:val="nil"/>
            </w:tcBorders>
            <w:shd w:val="clear" w:color="auto" w:fill="auto"/>
            <w:tcMar>
              <w:top w:w="44" w:type="dxa"/>
              <w:left w:w="44" w:type="dxa"/>
              <w:bottom w:w="44" w:type="dxa"/>
              <w:right w:w="44" w:type="dxa"/>
            </w:tcMar>
            <w:vAlign w:val="center"/>
            <w:hideMark/>
          </w:tcPr>
          <w:p w14:paraId="739788E6" w14:textId="77777777" w:rsidR="0019152A" w:rsidRPr="00D03F3E" w:rsidRDefault="0019152A" w:rsidP="00D03F3E">
            <w:pPr>
              <w:spacing w:after="0" w:line="240" w:lineRule="auto"/>
              <w:jc w:val="both"/>
              <w:rPr>
                <w:rFonts w:ascii="Times New Roman" w:hAnsi="Times New Roman"/>
                <w:color w:val="000000" w:themeColor="text1"/>
                <w:sz w:val="16"/>
                <w:szCs w:val="16"/>
              </w:rPr>
            </w:pPr>
          </w:p>
        </w:tc>
        <w:tc>
          <w:tcPr>
            <w:tcW w:w="0" w:type="auto"/>
            <w:tcBorders>
              <w:top w:val="single" w:sz="4" w:space="0" w:color="FFFFFF"/>
              <w:bottom w:val="nil"/>
            </w:tcBorders>
            <w:shd w:val="clear" w:color="auto" w:fill="DEDEDE"/>
            <w:tcMar>
              <w:top w:w="44" w:type="dxa"/>
              <w:left w:w="44" w:type="dxa"/>
              <w:bottom w:w="44" w:type="dxa"/>
              <w:right w:w="44" w:type="dxa"/>
            </w:tcMar>
            <w:vAlign w:val="center"/>
            <w:hideMark/>
          </w:tcPr>
          <w:p w14:paraId="176BE29B" w14:textId="77777777" w:rsidR="0019152A" w:rsidRPr="00D03F3E" w:rsidRDefault="0019152A" w:rsidP="00D03F3E">
            <w:pPr>
              <w:spacing w:after="0" w:line="240" w:lineRule="auto"/>
              <w:jc w:val="both"/>
              <w:rPr>
                <w:rFonts w:ascii="Times New Roman" w:hAnsi="Times New Roman"/>
                <w:color w:val="000000" w:themeColor="text1"/>
                <w:sz w:val="16"/>
                <w:szCs w:val="16"/>
              </w:rPr>
            </w:pPr>
          </w:p>
        </w:tc>
      </w:tr>
      <w:tr w:rsidR="00860B4B" w:rsidRPr="00D03F3E" w14:paraId="28FD9A0E" w14:textId="77777777" w:rsidTr="0017275A">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77EE0DE8"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02987BFD"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Ил-2</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2ED95262"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23A394B"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w:t>
            </w:r>
          </w:p>
        </w:tc>
        <w:tc>
          <w:tcPr>
            <w:tcW w:w="0" w:type="auto"/>
            <w:tcBorders>
              <w:bottom w:val="single" w:sz="4" w:space="0" w:color="DDDDDD"/>
            </w:tcBorders>
            <w:tcMar>
              <w:top w:w="44" w:type="dxa"/>
              <w:left w:w="44" w:type="dxa"/>
              <w:bottom w:w="44" w:type="dxa"/>
              <w:right w:w="44" w:type="dxa"/>
            </w:tcMar>
            <w:vAlign w:val="center"/>
            <w:hideMark/>
          </w:tcPr>
          <w:p w14:paraId="6EB4CBDC"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вкл. конвейер окончательной сборки, 1944 г.</w:t>
            </w:r>
          </w:p>
        </w:tc>
      </w:tr>
      <w:tr w:rsidR="00860B4B" w:rsidRPr="00D03F3E" w14:paraId="203D5B3E" w14:textId="77777777" w:rsidTr="0017275A">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240BCA8D"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7366574A"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Ил-2</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82FAA71"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17AA94EF"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6204D2D" w14:textId="77777777" w:rsidR="0019152A" w:rsidRPr="00D03F3E" w:rsidRDefault="0019152A" w:rsidP="00D03F3E">
            <w:pPr>
              <w:spacing w:after="0" w:line="240" w:lineRule="auto"/>
              <w:jc w:val="both"/>
              <w:rPr>
                <w:rFonts w:ascii="Times New Roman" w:hAnsi="Times New Roman"/>
                <w:color w:val="000000" w:themeColor="text1"/>
                <w:sz w:val="16"/>
                <w:szCs w:val="16"/>
              </w:rPr>
            </w:pPr>
          </w:p>
        </w:tc>
      </w:tr>
      <w:tr w:rsidR="00860B4B" w:rsidRPr="00D03F3E" w14:paraId="5EAD16ED" w14:textId="77777777" w:rsidTr="0017275A">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6CE20D39"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7222A49"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Ла-5</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4BCFF9F"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51A74D14"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0" w:type="auto"/>
            <w:tcBorders>
              <w:bottom w:val="single" w:sz="4" w:space="0" w:color="DDDDDD"/>
            </w:tcBorders>
            <w:tcMar>
              <w:top w:w="44" w:type="dxa"/>
              <w:left w:w="44" w:type="dxa"/>
              <w:bottom w:w="44" w:type="dxa"/>
              <w:right w:w="44" w:type="dxa"/>
            </w:tcMar>
            <w:vAlign w:val="center"/>
            <w:hideMark/>
          </w:tcPr>
          <w:p w14:paraId="1A44DBB3"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вкл. конвейер окончательной сборки, 1944 г.</w:t>
            </w:r>
          </w:p>
        </w:tc>
      </w:tr>
      <w:tr w:rsidR="00860B4B" w:rsidRPr="00D03F3E" w14:paraId="26C7F485" w14:textId="77777777" w:rsidTr="0017275A">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31556514"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4138815"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Ла-7</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C5862F8"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15D9C007"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DA890CD"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вкл. конвейер окончательной сборки, 1944 г.</w:t>
            </w:r>
          </w:p>
        </w:tc>
      </w:tr>
      <w:tr w:rsidR="00860B4B" w:rsidRPr="00D03F3E" w14:paraId="73C1F1A1" w14:textId="77777777" w:rsidTr="0017275A">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5FFC694E"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7160D11D"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Пе-2</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2A434870"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723EB0C0"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w:t>
            </w:r>
          </w:p>
        </w:tc>
        <w:tc>
          <w:tcPr>
            <w:tcW w:w="0" w:type="auto"/>
            <w:tcBorders>
              <w:bottom w:val="single" w:sz="4" w:space="0" w:color="DDDDDD"/>
            </w:tcBorders>
            <w:tcMar>
              <w:top w:w="44" w:type="dxa"/>
              <w:left w:w="44" w:type="dxa"/>
              <w:bottom w:w="44" w:type="dxa"/>
              <w:right w:w="44" w:type="dxa"/>
            </w:tcMar>
            <w:vAlign w:val="center"/>
            <w:hideMark/>
          </w:tcPr>
          <w:p w14:paraId="6A0F9B33"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вкл. конвейер окончательной сборки, 1944 г.</w:t>
            </w:r>
          </w:p>
        </w:tc>
      </w:tr>
      <w:tr w:rsidR="00860B4B" w:rsidRPr="00D03F3E" w14:paraId="4E3BC01F" w14:textId="77777777" w:rsidTr="0017275A">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725FA239"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153</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59DF64E8"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Як-9</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A2F1064"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2A94ACB0"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24B1A60B"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вкл. конвейер окончательной сборки, 1944 г.</w:t>
            </w:r>
          </w:p>
        </w:tc>
      </w:tr>
      <w:tr w:rsidR="00860B4B" w:rsidRPr="00D03F3E" w14:paraId="6340A5E0" w14:textId="77777777" w:rsidTr="0017275A">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65465414"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292</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561475E8"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Як-3</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9FC1BAC"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07BE7FE3"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tc>
        <w:tc>
          <w:tcPr>
            <w:tcW w:w="0" w:type="auto"/>
            <w:tcBorders>
              <w:bottom w:val="single" w:sz="4" w:space="0" w:color="DDDDDD"/>
            </w:tcBorders>
            <w:tcMar>
              <w:top w:w="44" w:type="dxa"/>
              <w:left w:w="44" w:type="dxa"/>
              <w:bottom w:w="44" w:type="dxa"/>
              <w:right w:w="44" w:type="dxa"/>
            </w:tcMar>
            <w:vAlign w:val="center"/>
            <w:hideMark/>
          </w:tcPr>
          <w:p w14:paraId="323CD83F" w14:textId="77777777" w:rsidR="0019152A" w:rsidRPr="00D03F3E" w:rsidRDefault="0019152A" w:rsidP="00D03F3E">
            <w:pPr>
              <w:spacing w:after="0" w:line="240" w:lineRule="auto"/>
              <w:jc w:val="both"/>
              <w:rPr>
                <w:rFonts w:ascii="Times New Roman" w:hAnsi="Times New Roman"/>
                <w:color w:val="000000" w:themeColor="text1"/>
                <w:sz w:val="16"/>
                <w:szCs w:val="16"/>
              </w:rPr>
            </w:pPr>
          </w:p>
        </w:tc>
      </w:tr>
      <w:tr w:rsidR="00860B4B" w:rsidRPr="00D03F3E" w14:paraId="43CA30F2" w14:textId="77777777" w:rsidTr="0017275A">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42287D08"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26518302" w14:textId="77777777" w:rsidR="0019152A" w:rsidRPr="00D03F3E" w:rsidRDefault="0019152A" w:rsidP="00D03F3E">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201BBB2C"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2E8397C"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183</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1F23439" w14:textId="77777777" w:rsidR="0019152A" w:rsidRPr="00D03F3E" w:rsidRDefault="0019152A" w:rsidP="00D03F3E">
            <w:pPr>
              <w:spacing w:after="0" w:line="240" w:lineRule="auto"/>
              <w:jc w:val="both"/>
              <w:rPr>
                <w:rFonts w:ascii="Times New Roman" w:hAnsi="Times New Roman"/>
                <w:color w:val="000000" w:themeColor="text1"/>
                <w:sz w:val="16"/>
                <w:szCs w:val="16"/>
              </w:rPr>
            </w:pPr>
          </w:p>
        </w:tc>
      </w:tr>
    </w:tbl>
    <w:p w14:paraId="3EC47D46"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(18305).</w:t>
      </w:r>
    </w:p>
    <w:p w14:paraId="1306AA3E" w14:textId="77777777" w:rsidR="0019152A" w:rsidRPr="00D03F3E" w:rsidRDefault="0019152A" w:rsidP="00D03F3E">
      <w:pPr>
        <w:spacing w:after="0" w:line="240" w:lineRule="auto"/>
        <w:jc w:val="both"/>
        <w:rPr>
          <w:rFonts w:ascii="Times New Roman" w:hAnsi="Times New Roman"/>
          <w:color w:val="000000" w:themeColor="text1"/>
          <w:sz w:val="16"/>
          <w:szCs w:val="16"/>
        </w:rPr>
      </w:pPr>
    </w:p>
    <w:p w14:paraId="01BDCEC4"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69B1D831" w14:textId="77777777" w:rsidR="00531570" w:rsidRPr="00D03F3E" w:rsidRDefault="00531570" w:rsidP="00D03F3E">
      <w:pPr>
        <w:pStyle w:val="Iauiue"/>
        <w:jc w:val="both"/>
        <w:rPr>
          <w:iCs/>
          <w:color w:val="000000" w:themeColor="text1"/>
          <w:sz w:val="16"/>
          <w:szCs w:val="16"/>
        </w:rPr>
      </w:pPr>
    </w:p>
    <w:p w14:paraId="66BFC956" w14:textId="77777777" w:rsidR="0062502E" w:rsidRPr="00D03F3E" w:rsidRDefault="0062502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 25 мая 1943 было закончено в целом проектирование «238», но дальнейшие работы застопорились почти на 2 месяца. Более высокий приоритет был отдан варианту танка с башней ИС-3 (объект 237) и пушкой Д-5Т, этот вариант получил обозначение «239» (Объект 239). Согласно распоряжению НКТП, работы по модернизации КВ-1с шли «в кильватере» разработки Объекта 237, который имел более высокий приоритет. Ещё одной причиной замедления работ стала задержка выпуска орудий заводом №92. Предполагалось, что Объект 238 будет готов к 1 июля, на практике пришлось ждать еще дольше. Зато таких танков почему-то было построено два, как указано в отчете по опытным работам завода №100 за 10–20 июля 1943 года. При этом в испытаниях принимала участие всего одна машина (17698).</w:t>
      </w:r>
    </w:p>
    <w:p w14:paraId="669BCA8C" w14:textId="77777777" w:rsidR="0062502E" w:rsidRPr="00D03F3E" w:rsidRDefault="0062502E" w:rsidP="00D03F3E">
      <w:pPr>
        <w:spacing w:after="0" w:line="240" w:lineRule="auto"/>
        <w:jc w:val="both"/>
        <w:rPr>
          <w:rFonts w:ascii="Times New Roman" w:hAnsi="Times New Roman"/>
          <w:color w:val="000000" w:themeColor="text1"/>
          <w:sz w:val="16"/>
          <w:szCs w:val="16"/>
        </w:rPr>
      </w:pPr>
    </w:p>
    <w:p w14:paraId="01B642B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мая 1943 г. распоряжением по заводу № 100 началась модернизация имеющейся к тому времени на вооружении тяжелой САУ СУ-152. В этот день конструкторская группа самоходной артиллерии под руководством Г.Н. Москвина, к которой для усиления был прикоманди</w:t>
      </w:r>
      <w:r w:rsidRPr="00D03F3E">
        <w:rPr>
          <w:rFonts w:ascii="Times New Roman" w:hAnsi="Times New Roman"/>
          <w:color w:val="000000" w:themeColor="text1"/>
          <w:sz w:val="16"/>
          <w:szCs w:val="16"/>
        </w:rPr>
        <w:softHyphen/>
        <w:t>рован также Н.В. Курин, совместно с БТУ ГБТУ Красной Армии выработала расширенные ТТТ на тяжелую САУ, фигурировавшую в переписке под индексом СУ-152-М. В основе требований лежали следующие положения: «Разработка тяжелого самохода СУ-152-М ведется на замену самохода КВ-14.</w:t>
      </w:r>
    </w:p>
    <w:p w14:paraId="48292E0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для самохода использовать шасси и МТО танка «Объект 237»;</w:t>
      </w:r>
    </w:p>
    <w:p w14:paraId="6ED6D4E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основное вооружение сохранить в виде 152-мм самоходной пушки МЛ-20С обр. 1942 г., имеющей внутреннюю балли</w:t>
      </w:r>
      <w:r w:rsidRPr="00D03F3E">
        <w:rPr>
          <w:rFonts w:ascii="Times New Roman" w:hAnsi="Times New Roman"/>
          <w:color w:val="000000" w:themeColor="text1"/>
          <w:sz w:val="16"/>
          <w:szCs w:val="16"/>
        </w:rPr>
        <w:softHyphen/>
        <w:t>стику гаубицы-пушки указанного калибра обр. 37г.;</w:t>
      </w:r>
    </w:p>
    <w:p w14:paraId="42B35C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необходимо дополнить пушечное вооружение тяжелого самохода оборонительным пулеметом кругового обстрела калибра 7,62-мм или зенитным пулеметом кал. 12,7-мм;</w:t>
      </w:r>
    </w:p>
    <w:p w14:paraId="75F20F3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увеличить толщину брони лобового листа корпуса до 90-100 мм;</w:t>
      </w:r>
    </w:p>
    <w:p w14:paraId="623FBA0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обзорность увеличить применением нескольких смотро</w:t>
      </w:r>
      <w:r w:rsidRPr="00D03F3E">
        <w:rPr>
          <w:rFonts w:ascii="Times New Roman" w:hAnsi="Times New Roman"/>
          <w:color w:val="000000" w:themeColor="text1"/>
          <w:sz w:val="16"/>
          <w:szCs w:val="16"/>
        </w:rPr>
        <w:softHyphen/>
        <w:t>вых приборов типа МК-1Уна поворотном основании;</w:t>
      </w:r>
    </w:p>
    <w:p w14:paraId="41D180B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6) улучшить вентиляцию боевого отделения введением до</w:t>
      </w:r>
      <w:r w:rsidRPr="00D03F3E">
        <w:rPr>
          <w:rFonts w:ascii="Times New Roman" w:hAnsi="Times New Roman"/>
          <w:color w:val="000000" w:themeColor="text1"/>
          <w:sz w:val="16"/>
          <w:szCs w:val="16"/>
        </w:rPr>
        <w:softHyphen/>
        <w:t>полнительного вентилятора, или предусмотреть продув</w:t>
      </w:r>
      <w:r w:rsidRPr="00D03F3E">
        <w:rPr>
          <w:rFonts w:ascii="Times New Roman" w:hAnsi="Times New Roman"/>
          <w:color w:val="000000" w:themeColor="text1"/>
          <w:sz w:val="16"/>
          <w:szCs w:val="16"/>
        </w:rPr>
        <w:softHyphen/>
        <w:t>ку ствола орудия после выстрела...» Окончание срока разработки проекта предусматрива</w:t>
      </w:r>
      <w:r w:rsidRPr="00D03F3E">
        <w:rPr>
          <w:rFonts w:ascii="Times New Roman" w:hAnsi="Times New Roman"/>
          <w:color w:val="000000" w:themeColor="text1"/>
          <w:sz w:val="16"/>
          <w:szCs w:val="16"/>
        </w:rPr>
        <w:softHyphen/>
        <w:t>лось 1 июля 1943 г., и никто не мог даже предположить, что летом же указанные САУ поступят на вооружение.</w:t>
      </w:r>
    </w:p>
    <w:p w14:paraId="1D44510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сожалению, отчет завода № 100 «о танкостроении» в годы войны не дает никаких подробностей о проведении разработки указанной машины, лишь констатирует, что эс</w:t>
      </w:r>
      <w:r w:rsidRPr="00D03F3E">
        <w:rPr>
          <w:rFonts w:ascii="Times New Roman" w:hAnsi="Times New Roman"/>
          <w:color w:val="000000" w:themeColor="text1"/>
          <w:sz w:val="16"/>
          <w:szCs w:val="16"/>
        </w:rPr>
        <w:softHyphen/>
        <w:t>кизный проект был защищен раньше срока. Также известно, что в конце июля началось изготовление прототипа тяжелой САУ, получившей наименование в переписке ИС-152. Во второй половине августа прототип был готов, но его испыта</w:t>
      </w:r>
      <w:r w:rsidRPr="00D03F3E">
        <w:rPr>
          <w:rFonts w:ascii="Times New Roman" w:hAnsi="Times New Roman"/>
          <w:color w:val="000000" w:themeColor="text1"/>
          <w:sz w:val="16"/>
          <w:szCs w:val="16"/>
        </w:rPr>
        <w:softHyphen/>
        <w:t>ния были отложены по крайней мере на месяц.</w:t>
      </w:r>
    </w:p>
    <w:p w14:paraId="60E4BA1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Принято считать, что первый показ ИС-85, КВ-85 и ИСУ-152 состоялся нд Ивановской площади Кремля 31 ию</w:t>
      </w:r>
      <w:r w:rsidRPr="00D03F3E">
        <w:rPr>
          <w:rFonts w:ascii="Times New Roman" w:hAnsi="Times New Roman"/>
          <w:color w:val="000000" w:themeColor="text1"/>
          <w:sz w:val="16"/>
          <w:szCs w:val="16"/>
        </w:rPr>
        <w:softHyphen/>
        <w:t>ля 1943 г., но по ряду признаков (срок окончания предвари</w:t>
      </w:r>
      <w:r w:rsidRPr="00D03F3E">
        <w:rPr>
          <w:rFonts w:ascii="Times New Roman" w:hAnsi="Times New Roman"/>
          <w:color w:val="000000" w:themeColor="text1"/>
          <w:sz w:val="16"/>
          <w:szCs w:val="16"/>
        </w:rPr>
        <w:softHyphen/>
        <w:t>тельных испытаний, дата принятия на вооружение ИС-85, КВ-85 и ИС-152 ) автор считает, что показ прошел месяцем позднее, то есть 31 августа. По многочисленным воспомина</w:t>
      </w:r>
      <w:r w:rsidRPr="00D03F3E">
        <w:rPr>
          <w:rFonts w:ascii="Times New Roman" w:hAnsi="Times New Roman"/>
          <w:color w:val="000000" w:themeColor="text1"/>
          <w:sz w:val="16"/>
          <w:szCs w:val="16"/>
        </w:rPr>
        <w:softHyphen/>
        <w:t>ниям в показе новых танков участвовали В.А. Малышев, Я.В. Федоренко, К.Е. Ворошилов, Л.П. Берия, В.М. Молотов и И.В. Сталин. Некоторые добавляют в число свиты также на</w:t>
      </w:r>
      <w:r w:rsidRPr="00D03F3E">
        <w:rPr>
          <w:rFonts w:ascii="Times New Roman" w:hAnsi="Times New Roman"/>
          <w:color w:val="000000" w:themeColor="text1"/>
          <w:sz w:val="16"/>
          <w:szCs w:val="16"/>
        </w:rPr>
        <w:softHyphen/>
        <w:t>чальника ГАУ Н.Д. Яковлева, наркома Вооружений Д.Ф. Ус</w:t>
      </w:r>
      <w:r w:rsidRPr="00D03F3E">
        <w:rPr>
          <w:rFonts w:ascii="Times New Roman" w:hAnsi="Times New Roman"/>
          <w:color w:val="000000" w:themeColor="text1"/>
          <w:sz w:val="16"/>
          <w:szCs w:val="16"/>
        </w:rPr>
        <w:softHyphen/>
        <w:t>тинова, а также иных представителей ГАУ и ГБТУ.</w:t>
      </w:r>
    </w:p>
    <w:p w14:paraId="41C370E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свидетели указанного события отмечают, что перед показом из машин удалили экипажи, кроме, механика-води</w:t>
      </w:r>
      <w:r w:rsidRPr="00D03F3E">
        <w:rPr>
          <w:rFonts w:ascii="Times New Roman" w:hAnsi="Times New Roman"/>
          <w:color w:val="000000" w:themeColor="text1"/>
          <w:sz w:val="16"/>
          <w:szCs w:val="16"/>
        </w:rPr>
        <w:softHyphen/>
        <w:t>теля, заменив отсутствовавших сотрудником госбезопаснос</w:t>
      </w:r>
      <w:r w:rsidRPr="00D03F3E">
        <w:rPr>
          <w:rFonts w:ascii="Times New Roman" w:hAnsi="Times New Roman"/>
          <w:color w:val="000000" w:themeColor="text1"/>
          <w:sz w:val="16"/>
          <w:szCs w:val="16"/>
        </w:rPr>
        <w:softHyphen/>
        <w:t>ти. Доставленные в Кремль машины вызвали живейший ин</w:t>
      </w:r>
      <w:r w:rsidRPr="00D03F3E">
        <w:rPr>
          <w:rFonts w:ascii="Times New Roman" w:hAnsi="Times New Roman"/>
          <w:color w:val="000000" w:themeColor="text1"/>
          <w:sz w:val="16"/>
          <w:szCs w:val="16"/>
        </w:rPr>
        <w:softHyphen/>
        <w:t>терес вождя, который захотел взобраться именно на ИСУ-152. Никто из присутствовавших не ожидал этого, и никакой лесенки запасено не было. Двое ретивых генералов кинулись помогать вождю, но он отстранил их и самостоя</w:t>
      </w:r>
      <w:r w:rsidRPr="00D03F3E">
        <w:rPr>
          <w:rFonts w:ascii="Times New Roman" w:hAnsi="Times New Roman"/>
          <w:color w:val="000000" w:themeColor="text1"/>
          <w:sz w:val="16"/>
          <w:szCs w:val="16"/>
        </w:rPr>
        <w:softHyphen/>
        <w:t>тельно взобрался на МТО тяжелой САУ, после чего, заглянув в боевое отделение, поинтересовался у сотрудника госбезо</w:t>
      </w:r>
      <w:r w:rsidRPr="00D03F3E">
        <w:rPr>
          <w:rFonts w:ascii="Times New Roman" w:hAnsi="Times New Roman"/>
          <w:color w:val="000000" w:themeColor="text1"/>
          <w:sz w:val="16"/>
          <w:szCs w:val="16"/>
        </w:rPr>
        <w:softHyphen/>
        <w:t>пасности, что в новой САУ сделано для улучшения вентиля</w:t>
      </w:r>
      <w:r w:rsidRPr="00D03F3E">
        <w:rPr>
          <w:rFonts w:ascii="Times New Roman" w:hAnsi="Times New Roman"/>
          <w:color w:val="000000" w:themeColor="text1"/>
          <w:sz w:val="16"/>
          <w:szCs w:val="16"/>
        </w:rPr>
        <w:softHyphen/>
        <w:t>ции, так как в ходе боев на Курской дуге были случаи отрав</w:t>
      </w:r>
      <w:r w:rsidRPr="00D03F3E">
        <w:rPr>
          <w:rFonts w:ascii="Times New Roman" w:hAnsi="Times New Roman"/>
          <w:color w:val="000000" w:themeColor="text1"/>
          <w:sz w:val="16"/>
          <w:szCs w:val="16"/>
        </w:rPr>
        <w:softHyphen/>
        <w:t>ления экипажей пороховыми газами. Понятно, что опро</w:t>
      </w:r>
      <w:r w:rsidRPr="00D03F3E">
        <w:rPr>
          <w:rFonts w:ascii="Times New Roman" w:hAnsi="Times New Roman"/>
          <w:color w:val="000000" w:themeColor="text1"/>
          <w:sz w:val="16"/>
          <w:szCs w:val="16"/>
        </w:rPr>
        <w:softHyphen/>
        <w:t>шенный молчал как партизан на допросе, но положение спас находчивый водитель, доложивший вождю, что в указанной САУ введен дополнительный вентилятор боевого отделения.</w:t>
      </w:r>
    </w:p>
    <w:p w14:paraId="01CE128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Закончив осмотр, вождь спустился на землю и поздравил наркома В.А. Малышева с новым достижением, а 4 сентября 1943 г.. постановлением ГКО № 4043сс тяжелые танки КВ-85, ИС-85 и ИС-152 (будущая ИСУ-152) были приняты на во</w:t>
      </w:r>
      <w:r w:rsidRPr="00D03F3E">
        <w:rPr>
          <w:rFonts w:ascii="Times New Roman" w:hAnsi="Times New Roman"/>
          <w:color w:val="000000" w:themeColor="text1"/>
          <w:sz w:val="16"/>
          <w:szCs w:val="16"/>
        </w:rPr>
        <w:softHyphen/>
        <w:t>оружение Красной Армии. Но если в отношении КВ-85 и ИС-85 это могло означать немедленную организацию серий</w:t>
      </w:r>
      <w:r w:rsidRPr="00D03F3E">
        <w:rPr>
          <w:rFonts w:ascii="Times New Roman" w:hAnsi="Times New Roman"/>
          <w:color w:val="000000" w:themeColor="text1"/>
          <w:sz w:val="16"/>
          <w:szCs w:val="16"/>
        </w:rPr>
        <w:softHyphen/>
        <w:t>ного производства, то с ИС-152 до этого было еще далеко (11417).</w:t>
      </w:r>
    </w:p>
    <w:p w14:paraId="59A96DA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3E08ABE" w14:textId="77777777" w:rsidR="00B610FB" w:rsidRPr="00D03F3E" w:rsidRDefault="00B610FB" w:rsidP="00D03F3E">
      <w:pPr>
        <w:pStyle w:val="a3"/>
        <w:rPr>
          <w:color w:val="000000" w:themeColor="text1"/>
          <w:lang w:val="ru-RU"/>
        </w:rPr>
      </w:pPr>
      <w:r w:rsidRPr="00D03F3E">
        <w:rPr>
          <w:color w:val="000000" w:themeColor="text1"/>
          <w:lang w:val="ru-RU"/>
        </w:rPr>
        <w:t>По состоянию на 25 мая 1943 года было принято всего 5 СУ-152, и ничего обнадеживающего заводчане сказать не могли. На сей раз главной причиной срыва стал завод №200, подавший на 25 мая всего 28 корпусов. Имелись серьезные проблемы с заделом по короб</w:t>
      </w:r>
      <w:r w:rsidRPr="00D03F3E">
        <w:rPr>
          <w:color w:val="000000" w:themeColor="text1"/>
          <w:lang w:val="ru-RU"/>
        </w:rPr>
        <w:softHyphen/>
        <w:t>кам передач и другим агрегатам. Все это привело к тому, что вместо 75 машин оказалось принято всего 25 СУ-152. Кроме того, на заводе скопилось некоторое количество самоходных установок, требовавших после учений устранений неисправностей. Не лучше оказалось и на</w:t>
      </w:r>
      <w:r w:rsidRPr="00D03F3E">
        <w:rPr>
          <w:color w:val="000000" w:themeColor="text1"/>
          <w:lang w:val="ru-RU"/>
        </w:rPr>
        <w:softHyphen/>
        <w:t>чало июня: согласно докладам военных представителей завода, по со</w:t>
      </w:r>
      <w:r w:rsidRPr="00D03F3E">
        <w:rPr>
          <w:color w:val="000000" w:themeColor="text1"/>
          <w:lang w:val="ru-RU"/>
        </w:rPr>
        <w:softHyphen/>
        <w:t>стоянию на 10-е число завод собрал 36 самоходок, но ни одной из них не было принято. Причиной явился массовый брак как по двигателям, так и по коробкам передач, агрегаты массово выходили из строя. Пере</w:t>
      </w:r>
      <w:r w:rsidRPr="00D03F3E">
        <w:rPr>
          <w:color w:val="000000" w:themeColor="text1"/>
          <w:lang w:val="ru-RU"/>
        </w:rPr>
        <w:softHyphen/>
        <w:t>ломить ситуацию удалось лишь к концу месяца, причем вместо 75 ма</w:t>
      </w:r>
      <w:r w:rsidRPr="00D03F3E">
        <w:rPr>
          <w:color w:val="000000" w:themeColor="text1"/>
          <w:lang w:val="ru-RU"/>
        </w:rPr>
        <w:softHyphen/>
        <w:t>шин оказалось принято 84. Кроме того, по плану завод отремонтировал 15 СУ-152, выпущенных ранее (17484).</w:t>
      </w:r>
    </w:p>
    <w:p w14:paraId="68377B28" w14:textId="77777777" w:rsidR="00B610FB" w:rsidRPr="00D03F3E" w:rsidRDefault="00B610FB" w:rsidP="00D03F3E">
      <w:pPr>
        <w:spacing w:after="0" w:line="240" w:lineRule="auto"/>
        <w:jc w:val="both"/>
        <w:rPr>
          <w:rFonts w:ascii="Times New Roman" w:hAnsi="Times New Roman"/>
          <w:color w:val="000000" w:themeColor="text1"/>
          <w:sz w:val="16"/>
          <w:szCs w:val="16"/>
        </w:rPr>
      </w:pPr>
    </w:p>
    <w:p w14:paraId="337C8918" w14:textId="77777777" w:rsidR="00F1014E" w:rsidRPr="00D03F3E" w:rsidRDefault="00F1014E"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мая 1943 года Постановлением Государственного Комитета Обороны Горьковский автомобильный завод был обязан перейти на выпуск ширококолейных бронеавтомобилей БА-64Б, однако сделать это до начала июня не удалось (15218).</w:t>
      </w:r>
    </w:p>
    <w:p w14:paraId="4BA43635" w14:textId="77777777" w:rsidR="00F1014E" w:rsidRPr="00D03F3E" w:rsidRDefault="00F1014E" w:rsidP="00D03F3E">
      <w:pPr>
        <w:widowControl w:val="0"/>
        <w:spacing w:after="0" w:line="240" w:lineRule="auto"/>
        <w:jc w:val="both"/>
        <w:rPr>
          <w:rFonts w:ascii="Times New Roman" w:hAnsi="Times New Roman"/>
          <w:color w:val="000000" w:themeColor="text1"/>
          <w:sz w:val="16"/>
          <w:szCs w:val="16"/>
        </w:rPr>
      </w:pPr>
    </w:p>
    <w:p w14:paraId="75C07CF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 мая 1943 года был утвержден Устав завода № 79 НКВ (9284).</w:t>
      </w:r>
    </w:p>
    <w:p w14:paraId="74864D1E" w14:textId="77777777" w:rsidR="00531570" w:rsidRPr="00D03F3E" w:rsidRDefault="00531570" w:rsidP="00D03F3E">
      <w:pPr>
        <w:pStyle w:val="Iauiue"/>
        <w:jc w:val="both"/>
        <w:rPr>
          <w:color w:val="000000" w:themeColor="text1"/>
          <w:sz w:val="16"/>
          <w:szCs w:val="16"/>
        </w:rPr>
      </w:pPr>
    </w:p>
    <w:p w14:paraId="5F4965D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 мая 1943 года была подготовлена справка:</w:t>
      </w:r>
    </w:p>
    <w:p w14:paraId="1DD3EEC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Завод № 13 им. Кирова – Усть-Катав Челябинской области</w:t>
      </w:r>
    </w:p>
    <w:p w14:paraId="667AFDD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Новый завод № 536 на базу которого эвакуировался завод № 60 НКВ с Украины</w:t>
      </w:r>
    </w:p>
    <w:p w14:paraId="1768DC8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Завод № 46 НКВ – из Москвы был эвакуирован в июне 1941 года на Урал</w:t>
      </w:r>
    </w:p>
    <w:p w14:paraId="2CE0DC1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Завод № 529 – Новая Ляля Свердловской области</w:t>
      </w:r>
    </w:p>
    <w:p w14:paraId="49684F4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Ленинградский институт точной механики и оптики из Ленинграда эвакуирован в Черепаново Новосибирской области (9271).</w:t>
      </w:r>
    </w:p>
    <w:p w14:paraId="41B60001" w14:textId="77777777" w:rsidR="00531570" w:rsidRPr="00D03F3E" w:rsidRDefault="00531570" w:rsidP="00D03F3E">
      <w:pPr>
        <w:pStyle w:val="Iauiue"/>
        <w:jc w:val="both"/>
        <w:rPr>
          <w:color w:val="000000" w:themeColor="text1"/>
          <w:sz w:val="16"/>
          <w:szCs w:val="16"/>
        </w:rPr>
      </w:pPr>
    </w:p>
    <w:p w14:paraId="7E2AFC7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 мая 1943 постановлением ГКО Лаборатория N 2 И.В.Курчатова получили здания Всесоюзного института экспериментальной медицины в Серебряном бору (1566,213).</w:t>
      </w:r>
    </w:p>
    <w:p w14:paraId="5223E307" w14:textId="77777777" w:rsidR="00531570" w:rsidRPr="00D03F3E" w:rsidRDefault="00531570" w:rsidP="00D03F3E">
      <w:pPr>
        <w:pStyle w:val="Iauiue"/>
        <w:jc w:val="both"/>
        <w:rPr>
          <w:color w:val="000000" w:themeColor="text1"/>
          <w:sz w:val="16"/>
          <w:szCs w:val="16"/>
        </w:rPr>
      </w:pPr>
    </w:p>
    <w:p w14:paraId="45C96B2B"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25 мая 1943 вышло Распоряжение ГКО № 3427 [О передаче лаборатории № 2 АН СССР недостроенного корпуса Травматологического института НКздрава и его достройке.] (7109, 157-158,159-162).</w:t>
      </w:r>
    </w:p>
    <w:p w14:paraId="5B21327A" w14:textId="77777777" w:rsidR="00531570" w:rsidRPr="00D03F3E" w:rsidRDefault="00531570" w:rsidP="00D03F3E">
      <w:pPr>
        <w:pStyle w:val="Iauiue"/>
        <w:tabs>
          <w:tab w:val="left" w:pos="11199"/>
        </w:tabs>
        <w:jc w:val="both"/>
        <w:rPr>
          <w:color w:val="000000" w:themeColor="text1"/>
          <w:sz w:val="16"/>
          <w:szCs w:val="16"/>
        </w:rPr>
      </w:pPr>
    </w:p>
    <w:p w14:paraId="239A54B4"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72B043D2" w14:textId="77777777" w:rsidR="00531570" w:rsidRPr="00D03F3E" w:rsidRDefault="00531570" w:rsidP="00D03F3E">
      <w:pPr>
        <w:pStyle w:val="Iauiue"/>
        <w:jc w:val="both"/>
        <w:rPr>
          <w:iCs/>
          <w:color w:val="000000" w:themeColor="text1"/>
          <w:sz w:val="16"/>
          <w:szCs w:val="16"/>
        </w:rPr>
      </w:pPr>
    </w:p>
    <w:p w14:paraId="6F26C599"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25 мая</w:t>
      </w:r>
      <w:r w:rsidRPr="00D03F3E">
        <w:rPr>
          <w:rFonts w:ascii="Times New Roman" w:hAnsi="Times New Roman"/>
          <w:color w:val="000000" w:themeColor="text1"/>
          <w:sz w:val="16"/>
          <w:szCs w:val="16"/>
        </w:rPr>
        <w:t xml:space="preserve"> в 1943 году утреннее сообщение Совинформбюро:</w:t>
      </w:r>
    </w:p>
    <w:p w14:paraId="3D777797"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25 мая на фронте ничего существенного не произошло.</w:t>
      </w:r>
    </w:p>
    <w:p w14:paraId="2B33C32F"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Северо-восточнее Новороссийска наши артиллеристы подавили огонь 5 немецких артиллерийских батарей, уничтожили самоходное орудие, несколько автомашин и до роты пехоты противника.</w:t>
      </w:r>
    </w:p>
    <w:p w14:paraId="7BD3A80E"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наши подразделения уничтожили 80 немецких солдат и офицеров. Артиллеристы Н-ской части произвели огневой налёт на вражеские позиции. Наблюдением установлено, что в результате артиллерийского огня разрушено 6 немецких блиндажей, 3 дзота, уничтожено орудие, 15 автомашин и повозок, взорван склад боеприпасов противника.</w:t>
      </w:r>
    </w:p>
    <w:p w14:paraId="01E313F5"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наши части артиллерийско-миномётным огнём уничтожили 2 немецких орудия, разрушили 6 дзотов, 5 блиндажей и 3 наблюдательных пункта. На другом участке отряд противника пытался вести разведку боем. Боевое охранение Н-ской части отбросило немцев на исходные рубежи. На поле боя осталось до 60 вражеских трупов.</w:t>
      </w:r>
    </w:p>
    <w:p w14:paraId="7F813CA5"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на одном участке рота немцев пыталась атаковать наши позиции.Советские бойцы подпустили гитлеровцев на близкое расстояние, а затем открылиружейно-пулемётный огонь. Потеряв убитыми и ранеными более 40 человек, немцы вбеспорядке отступили.</w:t>
      </w:r>
    </w:p>
    <w:p w14:paraId="1C009150"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Ленинградской области, в двухдневных боях с немецкой карательной экспедицией уничтожил более 100 гитлеровцев и взял 4 пленных. Партизанами захвачено 3 миномёта, 2 пулемёта, 4 автомата, 69 винтовок, много патронов и гранат. Группы партизан-подрывников пустили под откос 3 немецких воинских эшелона. В результате крушений уничтожено 3 паровоза, 69 вагонов и платформ с разными военными грузами и 3 цистерны с бензином. На другой линии железной дороги партизаны пустили под откос два вражеских эшелона. Разбито 2 паровоза и 34 вагона.</w:t>
      </w:r>
    </w:p>
    <w:p w14:paraId="5CD36EEC"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солдат 418 полка 123 немецкой пехотной дивизии Ганс Ф. рассказал: «В марте я находился в Берлине. 3 марта английская авиация совершила налёт на Берлин. Несколько маршевых батальонов вместе сдругими войсковыми частями расчищали и убирали обломки зданий, разрушенных во время бомбёжки. Особенно сильно пострадала западная часть Берлина. Иллштрассе у площади Кайзер-Ейхе совершенно уничтожена. Две трети всех строений на Прагерплац, Винтерфельдтплац, Винтерфельдтштрассе и Фербелинерплац разрушены фугасными бомбами крупного калибра. От вокзала Галлензее осталась груда обломков. На Кайзераллее разрушен дом СС и жандармерии».</w:t>
      </w:r>
    </w:p>
    <w:p w14:paraId="36532ACD"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ведут ожесточённые бои против крупных итало-немецкихсил в районе Плевлье—Биело Поле. Только за один день в этом районе патриоты уничтожили до 200 гитлеровцев. Партизаны разгромили итальянский гарнизон в местечке Биоче. До 400 итальянских солдат из этого гарнизона сдались в плен, а остальные были уничтожены. Партизанам достались трофеи: 2 противотанковых орудия, 2 гаубицы, 9 миномётов, 20 пулемётов, 600 винтовок, продовольственный склад и различное военное имущество.» (14902).</w:t>
      </w:r>
    </w:p>
    <w:p w14:paraId="2F9DD6DC" w14:textId="77777777" w:rsidR="00F1014E" w:rsidRPr="00D03F3E" w:rsidRDefault="00F1014E" w:rsidP="00D03F3E">
      <w:pPr>
        <w:spacing w:after="0" w:line="240" w:lineRule="auto"/>
        <w:jc w:val="both"/>
        <w:rPr>
          <w:rFonts w:ascii="Times New Roman" w:hAnsi="Times New Roman"/>
          <w:color w:val="000000" w:themeColor="text1"/>
          <w:sz w:val="16"/>
          <w:szCs w:val="16"/>
        </w:rPr>
      </w:pPr>
    </w:p>
    <w:p w14:paraId="55488E56"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25 мая</w:t>
      </w:r>
      <w:r w:rsidRPr="00D03F3E">
        <w:rPr>
          <w:rFonts w:ascii="Times New Roman" w:hAnsi="Times New Roman"/>
          <w:color w:val="000000" w:themeColor="text1"/>
          <w:sz w:val="16"/>
          <w:szCs w:val="16"/>
        </w:rPr>
        <w:t xml:space="preserve"> в 1943 году вечернее сообщение Совинформбюро:</w:t>
      </w:r>
    </w:p>
    <w:p w14:paraId="5B895FF8"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25 мая на фронте существенных изменений не произошло.</w:t>
      </w:r>
    </w:p>
    <w:p w14:paraId="4033880F"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 корабль в Чёрном море потопил самоходную баржу противника.</w:t>
      </w:r>
    </w:p>
    <w:p w14:paraId="13F76E8F"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Баренцевом море нашими самолётами-торпедоносцами потоплен немецкий транспорт водоизмещением в 10 тысяч тонн.</w:t>
      </w:r>
    </w:p>
    <w:p w14:paraId="165925E4"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мая частями нашей авиации на различных участках фронта взорвано 4 склада боеприпасов, сожжён склад с горючим, подавлен огонь 6 артиллерийских батарей, разбито несколько железнодорожных эшелонов противника.</w:t>
      </w:r>
    </w:p>
    <w:p w14:paraId="750F494F"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Северо-восточнее Новороссийска наша разведывательная группа проникла в расположение противника и выявила расположение его артиллерийских батарей. Во время выполнения этой боевой задачи разведчики уничтожили группу гитлеровцев и, захватив их оружие, вернулись в свою часть.</w:t>
      </w:r>
    </w:p>
    <w:p w14:paraId="667C3F5A"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лётчиками в воздушных боях, а также огнём зенитной артиллерии войск сбито 5 немецких самолётов.</w:t>
      </w:r>
    </w:p>
    <w:p w14:paraId="47975003"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артиллеристы Н-ской части совершили несколько огневых налётов на немецкие позиции. Артиллерийским огнём уничтожено 7 миномётных батарей, 4 орудия, разрушено несколько дзотов, блиндажей и других укреплений противника. Снайперы Н-ского соединения за три дня истребили 208 немецких солдат и офицеров.</w:t>
      </w:r>
    </w:p>
    <w:p w14:paraId="12E567A6"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районе Севска разведывательные отряды Н-ской части уничтожили 30 немецких повозок с грузами и истребили 80 гитлеровцев. На другом участке наши артиллеристы обстреляли скопление войск и техники противника. Наблюдением установлено, что в результате артиллерийского огня разбито 20 автомашин, взорван склад боеприпасов, рассеяно и частью истреблено до батальона немецкой пехоты.</w:t>
      </w:r>
    </w:p>
    <w:p w14:paraId="05C5F5A5"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Финском заливе 13 катеров противника напали на два наших дозорных катера. Советские моряки вступили в бой с численно превосходящими силами врага, потопили два и сильно повредили один катер противника. Остальные вражеские катера поспешно отошли под прикрытие финских береговых батарей. Наши катера вернулись на свою базу.</w:t>
      </w:r>
    </w:p>
    <w:p w14:paraId="166D601C"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нашими частями разрушено 3 немецких дзота, 4 блиндажа, взорван паровоз и подавлен огонь нескольких артиллерийских батарей противника. Отряд немцев пытался разведать позиции Н-ской части. Ружейно-пулемётным огнём гитлеровцы были рассеяны и, оставив перед нашими позициями свыше 30 трупов, в беспорядке отступили.</w:t>
      </w:r>
    </w:p>
    <w:p w14:paraId="7D0CC93E"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Витебской области, за последнее время пустил под откос 4 немецких воинских эшелона, взорвал 6 железнодорожных мостов, несколько складов с боеприпасами и военным имуществом. Отряд минских партизан в мае месяце подорвал 4 немецких воинских эшелона и один восстановительный поезд. Разбито 4 паровоза, несколько десятков вагонов и платформ с военной техникой немецких оккупантов.</w:t>
      </w:r>
    </w:p>
    <w:p w14:paraId="6E913CC4"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добровольно сдались в плен 23 солдата из 3 роты 21 батальона 3 румынской горнострелковой дивизии. Пленный Голдяну рассказал: «В полдень русские открыли сильный артиллерийский и миномётный огонь по нашим позициям. Одновременно русские самолёты подвергли нас ожесточённой бомбардировке. Рота понесла тяжёлые потери. Командир роты Кымпяну удрал. Мы также побежали назад по ходам сообщения и, пробежав около километра, догнали командира роты. Он приказал нам немедленно вернуться и предупредил, что в противном случае немцы расстреляют всех отступающих. От немцев этого можно было ожидать. Мы тогда решили раз и навсегда избавиться от немцев, отыскали пустой блиндаж и спрятались в нём. Когда подошёл русский танк, мы подняли белый флаг, сделанный из рубашки, и сдались в плен».</w:t>
      </w:r>
    </w:p>
    <w:p w14:paraId="54D5251C"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Французские патриоты усиливают борьбу против немецких оккупантов. В Париже группа французов ночью заминировала площадку близ Булонского леса, на которой обучаются немецкие солдаты. Днём во время обучения взорвавшимися минами убито и ранено более 60 гитлеровцев. В Тулузе железнодорожники вывели из строя несколько десятков вагонов и два паровоза. В районе Орлеана вольные стрелки пустили под откос два эшелона с военными грузами для немецких войск.» (14902).</w:t>
      </w:r>
    </w:p>
    <w:p w14:paraId="0FFD9165" w14:textId="77777777" w:rsidR="00F1014E" w:rsidRPr="00D03F3E" w:rsidRDefault="00F1014E" w:rsidP="00D03F3E">
      <w:pPr>
        <w:spacing w:after="0" w:line="240" w:lineRule="auto"/>
        <w:jc w:val="both"/>
        <w:rPr>
          <w:rFonts w:ascii="Times New Roman" w:hAnsi="Times New Roman"/>
          <w:color w:val="000000" w:themeColor="text1"/>
          <w:sz w:val="16"/>
          <w:szCs w:val="16"/>
        </w:rPr>
      </w:pPr>
    </w:p>
    <w:p w14:paraId="0DBF8A9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 мая 1943 года в Красноярске и 30 мая 1944 года в Уэлькале были известные катастрофы С-47 на трассе АЛСИБ (3457,134).</w:t>
      </w:r>
    </w:p>
    <w:p w14:paraId="08346D7E" w14:textId="77777777" w:rsidR="00531570" w:rsidRPr="00D03F3E" w:rsidRDefault="00531570" w:rsidP="00D03F3E">
      <w:pPr>
        <w:pStyle w:val="Iauiue"/>
        <w:jc w:val="both"/>
        <w:rPr>
          <w:color w:val="000000" w:themeColor="text1"/>
          <w:sz w:val="16"/>
          <w:szCs w:val="16"/>
        </w:rPr>
      </w:pPr>
    </w:p>
    <w:p w14:paraId="5E593BCF"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25 мая 1943 в СССР упразднены должности замполитов рот, батарей, эскадрилий (4962).</w:t>
      </w:r>
    </w:p>
    <w:p w14:paraId="20586784" w14:textId="77777777" w:rsidR="00531570" w:rsidRPr="00D03F3E" w:rsidRDefault="00531570" w:rsidP="00D03F3E">
      <w:pPr>
        <w:pStyle w:val="Iauiue"/>
        <w:tabs>
          <w:tab w:val="left" w:pos="11199"/>
        </w:tabs>
        <w:jc w:val="both"/>
        <w:rPr>
          <w:color w:val="000000" w:themeColor="text1"/>
          <w:sz w:val="16"/>
          <w:szCs w:val="16"/>
        </w:rPr>
      </w:pPr>
    </w:p>
    <w:p w14:paraId="7A87FB5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 мая 1943 во исполнение приказа командующего флотом 18 ТКА осуществили первую массовую минную постановку - 24 мины тпа A-1-IV (донные, магнитные) на подходах к Керченскому проливу и 8 у Анапы, которую, к тому же, обстреляли РС (6002).</w:t>
      </w:r>
    </w:p>
    <w:p w14:paraId="4DC1D78D" w14:textId="77777777" w:rsidR="00531570" w:rsidRPr="00D03F3E" w:rsidRDefault="00531570" w:rsidP="00D03F3E">
      <w:pPr>
        <w:pStyle w:val="Iauiue"/>
        <w:jc w:val="both"/>
        <w:rPr>
          <w:color w:val="000000" w:themeColor="text1"/>
          <w:sz w:val="16"/>
          <w:szCs w:val="16"/>
        </w:rPr>
      </w:pPr>
    </w:p>
    <w:p w14:paraId="207716D0"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13B2F432" w14:textId="77777777" w:rsidR="00531570" w:rsidRPr="00D03F3E" w:rsidRDefault="00531570" w:rsidP="00D03F3E">
      <w:pPr>
        <w:pStyle w:val="Iauiue"/>
        <w:jc w:val="both"/>
        <w:rPr>
          <w:iCs/>
          <w:color w:val="000000" w:themeColor="text1"/>
          <w:sz w:val="16"/>
          <w:szCs w:val="16"/>
        </w:rPr>
      </w:pPr>
    </w:p>
    <w:p w14:paraId="534ED25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 мая 1943 закончилась вторая Вашингтонская конференция (2262).</w:t>
      </w:r>
    </w:p>
    <w:p w14:paraId="11E84BF2" w14:textId="77777777" w:rsidR="00531570" w:rsidRPr="00D03F3E" w:rsidRDefault="00531570" w:rsidP="00D03F3E">
      <w:pPr>
        <w:pStyle w:val="Iauiue"/>
        <w:jc w:val="both"/>
        <w:rPr>
          <w:color w:val="000000" w:themeColor="text1"/>
          <w:sz w:val="16"/>
          <w:szCs w:val="16"/>
        </w:rPr>
      </w:pPr>
    </w:p>
    <w:p w14:paraId="2D4D8B3E" w14:textId="779DAC32" w:rsidR="00E1323F" w:rsidRPr="00D03F3E" w:rsidRDefault="00E1323F" w:rsidP="00D03F3E">
      <w:pPr>
        <w:pStyle w:val="Iauiue"/>
        <w:jc w:val="both"/>
        <w:rPr>
          <w:i/>
          <w:iCs/>
          <w:color w:val="000000" w:themeColor="text1"/>
          <w:sz w:val="16"/>
          <w:szCs w:val="16"/>
        </w:rPr>
      </w:pPr>
      <w:r w:rsidRPr="00D03F3E">
        <w:rPr>
          <w:i/>
          <w:iCs/>
          <w:color w:val="000000" w:themeColor="text1"/>
          <w:sz w:val="16"/>
          <w:szCs w:val="16"/>
        </w:rPr>
        <w:t>За рубежом:</w:t>
      </w:r>
    </w:p>
    <w:p w14:paraId="3FEB3062" w14:textId="77777777" w:rsidR="00E1323F" w:rsidRPr="00D03F3E" w:rsidRDefault="00E1323F" w:rsidP="00D03F3E">
      <w:pPr>
        <w:pStyle w:val="Iauiue"/>
        <w:jc w:val="both"/>
        <w:rPr>
          <w:i/>
          <w:iCs/>
          <w:color w:val="000000" w:themeColor="text1"/>
          <w:sz w:val="16"/>
          <w:szCs w:val="16"/>
        </w:rPr>
      </w:pPr>
    </w:p>
    <w:p w14:paraId="76E403CE" w14:textId="77777777" w:rsidR="00E1323F" w:rsidRPr="00D03F3E" w:rsidRDefault="00E1323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25–26 мая (ночь) 1943 759 британских бомбардировщиков атакуют Дюссельдорф, Германия. Самолеты Pathfinder не могут сконцентрировать маркеры на цели, и рейд терпит неудачу, когда бомбардировщики сбрасывают свои бомбы по сельской местности (20376).</w:t>
      </w:r>
    </w:p>
    <w:p w14:paraId="2472E99A" w14:textId="77777777" w:rsidR="00E1323F" w:rsidRPr="00D03F3E" w:rsidRDefault="00E1323F" w:rsidP="00D03F3E">
      <w:pPr>
        <w:spacing w:after="0" w:line="240" w:lineRule="auto"/>
        <w:jc w:val="both"/>
        <w:rPr>
          <w:rFonts w:ascii="Times New Roman" w:hAnsi="Times New Roman"/>
          <w:color w:val="0070C0"/>
          <w:sz w:val="16"/>
          <w:szCs w:val="16"/>
        </w:rPr>
      </w:pPr>
    </w:p>
    <w:p w14:paraId="17B62B74" w14:textId="12E39581"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42ADBEE2" w14:textId="77777777" w:rsidR="00531570" w:rsidRPr="00D03F3E" w:rsidRDefault="00531570" w:rsidP="00D03F3E">
      <w:pPr>
        <w:pStyle w:val="Iauiue"/>
        <w:jc w:val="both"/>
        <w:rPr>
          <w:iCs/>
          <w:color w:val="000000" w:themeColor="text1"/>
          <w:sz w:val="16"/>
          <w:szCs w:val="16"/>
        </w:rPr>
      </w:pPr>
    </w:p>
    <w:p w14:paraId="1E80B15B" w14:textId="77777777" w:rsidR="0019152A" w:rsidRPr="00D03F3E"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С 26 по 29 мая 1943 в ЛИИ НКАП была проведена «проверка возможности полу</w:t>
      </w:r>
      <w:r w:rsidRPr="00D03F3E">
        <w:rPr>
          <w:rFonts w:ascii="Times New Roman" w:hAnsi="Times New Roman" w:cs="Times New Roman"/>
          <w:color w:val="000000" w:themeColor="text1"/>
          <w:sz w:val="16"/>
          <w:szCs w:val="16"/>
        </w:rPr>
        <w:softHyphen/>
        <w:t>чения опасных перегрузок и определе</w:t>
      </w:r>
      <w:r w:rsidRPr="00D03F3E">
        <w:rPr>
          <w:rFonts w:ascii="Times New Roman" w:hAnsi="Times New Roman" w:cs="Times New Roman"/>
          <w:color w:val="000000" w:themeColor="text1"/>
          <w:sz w:val="16"/>
          <w:szCs w:val="16"/>
        </w:rPr>
        <w:softHyphen/>
        <w:t>ние потребных запасов высоты при вы</w:t>
      </w:r>
      <w:r w:rsidRPr="00D03F3E">
        <w:rPr>
          <w:rFonts w:ascii="Times New Roman" w:hAnsi="Times New Roman" w:cs="Times New Roman"/>
          <w:color w:val="000000" w:themeColor="text1"/>
          <w:sz w:val="16"/>
          <w:szCs w:val="16"/>
        </w:rPr>
        <w:softHyphen/>
        <w:t>полнении упражнений по Курсу боевой подготовки штурмовой авиации 1943 г.» (КБПША-43).</w:t>
      </w:r>
    </w:p>
    <w:p w14:paraId="4A20ADF3" w14:textId="77777777" w:rsidR="0019152A" w:rsidRPr="00D03F3E"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Для этих целей был выделен серий</w:t>
      </w:r>
      <w:r w:rsidRPr="00D03F3E">
        <w:rPr>
          <w:rFonts w:ascii="Times New Roman" w:hAnsi="Times New Roman" w:cs="Times New Roman"/>
          <w:color w:val="000000" w:themeColor="text1"/>
          <w:sz w:val="16"/>
          <w:szCs w:val="16"/>
        </w:rPr>
        <w:softHyphen/>
        <w:t>ный Ил-2 зав. № 302363 производства за</w:t>
      </w:r>
      <w:r w:rsidRPr="00D03F3E">
        <w:rPr>
          <w:rFonts w:ascii="Times New Roman" w:hAnsi="Times New Roman" w:cs="Times New Roman"/>
          <w:color w:val="000000" w:themeColor="text1"/>
          <w:sz w:val="16"/>
          <w:szCs w:val="16"/>
        </w:rPr>
        <w:softHyphen/>
        <w:t>вода № 30 (выпуск 12 мая 1943 г.).</w:t>
      </w:r>
    </w:p>
    <w:p w14:paraId="62BE1E77" w14:textId="77777777" w:rsidR="0019152A" w:rsidRPr="00D03F3E"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Задания на полеты составлялись при</w:t>
      </w:r>
      <w:r w:rsidRPr="00D03F3E">
        <w:rPr>
          <w:rFonts w:ascii="Times New Roman" w:hAnsi="Times New Roman" w:cs="Times New Roman"/>
          <w:color w:val="000000" w:themeColor="text1"/>
          <w:sz w:val="16"/>
          <w:szCs w:val="16"/>
        </w:rPr>
        <w:softHyphen/>
        <w:t>менительно к упражнениям №№ 18, 22 и 28 из КБПША-43 (стрельба по наземной цели с пикирования с последующим вы</w:t>
      </w:r>
      <w:r w:rsidRPr="00D03F3E">
        <w:rPr>
          <w:rFonts w:ascii="Times New Roman" w:hAnsi="Times New Roman" w:cs="Times New Roman"/>
          <w:color w:val="000000" w:themeColor="text1"/>
          <w:sz w:val="16"/>
          <w:szCs w:val="16"/>
        </w:rPr>
        <w:softHyphen/>
        <w:t>ходом в горизонтальный полет, заход в атаку с горизонтального полета и с горки). Всего в 8 полетах было выполнено 47 пи</w:t>
      </w:r>
      <w:r w:rsidRPr="00D03F3E">
        <w:rPr>
          <w:rFonts w:ascii="Times New Roman" w:hAnsi="Times New Roman" w:cs="Times New Roman"/>
          <w:color w:val="000000" w:themeColor="text1"/>
          <w:sz w:val="16"/>
          <w:szCs w:val="16"/>
        </w:rPr>
        <w:softHyphen/>
        <w:t>кирований под углом 25-30°.</w:t>
      </w:r>
    </w:p>
    <w:p w14:paraId="32A3973E" w14:textId="77777777" w:rsidR="0019152A" w:rsidRPr="00D03F3E"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Испытания показали, что с увеличе</w:t>
      </w:r>
      <w:r w:rsidRPr="00D03F3E">
        <w:rPr>
          <w:rFonts w:ascii="Times New Roman" w:hAnsi="Times New Roman" w:cs="Times New Roman"/>
          <w:color w:val="000000" w:themeColor="text1"/>
          <w:sz w:val="16"/>
          <w:szCs w:val="16"/>
        </w:rPr>
        <w:softHyphen/>
        <w:t>нием скорости пикирования перегрузка при выводе в горизонтальный полет рас</w:t>
      </w:r>
      <w:r w:rsidRPr="00D03F3E">
        <w:rPr>
          <w:rFonts w:ascii="Times New Roman" w:hAnsi="Times New Roman" w:cs="Times New Roman"/>
          <w:color w:val="000000" w:themeColor="text1"/>
          <w:sz w:val="16"/>
          <w:szCs w:val="16"/>
        </w:rPr>
        <w:softHyphen/>
        <w:t>тет весьма быстро, легко достигая пре</w:t>
      </w:r>
      <w:r w:rsidRPr="00D03F3E">
        <w:rPr>
          <w:rFonts w:ascii="Times New Roman" w:hAnsi="Times New Roman" w:cs="Times New Roman"/>
          <w:color w:val="000000" w:themeColor="text1"/>
          <w:sz w:val="16"/>
          <w:szCs w:val="16"/>
        </w:rPr>
        <w:softHyphen/>
        <w:t>дельно допустимые величины (5,5-6 еди</w:t>
      </w:r>
      <w:r w:rsidRPr="00D03F3E">
        <w:rPr>
          <w:rFonts w:ascii="Times New Roman" w:hAnsi="Times New Roman" w:cs="Times New Roman"/>
          <w:color w:val="000000" w:themeColor="text1"/>
          <w:sz w:val="16"/>
          <w:szCs w:val="16"/>
        </w:rPr>
        <w:softHyphen/>
        <w:t>ниц) при скорости 450-500 км/ч.</w:t>
      </w:r>
    </w:p>
    <w:p w14:paraId="48EE0176"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Потеря высоты при выполнении атаки со стрельбой одной очередью продол</w:t>
      </w:r>
      <w:r w:rsidRPr="00D03F3E">
        <w:rPr>
          <w:rFonts w:ascii="Times New Roman" w:hAnsi="Times New Roman"/>
          <w:color w:val="000000" w:themeColor="text1"/>
          <w:sz w:val="16"/>
          <w:szCs w:val="16"/>
        </w:rPr>
        <w:softHyphen/>
        <w:t>жительностью 1,5-2 секунды состав</w:t>
      </w:r>
      <w:r w:rsidRPr="00D03F3E">
        <w:rPr>
          <w:rFonts w:ascii="Times New Roman" w:hAnsi="Times New Roman"/>
          <w:color w:val="000000" w:themeColor="text1"/>
          <w:sz w:val="16"/>
          <w:szCs w:val="16"/>
        </w:rPr>
        <w:softHyphen/>
        <w:t>ляла 300-600 м (в зависимости от скоро</w:t>
      </w:r>
      <w:r w:rsidRPr="00D03F3E">
        <w:rPr>
          <w:rFonts w:ascii="Times New Roman" w:hAnsi="Times New Roman"/>
          <w:color w:val="000000" w:themeColor="text1"/>
          <w:sz w:val="16"/>
          <w:szCs w:val="16"/>
        </w:rPr>
        <w:softHyphen/>
        <w:t>сти и перегрузки), что находилось в явном противоречии с КБПША-43, где ми</w:t>
      </w:r>
      <w:r w:rsidRPr="00D03F3E">
        <w:rPr>
          <w:rFonts w:ascii="Times New Roman" w:hAnsi="Times New Roman"/>
          <w:color w:val="000000" w:themeColor="text1"/>
          <w:sz w:val="16"/>
          <w:szCs w:val="16"/>
        </w:rPr>
        <w:softHyphen/>
        <w:t>нимальная высота ввода в пикирование при стрельбе из пушек по наземной цели устанавливалась на уровне 300-400 м.</w:t>
      </w:r>
    </w:p>
    <w:p w14:paraId="6DBAE0D5" w14:textId="77777777" w:rsidR="0019152A" w:rsidRPr="00D03F3E"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По мнению специалистов ЛИИ, рядо</w:t>
      </w:r>
      <w:r w:rsidRPr="00D03F3E">
        <w:rPr>
          <w:rFonts w:ascii="Times New Roman" w:hAnsi="Times New Roman" w:cs="Times New Roman"/>
          <w:color w:val="000000" w:themeColor="text1"/>
          <w:sz w:val="16"/>
          <w:szCs w:val="16"/>
        </w:rPr>
        <w:softHyphen/>
        <w:t>вой летчик при недостаточном запасе вы</w:t>
      </w:r>
      <w:r w:rsidRPr="00D03F3E">
        <w:rPr>
          <w:rFonts w:ascii="Times New Roman" w:hAnsi="Times New Roman" w:cs="Times New Roman"/>
          <w:color w:val="000000" w:themeColor="text1"/>
          <w:sz w:val="16"/>
          <w:szCs w:val="16"/>
        </w:rPr>
        <w:softHyphen/>
        <w:t>соты «вынужден выводить машину очень резко, что может привести к разрушению машины». В то же время при скорости вы</w:t>
      </w:r>
      <w:r w:rsidRPr="00D03F3E">
        <w:rPr>
          <w:rFonts w:ascii="Times New Roman" w:hAnsi="Times New Roman" w:cs="Times New Roman"/>
          <w:color w:val="000000" w:themeColor="text1"/>
          <w:sz w:val="16"/>
          <w:szCs w:val="16"/>
        </w:rPr>
        <w:softHyphen/>
        <w:t>вода из пикирования до 400 км/ч по при</w:t>
      </w:r>
      <w:r w:rsidRPr="00D03F3E">
        <w:rPr>
          <w:rFonts w:ascii="Times New Roman" w:hAnsi="Times New Roman" w:cs="Times New Roman"/>
          <w:color w:val="000000" w:themeColor="text1"/>
          <w:sz w:val="16"/>
          <w:szCs w:val="16"/>
        </w:rPr>
        <w:softHyphen/>
        <w:t>бору и минимальной высоте ввода в пи</w:t>
      </w:r>
      <w:r w:rsidRPr="00D03F3E">
        <w:rPr>
          <w:rFonts w:ascii="Times New Roman" w:hAnsi="Times New Roman" w:cs="Times New Roman"/>
          <w:color w:val="000000" w:themeColor="text1"/>
          <w:sz w:val="16"/>
          <w:szCs w:val="16"/>
        </w:rPr>
        <w:softHyphen/>
        <w:t>кирование порядка 500 м перегрузка на выводе при выполнении любого упражне</w:t>
      </w:r>
      <w:r w:rsidRPr="00D03F3E">
        <w:rPr>
          <w:rFonts w:ascii="Times New Roman" w:hAnsi="Times New Roman" w:cs="Times New Roman"/>
          <w:color w:val="000000" w:themeColor="text1"/>
          <w:sz w:val="16"/>
          <w:szCs w:val="16"/>
        </w:rPr>
        <w:softHyphen/>
        <w:t>ния из КБПША-43 не будет превосходить 3-3,5 единиц.</w:t>
      </w:r>
    </w:p>
    <w:p w14:paraId="35504AD5" w14:textId="77777777" w:rsidR="0019152A" w:rsidRPr="00D03F3E"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К этому следует добавить, что «вслед</w:t>
      </w:r>
      <w:r w:rsidRPr="00D03F3E">
        <w:rPr>
          <w:rFonts w:ascii="Times New Roman" w:hAnsi="Times New Roman" w:cs="Times New Roman"/>
          <w:color w:val="000000" w:themeColor="text1"/>
          <w:sz w:val="16"/>
          <w:szCs w:val="16"/>
        </w:rPr>
        <w:softHyphen/>
        <w:t>ствие пониженной устойчивости двух</w:t>
      </w:r>
      <w:r w:rsidRPr="00D03F3E">
        <w:rPr>
          <w:rFonts w:ascii="Times New Roman" w:hAnsi="Times New Roman" w:cs="Times New Roman"/>
          <w:color w:val="000000" w:themeColor="text1"/>
          <w:sz w:val="16"/>
          <w:szCs w:val="16"/>
        </w:rPr>
        <w:softHyphen/>
        <w:t>местного самолета Ил-2 проведение всего маневра для летчика средней и ниже квалификации очень затрудни</w:t>
      </w:r>
      <w:r w:rsidRPr="00D03F3E">
        <w:rPr>
          <w:rFonts w:ascii="Times New Roman" w:hAnsi="Times New Roman" w:cs="Times New Roman"/>
          <w:color w:val="000000" w:themeColor="text1"/>
          <w:sz w:val="16"/>
          <w:szCs w:val="16"/>
        </w:rPr>
        <w:softHyphen/>
        <w:t>тельно, что сказывается на точности вы</w:t>
      </w:r>
      <w:r w:rsidRPr="00D03F3E">
        <w:rPr>
          <w:rFonts w:ascii="Times New Roman" w:hAnsi="Times New Roman" w:cs="Times New Roman"/>
          <w:color w:val="000000" w:themeColor="text1"/>
          <w:sz w:val="16"/>
          <w:szCs w:val="16"/>
        </w:rPr>
        <w:softHyphen/>
        <w:t>полнения маневра и естественно приво</w:t>
      </w:r>
      <w:r w:rsidRPr="00D03F3E">
        <w:rPr>
          <w:rFonts w:ascii="Times New Roman" w:hAnsi="Times New Roman" w:cs="Times New Roman"/>
          <w:color w:val="000000" w:themeColor="text1"/>
          <w:sz w:val="16"/>
          <w:szCs w:val="16"/>
        </w:rPr>
        <w:softHyphen/>
        <w:t>дит к его удлинению».</w:t>
      </w:r>
    </w:p>
    <w:p w14:paraId="6453A62B" w14:textId="77777777" w:rsidR="0019152A" w:rsidRPr="00D03F3E"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Летчик-испытатель Герой Советского Союза С.Ф. Машковский в своем отзыве о пилотажных качествах Ил-2 с воздуш</w:t>
      </w:r>
      <w:r w:rsidRPr="00D03F3E">
        <w:rPr>
          <w:rFonts w:ascii="Times New Roman" w:hAnsi="Times New Roman" w:cs="Times New Roman"/>
          <w:color w:val="000000" w:themeColor="text1"/>
          <w:sz w:val="16"/>
          <w:szCs w:val="16"/>
        </w:rPr>
        <w:softHyphen/>
        <w:t>ным стрелком отмечал: «Вследствие не</w:t>
      </w:r>
      <w:r w:rsidRPr="00D03F3E">
        <w:rPr>
          <w:rFonts w:ascii="Times New Roman" w:hAnsi="Times New Roman" w:cs="Times New Roman"/>
          <w:color w:val="000000" w:themeColor="text1"/>
          <w:sz w:val="16"/>
          <w:szCs w:val="16"/>
        </w:rPr>
        <w:softHyphen/>
        <w:t>устойчивости и больших усилий на рули самолет требует большого внимания при выполнении маневра на малых высо</w:t>
      </w:r>
      <w:r w:rsidRPr="00D03F3E">
        <w:rPr>
          <w:rFonts w:ascii="Times New Roman" w:hAnsi="Times New Roman" w:cs="Times New Roman"/>
          <w:color w:val="000000" w:themeColor="text1"/>
          <w:sz w:val="16"/>
          <w:szCs w:val="16"/>
        </w:rPr>
        <w:softHyphen/>
        <w:t>тах для стрельбы и бомбометания. Низ</w:t>
      </w:r>
      <w:r w:rsidRPr="00D03F3E">
        <w:rPr>
          <w:rFonts w:ascii="Times New Roman" w:hAnsi="Times New Roman" w:cs="Times New Roman"/>
          <w:color w:val="000000" w:themeColor="text1"/>
          <w:sz w:val="16"/>
          <w:szCs w:val="16"/>
        </w:rPr>
        <w:softHyphen/>
        <w:t>кая маневренность и неустойчивость са</w:t>
      </w:r>
      <w:r w:rsidRPr="00D03F3E">
        <w:rPr>
          <w:rFonts w:ascii="Times New Roman" w:hAnsi="Times New Roman" w:cs="Times New Roman"/>
          <w:color w:val="000000" w:themeColor="text1"/>
          <w:sz w:val="16"/>
          <w:szCs w:val="16"/>
        </w:rPr>
        <w:softHyphen/>
        <w:t>молета сильно затрудняют наводку са</w:t>
      </w:r>
      <w:r w:rsidRPr="00D03F3E">
        <w:rPr>
          <w:rFonts w:ascii="Times New Roman" w:hAnsi="Times New Roman" w:cs="Times New Roman"/>
          <w:color w:val="000000" w:themeColor="text1"/>
          <w:sz w:val="16"/>
          <w:szCs w:val="16"/>
        </w:rPr>
        <w:softHyphen/>
        <w:t>молета на цель. Если летчик не вышел точно на цель (что чаще всего и бывает при заходе с прямой), он старается испра</w:t>
      </w:r>
      <w:r w:rsidRPr="00D03F3E">
        <w:rPr>
          <w:rFonts w:ascii="Times New Roman" w:hAnsi="Times New Roman" w:cs="Times New Roman"/>
          <w:color w:val="000000" w:themeColor="text1"/>
          <w:sz w:val="16"/>
          <w:szCs w:val="16"/>
        </w:rPr>
        <w:softHyphen/>
        <w:t>вить ошибку доворотом, но так как цель он уже видит при переходе в пикирова</w:t>
      </w:r>
      <w:r w:rsidRPr="00D03F3E">
        <w:rPr>
          <w:rFonts w:ascii="Times New Roman" w:hAnsi="Times New Roman" w:cs="Times New Roman"/>
          <w:color w:val="000000" w:themeColor="text1"/>
          <w:sz w:val="16"/>
          <w:szCs w:val="16"/>
        </w:rPr>
        <w:softHyphen/>
        <w:t>ние, то на доворотах он теряет много вы</w:t>
      </w:r>
      <w:r w:rsidRPr="00D03F3E">
        <w:rPr>
          <w:rFonts w:ascii="Times New Roman" w:hAnsi="Times New Roman" w:cs="Times New Roman"/>
          <w:color w:val="000000" w:themeColor="text1"/>
          <w:sz w:val="16"/>
          <w:szCs w:val="16"/>
        </w:rPr>
        <w:softHyphen/>
        <w:t>соты, а на прицельную стрельбу не хва</w:t>
      </w:r>
      <w:r w:rsidRPr="00D03F3E">
        <w:rPr>
          <w:rFonts w:ascii="Times New Roman" w:hAnsi="Times New Roman" w:cs="Times New Roman"/>
          <w:color w:val="000000" w:themeColor="text1"/>
          <w:sz w:val="16"/>
          <w:szCs w:val="16"/>
        </w:rPr>
        <w:softHyphen/>
        <w:t>тает времени. В результате низкий вывод и большая перегрузка. При испытаниях выяснилось, что при заходе с прямой (вы</w:t>
      </w:r>
      <w:r w:rsidRPr="00D03F3E">
        <w:rPr>
          <w:rFonts w:ascii="Times New Roman" w:hAnsi="Times New Roman" w:cs="Times New Roman"/>
          <w:color w:val="000000" w:themeColor="text1"/>
          <w:sz w:val="16"/>
          <w:szCs w:val="16"/>
        </w:rPr>
        <w:softHyphen/>
        <w:t>сота 400 м, скорость 280 км/ч, угол 30°) довороты в 10-15°, ввиду неустойчиво</w:t>
      </w:r>
      <w:r w:rsidRPr="00D03F3E">
        <w:rPr>
          <w:rFonts w:ascii="Times New Roman" w:hAnsi="Times New Roman" w:cs="Times New Roman"/>
          <w:color w:val="000000" w:themeColor="text1"/>
          <w:sz w:val="16"/>
          <w:szCs w:val="16"/>
        </w:rPr>
        <w:softHyphen/>
        <w:t>сти самолета и больших усилий на рули, почти невозможны. Для стрельбы с ма</w:t>
      </w:r>
      <w:r w:rsidRPr="00D03F3E">
        <w:rPr>
          <w:rFonts w:ascii="Times New Roman" w:hAnsi="Times New Roman" w:cs="Times New Roman"/>
          <w:color w:val="000000" w:themeColor="text1"/>
          <w:sz w:val="16"/>
          <w:szCs w:val="16"/>
        </w:rPr>
        <w:softHyphen/>
        <w:t>лых высот заход на цель с разворота зна</w:t>
      </w:r>
      <w:r w:rsidRPr="00D03F3E">
        <w:rPr>
          <w:rFonts w:ascii="Times New Roman" w:hAnsi="Times New Roman" w:cs="Times New Roman"/>
          <w:color w:val="000000" w:themeColor="text1"/>
          <w:sz w:val="16"/>
          <w:szCs w:val="16"/>
        </w:rPr>
        <w:softHyphen/>
        <w:t>чительно проще, так как летчик в тече</w:t>
      </w:r>
      <w:r w:rsidRPr="00D03F3E">
        <w:rPr>
          <w:rFonts w:ascii="Times New Roman" w:hAnsi="Times New Roman" w:cs="Times New Roman"/>
          <w:color w:val="000000" w:themeColor="text1"/>
          <w:sz w:val="16"/>
          <w:szCs w:val="16"/>
        </w:rPr>
        <w:softHyphen/>
        <w:t>ние всего времени маневра держит цель в поле времени. В болтанку прицельная . стрельба с двухместного самолета Ил-2 затруднительная вследствие его плохой устойчивости».</w:t>
      </w:r>
    </w:p>
    <w:p w14:paraId="781AA2D3" w14:textId="77777777" w:rsidR="0019152A" w:rsidRPr="00D03F3E"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Предлагалось «с целью предотвра</w:t>
      </w:r>
      <w:r w:rsidRPr="00D03F3E">
        <w:rPr>
          <w:rFonts w:ascii="Times New Roman" w:hAnsi="Times New Roman" w:cs="Times New Roman"/>
          <w:color w:val="000000" w:themeColor="text1"/>
          <w:sz w:val="16"/>
          <w:szCs w:val="16"/>
        </w:rPr>
        <w:softHyphen/>
        <w:t>щения в боевой эксплуатации двухмест</w:t>
      </w:r>
      <w:r w:rsidRPr="00D03F3E">
        <w:rPr>
          <w:rFonts w:ascii="Times New Roman" w:hAnsi="Times New Roman" w:cs="Times New Roman"/>
          <w:color w:val="000000" w:themeColor="text1"/>
          <w:sz w:val="16"/>
          <w:szCs w:val="16"/>
        </w:rPr>
        <w:softHyphen/>
        <w:t>ных Ил-2 перегрузок больше допуска</w:t>
      </w:r>
      <w:r w:rsidRPr="00D03F3E">
        <w:rPr>
          <w:rFonts w:ascii="Times New Roman" w:hAnsi="Times New Roman" w:cs="Times New Roman"/>
          <w:color w:val="000000" w:themeColor="text1"/>
          <w:sz w:val="16"/>
          <w:szCs w:val="16"/>
        </w:rPr>
        <w:softHyphen/>
        <w:t>емых нормами прочности просить ВВС КА» ограничить скорость пикирования до 400 км/ч по прибору, увеличить ми</w:t>
      </w:r>
      <w:r w:rsidRPr="00D03F3E">
        <w:rPr>
          <w:rFonts w:ascii="Times New Roman" w:hAnsi="Times New Roman" w:cs="Times New Roman"/>
          <w:color w:val="000000" w:themeColor="text1"/>
          <w:sz w:val="16"/>
          <w:szCs w:val="16"/>
        </w:rPr>
        <w:softHyphen/>
        <w:t>нимальную высоту ввода в пикирование до 500 м, а также «дать указания о необ</w:t>
      </w:r>
      <w:r w:rsidRPr="00D03F3E">
        <w:rPr>
          <w:rFonts w:ascii="Times New Roman" w:hAnsi="Times New Roman" w:cs="Times New Roman"/>
          <w:color w:val="000000" w:themeColor="text1"/>
          <w:sz w:val="16"/>
          <w:szCs w:val="16"/>
        </w:rPr>
        <w:softHyphen/>
        <w:t>ходимости плавного вывода самолета из пикирования во избежание больших пе</w:t>
      </w:r>
      <w:r w:rsidRPr="00D03F3E">
        <w:rPr>
          <w:rFonts w:ascii="Times New Roman" w:hAnsi="Times New Roman" w:cs="Times New Roman"/>
          <w:color w:val="000000" w:themeColor="text1"/>
          <w:sz w:val="16"/>
          <w:szCs w:val="16"/>
        </w:rPr>
        <w:softHyphen/>
        <w:t>регрузок».</w:t>
      </w:r>
    </w:p>
    <w:p w14:paraId="30E56560" w14:textId="77777777" w:rsidR="0019152A" w:rsidRPr="00D03F3E"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Материалы по испытаниям в сроч</w:t>
      </w:r>
      <w:r w:rsidRPr="00D03F3E">
        <w:rPr>
          <w:rFonts w:ascii="Times New Roman" w:hAnsi="Times New Roman" w:cs="Times New Roman"/>
          <w:color w:val="000000" w:themeColor="text1"/>
          <w:sz w:val="16"/>
          <w:szCs w:val="16"/>
        </w:rPr>
        <w:softHyphen/>
        <w:t>ном порядке направили наркому А.И. Шахурину, его заместителю П.В.Дементьеву, начальнику 7-го ГУ НКАП С.Н. Шишкину (19558).</w:t>
      </w:r>
    </w:p>
    <w:p w14:paraId="6B6EDCEE" w14:textId="77777777" w:rsidR="0019152A" w:rsidRPr="00D03F3E"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p>
    <w:p w14:paraId="171E742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 мая 1943 директор завода 30 Н.А.Шапиро писал А.И.Ш. письмо:</w:t>
      </w:r>
    </w:p>
    <w:p w14:paraId="0659A53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связи со снятием балок РО с самолетов Ил-2, оборудованных 37 мм пушкой конструкции Нудельмана, прошу Вашего согласия на снятие с крыльев креплений под балки РО" (1768,163).</w:t>
      </w:r>
    </w:p>
    <w:p w14:paraId="38236A7F" w14:textId="77777777" w:rsidR="00531570" w:rsidRPr="00D03F3E" w:rsidRDefault="00531570" w:rsidP="00D03F3E">
      <w:pPr>
        <w:pStyle w:val="Iauiue"/>
        <w:jc w:val="both"/>
        <w:rPr>
          <w:color w:val="000000" w:themeColor="text1"/>
          <w:sz w:val="16"/>
          <w:szCs w:val="16"/>
        </w:rPr>
      </w:pPr>
    </w:p>
    <w:p w14:paraId="41B9633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 мая 1943 Дементьев писал Дир. завода 30 Шапиро и Нач. 10 ГУ Тарасевичу письмо N Н-35/2068:</w:t>
      </w:r>
    </w:p>
    <w:p w14:paraId="002080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"Предлагаю принять к немедленному исполнению замечания ГК С.В.И. о производственных дефектах установки 11 П на Ил-2 и установить жесткий контроль за качеством производства." (1767,144).</w:t>
      </w:r>
    </w:p>
    <w:p w14:paraId="79F97B41" w14:textId="77777777" w:rsidR="00531570" w:rsidRPr="00D03F3E" w:rsidRDefault="00531570" w:rsidP="00D03F3E">
      <w:pPr>
        <w:pStyle w:val="Iauiue"/>
        <w:jc w:val="both"/>
        <w:rPr>
          <w:color w:val="000000" w:themeColor="text1"/>
          <w:sz w:val="16"/>
          <w:szCs w:val="16"/>
        </w:rPr>
      </w:pPr>
    </w:p>
    <w:p w14:paraId="72FA5D7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 мая 1943 года начальник ГУЗ ВВС генерал-майор ИАС Селезнев писал письмо N 555532 Шахурину.</w:t>
      </w:r>
    </w:p>
    <w:p w14:paraId="09E0288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самолетах Як-7 и Як-1 производства завода 153 и 292 в процессе эксплуатации выявлен массовый дефект производственной отделки самолета.</w:t>
      </w:r>
    </w:p>
    <w:p w14:paraId="777E65A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Отставание миткалевого покрытия.</w:t>
      </w:r>
    </w:p>
    <w:p w14:paraId="470DB4F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Растрескивание шпатлевки.</w:t>
      </w:r>
    </w:p>
    <w:p w14:paraId="73E5568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Коробление, расслоение и отставание фанерной обшивки.</w:t>
      </w:r>
    </w:p>
    <w:p w14:paraId="403471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Эти дефекты приняли настолько массовый характер, что угрожают срывом боевых операций.</w:t>
      </w:r>
    </w:p>
    <w:p w14:paraId="36FB9E8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Рекламации поступают из всех частей ВВС, эксплуатирующих самолеты Як-7 и Як-1.</w:t>
      </w:r>
    </w:p>
    <w:p w14:paraId="6DFE409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Прошу Ваших указаний скомплектовать и до 1 июня разослать во все части ВВС бригады маляров и столяров с необходимым материалом для приведения в боевое </w:t>
      </w:r>
      <w:r w:rsidRPr="00D03F3E">
        <w:rPr>
          <w:color w:val="000000" w:themeColor="text1"/>
          <w:sz w:val="16"/>
          <w:szCs w:val="16"/>
        </w:rPr>
        <w:lastRenderedPageBreak/>
        <w:t>состояние самолетов.</w:t>
      </w:r>
    </w:p>
    <w:p w14:paraId="4E01CC7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Приложение: Копия материала из 2 ИАК на 3 листах (1779,15).</w:t>
      </w:r>
    </w:p>
    <w:p w14:paraId="360E77DB" w14:textId="77777777" w:rsidR="00531570" w:rsidRPr="00D03F3E" w:rsidRDefault="00531570" w:rsidP="00D03F3E">
      <w:pPr>
        <w:pStyle w:val="Iauiue"/>
        <w:jc w:val="both"/>
        <w:rPr>
          <w:color w:val="000000" w:themeColor="text1"/>
          <w:sz w:val="16"/>
          <w:szCs w:val="16"/>
        </w:rPr>
      </w:pPr>
    </w:p>
    <w:p w14:paraId="6418D8F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 мая 1943 на 21 заводе была авария ЛаГГ-3 N 31213742 с М-105 N 10524 (2129).</w:t>
      </w:r>
    </w:p>
    <w:p w14:paraId="28491FE1" w14:textId="77777777" w:rsidR="00531570" w:rsidRPr="00D03F3E" w:rsidRDefault="00531570" w:rsidP="00D03F3E">
      <w:pPr>
        <w:pStyle w:val="Iauiue"/>
        <w:jc w:val="both"/>
        <w:rPr>
          <w:color w:val="000000" w:themeColor="text1"/>
          <w:sz w:val="16"/>
          <w:szCs w:val="16"/>
        </w:rPr>
      </w:pPr>
    </w:p>
    <w:p w14:paraId="1858B68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 мая 1943 Зам. наркома Кузнецов письмом N Н-35/2099 Зам. директора завода 21 А.Е.Шульману потребовал все 37 мм пушки Шпитального передать Управлению вооружений войск ПВО (2519,134).</w:t>
      </w:r>
    </w:p>
    <w:p w14:paraId="1E5F574D" w14:textId="77777777" w:rsidR="00531570" w:rsidRPr="00D03F3E" w:rsidRDefault="00531570" w:rsidP="00D03F3E">
      <w:pPr>
        <w:pStyle w:val="Iauiue"/>
        <w:jc w:val="both"/>
        <w:rPr>
          <w:color w:val="000000" w:themeColor="text1"/>
          <w:sz w:val="16"/>
          <w:szCs w:val="16"/>
        </w:rPr>
      </w:pPr>
    </w:p>
    <w:p w14:paraId="4AA4DAEC"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316F612F" w14:textId="77777777" w:rsidR="00531570" w:rsidRPr="00D03F3E" w:rsidRDefault="00531570" w:rsidP="00D03F3E">
      <w:pPr>
        <w:pStyle w:val="Iauiue"/>
        <w:jc w:val="both"/>
        <w:rPr>
          <w:iCs/>
          <w:color w:val="000000" w:themeColor="text1"/>
          <w:sz w:val="16"/>
          <w:szCs w:val="16"/>
        </w:rPr>
      </w:pPr>
    </w:p>
    <w:p w14:paraId="18F00C90" w14:textId="77777777" w:rsidR="0062502E" w:rsidRPr="00D03F3E" w:rsidRDefault="0062502E" w:rsidP="00D03F3E">
      <w:pPr>
        <w:pStyle w:val="ae"/>
        <w:shd w:val="clear" w:color="auto" w:fill="FFFFFF"/>
        <w:spacing w:before="0" w:after="0"/>
        <w:jc w:val="both"/>
        <w:rPr>
          <w:color w:val="000000" w:themeColor="text1"/>
          <w:sz w:val="16"/>
          <w:szCs w:val="16"/>
        </w:rPr>
      </w:pPr>
      <w:r w:rsidRPr="00D03F3E">
        <w:rPr>
          <w:color w:val="000000" w:themeColor="text1"/>
          <w:sz w:val="16"/>
          <w:szCs w:val="16"/>
        </w:rPr>
        <w:t>К 26 мая 1943 года проектная документация по орудиям семейства Д-5 была закончена. Тем временем, конкуренты из ЦАКБ работали с опережением. Проект самоходной пушки С-18 был закончен к 16 мая 1943 года. При его разработке выяснилось, что боекомплект из 60 патронов в машине разместить не получится, его ограничили 50 патронами. В отличие от КБ завода №9 в случае с С-18 о дуплексе речь не шла. Проект, который вёл начальник 3-го отдела ЦАКБ Е.В. Синильщиков, разрабатывался исключительно для установки в САУ и имел всего один тип ствола — калибра 85 мм. Как и в случае с Д-5, от тумбы в ЦАКБ отказались, заменив её на рамку. Высота линии огня повышалась с 1400 до 1600 мм, а вот боевая масса, наоборот, снижалась с 30 до 29,5 тонн. Как и было прописано в требованиях, ЦАКБ провело максимальную унификацию орудия с 76-мм пушкой ЗИС-5, уровень взаимозаменяемости превысил 70%. Одной из главных проблем С-18 оказалась чрезмерная длина отката. Она составила 470-570 мм, более чем в полтора раза больше требуемой (17704).</w:t>
      </w:r>
    </w:p>
    <w:p w14:paraId="4C1EA48A" w14:textId="77777777" w:rsidR="0062502E" w:rsidRPr="00D03F3E" w:rsidRDefault="0062502E" w:rsidP="00D03F3E">
      <w:pPr>
        <w:spacing w:after="0" w:line="240" w:lineRule="auto"/>
        <w:jc w:val="both"/>
        <w:rPr>
          <w:rFonts w:ascii="Times New Roman" w:hAnsi="Times New Roman"/>
          <w:color w:val="000000" w:themeColor="text1"/>
          <w:sz w:val="16"/>
          <w:szCs w:val="16"/>
        </w:rPr>
      </w:pPr>
    </w:p>
    <w:p w14:paraId="4E9B0CC3" w14:textId="77777777" w:rsidR="0062502E" w:rsidRPr="00D03F3E" w:rsidRDefault="0062502E" w:rsidP="00D03F3E">
      <w:pPr>
        <w:pStyle w:val="ae"/>
        <w:shd w:val="clear" w:color="auto" w:fill="FFFFFF"/>
        <w:spacing w:before="0" w:after="0"/>
        <w:jc w:val="both"/>
        <w:rPr>
          <w:color w:val="000000" w:themeColor="text1"/>
          <w:sz w:val="16"/>
          <w:szCs w:val="16"/>
        </w:rPr>
      </w:pPr>
      <w:r w:rsidRPr="00D03F3E">
        <w:rPr>
          <w:color w:val="000000" w:themeColor="text1"/>
          <w:sz w:val="16"/>
          <w:szCs w:val="16"/>
        </w:rPr>
        <w:t>26 мая 1943 4 СУ-15 и 3 СУ-38 были отправлены на Гороховецкий АНИОП, где с 4 по 16 июня эти машины испытывались. Испытания стрельбой машины выдержали, а с ходовыми испытаниями обнаружились прежние проблемы. Наблюдался повышенный износ гусениц и других элементов ходовой части (17728).</w:t>
      </w:r>
    </w:p>
    <w:p w14:paraId="2D456B62" w14:textId="77777777" w:rsidR="0062502E" w:rsidRPr="00D03F3E" w:rsidRDefault="0062502E" w:rsidP="00D03F3E">
      <w:pPr>
        <w:spacing w:after="0" w:line="240" w:lineRule="auto"/>
        <w:jc w:val="both"/>
        <w:rPr>
          <w:rFonts w:ascii="Times New Roman" w:hAnsi="Times New Roman"/>
          <w:color w:val="000000" w:themeColor="text1"/>
          <w:sz w:val="16"/>
          <w:szCs w:val="16"/>
        </w:rPr>
      </w:pPr>
    </w:p>
    <w:p w14:paraId="5B356092" w14:textId="77777777" w:rsidR="0019152A" w:rsidRPr="00D03F3E" w:rsidRDefault="00191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мая 1943 года танки Т-34 и КВ прибыли в порт Бакарица в Архангельске, а 13 июня их погрузили на пароход «Эмпайр Порша». В наше время популярно мнение, что эти машины были особой сборки, чтобы скрыть от союзников низкое качество советских танков. Конечно, ни о чём подобном речи быть не может, да и каким-то особым обращением к себе эти танки не отличались. Например, на обоих машинах недоставало магазинов к пулемётам, а брезенты на танках были старые и рваные. С танками послали 73 ящика с запчастями и большое количество горюче-смазочных материалов: бочку пушечного сала, 70 кг масла и т.д. К Т-34 прилагалось 19 выстрелов с бронебойным снарядом, 53 выстрела с осколочной гранатой — в английском варианте документа этот пункт перевели неправильно, назвав снаряды «бронебойными болванками» — и пять шрапнельных выстрелов. Были в комплекте патроны к пулемёту — 665 с трассирующей, 150 с бронебойной и 1103 с тяжёлой пулей, — а также 20 гранат Ф-1 (18249).</w:t>
      </w:r>
    </w:p>
    <w:p w14:paraId="29C6B64E" w14:textId="77777777" w:rsidR="0019152A" w:rsidRPr="00D03F3E" w:rsidRDefault="0019152A" w:rsidP="00D03F3E">
      <w:pPr>
        <w:spacing w:after="0" w:line="240" w:lineRule="auto"/>
        <w:jc w:val="both"/>
        <w:rPr>
          <w:rFonts w:ascii="Times New Roman" w:hAnsi="Times New Roman"/>
          <w:color w:val="000000" w:themeColor="text1"/>
          <w:sz w:val="16"/>
          <w:szCs w:val="16"/>
        </w:rPr>
      </w:pPr>
    </w:p>
    <w:p w14:paraId="474C8C14"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26 мая 1943 вышло Постановление ГКО № 3428 О противовоздушной защите плотин на водохранилищах. (7110, 1-3).</w:t>
      </w:r>
    </w:p>
    <w:p w14:paraId="5EA6A884" w14:textId="77777777" w:rsidR="00531570" w:rsidRPr="00D03F3E" w:rsidRDefault="00531570" w:rsidP="00D03F3E">
      <w:pPr>
        <w:pStyle w:val="Iauiue"/>
        <w:tabs>
          <w:tab w:val="left" w:pos="11199"/>
        </w:tabs>
        <w:jc w:val="both"/>
        <w:rPr>
          <w:color w:val="000000" w:themeColor="text1"/>
          <w:sz w:val="16"/>
          <w:szCs w:val="16"/>
        </w:rPr>
      </w:pPr>
    </w:p>
    <w:p w14:paraId="3A9BB43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мая 1943 вышло Постановление ГКО № 3429 Об организации производства 57 мм снарядов к пушкам ЗИС-2 и ЗИС-4.РГАНИР, Фонд ГКО, д. 120, лл. 4-7, 8-12 (11012).</w:t>
      </w:r>
    </w:p>
    <w:p w14:paraId="025D307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1968929" w14:textId="77777777" w:rsidR="00E1323F" w:rsidRPr="00D03F3E" w:rsidRDefault="00E1323F"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26 мая 1943 года Сталин подписал постановление ГКО №3429сс "Постановление. Об организации производства 57 мм снарядов к пушкам ЗИС-2 и ЗИС-". В июне выпускалось 30 тысяч снарядов, в июле 95 тысяч, в августе 180 тысяч и в сентябре 245 тысяч. При этом сразу же выпускались подкалиберные снаряды: по 10 тысяч в июне и июле, 15 тысяч в августе и 20 тысяч в сентябре. Работа по доведению конструкции ЗИС-2 легла на конструкторский отдел завода №92 (21143).</w:t>
      </w:r>
    </w:p>
    <w:p w14:paraId="6718D87D" w14:textId="77777777" w:rsidR="00E1323F" w:rsidRPr="00D03F3E" w:rsidRDefault="00E1323F" w:rsidP="00D03F3E">
      <w:pPr>
        <w:shd w:val="clear" w:color="auto" w:fill="FFFFFF"/>
        <w:spacing w:after="0" w:line="240" w:lineRule="auto"/>
        <w:jc w:val="both"/>
        <w:rPr>
          <w:rFonts w:ascii="Times New Roman" w:eastAsia="Times New Roman" w:hAnsi="Times New Roman"/>
          <w:color w:val="0070C0"/>
          <w:sz w:val="16"/>
          <w:szCs w:val="16"/>
          <w:lang w:eastAsia="ru-RU"/>
        </w:rPr>
      </w:pPr>
    </w:p>
    <w:p w14:paraId="4C183B1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мая 1943 вышло Постановление ГКО № 3430 О дополнительных мероприятиях по восстановлению Сталиногорского химкомбината Наркомхимпрома.РГАНИР, Фонд ГКО, д. 120, лл. 13-19, 20-25 (11012).</w:t>
      </w:r>
    </w:p>
    <w:p w14:paraId="589EB0C0"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AEFA1B8"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26 мая 1943 вышло Постановление ГКО № 3432 О восстановлении железных дорог. (7110, 27-35,36-49).</w:t>
      </w:r>
    </w:p>
    <w:p w14:paraId="361C063B" w14:textId="77777777" w:rsidR="00531570" w:rsidRPr="00D03F3E" w:rsidRDefault="00531570" w:rsidP="00D03F3E">
      <w:pPr>
        <w:pStyle w:val="Iauiue"/>
        <w:tabs>
          <w:tab w:val="left" w:pos="11199"/>
        </w:tabs>
        <w:jc w:val="both"/>
        <w:rPr>
          <w:color w:val="000000" w:themeColor="text1"/>
          <w:sz w:val="16"/>
          <w:szCs w:val="16"/>
        </w:rPr>
      </w:pPr>
    </w:p>
    <w:p w14:paraId="6C27DEF8"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50A1D29E" w14:textId="77777777" w:rsidR="00531570" w:rsidRPr="00D03F3E" w:rsidRDefault="00531570" w:rsidP="00D03F3E">
      <w:pPr>
        <w:pStyle w:val="Iauiue"/>
        <w:jc w:val="both"/>
        <w:rPr>
          <w:iCs/>
          <w:color w:val="000000" w:themeColor="text1"/>
          <w:sz w:val="16"/>
          <w:szCs w:val="16"/>
        </w:rPr>
      </w:pPr>
    </w:p>
    <w:p w14:paraId="6B19E16B"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26 мая</w:t>
      </w:r>
      <w:r w:rsidRPr="00D03F3E">
        <w:rPr>
          <w:rFonts w:ascii="Times New Roman" w:hAnsi="Times New Roman"/>
          <w:color w:val="000000" w:themeColor="text1"/>
          <w:sz w:val="16"/>
          <w:szCs w:val="16"/>
        </w:rPr>
        <w:t xml:space="preserve"> в 1943 году утреннее сообщение Совинформбюро:</w:t>
      </w:r>
    </w:p>
    <w:p w14:paraId="5AE9C6E5"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26 мая на фронте ничего существенного не произошло.</w:t>
      </w:r>
    </w:p>
    <w:p w14:paraId="5580374D"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из участков Калининского фронта наши разведывательные отряды атаковали противника и овладели тремя населёнными пунктами. В бою за эти пункты уничтожено белее 100 немецких солдат и офицеров. Нашими бойцами захвачены трофеи и пленные. На другом участке наш разведывательный отряд выбил гитлеровцев ещё из одного населённого пункта. Немецкий гарнизон, оборонявший этот населённый пункт, полностью уничтожен.</w:t>
      </w:r>
    </w:p>
    <w:p w14:paraId="32D66555"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артиллеристы Н-ской части разрушили 3 немецких блиндажа, уничтожили самоходное орудие и истребили свыше взвода гитлеровцев. Советские лётчики-истребители посадили на нашей территории немецкий самолёт.</w:t>
      </w:r>
    </w:p>
    <w:p w14:paraId="65FA37FB"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происходила редкая артиллерийско-миномётная перестрелка. Огнём наших миномётов рассеяно и частью уничтожено до роты пехоты противника, сожжено 10 повозок с военными грузами и разрушено 5 блиндажей. Разведчики Н-ской части, преодолев проволочные заграждения, ворвались в расположение противника. Наши бойцы уничтожили 16 гитлеровцев и, захватив пленных, вернулись в свою часть.</w:t>
      </w:r>
    </w:p>
    <w:p w14:paraId="4B428AAC"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 участке Н-ской части 60 немецких солдат пытались блокировать наш дзот. Гарнизон дзота встретил врага ружейно-пулемётным огнём и уничтожил 20 немецких солдат. Остальные гитлеровцы поспешно отступили. Группа снайперов из подразделения, где командиром тов. Добровольский, за семь дней истребила 56 немцев.</w:t>
      </w:r>
    </w:p>
    <w:p w14:paraId="52CED74D"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снайперы за два дня истребили более 200 гитлеровцев. Артиллеристы Н-ского соединения подавили огонь нескольких артиллерийских батарей противника, взорвали 2 склада боеприпасов, разрушили 22 дзота и 8 вражеских блиндажей.</w:t>
      </w:r>
    </w:p>
    <w:p w14:paraId="6426979C"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воздушных боях на подступах к Ленинграду лётчики Краснознамённого Балтийского флота сбили 8 немецких самолётов.</w:t>
      </w:r>
    </w:p>
    <w:p w14:paraId="3793386E"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Крупные силы немцев окружили несколько партизанских отрядов, действующих в одном из районов Украины. Советские патриоты прорвали вражеское кольцо и в ожесточённом бою нанесли противнику тяжёлые потери. Партизаны сожгли танкетку, 3 бронемашины, 17 автомашин и истребили несколько сот гитлеровцев. Захвачены у немцев орудие, много автоматов, винтовок, 20.000 патронов и другие трофеи.</w:t>
      </w:r>
    </w:p>
    <w:p w14:paraId="25E897FF"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ефрейтор 1 роты 459 полка 251 немецкой пехотной дивизии Фридрих Кох рассказал: «После катастрофы под Сталинградом у многих немецких солдат рухнули надежды на победу. Недавно Германии был нанесён ещё один чувствительный удар. Когда немецкое радио передало сообщение об уличных боях в Тунисе и Бизерте, мы поняли, что битва за Африку окончательно проиграна. За четыре месяца Германия лишилась двух мощных армий. Есть от чего прийти в отчаяние. Всех тревожит вопрос— удастся ли другим немецким соединениям избежать судьбы армий Паулюса и Арнима. Немецкая армия понесла колоссальные потери на Восточном фронте. Резервы Германии с каждым днём тают. Это подтверждается прежде всего тотальной мобилизацией. Не случайно тотальная мобилизация воспринята многими солдатами как предвестник военной катастрофы Германии».</w:t>
      </w:r>
    </w:p>
    <w:p w14:paraId="671BE8C7"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учинили зверскую расправу над мирными жителями деревень Незалётки, Кулешово и Дворище, Витебской области. Гитлеровские людоеды зверски замучили и расстреляли 85 стариков, женщин и детей. Имущество колхозников полностью разграблено немцами. Многие дома и постройки сожжены.</w:t>
      </w:r>
    </w:p>
    <w:p w14:paraId="34BDFDA6"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Близ Беутена (Верхняя Силезия) на военном заводе произошёл взрыв, вызвавший большой пожар. Огнём уничтожено несколько цехов. Гестаповцы произвели массовые аресты среди рабочих. В числе арестованных много иностранцев, насильно привезённых в Германию.» (14903).</w:t>
      </w:r>
    </w:p>
    <w:p w14:paraId="77B89D99" w14:textId="77777777" w:rsidR="00F1014E" w:rsidRPr="00D03F3E" w:rsidRDefault="00F1014E" w:rsidP="00D03F3E">
      <w:pPr>
        <w:spacing w:after="0" w:line="240" w:lineRule="auto"/>
        <w:jc w:val="both"/>
        <w:rPr>
          <w:rFonts w:ascii="Times New Roman" w:hAnsi="Times New Roman"/>
          <w:color w:val="000000" w:themeColor="text1"/>
          <w:sz w:val="16"/>
          <w:szCs w:val="16"/>
        </w:rPr>
      </w:pPr>
    </w:p>
    <w:p w14:paraId="0082DDB0"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26 мая</w:t>
      </w:r>
      <w:r w:rsidRPr="00D03F3E">
        <w:rPr>
          <w:rFonts w:ascii="Times New Roman" w:hAnsi="Times New Roman"/>
          <w:color w:val="000000" w:themeColor="text1"/>
          <w:sz w:val="16"/>
          <w:szCs w:val="16"/>
        </w:rPr>
        <w:t xml:space="preserve"> в 1943 году вечернее сообщение Совинформбюро:</w:t>
      </w:r>
    </w:p>
    <w:p w14:paraId="377F5A04"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26 мая на фронте существенных изменений не произошло.</w:t>
      </w:r>
    </w:p>
    <w:p w14:paraId="2BAD2452"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мая частями нашей авиации на различных участках фронта уничтожено или повреждено не менее 20 немецких автомашин с войсками и грузами, взорван склад боеприпасов, подавлен огонь 5 артиллерийских батарей, потоплена десантная баржа, повреждены два транспорта и две баржи противника.</w:t>
      </w:r>
    </w:p>
    <w:p w14:paraId="2C572D11"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Северо-восточнее Новороссийска наши артиллеристы уничтожили 2 немецких противотанковых орудия, 3 миномёта, разбили 7 автомашин и повозок с грузами. В низовьях Кубани противник силою до двух батальонов пехоты атаковал позиции Н-ской части. В результате ожесточённого боя наши бойцы отбросили противника и нанесли ему тяжелые потери.</w:t>
      </w:r>
    </w:p>
    <w:p w14:paraId="27689F66"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На Западном фронте наши части уничтожили до 200 немецких солдат и офицеров, разрушили 5 блиндажей и подавили огонь 2 артиллерийских батарей противника. На одном участке отряд разведчиков Н-ской части проник в расположение противника и атаковал группу гитлеровцев, производивших оборонительные работы. Наши бойцы истребили 40 немецких солдат и, захватив пленных, вернулись в свою часть.</w:t>
      </w:r>
    </w:p>
    <w:p w14:paraId="73B7C4B3"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немцы на ряде участков пытались вести разведку боем. Ружейно-пулемётным и артиллерийским огнём противник отброшен в исходное положение. Наши артиллеристы уничтожили 2 вражеских дзота, 6 блиндажей, 2 наблюдательных пункта, 5 автомашин с различными грузами и рассеяли до батальона гитлеровцев.</w:t>
      </w:r>
    </w:p>
    <w:p w14:paraId="6C01ED27"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немецкий отряд под прикрытием дымовой завесы пытался переправиться на левый берег реки Северный Донец. Встреченные залповым огнём, немцы поспешно отступили. Много гитлеровцев утонуло в реке.</w:t>
      </w:r>
    </w:p>
    <w:p w14:paraId="20F3E130"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в воздушных боях сбили 3 немецких самолёта. Кроме того, один самолет противника был подбит огнём зенитной артиллерии и упал на нашей территории.</w:t>
      </w:r>
    </w:p>
    <w:p w14:paraId="4712B731"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Могилёвской области, пустил под откос 2 немецких воинских эшелона. Разбито 7 вагонов с солдатами и 10 вагонов с вооружением. На следующий день группа партизан этого же отряда проникла на крупную железнодорожную станцию и взорвала 2 подъёмных крана. Другой отряд могилёвских партизан в мае месяце взорвал 3 железнодорожных и 25 шоссейных мостов. В схватках с немецкой охраной партизаны уничтожили 70 гитлеровцев и захватили 8 пулемётов, 44 винтовки и 10 тысяч патронов.</w:t>
      </w:r>
    </w:p>
    <w:p w14:paraId="340ABAF4"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из участков Ленинградского фронта захвачен в плен унтер-офицер взвода пропаганды полицейской дивизии СС Эмиль Якобсон. Пленный рассказал: «С января по апрель 1943 года я обучался в специальных эсэсовских школах в Зенгейме(Эльзас) и в Берлине. Берлинская школа расположена в пригороде Берлина — в Целендорфе. Здесь были две группы. В одну входили радиотехники, дикторы, фотокорреспонденты. Другая группа состояла из ловких мошенников, в совершенстве постигших искусство провокации и лжи. Во главе школы стоит редактор эсэсовской газеты «Дас шварце кор» Гюнтер д'Алькэн. B его штабе в роли помощников и цензоров подвизается группа продажных журналистов, готовых на любую пакость. Здесь сочиняются всякие басни и небылицы, фабрикуются провокационные и лживые сообщения. В начале мая меня послали на Восточный фронт для прохождения восьминедельной практики. На фронте я пробыл всего лишь несколько дней и вскоре попал в плен».</w:t>
      </w:r>
    </w:p>
    <w:p w14:paraId="1AB2E88D" w14:textId="77777777" w:rsidR="00F1014E" w:rsidRPr="00D03F3E" w:rsidRDefault="00F101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Чудовищный произвол и насилия творят гитлеровцы в Савковском районе, Ленинградской области. Недавно немецкий отряд ворвался в деревню Сябрино. Фашистские громилы прикладами и штыками выгнали всех жителей из домов, забрали всё их имущество, продовольствие, а деревню сожгли. Немцы душат население Славковского района непосильными налогами. Под угрозой расстрела каждый крестьянин должен сдать с каждого гектара земли 40 пудов хлеба, 35 пудов сена и соломы. Кроме того, установлены денежные налоги: с каждого трудоспособного — 100 рублей, за собаку —15 рублей, за кошку — 10 рублей в месяц. Лишённые всех средств к существованию, многие крестьяне умирают с голода.» (14903).</w:t>
      </w:r>
    </w:p>
    <w:p w14:paraId="5C902EC1" w14:textId="77777777" w:rsidR="00F1014E" w:rsidRPr="00D03F3E" w:rsidRDefault="00F1014E" w:rsidP="00D03F3E">
      <w:pPr>
        <w:spacing w:after="0" w:line="240" w:lineRule="auto"/>
        <w:jc w:val="both"/>
        <w:rPr>
          <w:rFonts w:ascii="Times New Roman" w:hAnsi="Times New Roman"/>
          <w:color w:val="000000" w:themeColor="text1"/>
          <w:sz w:val="16"/>
          <w:szCs w:val="16"/>
        </w:rPr>
      </w:pPr>
    </w:p>
    <w:p w14:paraId="225E918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 мая 1943 началось наступление против Голубой линии. Поддерживало 338 самолетов, включая 104 штурмовика и 150 истребителей. Бои длились более двух месяцев. Всего немцы потеряли 1100, включая 800 в воздухе (340,122). С 26 мая по 7 июня сделали 845 вылетов по аэродромам Саки, Сарабуз, Керчь, Тамань, Анапа (2390,2).</w:t>
      </w:r>
    </w:p>
    <w:p w14:paraId="2101EC12" w14:textId="77777777" w:rsidR="00531570" w:rsidRPr="00D03F3E" w:rsidRDefault="00531570" w:rsidP="00D03F3E">
      <w:pPr>
        <w:pStyle w:val="Iauiue"/>
        <w:jc w:val="both"/>
        <w:rPr>
          <w:color w:val="000000" w:themeColor="text1"/>
          <w:sz w:val="16"/>
          <w:szCs w:val="16"/>
        </w:rPr>
      </w:pPr>
    </w:p>
    <w:p w14:paraId="67977FED" w14:textId="77777777" w:rsidR="00A764B0" w:rsidRPr="00D03F3E" w:rsidRDefault="00A764B0" w:rsidP="00D03F3E">
      <w:pPr>
        <w:spacing w:after="0" w:line="240" w:lineRule="auto"/>
        <w:jc w:val="both"/>
        <w:rPr>
          <w:rFonts w:ascii="Times New Roman" w:hAnsi="Times New Roman"/>
          <w:color w:val="0070C0"/>
          <w:sz w:val="16"/>
          <w:szCs w:val="16"/>
        </w:rPr>
      </w:pPr>
      <w:r w:rsidRPr="00D03F3E">
        <w:rPr>
          <w:rFonts w:ascii="Times New Roman" w:eastAsia="Times New Roman" w:hAnsi="Times New Roman"/>
          <w:color w:val="0070C0"/>
          <w:sz w:val="16"/>
          <w:szCs w:val="16"/>
          <w:lang w:eastAsia="ru-RU"/>
        </w:rPr>
        <w:t>26 мая 1943 г. вышел</w:t>
      </w:r>
    </w:p>
    <w:p w14:paraId="3A139551" w14:textId="77777777" w:rsidR="00A764B0" w:rsidRPr="00D03F3E" w:rsidRDefault="00A764B0" w:rsidP="00D03F3E">
      <w:pPr>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«ПРИКАЗ НАРКОМА ОБОРОНЫ СССР Командующему ВВС Красной Армии маршалу авиации тов. НОВИКОВУ</w:t>
      </w:r>
    </w:p>
    <w:p w14:paraId="1C5425AF" w14:textId="77777777" w:rsidR="00A764B0" w:rsidRPr="00D03F3E" w:rsidRDefault="00A764B0" w:rsidP="00D03F3E">
      <w:pPr>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ПРИКАЗЫВАЮ:</w:t>
      </w:r>
    </w:p>
    <w:p w14:paraId="63367B92" w14:textId="77777777" w:rsidR="00A764B0" w:rsidRPr="00D03F3E" w:rsidRDefault="00A764B0" w:rsidP="00D03F3E">
      <w:pPr>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1) Немедленно снять с должности командира авиационного полка полковника СТАЛИНАВ.И.и не давать ему каких-либо командных постов впредь до моего распоряжения.</w:t>
      </w:r>
    </w:p>
    <w:p w14:paraId="3C2F7771" w14:textId="77777777" w:rsidR="00A764B0" w:rsidRPr="00D03F3E" w:rsidRDefault="00A764B0" w:rsidP="00D03F3E">
      <w:pPr>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2) Полку и бывшему командиру полка полковнику Сталину объявить, что полковник Сталин снимается с должности командира полка за пьянство и разгул и за то, что портит и развращает полк.</w:t>
      </w:r>
    </w:p>
    <w:p w14:paraId="0405F702" w14:textId="77777777" w:rsidR="00A764B0" w:rsidRPr="00D03F3E" w:rsidRDefault="00A764B0" w:rsidP="00D03F3E">
      <w:pPr>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3) Исполнение донести.</w:t>
      </w:r>
    </w:p>
    <w:p w14:paraId="73E1A9BE" w14:textId="77777777" w:rsidR="00A764B0" w:rsidRPr="00D03F3E" w:rsidRDefault="00A764B0" w:rsidP="00D03F3E">
      <w:pPr>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Народный Комиссар Обороны</w:t>
      </w:r>
    </w:p>
    <w:p w14:paraId="3339C9B2" w14:textId="77777777" w:rsidR="00A764B0" w:rsidRPr="00D03F3E" w:rsidRDefault="00A764B0" w:rsidP="00D03F3E">
      <w:pPr>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И. Сталин</w:t>
      </w:r>
    </w:p>
    <w:p w14:paraId="4AFB8C41" w14:textId="77777777" w:rsidR="00A764B0" w:rsidRPr="00D03F3E" w:rsidRDefault="00A764B0" w:rsidP="00D03F3E">
      <w:pPr>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26 мая 1943 г.» (21424).</w:t>
      </w:r>
    </w:p>
    <w:p w14:paraId="2F40643E" w14:textId="77777777" w:rsidR="00A764B0" w:rsidRPr="00D03F3E" w:rsidRDefault="00A764B0" w:rsidP="00D03F3E">
      <w:pPr>
        <w:spacing w:after="0" w:line="240" w:lineRule="auto"/>
        <w:jc w:val="both"/>
        <w:rPr>
          <w:rFonts w:ascii="Times New Roman" w:hAnsi="Times New Roman"/>
          <w:color w:val="0070C0"/>
          <w:sz w:val="16"/>
          <w:szCs w:val="16"/>
        </w:rPr>
      </w:pPr>
    </w:p>
    <w:p w14:paraId="61CA23F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Утром 26 мая 1943 за несколько минут перед наступлением войск на Кубани штурмовики поставили дымовую завесу на участке прорыва обороны. Авиационная подготовка вовлекла 338 самолетов, включая 84 бомбардировщика и 104 штурмовика. Потерь не было. Однако, на исходе дня противник привлек к удару 600 бомбардировщиков и почти остановил и захватил господство в воздухе (341,167).</w:t>
      </w:r>
    </w:p>
    <w:p w14:paraId="22D281C4" w14:textId="77777777" w:rsidR="00531570" w:rsidRPr="00D03F3E" w:rsidRDefault="00531570" w:rsidP="00D03F3E">
      <w:pPr>
        <w:pStyle w:val="Iauiue"/>
        <w:jc w:val="both"/>
        <w:rPr>
          <w:color w:val="000000" w:themeColor="text1"/>
          <w:sz w:val="16"/>
          <w:szCs w:val="16"/>
        </w:rPr>
      </w:pPr>
    </w:p>
    <w:p w14:paraId="00C8F72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 мая 1943 С-КФ (56 и 37А) начал новую наступательную операцию против 17А с целью прорыва Голубой линии и по освобождению Таманского п/о. Авиаподготовка была выполнена одним ударом 338 самолетов (84 б, 104 ш, 150 и). Немцы смогли сконцентрировать 1400 машин за счет привлечения б с Украины и за 1-й день выполнил 1500 вылетов. Во 2-й половине дня захватил инициативу в воздухе и ударил 600 машинами. Начались новые бои в воздухе, стараясь действовать на дальних подступах и начали свободную охоту. Перестали управлять личным примером и стали использовать в основном радио. Эшелонировали истребители - кубанская этажерка. До 7 июня только по аэродромам выполнили 845 вылетов. Прорвать оборону так и не смогли (340,122).</w:t>
      </w:r>
    </w:p>
    <w:p w14:paraId="38BF2AF3" w14:textId="77777777" w:rsidR="00531570" w:rsidRPr="00D03F3E" w:rsidRDefault="00531570" w:rsidP="00D03F3E">
      <w:pPr>
        <w:pStyle w:val="Iauiue"/>
        <w:jc w:val="both"/>
        <w:rPr>
          <w:color w:val="000000" w:themeColor="text1"/>
          <w:sz w:val="16"/>
          <w:szCs w:val="16"/>
        </w:rPr>
      </w:pPr>
    </w:p>
    <w:p w14:paraId="18DF8F9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 мая 1943 ранним утром "Голубая линия" встретила 19 Ил-2 четырехслойным огнем среднекалиберной и зенитной артиллерии - перед "Илами" сплошной стеной стали разрывы снарядов. Пробившись через огненный заслон, штурмовики в растянутом "правом пеленге" на минимальной высоте (10-20 м) вышли к станице Киевская,</w:t>
      </w:r>
    </w:p>
    <w:p w14:paraId="539339B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Батареи МЗА и расчеты крупнокалиберных зенитных пулеметов открыли по штурмовикам ураганный огонь,</w:t>
      </w:r>
    </w:p>
    <w:p w14:paraId="521AEAD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точно назначенное время и над нужным ориентиром из-под фюзеляжа Ил-2 м-ра Керова вырвался дым...</w:t>
      </w:r>
    </w:p>
    <w:p w14:paraId="6DB10D0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Через несколько минут после ухода Ил-2, перед передним краем обороны противника выросла белая стена дыма. Смещаясь в сторону противника, завеса закрыла опорные пункты, ослепила пехоту. Войска фронта ворвались в первую траншею главной полосы обороны немцев и, закрепляя успех, продвинулись на глубину до двух километров...(8687).</w:t>
      </w:r>
    </w:p>
    <w:p w14:paraId="3C4CCEB5" w14:textId="77777777" w:rsidR="00531570" w:rsidRPr="00D03F3E" w:rsidRDefault="00531570" w:rsidP="00D03F3E">
      <w:pPr>
        <w:pStyle w:val="Iauiue"/>
        <w:jc w:val="both"/>
        <w:rPr>
          <w:color w:val="000000" w:themeColor="text1"/>
          <w:sz w:val="16"/>
          <w:szCs w:val="16"/>
        </w:rPr>
      </w:pPr>
    </w:p>
    <w:p w14:paraId="69A2CC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 мая 1943 в ночь на 27 мая Пе-8 (ТБ-7) N 42029 c только что испытанными моторами АЧ-30В и какой-то другой летали из Кратово на первое испытание ФАБ-5000 по немецкому гарнизону в Могилеве. Летали полковник Зеленский и майор Н.А.Ищенко (1103,116).</w:t>
      </w:r>
    </w:p>
    <w:p w14:paraId="258FD1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Было две ФАБ-5000 и бросали п 746 полка Ищенко и Зеленский. Всего в эту ночь на Могилев сбросили 74 т (1564,10).</w:t>
      </w:r>
    </w:p>
    <w:p w14:paraId="195437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другим данным первое применение было в ночь с 28 на 29 апреля по Кенигсбергу.</w:t>
      </w:r>
    </w:p>
    <w:p w14:paraId="4EE58175"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May 26th, 1943: In the East, the Red Army begins an offensive against the German forces isolated in the Kuban bridgehead between the Sea of Azov and the Black Sea (3819).</w:t>
      </w:r>
    </w:p>
    <w:p w14:paraId="55A44B08" w14:textId="77777777" w:rsidR="00531570" w:rsidRPr="00D03F3E" w:rsidRDefault="00531570" w:rsidP="00D03F3E">
      <w:pPr>
        <w:pStyle w:val="Iauiue"/>
        <w:jc w:val="both"/>
        <w:rPr>
          <w:color w:val="000000" w:themeColor="text1"/>
          <w:sz w:val="16"/>
          <w:szCs w:val="16"/>
          <w:lang w:val="en-US"/>
        </w:rPr>
      </w:pPr>
    </w:p>
    <w:p w14:paraId="1ADF507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мая 1943 вышло Постановление ГКО № 3431 О тов. Епишеве А.А.РГАНИР, Фонд ГКО, д. 120, лл. 26 (11012).</w:t>
      </w:r>
    </w:p>
    <w:p w14:paraId="041EC7EA"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BE817F4" w14:textId="77777777" w:rsidR="00F3483A"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01EBAB1C" w14:textId="77777777" w:rsidR="00F3483A" w:rsidRPr="00D03F3E" w:rsidRDefault="00F3483A" w:rsidP="00D03F3E">
      <w:pPr>
        <w:pStyle w:val="Iauiue"/>
        <w:jc w:val="both"/>
        <w:rPr>
          <w:iCs/>
          <w:color w:val="000000" w:themeColor="text1"/>
          <w:sz w:val="16"/>
          <w:szCs w:val="16"/>
        </w:rPr>
      </w:pPr>
    </w:p>
    <w:p w14:paraId="490FFEE1" w14:textId="77777777" w:rsidR="00531570" w:rsidRPr="00D03F3E" w:rsidRDefault="00531570" w:rsidP="00D03F3E">
      <w:pPr>
        <w:pStyle w:val="Iauiue"/>
        <w:jc w:val="both"/>
        <w:rPr>
          <w:bCs/>
          <w:color w:val="000000" w:themeColor="text1"/>
          <w:sz w:val="16"/>
          <w:szCs w:val="16"/>
        </w:rPr>
      </w:pPr>
      <w:r w:rsidRPr="00D03F3E">
        <w:rPr>
          <w:bCs/>
          <w:color w:val="000000" w:themeColor="text1"/>
          <w:sz w:val="16"/>
          <w:szCs w:val="16"/>
        </w:rPr>
        <w:t>26 мая 1943 года вышел Приказ народного комиссара обороны СССР</w:t>
      </w:r>
    </w:p>
    <w:p w14:paraId="05B1CFF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Командующему ВВС Красной Армии маршалу авиации товарищу НОВИКОВУ</w:t>
      </w:r>
    </w:p>
    <w:p w14:paraId="1182FEA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ПРИКАЗЫВАЮ:</w:t>
      </w:r>
    </w:p>
    <w:p w14:paraId="696F5B8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Немедленно снять с должности командира авиационного полка полковника Сталина В.И. и не давать ему каких-либо командных постов впредь до моего распоряжения.</w:t>
      </w:r>
    </w:p>
    <w:p w14:paraId="7017193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Полку и бывшему командиру полка полковнику Сталину объявить, что полковник Сталин снимается с должности командира полка за пьянство и разгул и за то, что портит и развращает полк.</w:t>
      </w:r>
    </w:p>
    <w:p w14:paraId="4130392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Исполнение донести.</w:t>
      </w:r>
    </w:p>
    <w:p w14:paraId="720CD6D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Народный комиссар обороны И. СТАЛИН (10758).</w:t>
      </w:r>
    </w:p>
    <w:p w14:paraId="719B023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2B111F5"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Жизнь и внутренняя политика:</w:t>
      </w:r>
    </w:p>
    <w:p w14:paraId="3E0AC855" w14:textId="77777777" w:rsidR="00531570" w:rsidRPr="00D03F3E" w:rsidRDefault="00531570" w:rsidP="00D03F3E">
      <w:pPr>
        <w:pStyle w:val="Iauiue"/>
        <w:jc w:val="both"/>
        <w:rPr>
          <w:iCs/>
          <w:color w:val="000000" w:themeColor="text1"/>
          <w:sz w:val="16"/>
          <w:szCs w:val="16"/>
        </w:rPr>
      </w:pPr>
    </w:p>
    <w:p w14:paraId="3EB4470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26 мая 1943 приказом № 00894 (изданным на основании постановления ГКО № 3407сс от 21 мая) для строительства железнодорожной линии “Комсомольск - </w:t>
      </w:r>
      <w:r w:rsidRPr="00D03F3E">
        <w:rPr>
          <w:color w:val="000000" w:themeColor="text1"/>
          <w:sz w:val="16"/>
          <w:szCs w:val="16"/>
        </w:rPr>
        <w:lastRenderedPageBreak/>
        <w:t>Советская Гавань” было организовано Управление строительства и лагерей железнодорожной линии “Комсомольск - Совгавань” с дислокацией в городе Комсомольск и условным наименованием “Управление строительства № 500 НКВД СССР”. Его возглавил зам. начальника ГУЛЖДС и начальник Желдорпроекта инженер-полковник Ф. А. Гвоздевский. Заместителем Гвоздевского по лагерю был назначен майор ГБ Н. Ф. Потемкин (ранее зам. начальника Печорстроя), заместителем по изысканиям и проектированию - П. К. Татаринцев, главным инженером - капитан ГБ В. И. Рождественский.</w:t>
      </w:r>
    </w:p>
    <w:p w14:paraId="2515FC2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сооружения железной дороги от Совгавани до перевала Сихотэ-Алинь, а также причалов и портовых сооружений в бухтах Ванина и Константиновская был организован Восточный ИТЛ (не путать с довоенным Восточным железнодорожным ИТЛ), который возглавил М. В. Филимонов (ранее - зам. начальника Приволжского ИТЛ).</w:t>
      </w:r>
    </w:p>
    <w:p w14:paraId="57778D3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Строительство железной дороги от Комсомольска до перевала Сихотэ-Алинь, а также паромной переправы на Амуре было возложено на Нижнеамурлаг НКВД (начальник - комиссар ГБ И. Г. Петренко).</w:t>
      </w:r>
    </w:p>
    <w:p w14:paraId="2070FBB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Забегая вперед, скажем, что уже 27 июля 1945 года Берия доложил Сталину, что задание ГКО выполнено, “15 июля 1945 года уложен последний километр пути, а 20 июля первый рабочий поезд прошел от левого берега реки Амур у г. Комсомольска до бухты Ванина в Татарском проливе”. К тому времени в бухте Ванина были построены два причала, позволявшие одновременно принимать три большегрузных парохода водоизмещением по 10 тысяч тонн каждый. И если раньше вагонзаки с отправляемыми в Севвостлаг заключенными шли до станции Находка Приморской железной дороги, то теперь появился более короткий путь на Колыму через порт Ванина (7560).</w:t>
      </w:r>
    </w:p>
    <w:p w14:paraId="2974ECE0" w14:textId="77777777" w:rsidR="00531570" w:rsidRPr="00D03F3E" w:rsidRDefault="00531570" w:rsidP="00D03F3E">
      <w:pPr>
        <w:pStyle w:val="Iauiue"/>
        <w:jc w:val="both"/>
        <w:rPr>
          <w:color w:val="000000" w:themeColor="text1"/>
          <w:sz w:val="16"/>
          <w:szCs w:val="16"/>
        </w:rPr>
      </w:pPr>
    </w:p>
    <w:p w14:paraId="05B027F8"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51F9F95C" w14:textId="77777777" w:rsidR="00531570" w:rsidRPr="00D03F3E" w:rsidRDefault="00531570" w:rsidP="00D03F3E">
      <w:pPr>
        <w:pStyle w:val="Iauiue"/>
        <w:jc w:val="both"/>
        <w:rPr>
          <w:iCs/>
          <w:color w:val="000000" w:themeColor="text1"/>
          <w:sz w:val="16"/>
          <w:szCs w:val="16"/>
        </w:rPr>
      </w:pPr>
    </w:p>
    <w:p w14:paraId="7DE014F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 мая 1943 года</w:t>
      </w:r>
    </w:p>
    <w:p w14:paraId="189119B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 В. СТАЛИН Ф. РУЗВЕЛЬТУ *</w:t>
      </w:r>
    </w:p>
    <w:p w14:paraId="1193DD7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Уважаемый г-н Рузвельт,</w:t>
      </w:r>
    </w:p>
    <w:p w14:paraId="70A303B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Г-н Дэвис передал мне Ваше послание.</w:t>
      </w:r>
    </w:p>
    <w:p w14:paraId="38D2E1F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Я согласен с Вами, что этим летом — возможно, еще в июне месяце — следует ожидать начала нового крупного наступления гитлеровцев на советско-германском фронте. Гитлер уже сосредоточил против нас около 200 немецких дивизий и до 30 дивизий его союзников. Мы готовимся к встрече нового германского наступления и к контратакам, но у нас не хватает самолетов и авиабензина. Сейчас, конечно, невозможно предвидеть всех военных и других шагов, которые нам придется предпринимать. Это будет зависеть от развития дел на нашем фронте. Многое будет зависеть также от того, насколько быстрыми и активными будут англо-американские военные действия в Европе.</w:t>
      </w:r>
    </w:p>
    <w:p w14:paraId="0D32BFA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Я упомянул об этих важных обстоятельствах, чтобы объяснить, почему мой сегодняшний ответ на Ваше предложение насчет нашей встречи не может быть сейчас вполне определенным.</w:t>
      </w:r>
    </w:p>
    <w:p w14:paraId="6EEE5E9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Я согласен с Вами, что такая встреча необходима и что ее не следует откладывать. Но я прошу Вас должным образом оценить важность изложенных обстоятельств именно потому, что летние месяцы будут исключительно ответственными для советских армий. Не зная, как будут развертываться события на советско-германском фронте в июне месяце, я не смогу уехать из Москвы в течение этого месяца. Поэтому я предложил бы устроить нашу встречу в июле или в августе. Если Вы согласны с этим, я обязуюсь уведомить Вас за две недели до дня встречи, когда эта встреча могла бы состояться в июле или в августе. В случае, если бы Вы после моего уведомления согласились с предложенным мною сроком встречи я прибыл бы к месту встречи в установленный срок.</w:t>
      </w:r>
    </w:p>
    <w:p w14:paraId="49B00EF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Что касается места встречи, то об этом сообщит Вам лично г. Дэвис.</w:t>
      </w:r>
    </w:p>
    <w:p w14:paraId="023BE00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Я согласен с Вами по вопросу об ограничении количества Ваших и моих советников.</w:t>
      </w:r>
    </w:p>
    <w:p w14:paraId="4E0EE18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Благодарю Вас за то, что Вы прислали в Москву г-на Дэвиса, который знает Советский Союз и может объективно судить о вещах.</w:t>
      </w:r>
    </w:p>
    <w:p w14:paraId="2BF0037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искренним уважением</w:t>
      </w:r>
    </w:p>
    <w:p w14:paraId="31C0E46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 СТАЛИН (7430).</w:t>
      </w:r>
    </w:p>
    <w:p w14:paraId="500677BD" w14:textId="77777777" w:rsidR="00531570" w:rsidRPr="00D03F3E" w:rsidRDefault="00531570" w:rsidP="00D03F3E">
      <w:pPr>
        <w:pStyle w:val="Iauiue"/>
        <w:jc w:val="both"/>
        <w:rPr>
          <w:color w:val="000000" w:themeColor="text1"/>
          <w:sz w:val="16"/>
          <w:szCs w:val="16"/>
        </w:rPr>
      </w:pPr>
    </w:p>
    <w:p w14:paraId="232C7C55"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7CAA8737" w14:textId="77777777" w:rsidR="00531570" w:rsidRPr="00D03F3E" w:rsidRDefault="00531570" w:rsidP="00D03F3E">
      <w:pPr>
        <w:pStyle w:val="Iauiue"/>
        <w:jc w:val="both"/>
        <w:rPr>
          <w:iCs/>
          <w:color w:val="000000" w:themeColor="text1"/>
          <w:sz w:val="16"/>
          <w:szCs w:val="16"/>
        </w:rPr>
      </w:pPr>
    </w:p>
    <w:p w14:paraId="35124DFB"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26 мая</w:t>
      </w:r>
      <w:r w:rsidRPr="00D03F3E">
        <w:rPr>
          <w:rFonts w:ascii="Times New Roman" w:hAnsi="Times New Roman"/>
          <w:color w:val="000000" w:themeColor="text1"/>
          <w:sz w:val="16"/>
          <w:szCs w:val="16"/>
        </w:rPr>
        <w:t xml:space="preserve"> в 1943 году в первый полет отправился </w:t>
      </w:r>
      <w:hyperlink r:id="rId164" w:tgtFrame="_blank" w:history="1">
        <w:r w:rsidRPr="00D03F3E">
          <w:rPr>
            <w:rFonts w:ascii="Times New Roman" w:hAnsi="Times New Roman"/>
            <w:color w:val="000000" w:themeColor="text1"/>
            <w:sz w:val="16"/>
            <w:szCs w:val="16"/>
          </w:rPr>
          <w:t xml:space="preserve">«ХР-60Е» </w:t>
        </w:r>
      </w:hyperlink>
      <w:r w:rsidRPr="00D03F3E">
        <w:rPr>
          <w:rFonts w:ascii="Times New Roman" w:hAnsi="Times New Roman"/>
          <w:color w:val="000000" w:themeColor="text1"/>
          <w:sz w:val="16"/>
          <w:szCs w:val="16"/>
        </w:rPr>
        <w:t>с двигателем «R-2800-10» и обычным четырехлопастным винтом (14903).</w:t>
      </w:r>
    </w:p>
    <w:p w14:paraId="1A46598C" w14:textId="77777777" w:rsidR="00F3483A" w:rsidRPr="00D03F3E" w:rsidRDefault="00F3483A" w:rsidP="00D03F3E">
      <w:pPr>
        <w:spacing w:after="0" w:line="240" w:lineRule="auto"/>
        <w:jc w:val="both"/>
        <w:rPr>
          <w:rFonts w:ascii="Times New Roman" w:hAnsi="Times New Roman"/>
          <w:color w:val="000000" w:themeColor="text1"/>
          <w:sz w:val="16"/>
          <w:szCs w:val="16"/>
        </w:rPr>
      </w:pPr>
    </w:p>
    <w:p w14:paraId="17E60EA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мая 1943 года Пенемюнде посетила большая группа членов комиссии по оружию дальнего действия. Они прибыли для того, чтобы посмотреть демонстрацию моделей и принять решение о дальнейшем финансировании. Дело в том, что начиная с 1942 года станция «Пенемюнде—Запад» осуществляла разработку еще одной системы оружия дальнего действия под названием «Fi-103» («Фи-103» – сокращение от названия фирмы-производителя «Fisseler» в Касселе-Веттенхаузене).</w:t>
      </w:r>
    </w:p>
    <w:p w14:paraId="6FCCD86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пуска снаряда он летел с помощью автопилота по заданному курсу и на заранее определенной высоте. «Fi-103» имел фюзеляж длиной 7,8 м, в носовой части которого помещалась боеголовка с 700 – 1000 кг аматола. За боеголовкой располагался топливный бак с 80-октановым бензином. Затем шли два оплетенных проволокой сферических стальных баллона сжатого воздуха для обеспечения работы рулей и других механизмов. Хвостовая часть была занята упрощенным автопилотом, который удерживал самолет-снаряд на прямом курсе и на заданной высоте. Размах крыльев составлял 530 см. Самой интересной новинкой был пульсирующий воздушно-реактивный двигатель, установленный в задней части фюзеляжа и похожий на ствол старомодной пушки.</w:t>
      </w:r>
    </w:p>
    <w:p w14:paraId="20961EE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Пульсирующие воздушно-реактивные двигатели «As014» конструкции Пауля Шмидта, производившиеся фирмой «Аргус» («Argus»), представляли собой стальные трубы, открытые с задней части и закрытые спереди пластинчатыми пружинными клапанами, открывавшимися под давлением встречного потока воздуха. Когда воздух, открыв клапаны решетки, входил в трубу, здесь создавалось повышенное давление; одновременно впрыскивалось топливо, происходила вспышка, в результате которой расширившиеся газы действовали на клапаны, закрывая их, и создавали импульс тяги. После того как продукты сгорания выбрасывались через реактивное сопло, в камере сгорания создавалось пониженное давление, и воздух снова открывал клапаны – начинался новый цикл работы двигателя. Расход топлива составлял 2,35 литров на километр. Бак вмещал около 570 литров бензина.</w:t>
      </w:r>
    </w:p>
    <w:p w14:paraId="3A2BCAE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Пульсирующий воздушно-реактивный двигатель обязательно требует предварительного разгона до скорости минимум 240 км/ч. Для этого использовалась наклонная пусковая установка с трубой, имеющей продольный паз. Поршень, двигающийся в этой трубе, был снабжен выступом, которым он сцеплялся с самолетом-снарядом при разгоне. Поршень приводился в движение за счет газов, образующихся при распаде перекиси водорода (уже знакомая смесь «Т-Stoff» и «Z-Stoff»). Как только пульсирующий воздушно-реактивный двигатель начинал работать, скорость самолета-снаряда возрастала до 580 км/ч.</w:t>
      </w:r>
    </w:p>
    <w:p w14:paraId="3D13AAA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«Fi-103» имел часовой механизм, с помощью которого осуществлялось «наведение» на цель. Он срабатывал, когда кончался запас топлива, после чего самолет-снаряд пикировал вниз.</w:t>
      </w:r>
    </w:p>
    <w:p w14:paraId="3685AA7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Комиссия по оружию дальнего действия должна была сделать выбор между «Fi-103» и «А-4». Оба они представляли собой два совершенно отличных друг от друга типа вооружения. Так, беспилотному самолету-снаряду «Fi-103» атмосфера служила одновременно и аэродинамической опорой, и источником окислителя (кислорода), необходимого для сгорания топлива. В отличие от него ракета «А-4» была баллистическим снарядом, который летел по траектории, схожей с траекторией артиллерийского снаряда. Крылатый снаряд стоил дешевле, чем баллистический примерно в 10 раз, но легко сбивался зенитными орудиями, ракетами и истребителями-перехватчиками.</w:t>
      </w:r>
    </w:p>
    <w:p w14:paraId="40EA92F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боевой головки был почти одинаковым. Примерно так же обстояло дело и с дальностью: предполагалось, что оба снаряда будут иметь дальность полета порядка 320 километров. Позднее выяснилось, что средняя дальность самолета-снаряда «Fi-103» составляла около 240 километров, в то время как средняя дальность полета ракеты «А-4» равнялась 306 километрам.</w:t>
      </w:r>
    </w:p>
    <w:p w14:paraId="0214FCD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Прежде чем комиссия приступила к обсуждению данного вопроса, оба типа снарядов были ей продемонстрированы в действии. Две ракеты «А-4» успешно выдержали испытание, показав дальность 260 километров. Один самолет-снаряд «Fi-103» поднялся хорошо, но разбился после непродолжительного полета; второй вообще не сработал. Тем не менее комиссия решила рекомендовать разработку и производство обеих систем при условии, что в боевых условиях они будут применяться во взаимодействии.</w:t>
      </w:r>
    </w:p>
    <w:p w14:paraId="7A34F8F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Через два дня после этого начальник ракетного центра Пенемюнде Вальтер Дорнбергер и технический директор Вернер фон Браун были вызваны на аудиенцию к Гитлеру. Встреча с фюрером состоялась 7 июля 1943 года в его ставке «Вольфшанце» под Растенбургом (Восточная Пруссия).</w:t>
      </w:r>
    </w:p>
    <w:p w14:paraId="5D40A17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Фон Браун сделал краткое сообщение о ходе работ над «А-4». После доклада Гитлеру были показаны фильм о запуске снарядов, а также модели ракеты и средств ее транспортировки: «майлервагена» и «видальвагена». Не забыл Дорнбергер упомянуть и об экономической составляющей. Его доводы были просты. Во время «Битвы за Англию» люфтваффе теряли в среднем один бомбардировщик после пяти-шести вылетов, то есть каждый бомбардировщик успевал сбросить от шести до восьми тонн бомб. Стоимость же бомбардировщика вместе с обученным экипажем определяется в 1140000 марок. А ракета «А-4», несущая тонну взрывчатки, стоит в тридцать раз меньше – всего 38000 марок. Сплошная экономия!</w:t>
      </w:r>
    </w:p>
    <w:p w14:paraId="137EE20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Дорнбергер умолчал о другом. Неприцельная стрельба ракетами могла деморализовать противника, но не могла нанести существенного ущерба его инфраструктуре, экономическому и военному потенциалу. В то же время союзники по антигитлеровской коалиции в ответ на ракетные обстрелы могли усилить интенсивность бомбардировок, загоняя Германию под землю.</w:t>
      </w:r>
    </w:p>
    <w:p w14:paraId="05B27FF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Альберт Шпеер по этому поводу писал:</w:t>
      </w:r>
    </w:p>
    <w:p w14:paraId="2BE4C508" w14:textId="77777777" w:rsidR="00531570" w:rsidRPr="00D03F3E" w:rsidRDefault="00531570" w:rsidP="00D03F3E">
      <w:pPr>
        <w:pStyle w:val="Blockquote"/>
        <w:spacing w:before="0" w:after="0"/>
        <w:ind w:left="0" w:right="0"/>
        <w:jc w:val="both"/>
        <w:rPr>
          <w:color w:val="000000" w:themeColor="text1"/>
          <w:sz w:val="16"/>
          <w:szCs w:val="16"/>
          <w:lang w:val="ru-RU"/>
        </w:rPr>
      </w:pPr>
      <w:r w:rsidRPr="00D03F3E">
        <w:rPr>
          <w:color w:val="000000" w:themeColor="text1"/>
          <w:sz w:val="16"/>
          <w:szCs w:val="16"/>
          <w:lang w:val="ru-RU"/>
        </w:rPr>
        <w:t>«Абсурдной была сама идея противопоставить бомбардировочной авиации образца 1944 г., которая на протяжении многих месяцев (в среднем по 4100 вылетов в месяц) сбрасывала с четырехмоторных бомбардировщиков ежедневно три тысячи тонн взрывчатки на Германию, ракетные залпы, которые могли бы доставлять в Англию 24 т взрывчатки, т.е. бомбовый груз налета всего шести „летающих крепостей“. И нарекать это Возмездием!</w:t>
      </w:r>
    </w:p>
    <w:p w14:paraId="02679F9F" w14:textId="77777777" w:rsidR="00531570" w:rsidRPr="00D03F3E" w:rsidRDefault="00531570" w:rsidP="00D03F3E">
      <w:pPr>
        <w:pStyle w:val="Blockquote"/>
        <w:spacing w:before="0" w:after="0"/>
        <w:ind w:left="0" w:right="0"/>
        <w:jc w:val="both"/>
        <w:rPr>
          <w:color w:val="000000" w:themeColor="text1"/>
          <w:sz w:val="16"/>
          <w:szCs w:val="16"/>
          <w:lang w:val="ru-RU"/>
        </w:rPr>
      </w:pPr>
      <w:r w:rsidRPr="00D03F3E">
        <w:rPr>
          <w:color w:val="000000" w:themeColor="text1"/>
          <w:sz w:val="16"/>
          <w:szCs w:val="16"/>
          <w:lang w:val="ru-RU"/>
        </w:rPr>
        <w:t>Это, по-видимому, была моя самая тяжелая ошибка за время руководства немецкой военной промышленностью – я не только согласился с этим решением Гитлера, но и одобрил его. И это – вместо того, чтобы сконцентрировать наши усилия на создании оборонительной ракеты «земля-воздух». Еще в 1942 г. под кодовым названием «Водопад» ее разработка продвинулась настолько далеко, что было уже почти возможно запускать ее в серию. Но для этого на ее доводке нужно было бы сосредоточить все таланты техников и ученых ракетного центра в Пенемюнде под руководством Вернера фон Брауна. &lt;…&gt;</w:t>
      </w:r>
    </w:p>
    <w:p w14:paraId="5C6356D3" w14:textId="77777777" w:rsidR="00531570" w:rsidRPr="00D03F3E" w:rsidRDefault="00531570" w:rsidP="00D03F3E">
      <w:pPr>
        <w:pStyle w:val="Blockquote"/>
        <w:spacing w:before="0" w:after="0"/>
        <w:ind w:left="0" w:right="0"/>
        <w:jc w:val="both"/>
        <w:rPr>
          <w:color w:val="000000" w:themeColor="text1"/>
          <w:sz w:val="16"/>
          <w:szCs w:val="16"/>
          <w:lang w:val="ru-RU"/>
        </w:rPr>
      </w:pPr>
      <w:r w:rsidRPr="00D03F3E">
        <w:rPr>
          <w:color w:val="000000" w:themeColor="text1"/>
          <w:sz w:val="16"/>
          <w:szCs w:val="16"/>
          <w:lang w:val="ru-RU"/>
        </w:rPr>
        <w:t>Я и сегодня полагаю, что ракеты в комбинации с реактивными истребителями могли бы с начала 1944 г. сорвать воздушное наступление западных союзников с воздуха на нашу промышленность. Вместо этого огромные средства были затрачены на разработку и производство ракет дальнего действия, которые, когда осенью 1944 г., наконец, дошло дело до их боевого применения, обнаружили себя как почти полная неудача. Наш самый дорогой проект оказался и самым бессмысленным. Предмет нашей гордости, какое-то время и мне особенно импонировавший вид вооружения обернулся всего лишь растратой сил и средств. Помимо всего прочего, он явился одной из причин того, что мы проиграли и оборонительную воздушную войну».</w:t>
      </w:r>
    </w:p>
    <w:p w14:paraId="6A06C21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ни Дорнбергер, ни фон Браун, ни Гитлер об этом не подумали. Наоборот, фюрер был совершенно очарован рассказом фон Брауна и фильмом. Поздравив ракетчиков с большим успехом, достигнутым ими в столь сложном деле, фюрер выразил сожаление, что раньше был недостаточно информирован о боевых свойствах нового оружия.</w:t>
      </w:r>
    </w:p>
    <w:p w14:paraId="20517468" w14:textId="77777777" w:rsidR="00531570" w:rsidRPr="00D03F3E" w:rsidRDefault="00531570" w:rsidP="00D03F3E">
      <w:pPr>
        <w:pStyle w:val="Blockquote"/>
        <w:spacing w:before="0" w:after="0"/>
        <w:ind w:left="0" w:right="0"/>
        <w:jc w:val="both"/>
        <w:rPr>
          <w:color w:val="000000" w:themeColor="text1"/>
          <w:sz w:val="16"/>
          <w:szCs w:val="16"/>
          <w:lang w:val="ru-RU"/>
        </w:rPr>
      </w:pPr>
      <w:r w:rsidRPr="00D03F3E">
        <w:rPr>
          <w:color w:val="000000" w:themeColor="text1"/>
          <w:sz w:val="16"/>
          <w:szCs w:val="16"/>
          <w:lang w:val="ru-RU"/>
        </w:rPr>
        <w:t>«Если бы, – сказал он со вдохом, – мы имели А-4 раньше и в достаточных количествах, это могло бы сыграть решающую роль в войне».</w:t>
      </w:r>
    </w:p>
    <w:p w14:paraId="6FEB712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Дорнбергер продолжал еще рассказывать о каких-то организационных проблемах, а присутствовавший Шпеер предложил Гитлеру присвоить фон Брауну звание профессора.</w:t>
      </w:r>
    </w:p>
    <w:p w14:paraId="3660C7E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 организуйте это сейчас же, – оживленно согласился тот. – Ради такого случая я сам подпишу диплом».</w:t>
      </w:r>
    </w:p>
    <w:p w14:paraId="39E2922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 Вернер фон Браун стал самым молодым профессором.</w:t>
      </w:r>
    </w:p>
    <w:p w14:paraId="440DF82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ракетчиками Гитлер распрощался необыкновенно сердечно. Он был под сильным впечатлением, более того – загорелся. Вернувшись в свой бункер, он упивался перспективами, которые открывались этим проектом:</w:t>
      </w:r>
    </w:p>
    <w:p w14:paraId="66F6A28C" w14:textId="77777777" w:rsidR="00531570" w:rsidRPr="00D03F3E" w:rsidRDefault="00531570" w:rsidP="00D03F3E">
      <w:pPr>
        <w:pStyle w:val="Blockquote"/>
        <w:spacing w:before="0" w:after="0"/>
        <w:ind w:left="0" w:right="0"/>
        <w:jc w:val="both"/>
        <w:rPr>
          <w:color w:val="000000" w:themeColor="text1"/>
          <w:sz w:val="16"/>
          <w:szCs w:val="16"/>
          <w:lang w:val="ru-RU"/>
        </w:rPr>
      </w:pPr>
      <w:r w:rsidRPr="00D03F3E">
        <w:rPr>
          <w:color w:val="000000" w:themeColor="text1"/>
          <w:sz w:val="16"/>
          <w:szCs w:val="16"/>
          <w:lang w:val="ru-RU"/>
        </w:rPr>
        <w:t>«А-4 – это решающая стратегическая акция. И какое бремя свалится с нашей родины, когда мы нанесем такой удар по англичанам! Это решающее в военном отношении оружие и относительно дешевое в производстве. Вы, Шпеер, должны всемерно содействовать А-4. Все, что потребуется, – рабочая сила, материалы – все должно им даваться немедленно. Я уже собирался подписывать программу по танкам. А теперь вот что – пройдитесь по тексту и уравняйте по категории срочности А-4 с производством танков».</w:t>
      </w:r>
    </w:p>
    <w:p w14:paraId="1EC6CAA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Вопрос был решен раз и навсегда. Ракеты стали частью программы нанесения «ударов возмездия». Самолеты-снаряды «Fi-103» отныне назывались «V-1» («Фау-1»), а баллистические ракеты «А-4» – «V-2» («Фау-2»). Буква «V» одновременно означала немецкое слово «Vergeltung» («Возмездие») и использовалась для дискредитации известного английского символа победы. Обозначение «V-3» было зарезервировано за проектом сверхдальнобойной пушки (11688).</w:t>
      </w:r>
    </w:p>
    <w:p w14:paraId="4B590A76" w14:textId="77777777" w:rsidR="00F3483A" w:rsidRPr="00D03F3E" w:rsidRDefault="00F3483A" w:rsidP="00D03F3E">
      <w:pPr>
        <w:pStyle w:val="Iauiue"/>
        <w:tabs>
          <w:tab w:val="left" w:pos="11199"/>
        </w:tabs>
        <w:jc w:val="both"/>
        <w:rPr>
          <w:color w:val="000000" w:themeColor="text1"/>
          <w:sz w:val="16"/>
          <w:szCs w:val="16"/>
        </w:rPr>
      </w:pPr>
    </w:p>
    <w:p w14:paraId="31F327A3" w14:textId="77777777" w:rsidR="0019152A" w:rsidRPr="00D03F3E" w:rsidRDefault="0019152A" w:rsidP="00D03F3E">
      <w:pPr>
        <w:pStyle w:val="ae"/>
        <w:shd w:val="clear" w:color="auto" w:fill="FFFFFF"/>
        <w:spacing w:before="0" w:after="0"/>
        <w:jc w:val="both"/>
        <w:rPr>
          <w:color w:val="000000" w:themeColor="text1"/>
          <w:sz w:val="16"/>
          <w:szCs w:val="16"/>
        </w:rPr>
      </w:pPr>
      <w:r w:rsidRPr="00D03F3E">
        <w:rPr>
          <w:color w:val="000000" w:themeColor="text1"/>
          <w:sz w:val="16"/>
          <w:szCs w:val="16"/>
        </w:rPr>
        <w:t>26 мая 1943 года высокопоставленные нацистские чиновники посетили испытательный центр в Пенемюнде, чтобы оценить прогресс в создании летающей бомбы. Они пришли к выводу, что работа по завершению разработки должна быть ускорена для скорейшего запуска в серийное производство. Также началось создание оперативного подразделения для запуска ЛА и стартовых площадок. В районе </w:t>
      </w:r>
      <w:hyperlink r:id="rId165" w:tooltip="Па-де-Кале" w:history="1">
        <w:r w:rsidRPr="00D03F3E">
          <w:rPr>
            <w:rStyle w:val="a5"/>
            <w:color w:val="000000" w:themeColor="text1"/>
            <w:sz w:val="16"/>
            <w:szCs w:val="16"/>
            <w:u w:val="none"/>
          </w:rPr>
          <w:t>Па-де-Кале</w:t>
        </w:r>
      </w:hyperlink>
      <w:r w:rsidRPr="00D03F3E">
        <w:rPr>
          <w:color w:val="000000" w:themeColor="text1"/>
          <w:sz w:val="16"/>
          <w:szCs w:val="16"/>
        </w:rPr>
        <w:t> на северо-западе Франции должны были быть построены 100 стартовых площадок, способных запускать тысячи летающих бомб в день. Лондон находился всего в 200 километрах от места стартовых площадок (19631).</w:t>
      </w:r>
    </w:p>
    <w:p w14:paraId="584458BA" w14:textId="77777777" w:rsidR="0019152A" w:rsidRPr="00D03F3E" w:rsidRDefault="0019152A" w:rsidP="00D03F3E">
      <w:pPr>
        <w:pStyle w:val="ae"/>
        <w:shd w:val="clear" w:color="auto" w:fill="FFFFFF"/>
        <w:spacing w:before="0" w:after="0"/>
        <w:jc w:val="both"/>
        <w:rPr>
          <w:color w:val="000000" w:themeColor="text1"/>
          <w:sz w:val="16"/>
          <w:szCs w:val="16"/>
        </w:rPr>
      </w:pPr>
      <w:r w:rsidRPr="00D03F3E">
        <w:rPr>
          <w:color w:val="000000" w:themeColor="text1"/>
          <w:sz w:val="16"/>
          <w:szCs w:val="16"/>
        </w:rPr>
        <w:t>Самолёт-разведчик </w:t>
      </w:r>
      <w:hyperlink r:id="rId166" w:tooltip="Королевские военно-воздушные силы Великобритании" w:history="1">
        <w:r w:rsidRPr="00D03F3E">
          <w:rPr>
            <w:rStyle w:val="a5"/>
            <w:color w:val="000000" w:themeColor="text1"/>
            <w:sz w:val="16"/>
            <w:szCs w:val="16"/>
            <w:u w:val="none"/>
          </w:rPr>
          <w:t>RAF</w:t>
        </w:r>
      </w:hyperlink>
      <w:r w:rsidRPr="00D03F3E">
        <w:rPr>
          <w:color w:val="000000" w:themeColor="text1"/>
          <w:sz w:val="16"/>
          <w:szCs w:val="16"/>
        </w:rPr>
        <w:t> наблюдал за событиями в Пенемюнде с середины мая 1942 года, но у разведки союзников не было ясного понимания в том, что происходит. Разработка исследовательского центра и заводов в Пенемюнде, явилась эффективным достижением разведки </w:t>
      </w:r>
      <w:hyperlink r:id="rId167" w:tooltip="Армия крайова" w:history="1">
        <w:r w:rsidRPr="00D03F3E">
          <w:rPr>
            <w:rStyle w:val="a5"/>
            <w:color w:val="000000" w:themeColor="text1"/>
            <w:sz w:val="16"/>
            <w:szCs w:val="16"/>
            <w:u w:val="none"/>
          </w:rPr>
          <w:t>Армии крайовой</w:t>
        </w:r>
      </w:hyperlink>
      <w:r w:rsidRPr="00D03F3E">
        <w:rPr>
          <w:color w:val="000000" w:themeColor="text1"/>
          <w:sz w:val="16"/>
          <w:szCs w:val="16"/>
        </w:rPr>
        <w:t>. Первая информация о происходившем там была получена осенью 1942, а в марте 1943 года в Лондон был отправлен подробный рапорт. Это позволило ВВС Англии и США 17-18 августа 1943 года провести операцию «Гидра» — </w:t>
      </w:r>
      <w:hyperlink r:id="rId168" w:tooltip="Стратегические бомбардировки в период Второй мировой войны" w:history="1">
        <w:r w:rsidRPr="00D03F3E">
          <w:rPr>
            <w:rStyle w:val="a5"/>
            <w:color w:val="000000" w:themeColor="text1"/>
            <w:sz w:val="16"/>
            <w:szCs w:val="16"/>
            <w:u w:val="none"/>
          </w:rPr>
          <w:t>массированную бомбовую атаку</w:t>
        </w:r>
      </w:hyperlink>
      <w:r w:rsidRPr="00D03F3E">
        <w:rPr>
          <w:color w:val="000000" w:themeColor="text1"/>
          <w:sz w:val="16"/>
          <w:szCs w:val="16"/>
        </w:rPr>
        <w:t> Пенемюнде и стартовых площадок в Па-де-Кале, что на несколько месяцев приостановило производство «</w:t>
      </w:r>
      <w:hyperlink r:id="rId169" w:tooltip="Чудо-оружие" w:history="1">
        <w:r w:rsidRPr="00D03F3E">
          <w:rPr>
            <w:rStyle w:val="a5"/>
            <w:color w:val="000000" w:themeColor="text1"/>
            <w:sz w:val="16"/>
            <w:szCs w:val="16"/>
            <w:u w:val="none"/>
          </w:rPr>
          <w:t>чудо-оружия</w:t>
        </w:r>
      </w:hyperlink>
      <w:r w:rsidRPr="00D03F3E">
        <w:rPr>
          <w:color w:val="000000" w:themeColor="text1"/>
          <w:sz w:val="16"/>
          <w:szCs w:val="16"/>
        </w:rPr>
        <w:t>».</w:t>
      </w:r>
    </w:p>
    <w:p w14:paraId="510CC078" w14:textId="77777777" w:rsidR="0019152A" w:rsidRPr="00D03F3E" w:rsidRDefault="0019152A" w:rsidP="00D03F3E">
      <w:pPr>
        <w:spacing w:after="0" w:line="240" w:lineRule="auto"/>
        <w:jc w:val="both"/>
        <w:rPr>
          <w:rFonts w:ascii="Times New Roman" w:hAnsi="Times New Roman"/>
          <w:color w:val="000000" w:themeColor="text1"/>
          <w:sz w:val="16"/>
          <w:szCs w:val="16"/>
        </w:rPr>
      </w:pPr>
    </w:p>
    <w:p w14:paraId="7140A0D2"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26 мая 1943 в Освенциме фашистами убиты в газовых камерах более тысячи цыган (4962).</w:t>
      </w:r>
    </w:p>
    <w:p w14:paraId="57668156" w14:textId="77777777" w:rsidR="00531570" w:rsidRPr="00D03F3E" w:rsidRDefault="00531570" w:rsidP="00D03F3E">
      <w:pPr>
        <w:pStyle w:val="Iauiue"/>
        <w:tabs>
          <w:tab w:val="left" w:pos="11199"/>
        </w:tabs>
        <w:jc w:val="both"/>
        <w:rPr>
          <w:color w:val="000000" w:themeColor="text1"/>
          <w:sz w:val="16"/>
          <w:szCs w:val="16"/>
        </w:rPr>
      </w:pPr>
    </w:p>
    <w:p w14:paraId="127CB38F"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26 мая 1943 правительство Англии разрешило церквям свободно звонить в колокола (запрет на колокольный звон был введен с началом войны в 1939 г.) (4962).</w:t>
      </w:r>
    </w:p>
    <w:p w14:paraId="55013D54" w14:textId="77777777" w:rsidR="00531570" w:rsidRPr="00D03F3E" w:rsidRDefault="00531570" w:rsidP="00D03F3E">
      <w:pPr>
        <w:pStyle w:val="Iauiue"/>
        <w:tabs>
          <w:tab w:val="left" w:pos="11199"/>
        </w:tabs>
        <w:jc w:val="both"/>
        <w:rPr>
          <w:color w:val="000000" w:themeColor="text1"/>
          <w:sz w:val="16"/>
          <w:szCs w:val="16"/>
        </w:rPr>
      </w:pPr>
    </w:p>
    <w:p w14:paraId="2B9AAB30"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26 мая 1943 в Канаде введены ограничения на торговлю мясом (4962).</w:t>
      </w:r>
    </w:p>
    <w:p w14:paraId="67A62AF3" w14:textId="77777777" w:rsidR="00531570" w:rsidRPr="00D03F3E" w:rsidRDefault="00531570" w:rsidP="00D03F3E">
      <w:pPr>
        <w:pStyle w:val="Iauiue"/>
        <w:tabs>
          <w:tab w:val="left" w:pos="11199"/>
        </w:tabs>
        <w:jc w:val="both"/>
        <w:rPr>
          <w:color w:val="000000" w:themeColor="text1"/>
          <w:sz w:val="16"/>
          <w:szCs w:val="16"/>
        </w:rPr>
      </w:pPr>
    </w:p>
    <w:p w14:paraId="6CCA964C"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32F4E2A3" w14:textId="77777777" w:rsidR="00531570" w:rsidRPr="00D03F3E" w:rsidRDefault="00531570" w:rsidP="00D03F3E">
      <w:pPr>
        <w:pStyle w:val="Iauiue"/>
        <w:jc w:val="both"/>
        <w:rPr>
          <w:iCs/>
          <w:color w:val="000000" w:themeColor="text1"/>
          <w:sz w:val="16"/>
          <w:szCs w:val="16"/>
        </w:rPr>
      </w:pPr>
    </w:p>
    <w:p w14:paraId="77A758F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27 мая 1943 И.В.С. получил письмо N 2645 (наверное от С.В.И. и А.И.Ш.):</w:t>
      </w:r>
    </w:p>
    <w:p w14:paraId="6A0CB5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"Завод 30 (Москва) в последнее время допустил в серийном производстве ухудшение самолетов Ил-2, вследствие чего произошло несколько случаев катастроф из-за разрушения деревянных крыльев.</w:t>
      </w:r>
    </w:p>
    <w:p w14:paraId="04A46AD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Представляем проект постановления ГКО с предложением отобрать знамя ГКО от завода и наложении взыскания на директора завода, что даст возможность резко улучшить работу завода 30 по повышению качества самолетов Ил-2.</w:t>
      </w:r>
    </w:p>
    <w:p w14:paraId="32A2FAB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Фирсов нанес резолюцию "Утверждено постановление ГКО без номера).</w:t>
      </w:r>
    </w:p>
    <w:p w14:paraId="3179250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Постановление "О качестве самолетов Ил-2, выпускаемых заводом 30":</w:t>
      </w:r>
    </w:p>
    <w:p w14:paraId="0F8F7D7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"ГКО отмечает, что завод 30 в серийном производстве ухудшил качество самолетов Ил-2 , вследствие чего произошло несколько случаев катастроф из-за разрушения крыльев, в связи с чем ГКО постановляет:</w:t>
      </w:r>
    </w:p>
    <w:p w14:paraId="0ECD80A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Отобрать от завода 30 знамя ГКО</w:t>
      </w:r>
    </w:p>
    <w:p w14:paraId="7CCE07A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Объявить строгий выговор директору завода 30 Шапиро за выпуск недоброкачественных самолетов Ил-2 и предупредить его, что если он немедленно не примет мер к улучшению качества выпускаемых самолетов Ил-2 - будет предан суду (1687,61).</w:t>
      </w:r>
    </w:p>
    <w:p w14:paraId="07092C60" w14:textId="77777777" w:rsidR="00531570" w:rsidRPr="00D03F3E" w:rsidRDefault="00531570" w:rsidP="00D03F3E">
      <w:pPr>
        <w:pStyle w:val="Iauiue"/>
        <w:jc w:val="both"/>
        <w:rPr>
          <w:color w:val="000000" w:themeColor="text1"/>
          <w:sz w:val="16"/>
          <w:szCs w:val="16"/>
        </w:rPr>
      </w:pPr>
    </w:p>
    <w:p w14:paraId="05F81F18"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27 мая</w:t>
      </w:r>
      <w:r w:rsidRPr="00D03F3E">
        <w:rPr>
          <w:rFonts w:ascii="Times New Roman" w:hAnsi="Times New Roman"/>
          <w:color w:val="000000" w:themeColor="text1"/>
          <w:sz w:val="16"/>
          <w:szCs w:val="16"/>
        </w:rPr>
        <w:t xml:space="preserve"> в 1943 году </w:t>
      </w:r>
      <w:hyperlink r:id="rId170" w:tgtFrame="_blank" w:history="1">
        <w:r w:rsidRPr="00D03F3E">
          <w:rPr>
            <w:rFonts w:ascii="Times New Roman" w:hAnsi="Times New Roman"/>
            <w:color w:val="000000" w:themeColor="text1"/>
            <w:sz w:val="16"/>
            <w:szCs w:val="16"/>
          </w:rPr>
          <w:t xml:space="preserve">«Ил-2» </w:t>
        </w:r>
      </w:hyperlink>
      <w:r w:rsidRPr="00D03F3E">
        <w:rPr>
          <w:rFonts w:ascii="Times New Roman" w:hAnsi="Times New Roman"/>
          <w:color w:val="000000" w:themeColor="text1"/>
          <w:sz w:val="16"/>
          <w:szCs w:val="16"/>
        </w:rPr>
        <w:t>с «НС-37» головной серии (заводской № 302349) поступил на государственные испытания в НИИ ВВС КА. ГИ после выполнения 26 полетов с налетом 11 час. 35 мин. успешно завершились к 22 июня 1943 г. (ведущий летчик-испытатель А.И.Кабанов, ведущий инженер В.С.Холопов, летчики облета майор А.К.Долгов и инженер-майор А.В.Синельников). На снимке опытный двухместный «Ил-2» с 37-мм пушками «НС-37» на испытаниях, Москва, 1943 год (14904).</w:t>
      </w:r>
    </w:p>
    <w:p w14:paraId="1ACD8262" w14:textId="77777777" w:rsidR="00F3483A" w:rsidRPr="00D03F3E" w:rsidRDefault="00F3483A" w:rsidP="00D03F3E">
      <w:pPr>
        <w:spacing w:after="0" w:line="240" w:lineRule="auto"/>
        <w:jc w:val="both"/>
        <w:rPr>
          <w:rFonts w:ascii="Times New Roman" w:hAnsi="Times New Roman"/>
          <w:color w:val="000000" w:themeColor="text1"/>
          <w:sz w:val="16"/>
          <w:szCs w:val="16"/>
        </w:rPr>
      </w:pPr>
    </w:p>
    <w:p w14:paraId="590FB8F3"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 xml:space="preserve">27 мая 1943 один из пяти изготовленных в апреле 30-м авиазаводом Ил-2 с НС-37 головной серии (зав. № 302349) поступил на государственные испытания в НИИ ВВС КА. Последние после выполнения 26 полетов с налетом 11 час. 35 мин. успешно завершились к 22 июня 1943 г. (ведущий летчик-испытатель А.И.Кабанов, ведущий инженер В.С.Холопов, летчики облета майор А.К.Долгов и инженер-майор А.В. Синельников). </w:t>
      </w:r>
    </w:p>
    <w:p w14:paraId="4B3729D4"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 xml:space="preserve">Предъявленный на госиспытания штурмовик отличался от серийных Ил-2 только установкой двух пушек НС-37 с боекомплектом по 60 снарядов на ствол и отсутствием PC. Нормальная бомбовая нагрузка - 200 кг. </w:t>
      </w:r>
    </w:p>
    <w:p w14:paraId="1E4C84E8"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 xml:space="preserve">Ленточное питание пушек НС-37 позволило специалистам ОКБ С.В.Ильюшина разместить их непосредственно у нижней поверхности крыла с использованием конструктивно очень простого и быстроразъемного крепления. Пушки закрывались относительно небольшими обтекателями, каждый из которых состоял из двух легко открывающихся створок. Боекомплект к каждой пушке укладывался непосредственно в отсеки крыла. Вес одной пушки НС-37 с боекомплектом равнялся 256 кг. </w:t>
      </w:r>
    </w:p>
    <w:p w14:paraId="7893786B"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 xml:space="preserve">При полетном весе 6277 кг максимальная скорость штурмовика на высоте 1320 м составила 387 км/ч, у земли - 375 км/ч. Практический потолок нового самолета не превышал 5200 м, при этом время подъема на высоту 1000 м составляло 3 мин. Максимальная дальность полета штурмовика не превышала 685 км. </w:t>
      </w:r>
    </w:p>
    <w:p w14:paraId="4C7F8D4B"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 xml:space="preserve">По сравнению с серийными "Илами" вооруженными пушками ШВАК или ВЯ, Ил-2 с НС-37 и с бомбовым грузом в 200 кг стал более инертным, сложным на вираже и на боевом развороте. </w:t>
      </w:r>
    </w:p>
    <w:p w14:paraId="545C49CA"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Ухудшение пилотажных характеристик нового штурмовика, так же как и Ил-2 с пушками ШФК-37, было связано с большим разносом масс по размаху крыла и наличием обтекателей пушек, ухудшающих общую аэродинамику самолета. Во всем диапазоне центровок Ил-2 с НС-37 не имел продольной устойчивости, что существенно снижало прицельность стрельбы в воздухе (11470).</w:t>
      </w:r>
    </w:p>
    <w:p w14:paraId="7387B886" w14:textId="77777777" w:rsidR="00531570" w:rsidRPr="00D03F3E" w:rsidRDefault="00531570" w:rsidP="00D03F3E">
      <w:pPr>
        <w:pStyle w:val="afff1"/>
        <w:jc w:val="both"/>
        <w:rPr>
          <w:i w:val="0"/>
          <w:iCs w:val="0"/>
          <w:color w:val="000000" w:themeColor="text1"/>
          <w:spacing w:val="0"/>
          <w:kern w:val="0"/>
          <w:position w:val="0"/>
          <w:sz w:val="16"/>
          <w:szCs w:val="16"/>
        </w:rPr>
      </w:pPr>
    </w:p>
    <w:p w14:paraId="38BEED55"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27 мая 1943 в НИИ ВВС для производства государственных контрольных ис</w:t>
      </w:r>
      <w:r w:rsidRPr="00D03F3E">
        <w:rPr>
          <w:color w:val="000000" w:themeColor="text1"/>
          <w:sz w:val="16"/>
          <w:szCs w:val="16"/>
        </w:rPr>
        <w:softHyphen/>
        <w:t>пытаний поступил головной серийный Ил-2 зав. № 302349 с пушками 11П.</w:t>
      </w:r>
    </w:p>
    <w:p w14:paraId="0FA3AB13"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Сначала поступил Ил-2 зав. № 301396, котолрый перегнали в НИИ ВВС на аэродром Чкаловское для снятия летных данных и взлетно-посадочных характе</w:t>
      </w:r>
      <w:r w:rsidRPr="00D03F3E">
        <w:rPr>
          <w:color w:val="000000" w:themeColor="text1"/>
          <w:sz w:val="16"/>
          <w:szCs w:val="16"/>
        </w:rPr>
        <w:softHyphen/>
        <w:t>ристик.</w:t>
      </w:r>
    </w:p>
    <w:p w14:paraId="14E6BF89"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При первых же полетах на нем был «обнаружен ряд опасных для полетов дефектов: растрескива</w:t>
      </w:r>
      <w:r w:rsidRPr="00D03F3E">
        <w:rPr>
          <w:color w:val="000000" w:themeColor="text1"/>
          <w:sz w:val="16"/>
          <w:szCs w:val="16"/>
        </w:rPr>
        <w:softHyphen/>
        <w:t xml:space="preserve">ние обшивки крыла, раздутие заднего бензобака и заклинение тяги руля высоты, недостаточное давление в пневмосистеме щитков и невыпуск их». По этим причинам испытания были прекращены. Самолет отправили на завод № 30 и Ил-2 зав. № 302349 поступил взамен этого самолета </w:t>
      </w:r>
    </w:p>
    <w:p w14:paraId="734EB71E"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Учитывая отрицательное заключение НИИ АВ ВВС по результатам полигонных испытаний Ил-2 с 11П, испытания Ил-2 зав. № 302349 решили про</w:t>
      </w:r>
      <w:r w:rsidRPr="00D03F3E">
        <w:rPr>
          <w:color w:val="000000" w:themeColor="text1"/>
          <w:sz w:val="16"/>
          <w:szCs w:val="16"/>
        </w:rPr>
        <w:softHyphen/>
        <w:t>вести в полном объеме: помимо определения летных данных, испытать пушечное вооружение стрельбой на земле и в воздухе.</w:t>
      </w:r>
    </w:p>
    <w:p w14:paraId="2DD3FDA0"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Ведущим инженером по испытаниям был назна</w:t>
      </w:r>
      <w:r w:rsidRPr="00D03F3E">
        <w:rPr>
          <w:color w:val="000000" w:themeColor="text1"/>
          <w:sz w:val="16"/>
          <w:szCs w:val="16"/>
        </w:rPr>
        <w:softHyphen/>
        <w:t>чен инженер-майор В. С. Холопов, ведущим инже</w:t>
      </w:r>
      <w:r w:rsidRPr="00D03F3E">
        <w:rPr>
          <w:color w:val="000000" w:themeColor="text1"/>
          <w:sz w:val="16"/>
          <w:szCs w:val="16"/>
        </w:rPr>
        <w:softHyphen/>
        <w:t>нером по вооружению — инженер-майор А. Г. Аро</w:t>
      </w:r>
      <w:r w:rsidRPr="00D03F3E">
        <w:rPr>
          <w:color w:val="000000" w:themeColor="text1"/>
          <w:sz w:val="16"/>
          <w:szCs w:val="16"/>
        </w:rPr>
        <w:softHyphen/>
        <w:t>нов, ведущим летчиком — летчик-испытатель полковник А. И. Кабанов. Самолет облетали летчи</w:t>
      </w:r>
      <w:r w:rsidRPr="00D03F3E">
        <w:rPr>
          <w:color w:val="000000" w:themeColor="text1"/>
          <w:sz w:val="16"/>
          <w:szCs w:val="16"/>
        </w:rPr>
        <w:softHyphen/>
        <w:t>ки-испытатели майор А. К. Долгов и инженер-майор А. В. Синельников.</w:t>
      </w:r>
    </w:p>
    <w:p w14:paraId="38B5A331"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Самолет был построен в мае 1943 г. и почти не отличался от серийных самолетов завода № 30, за исключением того, что вместо пушек ШВАК в кры</w:t>
      </w:r>
      <w:r w:rsidRPr="00D03F3E">
        <w:rPr>
          <w:color w:val="000000" w:themeColor="text1"/>
          <w:sz w:val="16"/>
          <w:szCs w:val="16"/>
        </w:rPr>
        <w:softHyphen/>
        <w:t>ле были установлены пушки 11П в обтекателях под крылом. Снаряды к 37-мм пушкам укладывались непосредственно в отсеки крыла вместо съемных патронных ящиков, как это было сделано на Ил-2 с пушками ШВАК. Кроме этого, были сняты 4 ракет</w:t>
      </w:r>
      <w:r w:rsidRPr="00D03F3E">
        <w:rPr>
          <w:color w:val="000000" w:themeColor="text1"/>
          <w:sz w:val="16"/>
          <w:szCs w:val="16"/>
        </w:rPr>
        <w:softHyphen/>
        <w:t>ных орудия РО-82, а также предохранительные ци</w:t>
      </w:r>
      <w:r w:rsidRPr="00D03F3E">
        <w:rPr>
          <w:color w:val="000000" w:themeColor="text1"/>
          <w:sz w:val="16"/>
          <w:szCs w:val="16"/>
        </w:rPr>
        <w:softHyphen/>
        <w:t>линдры пневмоперезарядки пушек ШВАК. Боеком</w:t>
      </w:r>
      <w:r w:rsidRPr="00D03F3E">
        <w:rPr>
          <w:color w:val="000000" w:themeColor="text1"/>
          <w:sz w:val="16"/>
          <w:szCs w:val="16"/>
        </w:rPr>
        <w:softHyphen/>
        <w:t>плект к пушкам 11П включал 120 снарядов.</w:t>
      </w:r>
    </w:p>
    <w:p w14:paraId="2B424DE4"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следует из документов, после снятия летных данных и взлетно-посадочных характеристик (все</w:t>
      </w:r>
      <w:r w:rsidRPr="00D03F3E">
        <w:rPr>
          <w:color w:val="000000" w:themeColor="text1"/>
          <w:sz w:val="16"/>
          <w:szCs w:val="16"/>
        </w:rPr>
        <w:softHyphen/>
        <w:t>го 7 полетов) и выполнения 7 полетов на стрельбу в воздухе испытания этого самолета были «прекра</w:t>
      </w:r>
      <w:r w:rsidRPr="00D03F3E">
        <w:rPr>
          <w:color w:val="000000" w:themeColor="text1"/>
          <w:sz w:val="16"/>
          <w:szCs w:val="16"/>
        </w:rPr>
        <w:softHyphen/>
        <w:t>щены по причине неотработанности питания пу</w:t>
      </w:r>
      <w:r w:rsidRPr="00D03F3E">
        <w:rPr>
          <w:color w:val="000000" w:themeColor="text1"/>
          <w:sz w:val="16"/>
          <w:szCs w:val="16"/>
        </w:rPr>
        <w:softHyphen/>
        <w:t>шек калибра 37 мм».</w:t>
      </w:r>
    </w:p>
    <w:p w14:paraId="29B2FB6C"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Оказалось, что «конструкция горловины патрон</w:t>
      </w:r>
      <w:r w:rsidRPr="00D03F3E">
        <w:rPr>
          <w:color w:val="000000" w:themeColor="text1"/>
          <w:sz w:val="16"/>
          <w:szCs w:val="16"/>
        </w:rPr>
        <w:softHyphen/>
        <w:t>ного рукава создает задержки в стрельбе по причи</w:t>
      </w:r>
      <w:r w:rsidRPr="00D03F3E">
        <w:rPr>
          <w:color w:val="000000" w:themeColor="text1"/>
          <w:sz w:val="16"/>
          <w:szCs w:val="16"/>
        </w:rPr>
        <w:softHyphen/>
        <w:t>не заклинения патронной ленты в горловине». При этом все попытки изменить способ укладки патрон</w:t>
      </w:r>
      <w:r w:rsidRPr="00D03F3E">
        <w:rPr>
          <w:color w:val="000000" w:themeColor="text1"/>
          <w:sz w:val="16"/>
          <w:szCs w:val="16"/>
        </w:rPr>
        <w:softHyphen/>
        <w:t>ной ленты в патронном ящике к положительным результатам не привели.</w:t>
      </w:r>
    </w:p>
    <w:p w14:paraId="52641EAC"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Кроме этого, «при движении звена по звену происходит сцепление передними съемниками звена верхнего ряда патронной ленты с нижним». По этой причине «патронная лента заклинивается и прекращается подача патронов в пушку».</w:t>
      </w:r>
    </w:p>
    <w:p w14:paraId="65F98E6A"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Поверхность патронных ящиков была «выпол</w:t>
      </w:r>
      <w:r w:rsidRPr="00D03F3E">
        <w:rPr>
          <w:color w:val="000000" w:themeColor="text1"/>
          <w:sz w:val="16"/>
          <w:szCs w:val="16"/>
        </w:rPr>
        <w:softHyphen/>
        <w:t>нена чрезвычайно грубо». Снаряды при движении ленты во время стрельбы задевали за выступаю</w:t>
      </w:r>
      <w:r w:rsidRPr="00D03F3E">
        <w:rPr>
          <w:color w:val="000000" w:themeColor="text1"/>
          <w:sz w:val="16"/>
          <w:szCs w:val="16"/>
        </w:rPr>
        <w:softHyphen/>
        <w:t>щие планки крепления горловины, шурупы и усту</w:t>
      </w:r>
      <w:r w:rsidRPr="00D03F3E">
        <w:rPr>
          <w:color w:val="000000" w:themeColor="text1"/>
          <w:sz w:val="16"/>
          <w:szCs w:val="16"/>
        </w:rPr>
        <w:softHyphen/>
        <w:t>пы при входе в саму горловину.</w:t>
      </w:r>
    </w:p>
    <w:p w14:paraId="31D961DC"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Звенья были низкого качества. Уже после одной набивки ленты перья звеньев ослаблялись настоль</w:t>
      </w:r>
      <w:r w:rsidRPr="00D03F3E">
        <w:rPr>
          <w:color w:val="000000" w:themeColor="text1"/>
          <w:sz w:val="16"/>
          <w:szCs w:val="16"/>
        </w:rPr>
        <w:softHyphen/>
        <w:t>ко, что при перемещении патронной ленты при стрельбе разгибались — происходило выпадание снарядов из ленты.</w:t>
      </w:r>
    </w:p>
    <w:p w14:paraId="7B8BF73B"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следствие этих дефектов, в 7 испытатель</w:t>
      </w:r>
      <w:r w:rsidRPr="00D03F3E">
        <w:rPr>
          <w:color w:val="000000" w:themeColor="text1"/>
          <w:sz w:val="16"/>
          <w:szCs w:val="16"/>
        </w:rPr>
        <w:softHyphen/>
        <w:t>ных полетах имели место 10 задержек в стрельбе пушек, в том числе 5 — заклинение ленты в горло</w:t>
      </w:r>
      <w:r w:rsidRPr="00D03F3E">
        <w:rPr>
          <w:color w:val="000000" w:themeColor="text1"/>
          <w:sz w:val="16"/>
          <w:szCs w:val="16"/>
        </w:rPr>
        <w:softHyphen/>
        <w:t>вине патронного рукава, 2 — зацепление звеньев съемниками и заклинение ленты между крышкой ящика и нижележащими снарядами, 3 — выпадение патрона и рассоединение ленты. Раздел програм</w:t>
      </w:r>
      <w:r w:rsidRPr="00D03F3E">
        <w:rPr>
          <w:color w:val="000000" w:themeColor="text1"/>
          <w:sz w:val="16"/>
          <w:szCs w:val="16"/>
        </w:rPr>
        <w:softHyphen/>
        <w:t>мы испытаний на отстрел всего оружия на земле и в воздухе остался невыполненным.</w:t>
      </w:r>
    </w:p>
    <w:p w14:paraId="4398891F"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Проверка самолетов Ил-2 с пушками 11П в 208-м и 637-м шап из состава 227-й шад, находящихся на доукомплектовании и переучивании на новой мат- части в 9-й запасной авиабригаде Резерва Главного командования, показали, что «установки пушек вы</w:t>
      </w:r>
      <w:r w:rsidRPr="00D03F3E">
        <w:rPr>
          <w:color w:val="000000" w:themeColor="text1"/>
          <w:sz w:val="16"/>
          <w:szCs w:val="16"/>
        </w:rPr>
        <w:softHyphen/>
        <w:t>полнены аналогично испытываемому самолету». То есть воевать на этих самолетах было нельзя. Сроки ввода в бой 227-й шад переносились на неопре</w:t>
      </w:r>
      <w:r w:rsidRPr="00D03F3E">
        <w:rPr>
          <w:color w:val="000000" w:themeColor="text1"/>
          <w:sz w:val="16"/>
          <w:szCs w:val="16"/>
        </w:rPr>
        <w:softHyphen/>
        <w:t>деленное время. Между тем на базе именно этой авиадивизии планировалось провести войсковые испытания самолетов Ил-2 с пушками 11 П. При активном содействии специалистов НИИ ВВС тех</w:t>
      </w:r>
      <w:r w:rsidRPr="00D03F3E">
        <w:rPr>
          <w:color w:val="000000" w:themeColor="text1"/>
          <w:sz w:val="16"/>
          <w:szCs w:val="16"/>
        </w:rPr>
        <w:softHyphen/>
        <w:t>нический состав 208-го и 667-го шап дивизии ос</w:t>
      </w:r>
      <w:r w:rsidRPr="00D03F3E">
        <w:rPr>
          <w:color w:val="000000" w:themeColor="text1"/>
          <w:sz w:val="16"/>
          <w:szCs w:val="16"/>
        </w:rPr>
        <w:softHyphen/>
        <w:t>ваивал эксплуатацию пушек 11П и самолетов Ил-2 с ними, а летный состав натаскивался для действий по бронетехнике. Более того, 667-й шап усиленно готовился для действий ночью. Для этого изучался боевой опыт использования Ил-2 в утренние и ве</w:t>
      </w:r>
      <w:r w:rsidRPr="00D03F3E">
        <w:rPr>
          <w:color w:val="000000" w:themeColor="text1"/>
          <w:sz w:val="16"/>
          <w:szCs w:val="16"/>
        </w:rPr>
        <w:softHyphen/>
        <w:t>черние сумерки, дорабатывалась материальная часть. Как минимум на 2 самолетах кабины были оборудованы ночным освещением и установлены пламегасители «для проверки их работы в боевых условиях».</w:t>
      </w:r>
    </w:p>
    <w:p w14:paraId="4DD13950"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Здесь следует учитывать, что советское коман</w:t>
      </w:r>
      <w:r w:rsidRPr="00D03F3E">
        <w:rPr>
          <w:color w:val="000000" w:themeColor="text1"/>
          <w:sz w:val="16"/>
          <w:szCs w:val="16"/>
        </w:rPr>
        <w:softHyphen/>
        <w:t>дование в это время готовилось к большим боям в районе Курского выступа, где противник рас</w:t>
      </w:r>
      <w:r w:rsidRPr="00D03F3E">
        <w:rPr>
          <w:color w:val="000000" w:themeColor="text1"/>
          <w:sz w:val="16"/>
          <w:szCs w:val="16"/>
        </w:rPr>
        <w:softHyphen/>
        <w:t>считывал массированно применить бронетехнику, в том числе и нового типа — «Тигр», «Пантера», «Фердинанд», с целью нанесения поражения вой</w:t>
      </w:r>
      <w:r w:rsidRPr="00D03F3E">
        <w:rPr>
          <w:color w:val="000000" w:themeColor="text1"/>
          <w:sz w:val="16"/>
          <w:szCs w:val="16"/>
        </w:rPr>
        <w:softHyphen/>
        <w:t>скам Центрального и Воронежского фронтов и вы</w:t>
      </w:r>
      <w:r w:rsidRPr="00D03F3E">
        <w:rPr>
          <w:color w:val="000000" w:themeColor="text1"/>
          <w:sz w:val="16"/>
          <w:szCs w:val="16"/>
        </w:rPr>
        <w:softHyphen/>
        <w:t>хода на оперативный простор в направлении на Москву. Поэтому вопросам отработки нового авиа</w:t>
      </w:r>
      <w:r w:rsidRPr="00D03F3E">
        <w:rPr>
          <w:color w:val="000000" w:themeColor="text1"/>
          <w:sz w:val="16"/>
          <w:szCs w:val="16"/>
        </w:rPr>
        <w:softHyphen/>
        <w:t>ционного противотанкового вооружения уделя</w:t>
      </w:r>
      <w:r w:rsidRPr="00D03F3E">
        <w:rPr>
          <w:color w:val="000000" w:themeColor="text1"/>
          <w:sz w:val="16"/>
          <w:szCs w:val="16"/>
        </w:rPr>
        <w:softHyphen/>
        <w:t>лось первостепенное внимание.</w:t>
      </w:r>
    </w:p>
    <w:p w14:paraId="6E907DBD" w14:textId="77777777" w:rsidR="00E86304" w:rsidRPr="00D03F3E" w:rsidRDefault="00E8630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этой связи в НИИ ВВС была срочно вызва</w:t>
      </w:r>
      <w:r w:rsidRPr="00D03F3E">
        <w:rPr>
          <w:rFonts w:ascii="Times New Roman" w:hAnsi="Times New Roman"/>
          <w:color w:val="000000" w:themeColor="text1"/>
          <w:sz w:val="16"/>
          <w:szCs w:val="16"/>
        </w:rPr>
        <w:softHyphen/>
        <w:t>на бригада опытного завода № 240 для доводки пушечных установок и рукавов боепитания, по</w:t>
      </w:r>
      <w:r w:rsidRPr="00D03F3E">
        <w:rPr>
          <w:rFonts w:ascii="Times New Roman" w:hAnsi="Times New Roman"/>
          <w:color w:val="000000" w:themeColor="text1"/>
          <w:sz w:val="16"/>
          <w:szCs w:val="16"/>
        </w:rPr>
        <w:softHyphen/>
        <w:t>сле чего предполагалось возобновить испытания самолета в соответствии с утвержденной про</w:t>
      </w:r>
      <w:r w:rsidRPr="00D03F3E">
        <w:rPr>
          <w:rFonts w:ascii="Times New Roman" w:hAnsi="Times New Roman"/>
          <w:color w:val="000000" w:themeColor="text1"/>
          <w:sz w:val="16"/>
          <w:szCs w:val="16"/>
        </w:rPr>
        <w:softHyphen/>
        <w:t>граммой.</w:t>
      </w:r>
    </w:p>
    <w:p w14:paraId="3834A709"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2 июня 1943 помощник на</w:t>
      </w:r>
      <w:r w:rsidRPr="00D03F3E">
        <w:rPr>
          <w:color w:val="000000" w:themeColor="text1"/>
          <w:sz w:val="16"/>
          <w:szCs w:val="16"/>
        </w:rPr>
        <w:softHyphen/>
        <w:t>чальника 1-го отдела НИИ ВВС ин</w:t>
      </w:r>
      <w:r w:rsidRPr="00D03F3E">
        <w:rPr>
          <w:color w:val="000000" w:themeColor="text1"/>
          <w:sz w:val="16"/>
          <w:szCs w:val="16"/>
        </w:rPr>
        <w:softHyphen/>
        <w:t>женер-капитан Бобровский внео</w:t>
      </w:r>
      <w:r w:rsidRPr="00D03F3E">
        <w:rPr>
          <w:color w:val="000000" w:themeColor="text1"/>
          <w:sz w:val="16"/>
          <w:szCs w:val="16"/>
        </w:rPr>
        <w:softHyphen/>
        <w:t>чередным донесением доложил начальнику 1-го отдела ГУ ИАС ВВС генерал-майору Гребневу об обнаруженных дефектах Ил-2 с 11П, а также о том, что «институ</w:t>
      </w:r>
      <w:r w:rsidRPr="00D03F3E">
        <w:rPr>
          <w:color w:val="000000" w:themeColor="text1"/>
          <w:sz w:val="16"/>
          <w:szCs w:val="16"/>
        </w:rPr>
        <w:softHyphen/>
        <w:t>том написано письмо Репину, Шаху- рину, Шиманову, Селезневу» с тре</w:t>
      </w:r>
      <w:r w:rsidRPr="00D03F3E">
        <w:rPr>
          <w:color w:val="000000" w:themeColor="text1"/>
          <w:sz w:val="16"/>
          <w:szCs w:val="16"/>
        </w:rPr>
        <w:softHyphen/>
        <w:t>бованием устранить выявленные недостатки вооружения в серии.</w:t>
      </w:r>
    </w:p>
    <w:p w14:paraId="56F8C2FC"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После согласования позиций по этому вопросу 11 июня за под</w:t>
      </w:r>
      <w:r w:rsidRPr="00D03F3E">
        <w:rPr>
          <w:color w:val="000000" w:themeColor="text1"/>
          <w:sz w:val="16"/>
          <w:szCs w:val="16"/>
        </w:rPr>
        <w:softHyphen/>
        <w:t>писью начальника НИИ ВВС гене</w:t>
      </w:r>
      <w:r w:rsidRPr="00D03F3E">
        <w:rPr>
          <w:color w:val="000000" w:themeColor="text1"/>
          <w:sz w:val="16"/>
          <w:szCs w:val="16"/>
        </w:rPr>
        <w:softHyphen/>
        <w:t>рал-лейтенанта Лосюкова и началь</w:t>
      </w:r>
      <w:r w:rsidRPr="00D03F3E">
        <w:rPr>
          <w:color w:val="000000" w:themeColor="text1"/>
          <w:sz w:val="16"/>
          <w:szCs w:val="16"/>
        </w:rPr>
        <w:softHyphen/>
        <w:t>ника 3-го отдела института инже</w:t>
      </w:r>
      <w:r w:rsidRPr="00D03F3E">
        <w:rPr>
          <w:color w:val="000000" w:themeColor="text1"/>
          <w:sz w:val="16"/>
          <w:szCs w:val="16"/>
        </w:rPr>
        <w:softHyphen/>
        <w:t>нер-полковника Сафронова ушло письмо «Главному инженеру ВВС КА генерал-полковнику ИАС тов. Репину, в ЦК ВКП(б) генерал-лей</w:t>
      </w:r>
      <w:r w:rsidRPr="00D03F3E">
        <w:rPr>
          <w:color w:val="000000" w:themeColor="text1"/>
          <w:sz w:val="16"/>
          <w:szCs w:val="16"/>
        </w:rPr>
        <w:softHyphen/>
        <w:t>тенанту тов. Шиманову, народному комиссару авиационной промыш</w:t>
      </w:r>
      <w:r w:rsidRPr="00D03F3E">
        <w:rPr>
          <w:color w:val="000000" w:themeColor="text1"/>
          <w:sz w:val="16"/>
          <w:szCs w:val="16"/>
        </w:rPr>
        <w:softHyphen/>
        <w:t>ленности генерал-лейтенанту тов. Шахурину, народному комиссару вооружения Союза ССР тов. Усти</w:t>
      </w:r>
      <w:r w:rsidRPr="00D03F3E">
        <w:rPr>
          <w:color w:val="000000" w:themeColor="text1"/>
          <w:sz w:val="16"/>
          <w:szCs w:val="16"/>
        </w:rPr>
        <w:softHyphen/>
        <w:t>нову, начальнику ГУЗ ВВС КА ге</w:t>
      </w:r>
      <w:r w:rsidRPr="00D03F3E">
        <w:rPr>
          <w:color w:val="000000" w:themeColor="text1"/>
          <w:sz w:val="16"/>
          <w:szCs w:val="16"/>
        </w:rPr>
        <w:softHyphen/>
        <w:t>нерал-лейтенанту тов. Селезневу, главному конструктору самолета генерал-майо</w:t>
      </w:r>
      <w:r w:rsidRPr="00D03F3E">
        <w:rPr>
          <w:color w:val="000000" w:themeColor="text1"/>
          <w:sz w:val="16"/>
          <w:szCs w:val="16"/>
        </w:rPr>
        <w:softHyphen/>
        <w:t>ру тов. Ильюшину». В нем обобщались основные результаты испытаний вооружения Ил-2 с 11П и предлагалось принять срочные меры «к устра</w:t>
      </w:r>
      <w:r w:rsidRPr="00D03F3E">
        <w:rPr>
          <w:color w:val="000000" w:themeColor="text1"/>
          <w:sz w:val="16"/>
          <w:szCs w:val="16"/>
        </w:rPr>
        <w:softHyphen/>
        <w:t>нению указанных недостатков как в производстве, так и в частях, имеющих самолеты Ил-2 с 37-мм пушками ОКБ-16».</w:t>
      </w:r>
    </w:p>
    <w:p w14:paraId="205D18A9"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Уже через три дня главный инженер ОКБ-16 инженер-полковник Юшин и «конструктор 37-мм пушки ОКБ-16» Нудельман направили главному инженеру ВВС генерал-лейтенанту Репину письмо, в котором указывали, что «проведенные в НИИ АВ ВВС и НИИ ВВС в течение месяца отстрелы са</w:t>
      </w:r>
      <w:r w:rsidRPr="00D03F3E">
        <w:rPr>
          <w:color w:val="000000" w:themeColor="text1"/>
          <w:sz w:val="16"/>
          <w:szCs w:val="16"/>
        </w:rPr>
        <w:softHyphen/>
        <w:t>молетов Ил-2 с 37-мм пушками ОКБ-16 показали срочную необходимость конструктивных измене</w:t>
      </w:r>
      <w:r w:rsidRPr="00D03F3E">
        <w:rPr>
          <w:color w:val="000000" w:themeColor="text1"/>
          <w:sz w:val="16"/>
          <w:szCs w:val="16"/>
        </w:rPr>
        <w:softHyphen/>
        <w:t>ний рукавов питания. Установленные на Ил-2, пе</w:t>
      </w:r>
      <w:r w:rsidRPr="00D03F3E">
        <w:rPr>
          <w:color w:val="000000" w:themeColor="text1"/>
          <w:sz w:val="16"/>
          <w:szCs w:val="16"/>
        </w:rPr>
        <w:softHyphen/>
        <w:t>реданные в 208-й и 637-й шап, рукава питания не обеспечивают надежной работы автоматики пуш</w:t>
      </w:r>
      <w:r w:rsidRPr="00D03F3E">
        <w:rPr>
          <w:color w:val="000000" w:themeColor="text1"/>
          <w:sz w:val="16"/>
          <w:szCs w:val="16"/>
        </w:rPr>
        <w:softHyphen/>
        <w:t>ки. Перед заводом № 30 нами неоднократно ста</w:t>
      </w:r>
      <w:r w:rsidRPr="00D03F3E">
        <w:rPr>
          <w:color w:val="000000" w:themeColor="text1"/>
          <w:sz w:val="16"/>
          <w:szCs w:val="16"/>
        </w:rPr>
        <w:softHyphen/>
        <w:t>вился вопрос о необходимости переделки рукавов питания /.../».</w:t>
      </w:r>
    </w:p>
    <w:p w14:paraId="2E87E071"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связи с тем, что «главный конструктор Ил-2 т. Ильюшин на днях принял решение о конструк</w:t>
      </w:r>
      <w:r w:rsidRPr="00D03F3E">
        <w:rPr>
          <w:color w:val="000000" w:themeColor="text1"/>
          <w:sz w:val="16"/>
          <w:szCs w:val="16"/>
        </w:rPr>
        <w:softHyphen/>
        <w:t>тивной переделке рукавов питания пушек», Юшин и Нудельман просили Репина в случае положитель</w:t>
      </w:r>
      <w:r w:rsidRPr="00D03F3E">
        <w:rPr>
          <w:color w:val="000000" w:themeColor="text1"/>
          <w:sz w:val="16"/>
          <w:szCs w:val="16"/>
        </w:rPr>
        <w:softHyphen/>
        <w:t>ных результатов испытаний дать указания «о за</w:t>
      </w:r>
      <w:r w:rsidRPr="00D03F3E">
        <w:rPr>
          <w:color w:val="000000" w:themeColor="text1"/>
          <w:sz w:val="16"/>
          <w:szCs w:val="16"/>
        </w:rPr>
        <w:softHyphen/>
        <w:t>мене рукавов питания прежней конструкции на новые в указанных полках».</w:t>
      </w:r>
    </w:p>
    <w:p w14:paraId="2DBA08BF"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результатам первого этапа государственных испытаний был составлен акт от 22 июня 1943 г., который был утвержден главным инженером ВВС генералом А. К. Репиным 8 июля с замечанием: «По постановлению ГКО № 3144 Ил-2 с пушками 37 мм ОКБ-15 должен иметь боекомплект 100 патронов и 100 кг бомб. При такой нагрузке и надо было ис</w:t>
      </w:r>
      <w:r w:rsidRPr="00D03F3E">
        <w:rPr>
          <w:color w:val="000000" w:themeColor="text1"/>
          <w:sz w:val="16"/>
          <w:szCs w:val="16"/>
        </w:rPr>
        <w:softHyphen/>
        <w:t>пытывать».</w:t>
      </w:r>
    </w:p>
    <w:p w14:paraId="54EE5BFB"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доводки пушечного вооружения на Ил-2 зав. № 302349 был изменен профиль горловины патронного рукава с добавлением к двум направляю</w:t>
      </w:r>
      <w:r w:rsidRPr="00D03F3E">
        <w:rPr>
          <w:color w:val="000000" w:themeColor="text1"/>
          <w:sz w:val="16"/>
          <w:szCs w:val="16"/>
        </w:rPr>
        <w:softHyphen/>
        <w:t>щим роликам еще двух таких же роликов, а также устранены производственные дефекты патронных ящиков.</w:t>
      </w:r>
    </w:p>
    <w:p w14:paraId="574B88CB"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После доработок было выполнено 7 полетов со стрельбой в воздухе на режимах горизонтального полета и кабрирования, а также с планирования и пикирования до угла 30° по наземным мишеням. Расход снарядов составил 739 снарядов.</w:t>
      </w:r>
    </w:p>
    <w:p w14:paraId="07CBC112"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Отстрел пушек 11П производился с целью вы</w:t>
      </w:r>
      <w:r w:rsidRPr="00D03F3E">
        <w:rPr>
          <w:color w:val="000000" w:themeColor="text1"/>
          <w:sz w:val="16"/>
          <w:szCs w:val="16"/>
        </w:rPr>
        <w:softHyphen/>
        <w:t>явления особенностей поведения самолета Ил-2 при стрельбе, определения удобства прицеливания, возможности пораже</w:t>
      </w:r>
      <w:r w:rsidRPr="00D03F3E">
        <w:rPr>
          <w:color w:val="000000" w:themeColor="text1"/>
          <w:sz w:val="16"/>
          <w:szCs w:val="16"/>
        </w:rPr>
        <w:softHyphen/>
        <w:t>ния точечных целей. Пушки пристре</w:t>
      </w:r>
      <w:r w:rsidRPr="00D03F3E">
        <w:rPr>
          <w:color w:val="000000" w:themeColor="text1"/>
          <w:sz w:val="16"/>
          <w:szCs w:val="16"/>
        </w:rPr>
        <w:softHyphen/>
        <w:t>ливались на дистанцию 800 м.</w:t>
      </w:r>
    </w:p>
    <w:p w14:paraId="2EBA838A"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стрельбах выяснилось, что правая пушечная установка (пушка зав. № АГ-191) работала удовлетво</w:t>
      </w:r>
      <w:r w:rsidRPr="00D03F3E">
        <w:rPr>
          <w:color w:val="000000" w:themeColor="text1"/>
          <w:sz w:val="16"/>
          <w:szCs w:val="16"/>
        </w:rPr>
        <w:softHyphen/>
        <w:t>рительно, а в левой установке (пушка зав. № АГ-242) «остались неустраненными выпадения патронов из лен</w:t>
      </w:r>
      <w:r w:rsidRPr="00D03F3E">
        <w:rPr>
          <w:color w:val="000000" w:themeColor="text1"/>
          <w:sz w:val="16"/>
          <w:szCs w:val="16"/>
        </w:rPr>
        <w:softHyphen/>
        <w:t>ты при расстреле последних 4—15 патронов боекомплекта, приводя</w:t>
      </w:r>
      <w:r w:rsidRPr="00D03F3E">
        <w:rPr>
          <w:color w:val="000000" w:themeColor="text1"/>
          <w:sz w:val="16"/>
          <w:szCs w:val="16"/>
        </w:rPr>
        <w:softHyphen/>
        <w:t>щие к рассоединению ленты» (всего 4 случая).</w:t>
      </w:r>
    </w:p>
    <w:p w14:paraId="44552138"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то же время сами пушки, уста</w:t>
      </w:r>
      <w:r w:rsidRPr="00D03F3E">
        <w:rPr>
          <w:color w:val="000000" w:themeColor="text1"/>
          <w:sz w:val="16"/>
          <w:szCs w:val="16"/>
        </w:rPr>
        <w:softHyphen/>
        <w:t>новленные на самолете, работали хорошо. За все время испытаний по вине пушек имела место всего одна задержка — «неотброс затвора».</w:t>
      </w:r>
    </w:p>
    <w:p w14:paraId="10E84441"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Максимальная емкость патрон</w:t>
      </w:r>
      <w:r w:rsidRPr="00D03F3E">
        <w:rPr>
          <w:color w:val="000000" w:themeColor="text1"/>
          <w:sz w:val="16"/>
          <w:szCs w:val="16"/>
        </w:rPr>
        <w:softHyphen/>
        <w:t>ных ящиков пушек 11П равнялась 60 снарядам, при испытаниях в них загружали не более 50—55 снаря</w:t>
      </w:r>
      <w:r w:rsidRPr="00D03F3E">
        <w:rPr>
          <w:color w:val="000000" w:themeColor="text1"/>
          <w:sz w:val="16"/>
          <w:szCs w:val="16"/>
        </w:rPr>
        <w:softHyphen/>
        <w:t>дов. При этом наиболее благоприят</w:t>
      </w:r>
      <w:r w:rsidRPr="00D03F3E">
        <w:rPr>
          <w:color w:val="000000" w:themeColor="text1"/>
          <w:sz w:val="16"/>
          <w:szCs w:val="16"/>
        </w:rPr>
        <w:softHyphen/>
        <w:t>ной укладкой ленты, для исключения задевания звеньев съемниками, яв</w:t>
      </w:r>
      <w:r w:rsidRPr="00D03F3E">
        <w:rPr>
          <w:color w:val="000000" w:themeColor="text1"/>
          <w:sz w:val="16"/>
          <w:szCs w:val="16"/>
        </w:rPr>
        <w:softHyphen/>
        <w:t>ляется укладка нижнего горизонталь</w:t>
      </w:r>
      <w:r w:rsidRPr="00D03F3E">
        <w:rPr>
          <w:color w:val="000000" w:themeColor="text1"/>
          <w:sz w:val="16"/>
          <w:szCs w:val="16"/>
        </w:rPr>
        <w:softHyphen/>
        <w:t>ного ряда и последующей вертикаль</w:t>
      </w:r>
      <w:r w:rsidRPr="00D03F3E">
        <w:rPr>
          <w:color w:val="000000" w:themeColor="text1"/>
          <w:sz w:val="16"/>
          <w:szCs w:val="16"/>
        </w:rPr>
        <w:softHyphen/>
        <w:t>ной змейкой (укладка начинается от пушки).</w:t>
      </w:r>
    </w:p>
    <w:p w14:paraId="398F1C19"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Стрельба в горизонтальном по</w:t>
      </w:r>
      <w:r w:rsidRPr="00D03F3E">
        <w:rPr>
          <w:color w:val="000000" w:themeColor="text1"/>
          <w:sz w:val="16"/>
          <w:szCs w:val="16"/>
        </w:rPr>
        <w:softHyphen/>
        <w:t>лете и на кабрировании произво</w:t>
      </w:r>
      <w:r w:rsidRPr="00D03F3E">
        <w:rPr>
          <w:color w:val="000000" w:themeColor="text1"/>
          <w:sz w:val="16"/>
          <w:szCs w:val="16"/>
        </w:rPr>
        <w:softHyphen/>
        <w:t>дилась на скоростях 320, 300, 270, 250 и 230 км/ч по прибору одновре</w:t>
      </w:r>
      <w:r w:rsidRPr="00D03F3E">
        <w:rPr>
          <w:color w:val="000000" w:themeColor="text1"/>
          <w:sz w:val="16"/>
          <w:szCs w:val="16"/>
        </w:rPr>
        <w:softHyphen/>
        <w:t>менно из обеих пушек и раздельно из правой и левой пушек. При этом «при стрельбе из обеих пушек самолет испытыва</w:t>
      </w:r>
      <w:r w:rsidRPr="00D03F3E">
        <w:rPr>
          <w:color w:val="000000" w:themeColor="text1"/>
          <w:sz w:val="16"/>
          <w:szCs w:val="16"/>
        </w:rPr>
        <w:softHyphen/>
        <w:t>ет значительные толчки, причем чем меньше ско</w:t>
      </w:r>
      <w:r w:rsidRPr="00D03F3E">
        <w:rPr>
          <w:color w:val="000000" w:themeColor="text1"/>
          <w:sz w:val="16"/>
          <w:szCs w:val="16"/>
        </w:rPr>
        <w:softHyphen/>
        <w:t>рость, тем сильнее толчки». При стрельбе из одной пушки «самолет резко разворачивает в сторону стреляющей пушки, и если его не парировать, то разворот достигает 30° и более».</w:t>
      </w:r>
    </w:p>
    <w:p w14:paraId="4235C48C"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Стрельба по наземным мишеням проводи</w:t>
      </w:r>
      <w:r w:rsidRPr="00D03F3E">
        <w:rPr>
          <w:color w:val="000000" w:themeColor="text1"/>
          <w:sz w:val="16"/>
          <w:szCs w:val="16"/>
        </w:rPr>
        <w:softHyphen/>
        <w:t>лась с планирования и пикирования под углами 10° и 30°. Было установлено, что наиболее выгод</w:t>
      </w:r>
      <w:r w:rsidRPr="00D03F3E">
        <w:rPr>
          <w:color w:val="000000" w:themeColor="text1"/>
          <w:sz w:val="16"/>
          <w:szCs w:val="16"/>
        </w:rPr>
        <w:softHyphen/>
        <w:t>ным является угол 30°, «так как при меньших углах благодаря плохой продольной устойчивости само лет сильнее колеблется в продольной плоскости и прицеливание затруднено».</w:t>
      </w:r>
    </w:p>
    <w:p w14:paraId="23C2040E"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Выход на цель лучше производить с разворота под 45° к плоскости пикирования с высоты 500 м, «так как цель в этом случае все время находит</w:t>
      </w:r>
      <w:r w:rsidRPr="00D03F3E">
        <w:rPr>
          <w:color w:val="000000" w:themeColor="text1"/>
          <w:sz w:val="16"/>
          <w:szCs w:val="16"/>
        </w:rPr>
        <w:softHyphen/>
        <w:t>ся в поле зрения летчика и получаются меньшие ошибки в наводке по направлению». Ввод в пики</w:t>
      </w:r>
      <w:r w:rsidRPr="00D03F3E">
        <w:rPr>
          <w:color w:val="000000" w:themeColor="text1"/>
          <w:sz w:val="16"/>
          <w:szCs w:val="16"/>
        </w:rPr>
        <w:softHyphen/>
        <w:t>рование выполняется при скорости 260—270 км/ч по прибору. Дистанция стрельбы при указанных условиях получается порядка 900—400 м. Вывод из пикирования «необходимо было начинать с таким расчетом, чтобы при выходе на горизонтальном по</w:t>
      </w:r>
      <w:r w:rsidRPr="00D03F3E">
        <w:rPr>
          <w:color w:val="000000" w:themeColor="text1"/>
          <w:sz w:val="16"/>
          <w:szCs w:val="16"/>
        </w:rPr>
        <w:softHyphen/>
        <w:t>лете иметь высоту не менее 100 м». То есть с высо</w:t>
      </w:r>
      <w:r w:rsidRPr="00D03F3E">
        <w:rPr>
          <w:color w:val="000000" w:themeColor="text1"/>
          <w:sz w:val="16"/>
          <w:szCs w:val="16"/>
        </w:rPr>
        <w:softHyphen/>
        <w:t>ты 200 м при перегрузке на выводе 2,5—3 единицы.</w:t>
      </w:r>
    </w:p>
    <w:p w14:paraId="652254B7"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стрельбе из 2 пушек «чувствуется значи</w:t>
      </w:r>
      <w:r w:rsidRPr="00D03F3E">
        <w:rPr>
          <w:color w:val="000000" w:themeColor="text1"/>
          <w:sz w:val="16"/>
          <w:szCs w:val="16"/>
        </w:rPr>
        <w:softHyphen/>
        <w:t>тельная отдача назад». Вследствие плохой про</w:t>
      </w:r>
      <w:r w:rsidRPr="00D03F3E">
        <w:rPr>
          <w:color w:val="000000" w:themeColor="text1"/>
          <w:sz w:val="16"/>
          <w:szCs w:val="16"/>
        </w:rPr>
        <w:softHyphen/>
        <w:t>дольной устойчивости самолета прицеливание нарушается после первых же выстрелов и «получа</w:t>
      </w:r>
      <w:r w:rsidRPr="00D03F3E">
        <w:rPr>
          <w:color w:val="000000" w:themeColor="text1"/>
          <w:sz w:val="16"/>
          <w:szCs w:val="16"/>
        </w:rPr>
        <w:softHyphen/>
        <w:t>ется разброс снарядов, особенно при асинхронной работе пушек». Поэтому «прицельное поражение точечной цели (одиночный танк) возможно только из первой очереди, а возможно, даже и только из первых выстрелов». По этой причине стрельбу не</w:t>
      </w:r>
      <w:r w:rsidRPr="00D03F3E">
        <w:rPr>
          <w:color w:val="000000" w:themeColor="text1"/>
          <w:sz w:val="16"/>
          <w:szCs w:val="16"/>
        </w:rPr>
        <w:softHyphen/>
        <w:t>обходимо было вести только короткими очередями по 2—3 выстрела. Внесение поправок в прицелива</w:t>
      </w:r>
      <w:r w:rsidRPr="00D03F3E">
        <w:rPr>
          <w:color w:val="000000" w:themeColor="text1"/>
          <w:sz w:val="16"/>
          <w:szCs w:val="16"/>
        </w:rPr>
        <w:softHyphen/>
        <w:t>ние было возможным, но требует от летчиков опре</w:t>
      </w:r>
      <w:r w:rsidRPr="00D03F3E">
        <w:rPr>
          <w:color w:val="000000" w:themeColor="text1"/>
          <w:sz w:val="16"/>
          <w:szCs w:val="16"/>
        </w:rPr>
        <w:softHyphen/>
        <w:t>деленного навыка. При этом максимальная длина очереди ограничивалась 3—4 выстрелами. За один заход с высоты 500 м при соответствующей трени</w:t>
      </w:r>
      <w:r w:rsidRPr="00D03F3E">
        <w:rPr>
          <w:color w:val="000000" w:themeColor="text1"/>
          <w:sz w:val="16"/>
          <w:szCs w:val="16"/>
        </w:rPr>
        <w:softHyphen/>
        <w:t>ровке можно было выполнить 3—4 прицельные очереди.</w:t>
      </w:r>
    </w:p>
    <w:p w14:paraId="7118E331"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стрельбе из одной пушки самолет силь</w:t>
      </w:r>
      <w:r w:rsidRPr="00D03F3E">
        <w:rPr>
          <w:color w:val="000000" w:themeColor="text1"/>
          <w:sz w:val="16"/>
          <w:szCs w:val="16"/>
        </w:rPr>
        <w:softHyphen/>
        <w:t>но разворачивает в сторону стреляющей пушки, «стрельба становится неприцельной, и удержать самолет в заданном направлении невозможно». Даже при парировании разворота «в момент стрельбы разрывы ложатся в сторону стреляющей пушки». В этом случае требовалось «стрелять еще более короткой очередью с небольшим боковым упреждением».</w:t>
      </w:r>
    </w:p>
    <w:p w14:paraId="62D0D286"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Прицел ВВ-1 не отвечает требованиям прицель</w:t>
      </w:r>
      <w:r w:rsidRPr="00D03F3E">
        <w:rPr>
          <w:color w:val="000000" w:themeColor="text1"/>
          <w:sz w:val="16"/>
          <w:szCs w:val="16"/>
        </w:rPr>
        <w:softHyphen/>
        <w:t>ной стрельбы из пушек 11П по точечным целям с самолета Ил-2. Получалось так, что цель разме</w:t>
      </w:r>
      <w:r w:rsidRPr="00D03F3E">
        <w:rPr>
          <w:color w:val="000000" w:themeColor="text1"/>
          <w:sz w:val="16"/>
          <w:szCs w:val="16"/>
        </w:rPr>
        <w:softHyphen/>
        <w:t>рами 6x6 м с дистанции 900—800 м закрывается мушкой, а «совмещение перекрестия на козырь</w:t>
      </w:r>
      <w:r w:rsidRPr="00D03F3E">
        <w:rPr>
          <w:color w:val="000000" w:themeColor="text1"/>
          <w:sz w:val="16"/>
          <w:szCs w:val="16"/>
        </w:rPr>
        <w:softHyphen/>
        <w:t>ке с мушкой после первого выстрела нарушается и впоследствии трудно возобновляется». К тому же «наводка затрудняется также плохим качеством прозрачной брони (искажает)».</w:t>
      </w:r>
    </w:p>
    <w:p w14:paraId="0029451C"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Средний процент попаданий в круг диаметром 60 м составил 33,3% (диапазон — от 22,3 до 71,5%), а в цель размерами 6x6 м — всего 2,65% (диапа</w:t>
      </w:r>
      <w:r w:rsidRPr="00D03F3E">
        <w:rPr>
          <w:color w:val="000000" w:themeColor="text1"/>
          <w:sz w:val="16"/>
          <w:szCs w:val="16"/>
        </w:rPr>
        <w:softHyphen/>
        <w:t>зон — от 2,13 до 4,76%).</w:t>
      </w:r>
    </w:p>
    <w:p w14:paraId="4A4D0243"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 числу основных выводов по результатам ис</w:t>
      </w:r>
      <w:r w:rsidRPr="00D03F3E">
        <w:rPr>
          <w:color w:val="000000" w:themeColor="text1"/>
          <w:sz w:val="16"/>
          <w:szCs w:val="16"/>
        </w:rPr>
        <w:softHyphen/>
        <w:t>пытаний относили следующее. Во всем диапазоне эксплуатационных центровок двухместный самолет Ил-2 не имеет продольной устойчивости. С уста</w:t>
      </w:r>
      <w:r w:rsidRPr="00D03F3E">
        <w:rPr>
          <w:color w:val="000000" w:themeColor="text1"/>
          <w:sz w:val="16"/>
          <w:szCs w:val="16"/>
        </w:rPr>
        <w:softHyphen/>
        <w:t>новленными 37-мм пушками самолет инертен, на</w:t>
      </w:r>
      <w:r w:rsidRPr="00D03F3E">
        <w:rPr>
          <w:color w:val="000000" w:themeColor="text1"/>
          <w:sz w:val="16"/>
          <w:szCs w:val="16"/>
        </w:rPr>
        <w:softHyphen/>
        <w:t>грузки на рули большие. Самолет сложен в технике пилотирования на виражах, боевых разворотах, при полете на низких высотах. Отсутствие у само</w:t>
      </w:r>
      <w:r w:rsidRPr="00D03F3E">
        <w:rPr>
          <w:color w:val="000000" w:themeColor="text1"/>
          <w:sz w:val="16"/>
          <w:szCs w:val="16"/>
        </w:rPr>
        <w:softHyphen/>
        <w:t>лета продольной устойчивости «снижает качество стрельбы, особенно из пушек калибра 37 мм».</w:t>
      </w:r>
    </w:p>
    <w:p w14:paraId="075C9BF0"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то же время отмечалось, что самолет Ил-2 с пушками 11П «может быть применен для пораже</w:t>
      </w:r>
      <w:r w:rsidRPr="00D03F3E">
        <w:rPr>
          <w:color w:val="000000" w:themeColor="text1"/>
          <w:sz w:val="16"/>
          <w:szCs w:val="16"/>
        </w:rPr>
        <w:softHyphen/>
        <w:t>ния железнодорожных эшелонов, паровозов, тан</w:t>
      </w:r>
      <w:r w:rsidRPr="00D03F3E">
        <w:rPr>
          <w:color w:val="000000" w:themeColor="text1"/>
          <w:sz w:val="16"/>
          <w:szCs w:val="16"/>
        </w:rPr>
        <w:softHyphen/>
        <w:t>ков, автоколонн и других целей» при соответствую</w:t>
      </w:r>
      <w:r w:rsidRPr="00D03F3E">
        <w:rPr>
          <w:color w:val="000000" w:themeColor="text1"/>
          <w:sz w:val="16"/>
          <w:szCs w:val="16"/>
        </w:rPr>
        <w:softHyphen/>
        <w:t>щей тренировке летного состава и нормальной ра</w:t>
      </w:r>
      <w:r w:rsidRPr="00D03F3E">
        <w:rPr>
          <w:color w:val="000000" w:themeColor="text1"/>
          <w:sz w:val="16"/>
          <w:szCs w:val="16"/>
        </w:rPr>
        <w:softHyphen/>
        <w:t>боте самих пушек. При этом стрельбу необходимо производить только короткими очередями не бо</w:t>
      </w:r>
      <w:r w:rsidRPr="00D03F3E">
        <w:rPr>
          <w:color w:val="000000" w:themeColor="text1"/>
          <w:sz w:val="16"/>
          <w:szCs w:val="16"/>
        </w:rPr>
        <w:softHyphen/>
        <w:t>лее 3—4 выстрелов, «помня, что первые выстрелы наиболее прицельные».</w:t>
      </w:r>
    </w:p>
    <w:p w14:paraId="06D6EEA7"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Производственное исполнение Ил-2 зав. № 302349 неудовлетворительное. Большинство производственных дефектов, отмеченных в актах по испытаниям самолетов Ил-2 производства заво</w:t>
      </w:r>
      <w:r w:rsidRPr="00D03F3E">
        <w:rPr>
          <w:color w:val="000000" w:themeColor="text1"/>
          <w:sz w:val="16"/>
          <w:szCs w:val="16"/>
        </w:rPr>
        <w:softHyphen/>
        <w:t>да № 30 зав. № 2067, 1140 и 1122, «повторено и на испытанном самолете».</w:t>
      </w:r>
    </w:p>
    <w:p w14:paraId="7E8E3370"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Требовалось немедленно устранить заклинение патронной ленты в горловине патронного рукава, для чего «доработать патронные рукава по типу доводок, произведенных при испытаниях». Исклю</w:t>
      </w:r>
      <w:r w:rsidRPr="00D03F3E">
        <w:rPr>
          <w:color w:val="000000" w:themeColor="text1"/>
          <w:sz w:val="16"/>
          <w:szCs w:val="16"/>
        </w:rPr>
        <w:softHyphen/>
        <w:t>чить выпадение патронов из ленты. Устранить во внутренней части патронного ящика выступающие предметы — «профиля и шурупы», а саму внутрен</w:t>
      </w:r>
      <w:r w:rsidRPr="00D03F3E">
        <w:rPr>
          <w:color w:val="000000" w:themeColor="text1"/>
          <w:sz w:val="16"/>
          <w:szCs w:val="16"/>
        </w:rPr>
        <w:softHyphen/>
        <w:t>нюю поверхность стенок ящика сделать лучшего качества. Кроме этого, необходимо было удлинить троса спусков пушек, поскольку «тендеры разъема нельзя довернуть до конца и при каждом рассоеди</w:t>
      </w:r>
      <w:r w:rsidRPr="00D03F3E">
        <w:rPr>
          <w:color w:val="000000" w:themeColor="text1"/>
          <w:sz w:val="16"/>
          <w:szCs w:val="16"/>
        </w:rPr>
        <w:softHyphen/>
        <w:t>нении тендеров нарушается регулировка спуска». Предлагалось установить «предохранительные листы против звеньеотводов на правой плоскости и люке патронного отсека левого пулемета ШКАС», возвратные пружины рычагов спусков на заднем креплении пушек, контргайки на горизонтальных болтах переднего крепления пушек.</w:t>
      </w:r>
    </w:p>
    <w:p w14:paraId="3058476D"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следствие выявленных в ходе испытаний дефектов и недостатков, в заключении отчета НИИ ВВС констатировалось: «Головной серийный Ил-2 с 37-мм пушками (зав. № 302349 з-д 30) в предъяв</w:t>
      </w:r>
      <w:r w:rsidRPr="00D03F3E">
        <w:rPr>
          <w:color w:val="000000" w:themeColor="text1"/>
          <w:sz w:val="16"/>
          <w:szCs w:val="16"/>
        </w:rPr>
        <w:softHyphen/>
        <w:t>ленном виде испытаний не выдержал по причинам недоведенности системы питания пушек калибра 37 мм и неудовлетворительного производственно</w:t>
      </w:r>
      <w:r w:rsidRPr="00D03F3E">
        <w:rPr>
          <w:color w:val="000000" w:themeColor="text1"/>
          <w:sz w:val="16"/>
          <w:szCs w:val="16"/>
        </w:rPr>
        <w:softHyphen/>
        <w:t>го исполнения».</w:t>
      </w:r>
    </w:p>
    <w:p w14:paraId="45B8DE43"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Предлагалось «самолет Ил-2 с 37-мм пушками со всеми устраненными дефектами, отмеченными на самолетах зав. № 302067 и № 302349 и доведен</w:t>
      </w:r>
      <w:r w:rsidRPr="00D03F3E">
        <w:rPr>
          <w:color w:val="000000" w:themeColor="text1"/>
          <w:sz w:val="16"/>
          <w:szCs w:val="16"/>
        </w:rPr>
        <w:softHyphen/>
        <w:t>ной системой питания, предъявить в НИИ ВВС на повторные испытания».</w:t>
      </w:r>
    </w:p>
    <w:p w14:paraId="60339CFC" w14:textId="77777777" w:rsidR="00E86304" w:rsidRPr="00D03F3E" w:rsidRDefault="00E8630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Акт по результатам испытаний Ил-2 зав. № 302349 главный инженер ВВС генерал-полков</w:t>
      </w:r>
      <w:r w:rsidRPr="00D03F3E">
        <w:rPr>
          <w:color w:val="000000" w:themeColor="text1"/>
          <w:sz w:val="16"/>
          <w:szCs w:val="16"/>
        </w:rPr>
        <w:softHyphen/>
        <w:t>ник А. К. Репин утвердил 14 августа 1943 г. (17500).</w:t>
      </w:r>
    </w:p>
    <w:p w14:paraId="371A57EC" w14:textId="77777777" w:rsidR="00E86304" w:rsidRPr="00D03F3E" w:rsidRDefault="00E86304" w:rsidP="00D03F3E">
      <w:pPr>
        <w:spacing w:after="0" w:line="240" w:lineRule="auto"/>
        <w:jc w:val="both"/>
        <w:rPr>
          <w:rFonts w:ascii="Times New Roman" w:eastAsia="Times New Roman" w:hAnsi="Times New Roman"/>
          <w:color w:val="000000" w:themeColor="text1"/>
          <w:sz w:val="16"/>
          <w:szCs w:val="16"/>
          <w:lang w:eastAsia="ru-RU"/>
        </w:rPr>
      </w:pPr>
    </w:p>
    <w:p w14:paraId="08ABD38D" w14:textId="77777777" w:rsidR="0019152A" w:rsidRPr="00D03F3E"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27 мая 1943 один из пяти Ил-2 головной серии с пушками НС-37 поступил на государственные испытания в НИИ ВВС КА. Последние, после выполнения 26 полетов с налетом 11 часов 35 минут успешно завершились к 22 июня 1943 года.</w:t>
      </w:r>
    </w:p>
    <w:p w14:paraId="42DF8165" w14:textId="77777777" w:rsidR="0019152A" w:rsidRPr="00D03F3E"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Предъявленный на госиспытания штурмовик отличался от серийных Ил-2 только установкой двух пушек НС-37 с боекомплектом по 60 снарядов на ствол и отсутствием эрэсов. Нормальная бомбовая нагрузка – 200 кг.</w:t>
      </w:r>
    </w:p>
    <w:p w14:paraId="1373C9E0" w14:textId="77777777" w:rsidR="0019152A" w:rsidRPr="00D03F3E"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Ленточное питание пушек НС-37 позволило специалистам ОКБ С.В. Ильюшина разместить их непосредственно у нижней поверхности крыла с использованием конструктивно очень простого и быстроразъемного крепления. Пушки закрывались относительно небольшими обтекателями, каждый из которых состоял из двух легко открывающихся створок. Боекомплект к каждой пушке укладывался непосредственно в отсеки крыла. Вес одной пушки НС-37 с боекомплектом равнялся 256 кг.</w:t>
      </w:r>
    </w:p>
    <w:p w14:paraId="5C14431B" w14:textId="77777777" w:rsidR="0019152A" w:rsidRPr="00D03F3E"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По сравнению с серийными Илами, вооруженными пушками ШВАК  или ВЯ, Ил-2 с НС-37 и с бомбовым грузом в 200 кг стал значительно более инертным, сложным на вираже и на боевом развороте.</w:t>
      </w:r>
    </w:p>
    <w:p w14:paraId="105F4D82" w14:textId="77777777" w:rsidR="0019152A" w:rsidRPr="00D03F3E"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Ухудшение пилотажных характеристик нового штурмовика, так же как и Ил-2 с пушками ШФК-37, было связано с большим разносом масс по размаху крыла и наличием обтекателей пушек, ухудшающих общую аэродинамику самолета. Во всем диапазоне центровок Ил-2 с НС-37 не имел продольной устойчивости, что существенно снижало точность стрельбы в воздухе.</w:t>
      </w:r>
    </w:p>
    <w:p w14:paraId="332D40E1" w14:textId="77777777" w:rsidR="0019152A" w:rsidRPr="00D03F3E"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Последнее усугублялось сильной отдачей пушек при стрельбе из них, среднее значение которой составляла 2500 кг, а пиковые значения в конце отката порядка 5500 кг, а в момент удара затвора о затыльник она достигала аж 7500 кг. Все это приводило к большому рассеиванию снарядов при стрельбе в воздухе.</w:t>
      </w:r>
    </w:p>
    <w:p w14:paraId="6A1ECA9B" w14:textId="77777777" w:rsidR="0019152A" w:rsidRPr="00D03F3E"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Полигонные испытания, проведенные в НИИ АВ ВВС КА, показали, что стрельбу с самолета Ил-2 из пушек НС-37 необходимо вести только короткими очередями длиной не более двух-трех выстрелов, так как при стрельбе одновременно из двух пушек вследствие несинхронности их работы самолет испытывал значительные толчки, клевки и сбивался с линии прицеливания.</w:t>
      </w:r>
    </w:p>
    <w:p w14:paraId="3A4F9877" w14:textId="77777777" w:rsidR="0019152A" w:rsidRPr="00D03F3E"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Поправка в прицеливание в этом случае в принципе была возможна.</w:t>
      </w:r>
    </w:p>
    <w:p w14:paraId="1A98E63F" w14:textId="77777777" w:rsidR="0019152A" w:rsidRPr="00D03F3E"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При стрельбе из одной пушки попадание в цель было возможно только первым выстрелом, так как штурмовик разворачивался в сторону стреляющей пушки и поправка в прицеливание становилась практически невозможной.</w:t>
      </w:r>
    </w:p>
    <w:p w14:paraId="76C5D0A1" w14:textId="77777777" w:rsidR="0019152A" w:rsidRPr="00D03F3E"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При этом попадания в танки были получены лишь в 43% вылетов, а число попаданий к израсходованному боекомплекту составило 2,98%.</w:t>
      </w:r>
    </w:p>
    <w:p w14:paraId="1DE1B736" w14:textId="77777777" w:rsidR="0019152A" w:rsidRPr="00D03F3E"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Анализ результатов полигонных испытаний показывает, что поражение 37-мм снарядом БЗТ-37 из авиапушки НС-37 с самолета Ил-2 легких немецких танков, бронемашин и бронетранспортеров всех типов, а также САУ </w:t>
      </w:r>
      <w:r w:rsidRPr="00D03F3E">
        <w:rPr>
          <w:rStyle w:val="af0"/>
          <w:i w:val="0"/>
          <w:color w:val="000000" w:themeColor="text1"/>
          <w:sz w:val="16"/>
          <w:szCs w:val="16"/>
          <w:bdr w:val="none" w:sz="0" w:space="0" w:color="auto" w:frame="1"/>
        </w:rPr>
        <w:t>"Wespe"</w:t>
      </w:r>
      <w:r w:rsidRPr="00D03F3E">
        <w:rPr>
          <w:color w:val="000000" w:themeColor="text1"/>
          <w:sz w:val="16"/>
          <w:szCs w:val="16"/>
        </w:rPr>
        <w:t> , </w:t>
      </w:r>
      <w:r w:rsidRPr="00D03F3E">
        <w:rPr>
          <w:rStyle w:val="af0"/>
          <w:i w:val="0"/>
          <w:color w:val="000000" w:themeColor="text1"/>
          <w:sz w:val="16"/>
          <w:szCs w:val="16"/>
          <w:bdr w:val="none" w:sz="0" w:space="0" w:color="auto" w:frame="1"/>
        </w:rPr>
        <w:t>"Marder II"</w:t>
      </w:r>
      <w:r w:rsidRPr="00D03F3E">
        <w:rPr>
          <w:color w:val="000000" w:themeColor="text1"/>
          <w:sz w:val="16"/>
          <w:szCs w:val="16"/>
        </w:rPr>
        <w:t> и </w:t>
      </w:r>
      <w:r w:rsidRPr="00D03F3E">
        <w:rPr>
          <w:rStyle w:val="af0"/>
          <w:i w:val="0"/>
          <w:color w:val="000000" w:themeColor="text1"/>
          <w:sz w:val="16"/>
          <w:szCs w:val="16"/>
          <w:bdr w:val="none" w:sz="0" w:space="0" w:color="auto" w:frame="1"/>
        </w:rPr>
        <w:t>"Marder III"</w:t>
      </w:r>
      <w:r w:rsidRPr="00D03F3E">
        <w:rPr>
          <w:color w:val="000000" w:themeColor="text1"/>
          <w:sz w:val="16"/>
          <w:szCs w:val="16"/>
        </w:rPr>
        <w:t> обеспечивалось с дистанции до 500 метров с любого направления. Средние немецкие танки и САУ типа </w:t>
      </w:r>
      <w:r w:rsidRPr="00D03F3E">
        <w:rPr>
          <w:rStyle w:val="af0"/>
          <w:i w:val="0"/>
          <w:color w:val="000000" w:themeColor="text1"/>
          <w:sz w:val="16"/>
          <w:szCs w:val="16"/>
          <w:bdr w:val="none" w:sz="0" w:space="0" w:color="auto" w:frame="1"/>
        </w:rPr>
        <w:t>StuG 40</w:t>
      </w:r>
      <w:r w:rsidRPr="00D03F3E">
        <w:rPr>
          <w:color w:val="000000" w:themeColor="text1"/>
          <w:sz w:val="16"/>
          <w:szCs w:val="16"/>
        </w:rPr>
        <w:t>, </w:t>
      </w:r>
      <w:r w:rsidRPr="00D03F3E">
        <w:rPr>
          <w:rStyle w:val="af0"/>
          <w:i w:val="0"/>
          <w:color w:val="000000" w:themeColor="text1"/>
          <w:sz w:val="16"/>
          <w:szCs w:val="16"/>
          <w:bdr w:val="none" w:sz="0" w:space="0" w:color="auto" w:frame="1"/>
        </w:rPr>
        <w:t>Pz III Ausf L/M</w:t>
      </w:r>
      <w:r w:rsidRPr="00D03F3E">
        <w:rPr>
          <w:color w:val="000000" w:themeColor="text1"/>
          <w:sz w:val="16"/>
          <w:szCs w:val="16"/>
        </w:rPr>
        <w:t> и </w:t>
      </w:r>
      <w:r w:rsidRPr="00D03F3E">
        <w:rPr>
          <w:rStyle w:val="af0"/>
          <w:i w:val="0"/>
          <w:color w:val="000000" w:themeColor="text1"/>
          <w:sz w:val="16"/>
          <w:szCs w:val="16"/>
          <w:bdr w:val="none" w:sz="0" w:space="0" w:color="auto" w:frame="1"/>
        </w:rPr>
        <w:t>Pz. IV Ausf G/H</w:t>
      </w:r>
      <w:r w:rsidRPr="00D03F3E">
        <w:rPr>
          <w:color w:val="000000" w:themeColor="text1"/>
          <w:sz w:val="16"/>
          <w:szCs w:val="16"/>
        </w:rPr>
        <w:t>, а также появившиеся позже </w:t>
      </w:r>
      <w:r w:rsidRPr="00D03F3E">
        <w:rPr>
          <w:rStyle w:val="af0"/>
          <w:i w:val="0"/>
          <w:color w:val="000000" w:themeColor="text1"/>
          <w:sz w:val="16"/>
          <w:szCs w:val="16"/>
          <w:bdr w:val="none" w:sz="0" w:space="0" w:color="auto" w:frame="1"/>
        </w:rPr>
        <w:t>StuG IV</w:t>
      </w:r>
      <w:r w:rsidRPr="00D03F3E">
        <w:rPr>
          <w:color w:val="000000" w:themeColor="text1"/>
          <w:sz w:val="16"/>
          <w:szCs w:val="16"/>
        </w:rPr>
        <w:t> и </w:t>
      </w:r>
      <w:r w:rsidRPr="00D03F3E">
        <w:rPr>
          <w:rStyle w:val="af0"/>
          <w:i w:val="0"/>
          <w:color w:val="000000" w:themeColor="text1"/>
          <w:sz w:val="16"/>
          <w:szCs w:val="16"/>
          <w:bdr w:val="none" w:sz="0" w:space="0" w:color="auto" w:frame="1"/>
        </w:rPr>
        <w:t>Jgd Pz IV/70</w:t>
      </w:r>
      <w:r w:rsidRPr="00D03F3E">
        <w:rPr>
          <w:color w:val="000000" w:themeColor="text1"/>
          <w:sz w:val="16"/>
          <w:szCs w:val="16"/>
        </w:rPr>
        <w:t> с толщиной брони на бортах до 30 мм могли поражаться БЗТ-37 с дистанции до 500 м с планирования под углами 5-10 градусов с высоты 100 м. В этом случае атаку необходимо было производить сбоку или сзади, ведя стрельбу по борту или по задней части корпуса и башни танков.</w:t>
      </w:r>
    </w:p>
    <w:p w14:paraId="773E5CDE" w14:textId="77777777" w:rsidR="0019152A" w:rsidRPr="00D03F3E"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Попадания снарядов этой пушки в ролики и другие детали ходовой части танков всех типов производили существенные разрушения, выводящие последние из строя.</w:t>
      </w:r>
    </w:p>
    <w:p w14:paraId="2E7DB114" w14:textId="77777777" w:rsidR="0019152A" w:rsidRPr="00D03F3E"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В выводах отчета по Государственным испытаниям особо обращалось внимание на то, что летный состав, летающий на самолетах Ил-2, вооруженных пушками НС-37, должен пройти специальную подготовку в ведении прицельной стрельбы короткими очередями по малоразмерным целям. Тридцатому авиазаводу НКАП и ОКБ-16 НКВ рекомендовалось срочно установить на пушку дульный тормоз.</w:t>
      </w:r>
    </w:p>
    <w:p w14:paraId="26FF0CA2" w14:textId="77777777" w:rsidR="0019152A" w:rsidRPr="00D03F3E"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Кроме того, указывалось, что Ил-2 с НС-37 необходимо было испытывать с боекомплектом к пушкам по 50 снарядов и нормальной бомбовой нагрузкой в 100 кг, как было записано в Постановлении ГКО.</w:t>
      </w:r>
    </w:p>
    <w:p w14:paraId="21945774" w14:textId="77777777" w:rsidR="0019152A" w:rsidRPr="00D03F3E"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В дальнейшем все серийные Ил-2 с НС-37 выпускались именно в таком варианте вооружения. Летно-технические данные самолета несколько улучшились.</w:t>
      </w:r>
    </w:p>
    <w:p w14:paraId="52EBC43F" w14:textId="77777777" w:rsidR="0019152A" w:rsidRPr="00D03F3E"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Как видно, при установке пушек НС-37 на двухместный Ил-2 конструкторы столкнулись с теми же проблемами, что и при установке на одноместный Ил пушек ШФК-37 (19170).</w:t>
      </w:r>
    </w:p>
    <w:p w14:paraId="39D48D30" w14:textId="77777777" w:rsidR="0019152A" w:rsidRPr="00D03F3E"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p>
    <w:p w14:paraId="2A393E4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27 мая 1943 года командующий ВДВ генерал-майор Глазунов и чл. военсовета ВДВ генерал-майор Громов писали письмо N 280446с Шахурину и ЦК ВКП(б) Шиманову.</w:t>
      </w:r>
    </w:p>
    <w:p w14:paraId="711733C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Авиационно-планерными частями ВДВ в период март-май с.г. проведен ряд боевых операций ночью по высадке десанта и доставке вооружения партизанам в тыл противника с применением десантно-транспортных планеров А-7, Г-11 и КП-20, буксируемых за самолетами СБ и ИЛ-4.</w:t>
      </w:r>
    </w:p>
    <w:p w14:paraId="222B7C5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Эти операции показали, что существующие у нас типы планеров обеспечивают транспортировку людей и вооружения в тыл противника, при наличии там подготовленных посадочных площадок.</w:t>
      </w:r>
    </w:p>
    <w:p w14:paraId="794EF8D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Применение имеющихся планеров в качестве оружия обеспечивающего внезапность атаки наземных объектов противника воздушной пехотой; в местах неприспособленных для посадки самолетов крайне затруднительно из-за:</w:t>
      </w:r>
    </w:p>
    <w:p w14:paraId="65AD300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Больших посадочных скоростей (100-110 км/час) у существующих типов планеров,</w:t>
      </w:r>
    </w:p>
    <w:p w14:paraId="4017D01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Слабости шасси и отсутствия амортизации на посадочной лыже,</w:t>
      </w:r>
    </w:p>
    <w:p w14:paraId="6C97A70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Сложности расчета на посадку из-за отсутствия интерцепторов,</w:t>
      </w:r>
    </w:p>
    <w:p w14:paraId="10EF7DC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Недостаточной грузоподъемности и малой полезной отдачи - 60% при явно завышенных нормах прочности.</w:t>
      </w:r>
    </w:p>
    <w:p w14:paraId="4EB8103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Сложности управления в буксирном полете.</w:t>
      </w:r>
    </w:p>
    <w:p w14:paraId="06538D5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Планеры А-7, Г-11 и КЦ-20 были спроектированы в 1941 г. и основные их летно-тактические данные с этого времени остались без изменения в силу того, что конструкторские бюро работавшие над созданием этих планеров и их усовершенствованием были ликвидированы в первой половине 1942 года. В связи с этим конструктора вынуждены были прекратить работу по доводке и улучшению летных данных этих планеров.</w:t>
      </w:r>
    </w:p>
    <w:p w14:paraId="4E61F74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Создавшееся положение ведет к утрате накопленного конструкторами опыта и большими потерям в людях и материальной части из-за несовершенства отдельных качеств планеров.</w:t>
      </w:r>
    </w:p>
    <w:p w14:paraId="1F58533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связи с этим Военный Совет Воздушно-десантных Армий считает необходимым и просит Вас развернуть работу по усовершенствованию существующих и созданию новых типов десантных планеров, восстановив работу конструкторских бюро конструкторов Антонова, Грибовского, Колесникова, Цыбина.</w:t>
      </w:r>
    </w:p>
    <w:p w14:paraId="1A7DE29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Работу конструкторских бюро, доводку и постройку опытных планеров Военный Совет считает наиболее целесообразным провести на специальном опытном планерном заводе. На этом заводе может быть развернут аи необходимая экспериментальная работа по вопросам совершенствования планеров.</w:t>
      </w:r>
    </w:p>
    <w:p w14:paraId="6A6B754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Положительное решение этого вопроса обеспечит быструю разработку и дальнейшее усовершенствование нужных нам типов десантно-транспортных планеров и создаст прочную опытную базу для дальнейшего развития военного планеризма (1778,146).</w:t>
      </w:r>
    </w:p>
    <w:p w14:paraId="377E1EBF" w14:textId="77777777" w:rsidR="00531570" w:rsidRPr="00D03F3E" w:rsidRDefault="00531570" w:rsidP="00D03F3E">
      <w:pPr>
        <w:pStyle w:val="Iauiue"/>
        <w:jc w:val="both"/>
        <w:rPr>
          <w:color w:val="000000" w:themeColor="text1"/>
          <w:sz w:val="16"/>
          <w:szCs w:val="16"/>
        </w:rPr>
      </w:pPr>
    </w:p>
    <w:p w14:paraId="7C6E60F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27 мая 1943 вышел приказ НКАП и ГУ ВВС N 377с/07 "Об итогах технических конференций, проведенной в 1 ЗАБ по технической эксплуатации самолета Ил-2 и мотора АМ-38":</w:t>
      </w:r>
    </w:p>
    <w:p w14:paraId="318A22C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целях быстрейшего устранения дефектов самолетов Ил-2 с АМ-38 и дальнейшего улучшения качества самолетов Ил-2:</w:t>
      </w:r>
    </w:p>
    <w:p w14:paraId="1B64A6F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Директорам заводов 1, 18, 30 Третьякову, Белянскому, Шапиро немедленно устранить на самолете Ил-2 все производственные дефекты, указанные в приложении 1:</w:t>
      </w:r>
    </w:p>
    <w:p w14:paraId="7F667C4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Нач. 10 ГУ Тарасевичу обеспечить к 1 августа 1943 взаимозаменяемость основных агрегатов ( крыла и оперения) самолетов Ил-2, выпускаемых заводами 1, 18, 30</w:t>
      </w:r>
    </w:p>
    <w:p w14:paraId="19BA266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В целях упорядочения тех. документации по самолету Ил-2 впредь все тех. описания, инструкции и эксплуатации самолетов Ил-2 выпускать только после утверждения их ГК С.В.И., нач. 10 ГУ и Упр. инженерно- авиационной службы ВВС</w:t>
      </w:r>
    </w:p>
    <w:p w14:paraId="156108D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Директорам заводов 18 и 24 выпустить к 15 июля инструкцию по полевому ремонту самолетов Ил-2 и АМ-38Ф.</w:t>
      </w:r>
    </w:p>
    <w:p w14:paraId="469C6FB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Директору завода 18 Белянскому переиздать описание самолета Ил-2, части 1 и 2 к 1 августа 1943 (Репин, Дементьев) (1712,14).</w:t>
      </w:r>
    </w:p>
    <w:p w14:paraId="7A76193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Перечень</w:t>
      </w:r>
    </w:p>
    <w:p w14:paraId="1FB14D9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производственных дефектов самолетов Ил-2, выпускаемых заводами 1, 18 и 30</w:t>
      </w:r>
    </w:p>
    <w:p w14:paraId="6FFB273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Пропускает воздушная система в местах соединений из-за небрежности монтажа и плохого качества ниппельных соединений, а также через резьбу бригса</w:t>
      </w:r>
    </w:p>
    <w:p w14:paraId="111C8F7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Коробится деревянная обшивка крыла, срывается полотняное покрытие и неудовлетворительный проклей фанерной обшивки крыла</w:t>
      </w:r>
    </w:p>
    <w:p w14:paraId="0FB8DFD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Растрескиваются и появляются потемнения обшивки деревянных крыльев около крепления элеронов</w:t>
      </w:r>
    </w:p>
    <w:p w14:paraId="426EF3A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В деревянной части фюзеляжа улучшить консервацию в местах стыковки с бронекорпусом, а также в нижней части фюзеляжа</w:t>
      </w:r>
    </w:p>
    <w:p w14:paraId="3585ECE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течь воды из-под дюритовых соединений</w:t>
      </w:r>
    </w:p>
    <w:p w14:paraId="6DDE9D0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Бронекорпуса изготавливаются на заводах 207 и 125 с неудовлетворительной подгонкой листов. Имеются большие зазоры. Люки бронекорпусов подгоняются неаккуратно, небрежно. Замки бронелюков изготавливаются неудовлетворительно. Имеются случаи самопроизвольного открывания бронелюков, особенно переднего нижнего.</w:t>
      </w:r>
    </w:p>
    <w:p w14:paraId="103B157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 В эксплуатации появляются трещины на бензобаках в местах приварки штуцеров</w:t>
      </w:r>
    </w:p>
    <w:p w14:paraId="45B292A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 Отказывает редуктор высокого давления</w:t>
      </w:r>
    </w:p>
    <w:p w14:paraId="6EB0DB2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 Плохая заделка арматуры бронешлангах</w:t>
      </w:r>
    </w:p>
    <w:p w14:paraId="11D4096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 В самолетах из-за небрежности оставляется производственный мусор</w:t>
      </w:r>
    </w:p>
    <w:p w14:paraId="0E79DB7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Плохая подгонка лючков на крыле, центроплане и фюзеляже. В полете открываются</w:t>
      </w:r>
    </w:p>
    <w:p w14:paraId="73E4067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Замораживается из-за скопления влаги воздушная сеть запуска мотора</w:t>
      </w:r>
    </w:p>
    <w:p w14:paraId="0DD8041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 На бронестклах появляются пузырьки и оптические искажения</w:t>
      </w:r>
    </w:p>
    <w:p w14:paraId="332143D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 Разрушаются втулки колес</w:t>
      </w:r>
    </w:p>
    <w:p w14:paraId="1E33668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 Плохо монтируются рукава питания патронных ящиков</w:t>
      </w:r>
    </w:p>
    <w:p w14:paraId="34F0BBA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 Небрежно нанесены риски визира ВВ-1</w:t>
      </w:r>
    </w:p>
    <w:p w14:paraId="125AFBF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p w14:paraId="4781CCF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 В открытом положении в полете фонарь кабины л не держится и закрывается</w:t>
      </w:r>
    </w:p>
    <w:p w14:paraId="59A1C29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 Нет привязных ремней стрелка и т.п. до 29 (1712,142).</w:t>
      </w:r>
    </w:p>
    <w:p w14:paraId="2DB36CBB" w14:textId="77777777" w:rsidR="00531570" w:rsidRPr="00D03F3E" w:rsidRDefault="00531570" w:rsidP="00D03F3E">
      <w:pPr>
        <w:pStyle w:val="Iauiue"/>
        <w:jc w:val="both"/>
        <w:rPr>
          <w:color w:val="000000" w:themeColor="text1"/>
          <w:sz w:val="16"/>
          <w:szCs w:val="16"/>
        </w:rPr>
      </w:pPr>
    </w:p>
    <w:p w14:paraId="575F132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27 мая по 4 июня 1943 в НИИ ВВС проходили испытания подвесных бензобаков на Ил-2 с АМ-38Ф (1784,262).</w:t>
      </w:r>
    </w:p>
    <w:p w14:paraId="756EBB79" w14:textId="77777777" w:rsidR="00531570" w:rsidRPr="00D03F3E" w:rsidRDefault="00531570" w:rsidP="00D03F3E">
      <w:pPr>
        <w:pStyle w:val="Iauiue"/>
        <w:jc w:val="both"/>
        <w:rPr>
          <w:color w:val="000000" w:themeColor="text1"/>
          <w:sz w:val="16"/>
          <w:szCs w:val="16"/>
        </w:rPr>
      </w:pPr>
    </w:p>
    <w:p w14:paraId="341AF7E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27 мая 1943 года и.о. гл. конструктора Туполев писал письмо Сталину.</w:t>
      </w:r>
    </w:p>
    <w:p w14:paraId="09A56F4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результате работ, проведенных за последнее время, по самолету Ту-2 с 2М-82 получены следующие результаты:</w:t>
      </w:r>
    </w:p>
    <w:p w14:paraId="2AABA5A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максимальная скорость - 496 км/час</w:t>
      </w:r>
    </w:p>
    <w:p w14:paraId="15FED8D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максимальная скорость на высоте 1750 м - 537 км/час</w:t>
      </w:r>
    </w:p>
    <w:p w14:paraId="6CD1ED3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максимальная скорость на высоте 6100 м - 542 км/час</w:t>
      </w:r>
    </w:p>
    <w:p w14:paraId="4C868F3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Повышение максимальной скорости, против скорости опытного самолета, проходившего гос. испытания в 1942 г., составляет у земли - 36 км/час и на высоте - 12 км/час.</w:t>
      </w:r>
    </w:p>
    <w:p w14:paraId="6131971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Повышение летных данных Ту-2 достигнуто за счет улучшения аэродинамики и установки моторов М-82 с новыми серийными нагнетателями, улучшенными по высотности магнето и доведенным карбюратором с ручной регулировкой смеси.</w:t>
      </w:r>
    </w:p>
    <w:p w14:paraId="467DF9D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Остальные данные самолета, по ранее проведенным испытаниям, следующие:</w:t>
      </w:r>
    </w:p>
    <w:p w14:paraId="69E7691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Время подъема на высоту 5000 м - 10,2 мин</w:t>
      </w:r>
    </w:p>
    <w:p w14:paraId="6DB6FD4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Практический потолок - 9000 м</w:t>
      </w:r>
    </w:p>
    <w:p w14:paraId="201F84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Техническая дальность на 0,8 максимальной</w:t>
      </w:r>
    </w:p>
    <w:p w14:paraId="743A725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скорости на высоте 3000 м</w:t>
      </w:r>
    </w:p>
    <w:p w14:paraId="0141B7C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нормальная - 1000 км</w:t>
      </w:r>
    </w:p>
    <w:p w14:paraId="5133C8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максимальная - 2000 км</w:t>
      </w:r>
    </w:p>
    <w:p w14:paraId="4AA837F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Разбег - 450 м</w:t>
      </w:r>
    </w:p>
    <w:p w14:paraId="32783DC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Пробег - 545 м</w:t>
      </w:r>
    </w:p>
    <w:p w14:paraId="49E79BF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Полетный вес нормальный - 10500 кг</w:t>
      </w:r>
    </w:p>
    <w:p w14:paraId="555833C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Вооружение:</w:t>
      </w:r>
    </w:p>
    <w:p w14:paraId="33C7C86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вперед - 2 пушки калибра 20 мм с боезапасом 300 снарядов, 10 реактивных орудий калибра 132 мм;</w:t>
      </w:r>
    </w:p>
    <w:p w14:paraId="125F6F6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назад - 1 подвижный пулемет калибра 12,7 мм у штурмана с боезапасом 190 патронов,</w:t>
      </w:r>
    </w:p>
    <w:p w14:paraId="7241C2C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подвижный пулемет калибра 12,7 мм у стрелка-радиста с боезапасом 250 патронов,</w:t>
      </w:r>
    </w:p>
    <w:p w14:paraId="5FD9DF2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люковый пулемет калибра 12,7 мм у стрелка с боезапасом 200 патронов.</w:t>
      </w:r>
    </w:p>
    <w:p w14:paraId="4453927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Бомбовая нагрузка:</w:t>
      </w:r>
    </w:p>
    <w:p w14:paraId="5527E11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нормальная - 1000 кг</w:t>
      </w:r>
    </w:p>
    <w:p w14:paraId="75F3DA3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максимальная - 2000 кг</w:t>
      </w:r>
    </w:p>
    <w:p w14:paraId="27086C0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Указанное вооружение и высокие летные данные самолета позволяют использовать его в качестве:</w:t>
      </w:r>
    </w:p>
    <w:p w14:paraId="0924BA1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Дневного бомбардировщика - В этом варианте проведены войсковые испытания на Калининском фронте в сентябре-октябре 1942 г. и Юго-Западном фронтах в начале 1943 г. с положительной оценкой и заключением о необходимости ускорения обеспечения ВВС этими самолетами.</w:t>
      </w:r>
    </w:p>
    <w:p w14:paraId="61038F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Разведчика - Проводилась боевая работа самолета на Калининском и Западном фронтах в январе-феврале 1943 г. Получена положительная оценка и отмечены преимущества Ту-2 перед самолетами Пе-2 и Ил-4.</w:t>
      </w:r>
    </w:p>
    <w:p w14:paraId="609D1E0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Пикирующего бомбардировщика - Испытания проведены на Калининском фронте в октябре 1942 г. - январе 1943 г., с положительной оценкой пикирования со щитками и без щитков, с проверкой сбрасывания бомб на пикировании от 100 до 1000 кг.</w:t>
      </w:r>
    </w:p>
    <w:p w14:paraId="06955D4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дальнейшего улучшения и развития самолета Ту-2 конструктором в настоящее время проводятся следующие работы:</w:t>
      </w:r>
    </w:p>
    <w:p w14:paraId="2B27BD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Установка моторов М-82ФН форсированной мощности с непосредственным впрыском топлива, что повысит скорость самолета на 20-25 км/час и улучшит взлетные качества.</w:t>
      </w:r>
    </w:p>
    <w:p w14:paraId="2E8CF3F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Упрощение гидравлики, электрооборудования, бензосистемы и оборудования самолета, что позволит снизить трудоемкость в серийном производстве и повысить надежность в эксплуатации.</w:t>
      </w:r>
    </w:p>
    <w:p w14:paraId="70782CC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Кроме того, для сокращения расхода дефицитного дюраля, разработаны конструкции ряда агрегатов самолета с применением дерева.</w:t>
      </w:r>
    </w:p>
    <w:p w14:paraId="4D5BF87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Приведенные данные по самолету, результаты по его эксплуатации, возможности дальнейшего развития, позволяют считать Ту-2 перспективным самолетом, способным успешно выполнять боевые задания командования Красной Армии.</w:t>
      </w:r>
    </w:p>
    <w:p w14:paraId="5C588D7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обеспечения ВВС современным бомбардировщиком, считаем целесообразным постановку серийного производства самолетов Ту-2 на заводе N 23 с постепенным сокращением выпуска самолетов Ил-4, по мере освоения и внедрения Ту-2.</w:t>
      </w:r>
    </w:p>
    <w:p w14:paraId="4C3878C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Просим рассмотреть поставляемый проект Постановления ГКО.</w:t>
      </w:r>
    </w:p>
    <w:p w14:paraId="2D7D727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Справка</w:t>
      </w:r>
    </w:p>
    <w:p w14:paraId="409DC7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о характеристике самолета Ту-2 с 2М-82.</w:t>
      </w:r>
    </w:p>
    <w:p w14:paraId="0009CB7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Общая характеристика самолета Ту-2.</w:t>
      </w:r>
    </w:p>
    <w:p w14:paraId="12D088E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Самолет Ту-2 является дневным бомбардировщиком.</w:t>
      </w:r>
    </w:p>
    <w:p w14:paraId="6521B20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Бомбовая нагрузка самолета Ту-2 больше в 2,6 раза, чем у Пе-2.</w:t>
      </w:r>
    </w:p>
    <w:p w14:paraId="58B6C9E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Самолет Ту-2 имеет мощное вооружение защиты - 2 пушки ШВАК и 3 крупнокалиберных пулемета.</w:t>
      </w:r>
    </w:p>
    <w:p w14:paraId="776CFFC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Дальность самолета Ту-2 в два раза больше дальности самолета Пе-2.</w:t>
      </w:r>
    </w:p>
    <w:p w14:paraId="2B9E6DF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Скорость самолета Ту-2 больше скорости самолета ДБ-3 у земли на 151 км и на высоте 5500 м на 130 км и на высоте 7000 м на 100 км.</w:t>
      </w:r>
    </w:p>
    <w:p w14:paraId="77ED2E0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Самолет Ту-2 спроектирован под крупносерийное производство и имеет большие перспективы дальнейшего своего развития.</w:t>
      </w:r>
    </w:p>
    <w:p w14:paraId="610C0D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Срок постройки и испытания.</w:t>
      </w:r>
    </w:p>
    <w:p w14:paraId="267E097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Первые головные машины Ту-2 с М-82 были выпущены в феврале-марте 1942 г. Одновременно производилась достройка и организация завода (з-д N 166 в г. Омске).</w:t>
      </w:r>
    </w:p>
    <w:p w14:paraId="4C3F17E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Характеристика самолета Ту-2.</w:t>
      </w:r>
    </w:p>
    <w:p w14:paraId="2B85507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Летные данные самолета Ту-2.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801"/>
        <w:gridCol w:w="801"/>
        <w:gridCol w:w="801"/>
        <w:gridCol w:w="801"/>
        <w:gridCol w:w="801"/>
        <w:gridCol w:w="801"/>
        <w:gridCol w:w="801"/>
        <w:gridCol w:w="801"/>
        <w:gridCol w:w="801"/>
        <w:gridCol w:w="1863"/>
      </w:tblGrid>
      <w:tr w:rsidR="00860B4B" w:rsidRPr="00D03F3E" w14:paraId="6B91B64A" w14:textId="77777777">
        <w:tc>
          <w:tcPr>
            <w:tcW w:w="1526" w:type="dxa"/>
          </w:tcPr>
          <w:p w14:paraId="346D9524" w14:textId="77777777" w:rsidR="00531570" w:rsidRPr="00D03F3E" w:rsidRDefault="00531570" w:rsidP="00D03F3E">
            <w:pPr>
              <w:pStyle w:val="Iauiue"/>
              <w:jc w:val="both"/>
              <w:rPr>
                <w:color w:val="000000" w:themeColor="text1"/>
                <w:sz w:val="16"/>
                <w:szCs w:val="16"/>
              </w:rPr>
            </w:pPr>
          </w:p>
        </w:tc>
        <w:tc>
          <w:tcPr>
            <w:tcW w:w="801" w:type="dxa"/>
          </w:tcPr>
          <w:p w14:paraId="6AFF55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Норм.</w:t>
            </w:r>
          </w:p>
        </w:tc>
        <w:tc>
          <w:tcPr>
            <w:tcW w:w="801" w:type="dxa"/>
          </w:tcPr>
          <w:p w14:paraId="60889DA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Перегр.</w:t>
            </w:r>
          </w:p>
        </w:tc>
        <w:tc>
          <w:tcPr>
            <w:tcW w:w="801" w:type="dxa"/>
          </w:tcPr>
          <w:p w14:paraId="74141A6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w:t>
            </w:r>
          </w:p>
        </w:tc>
        <w:tc>
          <w:tcPr>
            <w:tcW w:w="801" w:type="dxa"/>
          </w:tcPr>
          <w:p w14:paraId="4245D75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w:t>
            </w:r>
          </w:p>
        </w:tc>
        <w:tc>
          <w:tcPr>
            <w:tcW w:w="801" w:type="dxa"/>
          </w:tcPr>
          <w:p w14:paraId="0C63944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w:t>
            </w:r>
          </w:p>
        </w:tc>
        <w:tc>
          <w:tcPr>
            <w:tcW w:w="801" w:type="dxa"/>
          </w:tcPr>
          <w:p w14:paraId="633D2A6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Время</w:t>
            </w:r>
          </w:p>
        </w:tc>
        <w:tc>
          <w:tcPr>
            <w:tcW w:w="801" w:type="dxa"/>
          </w:tcPr>
          <w:p w14:paraId="3C91C3B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Вертик.</w:t>
            </w:r>
          </w:p>
        </w:tc>
        <w:tc>
          <w:tcPr>
            <w:tcW w:w="801" w:type="dxa"/>
          </w:tcPr>
          <w:p w14:paraId="3F0DD95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w:t>
            </w:r>
          </w:p>
        </w:tc>
        <w:tc>
          <w:tcPr>
            <w:tcW w:w="801" w:type="dxa"/>
          </w:tcPr>
          <w:p w14:paraId="115879C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Длина</w:t>
            </w:r>
          </w:p>
        </w:tc>
        <w:tc>
          <w:tcPr>
            <w:tcW w:w="1863" w:type="dxa"/>
          </w:tcPr>
          <w:p w14:paraId="0A43F16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Длина</w:t>
            </w:r>
          </w:p>
        </w:tc>
      </w:tr>
      <w:tr w:rsidR="00860B4B" w:rsidRPr="00D03F3E" w14:paraId="6C6A8914" w14:textId="77777777">
        <w:tc>
          <w:tcPr>
            <w:tcW w:w="1526" w:type="dxa"/>
          </w:tcPr>
          <w:p w14:paraId="500B30F7" w14:textId="77777777" w:rsidR="00531570" w:rsidRPr="00D03F3E" w:rsidRDefault="00531570" w:rsidP="00D03F3E">
            <w:pPr>
              <w:pStyle w:val="Iauiue"/>
              <w:jc w:val="both"/>
              <w:rPr>
                <w:color w:val="000000" w:themeColor="text1"/>
                <w:sz w:val="16"/>
                <w:szCs w:val="16"/>
              </w:rPr>
            </w:pPr>
          </w:p>
        </w:tc>
        <w:tc>
          <w:tcPr>
            <w:tcW w:w="801" w:type="dxa"/>
          </w:tcPr>
          <w:p w14:paraId="586245C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полет.</w:t>
            </w:r>
          </w:p>
        </w:tc>
        <w:tc>
          <w:tcPr>
            <w:tcW w:w="801" w:type="dxa"/>
          </w:tcPr>
          <w:p w14:paraId="4D1BB92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вариант</w:t>
            </w:r>
          </w:p>
        </w:tc>
        <w:tc>
          <w:tcPr>
            <w:tcW w:w="801" w:type="dxa"/>
          </w:tcPr>
          <w:p w14:paraId="3B9B39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скор.</w:t>
            </w:r>
          </w:p>
        </w:tc>
        <w:tc>
          <w:tcPr>
            <w:tcW w:w="801" w:type="dxa"/>
          </w:tcPr>
          <w:p w14:paraId="4D083A5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скор.</w:t>
            </w:r>
          </w:p>
        </w:tc>
        <w:tc>
          <w:tcPr>
            <w:tcW w:w="801" w:type="dxa"/>
          </w:tcPr>
          <w:p w14:paraId="4FB3E28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скор.</w:t>
            </w:r>
          </w:p>
        </w:tc>
        <w:tc>
          <w:tcPr>
            <w:tcW w:w="801" w:type="dxa"/>
          </w:tcPr>
          <w:p w14:paraId="4305CE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подъема</w:t>
            </w:r>
          </w:p>
        </w:tc>
        <w:tc>
          <w:tcPr>
            <w:tcW w:w="801" w:type="dxa"/>
          </w:tcPr>
          <w:p w14:paraId="50DF2B7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скор.</w:t>
            </w:r>
          </w:p>
        </w:tc>
        <w:tc>
          <w:tcPr>
            <w:tcW w:w="801" w:type="dxa"/>
          </w:tcPr>
          <w:p w14:paraId="1C92586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0,8</w:t>
            </w:r>
          </w:p>
        </w:tc>
        <w:tc>
          <w:tcPr>
            <w:tcW w:w="801" w:type="dxa"/>
          </w:tcPr>
          <w:p w14:paraId="355562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разбега</w:t>
            </w:r>
          </w:p>
        </w:tc>
        <w:tc>
          <w:tcPr>
            <w:tcW w:w="1863" w:type="dxa"/>
          </w:tcPr>
          <w:p w14:paraId="27A7D38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пробега</w:t>
            </w:r>
          </w:p>
        </w:tc>
      </w:tr>
      <w:tr w:rsidR="00860B4B" w:rsidRPr="00D03F3E" w14:paraId="747EBD58" w14:textId="77777777">
        <w:tc>
          <w:tcPr>
            <w:tcW w:w="1526" w:type="dxa"/>
          </w:tcPr>
          <w:p w14:paraId="4E19B675" w14:textId="77777777" w:rsidR="00531570" w:rsidRPr="00D03F3E" w:rsidRDefault="00531570" w:rsidP="00D03F3E">
            <w:pPr>
              <w:pStyle w:val="Iauiue"/>
              <w:jc w:val="both"/>
              <w:rPr>
                <w:color w:val="000000" w:themeColor="text1"/>
                <w:sz w:val="16"/>
                <w:szCs w:val="16"/>
              </w:rPr>
            </w:pPr>
          </w:p>
        </w:tc>
        <w:tc>
          <w:tcPr>
            <w:tcW w:w="801" w:type="dxa"/>
          </w:tcPr>
          <w:p w14:paraId="4B79797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w:t>
            </w:r>
          </w:p>
        </w:tc>
        <w:tc>
          <w:tcPr>
            <w:tcW w:w="801" w:type="dxa"/>
          </w:tcPr>
          <w:p w14:paraId="0E350D8B" w14:textId="77777777" w:rsidR="00531570" w:rsidRPr="00D03F3E" w:rsidRDefault="00531570" w:rsidP="00D03F3E">
            <w:pPr>
              <w:pStyle w:val="Iauiue"/>
              <w:jc w:val="both"/>
              <w:rPr>
                <w:color w:val="000000" w:themeColor="text1"/>
                <w:sz w:val="16"/>
                <w:szCs w:val="16"/>
              </w:rPr>
            </w:pPr>
          </w:p>
        </w:tc>
        <w:tc>
          <w:tcPr>
            <w:tcW w:w="801" w:type="dxa"/>
          </w:tcPr>
          <w:p w14:paraId="24553C0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 земли</w:t>
            </w:r>
          </w:p>
        </w:tc>
        <w:tc>
          <w:tcPr>
            <w:tcW w:w="801" w:type="dxa"/>
          </w:tcPr>
          <w:p w14:paraId="74ECAAA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1</w:t>
            </w:r>
          </w:p>
        </w:tc>
        <w:tc>
          <w:tcPr>
            <w:tcW w:w="801" w:type="dxa"/>
          </w:tcPr>
          <w:p w14:paraId="365C18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II</w:t>
            </w:r>
          </w:p>
        </w:tc>
        <w:tc>
          <w:tcPr>
            <w:tcW w:w="801" w:type="dxa"/>
          </w:tcPr>
          <w:p w14:paraId="06285B2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w:t>
            </w:r>
          </w:p>
        </w:tc>
        <w:tc>
          <w:tcPr>
            <w:tcW w:w="801" w:type="dxa"/>
          </w:tcPr>
          <w:p w14:paraId="553DE28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 земли</w:t>
            </w:r>
          </w:p>
        </w:tc>
        <w:tc>
          <w:tcPr>
            <w:tcW w:w="801" w:type="dxa"/>
          </w:tcPr>
          <w:p w14:paraId="4227219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V max</w:t>
            </w:r>
          </w:p>
        </w:tc>
        <w:tc>
          <w:tcPr>
            <w:tcW w:w="801" w:type="dxa"/>
          </w:tcPr>
          <w:p w14:paraId="72407691" w14:textId="77777777" w:rsidR="00531570" w:rsidRPr="00D03F3E" w:rsidRDefault="00531570" w:rsidP="00D03F3E">
            <w:pPr>
              <w:pStyle w:val="Iauiue"/>
              <w:jc w:val="both"/>
              <w:rPr>
                <w:color w:val="000000" w:themeColor="text1"/>
                <w:sz w:val="16"/>
                <w:szCs w:val="16"/>
              </w:rPr>
            </w:pPr>
          </w:p>
        </w:tc>
        <w:tc>
          <w:tcPr>
            <w:tcW w:w="1863" w:type="dxa"/>
          </w:tcPr>
          <w:p w14:paraId="2E119B47" w14:textId="77777777" w:rsidR="00531570" w:rsidRPr="00D03F3E" w:rsidRDefault="00531570" w:rsidP="00D03F3E">
            <w:pPr>
              <w:pStyle w:val="Iauiue"/>
              <w:jc w:val="both"/>
              <w:rPr>
                <w:color w:val="000000" w:themeColor="text1"/>
                <w:sz w:val="16"/>
                <w:szCs w:val="16"/>
              </w:rPr>
            </w:pPr>
          </w:p>
        </w:tc>
      </w:tr>
      <w:tr w:rsidR="00860B4B" w:rsidRPr="00D03F3E" w14:paraId="7E9A2AC6" w14:textId="77777777">
        <w:tc>
          <w:tcPr>
            <w:tcW w:w="1526" w:type="dxa"/>
          </w:tcPr>
          <w:p w14:paraId="3D32CEE8" w14:textId="77777777" w:rsidR="00531570" w:rsidRPr="00D03F3E" w:rsidRDefault="00531570" w:rsidP="00D03F3E">
            <w:pPr>
              <w:pStyle w:val="Iauiue"/>
              <w:jc w:val="both"/>
              <w:rPr>
                <w:color w:val="000000" w:themeColor="text1"/>
                <w:sz w:val="16"/>
                <w:szCs w:val="16"/>
              </w:rPr>
            </w:pPr>
          </w:p>
        </w:tc>
        <w:tc>
          <w:tcPr>
            <w:tcW w:w="801" w:type="dxa"/>
          </w:tcPr>
          <w:p w14:paraId="61387086" w14:textId="77777777" w:rsidR="00531570" w:rsidRPr="00D03F3E" w:rsidRDefault="00531570" w:rsidP="00D03F3E">
            <w:pPr>
              <w:pStyle w:val="Iauiue"/>
              <w:jc w:val="both"/>
              <w:rPr>
                <w:color w:val="000000" w:themeColor="text1"/>
                <w:sz w:val="16"/>
                <w:szCs w:val="16"/>
              </w:rPr>
            </w:pPr>
          </w:p>
        </w:tc>
        <w:tc>
          <w:tcPr>
            <w:tcW w:w="801" w:type="dxa"/>
          </w:tcPr>
          <w:p w14:paraId="4D41A124" w14:textId="77777777" w:rsidR="00531570" w:rsidRPr="00D03F3E" w:rsidRDefault="00531570" w:rsidP="00D03F3E">
            <w:pPr>
              <w:pStyle w:val="Iauiue"/>
              <w:jc w:val="both"/>
              <w:rPr>
                <w:color w:val="000000" w:themeColor="text1"/>
                <w:sz w:val="16"/>
                <w:szCs w:val="16"/>
              </w:rPr>
            </w:pPr>
          </w:p>
        </w:tc>
        <w:tc>
          <w:tcPr>
            <w:tcW w:w="801" w:type="dxa"/>
          </w:tcPr>
          <w:p w14:paraId="69CFC176" w14:textId="77777777" w:rsidR="00531570" w:rsidRPr="00D03F3E" w:rsidRDefault="00531570" w:rsidP="00D03F3E">
            <w:pPr>
              <w:pStyle w:val="Iauiue"/>
              <w:jc w:val="both"/>
              <w:rPr>
                <w:color w:val="000000" w:themeColor="text1"/>
                <w:sz w:val="16"/>
                <w:szCs w:val="16"/>
              </w:rPr>
            </w:pPr>
          </w:p>
        </w:tc>
        <w:tc>
          <w:tcPr>
            <w:tcW w:w="801" w:type="dxa"/>
          </w:tcPr>
          <w:p w14:paraId="623DAE7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ступ.</w:t>
            </w:r>
          </w:p>
        </w:tc>
        <w:tc>
          <w:tcPr>
            <w:tcW w:w="801" w:type="dxa"/>
          </w:tcPr>
          <w:p w14:paraId="735B33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ступ.</w:t>
            </w:r>
          </w:p>
        </w:tc>
        <w:tc>
          <w:tcPr>
            <w:tcW w:w="801" w:type="dxa"/>
          </w:tcPr>
          <w:p w14:paraId="0CCBAE3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5000 м</w:t>
            </w:r>
          </w:p>
        </w:tc>
        <w:tc>
          <w:tcPr>
            <w:tcW w:w="801" w:type="dxa"/>
          </w:tcPr>
          <w:p w14:paraId="7CE68801" w14:textId="77777777" w:rsidR="00531570" w:rsidRPr="00D03F3E" w:rsidRDefault="00531570" w:rsidP="00D03F3E">
            <w:pPr>
              <w:pStyle w:val="Iauiue"/>
              <w:jc w:val="both"/>
              <w:rPr>
                <w:color w:val="000000" w:themeColor="text1"/>
                <w:sz w:val="16"/>
                <w:szCs w:val="16"/>
              </w:rPr>
            </w:pPr>
          </w:p>
        </w:tc>
        <w:tc>
          <w:tcPr>
            <w:tcW w:w="801" w:type="dxa"/>
          </w:tcPr>
          <w:p w14:paraId="32FC9862" w14:textId="77777777" w:rsidR="00531570" w:rsidRPr="00D03F3E" w:rsidRDefault="00531570" w:rsidP="00D03F3E">
            <w:pPr>
              <w:pStyle w:val="Iauiue"/>
              <w:jc w:val="both"/>
              <w:rPr>
                <w:color w:val="000000" w:themeColor="text1"/>
                <w:sz w:val="16"/>
                <w:szCs w:val="16"/>
              </w:rPr>
            </w:pPr>
          </w:p>
        </w:tc>
        <w:tc>
          <w:tcPr>
            <w:tcW w:w="801" w:type="dxa"/>
          </w:tcPr>
          <w:p w14:paraId="1F6EB18F" w14:textId="77777777" w:rsidR="00531570" w:rsidRPr="00D03F3E" w:rsidRDefault="00531570" w:rsidP="00D03F3E">
            <w:pPr>
              <w:pStyle w:val="Iauiue"/>
              <w:jc w:val="both"/>
              <w:rPr>
                <w:color w:val="000000" w:themeColor="text1"/>
                <w:sz w:val="16"/>
                <w:szCs w:val="16"/>
              </w:rPr>
            </w:pPr>
          </w:p>
        </w:tc>
        <w:tc>
          <w:tcPr>
            <w:tcW w:w="1863" w:type="dxa"/>
          </w:tcPr>
          <w:p w14:paraId="749E7923" w14:textId="77777777" w:rsidR="00531570" w:rsidRPr="00D03F3E" w:rsidRDefault="00531570" w:rsidP="00D03F3E">
            <w:pPr>
              <w:pStyle w:val="Iauiue"/>
              <w:jc w:val="both"/>
              <w:rPr>
                <w:color w:val="000000" w:themeColor="text1"/>
                <w:sz w:val="16"/>
                <w:szCs w:val="16"/>
              </w:rPr>
            </w:pPr>
          </w:p>
        </w:tc>
      </w:tr>
      <w:tr w:rsidR="00860B4B" w:rsidRPr="00D03F3E" w14:paraId="0B8BEF78" w14:textId="77777777">
        <w:tc>
          <w:tcPr>
            <w:tcW w:w="1526" w:type="dxa"/>
          </w:tcPr>
          <w:p w14:paraId="7B67DFE4" w14:textId="77777777" w:rsidR="00531570" w:rsidRPr="00D03F3E" w:rsidRDefault="00531570" w:rsidP="00D03F3E">
            <w:pPr>
              <w:pStyle w:val="Iauiue"/>
              <w:jc w:val="both"/>
              <w:rPr>
                <w:color w:val="000000" w:themeColor="text1"/>
                <w:sz w:val="16"/>
                <w:szCs w:val="16"/>
              </w:rPr>
            </w:pPr>
          </w:p>
        </w:tc>
        <w:tc>
          <w:tcPr>
            <w:tcW w:w="801" w:type="dxa"/>
          </w:tcPr>
          <w:p w14:paraId="5B0538AB" w14:textId="77777777" w:rsidR="00531570" w:rsidRPr="00D03F3E" w:rsidRDefault="00531570" w:rsidP="00D03F3E">
            <w:pPr>
              <w:pStyle w:val="Iauiue"/>
              <w:jc w:val="both"/>
              <w:rPr>
                <w:color w:val="000000" w:themeColor="text1"/>
                <w:sz w:val="16"/>
                <w:szCs w:val="16"/>
              </w:rPr>
            </w:pPr>
          </w:p>
        </w:tc>
        <w:tc>
          <w:tcPr>
            <w:tcW w:w="801" w:type="dxa"/>
          </w:tcPr>
          <w:p w14:paraId="725BE849" w14:textId="77777777" w:rsidR="00531570" w:rsidRPr="00D03F3E" w:rsidRDefault="00531570" w:rsidP="00D03F3E">
            <w:pPr>
              <w:pStyle w:val="Iauiue"/>
              <w:jc w:val="both"/>
              <w:rPr>
                <w:color w:val="000000" w:themeColor="text1"/>
                <w:sz w:val="16"/>
                <w:szCs w:val="16"/>
              </w:rPr>
            </w:pPr>
          </w:p>
        </w:tc>
        <w:tc>
          <w:tcPr>
            <w:tcW w:w="801" w:type="dxa"/>
          </w:tcPr>
          <w:p w14:paraId="4AEB3580" w14:textId="77777777" w:rsidR="00531570" w:rsidRPr="00D03F3E" w:rsidRDefault="00531570" w:rsidP="00D03F3E">
            <w:pPr>
              <w:pStyle w:val="Iauiue"/>
              <w:jc w:val="both"/>
              <w:rPr>
                <w:color w:val="000000" w:themeColor="text1"/>
                <w:sz w:val="16"/>
                <w:szCs w:val="16"/>
              </w:rPr>
            </w:pPr>
          </w:p>
        </w:tc>
        <w:tc>
          <w:tcPr>
            <w:tcW w:w="801" w:type="dxa"/>
          </w:tcPr>
          <w:p w14:paraId="3C70487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высотн.</w:t>
            </w:r>
          </w:p>
        </w:tc>
        <w:tc>
          <w:tcPr>
            <w:tcW w:w="801" w:type="dxa"/>
          </w:tcPr>
          <w:p w14:paraId="3A97E1D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высотн.</w:t>
            </w:r>
          </w:p>
        </w:tc>
        <w:tc>
          <w:tcPr>
            <w:tcW w:w="801" w:type="dxa"/>
          </w:tcPr>
          <w:p w14:paraId="6FBF667E" w14:textId="77777777" w:rsidR="00531570" w:rsidRPr="00D03F3E" w:rsidRDefault="00531570" w:rsidP="00D03F3E">
            <w:pPr>
              <w:pStyle w:val="Iauiue"/>
              <w:jc w:val="both"/>
              <w:rPr>
                <w:color w:val="000000" w:themeColor="text1"/>
                <w:sz w:val="16"/>
                <w:szCs w:val="16"/>
              </w:rPr>
            </w:pPr>
          </w:p>
        </w:tc>
        <w:tc>
          <w:tcPr>
            <w:tcW w:w="801" w:type="dxa"/>
          </w:tcPr>
          <w:p w14:paraId="1CCBDFDE" w14:textId="77777777" w:rsidR="00531570" w:rsidRPr="00D03F3E" w:rsidRDefault="00531570" w:rsidP="00D03F3E">
            <w:pPr>
              <w:pStyle w:val="Iauiue"/>
              <w:jc w:val="both"/>
              <w:rPr>
                <w:color w:val="000000" w:themeColor="text1"/>
                <w:sz w:val="16"/>
                <w:szCs w:val="16"/>
              </w:rPr>
            </w:pPr>
          </w:p>
        </w:tc>
        <w:tc>
          <w:tcPr>
            <w:tcW w:w="801" w:type="dxa"/>
          </w:tcPr>
          <w:p w14:paraId="5458174C" w14:textId="77777777" w:rsidR="00531570" w:rsidRPr="00D03F3E" w:rsidRDefault="00531570" w:rsidP="00D03F3E">
            <w:pPr>
              <w:pStyle w:val="Iauiue"/>
              <w:jc w:val="both"/>
              <w:rPr>
                <w:color w:val="000000" w:themeColor="text1"/>
                <w:sz w:val="16"/>
                <w:szCs w:val="16"/>
              </w:rPr>
            </w:pPr>
          </w:p>
        </w:tc>
        <w:tc>
          <w:tcPr>
            <w:tcW w:w="801" w:type="dxa"/>
          </w:tcPr>
          <w:p w14:paraId="52829BAB" w14:textId="77777777" w:rsidR="00531570" w:rsidRPr="00D03F3E" w:rsidRDefault="00531570" w:rsidP="00D03F3E">
            <w:pPr>
              <w:pStyle w:val="Iauiue"/>
              <w:jc w:val="both"/>
              <w:rPr>
                <w:color w:val="000000" w:themeColor="text1"/>
                <w:sz w:val="16"/>
                <w:szCs w:val="16"/>
              </w:rPr>
            </w:pPr>
          </w:p>
        </w:tc>
        <w:tc>
          <w:tcPr>
            <w:tcW w:w="1863" w:type="dxa"/>
          </w:tcPr>
          <w:p w14:paraId="779ADFE3" w14:textId="77777777" w:rsidR="00531570" w:rsidRPr="00D03F3E" w:rsidRDefault="00531570" w:rsidP="00D03F3E">
            <w:pPr>
              <w:pStyle w:val="Iauiue"/>
              <w:jc w:val="both"/>
              <w:rPr>
                <w:color w:val="000000" w:themeColor="text1"/>
                <w:sz w:val="16"/>
                <w:szCs w:val="16"/>
              </w:rPr>
            </w:pPr>
          </w:p>
        </w:tc>
      </w:tr>
      <w:tr w:rsidR="00860B4B" w:rsidRPr="00D03F3E" w14:paraId="43B24EE1" w14:textId="77777777">
        <w:tc>
          <w:tcPr>
            <w:tcW w:w="1526" w:type="dxa"/>
          </w:tcPr>
          <w:p w14:paraId="126E869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сер.</w:t>
            </w:r>
          </w:p>
        </w:tc>
        <w:tc>
          <w:tcPr>
            <w:tcW w:w="801" w:type="dxa"/>
          </w:tcPr>
          <w:p w14:paraId="352D367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10537</w:t>
            </w:r>
          </w:p>
        </w:tc>
        <w:tc>
          <w:tcPr>
            <w:tcW w:w="801" w:type="dxa"/>
          </w:tcPr>
          <w:p w14:paraId="228EC87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11757</w:t>
            </w:r>
          </w:p>
        </w:tc>
        <w:tc>
          <w:tcPr>
            <w:tcW w:w="801" w:type="dxa"/>
          </w:tcPr>
          <w:p w14:paraId="5AACA21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444</w:t>
            </w:r>
          </w:p>
        </w:tc>
        <w:tc>
          <w:tcPr>
            <w:tcW w:w="801" w:type="dxa"/>
          </w:tcPr>
          <w:p w14:paraId="2BD4378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521</w:t>
            </w:r>
          </w:p>
        </w:tc>
        <w:tc>
          <w:tcPr>
            <w:tcW w:w="801" w:type="dxa"/>
          </w:tcPr>
          <w:p w14:paraId="0763460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514</w:t>
            </w:r>
          </w:p>
        </w:tc>
        <w:tc>
          <w:tcPr>
            <w:tcW w:w="801" w:type="dxa"/>
          </w:tcPr>
          <w:p w14:paraId="0683654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10,2</w:t>
            </w:r>
          </w:p>
        </w:tc>
        <w:tc>
          <w:tcPr>
            <w:tcW w:w="801" w:type="dxa"/>
          </w:tcPr>
          <w:p w14:paraId="79D0EE4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w:t>
            </w:r>
          </w:p>
        </w:tc>
        <w:tc>
          <w:tcPr>
            <w:tcW w:w="801" w:type="dxa"/>
          </w:tcPr>
          <w:p w14:paraId="5F519D9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2020</w:t>
            </w:r>
          </w:p>
        </w:tc>
        <w:tc>
          <w:tcPr>
            <w:tcW w:w="801" w:type="dxa"/>
          </w:tcPr>
          <w:p w14:paraId="5918741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450</w:t>
            </w:r>
          </w:p>
        </w:tc>
        <w:tc>
          <w:tcPr>
            <w:tcW w:w="1863" w:type="dxa"/>
          </w:tcPr>
          <w:p w14:paraId="1A29767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545</w:t>
            </w:r>
          </w:p>
        </w:tc>
      </w:tr>
      <w:tr w:rsidR="00860B4B" w:rsidRPr="00D03F3E" w14:paraId="0165179C" w14:textId="77777777">
        <w:tc>
          <w:tcPr>
            <w:tcW w:w="1526" w:type="dxa"/>
          </w:tcPr>
          <w:p w14:paraId="2A88E88E" w14:textId="77777777" w:rsidR="00531570" w:rsidRPr="00D03F3E" w:rsidRDefault="00531570" w:rsidP="00D03F3E">
            <w:pPr>
              <w:pStyle w:val="Iauiue"/>
              <w:jc w:val="both"/>
              <w:rPr>
                <w:color w:val="000000" w:themeColor="text1"/>
                <w:sz w:val="16"/>
                <w:szCs w:val="16"/>
              </w:rPr>
            </w:pPr>
          </w:p>
        </w:tc>
        <w:tc>
          <w:tcPr>
            <w:tcW w:w="801" w:type="dxa"/>
          </w:tcPr>
          <w:p w14:paraId="614E48C1" w14:textId="77777777" w:rsidR="00531570" w:rsidRPr="00D03F3E" w:rsidRDefault="00531570" w:rsidP="00D03F3E">
            <w:pPr>
              <w:pStyle w:val="Iauiue"/>
              <w:jc w:val="both"/>
              <w:rPr>
                <w:color w:val="000000" w:themeColor="text1"/>
                <w:sz w:val="16"/>
                <w:szCs w:val="16"/>
              </w:rPr>
            </w:pPr>
          </w:p>
        </w:tc>
        <w:tc>
          <w:tcPr>
            <w:tcW w:w="801" w:type="dxa"/>
          </w:tcPr>
          <w:p w14:paraId="134A04A9" w14:textId="77777777" w:rsidR="00531570" w:rsidRPr="00D03F3E" w:rsidRDefault="00531570" w:rsidP="00D03F3E">
            <w:pPr>
              <w:pStyle w:val="Iauiue"/>
              <w:jc w:val="both"/>
              <w:rPr>
                <w:color w:val="000000" w:themeColor="text1"/>
                <w:sz w:val="16"/>
                <w:szCs w:val="16"/>
              </w:rPr>
            </w:pPr>
          </w:p>
        </w:tc>
        <w:tc>
          <w:tcPr>
            <w:tcW w:w="801" w:type="dxa"/>
          </w:tcPr>
          <w:p w14:paraId="19A17421" w14:textId="77777777" w:rsidR="00531570" w:rsidRPr="00D03F3E" w:rsidRDefault="00531570" w:rsidP="00D03F3E">
            <w:pPr>
              <w:pStyle w:val="Iauiue"/>
              <w:jc w:val="both"/>
              <w:rPr>
                <w:color w:val="000000" w:themeColor="text1"/>
                <w:sz w:val="16"/>
                <w:szCs w:val="16"/>
              </w:rPr>
            </w:pPr>
          </w:p>
        </w:tc>
        <w:tc>
          <w:tcPr>
            <w:tcW w:w="801" w:type="dxa"/>
          </w:tcPr>
          <w:p w14:paraId="61F0DA5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3200</w:t>
            </w:r>
          </w:p>
        </w:tc>
        <w:tc>
          <w:tcPr>
            <w:tcW w:w="801" w:type="dxa"/>
          </w:tcPr>
          <w:p w14:paraId="6FF46EC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6160</w:t>
            </w:r>
          </w:p>
        </w:tc>
        <w:tc>
          <w:tcPr>
            <w:tcW w:w="801" w:type="dxa"/>
          </w:tcPr>
          <w:p w14:paraId="0F4BA7B6" w14:textId="77777777" w:rsidR="00531570" w:rsidRPr="00D03F3E" w:rsidRDefault="00531570" w:rsidP="00D03F3E">
            <w:pPr>
              <w:pStyle w:val="Iauiue"/>
              <w:jc w:val="both"/>
              <w:rPr>
                <w:color w:val="000000" w:themeColor="text1"/>
                <w:sz w:val="16"/>
                <w:szCs w:val="16"/>
              </w:rPr>
            </w:pPr>
          </w:p>
        </w:tc>
        <w:tc>
          <w:tcPr>
            <w:tcW w:w="801" w:type="dxa"/>
          </w:tcPr>
          <w:p w14:paraId="646DA0B2" w14:textId="77777777" w:rsidR="00531570" w:rsidRPr="00D03F3E" w:rsidRDefault="00531570" w:rsidP="00D03F3E">
            <w:pPr>
              <w:pStyle w:val="Iauiue"/>
              <w:jc w:val="both"/>
              <w:rPr>
                <w:color w:val="000000" w:themeColor="text1"/>
                <w:sz w:val="16"/>
                <w:szCs w:val="16"/>
              </w:rPr>
            </w:pPr>
          </w:p>
        </w:tc>
        <w:tc>
          <w:tcPr>
            <w:tcW w:w="801" w:type="dxa"/>
          </w:tcPr>
          <w:p w14:paraId="5CBAB39D" w14:textId="77777777" w:rsidR="00531570" w:rsidRPr="00D03F3E" w:rsidRDefault="00531570" w:rsidP="00D03F3E">
            <w:pPr>
              <w:pStyle w:val="Iauiue"/>
              <w:jc w:val="both"/>
              <w:rPr>
                <w:color w:val="000000" w:themeColor="text1"/>
                <w:sz w:val="16"/>
                <w:szCs w:val="16"/>
              </w:rPr>
            </w:pPr>
          </w:p>
        </w:tc>
        <w:tc>
          <w:tcPr>
            <w:tcW w:w="801" w:type="dxa"/>
          </w:tcPr>
          <w:p w14:paraId="01897DE8" w14:textId="77777777" w:rsidR="00531570" w:rsidRPr="00D03F3E" w:rsidRDefault="00531570" w:rsidP="00D03F3E">
            <w:pPr>
              <w:pStyle w:val="Iauiue"/>
              <w:jc w:val="both"/>
              <w:rPr>
                <w:color w:val="000000" w:themeColor="text1"/>
                <w:sz w:val="16"/>
                <w:szCs w:val="16"/>
              </w:rPr>
            </w:pPr>
          </w:p>
        </w:tc>
        <w:tc>
          <w:tcPr>
            <w:tcW w:w="1863" w:type="dxa"/>
          </w:tcPr>
          <w:p w14:paraId="12AFE807" w14:textId="77777777" w:rsidR="00531570" w:rsidRPr="00D03F3E" w:rsidRDefault="00531570" w:rsidP="00D03F3E">
            <w:pPr>
              <w:pStyle w:val="Iauiue"/>
              <w:jc w:val="both"/>
              <w:rPr>
                <w:color w:val="000000" w:themeColor="text1"/>
                <w:sz w:val="16"/>
                <w:szCs w:val="16"/>
              </w:rPr>
            </w:pPr>
          </w:p>
        </w:tc>
      </w:tr>
      <w:tr w:rsidR="00860B4B" w:rsidRPr="00D03F3E" w14:paraId="3B98E974" w14:textId="77777777">
        <w:tc>
          <w:tcPr>
            <w:tcW w:w="1526" w:type="dxa"/>
          </w:tcPr>
          <w:p w14:paraId="1E476A1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опыт.</w:t>
            </w:r>
          </w:p>
        </w:tc>
        <w:tc>
          <w:tcPr>
            <w:tcW w:w="801" w:type="dxa"/>
          </w:tcPr>
          <w:p w14:paraId="34BDCF3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10537</w:t>
            </w:r>
          </w:p>
        </w:tc>
        <w:tc>
          <w:tcPr>
            <w:tcW w:w="801" w:type="dxa"/>
          </w:tcPr>
          <w:p w14:paraId="70C2FF9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11757</w:t>
            </w:r>
          </w:p>
        </w:tc>
        <w:tc>
          <w:tcPr>
            <w:tcW w:w="801" w:type="dxa"/>
          </w:tcPr>
          <w:p w14:paraId="03D42DC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460</w:t>
            </w:r>
          </w:p>
        </w:tc>
        <w:tc>
          <w:tcPr>
            <w:tcW w:w="801" w:type="dxa"/>
          </w:tcPr>
          <w:p w14:paraId="7DEE0BA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528</w:t>
            </w:r>
          </w:p>
        </w:tc>
        <w:tc>
          <w:tcPr>
            <w:tcW w:w="801" w:type="dxa"/>
          </w:tcPr>
          <w:p w14:paraId="3042F5D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530</w:t>
            </w:r>
          </w:p>
        </w:tc>
        <w:tc>
          <w:tcPr>
            <w:tcW w:w="801" w:type="dxa"/>
          </w:tcPr>
          <w:p w14:paraId="13DF0F9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801" w:type="dxa"/>
          </w:tcPr>
          <w:p w14:paraId="6F666B7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801" w:type="dxa"/>
          </w:tcPr>
          <w:p w14:paraId="4736DE3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2020</w:t>
            </w:r>
          </w:p>
        </w:tc>
        <w:tc>
          <w:tcPr>
            <w:tcW w:w="801" w:type="dxa"/>
          </w:tcPr>
          <w:p w14:paraId="1EF7162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450</w:t>
            </w:r>
          </w:p>
        </w:tc>
        <w:tc>
          <w:tcPr>
            <w:tcW w:w="1863" w:type="dxa"/>
          </w:tcPr>
          <w:p w14:paraId="0818D46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545</w:t>
            </w:r>
          </w:p>
        </w:tc>
      </w:tr>
      <w:tr w:rsidR="00860B4B" w:rsidRPr="00D03F3E" w14:paraId="5A24E012" w14:textId="77777777">
        <w:tc>
          <w:tcPr>
            <w:tcW w:w="1526" w:type="dxa"/>
          </w:tcPr>
          <w:p w14:paraId="7440DAE8" w14:textId="77777777" w:rsidR="00531570" w:rsidRPr="00D03F3E" w:rsidRDefault="00531570" w:rsidP="00D03F3E">
            <w:pPr>
              <w:pStyle w:val="Iauiue"/>
              <w:jc w:val="both"/>
              <w:rPr>
                <w:color w:val="000000" w:themeColor="text1"/>
                <w:sz w:val="16"/>
                <w:szCs w:val="16"/>
              </w:rPr>
            </w:pPr>
          </w:p>
        </w:tc>
        <w:tc>
          <w:tcPr>
            <w:tcW w:w="801" w:type="dxa"/>
          </w:tcPr>
          <w:p w14:paraId="771AF954" w14:textId="77777777" w:rsidR="00531570" w:rsidRPr="00D03F3E" w:rsidRDefault="00531570" w:rsidP="00D03F3E">
            <w:pPr>
              <w:pStyle w:val="Iauiue"/>
              <w:jc w:val="both"/>
              <w:rPr>
                <w:color w:val="000000" w:themeColor="text1"/>
                <w:sz w:val="16"/>
                <w:szCs w:val="16"/>
              </w:rPr>
            </w:pPr>
          </w:p>
        </w:tc>
        <w:tc>
          <w:tcPr>
            <w:tcW w:w="801" w:type="dxa"/>
          </w:tcPr>
          <w:p w14:paraId="60DBFFE1" w14:textId="77777777" w:rsidR="00531570" w:rsidRPr="00D03F3E" w:rsidRDefault="00531570" w:rsidP="00D03F3E">
            <w:pPr>
              <w:pStyle w:val="Iauiue"/>
              <w:jc w:val="both"/>
              <w:rPr>
                <w:color w:val="000000" w:themeColor="text1"/>
                <w:sz w:val="16"/>
                <w:szCs w:val="16"/>
              </w:rPr>
            </w:pPr>
          </w:p>
        </w:tc>
        <w:tc>
          <w:tcPr>
            <w:tcW w:w="801" w:type="dxa"/>
          </w:tcPr>
          <w:p w14:paraId="72F43805" w14:textId="77777777" w:rsidR="00531570" w:rsidRPr="00D03F3E" w:rsidRDefault="00531570" w:rsidP="00D03F3E">
            <w:pPr>
              <w:pStyle w:val="Iauiue"/>
              <w:jc w:val="both"/>
              <w:rPr>
                <w:color w:val="000000" w:themeColor="text1"/>
                <w:sz w:val="16"/>
                <w:szCs w:val="16"/>
              </w:rPr>
            </w:pPr>
          </w:p>
        </w:tc>
        <w:tc>
          <w:tcPr>
            <w:tcW w:w="801" w:type="dxa"/>
          </w:tcPr>
          <w:p w14:paraId="1E161D7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3200</w:t>
            </w:r>
          </w:p>
        </w:tc>
        <w:tc>
          <w:tcPr>
            <w:tcW w:w="801" w:type="dxa"/>
          </w:tcPr>
          <w:p w14:paraId="5176200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6160</w:t>
            </w:r>
          </w:p>
        </w:tc>
        <w:tc>
          <w:tcPr>
            <w:tcW w:w="801" w:type="dxa"/>
          </w:tcPr>
          <w:p w14:paraId="3BB84BD2" w14:textId="77777777" w:rsidR="00531570" w:rsidRPr="00D03F3E" w:rsidRDefault="00531570" w:rsidP="00D03F3E">
            <w:pPr>
              <w:pStyle w:val="Iauiue"/>
              <w:jc w:val="both"/>
              <w:rPr>
                <w:color w:val="000000" w:themeColor="text1"/>
                <w:sz w:val="16"/>
                <w:szCs w:val="16"/>
              </w:rPr>
            </w:pPr>
          </w:p>
        </w:tc>
        <w:tc>
          <w:tcPr>
            <w:tcW w:w="801" w:type="dxa"/>
          </w:tcPr>
          <w:p w14:paraId="28417A80" w14:textId="77777777" w:rsidR="00531570" w:rsidRPr="00D03F3E" w:rsidRDefault="00531570" w:rsidP="00D03F3E">
            <w:pPr>
              <w:pStyle w:val="Iauiue"/>
              <w:jc w:val="both"/>
              <w:rPr>
                <w:color w:val="000000" w:themeColor="text1"/>
                <w:sz w:val="16"/>
                <w:szCs w:val="16"/>
              </w:rPr>
            </w:pPr>
          </w:p>
        </w:tc>
        <w:tc>
          <w:tcPr>
            <w:tcW w:w="801" w:type="dxa"/>
          </w:tcPr>
          <w:p w14:paraId="730557B7" w14:textId="77777777" w:rsidR="00531570" w:rsidRPr="00D03F3E" w:rsidRDefault="00531570" w:rsidP="00D03F3E">
            <w:pPr>
              <w:pStyle w:val="Iauiue"/>
              <w:jc w:val="both"/>
              <w:rPr>
                <w:color w:val="000000" w:themeColor="text1"/>
                <w:sz w:val="16"/>
                <w:szCs w:val="16"/>
              </w:rPr>
            </w:pPr>
          </w:p>
        </w:tc>
        <w:tc>
          <w:tcPr>
            <w:tcW w:w="801" w:type="dxa"/>
          </w:tcPr>
          <w:p w14:paraId="2F02F1CE" w14:textId="77777777" w:rsidR="00531570" w:rsidRPr="00D03F3E" w:rsidRDefault="00531570" w:rsidP="00D03F3E">
            <w:pPr>
              <w:pStyle w:val="Iauiue"/>
              <w:jc w:val="both"/>
              <w:rPr>
                <w:color w:val="000000" w:themeColor="text1"/>
                <w:sz w:val="16"/>
                <w:szCs w:val="16"/>
              </w:rPr>
            </w:pPr>
          </w:p>
        </w:tc>
        <w:tc>
          <w:tcPr>
            <w:tcW w:w="1863" w:type="dxa"/>
          </w:tcPr>
          <w:p w14:paraId="1F033C16" w14:textId="77777777" w:rsidR="00531570" w:rsidRPr="00D03F3E" w:rsidRDefault="00531570" w:rsidP="00D03F3E">
            <w:pPr>
              <w:pStyle w:val="Iauiue"/>
              <w:jc w:val="both"/>
              <w:rPr>
                <w:color w:val="000000" w:themeColor="text1"/>
                <w:sz w:val="16"/>
                <w:szCs w:val="16"/>
              </w:rPr>
            </w:pPr>
          </w:p>
        </w:tc>
      </w:tr>
      <w:tr w:rsidR="00860B4B" w:rsidRPr="00D03F3E" w14:paraId="5EA189AA" w14:textId="77777777">
        <w:tc>
          <w:tcPr>
            <w:tcW w:w="1526" w:type="dxa"/>
          </w:tcPr>
          <w:p w14:paraId="53B508B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оп. с</w:t>
            </w:r>
          </w:p>
        </w:tc>
        <w:tc>
          <w:tcPr>
            <w:tcW w:w="801" w:type="dxa"/>
          </w:tcPr>
          <w:p w14:paraId="631BA606" w14:textId="77777777" w:rsidR="00531570" w:rsidRPr="00D03F3E" w:rsidRDefault="00531570" w:rsidP="00D03F3E">
            <w:pPr>
              <w:pStyle w:val="Iauiue"/>
              <w:jc w:val="both"/>
              <w:rPr>
                <w:color w:val="000000" w:themeColor="text1"/>
                <w:sz w:val="16"/>
                <w:szCs w:val="16"/>
              </w:rPr>
            </w:pPr>
          </w:p>
        </w:tc>
        <w:tc>
          <w:tcPr>
            <w:tcW w:w="801" w:type="dxa"/>
          </w:tcPr>
          <w:p w14:paraId="36BD1CB5" w14:textId="77777777" w:rsidR="00531570" w:rsidRPr="00D03F3E" w:rsidRDefault="00531570" w:rsidP="00D03F3E">
            <w:pPr>
              <w:pStyle w:val="Iauiue"/>
              <w:jc w:val="both"/>
              <w:rPr>
                <w:color w:val="000000" w:themeColor="text1"/>
                <w:sz w:val="16"/>
                <w:szCs w:val="16"/>
              </w:rPr>
            </w:pPr>
          </w:p>
        </w:tc>
        <w:tc>
          <w:tcPr>
            <w:tcW w:w="801" w:type="dxa"/>
          </w:tcPr>
          <w:p w14:paraId="10030E25" w14:textId="77777777" w:rsidR="00531570" w:rsidRPr="00D03F3E" w:rsidRDefault="00531570" w:rsidP="00D03F3E">
            <w:pPr>
              <w:pStyle w:val="Iauiue"/>
              <w:jc w:val="both"/>
              <w:rPr>
                <w:color w:val="000000" w:themeColor="text1"/>
                <w:sz w:val="16"/>
                <w:szCs w:val="16"/>
              </w:rPr>
            </w:pPr>
          </w:p>
        </w:tc>
        <w:tc>
          <w:tcPr>
            <w:tcW w:w="801" w:type="dxa"/>
          </w:tcPr>
          <w:p w14:paraId="6042525E" w14:textId="77777777" w:rsidR="00531570" w:rsidRPr="00D03F3E" w:rsidRDefault="00531570" w:rsidP="00D03F3E">
            <w:pPr>
              <w:pStyle w:val="Iauiue"/>
              <w:jc w:val="both"/>
              <w:rPr>
                <w:color w:val="000000" w:themeColor="text1"/>
                <w:sz w:val="16"/>
                <w:szCs w:val="16"/>
              </w:rPr>
            </w:pPr>
          </w:p>
        </w:tc>
        <w:tc>
          <w:tcPr>
            <w:tcW w:w="801" w:type="dxa"/>
          </w:tcPr>
          <w:p w14:paraId="6B5ED170" w14:textId="77777777" w:rsidR="00531570" w:rsidRPr="00D03F3E" w:rsidRDefault="00531570" w:rsidP="00D03F3E">
            <w:pPr>
              <w:pStyle w:val="Iauiue"/>
              <w:jc w:val="both"/>
              <w:rPr>
                <w:color w:val="000000" w:themeColor="text1"/>
                <w:sz w:val="16"/>
                <w:szCs w:val="16"/>
              </w:rPr>
            </w:pPr>
          </w:p>
        </w:tc>
        <w:tc>
          <w:tcPr>
            <w:tcW w:w="801" w:type="dxa"/>
          </w:tcPr>
          <w:p w14:paraId="2F95A81B" w14:textId="77777777" w:rsidR="00531570" w:rsidRPr="00D03F3E" w:rsidRDefault="00531570" w:rsidP="00D03F3E">
            <w:pPr>
              <w:pStyle w:val="Iauiue"/>
              <w:jc w:val="both"/>
              <w:rPr>
                <w:color w:val="000000" w:themeColor="text1"/>
                <w:sz w:val="16"/>
                <w:szCs w:val="16"/>
              </w:rPr>
            </w:pPr>
          </w:p>
        </w:tc>
        <w:tc>
          <w:tcPr>
            <w:tcW w:w="801" w:type="dxa"/>
          </w:tcPr>
          <w:p w14:paraId="1B5ED560" w14:textId="77777777" w:rsidR="00531570" w:rsidRPr="00D03F3E" w:rsidRDefault="00531570" w:rsidP="00D03F3E">
            <w:pPr>
              <w:pStyle w:val="Iauiue"/>
              <w:jc w:val="both"/>
              <w:rPr>
                <w:color w:val="000000" w:themeColor="text1"/>
                <w:sz w:val="16"/>
                <w:szCs w:val="16"/>
              </w:rPr>
            </w:pPr>
          </w:p>
        </w:tc>
        <w:tc>
          <w:tcPr>
            <w:tcW w:w="801" w:type="dxa"/>
          </w:tcPr>
          <w:p w14:paraId="202C74E1" w14:textId="77777777" w:rsidR="00531570" w:rsidRPr="00D03F3E" w:rsidRDefault="00531570" w:rsidP="00D03F3E">
            <w:pPr>
              <w:pStyle w:val="Iauiue"/>
              <w:jc w:val="both"/>
              <w:rPr>
                <w:color w:val="000000" w:themeColor="text1"/>
                <w:sz w:val="16"/>
                <w:szCs w:val="16"/>
              </w:rPr>
            </w:pPr>
          </w:p>
        </w:tc>
        <w:tc>
          <w:tcPr>
            <w:tcW w:w="801" w:type="dxa"/>
          </w:tcPr>
          <w:p w14:paraId="648CADA2" w14:textId="77777777" w:rsidR="00531570" w:rsidRPr="00D03F3E" w:rsidRDefault="00531570" w:rsidP="00D03F3E">
            <w:pPr>
              <w:pStyle w:val="Iauiue"/>
              <w:jc w:val="both"/>
              <w:rPr>
                <w:color w:val="000000" w:themeColor="text1"/>
                <w:sz w:val="16"/>
                <w:szCs w:val="16"/>
              </w:rPr>
            </w:pPr>
          </w:p>
        </w:tc>
        <w:tc>
          <w:tcPr>
            <w:tcW w:w="1863" w:type="dxa"/>
          </w:tcPr>
          <w:p w14:paraId="03EE0E26" w14:textId="77777777" w:rsidR="00531570" w:rsidRPr="00D03F3E" w:rsidRDefault="00531570" w:rsidP="00D03F3E">
            <w:pPr>
              <w:pStyle w:val="Iauiue"/>
              <w:jc w:val="both"/>
              <w:rPr>
                <w:color w:val="000000" w:themeColor="text1"/>
                <w:sz w:val="16"/>
                <w:szCs w:val="16"/>
              </w:rPr>
            </w:pPr>
          </w:p>
        </w:tc>
      </w:tr>
      <w:tr w:rsidR="00860B4B" w:rsidRPr="00D03F3E" w14:paraId="5E4D9D7E" w14:textId="77777777">
        <w:tc>
          <w:tcPr>
            <w:tcW w:w="1526" w:type="dxa"/>
          </w:tcPr>
          <w:p w14:paraId="762B31F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нагн. магнето</w:t>
            </w:r>
          </w:p>
        </w:tc>
        <w:tc>
          <w:tcPr>
            <w:tcW w:w="801" w:type="dxa"/>
          </w:tcPr>
          <w:p w14:paraId="7229EB6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10537</w:t>
            </w:r>
          </w:p>
        </w:tc>
        <w:tc>
          <w:tcPr>
            <w:tcW w:w="801" w:type="dxa"/>
          </w:tcPr>
          <w:p w14:paraId="4D390B0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11757</w:t>
            </w:r>
          </w:p>
        </w:tc>
        <w:tc>
          <w:tcPr>
            <w:tcW w:w="801" w:type="dxa"/>
          </w:tcPr>
          <w:p w14:paraId="2068534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496</w:t>
            </w:r>
          </w:p>
        </w:tc>
        <w:tc>
          <w:tcPr>
            <w:tcW w:w="801" w:type="dxa"/>
          </w:tcPr>
          <w:p w14:paraId="5D4F6E7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536</w:t>
            </w:r>
          </w:p>
        </w:tc>
        <w:tc>
          <w:tcPr>
            <w:tcW w:w="801" w:type="dxa"/>
          </w:tcPr>
          <w:p w14:paraId="4B4D6A0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542</w:t>
            </w:r>
          </w:p>
        </w:tc>
        <w:tc>
          <w:tcPr>
            <w:tcW w:w="801" w:type="dxa"/>
          </w:tcPr>
          <w:p w14:paraId="73E95B1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801" w:type="dxa"/>
          </w:tcPr>
          <w:p w14:paraId="5A59802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801" w:type="dxa"/>
          </w:tcPr>
          <w:p w14:paraId="3696A53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2020</w:t>
            </w:r>
          </w:p>
        </w:tc>
        <w:tc>
          <w:tcPr>
            <w:tcW w:w="801" w:type="dxa"/>
          </w:tcPr>
          <w:p w14:paraId="4C4E417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450</w:t>
            </w:r>
          </w:p>
        </w:tc>
        <w:tc>
          <w:tcPr>
            <w:tcW w:w="1863" w:type="dxa"/>
          </w:tcPr>
          <w:p w14:paraId="7133764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545</w:t>
            </w:r>
          </w:p>
        </w:tc>
      </w:tr>
      <w:tr w:rsidR="00860B4B" w:rsidRPr="00D03F3E" w14:paraId="06EA86CE" w14:textId="77777777">
        <w:tc>
          <w:tcPr>
            <w:tcW w:w="1526" w:type="dxa"/>
          </w:tcPr>
          <w:p w14:paraId="629FD5FE" w14:textId="77777777" w:rsidR="00531570" w:rsidRPr="00D03F3E" w:rsidRDefault="00531570" w:rsidP="00D03F3E">
            <w:pPr>
              <w:pStyle w:val="Iauiue"/>
              <w:jc w:val="both"/>
              <w:rPr>
                <w:color w:val="000000" w:themeColor="text1"/>
                <w:sz w:val="16"/>
                <w:szCs w:val="16"/>
              </w:rPr>
            </w:pPr>
          </w:p>
        </w:tc>
        <w:tc>
          <w:tcPr>
            <w:tcW w:w="801" w:type="dxa"/>
          </w:tcPr>
          <w:p w14:paraId="28E16EB5" w14:textId="77777777" w:rsidR="00531570" w:rsidRPr="00D03F3E" w:rsidRDefault="00531570" w:rsidP="00D03F3E">
            <w:pPr>
              <w:pStyle w:val="Iauiue"/>
              <w:jc w:val="both"/>
              <w:rPr>
                <w:color w:val="000000" w:themeColor="text1"/>
                <w:sz w:val="16"/>
                <w:szCs w:val="16"/>
              </w:rPr>
            </w:pPr>
          </w:p>
        </w:tc>
        <w:tc>
          <w:tcPr>
            <w:tcW w:w="801" w:type="dxa"/>
          </w:tcPr>
          <w:p w14:paraId="6B60CBC6" w14:textId="77777777" w:rsidR="00531570" w:rsidRPr="00D03F3E" w:rsidRDefault="00531570" w:rsidP="00D03F3E">
            <w:pPr>
              <w:pStyle w:val="Iauiue"/>
              <w:jc w:val="both"/>
              <w:rPr>
                <w:color w:val="000000" w:themeColor="text1"/>
                <w:sz w:val="16"/>
                <w:szCs w:val="16"/>
              </w:rPr>
            </w:pPr>
          </w:p>
        </w:tc>
        <w:tc>
          <w:tcPr>
            <w:tcW w:w="801" w:type="dxa"/>
          </w:tcPr>
          <w:p w14:paraId="7B7669B4" w14:textId="77777777" w:rsidR="00531570" w:rsidRPr="00D03F3E" w:rsidRDefault="00531570" w:rsidP="00D03F3E">
            <w:pPr>
              <w:pStyle w:val="Iauiue"/>
              <w:jc w:val="both"/>
              <w:rPr>
                <w:color w:val="000000" w:themeColor="text1"/>
                <w:sz w:val="16"/>
                <w:szCs w:val="16"/>
              </w:rPr>
            </w:pPr>
          </w:p>
        </w:tc>
        <w:tc>
          <w:tcPr>
            <w:tcW w:w="801" w:type="dxa"/>
          </w:tcPr>
          <w:p w14:paraId="08C22B7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3200</w:t>
            </w:r>
          </w:p>
        </w:tc>
        <w:tc>
          <w:tcPr>
            <w:tcW w:w="801" w:type="dxa"/>
          </w:tcPr>
          <w:p w14:paraId="1C0AE8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6160</w:t>
            </w:r>
          </w:p>
        </w:tc>
        <w:tc>
          <w:tcPr>
            <w:tcW w:w="801" w:type="dxa"/>
          </w:tcPr>
          <w:p w14:paraId="698ECF48" w14:textId="77777777" w:rsidR="00531570" w:rsidRPr="00D03F3E" w:rsidRDefault="00531570" w:rsidP="00D03F3E">
            <w:pPr>
              <w:pStyle w:val="Iauiue"/>
              <w:jc w:val="both"/>
              <w:rPr>
                <w:color w:val="000000" w:themeColor="text1"/>
                <w:sz w:val="16"/>
                <w:szCs w:val="16"/>
              </w:rPr>
            </w:pPr>
          </w:p>
        </w:tc>
        <w:tc>
          <w:tcPr>
            <w:tcW w:w="801" w:type="dxa"/>
          </w:tcPr>
          <w:p w14:paraId="26B2E156" w14:textId="77777777" w:rsidR="00531570" w:rsidRPr="00D03F3E" w:rsidRDefault="00531570" w:rsidP="00D03F3E">
            <w:pPr>
              <w:pStyle w:val="Iauiue"/>
              <w:jc w:val="both"/>
              <w:rPr>
                <w:color w:val="000000" w:themeColor="text1"/>
                <w:sz w:val="16"/>
                <w:szCs w:val="16"/>
              </w:rPr>
            </w:pPr>
          </w:p>
        </w:tc>
        <w:tc>
          <w:tcPr>
            <w:tcW w:w="801" w:type="dxa"/>
          </w:tcPr>
          <w:p w14:paraId="377B7476" w14:textId="77777777" w:rsidR="00531570" w:rsidRPr="00D03F3E" w:rsidRDefault="00531570" w:rsidP="00D03F3E">
            <w:pPr>
              <w:pStyle w:val="Iauiue"/>
              <w:jc w:val="both"/>
              <w:rPr>
                <w:color w:val="000000" w:themeColor="text1"/>
                <w:sz w:val="16"/>
                <w:szCs w:val="16"/>
              </w:rPr>
            </w:pPr>
          </w:p>
        </w:tc>
        <w:tc>
          <w:tcPr>
            <w:tcW w:w="801" w:type="dxa"/>
          </w:tcPr>
          <w:p w14:paraId="162FB301" w14:textId="77777777" w:rsidR="00531570" w:rsidRPr="00D03F3E" w:rsidRDefault="00531570" w:rsidP="00D03F3E">
            <w:pPr>
              <w:pStyle w:val="Iauiue"/>
              <w:jc w:val="both"/>
              <w:rPr>
                <w:color w:val="000000" w:themeColor="text1"/>
                <w:sz w:val="16"/>
                <w:szCs w:val="16"/>
              </w:rPr>
            </w:pPr>
          </w:p>
        </w:tc>
        <w:tc>
          <w:tcPr>
            <w:tcW w:w="1863" w:type="dxa"/>
          </w:tcPr>
          <w:p w14:paraId="3EF2E290" w14:textId="77777777" w:rsidR="00531570" w:rsidRPr="00D03F3E" w:rsidRDefault="00531570" w:rsidP="00D03F3E">
            <w:pPr>
              <w:pStyle w:val="Iauiue"/>
              <w:jc w:val="both"/>
              <w:rPr>
                <w:color w:val="000000" w:themeColor="text1"/>
                <w:sz w:val="16"/>
                <w:szCs w:val="16"/>
              </w:rPr>
            </w:pPr>
          </w:p>
        </w:tc>
      </w:tr>
      <w:tr w:rsidR="00860B4B" w:rsidRPr="00D03F3E" w14:paraId="5CB309C2" w14:textId="77777777">
        <w:tc>
          <w:tcPr>
            <w:tcW w:w="1526" w:type="dxa"/>
          </w:tcPr>
          <w:p w14:paraId="6E42542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скорость</w:t>
            </w:r>
          </w:p>
        </w:tc>
        <w:tc>
          <w:tcPr>
            <w:tcW w:w="801" w:type="dxa"/>
          </w:tcPr>
          <w:p w14:paraId="01A3CC78" w14:textId="77777777" w:rsidR="00531570" w:rsidRPr="00D03F3E" w:rsidRDefault="00531570" w:rsidP="00D03F3E">
            <w:pPr>
              <w:pStyle w:val="Iauiue"/>
              <w:jc w:val="both"/>
              <w:rPr>
                <w:color w:val="000000" w:themeColor="text1"/>
                <w:sz w:val="16"/>
                <w:szCs w:val="16"/>
              </w:rPr>
            </w:pPr>
          </w:p>
        </w:tc>
        <w:tc>
          <w:tcPr>
            <w:tcW w:w="801" w:type="dxa"/>
          </w:tcPr>
          <w:p w14:paraId="03E7B8CA" w14:textId="77777777" w:rsidR="00531570" w:rsidRPr="00D03F3E" w:rsidRDefault="00531570" w:rsidP="00D03F3E">
            <w:pPr>
              <w:pStyle w:val="Iauiue"/>
              <w:jc w:val="both"/>
              <w:rPr>
                <w:color w:val="000000" w:themeColor="text1"/>
                <w:sz w:val="16"/>
                <w:szCs w:val="16"/>
              </w:rPr>
            </w:pPr>
          </w:p>
        </w:tc>
        <w:tc>
          <w:tcPr>
            <w:tcW w:w="801" w:type="dxa"/>
          </w:tcPr>
          <w:p w14:paraId="6BA8E2C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460</w:t>
            </w:r>
          </w:p>
        </w:tc>
        <w:tc>
          <w:tcPr>
            <w:tcW w:w="801" w:type="dxa"/>
          </w:tcPr>
          <w:p w14:paraId="4910662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530</w:t>
            </w:r>
          </w:p>
        </w:tc>
        <w:tc>
          <w:tcPr>
            <w:tcW w:w="801" w:type="dxa"/>
          </w:tcPr>
          <w:p w14:paraId="152CDFB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560</w:t>
            </w:r>
          </w:p>
        </w:tc>
        <w:tc>
          <w:tcPr>
            <w:tcW w:w="801" w:type="dxa"/>
          </w:tcPr>
          <w:p w14:paraId="758FEDC9" w14:textId="77777777" w:rsidR="00531570" w:rsidRPr="00D03F3E" w:rsidRDefault="00531570" w:rsidP="00D03F3E">
            <w:pPr>
              <w:pStyle w:val="Iauiue"/>
              <w:jc w:val="both"/>
              <w:rPr>
                <w:color w:val="000000" w:themeColor="text1"/>
                <w:sz w:val="16"/>
                <w:szCs w:val="16"/>
              </w:rPr>
            </w:pPr>
          </w:p>
        </w:tc>
        <w:tc>
          <w:tcPr>
            <w:tcW w:w="801" w:type="dxa"/>
          </w:tcPr>
          <w:p w14:paraId="2DA22498" w14:textId="77777777" w:rsidR="00531570" w:rsidRPr="00D03F3E" w:rsidRDefault="00531570" w:rsidP="00D03F3E">
            <w:pPr>
              <w:pStyle w:val="Iauiue"/>
              <w:jc w:val="both"/>
              <w:rPr>
                <w:color w:val="000000" w:themeColor="text1"/>
                <w:sz w:val="16"/>
                <w:szCs w:val="16"/>
              </w:rPr>
            </w:pPr>
          </w:p>
        </w:tc>
        <w:tc>
          <w:tcPr>
            <w:tcW w:w="801" w:type="dxa"/>
          </w:tcPr>
          <w:p w14:paraId="40629656" w14:textId="77777777" w:rsidR="00531570" w:rsidRPr="00D03F3E" w:rsidRDefault="00531570" w:rsidP="00D03F3E">
            <w:pPr>
              <w:pStyle w:val="Iauiue"/>
              <w:jc w:val="both"/>
              <w:rPr>
                <w:color w:val="000000" w:themeColor="text1"/>
                <w:sz w:val="16"/>
                <w:szCs w:val="16"/>
              </w:rPr>
            </w:pPr>
          </w:p>
        </w:tc>
        <w:tc>
          <w:tcPr>
            <w:tcW w:w="801" w:type="dxa"/>
          </w:tcPr>
          <w:p w14:paraId="212E4726" w14:textId="77777777" w:rsidR="00531570" w:rsidRPr="00D03F3E" w:rsidRDefault="00531570" w:rsidP="00D03F3E">
            <w:pPr>
              <w:pStyle w:val="Iauiue"/>
              <w:jc w:val="both"/>
              <w:rPr>
                <w:color w:val="000000" w:themeColor="text1"/>
                <w:sz w:val="16"/>
                <w:szCs w:val="16"/>
              </w:rPr>
            </w:pPr>
          </w:p>
        </w:tc>
        <w:tc>
          <w:tcPr>
            <w:tcW w:w="1863" w:type="dxa"/>
          </w:tcPr>
          <w:p w14:paraId="076C317C" w14:textId="77777777" w:rsidR="00531570" w:rsidRPr="00D03F3E" w:rsidRDefault="00531570" w:rsidP="00D03F3E">
            <w:pPr>
              <w:pStyle w:val="Iauiue"/>
              <w:jc w:val="both"/>
              <w:rPr>
                <w:color w:val="000000" w:themeColor="text1"/>
                <w:sz w:val="16"/>
                <w:szCs w:val="16"/>
              </w:rPr>
            </w:pPr>
          </w:p>
        </w:tc>
      </w:tr>
    </w:tbl>
    <w:p w14:paraId="5B8A3BA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Таким образом, скорость у земли получилась больше обещанной на 36 км.</w:t>
      </w:r>
    </w:p>
    <w:p w14:paraId="611F704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Скорость на 1-й скорости нагнетателя на высоте 3200 м получилась больше обещан. на 6 км.</w:t>
      </w:r>
    </w:p>
    <w:p w14:paraId="0E22276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 только, начиная с высоты 5600 м, получился недобор скоростей за счет того, что высотность мотора М-82 оказалась менее обещанной моторным заводом.</w:t>
      </w:r>
    </w:p>
    <w:p w14:paraId="4F4DB62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Вооружение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2"/>
        <w:gridCol w:w="1560"/>
        <w:gridCol w:w="1984"/>
        <w:gridCol w:w="1418"/>
        <w:gridCol w:w="1626"/>
        <w:gridCol w:w="2773"/>
      </w:tblGrid>
      <w:tr w:rsidR="00860B4B" w:rsidRPr="00D03F3E" w14:paraId="65E762E8" w14:textId="77777777">
        <w:tc>
          <w:tcPr>
            <w:tcW w:w="1242" w:type="dxa"/>
          </w:tcPr>
          <w:p w14:paraId="735241BF" w14:textId="77777777" w:rsidR="00531570" w:rsidRPr="00D03F3E" w:rsidRDefault="00531570" w:rsidP="00D03F3E">
            <w:pPr>
              <w:pStyle w:val="Iauiue"/>
              <w:jc w:val="both"/>
              <w:rPr>
                <w:color w:val="000000" w:themeColor="text1"/>
                <w:sz w:val="16"/>
                <w:szCs w:val="16"/>
              </w:rPr>
            </w:pPr>
          </w:p>
        </w:tc>
        <w:tc>
          <w:tcPr>
            <w:tcW w:w="1560" w:type="dxa"/>
          </w:tcPr>
          <w:p w14:paraId="35B12A1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Бомбовая нагрузка</w:t>
            </w:r>
          </w:p>
        </w:tc>
        <w:tc>
          <w:tcPr>
            <w:tcW w:w="1984" w:type="dxa"/>
          </w:tcPr>
          <w:p w14:paraId="68A83E7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Стрелковое вооружение</w:t>
            </w:r>
          </w:p>
        </w:tc>
        <w:tc>
          <w:tcPr>
            <w:tcW w:w="1418" w:type="dxa"/>
          </w:tcPr>
          <w:p w14:paraId="19716F71" w14:textId="77777777" w:rsidR="00531570" w:rsidRPr="00D03F3E" w:rsidRDefault="00531570" w:rsidP="00D03F3E">
            <w:pPr>
              <w:pStyle w:val="Iauiue"/>
              <w:jc w:val="both"/>
              <w:rPr>
                <w:color w:val="000000" w:themeColor="text1"/>
                <w:sz w:val="16"/>
                <w:szCs w:val="16"/>
              </w:rPr>
            </w:pPr>
          </w:p>
        </w:tc>
        <w:tc>
          <w:tcPr>
            <w:tcW w:w="1626" w:type="dxa"/>
          </w:tcPr>
          <w:p w14:paraId="2FCD007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Реактивное</w:t>
            </w:r>
          </w:p>
        </w:tc>
        <w:tc>
          <w:tcPr>
            <w:tcW w:w="2773" w:type="dxa"/>
          </w:tcPr>
          <w:p w14:paraId="6697BAD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Примечание</w:t>
            </w:r>
          </w:p>
        </w:tc>
      </w:tr>
      <w:tr w:rsidR="00860B4B" w:rsidRPr="00D03F3E" w14:paraId="113B5298" w14:textId="77777777">
        <w:tc>
          <w:tcPr>
            <w:tcW w:w="1242" w:type="dxa"/>
          </w:tcPr>
          <w:p w14:paraId="78CA3CD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Норм.</w:t>
            </w:r>
          </w:p>
        </w:tc>
        <w:tc>
          <w:tcPr>
            <w:tcW w:w="1560" w:type="dxa"/>
          </w:tcPr>
          <w:p w14:paraId="018CE6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Максим.</w:t>
            </w:r>
          </w:p>
        </w:tc>
        <w:tc>
          <w:tcPr>
            <w:tcW w:w="1984" w:type="dxa"/>
          </w:tcPr>
          <w:p w14:paraId="157E8F6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Вперед</w:t>
            </w:r>
          </w:p>
        </w:tc>
        <w:tc>
          <w:tcPr>
            <w:tcW w:w="1418" w:type="dxa"/>
          </w:tcPr>
          <w:p w14:paraId="335028D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Назад</w:t>
            </w:r>
          </w:p>
        </w:tc>
        <w:tc>
          <w:tcPr>
            <w:tcW w:w="1626" w:type="dxa"/>
          </w:tcPr>
          <w:p w14:paraId="253C0EA6" w14:textId="77777777" w:rsidR="00531570" w:rsidRPr="00D03F3E" w:rsidRDefault="00531570" w:rsidP="00D03F3E">
            <w:pPr>
              <w:pStyle w:val="Iauiue"/>
              <w:jc w:val="both"/>
              <w:rPr>
                <w:color w:val="000000" w:themeColor="text1"/>
                <w:sz w:val="16"/>
                <w:szCs w:val="16"/>
              </w:rPr>
            </w:pPr>
          </w:p>
        </w:tc>
        <w:tc>
          <w:tcPr>
            <w:tcW w:w="2773" w:type="dxa"/>
          </w:tcPr>
          <w:p w14:paraId="0C0AB12A" w14:textId="77777777" w:rsidR="00531570" w:rsidRPr="00D03F3E" w:rsidRDefault="00531570" w:rsidP="00D03F3E">
            <w:pPr>
              <w:pStyle w:val="Iauiue"/>
              <w:jc w:val="both"/>
              <w:rPr>
                <w:color w:val="000000" w:themeColor="text1"/>
                <w:sz w:val="16"/>
                <w:szCs w:val="16"/>
              </w:rPr>
            </w:pPr>
          </w:p>
        </w:tc>
      </w:tr>
      <w:tr w:rsidR="00860B4B" w:rsidRPr="00D03F3E" w14:paraId="5CA08E30" w14:textId="77777777">
        <w:tc>
          <w:tcPr>
            <w:tcW w:w="1242" w:type="dxa"/>
          </w:tcPr>
          <w:p w14:paraId="2BDC412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 кг</w:t>
            </w:r>
          </w:p>
        </w:tc>
        <w:tc>
          <w:tcPr>
            <w:tcW w:w="1560" w:type="dxa"/>
          </w:tcPr>
          <w:p w14:paraId="3BBBA87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3000 кг</w:t>
            </w:r>
          </w:p>
        </w:tc>
        <w:tc>
          <w:tcPr>
            <w:tcW w:w="1984" w:type="dxa"/>
          </w:tcPr>
          <w:p w14:paraId="293B40D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Шкас*</w:t>
            </w:r>
          </w:p>
        </w:tc>
        <w:tc>
          <w:tcPr>
            <w:tcW w:w="1418" w:type="dxa"/>
          </w:tcPr>
          <w:p w14:paraId="6132C16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пул. 12,7 вниз</w:t>
            </w:r>
          </w:p>
        </w:tc>
        <w:tc>
          <w:tcPr>
            <w:tcW w:w="1626" w:type="dxa"/>
          </w:tcPr>
          <w:p w14:paraId="73329C0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 р.с.</w:t>
            </w:r>
          </w:p>
        </w:tc>
        <w:tc>
          <w:tcPr>
            <w:tcW w:w="2773" w:type="dxa"/>
          </w:tcPr>
          <w:p w14:paraId="7799A6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Шкас с 51-й серийной</w:t>
            </w:r>
          </w:p>
        </w:tc>
      </w:tr>
      <w:tr w:rsidR="00860B4B" w:rsidRPr="00D03F3E" w14:paraId="3053B067" w14:textId="77777777">
        <w:tc>
          <w:tcPr>
            <w:tcW w:w="1242" w:type="dxa"/>
          </w:tcPr>
          <w:p w14:paraId="167BBC8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Калибр от</w:t>
            </w:r>
          </w:p>
        </w:tc>
        <w:tc>
          <w:tcPr>
            <w:tcW w:w="1560" w:type="dxa"/>
          </w:tcPr>
          <w:p w14:paraId="23FD4364" w14:textId="77777777" w:rsidR="00531570" w:rsidRPr="00D03F3E" w:rsidRDefault="00531570" w:rsidP="00D03F3E">
            <w:pPr>
              <w:pStyle w:val="Iauiue"/>
              <w:jc w:val="both"/>
              <w:rPr>
                <w:color w:val="000000" w:themeColor="text1"/>
                <w:sz w:val="16"/>
                <w:szCs w:val="16"/>
              </w:rPr>
            </w:pPr>
          </w:p>
        </w:tc>
        <w:tc>
          <w:tcPr>
            <w:tcW w:w="1984" w:type="dxa"/>
          </w:tcPr>
          <w:p w14:paraId="460F28D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Швак</w:t>
            </w:r>
          </w:p>
        </w:tc>
        <w:tc>
          <w:tcPr>
            <w:tcW w:w="1418" w:type="dxa"/>
          </w:tcPr>
          <w:p w14:paraId="4E9DE3C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пул. 12,7 вверх</w:t>
            </w:r>
          </w:p>
        </w:tc>
        <w:tc>
          <w:tcPr>
            <w:tcW w:w="1626" w:type="dxa"/>
          </w:tcPr>
          <w:p w14:paraId="1A38C4F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вперед</w:t>
            </w:r>
          </w:p>
        </w:tc>
        <w:tc>
          <w:tcPr>
            <w:tcW w:w="2773" w:type="dxa"/>
          </w:tcPr>
          <w:p w14:paraId="0EE989A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машины сняты по предложению</w:t>
            </w:r>
          </w:p>
        </w:tc>
      </w:tr>
      <w:tr w:rsidR="00860B4B" w:rsidRPr="00D03F3E" w14:paraId="4CE6EF2A" w14:textId="77777777">
        <w:tc>
          <w:tcPr>
            <w:tcW w:w="1242" w:type="dxa"/>
          </w:tcPr>
          <w:p w14:paraId="15A3313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 до 1000 кг</w:t>
            </w:r>
          </w:p>
        </w:tc>
        <w:tc>
          <w:tcPr>
            <w:tcW w:w="1560" w:type="dxa"/>
          </w:tcPr>
          <w:p w14:paraId="30A4D87D" w14:textId="77777777" w:rsidR="00531570" w:rsidRPr="00D03F3E" w:rsidRDefault="00531570" w:rsidP="00D03F3E">
            <w:pPr>
              <w:pStyle w:val="Iauiue"/>
              <w:jc w:val="both"/>
              <w:rPr>
                <w:color w:val="000000" w:themeColor="text1"/>
                <w:sz w:val="16"/>
                <w:szCs w:val="16"/>
              </w:rPr>
            </w:pPr>
          </w:p>
        </w:tc>
        <w:tc>
          <w:tcPr>
            <w:tcW w:w="1984" w:type="dxa"/>
          </w:tcPr>
          <w:p w14:paraId="3F11F965" w14:textId="77777777" w:rsidR="00531570" w:rsidRPr="00D03F3E" w:rsidRDefault="00531570" w:rsidP="00D03F3E">
            <w:pPr>
              <w:pStyle w:val="Iauiue"/>
              <w:jc w:val="both"/>
              <w:rPr>
                <w:color w:val="000000" w:themeColor="text1"/>
                <w:sz w:val="16"/>
                <w:szCs w:val="16"/>
              </w:rPr>
            </w:pPr>
          </w:p>
        </w:tc>
        <w:tc>
          <w:tcPr>
            <w:tcW w:w="1418" w:type="dxa"/>
          </w:tcPr>
          <w:p w14:paraId="2F996432" w14:textId="77777777" w:rsidR="00531570" w:rsidRPr="00D03F3E" w:rsidRDefault="00531570" w:rsidP="00D03F3E">
            <w:pPr>
              <w:pStyle w:val="Iauiue"/>
              <w:jc w:val="both"/>
              <w:rPr>
                <w:color w:val="000000" w:themeColor="text1"/>
                <w:sz w:val="16"/>
                <w:szCs w:val="16"/>
              </w:rPr>
            </w:pPr>
          </w:p>
        </w:tc>
        <w:tc>
          <w:tcPr>
            <w:tcW w:w="1626" w:type="dxa"/>
          </w:tcPr>
          <w:p w14:paraId="2AA5971A" w14:textId="77777777" w:rsidR="00531570" w:rsidRPr="00D03F3E" w:rsidRDefault="00531570" w:rsidP="00D03F3E">
            <w:pPr>
              <w:pStyle w:val="Iauiue"/>
              <w:jc w:val="both"/>
              <w:rPr>
                <w:color w:val="000000" w:themeColor="text1"/>
                <w:sz w:val="16"/>
                <w:szCs w:val="16"/>
              </w:rPr>
            </w:pPr>
          </w:p>
        </w:tc>
        <w:tc>
          <w:tcPr>
            <w:tcW w:w="2773" w:type="dxa"/>
          </w:tcPr>
          <w:p w14:paraId="2DA2781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командования</w:t>
            </w:r>
          </w:p>
        </w:tc>
      </w:tr>
    </w:tbl>
    <w:p w14:paraId="5271F70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Вооружение, бомбовая нагрузка и летно-тактические данные самолета Ту-2 значительно превосходят данные самолетов бомбардировщиков, состоящих на вооружении в ВВС.</w:t>
      </w:r>
    </w:p>
    <w:p w14:paraId="791F6A9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Назначение самолета Ту-2.</w:t>
      </w:r>
    </w:p>
    <w:p w14:paraId="4548030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Благодаря мощному вооружению, большой бомбовой нагрузке (3000 кг, из них 1000 кг внутри фюзеляжа), дальности, высотности и скоростям, самолет Ту-2 предназначался при проектировании и используется на фронте:</w:t>
      </w:r>
    </w:p>
    <w:p w14:paraId="76A9395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Как бомбардировщик ближнего действия (оперативная зона),</w:t>
      </w:r>
    </w:p>
    <w:p w14:paraId="550902D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Как бомбардировщик дальнего действия (стратегическая зона),</w:t>
      </w:r>
    </w:p>
    <w:p w14:paraId="55BDC18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как пикирующий бомбардировщик,</w:t>
      </w:r>
    </w:p>
    <w:p w14:paraId="6BB5207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как разведчик.</w:t>
      </w:r>
    </w:p>
    <w:p w14:paraId="1EAB74B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Данные боевой эксплуатации и испытаний самолета.</w:t>
      </w:r>
    </w:p>
    <w:p w14:paraId="32A8365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Войсковые испытания самолета Ту-2, как бомбардировщика, проведены на Калининском фронте в сентябре-октябре 1942 г. НИИ ВВС и 128 АП.</w:t>
      </w:r>
    </w:p>
    <w:p w14:paraId="7A3A70F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отчете отмечается, что:</w:t>
      </w:r>
    </w:p>
    <w:p w14:paraId="2F0D86A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самолете Ту-2 с 2 М-82 правильно разрешена тактическая схема современного бомбардировщика. Его положительными боевыми свойствами являются:"</w:t>
      </w:r>
    </w:p>
    <w:p w14:paraId="34F2BD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Большая бомбовая нагрузка при достаточном радиусе действия.</w:t>
      </w:r>
    </w:p>
    <w:p w14:paraId="5F6C4AF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Наличие моторов воздушного охлаждения.</w:t>
      </w:r>
    </w:p>
    <w:p w14:paraId="5883DB5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Хорошая огневая схема, являющаяся эффективной при установке тяжелых пулеметов и пушек.</w:t>
      </w:r>
    </w:p>
    <w:p w14:paraId="55825FA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Экипаж 4 человека и его размещение, обеспечивающее надежно-боевую работу штурмовику и летчику.</w:t>
      </w:r>
    </w:p>
    <w:p w14:paraId="059BD18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Возможность мотора на 1 моторе.</w:t>
      </w:r>
    </w:p>
    <w:p w14:paraId="45C2BFD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Легкость освоения летным составом после самолета Пе-2."</w:t>
      </w:r>
    </w:p>
    <w:p w14:paraId="5B45E4E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отчете указывается на ряд дефектов, в большинстве уже устраненных на самолетах последующих серий и делается заключение:</w:t>
      </w:r>
    </w:p>
    <w:p w14:paraId="236C722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"Считать необходимым ускорить внедрение самолета Ту-2 в ВВС".</w:t>
      </w:r>
    </w:p>
    <w:p w14:paraId="1264070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Самолеты делали боевые вылеты днем, как правило звеном без сопровождения истребителями7 Потерь не имели. Бомбовая нагрузка была от 1000 до 2000 кг. Калибры бомб от 100 кг до 1000 кг.</w:t>
      </w:r>
    </w:p>
    <w:p w14:paraId="226E6E9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одном из вылетов по Ржеву, проведенному совместно с девяткой Пе-2, соответственно с максимальной для этих условий и обоих самолетов нагрузкой, звено (3 самолета) Ту-2 несло 6х1000=6000 кг бомб, а девятка Пе-2 54х100=5400 кг.</w:t>
      </w:r>
    </w:p>
    <w:p w14:paraId="0196331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Боевая работа самолета Ту-2, как разведчика, проверялась НИИ ВВС в 47 гвард. АП ДР в январе-феврале 1945 года и на Калининском и Западном фронте.</w:t>
      </w:r>
    </w:p>
    <w:p w14:paraId="7A319ED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Отчет дает положительную оценку самолета Ту-2, как разведчику, отмечая преимущество его по сравнению с самолетами Пе-2 и Пе-3.</w:t>
      </w:r>
    </w:p>
    <w:p w14:paraId="5CA86B0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Испытание самолета Ту-2, как пикирующего бомбардировщика, проведены на Калининском фронте НИИ ВВС и командованием фронта в октябре 1942 г. и феврале 1943 г.</w:t>
      </w:r>
    </w:p>
    <w:p w14:paraId="441E38A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Проверено сбрасывание бомб весом калибров до 1000 кг с внешней и внутренней подвески до углов пикирования 75 градусов.</w:t>
      </w:r>
    </w:p>
    <w:p w14:paraId="5670C52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Пикирование проводилось со щитками и без щитков7</w:t>
      </w:r>
    </w:p>
    <w:p w14:paraId="3F48122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Отчет дает положительное заключение о самолете, как пикирующем бомбардировщике.</w:t>
      </w:r>
    </w:p>
    <w:p w14:paraId="4AED49B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Испытания, проведенные НИИ ВВС, подтверждены летной работой 12 АП, сделавшего около 450 пикирований.</w:t>
      </w:r>
    </w:p>
    <w:p w14:paraId="0C31F2B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Производственная характеристика самолета Ту-2.</w:t>
      </w:r>
    </w:p>
    <w:p w14:paraId="7339D66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Самолет Ту-2 проектировался для крупносерийного производства на основе плазово-шаблонного метода, обеспечивающего взаимозаменяемость агрегатов самолета.</w:t>
      </w:r>
    </w:p>
    <w:p w14:paraId="0CE44CC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Конструктивно самолет разбит на ряд агрегатов, могущих изготовляться и полностью собираться раздельно (даже на разных заводах), что обеспечивает широкую кооперацию, с последующей стыковкой при окончательной сборке самолета.</w:t>
      </w:r>
    </w:p>
    <w:p w14:paraId="2D610EE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конструкции очень много литья (свыше 600 наименований) штамповки, стандартных профилей и т.п.</w:t>
      </w:r>
    </w:p>
    <w:p w14:paraId="7F86AE9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Эти конструктивные особенности самолета требуют достаточной оснастки, дающей при ее внедрении резкое снижение трудоемкости самолета.</w:t>
      </w:r>
    </w:p>
    <w:p w14:paraId="6CE54A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Расход цветного металла.</w:t>
      </w:r>
    </w:p>
    <w:p w14:paraId="336BA4C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Расход цветного металла, отнесенный к 100 кг бомб, носимых самолетом (т.н. своеобразный коэффициент полезного действия самолета) у серийного самолета Ту-2 значительно ниже Пе-2, а при переходе на упрощенный тип Ту-2 расход алюминия становится меньше в три раза, чем на самолете Пе-2.</w:t>
      </w:r>
    </w:p>
    <w:p w14:paraId="439D2E0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Внедрение дерева.</w:t>
      </w:r>
    </w:p>
    <w:p w14:paraId="7FFA895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Ко времени консервации самолета, были конструктивно разработаны и частично пущены в серийное производство деревянные агрегаты:</w:t>
      </w:r>
    </w:p>
    <w:p w14:paraId="4972E80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Передняя часть фюзеляжа,</w:t>
      </w:r>
    </w:p>
    <w:p w14:paraId="583C3B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хвостовая часть фюзеляжа,</w:t>
      </w:r>
    </w:p>
    <w:p w14:paraId="19BAA10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стабилизатор и кили,</w:t>
      </w:r>
    </w:p>
    <w:p w14:paraId="27C0770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створки бомболюков,</w:t>
      </w:r>
    </w:p>
    <w:p w14:paraId="1DA2966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мото-гондолы и створки шасси,</w:t>
      </w:r>
    </w:p>
    <w:p w14:paraId="01704E2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6. концевые обтекатели крыльев,</w:t>
      </w:r>
    </w:p>
    <w:p w14:paraId="4C73D1A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 обтекатели, зализы и проч.</w:t>
      </w:r>
    </w:p>
    <w:p w14:paraId="123E4A6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Модификация самолета.</w:t>
      </w:r>
    </w:p>
    <w:p w14:paraId="7AB873A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обеспечения дальности самолета Ту-2 в варианте бомбардировщика и разведчика до 3000 км, был проработан самолет Ту-2 Д, отличающийся от серийного самолета Ту-2 новыми отъемами крыльев и оперением.</w:t>
      </w:r>
    </w:p>
    <w:p w14:paraId="113AD18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Самолет Ту-2 с небольшими доделками может быть использован в качестве торпедоносца (1458,212).</w:t>
      </w:r>
    </w:p>
    <w:p w14:paraId="1883D592" w14:textId="77777777" w:rsidR="00531570" w:rsidRPr="00D03F3E" w:rsidRDefault="00531570" w:rsidP="00D03F3E">
      <w:pPr>
        <w:pStyle w:val="Iauiue"/>
        <w:jc w:val="both"/>
        <w:rPr>
          <w:color w:val="000000" w:themeColor="text1"/>
          <w:sz w:val="16"/>
          <w:szCs w:val="16"/>
        </w:rPr>
      </w:pPr>
    </w:p>
    <w:p w14:paraId="14A5131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27 мая 1943 на 21 заводе была авария Ла-5 N 37212435 с М-82 6503226 (2129).</w:t>
      </w:r>
    </w:p>
    <w:p w14:paraId="1BDB078B" w14:textId="77777777" w:rsidR="00531570" w:rsidRPr="00D03F3E" w:rsidRDefault="00531570" w:rsidP="00D03F3E">
      <w:pPr>
        <w:pStyle w:val="Iauiue"/>
        <w:jc w:val="both"/>
        <w:rPr>
          <w:color w:val="000000" w:themeColor="text1"/>
          <w:sz w:val="16"/>
          <w:szCs w:val="16"/>
        </w:rPr>
      </w:pPr>
    </w:p>
    <w:p w14:paraId="3CBD285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27 мая 1943 Нач. ГУЗ ВВС КА г-м ИАС Селезнев писал письмо N 555556 А.С.Я. как Зам. НКАП о том, что полученные с завода 292 35 Як-1 показывают недобор скоростей (1778,267).</w:t>
      </w:r>
    </w:p>
    <w:p w14:paraId="3FC0E745" w14:textId="77777777" w:rsidR="00531570" w:rsidRPr="00D03F3E" w:rsidRDefault="00531570" w:rsidP="00D03F3E">
      <w:pPr>
        <w:pStyle w:val="Iauiue"/>
        <w:jc w:val="both"/>
        <w:rPr>
          <w:color w:val="000000" w:themeColor="text1"/>
          <w:sz w:val="16"/>
          <w:szCs w:val="16"/>
        </w:rPr>
      </w:pPr>
    </w:p>
    <w:p w14:paraId="66752A3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27 мая 1943 вышел приказ N 4 7ГУ:</w:t>
      </w:r>
    </w:p>
    <w:p w14:paraId="37E16C4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изучения отдельных явлений, связанных с полетами на больших скоростях реактивного самолета БИ конструкции Болховитинова:</w:t>
      </w:r>
    </w:p>
    <w:p w14:paraId="5E02BF2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ГК Болховитинову изготовить модель по ТТ ЦАГИ для аэродинамической продувки и продувки на флаттер (динамическая продувка) по проекту ЦАГИ к 20 июля 1943." (2534,4).</w:t>
      </w:r>
    </w:p>
    <w:p w14:paraId="2A6BDDDD" w14:textId="77777777" w:rsidR="00531570" w:rsidRPr="00D03F3E" w:rsidRDefault="00531570" w:rsidP="00D03F3E">
      <w:pPr>
        <w:pStyle w:val="Iauiue"/>
        <w:jc w:val="both"/>
        <w:rPr>
          <w:color w:val="000000" w:themeColor="text1"/>
          <w:sz w:val="16"/>
          <w:szCs w:val="16"/>
        </w:rPr>
      </w:pPr>
    </w:p>
    <w:p w14:paraId="072B1E96"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мая 1943 г. из ПОСТАНОВЛЕНИЯ БЮРО НОВОСИБИРСКОГО ОБКОМА ВКП(б) «ОБ УВЕЛИЧЕНИИ ВЫПУСКА САМОЛЕТОВ ЗАВОДОМ № 153 ИМЕНИ В.П. ЧКАЛОВА»</w:t>
      </w:r>
    </w:p>
    <w:p w14:paraId="1C4115EB"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Особая папка</w:t>
      </w:r>
    </w:p>
    <w:p w14:paraId="07F29F68"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Государственный Комитет Обороны СССР, учитывая возросшие потребности фронта в истребительской авиации, обязал завод № 153 с июня месяца увеличить производство самолетов и довести выпуск в августе месяце до 16 единиц в сутки. Между тем завод № 153, на протяжении второго полугодия 1942 года систематически выполнявший и перевыполнявший программу и в течение всего IV квартала являвшийся держателем переходящего Красного знамени Государственного Комитета Обороны, в первом квартале 1943 года значительно ухудшил работу. В январе месяце завод сорвал испытание и отгрузку самолетов на фронт. Выправив положение с отгрузкой в феврале месяце и выполнив план по выпуску, завод в марте вновь резко ухудшил работу и сорвал выполнение задания и по отгрузке, и по выпуску. В результате предмайского социалистического соревнования завод программу апреля месяца выполнил, но уже с первых чисел мая суточный график выпуска самолетов не выполняет и за 24 дня недодал фронту 45 машин. Такие результаты работы явились следствием отсутствия правильного руководства заводом, наличия крупных недостатков в организации и планировании производства, технологической распущенности, низкой трудовой дисциплины. Несмотря на то, что ритмичная работа производства немыслима без четкого и хорошо организованного планирования, серьезного внимания вопросам создания комплектных заделов на заводе не уделялось и вся работа по обеспечению выпуска была построена на системе аварийных и сверхаварийных графиков ... Так, цех № 2, который по своим мощностям может обеспечить двойную программу завода, сейчас работает с большим напряжением и лимитирует работу других цехов. В таком же положении находятся цехи № 50 и № 4 и другие. Все это привело к тому, что в мае месяце завод исчерпал запасы деталей и агрегатов и наличные заделы по ряду цехов часто не обеспечивают нормальной работы завода по графику. Строгая технологическая дисциплина, являющаяся законом массового производства, на заводе № 153 непростительно нарушается. Недостаточная ответственность руководящих работников отделов и цехов за точное и неуклонное соблюдение принятой технологии и введение новых технологических процессов без проверки их пригодности для массового производства в ряде случаев приводят к появлению массового брака. По этой причине было забраковано в январе и феврале 40 комплектов крыльев ЯК-9 и ручное управление на 90 машинах, в апреле на 63 машинах произведена повторная покраска, а в мае из-за применения несоответствующих процессу электродов и флюсов при сварке забраковано 70 комплектов шасси. Некоторые руководящие работники цехов (начальники цехов № 10 - т. Дудник, № 7 - т. Курников и другие) потеряли всякое чувство ответственности за качество выполняемых ими работ и разрешают рабочим сдавать детали и монтажи без предварительного осмотра и приемки, аппарат же ОТК, состоящий из недостаточно квалифицированных работников, не обеспечивает соблюдения установленных правил приемки, в результате чего предъявляемые военпреду самолеты имеют большое количество дефектов, подчас аварийного порядка. Так, на самолете № 38 360 военпредом было обнаружено около 100 дефектов; в январе и феврале месяцах на ЛИСе заменено около 2 000 дефектных деталей и свыше 10 процентов предъявленных самолетов не было допущено к полетам из-за плохого качества монтажа. Отсутствие технологической дисциплины и борьбы за качество выполняемой цехами работы в массовом порядке загружает производство дополнительной работой по исправлению брака и устранению дефектов, а потери рабочего времени на окончательный брак за последние 3 месяца составили свыше 97 тысяч нормо-часов. Испытывая острый недостаток в рабочей силе, хозяйственное и партийное руководство завода вопросам сохранения кадров должного внимания не уделяло, повседневной заботы о материально-бытовых условиях рабочих, особенно молодежи, не было, партийно-массовая работа была поставлена слабо. И это привело к тому, что за последние три месяца с завода дезертировало 957 человек, уволено по разным причинам свыше 700 человек. Бюро обкома ВКП(б) не может дальше терпеть подобного положения на заводе № 153, который является одним из основных поставщиков фронту истребительной авиации. Бюро обкома ВКП(б) предупреждает хозяйственное и партийное руководство и всю партийную организацию завода, что выполнение поставленной ГОКО задачи требует быстрого устранения отмеченных недостатков и мобилизации всего коллектива завода на преодоление трудностей, которые встретятся при выполнении увеличенной программы. Бюро обкома ВКП(б) ПОСТАНОВЛЯЕТ:</w:t>
      </w:r>
    </w:p>
    <w:p w14:paraId="01DA13C1"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горком и райкомы ВКП(б), горисполком и райисполкомы города Новосибирска, предприятия и хозяйственные организации города и области — все вопросы, связанные с оказанием помощи заводу № 153, решать положительно и быстро, за счет любых ресурсов и фондов. Предупредить, что за невыполнение этого пункта постановления виновные будут привлекаться к строгой партийной ответственности.</w:t>
      </w:r>
    </w:p>
    <w:p w14:paraId="263484B8"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Обязать Новосибирский горком ВКП(б) (т. Яковлева) и Дзержинский райком ВКП(б) (т. Белякова) в течение ближайших пяти дней провести широкую разъяснительную работу среди рабочих и инженерно-технических работников и мобилизовать весь коллектив завода на выполнение программы в июне месяце.</w:t>
      </w:r>
    </w:p>
    <w:p w14:paraId="47D443C3"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Обязать руководство завода № 153 (директор завода т. Лисицын, главный инженер т. Тер-Маркарян, секретарь парткома т. Кантор): к 30 мая текущего года разработать и внести на утверждение бюро обкома ВКЩб) план организационно-технических мероприятий, обеспечивающих увеличение выпуска самолетов в июне текущего года до 15 единиц в сутки; к 1 июня текущего года укрепить аппарат начальника производства, а также плановый и контрольный аппараты цехов и завода, укомплектовав их квалифицированными и проверенными работниками. Особое внимание уделить правильной постановке планирования работы цехов и мастерских, не допуская разрыва в создании задела по отдельным агрегатам и узлам машины. Установить твердую технологическую дисциплину и повысить ответственность технического аппарата цехов и отделов за допущенный брак и отступление от технологии ...</w:t>
      </w:r>
    </w:p>
    <w:p w14:paraId="3538742B"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[Секретарь Новосибирского обкома ВКП(б)] [А. Семин] ГАНО. Ф. П-4. Оп. 33, Д. 736 «а». Л. 69-73. Заверенная копия (12193).</w:t>
      </w:r>
    </w:p>
    <w:p w14:paraId="51CD77C7" w14:textId="77777777" w:rsidR="005119DD" w:rsidRPr="00D03F3E" w:rsidRDefault="005119DD" w:rsidP="00D03F3E">
      <w:pPr>
        <w:spacing w:after="0" w:line="240" w:lineRule="auto"/>
        <w:jc w:val="both"/>
        <w:rPr>
          <w:rFonts w:ascii="Times New Roman" w:hAnsi="Times New Roman"/>
          <w:color w:val="000000" w:themeColor="text1"/>
          <w:sz w:val="16"/>
          <w:szCs w:val="16"/>
        </w:rPr>
      </w:pPr>
    </w:p>
    <w:p w14:paraId="5278E52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27 мая 1943 года вышел приказ № 210 НКАП</w:t>
      </w:r>
    </w:p>
    <w:p w14:paraId="02FD186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 исполнение распоряжения СНК № 9423р от 11 мая 1943 года по проверке метода нанесения лакокрасочных материалов в подогретом виде в целях сокращения потребления органических растворителей расходуемых при изготовлении лакокрасочной продукции на заводах НКХП и при применении на заводах НКАП:</w:t>
      </w:r>
    </w:p>
    <w:p w14:paraId="429D5F69" w14:textId="77777777" w:rsidR="00531570" w:rsidRPr="00D03F3E" w:rsidRDefault="00531570" w:rsidP="00D03F3E">
      <w:pPr>
        <w:pStyle w:val="Iauiue"/>
        <w:numPr>
          <w:ilvl w:val="0"/>
          <w:numId w:val="5"/>
        </w:numPr>
        <w:tabs>
          <w:tab w:val="left" w:pos="360"/>
        </w:tabs>
        <w:ind w:left="0" w:firstLine="0"/>
        <w:jc w:val="both"/>
        <w:rPr>
          <w:color w:val="000000" w:themeColor="text1"/>
          <w:sz w:val="16"/>
          <w:szCs w:val="16"/>
        </w:rPr>
      </w:pPr>
      <w:r w:rsidRPr="00D03F3E">
        <w:rPr>
          <w:color w:val="000000" w:themeColor="text1"/>
          <w:sz w:val="16"/>
          <w:szCs w:val="16"/>
        </w:rPr>
        <w:t>Начальнику ВИАМ Туманову и зам. начальника 1 гл. управления НКАП Тихомирову организовать и провести не позднее 20 июня 1943 года на заводе № 301 проверку упомянутого метода и отработку производственной технологии окраски машин с подогревом красок.</w:t>
      </w:r>
    </w:p>
    <w:p w14:paraId="2A6229FF" w14:textId="77777777" w:rsidR="00531570" w:rsidRPr="00D03F3E" w:rsidRDefault="00531570" w:rsidP="00D03F3E">
      <w:pPr>
        <w:pStyle w:val="Iauiue"/>
        <w:numPr>
          <w:ilvl w:val="0"/>
          <w:numId w:val="6"/>
        </w:numPr>
        <w:tabs>
          <w:tab w:val="left" w:pos="360"/>
        </w:tabs>
        <w:ind w:left="0" w:firstLine="0"/>
        <w:jc w:val="both"/>
        <w:rPr>
          <w:color w:val="000000" w:themeColor="text1"/>
          <w:sz w:val="16"/>
          <w:szCs w:val="16"/>
        </w:rPr>
      </w:pPr>
      <w:r w:rsidRPr="00D03F3E">
        <w:rPr>
          <w:color w:val="000000" w:themeColor="text1"/>
          <w:sz w:val="16"/>
          <w:szCs w:val="16"/>
        </w:rPr>
        <w:t>Начальнику ВИАМ Туманову разработать типовой проект установки для нанесения лаков в подогретом виде к 30 мая 1943 года.</w:t>
      </w:r>
    </w:p>
    <w:p w14:paraId="12F1E6DE" w14:textId="77777777" w:rsidR="00531570" w:rsidRPr="00D03F3E" w:rsidRDefault="00531570" w:rsidP="00D03F3E">
      <w:pPr>
        <w:pStyle w:val="Iauiue"/>
        <w:numPr>
          <w:ilvl w:val="0"/>
          <w:numId w:val="7"/>
        </w:numPr>
        <w:tabs>
          <w:tab w:val="left" w:pos="360"/>
        </w:tabs>
        <w:ind w:left="0" w:firstLine="0"/>
        <w:jc w:val="both"/>
        <w:rPr>
          <w:color w:val="000000" w:themeColor="text1"/>
          <w:sz w:val="16"/>
          <w:szCs w:val="16"/>
        </w:rPr>
      </w:pPr>
      <w:r w:rsidRPr="00D03F3E">
        <w:rPr>
          <w:color w:val="000000" w:themeColor="text1"/>
          <w:sz w:val="16"/>
          <w:szCs w:val="16"/>
        </w:rPr>
        <w:t>Директору завода № 301 Смирнову к 7 июня 1943 года изготовить установку по чертежам ВИАМ и обеспечить все необходимые условия для успешного проведения указанной работы (8922).</w:t>
      </w:r>
    </w:p>
    <w:p w14:paraId="65329435" w14:textId="77777777" w:rsidR="00531570" w:rsidRPr="00D03F3E" w:rsidRDefault="00531570" w:rsidP="00D03F3E">
      <w:pPr>
        <w:pStyle w:val="Iauiue"/>
        <w:tabs>
          <w:tab w:val="left" w:pos="360"/>
        </w:tabs>
        <w:jc w:val="both"/>
        <w:rPr>
          <w:color w:val="000000" w:themeColor="text1"/>
          <w:sz w:val="16"/>
          <w:szCs w:val="16"/>
        </w:rPr>
      </w:pPr>
    </w:p>
    <w:p w14:paraId="606CB2FB"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451B3F72" w14:textId="77777777" w:rsidR="00531570" w:rsidRPr="00D03F3E" w:rsidRDefault="00531570" w:rsidP="00D03F3E">
      <w:pPr>
        <w:pStyle w:val="Iauiue"/>
        <w:jc w:val="both"/>
        <w:rPr>
          <w:iCs/>
          <w:color w:val="000000" w:themeColor="text1"/>
          <w:sz w:val="16"/>
          <w:szCs w:val="16"/>
        </w:rPr>
      </w:pPr>
    </w:p>
    <w:p w14:paraId="415DC05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мая 1943г. вышел ПРИКАЗ КОМАНДУЮЩЕГО БТ и МВ КАОБ ИСПЫТАНИИ 122-мм САМОХОДНОЙ ГАУБИЦЫ СУ-122 № 057</w:t>
      </w:r>
    </w:p>
    <w:p w14:paraId="44A8D83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определения тактико-технической характеристики модернизированной 122-мм само</w:t>
      </w:r>
      <w:r w:rsidRPr="00D03F3E">
        <w:rPr>
          <w:rFonts w:ascii="Times New Roman" w:hAnsi="Times New Roman"/>
          <w:color w:val="000000" w:themeColor="text1"/>
          <w:sz w:val="16"/>
          <w:szCs w:val="16"/>
        </w:rPr>
        <w:softHyphen/>
        <w:t>ходной установки, изготовленной Уралмашзаводом Наркомтанкопрома, и для решения вопроса о принятии ее на вооружение Красной Армии ПРИКАЗЫВАЮ:</w:t>
      </w:r>
    </w:p>
    <w:p w14:paraId="1C7AC30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 Комиссии под председательством генерал-майора инженерно-танковой службы т. Огурцова в составе: заместителя председателя инженер-подполковника т. Куприянова, членов:</w:t>
      </w:r>
    </w:p>
    <w:p w14:paraId="2C993E6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 ГБТУ Красной Армии инженер-капитана Вылиняк, инженер-майора Лепендина.</w:t>
      </w:r>
    </w:p>
    <w:p w14:paraId="0DFC0B9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 ГАУ Красной Армии инженер-майора Соломонова</w:t>
      </w:r>
    </w:p>
    <w:p w14:paraId="1954E08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участием представителей НКТП и НКВ и авторов-конструкторов провести полигонные испы</w:t>
      </w:r>
      <w:r w:rsidRPr="00D03F3E">
        <w:rPr>
          <w:rFonts w:ascii="Times New Roman" w:hAnsi="Times New Roman"/>
          <w:color w:val="000000" w:themeColor="text1"/>
          <w:sz w:val="16"/>
          <w:szCs w:val="16"/>
        </w:rPr>
        <w:softHyphen/>
        <w:t>тания указанного образца по программе Главного бронетанкового управления Красной Армии.</w:t>
      </w:r>
    </w:p>
    <w:p w14:paraId="6836FBA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Испытания организовать на Нижне-Тагильском артполигоне НКВ. Срок испытания 10 дней с момента прибытия образца на полигон.</w:t>
      </w:r>
    </w:p>
    <w:p w14:paraId="20620B1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3. Начальнику управления формирования и укомплектования БТ и МВ Красной Армии гвардии генерал-майору т. Хасину выделить в распоряжение председателя комиссии один орудийный рас</w:t>
      </w:r>
      <w:r w:rsidRPr="00D03F3E">
        <w:rPr>
          <w:rFonts w:ascii="Times New Roman" w:hAnsi="Times New Roman"/>
          <w:color w:val="000000" w:themeColor="text1"/>
          <w:sz w:val="16"/>
          <w:szCs w:val="16"/>
        </w:rPr>
        <w:softHyphen/>
        <w:t>чет, одну полуторатонную грузовую и легковую автомашины и два трактора с водителями.</w:t>
      </w:r>
    </w:p>
    <w:p w14:paraId="6C514D9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По результатам испытаний председателю комиссии составить отчет и представить его мне, начальнику ГБТУ КА, начальнику ГАУ КА, народному комиссару танковой промышленности, народ</w:t>
      </w:r>
      <w:r w:rsidRPr="00D03F3E">
        <w:rPr>
          <w:rFonts w:ascii="Times New Roman" w:hAnsi="Times New Roman"/>
          <w:color w:val="000000" w:themeColor="text1"/>
          <w:sz w:val="16"/>
          <w:szCs w:val="16"/>
        </w:rPr>
        <w:softHyphen/>
        <w:t>ному комиссару вооружения и директору Уралмашзавода в пятидневный срок по окончании испы</w:t>
      </w:r>
      <w:r w:rsidRPr="00D03F3E">
        <w:rPr>
          <w:rFonts w:ascii="Times New Roman" w:hAnsi="Times New Roman"/>
          <w:color w:val="000000" w:themeColor="text1"/>
          <w:sz w:val="16"/>
          <w:szCs w:val="16"/>
        </w:rPr>
        <w:softHyphen/>
        <w:t>таний.</w:t>
      </w:r>
    </w:p>
    <w:p w14:paraId="061BB0C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Начальнику ГБТУ КА по отчету испытаний представить мне на утверждение свое решение.</w:t>
      </w:r>
    </w:p>
    <w:p w14:paraId="6F5A221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Командующий бронетанковыми и механизированными войсками КА генерал-полковник танковых войск Федоренко</w:t>
      </w:r>
    </w:p>
    <w:p w14:paraId="6FDB2EC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Член военного совета генерал-лейтенант танковых войск Бирюков</w:t>
      </w:r>
    </w:p>
    <w:p w14:paraId="469ED23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11369. Д. 110. Л. 14. Копия (11403).</w:t>
      </w:r>
    </w:p>
    <w:p w14:paraId="55F3C2A0"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37E5FE0" w14:textId="77777777" w:rsidR="00E86304" w:rsidRPr="00D03F3E" w:rsidRDefault="00E8630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27 мая 1943 была подписана программа государственных испытаний СУ-122М. Начались испытания 13 июня, продолжались до 13 июля. Проходили они на территории Уральского полигона. Испытания пробегом оказались осложнены тем, что дожди размыли дороги. В целом ходовые испытания машина выдержала, обнаруженные дефекты оказались равнозначными таковым у Т-34. Правда, отмечалась увеличившаяся нагрузка на вторую и третью пары опорных катков. Вполне успешными оказались испытания стрельбой. Неудачей закончились попытки стрельбы с хода, но на подобные задачи СУ-122М и не рассчитывалась. Не все оказалось гладко и с наведением орудия влево: как уже отмечал Соломонов, затвор на определенных углах наводки задевал ноги командира. Что же касается замечаний по обзорности, то ее признали лучшей, чем у СУ-122.</w:t>
      </w:r>
    </w:p>
    <w:p w14:paraId="2230CF7F" w14:textId="77777777" w:rsidR="00E86304" w:rsidRPr="00D03F3E" w:rsidRDefault="00E8630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Несмотря на некоторые обнаруженные недочеты, СУ-122М признали выдержавшей испытания. Комиссия дала добро на запуск серийного производства модернизированной самоходной установки и системы Д-11. Вопрос в том, что к тому моменту ситуация со средними самоходными установками изменилась. В результате СУ-122М оказалась за бортом, а в конце июля на испытания вышла уже другая машина (17689).</w:t>
      </w:r>
    </w:p>
    <w:p w14:paraId="4594FAAD" w14:textId="77777777" w:rsidR="00E86304" w:rsidRPr="00D03F3E" w:rsidRDefault="00E86304" w:rsidP="00D03F3E">
      <w:pPr>
        <w:spacing w:after="0" w:line="240" w:lineRule="auto"/>
        <w:jc w:val="both"/>
        <w:rPr>
          <w:rFonts w:ascii="Times New Roman" w:eastAsia="Times New Roman" w:hAnsi="Times New Roman"/>
          <w:color w:val="000000" w:themeColor="text1"/>
          <w:sz w:val="16"/>
          <w:szCs w:val="16"/>
          <w:lang w:eastAsia="ru-RU"/>
        </w:rPr>
      </w:pPr>
    </w:p>
    <w:p w14:paraId="7F6199E2" w14:textId="77777777" w:rsidR="00E86304" w:rsidRPr="00D03F3E" w:rsidRDefault="00E8630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27 мая 1943 года был закончен технический проект танковой и самоходной гаубицы С-4, разработанной в ЦАКБ под непосредственным руководством начальника бюро В.Г. Грабина. Там же под руководством П. Ф. Муравьева и Е. В. Синильщикова была разработана в двух вариантах 85-мм пушка С-31. Орудие по итогам испытаний проиграло Д-5Т, но дальнейшее развитие этой темы привело к созданию С-53. Эта система стала основной для средних танков Т-34–85 и Т-44, она же оказалась самым большим и, одновременно, последним успехом ЦАКБ на поприще создания танковых орудий.</w:t>
      </w:r>
    </w:p>
    <w:p w14:paraId="5E59678A" w14:textId="77777777" w:rsidR="00E86304" w:rsidRPr="00D03F3E" w:rsidRDefault="00E8630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Как и в случае с КБ завода №9, танковая версия гаубицы разрабатывалась ЦАКБ в расчете на использование в качестве вооружения для КВ-1с, при этом его можно было поставить и в ИС-1. Согласно описанию, предназначалось гаубица для сопровождения пехоты и танковых частей, разрушения ДОТов, а также для борьбы с танками противника. Благодаря конструктивным особенностям системы её легко можно было поставить в производство. Например, в её конструкции использовалась люлька от 76-мм танковой пушки ЗИС-5, а затвор – от 100-мм полевой пушки С-3. Существенным преимуществом было использование клинового затвора, который позволял увеличить скорострельность. Правда, в «нагрузку» шел массивный дульный тормоз, что было не лучшей идеей. При стрельбе он поднимал бы клубы пыли, что усложняло наводку, а заодно демаскировало танк.</w:t>
      </w:r>
    </w:p>
    <w:p w14:paraId="26E5FD77" w14:textId="77777777" w:rsidR="00E86304" w:rsidRPr="00D03F3E" w:rsidRDefault="00E8630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Согласно расчетам, боекомплект САУ должен был составить 60 выстрелов. Скорострельность гаубицы оценивалась в 5–6 выстрелов в минуту.</w:t>
      </w:r>
    </w:p>
    <w:p w14:paraId="60397A06" w14:textId="77777777" w:rsidR="00E86304" w:rsidRPr="00D03F3E" w:rsidRDefault="00E8630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записке к проекту оптимистично утверждалось, что переделывать башню под новое орудие не придётся, но по схемам хорошо заметно, что это не так. Менялась кормовая часть, а также частично приподнималась крыша башни. Также у башни появлялся полик. Необходимость переделки башни выглядела не очень хорошо с точки зрения организации серийного производства. Тем не менее, проект выглядел более удачным, чем Д-5Т-122. Помимо большего боекомплекта, у этой системы оказывалась более высокая скорострельность.</w:t>
      </w:r>
    </w:p>
    <w:p w14:paraId="180B1013" w14:textId="77777777" w:rsidR="00E86304" w:rsidRPr="00D03F3E" w:rsidRDefault="00E8630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Как и в случае с Д-5Т-122, дело с гаубицей ЦАКБ продвинулось дальше эскизных проектов. Уже к первым числам августа опытный образец С-41 был изготовлен, ожидалась его установка в САУ С-18. Этого так и не произошло, зато в октябре появилась идея поставить С-41 в КВ-1с, на котором испытывалась 85-мм система С-31. В конце концов С-41 в КВ-1с установили, правда, в другую машину. На этом, впрочем, все и закончилось. К моменту, когда на КВ-1с установили гаубицу, интерес к подобной машине со стороны военных давно угас (17694).</w:t>
      </w:r>
    </w:p>
    <w:p w14:paraId="7B745ED9" w14:textId="77777777" w:rsidR="00E86304" w:rsidRPr="00D03F3E" w:rsidRDefault="00E86304" w:rsidP="00D03F3E">
      <w:pPr>
        <w:spacing w:after="0" w:line="240" w:lineRule="auto"/>
        <w:jc w:val="both"/>
        <w:rPr>
          <w:rFonts w:ascii="Times New Roman" w:eastAsia="Times New Roman" w:hAnsi="Times New Roman"/>
          <w:color w:val="000000" w:themeColor="text1"/>
          <w:sz w:val="16"/>
          <w:szCs w:val="16"/>
          <w:lang w:eastAsia="ru-RU"/>
        </w:rPr>
      </w:pPr>
    </w:p>
    <w:p w14:paraId="3A67A2A5" w14:textId="77777777" w:rsidR="00E86304" w:rsidRPr="00D03F3E" w:rsidRDefault="00E86304" w:rsidP="00D03F3E">
      <w:pPr>
        <w:pStyle w:val="ae"/>
        <w:shd w:val="clear" w:color="auto" w:fill="FFFFFF"/>
        <w:spacing w:before="0" w:after="0"/>
        <w:jc w:val="both"/>
        <w:rPr>
          <w:color w:val="000000" w:themeColor="text1"/>
          <w:sz w:val="16"/>
          <w:szCs w:val="16"/>
        </w:rPr>
      </w:pPr>
      <w:r w:rsidRPr="00D03F3E">
        <w:rPr>
          <w:color w:val="000000" w:themeColor="text1"/>
          <w:sz w:val="16"/>
          <w:szCs w:val="16"/>
        </w:rPr>
        <w:t>27 мая 1943 состоялось техническое совещание, на котором присутствовали главный конструктор завода №235 Е.А. Гульянц, а также представители ОКБ-172, ГБТУ КА и заместитель главного конструктора завода №40 Г.И. Каштанов. На совещании был утверждён проект ВТ-43, при этом уже к 15 июня планировалось поставить опытный образец орудия на Т-80. Систему предполагалось испытать по сокращённой программе, после чего завод №235 должен был выпустить первые 10 орудий, которые планировалось отправить на завод №40 для монтажа в серийные танки. Для обеспечения запуска ВТ-43 в серию и внедрения их на заводе №40 в Мытищи отправляли группу конструкторов с завода №235.</w:t>
      </w:r>
    </w:p>
    <w:p w14:paraId="34D75880" w14:textId="77777777" w:rsidR="00E86304" w:rsidRPr="00D03F3E" w:rsidRDefault="00E86304" w:rsidP="00D03F3E">
      <w:pPr>
        <w:pStyle w:val="ae"/>
        <w:shd w:val="clear" w:color="auto" w:fill="FFFFFF"/>
        <w:spacing w:before="0" w:after="0"/>
        <w:jc w:val="both"/>
        <w:rPr>
          <w:color w:val="000000" w:themeColor="text1"/>
          <w:sz w:val="16"/>
          <w:szCs w:val="16"/>
        </w:rPr>
      </w:pPr>
      <w:r w:rsidRPr="00D03F3E">
        <w:rPr>
          <w:color w:val="000000" w:themeColor="text1"/>
          <w:sz w:val="16"/>
          <w:szCs w:val="16"/>
        </w:rPr>
        <w:t>Принятый на совещании план сильно отличался от того, что происходило на самом деле. Заводу №40 оказалось совсем не до ВТ-43, так что пушку поставили в один из Т-80 выпуска ГАЗ им. Молотова. Официально эту машину так и не сдали, то есть по документам её как бы не существовало. Установка ВТ-43 никаких особых проблем не вызвала. Другое дело, что на Гороховецкий АНИОП машина прибыла 2 сентября 1943 года, когда на заводе №40 выпуск Т-80 был прекращён и началась подготовка к выпуску СУ-15М. Тем не менее, 27 сентября начались испытания, которые продолжались до 15 октября. Всего из новой пушки было произведено 850 выстрелов, из которых 309 — с использованием усиленного заряда, 319 — бронебойными снарядами при нормальном заряде, 71 — подкалиберными снарядами и 151 — осколочно-фугасными. Результаты стрельбы показали вполне удовлетворительные живучесть ствола и кучность. Некоторые замечания имелись к работе полуавтоматики. Откатные механизмы, переделанные под более мощную систему, работали нормально. Не имелось претензий и к механизмам наводки. Средняя скорострельность составила 12-13 выстрелов в минуту.</w:t>
      </w:r>
    </w:p>
    <w:p w14:paraId="446B080F" w14:textId="77777777" w:rsidR="00E86304" w:rsidRPr="00D03F3E" w:rsidRDefault="00E86304"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целом система испытания выдержала, но она явно опоздала. Тем удивительно то, что в апреле 1944 года проводились ещё одни испытания. На сей раз изучалась возможность зенитной стрельбы из ВТ-43. Проведённые опыты показали, что эффективность использования Т-80 в качестве ЗСУ низкая. Сам факт проведения этих испытаний вызывает некоторое недоумение, поскольку их результаты вполне были предсказуемы. Да и какой смысл был в испытаниях танка, который сняли с производства ещё в конце августа 1943 года? (17712).</w:t>
      </w:r>
    </w:p>
    <w:p w14:paraId="5920EDF5" w14:textId="77777777" w:rsidR="00E86304" w:rsidRPr="00D03F3E" w:rsidRDefault="00E86304" w:rsidP="00D03F3E">
      <w:pPr>
        <w:spacing w:after="0" w:line="240" w:lineRule="auto"/>
        <w:jc w:val="both"/>
        <w:rPr>
          <w:rFonts w:ascii="Times New Roman" w:eastAsia="Times New Roman" w:hAnsi="Times New Roman"/>
          <w:color w:val="000000" w:themeColor="text1"/>
          <w:sz w:val="16"/>
          <w:szCs w:val="16"/>
          <w:lang w:eastAsia="ru-RU"/>
        </w:rPr>
      </w:pPr>
    </w:p>
    <w:p w14:paraId="5F55A6E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27 мая 1943 КБ завода 9 Ф.Ф.Петрова выпустило рабочие чертежи 85-мм пушки Д-5Т-85, спроектированной по типу немецких танкосамоходных пушек и отличающейся малым весом и небольшой длиной отката (4390).</w:t>
      </w:r>
    </w:p>
    <w:p w14:paraId="73F17A2E" w14:textId="77777777" w:rsidR="00531570" w:rsidRPr="00D03F3E" w:rsidRDefault="00531570" w:rsidP="00D03F3E">
      <w:pPr>
        <w:pStyle w:val="Iauiue"/>
        <w:jc w:val="both"/>
        <w:rPr>
          <w:color w:val="000000" w:themeColor="text1"/>
          <w:sz w:val="16"/>
          <w:szCs w:val="16"/>
        </w:rPr>
      </w:pPr>
    </w:p>
    <w:p w14:paraId="11E93DB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мая 1943 вышло Распоряжение ГКО № 3433. О выделении 6250 человек на выгрузочные работы Главснаблеса до конца навигации.РГАНИР, Фонд ГКО, д. 120, лл. 50 (11012).</w:t>
      </w:r>
    </w:p>
    <w:p w14:paraId="3BF21510"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11ED064"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27 мая 1943 вышло Постановление ГКО № 3434 О дополнительном учреждении переходящих Красных знамен Государственного Комитета Обороны стройкам электростанций НКЭС и промышленных наркоматов. (7110, 51).</w:t>
      </w:r>
    </w:p>
    <w:p w14:paraId="262D7468" w14:textId="77777777" w:rsidR="00531570" w:rsidRPr="00D03F3E" w:rsidRDefault="00531570" w:rsidP="00D03F3E">
      <w:pPr>
        <w:pStyle w:val="Iauiue"/>
        <w:tabs>
          <w:tab w:val="left" w:pos="11199"/>
        </w:tabs>
        <w:jc w:val="both"/>
        <w:rPr>
          <w:color w:val="000000" w:themeColor="text1"/>
          <w:sz w:val="16"/>
          <w:szCs w:val="16"/>
        </w:rPr>
      </w:pPr>
    </w:p>
    <w:p w14:paraId="38D778B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мая 1943 вышло Постановление ГКО № 3435 О дополнительном учреждении двух переходящих Красных знамен Государственного Комитета Обороны для предприятий Наркомэлектропрома.РГАНИР, Фонд ГКО, д. 120, лл. 52 (11012).</w:t>
      </w:r>
    </w:p>
    <w:p w14:paraId="3D3F1AD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8F658F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мая 1943 вышло Постановление ГКО № 3436 О дополнительном учреждении переходящих Красных знамен для предприятий Hаркомрезинпрома.РГАНИР, Фонд ГКО, д. 120, лл. 53 (11012).</w:t>
      </w:r>
    </w:p>
    <w:p w14:paraId="5DBFDCE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48AC70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мая 1943 вышло Распоряжение ГКО № 3437. О распространении п.75 постановления ГКО N2363 от 2 октября 1942 г. на 1 тыс. ИТР и рабочих тяжелых профессий металлургического производства завода № 259 НКБ.РГАНИР, Фонд ГКО, д. 120, лл. 54 (11012).</w:t>
      </w:r>
    </w:p>
    <w:p w14:paraId="7B028FCA"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C532B5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мая 1943 вышло Постановление ГКО № 3438 О поставке дров г. Ленинграду из ресурсов Наркомлеса СССР по Вологодской области.РГАНИР, Фонд ГКО, д. 120, лл. 55-57, 58 (11012).</w:t>
      </w:r>
    </w:p>
    <w:p w14:paraId="0DB1DB3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B3341B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мая 1943 вышло Постановление ГКО № 3439 О проектировании Московского шинного завода.РГАНИР, Фонд ГКО, д. 120, лл. 59 (11012).</w:t>
      </w:r>
    </w:p>
    <w:p w14:paraId="786DE66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B2D935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мая 1943 вышло Постановление ГКО № 3440 Об отгрузке Наркомрезинпрому натурального каучука.РГАНИР, Фонд ГКО, д. 120, лл. 60 (11012).</w:t>
      </w:r>
    </w:p>
    <w:p w14:paraId="0E79CC1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1986320"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27 мая 1943 вышло Распоряжение ГКО № 3441 Об обеспечении шпалами путевых работ на железных дорогах. (7110, 61-62).</w:t>
      </w:r>
    </w:p>
    <w:p w14:paraId="7E1FC6B8" w14:textId="77777777" w:rsidR="00531570" w:rsidRPr="00D03F3E" w:rsidRDefault="00531570" w:rsidP="00D03F3E">
      <w:pPr>
        <w:pStyle w:val="Iauiue"/>
        <w:tabs>
          <w:tab w:val="left" w:pos="11199"/>
        </w:tabs>
        <w:jc w:val="both"/>
        <w:rPr>
          <w:color w:val="000000" w:themeColor="text1"/>
          <w:sz w:val="16"/>
          <w:szCs w:val="16"/>
        </w:rPr>
      </w:pPr>
    </w:p>
    <w:p w14:paraId="24178A0A"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 xml:space="preserve">27 мая 1943 вышло Распоряжение ГКО № 3442 Об организации производства калибровочных и снаряжательных приспособлений для переделки трофейных </w:t>
      </w:r>
      <w:r w:rsidRPr="00D03F3E">
        <w:rPr>
          <w:color w:val="000000" w:themeColor="text1"/>
          <w:sz w:val="16"/>
          <w:szCs w:val="16"/>
        </w:rPr>
        <w:lastRenderedPageBreak/>
        <w:t>боеприпасов. (7110, 63,64).</w:t>
      </w:r>
    </w:p>
    <w:p w14:paraId="36176B97" w14:textId="77777777" w:rsidR="00531570" w:rsidRPr="00D03F3E" w:rsidRDefault="00531570" w:rsidP="00D03F3E">
      <w:pPr>
        <w:pStyle w:val="Iauiue"/>
        <w:tabs>
          <w:tab w:val="left" w:pos="11199"/>
        </w:tabs>
        <w:jc w:val="both"/>
        <w:rPr>
          <w:color w:val="000000" w:themeColor="text1"/>
          <w:sz w:val="16"/>
          <w:szCs w:val="16"/>
        </w:rPr>
      </w:pPr>
    </w:p>
    <w:p w14:paraId="3B873E0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мая 1943 вышло Распоряжение ГКО № 3443. Об обеспечении квалифицированными кадрами Лобвинского, Тавдинского, Красноярского и Канского пусковых гидролизных заводов Главлесоспирта.РГАНИР, Фонд ГКО, д. 120, лл. 65-67, 68 (11012).</w:t>
      </w:r>
    </w:p>
    <w:p w14:paraId="4E64230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2A1C1F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мая 1943 г. вышло постановление ГКО № 3443 об обеспечении Канского гидролизного завода Главлесоспирта, готовящегося к пуску, квалифицированными кадрами. Пост. ГКО № 3818 от 27.07.1943г. первая очередь завода пущена в эксплуатацию. 3.04.1944г. вышло постановление ГКО № 5533 о мероприятиях по окончанию строительства 2-й очереди завода и пуску его на полную мощность.</w:t>
      </w:r>
    </w:p>
    <w:p w14:paraId="429B714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2006г. завод признан банкротом.</w:t>
      </w:r>
    </w:p>
    <w:p w14:paraId="6054B7E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(2004г.)- 1200 чел., (2007г.)- 950 чел.</w:t>
      </w:r>
    </w:p>
    <w:p w14:paraId="2D21263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Гендиректор (2004г.)- Л. Е. Петухов. Конкурсный управляющий (2006г.-)- Р. Я. Сафарянов.</w:t>
      </w:r>
    </w:p>
    <w:p w14:paraId="6BC2DB8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w:t>
      </w:r>
      <w:r w:rsidRPr="00D03F3E">
        <w:rPr>
          <w:rFonts w:ascii="Times New Roman" w:hAnsi="Times New Roman"/>
          <w:color w:val="000000" w:themeColor="text1"/>
          <w:sz w:val="16"/>
          <w:szCs w:val="16"/>
        </w:rPr>
        <w:t xml:space="preserve"> технический спирт (1943-).</w:t>
      </w:r>
    </w:p>
    <w:p w14:paraId="2D6C869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14 НКХП, МХП, Канский гидролизный завод Главлесоспирта, ЗАО «Канский биохимический завод» /663605 г. Канск Красноярского кр. ул. Красноярская, 13/</w:t>
      </w:r>
    </w:p>
    <w:p w14:paraId="3773F957" w14:textId="77777777" w:rsidR="00F3483A" w:rsidRPr="00D03F3E" w:rsidRDefault="00F3483A" w:rsidP="00D03F3E">
      <w:pPr>
        <w:pStyle w:val="Iauiue"/>
        <w:tabs>
          <w:tab w:val="left" w:pos="11199"/>
        </w:tabs>
        <w:jc w:val="both"/>
        <w:rPr>
          <w:color w:val="000000" w:themeColor="text1"/>
          <w:sz w:val="16"/>
          <w:szCs w:val="16"/>
        </w:rPr>
      </w:pPr>
    </w:p>
    <w:p w14:paraId="77315811"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27 мая 1943 вышло Постановление ГКО № 3444 Об ускорении строительства завода № 726 НКминвооружения. (7110, 69-72,73-74).</w:t>
      </w:r>
    </w:p>
    <w:p w14:paraId="3B0C7FBC" w14:textId="77777777" w:rsidR="00531570" w:rsidRPr="00D03F3E" w:rsidRDefault="00531570" w:rsidP="00D03F3E">
      <w:pPr>
        <w:pStyle w:val="Iauiue"/>
        <w:tabs>
          <w:tab w:val="left" w:pos="11199"/>
        </w:tabs>
        <w:jc w:val="both"/>
        <w:rPr>
          <w:color w:val="000000" w:themeColor="text1"/>
          <w:sz w:val="16"/>
          <w:szCs w:val="16"/>
        </w:rPr>
      </w:pPr>
    </w:p>
    <w:p w14:paraId="698D1700"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64B854AE" w14:textId="77777777" w:rsidR="00531570" w:rsidRPr="00D03F3E" w:rsidRDefault="00531570" w:rsidP="00D03F3E">
      <w:pPr>
        <w:pStyle w:val="Iauiue"/>
        <w:jc w:val="both"/>
        <w:rPr>
          <w:iCs/>
          <w:color w:val="000000" w:themeColor="text1"/>
          <w:sz w:val="16"/>
          <w:szCs w:val="16"/>
        </w:rPr>
      </w:pPr>
    </w:p>
    <w:p w14:paraId="0E9596D1"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27 мая</w:t>
      </w:r>
      <w:r w:rsidRPr="00D03F3E">
        <w:rPr>
          <w:rFonts w:ascii="Times New Roman" w:hAnsi="Times New Roman"/>
          <w:color w:val="000000" w:themeColor="text1"/>
          <w:sz w:val="16"/>
          <w:szCs w:val="16"/>
        </w:rPr>
        <w:t xml:space="preserve"> в 1943 году утреннее сообщение Совинформбюро:</w:t>
      </w:r>
    </w:p>
    <w:p w14:paraId="1BC79037"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27 мая на фронте ничего существенного не произошло.</w:t>
      </w:r>
    </w:p>
    <w:p w14:paraId="51F461F9"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артиллеристы Н-ской части произвели огневой налёт на колонну противника. Наблюдением установлено, что в результате артиллерийского обстрела разбито не менее 10 автомашин, рассеяно и частью уничтожено до двух рот немецкой пехоты. Снайперы Н-ской части за день уничтожили 69 немецких солдат и офицеров. Снайпер т. Воронов истребил 5 гитлеровцев, т. Кулецкий — 4, снайперы тт. Спесивцев и Рыбалко убили 6 немцев.</w:t>
      </w:r>
    </w:p>
    <w:p w14:paraId="275F7F0D"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50 разведчиков противника переправились на левый берег реки Северный Донец. Наши бойцы окружили немецкий отряд и отрезали ему путь к отступлению. Гитлеровцы, оказавшие сопротивление, были уничтожены, а остальные взяты в плен.</w:t>
      </w:r>
    </w:p>
    <w:p w14:paraId="1599D74A"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активно действовали разведывательные группы. На одном участке батальон вражеской пехоты под покровом ночи пытался атаковать наши позиции. Замысел противника был своевременно обнаружен. Наши передовые подразделения встретили немцев сильным артиллерийско-миномётным и ружейно-пулемётным огнём. Потеряв убитыми до 90 солдат и офицеров, гитлеровцы откатились на исходные рубежи.</w:t>
      </w:r>
    </w:p>
    <w:p w14:paraId="49E4E2E3"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разведывательная группа под командованием тов. Караваева из засады обстреляла отряд гитлеровцев. На дороге противник оставил до 40 трупов. Артиллеристы Н-ской части разбили 4 немецких дзота, уничтожили 3 автомашины и автоцистерну противника.</w:t>
      </w:r>
    </w:p>
    <w:p w14:paraId="6CE0F05C"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подразделения и снайперы истребили до 200 гитлеровцев. На одном участке наблюдатели Н-ской части обнаружили в лощине около переднего края вражеской обороны скопление немецкой пехоты. Расчёты старшего сержанта Баймулина и сержанта Терещенко миномётным огнём уничтожили 30 гитлеровцев.</w:t>
      </w:r>
    </w:p>
    <w:p w14:paraId="0C71E7B8"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лётчиками и огнём зенитной артиллерии войск сбито 4 немецких самолёта.</w:t>
      </w:r>
    </w:p>
    <w:p w14:paraId="08D33FB6"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Несколько партизанских отрядов, действующих в одном из районов Калининской области, провели успешную операцию. Партизаны взорвали 4 железнодорожных и 6 шоссейных мостов. Уничтожено до 60 гитлеровцев. Партизанами захвачено 3 пулемёта, 50 винтовок, 7 тысяч патронов и разное военное имущество.</w:t>
      </w:r>
    </w:p>
    <w:p w14:paraId="2B3FCFA2"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сторону Красной Армии перешло подразделение 1 словацкой мотодивизии. Надпоручик Павел Марцели заявил: «Я всей душой ненавижу немцев. Я ненавижу их как словак, родину которого растоптал немецкий сапог, я ненавижу их как демократ, который не может мириться с гитлеровской тиранией. Наконец, я, каккультурный человек, ненавижу фашистских варваров, разрушающих науку, культуру, всё то, что мы называем цивилизацией. Я хочу с оружием в руках бороться за освобождение моей родины — Чехословакии от гитлеровских банд и, если понадобится, готов пожертвовать ради этого своей жизнью». Подпоручик Юлиус Шварц рассказал: «Немцы хотели насильно заставить нас, словаков, воевать против своего старшего брата — против русского народа. Но фашисты просчитались. Мы ушли крусским. Люди мы молодые, сил и энергии у нас много, и мы страстно желаем сражаться против немцев».</w:t>
      </w:r>
    </w:p>
    <w:p w14:paraId="4A0D3B44"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насильно угоняют на каторгу в Германию тысячи мирных граждан Литовской ССР. Советские патриоты мужественно сопротивляются оккупантам. Гитлеровцы доставили под конвоем в город Шауляй несколько сот юношей из окрестных деревень. Ночью молодёжь разоружила немецкую охрану, перебила её и разбежалась. Тысячи жителей Каунаса, Мариямполе и других городов укрываются в лесах, спасаясь от фашистской неволи. Гитлеровский генерал Юст официально объявил, что всякий уклоняющийся от поездки в Германию будет расстрелян, а семья его арестована. Однако, несмотря на жестокие репрессии, сопротивление принудительной отправке в Германию изо дня в день принимает всё более широкий размах.» (14904).</w:t>
      </w:r>
    </w:p>
    <w:p w14:paraId="78A76921" w14:textId="77777777" w:rsidR="00F3483A" w:rsidRPr="00D03F3E" w:rsidRDefault="00F3483A" w:rsidP="00D03F3E">
      <w:pPr>
        <w:spacing w:after="0" w:line="240" w:lineRule="auto"/>
        <w:jc w:val="both"/>
        <w:rPr>
          <w:rFonts w:ascii="Times New Roman" w:hAnsi="Times New Roman"/>
          <w:color w:val="000000" w:themeColor="text1"/>
          <w:sz w:val="16"/>
          <w:szCs w:val="16"/>
        </w:rPr>
      </w:pPr>
    </w:p>
    <w:p w14:paraId="4979177D"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27 мая</w:t>
      </w:r>
      <w:r w:rsidRPr="00D03F3E">
        <w:rPr>
          <w:rFonts w:ascii="Times New Roman" w:hAnsi="Times New Roman"/>
          <w:color w:val="000000" w:themeColor="text1"/>
          <w:sz w:val="16"/>
          <w:szCs w:val="16"/>
        </w:rPr>
        <w:t xml:space="preserve"> в 1943 году вечернее сообщение Совинформбюро:</w:t>
      </w:r>
    </w:p>
    <w:p w14:paraId="45870408"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в районе северо-восточнее Новороссийска, идут бои. На других участках фронта существенных изменений не произошло.</w:t>
      </w:r>
    </w:p>
    <w:p w14:paraId="67B276C7"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мая частями нашей авиации на различных участках фронта уничтожено или повреждено до 10 немецких танков, более 50 автомашин с войсками и грузами, взорвано 2 склада боеприпасов, разбито 2 железнодорожных эшелона, подавлен огонь 16 артиллерийских батарей противника.</w:t>
      </w:r>
    </w:p>
    <w:p w14:paraId="4483A242"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огнём нашей артиллерии уничтожена артиллерийская батарея и 6 автомашин противника. В воздушных боях сбито 8 немецких самолётов. Все вражеские самолёты упали на нашей территории.</w:t>
      </w:r>
    </w:p>
    <w:p w14:paraId="08F4A262"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Калининском фронте разведывательный отряд Н-ской части ворвался в населённый пункт, занятый противником, и уничтожил немецкий гарнизон. В бою вэтой деревне убито 113 и ранено 90 немецких солдат и офицеров. Наши разведчики взорвали склад боеприпасов, склад вещевого имущества и захватили пленных.</w:t>
      </w:r>
    </w:p>
    <w:p w14:paraId="2C064C5D"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истребили до роты немецкой пехоты, разрушили 6 блиндажей и подавили огонь нескольких артиллерийских батарей противника. Снайперы Н-ского соединения за три месяца уничтожили до 2.000 немецких солдат и офицеров. Снайпер старшина т. Юдин уничтожил 105 гитлеровцев, снайпер т. Коровкин — 51, снайпер т. Рудь — 47, снайпер т. Головачёв убил 44 гитлеровца.</w:t>
      </w:r>
    </w:p>
    <w:p w14:paraId="08AC5F8F"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из участков Карельского фронта разведчики Н-ской части внезапно напали и овладели опорным пунктом белофиннов. Большая часть гарнизона противника уничтожена. Взорваны укрепления, построенные в этом пункте. Захватив пленных, 9 пулемётов, винтовки и радиостанцию, наши бойцы вернулись в свою часть.</w:t>
      </w:r>
    </w:p>
    <w:p w14:paraId="57DAA745"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франте наши артиллеристы обстреливали позиции и ближние тылы немцев. Разрушено 9 дзотов и 6 блиндажей, взорван склад боеприпасов противника. Красноармеец т. Назаренко огнём из противотанкового ружья сбил вражеский бомбардировщик.</w:t>
      </w:r>
    </w:p>
    <w:p w14:paraId="7A4FF65A"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Украины, внезапно ворвался в немецкий концентрационный лагерь. Уничтожив вооружённую охрану, партизаны освободили 60 советских граждан, находившихся в лагере. Партизаны, действующие в Волынской области, взорвали два железнодорожных эшелона противника. Уничтожено 2 паровоза и 15 вагонов, из них 7 вагонов с войсками. Движение поездов на этом участке железной дороги прервано.</w:t>
      </w:r>
    </w:p>
    <w:p w14:paraId="68AAD74D"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обер-фельдфебель, пилот самолёта «Мессершмитт-110» 3 отряда 4 немецкой разведывательной группы, Отто Эльц рассказал: «Наша группа организована недавно и неделю тому назад прибыла на Восточный фронт. Штатный комплект 3-гоотряда — 9 самолётов. Однако половина из них уже выбыла из строя. Один самолёт разбился при перелёте из Германии, второй заблудился и потерпел аварию при вынужденной посадке. Два самолёта сбиты русскими лётчиками. Мой самолёт сбит прямым попаданием снаряда русской зенитки в районе железной дороги. Официальные немецкие сообщения о потерях немецкой авиации не пользуются никаким доверием. Чтение сводок обычно сопровождается насмешками и ядовитыми остротами по адресу тех, кто сочиняет такую явную чушь. Из многочисленных наблюдений я заключил, что лётчики, уже побывавшие в России, не имеют ни малейшего желания вернуться обратно. Я также не хотел ехать на фронт, ибо мне ясно, что Германии не удастся избежать поражения. А когда вера в победу подорвана и утрачена, сражаться невозможно».</w:t>
      </w:r>
    </w:p>
    <w:p w14:paraId="7D128181"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ведут ожесточённые бои против немецких и итальянских дивизий, которые пытаются вновь оккупировать территорию, недавно занятую партизанами. Патриоты упорно отстаивают каждую пядь земли и отбивают вражеские атаки. В боях у Мойковца истреблено до 200 немецких солдат и офицеров. Партизаны совершили успешный налёт на местечко Винница и разбили находившийся там итальянский гарнизон. Начальник гарнизона убит. Многие итальянские солдаты сдались в плен. В боях с оккупантами в другом районе партизаны захватили 60 пленных, 40 винтовок, 5 пулемётов, 2 тысячи патронов и различное военное имущество.» (14904).</w:t>
      </w:r>
    </w:p>
    <w:p w14:paraId="49FF3E94" w14:textId="77777777" w:rsidR="00F3483A" w:rsidRPr="00D03F3E" w:rsidRDefault="00F3483A" w:rsidP="00D03F3E">
      <w:pPr>
        <w:spacing w:after="0" w:line="240" w:lineRule="auto"/>
        <w:jc w:val="both"/>
        <w:rPr>
          <w:rFonts w:ascii="Times New Roman" w:hAnsi="Times New Roman"/>
          <w:color w:val="000000" w:themeColor="text1"/>
          <w:sz w:val="16"/>
          <w:szCs w:val="16"/>
        </w:rPr>
      </w:pPr>
    </w:p>
    <w:p w14:paraId="6010926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27 мая 1943 6 Ил-28-го </w:t>
      </w:r>
      <w:r w:rsidRPr="00D03F3E">
        <w:rPr>
          <w:iCs/>
          <w:color w:val="000000" w:themeColor="text1"/>
          <w:sz w:val="16"/>
          <w:szCs w:val="16"/>
        </w:rPr>
        <w:t>гшап</w:t>
      </w:r>
      <w:r w:rsidRPr="00D03F3E">
        <w:rPr>
          <w:color w:val="000000" w:themeColor="text1"/>
          <w:sz w:val="16"/>
          <w:szCs w:val="16"/>
        </w:rPr>
        <w:t xml:space="preserve"> при атаке конвоя "Geleit-97" в 3 милях восточнее м. Железный Рог (Витязевский Лиман) потопили БДБ AF24 (6467).</w:t>
      </w:r>
    </w:p>
    <w:p w14:paraId="76CD3CB3" w14:textId="77777777" w:rsidR="00531570" w:rsidRPr="00D03F3E" w:rsidRDefault="00531570" w:rsidP="00D03F3E">
      <w:pPr>
        <w:pStyle w:val="Iauiue"/>
        <w:jc w:val="both"/>
        <w:rPr>
          <w:color w:val="000000" w:themeColor="text1"/>
          <w:sz w:val="16"/>
          <w:szCs w:val="16"/>
        </w:rPr>
      </w:pPr>
    </w:p>
    <w:p w14:paraId="3A9EA39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мая 1943 вышел Приках командующего БТ и МВ КА о порядке направления в ремонт, выдачи из ремонта и учета машин...</w:t>
      </w:r>
    </w:p>
    <w:p w14:paraId="72F624A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Форма № 1 ПЕРЕЧЕНЬ</w:t>
      </w:r>
    </w:p>
    <w:p w14:paraId="67E9FEB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боевых машин, по которым войсковые части, соединения, армии, фронт и округ представляют учетные данные каждую пятидневку</w:t>
      </w:r>
    </w:p>
    <w:tbl>
      <w:tblPr>
        <w:tblW w:w="0" w:type="auto"/>
        <w:tblInd w:w="40" w:type="dxa"/>
        <w:tblLayout w:type="fixed"/>
        <w:tblCellMar>
          <w:left w:w="40" w:type="dxa"/>
          <w:right w:w="40" w:type="dxa"/>
        </w:tblCellMar>
        <w:tblLook w:val="0000" w:firstRow="0" w:lastRow="0" w:firstColumn="0" w:lastColumn="0" w:noHBand="0" w:noVBand="0"/>
      </w:tblPr>
      <w:tblGrid>
        <w:gridCol w:w="547"/>
        <w:gridCol w:w="3264"/>
        <w:gridCol w:w="538"/>
        <w:gridCol w:w="3878"/>
      </w:tblGrid>
      <w:tr w:rsidR="00860B4B" w:rsidRPr="00D03F3E" w14:paraId="3463B2DF" w14:textId="77777777">
        <w:trPr>
          <w:trHeight w:val="432"/>
        </w:trPr>
        <w:tc>
          <w:tcPr>
            <w:tcW w:w="547" w:type="dxa"/>
            <w:tcBorders>
              <w:top w:val="single" w:sz="6" w:space="0" w:color="auto"/>
              <w:left w:val="single" w:sz="6" w:space="0" w:color="auto"/>
              <w:bottom w:val="single" w:sz="6" w:space="0" w:color="auto"/>
              <w:right w:val="single" w:sz="6" w:space="0" w:color="auto"/>
            </w:tcBorders>
          </w:tcPr>
          <w:p w14:paraId="16DE056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п/п</w:t>
            </w:r>
          </w:p>
          <w:p w14:paraId="5E82267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420AB29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и марка машин</w:t>
            </w:r>
          </w:p>
          <w:p w14:paraId="2F7150E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29385FF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2C56DB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п/п</w:t>
            </w:r>
          </w:p>
          <w:p w14:paraId="1B0F55D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365D91F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и марка машин</w:t>
            </w:r>
          </w:p>
          <w:p w14:paraId="3EB4AD2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09B211BB" w14:textId="77777777">
        <w:trPr>
          <w:trHeight w:val="278"/>
        </w:trPr>
        <w:tc>
          <w:tcPr>
            <w:tcW w:w="547" w:type="dxa"/>
            <w:tcBorders>
              <w:top w:val="single" w:sz="6" w:space="0" w:color="auto"/>
              <w:left w:val="single" w:sz="6" w:space="0" w:color="auto"/>
              <w:bottom w:val="single" w:sz="6" w:space="0" w:color="auto"/>
              <w:right w:val="single" w:sz="6" w:space="0" w:color="auto"/>
            </w:tcBorders>
          </w:tcPr>
          <w:p w14:paraId="6FD1D89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606F394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25F52E9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Танки отечественные</w:t>
            </w:r>
          </w:p>
          <w:p w14:paraId="4A09098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57BE91F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4F2DDD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3434650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Американские</w:t>
            </w:r>
          </w:p>
          <w:p w14:paraId="5914B00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4995A26C" w14:textId="77777777">
        <w:trPr>
          <w:trHeight w:val="278"/>
        </w:trPr>
        <w:tc>
          <w:tcPr>
            <w:tcW w:w="547" w:type="dxa"/>
            <w:tcBorders>
              <w:top w:val="single" w:sz="6" w:space="0" w:color="auto"/>
              <w:left w:val="single" w:sz="6" w:space="0" w:color="auto"/>
              <w:bottom w:val="single" w:sz="6" w:space="0" w:color="auto"/>
              <w:right w:val="single" w:sz="6" w:space="0" w:color="auto"/>
            </w:tcBorders>
          </w:tcPr>
          <w:p w14:paraId="0F5ED8D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44B1D33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75011C1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Т-37— 38</w:t>
            </w:r>
          </w:p>
          <w:p w14:paraId="46A00E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056A63B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p w14:paraId="5D7FF20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1074667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легкий М-3</w:t>
            </w:r>
          </w:p>
          <w:p w14:paraId="5C8A882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33A59F26" w14:textId="77777777">
        <w:trPr>
          <w:trHeight w:val="269"/>
        </w:trPr>
        <w:tc>
          <w:tcPr>
            <w:tcW w:w="547" w:type="dxa"/>
            <w:tcBorders>
              <w:top w:val="single" w:sz="6" w:space="0" w:color="auto"/>
              <w:left w:val="single" w:sz="6" w:space="0" w:color="auto"/>
              <w:bottom w:val="single" w:sz="6" w:space="0" w:color="auto"/>
              <w:right w:val="single" w:sz="6" w:space="0" w:color="auto"/>
            </w:tcBorders>
          </w:tcPr>
          <w:p w14:paraId="0C84DEC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606448F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024F4A0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Т-30— 40— 60</w:t>
            </w:r>
          </w:p>
          <w:p w14:paraId="36D7A76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0A3E622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p w14:paraId="164952E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15FF549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средний М-3</w:t>
            </w:r>
          </w:p>
          <w:p w14:paraId="7F5D26C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5BE6AE50" w14:textId="77777777">
        <w:trPr>
          <w:trHeight w:val="278"/>
        </w:trPr>
        <w:tc>
          <w:tcPr>
            <w:tcW w:w="547" w:type="dxa"/>
            <w:tcBorders>
              <w:top w:val="single" w:sz="6" w:space="0" w:color="auto"/>
              <w:left w:val="single" w:sz="6" w:space="0" w:color="auto"/>
              <w:bottom w:val="single" w:sz="6" w:space="0" w:color="auto"/>
              <w:right w:val="single" w:sz="6" w:space="0" w:color="auto"/>
            </w:tcBorders>
          </w:tcPr>
          <w:p w14:paraId="73D73C3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232DC16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2D625C5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Т-26</w:t>
            </w:r>
          </w:p>
          <w:p w14:paraId="317C9AF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1450F1A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p w14:paraId="0052A4C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7D88205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средний М4-А2</w:t>
            </w:r>
          </w:p>
          <w:p w14:paraId="6A4E60D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0DDE8835" w14:textId="77777777">
        <w:trPr>
          <w:trHeight w:val="269"/>
        </w:trPr>
        <w:tc>
          <w:tcPr>
            <w:tcW w:w="547" w:type="dxa"/>
            <w:tcBorders>
              <w:top w:val="single" w:sz="6" w:space="0" w:color="auto"/>
              <w:left w:val="single" w:sz="6" w:space="0" w:color="auto"/>
              <w:bottom w:val="single" w:sz="6" w:space="0" w:color="auto"/>
              <w:right w:val="single" w:sz="6" w:space="0" w:color="auto"/>
            </w:tcBorders>
          </w:tcPr>
          <w:p w14:paraId="3BBA1D7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p w14:paraId="6E090F0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6C91A31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Т-26 химический</w:t>
            </w:r>
          </w:p>
          <w:p w14:paraId="2A2A311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2FA974A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2ED00D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2945E73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Трофейные танки</w:t>
            </w:r>
          </w:p>
          <w:p w14:paraId="79C4CC4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5EA96C10" w14:textId="77777777">
        <w:trPr>
          <w:trHeight w:val="278"/>
        </w:trPr>
        <w:tc>
          <w:tcPr>
            <w:tcW w:w="547" w:type="dxa"/>
            <w:tcBorders>
              <w:top w:val="single" w:sz="6" w:space="0" w:color="auto"/>
              <w:left w:val="single" w:sz="6" w:space="0" w:color="auto"/>
              <w:bottom w:val="single" w:sz="6" w:space="0" w:color="auto"/>
              <w:right w:val="single" w:sz="6" w:space="0" w:color="auto"/>
            </w:tcBorders>
          </w:tcPr>
          <w:p w14:paraId="2D1C11D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p w14:paraId="28E4AAD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6779BB4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БТ</w:t>
            </w:r>
          </w:p>
          <w:p w14:paraId="4411E10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7CF3257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16F0D7C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3092412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Т-3</w:t>
            </w:r>
          </w:p>
          <w:p w14:paraId="75DA9C4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3B84F3CA" w14:textId="77777777">
        <w:trPr>
          <w:trHeight w:val="278"/>
        </w:trPr>
        <w:tc>
          <w:tcPr>
            <w:tcW w:w="547" w:type="dxa"/>
            <w:tcBorders>
              <w:top w:val="single" w:sz="6" w:space="0" w:color="auto"/>
              <w:left w:val="single" w:sz="6" w:space="0" w:color="auto"/>
              <w:bottom w:val="single" w:sz="6" w:space="0" w:color="auto"/>
              <w:right w:val="single" w:sz="6" w:space="0" w:color="auto"/>
            </w:tcBorders>
          </w:tcPr>
          <w:p w14:paraId="24A384C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p w14:paraId="302A379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5EA264A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Т-70</w:t>
            </w:r>
          </w:p>
          <w:p w14:paraId="16FC569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6993160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p w14:paraId="4AC1F53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0DE85E6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«Артштурм»</w:t>
            </w:r>
          </w:p>
          <w:p w14:paraId="267A43B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2DC0516F" w14:textId="77777777">
        <w:trPr>
          <w:trHeight w:val="269"/>
        </w:trPr>
        <w:tc>
          <w:tcPr>
            <w:tcW w:w="547" w:type="dxa"/>
            <w:tcBorders>
              <w:top w:val="single" w:sz="6" w:space="0" w:color="auto"/>
              <w:left w:val="single" w:sz="6" w:space="0" w:color="auto"/>
              <w:bottom w:val="single" w:sz="6" w:space="0" w:color="auto"/>
              <w:right w:val="single" w:sz="6" w:space="0" w:color="auto"/>
            </w:tcBorders>
          </w:tcPr>
          <w:p w14:paraId="76894F3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p w14:paraId="0CB0F21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7B43E84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Т-80</w:t>
            </w:r>
          </w:p>
          <w:p w14:paraId="7732745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65A5D5F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p w14:paraId="260F478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33376F6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Т-4</w:t>
            </w:r>
          </w:p>
          <w:p w14:paraId="70BA14E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4634CBCB" w14:textId="77777777">
        <w:trPr>
          <w:trHeight w:val="269"/>
        </w:trPr>
        <w:tc>
          <w:tcPr>
            <w:tcW w:w="547" w:type="dxa"/>
            <w:tcBorders>
              <w:top w:val="single" w:sz="6" w:space="0" w:color="auto"/>
              <w:left w:val="single" w:sz="6" w:space="0" w:color="auto"/>
              <w:bottom w:val="single" w:sz="6" w:space="0" w:color="auto"/>
              <w:right w:val="single" w:sz="6" w:space="0" w:color="auto"/>
            </w:tcBorders>
          </w:tcPr>
          <w:p w14:paraId="4600EAA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p w14:paraId="2C373F5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5E85E6A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Т-34</w:t>
            </w:r>
          </w:p>
          <w:p w14:paraId="51EEDD7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53B3635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w:t>
            </w:r>
          </w:p>
          <w:p w14:paraId="23F7E30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77CCF06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Т-6</w:t>
            </w:r>
          </w:p>
          <w:p w14:paraId="0C30C65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0376E003" w14:textId="77777777">
        <w:trPr>
          <w:trHeight w:val="278"/>
        </w:trPr>
        <w:tc>
          <w:tcPr>
            <w:tcW w:w="547" w:type="dxa"/>
            <w:tcBorders>
              <w:top w:val="single" w:sz="6" w:space="0" w:color="auto"/>
              <w:left w:val="single" w:sz="6" w:space="0" w:color="auto"/>
              <w:bottom w:val="single" w:sz="6" w:space="0" w:color="auto"/>
              <w:right w:val="single" w:sz="6" w:space="0" w:color="auto"/>
            </w:tcBorders>
          </w:tcPr>
          <w:p w14:paraId="727B17B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p w14:paraId="7748BF2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3CDB5ED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ТО-34 (огнеметный)</w:t>
            </w:r>
          </w:p>
          <w:p w14:paraId="46D2462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0BDB380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w:t>
            </w:r>
          </w:p>
          <w:p w14:paraId="7400BB1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5B16E9D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Прочие танки</w:t>
            </w:r>
          </w:p>
          <w:p w14:paraId="1916318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1FBF5DB1" w14:textId="77777777">
        <w:trPr>
          <w:trHeight w:val="278"/>
        </w:trPr>
        <w:tc>
          <w:tcPr>
            <w:tcW w:w="547" w:type="dxa"/>
            <w:tcBorders>
              <w:top w:val="single" w:sz="6" w:space="0" w:color="auto"/>
              <w:left w:val="single" w:sz="6" w:space="0" w:color="auto"/>
              <w:bottom w:val="single" w:sz="6" w:space="0" w:color="auto"/>
              <w:right w:val="single" w:sz="6" w:space="0" w:color="auto"/>
            </w:tcBorders>
          </w:tcPr>
          <w:p w14:paraId="027C900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p w14:paraId="7FAD6A0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3ACA5F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КВ, КВ-С1</w:t>
            </w:r>
          </w:p>
          <w:p w14:paraId="00CFB4F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3B5EFAD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5CAEFE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1561C99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Артиллерийские самоходные установки</w:t>
            </w:r>
          </w:p>
          <w:p w14:paraId="637F251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2055487F" w14:textId="77777777">
        <w:trPr>
          <w:trHeight w:val="269"/>
        </w:trPr>
        <w:tc>
          <w:tcPr>
            <w:tcW w:w="547" w:type="dxa"/>
            <w:tcBorders>
              <w:top w:val="single" w:sz="6" w:space="0" w:color="auto"/>
              <w:left w:val="single" w:sz="6" w:space="0" w:color="auto"/>
              <w:bottom w:val="single" w:sz="6" w:space="0" w:color="auto"/>
              <w:right w:val="single" w:sz="6" w:space="0" w:color="auto"/>
            </w:tcBorders>
          </w:tcPr>
          <w:p w14:paraId="0B7A23D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p w14:paraId="67BD04E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59730FE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КВ -8</w:t>
            </w:r>
          </w:p>
          <w:p w14:paraId="2E35EAE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6581A5E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p w14:paraId="39C5ECF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792101C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СУ-76</w:t>
            </w:r>
          </w:p>
          <w:p w14:paraId="024EB3D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68B4BBEA" w14:textId="77777777">
        <w:trPr>
          <w:trHeight w:val="278"/>
        </w:trPr>
        <w:tc>
          <w:tcPr>
            <w:tcW w:w="547" w:type="dxa"/>
            <w:tcBorders>
              <w:top w:val="single" w:sz="6" w:space="0" w:color="auto"/>
              <w:left w:val="single" w:sz="6" w:space="0" w:color="auto"/>
              <w:bottom w:val="single" w:sz="6" w:space="0" w:color="auto"/>
              <w:right w:val="single" w:sz="6" w:space="0" w:color="auto"/>
            </w:tcBorders>
          </w:tcPr>
          <w:p w14:paraId="02CAF56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p w14:paraId="3F34280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4EF1AC8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Прочие танки</w:t>
            </w:r>
          </w:p>
          <w:p w14:paraId="2874A92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1E8A55E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p>
          <w:p w14:paraId="3C0D2CE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608021B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СУ-122</w:t>
            </w:r>
          </w:p>
          <w:p w14:paraId="2E9A18C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049241FC" w14:textId="77777777">
        <w:trPr>
          <w:trHeight w:val="278"/>
        </w:trPr>
        <w:tc>
          <w:tcPr>
            <w:tcW w:w="547" w:type="dxa"/>
            <w:tcBorders>
              <w:top w:val="single" w:sz="6" w:space="0" w:color="auto"/>
              <w:left w:val="single" w:sz="6" w:space="0" w:color="auto"/>
              <w:bottom w:val="single" w:sz="6" w:space="0" w:color="auto"/>
              <w:right w:val="single" w:sz="6" w:space="0" w:color="auto"/>
            </w:tcBorders>
          </w:tcPr>
          <w:p w14:paraId="789A005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70CA90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4BBD690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Танки импортные английские</w:t>
            </w:r>
          </w:p>
          <w:p w14:paraId="3C740D1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4B25E38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w:t>
            </w:r>
          </w:p>
          <w:p w14:paraId="079654D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2D406DD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СУ-152</w:t>
            </w:r>
          </w:p>
          <w:p w14:paraId="1BC235A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5B9CBFC9" w14:textId="77777777">
        <w:trPr>
          <w:trHeight w:val="269"/>
        </w:trPr>
        <w:tc>
          <w:tcPr>
            <w:tcW w:w="547" w:type="dxa"/>
            <w:tcBorders>
              <w:top w:val="single" w:sz="6" w:space="0" w:color="auto"/>
              <w:left w:val="single" w:sz="6" w:space="0" w:color="auto"/>
              <w:bottom w:val="single" w:sz="6" w:space="0" w:color="auto"/>
              <w:right w:val="single" w:sz="6" w:space="0" w:color="auto"/>
            </w:tcBorders>
          </w:tcPr>
          <w:p w14:paraId="79FA17F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w:t>
            </w:r>
          </w:p>
          <w:p w14:paraId="0A77550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1F049FD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МК-7</w:t>
            </w:r>
          </w:p>
          <w:p w14:paraId="0F75CA5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34E0120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w:t>
            </w:r>
          </w:p>
          <w:p w14:paraId="132110C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768E7C6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 прочие</w:t>
            </w:r>
          </w:p>
          <w:p w14:paraId="5346BBB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0DBF1C47" w14:textId="77777777">
        <w:trPr>
          <w:trHeight w:val="278"/>
        </w:trPr>
        <w:tc>
          <w:tcPr>
            <w:tcW w:w="547" w:type="dxa"/>
            <w:tcBorders>
              <w:top w:val="single" w:sz="6" w:space="0" w:color="auto"/>
              <w:left w:val="single" w:sz="6" w:space="0" w:color="auto"/>
              <w:bottom w:val="single" w:sz="6" w:space="0" w:color="auto"/>
              <w:right w:val="single" w:sz="6" w:space="0" w:color="auto"/>
            </w:tcBorders>
          </w:tcPr>
          <w:p w14:paraId="27766D7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w:t>
            </w:r>
          </w:p>
          <w:p w14:paraId="05525A3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435B4CE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«Валентин» МК-3</w:t>
            </w:r>
          </w:p>
          <w:p w14:paraId="20A2868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1610850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2CBFAB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365D250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2E62576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2C1B2809" w14:textId="77777777">
        <w:trPr>
          <w:trHeight w:val="278"/>
        </w:trPr>
        <w:tc>
          <w:tcPr>
            <w:tcW w:w="547" w:type="dxa"/>
            <w:tcBorders>
              <w:top w:val="single" w:sz="6" w:space="0" w:color="auto"/>
              <w:left w:val="single" w:sz="6" w:space="0" w:color="auto"/>
              <w:bottom w:val="single" w:sz="6" w:space="0" w:color="auto"/>
              <w:right w:val="single" w:sz="6" w:space="0" w:color="auto"/>
            </w:tcBorders>
          </w:tcPr>
          <w:p w14:paraId="77AC82D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p w14:paraId="3023808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5D0613B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«Матильда» МК-2</w:t>
            </w:r>
          </w:p>
          <w:p w14:paraId="4D2ED2B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185730D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63F8967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52B0690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4BB2F8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10FC96FB" w14:textId="77777777">
        <w:trPr>
          <w:trHeight w:val="288"/>
        </w:trPr>
        <w:tc>
          <w:tcPr>
            <w:tcW w:w="547" w:type="dxa"/>
            <w:tcBorders>
              <w:top w:val="single" w:sz="6" w:space="0" w:color="auto"/>
              <w:left w:val="single" w:sz="6" w:space="0" w:color="auto"/>
              <w:bottom w:val="single" w:sz="6" w:space="0" w:color="auto"/>
              <w:right w:val="single" w:sz="6" w:space="0" w:color="auto"/>
            </w:tcBorders>
          </w:tcPr>
          <w:p w14:paraId="28DB9A8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w:t>
            </w:r>
          </w:p>
          <w:p w14:paraId="0BC38B1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67BC336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«Черчилль»</w:t>
            </w:r>
          </w:p>
          <w:p w14:paraId="3A0D7AF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32325F0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1750DA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12988AC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0111552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bl>
    <w:p w14:paraId="4538DE8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 Для танков Т-70, Т-80, Т-34, КВ указывать наличие рации.</w:t>
      </w:r>
    </w:p>
    <w:p w14:paraId="31BE6B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41. Оп. 11592. Д. 79. Л. 112-114. Подлинник (11403).</w:t>
      </w:r>
    </w:p>
    <w:p w14:paraId="7121817F" w14:textId="77777777" w:rsidR="00531570" w:rsidRPr="00D03F3E" w:rsidRDefault="00531570" w:rsidP="00D03F3E">
      <w:pPr>
        <w:pStyle w:val="Iauiue"/>
        <w:jc w:val="both"/>
        <w:rPr>
          <w:iCs/>
          <w:color w:val="000000" w:themeColor="text1"/>
          <w:sz w:val="16"/>
          <w:szCs w:val="16"/>
        </w:rPr>
      </w:pPr>
    </w:p>
    <w:p w14:paraId="2D71C62C"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Жизнь и внутренняя политика:</w:t>
      </w:r>
    </w:p>
    <w:p w14:paraId="00CC4228" w14:textId="77777777" w:rsidR="00531570" w:rsidRPr="00D03F3E" w:rsidRDefault="00531570" w:rsidP="00D03F3E">
      <w:pPr>
        <w:pStyle w:val="Iauiue"/>
        <w:jc w:val="both"/>
        <w:rPr>
          <w:iCs/>
          <w:color w:val="000000" w:themeColor="text1"/>
          <w:sz w:val="16"/>
          <w:szCs w:val="16"/>
        </w:rPr>
      </w:pPr>
    </w:p>
    <w:p w14:paraId="3712A68A"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27 мая 1943 вышло Постановление ГКО № 3445 Об изготовлении и монтаже эскалаторов для третьей очереди Московского метрополитена. (7110, 75-79,80-102).</w:t>
      </w:r>
    </w:p>
    <w:p w14:paraId="618BC3D7" w14:textId="77777777" w:rsidR="00531570" w:rsidRPr="00D03F3E" w:rsidRDefault="00531570" w:rsidP="00D03F3E">
      <w:pPr>
        <w:pStyle w:val="Iauiue"/>
        <w:tabs>
          <w:tab w:val="left" w:pos="11199"/>
        </w:tabs>
        <w:jc w:val="both"/>
        <w:rPr>
          <w:color w:val="000000" w:themeColor="text1"/>
          <w:sz w:val="16"/>
          <w:szCs w:val="16"/>
        </w:rPr>
      </w:pPr>
    </w:p>
    <w:p w14:paraId="49E4EDE4"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6E87150C" w14:textId="77777777" w:rsidR="00531570" w:rsidRPr="00D03F3E" w:rsidRDefault="00531570" w:rsidP="00D03F3E">
      <w:pPr>
        <w:pStyle w:val="Iauiue"/>
        <w:jc w:val="both"/>
        <w:rPr>
          <w:iCs/>
          <w:color w:val="000000" w:themeColor="text1"/>
          <w:sz w:val="16"/>
          <w:szCs w:val="16"/>
        </w:rPr>
      </w:pPr>
    </w:p>
    <w:p w14:paraId="4F3F69A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мая 1943 года Москва вновь направила в США ориентировку о работе по «Энормозу», указав, что в качестве объектов проникновения следует считать:</w:t>
      </w:r>
    </w:p>
    <w:p w14:paraId="4EC585C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группу профессора А. Комптона, который руководил всем проектом в исследовательском комитете национальной обороны;</w:t>
      </w:r>
    </w:p>
    <w:p w14:paraId="0AAA407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Колумбийский университет, прежде всего профессоров Даннинга и Юри;</w:t>
      </w:r>
    </w:p>
    <w:p w14:paraId="4078FEC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чикагскую группу;</w:t>
      </w:r>
    </w:p>
    <w:p w14:paraId="7CD2424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калифорнийскую группу;</w:t>
      </w:r>
    </w:p>
    <w:p w14:paraId="2945638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фирму «М. В. Келлог».</w:t>
      </w:r>
    </w:p>
    <w:p w14:paraId="6608F64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задание было поставлено на основе информации, полученной лондонской резидентурой.</w:t>
      </w:r>
    </w:p>
    <w:p w14:paraId="00DC1A3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побережье США главным объектом советского атомного шпионажа были радиационная лаборатория Калифорнийского университета в Беркли. Здесь действовала группа ученых-коммунистов, которые охотно делились с двумя сотрудниками советской внешней разведки П. Ивановым и Г. Хейфецом (работали под прикрытием консульства в Калифорнии).</w:t>
      </w:r>
    </w:p>
    <w:p w14:paraId="16E7955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Среди информаторов называют физика-исследователя Д. Вайнберга. По просьбе этого человека, в декабре 1942 года его коллега профессор-коммунист X. Шевалье попытался склонить к сотрудничеству с советской разведкой Р. Оппенгеймера, правда неудачно. Знаменитый ученый не только назвал собеседника изменником, но и сообщил об этом предложении генералу Гровсу — начальнику службы безопасности проекта «Манхэттен». Благодаря этому инциденту в ФБР узнали о существовании группы и занялись ее активной разработкой.</w:t>
      </w:r>
    </w:p>
    <w:p w14:paraId="4D58014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такого случая сложно продолжать утверждать, что Р. Оппенгеймер сотрудничал с отечественной разведкой. Тем более, что среди американских ученых не было принято доносить на коллег и только крупный проступок кого-либо из них мог заставить их отойти от своих принципов.</w:t>
      </w:r>
    </w:p>
    <w:p w14:paraId="443585E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Другим агентом в группе Иванова — Хейфеца был химик М. Камен. Он передавал информацию о запасах урана в Чикаго и атомных исследованиях в различных странах.</w:t>
      </w:r>
    </w:p>
    <w:p w14:paraId="545FACC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Вторая группа агентов была на связи у ветерана советской военной разведки А. Адамса, который в 1942 году жил в США под видом торгового агента одного канадского бизнесмена (своего друга С. Вегмана).</w:t>
      </w:r>
    </w:p>
    <w:p w14:paraId="7573A29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Среди его источников был химик X. Хиски. В 1942 году агент возглавлял группу ученых, работавших над атомным проектом в Колумбийском университете в Нью-Йорке. В 1943 году он перешел в металлургическую лабораторию в Чикаго, которая работала над технологией производства плутония. Его разоблачили только в апреле 1944 года, но он не был арестован и привлечен к суду.</w:t>
      </w:r>
    </w:p>
    <w:p w14:paraId="7032187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Агент Д. Чапин работал химиком в той же металлургической лаборатории. В мае 1945 года он перешел в компанию «М. В. Келлог», которая выполняла секретные заказы для ВВС США.</w:t>
      </w:r>
    </w:p>
    <w:p w14:paraId="4CE2106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Карьера самого Адамса закончилась в 1944 году. Через год он покинул США, так и не будучи арестованным и осужденным за шпионаж (Соловьев В. О. Сочинения: В 18 кн. Кн. III: История России с древнейших времен. Т. 5—6. — М.: Мысль, 1989. — 783 с.).</w:t>
      </w:r>
    </w:p>
    <w:p w14:paraId="179C4B0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 расширением задач, стоящих перед внешней разведкой, в июле 1943 года в Государственном Комитете Обороны рассматривался вопрос о состоянии разведывательной работы. Было принято решение о разделении функций и направлений деятельности военной разведки (ГРУ ГШ) и 1-го управления НКГБ. Внешней разведке НКГБ отводилась роль головной организации по разведыванию проблем создания атомного оружия. В соответствии с постановлением ГКО, военная разведка обязывалась передать НКГБ агентуру, работающую по проекту «Энормоз».</w:t>
      </w:r>
    </w:p>
    <w:p w14:paraId="61F674C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Быстрый рост объема информации, поступавшей от резидентур НКГБ в Сан-Франциско, Вашингтоне, Нью-Йорке, Мехико и Оттаве, руководимых Г. Хейфецем, В. М. Зарубиным, А. Василевским и В. Павловским, а также от их коллег из Разведупра И. Сараева (Вашингтон), — П. Михайлова (Нью-Йорк) и Н. Заботина (Оттава), побудил сделать добычу атомных секретов одной из приоритетных задач НКГБ (11765).</w:t>
      </w:r>
    </w:p>
    <w:p w14:paraId="46EAC31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74B5087"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lastRenderedPageBreak/>
        <w:t>За рубежом:</w:t>
      </w:r>
    </w:p>
    <w:p w14:paraId="5F5D1898" w14:textId="77777777" w:rsidR="00531570" w:rsidRPr="00D03F3E" w:rsidRDefault="00531570" w:rsidP="00D03F3E">
      <w:pPr>
        <w:pStyle w:val="Iauiue"/>
        <w:jc w:val="both"/>
        <w:rPr>
          <w:iCs/>
          <w:color w:val="000000" w:themeColor="text1"/>
          <w:sz w:val="16"/>
          <w:szCs w:val="16"/>
        </w:rPr>
      </w:pPr>
    </w:p>
    <w:p w14:paraId="118558FC"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27 мая</w:t>
      </w:r>
      <w:r w:rsidRPr="00D03F3E">
        <w:rPr>
          <w:rFonts w:ascii="Times New Roman" w:hAnsi="Times New Roman"/>
          <w:color w:val="000000" w:themeColor="text1"/>
          <w:sz w:val="16"/>
          <w:szCs w:val="16"/>
        </w:rPr>
        <w:t xml:space="preserve"> в 1943 году проводились полеты модифицированного вертолета </w:t>
      </w:r>
      <w:hyperlink r:id="rId171" w:tgtFrame="_blank" w:history="1">
        <w:r w:rsidRPr="00D03F3E">
          <w:rPr>
            <w:rFonts w:ascii="Times New Roman" w:hAnsi="Times New Roman"/>
            <w:color w:val="000000" w:themeColor="text1"/>
            <w:sz w:val="16"/>
            <w:szCs w:val="16"/>
          </w:rPr>
          <w:t xml:space="preserve">«XR-1A». </w:t>
        </w:r>
      </w:hyperlink>
      <w:r w:rsidRPr="00D03F3E">
        <w:rPr>
          <w:rFonts w:ascii="Times New Roman" w:hAnsi="Times New Roman"/>
          <w:color w:val="000000" w:themeColor="text1"/>
          <w:sz w:val="16"/>
          <w:szCs w:val="16"/>
        </w:rPr>
        <w:t>Хотя машина все ещё была строга в управлении лётчики-испытатели отмечали, что новый вертолет стал более "покладистым". Машина получила измененные роторы, полное остекление кабины пилотов из плексигласа, а также усиленную конструкцию хвостовой части фюзеляжа. Проведенные доработки положительно сказались на летных качествах вертолета. Испытательный цикл прервался 26 октября 1946 года - из-за неисправностей в правом роторе «XR-1A потерпел аварию и встал на ремонт, длившийся до конца 1945 года (14904).</w:t>
      </w:r>
    </w:p>
    <w:p w14:paraId="43B38640" w14:textId="77777777" w:rsidR="00F3483A" w:rsidRPr="00D03F3E" w:rsidRDefault="00F3483A" w:rsidP="00D03F3E">
      <w:pPr>
        <w:spacing w:after="0" w:line="240" w:lineRule="auto"/>
        <w:jc w:val="both"/>
        <w:rPr>
          <w:rFonts w:ascii="Times New Roman" w:hAnsi="Times New Roman"/>
          <w:color w:val="000000" w:themeColor="text1"/>
          <w:sz w:val="16"/>
          <w:szCs w:val="16"/>
        </w:rPr>
      </w:pPr>
    </w:p>
    <w:p w14:paraId="593222C2"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May 27 1943 Operation Gomorrah authorized for Hamburg. Intentional bombing of civilians kept secret (1052).</w:t>
      </w:r>
    </w:p>
    <w:p w14:paraId="736C60B0" w14:textId="77777777" w:rsidR="00531570" w:rsidRPr="00D03F3E" w:rsidRDefault="00531570" w:rsidP="00D03F3E">
      <w:pPr>
        <w:pStyle w:val="Iauiue"/>
        <w:jc w:val="both"/>
        <w:rPr>
          <w:color w:val="000000" w:themeColor="text1"/>
          <w:sz w:val="16"/>
          <w:szCs w:val="16"/>
          <w:lang w:val="en-US"/>
        </w:rPr>
      </w:pPr>
    </w:p>
    <w:p w14:paraId="1FC6359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27 мая 1943 была разрешена операция Гоморра. Намеренный удар по мирному населению Гамбурга (1052).</w:t>
      </w:r>
    </w:p>
    <w:p w14:paraId="12022923" w14:textId="77777777" w:rsidR="00531570" w:rsidRPr="00D03F3E" w:rsidRDefault="00531570" w:rsidP="00D03F3E">
      <w:pPr>
        <w:pStyle w:val="Iauiue"/>
        <w:jc w:val="both"/>
        <w:rPr>
          <w:color w:val="000000" w:themeColor="text1"/>
          <w:sz w:val="16"/>
          <w:szCs w:val="16"/>
        </w:rPr>
      </w:pPr>
    </w:p>
    <w:p w14:paraId="77F0EA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27 мая 1943 англичане сбросили парашютистов, которые установили контакт с И.Б.Тито (2262).</w:t>
      </w:r>
    </w:p>
    <w:p w14:paraId="7059437E" w14:textId="77777777" w:rsidR="00531570" w:rsidRPr="00D03F3E" w:rsidRDefault="00531570" w:rsidP="00D03F3E">
      <w:pPr>
        <w:pStyle w:val="Iauiue"/>
        <w:jc w:val="both"/>
        <w:rPr>
          <w:color w:val="000000" w:themeColor="text1"/>
          <w:sz w:val="16"/>
          <w:szCs w:val="16"/>
        </w:rPr>
      </w:pPr>
    </w:p>
    <w:p w14:paraId="2B7F298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27 мая 1943 во Франции основали Национальный Совет Сопротивления во главе с Ж.Муленом и 21 июня он был схвачен, а 8 июля - казнен (3907,242).</w:t>
      </w:r>
    </w:p>
    <w:p w14:paraId="48697B35" w14:textId="77777777" w:rsidR="00531570" w:rsidRPr="00D03F3E" w:rsidRDefault="00531570" w:rsidP="00D03F3E">
      <w:pPr>
        <w:pStyle w:val="Iauiue"/>
        <w:jc w:val="both"/>
        <w:rPr>
          <w:color w:val="000000" w:themeColor="text1"/>
          <w:sz w:val="16"/>
          <w:szCs w:val="16"/>
        </w:rPr>
      </w:pPr>
    </w:p>
    <w:p w14:paraId="11A8858F"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27 мая 1943 во Франции создан Национальный Совет Сопротивления (4962).</w:t>
      </w:r>
    </w:p>
    <w:p w14:paraId="0918889B" w14:textId="77777777" w:rsidR="00531570" w:rsidRPr="00D03F3E" w:rsidRDefault="00531570" w:rsidP="00D03F3E">
      <w:pPr>
        <w:pStyle w:val="Iauiue"/>
        <w:tabs>
          <w:tab w:val="left" w:pos="11199"/>
        </w:tabs>
        <w:jc w:val="both"/>
        <w:rPr>
          <w:color w:val="000000" w:themeColor="text1"/>
          <w:sz w:val="16"/>
          <w:szCs w:val="16"/>
        </w:rPr>
      </w:pPr>
    </w:p>
    <w:p w14:paraId="0D3D6AFE" w14:textId="77777777" w:rsidR="00F3483A" w:rsidRPr="00D03F3E" w:rsidRDefault="00F348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27 мая</w:t>
      </w:r>
      <w:r w:rsidRPr="00D03F3E">
        <w:rPr>
          <w:rFonts w:ascii="Times New Roman" w:hAnsi="Times New Roman"/>
          <w:color w:val="000000" w:themeColor="text1"/>
          <w:sz w:val="16"/>
          <w:szCs w:val="16"/>
        </w:rPr>
        <w:t xml:space="preserve"> в 1943 году создание во Франции голлистского Национального совета Сопротивления. На первом нелегальном заседании в Париже его председателем избран Ж.Мулен. В состав НСС вошли Национальный фронт, Французская коммунистическая партия, Французская социалистическая партия и другие патриотические группировки (14904).</w:t>
      </w:r>
    </w:p>
    <w:p w14:paraId="083E4D19" w14:textId="77777777" w:rsidR="00F3483A" w:rsidRPr="00D03F3E" w:rsidRDefault="00F3483A" w:rsidP="00D03F3E">
      <w:pPr>
        <w:spacing w:after="0" w:line="240" w:lineRule="auto"/>
        <w:jc w:val="both"/>
        <w:rPr>
          <w:rFonts w:ascii="Times New Roman" w:hAnsi="Times New Roman"/>
          <w:color w:val="000000" w:themeColor="text1"/>
          <w:sz w:val="16"/>
          <w:szCs w:val="16"/>
        </w:rPr>
      </w:pPr>
    </w:p>
    <w:p w14:paraId="59205BBF"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496C99E9" w14:textId="77777777" w:rsidR="00531570" w:rsidRPr="00D03F3E" w:rsidRDefault="00531570" w:rsidP="00D03F3E">
      <w:pPr>
        <w:pStyle w:val="Iauiue"/>
        <w:jc w:val="both"/>
        <w:rPr>
          <w:iCs/>
          <w:color w:val="000000" w:themeColor="text1"/>
          <w:sz w:val="16"/>
          <w:szCs w:val="16"/>
        </w:rPr>
      </w:pPr>
    </w:p>
    <w:p w14:paraId="66594C3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 мая 1943 С.В.И. писал Дементьеву письмо N 1/582с:</w:t>
      </w:r>
    </w:p>
    <w:p w14:paraId="0ACDF29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переходом на 2-х местный самолет Ил-2 с АМ-38Ф центр тяжести сместился назад до 31.8%.</w:t>
      </w:r>
    </w:p>
    <w:p w14:paraId="19E1249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данный момент на всех заводах и особенно на заводе 30 центровка самолета имеет тенденцию уходить назад.</w:t>
      </w:r>
    </w:p>
    <w:p w14:paraId="6D45672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данный момент на заводе 30 центровка достигла 33.4%</w:t>
      </w:r>
    </w:p>
    <w:p w14:paraId="1A92589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Совершенно необходимо центровку сделать более передней, так как при центровке 33.5-34% могут иметь место неприятные явления пилотажа самолета.</w:t>
      </w:r>
    </w:p>
    <w:p w14:paraId="7B5E9A8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возвращения самолета к центровке одноместного необходимо сдвинуть концы консолей крыла назад на 6 гр., что обеспечит центровку самолета 29%</w:t>
      </w:r>
    </w:p>
    <w:p w14:paraId="775A69C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Прошу Вас дать задание заводам 1 Третьякову, 18 Белянскому и 30 Шапиро изготовить по две машины Ил-2 с АМ-38Ф с консолями смещенными назад к 1 мюля 1943 (1775,71).</w:t>
      </w:r>
    </w:p>
    <w:p w14:paraId="62980D1E" w14:textId="77777777" w:rsidR="00531570" w:rsidRPr="00D03F3E" w:rsidRDefault="00531570" w:rsidP="00D03F3E">
      <w:pPr>
        <w:pStyle w:val="Iauiue"/>
        <w:jc w:val="both"/>
        <w:rPr>
          <w:color w:val="000000" w:themeColor="text1"/>
          <w:sz w:val="16"/>
          <w:szCs w:val="16"/>
        </w:rPr>
      </w:pPr>
    </w:p>
    <w:p w14:paraId="7E3C296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 мая 1943 вышел приказ НКАП N 322с:</w:t>
      </w:r>
    </w:p>
    <w:p w14:paraId="650DA87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целях улучшения центровки 2-х местного самолета Ил-2 с АМ-38 необходимо сместить донцы консолей назад, для чего:</w:t>
      </w:r>
    </w:p>
    <w:p w14:paraId="5804B8D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Обязать директоров заводов 1 Третьякова и 18 Белянского построить по два самолета с отведенными концами консолей назад</w:t>
      </w:r>
    </w:p>
    <w:p w14:paraId="4834FC1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Провести заводские испытания и 10 июля 1943 каждому заводу сдать самолет на гос. испытания.</w:t>
      </w:r>
    </w:p>
    <w:p w14:paraId="33B8816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Обязать директора завода 30 Шапиро построить 2 самолета Ил-2 с отведенными концами консолей назад к 15 июля.</w:t>
      </w:r>
    </w:p>
    <w:p w14:paraId="484863D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Провести заводские летные испытания и сдать на гос. испытания к 1 августа 1943.</w:t>
      </w:r>
    </w:p>
    <w:p w14:paraId="1C2A334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Заводам 1 и 18 провести стат. испытания консолей крыла с центропланом (Дементьев) (1712,212).</w:t>
      </w:r>
    </w:p>
    <w:p w14:paraId="19FCEE6D" w14:textId="77777777" w:rsidR="00531570" w:rsidRPr="00D03F3E" w:rsidRDefault="00531570" w:rsidP="00D03F3E">
      <w:pPr>
        <w:pStyle w:val="Iauiue"/>
        <w:jc w:val="both"/>
        <w:rPr>
          <w:color w:val="000000" w:themeColor="text1"/>
          <w:sz w:val="16"/>
          <w:szCs w:val="16"/>
        </w:rPr>
      </w:pPr>
    </w:p>
    <w:p w14:paraId="71EA56CF" w14:textId="77777777" w:rsidR="0047107F" w:rsidRPr="00D03F3E" w:rsidRDefault="0047107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28 мая 1943 г.</w:t>
      </w:r>
    </w:p>
    <w:p w14:paraId="461145CD" w14:textId="77777777" w:rsidR="0047107F" w:rsidRPr="00D03F3E" w:rsidRDefault="0047107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Из приказа ИКАП о строительстве на заводах №№ 1, 18 самолетов Ил-2 усовершенствованной конструкции</w:t>
      </w:r>
    </w:p>
    <w:p w14:paraId="1FAF9407" w14:textId="77777777" w:rsidR="0047107F" w:rsidRPr="00D03F3E" w:rsidRDefault="0047107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28 мая 1943 г.</w:t>
      </w:r>
    </w:p>
    <w:p w14:paraId="2DCEA01E" w14:textId="77777777" w:rsidR="0047107F" w:rsidRPr="00D03F3E" w:rsidRDefault="0047107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Секретно</w:t>
      </w:r>
    </w:p>
    <w:p w14:paraId="6AE174FD" w14:textId="77777777" w:rsidR="0047107F" w:rsidRPr="00D03F3E" w:rsidRDefault="0047107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целях улучшения центровки двухместного самолета Ил-2 с /мотором/ АМ-38Ф необходимо сместить концы консолей назад, для чего приказываю:</w:t>
      </w:r>
    </w:p>
    <w:p w14:paraId="665202CC" w14:textId="77777777" w:rsidR="0047107F" w:rsidRPr="00D03F3E" w:rsidRDefault="0047107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1.Обязать директоров заводов № 1 т. Третьякова и № 18 т. Белянского построить по два самолета с отведенными концами консолей назад.</w:t>
      </w:r>
    </w:p>
    <w:p w14:paraId="734233BB" w14:textId="77777777" w:rsidR="0047107F" w:rsidRPr="00D03F3E" w:rsidRDefault="0047107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Провести заводские испытания к 10 июля 1943 г., каждому заводу сдать самолет на госиспытания...</w:t>
      </w:r>
    </w:p>
    <w:p w14:paraId="4DC79527" w14:textId="77777777" w:rsidR="0047107F" w:rsidRPr="00D03F3E" w:rsidRDefault="0047107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3.Заводам № 1 - т. Третьякову и № 18 - т. Белянскому провести статические испытания консолей крыла с центропланом.</w:t>
      </w:r>
    </w:p>
    <w:p w14:paraId="7CB1DBB2" w14:textId="77777777" w:rsidR="0047107F" w:rsidRPr="00D03F3E" w:rsidRDefault="0047107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Зам. Народного Комиссара авиационной промышленности</w:t>
      </w:r>
      <w:r w:rsidRPr="00D03F3E">
        <w:rPr>
          <w:rFonts w:ascii="Times New Roman" w:hAnsi="Times New Roman"/>
          <w:color w:val="0070C0"/>
          <w:sz w:val="16"/>
          <w:szCs w:val="16"/>
        </w:rPr>
        <w:tab/>
        <w:t>П. Дементьев</w:t>
      </w:r>
    </w:p>
    <w:p w14:paraId="4E463665" w14:textId="77777777" w:rsidR="0047107F" w:rsidRPr="00D03F3E" w:rsidRDefault="0047107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ГАСО</w:t>
      </w:r>
      <w:r w:rsidRPr="00D03F3E">
        <w:rPr>
          <w:rFonts w:ascii="Times New Roman" w:hAnsi="Times New Roman"/>
          <w:color w:val="0070C0"/>
          <w:sz w:val="16"/>
          <w:szCs w:val="16"/>
          <w:lang w:val="en-US"/>
        </w:rPr>
        <w:t xml:space="preserve">. </w:t>
      </w:r>
      <w:r w:rsidRPr="00D03F3E">
        <w:rPr>
          <w:rFonts w:ascii="Times New Roman" w:hAnsi="Times New Roman"/>
          <w:color w:val="0070C0"/>
          <w:sz w:val="16"/>
          <w:szCs w:val="16"/>
        </w:rPr>
        <w:t>Ф</w:t>
      </w:r>
      <w:r w:rsidRPr="00D03F3E">
        <w:rPr>
          <w:rFonts w:ascii="Times New Roman" w:hAnsi="Times New Roman"/>
          <w:color w:val="0070C0"/>
          <w:sz w:val="16"/>
          <w:szCs w:val="16"/>
          <w:lang w:val="en-US"/>
        </w:rPr>
        <w:t xml:space="preserve">. P-3454. On. 2. </w:t>
      </w:r>
      <w:r w:rsidRPr="00D03F3E">
        <w:rPr>
          <w:rFonts w:ascii="Times New Roman" w:hAnsi="Times New Roman"/>
          <w:color w:val="0070C0"/>
          <w:sz w:val="16"/>
          <w:szCs w:val="16"/>
        </w:rPr>
        <w:t>Д</w:t>
      </w:r>
      <w:r w:rsidRPr="00D03F3E">
        <w:rPr>
          <w:rFonts w:ascii="Times New Roman" w:hAnsi="Times New Roman"/>
          <w:color w:val="0070C0"/>
          <w:sz w:val="16"/>
          <w:szCs w:val="16"/>
          <w:lang w:val="en-US"/>
        </w:rPr>
        <w:t xml:space="preserve">. 14. </w:t>
      </w:r>
      <w:r w:rsidRPr="00D03F3E">
        <w:rPr>
          <w:rFonts w:ascii="Times New Roman" w:hAnsi="Times New Roman"/>
          <w:color w:val="0070C0"/>
          <w:sz w:val="16"/>
          <w:szCs w:val="16"/>
        </w:rPr>
        <w:t>Л</w:t>
      </w:r>
      <w:r w:rsidRPr="00D03F3E">
        <w:rPr>
          <w:rFonts w:ascii="Times New Roman" w:hAnsi="Times New Roman"/>
          <w:color w:val="0070C0"/>
          <w:sz w:val="16"/>
          <w:szCs w:val="16"/>
          <w:lang w:val="en-US"/>
        </w:rPr>
        <w:t xml:space="preserve">. 150. </w:t>
      </w:r>
      <w:r w:rsidRPr="00D03F3E">
        <w:rPr>
          <w:rFonts w:ascii="Times New Roman" w:hAnsi="Times New Roman"/>
          <w:color w:val="0070C0"/>
          <w:sz w:val="16"/>
          <w:szCs w:val="16"/>
        </w:rPr>
        <w:t>Завер. Копия (20530).</w:t>
      </w:r>
    </w:p>
    <w:p w14:paraId="76A1AEE8" w14:textId="77777777" w:rsidR="0047107F" w:rsidRPr="00D03F3E" w:rsidRDefault="0047107F" w:rsidP="00D03F3E">
      <w:pPr>
        <w:spacing w:after="0" w:line="240" w:lineRule="auto"/>
        <w:jc w:val="both"/>
        <w:rPr>
          <w:rFonts w:ascii="Times New Roman" w:hAnsi="Times New Roman"/>
          <w:color w:val="0070C0"/>
          <w:sz w:val="16"/>
          <w:szCs w:val="16"/>
        </w:rPr>
      </w:pPr>
    </w:p>
    <w:p w14:paraId="17538CB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мая 1943 вышел приказ по НКАП, согласно которому завод № 18 обязывался построить са</w:t>
      </w:r>
      <w:r w:rsidRPr="00D03F3E">
        <w:rPr>
          <w:rFonts w:ascii="Times New Roman" w:hAnsi="Times New Roman"/>
          <w:color w:val="000000" w:themeColor="text1"/>
          <w:sz w:val="16"/>
          <w:szCs w:val="16"/>
        </w:rPr>
        <w:softHyphen/>
        <w:t>молет С-38 с мотором АМ-38ф с улуч</w:t>
      </w:r>
      <w:r w:rsidRPr="00D03F3E">
        <w:rPr>
          <w:rFonts w:ascii="Times New Roman" w:hAnsi="Times New Roman"/>
          <w:color w:val="000000" w:themeColor="text1"/>
          <w:sz w:val="16"/>
          <w:szCs w:val="16"/>
        </w:rPr>
        <w:softHyphen/>
        <w:t xml:space="preserve">шенной продольной устойчивостью. На С-38 требовалось установить новое крыло «с </w:t>
      </w:r>
      <w:r w:rsidRPr="00D03F3E">
        <w:rPr>
          <w:rFonts w:ascii="Times New Roman" w:hAnsi="Times New Roman"/>
          <w:iCs/>
          <w:color w:val="000000" w:themeColor="text1"/>
          <w:sz w:val="16"/>
          <w:szCs w:val="16"/>
        </w:rPr>
        <w:t xml:space="preserve">отведенными назад на 6° отъемными частями крыла». </w:t>
      </w:r>
      <w:r w:rsidRPr="00D03F3E">
        <w:rPr>
          <w:rFonts w:ascii="Times New Roman" w:hAnsi="Times New Roman"/>
          <w:color w:val="000000" w:themeColor="text1"/>
          <w:sz w:val="16"/>
          <w:szCs w:val="16"/>
        </w:rPr>
        <w:t>В доку</w:t>
      </w:r>
      <w:r w:rsidRPr="00D03F3E">
        <w:rPr>
          <w:rFonts w:ascii="Times New Roman" w:hAnsi="Times New Roman"/>
          <w:color w:val="000000" w:themeColor="text1"/>
          <w:sz w:val="16"/>
          <w:szCs w:val="16"/>
        </w:rPr>
        <w:softHyphen/>
        <w:t xml:space="preserve">ментах такое крыло еще называлось </w:t>
      </w:r>
      <w:r w:rsidRPr="00D03F3E">
        <w:rPr>
          <w:rFonts w:ascii="Times New Roman" w:hAnsi="Times New Roman"/>
          <w:iCs/>
          <w:color w:val="000000" w:themeColor="text1"/>
          <w:sz w:val="16"/>
          <w:szCs w:val="16"/>
        </w:rPr>
        <w:t xml:space="preserve">«крыло со стрелкой». </w:t>
      </w:r>
      <w:r w:rsidRPr="00D03F3E">
        <w:rPr>
          <w:rFonts w:ascii="Times New Roman" w:hAnsi="Times New Roman"/>
          <w:color w:val="000000" w:themeColor="text1"/>
          <w:sz w:val="16"/>
          <w:szCs w:val="16"/>
        </w:rPr>
        <w:t>При этом куйбы</w:t>
      </w:r>
      <w:r w:rsidRPr="00D03F3E">
        <w:rPr>
          <w:rFonts w:ascii="Times New Roman" w:hAnsi="Times New Roman"/>
          <w:color w:val="000000" w:themeColor="text1"/>
          <w:sz w:val="16"/>
          <w:szCs w:val="16"/>
        </w:rPr>
        <w:softHyphen/>
        <w:t>шевские авиазаводы №№ 1 и 18 долж</w:t>
      </w:r>
      <w:r w:rsidRPr="00D03F3E">
        <w:rPr>
          <w:rFonts w:ascii="Times New Roman" w:hAnsi="Times New Roman"/>
          <w:color w:val="000000" w:themeColor="text1"/>
          <w:sz w:val="16"/>
          <w:szCs w:val="16"/>
        </w:rPr>
        <w:softHyphen/>
        <w:t>ны были предъявить на государствен</w:t>
      </w:r>
      <w:r w:rsidRPr="00D03F3E">
        <w:rPr>
          <w:rFonts w:ascii="Times New Roman" w:hAnsi="Times New Roman"/>
          <w:color w:val="000000" w:themeColor="text1"/>
          <w:sz w:val="16"/>
          <w:szCs w:val="16"/>
        </w:rPr>
        <w:softHyphen/>
        <w:t>ные испытания по одному такому са</w:t>
      </w:r>
      <w:r w:rsidRPr="00D03F3E">
        <w:rPr>
          <w:rFonts w:ascii="Times New Roman" w:hAnsi="Times New Roman"/>
          <w:color w:val="000000" w:themeColor="text1"/>
          <w:sz w:val="16"/>
          <w:szCs w:val="16"/>
        </w:rPr>
        <w:softHyphen/>
        <w:t>молету к 10 июля, а московский авиа</w:t>
      </w:r>
      <w:r w:rsidRPr="00D03F3E">
        <w:rPr>
          <w:rFonts w:ascii="Times New Roman" w:hAnsi="Times New Roman"/>
          <w:color w:val="000000" w:themeColor="text1"/>
          <w:sz w:val="16"/>
          <w:szCs w:val="16"/>
        </w:rPr>
        <w:softHyphen/>
        <w:t>завод № 30 - один самолет к 1 августа (11215).</w:t>
      </w:r>
    </w:p>
    <w:p w14:paraId="7B49F60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С-38 рассматривался как эта</w:t>
      </w:r>
      <w:r w:rsidRPr="00D03F3E">
        <w:rPr>
          <w:rFonts w:ascii="Times New Roman" w:hAnsi="Times New Roman"/>
          <w:color w:val="000000" w:themeColor="text1"/>
          <w:sz w:val="16"/>
          <w:szCs w:val="16"/>
        </w:rPr>
        <w:softHyphen/>
        <w:t>лон для серийного производства (11215).</w:t>
      </w:r>
    </w:p>
    <w:p w14:paraId="5F70A1E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EFF93F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мая 1943 вышел приказ по НКАП, согласно которому завод № 18 обя</w:t>
      </w:r>
      <w:r w:rsidRPr="00D03F3E">
        <w:rPr>
          <w:rFonts w:ascii="Times New Roman" w:hAnsi="Times New Roman"/>
          <w:color w:val="000000" w:themeColor="text1"/>
          <w:sz w:val="16"/>
          <w:szCs w:val="16"/>
        </w:rPr>
        <w:softHyphen/>
        <w:t>зывался построить самолет С-38 с мотором АМ-38ф с улучшенной аэродинамикой и продольной устой</w:t>
      </w:r>
      <w:r w:rsidRPr="00D03F3E">
        <w:rPr>
          <w:rFonts w:ascii="Times New Roman" w:hAnsi="Times New Roman"/>
          <w:color w:val="000000" w:themeColor="text1"/>
          <w:sz w:val="16"/>
          <w:szCs w:val="16"/>
        </w:rPr>
        <w:softHyphen/>
        <w:t>чивостью. На С-38 предполагалось установить новое крыло "с отведен</w:t>
      </w:r>
      <w:r w:rsidRPr="00D03F3E">
        <w:rPr>
          <w:rFonts w:ascii="Times New Roman" w:hAnsi="Times New Roman"/>
          <w:color w:val="000000" w:themeColor="text1"/>
          <w:sz w:val="16"/>
          <w:szCs w:val="16"/>
        </w:rPr>
        <w:softHyphen/>
        <w:t>ными назад на 6° отъемными частя</w:t>
      </w:r>
      <w:r w:rsidRPr="00D03F3E">
        <w:rPr>
          <w:rFonts w:ascii="Times New Roman" w:hAnsi="Times New Roman"/>
          <w:color w:val="000000" w:themeColor="text1"/>
          <w:sz w:val="16"/>
          <w:szCs w:val="16"/>
        </w:rPr>
        <w:softHyphen/>
        <w:t>ми крыла", что смещало центровку самолета вперед на 3-4% САХ, а также реализовать все отработан</w:t>
      </w:r>
      <w:r w:rsidRPr="00D03F3E">
        <w:rPr>
          <w:rFonts w:ascii="Times New Roman" w:hAnsi="Times New Roman"/>
          <w:color w:val="000000" w:themeColor="text1"/>
          <w:sz w:val="16"/>
          <w:szCs w:val="16"/>
        </w:rPr>
        <w:softHyphen/>
        <w:t>ные к этому времени мероприятия по улучшению аэродинамики (клепка впотай, расположение листов встык и т.д.). Этот самолет должен был стать эталоном для серийного производ</w:t>
      </w:r>
      <w:r w:rsidRPr="00D03F3E">
        <w:rPr>
          <w:rFonts w:ascii="Times New Roman" w:hAnsi="Times New Roman"/>
          <w:color w:val="000000" w:themeColor="text1"/>
          <w:sz w:val="16"/>
          <w:szCs w:val="16"/>
        </w:rPr>
        <w:softHyphen/>
        <w:t>ства самолетов Ил-2 АМ-38ф.</w:t>
      </w:r>
    </w:p>
    <w:p w14:paraId="2DDBAF3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Примерно в это же время С. В. Ильюшин предложил на строящиеся опытные самолеты Ил-2 с мотором АМ-42 в вариантах штурмовика и "следопыта" установить по две пуш</w:t>
      </w:r>
      <w:r w:rsidRPr="00D03F3E">
        <w:rPr>
          <w:rFonts w:ascii="Times New Roman" w:hAnsi="Times New Roman"/>
          <w:color w:val="000000" w:themeColor="text1"/>
          <w:sz w:val="16"/>
          <w:szCs w:val="16"/>
        </w:rPr>
        <w:softHyphen/>
        <w:t>ки 11 П, повысив тем самым их огне</w:t>
      </w:r>
      <w:r w:rsidRPr="00D03F3E">
        <w:rPr>
          <w:rFonts w:ascii="Times New Roman" w:hAnsi="Times New Roman"/>
          <w:color w:val="000000" w:themeColor="text1"/>
          <w:sz w:val="16"/>
          <w:szCs w:val="16"/>
        </w:rPr>
        <w:softHyphen/>
        <w:t>вую мощь до уровня Су-6 М-71ф. Пушки предполагалось разместить под крылом, как это было выполне</w:t>
      </w:r>
      <w:r w:rsidRPr="00D03F3E">
        <w:rPr>
          <w:rFonts w:ascii="Times New Roman" w:hAnsi="Times New Roman"/>
          <w:color w:val="000000" w:themeColor="text1"/>
          <w:sz w:val="16"/>
          <w:szCs w:val="16"/>
        </w:rPr>
        <w:softHyphen/>
        <w:t>но ранее на Ил-2 АМ-38ф. Счита</w:t>
      </w:r>
      <w:r w:rsidRPr="00D03F3E">
        <w:rPr>
          <w:rFonts w:ascii="Times New Roman" w:hAnsi="Times New Roman"/>
          <w:color w:val="000000" w:themeColor="text1"/>
          <w:sz w:val="16"/>
          <w:szCs w:val="16"/>
        </w:rPr>
        <w:softHyphen/>
        <w:t>лось, что снижение скорости полета при такой установке пушек, которое может составить 4 км/ч, с лихвой окупится значительными эксплуатаци</w:t>
      </w:r>
      <w:r w:rsidRPr="00D03F3E">
        <w:rPr>
          <w:rFonts w:ascii="Times New Roman" w:hAnsi="Times New Roman"/>
          <w:color w:val="000000" w:themeColor="text1"/>
          <w:sz w:val="16"/>
          <w:szCs w:val="16"/>
        </w:rPr>
        <w:softHyphen/>
        <w:t>онными преимуществами. Однако до декабря 1943 г. никаких реальных шагов в этом направлении сделано так и не было (11426).</w:t>
      </w:r>
    </w:p>
    <w:p w14:paraId="5FDE889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72B8D27" w14:textId="77777777" w:rsidR="0019152A" w:rsidRPr="00D03F3E"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28 мая 1943 г., учитывая предварительные резуль</w:t>
      </w:r>
      <w:r w:rsidRPr="00D03F3E">
        <w:rPr>
          <w:rFonts w:ascii="Times New Roman" w:hAnsi="Times New Roman" w:cs="Times New Roman"/>
          <w:color w:val="000000" w:themeColor="text1"/>
          <w:sz w:val="16"/>
          <w:szCs w:val="16"/>
        </w:rPr>
        <w:softHyphen/>
        <w:t>таты исследований прочности самолета Ил-2 и его пилотажных качеств, прове</w:t>
      </w:r>
      <w:r w:rsidRPr="00D03F3E">
        <w:rPr>
          <w:rFonts w:ascii="Times New Roman" w:hAnsi="Times New Roman" w:cs="Times New Roman"/>
          <w:color w:val="000000" w:themeColor="text1"/>
          <w:sz w:val="16"/>
          <w:szCs w:val="16"/>
        </w:rPr>
        <w:softHyphen/>
        <w:t>денных в ЦАГИ, ЛИИ и ВИАМ, Ильюшин обратился к заместителю наркома авиапромышленности Дементь</w:t>
      </w:r>
      <w:r w:rsidRPr="00D03F3E">
        <w:rPr>
          <w:rFonts w:ascii="Times New Roman" w:hAnsi="Times New Roman" w:cs="Times New Roman"/>
          <w:color w:val="000000" w:themeColor="text1"/>
          <w:sz w:val="16"/>
          <w:szCs w:val="16"/>
        </w:rPr>
        <w:softHyphen/>
        <w:t>еву с письмом следующего содержания: «С переходом на двухместный Ил-2 с мо</w:t>
      </w:r>
      <w:r w:rsidRPr="00D03F3E">
        <w:rPr>
          <w:rFonts w:ascii="Times New Roman" w:hAnsi="Times New Roman" w:cs="Times New Roman"/>
          <w:color w:val="000000" w:themeColor="text1"/>
          <w:sz w:val="16"/>
          <w:szCs w:val="16"/>
        </w:rPr>
        <w:softHyphen/>
        <w:t>тором АМ-38 центровка самолета смести</w:t>
      </w:r>
      <w:r w:rsidRPr="00D03F3E">
        <w:rPr>
          <w:rFonts w:ascii="Times New Roman" w:hAnsi="Times New Roman" w:cs="Times New Roman"/>
          <w:color w:val="000000" w:themeColor="text1"/>
          <w:sz w:val="16"/>
          <w:szCs w:val="16"/>
        </w:rPr>
        <w:softHyphen/>
        <w:t>лась назад до 31,5%. В данный момент на всех заводах, особенно на 30-м заводе, центровка имеет тенденцию уходить на</w:t>
      </w:r>
      <w:r w:rsidRPr="00D03F3E">
        <w:rPr>
          <w:rFonts w:ascii="Times New Roman" w:hAnsi="Times New Roman" w:cs="Times New Roman"/>
          <w:color w:val="000000" w:themeColor="text1"/>
          <w:sz w:val="16"/>
          <w:szCs w:val="16"/>
        </w:rPr>
        <w:softHyphen/>
        <w:t>зад до 33,4% (з-д №30). Совершенно не</w:t>
      </w:r>
      <w:r w:rsidRPr="00D03F3E">
        <w:rPr>
          <w:rFonts w:ascii="Times New Roman" w:hAnsi="Times New Roman" w:cs="Times New Roman"/>
          <w:color w:val="000000" w:themeColor="text1"/>
          <w:sz w:val="16"/>
          <w:szCs w:val="16"/>
        </w:rPr>
        <w:softHyphen/>
        <w:t>обходимо центровку сместить более впе</w:t>
      </w:r>
      <w:r w:rsidRPr="00D03F3E">
        <w:rPr>
          <w:rFonts w:ascii="Times New Roman" w:hAnsi="Times New Roman" w:cs="Times New Roman"/>
          <w:color w:val="000000" w:themeColor="text1"/>
          <w:sz w:val="16"/>
          <w:szCs w:val="16"/>
        </w:rPr>
        <w:softHyphen/>
        <w:t>ред, так как центровка 33,5-34% услож</w:t>
      </w:r>
      <w:r w:rsidRPr="00D03F3E">
        <w:rPr>
          <w:rFonts w:ascii="Times New Roman" w:hAnsi="Times New Roman" w:cs="Times New Roman"/>
          <w:color w:val="000000" w:themeColor="text1"/>
          <w:sz w:val="16"/>
          <w:szCs w:val="16"/>
        </w:rPr>
        <w:softHyphen/>
        <w:t>няет технику пилотирования самолетом. Для возвращения центровки самолета к центровке одноместного Ил-2 необхо</w:t>
      </w:r>
      <w:r w:rsidRPr="00D03F3E">
        <w:rPr>
          <w:rFonts w:ascii="Times New Roman" w:hAnsi="Times New Roman" w:cs="Times New Roman"/>
          <w:color w:val="000000" w:themeColor="text1"/>
          <w:sz w:val="16"/>
          <w:szCs w:val="16"/>
        </w:rPr>
        <w:softHyphen/>
        <w:t>димо сдвинуть концы консолей крыла на</w:t>
      </w:r>
      <w:r w:rsidRPr="00D03F3E">
        <w:rPr>
          <w:rFonts w:ascii="Times New Roman" w:hAnsi="Times New Roman" w:cs="Times New Roman"/>
          <w:color w:val="000000" w:themeColor="text1"/>
          <w:sz w:val="16"/>
          <w:szCs w:val="16"/>
        </w:rPr>
        <w:softHyphen/>
        <w:t>зад на 6°, что обеспечит центровку 29%». Предлагалось дать задание заводам по</w:t>
      </w:r>
      <w:r w:rsidRPr="00D03F3E">
        <w:rPr>
          <w:rFonts w:ascii="Times New Roman" w:hAnsi="Times New Roman" w:cs="Times New Roman"/>
          <w:color w:val="000000" w:themeColor="text1"/>
          <w:sz w:val="16"/>
          <w:szCs w:val="16"/>
        </w:rPr>
        <w:softHyphen/>
        <w:t>строить к 1 июля по два самолета Ил-2 с новым крылом.</w:t>
      </w:r>
    </w:p>
    <w:p w14:paraId="5CD3121E" w14:textId="77777777" w:rsidR="0019152A" w:rsidRPr="00D03F3E"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Руководство наркомата отреагиро</w:t>
      </w:r>
      <w:r w:rsidRPr="00D03F3E">
        <w:rPr>
          <w:rFonts w:ascii="Times New Roman" w:hAnsi="Times New Roman" w:cs="Times New Roman"/>
          <w:color w:val="000000" w:themeColor="text1"/>
          <w:sz w:val="16"/>
          <w:szCs w:val="16"/>
        </w:rPr>
        <w:softHyphen/>
        <w:t>вало весьма оперативно. В тот же день вышел приказ по НКАП №322с, согласно которому завод №18 обязывался постро</w:t>
      </w:r>
      <w:r w:rsidRPr="00D03F3E">
        <w:rPr>
          <w:rFonts w:ascii="Times New Roman" w:hAnsi="Times New Roman" w:cs="Times New Roman"/>
          <w:color w:val="000000" w:themeColor="text1"/>
          <w:sz w:val="16"/>
          <w:szCs w:val="16"/>
        </w:rPr>
        <w:softHyphen/>
        <w:t>ить самолет С-38 с мотором АМ-38ф с улучшенной продольной устойчивостью. На С-38 требовалось установить новое крыло «с отведенными назад на 6° отъем</w:t>
      </w:r>
      <w:r w:rsidRPr="00D03F3E">
        <w:rPr>
          <w:rFonts w:ascii="Times New Roman" w:hAnsi="Times New Roman" w:cs="Times New Roman"/>
          <w:color w:val="000000" w:themeColor="text1"/>
          <w:sz w:val="16"/>
          <w:szCs w:val="16"/>
        </w:rPr>
        <w:softHyphen/>
        <w:t>ными частями крыла». В документах такое крыло еще называлось «крыло со стрел</w:t>
      </w:r>
      <w:r w:rsidRPr="00D03F3E">
        <w:rPr>
          <w:rFonts w:ascii="Times New Roman" w:hAnsi="Times New Roman" w:cs="Times New Roman"/>
          <w:color w:val="000000" w:themeColor="text1"/>
          <w:sz w:val="16"/>
          <w:szCs w:val="16"/>
        </w:rPr>
        <w:softHyphen/>
        <w:t>кой». При этом куйбышевские авиазаводы №№1 и 18 должны были предъявить на государственные испытания по одному такому самолету к 10 июля, а московский завод №30 - один самолет к 1 августа.</w:t>
      </w:r>
    </w:p>
    <w:p w14:paraId="286AF9F8" w14:textId="77777777" w:rsidR="0019152A" w:rsidRPr="00D03F3E"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Одновременно в ЛИИ НКАП отраба</w:t>
      </w:r>
      <w:r w:rsidRPr="00D03F3E">
        <w:rPr>
          <w:rFonts w:ascii="Times New Roman" w:hAnsi="Times New Roman" w:cs="Times New Roman"/>
          <w:color w:val="000000" w:themeColor="text1"/>
          <w:sz w:val="16"/>
          <w:szCs w:val="16"/>
        </w:rPr>
        <w:softHyphen/>
        <w:t>тывалась установка на Ил-2 амортизаци</w:t>
      </w:r>
      <w:r w:rsidRPr="00D03F3E">
        <w:rPr>
          <w:rFonts w:ascii="Times New Roman" w:hAnsi="Times New Roman" w:cs="Times New Roman"/>
          <w:color w:val="000000" w:themeColor="text1"/>
          <w:sz w:val="16"/>
          <w:szCs w:val="16"/>
        </w:rPr>
        <w:softHyphen/>
        <w:t>онной пружины и контрбалансира в сис</w:t>
      </w:r>
      <w:r w:rsidRPr="00D03F3E">
        <w:rPr>
          <w:rFonts w:ascii="Times New Roman" w:hAnsi="Times New Roman" w:cs="Times New Roman"/>
          <w:color w:val="000000" w:themeColor="text1"/>
          <w:sz w:val="16"/>
          <w:szCs w:val="16"/>
        </w:rPr>
        <w:softHyphen/>
        <w:t>теме управления рулем высоты. Разработ</w:t>
      </w:r>
      <w:r w:rsidRPr="00D03F3E">
        <w:rPr>
          <w:rFonts w:ascii="Times New Roman" w:hAnsi="Times New Roman" w:cs="Times New Roman"/>
          <w:color w:val="000000" w:themeColor="text1"/>
          <w:sz w:val="16"/>
          <w:szCs w:val="16"/>
        </w:rPr>
        <w:softHyphen/>
        <w:t>чиком этих устройств был будущий глав</w:t>
      </w:r>
      <w:r w:rsidRPr="00D03F3E">
        <w:rPr>
          <w:rFonts w:ascii="Times New Roman" w:hAnsi="Times New Roman" w:cs="Times New Roman"/>
          <w:color w:val="000000" w:themeColor="text1"/>
          <w:sz w:val="16"/>
          <w:szCs w:val="16"/>
        </w:rPr>
        <w:softHyphen/>
        <w:t>ный конструктор вертолетов М.Л. Миль, в то время работавший в институте.</w:t>
      </w:r>
    </w:p>
    <w:p w14:paraId="2B04563E" w14:textId="77777777" w:rsidR="0019152A" w:rsidRPr="00D03F3E"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Контрбалансир уравновешивал силы инерции, возникающие от весовой ком</w:t>
      </w:r>
      <w:r w:rsidRPr="00D03F3E">
        <w:rPr>
          <w:rFonts w:ascii="Times New Roman" w:hAnsi="Times New Roman" w:cs="Times New Roman"/>
          <w:color w:val="000000" w:themeColor="text1"/>
          <w:sz w:val="16"/>
          <w:szCs w:val="16"/>
        </w:rPr>
        <w:softHyphen/>
        <w:t>пенсации руля высоты при криволиней</w:t>
      </w:r>
      <w:r w:rsidRPr="00D03F3E">
        <w:rPr>
          <w:rFonts w:ascii="Times New Roman" w:hAnsi="Times New Roman" w:cs="Times New Roman"/>
          <w:color w:val="000000" w:themeColor="text1"/>
          <w:sz w:val="16"/>
          <w:szCs w:val="16"/>
        </w:rPr>
        <w:softHyphen/>
        <w:t>ном полете. Амортизационная пружина повышала запас продольной устойчи</w:t>
      </w:r>
      <w:r w:rsidRPr="00D03F3E">
        <w:rPr>
          <w:rFonts w:ascii="Times New Roman" w:hAnsi="Times New Roman" w:cs="Times New Roman"/>
          <w:color w:val="000000" w:themeColor="text1"/>
          <w:sz w:val="16"/>
          <w:szCs w:val="16"/>
        </w:rPr>
        <w:softHyphen/>
        <w:t>вости при полете с брошенной ручкой управления - натяжение пружины созда</w:t>
      </w:r>
      <w:r w:rsidRPr="00D03F3E">
        <w:rPr>
          <w:rFonts w:ascii="Times New Roman" w:hAnsi="Times New Roman" w:cs="Times New Roman"/>
          <w:color w:val="000000" w:themeColor="text1"/>
          <w:sz w:val="16"/>
          <w:szCs w:val="16"/>
        </w:rPr>
        <w:softHyphen/>
        <w:t>вало постоянно действующую силу, воз</w:t>
      </w:r>
      <w:r w:rsidRPr="00D03F3E">
        <w:rPr>
          <w:rFonts w:ascii="Times New Roman" w:hAnsi="Times New Roman" w:cs="Times New Roman"/>
          <w:color w:val="000000" w:themeColor="text1"/>
          <w:sz w:val="16"/>
          <w:szCs w:val="16"/>
        </w:rPr>
        <w:softHyphen/>
        <w:t>вращающую руль высоты в исходное по</w:t>
      </w:r>
      <w:r w:rsidRPr="00D03F3E">
        <w:rPr>
          <w:rFonts w:ascii="Times New Roman" w:hAnsi="Times New Roman" w:cs="Times New Roman"/>
          <w:color w:val="000000" w:themeColor="text1"/>
          <w:sz w:val="16"/>
          <w:szCs w:val="16"/>
        </w:rPr>
        <w:softHyphen/>
        <w:t>ложение при изменении режима полета самолета под действием внешних сил.</w:t>
      </w:r>
    </w:p>
    <w:p w14:paraId="606D565F" w14:textId="77777777" w:rsidR="0019152A" w:rsidRPr="00D03F3E"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Пилотирование Ил-2 упростилось. На виражах и пикировании самолет вел себя устойчиво и с отрегулированным трим</w:t>
      </w:r>
      <w:r w:rsidRPr="00D03F3E">
        <w:rPr>
          <w:rFonts w:ascii="Times New Roman" w:hAnsi="Times New Roman" w:cs="Times New Roman"/>
          <w:color w:val="000000" w:themeColor="text1"/>
          <w:sz w:val="16"/>
          <w:szCs w:val="16"/>
        </w:rPr>
        <w:softHyphen/>
        <w:t>мером руля высоты позволял выполнять полет с брошенной ручкой управления.</w:t>
      </w:r>
    </w:p>
    <w:p w14:paraId="5D977026" w14:textId="77777777" w:rsidR="0019152A" w:rsidRPr="00D03F3E"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Приказом НКАП от 23 августа 1943 г. все заводы, выпускающие Ил-2, обязы</w:t>
      </w:r>
      <w:r w:rsidRPr="00D03F3E">
        <w:rPr>
          <w:rFonts w:ascii="Times New Roman" w:hAnsi="Times New Roman" w:cs="Times New Roman"/>
          <w:color w:val="000000" w:themeColor="text1"/>
          <w:sz w:val="16"/>
          <w:szCs w:val="16"/>
        </w:rPr>
        <w:softHyphen/>
        <w:t>вались устанавливать «компенсатор руля высоты» (19558).</w:t>
      </w:r>
    </w:p>
    <w:p w14:paraId="15B64264" w14:textId="77777777" w:rsidR="0019152A" w:rsidRPr="00D03F3E" w:rsidRDefault="0019152A" w:rsidP="00D03F3E">
      <w:pPr>
        <w:spacing w:after="0" w:line="240" w:lineRule="auto"/>
        <w:jc w:val="both"/>
        <w:rPr>
          <w:rFonts w:ascii="Times New Roman" w:hAnsi="Times New Roman"/>
          <w:color w:val="000000" w:themeColor="text1"/>
          <w:sz w:val="16"/>
          <w:szCs w:val="16"/>
        </w:rPr>
      </w:pPr>
    </w:p>
    <w:p w14:paraId="0C1DAEFA" w14:textId="77777777" w:rsidR="0019152A" w:rsidRPr="00D03F3E"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lastRenderedPageBreak/>
        <w:t>28 мая 1943 вышел приказ по НКАП №322с, согласно которому завод №18 обязывался постро</w:t>
      </w:r>
      <w:r w:rsidRPr="00D03F3E">
        <w:rPr>
          <w:rFonts w:ascii="Times New Roman" w:hAnsi="Times New Roman" w:cs="Times New Roman"/>
          <w:color w:val="000000" w:themeColor="text1"/>
          <w:sz w:val="16"/>
          <w:szCs w:val="16"/>
        </w:rPr>
        <w:softHyphen/>
        <w:t>ить самолет С-38 с мотором АМ-38ф с улучшенной продольной устойчивостью. На С-38 требовалось установить новое крыло «с отведенными назад на 6° отъем</w:t>
      </w:r>
      <w:r w:rsidRPr="00D03F3E">
        <w:rPr>
          <w:rFonts w:ascii="Times New Roman" w:hAnsi="Times New Roman" w:cs="Times New Roman"/>
          <w:color w:val="000000" w:themeColor="text1"/>
          <w:sz w:val="16"/>
          <w:szCs w:val="16"/>
        </w:rPr>
        <w:softHyphen/>
        <w:t>ными частями крыла». В документах такое крыло еще называлось «крыло со стрел</w:t>
      </w:r>
      <w:r w:rsidRPr="00D03F3E">
        <w:rPr>
          <w:rFonts w:ascii="Times New Roman" w:hAnsi="Times New Roman" w:cs="Times New Roman"/>
          <w:color w:val="000000" w:themeColor="text1"/>
          <w:sz w:val="16"/>
          <w:szCs w:val="16"/>
        </w:rPr>
        <w:softHyphen/>
        <w:t>кой». При этом куйбышевские авиазаводы №№1 и 18 должны были предъявить на государственные испытания по одному такому самолету к 10 июля, а московский завод №30 - один самолет к 1 августа (19558).</w:t>
      </w:r>
    </w:p>
    <w:p w14:paraId="69CE6C95" w14:textId="77777777" w:rsidR="0019152A" w:rsidRPr="00D03F3E" w:rsidRDefault="0019152A" w:rsidP="00D03F3E">
      <w:pPr>
        <w:spacing w:after="0" w:line="240" w:lineRule="auto"/>
        <w:jc w:val="both"/>
        <w:rPr>
          <w:rStyle w:val="9pt80"/>
          <w:rFonts w:ascii="Times New Roman" w:hAnsi="Times New Roman" w:cs="Times New Roman"/>
          <w:color w:val="000000" w:themeColor="text1"/>
          <w:w w:val="100"/>
          <w:sz w:val="16"/>
          <w:szCs w:val="16"/>
        </w:rPr>
      </w:pPr>
    </w:p>
    <w:p w14:paraId="2F288013" w14:textId="77777777" w:rsidR="0009698D" w:rsidRPr="00D03F3E" w:rsidRDefault="000969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мая 1943 г. вышел приказ НКАП № 322сс, в соответствии с которым на заводе № 18 уже строился самолет Ил-2 АМ-38ф с улучшенной аэродинамикой и центровкой (крыло «со стрелкой»), который имел заводское обозначение С-38.</w:t>
      </w:r>
    </w:p>
    <w:p w14:paraId="3FC61A9D" w14:textId="77777777" w:rsidR="0009698D" w:rsidRPr="00D03F3E" w:rsidRDefault="0009698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Помимо крыла «стрельчатого начертания» на С-38 и С-42 требовалось реализовать все мероприятия по улучшению аэродинамики, рекомендованные ЦАГИ по результатам продувок серийного Ил-2 зав. № 1860202 в аэродинамической трубе Т-104 и последующей затем доработки самолета (17490).</w:t>
      </w:r>
    </w:p>
    <w:p w14:paraId="2DF7DE57" w14:textId="77777777" w:rsidR="0009698D" w:rsidRPr="00D03F3E" w:rsidRDefault="0009698D" w:rsidP="00D03F3E">
      <w:pPr>
        <w:spacing w:after="0" w:line="240" w:lineRule="auto"/>
        <w:jc w:val="both"/>
        <w:rPr>
          <w:rFonts w:ascii="Times New Roman" w:hAnsi="Times New Roman"/>
          <w:color w:val="000000" w:themeColor="text1"/>
          <w:sz w:val="16"/>
          <w:szCs w:val="16"/>
        </w:rPr>
      </w:pPr>
    </w:p>
    <w:p w14:paraId="19197943" w14:textId="77777777" w:rsidR="003C7BC0" w:rsidRPr="00D03F3E" w:rsidRDefault="003C7BC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мая 1943 вышло Постановление ГКО № 3447 О заводе № 30</w:t>
      </w:r>
    </w:p>
    <w:p w14:paraId="014DC806" w14:textId="77777777" w:rsidR="003C7BC0" w:rsidRPr="00D03F3E" w:rsidRDefault="003C7BC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w:t>
      </w:r>
      <w:r w:rsidRPr="00D03F3E">
        <w:rPr>
          <w:rStyle w:val="16"/>
          <w:rFonts w:ascii="Times New Roman" w:hAnsi="Times New Roman" w:cs="Times New Roman"/>
          <w:color w:val="000000" w:themeColor="text1"/>
          <w:spacing w:val="0"/>
        </w:rPr>
        <w:t xml:space="preserve"> связи</w:t>
      </w:r>
      <w:r w:rsidRPr="00D03F3E">
        <w:rPr>
          <w:rFonts w:ascii="Times New Roman" w:hAnsi="Times New Roman"/>
          <w:color w:val="000000" w:themeColor="text1"/>
          <w:sz w:val="16"/>
          <w:szCs w:val="16"/>
        </w:rPr>
        <w:t xml:space="preserve"> с тем, что на заводе 30 НКАП,- где директо</w:t>
      </w:r>
      <w:r w:rsidRPr="00D03F3E">
        <w:rPr>
          <w:rFonts w:ascii="Times New Roman" w:hAnsi="Times New Roman"/>
          <w:color w:val="000000" w:themeColor="text1"/>
          <w:sz w:val="16"/>
          <w:szCs w:val="16"/>
        </w:rPr>
        <w:softHyphen/>
        <w:t>ром является тов.Шапиро, главным инженером тов.Бродянский и старшим военпредом тов.Фалалеев, начальник отдела тех</w:t>
      </w:r>
      <w:r w:rsidRPr="00D03F3E">
        <w:rPr>
          <w:rFonts w:ascii="Times New Roman" w:hAnsi="Times New Roman"/>
          <w:color w:val="000000" w:themeColor="text1"/>
          <w:sz w:val="16"/>
          <w:szCs w:val="16"/>
        </w:rPr>
        <w:softHyphen/>
        <w:t>нического контроля т.Маргулис за последние 3 месяца допу</w:t>
      </w:r>
      <w:r w:rsidRPr="00D03F3E">
        <w:rPr>
          <w:rFonts w:ascii="Times New Roman" w:hAnsi="Times New Roman"/>
          <w:color w:val="000000" w:themeColor="text1"/>
          <w:sz w:val="16"/>
          <w:szCs w:val="16"/>
        </w:rPr>
        <w:softHyphen/>
        <w:t>стил постановку недоброкачественных крыльев на нескольких самолетах Ил-2, в результате чего на фронте имели место катастрофы, Государственный Комитет Обороны постановляет:</w:t>
      </w:r>
    </w:p>
    <w:p w14:paraId="1FFF4900" w14:textId="77777777" w:rsidR="003C7BC0" w:rsidRPr="00D03F3E" w:rsidRDefault="003C7BC0" w:rsidP="00D03F3E">
      <w:pPr>
        <w:tabs>
          <w:tab w:val="left" w:pos="151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Отдать под суд начальника отдела технического кон</w:t>
      </w:r>
      <w:r w:rsidRPr="00D03F3E">
        <w:rPr>
          <w:rFonts w:ascii="Times New Roman" w:hAnsi="Times New Roman"/>
          <w:color w:val="000000" w:themeColor="text1"/>
          <w:sz w:val="16"/>
          <w:szCs w:val="16"/>
        </w:rPr>
        <w:softHyphen/>
        <w:t>троля завода № 30 НКАП т.Маргулиса.</w:t>
      </w:r>
    </w:p>
    <w:p w14:paraId="1FA04F08" w14:textId="77777777" w:rsidR="003C7BC0" w:rsidRPr="00D03F3E" w:rsidRDefault="003C7BC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Прокурора СССР - т.Бочкова в 3-дневный срок произвести следствие и привлечь к судебной ответственно</w:t>
      </w:r>
      <w:r w:rsidRPr="00D03F3E">
        <w:rPr>
          <w:rFonts w:ascii="Times New Roman" w:hAnsi="Times New Roman"/>
          <w:color w:val="000000" w:themeColor="text1"/>
          <w:sz w:val="16"/>
          <w:szCs w:val="16"/>
        </w:rPr>
        <w:softHyphen/>
        <w:t>сти других конкретных виновников выпуска недоброкачествен</w:t>
      </w:r>
      <w:r w:rsidRPr="00D03F3E">
        <w:rPr>
          <w:rFonts w:ascii="Times New Roman" w:hAnsi="Times New Roman"/>
          <w:color w:val="000000" w:themeColor="text1"/>
          <w:sz w:val="16"/>
          <w:szCs w:val="16"/>
        </w:rPr>
        <w:softHyphen/>
        <w:t>ных самолетов,</w:t>
      </w:r>
    </w:p>
    <w:p w14:paraId="6404B691" w14:textId="77777777" w:rsidR="003C7BC0" w:rsidRPr="00D03F3E" w:rsidRDefault="003C7BC0" w:rsidP="00D03F3E">
      <w:pPr>
        <w:tabs>
          <w:tab w:val="left" w:pos="152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Об"явить директору завода № 30 НКАП т.Шапиро, глав</w:t>
      </w:r>
      <w:r w:rsidRPr="00D03F3E">
        <w:rPr>
          <w:rFonts w:ascii="Times New Roman" w:hAnsi="Times New Roman"/>
          <w:color w:val="000000" w:themeColor="text1"/>
          <w:sz w:val="16"/>
          <w:szCs w:val="16"/>
        </w:rPr>
        <w:softHyphen/>
        <w:t>ному инженеру т.Бродянскому и старшему военпреду т.Фалалееву строгий выговор с предупреждением.</w:t>
      </w:r>
    </w:p>
    <w:p w14:paraId="23DCB3E7" w14:textId="77777777" w:rsidR="003C7BC0" w:rsidRPr="00D03F3E" w:rsidRDefault="003C7BC0" w:rsidP="00D03F3E">
      <w:pPr>
        <w:tabs>
          <w:tab w:val="left" w:pos="153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Обязать Наркома авиационной промышленности т.Шаху рина лично навести должный порядок на заводе, обеспечив выпуск заводом № 30 вполне доброкачественных самолетов (19399).</w:t>
      </w:r>
    </w:p>
    <w:p w14:paraId="64EE7131" w14:textId="77777777" w:rsidR="003C7BC0" w:rsidRPr="00D03F3E" w:rsidRDefault="003C7BC0" w:rsidP="00D03F3E">
      <w:pPr>
        <w:spacing w:after="0" w:line="240" w:lineRule="auto"/>
        <w:jc w:val="both"/>
        <w:rPr>
          <w:rFonts w:ascii="Times New Roman" w:hAnsi="Times New Roman"/>
          <w:color w:val="000000" w:themeColor="text1"/>
          <w:sz w:val="16"/>
          <w:szCs w:val="16"/>
        </w:rPr>
      </w:pPr>
    </w:p>
    <w:p w14:paraId="2A79618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 мая 1943 в НИП АВ ВВС закончились испытания противотанковый У-2ВС, вооруженный подрыльевыми кассетами мелких бомб типов АБК-П-100 на 33 ПТАБ-2.5-1.5 и БАС-1 на 20 ПТАБ, которые прходили с 25 мая 1943. Испытывали с 4хАБК и 6хБАС. Общая площадь разрывав при бомбометании с 200 м на скорости 110-120 - 12х124 м для АБК и 13х192 м для БАС. Одиночный танк поражался с вероятностью 0.4-0.5. Сделали вывод о возможности использования на фронте, но лишь в лунные ночи или при подсветке САБ, а дневное применение - исулючалось (4542, 14).</w:t>
      </w:r>
    </w:p>
    <w:p w14:paraId="0DA06EFD" w14:textId="77777777" w:rsidR="00531570" w:rsidRPr="00D03F3E" w:rsidRDefault="00531570" w:rsidP="00D03F3E">
      <w:pPr>
        <w:pStyle w:val="Iauiue"/>
        <w:jc w:val="both"/>
        <w:rPr>
          <w:color w:val="000000" w:themeColor="text1"/>
          <w:sz w:val="16"/>
          <w:szCs w:val="16"/>
        </w:rPr>
      </w:pPr>
    </w:p>
    <w:p w14:paraId="5ECE90B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 мая 1943 вышел приказ НКАП N 321с:</w:t>
      </w:r>
    </w:p>
    <w:p w14:paraId="359193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выявления причин катастрофы самолета Ил-4, происшедшей 28 мая в ЛИИ, назначить аварийную комиссию" (1712,203).</w:t>
      </w:r>
    </w:p>
    <w:p w14:paraId="2CCC788B" w14:textId="77777777" w:rsidR="00531570" w:rsidRPr="00D03F3E" w:rsidRDefault="00531570" w:rsidP="00D03F3E">
      <w:pPr>
        <w:pStyle w:val="Iauiue"/>
        <w:jc w:val="both"/>
        <w:rPr>
          <w:color w:val="000000" w:themeColor="text1"/>
          <w:sz w:val="16"/>
          <w:szCs w:val="16"/>
        </w:rPr>
      </w:pPr>
    </w:p>
    <w:p w14:paraId="3B392D3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 мая 1943 года при испытании самолета ИЛ-4, в результате катастрофы погиб экипаж в составе летчика-испытателя Федорова В.П., ст. инженера Брук А.Е. и бортмеханика Баркова В.И. (8913)</w:t>
      </w:r>
    </w:p>
    <w:p w14:paraId="1B892E3E" w14:textId="77777777" w:rsidR="00531570" w:rsidRPr="00D03F3E" w:rsidRDefault="00531570" w:rsidP="00D03F3E">
      <w:pPr>
        <w:pStyle w:val="Iauiue"/>
        <w:jc w:val="both"/>
        <w:rPr>
          <w:color w:val="000000" w:themeColor="text1"/>
          <w:sz w:val="16"/>
          <w:szCs w:val="16"/>
        </w:rPr>
      </w:pPr>
    </w:p>
    <w:p w14:paraId="78BFB30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мая 1943 вышло Постановление ГКО № 3449 О постановке серийного производства на заводе № 22 самолетов Пе-2 в варианте истребителя.РГАНИР, Фонд ГКО, д. 120, лл. 110-111 (11012).</w:t>
      </w:r>
    </w:p>
    <w:p w14:paraId="6D43D75A"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EA9805E" w14:textId="77777777" w:rsidR="00635631" w:rsidRPr="00D03F3E" w:rsidRDefault="006356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мая 1943 вышло Постановление ГКО № 3449 О постановке серийного производства на заводе № 22 самолетов Пе-2 в варианте истребителя</w:t>
      </w:r>
    </w:p>
    <w:p w14:paraId="27AE8CE9" w14:textId="77777777" w:rsidR="00635631" w:rsidRPr="00D03F3E" w:rsidRDefault="0063563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Государственный Комитет Обороны постановляет:</w:t>
      </w:r>
    </w:p>
    <w:p w14:paraId="6E609CA9" w14:textId="77777777" w:rsidR="00635631" w:rsidRPr="00D03F3E" w:rsidRDefault="0063563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1. Обязать Наркомавиапром - т.Шахурина, директора заво</w:t>
      </w:r>
      <w:r w:rsidRPr="00D03F3E">
        <w:rPr>
          <w:rFonts w:ascii="Times New Roman" w:hAnsi="Times New Roman" w:cs="Times New Roman"/>
          <w:color w:val="000000" w:themeColor="text1"/>
          <w:sz w:val="16"/>
          <w:szCs w:val="16"/>
        </w:rPr>
        <w:softHyphen/>
        <w:t>да № 22 - т.Окулова и главного конструктора - т.Путилована</w:t>
      </w:r>
      <w:r w:rsidRPr="00D03F3E">
        <w:rPr>
          <w:rFonts w:ascii="Times New Roman" w:hAnsi="Times New Roman" w:cs="Times New Roman"/>
          <w:color w:val="000000" w:themeColor="text1"/>
          <w:sz w:val="16"/>
          <w:szCs w:val="16"/>
        </w:rPr>
        <w:softHyphen/>
        <w:t>ряду с выпуском самолетов Пе-2 бомбардировщиков, отэганиговать на заводе № 22 серийное производство двухместных истребите</w:t>
      </w:r>
      <w:r w:rsidRPr="00D03F3E">
        <w:rPr>
          <w:rFonts w:ascii="Times New Roman" w:hAnsi="Times New Roman" w:cs="Times New Roman"/>
          <w:color w:val="000000" w:themeColor="text1"/>
          <w:sz w:val="16"/>
          <w:szCs w:val="16"/>
        </w:rPr>
        <w:softHyphen/>
        <w:t>лей, для чего ввести в самолет Пе-2 следующие изменения:</w:t>
      </w:r>
    </w:p>
    <w:p w14:paraId="0B66ED51" w14:textId="77777777" w:rsidR="00635631" w:rsidRPr="00D03F3E" w:rsidRDefault="00635631" w:rsidP="00D03F3E">
      <w:pPr>
        <w:pStyle w:val="7f"/>
        <w:shd w:val="clear" w:color="auto" w:fill="auto"/>
        <w:tabs>
          <w:tab w:val="left" w:pos="960"/>
        </w:tabs>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а) снять с самолета Пе-2 - кассеты для подвески бомб внутри фюзеляжа; пулемет калибра 12,7 мм из нижней люковой установки; оборудование и бронирование для третьего члена экипа</w:t>
      </w:r>
      <w:r w:rsidRPr="00D03F3E">
        <w:rPr>
          <w:rFonts w:ascii="Times New Roman" w:hAnsi="Times New Roman" w:cs="Times New Roman"/>
          <w:color w:val="000000" w:themeColor="text1"/>
          <w:sz w:val="16"/>
          <w:szCs w:val="16"/>
        </w:rPr>
        <w:softHyphen/>
        <w:t>жа - стрелка-радиста;</w:t>
      </w:r>
    </w:p>
    <w:p w14:paraId="06AB01E3" w14:textId="77777777" w:rsidR="00635631" w:rsidRPr="00D03F3E" w:rsidRDefault="0063563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пулемет калибра 7,62 мм из носовой части фюзеляжа; решетки для торможения при пикировании;</w:t>
      </w:r>
    </w:p>
    <w:p w14:paraId="6974238D" w14:textId="77777777" w:rsidR="00635631" w:rsidRPr="00D03F3E" w:rsidRDefault="00635631" w:rsidP="00D03F3E">
      <w:pPr>
        <w:pStyle w:val="7f"/>
        <w:shd w:val="clear" w:color="auto" w:fill="auto"/>
        <w:tabs>
          <w:tab w:val="left" w:pos="945"/>
        </w:tabs>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б) дополнительно установить на самолет Пе-2:</w:t>
      </w:r>
    </w:p>
    <w:p w14:paraId="2784BA02" w14:textId="77777777" w:rsidR="00635631" w:rsidRPr="00D03F3E" w:rsidRDefault="00635631" w:rsidP="00D03F3E">
      <w:pPr>
        <w:pStyle w:val="7f"/>
        <w:shd w:val="clear" w:color="auto" w:fill="auto"/>
        <w:tabs>
          <w:tab w:val="left" w:pos="3630"/>
        </w:tabs>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две пушки калибра 20 мм в бомбовом отсеке фюзеляжа, для стрельбы вперед:</w:t>
      </w:r>
    </w:p>
    <w:p w14:paraId="29E093C7" w14:textId="77777777" w:rsidR="00635631" w:rsidRPr="00D03F3E" w:rsidRDefault="00635631" w:rsidP="00D03F3E">
      <w:pPr>
        <w:pStyle w:val="7f"/>
        <w:shd w:val="clear" w:color="auto" w:fill="auto"/>
        <w:tabs>
          <w:tab w:val="left" w:pos="3623"/>
        </w:tabs>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пулемет калибра 7,62 мм в хвосте фюзеляжа, для стрельбы назад; бронирование летчика спереди:</w:t>
      </w:r>
    </w:p>
    <w:p w14:paraId="279203D9" w14:textId="77777777" w:rsidR="00635631" w:rsidRPr="00D03F3E" w:rsidRDefault="00635631" w:rsidP="00D03F3E">
      <w:pPr>
        <w:pStyle w:val="7f"/>
        <w:shd w:val="clear" w:color="auto" w:fill="auto"/>
        <w:tabs>
          <w:tab w:val="left" w:pos="3015"/>
        </w:tabs>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 xml:space="preserve">бенэиновые баки, емкостью </w:t>
      </w:r>
      <w:r w:rsidRPr="00D03F3E">
        <w:rPr>
          <w:rStyle w:val="5f2"/>
          <w:rFonts w:ascii="Times New Roman" w:hAnsi="Times New Roman" w:cs="Times New Roman"/>
          <w:color w:val="000000" w:themeColor="text1"/>
        </w:rPr>
        <w:t>500</w:t>
      </w:r>
      <w:r w:rsidRPr="00D03F3E">
        <w:rPr>
          <w:rFonts w:ascii="Times New Roman" w:hAnsi="Times New Roman" w:cs="Times New Roman"/>
          <w:color w:val="000000" w:themeColor="text1"/>
          <w:sz w:val="16"/>
          <w:szCs w:val="16"/>
        </w:rPr>
        <w:t xml:space="preserve"> кг.,</w:t>
      </w:r>
    </w:p>
    <w:p w14:paraId="27AA6B68" w14:textId="77777777" w:rsidR="00635631" w:rsidRPr="00D03F3E" w:rsidRDefault="00635631" w:rsidP="00D03F3E">
      <w:pPr>
        <w:pStyle w:val="7f"/>
        <w:shd w:val="clear" w:color="auto" w:fill="auto"/>
        <w:tabs>
          <w:tab w:val="left" w:pos="3023"/>
        </w:tabs>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 xml:space="preserve">дальности </w:t>
      </w:r>
      <w:r w:rsidRPr="00D03F3E">
        <w:rPr>
          <w:rStyle w:val="1pt"/>
          <w:rFonts w:ascii="Times New Roman" w:hAnsi="Times New Roman" w:cs="Times New Roman"/>
          <w:color w:val="000000" w:themeColor="text1"/>
          <w:spacing w:val="0"/>
          <w:sz w:val="16"/>
          <w:szCs w:val="16"/>
        </w:rPr>
        <w:t>полета</w:t>
      </w:r>
      <w:r w:rsidRPr="00D03F3E">
        <w:rPr>
          <w:rFonts w:ascii="Times New Roman" w:hAnsi="Times New Roman" w:cs="Times New Roman"/>
          <w:color w:val="000000" w:themeColor="text1"/>
          <w:sz w:val="16"/>
          <w:szCs w:val="16"/>
        </w:rPr>
        <w:t xml:space="preserve"> на </w:t>
      </w:r>
      <w:r w:rsidRPr="00D03F3E">
        <w:rPr>
          <w:rStyle w:val="5f2"/>
          <w:rFonts w:ascii="Times New Roman" w:hAnsi="Times New Roman" w:cs="Times New Roman"/>
          <w:color w:val="000000" w:themeColor="text1"/>
        </w:rPr>
        <w:t xml:space="preserve">500 </w:t>
      </w:r>
      <w:r w:rsidRPr="00D03F3E">
        <w:rPr>
          <w:rStyle w:val="1pt"/>
          <w:rFonts w:ascii="Times New Roman" w:hAnsi="Times New Roman" w:cs="Times New Roman"/>
          <w:color w:val="000000" w:themeColor="text1"/>
          <w:spacing w:val="0"/>
          <w:sz w:val="16"/>
          <w:szCs w:val="16"/>
        </w:rPr>
        <w:t>км;</w:t>
      </w:r>
    </w:p>
    <w:p w14:paraId="4FE74AE0" w14:textId="77777777" w:rsidR="00635631" w:rsidRPr="00D03F3E" w:rsidRDefault="00635631" w:rsidP="00D03F3E">
      <w:pPr>
        <w:pStyle w:val="7f"/>
        <w:shd w:val="clear" w:color="auto" w:fill="auto"/>
        <w:tabs>
          <w:tab w:val="left" w:pos="938"/>
        </w:tabs>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 перенести радио-оборудовакие с места стрелка- радиста к штурману.</w:t>
      </w:r>
    </w:p>
    <w:p w14:paraId="773041E6" w14:textId="77777777" w:rsidR="00635631" w:rsidRPr="00D03F3E" w:rsidRDefault="0063563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Самолет Пе-2 с моторами М-105ПФ в варианте истребителя выпускать со следующими данными:</w:t>
      </w:r>
    </w:p>
    <w:p w14:paraId="115CFC2F" w14:textId="77777777" w:rsidR="00635631" w:rsidRPr="00D03F3E" w:rsidRDefault="0063563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максимальная скорость у земли - 470</w:t>
      </w:r>
    </w:p>
    <w:p w14:paraId="374352A5" w14:textId="77777777" w:rsidR="00635631" w:rsidRPr="00D03F3E" w:rsidRDefault="0063563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 xml:space="preserve">максимальная скорость на высоте </w:t>
      </w:r>
      <w:r w:rsidRPr="00D03F3E">
        <w:rPr>
          <w:rStyle w:val="5f2"/>
          <w:rFonts w:ascii="Times New Roman" w:hAnsi="Times New Roman" w:cs="Times New Roman"/>
          <w:color w:val="000000" w:themeColor="text1"/>
        </w:rPr>
        <w:t>3500</w:t>
      </w:r>
      <w:r w:rsidRPr="00D03F3E">
        <w:rPr>
          <w:rFonts w:ascii="Times New Roman" w:hAnsi="Times New Roman" w:cs="Times New Roman"/>
          <w:color w:val="000000" w:themeColor="text1"/>
          <w:sz w:val="16"/>
          <w:szCs w:val="16"/>
        </w:rPr>
        <w:t xml:space="preserve"> мт. - 540</w:t>
      </w:r>
    </w:p>
    <w:p w14:paraId="2CC646EE" w14:textId="77777777" w:rsidR="00635631" w:rsidRPr="00D03F3E" w:rsidRDefault="0063563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посадочная скорость - 145</w:t>
      </w:r>
    </w:p>
    <w:p w14:paraId="4D9BDAC6" w14:textId="77777777" w:rsidR="00635631" w:rsidRPr="00D03F3E" w:rsidRDefault="0063563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 xml:space="preserve">время под"ема на высоту </w:t>
      </w:r>
      <w:r w:rsidRPr="00D03F3E">
        <w:rPr>
          <w:rStyle w:val="5f2"/>
          <w:rFonts w:ascii="Times New Roman" w:hAnsi="Times New Roman" w:cs="Times New Roman"/>
          <w:color w:val="000000" w:themeColor="text1"/>
        </w:rPr>
        <w:t>5000</w:t>
      </w:r>
      <w:r w:rsidRPr="00D03F3E">
        <w:rPr>
          <w:rFonts w:ascii="Times New Roman" w:hAnsi="Times New Roman" w:cs="Times New Roman"/>
          <w:color w:val="000000" w:themeColor="text1"/>
          <w:sz w:val="16"/>
          <w:szCs w:val="16"/>
        </w:rPr>
        <w:t xml:space="preserve"> мт. - 9,6 мин.</w:t>
      </w:r>
    </w:p>
    <w:p w14:paraId="6F24AE40" w14:textId="77777777" w:rsidR="00635631" w:rsidRPr="00D03F3E" w:rsidRDefault="0063563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практический потолок - 9100</w:t>
      </w:r>
    </w:p>
    <w:p w14:paraId="6D3DC2A9" w14:textId="77777777" w:rsidR="00635631" w:rsidRPr="00D03F3E" w:rsidRDefault="0063563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D03F3E">
        <w:rPr>
          <w:rStyle w:val="6pt"/>
          <w:rFonts w:ascii="Times New Roman" w:hAnsi="Times New Roman" w:cs="Times New Roman"/>
          <w:color w:val="000000" w:themeColor="text1"/>
          <w:spacing w:val="0"/>
          <w:sz w:val="16"/>
          <w:szCs w:val="16"/>
        </w:rPr>
        <w:t>разбег - 500</w:t>
      </w:r>
    </w:p>
    <w:p w14:paraId="7561BF82" w14:textId="77777777" w:rsidR="00635631" w:rsidRPr="00D03F3E" w:rsidRDefault="00635631" w:rsidP="00D03F3E">
      <w:pPr>
        <w:pStyle w:val="7f"/>
        <w:framePr w:h="199" w:wrap="around" w:hAnchor="margin" w:x="-1199" w:y="8519"/>
        <w:shd w:val="clear" w:color="auto" w:fill="auto"/>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о</w:t>
      </w:r>
    </w:p>
    <w:p w14:paraId="41FCD0A4" w14:textId="77777777" w:rsidR="00635631" w:rsidRPr="00D03F3E" w:rsidRDefault="0063563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 xml:space="preserve">дальность полета на </w:t>
      </w:r>
      <w:r w:rsidRPr="00D03F3E">
        <w:rPr>
          <w:rStyle w:val="5f2"/>
          <w:rFonts w:ascii="Times New Roman" w:hAnsi="Times New Roman" w:cs="Times New Roman"/>
          <w:color w:val="000000" w:themeColor="text1"/>
        </w:rPr>
        <w:t>0,8</w:t>
      </w:r>
      <w:r w:rsidRPr="00D03F3E">
        <w:rPr>
          <w:rFonts w:ascii="Times New Roman" w:hAnsi="Times New Roman" w:cs="Times New Roman"/>
          <w:color w:val="000000" w:themeColor="text1"/>
          <w:sz w:val="16"/>
          <w:szCs w:val="16"/>
        </w:rPr>
        <w:t xml:space="preserve"> максималь</w:t>
      </w:r>
      <w:r w:rsidRPr="00D03F3E">
        <w:rPr>
          <w:rFonts w:ascii="Times New Roman" w:hAnsi="Times New Roman" w:cs="Times New Roman"/>
          <w:color w:val="000000" w:themeColor="text1"/>
          <w:sz w:val="16"/>
          <w:szCs w:val="16"/>
        </w:rPr>
        <w:softHyphen/>
        <w:t xml:space="preserve">ной скорости и высоте </w:t>
      </w:r>
      <w:r w:rsidRPr="00D03F3E">
        <w:rPr>
          <w:rStyle w:val="5f2"/>
          <w:rFonts w:ascii="Times New Roman" w:hAnsi="Times New Roman" w:cs="Times New Roman"/>
          <w:color w:val="000000" w:themeColor="text1"/>
        </w:rPr>
        <w:t>3500</w:t>
      </w:r>
      <w:r w:rsidRPr="00D03F3E">
        <w:rPr>
          <w:rFonts w:ascii="Times New Roman" w:hAnsi="Times New Roman" w:cs="Times New Roman"/>
          <w:color w:val="000000" w:themeColor="text1"/>
          <w:sz w:val="16"/>
          <w:szCs w:val="16"/>
        </w:rPr>
        <w:t xml:space="preserve"> мт. -1600 км</w:t>
      </w:r>
    </w:p>
    <w:p w14:paraId="1ADD0B82" w14:textId="77777777" w:rsidR="00635631" w:rsidRPr="00D03F3E" w:rsidRDefault="006356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Вооружение: вперед - две пушки калибра 20 мы в бомбовом отсеке с боезапасом по </w:t>
      </w:r>
      <w:r w:rsidRPr="00D03F3E">
        <w:rPr>
          <w:rStyle w:val="0pt"/>
          <w:rFonts w:ascii="Times New Roman" w:hAnsi="Times New Roman" w:cs="Times New Roman"/>
          <w:color w:val="000000" w:themeColor="text1"/>
          <w:spacing w:val="0"/>
          <w:sz w:val="16"/>
          <w:szCs w:val="16"/>
        </w:rPr>
        <w:t>160</w:t>
      </w:r>
      <w:r w:rsidRPr="00D03F3E">
        <w:rPr>
          <w:rFonts w:ascii="Times New Roman" w:hAnsi="Times New Roman"/>
          <w:color w:val="000000" w:themeColor="text1"/>
          <w:sz w:val="16"/>
          <w:szCs w:val="16"/>
        </w:rPr>
        <w:t xml:space="preserve"> снарядов; один пулемет калибра </w:t>
      </w:r>
      <w:r w:rsidRPr="00D03F3E">
        <w:rPr>
          <w:rStyle w:val="0pt"/>
          <w:rFonts w:ascii="Times New Roman" w:hAnsi="Times New Roman" w:cs="Times New Roman"/>
          <w:color w:val="000000" w:themeColor="text1"/>
          <w:spacing w:val="0"/>
          <w:sz w:val="16"/>
          <w:szCs w:val="16"/>
        </w:rPr>
        <w:t>12,7</w:t>
      </w:r>
      <w:r w:rsidRPr="00D03F3E">
        <w:rPr>
          <w:rFonts w:ascii="Times New Roman" w:hAnsi="Times New Roman"/>
          <w:color w:val="000000" w:themeColor="text1"/>
          <w:sz w:val="16"/>
          <w:szCs w:val="16"/>
        </w:rPr>
        <w:t xml:space="preserve"> мм в носо</w:t>
      </w:r>
      <w:r w:rsidRPr="00D03F3E">
        <w:rPr>
          <w:rFonts w:ascii="Times New Roman" w:hAnsi="Times New Roman"/>
          <w:color w:val="000000" w:themeColor="text1"/>
          <w:sz w:val="16"/>
          <w:szCs w:val="16"/>
        </w:rPr>
        <w:softHyphen/>
        <w:t xml:space="preserve">вой части фюзеляжа с боезапасом </w:t>
      </w:r>
      <w:r w:rsidRPr="00D03F3E">
        <w:rPr>
          <w:rStyle w:val="0pt"/>
          <w:rFonts w:ascii="Times New Roman" w:hAnsi="Times New Roman" w:cs="Times New Roman"/>
          <w:color w:val="000000" w:themeColor="text1"/>
          <w:spacing w:val="0"/>
          <w:sz w:val="16"/>
          <w:szCs w:val="16"/>
        </w:rPr>
        <w:t xml:space="preserve">150 </w:t>
      </w:r>
      <w:r w:rsidRPr="00D03F3E">
        <w:rPr>
          <w:rFonts w:ascii="Times New Roman" w:hAnsi="Times New Roman"/>
          <w:color w:val="000000" w:themeColor="text1"/>
          <w:sz w:val="16"/>
          <w:szCs w:val="16"/>
        </w:rPr>
        <w:t>патронов;</w:t>
      </w:r>
    </w:p>
    <w:p w14:paraId="2D0F2B3B" w14:textId="77777777" w:rsidR="00635631" w:rsidRPr="00D03F3E" w:rsidRDefault="006356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назад - один пулемет калибра </w:t>
      </w:r>
      <w:r w:rsidRPr="00D03F3E">
        <w:rPr>
          <w:rStyle w:val="0pt"/>
          <w:rFonts w:ascii="Times New Roman" w:hAnsi="Times New Roman" w:cs="Times New Roman"/>
          <w:color w:val="000000" w:themeColor="text1"/>
          <w:spacing w:val="0"/>
          <w:sz w:val="16"/>
          <w:szCs w:val="16"/>
        </w:rPr>
        <w:t>12,7</w:t>
      </w:r>
      <w:r w:rsidRPr="00D03F3E">
        <w:rPr>
          <w:rFonts w:ascii="Times New Roman" w:hAnsi="Times New Roman"/>
          <w:color w:val="000000" w:themeColor="text1"/>
          <w:sz w:val="16"/>
          <w:szCs w:val="16"/>
        </w:rPr>
        <w:t xml:space="preserve"> мм на под</w:t>
      </w:r>
      <w:r w:rsidRPr="00D03F3E">
        <w:rPr>
          <w:rFonts w:ascii="Times New Roman" w:hAnsi="Times New Roman"/>
          <w:color w:val="000000" w:themeColor="text1"/>
          <w:sz w:val="16"/>
          <w:szCs w:val="16"/>
        </w:rPr>
        <w:softHyphen/>
        <w:t>вижной установке штурмана с боезапа</w:t>
      </w:r>
      <w:r w:rsidRPr="00D03F3E">
        <w:rPr>
          <w:rFonts w:ascii="Times New Roman" w:hAnsi="Times New Roman"/>
          <w:color w:val="000000" w:themeColor="text1"/>
          <w:sz w:val="16"/>
          <w:szCs w:val="16"/>
        </w:rPr>
        <w:softHyphen/>
        <w:t xml:space="preserve">сом </w:t>
      </w:r>
      <w:r w:rsidRPr="00D03F3E">
        <w:rPr>
          <w:rStyle w:val="0pt"/>
          <w:rFonts w:ascii="Times New Roman" w:hAnsi="Times New Roman" w:cs="Times New Roman"/>
          <w:color w:val="000000" w:themeColor="text1"/>
          <w:spacing w:val="0"/>
          <w:sz w:val="16"/>
          <w:szCs w:val="16"/>
        </w:rPr>
        <w:t>250</w:t>
      </w:r>
      <w:r w:rsidRPr="00D03F3E">
        <w:rPr>
          <w:rFonts w:ascii="Times New Roman" w:hAnsi="Times New Roman"/>
          <w:color w:val="000000" w:themeColor="text1"/>
          <w:sz w:val="16"/>
          <w:szCs w:val="16"/>
        </w:rPr>
        <w:t xml:space="preserve"> патронов; один неподвижный пулемет калибра </w:t>
      </w:r>
      <w:r w:rsidRPr="00D03F3E">
        <w:rPr>
          <w:rStyle w:val="0pt"/>
          <w:rFonts w:ascii="Times New Roman" w:hAnsi="Times New Roman" w:cs="Times New Roman"/>
          <w:color w:val="000000" w:themeColor="text1"/>
          <w:spacing w:val="0"/>
          <w:sz w:val="16"/>
          <w:szCs w:val="16"/>
        </w:rPr>
        <w:t>7,62</w:t>
      </w:r>
      <w:r w:rsidRPr="00D03F3E">
        <w:rPr>
          <w:rFonts w:ascii="Times New Roman" w:hAnsi="Times New Roman"/>
          <w:color w:val="000000" w:themeColor="text1"/>
          <w:sz w:val="16"/>
          <w:szCs w:val="16"/>
        </w:rPr>
        <w:t xml:space="preserve"> мм в хвостовом коке фюзеляжа с боезапасом </w:t>
      </w:r>
      <w:r w:rsidRPr="00D03F3E">
        <w:rPr>
          <w:rStyle w:val="0pt"/>
          <w:rFonts w:ascii="Times New Roman" w:hAnsi="Times New Roman" w:cs="Times New Roman"/>
          <w:color w:val="000000" w:themeColor="text1"/>
          <w:spacing w:val="0"/>
          <w:sz w:val="16"/>
          <w:szCs w:val="16"/>
        </w:rPr>
        <w:t>250</w:t>
      </w:r>
      <w:r w:rsidRPr="00D03F3E">
        <w:rPr>
          <w:rFonts w:ascii="Times New Roman" w:hAnsi="Times New Roman"/>
          <w:color w:val="000000" w:themeColor="text1"/>
          <w:sz w:val="16"/>
          <w:szCs w:val="16"/>
        </w:rPr>
        <w:t xml:space="preserve"> патронов.</w:t>
      </w:r>
    </w:p>
    <w:p w14:paraId="39FA4855" w14:textId="77777777" w:rsidR="00635631" w:rsidRPr="00D03F3E" w:rsidRDefault="006356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Бомбовые замки в мотогондолах для подвески двух </w:t>
      </w:r>
      <w:r w:rsidRPr="00D03F3E">
        <w:rPr>
          <w:rStyle w:val="0pt"/>
          <w:rFonts w:ascii="Times New Roman" w:hAnsi="Times New Roman" w:cs="Times New Roman"/>
          <w:color w:val="000000" w:themeColor="text1"/>
          <w:spacing w:val="0"/>
          <w:sz w:val="16"/>
          <w:szCs w:val="16"/>
        </w:rPr>
        <w:t>100</w:t>
      </w:r>
      <w:r w:rsidRPr="00D03F3E">
        <w:rPr>
          <w:rFonts w:ascii="Times New Roman" w:hAnsi="Times New Roman"/>
          <w:color w:val="000000" w:themeColor="text1"/>
          <w:sz w:val="16"/>
          <w:szCs w:val="16"/>
        </w:rPr>
        <w:t xml:space="preserve"> кгр. бомб и два замка для наружной подвески бомб.</w:t>
      </w:r>
    </w:p>
    <w:p w14:paraId="51B5ACCF" w14:textId="77777777" w:rsidR="00635631" w:rsidRPr="00D03F3E" w:rsidRDefault="00635631" w:rsidP="00D03F3E">
      <w:pPr>
        <w:tabs>
          <w:tab w:val="left" w:pos="99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 Обязать директора завода № </w:t>
      </w:r>
      <w:r w:rsidRPr="00D03F3E">
        <w:rPr>
          <w:rStyle w:val="16"/>
          <w:rFonts w:ascii="Times New Roman" w:hAnsi="Times New Roman" w:cs="Times New Roman"/>
          <w:color w:val="000000" w:themeColor="text1"/>
          <w:spacing w:val="0"/>
        </w:rPr>
        <w:t>22 -</w:t>
      </w:r>
      <w:r w:rsidRPr="00D03F3E">
        <w:rPr>
          <w:rFonts w:ascii="Times New Roman" w:hAnsi="Times New Roman"/>
          <w:color w:val="000000" w:themeColor="text1"/>
          <w:sz w:val="16"/>
          <w:szCs w:val="16"/>
        </w:rPr>
        <w:t xml:space="preserve"> т.Окулова и глав</w:t>
      </w:r>
      <w:r w:rsidRPr="00D03F3E">
        <w:rPr>
          <w:rFonts w:ascii="Times New Roman" w:hAnsi="Times New Roman"/>
          <w:color w:val="000000" w:themeColor="text1"/>
          <w:sz w:val="16"/>
          <w:szCs w:val="16"/>
        </w:rPr>
        <w:softHyphen/>
        <w:t>ного конструктора - т.Путилова немедленно приступить к ор</w:t>
      </w:r>
      <w:r w:rsidRPr="00D03F3E">
        <w:rPr>
          <w:rFonts w:ascii="Times New Roman" w:hAnsi="Times New Roman"/>
          <w:color w:val="000000" w:themeColor="text1"/>
          <w:sz w:val="16"/>
          <w:szCs w:val="16"/>
        </w:rPr>
        <w:softHyphen/>
        <w:t>ганизации серийного производства самолетов Пе-2 в варианте истребителя, обеспечив их выпуск в счет программы по само</w:t>
      </w:r>
      <w:r w:rsidRPr="00D03F3E">
        <w:rPr>
          <w:rFonts w:ascii="Times New Roman" w:hAnsi="Times New Roman"/>
          <w:color w:val="000000" w:themeColor="text1"/>
          <w:sz w:val="16"/>
          <w:szCs w:val="16"/>
        </w:rPr>
        <w:softHyphen/>
        <w:t>летам Пе-2 бомбардировщикам:</w:t>
      </w:r>
    </w:p>
    <w:p w14:paraId="41B3696D" w14:textId="77777777" w:rsidR="00635631" w:rsidRPr="00D03F3E" w:rsidRDefault="006356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с.г. - 2 головных самолета для проведения ис</w:t>
      </w:r>
      <w:r w:rsidRPr="00D03F3E">
        <w:rPr>
          <w:rFonts w:ascii="Times New Roman" w:hAnsi="Times New Roman"/>
          <w:color w:val="000000" w:themeColor="text1"/>
          <w:sz w:val="16"/>
          <w:szCs w:val="16"/>
        </w:rPr>
        <w:softHyphen/>
        <w:t>пытаний в НИИ ВВС;</w:t>
      </w:r>
    </w:p>
    <w:p w14:paraId="1AE0477A" w14:textId="77777777" w:rsidR="00635631" w:rsidRPr="00D03F3E" w:rsidRDefault="006356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июле с.г. - 25 самолетов;</w:t>
      </w:r>
    </w:p>
    <w:p w14:paraId="2922D4BC" w14:textId="77777777" w:rsidR="00635631" w:rsidRPr="00D03F3E" w:rsidRDefault="006356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августе и последующие месяцы - по 2 самолета в день.</w:t>
      </w:r>
    </w:p>
    <w:p w14:paraId="3847F9BA" w14:textId="77777777" w:rsidR="00635631" w:rsidRPr="00D03F3E" w:rsidRDefault="00635631" w:rsidP="00D03F3E">
      <w:pPr>
        <w:tabs>
          <w:tab w:val="left" w:pos="98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Командующему ВВС КА маршалу авиации т.Новикову - обеспечить проведение в НИИ ВВС поверочных испытаний двух головных самолетов Пе-2 в варианте истребителя в течение 15 дней.</w:t>
      </w:r>
    </w:p>
    <w:p w14:paraId="3C442EB6" w14:textId="77777777" w:rsidR="00635631" w:rsidRPr="00D03F3E" w:rsidRDefault="00635631" w:rsidP="00D03F3E">
      <w:pPr>
        <w:tabs>
          <w:tab w:val="left" w:pos="98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Самолет Пе-2 в варианте двухместного истребителя именовать Пе-3.</w:t>
      </w:r>
    </w:p>
    <w:p w14:paraId="1EC0C34D" w14:textId="77777777" w:rsidR="00635631" w:rsidRPr="00D03F3E" w:rsidRDefault="00635631" w:rsidP="00D03F3E">
      <w:pPr>
        <w:tabs>
          <w:tab w:val="left" w:pos="99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Считая важнейшей задачей для завода № 22 - выпуск самолетов Пе-2 в варианте истребителя, в установленные сро</w:t>
      </w:r>
      <w:r w:rsidRPr="00D03F3E">
        <w:rPr>
          <w:rFonts w:ascii="Times New Roman" w:hAnsi="Times New Roman"/>
          <w:color w:val="000000" w:themeColor="text1"/>
          <w:sz w:val="16"/>
          <w:szCs w:val="16"/>
        </w:rPr>
        <w:softHyphen/>
        <w:t xml:space="preserve">ки, выделить в распоряжение Народного Комиссара авиационной промышленности - т.Шахурина </w:t>
      </w:r>
      <w:r w:rsidRPr="00D03F3E">
        <w:rPr>
          <w:rStyle w:val="0pt"/>
          <w:rFonts w:ascii="Times New Roman" w:hAnsi="Times New Roman" w:cs="Times New Roman"/>
          <w:color w:val="000000" w:themeColor="text1"/>
          <w:spacing w:val="0"/>
          <w:sz w:val="16"/>
          <w:szCs w:val="16"/>
        </w:rPr>
        <w:t>300.000</w:t>
      </w:r>
      <w:r w:rsidRPr="00D03F3E">
        <w:rPr>
          <w:rFonts w:ascii="Times New Roman" w:hAnsi="Times New Roman"/>
          <w:color w:val="000000" w:themeColor="text1"/>
          <w:sz w:val="16"/>
          <w:szCs w:val="16"/>
        </w:rPr>
        <w:t xml:space="preserve"> рублей на премирование конструкторов и производственников вавода, наиболее отли</w:t>
      </w:r>
      <w:r w:rsidRPr="00D03F3E">
        <w:rPr>
          <w:rFonts w:ascii="Times New Roman" w:hAnsi="Times New Roman"/>
          <w:color w:val="000000" w:themeColor="text1"/>
          <w:sz w:val="16"/>
          <w:szCs w:val="16"/>
        </w:rPr>
        <w:softHyphen/>
        <w:t>чившихся при выполнении задания по данному постановлению.</w:t>
      </w:r>
    </w:p>
    <w:p w14:paraId="641129E0" w14:textId="77777777" w:rsidR="00635631" w:rsidRPr="00D03F3E" w:rsidRDefault="006356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Наркомфину СССР - т.Звереву перевести НКАП указанную премиальную суму из резервного фонда СНК СССР (19401).</w:t>
      </w:r>
    </w:p>
    <w:p w14:paraId="01806C77" w14:textId="77777777" w:rsidR="00635631" w:rsidRPr="00D03F3E" w:rsidRDefault="00635631" w:rsidP="00D03F3E">
      <w:pPr>
        <w:spacing w:after="0" w:line="240" w:lineRule="auto"/>
        <w:jc w:val="both"/>
        <w:rPr>
          <w:rFonts w:ascii="Times New Roman" w:hAnsi="Times New Roman"/>
          <w:color w:val="000000" w:themeColor="text1"/>
          <w:sz w:val="16"/>
          <w:szCs w:val="16"/>
        </w:rPr>
      </w:pPr>
    </w:p>
    <w:p w14:paraId="36CDCE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 мая 1943 ГКО обязал завод 22 приступить с июня к серийному производству Пе-3, но без выкрутасов. Фактически это должен был быть Пе-2И 1941, но с М-105ПФ. А.И.Путилов стал спорить, что можно делать лучше, но тут-то и назначили В.М.М. (235,5).</w:t>
      </w:r>
    </w:p>
    <w:p w14:paraId="108713D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Это было постановление ГКО от 28 мая 1943 N 3449сс (1716,32).</w:t>
      </w:r>
    </w:p>
    <w:p w14:paraId="2910EC95" w14:textId="77777777" w:rsidR="00531570" w:rsidRPr="00D03F3E" w:rsidRDefault="00531570" w:rsidP="00D03F3E">
      <w:pPr>
        <w:pStyle w:val="Iauiue"/>
        <w:jc w:val="both"/>
        <w:rPr>
          <w:color w:val="000000" w:themeColor="text1"/>
          <w:sz w:val="16"/>
          <w:szCs w:val="16"/>
        </w:rPr>
      </w:pPr>
    </w:p>
    <w:p w14:paraId="0950E2E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 мая 1943 г. ГКО своим постановлением обязал завод № 22 приступить со следующего месяца к серийному выпуску... истребителей Пе-3. Никаких гермокабин, никаких дистанционно управляемых пулеметов, никаких нагнетателей Доллежаля: надлежало использовать только серийно выпускающиеся моторы и оборудование. Детально ознакомившись с тактико-техническими требованиями, Путилов понял: ему фактически приказали организовать постройку Пе-2И образца 1941 г., но с моторами М-105ПФ. План предусматривал выпуск в июне двух опытных машин, а в июле - уже 25 серийных.</w:t>
      </w:r>
    </w:p>
    <w:p w14:paraId="7F1E6CE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Предписывалось снять с “нормального” серийного Пе-2 пулемет и броню стрелка радиста, разместив на освободившемся месте 500-литровый бензобак. Внутрифюзеляжная бомбардировочная установка ликвидировалась, на месте бомбоотсека требовалось смонтировать две пушки ШВАК со 160 снарядами на ствол. В носовом коке оставался пулемет УБК с боекомплектом 150 патронов, а в хвостовом необходимо было разместить пулемет ШКАС.</w:t>
      </w:r>
    </w:p>
    <w:p w14:paraId="4D4576D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Путилов позволил себе не согласиться с заданием. Он считал, что в том виде, в каком истребитель был заказан, он уже не соответствовал требованиям времени. По мнению главного конструктора, следовало делать ставку на Пе-2ВИ, а вовсе не на устаревшую идею Пе-3. Но он недооценил последствий такого шага. У наркомата авиапромышленности имелся большой “зуб” на Путилова: в ходе серийного производства летно-технические данные Пе-2 почти неуклонно ухудшались из-за увеличения полетной массы и снижения качества производственного исполнения.</w:t>
      </w:r>
    </w:p>
    <w:p w14:paraId="7CEE1A7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Терпение руководства НКАПа лопнуло, и на заводе № 22 появился новый главный конструктор по самолету Пе-2: - В.М. Мясищев. Ознакомившись с положением дел, он, в сущности, поддержал точку зрения Путилова относительно ненужности Пе-3. Вместе с тем, Мясищев с прохладцей отнесся и к “высотникам” своего предшественника, передав работу по доводке Пе-2ВИ сначала в ЛИИ, а затем на авиамоторный завод № 26, где она благополучно “заглохла” к концу года. Вместо Пе-3 завод получил другое задание: развернуть серийное производство Пе-2 с моторами М-82. Впрочем, и это решение наркомата оказалось не вполне продуманным: после выпуска небольшой серии машин, отличавшихся обилием дефектов винтомоторной группы, завод прекратил их постройку осенью 1943 г. И тут снова всплыл вопрос о Пе-3...(4476).</w:t>
      </w:r>
    </w:p>
    <w:p w14:paraId="5579E55A" w14:textId="77777777" w:rsidR="00531570" w:rsidRPr="00D03F3E" w:rsidRDefault="00531570" w:rsidP="00D03F3E">
      <w:pPr>
        <w:pStyle w:val="Iauiue"/>
        <w:jc w:val="both"/>
        <w:rPr>
          <w:color w:val="000000" w:themeColor="text1"/>
          <w:sz w:val="16"/>
          <w:szCs w:val="16"/>
        </w:rPr>
      </w:pPr>
    </w:p>
    <w:p w14:paraId="4060886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мая 1943 г. ГКО своим постановлением обязал завод № 22 приступить со следующего месяца к серийному выпуску... истребителей Пе-3. Никаких гермокабин, дистанционно управляемых пулеметов, нагнетателей Доллежаля - использовать только серийно выпускающиеся моторы и оборудование. Детально ознакомившись с тактико-техничес- кими требованиями, Путилов понял: ему фактически приказали организовать постройку Пе-2И образца 1941 г., но с моторами М-105ПФ. План предусматривал выпуск в июне двух опытных машин, а в июле - уже 25 серийных.</w:t>
      </w:r>
    </w:p>
    <w:p w14:paraId="525EE2E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Предписывалось снять с "нормального" серийного Пе-2 пулемет и броню стрелка радиста, разместив на освободившемся месте 500-литровый бензобак. Внутрифюзеляжная бомбардировочная установка ликвидировалась, на месте бомбоогсека требовалось смонтировать две пушки ШВАК со 160 снарядами на ствол. В носовом коке оставался пулемет УБК с боекомплектом 150 патронов, а в хвостовом следовало разместить пулемет ШКАС. Реализовывать это указание наркомата довелось уже новому главному конструктору по самолету Пе-2 В.М. Мясишеву. Впрочем, вскоре вместо истребителей Пе-3 завод получил задание развернуть серийное производство Пе-2 с моторами М-82. После выпуска небольшой серии машин, отличавшихся обилием дефектов винтомоторной группы, завод прекратил их постройку осенью 1943 г. И тут снова возник вопрос о Пе-3...</w:t>
      </w:r>
    </w:p>
    <w:p w14:paraId="1D33132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этому времени ОКБ завода № 22 разработало новую, более совершенную установку штурмана, получившую обозначение "ФЗ" - "фронтовое задание". Вместе с модифицированным фонарем кабины пилота она позволяла заметно повысить боевые качества Пс-2. В конце 1943 г. ее решили смонтировать на новый вариант двухмоторного истребителя Пе-3, производство которого возобновлялось на казанском заводе в соответствии с распоряжением наркомата авиапромышленности. Другим нововведением должно было стать крыло с модифицированным профилем носка, значительно улучшавшим поведение машины при посадке (12042).</w:t>
      </w:r>
    </w:p>
    <w:p w14:paraId="4B71ABB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Летно-технические данные истребителей семейства Пе-2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860B4B" w:rsidRPr="00D03F3E" w14:paraId="23A2191B" w14:textId="77777777">
        <w:tc>
          <w:tcPr>
            <w:tcW w:w="1868" w:type="dxa"/>
            <w:tcBorders>
              <w:top w:val="single" w:sz="12" w:space="0" w:color="auto"/>
            </w:tcBorders>
          </w:tcPr>
          <w:p w14:paraId="62D52CF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Характеристика</w:t>
            </w:r>
          </w:p>
        </w:tc>
        <w:tc>
          <w:tcPr>
            <w:tcW w:w="1868" w:type="dxa"/>
            <w:tcBorders>
              <w:top w:val="single" w:sz="12" w:space="0" w:color="auto"/>
            </w:tcBorders>
          </w:tcPr>
          <w:p w14:paraId="272B2DB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c>
          <w:tcPr>
            <w:tcW w:w="1868" w:type="dxa"/>
            <w:tcBorders>
              <w:top w:val="single" w:sz="12" w:space="0" w:color="auto"/>
            </w:tcBorders>
          </w:tcPr>
          <w:p w14:paraId="3E85967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Пе-3</w:t>
            </w:r>
          </w:p>
        </w:tc>
        <w:tc>
          <w:tcPr>
            <w:tcW w:w="1868" w:type="dxa"/>
            <w:tcBorders>
              <w:top w:val="single" w:sz="12" w:space="0" w:color="auto"/>
            </w:tcBorders>
          </w:tcPr>
          <w:p w14:paraId="25EAADB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Пе-2И</w:t>
            </w:r>
          </w:p>
        </w:tc>
        <w:tc>
          <w:tcPr>
            <w:tcW w:w="1868" w:type="dxa"/>
            <w:tcBorders>
              <w:top w:val="single" w:sz="12" w:space="0" w:color="auto"/>
            </w:tcBorders>
          </w:tcPr>
          <w:p w14:paraId="37175F2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Пе-Збис</w:t>
            </w:r>
          </w:p>
        </w:tc>
        <w:tc>
          <w:tcPr>
            <w:tcW w:w="1868" w:type="dxa"/>
            <w:tcBorders>
              <w:top w:val="single" w:sz="12" w:space="0" w:color="auto"/>
            </w:tcBorders>
          </w:tcPr>
          <w:p w14:paraId="16AA704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Пе-3</w:t>
            </w:r>
          </w:p>
        </w:tc>
      </w:tr>
      <w:tr w:rsidR="00860B4B" w:rsidRPr="00D03F3E" w14:paraId="3E8BD4C4" w14:textId="77777777">
        <w:tc>
          <w:tcPr>
            <w:tcW w:w="1868" w:type="dxa"/>
          </w:tcPr>
          <w:p w14:paraId="1CA9D4F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Дата испытаний</w:t>
            </w:r>
          </w:p>
        </w:tc>
        <w:tc>
          <w:tcPr>
            <w:tcW w:w="1868" w:type="dxa"/>
          </w:tcPr>
          <w:p w14:paraId="3A5BA50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3.1940</w:t>
            </w:r>
          </w:p>
        </w:tc>
        <w:tc>
          <w:tcPr>
            <w:tcW w:w="1868" w:type="dxa"/>
          </w:tcPr>
          <w:p w14:paraId="68D6D83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8.1941</w:t>
            </w:r>
          </w:p>
        </w:tc>
        <w:tc>
          <w:tcPr>
            <w:tcW w:w="1868" w:type="dxa"/>
          </w:tcPr>
          <w:p w14:paraId="15313AD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9.1941</w:t>
            </w:r>
          </w:p>
        </w:tc>
        <w:tc>
          <w:tcPr>
            <w:tcW w:w="1868" w:type="dxa"/>
          </w:tcPr>
          <w:p w14:paraId="1CAB8F9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5.1942</w:t>
            </w:r>
          </w:p>
        </w:tc>
        <w:tc>
          <w:tcPr>
            <w:tcW w:w="1868" w:type="dxa"/>
          </w:tcPr>
          <w:p w14:paraId="7CB172B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8.1944</w:t>
            </w:r>
          </w:p>
        </w:tc>
      </w:tr>
      <w:tr w:rsidR="00860B4B" w:rsidRPr="00D03F3E" w14:paraId="6CE3B92F" w14:textId="77777777">
        <w:tc>
          <w:tcPr>
            <w:tcW w:w="1868" w:type="dxa"/>
          </w:tcPr>
          <w:p w14:paraId="156E32D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w:t>
            </w:r>
          </w:p>
        </w:tc>
        <w:tc>
          <w:tcPr>
            <w:tcW w:w="1868" w:type="dxa"/>
          </w:tcPr>
          <w:p w14:paraId="3FA1B24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1868" w:type="dxa"/>
          </w:tcPr>
          <w:p w14:paraId="3940586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1868" w:type="dxa"/>
          </w:tcPr>
          <w:p w14:paraId="748B693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1868" w:type="dxa"/>
          </w:tcPr>
          <w:p w14:paraId="2351277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1868" w:type="dxa"/>
          </w:tcPr>
          <w:p w14:paraId="7B6500F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r>
      <w:tr w:rsidR="00860B4B" w:rsidRPr="00D03F3E" w14:paraId="1F95D896" w14:textId="77777777">
        <w:tc>
          <w:tcPr>
            <w:tcW w:w="1868" w:type="dxa"/>
          </w:tcPr>
          <w:p w14:paraId="774420C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м</w:t>
            </w:r>
          </w:p>
        </w:tc>
        <w:tc>
          <w:tcPr>
            <w:tcW w:w="1868" w:type="dxa"/>
          </w:tcPr>
          <w:p w14:paraId="0BAB6BD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12,69</w:t>
            </w:r>
          </w:p>
        </w:tc>
        <w:tc>
          <w:tcPr>
            <w:tcW w:w="1868" w:type="dxa"/>
          </w:tcPr>
          <w:p w14:paraId="4A55957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12,66</w:t>
            </w:r>
          </w:p>
        </w:tc>
        <w:tc>
          <w:tcPr>
            <w:tcW w:w="1868" w:type="dxa"/>
          </w:tcPr>
          <w:p w14:paraId="5054A99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12,66</w:t>
            </w:r>
          </w:p>
        </w:tc>
        <w:tc>
          <w:tcPr>
            <w:tcW w:w="1868" w:type="dxa"/>
          </w:tcPr>
          <w:p w14:paraId="5AFABCC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12,66</w:t>
            </w:r>
          </w:p>
        </w:tc>
        <w:tc>
          <w:tcPr>
            <w:tcW w:w="1868" w:type="dxa"/>
          </w:tcPr>
          <w:p w14:paraId="6028FD9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12,66</w:t>
            </w:r>
          </w:p>
        </w:tc>
      </w:tr>
      <w:tr w:rsidR="00860B4B" w:rsidRPr="00D03F3E" w14:paraId="4D7B091F" w14:textId="77777777">
        <w:tc>
          <w:tcPr>
            <w:tcW w:w="1868" w:type="dxa"/>
          </w:tcPr>
          <w:p w14:paraId="52A2AB9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Размах крыла, м</w:t>
            </w:r>
          </w:p>
        </w:tc>
        <w:tc>
          <w:tcPr>
            <w:tcW w:w="1868" w:type="dxa"/>
          </w:tcPr>
          <w:p w14:paraId="459D831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17,15</w:t>
            </w:r>
          </w:p>
        </w:tc>
        <w:tc>
          <w:tcPr>
            <w:tcW w:w="1868" w:type="dxa"/>
          </w:tcPr>
          <w:p w14:paraId="46B9FA6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17,13</w:t>
            </w:r>
          </w:p>
        </w:tc>
        <w:tc>
          <w:tcPr>
            <w:tcW w:w="1868" w:type="dxa"/>
          </w:tcPr>
          <w:p w14:paraId="67C7B8A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17,13</w:t>
            </w:r>
          </w:p>
        </w:tc>
        <w:tc>
          <w:tcPr>
            <w:tcW w:w="1868" w:type="dxa"/>
          </w:tcPr>
          <w:p w14:paraId="7403AED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17,13</w:t>
            </w:r>
          </w:p>
        </w:tc>
        <w:tc>
          <w:tcPr>
            <w:tcW w:w="1868" w:type="dxa"/>
          </w:tcPr>
          <w:p w14:paraId="4C57559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17,13</w:t>
            </w:r>
          </w:p>
        </w:tc>
      </w:tr>
      <w:tr w:rsidR="00860B4B" w:rsidRPr="00D03F3E" w14:paraId="78C229E9" w14:textId="77777777">
        <w:tc>
          <w:tcPr>
            <w:tcW w:w="1868" w:type="dxa"/>
          </w:tcPr>
          <w:p w14:paraId="0419DBD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двигателей</w:t>
            </w:r>
          </w:p>
        </w:tc>
        <w:tc>
          <w:tcPr>
            <w:tcW w:w="1868" w:type="dxa"/>
          </w:tcPr>
          <w:p w14:paraId="6F14221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М-105ТК-3</w:t>
            </w:r>
          </w:p>
        </w:tc>
        <w:tc>
          <w:tcPr>
            <w:tcW w:w="1868" w:type="dxa"/>
          </w:tcPr>
          <w:p w14:paraId="726DD6A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М-105Р</w:t>
            </w:r>
          </w:p>
        </w:tc>
        <w:tc>
          <w:tcPr>
            <w:tcW w:w="1868" w:type="dxa"/>
          </w:tcPr>
          <w:p w14:paraId="7ACFB08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М-105Р</w:t>
            </w:r>
          </w:p>
        </w:tc>
        <w:tc>
          <w:tcPr>
            <w:tcW w:w="1868" w:type="dxa"/>
          </w:tcPr>
          <w:p w14:paraId="0CB44DB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М-105РА</w:t>
            </w:r>
          </w:p>
        </w:tc>
        <w:tc>
          <w:tcPr>
            <w:tcW w:w="1868" w:type="dxa"/>
          </w:tcPr>
          <w:p w14:paraId="7C16262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ВК-105ПФ</w:t>
            </w:r>
          </w:p>
        </w:tc>
      </w:tr>
      <w:tr w:rsidR="00860B4B" w:rsidRPr="00D03F3E" w14:paraId="7399EE23" w14:textId="77777777">
        <w:tc>
          <w:tcPr>
            <w:tcW w:w="1868" w:type="dxa"/>
          </w:tcPr>
          <w:p w14:paraId="4BCED32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Мощность двигателей, л.с.,</w:t>
            </w:r>
          </w:p>
        </w:tc>
        <w:tc>
          <w:tcPr>
            <w:tcW w:w="1868" w:type="dxa"/>
          </w:tcPr>
          <w:p w14:paraId="588703E3"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868" w:type="dxa"/>
          </w:tcPr>
          <w:p w14:paraId="4EAD0650"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868" w:type="dxa"/>
          </w:tcPr>
          <w:p w14:paraId="5ED805A6"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868" w:type="dxa"/>
          </w:tcPr>
          <w:p w14:paraId="205DA24C"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868" w:type="dxa"/>
          </w:tcPr>
          <w:p w14:paraId="43281427"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r>
      <w:tr w:rsidR="00860B4B" w:rsidRPr="00D03F3E" w14:paraId="311526EC" w14:textId="77777777">
        <w:tc>
          <w:tcPr>
            <w:tcW w:w="1868" w:type="dxa"/>
          </w:tcPr>
          <w:p w14:paraId="7351A9F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расчетной высоте</w:t>
            </w:r>
          </w:p>
        </w:tc>
        <w:tc>
          <w:tcPr>
            <w:tcW w:w="1868" w:type="dxa"/>
          </w:tcPr>
          <w:p w14:paraId="1EF2C00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1050</w:t>
            </w:r>
          </w:p>
        </w:tc>
        <w:tc>
          <w:tcPr>
            <w:tcW w:w="1868" w:type="dxa"/>
          </w:tcPr>
          <w:p w14:paraId="61BC944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1100</w:t>
            </w:r>
          </w:p>
        </w:tc>
        <w:tc>
          <w:tcPr>
            <w:tcW w:w="1868" w:type="dxa"/>
          </w:tcPr>
          <w:p w14:paraId="1A91E85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1100</w:t>
            </w:r>
          </w:p>
        </w:tc>
        <w:tc>
          <w:tcPr>
            <w:tcW w:w="1868" w:type="dxa"/>
          </w:tcPr>
          <w:p w14:paraId="6A8B75C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1100</w:t>
            </w:r>
          </w:p>
        </w:tc>
        <w:tc>
          <w:tcPr>
            <w:tcW w:w="1868" w:type="dxa"/>
          </w:tcPr>
          <w:p w14:paraId="033205C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1260</w:t>
            </w:r>
          </w:p>
        </w:tc>
      </w:tr>
      <w:tr w:rsidR="00860B4B" w:rsidRPr="00D03F3E" w14:paraId="719ECF39" w14:textId="77777777">
        <w:tc>
          <w:tcPr>
            <w:tcW w:w="1868" w:type="dxa"/>
          </w:tcPr>
          <w:p w14:paraId="1382EDF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расчетная высота, м</w:t>
            </w:r>
          </w:p>
        </w:tc>
        <w:tc>
          <w:tcPr>
            <w:tcW w:w="1868" w:type="dxa"/>
          </w:tcPr>
          <w:p w14:paraId="20F049D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6600</w:t>
            </w:r>
          </w:p>
        </w:tc>
        <w:tc>
          <w:tcPr>
            <w:tcW w:w="1868" w:type="dxa"/>
          </w:tcPr>
          <w:p w14:paraId="3D4CA10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5000</w:t>
            </w:r>
          </w:p>
        </w:tc>
        <w:tc>
          <w:tcPr>
            <w:tcW w:w="1868" w:type="dxa"/>
          </w:tcPr>
          <w:p w14:paraId="3FCA7C0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5000</w:t>
            </w:r>
          </w:p>
        </w:tc>
        <w:tc>
          <w:tcPr>
            <w:tcW w:w="1868" w:type="dxa"/>
          </w:tcPr>
          <w:p w14:paraId="56052DB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5000</w:t>
            </w:r>
          </w:p>
        </w:tc>
        <w:tc>
          <w:tcPr>
            <w:tcW w:w="1868" w:type="dxa"/>
          </w:tcPr>
          <w:p w14:paraId="1FB804D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3850</w:t>
            </w:r>
          </w:p>
        </w:tc>
      </w:tr>
      <w:tr w:rsidR="00860B4B" w:rsidRPr="00D03F3E" w14:paraId="1ACA4E6D" w14:textId="77777777">
        <w:tc>
          <w:tcPr>
            <w:tcW w:w="1868" w:type="dxa"/>
          </w:tcPr>
          <w:p w14:paraId="7480A81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Масса пустого, кг</w:t>
            </w:r>
          </w:p>
        </w:tc>
        <w:tc>
          <w:tcPr>
            <w:tcW w:w="1868" w:type="dxa"/>
          </w:tcPr>
          <w:p w14:paraId="06BDEAF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5887</w:t>
            </w:r>
          </w:p>
        </w:tc>
        <w:tc>
          <w:tcPr>
            <w:tcW w:w="1868" w:type="dxa"/>
          </w:tcPr>
          <w:p w14:paraId="3EEB4FB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5730</w:t>
            </w:r>
          </w:p>
        </w:tc>
        <w:tc>
          <w:tcPr>
            <w:tcW w:w="1868" w:type="dxa"/>
          </w:tcPr>
          <w:p w14:paraId="645DAE0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5770</w:t>
            </w:r>
          </w:p>
        </w:tc>
        <w:tc>
          <w:tcPr>
            <w:tcW w:w="1868" w:type="dxa"/>
          </w:tcPr>
          <w:p w14:paraId="78E9B26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5858</w:t>
            </w:r>
          </w:p>
        </w:tc>
        <w:tc>
          <w:tcPr>
            <w:tcW w:w="1868" w:type="dxa"/>
          </w:tcPr>
          <w:p w14:paraId="386F242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00657099" w14:textId="77777777">
        <w:tc>
          <w:tcPr>
            <w:tcW w:w="1868" w:type="dxa"/>
          </w:tcPr>
          <w:p w14:paraId="5E2F5AC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Полетная масса, кг</w:t>
            </w:r>
          </w:p>
        </w:tc>
        <w:tc>
          <w:tcPr>
            <w:tcW w:w="1868" w:type="dxa"/>
          </w:tcPr>
          <w:p w14:paraId="59BB54F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7200</w:t>
            </w:r>
          </w:p>
        </w:tc>
        <w:tc>
          <w:tcPr>
            <w:tcW w:w="1868" w:type="dxa"/>
          </w:tcPr>
          <w:p w14:paraId="02B6A60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7860</w:t>
            </w:r>
          </w:p>
        </w:tc>
        <w:tc>
          <w:tcPr>
            <w:tcW w:w="1868" w:type="dxa"/>
          </w:tcPr>
          <w:p w14:paraId="340C136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8030</w:t>
            </w:r>
          </w:p>
        </w:tc>
        <w:tc>
          <w:tcPr>
            <w:tcW w:w="1868" w:type="dxa"/>
          </w:tcPr>
          <w:p w14:paraId="4E519E2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8000</w:t>
            </w:r>
          </w:p>
        </w:tc>
        <w:tc>
          <w:tcPr>
            <w:tcW w:w="1868" w:type="dxa"/>
          </w:tcPr>
          <w:p w14:paraId="2C2E1EE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8270</w:t>
            </w:r>
          </w:p>
        </w:tc>
      </w:tr>
      <w:tr w:rsidR="00860B4B" w:rsidRPr="00D03F3E" w14:paraId="4355ED2F" w14:textId="77777777">
        <w:tc>
          <w:tcPr>
            <w:tcW w:w="1868" w:type="dxa"/>
          </w:tcPr>
          <w:p w14:paraId="4E9D52C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км/ч:</w:t>
            </w:r>
          </w:p>
        </w:tc>
        <w:tc>
          <w:tcPr>
            <w:tcW w:w="1868" w:type="dxa"/>
          </w:tcPr>
          <w:p w14:paraId="047D9B27"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868" w:type="dxa"/>
          </w:tcPr>
          <w:p w14:paraId="61B5D685"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868" w:type="dxa"/>
          </w:tcPr>
          <w:p w14:paraId="17F3A4BB"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868" w:type="dxa"/>
          </w:tcPr>
          <w:p w14:paraId="7903496F"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868" w:type="dxa"/>
          </w:tcPr>
          <w:p w14:paraId="0E252DAD"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r>
      <w:tr w:rsidR="00860B4B" w:rsidRPr="00D03F3E" w14:paraId="5C82D0AC" w14:textId="77777777">
        <w:tc>
          <w:tcPr>
            <w:tcW w:w="1868" w:type="dxa"/>
          </w:tcPr>
          <w:p w14:paraId="52790BC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земли</w:t>
            </w:r>
          </w:p>
        </w:tc>
        <w:tc>
          <w:tcPr>
            <w:tcW w:w="1868" w:type="dxa"/>
          </w:tcPr>
          <w:p w14:paraId="08C593C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455</w:t>
            </w:r>
          </w:p>
        </w:tc>
        <w:tc>
          <w:tcPr>
            <w:tcW w:w="1868" w:type="dxa"/>
          </w:tcPr>
          <w:p w14:paraId="1EC2316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444</w:t>
            </w:r>
          </w:p>
        </w:tc>
        <w:tc>
          <w:tcPr>
            <w:tcW w:w="1868" w:type="dxa"/>
          </w:tcPr>
          <w:p w14:paraId="1AECF6A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454</w:t>
            </w:r>
          </w:p>
        </w:tc>
        <w:tc>
          <w:tcPr>
            <w:tcW w:w="1868" w:type="dxa"/>
          </w:tcPr>
          <w:p w14:paraId="0FC0640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438</w:t>
            </w:r>
          </w:p>
        </w:tc>
        <w:tc>
          <w:tcPr>
            <w:tcW w:w="1868" w:type="dxa"/>
          </w:tcPr>
          <w:p w14:paraId="62C9385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465</w:t>
            </w:r>
          </w:p>
        </w:tc>
      </w:tr>
      <w:tr w:rsidR="00860B4B" w:rsidRPr="00D03F3E" w14:paraId="18CAAC56" w14:textId="77777777">
        <w:tc>
          <w:tcPr>
            <w:tcW w:w="1868" w:type="dxa"/>
          </w:tcPr>
          <w:p w14:paraId="218C2E6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расчетной высоте</w:t>
            </w:r>
          </w:p>
        </w:tc>
        <w:tc>
          <w:tcPr>
            <w:tcW w:w="1868" w:type="dxa"/>
          </w:tcPr>
          <w:p w14:paraId="19DBF53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538</w:t>
            </w:r>
          </w:p>
        </w:tc>
        <w:tc>
          <w:tcPr>
            <w:tcW w:w="1868" w:type="dxa"/>
          </w:tcPr>
          <w:p w14:paraId="265A03E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535</w:t>
            </w:r>
          </w:p>
        </w:tc>
        <w:tc>
          <w:tcPr>
            <w:tcW w:w="1868" w:type="dxa"/>
          </w:tcPr>
          <w:p w14:paraId="6653DFF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540</w:t>
            </w:r>
          </w:p>
        </w:tc>
        <w:tc>
          <w:tcPr>
            <w:tcW w:w="1868" w:type="dxa"/>
          </w:tcPr>
          <w:p w14:paraId="3AC347D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530</w:t>
            </w:r>
          </w:p>
        </w:tc>
        <w:tc>
          <w:tcPr>
            <w:tcW w:w="1868" w:type="dxa"/>
          </w:tcPr>
          <w:p w14:paraId="70A8DA4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527</w:t>
            </w:r>
          </w:p>
        </w:tc>
      </w:tr>
      <w:tr w:rsidR="00860B4B" w:rsidRPr="00D03F3E" w14:paraId="46269B3C" w14:textId="77777777">
        <w:tc>
          <w:tcPr>
            <w:tcW w:w="1868" w:type="dxa"/>
          </w:tcPr>
          <w:p w14:paraId="3242314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 м</w:t>
            </w:r>
          </w:p>
        </w:tc>
        <w:tc>
          <w:tcPr>
            <w:tcW w:w="1868" w:type="dxa"/>
          </w:tcPr>
          <w:p w14:paraId="3069B9C0"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868" w:type="dxa"/>
          </w:tcPr>
          <w:p w14:paraId="6307DAB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3F5F2BE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9500</w:t>
            </w:r>
          </w:p>
        </w:tc>
        <w:tc>
          <w:tcPr>
            <w:tcW w:w="1868" w:type="dxa"/>
          </w:tcPr>
          <w:p w14:paraId="4124DD7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9100</w:t>
            </w:r>
          </w:p>
        </w:tc>
        <w:tc>
          <w:tcPr>
            <w:tcW w:w="1868" w:type="dxa"/>
          </w:tcPr>
          <w:p w14:paraId="3E510B2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8800</w:t>
            </w:r>
          </w:p>
        </w:tc>
      </w:tr>
      <w:tr w:rsidR="00860B4B" w:rsidRPr="00D03F3E" w14:paraId="2110DE31" w14:textId="77777777">
        <w:tc>
          <w:tcPr>
            <w:tcW w:w="1868" w:type="dxa"/>
          </w:tcPr>
          <w:p w14:paraId="521E172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полета, км</w:t>
            </w:r>
          </w:p>
        </w:tc>
        <w:tc>
          <w:tcPr>
            <w:tcW w:w="1868" w:type="dxa"/>
          </w:tcPr>
          <w:p w14:paraId="676A07A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1400'</w:t>
            </w:r>
          </w:p>
        </w:tc>
        <w:tc>
          <w:tcPr>
            <w:tcW w:w="1868" w:type="dxa"/>
          </w:tcPr>
          <w:p w14:paraId="69B49A7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2150</w:t>
            </w:r>
          </w:p>
        </w:tc>
        <w:tc>
          <w:tcPr>
            <w:tcW w:w="1868" w:type="dxa"/>
          </w:tcPr>
          <w:p w14:paraId="50977AC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1780</w:t>
            </w:r>
          </w:p>
        </w:tc>
        <w:tc>
          <w:tcPr>
            <w:tcW w:w="1868" w:type="dxa"/>
          </w:tcPr>
          <w:p w14:paraId="5E4F496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w:t>
            </w:r>
          </w:p>
        </w:tc>
        <w:tc>
          <w:tcPr>
            <w:tcW w:w="1868" w:type="dxa"/>
          </w:tcPr>
          <w:p w14:paraId="22BF544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1650</w:t>
            </w:r>
          </w:p>
        </w:tc>
      </w:tr>
      <w:tr w:rsidR="00860B4B" w:rsidRPr="00D03F3E" w14:paraId="6631DD16" w14:textId="77777777">
        <w:tc>
          <w:tcPr>
            <w:tcW w:w="1868" w:type="dxa"/>
          </w:tcPr>
          <w:p w14:paraId="1F28D2B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5000 м, мин</w:t>
            </w:r>
          </w:p>
        </w:tc>
        <w:tc>
          <w:tcPr>
            <w:tcW w:w="1868" w:type="dxa"/>
          </w:tcPr>
          <w:p w14:paraId="7C27C8C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6,8/4000 м</w:t>
            </w:r>
          </w:p>
        </w:tc>
        <w:tc>
          <w:tcPr>
            <w:tcW w:w="1868" w:type="dxa"/>
          </w:tcPr>
          <w:p w14:paraId="1D4EA3D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w:t>
            </w:r>
          </w:p>
        </w:tc>
        <w:tc>
          <w:tcPr>
            <w:tcW w:w="1868" w:type="dxa"/>
          </w:tcPr>
          <w:p w14:paraId="6CF0E47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w:t>
            </w:r>
          </w:p>
        </w:tc>
        <w:tc>
          <w:tcPr>
            <w:tcW w:w="1868" w:type="dxa"/>
          </w:tcPr>
          <w:p w14:paraId="707AB11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9,65</w:t>
            </w:r>
          </w:p>
        </w:tc>
        <w:tc>
          <w:tcPr>
            <w:tcW w:w="1868" w:type="dxa"/>
          </w:tcPr>
          <w:p w14:paraId="2DE9320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3C977720" w14:textId="77777777">
        <w:tc>
          <w:tcPr>
            <w:tcW w:w="1868" w:type="dxa"/>
          </w:tcPr>
          <w:p w14:paraId="21FB6FF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стрелковое</w:t>
            </w:r>
          </w:p>
        </w:tc>
        <w:tc>
          <w:tcPr>
            <w:tcW w:w="1868" w:type="dxa"/>
          </w:tcPr>
          <w:p w14:paraId="4602D11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2хШВАК</w:t>
            </w:r>
          </w:p>
        </w:tc>
        <w:tc>
          <w:tcPr>
            <w:tcW w:w="1868" w:type="dxa"/>
          </w:tcPr>
          <w:p w14:paraId="751D077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2хБК</w:t>
            </w:r>
          </w:p>
        </w:tc>
        <w:tc>
          <w:tcPr>
            <w:tcW w:w="1868" w:type="dxa"/>
          </w:tcPr>
          <w:p w14:paraId="75B480C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2хШВАК</w:t>
            </w:r>
          </w:p>
        </w:tc>
        <w:tc>
          <w:tcPr>
            <w:tcW w:w="1868" w:type="dxa"/>
          </w:tcPr>
          <w:p w14:paraId="28BE1C3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1хШВАК</w:t>
            </w:r>
          </w:p>
        </w:tc>
        <w:tc>
          <w:tcPr>
            <w:tcW w:w="1868" w:type="dxa"/>
          </w:tcPr>
          <w:p w14:paraId="204CC7B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IxLUBAK</w:t>
            </w:r>
          </w:p>
        </w:tc>
      </w:tr>
      <w:tr w:rsidR="00860B4B" w:rsidRPr="00D03F3E" w14:paraId="58EF1A4A" w14:textId="77777777">
        <w:tc>
          <w:tcPr>
            <w:tcW w:w="1868" w:type="dxa"/>
          </w:tcPr>
          <w:p w14:paraId="19C1DBD2"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868" w:type="dxa"/>
          </w:tcPr>
          <w:p w14:paraId="3D1ACEE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ЗхШКАС</w:t>
            </w:r>
          </w:p>
        </w:tc>
        <w:tc>
          <w:tcPr>
            <w:tcW w:w="1868" w:type="dxa"/>
          </w:tcPr>
          <w:p w14:paraId="4881001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2хШКАС</w:t>
            </w:r>
          </w:p>
        </w:tc>
        <w:tc>
          <w:tcPr>
            <w:tcW w:w="1868" w:type="dxa"/>
          </w:tcPr>
          <w:p w14:paraId="17ED295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2хБК</w:t>
            </w:r>
          </w:p>
        </w:tc>
        <w:tc>
          <w:tcPr>
            <w:tcW w:w="1868" w:type="dxa"/>
          </w:tcPr>
          <w:p w14:paraId="005847F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ЗхУБК</w:t>
            </w:r>
          </w:p>
        </w:tc>
        <w:tc>
          <w:tcPr>
            <w:tcW w:w="1868" w:type="dxa"/>
          </w:tcPr>
          <w:p w14:paraId="55CDF2F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2хУБК</w:t>
            </w:r>
          </w:p>
        </w:tc>
      </w:tr>
      <w:tr w:rsidR="00860B4B" w:rsidRPr="00D03F3E" w14:paraId="03467339" w14:textId="77777777">
        <w:tc>
          <w:tcPr>
            <w:tcW w:w="1868" w:type="dxa"/>
          </w:tcPr>
          <w:p w14:paraId="67D07D52"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868" w:type="dxa"/>
          </w:tcPr>
          <w:p w14:paraId="446496F8"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868" w:type="dxa"/>
          </w:tcPr>
          <w:p w14:paraId="62007C50"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868" w:type="dxa"/>
          </w:tcPr>
          <w:p w14:paraId="47ADE93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1хШКАС</w:t>
            </w:r>
          </w:p>
        </w:tc>
        <w:tc>
          <w:tcPr>
            <w:tcW w:w="1868" w:type="dxa"/>
          </w:tcPr>
          <w:p w14:paraId="75D7FEB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1хШКАС</w:t>
            </w:r>
          </w:p>
        </w:tc>
        <w:tc>
          <w:tcPr>
            <w:tcW w:w="1868" w:type="dxa"/>
          </w:tcPr>
          <w:p w14:paraId="7A53FE0F"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r>
      <w:tr w:rsidR="00860B4B" w:rsidRPr="00D03F3E" w14:paraId="47F728DD" w14:textId="77777777">
        <w:tc>
          <w:tcPr>
            <w:tcW w:w="1868" w:type="dxa"/>
            <w:tcBorders>
              <w:bottom w:val="single" w:sz="12" w:space="0" w:color="auto"/>
            </w:tcBorders>
          </w:tcPr>
          <w:p w14:paraId="40BF093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Нормальная бомбовая нагрузка, кг</w:t>
            </w:r>
          </w:p>
        </w:tc>
        <w:tc>
          <w:tcPr>
            <w:tcW w:w="1868" w:type="dxa"/>
            <w:tcBorders>
              <w:bottom w:val="single" w:sz="12" w:space="0" w:color="auto"/>
            </w:tcBorders>
          </w:tcPr>
          <w:p w14:paraId="7BD1E6C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tc>
        <w:tc>
          <w:tcPr>
            <w:tcW w:w="1868" w:type="dxa"/>
            <w:tcBorders>
              <w:bottom w:val="single" w:sz="12" w:space="0" w:color="auto"/>
            </w:tcBorders>
          </w:tcPr>
          <w:p w14:paraId="3E8EBEE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7003</w:t>
            </w:r>
          </w:p>
        </w:tc>
        <w:tc>
          <w:tcPr>
            <w:tcW w:w="1868" w:type="dxa"/>
            <w:tcBorders>
              <w:bottom w:val="single" w:sz="12" w:space="0" w:color="auto"/>
            </w:tcBorders>
          </w:tcPr>
          <w:p w14:paraId="053D70E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w:t>
            </w:r>
          </w:p>
        </w:tc>
        <w:tc>
          <w:tcPr>
            <w:tcW w:w="1868" w:type="dxa"/>
            <w:tcBorders>
              <w:bottom w:val="single" w:sz="12" w:space="0" w:color="auto"/>
            </w:tcBorders>
          </w:tcPr>
          <w:p w14:paraId="21219D2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7003</w:t>
            </w:r>
          </w:p>
        </w:tc>
        <w:tc>
          <w:tcPr>
            <w:tcW w:w="1868" w:type="dxa"/>
            <w:tcBorders>
              <w:bottom w:val="single" w:sz="12" w:space="0" w:color="auto"/>
            </w:tcBorders>
          </w:tcPr>
          <w:p w14:paraId="2197647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5002</w:t>
            </w:r>
          </w:p>
        </w:tc>
      </w:tr>
    </w:tbl>
    <w:p w14:paraId="6FE7801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Расчетная величина</w:t>
      </w:r>
    </w:p>
    <w:p w14:paraId="1F2B1D4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 перегрузку на наружной полнеске</w:t>
      </w:r>
    </w:p>
    <w:p w14:paraId="540FC62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 перегрузку на наружной подвеске и н мотогонлольных бомбоотееках</w:t>
      </w:r>
    </w:p>
    <w:p w14:paraId="7C317BF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В мотогонлольных бомбоотееках (12042).</w:t>
      </w:r>
    </w:p>
    <w:p w14:paraId="116D9C9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51DB31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 мая 1943 вышло постановление ГКО N 3448 о самолете Як-9 с М-107А (887).</w:t>
      </w:r>
    </w:p>
    <w:p w14:paraId="4F6D19FB" w14:textId="77777777" w:rsidR="00531570" w:rsidRPr="00D03F3E" w:rsidRDefault="00531570" w:rsidP="00D03F3E">
      <w:pPr>
        <w:pStyle w:val="Iauiue"/>
        <w:jc w:val="both"/>
        <w:rPr>
          <w:color w:val="000000" w:themeColor="text1"/>
          <w:sz w:val="16"/>
          <w:szCs w:val="16"/>
        </w:rPr>
      </w:pPr>
    </w:p>
    <w:p w14:paraId="278A7FB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 мая 1943 г. вышло постановление ГКО, согласно которому истребитель Як-9 с мотором М-107А запускали в серийное производство на Омском заводе № 166. "Правительство приняло к сведению заявление Наркома авиапромышленности о том, что модифицированный Як-9 М-107А при заводских испытаниях... развил скорость 680 км/ч на высоте 5900 м”, - говорилось в этом документе. Директор Омского авиазавода Л.П.Соколов получал задание уже с июня 1943 г. начать строить новые машины, а до конца августа он должен был сдать их 25 штук. Почему выбрали именно этот завод? Здесь только с начала 1943 г. начали выпуск истребителей Як-9 с моторами М-105ПФ. Маленькие, или как было сказано в одном из отчетов “карликовые” цеха, неотработанность технологического процесса, малочисленность квалифицированных рабочих - все это тормозило разворачивание производства. Но недостатки могли превратиться в достоинства, если суметь навести порядок и технологическую дисциплину, усилить кадры за счет других “яковлевских” заводов. Видимо, так рассуждал Александр Сергеевич. В условиях небольшой серии легче будет довести самолет до эксплуатационной “кондиции”, устранив последние узкие места. Выполнить Постановление ГКО в столь сжатый срок, конечно, не удалось. К началу августа заводчане смогли заложить “нулевую” серию из 10 машин и подготовить производство на 67-90% (по разным цехам). Основной причиной задержки работ стала несвоевременная отправка чертежей из 0КБ-115. Подчиненные Яковлева были вынуждены вносить изменения по результатам испытаний ЛИИ, а на это ушло немало времени. Не всегда выполняли свои обязательства и смежники. Тем не менее, побывавшая на заводе очередная комиссия НКАП пришла к выводу, что завод №166 сможет к концу августа 1943 г. сдать военпредам первые два серийных Як-9 М-107А. Однако основные трудности в период организации серийного производства нового истребителя выпали на долю моторостроителей, поскольку развертывание выпуска М-107А - как ни больно об этом писать - выявило значительное отставание авиапромышленности Советского Союза от США, Великобритании и Германии. У нас не имелось необходимого станочного парка,,большие были допуски при изготовлении деталей и значительно хуже обеспечивалась качество изделий массового выпуска. Если к этому добавить трудности металлургии, которой не удалось преодолеть “голода” на целый ряд видов сырья (и в первую очередь на хром и никель, в гиганских количествах потреблявшихся танкостроением), то станет понятно положение, в котором оказался В.Я.Климов (4842).</w:t>
      </w:r>
    </w:p>
    <w:p w14:paraId="07532911" w14:textId="77777777" w:rsidR="00531570" w:rsidRPr="00D03F3E" w:rsidRDefault="00531570" w:rsidP="00D03F3E">
      <w:pPr>
        <w:pStyle w:val="Iauiue"/>
        <w:jc w:val="both"/>
        <w:rPr>
          <w:color w:val="000000" w:themeColor="text1"/>
          <w:sz w:val="16"/>
          <w:szCs w:val="16"/>
        </w:rPr>
      </w:pPr>
    </w:p>
    <w:p w14:paraId="1C5B158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 мая 1943 на 21 заводе была авария ЛаГГ-3 N 31210000 с М-105 (2129).</w:t>
      </w:r>
    </w:p>
    <w:p w14:paraId="6D554676" w14:textId="77777777" w:rsidR="00531570" w:rsidRPr="00D03F3E" w:rsidRDefault="00531570" w:rsidP="00D03F3E">
      <w:pPr>
        <w:pStyle w:val="Iauiue"/>
        <w:jc w:val="both"/>
        <w:rPr>
          <w:color w:val="000000" w:themeColor="text1"/>
          <w:sz w:val="16"/>
          <w:szCs w:val="16"/>
        </w:rPr>
      </w:pPr>
    </w:p>
    <w:p w14:paraId="7B7D111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мая 1943 вышло Постановление ГКО № 3448 Об организации производства самолета Як-9 с мотором М-107А.РГАНИР, Фонд ГКО, д. 120, лл. 109 (11012).</w:t>
      </w:r>
    </w:p>
    <w:p w14:paraId="080521F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7F55B72" w14:textId="77777777" w:rsidR="00635631" w:rsidRPr="00D03F3E" w:rsidRDefault="006356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мая 1943 вышло Постановление ГКО № 3448 Об организации производства самолета Як-9 с мотором М-107А</w:t>
      </w:r>
    </w:p>
    <w:p w14:paraId="2AC20646" w14:textId="77777777" w:rsidR="00635631" w:rsidRPr="00D03F3E" w:rsidRDefault="006356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Государственный Комитет Обороны постановляет:</w:t>
      </w:r>
    </w:p>
    <w:p w14:paraId="70776772" w14:textId="77777777" w:rsidR="00635631" w:rsidRPr="00D03F3E" w:rsidRDefault="006356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 Принять к сведению заявление Народного Комиссара Авиационной промышленности т.Шахурина и главного конструкто</w:t>
      </w:r>
      <w:r w:rsidRPr="00D03F3E">
        <w:rPr>
          <w:rFonts w:ascii="Times New Roman" w:hAnsi="Times New Roman"/>
          <w:color w:val="000000" w:themeColor="text1"/>
          <w:sz w:val="16"/>
          <w:szCs w:val="16"/>
        </w:rPr>
        <w:softHyphen/>
        <w:t xml:space="preserve">ра т.Яковлева о том, что модифицированный самолет </w:t>
      </w:r>
      <w:r w:rsidRPr="00D03F3E">
        <w:rPr>
          <w:rStyle w:val="0pt"/>
          <w:rFonts w:ascii="Times New Roman" w:hAnsi="Times New Roman" w:cs="Times New Roman"/>
          <w:color w:val="000000" w:themeColor="text1"/>
          <w:spacing w:val="0"/>
          <w:sz w:val="16"/>
          <w:szCs w:val="16"/>
        </w:rPr>
        <w:t>Як-9с</w:t>
      </w:r>
      <w:r w:rsidRPr="00D03F3E">
        <w:rPr>
          <w:rFonts w:ascii="Times New Roman" w:hAnsi="Times New Roman"/>
          <w:color w:val="000000" w:themeColor="text1"/>
          <w:sz w:val="16"/>
          <w:szCs w:val="16"/>
        </w:rPr>
        <w:t xml:space="preserve"> мо</w:t>
      </w:r>
      <w:r w:rsidRPr="00D03F3E">
        <w:rPr>
          <w:rFonts w:ascii="Times New Roman" w:hAnsi="Times New Roman"/>
          <w:color w:val="000000" w:themeColor="text1"/>
          <w:sz w:val="16"/>
          <w:szCs w:val="16"/>
        </w:rPr>
        <w:softHyphen/>
        <w:t>тором М</w:t>
      </w:r>
      <w:r w:rsidRPr="00D03F3E">
        <w:rPr>
          <w:rStyle w:val="0pt"/>
          <w:rFonts w:ascii="Times New Roman" w:hAnsi="Times New Roman" w:cs="Times New Roman"/>
          <w:color w:val="000000" w:themeColor="text1"/>
          <w:spacing w:val="0"/>
          <w:sz w:val="16"/>
          <w:szCs w:val="16"/>
        </w:rPr>
        <w:t>-107А,</w:t>
      </w:r>
      <w:r w:rsidRPr="00D03F3E">
        <w:rPr>
          <w:rFonts w:ascii="Times New Roman" w:hAnsi="Times New Roman"/>
          <w:color w:val="000000" w:themeColor="text1"/>
          <w:sz w:val="16"/>
          <w:szCs w:val="16"/>
        </w:rPr>
        <w:t xml:space="preserve"> построенный на заводе </w:t>
      </w:r>
      <w:r w:rsidRPr="00D03F3E">
        <w:rPr>
          <w:rStyle w:val="0pt"/>
          <w:rFonts w:ascii="Times New Roman" w:hAnsi="Times New Roman" w:cs="Times New Roman"/>
          <w:color w:val="000000" w:themeColor="text1"/>
          <w:spacing w:val="0"/>
          <w:sz w:val="16"/>
          <w:szCs w:val="16"/>
        </w:rPr>
        <w:t>115,</w:t>
      </w:r>
      <w:r w:rsidRPr="00D03F3E">
        <w:rPr>
          <w:rFonts w:ascii="Times New Roman" w:hAnsi="Times New Roman"/>
          <w:color w:val="000000" w:themeColor="text1"/>
          <w:sz w:val="16"/>
          <w:szCs w:val="16"/>
        </w:rPr>
        <w:t xml:space="preserve"> при заводских ис</w:t>
      </w:r>
      <w:r w:rsidRPr="00D03F3E">
        <w:rPr>
          <w:rFonts w:ascii="Times New Roman" w:hAnsi="Times New Roman"/>
          <w:color w:val="000000" w:themeColor="text1"/>
          <w:sz w:val="16"/>
          <w:szCs w:val="16"/>
        </w:rPr>
        <w:softHyphen/>
        <w:t>пытаниях показал следующие летные данные:</w:t>
      </w:r>
    </w:p>
    <w:p w14:paraId="2FC86D36" w14:textId="77777777" w:rsidR="00635631" w:rsidRPr="00D03F3E" w:rsidRDefault="006356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максимальная скорость у земли - </w:t>
      </w:r>
      <w:r w:rsidRPr="00D03F3E">
        <w:rPr>
          <w:rStyle w:val="0pt"/>
          <w:rFonts w:ascii="Times New Roman" w:hAnsi="Times New Roman" w:cs="Times New Roman"/>
          <w:color w:val="000000" w:themeColor="text1"/>
          <w:spacing w:val="0"/>
          <w:sz w:val="16"/>
          <w:szCs w:val="16"/>
        </w:rPr>
        <w:t>590</w:t>
      </w:r>
      <w:r w:rsidRPr="00D03F3E">
        <w:rPr>
          <w:rFonts w:ascii="Times New Roman" w:hAnsi="Times New Roman"/>
          <w:color w:val="000000" w:themeColor="text1"/>
          <w:sz w:val="16"/>
          <w:szCs w:val="16"/>
        </w:rPr>
        <w:t xml:space="preserve"> км/час</w:t>
      </w:r>
    </w:p>
    <w:p w14:paraId="37128091" w14:textId="77777777" w:rsidR="00635631" w:rsidRPr="00D03F3E" w:rsidRDefault="006356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на высо</w:t>
      </w:r>
      <w:r w:rsidRPr="00D03F3E">
        <w:rPr>
          <w:rFonts w:ascii="Times New Roman" w:hAnsi="Times New Roman"/>
          <w:color w:val="000000" w:themeColor="text1"/>
          <w:sz w:val="16"/>
          <w:szCs w:val="16"/>
        </w:rPr>
        <w:softHyphen/>
      </w:r>
      <w:r w:rsidRPr="00D03F3E">
        <w:rPr>
          <w:rStyle w:val="0pt"/>
          <w:rFonts w:ascii="Times New Roman" w:hAnsi="Times New Roman" w:cs="Times New Roman"/>
          <w:color w:val="000000" w:themeColor="text1"/>
          <w:spacing w:val="0"/>
          <w:sz w:val="16"/>
          <w:szCs w:val="16"/>
        </w:rPr>
        <w:t>те 2400</w:t>
      </w:r>
      <w:r w:rsidRPr="00D03F3E">
        <w:rPr>
          <w:rFonts w:ascii="Times New Roman" w:hAnsi="Times New Roman"/>
          <w:color w:val="000000" w:themeColor="text1"/>
          <w:sz w:val="16"/>
          <w:szCs w:val="16"/>
        </w:rPr>
        <w:t xml:space="preserve"> метров - </w:t>
      </w:r>
      <w:r w:rsidRPr="00D03F3E">
        <w:rPr>
          <w:rStyle w:val="0pt"/>
          <w:rFonts w:ascii="Times New Roman" w:hAnsi="Times New Roman" w:cs="Times New Roman"/>
          <w:color w:val="000000" w:themeColor="text1"/>
          <w:spacing w:val="0"/>
          <w:sz w:val="16"/>
          <w:szCs w:val="16"/>
        </w:rPr>
        <w:t>658</w:t>
      </w:r>
      <w:r w:rsidRPr="00D03F3E">
        <w:rPr>
          <w:rFonts w:ascii="Times New Roman" w:hAnsi="Times New Roman"/>
          <w:color w:val="000000" w:themeColor="text1"/>
          <w:sz w:val="16"/>
          <w:szCs w:val="16"/>
        </w:rPr>
        <w:t xml:space="preserve"> км/час</w:t>
      </w:r>
    </w:p>
    <w:p w14:paraId="5BDB0D3F" w14:textId="77777777" w:rsidR="00635631" w:rsidRPr="00D03F3E" w:rsidRDefault="006356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на высо</w:t>
      </w:r>
      <w:r w:rsidRPr="00D03F3E">
        <w:rPr>
          <w:rFonts w:ascii="Times New Roman" w:hAnsi="Times New Roman"/>
          <w:color w:val="000000" w:themeColor="text1"/>
          <w:sz w:val="16"/>
          <w:szCs w:val="16"/>
        </w:rPr>
        <w:softHyphen/>
      </w:r>
      <w:r w:rsidRPr="00D03F3E">
        <w:rPr>
          <w:rStyle w:val="0pt"/>
          <w:rFonts w:ascii="Times New Roman" w:hAnsi="Times New Roman" w:cs="Times New Roman"/>
          <w:color w:val="000000" w:themeColor="text1"/>
          <w:spacing w:val="0"/>
          <w:sz w:val="16"/>
          <w:szCs w:val="16"/>
        </w:rPr>
        <w:t>те 5900</w:t>
      </w:r>
      <w:r w:rsidRPr="00D03F3E">
        <w:rPr>
          <w:rFonts w:ascii="Times New Roman" w:hAnsi="Times New Roman"/>
          <w:color w:val="000000" w:themeColor="text1"/>
          <w:sz w:val="16"/>
          <w:szCs w:val="16"/>
        </w:rPr>
        <w:t xml:space="preserve"> метров - </w:t>
      </w:r>
      <w:r w:rsidRPr="00D03F3E">
        <w:rPr>
          <w:rStyle w:val="0pt"/>
          <w:rFonts w:ascii="Times New Roman" w:hAnsi="Times New Roman" w:cs="Times New Roman"/>
          <w:color w:val="000000" w:themeColor="text1"/>
          <w:spacing w:val="0"/>
          <w:sz w:val="16"/>
          <w:szCs w:val="16"/>
        </w:rPr>
        <w:t>680</w:t>
      </w:r>
      <w:r w:rsidRPr="00D03F3E">
        <w:rPr>
          <w:rFonts w:ascii="Times New Roman" w:hAnsi="Times New Roman"/>
          <w:color w:val="000000" w:themeColor="text1"/>
          <w:sz w:val="16"/>
          <w:szCs w:val="16"/>
        </w:rPr>
        <w:t xml:space="preserve"> км/час</w:t>
      </w:r>
    </w:p>
    <w:p w14:paraId="7D980A2B" w14:textId="77777777" w:rsidR="00635631" w:rsidRPr="00D03F3E" w:rsidRDefault="006356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полетный вес самолета - </w:t>
      </w:r>
      <w:r w:rsidRPr="00D03F3E">
        <w:rPr>
          <w:rStyle w:val="0pt"/>
          <w:rFonts w:ascii="Times New Roman" w:hAnsi="Times New Roman" w:cs="Times New Roman"/>
          <w:color w:val="000000" w:themeColor="text1"/>
          <w:spacing w:val="0"/>
          <w:sz w:val="16"/>
          <w:szCs w:val="16"/>
        </w:rPr>
        <w:t>3125</w:t>
      </w:r>
      <w:r w:rsidRPr="00D03F3E">
        <w:rPr>
          <w:rFonts w:ascii="Times New Roman" w:hAnsi="Times New Roman"/>
          <w:color w:val="000000" w:themeColor="text1"/>
          <w:sz w:val="16"/>
          <w:szCs w:val="16"/>
        </w:rPr>
        <w:t xml:space="preserve"> кгр</w:t>
      </w:r>
    </w:p>
    <w:p w14:paraId="4CCAFD1F" w14:textId="77777777" w:rsidR="00635631" w:rsidRPr="00D03F3E" w:rsidRDefault="006356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Обязать Народного Комиссара Авиационной промышленно</w:t>
      </w:r>
      <w:r w:rsidRPr="00D03F3E">
        <w:rPr>
          <w:rFonts w:ascii="Times New Roman" w:hAnsi="Times New Roman"/>
          <w:color w:val="000000" w:themeColor="text1"/>
          <w:sz w:val="16"/>
          <w:szCs w:val="16"/>
        </w:rPr>
        <w:softHyphen/>
        <w:t xml:space="preserve">сти т.Шахурина организовать на заводе № </w:t>
      </w:r>
      <w:r w:rsidRPr="00D03F3E">
        <w:rPr>
          <w:rStyle w:val="0pt"/>
          <w:rFonts w:ascii="Times New Roman" w:hAnsi="Times New Roman" w:cs="Times New Roman"/>
          <w:color w:val="000000" w:themeColor="text1"/>
          <w:spacing w:val="0"/>
          <w:sz w:val="16"/>
          <w:szCs w:val="16"/>
        </w:rPr>
        <w:t>166</w:t>
      </w:r>
      <w:r w:rsidRPr="00D03F3E">
        <w:rPr>
          <w:rFonts w:ascii="Times New Roman" w:hAnsi="Times New Roman"/>
          <w:color w:val="000000" w:themeColor="text1"/>
          <w:sz w:val="16"/>
          <w:szCs w:val="16"/>
        </w:rPr>
        <w:t xml:space="preserve"> производство са</w:t>
      </w:r>
      <w:r w:rsidRPr="00D03F3E">
        <w:rPr>
          <w:rFonts w:ascii="Times New Roman" w:hAnsi="Times New Roman"/>
          <w:color w:val="000000" w:themeColor="text1"/>
          <w:sz w:val="16"/>
          <w:szCs w:val="16"/>
        </w:rPr>
        <w:softHyphen/>
        <w:t>молета Як-9</w:t>
      </w:r>
      <w:r w:rsidRPr="00D03F3E">
        <w:rPr>
          <w:rStyle w:val="0pt"/>
          <w:rFonts w:ascii="Times New Roman" w:hAnsi="Times New Roman" w:cs="Times New Roman"/>
          <w:color w:val="000000" w:themeColor="text1"/>
          <w:spacing w:val="0"/>
          <w:sz w:val="16"/>
          <w:szCs w:val="16"/>
        </w:rPr>
        <w:t xml:space="preserve"> с </w:t>
      </w:r>
      <w:r w:rsidRPr="00D03F3E">
        <w:rPr>
          <w:rStyle w:val="0pt"/>
          <w:rFonts w:ascii="Times New Roman" w:hAnsi="Times New Roman" w:cs="Times New Roman"/>
          <w:color w:val="000000" w:themeColor="text1"/>
          <w:spacing w:val="0"/>
          <w:sz w:val="16"/>
          <w:szCs w:val="16"/>
          <w:lang w:val="en-US"/>
        </w:rPr>
        <w:t>LI</w:t>
      </w:r>
      <w:r w:rsidRPr="00D03F3E">
        <w:rPr>
          <w:rStyle w:val="0pt"/>
          <w:rFonts w:ascii="Times New Roman" w:hAnsi="Times New Roman" w:cs="Times New Roman"/>
          <w:color w:val="000000" w:themeColor="text1"/>
          <w:spacing w:val="0"/>
          <w:sz w:val="16"/>
          <w:szCs w:val="16"/>
        </w:rPr>
        <w:t>-1</w:t>
      </w:r>
      <w:r w:rsidRPr="00D03F3E">
        <w:rPr>
          <w:rStyle w:val="0pt"/>
          <w:rFonts w:ascii="Times New Roman" w:hAnsi="Times New Roman" w:cs="Times New Roman"/>
          <w:color w:val="000000" w:themeColor="text1"/>
          <w:spacing w:val="0"/>
          <w:sz w:val="16"/>
          <w:szCs w:val="16"/>
          <w:lang w:val="en-US"/>
        </w:rPr>
        <w:t>C</w:t>
      </w:r>
      <w:r w:rsidRPr="00D03F3E">
        <w:rPr>
          <w:rStyle w:val="0pt"/>
          <w:rFonts w:ascii="Times New Roman" w:hAnsi="Times New Roman" w:cs="Times New Roman"/>
          <w:color w:val="000000" w:themeColor="text1"/>
          <w:spacing w:val="0"/>
          <w:sz w:val="16"/>
          <w:szCs w:val="16"/>
        </w:rPr>
        <w:t>7</w:t>
      </w:r>
      <w:r w:rsidRPr="00D03F3E">
        <w:rPr>
          <w:rStyle w:val="0pt"/>
          <w:rFonts w:ascii="Times New Roman" w:hAnsi="Times New Roman" w:cs="Times New Roman"/>
          <w:color w:val="000000" w:themeColor="text1"/>
          <w:spacing w:val="0"/>
          <w:sz w:val="16"/>
          <w:szCs w:val="16"/>
          <w:lang w:val="en-US"/>
        </w:rPr>
        <w:t>A</w:t>
      </w:r>
      <w:r w:rsidRPr="00D03F3E">
        <w:rPr>
          <w:rStyle w:val="0pt"/>
          <w:rFonts w:ascii="Times New Roman" w:hAnsi="Times New Roman" w:cs="Times New Roman"/>
          <w:color w:val="000000" w:themeColor="text1"/>
          <w:spacing w:val="0"/>
          <w:sz w:val="16"/>
          <w:szCs w:val="16"/>
        </w:rPr>
        <w:t>,</w:t>
      </w:r>
      <w:r w:rsidRPr="00D03F3E">
        <w:rPr>
          <w:rFonts w:ascii="Times New Roman" w:hAnsi="Times New Roman"/>
          <w:color w:val="000000" w:themeColor="text1"/>
          <w:sz w:val="16"/>
          <w:szCs w:val="16"/>
        </w:rPr>
        <w:t xml:space="preserve"> с расчетом выпуска:</w:t>
      </w:r>
    </w:p>
    <w:p w14:paraId="225D5E83" w14:textId="77777777" w:rsidR="00635631" w:rsidRPr="00D03F3E" w:rsidRDefault="00635631" w:rsidP="00D03F3E">
      <w:pPr>
        <w:tabs>
          <w:tab w:val="left" w:pos="242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w:t>
      </w:r>
      <w:r w:rsidRPr="00D03F3E">
        <w:rPr>
          <w:rFonts w:ascii="Times New Roman" w:hAnsi="Times New Roman"/>
          <w:color w:val="000000" w:themeColor="text1"/>
          <w:sz w:val="16"/>
          <w:szCs w:val="16"/>
        </w:rPr>
        <w:tab/>
        <w:t>2 самолета</w:t>
      </w:r>
    </w:p>
    <w:p w14:paraId="72FF8FAB" w14:textId="77777777" w:rsidR="00635631" w:rsidRPr="00D03F3E" w:rsidRDefault="00635631" w:rsidP="00D03F3E">
      <w:pPr>
        <w:tabs>
          <w:tab w:val="left" w:pos="241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кале -</w:t>
      </w:r>
      <w:r w:rsidRPr="00D03F3E">
        <w:rPr>
          <w:rFonts w:ascii="Times New Roman" w:hAnsi="Times New Roman"/>
          <w:color w:val="000000" w:themeColor="text1"/>
          <w:sz w:val="16"/>
          <w:szCs w:val="16"/>
        </w:rPr>
        <w:tab/>
        <w:t>8 самолетов</w:t>
      </w:r>
    </w:p>
    <w:p w14:paraId="51378948" w14:textId="77777777" w:rsidR="00635631" w:rsidRPr="00D03F3E" w:rsidRDefault="006356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августе - 15 самолетов в счет программы по самоле</w:t>
      </w:r>
      <w:r w:rsidRPr="00D03F3E">
        <w:rPr>
          <w:rFonts w:ascii="Times New Roman" w:hAnsi="Times New Roman"/>
          <w:color w:val="000000" w:themeColor="text1"/>
          <w:sz w:val="16"/>
          <w:szCs w:val="16"/>
        </w:rPr>
        <w:softHyphen/>
        <w:t>там Як-9 (19400).</w:t>
      </w:r>
    </w:p>
    <w:p w14:paraId="5A9A7A3A" w14:textId="77777777" w:rsidR="0005558F" w:rsidRPr="00D03F3E" w:rsidRDefault="0005558F" w:rsidP="00D03F3E">
      <w:pPr>
        <w:spacing w:after="0" w:line="240" w:lineRule="auto"/>
        <w:jc w:val="both"/>
        <w:rPr>
          <w:rFonts w:ascii="Times New Roman" w:hAnsi="Times New Roman"/>
          <w:color w:val="000000" w:themeColor="text1"/>
          <w:sz w:val="16"/>
          <w:szCs w:val="16"/>
        </w:rPr>
      </w:pPr>
    </w:p>
    <w:p w14:paraId="734FF29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мая 1943 Получены положительные результаты испытаний в ЦАГИ модели ТЩ типа МТ-1 (10671).</w:t>
      </w:r>
    </w:p>
    <w:p w14:paraId="5D1962F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1F58F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 мая 1943 года А.С.Яковлев писал письмо N 7-34/2143 зам. командующего войсками ПВО ТС генерал-майору Горохову.</w:t>
      </w:r>
    </w:p>
    <w:p w14:paraId="3486FE9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N 1125408сс.</w:t>
      </w:r>
    </w:p>
    <w:p w14:paraId="39E2F37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Сообщаю, что по предложенному плану опытных заказов Управления вооружения войск ПВО территории страны на 1943 г., принимаются к реализации все темы за исключением:</w:t>
      </w:r>
    </w:p>
    <w:p w14:paraId="52A26CE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Темы N 4 - "Разработка конструкции змея для совместного подъема с А3, для увеличения потолка аэростата" в виду того, что 13 лаборатории ЦАГИ поручается проведение ряда более срочных и актуальных работ по заказам ПВО ТС.</w:t>
      </w:r>
    </w:p>
    <w:p w14:paraId="3C37AF0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Темы N 6 - "Изготовление для скоростных самолета защитного приспособления от тросов аэростатов заграждения" и темы N 20 - "Приспособление к самолету СБ для приближения условий испытаний аэростатного заграждения к действительным", по которым ранее были начаты работы в НИИ ВВС.</w:t>
      </w:r>
    </w:p>
    <w:p w14:paraId="3F41AD3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теме N 13 - "Комбинированное инерционное звено с разъемным вертлюгом", 13-й лаборатории ЦАГИ поручается только проектирование и изготовление чертежей. Изготовление же образцов должно быть заказано Вами на одном из заводов, изготавливающих оборудование для аэростатов.</w:t>
      </w:r>
    </w:p>
    <w:p w14:paraId="559E76A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теме N 28 - "Исследование возможности осуществления управляемой и самоуправляемой противосамолетной мины - торпеды" ЦАГИ поручается произвести необходимые аэродинамические исследования моделей, получаемых от проектирующих организаций (1778,40).</w:t>
      </w:r>
    </w:p>
    <w:p w14:paraId="3B3C0CC3" w14:textId="77777777" w:rsidR="00531570" w:rsidRPr="00D03F3E" w:rsidRDefault="00531570" w:rsidP="00D03F3E">
      <w:pPr>
        <w:pStyle w:val="Iauiue"/>
        <w:jc w:val="both"/>
        <w:rPr>
          <w:color w:val="000000" w:themeColor="text1"/>
          <w:sz w:val="16"/>
          <w:szCs w:val="16"/>
        </w:rPr>
      </w:pPr>
    </w:p>
    <w:p w14:paraId="09C271FB"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039B5532" w14:textId="77777777" w:rsidR="00531570" w:rsidRPr="00D03F3E" w:rsidRDefault="00531570" w:rsidP="00D03F3E">
      <w:pPr>
        <w:pStyle w:val="Iauiue"/>
        <w:jc w:val="both"/>
        <w:rPr>
          <w:iCs/>
          <w:color w:val="000000" w:themeColor="text1"/>
          <w:sz w:val="16"/>
          <w:szCs w:val="16"/>
        </w:rPr>
      </w:pPr>
    </w:p>
    <w:p w14:paraId="79201CAD" w14:textId="77777777" w:rsidR="0019152A" w:rsidRPr="00D03F3E" w:rsidRDefault="0019152A" w:rsidP="00D03F3E">
      <w:pPr>
        <w:pStyle w:val="ae"/>
        <w:spacing w:before="0" w:after="0"/>
        <w:jc w:val="both"/>
        <w:textAlignment w:val="baseline"/>
        <w:rPr>
          <w:color w:val="000000" w:themeColor="text1"/>
          <w:sz w:val="16"/>
          <w:szCs w:val="16"/>
        </w:rPr>
      </w:pPr>
      <w:r w:rsidRPr="00D03F3E">
        <w:rPr>
          <w:color w:val="000000" w:themeColor="text1"/>
          <w:sz w:val="16"/>
          <w:szCs w:val="16"/>
        </w:rPr>
        <w:t>28 мая 1943 года начались летние испытания М4А2 на НИБТ Полигоне, которые ввиду поломки танка приостановили 3 июня. Запчасти пришлось ждать довольно долго, поэтому испытания продолжились с 29 июля по 18 августа. Во время них танк также проверялся на двух типах гусениц. Предполагалось, что танк пройдёт 1700 км, но на практике, включая зимние испытания, общий пробег составил 3050 км. С 1758-го километра началось разрушение бандажей опорных катков, а на 1930-м километре пробега разорвало правую гусеничную ленту из цельнометаллических траков. Имелись проблемы с надёжностью силовой установки, из-за чего танк и встал в ремонт. Несмотря на все проблемы, надёжность всё же признали высокой. Советские танки, которые в тех же условиях проходили ресурсные испытания, оказались менее надёжными. Отмечалось, что обслуживание американской боевой машины удобно и требует минимальных временных затрат.</w:t>
      </w:r>
    </w:p>
    <w:p w14:paraId="5FF91DEB" w14:textId="77777777" w:rsidR="0019152A" w:rsidRPr="00D03F3E" w:rsidRDefault="0019152A" w:rsidP="00D03F3E">
      <w:pPr>
        <w:pStyle w:val="ae"/>
        <w:spacing w:before="0" w:after="0"/>
        <w:jc w:val="both"/>
        <w:textAlignment w:val="baseline"/>
        <w:rPr>
          <w:color w:val="000000" w:themeColor="text1"/>
          <w:sz w:val="16"/>
          <w:szCs w:val="16"/>
        </w:rPr>
      </w:pPr>
      <w:r w:rsidRPr="00D03F3E">
        <w:rPr>
          <w:color w:val="000000" w:themeColor="text1"/>
          <w:sz w:val="16"/>
          <w:szCs w:val="16"/>
        </w:rPr>
        <w:t>Ввиду проблем с цельнометаллической гусеницей часть испытаний прошла без неё. Максимальная скорость на штатных резинометаллических гусеницах составила 50 км/ч, то есть даже выше паспортной. Средняя скорость по шоссе составила 39,7 км/ч, а по разбитому просёлку — 20,1 км/ч. Расход топлива при этом составил 167 и 246 л на 100 км, а запас хода — 310 и 210 км соответственно.</w:t>
      </w:r>
    </w:p>
    <w:p w14:paraId="72FDB0FC" w14:textId="77777777" w:rsidR="0019152A" w:rsidRPr="00D03F3E" w:rsidRDefault="0019152A" w:rsidP="00D03F3E">
      <w:pPr>
        <w:pStyle w:val="ae"/>
        <w:spacing w:before="0" w:after="0"/>
        <w:jc w:val="both"/>
        <w:textAlignment w:val="baseline"/>
        <w:rPr>
          <w:color w:val="000000" w:themeColor="text1"/>
          <w:sz w:val="16"/>
          <w:szCs w:val="16"/>
        </w:rPr>
      </w:pPr>
      <w:r w:rsidRPr="00D03F3E">
        <w:rPr>
          <w:color w:val="000000" w:themeColor="text1"/>
          <w:sz w:val="16"/>
          <w:szCs w:val="16"/>
        </w:rPr>
        <w:t>В летних условиях проходимость на специспытаниях ожидаемо выросла. Даже на резинометаллических гусеницах без шпор танк смог преодолеть подъём крутизной 25 градусов. У цельнометаллических гусениц лимит по подъёму оказался тот же. За счёт надевания шпор резинометаллическая гусеница смогла поднять лимит до 28 градусов, а дальше всё равно не хватало сцепления. Лимит по наклону при езде по косогорам для гусениц без шпор составил 23 градуса, а со шпорами — 26 градусов. Также танк успешно испытали буксировкой по просёлку, при этом в роли буксируемого использовался американский средний танк M4A4, который испытывался в это время.</w:t>
      </w:r>
    </w:p>
    <w:p w14:paraId="097BB3FA" w14:textId="77777777" w:rsidR="0019152A" w:rsidRPr="00D03F3E" w:rsidRDefault="0019152A" w:rsidP="00D03F3E">
      <w:pPr>
        <w:pStyle w:val="ae"/>
        <w:spacing w:before="0" w:after="0"/>
        <w:jc w:val="both"/>
        <w:textAlignment w:val="baseline"/>
        <w:rPr>
          <w:color w:val="000000" w:themeColor="text1"/>
          <w:sz w:val="16"/>
          <w:szCs w:val="16"/>
        </w:rPr>
      </w:pPr>
      <w:r w:rsidRPr="00D03F3E">
        <w:rPr>
          <w:color w:val="000000" w:themeColor="text1"/>
          <w:sz w:val="16"/>
          <w:szCs w:val="16"/>
        </w:rPr>
        <w:t>Общие выводы по итогам испытаний мало отличались от зимних тестов. Танк показал высокие характеристики и надёжность. Вместе с тем имелась нехорошая тенденция: вышеупомянутый износ опорных катков сильнее наблюдался при использовании цельнометаллических гусениц. Судя по американским документам, за океаном испытывали те же проблемы. Неслучайно танки семейства M4 продолжали получать резинометаллические траки до самого конца производства, а позже появился металлической трак T47 с внутренней резиновой подушкой (19038).</w:t>
      </w:r>
    </w:p>
    <w:p w14:paraId="69B43E2E" w14:textId="77777777" w:rsidR="0019152A" w:rsidRPr="00D03F3E" w:rsidRDefault="0019152A" w:rsidP="00D03F3E">
      <w:pPr>
        <w:pStyle w:val="ae"/>
        <w:spacing w:before="0" w:after="0"/>
        <w:jc w:val="both"/>
        <w:textAlignment w:val="baseline"/>
        <w:rPr>
          <w:color w:val="000000" w:themeColor="text1"/>
          <w:sz w:val="16"/>
          <w:szCs w:val="16"/>
        </w:rPr>
      </w:pPr>
    </w:p>
    <w:p w14:paraId="42C26C0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 мая 1943 года была подготовлена справка:</w:t>
      </w:r>
    </w:p>
    <w:p w14:paraId="37B782B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ГСПИ-7 – Москва, п/я № 840 (9285).</w:t>
      </w:r>
    </w:p>
    <w:p w14:paraId="161F74F7" w14:textId="77777777" w:rsidR="00531570" w:rsidRPr="00D03F3E" w:rsidRDefault="00531570" w:rsidP="00D03F3E">
      <w:pPr>
        <w:pStyle w:val="Iauiue"/>
        <w:jc w:val="both"/>
        <w:rPr>
          <w:color w:val="000000" w:themeColor="text1"/>
          <w:sz w:val="16"/>
          <w:szCs w:val="16"/>
        </w:rPr>
      </w:pPr>
    </w:p>
    <w:p w14:paraId="4FD6D536"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28 мая 1943 года вышел приказ № 310 НКТП</w:t>
      </w:r>
    </w:p>
    <w:p w14:paraId="7FBE5C45"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В соответствии с решением ГОКО от 12 апреля 1943 года № 3165с:</w:t>
      </w:r>
    </w:p>
    <w:p w14:paraId="44E6B33C"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Завод подъемно-транспортного оборудования им. Ленина в Ижевске считать принятым НКТП с подчинением ГУРТу.</w:t>
      </w:r>
    </w:p>
    <w:p w14:paraId="6176DB7D"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Заводу присвоить № 46 (директор Романов Пантелеймон Константинович) (6136, 63-61).</w:t>
      </w:r>
    </w:p>
    <w:p w14:paraId="27CF2A52" w14:textId="77777777" w:rsidR="00531570" w:rsidRPr="00D03F3E" w:rsidRDefault="00531570" w:rsidP="00D03F3E">
      <w:pPr>
        <w:pStyle w:val="Iauiue"/>
        <w:tabs>
          <w:tab w:val="left" w:pos="11199"/>
        </w:tabs>
        <w:jc w:val="both"/>
        <w:rPr>
          <w:color w:val="000000" w:themeColor="text1"/>
          <w:sz w:val="16"/>
          <w:szCs w:val="16"/>
        </w:rPr>
      </w:pPr>
    </w:p>
    <w:p w14:paraId="51975272"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28 мая 1943 вышло Постановление ГКО № 3446 О дополнительных мероприятиях по обеспечению нефтеперевозок по реке Волге на участке Астрахань-Саратов. (7110, 103-107).</w:t>
      </w:r>
    </w:p>
    <w:p w14:paraId="3542C445" w14:textId="77777777" w:rsidR="00531570" w:rsidRPr="00D03F3E" w:rsidRDefault="00531570" w:rsidP="00D03F3E">
      <w:pPr>
        <w:pStyle w:val="Iauiue"/>
        <w:tabs>
          <w:tab w:val="left" w:pos="11199"/>
        </w:tabs>
        <w:jc w:val="both"/>
        <w:rPr>
          <w:color w:val="000000" w:themeColor="text1"/>
          <w:sz w:val="16"/>
          <w:szCs w:val="16"/>
        </w:rPr>
      </w:pPr>
    </w:p>
    <w:p w14:paraId="5D70514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 28 мая 1943 г. модель тральщика пр. 253л про</w:t>
      </w:r>
      <w:r w:rsidRPr="00D03F3E">
        <w:rPr>
          <w:color w:val="000000" w:themeColor="text1"/>
          <w:sz w:val="16"/>
          <w:szCs w:val="16"/>
        </w:rPr>
        <w:softHyphen/>
        <w:t>шла успешные испытания в бассейне ЦАГИ (в Москве), и 12 июня на заводе 189 были заложены два первых малых тральщика, или "стотонника", как их стали полуофициально называть, ориентиру</w:t>
      </w:r>
      <w:r w:rsidRPr="00D03F3E">
        <w:rPr>
          <w:color w:val="000000" w:themeColor="text1"/>
          <w:sz w:val="16"/>
          <w:szCs w:val="16"/>
        </w:rPr>
        <w:softHyphen/>
        <w:t>ясь на проектное водоизмещение (108 т нормальное, в пр. 253 — 91,2 т, по заданию на катер-тральщик — около 60 т) (3898).</w:t>
      </w:r>
    </w:p>
    <w:p w14:paraId="38EACBD6" w14:textId="77777777" w:rsidR="00531570" w:rsidRPr="00D03F3E" w:rsidRDefault="00531570" w:rsidP="00D03F3E">
      <w:pPr>
        <w:pStyle w:val="Iauiue"/>
        <w:jc w:val="both"/>
        <w:rPr>
          <w:color w:val="000000" w:themeColor="text1"/>
          <w:sz w:val="16"/>
          <w:szCs w:val="16"/>
        </w:rPr>
      </w:pPr>
    </w:p>
    <w:p w14:paraId="229AAFAE"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23525F02" w14:textId="77777777" w:rsidR="00531570" w:rsidRPr="00D03F3E" w:rsidRDefault="00531570" w:rsidP="00D03F3E">
      <w:pPr>
        <w:pStyle w:val="Iauiue"/>
        <w:jc w:val="both"/>
        <w:rPr>
          <w:iCs/>
          <w:color w:val="000000" w:themeColor="text1"/>
          <w:sz w:val="16"/>
          <w:szCs w:val="16"/>
        </w:rPr>
      </w:pPr>
    </w:p>
    <w:p w14:paraId="2A139D6E" w14:textId="77777777" w:rsidR="00A36C9C" w:rsidRPr="00D03F3E" w:rsidRDefault="00A36C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28 мая</w:t>
      </w:r>
      <w:r w:rsidRPr="00D03F3E">
        <w:rPr>
          <w:rFonts w:ascii="Times New Roman" w:hAnsi="Times New Roman"/>
          <w:color w:val="000000" w:themeColor="text1"/>
          <w:sz w:val="16"/>
          <w:szCs w:val="16"/>
        </w:rPr>
        <w:t xml:space="preserve"> в 1943 году утреннее сообщение Совинформбюро:</w:t>
      </w:r>
    </w:p>
    <w:p w14:paraId="4D8B464C" w14:textId="77777777" w:rsidR="00A36C9C" w:rsidRPr="00D03F3E" w:rsidRDefault="00A36C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28 мая на фронте ничего существенного не произошло.</w:t>
      </w:r>
    </w:p>
    <w:p w14:paraId="7314BA6E" w14:textId="77777777" w:rsidR="00A36C9C" w:rsidRPr="00D03F3E" w:rsidRDefault="00A36C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 кораблём и самолётами в Черном море потоплены две самоходные баржи противника.</w:t>
      </w:r>
    </w:p>
    <w:p w14:paraId="7D411295" w14:textId="77777777" w:rsidR="00A36C9C" w:rsidRPr="00D03F3E" w:rsidRDefault="00A36C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Наша авиация дальнего действия ночью совершила налёты на несколько немецких аэродромов. В результате бомбардировки возникло много пожаров и наблюдались взрывы большой силы.</w:t>
      </w:r>
    </w:p>
    <w:p w14:paraId="4472CB73" w14:textId="77777777" w:rsidR="00A36C9C" w:rsidRPr="00D03F3E" w:rsidRDefault="00A36C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артиллеристы совершили несколько огневых налётов на оборонительные сооружения и скопления пехоты противника. Разрушено 5 дзотов, взорван склад боеприпасов и уничтожено более роты немецкой пехоты.</w:t>
      </w:r>
    </w:p>
    <w:p w14:paraId="02F3D538" w14:textId="77777777" w:rsidR="00A36C9C" w:rsidRPr="00D03F3E" w:rsidRDefault="00A36C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участке Калининского фронта отряд противника пытался разведать наши позиции. Бойцы Н-ской части отбросили гитлеровцев на исходный рубеж, захватив при этом пленных. Взятый в плен ефрейтор 3 авиапехотной дивизии Эрих Болен показал, что за последний месяц его рота, находясь в обороне, потеряла только убитыми более 40 человек.</w:t>
      </w:r>
    </w:p>
    <w:p w14:paraId="5F478209" w14:textId="77777777" w:rsidR="00A36C9C" w:rsidRPr="00D03F3E" w:rsidRDefault="00A36C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подразделения истребили до 200 вражеских солдати офицеров, разрушили 17 дзотов, 15 землянок и 2 наблюдательных пункта противника. Группа разведчиков под командованием старшего сержанта Бойчука ночью проникла в расположение немцев. Окружив вражеский дзот, разведчики уничтожили 9 гитлеровцев и захватили пленных.</w:t>
      </w:r>
    </w:p>
    <w:p w14:paraId="5554720E" w14:textId="77777777" w:rsidR="00A36C9C" w:rsidRPr="00D03F3E" w:rsidRDefault="00A36C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воздушных боях на подступах к Ленинграду и огнём нашей зенитной артиллерии сбито 8 немецких самолётов.</w:t>
      </w:r>
    </w:p>
    <w:p w14:paraId="23A86B50" w14:textId="77777777" w:rsidR="00A36C9C" w:rsidRPr="00D03F3E" w:rsidRDefault="00A36C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партизан отряда, действующего в одном из районов Гомельской области, вночь с 17 на 18 мая пустила под откос два немецких воинских эшелона, следовавших к линии фронта. Разбито 2 паровоза, 23 платформы и 11 вагонов. Партизаны отряда, действующего в Минской области, в мае месяце пустили под откос 5 немецких поездов. В результате крушений разбито 5 паровозов, 15 вагонов с боеприпасами, 6 вагонов с войсками и 18 вагонов с вооружением, продовольствием и другим игрузами. Убито несколько десятков гитлеровцев. Bo многих местах повреждены железнодорожные пути.</w:t>
      </w:r>
    </w:p>
    <w:p w14:paraId="0F29A8F1" w14:textId="77777777" w:rsidR="00A36C9C" w:rsidRPr="00D03F3E" w:rsidRDefault="00A36C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письме на имя немецкого лейтенанта Альфреда Шадта некий Карл Дерплер сообщает о бомбардировке английской авиацией одного из крупнейших центров военной и машиностроительной промышленности Германии — Штуттгарта. «Дорогой мой племянник Альфред! Ничего хорошего я тебе не могу сообщить. В ночь с 14 на 15 </w:t>
      </w:r>
      <w:r w:rsidRPr="00D03F3E">
        <w:rPr>
          <w:rFonts w:ascii="Times New Roman" w:hAnsi="Times New Roman"/>
          <w:color w:val="000000" w:themeColor="text1"/>
          <w:sz w:val="16"/>
          <w:szCs w:val="16"/>
        </w:rPr>
        <w:lastRenderedPageBreak/>
        <w:t>апреля на нас был совершён крупный налёт. Тревога продолжалась два часа. Особенно пострадали заводы. Опустошения не поддаются никакому учёту, всюду видны развалины и кучи щебня. Ещё несколько подобных налётов, которых мы опасаемся, и здесь ничего больше не останется».</w:t>
      </w:r>
    </w:p>
    <w:p w14:paraId="4C42E6F6" w14:textId="77777777" w:rsidR="00A36C9C" w:rsidRPr="00D03F3E" w:rsidRDefault="00A36C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Норвежские патриоты совершили нападение на склад боеприпасов немецких оккупантов. Патриоты перебили охрану и подожгли склад. В Драммене норвежцы, переодетые в форму немецких солдат и Офицеров, проникли на оружейный склад и похитили два грузовика винтовок и автоматов. В районе Осло патриоты организовали столкновение двух поездов с немецкими войсками. При крушении погибло большое количество гитлеровцев.» (14905).</w:t>
      </w:r>
    </w:p>
    <w:p w14:paraId="3DA35B29" w14:textId="77777777" w:rsidR="00A36C9C" w:rsidRPr="00D03F3E" w:rsidRDefault="00A36C9C" w:rsidP="00D03F3E">
      <w:pPr>
        <w:spacing w:after="0" w:line="240" w:lineRule="auto"/>
        <w:jc w:val="both"/>
        <w:rPr>
          <w:rFonts w:ascii="Times New Roman" w:hAnsi="Times New Roman"/>
          <w:color w:val="000000" w:themeColor="text1"/>
          <w:sz w:val="16"/>
          <w:szCs w:val="16"/>
        </w:rPr>
      </w:pPr>
    </w:p>
    <w:p w14:paraId="3EED0E09" w14:textId="77777777" w:rsidR="00A36C9C" w:rsidRPr="00D03F3E" w:rsidRDefault="00A36C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28 мая</w:t>
      </w:r>
      <w:r w:rsidRPr="00D03F3E">
        <w:rPr>
          <w:rFonts w:ascii="Times New Roman" w:hAnsi="Times New Roman"/>
          <w:color w:val="000000" w:themeColor="text1"/>
          <w:sz w:val="16"/>
          <w:szCs w:val="16"/>
        </w:rPr>
        <w:t xml:space="preserve"> в 1943 году вечернее сообщение Совинформбюро:</w:t>
      </w:r>
    </w:p>
    <w:p w14:paraId="27403674" w14:textId="77777777" w:rsidR="00A36C9C" w:rsidRPr="00D03F3E" w:rsidRDefault="00A36C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28 мая на Кубани, в районе северо-восточнее Новороссийска, продолжались бои. На других участках фронта существенных изменений не произошло.</w:t>
      </w:r>
    </w:p>
    <w:p w14:paraId="6575C90B" w14:textId="77777777" w:rsidR="00A36C9C" w:rsidRPr="00D03F3E" w:rsidRDefault="00A36C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мая частями нашей авиации на различных участках фронта уничтожено или повреждено до 50 немецких автомашин с войсками и грузами, взорвано 4 склада боеприпасов, разбито 3 железнодорожных эшелона и подавлен огонь нескольких артиллерийских батарей противника.</w:t>
      </w:r>
    </w:p>
    <w:p w14:paraId="72AEA115" w14:textId="77777777" w:rsidR="00A36C9C" w:rsidRPr="00D03F3E" w:rsidRDefault="00A36C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уничтожили до роты немецких солдат, 2 орудия, разрушили 6 блиндажей и подавили огонь нескольких артиллерийских батарей противника. На одном участке отряд немецкой пехоты пытался вести разведку переднего края нашей обороны. Встреченные пулемётным и залповым ружейным огнём, гитлеровцы в беспорядке отступили.</w:t>
      </w:r>
    </w:p>
    <w:p w14:paraId="306686A9" w14:textId="77777777" w:rsidR="00A36C9C" w:rsidRPr="00D03F3E" w:rsidRDefault="00A36C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артиллеристы Н-ской части разрушили несколько блиндажей и дзотов, уничтожили миномётную батарею и 8 огневых точек противника. Кроме того, артиллерийским огнём рассеяна немецкая автоколонна с грузами. Разбито и уничтожено до 20 автомашин противника.</w:t>
      </w:r>
    </w:p>
    <w:p w14:paraId="6848C7C0" w14:textId="77777777" w:rsidR="00A36C9C" w:rsidRPr="00D03F3E" w:rsidRDefault="00A36C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артиллеристы обстреляли скопление немецкой пехоты и уничтожили до 150 немецких солдат и офицеров. Миномётчики Н-ского гвардейского подразделения уничтожили 3 орудия, шестиствольный миномёт и сожгли более десяти автомашин противника.</w:t>
      </w:r>
    </w:p>
    <w:p w14:paraId="4B240018" w14:textId="77777777" w:rsidR="00A36C9C" w:rsidRPr="00D03F3E" w:rsidRDefault="00A36C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гитлеровцы атаковали опорный пункт, который обороняли бойцы одного нашего подразделения. Подпустив врага на близкое расстояние, командир подразделения лейтенант Кухтик приказал открыть ружейно-пулемётный огонь. Гитлеровцы понесли большие потери и поспешно начали отходить. Наши бойцы, преследуя противника, захватили пленных и трофеи.</w:t>
      </w:r>
    </w:p>
    <w:p w14:paraId="3F246F69" w14:textId="77777777" w:rsidR="00A36C9C" w:rsidRPr="00D03F3E" w:rsidRDefault="00A36C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Ровенской области, внезапно атаковал немецкий гарнизон на крупной железнодорожной станции. В ожесточённом бою советские патриоты истребили более 100 вражеских солдат и офицеров, взорвали 3 паровоза, 17 вагонов и электростанцию, питавшую энергией паровозные мастерские. Группа партизан отряда имени Кирова из засады на шоссейной дороге подбила немецкую бронемашину и сожгла трёхтонную автомашину с грузом.</w:t>
      </w:r>
    </w:p>
    <w:p w14:paraId="73D2EF0D" w14:textId="77777777" w:rsidR="00A36C9C" w:rsidRPr="00D03F3E" w:rsidRDefault="00A36C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Захваченный 20 мая в районе Курска в плен немецкий лётчик из 6 отряда 2группы 1 немецкой эскадры пикирующих бомбардировщиков лейтенант Эрвин Штеймде рассказал: «Наш отряд вылетел с аэродрома в составе 9 самолётов. Одновременно вылетели и другие отряды группы. Перед нами была поставлена задача — достигнуть Курска и сбросить бомбы на железнодорожную станцию. В пяти километрах от цели мы были встречены русскими истребителями. Зенитная артиллерия вела сильный огонь. Я беспорядочно сбросил бомбы, не долетев до цели. Наспех освободившись от бомб, весь отряд пытался повернуть обратно. Однако удержаться в строю было невозможно, потому что в воздухе господствовали русские истребители. Я видел, как один за другим упали на землю самолёты моего отряда. Мне удалось продержаться дольше всех. Русский истребитель пробил радиатор в моей машине, и я тоже был вынужден сесть. Здесь, в плену, я встретил лётчиков пяти экипажей своего отряда» (14905).</w:t>
      </w:r>
    </w:p>
    <w:p w14:paraId="7E29B2BD" w14:textId="77777777" w:rsidR="00A36C9C" w:rsidRPr="00D03F3E" w:rsidRDefault="00A36C9C" w:rsidP="00D03F3E">
      <w:pPr>
        <w:spacing w:after="0" w:line="240" w:lineRule="auto"/>
        <w:jc w:val="both"/>
        <w:rPr>
          <w:rFonts w:ascii="Times New Roman" w:hAnsi="Times New Roman"/>
          <w:color w:val="000000" w:themeColor="text1"/>
          <w:sz w:val="16"/>
          <w:szCs w:val="16"/>
        </w:rPr>
      </w:pPr>
    </w:p>
    <w:p w14:paraId="20BB07F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на 28 мая 1943 в 00:13 с аэродрома Приютино поднялся Ил-4, пилотируемый капитаном И.Г.Шамановым (штурман М.В.Лорин). В коротких сумерках белой ночи торпедоносец прошел на большой высоте над территорией Эстонии, а затем, снизившись, начал поиск над Рижским заливом. Незадолго до трех часов, когда самолет достиг района острова Рухну, показалась одиночная цель, классифицированная экипажем как 5000-тонный транспорт. Противник не ожидал появления здесь советского самолета и зенитного огня не открыл. Торпедоносец лег на боевой курс и сбросил торпеду, которая по наблюдению летчиков попала в носовую часть судна. Шаманов решил не рисковать и для возвращения избрал другой маршрут. Долетев почти до Риги, он встретил мощную облачность, поднялся над ней и далее по приборам дошел до озера Ильмень, откуда через Чудово и Волхов вышел на свою территорию. «Определившись на местности», экипаж взял верный курс, и утром приземлился на родном аэродроме. К сожалению, истинный результат атаки Шаманова не известен до сих пор (9965).</w:t>
      </w:r>
    </w:p>
    <w:p w14:paraId="422CE8E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FEF571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на 28 мая 1943 состоялся первый вылет на дальнее крейсерство. В 00.13 с аэродрома Приютино поднялся Ил-4, пилотируемый капитаном И.Г. Шамановым (штурман М.В. Лорин). 8 коротких сумерках белой ночи торпедоносец прошел на большой высоте над территорией Эстонии, а затем, снизившись, начал поиск над Рижским заливом. Незадолго до трех часов, когда самолет достиг района острова Рухну, показалась одиночная цель, классифицированная экипажем как 5000-тон- ный транспорт. Торпедоносец лег на боевой курс и сбросил торпеду, которая, по наблюдениям летчиков, попала в носовую часть судна. Шаманов решил не рисковать и для возвращения избрал другой маршрут. Долетев почти до Риги, он встретил мощную облачность, поднялся над ней и далее по приборам дошел до озера Ильмень, откуда через Чудово и Волхов вышел на свою территорию. Определившись на местности, экипаж взял верный курс и утром приземлился на родном аэродроме. К сожалению, истинный результат атаки Шаманова не известен до сих пор, но то, что экипаж продемонстрировал высокое мастерство и мужество, сомнений не вызывает (12002).</w:t>
      </w:r>
    </w:p>
    <w:p w14:paraId="2BEC9BD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F227CF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 мая 1943 приказ НКО СССР ввел Гвардейские военные звания и нагрудный знак “Гвардия” (9396).</w:t>
      </w:r>
    </w:p>
    <w:p w14:paraId="591FDF20" w14:textId="77777777" w:rsidR="00531570" w:rsidRPr="00D03F3E" w:rsidRDefault="00531570" w:rsidP="00D03F3E">
      <w:pPr>
        <w:pStyle w:val="Iauiue"/>
        <w:jc w:val="both"/>
        <w:rPr>
          <w:color w:val="000000" w:themeColor="text1"/>
          <w:sz w:val="16"/>
          <w:szCs w:val="16"/>
        </w:rPr>
      </w:pPr>
    </w:p>
    <w:p w14:paraId="36BFA398" w14:textId="77777777" w:rsidR="00A36C9C"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70F3D74E" w14:textId="77777777" w:rsidR="00A36C9C" w:rsidRPr="00D03F3E" w:rsidRDefault="00A36C9C" w:rsidP="00D03F3E">
      <w:pPr>
        <w:pStyle w:val="Iauiue"/>
        <w:jc w:val="both"/>
        <w:rPr>
          <w:iCs/>
          <w:color w:val="000000" w:themeColor="text1"/>
          <w:sz w:val="16"/>
          <w:szCs w:val="16"/>
        </w:rPr>
      </w:pPr>
    </w:p>
    <w:p w14:paraId="5597CA6A" w14:textId="77777777" w:rsidR="00A36C9C" w:rsidRPr="00D03F3E" w:rsidRDefault="00A36C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28 мая</w:t>
      </w:r>
      <w:r w:rsidRPr="00D03F3E">
        <w:rPr>
          <w:rFonts w:ascii="Times New Roman" w:hAnsi="Times New Roman"/>
          <w:color w:val="000000" w:themeColor="text1"/>
          <w:sz w:val="16"/>
          <w:szCs w:val="16"/>
        </w:rPr>
        <w:t xml:space="preserve"> в 1943 году решением СНК СССР была введена особая форма для дипломатов (14905).</w:t>
      </w:r>
    </w:p>
    <w:p w14:paraId="3B3D20BF" w14:textId="77777777" w:rsidR="00A36C9C" w:rsidRPr="00D03F3E" w:rsidRDefault="00A36C9C" w:rsidP="00D03F3E">
      <w:pPr>
        <w:spacing w:after="0" w:line="240" w:lineRule="auto"/>
        <w:jc w:val="both"/>
        <w:rPr>
          <w:rFonts w:ascii="Times New Roman" w:hAnsi="Times New Roman"/>
          <w:color w:val="000000" w:themeColor="text1"/>
          <w:sz w:val="16"/>
          <w:szCs w:val="16"/>
        </w:rPr>
      </w:pPr>
    </w:p>
    <w:p w14:paraId="331E09DE"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226D5242" w14:textId="77777777" w:rsidR="00531570" w:rsidRPr="00D03F3E" w:rsidRDefault="00531570" w:rsidP="00D03F3E">
      <w:pPr>
        <w:pStyle w:val="Iauiue"/>
        <w:jc w:val="both"/>
        <w:rPr>
          <w:iCs/>
          <w:color w:val="000000" w:themeColor="text1"/>
          <w:sz w:val="16"/>
          <w:szCs w:val="16"/>
        </w:rPr>
      </w:pPr>
    </w:p>
    <w:p w14:paraId="56F961D3"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28 мая 1943 несколько английских офицеров и связистов десантированы к югославским партизанам для координации действий (4962).</w:t>
      </w:r>
    </w:p>
    <w:p w14:paraId="382AD02B" w14:textId="77777777" w:rsidR="00531570" w:rsidRPr="00D03F3E" w:rsidRDefault="00531570" w:rsidP="00D03F3E">
      <w:pPr>
        <w:pStyle w:val="Iauiue"/>
        <w:tabs>
          <w:tab w:val="left" w:pos="11199"/>
        </w:tabs>
        <w:jc w:val="both"/>
        <w:rPr>
          <w:color w:val="000000" w:themeColor="text1"/>
          <w:sz w:val="16"/>
          <w:szCs w:val="16"/>
        </w:rPr>
      </w:pPr>
    </w:p>
    <w:p w14:paraId="5D80C667"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May 28th, 1943: In Italy, the US 15th Air Force attacks oil refineries at Livorno (3819).</w:t>
      </w:r>
    </w:p>
    <w:p w14:paraId="304853E2" w14:textId="77777777" w:rsidR="00531570" w:rsidRPr="00D03F3E" w:rsidRDefault="00531570" w:rsidP="00D03F3E">
      <w:pPr>
        <w:pStyle w:val="Iauiue"/>
        <w:jc w:val="both"/>
        <w:rPr>
          <w:color w:val="000000" w:themeColor="text1"/>
          <w:sz w:val="16"/>
          <w:szCs w:val="16"/>
          <w:lang w:val="en-US"/>
        </w:rPr>
      </w:pPr>
    </w:p>
    <w:p w14:paraId="61C6BF3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 мая 1943 в Италии 15ВА США выполнила налет на Ливорно (3819).</w:t>
      </w:r>
    </w:p>
    <w:p w14:paraId="20A3ABEE" w14:textId="77777777" w:rsidR="00531570" w:rsidRPr="00D03F3E" w:rsidRDefault="00531570" w:rsidP="00D03F3E">
      <w:pPr>
        <w:pStyle w:val="Iauiue"/>
        <w:jc w:val="both"/>
        <w:rPr>
          <w:color w:val="000000" w:themeColor="text1"/>
          <w:sz w:val="16"/>
          <w:szCs w:val="16"/>
        </w:rPr>
      </w:pPr>
    </w:p>
    <w:p w14:paraId="42078D59"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36C6588A" w14:textId="77777777" w:rsidR="00531570" w:rsidRPr="00D03F3E" w:rsidRDefault="00531570" w:rsidP="00D03F3E">
      <w:pPr>
        <w:pStyle w:val="Iauiue"/>
        <w:jc w:val="both"/>
        <w:rPr>
          <w:iCs/>
          <w:color w:val="000000" w:themeColor="text1"/>
          <w:sz w:val="16"/>
          <w:szCs w:val="16"/>
        </w:rPr>
      </w:pPr>
    </w:p>
    <w:p w14:paraId="723F6B5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29 мая 1943 2-й экз. самолета Ил-4 2М-88Б закончил заводские испытания с герметической кабиной первого варианта, которые шли с 10 марта 1943. С 10 августа 1943 этот самолет проходил испытания с герметической кабиной второго варианта и ТК ТК-М вместо ТК-3 (1825,208).</w:t>
      </w:r>
    </w:p>
    <w:p w14:paraId="0606C8B3" w14:textId="77777777" w:rsidR="00531570" w:rsidRPr="00D03F3E" w:rsidRDefault="00531570" w:rsidP="00D03F3E">
      <w:pPr>
        <w:pStyle w:val="Iauiue"/>
        <w:jc w:val="both"/>
        <w:rPr>
          <w:color w:val="000000" w:themeColor="text1"/>
          <w:sz w:val="16"/>
          <w:szCs w:val="16"/>
        </w:rPr>
      </w:pPr>
    </w:p>
    <w:p w14:paraId="4D4E1C8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мая 1943 завершился первый этап заводских испытаний Ил-4ТК. Затем на самолете установили усовершенствованную гермокабину и 10 августа вновь подняли его в воздух. Результаты принесли разочарование. До предполагавшихся в проекте данных машина здорово недотягивала. Хотя считали, что крейсерский полет будет происходить на высоте 11000 м, выше 9300 м подняться не удавалось. Ско</w:t>
      </w:r>
      <w:r w:rsidRPr="00D03F3E">
        <w:rPr>
          <w:rFonts w:ascii="Times New Roman" w:hAnsi="Times New Roman"/>
          <w:color w:val="000000" w:themeColor="text1"/>
          <w:sz w:val="16"/>
          <w:szCs w:val="16"/>
        </w:rPr>
        <w:softHyphen/>
        <w:t>рость также оказалась далека от желае</w:t>
      </w:r>
      <w:r w:rsidRPr="00D03F3E">
        <w:rPr>
          <w:rFonts w:ascii="Times New Roman" w:hAnsi="Times New Roman"/>
          <w:color w:val="000000" w:themeColor="text1"/>
          <w:sz w:val="16"/>
          <w:szCs w:val="16"/>
        </w:rPr>
        <w:softHyphen/>
        <w:t>мой. Причину нашли в несоответствии параметров ТК-3 расчетным и непри</w:t>
      </w:r>
      <w:r w:rsidRPr="00D03F3E">
        <w:rPr>
          <w:rFonts w:ascii="Times New Roman" w:hAnsi="Times New Roman"/>
          <w:color w:val="000000" w:themeColor="text1"/>
          <w:sz w:val="16"/>
          <w:szCs w:val="16"/>
        </w:rPr>
        <w:softHyphen/>
        <w:t>годности винтов ВИШ-61П. Последние заменили на четырехлопастные АВ-9. Но это не дало существенного сдвига. Далее перешли к более совершенным нагнетателям ТК-М. Первый полет с ними состоялся 16 сентября. Подня</w:t>
      </w:r>
      <w:r w:rsidRPr="00D03F3E">
        <w:rPr>
          <w:rFonts w:ascii="Times New Roman" w:hAnsi="Times New Roman"/>
          <w:color w:val="000000" w:themeColor="text1"/>
          <w:sz w:val="16"/>
          <w:szCs w:val="16"/>
        </w:rPr>
        <w:softHyphen/>
        <w:t>лись на 7500 м. Моторы работали неус</w:t>
      </w:r>
      <w:r w:rsidRPr="00D03F3E">
        <w:rPr>
          <w:rFonts w:ascii="Times New Roman" w:hAnsi="Times New Roman"/>
          <w:color w:val="000000" w:themeColor="text1"/>
          <w:sz w:val="16"/>
          <w:szCs w:val="16"/>
        </w:rPr>
        <w:softHyphen/>
        <w:t>тойчиво. К этому времени в условиях перехода господства в воздухе к совет</w:t>
      </w:r>
      <w:r w:rsidRPr="00D03F3E">
        <w:rPr>
          <w:rFonts w:ascii="Times New Roman" w:hAnsi="Times New Roman"/>
          <w:color w:val="000000" w:themeColor="text1"/>
          <w:sz w:val="16"/>
          <w:szCs w:val="16"/>
        </w:rPr>
        <w:softHyphen/>
        <w:t>ской авиации потребность в высотной технике уже не стала столь насущной. 10 ноября 1943 г. Ильюшин распоря</w:t>
      </w:r>
      <w:r w:rsidRPr="00D03F3E">
        <w:rPr>
          <w:rFonts w:ascii="Times New Roman" w:hAnsi="Times New Roman"/>
          <w:color w:val="000000" w:themeColor="text1"/>
          <w:sz w:val="16"/>
          <w:szCs w:val="16"/>
        </w:rPr>
        <w:softHyphen/>
        <w:t>дился прекратить работы по Ил-4ТК (10734,87).</w:t>
      </w:r>
    </w:p>
    <w:p w14:paraId="48A8FB9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62239BDE" w14:textId="77777777" w:rsidR="0047107F" w:rsidRPr="00D03F3E" w:rsidRDefault="0047107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29 мая 1943 г. закончился первый этап заводских испытаний Ил-4ТК, которые совершил первый полет 16 марта 1943. Взлетный вес составлял 10593 кг. несколько больше расчетного за счет контрольно- измерительной аппаратуры. Затем на самолете установили усовершенствованную гермокабину и 10 августа вновь подняли его в воздух. Результаты принесли разочарование. До предполагавшихся в проекте данных машина здорово недотягивала. Хотя считали, что крейсерский полет будет происходить на высоте 11000 м. выше 9300 м подняться не удавалось. Скорость также оказалась далека от желаемой. Причину нашли в несоответствии параметров ТК-3 расчетным и непригодности винтов ВИШ-61П. Последние заменили на четырехлопастные АВ-9. Но это не дало существенного сдвига. Далее перешли к более совершенным нагнетателям ТК-М. Первый полет с ними состоялся 16 сентября. Поднялись на 7500 м. Моторы работали неустойчиво. К этому времени в условиях перехода господства в воздухе к советской авиации потребность в высотной технике уже не стала столь насущной. 10 ноября 1943 г. Ильюшин распорядился прекратить работы по Ил-4ТК (21548).</w:t>
      </w:r>
    </w:p>
    <w:p w14:paraId="0B1F7848" w14:textId="77777777" w:rsidR="0047107F" w:rsidRPr="00D03F3E" w:rsidRDefault="0047107F" w:rsidP="00D03F3E">
      <w:pPr>
        <w:spacing w:after="0" w:line="240" w:lineRule="auto"/>
        <w:jc w:val="both"/>
        <w:rPr>
          <w:rFonts w:ascii="Times New Roman" w:hAnsi="Times New Roman"/>
          <w:color w:val="0070C0"/>
          <w:sz w:val="16"/>
          <w:szCs w:val="16"/>
        </w:rPr>
      </w:pPr>
    </w:p>
    <w:p w14:paraId="15C8076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29 мая 1943 закончился первый этап заводских испытаний второго Ил-4ТК. 16 марта 1943 г. первый полет на втором Ил-4ТК совершил В. К. Коккинаки. Взлетный вес составлял 10593 кг, несколько больше расчетного за счет контрольно-измерительной аппаратуры. Затем на самолете установили усовершенствованную гермокабину и 10 августа вновь подняли его в воздух. Результаты принесли разочарование. До предполагавшихся в проекте данных машина здорово недотягивала. Хотя считали, что крейсерский полет будет происходить на высоте 11000 м, выше 9300 м подняться не удавалось. Скорость также оказалась далека от желаемой. Причину нашли в несоответствии параметров ТК-3 расчетным и непригодности винтов ВИШ-61 П. Последние заменили на четырехлопастные АВ-9. Но это не дало существенного сдвига.</w:t>
      </w:r>
    </w:p>
    <w:p w14:paraId="35D0BB7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Далее перешли к более совершенным нагнетателям ТК-М. Первый полет с ними состоялся 16 сентября. Поднялись на 7500 м. Моторы работали неустойчиво. К этому времени в условиях перехода господства в воздухе к советской авиации потребность в высотной технике уже не стала столь насущной. 10 ноября 1943 г. Ильюшин распорядился прекратить работы по Ил-4ТК (12021).</w:t>
      </w:r>
    </w:p>
    <w:p w14:paraId="23B4447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5B304E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мая и 12 марта 1943 го</w:t>
      </w:r>
      <w:r w:rsidRPr="00D03F3E">
        <w:rPr>
          <w:rFonts w:ascii="Times New Roman" w:hAnsi="Times New Roman"/>
          <w:color w:val="000000" w:themeColor="text1"/>
          <w:sz w:val="16"/>
          <w:szCs w:val="16"/>
        </w:rPr>
        <w:softHyphen/>
        <w:t>да вышли приказы НКАП, в соответствии с которыми на заводе № 22 начались работы по установке однокамерного РД-1 на Пе-2 № 15/185. Испытаниями этой машины, переданной на ЛИС в августе 1943 года, руководил С.П. Королев.</w:t>
      </w:r>
    </w:p>
    <w:p w14:paraId="4FCF3DC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завершения первого этапа испытаний реак</w:t>
      </w:r>
      <w:r w:rsidRPr="00D03F3E">
        <w:rPr>
          <w:rFonts w:ascii="Times New Roman" w:hAnsi="Times New Roman"/>
          <w:color w:val="000000" w:themeColor="text1"/>
          <w:sz w:val="16"/>
          <w:szCs w:val="16"/>
        </w:rPr>
        <w:softHyphen/>
        <w:t>тивный двигатель РД-1 отправили на доработку. В но</w:t>
      </w:r>
      <w:r w:rsidRPr="00D03F3E">
        <w:rPr>
          <w:rFonts w:ascii="Times New Roman" w:hAnsi="Times New Roman"/>
          <w:color w:val="000000" w:themeColor="text1"/>
          <w:sz w:val="16"/>
          <w:szCs w:val="16"/>
        </w:rPr>
        <w:softHyphen/>
        <w:t>ябре 1944 года на самолете № 15/185 установили усо</w:t>
      </w:r>
      <w:r w:rsidRPr="00D03F3E">
        <w:rPr>
          <w:rFonts w:ascii="Times New Roman" w:hAnsi="Times New Roman"/>
          <w:color w:val="000000" w:themeColor="text1"/>
          <w:sz w:val="16"/>
          <w:szCs w:val="16"/>
        </w:rPr>
        <w:softHyphen/>
        <w:t>вершенствованный РД-1 и к концу этого года самолет подготовили к летным испытаниям. Тогда же для отра</w:t>
      </w:r>
      <w:r w:rsidRPr="00D03F3E">
        <w:rPr>
          <w:rFonts w:ascii="Times New Roman" w:hAnsi="Times New Roman"/>
          <w:color w:val="000000" w:themeColor="text1"/>
          <w:sz w:val="16"/>
          <w:szCs w:val="16"/>
        </w:rPr>
        <w:softHyphen/>
        <w:t>ботки отдельных вопросов по двигателю РД-1 в 1943 го</w:t>
      </w:r>
      <w:r w:rsidRPr="00D03F3E">
        <w:rPr>
          <w:rFonts w:ascii="Times New Roman" w:hAnsi="Times New Roman"/>
          <w:color w:val="000000" w:themeColor="text1"/>
          <w:sz w:val="16"/>
          <w:szCs w:val="16"/>
        </w:rPr>
        <w:softHyphen/>
        <w:t>ду выделили еще один Пе-2 № 11/189, но до летных испытаний ЖРД на нем так дело и не дошло. В итоге в 1944-м самолет восстановили до состояния серийной машины и сдали на летно-испытательную станцию за</w:t>
      </w:r>
      <w:r w:rsidRPr="00D03F3E">
        <w:rPr>
          <w:rFonts w:ascii="Times New Roman" w:hAnsi="Times New Roman"/>
          <w:color w:val="000000" w:themeColor="text1"/>
          <w:sz w:val="16"/>
          <w:szCs w:val="16"/>
        </w:rPr>
        <w:softHyphen/>
        <w:t>вода № 22 (11446).</w:t>
      </w:r>
    </w:p>
    <w:p w14:paraId="5C81AF7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6346C1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29 мая 1943 была пятая рулежка Гу-1 с отклоненными щитками на 15 гр. и подлет до 0.2 м. Ви был Фоменко (1458,152).</w:t>
      </w:r>
    </w:p>
    <w:p w14:paraId="5422EF91" w14:textId="77777777" w:rsidR="00531570" w:rsidRPr="00D03F3E" w:rsidRDefault="00531570" w:rsidP="00D03F3E">
      <w:pPr>
        <w:pStyle w:val="Iauiue"/>
        <w:jc w:val="both"/>
        <w:rPr>
          <w:color w:val="000000" w:themeColor="text1"/>
          <w:sz w:val="16"/>
          <w:szCs w:val="16"/>
        </w:rPr>
      </w:pPr>
    </w:p>
    <w:p w14:paraId="5B4D5F6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29 мая 1943 ГУ ИАС писало письмо N 607396 А.И.Ш. о том, что С.А.Л. не выдержал сроки установки ТК-3 на Ла-5 на 21 заводе, как это предусмотрено приказом 28с от 18 января 1943 (1779,35).</w:t>
      </w:r>
    </w:p>
    <w:p w14:paraId="42529298" w14:textId="77777777" w:rsidR="00531570" w:rsidRPr="00D03F3E" w:rsidRDefault="00531570" w:rsidP="00D03F3E">
      <w:pPr>
        <w:pStyle w:val="Iauiue"/>
        <w:jc w:val="both"/>
        <w:rPr>
          <w:color w:val="000000" w:themeColor="text1"/>
          <w:sz w:val="16"/>
          <w:szCs w:val="16"/>
        </w:rPr>
      </w:pPr>
    </w:p>
    <w:p w14:paraId="74CE9B52"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35298B48" w14:textId="77777777" w:rsidR="00531570" w:rsidRPr="00D03F3E" w:rsidRDefault="00531570" w:rsidP="00D03F3E">
      <w:pPr>
        <w:pStyle w:val="Iauiue"/>
        <w:jc w:val="both"/>
        <w:rPr>
          <w:iCs/>
          <w:color w:val="000000" w:themeColor="text1"/>
          <w:sz w:val="16"/>
          <w:szCs w:val="16"/>
        </w:rPr>
      </w:pPr>
    </w:p>
    <w:p w14:paraId="15D1119D"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29 мая 1943 вышло Постановление ГКО № 3450 О поставке дров из ресурсов Вятлага НКВД СССР на П квартал 1943 года. (7110, 112).</w:t>
      </w:r>
    </w:p>
    <w:p w14:paraId="109D8051" w14:textId="77777777" w:rsidR="00531570" w:rsidRPr="00D03F3E" w:rsidRDefault="00531570" w:rsidP="00D03F3E">
      <w:pPr>
        <w:pStyle w:val="Iauiue"/>
        <w:tabs>
          <w:tab w:val="left" w:pos="11199"/>
        </w:tabs>
        <w:jc w:val="both"/>
        <w:rPr>
          <w:color w:val="000000" w:themeColor="text1"/>
          <w:sz w:val="16"/>
          <w:szCs w:val="16"/>
        </w:rPr>
      </w:pPr>
    </w:p>
    <w:p w14:paraId="05505375"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29 мая 1943 вышло Распоряжение ГКО № 3451 [О продлении срока полномочий Жагелева И.И.* в обеспечении лесосплава до конца навигации.] (7110, 113).</w:t>
      </w:r>
    </w:p>
    <w:p w14:paraId="759E7389" w14:textId="77777777" w:rsidR="00531570" w:rsidRPr="00D03F3E" w:rsidRDefault="00531570" w:rsidP="00D03F3E">
      <w:pPr>
        <w:pStyle w:val="Iauiue"/>
        <w:tabs>
          <w:tab w:val="left" w:pos="11199"/>
        </w:tabs>
        <w:jc w:val="both"/>
        <w:rPr>
          <w:color w:val="000000" w:themeColor="text1"/>
          <w:sz w:val="16"/>
          <w:szCs w:val="16"/>
        </w:rPr>
      </w:pPr>
    </w:p>
    <w:p w14:paraId="5AC34C46"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29 мая 1943 вышло Распоряжение ГКО № 3452 О поставке имущества связи НКВД СССР. (7110, 114,115).</w:t>
      </w:r>
    </w:p>
    <w:p w14:paraId="1151FCDD" w14:textId="77777777" w:rsidR="00531570" w:rsidRPr="00D03F3E" w:rsidRDefault="00531570" w:rsidP="00D03F3E">
      <w:pPr>
        <w:pStyle w:val="Iauiue"/>
        <w:tabs>
          <w:tab w:val="left" w:pos="11199"/>
        </w:tabs>
        <w:jc w:val="both"/>
        <w:rPr>
          <w:color w:val="000000" w:themeColor="text1"/>
          <w:sz w:val="16"/>
          <w:szCs w:val="16"/>
        </w:rPr>
      </w:pPr>
    </w:p>
    <w:p w14:paraId="115E5F3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мая 1943 вышло Распоряжение ГКО № 3453. О поставке ГРУ ГШ КА автодвигателей и генераторов.РГАНИР, Фонд ГКО, д. 120, лл. 116 (11012).</w:t>
      </w:r>
    </w:p>
    <w:p w14:paraId="6C76710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6DBFDE8" w14:textId="77777777" w:rsidR="00715849"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10A85C44" w14:textId="77777777" w:rsidR="00715849" w:rsidRPr="00D03F3E" w:rsidRDefault="00715849" w:rsidP="00D03F3E">
      <w:pPr>
        <w:pStyle w:val="Iauiue"/>
        <w:jc w:val="both"/>
        <w:rPr>
          <w:iCs/>
          <w:color w:val="000000" w:themeColor="text1"/>
          <w:sz w:val="16"/>
          <w:szCs w:val="16"/>
        </w:rPr>
      </w:pPr>
    </w:p>
    <w:p w14:paraId="25E84BE9"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29 мая</w:t>
      </w:r>
      <w:r w:rsidRPr="00D03F3E">
        <w:rPr>
          <w:rFonts w:ascii="Times New Roman" w:hAnsi="Times New Roman"/>
          <w:color w:val="000000" w:themeColor="text1"/>
          <w:sz w:val="16"/>
          <w:szCs w:val="16"/>
        </w:rPr>
        <w:t xml:space="preserve"> в 1943 году утреннее сообщение Совинформбюро:</w:t>
      </w:r>
    </w:p>
    <w:p w14:paraId="5BB4EDC1"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29 мая на фронте ничего существенного не произошло.</w:t>
      </w:r>
    </w:p>
    <w:p w14:paraId="4711E339"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артиллеристы Н-ской части разрушили 7 вражеских дзотов и блиндажей, уничтожили орудие и 5 пулемётов противника. Группа снайперов, возглавляемая старшим сержантом т. Шумилиным, за два дня уничтожила 43 солдата и офицера противника. Разведчики тт. Чубченко, Глушенков, Савенков, Бозицкий, Перминов и Соломин за последние дни три раза ходили в разведку, истребили 30 гитлеровцев и захватили пленных. В районе Лисичанска наши подразделения атаковали противника и в результате рукопашной схватки выбили гитлеровцев из укреплённых позиций. Немцы два раза переходили в контратаки, но были отброшены. На поле боя осталось 80 вражеских трупов. Захвачены трофеи и пленные.</w:t>
      </w:r>
    </w:p>
    <w:p w14:paraId="1446E0F2"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огнём нашей артиллерии и миномётов рассеяно две роты вражеской пехоты, уничтожено 2 немецких орудия, разрушено 3 дзота, 4 блиндажа и 2 наблюдательных пункта противника.</w:t>
      </w:r>
    </w:p>
    <w:p w14:paraId="7E305237"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подразделения и снайперы истребили более 200 немецких солдат и офицеров. Огнём артиллерии и штурмовыми действиями авиации, подавлен огонь 22 артиллерийских и миномётных батарей, разрушено 12 дзотов и 10 землянок, уничтожено несколько автомашин и повозок противника с военными грузами.</w:t>
      </w:r>
    </w:p>
    <w:p w14:paraId="1ECF11ED"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наших лётчиков-истребителей под командованием Героя Советского Союза капитана Глинки встретилась с 10 немецкими самолётами «Мессершмитт-109» и двумя «Фокке-Вульф-190». В ожесточённом воздушном бою советские лётчики сбили 6 самолётов противника.</w:t>
      </w:r>
    </w:p>
    <w:p w14:paraId="08EF7403"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Витебской области, за полтора месяца совершил несколько налётов на вражеские гарнизоны и истребил более 300 немецко-фашистских оккупантов. Группа подрывников этого отряда в середине мая пустила под откос немецкий эшелон с горючим. Партизаны другого витебского отряда организовали крушение трёх воинских поездов противника. Разбито 3 паровоза, 12 вагонов с войсками и 10 платформ с автомашинами.</w:t>
      </w:r>
    </w:p>
    <w:p w14:paraId="6542526E"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Группе жителей гор. Днепропетровска удалось бежать из фашистского плена и перейти линию фронта. Они рассказали: «В городе царит мёртвая тишина. Много молодёжи и взрослых гитлеровцы насильно угнали на каторгу в Германию. От немецких пуль, от побоев, пыток и голода погибли тысячи советских граждан. Жители Днепропетровска с ужасом вспоминают расправу, которую чинили немцы на Пушкинском проспекте и Чичеринской улице. Но, находясь в фашистской неволе, жители Днепропетровска не сдаются. Советские люди мстят подлому врагу и вредят немцам всюду, где только можно».</w:t>
      </w:r>
    </w:p>
    <w:p w14:paraId="3C6140C5"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Греческие патриоты совершили налёт на немецкий аэродром, перебили охрану и подожгли несколько самолётов. Близ Аргоса партизаны, поддержанные местными жителями, разгромили итальянский отряд. В ожесточённой схватке убито более 40 итальянцев. В районе Амфиклеи рабочие-железнодорожники вывели из строя 8 паровозов, много вагонов и сожгли железнодорожный состав с горючим.» (14906).</w:t>
      </w:r>
    </w:p>
    <w:p w14:paraId="79FE943D" w14:textId="77777777" w:rsidR="00715849" w:rsidRPr="00D03F3E" w:rsidRDefault="00715849" w:rsidP="00D03F3E">
      <w:pPr>
        <w:spacing w:after="0" w:line="240" w:lineRule="auto"/>
        <w:jc w:val="both"/>
        <w:rPr>
          <w:rFonts w:ascii="Times New Roman" w:hAnsi="Times New Roman"/>
          <w:color w:val="000000" w:themeColor="text1"/>
          <w:sz w:val="16"/>
          <w:szCs w:val="16"/>
        </w:rPr>
      </w:pPr>
    </w:p>
    <w:p w14:paraId="3689DDB9"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29 мая</w:t>
      </w:r>
      <w:r w:rsidRPr="00D03F3E">
        <w:rPr>
          <w:rFonts w:ascii="Times New Roman" w:hAnsi="Times New Roman"/>
          <w:color w:val="000000" w:themeColor="text1"/>
          <w:sz w:val="16"/>
          <w:szCs w:val="16"/>
        </w:rPr>
        <w:t xml:space="preserve"> в 1943 году вечернее сообщение Совинформбюро:</w:t>
      </w:r>
    </w:p>
    <w:p w14:paraId="620BDBE5"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29 мая на Кубани, в районе северо-восточнее Новороссийска, продолжалась бои. На других участках фронта существенных изменений не произошло.</w:t>
      </w:r>
    </w:p>
    <w:p w14:paraId="7BFFCA49"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Нашей авиацией в Рижском заливе потоплен немецкий транспорт водоизмещением в 5.000 тонн.</w:t>
      </w:r>
    </w:p>
    <w:p w14:paraId="1F005A84"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мая частями нашей авиации на различных участках фронта уничтожено или повреждено не менее 15 немецких танков, до 60 автомашин с войсками и грузами, взорвано 4 склада боеприпасов, разбито несколько железнодорожных эшелонов, рассеяно и частью уничтожено до батальона пехоты противника.</w:t>
      </w:r>
    </w:p>
    <w:p w14:paraId="6B9D4780"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обстреливали позиции противника. Огнём артиллерии и пехотного оружия уничтожено более 200 немецких солдат и офицеров, разбито 5 пулемётов и подавлен огонь 4 артиллерийских батарей. Красноармейцы тт. Апарин и Процветухин, находясь в боевом охранении, заметили группу немецких солдат, пробиравшихся к нашим траншеям. Подпустив врага на близкое расстояние, наши бойцы пулемётным огнём уничтожили 16 гитлеровцев. Остальные немецкие солдаты быстро скрылись.</w:t>
      </w:r>
    </w:p>
    <w:p w14:paraId="0BCCF9A2"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советские подразделения вели бои местного значения. На одном участке наши бойцы захватили траншеи немцев и закрепились в них. Противник предпринял контратаку, но попал под перекрёстный пулемётный огонь, понёс большие потери и отступил. На поле боя подсчитано до 400 вражеских трупов.</w:t>
      </w:r>
    </w:p>
    <w:p w14:paraId="51916057"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зенитчики сбили 3 немецких самолёта.</w:t>
      </w:r>
    </w:p>
    <w:p w14:paraId="5129D50D"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Чугуева огнём артиллерии и миномётов разрушено 2 немецких дзота, уничтожено 2 орудия и несколько повозок с грузом. Огнём нашей зенитной артиллерии сбито 2 бомбардировщика противника. Экипаж одного самолёта захвачен в плен.</w:t>
      </w:r>
    </w:p>
    <w:p w14:paraId="4CDF3FB2"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миномётчики Н-ской гвардейской части уничтожили немецкую артиллерийскую батарею, разрушили 4 блиндажа, рассеяли и частью истребили до роты пехоты противника.</w:t>
      </w:r>
    </w:p>
    <w:p w14:paraId="2B9B5FB0"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лётчики-истребители сбили немецкий бомбардировщик и посадили на нашей территории другой самолёт противника. Лётчики захвачены в плен.</w:t>
      </w:r>
    </w:p>
    <w:p w14:paraId="02B2BC7B"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артиллерийским огнём разрушено 8 вражеских дзотов и блиндажей, взорван склад боеприпасов и разбито несколько железнодорожных вагонов с военным имуществом противника. Зенитчики Н-ской части сбили 5 вражеских самолётов.</w:t>
      </w:r>
    </w:p>
    <w:p w14:paraId="1DF5707C"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партизан отряда имени Молотова внезапно атаковала немецкое подразделение на одной из шоссейных дорог в Житомирской области. Патриоты истребили 40 вражеских солдат и офицеров. Украинские партизаны совершили налёт на железнодорожную станцию и, уничтожив немецкую охрану, освободили 120 советских граждан, которых гитлеровцы насильно угоняли на каторжные работы в Германию.</w:t>
      </w:r>
    </w:p>
    <w:p w14:paraId="6BE9088F"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Пленный ефрейтор 3 роты 309 полка 208 немецкой пехотной дивизии Вильгельм Бурмейстер рассказал: «В мартовских боях под Жиздрой наша дивизия была разбита и обескровлена. В 309 полку осталось всего около 200 человек, а 337 и 338 полки насчитывали по 70—90 солдат каждый. В апреле дивизия получила пополнение.Солдаты, прибывшие из тыла, говорят, что в Германии сейчас призывают всех, «ктоможет ходить и ползать». После зимних поражений старые солдаты, участвующие в войне с самого начала, теперь утратили боевой дух. Начиная войну, они верили,что за какие-нибудь 6—8 недель немецкая армия одержит победу. </w:t>
      </w:r>
      <w:r w:rsidRPr="00D03F3E">
        <w:rPr>
          <w:rFonts w:ascii="Times New Roman" w:hAnsi="Times New Roman"/>
          <w:color w:val="000000" w:themeColor="text1"/>
          <w:sz w:val="16"/>
          <w:szCs w:val="16"/>
        </w:rPr>
        <w:lastRenderedPageBreak/>
        <w:t>Теперь слова «молниеносная война», «молниеносная победа» изъяты из употребления. Солдаты не питают никаких иллюзий насчёт будущего. Многие понимают, что о победе Германии теперь уже не может быть и речи» (14906).</w:t>
      </w:r>
    </w:p>
    <w:p w14:paraId="65FA39AD" w14:textId="77777777" w:rsidR="00715849" w:rsidRPr="00D03F3E" w:rsidRDefault="00715849" w:rsidP="00D03F3E">
      <w:pPr>
        <w:spacing w:after="0" w:line="240" w:lineRule="auto"/>
        <w:jc w:val="both"/>
        <w:rPr>
          <w:rFonts w:ascii="Times New Roman" w:hAnsi="Times New Roman"/>
          <w:color w:val="000000" w:themeColor="text1"/>
          <w:sz w:val="16"/>
          <w:szCs w:val="16"/>
        </w:rPr>
      </w:pPr>
    </w:p>
    <w:p w14:paraId="4B83990F"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1293ADEB" w14:textId="77777777" w:rsidR="00531570" w:rsidRPr="00D03F3E" w:rsidRDefault="00531570" w:rsidP="00D03F3E">
      <w:pPr>
        <w:pStyle w:val="Iauiue"/>
        <w:jc w:val="both"/>
        <w:rPr>
          <w:iCs/>
          <w:color w:val="000000" w:themeColor="text1"/>
          <w:sz w:val="16"/>
          <w:szCs w:val="16"/>
        </w:rPr>
      </w:pPr>
    </w:p>
    <w:p w14:paraId="4683BF3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мая 1943 г. министр вооружения А.Шпеер, выступая в одном из горо</w:t>
      </w:r>
      <w:r w:rsidRPr="00D03F3E">
        <w:rPr>
          <w:rFonts w:ascii="Times New Roman" w:hAnsi="Times New Roman"/>
          <w:color w:val="000000" w:themeColor="text1"/>
          <w:sz w:val="16"/>
          <w:szCs w:val="16"/>
        </w:rPr>
        <w:softHyphen/>
        <w:t>дов Рура, публично заявил о создании в Германии «оружия возмездия», кото</w:t>
      </w:r>
      <w:r w:rsidRPr="00D03F3E">
        <w:rPr>
          <w:rFonts w:ascii="Times New Roman" w:hAnsi="Times New Roman"/>
          <w:color w:val="000000" w:themeColor="text1"/>
          <w:sz w:val="16"/>
          <w:szCs w:val="16"/>
        </w:rPr>
        <w:softHyphen/>
        <w:t>рое вскоре обрушится на Англию. Но окончательно V-1 поступили на воо</w:t>
      </w:r>
      <w:r w:rsidRPr="00D03F3E">
        <w:rPr>
          <w:rFonts w:ascii="Times New Roman" w:hAnsi="Times New Roman"/>
          <w:color w:val="000000" w:themeColor="text1"/>
          <w:sz w:val="16"/>
          <w:szCs w:val="16"/>
        </w:rPr>
        <w:softHyphen/>
        <w:t>ружение вермахта лишь летом 1944 г. после длительного периода всевозмож</w:t>
      </w:r>
      <w:r w:rsidRPr="00D03F3E">
        <w:rPr>
          <w:rFonts w:ascii="Times New Roman" w:hAnsi="Times New Roman"/>
          <w:color w:val="000000" w:themeColor="text1"/>
          <w:sz w:val="16"/>
          <w:szCs w:val="16"/>
        </w:rPr>
        <w:softHyphen/>
        <w:t>ных доработок и исправлений в конст</w:t>
      </w:r>
      <w:r w:rsidRPr="00D03F3E">
        <w:rPr>
          <w:rFonts w:ascii="Times New Roman" w:hAnsi="Times New Roman"/>
          <w:color w:val="000000" w:themeColor="text1"/>
          <w:sz w:val="16"/>
          <w:szCs w:val="16"/>
        </w:rPr>
        <w:softHyphen/>
        <w:t>рукции самолета-снаряда (10791).</w:t>
      </w:r>
    </w:p>
    <w:p w14:paraId="474AF58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21B9E20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29 мая 1943 китайцы начали контрнаступление против японцев на границе Hupeh-Hunan при поддержке ВВС США (2262).</w:t>
      </w:r>
    </w:p>
    <w:p w14:paraId="73212A44" w14:textId="77777777" w:rsidR="00531570" w:rsidRPr="00D03F3E" w:rsidRDefault="00531570" w:rsidP="00D03F3E">
      <w:pPr>
        <w:pStyle w:val="Iauiue"/>
        <w:jc w:val="both"/>
        <w:rPr>
          <w:color w:val="000000" w:themeColor="text1"/>
          <w:sz w:val="16"/>
          <w:szCs w:val="16"/>
        </w:rPr>
      </w:pPr>
    </w:p>
    <w:p w14:paraId="5A5F58FB"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May 29th, 1943: The RAF launches a major raid (719 bombers) against Wuppertal, dropping 1,900 tons of bombs and killing 2,450 civilians (3819).</w:t>
      </w:r>
    </w:p>
    <w:p w14:paraId="16E56CC7" w14:textId="77777777" w:rsidR="00531570" w:rsidRPr="00D03F3E" w:rsidRDefault="00531570" w:rsidP="00D03F3E">
      <w:pPr>
        <w:pStyle w:val="Iauiue"/>
        <w:jc w:val="both"/>
        <w:rPr>
          <w:color w:val="000000" w:themeColor="text1"/>
          <w:sz w:val="16"/>
          <w:szCs w:val="16"/>
          <w:lang w:val="en-US"/>
        </w:rPr>
      </w:pPr>
    </w:p>
    <w:p w14:paraId="7A8ACEB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29 мая 1943 Королевские ВВС силами 719 бомбардировщиков выполнили налет на Вуппертал, сбросив 1900 т бомб и убив 2450 гражданских (3819).</w:t>
      </w:r>
    </w:p>
    <w:p w14:paraId="3A29BDDE" w14:textId="77777777" w:rsidR="00531570" w:rsidRPr="00D03F3E" w:rsidRDefault="00531570" w:rsidP="00D03F3E">
      <w:pPr>
        <w:pStyle w:val="Iauiue"/>
        <w:jc w:val="both"/>
        <w:rPr>
          <w:color w:val="000000" w:themeColor="text1"/>
          <w:sz w:val="16"/>
          <w:szCs w:val="16"/>
        </w:rPr>
      </w:pPr>
    </w:p>
    <w:p w14:paraId="1F57C042" w14:textId="77777777" w:rsidR="0047107F" w:rsidRPr="00D03F3E" w:rsidRDefault="0047107F"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29 мая 1943 торговый авианосец, или «MAC-корабль» выходит в море с конвоем в первый раз - MV Empire MacAlpine слудует из Соединенного Королевства с конвоем ONS 59 направляющегося в Галифакс, Новая Шотландия, Канада . На борту четыре самолета Swordfish из 836-й эскадрильи (29376).</w:t>
      </w:r>
    </w:p>
    <w:p w14:paraId="04775FB3" w14:textId="77777777" w:rsidR="0047107F" w:rsidRPr="00D03F3E" w:rsidRDefault="0047107F" w:rsidP="00D03F3E">
      <w:pPr>
        <w:spacing w:after="0" w:line="240" w:lineRule="auto"/>
        <w:jc w:val="both"/>
        <w:rPr>
          <w:rFonts w:ascii="Times New Roman" w:hAnsi="Times New Roman"/>
          <w:color w:val="0070C0"/>
          <w:sz w:val="16"/>
          <w:szCs w:val="16"/>
        </w:rPr>
      </w:pPr>
    </w:p>
    <w:p w14:paraId="6E65B0B5" w14:textId="77777777" w:rsidR="0009698D" w:rsidRPr="00D03F3E" w:rsidRDefault="0009698D"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4E38FF66" w14:textId="77777777" w:rsidR="0009698D" w:rsidRPr="00D03F3E" w:rsidRDefault="0009698D" w:rsidP="00D03F3E">
      <w:pPr>
        <w:pStyle w:val="Iauiue"/>
        <w:jc w:val="both"/>
        <w:rPr>
          <w:iCs/>
          <w:color w:val="000000" w:themeColor="text1"/>
          <w:sz w:val="16"/>
          <w:szCs w:val="16"/>
        </w:rPr>
      </w:pPr>
    </w:p>
    <w:p w14:paraId="7BAAB867" w14:textId="77777777" w:rsidR="0009698D" w:rsidRPr="00D03F3E" w:rsidRDefault="0009698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 30 мая 1943 г. на заводе №23 в Москве изготовили опытную партию деревянные бензобаков для дальнего бомбардировщика Ил-4 и передали их в НИИ ВВС для проведения государственных испытаний (17733).</w:t>
      </w:r>
    </w:p>
    <w:p w14:paraId="5F714B24" w14:textId="77777777" w:rsidR="0009698D" w:rsidRPr="00D03F3E" w:rsidRDefault="0009698D" w:rsidP="00D03F3E">
      <w:pPr>
        <w:spacing w:after="0" w:line="240" w:lineRule="auto"/>
        <w:jc w:val="both"/>
        <w:rPr>
          <w:rFonts w:ascii="Times New Roman" w:hAnsi="Times New Roman"/>
          <w:color w:val="000000" w:themeColor="text1"/>
          <w:sz w:val="16"/>
          <w:szCs w:val="16"/>
        </w:rPr>
      </w:pPr>
    </w:p>
    <w:p w14:paraId="185C8A82"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313A5C51" w14:textId="77777777" w:rsidR="00531570" w:rsidRPr="00D03F3E" w:rsidRDefault="00531570" w:rsidP="00D03F3E">
      <w:pPr>
        <w:pStyle w:val="Iauiue"/>
        <w:jc w:val="both"/>
        <w:rPr>
          <w:iCs/>
          <w:color w:val="000000" w:themeColor="text1"/>
          <w:sz w:val="16"/>
          <w:szCs w:val="16"/>
        </w:rPr>
      </w:pPr>
    </w:p>
    <w:p w14:paraId="26F46705"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30 мая 1943 вышло Распоряжение ГКО № 3454 [О взаимной передаче 90 рабочих ГУ по кислороду при СНК СССР и ГАБТУ КА.] (7110, 117,118-119).</w:t>
      </w:r>
    </w:p>
    <w:p w14:paraId="0920EB42" w14:textId="77777777" w:rsidR="00531570" w:rsidRPr="00D03F3E" w:rsidRDefault="00531570" w:rsidP="00D03F3E">
      <w:pPr>
        <w:pStyle w:val="Iauiue"/>
        <w:tabs>
          <w:tab w:val="left" w:pos="11199"/>
        </w:tabs>
        <w:jc w:val="both"/>
        <w:rPr>
          <w:color w:val="000000" w:themeColor="text1"/>
          <w:sz w:val="16"/>
          <w:szCs w:val="16"/>
        </w:rPr>
      </w:pPr>
    </w:p>
    <w:p w14:paraId="4EEDFE8B"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1B4B03D9" w14:textId="77777777" w:rsidR="00531570" w:rsidRPr="00D03F3E" w:rsidRDefault="00531570" w:rsidP="00D03F3E">
      <w:pPr>
        <w:pStyle w:val="Iauiue"/>
        <w:jc w:val="both"/>
        <w:rPr>
          <w:iCs/>
          <w:color w:val="000000" w:themeColor="text1"/>
          <w:sz w:val="16"/>
          <w:szCs w:val="16"/>
        </w:rPr>
      </w:pPr>
    </w:p>
    <w:p w14:paraId="27DF5E25"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30 мая</w:t>
      </w:r>
      <w:r w:rsidRPr="00D03F3E">
        <w:rPr>
          <w:rFonts w:ascii="Times New Roman" w:hAnsi="Times New Roman"/>
          <w:color w:val="000000" w:themeColor="text1"/>
          <w:sz w:val="16"/>
          <w:szCs w:val="16"/>
        </w:rPr>
        <w:t xml:space="preserve"> в 1943 году утреннее сообщение Совинформбюро:</w:t>
      </w:r>
    </w:p>
    <w:p w14:paraId="3F2B81C4"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30 мая на фронте ничего существенного не произошло.</w:t>
      </w:r>
    </w:p>
    <w:p w14:paraId="031E0B42"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артиллеристы Н-ской части выдвинули орудия на открытые позиции и обстреляли укрепления противника. Разбито 3 немецких дзота и 2 блиндажа, уничтожено несколько автомашин и до 50 гитлеровцев. Снайпер т.Бекчанов за десять дней истребил 16 немцев. Снайпер т. Согрин за три дня уничтожил 9 гитлеровцев.</w:t>
      </w:r>
    </w:p>
    <w:p w14:paraId="32A2884B"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огнём артиллерии уничтожено до взвода гитлеровцев, 2 орудия, 7 автомашин и несколько повозок с грузами. Миномётчики Н-ской части рассеяли и частью уничтожили до роты немецкой пехоты, накапливавшейся в одной балке.</w:t>
      </w:r>
    </w:p>
    <w:p w14:paraId="20536A42"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одиннадцать разведчиков под командованием лейтенанта Полякова ночью проникли в расположение противника. Наши бойцы истребили свыше 40 немцев и, захватив пленных, благополучно вернулись в свою часть. Сапёры подразделения, где командиром т. Огасюк, пятьдесят раз ходили в тыл врага и установили там свыше 20 минных полей.</w:t>
      </w:r>
    </w:p>
    <w:p w14:paraId="3B203B9F"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огнём нашей артиллерии разрушено 9 немецких дзотов и блиндажей, взорван склад боеприпасов, разбиты 3 железнодорожных вагона и паровоз, уничтожено 6 автомашин и 8 повозок с грузами. Зенитчики Н-ской части сбили 3 вражеских самолёта.</w:t>
      </w:r>
    </w:p>
    <w:p w14:paraId="5E9C0DD7"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подразделения уничтожили свыше 40 немецких автомашин и повозок, разрушили 8 дзотов и 14 блиндажей. Снайперы Н-ского соединения в течение дня истребили 107 гитлеровцев.</w:t>
      </w:r>
    </w:p>
    <w:p w14:paraId="23CBCB19"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подступах к Ленинграду нашими летчиками и огнём зенитной артиллерии сбито 20 немецких самолётов.</w:t>
      </w:r>
    </w:p>
    <w:p w14:paraId="5C3B3753"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Полесской области, разгромил полицейские гарнизоны в двух населённых пунктах. Уничтожено 26 гитлеровцев. Партизаны этого же отряда освободили из концентрационного лагеря 180 советских граждан, которых немцы хотели насильно угнать в рабство в Германию. В Барановичской области советские патриоты взорвали 2 немецких эшелона с автомашинами и другими военными грузами. Разбиты паровоз и 26 платформ. Движение поездов на этом участке железной дороги было приостановлено на трое суток.</w:t>
      </w:r>
    </w:p>
    <w:p w14:paraId="66C662A9"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участке Волховского фронта, в роще «3уб», наши подразделения 18 мая захватили позиции противника. У немецкого блиндажа обнаружены трупы четырёх советских бойцов. Как установило следствие, эти бойцы были захвачены в плен и зверски замучены немцами. Труп красноармейца Ямпольского В.Е., уроженца города Иркутска, носит многочисленные следы ударов тупым предметом, а на шее у него обрывок верёвки, затянутой в петлю. Труп ефрейтора Ельченко П.Н., уроженца села Андреевское, Смоленской области, весь исколот штыками. Труп ефрейтора Глазунова Ф. М., уроженца города Троицка, носит следы пыток огнём. Труп красноармейца Шадрина А.Л., уроженца Черевковского района, Архангельской области, также растерзан. Советские воины поклялись над трупами своих товарищей отплатить немецко-фашистским злодеям за их кровавые преступления.» (14907).</w:t>
      </w:r>
    </w:p>
    <w:p w14:paraId="63C3E2BB" w14:textId="77777777" w:rsidR="00715849" w:rsidRPr="00D03F3E" w:rsidRDefault="00715849" w:rsidP="00D03F3E">
      <w:pPr>
        <w:spacing w:after="0" w:line="240" w:lineRule="auto"/>
        <w:jc w:val="both"/>
        <w:rPr>
          <w:rFonts w:ascii="Times New Roman" w:hAnsi="Times New Roman"/>
          <w:color w:val="000000" w:themeColor="text1"/>
          <w:sz w:val="16"/>
          <w:szCs w:val="16"/>
        </w:rPr>
      </w:pPr>
    </w:p>
    <w:p w14:paraId="6CDE0B01"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30 мая</w:t>
      </w:r>
      <w:r w:rsidRPr="00D03F3E">
        <w:rPr>
          <w:rFonts w:ascii="Times New Roman" w:hAnsi="Times New Roman"/>
          <w:color w:val="000000" w:themeColor="text1"/>
          <w:sz w:val="16"/>
          <w:szCs w:val="16"/>
        </w:rPr>
        <w:t xml:space="preserve"> в 1943 году вечернее сообщение Совинформбюро:</w:t>
      </w:r>
    </w:p>
    <w:p w14:paraId="1D5914DC"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30 мая на Кубани, в районе северо-восточнее Новороссийска, продолжались бои. На других участках фронта существенных изменений не произошло.</w:t>
      </w:r>
    </w:p>
    <w:p w14:paraId="7D81FA2F"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кораблями в Баренцевом море потоплен танкер противника.</w:t>
      </w:r>
    </w:p>
    <w:p w14:paraId="7E67DB1A"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23 по 29 мая включительно, в воздушных боях, на аэродромах, огнём зенитной артиллерии и войск уничтожено 456 немецких самолётов. Наши потери за это же время — 118 самолётов.</w:t>
      </w:r>
    </w:p>
    <w:p w14:paraId="714D625D"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мая частями нашей авиации на различных участках фронта уничтожено или повреждено 40 немецких автомашин с войсками и грузами, взорвано 2 склада боеприпасов, подавлен огонь 10 артиллерийских батарей, разбит железнодорожный состав, рассеяно и частью уничтожено до двух рот пехоты противника.</w:t>
      </w:r>
    </w:p>
    <w:p w14:paraId="40C3759B"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истребили до 300 немецких солдат и офицеров. Разведывательный отряд Н-ской части под прикрытием артиллерийского огня ворвался в опорный пункт противника. В уличном бою советские бойцы истребили свыше 100 гитлеровцев и захватили пленных. Успешно выполнив задание, разведчики отошли на исходные позиции.</w:t>
      </w:r>
    </w:p>
    <w:p w14:paraId="2583A3D6"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наши подразделения вели бои местного значения. На одном участке советские бойцы захватили вражеские траншеи и дзоты, расположенные на высоте. В борьбе за эту высоту истреблено 160 немецких солдат и офицеров. На поле боя подобрано много оружия, брошенного немцами. Уничтожены 5 орудий, миномётная батарея и 26 пулемётов противника. Взяты пленные.</w:t>
      </w:r>
    </w:p>
    <w:p w14:paraId="46310B21"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огнём нашей артиллерии разрушено 5 дзотов, 6 блиндажей и 2 наблюдательных пункта, взорван склад с боеприпасами, подавлен огонь 20 артиллерийских и миномётных батарей противника.</w:t>
      </w:r>
    </w:p>
    <w:p w14:paraId="6284C847"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артиллеристы Н-ской части совершили огневой налёт на обоз противника и уничтожили 42 подводы с различными грузами.</w:t>
      </w:r>
    </w:p>
    <w:p w14:paraId="1B043D16"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Огнём нашей зенитной артиллерии сбито 4 немецких самолёта.</w:t>
      </w:r>
    </w:p>
    <w:p w14:paraId="0CA8410C"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партизан из отряда, действующего в одном из районов Смоленскойобласти, в ночь на 14 мая напала на немецкий гарнизон. Партизаны истребили 35 вражеских солдат и офицеров, сожгли казарму, караульное помещение, уничтожили 9 автомашин и подожгли 4 воинских склада. В эту же ночь другая группа партизан ворвалась на железнодорожную станцию, перебила охрану и разрушила станционные пути. На другой день немецкие власти направили в погоню за партизанами карательную экспедицию. Советские патриоты в лесу вступили в бой с карателями, убили 47 немцев и захватили 7 пленных.</w:t>
      </w:r>
    </w:p>
    <w:p w14:paraId="2DD42AD9"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обер-ефрейтор 4 роты 487 полка 267 немецкой пехотной дивизии Карл Бомюллер рассказал: «Поражение немецко-итальянских войск в Тунисе произвело на солдат нашего полка ошеломляющее впечатление. Шесть месяцев нам говорили, что отступление Роммеля — это искусный военный манёвр. B газетах писали, что Роммель заманит англичан в расставленную для них ловушку. Ещё 4 мая фельдфебель Бич, ссылаясь на беседу с командиром роты, заявил, что немецкие дивизии никогда не уйдут из Северной Африки и не отдадут Туниса. Через несколько дней офицеры вынуждены были объявить, что немцы и итальянцы в Тунисе прекратили сопротивлениеи сдались в плен. Это сообщение мы встретили гробовым молчанием. Позднее солдатыв тесном кругу, обсуждая положение, говорили, что в конце концов и другие немецкие армии ожидает такой же конец».</w:t>
      </w:r>
    </w:p>
    <w:p w14:paraId="3F7C973B"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За последнее время отмечается рост дезертирства из немецкой армии. Недавно в городе Запорожье под усиленным конвоем эсэсовцев доставлены 2 тысячи пойманных немецких дезертиров. На руках у них были надеты кандалы. В Днепропетровской военной тюрьме находится свыше 600 дезертиров, задержанных в мае месяце. B </w:t>
      </w:r>
      <w:r w:rsidRPr="00D03F3E">
        <w:rPr>
          <w:rFonts w:ascii="Times New Roman" w:hAnsi="Times New Roman"/>
          <w:color w:val="000000" w:themeColor="text1"/>
          <w:sz w:val="16"/>
          <w:szCs w:val="16"/>
        </w:rPr>
        <w:lastRenderedPageBreak/>
        <w:t>Сталине начальник немецкого гарнизона издал приказ, в котором угрожает смертной казнью местным жителям, укрывающим немецких и румынских дезертиров. В Таганроге ежедневно по радио объявляются фамилии и отличительные приметы немецких солдат, сбежавших из своих частей.» (14907).</w:t>
      </w:r>
    </w:p>
    <w:p w14:paraId="29C28874" w14:textId="77777777" w:rsidR="00715849" w:rsidRPr="00D03F3E" w:rsidRDefault="00715849" w:rsidP="00D03F3E">
      <w:pPr>
        <w:spacing w:after="0" w:line="240" w:lineRule="auto"/>
        <w:jc w:val="both"/>
        <w:rPr>
          <w:rFonts w:ascii="Times New Roman" w:hAnsi="Times New Roman"/>
          <w:color w:val="000000" w:themeColor="text1"/>
          <w:sz w:val="16"/>
          <w:szCs w:val="16"/>
        </w:rPr>
      </w:pPr>
    </w:p>
    <w:p w14:paraId="26F991B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30 мая 1943 6 Ил-2 47-го </w:t>
      </w:r>
      <w:r w:rsidRPr="00D03F3E">
        <w:rPr>
          <w:iCs/>
          <w:color w:val="000000" w:themeColor="text1"/>
          <w:sz w:val="16"/>
          <w:szCs w:val="16"/>
        </w:rPr>
        <w:t>шап</w:t>
      </w:r>
      <w:r w:rsidRPr="00D03F3E">
        <w:rPr>
          <w:color w:val="000000" w:themeColor="text1"/>
          <w:sz w:val="16"/>
          <w:szCs w:val="16"/>
        </w:rPr>
        <w:t xml:space="preserve"> (ведущий -комэск м-р В.Х.Кунях) в сопровождении 8 Як-1 атаковали у Анапы на удалении 2-3 км от берега 3 БДБ с боезапасом и войсками, прикрытых 8 Bf 109 и 12 Fw 190. Прямыми попаданиями бомб и PC потоплены две БДБ. Третья БДБ по</w:t>
      </w:r>
      <w:r w:rsidRPr="00D03F3E">
        <w:rPr>
          <w:color w:val="000000" w:themeColor="text1"/>
          <w:sz w:val="16"/>
          <w:szCs w:val="16"/>
        </w:rPr>
        <w:softHyphen/>
        <w:t>лучила повреждения, накренилась и по</w:t>
      </w:r>
      <w:r w:rsidRPr="00D03F3E">
        <w:rPr>
          <w:color w:val="000000" w:themeColor="text1"/>
          <w:sz w:val="16"/>
          <w:szCs w:val="16"/>
        </w:rPr>
        <w:softHyphen/>
        <w:t>теряла ход. На подходе к цели и во вре</w:t>
      </w:r>
      <w:r w:rsidRPr="00D03F3E">
        <w:rPr>
          <w:color w:val="000000" w:themeColor="text1"/>
          <w:sz w:val="16"/>
          <w:szCs w:val="16"/>
        </w:rPr>
        <w:softHyphen/>
        <w:t>мя атаки Ил-2 подверглись сильному зенитному огню с БДБ и атакам немец</w:t>
      </w:r>
      <w:r w:rsidRPr="00D03F3E">
        <w:rPr>
          <w:color w:val="000000" w:themeColor="text1"/>
          <w:sz w:val="16"/>
          <w:szCs w:val="16"/>
        </w:rPr>
        <w:softHyphen/>
        <w:t>ких истребителей. От прямого попада</w:t>
      </w:r>
      <w:r w:rsidRPr="00D03F3E">
        <w:rPr>
          <w:color w:val="000000" w:themeColor="text1"/>
          <w:sz w:val="16"/>
          <w:szCs w:val="16"/>
        </w:rPr>
        <w:softHyphen/>
        <w:t xml:space="preserve">ния зенитного снаряда один Ил-2 упал в районе конвоя. "Яки" 6-го </w:t>
      </w:r>
      <w:r w:rsidRPr="00D03F3E">
        <w:rPr>
          <w:iCs/>
          <w:color w:val="000000" w:themeColor="text1"/>
          <w:sz w:val="16"/>
          <w:szCs w:val="16"/>
        </w:rPr>
        <w:t>гиап</w:t>
      </w:r>
      <w:r w:rsidRPr="00D03F3E">
        <w:rPr>
          <w:color w:val="000000" w:themeColor="text1"/>
          <w:sz w:val="16"/>
          <w:szCs w:val="16"/>
        </w:rPr>
        <w:t xml:space="preserve"> не смог</w:t>
      </w:r>
      <w:r w:rsidRPr="00D03F3E">
        <w:rPr>
          <w:color w:val="000000" w:themeColor="text1"/>
          <w:sz w:val="16"/>
          <w:szCs w:val="16"/>
        </w:rPr>
        <w:softHyphen/>
        <w:t>ли прикрыть своих подопечных, и часть истребителей Люфтваффе прорвалась к штурмовикам. В завязавшемся жестоком бою воздушный стрелок ст. краснофло</w:t>
      </w:r>
      <w:r w:rsidRPr="00D03F3E">
        <w:rPr>
          <w:color w:val="000000" w:themeColor="text1"/>
          <w:sz w:val="16"/>
          <w:szCs w:val="16"/>
        </w:rPr>
        <w:softHyphen/>
        <w:t>тец Н.И.Орлов подбил один "Мессершмитт", который, сильно дымя, ушел со снижением в сторону Анапы. Один "Фоккер" завалил из "Березина" мл. л-т Ф.П.Удовиченко, летевший за воздушно</w:t>
      </w:r>
      <w:r w:rsidRPr="00D03F3E">
        <w:rPr>
          <w:color w:val="000000" w:themeColor="text1"/>
          <w:sz w:val="16"/>
          <w:szCs w:val="16"/>
        </w:rPr>
        <w:softHyphen/>
        <w:t>го стрелка у комзвена И.И.Шкарупило. Однако паре Bf109 удалось сосредото</w:t>
      </w:r>
      <w:r w:rsidRPr="00D03F3E">
        <w:rPr>
          <w:color w:val="000000" w:themeColor="text1"/>
          <w:sz w:val="16"/>
          <w:szCs w:val="16"/>
        </w:rPr>
        <w:softHyphen/>
        <w:t>ченным огнем поджечь их Ил-2. С боль</w:t>
      </w:r>
      <w:r w:rsidRPr="00D03F3E">
        <w:rPr>
          <w:color w:val="000000" w:themeColor="text1"/>
          <w:sz w:val="16"/>
          <w:szCs w:val="16"/>
        </w:rPr>
        <w:softHyphen/>
        <w:t>шим трудом раненый Шкарупило дотя</w:t>
      </w:r>
      <w:r w:rsidRPr="00D03F3E">
        <w:rPr>
          <w:color w:val="000000" w:themeColor="text1"/>
          <w:sz w:val="16"/>
          <w:szCs w:val="16"/>
        </w:rPr>
        <w:softHyphen/>
        <w:t>нул до своего аэродрома и посадил го</w:t>
      </w:r>
      <w:r w:rsidRPr="00D03F3E">
        <w:rPr>
          <w:color w:val="000000" w:themeColor="text1"/>
          <w:sz w:val="16"/>
          <w:szCs w:val="16"/>
        </w:rPr>
        <w:softHyphen/>
        <w:t>рящий самолет на фюзеляж. Экипаж удалось спасти и отправить в госпиталь. С боевого задания не вернулись 3 эки</w:t>
      </w:r>
      <w:r w:rsidRPr="00D03F3E">
        <w:rPr>
          <w:color w:val="000000" w:themeColor="text1"/>
          <w:sz w:val="16"/>
          <w:szCs w:val="16"/>
        </w:rPr>
        <w:softHyphen/>
        <w:t>пажа в составе: комзвена к-на А.В.Лео</w:t>
      </w:r>
      <w:r w:rsidRPr="00D03F3E">
        <w:rPr>
          <w:color w:val="000000" w:themeColor="text1"/>
          <w:sz w:val="16"/>
          <w:szCs w:val="16"/>
        </w:rPr>
        <w:softHyphen/>
        <w:t>нова и воздушного стрелка с-та Е.М. Ночевного, мл. л-та И.В.Сердитова и воздушного стрелка краснофлотца М.Г.Яценко, пилота краснофлотца Г.И. Долженко и воздушного стрелка с-та Г.Т.Карманова.</w:t>
      </w:r>
    </w:p>
    <w:p w14:paraId="4F57456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Немецкие документы подтверждают потопление в этот день штурмовиками 47-го </w:t>
      </w:r>
      <w:r w:rsidRPr="00D03F3E">
        <w:rPr>
          <w:iCs/>
          <w:color w:val="000000" w:themeColor="text1"/>
          <w:sz w:val="16"/>
          <w:szCs w:val="16"/>
        </w:rPr>
        <w:t>шап</w:t>
      </w:r>
      <w:r w:rsidRPr="00D03F3E">
        <w:rPr>
          <w:color w:val="000000" w:themeColor="text1"/>
          <w:sz w:val="16"/>
          <w:szCs w:val="16"/>
        </w:rPr>
        <w:t xml:space="preserve"> у Анапы только одной БДБ F332A из состава конвоя "Geleit-99" (ко</w:t>
      </w:r>
      <w:r w:rsidRPr="00D03F3E">
        <w:rPr>
          <w:color w:val="000000" w:themeColor="text1"/>
          <w:sz w:val="16"/>
          <w:szCs w:val="16"/>
        </w:rPr>
        <w:softHyphen/>
        <w:t>ординаты - 44°53' с.ш. 37° 18' в.д.) (6467).</w:t>
      </w:r>
    </w:p>
    <w:p w14:paraId="620EAEA0" w14:textId="77777777" w:rsidR="00531570" w:rsidRPr="00D03F3E" w:rsidRDefault="00531570" w:rsidP="00D03F3E">
      <w:pPr>
        <w:pStyle w:val="Iauiue"/>
        <w:jc w:val="both"/>
        <w:rPr>
          <w:color w:val="000000" w:themeColor="text1"/>
          <w:sz w:val="16"/>
          <w:szCs w:val="16"/>
        </w:rPr>
      </w:pPr>
    </w:p>
    <w:p w14:paraId="684E160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ночь на 30 мая 1943 г. вышедшие из Геленджика ТКА №25, 76, 80, 85, 86, 96 и 106 выпустили 68 реактивных снарядов по аэродрому в Анапе, где возникли два пожара и произошел сильный взрыв. Причем это был не единственный подобный случай (6002).</w:t>
      </w:r>
    </w:p>
    <w:p w14:paraId="16AFE595" w14:textId="77777777" w:rsidR="00531570" w:rsidRPr="00D03F3E" w:rsidRDefault="00531570" w:rsidP="00D03F3E">
      <w:pPr>
        <w:pStyle w:val="Iauiue"/>
        <w:jc w:val="both"/>
        <w:rPr>
          <w:color w:val="000000" w:themeColor="text1"/>
          <w:sz w:val="16"/>
          <w:szCs w:val="16"/>
        </w:rPr>
      </w:pPr>
    </w:p>
    <w:p w14:paraId="7507533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 мая 1943 СВГК приказала сформировать первые штурмовые инженерно-саперные бригады (ШИСБы) на основе 15 инженерно-саперных соединений - из опытных солдат не старше 40 для прорыва укреплений (3521).</w:t>
      </w:r>
    </w:p>
    <w:p w14:paraId="350FD612" w14:textId="77777777" w:rsidR="00531570" w:rsidRPr="00D03F3E" w:rsidRDefault="00531570" w:rsidP="00D03F3E">
      <w:pPr>
        <w:pStyle w:val="Iauiue"/>
        <w:jc w:val="both"/>
        <w:rPr>
          <w:color w:val="000000" w:themeColor="text1"/>
          <w:sz w:val="16"/>
          <w:szCs w:val="16"/>
        </w:rPr>
      </w:pPr>
    </w:p>
    <w:p w14:paraId="3B9444D6" w14:textId="77777777" w:rsidR="00715849" w:rsidRPr="00D03F3E" w:rsidRDefault="0071584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30 мая</w:t>
      </w:r>
      <w:r w:rsidRPr="00D03F3E">
        <w:rPr>
          <w:rFonts w:ascii="Times New Roman" w:hAnsi="Times New Roman"/>
          <w:color w:val="000000" w:themeColor="text1"/>
          <w:sz w:val="16"/>
          <w:szCs w:val="16"/>
        </w:rPr>
        <w:t xml:space="preserve"> в 1943 году к этой дате Ставка Верховного Главнокомандования приказала сформировать первые 15 штурмовых инженерно-саперных бригад резерва Верховного Главнокомандования (ШИСБр РВГК). Впоследствии, весной 1944 были сформированы еще пять моторизованых штурмовых инженерно-саперных бригад. Эти части были своего рода элитой советской пехоты, выполняя задачи по штурму укрепленных пунктов и прорыву сильно укрепленной обороны противника. Первые части были переформированы из инженерно-саперных подразделений. Из частей были отчислены все бойцы старше 40 лет и ограниченно годные. ШИСБр довольно щедро (по сравнению с линейными частями) снабжались ручным автоматическим оружием, снайперскими винтовками, гранатами, а в последствии огнеметами и фаустпатронами (сбор и распределение трофейных "фаустов" на заключительном этапе Войны были организованы весьма четко), в снаряжение бойцов входили стальные пуленепробиваемые нагрудники. Однако, ШИСБр не имели тяжелого стрелкового оружия и артиллерии. Что интересно, порядок использования этих частей был выработан только в декабре 1943 года, до этого "штурмовиков" часто использовали как обычную пехоту, выделяя бригаде собственную полосу наступления (выполняя не свойственные им задачи, ШИСБр несли тяжелые потери). Однако, при правильном применении ШИСБР воевали очень эффективно. В состав бригад часто включались полки огнеметных и саперных танков с тралами, также довольно широко использовались автомобили-амфибии американского производства. Особенно эффективно ШИСБр РВГК проявили себя при штурме укрепленных немецких городов в конце Войны и в войне с Японией (14907).</w:t>
      </w:r>
    </w:p>
    <w:p w14:paraId="4221867B" w14:textId="77777777" w:rsidR="00715849" w:rsidRPr="00D03F3E" w:rsidRDefault="00715849" w:rsidP="00D03F3E">
      <w:pPr>
        <w:spacing w:after="0" w:line="240" w:lineRule="auto"/>
        <w:jc w:val="both"/>
        <w:rPr>
          <w:rFonts w:ascii="Times New Roman" w:hAnsi="Times New Roman"/>
          <w:color w:val="000000" w:themeColor="text1"/>
          <w:sz w:val="16"/>
          <w:szCs w:val="16"/>
        </w:rPr>
      </w:pPr>
    </w:p>
    <w:p w14:paraId="1B30F42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 мая 1943 года была переброшена польская группа (2 чел., В.Бартошевич и Б.Цукер-Кольский) (8983).</w:t>
      </w:r>
    </w:p>
    <w:p w14:paraId="4012487E" w14:textId="77777777" w:rsidR="00531570" w:rsidRPr="00D03F3E" w:rsidRDefault="00531570" w:rsidP="00D03F3E">
      <w:pPr>
        <w:pStyle w:val="Iauiue"/>
        <w:jc w:val="both"/>
        <w:rPr>
          <w:color w:val="000000" w:themeColor="text1"/>
          <w:sz w:val="16"/>
          <w:szCs w:val="16"/>
        </w:rPr>
      </w:pPr>
    </w:p>
    <w:p w14:paraId="1873CD96"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2DA2B5BB" w14:textId="77777777" w:rsidR="00531570" w:rsidRPr="00D03F3E" w:rsidRDefault="00531570" w:rsidP="00D03F3E">
      <w:pPr>
        <w:pStyle w:val="Iauiue"/>
        <w:jc w:val="both"/>
        <w:rPr>
          <w:iCs/>
          <w:color w:val="000000" w:themeColor="text1"/>
          <w:sz w:val="16"/>
          <w:szCs w:val="16"/>
        </w:rPr>
      </w:pPr>
    </w:p>
    <w:p w14:paraId="5622904A"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30 мая</w:t>
      </w:r>
      <w:r w:rsidRPr="00D03F3E">
        <w:rPr>
          <w:rFonts w:ascii="Times New Roman" w:hAnsi="Times New Roman"/>
          <w:color w:val="000000" w:themeColor="text1"/>
          <w:sz w:val="16"/>
          <w:szCs w:val="16"/>
        </w:rPr>
        <w:t xml:space="preserve"> в 1943 году первый боевой вылет </w:t>
      </w:r>
      <w:hyperlink r:id="rId172" w:tgtFrame="_blank" w:history="1">
        <w:r w:rsidRPr="00D03F3E">
          <w:rPr>
            <w:rFonts w:ascii="Times New Roman" w:hAnsi="Times New Roman"/>
            <w:color w:val="000000" w:themeColor="text1"/>
            <w:sz w:val="16"/>
            <w:szCs w:val="16"/>
          </w:rPr>
          <w:t xml:space="preserve">«Do.217N» </w:t>
        </w:r>
      </w:hyperlink>
      <w:r w:rsidRPr="00D03F3E">
        <w:rPr>
          <w:rFonts w:ascii="Times New Roman" w:hAnsi="Times New Roman"/>
          <w:color w:val="000000" w:themeColor="text1"/>
          <w:sz w:val="16"/>
          <w:szCs w:val="16"/>
        </w:rPr>
        <w:t>в варианте ночного истребителя, когда английские бомбардировщики атаковали Випперталь. Около 150 бомбардировщиков были засечены в секторе II/NJG.1. Полк поднял в воздух 13 «Bf.110e» и три «Do.217j-2», которые заявили об 11 победах. Один из «J-2» был атакован и сбит английским охотником в момент взлета. К этому времени «Do.217j-2» и его вариант с «DB-603А» – «Do.217n» использовались в нескольких эскадрильях ночных истребителей, хотя ни один из полков не был переоснащен на этот тип полностью и использовал самолеты "Дорнье" вместе с «Вf.110». »Do.217N» впервые поднялся в воздух 31 июля 1942 г. Кроме двигателей и сохранения заднего бомбоотсека он практически ничем не отличался от «Do.217j-2» (14907).</w:t>
      </w:r>
    </w:p>
    <w:p w14:paraId="07063A0F" w14:textId="77777777" w:rsidR="007921C6" w:rsidRPr="00D03F3E" w:rsidRDefault="007921C6" w:rsidP="00D03F3E">
      <w:pPr>
        <w:spacing w:after="0" w:line="240" w:lineRule="auto"/>
        <w:jc w:val="both"/>
        <w:rPr>
          <w:rFonts w:ascii="Times New Roman" w:hAnsi="Times New Roman"/>
          <w:color w:val="000000" w:themeColor="text1"/>
          <w:sz w:val="16"/>
          <w:szCs w:val="16"/>
        </w:rPr>
      </w:pPr>
    </w:p>
    <w:p w14:paraId="14EDF664"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30 мая</w:t>
      </w:r>
      <w:r w:rsidRPr="00D03F3E">
        <w:rPr>
          <w:rFonts w:ascii="Times New Roman" w:hAnsi="Times New Roman"/>
          <w:color w:val="000000" w:themeColor="text1"/>
          <w:sz w:val="16"/>
          <w:szCs w:val="16"/>
        </w:rPr>
        <w:t xml:space="preserve"> в 1943 году с полигона Близна (Польша) осуществлен первый испытательный пуск ракеты «V-2» (14907).</w:t>
      </w:r>
    </w:p>
    <w:p w14:paraId="081222DD" w14:textId="77777777" w:rsidR="007921C6" w:rsidRPr="00D03F3E" w:rsidRDefault="007921C6" w:rsidP="00D03F3E">
      <w:pPr>
        <w:spacing w:after="0" w:line="240" w:lineRule="auto"/>
        <w:jc w:val="both"/>
        <w:rPr>
          <w:rFonts w:ascii="Times New Roman" w:hAnsi="Times New Roman"/>
          <w:color w:val="000000" w:themeColor="text1"/>
          <w:sz w:val="16"/>
          <w:szCs w:val="16"/>
        </w:rPr>
      </w:pPr>
    </w:p>
    <w:p w14:paraId="3AD0252B"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30 мая 1943 американцы отбили у японцев о. Атту (Алеутские острова), захваченный в июне 1942 г. (4962).</w:t>
      </w:r>
    </w:p>
    <w:p w14:paraId="5E2EB4E4" w14:textId="77777777" w:rsidR="00531570" w:rsidRPr="00D03F3E" w:rsidRDefault="00531570" w:rsidP="00D03F3E">
      <w:pPr>
        <w:pStyle w:val="Iauiue"/>
        <w:tabs>
          <w:tab w:val="left" w:pos="11199"/>
        </w:tabs>
        <w:jc w:val="both"/>
        <w:rPr>
          <w:color w:val="000000" w:themeColor="text1"/>
          <w:sz w:val="16"/>
          <w:szCs w:val="16"/>
        </w:rPr>
      </w:pPr>
    </w:p>
    <w:p w14:paraId="40DE799A"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31EBDC91" w14:textId="77777777" w:rsidR="00531570" w:rsidRPr="00D03F3E" w:rsidRDefault="00531570" w:rsidP="00D03F3E">
      <w:pPr>
        <w:pStyle w:val="Iauiue"/>
        <w:jc w:val="both"/>
        <w:rPr>
          <w:iCs/>
          <w:color w:val="000000" w:themeColor="text1"/>
          <w:sz w:val="16"/>
          <w:szCs w:val="16"/>
        </w:rPr>
      </w:pPr>
    </w:p>
    <w:p w14:paraId="4079756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 мая 1943 судя по фото в бригаде 7 Фомина в ОКБ П.О.С. были подготовлены схемы С2А с М-71 и С2А с М-82 - двухместные варианты Су-6.</w:t>
      </w:r>
    </w:p>
    <w:p w14:paraId="0E9AACC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EE2B0B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 мая 1943 вышел приказ НКАП N 328 о самолете Як-9 с М-107А в соответствии с постановлением ГКО N 3448 от 28 мая 1943. Решили делать на 166 в Омске и сделать 8 в июле и 15 в августе за счет программы по Як-9 М-105П (887).</w:t>
      </w:r>
    </w:p>
    <w:p w14:paraId="39A1802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ГКО своим постановлением от 28 мая 1943 № 3448 принял к сведению заявление НКАП о том, что модифицированный Як-9 с мотром М-107А, построенный заводом № 115, при заводских испытаниях показал следующие основные данные:</w:t>
      </w:r>
    </w:p>
    <w:p w14:paraId="03BED3D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Скорость макс. у земли - 590 км/час</w:t>
      </w:r>
    </w:p>
    <w:p w14:paraId="4AD2310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Скорость макс. на всоте 3400 м - 658 км/час</w:t>
      </w:r>
    </w:p>
    <w:p w14:paraId="7CB0BE4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Скорость макс. на 5900 м - 680 км/час</w:t>
      </w:r>
    </w:p>
    <w:p w14:paraId="23807B9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исполнение этого постановленияГКО приказываю:</w:t>
      </w:r>
    </w:p>
    <w:p w14:paraId="13131D5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Нач. 12 ГУ, Зам. НКАП т. Воронину и дир. З-да № 166 т. Соколову организовать на з-де № 166 производство с-та Як-9 с мотором М-107А с расчетом выпуска 8 в июле и 15 в августе за счет программы по Як-9 М-105ПФ (887)</w:t>
      </w:r>
    </w:p>
    <w:p w14:paraId="5F5A3EC4" w14:textId="77777777" w:rsidR="00531570" w:rsidRPr="00D03F3E" w:rsidRDefault="00531570" w:rsidP="00D03F3E">
      <w:pPr>
        <w:pStyle w:val="Iauiue"/>
        <w:jc w:val="both"/>
        <w:rPr>
          <w:color w:val="000000" w:themeColor="text1"/>
          <w:sz w:val="16"/>
          <w:szCs w:val="16"/>
        </w:rPr>
      </w:pPr>
    </w:p>
    <w:p w14:paraId="2426D81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 мая 1943 В.Н.Савкиным (5046,32) было выполнено 2 полета по 6-8 минут на МиГ-3 1 экз. улучшенном с АМ-35А (992,9).</w:t>
      </w:r>
    </w:p>
    <w:p w14:paraId="013BEF7A" w14:textId="77777777" w:rsidR="00531570" w:rsidRPr="00D03F3E" w:rsidRDefault="00531570" w:rsidP="00D03F3E">
      <w:pPr>
        <w:pStyle w:val="Iauiue"/>
        <w:jc w:val="both"/>
        <w:rPr>
          <w:color w:val="000000" w:themeColor="text1"/>
          <w:sz w:val="16"/>
          <w:szCs w:val="16"/>
        </w:rPr>
      </w:pPr>
    </w:p>
    <w:p w14:paraId="735ED2F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мая 1943 МиГ—ЗД1 впервые поднялся в воздух. Через не</w:t>
      </w:r>
      <w:r w:rsidRPr="00D03F3E">
        <w:rPr>
          <w:rFonts w:ascii="Times New Roman" w:hAnsi="Times New Roman"/>
          <w:color w:val="000000" w:themeColor="text1"/>
          <w:sz w:val="16"/>
          <w:szCs w:val="16"/>
        </w:rPr>
        <w:softHyphen/>
        <w:t>сколько дней выяснилось: на высоте 5000 м перегре</w:t>
      </w:r>
      <w:r w:rsidRPr="00D03F3E">
        <w:rPr>
          <w:rFonts w:ascii="Times New Roman" w:hAnsi="Times New Roman"/>
          <w:color w:val="000000" w:themeColor="text1"/>
          <w:sz w:val="16"/>
          <w:szCs w:val="16"/>
        </w:rPr>
        <w:softHyphen/>
        <w:t>вается масло, а его давление падает почти до нуля, что могло вызвать пожар. В ходе 28 вылетов первой опытной машины, кото</w:t>
      </w:r>
      <w:r w:rsidRPr="00D03F3E">
        <w:rPr>
          <w:rFonts w:ascii="Times New Roman" w:hAnsi="Times New Roman"/>
          <w:color w:val="000000" w:themeColor="text1"/>
          <w:sz w:val="16"/>
          <w:szCs w:val="16"/>
        </w:rPr>
        <w:softHyphen/>
        <w:t>рые суммарно продлились 13 ч 26 мин, заводские испытатели подтвердили предварительные расчеты. Ведущие пилоты завода № 155 А.И.Жуков и В.Н.Савкин, к которым присоединились фронтовые летчики (например, старший лейтенант Л.В.Даубе из 12-го гв. иап), проверили поведение истребителя на разных режимах и высотах. По мнению Жукова, ис требитель очень неохотно срывался в штопор даже при полностью выбранной ручке управления и без запаздывания выходил из него. Наиболее серьезной переделке на этом этапе пришлось подвергнуть сис</w:t>
      </w:r>
      <w:r w:rsidRPr="00D03F3E">
        <w:rPr>
          <w:rFonts w:ascii="Times New Roman" w:hAnsi="Times New Roman"/>
          <w:color w:val="000000" w:themeColor="text1"/>
          <w:sz w:val="16"/>
          <w:szCs w:val="16"/>
        </w:rPr>
        <w:softHyphen/>
        <w:t>тему охлаждения масла: установленные маслорадиаторы по-прежнему не обеспечивали отвод тепла, пришлось конструкторам срочно менять их форму и размеры (9984).</w:t>
      </w:r>
    </w:p>
    <w:p w14:paraId="17D132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F8CBC7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мая 1943 г. первая машина МиГ-ЗУ поднялась в воздух Впрочем, осо</w:t>
      </w:r>
      <w:r w:rsidRPr="00D03F3E">
        <w:rPr>
          <w:rFonts w:ascii="Times New Roman" w:hAnsi="Times New Roman"/>
          <w:color w:val="000000" w:themeColor="text1"/>
          <w:sz w:val="16"/>
          <w:szCs w:val="16"/>
        </w:rPr>
        <w:softHyphen/>
        <w:t>бых успехов с этими самолетами достичь не удалось (10781).</w:t>
      </w:r>
    </w:p>
    <w:p w14:paraId="6526DD0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EFA0713" w14:textId="77777777" w:rsidR="006C013F" w:rsidRPr="00D03F3E" w:rsidRDefault="006C013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31 мая</w:t>
      </w:r>
      <w:r w:rsidRPr="00D03F3E">
        <w:rPr>
          <w:rFonts w:ascii="Times New Roman" w:hAnsi="Times New Roman"/>
          <w:color w:val="000000" w:themeColor="text1"/>
          <w:sz w:val="16"/>
          <w:szCs w:val="16"/>
        </w:rPr>
        <w:t xml:space="preserve"> в 1943 году впервые поднял в воздух первый экземпляр </w:t>
      </w:r>
      <w:hyperlink r:id="rId173" w:tgtFrame="_blank" w:history="1">
        <w:r w:rsidRPr="00D03F3E">
          <w:rPr>
            <w:rFonts w:ascii="Times New Roman" w:hAnsi="Times New Roman"/>
            <w:color w:val="000000" w:themeColor="text1"/>
            <w:sz w:val="16"/>
            <w:szCs w:val="16"/>
          </w:rPr>
          <w:t xml:space="preserve">«МиГ-ЗУ» («Д-01») </w:t>
        </w:r>
      </w:hyperlink>
      <w:r w:rsidRPr="00D03F3E">
        <w:rPr>
          <w:rFonts w:ascii="Times New Roman" w:hAnsi="Times New Roman"/>
          <w:color w:val="000000" w:themeColor="text1"/>
          <w:sz w:val="16"/>
          <w:szCs w:val="16"/>
        </w:rPr>
        <w:t>летчик-испытатель В.Н.Савкин. В течение июня-августа было построено еще пять истребителей – «Д-02», «Д-03», «Д-04», «Д-05» и «Д-06». В отличие от других машин на самолете «Д-04» было установлено крыло с размахом 11,14 м и площадью 18,22 м2. К концу июля 1943 г. на «МиГ-ЗУ» (Д-01) была выполнена программа испытаний, самолет совершил 28 полетов с налетом 13 час. 26 мин. Во время заводских испытаний основные проблемы вызвала доводка температурных режимов ВМГ, в особенности маслосистемы. 23 июля машину перегнали в НИИ ВВС на государственные испытания, которые проходили в период с 28 июля по 6 августа 1943 года. Ответственными за их проведение были назначены ведущий инженер капитан А.С.Розанов и летчик-испытатель подполковник В.И.Хомяков. Из-за недоведенности двигателя от самолетов серии «Д» отказались (14908).</w:t>
      </w:r>
    </w:p>
    <w:p w14:paraId="78EE19D9" w14:textId="77777777" w:rsidR="006C013F" w:rsidRPr="00D03F3E" w:rsidRDefault="006C013F" w:rsidP="00D03F3E">
      <w:pPr>
        <w:spacing w:after="0" w:line="240" w:lineRule="auto"/>
        <w:jc w:val="both"/>
        <w:rPr>
          <w:rFonts w:ascii="Times New Roman" w:hAnsi="Times New Roman"/>
          <w:color w:val="000000" w:themeColor="text1"/>
          <w:sz w:val="16"/>
          <w:szCs w:val="16"/>
        </w:rPr>
      </w:pPr>
    </w:p>
    <w:p w14:paraId="616291A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мая 1943 согласно журнала наблюдения за проектированием, постройкой и испытаниями МиГ-3 за 9 июня 1943 на МиГ-3 1 экз. Д-1 произведено два полета по 6-8 мин. из-за падения давления масла (всего таких 5 полетов).</w:t>
      </w:r>
    </w:p>
    <w:p w14:paraId="1D7A2B8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переделки туннеля водорадиатора тем. Воды была нормальной.</w:t>
      </w:r>
    </w:p>
    <w:p w14:paraId="72E3AF0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Греется масло, мал перепад температур - 10-15 гр. Давление масла падает до 3 а. Выявлена слаба отдача масла из мотора (992,9).</w:t>
      </w:r>
    </w:p>
    <w:p w14:paraId="23BF98F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85BC60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31 мая 1943 закончились гос. испытания трофейного Хе-111, которые проходили 13 мая 1943 (797,10).</w:t>
      </w:r>
    </w:p>
    <w:p w14:paraId="43C79D0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 июня 1943 П.И.Федоров утвердил Отчет по результатам гос. испытаний трофейного немецкого дальнего бомбардировщика Хейнкель - 111 с ЮМО-211 Ф-11. Летал Г.А.Ашитков</w:t>
      </w:r>
    </w:p>
    <w:p w14:paraId="5BE0FE9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Отв. исполнители:</w:t>
      </w:r>
    </w:p>
    <w:p w14:paraId="6195001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вед. и 3 отд. Ии-м Г.В.Грибакин</w:t>
      </w:r>
    </w:p>
    <w:p w14:paraId="2C32370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вед. л л 3 отд. НИИ п/п Г.А.Ашитков</w:t>
      </w:r>
    </w:p>
    <w:p w14:paraId="1D75968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исп. Грибов</w:t>
      </w:r>
    </w:p>
    <w:p w14:paraId="431C9F7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Цель испытания: опр. Лтд и выявить конструктивно-эксплуатационные особенности с-та, ВМГ. Способы обороны и вооружение</w:t>
      </w:r>
    </w:p>
    <w:p w14:paraId="3C1EA40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Объект испытаний: с-т Хе-111 (тип Н-6 и Н-11) является ДБ германских ВВС</w:t>
      </w:r>
    </w:p>
    <w:p w14:paraId="7E8837F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Цельнометаллической конструкции, 2-х моторный моноплан с низкорасположенным крылом.</w:t>
      </w:r>
    </w:p>
    <w:p w14:paraId="4AD74C1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Несколько необычная внешняя форма кабины (без фонаря).</w:t>
      </w:r>
    </w:p>
    <w:p w14:paraId="408E7D3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Т.к. в носке фюзеляжа установлена пушка и бомбардировочный прицел, то для обеспечения л обзора вперед, форма носка фюзеляжа выполнена ассиметричной, вершина носка смещена вправо и вся кабина пилота остеклена</w:t>
      </w:r>
    </w:p>
    <w:p w14:paraId="3565D08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Экипаж: пилот 1, штурман 1, стрелдок-радист 1, стрелки - 1-2</w:t>
      </w:r>
    </w:p>
    <w:p w14:paraId="1DFD1A4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Пилот и штурман расположена в кабине рялдом (слева пилос, справа ш).</w:t>
      </w:r>
    </w:p>
    <w:p w14:paraId="11E5730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Бомбардировочное вооружение Н-6 имеет замки для внутренней подвески 4-х бомб калибра до 250 кг или бомб малого калибра в спецкассетах и внешней подвески для 1000 кг бомб калибра не более 500 кг. На Н-12 пять замков только для наружной подвески бомб калибра 250 - 1700 кг. Бомбовая нагрузка Н-6 - до 1500 к, Н-11 - 2000-3000 кг</w:t>
      </w:r>
    </w:p>
    <w:p w14:paraId="2A7AA2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Моторы 2 ЮМО 211 </w:t>
      </w:r>
      <w:r w:rsidRPr="00D03F3E">
        <w:rPr>
          <w:color w:val="000000" w:themeColor="text1"/>
          <w:sz w:val="16"/>
          <w:szCs w:val="16"/>
          <w:lang w:val="en-US"/>
        </w:rPr>
        <w:t>F</w:t>
      </w:r>
      <w:r w:rsidRPr="00D03F3E">
        <w:rPr>
          <w:color w:val="000000" w:themeColor="text1"/>
          <w:sz w:val="16"/>
          <w:szCs w:val="16"/>
        </w:rPr>
        <w:t xml:space="preserve"> 11 </w:t>
      </w:r>
      <w:r w:rsidRPr="00D03F3E">
        <w:rPr>
          <w:color w:val="000000" w:themeColor="text1"/>
          <w:sz w:val="16"/>
          <w:szCs w:val="16"/>
          <w:lang w:val="en-US"/>
        </w:rPr>
        <w:t>V</w:t>
      </w:r>
      <w:r w:rsidRPr="00D03F3E">
        <w:rPr>
          <w:color w:val="000000" w:themeColor="text1"/>
          <w:sz w:val="16"/>
          <w:szCs w:val="16"/>
        </w:rPr>
        <w:t xml:space="preserve">-образный, перевернутого типа, 12-цилиндровый жидкостного охлаждения с непосреддственным впрыском топлива в цилиндры. Взлетная мощность 1350 лс, номинальная - 1020 на 5500, винты Юнкерс </w:t>
      </w:r>
      <w:r w:rsidRPr="00D03F3E">
        <w:rPr>
          <w:color w:val="000000" w:themeColor="text1"/>
          <w:sz w:val="16"/>
          <w:szCs w:val="16"/>
          <w:lang w:val="en-US"/>
        </w:rPr>
        <w:t>VS</w:t>
      </w:r>
      <w:r w:rsidRPr="00D03F3E">
        <w:rPr>
          <w:color w:val="000000" w:themeColor="text1"/>
          <w:sz w:val="16"/>
          <w:szCs w:val="16"/>
        </w:rPr>
        <w:t>-11 изменяемого в полете шага , з-х лопастной деревянный диаметром 3,5 м</w:t>
      </w:r>
    </w:p>
    <w:p w14:paraId="3DBC6C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Винты могут устанавливаться во флюгерное положение.</w:t>
      </w:r>
    </w:p>
    <w:p w14:paraId="00AA789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Шасси и костыль убираются. Система подъема и выпуска гидравлическая. Авиарийная система - троссовая. Размер колес 1140х410, костыля\ 500х180. Тормоза тпа Юнкерс. Закрылки - щелевые. Система управления гидравлическая. Взлетный угол 15, посадочный - 60. Бронирование в виде щитков имеют все члены экипажа. Частично забронированы наиболее уязвимые агрегаты ВМГ - масляные и водяные радиаторы. Антиобледенители - жидкостные и только на винтах.</w:t>
      </w:r>
    </w:p>
    <w:p w14:paraId="26E0115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Стрелковое вооружение:</w:t>
      </w:r>
    </w:p>
    <w:p w14:paraId="7D05249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Н-6 - в носу подвижная установка пушки Эрликон 20 мм, управляемая штурманом. Сверзху фюзеляжа в задней кабине турельная установка пулемета МГ-15 калибра 7,92, управляемая стрелком-радистом.</w:t>
      </w:r>
    </w:p>
    <w:p w14:paraId="4958D9B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задней кабине два бортовых пулемета калибра 7,92, управляемых стрелком. В гондоле фюзеляжа два люковых пулемета МГ-15 калибра 7,92, управляемых люковым стрелком</w:t>
      </w:r>
    </w:p>
    <w:p w14:paraId="70A4BCC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хвостовом коке один неподвижный пулемет МГ-17 калибра 7,92 с дистанционным управлением стрелком радистом</w:t>
      </w:r>
    </w:p>
    <w:p w14:paraId="7AEA4DA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Все пулеметы и пушка за исключением Мг-17 с магазинным питанием.</w:t>
      </w:r>
    </w:p>
    <w:p w14:paraId="09B2883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Н-11 сверху фюзеляжа в задней кабине вместо МГ-15 установлен МГ-131 калибром 13 мм с непрерывным ленточным питанием</w:t>
      </w:r>
    </w:p>
    <w:p w14:paraId="2121746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люковой установке - спарка МГ-15с непрерывным ленточным питанием.</w:t>
      </w:r>
    </w:p>
    <w:p w14:paraId="1B7AC6D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вооружения снят неподвижный хвостовой МГ-17</w:t>
      </w:r>
    </w:p>
    <w:p w14:paraId="502B0D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Остальные установки - аналогичны Н-6</w:t>
      </w:r>
    </w:p>
    <w:p w14:paraId="1EC0608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Спецоборудование:</w:t>
      </w:r>
    </w:p>
    <w:p w14:paraId="55441B8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с-те установлен автомат курса, аппаратура для слепой посадки, длинноволновая и коротковолновая р/с и РПК</w:t>
      </w:r>
    </w:p>
    <w:p w14:paraId="30E1910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с-те установлено 2 генератора общей мощностью 4 КВ</w:t>
      </w:r>
    </w:p>
    <w:p w14:paraId="58861B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Обогрев кабины - от выхлопной система моторов</w:t>
      </w:r>
    </w:p>
    <w:p w14:paraId="2BE93CA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Н-11 изготовлен во второй половине 1942</w:t>
      </w:r>
    </w:p>
    <w:p w14:paraId="2DC8439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Результаты испытаний:</w:t>
      </w:r>
    </w:p>
    <w:p w14:paraId="76D67DF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С-т Н-6 прибыл в НИИ 24 февраля 1943, ст- Н-11-25 - 20 марта 1943</w:t>
      </w:r>
    </w:p>
    <w:p w14:paraId="1DAAE20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Вследствие поломки с-т Н-6 26 марта выбыл из испытаний. На с-те Н-11 ыследствие его ремонта и отсутствия горючего полеты в апреле и в первой половине мая не производились.</w:t>
      </w:r>
    </w:p>
    <w:p w14:paraId="3FAD8E5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Летные испытания Н-11 начаты 13 мая и закончены 31 мая 1943. За время испытаний на Н-11 выполнено 11 полетов с налетом 7:25.</w:t>
      </w:r>
    </w:p>
    <w:p w14:paraId="003A861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 пустого - 8550, центровка 24,75% САХ</w:t>
      </w:r>
    </w:p>
    <w:p w14:paraId="6037A63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Полетный вес 12270 кг, центровка 27,6% САХ</w:t>
      </w:r>
    </w:p>
    <w:p w14:paraId="51F0F8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Нагрузка:</w:t>
      </w:r>
    </w:p>
    <w:p w14:paraId="2489AB7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экипаж 4х90=360</w:t>
      </w:r>
    </w:p>
    <w:p w14:paraId="5084674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Горючее (уд. Вес 0,73) - 3000</w:t>
      </w:r>
    </w:p>
    <w:p w14:paraId="027BB1B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масло - 150</w:t>
      </w:r>
    </w:p>
    <w:p w14:paraId="5E5E856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стрелковое вооружение - 82</w:t>
      </w:r>
    </w:p>
    <w:p w14:paraId="6B31009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Патроны к пулеметам и пушке с магазинами (не полный комплект) - 128</w:t>
      </w:r>
    </w:p>
    <w:p w14:paraId="51F14DF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Всего: 3720</w:t>
      </w:r>
    </w:p>
    <w:p w14:paraId="3149E3B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Летные характеристики для машины с полетным весом 11500, которые состоит из веса пустого 8550 + горючее 2230, масло 150, пушки и пулеметы с патронами - 210, экипаж 4х90:</w:t>
      </w:r>
    </w:p>
    <w:p w14:paraId="7AB1A02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у земли - 330 при работе мотора на 30 мин. Номинале Рк 1250, на 1 гр. высотности (2500) - 374, на 2-й гв (5700) - 400 км/час</w:t>
      </w:r>
    </w:p>
    <w:p w14:paraId="0B5A96C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Максимальные скорости, полученные при испытаниях, совпадают с немецкими данными</w:t>
      </w:r>
    </w:p>
    <w:p w14:paraId="2D56D4D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Высота переключения 3250, скорость - 365, Рк 920 и 7000 на 7000 м, скорость 376, Рк 752</w:t>
      </w:r>
    </w:p>
    <w:p w14:paraId="7730FF3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Время набора 5000 м - 20 мин.</w:t>
      </w:r>
    </w:p>
    <w:p w14:paraId="2DBB03F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Потолок 8750, время набора - 57</w:t>
      </w:r>
    </w:p>
    <w:p w14:paraId="7A95179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Разбег 560 м</w:t>
      </w:r>
    </w:p>
    <w:p w14:paraId="44B6E06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Посадочная скорость - 133</w:t>
      </w:r>
    </w:p>
    <w:p w14:paraId="36CBECF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Пробег 495</w:t>
      </w:r>
    </w:p>
    <w:p w14:paraId="484FA5B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Вертикальная скорость у земли - 5,0</w:t>
      </w:r>
    </w:p>
    <w:p w14:paraId="329618D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Вертикальная скорость на 1 гр. 5,2</w:t>
      </w:r>
    </w:p>
    <w:p w14:paraId="4344513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Вертикальная скорость на 2 гр. 5000 м 3,7</w:t>
      </w:r>
    </w:p>
    <w:p w14:paraId="2EEB912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Вертикальная скорость на 7000 м 2,2</w:t>
      </w:r>
    </w:p>
    <w:p w14:paraId="1E2C628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Граница переключения скорости нагнетателя 3400 при скорости 3,4, а на макс. скорости гр. переключения 3250</w:t>
      </w:r>
    </w:p>
    <w:p w14:paraId="27CCBB5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Бензосистема (по бортовому описанию). Расходные баки 2х200 - 400. Консольные баки - 2х1025=2500 с автосливом, фюзеляжный бак 1х835 с автосливом</w:t>
      </w:r>
    </w:p>
    <w:p w14:paraId="743B104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Дальность и продолжительность полета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792"/>
        <w:gridCol w:w="872"/>
        <w:gridCol w:w="873"/>
        <w:gridCol w:w="872"/>
        <w:gridCol w:w="3053"/>
      </w:tblGrid>
      <w:tr w:rsidR="00860B4B" w:rsidRPr="00D03F3E" w14:paraId="6888B5E7" w14:textId="77777777">
        <w:tc>
          <w:tcPr>
            <w:tcW w:w="1868" w:type="dxa"/>
            <w:tcBorders>
              <w:top w:val="single" w:sz="12" w:space="0" w:color="auto"/>
            </w:tcBorders>
          </w:tcPr>
          <w:p w14:paraId="18ED602C" w14:textId="77777777" w:rsidR="00531570" w:rsidRPr="00D03F3E" w:rsidRDefault="00531570" w:rsidP="00D03F3E">
            <w:pPr>
              <w:pStyle w:val="Iauiue"/>
              <w:jc w:val="both"/>
              <w:rPr>
                <w:color w:val="000000" w:themeColor="text1"/>
                <w:sz w:val="16"/>
                <w:szCs w:val="16"/>
              </w:rPr>
            </w:pPr>
          </w:p>
        </w:tc>
        <w:tc>
          <w:tcPr>
            <w:tcW w:w="792" w:type="dxa"/>
            <w:tcBorders>
              <w:top w:val="single" w:sz="12" w:space="0" w:color="auto"/>
            </w:tcBorders>
          </w:tcPr>
          <w:p w14:paraId="658F37BF" w14:textId="77777777" w:rsidR="00531570" w:rsidRPr="00D03F3E" w:rsidRDefault="00531570" w:rsidP="00D03F3E">
            <w:pPr>
              <w:pStyle w:val="Iauiue"/>
              <w:jc w:val="both"/>
              <w:rPr>
                <w:color w:val="000000" w:themeColor="text1"/>
                <w:sz w:val="16"/>
                <w:szCs w:val="16"/>
              </w:rPr>
            </w:pPr>
          </w:p>
        </w:tc>
        <w:tc>
          <w:tcPr>
            <w:tcW w:w="872" w:type="dxa"/>
            <w:tcBorders>
              <w:top w:val="single" w:sz="12" w:space="0" w:color="auto"/>
            </w:tcBorders>
          </w:tcPr>
          <w:p w14:paraId="425A8A5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w:t>
            </w:r>
          </w:p>
        </w:tc>
        <w:tc>
          <w:tcPr>
            <w:tcW w:w="873" w:type="dxa"/>
            <w:tcBorders>
              <w:top w:val="single" w:sz="12" w:space="0" w:color="auto"/>
            </w:tcBorders>
          </w:tcPr>
          <w:p w14:paraId="2679A0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2000</w:t>
            </w:r>
          </w:p>
        </w:tc>
        <w:tc>
          <w:tcPr>
            <w:tcW w:w="872" w:type="dxa"/>
            <w:tcBorders>
              <w:top w:val="single" w:sz="12" w:space="0" w:color="auto"/>
            </w:tcBorders>
          </w:tcPr>
          <w:p w14:paraId="2312A62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5000</w:t>
            </w:r>
          </w:p>
        </w:tc>
        <w:tc>
          <w:tcPr>
            <w:tcW w:w="3053" w:type="dxa"/>
            <w:tcBorders>
              <w:top w:val="single" w:sz="12" w:space="0" w:color="auto"/>
            </w:tcBorders>
          </w:tcPr>
          <w:p w14:paraId="1D7D3C8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Примечание</w:t>
            </w:r>
          </w:p>
        </w:tc>
      </w:tr>
      <w:tr w:rsidR="00860B4B" w:rsidRPr="00D03F3E" w14:paraId="1593A234" w14:textId="77777777">
        <w:tc>
          <w:tcPr>
            <w:tcW w:w="1868" w:type="dxa"/>
          </w:tcPr>
          <w:p w14:paraId="5FB7401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Давление наддува</w:t>
            </w:r>
          </w:p>
        </w:tc>
        <w:tc>
          <w:tcPr>
            <w:tcW w:w="792" w:type="dxa"/>
          </w:tcPr>
          <w:p w14:paraId="1422EF7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атм.</w:t>
            </w:r>
          </w:p>
        </w:tc>
        <w:tc>
          <w:tcPr>
            <w:tcW w:w="872" w:type="dxa"/>
          </w:tcPr>
          <w:p w14:paraId="1B49E07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1,15</w:t>
            </w:r>
          </w:p>
        </w:tc>
        <w:tc>
          <w:tcPr>
            <w:tcW w:w="873" w:type="dxa"/>
          </w:tcPr>
          <w:p w14:paraId="7C359B4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1,15</w:t>
            </w:r>
          </w:p>
        </w:tc>
        <w:tc>
          <w:tcPr>
            <w:tcW w:w="872" w:type="dxa"/>
          </w:tcPr>
          <w:p w14:paraId="2F92253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1,15</w:t>
            </w:r>
          </w:p>
        </w:tc>
        <w:tc>
          <w:tcPr>
            <w:tcW w:w="3053" w:type="dxa"/>
          </w:tcPr>
          <w:p w14:paraId="14AB958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Данные приведены с учетом резерва горючего на 15-20 мин. полета</w:t>
            </w:r>
          </w:p>
        </w:tc>
      </w:tr>
      <w:tr w:rsidR="00860B4B" w:rsidRPr="00D03F3E" w14:paraId="1508F783" w14:textId="77777777">
        <w:tc>
          <w:tcPr>
            <w:tcW w:w="1868" w:type="dxa"/>
          </w:tcPr>
          <w:p w14:paraId="5BC24FA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Обороты</w:t>
            </w:r>
          </w:p>
        </w:tc>
        <w:tc>
          <w:tcPr>
            <w:tcW w:w="792" w:type="dxa"/>
          </w:tcPr>
          <w:p w14:paraId="48776ED2" w14:textId="77777777" w:rsidR="00531570" w:rsidRPr="00D03F3E" w:rsidRDefault="00531570" w:rsidP="00D03F3E">
            <w:pPr>
              <w:pStyle w:val="Iauiue"/>
              <w:jc w:val="both"/>
              <w:rPr>
                <w:color w:val="000000" w:themeColor="text1"/>
                <w:sz w:val="16"/>
                <w:szCs w:val="16"/>
              </w:rPr>
            </w:pPr>
          </w:p>
        </w:tc>
        <w:tc>
          <w:tcPr>
            <w:tcW w:w="872" w:type="dxa"/>
          </w:tcPr>
          <w:p w14:paraId="28E3595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2250</w:t>
            </w:r>
          </w:p>
        </w:tc>
        <w:tc>
          <w:tcPr>
            <w:tcW w:w="873" w:type="dxa"/>
          </w:tcPr>
          <w:p w14:paraId="34E80DE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2250</w:t>
            </w:r>
          </w:p>
        </w:tc>
        <w:tc>
          <w:tcPr>
            <w:tcW w:w="872" w:type="dxa"/>
          </w:tcPr>
          <w:p w14:paraId="456AAEA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2250</w:t>
            </w:r>
          </w:p>
        </w:tc>
        <w:tc>
          <w:tcPr>
            <w:tcW w:w="3053" w:type="dxa"/>
          </w:tcPr>
          <w:p w14:paraId="28BA7AE2" w14:textId="77777777" w:rsidR="00531570" w:rsidRPr="00D03F3E" w:rsidRDefault="00531570" w:rsidP="00D03F3E">
            <w:pPr>
              <w:pStyle w:val="Iauiue"/>
              <w:jc w:val="both"/>
              <w:rPr>
                <w:color w:val="000000" w:themeColor="text1"/>
                <w:sz w:val="16"/>
                <w:szCs w:val="16"/>
              </w:rPr>
            </w:pPr>
          </w:p>
        </w:tc>
      </w:tr>
      <w:tr w:rsidR="00860B4B" w:rsidRPr="00D03F3E" w14:paraId="4E2F3217" w14:textId="77777777">
        <w:tc>
          <w:tcPr>
            <w:tcW w:w="1868" w:type="dxa"/>
          </w:tcPr>
          <w:p w14:paraId="140C140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Расход горючего</w:t>
            </w:r>
          </w:p>
        </w:tc>
        <w:tc>
          <w:tcPr>
            <w:tcW w:w="792" w:type="dxa"/>
          </w:tcPr>
          <w:p w14:paraId="2E6986F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л/час</w:t>
            </w:r>
          </w:p>
        </w:tc>
        <w:tc>
          <w:tcPr>
            <w:tcW w:w="872" w:type="dxa"/>
          </w:tcPr>
          <w:p w14:paraId="216CA36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585</w:t>
            </w:r>
          </w:p>
        </w:tc>
        <w:tc>
          <w:tcPr>
            <w:tcW w:w="873" w:type="dxa"/>
          </w:tcPr>
          <w:p w14:paraId="5FC66EA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625</w:t>
            </w:r>
          </w:p>
        </w:tc>
        <w:tc>
          <w:tcPr>
            <w:tcW w:w="872" w:type="dxa"/>
          </w:tcPr>
          <w:p w14:paraId="5A90DA2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615</w:t>
            </w:r>
          </w:p>
        </w:tc>
        <w:tc>
          <w:tcPr>
            <w:tcW w:w="3053" w:type="dxa"/>
          </w:tcPr>
          <w:p w14:paraId="020D2ACA" w14:textId="77777777" w:rsidR="00531570" w:rsidRPr="00D03F3E" w:rsidRDefault="00531570" w:rsidP="00D03F3E">
            <w:pPr>
              <w:pStyle w:val="Iauiue"/>
              <w:jc w:val="both"/>
              <w:rPr>
                <w:color w:val="000000" w:themeColor="text1"/>
                <w:sz w:val="16"/>
                <w:szCs w:val="16"/>
              </w:rPr>
            </w:pPr>
          </w:p>
        </w:tc>
      </w:tr>
      <w:tr w:rsidR="00860B4B" w:rsidRPr="00D03F3E" w14:paraId="057219BB" w14:textId="77777777">
        <w:tc>
          <w:tcPr>
            <w:tcW w:w="1868" w:type="dxa"/>
          </w:tcPr>
          <w:p w14:paraId="03A18AB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Скорость полета (0,9 макс.)</w:t>
            </w:r>
          </w:p>
        </w:tc>
        <w:tc>
          <w:tcPr>
            <w:tcW w:w="792" w:type="dxa"/>
          </w:tcPr>
          <w:p w14:paraId="6753E167" w14:textId="77777777" w:rsidR="00531570" w:rsidRPr="00D03F3E" w:rsidRDefault="00531570" w:rsidP="00D03F3E">
            <w:pPr>
              <w:pStyle w:val="Iauiue"/>
              <w:jc w:val="both"/>
              <w:rPr>
                <w:color w:val="000000" w:themeColor="text1"/>
                <w:sz w:val="16"/>
                <w:szCs w:val="16"/>
              </w:rPr>
            </w:pPr>
          </w:p>
        </w:tc>
        <w:tc>
          <w:tcPr>
            <w:tcW w:w="872" w:type="dxa"/>
          </w:tcPr>
          <w:p w14:paraId="17FB127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w:t>
            </w:r>
          </w:p>
        </w:tc>
        <w:tc>
          <w:tcPr>
            <w:tcW w:w="873" w:type="dxa"/>
          </w:tcPr>
          <w:p w14:paraId="16006E9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330</w:t>
            </w:r>
          </w:p>
        </w:tc>
        <w:tc>
          <w:tcPr>
            <w:tcW w:w="872" w:type="dxa"/>
          </w:tcPr>
          <w:p w14:paraId="299E9CE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345</w:t>
            </w:r>
          </w:p>
        </w:tc>
        <w:tc>
          <w:tcPr>
            <w:tcW w:w="3053" w:type="dxa"/>
          </w:tcPr>
          <w:p w14:paraId="44F4FBF1" w14:textId="77777777" w:rsidR="00531570" w:rsidRPr="00D03F3E" w:rsidRDefault="00531570" w:rsidP="00D03F3E">
            <w:pPr>
              <w:pStyle w:val="Iauiue"/>
              <w:jc w:val="both"/>
              <w:rPr>
                <w:color w:val="000000" w:themeColor="text1"/>
                <w:sz w:val="16"/>
                <w:szCs w:val="16"/>
              </w:rPr>
            </w:pPr>
          </w:p>
        </w:tc>
      </w:tr>
      <w:tr w:rsidR="00860B4B" w:rsidRPr="00D03F3E" w14:paraId="2ECFE78D" w14:textId="77777777">
        <w:tc>
          <w:tcPr>
            <w:tcW w:w="1868" w:type="dxa"/>
          </w:tcPr>
          <w:p w14:paraId="0551D1D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Дальность при заправке</w:t>
            </w:r>
          </w:p>
        </w:tc>
        <w:tc>
          <w:tcPr>
            <w:tcW w:w="792" w:type="dxa"/>
          </w:tcPr>
          <w:p w14:paraId="2EEC9DD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2180</w:t>
            </w:r>
          </w:p>
        </w:tc>
        <w:tc>
          <w:tcPr>
            <w:tcW w:w="872" w:type="dxa"/>
          </w:tcPr>
          <w:p w14:paraId="4671294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1065</w:t>
            </w:r>
          </w:p>
        </w:tc>
        <w:tc>
          <w:tcPr>
            <w:tcW w:w="873" w:type="dxa"/>
          </w:tcPr>
          <w:p w14:paraId="7E49B4F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1065</w:t>
            </w:r>
          </w:p>
        </w:tc>
        <w:tc>
          <w:tcPr>
            <w:tcW w:w="872" w:type="dxa"/>
          </w:tcPr>
          <w:p w14:paraId="6CB0C46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1090</w:t>
            </w:r>
          </w:p>
        </w:tc>
        <w:tc>
          <w:tcPr>
            <w:tcW w:w="3053" w:type="dxa"/>
          </w:tcPr>
          <w:p w14:paraId="546B2DFB" w14:textId="77777777" w:rsidR="00531570" w:rsidRPr="00D03F3E" w:rsidRDefault="00531570" w:rsidP="00D03F3E">
            <w:pPr>
              <w:pStyle w:val="Iauiue"/>
              <w:jc w:val="both"/>
              <w:rPr>
                <w:color w:val="000000" w:themeColor="text1"/>
                <w:sz w:val="16"/>
                <w:szCs w:val="16"/>
              </w:rPr>
            </w:pPr>
          </w:p>
        </w:tc>
      </w:tr>
      <w:tr w:rsidR="00860B4B" w:rsidRPr="00D03F3E" w14:paraId="6309091F" w14:textId="77777777">
        <w:tc>
          <w:tcPr>
            <w:tcW w:w="1868" w:type="dxa"/>
          </w:tcPr>
          <w:p w14:paraId="78F2DF3D" w14:textId="77777777" w:rsidR="00531570" w:rsidRPr="00D03F3E" w:rsidRDefault="00531570" w:rsidP="00D03F3E">
            <w:pPr>
              <w:pStyle w:val="Iauiue"/>
              <w:jc w:val="both"/>
              <w:rPr>
                <w:color w:val="000000" w:themeColor="text1"/>
                <w:sz w:val="16"/>
                <w:szCs w:val="16"/>
              </w:rPr>
            </w:pPr>
          </w:p>
        </w:tc>
        <w:tc>
          <w:tcPr>
            <w:tcW w:w="792" w:type="dxa"/>
          </w:tcPr>
          <w:p w14:paraId="186B314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3280</w:t>
            </w:r>
          </w:p>
        </w:tc>
        <w:tc>
          <w:tcPr>
            <w:tcW w:w="872" w:type="dxa"/>
          </w:tcPr>
          <w:p w14:paraId="634D5B7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1675</w:t>
            </w:r>
          </w:p>
        </w:tc>
        <w:tc>
          <w:tcPr>
            <w:tcW w:w="873" w:type="dxa"/>
          </w:tcPr>
          <w:p w14:paraId="29BA975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1685</w:t>
            </w:r>
          </w:p>
        </w:tc>
        <w:tc>
          <w:tcPr>
            <w:tcW w:w="872" w:type="dxa"/>
          </w:tcPr>
          <w:p w14:paraId="764C6D1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1755</w:t>
            </w:r>
          </w:p>
        </w:tc>
        <w:tc>
          <w:tcPr>
            <w:tcW w:w="3053" w:type="dxa"/>
          </w:tcPr>
          <w:p w14:paraId="6D013988" w14:textId="77777777" w:rsidR="00531570" w:rsidRPr="00D03F3E" w:rsidRDefault="00531570" w:rsidP="00D03F3E">
            <w:pPr>
              <w:pStyle w:val="Iauiue"/>
              <w:jc w:val="both"/>
              <w:rPr>
                <w:color w:val="000000" w:themeColor="text1"/>
                <w:sz w:val="16"/>
                <w:szCs w:val="16"/>
              </w:rPr>
            </w:pPr>
          </w:p>
        </w:tc>
      </w:tr>
      <w:tr w:rsidR="00860B4B" w:rsidRPr="00D03F3E" w14:paraId="2F86D8B8" w14:textId="77777777">
        <w:tc>
          <w:tcPr>
            <w:tcW w:w="1868" w:type="dxa"/>
          </w:tcPr>
          <w:p w14:paraId="6CAFC7B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Продолжительность при заправке</w:t>
            </w:r>
          </w:p>
        </w:tc>
        <w:tc>
          <w:tcPr>
            <w:tcW w:w="792" w:type="dxa"/>
          </w:tcPr>
          <w:p w14:paraId="2E8CE4E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2180</w:t>
            </w:r>
          </w:p>
        </w:tc>
        <w:tc>
          <w:tcPr>
            <w:tcW w:w="872" w:type="dxa"/>
          </w:tcPr>
          <w:p w14:paraId="6E36923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3:20</w:t>
            </w:r>
          </w:p>
        </w:tc>
        <w:tc>
          <w:tcPr>
            <w:tcW w:w="873" w:type="dxa"/>
          </w:tcPr>
          <w:p w14:paraId="3E93299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3:20</w:t>
            </w:r>
          </w:p>
        </w:tc>
        <w:tc>
          <w:tcPr>
            <w:tcW w:w="872" w:type="dxa"/>
          </w:tcPr>
          <w:p w14:paraId="2EAF139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3:20</w:t>
            </w:r>
          </w:p>
        </w:tc>
        <w:tc>
          <w:tcPr>
            <w:tcW w:w="3053" w:type="dxa"/>
          </w:tcPr>
          <w:p w14:paraId="0D8E84BC" w14:textId="77777777" w:rsidR="00531570" w:rsidRPr="00D03F3E" w:rsidRDefault="00531570" w:rsidP="00D03F3E">
            <w:pPr>
              <w:pStyle w:val="Iauiue"/>
              <w:jc w:val="both"/>
              <w:rPr>
                <w:color w:val="000000" w:themeColor="text1"/>
                <w:sz w:val="16"/>
                <w:szCs w:val="16"/>
              </w:rPr>
            </w:pPr>
          </w:p>
        </w:tc>
      </w:tr>
      <w:tr w:rsidR="00860B4B" w:rsidRPr="00D03F3E" w14:paraId="54FCDBFA" w14:textId="77777777">
        <w:tc>
          <w:tcPr>
            <w:tcW w:w="1868" w:type="dxa"/>
          </w:tcPr>
          <w:p w14:paraId="6334DC10" w14:textId="77777777" w:rsidR="00531570" w:rsidRPr="00D03F3E" w:rsidRDefault="00531570" w:rsidP="00D03F3E">
            <w:pPr>
              <w:pStyle w:val="Iauiue"/>
              <w:jc w:val="both"/>
              <w:rPr>
                <w:color w:val="000000" w:themeColor="text1"/>
                <w:sz w:val="16"/>
                <w:szCs w:val="16"/>
              </w:rPr>
            </w:pPr>
          </w:p>
        </w:tc>
        <w:tc>
          <w:tcPr>
            <w:tcW w:w="792" w:type="dxa"/>
          </w:tcPr>
          <w:p w14:paraId="7DEB4E1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3280</w:t>
            </w:r>
          </w:p>
        </w:tc>
        <w:tc>
          <w:tcPr>
            <w:tcW w:w="872" w:type="dxa"/>
          </w:tcPr>
          <w:p w14:paraId="4720BBD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5:15</w:t>
            </w:r>
          </w:p>
        </w:tc>
        <w:tc>
          <w:tcPr>
            <w:tcW w:w="873" w:type="dxa"/>
          </w:tcPr>
          <w:p w14:paraId="4DD363D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w:t>
            </w:r>
          </w:p>
        </w:tc>
        <w:tc>
          <w:tcPr>
            <w:tcW w:w="872" w:type="dxa"/>
          </w:tcPr>
          <w:p w14:paraId="41AA6AE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5:05</w:t>
            </w:r>
          </w:p>
        </w:tc>
        <w:tc>
          <w:tcPr>
            <w:tcW w:w="3053" w:type="dxa"/>
          </w:tcPr>
          <w:p w14:paraId="41D2F48F" w14:textId="77777777" w:rsidR="00531570" w:rsidRPr="00D03F3E" w:rsidRDefault="00531570" w:rsidP="00D03F3E">
            <w:pPr>
              <w:pStyle w:val="Iauiue"/>
              <w:jc w:val="both"/>
              <w:rPr>
                <w:color w:val="000000" w:themeColor="text1"/>
                <w:sz w:val="16"/>
                <w:szCs w:val="16"/>
              </w:rPr>
            </w:pPr>
          </w:p>
        </w:tc>
      </w:tr>
      <w:tr w:rsidR="00860B4B" w:rsidRPr="00D03F3E" w14:paraId="40875434" w14:textId="77777777">
        <w:tc>
          <w:tcPr>
            <w:tcW w:w="1868" w:type="dxa"/>
            <w:tcBorders>
              <w:bottom w:val="single" w:sz="12" w:space="0" w:color="auto"/>
            </w:tcBorders>
          </w:tcPr>
          <w:p w14:paraId="038FF159" w14:textId="77777777" w:rsidR="00531570" w:rsidRPr="00D03F3E" w:rsidRDefault="00531570" w:rsidP="00D03F3E">
            <w:pPr>
              <w:pStyle w:val="Iauiue"/>
              <w:jc w:val="both"/>
              <w:rPr>
                <w:color w:val="000000" w:themeColor="text1"/>
                <w:sz w:val="16"/>
                <w:szCs w:val="16"/>
              </w:rPr>
            </w:pPr>
          </w:p>
        </w:tc>
        <w:tc>
          <w:tcPr>
            <w:tcW w:w="792" w:type="dxa"/>
            <w:tcBorders>
              <w:bottom w:val="single" w:sz="12" w:space="0" w:color="auto"/>
            </w:tcBorders>
          </w:tcPr>
          <w:p w14:paraId="442A898C" w14:textId="77777777" w:rsidR="00531570" w:rsidRPr="00D03F3E" w:rsidRDefault="00531570" w:rsidP="00D03F3E">
            <w:pPr>
              <w:pStyle w:val="Iauiue"/>
              <w:jc w:val="both"/>
              <w:rPr>
                <w:color w:val="000000" w:themeColor="text1"/>
                <w:sz w:val="16"/>
                <w:szCs w:val="16"/>
              </w:rPr>
            </w:pPr>
          </w:p>
        </w:tc>
        <w:tc>
          <w:tcPr>
            <w:tcW w:w="872" w:type="dxa"/>
            <w:tcBorders>
              <w:bottom w:val="single" w:sz="12" w:space="0" w:color="auto"/>
            </w:tcBorders>
          </w:tcPr>
          <w:p w14:paraId="2EEB8BC3" w14:textId="77777777" w:rsidR="00531570" w:rsidRPr="00D03F3E" w:rsidRDefault="00531570" w:rsidP="00D03F3E">
            <w:pPr>
              <w:pStyle w:val="Iauiue"/>
              <w:jc w:val="both"/>
              <w:rPr>
                <w:color w:val="000000" w:themeColor="text1"/>
                <w:sz w:val="16"/>
                <w:szCs w:val="16"/>
              </w:rPr>
            </w:pPr>
          </w:p>
        </w:tc>
        <w:tc>
          <w:tcPr>
            <w:tcW w:w="873" w:type="dxa"/>
            <w:tcBorders>
              <w:bottom w:val="single" w:sz="12" w:space="0" w:color="auto"/>
            </w:tcBorders>
          </w:tcPr>
          <w:p w14:paraId="1D5D91C2" w14:textId="77777777" w:rsidR="00531570" w:rsidRPr="00D03F3E" w:rsidRDefault="00531570" w:rsidP="00D03F3E">
            <w:pPr>
              <w:pStyle w:val="Iauiue"/>
              <w:jc w:val="both"/>
              <w:rPr>
                <w:color w:val="000000" w:themeColor="text1"/>
                <w:sz w:val="16"/>
                <w:szCs w:val="16"/>
              </w:rPr>
            </w:pPr>
          </w:p>
        </w:tc>
        <w:tc>
          <w:tcPr>
            <w:tcW w:w="872" w:type="dxa"/>
            <w:tcBorders>
              <w:bottom w:val="single" w:sz="12" w:space="0" w:color="auto"/>
            </w:tcBorders>
          </w:tcPr>
          <w:p w14:paraId="29AD71C1" w14:textId="77777777" w:rsidR="00531570" w:rsidRPr="00D03F3E" w:rsidRDefault="00531570" w:rsidP="00D03F3E">
            <w:pPr>
              <w:pStyle w:val="Iauiue"/>
              <w:jc w:val="both"/>
              <w:rPr>
                <w:color w:val="000000" w:themeColor="text1"/>
                <w:sz w:val="16"/>
                <w:szCs w:val="16"/>
              </w:rPr>
            </w:pPr>
          </w:p>
        </w:tc>
        <w:tc>
          <w:tcPr>
            <w:tcW w:w="3053" w:type="dxa"/>
            <w:tcBorders>
              <w:bottom w:val="single" w:sz="12" w:space="0" w:color="auto"/>
            </w:tcBorders>
          </w:tcPr>
          <w:p w14:paraId="7DF1CE61" w14:textId="77777777" w:rsidR="00531570" w:rsidRPr="00D03F3E" w:rsidRDefault="00531570" w:rsidP="00D03F3E">
            <w:pPr>
              <w:pStyle w:val="Iauiue"/>
              <w:jc w:val="both"/>
              <w:rPr>
                <w:color w:val="000000" w:themeColor="text1"/>
                <w:sz w:val="16"/>
                <w:szCs w:val="16"/>
              </w:rPr>
            </w:pPr>
          </w:p>
        </w:tc>
      </w:tr>
    </w:tbl>
    <w:p w14:paraId="22B6173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Виражи на Н-11 при полетном весе 11500 на всоте 2000 м при 2400 оборотах и Ра 1,2</w:t>
      </w:r>
    </w:p>
    <w:p w14:paraId="3EA4BDD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левый (крен 55-60 гр.) при скорости 281 км/час 48,3 с учетом ввода и вывода</w:t>
      </w:r>
    </w:p>
    <w:p w14:paraId="5114CC4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правый (крен тот же) при скорости 286 - 49 с учетом ввода и вывода</w:t>
      </w:r>
    </w:p>
    <w:p w14:paraId="25EDCFC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Таблица сравнения данныфх Хе-11 Н-11 2 ЮМО 211 </w:t>
      </w:r>
      <w:r w:rsidRPr="00D03F3E">
        <w:rPr>
          <w:color w:val="000000" w:themeColor="text1"/>
          <w:sz w:val="16"/>
          <w:szCs w:val="16"/>
          <w:lang w:val="en-US"/>
        </w:rPr>
        <w:t>F</w:t>
      </w:r>
      <w:r w:rsidRPr="00D03F3E">
        <w:rPr>
          <w:color w:val="000000" w:themeColor="text1"/>
          <w:sz w:val="16"/>
          <w:szCs w:val="16"/>
        </w:rPr>
        <w:t>-11 с Ил-4 2М-88б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2042"/>
        <w:gridCol w:w="1985"/>
      </w:tblGrid>
      <w:tr w:rsidR="00860B4B" w:rsidRPr="00D03F3E" w14:paraId="1D9F29BE" w14:textId="77777777">
        <w:tc>
          <w:tcPr>
            <w:tcW w:w="3736" w:type="dxa"/>
            <w:tcBorders>
              <w:top w:val="single" w:sz="12" w:space="0" w:color="auto"/>
            </w:tcBorders>
          </w:tcPr>
          <w:p w14:paraId="2F49F00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Наименование</w:t>
            </w:r>
          </w:p>
        </w:tc>
        <w:tc>
          <w:tcPr>
            <w:tcW w:w="2042" w:type="dxa"/>
            <w:tcBorders>
              <w:top w:val="single" w:sz="12" w:space="0" w:color="auto"/>
            </w:tcBorders>
          </w:tcPr>
          <w:p w14:paraId="4289D60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Хе-111 Н-11</w:t>
            </w:r>
          </w:p>
        </w:tc>
        <w:tc>
          <w:tcPr>
            <w:tcW w:w="1985" w:type="dxa"/>
            <w:tcBorders>
              <w:top w:val="single" w:sz="12" w:space="0" w:color="auto"/>
            </w:tcBorders>
          </w:tcPr>
          <w:p w14:paraId="3CE44E5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Ил-4 М-88Б № 2307 исп. в НИИ в феврале 1943</w:t>
            </w:r>
          </w:p>
        </w:tc>
      </w:tr>
      <w:tr w:rsidR="00860B4B" w:rsidRPr="00D03F3E" w14:paraId="17C81337" w14:textId="77777777">
        <w:tc>
          <w:tcPr>
            <w:tcW w:w="3736" w:type="dxa"/>
          </w:tcPr>
          <w:p w14:paraId="7E111D5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Размах крыла (м)</w:t>
            </w:r>
          </w:p>
        </w:tc>
        <w:tc>
          <w:tcPr>
            <w:tcW w:w="2042" w:type="dxa"/>
          </w:tcPr>
          <w:p w14:paraId="719F58B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22,45</w:t>
            </w:r>
          </w:p>
        </w:tc>
        <w:tc>
          <w:tcPr>
            <w:tcW w:w="1985" w:type="dxa"/>
          </w:tcPr>
          <w:p w14:paraId="091C251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21,44</w:t>
            </w:r>
          </w:p>
        </w:tc>
      </w:tr>
      <w:tr w:rsidR="00860B4B" w:rsidRPr="00D03F3E" w14:paraId="100D8E00" w14:textId="77777777">
        <w:tc>
          <w:tcPr>
            <w:tcW w:w="3736" w:type="dxa"/>
          </w:tcPr>
          <w:p w14:paraId="7195E45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Длина в линии полета (м)</w:t>
            </w:r>
          </w:p>
        </w:tc>
        <w:tc>
          <w:tcPr>
            <w:tcW w:w="2042" w:type="dxa"/>
          </w:tcPr>
          <w:p w14:paraId="1E66DD9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16,69</w:t>
            </w:r>
          </w:p>
        </w:tc>
        <w:tc>
          <w:tcPr>
            <w:tcW w:w="1985" w:type="dxa"/>
          </w:tcPr>
          <w:p w14:paraId="6B50A66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14,788</w:t>
            </w:r>
          </w:p>
        </w:tc>
      </w:tr>
      <w:tr w:rsidR="00860B4B" w:rsidRPr="00D03F3E" w14:paraId="47AF736D" w14:textId="77777777">
        <w:tc>
          <w:tcPr>
            <w:tcW w:w="3736" w:type="dxa"/>
          </w:tcPr>
          <w:p w14:paraId="730D46C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Высота на стоянке (м)</w:t>
            </w:r>
          </w:p>
        </w:tc>
        <w:tc>
          <w:tcPr>
            <w:tcW w:w="2042" w:type="dxa"/>
          </w:tcPr>
          <w:p w14:paraId="5F6123A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4,61</w:t>
            </w:r>
          </w:p>
        </w:tc>
        <w:tc>
          <w:tcPr>
            <w:tcW w:w="1985" w:type="dxa"/>
          </w:tcPr>
          <w:p w14:paraId="2CA16BC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4,675</w:t>
            </w:r>
          </w:p>
        </w:tc>
      </w:tr>
      <w:tr w:rsidR="00860B4B" w:rsidRPr="00D03F3E" w14:paraId="2D4C0EFF" w14:textId="77777777">
        <w:tc>
          <w:tcPr>
            <w:tcW w:w="3736" w:type="dxa"/>
          </w:tcPr>
          <w:p w14:paraId="30EBEBC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Диаметр винта (м)</w:t>
            </w:r>
          </w:p>
        </w:tc>
        <w:tc>
          <w:tcPr>
            <w:tcW w:w="2042" w:type="dxa"/>
          </w:tcPr>
          <w:p w14:paraId="65C1CA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3,5</w:t>
            </w:r>
          </w:p>
        </w:tc>
        <w:tc>
          <w:tcPr>
            <w:tcW w:w="1985" w:type="dxa"/>
          </w:tcPr>
          <w:p w14:paraId="568AFE5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w:t>
            </w:r>
          </w:p>
        </w:tc>
      </w:tr>
      <w:tr w:rsidR="00860B4B" w:rsidRPr="00D03F3E" w14:paraId="33A60984" w14:textId="77777777">
        <w:tc>
          <w:tcPr>
            <w:tcW w:w="3736" w:type="dxa"/>
          </w:tcPr>
          <w:p w14:paraId="59E819B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Площадь крыла</w:t>
            </w:r>
          </w:p>
        </w:tc>
        <w:tc>
          <w:tcPr>
            <w:tcW w:w="2042" w:type="dxa"/>
          </w:tcPr>
          <w:p w14:paraId="38303DF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85,72</w:t>
            </w:r>
          </w:p>
        </w:tc>
        <w:tc>
          <w:tcPr>
            <w:tcW w:w="1985" w:type="dxa"/>
          </w:tcPr>
          <w:p w14:paraId="2DC6834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66,7</w:t>
            </w:r>
          </w:p>
        </w:tc>
      </w:tr>
      <w:tr w:rsidR="00860B4B" w:rsidRPr="00D03F3E" w14:paraId="4C72267C" w14:textId="77777777">
        <w:tc>
          <w:tcPr>
            <w:tcW w:w="3736" w:type="dxa"/>
          </w:tcPr>
          <w:p w14:paraId="03C7C99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Емкость баков (л)</w:t>
            </w:r>
          </w:p>
        </w:tc>
        <w:tc>
          <w:tcPr>
            <w:tcW w:w="2042" w:type="dxa"/>
          </w:tcPr>
          <w:p w14:paraId="228CBDD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4285</w:t>
            </w:r>
          </w:p>
        </w:tc>
        <w:tc>
          <w:tcPr>
            <w:tcW w:w="1985" w:type="dxa"/>
          </w:tcPr>
          <w:p w14:paraId="0C5C4F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3855</w:t>
            </w:r>
          </w:p>
        </w:tc>
      </w:tr>
      <w:tr w:rsidR="00860B4B" w:rsidRPr="00D03F3E" w14:paraId="682D510C" w14:textId="77777777">
        <w:tc>
          <w:tcPr>
            <w:tcW w:w="3736" w:type="dxa"/>
          </w:tcPr>
          <w:p w14:paraId="523B4D8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Мощность моторов</w:t>
            </w:r>
          </w:p>
        </w:tc>
        <w:tc>
          <w:tcPr>
            <w:tcW w:w="2042" w:type="dxa"/>
          </w:tcPr>
          <w:p w14:paraId="4819C56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2х1350/2х1100/5000</w:t>
            </w:r>
          </w:p>
        </w:tc>
        <w:tc>
          <w:tcPr>
            <w:tcW w:w="1985" w:type="dxa"/>
          </w:tcPr>
          <w:p w14:paraId="1FB7C5D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2х1100/2х1000/6000</w:t>
            </w:r>
          </w:p>
        </w:tc>
      </w:tr>
      <w:tr w:rsidR="00860B4B" w:rsidRPr="00D03F3E" w14:paraId="44AE2DF5" w14:textId="77777777">
        <w:tc>
          <w:tcPr>
            <w:tcW w:w="3736" w:type="dxa"/>
          </w:tcPr>
          <w:p w14:paraId="2D8B1CF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Стрелковое вооружение</w:t>
            </w:r>
          </w:p>
        </w:tc>
        <w:tc>
          <w:tcPr>
            <w:tcW w:w="2042" w:type="dxa"/>
          </w:tcPr>
          <w:p w14:paraId="4CE20C63" w14:textId="77777777" w:rsidR="00531570" w:rsidRPr="00D03F3E" w:rsidRDefault="00531570" w:rsidP="00D03F3E">
            <w:pPr>
              <w:pStyle w:val="Iauiue"/>
              <w:jc w:val="both"/>
              <w:rPr>
                <w:color w:val="000000" w:themeColor="text1"/>
                <w:sz w:val="16"/>
                <w:szCs w:val="16"/>
              </w:rPr>
            </w:pPr>
          </w:p>
        </w:tc>
        <w:tc>
          <w:tcPr>
            <w:tcW w:w="1985" w:type="dxa"/>
          </w:tcPr>
          <w:p w14:paraId="17020CB5" w14:textId="77777777" w:rsidR="00531570" w:rsidRPr="00D03F3E" w:rsidRDefault="00531570" w:rsidP="00D03F3E">
            <w:pPr>
              <w:pStyle w:val="Iauiue"/>
              <w:jc w:val="both"/>
              <w:rPr>
                <w:color w:val="000000" w:themeColor="text1"/>
                <w:sz w:val="16"/>
                <w:szCs w:val="16"/>
              </w:rPr>
            </w:pPr>
          </w:p>
        </w:tc>
      </w:tr>
      <w:tr w:rsidR="00860B4B" w:rsidRPr="00D03F3E" w14:paraId="63BB4DAA" w14:textId="77777777">
        <w:tc>
          <w:tcPr>
            <w:tcW w:w="3736" w:type="dxa"/>
          </w:tcPr>
          <w:p w14:paraId="6925DE4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подвижная вперед</w:t>
            </w:r>
          </w:p>
        </w:tc>
        <w:tc>
          <w:tcPr>
            <w:tcW w:w="2042" w:type="dxa"/>
          </w:tcPr>
          <w:p w14:paraId="6CCE290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1хпушка 20 мм</w:t>
            </w:r>
          </w:p>
        </w:tc>
        <w:tc>
          <w:tcPr>
            <w:tcW w:w="1985" w:type="dxa"/>
          </w:tcPr>
          <w:p w14:paraId="3C09EC4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1хШКАС</w:t>
            </w:r>
          </w:p>
        </w:tc>
      </w:tr>
      <w:tr w:rsidR="00860B4B" w:rsidRPr="00D03F3E" w14:paraId="1068D557" w14:textId="77777777">
        <w:tc>
          <w:tcPr>
            <w:tcW w:w="3736" w:type="dxa"/>
          </w:tcPr>
          <w:p w14:paraId="239F711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подвижная вверх</w:t>
            </w:r>
          </w:p>
        </w:tc>
        <w:tc>
          <w:tcPr>
            <w:tcW w:w="2042" w:type="dxa"/>
          </w:tcPr>
          <w:p w14:paraId="36C23C4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1хМГ-131</w:t>
            </w:r>
          </w:p>
        </w:tc>
        <w:tc>
          <w:tcPr>
            <w:tcW w:w="1985" w:type="dxa"/>
          </w:tcPr>
          <w:p w14:paraId="548F16C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1хУБТ</w:t>
            </w:r>
          </w:p>
        </w:tc>
      </w:tr>
      <w:tr w:rsidR="00860B4B" w:rsidRPr="00D03F3E" w14:paraId="06F6A283" w14:textId="77777777">
        <w:tc>
          <w:tcPr>
            <w:tcW w:w="3736" w:type="dxa"/>
          </w:tcPr>
          <w:p w14:paraId="20CD1B5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подвижная вниз</w:t>
            </w:r>
          </w:p>
        </w:tc>
        <w:tc>
          <w:tcPr>
            <w:tcW w:w="2042" w:type="dxa"/>
          </w:tcPr>
          <w:p w14:paraId="779D821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спаркаМГ-81</w:t>
            </w:r>
          </w:p>
        </w:tc>
        <w:tc>
          <w:tcPr>
            <w:tcW w:w="1985" w:type="dxa"/>
          </w:tcPr>
          <w:p w14:paraId="70945E6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1хШКАС</w:t>
            </w:r>
          </w:p>
        </w:tc>
      </w:tr>
      <w:tr w:rsidR="00860B4B" w:rsidRPr="00D03F3E" w14:paraId="6894722D" w14:textId="77777777">
        <w:tc>
          <w:tcPr>
            <w:tcW w:w="3736" w:type="dxa"/>
          </w:tcPr>
          <w:p w14:paraId="3EC5304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 подвижная люковая</w:t>
            </w:r>
          </w:p>
        </w:tc>
        <w:tc>
          <w:tcPr>
            <w:tcW w:w="2042" w:type="dxa"/>
          </w:tcPr>
          <w:p w14:paraId="2DD96EC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2хМК-15</w:t>
            </w:r>
          </w:p>
        </w:tc>
        <w:tc>
          <w:tcPr>
            <w:tcW w:w="1985" w:type="dxa"/>
          </w:tcPr>
          <w:p w14:paraId="097BAC7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нет</w:t>
            </w:r>
          </w:p>
        </w:tc>
      </w:tr>
      <w:tr w:rsidR="00860B4B" w:rsidRPr="00D03F3E" w14:paraId="4C1E1792" w14:textId="77777777">
        <w:tc>
          <w:tcPr>
            <w:tcW w:w="3736" w:type="dxa"/>
          </w:tcPr>
          <w:p w14:paraId="21ED087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 правый и левый бортовые</w:t>
            </w:r>
          </w:p>
        </w:tc>
        <w:tc>
          <w:tcPr>
            <w:tcW w:w="2042" w:type="dxa"/>
          </w:tcPr>
          <w:p w14:paraId="1D6B324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2хМГ-15</w:t>
            </w:r>
          </w:p>
        </w:tc>
        <w:tc>
          <w:tcPr>
            <w:tcW w:w="1985" w:type="dxa"/>
          </w:tcPr>
          <w:p w14:paraId="3473736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нет</w:t>
            </w:r>
          </w:p>
        </w:tc>
      </w:tr>
      <w:tr w:rsidR="00860B4B" w:rsidRPr="00D03F3E" w14:paraId="2F32E8E3" w14:textId="77777777">
        <w:tc>
          <w:tcPr>
            <w:tcW w:w="3736" w:type="dxa"/>
          </w:tcPr>
          <w:p w14:paraId="397B12E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Бомбардировочное вооружение</w:t>
            </w:r>
          </w:p>
        </w:tc>
        <w:tc>
          <w:tcPr>
            <w:tcW w:w="2042" w:type="dxa"/>
          </w:tcPr>
          <w:p w14:paraId="41902F95" w14:textId="77777777" w:rsidR="00531570" w:rsidRPr="00D03F3E" w:rsidRDefault="00531570" w:rsidP="00D03F3E">
            <w:pPr>
              <w:pStyle w:val="Iauiue"/>
              <w:jc w:val="both"/>
              <w:rPr>
                <w:color w:val="000000" w:themeColor="text1"/>
                <w:sz w:val="16"/>
                <w:szCs w:val="16"/>
              </w:rPr>
            </w:pPr>
          </w:p>
        </w:tc>
        <w:tc>
          <w:tcPr>
            <w:tcW w:w="1985" w:type="dxa"/>
          </w:tcPr>
          <w:p w14:paraId="537E4BE8" w14:textId="77777777" w:rsidR="00531570" w:rsidRPr="00D03F3E" w:rsidRDefault="00531570" w:rsidP="00D03F3E">
            <w:pPr>
              <w:pStyle w:val="Iauiue"/>
              <w:jc w:val="both"/>
              <w:rPr>
                <w:color w:val="000000" w:themeColor="text1"/>
                <w:sz w:val="16"/>
                <w:szCs w:val="16"/>
              </w:rPr>
            </w:pPr>
          </w:p>
        </w:tc>
      </w:tr>
      <w:tr w:rsidR="00860B4B" w:rsidRPr="00D03F3E" w14:paraId="4BD662F0" w14:textId="77777777">
        <w:tc>
          <w:tcPr>
            <w:tcW w:w="3736" w:type="dxa"/>
          </w:tcPr>
          <w:p w14:paraId="4F1D0BA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наружное</w:t>
            </w:r>
          </w:p>
        </w:tc>
        <w:tc>
          <w:tcPr>
            <w:tcW w:w="2042" w:type="dxa"/>
          </w:tcPr>
          <w:p w14:paraId="2853FE0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2000-3000</w:t>
            </w:r>
          </w:p>
        </w:tc>
        <w:tc>
          <w:tcPr>
            <w:tcW w:w="1985" w:type="dxa"/>
          </w:tcPr>
          <w:p w14:paraId="3945F50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1500</w:t>
            </w:r>
          </w:p>
        </w:tc>
      </w:tr>
      <w:tr w:rsidR="00860B4B" w:rsidRPr="00D03F3E" w14:paraId="195FAAEC" w14:textId="77777777">
        <w:tc>
          <w:tcPr>
            <w:tcW w:w="3736" w:type="dxa"/>
          </w:tcPr>
          <w:p w14:paraId="7A9E770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внутреннее</w:t>
            </w:r>
          </w:p>
        </w:tc>
        <w:tc>
          <w:tcPr>
            <w:tcW w:w="2042" w:type="dxa"/>
          </w:tcPr>
          <w:p w14:paraId="2C48A88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нет</w:t>
            </w:r>
          </w:p>
        </w:tc>
        <w:tc>
          <w:tcPr>
            <w:tcW w:w="1985" w:type="dxa"/>
          </w:tcPr>
          <w:p w14:paraId="7A75EF0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w:t>
            </w:r>
          </w:p>
        </w:tc>
      </w:tr>
      <w:tr w:rsidR="00860B4B" w:rsidRPr="00D03F3E" w14:paraId="6FA757E4" w14:textId="77777777">
        <w:tc>
          <w:tcPr>
            <w:tcW w:w="3736" w:type="dxa"/>
          </w:tcPr>
          <w:p w14:paraId="062CEF6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Калибры бомб</w:t>
            </w:r>
          </w:p>
        </w:tc>
        <w:tc>
          <w:tcPr>
            <w:tcW w:w="2042" w:type="dxa"/>
          </w:tcPr>
          <w:p w14:paraId="04E85FAB" w14:textId="77777777" w:rsidR="00531570" w:rsidRPr="00D03F3E" w:rsidRDefault="00531570" w:rsidP="00D03F3E">
            <w:pPr>
              <w:pStyle w:val="Iauiue"/>
              <w:jc w:val="both"/>
              <w:rPr>
                <w:color w:val="000000" w:themeColor="text1"/>
                <w:sz w:val="16"/>
                <w:szCs w:val="16"/>
              </w:rPr>
            </w:pPr>
          </w:p>
        </w:tc>
        <w:tc>
          <w:tcPr>
            <w:tcW w:w="1985" w:type="dxa"/>
          </w:tcPr>
          <w:p w14:paraId="61AAC729" w14:textId="77777777" w:rsidR="00531570" w:rsidRPr="00D03F3E" w:rsidRDefault="00531570" w:rsidP="00D03F3E">
            <w:pPr>
              <w:pStyle w:val="Iauiue"/>
              <w:jc w:val="both"/>
              <w:rPr>
                <w:color w:val="000000" w:themeColor="text1"/>
                <w:sz w:val="16"/>
                <w:szCs w:val="16"/>
              </w:rPr>
            </w:pPr>
          </w:p>
        </w:tc>
      </w:tr>
      <w:tr w:rsidR="00860B4B" w:rsidRPr="00D03F3E" w14:paraId="1F17A6D1" w14:textId="77777777">
        <w:tc>
          <w:tcPr>
            <w:tcW w:w="3736" w:type="dxa"/>
          </w:tcPr>
          <w:p w14:paraId="01E3CA8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снаружи</w:t>
            </w:r>
          </w:p>
        </w:tc>
        <w:tc>
          <w:tcPr>
            <w:tcW w:w="2042" w:type="dxa"/>
          </w:tcPr>
          <w:p w14:paraId="1ADD6AE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1985" w:type="dxa"/>
          </w:tcPr>
          <w:p w14:paraId="3B5AA27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 и 500</w:t>
            </w:r>
          </w:p>
        </w:tc>
      </w:tr>
      <w:tr w:rsidR="00860B4B" w:rsidRPr="00D03F3E" w14:paraId="1D5F71E3" w14:textId="77777777">
        <w:tc>
          <w:tcPr>
            <w:tcW w:w="3736" w:type="dxa"/>
          </w:tcPr>
          <w:p w14:paraId="696775D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внутри</w:t>
            </w:r>
          </w:p>
        </w:tc>
        <w:tc>
          <w:tcPr>
            <w:tcW w:w="2042" w:type="dxa"/>
          </w:tcPr>
          <w:p w14:paraId="4121AC9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нет</w:t>
            </w:r>
          </w:p>
        </w:tc>
        <w:tc>
          <w:tcPr>
            <w:tcW w:w="1985" w:type="dxa"/>
          </w:tcPr>
          <w:p w14:paraId="43E7597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r>
      <w:tr w:rsidR="00860B4B" w:rsidRPr="00D03F3E" w14:paraId="74D74639" w14:textId="77777777">
        <w:tc>
          <w:tcPr>
            <w:tcW w:w="3736" w:type="dxa"/>
          </w:tcPr>
          <w:p w14:paraId="71A0D48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Нагрузка на 1 кв. м</w:t>
            </w:r>
          </w:p>
        </w:tc>
        <w:tc>
          <w:tcPr>
            <w:tcW w:w="2042" w:type="dxa"/>
          </w:tcPr>
          <w:p w14:paraId="4206085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135</w:t>
            </w:r>
          </w:p>
        </w:tc>
        <w:tc>
          <w:tcPr>
            <w:tcW w:w="1985" w:type="dxa"/>
          </w:tcPr>
          <w:p w14:paraId="7C7A248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138</w:t>
            </w:r>
          </w:p>
        </w:tc>
      </w:tr>
      <w:tr w:rsidR="00860B4B" w:rsidRPr="00D03F3E" w14:paraId="5CCEDB48" w14:textId="77777777">
        <w:tc>
          <w:tcPr>
            <w:tcW w:w="3736" w:type="dxa"/>
          </w:tcPr>
          <w:p w14:paraId="01ADDF2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Нагрузка на лс</w:t>
            </w:r>
          </w:p>
        </w:tc>
        <w:tc>
          <w:tcPr>
            <w:tcW w:w="2042" w:type="dxa"/>
          </w:tcPr>
          <w:p w14:paraId="065600E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4,3</w:t>
            </w:r>
          </w:p>
        </w:tc>
        <w:tc>
          <w:tcPr>
            <w:tcW w:w="1985" w:type="dxa"/>
          </w:tcPr>
          <w:p w14:paraId="2C6C964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4,25</w:t>
            </w:r>
          </w:p>
        </w:tc>
      </w:tr>
      <w:tr w:rsidR="00860B4B" w:rsidRPr="00D03F3E" w14:paraId="3BDE62A4" w14:textId="77777777">
        <w:tc>
          <w:tcPr>
            <w:tcW w:w="3736" w:type="dxa"/>
          </w:tcPr>
          <w:p w14:paraId="06BF498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на о</w:t>
            </w:r>
          </w:p>
        </w:tc>
        <w:tc>
          <w:tcPr>
            <w:tcW w:w="2042" w:type="dxa"/>
          </w:tcPr>
          <w:p w14:paraId="7373FB6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330</w:t>
            </w:r>
          </w:p>
        </w:tc>
        <w:tc>
          <w:tcPr>
            <w:tcW w:w="1985" w:type="dxa"/>
          </w:tcPr>
          <w:p w14:paraId="4380B64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341</w:t>
            </w:r>
          </w:p>
        </w:tc>
      </w:tr>
      <w:tr w:rsidR="00860B4B" w:rsidRPr="00D03F3E" w14:paraId="63D90002" w14:textId="77777777">
        <w:tc>
          <w:tcPr>
            <w:tcW w:w="3736" w:type="dxa"/>
          </w:tcPr>
          <w:p w14:paraId="5D7B100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1000</w:t>
            </w:r>
          </w:p>
        </w:tc>
        <w:tc>
          <w:tcPr>
            <w:tcW w:w="2042" w:type="dxa"/>
          </w:tcPr>
          <w:p w14:paraId="5522F6A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347</w:t>
            </w:r>
          </w:p>
        </w:tc>
        <w:tc>
          <w:tcPr>
            <w:tcW w:w="1985" w:type="dxa"/>
          </w:tcPr>
          <w:p w14:paraId="395DF05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355</w:t>
            </w:r>
          </w:p>
        </w:tc>
      </w:tr>
      <w:tr w:rsidR="00860B4B" w:rsidRPr="00D03F3E" w14:paraId="0CDC7C58" w14:textId="77777777">
        <w:tc>
          <w:tcPr>
            <w:tcW w:w="3736" w:type="dxa"/>
          </w:tcPr>
          <w:p w14:paraId="16E2297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3000</w:t>
            </w:r>
          </w:p>
        </w:tc>
        <w:tc>
          <w:tcPr>
            <w:tcW w:w="2042" w:type="dxa"/>
          </w:tcPr>
          <w:p w14:paraId="7D5E754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368</w:t>
            </w:r>
          </w:p>
        </w:tc>
        <w:tc>
          <w:tcPr>
            <w:tcW w:w="1985" w:type="dxa"/>
          </w:tcPr>
          <w:p w14:paraId="2BC7037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384</w:t>
            </w:r>
          </w:p>
        </w:tc>
      </w:tr>
      <w:tr w:rsidR="00860B4B" w:rsidRPr="00D03F3E" w14:paraId="754779CD" w14:textId="77777777">
        <w:tc>
          <w:tcPr>
            <w:tcW w:w="3736" w:type="dxa"/>
          </w:tcPr>
          <w:p w14:paraId="019AF17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5000</w:t>
            </w:r>
          </w:p>
        </w:tc>
        <w:tc>
          <w:tcPr>
            <w:tcW w:w="2042" w:type="dxa"/>
          </w:tcPr>
          <w:p w14:paraId="302E56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393</w:t>
            </w:r>
          </w:p>
        </w:tc>
        <w:tc>
          <w:tcPr>
            <w:tcW w:w="1985" w:type="dxa"/>
          </w:tcPr>
          <w:p w14:paraId="7CBCE26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392</w:t>
            </w:r>
          </w:p>
        </w:tc>
      </w:tr>
      <w:tr w:rsidR="00860B4B" w:rsidRPr="00D03F3E" w14:paraId="5DDB4204" w14:textId="77777777">
        <w:tc>
          <w:tcPr>
            <w:tcW w:w="3736" w:type="dxa"/>
          </w:tcPr>
          <w:p w14:paraId="52189BF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6000</w:t>
            </w:r>
          </w:p>
        </w:tc>
        <w:tc>
          <w:tcPr>
            <w:tcW w:w="2042" w:type="dxa"/>
          </w:tcPr>
          <w:p w14:paraId="1525361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396</w:t>
            </w:r>
          </w:p>
        </w:tc>
        <w:tc>
          <w:tcPr>
            <w:tcW w:w="1985" w:type="dxa"/>
          </w:tcPr>
          <w:p w14:paraId="4F99E46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403</w:t>
            </w:r>
          </w:p>
        </w:tc>
      </w:tr>
      <w:tr w:rsidR="00860B4B" w:rsidRPr="00D03F3E" w14:paraId="07B025E7" w14:textId="77777777">
        <w:tc>
          <w:tcPr>
            <w:tcW w:w="3736" w:type="dxa"/>
          </w:tcPr>
          <w:p w14:paraId="3F80790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7000</w:t>
            </w:r>
          </w:p>
        </w:tc>
        <w:tc>
          <w:tcPr>
            <w:tcW w:w="2042" w:type="dxa"/>
          </w:tcPr>
          <w:p w14:paraId="3EB0F39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378</w:t>
            </w:r>
          </w:p>
        </w:tc>
        <w:tc>
          <w:tcPr>
            <w:tcW w:w="1985" w:type="dxa"/>
          </w:tcPr>
          <w:p w14:paraId="257EAC9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398</w:t>
            </w:r>
          </w:p>
        </w:tc>
      </w:tr>
      <w:tr w:rsidR="00860B4B" w:rsidRPr="00D03F3E" w14:paraId="6250567C" w14:textId="77777777">
        <w:tc>
          <w:tcPr>
            <w:tcW w:w="3736" w:type="dxa"/>
          </w:tcPr>
          <w:p w14:paraId="0BAACAD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2-й гр. высотности</w:t>
            </w:r>
          </w:p>
        </w:tc>
        <w:tc>
          <w:tcPr>
            <w:tcW w:w="2042" w:type="dxa"/>
          </w:tcPr>
          <w:p w14:paraId="32353FC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400/5700</w:t>
            </w:r>
          </w:p>
        </w:tc>
        <w:tc>
          <w:tcPr>
            <w:tcW w:w="1985" w:type="dxa"/>
          </w:tcPr>
          <w:p w14:paraId="3FDB7CD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406/6400</w:t>
            </w:r>
          </w:p>
        </w:tc>
      </w:tr>
      <w:tr w:rsidR="00860B4B" w:rsidRPr="00D03F3E" w14:paraId="025A9F01" w14:textId="77777777">
        <w:tc>
          <w:tcPr>
            <w:tcW w:w="3736" w:type="dxa"/>
          </w:tcPr>
          <w:p w14:paraId="3F12B6D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Время набора 5000</w:t>
            </w:r>
          </w:p>
        </w:tc>
        <w:tc>
          <w:tcPr>
            <w:tcW w:w="2042" w:type="dxa"/>
          </w:tcPr>
          <w:p w14:paraId="4BFDA0F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w:t>
            </w:r>
          </w:p>
        </w:tc>
        <w:tc>
          <w:tcPr>
            <w:tcW w:w="1985" w:type="dxa"/>
          </w:tcPr>
          <w:p w14:paraId="5C13E59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16,1</w:t>
            </w:r>
          </w:p>
        </w:tc>
      </w:tr>
      <w:tr w:rsidR="00860B4B" w:rsidRPr="00D03F3E" w14:paraId="18E9B819" w14:textId="77777777">
        <w:tc>
          <w:tcPr>
            <w:tcW w:w="3736" w:type="dxa"/>
          </w:tcPr>
          <w:p w14:paraId="6992AD1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Пактический потолок</w:t>
            </w:r>
          </w:p>
        </w:tc>
        <w:tc>
          <w:tcPr>
            <w:tcW w:w="2042" w:type="dxa"/>
          </w:tcPr>
          <w:p w14:paraId="3B0779B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8750</w:t>
            </w:r>
          </w:p>
        </w:tc>
        <w:tc>
          <w:tcPr>
            <w:tcW w:w="1985" w:type="dxa"/>
          </w:tcPr>
          <w:p w14:paraId="28D545F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8750</w:t>
            </w:r>
          </w:p>
        </w:tc>
      </w:tr>
      <w:tr w:rsidR="00860B4B" w:rsidRPr="00D03F3E" w14:paraId="0EC934A3" w14:textId="77777777">
        <w:tc>
          <w:tcPr>
            <w:tcW w:w="3736" w:type="dxa"/>
          </w:tcPr>
          <w:p w14:paraId="594866B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Разбег</w:t>
            </w:r>
          </w:p>
        </w:tc>
        <w:tc>
          <w:tcPr>
            <w:tcW w:w="2042" w:type="dxa"/>
          </w:tcPr>
          <w:p w14:paraId="4999F0F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560/11000</w:t>
            </w:r>
          </w:p>
        </w:tc>
        <w:tc>
          <w:tcPr>
            <w:tcW w:w="1985" w:type="dxa"/>
          </w:tcPr>
          <w:p w14:paraId="31BF310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530</w:t>
            </w:r>
          </w:p>
        </w:tc>
      </w:tr>
      <w:tr w:rsidR="00860B4B" w:rsidRPr="00D03F3E" w14:paraId="6966674C" w14:textId="77777777">
        <w:tc>
          <w:tcPr>
            <w:tcW w:w="3736" w:type="dxa"/>
          </w:tcPr>
          <w:p w14:paraId="57F5092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Вздллетная дистанция</w:t>
            </w:r>
          </w:p>
        </w:tc>
        <w:tc>
          <w:tcPr>
            <w:tcW w:w="2042" w:type="dxa"/>
          </w:tcPr>
          <w:p w14:paraId="6E6E443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1200</w:t>
            </w:r>
          </w:p>
        </w:tc>
        <w:tc>
          <w:tcPr>
            <w:tcW w:w="1985" w:type="dxa"/>
          </w:tcPr>
          <w:p w14:paraId="173BBA4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1400</w:t>
            </w:r>
          </w:p>
        </w:tc>
      </w:tr>
      <w:tr w:rsidR="00860B4B" w:rsidRPr="00D03F3E" w14:paraId="7D498DAD" w14:textId="77777777">
        <w:tc>
          <w:tcPr>
            <w:tcW w:w="3736" w:type="dxa"/>
          </w:tcPr>
          <w:p w14:paraId="1895B43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Пробег</w:t>
            </w:r>
          </w:p>
        </w:tc>
        <w:tc>
          <w:tcPr>
            <w:tcW w:w="2042" w:type="dxa"/>
          </w:tcPr>
          <w:p w14:paraId="422F612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495</w:t>
            </w:r>
          </w:p>
        </w:tc>
        <w:tc>
          <w:tcPr>
            <w:tcW w:w="1985" w:type="dxa"/>
          </w:tcPr>
          <w:p w14:paraId="2EAEA70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410</w:t>
            </w:r>
          </w:p>
        </w:tc>
      </w:tr>
      <w:tr w:rsidR="00860B4B" w:rsidRPr="00D03F3E" w14:paraId="3A4F88C4" w14:textId="77777777">
        <w:tc>
          <w:tcPr>
            <w:tcW w:w="3736" w:type="dxa"/>
          </w:tcPr>
          <w:p w14:paraId="09CD2E8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Посадочная скорость</w:t>
            </w:r>
          </w:p>
        </w:tc>
        <w:tc>
          <w:tcPr>
            <w:tcW w:w="2042" w:type="dxa"/>
          </w:tcPr>
          <w:p w14:paraId="1F7E63C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133</w:t>
            </w:r>
          </w:p>
        </w:tc>
        <w:tc>
          <w:tcPr>
            <w:tcW w:w="1985" w:type="dxa"/>
          </w:tcPr>
          <w:p w14:paraId="4EC6C3B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129</w:t>
            </w:r>
          </w:p>
        </w:tc>
      </w:tr>
      <w:tr w:rsidR="00860B4B" w:rsidRPr="00D03F3E" w14:paraId="33EDA3C9" w14:textId="77777777">
        <w:tc>
          <w:tcPr>
            <w:tcW w:w="3736" w:type="dxa"/>
            <w:tcBorders>
              <w:bottom w:val="single" w:sz="12" w:space="0" w:color="auto"/>
            </w:tcBorders>
          </w:tcPr>
          <w:p w14:paraId="183EAB0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Дальность</w:t>
            </w:r>
          </w:p>
        </w:tc>
        <w:tc>
          <w:tcPr>
            <w:tcW w:w="2042" w:type="dxa"/>
            <w:tcBorders>
              <w:bottom w:val="single" w:sz="12" w:space="0" w:color="auto"/>
            </w:tcBorders>
          </w:tcPr>
          <w:p w14:paraId="3733437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2300 на 0,9 на 5000 м</w:t>
            </w:r>
          </w:p>
        </w:tc>
        <w:tc>
          <w:tcPr>
            <w:tcW w:w="1985" w:type="dxa"/>
            <w:tcBorders>
              <w:bottom w:val="single" w:sz="12" w:space="0" w:color="auto"/>
            </w:tcBorders>
          </w:tcPr>
          <w:p w14:paraId="44B020F8" w14:textId="77777777" w:rsidR="00531570" w:rsidRPr="00D03F3E" w:rsidRDefault="00531570" w:rsidP="00D03F3E">
            <w:pPr>
              <w:pStyle w:val="Iauiue"/>
              <w:jc w:val="both"/>
              <w:rPr>
                <w:color w:val="000000" w:themeColor="text1"/>
                <w:sz w:val="16"/>
                <w:szCs w:val="16"/>
              </w:rPr>
            </w:pPr>
          </w:p>
        </w:tc>
      </w:tr>
    </w:tbl>
    <w:p w14:paraId="3EB119C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Выводы:</w:t>
      </w:r>
    </w:p>
    <w:p w14:paraId="2B35E2B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Хе-11 меньше скорости Ил-4 у земли на 11, на 3000 м на 16, на 7000 на 19, время набора 5000 больше на 3,9, пробег и разбег практически одинаковы</w:t>
      </w:r>
    </w:p>
    <w:p w14:paraId="4D4886D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вооружению Н-11 является одной из последних модификаций Хе-111 (усиление огневой защиты в секторах наиболее вероятных атак передней, нижней т верхней задней полусферы), замена простых кольцевых прицелов с мушкой коллиматорными прицелами с механизмом стабилизации вектора собственной скорости с-та, рост числа патронов для всех пулеметов с доведением времени непрерывной стрельюы до 75 сек. (на отечественных с-тах это время в среднем 15 сек.). Увеличение бомбовой нагрузки и калибра бомб (внутрення подвеска требует сложной конструктивной переделки). Исходя из условий прочности с-та и обеспечения взлета с перегрузкой (до 14000 - 15000 м) можно предвидеть бомбовую нагрузку до 3000 кг.</w:t>
      </w:r>
    </w:p>
    <w:p w14:paraId="726A9F1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технике прилотирования с-т прост. Обладает хорошей управляемостью и устойчивостью. Доступен л средней квалификации. Удобен для л. Обзор - хорош. Расположение ручек управления и приборов хорошо и обеспечивает выполнение полетов днем и ночью на всех высотах в длительных полетах. Расположение экипажа в д-х местной кабине рядом при наличии свободного прозода из кабины в кабину увеличивает его боеспособность, позволяя осуществлять взаимопомощь и хорошую непосредственную связь. Бронирование экипажа не является удовлетворительным (толщина брони 10 мм и нет защиты сверху и сзади).</w:t>
      </w:r>
    </w:p>
    <w:p w14:paraId="7F65B77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ВМГ достаточна надежна и проста в эксплуатации.</w:t>
      </w:r>
    </w:p>
    <w:p w14:paraId="7C3BBA4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ВМГ имеет ряд положительных сторон, отсутствующих на наших с-тах. Основные из них:</w:t>
      </w:r>
    </w:p>
    <w:p w14:paraId="1A66073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наличие автомата переключения скоростей нагнетателя, флегирования винтов, аварийного слива горючего при помощи выдавливания горючего из бака нейтральным газом, применением ацетилена для холодного запуска моторов, наличие расходометров горючего, показывающих расход горючего при юбом режиме работы мотора в литровом исчислении, возможность замены моторов вместе с подмоторной рамой и со смонтированными на них агрегатами.</w:t>
      </w:r>
    </w:p>
    <w:p w14:paraId="57309A1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Подписали Грибакин 17 и Ашитков 19 июня 1943</w:t>
      </w:r>
    </w:p>
    <w:p w14:paraId="7E93F92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Из Заключения:</w:t>
      </w:r>
    </w:p>
    <w:p w14:paraId="0DCB6CF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Макс. скорость Хе-11 меньше скорости Ил-4 у земли на 11, на 3000 м на 16, на 7000 на 19, время набора 5000 больше на 3,9, пробег и разбег практически одинаковы</w:t>
      </w:r>
    </w:p>
    <w:p w14:paraId="501F56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ВМГ, спецоборудование и вооружение Хе-11 Н-11 в сравнении с Хе-111 прежних выпусков значительно улучшились</w:t>
      </w:r>
    </w:p>
    <w:p w14:paraId="5D55D7B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Для изучения отечественной промышленностью представляют интерес:</w:t>
      </w:r>
    </w:p>
    <w:p w14:paraId="4140CA9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автомат переключения скорости нагнетателя</w:t>
      </w:r>
    </w:p>
    <w:p w14:paraId="6DA7DCA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дистанционные установки винта Юнкерс 11 во флюгерное положение</w:t>
      </w:r>
    </w:p>
    <w:p w14:paraId="5BC9443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система холодного запуска моторов на ацетитене</w:t>
      </w:r>
    </w:p>
    <w:p w14:paraId="534BDA4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система авиарийного слива горючего</w:t>
      </w:r>
    </w:p>
    <w:p w14:paraId="2002F61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электрические расходомеры горючего</w:t>
      </w:r>
    </w:p>
    <w:p w14:paraId="2CA7D80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автоматический РПК</w:t>
      </w:r>
    </w:p>
    <w:p w14:paraId="3E1842B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точный электрический высотомер</w:t>
      </w:r>
    </w:p>
    <w:p w14:paraId="43C33D3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электрическая установка мотор-генератор</w:t>
      </w:r>
    </w:p>
    <w:p w14:paraId="34105AA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Подписано 19 июня 1943 (797,3).</w:t>
      </w:r>
    </w:p>
    <w:p w14:paraId="72733D57" w14:textId="77777777" w:rsidR="00531570" w:rsidRPr="00D03F3E" w:rsidRDefault="00531570" w:rsidP="00D03F3E">
      <w:pPr>
        <w:pStyle w:val="Iauiue"/>
        <w:jc w:val="both"/>
        <w:rPr>
          <w:color w:val="000000" w:themeColor="text1"/>
          <w:sz w:val="16"/>
          <w:szCs w:val="16"/>
        </w:rPr>
      </w:pPr>
    </w:p>
    <w:p w14:paraId="4A05300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 мая 1943 Пе-8 (ТБ-7) N 4215 столкнулся с взлетающим Як-7 (1103,119).</w:t>
      </w:r>
    </w:p>
    <w:p w14:paraId="4410A5CE" w14:textId="77777777" w:rsidR="00531570" w:rsidRPr="00D03F3E" w:rsidRDefault="00531570" w:rsidP="00D03F3E">
      <w:pPr>
        <w:pStyle w:val="Iauiue"/>
        <w:jc w:val="both"/>
        <w:rPr>
          <w:color w:val="000000" w:themeColor="text1"/>
          <w:sz w:val="16"/>
          <w:szCs w:val="16"/>
        </w:rPr>
      </w:pPr>
    </w:p>
    <w:p w14:paraId="4DB5B630"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4F1B2DEC" w14:textId="77777777" w:rsidR="00531570" w:rsidRPr="00D03F3E" w:rsidRDefault="00531570" w:rsidP="00D03F3E">
      <w:pPr>
        <w:pStyle w:val="Iauiue"/>
        <w:jc w:val="both"/>
        <w:rPr>
          <w:iCs/>
          <w:color w:val="000000" w:themeColor="text1"/>
          <w:sz w:val="16"/>
          <w:szCs w:val="16"/>
        </w:rPr>
      </w:pPr>
    </w:p>
    <w:p w14:paraId="60BD927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 мая 1943 г. вышел ПРИКАЗ № 0090 О РАЗВИТИИ И РУКОВОДСТВЕ РАБОТАМИ ПО ТЕХНИКЕ ОБНАРУЖЕНИЯ САМОЛЕТОВ, НАВЕДЕНИЯ ИСТРЕБИТЕЛЬНОЙ АВИАЦИИ НА ЦЕЛЬ И АРТИЛЛЕРИЙСКОЙ РАДИОПЕЛЕНГАЦИИ</w:t>
      </w:r>
    </w:p>
    <w:p w14:paraId="63A805D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целях более успешного развития и правильной эксплуатации техники обнаружения самолетов, наведения истребительной авиации на цель и корректирования огня зенитной артиллерии с помощью радио приказываю:</w:t>
      </w:r>
    </w:p>
    <w:p w14:paraId="3FF4EE8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Возложить на командующего войсками ПВО ТС т. Громадина руководство работами по разработкам и снабжению наземной техникой для обнаружения самолетов, наведения истребительной авиации на цель и артиллерийской радиопеленгации.</w:t>
      </w:r>
    </w:p>
    <w:p w14:paraId="3270BB8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2. Возложить на командующего войсками ВВС Красной Армии т. Новикова руководство работами по разработкам и снабжению самолетов техникой для обнаружения и опознавания самолетов, наведения истребительной авиации на цель и ведения прицельного огня с самолетов ВВС КА и истребительной авиации войск ПВО территории страны.</w:t>
      </w:r>
    </w:p>
    <w:p w14:paraId="29D783F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В управлениях ПВО территории страны и ВВС Красной Армии организовать соответствующие аппараты, закончив формирование их к 15 июня 1943 года.</w:t>
      </w:r>
    </w:p>
    <w:p w14:paraId="4BED49C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ГУСКА и ГАУ КА передать, а управлениям ПВО ТС и ВВС КА принять:</w:t>
      </w:r>
    </w:p>
    <w:p w14:paraId="69335A7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ведение заказов, расчеты по ним, хранение, снабжение войсковых частей и ремонт приборов обнаружения, наведения и артиллерийских радиопеленгаторов;</w:t>
      </w:r>
    </w:p>
    <w:p w14:paraId="7222498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опытное строительство и научно-исследовательские работы по технике обнаружения, наведения и радиопеленгации.</w:t>
      </w:r>
    </w:p>
    <w:p w14:paraId="286C29D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ГУСКА передать командующему войсками ПВО территории страны 6-й отдел НИИС Красной Армии с его личным составом, оборудованием и помещениями.</w:t>
      </w:r>
    </w:p>
    <w:p w14:paraId="588D2C5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Обязать управления ПВО территории страны, ВВС Красной Армии и ГАУ Красной Армии в обязательном порядке согласовывать между собой тактико-технические данные на разработки комплексных станций обнаружения, наведения и артиллерийской радиопеленгации.</w:t>
      </w:r>
    </w:p>
    <w:p w14:paraId="3AEAD14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 Новые разработки по наземной технике обнаружения, наведения и корректирования огня ЗА частей Красной Армии производить по заказам управлений ПВО территории страны, а по самолетным установкам — ВВС Красной Армии.</w:t>
      </w:r>
    </w:p>
    <w:p w14:paraId="5D6BA287" w14:textId="77777777" w:rsidR="00531570" w:rsidRPr="00D03F3E" w:rsidRDefault="00531570" w:rsidP="00D03F3E">
      <w:pPr>
        <w:pStyle w:val="Iauiue"/>
        <w:jc w:val="both"/>
        <w:rPr>
          <w:color w:val="000000" w:themeColor="text1"/>
          <w:sz w:val="16"/>
          <w:szCs w:val="16"/>
        </w:rPr>
      </w:pPr>
      <w:r w:rsidRPr="00D03F3E">
        <w:rPr>
          <w:iCs/>
          <w:color w:val="000000" w:themeColor="text1"/>
          <w:sz w:val="16"/>
          <w:szCs w:val="16"/>
        </w:rPr>
        <w:t xml:space="preserve">Заместитель Народного комиссара обороны СССР Маршал Советского Союза Г. ЖУКОВ </w:t>
      </w:r>
      <w:r w:rsidRPr="00D03F3E">
        <w:rPr>
          <w:color w:val="000000" w:themeColor="text1"/>
          <w:sz w:val="16"/>
          <w:szCs w:val="16"/>
        </w:rPr>
        <w:t>(9844).</w:t>
      </w:r>
    </w:p>
    <w:p w14:paraId="0546FA0D" w14:textId="77777777" w:rsidR="00531570" w:rsidRPr="00D03F3E" w:rsidRDefault="00531570" w:rsidP="00D03F3E">
      <w:pPr>
        <w:pStyle w:val="Iauiue"/>
        <w:jc w:val="both"/>
        <w:rPr>
          <w:color w:val="000000" w:themeColor="text1"/>
          <w:sz w:val="16"/>
          <w:szCs w:val="16"/>
        </w:rPr>
      </w:pPr>
    </w:p>
    <w:p w14:paraId="0EF3728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мая 1943 вышло Распоряжение ГКО № 3455. О выделении заводу № 102 НКХП 500 военнообязанных годных к физическому труду для работы с ОВ.РГАНИР, Фонд ГКО, д. 120, лл. 120 (11012).</w:t>
      </w:r>
    </w:p>
    <w:p w14:paraId="2C7C980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2E1243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мая 1943 вышло Постановление ГКО № 3456 О плане распределения электроэнергии на июнь 1943 года.РГАНИР, Фонд ГКО, д. 120, лл. 121-122, 123-159 (11012).</w:t>
      </w:r>
    </w:p>
    <w:p w14:paraId="52379D2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A96054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мая 1943 вышло Постановление ГКО № 3457 О дополнительном учреждении двух переходящих Красных знамен Государственного Комитета Обороны для предприятий наркомата легкой промышленности.РГАНИР, Фонд ГКО, д. 120, лл. 160 (11012).</w:t>
      </w:r>
    </w:p>
    <w:p w14:paraId="2855D35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F99297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мая 1943 вышло Постановление ГКО № 3458 В изменение постановления ГКО № 3186 от 14 апреля 1943 г. внести изменения в распределение котлов на ГРЭС Урала и Сибири.РГАНИР, Фонд ГКО, д. 120, лл. 161-162 (11012).</w:t>
      </w:r>
    </w:p>
    <w:p w14:paraId="31D9706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DBB2BDC"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31 мая 1943 вышло Постановление ГКО № 3460 [О мобилизации 16 сейнеров НКрыбпрома в состав Азовской военной флотилии.] (7110, 164).</w:t>
      </w:r>
    </w:p>
    <w:p w14:paraId="108E9973" w14:textId="77777777" w:rsidR="00531570" w:rsidRPr="00D03F3E" w:rsidRDefault="00531570" w:rsidP="00D03F3E">
      <w:pPr>
        <w:pStyle w:val="Iauiue"/>
        <w:tabs>
          <w:tab w:val="left" w:pos="11199"/>
        </w:tabs>
        <w:jc w:val="both"/>
        <w:rPr>
          <w:color w:val="000000" w:themeColor="text1"/>
          <w:sz w:val="16"/>
          <w:szCs w:val="16"/>
        </w:rPr>
      </w:pPr>
    </w:p>
    <w:p w14:paraId="49A19470"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31 мая 1943 вышло Постановление ГКО № 3462 О выделении НКВМФ вооружения. (7110, 171,172-174).</w:t>
      </w:r>
    </w:p>
    <w:p w14:paraId="56C8675A" w14:textId="77777777" w:rsidR="00531570" w:rsidRPr="00D03F3E" w:rsidRDefault="00531570" w:rsidP="00D03F3E">
      <w:pPr>
        <w:pStyle w:val="Iauiue"/>
        <w:tabs>
          <w:tab w:val="left" w:pos="11199"/>
        </w:tabs>
        <w:jc w:val="both"/>
        <w:rPr>
          <w:color w:val="000000" w:themeColor="text1"/>
          <w:sz w:val="16"/>
          <w:szCs w:val="16"/>
        </w:rPr>
      </w:pPr>
    </w:p>
    <w:p w14:paraId="6131B94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мая 1943 вышло Распоряжение ГКО № 3463. О дополнительных поставках НКБ легированной стали в июне 1943 г.РГАНИР, Фонд ГКО, д. 120, лл. 175 (11012).</w:t>
      </w:r>
    </w:p>
    <w:p w14:paraId="4B9E44A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1BD2678"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31 мая 1943 вышло Постановление ГКО № 3464 О мероприятиях по обеспечению нормального судоходства в Татарском проливе. (7110, 176-179).</w:t>
      </w:r>
    </w:p>
    <w:p w14:paraId="207994F9" w14:textId="77777777" w:rsidR="00531570" w:rsidRPr="00D03F3E" w:rsidRDefault="00531570" w:rsidP="00D03F3E">
      <w:pPr>
        <w:pStyle w:val="Iauiue"/>
        <w:tabs>
          <w:tab w:val="left" w:pos="11199"/>
        </w:tabs>
        <w:jc w:val="both"/>
        <w:rPr>
          <w:color w:val="000000" w:themeColor="text1"/>
          <w:sz w:val="16"/>
          <w:szCs w:val="16"/>
        </w:rPr>
      </w:pPr>
    </w:p>
    <w:p w14:paraId="7354E3F4"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31 мая 1943 вышло Постановление ГКО № 3465 О мероприятиях по обеспечению завоза нефтепродуктов с Волги в Архангельск и Мурманск прямым водным и смешанным железнодорожно-водным сообщением. (7110, 180-185).</w:t>
      </w:r>
    </w:p>
    <w:p w14:paraId="1AB9FD21" w14:textId="77777777" w:rsidR="00531570" w:rsidRPr="00D03F3E" w:rsidRDefault="00531570" w:rsidP="00D03F3E">
      <w:pPr>
        <w:pStyle w:val="Iauiue"/>
        <w:tabs>
          <w:tab w:val="left" w:pos="11199"/>
        </w:tabs>
        <w:jc w:val="both"/>
        <w:rPr>
          <w:color w:val="000000" w:themeColor="text1"/>
          <w:sz w:val="16"/>
          <w:szCs w:val="16"/>
        </w:rPr>
      </w:pPr>
    </w:p>
    <w:p w14:paraId="6C30ADA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мая 1943 вышло Распоряжение ГКО № 3466. О неотложной помощи электростанциям Ивэнерго и Ярэнерго в снабжении торфом.РГАНИР, Фонд ГКО, д. 120, лл. 186-187 (11012).</w:t>
      </w:r>
    </w:p>
    <w:p w14:paraId="2282071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15755F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мая 1943 вышло Постановление ГКО № 3467 О плане распределения угля на июнь 1943 г.РГАНИР, Фонд ГКО, д. 121, лл. 1-2, 3-29 (11012).</w:t>
      </w:r>
    </w:p>
    <w:p w14:paraId="3E8A100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1954C48"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31 мая 1943 вышло Постановление ГКО № 3469 О плане сушки картофеля и овощей, брикетирования сушеных овощей, производства овощных концентратов и квашения капусты из урожая 1943 года [для обеспечения Красной Армии]. (7111, 71-83,84-95).</w:t>
      </w:r>
    </w:p>
    <w:p w14:paraId="679C5666" w14:textId="77777777" w:rsidR="00531570" w:rsidRPr="00D03F3E" w:rsidRDefault="00531570" w:rsidP="00D03F3E">
      <w:pPr>
        <w:pStyle w:val="Iauiue"/>
        <w:tabs>
          <w:tab w:val="left" w:pos="11199"/>
        </w:tabs>
        <w:jc w:val="both"/>
        <w:rPr>
          <w:color w:val="000000" w:themeColor="text1"/>
          <w:sz w:val="16"/>
          <w:szCs w:val="16"/>
        </w:rPr>
      </w:pPr>
    </w:p>
    <w:p w14:paraId="73AB64A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 мая 1943 г. был сдан большой морской охотник. Всего заводом 196 в 1943—1945 гг. бьшо построено 66 катеров БМО, из них 18 уже по</w:t>
      </w:r>
      <w:r w:rsidRPr="00D03F3E">
        <w:rPr>
          <w:color w:val="000000" w:themeColor="text1"/>
          <w:sz w:val="16"/>
          <w:szCs w:val="16"/>
        </w:rPr>
        <w:softHyphen/>
        <w:t>сле победы над Германией (3898).</w:t>
      </w:r>
    </w:p>
    <w:p w14:paraId="1140BC66" w14:textId="77777777" w:rsidR="00531570" w:rsidRPr="00D03F3E" w:rsidRDefault="00531570" w:rsidP="00D03F3E">
      <w:pPr>
        <w:pStyle w:val="Iauiue"/>
        <w:jc w:val="both"/>
        <w:rPr>
          <w:color w:val="000000" w:themeColor="text1"/>
          <w:sz w:val="16"/>
          <w:szCs w:val="16"/>
        </w:rPr>
      </w:pPr>
    </w:p>
    <w:p w14:paraId="7B88603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мая 1943 Сдан флоту головной БМО, на котором устранялись повреждения от пожара, вызванного попаданием 3 марта 6-дюймо-вого снаряда. Вступили в строй три катера типа МО-4 и 11 катеров типа КМ-4, завершен ремонт 20 боевых деревянных катеров. Ленинградские катеростроители первыми в стране освоили постройку катеров с главными бензомоторами фирмы "Паккард" (поступавшими из США по ленд-лизу). Адмиралтейцы изготовили 2200 мин типа МШ-120, выполнили задание по выпуску тралов и параванов (изготовили 10 комплектов катерно-змейковых тралов, 30 облегченных тралов, 20 комплектов катерно-параванных тралов) (10671).</w:t>
      </w:r>
    </w:p>
    <w:p w14:paraId="39DFB236"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5C49D41"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72D1A612" w14:textId="77777777" w:rsidR="00531570" w:rsidRPr="00D03F3E" w:rsidRDefault="00531570" w:rsidP="00D03F3E">
      <w:pPr>
        <w:pStyle w:val="Iauiue"/>
        <w:jc w:val="both"/>
        <w:rPr>
          <w:iCs/>
          <w:color w:val="000000" w:themeColor="text1"/>
          <w:sz w:val="16"/>
          <w:szCs w:val="16"/>
        </w:rPr>
      </w:pPr>
    </w:p>
    <w:p w14:paraId="6FDCEA1C"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31 мая</w:t>
      </w:r>
      <w:r w:rsidRPr="00D03F3E">
        <w:rPr>
          <w:rFonts w:ascii="Times New Roman" w:hAnsi="Times New Roman"/>
          <w:color w:val="000000" w:themeColor="text1"/>
          <w:sz w:val="16"/>
          <w:szCs w:val="16"/>
        </w:rPr>
        <w:t xml:space="preserve"> в 1943 году утреннее сообщение Совинформбюро:</w:t>
      </w:r>
    </w:p>
    <w:p w14:paraId="090E31D5"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31 мая на фронте ничего существенного не произошло.</w:t>
      </w:r>
    </w:p>
    <w:p w14:paraId="009A5D06"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 разведывательный отряд взорвал 3 немецких дзота, уничтожил 60 гитлеровцев и захватил пленных. Артиллеристы подразделения старшего лейтенанта Ананского огнём с открытых позиций разбили орудие и уничтожили две огневые точки противника.</w:t>
      </w:r>
    </w:p>
    <w:p w14:paraId="3CEF5BD6"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участке Калининского фронта немецкая пехота атаковала наши позиции. В трёхчасовом бою советские бойцы истребили 140 вражеских солдат и офицеров и отбросили противника. Захвачено 3 пулемёта, много автоматов и винтовок.</w:t>
      </w:r>
    </w:p>
    <w:p w14:paraId="45A30479"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немцы пытались переправиться на левый берег реки СеверныйДонец. Встреченные пулемётным и залповым ружейным огнём, гитлеровцы вернулись обратно, потеряв убитыми и потопленными в реке 60 солдат и офицеров.</w:t>
      </w:r>
    </w:p>
    <w:p w14:paraId="19EF7232"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разведывательная группа под командованием лейтенанта Ведяшева проникла в расположение противника. Наши разведчики убили 16 немцев и без потерь вернулись в свою часть. На другом участке бойцы Н-ской части отразили атаку разведывательного отряда немцев. Уничтожено 45 гитлеровцев и взяты пленные.</w:t>
      </w:r>
    </w:p>
    <w:p w14:paraId="11FCB2A5"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бойцы подразделения противотанковых ружей, где командиром старший лейтенант Борисевич, за последнее время уничтожили свыше 20 пулемётных точек противника вместе с их расчётами. Наши ночные истребители, отражая налёт вражеской авиации, сбили 5 немецких самолётов.</w:t>
      </w:r>
    </w:p>
    <w:p w14:paraId="265E2C8C"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части уничтожили 2 немецких орудия, разбили железнодорожный состав, разрушили 20 вражеских дзотов и 13 блиндажей. В течение вчерашнего дня снайперы Н-ского соединения истребили более 120 гитлеровцев.</w:t>
      </w:r>
    </w:p>
    <w:p w14:paraId="05DFD114"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воздушном бою на подступах к Ленинграду сбито 2 немецких самолёта.</w:t>
      </w:r>
    </w:p>
    <w:p w14:paraId="7664940D"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Киева партизанский отряд под командованием товарища Антона ворвался на территорию мастерских, где ремонтировались повозки для немецкой армии. Партизаны сожгли находившиеся в мастерской повозки, разрушили оборудование и скрылись. Этот же отряд партизан разгромил имение новоиспечённого немецкогопомещика Гоцета. Партизаны другого украинского отряда заминировали железнодорожное полотно. Следовавший по этой дороге немецкий воинский поезд подорвался на минах и полетел под откос. Разбиты паровоз и 7 вагонов. Партизанская разведка установила, что в результате крушения погибло 80 немецких солдат и офицеров.</w:t>
      </w:r>
    </w:p>
    <w:p w14:paraId="0B90A1E0"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Вскрываются всё новые факты чудовищных преступлений немецко-фашистских мерзавцев. На окраине города Купянска, около меловой горы, обнаружена яма, вкоторой было зарыто 70 трупов мирных советских граждан, зверски замученных гитлеровцами. Удалось опознать трупы колхозного счетовода И.М.Садовского,бригадира колхоза К.А.Ковшарь, работницы сахарного завода О.Н.Берестовой и других. Медицинским освидетельствованием установлено, что многие из погибших отрук немецких палачей были живыми брошены в яму и засыпаны землёй.</w:t>
      </w:r>
    </w:p>
    <w:p w14:paraId="469EB843"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Австрии растёт недовольство войной и гитлеровским режимом. Проводимая гитлеровцами тотальная мобилизация наталкивается на сопротивление населения. На одной фабрике в Санкт-Пельтене рабочие поломали оборудование. На другом предприятии рабочие избили гестаповцев и фашистских надсмотрщиков. На Восточном вокзале в Вене железнодорожники недавно устроили столкновение двух товарных поездов. На заводах в Веллерсдорфе и Хиртенберге забракована большая партияа ртиллерийских снарядов, оказавшихся негодными.» (14908).</w:t>
      </w:r>
    </w:p>
    <w:p w14:paraId="520FAA6C" w14:textId="77777777" w:rsidR="007921C6" w:rsidRPr="00D03F3E" w:rsidRDefault="007921C6" w:rsidP="00D03F3E">
      <w:pPr>
        <w:spacing w:after="0" w:line="240" w:lineRule="auto"/>
        <w:jc w:val="both"/>
        <w:rPr>
          <w:rFonts w:ascii="Times New Roman" w:hAnsi="Times New Roman"/>
          <w:color w:val="000000" w:themeColor="text1"/>
          <w:sz w:val="16"/>
          <w:szCs w:val="16"/>
        </w:rPr>
      </w:pPr>
    </w:p>
    <w:p w14:paraId="3E09C109"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31 мая</w:t>
      </w:r>
      <w:r w:rsidRPr="00D03F3E">
        <w:rPr>
          <w:rFonts w:ascii="Times New Roman" w:hAnsi="Times New Roman"/>
          <w:color w:val="000000" w:themeColor="text1"/>
          <w:sz w:val="16"/>
          <w:szCs w:val="16"/>
        </w:rPr>
        <w:t xml:space="preserve"> в 1943 году вечернее сообщение Совинформбюро:</w:t>
      </w:r>
    </w:p>
    <w:p w14:paraId="173F3AE8"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течение 31 мая на Кубани, северо-восточнее Новороссийска, продолжались бои. На других участках фронта существенных изменений не произошло.</w:t>
      </w:r>
    </w:p>
    <w:p w14:paraId="6FC39871"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мая частями нашей авиации на различных участках фронта уничтожено не менее 30 немецких автомашин с войсками и грузами, взорван склад боеприпасов, подавлен огонь 2 артиллерийских батарей, потоплены буксир и две самоходные баржи противника.</w:t>
      </w:r>
    </w:p>
    <w:p w14:paraId="3DBC0FCD"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истребили до двух рот немецкой пехоты, разбили12 пулемётных точек и подавили огонь нескольких миномётных и артиллерийских батарей противника. Разведчики под командованием лейтенанта т. Колоскова совершили вылазку в расположение противника. Наши бойцы взорвали гранатами три дзота, уничтожили группу гитлеровцев и без потерь вернулись в свою часть.</w:t>
      </w:r>
    </w:p>
    <w:p w14:paraId="72B702E9"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на одном участке наши разведчики обнаружили скопление пехоты противника. Артиллеристы Н-ской части открыли огонь и рассеяли гитлеровцев. На другом участке нашими частями уничтожено 2 орудия и 10 повозок противника с боеприпасами.</w:t>
      </w:r>
    </w:p>
    <w:p w14:paraId="71F7A3DF"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артиллеристы подбили 2 немецких танка и взорвали склад боеприпасов. На одном участке рота немецких автоматчиков пыталась вклиниться в стык между двумя нашими подразделениями. Стрелковые отделения сержанта Макушкина и сержанта Хорунжего подпустили противника на близкое расстояние и открыли пулемётный огонь. Немцы поспешно отступили, оставив перед нашими позициями 32 трупа.</w:t>
      </w:r>
    </w:p>
    <w:p w14:paraId="44568C56"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наши артиллеристы обстреливали позиции и ближние тылы противника. Разрушено 3 немецких дзота, 4 блиндажа и разбито 7 железнодорожных вагонов с грузами. Младший лейтенант т. Балабанов огнём из ручного пулемёта сбил немецкий самолёт.</w:t>
      </w:r>
    </w:p>
    <w:p w14:paraId="47528F7E"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Ленинградской области, в ночь на 17 мая пустил под откос воинский эшелон противника. Разбиты паровоз, 2 пассажирских вагона и 10 платформ с автомашинами и моторами для самолётов. Другой отряд ленинградских партизан напал на немецкий гарнизон в одном населённом пункте. Гитлеровцы, не оказав сопротивления, разбежались. Партизаны уничтожили в этой деревне склад противника с горючим.</w:t>
      </w:r>
    </w:p>
    <w:p w14:paraId="45579CDB"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Чудовищные злодеяния творят немецко-фашистские мерзавцы в городе Риге. Гитлеровские людоеды замучили и расстреляли тысячи мирных жителей города. Массовые казни фашистские палачи производят в районе Рамбула в 12 — 15 километрах от Риги. Все тюрьмы в Риге битком набиты арестованными. Специально построенные гитлеровцами концентрационные лагери также переполнены. Имущество убитых и арестованных немцы вывезли в Германию. Несмотря на жестокий террор, население оказывает оккупантам упорное сопротивление. Советские патриоты убивают немецких офицеров и солдат, поджигают склады противника.</w:t>
      </w:r>
    </w:p>
    <w:p w14:paraId="4D294D5B" w14:textId="77777777" w:rsidR="007921C6" w:rsidRPr="00D03F3E" w:rsidRDefault="007921C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патриоты в ожесточённых боях у местечка Челебичь разгромили крупный отряд немецких оккупантов. В этом бою партизаны захватили в плен четырёх немецких офицеров и трофеи. Отряд приморских партизан рассеял крупную итальянскую колонну. В Словении партизаны сожгли станцию Сава, взорвали и разрушили в нескольких местах железнодорожный путь.» (14908).</w:t>
      </w:r>
    </w:p>
    <w:p w14:paraId="4489870E" w14:textId="77777777" w:rsidR="007921C6" w:rsidRPr="00D03F3E" w:rsidRDefault="007921C6" w:rsidP="00D03F3E">
      <w:pPr>
        <w:spacing w:after="0" w:line="240" w:lineRule="auto"/>
        <w:jc w:val="both"/>
        <w:rPr>
          <w:rFonts w:ascii="Times New Roman" w:hAnsi="Times New Roman"/>
          <w:color w:val="000000" w:themeColor="text1"/>
          <w:sz w:val="16"/>
          <w:szCs w:val="16"/>
        </w:rPr>
      </w:pPr>
    </w:p>
    <w:p w14:paraId="6B0F0C9C"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31 мая 1943 вышло Постановление ГКО № 3459 О размещении Народного комиссариата Военно-Морского Флота Союза ССР. (7110, 163-163об.).</w:t>
      </w:r>
    </w:p>
    <w:p w14:paraId="3B63A56C" w14:textId="77777777" w:rsidR="00531570" w:rsidRPr="00D03F3E" w:rsidRDefault="00531570" w:rsidP="00D03F3E">
      <w:pPr>
        <w:pStyle w:val="Iauiue"/>
        <w:tabs>
          <w:tab w:val="left" w:pos="11199"/>
        </w:tabs>
        <w:jc w:val="both"/>
        <w:rPr>
          <w:color w:val="000000" w:themeColor="text1"/>
          <w:sz w:val="16"/>
          <w:szCs w:val="16"/>
        </w:rPr>
      </w:pPr>
    </w:p>
    <w:p w14:paraId="78CDF7AC"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31 мая 1943 вышло Постановление ГКО № 3461 [Об утверждении Положения об Управлении контрразведки HКВМФ "Смерш" и его органах на местах.] (7110, 165,166-170).</w:t>
      </w:r>
    </w:p>
    <w:p w14:paraId="10A380B7" w14:textId="77777777" w:rsidR="00531570" w:rsidRPr="00D03F3E" w:rsidRDefault="00531570" w:rsidP="00D03F3E">
      <w:pPr>
        <w:pStyle w:val="Iauiue"/>
        <w:tabs>
          <w:tab w:val="left" w:pos="11199"/>
        </w:tabs>
        <w:jc w:val="both"/>
        <w:rPr>
          <w:color w:val="000000" w:themeColor="text1"/>
          <w:sz w:val="16"/>
          <w:szCs w:val="16"/>
        </w:rPr>
      </w:pPr>
    </w:p>
    <w:p w14:paraId="6B8DB07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мая 1943 вышло Постановление ГКО № 3468 О материально-техническом обеспечении Красноярской воздушной трассы на 1943-1944 г.г.РГАНИР, Фонд ГКО, д. 121, лл. 30-34, 35-70 (11012).</w:t>
      </w:r>
    </w:p>
    <w:p w14:paraId="35B6AF3A"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C6D055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31 мая 1943 г. у немцев числилось не более сотни трофейных танков, в том числе 59 Т-34. Из последних боеспособными были только 19 единиц (3905).</w:t>
      </w:r>
    </w:p>
    <w:p w14:paraId="3D726FBC" w14:textId="77777777" w:rsidR="00531570" w:rsidRPr="00D03F3E" w:rsidRDefault="00531570" w:rsidP="00D03F3E">
      <w:pPr>
        <w:pStyle w:val="Iauiue"/>
        <w:jc w:val="both"/>
        <w:rPr>
          <w:color w:val="000000" w:themeColor="text1"/>
          <w:sz w:val="16"/>
          <w:szCs w:val="16"/>
        </w:rPr>
      </w:pPr>
    </w:p>
    <w:p w14:paraId="6A3561A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 мая 1943 г. вышел ПРИКАЗ № 0374 О РЕЗУЛЬТАТАХ ПРОВЕРКИ ПОЛОЖЕНИЯ ДЕЛ С ПИТАНИЕМ КРАСНОАРМЕЙЦЕВ НА КАЛИНИНСКОМ ФРОНТЕ</w:t>
      </w:r>
    </w:p>
    <w:p w14:paraId="1CF116A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Постановлением Государственного Комитета обороны № 3425 с от 24 мая 1943 г. на основе материалов проверки, произведенной особой комиссией ГОКО, установлено:</w:t>
      </w:r>
    </w:p>
    <w:p w14:paraId="67FE87E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На Калининском фронте в марте, апреле и в первых числах мая месяца имели место серьезные срывы в питании красноармейцев. Перебои в питании красноармейцев происходили и тогда, когда фронт, армии и соединения Калининского фронта имели достаточную обеспеченность продовольствием.</w:t>
      </w:r>
    </w:p>
    <w:p w14:paraId="2AB0086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результате отсутствия надлежащего внимания со стороны военного совета фронта вопросам питания бойцов даже в условиях достаточного наличия продовольствия на фронтовых и армейских базах и дивизионных пунктах оказалось, что армии обеспечены продовольствием неравномерно. Особенно неравномерно распределяется продовольствие между дивизиями и полками. В одних дивизиях некоторых продуктов оказывается более чем достаточно, в других их нехватает или вовсе нет. Имеется много случаев, когда при наличии продуктов на складах бойцам эти продукты не выдаются.</w:t>
      </w:r>
    </w:p>
    <w:p w14:paraId="3E3F115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Фронтовые и армейские органы продовольственной службы свели свою роль только к формальной выдаче нарядов, не осуществляя фактического контроля за обеспечением, и тем самым допустили неравномерное распределение продуктов между армиями и в армиях между соединениями, не проверяли реальную обеспеченность войск продовольствием, не занимались обеспечением доставки продуктов в войска и совершенно не уделяли внимания делу приготовления пищи на красноармейской кухне.</w:t>
      </w:r>
    </w:p>
    <w:p w14:paraId="1488F9B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Состав поваров в значительной своей части является малоквалифицированным, хотя имеется полная возможность подобрать специалистов этого дела из числа бойцов или женщин-поваров, подготовляемых на специальных курсах Управления тыла Красной Армии. Такой подбор кадров приводит к тому, что пища бойцам дается однообразная и невкусная, произвольно и без особой на то необходимости применяются замена одного продукта другим (например, 100-процентная замена мяса яичным порошком), закладка в котел ржаной муки вместо овощей и т. д.</w:t>
      </w:r>
    </w:p>
    <w:p w14:paraId="65E1BE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Несмотря на решение ГОКО о создании положенного переходящего остатка продовольствия, Калининский фронт по ряду продуктов имел обеспеченность ниже установленной нормы. В апреле месяце фронт имел возможность завезти до 10 тысяч тонн картофеля и овощей из Рязанской и Ярославской областей, но в результате беспечности начальника тыла фронта генерал-майора т. Смо-качева овощи и картофель не были завезены.</w:t>
      </w:r>
    </w:p>
    <w:p w14:paraId="204D4B8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Начальник Управления продовольственного снабжения Красной Армии генерал-майор тов. Павлов допустил беззаконие, самовольно изменив пункты передачи снабженческих транспортов, сдавая продовольственные транспорты Управлению тыла Калининского фронта на станциях: Подмосковной, Ховрино, Медведево, вместо установленной Генеральным штабом и Главным управлением тыла распорядительной станции фронта в Торжке.</w:t>
      </w:r>
    </w:p>
    <w:p w14:paraId="5056B06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Крайне отрицательно на снабжении войск продовольствием на Калининском фронте сказалась также порочная практика, заключающаяся в том, что дивизии должны были доставлять своим транспортом грузы из армейских баз в войска, вместо того, чтобы транспортными силами армии грузы доставлялись на дивизионный обменный пункт, а дивизионный транспорт подавал бы грузы от дивизионных обменных пунктов в полки.</w:t>
      </w:r>
    </w:p>
    <w:p w14:paraId="28B9B0F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Крупнейшие недостатки в организации питания красноармейцев на Калининском фронте являются результатом того, что командование, начиная от бывшего командующего фронтом генерал-полковника т. Пуркаева, члена военного совета фронта генерал-лейтенанта т. Леонова, членов военных советов армий и кончая командирами дивизий, полков, батальонов и их заместителей, не занимались должным образом организацией питания бойцов, а такие командиры, как член военного совета и начальник тыла фронта генерал-майор т. Смокачев, начальник тыла 43-й армии полковник Глазков, начальник тыла 39-й армии генерал-майор Люхтиков, начальник тыла 3-й ударной армии полковник Лубоцкий проявили преступно безответственное, несоветское отношение к вопросам питания бойцов.</w:t>
      </w:r>
    </w:p>
    <w:p w14:paraId="76C6B5E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Калининский фронт к сожалению не является исключением; такого рода факты питания бойцов имеют место и на других фронтах. В частности, на Воронежском фронте с 27 марта по 1 апреля с. г. в 340-й дивизии 69-й армии красноармейцы получали только по 500 граммов хлеба в сутки; горячая пища и другие продукты не выдавались; в 107-й дивизии той же армии в начале апреля бойцам выдавалось по 400 граммов муки.</w:t>
      </w:r>
    </w:p>
    <w:p w14:paraId="403CD49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Все это свидетельствует о невнимании наших командиров к такому важнейшему делу, как питание бойцов.</w:t>
      </w:r>
    </w:p>
    <w:p w14:paraId="78B4093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Правительство выделяет для снабжения частей Красной Армии достаточное количество разнообразных и питательных продуктов и только благодаря нерадивому, недобросовестному, а подчас преступному отношению начальников, поставленных для руководства продовольственным делом, качество пищи и нормы довольствия бойцов снижаются.</w:t>
      </w:r>
    </w:p>
    <w:p w14:paraId="2DD20F1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Многие командиры и снабженцы не следят за сохранностью продовольствия; они забыли, что государство вверило им важнейшие ценности. Есть среди них и такие люди, которые, пользуясь своей властью, распоряжаются продовольственными фондами как своей личной собственностью, незаконно расходуют продукты, чем наносят ущерб Красной Армии и обеспечению бойцов.</w:t>
      </w:r>
    </w:p>
    <w:p w14:paraId="6E9ADC3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Факты плохой организации питания бойцов и несоветского отношения к сохранению и расходованию продовольствия не единичны.</w:t>
      </w:r>
    </w:p>
    <w:p w14:paraId="45FF46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Наши командиры, невидимому, забыли лучшие традиции русской армии, когда такие крупнейшие полководцы как Суворов и Кутузов, у которых учились полководцы всей Европы и у которых должны учиться командиры Красной Армии, сами проявляли отеческую заботу о быте и питании солдат и строго того же требовали от своих подчиненных. Между тем, в Красной Армии, как это видно из приведенных фактов, находятся командиры, которые заботу о быте и питании бойцов не считают своей святой обязанностью, проявляя тем самым нетоварищеское и недопустимое отношение к бойцам.</w:t>
      </w:r>
    </w:p>
    <w:p w14:paraId="6D4F0D5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В результате проверки Калининского фронта и ряда других фронтов установлено, что военные советы в целом мало уделяют внимания обеспечению войск всем необходимым, а в первую очередь самоустранились от этой работы члены военного совета, занимающиеся вопросами оперативного характера.</w:t>
      </w:r>
    </w:p>
    <w:p w14:paraId="0CC08AA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Будучи сами, как правило, сильнее тех членов военного совета, на которых было возложено руководство войсковым хозяйством и снабжением, они передоверили полностью вопросы материального обеспечения очень часто менее опытным в деле военного снабжения товарищам. Поэтому приказ НКО № 0437 от 1941 г.,* возлагавший на одного из членов военного совета фронта (армии) руководство тылом и войсковым хозяйством, был понят военными советами неправильно. Дело </w:t>
      </w:r>
      <w:r w:rsidRPr="00D03F3E">
        <w:rPr>
          <w:color w:val="000000" w:themeColor="text1"/>
          <w:sz w:val="16"/>
          <w:szCs w:val="16"/>
        </w:rPr>
        <w:lastRenderedPageBreak/>
        <w:t>военного снабжения чрезвычайно сложное и трудное и должно оно находиться в руках самых опытных руководителей и составлять одну из ответственных задач военных советов фронтов и армий.</w:t>
      </w:r>
    </w:p>
    <w:p w14:paraId="5193981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соответствии с Постановлением Государственного Комитета Обороны № 3425с от 24 мая 1943 г., приказываю:</w:t>
      </w:r>
    </w:p>
    <w:p w14:paraId="263F3E8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За преступное отношение к вопросам питания красноармейцев генерал-майора Смокачева П. Е. снять с поста члена военного совета Калининского фронта и начальника тыла фронта и предать его суду военного трибунала.</w:t>
      </w:r>
    </w:p>
    <w:p w14:paraId="634F223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За необеспечение нормального питания красноармейцев бывшему командующему Калининским фронтом генерал-полковнику т. Пуркаеву объявить выговор.</w:t>
      </w:r>
    </w:p>
    <w:p w14:paraId="6DDFF83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За устранение от вопросов питания бойцов и непринятие мер к ликвидации крупнейших недостатков в этом деле члену военного совета Калининского фронта генерал-лейтенанту т. Леонову объявить выговор.</w:t>
      </w:r>
    </w:p>
    <w:p w14:paraId="444208D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Предупредить генерал-лейтенанта т. Леонова, что если он не исправит этих недостатков в своей работе, будет понижен в должности и привлечен к более строгой ответственности.</w:t>
      </w:r>
    </w:p>
    <w:p w14:paraId="345AA04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За преступное отношение к вопросам питания красноармейцев снять с должности начальника тыла 39-й армии генерал-майор т. Люхтикова и начальника тыла 43-й армии полковника т. Глазкова и направить их на работу с понижением в должности.</w:t>
      </w:r>
    </w:p>
    <w:p w14:paraId="13C3EB7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За безответственное отношение к питанию красноармейцев начальнику тыла 3-й ударной армии полковнику т. Лубоцкому объявить выговор.</w:t>
      </w:r>
    </w:p>
    <w:p w14:paraId="5E2DBB2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Строго указать начальнику Главного управления продовольственного снабжения Красной Армии генерал-майору т. Павлову, что он поступил беззаконно, изменив пункты передачи продовольственных транспортов Калининскому фронту, передавая их на станциях: Подмосковная, Ховрино, Медведеве, вместо установленной Генеральным штабом и Главным управлением тыла распорядительной станции Калининского фронта в Торжке.</w:t>
      </w:r>
    </w:p>
    <w:p w14:paraId="1B71AF7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 Начальнику тыла Красной Армии генерал-полковнику интендантской службы т. Хрулеву укрепить состав руководящих работников армейского и фронтового продовольственного аппарата людьми, имеющими опыт снабженческой и армейской работы.</w:t>
      </w:r>
    </w:p>
    <w:p w14:paraId="7365627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 Командующим, членам военных советов фронтов, командующим армий и членам военных советов армий, командирам и их заместителям соединений, частей и подразделений решительно ликвидировать имеющиеся факты бездушного, бюрократического отношения к вопросам питания войск. Строжайше следить за тем, чтобы до бойцов доходило все продовольствие, положенное по установленным нормам, чтобы доброкачественно приготовленная и горячая пища своевременно доставлялась бойцам в окопы, дзоты, блиндажи и землянки. Командирам частей ежедневно лично рассматривать и утверждать меню-раскладку на каждый день.</w:t>
      </w:r>
    </w:p>
    <w:p w14:paraId="137E465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 Командующему фронтом генерал-полковнику т. Еременко, члену военного совета Калининского фронта генерал-лейтенанту т. Леонову немедленно устранить отмеченные комиссией ГОКО недостатки в обеспечении войск фронта.</w:t>
      </w:r>
    </w:p>
    <w:p w14:paraId="6E5D67E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 Лиц начальствующего состава, виновных в перебоях в питании бойцов или недодаче продуктов бойцам, решением военного совета фронта направлять в штрафные батальоны и роты.</w:t>
      </w:r>
    </w:p>
    <w:p w14:paraId="1068AD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исключительных случаях, когда по обстоятельствам оперативной обстановки продукты не были во-время завезены и выданы на питание, все полагающееся бойцам по норме продовольствие за прошлые дни выдавать, но не более, как за 5 суток, а сахар, спички, мыло, чай, курительную бумагу выдавать за прошлые дни не более как за 15 суток.</w:t>
      </w:r>
    </w:p>
    <w:p w14:paraId="1ACCC0B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Разрешить выдавать бойцам действующей армии сахар, спички, мыло, чай, курительную бумагу на 10 дней вперед.</w:t>
      </w:r>
    </w:p>
    <w:p w14:paraId="3C0A9F6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Главному управлению продовольственного снабжения Красной Армии доставлять продовольствие до фронтовой распорядительной станции, продовольственному управлению фронта — до армейской базы, продовольственному отделу армии — до дивизионных обменных пунктов, дивизиям доставлять продовольствие в полк.</w:t>
      </w:r>
    </w:p>
    <w:p w14:paraId="7E91E13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 Замену недостающих продуктов производить только в исключительных случаях. В случае отсутствия картофеля и овощей замену производить не одним видом круп, разными сортами, а также бобовыми и макаронами. Запретить выдавать на продовольствие в действующей армии, кроме госпиталей, взамен мяса яичный порошок, сухое молоко, рыбные концентраты.</w:t>
      </w:r>
    </w:p>
    <w:p w14:paraId="3D7B1BE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 Организовать в составе Главного управления продовольственного снабжения Красной Армии Управление питания, в Управлении продовольственного снабжения фронта — отдел питания, в продовольственном отделе армии — отделение питания за счет существующих штатов.</w:t>
      </w:r>
    </w:p>
    <w:p w14:paraId="36E9797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Начальнику тыла Красной Армии обеспечить эти органы кадрами, имеющими опыт общественного питания.</w:t>
      </w:r>
    </w:p>
    <w:p w14:paraId="35E5348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 Начальнику тыла Красной армии генерал-полковнику интендантской службы т. Хрулеву подготовить для частей действующей армии к 1 сентября 1943 г. необходимое количество женщин-поваров.</w:t>
      </w:r>
    </w:p>
    <w:p w14:paraId="351BF8C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 Военным советам фронтов (армий), военным прокуратурам и трибуналам усилить меры борьбы с хищениями и разбазариванием продфуража, неуклонно применяя к нарушителям законов Постановление Государственного Комитета Обороны от 3 марта 1942 г. № 1379с*.</w:t>
      </w:r>
    </w:p>
    <w:p w14:paraId="0D23C1D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 В целях усиления руководства делом военного снабжения всех видов* во фронтах и во изменение приказа НКО № 0437 от 1941 г. ведение вопросов, связанных с организацией тыла фронта, войсковым хозяйством и материальным обеспечением частей и соединений, возложить на нижеследующих членов военных советов фронта (7-й отдельной армии):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60B4B" w:rsidRPr="00D03F3E" w14:paraId="62E2E9FA" w14:textId="77777777">
        <w:tc>
          <w:tcPr>
            <w:tcW w:w="5636" w:type="dxa"/>
          </w:tcPr>
          <w:p w14:paraId="2FCF020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Карельскому фронту</w:t>
            </w:r>
          </w:p>
        </w:tc>
        <w:tc>
          <w:tcPr>
            <w:tcW w:w="5636" w:type="dxa"/>
          </w:tcPr>
          <w:p w14:paraId="338DD2F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т. Батракова;</w:t>
            </w:r>
          </w:p>
        </w:tc>
      </w:tr>
      <w:tr w:rsidR="00860B4B" w:rsidRPr="00D03F3E" w14:paraId="19D38AC8" w14:textId="77777777">
        <w:tc>
          <w:tcPr>
            <w:tcW w:w="5636" w:type="dxa"/>
          </w:tcPr>
          <w:p w14:paraId="3637080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7-й отдельной армии</w:t>
            </w:r>
          </w:p>
        </w:tc>
        <w:tc>
          <w:tcPr>
            <w:tcW w:w="5636" w:type="dxa"/>
          </w:tcPr>
          <w:p w14:paraId="783B666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на т. Васильева;</w:t>
            </w:r>
          </w:p>
        </w:tc>
      </w:tr>
      <w:tr w:rsidR="00860B4B" w:rsidRPr="00D03F3E" w14:paraId="72EE5A51" w14:textId="77777777">
        <w:tc>
          <w:tcPr>
            <w:tcW w:w="5636" w:type="dxa"/>
          </w:tcPr>
          <w:p w14:paraId="637FD1B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Ленинградскому фронту</w:t>
            </w:r>
          </w:p>
        </w:tc>
        <w:tc>
          <w:tcPr>
            <w:tcW w:w="5636" w:type="dxa"/>
          </w:tcPr>
          <w:p w14:paraId="399DB9D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на т. Жданова;</w:t>
            </w:r>
          </w:p>
        </w:tc>
      </w:tr>
      <w:tr w:rsidR="00860B4B" w:rsidRPr="00D03F3E" w14:paraId="26574DFE" w14:textId="77777777">
        <w:tc>
          <w:tcPr>
            <w:tcW w:w="5636" w:type="dxa"/>
          </w:tcPr>
          <w:p w14:paraId="3D0BDBF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Волховскому фронту</w:t>
            </w:r>
          </w:p>
        </w:tc>
        <w:tc>
          <w:tcPr>
            <w:tcW w:w="5636" w:type="dxa"/>
          </w:tcPr>
          <w:p w14:paraId="0B03A82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на т. Штыкова;</w:t>
            </w:r>
          </w:p>
        </w:tc>
      </w:tr>
      <w:tr w:rsidR="00860B4B" w:rsidRPr="00D03F3E" w14:paraId="30952E1B" w14:textId="77777777">
        <w:tc>
          <w:tcPr>
            <w:tcW w:w="5636" w:type="dxa"/>
          </w:tcPr>
          <w:p w14:paraId="7E57D0F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Северо-Западному фронту</w:t>
            </w:r>
          </w:p>
        </w:tc>
        <w:tc>
          <w:tcPr>
            <w:tcW w:w="5636" w:type="dxa"/>
          </w:tcPr>
          <w:p w14:paraId="09F9008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на т. Бокова;</w:t>
            </w:r>
          </w:p>
        </w:tc>
      </w:tr>
      <w:tr w:rsidR="00860B4B" w:rsidRPr="00D03F3E" w14:paraId="298D437F" w14:textId="77777777">
        <w:tc>
          <w:tcPr>
            <w:tcW w:w="5636" w:type="dxa"/>
          </w:tcPr>
          <w:p w14:paraId="6616821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Калининскому фронту</w:t>
            </w:r>
          </w:p>
        </w:tc>
        <w:tc>
          <w:tcPr>
            <w:tcW w:w="5636" w:type="dxa"/>
          </w:tcPr>
          <w:p w14:paraId="0889CD1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на т. Леонова;</w:t>
            </w:r>
          </w:p>
        </w:tc>
      </w:tr>
      <w:tr w:rsidR="00860B4B" w:rsidRPr="00D03F3E" w14:paraId="7B34D696" w14:textId="77777777">
        <w:tc>
          <w:tcPr>
            <w:tcW w:w="5636" w:type="dxa"/>
          </w:tcPr>
          <w:p w14:paraId="2B6320B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Западному фронту</w:t>
            </w:r>
          </w:p>
        </w:tc>
        <w:tc>
          <w:tcPr>
            <w:tcW w:w="5636" w:type="dxa"/>
          </w:tcPr>
          <w:p w14:paraId="14EA4A6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на т. Булганина;</w:t>
            </w:r>
          </w:p>
        </w:tc>
      </w:tr>
      <w:tr w:rsidR="00860B4B" w:rsidRPr="00D03F3E" w14:paraId="788E9EC3" w14:textId="77777777">
        <w:tc>
          <w:tcPr>
            <w:tcW w:w="5636" w:type="dxa"/>
          </w:tcPr>
          <w:p w14:paraId="351926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Брянскому фронту</w:t>
            </w:r>
          </w:p>
        </w:tc>
        <w:tc>
          <w:tcPr>
            <w:tcW w:w="5636" w:type="dxa"/>
          </w:tcPr>
          <w:p w14:paraId="20F1D53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на т. Сусайкова;</w:t>
            </w:r>
          </w:p>
        </w:tc>
      </w:tr>
      <w:tr w:rsidR="00860B4B" w:rsidRPr="00D03F3E" w14:paraId="2EDE9307" w14:textId="77777777">
        <w:tc>
          <w:tcPr>
            <w:tcW w:w="5636" w:type="dxa"/>
          </w:tcPr>
          <w:p w14:paraId="126D869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Центральному фронту</w:t>
            </w:r>
          </w:p>
        </w:tc>
        <w:tc>
          <w:tcPr>
            <w:tcW w:w="5636" w:type="dxa"/>
          </w:tcPr>
          <w:p w14:paraId="0ED224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на т. Телегина;</w:t>
            </w:r>
          </w:p>
        </w:tc>
      </w:tr>
      <w:tr w:rsidR="00860B4B" w:rsidRPr="00D03F3E" w14:paraId="2685EA0F" w14:textId="77777777">
        <w:tc>
          <w:tcPr>
            <w:tcW w:w="5636" w:type="dxa"/>
          </w:tcPr>
          <w:p w14:paraId="2BBB369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Воронежскому фронту</w:t>
            </w:r>
          </w:p>
        </w:tc>
        <w:tc>
          <w:tcPr>
            <w:tcW w:w="5636" w:type="dxa"/>
          </w:tcPr>
          <w:p w14:paraId="482AA19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на т. Хрущева;</w:t>
            </w:r>
          </w:p>
        </w:tc>
      </w:tr>
      <w:tr w:rsidR="00860B4B" w:rsidRPr="00D03F3E" w14:paraId="67C31D3F" w14:textId="77777777">
        <w:tc>
          <w:tcPr>
            <w:tcW w:w="5636" w:type="dxa"/>
          </w:tcPr>
          <w:p w14:paraId="7A7110D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Юго-Западному фронту</w:t>
            </w:r>
          </w:p>
        </w:tc>
        <w:tc>
          <w:tcPr>
            <w:tcW w:w="5636" w:type="dxa"/>
          </w:tcPr>
          <w:p w14:paraId="5EA1298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на т. Желтова</w:t>
            </w:r>
          </w:p>
        </w:tc>
      </w:tr>
      <w:tr w:rsidR="00860B4B" w:rsidRPr="00D03F3E" w14:paraId="522E8CB8" w14:textId="77777777">
        <w:tc>
          <w:tcPr>
            <w:tcW w:w="5636" w:type="dxa"/>
          </w:tcPr>
          <w:p w14:paraId="4345E7B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Южному фронту</w:t>
            </w:r>
          </w:p>
        </w:tc>
        <w:tc>
          <w:tcPr>
            <w:tcW w:w="5636" w:type="dxa"/>
          </w:tcPr>
          <w:p w14:paraId="6BD7D5B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на т. Гурова;</w:t>
            </w:r>
          </w:p>
        </w:tc>
      </w:tr>
      <w:tr w:rsidR="00860B4B" w:rsidRPr="00D03F3E" w14:paraId="11915839" w14:textId="77777777">
        <w:tc>
          <w:tcPr>
            <w:tcW w:w="5636" w:type="dxa"/>
          </w:tcPr>
          <w:p w14:paraId="5ED9545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Северо-Кавказскому фронту</w:t>
            </w:r>
          </w:p>
        </w:tc>
        <w:tc>
          <w:tcPr>
            <w:tcW w:w="5636" w:type="dxa"/>
          </w:tcPr>
          <w:p w14:paraId="52869F1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на т. Фоминых;</w:t>
            </w:r>
          </w:p>
        </w:tc>
      </w:tr>
      <w:tr w:rsidR="00860B4B" w:rsidRPr="00D03F3E" w14:paraId="3227886C" w14:textId="77777777">
        <w:tc>
          <w:tcPr>
            <w:tcW w:w="5636" w:type="dxa"/>
          </w:tcPr>
          <w:p w14:paraId="0FF23EA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Степному военному округу</w:t>
            </w:r>
          </w:p>
        </w:tc>
        <w:tc>
          <w:tcPr>
            <w:tcW w:w="5636" w:type="dxa"/>
          </w:tcPr>
          <w:p w14:paraId="5B5A4C2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на т. Мехлис.</w:t>
            </w:r>
          </w:p>
        </w:tc>
      </w:tr>
    </w:tbl>
    <w:p w14:paraId="31A9696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Вторые освобожденные члены военного совета фронта должны быть постоянными помощниками вышеуказанных членов военного совета по руководству тылом и снабжением.</w:t>
      </w:r>
    </w:p>
    <w:p w14:paraId="4B3E84C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Распределить обязанности между членами военного совета в этой области таким образом, чтобы главнейшие виды снабжения как-то: продовольствием, вооружением, боеприпасами и боевой техникой, контроль за деятельностью органов военных сообщений, руководство работой санитарных органов и эвакуацией раненых непосредственно находились в ведении персонально поименованных выше членов военных советов фронтов.</w:t>
      </w:r>
    </w:p>
    <w:p w14:paraId="38782AF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18. Такое распределение обязанностей между членами военных советов не снимает ответственности с военного совета в целом и в первую очередь с командующих фронтов за состоянием тыла фронта.</w:t>
      </w:r>
    </w:p>
    <w:p w14:paraId="7514544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19. В соответствии с настоящим приказом распределить обязанности по руководству тылом и войсковым хозяйством между членами военных советов армий.</w:t>
      </w:r>
    </w:p>
    <w:p w14:paraId="27F2749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 Приказ объявить для руководства и исполнения до командиров неотдельных батальонов (дивизионов) включительно.</w:t>
      </w:r>
    </w:p>
    <w:p w14:paraId="1B6EEF37" w14:textId="77777777" w:rsidR="00531570" w:rsidRPr="00D03F3E" w:rsidRDefault="00531570" w:rsidP="00D03F3E">
      <w:pPr>
        <w:pStyle w:val="Iauiue"/>
        <w:jc w:val="both"/>
        <w:rPr>
          <w:iCs/>
          <w:color w:val="000000" w:themeColor="text1"/>
          <w:sz w:val="16"/>
          <w:szCs w:val="16"/>
        </w:rPr>
      </w:pPr>
      <w:r w:rsidRPr="00D03F3E">
        <w:rPr>
          <w:iCs/>
          <w:color w:val="000000" w:themeColor="text1"/>
          <w:sz w:val="16"/>
          <w:szCs w:val="16"/>
        </w:rPr>
        <w:t>Народный комиссар обороны</w:t>
      </w:r>
    </w:p>
    <w:p w14:paraId="09DBD339" w14:textId="77777777" w:rsidR="00531570" w:rsidRPr="00D03F3E" w:rsidRDefault="00531570" w:rsidP="00D03F3E">
      <w:pPr>
        <w:pStyle w:val="Iauiue"/>
        <w:jc w:val="both"/>
        <w:rPr>
          <w:color w:val="000000" w:themeColor="text1"/>
          <w:sz w:val="16"/>
          <w:szCs w:val="16"/>
        </w:rPr>
      </w:pPr>
      <w:r w:rsidRPr="00D03F3E">
        <w:rPr>
          <w:iCs/>
          <w:color w:val="000000" w:themeColor="text1"/>
          <w:sz w:val="16"/>
          <w:szCs w:val="16"/>
        </w:rPr>
        <w:t>Маршал Советского Союза И. СТАЛИН</w:t>
      </w:r>
      <w:r w:rsidRPr="00D03F3E">
        <w:rPr>
          <w:color w:val="000000" w:themeColor="text1"/>
          <w:sz w:val="16"/>
          <w:szCs w:val="16"/>
        </w:rPr>
        <w:t xml:space="preserve"> (9844).</w:t>
      </w:r>
    </w:p>
    <w:p w14:paraId="5142D4B3" w14:textId="77777777" w:rsidR="00531570" w:rsidRPr="00D03F3E" w:rsidRDefault="00531570" w:rsidP="00D03F3E">
      <w:pPr>
        <w:pStyle w:val="Iauiue"/>
        <w:jc w:val="both"/>
        <w:rPr>
          <w:color w:val="000000" w:themeColor="text1"/>
          <w:sz w:val="16"/>
          <w:szCs w:val="16"/>
        </w:rPr>
      </w:pPr>
    </w:p>
    <w:p w14:paraId="0BE6AA34"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Жизнь и внутренняя политика:</w:t>
      </w:r>
    </w:p>
    <w:p w14:paraId="2B1C31D5" w14:textId="77777777" w:rsidR="00531570" w:rsidRPr="00D03F3E" w:rsidRDefault="00531570" w:rsidP="00D03F3E">
      <w:pPr>
        <w:pStyle w:val="Iauiue"/>
        <w:jc w:val="both"/>
        <w:rPr>
          <w:iCs/>
          <w:color w:val="000000" w:themeColor="text1"/>
          <w:sz w:val="16"/>
          <w:szCs w:val="16"/>
        </w:rPr>
      </w:pPr>
    </w:p>
    <w:p w14:paraId="73B080E8"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31 мая 1943 в советских совхозах и МТС ликвидированы политотделы (4962).</w:t>
      </w:r>
    </w:p>
    <w:p w14:paraId="554E3DE4" w14:textId="77777777" w:rsidR="00531570" w:rsidRPr="00D03F3E" w:rsidRDefault="00531570" w:rsidP="00D03F3E">
      <w:pPr>
        <w:pStyle w:val="Iauiue"/>
        <w:tabs>
          <w:tab w:val="left" w:pos="11199"/>
        </w:tabs>
        <w:jc w:val="both"/>
        <w:rPr>
          <w:color w:val="000000" w:themeColor="text1"/>
          <w:sz w:val="16"/>
          <w:szCs w:val="16"/>
        </w:rPr>
      </w:pPr>
    </w:p>
    <w:p w14:paraId="35A9262D"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352A57BA" w14:textId="77777777" w:rsidR="00531570" w:rsidRPr="00D03F3E" w:rsidRDefault="00531570" w:rsidP="00D03F3E">
      <w:pPr>
        <w:pStyle w:val="Iauiue"/>
        <w:jc w:val="both"/>
        <w:rPr>
          <w:iCs/>
          <w:color w:val="000000" w:themeColor="text1"/>
          <w:sz w:val="16"/>
          <w:szCs w:val="16"/>
        </w:rPr>
      </w:pPr>
    </w:p>
    <w:p w14:paraId="34744A12" w14:textId="77777777" w:rsidR="00FF3856" w:rsidRPr="00D03F3E" w:rsidRDefault="00FF3856"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bCs/>
          <w:color w:val="000000" w:themeColor="text1"/>
          <w:sz w:val="16"/>
          <w:szCs w:val="16"/>
        </w:rPr>
        <w:t>31 мая</w:t>
      </w:r>
      <w:r w:rsidRPr="00D03F3E">
        <w:rPr>
          <w:rFonts w:ascii="Times New Roman" w:hAnsi="Times New Roman"/>
          <w:color w:val="000000" w:themeColor="text1"/>
          <w:sz w:val="16"/>
          <w:szCs w:val="16"/>
        </w:rPr>
        <w:t xml:space="preserve"> в 1943 году состоялась вторая макетная комиссия, результаты были признаны положительными, несмотря на требования внести ряд мелких изменений в конструкцию и фирма «Фишер Води» приступила к постройке и испытанию двух истребителей сопровождения с обозначением </w:t>
      </w:r>
      <w:hyperlink r:id="rId174" w:tgtFrame="_blank" w:history="1">
        <w:r w:rsidRPr="00D03F3E">
          <w:rPr>
            <w:rFonts w:ascii="Times New Roman" w:hAnsi="Times New Roman"/>
            <w:color w:val="000000" w:themeColor="text1"/>
            <w:sz w:val="16"/>
            <w:szCs w:val="16"/>
          </w:rPr>
          <w:t xml:space="preserve">«ХР-75» "Игл" ("Орел") (14908). </w:t>
        </w:r>
      </w:hyperlink>
    </w:p>
    <w:p w14:paraId="6C4A63A9" w14:textId="77777777" w:rsidR="00FF3856" w:rsidRPr="00D03F3E" w:rsidRDefault="00FF3856" w:rsidP="00D03F3E">
      <w:pPr>
        <w:spacing w:after="0" w:line="240" w:lineRule="auto"/>
        <w:jc w:val="both"/>
        <w:rPr>
          <w:rFonts w:ascii="Times New Roman" w:hAnsi="Times New Roman"/>
          <w:bCs/>
          <w:color w:val="000000" w:themeColor="text1"/>
          <w:sz w:val="16"/>
          <w:szCs w:val="16"/>
        </w:rPr>
      </w:pPr>
    </w:p>
    <w:p w14:paraId="7CDE4366" w14:textId="77777777" w:rsidR="00AA3D7F" w:rsidRPr="00D03F3E" w:rsidRDefault="00AA3D7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мая 1943 года, еще до налета авиации союзников на </w:t>
      </w:r>
      <w:hyperlink r:id="rId175" w:history="1">
        <w:r w:rsidRPr="00D03F3E">
          <w:rPr>
            <w:rStyle w:val="a5"/>
            <w:rFonts w:ascii="Times New Roman" w:hAnsi="Times New Roman"/>
            <w:color w:val="000000" w:themeColor="text1"/>
            <w:sz w:val="16"/>
            <w:szCs w:val="16"/>
            <w:u w:val="none"/>
          </w:rPr>
          <w:t>ракетный центр Пенемюнде</w:t>
        </w:r>
      </w:hyperlink>
      <w:r w:rsidRPr="00D03F3E">
        <w:rPr>
          <w:rFonts w:ascii="Times New Roman" w:hAnsi="Times New Roman"/>
          <w:color w:val="000000" w:themeColor="text1"/>
          <w:sz w:val="16"/>
          <w:szCs w:val="16"/>
        </w:rPr>
        <w:t>, рейхсфюрер Генрих Гиммлер предложил использовать артиллерийский полигон войск СС Хейделагерь (Heidelager) в окрестностях польского города Дембица для проведения испытаний ракеты «А-4» и обучения личного состава боевых расчетов. Центр нового ракетного полигона распологался рядом с польской деревней Близна</w:t>
      </w:r>
    </w:p>
    <w:p w14:paraId="75CCADBE" w14:textId="77777777" w:rsidR="00AA3D7F" w:rsidRPr="00D03F3E" w:rsidRDefault="00AA3D7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Работу по оборудованию нового ракетного полигона Близна рейхсфюрер Гиммлер поручил начальнику строительного отдела Главного хозяйственно-административного управления СС группенфюреру Каммлеру. Из польских деревень Близка и Пусткув срочно было вывезено все население, а их территория выделена для расположения сверхсекретного объекта «Артиллерийский полигон Близка». Там же был организован концлагерь, куда привезли около двух тысяч евреев из Франции, Бельгии и Голландии. Заключенные зацементировали несколько площадок под стартовые столы для «Фау-2», после чего всех их расстреляли.</w:t>
      </w:r>
    </w:p>
    <w:p w14:paraId="48323E72" w14:textId="77777777" w:rsidR="00AA3D7F" w:rsidRPr="00D03F3E" w:rsidRDefault="00AA3D7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заседании 22 августа 1943 года, сразу после налета авиации союзников на ракетный центр Пенемюнде, фашистское руководство во главе с Гитлером решило перенести производство ракет в Тюрингию на завод Миттельверк (Mittelwerk), а испытания – на территорию оккупированной Польши. В начале сентября 1943 года группа сотрудников ракетного центра Пенемюнде из числа разработчиков ракеты «Фау-2» была объединена в группу «Юг» под командованием майора Вольфганга Вебера и эвакуирована на новый ракетный полигон Близна. В общей сложности на новое место дислокации было переведено 6306 человек, а также 1592 единицы техники. Была поставлена цель – окончательная доработка и отладка ракеты, которые должны были проводиться в двух вновь созданных подразделениях: «Батарея 836» и «Батарея 444». Одно из подразделений должно было заниматься системами мобильного старта, а другое рассматривалось как учебная батарея, на которой планировалось отрабатывать практические навыки ракетчиков.</w:t>
      </w:r>
    </w:p>
    <w:p w14:paraId="4A926EF5" w14:textId="77777777" w:rsidR="00AA3D7F" w:rsidRPr="00D03F3E" w:rsidRDefault="00AA3D7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своих воспоминаниях В. Дорнбергер описал, каким образом выполнялось решение о создании ракетного полигона Близна:</w:t>
      </w:r>
    </w:p>
    <w:p w14:paraId="6EB79B25" w14:textId="77777777" w:rsidR="00AA3D7F" w:rsidRPr="00D03F3E" w:rsidRDefault="00AA3D7F" w:rsidP="00D03F3E">
      <w:pPr>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rPr>
        <w:t xml:space="preserve"> «...После воздушного налета на Пенемюнде 17 августа встал вопрос, продолжать ли нам стрельбы отсюда. В начале сентября пришёл приказ из штаб-квартиры – прокладывать траектории ракет над сушей и производить стрельбы из Близны в Польше с помощью только что сформированной в Хейделагере экспериментальной батареи 444... Через несколько дней я получил приказ: «Район целей будет утверждать рейхсфюрер СС (Гиммлер). Должно быть оповещено военное командование в данном районе. Армейская команда, проводящая стрельбы, несёт ответственность только за безопасность местности в непосредственном окружении огневого рубежа. Вне её пределов полную ответственность несёт рейхсфюрер СС». Таким образом, в лесных массивах вокруг Близны, которые лежали в треугольнике, образованном Вислой и Саном, появился полигон для стрельб...» </w:t>
      </w:r>
      <w:r w:rsidRPr="00D03F3E">
        <w:rPr>
          <w:rFonts w:ascii="Times New Roman" w:hAnsi="Times New Roman"/>
          <w:color w:val="000000" w:themeColor="text1"/>
          <w:sz w:val="16"/>
          <w:szCs w:val="16"/>
          <w:lang w:val="en-US"/>
        </w:rPr>
        <w:t>(19623).</w:t>
      </w:r>
    </w:p>
    <w:p w14:paraId="14C7DB19" w14:textId="77777777" w:rsidR="00AA3D7F" w:rsidRPr="00D03F3E" w:rsidRDefault="00AA3D7F" w:rsidP="00D03F3E">
      <w:pPr>
        <w:spacing w:after="0" w:line="240" w:lineRule="auto"/>
        <w:jc w:val="both"/>
        <w:rPr>
          <w:rFonts w:ascii="Times New Roman" w:hAnsi="Times New Roman"/>
          <w:color w:val="000000" w:themeColor="text1"/>
          <w:sz w:val="16"/>
          <w:szCs w:val="16"/>
          <w:lang w:val="en-US"/>
        </w:rPr>
      </w:pPr>
    </w:p>
    <w:p w14:paraId="522CFCE9"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May 31st, 1943: By the end of the month, 41 U-boats have been sunk in the Atlantic due to greatly improved Allied anti-submarine techniques and tactics (Hedgehog, greater-range patrol aircraft, better radar, more escort vessels and carriers, plus the advantage of having broken the German Navy Enigma code). "Black May" effectively marks the end of a sustained German U-boat campaign in WWII which did come very close to starving out Britain and forcing her to make terms with Germany. In Italy, the US 15th Air Force bombs Axis airfields at Foggia, destroying many aircraft on the ground (3819).</w:t>
      </w:r>
    </w:p>
    <w:p w14:paraId="22EF64A4" w14:textId="77777777" w:rsidR="00531570" w:rsidRPr="00D03F3E" w:rsidRDefault="00531570" w:rsidP="00D03F3E">
      <w:pPr>
        <w:pStyle w:val="Iauiue"/>
        <w:jc w:val="both"/>
        <w:rPr>
          <w:color w:val="000000" w:themeColor="text1"/>
          <w:sz w:val="16"/>
          <w:szCs w:val="16"/>
          <w:lang w:val="en-US"/>
        </w:rPr>
      </w:pPr>
    </w:p>
    <w:p w14:paraId="54F4B3E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 мая 1943 к концу месяца 41 подлодка была потоплена в Атлантике из-за совершенствования тактики и используемых вооружений. Черный мая означал конец кампании подводной войны во второй мировой. 15ВА США бомбил аэродромы в Фогии, уничтожив много самолетов на земле (3819).</w:t>
      </w:r>
    </w:p>
    <w:p w14:paraId="4AA78ED2" w14:textId="77777777" w:rsidR="00531570" w:rsidRPr="00D03F3E" w:rsidRDefault="00531570" w:rsidP="00D03F3E">
      <w:pPr>
        <w:pStyle w:val="Iauiue"/>
        <w:jc w:val="both"/>
        <w:rPr>
          <w:color w:val="000000" w:themeColor="text1"/>
          <w:sz w:val="16"/>
          <w:szCs w:val="16"/>
        </w:rPr>
      </w:pPr>
    </w:p>
    <w:p w14:paraId="191EF492"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53993631" w14:textId="77777777" w:rsidR="00531570" w:rsidRPr="00D03F3E" w:rsidRDefault="00531570" w:rsidP="00D03F3E">
      <w:pPr>
        <w:pStyle w:val="Iauiue"/>
        <w:jc w:val="both"/>
        <w:rPr>
          <w:iCs/>
          <w:color w:val="000000" w:themeColor="text1"/>
          <w:sz w:val="16"/>
          <w:szCs w:val="16"/>
        </w:rPr>
      </w:pPr>
    </w:p>
    <w:p w14:paraId="37C0D5A3" w14:textId="77777777" w:rsidR="00AA3D7F" w:rsidRPr="00D03F3E" w:rsidRDefault="00AA3D7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мая 1943 г. С. В. Ильюшин обратился в НКАП с просьбой о внедрении в серийное производство «крыла со стрелкой». Такие штурмовики стали строиться серийно с июля—августа 1943 г. (18727).</w:t>
      </w:r>
    </w:p>
    <w:p w14:paraId="7BD08DE7" w14:textId="77777777" w:rsidR="00AA3D7F" w:rsidRPr="00D03F3E" w:rsidRDefault="00AA3D7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когда полным ходом шла подготовка к летнему наступлению советских войск на Курской дуге, начальник главного управления заказов ВВС генерал-майор Н.П. Селезнев прислал Шахурину тревожное сообщение о том, что на истребителях Як-1 и Як-7, изготовленных заводами № 292 и 153, выявлен массовый брак внешней отделки фюзеляжей и крыльев. И действительно, на многих этих машинах произошло отставание миткалевого покрытия, расслоение и коробление фанерной обшивки, на которой к тому же рассыхалась и растрескивалась шпатлевка. Часто в полетах на крыльях возникали «задиры» обшивки, ее срывал воздушный поток. Аналогичные производственные дефекты проявились и у других самолетов. Только в 13-й воздушной армии наряду с 70 «яками» из строя вышли 84 Ил-2 и 11 Ла-5.</w:t>
      </w:r>
    </w:p>
    <w:p w14:paraId="0AE0BFE5" w14:textId="77777777" w:rsidR="00AA3D7F" w:rsidRPr="00D03F3E" w:rsidRDefault="00AA3D7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Шахурин срочно вылетел на фронт, а 3 июня в Кремль для объяснения случившегося направились его заместители Яковлев и Дементьев. Сталин очень серьезно воспринял эту авиатехническую «эпидемию », грозившую в преддверии решающей летней кампании существенно подорвать боеспособность Красной Армии. Выслушав оправдания руководителей отрасли, сославшихся на дожди (действительно обильные), которые «размочили» самолеты, стоявшие на аэродромах без тентов и брезента, и заверения, что все будет исправлено в течение двух недель, он только предостерегающе произнес: «Смотрите!»</w:t>
      </w:r>
    </w:p>
    <w:p w14:paraId="6B2E7A19" w14:textId="77777777" w:rsidR="00AA3D7F" w:rsidRPr="00D03F3E" w:rsidRDefault="00AA3D7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Отраслевое начальство предприняло все возможное для скорейшего восстановления боеспособности ВВС. На заводах-изготовителях были сформированы ремонтные бригады. Возглавлявшиеся инженерами-технологами, они срочно вылетели во фронтовые части. В ту же 13-ю воздушную армию были направлены ремонтники с заводов № 26, 162 и 201. Уже к 25 июня все дефектные истребители этой армии были возвращены в боевой строй.</w:t>
      </w:r>
    </w:p>
    <w:p w14:paraId="710EFCFA" w14:textId="77777777" w:rsidR="00AA3D7F" w:rsidRPr="00D03F3E" w:rsidRDefault="00AA3D7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в поломках самолетов виновны были не только авиастроители. И хотя на их совести были недоработка крепления обшивки к силовому каркасу крыла, слабость стыковых узлов (в результате у Ил-2 в воздухе иногда отваливались крылья) и нарушения технологии обработки древесины, тем не менее с этим они пытались бороться еще до возникновения критической ситуации (18305).</w:t>
      </w:r>
    </w:p>
    <w:p w14:paraId="670BF23D" w14:textId="77777777" w:rsidR="00AA3D7F" w:rsidRPr="00D03F3E" w:rsidRDefault="00AA3D7F" w:rsidP="00D03F3E">
      <w:pPr>
        <w:spacing w:after="0" w:line="240" w:lineRule="auto"/>
        <w:jc w:val="both"/>
        <w:rPr>
          <w:rFonts w:ascii="Times New Roman" w:hAnsi="Times New Roman"/>
          <w:color w:val="000000" w:themeColor="text1"/>
          <w:sz w:val="16"/>
          <w:szCs w:val="16"/>
        </w:rPr>
      </w:pPr>
    </w:p>
    <w:p w14:paraId="5058EBE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 конца мая 1943 проводились наземные испытания и доработки Ил-2М. Поэтому полеты по програм</w:t>
      </w:r>
      <w:r w:rsidRPr="00D03F3E">
        <w:rPr>
          <w:rFonts w:ascii="Times New Roman" w:hAnsi="Times New Roman"/>
          <w:color w:val="000000" w:themeColor="text1"/>
          <w:sz w:val="16"/>
          <w:szCs w:val="16"/>
        </w:rPr>
        <w:softHyphen/>
        <w:t>ме заводских испытаний начались лишь в следующем месяце (11427).</w:t>
      </w:r>
    </w:p>
    <w:p w14:paraId="7E5E92F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0D38373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До конца мая 1943 устранались недостатки ВМГ, выявившиеся на первой рулежке. </w:t>
      </w:r>
    </w:p>
    <w:p w14:paraId="40AA0E3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мая 1943 на заводе № 18 были завершены работы по Ил-2М и начались предварительные заводские испытания. На самолете устанавливался опытный воздушный винт АВ-5л-18А диаметром 4,0 м.</w:t>
      </w:r>
    </w:p>
    <w:p w14:paraId="56F055C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июня 1943 Ил-2М выполнил по некоторым сведениям первый полет.</w:t>
      </w:r>
    </w:p>
    <w:p w14:paraId="5D16BE0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летным и пилотажным качествам Ил-2М оказался значительно лучше серийного Ил-2 с АМ-38ф. Так, максимальная скорость горизонтального полета достигала 470 км/ч. Однако из-за сильной тряски летные данные самолета в полном объеме снять не удалось. Тряска появлялась при оборотах винта 2220 об/мин и ниже. Причем "при утяжелении винта" тряска увеличивалась "до размеров, препятствующих нормальному полету". Кроме этого, "при резкой даче газа наблюдался заброс оборотов винта на 150-200 об/мин при очень быстром восстановлении (3-4 сек)". Раскрутки винта не было.</w:t>
      </w:r>
    </w:p>
    <w:p w14:paraId="4C85087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демонстрировал вполне приличные пилотажные качества. При наборе высоты, в горизонтальном полете и на планировании штурмовик был устойчив во всех плоскостях. Устойчивость оказалась даже несколько излишней. В отчете по испытаниям отмечалось, что "при возникновении крена при болтанке самолет не быстро возвращается в горизонтальное положение и требует значительных усилий для выравнивания". При вводе самолета в разворот для создания крена требовались значительные усилия. Заметного запаздывания в реагировании на отклонение рулей не наблюдалось. Посадка, даже без щитков, производилась без затруднений. Отклонение рулей было вполне достаточным.</w:t>
      </w:r>
    </w:p>
    <w:p w14:paraId="26A32CC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рулежке и взлете самолет хорошо выдерживал прямолинейное движение, был "послушен к тормозам", тенденций к подъему хвоста и развороту не имел. Самолет быстро набирал скорость и отрывался от земли.</w:t>
      </w:r>
    </w:p>
    <w:p w14:paraId="5CF99CD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 работал устойчиво без признаков детонации, показывая хорошую приемистость. Новая схема размещения водо- и маслорадиаторов оказалась вполне удачной: температура воды и масла на всех режимах полета находилась в пределах нормы. В Гоже время воздушный пылефильтр ЦАГИ не обеспечивал требуемых значений наддува воздуха на номинальном и взлетном режимах. Требовалось изменить его конструкцию.</w:t>
      </w:r>
    </w:p>
    <w:p w14:paraId="6F01E58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общем, по летным, пилотажным и эксплуатационным возможностям новый штурмовик производил вполне благоприятное впечатление, но постоянная тряска не позволяла нормально летать (12920).</w:t>
      </w:r>
    </w:p>
    <w:p w14:paraId="36D0341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C6AC5CB" w14:textId="77777777" w:rsidR="003770F2" w:rsidRPr="00D03F3E"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 концу мая 1943 партия фибровые бензобаки для самолетов Ил-2 с удовлетворительной оценкой прошла летно-эксплуатационные испытания в частях 1-й запасной авиабригады. Один из построенных серийных Ил-2 с фибровыми бензобаками в мае проходил государственные испытания в НИИ ВВС. Одновременно на заводе №18 представители НИИ ВВС провели испытания бензобаков на обстрел немецким вооружением. К 15 июня заводчане устранили выявленные в ходе госиспытаний дефекты арматуры, и фибровые баки были запущены в серийное производство.</w:t>
      </w:r>
    </w:p>
    <w:p w14:paraId="5732F77A" w14:textId="77777777" w:rsidR="003770F2" w:rsidRPr="00D03F3E"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На основании распоряжения начальника УЗСиМ ВВС КА генерал-майора Алексеева завод №18 должен был к 1 октября 1943 г. построить 100 самолетов Ил-2 с фибровыми бензобаками и 150 - со смешанным комплектом бензобаков: задний и нижний - фибровые, а передний - металлический. Их предполагалось направить в 1 -ю запасную авиабригаду для формирования маршевых авиаполков, где штурмовики должны были пройти войсковые испытания.</w:t>
      </w:r>
    </w:p>
    <w:p w14:paraId="594CF18A" w14:textId="77777777" w:rsidR="003770F2" w:rsidRPr="00D03F3E"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Фибровые бензобаки целиком изготавливались из фибры, за исключением арматуры. При этом протектор фибровых баков отличался от протектора металлических баков толщиной и общей конструкцией. Протектор имел толщину 11,5- 12 мм и состоял из трех слоев. Первый слой толщиной 3,5-4 мм выполнялся из кожзаменителя, прилегающего к фибре, которым обтягивался бак и на стыках склеивался (к фибре не приклеивался). К кожзаменителю приклеивался второй слой из мелкопористой, активной бензонабухающей губки «Аназот». Третий слой представлял собой резиновый чехол, состоящий из двух частей, изготавливаемых отдельно: нижней - мешка, и верхней - крышки. Мешок натягивался на бак и скреплялся с крышкой петлями.</w:t>
      </w:r>
    </w:p>
    <w:p w14:paraId="77DB1C63" w14:textId="77777777" w:rsidR="003770F2" w:rsidRPr="00D03F3E"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lastRenderedPageBreak/>
        <w:t>Емкость системы фибровых бензобаков была равна емкости системы с металлическими баками или на 10-14 л больше. Емкости нижних фибрового и металлического баков - одинаковые. Емкость заднего фибрового бака была выше емкости металлического на 20-24 л, а емкость переднего фибрового бака, наоборот, - на 10 л меньше емкости металлического.</w:t>
      </w:r>
    </w:p>
    <w:p w14:paraId="2BDCF954" w14:textId="77777777" w:rsidR="003770F2" w:rsidRPr="00D03F3E"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Фибровые бензобаки имели повышенную виброустойчивость, исключающую появление трещин, которые являлись массовым дефектом сварных металлических бензобаков. При этом на каждом самолете экономилось 55-56 кг дорогостоящего дефицитного цветного металла. Но главное, новые баки не давали течи даже с 17 пробоинами от пуль нормального калибра (17733).</w:t>
      </w:r>
    </w:p>
    <w:p w14:paraId="5755CCA1" w14:textId="77777777" w:rsidR="003770F2" w:rsidRPr="00D03F3E" w:rsidRDefault="003770F2" w:rsidP="00D03F3E">
      <w:pPr>
        <w:pStyle w:val="12a"/>
        <w:shd w:val="clear" w:color="auto" w:fill="auto"/>
        <w:spacing w:after="0" w:line="240" w:lineRule="auto"/>
        <w:jc w:val="both"/>
        <w:rPr>
          <w:color w:val="000000" w:themeColor="text1"/>
          <w:sz w:val="16"/>
          <w:szCs w:val="16"/>
        </w:rPr>
      </w:pPr>
    </w:p>
    <w:p w14:paraId="1198106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мая 1943 для проведения летных испытаний, на заводе № 124 назначили сначала экипаж в составе летчика перегоночной группы завода № 22 Васильченко А.Г. и ведущего инженера ЛЭС Баклунова Л.Д., а через месяц и комиссию «для выпуска самолета в первый контрольно-сдаточный полет (без включения РУ-1). В нее, кроме экипажа, вошли Кобзарев А.А. - заместитель главного инженера, Неман Н.Г. - заместитель главного конструктора, Максимов Н.И. - начальник ОТК, Бекетов В.А. - начальник ОКБ завода № 16, Королев С.П. - главный конструктор РУ-1 и Глушко В.П. - главный конструктор РД ОКБ завода № 16. Техническое руководство испытаниями в их специальной части на РУ-1 осуществляется Королевым С.П. (12049).</w:t>
      </w:r>
    </w:p>
    <w:p w14:paraId="11BA506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3AB6B7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мая 1943 г. в НИИ ВВС прошли контрольные испытания два серийных МиГ—3 (зав. № 4613 и 5176), которые до этого при</w:t>
      </w:r>
      <w:r w:rsidRPr="00D03F3E">
        <w:rPr>
          <w:rFonts w:ascii="Times New Roman" w:hAnsi="Times New Roman"/>
          <w:color w:val="000000" w:themeColor="text1"/>
          <w:sz w:val="16"/>
          <w:szCs w:val="16"/>
        </w:rPr>
        <w:softHyphen/>
        <w:t>мерно полтора года эксплуатировались в 16-м иап 6-го иак ПВО Москвы. Перед ведущим инженером В.И.Алексеенко, летчиками-испытателями В.И.Хо</w:t>
      </w:r>
      <w:r w:rsidRPr="00D03F3E">
        <w:rPr>
          <w:rFonts w:ascii="Times New Roman" w:hAnsi="Times New Roman"/>
          <w:color w:val="000000" w:themeColor="text1"/>
          <w:sz w:val="16"/>
          <w:szCs w:val="16"/>
        </w:rPr>
        <w:softHyphen/>
        <w:t>мяковым и А.Г.Кубышкиным поставили задачу: оп</w:t>
      </w:r>
      <w:r w:rsidRPr="00D03F3E">
        <w:rPr>
          <w:rFonts w:ascii="Times New Roman" w:hAnsi="Times New Roman"/>
          <w:color w:val="000000" w:themeColor="text1"/>
          <w:sz w:val="16"/>
          <w:szCs w:val="16"/>
        </w:rPr>
        <w:softHyphen/>
        <w:t>ределить практический потолок, скороподъемность машин, а также возможности увеличения этих харак</w:t>
      </w:r>
      <w:r w:rsidRPr="00D03F3E">
        <w:rPr>
          <w:rFonts w:ascii="Times New Roman" w:hAnsi="Times New Roman"/>
          <w:color w:val="000000" w:themeColor="text1"/>
          <w:sz w:val="16"/>
          <w:szCs w:val="16"/>
        </w:rPr>
        <w:softHyphen/>
        <w:t>теристик, например, путем облегчения конструкции. Кроме того, в ходе испытаний требовалось прове</w:t>
      </w:r>
      <w:r w:rsidRPr="00D03F3E">
        <w:rPr>
          <w:rFonts w:ascii="Times New Roman" w:hAnsi="Times New Roman"/>
          <w:color w:val="000000" w:themeColor="text1"/>
          <w:sz w:val="16"/>
          <w:szCs w:val="16"/>
        </w:rPr>
        <w:softHyphen/>
        <w:t>рить работу радио- и кислородного оборудования на больших высотах, оценить опытные лопасти винта ВИШ-105Л. Невооруженным глазом было видно, что обе ма</w:t>
      </w:r>
      <w:r w:rsidRPr="00D03F3E">
        <w:rPr>
          <w:rFonts w:ascii="Times New Roman" w:hAnsi="Times New Roman"/>
          <w:color w:val="000000" w:themeColor="text1"/>
          <w:sz w:val="16"/>
          <w:szCs w:val="16"/>
        </w:rPr>
        <w:softHyphen/>
        <w:t>шины сильно потрепаны, а стоявшие на них моторы наработали после последней переборки по 70—80 ча</w:t>
      </w:r>
      <w:r w:rsidRPr="00D03F3E">
        <w:rPr>
          <w:rFonts w:ascii="Times New Roman" w:hAnsi="Times New Roman"/>
          <w:color w:val="000000" w:themeColor="text1"/>
          <w:sz w:val="16"/>
          <w:szCs w:val="16"/>
        </w:rPr>
        <w:softHyphen/>
        <w:t>сов. Поэтому их заменили двигателями выпуска мар</w:t>
      </w:r>
      <w:r w:rsidRPr="00D03F3E">
        <w:rPr>
          <w:rFonts w:ascii="Times New Roman" w:hAnsi="Times New Roman"/>
          <w:color w:val="000000" w:themeColor="text1"/>
          <w:sz w:val="16"/>
          <w:szCs w:val="16"/>
        </w:rPr>
        <w:softHyphen/>
        <w:t>та 1943 г. Кроме того, на специальном заводе НИИ ВВС в Чкаловской на самолетах улучшили отделку поверхностей крыла и фюзеляжа, в том числе по</w:t>
      </w:r>
      <w:r w:rsidRPr="00D03F3E">
        <w:rPr>
          <w:rFonts w:ascii="Times New Roman" w:hAnsi="Times New Roman"/>
          <w:color w:val="000000" w:themeColor="text1"/>
          <w:sz w:val="16"/>
          <w:szCs w:val="16"/>
        </w:rPr>
        <w:softHyphen/>
        <w:t>средством повторной шпатлевки с последующим прошкуриванием. Также улучшили подгонку пред</w:t>
      </w:r>
      <w:r w:rsidRPr="00D03F3E">
        <w:rPr>
          <w:rFonts w:ascii="Times New Roman" w:hAnsi="Times New Roman"/>
          <w:color w:val="000000" w:themeColor="text1"/>
          <w:sz w:val="16"/>
          <w:szCs w:val="16"/>
        </w:rPr>
        <w:softHyphen/>
        <w:t>крылков, щитков-закрыл ков, моторных капотов, щитков шасси. Помимо указанных мероприятий, МиГ—3 зав. № 4643 максимально облегчили, сократив полезную нагрузку на 75 кг и массу конструкции на 112 кг (итого получилось 187 кг). С истребителя сняли про</w:t>
      </w:r>
      <w:r w:rsidRPr="00D03F3E">
        <w:rPr>
          <w:rFonts w:ascii="Times New Roman" w:hAnsi="Times New Roman"/>
          <w:color w:val="000000" w:themeColor="text1"/>
          <w:sz w:val="16"/>
          <w:szCs w:val="16"/>
        </w:rPr>
        <w:softHyphen/>
        <w:t>тектор бензобака, оба ШКАСа с боезапасом, аккуму</w:t>
      </w:r>
      <w:r w:rsidRPr="00D03F3E">
        <w:rPr>
          <w:rFonts w:ascii="Times New Roman" w:hAnsi="Times New Roman"/>
          <w:color w:val="000000" w:themeColor="text1"/>
          <w:sz w:val="16"/>
          <w:szCs w:val="16"/>
        </w:rPr>
        <w:softHyphen/>
        <w:t>лятор, компрессор, электросбрасыватель и др. Стан</w:t>
      </w:r>
      <w:r w:rsidRPr="00D03F3E">
        <w:rPr>
          <w:rFonts w:ascii="Times New Roman" w:hAnsi="Times New Roman"/>
          <w:color w:val="000000" w:themeColor="text1"/>
          <w:sz w:val="16"/>
          <w:szCs w:val="16"/>
        </w:rPr>
        <w:softHyphen/>
        <w:t>дартную бронеспинку пилота заменили фанерной. В то же время, мотор истребителя весил на 18 кг боль</w:t>
      </w:r>
      <w:r w:rsidRPr="00D03F3E">
        <w:rPr>
          <w:rFonts w:ascii="Times New Roman" w:hAnsi="Times New Roman"/>
          <w:color w:val="000000" w:themeColor="text1"/>
          <w:sz w:val="16"/>
          <w:szCs w:val="16"/>
        </w:rPr>
        <w:softHyphen/>
        <w:t>ше, чем стандартный АМ—35А, поскольку завод № 24 использовал в 1943 г. много деталей от АМ—38, несколько более тяжелого. Много внимания уделялось подбору оптимально</w:t>
      </w:r>
      <w:r w:rsidRPr="00D03F3E">
        <w:rPr>
          <w:rFonts w:ascii="Times New Roman" w:hAnsi="Times New Roman"/>
          <w:color w:val="000000" w:themeColor="text1"/>
          <w:sz w:val="16"/>
          <w:szCs w:val="16"/>
        </w:rPr>
        <w:softHyphen/>
        <w:t>го винта для набора наибольшего практического по</w:t>
      </w:r>
      <w:r w:rsidRPr="00D03F3E">
        <w:rPr>
          <w:rFonts w:ascii="Times New Roman" w:hAnsi="Times New Roman"/>
          <w:color w:val="000000" w:themeColor="text1"/>
          <w:sz w:val="16"/>
          <w:szCs w:val="16"/>
        </w:rPr>
        <w:softHyphen/>
        <w:t>толка. Ведущий инженер В.И.Алексеенко привел следующие данные, характеризующие установлен</w:t>
      </w:r>
      <w:r w:rsidRPr="00D03F3E">
        <w:rPr>
          <w:rFonts w:ascii="Times New Roman" w:hAnsi="Times New Roman"/>
          <w:color w:val="000000" w:themeColor="text1"/>
          <w:sz w:val="16"/>
          <w:szCs w:val="16"/>
        </w:rPr>
        <w:softHyphen/>
        <w:t>ные на МиГи винты:</w:t>
      </w:r>
    </w:p>
    <w:p w14:paraId="52468B3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результаты испытаний МиГ—3 с различными винтами</w:t>
      </w:r>
    </w:p>
    <w:tbl>
      <w:tblPr>
        <w:tblW w:w="0" w:type="auto"/>
        <w:tblInd w:w="40" w:type="dxa"/>
        <w:tblLayout w:type="fixed"/>
        <w:tblCellMar>
          <w:left w:w="40" w:type="dxa"/>
          <w:right w:w="40" w:type="dxa"/>
        </w:tblCellMar>
        <w:tblLook w:val="0000" w:firstRow="0" w:lastRow="0" w:firstColumn="0" w:lastColumn="0" w:noHBand="0" w:noVBand="0"/>
      </w:tblPr>
      <w:tblGrid>
        <w:gridCol w:w="2323"/>
        <w:gridCol w:w="3167"/>
        <w:gridCol w:w="3216"/>
        <w:gridCol w:w="1644"/>
      </w:tblGrid>
      <w:tr w:rsidR="00860B4B" w:rsidRPr="00D03F3E" w14:paraId="040E2A53" w14:textId="77777777">
        <w:trPr>
          <w:trHeight w:val="528"/>
        </w:trPr>
        <w:tc>
          <w:tcPr>
            <w:tcW w:w="2323" w:type="dxa"/>
            <w:tcBorders>
              <w:top w:val="single" w:sz="12" w:space="0" w:color="auto"/>
              <w:left w:val="single" w:sz="12" w:space="0" w:color="auto"/>
              <w:bottom w:val="single" w:sz="12" w:space="0" w:color="auto"/>
              <w:right w:val="single" w:sz="6" w:space="0" w:color="auto"/>
            </w:tcBorders>
          </w:tcPr>
          <w:p w14:paraId="7757DF1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Характеристика</w:t>
            </w:r>
          </w:p>
        </w:tc>
        <w:tc>
          <w:tcPr>
            <w:tcW w:w="8027" w:type="dxa"/>
            <w:gridSpan w:val="3"/>
            <w:tcBorders>
              <w:top w:val="single" w:sz="12" w:space="0" w:color="auto"/>
              <w:left w:val="single" w:sz="6" w:space="0" w:color="auto"/>
              <w:bottom w:val="single" w:sz="12" w:space="0" w:color="auto"/>
              <w:right w:val="single" w:sz="12" w:space="0" w:color="auto"/>
            </w:tcBorders>
          </w:tcPr>
          <w:p w14:paraId="0117AB2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 номер самолета № 4643</w:t>
            </w:r>
            <w:r w:rsidRPr="00D03F3E">
              <w:rPr>
                <w:rFonts w:ascii="Times New Roman" w:hAnsi="Times New Roman"/>
                <w:color w:val="000000" w:themeColor="text1"/>
                <w:sz w:val="16"/>
                <w:szCs w:val="16"/>
              </w:rPr>
              <w:tab/>
            </w:r>
            <w:r w:rsidRPr="00D03F3E">
              <w:rPr>
                <w:rFonts w:ascii="Times New Roman" w:hAnsi="Times New Roman"/>
                <w:color w:val="000000" w:themeColor="text1"/>
                <w:sz w:val="16"/>
                <w:szCs w:val="16"/>
              </w:rPr>
              <w:tab/>
              <w:t>№ 5176</w:t>
            </w:r>
            <w:r w:rsidRPr="00D03F3E">
              <w:rPr>
                <w:rFonts w:ascii="Times New Roman" w:hAnsi="Times New Roman"/>
                <w:color w:val="000000" w:themeColor="text1"/>
                <w:sz w:val="16"/>
                <w:szCs w:val="16"/>
              </w:rPr>
              <w:tab/>
            </w:r>
            <w:r w:rsidRPr="00D03F3E">
              <w:rPr>
                <w:rFonts w:ascii="Times New Roman" w:hAnsi="Times New Roman"/>
                <w:color w:val="000000" w:themeColor="text1"/>
                <w:sz w:val="16"/>
                <w:szCs w:val="16"/>
              </w:rPr>
              <w:tab/>
            </w:r>
            <w:r w:rsidRPr="00D03F3E">
              <w:rPr>
                <w:rFonts w:ascii="Times New Roman" w:hAnsi="Times New Roman"/>
                <w:color w:val="000000" w:themeColor="text1"/>
                <w:sz w:val="16"/>
                <w:szCs w:val="16"/>
              </w:rPr>
              <w:tab/>
            </w:r>
            <w:r w:rsidRPr="00D03F3E">
              <w:rPr>
                <w:rFonts w:ascii="Times New Roman" w:hAnsi="Times New Roman"/>
                <w:color w:val="000000" w:themeColor="text1"/>
                <w:sz w:val="16"/>
                <w:szCs w:val="16"/>
              </w:rPr>
              <w:tab/>
              <w:t>№ 4486</w:t>
            </w:r>
          </w:p>
        </w:tc>
      </w:tr>
      <w:tr w:rsidR="00860B4B" w:rsidRPr="00D03F3E" w14:paraId="2E8792B4" w14:textId="77777777">
        <w:trPr>
          <w:trHeight w:val="240"/>
        </w:trPr>
        <w:tc>
          <w:tcPr>
            <w:tcW w:w="2323" w:type="dxa"/>
            <w:tcBorders>
              <w:top w:val="single" w:sz="12" w:space="0" w:color="auto"/>
              <w:left w:val="single" w:sz="12" w:space="0" w:color="auto"/>
              <w:bottom w:val="single" w:sz="6" w:space="0" w:color="auto"/>
              <w:right w:val="single" w:sz="6" w:space="0" w:color="auto"/>
            </w:tcBorders>
          </w:tcPr>
          <w:p w14:paraId="2E7A713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Винт</w:t>
            </w:r>
          </w:p>
        </w:tc>
        <w:tc>
          <w:tcPr>
            <w:tcW w:w="3167" w:type="dxa"/>
            <w:tcBorders>
              <w:top w:val="single" w:sz="12" w:space="0" w:color="auto"/>
              <w:left w:val="single" w:sz="6" w:space="0" w:color="auto"/>
              <w:bottom w:val="single" w:sz="6" w:space="0" w:color="auto"/>
              <w:right w:val="single" w:sz="6" w:space="0" w:color="auto"/>
            </w:tcBorders>
          </w:tcPr>
          <w:p w14:paraId="2A573A9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ВИШ-КМ</w:t>
            </w:r>
          </w:p>
        </w:tc>
        <w:tc>
          <w:tcPr>
            <w:tcW w:w="3216" w:type="dxa"/>
            <w:tcBorders>
              <w:top w:val="single" w:sz="12" w:space="0" w:color="auto"/>
              <w:left w:val="single" w:sz="6" w:space="0" w:color="auto"/>
              <w:bottom w:val="single" w:sz="6" w:space="0" w:color="auto"/>
              <w:right w:val="single" w:sz="6" w:space="0" w:color="auto"/>
            </w:tcBorders>
          </w:tcPr>
          <w:p w14:paraId="6F70607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АВ-5Л-110</w:t>
            </w:r>
          </w:p>
        </w:tc>
        <w:tc>
          <w:tcPr>
            <w:tcW w:w="1644" w:type="dxa"/>
            <w:tcBorders>
              <w:top w:val="single" w:sz="12" w:space="0" w:color="auto"/>
              <w:left w:val="single" w:sz="6" w:space="0" w:color="auto"/>
              <w:bottom w:val="single" w:sz="6" w:space="0" w:color="auto"/>
              <w:right w:val="single" w:sz="12" w:space="0" w:color="auto"/>
            </w:tcBorders>
          </w:tcPr>
          <w:p w14:paraId="45321CC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АВ-5Л-123</w:t>
            </w:r>
          </w:p>
        </w:tc>
      </w:tr>
      <w:tr w:rsidR="00860B4B" w:rsidRPr="00D03F3E" w14:paraId="32B38943" w14:textId="77777777">
        <w:trPr>
          <w:trHeight w:val="250"/>
        </w:trPr>
        <w:tc>
          <w:tcPr>
            <w:tcW w:w="2323" w:type="dxa"/>
            <w:tcBorders>
              <w:top w:val="single" w:sz="6" w:space="0" w:color="auto"/>
              <w:left w:val="single" w:sz="12" w:space="0" w:color="auto"/>
              <w:bottom w:val="single" w:sz="6" w:space="0" w:color="auto"/>
              <w:right w:val="single" w:sz="6" w:space="0" w:color="auto"/>
            </w:tcBorders>
          </w:tcPr>
          <w:p w14:paraId="2213E00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Дата испытаний</w:t>
            </w:r>
          </w:p>
        </w:tc>
        <w:tc>
          <w:tcPr>
            <w:tcW w:w="3167" w:type="dxa"/>
            <w:tcBorders>
              <w:top w:val="single" w:sz="6" w:space="0" w:color="auto"/>
              <w:left w:val="single" w:sz="6" w:space="0" w:color="auto"/>
              <w:bottom w:val="single" w:sz="6" w:space="0" w:color="auto"/>
              <w:right w:val="single" w:sz="6" w:space="0" w:color="auto"/>
            </w:tcBorders>
          </w:tcPr>
          <w:p w14:paraId="6F854D5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Май</w:t>
            </w:r>
          </w:p>
        </w:tc>
        <w:tc>
          <w:tcPr>
            <w:tcW w:w="3216" w:type="dxa"/>
            <w:tcBorders>
              <w:top w:val="single" w:sz="6" w:space="0" w:color="auto"/>
              <w:left w:val="single" w:sz="6" w:space="0" w:color="auto"/>
              <w:bottom w:val="single" w:sz="6" w:space="0" w:color="auto"/>
              <w:right w:val="single" w:sz="6" w:space="0" w:color="auto"/>
            </w:tcBorders>
          </w:tcPr>
          <w:p w14:paraId="67F41D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Май</w:t>
            </w:r>
          </w:p>
        </w:tc>
        <w:tc>
          <w:tcPr>
            <w:tcW w:w="1644" w:type="dxa"/>
            <w:tcBorders>
              <w:top w:val="single" w:sz="6" w:space="0" w:color="auto"/>
              <w:left w:val="single" w:sz="6" w:space="0" w:color="auto"/>
              <w:bottom w:val="single" w:sz="6" w:space="0" w:color="auto"/>
              <w:right w:val="single" w:sz="12" w:space="0" w:color="auto"/>
            </w:tcBorders>
          </w:tcPr>
          <w:p w14:paraId="1B0F3D6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Август</w:t>
            </w:r>
          </w:p>
        </w:tc>
      </w:tr>
      <w:tr w:rsidR="00860B4B" w:rsidRPr="00D03F3E" w14:paraId="52E37062" w14:textId="77777777">
        <w:trPr>
          <w:trHeight w:val="230"/>
        </w:trPr>
        <w:tc>
          <w:tcPr>
            <w:tcW w:w="2323" w:type="dxa"/>
            <w:tcBorders>
              <w:top w:val="single" w:sz="6" w:space="0" w:color="auto"/>
              <w:left w:val="single" w:sz="12" w:space="0" w:color="auto"/>
              <w:bottom w:val="single" w:sz="6" w:space="0" w:color="auto"/>
              <w:right w:val="single" w:sz="6" w:space="0" w:color="auto"/>
            </w:tcBorders>
          </w:tcPr>
          <w:p w14:paraId="2CA597F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167" w:type="dxa"/>
            <w:tcBorders>
              <w:top w:val="single" w:sz="6" w:space="0" w:color="auto"/>
              <w:left w:val="single" w:sz="6" w:space="0" w:color="auto"/>
              <w:bottom w:val="single" w:sz="6" w:space="0" w:color="auto"/>
              <w:right w:val="single" w:sz="6" w:space="0" w:color="auto"/>
            </w:tcBorders>
          </w:tcPr>
          <w:p w14:paraId="67C2F92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1943 г.</w:t>
            </w:r>
          </w:p>
        </w:tc>
        <w:tc>
          <w:tcPr>
            <w:tcW w:w="3216" w:type="dxa"/>
            <w:tcBorders>
              <w:top w:val="single" w:sz="6" w:space="0" w:color="auto"/>
              <w:left w:val="single" w:sz="6" w:space="0" w:color="auto"/>
              <w:bottom w:val="single" w:sz="6" w:space="0" w:color="auto"/>
              <w:right w:val="single" w:sz="6" w:space="0" w:color="auto"/>
            </w:tcBorders>
          </w:tcPr>
          <w:p w14:paraId="3DDC352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1943 г.</w:t>
            </w:r>
          </w:p>
        </w:tc>
        <w:tc>
          <w:tcPr>
            <w:tcW w:w="1644" w:type="dxa"/>
            <w:tcBorders>
              <w:top w:val="single" w:sz="6" w:space="0" w:color="auto"/>
              <w:left w:val="single" w:sz="6" w:space="0" w:color="auto"/>
              <w:bottom w:val="single" w:sz="6" w:space="0" w:color="auto"/>
              <w:right w:val="single" w:sz="12" w:space="0" w:color="auto"/>
            </w:tcBorders>
          </w:tcPr>
          <w:p w14:paraId="43EF6AD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1942 г.</w:t>
            </w:r>
          </w:p>
        </w:tc>
      </w:tr>
      <w:tr w:rsidR="00860B4B" w:rsidRPr="00D03F3E" w14:paraId="73BBF4AE" w14:textId="77777777">
        <w:trPr>
          <w:trHeight w:val="240"/>
        </w:trPr>
        <w:tc>
          <w:tcPr>
            <w:tcW w:w="2323" w:type="dxa"/>
            <w:tcBorders>
              <w:top w:val="single" w:sz="6" w:space="0" w:color="auto"/>
              <w:left w:val="single" w:sz="12" w:space="0" w:color="auto"/>
              <w:bottom w:val="single" w:sz="6" w:space="0" w:color="auto"/>
              <w:right w:val="single" w:sz="6" w:space="0" w:color="auto"/>
            </w:tcBorders>
          </w:tcPr>
          <w:p w14:paraId="7A5B401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Полетная масса, кг</w:t>
            </w:r>
          </w:p>
        </w:tc>
        <w:tc>
          <w:tcPr>
            <w:tcW w:w="3167" w:type="dxa"/>
            <w:tcBorders>
              <w:top w:val="single" w:sz="6" w:space="0" w:color="auto"/>
              <w:left w:val="single" w:sz="6" w:space="0" w:color="auto"/>
              <w:bottom w:val="single" w:sz="6" w:space="0" w:color="auto"/>
              <w:right w:val="single" w:sz="6" w:space="0" w:color="auto"/>
            </w:tcBorders>
          </w:tcPr>
          <w:p w14:paraId="19B74A3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3098</w:t>
            </w:r>
          </w:p>
        </w:tc>
        <w:tc>
          <w:tcPr>
            <w:tcW w:w="3216" w:type="dxa"/>
            <w:tcBorders>
              <w:top w:val="single" w:sz="6" w:space="0" w:color="auto"/>
              <w:left w:val="single" w:sz="6" w:space="0" w:color="auto"/>
              <w:bottom w:val="single" w:sz="6" w:space="0" w:color="auto"/>
              <w:right w:val="single" w:sz="6" w:space="0" w:color="auto"/>
            </w:tcBorders>
          </w:tcPr>
          <w:p w14:paraId="27A6E3F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3203</w:t>
            </w:r>
          </w:p>
        </w:tc>
        <w:tc>
          <w:tcPr>
            <w:tcW w:w="1644" w:type="dxa"/>
            <w:tcBorders>
              <w:top w:val="single" w:sz="6" w:space="0" w:color="auto"/>
              <w:left w:val="single" w:sz="6" w:space="0" w:color="auto"/>
              <w:bottom w:val="single" w:sz="6" w:space="0" w:color="auto"/>
              <w:right w:val="single" w:sz="12" w:space="0" w:color="auto"/>
            </w:tcBorders>
          </w:tcPr>
          <w:p w14:paraId="488364B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3252</w:t>
            </w:r>
          </w:p>
        </w:tc>
      </w:tr>
      <w:tr w:rsidR="00860B4B" w:rsidRPr="00D03F3E" w14:paraId="0EDEFBD5" w14:textId="77777777">
        <w:trPr>
          <w:trHeight w:val="250"/>
        </w:trPr>
        <w:tc>
          <w:tcPr>
            <w:tcW w:w="2323" w:type="dxa"/>
            <w:tcBorders>
              <w:top w:val="single" w:sz="6" w:space="0" w:color="auto"/>
              <w:left w:val="single" w:sz="12" w:space="0" w:color="auto"/>
              <w:bottom w:val="single" w:sz="6" w:space="0" w:color="auto"/>
              <w:right w:val="single" w:sz="6" w:space="0" w:color="auto"/>
            </w:tcBorders>
          </w:tcPr>
          <w:p w14:paraId="0CA6B17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 м</w:t>
            </w:r>
          </w:p>
        </w:tc>
        <w:tc>
          <w:tcPr>
            <w:tcW w:w="3167" w:type="dxa"/>
            <w:tcBorders>
              <w:top w:val="single" w:sz="6" w:space="0" w:color="auto"/>
              <w:left w:val="single" w:sz="6" w:space="0" w:color="auto"/>
              <w:bottom w:val="single" w:sz="6" w:space="0" w:color="auto"/>
              <w:right w:val="single" w:sz="6" w:space="0" w:color="auto"/>
            </w:tcBorders>
          </w:tcPr>
          <w:p w14:paraId="71F4196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11750</w:t>
            </w:r>
          </w:p>
        </w:tc>
        <w:tc>
          <w:tcPr>
            <w:tcW w:w="3216" w:type="dxa"/>
            <w:tcBorders>
              <w:top w:val="single" w:sz="6" w:space="0" w:color="auto"/>
              <w:left w:val="single" w:sz="6" w:space="0" w:color="auto"/>
              <w:bottom w:val="single" w:sz="6" w:space="0" w:color="auto"/>
              <w:right w:val="single" w:sz="6" w:space="0" w:color="auto"/>
            </w:tcBorders>
          </w:tcPr>
          <w:p w14:paraId="3C7F23B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11100</w:t>
            </w:r>
          </w:p>
        </w:tc>
        <w:tc>
          <w:tcPr>
            <w:tcW w:w="1644" w:type="dxa"/>
            <w:tcBorders>
              <w:top w:val="single" w:sz="6" w:space="0" w:color="auto"/>
              <w:left w:val="single" w:sz="6" w:space="0" w:color="auto"/>
              <w:bottom w:val="single" w:sz="6" w:space="0" w:color="auto"/>
              <w:right w:val="single" w:sz="12" w:space="0" w:color="auto"/>
            </w:tcBorders>
          </w:tcPr>
          <w:p w14:paraId="748AE0C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11000</w:t>
            </w:r>
          </w:p>
        </w:tc>
      </w:tr>
      <w:tr w:rsidR="00860B4B" w:rsidRPr="00D03F3E" w14:paraId="3A39CA47" w14:textId="77777777">
        <w:trPr>
          <w:trHeight w:val="240"/>
        </w:trPr>
        <w:tc>
          <w:tcPr>
            <w:tcW w:w="5490" w:type="dxa"/>
            <w:gridSpan w:val="2"/>
            <w:tcBorders>
              <w:top w:val="single" w:sz="6" w:space="0" w:color="auto"/>
              <w:left w:val="single" w:sz="12" w:space="0" w:color="auto"/>
              <w:bottom w:val="single" w:sz="6" w:space="0" w:color="auto"/>
              <w:right w:val="single" w:sz="6" w:space="0" w:color="auto"/>
            </w:tcBorders>
          </w:tcPr>
          <w:p w14:paraId="1B6FC87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потолка, мин</w:t>
            </w:r>
            <w:r w:rsidRPr="00D03F3E">
              <w:rPr>
                <w:rFonts w:ascii="Times New Roman" w:hAnsi="Times New Roman"/>
                <w:color w:val="000000" w:themeColor="text1"/>
                <w:sz w:val="16"/>
                <w:szCs w:val="16"/>
              </w:rPr>
              <w:tab/>
              <w:t>31,0</w:t>
            </w:r>
          </w:p>
        </w:tc>
        <w:tc>
          <w:tcPr>
            <w:tcW w:w="3216" w:type="dxa"/>
            <w:tcBorders>
              <w:top w:val="single" w:sz="6" w:space="0" w:color="auto"/>
              <w:left w:val="single" w:sz="6" w:space="0" w:color="auto"/>
              <w:bottom w:val="single" w:sz="6" w:space="0" w:color="auto"/>
              <w:right w:val="single" w:sz="6" w:space="0" w:color="auto"/>
            </w:tcBorders>
          </w:tcPr>
          <w:p w14:paraId="2A6A25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32,5</w:t>
            </w:r>
          </w:p>
        </w:tc>
        <w:tc>
          <w:tcPr>
            <w:tcW w:w="1644" w:type="dxa"/>
            <w:tcBorders>
              <w:top w:val="single" w:sz="6" w:space="0" w:color="auto"/>
              <w:left w:val="single" w:sz="6" w:space="0" w:color="auto"/>
              <w:bottom w:val="single" w:sz="6" w:space="0" w:color="auto"/>
              <w:right w:val="single" w:sz="12" w:space="0" w:color="auto"/>
            </w:tcBorders>
          </w:tcPr>
          <w:p w14:paraId="452F14B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34,3</w:t>
            </w:r>
          </w:p>
        </w:tc>
      </w:tr>
      <w:tr w:rsidR="00860B4B" w:rsidRPr="00D03F3E" w14:paraId="410E61B6" w14:textId="77777777">
        <w:trPr>
          <w:trHeight w:val="240"/>
        </w:trPr>
        <w:tc>
          <w:tcPr>
            <w:tcW w:w="2323" w:type="dxa"/>
            <w:tcBorders>
              <w:top w:val="single" w:sz="6" w:space="0" w:color="auto"/>
              <w:left w:val="single" w:sz="12" w:space="0" w:color="auto"/>
              <w:bottom w:val="single" w:sz="6" w:space="0" w:color="auto"/>
              <w:right w:val="single" w:sz="6" w:space="0" w:color="auto"/>
            </w:tcBorders>
          </w:tcPr>
          <w:p w14:paraId="5611E8E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5000 м, мин</w:t>
            </w:r>
          </w:p>
        </w:tc>
        <w:tc>
          <w:tcPr>
            <w:tcW w:w="3167" w:type="dxa"/>
            <w:tcBorders>
              <w:top w:val="single" w:sz="6" w:space="0" w:color="auto"/>
              <w:left w:val="single" w:sz="6" w:space="0" w:color="auto"/>
              <w:bottom w:val="single" w:sz="6" w:space="0" w:color="auto"/>
              <w:right w:val="single" w:sz="6" w:space="0" w:color="auto"/>
            </w:tcBorders>
          </w:tcPr>
          <w:p w14:paraId="08218B7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6,4</w:t>
            </w:r>
          </w:p>
        </w:tc>
        <w:tc>
          <w:tcPr>
            <w:tcW w:w="3216" w:type="dxa"/>
            <w:tcBorders>
              <w:top w:val="single" w:sz="6" w:space="0" w:color="auto"/>
              <w:left w:val="single" w:sz="6" w:space="0" w:color="auto"/>
              <w:bottom w:val="single" w:sz="6" w:space="0" w:color="auto"/>
              <w:right w:val="single" w:sz="6" w:space="0" w:color="auto"/>
            </w:tcBorders>
          </w:tcPr>
          <w:p w14:paraId="09F1078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7,2</w:t>
            </w:r>
          </w:p>
        </w:tc>
        <w:tc>
          <w:tcPr>
            <w:tcW w:w="1644" w:type="dxa"/>
            <w:tcBorders>
              <w:top w:val="single" w:sz="6" w:space="0" w:color="auto"/>
              <w:left w:val="single" w:sz="6" w:space="0" w:color="auto"/>
              <w:bottom w:val="single" w:sz="6" w:space="0" w:color="auto"/>
              <w:right w:val="single" w:sz="12" w:space="0" w:color="auto"/>
            </w:tcBorders>
          </w:tcPr>
          <w:p w14:paraId="7EBA02E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8,1</w:t>
            </w:r>
          </w:p>
        </w:tc>
      </w:tr>
      <w:tr w:rsidR="00860B4B" w:rsidRPr="00D03F3E" w14:paraId="1E31790C" w14:textId="77777777">
        <w:trPr>
          <w:trHeight w:val="240"/>
        </w:trPr>
        <w:tc>
          <w:tcPr>
            <w:tcW w:w="2323" w:type="dxa"/>
            <w:tcBorders>
              <w:top w:val="single" w:sz="6" w:space="0" w:color="auto"/>
              <w:left w:val="single" w:sz="12" w:space="0" w:color="auto"/>
              <w:bottom w:val="single" w:sz="6" w:space="0" w:color="auto"/>
              <w:right w:val="single" w:sz="6" w:space="0" w:color="auto"/>
            </w:tcBorders>
          </w:tcPr>
          <w:p w14:paraId="5FC75E7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8000 м, мин</w:t>
            </w:r>
          </w:p>
        </w:tc>
        <w:tc>
          <w:tcPr>
            <w:tcW w:w="3167" w:type="dxa"/>
            <w:tcBorders>
              <w:top w:val="single" w:sz="6" w:space="0" w:color="auto"/>
              <w:left w:val="single" w:sz="6" w:space="0" w:color="auto"/>
              <w:bottom w:val="single" w:sz="6" w:space="0" w:color="auto"/>
              <w:right w:val="single" w:sz="6" w:space="0" w:color="auto"/>
            </w:tcBorders>
          </w:tcPr>
          <w:p w14:paraId="7E7F721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w:t>
            </w:r>
          </w:p>
        </w:tc>
        <w:tc>
          <w:tcPr>
            <w:tcW w:w="3216" w:type="dxa"/>
            <w:tcBorders>
              <w:top w:val="single" w:sz="6" w:space="0" w:color="auto"/>
              <w:left w:val="single" w:sz="6" w:space="0" w:color="auto"/>
              <w:bottom w:val="single" w:sz="6" w:space="0" w:color="auto"/>
              <w:right w:val="single" w:sz="6" w:space="0" w:color="auto"/>
            </w:tcBorders>
          </w:tcPr>
          <w:p w14:paraId="7A48B00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12,4</w:t>
            </w:r>
          </w:p>
        </w:tc>
        <w:tc>
          <w:tcPr>
            <w:tcW w:w="1644" w:type="dxa"/>
            <w:tcBorders>
              <w:top w:val="single" w:sz="6" w:space="0" w:color="auto"/>
              <w:left w:val="single" w:sz="6" w:space="0" w:color="auto"/>
              <w:bottom w:val="single" w:sz="6" w:space="0" w:color="auto"/>
              <w:right w:val="single" w:sz="12" w:space="0" w:color="auto"/>
            </w:tcBorders>
          </w:tcPr>
          <w:p w14:paraId="5196B88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14,0</w:t>
            </w:r>
          </w:p>
        </w:tc>
      </w:tr>
      <w:tr w:rsidR="00860B4B" w:rsidRPr="00D03F3E" w14:paraId="13DC96C4" w14:textId="77777777">
        <w:trPr>
          <w:trHeight w:val="240"/>
        </w:trPr>
        <w:tc>
          <w:tcPr>
            <w:tcW w:w="2323" w:type="dxa"/>
            <w:tcBorders>
              <w:top w:val="single" w:sz="6" w:space="0" w:color="auto"/>
              <w:left w:val="single" w:sz="12" w:space="0" w:color="auto"/>
              <w:bottom w:val="single" w:sz="6" w:space="0" w:color="auto"/>
              <w:right w:val="single" w:sz="6" w:space="0" w:color="auto"/>
            </w:tcBorders>
          </w:tcPr>
          <w:p w14:paraId="6AFD73B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w:t>
            </w:r>
          </w:p>
        </w:tc>
        <w:tc>
          <w:tcPr>
            <w:tcW w:w="3167" w:type="dxa"/>
            <w:tcBorders>
              <w:top w:val="single" w:sz="6" w:space="0" w:color="auto"/>
              <w:left w:val="single" w:sz="6" w:space="0" w:color="auto"/>
              <w:bottom w:val="single" w:sz="6" w:space="0" w:color="auto"/>
              <w:right w:val="single" w:sz="6" w:space="0" w:color="auto"/>
            </w:tcBorders>
          </w:tcPr>
          <w:p w14:paraId="184CE95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1хБС</w:t>
            </w:r>
          </w:p>
        </w:tc>
        <w:tc>
          <w:tcPr>
            <w:tcW w:w="3216" w:type="dxa"/>
            <w:tcBorders>
              <w:top w:val="single" w:sz="6" w:space="0" w:color="auto"/>
              <w:left w:val="single" w:sz="6" w:space="0" w:color="auto"/>
              <w:bottom w:val="single" w:sz="6" w:space="0" w:color="auto"/>
              <w:right w:val="single" w:sz="6" w:space="0" w:color="auto"/>
            </w:tcBorders>
          </w:tcPr>
          <w:p w14:paraId="59A1129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2хУБС</w:t>
            </w:r>
          </w:p>
        </w:tc>
        <w:tc>
          <w:tcPr>
            <w:tcW w:w="1644" w:type="dxa"/>
            <w:tcBorders>
              <w:top w:val="single" w:sz="6" w:space="0" w:color="auto"/>
              <w:left w:val="single" w:sz="6" w:space="0" w:color="auto"/>
              <w:bottom w:val="single" w:sz="6" w:space="0" w:color="auto"/>
              <w:right w:val="single" w:sz="12" w:space="0" w:color="auto"/>
            </w:tcBorders>
          </w:tcPr>
          <w:p w14:paraId="1353E09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2хБС</w:t>
            </w:r>
          </w:p>
        </w:tc>
      </w:tr>
      <w:tr w:rsidR="00860B4B" w:rsidRPr="00D03F3E" w14:paraId="66202308" w14:textId="77777777">
        <w:trPr>
          <w:trHeight w:val="346"/>
        </w:trPr>
        <w:tc>
          <w:tcPr>
            <w:tcW w:w="2323" w:type="dxa"/>
            <w:tcBorders>
              <w:top w:val="single" w:sz="6" w:space="0" w:color="auto"/>
              <w:left w:val="single" w:sz="12" w:space="0" w:color="auto"/>
              <w:bottom w:val="single" w:sz="12" w:space="0" w:color="auto"/>
              <w:right w:val="single" w:sz="6" w:space="0" w:color="auto"/>
            </w:tcBorders>
          </w:tcPr>
          <w:p w14:paraId="1090ABB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Боезапас, патронов</w:t>
            </w:r>
          </w:p>
        </w:tc>
        <w:tc>
          <w:tcPr>
            <w:tcW w:w="3167" w:type="dxa"/>
            <w:tcBorders>
              <w:top w:val="single" w:sz="6" w:space="0" w:color="auto"/>
              <w:left w:val="single" w:sz="6" w:space="0" w:color="auto"/>
              <w:bottom w:val="single" w:sz="12" w:space="0" w:color="auto"/>
              <w:right w:val="single" w:sz="6" w:space="0" w:color="auto"/>
            </w:tcBorders>
          </w:tcPr>
          <w:p w14:paraId="1918E63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w:t>
            </w:r>
          </w:p>
        </w:tc>
        <w:tc>
          <w:tcPr>
            <w:tcW w:w="3216" w:type="dxa"/>
            <w:tcBorders>
              <w:top w:val="single" w:sz="6" w:space="0" w:color="auto"/>
              <w:left w:val="single" w:sz="6" w:space="0" w:color="auto"/>
              <w:bottom w:val="single" w:sz="12" w:space="0" w:color="auto"/>
              <w:right w:val="single" w:sz="6" w:space="0" w:color="auto"/>
            </w:tcBorders>
          </w:tcPr>
          <w:p w14:paraId="6B43EE0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w:t>
            </w:r>
          </w:p>
        </w:tc>
        <w:tc>
          <w:tcPr>
            <w:tcW w:w="1644" w:type="dxa"/>
            <w:tcBorders>
              <w:top w:val="single" w:sz="6" w:space="0" w:color="auto"/>
              <w:left w:val="single" w:sz="6" w:space="0" w:color="auto"/>
              <w:bottom w:val="single" w:sz="12" w:space="0" w:color="auto"/>
              <w:right w:val="single" w:sz="12" w:space="0" w:color="auto"/>
            </w:tcBorders>
          </w:tcPr>
          <w:p w14:paraId="280F183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w:t>
            </w:r>
          </w:p>
        </w:tc>
      </w:tr>
    </w:tbl>
    <w:p w14:paraId="79ECE72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целом, в ходе работы винт ВИШ—105Л диамет</w:t>
      </w:r>
      <w:r w:rsidRPr="00D03F3E">
        <w:rPr>
          <w:rFonts w:ascii="Times New Roman" w:hAnsi="Times New Roman"/>
          <w:color w:val="000000" w:themeColor="text1"/>
          <w:sz w:val="16"/>
          <w:szCs w:val="16"/>
        </w:rPr>
        <w:softHyphen/>
        <w:t>ром 3,115 м с опытными лопастями положительно оценили в НИИ ВВС. При резкой даче газа наблю</w:t>
      </w:r>
      <w:r w:rsidRPr="00D03F3E">
        <w:rPr>
          <w:rFonts w:ascii="Times New Roman" w:hAnsi="Times New Roman"/>
          <w:color w:val="000000" w:themeColor="text1"/>
          <w:sz w:val="16"/>
          <w:szCs w:val="16"/>
        </w:rPr>
        <w:softHyphen/>
        <w:t>дался «заброс» частоты вращения вала двигателя до 2250 об/мин, но в течение одной—полутора секунд за</w:t>
      </w:r>
      <w:r w:rsidRPr="00D03F3E">
        <w:rPr>
          <w:rFonts w:ascii="Times New Roman" w:hAnsi="Times New Roman"/>
          <w:color w:val="000000" w:themeColor="text1"/>
          <w:sz w:val="16"/>
          <w:szCs w:val="16"/>
        </w:rPr>
        <w:softHyphen/>
        <w:t>данные обороты восстанавливались. Не отмечалось ненормальной работы при выполнении различных фигур, в частности, при полетах на больших высотах. На истребителях стояли стандартные рации РСИ—4. При переговорах летчика, находящегося на высоте около 10000 м, с наземной радиостанцией 11—АК наблюдались сильные помехи радиоприему, временами полностью заглушавшие текст сообще</w:t>
      </w:r>
      <w:r w:rsidRPr="00D03F3E">
        <w:rPr>
          <w:rFonts w:ascii="Times New Roman" w:hAnsi="Times New Roman"/>
          <w:color w:val="000000" w:themeColor="text1"/>
          <w:sz w:val="16"/>
          <w:szCs w:val="16"/>
        </w:rPr>
        <w:softHyphen/>
        <w:t>ния, что объяснялось нарушением металлизации са</w:t>
      </w:r>
      <w:r w:rsidRPr="00D03F3E">
        <w:rPr>
          <w:rFonts w:ascii="Times New Roman" w:hAnsi="Times New Roman"/>
          <w:color w:val="000000" w:themeColor="text1"/>
          <w:sz w:val="16"/>
          <w:szCs w:val="16"/>
        </w:rPr>
        <w:softHyphen/>
        <w:t>молетов и плохой экранировкой системы зажигания моторов. К сожалению, подобные дефекты отмеча</w:t>
      </w:r>
      <w:r w:rsidRPr="00D03F3E">
        <w:rPr>
          <w:rFonts w:ascii="Times New Roman" w:hAnsi="Times New Roman"/>
          <w:color w:val="000000" w:themeColor="text1"/>
          <w:sz w:val="16"/>
          <w:szCs w:val="16"/>
        </w:rPr>
        <w:softHyphen/>
        <w:t>лись на МиГ—3 с начала серийного производства. На высотах 10700—11000 м кислородное оборудо</w:t>
      </w:r>
      <w:r w:rsidRPr="00D03F3E">
        <w:rPr>
          <w:rFonts w:ascii="Times New Roman" w:hAnsi="Times New Roman"/>
          <w:color w:val="000000" w:themeColor="text1"/>
          <w:sz w:val="16"/>
          <w:szCs w:val="16"/>
        </w:rPr>
        <w:softHyphen/>
        <w:t>вание, состоявшее из аппарата КПА—Збис и четы</w:t>
      </w:r>
      <w:r w:rsidRPr="00D03F3E">
        <w:rPr>
          <w:rFonts w:ascii="Times New Roman" w:hAnsi="Times New Roman"/>
          <w:color w:val="000000" w:themeColor="text1"/>
          <w:sz w:val="16"/>
          <w:szCs w:val="16"/>
        </w:rPr>
        <w:softHyphen/>
        <w:t>рехлитрового кислородного баллона, работало нор мально. А отстрел оружия на этих высотах привел к задержке стрельбы на одном истребителе (после 101 выстрела) и заклиниванию обоих звеньев на дру</w:t>
      </w:r>
      <w:r w:rsidRPr="00D03F3E">
        <w:rPr>
          <w:rFonts w:ascii="Times New Roman" w:hAnsi="Times New Roman"/>
          <w:color w:val="000000" w:themeColor="text1"/>
          <w:sz w:val="16"/>
          <w:szCs w:val="16"/>
        </w:rPr>
        <w:softHyphen/>
        <w:t>гом (после 30 и 80 выстрелов). Основная причина за</w:t>
      </w:r>
      <w:r w:rsidRPr="00D03F3E">
        <w:rPr>
          <w:rFonts w:ascii="Times New Roman" w:hAnsi="Times New Roman"/>
          <w:color w:val="000000" w:themeColor="text1"/>
          <w:sz w:val="16"/>
          <w:szCs w:val="16"/>
        </w:rPr>
        <w:softHyphen/>
        <w:t>ключалась в низкой температуре за бортом, состав</w:t>
      </w:r>
      <w:r w:rsidRPr="00D03F3E">
        <w:rPr>
          <w:rFonts w:ascii="Times New Roman" w:hAnsi="Times New Roman"/>
          <w:color w:val="000000" w:themeColor="text1"/>
          <w:sz w:val="16"/>
          <w:szCs w:val="16"/>
        </w:rPr>
        <w:softHyphen/>
        <w:t>лявшей — 42° С; в целом работа пулеметов была признана удовлетворительной. Свои мнения высказали летчики-испытатели, со</w:t>
      </w:r>
      <w:r w:rsidRPr="00D03F3E">
        <w:rPr>
          <w:rFonts w:ascii="Times New Roman" w:hAnsi="Times New Roman"/>
          <w:color w:val="000000" w:themeColor="text1"/>
          <w:sz w:val="16"/>
          <w:szCs w:val="16"/>
        </w:rPr>
        <w:softHyphen/>
        <w:t>вершившие на новом МиГ—3 по несколько полетов. Инженер-подполковник АТ.Кочетков отметил хоро</w:t>
      </w:r>
      <w:r w:rsidRPr="00D03F3E">
        <w:rPr>
          <w:rFonts w:ascii="Times New Roman" w:hAnsi="Times New Roman"/>
          <w:color w:val="000000" w:themeColor="text1"/>
          <w:sz w:val="16"/>
          <w:szCs w:val="16"/>
        </w:rPr>
        <w:softHyphen/>
        <w:t>шую работу приспособления, предназначенного для смыва бензином масла, попадавшего в полете на ко</w:t>
      </w:r>
      <w:r w:rsidRPr="00D03F3E">
        <w:rPr>
          <w:rFonts w:ascii="Times New Roman" w:hAnsi="Times New Roman"/>
          <w:color w:val="000000" w:themeColor="text1"/>
          <w:sz w:val="16"/>
          <w:szCs w:val="16"/>
        </w:rPr>
        <w:softHyphen/>
        <w:t>зырек фонаря, а полковник П.М.Стефановский на</w:t>
      </w:r>
      <w:r w:rsidRPr="00D03F3E">
        <w:rPr>
          <w:rFonts w:ascii="Times New Roman" w:hAnsi="Times New Roman"/>
          <w:color w:val="000000" w:themeColor="text1"/>
          <w:sz w:val="16"/>
          <w:szCs w:val="16"/>
        </w:rPr>
        <w:softHyphen/>
        <w:t>писал: «При потере скорости на планировании без закрылков до скоростей 190—200 км/ч возникает зна</w:t>
      </w:r>
      <w:r w:rsidRPr="00D03F3E">
        <w:rPr>
          <w:rFonts w:ascii="Times New Roman" w:hAnsi="Times New Roman"/>
          <w:color w:val="000000" w:themeColor="text1"/>
          <w:sz w:val="16"/>
          <w:szCs w:val="16"/>
        </w:rPr>
        <w:softHyphen/>
        <w:t>чительный бафтинг хвостового оперения — это сиг</w:t>
      </w:r>
      <w:r w:rsidRPr="00D03F3E">
        <w:rPr>
          <w:rFonts w:ascii="Times New Roman" w:hAnsi="Times New Roman"/>
          <w:color w:val="000000" w:themeColor="text1"/>
          <w:sz w:val="16"/>
          <w:szCs w:val="16"/>
        </w:rPr>
        <w:softHyphen/>
        <w:t>нализирует о неправильной установке стабилизатора по высоте». К облету истребителя привлекался один из наибо</w:t>
      </w:r>
      <w:r w:rsidRPr="00D03F3E">
        <w:rPr>
          <w:rFonts w:ascii="Times New Roman" w:hAnsi="Times New Roman"/>
          <w:color w:val="000000" w:themeColor="text1"/>
          <w:sz w:val="16"/>
          <w:szCs w:val="16"/>
        </w:rPr>
        <w:softHyphen/>
        <w:t>лее опытных летчиков-инженеров НИИ ВВС инже</w:t>
      </w:r>
      <w:r w:rsidRPr="00D03F3E">
        <w:rPr>
          <w:rFonts w:ascii="Times New Roman" w:hAnsi="Times New Roman"/>
          <w:color w:val="000000" w:themeColor="text1"/>
          <w:sz w:val="16"/>
          <w:szCs w:val="16"/>
        </w:rPr>
        <w:softHyphen/>
        <w:t>нер-подполковник А.И.Никашин, а в составлении заключения участвовал профессор В.С.Пышнов — признанный авторитет отечественной авиационной науки. Они полагали: наиболее эффективным меро</w:t>
      </w:r>
      <w:r w:rsidRPr="00D03F3E">
        <w:rPr>
          <w:rFonts w:ascii="Times New Roman" w:hAnsi="Times New Roman"/>
          <w:color w:val="000000" w:themeColor="text1"/>
          <w:sz w:val="16"/>
          <w:szCs w:val="16"/>
        </w:rPr>
        <w:softHyphen/>
        <w:t>приятием по повышению практического потолка ис</w:t>
      </w:r>
      <w:r w:rsidRPr="00D03F3E">
        <w:rPr>
          <w:rFonts w:ascii="Times New Roman" w:hAnsi="Times New Roman"/>
          <w:color w:val="000000" w:themeColor="text1"/>
          <w:sz w:val="16"/>
          <w:szCs w:val="16"/>
        </w:rPr>
        <w:softHyphen/>
        <w:t>требителя является установка турбокомпрессора. Та</w:t>
      </w:r>
      <w:r w:rsidRPr="00D03F3E">
        <w:rPr>
          <w:rFonts w:ascii="Times New Roman" w:hAnsi="Times New Roman"/>
          <w:color w:val="000000" w:themeColor="text1"/>
          <w:sz w:val="16"/>
          <w:szCs w:val="16"/>
        </w:rPr>
        <w:softHyphen/>
        <w:t>ким способом возможно увеличить его примерно на 1200 м (9984).</w:t>
      </w:r>
    </w:p>
    <w:p w14:paraId="106DEAE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63D8E732" w14:textId="77777777" w:rsidR="006C013F" w:rsidRPr="00D03F3E" w:rsidRDefault="006C013F" w:rsidP="00D03F3E">
      <w:pPr>
        <w:pStyle w:val="a3"/>
        <w:rPr>
          <w:color w:val="000000" w:themeColor="text1"/>
          <w:lang w:val="ru-RU"/>
        </w:rPr>
      </w:pPr>
      <w:r w:rsidRPr="00D03F3E">
        <w:rPr>
          <w:color w:val="000000" w:themeColor="text1"/>
          <w:lang w:val="ru-RU"/>
        </w:rPr>
        <w:t>В конце мая 1943 г. после замены моторов</w:t>
      </w:r>
      <w:r w:rsidRPr="00D03F3E">
        <w:rPr>
          <w:rStyle w:val="380"/>
          <w:rFonts w:ascii="Times New Roman" w:hAnsi="Times New Roman" w:cs="Times New Roman"/>
          <w:i w:val="0"/>
          <w:color w:val="000000" w:themeColor="text1"/>
          <w:sz w:val="16"/>
          <w:szCs w:val="16"/>
          <w:lang w:val="ru-RU"/>
        </w:rPr>
        <w:t xml:space="preserve"> и</w:t>
      </w:r>
      <w:r w:rsidRPr="00D03F3E">
        <w:rPr>
          <w:color w:val="000000" w:themeColor="text1"/>
          <w:lang w:val="ru-RU"/>
        </w:rPr>
        <w:t xml:space="preserve"> устранения неисправно</w:t>
      </w:r>
      <w:r w:rsidRPr="00D03F3E">
        <w:rPr>
          <w:color w:val="000000" w:themeColor="text1"/>
          <w:lang w:val="ru-RU"/>
        </w:rPr>
        <w:softHyphen/>
        <w:t>стей самолёты МиГ-9 с номерами 6501, 6502, 6503 и 6504 (последний в качестве запчастей) по разнарядке ГУ ВВС КА направили на Карельский фронт, где они воевали в составе 609-го иап 260-й сад 7-й ВА. Лётчики дежурили на аэродромах Беломорск и Сегежа, вылетали на перехват самолётов противника, патрулирование и сопровождение штурмовиков Ил-2.</w:t>
      </w:r>
    </w:p>
    <w:p w14:paraId="132A561D" w14:textId="77777777" w:rsidR="006C013F" w:rsidRPr="00D03F3E" w:rsidRDefault="006C013F" w:rsidP="00D03F3E">
      <w:pPr>
        <w:pStyle w:val="a3"/>
        <w:rPr>
          <w:color w:val="000000" w:themeColor="text1"/>
          <w:lang w:val="ru-RU"/>
        </w:rPr>
      </w:pPr>
      <w:r w:rsidRPr="00D03F3E">
        <w:rPr>
          <w:color w:val="000000" w:themeColor="text1"/>
          <w:lang w:val="ru-RU"/>
        </w:rPr>
        <w:t>Так вечером 21 августа 1943 г. шесть ЛаГГ-3 и один МиГ-9, ведомые командиром пол</w:t>
      </w:r>
      <w:r w:rsidRPr="00D03F3E">
        <w:rPr>
          <w:color w:val="000000" w:themeColor="text1"/>
          <w:lang w:val="ru-RU"/>
        </w:rPr>
        <w:softHyphen/>
        <w:t>ка подполковником П.З. Шевелёвым, участвовали в прикрытии девяти Ил-2 из 839-го шап во время очередного налёта на финский учебный центр в населённом пункте Паданы. Пилоти</w:t>
      </w:r>
      <w:r w:rsidRPr="00D03F3E">
        <w:rPr>
          <w:color w:val="000000" w:themeColor="text1"/>
          <w:lang w:val="ru-RU"/>
        </w:rPr>
        <w:softHyphen/>
        <w:t>ровавший МиГ-9 № 6503 командир 2-й авиаэскадрильи майор А.З. Дудник в паре со своим заместителем старшим лейтенантом Н.В. Пузановым, летевшим на ЛаГГ-3, с пикирования под углом 35° огнём подавили зенитную точку, расположенную в районе северо-восточного ската высоты 1 86. Другая пара на ЛаГГах также успешно справилась с задачей по уничтожению зе</w:t>
      </w:r>
      <w:r w:rsidRPr="00D03F3E">
        <w:rPr>
          <w:color w:val="000000" w:themeColor="text1"/>
          <w:lang w:val="ru-RU"/>
        </w:rPr>
        <w:softHyphen/>
        <w:t>нитной точки противника. Тем самым истребители обеспечили беспрепятственное выполнение штурмовиками задачи. Остальные ЛаГГ-3 осуществляли прикрытие штурмовиков от возможных атак воздушного противника (два самолёта) и фотографирование результатов налёта (один самолёт). Все самолёты благополучно вернулись на свой аэродром.</w:t>
      </w:r>
    </w:p>
    <w:p w14:paraId="5A364E0E" w14:textId="77777777" w:rsidR="006C013F" w:rsidRPr="00D03F3E" w:rsidRDefault="006C013F" w:rsidP="00D03F3E">
      <w:pPr>
        <w:pStyle w:val="a3"/>
        <w:rPr>
          <w:color w:val="000000" w:themeColor="text1"/>
          <w:lang w:val="ru-RU"/>
        </w:rPr>
      </w:pPr>
      <w:r w:rsidRPr="00D03F3E">
        <w:rPr>
          <w:color w:val="000000" w:themeColor="text1"/>
          <w:lang w:val="ru-RU"/>
        </w:rPr>
        <w:t>После убытия в ноябре 1943 г. 609-го иап из состава 260-й сад истребители МиГ-9 передали в 20-й гвардейский иап, где они эксплуатировались вплоть до списания по износу в марте 1944 г. (15976).</w:t>
      </w:r>
    </w:p>
    <w:p w14:paraId="705D5FC7" w14:textId="77777777" w:rsidR="006C013F" w:rsidRPr="00D03F3E" w:rsidRDefault="006C013F" w:rsidP="00D03F3E">
      <w:pPr>
        <w:pStyle w:val="a3"/>
        <w:rPr>
          <w:color w:val="000000" w:themeColor="text1"/>
          <w:lang w:val="ru-RU"/>
        </w:rPr>
      </w:pPr>
    </w:p>
    <w:p w14:paraId="49303653"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мая 1943 г., по воспоминаниям А.С. Москалёва, они получили спеш</w:t>
      </w:r>
      <w:r w:rsidRPr="00D03F3E">
        <w:rPr>
          <w:rFonts w:ascii="Times New Roman" w:hAnsi="Times New Roman"/>
          <w:color w:val="000000" w:themeColor="text1"/>
          <w:sz w:val="16"/>
          <w:szCs w:val="16"/>
        </w:rPr>
        <w:softHyphen/>
        <w:t>ное задание подготовить 50 планёров АМ-14, которые планировалось отпра</w:t>
      </w:r>
      <w:r w:rsidRPr="00D03F3E">
        <w:rPr>
          <w:rFonts w:ascii="Times New Roman" w:hAnsi="Times New Roman"/>
          <w:color w:val="000000" w:themeColor="text1"/>
          <w:sz w:val="16"/>
          <w:szCs w:val="16"/>
        </w:rPr>
        <w:softHyphen/>
        <w:t>вить в район Минска к белорусским партизанам. Планёры должны были оборудоваться приспособлениями для транспортировки горючего и вооруже</w:t>
      </w:r>
      <w:r w:rsidRPr="00D03F3E">
        <w:rPr>
          <w:rFonts w:ascii="Times New Roman" w:hAnsi="Times New Roman"/>
          <w:color w:val="000000" w:themeColor="text1"/>
          <w:sz w:val="16"/>
          <w:szCs w:val="16"/>
        </w:rPr>
        <w:softHyphen/>
        <w:t>ния, в том числе артиллерийского. Срок изготовления назначили жёсткий: 25 суток. Решение этой задачи контроли</w:t>
      </w:r>
      <w:r w:rsidRPr="00D03F3E">
        <w:rPr>
          <w:rFonts w:ascii="Times New Roman" w:hAnsi="Times New Roman"/>
          <w:color w:val="000000" w:themeColor="text1"/>
          <w:sz w:val="16"/>
          <w:szCs w:val="16"/>
        </w:rPr>
        <w:softHyphen/>
        <w:t>ровал лично товарища Сталин. Точно в срок задание было выполнено, и планё</w:t>
      </w:r>
      <w:r w:rsidRPr="00D03F3E">
        <w:rPr>
          <w:rFonts w:ascii="Times New Roman" w:hAnsi="Times New Roman"/>
          <w:color w:val="000000" w:themeColor="text1"/>
          <w:sz w:val="16"/>
          <w:szCs w:val="16"/>
        </w:rPr>
        <w:softHyphen/>
        <w:t>ры переброшены сначала в Москву, а затем, нагруженные, к партизанам. По- видимому, это единственный эпизод боевого применения тогда ещё толком не испытанного АМ-14 (12266).</w:t>
      </w:r>
    </w:p>
    <w:p w14:paraId="59A0F0AF" w14:textId="77777777" w:rsidR="005119DD" w:rsidRPr="00D03F3E" w:rsidRDefault="005119DD" w:rsidP="00D03F3E">
      <w:pPr>
        <w:spacing w:after="0" w:line="240" w:lineRule="auto"/>
        <w:jc w:val="both"/>
        <w:rPr>
          <w:rFonts w:ascii="Times New Roman" w:hAnsi="Times New Roman"/>
          <w:color w:val="000000" w:themeColor="text1"/>
          <w:sz w:val="16"/>
          <w:szCs w:val="16"/>
        </w:rPr>
      </w:pPr>
    </w:p>
    <w:p w14:paraId="0E3E3DF2"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мая 1943 г. Москалев получи</w:t>
      </w:r>
      <w:r w:rsidRPr="00D03F3E">
        <w:rPr>
          <w:rFonts w:ascii="Times New Roman" w:hAnsi="Times New Roman"/>
          <w:color w:val="000000" w:themeColor="text1"/>
          <w:sz w:val="16"/>
          <w:szCs w:val="16"/>
        </w:rPr>
        <w:softHyphen/>
        <w:t>л спешное задание подготовить 50 десантных планеров АМ-14, ко</w:t>
      </w:r>
      <w:r w:rsidRPr="00D03F3E">
        <w:rPr>
          <w:rFonts w:ascii="Times New Roman" w:hAnsi="Times New Roman"/>
          <w:color w:val="000000" w:themeColor="text1"/>
          <w:sz w:val="16"/>
          <w:szCs w:val="16"/>
        </w:rPr>
        <w:softHyphen/>
        <w:t>торые должны быть переброшены в район Минска к белорусским парти</w:t>
      </w:r>
      <w:r w:rsidRPr="00D03F3E">
        <w:rPr>
          <w:rFonts w:ascii="Times New Roman" w:hAnsi="Times New Roman"/>
          <w:color w:val="000000" w:themeColor="text1"/>
          <w:sz w:val="16"/>
          <w:szCs w:val="16"/>
        </w:rPr>
        <w:softHyphen/>
        <w:t>занам. Планеры должны быть обо</w:t>
      </w:r>
      <w:r w:rsidRPr="00D03F3E">
        <w:rPr>
          <w:rFonts w:ascii="Times New Roman" w:hAnsi="Times New Roman"/>
          <w:color w:val="000000" w:themeColor="text1"/>
          <w:sz w:val="16"/>
          <w:szCs w:val="16"/>
        </w:rPr>
        <w:softHyphen/>
        <w:t>рудованы приспособлениями для транспортировки горючего и воору</w:t>
      </w:r>
      <w:r w:rsidRPr="00D03F3E">
        <w:rPr>
          <w:rFonts w:ascii="Times New Roman" w:hAnsi="Times New Roman"/>
          <w:color w:val="000000" w:themeColor="text1"/>
          <w:sz w:val="16"/>
          <w:szCs w:val="16"/>
        </w:rPr>
        <w:softHyphen/>
        <w:t>жения, в том числе пушечного. Срок изготовления был жесткий. Постав</w:t>
      </w:r>
      <w:r w:rsidRPr="00D03F3E">
        <w:rPr>
          <w:rFonts w:ascii="Times New Roman" w:hAnsi="Times New Roman"/>
          <w:color w:val="000000" w:themeColor="text1"/>
          <w:sz w:val="16"/>
          <w:szCs w:val="16"/>
        </w:rPr>
        <w:softHyphen/>
        <w:t>ка планеров должна была завер</w:t>
      </w:r>
      <w:r w:rsidRPr="00D03F3E">
        <w:rPr>
          <w:rFonts w:ascii="Times New Roman" w:hAnsi="Times New Roman"/>
          <w:color w:val="000000" w:themeColor="text1"/>
          <w:sz w:val="16"/>
          <w:szCs w:val="16"/>
        </w:rPr>
        <w:softHyphen/>
        <w:t>шиться за 25 суток. Решение этой задачи интересовало лично това</w:t>
      </w:r>
      <w:r w:rsidRPr="00D03F3E">
        <w:rPr>
          <w:rFonts w:ascii="Times New Roman" w:hAnsi="Times New Roman"/>
          <w:color w:val="000000" w:themeColor="text1"/>
          <w:sz w:val="16"/>
          <w:szCs w:val="16"/>
        </w:rPr>
        <w:softHyphen/>
        <w:t>рища И.В. Сталина. В точно задан</w:t>
      </w:r>
      <w:r w:rsidRPr="00D03F3E">
        <w:rPr>
          <w:rFonts w:ascii="Times New Roman" w:hAnsi="Times New Roman"/>
          <w:color w:val="000000" w:themeColor="text1"/>
          <w:sz w:val="16"/>
          <w:szCs w:val="16"/>
        </w:rPr>
        <w:softHyphen/>
        <w:t>ные сроки задание было выполнено и планеры переброшены сначала в Москву, а затем, нагруженные, к партизанам. По-видимому, это един</w:t>
      </w:r>
      <w:r w:rsidRPr="00D03F3E">
        <w:rPr>
          <w:rFonts w:ascii="Times New Roman" w:hAnsi="Times New Roman"/>
          <w:color w:val="000000" w:themeColor="text1"/>
          <w:sz w:val="16"/>
          <w:szCs w:val="16"/>
        </w:rPr>
        <w:softHyphen/>
        <w:t>ственный эпизод боевого применения (толком не ис</w:t>
      </w:r>
      <w:r w:rsidRPr="00D03F3E">
        <w:rPr>
          <w:rFonts w:ascii="Times New Roman" w:hAnsi="Times New Roman"/>
          <w:color w:val="000000" w:themeColor="text1"/>
          <w:sz w:val="16"/>
          <w:szCs w:val="16"/>
        </w:rPr>
        <w:softHyphen/>
        <w:t>пытанного) планера АМ-14. Испытания планера были закончены в конце 1943 г. летчиком А.О. Дабаховым. Так как в дальнейшем этот планер не производился, то он не нашел широкого применения (12300).</w:t>
      </w:r>
    </w:p>
    <w:p w14:paraId="04DB34A0" w14:textId="77777777" w:rsidR="005119DD" w:rsidRPr="00D03F3E" w:rsidRDefault="005119DD" w:rsidP="00D03F3E">
      <w:pPr>
        <w:spacing w:after="0" w:line="240" w:lineRule="auto"/>
        <w:jc w:val="both"/>
        <w:rPr>
          <w:rFonts w:ascii="Times New Roman" w:hAnsi="Times New Roman"/>
          <w:color w:val="000000" w:themeColor="text1"/>
          <w:sz w:val="16"/>
          <w:szCs w:val="16"/>
        </w:rPr>
      </w:pPr>
    </w:p>
    <w:p w14:paraId="687E8B14"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59AA7DDE" w14:textId="77777777" w:rsidR="00531570" w:rsidRPr="00D03F3E" w:rsidRDefault="00531570" w:rsidP="00D03F3E">
      <w:pPr>
        <w:pStyle w:val="Iauiue"/>
        <w:jc w:val="both"/>
        <w:rPr>
          <w:iCs/>
          <w:color w:val="000000" w:themeColor="text1"/>
          <w:sz w:val="16"/>
          <w:szCs w:val="16"/>
        </w:rPr>
      </w:pPr>
    </w:p>
    <w:p w14:paraId="7CAB944C" w14:textId="77777777" w:rsidR="00F41017" w:rsidRPr="00D03F3E" w:rsidRDefault="00F41017"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конце мая 1943 года проект 122-мм гаубицы С-41 был представлен главным кон</w:t>
      </w:r>
      <w:r w:rsidRPr="00D03F3E">
        <w:rPr>
          <w:rFonts w:ascii="Times New Roman" w:cs="Times New Roman"/>
          <w:color w:val="000000" w:themeColor="text1"/>
          <w:spacing w:val="0"/>
        </w:rPr>
        <w:softHyphen/>
        <w:t>структором ЦАКБ В. Грабиным на рассмотре</w:t>
      </w:r>
      <w:r w:rsidRPr="00D03F3E">
        <w:rPr>
          <w:rFonts w:ascii="Times New Roman" w:cs="Times New Roman"/>
          <w:color w:val="000000" w:themeColor="text1"/>
          <w:spacing w:val="0"/>
        </w:rPr>
        <w:softHyphen/>
        <w:t>ние ГБТУ КА, причем гаубица предлагалась не только в качестве во</w:t>
      </w:r>
      <w:r w:rsidRPr="00D03F3E">
        <w:rPr>
          <w:rFonts w:ascii="Times New Roman" w:cs="Times New Roman"/>
          <w:color w:val="000000" w:themeColor="text1"/>
          <w:spacing w:val="0"/>
        </w:rPr>
        <w:softHyphen/>
        <w:t xml:space="preserve">оружения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но и самоходки СУ-122.</w:t>
      </w:r>
    </w:p>
    <w:p w14:paraId="5D6521F7" w14:textId="77777777" w:rsidR="00F41017" w:rsidRPr="00D03F3E" w:rsidRDefault="00F41017"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Изготовление опытного образца 122-мм танковой гаубицы прошло без проблем, и в августе 1943 года ее установили в башне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- 1С. При этом, для удобства работы экипа</w:t>
      </w:r>
      <w:r w:rsidRPr="00D03F3E">
        <w:rPr>
          <w:rFonts w:ascii="Times New Roman" w:cs="Times New Roman"/>
          <w:color w:val="000000" w:themeColor="text1"/>
          <w:spacing w:val="0"/>
        </w:rPr>
        <w:softHyphen/>
        <w:t>жа, пришлось смонтировать на крыше башни дополнительный клиновидный выступ, заме</w:t>
      </w:r>
      <w:r w:rsidRPr="00D03F3E">
        <w:rPr>
          <w:rFonts w:ascii="Times New Roman" w:cs="Times New Roman"/>
          <w:color w:val="000000" w:themeColor="text1"/>
          <w:spacing w:val="0"/>
        </w:rPr>
        <w:softHyphen/>
        <w:t>нивший собой командирскую башенку. Углы горизонтального обстрела гаубицы состав</w:t>
      </w:r>
      <w:r w:rsidRPr="00D03F3E">
        <w:rPr>
          <w:rFonts w:ascii="Times New Roman" w:cs="Times New Roman"/>
          <w:color w:val="000000" w:themeColor="text1"/>
          <w:spacing w:val="0"/>
        </w:rPr>
        <w:softHyphen/>
        <w:t>ляли от -3 до +18 градусов, длина отката — 580 мм. Танк с установкой 122-мм системы С-41 был продемонстрирован Маршалу Со</w:t>
      </w:r>
      <w:r w:rsidRPr="00D03F3E">
        <w:rPr>
          <w:rFonts w:ascii="Times New Roman" w:cs="Times New Roman"/>
          <w:color w:val="000000" w:themeColor="text1"/>
          <w:spacing w:val="0"/>
        </w:rPr>
        <w:softHyphen/>
        <w:t>ветского Союза К. Ворошилову во время его посещения ЦАКБ в августе 1943 года. Даль</w:t>
      </w:r>
      <w:r w:rsidRPr="00D03F3E">
        <w:rPr>
          <w:rFonts w:ascii="Times New Roman" w:cs="Times New Roman"/>
          <w:color w:val="000000" w:themeColor="text1"/>
          <w:spacing w:val="0"/>
        </w:rPr>
        <w:softHyphen/>
        <w:t>нейшие работы по этой установке прекратили ввиду их неперспективности — работа в баш</w:t>
      </w:r>
      <w:r w:rsidRPr="00D03F3E">
        <w:rPr>
          <w:rFonts w:ascii="Times New Roman" w:cs="Times New Roman"/>
          <w:color w:val="000000" w:themeColor="text1"/>
          <w:spacing w:val="0"/>
        </w:rPr>
        <w:softHyphen/>
        <w:t>не была затруднена из-за значительных габа</w:t>
      </w:r>
      <w:r w:rsidRPr="00D03F3E">
        <w:rPr>
          <w:rFonts w:ascii="Times New Roman" w:cs="Times New Roman"/>
          <w:color w:val="000000" w:themeColor="text1"/>
          <w:spacing w:val="0"/>
        </w:rPr>
        <w:softHyphen/>
        <w:t>ритов казенной части гаубицы (15226).</w:t>
      </w:r>
    </w:p>
    <w:p w14:paraId="0BD4F266" w14:textId="77777777" w:rsidR="00F41017" w:rsidRPr="00D03F3E" w:rsidRDefault="00F41017" w:rsidP="00D03F3E">
      <w:pPr>
        <w:pStyle w:val="27"/>
        <w:shd w:val="clear" w:color="auto" w:fill="auto"/>
        <w:spacing w:after="0" w:line="240" w:lineRule="auto"/>
        <w:ind w:firstLine="0"/>
        <w:rPr>
          <w:rFonts w:ascii="Times New Roman" w:cs="Times New Roman"/>
          <w:color w:val="000000" w:themeColor="text1"/>
          <w:spacing w:val="0"/>
        </w:rPr>
      </w:pPr>
    </w:p>
    <w:p w14:paraId="4365F6D9" w14:textId="77777777" w:rsidR="00A755F4" w:rsidRPr="00D03F3E" w:rsidRDefault="00A755F4" w:rsidP="00D03F3E">
      <w:pPr>
        <w:pStyle w:val="1151"/>
        <w:shd w:val="clear" w:color="auto" w:fill="auto"/>
        <w:spacing w:before="0" w:line="240" w:lineRule="auto"/>
        <w:rPr>
          <w:rFonts w:ascii="Times New Roman" w:hAnsi="Times New Roman" w:cs="Times New Roman"/>
          <w:color w:val="0070C0"/>
          <w:sz w:val="16"/>
          <w:szCs w:val="16"/>
        </w:rPr>
      </w:pPr>
      <w:r w:rsidRPr="00D03F3E">
        <w:rPr>
          <w:rStyle w:val="801"/>
          <w:rFonts w:ascii="Times New Roman" w:hAnsi="Times New Roman" w:cs="Times New Roman"/>
          <w:color w:val="0070C0"/>
          <w:sz w:val="16"/>
          <w:szCs w:val="16"/>
        </w:rPr>
        <w:t xml:space="preserve">Ближе к концу мая 1943 года </w:t>
      </w:r>
      <w:r w:rsidRPr="00D03F3E">
        <w:rPr>
          <w:rStyle w:val="801"/>
          <w:rFonts w:ascii="Times New Roman" w:hAnsi="Times New Roman" w:cs="Times New Roman"/>
          <w:color w:val="0070C0"/>
          <w:sz w:val="16"/>
          <w:szCs w:val="16"/>
          <w:lang w:val="ru-RU"/>
        </w:rPr>
        <w:t xml:space="preserve">на Су-122 </w:t>
      </w:r>
      <w:r w:rsidRPr="00D03F3E">
        <w:rPr>
          <w:rStyle w:val="801"/>
          <w:rFonts w:ascii="Times New Roman" w:hAnsi="Times New Roman" w:cs="Times New Roman"/>
          <w:color w:val="0070C0"/>
          <w:sz w:val="16"/>
          <w:szCs w:val="16"/>
        </w:rPr>
        <w:t>был введен немного расширенный колпак под панораму. Как и в случае с предыдущей конструкцией колпака, освоение новой детали и ее уста</w:t>
      </w:r>
      <w:r w:rsidRPr="00D03F3E">
        <w:rPr>
          <w:rStyle w:val="801"/>
          <w:rFonts w:ascii="Times New Roman" w:hAnsi="Times New Roman" w:cs="Times New Roman"/>
          <w:color w:val="0070C0"/>
          <w:sz w:val="16"/>
          <w:szCs w:val="16"/>
        </w:rPr>
        <w:softHyphen/>
        <w:t>новка на самоходки происходили постепенно - старые колпаки могли ставиться еще и в июне. Последним внешним изменением стал отказ в мае 1943 года от поручня в кормовой части рубки из-за его низкой эффективно</w:t>
      </w:r>
      <w:r w:rsidRPr="00D03F3E">
        <w:rPr>
          <w:rStyle w:val="801"/>
          <w:rFonts w:ascii="Times New Roman" w:hAnsi="Times New Roman" w:cs="Times New Roman"/>
          <w:color w:val="0070C0"/>
          <w:sz w:val="16"/>
          <w:szCs w:val="16"/>
        </w:rPr>
        <w:softHyphen/>
        <w:t>сти. Кроме того, в начале июня 1943 года из ГБТУ КА последовал приказ вернуть лист крыши рубки толщиной 20 мм, снизив брак за счет более рационального наложения сва</w:t>
      </w:r>
      <w:r w:rsidRPr="00D03F3E">
        <w:rPr>
          <w:rStyle w:val="801"/>
          <w:rFonts w:ascii="Times New Roman" w:hAnsi="Times New Roman" w:cs="Times New Roman"/>
          <w:color w:val="0070C0"/>
          <w:sz w:val="16"/>
          <w:szCs w:val="16"/>
        </w:rPr>
        <w:softHyphen/>
        <w:t>рочных швов. Эта переделка стала последним крупным изменением конструкции СУ-122. Как и в случае с поручнями, утолщенные крыши рубки ставились как минимум до конца июня 1943 года.</w:t>
      </w:r>
    </w:p>
    <w:p w14:paraId="39BBBC39" w14:textId="77777777" w:rsidR="00A755F4" w:rsidRPr="00D03F3E" w:rsidRDefault="00A755F4" w:rsidP="00D03F3E">
      <w:pPr>
        <w:shd w:val="clear" w:color="auto" w:fill="FFFFFF"/>
        <w:spacing w:after="0" w:line="240" w:lineRule="auto"/>
        <w:jc w:val="both"/>
        <w:rPr>
          <w:rStyle w:val="641"/>
          <w:rFonts w:ascii="Times New Roman" w:hAnsi="Times New Roman" w:cs="Times New Roman"/>
          <w:color w:val="0070C0"/>
          <w:sz w:val="16"/>
          <w:szCs w:val="16"/>
        </w:rPr>
      </w:pPr>
      <w:r w:rsidRPr="00D03F3E">
        <w:rPr>
          <w:rStyle w:val="801"/>
          <w:rFonts w:ascii="Times New Roman" w:hAnsi="Times New Roman" w:cs="Times New Roman"/>
          <w:color w:val="0070C0"/>
          <w:sz w:val="16"/>
          <w:szCs w:val="16"/>
        </w:rPr>
        <w:t>Указанные выше изменения с большой долей вероятности не охватывают полный список метаморфоз СУ-122. Дело в том, что перечня конструктивных изменений, какой составляли для СУ-85, в случае с данной машиной нет. Кроме того, до наших дней сохранились считанные единицы СУ-122, при</w:t>
      </w:r>
      <w:r w:rsidRPr="00D03F3E">
        <w:rPr>
          <w:rStyle w:val="801"/>
          <w:rFonts w:ascii="Times New Roman" w:hAnsi="Times New Roman" w:cs="Times New Roman"/>
          <w:color w:val="0070C0"/>
          <w:sz w:val="16"/>
          <w:szCs w:val="16"/>
        </w:rPr>
        <w:softHyphen/>
        <w:t>чем, именно в виде САУ дожила всего одна машина. Это СУ-122 с серийным номером 305320. В июне 1943 года она попала в состав 1418-го САП, входившего, в свою очередь, в состав 15-го танкового корпуса 3-й гвардей</w:t>
      </w:r>
      <w:r w:rsidRPr="00D03F3E">
        <w:rPr>
          <w:rStyle w:val="801"/>
          <w:rFonts w:ascii="Times New Roman" w:hAnsi="Times New Roman" w:cs="Times New Roman"/>
          <w:color w:val="0070C0"/>
          <w:sz w:val="16"/>
          <w:szCs w:val="16"/>
        </w:rPr>
        <w:softHyphen/>
        <w:t>ской танковой армии. Машина из 4-й батареи под командованием лейтенанта В.С. Прино- рова участвовала в наступательных боях вто</w:t>
      </w:r>
      <w:r w:rsidRPr="00D03F3E">
        <w:rPr>
          <w:rStyle w:val="801"/>
          <w:rFonts w:ascii="Times New Roman" w:hAnsi="Times New Roman" w:cs="Times New Roman"/>
          <w:color w:val="0070C0"/>
          <w:sz w:val="16"/>
          <w:szCs w:val="16"/>
        </w:rPr>
        <w:softHyphen/>
        <w:t>рой половины июля 1943 года. 24 июля в ходе боя за село Никольское Свердловского рай</w:t>
      </w:r>
      <w:r w:rsidRPr="00D03F3E">
        <w:rPr>
          <w:rStyle w:val="801"/>
          <w:rFonts w:ascii="Times New Roman" w:hAnsi="Times New Roman" w:cs="Times New Roman"/>
          <w:color w:val="0070C0"/>
          <w:sz w:val="16"/>
          <w:szCs w:val="16"/>
        </w:rPr>
        <w:softHyphen/>
        <w:t>она Орловской области СУ-122 была подбита. Замковой и наводчик погибли, командир и механик-водитель были ранены. Далее маши</w:t>
      </w:r>
      <w:r w:rsidRPr="00D03F3E">
        <w:rPr>
          <w:rStyle w:val="801"/>
          <w:rFonts w:ascii="Times New Roman" w:hAnsi="Times New Roman" w:cs="Times New Roman"/>
          <w:color w:val="0070C0"/>
          <w:sz w:val="16"/>
          <w:szCs w:val="16"/>
        </w:rPr>
        <w:softHyphen/>
        <w:t>на отправилась на ремонт, ее последующий боевой путь пока неизвестен. Зато хорошо видно, что за время эксплуатации облик машины претерпел серьезные изменения. Целый ряд элементов, включая катки, гусе</w:t>
      </w:r>
      <w:r w:rsidRPr="00D03F3E">
        <w:rPr>
          <w:rStyle w:val="801"/>
          <w:rFonts w:ascii="Times New Roman" w:hAnsi="Times New Roman" w:cs="Times New Roman"/>
          <w:color w:val="0070C0"/>
          <w:sz w:val="16"/>
          <w:szCs w:val="16"/>
        </w:rPr>
        <w:softHyphen/>
        <w:t>ничные ленты, пальцеотбойники, передние крылья, ящики ЗИП, дополнительные топлив</w:t>
      </w:r>
      <w:r w:rsidRPr="00D03F3E">
        <w:rPr>
          <w:rStyle w:val="801"/>
          <w:rFonts w:ascii="Times New Roman" w:hAnsi="Times New Roman" w:cs="Times New Roman"/>
          <w:color w:val="0070C0"/>
          <w:sz w:val="16"/>
          <w:szCs w:val="16"/>
        </w:rPr>
        <w:softHyphen/>
        <w:t>ные баки, вместе с креплениями, заменены деталями, не имеющими к СУ-122 отношения. Также звуковой сигнал выведен наружу, тогда как у СУ-122 он находился внутри, в районе моторной перегородки. По указанным причи</w:t>
      </w:r>
      <w:r w:rsidRPr="00D03F3E">
        <w:rPr>
          <w:rStyle w:val="801"/>
          <w:rFonts w:ascii="Times New Roman" w:hAnsi="Times New Roman" w:cs="Times New Roman"/>
          <w:color w:val="0070C0"/>
          <w:sz w:val="16"/>
          <w:szCs w:val="16"/>
        </w:rPr>
        <w:softHyphen/>
        <w:t>нам к данной машине, ныне находящейся в экспозиции парка «Патриот», следует отно</w:t>
      </w:r>
      <w:r w:rsidRPr="00D03F3E">
        <w:rPr>
          <w:rStyle w:val="801"/>
          <w:rFonts w:ascii="Times New Roman" w:hAnsi="Times New Roman" w:cs="Times New Roman"/>
          <w:color w:val="0070C0"/>
          <w:sz w:val="16"/>
          <w:szCs w:val="16"/>
        </w:rPr>
        <w:softHyphen/>
        <w:t>ситься с большой долей осторожности: «здесь играем, здесь не играем, а здесь рыбу заворачивали». Напоследок стоит уточнить, что серий СУ-122 было всего две - первая, она же установочная (первые 55 машин), и основ</w:t>
      </w:r>
      <w:r w:rsidRPr="00D03F3E">
        <w:rPr>
          <w:rStyle w:val="801"/>
          <w:rFonts w:ascii="Times New Roman" w:hAnsi="Times New Roman" w:cs="Times New Roman"/>
          <w:color w:val="0070C0"/>
          <w:sz w:val="16"/>
          <w:szCs w:val="16"/>
        </w:rPr>
        <w:softHyphen/>
        <w:t>ная. Разбивка на 2-ю, 3-ю и 4-ю серии, как это сделали некоторые исследователи, не имеет под собой оснований (19892).</w:t>
      </w:r>
    </w:p>
    <w:p w14:paraId="7230A4EE" w14:textId="77777777" w:rsidR="00A755F4" w:rsidRPr="00D03F3E" w:rsidRDefault="00A755F4" w:rsidP="00D03F3E">
      <w:pPr>
        <w:shd w:val="clear" w:color="auto" w:fill="FFFFFF"/>
        <w:spacing w:after="0" w:line="240" w:lineRule="auto"/>
        <w:jc w:val="both"/>
        <w:rPr>
          <w:rStyle w:val="641"/>
          <w:rFonts w:ascii="Times New Roman" w:hAnsi="Times New Roman" w:cs="Times New Roman"/>
          <w:color w:val="0070C0"/>
          <w:sz w:val="16"/>
          <w:szCs w:val="16"/>
        </w:rPr>
      </w:pPr>
    </w:p>
    <w:p w14:paraId="0363FB97" w14:textId="77777777" w:rsidR="00F41017" w:rsidRPr="00D03F3E" w:rsidRDefault="00F41017"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концу мая 1943 ЦАКБ предложило заводу №38 опытный образец орудия С-15. После неизбежных доработок и «притирания» конструкции орудия к новой боевой рубке оно получило индекс СУ-15, отражавший и название машины, для которой оно создавалось. Фактически КБ завода №38 провело проектирование не одной, а сразу трех САУ, несущих силовой агрегат ГАЗ-203 и пушку СУ-15. Эти машины получили индексы СУ-15, СУ-38 и Су-16. Новые САУ прибыли на Гороховецкий артиллерийский полигон в июле 1943 года, когда под Курском шли тяжелые оборонительные бои. Испытания проводились совместно с доставленной туда же серийной СУ-76М (СУ-12М). Несмотря на то, что СУ-16 была признана лучшей для ведения огня, (у нее не было крыши), а СУ-38 имела прекрасное бронирование, их опорные катки испытывали чрезмерную нагрузку, что сказывалось на проходимости и ресурсе ходовой части. Симпатии практически всех военных (как артиллеристов, так и танкистов) лежали на стороне СУ-15, которая превосходила своих партнеров по подвижности и проходимости. Стояли за нее и представители НКТП, поскольку она имела наивысшую унификацию узлов с уже освоенной СУ-76М (СУ-12М). Единственным крупным недостатком, отмеченным госкомиссией, была масса машины, несколько превышавшая установленные НКТП пределы (11,2 т). Проведенные итоговые испытания СУ-15 выявили необходимость дополнительной конструктивной и технологической доработки некоторых деталей моторно-трансмиссионной группы, заимствованных с танка Т-70, а также снижения массы на 300-</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600 кг</w:t>
        </w:r>
      </w:smartTag>
      <w:r w:rsidRPr="00D03F3E">
        <w:rPr>
          <w:rFonts w:ascii="Times New Roman" w:hAnsi="Times New Roman"/>
          <w:color w:val="000000" w:themeColor="text1"/>
          <w:sz w:val="16"/>
          <w:szCs w:val="16"/>
        </w:rPr>
        <w:t>. В итоговом документе рекомендовалось принять СУ-15 на вооружение взамен СУ-12М с доработками, направленными на снижение веса и увеличение надежности ходовой части и трансмиссии. В ходе освоения серийного производства машины СУ-15, равно как и орудийной установки того же индекса, силами завода №38 и ЦАКБ были проведены некоторые изменения их конструкции. Так, для снижения массы, улучшения обзора и вентиляции боевого отделения, упрощения эвакуации в случае подбития машины и т.д., с нее была демонтирована крыша, после улучшения бронирования противооткатных приспособлений качающаяся часть орудия потребовала оснащения гильзоулавливателя дополнительным грузом. Предъявленная на государственные испытания 23 августа 1943 года СУ-15М была принята на вооружение взамен СУ-12М под индексом СУ-76 (без буквы «М»). Таким образом, после СУ-76М (СУ-12М) в войска вновь пошла самоходная пушка СУ-76, взаимозаменяемость деталей у которой по сравнению с предыдущими моделями была весьма относительной (15218).</w:t>
      </w:r>
    </w:p>
    <w:p w14:paraId="2DB77CBD" w14:textId="77777777" w:rsidR="00F41017" w:rsidRPr="00D03F3E" w:rsidRDefault="00F41017" w:rsidP="00D03F3E">
      <w:pPr>
        <w:widowControl w:val="0"/>
        <w:spacing w:after="0" w:line="240" w:lineRule="auto"/>
        <w:jc w:val="both"/>
        <w:rPr>
          <w:rFonts w:ascii="Times New Roman" w:hAnsi="Times New Roman"/>
          <w:color w:val="000000" w:themeColor="text1"/>
          <w:sz w:val="16"/>
          <w:szCs w:val="16"/>
        </w:rPr>
      </w:pPr>
    </w:p>
    <w:p w14:paraId="733930EE" w14:textId="77777777" w:rsidR="003770F2" w:rsidRPr="00D03F3E"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конце мая 1943 85-мм орудие для установки в САУ, которое получило обозначение Д-5, а танковая версия – Д-7, переименовали в Д-5С-85 и Д-5Т-85 соответственно. Одновременно было решено разработать на той же базе системы с баллистикой 122-мм гаубицы М-30. Самоходная версия получила обозначение Д-6, танковая Д-8, позже их переименовали в Д-5-С-122 и Д-5-Т-122. Последнее решение исходило от Арткома ГАУ КА. Во многом эти системы представляли собой развитие орудия Д-11 и его танковой версии Д-12. Главным отличием стало то, что семейство являлось дуплексом, то есть с минимальными изменениями ствол калибра 85 мм заменялся на ствол с баллистикой 122-мм гаубицы М-30. Такая унификация позволяла с минимальными усилиями получить самоходные установки сразу двух типов (17689).</w:t>
      </w:r>
    </w:p>
    <w:p w14:paraId="7417053B" w14:textId="77777777" w:rsidR="003770F2" w:rsidRPr="00D03F3E" w:rsidRDefault="003770F2" w:rsidP="00D03F3E">
      <w:pPr>
        <w:spacing w:after="0" w:line="240" w:lineRule="auto"/>
        <w:jc w:val="both"/>
        <w:rPr>
          <w:rFonts w:ascii="Times New Roman" w:hAnsi="Times New Roman"/>
          <w:color w:val="000000" w:themeColor="text1"/>
          <w:sz w:val="16"/>
          <w:szCs w:val="16"/>
        </w:rPr>
      </w:pPr>
    </w:p>
    <w:p w14:paraId="3230A27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мая 1943 г. на заводе № 183 для улучшения обзорности из танка Т-34 была разработана, а в первой декаде июня была утверждена к се</w:t>
      </w:r>
      <w:r w:rsidRPr="00D03F3E">
        <w:rPr>
          <w:rFonts w:ascii="Times New Roman" w:hAnsi="Times New Roman"/>
          <w:color w:val="000000" w:themeColor="text1"/>
          <w:sz w:val="16"/>
          <w:szCs w:val="16"/>
        </w:rPr>
        <w:softHyphen/>
        <w:t>рийному производству командирская башенка с установкой смотрового прибора, созданного по типу прибора, используемого на британском тя</w:t>
      </w:r>
      <w:r w:rsidRPr="00D03F3E">
        <w:rPr>
          <w:rFonts w:ascii="Times New Roman" w:hAnsi="Times New Roman"/>
          <w:color w:val="000000" w:themeColor="text1"/>
          <w:sz w:val="16"/>
          <w:szCs w:val="16"/>
        </w:rPr>
        <w:softHyphen/>
        <w:t>желом танке Мк IV "Черчилль". Командирская башенка была установ</w:t>
      </w:r>
      <w:r w:rsidRPr="00D03F3E">
        <w:rPr>
          <w:rFonts w:ascii="Times New Roman" w:hAnsi="Times New Roman"/>
          <w:color w:val="000000" w:themeColor="text1"/>
          <w:sz w:val="16"/>
          <w:szCs w:val="16"/>
        </w:rPr>
        <w:softHyphen/>
        <w:t>лена с левой стороны по ходу танка на крыше башни шестигранной формы. С 15 июня 1943 г. по 15 марта 1944 г. (т.е. до начала выпуска тан</w:t>
      </w:r>
      <w:r w:rsidRPr="00D03F3E">
        <w:rPr>
          <w:rFonts w:ascii="Times New Roman" w:hAnsi="Times New Roman"/>
          <w:color w:val="000000" w:themeColor="text1"/>
          <w:sz w:val="16"/>
          <w:szCs w:val="16"/>
        </w:rPr>
        <w:softHyphen/>
        <w:t>ка Т-34-85) Уралвагонзаводом было изготовлено 6139 танков Т-34 с ко</w:t>
      </w:r>
      <w:r w:rsidRPr="00D03F3E">
        <w:rPr>
          <w:rFonts w:ascii="Times New Roman" w:hAnsi="Times New Roman"/>
          <w:color w:val="000000" w:themeColor="text1"/>
          <w:sz w:val="16"/>
          <w:szCs w:val="16"/>
        </w:rPr>
        <w:softHyphen/>
        <w:t>мандирской башенкой (10703).</w:t>
      </w:r>
    </w:p>
    <w:p w14:paraId="0ED6919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89B40B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конце мая 1943 ЦАКБ предложил 85-мм орудие С-18 для САУ, но плохо компоновалось. Лучше оказалось Д5-С85 КБ завода 9 (4406).</w:t>
      </w:r>
    </w:p>
    <w:p w14:paraId="570D980C" w14:textId="77777777" w:rsidR="00531570" w:rsidRPr="00D03F3E" w:rsidRDefault="00531570" w:rsidP="00D03F3E">
      <w:pPr>
        <w:pStyle w:val="Iauiue"/>
        <w:jc w:val="both"/>
        <w:rPr>
          <w:color w:val="000000" w:themeColor="text1"/>
          <w:sz w:val="16"/>
          <w:szCs w:val="16"/>
        </w:rPr>
      </w:pPr>
    </w:p>
    <w:p w14:paraId="3F8EE4B8" w14:textId="77777777" w:rsidR="00531570" w:rsidRPr="00D03F3E" w:rsidRDefault="00531570" w:rsidP="00D03F3E">
      <w:pPr>
        <w:pStyle w:val="a8"/>
        <w:widowControl/>
        <w:jc w:val="both"/>
        <w:rPr>
          <w:rFonts w:ascii="Times New Roman" w:hAnsi="Times New Roman" w:cs="Times New Roman"/>
          <w:color w:val="000000" w:themeColor="text1"/>
        </w:rPr>
      </w:pPr>
      <w:r w:rsidRPr="00D03F3E">
        <w:rPr>
          <w:rFonts w:ascii="Times New Roman" w:hAnsi="Times New Roman" w:cs="Times New Roman"/>
          <w:color w:val="000000" w:themeColor="text1"/>
        </w:rPr>
        <w:t>В конце мая 1943 года на Уралмаш из ЦАКБ поступил эскизный проект еще одного 85мм орудия для САУ - С-18. Оно имело некоторые преимущества, так как в нем использовалась люлька от серийной 76-мм танковой пушки ЗИС-5. Однако и С-18 не очень удачно компоновалось в боевое отделение проектируемой САУ. Несмотря на явные недостатки САУ с пушкой С-18, ЦАКБ, используя свой авторитет, требовало, чтобы машина с его орудием была выполнена в металле. Этот конфликт разрешился только 7 июня 1943 года, когда специальная смешанная комиссия из представителей НКТП, НКВ, ГАУ и ГБТУ приняла решение изготовить для сравнительных испытаний три опытных образца самоходов с 85-мм пушками: СУ-85-1 с пушкой С-18-1 ЦАКБ и измененной люлькой "Уралмашзаво-да", СУ-85-Н с пушкой Д-5С-85 завода № 9, Cy-85-IV с пушкой С-18 ЦАКБ (9637).</w:t>
      </w:r>
    </w:p>
    <w:p w14:paraId="67E930F2" w14:textId="77777777" w:rsidR="00531570" w:rsidRPr="00D03F3E" w:rsidRDefault="00531570" w:rsidP="00D03F3E">
      <w:pPr>
        <w:pStyle w:val="a8"/>
        <w:widowControl/>
        <w:jc w:val="both"/>
        <w:rPr>
          <w:rFonts w:ascii="Times New Roman" w:hAnsi="Times New Roman" w:cs="Times New Roman"/>
          <w:color w:val="000000" w:themeColor="text1"/>
        </w:rPr>
      </w:pPr>
    </w:p>
    <w:p w14:paraId="7807A66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концу мая ЦАКБ предложило заводу № 38 опытный образец орудия С-15. После неизбежных до</w:t>
      </w:r>
      <w:r w:rsidRPr="00D03F3E">
        <w:rPr>
          <w:rFonts w:ascii="Times New Roman" w:hAnsi="Times New Roman"/>
          <w:color w:val="000000" w:themeColor="text1"/>
          <w:sz w:val="16"/>
          <w:szCs w:val="16"/>
        </w:rPr>
        <w:softHyphen/>
        <w:t>работок и «притирания» конструкции орудия к новой боевой рубке оно получило индекс СУ-15, отражавший и название машины, для которой оно создавалось. Фактически КБ заво</w:t>
      </w:r>
      <w:r w:rsidRPr="00D03F3E">
        <w:rPr>
          <w:rFonts w:ascii="Times New Roman" w:hAnsi="Times New Roman"/>
          <w:color w:val="000000" w:themeColor="text1"/>
          <w:sz w:val="16"/>
          <w:szCs w:val="16"/>
        </w:rPr>
        <w:softHyphen/>
        <w:t>да № 38 провело проектирование не одной, а сразу трех САУ, несущих силовой агрегат ГАЗ-203 и пушку СУ-15. Эти маши</w:t>
      </w:r>
      <w:r w:rsidRPr="00D03F3E">
        <w:rPr>
          <w:rFonts w:ascii="Times New Roman" w:hAnsi="Times New Roman"/>
          <w:color w:val="000000" w:themeColor="text1"/>
          <w:sz w:val="16"/>
          <w:szCs w:val="16"/>
        </w:rPr>
        <w:softHyphen/>
        <w:t>ны получили индексы СУ-15, СУ-38 и СУ-16.</w:t>
      </w:r>
    </w:p>
    <w:p w14:paraId="5887AC3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СУ-15 представляла собой слегка измененный корпус и ходовую часть СУ-12, но оснащенные последовательно спа</w:t>
      </w:r>
      <w:r w:rsidRPr="00D03F3E">
        <w:rPr>
          <w:rFonts w:ascii="Times New Roman" w:hAnsi="Times New Roman"/>
          <w:color w:val="000000" w:themeColor="text1"/>
          <w:sz w:val="16"/>
          <w:szCs w:val="16"/>
        </w:rPr>
        <w:softHyphen/>
        <w:t>ренной двигательной установкой ГАЗ-203 с новой компонов</w:t>
      </w:r>
      <w:r w:rsidRPr="00D03F3E">
        <w:rPr>
          <w:rFonts w:ascii="Times New Roman" w:hAnsi="Times New Roman"/>
          <w:color w:val="000000" w:themeColor="text1"/>
          <w:sz w:val="16"/>
          <w:szCs w:val="16"/>
        </w:rPr>
        <w:softHyphen/>
        <w:t>кой воздухоотводящих каналов, новым размещением радиа</w:t>
      </w:r>
      <w:r w:rsidRPr="00D03F3E">
        <w:rPr>
          <w:rFonts w:ascii="Times New Roman" w:hAnsi="Times New Roman"/>
          <w:color w:val="000000" w:themeColor="text1"/>
          <w:sz w:val="16"/>
          <w:szCs w:val="16"/>
        </w:rPr>
        <w:softHyphen/>
        <w:t>тора и орудием СУ-15 в закрытой боевой рубке. Боевая рубка имела несколько большие габаритные размеры, чем боеотсек СУ-12, при все-таки более тесной компоновке, так как в ней размещался радиатор и проходил воздуховод двигателя.</w:t>
      </w:r>
    </w:p>
    <w:p w14:paraId="67E76C8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СУ-38 отличалась от СУ-15 применением штатной базы серийного Т-70 (двигатель, трансмиссия и ходовая часть), но отличалась увеличенной до 45 мм толщиной лобовой брони в боевой рубке, сдвинутой к середине машины. Это было сде</w:t>
      </w:r>
      <w:r w:rsidRPr="00D03F3E">
        <w:rPr>
          <w:rFonts w:ascii="Times New Roman" w:hAnsi="Times New Roman"/>
          <w:color w:val="000000" w:themeColor="text1"/>
          <w:sz w:val="16"/>
          <w:szCs w:val="16"/>
        </w:rPr>
        <w:softHyphen/>
        <w:t>лано для улучшения распределения нагрузки на опорные катки и нижнюю ветвь гусеницы. Командир в СУ-38 распо</w:t>
      </w:r>
      <w:r w:rsidRPr="00D03F3E">
        <w:rPr>
          <w:rFonts w:ascii="Times New Roman" w:hAnsi="Times New Roman"/>
          <w:color w:val="000000" w:themeColor="text1"/>
          <w:sz w:val="16"/>
          <w:szCs w:val="16"/>
        </w:rPr>
        <w:softHyphen/>
        <w:t>лагался «верхом на двигателе», сидя правым боком вперед.</w:t>
      </w:r>
    </w:p>
    <w:p w14:paraId="343ABAF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СУ-16 по базе была подобна СУ-38 (также использова</w:t>
      </w:r>
      <w:r w:rsidRPr="00D03F3E">
        <w:rPr>
          <w:rFonts w:ascii="Times New Roman" w:hAnsi="Times New Roman"/>
          <w:color w:val="000000" w:themeColor="text1"/>
          <w:sz w:val="16"/>
          <w:szCs w:val="16"/>
        </w:rPr>
        <w:softHyphen/>
        <w:t>лись шасси и силовая установка Т-70). Но боевая рубка в ней была открытой сверху. Командир в боевых условиях мог находиться в рубке только сидя боком над двигателем. Новые САУ прибыли на Гороховецкий артиллерийский полигон в июле 1943 г., когда под Курском шли тяжелые оборонительные бои. Испытания проводились совместно с доставленной туда же серийной СУ-76М (СУ-12М). Не</w:t>
      </w:r>
      <w:r w:rsidRPr="00D03F3E">
        <w:rPr>
          <w:rFonts w:ascii="Times New Roman" w:hAnsi="Times New Roman"/>
          <w:color w:val="000000" w:themeColor="text1"/>
          <w:sz w:val="16"/>
          <w:szCs w:val="16"/>
        </w:rPr>
        <w:softHyphen/>
        <w:t>смотря на то, что СУ-16 была признана лучшей для ведения огня (у нее не было крыши), а СУ-38 имела прекрасное бронирование, их опорные катки испытывали чрезмерную нагрузку, что сказывалось на проходимости и ресурсе ходо</w:t>
      </w:r>
      <w:r w:rsidRPr="00D03F3E">
        <w:rPr>
          <w:rFonts w:ascii="Times New Roman" w:hAnsi="Times New Roman"/>
          <w:color w:val="000000" w:themeColor="text1"/>
          <w:sz w:val="16"/>
          <w:szCs w:val="16"/>
        </w:rPr>
        <w:softHyphen/>
        <w:t>вой части. Симпатии практически всех военных (как ар</w:t>
      </w:r>
      <w:r w:rsidRPr="00D03F3E">
        <w:rPr>
          <w:rFonts w:ascii="Times New Roman" w:hAnsi="Times New Roman"/>
          <w:color w:val="000000" w:themeColor="text1"/>
          <w:sz w:val="16"/>
          <w:szCs w:val="16"/>
        </w:rPr>
        <w:softHyphen/>
        <w:t>тиллеристов, так и танкистов) лежали на стороне СУ-15, которая превосходила своих партнеров по подвижности и проходимости. Стояли за нее и представители НКТП, по</w:t>
      </w:r>
      <w:r w:rsidRPr="00D03F3E">
        <w:rPr>
          <w:rFonts w:ascii="Times New Roman" w:hAnsi="Times New Roman"/>
          <w:color w:val="000000" w:themeColor="text1"/>
          <w:sz w:val="16"/>
          <w:szCs w:val="16"/>
        </w:rPr>
        <w:softHyphen/>
        <w:t>скольку она имела наивысшую унификацию узлов с уже освоенной СУ-76М (СУ-12М). Единственным крупным недостатком, отмеченным госкомиссией, была масса ма</w:t>
      </w:r>
      <w:r w:rsidRPr="00D03F3E">
        <w:rPr>
          <w:rFonts w:ascii="Times New Roman" w:hAnsi="Times New Roman"/>
          <w:color w:val="000000" w:themeColor="text1"/>
          <w:sz w:val="16"/>
          <w:szCs w:val="16"/>
        </w:rPr>
        <w:softHyphen/>
        <w:t xml:space="preserve">шины, несколько превышавшая установленные НКТП пределы (11,2 т.). Проведенные итоговые испытания СУ-15 выявили необходимость дополнительной конструктивной и технологической доработки некоторых </w:t>
      </w:r>
      <w:r w:rsidRPr="00D03F3E">
        <w:rPr>
          <w:rFonts w:ascii="Times New Roman" w:hAnsi="Times New Roman"/>
          <w:color w:val="000000" w:themeColor="text1"/>
          <w:sz w:val="16"/>
          <w:szCs w:val="16"/>
        </w:rPr>
        <w:lastRenderedPageBreak/>
        <w:t>деталей моторно-трансмиссионной группы, заимствованных с танка Т-70, а также снижения массы на 300—600 кг. В итоговом докумен</w:t>
      </w:r>
      <w:r w:rsidRPr="00D03F3E">
        <w:rPr>
          <w:rFonts w:ascii="Times New Roman" w:hAnsi="Times New Roman"/>
          <w:color w:val="000000" w:themeColor="text1"/>
          <w:sz w:val="16"/>
          <w:szCs w:val="16"/>
        </w:rPr>
        <w:softHyphen/>
        <w:t>те рекомендовалось принять СУ-15 на вооружение взамен СУ-12М с доработками, направленными на снижение веса и увеличение надежности ходовой части и трансмиссии.</w:t>
      </w:r>
    </w:p>
    <w:p w14:paraId="4C22E28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освоения серийного производства машины СУ-15, равно как и орудийной установки того же индекса, силами завода № 38 и ЦАКБ были проведены некоторые из</w:t>
      </w:r>
      <w:r w:rsidRPr="00D03F3E">
        <w:rPr>
          <w:rFonts w:ascii="Times New Roman" w:hAnsi="Times New Roman"/>
          <w:color w:val="000000" w:themeColor="text1"/>
          <w:sz w:val="16"/>
          <w:szCs w:val="16"/>
        </w:rPr>
        <w:softHyphen/>
        <w:t>менения их конструкции. Так, для снижения массы, улуч</w:t>
      </w:r>
      <w:r w:rsidRPr="00D03F3E">
        <w:rPr>
          <w:rFonts w:ascii="Times New Roman" w:hAnsi="Times New Roman"/>
          <w:color w:val="000000" w:themeColor="text1"/>
          <w:sz w:val="16"/>
          <w:szCs w:val="16"/>
        </w:rPr>
        <w:softHyphen/>
        <w:t>шения обзора и вентиляции боевого отделения, упрощения эвакуации в случае подбития машины и т.д., с нее была де</w:t>
      </w:r>
      <w:r w:rsidRPr="00D03F3E">
        <w:rPr>
          <w:rFonts w:ascii="Times New Roman" w:hAnsi="Times New Roman"/>
          <w:color w:val="000000" w:themeColor="text1"/>
          <w:sz w:val="16"/>
          <w:szCs w:val="16"/>
        </w:rPr>
        <w:softHyphen/>
        <w:t>монтирована крыша. А после улучшения бронирования противооткатных приспособлений качающаяся часть ору</w:t>
      </w:r>
      <w:r w:rsidRPr="00D03F3E">
        <w:rPr>
          <w:rFonts w:ascii="Times New Roman" w:hAnsi="Times New Roman"/>
          <w:color w:val="000000" w:themeColor="text1"/>
          <w:sz w:val="16"/>
          <w:szCs w:val="16"/>
        </w:rPr>
        <w:softHyphen/>
        <w:t>дия потребовала оснащения гильзоулавливателя дополнительным грузом. Предъявленная на государственные испы</w:t>
      </w:r>
      <w:r w:rsidRPr="00D03F3E">
        <w:rPr>
          <w:rFonts w:ascii="Times New Roman" w:hAnsi="Times New Roman"/>
          <w:color w:val="000000" w:themeColor="text1"/>
          <w:sz w:val="16"/>
          <w:szCs w:val="16"/>
        </w:rPr>
        <w:softHyphen/>
        <w:t>тания 23 августа 1943 г. СУ-15М была принята на вооруже</w:t>
      </w:r>
      <w:r w:rsidRPr="00D03F3E">
        <w:rPr>
          <w:rFonts w:ascii="Times New Roman" w:hAnsi="Times New Roman"/>
          <w:color w:val="000000" w:themeColor="text1"/>
          <w:sz w:val="16"/>
          <w:szCs w:val="16"/>
        </w:rPr>
        <w:softHyphen/>
        <w:t>ние взамен СУ-12М под индексом СУ-76 (без буквы «М»).</w:t>
      </w:r>
    </w:p>
    <w:p w14:paraId="715A391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после СУ-76М (СУ-12М) в войска вновь пошла самоходная пушка СУ-76, взаимозаменяе</w:t>
      </w:r>
      <w:r w:rsidRPr="00D03F3E">
        <w:rPr>
          <w:rFonts w:ascii="Times New Roman" w:hAnsi="Times New Roman"/>
          <w:color w:val="000000" w:themeColor="text1"/>
          <w:sz w:val="16"/>
          <w:szCs w:val="16"/>
        </w:rPr>
        <w:softHyphen/>
        <w:t>мость деталей у которой с предыдущими моделями была весьма относительной (11417).</w:t>
      </w:r>
    </w:p>
    <w:p w14:paraId="2D4D7A4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058DBEC"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мая 1943 года первые СУ-76И — 25 машин — поступили в Московский центр самоходной артиллерии. Здесь сразу же началась подготовка экипажей на новые машины, что оказалось непростым делом (12688).</w:t>
      </w:r>
    </w:p>
    <w:p w14:paraId="3BF9B651" w14:textId="77777777" w:rsidR="005119DD" w:rsidRPr="00D03F3E" w:rsidRDefault="005119DD" w:rsidP="00D03F3E">
      <w:pPr>
        <w:spacing w:after="0" w:line="240" w:lineRule="auto"/>
        <w:jc w:val="both"/>
        <w:rPr>
          <w:rFonts w:ascii="Times New Roman" w:hAnsi="Times New Roman"/>
          <w:color w:val="000000" w:themeColor="text1"/>
          <w:sz w:val="16"/>
          <w:szCs w:val="16"/>
        </w:rPr>
      </w:pPr>
    </w:p>
    <w:p w14:paraId="75D4032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мая 1943 года Рамзина вызвали в Москву. Как рассказывает Худяков, Рамзин приехал из Казани в специальном вагоне, который не был подан на платформу вокзала, а отцеплен на сортировочной Казанс</w:t>
      </w:r>
      <w:r w:rsidRPr="00D03F3E">
        <w:rPr>
          <w:rFonts w:ascii="Times New Roman" w:hAnsi="Times New Roman"/>
          <w:color w:val="000000" w:themeColor="text1"/>
          <w:sz w:val="16"/>
          <w:szCs w:val="16"/>
        </w:rPr>
        <w:softHyphen/>
        <w:t>кого вокзала. Рамзин сказал Худякову, который его встречал на сортиро</w:t>
      </w:r>
      <w:r w:rsidRPr="00D03F3E">
        <w:rPr>
          <w:rFonts w:ascii="Times New Roman" w:hAnsi="Times New Roman"/>
          <w:color w:val="000000" w:themeColor="text1"/>
          <w:sz w:val="16"/>
          <w:szCs w:val="16"/>
        </w:rPr>
        <w:softHyphen/>
        <w:t>вочной, что он приехал в Москву по телеграмме ЦК партии, подписан</w:t>
      </w:r>
      <w:r w:rsidRPr="00D03F3E">
        <w:rPr>
          <w:rFonts w:ascii="Times New Roman" w:hAnsi="Times New Roman"/>
          <w:color w:val="000000" w:themeColor="text1"/>
          <w:sz w:val="16"/>
          <w:szCs w:val="16"/>
        </w:rPr>
        <w:softHyphen/>
        <w:t>ной Маленковым, и завтра им обоим нужно быть в ЦК ВКП(б). На следующий день Рамзин и Худяков пошли к Маленкову. Худякову выдали разовый пропуск, а Рамзину — на 10 дней. В приемной Маленко</w:t>
      </w:r>
      <w:r w:rsidRPr="00D03F3E">
        <w:rPr>
          <w:rFonts w:ascii="Times New Roman" w:hAnsi="Times New Roman"/>
          <w:color w:val="000000" w:themeColor="text1"/>
          <w:sz w:val="16"/>
          <w:szCs w:val="16"/>
        </w:rPr>
        <w:softHyphen/>
        <w:t>ва их встретил его секретарь и сказал, что по указанию Сталина Рамзина вызвали в Москву по служебным делам...(11504).</w:t>
      </w:r>
    </w:p>
    <w:p w14:paraId="61893B0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68A9F878"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5BAE02A3" w14:textId="77777777" w:rsidR="00531570" w:rsidRPr="00D03F3E" w:rsidRDefault="00531570" w:rsidP="00D03F3E">
      <w:pPr>
        <w:pStyle w:val="Iauiue"/>
        <w:jc w:val="both"/>
        <w:rPr>
          <w:iCs/>
          <w:color w:val="000000" w:themeColor="text1"/>
          <w:sz w:val="16"/>
          <w:szCs w:val="16"/>
        </w:rPr>
      </w:pPr>
    </w:p>
    <w:p w14:paraId="3DA8086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конце мая 1943 ФАБ-5000 была сброшена на сосредоточение германских войск в районе Могилева (7685).</w:t>
      </w:r>
    </w:p>
    <w:p w14:paraId="7256FB15" w14:textId="77777777" w:rsidR="00531570" w:rsidRPr="00D03F3E" w:rsidRDefault="00531570" w:rsidP="00D03F3E">
      <w:pPr>
        <w:pStyle w:val="Iauiue"/>
        <w:jc w:val="both"/>
        <w:rPr>
          <w:color w:val="000000" w:themeColor="text1"/>
          <w:sz w:val="16"/>
          <w:szCs w:val="16"/>
        </w:rPr>
      </w:pPr>
    </w:p>
    <w:p w14:paraId="0DEB4028" w14:textId="77777777" w:rsidR="002F5AD4" w:rsidRPr="00D03F3E" w:rsidRDefault="002F5AD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мая 1943 ФАБ-5000 была сброшена на сосредоточение германских войск в районе Могилева, 4 июня с помощью ФАБ-5000 перепахали железнодорожные пути в районе Орла, затруднив переброску германских войск в район Курского выступа. В июле 1943 года ФАБ-5000 обрушивались в ходе начавшейся Курской битвы на войска противника и на Орел. Всего до весны 1944 года на головы немцев было сброшено 13 ФАБ-5000 (12726).</w:t>
      </w:r>
    </w:p>
    <w:p w14:paraId="1508E4D3" w14:textId="77777777" w:rsidR="002F5AD4" w:rsidRPr="00D03F3E" w:rsidRDefault="002F5AD4" w:rsidP="00D03F3E">
      <w:pPr>
        <w:pStyle w:val="ae"/>
        <w:spacing w:before="0" w:after="0"/>
        <w:jc w:val="both"/>
        <w:rPr>
          <w:rStyle w:val="mfont1"/>
          <w:rFonts w:eastAsia="Times New Roman"/>
          <w:bCs/>
          <w:color w:val="000000" w:themeColor="text1"/>
          <w:sz w:val="16"/>
          <w:szCs w:val="16"/>
        </w:rPr>
      </w:pPr>
    </w:p>
    <w:p w14:paraId="113F1F2A"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3D9B3DB0" w14:textId="77777777" w:rsidR="00531570" w:rsidRPr="00D03F3E" w:rsidRDefault="00531570" w:rsidP="00D03F3E">
      <w:pPr>
        <w:pStyle w:val="Iauiue"/>
        <w:jc w:val="both"/>
        <w:rPr>
          <w:iCs/>
          <w:color w:val="000000" w:themeColor="text1"/>
          <w:sz w:val="16"/>
          <w:szCs w:val="16"/>
        </w:rPr>
      </w:pPr>
    </w:p>
    <w:p w14:paraId="079A61F5" w14:textId="77777777" w:rsidR="00B30108" w:rsidRPr="00D03F3E" w:rsidRDefault="00B3010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была произведена следующая модернизация Ил-2. На заводах №№ 1 и 18 началось производство самолетов с отведенными концами консолей крыла назад на 6º и взлетным положением щитков21. Эта была мера по улучшению центровки и устойчивости самолета через полгода после преобразования одноместного варианта в двухместный (ГАСО. Ф. Р-3454. Оп. 2. Д. 14. Л. 150.) (11714)</w:t>
      </w:r>
    </w:p>
    <w:p w14:paraId="48AC9F63" w14:textId="77777777" w:rsidR="00B30108" w:rsidRPr="00D03F3E" w:rsidRDefault="00B30108" w:rsidP="00D03F3E">
      <w:pPr>
        <w:spacing w:after="0" w:line="240" w:lineRule="auto"/>
        <w:jc w:val="both"/>
        <w:rPr>
          <w:rFonts w:ascii="Times New Roman" w:hAnsi="Times New Roman"/>
          <w:color w:val="000000" w:themeColor="text1"/>
          <w:sz w:val="16"/>
          <w:szCs w:val="16"/>
        </w:rPr>
      </w:pPr>
    </w:p>
    <w:p w14:paraId="5D40F0E4" w14:textId="28BA8031" w:rsidR="00D9739B" w:rsidRPr="00D03F3E" w:rsidRDefault="00D9739B"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 также с учетом существующей технологии серийных заводов (19846).</w:t>
      </w:r>
    </w:p>
    <w:p w14:paraId="1F66344B" w14:textId="77777777" w:rsidR="00D9739B" w:rsidRPr="00D03F3E" w:rsidRDefault="00D9739B"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p>
    <w:p w14:paraId="216B795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месяце 1943 проведенные в ЦАГИ специальные исследования на проч</w:t>
      </w:r>
      <w:r w:rsidRPr="00D03F3E">
        <w:rPr>
          <w:rFonts w:ascii="Times New Roman" w:hAnsi="Times New Roman"/>
          <w:color w:val="000000" w:themeColor="text1"/>
          <w:sz w:val="16"/>
          <w:szCs w:val="16"/>
        </w:rPr>
        <w:softHyphen/>
        <w:t>ность нескольких серийных штурмо</w:t>
      </w:r>
      <w:r w:rsidRPr="00D03F3E">
        <w:rPr>
          <w:rFonts w:ascii="Times New Roman" w:hAnsi="Times New Roman"/>
          <w:color w:val="000000" w:themeColor="text1"/>
          <w:sz w:val="16"/>
          <w:szCs w:val="16"/>
        </w:rPr>
        <w:softHyphen/>
        <w:t>виков показали, что на Ил-2 (зав. № 302263) производства авиазавода № 30 уже при 50% нагрузке от расчет</w:t>
      </w:r>
      <w:r w:rsidRPr="00D03F3E">
        <w:rPr>
          <w:rFonts w:ascii="Times New Roman" w:hAnsi="Times New Roman"/>
          <w:color w:val="000000" w:themeColor="text1"/>
          <w:sz w:val="16"/>
          <w:szCs w:val="16"/>
        </w:rPr>
        <w:softHyphen/>
        <w:t xml:space="preserve">ного значения (по нормам прочности 1937 г. это соответствует перегрузке 4,13) появилась </w:t>
      </w:r>
      <w:r w:rsidRPr="00D03F3E">
        <w:rPr>
          <w:rFonts w:ascii="Times New Roman" w:hAnsi="Times New Roman"/>
          <w:iCs/>
          <w:color w:val="000000" w:themeColor="text1"/>
          <w:sz w:val="16"/>
          <w:szCs w:val="16"/>
        </w:rPr>
        <w:t>«волна, означающая начало отрыва обшивки от лонжерона крыла, а в последующем и от всего сило</w:t>
      </w:r>
      <w:r w:rsidRPr="00D03F3E">
        <w:rPr>
          <w:rFonts w:ascii="Times New Roman" w:hAnsi="Times New Roman"/>
          <w:iCs/>
          <w:color w:val="000000" w:themeColor="text1"/>
          <w:sz w:val="16"/>
          <w:szCs w:val="16"/>
        </w:rPr>
        <w:softHyphen/>
        <w:t xml:space="preserve">вого набора крыла». </w:t>
      </w:r>
      <w:r w:rsidRPr="00D03F3E">
        <w:rPr>
          <w:rFonts w:ascii="Times New Roman" w:hAnsi="Times New Roman"/>
          <w:color w:val="000000" w:themeColor="text1"/>
          <w:sz w:val="16"/>
          <w:szCs w:val="16"/>
        </w:rPr>
        <w:t>При повышении нагрузки до 60% от расчетной и выше начался отрыв фанеры по всему разма</w:t>
      </w:r>
      <w:r w:rsidRPr="00D03F3E">
        <w:rPr>
          <w:rFonts w:ascii="Times New Roman" w:hAnsi="Times New Roman"/>
          <w:color w:val="000000" w:themeColor="text1"/>
          <w:sz w:val="16"/>
          <w:szCs w:val="16"/>
        </w:rPr>
        <w:softHyphen/>
        <w:t>ху крыла в местах стыка с дюралевой обшивкой и склейки у переднего и зад</w:t>
      </w:r>
      <w:r w:rsidRPr="00D03F3E">
        <w:rPr>
          <w:rFonts w:ascii="Times New Roman" w:hAnsi="Times New Roman"/>
          <w:color w:val="000000" w:themeColor="text1"/>
          <w:sz w:val="16"/>
          <w:szCs w:val="16"/>
        </w:rPr>
        <w:softHyphen/>
        <w:t>него лонжеронов. Разрушение крыла наступило при достижении нагрузки 90% от расчетной величины.</w:t>
      </w:r>
    </w:p>
    <w:p w14:paraId="331A2F4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производства куйбышевс</w:t>
      </w:r>
      <w:r w:rsidRPr="00D03F3E">
        <w:rPr>
          <w:rFonts w:ascii="Times New Roman" w:hAnsi="Times New Roman"/>
          <w:color w:val="000000" w:themeColor="text1"/>
          <w:sz w:val="16"/>
          <w:szCs w:val="16"/>
        </w:rPr>
        <w:softHyphen/>
        <w:t>кого авиазавода № 1 (зав. № 7005) без каких-либо замечаний выдержал на</w:t>
      </w:r>
      <w:r w:rsidRPr="00D03F3E">
        <w:rPr>
          <w:rFonts w:ascii="Times New Roman" w:hAnsi="Times New Roman"/>
          <w:color w:val="000000" w:themeColor="text1"/>
          <w:sz w:val="16"/>
          <w:szCs w:val="16"/>
        </w:rPr>
        <w:softHyphen/>
        <w:t>грузку в 110% от расчетного значения.</w:t>
      </w:r>
    </w:p>
    <w:p w14:paraId="0E93C31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проводимый в строевых частях ремонт обшивки дефектных са</w:t>
      </w:r>
      <w:r w:rsidRPr="00D03F3E">
        <w:rPr>
          <w:rFonts w:ascii="Times New Roman" w:hAnsi="Times New Roman"/>
          <w:color w:val="000000" w:themeColor="text1"/>
          <w:sz w:val="16"/>
          <w:szCs w:val="16"/>
        </w:rPr>
        <w:softHyphen/>
        <w:t>молетов, положительных результатов все же не было достигнуто. Обшивка про</w:t>
      </w:r>
      <w:r w:rsidRPr="00D03F3E">
        <w:rPr>
          <w:rFonts w:ascii="Times New Roman" w:hAnsi="Times New Roman"/>
          <w:color w:val="000000" w:themeColor="text1"/>
          <w:sz w:val="16"/>
          <w:szCs w:val="16"/>
        </w:rPr>
        <w:softHyphen/>
        <w:t>должала отрываться в полете. Летчики опасались выполнять на самолетах ма</w:t>
      </w:r>
      <w:r w:rsidRPr="00D03F3E">
        <w:rPr>
          <w:rFonts w:ascii="Times New Roman" w:hAnsi="Times New Roman"/>
          <w:color w:val="000000" w:themeColor="text1"/>
          <w:sz w:val="16"/>
          <w:szCs w:val="16"/>
        </w:rPr>
        <w:softHyphen/>
        <w:t>невры с большими перегрузками.</w:t>
      </w:r>
    </w:p>
    <w:p w14:paraId="55B0AB4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Командование авиаполков с целью предотвращения серьезных летных происшествий вынужденно снижало летчикам боевую нагрузку. В дальней</w:t>
      </w:r>
      <w:r w:rsidRPr="00D03F3E">
        <w:rPr>
          <w:rFonts w:ascii="Times New Roman" w:hAnsi="Times New Roman"/>
          <w:color w:val="000000" w:themeColor="text1"/>
          <w:sz w:val="16"/>
          <w:szCs w:val="16"/>
        </w:rPr>
        <w:softHyphen/>
        <w:t>шем эта инициатива была узаконена специальным распоряжением УТЭ ВВС. Нормальная бомбовая нагрузка двух</w:t>
      </w:r>
      <w:r w:rsidRPr="00D03F3E">
        <w:rPr>
          <w:rFonts w:ascii="Times New Roman" w:hAnsi="Times New Roman"/>
          <w:color w:val="000000" w:themeColor="text1"/>
          <w:sz w:val="16"/>
          <w:szCs w:val="16"/>
        </w:rPr>
        <w:softHyphen/>
        <w:t>местных самолетов Ил-2 с АМ-38ф ог</w:t>
      </w:r>
      <w:r w:rsidRPr="00D03F3E">
        <w:rPr>
          <w:rFonts w:ascii="Times New Roman" w:hAnsi="Times New Roman"/>
          <w:color w:val="000000" w:themeColor="text1"/>
          <w:sz w:val="16"/>
          <w:szCs w:val="16"/>
        </w:rPr>
        <w:softHyphen/>
        <w:t>раничивалась 300 кг бомб.</w:t>
      </w:r>
    </w:p>
    <w:p w14:paraId="75A71BF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Неблагоприятная обстановка с бо</w:t>
      </w:r>
      <w:r w:rsidRPr="00D03F3E">
        <w:rPr>
          <w:rFonts w:ascii="Times New Roman" w:hAnsi="Times New Roman"/>
          <w:color w:val="000000" w:themeColor="text1"/>
          <w:sz w:val="16"/>
          <w:szCs w:val="16"/>
        </w:rPr>
        <w:softHyphen/>
        <w:t>еспособностью материальной части авиачастей действующей армии поста</w:t>
      </w:r>
      <w:r w:rsidRPr="00D03F3E">
        <w:rPr>
          <w:rFonts w:ascii="Times New Roman" w:hAnsi="Times New Roman"/>
          <w:color w:val="000000" w:themeColor="text1"/>
          <w:sz w:val="16"/>
          <w:szCs w:val="16"/>
        </w:rPr>
        <w:softHyphen/>
        <w:t>вила под угрозу проведение операций летней кампании 1943 г. Требовалось срочно улучшить пилотажные и эксп</w:t>
      </w:r>
      <w:r w:rsidRPr="00D03F3E">
        <w:rPr>
          <w:rFonts w:ascii="Times New Roman" w:hAnsi="Times New Roman"/>
          <w:color w:val="000000" w:themeColor="text1"/>
          <w:sz w:val="16"/>
          <w:szCs w:val="16"/>
        </w:rPr>
        <w:softHyphen/>
        <w:t>луатационные качества Ил-2 (11215).</w:t>
      </w:r>
    </w:p>
    <w:p w14:paraId="26E9429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DABEBE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проведенные в ЦАГИ специальные исследования на прочность нескольких серийных штурмовиков показали, что на Ил-2 производства завода № 30 (зав. № 302263) уже при 50% нагрузке от расчетного значения (по нормам прочности 1937 г. это соответствует перегрузке 4,13</w:t>
      </w:r>
      <w:r w:rsidRPr="00D03F3E">
        <w:rPr>
          <w:rFonts w:ascii="Times New Roman" w:hAnsi="Times New Roman"/>
          <w:iCs/>
          <w:color w:val="000000" w:themeColor="text1"/>
          <w:sz w:val="16"/>
          <w:szCs w:val="16"/>
        </w:rPr>
        <w:t xml:space="preserve">) </w:t>
      </w:r>
      <w:r w:rsidRPr="00D03F3E">
        <w:rPr>
          <w:rFonts w:ascii="Times New Roman" w:hAnsi="Times New Roman"/>
          <w:color w:val="000000" w:themeColor="text1"/>
          <w:sz w:val="16"/>
          <w:szCs w:val="16"/>
        </w:rPr>
        <w:t>появилась «волна, означающая начало отрыва обшивки лонжерона кры</w:t>
      </w:r>
      <w:r w:rsidRPr="00D03F3E">
        <w:rPr>
          <w:rFonts w:ascii="Times New Roman" w:hAnsi="Times New Roman"/>
          <w:color w:val="000000" w:themeColor="text1"/>
          <w:sz w:val="16"/>
          <w:szCs w:val="16"/>
        </w:rPr>
        <w:softHyphen/>
        <w:t>ла, а в последующем и от всего силового набора крыла». При повышении нагрузки до 60% от расчетной и выше начался от</w:t>
      </w:r>
      <w:r w:rsidRPr="00D03F3E">
        <w:rPr>
          <w:rFonts w:ascii="Times New Roman" w:hAnsi="Times New Roman"/>
          <w:color w:val="000000" w:themeColor="text1"/>
          <w:sz w:val="16"/>
          <w:szCs w:val="16"/>
        </w:rPr>
        <w:softHyphen/>
        <w:t>рыв фанеры по всему размаху крыла в местах стыка с дюрале</w:t>
      </w:r>
      <w:r w:rsidRPr="00D03F3E">
        <w:rPr>
          <w:rFonts w:ascii="Times New Roman" w:hAnsi="Times New Roman"/>
          <w:color w:val="000000" w:themeColor="text1"/>
          <w:sz w:val="16"/>
          <w:szCs w:val="16"/>
        </w:rPr>
        <w:softHyphen/>
        <w:t>вой обшивкой и склейки у переднего и заднего лонжеронов. Как докладывал старший военпред ГУЗ ВВС в ЦАГИ инже</w:t>
      </w:r>
      <w:r w:rsidRPr="00D03F3E">
        <w:rPr>
          <w:rFonts w:ascii="Times New Roman" w:hAnsi="Times New Roman"/>
          <w:color w:val="000000" w:themeColor="text1"/>
          <w:sz w:val="16"/>
          <w:szCs w:val="16"/>
        </w:rPr>
        <w:softHyphen/>
        <w:t>нер-майор Вдовин, «при последовательной подгрузке самолет неприятно трещал в различных местах, что уже говорило о продолжавшемся распространении волн возрастающей мощ</w:t>
      </w:r>
      <w:r w:rsidRPr="00D03F3E">
        <w:rPr>
          <w:rFonts w:ascii="Times New Roman" w:hAnsi="Times New Roman"/>
          <w:color w:val="000000" w:themeColor="text1"/>
          <w:sz w:val="16"/>
          <w:szCs w:val="16"/>
        </w:rPr>
        <w:softHyphen/>
        <w:t>ности». Разрушение крыла наступило при достижении нагруз</w:t>
      </w:r>
      <w:r w:rsidRPr="00D03F3E">
        <w:rPr>
          <w:rFonts w:ascii="Times New Roman" w:hAnsi="Times New Roman"/>
          <w:color w:val="000000" w:themeColor="text1"/>
          <w:sz w:val="16"/>
          <w:szCs w:val="16"/>
        </w:rPr>
        <w:softHyphen/>
        <w:t>ки 90% от расчетной величины.</w:t>
      </w:r>
    </w:p>
    <w:p w14:paraId="2784CE7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производства куйбышевского завода № 1 (зав. № 7005) без каких-либо замечаний выдержал нагрузку в 110% от расчетного значения.</w:t>
      </w:r>
    </w:p>
    <w:p w14:paraId="2CF24A4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следует из материалов ЦАГИ, перед поступлением в ин</w:t>
      </w:r>
      <w:r w:rsidRPr="00D03F3E">
        <w:rPr>
          <w:rFonts w:ascii="Times New Roman" w:hAnsi="Times New Roman"/>
          <w:color w:val="000000" w:themeColor="text1"/>
          <w:sz w:val="16"/>
          <w:szCs w:val="16"/>
        </w:rPr>
        <w:softHyphen/>
        <w:t>ститут оба штурмовика прошли испытания на прочность в ЛИИ НКАП. На самолете 30-го завода было выполнено 26 пики</w:t>
      </w:r>
      <w:r w:rsidRPr="00D03F3E">
        <w:rPr>
          <w:rFonts w:ascii="Times New Roman" w:hAnsi="Times New Roman"/>
          <w:color w:val="000000" w:themeColor="text1"/>
          <w:sz w:val="16"/>
          <w:szCs w:val="16"/>
        </w:rPr>
        <w:softHyphen/>
        <w:t>рований, а на самолете 1-го завода — 34 пикирования. Скорость на пикировании достигала 450 км/ч, а перегрузка на выходе из пикирования — порядка 5 единиц. Перед летными испытаниями путем простукивания крыла самолетов были определены места возможного непроклея обшивки с каркасом. После полетов но</w:t>
      </w:r>
      <w:r w:rsidRPr="00D03F3E">
        <w:rPr>
          <w:rFonts w:ascii="Times New Roman" w:hAnsi="Times New Roman"/>
          <w:color w:val="000000" w:themeColor="text1"/>
          <w:sz w:val="16"/>
          <w:szCs w:val="16"/>
        </w:rPr>
        <w:softHyphen/>
        <w:t>вых мест возможного непроклея не обнаружено. В процессе под</w:t>
      </w:r>
      <w:r w:rsidRPr="00D03F3E">
        <w:rPr>
          <w:rFonts w:ascii="Times New Roman" w:hAnsi="Times New Roman"/>
          <w:color w:val="000000" w:themeColor="text1"/>
          <w:sz w:val="16"/>
          <w:szCs w:val="16"/>
        </w:rPr>
        <w:softHyphen/>
        <w:t>готовки самолетов к статическим испытаниям было обнаружено, что на самолете зав. № 7005 миткаль приклеен к обшивке крыла (фанере) в основном только в местах прохождения лонжеронов и нервюр, а на самолете зав. № 302263 - отставание верхнего шпо</w:t>
      </w:r>
      <w:r w:rsidRPr="00D03F3E">
        <w:rPr>
          <w:rFonts w:ascii="Times New Roman" w:hAnsi="Times New Roman"/>
          <w:color w:val="000000" w:themeColor="text1"/>
          <w:sz w:val="16"/>
          <w:szCs w:val="16"/>
        </w:rPr>
        <w:softHyphen/>
        <w:t>на фанеры на верхней поверхности законцовки крыла между лонжеронами в зоне нервюр №№ 20—21.</w:t>
      </w:r>
    </w:p>
    <w:p w14:paraId="661880D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Интересно отметить, что статиспытания штурмовиков Ил-2 29 мая проводилось в присутствии замнаркома авиапрома П.В. Де</w:t>
      </w:r>
      <w:r w:rsidRPr="00D03F3E">
        <w:rPr>
          <w:rFonts w:ascii="Times New Roman" w:hAnsi="Times New Roman"/>
          <w:color w:val="000000" w:themeColor="text1"/>
          <w:sz w:val="16"/>
          <w:szCs w:val="16"/>
        </w:rPr>
        <w:softHyphen/>
        <w:t>ментьева и главного конструктора самолета С.В. Ильюшина.</w:t>
      </w:r>
    </w:p>
    <w:p w14:paraId="5513023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проводимый в строевых частях ремонт обшив</w:t>
      </w:r>
      <w:r w:rsidRPr="00D03F3E">
        <w:rPr>
          <w:rFonts w:ascii="Times New Roman" w:hAnsi="Times New Roman"/>
          <w:color w:val="000000" w:themeColor="text1"/>
          <w:sz w:val="16"/>
          <w:szCs w:val="16"/>
        </w:rPr>
        <w:softHyphen/>
        <w:t>ки дефектных самолетов, положительных результатов все же не было достигнуто. Обшивка продолжала отрываться в полете как по старым местам, так и по новым. Более того, в некото</w:t>
      </w:r>
      <w:r w:rsidRPr="00D03F3E">
        <w:rPr>
          <w:rFonts w:ascii="Times New Roman" w:hAnsi="Times New Roman"/>
          <w:color w:val="000000" w:themeColor="text1"/>
          <w:sz w:val="16"/>
          <w:szCs w:val="16"/>
        </w:rPr>
        <w:softHyphen/>
        <w:t>рых полках количество случаев срыва обшивки не только не уменьшилось, а даже увеличилось. Летчики опасались выполнять на самолетах маневры с большими перегрузками. Все это вместе взятое серьезно ограничивало «возможность использо</w:t>
      </w:r>
      <w:r w:rsidRPr="00D03F3E">
        <w:rPr>
          <w:rFonts w:ascii="Times New Roman" w:hAnsi="Times New Roman"/>
          <w:color w:val="000000" w:themeColor="text1"/>
          <w:sz w:val="16"/>
          <w:szCs w:val="16"/>
        </w:rPr>
        <w:softHyphen/>
        <w:t>вания самолета Ил-2 в полной мере, согласно его ЛТД».</w:t>
      </w:r>
    </w:p>
    <w:p w14:paraId="55497AA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Дело дошло до того, что командование авиаполков с целью предотвращения серьезных летных происшествий вынужденно снижало летчикам боевую нагрузку, поскольку летать на имеющихся в частях самолетах было просто опасно. В даль</w:t>
      </w:r>
      <w:r w:rsidRPr="00D03F3E">
        <w:rPr>
          <w:rFonts w:ascii="Times New Roman" w:hAnsi="Times New Roman"/>
          <w:color w:val="000000" w:themeColor="text1"/>
          <w:sz w:val="16"/>
          <w:szCs w:val="16"/>
        </w:rPr>
        <w:softHyphen/>
        <w:t>нейшем эта инициатива была узаконена специальным распо</w:t>
      </w:r>
      <w:r w:rsidRPr="00D03F3E">
        <w:rPr>
          <w:rFonts w:ascii="Times New Roman" w:hAnsi="Times New Roman"/>
          <w:color w:val="000000" w:themeColor="text1"/>
          <w:sz w:val="16"/>
          <w:szCs w:val="16"/>
        </w:rPr>
        <w:softHyphen/>
        <w:t>ряжением УТЭ ВВС от 22 июля 1943 г. Нормальная бомбовая нагрузка двухместных самолетов Ил-2 ограничивалась 300 кг (11474,271).</w:t>
      </w:r>
    </w:p>
    <w:p w14:paraId="7EF2739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649406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проведенные в ЦАГИ специальные исследования на прочность нескольких серийных штурмовиков показали, что на Ил-2 (зав. №302263) производства завода № 30 уже при 50% нагрузке от расчетного значения (по нормам прочности 1937 г. это соответствует перегрузке 4,13 - авт.) появилась "волна, означающая начало отрыва обшивки лонжерона крыла, а в последующем и от всего силового набора крыла". При повышении нагрузки до 60% от расчетной и выше начался отрыв фанеры по всему размаху крыла в местах стыка с дюралевой обшивкой и склейки у переднего и заднего лонжеронов. Как докладывал старший военпред ГУЗ ВВС в ЦАГИ инженер-майор Вдовин, "при последовательной подгрузке самолет неприятно трещал в различных местах, что уже говорило о продолжавшемся распространении волн возрастающей мощности". Разрушение крыла наступило при достижении нагрузки 90% от расчетной величины.</w:t>
      </w:r>
    </w:p>
    <w:p w14:paraId="33393DA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производства куйбышевского завода №1 (зав. №7005) без каких-либо замечаний выдержал нагрузку в 110% от расчетного значения.</w:t>
      </w:r>
    </w:p>
    <w:p w14:paraId="3600433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проводимый в строевых частях ремонт обшивки дефектных самолетов, положительных результатов все же не было достигнуто. Обшивка продолжала отрываться в полете как по старым местам, так и по новым. Более того, в некоторых полках количество случаев срыва обшивки не только не уменьшилось, а даже увеличилось. Летчики опасались выполнять на самолетах маневры с большими перегрузками. Все это вместе взятое серьезно ограничивало "возможность использования самолета Ил-2 в полной мере, согласно его ЛТД".</w:t>
      </w:r>
    </w:p>
    <w:p w14:paraId="4320146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Дело дошло до того, что командование авиаполков с целью предотвращения серьезных летных происшествий вынужденно снижало летчикам боевую нагрузку, поскольку летать на имеющихся в частях самолетах было просто опасно. В дальнейшем эта инициатива была узаконена специальным распоряжением УТЭ ВВС от 22 июля 1943 г. Нормальная бомбовая нагрузка двухместных самолетов Ил-2 с АМ-38ф ограничивалась 300 кг.</w:t>
      </w:r>
    </w:p>
    <w:p w14:paraId="40BBE22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Сложившаяся обстановка потребовала от Государственного Комитета Обороны, штаба ВВС КА и НКАП чрезвычайных шагов по исправлению ситуации (12020).</w:t>
      </w:r>
    </w:p>
    <w:p w14:paraId="02DFBC20"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C40D5D0" w14:textId="77777777" w:rsidR="00E15604" w:rsidRPr="00D03F3E" w:rsidRDefault="00E1560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ЦАГИ провел специальные исследования нескольких серийных штурмовиков на прочность. 29 мая испытания проводилось в присутствии замнаркома авиапрома П. В. Дементьева и главного конструктора самолета С. В. Ильюшина. Они показали, что на Ил-2 производства завода № 30 (№ 302263) уже при 50% нагрузке от расчетного значения появилась «волна, означающая начало отрыва обшивки от лонжерона крыла, а в последующем и от всего силового набора крыла». При повышении нагрузки до 60% от расчетной и выше начался отрыв фанеры по всему размаху крыла в местах стыка с дюралевой обшивкой и склейки у переднего и заднего лонжеронов. Как докладывал старший военпред ГУЗ ВВС в ЦАГИ инженер-майор Вдовин, «при последовательной подгрузке самолет неприятно трещал в различных местах, что уже говорило о продолжавшемся распространении волн возрастающей мощности». Разрушение крыла наступило при достижении нагрузки 90% от расчетной величины. Самолет производства куйбышевского завода № 1 (№ 7005) без каких-либо замечаний выдержал нагрузку в 110% от расчетного значения (19727).</w:t>
      </w:r>
    </w:p>
    <w:p w14:paraId="3E5783A0" w14:textId="77777777" w:rsidR="00E15604" w:rsidRPr="00D03F3E" w:rsidRDefault="00E15604" w:rsidP="00D03F3E">
      <w:pPr>
        <w:spacing w:after="0" w:line="240" w:lineRule="auto"/>
        <w:jc w:val="both"/>
        <w:rPr>
          <w:rFonts w:ascii="Times New Roman" w:hAnsi="Times New Roman"/>
          <w:color w:val="000000" w:themeColor="text1"/>
          <w:sz w:val="16"/>
          <w:szCs w:val="16"/>
        </w:rPr>
      </w:pPr>
    </w:p>
    <w:p w14:paraId="3E6173A8" w14:textId="77777777" w:rsidR="00E15604" w:rsidRPr="00D03F3E" w:rsidRDefault="00E1560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 мае 1943 в ЦАГИ были прове</w:t>
      </w:r>
      <w:r w:rsidRPr="00D03F3E">
        <w:rPr>
          <w:rFonts w:ascii="Times New Roman" w:hAnsi="Times New Roman" w:cs="Times New Roman"/>
          <w:color w:val="000000" w:themeColor="text1"/>
          <w:sz w:val="16"/>
          <w:szCs w:val="16"/>
        </w:rPr>
        <w:softHyphen/>
        <w:t>дены исследования на прочность несколь</w:t>
      </w:r>
      <w:r w:rsidRPr="00D03F3E">
        <w:rPr>
          <w:rFonts w:ascii="Times New Roman" w:hAnsi="Times New Roman" w:cs="Times New Roman"/>
          <w:color w:val="000000" w:themeColor="text1"/>
          <w:sz w:val="16"/>
          <w:szCs w:val="16"/>
        </w:rPr>
        <w:softHyphen/>
        <w:t>ких серийных штурмовиков производства заводов №№1 и 30, в том числе и само</w:t>
      </w:r>
      <w:r w:rsidRPr="00D03F3E">
        <w:rPr>
          <w:rFonts w:ascii="Times New Roman" w:hAnsi="Times New Roman" w:cs="Times New Roman"/>
          <w:color w:val="000000" w:themeColor="text1"/>
          <w:sz w:val="16"/>
          <w:szCs w:val="16"/>
        </w:rPr>
        <w:softHyphen/>
        <w:t>летов Ил-2 зав. №7005 и зав. №302263, ранее прошедших испытания на проч</w:t>
      </w:r>
      <w:r w:rsidRPr="00D03F3E">
        <w:rPr>
          <w:rFonts w:ascii="Times New Roman" w:hAnsi="Times New Roman" w:cs="Times New Roman"/>
          <w:color w:val="000000" w:themeColor="text1"/>
          <w:sz w:val="16"/>
          <w:szCs w:val="16"/>
        </w:rPr>
        <w:softHyphen/>
        <w:t>ность в ЛИИ.</w:t>
      </w:r>
    </w:p>
    <w:p w14:paraId="3B9EC867" w14:textId="77777777" w:rsidR="00E15604" w:rsidRPr="00D03F3E" w:rsidRDefault="00E15604" w:rsidP="00D03F3E">
      <w:pPr>
        <w:spacing w:after="0" w:line="240" w:lineRule="auto"/>
        <w:jc w:val="both"/>
        <w:rPr>
          <w:rStyle w:val="9pt80"/>
          <w:rFonts w:ascii="Times New Roman" w:hAnsi="Times New Roman" w:cs="Times New Roman"/>
          <w:color w:val="000000" w:themeColor="text1"/>
          <w:w w:val="100"/>
          <w:sz w:val="16"/>
          <w:szCs w:val="16"/>
        </w:rPr>
      </w:pPr>
      <w:r w:rsidRPr="00D03F3E">
        <w:rPr>
          <w:rFonts w:ascii="Times New Roman" w:hAnsi="Times New Roman"/>
          <w:color w:val="000000" w:themeColor="text1"/>
          <w:sz w:val="16"/>
          <w:szCs w:val="16"/>
        </w:rPr>
        <w:t>Оказалось, что на Ил-2 производ</w:t>
      </w:r>
      <w:r w:rsidRPr="00D03F3E">
        <w:rPr>
          <w:rFonts w:ascii="Times New Roman" w:hAnsi="Times New Roman"/>
          <w:color w:val="000000" w:themeColor="text1"/>
          <w:sz w:val="16"/>
          <w:szCs w:val="16"/>
        </w:rPr>
        <w:softHyphen/>
        <w:t>ства завода №30 (зав. №302263) уже при 50% нагрузке от расчетного значения по</w:t>
      </w:r>
      <w:r w:rsidRPr="00D03F3E">
        <w:rPr>
          <w:rFonts w:ascii="Times New Roman" w:hAnsi="Times New Roman"/>
          <w:color w:val="000000" w:themeColor="text1"/>
          <w:sz w:val="16"/>
          <w:szCs w:val="16"/>
        </w:rPr>
        <w:softHyphen/>
        <w:t>явилась «волна, означающая начало от</w:t>
      </w:r>
      <w:r w:rsidRPr="00D03F3E">
        <w:rPr>
          <w:rFonts w:ascii="Times New Roman" w:hAnsi="Times New Roman"/>
          <w:color w:val="000000" w:themeColor="text1"/>
          <w:sz w:val="16"/>
          <w:szCs w:val="16"/>
        </w:rPr>
        <w:softHyphen/>
        <w:t>рыва обшивки от лонжерона крыла, а правой консоли крыла. Самолет резко перевернулся через правое крыло и начал вращаться. С большим трудом летчику удалось на высоте 250 м вывести самолет из штопора и благополучно приземлиться на аэродроме Раменское.</w:t>
      </w:r>
    </w:p>
    <w:p w14:paraId="557ADF20" w14:textId="77777777" w:rsidR="00E15604" w:rsidRPr="00D03F3E" w:rsidRDefault="00E1560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Как следует из материалов ЦАГИ, статиспытания штурмовиков 29 мая 1943 прово</w:t>
      </w:r>
      <w:r w:rsidRPr="00D03F3E">
        <w:rPr>
          <w:rFonts w:ascii="Times New Roman" w:hAnsi="Times New Roman" w:cs="Times New Roman"/>
          <w:color w:val="000000" w:themeColor="text1"/>
          <w:sz w:val="16"/>
          <w:szCs w:val="16"/>
        </w:rPr>
        <w:softHyphen/>
        <w:t>дились в присутствии замнаркома авиапрома Дементьева и главного конструк</w:t>
      </w:r>
      <w:r w:rsidRPr="00D03F3E">
        <w:rPr>
          <w:rFonts w:ascii="Times New Roman" w:hAnsi="Times New Roman" w:cs="Times New Roman"/>
          <w:color w:val="000000" w:themeColor="text1"/>
          <w:sz w:val="16"/>
          <w:szCs w:val="16"/>
        </w:rPr>
        <w:softHyphen/>
        <w:t>тора самолета Ильюшина.</w:t>
      </w:r>
    </w:p>
    <w:p w14:paraId="65CEA1F1" w14:textId="77777777" w:rsidR="00E15604" w:rsidRPr="00D03F3E" w:rsidRDefault="00E1560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7 июня 1943 комиссией НКАП под предсе</w:t>
      </w:r>
      <w:r w:rsidRPr="00D03F3E">
        <w:rPr>
          <w:rFonts w:ascii="Times New Roman" w:hAnsi="Times New Roman" w:cs="Times New Roman"/>
          <w:color w:val="000000" w:themeColor="text1"/>
          <w:sz w:val="16"/>
          <w:szCs w:val="16"/>
        </w:rPr>
        <w:softHyphen/>
        <w:t>дательством С.Н. Шишкина было подго</w:t>
      </w:r>
      <w:r w:rsidRPr="00D03F3E">
        <w:rPr>
          <w:rFonts w:ascii="Times New Roman" w:hAnsi="Times New Roman" w:cs="Times New Roman"/>
          <w:color w:val="000000" w:themeColor="text1"/>
          <w:sz w:val="16"/>
          <w:szCs w:val="16"/>
        </w:rPr>
        <w:softHyphen/>
        <w:t>товлено итоговое заключение по вопросу прочности самолетов Ил-2 в двухместном варианте. Основные выводы сводились к следующему.</w:t>
      </w:r>
    </w:p>
    <w:p w14:paraId="43279A27" w14:textId="77777777" w:rsidR="00E15604" w:rsidRPr="00D03F3E" w:rsidRDefault="00E1560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Прочность крыла «при нормальной кондиции материала и технологии его из</w:t>
      </w:r>
      <w:r w:rsidRPr="00D03F3E">
        <w:rPr>
          <w:rFonts w:ascii="Times New Roman" w:hAnsi="Times New Roman" w:cs="Times New Roman"/>
          <w:color w:val="000000" w:themeColor="text1"/>
          <w:sz w:val="16"/>
          <w:szCs w:val="16"/>
        </w:rPr>
        <w:softHyphen/>
        <w:t>готовления» удовлетворяет требованиям норм прочности 1943 г. при полетном весе 6080 кг». С учетом этого все «имев</w:t>
      </w:r>
      <w:r w:rsidRPr="00D03F3E">
        <w:rPr>
          <w:rFonts w:ascii="Times New Roman" w:hAnsi="Times New Roman" w:cs="Times New Roman"/>
          <w:color w:val="000000" w:themeColor="text1"/>
          <w:sz w:val="16"/>
          <w:szCs w:val="16"/>
        </w:rPr>
        <w:softHyphen/>
        <w:t>шие место случаи срыва обшивки и раз</w:t>
      </w:r>
      <w:r w:rsidRPr="00D03F3E">
        <w:rPr>
          <w:rFonts w:ascii="Times New Roman" w:hAnsi="Times New Roman" w:cs="Times New Roman"/>
          <w:color w:val="000000" w:themeColor="text1"/>
          <w:sz w:val="16"/>
          <w:szCs w:val="16"/>
        </w:rPr>
        <w:softHyphen/>
        <w:t>рушения крыльев в воздухе могут объяс</w:t>
      </w:r>
      <w:r w:rsidRPr="00D03F3E">
        <w:rPr>
          <w:rFonts w:ascii="Times New Roman" w:hAnsi="Times New Roman" w:cs="Times New Roman"/>
          <w:color w:val="000000" w:themeColor="text1"/>
          <w:sz w:val="16"/>
          <w:szCs w:val="16"/>
        </w:rPr>
        <w:softHyphen/>
        <w:t>няться только неблагоприятным совпа</w:t>
      </w:r>
      <w:r w:rsidRPr="00D03F3E">
        <w:rPr>
          <w:rFonts w:ascii="Times New Roman" w:hAnsi="Times New Roman" w:cs="Times New Roman"/>
          <w:color w:val="000000" w:themeColor="text1"/>
          <w:sz w:val="16"/>
          <w:szCs w:val="16"/>
        </w:rPr>
        <w:softHyphen/>
        <w:t>дением плохого технологического изго</w:t>
      </w:r>
      <w:r w:rsidRPr="00D03F3E">
        <w:rPr>
          <w:rFonts w:ascii="Times New Roman" w:hAnsi="Times New Roman" w:cs="Times New Roman"/>
          <w:color w:val="000000" w:themeColor="text1"/>
          <w:sz w:val="16"/>
          <w:szCs w:val="16"/>
        </w:rPr>
        <w:softHyphen/>
        <w:t>товления, с получением очень высоких перегрузок при выходе из пикирования».</w:t>
      </w:r>
    </w:p>
    <w:p w14:paraId="6151B0D1" w14:textId="77777777" w:rsidR="00E15604" w:rsidRPr="00D03F3E" w:rsidRDefault="00E1560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Признавалось, что применение не</w:t>
      </w:r>
      <w:r w:rsidRPr="00D03F3E">
        <w:rPr>
          <w:rFonts w:ascii="Times New Roman" w:hAnsi="Times New Roman" w:cs="Times New Roman"/>
          <w:color w:val="000000" w:themeColor="text1"/>
          <w:sz w:val="16"/>
          <w:szCs w:val="16"/>
        </w:rPr>
        <w:softHyphen/>
        <w:t>качественных материалов - шпаклевки АШ-22, клея АК-20 и оклеечной ткани, не является причиной срыва обшивки крыла Ил-2. Особенно это касалось завода №30, где единственная полученная партия клея АК-20 в производство не пошла, а шпат</w:t>
      </w:r>
      <w:r w:rsidRPr="00D03F3E">
        <w:rPr>
          <w:rFonts w:ascii="Times New Roman" w:hAnsi="Times New Roman" w:cs="Times New Roman"/>
          <w:color w:val="000000" w:themeColor="text1"/>
          <w:sz w:val="16"/>
          <w:szCs w:val="16"/>
        </w:rPr>
        <w:softHyphen/>
        <w:t>левка АШ-22 завода № 34 НКХП и вовсе на завод не поступала.</w:t>
      </w:r>
    </w:p>
    <w:p w14:paraId="15F93C49" w14:textId="77777777" w:rsidR="00E15604" w:rsidRPr="00D03F3E" w:rsidRDefault="00E1560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Главной же причиной срывов об</w:t>
      </w:r>
      <w:r w:rsidRPr="00D03F3E">
        <w:rPr>
          <w:rFonts w:ascii="Times New Roman" w:hAnsi="Times New Roman" w:cs="Times New Roman"/>
          <w:color w:val="000000" w:themeColor="text1"/>
          <w:sz w:val="16"/>
          <w:szCs w:val="16"/>
        </w:rPr>
        <w:softHyphen/>
        <w:t>шивки и пониженной прочности крыла являлась неудачная конструкция крепле</w:t>
      </w:r>
      <w:r w:rsidRPr="00D03F3E">
        <w:rPr>
          <w:rFonts w:ascii="Times New Roman" w:hAnsi="Times New Roman" w:cs="Times New Roman"/>
          <w:color w:val="000000" w:themeColor="text1"/>
          <w:sz w:val="16"/>
          <w:szCs w:val="16"/>
        </w:rPr>
        <w:softHyphen/>
        <w:t>ния верхней и нижней обшивки консолей в сочетании с нарушениями технологии производства.</w:t>
      </w:r>
    </w:p>
    <w:p w14:paraId="158A87C0" w14:textId="77777777" w:rsidR="00E15604" w:rsidRPr="00D03F3E" w:rsidRDefault="00E1560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Наиболее слабым местом считался стык (усовое соединение) межлонжеронной части обшивки с фанерной поло</w:t>
      </w:r>
      <w:r w:rsidRPr="00D03F3E">
        <w:rPr>
          <w:rFonts w:ascii="Times New Roman" w:hAnsi="Times New Roman" w:cs="Times New Roman"/>
          <w:color w:val="000000" w:themeColor="text1"/>
          <w:sz w:val="16"/>
          <w:szCs w:val="16"/>
        </w:rPr>
        <w:softHyphen/>
        <w:t>сой, приклепываемой вдоль лонжерона к его полкам через дюралевую 1,5-мм на</w:t>
      </w:r>
      <w:r w:rsidRPr="00D03F3E">
        <w:rPr>
          <w:rFonts w:ascii="Times New Roman" w:hAnsi="Times New Roman" w:cs="Times New Roman"/>
          <w:color w:val="000000" w:themeColor="text1"/>
          <w:sz w:val="16"/>
          <w:szCs w:val="16"/>
        </w:rPr>
        <w:softHyphen/>
        <w:t>кладку. Соединение находилось непо</w:t>
      </w:r>
      <w:r w:rsidRPr="00D03F3E">
        <w:rPr>
          <w:rFonts w:ascii="Times New Roman" w:hAnsi="Times New Roman" w:cs="Times New Roman"/>
          <w:color w:val="000000" w:themeColor="text1"/>
          <w:sz w:val="16"/>
          <w:szCs w:val="16"/>
        </w:rPr>
        <w:softHyphen/>
        <w:t>средственно на стрингере, в силу чего «исключалась возможность гарантировать качественную его приклейку из-за невоз</w:t>
      </w:r>
      <w:r w:rsidRPr="00D03F3E">
        <w:rPr>
          <w:rFonts w:ascii="Times New Roman" w:hAnsi="Times New Roman" w:cs="Times New Roman"/>
          <w:color w:val="000000" w:themeColor="text1"/>
          <w:sz w:val="16"/>
          <w:szCs w:val="16"/>
        </w:rPr>
        <w:softHyphen/>
        <w:t>можности создать равномерное и при том достаточное давление при запрессовке за счет деформации стрингера». Причем своим верхним концом усовое соедине</w:t>
      </w:r>
      <w:r w:rsidRPr="00D03F3E">
        <w:rPr>
          <w:rFonts w:ascii="Times New Roman" w:hAnsi="Times New Roman" w:cs="Times New Roman"/>
          <w:color w:val="000000" w:themeColor="text1"/>
          <w:sz w:val="16"/>
          <w:szCs w:val="16"/>
        </w:rPr>
        <w:softHyphen/>
        <w:t>ние располагалось против (!) воздушного потока. Кроме того, «отсутствовали вырав</w:t>
      </w:r>
      <w:r w:rsidRPr="00D03F3E">
        <w:rPr>
          <w:rFonts w:ascii="Times New Roman" w:hAnsi="Times New Roman" w:cs="Times New Roman"/>
          <w:color w:val="000000" w:themeColor="text1"/>
          <w:sz w:val="16"/>
          <w:szCs w:val="16"/>
        </w:rPr>
        <w:softHyphen/>
        <w:t>нивающие и перекрывающие стыки фа</w:t>
      </w:r>
      <w:r w:rsidRPr="00D03F3E">
        <w:rPr>
          <w:rFonts w:ascii="Times New Roman" w:hAnsi="Times New Roman" w:cs="Times New Roman"/>
          <w:color w:val="000000" w:themeColor="text1"/>
          <w:sz w:val="16"/>
          <w:szCs w:val="16"/>
        </w:rPr>
        <w:softHyphen/>
        <w:t>нерные накладки в местах перехода с вы</w:t>
      </w:r>
      <w:r w:rsidRPr="00D03F3E">
        <w:rPr>
          <w:rFonts w:ascii="Times New Roman" w:hAnsi="Times New Roman" w:cs="Times New Roman"/>
          <w:color w:val="000000" w:themeColor="text1"/>
          <w:sz w:val="16"/>
          <w:szCs w:val="16"/>
        </w:rPr>
        <w:softHyphen/>
        <w:t>ступающей металлической накладки на обшивку».</w:t>
      </w:r>
    </w:p>
    <w:p w14:paraId="7E86924F" w14:textId="77777777" w:rsidR="00E15604" w:rsidRPr="00D03F3E" w:rsidRDefault="00E1560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Предлагалось срочно внести измене</w:t>
      </w:r>
      <w:r w:rsidRPr="00D03F3E">
        <w:rPr>
          <w:rFonts w:ascii="Times New Roman" w:hAnsi="Times New Roman"/>
          <w:color w:val="000000" w:themeColor="text1"/>
          <w:sz w:val="16"/>
          <w:szCs w:val="16"/>
        </w:rPr>
        <w:softHyphen/>
        <w:t>ния в конструкцию усового соединения, сдвинуть вперед на 3-4% центровку са</w:t>
      </w:r>
      <w:r w:rsidRPr="00D03F3E">
        <w:rPr>
          <w:rFonts w:ascii="Times New Roman" w:hAnsi="Times New Roman"/>
          <w:color w:val="000000" w:themeColor="text1"/>
          <w:sz w:val="16"/>
          <w:szCs w:val="16"/>
        </w:rPr>
        <w:softHyphen/>
        <w:t>молета («для предотвращения перегрузок, больших допускаемых нормами прочно</w:t>
      </w:r>
      <w:r w:rsidRPr="00D03F3E">
        <w:rPr>
          <w:rFonts w:ascii="Times New Roman" w:hAnsi="Times New Roman"/>
          <w:color w:val="000000" w:themeColor="text1"/>
          <w:sz w:val="16"/>
          <w:szCs w:val="16"/>
        </w:rPr>
        <w:softHyphen/>
        <w:t>сти»), а также внести изменения в Курс боевой подготовки штурмовой авиации - увеличить высоту ввода в пикирование минимум до 500 м и до 400 км/ч ограни</w:t>
      </w:r>
      <w:r w:rsidRPr="00D03F3E">
        <w:rPr>
          <w:rFonts w:ascii="Times New Roman" w:hAnsi="Times New Roman"/>
          <w:color w:val="000000" w:themeColor="text1"/>
          <w:sz w:val="16"/>
          <w:szCs w:val="16"/>
        </w:rPr>
        <w:softHyphen/>
        <w:t>чить скорость на пикировании. Включить в инструкцию по технике пилотирова</w:t>
      </w:r>
      <w:r w:rsidRPr="00D03F3E">
        <w:rPr>
          <w:rFonts w:ascii="Times New Roman" w:hAnsi="Times New Roman"/>
          <w:color w:val="000000" w:themeColor="text1"/>
          <w:sz w:val="16"/>
          <w:szCs w:val="16"/>
        </w:rPr>
        <w:softHyphen/>
        <w:t>ния Ил-2 «четкие указания о необходимо</w:t>
      </w:r>
      <w:r w:rsidRPr="00D03F3E">
        <w:rPr>
          <w:rFonts w:ascii="Times New Roman" w:hAnsi="Times New Roman"/>
          <w:color w:val="000000" w:themeColor="text1"/>
          <w:sz w:val="16"/>
          <w:szCs w:val="16"/>
        </w:rPr>
        <w:softHyphen/>
        <w:t>сти плавного вывода самолета из пикиро</w:t>
      </w:r>
      <w:r w:rsidRPr="00D03F3E">
        <w:rPr>
          <w:rFonts w:ascii="Times New Roman" w:hAnsi="Times New Roman"/>
          <w:color w:val="000000" w:themeColor="text1"/>
          <w:sz w:val="16"/>
          <w:szCs w:val="16"/>
        </w:rPr>
        <w:softHyphen/>
        <w:t>вания, обеспечивающего перегрузку при выводе не более 4 единиц» (19558).</w:t>
      </w:r>
    </w:p>
    <w:p w14:paraId="0BA7DE6F" w14:textId="77777777" w:rsidR="00E15604" w:rsidRPr="00D03F3E" w:rsidRDefault="00E15604" w:rsidP="00D03F3E">
      <w:pPr>
        <w:spacing w:after="0" w:line="240" w:lineRule="auto"/>
        <w:jc w:val="both"/>
        <w:rPr>
          <w:rFonts w:ascii="Times New Roman" w:hAnsi="Times New Roman"/>
          <w:color w:val="000000" w:themeColor="text1"/>
          <w:sz w:val="16"/>
          <w:szCs w:val="16"/>
        </w:rPr>
      </w:pPr>
    </w:p>
    <w:p w14:paraId="420CF40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в НИИ ВВС КА испытывался двухместный Ил-2 с АМ-38ф с двумя подвесными картонными бензобаками ПЛБГ-150 емкостью по 150 л каждый. А уже в июне были про</w:t>
      </w:r>
      <w:r w:rsidRPr="00D03F3E">
        <w:rPr>
          <w:rFonts w:ascii="Times New Roman" w:hAnsi="Times New Roman"/>
          <w:color w:val="000000" w:themeColor="text1"/>
          <w:sz w:val="16"/>
          <w:szCs w:val="16"/>
        </w:rPr>
        <w:softHyphen/>
        <w:t>ведены испытания 46 самолетов Ил-2, оборудованных под ПЛБГ-150. Оказалось, что в условиях массового производства заводчанам не удалось обеспечить надлежащее качество систе</w:t>
      </w:r>
      <w:r w:rsidRPr="00D03F3E">
        <w:rPr>
          <w:rFonts w:ascii="Times New Roman" w:hAnsi="Times New Roman"/>
          <w:color w:val="000000" w:themeColor="text1"/>
          <w:sz w:val="16"/>
          <w:szCs w:val="16"/>
        </w:rPr>
        <w:softHyphen/>
        <w:t>мы бензопитания ПЛБГ — топливо в полете вырабатывалось не полностью.</w:t>
      </w:r>
    </w:p>
    <w:p w14:paraId="05F9C69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Получив материалы испытаний, Главный инженер ВВС КА генерал-полковник Репин 26 июня направил наркому авиа</w:t>
      </w:r>
      <w:r w:rsidRPr="00D03F3E">
        <w:rPr>
          <w:rFonts w:ascii="Times New Roman" w:hAnsi="Times New Roman"/>
          <w:color w:val="000000" w:themeColor="text1"/>
          <w:sz w:val="16"/>
          <w:szCs w:val="16"/>
        </w:rPr>
        <w:softHyphen/>
        <w:t>промышленности Шахурину гневное письмо, в котором пи</w:t>
      </w:r>
      <w:r w:rsidRPr="00D03F3E">
        <w:rPr>
          <w:rFonts w:ascii="Times New Roman" w:hAnsi="Times New Roman"/>
          <w:color w:val="000000" w:themeColor="text1"/>
          <w:sz w:val="16"/>
          <w:szCs w:val="16"/>
        </w:rPr>
        <w:softHyphen/>
        <w:t>сал: «...постановление выполняется формально, так как заводы № 1 и № 18 выпускают самолеты с системой подвесных бензо</w:t>
      </w:r>
      <w:r w:rsidRPr="00D03F3E">
        <w:rPr>
          <w:rFonts w:ascii="Times New Roman" w:hAnsi="Times New Roman"/>
          <w:color w:val="000000" w:themeColor="text1"/>
          <w:sz w:val="16"/>
          <w:szCs w:val="16"/>
        </w:rPr>
        <w:softHyphen/>
        <w:t>баков, эксплуатация которой запрещена из-за ее недоведенно-гсти. &lt;...&gt; Испытанный в НИИ ВВС КА эталон завода № 18, (самолет Ил-2 № 1871955, с системой питания горючим от подвесных бензобаков контрольных испытаний не выдержал. “Прошу Ваших указаний Главному конструктору самолета Ил-2 и директору завода № 18 о срочной доработке системы подвесных бензобаков и о проведении доводочно-эксплуатационных Испытаний этой системы на 20—30 самолетах”. «Разбор полетов» показал, что причинами неполной выра-гки горючего в ПЛБГ-150 являлись как недостатки самой системы, так и неправильная эксплуатация системы летным и техническим составом НИИ ВВС и частей. По этому поводу Ильюшин в письме на имя Шахурина от 28 июня отмечал:</w:t>
      </w:r>
    </w:p>
    <w:p w14:paraId="5A44953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в НИИ ВВС самолета Ил-2 завода № 18 с подвес</w:t>
      </w:r>
      <w:r w:rsidRPr="00D03F3E">
        <w:rPr>
          <w:rFonts w:ascii="Times New Roman" w:hAnsi="Times New Roman"/>
          <w:color w:val="000000" w:themeColor="text1"/>
          <w:sz w:val="16"/>
          <w:szCs w:val="16"/>
        </w:rPr>
        <w:softHyphen/>
        <w:t>ными бензобаками показали, что во всех случаях, когда испы</w:t>
      </w:r>
      <w:r w:rsidRPr="00D03F3E">
        <w:rPr>
          <w:rFonts w:ascii="Times New Roman" w:hAnsi="Times New Roman"/>
          <w:color w:val="000000" w:themeColor="text1"/>
          <w:sz w:val="16"/>
          <w:szCs w:val="16"/>
        </w:rPr>
        <w:softHyphen/>
        <w:t>тания велись в строгом соответствии с нашей инструкцией... суммарная невыработка бензина в двух баках не превышала установленной нормы допуска — 20 литров. Эти факты зафик</w:t>
      </w:r>
      <w:r w:rsidRPr="00D03F3E">
        <w:rPr>
          <w:rFonts w:ascii="Times New Roman" w:hAnsi="Times New Roman"/>
          <w:color w:val="000000" w:themeColor="text1"/>
          <w:sz w:val="16"/>
          <w:szCs w:val="16"/>
        </w:rPr>
        <w:softHyphen/>
        <w:t>сированы НИИ ВВС при испытании им самолета Ил-2 в при</w:t>
      </w:r>
      <w:r w:rsidRPr="00D03F3E">
        <w:rPr>
          <w:rFonts w:ascii="Times New Roman" w:hAnsi="Times New Roman"/>
          <w:color w:val="000000" w:themeColor="text1"/>
          <w:sz w:val="16"/>
          <w:szCs w:val="16"/>
        </w:rPr>
        <w:softHyphen/>
        <w:t>лагаемой при сем таблице полетов.</w:t>
      </w:r>
    </w:p>
    <w:p w14:paraId="141CB98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...Нам известно, как трудно в частях ВВС осваивалась систе</w:t>
      </w:r>
      <w:r w:rsidRPr="00D03F3E">
        <w:rPr>
          <w:rFonts w:ascii="Times New Roman" w:hAnsi="Times New Roman"/>
          <w:color w:val="000000" w:themeColor="text1"/>
          <w:sz w:val="16"/>
          <w:szCs w:val="16"/>
        </w:rPr>
        <w:softHyphen/>
        <w:t>ма подвесных бензобаков на Ил-4, хотя там система выработки более благоприятна, но, тем не менее, пока технический состав не освоил ее, бензин из баков вырабатывался очень плохо.</w:t>
      </w:r>
    </w:p>
    <w:p w14:paraId="2D05DDB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Необходимо ВВС КА приступить к эксплуатации подвесных бензобаков на самолете Ил-2 согласно прилагаемой при сем инструкции, но предварительно проинструктировав строевые части об особенностях подвесной системы, которая требует тщательного ухода в эксплуатации. Нужно учитывать уже имев</w:t>
      </w:r>
      <w:r w:rsidRPr="00D03F3E">
        <w:rPr>
          <w:rFonts w:ascii="Times New Roman" w:hAnsi="Times New Roman"/>
          <w:color w:val="000000" w:themeColor="text1"/>
          <w:sz w:val="16"/>
          <w:szCs w:val="16"/>
        </w:rPr>
        <w:softHyphen/>
        <w:t>шийся опыт с подвесными бензобаками на самолете Ил-4.</w:t>
      </w:r>
    </w:p>
    <w:p w14:paraId="55166F8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Подвесная система работает на подсосе и поэтому ее нужно держать всегда герметичной и дренаж в порядке...»</w:t>
      </w:r>
    </w:p>
    <w:p w14:paraId="58C11F3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доводы Ильюшина, руководство ВВС и НКАП потребовало срочной доработки предложенной ОКБ системы подвесных бензобаков для Ил-2 в отношении повы</w:t>
      </w:r>
      <w:r w:rsidRPr="00D03F3E">
        <w:rPr>
          <w:rFonts w:ascii="Times New Roman" w:hAnsi="Times New Roman"/>
          <w:color w:val="000000" w:themeColor="text1"/>
          <w:sz w:val="16"/>
          <w:szCs w:val="16"/>
        </w:rPr>
        <w:softHyphen/>
        <w:t>шения надежности ее работы и упрощения обслуживания в боевых условиях.</w:t>
      </w:r>
    </w:p>
    <w:p w14:paraId="03D6D83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всего лета система питания мотора Ил-2 от подвес</w:t>
      </w:r>
      <w:r w:rsidRPr="00D03F3E">
        <w:rPr>
          <w:rFonts w:ascii="Times New Roman" w:hAnsi="Times New Roman"/>
          <w:color w:val="000000" w:themeColor="text1"/>
          <w:sz w:val="16"/>
          <w:szCs w:val="16"/>
        </w:rPr>
        <w:softHyphen/>
        <w:t>ных бензобаков дважды дорабатывалась, но все неудачно. Только третьи по счету (с 29 сентября по 10 октября) испытания подвес</w:t>
      </w:r>
      <w:r w:rsidRPr="00D03F3E">
        <w:rPr>
          <w:rFonts w:ascii="Times New Roman" w:hAnsi="Times New Roman"/>
          <w:color w:val="000000" w:themeColor="text1"/>
          <w:sz w:val="16"/>
          <w:szCs w:val="16"/>
        </w:rPr>
        <w:softHyphen/>
        <w:t>ных бензобаков оказались успешными: испытывались два само</w:t>
      </w:r>
      <w:r w:rsidRPr="00D03F3E">
        <w:rPr>
          <w:rFonts w:ascii="Times New Roman" w:hAnsi="Times New Roman"/>
          <w:color w:val="000000" w:themeColor="text1"/>
          <w:sz w:val="16"/>
          <w:szCs w:val="16"/>
        </w:rPr>
        <w:softHyphen/>
        <w:t>лета Ил-2 с АМ-38ф — один с двумя ПЛБГ-150, второй — с дву</w:t>
      </w:r>
      <w:r w:rsidRPr="00D03F3E">
        <w:rPr>
          <w:rFonts w:ascii="Times New Roman" w:hAnsi="Times New Roman"/>
          <w:color w:val="000000" w:themeColor="text1"/>
          <w:sz w:val="16"/>
          <w:szCs w:val="16"/>
        </w:rPr>
        <w:softHyphen/>
        <w:t>мя металлическими подвесными баками емкостью по 175 л.</w:t>
      </w:r>
    </w:p>
    <w:p w14:paraId="6431BD6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серийное производство был внедрен вариант с ПЛБГ-150. Подвесные бензобаки в новой редакции стали устанавливаться на заводе № 18 начиная с Ил-2 зав. № 1872657. Самолеты с зав. № 1876353 по № 1872557 были выпущены заводом с системой подвески дополнительных баков, смонтированной по старым чертежам. Для нормальной их эксплуатации техническому соста</w:t>
      </w:r>
      <w:r w:rsidRPr="00D03F3E">
        <w:rPr>
          <w:rFonts w:ascii="Times New Roman" w:hAnsi="Times New Roman"/>
          <w:color w:val="000000" w:themeColor="text1"/>
          <w:sz w:val="16"/>
          <w:szCs w:val="16"/>
        </w:rPr>
        <w:softHyphen/>
        <w:t>ву строевых частей предлагалось доработать систему бензопита-ния этих баков в соответствии со специальным регламентом.</w:t>
      </w:r>
    </w:p>
    <w:p w14:paraId="633AEE5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Дополнительные бензобаки подвешивались на вторых нер</w:t>
      </w:r>
      <w:r w:rsidRPr="00D03F3E">
        <w:rPr>
          <w:rFonts w:ascii="Times New Roman" w:hAnsi="Times New Roman"/>
          <w:color w:val="000000" w:themeColor="text1"/>
          <w:sz w:val="16"/>
          <w:szCs w:val="16"/>
        </w:rPr>
        <w:softHyphen/>
        <w:t>вюрах центроплана на замках МДЗ-42. Положение оси баков относительно хорды крыла регулировалось с помощью уни</w:t>
      </w:r>
      <w:r w:rsidRPr="00D03F3E">
        <w:rPr>
          <w:rFonts w:ascii="Times New Roman" w:hAnsi="Times New Roman"/>
          <w:color w:val="000000" w:themeColor="text1"/>
          <w:sz w:val="16"/>
          <w:szCs w:val="16"/>
        </w:rPr>
        <w:softHyphen/>
        <w:t>версальных ухватов внешней подвески.</w:t>
      </w:r>
    </w:p>
    <w:p w14:paraId="66D6004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Трубопровод системы бензопитания подвесных бензобаков от тройника расходился на левую и правую сторону центро</w:t>
      </w:r>
      <w:r w:rsidRPr="00D03F3E">
        <w:rPr>
          <w:rFonts w:ascii="Times New Roman" w:hAnsi="Times New Roman"/>
          <w:color w:val="000000" w:themeColor="text1"/>
          <w:sz w:val="16"/>
          <w:szCs w:val="16"/>
        </w:rPr>
        <w:softHyphen/>
        <w:t>плана. Трубопроводы проходили через отверстия в бронекорпусе и далее шли внутри носка центроплана за вторую нервюру к бензобакам. Трубопровод выводился наружу к бензобакам через отверстие в нижней обшивке крыла (11474,369).</w:t>
      </w:r>
    </w:p>
    <w:p w14:paraId="3AD595F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2EE7B77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С.В. Ильюшин предложил на строящиеся опытные самолеты Ил-2 с мотором АМ-42 в вариантах штурмовика и «следопыта» установить по две пушки 11П, повысив тем самым их огневую мощь до уровня Су-6 М-71ф. Пушки предполагалось разместить под крылом, как это было выполнено ранее на Ил-2 АМ-38ф. Считалось, что снижение скорости полета при такой установке пушек, которое может со</w:t>
      </w:r>
      <w:r w:rsidRPr="00D03F3E">
        <w:rPr>
          <w:rFonts w:ascii="Times New Roman" w:hAnsi="Times New Roman"/>
          <w:color w:val="000000" w:themeColor="text1"/>
          <w:sz w:val="16"/>
          <w:szCs w:val="16"/>
        </w:rPr>
        <w:softHyphen/>
        <w:t>ставить 4 км/ч, с лихвой окупится значительными эксплуатаци</w:t>
      </w:r>
      <w:r w:rsidRPr="00D03F3E">
        <w:rPr>
          <w:rFonts w:ascii="Times New Roman" w:hAnsi="Times New Roman"/>
          <w:color w:val="000000" w:themeColor="text1"/>
          <w:sz w:val="16"/>
          <w:szCs w:val="16"/>
        </w:rPr>
        <w:softHyphen/>
        <w:t>онными преимуществами. Однако до декабря 1943 г. никаких реальных шагов в этом направлении сделано так и не было (11474,442).</w:t>
      </w:r>
    </w:p>
    <w:p w14:paraId="0A77398A" w14:textId="77777777" w:rsidR="00531570" w:rsidRPr="00D03F3E" w:rsidRDefault="00531570" w:rsidP="00D03F3E">
      <w:pPr>
        <w:pStyle w:val="Iauiue"/>
        <w:jc w:val="both"/>
        <w:rPr>
          <w:color w:val="000000" w:themeColor="text1"/>
          <w:sz w:val="16"/>
          <w:szCs w:val="16"/>
        </w:rPr>
      </w:pPr>
    </w:p>
    <w:p w14:paraId="05FB7C27" w14:textId="77777777" w:rsidR="0087243F" w:rsidRPr="00D03F3E" w:rsidRDefault="0087243F"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С мая 1943 г. в ОКБ-240 Илью</w:t>
      </w:r>
      <w:r w:rsidRPr="00D03F3E">
        <w:rPr>
          <w:rFonts w:ascii="Times New Roman" w:hAnsi="Times New Roman" w:cs="Times New Roman"/>
          <w:color w:val="0070C0"/>
          <w:sz w:val="16"/>
          <w:szCs w:val="16"/>
        </w:rPr>
        <w:softHyphen/>
        <w:t>шина уже проходили лет</w:t>
      </w:r>
      <w:r w:rsidRPr="00D03F3E">
        <w:rPr>
          <w:rFonts w:ascii="Times New Roman" w:hAnsi="Times New Roman" w:cs="Times New Roman"/>
          <w:color w:val="0070C0"/>
          <w:sz w:val="16"/>
          <w:szCs w:val="16"/>
        </w:rPr>
        <w:softHyphen/>
        <w:t>ные испытания два экземпляра модер</w:t>
      </w:r>
      <w:r w:rsidRPr="00D03F3E">
        <w:rPr>
          <w:rFonts w:ascii="Times New Roman" w:hAnsi="Times New Roman" w:cs="Times New Roman"/>
          <w:color w:val="0070C0"/>
          <w:sz w:val="16"/>
          <w:szCs w:val="16"/>
        </w:rPr>
        <w:softHyphen/>
        <w:t>низированного самолета Ил-2 с мото</w:t>
      </w:r>
      <w:r w:rsidRPr="00D03F3E">
        <w:rPr>
          <w:rFonts w:ascii="Times New Roman" w:hAnsi="Times New Roman" w:cs="Times New Roman"/>
          <w:color w:val="0070C0"/>
          <w:sz w:val="16"/>
          <w:szCs w:val="16"/>
        </w:rPr>
        <w:softHyphen/>
        <w:t>ром АМ-42 (1750/2000 л.с.) в вариантах штурмовика-бомбардировщика - Ил-2М АМ-42, и разведчика-корректировщика - Ил-2 АМ-42 (РК). Одновременно на за</w:t>
      </w:r>
      <w:r w:rsidRPr="00D03F3E">
        <w:rPr>
          <w:rFonts w:ascii="Times New Roman" w:hAnsi="Times New Roman" w:cs="Times New Roman"/>
          <w:color w:val="0070C0"/>
          <w:sz w:val="16"/>
          <w:szCs w:val="16"/>
        </w:rPr>
        <w:softHyphen/>
        <w:t>воде №18 в стадии завершения работ по сборке находился штурмовик С-42 (эта</w:t>
      </w:r>
      <w:r w:rsidRPr="00D03F3E">
        <w:rPr>
          <w:rFonts w:ascii="Times New Roman" w:hAnsi="Times New Roman" w:cs="Times New Roman"/>
          <w:color w:val="0070C0"/>
          <w:sz w:val="16"/>
          <w:szCs w:val="16"/>
        </w:rPr>
        <w:softHyphen/>
        <w:t>лон для серии) с этим же мотором. Все эти самолеты базировались на техноло</w:t>
      </w:r>
      <w:r w:rsidRPr="00D03F3E">
        <w:rPr>
          <w:rFonts w:ascii="Times New Roman" w:hAnsi="Times New Roman" w:cs="Times New Roman"/>
          <w:color w:val="0070C0"/>
          <w:sz w:val="16"/>
          <w:szCs w:val="16"/>
        </w:rPr>
        <w:softHyphen/>
        <w:t>гии производства самолета Ил-2, давно отлаженную на серийных заводах. И глав</w:t>
      </w:r>
      <w:r w:rsidRPr="00D03F3E">
        <w:rPr>
          <w:rFonts w:ascii="Times New Roman" w:hAnsi="Times New Roman" w:cs="Times New Roman"/>
          <w:color w:val="0070C0"/>
          <w:sz w:val="16"/>
          <w:szCs w:val="16"/>
        </w:rPr>
        <w:softHyphen/>
        <w:t>ное, мотор АМ-42, также базировался на уже освоенной технологии производства серийного мотора АМ-38ф, поскольку яв</w:t>
      </w:r>
      <w:r w:rsidRPr="00D03F3E">
        <w:rPr>
          <w:rFonts w:ascii="Times New Roman" w:hAnsi="Times New Roman" w:cs="Times New Roman"/>
          <w:color w:val="0070C0"/>
          <w:sz w:val="16"/>
          <w:szCs w:val="16"/>
        </w:rPr>
        <w:softHyphen/>
        <w:t>лялся его глубокой модификацией.</w:t>
      </w:r>
    </w:p>
    <w:p w14:paraId="1BD6A1D6" w14:textId="77777777" w:rsidR="0087243F" w:rsidRPr="00D03F3E" w:rsidRDefault="0087243F"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К тому же Ильюшин вышел с иници</w:t>
      </w:r>
      <w:r w:rsidRPr="00D03F3E">
        <w:rPr>
          <w:rFonts w:ascii="Times New Roman" w:hAnsi="Times New Roman" w:cs="Times New Roman"/>
          <w:color w:val="0070C0"/>
          <w:sz w:val="16"/>
          <w:szCs w:val="16"/>
        </w:rPr>
        <w:softHyphen/>
        <w:t>ативой переделать один из двух строя</w:t>
      </w:r>
      <w:r w:rsidRPr="00D03F3E">
        <w:rPr>
          <w:rFonts w:ascii="Times New Roman" w:hAnsi="Times New Roman" w:cs="Times New Roman"/>
          <w:color w:val="0070C0"/>
          <w:sz w:val="16"/>
          <w:szCs w:val="16"/>
        </w:rPr>
        <w:softHyphen/>
        <w:t>щихся на заводах №№ 1 и 18 одномест</w:t>
      </w:r>
      <w:r w:rsidRPr="00D03F3E">
        <w:rPr>
          <w:rFonts w:ascii="Times New Roman" w:hAnsi="Times New Roman" w:cs="Times New Roman"/>
          <w:color w:val="0070C0"/>
          <w:sz w:val="16"/>
          <w:szCs w:val="16"/>
        </w:rPr>
        <w:softHyphen/>
        <w:t>ных бронированных истребителей Ил-1 АМ-42 в двухместный штурмовик с высо</w:t>
      </w:r>
      <w:r w:rsidRPr="00D03F3E">
        <w:rPr>
          <w:rFonts w:ascii="Times New Roman" w:hAnsi="Times New Roman" w:cs="Times New Roman"/>
          <w:color w:val="0070C0"/>
          <w:sz w:val="16"/>
          <w:szCs w:val="16"/>
        </w:rPr>
        <w:softHyphen/>
        <w:t>кими летными данными и мощным воору</w:t>
      </w:r>
      <w:r w:rsidRPr="00D03F3E">
        <w:rPr>
          <w:rFonts w:ascii="Times New Roman" w:hAnsi="Times New Roman" w:cs="Times New Roman"/>
          <w:color w:val="0070C0"/>
          <w:sz w:val="16"/>
          <w:szCs w:val="16"/>
        </w:rPr>
        <w:softHyphen/>
        <w:t>жением. Максимальная скорость штурмо</w:t>
      </w:r>
      <w:r w:rsidRPr="00D03F3E">
        <w:rPr>
          <w:rFonts w:ascii="Times New Roman" w:hAnsi="Times New Roman" w:cs="Times New Roman"/>
          <w:color w:val="0070C0"/>
          <w:sz w:val="16"/>
          <w:szCs w:val="16"/>
        </w:rPr>
        <w:softHyphen/>
        <w:t>вой «единички» оценивалась в 490 км/ч - у земли, и 526 км/ч - на расчетной высоте 2300 м. Стрелково-пушечное вооруже</w:t>
      </w:r>
      <w:r w:rsidRPr="00D03F3E">
        <w:rPr>
          <w:rFonts w:ascii="Times New Roman" w:hAnsi="Times New Roman" w:cs="Times New Roman"/>
          <w:color w:val="0070C0"/>
          <w:sz w:val="16"/>
          <w:szCs w:val="16"/>
        </w:rPr>
        <w:softHyphen/>
        <w:t xml:space="preserve">ние предполагалось иметь в составе двух 37-мм пушек 11П и двух пушек ШВАК в крыле, и </w:t>
      </w:r>
      <w:r w:rsidRPr="00D03F3E">
        <w:rPr>
          <w:rFonts w:ascii="Times New Roman" w:hAnsi="Times New Roman" w:cs="Times New Roman"/>
          <w:color w:val="0070C0"/>
          <w:sz w:val="16"/>
          <w:szCs w:val="16"/>
        </w:rPr>
        <w:lastRenderedPageBreak/>
        <w:t>пулемета УБТ на оборонитель</w:t>
      </w:r>
      <w:r w:rsidRPr="00D03F3E">
        <w:rPr>
          <w:rFonts w:ascii="Times New Roman" w:hAnsi="Times New Roman" w:cs="Times New Roman"/>
          <w:color w:val="0070C0"/>
          <w:sz w:val="16"/>
          <w:szCs w:val="16"/>
        </w:rPr>
        <w:softHyphen/>
        <w:t>ной установке для отражения атак истре</w:t>
      </w:r>
      <w:r w:rsidRPr="00D03F3E">
        <w:rPr>
          <w:rFonts w:ascii="Times New Roman" w:hAnsi="Times New Roman" w:cs="Times New Roman"/>
          <w:color w:val="0070C0"/>
          <w:sz w:val="16"/>
          <w:szCs w:val="16"/>
        </w:rPr>
        <w:softHyphen/>
        <w:t>бителей противника. Нормальная бомбо</w:t>
      </w:r>
      <w:r w:rsidRPr="00D03F3E">
        <w:rPr>
          <w:rFonts w:ascii="Times New Roman" w:hAnsi="Times New Roman" w:cs="Times New Roman"/>
          <w:color w:val="0070C0"/>
          <w:sz w:val="16"/>
          <w:szCs w:val="16"/>
        </w:rPr>
        <w:softHyphen/>
        <w:t>вая нагрузка включала 200 кг (перегрузку 400 кг). Ракетное вооружение состояло из четырех орудий РО-82. По второму ва</w:t>
      </w:r>
      <w:r w:rsidRPr="00D03F3E">
        <w:rPr>
          <w:rFonts w:ascii="Times New Roman" w:hAnsi="Times New Roman" w:cs="Times New Roman"/>
          <w:color w:val="0070C0"/>
          <w:sz w:val="16"/>
          <w:szCs w:val="16"/>
        </w:rPr>
        <w:softHyphen/>
        <w:t>рианту вооружения вместо пушек 11П и ШВАК устанавливались две пушки ВЯ и два пулемета ШКАС. В этом случае нор</w:t>
      </w:r>
      <w:r w:rsidRPr="00D03F3E">
        <w:rPr>
          <w:rFonts w:ascii="Times New Roman" w:hAnsi="Times New Roman" w:cs="Times New Roman"/>
          <w:color w:val="0070C0"/>
          <w:sz w:val="16"/>
          <w:szCs w:val="16"/>
        </w:rPr>
        <w:softHyphen/>
        <w:t>мальная бомбовая нагрузка возрастала до 400 кг (в перегрузку 600 кг). Кон</w:t>
      </w:r>
      <w:r w:rsidRPr="00D03F3E">
        <w:rPr>
          <w:rFonts w:ascii="Times New Roman" w:hAnsi="Times New Roman" w:cs="Times New Roman"/>
          <w:color w:val="0070C0"/>
          <w:sz w:val="16"/>
          <w:szCs w:val="16"/>
        </w:rPr>
        <w:softHyphen/>
        <w:t>струкция Ил-1 ориентировалась на воз</w:t>
      </w:r>
      <w:r w:rsidRPr="00D03F3E">
        <w:rPr>
          <w:rFonts w:ascii="Times New Roman" w:hAnsi="Times New Roman" w:cs="Times New Roman"/>
          <w:color w:val="0070C0"/>
          <w:sz w:val="16"/>
          <w:szCs w:val="16"/>
        </w:rPr>
        <w:softHyphen/>
        <w:t>можности производства серийных заво</w:t>
      </w:r>
      <w:r w:rsidRPr="00D03F3E">
        <w:rPr>
          <w:rFonts w:ascii="Times New Roman" w:hAnsi="Times New Roman" w:cs="Times New Roman"/>
          <w:color w:val="0070C0"/>
          <w:sz w:val="16"/>
          <w:szCs w:val="16"/>
        </w:rPr>
        <w:softHyphen/>
        <w:t>дов, массово выпускающих штурмовик Ил-2. Во всяком случае, так в то время утверждалось.</w:t>
      </w:r>
    </w:p>
    <w:p w14:paraId="140B5507" w14:textId="77777777" w:rsidR="0087243F" w:rsidRPr="00D03F3E" w:rsidRDefault="0087243F"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Это была серьезная заявка. Получа</w:t>
      </w:r>
      <w:r w:rsidRPr="00D03F3E">
        <w:rPr>
          <w:rFonts w:ascii="Times New Roman" w:hAnsi="Times New Roman" w:cs="Times New Roman"/>
          <w:color w:val="0070C0"/>
          <w:sz w:val="16"/>
          <w:szCs w:val="16"/>
        </w:rPr>
        <w:softHyphen/>
        <w:t>лось, что путем переделки Ил-1 можно довольно быстро предъявить военным боевую машину, не уступающую Су-6 по летно-боевым качествам и имеющую луч</w:t>
      </w:r>
      <w:r w:rsidRPr="00D03F3E">
        <w:rPr>
          <w:rFonts w:ascii="Times New Roman" w:hAnsi="Times New Roman" w:cs="Times New Roman"/>
          <w:color w:val="0070C0"/>
          <w:sz w:val="16"/>
          <w:szCs w:val="16"/>
        </w:rPr>
        <w:softHyphen/>
        <w:t>шие перспективы по запуску в серийное производство.</w:t>
      </w:r>
    </w:p>
    <w:p w14:paraId="11C9AF8F" w14:textId="77777777" w:rsidR="0087243F" w:rsidRPr="00D03F3E" w:rsidRDefault="0087243F"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В дополнение к этому Ильюшин пред</w:t>
      </w:r>
      <w:r w:rsidRPr="00D03F3E">
        <w:rPr>
          <w:rFonts w:ascii="Times New Roman" w:hAnsi="Times New Roman" w:cs="Times New Roman"/>
          <w:color w:val="0070C0"/>
          <w:sz w:val="16"/>
          <w:szCs w:val="16"/>
        </w:rPr>
        <w:softHyphen/>
        <w:t>ложил проект тяжелого штурмовика Ил-8 с мотором М-71 (переработанный проект 1942 г. бомбардировщика-штурмовика БШ-М71), также с учетом существующей технологии серийных заводов (19846).</w:t>
      </w:r>
    </w:p>
    <w:p w14:paraId="0160B567" w14:textId="77777777" w:rsidR="0087243F" w:rsidRPr="00D03F3E" w:rsidRDefault="0087243F"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p>
    <w:p w14:paraId="1AE711AA" w14:textId="77777777" w:rsidR="000B0509" w:rsidRPr="00D03F3E" w:rsidRDefault="000B050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lang w:val="en-US"/>
        </w:rPr>
        <w:t>C</w:t>
      </w:r>
      <w:r w:rsidRPr="00D03F3E">
        <w:rPr>
          <w:rFonts w:ascii="Times New Roman" w:hAnsi="Times New Roman"/>
          <w:color w:val="000000" w:themeColor="text1"/>
          <w:sz w:val="16"/>
          <w:szCs w:val="16"/>
        </w:rPr>
        <w:t xml:space="preserve"> мая 1943 г. </w:t>
      </w:r>
      <w:r w:rsidRPr="00D03F3E">
        <w:rPr>
          <w:rFonts w:ascii="Times New Roman" w:hAnsi="Times New Roman"/>
          <w:color w:val="000000" w:themeColor="text1"/>
          <w:sz w:val="16"/>
          <w:szCs w:val="16"/>
          <w:lang w:val="en-US"/>
        </w:rPr>
        <w:t>c</w:t>
      </w:r>
      <w:r w:rsidRPr="00D03F3E">
        <w:rPr>
          <w:rFonts w:ascii="Times New Roman" w:hAnsi="Times New Roman"/>
          <w:color w:val="000000" w:themeColor="text1"/>
          <w:sz w:val="16"/>
          <w:szCs w:val="16"/>
        </w:rPr>
        <w:t xml:space="preserve"> целью повышения боевой живучести Ил-2 стали устанавливаться фибровые проектированные бензобаки, которые значительно лучше обеспечивали герметичность при попадании в бак немецких пуль калибра 7,92 мм и 13 мм. Кроме того, внедрение фибровых бензобаков в конструкцию Ил-2 позволило сэкономить на каждом самолете 55–56 кг металла (19825).</w:t>
      </w:r>
    </w:p>
    <w:p w14:paraId="2D9D78E1" w14:textId="77777777" w:rsidR="000B0509" w:rsidRPr="00D03F3E" w:rsidRDefault="000B0509" w:rsidP="00D03F3E">
      <w:pPr>
        <w:spacing w:after="0" w:line="240" w:lineRule="auto"/>
        <w:jc w:val="both"/>
        <w:rPr>
          <w:rFonts w:ascii="Times New Roman" w:hAnsi="Times New Roman"/>
          <w:color w:val="000000" w:themeColor="text1"/>
          <w:sz w:val="16"/>
          <w:szCs w:val="16"/>
        </w:rPr>
      </w:pPr>
    </w:p>
    <w:p w14:paraId="0D332C94" w14:textId="77777777" w:rsidR="000B0509" w:rsidRPr="00D03F3E" w:rsidRDefault="000B0509"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мае 1943 года для улучшения центровки самолета Ил-2 была изменена конструкция консолей крыла. На самолете появился улучшенный фонарь пилота, съемный концевой обтекатель крыла. А выступающие по всей обшивке болты и заклепки стали устанавливаться впотай. В результате внедрения 64 конструкционных изменений эксплуатационные качества самолета Ил-2 значительно улучшились (19828).</w:t>
      </w:r>
    </w:p>
    <w:p w14:paraId="7F41DF43" w14:textId="77777777" w:rsidR="000B0509" w:rsidRPr="00D03F3E" w:rsidRDefault="000B0509" w:rsidP="00D03F3E">
      <w:pPr>
        <w:pStyle w:val="ae"/>
        <w:shd w:val="clear" w:color="auto" w:fill="FFFFFF"/>
        <w:spacing w:before="0" w:after="0"/>
        <w:jc w:val="both"/>
        <w:rPr>
          <w:color w:val="000000" w:themeColor="text1"/>
          <w:sz w:val="16"/>
          <w:szCs w:val="16"/>
        </w:rPr>
      </w:pPr>
    </w:p>
    <w:p w14:paraId="1D1F01B5" w14:textId="77777777" w:rsidR="003770F2" w:rsidRPr="00D03F3E" w:rsidRDefault="003770F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мае 1943 г. в ходе повторных испытаний ВЯ-14,5 на Ил-2 пред</w:t>
      </w:r>
      <w:r w:rsidRPr="00D03F3E">
        <w:rPr>
          <w:color w:val="000000" w:themeColor="text1"/>
          <w:sz w:val="16"/>
          <w:szCs w:val="16"/>
        </w:rPr>
        <w:softHyphen/>
        <w:t>ставитель ОКБ-16 В. Я. Неменов с целью снижения действия импульсов пороховых газов на поршень изменил существующий газовый регулятор путем отвода газов из газового регулятора наружу. Темп стрельбы понизился, но автоматика пушки стала работать удовлетворительно.</w:t>
      </w:r>
    </w:p>
    <w:p w14:paraId="499133AD" w14:textId="77777777" w:rsidR="003770F2" w:rsidRPr="00D03F3E" w:rsidRDefault="003770F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 основным недостаткам пулемета также отно</w:t>
      </w:r>
      <w:r w:rsidRPr="00D03F3E">
        <w:rPr>
          <w:color w:val="000000" w:themeColor="text1"/>
          <w:sz w:val="16"/>
          <w:szCs w:val="16"/>
        </w:rPr>
        <w:softHyphen/>
        <w:t>сили «отсутствие разработки и проверенной при начальных скоростях, примерно 1200—1300 м/с, разрывной пули». По мнению военных специали</w:t>
      </w:r>
      <w:r w:rsidRPr="00D03F3E">
        <w:rPr>
          <w:color w:val="000000" w:themeColor="text1"/>
          <w:sz w:val="16"/>
          <w:szCs w:val="16"/>
        </w:rPr>
        <w:softHyphen/>
        <w:t>стов, это заметно ограничивало использование пу</w:t>
      </w:r>
      <w:r w:rsidRPr="00D03F3E">
        <w:rPr>
          <w:color w:val="000000" w:themeColor="text1"/>
          <w:sz w:val="16"/>
          <w:szCs w:val="16"/>
        </w:rPr>
        <w:softHyphen/>
        <w:t>лемета в боевой авиации.</w:t>
      </w:r>
    </w:p>
    <w:p w14:paraId="62785328" w14:textId="77777777" w:rsidR="003770F2" w:rsidRPr="00D03F3E" w:rsidRDefault="003770F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Был сделан вывод, что окончательная доводка пулемета «целесообразна только после принятия решения о массовом применении пуль с вольфра</w:t>
      </w:r>
      <w:r w:rsidRPr="00D03F3E">
        <w:rPr>
          <w:color w:val="000000" w:themeColor="text1"/>
          <w:sz w:val="16"/>
          <w:szCs w:val="16"/>
        </w:rPr>
        <w:softHyphen/>
        <w:t>мовым сердечником для автоматической стрельбы с самолета».</w:t>
      </w:r>
    </w:p>
    <w:p w14:paraId="3D1B012B" w14:textId="77777777" w:rsidR="003770F2" w:rsidRPr="00D03F3E" w:rsidRDefault="003770F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Аналогичное заключение было сделано и по пулемету Салищева—Галкина СГ-14,5 мм, который по надежности работы автоматики, низкой живу</w:t>
      </w:r>
      <w:r w:rsidRPr="00D03F3E">
        <w:rPr>
          <w:color w:val="000000" w:themeColor="text1"/>
          <w:sz w:val="16"/>
          <w:szCs w:val="16"/>
        </w:rPr>
        <w:softHyphen/>
        <w:t>чести ствола и, главное, по бронепробиваемости не устраивал военных. Кроме того, несмотря на небольшой вес пулемета, заметная сила отдачи не позволяла создать на его основе подвижную установку для вооружения бомбардировщиков и штурмовиков. Систему отличало большое время синхронной стрельбы, что не позволяло применить пулемет на одномоторных истребителях при разме</w:t>
      </w:r>
      <w:r w:rsidRPr="00D03F3E">
        <w:rPr>
          <w:color w:val="000000" w:themeColor="text1"/>
          <w:sz w:val="16"/>
          <w:szCs w:val="16"/>
        </w:rPr>
        <w:softHyphen/>
        <w:t>щении в фюзеляже или в центроплане.</w:t>
      </w:r>
    </w:p>
    <w:p w14:paraId="5008AE14" w14:textId="77777777" w:rsidR="003770F2" w:rsidRPr="00D03F3E" w:rsidRDefault="003770F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отчете указывалось, что пулемет испытания не выдержал и «дальнейшую работу над пулеметом СГ калибра 14,5 мм проводить нецелесообразно вследствие ограниченных возможностей его при</w:t>
      </w:r>
      <w:r w:rsidRPr="00D03F3E">
        <w:rPr>
          <w:color w:val="000000" w:themeColor="text1"/>
          <w:sz w:val="16"/>
          <w:szCs w:val="16"/>
        </w:rPr>
        <w:softHyphen/>
        <w:t>менения в ВВС КА» (17500).</w:t>
      </w:r>
    </w:p>
    <w:p w14:paraId="780B1ED6" w14:textId="77777777" w:rsidR="003770F2" w:rsidRPr="00D03F3E" w:rsidRDefault="003770F2" w:rsidP="00D03F3E">
      <w:pPr>
        <w:spacing w:after="0" w:line="240" w:lineRule="auto"/>
        <w:jc w:val="both"/>
        <w:rPr>
          <w:rFonts w:ascii="Times New Roman" w:hAnsi="Times New Roman"/>
          <w:color w:val="000000" w:themeColor="text1"/>
          <w:sz w:val="16"/>
          <w:szCs w:val="16"/>
        </w:rPr>
      </w:pPr>
    </w:p>
    <w:p w14:paraId="5DAAF552" w14:textId="77777777" w:rsidR="003770F2" w:rsidRPr="00D03F3E" w:rsidRDefault="003770F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уход в ЦАКБ начальника и главного конструктора ОКБ-16 инженер-полковника К. К. Глухарева — крупного специалиста в вопросах силы отдачи — отрица</w:t>
      </w:r>
      <w:r w:rsidRPr="00D03F3E">
        <w:rPr>
          <w:rFonts w:ascii="Times New Roman" w:hAnsi="Times New Roman"/>
          <w:color w:val="000000" w:themeColor="text1"/>
          <w:sz w:val="16"/>
          <w:szCs w:val="16"/>
        </w:rPr>
        <w:softHyphen/>
        <w:t>тельно сказался на ходе и результатах доводки пушки 11П в серийном производстве. Но люби</w:t>
      </w:r>
      <w:r w:rsidRPr="00D03F3E">
        <w:rPr>
          <w:rFonts w:ascii="Times New Roman" w:hAnsi="Times New Roman"/>
          <w:color w:val="000000" w:themeColor="text1"/>
          <w:sz w:val="16"/>
          <w:szCs w:val="16"/>
        </w:rPr>
        <w:softHyphen/>
        <w:t>мец Сталина начальник ЦАКБ генерал-лейтенант В. Г. Грабин, пользуясь особыми полномочиями, «выгребал мелкой сетью и широким хватом» все лучшие умы советской оружейной отрасли. В то же время новый руководитель ОКБ-16 А. Э. Нудельман не смог должным образом организовать «борьбу» с повышенной силой отдачи пушки 11П. Пришлось передать эти работы ЛИИ НКАП и ЦАГИ (17500).</w:t>
      </w:r>
    </w:p>
    <w:p w14:paraId="0292351E" w14:textId="77777777" w:rsidR="003770F2" w:rsidRPr="00D03F3E" w:rsidRDefault="003770F2" w:rsidP="00D03F3E">
      <w:pPr>
        <w:spacing w:after="0" w:line="240" w:lineRule="auto"/>
        <w:jc w:val="both"/>
        <w:rPr>
          <w:rFonts w:ascii="Times New Roman" w:hAnsi="Times New Roman"/>
          <w:color w:val="000000" w:themeColor="text1"/>
          <w:sz w:val="16"/>
          <w:szCs w:val="16"/>
        </w:rPr>
      </w:pPr>
    </w:p>
    <w:p w14:paraId="3E0C69B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была произведена следующая модернизация Ил-2. На заводах №№ 1 и 18 началось производство самолетов с отведенными концами консолей крыла назад на 6є и взлетным положением щитков (ГАСО. Ф. Р-3454. Оп. 2. Д. 14. Л. 150.). Эта была мера по улучшению центровки и устойчивости самолета через полгода после преобразования одноместного варианта в двухместный (11714).</w:t>
      </w:r>
    </w:p>
    <w:p w14:paraId="7D402C3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1EDBE5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на 240 заводе было построено 2 самолета Ил-8 с АМ-42 (2104).</w:t>
      </w:r>
    </w:p>
    <w:p w14:paraId="38AC8AB1" w14:textId="77777777" w:rsidR="00531570" w:rsidRPr="00D03F3E" w:rsidRDefault="00531570" w:rsidP="00D03F3E">
      <w:pPr>
        <w:pStyle w:val="Iauiue"/>
        <w:jc w:val="both"/>
        <w:rPr>
          <w:color w:val="000000" w:themeColor="text1"/>
          <w:sz w:val="16"/>
          <w:szCs w:val="16"/>
        </w:rPr>
      </w:pPr>
    </w:p>
    <w:p w14:paraId="4E5175C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АМ-38Ф прошел официальные госиспытания. В июне 1944 г. проводили эксперименты по впрыску воды на форсированных режимах. - ГАМ-38Ф, проект катерного варианта АМ-38Ф, выполненный весной 1944 г. Имел измененные картер, коленвал, ПЦН. Введены реверс-муфта и дополнительный водяной насос. Опытный образец не из</w:t>
      </w:r>
      <w:r w:rsidRPr="00D03F3E">
        <w:rPr>
          <w:rFonts w:ascii="Times New Roman" w:hAnsi="Times New Roman"/>
          <w:color w:val="000000" w:themeColor="text1"/>
          <w:sz w:val="16"/>
          <w:szCs w:val="16"/>
        </w:rPr>
        <w:softHyphen/>
        <w:t>готавливался. Двигатели АМ-38 и АМ-38Ф устанавливались на серийных штурмови</w:t>
      </w:r>
      <w:r w:rsidRPr="00D03F3E">
        <w:rPr>
          <w:rFonts w:ascii="Times New Roman" w:hAnsi="Times New Roman"/>
          <w:color w:val="000000" w:themeColor="text1"/>
          <w:sz w:val="16"/>
          <w:szCs w:val="16"/>
        </w:rPr>
        <w:softHyphen/>
        <w:t>ках Ил-2, а также на опытном самолете ТИС-МА. Истребители МиГ-3 в мастерских и строевых полках переделывали под АМ-38. Использование АМ-38 предусматривалось также в проекте самолета ОДБ(П). Моторы АМ-38Ф экспортировались в Польшу, Чехословакию и Югос</w:t>
      </w:r>
      <w:r w:rsidRPr="00D03F3E">
        <w:rPr>
          <w:rFonts w:ascii="Times New Roman" w:hAnsi="Times New Roman"/>
          <w:color w:val="000000" w:themeColor="text1"/>
          <w:sz w:val="16"/>
          <w:szCs w:val="16"/>
        </w:rPr>
        <w:softHyphen/>
        <w:t>лавию (11852).</w:t>
      </w:r>
    </w:p>
    <w:p w14:paraId="2620261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A620F2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АМ-42 удов</w:t>
      </w:r>
      <w:r w:rsidRPr="00D03F3E">
        <w:rPr>
          <w:rFonts w:ascii="Times New Roman" w:hAnsi="Times New Roman"/>
          <w:color w:val="000000" w:themeColor="text1"/>
          <w:sz w:val="16"/>
          <w:szCs w:val="16"/>
        </w:rPr>
        <w:softHyphen/>
        <w:t>летворительно прошел совместные 50-часовые испытания. В ходе испы</w:t>
      </w:r>
      <w:r w:rsidRPr="00D03F3E">
        <w:rPr>
          <w:rFonts w:ascii="Times New Roman" w:hAnsi="Times New Roman"/>
          <w:color w:val="000000" w:themeColor="text1"/>
          <w:sz w:val="16"/>
          <w:szCs w:val="16"/>
        </w:rPr>
        <w:softHyphen/>
        <w:t>таний была получена мощность 1940 л.с. на взлетном, и 1766 л.с. -на номинальном режимах. В выводах комиссии отмечалось, что мотор АМ-42 испытания прошел удовлетворительно и является "совре</w:t>
      </w:r>
      <w:r w:rsidRPr="00D03F3E">
        <w:rPr>
          <w:rFonts w:ascii="Times New Roman" w:hAnsi="Times New Roman"/>
          <w:color w:val="000000" w:themeColor="text1"/>
          <w:sz w:val="16"/>
          <w:szCs w:val="16"/>
        </w:rPr>
        <w:softHyphen/>
        <w:t>менным мотором, ценным для штур</w:t>
      </w:r>
      <w:r w:rsidRPr="00D03F3E">
        <w:rPr>
          <w:rFonts w:ascii="Times New Roman" w:hAnsi="Times New Roman"/>
          <w:color w:val="000000" w:themeColor="text1"/>
          <w:sz w:val="16"/>
          <w:szCs w:val="16"/>
        </w:rPr>
        <w:softHyphen/>
        <w:t>мовой авиации". Наряду с этим, Глав</w:t>
      </w:r>
      <w:r w:rsidRPr="00D03F3E">
        <w:rPr>
          <w:rFonts w:ascii="Times New Roman" w:hAnsi="Times New Roman"/>
          <w:color w:val="000000" w:themeColor="text1"/>
          <w:sz w:val="16"/>
          <w:szCs w:val="16"/>
        </w:rPr>
        <w:softHyphen/>
        <w:t>ному конструктору А. А. Микулину и директору завода № 24 М. С. Жезлову вменялось в обязанность "...в кратчайшие сроки устранить выявлен</w:t>
      </w:r>
      <w:r w:rsidRPr="00D03F3E">
        <w:rPr>
          <w:rFonts w:ascii="Times New Roman" w:hAnsi="Times New Roman"/>
          <w:color w:val="000000" w:themeColor="text1"/>
          <w:sz w:val="16"/>
          <w:szCs w:val="16"/>
        </w:rPr>
        <w:softHyphen/>
        <w:t>ные конструктивные недостатки и де</w:t>
      </w:r>
      <w:r w:rsidRPr="00D03F3E">
        <w:rPr>
          <w:rFonts w:ascii="Times New Roman" w:hAnsi="Times New Roman"/>
          <w:color w:val="000000" w:themeColor="text1"/>
          <w:sz w:val="16"/>
          <w:szCs w:val="16"/>
        </w:rPr>
        <w:softHyphen/>
        <w:t>фекты мотора, проверить работу мотора на самолетах Ил-2М, отра</w:t>
      </w:r>
      <w:r w:rsidRPr="00D03F3E">
        <w:rPr>
          <w:rFonts w:ascii="Times New Roman" w:hAnsi="Times New Roman"/>
          <w:color w:val="000000" w:themeColor="text1"/>
          <w:sz w:val="16"/>
          <w:szCs w:val="16"/>
        </w:rPr>
        <w:softHyphen/>
        <w:t>ботать ВМГ самолета и предъявить самолет в НИИ ВВС на специаль</w:t>
      </w:r>
      <w:r w:rsidRPr="00D03F3E">
        <w:rPr>
          <w:rFonts w:ascii="Times New Roman" w:hAnsi="Times New Roman"/>
          <w:color w:val="000000" w:themeColor="text1"/>
          <w:sz w:val="16"/>
          <w:szCs w:val="16"/>
        </w:rPr>
        <w:softHyphen/>
        <w:t>ные летные испытания мотора в те</w:t>
      </w:r>
      <w:r w:rsidRPr="00D03F3E">
        <w:rPr>
          <w:rFonts w:ascii="Times New Roman" w:hAnsi="Times New Roman"/>
          <w:color w:val="000000" w:themeColor="text1"/>
          <w:sz w:val="16"/>
          <w:szCs w:val="16"/>
        </w:rPr>
        <w:softHyphen/>
        <w:t>чение 50 часов". Известно, что С. В. Ильюшин пы</w:t>
      </w:r>
      <w:r w:rsidRPr="00D03F3E">
        <w:rPr>
          <w:rFonts w:ascii="Times New Roman" w:hAnsi="Times New Roman"/>
          <w:color w:val="000000" w:themeColor="text1"/>
          <w:sz w:val="16"/>
          <w:szCs w:val="16"/>
        </w:rPr>
        <w:softHyphen/>
        <w:t>тался убедить руководство НКАП па</w:t>
      </w:r>
      <w:r w:rsidRPr="00D03F3E">
        <w:rPr>
          <w:rFonts w:ascii="Times New Roman" w:hAnsi="Times New Roman"/>
          <w:color w:val="000000" w:themeColor="text1"/>
          <w:sz w:val="16"/>
          <w:szCs w:val="16"/>
        </w:rPr>
        <w:softHyphen/>
        <w:t>раллельно с постройкой опытного са</w:t>
      </w:r>
      <w:r w:rsidRPr="00D03F3E">
        <w:rPr>
          <w:rFonts w:ascii="Times New Roman" w:hAnsi="Times New Roman"/>
          <w:color w:val="000000" w:themeColor="text1"/>
          <w:sz w:val="16"/>
          <w:szCs w:val="16"/>
        </w:rPr>
        <w:softHyphen/>
        <w:t>молета Ил-2М АМ-42 развернуть ра</w:t>
      </w:r>
      <w:r w:rsidRPr="00D03F3E">
        <w:rPr>
          <w:rFonts w:ascii="Times New Roman" w:hAnsi="Times New Roman"/>
          <w:color w:val="000000" w:themeColor="text1"/>
          <w:sz w:val="16"/>
          <w:szCs w:val="16"/>
        </w:rPr>
        <w:softHyphen/>
        <w:t>боты по налаживанию его серийно</w:t>
      </w:r>
      <w:r w:rsidRPr="00D03F3E">
        <w:rPr>
          <w:rFonts w:ascii="Times New Roman" w:hAnsi="Times New Roman"/>
          <w:color w:val="000000" w:themeColor="text1"/>
          <w:sz w:val="16"/>
          <w:szCs w:val="16"/>
        </w:rPr>
        <w:softHyphen/>
        <w:t>го выпуска на московском авиаза</w:t>
      </w:r>
      <w:r w:rsidRPr="00D03F3E">
        <w:rPr>
          <w:rFonts w:ascii="Times New Roman" w:hAnsi="Times New Roman"/>
          <w:color w:val="000000" w:themeColor="text1"/>
          <w:sz w:val="16"/>
          <w:szCs w:val="16"/>
        </w:rPr>
        <w:softHyphen/>
        <w:t>воде № 30. Им даже был заготов</w:t>
      </w:r>
      <w:r w:rsidRPr="00D03F3E">
        <w:rPr>
          <w:rFonts w:ascii="Times New Roman" w:hAnsi="Times New Roman"/>
          <w:color w:val="000000" w:themeColor="text1"/>
          <w:sz w:val="16"/>
          <w:szCs w:val="16"/>
        </w:rPr>
        <w:softHyphen/>
        <w:t>лен проект приказа и 18 января 1943 г. подан наркому для рассмотрения. Однако А. И. Шахурин решил не рис</w:t>
      </w:r>
      <w:r w:rsidRPr="00D03F3E">
        <w:rPr>
          <w:rFonts w:ascii="Times New Roman" w:hAnsi="Times New Roman"/>
          <w:color w:val="000000" w:themeColor="text1"/>
          <w:sz w:val="16"/>
          <w:szCs w:val="16"/>
        </w:rPr>
        <w:softHyphen/>
        <w:t>ковать (11426).</w:t>
      </w:r>
    </w:p>
    <w:p w14:paraId="5EED34D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D113A34" w14:textId="77777777" w:rsidR="003770F2" w:rsidRPr="00D03F3E" w:rsidRDefault="003770F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года АМ-42 удовлетворительно прошел совместные 50-часовые испытания. В ходе испытаний была получена мощность 1940 л. с. – на взлетном и 1766 л. с. – на номинальном режимею</w:t>
      </w:r>
    </w:p>
    <w:p w14:paraId="28F2C0C6" w14:textId="77777777" w:rsidR="003770F2" w:rsidRPr="00D03F3E" w:rsidRDefault="003770F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выводах комиссии отмечалось, что мотор АМ-42 испытания прошел удовлетворительно и является «современным мотором, ценным для штурмовой авиации». Микулин и директор завода № 24 Жезлов обязывались «в кратчайшие сроки устранить выявленные конструктивные недостатки и дефекты мотора, проверить работу мотора на самолетах Ил-2М, отработать ВМГ самолета и предъявить самолет в НИИ ВВС на специальные летные испытания мотора в течение 50 часов» (17490).</w:t>
      </w:r>
    </w:p>
    <w:p w14:paraId="03DA2448" w14:textId="77777777" w:rsidR="003770F2" w:rsidRPr="00D03F3E" w:rsidRDefault="003770F2" w:rsidP="00D03F3E">
      <w:pPr>
        <w:spacing w:after="0" w:line="240" w:lineRule="auto"/>
        <w:jc w:val="both"/>
        <w:rPr>
          <w:rFonts w:ascii="Times New Roman" w:hAnsi="Times New Roman"/>
          <w:color w:val="000000" w:themeColor="text1"/>
          <w:sz w:val="16"/>
          <w:szCs w:val="16"/>
        </w:rPr>
      </w:pPr>
    </w:p>
    <w:p w14:paraId="62AE820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начались летные испытания Ил-8 после того, как на 240 заводе закончилась сборка машины из агрегатов, изготовленных на заводе 30. В основном испытывалась ВМГ и проблемы были не только с двигателем мощностью 2000 нр, но и с жесткостью лопастей винта АВ-5 (1605,1).</w:t>
      </w:r>
    </w:p>
    <w:p w14:paraId="5BBFE06C" w14:textId="77777777" w:rsidR="00531570" w:rsidRPr="00D03F3E" w:rsidRDefault="00531570" w:rsidP="00D03F3E">
      <w:pPr>
        <w:pStyle w:val="Iauiue"/>
        <w:jc w:val="both"/>
        <w:rPr>
          <w:color w:val="000000" w:themeColor="text1"/>
          <w:sz w:val="16"/>
          <w:szCs w:val="16"/>
        </w:rPr>
      </w:pPr>
    </w:p>
    <w:p w14:paraId="6B1175C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было принято решение о постройке и нового одноместного бронированного истребителя малых и средних высот (5,115).</w:t>
      </w:r>
    </w:p>
    <w:p w14:paraId="17E1799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Проектирование Ил-10 началось в 1943 практически одновременно с разработкой Ил-1 как его двухместного варианта - скоростного и высокоманевренного бронированного штурмовика (5,120).</w:t>
      </w:r>
    </w:p>
    <w:p w14:paraId="40026534" w14:textId="77777777" w:rsidR="00531570" w:rsidRPr="00D03F3E" w:rsidRDefault="00531570" w:rsidP="00D03F3E">
      <w:pPr>
        <w:pStyle w:val="Iauiue"/>
        <w:jc w:val="both"/>
        <w:rPr>
          <w:color w:val="000000" w:themeColor="text1"/>
          <w:sz w:val="16"/>
          <w:szCs w:val="16"/>
        </w:rPr>
      </w:pPr>
    </w:p>
    <w:p w14:paraId="36F1637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мая 1943, практически одновременно с разработкой истребителя Ил-1 по инициативе С.В. Ильюшина началось проектирование двухместного варианта этого самолета - скоростного и высокоманевренного бронированного штурмовика, также имевшего обозначение Ил-1, стрелково-пушечное и бомбовое вооружение которого было таким же, как на Ил-2.</w:t>
      </w:r>
    </w:p>
    <w:p w14:paraId="6580C0F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Считая, что такой штурмовик значительно нужнее фронту, чем бронированный истребитель, С.В.Ильюшин работы по созданию двухместного варианта Ил-1 вел в очень быстром темпе, опережающем темпы работ по истребителю.</w:t>
      </w:r>
    </w:p>
    <w:p w14:paraId="17769DB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Двухместный штурмовик Ил-1 сохранил все основные геометрические параметры и конструктивные особенности одноместного истребителя, имел цельнометаллическую конструкцию. Его наступательное стрелковое вооружение состояло из двух пушек ВЯ и двух пулеметов ШКАС.</w:t>
      </w:r>
    </w:p>
    <w:p w14:paraId="3C8C555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нормальном варианте штурмовик имел бомбовый груз 400 кг, в перегрузочном - 600 кг. Заднюю полусферу штурмовика защищал стрелок с крупнокалиберным пулеметом УБТ. Кроме того, в хвостовой части штурмовика установили держатель на 10 авиационных гранат АГ-2 (9532,5).</w:t>
      </w:r>
    </w:p>
    <w:p w14:paraId="6EB37DE4" w14:textId="77777777" w:rsidR="00531570" w:rsidRPr="00D03F3E" w:rsidRDefault="00531570" w:rsidP="00D03F3E">
      <w:pPr>
        <w:pStyle w:val="Iauiue"/>
        <w:jc w:val="both"/>
        <w:rPr>
          <w:color w:val="000000" w:themeColor="text1"/>
          <w:sz w:val="16"/>
          <w:szCs w:val="16"/>
        </w:rPr>
      </w:pPr>
    </w:p>
    <w:p w14:paraId="76F17B0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на заводе № 18 был построен Ил-2 с турелью МВ-3 и в июне он прошел гос. Испытания в НИИ ВВС КА, показав удовлетворительные результаты. Однако, экран турели создавал большое аэродинамическое сопротив</w:t>
      </w:r>
      <w:r w:rsidRPr="00D03F3E">
        <w:rPr>
          <w:rFonts w:ascii="Times New Roman" w:hAnsi="Times New Roman"/>
          <w:color w:val="000000" w:themeColor="text1"/>
          <w:sz w:val="16"/>
          <w:szCs w:val="16"/>
        </w:rPr>
        <w:softHyphen/>
        <w:t>ление, что снижало летные характеристики машины. Поэтому ва</w:t>
      </w:r>
      <w:r w:rsidRPr="00D03F3E">
        <w:rPr>
          <w:rFonts w:ascii="Times New Roman" w:hAnsi="Times New Roman"/>
          <w:color w:val="000000" w:themeColor="text1"/>
          <w:sz w:val="16"/>
          <w:szCs w:val="16"/>
        </w:rPr>
        <w:softHyphen/>
        <w:t>риант Ил-2 с МВ-3 в серию не пошел (10695).</w:t>
      </w:r>
    </w:p>
    <w:p w14:paraId="2908B3D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DE8679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г. на заводе № 18 был построен Ил-2 с МВ-3.</w:t>
      </w:r>
    </w:p>
    <w:p w14:paraId="67DC05C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Ка</w:t>
      </w:r>
      <w:r w:rsidRPr="00D03F3E">
        <w:rPr>
          <w:color w:val="000000" w:themeColor="text1"/>
          <w:sz w:val="16"/>
          <w:szCs w:val="16"/>
        </w:rPr>
        <w:softHyphen/>
        <w:t>бина стрелка была оборудованна турельной установкой клычной системы конструк</w:t>
      </w:r>
      <w:r w:rsidRPr="00D03F3E">
        <w:rPr>
          <w:color w:val="000000" w:themeColor="text1"/>
          <w:sz w:val="16"/>
          <w:szCs w:val="16"/>
        </w:rPr>
        <w:softHyphen/>
        <w:t>ции Г.М.Можаровского и И.В.Веневидова МВ-3 с пулеметом УБТ, имевшей аэродинамическую компенсацию. Турель МВ-3 обеспечивала значительно боль</w:t>
      </w:r>
      <w:r w:rsidRPr="00D03F3E">
        <w:rPr>
          <w:color w:val="000000" w:themeColor="text1"/>
          <w:sz w:val="16"/>
          <w:szCs w:val="16"/>
        </w:rPr>
        <w:softHyphen/>
        <w:t>шие, по сравнению с другими вариан</w:t>
      </w:r>
      <w:r w:rsidRPr="00D03F3E">
        <w:rPr>
          <w:color w:val="000000" w:themeColor="text1"/>
          <w:sz w:val="16"/>
          <w:szCs w:val="16"/>
        </w:rPr>
        <w:softHyphen/>
        <w:t>тами, горизонтальные (±120°) и верти</w:t>
      </w:r>
      <w:r w:rsidRPr="00D03F3E">
        <w:rPr>
          <w:color w:val="000000" w:themeColor="text1"/>
          <w:sz w:val="16"/>
          <w:szCs w:val="16"/>
        </w:rPr>
        <w:softHyphen/>
        <w:t>кальные (+45°,-15°) углы перемещения оружия и позволяла, благодаря наличию аэродинамического экрана, вести при</w:t>
      </w:r>
      <w:r w:rsidRPr="00D03F3E">
        <w:rPr>
          <w:color w:val="000000" w:themeColor="text1"/>
          <w:sz w:val="16"/>
          <w:szCs w:val="16"/>
        </w:rPr>
        <w:softHyphen/>
        <w:t>цельный огонь при скоростях полета свыше 400 км/ч (6467).</w:t>
      </w:r>
    </w:p>
    <w:p w14:paraId="7ED71E13" w14:textId="77777777" w:rsidR="00531570" w:rsidRPr="00D03F3E" w:rsidRDefault="00531570" w:rsidP="00D03F3E">
      <w:pPr>
        <w:pStyle w:val="Iauiue"/>
        <w:jc w:val="both"/>
        <w:rPr>
          <w:color w:val="000000" w:themeColor="text1"/>
          <w:sz w:val="16"/>
          <w:szCs w:val="16"/>
        </w:rPr>
      </w:pPr>
    </w:p>
    <w:p w14:paraId="1DA9BD3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мая 1943 г. с целью повышения боевой живуче</w:t>
      </w:r>
      <w:r w:rsidRPr="00D03F3E">
        <w:rPr>
          <w:color w:val="000000" w:themeColor="text1"/>
          <w:sz w:val="16"/>
          <w:szCs w:val="16"/>
        </w:rPr>
        <w:softHyphen/>
        <w:t>сти Ил-2 на штурмовик стали устанавливаться фибровые про</w:t>
      </w:r>
      <w:r w:rsidRPr="00D03F3E">
        <w:rPr>
          <w:color w:val="000000" w:themeColor="text1"/>
          <w:sz w:val="16"/>
          <w:szCs w:val="16"/>
        </w:rPr>
        <w:softHyphen/>
        <w:t>тестированные бензобаки, которые зна</w:t>
      </w:r>
      <w:r w:rsidRPr="00D03F3E">
        <w:rPr>
          <w:color w:val="000000" w:themeColor="text1"/>
          <w:sz w:val="16"/>
          <w:szCs w:val="16"/>
        </w:rPr>
        <w:softHyphen/>
        <w:t>чительно лучше обеспечивали герметич</w:t>
      </w:r>
      <w:r w:rsidRPr="00D03F3E">
        <w:rPr>
          <w:color w:val="000000" w:themeColor="text1"/>
          <w:sz w:val="16"/>
          <w:szCs w:val="16"/>
        </w:rPr>
        <w:softHyphen/>
        <w:t>ность при попадании в бак немецких пуль калибра 7,92 мм и 13 мм. Дело в том, что при повреждении металлического бака рваные края пробоины не позво</w:t>
      </w:r>
      <w:r w:rsidRPr="00D03F3E">
        <w:rPr>
          <w:color w:val="000000" w:themeColor="text1"/>
          <w:sz w:val="16"/>
          <w:szCs w:val="16"/>
        </w:rPr>
        <w:softHyphen/>
        <w:t>ляли затянуться протектору и образо</w:t>
      </w:r>
      <w:r w:rsidRPr="00D03F3E">
        <w:rPr>
          <w:color w:val="000000" w:themeColor="text1"/>
          <w:sz w:val="16"/>
          <w:szCs w:val="16"/>
        </w:rPr>
        <w:softHyphen/>
        <w:t>вывалась течь. Бензин свободно выте</w:t>
      </w:r>
      <w:r w:rsidRPr="00D03F3E">
        <w:rPr>
          <w:color w:val="000000" w:themeColor="text1"/>
          <w:sz w:val="16"/>
          <w:szCs w:val="16"/>
        </w:rPr>
        <w:softHyphen/>
        <w:t>кал, что зачастую заканчивалось пожа</w:t>
      </w:r>
      <w:r w:rsidRPr="00D03F3E">
        <w:rPr>
          <w:color w:val="000000" w:themeColor="text1"/>
          <w:sz w:val="16"/>
          <w:szCs w:val="16"/>
        </w:rPr>
        <w:softHyphen/>
        <w:t>ром. Фибра же не давала "вторичного" эффекта. Новые баки не давали течи даже с 17 пулевыми пробоинами от пуль нормального калибра. Кроме того, вне</w:t>
      </w:r>
      <w:r w:rsidRPr="00D03F3E">
        <w:rPr>
          <w:color w:val="000000" w:themeColor="text1"/>
          <w:sz w:val="16"/>
          <w:szCs w:val="16"/>
        </w:rPr>
        <w:softHyphen/>
        <w:t>дрение фибровых бензобаков в конст</w:t>
      </w:r>
      <w:r w:rsidRPr="00D03F3E">
        <w:rPr>
          <w:color w:val="000000" w:themeColor="text1"/>
          <w:sz w:val="16"/>
          <w:szCs w:val="16"/>
        </w:rPr>
        <w:softHyphen/>
        <w:t>рукцию Ил-2 позволило экономить на каждом самолете 55-56 кг металла (6467).</w:t>
      </w:r>
    </w:p>
    <w:p w14:paraId="13CD63DE" w14:textId="77777777" w:rsidR="00531570" w:rsidRPr="00D03F3E" w:rsidRDefault="00531570" w:rsidP="00D03F3E">
      <w:pPr>
        <w:pStyle w:val="Iauiue"/>
        <w:jc w:val="both"/>
        <w:rPr>
          <w:color w:val="000000" w:themeColor="text1"/>
          <w:sz w:val="16"/>
          <w:szCs w:val="16"/>
        </w:rPr>
      </w:pPr>
    </w:p>
    <w:p w14:paraId="497CF08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г. в НИИ ВВС КА испы</w:t>
      </w:r>
      <w:r w:rsidRPr="00D03F3E">
        <w:rPr>
          <w:color w:val="000000" w:themeColor="text1"/>
          <w:sz w:val="16"/>
          <w:szCs w:val="16"/>
        </w:rPr>
        <w:softHyphen/>
        <w:t>тывался Ил-2 АМ-38ф с двумя подвес</w:t>
      </w:r>
      <w:r w:rsidRPr="00D03F3E">
        <w:rPr>
          <w:color w:val="000000" w:themeColor="text1"/>
          <w:sz w:val="16"/>
          <w:szCs w:val="16"/>
        </w:rPr>
        <w:softHyphen/>
        <w:t>ными картонными бензобаками ПЛБГ-150 емкостью по 150 л каждый. А уже в июне были проведены испытания 46 самолетов Ил-2, оборудованных ПЛБГ-150.</w:t>
      </w:r>
    </w:p>
    <w:p w14:paraId="59250DD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условиях массового производства система бензопитания оказалась недовведенной - не обеспечивалась полная выработка топлива (6467).</w:t>
      </w:r>
    </w:p>
    <w:p w14:paraId="7D90C8EB" w14:textId="77777777" w:rsidR="00531570" w:rsidRPr="00D03F3E" w:rsidRDefault="00531570" w:rsidP="00D03F3E">
      <w:pPr>
        <w:pStyle w:val="Iauiue"/>
        <w:jc w:val="both"/>
        <w:rPr>
          <w:color w:val="000000" w:themeColor="text1"/>
          <w:sz w:val="16"/>
          <w:szCs w:val="16"/>
        </w:rPr>
      </w:pPr>
    </w:p>
    <w:p w14:paraId="3678DB1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в соответствии с боевым опытом Демянска и Сталинграда ГКО принял решение о постройке истребительного варианта Ил-2 (9528).</w:t>
      </w:r>
    </w:p>
    <w:p w14:paraId="557963E8" w14:textId="77777777" w:rsidR="00531570" w:rsidRPr="00D03F3E" w:rsidRDefault="00531570" w:rsidP="00D03F3E">
      <w:pPr>
        <w:pStyle w:val="Iauiue"/>
        <w:jc w:val="both"/>
        <w:rPr>
          <w:color w:val="000000" w:themeColor="text1"/>
          <w:sz w:val="16"/>
          <w:szCs w:val="16"/>
        </w:rPr>
      </w:pPr>
    </w:p>
    <w:p w14:paraId="2CFAAC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г. в соответствии с Постановлением ГКО от 07.02.43 г., в ОКБ С. В. Ильюшина был построен тяжелый штурмовик Ил-АМ-42, получивший впоследствии обозначение Ил-8 АМ-42 (9649).</w:t>
      </w:r>
    </w:p>
    <w:p w14:paraId="27C10F33" w14:textId="77777777" w:rsidR="00531570" w:rsidRPr="00D03F3E" w:rsidRDefault="00531570" w:rsidP="00D03F3E">
      <w:pPr>
        <w:pStyle w:val="Iauiue"/>
        <w:jc w:val="both"/>
        <w:rPr>
          <w:color w:val="000000" w:themeColor="text1"/>
          <w:sz w:val="16"/>
          <w:szCs w:val="16"/>
        </w:rPr>
      </w:pPr>
    </w:p>
    <w:p w14:paraId="3470D0C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мая 1943 г. АМ-42 испытывался на опытном тяжелом штурмовике-бомбардировщике Ил-АМ-42 (9542).</w:t>
      </w:r>
    </w:p>
    <w:p w14:paraId="67060D13" w14:textId="77777777" w:rsidR="00531570" w:rsidRPr="00D03F3E" w:rsidRDefault="00531570" w:rsidP="00D03F3E">
      <w:pPr>
        <w:pStyle w:val="Iauiue"/>
        <w:jc w:val="both"/>
        <w:rPr>
          <w:color w:val="000000" w:themeColor="text1"/>
          <w:sz w:val="16"/>
          <w:szCs w:val="16"/>
        </w:rPr>
      </w:pPr>
    </w:p>
    <w:p w14:paraId="6E30873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1943-го АМ-42 удовлетворительно прошел совместные 50-часовые испытания, на которых была получена взлетная мощность 1940 л. с. при п=2518 об/мин и давлении наддува 1738 мм. рт. ст. При этом расход топлива, в сравнении с первым вариантом мотора, возрос до 336 г /л. с. Номинальная мощность 1766 л. с. обеспечивалась при п=2350 об/мин, давлении на всасывании 1340 мм. рт. ст. и удельном расходе топлива 304 г /л. с. в час.</w:t>
      </w:r>
    </w:p>
    <w:p w14:paraId="56C11A3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отчете об испытаниях указывалось, что: “...конструкция поддона с клапанами позволила значительно улучшить отсос масла из картера и сократить теплоотдачу в масле; введение коленчатого вала с противовесами обеспечило возможность форси-ровки мотора по оборотам без развития коренных опор”.</w:t>
      </w:r>
    </w:p>
    <w:p w14:paraId="4918390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 время испытаний были обнаружены следующие основные дефекты мотора:</w:t>
      </w:r>
    </w:p>
    <w:p w14:paraId="414FA09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сильное замасливание мотора из-за течи масла в соединениях,</w:t>
      </w:r>
    </w:p>
    <w:p w14:paraId="26D0E12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поломка крышки подшипника распределительного вала через 48 часов режимной работы,</w:t>
      </w:r>
    </w:p>
    <w:p w14:paraId="365976C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обрыв шпилек крепления крышки компрессора,</w:t>
      </w:r>
    </w:p>
    <w:p w14:paraId="212E3DD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поломка пружин упругой шестерни редуктора,</w:t>
      </w:r>
    </w:p>
    <w:p w14:paraId="0607CFA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поломка большой шестерни редуктора,</w:t>
      </w:r>
    </w:p>
    <w:p w14:paraId="74B706D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растрескивание и выкрашивание свинцовой бронзы во вкладышах главных шатунов и коренных опор,</w:t>
      </w:r>
    </w:p>
    <w:p w14:paraId="2C8F8FD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поломка пружинящих </w:t>
      </w:r>
      <w:r w:rsidR="005119DD" w:rsidRPr="00D03F3E">
        <w:rPr>
          <w:color w:val="000000" w:themeColor="text1"/>
          <w:sz w:val="16"/>
          <w:szCs w:val="16"/>
        </w:rPr>
        <w:t>колес и рас</w:t>
      </w:r>
      <w:r w:rsidRPr="00D03F3E">
        <w:rPr>
          <w:color w:val="000000" w:themeColor="text1"/>
          <w:sz w:val="16"/>
          <w:szCs w:val="16"/>
        </w:rPr>
        <w:t>кисание резины нижнего уплотнения цилиндров,</w:t>
      </w:r>
    </w:p>
    <w:p w14:paraId="1A8E54F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поломка стопоров поршневых колец,</w:t>
      </w:r>
    </w:p>
    <w:p w14:paraId="615E7F7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отказ свечей на взлетном режиме,</w:t>
      </w:r>
    </w:p>
    <w:p w14:paraId="014CDC1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сильное качание стрелки бензино-метра на взлетном режиме,</w:t>
      </w:r>
    </w:p>
    <w:p w14:paraId="7CA4FC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обрыв ушка стакана тахометра,</w:t>
      </w:r>
    </w:p>
    <w:p w14:paraId="6086345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неравномерное распределение смеси по цилиндрам, особенно на 0,75 номинального режима.</w:t>
      </w:r>
    </w:p>
    <w:p w14:paraId="17936CB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выводах комиссии отмечалось, что мотор АМ-42 испытания прошел удовлетворительно и является “современным мотором, ценным для штурмовой авиации”.</w:t>
      </w:r>
    </w:p>
    <w:p w14:paraId="0DBF54C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Наряду с этим, Главному конструктору А. М. Микулину и директору завода № 24 М. С. Жезлову вменялось в обя-занность “...в кратчайшие сроки устранить выявленные конструктивные недостатки и дефекты мотора, проверить работу мотора на самолетах Ил-2М, отработать ВМГ самолета и предъявить самолет в НИИ ВВС на специальные летные испытания мотора в течение 50 часов” (9649).</w:t>
      </w:r>
    </w:p>
    <w:p w14:paraId="0024CA30" w14:textId="77777777" w:rsidR="00531570" w:rsidRPr="00D03F3E" w:rsidRDefault="00531570" w:rsidP="00D03F3E">
      <w:pPr>
        <w:pStyle w:val="Iauiue"/>
        <w:jc w:val="both"/>
        <w:rPr>
          <w:color w:val="000000" w:themeColor="text1"/>
          <w:sz w:val="16"/>
          <w:szCs w:val="16"/>
        </w:rPr>
      </w:pPr>
    </w:p>
    <w:p w14:paraId="1E6D502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мая 1943 г. двигатель АМ-42 проходил испытания на тяжелом штурмовике Ил-АМ-42, построенном на ильюшинском опытном заводе № 240. Разумеется, новый двигатель требовал доводки, которая и осуществлялась в воздухе на "безномерном" "Иле". Создание АМ-42 стало важным достижением ОКБ Микулина, позволившим радикально улучшить летно-тактические данные советских самолетов. Мощность на взлетном режиме составляла 2000 л.с., а на расчетной высоте 1600 м - 1770 л.с. Сухая масса мотора 1030 кг, что обеспечивало удельный вес на взлетном режиме 0,515 кг/л.с., а на номинальном режиме - 0,582 кг/л.с. (9032).</w:t>
      </w:r>
    </w:p>
    <w:p w14:paraId="62A7E0C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Мотор АМ-42 имел целый ряд конструктивных усовершенствований. Для улучшения откачки масла из картера, уменьшения теплоотдачи был введен поддон. Поддон вместе с поперечными стенками картера образовывал шесть изолированных друг от друга кривошипно-шатунных камер. Такое решение устраняло возможность появления продольных воздушных вихрей. Редуктор выполнялся без амортизирующих промежуточных элементов в соединении большой шестерни редуктора с валом. Коленчатый вал спроектировали более жестким и прочным. Механизм газораспределения с непосредственным действием кулачков на тарелки клапанов был заменен другим. Каждый кулачок валика воздействовал на один выпускной и один всасывающий клапаны. По конструкции Ил-АМ-42 напоминал обычный Ил-2, что таило в себе и достоинства, и недостатки. По пилотажным качествам самолет оказался простым и доступным для пилотов (9032).</w:t>
      </w:r>
    </w:p>
    <w:p w14:paraId="5D66EB89" w14:textId="77777777" w:rsidR="00531570" w:rsidRPr="00D03F3E" w:rsidRDefault="00531570" w:rsidP="00D03F3E">
      <w:pPr>
        <w:pStyle w:val="Iauiue"/>
        <w:jc w:val="both"/>
        <w:rPr>
          <w:color w:val="000000" w:themeColor="text1"/>
          <w:sz w:val="16"/>
          <w:szCs w:val="16"/>
        </w:rPr>
      </w:pPr>
    </w:p>
    <w:p w14:paraId="5066DE4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мая 1943 г. АМ-42 проходил испытания на тяжелом штурмовике Ил-АМ-42, построенном на ильюшннском опытном заводе № 240. Разумеется, новый двигатель требовал доводки, которая и осуще</w:t>
      </w:r>
      <w:r w:rsidRPr="00D03F3E">
        <w:rPr>
          <w:rFonts w:ascii="Times New Roman" w:hAnsi="Times New Roman"/>
          <w:color w:val="000000" w:themeColor="text1"/>
          <w:sz w:val="16"/>
          <w:szCs w:val="16"/>
        </w:rPr>
        <w:softHyphen/>
        <w:t>ствлялась в воздухе на «безномсрном» Иле. Создание АМ-42 ста</w:t>
      </w:r>
      <w:r w:rsidRPr="00D03F3E">
        <w:rPr>
          <w:rFonts w:ascii="Times New Roman" w:hAnsi="Times New Roman"/>
          <w:color w:val="000000" w:themeColor="text1"/>
          <w:sz w:val="16"/>
          <w:szCs w:val="16"/>
        </w:rPr>
        <w:softHyphen/>
        <w:t>ло важным достижением ОКБ Микулнна, позволившим радикально улучшить летно-тактические данные советских само</w:t>
      </w:r>
      <w:r w:rsidRPr="00D03F3E">
        <w:rPr>
          <w:rFonts w:ascii="Times New Roman" w:hAnsi="Times New Roman"/>
          <w:color w:val="000000" w:themeColor="text1"/>
          <w:sz w:val="16"/>
          <w:szCs w:val="16"/>
        </w:rPr>
        <w:softHyphen/>
        <w:t>летов. Увеличения мощности по сравнению с АМ-38Ф удалось до</w:t>
      </w:r>
      <w:r w:rsidRPr="00D03F3E">
        <w:rPr>
          <w:rFonts w:ascii="Times New Roman" w:hAnsi="Times New Roman"/>
          <w:color w:val="000000" w:themeColor="text1"/>
          <w:sz w:val="16"/>
          <w:szCs w:val="16"/>
        </w:rPr>
        <w:softHyphen/>
        <w:t>биться путем повышения частоты вращения коленвала на взлетном режиме до 2500 об/мин и одновременного повышения наддува воз</w:t>
      </w:r>
      <w:r w:rsidRPr="00D03F3E">
        <w:rPr>
          <w:rFonts w:ascii="Times New Roman" w:hAnsi="Times New Roman"/>
          <w:color w:val="000000" w:themeColor="text1"/>
          <w:sz w:val="16"/>
          <w:szCs w:val="16"/>
        </w:rPr>
        <w:softHyphen/>
        <w:t>духа до 1 720 мм. рт. ст. Мощность на взлетном режиме достигала 2000 л. с., а на расчетной высоте 1600 м — 1770 л. с. Сухая масса мотора составляла 996 кг, что обеспечивало удельный вес на взлет</w:t>
      </w:r>
      <w:r w:rsidRPr="00D03F3E">
        <w:rPr>
          <w:rFonts w:ascii="Times New Roman" w:hAnsi="Times New Roman"/>
          <w:color w:val="000000" w:themeColor="text1"/>
          <w:sz w:val="16"/>
          <w:szCs w:val="16"/>
        </w:rPr>
        <w:softHyphen/>
        <w:t>ном режиме 0,515 кг/л, с., а на номинальном режиме — 0,582.</w:t>
      </w:r>
    </w:p>
    <w:p w14:paraId="156A3F2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Характеристики моторов АМ-38, АМ-39. АМ-42</w:t>
      </w:r>
    </w:p>
    <w:tbl>
      <w:tblPr>
        <w:tblW w:w="0" w:type="auto"/>
        <w:tblInd w:w="40" w:type="dxa"/>
        <w:tblLayout w:type="fixed"/>
        <w:tblCellMar>
          <w:left w:w="40" w:type="dxa"/>
          <w:right w:w="40" w:type="dxa"/>
        </w:tblCellMar>
        <w:tblLook w:val="0000" w:firstRow="0" w:lastRow="0" w:firstColumn="0" w:lastColumn="0" w:noHBand="0" w:noVBand="0"/>
      </w:tblPr>
      <w:tblGrid>
        <w:gridCol w:w="1546"/>
        <w:gridCol w:w="2438"/>
        <w:gridCol w:w="835"/>
        <w:gridCol w:w="787"/>
        <w:gridCol w:w="816"/>
      </w:tblGrid>
      <w:tr w:rsidR="00860B4B" w:rsidRPr="00D03F3E" w14:paraId="477FD4A5" w14:textId="77777777">
        <w:trPr>
          <w:trHeight w:val="413"/>
        </w:trPr>
        <w:tc>
          <w:tcPr>
            <w:tcW w:w="3984" w:type="dxa"/>
            <w:gridSpan w:val="2"/>
            <w:tcBorders>
              <w:top w:val="single" w:sz="6" w:space="0" w:color="auto"/>
              <w:left w:val="single" w:sz="6" w:space="0" w:color="auto"/>
              <w:bottom w:val="single" w:sz="6" w:space="0" w:color="auto"/>
              <w:right w:val="single" w:sz="6" w:space="0" w:color="auto"/>
            </w:tcBorders>
          </w:tcPr>
          <w:p w14:paraId="2804C01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w:t>
            </w:r>
          </w:p>
        </w:tc>
        <w:tc>
          <w:tcPr>
            <w:tcW w:w="835" w:type="dxa"/>
            <w:tcBorders>
              <w:top w:val="single" w:sz="6" w:space="0" w:color="auto"/>
              <w:left w:val="single" w:sz="6" w:space="0" w:color="auto"/>
              <w:bottom w:val="single" w:sz="6" w:space="0" w:color="auto"/>
              <w:right w:val="single" w:sz="6" w:space="0" w:color="auto"/>
            </w:tcBorders>
          </w:tcPr>
          <w:p w14:paraId="5948EEF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АМ-38 1941</w:t>
            </w:r>
          </w:p>
        </w:tc>
        <w:tc>
          <w:tcPr>
            <w:tcW w:w="787" w:type="dxa"/>
            <w:tcBorders>
              <w:top w:val="single" w:sz="6" w:space="0" w:color="auto"/>
              <w:left w:val="single" w:sz="6" w:space="0" w:color="auto"/>
              <w:bottom w:val="single" w:sz="6" w:space="0" w:color="auto"/>
              <w:right w:val="single" w:sz="6" w:space="0" w:color="auto"/>
            </w:tcBorders>
          </w:tcPr>
          <w:p w14:paraId="5E03782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АМ-39 1944</w:t>
            </w:r>
          </w:p>
        </w:tc>
        <w:tc>
          <w:tcPr>
            <w:tcW w:w="816" w:type="dxa"/>
            <w:tcBorders>
              <w:top w:val="single" w:sz="6" w:space="0" w:color="auto"/>
              <w:left w:val="single" w:sz="6" w:space="0" w:color="auto"/>
              <w:bottom w:val="single" w:sz="6" w:space="0" w:color="auto"/>
              <w:right w:val="single" w:sz="6" w:space="0" w:color="auto"/>
            </w:tcBorders>
          </w:tcPr>
          <w:p w14:paraId="4626546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АМ-42 1944</w:t>
            </w:r>
          </w:p>
        </w:tc>
      </w:tr>
      <w:tr w:rsidR="00860B4B" w:rsidRPr="00D03F3E" w14:paraId="0DCB478A" w14:textId="77777777">
        <w:trPr>
          <w:trHeight w:val="547"/>
        </w:trPr>
        <w:tc>
          <w:tcPr>
            <w:tcW w:w="3984" w:type="dxa"/>
            <w:gridSpan w:val="2"/>
            <w:tcBorders>
              <w:top w:val="single" w:sz="6" w:space="0" w:color="auto"/>
              <w:left w:val="single" w:sz="6" w:space="0" w:color="auto"/>
              <w:bottom w:val="single" w:sz="6" w:space="0" w:color="auto"/>
              <w:right w:val="single" w:sz="6" w:space="0" w:color="auto"/>
            </w:tcBorders>
          </w:tcPr>
          <w:p w14:paraId="0E0D9BC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Степень сжатия</w:t>
            </w:r>
          </w:p>
        </w:tc>
        <w:tc>
          <w:tcPr>
            <w:tcW w:w="835" w:type="dxa"/>
            <w:tcBorders>
              <w:top w:val="single" w:sz="6" w:space="0" w:color="auto"/>
              <w:left w:val="single" w:sz="6" w:space="0" w:color="auto"/>
              <w:bottom w:val="single" w:sz="6" w:space="0" w:color="auto"/>
              <w:right w:val="single" w:sz="6" w:space="0" w:color="auto"/>
            </w:tcBorders>
          </w:tcPr>
          <w:p w14:paraId="3B1CFE7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6,8 860</w:t>
            </w:r>
          </w:p>
        </w:tc>
        <w:tc>
          <w:tcPr>
            <w:tcW w:w="787" w:type="dxa"/>
            <w:tcBorders>
              <w:top w:val="single" w:sz="6" w:space="0" w:color="auto"/>
              <w:left w:val="single" w:sz="6" w:space="0" w:color="auto"/>
              <w:bottom w:val="single" w:sz="6" w:space="0" w:color="auto"/>
              <w:right w:val="single" w:sz="6" w:space="0" w:color="auto"/>
            </w:tcBorders>
          </w:tcPr>
          <w:p w14:paraId="625B4D1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6,0971</w:t>
            </w:r>
          </w:p>
        </w:tc>
        <w:tc>
          <w:tcPr>
            <w:tcW w:w="816" w:type="dxa"/>
            <w:tcBorders>
              <w:top w:val="single" w:sz="6" w:space="0" w:color="auto"/>
              <w:left w:val="single" w:sz="6" w:space="0" w:color="auto"/>
              <w:bottom w:val="single" w:sz="6" w:space="0" w:color="auto"/>
              <w:right w:val="single" w:sz="6" w:space="0" w:color="auto"/>
            </w:tcBorders>
          </w:tcPr>
          <w:p w14:paraId="63AA0D4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5,5 996</w:t>
            </w:r>
          </w:p>
        </w:tc>
      </w:tr>
      <w:tr w:rsidR="00860B4B" w:rsidRPr="00D03F3E" w14:paraId="3BAAD132" w14:textId="77777777">
        <w:trPr>
          <w:trHeight w:val="643"/>
        </w:trPr>
        <w:tc>
          <w:tcPr>
            <w:tcW w:w="1546" w:type="dxa"/>
            <w:tcBorders>
              <w:top w:val="single" w:sz="6" w:space="0" w:color="auto"/>
              <w:left w:val="single" w:sz="6" w:space="0" w:color="auto"/>
              <w:bottom w:val="single" w:sz="6" w:space="0" w:color="auto"/>
              <w:right w:val="single" w:sz="6" w:space="0" w:color="auto"/>
            </w:tcBorders>
          </w:tcPr>
          <w:p w14:paraId="4A84333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Взлетный режим</w:t>
            </w:r>
          </w:p>
        </w:tc>
        <w:tc>
          <w:tcPr>
            <w:tcW w:w="2438" w:type="dxa"/>
            <w:tcBorders>
              <w:top w:val="single" w:sz="6" w:space="0" w:color="auto"/>
              <w:left w:val="single" w:sz="6" w:space="0" w:color="auto"/>
              <w:bottom w:val="single" w:sz="6" w:space="0" w:color="auto"/>
              <w:right w:val="single" w:sz="6" w:space="0" w:color="auto"/>
            </w:tcBorders>
          </w:tcPr>
          <w:p w14:paraId="4CAD22F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Мощность, л. с. Частота вращения, ой /мин Наддув, мм. рт. ст.</w:t>
            </w:r>
          </w:p>
        </w:tc>
        <w:tc>
          <w:tcPr>
            <w:tcW w:w="835" w:type="dxa"/>
            <w:tcBorders>
              <w:top w:val="single" w:sz="6" w:space="0" w:color="auto"/>
              <w:left w:val="single" w:sz="6" w:space="0" w:color="auto"/>
              <w:bottom w:val="single" w:sz="6" w:space="0" w:color="auto"/>
              <w:right w:val="single" w:sz="6" w:space="0" w:color="auto"/>
            </w:tcBorders>
          </w:tcPr>
          <w:p w14:paraId="292325B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1600 2150 1285</w:t>
            </w:r>
          </w:p>
        </w:tc>
        <w:tc>
          <w:tcPr>
            <w:tcW w:w="787" w:type="dxa"/>
            <w:tcBorders>
              <w:top w:val="single" w:sz="6" w:space="0" w:color="auto"/>
              <w:left w:val="single" w:sz="6" w:space="0" w:color="auto"/>
              <w:bottom w:val="single" w:sz="6" w:space="0" w:color="auto"/>
              <w:right w:val="single" w:sz="6" w:space="0" w:color="auto"/>
            </w:tcBorders>
          </w:tcPr>
          <w:p w14:paraId="446B8C7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1800 2350 1360</w:t>
            </w:r>
          </w:p>
        </w:tc>
        <w:tc>
          <w:tcPr>
            <w:tcW w:w="816" w:type="dxa"/>
            <w:tcBorders>
              <w:top w:val="single" w:sz="6" w:space="0" w:color="auto"/>
              <w:left w:val="single" w:sz="6" w:space="0" w:color="auto"/>
              <w:bottom w:val="single" w:sz="6" w:space="0" w:color="auto"/>
              <w:right w:val="single" w:sz="6" w:space="0" w:color="auto"/>
            </w:tcBorders>
          </w:tcPr>
          <w:p w14:paraId="6CF9868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2000 2500 1565</w:t>
            </w:r>
          </w:p>
        </w:tc>
      </w:tr>
      <w:tr w:rsidR="00860B4B" w:rsidRPr="00D03F3E" w14:paraId="7A8993A1" w14:textId="77777777">
        <w:trPr>
          <w:trHeight w:val="662"/>
        </w:trPr>
        <w:tc>
          <w:tcPr>
            <w:tcW w:w="1546" w:type="dxa"/>
            <w:tcBorders>
              <w:top w:val="single" w:sz="6" w:space="0" w:color="auto"/>
              <w:left w:val="single" w:sz="6" w:space="0" w:color="auto"/>
              <w:bottom w:val="single" w:sz="6" w:space="0" w:color="auto"/>
              <w:right w:val="single" w:sz="6" w:space="0" w:color="auto"/>
            </w:tcBorders>
          </w:tcPr>
          <w:p w14:paraId="2328313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Номинальный земной</w:t>
            </w:r>
          </w:p>
        </w:tc>
        <w:tc>
          <w:tcPr>
            <w:tcW w:w="2438" w:type="dxa"/>
            <w:tcBorders>
              <w:top w:val="single" w:sz="6" w:space="0" w:color="auto"/>
              <w:left w:val="single" w:sz="6" w:space="0" w:color="auto"/>
              <w:bottom w:val="single" w:sz="6" w:space="0" w:color="auto"/>
              <w:right w:val="single" w:sz="6" w:space="0" w:color="auto"/>
            </w:tcBorders>
          </w:tcPr>
          <w:p w14:paraId="57F52B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Частота вращения, ой/мин Наддув, мм. рт. ст. Мощность, л. с.</w:t>
            </w:r>
          </w:p>
        </w:tc>
        <w:tc>
          <w:tcPr>
            <w:tcW w:w="835" w:type="dxa"/>
            <w:tcBorders>
              <w:top w:val="single" w:sz="6" w:space="0" w:color="auto"/>
              <w:left w:val="single" w:sz="6" w:space="0" w:color="auto"/>
              <w:bottom w:val="single" w:sz="6" w:space="0" w:color="auto"/>
              <w:right w:val="single" w:sz="6" w:space="0" w:color="auto"/>
            </w:tcBorders>
          </w:tcPr>
          <w:p w14:paraId="7386448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2050 1180 1500</w:t>
            </w:r>
          </w:p>
        </w:tc>
        <w:tc>
          <w:tcPr>
            <w:tcW w:w="787" w:type="dxa"/>
            <w:tcBorders>
              <w:top w:val="single" w:sz="6" w:space="0" w:color="auto"/>
              <w:left w:val="single" w:sz="6" w:space="0" w:color="auto"/>
              <w:bottom w:val="single" w:sz="6" w:space="0" w:color="auto"/>
              <w:right w:val="single" w:sz="6" w:space="0" w:color="auto"/>
            </w:tcBorders>
          </w:tcPr>
          <w:p w14:paraId="00FFA71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2050 1200 1630</w:t>
            </w:r>
          </w:p>
        </w:tc>
        <w:tc>
          <w:tcPr>
            <w:tcW w:w="816" w:type="dxa"/>
            <w:tcBorders>
              <w:top w:val="single" w:sz="6" w:space="0" w:color="auto"/>
              <w:left w:val="single" w:sz="6" w:space="0" w:color="auto"/>
              <w:bottom w:val="single" w:sz="6" w:space="0" w:color="auto"/>
              <w:right w:val="single" w:sz="6" w:space="0" w:color="auto"/>
            </w:tcBorders>
          </w:tcPr>
          <w:p w14:paraId="6AB9F21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2350 1335 1750</w:t>
            </w:r>
          </w:p>
        </w:tc>
      </w:tr>
      <w:tr w:rsidR="00860B4B" w:rsidRPr="00D03F3E" w14:paraId="583C72F1" w14:textId="77777777">
        <w:trPr>
          <w:trHeight w:val="432"/>
        </w:trPr>
        <w:tc>
          <w:tcPr>
            <w:tcW w:w="1546" w:type="dxa"/>
            <w:tcBorders>
              <w:top w:val="single" w:sz="6" w:space="0" w:color="auto"/>
              <w:left w:val="single" w:sz="6" w:space="0" w:color="auto"/>
              <w:bottom w:val="single" w:sz="6" w:space="0" w:color="auto"/>
              <w:right w:val="single" w:sz="6" w:space="0" w:color="auto"/>
            </w:tcBorders>
          </w:tcPr>
          <w:p w14:paraId="0AF1780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Высотный</w:t>
            </w:r>
          </w:p>
        </w:tc>
        <w:tc>
          <w:tcPr>
            <w:tcW w:w="2438" w:type="dxa"/>
            <w:tcBorders>
              <w:top w:val="single" w:sz="6" w:space="0" w:color="auto"/>
              <w:left w:val="single" w:sz="6" w:space="0" w:color="auto"/>
              <w:bottom w:val="single" w:sz="6" w:space="0" w:color="auto"/>
              <w:right w:val="single" w:sz="6" w:space="0" w:color="auto"/>
            </w:tcBorders>
          </w:tcPr>
          <w:p w14:paraId="6C969E2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Высота, м Моoyjсть, л.с.</w:t>
            </w:r>
          </w:p>
        </w:tc>
        <w:tc>
          <w:tcPr>
            <w:tcW w:w="835" w:type="dxa"/>
            <w:tcBorders>
              <w:top w:val="single" w:sz="6" w:space="0" w:color="auto"/>
              <w:left w:val="single" w:sz="6" w:space="0" w:color="auto"/>
              <w:bottom w:val="single" w:sz="6" w:space="0" w:color="auto"/>
              <w:right w:val="single" w:sz="6" w:space="0" w:color="auto"/>
            </w:tcBorders>
          </w:tcPr>
          <w:p w14:paraId="693E107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1650 1500</w:t>
            </w:r>
          </w:p>
        </w:tc>
        <w:tc>
          <w:tcPr>
            <w:tcW w:w="787" w:type="dxa"/>
            <w:tcBorders>
              <w:top w:val="single" w:sz="6" w:space="0" w:color="auto"/>
              <w:left w:val="single" w:sz="6" w:space="0" w:color="auto"/>
              <w:bottom w:val="single" w:sz="6" w:space="0" w:color="auto"/>
              <w:right w:val="single" w:sz="6" w:space="0" w:color="auto"/>
            </w:tcBorders>
          </w:tcPr>
          <w:p w14:paraId="0D09839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5850 1500</w:t>
            </w:r>
          </w:p>
        </w:tc>
        <w:tc>
          <w:tcPr>
            <w:tcW w:w="816" w:type="dxa"/>
            <w:tcBorders>
              <w:top w:val="single" w:sz="6" w:space="0" w:color="auto"/>
              <w:left w:val="single" w:sz="6" w:space="0" w:color="auto"/>
              <w:bottom w:val="single" w:sz="6" w:space="0" w:color="auto"/>
              <w:right w:val="single" w:sz="6" w:space="0" w:color="auto"/>
            </w:tcBorders>
          </w:tcPr>
          <w:p w14:paraId="410AD93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1600 1770</w:t>
            </w:r>
          </w:p>
        </w:tc>
      </w:tr>
      <w:tr w:rsidR="00860B4B" w:rsidRPr="00D03F3E" w14:paraId="764C3D19" w14:textId="77777777">
        <w:trPr>
          <w:trHeight w:val="432"/>
        </w:trPr>
        <w:tc>
          <w:tcPr>
            <w:tcW w:w="1546" w:type="dxa"/>
            <w:tcBorders>
              <w:top w:val="single" w:sz="6" w:space="0" w:color="auto"/>
              <w:left w:val="single" w:sz="6" w:space="0" w:color="auto"/>
              <w:bottom w:val="single" w:sz="6" w:space="0" w:color="auto"/>
              <w:right w:val="single" w:sz="6" w:space="0" w:color="auto"/>
            </w:tcBorders>
          </w:tcPr>
          <w:p w14:paraId="22125E7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Номинальные удельные параметры</w:t>
            </w:r>
          </w:p>
        </w:tc>
        <w:tc>
          <w:tcPr>
            <w:tcW w:w="2438" w:type="dxa"/>
            <w:tcBorders>
              <w:top w:val="single" w:sz="6" w:space="0" w:color="auto"/>
              <w:left w:val="single" w:sz="6" w:space="0" w:color="auto"/>
              <w:bottom w:val="single" w:sz="6" w:space="0" w:color="auto"/>
              <w:right w:val="single" w:sz="6" w:space="0" w:color="auto"/>
            </w:tcBorders>
          </w:tcPr>
          <w:p w14:paraId="35BEF00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Литровая мощность, л. с./кг Ср. давление, кгс/см2 Удельная масса, кг/л. с.</w:t>
            </w:r>
          </w:p>
        </w:tc>
        <w:tc>
          <w:tcPr>
            <w:tcW w:w="835" w:type="dxa"/>
            <w:tcBorders>
              <w:top w:val="single" w:sz="6" w:space="0" w:color="auto"/>
              <w:left w:val="single" w:sz="6" w:space="0" w:color="auto"/>
              <w:bottom w:val="single" w:sz="6" w:space="0" w:color="auto"/>
              <w:right w:val="single" w:sz="6" w:space="0" w:color="auto"/>
            </w:tcBorders>
          </w:tcPr>
          <w:p w14:paraId="790BB6A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32,15 14,11 0,57</w:t>
            </w:r>
          </w:p>
        </w:tc>
        <w:tc>
          <w:tcPr>
            <w:tcW w:w="787" w:type="dxa"/>
            <w:tcBorders>
              <w:top w:val="single" w:sz="6" w:space="0" w:color="auto"/>
              <w:left w:val="single" w:sz="6" w:space="0" w:color="auto"/>
              <w:bottom w:val="single" w:sz="6" w:space="0" w:color="auto"/>
              <w:right w:val="single" w:sz="6" w:space="0" w:color="auto"/>
            </w:tcBorders>
          </w:tcPr>
          <w:p w14:paraId="516B0AA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38,6 14,87 0,53 </w:t>
            </w:r>
          </w:p>
        </w:tc>
        <w:tc>
          <w:tcPr>
            <w:tcW w:w="816" w:type="dxa"/>
            <w:tcBorders>
              <w:top w:val="single" w:sz="6" w:space="0" w:color="auto"/>
              <w:left w:val="single" w:sz="6" w:space="0" w:color="auto"/>
              <w:bottom w:val="single" w:sz="6" w:space="0" w:color="auto"/>
              <w:right w:val="single" w:sz="6" w:space="0" w:color="auto"/>
            </w:tcBorders>
          </w:tcPr>
          <w:p w14:paraId="12843E0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37,э 14,36 0,57 </w:t>
            </w:r>
          </w:p>
        </w:tc>
      </w:tr>
      <w:tr w:rsidR="00860B4B" w:rsidRPr="00D03F3E" w14:paraId="5EBE73B9" w14:textId="77777777">
        <w:trPr>
          <w:trHeight w:val="432"/>
        </w:trPr>
        <w:tc>
          <w:tcPr>
            <w:tcW w:w="1546" w:type="dxa"/>
            <w:tcBorders>
              <w:top w:val="single" w:sz="6" w:space="0" w:color="auto"/>
              <w:left w:val="single" w:sz="6" w:space="0" w:color="auto"/>
              <w:bottom w:val="single" w:sz="6" w:space="0" w:color="auto"/>
              <w:right w:val="single" w:sz="6" w:space="0" w:color="auto"/>
            </w:tcBorders>
          </w:tcPr>
          <w:p w14:paraId="65D0EEE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Степень редукции</w:t>
            </w:r>
          </w:p>
        </w:tc>
        <w:tc>
          <w:tcPr>
            <w:tcW w:w="2438" w:type="dxa"/>
            <w:tcBorders>
              <w:top w:val="single" w:sz="6" w:space="0" w:color="auto"/>
              <w:left w:val="single" w:sz="6" w:space="0" w:color="auto"/>
              <w:bottom w:val="single" w:sz="6" w:space="0" w:color="auto"/>
              <w:right w:val="single" w:sz="6" w:space="0" w:color="auto"/>
            </w:tcBorders>
          </w:tcPr>
          <w:p w14:paraId="1B68FEE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0.732</w:t>
            </w:r>
          </w:p>
        </w:tc>
        <w:tc>
          <w:tcPr>
            <w:tcW w:w="835" w:type="dxa"/>
            <w:tcBorders>
              <w:top w:val="single" w:sz="6" w:space="0" w:color="auto"/>
              <w:left w:val="single" w:sz="6" w:space="0" w:color="auto"/>
              <w:bottom w:val="single" w:sz="6" w:space="0" w:color="auto"/>
              <w:right w:val="single" w:sz="6" w:space="0" w:color="auto"/>
            </w:tcBorders>
          </w:tcPr>
          <w:p w14:paraId="2607197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967C8C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0,732</w:t>
            </w:r>
          </w:p>
        </w:tc>
        <w:tc>
          <w:tcPr>
            <w:tcW w:w="816" w:type="dxa"/>
            <w:tcBorders>
              <w:top w:val="single" w:sz="6" w:space="0" w:color="auto"/>
              <w:left w:val="single" w:sz="6" w:space="0" w:color="auto"/>
              <w:bottom w:val="single" w:sz="6" w:space="0" w:color="auto"/>
              <w:right w:val="single" w:sz="6" w:space="0" w:color="auto"/>
            </w:tcBorders>
          </w:tcPr>
          <w:p w14:paraId="1D8DA9F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0,60</w:t>
            </w:r>
          </w:p>
        </w:tc>
      </w:tr>
    </w:tbl>
    <w:p w14:paraId="4B6A57D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мотор АМ-42 был внесен целый ряд конструктивных усовер</w:t>
      </w:r>
      <w:r w:rsidRPr="00D03F3E">
        <w:rPr>
          <w:rFonts w:ascii="Times New Roman" w:hAnsi="Times New Roman"/>
          <w:color w:val="000000" w:themeColor="text1"/>
          <w:sz w:val="16"/>
          <w:szCs w:val="16"/>
        </w:rPr>
        <w:softHyphen/>
        <w:t>шенствований по сравнению с предшественниками из семейства АМ. Для улучшения откачки масла из картера, устранения выбро</w:t>
      </w:r>
      <w:r w:rsidRPr="00D03F3E">
        <w:rPr>
          <w:rFonts w:ascii="Times New Roman" w:hAnsi="Times New Roman"/>
          <w:color w:val="000000" w:themeColor="text1"/>
          <w:sz w:val="16"/>
          <w:szCs w:val="16"/>
        </w:rPr>
        <w:softHyphen/>
        <w:t>са масла через суфлер, уменьшения теплоотдачи и, соответственно, температуры масла, при малых габаритах картера был введен поддон с клапанами и козырьками (дефлекторами). Поддон вместе с попе</w:t>
      </w:r>
      <w:r w:rsidRPr="00D03F3E">
        <w:rPr>
          <w:rFonts w:ascii="Times New Roman" w:hAnsi="Times New Roman"/>
          <w:color w:val="000000" w:themeColor="text1"/>
          <w:sz w:val="16"/>
          <w:szCs w:val="16"/>
        </w:rPr>
        <w:softHyphen/>
        <w:t>речными стенками картера образовывал шесть изолированных друг от друга кривошипно-шатунных камер. Такое решение устраняло возможность появления продольных воздушных вихрей. Для улуч</w:t>
      </w:r>
      <w:r w:rsidRPr="00D03F3E">
        <w:rPr>
          <w:rFonts w:ascii="Times New Roman" w:hAnsi="Times New Roman"/>
          <w:color w:val="000000" w:themeColor="text1"/>
          <w:sz w:val="16"/>
          <w:szCs w:val="16"/>
        </w:rPr>
        <w:softHyphen/>
        <w:t>шения очистки масла в нагнетающей масляной магистрали устанав</w:t>
      </w:r>
      <w:r w:rsidRPr="00D03F3E">
        <w:rPr>
          <w:rFonts w:ascii="Times New Roman" w:hAnsi="Times New Roman"/>
          <w:color w:val="000000" w:themeColor="text1"/>
          <w:sz w:val="16"/>
          <w:szCs w:val="16"/>
        </w:rPr>
        <w:softHyphen/>
        <w:t>ливались два фильтра МФМ-25. Редуктор выполнялся без амортизирующих промежуточных эле</w:t>
      </w:r>
      <w:r w:rsidRPr="00D03F3E">
        <w:rPr>
          <w:rFonts w:ascii="Times New Roman" w:hAnsi="Times New Roman"/>
          <w:color w:val="000000" w:themeColor="text1"/>
          <w:sz w:val="16"/>
          <w:szCs w:val="16"/>
        </w:rPr>
        <w:softHyphen/>
        <w:t>ментов в соединении большой шестерни редуктора с валом. Такая конструкция повышала частоту собственных колебаний системы «коленчатый вал — редуктор» и устраняла возможность резонанса на рабочих режимах мотора. Коленчатый вал спроектировали более жестким и прочным. На щеки вала установили противовесы, частич</w:t>
      </w:r>
      <w:r w:rsidRPr="00D03F3E">
        <w:rPr>
          <w:rFonts w:ascii="Times New Roman" w:hAnsi="Times New Roman"/>
          <w:color w:val="000000" w:themeColor="text1"/>
          <w:sz w:val="16"/>
          <w:szCs w:val="16"/>
        </w:rPr>
        <w:softHyphen/>
        <w:t>но разгружавшие его от действия инерционных сил и уменьшавшие нагрузку на коренные опоры. Механизм газораспределения с непосредственным действием ку</w:t>
      </w:r>
      <w:r w:rsidRPr="00D03F3E">
        <w:rPr>
          <w:rFonts w:ascii="Times New Roman" w:hAnsi="Times New Roman"/>
          <w:color w:val="000000" w:themeColor="text1"/>
          <w:sz w:val="16"/>
          <w:szCs w:val="16"/>
        </w:rPr>
        <w:softHyphen/>
        <w:t>лачков на тарелки клапанов был заменен другим, где передача уси</w:t>
      </w:r>
      <w:r w:rsidRPr="00D03F3E">
        <w:rPr>
          <w:rFonts w:ascii="Times New Roman" w:hAnsi="Times New Roman"/>
          <w:color w:val="000000" w:themeColor="text1"/>
          <w:sz w:val="16"/>
          <w:szCs w:val="16"/>
        </w:rPr>
        <w:softHyphen/>
        <w:t>лий на клапаны осуществлялась через рычажный механизм (его конструкция была аналогична примененной на немецких двигателях ДБ-605). Это уменьшило износ направляющих и повысило надеж</w:t>
      </w:r>
      <w:r w:rsidRPr="00D03F3E">
        <w:rPr>
          <w:rFonts w:ascii="Times New Roman" w:hAnsi="Times New Roman"/>
          <w:color w:val="000000" w:themeColor="text1"/>
          <w:sz w:val="16"/>
          <w:szCs w:val="16"/>
        </w:rPr>
        <w:softHyphen/>
        <w:t>ность клапанов. Каждый кулачок валика воздействовал на один вы</w:t>
      </w:r>
      <w:r w:rsidRPr="00D03F3E">
        <w:rPr>
          <w:rFonts w:ascii="Times New Roman" w:hAnsi="Times New Roman"/>
          <w:color w:val="000000" w:themeColor="text1"/>
          <w:sz w:val="16"/>
          <w:szCs w:val="16"/>
        </w:rPr>
        <w:softHyphen/>
        <w:t>пускной и один всасывающий клапаны (10781).</w:t>
      </w:r>
    </w:p>
    <w:p w14:paraId="49B9F3C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DCA1D7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был проект двухместного штурмовика Су-6 с М-82 (1454,64).</w:t>
      </w:r>
    </w:p>
    <w:p w14:paraId="4DD947F4" w14:textId="77777777" w:rsidR="00531570" w:rsidRPr="00D03F3E" w:rsidRDefault="00531570" w:rsidP="00D03F3E">
      <w:pPr>
        <w:pStyle w:val="Iauiue"/>
        <w:jc w:val="both"/>
        <w:rPr>
          <w:color w:val="000000" w:themeColor="text1"/>
          <w:sz w:val="16"/>
          <w:szCs w:val="16"/>
        </w:rPr>
      </w:pPr>
    </w:p>
    <w:p w14:paraId="23AA40D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на испытания в НИИ ВВС передали Пе-2 (заводской №7/187) с моторами М-105ПФ, оборудованный новой верхней стрелковой установкой ФЗ и увеличенным фонарём кабины пилота. Установка ФЗ (фронтовое задание) представляла собой вращающуюся турель с пулемётом УБТ, ук</w:t>
      </w:r>
      <w:r w:rsidRPr="00D03F3E">
        <w:rPr>
          <w:rFonts w:ascii="Times New Roman" w:hAnsi="Times New Roman"/>
          <w:color w:val="000000" w:themeColor="text1"/>
          <w:sz w:val="16"/>
          <w:szCs w:val="16"/>
        </w:rPr>
        <w:softHyphen/>
        <w:t>реплённым на трубчатой траверсе. Питание пулемёта - магазинное (ленты в коробках), два из них по 50 патронов, а третий - 90. Бла</w:t>
      </w:r>
      <w:r w:rsidRPr="00D03F3E">
        <w:rPr>
          <w:rFonts w:ascii="Times New Roman" w:hAnsi="Times New Roman"/>
          <w:color w:val="000000" w:themeColor="text1"/>
          <w:sz w:val="16"/>
          <w:szCs w:val="16"/>
        </w:rPr>
        <w:softHyphen/>
        <w:t>годаря этому и лёгкому ходу турели улучши</w:t>
      </w:r>
      <w:r w:rsidRPr="00D03F3E">
        <w:rPr>
          <w:rFonts w:ascii="Times New Roman" w:hAnsi="Times New Roman"/>
          <w:color w:val="000000" w:themeColor="text1"/>
          <w:sz w:val="16"/>
          <w:szCs w:val="16"/>
        </w:rPr>
        <w:softHyphen/>
        <w:t>лась маневренность установки (правда, смена магазина требовала до 30 с).</w:t>
      </w:r>
    </w:p>
    <w:p w14:paraId="55876DB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Больше всего лётчикам понравился «ду</w:t>
      </w:r>
      <w:r w:rsidRPr="00D03F3E">
        <w:rPr>
          <w:rFonts w:ascii="Times New Roman" w:hAnsi="Times New Roman"/>
          <w:color w:val="000000" w:themeColor="text1"/>
          <w:sz w:val="16"/>
          <w:szCs w:val="16"/>
        </w:rPr>
        <w:softHyphen/>
        <w:t>тый» фонарь, значительно улучшивший об</w:t>
      </w:r>
      <w:r w:rsidRPr="00D03F3E">
        <w:rPr>
          <w:rFonts w:ascii="Times New Roman" w:hAnsi="Times New Roman"/>
          <w:color w:val="000000" w:themeColor="text1"/>
          <w:sz w:val="16"/>
          <w:szCs w:val="16"/>
        </w:rPr>
        <w:softHyphen/>
        <w:t>зор и условия работы экипажа. Удачно зака-потированный экран ФЗ хорошо вписался в обводы и имел лучшую аэрокомпенсацию, положительно сказавшуюся на времени разворота и секторах обстрела. Конструкторы сумели восстановить силовую противо-капотажную раму. Удачным оказалось и ре</w:t>
      </w:r>
      <w:r w:rsidRPr="00D03F3E">
        <w:rPr>
          <w:rFonts w:ascii="Times New Roman" w:hAnsi="Times New Roman"/>
          <w:color w:val="000000" w:themeColor="text1"/>
          <w:sz w:val="16"/>
          <w:szCs w:val="16"/>
        </w:rPr>
        <w:softHyphen/>
        <w:t>шение сбрасываемой части: теперь лётчику достаточно было потянуть за ручку наверху, чтобы половинки фонаря сорвались с фик</w:t>
      </w:r>
      <w:r w:rsidRPr="00D03F3E">
        <w:rPr>
          <w:rFonts w:ascii="Times New Roman" w:hAnsi="Times New Roman"/>
          <w:color w:val="000000" w:themeColor="text1"/>
          <w:sz w:val="16"/>
          <w:szCs w:val="16"/>
        </w:rPr>
        <w:softHyphen/>
        <w:t>саторов, распахнулись и улетели в стороны, после чего можно было перевалиться за борт прямо с сиденья.</w:t>
      </w:r>
    </w:p>
    <w:p w14:paraId="478838D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проверки в НИИ ВВС Пе-2 (заво</w:t>
      </w:r>
      <w:r w:rsidRPr="00D03F3E">
        <w:rPr>
          <w:rFonts w:ascii="Times New Roman" w:hAnsi="Times New Roman"/>
          <w:color w:val="000000" w:themeColor="text1"/>
          <w:sz w:val="16"/>
          <w:szCs w:val="16"/>
        </w:rPr>
        <w:softHyphen/>
        <w:t>дской №7/187) передали для продолжения ис</w:t>
      </w:r>
      <w:r w:rsidRPr="00D03F3E">
        <w:rPr>
          <w:rFonts w:ascii="Times New Roman" w:hAnsi="Times New Roman"/>
          <w:color w:val="000000" w:themeColor="text1"/>
          <w:sz w:val="16"/>
          <w:szCs w:val="16"/>
        </w:rPr>
        <w:softHyphen/>
        <w:t>пытаний на НИПАВ, где вскрыли ряд дефек</w:t>
      </w:r>
      <w:r w:rsidRPr="00D03F3E">
        <w:rPr>
          <w:rFonts w:ascii="Times New Roman" w:hAnsi="Times New Roman"/>
          <w:color w:val="000000" w:themeColor="text1"/>
          <w:sz w:val="16"/>
          <w:szCs w:val="16"/>
        </w:rPr>
        <w:softHyphen/>
        <w:t>тов установки ФЗ. В ноябре 1943 г. на повтор</w:t>
      </w:r>
      <w:r w:rsidRPr="00D03F3E">
        <w:rPr>
          <w:rFonts w:ascii="Times New Roman" w:hAnsi="Times New Roman"/>
          <w:color w:val="000000" w:themeColor="text1"/>
          <w:sz w:val="16"/>
          <w:szCs w:val="16"/>
        </w:rPr>
        <w:softHyphen/>
        <w:t>ные испытания направили машину (заво</w:t>
      </w:r>
      <w:r w:rsidRPr="00D03F3E">
        <w:rPr>
          <w:rFonts w:ascii="Times New Roman" w:hAnsi="Times New Roman"/>
          <w:color w:val="000000" w:themeColor="text1"/>
          <w:sz w:val="16"/>
          <w:szCs w:val="16"/>
        </w:rPr>
        <w:softHyphen/>
        <w:t>дской №3/198) с доработанным фонарём ка</w:t>
      </w:r>
      <w:r w:rsidRPr="00D03F3E">
        <w:rPr>
          <w:rFonts w:ascii="Times New Roman" w:hAnsi="Times New Roman"/>
          <w:color w:val="000000" w:themeColor="text1"/>
          <w:sz w:val="16"/>
          <w:szCs w:val="16"/>
        </w:rPr>
        <w:softHyphen/>
        <w:t>бины лётчика и установкой ФЗ. На этот раз нововведения получили безоговорочную под</w:t>
      </w:r>
      <w:r w:rsidRPr="00D03F3E">
        <w:rPr>
          <w:rFonts w:ascii="Times New Roman" w:hAnsi="Times New Roman"/>
          <w:color w:val="000000" w:themeColor="text1"/>
          <w:sz w:val="16"/>
          <w:szCs w:val="16"/>
        </w:rPr>
        <w:softHyphen/>
        <w:t>держку военных и были рекомендованы в се</w:t>
      </w:r>
      <w:r w:rsidRPr="00D03F3E">
        <w:rPr>
          <w:rFonts w:ascii="Times New Roman" w:hAnsi="Times New Roman"/>
          <w:color w:val="000000" w:themeColor="text1"/>
          <w:sz w:val="16"/>
          <w:szCs w:val="16"/>
        </w:rPr>
        <w:softHyphen/>
        <w:t>рию. Самолёт Пе-2Б, считавшийся эталоном на 1944 г., также оснащали новым фонарём с ФЗ. И вот тут началась одна из самых не</w:t>
      </w:r>
      <w:r w:rsidRPr="00D03F3E">
        <w:rPr>
          <w:rFonts w:ascii="Times New Roman" w:hAnsi="Times New Roman"/>
          <w:color w:val="000000" w:themeColor="text1"/>
          <w:sz w:val="16"/>
          <w:szCs w:val="16"/>
        </w:rPr>
        <w:softHyphen/>
        <w:t>приглядных страниц в истории «пешки».</w:t>
      </w:r>
    </w:p>
    <w:p w14:paraId="4FF8FDD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казалось, понимали, что ФЗ ради</w:t>
      </w:r>
      <w:r w:rsidRPr="00D03F3E">
        <w:rPr>
          <w:rFonts w:ascii="Times New Roman" w:hAnsi="Times New Roman"/>
          <w:color w:val="000000" w:themeColor="text1"/>
          <w:sz w:val="16"/>
          <w:szCs w:val="16"/>
        </w:rPr>
        <w:softHyphen/>
        <w:t>кально повысит обороноспособность само</w:t>
      </w:r>
      <w:r w:rsidRPr="00D03F3E">
        <w:rPr>
          <w:rFonts w:ascii="Times New Roman" w:hAnsi="Times New Roman"/>
          <w:color w:val="000000" w:themeColor="text1"/>
          <w:sz w:val="16"/>
          <w:szCs w:val="16"/>
        </w:rPr>
        <w:softHyphen/>
        <w:t>лёта, улучшит условия работы пилота и штурмана, безопасность экипажа. Но дело не двигалось. Наркомат авиапромышленно</w:t>
      </w:r>
      <w:r w:rsidRPr="00D03F3E">
        <w:rPr>
          <w:rFonts w:ascii="Times New Roman" w:hAnsi="Times New Roman"/>
          <w:color w:val="000000" w:themeColor="text1"/>
          <w:sz w:val="16"/>
          <w:szCs w:val="16"/>
        </w:rPr>
        <w:softHyphen/>
        <w:t>сти не разрешал внедрять установку (опаса</w:t>
      </w:r>
      <w:r w:rsidRPr="00D03F3E">
        <w:rPr>
          <w:rFonts w:ascii="Times New Roman" w:hAnsi="Times New Roman"/>
          <w:color w:val="000000" w:themeColor="text1"/>
          <w:sz w:val="16"/>
          <w:szCs w:val="16"/>
        </w:rPr>
        <w:softHyphen/>
        <w:t>ясь срыва плановых заданий), заводские специалисты не решались повторить опыт с несанкционированным внедрением ФТ (то</w:t>
      </w:r>
      <w:r w:rsidRPr="00D03F3E">
        <w:rPr>
          <w:rFonts w:ascii="Times New Roman" w:hAnsi="Times New Roman"/>
          <w:color w:val="000000" w:themeColor="text1"/>
          <w:sz w:val="16"/>
          <w:szCs w:val="16"/>
        </w:rPr>
        <w:softHyphen/>
        <w:t>гда директор завода В.Окулов и главный кон</w:t>
      </w:r>
      <w:r w:rsidRPr="00D03F3E">
        <w:rPr>
          <w:rFonts w:ascii="Times New Roman" w:hAnsi="Times New Roman"/>
          <w:color w:val="000000" w:themeColor="text1"/>
          <w:sz w:val="16"/>
          <w:szCs w:val="16"/>
        </w:rPr>
        <w:softHyphen/>
        <w:t>структор А.Изаксон едва не поплатились за самовольство), а руководство ВВС КА как-то «очень скромно» настаивало на своём (ве</w:t>
      </w:r>
      <w:r w:rsidRPr="00D03F3E">
        <w:rPr>
          <w:rFonts w:ascii="Times New Roman" w:hAnsi="Times New Roman"/>
          <w:color w:val="000000" w:themeColor="text1"/>
          <w:sz w:val="16"/>
          <w:szCs w:val="16"/>
        </w:rPr>
        <w:softHyphen/>
        <w:t>роятно, оно тоже опасалось даже временно</w:t>
      </w:r>
      <w:r w:rsidRPr="00D03F3E">
        <w:rPr>
          <w:rFonts w:ascii="Times New Roman" w:hAnsi="Times New Roman"/>
          <w:color w:val="000000" w:themeColor="text1"/>
          <w:sz w:val="16"/>
          <w:szCs w:val="16"/>
        </w:rPr>
        <w:softHyphen/>
        <w:t>го снижения выпуска массового фронтового бомбардировщика). «Пешка» в который раз оказалась в порочном кругу: «хронический аврал» промышленности требовал «гнать план», восполняя потери, а уменьшить их, качественно улучшив конструкцию, не давал неумолимый темп выпуска. В результате Пе-2 с установкой ФЗ так и не стал серий</w:t>
      </w:r>
      <w:r w:rsidRPr="00D03F3E">
        <w:rPr>
          <w:rFonts w:ascii="Times New Roman" w:hAnsi="Times New Roman"/>
          <w:color w:val="000000" w:themeColor="text1"/>
          <w:sz w:val="16"/>
          <w:szCs w:val="16"/>
        </w:rPr>
        <w:softHyphen/>
        <w:t>ным, а десятки (если не сотни) экипажей по</w:t>
      </w:r>
      <w:r w:rsidRPr="00D03F3E">
        <w:rPr>
          <w:rFonts w:ascii="Times New Roman" w:hAnsi="Times New Roman"/>
          <w:color w:val="000000" w:themeColor="text1"/>
          <w:sz w:val="16"/>
          <w:szCs w:val="16"/>
        </w:rPr>
        <w:softHyphen/>
        <w:t>платились за это своими жизнями.</w:t>
      </w:r>
    </w:p>
    <w:p w14:paraId="1E2E553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Кстати, усиление вооружения и возрос</w:t>
      </w:r>
      <w:r w:rsidRPr="00D03F3E">
        <w:rPr>
          <w:rFonts w:ascii="Times New Roman" w:hAnsi="Times New Roman"/>
          <w:color w:val="000000" w:themeColor="text1"/>
          <w:sz w:val="16"/>
          <w:szCs w:val="16"/>
        </w:rPr>
        <w:softHyphen/>
        <w:t>шая масса Пе-2 не лучшим образом отозва</w:t>
      </w:r>
      <w:r w:rsidRPr="00D03F3E">
        <w:rPr>
          <w:rFonts w:ascii="Times New Roman" w:hAnsi="Times New Roman"/>
          <w:color w:val="000000" w:themeColor="text1"/>
          <w:sz w:val="16"/>
          <w:szCs w:val="16"/>
        </w:rPr>
        <w:softHyphen/>
        <w:t>лись на ЛТХ: бортовой пулемёт и громозд</w:t>
      </w:r>
      <w:r w:rsidRPr="00D03F3E">
        <w:rPr>
          <w:rFonts w:ascii="Times New Roman" w:hAnsi="Times New Roman"/>
          <w:color w:val="000000" w:themeColor="text1"/>
          <w:sz w:val="16"/>
          <w:szCs w:val="16"/>
        </w:rPr>
        <w:softHyphen/>
        <w:t>кий экран турели ВУБ-1 отнимали 12-14 км/ч, ещё 16-20 км/ч «съедали» плохая отделка и низкое качество сборки, из-за чего само</w:t>
      </w:r>
      <w:r w:rsidRPr="00D03F3E">
        <w:rPr>
          <w:rFonts w:ascii="Times New Roman" w:hAnsi="Times New Roman"/>
          <w:color w:val="000000" w:themeColor="text1"/>
          <w:sz w:val="16"/>
          <w:szCs w:val="16"/>
        </w:rPr>
        <w:softHyphen/>
        <w:t>лёты выпуска второй половины 1942 г. в мак</w:t>
      </w:r>
      <w:r w:rsidRPr="00D03F3E">
        <w:rPr>
          <w:rFonts w:ascii="Times New Roman" w:hAnsi="Times New Roman"/>
          <w:color w:val="000000" w:themeColor="text1"/>
          <w:sz w:val="16"/>
          <w:szCs w:val="16"/>
        </w:rPr>
        <w:softHyphen/>
        <w:t>симальной скорости более чем на 40 км/ч уступали машинам августа 1941 г. Предпри</w:t>
      </w:r>
      <w:r w:rsidRPr="00D03F3E">
        <w:rPr>
          <w:rFonts w:ascii="Times New Roman" w:hAnsi="Times New Roman"/>
          <w:color w:val="000000" w:themeColor="text1"/>
          <w:sz w:val="16"/>
          <w:szCs w:val="16"/>
        </w:rPr>
        <w:softHyphen/>
        <w:t>нятое с 205-й серии улучшение аэродинами</w:t>
      </w:r>
      <w:r w:rsidRPr="00D03F3E">
        <w:rPr>
          <w:rFonts w:ascii="Times New Roman" w:hAnsi="Times New Roman"/>
          <w:color w:val="000000" w:themeColor="text1"/>
          <w:sz w:val="16"/>
          <w:szCs w:val="16"/>
        </w:rPr>
        <w:softHyphen/>
        <w:t>ки (ещё раньше, со 179-й серии, убрали в крыло замки и упоры крыльевых бомбо</w:t>
      </w:r>
      <w:r w:rsidRPr="00D03F3E">
        <w:rPr>
          <w:rFonts w:ascii="Times New Roman" w:hAnsi="Times New Roman"/>
          <w:color w:val="000000" w:themeColor="text1"/>
          <w:sz w:val="16"/>
          <w:szCs w:val="16"/>
        </w:rPr>
        <w:softHyphen/>
        <w:t>держателей) позволили подтянуть скорость лишь до 520 км/ч. Но «пешка» уже не могла тягаться с немецкими истребителями, ЛТХ и вооружение которых заметно улучшились. Р\Л/190А-4 и ВП096-6 легко настигали Пе-2, даже имеющего преимущество в высоте (11392).</w:t>
      </w:r>
    </w:p>
    <w:p w14:paraId="728785A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41F48B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после отработки документации начался монтаж АРУ на серийной машине Пе-2 зав. № 15/185. В августе доработка "пешки" была завершена, и самолет отправили вЛЭС для проведения первого этапа испытаний. В ходе отладочных наземных огневых испытаний в 1943 г. на самолете выполнили 38 пусков двигателя РД-1 на земле (12042).</w:t>
      </w:r>
    </w:p>
    <w:p w14:paraId="4F3631E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D247FEB" w14:textId="77777777" w:rsidR="003770F2" w:rsidRPr="00D03F3E" w:rsidRDefault="003770F2" w:rsidP="00D03F3E">
      <w:pPr>
        <w:pStyle w:val="a3"/>
        <w:rPr>
          <w:color w:val="000000" w:themeColor="text1"/>
          <w:lang w:val="ru-RU"/>
        </w:rPr>
      </w:pPr>
      <w:r w:rsidRPr="00D03F3E">
        <w:rPr>
          <w:color w:val="000000" w:themeColor="text1"/>
          <w:lang w:val="ru-RU"/>
        </w:rPr>
        <w:t>В мае 1943 г. самолет ДВБ-102 М-71 снова передали на испытания. В их ходе было выявлено большое ко</w:t>
      </w:r>
      <w:r w:rsidRPr="00D03F3E">
        <w:rPr>
          <w:color w:val="000000" w:themeColor="text1"/>
          <w:lang w:val="ru-RU"/>
        </w:rPr>
        <w:softHyphen/>
        <w:t>личество дефектов силовой установки. Предстояла большая работа по ее до</w:t>
      </w:r>
      <w:r w:rsidRPr="00D03F3E">
        <w:rPr>
          <w:color w:val="000000" w:themeColor="text1"/>
          <w:lang w:val="ru-RU"/>
        </w:rPr>
        <w:softHyphen/>
        <w:t>водке, причем представители моторного завода №19 считали, что большинство отказов происходило не по вине их про</w:t>
      </w:r>
      <w:r w:rsidRPr="00D03F3E">
        <w:rPr>
          <w:color w:val="000000" w:themeColor="text1"/>
          <w:lang w:val="ru-RU"/>
        </w:rPr>
        <w:softHyphen/>
        <w:t>дукции, а из-за плохой работы самолет</w:t>
      </w:r>
      <w:r w:rsidRPr="00D03F3E">
        <w:rPr>
          <w:color w:val="000000" w:themeColor="text1"/>
          <w:lang w:val="ru-RU"/>
        </w:rPr>
        <w:softHyphen/>
        <w:t>ных систем - жалюзи охлаждения, мас- лорадиаторов, топливопитания и т.п. (17739).</w:t>
      </w:r>
    </w:p>
    <w:p w14:paraId="2C4C4BE4" w14:textId="77777777" w:rsidR="003770F2" w:rsidRPr="00D03F3E" w:rsidRDefault="003770F2" w:rsidP="00D03F3E">
      <w:pPr>
        <w:spacing w:after="0" w:line="240" w:lineRule="auto"/>
        <w:jc w:val="both"/>
        <w:rPr>
          <w:rFonts w:ascii="Times New Roman" w:hAnsi="Times New Roman"/>
          <w:color w:val="000000" w:themeColor="text1"/>
          <w:sz w:val="16"/>
          <w:szCs w:val="16"/>
        </w:rPr>
      </w:pPr>
    </w:p>
    <w:p w14:paraId="0608248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по решению Инстанции (именно так, с большой буквы на</w:t>
      </w:r>
      <w:r w:rsidRPr="00D03F3E">
        <w:rPr>
          <w:rFonts w:ascii="Times New Roman" w:hAnsi="Times New Roman"/>
          <w:color w:val="000000" w:themeColor="text1"/>
          <w:sz w:val="16"/>
          <w:szCs w:val="16"/>
        </w:rPr>
        <w:softHyphen/>
        <w:t>писано в годовом отчете завода № 51) было принято ре</w:t>
      </w:r>
      <w:r w:rsidRPr="00D03F3E">
        <w:rPr>
          <w:rFonts w:ascii="Times New Roman" w:hAnsi="Times New Roman"/>
          <w:color w:val="000000" w:themeColor="text1"/>
          <w:sz w:val="16"/>
          <w:szCs w:val="16"/>
        </w:rPr>
        <w:softHyphen/>
        <w:t>шение прекратить все работы, связанные с внедрением И-185 в серийное производство. Для Поликарпова это явилось тяжелым ударом, тем более что самолет являлся перспективной машиной, имевшей дальнейшее развитие в виде модификаций, получивших обозначение И-187 и И-188, с еще более высокими летными характеристиками при практически неизменных геометрических размерах (10667).</w:t>
      </w:r>
    </w:p>
    <w:p w14:paraId="016CFE9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D6FDA9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пушка НС-37 прошла войсковые испытания на ЛаГГ-3, которые начались в апреле 1943 и после этого ее окончательно приняли на вооружение (65,114).</w:t>
      </w:r>
    </w:p>
    <w:p w14:paraId="5722D197" w14:textId="77777777" w:rsidR="00531570" w:rsidRPr="00D03F3E" w:rsidRDefault="00531570" w:rsidP="00D03F3E">
      <w:pPr>
        <w:pStyle w:val="Iauiue"/>
        <w:jc w:val="both"/>
        <w:rPr>
          <w:color w:val="000000" w:themeColor="text1"/>
          <w:sz w:val="16"/>
          <w:szCs w:val="16"/>
        </w:rPr>
      </w:pPr>
    </w:p>
    <w:p w14:paraId="6DCF6C4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на аэродром 21-го завода вышли первые серийные Ла-5ФН. Но</w:t>
      </w:r>
      <w:r w:rsidRPr="00D03F3E">
        <w:rPr>
          <w:rFonts w:ascii="Times New Roman" w:hAnsi="Times New Roman"/>
          <w:color w:val="000000" w:themeColor="text1"/>
          <w:sz w:val="16"/>
          <w:szCs w:val="16"/>
        </w:rPr>
        <w:softHyphen/>
        <w:t>винке уделялось максимум внимания, т.к. в процессе первых поле</w:t>
      </w:r>
      <w:r w:rsidRPr="00D03F3E">
        <w:rPr>
          <w:rFonts w:ascii="Times New Roman" w:hAnsi="Times New Roman"/>
          <w:color w:val="000000" w:themeColor="text1"/>
          <w:sz w:val="16"/>
          <w:szCs w:val="16"/>
        </w:rPr>
        <w:softHyphen/>
        <w:t>тов всегда выявляется много дефек</w:t>
      </w:r>
      <w:r w:rsidRPr="00D03F3E">
        <w:rPr>
          <w:rFonts w:ascii="Times New Roman" w:hAnsi="Times New Roman"/>
          <w:color w:val="000000" w:themeColor="text1"/>
          <w:sz w:val="16"/>
          <w:szCs w:val="16"/>
        </w:rPr>
        <w:softHyphen/>
        <w:t>тов, которые необходимо как можно скорее устранить в серийном произ</w:t>
      </w:r>
      <w:r w:rsidRPr="00D03F3E">
        <w:rPr>
          <w:rFonts w:ascii="Times New Roman" w:hAnsi="Times New Roman"/>
          <w:color w:val="000000" w:themeColor="text1"/>
          <w:sz w:val="16"/>
          <w:szCs w:val="16"/>
        </w:rPr>
        <w:softHyphen/>
        <w:t>водстве, до поступления самолетов в массовую эксплуатацию на фронте. В случае с Ла-5ФН эта невиди</w:t>
      </w:r>
      <w:r w:rsidRPr="00D03F3E">
        <w:rPr>
          <w:rFonts w:ascii="Times New Roman" w:hAnsi="Times New Roman"/>
          <w:color w:val="000000" w:themeColor="text1"/>
          <w:sz w:val="16"/>
          <w:szCs w:val="16"/>
        </w:rPr>
        <w:softHyphen/>
        <w:t>мая с фронта тыловая работа оказа</w:t>
      </w:r>
      <w:r w:rsidRPr="00D03F3E">
        <w:rPr>
          <w:rFonts w:ascii="Times New Roman" w:hAnsi="Times New Roman"/>
          <w:color w:val="000000" w:themeColor="text1"/>
          <w:sz w:val="16"/>
          <w:szCs w:val="16"/>
        </w:rPr>
        <w:softHyphen/>
        <w:t>лась весьма кстати (10713).</w:t>
      </w:r>
    </w:p>
    <w:p w14:paraId="4979417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BD09D0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года сборочный цех завода № 21 стали покидать первые серийные Ла-5ФН. По-прежнему высоким оставался разброс взлетных весов истребителей и их летных данных. Видимо, самым легким был Ла-5ФН № 3811022 с металлическими лонжеронами, выпущенный заводом № 381 в феврале 1944 г. При весе 3145 кг он развивал скорость 595 км/ч на высоте 5950 м, а самым тяжелым - горьковский Ла-5ФН № 39210206 - 3445 кг (12032).</w:t>
      </w:r>
    </w:p>
    <w:p w14:paraId="1D254E5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Таблица 2. Основные данные модификаций истребителя Ла-5, выпущенных заводом № 381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134"/>
        <w:gridCol w:w="992"/>
        <w:gridCol w:w="993"/>
      </w:tblGrid>
      <w:tr w:rsidR="00860B4B" w:rsidRPr="00D03F3E" w14:paraId="6112AD57" w14:textId="77777777">
        <w:tc>
          <w:tcPr>
            <w:tcW w:w="1951" w:type="dxa"/>
            <w:tcBorders>
              <w:top w:val="single" w:sz="12" w:space="0" w:color="auto"/>
            </w:tcBorders>
          </w:tcPr>
          <w:p w14:paraId="3B3A506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самолета</w:t>
            </w:r>
          </w:p>
        </w:tc>
        <w:tc>
          <w:tcPr>
            <w:tcW w:w="1134" w:type="dxa"/>
            <w:tcBorders>
              <w:top w:val="single" w:sz="12" w:space="0" w:color="auto"/>
            </w:tcBorders>
          </w:tcPr>
          <w:p w14:paraId="472BEE4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Ла-5Ф</w:t>
            </w:r>
          </w:p>
        </w:tc>
        <w:tc>
          <w:tcPr>
            <w:tcW w:w="992" w:type="dxa"/>
            <w:tcBorders>
              <w:top w:val="single" w:sz="12" w:space="0" w:color="auto"/>
            </w:tcBorders>
          </w:tcPr>
          <w:p w14:paraId="7B61696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Ла-5ФН</w:t>
            </w:r>
          </w:p>
        </w:tc>
        <w:tc>
          <w:tcPr>
            <w:tcW w:w="993" w:type="dxa"/>
            <w:tcBorders>
              <w:top w:val="single" w:sz="12" w:space="0" w:color="auto"/>
            </w:tcBorders>
          </w:tcPr>
          <w:p w14:paraId="6316143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Ла-5УТИ</w:t>
            </w:r>
          </w:p>
        </w:tc>
      </w:tr>
      <w:tr w:rsidR="00860B4B" w:rsidRPr="00D03F3E" w14:paraId="242188A1" w14:textId="77777777">
        <w:tc>
          <w:tcPr>
            <w:tcW w:w="1951" w:type="dxa"/>
          </w:tcPr>
          <w:p w14:paraId="2490CC42"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134" w:type="dxa"/>
          </w:tcPr>
          <w:p w14:paraId="61F8B7C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3811022</w:t>
            </w:r>
          </w:p>
        </w:tc>
        <w:tc>
          <w:tcPr>
            <w:tcW w:w="992" w:type="dxa"/>
          </w:tcPr>
          <w:p w14:paraId="1DAFF35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"Гибрид"</w:t>
            </w:r>
          </w:p>
        </w:tc>
        <w:tc>
          <w:tcPr>
            <w:tcW w:w="993" w:type="dxa"/>
          </w:tcPr>
          <w:p w14:paraId="0216149D"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r>
      <w:tr w:rsidR="00860B4B" w:rsidRPr="00D03F3E" w14:paraId="4BC1BEE6" w14:textId="77777777">
        <w:tc>
          <w:tcPr>
            <w:tcW w:w="1951" w:type="dxa"/>
          </w:tcPr>
          <w:p w14:paraId="358347C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Двигатель</w:t>
            </w:r>
          </w:p>
        </w:tc>
        <w:tc>
          <w:tcPr>
            <w:tcW w:w="1134" w:type="dxa"/>
          </w:tcPr>
          <w:p w14:paraId="086686F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М-82Ф</w:t>
            </w:r>
          </w:p>
        </w:tc>
        <w:tc>
          <w:tcPr>
            <w:tcW w:w="992" w:type="dxa"/>
          </w:tcPr>
          <w:p w14:paraId="6054CFD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М-82ФН</w:t>
            </w:r>
          </w:p>
        </w:tc>
        <w:tc>
          <w:tcPr>
            <w:tcW w:w="993" w:type="dxa"/>
          </w:tcPr>
          <w:p w14:paraId="30B5DBE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М-82Ф</w:t>
            </w:r>
          </w:p>
        </w:tc>
      </w:tr>
      <w:tr w:rsidR="00860B4B" w:rsidRPr="00D03F3E" w14:paraId="1FBA0B55" w14:textId="77777777">
        <w:tc>
          <w:tcPr>
            <w:tcW w:w="1951" w:type="dxa"/>
          </w:tcPr>
          <w:p w14:paraId="62C56E2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взлетный нормальный, кг</w:t>
            </w:r>
          </w:p>
        </w:tc>
        <w:tc>
          <w:tcPr>
            <w:tcW w:w="1134" w:type="dxa"/>
          </w:tcPr>
          <w:p w14:paraId="4B20680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3145</w:t>
            </w:r>
          </w:p>
        </w:tc>
        <w:tc>
          <w:tcPr>
            <w:tcW w:w="992" w:type="dxa"/>
          </w:tcPr>
          <w:p w14:paraId="35447AF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3222</w:t>
            </w:r>
          </w:p>
        </w:tc>
        <w:tc>
          <w:tcPr>
            <w:tcW w:w="993" w:type="dxa"/>
          </w:tcPr>
          <w:p w14:paraId="1F2D163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3210</w:t>
            </w:r>
          </w:p>
        </w:tc>
      </w:tr>
      <w:tr w:rsidR="00860B4B" w:rsidRPr="00D03F3E" w14:paraId="7377C984" w14:textId="77777777">
        <w:tc>
          <w:tcPr>
            <w:tcW w:w="1951" w:type="dxa"/>
          </w:tcPr>
          <w:p w14:paraId="3F517D1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горючего, кг</w:t>
            </w:r>
          </w:p>
        </w:tc>
        <w:tc>
          <w:tcPr>
            <w:tcW w:w="1134" w:type="dxa"/>
          </w:tcPr>
          <w:p w14:paraId="3437D01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992" w:type="dxa"/>
          </w:tcPr>
          <w:p w14:paraId="5C35DC5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993" w:type="dxa"/>
          </w:tcPr>
          <w:p w14:paraId="1951D57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334</w:t>
            </w:r>
          </w:p>
        </w:tc>
      </w:tr>
      <w:tr w:rsidR="00860B4B" w:rsidRPr="00D03F3E" w14:paraId="28943750" w14:textId="77777777">
        <w:tc>
          <w:tcPr>
            <w:tcW w:w="1951" w:type="dxa"/>
          </w:tcPr>
          <w:p w14:paraId="557AB42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пустого, кг</w:t>
            </w:r>
          </w:p>
        </w:tc>
        <w:tc>
          <w:tcPr>
            <w:tcW w:w="1134" w:type="dxa"/>
          </w:tcPr>
          <w:p w14:paraId="5F5D347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992" w:type="dxa"/>
          </w:tcPr>
          <w:p w14:paraId="15B2E1A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993" w:type="dxa"/>
          </w:tcPr>
          <w:p w14:paraId="0A88438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2576</w:t>
            </w:r>
          </w:p>
        </w:tc>
      </w:tr>
      <w:tr w:rsidR="00860B4B" w:rsidRPr="00D03F3E" w14:paraId="3B374017" w14:textId="77777777">
        <w:tc>
          <w:tcPr>
            <w:tcW w:w="1951" w:type="dxa"/>
          </w:tcPr>
          <w:p w14:paraId="591ACFA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Скорость максимальная, км/ч:</w:t>
            </w:r>
          </w:p>
        </w:tc>
        <w:tc>
          <w:tcPr>
            <w:tcW w:w="1134" w:type="dxa"/>
          </w:tcPr>
          <w:p w14:paraId="749D2077"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992" w:type="dxa"/>
          </w:tcPr>
          <w:p w14:paraId="4AF37D86"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993" w:type="dxa"/>
          </w:tcPr>
          <w:p w14:paraId="7A23671A"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r>
      <w:tr w:rsidR="00860B4B" w:rsidRPr="00D03F3E" w14:paraId="52997319" w14:textId="77777777">
        <w:tc>
          <w:tcPr>
            <w:tcW w:w="1951" w:type="dxa"/>
          </w:tcPr>
          <w:p w14:paraId="51A27EB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земли</w:t>
            </w:r>
          </w:p>
        </w:tc>
        <w:tc>
          <w:tcPr>
            <w:tcW w:w="1134" w:type="dxa"/>
          </w:tcPr>
          <w:p w14:paraId="61E3C31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549</w:t>
            </w:r>
          </w:p>
        </w:tc>
        <w:tc>
          <w:tcPr>
            <w:tcW w:w="992" w:type="dxa"/>
          </w:tcPr>
          <w:p w14:paraId="79C115C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530</w:t>
            </w:r>
          </w:p>
        </w:tc>
        <w:tc>
          <w:tcPr>
            <w:tcW w:w="993" w:type="dxa"/>
          </w:tcPr>
          <w:p w14:paraId="7F6EA41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552</w:t>
            </w:r>
          </w:p>
        </w:tc>
      </w:tr>
      <w:tr w:rsidR="00860B4B" w:rsidRPr="00D03F3E" w14:paraId="2B758AE3" w14:textId="77777777">
        <w:tc>
          <w:tcPr>
            <w:tcW w:w="1951" w:type="dxa"/>
          </w:tcPr>
          <w:p w14:paraId="63E16C3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1-й границе высотности, м</w:t>
            </w:r>
          </w:p>
        </w:tc>
        <w:tc>
          <w:tcPr>
            <w:tcW w:w="1134" w:type="dxa"/>
          </w:tcPr>
          <w:p w14:paraId="5A011D3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992" w:type="dxa"/>
          </w:tcPr>
          <w:p w14:paraId="77C9EF3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562/2550</w:t>
            </w:r>
          </w:p>
        </w:tc>
        <w:tc>
          <w:tcPr>
            <w:tcW w:w="993" w:type="dxa"/>
          </w:tcPr>
          <w:p w14:paraId="18EBDC7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600/2300</w:t>
            </w:r>
          </w:p>
        </w:tc>
      </w:tr>
      <w:tr w:rsidR="00860B4B" w:rsidRPr="00D03F3E" w14:paraId="591148F4" w14:textId="77777777">
        <w:tc>
          <w:tcPr>
            <w:tcW w:w="1951" w:type="dxa"/>
          </w:tcPr>
          <w:p w14:paraId="575DEF2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2-й границе высотности, м</w:t>
            </w:r>
          </w:p>
        </w:tc>
        <w:tc>
          <w:tcPr>
            <w:tcW w:w="1134" w:type="dxa"/>
          </w:tcPr>
          <w:p w14:paraId="49AC3FA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595/5950</w:t>
            </w:r>
          </w:p>
        </w:tc>
        <w:tc>
          <w:tcPr>
            <w:tcW w:w="992" w:type="dxa"/>
          </w:tcPr>
          <w:p w14:paraId="7011A72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580/5250</w:t>
            </w:r>
          </w:p>
        </w:tc>
        <w:tc>
          <w:tcPr>
            <w:tcW w:w="993" w:type="dxa"/>
          </w:tcPr>
          <w:p w14:paraId="70466EB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7E75FC2A" w14:textId="77777777">
        <w:tc>
          <w:tcPr>
            <w:tcW w:w="1951" w:type="dxa"/>
          </w:tcPr>
          <w:p w14:paraId="07288B9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Вертикальная скорость у земли, м/с</w:t>
            </w:r>
          </w:p>
        </w:tc>
        <w:tc>
          <w:tcPr>
            <w:tcW w:w="1134" w:type="dxa"/>
          </w:tcPr>
          <w:p w14:paraId="397FD64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992" w:type="dxa"/>
          </w:tcPr>
          <w:p w14:paraId="784B508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993" w:type="dxa"/>
          </w:tcPr>
          <w:p w14:paraId="7C5C5D5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tc>
      </w:tr>
      <w:tr w:rsidR="00860B4B" w:rsidRPr="00D03F3E" w14:paraId="755F8E91" w14:textId="77777777">
        <w:tc>
          <w:tcPr>
            <w:tcW w:w="1951" w:type="dxa"/>
          </w:tcPr>
          <w:p w14:paraId="0F57D99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высоты 5000 м, мин</w:t>
            </w:r>
          </w:p>
        </w:tc>
        <w:tc>
          <w:tcPr>
            <w:tcW w:w="1134" w:type="dxa"/>
          </w:tcPr>
          <w:p w14:paraId="384217F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w:t>
            </w:r>
          </w:p>
        </w:tc>
        <w:tc>
          <w:tcPr>
            <w:tcW w:w="992" w:type="dxa"/>
          </w:tcPr>
          <w:p w14:paraId="5A9F4B5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w:t>
            </w:r>
          </w:p>
        </w:tc>
        <w:tc>
          <w:tcPr>
            <w:tcW w:w="993" w:type="dxa"/>
          </w:tcPr>
          <w:p w14:paraId="2C19D07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w:t>
            </w:r>
          </w:p>
        </w:tc>
      </w:tr>
      <w:tr w:rsidR="00860B4B" w:rsidRPr="00D03F3E" w14:paraId="6A7C967E" w14:textId="77777777">
        <w:tc>
          <w:tcPr>
            <w:tcW w:w="1951" w:type="dxa"/>
          </w:tcPr>
          <w:p w14:paraId="6DED3DF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 м</w:t>
            </w:r>
          </w:p>
        </w:tc>
        <w:tc>
          <w:tcPr>
            <w:tcW w:w="1134" w:type="dxa"/>
          </w:tcPr>
          <w:p w14:paraId="41703A1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992" w:type="dxa"/>
          </w:tcPr>
          <w:p w14:paraId="0970CE0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9800</w:t>
            </w:r>
          </w:p>
        </w:tc>
        <w:tc>
          <w:tcPr>
            <w:tcW w:w="993" w:type="dxa"/>
          </w:tcPr>
          <w:p w14:paraId="479CEEA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157EB589" w14:textId="77777777">
        <w:tc>
          <w:tcPr>
            <w:tcW w:w="1951" w:type="dxa"/>
          </w:tcPr>
          <w:p w14:paraId="48A65C7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виража на высоте 1000 м, с</w:t>
            </w:r>
          </w:p>
        </w:tc>
        <w:tc>
          <w:tcPr>
            <w:tcW w:w="1134" w:type="dxa"/>
          </w:tcPr>
          <w:p w14:paraId="3135B19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992" w:type="dxa"/>
          </w:tcPr>
          <w:p w14:paraId="73EA094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993" w:type="dxa"/>
          </w:tcPr>
          <w:p w14:paraId="7473B1F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18,5-19,5</w:t>
            </w:r>
          </w:p>
        </w:tc>
      </w:tr>
      <w:tr w:rsidR="00860B4B" w:rsidRPr="00D03F3E" w14:paraId="6F4231AD" w14:textId="77777777">
        <w:tc>
          <w:tcPr>
            <w:tcW w:w="1951" w:type="dxa"/>
          </w:tcPr>
          <w:p w14:paraId="3906FEC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разбега, м</w:t>
            </w:r>
          </w:p>
        </w:tc>
        <w:tc>
          <w:tcPr>
            <w:tcW w:w="1134" w:type="dxa"/>
          </w:tcPr>
          <w:p w14:paraId="5C698A2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992" w:type="dxa"/>
          </w:tcPr>
          <w:p w14:paraId="57E62D9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993" w:type="dxa"/>
          </w:tcPr>
          <w:p w14:paraId="347107B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350</w:t>
            </w:r>
          </w:p>
        </w:tc>
      </w:tr>
      <w:tr w:rsidR="00860B4B" w:rsidRPr="00D03F3E" w14:paraId="7C730F99" w14:textId="77777777">
        <w:tc>
          <w:tcPr>
            <w:tcW w:w="1951" w:type="dxa"/>
          </w:tcPr>
          <w:p w14:paraId="5978A22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Длина пробега, м</w:t>
            </w:r>
          </w:p>
        </w:tc>
        <w:tc>
          <w:tcPr>
            <w:tcW w:w="1134" w:type="dxa"/>
          </w:tcPr>
          <w:p w14:paraId="03F15FA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992" w:type="dxa"/>
          </w:tcPr>
          <w:p w14:paraId="5DEF46F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993" w:type="dxa"/>
          </w:tcPr>
          <w:p w14:paraId="3F82152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475</w:t>
            </w:r>
          </w:p>
        </w:tc>
      </w:tr>
      <w:tr w:rsidR="00860B4B" w:rsidRPr="00D03F3E" w14:paraId="4E406992" w14:textId="77777777">
        <w:tc>
          <w:tcPr>
            <w:tcW w:w="1951" w:type="dxa"/>
          </w:tcPr>
          <w:p w14:paraId="652A5FE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Скорость посадочная, км/ч</w:t>
            </w:r>
          </w:p>
        </w:tc>
        <w:tc>
          <w:tcPr>
            <w:tcW w:w="1134" w:type="dxa"/>
          </w:tcPr>
          <w:p w14:paraId="25AD525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992" w:type="dxa"/>
          </w:tcPr>
          <w:p w14:paraId="053BD8E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993" w:type="dxa"/>
          </w:tcPr>
          <w:p w14:paraId="63FBCEF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143</w:t>
            </w:r>
          </w:p>
        </w:tc>
      </w:tr>
      <w:tr w:rsidR="00860B4B" w:rsidRPr="00D03F3E" w14:paraId="27BC1EC9" w14:textId="77777777">
        <w:tc>
          <w:tcPr>
            <w:tcW w:w="1951" w:type="dxa"/>
            <w:tcBorders>
              <w:bottom w:val="single" w:sz="12" w:space="0" w:color="auto"/>
            </w:tcBorders>
          </w:tcPr>
          <w:p w14:paraId="181EDF9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количество, калибр, мм</w:t>
            </w:r>
          </w:p>
        </w:tc>
        <w:tc>
          <w:tcPr>
            <w:tcW w:w="1134" w:type="dxa"/>
            <w:tcBorders>
              <w:bottom w:val="single" w:sz="12" w:space="0" w:color="auto"/>
            </w:tcBorders>
          </w:tcPr>
          <w:p w14:paraId="73740CE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2x20</w:t>
            </w:r>
          </w:p>
        </w:tc>
        <w:tc>
          <w:tcPr>
            <w:tcW w:w="992" w:type="dxa"/>
            <w:tcBorders>
              <w:bottom w:val="single" w:sz="12" w:space="0" w:color="auto"/>
            </w:tcBorders>
          </w:tcPr>
          <w:p w14:paraId="4620C9F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2x20</w:t>
            </w:r>
          </w:p>
        </w:tc>
        <w:tc>
          <w:tcPr>
            <w:tcW w:w="993" w:type="dxa"/>
            <w:tcBorders>
              <w:bottom w:val="single" w:sz="12" w:space="0" w:color="auto"/>
            </w:tcBorders>
          </w:tcPr>
          <w:p w14:paraId="72F1224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1x20</w:t>
            </w:r>
          </w:p>
        </w:tc>
      </w:tr>
    </w:tbl>
    <w:p w14:paraId="76F5D29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(12032).</w:t>
      </w:r>
    </w:p>
    <w:p w14:paraId="4F9C04C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F711DB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года самолет Ла-5 с мотором М-82ФН, но без автомата переключения скоростей турбокомпрессора, выкатили на аэродром. Во время наземной отработки винтомоторной группы истребителя выявилось недостаточное охлаждение двигателя и плохое уплотнение выхлопных труб. Воздуховоды, подававшие сжатый воздух от компрессора в карбюратор разрушались, а их соединения оказались негерметичными. Доводка силовой установки затянулась, и 9 июля 1943 года самолет поднялся в воздух с заводского аэродрома в Горьком (12032).</w:t>
      </w:r>
    </w:p>
    <w:p w14:paraId="218CD46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2BC9F93" w14:textId="77777777" w:rsidR="00F41017" w:rsidRPr="00D03F3E" w:rsidRDefault="00F41017"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мае 1943 на аэродроме Горьковского завода появились первые серийные Ла-5ФН. Но</w:t>
      </w:r>
      <w:r w:rsidRPr="00D03F3E">
        <w:rPr>
          <w:rFonts w:ascii="Times New Roman" w:cs="Times New Roman"/>
          <w:color w:val="000000" w:themeColor="text1"/>
          <w:spacing w:val="0"/>
        </w:rPr>
        <w:softHyphen/>
        <w:t>винке уделили максимум внимания. И не зря: в процессе первых полётов всегда выяв</w:t>
      </w:r>
      <w:r w:rsidRPr="00D03F3E">
        <w:rPr>
          <w:rFonts w:ascii="Times New Roman" w:cs="Times New Roman"/>
          <w:color w:val="000000" w:themeColor="text1"/>
          <w:spacing w:val="0"/>
        </w:rPr>
        <w:softHyphen/>
        <w:t>ляется много дефектов, которые необходимо как можно скорее устранить в серийном производстве, до поступления самолётов в массовую эксплуатацию на фронте.</w:t>
      </w:r>
    </w:p>
    <w:p w14:paraId="09429A6E" w14:textId="77777777" w:rsidR="00F41017" w:rsidRPr="00D03F3E" w:rsidRDefault="00F41017"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случае с Ла-5ФН эта невидимая с фронта тыловая работа оказалась весьма кста</w:t>
      </w:r>
      <w:r w:rsidRPr="00D03F3E">
        <w:rPr>
          <w:rFonts w:ascii="Times New Roman" w:cs="Times New Roman"/>
          <w:color w:val="000000" w:themeColor="text1"/>
          <w:spacing w:val="0"/>
        </w:rPr>
        <w:softHyphen/>
        <w:t>ти. Так уже 16 мая в полете лётчика-испытателя ОКБ завода № 21 майора Г.А. Мищен</w:t>
      </w:r>
      <w:r w:rsidRPr="00D03F3E">
        <w:rPr>
          <w:rFonts w:ascii="Times New Roman" w:cs="Times New Roman"/>
          <w:color w:val="000000" w:themeColor="text1"/>
          <w:spacing w:val="0"/>
        </w:rPr>
        <w:softHyphen/>
        <w:t>ко произошло ЧП. Выполняя на самолёте № 3921ФН0115 с мотором № 8211057 полёт на снятие скоростей на Н=2000 и 1500 м, лётчик почувствовал в кабине запах бензина. Пилот прекратил выполнение задания и пошёл на посадку. При рулежке на линейку с ни</w:t>
      </w:r>
      <w:r w:rsidRPr="00D03F3E">
        <w:rPr>
          <w:rFonts w:ascii="Times New Roman" w:cs="Times New Roman"/>
          <w:color w:val="000000" w:themeColor="text1"/>
          <w:spacing w:val="0"/>
        </w:rPr>
        <w:softHyphen/>
        <w:t>жней и левой замоторной части показалось пламя. Почти одновременно раздался не</w:t>
      </w:r>
      <w:r w:rsidRPr="00D03F3E">
        <w:rPr>
          <w:rFonts w:ascii="Times New Roman" w:cs="Times New Roman"/>
          <w:color w:val="000000" w:themeColor="text1"/>
          <w:spacing w:val="0"/>
        </w:rPr>
        <w:softHyphen/>
        <w:t>сильный взрыв, в кабине появился дым и пламя. Лётчик успел выскочить из кабины, получив лишь ожог руки выше кисти, а самолёт полностью сгорел. Вскоре произошел аналогичный случай в полёте у лётчика-испытателя майора Работкина, который с выклю</w:t>
      </w:r>
      <w:r w:rsidRPr="00D03F3E">
        <w:rPr>
          <w:rFonts w:ascii="Times New Roman" w:cs="Times New Roman"/>
          <w:color w:val="000000" w:themeColor="text1"/>
          <w:spacing w:val="0"/>
        </w:rPr>
        <w:softHyphen/>
        <w:t>ченным мотором сел вне аэродрома и потерпел аварию. А потом при пробе мотора на земле вспыхнул пожар на ещё одном самолёте.</w:t>
      </w:r>
    </w:p>
    <w:p w14:paraId="5B2B2123" w14:textId="77777777" w:rsidR="00F41017" w:rsidRPr="00D03F3E" w:rsidRDefault="00F41017"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Причина всех этих происшествий была одна: переходники бензосистемы НВ на пер</w:t>
      </w:r>
      <w:r w:rsidRPr="00D03F3E">
        <w:rPr>
          <w:rFonts w:ascii="Times New Roman" w:cs="Times New Roman"/>
          <w:color w:val="000000" w:themeColor="text1"/>
          <w:spacing w:val="0"/>
        </w:rPr>
        <w:softHyphen/>
        <w:t>вых моторах делали из стали, они не выдерживали тряски с вибрацией и лопались. Бен</w:t>
      </w:r>
      <w:r w:rsidRPr="00D03F3E">
        <w:rPr>
          <w:rFonts w:ascii="Times New Roman" w:cs="Times New Roman"/>
          <w:color w:val="000000" w:themeColor="text1"/>
          <w:spacing w:val="0"/>
        </w:rPr>
        <w:softHyphen/>
        <w:t>зин под давлением, доходившем после насоса до 300 атм, бил в расположенные рядом раскаленные выхлопные патрубки и вспыхивал. Жесткие стальные трубки на всех мото</w:t>
      </w:r>
      <w:r w:rsidRPr="00D03F3E">
        <w:rPr>
          <w:rFonts w:ascii="Times New Roman" w:cs="Times New Roman"/>
          <w:color w:val="000000" w:themeColor="text1"/>
          <w:spacing w:val="0"/>
        </w:rPr>
        <w:softHyphen/>
        <w:t>рах срочно заменили гибкими шлангами типа «петрофлекс», и дефект ликвидировали. Правда, лётчики предположили, что Ла-5 с М-82ФН должен быть более пожароопасен в брю, так как при повреждении шлангов высокого давления опасность возгорания уве</w:t>
      </w:r>
      <w:r w:rsidRPr="00D03F3E">
        <w:rPr>
          <w:rFonts w:ascii="Times New Roman" w:cs="Times New Roman"/>
          <w:color w:val="000000" w:themeColor="text1"/>
          <w:spacing w:val="0"/>
        </w:rPr>
        <w:softHyphen/>
        <w:t>личивалась. К счастью, длина этих шлангов от насоса НВ до каждого из цилиндров бы</w:t>
      </w:r>
      <w:r w:rsidRPr="00D03F3E">
        <w:rPr>
          <w:rFonts w:ascii="Times New Roman" w:cs="Times New Roman"/>
          <w:color w:val="000000" w:themeColor="text1"/>
          <w:spacing w:val="0"/>
        </w:rPr>
        <w:softHyphen/>
        <w:t>ла невелика, и такие случаи на фронте впоследствии оказались нечастыми.</w:t>
      </w:r>
    </w:p>
    <w:p w14:paraId="20A317E1" w14:textId="77777777" w:rsidR="00F41017" w:rsidRPr="00D03F3E" w:rsidRDefault="00F41017"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Майор Г.А. Мищенко сумел выявить и ещё один дефект моторостроителей, правда, лишь ценой собственной жизни. 23 июля 1943 г. он выполнял задание по тарировке ука</w:t>
      </w:r>
      <w:r w:rsidRPr="00D03F3E">
        <w:rPr>
          <w:rFonts w:ascii="Times New Roman" w:cs="Times New Roman"/>
          <w:color w:val="000000" w:themeColor="text1"/>
          <w:spacing w:val="0"/>
        </w:rPr>
        <w:softHyphen/>
        <w:t>зателя скорости на Ла-5ФН № 3921ФН0351 с мотором № 8211104 на мерной базе в 20 км от завода. На третьем заходе на мерную базу с земли увидели появление клубо</w:t>
      </w:r>
      <w:r w:rsidRPr="00D03F3E">
        <w:rPr>
          <w:rFonts w:ascii="Times New Roman" w:cs="Times New Roman"/>
          <w:color w:val="000000" w:themeColor="text1"/>
          <w:spacing w:val="0"/>
        </w:rPr>
        <w:softHyphen/>
        <w:t>чков белого дыма с левой стороны мотора. При проходе мерной базы дым пропал, но при четвёртом проходе вновь появился и усилился. Лётчик быстро набрал 800-1000 м высоты и стал планировать на посадку в направлении аэродрома. Белый дым пошел уже сильной струей и, не долетая до аэродрома, самолёт упал в торфоразработки, раз</w:t>
      </w:r>
      <w:r w:rsidRPr="00D03F3E">
        <w:rPr>
          <w:rFonts w:ascii="Times New Roman" w:cs="Times New Roman"/>
          <w:color w:val="000000" w:themeColor="text1"/>
          <w:spacing w:val="0"/>
        </w:rPr>
        <w:softHyphen/>
        <w:t>рушился и частично сгорел. При осмотре остатков самолёта и мотора обнаружили, что сорван цилиндр № 12, картер в месте крепления цилиндра № 12, а прилегающие ци</w:t>
      </w:r>
      <w:r w:rsidRPr="00D03F3E">
        <w:rPr>
          <w:rFonts w:ascii="Times New Roman" w:cs="Times New Roman"/>
          <w:color w:val="000000" w:themeColor="text1"/>
          <w:spacing w:val="0"/>
        </w:rPr>
        <w:softHyphen/>
        <w:t>линдры №№ 10 и 14 имеют долевой разрыв главным шатуном. Цилиндр № 12 разорвал трубку высокого давления и коллектор проводов высокого напряжения, с цилиндра № 8 сорвана головка, шатуны и поршни передней звезды полностью разрушены на мелкие бесформенные куски. Характер повреждений свидетельствовал, что цилиндр № 12 со</w:t>
      </w:r>
      <w:r w:rsidRPr="00D03F3E">
        <w:rPr>
          <w:rFonts w:ascii="Times New Roman" w:cs="Times New Roman"/>
          <w:color w:val="000000" w:themeColor="text1"/>
          <w:spacing w:val="0"/>
        </w:rPr>
        <w:softHyphen/>
        <w:t>рвало со шпилек его крепления ещё в воздухе. Причина — недотяжка гаек при сборке мотора на заводе № 19. В результате срочно усилили контроль за сборкой моторов.</w:t>
      </w:r>
    </w:p>
    <w:p w14:paraId="2BD7D640" w14:textId="77777777" w:rsidR="00F41017" w:rsidRPr="00D03F3E" w:rsidRDefault="00F41017"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У завода № 19 в это время возникла и более серьёз</w:t>
      </w:r>
      <w:r w:rsidRPr="00D03F3E">
        <w:rPr>
          <w:rFonts w:ascii="Times New Roman" w:cs="Times New Roman"/>
          <w:color w:val="000000" w:themeColor="text1"/>
          <w:spacing w:val="0"/>
        </w:rPr>
        <w:softHyphen/>
        <w:t>ная проблема. Для проверки качества выпускаемых се</w:t>
      </w:r>
      <w:r w:rsidRPr="00D03F3E">
        <w:rPr>
          <w:rFonts w:ascii="Times New Roman" w:cs="Times New Roman"/>
          <w:color w:val="000000" w:themeColor="text1"/>
          <w:spacing w:val="0"/>
        </w:rPr>
        <w:softHyphen/>
        <w:t>рийных моторов в мае месяце поставили на комис</w:t>
      </w:r>
      <w:r w:rsidRPr="00D03F3E">
        <w:rPr>
          <w:rFonts w:ascii="Times New Roman" w:cs="Times New Roman"/>
          <w:color w:val="000000" w:themeColor="text1"/>
          <w:spacing w:val="0"/>
        </w:rPr>
        <w:softHyphen/>
        <w:t>сионное испытание два мотора, последний мотор № 8211207 1 июня на 35-м часу сняли с испытания по причине поломки коленвала (средняя опора) и выра</w:t>
      </w:r>
      <w:r w:rsidRPr="00D03F3E">
        <w:rPr>
          <w:rFonts w:ascii="Times New Roman" w:cs="Times New Roman"/>
          <w:color w:val="000000" w:themeColor="text1"/>
          <w:spacing w:val="0"/>
        </w:rPr>
        <w:softHyphen/>
        <w:t>ботке корпуса РС-2. Дефект был серьезный, и стар</w:t>
      </w:r>
      <w:r w:rsidRPr="00D03F3E">
        <w:rPr>
          <w:rFonts w:ascii="Times New Roman" w:cs="Times New Roman"/>
          <w:color w:val="000000" w:themeColor="text1"/>
          <w:spacing w:val="0"/>
        </w:rPr>
        <w:softHyphen/>
        <w:t xml:space="preserve">ший военпред завода № 19 </w:t>
      </w:r>
      <w:r w:rsidRPr="00D03F3E">
        <w:rPr>
          <w:rFonts w:ascii="Times New Roman" w:cs="Times New Roman"/>
          <w:color w:val="000000" w:themeColor="text1"/>
          <w:spacing w:val="0"/>
          <w:lang w:val="en-US"/>
        </w:rPr>
        <w:t>A</w:t>
      </w:r>
      <w:r w:rsidRPr="00D03F3E">
        <w:rPr>
          <w:rFonts w:ascii="Times New Roman" w:cs="Times New Roman"/>
          <w:color w:val="000000" w:themeColor="text1"/>
          <w:spacing w:val="0"/>
        </w:rPr>
        <w:t>.</w:t>
      </w:r>
      <w:r w:rsidRPr="00D03F3E">
        <w:rPr>
          <w:rFonts w:ascii="Times New Roman" w:cs="Times New Roman"/>
          <w:color w:val="000000" w:themeColor="text1"/>
          <w:spacing w:val="0"/>
          <w:lang w:val="en-US"/>
        </w:rPr>
        <w:t>M</w:t>
      </w:r>
      <w:r w:rsidRPr="00D03F3E">
        <w:rPr>
          <w:rFonts w:ascii="Times New Roman" w:cs="Times New Roman"/>
          <w:color w:val="000000" w:themeColor="text1"/>
          <w:spacing w:val="0"/>
        </w:rPr>
        <w:t>. Сабуров вынужден был прекратить отправку моторов ФН с 4 июня 1943 г.</w:t>
      </w:r>
    </w:p>
    <w:p w14:paraId="124321FB" w14:textId="77777777" w:rsidR="00F41017" w:rsidRPr="00D03F3E" w:rsidRDefault="00F41017"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то время, пока завод № 19 выяснял причины появ</w:t>
      </w:r>
      <w:r w:rsidRPr="00D03F3E">
        <w:rPr>
          <w:rFonts w:ascii="Times New Roman" w:cs="Times New Roman"/>
          <w:color w:val="000000" w:themeColor="text1"/>
          <w:spacing w:val="0"/>
        </w:rPr>
        <w:softHyphen/>
        <w:t>ления дефектов на комиссионных испытаниях, нарко</w:t>
      </w:r>
      <w:r w:rsidRPr="00D03F3E">
        <w:rPr>
          <w:rFonts w:ascii="Times New Roman" w:cs="Times New Roman"/>
          <w:color w:val="000000" w:themeColor="text1"/>
          <w:spacing w:val="0"/>
        </w:rPr>
        <w:softHyphen/>
        <w:t>мат авиапромышленности обратился к Командующему ВВС А.А. Новикову с просьбой разрешить, в целях эко</w:t>
      </w:r>
      <w:r w:rsidRPr="00D03F3E">
        <w:rPr>
          <w:rFonts w:ascii="Times New Roman" w:cs="Times New Roman"/>
          <w:color w:val="000000" w:themeColor="text1"/>
          <w:spacing w:val="0"/>
        </w:rPr>
        <w:softHyphen/>
        <w:t>номии времени, транспортировку моторов на завод № 21. Новиков дал такое разрешение, оговорив, что от</w:t>
      </w:r>
      <w:r w:rsidRPr="00D03F3E">
        <w:rPr>
          <w:rFonts w:ascii="Times New Roman" w:cs="Times New Roman"/>
          <w:color w:val="000000" w:themeColor="text1"/>
          <w:spacing w:val="0"/>
        </w:rPr>
        <w:softHyphen/>
        <w:t>правленные и непроверенные комиссионными испыта</w:t>
      </w:r>
      <w:r w:rsidRPr="00D03F3E">
        <w:rPr>
          <w:rFonts w:ascii="Times New Roman" w:cs="Times New Roman"/>
          <w:color w:val="000000" w:themeColor="text1"/>
          <w:spacing w:val="0"/>
        </w:rPr>
        <w:softHyphen/>
        <w:t>ниями моторы не должны устанавливаться на самолёты.</w:t>
      </w:r>
    </w:p>
    <w:p w14:paraId="347B4DA9" w14:textId="77777777" w:rsidR="00F41017" w:rsidRPr="00D03F3E" w:rsidRDefault="00F41017"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Таких моторов М-82ФН в период с 6 по 12 июля от</w:t>
      </w:r>
      <w:r w:rsidRPr="00D03F3E">
        <w:rPr>
          <w:rFonts w:ascii="Times New Roman" w:cs="Times New Roman"/>
          <w:color w:val="000000" w:themeColor="text1"/>
          <w:spacing w:val="0"/>
        </w:rPr>
        <w:softHyphen/>
        <w:t>правили в Горький 168 штук, и 22 из них успели устано</w:t>
      </w:r>
      <w:r w:rsidRPr="00D03F3E">
        <w:rPr>
          <w:rFonts w:ascii="Times New Roman" w:cs="Times New Roman"/>
          <w:color w:val="000000" w:themeColor="text1"/>
          <w:spacing w:val="0"/>
        </w:rPr>
        <w:softHyphen/>
        <w:t>вить на машины. Моторы эти изготовили в июне—июле.</w:t>
      </w:r>
    </w:p>
    <w:p w14:paraId="795F1E10" w14:textId="77777777" w:rsidR="00F41017" w:rsidRPr="00D03F3E" w:rsidRDefault="00F41017"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Тем временем, в течение июня и по 16 июля постави</w:t>
      </w:r>
      <w:r w:rsidRPr="00D03F3E">
        <w:rPr>
          <w:rFonts w:ascii="Times New Roman" w:cs="Times New Roman"/>
          <w:color w:val="000000" w:themeColor="text1"/>
          <w:spacing w:val="0"/>
        </w:rPr>
        <w:softHyphen/>
        <w:t>ли на комиссионное испытание 8 моторов за №N9 8211247, -246, -174, -349, -428, -241, -255, -424. Указанные моторы сняли с испытаний по следующим дефектам: поломка ко</w:t>
      </w:r>
      <w:r w:rsidRPr="00D03F3E">
        <w:rPr>
          <w:rFonts w:ascii="Times New Roman" w:cs="Times New Roman"/>
          <w:color w:val="000000" w:themeColor="text1"/>
          <w:spacing w:val="0"/>
        </w:rPr>
        <w:softHyphen/>
        <w:t>ленвала — 2 мотора, обрыв и трещины гильзы цилиндра — 2 мотора, разрушение веду</w:t>
      </w:r>
      <w:r w:rsidRPr="00D03F3E">
        <w:rPr>
          <w:rFonts w:ascii="Times New Roman" w:cs="Times New Roman"/>
          <w:color w:val="000000" w:themeColor="text1"/>
          <w:spacing w:val="0"/>
        </w:rPr>
        <w:softHyphen/>
        <w:t>щей шестерни и поломка зуба сателлита редуктора — 1 мотор, разрушение направляю</w:t>
      </w:r>
      <w:r w:rsidRPr="00D03F3E">
        <w:rPr>
          <w:rFonts w:ascii="Times New Roman" w:cs="Times New Roman"/>
          <w:color w:val="000000" w:themeColor="text1"/>
          <w:spacing w:val="0"/>
        </w:rPr>
        <w:softHyphen/>
        <w:t>щего аппарата крыльчатки — 1 мотор, обрыв всасывающего клапана — 2 мотора.</w:t>
      </w:r>
    </w:p>
    <w:p w14:paraId="51114B91" w14:textId="77777777" w:rsidR="00F41017" w:rsidRPr="00D03F3E" w:rsidRDefault="00F41017"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Решением Военного Совета ВВС 168 моторов М-82ФН, находящихся на заводе № 21, должны были отправить обратно на завод № 19 для переборки и доделок по коленча</w:t>
      </w:r>
      <w:r w:rsidRPr="00D03F3E">
        <w:rPr>
          <w:rFonts w:ascii="Times New Roman" w:cs="Times New Roman"/>
          <w:color w:val="000000" w:themeColor="text1"/>
          <w:spacing w:val="0"/>
        </w:rPr>
        <w:softHyphen/>
        <w:t>тым валам, так как они имели аварийные дефекты. В результате выпуск Ла-5 с М-82ФН в июле 1943 г. на заводе № 21 фактически остановили. Директор завода № 19 А.Г. Солдатов, а затем и нарком А.И. Шахурин не согласились с этим решением, и спор выне</w:t>
      </w:r>
      <w:r w:rsidRPr="00D03F3E">
        <w:rPr>
          <w:rFonts w:ascii="Times New Roman" w:cs="Times New Roman"/>
          <w:color w:val="000000" w:themeColor="text1"/>
          <w:spacing w:val="0"/>
        </w:rPr>
        <w:softHyphen/>
        <w:t>сли на решение члена ГКО секретаря ЦК ВКП(б) Г.М. Маленкова (15813).</w:t>
      </w:r>
    </w:p>
    <w:p w14:paraId="1F8CC7FA" w14:textId="77777777" w:rsidR="00F41017" w:rsidRPr="00D03F3E" w:rsidRDefault="00F41017" w:rsidP="00D03F3E">
      <w:pPr>
        <w:pStyle w:val="27"/>
        <w:shd w:val="clear" w:color="auto" w:fill="auto"/>
        <w:spacing w:after="0" w:line="240" w:lineRule="auto"/>
        <w:ind w:firstLine="0"/>
        <w:rPr>
          <w:rFonts w:ascii="Times New Roman" w:cs="Times New Roman"/>
          <w:color w:val="000000" w:themeColor="text1"/>
          <w:spacing w:val="0"/>
        </w:rPr>
      </w:pPr>
    </w:p>
    <w:p w14:paraId="76E0948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проходили летные испытания скоростного нагнетателя "Э-67" на Ла-5 с М-82ФН N 37210871 21 завода (744,3).</w:t>
      </w:r>
    </w:p>
    <w:p w14:paraId="20AF605B" w14:textId="77777777" w:rsidR="00531570" w:rsidRPr="00D03F3E" w:rsidRDefault="00531570" w:rsidP="00D03F3E">
      <w:pPr>
        <w:pStyle w:val="Iauiue"/>
        <w:jc w:val="both"/>
        <w:rPr>
          <w:color w:val="000000" w:themeColor="text1"/>
          <w:sz w:val="16"/>
          <w:szCs w:val="16"/>
        </w:rPr>
      </w:pPr>
    </w:p>
    <w:p w14:paraId="03103E08" w14:textId="77777777" w:rsidR="00531570" w:rsidRPr="00D03F3E" w:rsidRDefault="00531570" w:rsidP="00D03F3E">
      <w:pPr>
        <w:pStyle w:val="Iauiue"/>
        <w:widowControl/>
        <w:jc w:val="both"/>
        <w:rPr>
          <w:color w:val="000000" w:themeColor="text1"/>
          <w:sz w:val="16"/>
          <w:szCs w:val="16"/>
        </w:rPr>
      </w:pPr>
      <w:r w:rsidRPr="00D03F3E">
        <w:rPr>
          <w:color w:val="000000" w:themeColor="text1"/>
          <w:sz w:val="16"/>
          <w:szCs w:val="16"/>
        </w:rPr>
        <w:t>В мае 1943 автомат Э-67 испытывался в ЛИИ с участием представителей ГК НИИ ВВС на Ла-5 № 37210871 (мотор АШ-82Ф), в апреле и мае 1944 на с-те № 1618 на заводе № 21 и в июле в ГК НИИ ВВС во 2У - удовлетворительно.</w:t>
      </w:r>
    </w:p>
    <w:p w14:paraId="21286A83" w14:textId="77777777" w:rsidR="00531570" w:rsidRPr="00D03F3E" w:rsidRDefault="00531570" w:rsidP="00D03F3E">
      <w:pPr>
        <w:pStyle w:val="Iauiue"/>
        <w:widowControl/>
        <w:jc w:val="both"/>
        <w:rPr>
          <w:color w:val="000000" w:themeColor="text1"/>
          <w:sz w:val="16"/>
          <w:szCs w:val="16"/>
        </w:rPr>
      </w:pPr>
      <w:r w:rsidRPr="00D03F3E">
        <w:rPr>
          <w:color w:val="000000" w:themeColor="text1"/>
          <w:sz w:val="16"/>
          <w:szCs w:val="16"/>
        </w:rPr>
        <w:t>В январе 1945 во 2У ГК НИИ ВВС проведено испытание Э-67В (с набором капсюльныфх анероидов) на с-те Ла-5 № 39212183 с АШ-82ФН. Прошли удовлетворительно - высота переключения скоростей нагнетателя - стабильная.</w:t>
      </w:r>
    </w:p>
    <w:p w14:paraId="268AE083" w14:textId="77777777" w:rsidR="00531570" w:rsidRPr="00D03F3E" w:rsidRDefault="00531570" w:rsidP="00D03F3E">
      <w:pPr>
        <w:pStyle w:val="Iauiue"/>
        <w:widowControl/>
        <w:jc w:val="both"/>
        <w:rPr>
          <w:color w:val="000000" w:themeColor="text1"/>
          <w:sz w:val="16"/>
          <w:szCs w:val="16"/>
        </w:rPr>
      </w:pPr>
      <w:r w:rsidRPr="00D03F3E">
        <w:rPr>
          <w:color w:val="000000" w:themeColor="text1"/>
          <w:sz w:val="16"/>
          <w:szCs w:val="16"/>
        </w:rPr>
        <w:t>АРТЦ-43 - был изготовлен в опытном экз. В 1943 заводом № 194 НКАП согласно плану опытных работ ВВС КА</w:t>
      </w:r>
    </w:p>
    <w:p w14:paraId="38D3BF8E" w14:textId="77777777" w:rsidR="00531570" w:rsidRPr="00D03F3E" w:rsidRDefault="00531570" w:rsidP="00D03F3E">
      <w:pPr>
        <w:pStyle w:val="Iauiue"/>
        <w:widowControl/>
        <w:jc w:val="both"/>
        <w:rPr>
          <w:color w:val="000000" w:themeColor="text1"/>
          <w:sz w:val="16"/>
          <w:szCs w:val="16"/>
        </w:rPr>
      </w:pPr>
      <w:r w:rsidRPr="00D03F3E">
        <w:rPr>
          <w:color w:val="000000" w:themeColor="text1"/>
          <w:sz w:val="16"/>
          <w:szCs w:val="16"/>
        </w:rPr>
        <w:t>Проходил летные испытания в НИИ Спецслужб ВВС в 1943 на Ла-6 М-82. Автомат работал устойчиво и без запаздывания.</w:t>
      </w:r>
    </w:p>
    <w:p w14:paraId="2E688CBE" w14:textId="77777777" w:rsidR="00531570" w:rsidRPr="00D03F3E" w:rsidRDefault="00531570" w:rsidP="00D03F3E">
      <w:pPr>
        <w:pStyle w:val="Iauiue"/>
        <w:widowControl/>
        <w:jc w:val="both"/>
        <w:rPr>
          <w:color w:val="000000" w:themeColor="text1"/>
          <w:sz w:val="16"/>
          <w:szCs w:val="16"/>
        </w:rPr>
      </w:pPr>
      <w:r w:rsidRPr="00D03F3E">
        <w:rPr>
          <w:color w:val="000000" w:themeColor="text1"/>
          <w:sz w:val="16"/>
          <w:szCs w:val="16"/>
        </w:rPr>
        <w:t>В 1943 согласно совместному приказу ВВС и НКАП № 236/672 от 19 апреля 1943 з-д № 149 НКАП изготовил опытную серию АРТЦ-43 для оборудования Ла-5. Образцы прошли контрольные испытания на с-те Ла-5 М-82 и опытная партия была допущена для проведения войсковых испытаний.</w:t>
      </w:r>
    </w:p>
    <w:p w14:paraId="7BEC2CE9" w14:textId="77777777" w:rsidR="00531570" w:rsidRPr="00D03F3E" w:rsidRDefault="00531570" w:rsidP="00D03F3E">
      <w:pPr>
        <w:pStyle w:val="Iauiue"/>
        <w:widowControl/>
        <w:jc w:val="both"/>
        <w:rPr>
          <w:color w:val="000000" w:themeColor="text1"/>
          <w:sz w:val="16"/>
          <w:szCs w:val="16"/>
        </w:rPr>
      </w:pPr>
      <w:r w:rsidRPr="00D03F3E">
        <w:rPr>
          <w:color w:val="000000" w:themeColor="text1"/>
          <w:sz w:val="16"/>
          <w:szCs w:val="16"/>
        </w:rPr>
        <w:t>В 1944 автомат АРТЦ-43 удовлетворительно прошел войсковые испытания на Ла-5 фн и был принят на вооружение ВВС.</w:t>
      </w:r>
    </w:p>
    <w:p w14:paraId="2E83E952" w14:textId="77777777" w:rsidR="00531570" w:rsidRPr="00D03F3E" w:rsidRDefault="00531570" w:rsidP="00D03F3E">
      <w:pPr>
        <w:pStyle w:val="Iauiue"/>
        <w:widowControl/>
        <w:jc w:val="both"/>
        <w:rPr>
          <w:color w:val="000000" w:themeColor="text1"/>
          <w:sz w:val="16"/>
          <w:szCs w:val="16"/>
        </w:rPr>
      </w:pPr>
      <w:r w:rsidRPr="00D03F3E">
        <w:rPr>
          <w:color w:val="000000" w:themeColor="text1"/>
          <w:sz w:val="16"/>
          <w:szCs w:val="16"/>
        </w:rPr>
        <w:t>ГУЗ ВВС КА было предложено ввести АРТЦ-43 в спецификацию спецоборудования с-та Ла-5 и Ла-7, а серийный выпуск и установку на ст-тах производить по графику, согласованному с НКАП.</w:t>
      </w:r>
    </w:p>
    <w:p w14:paraId="159AC03D" w14:textId="77777777" w:rsidR="00531570" w:rsidRPr="00D03F3E" w:rsidRDefault="00531570" w:rsidP="00D03F3E">
      <w:pPr>
        <w:pStyle w:val="Iauiue"/>
        <w:widowControl/>
        <w:jc w:val="both"/>
        <w:rPr>
          <w:color w:val="000000" w:themeColor="text1"/>
          <w:sz w:val="16"/>
          <w:szCs w:val="16"/>
        </w:rPr>
      </w:pPr>
      <w:r w:rsidRPr="00D03F3E">
        <w:rPr>
          <w:color w:val="000000" w:themeColor="text1"/>
          <w:sz w:val="16"/>
          <w:szCs w:val="16"/>
        </w:rPr>
        <w:t>Автомат работал надежно и практически безинерционно регулировал на с-те температуру головок цилиндров (744,1).</w:t>
      </w:r>
    </w:p>
    <w:p w14:paraId="6CCDA8A4" w14:textId="77777777" w:rsidR="00531570" w:rsidRPr="00D03F3E" w:rsidRDefault="00531570" w:rsidP="00D03F3E">
      <w:pPr>
        <w:pStyle w:val="Iauiue"/>
        <w:widowControl/>
        <w:jc w:val="both"/>
        <w:rPr>
          <w:color w:val="000000" w:themeColor="text1"/>
          <w:sz w:val="16"/>
          <w:szCs w:val="16"/>
        </w:rPr>
      </w:pPr>
    </w:p>
    <w:p w14:paraId="60CAD3D3" w14:textId="77777777" w:rsidR="009E23D1" w:rsidRPr="00D03F3E" w:rsidRDefault="009E23D1"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 xml:space="preserve">В мае 1943 г. в полосе 17-й воздушной армии захватили </w:t>
      </w:r>
      <w:r w:rsidRPr="00D03F3E">
        <w:rPr>
          <w:rFonts w:ascii="Times New Roman" w:hAnsi="Times New Roman" w:cs="Times New Roman"/>
          <w:color w:val="0070C0"/>
          <w:sz w:val="16"/>
          <w:szCs w:val="16"/>
          <w:lang w:val="en-US"/>
        </w:rPr>
        <w:t>Bf</w:t>
      </w:r>
      <w:r w:rsidRPr="00D03F3E">
        <w:rPr>
          <w:rFonts w:ascii="Times New Roman" w:hAnsi="Times New Roman" w:cs="Times New Roman"/>
          <w:color w:val="0070C0"/>
          <w:sz w:val="16"/>
          <w:szCs w:val="16"/>
        </w:rPr>
        <w:t xml:space="preserve"> 109</w:t>
      </w:r>
      <w:r w:rsidRPr="00D03F3E">
        <w:rPr>
          <w:rFonts w:ascii="Times New Roman" w:hAnsi="Times New Roman" w:cs="Times New Roman"/>
          <w:color w:val="0070C0"/>
          <w:sz w:val="16"/>
          <w:szCs w:val="16"/>
          <w:lang w:val="en-US"/>
        </w:rPr>
        <w:t>G</w:t>
      </w:r>
      <w:r w:rsidRPr="00D03F3E">
        <w:rPr>
          <w:rFonts w:ascii="Times New Roman" w:hAnsi="Times New Roman" w:cs="Times New Roman"/>
          <w:color w:val="0070C0"/>
          <w:sz w:val="16"/>
          <w:szCs w:val="16"/>
        </w:rPr>
        <w:t xml:space="preserve">-4 №19968 с бомбодержателями. Испытывали его Прошаков и Антипов, совершившие 12 полетов. Самолет был сильно изношен и на испытаниях показал примерно те же данные, что и «пятиточечный». Кроме того, сочли, что усиленное шасси с колесами большей ширины, которое вынудило сделать выколотки на крыле вверх, ухудшило аэродинамику, также как и неубирающееся хвостовое колесо. На 7000 м в НИИ ВВС получили скорость 650 км/ч. Як-1 даже немного выигрывал по скорости на высоте около 4000 м. от земли же немецкий истребитель показал всего 508 км/ч, в то время как Ла-5ФН на номинальном режиме мотора М-82ФН 551 км/ч, а на форсаже 583 км/ч. Разумеется, следует учитывать, что трофейные истребители доставались поврежденными и подвергались ремонту. Кроме того, отсутствовала необходимая документация по эксплуатации и пилотированию. Часто ориентировались лишь на протоколы допросов пленных летчиков. Поэтому даже при высокой квалификации летного и технического состава в НИИ ВВС допускались ошибки. уже после капитуляции Германии выяснили, что максимальные значения летных данных разных вариантов </w:t>
      </w:r>
      <w:r w:rsidRPr="00D03F3E">
        <w:rPr>
          <w:rFonts w:ascii="Times New Roman" w:hAnsi="Times New Roman" w:cs="Times New Roman"/>
          <w:color w:val="0070C0"/>
          <w:sz w:val="16"/>
          <w:szCs w:val="16"/>
          <w:lang w:val="en-US"/>
        </w:rPr>
        <w:t>Bf</w:t>
      </w:r>
      <w:r w:rsidRPr="00D03F3E">
        <w:rPr>
          <w:rFonts w:ascii="Times New Roman" w:hAnsi="Times New Roman" w:cs="Times New Roman"/>
          <w:color w:val="0070C0"/>
          <w:sz w:val="16"/>
          <w:szCs w:val="16"/>
        </w:rPr>
        <w:t xml:space="preserve"> 109 несколько выше, чем полученные советскими испытателями (23186).</w:t>
      </w:r>
    </w:p>
    <w:p w14:paraId="602D3452" w14:textId="77777777" w:rsidR="009E23D1" w:rsidRPr="00D03F3E" w:rsidRDefault="009E23D1"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p>
    <w:p w14:paraId="413D127E" w14:textId="77777777" w:rsidR="009E23D1" w:rsidRPr="00D03F3E" w:rsidRDefault="009E23D1"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В мае 1943 г. авиарембаза № 405 послала под Сталинград бригаду во главе с инженером Певзнером. Всего было отобрано 29 машин. Пригодными для восстановления сочли 15, а остальные взяли на запчасти. Ремонтом "юнкерсов" занимались авиарембазы №№ 401, 403, 405 и завод № 243.</w:t>
      </w:r>
    </w:p>
    <w:p w14:paraId="5EFB4A68" w14:textId="77777777" w:rsidR="009E23D1" w:rsidRPr="00D03F3E" w:rsidRDefault="009E23D1"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Крупные переделки пришлись на долю базы № 405, считавшейся головной. Среди них следует упомянуть проект замены трех моторов BMW 132 двумя отечественными АШ-62ИР. Чертежи разработали инженеры базы № 405, и там же изготовили опытную мотораму. К 28 сентября 1943 г. были закончены ее статические испытания. В октябре - ноябре велась переделка одного "юнкерса" под пару АШ-62ИР, но неизвестно, была ли она завершена.</w:t>
      </w:r>
    </w:p>
    <w:p w14:paraId="6962616E" w14:textId="77777777" w:rsidR="009E23D1" w:rsidRPr="00D03F3E" w:rsidRDefault="009E23D1"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С конца весны 1943 г. Ю-52 стали широко использоваться для перевозок в Европейской части СССР. Поначалу они действовали на службы ПВО как красная тряпка на быка. При появпении характерного силуэта сразу открывалась пальба. 29 апреля зенитная артиллерия обстреляла самолет, летевший из Сызрани в Куйбышев. Обошлось - ни жертв, ни пробоин. А вот 12 мая Ю-52, шедший из Челябинска, угодил под огонь вблизи моста в Ульяновске. Машина совершила вынужденную посадку на аэродроме Стригино. Механики нашли две приличные пробоины в правом крыле. Такие случаен были не единичны (21550).</w:t>
      </w:r>
    </w:p>
    <w:p w14:paraId="7E409724" w14:textId="77777777" w:rsidR="009E23D1" w:rsidRPr="00D03F3E" w:rsidRDefault="009E23D1"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p>
    <w:p w14:paraId="28CB9C8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месяце 1943 на заводе № 19 для проверки качества выпускаемых серийных моторов было поставлено на комиссионное испы</w:t>
      </w:r>
      <w:r w:rsidRPr="00D03F3E">
        <w:rPr>
          <w:rFonts w:ascii="Times New Roman" w:hAnsi="Times New Roman"/>
          <w:color w:val="000000" w:themeColor="text1"/>
          <w:sz w:val="16"/>
          <w:szCs w:val="16"/>
        </w:rPr>
        <w:softHyphen/>
        <w:t>тание два мотора, последний мотор №821 1207 1 июня на 35-м часу был снят с испытания по причине полом</w:t>
      </w:r>
      <w:r w:rsidRPr="00D03F3E">
        <w:rPr>
          <w:rFonts w:ascii="Times New Roman" w:hAnsi="Times New Roman"/>
          <w:color w:val="000000" w:themeColor="text1"/>
          <w:sz w:val="16"/>
          <w:szCs w:val="16"/>
        </w:rPr>
        <w:softHyphen/>
        <w:t>ки коленвала (средняя опора) и выра</w:t>
      </w:r>
      <w:r w:rsidRPr="00D03F3E">
        <w:rPr>
          <w:rFonts w:ascii="Times New Roman" w:hAnsi="Times New Roman"/>
          <w:color w:val="000000" w:themeColor="text1"/>
          <w:sz w:val="16"/>
          <w:szCs w:val="16"/>
        </w:rPr>
        <w:softHyphen/>
        <w:t>ботке корпуса РС-2. Дефект был се</w:t>
      </w:r>
      <w:r w:rsidRPr="00D03F3E">
        <w:rPr>
          <w:rFonts w:ascii="Times New Roman" w:hAnsi="Times New Roman"/>
          <w:color w:val="000000" w:themeColor="text1"/>
          <w:sz w:val="16"/>
          <w:szCs w:val="16"/>
        </w:rPr>
        <w:softHyphen/>
        <w:t>рьезный и старший военпред завода №19 А.М. Сабуров вынужден был прекратить отправку моторов ФН с 4 июня 1943 года. В то время, пока завод № 19 вы</w:t>
      </w:r>
      <w:r w:rsidRPr="00D03F3E">
        <w:rPr>
          <w:rFonts w:ascii="Times New Roman" w:hAnsi="Times New Roman"/>
          <w:color w:val="000000" w:themeColor="text1"/>
          <w:sz w:val="16"/>
          <w:szCs w:val="16"/>
        </w:rPr>
        <w:softHyphen/>
        <w:t>яснял причины появления дефектов на комиссионных испытаниях, нарко</w:t>
      </w:r>
      <w:r w:rsidRPr="00D03F3E">
        <w:rPr>
          <w:rFonts w:ascii="Times New Roman" w:hAnsi="Times New Roman"/>
          <w:color w:val="000000" w:themeColor="text1"/>
          <w:sz w:val="16"/>
          <w:szCs w:val="16"/>
        </w:rPr>
        <w:softHyphen/>
        <w:t>мат авиапромышленности обратился к командующему ВВС КА Новикову с просьбой разрешить, в целях эконо</w:t>
      </w:r>
      <w:r w:rsidRPr="00D03F3E">
        <w:rPr>
          <w:rFonts w:ascii="Times New Roman" w:hAnsi="Times New Roman"/>
          <w:color w:val="000000" w:themeColor="text1"/>
          <w:sz w:val="16"/>
          <w:szCs w:val="16"/>
        </w:rPr>
        <w:softHyphen/>
        <w:t>мии времени, транспортировку мото</w:t>
      </w:r>
      <w:r w:rsidRPr="00D03F3E">
        <w:rPr>
          <w:rFonts w:ascii="Times New Roman" w:hAnsi="Times New Roman"/>
          <w:color w:val="000000" w:themeColor="text1"/>
          <w:sz w:val="16"/>
          <w:szCs w:val="16"/>
        </w:rPr>
        <w:softHyphen/>
        <w:t>ров на завод № 21. Новиков дал такое разрешение, оговорив, что от</w:t>
      </w:r>
      <w:r w:rsidRPr="00D03F3E">
        <w:rPr>
          <w:rFonts w:ascii="Times New Roman" w:hAnsi="Times New Roman"/>
          <w:color w:val="000000" w:themeColor="text1"/>
          <w:sz w:val="16"/>
          <w:szCs w:val="16"/>
        </w:rPr>
        <w:softHyphen/>
        <w:t>правленные и непроверенные комис</w:t>
      </w:r>
      <w:r w:rsidRPr="00D03F3E">
        <w:rPr>
          <w:rFonts w:ascii="Times New Roman" w:hAnsi="Times New Roman"/>
          <w:color w:val="000000" w:themeColor="text1"/>
          <w:sz w:val="16"/>
          <w:szCs w:val="16"/>
        </w:rPr>
        <w:softHyphen/>
        <w:t>сионными испытаниями моторы не должны устанавливаться на самолеты. Таких моторов М-82ФН в период с 6 по 12 июля было отправлено на завод № 21 - 168 штук, и 22 из них успели установить на самолеты. Мо</w:t>
      </w:r>
      <w:r w:rsidRPr="00D03F3E">
        <w:rPr>
          <w:rFonts w:ascii="Times New Roman" w:hAnsi="Times New Roman"/>
          <w:color w:val="000000" w:themeColor="text1"/>
          <w:sz w:val="16"/>
          <w:szCs w:val="16"/>
        </w:rPr>
        <w:softHyphen/>
        <w:t>торы эти были изготовлены в июне-июле месяцах (10723).</w:t>
      </w:r>
    </w:p>
    <w:p w14:paraId="2640D81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20AF87A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был снят с производства М-106-1ск, который так и не смогли довести (65,114).</w:t>
      </w:r>
    </w:p>
    <w:p w14:paraId="08F5126E" w14:textId="77777777" w:rsidR="00531570" w:rsidRPr="00D03F3E" w:rsidRDefault="00531570" w:rsidP="00D03F3E">
      <w:pPr>
        <w:pStyle w:val="Iauiue"/>
        <w:jc w:val="both"/>
        <w:rPr>
          <w:color w:val="000000" w:themeColor="text1"/>
          <w:sz w:val="16"/>
          <w:szCs w:val="16"/>
        </w:rPr>
      </w:pPr>
    </w:p>
    <w:p w14:paraId="3CD0AED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перед КБ самолетного вооружения по личному поручению И.В.С. была поставлена задача разработки АП для стрельбы с истребителей на увеличенные дальности. К.Е.В., которому было поручено вести этот вопрос, провел ряд совещаний с конструкторами для подготовки проекта соответствующего постановления ГКО. В совещаниях участвовали А.Э.Нудельман, Б.Г.Шпитальный, В.Г.Грабин, А.С.Я., С.В.И. Обсуждали и технические сложности и возможные сроки. На одном из совещаний вспомнили и о ДРП и необходимости возобновления работ по ним. К.Е.В. сформулировал задачу странно и назвал дальность 3 км. К концу июня был готов проект постановления (263,73).</w:t>
      </w:r>
    </w:p>
    <w:p w14:paraId="2CD18199" w14:textId="77777777" w:rsidR="00531570" w:rsidRPr="00D03F3E" w:rsidRDefault="00531570" w:rsidP="00D03F3E">
      <w:pPr>
        <w:pStyle w:val="Iauiue"/>
        <w:jc w:val="both"/>
        <w:rPr>
          <w:color w:val="000000" w:themeColor="text1"/>
          <w:sz w:val="16"/>
          <w:szCs w:val="16"/>
        </w:rPr>
      </w:pPr>
    </w:p>
    <w:p w14:paraId="7C65833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в НИИ ВВС или ЛИИ испытывали Спитфайр VB с Р-Р Мерлин-46 (173,245).</w:t>
      </w:r>
    </w:p>
    <w:p w14:paraId="5D682E32" w14:textId="77777777" w:rsidR="00531570" w:rsidRPr="00D03F3E" w:rsidRDefault="00531570" w:rsidP="00D03F3E">
      <w:pPr>
        <w:pStyle w:val="Iauiue"/>
        <w:jc w:val="both"/>
        <w:rPr>
          <w:color w:val="000000" w:themeColor="text1"/>
          <w:sz w:val="16"/>
          <w:szCs w:val="16"/>
        </w:rPr>
      </w:pPr>
    </w:p>
    <w:p w14:paraId="00C1243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был утвержден отчет о гос. испытаниях Ер-2-2АЧ30Б (300,13).</w:t>
      </w:r>
    </w:p>
    <w:p w14:paraId="0C95E7C2" w14:textId="77777777" w:rsidR="00531570" w:rsidRPr="00D03F3E" w:rsidRDefault="00531570" w:rsidP="00D03F3E">
      <w:pPr>
        <w:pStyle w:val="Iauiue"/>
        <w:jc w:val="both"/>
        <w:rPr>
          <w:color w:val="000000" w:themeColor="text1"/>
          <w:sz w:val="16"/>
          <w:szCs w:val="16"/>
        </w:rPr>
      </w:pPr>
    </w:p>
    <w:p w14:paraId="6DE8B8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на 125 заводе в Иркутске закончились заводские испытания 4-й машины Ер-2 с дизелями АЧ-30Б по 1500 нр, которые шли с января 1943&amp; Скорость была всего 429 км/час, но дальности добились 5000 км (2391,11).</w:t>
      </w:r>
    </w:p>
    <w:p w14:paraId="13F31125" w14:textId="77777777" w:rsidR="00531570" w:rsidRPr="00D03F3E" w:rsidRDefault="00531570" w:rsidP="00D03F3E">
      <w:pPr>
        <w:pStyle w:val="Iauiue"/>
        <w:jc w:val="both"/>
        <w:rPr>
          <w:color w:val="000000" w:themeColor="text1"/>
          <w:sz w:val="16"/>
          <w:szCs w:val="16"/>
        </w:rPr>
      </w:pPr>
    </w:p>
    <w:p w14:paraId="6EE565E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А.Н.Т. решил установить на 103В М-82ФНВ (1835,25).</w:t>
      </w:r>
    </w:p>
    <w:p w14:paraId="7183F263" w14:textId="77777777" w:rsidR="00531570" w:rsidRPr="00D03F3E" w:rsidRDefault="00531570" w:rsidP="00D03F3E">
      <w:pPr>
        <w:pStyle w:val="Iauiue"/>
        <w:jc w:val="both"/>
        <w:rPr>
          <w:color w:val="000000" w:themeColor="text1"/>
          <w:sz w:val="16"/>
          <w:szCs w:val="16"/>
        </w:rPr>
      </w:pPr>
    </w:p>
    <w:p w14:paraId="6DF6B04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в НИИ ВВС проходили испытания Пе-2 N 7/187, оборудованного верхней установкой ФЗ с УБТ и увеличенным фонарем кабины пилота и потом передали машину в НИИ АВ (1841,28).</w:t>
      </w:r>
    </w:p>
    <w:p w14:paraId="2BD59EC9" w14:textId="77777777" w:rsidR="00531570" w:rsidRPr="00D03F3E" w:rsidRDefault="00531570" w:rsidP="00D03F3E">
      <w:pPr>
        <w:pStyle w:val="Iauiue"/>
        <w:jc w:val="both"/>
        <w:rPr>
          <w:color w:val="000000" w:themeColor="text1"/>
          <w:sz w:val="16"/>
          <w:szCs w:val="16"/>
        </w:rPr>
      </w:pPr>
    </w:p>
    <w:p w14:paraId="3D395CC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г. на испытания в НИИ ВВС был передан самолет Пе-2 № 7/187, оборудованный новой верхней стрелковой установкой “ФЗ” и увеличенным фонарем кабины пилота. Установка “ФЗ” (“фронтовое задание”) представляла собой вращающуюся турель с пулеметом УБТ, укрепленным на трубчатой траверсе. Питание пулемета магазинное (патроны в лентах уложены в коробки-магазины, жестко присоединяемые к пулемету). Два магазина имели емкость по 50 патронов, а третий - 90 патронов. Благодаря магазинному питанию улучшалась маневренность установки (правда, одновременно появлялись затруднения с перезарядкой: для смены магазина требовалось примерно 30 с).</w:t>
      </w:r>
    </w:p>
    <w:p w14:paraId="5CA8733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После проверки в НИИ ВВС самолет № 7/187 был передан для продолжения испытаний в НИП АВ (научно-испытательном полигоне авиационного вооружения), где был вскрыт ряд дефектов установки “ФЗ”, потребовавших возвращения самолета на завод-изготовитель (4476).</w:t>
      </w:r>
    </w:p>
    <w:p w14:paraId="4558DEAB" w14:textId="77777777" w:rsidR="00531570" w:rsidRPr="00D03F3E" w:rsidRDefault="00531570" w:rsidP="00D03F3E">
      <w:pPr>
        <w:pStyle w:val="Iauiue"/>
        <w:jc w:val="both"/>
        <w:rPr>
          <w:color w:val="000000" w:themeColor="text1"/>
          <w:sz w:val="16"/>
          <w:szCs w:val="16"/>
        </w:rPr>
      </w:pPr>
    </w:p>
    <w:p w14:paraId="7D63303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22 заводу еще при А.И.Путилову приказали возобновить выпуск Пе-3. Хотели аналог Пе-3бис, но с М-105ПФ и вооруженного 1хБС и 2хШВАК и ШКАС в коке. К лету задание отменили, введя в план работу над Пе-2 с М-82 (2475,19).</w:t>
      </w:r>
    </w:p>
    <w:p w14:paraId="613DB5F9" w14:textId="77777777" w:rsidR="00531570" w:rsidRPr="00D03F3E" w:rsidRDefault="00531570" w:rsidP="00D03F3E">
      <w:pPr>
        <w:pStyle w:val="Iauiue"/>
        <w:jc w:val="both"/>
        <w:rPr>
          <w:color w:val="000000" w:themeColor="text1"/>
          <w:sz w:val="16"/>
          <w:szCs w:val="16"/>
        </w:rPr>
      </w:pPr>
    </w:p>
    <w:p w14:paraId="177B056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самолет Пе-2ВИ зав. №15/161 был готов к полетам. Сразу выявились дефекты гермокабины, в которой уже при рулении быстро нарастала температура и запотевали стекла. Впрочем, конструктор А.И. Путилов рассчитывал быстро управиться с недостатками, а пока доложил руководству: высотный истребитель, созданный на базе Пе-2, уже летает. Результат доклада оказался ошеломляющим.</w:t>
      </w:r>
    </w:p>
    <w:p w14:paraId="6589E74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то время авиация флота испытывала большую нужду в дальнем двухмоторном истребителе для прикрытия северных конвоев, операций легких сил на Черном море и т.п. По прошествии полугода с момента прекращения производства Пе-Збис и разведывательные полки ВВС КА нуждались в пополнении, поскольку по дальности полета серийный вариант Пе-2 "разведчик" уступал "тройке". Как всегда на войне, самолеты нужны были немедленно. Поэтому 28 мая 1943 г. ГКО своим постановлением обязал завод № 22 приступить со следующего месяца к серийному выпуску... истребителей Пе-3. Никаких гермокабин, дистанционно управляемых пулеметов, нагнетателей Доллежаля - использовать только серийно выпускающиеся моторы и оборудование. Детально ознакомившись с тактико-техничес- кими требованиями, Путилов понял: ему фактически приказали организовать постройку Пе-2И образца 1941 г., но с моторами М-105ПФ. План предусматривал выпуск в июне двух опытных машин, а в июле - уже 25 серийных.</w:t>
      </w:r>
    </w:p>
    <w:p w14:paraId="767A597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Предписывалось снять с "нормального" серийного Пе-2 пулемет и броню стрелка радиста, разместив на освободившемся месте 500-литровый бензобак. Внутрифюзеляжная бомбардировочная установка ликвидировалась, на месте бомбоогсека требовалось смонтировать две пушки ШВАК со 160 снарядами на ствол. В носовом коке оставался пулемет УБК с боекомплектом 150 патронов, а в хвостовом следовало разместить пулемет ШКАС. Реализовывать это указание наркомата довелось уже новому главному конструктору по самолету Пе-2 В.М. Мяси- шеву. Впрочем, вскоре вместо истребителей Пе-3 завод получил задание развернуть серийное производство Пе-2 с моторами М-82. После выпуска небольшой серии машин, отличавшихся обилием дефектов винтомоторной группы, завод прекратил их постройку осенью 1943 г. И тут снова возник вопрос о Пе-3...</w:t>
      </w:r>
    </w:p>
    <w:p w14:paraId="4EC83AA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этому времени ОКБ завода № 22 разработало новую, более совершенную установку штурмана, получившую обозначение "ФЗ" - "фронтовое задание". Вместе с модифицированным фонарем кабины пилота она позволяла заметно повысить боевые качества Пс-2. В конце 1943 г. ее решили смонтировать на новый вариант двухмоторного истребителя Пе-3, производство которого возобновлялось на казанском заводе в соответствии с распоряжением наркомата авиапромышленности. Другим нововведением должно было стать крыло с модифицированным профилем носка, значительно улучшавшим поведение машины при посадке (12042).</w:t>
      </w:r>
    </w:p>
    <w:p w14:paraId="727EC02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39E8DC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г. ОКО-22 возглавил один из наиболее талантливых советских авиаконструкторов Владимир Михайлович Мясищев. Некоторое время он был полностью погружен в работу по “подтягиванию” летно-технических данных серийных “пешек”, но уже спустя три месяца пришел черед радикальных решений (4476).</w:t>
      </w:r>
    </w:p>
    <w:p w14:paraId="74B2F891" w14:textId="77777777" w:rsidR="00531570" w:rsidRPr="00D03F3E" w:rsidRDefault="00531570" w:rsidP="00D03F3E">
      <w:pPr>
        <w:pStyle w:val="Iauiue"/>
        <w:jc w:val="both"/>
        <w:rPr>
          <w:color w:val="000000" w:themeColor="text1"/>
          <w:sz w:val="16"/>
          <w:szCs w:val="16"/>
        </w:rPr>
      </w:pPr>
    </w:p>
    <w:p w14:paraId="10F6BFA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«ГКО поручило главному конструктору, д.т.н. Сухому, используя имеющиеся в его распоряжении конструкторские силы, включиться в работу по улучшению летных и боевых качеств Пе-2 в крайние сроки». Павел Оcипович Сухой отказался, и тогда в июне нашли более подходящую кандидатуру в лице Мясищева Владимира Михайловича, главного конструктора омского завода № 288. Приказано было переехать из Омска в Казань и всему конструкторскому коллективу. Кроме того, Мясищеву отдавался подмосковный завод № 482, откуда «выселили» главного конструктора Щербакова А.Я. Там предполагалось испытывать и доводить будущие создания Мясищева (12049).</w:t>
      </w:r>
    </w:p>
    <w:p w14:paraId="652214C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784AE5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г завод № 22 потерял ещё один Пе-8. Это была первая опытная машина и на неё “положил” глаз М.В. Водопьянов. Он хотел забрать эту машину для Главсевморпути, её даже успели покрасить в арктические цвета, то есть крылья были выкрашены ярко красной краской, но война помешала выполнению этого плана. Вместе со всеми остальными Пе-8 этот бомбардировщик в начале войны был перегнан в Казань и использовался в учебно-тренировочном варианте. В тот день заводской лётчик-испытатель Б.Г. Говоров, отлетав часть программы приземлился на обед. Наземные механики заструбцинили рули высоты и ушли, не предупредив никого. Пообедав, экипаж занял свои места в самолёте - надо было сделать ещё один тренировочный полёт в районе аэродрома. Не осматривая машину перед полётом, Говоров взлетел с заклиненными рулями высоты. Благодаря огромному опыту, мужеству и хладнокровию командира экипажа, им удалось сесть. Приземлились в болото, никто не пострадал, лишь очень сильно испугалась медсестра из аэродромного здравпункта, которая уговорила Б.Г. Говорова покатать её на самолёте. По воспоминаниям очевидцев картина была необыкновенно живописная - краснокрылый гигант, лежащий среди ядовито-зелёной болотной растительности. Бомбардировщик восстановлению не подлежал, его списали. Это была вторая вынужденная посадка Б.Г. Говорова на ТБ-7, зимой с 1939 на 40 гг при посадке у бомбардировщика сломалась лыжа. Всё обошлось благополучно, машину восстановили (6394).</w:t>
      </w:r>
    </w:p>
    <w:p w14:paraId="682271AA" w14:textId="77777777" w:rsidR="00531570" w:rsidRPr="00D03F3E" w:rsidRDefault="00531570" w:rsidP="00D03F3E">
      <w:pPr>
        <w:pStyle w:val="Iauiue"/>
        <w:jc w:val="both"/>
        <w:rPr>
          <w:color w:val="000000" w:themeColor="text1"/>
          <w:sz w:val="16"/>
          <w:szCs w:val="16"/>
        </w:rPr>
      </w:pPr>
    </w:p>
    <w:p w14:paraId="0C6F69F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начались гос. испытания ДВБ-102 с М-71, но летом В.М.Мясищева назначали ГК завода, выпускавшего Пе-2 (в Казани). Испытания продолжали в 1944 и закончили в 1946 (152,33).</w:t>
      </w:r>
    </w:p>
    <w:p w14:paraId="2940EF1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Якобы И.В.С. предлагал и П.О.С., тот попросил ночь на размышления, но узнал на утро, что уже назначен В.М.Мясищев (510).</w:t>
      </w:r>
    </w:p>
    <w:p w14:paraId="3B210E56" w14:textId="77777777" w:rsidR="00531570" w:rsidRPr="00D03F3E" w:rsidRDefault="00531570" w:rsidP="00D03F3E">
      <w:pPr>
        <w:pStyle w:val="Iauiue"/>
        <w:jc w:val="both"/>
        <w:rPr>
          <w:color w:val="000000" w:themeColor="text1"/>
          <w:sz w:val="16"/>
          <w:szCs w:val="16"/>
        </w:rPr>
      </w:pPr>
    </w:p>
    <w:p w14:paraId="7E2FCFE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В мае 1943 неудовлетворительно прошел гос. испытания самолет Як-6 производства завода 471 по причине плохой производственной отделки и наличия дефектов, требующих немедленного устранения, которые шли с апреля 1943 (1778,271).</w:t>
      </w:r>
    </w:p>
    <w:p w14:paraId="0B48E3BC" w14:textId="77777777" w:rsidR="00531570" w:rsidRPr="00D03F3E" w:rsidRDefault="00531570" w:rsidP="00D03F3E">
      <w:pPr>
        <w:pStyle w:val="Iauiue"/>
        <w:jc w:val="both"/>
        <w:rPr>
          <w:color w:val="000000" w:themeColor="text1"/>
          <w:sz w:val="16"/>
          <w:szCs w:val="16"/>
        </w:rPr>
      </w:pPr>
    </w:p>
    <w:p w14:paraId="065569F5" w14:textId="77777777" w:rsidR="00F41017" w:rsidRPr="00D03F3E" w:rsidRDefault="00F4101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прицел завода №217 для У-2ВС прошел испытания в НИИ АВ ВВС РККА, однако был утвержден Главным инженером ВВС РККА генералом А. И. Репиным для установки на У-2 лишь через год, в июне 1944 г., после завершения доводочных работ, с присвоением ему шифра НП-У-2 (НКПБ-8). НКПБ-8 обеспечивал бомбардирование с горизонтального полета на скоростях 30-200 км/ч в диапазоне углов прицеливания от +85° до 0°. При этом угол прицеливания определялся для высот от 50 до 500 м (15142).</w:t>
      </w:r>
    </w:p>
    <w:p w14:paraId="15CE9A7F" w14:textId="77777777" w:rsidR="00F41017" w:rsidRPr="00D03F3E" w:rsidRDefault="00F41017" w:rsidP="00D03F3E">
      <w:pPr>
        <w:spacing w:after="0" w:line="240" w:lineRule="auto"/>
        <w:jc w:val="both"/>
        <w:rPr>
          <w:rFonts w:ascii="Times New Roman" w:hAnsi="Times New Roman"/>
          <w:color w:val="000000" w:themeColor="text1"/>
          <w:sz w:val="16"/>
          <w:szCs w:val="16"/>
        </w:rPr>
      </w:pPr>
    </w:p>
    <w:p w14:paraId="3209C059" w14:textId="77777777" w:rsidR="00F41017" w:rsidRPr="00D03F3E" w:rsidRDefault="00F41017"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года в расположенный в Ахтубинске НИИ ВВС были доставлены два бомбардировщика модификации B-26 B-2. Здесь машины прошли серию испытаний, которые подтвердили известные особенности самолетов данного типа: высокие летные характеристики и одновременно значительная техническая сложность самолета, большое количество отказов и не совсем идеальные характеристики управляемости. По результатам испытаний было рекомендовано не заказывать бомбардировщики Marauder в больших количества как неподходящие для строевых частей ВВС РККА. В отчете по испытаниям было сказано, что самолеты данного типа могут успешно применяться в элитных подразделениях для проведения специальных операций (15222).</w:t>
      </w:r>
    </w:p>
    <w:p w14:paraId="3B24D160" w14:textId="77777777" w:rsidR="00F41017" w:rsidRPr="00D03F3E" w:rsidRDefault="00F41017" w:rsidP="00D03F3E">
      <w:pPr>
        <w:shd w:val="clear" w:color="auto" w:fill="FFFFFF"/>
        <w:spacing w:after="0" w:line="240" w:lineRule="auto"/>
        <w:jc w:val="both"/>
        <w:rPr>
          <w:rFonts w:ascii="Times New Roman" w:hAnsi="Times New Roman"/>
          <w:color w:val="000000" w:themeColor="text1"/>
          <w:sz w:val="16"/>
          <w:szCs w:val="16"/>
        </w:rPr>
      </w:pPr>
    </w:p>
    <w:p w14:paraId="0E812ED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г авиарембаза № 405 послала под Сталинград бригаду во главе с инженером Певзнером. Всего она отобрала 29 Ю-52. Из них 15 сочли пригодными для восстановления, а остальные забрали на запчасти. Ремонтом “юнкерсов” занимались различные предприятия - ааиарембазы №№ 401, 403, 405 и завод № 243 (Ташкент). Головной считалась авиарембаза № 405. Вместе с заводом № 243 она изготавливала недостающие детали и проводила крупные переделки. Среди последних следует упомянуть проект замены трёх немецких моторов BMW 132 двумя отечественными М-62ИР. Чертежи разработали на базе № 405 и там же изготовили опытную мотораму. Часть машин, например, самолёт Л-58, оборудовали пассажирской кабиной. Остальные использовались в исходном немецком военно-транспортном варианте (6393).</w:t>
      </w:r>
    </w:p>
    <w:p w14:paraId="0CED9A5D" w14:textId="77777777" w:rsidR="00531570" w:rsidRPr="00D03F3E" w:rsidRDefault="00531570" w:rsidP="00D03F3E">
      <w:pPr>
        <w:pStyle w:val="Iauiue"/>
        <w:jc w:val="both"/>
        <w:rPr>
          <w:color w:val="000000" w:themeColor="text1"/>
          <w:sz w:val="16"/>
          <w:szCs w:val="16"/>
        </w:rPr>
      </w:pPr>
    </w:p>
    <w:p w14:paraId="1247892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года КБ Г.М.Б. было переведено из Омска на Красноярский авиационный завод, расположенный на правом берегу Енисея, напротив острова Молокова. На этом заводе, с нашей помощью было налажено серийное строительство корабельных самолетов КОР-2 и представилась возможность работы над новым типом опытной летающей лодки ЛЛ-143 с двумя моторами М-87 (451).</w:t>
      </w:r>
    </w:p>
    <w:p w14:paraId="5D6451F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Опытный экземпляр Ил-6 был готов к лету 1943 (24).</w:t>
      </w:r>
    </w:p>
    <w:p w14:paraId="6CA93331" w14:textId="77777777" w:rsidR="00531570" w:rsidRPr="00D03F3E" w:rsidRDefault="00531570" w:rsidP="00D03F3E">
      <w:pPr>
        <w:pStyle w:val="Iauiue"/>
        <w:jc w:val="both"/>
        <w:rPr>
          <w:color w:val="000000" w:themeColor="text1"/>
          <w:sz w:val="16"/>
          <w:szCs w:val="16"/>
        </w:rPr>
      </w:pPr>
    </w:p>
    <w:p w14:paraId="321DBD1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конструкторское бюро и опытное производство Бериева пе</w:t>
      </w:r>
      <w:r w:rsidRPr="00D03F3E">
        <w:rPr>
          <w:rFonts w:ascii="Times New Roman" w:hAnsi="Times New Roman"/>
          <w:color w:val="000000" w:themeColor="text1"/>
          <w:sz w:val="16"/>
          <w:szCs w:val="16"/>
        </w:rPr>
        <w:softHyphen/>
        <w:t>ревели в Красноярск, на базу авиазавода №477. Этот завод представлял собой небольшое предприятие, организованное на основе ремонтных мастерских Управления полярной авиации (УПА). Размещался завод на реке Енисей. По соседству находились здания УПА, ведающего организацией полетов самоле</w:t>
      </w:r>
      <w:r w:rsidRPr="00D03F3E">
        <w:rPr>
          <w:rFonts w:ascii="Times New Roman" w:hAnsi="Times New Roman"/>
          <w:color w:val="000000" w:themeColor="text1"/>
          <w:sz w:val="16"/>
          <w:szCs w:val="16"/>
        </w:rPr>
        <w:softHyphen/>
        <w:t>тов в Арктике. Очевидно, указанное соседство привело к тому, что часть пост</w:t>
      </w:r>
      <w:r w:rsidRPr="00D03F3E">
        <w:rPr>
          <w:rFonts w:ascii="Times New Roman" w:hAnsi="Times New Roman"/>
          <w:color w:val="000000" w:themeColor="text1"/>
          <w:sz w:val="16"/>
          <w:szCs w:val="16"/>
        </w:rPr>
        <w:softHyphen/>
        <w:t>роенных самолетов испытывал полярный летчик В.В.Мальков (11107).</w:t>
      </w:r>
    </w:p>
    <w:p w14:paraId="39EAD5C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0117C0EF" w14:textId="77777777" w:rsidR="000B0509" w:rsidRPr="00D03F3E" w:rsidRDefault="000B0509"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вопрос о создании реак</w:t>
      </w:r>
      <w:r w:rsidRPr="00D03F3E">
        <w:rPr>
          <w:rFonts w:ascii="Times New Roman" w:hAnsi="Times New Roman"/>
          <w:color w:val="000000" w:themeColor="text1"/>
          <w:sz w:val="16"/>
          <w:szCs w:val="16"/>
        </w:rPr>
        <w:softHyphen/>
        <w:t>тивного истребителя был обсуждён в ЦК партии на заседании специ</w:t>
      </w:r>
      <w:r w:rsidRPr="00D03F3E">
        <w:rPr>
          <w:rFonts w:ascii="Times New Roman" w:hAnsi="Times New Roman"/>
          <w:color w:val="000000" w:themeColor="text1"/>
          <w:sz w:val="16"/>
          <w:szCs w:val="16"/>
        </w:rPr>
        <w:softHyphen/>
        <w:t>альной комиссии под председательством Г.М. Ма</w:t>
      </w:r>
      <w:r w:rsidRPr="00D03F3E">
        <w:rPr>
          <w:rFonts w:ascii="Times New Roman" w:hAnsi="Times New Roman"/>
          <w:color w:val="000000" w:themeColor="text1"/>
          <w:sz w:val="16"/>
          <w:szCs w:val="16"/>
        </w:rPr>
        <w:softHyphen/>
        <w:t>ленкова. В состав комиссии вошли: заместитель наркома, главный конструктор А.С. Яковлев, главные конструкторы В.Я. Климов и А.А. Микулин, начальник ЦАГИ С.Н. Шишкин и другие. Комиссия решила, что строить реактивный ис</w:t>
      </w:r>
      <w:r w:rsidRPr="00D03F3E">
        <w:rPr>
          <w:rFonts w:ascii="Times New Roman" w:hAnsi="Times New Roman"/>
          <w:color w:val="000000" w:themeColor="text1"/>
          <w:sz w:val="16"/>
          <w:szCs w:val="16"/>
        </w:rPr>
        <w:softHyphen/>
        <w:t>требитель преждевременно, но признала созда</w:t>
      </w:r>
      <w:r w:rsidRPr="00D03F3E">
        <w:rPr>
          <w:rFonts w:ascii="Times New Roman" w:hAnsi="Times New Roman"/>
          <w:color w:val="000000" w:themeColor="text1"/>
          <w:sz w:val="16"/>
          <w:szCs w:val="16"/>
        </w:rPr>
        <w:softHyphen/>
        <w:t>ние такого самолёта перспективным и рекомен</w:t>
      </w:r>
      <w:r w:rsidRPr="00D03F3E">
        <w:rPr>
          <w:rFonts w:ascii="Times New Roman" w:hAnsi="Times New Roman"/>
          <w:color w:val="000000" w:themeColor="text1"/>
          <w:sz w:val="16"/>
          <w:szCs w:val="16"/>
        </w:rPr>
        <w:softHyphen/>
        <w:t>довала продолжить работу над турбореактивным двигателем (19701).</w:t>
      </w:r>
    </w:p>
    <w:p w14:paraId="0751468D" w14:textId="77777777" w:rsidR="000B0509" w:rsidRPr="00D03F3E" w:rsidRDefault="000B0509" w:rsidP="00D03F3E">
      <w:pPr>
        <w:spacing w:after="0" w:line="240" w:lineRule="auto"/>
        <w:jc w:val="both"/>
        <w:rPr>
          <w:rFonts w:ascii="Times New Roman" w:hAnsi="Times New Roman"/>
          <w:color w:val="000000" w:themeColor="text1"/>
          <w:sz w:val="16"/>
          <w:szCs w:val="16"/>
        </w:rPr>
      </w:pPr>
    </w:p>
    <w:p w14:paraId="540C4BC4"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В мае 1943 г. вариант М-11, названный М-11М, модернизированный в Москве И.А. Мужиловым, оснастившим его новой коробкой приводов, успешно прошел 300-часовые совместные испытания, а в следующем году испытывался на двух опытных самолетах А.С. Яковлева. Но М-11М рассчитан был на применение винта фиксированного шага, а представители ВВС утверждали, что это уже вчерашний день. В ответ Мужилов предложил им М-11ФМ. Однако, М-11ФМ в серию не запустили, всего изготовили несколько десятков экземпляров (11479).</w:t>
      </w:r>
    </w:p>
    <w:p w14:paraId="76C37A8D" w14:textId="77777777" w:rsidR="00531570" w:rsidRPr="00D03F3E" w:rsidRDefault="00531570" w:rsidP="00D03F3E">
      <w:pPr>
        <w:pStyle w:val="afff1"/>
        <w:jc w:val="both"/>
        <w:rPr>
          <w:i w:val="0"/>
          <w:iCs w:val="0"/>
          <w:color w:val="000000" w:themeColor="text1"/>
          <w:spacing w:val="0"/>
          <w:kern w:val="0"/>
          <w:position w:val="0"/>
          <w:sz w:val="16"/>
          <w:szCs w:val="16"/>
        </w:rPr>
      </w:pPr>
    </w:p>
    <w:p w14:paraId="44415B6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в КБ Н.Н.П. под руководством В.С.Вахмистрова в соответствии с новыми требованиями ВДВ был сделан эскизный проект десантного планера ДП-30 грузоподъемностью 3000 кг для перевозки 45 мм противотанковой пушки с Виллисом, тяжелых минометов или взвода противотанковых ружей из 33 чел. Проект одобрения не получил (94,95).</w:t>
      </w:r>
    </w:p>
    <w:p w14:paraId="1A5B37F0" w14:textId="77777777" w:rsidR="00531570" w:rsidRPr="00D03F3E" w:rsidRDefault="00531570" w:rsidP="00D03F3E">
      <w:pPr>
        <w:pStyle w:val="Iauiue"/>
        <w:jc w:val="both"/>
        <w:rPr>
          <w:color w:val="000000" w:themeColor="text1"/>
          <w:sz w:val="16"/>
          <w:szCs w:val="16"/>
        </w:rPr>
      </w:pPr>
    </w:p>
    <w:p w14:paraId="387D9F4C" w14:textId="77777777" w:rsidR="00531570" w:rsidRPr="00D03F3E" w:rsidRDefault="00531570" w:rsidP="00D03F3E">
      <w:pPr>
        <w:pStyle w:val="Iniiaiieoaeno2"/>
        <w:widowControl/>
        <w:rPr>
          <w:color w:val="000000" w:themeColor="text1"/>
        </w:rPr>
      </w:pPr>
      <w:r w:rsidRPr="00D03F3E">
        <w:rPr>
          <w:color w:val="000000" w:themeColor="text1"/>
        </w:rPr>
        <w:t>До мая 1943 года завод 456, организованный 16 апреля 1942 года приказом НКАП № 287с на базе бывшего эвакуированного завода № 84 МАП занимался ремонтом самолетов, находясь в составе 6 Гл. управления МАП.</w:t>
      </w:r>
    </w:p>
    <w:p w14:paraId="4654E76C" w14:textId="77777777" w:rsidR="00531570" w:rsidRPr="00D03F3E" w:rsidRDefault="00531570" w:rsidP="00D03F3E">
      <w:pPr>
        <w:pStyle w:val="Iniiaiieoaeno2"/>
        <w:widowControl/>
        <w:rPr>
          <w:color w:val="000000" w:themeColor="text1"/>
        </w:rPr>
      </w:pPr>
      <w:r w:rsidRPr="00D03F3E">
        <w:rPr>
          <w:color w:val="000000" w:themeColor="text1"/>
        </w:rPr>
        <w:t>Согласно приказа МАП от 12 ноября 1946 года за № 722с заводу поручена доработка 130 единиц самолетов-снарядов. Приказом МАП от 10 марта 1947 года заводу поручено изготовление в 1947 году 30 штук самолетов-снарядов. Получив новый производственный профиль завод с начала 1947 года развернул работы по подготовке производства изделия А-4 из немецких заготовок и реактивных двигателей РД-100 из отечественных материалов и деталей.</w:t>
      </w:r>
    </w:p>
    <w:p w14:paraId="423EF8A5" w14:textId="77777777" w:rsidR="00531570" w:rsidRPr="00D03F3E" w:rsidRDefault="00531570" w:rsidP="00D03F3E">
      <w:pPr>
        <w:pStyle w:val="Iniiaiieoaeno2"/>
        <w:widowControl/>
        <w:rPr>
          <w:color w:val="000000" w:themeColor="text1"/>
        </w:rPr>
      </w:pPr>
      <w:r w:rsidRPr="00D03F3E">
        <w:rPr>
          <w:color w:val="000000" w:themeColor="text1"/>
        </w:rPr>
        <w:t>Со второй половины 1946 года завод № 456 стал восстанавливаться по производственному профилю для изготовления малых серий мощных жидкостных реактивных изделий.</w:t>
      </w:r>
    </w:p>
    <w:p w14:paraId="04D5A6B0" w14:textId="77777777" w:rsidR="00531570" w:rsidRPr="00D03F3E" w:rsidRDefault="00531570" w:rsidP="00D03F3E">
      <w:pPr>
        <w:pStyle w:val="Iniiaiieoaeno2"/>
        <w:widowControl/>
        <w:rPr>
          <w:color w:val="000000" w:themeColor="text1"/>
        </w:rPr>
      </w:pPr>
      <w:r w:rsidRPr="00D03F3E">
        <w:rPr>
          <w:color w:val="000000" w:themeColor="text1"/>
        </w:rPr>
        <w:t>1 октября 1950 года завод перешел из МАП в Министерство вооружения на основании Постановления СМ от 25 ноября 1950 года № 4730-2047сс и приказов министра вооружения и авиапромышленности от 7 и 16 декабря 1950 года №№ 947сс и 969с.</w:t>
      </w:r>
    </w:p>
    <w:p w14:paraId="13687220" w14:textId="77777777" w:rsidR="00531570" w:rsidRPr="00D03F3E" w:rsidRDefault="00531570" w:rsidP="00D03F3E">
      <w:pPr>
        <w:pStyle w:val="Iniiaiieoaeno2"/>
        <w:widowControl/>
        <w:rPr>
          <w:color w:val="000000" w:themeColor="text1"/>
        </w:rPr>
      </w:pPr>
      <w:r w:rsidRPr="00D03F3E">
        <w:rPr>
          <w:color w:val="000000" w:themeColor="text1"/>
        </w:rPr>
        <w:t>В течение последних лет завод 456 работает над освоением и изготовлением малых серий реактивных двигателей гл. конструктора Глушко В.П.</w:t>
      </w:r>
    </w:p>
    <w:p w14:paraId="28EEF457" w14:textId="77777777" w:rsidR="00531570" w:rsidRPr="00D03F3E" w:rsidRDefault="00531570" w:rsidP="00D03F3E">
      <w:pPr>
        <w:pStyle w:val="Iniiaiieoaeno2"/>
        <w:widowControl/>
        <w:rPr>
          <w:color w:val="000000" w:themeColor="text1"/>
        </w:rPr>
      </w:pPr>
      <w:r w:rsidRPr="00D03F3E">
        <w:rPr>
          <w:color w:val="000000" w:themeColor="text1"/>
        </w:rPr>
        <w:t>На основании приказа МОП от 27 октября 1956 года № 791 завод № 456 переименован в Опытный завод ОКБ-456.</w:t>
      </w:r>
    </w:p>
    <w:p w14:paraId="722088B7" w14:textId="77777777" w:rsidR="00531570" w:rsidRPr="00D03F3E" w:rsidRDefault="00531570" w:rsidP="00D03F3E">
      <w:pPr>
        <w:pStyle w:val="Iniiaiieoaeno2"/>
        <w:widowControl/>
        <w:rPr>
          <w:color w:val="000000" w:themeColor="text1"/>
        </w:rPr>
      </w:pPr>
      <w:r w:rsidRPr="00D03F3E">
        <w:rPr>
          <w:color w:val="000000" w:themeColor="text1"/>
        </w:rPr>
        <w:t>Адрес: Химки Московской области, п/я 5</w:t>
      </w:r>
    </w:p>
    <w:p w14:paraId="6529CFE3" w14:textId="77777777" w:rsidR="00531570" w:rsidRPr="00D03F3E" w:rsidRDefault="00531570" w:rsidP="00D03F3E">
      <w:pPr>
        <w:pStyle w:val="Iniiaiieoaeno2"/>
        <w:widowControl/>
        <w:rPr>
          <w:color w:val="000000" w:themeColor="text1"/>
        </w:rPr>
      </w:pPr>
      <w:r w:rsidRPr="00D03F3E">
        <w:rPr>
          <w:color w:val="000000" w:themeColor="text1"/>
        </w:rPr>
        <w:t>Директор Опытного завода – Евтеев (9558).</w:t>
      </w:r>
    </w:p>
    <w:p w14:paraId="1019179A" w14:textId="77777777" w:rsidR="00531570" w:rsidRPr="00D03F3E" w:rsidRDefault="00531570" w:rsidP="00D03F3E">
      <w:pPr>
        <w:pStyle w:val="Iauiue"/>
        <w:jc w:val="both"/>
        <w:rPr>
          <w:color w:val="000000" w:themeColor="text1"/>
          <w:sz w:val="16"/>
          <w:szCs w:val="16"/>
        </w:rPr>
      </w:pPr>
    </w:p>
    <w:p w14:paraId="2DAB242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Саратовский авиазавод № 292 выпустил 286 истребителей, в июне, до 23-го числа, успел сдать фронту 173 самолета. Затем в июле, по данным завода, были выпущены всего 57 истребителей, однако это были полуфабрикаты, собранные в полевых условиях. К тому же указанная цифра вызывает сомнения. В августе с большим трудом удалось сдать ВВС 115 «Яков», в сентябре – 242. И лишь к концу октября формально удалось почти достичь до июньского уровня производства – 280 машин в месяц. Однако истребители, и без того не блиставшие качеством сборки, лишь условно годились для эксплуатации (11774).</w:t>
      </w:r>
    </w:p>
    <w:p w14:paraId="199677E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C83D32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года решением Правительства манометрическое производство завода № 213 было переведено из Энгельса в Москву на ныне действующий завод № 133. В августе 1944 года Постановлением Правительства было выделено КБ во главе с конструктором Антиповым Е.Ф. и перебазировано в Москву на территорию завода № 122, а также частично переброшено производство гироскопических приборов.</w:t>
      </w:r>
    </w:p>
    <w:p w14:paraId="28487C6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целях освобождения промплощадки Мясокомбинату распоряжением СНК от 3 декабря 1945 года за № 1737рс и последующим приказом НКАП от 28 января 1946 года за № 21с, завод № 213 из Энгельса подлежал перебазировке в Саратов на промплощадку бывш. деревообделочного завода № 167 НКАП. 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7FD8365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Завод № 213 должен был специализироваться на выпуске авиационных приборов, согласно проектного задания, гироскопических и манометрических приборов.</w:t>
      </w:r>
    </w:p>
    <w:p w14:paraId="24AA25D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2E7A686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 4 сентября 1951 года директором завода был назначен Смирнов Е.М.</w:t>
      </w:r>
    </w:p>
    <w:p w14:paraId="2904BD5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Директор – Смирнов</w:t>
      </w:r>
    </w:p>
    <w:p w14:paraId="35E1999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Адрес: Саратов 5, п/я 176, Б. Садовая, д. 239</w:t>
      </w:r>
    </w:p>
    <w:p w14:paraId="2ACDF28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Производственный профиль – авиаприборостроение, гироскопическое-ракетное (9837).</w:t>
      </w:r>
    </w:p>
    <w:p w14:paraId="39DEC3A5" w14:textId="77777777" w:rsidR="00531570" w:rsidRPr="00D03F3E" w:rsidRDefault="00531570" w:rsidP="00D03F3E">
      <w:pPr>
        <w:pStyle w:val="Iauiue"/>
        <w:jc w:val="both"/>
        <w:rPr>
          <w:color w:val="000000" w:themeColor="text1"/>
          <w:sz w:val="16"/>
          <w:szCs w:val="16"/>
        </w:rPr>
      </w:pPr>
    </w:p>
    <w:p w14:paraId="3204622A"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конструкторское бюро Бериева и опытное производство Бериева перевели в город Красноярск, на базу авиазавода №477 (еше одно его известное название КАРЗ — Красноярский авиаремонтный завод име</w:t>
      </w:r>
      <w:r w:rsidRPr="00D03F3E">
        <w:rPr>
          <w:rFonts w:ascii="Times New Roman" w:hAnsi="Times New Roman"/>
          <w:color w:val="000000" w:themeColor="text1"/>
          <w:sz w:val="16"/>
          <w:szCs w:val="16"/>
        </w:rPr>
        <w:softHyphen/>
        <w:t>ни Побежимова). Этот завод представлял со</w:t>
      </w:r>
      <w:r w:rsidRPr="00D03F3E">
        <w:rPr>
          <w:rFonts w:ascii="Times New Roman" w:hAnsi="Times New Roman"/>
          <w:color w:val="000000" w:themeColor="text1"/>
          <w:sz w:val="16"/>
          <w:szCs w:val="16"/>
        </w:rPr>
        <w:softHyphen/>
        <w:t>бой небольшое предприятие, организован</w:t>
      </w:r>
      <w:r w:rsidRPr="00D03F3E">
        <w:rPr>
          <w:rFonts w:ascii="Times New Roman" w:hAnsi="Times New Roman"/>
          <w:color w:val="000000" w:themeColor="text1"/>
          <w:sz w:val="16"/>
          <w:szCs w:val="16"/>
        </w:rPr>
        <w:softHyphen/>
        <w:t>ное на основе ремонтных мастерских Управ</w:t>
      </w:r>
      <w:r w:rsidRPr="00D03F3E">
        <w:rPr>
          <w:rFonts w:ascii="Times New Roman" w:hAnsi="Times New Roman"/>
          <w:color w:val="000000" w:themeColor="text1"/>
          <w:sz w:val="16"/>
          <w:szCs w:val="16"/>
        </w:rPr>
        <w:softHyphen/>
        <w:t>ления полярной авиации (УПА). Размешал</w:t>
      </w:r>
      <w:r w:rsidRPr="00D03F3E">
        <w:rPr>
          <w:rFonts w:ascii="Times New Roman" w:hAnsi="Times New Roman"/>
          <w:color w:val="000000" w:themeColor="text1"/>
          <w:sz w:val="16"/>
          <w:szCs w:val="16"/>
        </w:rPr>
        <w:softHyphen/>
        <w:t xml:space="preserve">ся завод у реки Енисей, на берегу Абаканской протоки. По соседству находились и здания УПА, </w:t>
      </w:r>
      <w:r w:rsidRPr="00D03F3E">
        <w:rPr>
          <w:rFonts w:ascii="Times New Roman" w:hAnsi="Times New Roman"/>
          <w:color w:val="000000" w:themeColor="text1"/>
          <w:sz w:val="16"/>
          <w:szCs w:val="16"/>
        </w:rPr>
        <w:lastRenderedPageBreak/>
        <w:t>ведающего организацией полетов са</w:t>
      </w:r>
      <w:r w:rsidRPr="00D03F3E">
        <w:rPr>
          <w:rFonts w:ascii="Times New Roman" w:hAnsi="Times New Roman"/>
          <w:color w:val="000000" w:themeColor="text1"/>
          <w:sz w:val="16"/>
          <w:szCs w:val="16"/>
        </w:rPr>
        <w:softHyphen/>
        <w:t>молетов в Арктике. Очевидно, указанное со</w:t>
      </w:r>
      <w:r w:rsidRPr="00D03F3E">
        <w:rPr>
          <w:rFonts w:ascii="Times New Roman" w:hAnsi="Times New Roman"/>
          <w:color w:val="000000" w:themeColor="text1"/>
          <w:sz w:val="16"/>
          <w:szCs w:val="16"/>
        </w:rPr>
        <w:softHyphen/>
        <w:t>седство привело к тому, что часть построен</w:t>
      </w:r>
      <w:r w:rsidRPr="00D03F3E">
        <w:rPr>
          <w:rFonts w:ascii="Times New Roman" w:hAnsi="Times New Roman"/>
          <w:color w:val="000000" w:themeColor="text1"/>
          <w:sz w:val="16"/>
          <w:szCs w:val="16"/>
        </w:rPr>
        <w:softHyphen/>
        <w:t>ных самолетов испытывал полярный летчик В. В. Мальков.</w:t>
      </w:r>
    </w:p>
    <w:p w14:paraId="6D36BB33"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Уже под закрытие навигации 1943 г. два КОР-2 решили отправить далеко на Север и использовать для воздушного патрулиро</w:t>
      </w:r>
      <w:r w:rsidRPr="00D03F3E">
        <w:rPr>
          <w:rFonts w:ascii="Times New Roman" w:hAnsi="Times New Roman"/>
          <w:color w:val="000000" w:themeColor="text1"/>
          <w:sz w:val="16"/>
          <w:szCs w:val="16"/>
        </w:rPr>
        <w:softHyphen/>
        <w:t>вания в районе острова Диксон, где отме</w:t>
      </w:r>
      <w:r w:rsidRPr="00D03F3E">
        <w:rPr>
          <w:rFonts w:ascii="Times New Roman" w:hAnsi="Times New Roman"/>
          <w:color w:val="000000" w:themeColor="text1"/>
          <w:sz w:val="16"/>
          <w:szCs w:val="16"/>
        </w:rPr>
        <w:softHyphen/>
        <w:t>чалось появление немецких кораблей. Вы</w:t>
      </w:r>
      <w:r w:rsidRPr="00D03F3E">
        <w:rPr>
          <w:rFonts w:ascii="Times New Roman" w:hAnsi="Times New Roman"/>
          <w:color w:val="000000" w:themeColor="text1"/>
          <w:sz w:val="16"/>
          <w:szCs w:val="16"/>
        </w:rPr>
        <w:softHyphen/>
        <w:t>брали две машины с заводскими № 28811 и №28812, которые получили соответствен</w:t>
      </w:r>
      <w:r w:rsidRPr="00D03F3E">
        <w:rPr>
          <w:rFonts w:ascii="Times New Roman" w:hAnsi="Times New Roman"/>
          <w:color w:val="000000" w:themeColor="text1"/>
          <w:sz w:val="16"/>
          <w:szCs w:val="16"/>
        </w:rPr>
        <w:softHyphen/>
        <w:t>но регистрационные опознавательные знаки УПА - СССР-НЗЗО и СССР-Н331 (дата ре</w:t>
      </w:r>
      <w:r w:rsidRPr="00D03F3E">
        <w:rPr>
          <w:rFonts w:ascii="Times New Roman" w:hAnsi="Times New Roman"/>
          <w:color w:val="000000" w:themeColor="text1"/>
          <w:sz w:val="16"/>
          <w:szCs w:val="16"/>
        </w:rPr>
        <w:softHyphen/>
        <w:t>гистрации 13.11.43 г.). Самолет НЗЗО пилоти</w:t>
      </w:r>
      <w:r w:rsidRPr="00D03F3E">
        <w:rPr>
          <w:rFonts w:ascii="Times New Roman" w:hAnsi="Times New Roman"/>
          <w:color w:val="000000" w:themeColor="text1"/>
          <w:sz w:val="16"/>
          <w:szCs w:val="16"/>
        </w:rPr>
        <w:softHyphen/>
        <w:t>ровал В.В.Мальков, Н331 - М.В.Тейман. Ко 2 августа самолеты перелетели из Краснояр</w:t>
      </w:r>
      <w:r w:rsidRPr="00D03F3E">
        <w:rPr>
          <w:rFonts w:ascii="Times New Roman" w:hAnsi="Times New Roman"/>
          <w:color w:val="000000" w:themeColor="text1"/>
          <w:sz w:val="16"/>
          <w:szCs w:val="16"/>
        </w:rPr>
        <w:softHyphen/>
        <w:t>ска на остров Диксон, где немедленно при</w:t>
      </w:r>
      <w:r w:rsidRPr="00D03F3E">
        <w:rPr>
          <w:rFonts w:ascii="Times New Roman" w:hAnsi="Times New Roman"/>
          <w:color w:val="000000" w:themeColor="text1"/>
          <w:sz w:val="16"/>
          <w:szCs w:val="16"/>
        </w:rPr>
        <w:softHyphen/>
        <w:t>ступили к боевому патрулированию. В пери</w:t>
      </w:r>
      <w:r w:rsidRPr="00D03F3E">
        <w:rPr>
          <w:rFonts w:ascii="Times New Roman" w:hAnsi="Times New Roman"/>
          <w:color w:val="000000" w:themeColor="text1"/>
          <w:sz w:val="16"/>
          <w:szCs w:val="16"/>
        </w:rPr>
        <w:softHyphen/>
        <w:t>од до 21 сентября 1943 г. по заданиям Шта</w:t>
      </w:r>
      <w:r w:rsidRPr="00D03F3E">
        <w:rPr>
          <w:rFonts w:ascii="Times New Roman" w:hAnsi="Times New Roman"/>
          <w:color w:val="000000" w:themeColor="text1"/>
          <w:sz w:val="16"/>
          <w:szCs w:val="16"/>
        </w:rPr>
        <w:softHyphen/>
        <w:t>ба Морских операций они выполнили по 12 боевых вылетов. НЗЗО налетал 35 час 15 мин, Н331 — 31 час 20 мин. Следует отметить, что эти полеты, выполненные в сложных метео</w:t>
      </w:r>
      <w:r w:rsidRPr="00D03F3E">
        <w:rPr>
          <w:rFonts w:ascii="Times New Roman" w:hAnsi="Times New Roman"/>
          <w:color w:val="000000" w:themeColor="text1"/>
          <w:sz w:val="16"/>
          <w:szCs w:val="16"/>
        </w:rPr>
        <w:softHyphen/>
        <w:t>условиях, одновременно считались полетами по освоению новой боевой техники. Летали с подвешенными противолодочными бомбами ПЛАБ-100, ибо основной задачей считалось обнаружение и уничтожение проникших в этот район немецких подводных лодок. За время полетов в районе острова Диксон были обследованы шхеры Минина, остров Свер- друпа, остров Белый, остров Вилькицкого, северная оконечность острова Кузкин. Бое</w:t>
      </w:r>
      <w:r w:rsidRPr="00D03F3E">
        <w:rPr>
          <w:rFonts w:ascii="Times New Roman" w:hAnsi="Times New Roman"/>
          <w:color w:val="000000" w:themeColor="text1"/>
          <w:sz w:val="16"/>
          <w:szCs w:val="16"/>
        </w:rPr>
        <w:softHyphen/>
        <w:t>вых столкновений с противником не отмеча</w:t>
      </w:r>
      <w:r w:rsidRPr="00D03F3E">
        <w:rPr>
          <w:rFonts w:ascii="Times New Roman" w:hAnsi="Times New Roman"/>
          <w:color w:val="000000" w:themeColor="text1"/>
          <w:sz w:val="16"/>
          <w:szCs w:val="16"/>
        </w:rPr>
        <w:softHyphen/>
      </w:r>
      <w:r w:rsidRPr="00D03F3E">
        <w:rPr>
          <w:rStyle w:val="BookmanOldStyle"/>
          <w:rFonts w:ascii="Times New Roman" w:hAnsi="Times New Roman"/>
          <w:color w:val="000000" w:themeColor="text1"/>
          <w:spacing w:val="0"/>
          <w:sz w:val="16"/>
          <w:szCs w:val="16"/>
        </w:rPr>
        <w:t>лось. Со второй</w:t>
      </w:r>
      <w:r w:rsidRPr="00D03F3E">
        <w:rPr>
          <w:rFonts w:ascii="Times New Roman" w:hAnsi="Times New Roman"/>
          <w:color w:val="000000" w:themeColor="text1"/>
          <w:sz w:val="16"/>
          <w:szCs w:val="16"/>
        </w:rPr>
        <w:t xml:space="preserve"> половине сентября резко по</w:t>
      </w:r>
      <w:r w:rsidRPr="00D03F3E">
        <w:rPr>
          <w:rFonts w:ascii="Times New Roman" w:hAnsi="Times New Roman"/>
          <w:color w:val="000000" w:themeColor="text1"/>
          <w:sz w:val="16"/>
          <w:szCs w:val="16"/>
        </w:rPr>
        <w:softHyphen/>
      </w:r>
      <w:r w:rsidRPr="00D03F3E">
        <w:rPr>
          <w:rStyle w:val="9pt"/>
          <w:rFonts w:ascii="Times New Roman" w:hAnsi="Times New Roman" w:cs="Times New Roman"/>
          <w:b w:val="0"/>
          <w:i w:val="0"/>
          <w:color w:val="000000" w:themeColor="text1"/>
          <w:sz w:val="16"/>
          <w:szCs w:val="16"/>
        </w:rPr>
        <w:t>холодало,</w:t>
      </w:r>
      <w:r w:rsidRPr="00D03F3E">
        <w:rPr>
          <w:rFonts w:ascii="Times New Roman" w:hAnsi="Times New Roman"/>
          <w:color w:val="000000" w:themeColor="text1"/>
          <w:sz w:val="16"/>
          <w:szCs w:val="16"/>
        </w:rPr>
        <w:t xml:space="preserve"> бухты начали покрываться льдом, и базирование летающих лодок КОР-2 в Ар</w:t>
      </w:r>
      <w:r w:rsidRPr="00D03F3E">
        <w:rPr>
          <w:rFonts w:ascii="Times New Roman" w:hAnsi="Times New Roman"/>
          <w:color w:val="000000" w:themeColor="text1"/>
          <w:sz w:val="16"/>
          <w:szCs w:val="16"/>
        </w:rPr>
        <w:softHyphen/>
        <w:t>ктике стало проблематичным. 21 сентября 1943 г. экипажи слали бомбовую нагрузку и вдоль</w:t>
      </w:r>
      <w:r w:rsidRPr="00D03F3E">
        <w:rPr>
          <w:rStyle w:val="9pt"/>
          <w:rFonts w:ascii="Times New Roman" w:hAnsi="Times New Roman" w:cs="Times New Roman"/>
          <w:b w:val="0"/>
          <w:i w:val="0"/>
          <w:color w:val="000000" w:themeColor="text1"/>
          <w:sz w:val="16"/>
          <w:szCs w:val="16"/>
        </w:rPr>
        <w:t xml:space="preserve"> Енисея</w:t>
      </w:r>
      <w:r w:rsidRPr="00D03F3E">
        <w:rPr>
          <w:rFonts w:ascii="Times New Roman" w:hAnsi="Times New Roman"/>
          <w:color w:val="000000" w:themeColor="text1"/>
          <w:sz w:val="16"/>
          <w:szCs w:val="16"/>
        </w:rPr>
        <w:t xml:space="preserve"> вернулись в Красноярск.</w:t>
      </w:r>
    </w:p>
    <w:p w14:paraId="67B87A7A"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1943 г. совершенствование КОР-2 про</w:t>
      </w:r>
      <w:r w:rsidRPr="00D03F3E">
        <w:rPr>
          <w:rFonts w:ascii="Times New Roman" w:hAnsi="Times New Roman"/>
          <w:color w:val="000000" w:themeColor="text1"/>
          <w:sz w:val="16"/>
          <w:szCs w:val="16"/>
        </w:rPr>
        <w:softHyphen/>
        <w:t>должалось. Как и многие советские самоле</w:t>
      </w:r>
      <w:r w:rsidRPr="00D03F3E">
        <w:rPr>
          <w:rFonts w:ascii="Times New Roman" w:hAnsi="Times New Roman"/>
          <w:color w:val="000000" w:themeColor="text1"/>
          <w:sz w:val="16"/>
          <w:szCs w:val="16"/>
        </w:rPr>
        <w:softHyphen/>
        <w:t>ты, они стали вооружаться неуправляемы</w:t>
      </w:r>
      <w:r w:rsidRPr="00D03F3E">
        <w:rPr>
          <w:rFonts w:ascii="Times New Roman" w:hAnsi="Times New Roman"/>
          <w:color w:val="000000" w:themeColor="text1"/>
          <w:sz w:val="16"/>
          <w:szCs w:val="16"/>
        </w:rPr>
        <w:softHyphen/>
        <w:t>ми реактивными снарядами РС-82. На само</w:t>
      </w:r>
      <w:r w:rsidRPr="00D03F3E">
        <w:rPr>
          <w:rFonts w:ascii="Times New Roman" w:hAnsi="Times New Roman"/>
          <w:color w:val="000000" w:themeColor="text1"/>
          <w:sz w:val="16"/>
          <w:szCs w:val="16"/>
        </w:rPr>
        <w:softHyphen/>
        <w:t>лете с заводским №28807 под каждым кры</w:t>
      </w:r>
      <w:r w:rsidRPr="00D03F3E">
        <w:rPr>
          <w:rFonts w:ascii="Times New Roman" w:hAnsi="Times New Roman"/>
          <w:color w:val="000000" w:themeColor="text1"/>
          <w:sz w:val="16"/>
          <w:szCs w:val="16"/>
        </w:rPr>
        <w:softHyphen/>
        <w:t>лом оборудовали по 4 направляющих РО-82 (ракетные орудия для установки снарядов РС-82), на всех последующих устанавливали по две направляющих РО-82. Кроме этого, в варианте пикирующего бомбардировщи</w:t>
      </w:r>
      <w:r w:rsidRPr="00D03F3E">
        <w:rPr>
          <w:rFonts w:ascii="Times New Roman" w:hAnsi="Times New Roman"/>
          <w:color w:val="000000" w:themeColor="text1"/>
          <w:sz w:val="16"/>
          <w:szCs w:val="16"/>
        </w:rPr>
        <w:softHyphen/>
        <w:t>ка КОР-2 мог поднимать теперь 4 фугасных бомбы ФАБ-100, в противолодочном вари</w:t>
      </w:r>
      <w:r w:rsidRPr="00D03F3E">
        <w:rPr>
          <w:rFonts w:ascii="Times New Roman" w:hAnsi="Times New Roman"/>
          <w:color w:val="000000" w:themeColor="text1"/>
          <w:sz w:val="16"/>
          <w:szCs w:val="16"/>
        </w:rPr>
        <w:softHyphen/>
        <w:t>анте -4 противолодочных бомбы ПЛАБ-100. Корабельный разведчик с таким вооружени</w:t>
      </w:r>
      <w:r w:rsidRPr="00D03F3E">
        <w:rPr>
          <w:rFonts w:ascii="Times New Roman" w:hAnsi="Times New Roman"/>
          <w:color w:val="000000" w:themeColor="text1"/>
          <w:sz w:val="16"/>
          <w:szCs w:val="16"/>
        </w:rPr>
        <w:softHyphen/>
        <w:t>ем мог использоваться как ударный самолет, однако дальности, столь необходимой для полетов над морем, ему не хватало (12301).</w:t>
      </w:r>
    </w:p>
    <w:p w14:paraId="2B3F8A57" w14:textId="77777777" w:rsidR="005119DD" w:rsidRPr="00D03F3E" w:rsidRDefault="005119DD" w:rsidP="00D03F3E">
      <w:pPr>
        <w:spacing w:after="0" w:line="240" w:lineRule="auto"/>
        <w:jc w:val="both"/>
        <w:rPr>
          <w:rFonts w:ascii="Times New Roman" w:hAnsi="Times New Roman"/>
          <w:color w:val="000000" w:themeColor="text1"/>
          <w:sz w:val="16"/>
          <w:szCs w:val="16"/>
        </w:rPr>
      </w:pPr>
    </w:p>
    <w:p w14:paraId="3FAAF449" w14:textId="77777777" w:rsidR="00F41017" w:rsidRPr="00D03F3E" w:rsidRDefault="00F41017"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мае месяце 1943 для проверки качества выпускаемых се</w:t>
      </w:r>
      <w:r w:rsidRPr="00D03F3E">
        <w:rPr>
          <w:rFonts w:ascii="Times New Roman" w:cs="Times New Roman"/>
          <w:color w:val="000000" w:themeColor="text1"/>
          <w:spacing w:val="0"/>
        </w:rPr>
        <w:softHyphen/>
        <w:t>рийных моторов на заводе № 19 поставили на комис</w:t>
      </w:r>
      <w:r w:rsidRPr="00D03F3E">
        <w:rPr>
          <w:rFonts w:ascii="Times New Roman" w:cs="Times New Roman"/>
          <w:color w:val="000000" w:themeColor="text1"/>
          <w:spacing w:val="0"/>
        </w:rPr>
        <w:softHyphen/>
        <w:t>сионное испытание два мотора, последний мотор № 8211207 1 июня на 35-м часу сняли с испытания по причине поломки коленвала (средняя опора) и выра</w:t>
      </w:r>
      <w:r w:rsidRPr="00D03F3E">
        <w:rPr>
          <w:rFonts w:ascii="Times New Roman" w:cs="Times New Roman"/>
          <w:color w:val="000000" w:themeColor="text1"/>
          <w:spacing w:val="0"/>
        </w:rPr>
        <w:softHyphen/>
        <w:t>ботке корпуса РС-2. Дефект был серьезный, и стар</w:t>
      </w:r>
      <w:r w:rsidRPr="00D03F3E">
        <w:rPr>
          <w:rFonts w:ascii="Times New Roman" w:cs="Times New Roman"/>
          <w:color w:val="000000" w:themeColor="text1"/>
          <w:spacing w:val="0"/>
        </w:rPr>
        <w:softHyphen/>
        <w:t xml:space="preserve">ший военпред завода № 19 </w:t>
      </w:r>
      <w:r w:rsidRPr="00D03F3E">
        <w:rPr>
          <w:rFonts w:ascii="Times New Roman" w:cs="Times New Roman"/>
          <w:color w:val="000000" w:themeColor="text1"/>
          <w:spacing w:val="0"/>
          <w:lang w:val="en-US"/>
        </w:rPr>
        <w:t>A</w:t>
      </w:r>
      <w:r w:rsidRPr="00D03F3E">
        <w:rPr>
          <w:rFonts w:ascii="Times New Roman" w:cs="Times New Roman"/>
          <w:color w:val="000000" w:themeColor="text1"/>
          <w:spacing w:val="0"/>
        </w:rPr>
        <w:t>.</w:t>
      </w:r>
      <w:r w:rsidRPr="00D03F3E">
        <w:rPr>
          <w:rFonts w:ascii="Times New Roman" w:cs="Times New Roman"/>
          <w:color w:val="000000" w:themeColor="text1"/>
          <w:spacing w:val="0"/>
          <w:lang w:val="en-US"/>
        </w:rPr>
        <w:t>M</w:t>
      </w:r>
      <w:r w:rsidRPr="00D03F3E">
        <w:rPr>
          <w:rFonts w:ascii="Times New Roman" w:cs="Times New Roman"/>
          <w:color w:val="000000" w:themeColor="text1"/>
          <w:spacing w:val="0"/>
        </w:rPr>
        <w:t>. Сабуров вынужден был прекратить отправку моторов ФН с 4 июня 1943 г. (15813).</w:t>
      </w:r>
    </w:p>
    <w:p w14:paraId="1C6A75B4" w14:textId="77777777" w:rsidR="00F41017" w:rsidRPr="00D03F3E" w:rsidRDefault="00F41017" w:rsidP="00D03F3E">
      <w:pPr>
        <w:pStyle w:val="27"/>
        <w:shd w:val="clear" w:color="auto" w:fill="auto"/>
        <w:spacing w:after="0" w:line="240" w:lineRule="auto"/>
        <w:ind w:firstLine="0"/>
        <w:rPr>
          <w:rFonts w:ascii="Times New Roman" w:cs="Times New Roman"/>
          <w:color w:val="000000" w:themeColor="text1"/>
          <w:spacing w:val="0"/>
        </w:rPr>
      </w:pPr>
    </w:p>
    <w:p w14:paraId="49150EB0" w14:textId="77777777" w:rsidR="003A3FB4" w:rsidRPr="00D03F3E" w:rsidRDefault="003A3FB4" w:rsidP="00D03F3E">
      <w:pPr>
        <w:pStyle w:val="ae"/>
        <w:spacing w:before="0" w:after="0"/>
        <w:jc w:val="both"/>
        <w:textAlignment w:val="baseline"/>
        <w:rPr>
          <w:color w:val="0070C0"/>
          <w:sz w:val="16"/>
          <w:szCs w:val="16"/>
          <w:bdr w:val="none" w:sz="0" w:space="0" w:color="auto" w:frame="1"/>
        </w:rPr>
      </w:pPr>
      <w:r w:rsidRPr="00D03F3E">
        <w:rPr>
          <w:color w:val="0070C0"/>
          <w:sz w:val="16"/>
          <w:szCs w:val="16"/>
          <w:bdr w:val="none" w:sz="0" w:space="0" w:color="auto" w:frame="1"/>
        </w:rPr>
        <w:t>В мае 1943 г. практически все самолетостроительные конструкторские бюро страны получили задания подготовить предварительные проекты вариантов своих машин под импортные двигатели. Як-1, Як-7, Як-9, ЛаГГ- 3 и Пе-2 предполагалось модифицировать под «Мерлин» и </w:t>
      </w:r>
      <w:r w:rsidRPr="00D03F3E">
        <w:rPr>
          <w:color w:val="0070C0"/>
          <w:sz w:val="16"/>
          <w:szCs w:val="16"/>
          <w:bdr w:val="none" w:sz="0" w:space="0" w:color="auto" w:frame="1"/>
          <w:lang w:val="en-US"/>
        </w:rPr>
        <w:t>V</w:t>
      </w:r>
      <w:r w:rsidRPr="00D03F3E">
        <w:rPr>
          <w:color w:val="0070C0"/>
          <w:sz w:val="16"/>
          <w:szCs w:val="16"/>
          <w:bdr w:val="none" w:sz="0" w:space="0" w:color="auto" w:frame="1"/>
        </w:rPr>
        <w:t>-1710,</w:t>
      </w:r>
      <w:r w:rsidRPr="00D03F3E">
        <w:rPr>
          <w:color w:val="0070C0"/>
          <w:sz w:val="16"/>
          <w:szCs w:val="16"/>
          <w:bdr w:val="none" w:sz="0" w:space="0" w:color="auto" w:frame="1"/>
          <w:lang w:val="en-US"/>
        </w:rPr>
        <w:t> </w:t>
      </w:r>
      <w:r w:rsidRPr="00D03F3E">
        <w:rPr>
          <w:color w:val="0070C0"/>
          <w:sz w:val="16"/>
          <w:szCs w:val="16"/>
          <w:bdr w:val="none" w:sz="0" w:space="0" w:color="auto" w:frame="1"/>
        </w:rPr>
        <w:t>Ла-5 — под </w:t>
      </w:r>
      <w:r w:rsidRPr="00D03F3E">
        <w:rPr>
          <w:color w:val="0070C0"/>
          <w:sz w:val="16"/>
          <w:szCs w:val="16"/>
          <w:bdr w:val="none" w:sz="0" w:space="0" w:color="auto" w:frame="1"/>
          <w:lang w:val="en-US"/>
        </w:rPr>
        <w:t>R</w:t>
      </w:r>
      <w:r w:rsidRPr="00D03F3E">
        <w:rPr>
          <w:color w:val="0070C0"/>
          <w:sz w:val="16"/>
          <w:szCs w:val="16"/>
          <w:bdr w:val="none" w:sz="0" w:space="0" w:color="auto" w:frame="1"/>
        </w:rPr>
        <w:t>-2600</w:t>
      </w:r>
      <w:r w:rsidRPr="00D03F3E">
        <w:rPr>
          <w:color w:val="0070C0"/>
          <w:sz w:val="16"/>
          <w:szCs w:val="16"/>
          <w:bdr w:val="none" w:sz="0" w:space="0" w:color="auto" w:frame="1"/>
          <w:lang w:val="en-US"/>
        </w:rPr>
        <w:t> </w:t>
      </w:r>
      <w:r w:rsidRPr="00D03F3E">
        <w:rPr>
          <w:color w:val="0070C0"/>
          <w:sz w:val="16"/>
          <w:szCs w:val="16"/>
          <w:bdr w:val="none" w:sz="0" w:space="0" w:color="auto" w:frame="1"/>
        </w:rPr>
        <w:t>и </w:t>
      </w:r>
      <w:r w:rsidRPr="00D03F3E">
        <w:rPr>
          <w:color w:val="0070C0"/>
          <w:sz w:val="16"/>
          <w:szCs w:val="16"/>
          <w:bdr w:val="none" w:sz="0" w:space="0" w:color="auto" w:frame="1"/>
          <w:lang w:val="en-US"/>
        </w:rPr>
        <w:t>R</w:t>
      </w:r>
      <w:r w:rsidRPr="00D03F3E">
        <w:rPr>
          <w:color w:val="0070C0"/>
          <w:sz w:val="16"/>
          <w:szCs w:val="16"/>
          <w:bdr w:val="none" w:sz="0" w:space="0" w:color="auto" w:frame="1"/>
        </w:rPr>
        <w:t>-2800,</w:t>
      </w:r>
      <w:r w:rsidRPr="00D03F3E">
        <w:rPr>
          <w:color w:val="0070C0"/>
          <w:sz w:val="16"/>
          <w:szCs w:val="16"/>
          <w:bdr w:val="none" w:sz="0" w:space="0" w:color="auto" w:frame="1"/>
          <w:lang w:val="en-US"/>
        </w:rPr>
        <w:t> </w:t>
      </w:r>
      <w:r w:rsidRPr="00D03F3E">
        <w:rPr>
          <w:color w:val="0070C0"/>
          <w:sz w:val="16"/>
          <w:szCs w:val="16"/>
          <w:bdr w:val="none" w:sz="0" w:space="0" w:color="auto" w:frame="1"/>
        </w:rPr>
        <w:t>Ил-4 — под </w:t>
      </w:r>
      <w:r w:rsidRPr="00D03F3E">
        <w:rPr>
          <w:color w:val="0070C0"/>
          <w:sz w:val="16"/>
          <w:szCs w:val="16"/>
          <w:bdr w:val="none" w:sz="0" w:space="0" w:color="auto" w:frame="1"/>
          <w:lang w:val="en-US"/>
        </w:rPr>
        <w:t>R</w:t>
      </w:r>
      <w:r w:rsidRPr="00D03F3E">
        <w:rPr>
          <w:color w:val="0070C0"/>
          <w:sz w:val="16"/>
          <w:szCs w:val="16"/>
          <w:bdr w:val="none" w:sz="0" w:space="0" w:color="auto" w:frame="1"/>
        </w:rPr>
        <w:t>-2600</w:t>
      </w:r>
      <w:r w:rsidRPr="00D03F3E">
        <w:rPr>
          <w:color w:val="0070C0"/>
          <w:sz w:val="16"/>
          <w:szCs w:val="16"/>
          <w:bdr w:val="none" w:sz="0" w:space="0" w:color="auto" w:frame="1"/>
          <w:lang w:val="en-US"/>
        </w:rPr>
        <w:t> </w:t>
      </w:r>
      <w:r w:rsidRPr="00D03F3E">
        <w:rPr>
          <w:color w:val="0070C0"/>
          <w:sz w:val="16"/>
          <w:szCs w:val="16"/>
          <w:bdr w:val="none" w:sz="0" w:space="0" w:color="auto" w:frame="1"/>
        </w:rPr>
        <w:t>и </w:t>
      </w:r>
      <w:r w:rsidRPr="00D03F3E">
        <w:rPr>
          <w:color w:val="0070C0"/>
          <w:sz w:val="16"/>
          <w:szCs w:val="16"/>
          <w:bdr w:val="none" w:sz="0" w:space="0" w:color="auto" w:frame="1"/>
          <w:lang w:val="en-US"/>
        </w:rPr>
        <w:t>R</w:t>
      </w:r>
      <w:r w:rsidRPr="00D03F3E">
        <w:rPr>
          <w:color w:val="0070C0"/>
          <w:sz w:val="16"/>
          <w:szCs w:val="16"/>
          <w:bdr w:val="none" w:sz="0" w:space="0" w:color="auto" w:frame="1"/>
        </w:rPr>
        <w:t>-1830-33, Ли-2 — под </w:t>
      </w:r>
      <w:r w:rsidRPr="00D03F3E">
        <w:rPr>
          <w:color w:val="0070C0"/>
          <w:sz w:val="16"/>
          <w:szCs w:val="16"/>
          <w:bdr w:val="none" w:sz="0" w:space="0" w:color="auto" w:frame="1"/>
          <w:lang w:val="en-US"/>
        </w:rPr>
        <w:t>R</w:t>
      </w:r>
      <w:r w:rsidRPr="00D03F3E">
        <w:rPr>
          <w:color w:val="0070C0"/>
          <w:sz w:val="16"/>
          <w:szCs w:val="16"/>
          <w:bdr w:val="none" w:sz="0" w:space="0" w:color="auto" w:frame="1"/>
        </w:rPr>
        <w:t>-1820-71.</w:t>
      </w:r>
      <w:r w:rsidRPr="00D03F3E">
        <w:rPr>
          <w:color w:val="0070C0"/>
          <w:sz w:val="16"/>
          <w:szCs w:val="16"/>
          <w:bdr w:val="none" w:sz="0" w:space="0" w:color="auto" w:frame="1"/>
          <w:lang w:val="en-US"/>
        </w:rPr>
        <w:t> </w:t>
      </w:r>
      <w:r w:rsidRPr="00D03F3E">
        <w:rPr>
          <w:color w:val="0070C0"/>
          <w:sz w:val="16"/>
          <w:szCs w:val="16"/>
          <w:bdr w:val="none" w:sz="0" w:space="0" w:color="auto" w:frame="1"/>
        </w:rPr>
        <w:t>Но расчеты показали, что ни один из предложенных вариантов не дает столь существенных преимуществ, чтобы оправдать перестройку серийного производства. Выигрывая в одном, как правило, проигрывали в другом (20442).</w:t>
      </w:r>
    </w:p>
    <w:p w14:paraId="47E15FF6" w14:textId="77777777" w:rsidR="003A3FB4" w:rsidRPr="00D03F3E" w:rsidRDefault="003A3FB4" w:rsidP="00D03F3E">
      <w:pPr>
        <w:pStyle w:val="ae"/>
        <w:spacing w:before="0" w:after="0"/>
        <w:jc w:val="both"/>
        <w:textAlignment w:val="baseline"/>
        <w:rPr>
          <w:color w:val="0070C0"/>
          <w:sz w:val="16"/>
          <w:szCs w:val="16"/>
          <w:bdr w:val="none" w:sz="0" w:space="0" w:color="auto" w:frame="1"/>
        </w:rPr>
      </w:pPr>
    </w:p>
    <w:p w14:paraId="3B32446C"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Май 1943 г.  Отчет по испыт. винта ВИШ-105Д-60 </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2954"/>
        <w:gridCol w:w="1728"/>
        <w:gridCol w:w="1831"/>
        <w:gridCol w:w="4362"/>
      </w:tblGrid>
      <w:tr w:rsidR="00860B4B" w:rsidRPr="00D03F3E" w14:paraId="1383F745" w14:textId="77777777" w:rsidTr="00021976">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1277A865"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Винт ВИШ-105Д-60.    Производство завода № 27 и № 383.    Конструктор Заславский, Бас-Дубов и Гришин.</w:t>
            </w:r>
          </w:p>
        </w:tc>
      </w:tr>
      <w:tr w:rsidR="00860B4B" w:rsidRPr="00D03F3E" w14:paraId="78B51E2F"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48B1DDF8"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винта</w:t>
            </w:r>
          </w:p>
        </w:tc>
        <w:tc>
          <w:tcPr>
            <w:tcW w:w="788" w:type="pct"/>
            <w:tcBorders>
              <w:top w:val="single" w:sz="4" w:space="0" w:color="auto"/>
              <w:left w:val="single" w:sz="4" w:space="0" w:color="auto"/>
              <w:bottom w:val="single" w:sz="4" w:space="0" w:color="auto"/>
              <w:right w:val="single" w:sz="4" w:space="0" w:color="auto"/>
            </w:tcBorders>
            <w:vAlign w:val="center"/>
            <w:hideMark/>
          </w:tcPr>
          <w:p w14:paraId="6A9D4D01"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гидравлическ. автомат</w:t>
            </w:r>
          </w:p>
        </w:tc>
        <w:tc>
          <w:tcPr>
            <w:tcW w:w="836" w:type="pct"/>
            <w:vMerge w:val="restart"/>
            <w:tcBorders>
              <w:top w:val="single" w:sz="4" w:space="0" w:color="auto"/>
              <w:left w:val="single" w:sz="4" w:space="0" w:color="auto"/>
              <w:bottom w:val="single" w:sz="4" w:space="0" w:color="auto"/>
              <w:right w:val="single" w:sz="4" w:space="0" w:color="auto"/>
            </w:tcBorders>
            <w:vAlign w:val="center"/>
            <w:hideMark/>
          </w:tcPr>
          <w:p w14:paraId="2FA01E5E"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Предназначен для</w:t>
            </w:r>
          </w:p>
          <w:p w14:paraId="2CB9D16B"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установки на самолетах</w:t>
            </w:r>
          </w:p>
        </w:tc>
        <w:tc>
          <w:tcPr>
            <w:tcW w:w="1989" w:type="pct"/>
            <w:vMerge w:val="restart"/>
            <w:tcBorders>
              <w:top w:val="single" w:sz="4" w:space="0" w:color="auto"/>
              <w:left w:val="single" w:sz="4" w:space="0" w:color="auto"/>
              <w:bottom w:val="single" w:sz="4" w:space="0" w:color="auto"/>
              <w:right w:val="single" w:sz="4" w:space="0" w:color="auto"/>
            </w:tcBorders>
            <w:vAlign w:val="center"/>
            <w:hideMark/>
          </w:tcPr>
          <w:p w14:paraId="6FA3C478"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Ил-4 с 2М-88Б</w:t>
            </w:r>
          </w:p>
        </w:tc>
      </w:tr>
      <w:tr w:rsidR="00860B4B" w:rsidRPr="00D03F3E" w14:paraId="0247EA0F"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5753F52C"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Схема действия</w:t>
            </w:r>
          </w:p>
        </w:tc>
        <w:tc>
          <w:tcPr>
            <w:tcW w:w="788" w:type="pct"/>
            <w:tcBorders>
              <w:top w:val="single" w:sz="4" w:space="0" w:color="auto"/>
              <w:left w:val="single" w:sz="4" w:space="0" w:color="auto"/>
              <w:bottom w:val="single" w:sz="4" w:space="0" w:color="auto"/>
              <w:right w:val="single" w:sz="4" w:space="0" w:color="auto"/>
            </w:tcBorders>
            <w:vAlign w:val="center"/>
            <w:hideMark/>
          </w:tcPr>
          <w:p w14:paraId="4AF17BD0"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прямая</w:t>
            </w:r>
          </w:p>
        </w:tc>
        <w:tc>
          <w:tcPr>
            <w:tcW w:w="836" w:type="pct"/>
            <w:vMerge/>
            <w:tcBorders>
              <w:top w:val="single" w:sz="4" w:space="0" w:color="auto"/>
              <w:left w:val="single" w:sz="4" w:space="0" w:color="auto"/>
              <w:bottom w:val="single" w:sz="4" w:space="0" w:color="auto"/>
              <w:right w:val="single" w:sz="4" w:space="0" w:color="auto"/>
            </w:tcBorders>
            <w:vAlign w:val="center"/>
            <w:hideMark/>
          </w:tcPr>
          <w:p w14:paraId="2D27CACE"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c>
          <w:tcPr>
            <w:tcW w:w="1989" w:type="pct"/>
            <w:vMerge/>
            <w:tcBorders>
              <w:top w:val="single" w:sz="4" w:space="0" w:color="auto"/>
              <w:left w:val="single" w:sz="4" w:space="0" w:color="auto"/>
              <w:bottom w:val="single" w:sz="4" w:space="0" w:color="auto"/>
              <w:right w:val="single" w:sz="4" w:space="0" w:color="auto"/>
            </w:tcBorders>
            <w:vAlign w:val="center"/>
            <w:hideMark/>
          </w:tcPr>
          <w:p w14:paraId="6A9C1E6B"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69793CC8"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1BEAE63E"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Число лопастей</w:t>
            </w:r>
          </w:p>
        </w:tc>
        <w:tc>
          <w:tcPr>
            <w:tcW w:w="788" w:type="pct"/>
            <w:tcBorders>
              <w:top w:val="single" w:sz="4" w:space="0" w:color="auto"/>
              <w:left w:val="single" w:sz="4" w:space="0" w:color="auto"/>
              <w:bottom w:val="single" w:sz="4" w:space="0" w:color="auto"/>
              <w:right w:val="single" w:sz="4" w:space="0" w:color="auto"/>
            </w:tcBorders>
            <w:vAlign w:val="center"/>
            <w:hideMark/>
          </w:tcPr>
          <w:p w14:paraId="1D8F931F"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2832" w:type="pct"/>
            <w:gridSpan w:val="2"/>
            <w:vMerge w:val="restart"/>
            <w:tcBorders>
              <w:top w:val="single" w:sz="4" w:space="0" w:color="auto"/>
              <w:left w:val="single" w:sz="4" w:space="0" w:color="auto"/>
              <w:bottom w:val="single" w:sz="4" w:space="0" w:color="auto"/>
              <w:right w:val="single" w:sz="4" w:space="0" w:color="auto"/>
            </w:tcBorders>
            <w:vAlign w:val="center"/>
            <w:hideMark/>
          </w:tcPr>
          <w:p w14:paraId="280BD864"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6BF01F24"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6B1DB74B"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Материал лопастей</w:t>
            </w:r>
          </w:p>
        </w:tc>
        <w:tc>
          <w:tcPr>
            <w:tcW w:w="788" w:type="pct"/>
            <w:tcBorders>
              <w:top w:val="single" w:sz="4" w:space="0" w:color="auto"/>
              <w:left w:val="single" w:sz="4" w:space="0" w:color="auto"/>
              <w:bottom w:val="single" w:sz="4" w:space="0" w:color="auto"/>
              <w:right w:val="single" w:sz="4" w:space="0" w:color="auto"/>
            </w:tcBorders>
            <w:vAlign w:val="center"/>
            <w:hideMark/>
          </w:tcPr>
          <w:p w14:paraId="6E0DB500"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дерево</w:t>
            </w:r>
          </w:p>
        </w:tc>
        <w:tc>
          <w:tcPr>
            <w:tcW w:w="2832" w:type="pct"/>
            <w:gridSpan w:val="2"/>
            <w:vMerge/>
            <w:tcBorders>
              <w:top w:val="single" w:sz="4" w:space="0" w:color="auto"/>
              <w:left w:val="single" w:sz="4" w:space="0" w:color="auto"/>
              <w:bottom w:val="single" w:sz="4" w:space="0" w:color="auto"/>
              <w:right w:val="single" w:sz="4" w:space="0" w:color="auto"/>
            </w:tcBorders>
            <w:vAlign w:val="center"/>
            <w:hideMark/>
          </w:tcPr>
          <w:p w14:paraId="1EE5AB7A"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3A15EE85"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75E78E47"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Диаметр винта (м)</w:t>
            </w:r>
          </w:p>
        </w:tc>
        <w:tc>
          <w:tcPr>
            <w:tcW w:w="788" w:type="pct"/>
            <w:tcBorders>
              <w:top w:val="single" w:sz="4" w:space="0" w:color="auto"/>
              <w:left w:val="single" w:sz="4" w:space="0" w:color="auto"/>
              <w:bottom w:val="single" w:sz="4" w:space="0" w:color="auto"/>
              <w:right w:val="single" w:sz="4" w:space="0" w:color="auto"/>
            </w:tcBorders>
            <w:vAlign w:val="center"/>
            <w:hideMark/>
          </w:tcPr>
          <w:p w14:paraId="4F4A30B4"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w:t>
            </w:r>
          </w:p>
        </w:tc>
        <w:tc>
          <w:tcPr>
            <w:tcW w:w="2832" w:type="pct"/>
            <w:gridSpan w:val="2"/>
            <w:vMerge/>
            <w:tcBorders>
              <w:top w:val="single" w:sz="4" w:space="0" w:color="auto"/>
              <w:left w:val="single" w:sz="4" w:space="0" w:color="auto"/>
              <w:bottom w:val="single" w:sz="4" w:space="0" w:color="auto"/>
              <w:right w:val="single" w:sz="4" w:space="0" w:color="auto"/>
            </w:tcBorders>
            <w:vAlign w:val="center"/>
            <w:hideMark/>
          </w:tcPr>
          <w:p w14:paraId="6C3B4D6B"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3FA4720D"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766C267A"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ширина лопасти (мм)</w:t>
            </w:r>
          </w:p>
        </w:tc>
        <w:tc>
          <w:tcPr>
            <w:tcW w:w="788" w:type="pct"/>
            <w:tcBorders>
              <w:top w:val="single" w:sz="4" w:space="0" w:color="auto"/>
              <w:left w:val="single" w:sz="4" w:space="0" w:color="auto"/>
              <w:bottom w:val="single" w:sz="4" w:space="0" w:color="auto"/>
              <w:right w:val="single" w:sz="4" w:space="0" w:color="auto"/>
            </w:tcBorders>
            <w:vAlign w:val="center"/>
            <w:hideMark/>
          </w:tcPr>
          <w:p w14:paraId="2E0CFF12"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310</w:t>
            </w:r>
          </w:p>
        </w:tc>
        <w:tc>
          <w:tcPr>
            <w:tcW w:w="2832" w:type="pct"/>
            <w:gridSpan w:val="2"/>
            <w:vMerge/>
            <w:tcBorders>
              <w:top w:val="single" w:sz="4" w:space="0" w:color="auto"/>
              <w:left w:val="single" w:sz="4" w:space="0" w:color="auto"/>
              <w:bottom w:val="single" w:sz="4" w:space="0" w:color="auto"/>
              <w:right w:val="single" w:sz="4" w:space="0" w:color="auto"/>
            </w:tcBorders>
            <w:vAlign w:val="center"/>
            <w:hideMark/>
          </w:tcPr>
          <w:p w14:paraId="43A22CFB"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5D72B0CC"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22B82089"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Относительная толщина лопасти на 0,9 r (%)</w:t>
            </w:r>
          </w:p>
        </w:tc>
        <w:tc>
          <w:tcPr>
            <w:tcW w:w="788" w:type="pct"/>
            <w:tcBorders>
              <w:top w:val="single" w:sz="4" w:space="0" w:color="auto"/>
              <w:left w:val="single" w:sz="4" w:space="0" w:color="auto"/>
              <w:bottom w:val="single" w:sz="4" w:space="0" w:color="auto"/>
              <w:right w:val="single" w:sz="4" w:space="0" w:color="auto"/>
            </w:tcBorders>
            <w:vAlign w:val="center"/>
            <w:hideMark/>
          </w:tcPr>
          <w:p w14:paraId="0CC4EA02"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w:t>
            </w:r>
          </w:p>
        </w:tc>
        <w:tc>
          <w:tcPr>
            <w:tcW w:w="2832" w:type="pct"/>
            <w:gridSpan w:val="2"/>
            <w:vMerge/>
            <w:tcBorders>
              <w:top w:val="single" w:sz="4" w:space="0" w:color="auto"/>
              <w:left w:val="single" w:sz="4" w:space="0" w:color="auto"/>
              <w:bottom w:val="single" w:sz="4" w:space="0" w:color="auto"/>
              <w:right w:val="single" w:sz="4" w:space="0" w:color="auto"/>
            </w:tcBorders>
            <w:vAlign w:val="center"/>
            <w:hideMark/>
          </w:tcPr>
          <w:p w14:paraId="79521814"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2C905B2A"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13F573EE"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Профиль сечения лопасти</w:t>
            </w:r>
          </w:p>
        </w:tc>
        <w:tc>
          <w:tcPr>
            <w:tcW w:w="788" w:type="pct"/>
            <w:tcBorders>
              <w:top w:val="single" w:sz="4" w:space="0" w:color="auto"/>
              <w:left w:val="single" w:sz="4" w:space="0" w:color="auto"/>
              <w:bottom w:val="single" w:sz="4" w:space="0" w:color="auto"/>
              <w:right w:val="single" w:sz="4" w:space="0" w:color="auto"/>
            </w:tcBorders>
            <w:vAlign w:val="center"/>
            <w:hideMark/>
          </w:tcPr>
          <w:p w14:paraId="4A6D2191"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w:t>
            </w:r>
          </w:p>
          <w:p w14:paraId="57AD82AE"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модифицир.</w:t>
            </w:r>
          </w:p>
        </w:tc>
        <w:tc>
          <w:tcPr>
            <w:tcW w:w="2832" w:type="pct"/>
            <w:gridSpan w:val="2"/>
            <w:vMerge/>
            <w:tcBorders>
              <w:top w:val="single" w:sz="4" w:space="0" w:color="auto"/>
              <w:left w:val="single" w:sz="4" w:space="0" w:color="auto"/>
              <w:bottom w:val="single" w:sz="4" w:space="0" w:color="auto"/>
              <w:right w:val="single" w:sz="4" w:space="0" w:color="auto"/>
            </w:tcBorders>
            <w:vAlign w:val="center"/>
            <w:hideMark/>
          </w:tcPr>
          <w:p w14:paraId="367B203B"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5988DF8D"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39062B08"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Диапазон поворота лопастей (град.)</w:t>
            </w:r>
          </w:p>
        </w:tc>
        <w:tc>
          <w:tcPr>
            <w:tcW w:w="788" w:type="pct"/>
            <w:tcBorders>
              <w:top w:val="single" w:sz="4" w:space="0" w:color="auto"/>
              <w:left w:val="single" w:sz="4" w:space="0" w:color="auto"/>
              <w:bottom w:val="single" w:sz="4" w:space="0" w:color="auto"/>
              <w:right w:val="single" w:sz="4" w:space="0" w:color="auto"/>
            </w:tcBorders>
            <w:vAlign w:val="center"/>
            <w:hideMark/>
          </w:tcPr>
          <w:p w14:paraId="3CADA467"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tc>
        <w:tc>
          <w:tcPr>
            <w:tcW w:w="2832" w:type="pct"/>
            <w:gridSpan w:val="2"/>
            <w:vMerge/>
            <w:tcBorders>
              <w:top w:val="single" w:sz="4" w:space="0" w:color="auto"/>
              <w:left w:val="single" w:sz="4" w:space="0" w:color="auto"/>
              <w:bottom w:val="single" w:sz="4" w:space="0" w:color="auto"/>
              <w:right w:val="single" w:sz="4" w:space="0" w:color="auto"/>
            </w:tcBorders>
            <w:vAlign w:val="center"/>
            <w:hideMark/>
          </w:tcPr>
          <w:p w14:paraId="6C88DCBB"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09DCADC3"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72F51A88"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Минимальный установочный угол</w:t>
            </w:r>
          </w:p>
          <w:p w14:paraId="4007CC57"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лопастей (град.)</w:t>
            </w:r>
          </w:p>
        </w:tc>
        <w:tc>
          <w:tcPr>
            <w:tcW w:w="788" w:type="pct"/>
            <w:tcBorders>
              <w:top w:val="single" w:sz="4" w:space="0" w:color="auto"/>
              <w:left w:val="single" w:sz="4" w:space="0" w:color="auto"/>
              <w:bottom w:val="single" w:sz="4" w:space="0" w:color="auto"/>
              <w:right w:val="single" w:sz="4" w:space="0" w:color="auto"/>
            </w:tcBorders>
            <w:vAlign w:val="center"/>
            <w:hideMark/>
          </w:tcPr>
          <w:p w14:paraId="0637060B"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tc>
        <w:tc>
          <w:tcPr>
            <w:tcW w:w="2832" w:type="pct"/>
            <w:gridSpan w:val="2"/>
            <w:vMerge/>
            <w:tcBorders>
              <w:top w:val="single" w:sz="4" w:space="0" w:color="auto"/>
              <w:left w:val="single" w:sz="4" w:space="0" w:color="auto"/>
              <w:bottom w:val="single" w:sz="4" w:space="0" w:color="auto"/>
              <w:right w:val="single" w:sz="4" w:space="0" w:color="auto"/>
            </w:tcBorders>
            <w:vAlign w:val="center"/>
            <w:hideMark/>
          </w:tcPr>
          <w:p w14:paraId="07EF7EB5"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541D87EA"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7202DAAB"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лопасти (кг)</w:t>
            </w:r>
          </w:p>
        </w:tc>
        <w:tc>
          <w:tcPr>
            <w:tcW w:w="788" w:type="pct"/>
            <w:tcBorders>
              <w:top w:val="single" w:sz="4" w:space="0" w:color="auto"/>
              <w:left w:val="single" w:sz="4" w:space="0" w:color="auto"/>
              <w:bottom w:val="single" w:sz="4" w:space="0" w:color="auto"/>
              <w:right w:val="single" w:sz="4" w:space="0" w:color="auto"/>
            </w:tcBorders>
            <w:vAlign w:val="center"/>
            <w:hideMark/>
          </w:tcPr>
          <w:p w14:paraId="728BC13D"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tc>
        <w:tc>
          <w:tcPr>
            <w:tcW w:w="2832" w:type="pct"/>
            <w:gridSpan w:val="2"/>
            <w:vMerge/>
            <w:tcBorders>
              <w:top w:val="single" w:sz="4" w:space="0" w:color="auto"/>
              <w:left w:val="single" w:sz="4" w:space="0" w:color="auto"/>
              <w:bottom w:val="single" w:sz="4" w:space="0" w:color="auto"/>
              <w:right w:val="single" w:sz="4" w:space="0" w:color="auto"/>
            </w:tcBorders>
            <w:vAlign w:val="center"/>
            <w:hideMark/>
          </w:tcPr>
          <w:p w14:paraId="76812962"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1355499E"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0BF40AD5"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винта (кг)</w:t>
            </w:r>
          </w:p>
        </w:tc>
        <w:tc>
          <w:tcPr>
            <w:tcW w:w="788" w:type="pct"/>
            <w:tcBorders>
              <w:top w:val="single" w:sz="4" w:space="0" w:color="auto"/>
              <w:left w:val="single" w:sz="4" w:space="0" w:color="auto"/>
              <w:bottom w:val="single" w:sz="4" w:space="0" w:color="auto"/>
              <w:right w:val="single" w:sz="4" w:space="0" w:color="auto"/>
            </w:tcBorders>
            <w:vAlign w:val="center"/>
            <w:hideMark/>
          </w:tcPr>
          <w:p w14:paraId="2C50334B"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w:t>
            </w:r>
          </w:p>
        </w:tc>
        <w:tc>
          <w:tcPr>
            <w:tcW w:w="2832" w:type="pct"/>
            <w:gridSpan w:val="2"/>
            <w:vMerge/>
            <w:tcBorders>
              <w:top w:val="single" w:sz="4" w:space="0" w:color="auto"/>
              <w:left w:val="single" w:sz="4" w:space="0" w:color="auto"/>
              <w:bottom w:val="single" w:sz="4" w:space="0" w:color="auto"/>
              <w:right w:val="single" w:sz="4" w:space="0" w:color="auto"/>
            </w:tcBorders>
            <w:vAlign w:val="center"/>
            <w:hideMark/>
          </w:tcPr>
          <w:p w14:paraId="1BCC9AA4"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647671C0"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49F5E32D"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Номинальное число оборотов мотора (об/мин)</w:t>
            </w:r>
          </w:p>
        </w:tc>
        <w:tc>
          <w:tcPr>
            <w:tcW w:w="788" w:type="pct"/>
            <w:tcBorders>
              <w:top w:val="single" w:sz="4" w:space="0" w:color="auto"/>
              <w:left w:val="single" w:sz="4" w:space="0" w:color="auto"/>
              <w:bottom w:val="single" w:sz="4" w:space="0" w:color="auto"/>
              <w:right w:val="single" w:sz="4" w:space="0" w:color="auto"/>
            </w:tcBorders>
            <w:vAlign w:val="center"/>
            <w:hideMark/>
          </w:tcPr>
          <w:p w14:paraId="791918B3"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2375</w:t>
            </w:r>
          </w:p>
        </w:tc>
        <w:tc>
          <w:tcPr>
            <w:tcW w:w="2832" w:type="pct"/>
            <w:gridSpan w:val="2"/>
            <w:vMerge/>
            <w:tcBorders>
              <w:top w:val="single" w:sz="4" w:space="0" w:color="auto"/>
              <w:left w:val="single" w:sz="4" w:space="0" w:color="auto"/>
              <w:bottom w:val="single" w:sz="4" w:space="0" w:color="auto"/>
              <w:right w:val="single" w:sz="4" w:space="0" w:color="auto"/>
            </w:tcBorders>
            <w:vAlign w:val="center"/>
            <w:hideMark/>
          </w:tcPr>
          <w:p w14:paraId="52D585AF"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1578AEEC"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2EF6B129"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Редукция мотора</w:t>
            </w:r>
          </w:p>
        </w:tc>
        <w:tc>
          <w:tcPr>
            <w:tcW w:w="788" w:type="pct"/>
            <w:tcBorders>
              <w:top w:val="single" w:sz="4" w:space="0" w:color="auto"/>
              <w:left w:val="single" w:sz="4" w:space="0" w:color="auto"/>
              <w:bottom w:val="single" w:sz="4" w:space="0" w:color="auto"/>
              <w:right w:val="single" w:sz="4" w:space="0" w:color="auto"/>
            </w:tcBorders>
            <w:vAlign w:val="center"/>
            <w:hideMark/>
          </w:tcPr>
          <w:p w14:paraId="48F746A3"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0,666</w:t>
            </w:r>
          </w:p>
        </w:tc>
        <w:tc>
          <w:tcPr>
            <w:tcW w:w="2832" w:type="pct"/>
            <w:gridSpan w:val="2"/>
            <w:vMerge/>
            <w:tcBorders>
              <w:top w:val="single" w:sz="4" w:space="0" w:color="auto"/>
              <w:left w:val="single" w:sz="4" w:space="0" w:color="auto"/>
              <w:bottom w:val="single" w:sz="4" w:space="0" w:color="auto"/>
              <w:right w:val="single" w:sz="4" w:space="0" w:color="auto"/>
            </w:tcBorders>
            <w:vAlign w:val="center"/>
            <w:hideMark/>
          </w:tcPr>
          <w:p w14:paraId="515DC5C3"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192706E9"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51DB487C"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Направление вращения винта</w:t>
            </w:r>
          </w:p>
        </w:tc>
        <w:tc>
          <w:tcPr>
            <w:tcW w:w="788" w:type="pct"/>
            <w:tcBorders>
              <w:top w:val="single" w:sz="4" w:space="0" w:color="auto"/>
              <w:left w:val="single" w:sz="4" w:space="0" w:color="auto"/>
              <w:bottom w:val="single" w:sz="4" w:space="0" w:color="auto"/>
              <w:right w:val="single" w:sz="4" w:space="0" w:color="auto"/>
            </w:tcBorders>
            <w:vAlign w:val="center"/>
            <w:hideMark/>
          </w:tcPr>
          <w:p w14:paraId="64789217"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левое</w:t>
            </w:r>
          </w:p>
        </w:tc>
        <w:tc>
          <w:tcPr>
            <w:tcW w:w="836" w:type="pct"/>
            <w:vMerge w:val="restart"/>
            <w:tcBorders>
              <w:top w:val="single" w:sz="4" w:space="0" w:color="auto"/>
              <w:left w:val="single" w:sz="4" w:space="0" w:color="auto"/>
              <w:bottom w:val="single" w:sz="4" w:space="0" w:color="auto"/>
              <w:right w:val="single" w:sz="4" w:space="0" w:color="auto"/>
            </w:tcBorders>
            <w:vAlign w:val="center"/>
            <w:hideMark/>
          </w:tcPr>
          <w:p w14:paraId="00895C6B"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Состояние</w:t>
            </w:r>
          </w:p>
          <w:p w14:paraId="30AB231A"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винта</w:t>
            </w:r>
          </w:p>
        </w:tc>
        <w:tc>
          <w:tcPr>
            <w:tcW w:w="1989" w:type="pct"/>
            <w:vMerge w:val="restart"/>
            <w:tcBorders>
              <w:top w:val="single" w:sz="4" w:space="0" w:color="auto"/>
              <w:left w:val="single" w:sz="4" w:space="0" w:color="auto"/>
              <w:bottom w:val="single" w:sz="4" w:space="0" w:color="auto"/>
              <w:right w:val="single" w:sz="4" w:space="0" w:color="auto"/>
            </w:tcBorders>
            <w:vAlign w:val="center"/>
            <w:hideMark/>
          </w:tcPr>
          <w:p w14:paraId="306E790F"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Винт испытания прошел удовлетворительно и рекомендован для эксплоатации в частях ВВС Красной Армии и АДД вместо винтов ВИШ-61ИФ и ВИШ-23.</w:t>
            </w:r>
          </w:p>
        </w:tc>
      </w:tr>
      <w:tr w:rsidR="00860B4B" w:rsidRPr="00D03F3E" w14:paraId="79F5C93A"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0940DB4C"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регулятора оборотов</w:t>
            </w:r>
          </w:p>
        </w:tc>
        <w:tc>
          <w:tcPr>
            <w:tcW w:w="788" w:type="pct"/>
            <w:tcBorders>
              <w:top w:val="single" w:sz="4" w:space="0" w:color="auto"/>
              <w:left w:val="single" w:sz="4" w:space="0" w:color="auto"/>
              <w:bottom w:val="single" w:sz="4" w:space="0" w:color="auto"/>
              <w:right w:val="single" w:sz="4" w:space="0" w:color="auto"/>
            </w:tcBorders>
            <w:vAlign w:val="center"/>
            <w:hideMark/>
          </w:tcPr>
          <w:p w14:paraId="1829A8BF"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Р-7</w:t>
            </w:r>
          </w:p>
        </w:tc>
        <w:tc>
          <w:tcPr>
            <w:tcW w:w="836" w:type="pct"/>
            <w:vMerge/>
            <w:tcBorders>
              <w:top w:val="single" w:sz="4" w:space="0" w:color="auto"/>
              <w:left w:val="single" w:sz="4" w:space="0" w:color="auto"/>
              <w:bottom w:val="single" w:sz="4" w:space="0" w:color="auto"/>
              <w:right w:val="single" w:sz="4" w:space="0" w:color="auto"/>
            </w:tcBorders>
            <w:vAlign w:val="center"/>
            <w:hideMark/>
          </w:tcPr>
          <w:p w14:paraId="113B7713"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c>
          <w:tcPr>
            <w:tcW w:w="1989" w:type="pct"/>
            <w:vMerge/>
            <w:tcBorders>
              <w:top w:val="single" w:sz="4" w:space="0" w:color="auto"/>
              <w:left w:val="single" w:sz="4" w:space="0" w:color="auto"/>
              <w:bottom w:val="single" w:sz="4" w:space="0" w:color="auto"/>
              <w:right w:val="single" w:sz="4" w:space="0" w:color="auto"/>
            </w:tcBorders>
            <w:vAlign w:val="center"/>
            <w:hideMark/>
          </w:tcPr>
          <w:p w14:paraId="3153E144"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51D91E63"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65359E42"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Носок вала редуктора мотора</w:t>
            </w:r>
          </w:p>
        </w:tc>
        <w:tc>
          <w:tcPr>
            <w:tcW w:w="788" w:type="pct"/>
            <w:tcBorders>
              <w:top w:val="single" w:sz="4" w:space="0" w:color="auto"/>
              <w:left w:val="single" w:sz="4" w:space="0" w:color="auto"/>
              <w:bottom w:val="single" w:sz="4" w:space="0" w:color="auto"/>
              <w:right w:val="single" w:sz="4" w:space="0" w:color="auto"/>
            </w:tcBorders>
            <w:vAlign w:val="center"/>
            <w:hideMark/>
          </w:tcPr>
          <w:p w14:paraId="550526A9"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SAF</w:t>
            </w:r>
          </w:p>
        </w:tc>
        <w:tc>
          <w:tcPr>
            <w:tcW w:w="836" w:type="pct"/>
            <w:vMerge/>
            <w:tcBorders>
              <w:top w:val="single" w:sz="4" w:space="0" w:color="auto"/>
              <w:left w:val="single" w:sz="4" w:space="0" w:color="auto"/>
              <w:bottom w:val="single" w:sz="4" w:space="0" w:color="auto"/>
              <w:right w:val="single" w:sz="4" w:space="0" w:color="auto"/>
            </w:tcBorders>
            <w:vAlign w:val="center"/>
            <w:hideMark/>
          </w:tcPr>
          <w:p w14:paraId="41A915AF"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c>
          <w:tcPr>
            <w:tcW w:w="1989" w:type="pct"/>
            <w:vMerge/>
            <w:tcBorders>
              <w:top w:val="single" w:sz="4" w:space="0" w:color="auto"/>
              <w:left w:val="single" w:sz="4" w:space="0" w:color="auto"/>
              <w:bottom w:val="single" w:sz="4" w:space="0" w:color="auto"/>
              <w:right w:val="single" w:sz="4" w:space="0" w:color="auto"/>
            </w:tcBorders>
            <w:vAlign w:val="center"/>
            <w:hideMark/>
          </w:tcPr>
          <w:p w14:paraId="0EB1B0D2"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6F3D47A0"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116F9B5A"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c>
          <w:tcPr>
            <w:tcW w:w="788" w:type="pct"/>
            <w:tcBorders>
              <w:top w:val="single" w:sz="4" w:space="0" w:color="auto"/>
              <w:left w:val="single" w:sz="4" w:space="0" w:color="auto"/>
              <w:bottom w:val="single" w:sz="4" w:space="0" w:color="auto"/>
              <w:right w:val="single" w:sz="4" w:space="0" w:color="auto"/>
            </w:tcBorders>
            <w:vAlign w:val="center"/>
            <w:hideMark/>
          </w:tcPr>
          <w:p w14:paraId="01A787F1"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c>
          <w:tcPr>
            <w:tcW w:w="2832" w:type="pct"/>
            <w:gridSpan w:val="2"/>
            <w:tcBorders>
              <w:top w:val="single" w:sz="4" w:space="0" w:color="auto"/>
              <w:left w:val="single" w:sz="4" w:space="0" w:color="auto"/>
              <w:bottom w:val="single" w:sz="4" w:space="0" w:color="auto"/>
              <w:right w:val="single" w:sz="4" w:space="0" w:color="auto"/>
            </w:tcBorders>
            <w:vAlign w:val="center"/>
            <w:hideMark/>
          </w:tcPr>
          <w:p w14:paraId="1316DD87"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Источник сведений: Отчет по испыт. винта, май 1943 г.</w:t>
            </w:r>
          </w:p>
        </w:tc>
      </w:tr>
    </w:tbl>
    <w:p w14:paraId="1CF1CAB0"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(12227).</w:t>
      </w:r>
    </w:p>
    <w:p w14:paraId="02F9800F" w14:textId="77777777" w:rsidR="005119DD" w:rsidRPr="00D03F3E" w:rsidRDefault="005119DD" w:rsidP="00D03F3E">
      <w:pPr>
        <w:spacing w:after="0" w:line="240" w:lineRule="auto"/>
        <w:jc w:val="both"/>
        <w:rPr>
          <w:rFonts w:ascii="Times New Roman" w:hAnsi="Times New Roman"/>
          <w:color w:val="000000" w:themeColor="text1"/>
          <w:sz w:val="16"/>
          <w:szCs w:val="16"/>
        </w:rPr>
      </w:pPr>
    </w:p>
    <w:p w14:paraId="38B262D1"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Май 1943 г. Отчет по испыт. винта</w:t>
      </w:r>
      <w:r w:rsidRPr="00D03F3E">
        <w:rPr>
          <w:rFonts w:ascii="Times New Roman" w:hAnsi="Times New Roman"/>
          <w:bCs/>
          <w:color w:val="000000" w:themeColor="text1"/>
          <w:sz w:val="16"/>
          <w:szCs w:val="16"/>
        </w:rPr>
        <w:t xml:space="preserve"> Винт ВИШ-105Д-70</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2277"/>
        <w:gridCol w:w="1367"/>
        <w:gridCol w:w="1411"/>
        <w:gridCol w:w="5820"/>
      </w:tblGrid>
      <w:tr w:rsidR="00860B4B" w:rsidRPr="00D03F3E" w14:paraId="5B79EA77" w14:textId="77777777" w:rsidTr="00021976">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2E85BB94"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Винт ВИШ-105Д-70.    Производство завода № 27 и № 383.    Конструктор Заславский, Бас-Дубов и Целиков.</w:t>
            </w:r>
          </w:p>
        </w:tc>
      </w:tr>
      <w:tr w:rsidR="00860B4B" w:rsidRPr="00D03F3E" w14:paraId="64122E74"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F24BEEE"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6FBD9948"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7AE63DA"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Предназначен для</w:t>
            </w:r>
          </w:p>
          <w:p w14:paraId="58399668"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44C096B"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Пе-2 с 2М-105ПФ.</w:t>
            </w:r>
          </w:p>
        </w:tc>
      </w:tr>
      <w:tr w:rsidR="00860B4B" w:rsidRPr="00D03F3E" w14:paraId="7EFBE613"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88CF727"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42F252EF"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5646467"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76CAB7E"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5F6E1538"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0B656EC"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0E31647E"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17E8F790"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5912D089"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D30F13E"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79A3A093"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дерево</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5542B6E"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29557678"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1D6ECBD"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6D44E7BF"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77B8978"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50263B33"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EAEA412"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1CD93583"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3E69670"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1A96AD47"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5B9FEAC"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2B6C02F3"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9B9DE6B"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2BC1B7EB"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18240AE"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1CF81C6B"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w:t>
            </w:r>
          </w:p>
          <w:p w14:paraId="7566FA1A"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модифицир.</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A95B15B"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5ABBC4EA"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1B96D44"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01A19AB4"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FB8AC6E"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04BBC2ED"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07E18E3"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Минимальный установочный угол</w:t>
            </w:r>
          </w:p>
          <w:p w14:paraId="308DB6C0"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47A8A802"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C4240C6"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21730F83"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231AD27"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6CC8DB5"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06518BE"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55B34100"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626C9F0"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91DE29E"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A8B867C"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7C300927"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8D183E0"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78BD1145"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84C8FA9"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092079F7"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9DC174D"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6B76C1CE"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0,666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5F5FE10"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7FB5AD75"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DF3BD84"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ABA410D"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65E703A"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Состояние</w:t>
            </w:r>
          </w:p>
          <w:p w14:paraId="50045F79"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2CF8F34"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Винт испытания на с-те Пе-2 прошел удовлетворительно и рекомендован для эксплоатации на фронте при недостатке дюралевых лопастей.</w:t>
            </w:r>
          </w:p>
        </w:tc>
      </w:tr>
      <w:tr w:rsidR="00860B4B" w:rsidRPr="00D03F3E" w14:paraId="0221D5C2"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7CC4D19"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73B6B1FD"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D72521"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2B84452"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4DED44D4"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7123064"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3FD76005"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48B7BAE"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6149036"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r>
      <w:tr w:rsidR="00860B4B" w:rsidRPr="00D03F3E" w14:paraId="3FC2ADD3"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276515C"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01BEFD1" w14:textId="77777777" w:rsidR="005119DD" w:rsidRPr="00D03F3E" w:rsidRDefault="005119DD" w:rsidP="00D03F3E">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3ACC0403"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Источник сведений: Отчет по испыт. винта май 1943 г.</w:t>
            </w:r>
          </w:p>
        </w:tc>
      </w:tr>
    </w:tbl>
    <w:p w14:paraId="2A933D1D"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(12227).</w:t>
      </w:r>
    </w:p>
    <w:p w14:paraId="6D9C439F" w14:textId="77777777" w:rsidR="005119DD" w:rsidRPr="00D03F3E" w:rsidRDefault="005119DD" w:rsidP="00D03F3E">
      <w:pPr>
        <w:spacing w:after="0" w:line="240" w:lineRule="auto"/>
        <w:jc w:val="both"/>
        <w:rPr>
          <w:rFonts w:ascii="Times New Roman" w:hAnsi="Times New Roman"/>
          <w:color w:val="000000" w:themeColor="text1"/>
          <w:sz w:val="16"/>
          <w:szCs w:val="16"/>
        </w:rPr>
      </w:pPr>
    </w:p>
    <w:p w14:paraId="1EDB0C8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при стрельбе по трофейному танку Pz.IV пушка Flak 18 показала большую пробивную способность, по сравнению с нашей НС-37, за счет превосходства в дульной мощности. Однако немецкая пушка была почти вдвое тяжелее и в 1,5 раза уступала в скорострельности.</w:t>
      </w:r>
    </w:p>
    <w:p w14:paraId="547D0BF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C419411"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1942 года Институт лётных испытаний по заданию Наркомата авиационной промышленности проводил испытания звучащих приспособлений (ЗП) на авиабомбах. Испытания проводились в городе Новосибирске под руководством ведущего инженера А.С. Огородникова. Они заключались в проверке в естественных условиях, на полигоне работы звучащих приспособлений конструкции ЦАГИ, установленных на авиабомбах с целью деморализации противника.</w:t>
      </w:r>
    </w:p>
    <w:p w14:paraId="5ADA41FE"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испытаний было решено усовершенствовать ЗП № 4 в звучащее приспособление особого типа (ЗПО), которое значительно превосходит силу звука предыдущего приспособления. В отчёте об испытаниях отмечалось, что «звук продолжительный и устойчивый, слышимость звука зарегистрирована на расстоянии 61 метр от места сбрасывания</w:t>
      </w:r>
      <w:bookmarkStart w:id="16" w:name="_ednref26"/>
      <w:r w:rsidRPr="00D03F3E">
        <w:rPr>
          <w:rFonts w:ascii="Times New Roman" w:hAnsi="Times New Roman"/>
          <w:color w:val="000000" w:themeColor="text1"/>
          <w:sz w:val="16"/>
          <w:szCs w:val="16"/>
        </w:rPr>
        <w:t xml:space="preserve"> (12706)</w:t>
      </w:r>
      <w:bookmarkEnd w:id="16"/>
      <w:r w:rsidRPr="00D03F3E">
        <w:rPr>
          <w:rFonts w:ascii="Times New Roman" w:hAnsi="Times New Roman"/>
          <w:color w:val="000000" w:themeColor="text1"/>
          <w:sz w:val="16"/>
          <w:szCs w:val="16"/>
        </w:rPr>
        <w:t>.</w:t>
      </w:r>
    </w:p>
    <w:p w14:paraId="022283BF" w14:textId="77777777" w:rsidR="005119DD" w:rsidRPr="00D03F3E" w:rsidRDefault="005119DD" w:rsidP="00D03F3E">
      <w:pPr>
        <w:spacing w:after="0" w:line="240" w:lineRule="auto"/>
        <w:jc w:val="both"/>
        <w:rPr>
          <w:rFonts w:ascii="Times New Roman" w:hAnsi="Times New Roman"/>
          <w:color w:val="000000" w:themeColor="text1"/>
          <w:sz w:val="16"/>
          <w:szCs w:val="16"/>
        </w:rPr>
      </w:pPr>
    </w:p>
    <w:p w14:paraId="0124DB08" w14:textId="77777777" w:rsidR="00E15604" w:rsidRPr="00D03F3E" w:rsidRDefault="00E15604" w:rsidP="00D03F3E">
      <w:pPr>
        <w:pStyle w:val="ae"/>
        <w:spacing w:before="0" w:after="0"/>
        <w:jc w:val="both"/>
        <w:rPr>
          <w:color w:val="000000" w:themeColor="text1"/>
          <w:sz w:val="16"/>
          <w:szCs w:val="16"/>
        </w:rPr>
      </w:pPr>
      <w:r w:rsidRPr="00D03F3E">
        <w:rPr>
          <w:color w:val="000000" w:themeColor="text1"/>
          <w:sz w:val="16"/>
          <w:szCs w:val="16"/>
        </w:rPr>
        <w:t>В мае 1943 года авиарембаза №405 послала под Сталинград бригаду во главе с инженером Певзнером. Всего она отобрала двадцать девять Ю-52. Из них пятнадцать сочли пригодными для восстановления, а остальные забрали на запчасти. Ремонтом «юнкерсов» занимались различные предприятия – авиарембазы №№401, 403, 405 и завод №243 (Ташкент). Головной считалась авиарембаза №405. Вместе с заводом №243 она изготавливала недостающие детали и проводила крупные переделки.</w:t>
      </w:r>
    </w:p>
    <w:p w14:paraId="7DF36E90" w14:textId="77777777" w:rsidR="00E15604" w:rsidRPr="00D03F3E" w:rsidRDefault="00E15604" w:rsidP="00D03F3E">
      <w:pPr>
        <w:pStyle w:val="ae"/>
        <w:spacing w:before="0" w:after="0"/>
        <w:jc w:val="both"/>
        <w:rPr>
          <w:color w:val="000000" w:themeColor="text1"/>
          <w:sz w:val="16"/>
          <w:szCs w:val="16"/>
        </w:rPr>
      </w:pPr>
      <w:r w:rsidRPr="00D03F3E">
        <w:rPr>
          <w:color w:val="000000" w:themeColor="text1"/>
          <w:sz w:val="16"/>
          <w:szCs w:val="16"/>
        </w:rPr>
        <w:t>Среди последних следует упомянуть проект замены трёх немецких моторов BMW 132 двумя отечественными М-62ИР. Чертежи разработали на базе №405 и там же изготовили опытную мотораму. К 28 сентября 1943 года закончили её статические испытания. В октябре-ноябре велась переделка одного «юнкерса» под пару М-62ИР, но неизвестно, была ли она завершена. По-видимому, в связи с увеличением количества трофейных двигателей и освоением у нас производства запчастей к ним интерес к подобной модификации угас.</w:t>
      </w:r>
    </w:p>
    <w:p w14:paraId="7EE58509" w14:textId="77777777" w:rsidR="00E15604" w:rsidRPr="00D03F3E" w:rsidRDefault="00E15604" w:rsidP="00D03F3E">
      <w:pPr>
        <w:pStyle w:val="ae"/>
        <w:spacing w:before="0" w:after="0"/>
        <w:jc w:val="both"/>
        <w:rPr>
          <w:color w:val="000000" w:themeColor="text1"/>
          <w:sz w:val="16"/>
          <w:szCs w:val="16"/>
          <w:shd w:val="clear" w:color="auto" w:fill="FFFFFF"/>
        </w:rPr>
      </w:pPr>
      <w:r w:rsidRPr="00D03F3E">
        <w:rPr>
          <w:color w:val="000000" w:themeColor="text1"/>
          <w:sz w:val="16"/>
          <w:szCs w:val="16"/>
          <w:shd w:val="clear" w:color="auto" w:fill="FFFFFF"/>
        </w:rPr>
        <w:t>Часть машин, например, самолёт Л-58, оборудовали пассажирской кабиной. Остальные использовались в исходном немецком военно-транспортном варианте</w:t>
      </w:r>
      <w:r w:rsidRPr="00D03F3E">
        <w:rPr>
          <w:color w:val="000000" w:themeColor="text1"/>
          <w:sz w:val="16"/>
          <w:szCs w:val="16"/>
        </w:rPr>
        <w:t xml:space="preserve"> (19686)</w:t>
      </w:r>
      <w:r w:rsidRPr="00D03F3E">
        <w:rPr>
          <w:color w:val="000000" w:themeColor="text1"/>
          <w:sz w:val="16"/>
          <w:szCs w:val="16"/>
          <w:shd w:val="clear" w:color="auto" w:fill="FFFFFF"/>
        </w:rPr>
        <w:t>.</w:t>
      </w:r>
    </w:p>
    <w:p w14:paraId="462DABAC" w14:textId="77777777" w:rsidR="00E15604" w:rsidRPr="00D03F3E" w:rsidRDefault="00E15604" w:rsidP="00D03F3E">
      <w:pPr>
        <w:pStyle w:val="ae"/>
        <w:spacing w:before="0" w:after="0"/>
        <w:jc w:val="both"/>
        <w:rPr>
          <w:color w:val="000000" w:themeColor="text1"/>
          <w:sz w:val="16"/>
          <w:szCs w:val="16"/>
          <w:shd w:val="clear" w:color="auto" w:fill="FFFFFF"/>
        </w:rPr>
      </w:pPr>
    </w:p>
    <w:p w14:paraId="611FB3A2"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183B3900" w14:textId="77777777" w:rsidR="00531570" w:rsidRPr="00D03F3E" w:rsidRDefault="00531570" w:rsidP="00D03F3E">
      <w:pPr>
        <w:pStyle w:val="Iauiue"/>
        <w:jc w:val="both"/>
        <w:rPr>
          <w:iCs/>
          <w:color w:val="000000" w:themeColor="text1"/>
          <w:sz w:val="16"/>
          <w:szCs w:val="16"/>
        </w:rPr>
      </w:pPr>
    </w:p>
    <w:p w14:paraId="3306851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года были закончены испытания новых 122-мм гаубиц Д-1, и без существенных замечаний гаубица Д-1 была принята на вооружение постановлением ГКО от 8 августа 1943 года (3861).</w:t>
      </w:r>
    </w:p>
    <w:p w14:paraId="1C2CF098" w14:textId="77777777" w:rsidR="00531570" w:rsidRPr="00D03F3E" w:rsidRDefault="00531570" w:rsidP="00D03F3E">
      <w:pPr>
        <w:pStyle w:val="Iauiue"/>
        <w:jc w:val="both"/>
        <w:rPr>
          <w:color w:val="000000" w:themeColor="text1"/>
          <w:sz w:val="16"/>
          <w:szCs w:val="16"/>
        </w:rPr>
      </w:pPr>
    </w:p>
    <w:p w14:paraId="0316A8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года были закончены испытания новых 122-мм гаубиц Д-1, и без существенных замечаний (3861).</w:t>
      </w:r>
    </w:p>
    <w:p w14:paraId="175A4371" w14:textId="77777777" w:rsidR="00531570" w:rsidRPr="00D03F3E" w:rsidRDefault="00531570" w:rsidP="00D03F3E">
      <w:pPr>
        <w:pStyle w:val="Iauiue"/>
        <w:jc w:val="both"/>
        <w:rPr>
          <w:color w:val="000000" w:themeColor="text1"/>
          <w:sz w:val="16"/>
          <w:szCs w:val="16"/>
        </w:rPr>
      </w:pPr>
    </w:p>
    <w:p w14:paraId="7CDA0F41" w14:textId="77777777" w:rsidR="003770F2" w:rsidRPr="00D03F3E" w:rsidRDefault="003770F2" w:rsidP="00D03F3E">
      <w:pPr>
        <w:pStyle w:val="Iauiue"/>
        <w:jc w:val="both"/>
        <w:rPr>
          <w:color w:val="000000" w:themeColor="text1"/>
          <w:sz w:val="16"/>
          <w:szCs w:val="16"/>
        </w:rPr>
      </w:pPr>
      <w:r w:rsidRPr="00D03F3E">
        <w:rPr>
          <w:color w:val="000000" w:themeColor="text1"/>
          <w:sz w:val="16"/>
          <w:szCs w:val="16"/>
        </w:rPr>
        <w:t>В мае 1943 закончились испытания и был принят на вооружение пулемет СГ-43 П.М.Горюнова под названием 7.62-мм станковый пулемет системы Горюнова образца 1943 (СГ-43).</w:t>
      </w:r>
    </w:p>
    <w:p w14:paraId="54883336" w14:textId="77777777" w:rsidR="003770F2" w:rsidRPr="00D03F3E" w:rsidRDefault="003770F2" w:rsidP="00D03F3E">
      <w:pPr>
        <w:pStyle w:val="Iauiue"/>
        <w:jc w:val="both"/>
        <w:rPr>
          <w:color w:val="000000" w:themeColor="text1"/>
          <w:sz w:val="16"/>
          <w:szCs w:val="16"/>
        </w:rPr>
      </w:pPr>
    </w:p>
    <w:p w14:paraId="08218F8A" w14:textId="77777777" w:rsidR="003770F2" w:rsidRPr="00D03F3E"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мае 1943 г. проходило испытания ПТРС с прицелом ПУ и кронштейном Кочетова, у которого заменили только основание. Была отмечена сбиваемость установок шкал барабанчиков прицела, что неудивительно, поскольку это было недостатком и на снайперских винтовках с гораздо меньшей отдачей. Ставить оптические прицелы на все ПТ ружья сочли нецелесообразным, а для стрельбы по малоразмерным целям и по замаскированным танкам предлагалось иметь отдельные снайперские ПТР, снабженные оптическими прицелами типа ПУ. В августе 1943 г. испытывались ПТРД и ПТРС с прицелами ПУ и специально разработанными кронштейнами (</w:t>
      </w:r>
      <w:r w:rsidRPr="00D03F3E">
        <w:rPr>
          <w:rFonts w:ascii="Times New Roman" w:eastAsia="Times New Roman" w:hAnsi="Times New Roman"/>
          <w:iCs/>
          <w:color w:val="000000" w:themeColor="text1"/>
          <w:sz w:val="16"/>
          <w:szCs w:val="16"/>
          <w:lang w:eastAsia="ru-RU"/>
        </w:rPr>
        <w:t>рис. 20</w:t>
      </w:r>
      <w:r w:rsidRPr="00D03F3E">
        <w:rPr>
          <w:rFonts w:ascii="Times New Roman" w:eastAsia="Times New Roman" w:hAnsi="Times New Roman"/>
          <w:color w:val="000000" w:themeColor="text1"/>
          <w:sz w:val="16"/>
          <w:szCs w:val="16"/>
          <w:lang w:eastAsia="ru-RU"/>
        </w:rPr>
        <w:t>). Новые кронштейны не улучшили ситуацию, так как установки барабанчиков при стрельбе по-прежнему сбивались. Увеличить удаление выходного зрачка на безопасную для стрелка дистанцию с ПУ было нельзя, поэтому испытывался прицел ПУГ с увеличением 1,9</w:t>
      </w:r>
      <w:r w:rsidRPr="00D03F3E">
        <w:rPr>
          <w:rFonts w:ascii="Times New Roman" w:eastAsia="Times New Roman" w:hAnsi="Times New Roman"/>
          <w:color w:val="000000" w:themeColor="text1"/>
          <w:sz w:val="16"/>
          <w:szCs w:val="16"/>
          <w:vertAlign w:val="superscript"/>
          <w:lang w:eastAsia="ru-RU"/>
        </w:rPr>
        <w:t>х</w:t>
      </w:r>
      <w:r w:rsidRPr="00D03F3E">
        <w:rPr>
          <w:rFonts w:ascii="Times New Roman" w:eastAsia="Times New Roman" w:hAnsi="Times New Roman"/>
          <w:color w:val="000000" w:themeColor="text1"/>
          <w:sz w:val="16"/>
          <w:szCs w:val="16"/>
          <w:lang w:eastAsia="ru-RU"/>
        </w:rPr>
        <w:t xml:space="preserve"> (</w:t>
      </w:r>
      <w:r w:rsidRPr="00D03F3E">
        <w:rPr>
          <w:rFonts w:ascii="Times New Roman" w:eastAsia="Times New Roman" w:hAnsi="Times New Roman"/>
          <w:iCs/>
          <w:color w:val="000000" w:themeColor="text1"/>
          <w:sz w:val="16"/>
          <w:szCs w:val="16"/>
          <w:lang w:eastAsia="ru-RU"/>
        </w:rPr>
        <w:t>рис. 21</w:t>
      </w:r>
      <w:r w:rsidRPr="00D03F3E">
        <w:rPr>
          <w:rFonts w:ascii="Times New Roman" w:eastAsia="Times New Roman" w:hAnsi="Times New Roman"/>
          <w:color w:val="000000" w:themeColor="text1"/>
          <w:sz w:val="16"/>
          <w:szCs w:val="16"/>
          <w:lang w:eastAsia="ru-RU"/>
        </w:rPr>
        <w:t>). На прицел ПУ был установлен новый окуляр и шкала дальностей в соответствии с баллистикой ПТР. Были отмечены неудобство прицеливания, недостаточное увеличение, сбиваемость установок шкал, а в поле зрения прицела попадали дульный тормоз и мушка (17498).</w:t>
      </w:r>
    </w:p>
    <w:p w14:paraId="0A8C4A59" w14:textId="77777777" w:rsidR="003770F2" w:rsidRPr="00D03F3E" w:rsidRDefault="003770F2" w:rsidP="00D03F3E">
      <w:pPr>
        <w:spacing w:after="0" w:line="240" w:lineRule="auto"/>
        <w:jc w:val="both"/>
        <w:rPr>
          <w:rFonts w:ascii="Times New Roman" w:eastAsia="Times New Roman" w:hAnsi="Times New Roman"/>
          <w:color w:val="000000" w:themeColor="text1"/>
          <w:sz w:val="16"/>
          <w:szCs w:val="16"/>
          <w:lang w:eastAsia="ru-RU"/>
        </w:rPr>
      </w:pPr>
    </w:p>
    <w:p w14:paraId="430CE810" w14:textId="77777777" w:rsidR="00E31168" w:rsidRPr="00D03F3E" w:rsidRDefault="00E311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проходило испытания ПТРС с прицелом ПУ и кронштейном Кочетова, у которого заменили только основание. Была отмечена сбиваемость установок шкал барабанчиков прицела, что неудивительно, поскольку это было недостатком и на снайперских винтовках с гораздо меньшей отдачей. Ставить оптические прицелы на все ПТ ружья сочли нецелесообразным, а для стрельбы по малоразмерным целям и по замаскированным танкам предлагалось иметь отдельные снайперские ПТР, снабженные оптическими прицелами типа ПУ (18638).</w:t>
      </w:r>
    </w:p>
    <w:p w14:paraId="612F7C56" w14:textId="77777777" w:rsidR="00E31168" w:rsidRPr="00D03F3E" w:rsidRDefault="00E31168" w:rsidP="00D03F3E">
      <w:pPr>
        <w:spacing w:after="0" w:line="240" w:lineRule="auto"/>
        <w:jc w:val="both"/>
        <w:rPr>
          <w:rFonts w:ascii="Times New Roman" w:hAnsi="Times New Roman"/>
          <w:color w:val="000000" w:themeColor="text1"/>
          <w:sz w:val="16"/>
          <w:szCs w:val="16"/>
        </w:rPr>
      </w:pPr>
    </w:p>
    <w:p w14:paraId="75C1D6DD" w14:textId="77777777" w:rsidR="003770F2" w:rsidRPr="00D03F3E"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мае 1943 года началась история проекта С-41. 5 мая вышло постановление ГКО №3289, которое определило разработку КБ завода №9 орудий семейства Д-5. В это же время ЦАКБ начало разработку собственных 85-мм систем. Ими стали С-18 и С-31. Не менее интересно то, что С-18 была дуплексом: подобно Д-6 и Д-8, ЦАКБ разработало вариант системы с орудием калибра 122 мм и баллистикой гаубицы М-30. Именно эта система и получила индекс С-41. Руководил работами по проектированию системы В.Г. Грабин.</w:t>
      </w:r>
    </w:p>
    <w:p w14:paraId="285CE482" w14:textId="77777777" w:rsidR="003770F2" w:rsidRPr="00D03F3E"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Для упрощения серийного производства в системе использовалось максимальное число деталей от серийных и уже построенных орудий. Люлька использовалась от ЗИС-5, а затвор был позаимствован у 100-мм пушки С-3 (будущей БС-3). Для уменьшения длины отката использовался двухкамерный дульный тормоз. Наличие дульного тормоза, при стрельбе поднимающего облако пыли, вряд ли можно было назвать достоинством. С другой стороны, клиновой затвор выглядел явным преимуществом перед Д-11 и Д-5-С-122. Орудие унифицировалось с С-18 по установочным деталям и бронировке. Помимо самоходной версии, С-41 разрабатывалась и для установки в измененные башни танков КВ-1с и ИС-1 (объект 233).</w:t>
      </w:r>
    </w:p>
    <w:p w14:paraId="0EB70B66" w14:textId="77777777" w:rsidR="003770F2" w:rsidRPr="00D03F3E"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Проект С-41 был прислан в Артком ГАУ в конце мая 1943 года. Поскольку на тот момент больший приоритет имели самоходные и танковые орудия калибром 85 мм, на некоторое время 122-мм самоходное орудие отправилось на скамейку запасных. Вновь к самоходной версии С-41 вернулись в начале августа 1943 года. К тому времени ЦАКБ построило танковую версию гаубицы. С-41 было решено использовать как запасной вариант, поскольку СУ-122 с производства снималась, но в системе вооружения Красной армии эти машины сохранялись. С-41 предполагалось установить в СУ-85-IV вместо системы С-18. В связи с высокой унификацией это не заняло бы много времени.</w:t>
      </w:r>
    </w:p>
    <w:p w14:paraId="1F3CF610" w14:textId="77777777" w:rsidR="003770F2" w:rsidRPr="00D03F3E"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Именно на этом моменте работы по самоходной версии С-41 и застопорились. Согласно переписке за сентябрь 1943 года, на такие работы требовалось личное разрешение Л.П. Берии. Судя по всему, разрешение все же было получено, поскольку в планах на октябрь-ноябрь 1943 года было включено и испытание С-41. Проблема в том, что к тому моменту интерес к танковым и самоходным гаубицам угас. Переделка так и не состоялась, а переписка и документация по С-41 надолго осели в архивах (17689).</w:t>
      </w:r>
    </w:p>
    <w:p w14:paraId="00B88B86" w14:textId="77777777" w:rsidR="003770F2" w:rsidRPr="00D03F3E" w:rsidRDefault="003770F2" w:rsidP="00D03F3E">
      <w:pPr>
        <w:spacing w:after="0" w:line="240" w:lineRule="auto"/>
        <w:jc w:val="both"/>
        <w:rPr>
          <w:rFonts w:ascii="Times New Roman" w:hAnsi="Times New Roman"/>
          <w:color w:val="000000" w:themeColor="text1"/>
          <w:sz w:val="16"/>
          <w:szCs w:val="16"/>
        </w:rPr>
      </w:pPr>
    </w:p>
    <w:p w14:paraId="42CD40A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в наркомате танковой промышленности произошло подлинное ЧП. Читатель уже не раз встречал на страницах «Истории со</w:t>
      </w:r>
      <w:r w:rsidRPr="00D03F3E">
        <w:rPr>
          <w:rFonts w:ascii="Times New Roman" w:hAnsi="Times New Roman"/>
          <w:color w:val="000000" w:themeColor="text1"/>
          <w:sz w:val="16"/>
          <w:szCs w:val="16"/>
        </w:rPr>
        <w:softHyphen/>
        <w:t>ветского танка» упоминание о С. Гинзбурге. Его роль в фор</w:t>
      </w:r>
      <w:r w:rsidRPr="00D03F3E">
        <w:rPr>
          <w:rFonts w:ascii="Times New Roman" w:hAnsi="Times New Roman"/>
          <w:color w:val="000000" w:themeColor="text1"/>
          <w:sz w:val="16"/>
          <w:szCs w:val="16"/>
        </w:rPr>
        <w:softHyphen/>
        <w:t>мировании облика отечественного танка трудно переоце</w:t>
      </w:r>
      <w:r w:rsidRPr="00D03F3E">
        <w:rPr>
          <w:rFonts w:ascii="Times New Roman" w:hAnsi="Times New Roman"/>
          <w:color w:val="000000" w:themeColor="text1"/>
          <w:sz w:val="16"/>
          <w:szCs w:val="16"/>
        </w:rPr>
        <w:softHyphen/>
        <w:t>нить. Практически все знаковые машины создавались с его непосредственным участием или под его непосредственным руководством. Он дал путевку в жизнь танкам Т-26, Т-28, Т-33, Т-35, Т-40, Т-43, Т-46-1, Т-46-5, Т-100; им были выра</w:t>
      </w:r>
      <w:r w:rsidRPr="00D03F3E">
        <w:rPr>
          <w:rFonts w:ascii="Times New Roman" w:hAnsi="Times New Roman"/>
          <w:color w:val="000000" w:themeColor="text1"/>
          <w:sz w:val="16"/>
          <w:szCs w:val="16"/>
        </w:rPr>
        <w:softHyphen/>
        <w:t>ботаны требования к танку «нового типа», удивительно на</w:t>
      </w:r>
      <w:r w:rsidRPr="00D03F3E">
        <w:rPr>
          <w:rFonts w:ascii="Times New Roman" w:hAnsi="Times New Roman"/>
          <w:color w:val="000000" w:themeColor="text1"/>
          <w:sz w:val="16"/>
          <w:szCs w:val="16"/>
        </w:rPr>
        <w:softHyphen/>
        <w:t>поминающие А-20, разработан Т-50, доводился «до конди</w:t>
      </w:r>
      <w:r w:rsidRPr="00D03F3E">
        <w:rPr>
          <w:rFonts w:ascii="Times New Roman" w:hAnsi="Times New Roman"/>
          <w:color w:val="000000" w:themeColor="text1"/>
          <w:sz w:val="16"/>
          <w:szCs w:val="16"/>
        </w:rPr>
        <w:softHyphen/>
        <w:t xml:space="preserve">ции» Т-34. Его жизнь прервалась именно в </w:t>
      </w:r>
      <w:r w:rsidRPr="00D03F3E">
        <w:rPr>
          <w:rFonts w:ascii="Times New Roman" w:hAnsi="Times New Roman"/>
          <w:color w:val="000000" w:themeColor="text1"/>
          <w:sz w:val="16"/>
          <w:szCs w:val="16"/>
        </w:rPr>
        <w:lastRenderedPageBreak/>
        <w:t>рассматриваемый период и самым трагическим образом. «Семен Александрович прожил короткую, но яркую жизнь, — вспоминал конструктор Н. Шашмурин, — он был наиболее грамотным из наших специалистов-танкостроите</w:t>
      </w:r>
      <w:r w:rsidRPr="00D03F3E">
        <w:rPr>
          <w:rFonts w:ascii="Times New Roman" w:hAnsi="Times New Roman"/>
          <w:color w:val="000000" w:themeColor="text1"/>
          <w:sz w:val="16"/>
          <w:szCs w:val="16"/>
        </w:rPr>
        <w:softHyphen/>
        <w:t>лей своего времени. Но трагически погибе разгар войны...». В начале войны С. Гинзбург исполнял обязанности за</w:t>
      </w:r>
      <w:r w:rsidRPr="00D03F3E">
        <w:rPr>
          <w:rFonts w:ascii="Times New Roman" w:hAnsi="Times New Roman"/>
          <w:color w:val="000000" w:themeColor="text1"/>
          <w:sz w:val="16"/>
          <w:szCs w:val="16"/>
        </w:rPr>
        <w:softHyphen/>
        <w:t>местителя начальника, затем начальника Отдела главного конструктора (ОГК) НКТП, параллельно был заместите</w:t>
      </w:r>
      <w:r w:rsidRPr="00D03F3E">
        <w:rPr>
          <w:rFonts w:ascii="Times New Roman" w:hAnsi="Times New Roman"/>
          <w:color w:val="000000" w:themeColor="text1"/>
          <w:sz w:val="16"/>
          <w:szCs w:val="16"/>
        </w:rPr>
        <w:softHyphen/>
        <w:t>лем Ж. Котина (замнаркома НКТП) по вопросам создания и внедрения новой техники. В 1942 г. он не только руководил улучшением конструк</w:t>
      </w:r>
      <w:r w:rsidRPr="00D03F3E">
        <w:rPr>
          <w:rFonts w:ascii="Times New Roman" w:hAnsi="Times New Roman"/>
          <w:color w:val="000000" w:themeColor="text1"/>
          <w:sz w:val="16"/>
          <w:szCs w:val="16"/>
        </w:rPr>
        <w:softHyphen/>
        <w:t>ции Т-34 и КВ, вел разработку Т-43 и КВ-13, а также - «...он отдал тогда все силы для того, чтобы в короткий срок разра</w:t>
      </w:r>
      <w:r w:rsidRPr="00D03F3E">
        <w:rPr>
          <w:rFonts w:ascii="Times New Roman" w:hAnsi="Times New Roman"/>
          <w:color w:val="000000" w:themeColor="text1"/>
          <w:sz w:val="16"/>
          <w:szCs w:val="16"/>
        </w:rPr>
        <w:softHyphen/>
        <w:t>ботать и запустить в серию отечественные самоходные установки. И поэтому ему много времени приходилось проводить у нас на «Уралмашзаводе», — вспоминал Л. Горлицкий. История его гибели, обрастающая массой невероятных подробностей, кочевала из уст в уста, но до сих пор не опуб</w:t>
      </w:r>
      <w:r w:rsidRPr="00D03F3E">
        <w:rPr>
          <w:rFonts w:ascii="Times New Roman" w:hAnsi="Times New Roman"/>
          <w:color w:val="000000" w:themeColor="text1"/>
          <w:sz w:val="16"/>
          <w:szCs w:val="16"/>
        </w:rPr>
        <w:softHyphen/>
        <w:t>ликована... Автору доводилось слышать несколько ее версий, являющихся пересказами сказанного кем-то когда-то и от кого-то, но он хочет приводит здесь услышанную из уст Л. Горлицкого, который дружил с С. Гинзбургом при жизни, а после его гибели принял участие в судьбе сына.</w:t>
      </w:r>
    </w:p>
    <w:p w14:paraId="5735867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«Ты спрашиваешь, как погиб Гинзбург? Да очень просто! Тогда наркомом у нас был Зальцман. Он был жестким челове</w:t>
      </w:r>
      <w:r w:rsidRPr="00D03F3E">
        <w:rPr>
          <w:rFonts w:ascii="Times New Roman" w:hAnsi="Times New Roman"/>
          <w:color w:val="000000" w:themeColor="text1"/>
          <w:sz w:val="16"/>
          <w:szCs w:val="16"/>
        </w:rPr>
        <w:softHyphen/>
        <w:t>ком, а в начале 1943-го похвалиться новой техникой у нас было нечем! Много шло всяких разработок, а толку нет... А тут еще первое применение самоходных полков весной на Ленинградском фронте показало, что самоходки СУ-76 ломаются... Почти что целый полк из строя вышел. Сталин приказал разобраться. И тогда наш нарком нашел «крайнего» — Семена Александрови</w:t>
      </w:r>
      <w:r w:rsidRPr="00D03F3E">
        <w:rPr>
          <w:rFonts w:ascii="Times New Roman" w:hAnsi="Times New Roman"/>
          <w:color w:val="000000" w:themeColor="text1"/>
          <w:sz w:val="16"/>
          <w:szCs w:val="16"/>
        </w:rPr>
        <w:softHyphen/>
        <w:t>ча. Он был отстранен от работ и отправлен на фронт началь</w:t>
      </w:r>
      <w:r w:rsidRPr="00D03F3E">
        <w:rPr>
          <w:rFonts w:ascii="Times New Roman" w:hAnsi="Times New Roman"/>
          <w:color w:val="000000" w:themeColor="text1"/>
          <w:sz w:val="16"/>
          <w:szCs w:val="16"/>
        </w:rPr>
        <w:softHyphen/>
        <w:t>ником ремслужбы одного из танковых корпусов...</w:t>
      </w:r>
    </w:p>
    <w:p w14:paraId="3B74024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Вскоре после этого Сталин поинтересовался у наркома, что сделано для устранения недостатков СУ-76, и, узнав, что кроме отстранения Гинзбурга ничего, разгневался... Гин</w:t>
      </w:r>
      <w:r w:rsidRPr="00D03F3E">
        <w:rPr>
          <w:rFonts w:ascii="Times New Roman" w:hAnsi="Times New Roman"/>
          <w:color w:val="000000" w:themeColor="text1"/>
          <w:sz w:val="16"/>
          <w:szCs w:val="16"/>
        </w:rPr>
        <w:softHyphen/>
        <w:t>збурга срочно отозвали, но поздно.</w:t>
      </w:r>
    </w:p>
    <w:p w14:paraId="6C8769F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Надо было случиться такому, что в тот самый день, ког</w:t>
      </w:r>
      <w:r w:rsidRPr="00D03F3E">
        <w:rPr>
          <w:rFonts w:ascii="Times New Roman" w:hAnsi="Times New Roman"/>
          <w:color w:val="000000" w:themeColor="text1"/>
          <w:sz w:val="16"/>
          <w:szCs w:val="16"/>
        </w:rPr>
        <w:softHyphen/>
        <w:t>да на фронт прибыл приказ об отозвании, Семен Александрович погиб от шальной пули при налете немецких истребителей...</w:t>
      </w:r>
    </w:p>
    <w:p w14:paraId="21F8968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Думаю, что отстранение Зальцмана с поста наркома пе</w:t>
      </w:r>
      <w:r w:rsidRPr="00D03F3E">
        <w:rPr>
          <w:rFonts w:ascii="Times New Roman" w:hAnsi="Times New Roman"/>
          <w:color w:val="000000" w:themeColor="text1"/>
          <w:sz w:val="16"/>
          <w:szCs w:val="16"/>
        </w:rPr>
        <w:softHyphen/>
        <w:t>ред Курской битвой было вызвано и этим случаем...» (11135).</w:t>
      </w:r>
    </w:p>
    <w:p w14:paraId="58B3674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58DC50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Начиная с мая 1943 г. на заводах № 9, № 13 и № 92 нача</w:t>
      </w:r>
      <w:r w:rsidRPr="00D03F3E">
        <w:rPr>
          <w:rFonts w:ascii="Times New Roman" w:hAnsi="Times New Roman"/>
          <w:color w:val="000000" w:themeColor="text1"/>
          <w:sz w:val="16"/>
          <w:szCs w:val="16"/>
        </w:rPr>
        <w:softHyphen/>
        <w:t>лись работы по строительству новых цехов и обеспечению их ленд-лизовским оборудованием... Все это позволило к октябрю — ноябрю 1943 г. начать массовый выпуск нужных фронту 57-мм противотанковых пушек ЗИС-2. Для проведения государственных и войсковых испы</w:t>
      </w:r>
      <w:r w:rsidRPr="00D03F3E">
        <w:rPr>
          <w:rFonts w:ascii="Times New Roman" w:hAnsi="Times New Roman"/>
          <w:color w:val="000000" w:themeColor="text1"/>
          <w:sz w:val="16"/>
          <w:szCs w:val="16"/>
        </w:rPr>
        <w:softHyphen/>
        <w:t>таний было решено использовать законсервированный в конце 1941 г. производственный задел 57-мм орудий ЗИС-2 на заводе № 92.</w:t>
      </w:r>
    </w:p>
    <w:p w14:paraId="5ACCFDF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Еще одним фактором, сдержавшим выпуск 57-мм про</w:t>
      </w:r>
      <w:r w:rsidRPr="00D03F3E">
        <w:rPr>
          <w:rFonts w:ascii="Times New Roman" w:hAnsi="Times New Roman"/>
          <w:color w:val="000000" w:themeColor="text1"/>
          <w:sz w:val="16"/>
          <w:szCs w:val="16"/>
        </w:rPr>
        <w:softHyphen/>
        <w:t>тивотанковых пушек в 1943 г., стало то, что освоенные в се</w:t>
      </w:r>
      <w:r w:rsidRPr="00D03F3E">
        <w:rPr>
          <w:rFonts w:ascii="Times New Roman" w:hAnsi="Times New Roman"/>
          <w:color w:val="000000" w:themeColor="text1"/>
          <w:sz w:val="16"/>
          <w:szCs w:val="16"/>
        </w:rPr>
        <w:softHyphen/>
        <w:t>рии 57-мм бронебойные снаряды БР-271 первого образца еще не вполне удачно работали по гетерогенной броне тол</w:t>
      </w:r>
      <w:r w:rsidRPr="00D03F3E">
        <w:rPr>
          <w:rFonts w:ascii="Times New Roman" w:hAnsi="Times New Roman"/>
          <w:color w:val="000000" w:themeColor="text1"/>
          <w:sz w:val="16"/>
          <w:szCs w:val="16"/>
        </w:rPr>
        <w:softHyphen/>
        <w:t>щиной 60 мм и более при попадании в нее под углом свыше 15-20°. Поэтому уже весной НКБ были выделены средства по разработке и освоению новых бронебойных снарядов, и в апреле новый сплошной снаряд с «локализаторами» БР-271СП, атакже остроголовый БР-271К «английского ти</w:t>
      </w:r>
      <w:r w:rsidRPr="00D03F3E">
        <w:rPr>
          <w:rFonts w:ascii="Times New Roman" w:hAnsi="Times New Roman"/>
          <w:color w:val="000000" w:themeColor="text1"/>
          <w:sz w:val="16"/>
          <w:szCs w:val="16"/>
        </w:rPr>
        <w:softHyphen/>
        <w:t>па» были приняты на вооружение, но их серийное производ</w:t>
      </w:r>
      <w:r w:rsidRPr="00D03F3E">
        <w:rPr>
          <w:rFonts w:ascii="Times New Roman" w:hAnsi="Times New Roman"/>
          <w:color w:val="000000" w:themeColor="text1"/>
          <w:sz w:val="16"/>
          <w:szCs w:val="16"/>
        </w:rPr>
        <w:softHyphen/>
        <w:t>ство было началто лишь с конца мая 1943 г.</w:t>
      </w:r>
    </w:p>
    <w:p w14:paraId="0537541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Далее. Осколочные гранаты калибра 57 мм в 1943 г., как и в 1941 г., были весьма плохого качества, так как из-за вы</w:t>
      </w:r>
      <w:r w:rsidRPr="00D03F3E">
        <w:rPr>
          <w:rFonts w:ascii="Times New Roman" w:hAnsi="Times New Roman"/>
          <w:color w:val="000000" w:themeColor="text1"/>
          <w:sz w:val="16"/>
          <w:szCs w:val="16"/>
        </w:rPr>
        <w:softHyphen/>
        <w:t>сокой начальной скорости и при использовании сталисто-го чугуна приходилось изготавливать их с большой толщи</w:t>
      </w:r>
      <w:r w:rsidRPr="00D03F3E">
        <w:rPr>
          <w:rFonts w:ascii="Times New Roman" w:hAnsi="Times New Roman"/>
          <w:color w:val="000000" w:themeColor="text1"/>
          <w:sz w:val="16"/>
          <w:szCs w:val="16"/>
        </w:rPr>
        <w:softHyphen/>
        <w:t>ной стенок, что заставляло значительно ограничить вес разрывного заряда. Так, выпушенные в мае 1943 г. снаряды О-271А имели разрывной заряд лишь на 10% больший, чем разрывной заряд 45-мм осколочной гранаты со стальным корпусом, чего было, конечно же, уже недостаточно... Кро</w:t>
      </w:r>
      <w:r w:rsidRPr="00D03F3E">
        <w:rPr>
          <w:rFonts w:ascii="Times New Roman" w:hAnsi="Times New Roman"/>
          <w:color w:val="000000" w:themeColor="text1"/>
          <w:sz w:val="16"/>
          <w:szCs w:val="16"/>
        </w:rPr>
        <w:softHyphen/>
        <w:t>ме того, серийный взрыватель КТМ-1 военного времени не всегда уверенно срабатывал на поверхности земли, особен</w:t>
      </w:r>
      <w:r w:rsidRPr="00D03F3E">
        <w:rPr>
          <w:rFonts w:ascii="Times New Roman" w:hAnsi="Times New Roman"/>
          <w:color w:val="000000" w:themeColor="text1"/>
          <w:sz w:val="16"/>
          <w:szCs w:val="16"/>
        </w:rPr>
        <w:softHyphen/>
        <w:t>но в случае попадания в мягкую почву. Разрешить эту проблему смогли только осенью 1943-го.</w:t>
      </w:r>
    </w:p>
    <w:p w14:paraId="36A1665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острый недостаток вольфрама и молибдена, почти весь свободный стратегический запас указанных ме</w:t>
      </w:r>
      <w:r w:rsidRPr="00D03F3E">
        <w:rPr>
          <w:rFonts w:ascii="Times New Roman" w:hAnsi="Times New Roman"/>
          <w:color w:val="000000" w:themeColor="text1"/>
          <w:sz w:val="16"/>
          <w:szCs w:val="16"/>
        </w:rPr>
        <w:softHyphen/>
        <w:t>таллов было решено обратить на изготовление боеприпасов, и главным образом бронебойных и подкалиберных снарядов и пуль. На этот тип боеприпасов, впервые подсмотренный у немцев в ходе битвы за Москву, возлагали особую надежду в плане увеличения пробивной мощи (11135).</w:t>
      </w:r>
    </w:p>
    <w:p w14:paraId="68DF3692" w14:textId="77777777" w:rsidR="00531570" w:rsidRPr="00D03F3E" w:rsidRDefault="00531570" w:rsidP="00D03F3E">
      <w:pPr>
        <w:shd w:val="clear" w:color="auto" w:fill="FFFFFF"/>
        <w:spacing w:after="0" w:line="240" w:lineRule="auto"/>
        <w:jc w:val="both"/>
        <w:rPr>
          <w:rFonts w:ascii="Times New Roman" w:hAnsi="Times New Roman"/>
          <w:bCs/>
          <w:color w:val="000000" w:themeColor="text1"/>
          <w:sz w:val="16"/>
          <w:szCs w:val="16"/>
        </w:rPr>
      </w:pPr>
    </w:p>
    <w:p w14:paraId="563D76A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завод № 92, видимо используя задел, закон</w:t>
      </w:r>
      <w:r w:rsidRPr="00D03F3E">
        <w:rPr>
          <w:rFonts w:ascii="Times New Roman" w:hAnsi="Times New Roman"/>
          <w:color w:val="000000" w:themeColor="text1"/>
          <w:sz w:val="16"/>
          <w:szCs w:val="16"/>
        </w:rPr>
        <w:softHyphen/>
        <w:t>сервированный в конце 1941 г., подал заводу № 183 пять об</w:t>
      </w:r>
      <w:r w:rsidRPr="00D03F3E">
        <w:rPr>
          <w:rFonts w:ascii="Times New Roman" w:hAnsi="Times New Roman"/>
          <w:color w:val="000000" w:themeColor="text1"/>
          <w:sz w:val="16"/>
          <w:szCs w:val="16"/>
        </w:rPr>
        <w:softHyphen/>
        <w:t>разцов орудия ЗИС-4, но танковый завод, несмотря на ка</w:t>
      </w:r>
      <w:r w:rsidRPr="00D03F3E">
        <w:rPr>
          <w:rFonts w:ascii="Times New Roman" w:hAnsi="Times New Roman"/>
          <w:color w:val="000000" w:themeColor="text1"/>
          <w:sz w:val="16"/>
          <w:szCs w:val="16"/>
        </w:rPr>
        <w:softHyphen/>
        <w:t>жущуюся простоту задачи, был занят более важными делами (шло технологическое оснащение производства) и до сере</w:t>
      </w:r>
      <w:r w:rsidRPr="00D03F3E">
        <w:rPr>
          <w:rFonts w:ascii="Times New Roman" w:hAnsi="Times New Roman"/>
          <w:color w:val="000000" w:themeColor="text1"/>
          <w:sz w:val="16"/>
          <w:szCs w:val="16"/>
        </w:rPr>
        <w:softHyphen/>
        <w:t>дины июня не смог начать работы по изготовлению «танков-истребителей». Лишь к 10 июля, в ходе ожесточенных боев под Курском, завод рапортовал об изготовлении первого танка, а спустя неделю отчитался о готовности еще трех.</w:t>
      </w:r>
    </w:p>
    <w:p w14:paraId="0EFCAE1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начались 20 июля на Гороховецком полиго</w:t>
      </w:r>
      <w:r w:rsidRPr="00D03F3E">
        <w:rPr>
          <w:rFonts w:ascii="Times New Roman" w:hAnsi="Times New Roman"/>
          <w:color w:val="000000" w:themeColor="text1"/>
          <w:sz w:val="16"/>
          <w:szCs w:val="16"/>
        </w:rPr>
        <w:softHyphen/>
        <w:t>не ГАУ и продлились без малого месяц. В них участвовали орудия ЗИС-4 со стволами выпуска еще 1941 г. (№ 22, 24, 38 и 47), установленные в серийные танки завода № 183. Ору</w:t>
      </w:r>
      <w:r w:rsidRPr="00D03F3E">
        <w:rPr>
          <w:rFonts w:ascii="Times New Roman" w:hAnsi="Times New Roman"/>
          <w:color w:val="000000" w:themeColor="text1"/>
          <w:sz w:val="16"/>
          <w:szCs w:val="16"/>
        </w:rPr>
        <w:softHyphen/>
        <w:t>дия испытывались возкой в застопоренном и расстопорен-ном состоянии и стрельбой с места и с хода. В целом итоги испытаний были признаны удовлетворительными, но были выявлены некоторые дефекты производственного и конст</w:t>
      </w:r>
      <w:r w:rsidRPr="00D03F3E">
        <w:rPr>
          <w:rFonts w:ascii="Times New Roman" w:hAnsi="Times New Roman"/>
          <w:color w:val="000000" w:themeColor="text1"/>
          <w:sz w:val="16"/>
          <w:szCs w:val="16"/>
        </w:rPr>
        <w:softHyphen/>
        <w:t>руктивного характера. В заключение комиссия рекомендо</w:t>
      </w:r>
      <w:r w:rsidRPr="00D03F3E">
        <w:rPr>
          <w:rFonts w:ascii="Times New Roman" w:hAnsi="Times New Roman"/>
          <w:color w:val="000000" w:themeColor="text1"/>
          <w:sz w:val="16"/>
          <w:szCs w:val="16"/>
        </w:rPr>
        <w:softHyphen/>
        <w:t>вала принять орудие ЗИС-4 на вооружение танка Т-34 при условии устранения всех отмеченных недостатков.</w:t>
      </w:r>
    </w:p>
    <w:p w14:paraId="0EAEA92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осколочный снаряд к 57-мм пушке еще не был как следует отработан, к тому же на производстве шло «ле</w:t>
      </w:r>
      <w:r w:rsidRPr="00D03F3E">
        <w:rPr>
          <w:rFonts w:ascii="Times New Roman" w:hAnsi="Times New Roman"/>
          <w:color w:val="000000" w:themeColor="text1"/>
          <w:sz w:val="16"/>
          <w:szCs w:val="16"/>
        </w:rPr>
        <w:softHyphen/>
        <w:t>чение» отмеченных в ходе испытаний «болячек», и потому серийное производство пушки ЗИС-4М было перенесено с 3-го на 4-й квартал. Тем временем 19 августа три опытных танка Т-34-57 в составе «особой танковой роты № 100 НКТП» под командованием капитана Г.П. Волосатова бы</w:t>
      </w:r>
      <w:r w:rsidRPr="00D03F3E">
        <w:rPr>
          <w:rFonts w:ascii="Times New Roman" w:hAnsi="Times New Roman"/>
          <w:color w:val="000000" w:themeColor="text1"/>
          <w:sz w:val="16"/>
          <w:szCs w:val="16"/>
        </w:rPr>
        <w:softHyphen/>
        <w:t>ли отправлены на фронт, где находились с 21 августа по 5 сентября. В указанной роте танки составили 2-й взвод, но по иронии судьбы в ходе единственного боевого столкно</w:t>
      </w:r>
      <w:r w:rsidRPr="00D03F3E">
        <w:rPr>
          <w:rFonts w:ascii="Times New Roman" w:hAnsi="Times New Roman"/>
          <w:color w:val="000000" w:themeColor="text1"/>
          <w:sz w:val="16"/>
          <w:szCs w:val="16"/>
        </w:rPr>
        <w:softHyphen/>
        <w:t>вения с немецкой бронетехникой он находился в резерве, а «отдувались» в бою танки Т-43 третьего взвода.</w:t>
      </w:r>
    </w:p>
    <w:p w14:paraId="5D9B207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Уже перед окончанием испытаний согласно распоря</w:t>
      </w:r>
      <w:r w:rsidRPr="00D03F3E">
        <w:rPr>
          <w:rFonts w:ascii="Times New Roman" w:hAnsi="Times New Roman"/>
          <w:color w:val="000000" w:themeColor="text1"/>
          <w:sz w:val="16"/>
          <w:szCs w:val="16"/>
        </w:rPr>
        <w:softHyphen/>
        <w:t>жению представителя ГБТУ инженера-подполковника Зайцева танки Т-34-57 испытывались стрельбой по бро</w:t>
      </w:r>
      <w:r w:rsidRPr="00D03F3E">
        <w:rPr>
          <w:rFonts w:ascii="Times New Roman" w:hAnsi="Times New Roman"/>
          <w:color w:val="000000" w:themeColor="text1"/>
          <w:sz w:val="16"/>
          <w:szCs w:val="16"/>
        </w:rPr>
        <w:softHyphen/>
        <w:t>шенным и подбитым немецким танкам и САУ, а также ам</w:t>
      </w:r>
      <w:r w:rsidRPr="00D03F3E">
        <w:rPr>
          <w:rFonts w:ascii="Times New Roman" w:hAnsi="Times New Roman"/>
          <w:color w:val="000000" w:themeColor="text1"/>
          <w:sz w:val="16"/>
          <w:szCs w:val="16"/>
        </w:rPr>
        <w:softHyphen/>
        <w:t>бразурам ДЗОТ и пулеметным бронеколпакам. Бронепро-биваемость орудия была сочтена удовлетворительной (ло</w:t>
      </w:r>
      <w:r w:rsidRPr="00D03F3E">
        <w:rPr>
          <w:rFonts w:ascii="Times New Roman" w:hAnsi="Times New Roman"/>
          <w:color w:val="000000" w:themeColor="text1"/>
          <w:sz w:val="16"/>
          <w:szCs w:val="16"/>
        </w:rPr>
        <w:softHyphen/>
        <w:t>бовая 82-мм броня танка РгКрг\у ГУ пробивалась с дистан</w:t>
      </w:r>
      <w:r w:rsidRPr="00D03F3E">
        <w:rPr>
          <w:rFonts w:ascii="Times New Roman" w:hAnsi="Times New Roman"/>
          <w:color w:val="000000" w:themeColor="text1"/>
          <w:sz w:val="16"/>
          <w:szCs w:val="16"/>
        </w:rPr>
        <w:softHyphen/>
        <w:t>ции 500—600 м), нб эффективность осколочных снарядов — недостаточной, тем более что три снаряда не разорвались.</w:t>
      </w:r>
    </w:p>
    <w:p w14:paraId="233A62E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Покуда велась доводка орудия ЗИС-4М и танка-истреби</w:t>
      </w:r>
      <w:r w:rsidRPr="00D03F3E">
        <w:rPr>
          <w:rFonts w:ascii="Times New Roman" w:hAnsi="Times New Roman"/>
          <w:color w:val="000000" w:themeColor="text1"/>
          <w:sz w:val="16"/>
          <w:szCs w:val="16"/>
        </w:rPr>
        <w:softHyphen/>
        <w:t>теля Т-34-57 в целом, завод № 92 выпустил установочную се</w:t>
      </w:r>
      <w:r w:rsidRPr="00D03F3E">
        <w:rPr>
          <w:rFonts w:ascii="Times New Roman" w:hAnsi="Times New Roman"/>
          <w:color w:val="000000" w:themeColor="text1"/>
          <w:sz w:val="16"/>
          <w:szCs w:val="16"/>
        </w:rPr>
        <w:softHyphen/>
        <w:t>рию ЗИС-4. К декабрю 1943 г. НКВ отчитался о выпуске 200 шт. 57-мм танковых пушек (правда, это, по-видимому, с учетом пушек, изготовленных в 1941 г.). Но установка орудий в танки, видимо, не производилась, хоть были утверждены нормы отпуска боеприпасов. В сентябре 1943 г. 57-мм пушка в вооружении Т-34 уже не считалась перспективной (11417).</w:t>
      </w:r>
    </w:p>
    <w:p w14:paraId="11F03B2A"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623F6E0" w14:textId="77777777" w:rsidR="002D7A60" w:rsidRPr="00D03F3E" w:rsidRDefault="002D7A60"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В мае 1943 года из ЦАКБ на завод №92 направили группу конструкторов, которым предстояло отработать документацию и производство орудия. Пока шли эти работы, завод №92 занимался своим планом, который спустили сверху. 25 апреля 1943 года на Гороховецкий АНИОП поступил второй серийный образец орудия (№2008), который подвергли испытаниям стрельбой и возкой. Одним из важных моментов была проверка результатов работы по улучшению конструкции орудия. Дело в том, что по ЗИС-2 обр.1941 года имелся весьма приличный список недостатков, составили его по результатом боевого применения орудия. Устранять эти недостатки собирались еще на ИС-1, но на практике процесс затянулся. Согласно программе испытаний, производилось 925 выстрелов, из них 600 усиленных, плюс проводилась возка на дистанцию 200 километров. В ходе испытаний систему возили на дистанцию 206 километров, а число выстрелов составило 947, из них 610 усиленных. Испытания стрельбой орудие выдержало, падение баллистики после 947 выстрелов признали нормальным. При этом износ ствола указывался как значительный, что норма для такого "дырокола". Основные узлы орудия показали нормальную прочность, но при стрельбе оторвало грязевые щитки. Их крепление признали неудовлетворительным. Устойчивость при стрельбе признали достаточной, самое же главное, что основная часть недостатков орудия обр.1941 года не выявилась.</w:t>
      </w:r>
    </w:p>
    <w:p w14:paraId="7CC2BD99" w14:textId="77777777" w:rsidR="002D7A60" w:rsidRPr="00D03F3E" w:rsidRDefault="002D7A60"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Испытания орудие выдержало, но имелась существенная проблема, которая затормозила внедрение орудия в серию. Выявилась недоработка по экстракции гильз. Проблема была не только в самом орудии, но и в гильзах, применяемых для ЗИС-2. По этой причине требовалось усилить гильзы к ЗИС-2. Далее последовали войсковые испытания, которые выявили дополнительные проблемы. Среди них оказалась недостаточно отработанная полуавтоматики затвора, прежде всего это касалось скорости хода клина. Именно это часто приводило к проблемам экстракции гильз. Также выявились недостаточная скорость наката, проблемы со стопором станин и механизмом подрессоривания. Следует отметить, что часть проблем оказалась свойственной и ЗИС-3. Для решения проблем и была направлена группа конструкторов ЦАКБ. То есть вместо С-37, о которой писал Грабин, шла доработка уже имеющейся пушки. Между тем, работы по теме ЗИС-2 шли своим чередом. 26 мая 1943 года Сталин подписал постановление ГКО №3429сс "Постановление. Об организации производства 57 мм снарядов к пушкам ЗИС-2 и ЗИС-4". В июне выпускалось 30 тысяч снарядов, в июле 95 тысяч, в августе 180 тысяч и в сентябре 245 тысяч. При этом сразу же выпускались подкалиберные снаряды: по 10 тысяч в июне и июле, 15 тысяч в августе и 20 тысяч в сентябре (21143).</w:t>
      </w:r>
    </w:p>
    <w:p w14:paraId="55F088B2" w14:textId="77777777" w:rsidR="002D7A60" w:rsidRPr="00D03F3E" w:rsidRDefault="002D7A60" w:rsidP="00D03F3E">
      <w:pPr>
        <w:shd w:val="clear" w:color="auto" w:fill="FFFFFF"/>
        <w:spacing w:after="0" w:line="240" w:lineRule="auto"/>
        <w:jc w:val="both"/>
        <w:rPr>
          <w:rFonts w:ascii="Times New Roman" w:eastAsia="Times New Roman" w:hAnsi="Times New Roman"/>
          <w:color w:val="0070C0"/>
          <w:sz w:val="16"/>
          <w:szCs w:val="16"/>
          <w:lang w:eastAsia="ru-RU"/>
        </w:rPr>
      </w:pPr>
    </w:p>
    <w:p w14:paraId="481A838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на вооружение приняли 152 мм гаубицу обр. 1943 (359,160).</w:t>
      </w:r>
    </w:p>
    <w:p w14:paraId="3C351156" w14:textId="77777777" w:rsidR="00531570" w:rsidRPr="00D03F3E" w:rsidRDefault="00531570" w:rsidP="00D03F3E">
      <w:pPr>
        <w:pStyle w:val="Iauiue"/>
        <w:jc w:val="both"/>
        <w:rPr>
          <w:color w:val="000000" w:themeColor="text1"/>
          <w:sz w:val="16"/>
          <w:szCs w:val="16"/>
        </w:rPr>
      </w:pPr>
    </w:p>
    <w:p w14:paraId="5AE6DFAA"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В мае 1943 года по предложению Грабина в ЦАКБ были организованы три группы конструкторов. И уже через месяц, к июню, каждая группа представила эскизный проект своего орудия: С-53 (под руководством И. Иванова); С-50 (под руководством В. Мещанинова); ЛБ-1 (под руководством конструктора ЗИС А. Савина). Группа Иванова как вариант рассмотрела спасенные чертежи полковой пушки, созданной в 1942 году на базе 85-мм зенитной пушки обр. 1939 года. Такими орудиями был вооружен отряд ПВО, охраняющий завод "Баррикады", и конструкторы отлично знали их огневую мощь.</w:t>
      </w:r>
    </w:p>
    <w:p w14:paraId="661F6B46"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 xml:space="preserve">Опытные образцы С-53 собирались на заводе в Горьком, там же на полигоне проходили заводские, а затем государственные испытания. Уже в конце 1943 года И. Сталину было представлено постановление ГКО о валовом выпуске среднего танка Т-34 с 85-мм пушкой. Ночью 31 декабря 1943 года оно было утверждено, а утром 1 января 1944 года у пушки С-53 неожиданно вышли из строя сразу два важных узла: люлька и казенник. </w:t>
      </w:r>
    </w:p>
    <w:p w14:paraId="5E63598F"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lastRenderedPageBreak/>
        <w:t>Объединенными усилиями ЦАКБ и завода № 92 (ЗИС) в самые сжатые сроки было разработано орудие совместной конструкции, которое по многим параметрам превзошло каждую из пушек С-53 и ЛБ-1. Новая 85-мм танковая пушка получила индекс ЗИС-С-53, т. е. в ее названии упоминалось сразу два коллектива. Весь январь 1944 года день и ночь проводились интенсивные стрельбы. Новой пушке сопутствовала удача. Танк Т-34-85 пошел в массовое производство. С марта 1944 года танки, вооруженные 85-мм орудиями, стали поступать на фронт. Бронебойный снаряд надежно поражал броню тяжелого немецкого "Тигра" с расстояния 1000 метров (11268).</w:t>
      </w:r>
    </w:p>
    <w:p w14:paraId="246FA9D4" w14:textId="77777777" w:rsidR="00531570" w:rsidRPr="00D03F3E" w:rsidRDefault="00531570" w:rsidP="00D03F3E">
      <w:pPr>
        <w:pStyle w:val="afff1"/>
        <w:jc w:val="both"/>
        <w:rPr>
          <w:i w:val="0"/>
          <w:iCs w:val="0"/>
          <w:color w:val="000000" w:themeColor="text1"/>
          <w:spacing w:val="0"/>
          <w:kern w:val="0"/>
          <w:position w:val="0"/>
          <w:sz w:val="16"/>
          <w:szCs w:val="16"/>
        </w:rPr>
      </w:pPr>
    </w:p>
    <w:p w14:paraId="6AD2EC8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году на вооружение Советских войск поступил новый кумулятивный снаряд БП-460А, который позволил СУ-122 эффективно поражать вражеские танки на дальних дистанциях (3862).</w:t>
      </w:r>
    </w:p>
    <w:p w14:paraId="38C9C274" w14:textId="77777777" w:rsidR="00531570" w:rsidRPr="00D03F3E" w:rsidRDefault="00531570" w:rsidP="00D03F3E">
      <w:pPr>
        <w:pStyle w:val="Iauiue"/>
        <w:jc w:val="both"/>
        <w:rPr>
          <w:color w:val="000000" w:themeColor="text1"/>
          <w:sz w:val="16"/>
          <w:szCs w:val="16"/>
        </w:rPr>
      </w:pPr>
    </w:p>
    <w:p w14:paraId="2F359EE7" w14:textId="77777777" w:rsidR="00B610FB" w:rsidRPr="00D03F3E" w:rsidRDefault="00B610FB" w:rsidP="00D03F3E">
      <w:pPr>
        <w:pStyle w:val="a3"/>
        <w:rPr>
          <w:color w:val="000000" w:themeColor="text1"/>
          <w:lang w:val="ru-RU"/>
        </w:rPr>
      </w:pPr>
      <w:r w:rsidRPr="00D03F3E">
        <w:rPr>
          <w:color w:val="000000" w:themeColor="text1"/>
          <w:lang w:val="ru-RU"/>
        </w:rPr>
        <w:t>С мая по июнь 1943 проходили сравнительные испытания У-3 с глав</w:t>
      </w:r>
      <w:r w:rsidRPr="00D03F3E">
        <w:rPr>
          <w:color w:val="000000" w:themeColor="text1"/>
          <w:lang w:val="ru-RU"/>
        </w:rPr>
        <w:softHyphen/>
        <w:t>ным конкурентом — 203-мм корпусной гаубицы БЛ-39 конструкции завода № 172. По итогам испытаний было предложено доработать га</w:t>
      </w:r>
      <w:r w:rsidRPr="00D03F3E">
        <w:rPr>
          <w:color w:val="000000" w:themeColor="text1"/>
          <w:lang w:val="ru-RU"/>
        </w:rPr>
        <w:softHyphen/>
        <w:t>убицу, рекомендовалось поставить ее на вооружение Красной Армии. Тем не менее ни У-3, ни БЛ-39 так в серию и не пошли. Не менее пе</w:t>
      </w:r>
      <w:r w:rsidRPr="00D03F3E">
        <w:rPr>
          <w:color w:val="000000" w:themeColor="text1"/>
          <w:lang w:val="ru-RU"/>
        </w:rPr>
        <w:softHyphen/>
        <w:t>чальной была картина со 152-мм пушкой БР-2, которую артиллеристы так хотели установить в самоход на базе КВ.</w:t>
      </w:r>
    </w:p>
    <w:p w14:paraId="371DD7B0" w14:textId="77777777" w:rsidR="00B610FB" w:rsidRPr="00D03F3E" w:rsidRDefault="00B610FB" w:rsidP="00D03F3E">
      <w:pPr>
        <w:pStyle w:val="a3"/>
        <w:rPr>
          <w:color w:val="000000" w:themeColor="text1"/>
          <w:lang w:val="ru-RU"/>
        </w:rPr>
      </w:pPr>
      <w:r w:rsidRPr="00D03F3E">
        <w:rPr>
          <w:color w:val="000000" w:themeColor="text1"/>
          <w:lang w:val="ru-RU"/>
        </w:rPr>
        <w:t>Упомянутые предложения Петрова носили инициативный харак</w:t>
      </w:r>
      <w:r w:rsidRPr="00D03F3E">
        <w:rPr>
          <w:color w:val="000000" w:themeColor="text1"/>
          <w:lang w:val="ru-RU"/>
        </w:rPr>
        <w:softHyphen/>
        <w:t>тер, основной их идеей являлось наложение на лафеты 122-мм гаубицы М-30 и 152-мм пушки-гаубицы МЛ-20 стволов более мощных систем. Всего было предложено 6 проектов, из них нас, впрочем, интересуют два. Почему, ясно из текста описания этих самых проектов:</w:t>
      </w:r>
    </w:p>
    <w:p w14:paraId="0EE857A1" w14:textId="77777777" w:rsidR="00B610FB" w:rsidRPr="00D03F3E" w:rsidRDefault="00B610FB"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«При наложении стволов 152-мм пушек обр. 1935 года БР-2 и 203-мм гаубицы У-3 на лафет МЛ-20, хотя удельное давление на колеса и заметно возрастает, но сомнений в боевом использовании этих систем также не вызывает по следующим причинам:</w:t>
      </w:r>
    </w:p>
    <w:p w14:paraId="0276630E" w14:textId="77777777" w:rsidR="00B610FB" w:rsidRPr="00D03F3E" w:rsidRDefault="00B610FB" w:rsidP="00D03F3E">
      <w:pPr>
        <w:pStyle w:val="Bodytext141"/>
        <w:shd w:val="clear" w:color="auto" w:fill="auto"/>
        <w:tabs>
          <w:tab w:val="left" w:pos="1341"/>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а) Даже 152-мм гаубица-пушка обр. 1937года МЛ-20и наложенная на нее 122-мм пушка обр. 1931/37года А-19 в настоящее время по бо</w:t>
      </w:r>
      <w:r w:rsidRPr="00D03F3E">
        <w:rPr>
          <w:rStyle w:val="Bodytext145"/>
          <w:i w:val="0"/>
          <w:iCs w:val="0"/>
          <w:color w:val="000000" w:themeColor="text1"/>
          <w:sz w:val="16"/>
          <w:szCs w:val="16"/>
        </w:rPr>
        <w:softHyphen/>
        <w:t>лотистой местности свободно не пройдут, а будут сильно вязнуть по нижний станок и станины, а по другому грунту, в том числе и по вспаханному полю, этот лафет, даже с дополнительной нагрузкой от наложения пушки БР-2 и гаубицы У-3, будет двигаться хорошо.</w:t>
      </w:r>
    </w:p>
    <w:p w14:paraId="12C2BFF8" w14:textId="77777777" w:rsidR="00B610FB" w:rsidRPr="00D03F3E" w:rsidRDefault="00B610FB" w:rsidP="00D03F3E">
      <w:pPr>
        <w:pStyle w:val="Bodytext141"/>
        <w:shd w:val="clear" w:color="auto" w:fill="auto"/>
        <w:tabs>
          <w:tab w:val="left" w:pos="1365"/>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б) Сейчас МЛ</w:t>
      </w:r>
      <w:r w:rsidRPr="00D03F3E">
        <w:rPr>
          <w:rStyle w:val="Bodytext1411pt1"/>
          <w:color w:val="000000" w:themeColor="text1"/>
          <w:spacing w:val="0"/>
          <w:sz w:val="16"/>
          <w:szCs w:val="16"/>
        </w:rPr>
        <w:t>-20</w:t>
      </w:r>
      <w:r w:rsidRPr="00D03F3E">
        <w:rPr>
          <w:rStyle w:val="Bodytext145"/>
          <w:i w:val="0"/>
          <w:iCs w:val="0"/>
          <w:color w:val="000000" w:themeColor="text1"/>
          <w:sz w:val="16"/>
          <w:szCs w:val="16"/>
        </w:rPr>
        <w:t xml:space="preserve"> с литых колес</w:t>
      </w:r>
      <w:r w:rsidRPr="00D03F3E">
        <w:rPr>
          <w:rStyle w:val="Bodytext1411pt1"/>
          <w:color w:val="000000" w:themeColor="text1"/>
          <w:spacing w:val="0"/>
          <w:sz w:val="16"/>
          <w:szCs w:val="16"/>
        </w:rPr>
        <w:t xml:space="preserve"> 1250x300</w:t>
      </w:r>
      <w:r w:rsidRPr="00D03F3E">
        <w:rPr>
          <w:rStyle w:val="Bodytext145"/>
          <w:i w:val="0"/>
          <w:iCs w:val="0"/>
          <w:color w:val="000000" w:themeColor="text1"/>
          <w:sz w:val="16"/>
          <w:szCs w:val="16"/>
        </w:rPr>
        <w:t xml:space="preserve"> переводится на спаренные ко</w:t>
      </w:r>
      <w:r w:rsidRPr="00D03F3E">
        <w:rPr>
          <w:rStyle w:val="Bodytext145"/>
          <w:i w:val="0"/>
          <w:iCs w:val="0"/>
          <w:color w:val="000000" w:themeColor="text1"/>
          <w:sz w:val="16"/>
          <w:szCs w:val="16"/>
        </w:rPr>
        <w:softHyphen/>
        <w:t>леса КМП</w:t>
      </w:r>
      <w:r w:rsidRPr="00D03F3E">
        <w:rPr>
          <w:rStyle w:val="Bodytext1411pt1"/>
          <w:color w:val="000000" w:themeColor="text1"/>
          <w:spacing w:val="0"/>
          <w:sz w:val="16"/>
          <w:szCs w:val="16"/>
        </w:rPr>
        <w:t xml:space="preserve"> 1250x200,</w:t>
      </w:r>
      <w:r w:rsidRPr="00D03F3E">
        <w:rPr>
          <w:rStyle w:val="Bodytext145"/>
          <w:i w:val="0"/>
          <w:iCs w:val="0"/>
          <w:color w:val="000000" w:themeColor="text1"/>
          <w:sz w:val="16"/>
          <w:szCs w:val="16"/>
        </w:rPr>
        <w:t xml:space="preserve"> в этом случае удельное давление понижается.</w:t>
      </w:r>
    </w:p>
    <w:p w14:paraId="544B4332" w14:textId="77777777" w:rsidR="00B610FB" w:rsidRPr="00D03F3E" w:rsidRDefault="00B610FB" w:rsidP="00D03F3E">
      <w:pPr>
        <w:pStyle w:val="Bodytext141"/>
        <w:shd w:val="clear" w:color="auto" w:fill="auto"/>
        <w:tabs>
          <w:tab w:val="left" w:pos="1365"/>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в) Рессоры в обеих системах упрочняются, что трудностей не состав</w:t>
      </w:r>
      <w:r w:rsidRPr="00D03F3E">
        <w:rPr>
          <w:rStyle w:val="Bodytext145"/>
          <w:i w:val="0"/>
          <w:iCs w:val="0"/>
          <w:color w:val="000000" w:themeColor="text1"/>
          <w:sz w:val="16"/>
          <w:szCs w:val="16"/>
        </w:rPr>
        <w:softHyphen/>
        <w:t>ляет, так как для лафета МЛ-20 происходит простое увеличение листов рессоры.</w:t>
      </w:r>
    </w:p>
    <w:p w14:paraId="665DA52F" w14:textId="77777777" w:rsidR="00B610FB" w:rsidRPr="00D03F3E" w:rsidRDefault="00B610FB" w:rsidP="00D03F3E">
      <w:pPr>
        <w:pStyle w:val="Bodytext300"/>
        <w:shd w:val="clear" w:color="auto" w:fill="auto"/>
        <w:spacing w:line="240" w:lineRule="auto"/>
        <w:ind w:firstLine="0"/>
        <w:rPr>
          <w:rFonts w:ascii="Times New Roman" w:hAnsi="Times New Roman" w:cs="Times New Roman"/>
          <w:i w:val="0"/>
          <w:color w:val="000000" w:themeColor="text1"/>
          <w:spacing w:val="0"/>
          <w:sz w:val="16"/>
          <w:szCs w:val="16"/>
        </w:rPr>
      </w:pPr>
      <w:r w:rsidRPr="00D03F3E">
        <w:rPr>
          <w:rFonts w:ascii="Times New Roman" w:hAnsi="Times New Roman" w:cs="Times New Roman"/>
          <w:i w:val="0"/>
          <w:color w:val="000000" w:themeColor="text1"/>
          <w:spacing w:val="0"/>
          <w:sz w:val="16"/>
          <w:szCs w:val="16"/>
        </w:rPr>
        <w:t>&lt;...&gt;</w:t>
      </w:r>
    </w:p>
    <w:p w14:paraId="3196FBFA" w14:textId="77777777" w:rsidR="00B610FB" w:rsidRPr="00D03F3E" w:rsidRDefault="00B610FB"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Еще разительнее результат получается, если сопоставить с одной сто</w:t>
      </w:r>
      <w:r w:rsidRPr="00D03F3E">
        <w:rPr>
          <w:rStyle w:val="Bodytext145"/>
          <w:i w:val="0"/>
          <w:iCs w:val="0"/>
          <w:color w:val="000000" w:themeColor="text1"/>
          <w:sz w:val="16"/>
          <w:szCs w:val="16"/>
        </w:rPr>
        <w:softHyphen/>
        <w:t>роны 152-мм пушку обр. 1935 года на лафете МЛ-20 со стволом моноблок и литым казенником с боевым весом 9000 кг, походным весом 9800, и с дру</w:t>
      </w:r>
      <w:r w:rsidRPr="00D03F3E">
        <w:rPr>
          <w:rStyle w:val="Bodytext145"/>
          <w:i w:val="0"/>
          <w:iCs w:val="0"/>
          <w:color w:val="000000" w:themeColor="text1"/>
          <w:sz w:val="16"/>
          <w:szCs w:val="16"/>
        </w:rPr>
        <w:softHyphen/>
        <w:t>гой стороны — ту же пушку на лафете 203-мм гаубицы Б-4 с 3-слойным стволом, боевым весом 18 260 кг и весом в походном положении 24 ООО кг.</w:t>
      </w:r>
    </w:p>
    <w:p w14:paraId="084D81FC" w14:textId="77777777" w:rsidR="00B610FB" w:rsidRPr="00D03F3E" w:rsidRDefault="00B610FB"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Здесь выгоды служебно-боевые и производственно-экономические осо</w:t>
      </w:r>
      <w:r w:rsidRPr="00D03F3E">
        <w:rPr>
          <w:rStyle w:val="Bodytext145"/>
          <w:i w:val="0"/>
          <w:iCs w:val="0"/>
          <w:color w:val="000000" w:themeColor="text1"/>
          <w:sz w:val="16"/>
          <w:szCs w:val="16"/>
        </w:rPr>
        <w:softHyphen/>
        <w:t>бенно велики.</w:t>
      </w:r>
    </w:p>
    <w:p w14:paraId="2080640F" w14:textId="77777777" w:rsidR="00B610FB" w:rsidRPr="00D03F3E" w:rsidRDefault="00B610FB" w:rsidP="00D03F3E">
      <w:pPr>
        <w:pStyle w:val="a3"/>
        <w:rPr>
          <w:color w:val="000000" w:themeColor="text1"/>
          <w:lang w:val="ru-RU"/>
        </w:rPr>
      </w:pPr>
      <w:r w:rsidRPr="00D03F3E">
        <w:rPr>
          <w:rStyle w:val="Bodytext145"/>
          <w:color w:val="000000" w:themeColor="text1"/>
          <w:lang w:val="ru-RU"/>
        </w:rPr>
        <w:t>Если осуществить наложение 152-мм пушки БР-2 на МЛ-20, то от</w:t>
      </w:r>
      <w:r w:rsidRPr="00D03F3E">
        <w:rPr>
          <w:rStyle w:val="Bodytext145"/>
          <w:color w:val="000000" w:themeColor="text1"/>
          <w:lang w:val="ru-RU"/>
        </w:rPr>
        <w:softHyphen/>
        <w:t xml:space="preserve">крывается полная возможность установки этой пушки в танк </w:t>
      </w:r>
      <w:r w:rsidRPr="00D03F3E">
        <w:rPr>
          <w:rStyle w:val="Bodytext145"/>
          <w:color w:val="000000" w:themeColor="text1"/>
        </w:rPr>
        <w:t>KB</w:t>
      </w:r>
      <w:r w:rsidRPr="00D03F3E">
        <w:rPr>
          <w:rStyle w:val="Bodytext145"/>
          <w:color w:val="000000" w:themeColor="text1"/>
          <w:lang w:val="ru-RU"/>
        </w:rPr>
        <w:t xml:space="preserve"> с огра</w:t>
      </w:r>
      <w:r w:rsidRPr="00D03F3E">
        <w:rPr>
          <w:rStyle w:val="Bodytext145"/>
          <w:color w:val="000000" w:themeColor="text1"/>
          <w:lang w:val="ru-RU"/>
        </w:rPr>
        <w:softHyphen/>
        <w:t>ниченным углом горизонтального обстрела, без переделки танка.</w:t>
      </w:r>
    </w:p>
    <w:p w14:paraId="788B602C" w14:textId="77777777" w:rsidR="00B610FB" w:rsidRPr="00D03F3E" w:rsidRDefault="00B610FB"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 xml:space="preserve">используются люлька и все установочные детали от МЛ-20, при ее установке в танк </w:t>
      </w:r>
      <w:r w:rsidRPr="00D03F3E">
        <w:rPr>
          <w:rStyle w:val="Bodytext145"/>
          <w:i w:val="0"/>
          <w:iCs w:val="0"/>
          <w:color w:val="000000" w:themeColor="text1"/>
          <w:sz w:val="16"/>
          <w:szCs w:val="16"/>
          <w:lang w:val="en-US"/>
        </w:rPr>
        <w:t>KB</w:t>
      </w:r>
      <w:r w:rsidRPr="00D03F3E">
        <w:rPr>
          <w:rStyle w:val="Bodytext145"/>
          <w:i w:val="0"/>
          <w:iCs w:val="0"/>
          <w:color w:val="000000" w:themeColor="text1"/>
          <w:sz w:val="16"/>
          <w:szCs w:val="16"/>
        </w:rPr>
        <w:t xml:space="preserve"> по нашему проекту ЗИК-20.</w:t>
      </w:r>
    </w:p>
    <w:p w14:paraId="15F57831" w14:textId="77777777" w:rsidR="00B610FB" w:rsidRPr="00D03F3E" w:rsidRDefault="00B610FB"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При этом вес такой самоходной установки увеличивается относи</w:t>
      </w:r>
      <w:r w:rsidRPr="00D03F3E">
        <w:rPr>
          <w:rStyle w:val="Bodytext145"/>
          <w:i w:val="0"/>
          <w:iCs w:val="0"/>
          <w:color w:val="000000" w:themeColor="text1"/>
          <w:sz w:val="16"/>
          <w:szCs w:val="16"/>
        </w:rPr>
        <w:softHyphen/>
        <w:t>тельно незначительно — на 1800 кг.</w:t>
      </w:r>
    </w:p>
    <w:p w14:paraId="05109B30" w14:textId="77777777" w:rsidR="00B610FB" w:rsidRPr="00D03F3E" w:rsidRDefault="00B610FB"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 xml:space="preserve">Во всяком случае, такое решение по созданию самохода значительно проще, чем то, которое было принято накануне войны, — путем создания нового, более крупного шасси на базе танка </w:t>
      </w:r>
      <w:r w:rsidRPr="00D03F3E">
        <w:rPr>
          <w:rStyle w:val="Bodytext145"/>
          <w:i w:val="0"/>
          <w:iCs w:val="0"/>
          <w:color w:val="000000" w:themeColor="text1"/>
          <w:sz w:val="16"/>
          <w:szCs w:val="16"/>
          <w:lang w:val="en-US"/>
        </w:rPr>
        <w:t>KB</w:t>
      </w:r>
      <w:r w:rsidRPr="00D03F3E">
        <w:rPr>
          <w:rStyle w:val="Bodytext145"/>
          <w:i w:val="0"/>
          <w:iCs w:val="0"/>
          <w:color w:val="000000" w:themeColor="text1"/>
          <w:sz w:val="16"/>
          <w:szCs w:val="16"/>
        </w:rPr>
        <w:t xml:space="preserve"> для установки БР-2» (17484).</w:t>
      </w:r>
    </w:p>
    <w:p w14:paraId="691E3A6E" w14:textId="77777777" w:rsidR="00B610FB" w:rsidRPr="00D03F3E" w:rsidRDefault="00B610FB" w:rsidP="00D03F3E">
      <w:pPr>
        <w:pStyle w:val="a3"/>
        <w:rPr>
          <w:color w:val="000000" w:themeColor="text1"/>
          <w:lang w:val="ru-RU"/>
        </w:rPr>
      </w:pPr>
    </w:p>
    <w:p w14:paraId="47B47E6E"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года испытания танков апрельского выпуска показали, что «качество танков Т-34 всех заводов - остаётся низким». Участвовавшие в пробеге танки прошли лишь немногим более 1000 километров, а танк Кировского завода - вообще только 471. Не оправдала возлагавшихся на неё надежд новая пятискоростная коробка передач, которая вышла из строя на всех танках, кроме танка Кировского завода. Оказалось, что новая конструкция коробки передач не решила проблемы «низкого качества монтажа и термообработки». Единственным выходом оставалось усилить контроль за качеством сборки.</w:t>
      </w:r>
    </w:p>
    <w:p w14:paraId="72630E16"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Лучшие результаты дали испытания танков июньского выпуска. Все участвовавшие в пробеге машины смогли пройти первые 1000 километров почти без поломок. Серьёзные проблемы начались после этой первой тысячи, когда стали выявляться дефекты машины. Танки производства заводов № 183 и № 174 вообще были сняты с пробега после того, как прошли соответственно 1100 и 1199 километров. Остальные всё-таки смогли пройти более 2000 километров и остались в строю. По итогам испытаний начальник отдела главного инспектора НКТП Гутман сделал следующие выводы: «Улучшение качества танков производства Кировского завода, УЗТМ и № 112 достигнуто без проведения особых технических мероприятий конструктивного порядка, а исключительно за счёт повышения требовательности и ответственности работников заводов и улучшения технологической дисциплины. ... Танки Т-34 могут безаварийно проходить 2000 км при условии, если заводы примут дальнейшие меры по улучшению качества изготовления деталей и узлов и повышению требовательности во всех звеньях заводского аппарата». В целом испытания свидетельствовали, что проблема надёжности потеряла свою прежнюю остроту (12290).</w:t>
      </w:r>
    </w:p>
    <w:p w14:paraId="5D2050CF" w14:textId="77777777" w:rsidR="005119DD" w:rsidRPr="00D03F3E" w:rsidRDefault="005119DD" w:rsidP="00D03F3E">
      <w:pPr>
        <w:spacing w:after="0" w:line="240" w:lineRule="auto"/>
        <w:jc w:val="both"/>
        <w:rPr>
          <w:rFonts w:ascii="Times New Roman" w:hAnsi="Times New Roman"/>
          <w:color w:val="000000" w:themeColor="text1"/>
          <w:sz w:val="16"/>
          <w:szCs w:val="16"/>
        </w:rPr>
      </w:pPr>
    </w:p>
    <w:p w14:paraId="3BC907E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года на вооружение советской армии вновь были приняты танки "Т-34 танк-истребитель" и "KB танк-истребитель", вооруженные модернизированной 57-мм пушкой ЗИС-4М, отличавшейся от ЗИС-4 рядом упрощений, а именно:</w:t>
      </w:r>
    </w:p>
    <w:p w14:paraId="2A41795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введен затвор, унифицированный с затвором Ф-34, ЗИС-2, ЗИС-3 и ЗИС-5;</w:t>
      </w:r>
    </w:p>
    <w:p w14:paraId="2CD9F16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упрощен механизм полуавтоматики;</w:t>
      </w:r>
    </w:p>
    <w:p w14:paraId="400FBA1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изменено крепление муфты в люльке (3862).</w:t>
      </w:r>
    </w:p>
    <w:p w14:paraId="3663CA5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Орудие ЗИС-4М не предусматривало использование перископического прицела и потому "танки-истребители" одними из первых вместо панорамного прицела получили перископ типа МК-4. Командирской башенки танки, судя по сохранившемуся описанию, не имели. Специально для борьбы с немецкими тяжелыми танками в боекомплект ЗИС-4М был введен "бронебойный выстрел повышенной мощности" с начальной скоростью снаряда - 1010 м/с. Однако ресурс орудия с данным выстрелом резко снизился, в войсках было зафиксировано несколько случаев раздутия стволов и вскоре после выпуска небольшой партии данных боеприпасов (не более 2800), они были сняты с вооружения и изъяты из войск (3862).</w:t>
      </w:r>
    </w:p>
    <w:p w14:paraId="2D575E34" w14:textId="77777777" w:rsidR="00531570" w:rsidRPr="00D03F3E" w:rsidRDefault="00531570" w:rsidP="00D03F3E">
      <w:pPr>
        <w:pStyle w:val="Iauiue"/>
        <w:jc w:val="both"/>
        <w:rPr>
          <w:color w:val="000000" w:themeColor="text1"/>
          <w:sz w:val="16"/>
          <w:szCs w:val="16"/>
        </w:rPr>
      </w:pPr>
    </w:p>
    <w:p w14:paraId="0BC5B38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НИИБТ полигоном был подготовлен “Отчет по испытанию броневой защиты танка Т-34 обстрелом из 88мм немецкой танковой пушки”. С 1500 м пробивала лобовой лист и любую другую броню (7377, 29).</w:t>
      </w:r>
    </w:p>
    <w:p w14:paraId="3A8421B2" w14:textId="77777777" w:rsidR="00531570" w:rsidRPr="00D03F3E" w:rsidRDefault="00531570" w:rsidP="00D03F3E">
      <w:pPr>
        <w:pStyle w:val="Iauiue"/>
        <w:jc w:val="both"/>
        <w:rPr>
          <w:color w:val="000000" w:themeColor="text1"/>
          <w:sz w:val="16"/>
          <w:szCs w:val="16"/>
        </w:rPr>
      </w:pPr>
    </w:p>
    <w:p w14:paraId="7A0D8E9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на заводе № 112 было было разработано и внедрено сцепное буксирное устройство, позволяющее использовать Т-34 в качестве тягача для перевозки прицепов с грузом на марше и артиллерийских орудий в бою (11135). Далее, осваивая в серийном производстве литье башен машинной формовки, конструктор Ревзин предложил снабдить люк командира Т-34 приварной командно-на</w:t>
      </w:r>
      <w:r w:rsidRPr="00D03F3E">
        <w:rPr>
          <w:rFonts w:ascii="Times New Roman" w:hAnsi="Times New Roman"/>
          <w:color w:val="000000" w:themeColor="text1"/>
          <w:sz w:val="16"/>
          <w:szCs w:val="16"/>
        </w:rPr>
        <w:softHyphen/>
        <w:t>блюдательной башенкой диаметром 730 мм, изготовленной из полосы броневой стали толщиной 45 мм. Предложение было рассмотрено на пленуме техсовета НКТП в марте 1943 г. и признано полезным и заслуживающим самого вни</w:t>
      </w:r>
      <w:r w:rsidRPr="00D03F3E">
        <w:rPr>
          <w:rFonts w:ascii="Times New Roman" w:hAnsi="Times New Roman"/>
          <w:color w:val="000000" w:themeColor="text1"/>
          <w:sz w:val="16"/>
          <w:szCs w:val="16"/>
        </w:rPr>
        <w:softHyphen/>
        <w:t>мательного изучения, так как обзор из танка даже с такой башенкой резко улучшился, причем башенку данного типа можно было устанавливать даже на крыше уже изготовлен</w:t>
      </w:r>
      <w:r w:rsidRPr="00D03F3E">
        <w:rPr>
          <w:rFonts w:ascii="Times New Roman" w:hAnsi="Times New Roman"/>
          <w:color w:val="000000" w:themeColor="text1"/>
          <w:sz w:val="16"/>
          <w:szCs w:val="16"/>
        </w:rPr>
        <w:softHyphen/>
        <w:t>ных танков в ходе их ремонта. Башенка, разработанная на заводе № 112, была взята за основу головным предприятием (завод № 183), на котором уже в июне — июле 1943 г. было запущено в серийное производство аналогичное изделие из жидкой брони с толщиной стенок 52—56 мм (11135).</w:t>
      </w:r>
    </w:p>
    <w:p w14:paraId="75242A6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077B422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проводились испытания нового варианта экранирования Т-34 и показали «многообещающие результа</w:t>
      </w:r>
      <w:r w:rsidRPr="00D03F3E">
        <w:rPr>
          <w:rFonts w:ascii="Times New Roman" w:hAnsi="Times New Roman"/>
          <w:color w:val="000000" w:themeColor="text1"/>
          <w:sz w:val="16"/>
          <w:szCs w:val="16"/>
        </w:rPr>
        <w:softHyphen/>
        <w:t>ты». Например, стрельбы снаряженным 75-мм немецким бронебойным снарядом приводили к его преждевременно</w:t>
      </w:r>
      <w:r w:rsidRPr="00D03F3E">
        <w:rPr>
          <w:rFonts w:ascii="Times New Roman" w:hAnsi="Times New Roman"/>
          <w:color w:val="000000" w:themeColor="text1"/>
          <w:sz w:val="16"/>
          <w:szCs w:val="16"/>
        </w:rPr>
        <w:softHyphen/>
        <w:t>му разрыву, так как бронекоробка играла роль “взводящей брони”. Снаряды калибра 37 мм и 50 мм, в том числе и под-калиберные, приходясь в экран под некоторым углом, нор</w:t>
      </w:r>
      <w:r w:rsidRPr="00D03F3E">
        <w:rPr>
          <w:rFonts w:ascii="Times New Roman" w:hAnsi="Times New Roman"/>
          <w:color w:val="000000" w:themeColor="text1"/>
          <w:sz w:val="16"/>
          <w:szCs w:val="16"/>
        </w:rPr>
        <w:softHyphen/>
        <w:t>мализовались, теряя свою кинетическую энергию, срывая «катушку»...Понятно, что усиление брони отечественных танков экранированием было наиболее быстрым решением. Но на этом очевидном и благом пути танкостроителей подсте</w:t>
      </w:r>
      <w:r w:rsidRPr="00D03F3E">
        <w:rPr>
          <w:rFonts w:ascii="Times New Roman" w:hAnsi="Times New Roman"/>
          <w:color w:val="000000" w:themeColor="text1"/>
          <w:sz w:val="16"/>
          <w:szCs w:val="16"/>
        </w:rPr>
        <w:softHyphen/>
        <w:t>регала острая нехватка броневого проката, ибо в начале 1943 г. не хватало не только толстых 45—75-мм, но также и тонких 10—30-мм броневых листов (11135).</w:t>
      </w:r>
    </w:p>
    <w:p w14:paraId="1EA4B2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2F71C84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со своим вариантом экранировки танков вы</w:t>
      </w:r>
      <w:r w:rsidRPr="00D03F3E">
        <w:rPr>
          <w:rFonts w:ascii="Times New Roman" w:hAnsi="Times New Roman"/>
          <w:color w:val="000000" w:themeColor="text1"/>
          <w:sz w:val="16"/>
          <w:szCs w:val="16"/>
        </w:rPr>
        <w:softHyphen/>
        <w:t>ступил Институт физической химии Академии наук СССР, где под управлением академика А. Иоффе и И. Курчатова были предложены т.н. «стержневые экраны». Суть предложе</w:t>
      </w:r>
      <w:r w:rsidRPr="00D03F3E">
        <w:rPr>
          <w:rFonts w:ascii="Times New Roman" w:hAnsi="Times New Roman"/>
          <w:color w:val="000000" w:themeColor="text1"/>
          <w:sz w:val="16"/>
          <w:szCs w:val="16"/>
        </w:rPr>
        <w:softHyphen/>
        <w:t>ния заключалась в том, что стержни из конструкционной стали диаметром 16—25 мм (бетонная арматура), располагае</w:t>
      </w:r>
      <w:r w:rsidRPr="00D03F3E">
        <w:rPr>
          <w:rFonts w:ascii="Times New Roman" w:hAnsi="Times New Roman"/>
          <w:color w:val="000000" w:themeColor="text1"/>
          <w:sz w:val="16"/>
          <w:szCs w:val="16"/>
        </w:rPr>
        <w:softHyphen/>
        <w:t>мые в виде решетки с шагом 25—35 мм (половина калибра противотанкового снаряда, от которого осуществлялась за</w:t>
      </w:r>
      <w:r w:rsidRPr="00D03F3E">
        <w:rPr>
          <w:rFonts w:ascii="Times New Roman" w:hAnsi="Times New Roman"/>
          <w:color w:val="000000" w:themeColor="text1"/>
          <w:sz w:val="16"/>
          <w:szCs w:val="16"/>
        </w:rPr>
        <w:softHyphen/>
        <w:t>щита) на расстоянии 100—200 мм от основной брони играли роль взводящей брони для бронебойных, искажающей пре</w:t>
      </w:r>
      <w:r w:rsidRPr="00D03F3E">
        <w:rPr>
          <w:rFonts w:ascii="Times New Roman" w:hAnsi="Times New Roman"/>
          <w:color w:val="000000" w:themeColor="text1"/>
          <w:sz w:val="16"/>
          <w:szCs w:val="16"/>
        </w:rPr>
        <w:softHyphen/>
        <w:t>грады для сплошных бронебойных и подкалиберных, а также вынесенной преграды для кумулятивных снарядов. При этом масса «стержневого» экрана была в разы меньше, чем экрана из монолитного броневого листа толщиной 12—20 мм, стои</w:t>
      </w:r>
      <w:r w:rsidRPr="00D03F3E">
        <w:rPr>
          <w:rFonts w:ascii="Times New Roman" w:hAnsi="Times New Roman"/>
          <w:color w:val="000000" w:themeColor="text1"/>
          <w:sz w:val="16"/>
          <w:szCs w:val="16"/>
        </w:rPr>
        <w:softHyphen/>
        <w:t>мость несравнимо меньше, а трудоемкость его изготовления удалось сделать сравнительно невысокой...Совместным распоряжением Наркома танковой про</w:t>
      </w:r>
      <w:r w:rsidRPr="00D03F3E">
        <w:rPr>
          <w:rFonts w:ascii="Times New Roman" w:hAnsi="Times New Roman"/>
          <w:color w:val="000000" w:themeColor="text1"/>
          <w:sz w:val="16"/>
          <w:szCs w:val="16"/>
        </w:rPr>
        <w:softHyphen/>
        <w:t>мышленности, Главного бронетанкового управления Крас</w:t>
      </w:r>
      <w:r w:rsidRPr="00D03F3E">
        <w:rPr>
          <w:rFonts w:ascii="Times New Roman" w:hAnsi="Times New Roman"/>
          <w:color w:val="000000" w:themeColor="text1"/>
          <w:sz w:val="16"/>
          <w:szCs w:val="16"/>
        </w:rPr>
        <w:softHyphen/>
        <w:t>ной армии, а также Академии наук СССР, для реализации экранировки указанного типа, было выделено КБ УЗТМ («Уралмаш») под руководством Л. Горлицкого, которому поручили разработку типовых схем экранирования сред</w:t>
      </w:r>
      <w:r w:rsidRPr="00D03F3E">
        <w:rPr>
          <w:rFonts w:ascii="Times New Roman" w:hAnsi="Times New Roman"/>
          <w:color w:val="000000" w:themeColor="text1"/>
          <w:sz w:val="16"/>
          <w:szCs w:val="16"/>
        </w:rPr>
        <w:softHyphen/>
        <w:t>них и легких танков.</w:t>
      </w:r>
    </w:p>
    <w:p w14:paraId="3B1D27E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Распоряжением по НКТП указанные схемы стержневого экранирования были разработаны и реализованы каждая на пяти экземплярах танков Т-34 и Т-70 и в июле 1943 г. отправ</w:t>
      </w:r>
      <w:r w:rsidRPr="00D03F3E">
        <w:rPr>
          <w:rFonts w:ascii="Times New Roman" w:hAnsi="Times New Roman"/>
          <w:color w:val="000000" w:themeColor="text1"/>
          <w:sz w:val="16"/>
          <w:szCs w:val="16"/>
        </w:rPr>
        <w:softHyphen/>
        <w:t>лены в действующую армию, но на этом следы их теряются (11135).</w:t>
      </w:r>
    </w:p>
    <w:p w14:paraId="688FC5A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6E9E1BC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мае 1943 г. в Институте физической химии А. Иоффе и И.В. Курчатовым разработана схема экранирования танков экраном из стальных стержней. По распоряжению НКТП для реализации предложения работы переданы в КБ УЗТМ, где в 07.1943г. по данной схеме оборудовано по пять танков Т-34 и Т-70.</w:t>
      </w:r>
    </w:p>
    <w:p w14:paraId="429CEDD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Руководитель (1943г.)- Л.И. Горлицкий (11982).</w:t>
      </w:r>
    </w:p>
    <w:p w14:paraId="195D732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1185AE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на базе проекта гаубицы Д-12 в КБ завода № 9 НКВ в инициативном порядке разработали более совершенную танковую га</w:t>
      </w:r>
      <w:r w:rsidRPr="00D03F3E">
        <w:rPr>
          <w:rFonts w:ascii="Times New Roman" w:hAnsi="Times New Roman"/>
          <w:color w:val="000000" w:themeColor="text1"/>
          <w:sz w:val="16"/>
          <w:szCs w:val="16"/>
        </w:rPr>
        <w:softHyphen/>
        <w:t>убицу Д-5Т-122, но к тому времени оснащение танков ИС подобными гаубицами уже было не актуально, так как для борьбы с немецкими тя</w:t>
      </w:r>
      <w:r w:rsidRPr="00D03F3E">
        <w:rPr>
          <w:rFonts w:ascii="Times New Roman" w:hAnsi="Times New Roman"/>
          <w:color w:val="000000" w:themeColor="text1"/>
          <w:sz w:val="16"/>
          <w:szCs w:val="16"/>
        </w:rPr>
        <w:softHyphen/>
        <w:t>желыми танками она была малоэффективна (неудовлетворительная кучность и малая бронепробиваемость на дистанции свыше 1000 м). Опытные танки ИС, как и танк КВ-13, в составе ходовой части име</w:t>
      </w:r>
      <w:r w:rsidRPr="00D03F3E">
        <w:rPr>
          <w:rFonts w:ascii="Times New Roman" w:hAnsi="Times New Roman"/>
          <w:color w:val="000000" w:themeColor="text1"/>
          <w:sz w:val="16"/>
          <w:szCs w:val="16"/>
        </w:rPr>
        <w:softHyphen/>
        <w:t>ли по пять опорных и по три поддерживающих катка на каждый борт, мелкозвенчатую гусеницу цевочного зацепления, индивидуальную тор</w:t>
      </w:r>
      <w:r w:rsidRPr="00D03F3E">
        <w:rPr>
          <w:rFonts w:ascii="Times New Roman" w:hAnsi="Times New Roman"/>
          <w:color w:val="000000" w:themeColor="text1"/>
          <w:sz w:val="16"/>
          <w:szCs w:val="16"/>
        </w:rPr>
        <w:softHyphen/>
        <w:t>сионную подвеску и отличались друг от друга лишь числом зубьев на венцах ведущих колес (10703).</w:t>
      </w:r>
    </w:p>
    <w:p w14:paraId="0E64AD7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CA35095" w14:textId="77777777" w:rsidR="0091278E" w:rsidRPr="00D03F3E" w:rsidRDefault="0091278E" w:rsidP="00D03F3E">
      <w:pPr>
        <w:shd w:val="clear" w:color="auto" w:fill="FFFFFF"/>
        <w:spacing w:after="0" w:line="240" w:lineRule="auto"/>
        <w:jc w:val="both"/>
        <w:rPr>
          <w:rStyle w:val="940"/>
          <w:rFonts w:ascii="Times New Roman" w:hAnsi="Times New Roman" w:cs="Times New Roman"/>
          <w:color w:val="0070C0"/>
          <w:sz w:val="16"/>
          <w:szCs w:val="16"/>
        </w:rPr>
      </w:pPr>
      <w:r w:rsidRPr="00D03F3E">
        <w:rPr>
          <w:rStyle w:val="930"/>
          <w:rFonts w:ascii="Times New Roman" w:hAnsi="Times New Roman" w:cs="Times New Roman"/>
          <w:color w:val="0070C0"/>
          <w:sz w:val="16"/>
          <w:szCs w:val="16"/>
        </w:rPr>
        <w:t>В мае 1943 года официально начались работы по существенно пе</w:t>
      </w:r>
      <w:r w:rsidRPr="00D03F3E">
        <w:rPr>
          <w:rStyle w:val="930"/>
          <w:rFonts w:ascii="Times New Roman" w:hAnsi="Times New Roman" w:cs="Times New Roman"/>
          <w:color w:val="0070C0"/>
          <w:sz w:val="16"/>
          <w:szCs w:val="16"/>
        </w:rPr>
        <w:softHyphen/>
        <w:t>реработанному ИС. Как и ранее, ведущим инженером машины был Н.Ф. Шашмурин. Первое время данный танк обозначали ИС-3, но более он известен как «Объект 237». Также использовалась аб</w:t>
      </w:r>
      <w:r w:rsidRPr="00D03F3E">
        <w:rPr>
          <w:rStyle w:val="930"/>
          <w:rFonts w:ascii="Times New Roman" w:hAnsi="Times New Roman" w:cs="Times New Roman"/>
          <w:color w:val="0070C0"/>
          <w:sz w:val="16"/>
          <w:szCs w:val="16"/>
        </w:rPr>
        <w:softHyphen/>
        <w:t>бревиатура ИС. Разработка машины шла в тесном сотрудничестве с КБ завода № 9, где с мая 1943 года начали разработку 85-мм ору</w:t>
      </w:r>
      <w:r w:rsidRPr="00D03F3E">
        <w:rPr>
          <w:rStyle w:val="930"/>
          <w:rFonts w:ascii="Times New Roman" w:hAnsi="Times New Roman" w:cs="Times New Roman"/>
          <w:color w:val="0070C0"/>
          <w:sz w:val="16"/>
          <w:szCs w:val="16"/>
        </w:rPr>
        <w:softHyphen/>
        <w:t xml:space="preserve">дия Д-5. Данная система фактически стала </w:t>
      </w:r>
      <w:r w:rsidRPr="00D03F3E">
        <w:rPr>
          <w:rStyle w:val="940"/>
          <w:rFonts w:ascii="Times New Roman" w:hAnsi="Times New Roman" w:cs="Times New Roman"/>
          <w:color w:val="0070C0"/>
          <w:sz w:val="16"/>
          <w:szCs w:val="16"/>
        </w:rPr>
        <w:t>развитием другого орудия - Д-11, а оно, в свою очередь, представляло собой эволю</w:t>
      </w:r>
      <w:r w:rsidRPr="00D03F3E">
        <w:rPr>
          <w:rStyle w:val="940"/>
          <w:rFonts w:ascii="Times New Roman" w:hAnsi="Times New Roman" w:cs="Times New Roman"/>
          <w:color w:val="0070C0"/>
          <w:sz w:val="16"/>
          <w:szCs w:val="16"/>
        </w:rPr>
        <w:softHyphen/>
        <w:t>цию системы У-11. То есть изначально Ф.Ф. Петров разрабатывал орудие с балли</w:t>
      </w:r>
      <w:r w:rsidRPr="00D03F3E">
        <w:rPr>
          <w:rStyle w:val="940"/>
          <w:rFonts w:ascii="Times New Roman" w:hAnsi="Times New Roman" w:cs="Times New Roman"/>
          <w:color w:val="0070C0"/>
          <w:sz w:val="16"/>
          <w:szCs w:val="16"/>
        </w:rPr>
        <w:softHyphen/>
        <w:t>стикой 122-мм гаубицы М-30. Это оказалось очень важным с точки зрения дальнейшего развития семейства Д-5. Дело в том, что еще осенью 1942 года под руководством Петрова было разработано семейство буксируемых орудий на лафете гаубицы М-30. На этом ла</w:t>
      </w:r>
      <w:r w:rsidRPr="00D03F3E">
        <w:rPr>
          <w:rStyle w:val="940"/>
          <w:rFonts w:ascii="Times New Roman" w:hAnsi="Times New Roman" w:cs="Times New Roman"/>
          <w:color w:val="0070C0"/>
          <w:sz w:val="16"/>
          <w:szCs w:val="16"/>
        </w:rPr>
        <w:softHyphen/>
        <w:t>фете предусматривалась установка двух ва</w:t>
      </w:r>
      <w:r w:rsidRPr="00D03F3E">
        <w:rPr>
          <w:rStyle w:val="940"/>
          <w:rFonts w:ascii="Times New Roman" w:hAnsi="Times New Roman" w:cs="Times New Roman"/>
          <w:color w:val="0070C0"/>
          <w:sz w:val="16"/>
          <w:szCs w:val="16"/>
        </w:rPr>
        <w:softHyphen/>
        <w:t>риантов пушек калибра 107 мм, корпусного 122-мм орудия с баллистикой, близкой к А-19, а также 152-мм гаубицы с баллистикой М-10. Последний вариант позже превратился в очень удачную гаубицу Д-1. Так вот, в мае 1943 года Петров сделал то же самое с танко</w:t>
      </w:r>
      <w:r w:rsidRPr="00D03F3E">
        <w:rPr>
          <w:rStyle w:val="940"/>
          <w:rFonts w:ascii="Times New Roman" w:hAnsi="Times New Roman" w:cs="Times New Roman"/>
          <w:color w:val="0070C0"/>
          <w:sz w:val="16"/>
          <w:szCs w:val="16"/>
        </w:rPr>
        <w:softHyphen/>
        <w:t>вой/самоходной системой, исключив стволы калибра 107 мм и добавив 85-мм орудие с баллистикой зенитки 52-К (19872).</w:t>
      </w:r>
    </w:p>
    <w:p w14:paraId="00575DE4" w14:textId="77777777" w:rsidR="0091278E" w:rsidRPr="00D03F3E" w:rsidRDefault="0091278E" w:rsidP="00D03F3E">
      <w:pPr>
        <w:shd w:val="clear" w:color="auto" w:fill="FFFFFF"/>
        <w:spacing w:after="0" w:line="240" w:lineRule="auto"/>
        <w:jc w:val="both"/>
        <w:rPr>
          <w:rFonts w:ascii="Times New Roman" w:hAnsi="Times New Roman"/>
          <w:color w:val="0070C0"/>
          <w:sz w:val="16"/>
          <w:szCs w:val="16"/>
        </w:rPr>
      </w:pPr>
    </w:p>
    <w:p w14:paraId="033BFE27" w14:textId="77777777" w:rsidR="0091278E" w:rsidRPr="00D03F3E" w:rsidRDefault="0091278E" w:rsidP="00D03F3E">
      <w:pPr>
        <w:shd w:val="clear" w:color="auto" w:fill="FFFFFF"/>
        <w:spacing w:after="0" w:line="240" w:lineRule="auto"/>
        <w:jc w:val="both"/>
        <w:rPr>
          <w:rStyle w:val="641"/>
          <w:rFonts w:ascii="Times New Roman" w:hAnsi="Times New Roman" w:cs="Times New Roman"/>
          <w:color w:val="0070C0"/>
          <w:sz w:val="16"/>
          <w:szCs w:val="16"/>
        </w:rPr>
      </w:pPr>
      <w:r w:rsidRPr="00D03F3E">
        <w:rPr>
          <w:rStyle w:val="631"/>
          <w:rFonts w:ascii="Times New Roman" w:hAnsi="Times New Roman" w:cs="Times New Roman"/>
          <w:color w:val="0070C0"/>
          <w:sz w:val="16"/>
          <w:szCs w:val="16"/>
        </w:rPr>
        <w:t xml:space="preserve">В мае 1943 года на заводе № 9 начались работы по танковой версии орудия Д-2. Шли они </w:t>
      </w:r>
      <w:r w:rsidRPr="00D03F3E">
        <w:rPr>
          <w:rStyle w:val="641"/>
          <w:rFonts w:ascii="Times New Roman" w:hAnsi="Times New Roman" w:cs="Times New Roman"/>
          <w:color w:val="0070C0"/>
          <w:sz w:val="16"/>
          <w:szCs w:val="16"/>
        </w:rPr>
        <w:t>можно сказать, в фоновом режиме, поскольку приоритетом являлась 85-мм система Д-5Т- 85. В самоходном варианте орудие Д-5 про</w:t>
      </w:r>
      <w:r w:rsidRPr="00D03F3E">
        <w:rPr>
          <w:rStyle w:val="641"/>
          <w:rFonts w:ascii="Times New Roman" w:hAnsi="Times New Roman" w:cs="Times New Roman"/>
          <w:color w:val="0070C0"/>
          <w:sz w:val="16"/>
          <w:szCs w:val="16"/>
        </w:rPr>
        <w:softHyphen/>
        <w:t>рабатывалось под четыре ствола: 85-мм ору</w:t>
      </w:r>
      <w:r w:rsidRPr="00D03F3E">
        <w:rPr>
          <w:rStyle w:val="641"/>
          <w:rFonts w:ascii="Times New Roman" w:hAnsi="Times New Roman" w:cs="Times New Roman"/>
          <w:color w:val="0070C0"/>
          <w:sz w:val="16"/>
          <w:szCs w:val="16"/>
        </w:rPr>
        <w:softHyphen/>
        <w:t>дие с баллистикой 5-2К, 122-мм гаубица с баллистикой М-30, 122-мм пушка с баллисти</w:t>
      </w:r>
      <w:r w:rsidRPr="00D03F3E">
        <w:rPr>
          <w:rStyle w:val="641"/>
          <w:rFonts w:ascii="Times New Roman" w:hAnsi="Times New Roman" w:cs="Times New Roman"/>
          <w:color w:val="0070C0"/>
          <w:sz w:val="16"/>
          <w:szCs w:val="16"/>
        </w:rPr>
        <w:softHyphen/>
        <w:t>кой Д-2 и 152-мм гаубица по типу Д-1. На определенном этапе наиболее важными были Д-5Т-85 и Д-5Т-122, но уже в первой по</w:t>
      </w:r>
      <w:r w:rsidRPr="00D03F3E">
        <w:rPr>
          <w:rStyle w:val="641"/>
          <w:rFonts w:ascii="Times New Roman" w:hAnsi="Times New Roman" w:cs="Times New Roman"/>
          <w:color w:val="0070C0"/>
          <w:sz w:val="16"/>
          <w:szCs w:val="16"/>
        </w:rPr>
        <w:softHyphen/>
        <w:t>ловине июля появился эскиз «установки 122 мм танковой пушки в башне танка ИС». При этом работы шли в тесном сотрудничестве КБ завода № 9 с ОКБ завода № 100. Работы по танковой линии курировал Ж.Я. Котин, веду</w:t>
      </w:r>
      <w:r w:rsidRPr="00D03F3E">
        <w:rPr>
          <w:rStyle w:val="641"/>
          <w:rFonts w:ascii="Times New Roman" w:hAnsi="Times New Roman" w:cs="Times New Roman"/>
          <w:color w:val="0070C0"/>
          <w:sz w:val="16"/>
          <w:szCs w:val="16"/>
        </w:rPr>
        <w:softHyphen/>
        <w:t>щим инженером выступал Н.Ф. Шашмурин. Самое интересное, что эскиз установки 122</w:t>
      </w:r>
      <w:r w:rsidRPr="00D03F3E">
        <w:rPr>
          <w:rStyle w:val="641"/>
          <w:rFonts w:ascii="Times New Roman" w:hAnsi="Times New Roman" w:cs="Times New Roman"/>
          <w:color w:val="0070C0"/>
          <w:sz w:val="16"/>
          <w:szCs w:val="16"/>
        </w:rPr>
        <w:softHyphen/>
        <w:t>мм пушки в ИС датирован 17 июля, а первые даты на этом чертеже - 14 июля. То есть, ги</w:t>
      </w:r>
      <w:r w:rsidRPr="00D03F3E">
        <w:rPr>
          <w:rStyle w:val="641"/>
          <w:rFonts w:ascii="Times New Roman" w:hAnsi="Times New Roman" w:cs="Times New Roman"/>
          <w:color w:val="0070C0"/>
          <w:sz w:val="16"/>
          <w:szCs w:val="16"/>
        </w:rPr>
        <w:softHyphen/>
        <w:t>потеза о разработке данного орудия по ито</w:t>
      </w:r>
      <w:r w:rsidRPr="00D03F3E">
        <w:rPr>
          <w:rStyle w:val="641"/>
          <w:rFonts w:ascii="Times New Roman" w:hAnsi="Times New Roman" w:cs="Times New Roman"/>
          <w:color w:val="0070C0"/>
          <w:sz w:val="16"/>
          <w:szCs w:val="16"/>
        </w:rPr>
        <w:softHyphen/>
        <w:t>гам Курской Дуги не имеет под собой основа</w:t>
      </w:r>
      <w:r w:rsidRPr="00D03F3E">
        <w:rPr>
          <w:rStyle w:val="641"/>
          <w:rFonts w:ascii="Times New Roman" w:hAnsi="Times New Roman" w:cs="Times New Roman"/>
          <w:color w:val="0070C0"/>
          <w:sz w:val="16"/>
          <w:szCs w:val="16"/>
        </w:rPr>
        <w:softHyphen/>
        <w:t>ний. Больше того, в ГБТУ КА и не знали про инициативу завода № 9 и Котина. Зато про 122-мм танковую пушку знали в НКТП. Следу</w:t>
      </w:r>
      <w:r w:rsidRPr="00D03F3E">
        <w:rPr>
          <w:rStyle w:val="641"/>
          <w:rFonts w:ascii="Times New Roman" w:hAnsi="Times New Roman" w:cs="Times New Roman"/>
          <w:color w:val="0070C0"/>
          <w:sz w:val="16"/>
          <w:szCs w:val="16"/>
        </w:rPr>
        <w:softHyphen/>
        <w:t>ет отметить, что танковая версия Д-2 не</w:t>
      </w:r>
      <w:r w:rsidRPr="00D03F3E">
        <w:rPr>
          <w:rStyle w:val="641"/>
          <w:rFonts w:ascii="Times New Roman" w:hAnsi="Times New Roman" w:cs="Times New Roman"/>
          <w:color w:val="0070C0"/>
          <w:sz w:val="16"/>
          <w:szCs w:val="16"/>
        </w:rPr>
        <w:softHyphen/>
        <w:t>сколько отличалась от буксируемой. В част</w:t>
      </w:r>
      <w:r w:rsidRPr="00D03F3E">
        <w:rPr>
          <w:rStyle w:val="641"/>
          <w:rFonts w:ascii="Times New Roman" w:hAnsi="Times New Roman" w:cs="Times New Roman"/>
          <w:color w:val="0070C0"/>
          <w:sz w:val="16"/>
          <w:szCs w:val="16"/>
        </w:rPr>
        <w:softHyphen/>
        <w:t>ности, на танковой пушке ставился однока</w:t>
      </w:r>
      <w:r w:rsidRPr="00D03F3E">
        <w:rPr>
          <w:rStyle w:val="641"/>
          <w:rFonts w:ascii="Times New Roman" w:hAnsi="Times New Roman" w:cs="Times New Roman"/>
          <w:color w:val="0070C0"/>
          <w:sz w:val="16"/>
          <w:szCs w:val="16"/>
        </w:rPr>
        <w:softHyphen/>
        <w:t>мерный дульный тормоз Т-образной формы. Благодаря ему орудие, имевшее на 900 кг большую, чем Д-5Т-85, массу, имело почти такое же сопротивление откату. Впрочем, длина отката увеличилась до 550 мм, поэтому в конструкцию орудийной установки требо</w:t>
      </w:r>
      <w:r w:rsidRPr="00D03F3E">
        <w:rPr>
          <w:rStyle w:val="641"/>
          <w:rFonts w:ascii="Times New Roman" w:hAnsi="Times New Roman" w:cs="Times New Roman"/>
          <w:color w:val="0070C0"/>
          <w:sz w:val="16"/>
          <w:szCs w:val="16"/>
        </w:rPr>
        <w:softHyphen/>
        <w:t>валось внести изменения. При этом орудие все равно вписывалось в боевое отделение ИС (19874).</w:t>
      </w:r>
    </w:p>
    <w:p w14:paraId="2F91D491" w14:textId="77777777" w:rsidR="0091278E" w:rsidRPr="00D03F3E" w:rsidRDefault="0091278E" w:rsidP="00D03F3E">
      <w:pPr>
        <w:shd w:val="clear" w:color="auto" w:fill="FFFFFF"/>
        <w:spacing w:after="0" w:line="240" w:lineRule="auto"/>
        <w:jc w:val="both"/>
        <w:rPr>
          <w:rFonts w:ascii="Times New Roman" w:hAnsi="Times New Roman"/>
          <w:color w:val="0070C0"/>
          <w:sz w:val="16"/>
          <w:szCs w:val="16"/>
        </w:rPr>
      </w:pPr>
    </w:p>
    <w:p w14:paraId="476025CB" w14:textId="77777777" w:rsidR="003770F2" w:rsidRPr="00D03F3E"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Май 1943 ы производстве Су-122 на УЗТМ оказался более спокойным месяцем, удалось сдать все 100 машин. Правда, не обошлось без заводских дефектов. 19 мая обнаружилось, что у одной системы М-30 насквозь просверлена стенка цилиндра накатника. Зухер немедленно приказал проверить все имевшиеся на тот момент машины (всего 140 штук). Аналогичные дефекты обнаружились еще на двух машинах, еще 100 САУ имели загрязнения системы под бронировкой. По итогам проверки все неисправности устранили. Также имелись трудности с поставками бандажей катков и коробок передач (17685).</w:t>
      </w:r>
    </w:p>
    <w:p w14:paraId="4E96BBFB" w14:textId="77777777" w:rsidR="003770F2" w:rsidRPr="00D03F3E" w:rsidRDefault="003770F2" w:rsidP="00D03F3E">
      <w:pPr>
        <w:spacing w:after="0" w:line="240" w:lineRule="auto"/>
        <w:jc w:val="both"/>
        <w:rPr>
          <w:rFonts w:ascii="Times New Roman" w:hAnsi="Times New Roman"/>
          <w:color w:val="000000" w:themeColor="text1"/>
          <w:sz w:val="16"/>
          <w:szCs w:val="16"/>
        </w:rPr>
      </w:pPr>
    </w:p>
    <w:p w14:paraId="07B660D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маю 1943 г. трудозатраты на выпуск СУ-122 снизи</w:t>
      </w:r>
      <w:r w:rsidRPr="00D03F3E">
        <w:rPr>
          <w:rFonts w:ascii="Times New Roman" w:hAnsi="Times New Roman"/>
          <w:color w:val="000000" w:themeColor="text1"/>
          <w:sz w:val="16"/>
          <w:szCs w:val="16"/>
        </w:rPr>
        <w:softHyphen/>
        <w:t xml:space="preserve">лись на 10%, а коммерческая цена — на 15 тыс. руб. При этом гаратийный пробег возрос с 1000 до 1600 км. Весной 1943 г. за работы по созданию и освоению в серии СУ-122 Л.И. Гор-лицкий и Н.В. Курин были награждены орденом «Красная звезда» и удостоены Сталинской премии </w:t>
      </w:r>
      <w:r w:rsidRPr="00D03F3E">
        <w:rPr>
          <w:rFonts w:ascii="Times New Roman" w:hAnsi="Times New Roman"/>
          <w:color w:val="000000" w:themeColor="text1"/>
          <w:sz w:val="16"/>
          <w:szCs w:val="16"/>
          <w:lang w:val="en-US"/>
        </w:rPr>
        <w:t>II</w:t>
      </w:r>
      <w:r w:rsidRPr="00D03F3E">
        <w:rPr>
          <w:rFonts w:ascii="Times New Roman" w:hAnsi="Times New Roman"/>
          <w:color w:val="000000" w:themeColor="text1"/>
          <w:sz w:val="16"/>
          <w:szCs w:val="16"/>
        </w:rPr>
        <w:t xml:space="preserve"> степени. Все это, но главным образом то, что Уралмашзавод был освобожден от программы выпуска танков Т-34, позволили Уралмашзаводу уже в марте 1943 г. выйти на запланированный уровень серийного производства, а в мае уже доложить о готовности перевыполнения плана. С началом серийного производства средних СУ-122 на</w:t>
      </w:r>
      <w:r w:rsidRPr="00D03F3E">
        <w:rPr>
          <w:rFonts w:ascii="Times New Roman" w:hAnsi="Times New Roman"/>
          <w:color w:val="000000" w:themeColor="text1"/>
          <w:sz w:val="16"/>
          <w:szCs w:val="16"/>
        </w:rPr>
        <w:softHyphen/>
        <w:t>чались и мероприятия по улучшению конструкции и каче</w:t>
      </w:r>
      <w:r w:rsidRPr="00D03F3E">
        <w:rPr>
          <w:rFonts w:ascii="Times New Roman" w:hAnsi="Times New Roman"/>
          <w:color w:val="000000" w:themeColor="text1"/>
          <w:sz w:val="16"/>
          <w:szCs w:val="16"/>
        </w:rPr>
        <w:softHyphen/>
        <w:t>ства изготовления. К этому процессу были привлечены также завод № 50 (бывший филиал Уралмашзавода) и дви</w:t>
      </w:r>
      <w:r w:rsidRPr="00D03F3E">
        <w:rPr>
          <w:rFonts w:ascii="Times New Roman" w:hAnsi="Times New Roman"/>
          <w:color w:val="000000" w:themeColor="text1"/>
          <w:sz w:val="16"/>
          <w:szCs w:val="16"/>
        </w:rPr>
        <w:softHyphen/>
        <w:t>гательный завод № 76. Всеми работами по совершенство</w:t>
      </w:r>
      <w:r w:rsidRPr="00D03F3E">
        <w:rPr>
          <w:rFonts w:ascii="Times New Roman" w:hAnsi="Times New Roman"/>
          <w:color w:val="000000" w:themeColor="text1"/>
          <w:sz w:val="16"/>
          <w:szCs w:val="16"/>
        </w:rPr>
        <w:softHyphen/>
        <w:t>ванию СУ-122 руководил зам главного конструктора Урал</w:t>
      </w:r>
      <w:r w:rsidRPr="00D03F3E">
        <w:rPr>
          <w:rFonts w:ascii="Times New Roman" w:hAnsi="Times New Roman"/>
          <w:color w:val="000000" w:themeColor="text1"/>
          <w:sz w:val="16"/>
          <w:szCs w:val="16"/>
        </w:rPr>
        <w:softHyphen/>
        <w:t>машзавода Л.И. Гбрлицкий (11417).</w:t>
      </w:r>
    </w:p>
    <w:p w14:paraId="7AAE6EC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0DC8B2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два опытных образца Т-70, вооруженных 45-мм пушкой ВТ-42, были готовы к испытаниям. Испыта</w:t>
      </w:r>
      <w:r w:rsidRPr="00D03F3E">
        <w:rPr>
          <w:rFonts w:ascii="Times New Roman" w:hAnsi="Times New Roman"/>
          <w:color w:val="000000" w:themeColor="text1"/>
          <w:sz w:val="16"/>
          <w:szCs w:val="16"/>
        </w:rPr>
        <w:softHyphen/>
        <w:t>ния, по всей видимости, состоялись в июне 1943 г. Собствен</w:t>
      </w:r>
      <w:r w:rsidRPr="00D03F3E">
        <w:rPr>
          <w:rFonts w:ascii="Times New Roman" w:hAnsi="Times New Roman"/>
          <w:color w:val="000000" w:themeColor="text1"/>
          <w:sz w:val="16"/>
          <w:szCs w:val="16"/>
        </w:rPr>
        <w:softHyphen/>
        <w:t>но, никаких неожиданностей эти испытания не принесли. Танк вел себя аналогично серийному Т-70М, лишь сильно выступающий за габариты танка ствол орудия создавал не</w:t>
      </w:r>
      <w:r w:rsidRPr="00D03F3E">
        <w:rPr>
          <w:rFonts w:ascii="Times New Roman" w:hAnsi="Times New Roman"/>
          <w:color w:val="000000" w:themeColor="text1"/>
          <w:sz w:val="16"/>
          <w:szCs w:val="16"/>
        </w:rPr>
        <w:softHyphen/>
        <w:t>которые неудобства во время маневрирования на сильнопе</w:t>
      </w:r>
      <w:r w:rsidRPr="00D03F3E">
        <w:rPr>
          <w:rFonts w:ascii="Times New Roman" w:hAnsi="Times New Roman"/>
          <w:color w:val="000000" w:themeColor="text1"/>
          <w:sz w:val="16"/>
          <w:szCs w:val="16"/>
        </w:rPr>
        <w:softHyphen/>
        <w:t>ресеченной местности...Но огневая мощь танка усилилось. 45-мм танковая пушка ВТ-42 имела ствол длиной 68,6 калибра и клиновой затвор горизонтального типа. При применении боекомп</w:t>
      </w:r>
      <w:r w:rsidRPr="00D03F3E">
        <w:rPr>
          <w:rFonts w:ascii="Times New Roman" w:hAnsi="Times New Roman"/>
          <w:color w:val="000000" w:themeColor="text1"/>
          <w:sz w:val="16"/>
          <w:szCs w:val="16"/>
        </w:rPr>
        <w:softHyphen/>
        <w:t>лекта орудия М-42, начальная скорость бронебойного сна</w:t>
      </w:r>
      <w:r w:rsidRPr="00D03F3E">
        <w:rPr>
          <w:rFonts w:ascii="Times New Roman" w:hAnsi="Times New Roman"/>
          <w:color w:val="000000" w:themeColor="text1"/>
          <w:sz w:val="16"/>
          <w:szCs w:val="16"/>
        </w:rPr>
        <w:softHyphen/>
        <w:t>ряда БР-243СП массой 1,43 кг составляла 960 м/с и позво</w:t>
      </w:r>
      <w:r w:rsidRPr="00D03F3E">
        <w:rPr>
          <w:rFonts w:ascii="Times New Roman" w:hAnsi="Times New Roman"/>
          <w:color w:val="000000" w:themeColor="text1"/>
          <w:sz w:val="16"/>
          <w:szCs w:val="16"/>
        </w:rPr>
        <w:softHyphen/>
        <w:t>ляла бороться практически со всеми немецкими средними танками в борт на всех дистанциях эффективной стрельбы. Пушка ВТ-42 была рекомендована для принятия на во</w:t>
      </w:r>
      <w:r w:rsidRPr="00D03F3E">
        <w:rPr>
          <w:rFonts w:ascii="Times New Roman" w:hAnsi="Times New Roman"/>
          <w:color w:val="000000" w:themeColor="text1"/>
          <w:sz w:val="16"/>
          <w:szCs w:val="16"/>
        </w:rPr>
        <w:softHyphen/>
        <w:t>оружение, но поскольку уже было принято решение о сня</w:t>
      </w:r>
      <w:r w:rsidRPr="00D03F3E">
        <w:rPr>
          <w:rFonts w:ascii="Times New Roman" w:hAnsi="Times New Roman"/>
          <w:color w:val="000000" w:themeColor="text1"/>
          <w:sz w:val="16"/>
          <w:szCs w:val="16"/>
        </w:rPr>
        <w:softHyphen/>
        <w:t>тии с производства танка Т-70, орудие возвратилось на за</w:t>
      </w:r>
      <w:r w:rsidRPr="00D03F3E">
        <w:rPr>
          <w:rFonts w:ascii="Times New Roman" w:hAnsi="Times New Roman"/>
          <w:color w:val="000000" w:themeColor="text1"/>
          <w:sz w:val="16"/>
          <w:szCs w:val="16"/>
        </w:rPr>
        <w:softHyphen/>
        <w:t>вод для переработки с целью установки ее в танке Т-80, производство которого осваивалось на заводе № 40 (11135).</w:t>
      </w:r>
    </w:p>
    <w:p w14:paraId="77D24BB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9AFF72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Опытный образец СУ-74 (СУ-74А), изготовлен и отправлен на за</w:t>
      </w:r>
      <w:r w:rsidRPr="00D03F3E">
        <w:rPr>
          <w:rFonts w:ascii="Times New Roman" w:hAnsi="Times New Roman"/>
          <w:color w:val="000000" w:themeColor="text1"/>
          <w:sz w:val="16"/>
          <w:szCs w:val="16"/>
        </w:rPr>
        <w:softHyphen/>
        <w:t>водские испытания, которые не выдержал по причине неудовлетвори</w:t>
      </w:r>
      <w:r w:rsidRPr="00D03F3E">
        <w:rPr>
          <w:rFonts w:ascii="Times New Roman" w:hAnsi="Times New Roman"/>
          <w:color w:val="000000" w:themeColor="text1"/>
          <w:sz w:val="16"/>
          <w:szCs w:val="16"/>
        </w:rPr>
        <w:softHyphen/>
        <w:t>тельной работы двигателя, и с дальнейшей разработки был снят (10703).</w:t>
      </w:r>
    </w:p>
    <w:p w14:paraId="4EA8C82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C13D3E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УЗТМ получил от ЦАКБ второй эскизный проект 85-мм артиллерийского орудия С-18 с баллистикой зенитной пушки. Однако орудие С-18 не было приспособлено для установки в САУ, а по</w:t>
      </w:r>
      <w:r w:rsidRPr="00D03F3E">
        <w:rPr>
          <w:rFonts w:ascii="Times New Roman" w:hAnsi="Times New Roman"/>
          <w:color w:val="000000" w:themeColor="text1"/>
          <w:sz w:val="16"/>
          <w:szCs w:val="16"/>
        </w:rPr>
        <w:softHyphen/>
        <w:t>пытка его монтажа влекла за собой целый ряд серьезных конструктивных изменений как боевого отделения, так и всей машины. Несмотря на явные недостатки, связанные с монтажом пушки С-18, ЦАКБ настаива</w:t>
      </w:r>
      <w:r w:rsidRPr="00D03F3E">
        <w:rPr>
          <w:rFonts w:ascii="Times New Roman" w:hAnsi="Times New Roman"/>
          <w:color w:val="000000" w:themeColor="text1"/>
          <w:sz w:val="16"/>
          <w:szCs w:val="16"/>
        </w:rPr>
        <w:softHyphen/>
        <w:t>ло на изготовлении опытного образца самоходной установки с данным орудием (10703).</w:t>
      </w:r>
    </w:p>
    <w:p w14:paraId="5FB59DF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57AAE8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в целях устранения недостатков, присущих самоходной установ СУ-76, завод № 38 изготовил модернизированный обр установки СУ-76М (заводской индекс СУ-15), в котором была осущестелена новая компоновка моторно-трансмиссионного отделения, заимствованная у танка Т-70. Двигатели были установлены последовательно друг за другом, а коленчатые валы соединены между собой. Была установлена только одна коробка передач, заимствованная у автомобиля ЗИС-5. Для улучшения условий наблюдения и работы экипажа, установка была изготовлена без броневой крыши над боевым отделением. Испытания установки СУ-76М, проведенные 17 мая 1943 г., показали вполне надежную работу трансмиссии. Машина поступила в серийное производство сразу на трех заводах (№ 38, 40 и ГАЗ), которое продолжалось до ноября 1945 г. В 1944 г., когда производство нкового вооружения в СССР достигло своего максимума, вы-: самоходных установок СУ-76М количественно составлял существенную долю объема всего производства бронетанкового вооружения и техники. Во исполнении решения ГКО по установке на легкую самоходную установку одного (вместо двух) двигателя на Горьковском автозаводе были разработаны и в 1943 г. изготовлены опытные образцы установок СУ-74А и СУ-74Д. Самоходная установка СУ-74А была разработана на едином ированном шасси (имевшем наименование СУ-74) с передним ением моторно-трансмиссионного отделения с карбюраторным двигателем ЗИС-16Ф и отделения управления. В кормовой части корпуса машины в броневой рубке была установлена 76,2-мм пушка Ф-34. Кроме того, на основе использования унифицированного шасси СУ-74 в КБ автозавода были раз</w:t>
      </w:r>
      <w:r w:rsidRPr="00D03F3E">
        <w:rPr>
          <w:rFonts w:ascii="Times New Roman" w:hAnsi="Times New Roman"/>
          <w:color w:val="000000" w:themeColor="text1"/>
          <w:sz w:val="16"/>
          <w:szCs w:val="16"/>
        </w:rPr>
        <w:softHyphen/>
        <w:t>работаны самоходная установка СУ-57Б (СУ-74Б) с 57-мм пушкой ЗИС-4, самоходная зенитная установка и артиллерийский тягач. Однако инзкая удельная мощность и отсутствие преимуществ, по сравнению с са</w:t>
      </w:r>
      <w:r w:rsidRPr="00D03F3E">
        <w:rPr>
          <w:rFonts w:ascii="Times New Roman" w:hAnsi="Times New Roman"/>
          <w:color w:val="000000" w:themeColor="text1"/>
          <w:sz w:val="16"/>
          <w:szCs w:val="16"/>
        </w:rPr>
        <w:softHyphen/>
        <w:t>моходной установкой СУ-76, определили нецелесообразность продолже</w:t>
      </w:r>
      <w:r w:rsidRPr="00D03F3E">
        <w:rPr>
          <w:rFonts w:ascii="Times New Roman" w:hAnsi="Times New Roman"/>
          <w:color w:val="000000" w:themeColor="text1"/>
          <w:sz w:val="16"/>
          <w:szCs w:val="16"/>
        </w:rPr>
        <w:softHyphen/>
        <w:t>ния дальнейших работ над данной машиной (10703).</w:t>
      </w:r>
    </w:p>
    <w:p w14:paraId="5E87478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06D05DB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года началось производство СУ-76М (СУ-12М; М - модернизированная). Именно эти машины участвовали в боях на Курской Дуге (3862).</w:t>
      </w:r>
    </w:p>
    <w:p w14:paraId="02A6F9A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Одновременно с производством СУ-76М ГАЗ начал доработку СУ-15, т.к. все основные агрегаты производились там же. Модернизированная САУ (заводской индекс СУ-15М) отличалась от предшественницы отсутствием части задней стенки и крыши боевого отделения, последовательной установкой двигателей ГАЗ-202 с общей системой охлаждения и трансмиссией (3862).</w:t>
      </w:r>
    </w:p>
    <w:p w14:paraId="5AC3ADBE" w14:textId="77777777" w:rsidR="00531570" w:rsidRPr="00D03F3E" w:rsidRDefault="00531570" w:rsidP="00D03F3E">
      <w:pPr>
        <w:pStyle w:val="Iauiue"/>
        <w:jc w:val="both"/>
        <w:rPr>
          <w:color w:val="000000" w:themeColor="text1"/>
          <w:sz w:val="16"/>
          <w:szCs w:val="16"/>
        </w:rPr>
      </w:pPr>
    </w:p>
    <w:p w14:paraId="1FED2F7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И.В. Сталин поинтересо</w:t>
      </w:r>
      <w:r w:rsidRPr="00D03F3E">
        <w:rPr>
          <w:rFonts w:ascii="Times New Roman" w:hAnsi="Times New Roman"/>
          <w:color w:val="000000" w:themeColor="text1"/>
          <w:sz w:val="16"/>
          <w:szCs w:val="16"/>
        </w:rPr>
        <w:softHyphen/>
        <w:t>вался у наркома танковой промышленности, что уже сделано по устранению дефектов СУ-76 и как восполнена их недоста</w:t>
      </w:r>
      <w:r w:rsidRPr="00D03F3E">
        <w:rPr>
          <w:rFonts w:ascii="Times New Roman" w:hAnsi="Times New Roman"/>
          <w:color w:val="000000" w:themeColor="text1"/>
          <w:sz w:val="16"/>
          <w:szCs w:val="16"/>
        </w:rPr>
        <w:softHyphen/>
        <w:t>ча. А узнав, что деятельность наркомата ограничилась нака</w:t>
      </w:r>
      <w:r w:rsidRPr="00D03F3E">
        <w:rPr>
          <w:rFonts w:ascii="Times New Roman" w:hAnsi="Times New Roman"/>
          <w:color w:val="000000" w:themeColor="text1"/>
          <w:sz w:val="16"/>
          <w:szCs w:val="16"/>
        </w:rPr>
        <w:softHyphen/>
        <w:t>заниями, обрушил на головы наркома и его замов свой гнев, изложенный в двух письмах и телеграмме, где «... подобное на</w:t>
      </w:r>
      <w:r w:rsidRPr="00D03F3E">
        <w:rPr>
          <w:rFonts w:ascii="Times New Roman" w:hAnsi="Times New Roman"/>
          <w:color w:val="000000" w:themeColor="text1"/>
          <w:sz w:val="16"/>
          <w:szCs w:val="16"/>
        </w:rPr>
        <w:softHyphen/>
        <w:t>казание талантливого конструктора и танкостроителя СССР, товарища Гинзбурга ...» называлось «...гнусным пре</w:t>
      </w:r>
      <w:r w:rsidRPr="00D03F3E">
        <w:rPr>
          <w:rFonts w:ascii="Times New Roman" w:hAnsi="Times New Roman"/>
          <w:color w:val="000000" w:themeColor="text1"/>
          <w:sz w:val="16"/>
          <w:szCs w:val="16"/>
        </w:rPr>
        <w:softHyphen/>
        <w:t>ступлением!», а «...фактическое бездействие руководства нар</w:t>
      </w:r>
      <w:r w:rsidRPr="00D03F3E">
        <w:rPr>
          <w:rFonts w:ascii="Times New Roman" w:hAnsi="Times New Roman"/>
          <w:color w:val="000000" w:themeColor="text1"/>
          <w:sz w:val="16"/>
          <w:szCs w:val="16"/>
        </w:rPr>
        <w:softHyphen/>
        <w:t>комата...», по его мнению, «...оставило Красную Армию сов</w:t>
      </w:r>
      <w:r w:rsidRPr="00D03F3E">
        <w:rPr>
          <w:rFonts w:ascii="Times New Roman" w:hAnsi="Times New Roman"/>
          <w:color w:val="000000" w:themeColor="text1"/>
          <w:sz w:val="16"/>
          <w:szCs w:val="16"/>
        </w:rPr>
        <w:softHyphen/>
        <w:t>сем без самоходной артиллерии». С.А.Гинзбург был отозван с фронта приказом Ставки, но было поздно, так как отозва</w:t>
      </w:r>
      <w:r w:rsidRPr="00D03F3E">
        <w:rPr>
          <w:rFonts w:ascii="Times New Roman" w:hAnsi="Times New Roman"/>
          <w:color w:val="000000" w:themeColor="text1"/>
          <w:sz w:val="16"/>
          <w:szCs w:val="16"/>
        </w:rPr>
        <w:softHyphen/>
        <w:t>ние, по воспоминаниям Л.И. Горлицкого, пришло лишь че</w:t>
      </w:r>
      <w:r w:rsidRPr="00D03F3E">
        <w:rPr>
          <w:rFonts w:ascii="Times New Roman" w:hAnsi="Times New Roman"/>
          <w:color w:val="000000" w:themeColor="text1"/>
          <w:sz w:val="16"/>
          <w:szCs w:val="16"/>
        </w:rPr>
        <w:softHyphen/>
        <w:t>рез день после его трагической гибели (11417).</w:t>
      </w:r>
    </w:p>
    <w:p w14:paraId="69429FC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BF7797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С мая 1943 г. СУ-76 (С-1) начали поступать в войска. Первые самоходки имели довольно "спартанский" вид. Их боевая рубка была сварена из бронеплит толщиной </w:t>
      </w:r>
      <w:r w:rsidRPr="00D03F3E">
        <w:rPr>
          <w:color w:val="000000" w:themeColor="text1"/>
          <w:sz w:val="16"/>
          <w:szCs w:val="16"/>
        </w:rPr>
        <w:lastRenderedPageBreak/>
        <w:t>35 мм в лобовой части и 25 мм или 15 мм в бортах и корме. Крыша рубки первоначально выкраивалась из цельного листа и крепилась болтами. Это облегчало доступ в боевое отделение САУ для проведения ремонта, но после боев лета 1943 г. на многих САУ крыша была демонтирована для улучшения обитаемости. Поскольку в начале 1943 г. радиостанции были в дефиците, их устанавливали только на каждую третью машину, тем более что большинство САУ поступали в учебные подразделения. Но уже с середины мая радиостанциями типа 9-Р снабжали практически каждую СУ-76И (С-1) (9695).</w:t>
      </w:r>
    </w:p>
    <w:p w14:paraId="1FFAC516" w14:textId="77777777" w:rsidR="00531570" w:rsidRPr="00D03F3E" w:rsidRDefault="00531570" w:rsidP="00D03F3E">
      <w:pPr>
        <w:pStyle w:val="Iauiue"/>
        <w:jc w:val="both"/>
        <w:rPr>
          <w:color w:val="000000" w:themeColor="text1"/>
          <w:sz w:val="16"/>
          <w:szCs w:val="16"/>
        </w:rPr>
      </w:pPr>
    </w:p>
    <w:p w14:paraId="72679915"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мая 1943 г. СУ-76 (С-1) начали поступать в войска. Первые самоходки имели довольно экзотический вид. Их боевая рубка была сварена из бронеплит толщиной 35 мм в лобовой части и 25 мм или 15 мм в бортах и корме. Крыша рубки первоначально выкраивалась из цельного листа и крепилась болтами. Это облегчало доступ в боевое отделение САУ для проведения ремонта, но после боев лета 1943 г. на многих САУ крыша была демонтирована для улучшения обитаемости (12687).</w:t>
      </w:r>
    </w:p>
    <w:p w14:paraId="0B68AE66" w14:textId="77777777" w:rsidR="00FD6DE2" w:rsidRPr="00D03F3E" w:rsidRDefault="00FD6DE2" w:rsidP="00D03F3E">
      <w:pPr>
        <w:spacing w:after="0" w:line="240" w:lineRule="auto"/>
        <w:jc w:val="both"/>
        <w:rPr>
          <w:rFonts w:ascii="Times New Roman" w:hAnsi="Times New Roman"/>
          <w:color w:val="000000" w:themeColor="text1"/>
          <w:sz w:val="16"/>
          <w:szCs w:val="16"/>
        </w:rPr>
      </w:pPr>
    </w:p>
    <w:p w14:paraId="49F72498" w14:textId="77777777" w:rsidR="00D50DCD" w:rsidRPr="00D03F3E" w:rsidRDefault="00D50DCD" w:rsidP="00D03F3E">
      <w:pPr>
        <w:pStyle w:val="book"/>
        <w:ind w:firstLine="0"/>
        <w:jc w:val="both"/>
        <w:rPr>
          <w:color w:val="000000" w:themeColor="text1"/>
          <w:sz w:val="16"/>
          <w:szCs w:val="16"/>
        </w:rPr>
      </w:pPr>
      <w:r w:rsidRPr="00D03F3E">
        <w:rPr>
          <w:color w:val="000000" w:themeColor="text1"/>
          <w:sz w:val="16"/>
          <w:szCs w:val="16"/>
        </w:rPr>
        <w:t>С мая 1943 г. СУ-76 (С-1) начали поступать в войска. Первые самоходки имели довольно экзотический вид. Их боевая рубка была сварена из бронеплит толщиной 35 мм в лобовой части и 25 мм или 15 мм в бортах и корме. Крыша рубки первоначально выкраивалась из цельного листа и крепилась болтами. Это облегчало доступ в боевое отделение САУ для проведения ремонта, но после боев лета 1943 г. на многих САУ крыша была демонтирована для улучшения обитаемости.</w:t>
      </w:r>
    </w:p>
    <w:p w14:paraId="2943B522" w14:textId="77777777" w:rsidR="00D50DCD" w:rsidRPr="00D03F3E" w:rsidRDefault="00D50DCD" w:rsidP="00D03F3E">
      <w:pPr>
        <w:pStyle w:val="book"/>
        <w:ind w:firstLine="0"/>
        <w:jc w:val="both"/>
        <w:rPr>
          <w:color w:val="000000" w:themeColor="text1"/>
          <w:sz w:val="16"/>
          <w:szCs w:val="16"/>
        </w:rPr>
      </w:pPr>
      <w:r w:rsidRPr="00D03F3E">
        <w:rPr>
          <w:color w:val="000000" w:themeColor="text1"/>
          <w:sz w:val="16"/>
          <w:szCs w:val="16"/>
        </w:rPr>
        <w:t>Первоначально в качестве командирских машин в самоходно-артиллерийских полках, вооруженных СУ-76И, использовали трофейные Pz. Kpfw III (15225).</w:t>
      </w:r>
    </w:p>
    <w:p w14:paraId="2588B1FE" w14:textId="77777777" w:rsidR="00D50DCD" w:rsidRPr="00D03F3E" w:rsidRDefault="00D50DCD" w:rsidP="00D03F3E">
      <w:pPr>
        <w:pStyle w:val="book"/>
        <w:ind w:firstLine="0"/>
        <w:jc w:val="both"/>
        <w:rPr>
          <w:color w:val="000000" w:themeColor="text1"/>
          <w:sz w:val="16"/>
          <w:szCs w:val="16"/>
        </w:rPr>
      </w:pPr>
    </w:p>
    <w:p w14:paraId="0821328C" w14:textId="77777777" w:rsidR="00D50DCD" w:rsidRPr="00D03F3E" w:rsidRDefault="00D50DCD"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мае </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1943 г</w:t>
        </w:r>
      </w:smartTag>
      <w:r w:rsidRPr="00D03F3E">
        <w:rPr>
          <w:rFonts w:ascii="Times New Roman" w:hAnsi="Times New Roman"/>
          <w:color w:val="000000" w:themeColor="text1"/>
          <w:sz w:val="16"/>
          <w:szCs w:val="16"/>
        </w:rPr>
        <w:t>. СУ-12М пошли в серию и начали поступать в войска под индексом СУ-76М (15218).</w:t>
      </w:r>
    </w:p>
    <w:p w14:paraId="7C9CCD18" w14:textId="77777777" w:rsidR="00D50DCD" w:rsidRPr="00D03F3E" w:rsidRDefault="00D50DCD" w:rsidP="00D03F3E">
      <w:pPr>
        <w:widowControl w:val="0"/>
        <w:spacing w:after="0" w:line="240" w:lineRule="auto"/>
        <w:jc w:val="both"/>
        <w:rPr>
          <w:rFonts w:ascii="Times New Roman" w:hAnsi="Times New Roman"/>
          <w:color w:val="000000" w:themeColor="text1"/>
          <w:sz w:val="16"/>
          <w:szCs w:val="16"/>
        </w:rPr>
      </w:pPr>
    </w:p>
    <w:p w14:paraId="2675005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года сформировали первый полк самоходных установок Су-152. Поступление новых САУ в войска было встречено с большой радостью, так как они являлись одними из не многих, кто мог бороться с немецким "зверинцем". Под Курском СУ-152 получили прозвище "Зверобой", так как за три недели боев полк, на вооружении которого состояли эти грозные боевые машины, уничтожил 12 "Тигров" и 7 "Фердинандов". Попадание бронебойного снаряда в башню "Тигра", срывало ее с корпуса танка. Сам полк самоходных установок (самоходно-артиллерийский полк РВГК), состоял сначала из 12, а затем - зимой 1943-44 гг. - из 21 СУ-152. (3862).</w:t>
      </w:r>
    </w:p>
    <w:p w14:paraId="7199DACC" w14:textId="77777777" w:rsidR="00531570" w:rsidRPr="00D03F3E" w:rsidRDefault="00531570" w:rsidP="00D03F3E">
      <w:pPr>
        <w:pStyle w:val="Iauiue"/>
        <w:jc w:val="both"/>
        <w:rPr>
          <w:color w:val="000000" w:themeColor="text1"/>
          <w:sz w:val="16"/>
          <w:szCs w:val="16"/>
        </w:rPr>
      </w:pPr>
    </w:p>
    <w:p w14:paraId="366BA6D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в верхних боковых листах корпуса БА-64 в отделении управ</w:t>
      </w:r>
      <w:r w:rsidRPr="00D03F3E">
        <w:rPr>
          <w:rFonts w:ascii="Times New Roman" w:hAnsi="Times New Roman"/>
          <w:color w:val="000000" w:themeColor="text1"/>
          <w:sz w:val="16"/>
          <w:szCs w:val="16"/>
        </w:rPr>
        <w:softHyphen/>
        <w:t>ления были введены смотровые лючки для бокового обзора, закрывав</w:t>
      </w:r>
      <w:r w:rsidRPr="00D03F3E">
        <w:rPr>
          <w:rFonts w:ascii="Times New Roman" w:hAnsi="Times New Roman"/>
          <w:color w:val="000000" w:themeColor="text1"/>
          <w:sz w:val="16"/>
          <w:szCs w:val="16"/>
        </w:rPr>
        <w:softHyphen/>
        <w:t>шиеся броневыми крышками, которые также использовались и для стрельбы из личного оружия. Сварная, открытая сверху башня машины имела асимметричную форму усеченной восьмигранной пирамиды и устанавливалась в корпу</w:t>
      </w:r>
      <w:r w:rsidRPr="00D03F3E">
        <w:rPr>
          <w:rFonts w:ascii="Times New Roman" w:hAnsi="Times New Roman"/>
          <w:color w:val="000000" w:themeColor="text1"/>
          <w:sz w:val="16"/>
          <w:szCs w:val="16"/>
        </w:rPr>
        <w:softHyphen/>
        <w:t>се бронеавтомобиля на конусной поворотной колонке. Броневые листы башни толщиной 9 мм (впоследствии 10 мм) располагались под углом 30° от вертикали. На машинах выпуска апрель - май 1942 г. высота баш</w:t>
      </w:r>
      <w:r w:rsidRPr="00D03F3E">
        <w:rPr>
          <w:rFonts w:ascii="Times New Roman" w:hAnsi="Times New Roman"/>
          <w:color w:val="000000" w:themeColor="text1"/>
          <w:sz w:val="16"/>
          <w:szCs w:val="16"/>
        </w:rPr>
        <w:softHyphen/>
        <w:t>ни составляла 275 мм, а боевое отделение башни сверху прикрывалось откидными металлическими сетками на петлях, от непогоды - брезен</w:t>
      </w:r>
      <w:r w:rsidRPr="00D03F3E">
        <w:rPr>
          <w:rFonts w:ascii="Times New Roman" w:hAnsi="Times New Roman"/>
          <w:color w:val="000000" w:themeColor="text1"/>
          <w:sz w:val="16"/>
          <w:szCs w:val="16"/>
        </w:rPr>
        <w:softHyphen/>
        <w:t>товым тентом. Впоследствии высота башни была увеличена до 290 мм, а откидные сетки отменены. Прорезь в лобовом листе башни (амбразу</w:t>
      </w:r>
      <w:r w:rsidRPr="00D03F3E">
        <w:rPr>
          <w:rFonts w:ascii="Times New Roman" w:hAnsi="Times New Roman"/>
          <w:color w:val="000000" w:themeColor="text1"/>
          <w:sz w:val="16"/>
          <w:szCs w:val="16"/>
        </w:rPr>
        <w:softHyphen/>
        <w:t>ра) под установку пулемета была смещена вправо относительно про</w:t>
      </w:r>
      <w:r w:rsidRPr="00D03F3E">
        <w:rPr>
          <w:rFonts w:ascii="Times New Roman" w:hAnsi="Times New Roman"/>
          <w:color w:val="000000" w:themeColor="text1"/>
          <w:sz w:val="16"/>
          <w:szCs w:val="16"/>
        </w:rPr>
        <w:softHyphen/>
        <w:t>дольной оси для удобства расположения командира машины (10703).</w:t>
      </w:r>
    </w:p>
    <w:p w14:paraId="5AED55B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DFDF065" w14:textId="77777777" w:rsidR="00E31168" w:rsidRPr="00D03F3E" w:rsidRDefault="00E311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года на заводе № 38 по инициативе городского партийного комитета ВКП (б) города Кирова была организована временная конструкторская группа «по внеплановому строительству бронепоезда им. Кирова» для войск НКВД. </w:t>
      </w:r>
    </w:p>
    <w:p w14:paraId="71FC4541" w14:textId="77777777" w:rsidR="00E31168" w:rsidRPr="00D03F3E" w:rsidRDefault="00E311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Параллельно с работами по строительству бронепоезда, эта группа, под руководством конструктора завода № 38, кандидата технических наук А. Чиркова, разработала технический проект «бронемотовагона БВ с серийным двигателем ГАЗ-203». </w:t>
      </w:r>
    </w:p>
    <w:p w14:paraId="75F9C466" w14:textId="77777777" w:rsidR="00E31168" w:rsidRPr="00D03F3E" w:rsidRDefault="00E311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конструкции новой машины использовалось многие решения, заложенные в проекте МК-1. В качестве базы для БВ предлагалось использовать 60-тонную 4-осную железнодорожную платформу, на которой монтировался корпус из 45 мм бронелистов. Вооружение состояло из двух 7б-мм пушек Ф-34 спаренных с пулеметами ДТ в башнях танка Т-34, шести бортовых ДТ и одного ДШК на зенитном станке. В качестве силовой установки использовался двигатель ГАЗ-203 мощностью 140 л.с, трансмиссия состояла из коробки перемены передач танка Т-70 с дополнительным реверсом, карданным валом и редуктором. Ведущей являлась только одна ось задней тележки. Максимальная скорость БВ при расчетной боевой массе 72 тонны планировалась в 60 км/ч, запас хода по горючему до 1000 км.</w:t>
      </w:r>
    </w:p>
    <w:p w14:paraId="09F06B94" w14:textId="77777777" w:rsidR="00E31168" w:rsidRPr="00D03F3E" w:rsidRDefault="00E311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наблюдения за полем боя имелась специальная командирская рубка, внутренняя связь осуществлялась через бронепоездное переговорное устройство БПУФ-8 со световой и звуковой сигнализацией, для внешней предусматривалась установка радиостанции 10-Р.</w:t>
      </w:r>
    </w:p>
    <w:p w14:paraId="675BBD3E" w14:textId="77777777" w:rsidR="00E31168" w:rsidRPr="00D03F3E" w:rsidRDefault="00E311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 БВ был направлен на рассмотрение в ГБТУ, и 18 июня 1943 года по нему было дано краткое заключение, подписанное начальником 1 отдела управления бронепоездов и бронемашин ГБТУ Красной Армии инженер-майором Смирновым (18626).</w:t>
      </w:r>
    </w:p>
    <w:p w14:paraId="4577E15E" w14:textId="77777777" w:rsidR="00E31168" w:rsidRPr="00D03F3E" w:rsidRDefault="00E31168" w:rsidP="00D03F3E">
      <w:pPr>
        <w:spacing w:after="0" w:line="240" w:lineRule="auto"/>
        <w:jc w:val="both"/>
        <w:rPr>
          <w:rFonts w:ascii="Times New Roman" w:hAnsi="Times New Roman"/>
          <w:color w:val="000000" w:themeColor="text1"/>
          <w:sz w:val="16"/>
          <w:szCs w:val="16"/>
        </w:rPr>
      </w:pPr>
    </w:p>
    <w:p w14:paraId="230DB7EE" w14:textId="77777777" w:rsidR="00531570" w:rsidRPr="00D03F3E" w:rsidRDefault="00531570" w:rsidP="00D03F3E">
      <w:pPr>
        <w:pStyle w:val="a8"/>
        <w:widowControl/>
        <w:jc w:val="both"/>
        <w:rPr>
          <w:rFonts w:ascii="Times New Roman" w:hAnsi="Times New Roman" w:cs="Times New Roman"/>
          <w:color w:val="000000" w:themeColor="text1"/>
        </w:rPr>
      </w:pPr>
      <w:r w:rsidRPr="00D03F3E">
        <w:rPr>
          <w:rFonts w:ascii="Times New Roman" w:hAnsi="Times New Roman" w:cs="Times New Roman"/>
          <w:color w:val="000000" w:themeColor="text1"/>
        </w:rPr>
        <w:t>В мае 1943 года прикидывалась установка в кузове ГАЗ-67 37-мм пушки (9638).</w:t>
      </w:r>
    </w:p>
    <w:p w14:paraId="6055E4B3" w14:textId="77777777" w:rsidR="00531570" w:rsidRPr="00D03F3E" w:rsidRDefault="00531570" w:rsidP="00D03F3E">
      <w:pPr>
        <w:pStyle w:val="a8"/>
        <w:widowControl/>
        <w:jc w:val="both"/>
        <w:rPr>
          <w:rFonts w:ascii="Times New Roman" w:hAnsi="Times New Roman" w:cs="Times New Roman"/>
          <w:color w:val="000000" w:themeColor="text1"/>
        </w:rPr>
      </w:pPr>
    </w:p>
    <w:p w14:paraId="5A338C8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завод «Коммунист» (Завод № 45 НКТП, НКРП, Завод «Шефер и К</w:t>
      </w:r>
      <w:r w:rsidRPr="00D03F3E">
        <w:rPr>
          <w:rFonts w:ascii="Times New Roman" w:hAnsi="Times New Roman"/>
          <w:color w:val="000000" w:themeColor="text1"/>
          <w:sz w:val="16"/>
          <w:szCs w:val="16"/>
          <w:vertAlign w:val="superscript"/>
        </w:rPr>
        <w:t>0</w:t>
      </w:r>
      <w:r w:rsidRPr="00D03F3E">
        <w:rPr>
          <w:rFonts w:ascii="Times New Roman" w:hAnsi="Times New Roman"/>
          <w:color w:val="000000" w:themeColor="text1"/>
          <w:sz w:val="16"/>
          <w:szCs w:val="16"/>
        </w:rPr>
        <w:t>», Завод «Возрождение», Машиностроительный завод «Коммунист» СНХ, НКТМ, ОАО «Волгодизельаппарат» /г. Екатериненпггадт,  г. Марксштадт/ /413090  г. Маркс Саратовской обл. 4-я линия, 2/) на базе Ремонтно-механического завода ( г. Энгельс) с филиалом передан в ведение НКТП и получил литерный № 45. 13.11.1943 г. филиал завода в  г. Энгельс выделен в самостоятельный завод № 138, ему передано оборудование снарядного производства завода № 45. В 04.1944 г. пост. ГКО завод № 45 был передан в НКРП для оснащения флота дизелями, в 12.1944 г. выпущены первые судовые дизели. Одновременно продолжался выпуск продукции для фронта.</w:t>
      </w:r>
    </w:p>
    <w:p w14:paraId="06A4022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войны продолжено производство дизелей, велись работы по их усовершенствованию.</w:t>
      </w:r>
    </w:p>
    <w:p w14:paraId="5CF3281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1963 г. Саратовский СНХ принял решение о создании на заводе «Коммунист» специализированного производства дизельной топливной аппаратуры для мощных стационарных и судовых дизелей.</w:t>
      </w:r>
    </w:p>
    <w:p w14:paraId="77570F9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1964 г. завод принимал участие (вместе с ЦНИДИ) в проектировании новой аппаратуры для дизелей 6 ЧН 18/22 и 6 ЧН 19/30. Были разработаны блочные многосекционные унифицированные топливные насосы золотникового типа с собственным кулачковым валом. Позднее на их базе созданы топливные насосы для тепловозных, буровых и автомобильных дизелей типа 6 ЧН 2.1/21.</w:t>
      </w:r>
    </w:p>
    <w:p w14:paraId="61FD138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1975 г. завод «Коммунист» определен головным в отрасли по производству дизельной аппаратуры.</w:t>
      </w:r>
    </w:p>
    <w:p w14:paraId="44E2100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1993 г. завод преобразован в ОАО «Волгодизельаппарат».</w:t>
      </w:r>
    </w:p>
    <w:p w14:paraId="2F8CF5E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1999 г. налажен выпуск навесных сельскохозяйственных агрегатов и культиваторов.</w:t>
      </w:r>
    </w:p>
    <w:p w14:paraId="4DC20B8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(1895 г.)- 99 чел., (1896 г.)- 125 чел., (1898 г.)- 156 чел.</w:t>
      </w:r>
    </w:p>
    <w:p w14:paraId="284078B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Гендиректор (-2003-05 г.-)- В.В. Покровский.</w:t>
      </w:r>
    </w:p>
    <w:p w14:paraId="4C63829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тракторы: «Универсал» (1922)- 1, «Посредник» (1922)- 1, «Богатырь» (1922)- 1, «Карлик» (1922-28-)- 30; нефтяные двигатели (дизели): 12НР (1925-32-)- около 3300, «Пионер» (1933-40-), стационарные, для катеров 12 л.с. (1920-е), судовые (1930-е-40-), для зарядки аккумуляторов ПЛ (ВОВ)- 660, Д 16/20 (1946), 1Д, 2Д, 2ДСП Д 16,5/20 (1950-е-60-е); 120-мм минометы, снаряды, авиабомбы (ВОВ), детали для Т-34, для дизеля В- 2 (ВОВ); топливные насосы для дизелей 6 ЧН 18/22, 6 ЧН 19/30, 6 ЧН 21/21 (1960-е), распылители и форсунки к дизелям Ч 36/45 (1967-) (11982).</w:t>
      </w:r>
    </w:p>
    <w:p w14:paraId="20965FC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3E45B1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прошли полигонные испытания на НИЗАП ГАУ (инженер-испытатель В. А. Калачев) системы «Яхонт» - «Радиолокатор-прожектор», которые показали, что система обнаруживал самолет на дальности до 20 км и в зависимости от состояния погоды освещал его лучом прожектора на предельно наблюдаемом расстоянии. После соответствующей тренировки обслуживающего персонала освещение самолета радиопрожектором происходило без светового поиска «с выстрела», т. е. сразу же после команды «Луч», следовавшей за докладами радиооператоров: «Есть пеленг», «Есть азимут», «Есть угол места». Это гарантировало почти 100%-ную надежность освещения самолетов и создавало для ЗА и ИА благоприятные условия в борьбе с воздушным противником. На этом основании инженеры полигона рекомендовали принять радиопрожектор «Яхонт» на вооружение и поставить его на серийное производство (11026).</w:t>
      </w:r>
    </w:p>
    <w:p w14:paraId="2A872B0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E8A11FF" w14:textId="77777777" w:rsidR="00E31168" w:rsidRPr="00D03F3E" w:rsidRDefault="00E311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года приборы ночного вождения испытывались на двух танках Т-34 на Западном фронте. В ходе боевых действий один из них, по воспоминаниям Н. И. Бирюкова, был захвачен немцами. Вызванные, по этому поводу к Сталину Н. И. Бирюков и Б. М. Коробков подверглись унизительному шельмованию: «Вам обоим по «Железному кресту» от Гитлера», — кричал Нарком.</w:t>
      </w:r>
    </w:p>
    <w:p w14:paraId="31E11970" w14:textId="77777777" w:rsidR="00E31168" w:rsidRPr="00D03F3E" w:rsidRDefault="00E311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Ночные указания тов. Сталина от 17 мая 1943 г. как раз и были следствием этого эпизода.</w:t>
      </w:r>
    </w:p>
    <w:p w14:paraId="2399A133" w14:textId="77777777" w:rsidR="00E31168" w:rsidRPr="00D03F3E" w:rsidRDefault="00E311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мая 1943 г. (18.05.43 г. 0 ч. 10 мин.)</w:t>
      </w:r>
    </w:p>
    <w:p w14:paraId="57C9EE41" w14:textId="77777777" w:rsidR="00E31168" w:rsidRPr="00D03F3E" w:rsidRDefault="00E311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Указания тов. Сталина</w:t>
      </w:r>
    </w:p>
    <w:p w14:paraId="78C60D73" w14:textId="77777777" w:rsidR="00E31168" w:rsidRPr="00D03F3E" w:rsidRDefault="00E311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Проверить результаты расследования по приборам ночного вождения. Их нельзя было посылать без разрешения тов. Сталина.</w:t>
      </w:r>
    </w:p>
    <w:p w14:paraId="60FEECD0" w14:textId="77777777" w:rsidR="00E31168" w:rsidRPr="00D03F3E" w:rsidRDefault="00E311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 же самое нельзя было делать и с минными тралами. Нужно было получить разрешение тов. Сталина. Расследовать, кто послал минные тралы фронтам, где они находятся. Минные тралы и приборы ночного вождения являются секретными, и без разрешения тов. Сталина никому не посылать. Учесть все тралы на фронтах и запретить их применение без разрешения тов. Сталина. Проверить по всем фронтам наличие тралов, где они и сколько их находится. Все учесть и запретить применение без разрешения тов. Сталина. Результаты по обоим вопросам доложить тов. Сталину. Всякое нововведение в танках и танковом вооружении, могущее быть использованным противником, можно посылать в действующую армию по разрешению тов. Сталину.</w:t>
      </w:r>
    </w:p>
    <w:p w14:paraId="2ECFC11A" w14:textId="77777777" w:rsidR="00E31168" w:rsidRPr="00D03F3E" w:rsidRDefault="00E3116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8. Проверить, где находится полк с экранированными танками и доложить тов. Сталину на предмет получения разрешения на его применение (18157).</w:t>
      </w:r>
    </w:p>
    <w:p w14:paraId="732FDE9B" w14:textId="77777777" w:rsidR="00E31168" w:rsidRPr="00D03F3E" w:rsidRDefault="00E31168" w:rsidP="00D03F3E">
      <w:pPr>
        <w:spacing w:after="0" w:line="240" w:lineRule="auto"/>
        <w:jc w:val="both"/>
        <w:rPr>
          <w:rFonts w:ascii="Times New Roman" w:hAnsi="Times New Roman"/>
          <w:color w:val="000000" w:themeColor="text1"/>
          <w:sz w:val="16"/>
          <w:szCs w:val="16"/>
        </w:rPr>
      </w:pPr>
    </w:p>
    <w:p w14:paraId="0E7BCA30"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Май, 1943 год. Из «Проектных соображений» И. С. Белякова - председателя комиссии Наркома минометных вооружений СНК СССР</w:t>
      </w:r>
    </w:p>
    <w:p w14:paraId="3E0839E0"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 город Сердобск расположен в 110 километрах от Пензы, к югу от нее. Связан с ней железнодорожной линией Пенза-Ртищево. Город расположен на склоне холма, у подножия которого протекает река Сердоба. Климатические условия соответсвуют средней полосе России. Лето и зима — достаточно сухие, количество осадков — умеренное, окрестности города — поле, лес, заливной луг. </w:t>
      </w:r>
    </w:p>
    <w:p w14:paraId="5CA1272E"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Промышленности в городе, кроме небольшого кирпичного обозостроительного завода да кирпичного заводика, как таковой, нет. Нет и большого выделения промышленных газов, вызывающих корррозию металлов. Зато есть недалеко от города строительный материал: камень в окрестностях сел Куракино и Зеленовка, песок в реке Сердобе, а также гравий и лес. </w:t>
      </w:r>
    </w:p>
    <w:p w14:paraId="2D6903A0"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местным руководством согласована площадка в районе Нагорной площади. Она находится на высокой части города, удалена от реки, менее подвержена утренним и вечерним туманам, нежели нижняя часть города, что имеет немаловажное значение для часового производства. </w:t>
      </w:r>
    </w:p>
    <w:p w14:paraId="30BCEAE4"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площадке расположены два больших двухэтажных здания: райвоенкомат и местное НКВД. Есть ещё несколько одноэтажных каменных и деревянных построек, принадлежащих этим организациям. Прилегающая к площади юго-восточная часть городского сада вместе с оградой церкви Казанской Божьей Матери может быть использована для строительства завода. Площадка находится в 2.5 километрах от железнодорожной станции... »</w:t>
      </w:r>
    </w:p>
    <w:p w14:paraId="5A8BF788" w14:textId="77777777" w:rsidR="005119DD" w:rsidRPr="00D03F3E" w:rsidRDefault="005119DD"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bCs/>
          <w:color w:val="000000" w:themeColor="text1"/>
          <w:sz w:val="16"/>
          <w:szCs w:val="16"/>
        </w:rPr>
        <w:t xml:space="preserve">ИНСТИТУТ МИНОМЕТНОГО ВООРУЖЕНИЯ № 1 </w:t>
      </w:r>
    </w:p>
    <w:p w14:paraId="46A3F9EB"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(г. Москва)</w:t>
      </w:r>
    </w:p>
    <w:p w14:paraId="1BB77A39"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Разработан проект - соображение по огранизации государственного часового завода № 5 в городе Сердобске </w:t>
      </w:r>
    </w:p>
    <w:p w14:paraId="68D8ABFB"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май 1943 года </w:t>
      </w:r>
    </w:p>
    <w:p w14:paraId="5B4A9CC4"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Проект подписан: </w:t>
      </w:r>
    </w:p>
    <w:p w14:paraId="586CEA36"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Гл. инжинер ИМВ Суров </w:t>
      </w:r>
    </w:p>
    <w:p w14:paraId="6561FFBE" w14:textId="77777777" w:rsidR="005119DD" w:rsidRPr="00D03F3E" w:rsidRDefault="005119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Составитель проекта Адельфин (12226).</w:t>
      </w:r>
    </w:p>
    <w:p w14:paraId="7B9D0BF7" w14:textId="77777777" w:rsidR="005119DD" w:rsidRPr="00D03F3E" w:rsidRDefault="005119DD" w:rsidP="00D03F3E">
      <w:pPr>
        <w:spacing w:after="0" w:line="240" w:lineRule="auto"/>
        <w:jc w:val="both"/>
        <w:rPr>
          <w:rFonts w:ascii="Times New Roman" w:hAnsi="Times New Roman"/>
          <w:color w:val="000000" w:themeColor="text1"/>
          <w:sz w:val="16"/>
          <w:szCs w:val="16"/>
        </w:rPr>
      </w:pPr>
    </w:p>
    <w:p w14:paraId="52E0EAC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года И.К. Кикоин проводил экспертизу состояния работ по созданию установок для разделения изотопов методом центрифугирования. В своей записке И.В. Курчатову он отметил неудовлетворительное состояние работ, в том числе, полное отсутствие экспериментов на какой-либо модели установки. Он отметил также серьезные конструкционные недостатки разрабатываемых аппаратов (10549).</w:t>
      </w:r>
    </w:p>
    <w:p w14:paraId="199CC63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E6CFC9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Лаборатория N 2, созданная в начале года, по постановлению ГКО получила свое здание в Покровском-Стрешнево (384,109).</w:t>
      </w:r>
    </w:p>
    <w:p w14:paraId="26238ADF" w14:textId="77777777" w:rsidR="00531570" w:rsidRPr="00D03F3E" w:rsidRDefault="00531570" w:rsidP="00D03F3E">
      <w:pPr>
        <w:pStyle w:val="Iauiue"/>
        <w:jc w:val="both"/>
        <w:rPr>
          <w:color w:val="000000" w:themeColor="text1"/>
          <w:sz w:val="16"/>
          <w:szCs w:val="16"/>
        </w:rPr>
      </w:pPr>
    </w:p>
    <w:p w14:paraId="3C93483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мае 1943 состоялась закладка головного малого базового тральщика «Т-351» проекта 253-Л («стотонник»). </w:t>
      </w:r>
    </w:p>
    <w:p w14:paraId="7945DFC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Серийно-конвейерная постройка этих тральщиков производилась в труднейших условиях блокадного Ленинграда. Они строились по проекту, полученному о Большой земли (главный конструктор Н. Г. Лощинский), но доработанному в конструкторском бюро Балтийского завода. Обводы корпуса сделали вместо обтекаемых плоскостными, что существенно упростило технологию и сократило сроки постройки, но не повлияло на тактико-технические характеристики тральщиков. </w:t>
      </w:r>
    </w:p>
    <w:p w14:paraId="08A612C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Готовность каждого тральщика перед спуском достигала 80–85%. Доводка главных механизмов, линий валопровода и т. д. осуществлялась на плаву. Ходовые испытания производились на Неве, тральное оборудование испытывалось в Финском зал. в боевых условиях. До окончания войны ленинградцы построили 39 «стотонников». </w:t>
      </w:r>
    </w:p>
    <w:p w14:paraId="662A6AE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Малые базовые тральщики сыграли существенную роль в борьбе с минной опасностью на морских театрах. Опыт их строительства и боевого использования позволил впоследствии создать новые, более эффективные тралящие корабли (11712).</w:t>
      </w:r>
    </w:p>
    <w:p w14:paraId="0454E6C2" w14:textId="77777777" w:rsidR="00531570" w:rsidRPr="00D03F3E" w:rsidRDefault="00531570" w:rsidP="00D03F3E">
      <w:pPr>
        <w:pStyle w:val="Iauiue"/>
        <w:jc w:val="both"/>
        <w:rPr>
          <w:color w:val="000000" w:themeColor="text1"/>
          <w:sz w:val="16"/>
          <w:szCs w:val="16"/>
        </w:rPr>
      </w:pPr>
    </w:p>
    <w:p w14:paraId="48256017"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5CE4345C" w14:textId="77777777" w:rsidR="00531570" w:rsidRPr="00D03F3E" w:rsidRDefault="00531570" w:rsidP="00D03F3E">
      <w:pPr>
        <w:pStyle w:val="Iauiue"/>
        <w:jc w:val="both"/>
        <w:rPr>
          <w:iCs/>
          <w:color w:val="000000" w:themeColor="text1"/>
          <w:sz w:val="16"/>
          <w:szCs w:val="16"/>
        </w:rPr>
      </w:pPr>
    </w:p>
    <w:p w14:paraId="39B99DB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г. с целью отработки тактики взаимодействия штурмовых авиачастей с наземными частями и соединениями при прорыве обороны противника и при уничтожении прорвавшихся групп противника были проведены летно-тактические учения с участием наземных войск и авиации. К учениям привлекались экипажи 226-й шад (по 4-9 Ил-2 от каждого авиаполка) и части 2-го гвардейского мехкорпуса.</w:t>
      </w:r>
    </w:p>
    <w:p w14:paraId="20E5403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Летчиками отрабатывались темы "Авиационная обработка переднего края обороны противника с переносом ударов по целям в глубине обороны с постановкой дымовых завес", "Сопровождение штурмовиками танков при вводе их в прорыв" и "Взаимодействие штурмовиков с наземными войсками в наступательном бою" (8687).</w:t>
      </w:r>
    </w:p>
    <w:p w14:paraId="15DD4EAE" w14:textId="77777777" w:rsidR="00531570" w:rsidRPr="00D03F3E" w:rsidRDefault="00531570" w:rsidP="00D03F3E">
      <w:pPr>
        <w:pStyle w:val="Iauiue"/>
        <w:jc w:val="both"/>
        <w:rPr>
          <w:color w:val="000000" w:themeColor="text1"/>
          <w:sz w:val="16"/>
          <w:szCs w:val="16"/>
        </w:rPr>
      </w:pPr>
    </w:p>
    <w:p w14:paraId="662034B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НКАП организовал в первой запасной авиабригаде НТ конференцию по опыту боевого применения Ил-2 (173,228).</w:t>
      </w:r>
    </w:p>
    <w:p w14:paraId="7C94141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Исходя из боевого опыта Государственным комитетом обороны было принято решение о создании истребительного варианта Ил-2, который был передан на государственные испытания уже в июле (5).</w:t>
      </w:r>
    </w:p>
    <w:p w14:paraId="57D3C9F7" w14:textId="77777777" w:rsidR="00531570" w:rsidRPr="00D03F3E" w:rsidRDefault="00531570" w:rsidP="00D03F3E">
      <w:pPr>
        <w:pStyle w:val="Iauiue"/>
        <w:jc w:val="both"/>
        <w:rPr>
          <w:color w:val="000000" w:themeColor="text1"/>
          <w:sz w:val="16"/>
          <w:szCs w:val="16"/>
        </w:rPr>
      </w:pPr>
    </w:p>
    <w:p w14:paraId="72F7DC4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май 1943 г. с января 1942 обследование 184 бронекорпусов одноместных Ил-2, попавших на разделочные базы, показало, что 71% попаданий, относящиеся к поражению от истребителей, приходятся на долю поперечной бронеплиты и только 29% - на продольную броню. Причем подавляющее число попаданий в бронекорпус соответствует атакам истребителей противника почти строго в хвост (до 20° от продольной оси самолета по горизонту и до 3-5° в вертикальной плоскости).</w:t>
      </w:r>
    </w:p>
    <w:p w14:paraId="29CA579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 боевого применения Ил-2 на фронтах показал, что бронекорпус довольно надежно обеспечивает защиту жизненных органов самолета в особенности от пулевых пробоин и осколков снарядов, которые оставляли в броне лишь вмятины. Однако при прямом попадании малокалиберного снаряда или крупнокалиберной пули броня пробивается с последующим повреждением деталей мотора и поражением экипажа. Кроме того, имелись случаи пробития крупными осколками зенитных снарядов боковой брони кабины летчика.</w:t>
      </w:r>
    </w:p>
    <w:p w14:paraId="528E7CD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Оказалось, что наиболее уязвимые от огня противника бронедетали имеют недостаточную толщину и наоборот, отдельные места бронекорпуса либо вовсе не имеют попаданий, либо попадания в них бывают весьма редко и при таких углах и дистанциях стрельбы, которые позволяют значительно уменьшить толщину брони (12020).</w:t>
      </w:r>
    </w:p>
    <w:p w14:paraId="3F58272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3E32EA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1-й ГМТАП подвергся реорганизации. На аэродроме Приютино осталось лишь боевое ядро части в составе 3-й краснознаменной эскадрильи капитана Г.Д.Васильева (в марте сменил на этой должности майора Дроздова) на Ил-4 и часть 2-й эскадрильи, имевшей на вооружении СБ. 1 -я и вторая половина 2-й эскадрильи находились в Богослово, где осваивали новые «Бостоны». Процесс этот оказался длителен, поскольку значительная часть прибывших на пополнение полка летчиков только закончила училища, а сами самолеты нуждались в переоборудовании под отечественные стандарты. На боевое ядро тем временем легла значительная нагрузка. Бомбардировщики продолжали «тралить» минные поля, а в период непосредственного прорыва подводных лодок (22 - 30 мая) почти так же безуспешно бомбили с больших высот корабельные дозоры противника. В дополнение к этому, 12 мая командующий флотом приказал подновить минные поля у Таллинна и Котки. Организация постановок в целом повторяла мартовскую, за исключением того, что в связи с увеличением светлого времени суток самолетам не удавалось произвести более одного вылета за ночь. В результате 17-19 мая на подходах к Котке были сброшены 16 АМГ-1, а между 20-м и 26-м числами у Таллинна - 16 АМГ и две А-4. В четырех случаях самолеты избавлялись от мин у запасных целей, либо аварийно. Единственный известный успех был достигнут 27 мая, когда у острова Аэгна подорвался и затонул немецкий мобилизованный сторожевой катер ORe35. Впрочем, подрыв столь небольшого плавсредства на мине АМГ, ставившейся на углубление 1,8 м против больших судов, вызывает обоснованные сомнения. К счастью, все эти вылеты не привели к новым потерям. Кроме уже описывавшейся катастрофы 2 мая, полк лишился только одного Ил-4, разбившегося при приземлении 31-го числа (9965).</w:t>
      </w:r>
    </w:p>
    <w:p w14:paraId="2D829A6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66B6A4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мае 1943 1-й гмтап подвергся некоторой реорганизации. На аэродроме Приютино осталось лишь боевое ядро части в составе 3-й краснознаменной эскадрильи капитана Г.Д. Васильева (в марте сменил на этой должности майора Дроздова) на Ил-4 и часть 2-й эскадрильи, имевшей на вооружении СБ. 1-я и вторая половина 2-й эскадрильи находились в Богослово, где осваивали новые "Бостоны". Процесс этот оказался длителен, поскольку значительная часть прибывших на пополнение полка летчиков только закончила училища, а сами самолеты нуждались в переоборудовании под отечественные стандарты. На боевое ядро тем временем легла значительная нагрузка. Бомбардировщики продолжали "тралить" минные поля, а в период непосредственного прорыва подводных лодок (22- 30 мая) бомбили с больших высот корабельные дозоры противника - безуспешно. В дополнение к этому 12 мая командующий флотом приказал подновить минные поля у Таллина и Котки. Организация постановок в целом повторяла мартовскую, за исключением того, что в связи с увеличением светлого времени суток самолетам не удавалось произвести более одного вылета за ночь. В результате 17-19 мая на подходах к Котке были сброшены 16 АМГ-1, а между 20-м и 26-м числами у Таллина - 16 АМГ и 2 А-1-4. В четырех случаях самолеты избавлялись от мин в запасных районах либо аварийно. Единственный известный успех был достигнут 27 мая, когда у острова Аэгна подорвался на мине АМГ и затонул немецкий мобилизованный сторожевой корабль "ORe 35". Любопытно заметить, что сторожевик погиб не в результате </w:t>
      </w:r>
      <w:r w:rsidRPr="00D03F3E">
        <w:rPr>
          <w:rFonts w:ascii="Times New Roman" w:hAnsi="Times New Roman"/>
          <w:color w:val="000000" w:themeColor="text1"/>
          <w:sz w:val="16"/>
          <w:szCs w:val="16"/>
        </w:rPr>
        <w:lastRenderedPageBreak/>
        <w:t>случайного подрыва, а при попытке вытралить обнаруженную им мину АМГ. К счастью, все эти вылеты не привели к новым потерям. Кроме уже описывавшейся катастрофы 2 мая, полк лишился только одного Ил-4. разбившегося при приземлении 31-го числа.</w:t>
      </w:r>
    </w:p>
    <w:p w14:paraId="61D899A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Боевая деятельность торпедоносцев в мае осуществлялась по остаточному принципу, да и чего от нее следовало ожидать? Поскольку посылать одиночный самолет в насыщенный истребителями Финский залив в хороших метеоусловиях было равносильно самоубийству, торпедоносцы вылетали только при низкой облачности или в дождь. Практически во всех случаях эти же условия заставляли летчиков поворачивать в базу, не обнаружив противника. Так закончились вылеты 11, 13 и 14 мая. В дальнейшем полк переключился на минные постановки, и на две недели о вылетах на "свободную охоту" забыли. Когда в конце мая к ним решили вернуться, кого-то осенила идея: зачем летать в плохую погоду в "пустой" залив, когда можно искать противника на просторах Балтики? Как это ни парадоксально может звучать, но при действиях в глубоком тылу противника торпедоносцы подвергались куда меньшей опасности, чем вблизи линии фронта. Дело в том, что система ПВО на оккупированной территории СССР, включая прибалтийские республики, немцами не создавалась - на это у них просто не хватало сил. Если не считать зенитного вооружения самих судов, торпедоносцам угрожали только фронтовые истребители при перелете линии фронта или пролете над Финским заливом, а от них можно было легко уклониться, построив маршрут выше слоя облачности (12002).</w:t>
      </w:r>
    </w:p>
    <w:p w14:paraId="4D8B8B8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D74E7E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г. 73-му бап была поставлена задача: разрушить железнодорожный мост через реку Нарва. Уничтожение узкого моста с применением фугасных бомб калибра 100-250 кг считалось очень сложным делом. По расчетам штурманской службы, для выполнения задачи путем бомбометания с горизонтального полета с высоты 3000-4000 м требовалось 1500 боевых вылетов “пешек”. С пикирования мост поручили уничтожить шестерке снайперов. В течение недели экипажи тренировались на специально оборудованном полигоне. Первые три вылета группы из-за плохих метеоусловий и отказов техники не увенчались успехом. Лишь 21 мая шестерка “пешек”, ведомая старшим лейтенантом Голубевым, под прикрытием 3 Як-7 и 4 Ла-5 сумела разрушить мост, добившись четырех прямых попаданий бомбами ФАБ-250. При отходе наши самолеты были атакованы истребителями FW 190, в ходе воздушного боя потери составили 2 Пе-2 и 2 Як-7. Однако основная задача была выполнена - снабжение противника по железнодорожной ветке Таллин - Гатчина прекратилось почти на месяц (4476).</w:t>
      </w:r>
    </w:p>
    <w:p w14:paraId="08F065CE" w14:textId="77777777" w:rsidR="00531570" w:rsidRPr="00D03F3E" w:rsidRDefault="00531570" w:rsidP="00D03F3E">
      <w:pPr>
        <w:pStyle w:val="Iauiue"/>
        <w:jc w:val="both"/>
        <w:rPr>
          <w:color w:val="000000" w:themeColor="text1"/>
          <w:sz w:val="16"/>
          <w:szCs w:val="16"/>
        </w:rPr>
      </w:pPr>
    </w:p>
    <w:p w14:paraId="097E32D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в 746-й ап зачислили Пе-8 №42099, в августе - №42410 и №42610, 19 октября - №421010, 29 ноября - №42099. Все перечисленные самолеты были оснащены двигателями М-82, в отношении которых с начала года стали использовать обозначение М-82Ф (форсированный), а еще позднее двигатели получили наименование АШ-82ФН (Авиационный, Швецова, форсированный с непосредственным впрыском топлива в цилиндры). Взлетная мощность АШ-82ФН возросла до 1850 л.с. Всего до наступления лета 1943 г. в 45-ю дивизию поступило 8 самолетов с двигателями М-82. А в течение летних месяцев казанский завод поставил еще 7 таких самолетов. По состоянию на 1 июля 1943 г. в дивизии числились 18 Пе-8 (из них 7 неисправных) (12925).</w:t>
      </w:r>
    </w:p>
    <w:p w14:paraId="4970C230"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5D676B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мая 1943 г. французам отдельной авиаэскадрильи Нормандия временно запретили перелетать линию фронта. Дело в том, что коллаборационистское правительство Виши заочно пригово</w:t>
      </w:r>
      <w:r w:rsidRPr="00D03F3E">
        <w:rPr>
          <w:color w:val="000000" w:themeColor="text1"/>
          <w:sz w:val="16"/>
          <w:szCs w:val="16"/>
        </w:rPr>
        <w:softHyphen/>
        <w:t>рило летчиков “Нормандии” к смерт</w:t>
      </w:r>
      <w:r w:rsidRPr="00D03F3E">
        <w:rPr>
          <w:color w:val="000000" w:themeColor="text1"/>
          <w:sz w:val="16"/>
          <w:szCs w:val="16"/>
        </w:rPr>
        <w:softHyphen/>
        <w:t>ной казни, и не исключалось, что нем</w:t>
      </w:r>
      <w:r w:rsidRPr="00D03F3E">
        <w:rPr>
          <w:color w:val="000000" w:themeColor="text1"/>
          <w:sz w:val="16"/>
          <w:szCs w:val="16"/>
        </w:rPr>
        <w:softHyphen/>
        <w:t>цы в случае пленения француза могли выдать его “соотечественникам”. К счастью, такая участь не постигла лей</w:t>
      </w:r>
      <w:r w:rsidRPr="00D03F3E">
        <w:rPr>
          <w:color w:val="000000" w:themeColor="text1"/>
          <w:sz w:val="16"/>
          <w:szCs w:val="16"/>
        </w:rPr>
        <w:softHyphen/>
        <w:t>тенанта И. Маэ, подбитого зенитной артиллерией при штурмовке непри</w:t>
      </w:r>
      <w:r w:rsidRPr="00D03F3E">
        <w:rPr>
          <w:color w:val="000000" w:themeColor="text1"/>
          <w:sz w:val="16"/>
          <w:szCs w:val="16"/>
        </w:rPr>
        <w:softHyphen/>
        <w:t>ятельского аэродрома около Спас-Деменска. Он находился в лагере около Кенигсберга вместе с советскими авиаторами, в т. ч. генералом А.А.Белишевым и Героем Советского Союза ка</w:t>
      </w:r>
      <w:r w:rsidRPr="00D03F3E">
        <w:rPr>
          <w:color w:val="000000" w:themeColor="text1"/>
          <w:sz w:val="16"/>
          <w:szCs w:val="16"/>
        </w:rPr>
        <w:softHyphen/>
        <w:t>питаном Г.В.Лепехиным, пережил все тяготы плена и после Победы вернулся на родину (3956).</w:t>
      </w:r>
    </w:p>
    <w:p w14:paraId="0F961F8F" w14:textId="77777777" w:rsidR="00531570" w:rsidRPr="00D03F3E" w:rsidRDefault="00531570" w:rsidP="00D03F3E">
      <w:pPr>
        <w:pStyle w:val="Iauiue"/>
        <w:jc w:val="both"/>
        <w:rPr>
          <w:color w:val="000000" w:themeColor="text1"/>
          <w:sz w:val="16"/>
          <w:szCs w:val="16"/>
        </w:rPr>
      </w:pPr>
    </w:p>
    <w:p w14:paraId="0D455DD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года на С-47 была сформирована 105-я отдельная эскадрилья ночной дальней разведки. Располагая тремя-пятью "Дугласами", эскадрилья с момента создания по май 1944 года совершила 131 вылет в глубокий тыл противника и еще 294 полета по доставке людей и грузов на оперативные аэродромы. Войдя затем в состав 2-й авиадивизии особого назначения, до сентября она выбросила за линией фронта 213 разведчиков и 90 т разного снаряжения (3457,135).</w:t>
      </w:r>
    </w:p>
    <w:p w14:paraId="392D86A7" w14:textId="77777777" w:rsidR="00531570" w:rsidRPr="00D03F3E" w:rsidRDefault="00531570" w:rsidP="00D03F3E">
      <w:pPr>
        <w:pStyle w:val="Iauiue"/>
        <w:jc w:val="both"/>
        <w:rPr>
          <w:color w:val="000000" w:themeColor="text1"/>
          <w:sz w:val="16"/>
          <w:szCs w:val="16"/>
        </w:rPr>
      </w:pPr>
    </w:p>
    <w:p w14:paraId="2293791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г. 12 пикировщиков из 73-го бап ВВС Балтийского флота разрушили Нарвский мост, резко затруднив снабжение немецких войск под Ленинградом. Мост восстанавливали месяц, поскольку новую ферму пришлось везти из Германии (3542).</w:t>
      </w:r>
    </w:p>
    <w:p w14:paraId="0E98C7E4" w14:textId="77777777" w:rsidR="00531570" w:rsidRPr="00D03F3E" w:rsidRDefault="00531570" w:rsidP="00D03F3E">
      <w:pPr>
        <w:pStyle w:val="Iauiue"/>
        <w:jc w:val="both"/>
        <w:rPr>
          <w:color w:val="000000" w:themeColor="text1"/>
          <w:sz w:val="16"/>
          <w:szCs w:val="16"/>
        </w:rPr>
      </w:pPr>
    </w:p>
    <w:p w14:paraId="16391E38"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планеры пыта</w:t>
      </w:r>
      <w:r w:rsidRPr="00D03F3E">
        <w:rPr>
          <w:rFonts w:ascii="Times New Roman" w:hAnsi="Times New Roman"/>
          <w:color w:val="000000" w:themeColor="text1"/>
          <w:sz w:val="16"/>
          <w:szCs w:val="16"/>
        </w:rPr>
        <w:softHyphen/>
        <w:t>лись использовать для доставки грузов в осажденный Ленинград. В один из мартовских дней аэро</w:t>
      </w:r>
      <w:r w:rsidRPr="00D03F3E">
        <w:rPr>
          <w:rFonts w:ascii="Times New Roman" w:hAnsi="Times New Roman"/>
          <w:color w:val="000000" w:themeColor="text1"/>
          <w:sz w:val="16"/>
          <w:szCs w:val="16"/>
        </w:rPr>
        <w:softHyphen/>
        <w:t>сцепка в составе буксировщика СБ и планера КЦ-20 взлетела с одного из аэродромов. В ка</w:t>
      </w:r>
      <w:r w:rsidRPr="00D03F3E">
        <w:rPr>
          <w:rFonts w:ascii="Times New Roman" w:hAnsi="Times New Roman"/>
          <w:color w:val="000000" w:themeColor="text1"/>
          <w:sz w:val="16"/>
          <w:szCs w:val="16"/>
        </w:rPr>
        <w:softHyphen/>
        <w:t>бине планера находились двое: старший лейтенант В. Чубуков и старший сержант М. Ильин. Они должны были приземлиться на аэродроме подскока, взять там груз и отвезти его в Ленинград.</w:t>
      </w:r>
    </w:p>
    <w:p w14:paraId="2848FA26"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аэродрому подскока по</w:t>
      </w:r>
      <w:r w:rsidRPr="00D03F3E">
        <w:rPr>
          <w:rFonts w:ascii="Times New Roman" w:hAnsi="Times New Roman"/>
          <w:color w:val="000000" w:themeColor="text1"/>
          <w:sz w:val="16"/>
          <w:szCs w:val="16"/>
        </w:rPr>
        <w:softHyphen/>
        <w:t>дошли на рассвете и увидели, что вся площадка изрыта свежими воронками от бомб, а вместо по</w:t>
      </w:r>
      <w:r w:rsidRPr="00D03F3E">
        <w:rPr>
          <w:rFonts w:ascii="Times New Roman" w:hAnsi="Times New Roman"/>
          <w:color w:val="000000" w:themeColor="text1"/>
          <w:sz w:val="16"/>
          <w:szCs w:val="16"/>
        </w:rPr>
        <w:softHyphen/>
        <w:t>садочного «Т» на поле выложен красный крест из полотнищ, за</w:t>
      </w:r>
      <w:r w:rsidRPr="00D03F3E">
        <w:rPr>
          <w:rFonts w:ascii="Times New Roman" w:hAnsi="Times New Roman"/>
          <w:color w:val="000000" w:themeColor="text1"/>
          <w:sz w:val="16"/>
          <w:szCs w:val="16"/>
        </w:rPr>
        <w:softHyphen/>
        <w:t>прещающий посадку. Вернуться возможности не было — букси</w:t>
      </w:r>
      <w:r w:rsidRPr="00D03F3E">
        <w:rPr>
          <w:rFonts w:ascii="Times New Roman" w:hAnsi="Times New Roman"/>
          <w:color w:val="000000" w:themeColor="text1"/>
          <w:sz w:val="16"/>
          <w:szCs w:val="16"/>
        </w:rPr>
        <w:softHyphen/>
        <w:t>ровщик энергично покачивал крыльями, требуя не</w:t>
      </w:r>
      <w:r w:rsidRPr="00D03F3E">
        <w:rPr>
          <w:rFonts w:ascii="Times New Roman" w:hAnsi="Times New Roman"/>
          <w:color w:val="000000" w:themeColor="text1"/>
          <w:sz w:val="16"/>
          <w:szCs w:val="16"/>
        </w:rPr>
        <w:softHyphen/>
        <w:t>медленной отцепки планера из-за малого остатка го</w:t>
      </w:r>
      <w:r w:rsidRPr="00D03F3E">
        <w:rPr>
          <w:rFonts w:ascii="Times New Roman" w:hAnsi="Times New Roman"/>
          <w:color w:val="000000" w:themeColor="text1"/>
          <w:sz w:val="16"/>
          <w:szCs w:val="16"/>
        </w:rPr>
        <w:softHyphen/>
        <w:t>рючего. Чубуков дернул рычаг буксировочного замка, и планер по пологой глиссаде заскользил к изрытому бомбами полю. Коснувшись колесами заснеженного грунта, огромный КЦ-20 несся вперед, лавируя меж</w:t>
      </w:r>
      <w:r w:rsidRPr="00D03F3E">
        <w:rPr>
          <w:rFonts w:ascii="Times New Roman" w:hAnsi="Times New Roman"/>
          <w:color w:val="000000" w:themeColor="text1"/>
          <w:sz w:val="16"/>
          <w:szCs w:val="16"/>
        </w:rPr>
        <w:softHyphen/>
        <w:t>ду глубокими воронками.</w:t>
      </w:r>
    </w:p>
    <w:p w14:paraId="12B1594D"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Перед самой остановкой нос планера завис над очередной воронкой, но не свалился в нее. Выбрав</w:t>
      </w:r>
      <w:r w:rsidRPr="00D03F3E">
        <w:rPr>
          <w:rFonts w:ascii="Times New Roman" w:hAnsi="Times New Roman"/>
          <w:color w:val="000000" w:themeColor="text1"/>
          <w:sz w:val="16"/>
          <w:szCs w:val="16"/>
        </w:rPr>
        <w:softHyphen/>
        <w:t>шись из кабины, Ильин подобрал с подтаявшего снега цветной цилиндрик и попробовал прочесть немецкие буквы. Подбежавший красноармеец крикнул: «Брось, это мина замедленного действия — «лягушка»! На ватных ногах Ильин отошел от планера и осторожно положил мину на землю. Она взорвалась, когда пла</w:t>
      </w:r>
      <w:r w:rsidRPr="00D03F3E">
        <w:rPr>
          <w:rFonts w:ascii="Times New Roman" w:hAnsi="Times New Roman"/>
          <w:color w:val="000000" w:themeColor="text1"/>
          <w:sz w:val="16"/>
          <w:szCs w:val="16"/>
        </w:rPr>
        <w:softHyphen/>
        <w:t>неристы и боец отбежали метров на 100...</w:t>
      </w:r>
    </w:p>
    <w:p w14:paraId="38BB9C1D"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Самолет-буксировщик также удачно выполнил посадку. Но на рассвете следующего дня немецкая авиация вновь бомбила аэродром. Ущерб был велик. Планеристам была дана команда: забрать экипажи буксировщиков, самолеты которых сгорели, и гото</w:t>
      </w:r>
      <w:r w:rsidRPr="00D03F3E">
        <w:rPr>
          <w:rFonts w:ascii="Times New Roman" w:hAnsi="Times New Roman"/>
          <w:color w:val="000000" w:themeColor="text1"/>
          <w:sz w:val="16"/>
          <w:szCs w:val="16"/>
        </w:rPr>
        <w:softHyphen/>
        <w:t>виться к обратному вылету. Полет в Ленинград был отменен из-за потери самолетов и грузов в резуль</w:t>
      </w:r>
      <w:r w:rsidRPr="00D03F3E">
        <w:rPr>
          <w:rFonts w:ascii="Times New Roman" w:hAnsi="Times New Roman"/>
          <w:color w:val="000000" w:themeColor="text1"/>
          <w:sz w:val="16"/>
          <w:szCs w:val="16"/>
        </w:rPr>
        <w:softHyphen/>
        <w:t>тате налета. Желающих улететь оказалось больше, чем мест в КЦ-20. Но в конце концов кое-как разме</w:t>
      </w:r>
      <w:r w:rsidRPr="00D03F3E">
        <w:rPr>
          <w:rFonts w:ascii="Times New Roman" w:hAnsi="Times New Roman"/>
          <w:color w:val="000000" w:themeColor="text1"/>
          <w:sz w:val="16"/>
          <w:szCs w:val="16"/>
        </w:rPr>
        <w:softHyphen/>
        <w:t>стились и взлетели, с трудом оторвавшись от земли. Далее полет прошел без происшествий (12300).</w:t>
      </w:r>
    </w:p>
    <w:p w14:paraId="1060E6C5" w14:textId="77777777" w:rsidR="00FD6DE2" w:rsidRPr="00D03F3E" w:rsidRDefault="00FD6DE2" w:rsidP="00D03F3E">
      <w:pPr>
        <w:spacing w:after="0" w:line="240" w:lineRule="auto"/>
        <w:jc w:val="both"/>
        <w:rPr>
          <w:rFonts w:ascii="Times New Roman" w:hAnsi="Times New Roman"/>
          <w:color w:val="000000" w:themeColor="text1"/>
          <w:sz w:val="16"/>
          <w:szCs w:val="16"/>
        </w:rPr>
      </w:pPr>
    </w:p>
    <w:p w14:paraId="7081CC0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на ЦФ в полосе 16А прошло боевое испытаний первого подразделения танков-тральщиков (отдельной танковой роты, подчиненной инженерному управлению, а два танковых полка, штатно оснащенных тралами ПТ-3, закончили формирование в июле 1943 и получили крещение в наступлении на Курской дуге. С августа 1943 танковые тралы начали устанавливать массово не только на заводе № 183, но также на Красном Сормове и ЧКЗ (7693,40).</w:t>
      </w:r>
    </w:p>
    <w:p w14:paraId="3E7E5A01" w14:textId="77777777" w:rsidR="00531570" w:rsidRPr="00D03F3E" w:rsidRDefault="00531570" w:rsidP="00D03F3E">
      <w:pPr>
        <w:pStyle w:val="Iauiue"/>
        <w:jc w:val="both"/>
        <w:rPr>
          <w:color w:val="000000" w:themeColor="text1"/>
          <w:sz w:val="16"/>
          <w:szCs w:val="16"/>
        </w:rPr>
      </w:pPr>
    </w:p>
    <w:p w14:paraId="104FAA4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г., когда войска Северо-Кавказского фронта должны были пробить брешь в обороне противника на участке прорыва 37-й армии 805-го шап 230-й шад 4-й ВА дал пример отличного выполнения задачи по постановке дым-завесы перед наступающими войсками.</w:t>
      </w:r>
    </w:p>
    <w:p w14:paraId="5B4394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выполнения задания командующего фронтом генерала И. Е. Петрова командир полка м-р М. Н. Козин отобрал 19 пилотов: трех комэсков, всех командиров звеньев и старших летчиков с боевым опытом.</w:t>
      </w:r>
    </w:p>
    <w:p w14:paraId="4A9C03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19 Ил-2 в двух группах (ведущий первой группы м-р Керов, ведущий второй группы м-р Бердашкевич) должны были скрытно приблизиться к линии фронта и на участке 3,5 км поставить завесу.</w:t>
      </w:r>
    </w:p>
    <w:p w14:paraId="5E37211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Основную задачу намечалось выполнить одним самолетом (м-р Керов). Из подвешенных на его Ил-2 двух УХАП-250 должна была вылиться дымообразующая смесь и образовавшейся пеленой плотно прикрыть полосу шириной 180-200 м. Два "Ила" (Бердашкевич, Егорова) летели как запасные, а остальные 16 машин обеспечивали действия постановщиков завесы (8687).</w:t>
      </w:r>
    </w:p>
    <w:p w14:paraId="03FE8A0B" w14:textId="77777777" w:rsidR="00531570" w:rsidRPr="00D03F3E" w:rsidRDefault="00531570" w:rsidP="00D03F3E">
      <w:pPr>
        <w:pStyle w:val="Iauiue"/>
        <w:jc w:val="both"/>
        <w:rPr>
          <w:color w:val="000000" w:themeColor="text1"/>
          <w:sz w:val="16"/>
          <w:szCs w:val="16"/>
        </w:rPr>
      </w:pPr>
    </w:p>
    <w:p w14:paraId="57026B1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мая 1943 "Бостоны" 9 гмтап начали выполнять торпедные атаки на СФ (3457,107).</w:t>
      </w:r>
    </w:p>
    <w:p w14:paraId="12D21EF4" w14:textId="77777777" w:rsidR="00531570" w:rsidRPr="00D03F3E" w:rsidRDefault="00531570" w:rsidP="00D03F3E">
      <w:pPr>
        <w:pStyle w:val="Iauiue"/>
        <w:jc w:val="both"/>
        <w:rPr>
          <w:color w:val="000000" w:themeColor="text1"/>
          <w:sz w:val="16"/>
          <w:szCs w:val="16"/>
        </w:rPr>
      </w:pPr>
    </w:p>
    <w:p w14:paraId="21FA3DD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"Либерейтор", оставленный в Якутске, вошел в состав парка Управления международных линий. Существовали планы в мастерских аэропорта Внуково переделать его в спецсамолет для правительственных перевозок. Но реально международники этот B-24D не эксплуатировали и зимой его передали в 10-ю гвардейскую транспортную авиадивизию, где па нем летал экипаж А.С.Шорпикова. Машину использовали в основном для учебных целей, рассчитывая все-таки получить "Либерейторы" от американцев (3457,115).</w:t>
      </w:r>
    </w:p>
    <w:p w14:paraId="1822908F" w14:textId="77777777" w:rsidR="00531570" w:rsidRPr="00D03F3E" w:rsidRDefault="00531570" w:rsidP="00D03F3E">
      <w:pPr>
        <w:pStyle w:val="Iauiue"/>
        <w:jc w:val="both"/>
        <w:rPr>
          <w:color w:val="000000" w:themeColor="text1"/>
          <w:sz w:val="16"/>
          <w:szCs w:val="16"/>
        </w:rPr>
      </w:pPr>
    </w:p>
    <w:p w14:paraId="01108DA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года Герой Советского Союза В.П.Драгомирецкий из 14-го гвардейского полка ночью с применением осветительных бомб снял железнодорожный узел в Орле, а в апреле - таким же способом мост через Десну (3457,94).</w:t>
      </w:r>
    </w:p>
    <w:p w14:paraId="7317E383" w14:textId="77777777" w:rsidR="00531570" w:rsidRPr="00D03F3E" w:rsidRDefault="00531570" w:rsidP="00D03F3E">
      <w:pPr>
        <w:pStyle w:val="Iauiue"/>
        <w:jc w:val="both"/>
        <w:rPr>
          <w:color w:val="000000" w:themeColor="text1"/>
          <w:sz w:val="16"/>
          <w:szCs w:val="16"/>
        </w:rPr>
      </w:pPr>
    </w:p>
    <w:p w14:paraId="7680053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на ЦФ в полосе 16А прошло боевое испытаний первого подразделения танков-тральщиков (отдельной танковой роты, подчиненной инженерному управлению, а два танковых полка, штатно оснащенных тралами ПТ-3, закончили формирование в июле 1943 и получили крещение в наступлении на Курской дуге. С августа 1943 танковые тралы начали устанавливать массово не только на заводе № 183, но также на Красном Сормове и ЧКЗ (7693,40).</w:t>
      </w:r>
    </w:p>
    <w:p w14:paraId="2855C2B6" w14:textId="77777777" w:rsidR="00531570" w:rsidRPr="00D03F3E" w:rsidRDefault="00531570" w:rsidP="00D03F3E">
      <w:pPr>
        <w:pStyle w:val="Iauiue"/>
        <w:jc w:val="both"/>
        <w:rPr>
          <w:color w:val="000000" w:themeColor="text1"/>
          <w:sz w:val="16"/>
          <w:szCs w:val="16"/>
        </w:rPr>
      </w:pPr>
    </w:p>
    <w:p w14:paraId="7D1B99F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мая 1943 стали формироваться гвардейские дивизии реактивной артиллерии (РА), включавшие 3 однородных бригады М-31 с 432 установками. Залп - 3840 снарядов, 320 т (359,175).</w:t>
      </w:r>
    </w:p>
    <w:p w14:paraId="26EE1DAD" w14:textId="77777777" w:rsidR="00531570" w:rsidRPr="00D03F3E" w:rsidRDefault="00531570" w:rsidP="00D03F3E">
      <w:pPr>
        <w:pStyle w:val="Iauiue"/>
        <w:jc w:val="both"/>
        <w:rPr>
          <w:color w:val="000000" w:themeColor="text1"/>
          <w:sz w:val="16"/>
          <w:szCs w:val="16"/>
        </w:rPr>
      </w:pPr>
    </w:p>
    <w:p w14:paraId="17F54F6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До мая 1943 г. гвардейские минометные части подчинялись Ставке Верховного Главнокомандования. Командующим гвардейскими минометными частями и заместителем Народного комиссара обороны по гвардейским минометным частям был генерал-майор артиллерии В. В. Аборенков (9844).</w:t>
      </w:r>
    </w:p>
    <w:p w14:paraId="38F36521" w14:textId="77777777" w:rsidR="00531570" w:rsidRPr="00D03F3E" w:rsidRDefault="00531570" w:rsidP="00D03F3E">
      <w:pPr>
        <w:pStyle w:val="Iauiue"/>
        <w:jc w:val="both"/>
        <w:rPr>
          <w:color w:val="000000" w:themeColor="text1"/>
          <w:sz w:val="16"/>
          <w:szCs w:val="16"/>
        </w:rPr>
      </w:pPr>
    </w:p>
    <w:p w14:paraId="6C7B667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было принято решение о создании Войска польского (2070,194).</w:t>
      </w:r>
    </w:p>
    <w:p w14:paraId="5518093A" w14:textId="77777777" w:rsidR="00531570" w:rsidRPr="00D03F3E" w:rsidRDefault="00531570" w:rsidP="00D03F3E">
      <w:pPr>
        <w:pStyle w:val="Iauiue"/>
        <w:jc w:val="both"/>
        <w:rPr>
          <w:color w:val="000000" w:themeColor="text1"/>
          <w:sz w:val="16"/>
          <w:szCs w:val="16"/>
        </w:rPr>
      </w:pPr>
    </w:p>
    <w:p w14:paraId="1626CFE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было окончательно принято решение о проведении крупной стратегической операции. В случае успеха командование Люфтваффе рассчитывало  «если не совсем остановить снабжение русского фронта оружием и амуницией, то хотя бы заметно его нарушить». В первую очередь немцы надеялись сорвать снабжение танковых войск техникой и горючим. Некоторым горячим головам в Генеральном штабе Люфтваффе мерещились и более заманчивые перспективы. Выражались даже далеко идущие надежды на то, что из-за недостатка техники русские будут вынуждены отказаться от предстоящего осенне-зимнего наступления, а это, в свою очередь, могло якобы привести к переносу активности западных союзников на восток для помощи своему партнеру по коалиции. Последнее же, по мнению немецких штабистов, могло в итоге привести к откладыванию широкомасштабного вторжения во Францию. Вот до каких заоблачных высот воспарили мысли планировщиков из штаба немецкой авиации!</w:t>
      </w:r>
    </w:p>
    <w:p w14:paraId="6A02EF5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рейхсминистра вооружений Третьего рейха Альберта Шпеера имелось свое мнение, которое являлось отражением взглядов военно-промышленных кругов. Германские промышленники, для которых затяжной характер войны давно стал абсолютно ясен, вполне резонно настаивали на том, чтобы нанести концентрированные авиаудары по ключевым объектам военной промышленности СССР, в частности по электростанциям в районе Москвы, Рыбинска и Горького. Против такого метода использования бомбардировочной авиации резко возражал командующий 1-м авиакорпусом генерал Гюнтер Кортен, который понимал все трудности поражения с воздуха подобных точечных целей, находящихся далеко за линией фронта.</w:t>
      </w:r>
    </w:p>
    <w:p w14:paraId="0DA3CFD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В результате всестороннего обсуждения сложившейся ситуации было принято компромиссное решение, предложенное командующим 6-м воздушным флотом генерал-оберстом фон Граймом и его штабом. Согласно ему, бомбардировочные эскадры должны были перед началом летней кампании атаковать советские центры по производству вооружений. В свою очередь, командование 4-го авиакорпуса предложило для массированных налетов две реальные цели – Горький и Саратов. В первом находилось множество важных объектов, но крупнейшим был Горьковский автозавод им. Молотова, расположенный в юго-западной части города на берегу Оки. Немецкая разведка предоставила командованию Люфтваффе «важнейшие» данные о том, что якобы недельная продукция вышеупомянутого завода только по средним танкам Т-34 составляла чуть ли не 800 единиц [139] ! Исходя из этого, получалось, что почти все танки данного типа сходят с конвейеров ГАЗа. Откуда взялась эта фантастическая цифра, не совсем ясно. Тем не менее эти «данные» были взяты за основу, и появились расхожие понятия  «танковый завод в Горьком» и  «головной завод красной танковой продукции». </w:t>
      </w:r>
    </w:p>
    <w:p w14:paraId="6068532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Саратов в качестве цели для налетов предлагался по следующим соображениям. По немецким данным, там находились развитая патронная индустрия и большой нефтеперегонный завод. Авиазавод № 292, выпускавший истребители типа «Як», в качестве же основной цели не рассматривался. Между тем никаких патронных заводов в Саратове не было, крупнейшее предприятие этого профиля размещалось севернее – в г. Ульяновске.</w:t>
      </w:r>
    </w:p>
    <w:p w14:paraId="1D4ACAE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Впоследствии к перечню целей добавился Ярославль с его заводами по изготовлению резинотехнических изделий и моторным заводом, а также авиамоторный завод в Рыбинске. Кроме того, по мнению немцев, Горький и Саратов являлись крупными узлами железных дорог и водных путей сообщения, имеющих стратегическое значение. Поэтому в качестве второстепенной цели можно было разрушить железнодорожные мосты через Оку и Волгу, а также речные порты.</w:t>
      </w:r>
    </w:p>
    <w:p w14:paraId="59578BB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все вышеописанное, по мнению немцев, должно было произойти лишь потому, что бомбардировщики нанесут удачный массированный удар по мифическому «танковому центру» в Горьком.</w:t>
      </w:r>
    </w:p>
    <w:p w14:paraId="0E97A60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Конечно, в случае успеха задуманная командованием Люфтваффе операция против промышленных центров Поволжья, находившихся в пределах досягаемости двухмоторных бомбардировщиков, сулила определенный военный и политический эффект. Горьковский автозавод являлся одним из крупнейших предприятий Советского Союза. Здесь в месяц выпускались примерно 500 легких танков Т-70, а также сотни бронемашин БА-64. С главного конвейера ежемесячно сходили около 1800 грузовых автомобилей разных типов: легендарные «полуторки» ГАЗ-АА, трехосные ГАЗ-ААА, самосвалы и автобусы. Но кроме основной продукции завод производил: поковки для авиамоторного завода № 466, артиллерийского завода № 92 им. Сталина и завода № 38, различные агрегаты и детали для танкового завода № 112 «Красное Сормово» и станкостроительного завода № 113, мотоциклетные коляски, 45-мм снаряды, 120-мм мины, реактивные снаряды М-31 и М-8, танковые моторы. Колесный цех на уникальном американском оборудовании делал колеса типа ЗИС и ГАЗ для всех автомобильных и артиллерийских заводов страны. Чтобы представить себе размах их производства, достаточно сказать, что план на 1943 г. составлял почти один миллион колес всех типов! В цехах автозавода также делали шасси для танков и самолетов. Общий перечень комплектующих деталей, поставляемых ГАЗом другим предприятиям, в т.ч. на Урале, составлял десятки наименований.</w:t>
      </w:r>
    </w:p>
    <w:p w14:paraId="6AC8228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на площадях автозавода велась сборка американских автомобилей «студебеккер», «форд», «додж» и «шевроле». Ежемесячно около полутора тысяч этих грузовиков отправлялись на фронт. Находившаяся на территории Автозаводского района Горького рембаза № 97 занималась расконсервацией танков и бронемашин, поставляемых в СССР по ленд-лизу. Здесь же проводился ремонт подбитой и поврежденной импортной техники. Именно в Горьком формировались танковые части, оснащенные «Шерманами» и «Черчиллями».</w:t>
      </w:r>
    </w:p>
    <w:p w14:paraId="1AE11DF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Учитывая все это, а также то, что от бесперебойной работы Горьковского автозавода зависел производственный цикл на многих авиационных, танковых и артиллерийских заводах, можно сказать, что выбор командования Люфтваффе оказался удачным. Бомбардировочная авиация была нацелена на важнейшее предприятие Поволжья и Советского Союза!</w:t>
      </w:r>
    </w:p>
    <w:p w14:paraId="4947318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Едва ли менее важными для страны были химические предприятия Ярославля. В 1943 г. они вырабатывали свыше 40% продукции всей резиновой промышленности, а шинный завод № 736 – большую часть всей продукции шинной промышленности. Это предприятие являлось основным поставщиком шин для автомобилей, самолетов, артиллерии, обрезиненных катков для танков и другой военной техники.</w:t>
      </w:r>
    </w:p>
    <w:p w14:paraId="4B439C4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Велико было и стратегическое значение Саратовского крекинг-завода им. Кирова. Он был основным поставщиком горюче-смазочных материалов для центрального сектора советского фронта. Весной 1943 г. цистерны из Саратова шли напрямую на Степной, Воронежский и Брянский фронты, поэтому бесперебойная работа предприятия была крайне важна (11774).</w:t>
      </w:r>
    </w:p>
    <w:p w14:paraId="7BCF04EA"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FFC7CE4" w14:textId="77777777" w:rsidR="00D50DCD" w:rsidRPr="00D03F3E" w:rsidRDefault="00D50D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 в основном было завершено формирование отдельных полков и батальонов НКВД, обслуживавших линии ВЧ-связи.</w:t>
      </w:r>
    </w:p>
    <w:p w14:paraId="245028A5" w14:textId="77777777" w:rsidR="00D50DCD" w:rsidRPr="00D03F3E" w:rsidRDefault="00D50D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этому времени была установлена правительственная связь со всеми фронтами и армиями.</w:t>
      </w:r>
    </w:p>
    <w:p w14:paraId="32341869" w14:textId="77777777" w:rsidR="00D50DCD" w:rsidRPr="00D03F3E" w:rsidRDefault="00D50D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Становление войск правительственной связи как самостоятельных войск НКВД началось с образования Управления войск правительственной связи НКВД СССР. В свете требований приказа № 00970 от 10 июня 1943 г. было принято Положение о работе Отдела правительственной связи НКВД СССР и Управления войск правитель</w:t>
      </w:r>
      <w:r w:rsidRPr="00D03F3E">
        <w:rPr>
          <w:rFonts w:ascii="Times New Roman" w:hAnsi="Times New Roman"/>
          <w:color w:val="000000" w:themeColor="text1"/>
          <w:sz w:val="16"/>
          <w:szCs w:val="16"/>
        </w:rPr>
        <w:softHyphen/>
        <w:t>ственной связи НКВД СССР по обеспечению бесперебойной и качественной прави</w:t>
      </w:r>
      <w:r w:rsidRPr="00D03F3E">
        <w:rPr>
          <w:rFonts w:ascii="Times New Roman" w:hAnsi="Times New Roman"/>
          <w:color w:val="000000" w:themeColor="text1"/>
          <w:sz w:val="16"/>
          <w:szCs w:val="16"/>
        </w:rPr>
        <w:softHyphen/>
        <w:t>тельственной связью Ставки Верховного Главнокомандования со штабами фронтов и армий и их взаимоотношениях по этим вопросам.</w:t>
      </w:r>
    </w:p>
    <w:p w14:paraId="13993F27" w14:textId="77777777" w:rsidR="00D50DCD" w:rsidRPr="00D03F3E" w:rsidRDefault="00D50D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Следует отметить, что одним из основных достоинств ВЧ-связи наряду с повы</w:t>
      </w:r>
      <w:r w:rsidRPr="00D03F3E">
        <w:rPr>
          <w:rFonts w:ascii="Times New Roman" w:hAnsi="Times New Roman"/>
          <w:color w:val="000000" w:themeColor="text1"/>
          <w:sz w:val="16"/>
          <w:szCs w:val="16"/>
        </w:rPr>
        <w:softHyphen/>
        <w:t>шенной надежностью являлась высокая для того времени степень обеспечения сек</w:t>
      </w:r>
      <w:r w:rsidRPr="00D03F3E">
        <w:rPr>
          <w:rFonts w:ascii="Times New Roman" w:hAnsi="Times New Roman"/>
          <w:color w:val="000000" w:themeColor="text1"/>
          <w:sz w:val="16"/>
          <w:szCs w:val="16"/>
        </w:rPr>
        <w:softHyphen/>
        <w:t>ретности телефонных переговоров (15493).</w:t>
      </w:r>
    </w:p>
    <w:p w14:paraId="791867D2" w14:textId="77777777" w:rsidR="00D50DCD" w:rsidRPr="00D03F3E" w:rsidRDefault="00D50DCD" w:rsidP="00D03F3E">
      <w:pPr>
        <w:spacing w:after="0" w:line="240" w:lineRule="auto"/>
        <w:jc w:val="both"/>
        <w:rPr>
          <w:rFonts w:ascii="Times New Roman" w:hAnsi="Times New Roman"/>
          <w:color w:val="000000" w:themeColor="text1"/>
          <w:sz w:val="16"/>
          <w:szCs w:val="16"/>
        </w:rPr>
      </w:pPr>
    </w:p>
    <w:p w14:paraId="790FAD12" w14:textId="77777777" w:rsidR="000846F5" w:rsidRPr="00D03F3E" w:rsidRDefault="000846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мае 1943 г. командира воздухоплавательно</w:t>
      </w:r>
      <w:r w:rsidRPr="00D03F3E">
        <w:rPr>
          <w:rFonts w:ascii="Times New Roman" w:hAnsi="Times New Roman"/>
          <w:color w:val="0070C0"/>
          <w:sz w:val="16"/>
          <w:szCs w:val="16"/>
        </w:rPr>
        <w:softHyphen/>
        <w:t>го отряда 1-го ОВДААН майора С.Д. Джилкише- ва вызвали в Москву в Главный штаб артилле</w:t>
      </w:r>
      <w:r w:rsidRPr="00D03F3E">
        <w:rPr>
          <w:rFonts w:ascii="Times New Roman" w:hAnsi="Times New Roman"/>
          <w:color w:val="0070C0"/>
          <w:sz w:val="16"/>
          <w:szCs w:val="16"/>
        </w:rPr>
        <w:softHyphen/>
        <w:t>рии, где он получил приказ организовать и об</w:t>
      </w:r>
      <w:r w:rsidRPr="00D03F3E">
        <w:rPr>
          <w:rFonts w:ascii="Times New Roman" w:hAnsi="Times New Roman"/>
          <w:color w:val="0070C0"/>
          <w:sz w:val="16"/>
          <w:szCs w:val="16"/>
        </w:rPr>
        <w:softHyphen/>
        <w:t xml:space="preserve">учить новый воздухоплавательный дивизион. </w:t>
      </w:r>
    </w:p>
    <w:p w14:paraId="696F7F14" w14:textId="77777777" w:rsidR="000846F5" w:rsidRPr="00D03F3E" w:rsidRDefault="000846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После прорыва блокады Ленин</w:t>
      </w:r>
      <w:r w:rsidRPr="00D03F3E">
        <w:rPr>
          <w:rFonts w:ascii="Times New Roman" w:hAnsi="Times New Roman"/>
          <w:color w:val="0070C0"/>
          <w:sz w:val="16"/>
          <w:szCs w:val="16"/>
        </w:rPr>
        <w:softHyphen/>
        <w:t>града, изучая обстановку на Волховском фронте, Маршал Советского Союза Г.К. Жуков отметил ряд недостатков в планируемой операции. В до</w:t>
      </w:r>
      <w:r w:rsidRPr="00D03F3E">
        <w:rPr>
          <w:rFonts w:ascii="Times New Roman" w:hAnsi="Times New Roman"/>
          <w:color w:val="0070C0"/>
          <w:sz w:val="16"/>
          <w:szCs w:val="16"/>
        </w:rPr>
        <w:softHyphen/>
        <w:t>несении в Ставку он сообщал: «У Афанасьева (псевдоним командующего Волховским фрон</w:t>
      </w:r>
      <w:r w:rsidRPr="00D03F3E">
        <w:rPr>
          <w:rFonts w:ascii="Times New Roman" w:hAnsi="Times New Roman"/>
          <w:color w:val="0070C0"/>
          <w:sz w:val="16"/>
          <w:szCs w:val="16"/>
        </w:rPr>
        <w:softHyphen/>
        <w:t>том К.А. Мерецкова. — Прим. авт.) по услови</w:t>
      </w:r>
      <w:r w:rsidRPr="00D03F3E">
        <w:rPr>
          <w:rFonts w:ascii="Times New Roman" w:hAnsi="Times New Roman"/>
          <w:color w:val="0070C0"/>
          <w:sz w:val="16"/>
          <w:szCs w:val="16"/>
        </w:rPr>
        <w:softHyphen/>
        <w:t>ям местности очень плохое артиллерийское на</w:t>
      </w:r>
      <w:r w:rsidRPr="00D03F3E">
        <w:rPr>
          <w:rFonts w:ascii="Times New Roman" w:hAnsi="Times New Roman"/>
          <w:color w:val="0070C0"/>
          <w:sz w:val="16"/>
          <w:szCs w:val="16"/>
        </w:rPr>
        <w:softHyphen/>
        <w:t>блюдение, которое будет ещё более ухудшаться по мере продвижения наших войск по лесистому району. Для того, чтобы зря не сыпать снаряды и мины, фронту необходимо срочно придать воздухоплавательный аэростатный отряд и одно-два звена самолётов-корректировщиков». В результате один из отрядов 1-го ОВДААН пере</w:t>
      </w:r>
      <w:r w:rsidRPr="00D03F3E">
        <w:rPr>
          <w:rFonts w:ascii="Times New Roman" w:hAnsi="Times New Roman"/>
          <w:color w:val="0070C0"/>
          <w:sz w:val="16"/>
          <w:szCs w:val="16"/>
        </w:rPr>
        <w:softHyphen/>
        <w:t>дислоцировали с Ленинградского на Волховский фронт.</w:t>
      </w:r>
    </w:p>
    <w:p w14:paraId="756AFFB3" w14:textId="77777777" w:rsidR="000846F5" w:rsidRPr="00D03F3E" w:rsidRDefault="000846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Для формирования 3-го ОВДААН на ст. Бутово Курской железной дороги создали ускоренные курсы подготовки воздушных наблюдателей. Че</w:t>
      </w:r>
      <w:r w:rsidRPr="00D03F3E">
        <w:rPr>
          <w:rFonts w:ascii="Times New Roman" w:hAnsi="Times New Roman"/>
          <w:color w:val="0070C0"/>
          <w:sz w:val="16"/>
          <w:szCs w:val="16"/>
        </w:rPr>
        <w:softHyphen/>
        <w:t>рез пять месяцев дивизион, завершив обучение, убыл на Волховский фронт. Его отряды придали 54-й, 59-й и 8-й армиям (разбросанность отрядов по фронту составляла 90-100 км). Волховский фронт представлял собой большие лесные мас</w:t>
      </w:r>
      <w:r w:rsidRPr="00D03F3E">
        <w:rPr>
          <w:rFonts w:ascii="Times New Roman" w:hAnsi="Times New Roman"/>
          <w:color w:val="0070C0"/>
          <w:sz w:val="16"/>
          <w:szCs w:val="16"/>
        </w:rPr>
        <w:softHyphen/>
        <w:t>сивы с множеством непроходимых болот и край</w:t>
      </w:r>
      <w:r w:rsidRPr="00D03F3E">
        <w:rPr>
          <w:rFonts w:ascii="Times New Roman" w:hAnsi="Times New Roman"/>
          <w:color w:val="0070C0"/>
          <w:sz w:val="16"/>
          <w:szCs w:val="16"/>
        </w:rPr>
        <w:softHyphen/>
        <w:t>не ограниченной сетью дорог. Противник создал здесь глубоко эшелонированную оборону.</w:t>
      </w:r>
    </w:p>
    <w:p w14:paraId="24E06346" w14:textId="77777777" w:rsidR="000846F5" w:rsidRPr="00D03F3E" w:rsidRDefault="000846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 подготовке войск фронта к наступа</w:t>
      </w:r>
      <w:r w:rsidRPr="00D03F3E">
        <w:rPr>
          <w:rFonts w:ascii="Times New Roman" w:hAnsi="Times New Roman"/>
          <w:color w:val="0070C0"/>
          <w:sz w:val="16"/>
          <w:szCs w:val="16"/>
        </w:rPr>
        <w:softHyphen/>
        <w:t>тельной операции на 3-й ОВДААН возложили задачи по наблюдению за интенсивностью пе</w:t>
      </w:r>
      <w:r w:rsidRPr="00D03F3E">
        <w:rPr>
          <w:rFonts w:ascii="Times New Roman" w:hAnsi="Times New Roman"/>
          <w:color w:val="0070C0"/>
          <w:sz w:val="16"/>
          <w:szCs w:val="16"/>
        </w:rPr>
        <w:softHyphen/>
        <w:t>редвижения противника. Сначала два отряда дивизиона вели разведку в районе от ст. Мга до Новгорода. Воздухоплаватели заметили скры</w:t>
      </w:r>
      <w:r w:rsidRPr="00D03F3E">
        <w:rPr>
          <w:rFonts w:ascii="Times New Roman" w:hAnsi="Times New Roman"/>
          <w:color w:val="0070C0"/>
          <w:sz w:val="16"/>
          <w:szCs w:val="16"/>
        </w:rPr>
        <w:softHyphen/>
        <w:t>тые переброски войск противника в ночное время к фронту. С аэростата было установле</w:t>
      </w:r>
      <w:r w:rsidRPr="00D03F3E">
        <w:rPr>
          <w:rFonts w:ascii="Times New Roman" w:hAnsi="Times New Roman"/>
          <w:color w:val="0070C0"/>
          <w:sz w:val="16"/>
          <w:szCs w:val="16"/>
        </w:rPr>
        <w:softHyphen/>
        <w:t>но, что через Мгинский железнодорожный узел за 44 часа прошло 15 эшелонов, а через Нов</w:t>
      </w:r>
      <w:r w:rsidRPr="00D03F3E">
        <w:rPr>
          <w:rFonts w:ascii="Times New Roman" w:hAnsi="Times New Roman"/>
          <w:color w:val="0070C0"/>
          <w:sz w:val="16"/>
          <w:szCs w:val="16"/>
        </w:rPr>
        <w:softHyphen/>
        <w:t>городский — 16 эшелонов противника. Уже в следующую ночь авиация и дальнобойная артиллерия нанесли удары по этим железнодо</w:t>
      </w:r>
      <w:r w:rsidRPr="00D03F3E">
        <w:rPr>
          <w:rFonts w:ascii="Times New Roman" w:hAnsi="Times New Roman"/>
          <w:color w:val="0070C0"/>
          <w:sz w:val="16"/>
          <w:szCs w:val="16"/>
        </w:rPr>
        <w:softHyphen/>
        <w:t>рожным узлам. Кроме того, только за октябрь 1943 г. в глубине Мгинско-Синявинской груп</w:t>
      </w:r>
      <w:r w:rsidRPr="00D03F3E">
        <w:rPr>
          <w:rFonts w:ascii="Times New Roman" w:hAnsi="Times New Roman"/>
          <w:color w:val="0070C0"/>
          <w:sz w:val="16"/>
          <w:szCs w:val="16"/>
        </w:rPr>
        <w:softHyphen/>
        <w:t>пировки противника отряд обнаружил 45 бата</w:t>
      </w:r>
      <w:r w:rsidRPr="00D03F3E">
        <w:rPr>
          <w:rFonts w:ascii="Times New Roman" w:hAnsi="Times New Roman"/>
          <w:color w:val="0070C0"/>
          <w:sz w:val="16"/>
          <w:szCs w:val="16"/>
        </w:rPr>
        <w:softHyphen/>
        <w:t>рей, восемь из которых были ранее неизвестны советским артиллеристам.</w:t>
      </w:r>
    </w:p>
    <w:p w14:paraId="4F4D47F9" w14:textId="77777777" w:rsidR="000846F5" w:rsidRPr="00D03F3E" w:rsidRDefault="000846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Наблюдателям 3-го ОВДААН Лашину и Ми- хайлину поставили задачу найти хорошо зама</w:t>
      </w:r>
      <w:r w:rsidRPr="00D03F3E">
        <w:rPr>
          <w:rFonts w:ascii="Times New Roman" w:hAnsi="Times New Roman"/>
          <w:color w:val="0070C0"/>
          <w:sz w:val="16"/>
          <w:szCs w:val="16"/>
        </w:rPr>
        <w:softHyphen/>
        <w:t>скированную батарею, которая вела методичный огонь по нашим войскам, часто меняя позиции. Когда батарею обнаружили, и артиллеристы от</w:t>
      </w:r>
      <w:r w:rsidRPr="00D03F3E">
        <w:rPr>
          <w:rFonts w:ascii="Times New Roman" w:hAnsi="Times New Roman"/>
          <w:color w:val="0070C0"/>
          <w:sz w:val="16"/>
          <w:szCs w:val="16"/>
        </w:rPr>
        <w:softHyphen/>
        <w:t>крыли огонь по ней, немцы обстреляли аэростат, изрешетив оболочку осколками. Она согнулась пополам и стала быстро падать. Воздухоплава</w:t>
      </w:r>
      <w:r w:rsidRPr="00D03F3E">
        <w:rPr>
          <w:rFonts w:ascii="Times New Roman" w:hAnsi="Times New Roman"/>
          <w:color w:val="0070C0"/>
          <w:sz w:val="16"/>
          <w:szCs w:val="16"/>
        </w:rPr>
        <w:softHyphen/>
        <w:t>телей спасла находчивость моториста лебёдки Игумнова, включившего максимальную ско</w:t>
      </w:r>
      <w:r w:rsidRPr="00D03F3E">
        <w:rPr>
          <w:rFonts w:ascii="Times New Roman" w:hAnsi="Times New Roman"/>
          <w:color w:val="0070C0"/>
          <w:sz w:val="16"/>
          <w:szCs w:val="16"/>
        </w:rPr>
        <w:softHyphen/>
        <w:t xml:space="preserve">рость сматывания троса. </w:t>
      </w:r>
      <w:r w:rsidRPr="00D03F3E">
        <w:rPr>
          <w:rFonts w:ascii="Times New Roman" w:hAnsi="Times New Roman"/>
          <w:color w:val="0070C0"/>
          <w:sz w:val="16"/>
          <w:szCs w:val="16"/>
        </w:rPr>
        <w:lastRenderedPageBreak/>
        <w:t>Оболочка, превратив</w:t>
      </w:r>
      <w:r w:rsidRPr="00D03F3E">
        <w:rPr>
          <w:rFonts w:ascii="Times New Roman" w:hAnsi="Times New Roman"/>
          <w:color w:val="0070C0"/>
          <w:sz w:val="16"/>
          <w:szCs w:val="16"/>
        </w:rPr>
        <w:softHyphen/>
        <w:t>шись в «воздушный змей», стала снижаться мед</w:t>
      </w:r>
      <w:r w:rsidRPr="00D03F3E">
        <w:rPr>
          <w:rFonts w:ascii="Times New Roman" w:hAnsi="Times New Roman"/>
          <w:color w:val="0070C0"/>
          <w:sz w:val="16"/>
          <w:szCs w:val="16"/>
        </w:rPr>
        <w:softHyphen/>
        <w:t>леннее за счёт силы сопротивления воздуха. Че</w:t>
      </w:r>
      <w:r w:rsidRPr="00D03F3E">
        <w:rPr>
          <w:rFonts w:ascii="Times New Roman" w:hAnsi="Times New Roman"/>
          <w:color w:val="0070C0"/>
          <w:sz w:val="16"/>
          <w:szCs w:val="16"/>
        </w:rPr>
        <w:softHyphen/>
        <w:t>рез несколько дней её отремонтировали, и аэро</w:t>
      </w:r>
      <w:r w:rsidRPr="00D03F3E">
        <w:rPr>
          <w:rFonts w:ascii="Times New Roman" w:hAnsi="Times New Roman"/>
          <w:color w:val="0070C0"/>
          <w:sz w:val="16"/>
          <w:szCs w:val="16"/>
        </w:rPr>
        <w:softHyphen/>
        <w:t>стат продолжил боевые подъёмы.</w:t>
      </w:r>
    </w:p>
    <w:p w14:paraId="62CF099A" w14:textId="77777777" w:rsidR="000846F5" w:rsidRPr="00D03F3E" w:rsidRDefault="000846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14 января 1944 г. войска Волховского фрон</w:t>
      </w:r>
      <w:r w:rsidRPr="00D03F3E">
        <w:rPr>
          <w:rFonts w:ascii="Times New Roman" w:hAnsi="Times New Roman"/>
          <w:color w:val="0070C0"/>
          <w:sz w:val="16"/>
          <w:szCs w:val="16"/>
        </w:rPr>
        <w:softHyphen/>
        <w:t>та перешли в наступление и, сломив сопротив</w:t>
      </w:r>
      <w:r w:rsidRPr="00D03F3E">
        <w:rPr>
          <w:rFonts w:ascii="Times New Roman" w:hAnsi="Times New Roman"/>
          <w:color w:val="0070C0"/>
          <w:sz w:val="16"/>
          <w:szCs w:val="16"/>
        </w:rPr>
        <w:softHyphen/>
        <w:t>ление врага, овладели рядом опорных пунктов. Один из отрядов дивизиона (командир — капи</w:t>
      </w:r>
      <w:r w:rsidRPr="00D03F3E">
        <w:rPr>
          <w:rFonts w:ascii="Times New Roman" w:hAnsi="Times New Roman"/>
          <w:color w:val="0070C0"/>
          <w:sz w:val="16"/>
          <w:szCs w:val="16"/>
        </w:rPr>
        <w:softHyphen/>
        <w:t>тан Киреев) занял позицию на передовой в рай</w:t>
      </w:r>
      <w:r w:rsidRPr="00D03F3E">
        <w:rPr>
          <w:rFonts w:ascii="Times New Roman" w:hAnsi="Times New Roman"/>
          <w:color w:val="0070C0"/>
          <w:sz w:val="16"/>
          <w:szCs w:val="16"/>
        </w:rPr>
        <w:softHyphen/>
        <w:t>оне посёлка Котовцы, откуда воздухоплаватели вели наблюдение по р. Малая Вишера вплоть до Новгорода. Командир артиллерийской батареи капитан В. Усольцев получил задачу уничтожить хорошо замаскированную батарею противника, державшую под огнём небольшой плацдарм на правом берегу р. Волхов.</w:t>
      </w:r>
    </w:p>
    <w:p w14:paraId="3BB0333C" w14:textId="77777777" w:rsidR="000846F5" w:rsidRPr="00D03F3E" w:rsidRDefault="000846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Чтобы затруднить обстрел аэростата, воздухо</w:t>
      </w:r>
      <w:r w:rsidRPr="00D03F3E">
        <w:rPr>
          <w:rFonts w:ascii="Times New Roman" w:hAnsi="Times New Roman"/>
          <w:color w:val="0070C0"/>
          <w:sz w:val="16"/>
          <w:szCs w:val="16"/>
        </w:rPr>
        <w:softHyphen/>
        <w:t>плаватели устроили подъёмное поле в «мёртвом пространстве» под высоким и обрывистым бере</w:t>
      </w:r>
      <w:r w:rsidRPr="00D03F3E">
        <w:rPr>
          <w:rFonts w:ascii="Times New Roman" w:hAnsi="Times New Roman"/>
          <w:color w:val="0070C0"/>
          <w:sz w:val="16"/>
          <w:szCs w:val="16"/>
        </w:rPr>
        <w:softHyphen/>
        <w:t>гом реки. Поднявшиеся в корзине офицеры-на</w:t>
      </w:r>
      <w:r w:rsidRPr="00D03F3E">
        <w:rPr>
          <w:rFonts w:ascii="Times New Roman" w:hAnsi="Times New Roman"/>
          <w:color w:val="0070C0"/>
          <w:sz w:val="16"/>
          <w:szCs w:val="16"/>
        </w:rPr>
        <w:softHyphen/>
        <w:t>блюдатели Калашник и Ласточкин, засекли бата</w:t>
      </w:r>
      <w:r w:rsidRPr="00D03F3E">
        <w:rPr>
          <w:rFonts w:ascii="Times New Roman" w:hAnsi="Times New Roman"/>
          <w:color w:val="0070C0"/>
          <w:sz w:val="16"/>
          <w:szCs w:val="16"/>
        </w:rPr>
        <w:softHyphen/>
        <w:t>рею. Тотчас же две батареи противника обстреля</w:t>
      </w:r>
      <w:r w:rsidRPr="00D03F3E">
        <w:rPr>
          <w:rFonts w:ascii="Times New Roman" w:hAnsi="Times New Roman"/>
          <w:color w:val="0070C0"/>
          <w:sz w:val="16"/>
          <w:szCs w:val="16"/>
        </w:rPr>
        <w:softHyphen/>
        <w:t>ли аэростат: одна из них вела огонь осколочными снарядами по оболочке, а другая — фугасными по месту подъёма. Лебёдке снаряды не причини</w:t>
      </w:r>
      <w:r w:rsidRPr="00D03F3E">
        <w:rPr>
          <w:rFonts w:ascii="Times New Roman" w:hAnsi="Times New Roman"/>
          <w:color w:val="0070C0"/>
          <w:sz w:val="16"/>
          <w:szCs w:val="16"/>
        </w:rPr>
        <w:softHyphen/>
        <w:t>ли никакого вреда, а аэростат избегал поражения маневрированием по высоте и по горизонтали. После полуторачасовой дуэли обе батареи про</w:t>
      </w:r>
      <w:r w:rsidRPr="00D03F3E">
        <w:rPr>
          <w:rFonts w:ascii="Times New Roman" w:hAnsi="Times New Roman"/>
          <w:color w:val="0070C0"/>
          <w:sz w:val="16"/>
          <w:szCs w:val="16"/>
        </w:rPr>
        <w:softHyphen/>
        <w:t>тивника были уничтожены.</w:t>
      </w:r>
    </w:p>
    <w:p w14:paraId="71AA59EA" w14:textId="77777777" w:rsidR="000846F5" w:rsidRPr="00D03F3E" w:rsidRDefault="000846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20 января Новгород был освобождён. Враг от</w:t>
      </w:r>
      <w:r w:rsidRPr="00D03F3E">
        <w:rPr>
          <w:rFonts w:ascii="Times New Roman" w:hAnsi="Times New Roman"/>
          <w:color w:val="0070C0"/>
          <w:sz w:val="16"/>
          <w:szCs w:val="16"/>
        </w:rPr>
        <w:softHyphen/>
        <w:t>катился к Пскову и Острову, стремясь закрепить</w:t>
      </w:r>
      <w:r w:rsidRPr="00D03F3E">
        <w:rPr>
          <w:rFonts w:ascii="Times New Roman" w:hAnsi="Times New Roman"/>
          <w:color w:val="0070C0"/>
          <w:sz w:val="16"/>
          <w:szCs w:val="16"/>
        </w:rPr>
        <w:softHyphen/>
        <w:t>ся по р. Великой. Воздухоплаватели двигались с наступающими частями по шоссейным доро</w:t>
      </w:r>
      <w:r w:rsidRPr="00D03F3E">
        <w:rPr>
          <w:rFonts w:ascii="Times New Roman" w:hAnsi="Times New Roman"/>
          <w:color w:val="0070C0"/>
          <w:sz w:val="16"/>
          <w:szCs w:val="16"/>
        </w:rPr>
        <w:softHyphen/>
        <w:t>гам, превращённым весенней оттепелью в бо</w:t>
      </w:r>
      <w:r w:rsidRPr="00D03F3E">
        <w:rPr>
          <w:rFonts w:ascii="Times New Roman" w:hAnsi="Times New Roman"/>
          <w:color w:val="0070C0"/>
          <w:sz w:val="16"/>
          <w:szCs w:val="16"/>
        </w:rPr>
        <w:softHyphen/>
        <w:t>лотное месиво. Лебёдки тянули за собой приспу</w:t>
      </w:r>
      <w:r w:rsidRPr="00D03F3E">
        <w:rPr>
          <w:rFonts w:ascii="Times New Roman" w:hAnsi="Times New Roman"/>
          <w:color w:val="0070C0"/>
          <w:sz w:val="16"/>
          <w:szCs w:val="16"/>
        </w:rPr>
        <w:softHyphen/>
        <w:t>щенные аэростаты с прицепленными корзинами, чтобы наблюдатели могли в любую минуту под</w:t>
      </w:r>
      <w:r w:rsidRPr="00D03F3E">
        <w:rPr>
          <w:rFonts w:ascii="Times New Roman" w:hAnsi="Times New Roman"/>
          <w:color w:val="0070C0"/>
          <w:sz w:val="16"/>
          <w:szCs w:val="16"/>
        </w:rPr>
        <w:softHyphen/>
        <w:t>няться на разведку цели, задержавшей наступле</w:t>
      </w:r>
      <w:r w:rsidRPr="00D03F3E">
        <w:rPr>
          <w:rFonts w:ascii="Times New Roman" w:hAnsi="Times New Roman"/>
          <w:color w:val="0070C0"/>
          <w:sz w:val="16"/>
          <w:szCs w:val="16"/>
        </w:rPr>
        <w:softHyphen/>
        <w:t>ние. Часто лебёдка по фронтовым дорогам двига</w:t>
      </w:r>
      <w:r w:rsidRPr="00D03F3E">
        <w:rPr>
          <w:rFonts w:ascii="Times New Roman" w:hAnsi="Times New Roman"/>
          <w:color w:val="0070C0"/>
          <w:sz w:val="16"/>
          <w:szCs w:val="16"/>
        </w:rPr>
        <w:softHyphen/>
        <w:t>лась с поднятым аэростатом, в корзине которого находился наблюдатель.</w:t>
      </w:r>
    </w:p>
    <w:p w14:paraId="2F484D09" w14:textId="77777777" w:rsidR="000846F5" w:rsidRPr="00D03F3E" w:rsidRDefault="000846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Однажды по дороге на Псков осколок пере</w:t>
      </w:r>
      <w:r w:rsidRPr="00D03F3E">
        <w:rPr>
          <w:rFonts w:ascii="Times New Roman" w:hAnsi="Times New Roman"/>
          <w:color w:val="0070C0"/>
          <w:sz w:val="16"/>
          <w:szCs w:val="16"/>
        </w:rPr>
        <w:softHyphen/>
        <w:t>бил трос аэростата, который ушёл в свободный полёт. Находившийся в корзине старший лей</w:t>
      </w:r>
      <w:r w:rsidRPr="00D03F3E">
        <w:rPr>
          <w:rFonts w:ascii="Times New Roman" w:hAnsi="Times New Roman"/>
          <w:color w:val="0070C0"/>
          <w:sz w:val="16"/>
          <w:szCs w:val="16"/>
        </w:rPr>
        <w:softHyphen/>
        <w:t>тенант В.В. Кончиц (впоследствии — начальник Военной академии им. М.В. Фрунзе) выпрыгнул с парашютом. Воздухоплаватели быстро напол</w:t>
      </w:r>
      <w:r w:rsidRPr="00D03F3E">
        <w:rPr>
          <w:rFonts w:ascii="Times New Roman" w:hAnsi="Times New Roman"/>
          <w:color w:val="0070C0"/>
          <w:sz w:val="16"/>
          <w:szCs w:val="16"/>
        </w:rPr>
        <w:softHyphen/>
        <w:t>нили запасную оболочку, и на разведку против</w:t>
      </w:r>
      <w:r w:rsidRPr="00D03F3E">
        <w:rPr>
          <w:rFonts w:ascii="Times New Roman" w:hAnsi="Times New Roman"/>
          <w:color w:val="0070C0"/>
          <w:sz w:val="16"/>
          <w:szCs w:val="16"/>
        </w:rPr>
        <w:softHyphen/>
        <w:t>ника в воздух поднялись воздухоплаватель капи</w:t>
      </w:r>
      <w:r w:rsidRPr="00D03F3E">
        <w:rPr>
          <w:rFonts w:ascii="Times New Roman" w:hAnsi="Times New Roman"/>
          <w:color w:val="0070C0"/>
          <w:sz w:val="16"/>
          <w:szCs w:val="16"/>
        </w:rPr>
        <w:softHyphen/>
        <w:t>тан Орехов и артиллерист капитан Волков. Вско</w:t>
      </w:r>
      <w:r w:rsidRPr="00D03F3E">
        <w:rPr>
          <w:rFonts w:ascii="Times New Roman" w:hAnsi="Times New Roman"/>
          <w:color w:val="0070C0"/>
          <w:sz w:val="16"/>
          <w:szCs w:val="16"/>
        </w:rPr>
        <w:softHyphen/>
        <w:t>ре Орехов обнаружил на дороге Псков-Остров механизированную колонну немцев и начал кор</w:t>
      </w:r>
      <w:r w:rsidRPr="00D03F3E">
        <w:rPr>
          <w:rFonts w:ascii="Times New Roman" w:hAnsi="Times New Roman"/>
          <w:color w:val="0070C0"/>
          <w:sz w:val="16"/>
          <w:szCs w:val="16"/>
        </w:rPr>
        <w:softHyphen/>
        <w:t>ректировать огонь по её голове и хвосту. Батарея врага обстреливала аэростат, но наши артилле</w:t>
      </w:r>
      <w:r w:rsidRPr="00D03F3E">
        <w:rPr>
          <w:rFonts w:ascii="Times New Roman" w:hAnsi="Times New Roman"/>
          <w:color w:val="0070C0"/>
          <w:sz w:val="16"/>
          <w:szCs w:val="16"/>
        </w:rPr>
        <w:softHyphen/>
        <w:t>ристы перенесли на неё огонь только после раз</w:t>
      </w:r>
      <w:r w:rsidRPr="00D03F3E">
        <w:rPr>
          <w:rFonts w:ascii="Times New Roman" w:hAnsi="Times New Roman"/>
          <w:color w:val="0070C0"/>
          <w:sz w:val="16"/>
          <w:szCs w:val="16"/>
        </w:rPr>
        <w:softHyphen/>
        <w:t>грома колонны противника. Батарея замолчала, но, когда аэростат приземлился, вновь «ожила» и обстреляла подъёмное поле. По корректиров</w:t>
      </w:r>
      <w:r w:rsidRPr="00D03F3E">
        <w:rPr>
          <w:rFonts w:ascii="Times New Roman" w:hAnsi="Times New Roman"/>
          <w:color w:val="0070C0"/>
          <w:sz w:val="16"/>
          <w:szCs w:val="16"/>
        </w:rPr>
        <w:softHyphen/>
        <w:t>ке поднявшихся в воздух лейтенанта Ласточкин и капитана Орехова её подавили, но на подъём</w:t>
      </w:r>
      <w:r w:rsidRPr="00D03F3E">
        <w:rPr>
          <w:rFonts w:ascii="Times New Roman" w:hAnsi="Times New Roman"/>
          <w:color w:val="0070C0"/>
          <w:sz w:val="16"/>
          <w:szCs w:val="16"/>
        </w:rPr>
        <w:softHyphen/>
        <w:t>ном поле осколками снаряда был убит рядовой Ефремов.</w:t>
      </w:r>
    </w:p>
    <w:p w14:paraId="03C022D2" w14:textId="77777777" w:rsidR="000846F5" w:rsidRPr="00D03F3E" w:rsidRDefault="000846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Один из отрядов 3-го ОВДААН, приданный 59-й армии Волховского фронта, сыграл боль</w:t>
      </w:r>
      <w:r w:rsidRPr="00D03F3E">
        <w:rPr>
          <w:rFonts w:ascii="Times New Roman" w:hAnsi="Times New Roman"/>
          <w:color w:val="0070C0"/>
          <w:sz w:val="16"/>
          <w:szCs w:val="16"/>
        </w:rPr>
        <w:softHyphen/>
        <w:t>шую роль в срыве контрудара противника в райо</w:t>
      </w:r>
      <w:r w:rsidRPr="00D03F3E">
        <w:rPr>
          <w:rFonts w:ascii="Times New Roman" w:hAnsi="Times New Roman"/>
          <w:color w:val="0070C0"/>
          <w:sz w:val="16"/>
          <w:szCs w:val="16"/>
        </w:rPr>
        <w:softHyphen/>
        <w:t>не Пскова, разведав немецкую переправу через р. Великую. С наземных наблюдательных пунктов оборона противника на этом участке Волхов</w:t>
      </w:r>
      <w:r w:rsidRPr="00D03F3E">
        <w:rPr>
          <w:rFonts w:ascii="Times New Roman" w:hAnsi="Times New Roman"/>
          <w:color w:val="0070C0"/>
          <w:sz w:val="16"/>
          <w:szCs w:val="16"/>
        </w:rPr>
        <w:softHyphen/>
        <w:t>ского фронта просматривалась на глубину всего 2-3 км, и переправу удалось обнаружить только лейтенанту Алексею Мальцеву, поднявшемуся на аэростате в 5 км от переднего края. От переднего края до переправы было примерно 15 км, и для её уничтожения послали самолёты-штурмовики.</w:t>
      </w:r>
    </w:p>
    <w:p w14:paraId="7D048FE0" w14:textId="77777777" w:rsidR="000846F5" w:rsidRPr="00D03F3E" w:rsidRDefault="000846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Мальцев, наблюдавший штурмовку с аэростата, не только установил, что из-за плотного зенитно</w:t>
      </w:r>
      <w:r w:rsidRPr="00D03F3E">
        <w:rPr>
          <w:rFonts w:ascii="Times New Roman" w:hAnsi="Times New Roman"/>
          <w:color w:val="0070C0"/>
          <w:sz w:val="16"/>
          <w:szCs w:val="16"/>
        </w:rPr>
        <w:softHyphen/>
        <w:t>го огня переправу не уничтожили полностью, но и определил координаты зенитных батарей про</w:t>
      </w:r>
      <w:r w:rsidRPr="00D03F3E">
        <w:rPr>
          <w:rFonts w:ascii="Times New Roman" w:hAnsi="Times New Roman"/>
          <w:color w:val="0070C0"/>
          <w:sz w:val="16"/>
          <w:szCs w:val="16"/>
        </w:rPr>
        <w:softHyphen/>
        <w:t>тивника. На следующий день он вновь поднялся в воздух для корректировки стрельбы по пере</w:t>
      </w:r>
      <w:r w:rsidRPr="00D03F3E">
        <w:rPr>
          <w:rFonts w:ascii="Times New Roman" w:hAnsi="Times New Roman"/>
          <w:color w:val="0070C0"/>
          <w:sz w:val="16"/>
          <w:szCs w:val="16"/>
        </w:rPr>
        <w:softHyphen/>
        <w:t>праве батареи особой мощности. Уже четвёртый снаряд поразил цель. Попутно артиллеристы разбили две зенитные батареи, а две другие по</w:t>
      </w:r>
      <w:r w:rsidRPr="00D03F3E">
        <w:rPr>
          <w:rFonts w:ascii="Times New Roman" w:hAnsi="Times New Roman"/>
          <w:color w:val="0070C0"/>
          <w:sz w:val="16"/>
          <w:szCs w:val="16"/>
        </w:rPr>
        <w:softHyphen/>
        <w:t>давили штурмовики. При спуске ААН попал под плотный обстрел бризантными снарядами. Обо</w:t>
      </w:r>
      <w:r w:rsidRPr="00D03F3E">
        <w:rPr>
          <w:rFonts w:ascii="Times New Roman" w:hAnsi="Times New Roman"/>
          <w:color w:val="0070C0"/>
          <w:sz w:val="16"/>
          <w:szCs w:val="16"/>
        </w:rPr>
        <w:softHyphen/>
        <w:t>лочка получила десять пробоин, корзина — две, но воздухоплаватель остался невредим.</w:t>
      </w:r>
    </w:p>
    <w:p w14:paraId="3310906B" w14:textId="77777777" w:rsidR="000846F5" w:rsidRPr="00D03F3E" w:rsidRDefault="000846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 семь месяцев боевой работы на Волхов</w:t>
      </w:r>
      <w:r w:rsidRPr="00D03F3E">
        <w:rPr>
          <w:rFonts w:ascii="Times New Roman" w:hAnsi="Times New Roman"/>
          <w:color w:val="0070C0"/>
          <w:sz w:val="16"/>
          <w:szCs w:val="16"/>
        </w:rPr>
        <w:softHyphen/>
        <w:t>ском фронте (август 1943 г. - февраль 1944 г.) 3-й ОВДААН произвёл 513 боевых подъёмов с общим временем пребывания в воздухе аэро</w:t>
      </w:r>
      <w:r w:rsidRPr="00D03F3E">
        <w:rPr>
          <w:rFonts w:ascii="Times New Roman" w:hAnsi="Times New Roman"/>
          <w:color w:val="0070C0"/>
          <w:sz w:val="16"/>
          <w:szCs w:val="16"/>
        </w:rPr>
        <w:softHyphen/>
        <w:t>статов 681 ч 10 мин. Было обнаружено 311 пози</w:t>
      </w:r>
      <w:r w:rsidRPr="00D03F3E">
        <w:rPr>
          <w:rFonts w:ascii="Times New Roman" w:hAnsi="Times New Roman"/>
          <w:color w:val="0070C0"/>
          <w:sz w:val="16"/>
          <w:szCs w:val="16"/>
        </w:rPr>
        <w:softHyphen/>
        <w:t>ций артиллерии, 321 различная цель, 60 желез</w:t>
      </w:r>
      <w:r w:rsidRPr="00D03F3E">
        <w:rPr>
          <w:rFonts w:ascii="Times New Roman" w:hAnsi="Times New Roman"/>
          <w:color w:val="0070C0"/>
          <w:sz w:val="16"/>
          <w:szCs w:val="16"/>
        </w:rPr>
        <w:softHyphen/>
        <w:t>нодорожных эшелонов. Воздухоплаватели диви</w:t>
      </w:r>
      <w:r w:rsidRPr="00D03F3E">
        <w:rPr>
          <w:rFonts w:ascii="Times New Roman" w:hAnsi="Times New Roman"/>
          <w:color w:val="0070C0"/>
          <w:sz w:val="16"/>
          <w:szCs w:val="16"/>
        </w:rPr>
        <w:softHyphen/>
        <w:t>зиона произвели 56 корректировок, в результате которых было уничтожено 13 артиллерийских и две миномётные батареи, два железнодорож</w:t>
      </w:r>
      <w:r w:rsidRPr="00D03F3E">
        <w:rPr>
          <w:rFonts w:ascii="Times New Roman" w:hAnsi="Times New Roman"/>
          <w:color w:val="0070C0"/>
          <w:sz w:val="16"/>
          <w:szCs w:val="16"/>
        </w:rPr>
        <w:softHyphen/>
        <w:t>ных эшелона, переправа и склад. Также были рас</w:t>
      </w:r>
      <w:r w:rsidRPr="00D03F3E">
        <w:rPr>
          <w:rFonts w:ascii="Times New Roman" w:hAnsi="Times New Roman"/>
          <w:color w:val="0070C0"/>
          <w:sz w:val="16"/>
          <w:szCs w:val="16"/>
        </w:rPr>
        <w:softHyphen/>
        <w:t>сеяны десять автоколонн противника.</w:t>
      </w:r>
    </w:p>
    <w:p w14:paraId="1D811F15" w14:textId="77777777" w:rsidR="000846F5" w:rsidRPr="00D03F3E" w:rsidRDefault="000846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Летом 1944 г. 3-й воздухоплавательный диви</w:t>
      </w:r>
      <w:r w:rsidRPr="00D03F3E">
        <w:rPr>
          <w:rFonts w:ascii="Times New Roman" w:hAnsi="Times New Roman"/>
          <w:color w:val="0070C0"/>
          <w:sz w:val="16"/>
          <w:szCs w:val="16"/>
        </w:rPr>
        <w:softHyphen/>
        <w:t>зион передислоцировали на участок ст. Свирь-3, и 15 июня он поступил в распоряжение коман</w:t>
      </w:r>
      <w:r w:rsidRPr="00D03F3E">
        <w:rPr>
          <w:rFonts w:ascii="Times New Roman" w:hAnsi="Times New Roman"/>
          <w:color w:val="0070C0"/>
          <w:sz w:val="16"/>
          <w:szCs w:val="16"/>
        </w:rPr>
        <w:softHyphen/>
        <w:t>дующего артиллерией Карельского фронта для участия в Свирской наступательной операции. В первый день операции, 21 июня, воздухопла</w:t>
      </w:r>
      <w:r w:rsidRPr="00D03F3E">
        <w:rPr>
          <w:rFonts w:ascii="Times New Roman" w:hAnsi="Times New Roman"/>
          <w:color w:val="0070C0"/>
          <w:sz w:val="16"/>
          <w:szCs w:val="16"/>
        </w:rPr>
        <w:softHyphen/>
        <w:t>ватели 3-го отряда выполнили шесть подъёмов и засекли пять замаскированных батарей и два скопления войск врага. В результате корректи</w:t>
      </w:r>
      <w:r w:rsidRPr="00D03F3E">
        <w:rPr>
          <w:rFonts w:ascii="Times New Roman" w:hAnsi="Times New Roman"/>
          <w:color w:val="0070C0"/>
          <w:sz w:val="16"/>
          <w:szCs w:val="16"/>
        </w:rPr>
        <w:softHyphen/>
        <w:t>ровки одну батарею уничтожили и четыре пода</w:t>
      </w:r>
      <w:r w:rsidRPr="00D03F3E">
        <w:rPr>
          <w:rFonts w:ascii="Times New Roman" w:hAnsi="Times New Roman"/>
          <w:color w:val="0070C0"/>
          <w:sz w:val="16"/>
          <w:szCs w:val="16"/>
        </w:rPr>
        <w:softHyphen/>
        <w:t>вили. Финские истребители атаковали аэростаты: один им удалось поджечь, а в оболочке другого насчитали 24 пулевых пробоин. Свирь форси</w:t>
      </w:r>
      <w:r w:rsidRPr="00D03F3E">
        <w:rPr>
          <w:rFonts w:ascii="Times New Roman" w:hAnsi="Times New Roman"/>
          <w:color w:val="0070C0"/>
          <w:sz w:val="16"/>
          <w:szCs w:val="16"/>
        </w:rPr>
        <w:softHyphen/>
        <w:t>ровали в первый день операции, а на её правом берегу захватили плацдарм, за который почти сутки шли бои. На следующий день навели пере</w:t>
      </w:r>
      <w:r w:rsidRPr="00D03F3E">
        <w:rPr>
          <w:rFonts w:ascii="Times New Roman" w:hAnsi="Times New Roman"/>
          <w:color w:val="0070C0"/>
          <w:sz w:val="16"/>
          <w:szCs w:val="16"/>
        </w:rPr>
        <w:softHyphen/>
        <w:t>праву, и воздухоплавателей вместе с артиллерией перебросили на правый берег. Аэростаты оказали сильное психологическое воздействие на врага. Один из пленных в те дни заявил: «До сегодняш</w:t>
      </w:r>
      <w:r w:rsidRPr="00D03F3E">
        <w:rPr>
          <w:rFonts w:ascii="Times New Roman" w:hAnsi="Times New Roman"/>
          <w:color w:val="0070C0"/>
          <w:sz w:val="16"/>
          <w:szCs w:val="16"/>
        </w:rPr>
        <w:softHyphen/>
        <w:t>него дня мы сравнительно спокойно выдержи</w:t>
      </w:r>
      <w:r w:rsidRPr="00D03F3E">
        <w:rPr>
          <w:rFonts w:ascii="Times New Roman" w:hAnsi="Times New Roman"/>
          <w:color w:val="0070C0"/>
          <w:sz w:val="16"/>
          <w:szCs w:val="16"/>
        </w:rPr>
        <w:softHyphen/>
        <w:t>вали огонь русской артиллерии, а сегодня, когда ваши три аэростата поднялись в воздух и сотни снарядов исключительно точно поражали наши убежища, мы были убеждены, что спасения для нас нет. Куда бы мы ни прятались, везде рвались снаряды. Солдаты говорили, что результатом та</w:t>
      </w:r>
      <w:r w:rsidRPr="00D03F3E">
        <w:rPr>
          <w:rFonts w:ascii="Times New Roman" w:hAnsi="Times New Roman"/>
          <w:color w:val="0070C0"/>
          <w:sz w:val="16"/>
          <w:szCs w:val="16"/>
        </w:rPr>
        <w:softHyphen/>
        <w:t>кой точности могли быть только аэростаты».</w:t>
      </w:r>
    </w:p>
    <w:p w14:paraId="7D9223AB" w14:textId="77777777" w:rsidR="000846F5" w:rsidRPr="00D03F3E" w:rsidRDefault="000846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Оболочка аэростата старшего лейтенанта Ми- хайленко была пробита снарядом и начала падать. Наблюдатель, передавая артиллеристам коорди</w:t>
      </w:r>
      <w:r w:rsidRPr="00D03F3E">
        <w:rPr>
          <w:rFonts w:ascii="Times New Roman" w:hAnsi="Times New Roman"/>
          <w:color w:val="0070C0"/>
          <w:sz w:val="16"/>
          <w:szCs w:val="16"/>
        </w:rPr>
        <w:softHyphen/>
        <w:t>наты финской батареи, упустил время для прыж</w:t>
      </w:r>
      <w:r w:rsidRPr="00D03F3E">
        <w:rPr>
          <w:rFonts w:ascii="Times New Roman" w:hAnsi="Times New Roman"/>
          <w:color w:val="0070C0"/>
          <w:sz w:val="16"/>
          <w:szCs w:val="16"/>
        </w:rPr>
        <w:softHyphen/>
        <w:t>ка из гондолы. Тогда он по стропам поднялся на верх оболочки. Корзина упала на кусты и приня</w:t>
      </w:r>
      <w:r w:rsidRPr="00D03F3E">
        <w:rPr>
          <w:rFonts w:ascii="Times New Roman" w:hAnsi="Times New Roman"/>
          <w:color w:val="0070C0"/>
          <w:sz w:val="16"/>
          <w:szCs w:val="16"/>
        </w:rPr>
        <w:softHyphen/>
        <w:t>ла на себя удар, спася жизнь наблюдателя.</w:t>
      </w:r>
    </w:p>
    <w:p w14:paraId="6A6F5C6B" w14:textId="77777777" w:rsidR="000846F5" w:rsidRPr="00D03F3E" w:rsidRDefault="000846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У аэростата старшего лейтенанта В.В. Кончи- ца, снесённого ветром к позициям финнов, оско</w:t>
      </w:r>
      <w:r w:rsidRPr="00D03F3E">
        <w:rPr>
          <w:rFonts w:ascii="Times New Roman" w:hAnsi="Times New Roman"/>
          <w:color w:val="0070C0"/>
          <w:sz w:val="16"/>
          <w:szCs w:val="16"/>
        </w:rPr>
        <w:softHyphen/>
        <w:t>лочным снарядом перебило трос. Воздухоплава</w:t>
      </w:r>
      <w:r w:rsidRPr="00D03F3E">
        <w:rPr>
          <w:rFonts w:ascii="Times New Roman" w:hAnsi="Times New Roman"/>
          <w:color w:val="0070C0"/>
          <w:sz w:val="16"/>
          <w:szCs w:val="16"/>
        </w:rPr>
        <w:softHyphen/>
        <w:t>тель по стропам поднялся на оболочку и вскрыл разрывное приспособление. Водород начал вы</w:t>
      </w:r>
      <w:r w:rsidRPr="00D03F3E">
        <w:rPr>
          <w:rFonts w:ascii="Times New Roman" w:hAnsi="Times New Roman"/>
          <w:color w:val="0070C0"/>
          <w:sz w:val="16"/>
          <w:szCs w:val="16"/>
        </w:rPr>
        <w:softHyphen/>
        <w:t>ходить из оболочки, и аэростат стал медленно снижаться. Только после этого Кончиц выпры</w:t>
      </w:r>
      <w:r w:rsidRPr="00D03F3E">
        <w:rPr>
          <w:rFonts w:ascii="Times New Roman" w:hAnsi="Times New Roman"/>
          <w:color w:val="0070C0"/>
          <w:sz w:val="16"/>
          <w:szCs w:val="16"/>
        </w:rPr>
        <w:softHyphen/>
        <w:t>гнул с парашютом. В результате наблюдатель и спасённый им аэростат спустились почти одно</w:t>
      </w:r>
      <w:r w:rsidRPr="00D03F3E">
        <w:rPr>
          <w:rFonts w:ascii="Times New Roman" w:hAnsi="Times New Roman"/>
          <w:color w:val="0070C0"/>
          <w:sz w:val="16"/>
          <w:szCs w:val="16"/>
        </w:rPr>
        <w:softHyphen/>
        <w:t>временно.</w:t>
      </w:r>
    </w:p>
    <w:p w14:paraId="4D39541B" w14:textId="77777777" w:rsidR="000846F5" w:rsidRPr="00D03F3E" w:rsidRDefault="000846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 время Свирской наступательной операции (21 июня — 16 июля 1944 г.) воздухоплаватели 3-го ОВДААН выполнили 84 боевых подъёма общей продолжительностью 88 часов. Воздуш</w:t>
      </w:r>
      <w:r w:rsidRPr="00D03F3E">
        <w:rPr>
          <w:rFonts w:ascii="Times New Roman" w:hAnsi="Times New Roman"/>
          <w:color w:val="0070C0"/>
          <w:sz w:val="16"/>
          <w:szCs w:val="16"/>
        </w:rPr>
        <w:softHyphen/>
        <w:t>ные наблюдатели обнаружили 28 артиллерий</w:t>
      </w:r>
      <w:r w:rsidRPr="00D03F3E">
        <w:rPr>
          <w:rFonts w:ascii="Times New Roman" w:hAnsi="Times New Roman"/>
          <w:color w:val="0070C0"/>
          <w:sz w:val="16"/>
          <w:szCs w:val="16"/>
        </w:rPr>
        <w:softHyphen/>
        <w:t>ских и 13 миномётных батарей, 19 автоколонн, две переправы, 9 пехотных колонн, 12 скопле</w:t>
      </w:r>
      <w:r w:rsidRPr="00D03F3E">
        <w:rPr>
          <w:rFonts w:ascii="Times New Roman" w:hAnsi="Times New Roman"/>
          <w:color w:val="0070C0"/>
          <w:sz w:val="16"/>
          <w:szCs w:val="16"/>
        </w:rPr>
        <w:softHyphen/>
        <w:t>ний войск противника и склад с боеприпасами. С помощью корректировки из корзины аэро</w:t>
      </w:r>
      <w:r w:rsidRPr="00D03F3E">
        <w:rPr>
          <w:rFonts w:ascii="Times New Roman" w:hAnsi="Times New Roman"/>
          <w:color w:val="0070C0"/>
          <w:sz w:val="16"/>
          <w:szCs w:val="16"/>
        </w:rPr>
        <w:softHyphen/>
        <w:t>стата артиллерия уничтожила пять миномёт</w:t>
      </w:r>
      <w:r w:rsidRPr="00D03F3E">
        <w:rPr>
          <w:rFonts w:ascii="Times New Roman" w:hAnsi="Times New Roman"/>
          <w:color w:val="0070C0"/>
          <w:sz w:val="16"/>
          <w:szCs w:val="16"/>
        </w:rPr>
        <w:softHyphen/>
        <w:t>ных и три артиллерийских батареи, до двух батальонов пехоты и тридцати автомашин, раз</w:t>
      </w:r>
      <w:r w:rsidRPr="00D03F3E">
        <w:rPr>
          <w:rFonts w:ascii="Times New Roman" w:hAnsi="Times New Roman"/>
          <w:color w:val="0070C0"/>
          <w:sz w:val="16"/>
          <w:szCs w:val="16"/>
        </w:rPr>
        <w:softHyphen/>
        <w:t>била одну переправу, склад боеприпасов. Был подавлен огонь десяти артиллерийских и шести миномётных батарей25. После разгрома фин</w:t>
      </w:r>
      <w:r w:rsidRPr="00D03F3E">
        <w:rPr>
          <w:rFonts w:ascii="Times New Roman" w:hAnsi="Times New Roman"/>
          <w:color w:val="0070C0"/>
          <w:sz w:val="16"/>
          <w:szCs w:val="16"/>
        </w:rPr>
        <w:softHyphen/>
        <w:t>ских войск и выхода Финляндии из войны 3-му ОВДААН приказом Верховного Главнокоман</w:t>
      </w:r>
      <w:r w:rsidRPr="00D03F3E">
        <w:rPr>
          <w:rFonts w:ascii="Times New Roman" w:hAnsi="Times New Roman"/>
          <w:color w:val="0070C0"/>
          <w:sz w:val="16"/>
          <w:szCs w:val="16"/>
        </w:rPr>
        <w:softHyphen/>
        <w:t>дующего была объявлена благодарность и при</w:t>
      </w:r>
      <w:r w:rsidRPr="00D03F3E">
        <w:rPr>
          <w:rFonts w:ascii="Times New Roman" w:hAnsi="Times New Roman"/>
          <w:color w:val="0070C0"/>
          <w:sz w:val="16"/>
          <w:szCs w:val="16"/>
        </w:rPr>
        <w:softHyphen/>
        <w:t>своено почётное наименование «Свирский». Президиум Верховного Совета СССР наградил дивизион орденом Красной Звезды.</w:t>
      </w:r>
    </w:p>
    <w:p w14:paraId="2B5C647B" w14:textId="77777777" w:rsidR="000846F5" w:rsidRPr="00D03F3E" w:rsidRDefault="000846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После окончания боёв в Карелии отряды 3-го ОВДААН подчинили Командующим артилле</w:t>
      </w:r>
      <w:r w:rsidRPr="00D03F3E">
        <w:rPr>
          <w:rFonts w:ascii="Times New Roman" w:hAnsi="Times New Roman"/>
          <w:color w:val="0070C0"/>
          <w:sz w:val="16"/>
          <w:szCs w:val="16"/>
        </w:rPr>
        <w:softHyphen/>
        <w:t>рией армий 4-го Украинского фронта. Осенью 1944 г. дивизион прибыл на ст. Трускавец, и воз</w:t>
      </w:r>
      <w:r w:rsidRPr="00D03F3E">
        <w:rPr>
          <w:rFonts w:ascii="Times New Roman" w:hAnsi="Times New Roman"/>
          <w:color w:val="0070C0"/>
          <w:sz w:val="16"/>
          <w:szCs w:val="16"/>
        </w:rPr>
        <w:softHyphen/>
        <w:t>духоплавателям пришлось действовать в горах. С.Д. Джилкишев вспоминал: «Из района поль</w:t>
      </w:r>
      <w:r w:rsidRPr="00D03F3E">
        <w:rPr>
          <w:rFonts w:ascii="Times New Roman" w:hAnsi="Times New Roman"/>
          <w:color w:val="0070C0"/>
          <w:sz w:val="16"/>
          <w:szCs w:val="16"/>
        </w:rPr>
        <w:softHyphen/>
        <w:t>ского города Санок я поднимался на аэроста</w:t>
      </w:r>
      <w:r w:rsidRPr="00D03F3E">
        <w:rPr>
          <w:rFonts w:ascii="Times New Roman" w:hAnsi="Times New Roman"/>
          <w:color w:val="0070C0"/>
          <w:sz w:val="16"/>
          <w:szCs w:val="16"/>
        </w:rPr>
        <w:softHyphen/>
        <w:t>те с каждым командиром отряда поочерёдно. И к сплошному нагромождению гор, создающе</w:t>
      </w:r>
      <w:r w:rsidRPr="00D03F3E">
        <w:rPr>
          <w:rFonts w:ascii="Times New Roman" w:hAnsi="Times New Roman"/>
          <w:color w:val="0070C0"/>
          <w:sz w:val="16"/>
          <w:szCs w:val="16"/>
        </w:rPr>
        <w:softHyphen/>
        <w:t>му для наших войск невидимость противника, прибавилась ещё одна каверза природы: на полу- торакилометровой высоте было ясно, а внизу всё скрывал густой туман; в одной стороне солнечно, в другой — идёт дождь. Но больше всего смуща</w:t>
      </w:r>
      <w:r w:rsidRPr="00D03F3E">
        <w:rPr>
          <w:rFonts w:ascii="Times New Roman" w:hAnsi="Times New Roman"/>
          <w:color w:val="0070C0"/>
          <w:sz w:val="16"/>
          <w:szCs w:val="16"/>
        </w:rPr>
        <w:softHyphen/>
        <w:t>ли горы, они как бы создавали дополнительную высоту, на которую нужно было поднимать ле</w:t>
      </w:r>
      <w:r w:rsidRPr="00D03F3E">
        <w:rPr>
          <w:rFonts w:ascii="Times New Roman" w:hAnsi="Times New Roman"/>
          <w:color w:val="0070C0"/>
          <w:sz w:val="16"/>
          <w:szCs w:val="16"/>
        </w:rPr>
        <w:softHyphen/>
        <w:t>бёдку с аэростатом, иначе наблюдатель не мог увидеть противника за обратным склоном».</w:t>
      </w:r>
    </w:p>
    <w:p w14:paraId="12877FE7" w14:textId="77777777" w:rsidR="000846F5" w:rsidRPr="00D03F3E" w:rsidRDefault="000846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1-я гвардейская армия выбивала противни</w:t>
      </w:r>
      <w:r w:rsidRPr="00D03F3E">
        <w:rPr>
          <w:rFonts w:ascii="Times New Roman" w:hAnsi="Times New Roman"/>
          <w:color w:val="0070C0"/>
          <w:sz w:val="16"/>
          <w:szCs w:val="16"/>
        </w:rPr>
        <w:softHyphen/>
        <w:t>ка из Дрогобычского промышленного центра, важнейших узлов шоссейных дорог — городов Стрый и Самбор. После взятия советскими вой</w:t>
      </w:r>
      <w:r w:rsidRPr="00D03F3E">
        <w:rPr>
          <w:rFonts w:ascii="Times New Roman" w:hAnsi="Times New Roman"/>
          <w:color w:val="0070C0"/>
          <w:sz w:val="16"/>
          <w:szCs w:val="16"/>
        </w:rPr>
        <w:softHyphen/>
        <w:t>сками Прешова и Кошице противник предпри</w:t>
      </w:r>
      <w:r w:rsidRPr="00D03F3E">
        <w:rPr>
          <w:rFonts w:ascii="Times New Roman" w:hAnsi="Times New Roman"/>
          <w:color w:val="0070C0"/>
          <w:sz w:val="16"/>
          <w:szCs w:val="16"/>
        </w:rPr>
        <w:softHyphen/>
        <w:t>нял контратаку крупными силами в направлении на Ужгород и прорвал оборону советских войск. Поднятый по приказу штаба фронта аэростат наблюдения, в гондоле которого находились ко</w:t>
      </w:r>
      <w:r w:rsidRPr="00D03F3E">
        <w:rPr>
          <w:rFonts w:ascii="Times New Roman" w:hAnsi="Times New Roman"/>
          <w:color w:val="0070C0"/>
          <w:sz w:val="16"/>
          <w:szCs w:val="16"/>
        </w:rPr>
        <w:softHyphen/>
        <w:t>мандир 3-го ОВДААН майор С.Д. Джилкишев и артиллерийский офицер капитан Чистяков, обнаружил мощную группировку врага. Свое</w:t>
      </w:r>
      <w:r w:rsidRPr="00D03F3E">
        <w:rPr>
          <w:rFonts w:ascii="Times New Roman" w:hAnsi="Times New Roman"/>
          <w:color w:val="0070C0"/>
          <w:sz w:val="16"/>
          <w:szCs w:val="16"/>
        </w:rPr>
        <w:softHyphen/>
        <w:t>временно принятые меры — сам командующий фронтом генерал армии И.Е. Петров поднял по тревоге автоматчиков из охраны штаба и лично повёл их в атаку — сорвали контратаку против</w:t>
      </w:r>
      <w:r w:rsidRPr="00D03F3E">
        <w:rPr>
          <w:rFonts w:ascii="Times New Roman" w:hAnsi="Times New Roman"/>
          <w:color w:val="0070C0"/>
          <w:sz w:val="16"/>
          <w:szCs w:val="16"/>
        </w:rPr>
        <w:softHyphen/>
        <w:t>ника. Врага остановили, а затем и отбросили.</w:t>
      </w:r>
    </w:p>
    <w:p w14:paraId="734283C0" w14:textId="77777777" w:rsidR="000846F5" w:rsidRPr="00D03F3E" w:rsidRDefault="000846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наступательных боях при преследовании отходящего противника боевые порядки возду</w:t>
      </w:r>
      <w:r w:rsidRPr="00D03F3E">
        <w:rPr>
          <w:rFonts w:ascii="Times New Roman" w:hAnsi="Times New Roman"/>
          <w:color w:val="0070C0"/>
          <w:sz w:val="16"/>
          <w:szCs w:val="16"/>
        </w:rPr>
        <w:softHyphen/>
        <w:t>хоплавателей находились в 3-4 км от переднего края. Подъёмное поле выбиралось в долинах, допускающих маневрирование при артобстреле. Если такой возможности не было, то заранее от</w:t>
      </w:r>
      <w:r w:rsidRPr="00D03F3E">
        <w:rPr>
          <w:rFonts w:ascii="Times New Roman" w:hAnsi="Times New Roman"/>
          <w:color w:val="0070C0"/>
          <w:sz w:val="16"/>
          <w:szCs w:val="16"/>
        </w:rPr>
        <w:softHyphen/>
        <w:t>рывались окопы для лебёдки и укрытия личного состава, а маневрирование аэростата осуществля</w:t>
      </w:r>
      <w:r w:rsidRPr="00D03F3E">
        <w:rPr>
          <w:rFonts w:ascii="Times New Roman" w:hAnsi="Times New Roman"/>
          <w:color w:val="0070C0"/>
          <w:sz w:val="16"/>
          <w:szCs w:val="16"/>
        </w:rPr>
        <w:softHyphen/>
        <w:t>лось только по высоте. При работе в горах обяза</w:t>
      </w:r>
      <w:r w:rsidRPr="00D03F3E">
        <w:rPr>
          <w:rFonts w:ascii="Times New Roman" w:hAnsi="Times New Roman"/>
          <w:color w:val="0070C0"/>
          <w:sz w:val="16"/>
          <w:szCs w:val="16"/>
        </w:rPr>
        <w:softHyphen/>
        <w:t>тельно выбиралась одна- две запасные позиции. Для отвлечения внимания батарей противника поднимались ложные аэростаты.</w:t>
      </w:r>
    </w:p>
    <w:p w14:paraId="59C55DDA" w14:textId="77777777" w:rsidR="000846F5" w:rsidRPr="00D03F3E" w:rsidRDefault="000846F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10 марта 1945 г. с началом Моравско-Острав- ской операции все аэростаты артиллерийского наблюдения подняли в воздух. Промышленный район Моравска-Острава был укреплён мощны</w:t>
      </w:r>
      <w:r w:rsidRPr="00D03F3E">
        <w:rPr>
          <w:rFonts w:ascii="Times New Roman" w:hAnsi="Times New Roman"/>
          <w:color w:val="0070C0"/>
          <w:sz w:val="16"/>
          <w:szCs w:val="16"/>
        </w:rPr>
        <w:softHyphen/>
        <w:t>ми инженерными сооружениями и опоясан по периметру траншеями. Были укреплены все гос</w:t>
      </w:r>
      <w:r w:rsidRPr="00D03F3E">
        <w:rPr>
          <w:rFonts w:ascii="Times New Roman" w:hAnsi="Times New Roman"/>
          <w:color w:val="0070C0"/>
          <w:sz w:val="16"/>
          <w:szCs w:val="16"/>
        </w:rPr>
        <w:softHyphen/>
        <w:t>подствующие высоты над районом. В ущельях и на противоположных склонах гор находились артиллерийские и миномётные батареи. Первое наступление на Моравску-Остраву потерпело не</w:t>
      </w:r>
      <w:r w:rsidRPr="00D03F3E">
        <w:rPr>
          <w:rFonts w:ascii="Times New Roman" w:hAnsi="Times New Roman"/>
          <w:color w:val="0070C0"/>
          <w:sz w:val="16"/>
          <w:szCs w:val="16"/>
        </w:rPr>
        <w:softHyphen/>
        <w:t>удачу. Для разведки системы обороны привлекли воздухоплавателей. Майор Криушенков, капи</w:t>
      </w:r>
      <w:r w:rsidRPr="00D03F3E">
        <w:rPr>
          <w:rFonts w:ascii="Times New Roman" w:hAnsi="Times New Roman"/>
          <w:color w:val="0070C0"/>
          <w:sz w:val="16"/>
          <w:szCs w:val="16"/>
        </w:rPr>
        <w:softHyphen/>
        <w:t>таны Михайленко и Холод, старшие лейтенанты Мальцев и Калашник днём и в лунные ночи вели разведку позиций противника, выявляя огневые точки. 30 апреля войска 1-й гвардейской и 38-й армий захватили г. Моравска-Острава обходным манёвром. В 20 км от Праги воины 3-го ОВДААН узнали о капитуляции Германии. Многие воз</w:t>
      </w:r>
      <w:r w:rsidRPr="00D03F3E">
        <w:rPr>
          <w:rFonts w:ascii="Times New Roman" w:hAnsi="Times New Roman"/>
          <w:color w:val="0070C0"/>
          <w:sz w:val="16"/>
          <w:szCs w:val="16"/>
        </w:rPr>
        <w:softHyphen/>
        <w:t>духоплаватели за проявленное в боях мужество были награждены советскими и чехословацки</w:t>
      </w:r>
      <w:r w:rsidRPr="00D03F3E">
        <w:rPr>
          <w:rFonts w:ascii="Times New Roman" w:hAnsi="Times New Roman"/>
          <w:color w:val="0070C0"/>
          <w:sz w:val="16"/>
          <w:szCs w:val="16"/>
        </w:rPr>
        <w:softHyphen/>
        <w:t>ми орденами. Получил высший чехословацкий орден «Военный Крест» и командир 3-го ОВДА</w:t>
      </w:r>
      <w:r w:rsidRPr="00D03F3E">
        <w:rPr>
          <w:rFonts w:ascii="Times New Roman" w:hAnsi="Times New Roman"/>
          <w:color w:val="0070C0"/>
          <w:sz w:val="16"/>
          <w:szCs w:val="16"/>
        </w:rPr>
        <w:softHyphen/>
        <w:t>АН подполковник С.Д. Джилкишев. После вой</w:t>
      </w:r>
      <w:r w:rsidRPr="00D03F3E">
        <w:rPr>
          <w:rFonts w:ascii="Times New Roman" w:hAnsi="Times New Roman"/>
          <w:color w:val="0070C0"/>
          <w:sz w:val="16"/>
          <w:szCs w:val="16"/>
        </w:rPr>
        <w:softHyphen/>
        <w:t>ны 3-й ОВДААН передислоцировали в Закав</w:t>
      </w:r>
      <w:r w:rsidRPr="00D03F3E">
        <w:rPr>
          <w:rFonts w:ascii="Times New Roman" w:hAnsi="Times New Roman"/>
          <w:color w:val="0070C0"/>
          <w:sz w:val="16"/>
          <w:szCs w:val="16"/>
        </w:rPr>
        <w:softHyphen/>
        <w:t>казский военный округ. Его первого командира С.Д. Джилкишева уволили в отставку по болезни из-за подвёрнутой во время парашютного прыж</w:t>
      </w:r>
      <w:r w:rsidRPr="00D03F3E">
        <w:rPr>
          <w:rFonts w:ascii="Times New Roman" w:hAnsi="Times New Roman"/>
          <w:color w:val="0070C0"/>
          <w:sz w:val="16"/>
          <w:szCs w:val="16"/>
        </w:rPr>
        <w:softHyphen/>
        <w:t>ка из горящего аэростата ноги. 3-й Отдельный Свирский ордена Красной Звезды воздухоплава</w:t>
      </w:r>
      <w:r w:rsidRPr="00D03F3E">
        <w:rPr>
          <w:rFonts w:ascii="Times New Roman" w:hAnsi="Times New Roman"/>
          <w:color w:val="0070C0"/>
          <w:sz w:val="16"/>
          <w:szCs w:val="16"/>
        </w:rPr>
        <w:softHyphen/>
        <w:t>тельный дивизион расформировали в 1955 г. (20120).</w:t>
      </w:r>
    </w:p>
    <w:p w14:paraId="03AE4CD7" w14:textId="77777777" w:rsidR="000846F5" w:rsidRPr="00D03F3E" w:rsidRDefault="000846F5" w:rsidP="00D03F3E">
      <w:pPr>
        <w:spacing w:after="0" w:line="240" w:lineRule="auto"/>
        <w:jc w:val="both"/>
        <w:rPr>
          <w:rFonts w:ascii="Times New Roman" w:hAnsi="Times New Roman"/>
          <w:color w:val="0070C0"/>
          <w:sz w:val="16"/>
          <w:szCs w:val="16"/>
        </w:rPr>
      </w:pPr>
    </w:p>
    <w:p w14:paraId="3853ED62" w14:textId="77777777" w:rsidR="00D50DCD" w:rsidRPr="00D03F3E" w:rsidRDefault="00C81444" w:rsidP="00D03F3E">
      <w:pPr>
        <w:pStyle w:val="Iauiue"/>
        <w:jc w:val="both"/>
        <w:rPr>
          <w:iCs/>
          <w:color w:val="000000" w:themeColor="text1"/>
          <w:sz w:val="16"/>
          <w:szCs w:val="16"/>
        </w:rPr>
      </w:pPr>
      <w:r w:rsidRPr="00D03F3E">
        <w:rPr>
          <w:i/>
          <w:iCs/>
          <w:color w:val="000000" w:themeColor="text1"/>
          <w:sz w:val="16"/>
          <w:szCs w:val="16"/>
        </w:rPr>
        <w:t>Жизнь и внутренняя политика:</w:t>
      </w:r>
    </w:p>
    <w:p w14:paraId="06C69974" w14:textId="77777777" w:rsidR="00D50DCD" w:rsidRPr="00D03F3E" w:rsidRDefault="00D50DCD" w:rsidP="00D03F3E">
      <w:pPr>
        <w:pStyle w:val="Iauiue"/>
        <w:jc w:val="both"/>
        <w:rPr>
          <w:iCs/>
          <w:color w:val="000000" w:themeColor="text1"/>
          <w:sz w:val="16"/>
          <w:szCs w:val="16"/>
        </w:rPr>
      </w:pPr>
    </w:p>
    <w:p w14:paraId="0BF9AA3F" w14:textId="77777777" w:rsidR="00D50DCD" w:rsidRPr="00D03F3E" w:rsidRDefault="00D50D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года, согласно Сергею Кускову, который на основании данных Челябинского областного архива проанализировал цены военного времени, самыми высокими они были в  Кыштыме  и Златоусте когда килограмм свинины покупали за 400 рублей, говядины – за 320, муки – за 230, картофеля – за 76, десяток яиц – за 180. Литр подсолнечного масла стоил 500 рублей. Заработки же были невелики. Кусков приводит такие данные: рабочие на военных  заводах  получали по 600-700 рублей, вспомогательные рабочие – 300-600, врач в больнице – 600-800, уборщица – 160. При этом часть заработанного уходила в счёт обязательных «добровольных» платежей. По государственному займу, например, кыштымцы внесли в фонд обороны 23,477 миллиона рублей. Ветераны, вспоминая военные годы, домашних бурёнок называют не иначе как кормилицами. Молоко помогало выживать и детям, и взрослым. Судя по данным историка, в июне 1941 года дойная корова стоила 2-</w:t>
      </w:r>
      <w:r w:rsidRPr="00D03F3E">
        <w:rPr>
          <w:rFonts w:ascii="Times New Roman" w:hAnsi="Times New Roman"/>
          <w:color w:val="000000" w:themeColor="text1"/>
          <w:sz w:val="16"/>
          <w:szCs w:val="16"/>
        </w:rPr>
        <w:lastRenderedPageBreak/>
        <w:t>2,5 тысячи рублей, а уже в 1942 году её цена подскочила в 20 раз и дошла до 40-50 тысяч. На эти деньги можно было купить танк Т-34, а за трёх коров – штурмовик Ил-2. Некоторые наши земляки так и поступали: купленные на военных  заводах  ружья, танки и самолёты они дарили родственникам, сражающимся на фронте (15725).</w:t>
      </w:r>
    </w:p>
    <w:p w14:paraId="0404E1B9" w14:textId="77777777" w:rsidR="00D50DCD" w:rsidRPr="00D03F3E" w:rsidRDefault="00D50DCD" w:rsidP="00D03F3E">
      <w:pPr>
        <w:spacing w:after="0" w:line="240" w:lineRule="auto"/>
        <w:jc w:val="both"/>
        <w:rPr>
          <w:rFonts w:ascii="Times New Roman" w:hAnsi="Times New Roman"/>
          <w:color w:val="000000" w:themeColor="text1"/>
          <w:sz w:val="16"/>
          <w:szCs w:val="16"/>
        </w:rPr>
      </w:pPr>
    </w:p>
    <w:p w14:paraId="4A54177A"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17156FAD" w14:textId="77777777" w:rsidR="00531570" w:rsidRPr="00D03F3E" w:rsidRDefault="00531570" w:rsidP="00D03F3E">
      <w:pPr>
        <w:pStyle w:val="Iauiue"/>
        <w:jc w:val="both"/>
        <w:rPr>
          <w:iCs/>
          <w:color w:val="000000" w:themeColor="text1"/>
          <w:sz w:val="16"/>
          <w:szCs w:val="16"/>
        </w:rPr>
      </w:pPr>
    </w:p>
    <w:p w14:paraId="2C69F6D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года было принято решение Политбюро ЦК ВКП(б) о роспуске Коммунистического Интернационала (Коминтерна) (8983).</w:t>
      </w:r>
    </w:p>
    <w:p w14:paraId="782FA2BE" w14:textId="77777777" w:rsidR="00531570" w:rsidRPr="00D03F3E" w:rsidRDefault="00531570" w:rsidP="00D03F3E">
      <w:pPr>
        <w:pStyle w:val="Iauiue"/>
        <w:jc w:val="both"/>
        <w:rPr>
          <w:color w:val="000000" w:themeColor="text1"/>
          <w:sz w:val="16"/>
          <w:szCs w:val="16"/>
        </w:rPr>
      </w:pPr>
    </w:p>
    <w:p w14:paraId="568350E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года были радиоточки Первого отдела ИККИ: Польша (5), Дания (1), Голландия (5), Германия (через Голландию), Бельгия (2), Франция (2), Швеция (1), Англия (1), Соединенные штаты (1), Китай (2), Монголия (1), Иран (1), Ирак (1), Словения (1), Хорватия (1), Югославия (1), Австрия (через Словению) (1), готовятся в Чехии, Финляндии, Словакии, Германии, планируются в Венгрии, Болгарии, Сирии, Индии (8983).</w:t>
      </w:r>
    </w:p>
    <w:p w14:paraId="06C38DC1" w14:textId="77777777" w:rsidR="00531570" w:rsidRPr="00D03F3E" w:rsidRDefault="00531570" w:rsidP="00D03F3E">
      <w:pPr>
        <w:pStyle w:val="Iauiue"/>
        <w:jc w:val="both"/>
        <w:rPr>
          <w:color w:val="000000" w:themeColor="text1"/>
          <w:sz w:val="16"/>
          <w:szCs w:val="16"/>
        </w:rPr>
      </w:pPr>
    </w:p>
    <w:p w14:paraId="1721E4CE"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0A537573" w14:textId="77777777" w:rsidR="00531570" w:rsidRPr="00D03F3E" w:rsidRDefault="00531570" w:rsidP="00D03F3E">
      <w:pPr>
        <w:pStyle w:val="Iauiue"/>
        <w:jc w:val="both"/>
        <w:rPr>
          <w:iCs/>
          <w:color w:val="000000" w:themeColor="text1"/>
          <w:sz w:val="16"/>
          <w:szCs w:val="16"/>
        </w:rPr>
      </w:pPr>
    </w:p>
    <w:p w14:paraId="44645B20" w14:textId="77777777" w:rsidR="00B240A2" w:rsidRPr="00D03F3E" w:rsidRDefault="00B240A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мае 1943 Департамент ВМФ Соединенных Штатов начинает разработку вертолета в качестве противолодочной платформы совместно с береговой охраной США (20376).</w:t>
      </w:r>
    </w:p>
    <w:p w14:paraId="5908B4B0" w14:textId="77777777" w:rsidR="00B240A2" w:rsidRPr="00D03F3E" w:rsidRDefault="00B240A2" w:rsidP="00D03F3E">
      <w:pPr>
        <w:spacing w:after="0" w:line="240" w:lineRule="auto"/>
        <w:jc w:val="both"/>
        <w:rPr>
          <w:rFonts w:ascii="Times New Roman" w:hAnsi="Times New Roman"/>
          <w:color w:val="0070C0"/>
          <w:sz w:val="16"/>
          <w:szCs w:val="16"/>
        </w:rPr>
      </w:pPr>
    </w:p>
    <w:p w14:paraId="3E08AA84" w14:textId="77777777" w:rsidR="00B240A2" w:rsidRPr="00D03F3E" w:rsidRDefault="00B240A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мае 1943-го англо-американс</w:t>
      </w:r>
      <w:r w:rsidRPr="00D03F3E">
        <w:rPr>
          <w:rFonts w:ascii="Times New Roman" w:hAnsi="Times New Roman"/>
          <w:color w:val="0070C0"/>
          <w:sz w:val="16"/>
          <w:szCs w:val="16"/>
        </w:rPr>
        <w:softHyphen/>
        <w:t>кая авиация ввела в действие план «Пойнт-блэнк» (удары по предпри</w:t>
      </w:r>
      <w:r w:rsidRPr="00D03F3E">
        <w:rPr>
          <w:rFonts w:ascii="Times New Roman" w:hAnsi="Times New Roman"/>
          <w:color w:val="0070C0"/>
          <w:sz w:val="16"/>
          <w:szCs w:val="16"/>
        </w:rPr>
        <w:softHyphen/>
        <w:t>ятиям ракетного производства). Англий</w:t>
      </w:r>
      <w:r w:rsidRPr="00D03F3E">
        <w:rPr>
          <w:rFonts w:ascii="Times New Roman" w:hAnsi="Times New Roman"/>
          <w:color w:val="0070C0"/>
          <w:sz w:val="16"/>
          <w:szCs w:val="16"/>
        </w:rPr>
        <w:softHyphen/>
        <w:t>ские бомбардировщики провели серию налетов, целью которых был завод фирмы «Цеппелин» во Фридрихсхафене, где про</w:t>
      </w:r>
      <w:r w:rsidRPr="00D03F3E">
        <w:rPr>
          <w:rFonts w:ascii="Times New Roman" w:hAnsi="Times New Roman"/>
          <w:color w:val="0070C0"/>
          <w:sz w:val="16"/>
          <w:szCs w:val="16"/>
        </w:rPr>
        <w:softHyphen/>
        <w:t>изводили окончательную сборку Фау-2.</w:t>
      </w:r>
    </w:p>
    <w:p w14:paraId="6D8256FA" w14:textId="77777777" w:rsidR="00B240A2" w:rsidRPr="00D03F3E" w:rsidRDefault="00B240A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Американские самолеты разбомбили и промышленные корпуса заводов в Винер-Нойштадте, изготавливавшие отде</w:t>
      </w:r>
      <w:r w:rsidRPr="00D03F3E">
        <w:rPr>
          <w:rFonts w:ascii="Times New Roman" w:hAnsi="Times New Roman"/>
          <w:color w:val="0070C0"/>
          <w:sz w:val="16"/>
          <w:szCs w:val="16"/>
        </w:rPr>
        <w:softHyphen/>
        <w:t>льные компоненты ракет. Особыми объек</w:t>
      </w:r>
      <w:r w:rsidRPr="00D03F3E">
        <w:rPr>
          <w:rFonts w:ascii="Times New Roman" w:hAnsi="Times New Roman"/>
          <w:color w:val="0070C0"/>
          <w:sz w:val="16"/>
          <w:szCs w:val="16"/>
        </w:rPr>
        <w:softHyphen/>
        <w:t>тами для бомбардировок стали химические предприятия, производившие перекись водорода. Это было ошибкой, так как к тому времени еще не были выяснены компоненты ракетного топлива Фау-2, что не позволило на первом этапе бомбарди</w:t>
      </w:r>
      <w:r w:rsidRPr="00D03F3E">
        <w:rPr>
          <w:rFonts w:ascii="Times New Roman" w:hAnsi="Times New Roman"/>
          <w:color w:val="0070C0"/>
          <w:sz w:val="16"/>
          <w:szCs w:val="16"/>
        </w:rPr>
        <w:softHyphen/>
        <w:t>ровок парализовать выпуск спирта и жид</w:t>
      </w:r>
      <w:r w:rsidRPr="00D03F3E">
        <w:rPr>
          <w:rFonts w:ascii="Times New Roman" w:hAnsi="Times New Roman"/>
          <w:color w:val="0070C0"/>
          <w:sz w:val="16"/>
          <w:szCs w:val="16"/>
        </w:rPr>
        <w:softHyphen/>
        <w:t>кого кислорода. Затем произвели перена</w:t>
      </w:r>
      <w:r w:rsidRPr="00D03F3E">
        <w:rPr>
          <w:rFonts w:ascii="Times New Roman" w:hAnsi="Times New Roman"/>
          <w:color w:val="0070C0"/>
          <w:sz w:val="16"/>
          <w:szCs w:val="16"/>
        </w:rPr>
        <w:softHyphen/>
        <w:t>целивание бомбардировочной авиации на стартовые позиции ракет. В августе 1943-го полностью разрушили стационар</w:t>
      </w:r>
      <w:r w:rsidRPr="00D03F3E">
        <w:rPr>
          <w:rFonts w:ascii="Times New Roman" w:hAnsi="Times New Roman"/>
          <w:color w:val="0070C0"/>
          <w:sz w:val="16"/>
          <w:szCs w:val="16"/>
        </w:rPr>
        <w:softHyphen/>
        <w:t>ную позицию в Ваттоне, а вот подготов</w:t>
      </w:r>
      <w:r w:rsidRPr="00D03F3E">
        <w:rPr>
          <w:rFonts w:ascii="Times New Roman" w:hAnsi="Times New Roman"/>
          <w:color w:val="0070C0"/>
          <w:sz w:val="16"/>
          <w:szCs w:val="16"/>
        </w:rPr>
        <w:softHyphen/>
        <w:t>ленные позиции легкого типа потерь не понесли из-за того, что считались второ</w:t>
      </w:r>
      <w:r w:rsidRPr="00D03F3E">
        <w:rPr>
          <w:rFonts w:ascii="Times New Roman" w:hAnsi="Times New Roman"/>
          <w:color w:val="0070C0"/>
          <w:sz w:val="16"/>
          <w:szCs w:val="16"/>
        </w:rPr>
        <w:softHyphen/>
        <w:t>степенными объектами (22798).</w:t>
      </w:r>
    </w:p>
    <w:p w14:paraId="3C4FAA89" w14:textId="77777777" w:rsidR="00B240A2" w:rsidRPr="00D03F3E" w:rsidRDefault="00B240A2" w:rsidP="00D03F3E">
      <w:pPr>
        <w:spacing w:after="0" w:line="240" w:lineRule="auto"/>
        <w:jc w:val="both"/>
        <w:rPr>
          <w:rFonts w:ascii="Times New Roman" w:hAnsi="Times New Roman"/>
          <w:color w:val="0070C0"/>
          <w:sz w:val="16"/>
          <w:szCs w:val="16"/>
        </w:rPr>
      </w:pPr>
    </w:p>
    <w:p w14:paraId="574E0B08" w14:textId="77777777" w:rsidR="00B240A2" w:rsidRPr="00D03F3E" w:rsidRDefault="00B240A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мае 1943 года начались испытания РВМ-5 с моторами Пратт-Уитни R-2800-34 по 2100 л.с. и стартовыми ракетными ускорителями, первый такой самолет был передан ВМС США только в августе следующего года, но усилия окупились сторицей: их было построено 589, и хотя они поставлялись в 41-м варианте спецоборудования и вооружения (была даже модификация РВМ-5C для испытаний управляемых ракет), основным оставался бомбардировщик-торпедоносец. По ходу выпуска самолет получил множество усовершенствований, например, новые четырехлопастные воздушные винты с обтекателями комлевых частей. Испытывались и винты с реверсом тяги. Их вместе с амфибийными колесными шасси ввели на РВМ-5А. Его испытания начались уже после войны и шли долго, но в 1948-1949 годах все же было построено 36 самолетов этого типа и еще 4 были переоборудованы из старых машин (22816).</w:t>
      </w:r>
    </w:p>
    <w:p w14:paraId="680A13C3" w14:textId="77777777" w:rsidR="00B240A2" w:rsidRPr="00D03F3E" w:rsidRDefault="00B240A2" w:rsidP="00D03F3E">
      <w:pPr>
        <w:spacing w:after="0" w:line="240" w:lineRule="auto"/>
        <w:jc w:val="both"/>
        <w:rPr>
          <w:rFonts w:ascii="Times New Roman" w:hAnsi="Times New Roman"/>
          <w:color w:val="0070C0"/>
          <w:sz w:val="16"/>
          <w:szCs w:val="16"/>
        </w:rPr>
      </w:pPr>
    </w:p>
    <w:p w14:paraId="65A50238" w14:textId="77777777" w:rsidR="00B240A2" w:rsidRPr="00D03F3E" w:rsidRDefault="00B240A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мае 1943 года министр вооружений Германии Шпеер доложил Гитлеру о работах, ведущихся фирмой «Рехлинг» по созданию пушки «Hochdruckspumpe».</w:t>
      </w:r>
    </w:p>
    <w:p w14:paraId="06530B25" w14:textId="77777777" w:rsidR="00B240A2" w:rsidRPr="00D03F3E" w:rsidRDefault="00B240A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фирме «Рехлинг Эйзен-унд Штальверке» («Reichling Eisen-und Stahlwerke») работы велись под руководством инженера Августа Кендерса (известного изобретением так называемого «снаряда Рехлинга», предназначенного прежде всего для разрушения укреплений), в сотрудничестве с фирмой Fried. Kruapp AG.</w:t>
      </w:r>
    </w:p>
    <w:p w14:paraId="3ADF3407" w14:textId="77777777" w:rsidR="00B240A2" w:rsidRPr="00D03F3E" w:rsidRDefault="00B240A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Фюрер, питавший слабость к экзотическим проектам, приказал изготовить действующую модель пушки калибром 20 мм. Демонстрацию модели организовали в сентябре того же года — сразу после того, как английские бомбардировщики разбомбили ракетный исследовательский центр в Пенемюнде.</w:t>
      </w:r>
    </w:p>
    <w:p w14:paraId="1FDBC31E" w14:textId="77777777" w:rsidR="00B240A2" w:rsidRPr="00D03F3E" w:rsidRDefault="00B240A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Опасаясь, что разработка главного оружия возмездия — ракеты V-2 — может затянуться на длительный срок, Гитлер распорядился выдать фирме «Рехлинг» контракт на срочное изготовление 50 пушек «Hochdruckspumpe», а военизированная строительная организация Тодта получила приказ на сооружение двух огневых позиций для этих пушек. Позиции надлежало разместить на расстоянии 8 км от побережья Ла-Манша и ориентировать таким образом, чтобы обеспечивался обстрел Лондона.</w:t>
      </w:r>
    </w:p>
    <w:p w14:paraId="4CD90FD1" w14:textId="77777777" w:rsidR="00B240A2" w:rsidRPr="00D03F3E" w:rsidRDefault="00B240A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Орудие сразу же получило наименование «V-3», а удобная позиция для него была найдена у пункта Маркиз-Мимуазек позади мыса Гри-Нез, очень близко от южного конца современного туннеля под Ла-Маншем. По всей Германии собрали более 5000 мастеров, техников и инженеров. Из Рура приехали около 400 германских горняков, инструкторов и бригадиров.</w:t>
      </w:r>
    </w:p>
    <w:p w14:paraId="3E40AE6D" w14:textId="77777777" w:rsidR="00B240A2" w:rsidRPr="00D03F3E" w:rsidRDefault="00B240A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сентябре 1943 года под известняковыми холмами началось строительство мощных туннелей для подземной железной дороги, а сверху холмы накрыли железобетонной плитой шестиметровой толщины. На глубине десяти этажей располагалась разветвленная сеть коридоров, галерей и залов. Еще ниже находились замковые камеры гигантских орудий. Помимо наклонных штреков было оборудовано три яруса галерей с общим входом из одного сквозного туннеля. Бетонированные амбразуры на поверхности были защищены бронированными «пробками», изготовленными из крупповской стали.</w:t>
      </w:r>
    </w:p>
    <w:p w14:paraId="52705BD8" w14:textId="77777777" w:rsidR="00B240A2" w:rsidRPr="00D03F3E" w:rsidRDefault="00B240A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Ствол самой пушки представлял собой смонтированную в бетонированной шахте под определенным углом стальную трубу, собранную из 32 промежуточных элементов с дополнительными зарядными каморами, казенника и дульной части. Длина трубы составляла 124 м. По проекту масса пушки составляла 62000 кг, однако вследствие усиления отдельных элементов ее конструкции масса возросла до 76000 кг. Разработанный к пушке фирмой «Рехлинг» фугасный снаряд имел необычайно большую длину — 3165 мм и по форме напоминал длинную ракету, оснащенную стабилизирующим оперением, которое все еще совершенствовалось Кендерсом. Поскольку в канале ствола нарезы отсутствовали, стабилизация снаряда в полете должна была обеспечиваться только хвостовым оперением, раскрывавшимся с помощью пружины после вылета снаряда из ствола. Масса снаряда составляла 140 кг, из них 25 кг приходилось на заряд взрывчатых веществ. Снаряд был подкалиберным — при диаметре канала ствола 150 мм его диаметр составлял 110 мм (22870).</w:t>
      </w:r>
    </w:p>
    <w:p w14:paraId="3B805BEA" w14:textId="77777777" w:rsidR="00B240A2" w:rsidRPr="00D03F3E" w:rsidRDefault="00B240A2" w:rsidP="00D03F3E">
      <w:pPr>
        <w:spacing w:after="0" w:line="240" w:lineRule="auto"/>
        <w:jc w:val="both"/>
        <w:rPr>
          <w:rFonts w:ascii="Times New Roman" w:hAnsi="Times New Roman"/>
          <w:color w:val="0070C0"/>
          <w:sz w:val="16"/>
          <w:szCs w:val="16"/>
        </w:rPr>
      </w:pPr>
    </w:p>
    <w:p w14:paraId="3ECD829C" w14:textId="77777777" w:rsidR="00D50DCD" w:rsidRPr="00D03F3E" w:rsidRDefault="00D50D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года на полигоне Леба в Померании начались первые испытания "Feuerlilie"-25. Всего было проведено около тридцати пусков этой ЗУР. Проект не оправдал возложенных на него ожиданий и был прекращен. При скорости в 210 м/с и досягаемости до 2900 м "Feuerlilie"-25 не представляла боевой ценности. К тому же система наведения обеспечивала слишком низкий процент попаданий.</w:t>
      </w:r>
    </w:p>
    <w:p w14:paraId="6D187F99" w14:textId="77777777" w:rsidR="00D50DCD" w:rsidRPr="00D03F3E" w:rsidRDefault="00D50D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Первую ракету этой серии начала разрабатывать фирма Rheinmetall-Borsing под обозначением "Feuerlilie"-25. Двухметровая ракета с общим весом 120 кг должна была осуществлять перехват цели по программе, закладываемой в головку наведения перед запуском. В основу проекта семейства ЗУР "Feuerlilie" ("Огненная лилия") лег опыт создания ЗУР "Hecht".</w:t>
      </w:r>
    </w:p>
    <w:p w14:paraId="5FE4041F" w14:textId="77777777" w:rsidR="00D50DCD" w:rsidRPr="00D03F3E" w:rsidRDefault="00D50D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Развитием линии "Feuerlilie" стал следующий проект "Feuerlilie"-55 (F-55). Фактически же конструкторы разрабатывали три равнозначных конструкции. Первый прототип весил 472 кг и в мае 1944 года показал скорость в 400 м/с при досягаемости по высоте 7600 м. Второй прототип был несколько больше: его стартовый вес составлял 665 кг. Во время первых испытаний в Пенемюнде 11 декабря 1944 года ракета взорвалась на старте. Третий прототип с маршевым жидкостным реактивным двигателем и стартовым ускорителем "Пират" в ноябре 1944 года был доставлен в Пенемюнде, но не был испытан (15139).</w:t>
      </w:r>
    </w:p>
    <w:p w14:paraId="497EF6B2" w14:textId="77777777" w:rsidR="00D50DCD" w:rsidRPr="00D03F3E" w:rsidRDefault="00D50DCD" w:rsidP="00D03F3E">
      <w:pPr>
        <w:spacing w:after="0" w:line="240" w:lineRule="auto"/>
        <w:jc w:val="both"/>
        <w:rPr>
          <w:rFonts w:ascii="Times New Roman" w:hAnsi="Times New Roman"/>
          <w:color w:val="000000" w:themeColor="text1"/>
          <w:sz w:val="16"/>
          <w:szCs w:val="16"/>
        </w:rPr>
      </w:pPr>
    </w:p>
    <w:p w14:paraId="26CAF7E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 1943 в Пенемюнде была демонстрация ракетного оружия. Два V-2 запустили успешно, а оба V-1 взорвались через несколько секунд после старта. Произвело впечатление. Решили с августа 1943 по июль 1944 выпустить 24.5 тыс. и к маю 1944 по 5000 в месяц (1608,20).</w:t>
      </w:r>
    </w:p>
    <w:p w14:paraId="5395790A" w14:textId="77777777" w:rsidR="00531570" w:rsidRPr="00D03F3E" w:rsidRDefault="00531570" w:rsidP="00D03F3E">
      <w:pPr>
        <w:pStyle w:val="Iauiue"/>
        <w:jc w:val="both"/>
        <w:rPr>
          <w:color w:val="000000" w:themeColor="text1"/>
          <w:sz w:val="16"/>
          <w:szCs w:val="16"/>
        </w:rPr>
      </w:pPr>
    </w:p>
    <w:p w14:paraId="285154D8" w14:textId="77777777" w:rsidR="00531570" w:rsidRPr="00D03F3E" w:rsidRDefault="00531570" w:rsidP="00D03F3E">
      <w:pPr>
        <w:pStyle w:val="afffc"/>
        <w:widowControl/>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 мае 1943 г. в Пенемюнде произошли сравнительные испытания ракет Fi.103 и А4. Решался вопрос о принятии на вооружение одного из двух типов ракет. Поскольку два старта КР Fi.103 закончились аварией, то мнения склонились в пользу баллистической ракеты. Однако разработка КР зашла уже настолько далеко, что комиссия по дальним бомбардировкам Министерства вооружений еще до начала сравнительных испытаний постановила, что обе ракеты будут производиться серийно с максимальной интенсивностью.</w:t>
      </w:r>
    </w:p>
    <w:p w14:paraId="53309EA3" w14:textId="77777777" w:rsidR="00531570" w:rsidRPr="00D03F3E" w:rsidRDefault="00531570" w:rsidP="00D03F3E">
      <w:pPr>
        <w:pStyle w:val="afffc"/>
        <w:widowControl/>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Развертывание серийного выпуска Fi.103 было намечено на сентябрь 1943 г. В результате массированных воздушных ударов союзников по ракетному центру, а также по техническим и технологическим причинам немцы вынуждены были осуществить временную приостановку массового производства КР. Кроме того, саботаж военнопленных, которые собирали узлы и агрегаты самолетов-снарядов на заводах, приводил к тому, что до 30 % ракет V1 оказывались неисправными (Орлов А.С. «Чудо-оружие»: обманутые надежды фюрера. Смоленск: Русич, 1999.), около 2000 изготовленных самолетов-снарядов было забраковано (Ненахов Ю.Ю. Чудо-оружие Третьего рейха. Минск: ХАРВЕСТ, 1999.), 20–25% V1 терпели аварии или взрывались непосредственно после запуска.</w:t>
      </w:r>
    </w:p>
    <w:p w14:paraId="0B42A796" w14:textId="77777777" w:rsidR="00531570" w:rsidRPr="00D03F3E" w:rsidRDefault="00531570" w:rsidP="00D03F3E">
      <w:pPr>
        <w:pStyle w:val="afffc"/>
        <w:widowControl/>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Траектория полета Fi.103 соответствовала программе, заложенной в нее при подготовке к старту. После запуска было уже невозможно изменить намеченный курс, высоту полета и расстояние до цели. После катапультирования КР набирала положенную высоту (300–2000 м) и прямиком летела к цели. Отсчитав установленную по данным измерителя дистанцию, прибор выключал поступление топлива и фиксировал руль высоты в положение для пикирования. После падения ракеты один из взрывателей производил подрыв боевой части.</w:t>
      </w:r>
    </w:p>
    <w:p w14:paraId="1723ED34" w14:textId="77777777" w:rsidR="00531570" w:rsidRPr="00D03F3E" w:rsidRDefault="00531570" w:rsidP="00D03F3E">
      <w:pPr>
        <w:pStyle w:val="afffc"/>
        <w:widowControl/>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 xml:space="preserve">Из-за низкой точности попадания (КВО серийных образцов составляло 1–2 км) Fi.103 предназначались к использованию для массированных ударов по общественно-политическим центрам Англии, т.е. крылатые ракеты были призваны стать оружием устрашения мирного населения, насаждения чувства страха и безнадежности. Военное руководство вермахта предлагало Гитлеру ударить крылатыми ракетами по районам скопления англо-американских войск на территории Англии и по </w:t>
      </w:r>
      <w:r w:rsidRPr="00D03F3E">
        <w:rPr>
          <w:rFonts w:ascii="Times New Roman" w:hAnsi="Times New Roman" w:cs="Times New Roman"/>
          <w:color w:val="000000" w:themeColor="text1"/>
          <w:sz w:val="16"/>
          <w:szCs w:val="16"/>
        </w:rPr>
        <w:lastRenderedPageBreak/>
        <w:t>плацдармам союзников на французском побережье. Гитлер категорически запретил такой удар. Он рассматривал ракетное оружие прежде всего как средство политического и психологического давления на англичан. По его убеждению, ракеты должны были заставить правительство Великобритании пойти на сепаратный мир (11686).</w:t>
      </w:r>
    </w:p>
    <w:p w14:paraId="584F90D9" w14:textId="77777777" w:rsidR="00531570" w:rsidRPr="00D03F3E" w:rsidRDefault="00531570" w:rsidP="00D03F3E">
      <w:pPr>
        <w:pStyle w:val="afffc"/>
        <w:widowControl/>
        <w:jc w:val="both"/>
        <w:rPr>
          <w:rFonts w:ascii="Times New Roman" w:hAnsi="Times New Roman" w:cs="Times New Roman"/>
          <w:color w:val="000000" w:themeColor="text1"/>
          <w:sz w:val="16"/>
          <w:szCs w:val="16"/>
        </w:rPr>
      </w:pPr>
    </w:p>
    <w:p w14:paraId="740ABC48" w14:textId="77777777" w:rsidR="00B240A2" w:rsidRPr="00D03F3E" w:rsidRDefault="00B240A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мае 1943 Оберлейтенант Рудольф Шёнерт, пилотирующий ночной истребитель Messerschmitt Bf 110, использует автоматическую пушку Schräge Musik («Джазовая музыка»), установленную для стрельбы наклонно вверх и вперед, чтобы впервые сбить вражеский бомбардировщик. Официально принятый на вооружение Люфтваффе в июне, Schräge Musik станет разрушительным немецким противотанковым оружием во второй половине 1943 года (а также использовались Японией) (20376).</w:t>
      </w:r>
    </w:p>
    <w:p w14:paraId="5AE60353" w14:textId="77777777" w:rsidR="00B240A2" w:rsidRPr="00D03F3E" w:rsidRDefault="00B240A2" w:rsidP="00D03F3E">
      <w:pPr>
        <w:spacing w:after="0" w:line="240" w:lineRule="auto"/>
        <w:jc w:val="both"/>
        <w:rPr>
          <w:rFonts w:ascii="Times New Roman" w:hAnsi="Times New Roman"/>
          <w:color w:val="0070C0"/>
          <w:sz w:val="16"/>
          <w:szCs w:val="16"/>
        </w:rPr>
      </w:pPr>
    </w:p>
    <w:p w14:paraId="7F74AE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мая 1943 г. в Германии начался выпуск технического табуна, в то время как зарин в небольшом количестве мог производиться только с июня 1944 г. До конца войны, по данным союзников, только в Дихернфурте было произведено около 12000 т табуна. Табун масштабно производился до января 1945 г., когда началась эвакуация завода. Монтаж оборудования в цехе по производству зарина (последняя стадия) к февралю 1945 г., моменту захвата завода, закончен не был (мощность составляла 300 т зарина в месяц), действовала лишь опытная установка. Оборудование для производств табуна (цеха NN 112,144,130-133 и 150) и зарина (цеха NN 116,117 и 149. Для производства зарина в 1945 г. заканчивалась постройка двух производственных объектов. Завод "Аноргана Верк ГМБХ", входивший в концерн "ИГ Фарбениндустри" и специализировавшегося на производстве и снаряжении в химбоеприпасы фосфорных ОВ - табуна и зарина, был вывезен из Дихернфурта на Одере (Силезия) в Сталинград (9066).</w:t>
      </w:r>
    </w:p>
    <w:p w14:paraId="3A46CF31" w14:textId="77777777" w:rsidR="00531570" w:rsidRPr="00D03F3E" w:rsidRDefault="00531570" w:rsidP="00D03F3E">
      <w:pPr>
        <w:pStyle w:val="Iauiue"/>
        <w:jc w:val="both"/>
        <w:rPr>
          <w:color w:val="000000" w:themeColor="text1"/>
          <w:sz w:val="16"/>
          <w:szCs w:val="16"/>
        </w:rPr>
      </w:pPr>
    </w:p>
    <w:p w14:paraId="49875EF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согласно книге Харальда Буша «Подводный флот третьего рейха», в которой приведены воспоминания немецких подводни</w:t>
      </w:r>
      <w:r w:rsidRPr="00D03F3E">
        <w:rPr>
          <w:rFonts w:ascii="Times New Roman" w:hAnsi="Times New Roman"/>
          <w:color w:val="000000" w:themeColor="text1"/>
          <w:sz w:val="16"/>
          <w:szCs w:val="16"/>
        </w:rPr>
        <w:softHyphen/>
        <w:t>ков. Вот как они отзываются об авиационном ракетном вооружении американцев: «...С мая на вооружение некоторых самолетов поступили ракетные снаряды, которые при первой же встрече с подлодкой топили ее. С появлением ракетных снарядов для подводных лодок стало слиш</w:t>
      </w:r>
      <w:r w:rsidRPr="00D03F3E">
        <w:rPr>
          <w:rFonts w:ascii="Times New Roman" w:hAnsi="Times New Roman"/>
          <w:color w:val="000000" w:themeColor="text1"/>
          <w:sz w:val="16"/>
          <w:szCs w:val="16"/>
        </w:rPr>
        <w:softHyphen/>
        <w:t>ком опасным оставаться на поверхности, ожидая атак с воздуха...». Здесь автор чересчур вольно и мимоходом затронул причину переворота в во</w:t>
      </w:r>
      <w:r w:rsidRPr="00D03F3E">
        <w:rPr>
          <w:rFonts w:ascii="Times New Roman" w:hAnsi="Times New Roman"/>
          <w:color w:val="000000" w:themeColor="text1"/>
          <w:sz w:val="16"/>
          <w:szCs w:val="16"/>
        </w:rPr>
        <w:softHyphen/>
        <w:t>енном деле (противостояния авиации и подводного флота) в контексте событий 1943 г.</w:t>
      </w:r>
    </w:p>
    <w:p w14:paraId="6952431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вооружении морской авиации союзники тогда получили разрабо</w:t>
      </w:r>
      <w:r w:rsidRPr="00D03F3E">
        <w:rPr>
          <w:rFonts w:ascii="Times New Roman" w:hAnsi="Times New Roman"/>
          <w:color w:val="000000" w:themeColor="text1"/>
          <w:sz w:val="16"/>
          <w:szCs w:val="16"/>
        </w:rPr>
        <w:softHyphen/>
        <w:t>танные в калифорнийском технологическом институте 89-мм (3,5-дюй</w:t>
      </w:r>
      <w:r w:rsidRPr="00D03F3E">
        <w:rPr>
          <w:rFonts w:ascii="Times New Roman" w:hAnsi="Times New Roman"/>
          <w:color w:val="000000" w:themeColor="text1"/>
          <w:sz w:val="16"/>
          <w:szCs w:val="16"/>
        </w:rPr>
        <w:softHyphen/>
        <w:t>мовые) РС с весьма посредственными характеристиками (бронепробиваемость - 44,5 мм, бетонобойность — 600 мм). Нетрудно заметить, что о точности стрельбы ими разработчики вообще предпочитали умалчи</w:t>
      </w:r>
      <w:r w:rsidRPr="00D03F3E">
        <w:rPr>
          <w:rFonts w:ascii="Times New Roman" w:hAnsi="Times New Roman"/>
          <w:color w:val="000000" w:themeColor="text1"/>
          <w:sz w:val="16"/>
          <w:szCs w:val="16"/>
        </w:rPr>
        <w:softHyphen/>
        <w:t>вать. То есть, ее результаты были разумеется, как в «голливудских сказоч</w:t>
      </w:r>
      <w:r w:rsidRPr="00D03F3E">
        <w:rPr>
          <w:rFonts w:ascii="Times New Roman" w:hAnsi="Times New Roman"/>
          <w:color w:val="000000" w:themeColor="text1"/>
          <w:sz w:val="16"/>
          <w:szCs w:val="16"/>
        </w:rPr>
        <w:softHyphen/>
        <w:t>ках» — исключительно без промахов... Впрочем, в немецкие подлодки американцы все же попадали.</w:t>
      </w:r>
    </w:p>
    <w:p w14:paraId="13E435F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Вне сомнения, «секрет» столь успешной стрельбы здесь заключался в дистанции огня. РС проникающего типа позволяли стрелять по подлод</w:t>
      </w:r>
      <w:r w:rsidRPr="00D03F3E">
        <w:rPr>
          <w:rFonts w:ascii="Times New Roman" w:hAnsi="Times New Roman"/>
          <w:color w:val="000000" w:themeColor="text1"/>
          <w:sz w:val="16"/>
          <w:szCs w:val="16"/>
        </w:rPr>
        <w:softHyphen/>
        <w:t>кам «в упор», с дальностей 300-500 м без боязни подорваться на собствен</w:t>
      </w:r>
      <w:r w:rsidRPr="00D03F3E">
        <w:rPr>
          <w:rFonts w:ascii="Times New Roman" w:hAnsi="Times New Roman"/>
          <w:color w:val="000000" w:themeColor="text1"/>
          <w:sz w:val="16"/>
          <w:szCs w:val="16"/>
        </w:rPr>
        <w:softHyphen/>
        <w:t>ных осколках. Ведь, снаряд при точном попадании разрывался внутри лодки. А те боеприпасы, которыми промахнулись, просто тонули в океан</w:t>
      </w:r>
      <w:r w:rsidRPr="00D03F3E">
        <w:rPr>
          <w:rFonts w:ascii="Times New Roman" w:hAnsi="Times New Roman"/>
          <w:color w:val="000000" w:themeColor="text1"/>
          <w:sz w:val="16"/>
          <w:szCs w:val="16"/>
        </w:rPr>
        <w:softHyphen/>
        <w:t>ской бездне. Повторить те же «поразительные результаты стрельбы», но по. наземным целям американцам было невозможно. Поэтому таковые ситуации и не упоминаются в мемуарах союзных летчиков-штурмовиков (11402).</w:t>
      </w:r>
    </w:p>
    <w:p w14:paraId="34F6836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01B848B" w14:textId="77777777" w:rsidR="00531570" w:rsidRPr="00D03F3E" w:rsidRDefault="00531570" w:rsidP="00D03F3E">
      <w:pPr>
        <w:pStyle w:val="afff1"/>
        <w:jc w:val="both"/>
        <w:rPr>
          <w:i w:val="0"/>
          <w:iCs w:val="0"/>
          <w:color w:val="000000" w:themeColor="text1"/>
          <w:spacing w:val="0"/>
          <w:kern w:val="0"/>
          <w:position w:val="0"/>
          <w:sz w:val="16"/>
          <w:szCs w:val="16"/>
        </w:rPr>
      </w:pPr>
      <w:r w:rsidRPr="00D03F3E">
        <w:rPr>
          <w:i w:val="0"/>
          <w:iCs w:val="0"/>
          <w:color w:val="000000" w:themeColor="text1"/>
          <w:spacing w:val="0"/>
          <w:kern w:val="0"/>
          <w:position w:val="0"/>
          <w:sz w:val="16"/>
          <w:szCs w:val="16"/>
        </w:rPr>
        <w:t>В мае 1943 года Иосио Нисина доложил штабу Военно-воздушных сил (к этому времени штаб флота передал решение этой проблемы ВВС), что создание атомной бомбы технически возможно. На основании его доклада была утверждена секретная программа под кодовым названием «Ни». Научным центром проекта стал Исследовательский институт авиационной технологии. Профессор Нисина привлек к участию в проекте способных молодых ученых. Один из учеников профессора – Хидехико Тамаки – возглавил группу, которой было поручено рассчитать размер критической массы урана-235. Другой его ученик Тадаки Такеути стал во главе работ по разделению изотопов урана. Однако научные кадры Японии в этой области были слишком малочисленны. Но, несмотря на это, им за короткое время удалось добиться значительных успехов. В лаборатории профессора Аракуцы делались попытки разделения урана с помощью центрифуг. В январе 1944 года группа Такеути подготовила к испытаниям опытный образец сепаратора для разделения изотопов урана методом газовой диффузии (11457).</w:t>
      </w:r>
    </w:p>
    <w:p w14:paraId="6AB8B3F1" w14:textId="77777777" w:rsidR="00531570" w:rsidRPr="00D03F3E" w:rsidRDefault="00531570" w:rsidP="00D03F3E">
      <w:pPr>
        <w:pStyle w:val="afff1"/>
        <w:jc w:val="both"/>
        <w:rPr>
          <w:i w:val="0"/>
          <w:iCs w:val="0"/>
          <w:color w:val="000000" w:themeColor="text1"/>
          <w:spacing w:val="0"/>
          <w:kern w:val="0"/>
          <w:position w:val="0"/>
          <w:sz w:val="16"/>
          <w:szCs w:val="16"/>
        </w:rPr>
      </w:pPr>
    </w:p>
    <w:p w14:paraId="4ADC10AC"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77787471" w14:textId="77777777" w:rsidR="00531570" w:rsidRPr="00D03F3E" w:rsidRDefault="00531570" w:rsidP="00D03F3E">
      <w:pPr>
        <w:pStyle w:val="Iauiue"/>
        <w:jc w:val="both"/>
        <w:rPr>
          <w:iCs/>
          <w:color w:val="000000" w:themeColor="text1"/>
          <w:sz w:val="16"/>
          <w:szCs w:val="16"/>
        </w:rPr>
      </w:pPr>
    </w:p>
    <w:p w14:paraId="63180AB6" w14:textId="77777777" w:rsidR="000C0A4A" w:rsidRPr="00D03F3E"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 мае-июне 1943 в аэродинамической трубе Т-101 ЦАГИ был тщательно иссле</w:t>
      </w:r>
      <w:r w:rsidRPr="00D03F3E">
        <w:rPr>
          <w:rFonts w:ascii="Times New Roman" w:hAnsi="Times New Roman" w:cs="Times New Roman"/>
          <w:color w:val="000000" w:themeColor="text1"/>
          <w:sz w:val="16"/>
          <w:szCs w:val="16"/>
        </w:rPr>
        <w:softHyphen/>
        <w:t>дован серийный Ил-2 зав. №302114 про</w:t>
      </w:r>
      <w:r w:rsidRPr="00D03F3E">
        <w:rPr>
          <w:rFonts w:ascii="Times New Roman" w:hAnsi="Times New Roman" w:cs="Times New Roman"/>
          <w:color w:val="000000" w:themeColor="text1"/>
          <w:sz w:val="16"/>
          <w:szCs w:val="16"/>
        </w:rPr>
        <w:softHyphen/>
        <w:t>изводства завода №30.</w:t>
      </w:r>
    </w:p>
    <w:p w14:paraId="2C5FC51B" w14:textId="77777777" w:rsidR="000C0A4A" w:rsidRPr="00D03F3E"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Самолет был сдан военной приемке 30 апреля 1943 г. До того как попасть в ЦАГИ, Ил-2 зав. №302114 в мае месяце прошел контрольные летные испытания в ЛИИ НКАП.</w:t>
      </w:r>
    </w:p>
    <w:p w14:paraId="7119603E" w14:textId="77777777" w:rsidR="000C0A4A" w:rsidRPr="00D03F3E"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Продувки показали, что минималь</w:t>
      </w:r>
      <w:r w:rsidRPr="00D03F3E">
        <w:rPr>
          <w:rFonts w:ascii="Times New Roman" w:hAnsi="Times New Roman" w:cs="Times New Roman"/>
          <w:color w:val="000000" w:themeColor="text1"/>
          <w:sz w:val="16"/>
          <w:szCs w:val="16"/>
        </w:rPr>
        <w:softHyphen/>
        <w:t>ное значение коэффициента лобового со</w:t>
      </w:r>
      <w:r w:rsidRPr="00D03F3E">
        <w:rPr>
          <w:rFonts w:ascii="Times New Roman" w:hAnsi="Times New Roman" w:cs="Times New Roman"/>
          <w:color w:val="000000" w:themeColor="text1"/>
          <w:sz w:val="16"/>
          <w:szCs w:val="16"/>
        </w:rPr>
        <w:softHyphen/>
        <w:t xml:space="preserve">противления </w:t>
      </w:r>
      <w:r w:rsidRPr="00D03F3E">
        <w:rPr>
          <w:rFonts w:ascii="Times New Roman" w:hAnsi="Times New Roman" w:cs="Times New Roman"/>
          <w:color w:val="000000" w:themeColor="text1"/>
          <w:sz w:val="16"/>
          <w:szCs w:val="16"/>
          <w:lang w:val="en-US"/>
        </w:rPr>
        <w:t>Cxmin</w:t>
      </w:r>
      <w:r w:rsidRPr="00D03F3E">
        <w:rPr>
          <w:rFonts w:ascii="Times New Roman" w:hAnsi="Times New Roman" w:cs="Times New Roman"/>
          <w:color w:val="000000" w:themeColor="text1"/>
          <w:sz w:val="16"/>
          <w:szCs w:val="16"/>
        </w:rPr>
        <w:t xml:space="preserve"> Ил-2 зав. №302114 в условиях эксперимента в трубе Т-101 довольно велико и составляет 0,038 (по данным обработки летных испытаний </w:t>
      </w:r>
      <w:r w:rsidRPr="00D03F3E">
        <w:rPr>
          <w:rFonts w:ascii="Times New Roman" w:hAnsi="Times New Roman" w:cs="Times New Roman"/>
          <w:color w:val="000000" w:themeColor="text1"/>
          <w:sz w:val="16"/>
          <w:szCs w:val="16"/>
          <w:lang w:val="en-US"/>
        </w:rPr>
        <w:t>C</w:t>
      </w:r>
      <w:r w:rsidRPr="00D03F3E">
        <w:rPr>
          <w:rFonts w:ascii="Times New Roman" w:hAnsi="Times New Roman" w:cs="Times New Roman"/>
          <w:color w:val="000000" w:themeColor="text1"/>
          <w:sz w:val="16"/>
          <w:szCs w:val="16"/>
        </w:rPr>
        <w:t>,</w:t>
      </w:r>
      <w:r w:rsidRPr="00D03F3E">
        <w:rPr>
          <w:rFonts w:ascii="Times New Roman" w:hAnsi="Times New Roman" w:cs="Times New Roman"/>
          <w:color w:val="000000" w:themeColor="text1"/>
          <w:sz w:val="16"/>
          <w:szCs w:val="16"/>
          <w:vertAlign w:val="subscript"/>
          <w:lang w:val="en-US"/>
        </w:rPr>
        <w:t>min</w:t>
      </w:r>
      <w:r w:rsidRPr="00D03F3E">
        <w:rPr>
          <w:rFonts w:ascii="Times New Roman" w:hAnsi="Times New Roman" w:cs="Times New Roman"/>
          <w:color w:val="000000" w:themeColor="text1"/>
          <w:sz w:val="16"/>
          <w:szCs w:val="16"/>
        </w:rPr>
        <w:t xml:space="preserve"> - 0,035 при У</w:t>
      </w:r>
      <w:r w:rsidRPr="00D03F3E">
        <w:rPr>
          <w:rFonts w:ascii="Times New Roman" w:hAnsi="Times New Roman" w:cs="Times New Roman"/>
          <w:color w:val="000000" w:themeColor="text1"/>
          <w:sz w:val="16"/>
          <w:szCs w:val="16"/>
          <w:vertAlign w:val="subscript"/>
        </w:rPr>
        <w:t>тох</w:t>
      </w:r>
      <w:r w:rsidRPr="00D03F3E">
        <w:rPr>
          <w:rFonts w:ascii="Times New Roman" w:hAnsi="Times New Roman" w:cs="Times New Roman"/>
          <w:color w:val="000000" w:themeColor="text1"/>
          <w:sz w:val="16"/>
          <w:szCs w:val="16"/>
        </w:rPr>
        <w:t xml:space="preserve"> = 366 км/ч и Н = 0 м).</w:t>
      </w:r>
    </w:p>
    <w:p w14:paraId="758E16A4" w14:textId="77777777" w:rsidR="000C0A4A" w:rsidRPr="00D03F3E"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Самолет имеет недостаточную вели</w:t>
      </w:r>
      <w:r w:rsidRPr="00D03F3E">
        <w:rPr>
          <w:rFonts w:ascii="Times New Roman" w:hAnsi="Times New Roman" w:cs="Times New Roman"/>
          <w:color w:val="000000" w:themeColor="text1"/>
          <w:sz w:val="16"/>
          <w:szCs w:val="16"/>
        </w:rPr>
        <w:softHyphen/>
        <w:t xml:space="preserve">чину коэффициента подъемной силы Для крыла с профилем </w:t>
      </w:r>
      <w:r w:rsidRPr="00D03F3E">
        <w:rPr>
          <w:rFonts w:ascii="Times New Roman" w:hAnsi="Times New Roman" w:cs="Times New Roman"/>
          <w:color w:val="000000" w:themeColor="text1"/>
          <w:sz w:val="16"/>
          <w:szCs w:val="16"/>
          <w:lang w:val="en-US"/>
        </w:rPr>
        <w:t>Clark</w:t>
      </w:r>
      <w:r w:rsidRPr="00D03F3E">
        <w:rPr>
          <w:rFonts w:ascii="Times New Roman" w:hAnsi="Times New Roman" w:cs="Times New Roman"/>
          <w:color w:val="000000" w:themeColor="text1"/>
          <w:sz w:val="16"/>
          <w:szCs w:val="16"/>
        </w:rPr>
        <w:t>-</w:t>
      </w:r>
      <w:r w:rsidRPr="00D03F3E">
        <w:rPr>
          <w:rFonts w:ascii="Times New Roman" w:hAnsi="Times New Roman" w:cs="Times New Roman"/>
          <w:color w:val="000000" w:themeColor="text1"/>
          <w:sz w:val="16"/>
          <w:szCs w:val="16"/>
          <w:lang w:val="en-US"/>
        </w:rPr>
        <w:t>YH</w:t>
      </w:r>
      <w:r w:rsidRPr="00D03F3E">
        <w:rPr>
          <w:rFonts w:ascii="Times New Roman" w:hAnsi="Times New Roman" w:cs="Times New Roman"/>
          <w:color w:val="000000" w:themeColor="text1"/>
          <w:sz w:val="16"/>
          <w:szCs w:val="16"/>
        </w:rPr>
        <w:t xml:space="preserve"> величина Сутах по расчетам должна быть не менее 1,5-1,45 с убранными и 1,7-1,8 с выпущенными щитками, тогда как испытания дали 1,31 и 1,61, соответственно.</w:t>
      </w:r>
    </w:p>
    <w:p w14:paraId="670795F9" w14:textId="77777777" w:rsidR="000C0A4A" w:rsidRPr="00D03F3E"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Считалось, что уменьшение «есть результат раннего срыва с центроплана вследствие плохой отделки крыла, иска</w:t>
      </w:r>
      <w:r w:rsidRPr="00D03F3E">
        <w:rPr>
          <w:rFonts w:ascii="Times New Roman" w:hAnsi="Times New Roman" w:cs="Times New Roman"/>
          <w:color w:val="000000" w:themeColor="text1"/>
          <w:sz w:val="16"/>
          <w:szCs w:val="16"/>
        </w:rPr>
        <w:softHyphen/>
        <w:t>жения профиля центроплана и наличия боковых карманов для выхода воздуха, расположенных близко от поверхности крыла».</w:t>
      </w:r>
    </w:p>
    <w:p w14:paraId="2911702A" w14:textId="77777777" w:rsidR="000C0A4A" w:rsidRPr="00D03F3E"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Безотрывное обтекание крыла и оперения при закрытых щитках начи</w:t>
      </w:r>
      <w:r w:rsidRPr="00D03F3E">
        <w:rPr>
          <w:rFonts w:ascii="Times New Roman" w:hAnsi="Times New Roman" w:cs="Times New Roman"/>
          <w:color w:val="000000" w:themeColor="text1"/>
          <w:sz w:val="16"/>
          <w:szCs w:val="16"/>
        </w:rPr>
        <w:softHyphen/>
        <w:t xml:space="preserve">нало нарушаться при углах атаки от 8,5° (С, = 0,555 </w:t>
      </w:r>
      <w:r w:rsidRPr="00D03F3E">
        <w:rPr>
          <w:rFonts w:ascii="Times New Roman" w:hAnsi="Times New Roman" w:cs="Times New Roman"/>
          <w:color w:val="000000" w:themeColor="text1"/>
          <w:sz w:val="16"/>
          <w:szCs w:val="16"/>
          <w:lang w:val="en-US"/>
        </w:rPr>
        <w:t>C</w:t>
      </w:r>
      <w:r w:rsidRPr="00D03F3E">
        <w:rPr>
          <w:rFonts w:ascii="Times New Roman" w:hAnsi="Times New Roman" w:cs="Times New Roman"/>
          <w:color w:val="000000" w:themeColor="text1"/>
          <w:sz w:val="16"/>
          <w:szCs w:val="16"/>
          <w:vertAlign w:val="subscript"/>
          <w:lang w:val="en-US"/>
        </w:rPr>
        <w:t>rm</w:t>
      </w:r>
      <w:r w:rsidRPr="00D03F3E">
        <w:rPr>
          <w:rFonts w:ascii="Times New Roman" w:hAnsi="Times New Roman" w:cs="Times New Roman"/>
          <w:color w:val="000000" w:themeColor="text1"/>
          <w:sz w:val="16"/>
          <w:szCs w:val="16"/>
          <w:lang w:val="en-US"/>
        </w:rPr>
        <w:t>J</w:t>
      </w:r>
      <w:r w:rsidRPr="00D03F3E">
        <w:rPr>
          <w:rFonts w:ascii="Times New Roman" w:hAnsi="Times New Roman" w:cs="Times New Roman"/>
          <w:color w:val="000000" w:themeColor="text1"/>
          <w:sz w:val="16"/>
          <w:szCs w:val="16"/>
        </w:rPr>
        <w:t xml:space="preserve"> вблизи задней кромки левой половины центроплана. Область срыва воздушного потока распространя</w:t>
      </w:r>
      <w:r w:rsidRPr="00D03F3E">
        <w:rPr>
          <w:rFonts w:ascii="Times New Roman" w:hAnsi="Times New Roman" w:cs="Times New Roman"/>
          <w:color w:val="000000" w:themeColor="text1"/>
          <w:sz w:val="16"/>
          <w:szCs w:val="16"/>
        </w:rPr>
        <w:softHyphen/>
        <w:t>ется по направлению к концам крыла и при углах атаки 16</w:t>
      </w:r>
      <w:r w:rsidRPr="00D03F3E">
        <w:rPr>
          <w:rFonts w:ascii="Times New Roman" w:hAnsi="Times New Roman" w:cs="Times New Roman"/>
          <w:color w:val="000000" w:themeColor="text1"/>
          <w:sz w:val="16"/>
          <w:szCs w:val="16"/>
          <w:vertAlign w:val="superscript"/>
        </w:rPr>
        <w:t>е</w:t>
      </w:r>
      <w:r w:rsidRPr="00D03F3E">
        <w:rPr>
          <w:rFonts w:ascii="Times New Roman" w:hAnsi="Times New Roman" w:cs="Times New Roman"/>
          <w:color w:val="000000" w:themeColor="text1"/>
          <w:sz w:val="16"/>
          <w:szCs w:val="16"/>
        </w:rPr>
        <w:t xml:space="preserve"> (С</w:t>
      </w:r>
      <w:r w:rsidRPr="00D03F3E">
        <w:rPr>
          <w:rFonts w:ascii="Times New Roman" w:hAnsi="Times New Roman" w:cs="Times New Roman"/>
          <w:color w:val="000000" w:themeColor="text1"/>
          <w:sz w:val="16"/>
          <w:szCs w:val="16"/>
          <w:vertAlign w:val="subscript"/>
        </w:rPr>
        <w:t>у</w:t>
      </w:r>
      <w:r w:rsidRPr="00D03F3E">
        <w:rPr>
          <w:rFonts w:ascii="Times New Roman" w:hAnsi="Times New Roman" w:cs="Times New Roman"/>
          <w:color w:val="000000" w:themeColor="text1"/>
          <w:sz w:val="16"/>
          <w:szCs w:val="16"/>
        </w:rPr>
        <w:t xml:space="preserve"> = 0,84 </w:t>
      </w:r>
      <w:r w:rsidRPr="00D03F3E">
        <w:rPr>
          <w:rFonts w:ascii="Times New Roman" w:hAnsi="Times New Roman" w:cs="Times New Roman"/>
          <w:color w:val="000000" w:themeColor="text1"/>
          <w:sz w:val="16"/>
          <w:szCs w:val="16"/>
          <w:lang w:val="en-US"/>
        </w:rPr>
        <w:t>C</w:t>
      </w:r>
      <w:r w:rsidRPr="00D03F3E">
        <w:rPr>
          <w:rFonts w:ascii="Times New Roman" w:hAnsi="Times New Roman" w:cs="Times New Roman"/>
          <w:color w:val="000000" w:themeColor="text1"/>
          <w:sz w:val="16"/>
          <w:szCs w:val="16"/>
          <w:vertAlign w:val="subscript"/>
        </w:rPr>
        <w:t>/</w:t>
      </w:r>
      <w:r w:rsidRPr="00D03F3E">
        <w:rPr>
          <w:rFonts w:ascii="Times New Roman" w:hAnsi="Times New Roman" w:cs="Times New Roman"/>
          <w:color w:val="000000" w:themeColor="text1"/>
          <w:sz w:val="16"/>
          <w:szCs w:val="16"/>
          <w:vertAlign w:val="subscript"/>
          <w:lang w:val="en-US"/>
        </w:rPr>
        <w:t>m</w:t>
      </w:r>
      <w:r w:rsidRPr="00D03F3E">
        <w:rPr>
          <w:rFonts w:ascii="Times New Roman" w:hAnsi="Times New Roman" w:cs="Times New Roman"/>
          <w:color w:val="000000" w:themeColor="text1"/>
          <w:sz w:val="16"/>
          <w:szCs w:val="16"/>
          <w:lang w:val="en-US"/>
        </w:rPr>
        <w:t>J</w:t>
      </w:r>
      <w:r w:rsidRPr="00D03F3E">
        <w:rPr>
          <w:rFonts w:ascii="Times New Roman" w:hAnsi="Times New Roman" w:cs="Times New Roman"/>
          <w:color w:val="000000" w:themeColor="text1"/>
          <w:sz w:val="16"/>
          <w:szCs w:val="16"/>
        </w:rPr>
        <w:t xml:space="preserve"> «за</w:t>
      </w:r>
      <w:r w:rsidRPr="00D03F3E">
        <w:rPr>
          <w:rFonts w:ascii="Times New Roman" w:hAnsi="Times New Roman" w:cs="Times New Roman"/>
          <w:color w:val="000000" w:themeColor="text1"/>
          <w:sz w:val="16"/>
          <w:szCs w:val="16"/>
        </w:rPr>
        <w:softHyphen/>
        <w:t xml:space="preserve">хватывает центроплан левого крыла и переходит на правое крыло». При углах 19,5° (С, = 0,99 </w:t>
      </w:r>
      <w:r w:rsidRPr="00D03F3E">
        <w:rPr>
          <w:rFonts w:ascii="Times New Roman" w:hAnsi="Times New Roman" w:cs="Times New Roman"/>
          <w:color w:val="000000" w:themeColor="text1"/>
          <w:sz w:val="16"/>
          <w:szCs w:val="16"/>
          <w:lang w:val="en-US"/>
        </w:rPr>
        <w:t>C</w:t>
      </w:r>
      <w:r w:rsidRPr="00D03F3E">
        <w:rPr>
          <w:rFonts w:ascii="Times New Roman" w:hAnsi="Times New Roman" w:cs="Times New Roman"/>
          <w:color w:val="000000" w:themeColor="text1"/>
          <w:sz w:val="16"/>
          <w:szCs w:val="16"/>
          <w:vertAlign w:val="subscript"/>
          <w:lang w:val="en-US"/>
        </w:rPr>
        <w:t>ym</w:t>
      </w:r>
      <w:r w:rsidRPr="00D03F3E">
        <w:rPr>
          <w:rFonts w:ascii="Times New Roman" w:hAnsi="Times New Roman" w:cs="Times New Roman"/>
          <w:color w:val="000000" w:themeColor="text1"/>
          <w:sz w:val="16"/>
          <w:szCs w:val="16"/>
          <w:lang w:val="en-US"/>
        </w:rPr>
        <w:t>J</w:t>
      </w:r>
      <w:r w:rsidRPr="00D03F3E">
        <w:rPr>
          <w:rFonts w:ascii="Times New Roman" w:hAnsi="Times New Roman" w:cs="Times New Roman"/>
          <w:color w:val="000000" w:themeColor="text1"/>
          <w:sz w:val="16"/>
          <w:szCs w:val="16"/>
        </w:rPr>
        <w:t xml:space="preserve"> «поток на пра</w:t>
      </w:r>
      <w:r w:rsidRPr="00D03F3E">
        <w:rPr>
          <w:rFonts w:ascii="Times New Roman" w:hAnsi="Times New Roman" w:cs="Times New Roman"/>
          <w:color w:val="000000" w:themeColor="text1"/>
          <w:sz w:val="16"/>
          <w:szCs w:val="16"/>
        </w:rPr>
        <w:softHyphen/>
        <w:t>вом крыле срывается полностью». Нако</w:t>
      </w:r>
      <w:r w:rsidRPr="00D03F3E">
        <w:rPr>
          <w:rFonts w:ascii="Times New Roman" w:hAnsi="Times New Roman" w:cs="Times New Roman"/>
          <w:color w:val="000000" w:themeColor="text1"/>
          <w:sz w:val="16"/>
          <w:szCs w:val="16"/>
        </w:rPr>
        <w:softHyphen/>
        <w:t>нец, «при угле 22° поток сорван на всем крыле полностью».</w:t>
      </w:r>
    </w:p>
    <w:p w14:paraId="1D08B4A8" w14:textId="77777777" w:rsidR="000C0A4A" w:rsidRPr="00D03F3E"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Ранний срыв потока с крыла служил причиной увеличения расхода руля вы</w:t>
      </w:r>
      <w:r w:rsidRPr="00D03F3E">
        <w:rPr>
          <w:rFonts w:ascii="Times New Roman" w:hAnsi="Times New Roman" w:cs="Times New Roman"/>
          <w:color w:val="000000" w:themeColor="text1"/>
          <w:sz w:val="16"/>
          <w:szCs w:val="16"/>
        </w:rPr>
        <w:softHyphen/>
        <w:t>соты при посадке, «вызывая появление больших моментов на пикирование при о = 12°». Эффективность руля высоты при углах отклонения вверх более 17</w:t>
      </w:r>
      <w:r w:rsidRPr="00D03F3E">
        <w:rPr>
          <w:rFonts w:ascii="Times New Roman" w:hAnsi="Times New Roman" w:cs="Times New Roman"/>
          <w:color w:val="000000" w:themeColor="text1"/>
          <w:sz w:val="16"/>
          <w:szCs w:val="16"/>
          <w:vertAlign w:val="superscript"/>
        </w:rPr>
        <w:t>е</w:t>
      </w:r>
      <w:r w:rsidRPr="00D03F3E">
        <w:rPr>
          <w:rFonts w:ascii="Times New Roman" w:hAnsi="Times New Roman" w:cs="Times New Roman"/>
          <w:color w:val="000000" w:themeColor="text1"/>
          <w:sz w:val="16"/>
          <w:szCs w:val="16"/>
        </w:rPr>
        <w:t xml:space="preserve"> и вы</w:t>
      </w:r>
      <w:r w:rsidRPr="00D03F3E">
        <w:rPr>
          <w:rFonts w:ascii="Times New Roman" w:hAnsi="Times New Roman" w:cs="Times New Roman"/>
          <w:color w:val="000000" w:themeColor="text1"/>
          <w:sz w:val="16"/>
          <w:szCs w:val="16"/>
        </w:rPr>
        <w:softHyphen/>
        <w:t>пущенных щитках резко падала, «что мо</w:t>
      </w:r>
      <w:r w:rsidRPr="00D03F3E">
        <w:rPr>
          <w:rFonts w:ascii="Times New Roman" w:hAnsi="Times New Roman" w:cs="Times New Roman"/>
          <w:color w:val="000000" w:themeColor="text1"/>
          <w:sz w:val="16"/>
          <w:szCs w:val="16"/>
        </w:rPr>
        <w:softHyphen/>
        <w:t>жет быть частично объяснено влиянием серво-компенсации».</w:t>
      </w:r>
    </w:p>
    <w:p w14:paraId="720749C0" w14:textId="77777777" w:rsidR="000C0A4A" w:rsidRPr="00D03F3E"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Нейтральная центровка с фиксиро</w:t>
      </w:r>
      <w:r w:rsidRPr="00D03F3E">
        <w:rPr>
          <w:rFonts w:ascii="Times New Roman" w:hAnsi="Times New Roman" w:cs="Times New Roman"/>
          <w:color w:val="000000" w:themeColor="text1"/>
          <w:sz w:val="16"/>
          <w:szCs w:val="16"/>
        </w:rPr>
        <w:softHyphen/>
        <w:t>ванным рулем высоты при С</w:t>
      </w:r>
      <w:r w:rsidRPr="00D03F3E">
        <w:rPr>
          <w:rFonts w:ascii="Times New Roman" w:hAnsi="Times New Roman" w:cs="Times New Roman"/>
          <w:color w:val="000000" w:themeColor="text1"/>
          <w:sz w:val="16"/>
          <w:szCs w:val="16"/>
          <w:vertAlign w:val="subscript"/>
        </w:rPr>
        <w:t>у</w:t>
      </w:r>
      <w:r w:rsidRPr="00D03F3E">
        <w:rPr>
          <w:rFonts w:ascii="Times New Roman" w:hAnsi="Times New Roman" w:cs="Times New Roman"/>
          <w:color w:val="000000" w:themeColor="text1"/>
          <w:sz w:val="16"/>
          <w:szCs w:val="16"/>
        </w:rPr>
        <w:t>» 0,6 состав</w:t>
      </w:r>
      <w:r w:rsidRPr="00D03F3E">
        <w:rPr>
          <w:rFonts w:ascii="Times New Roman" w:hAnsi="Times New Roman" w:cs="Times New Roman"/>
          <w:color w:val="000000" w:themeColor="text1"/>
          <w:sz w:val="16"/>
          <w:szCs w:val="16"/>
        </w:rPr>
        <w:softHyphen/>
        <w:t>ляла 59% САХ, со свободным рулем вы</w:t>
      </w:r>
      <w:r w:rsidRPr="00D03F3E">
        <w:rPr>
          <w:rFonts w:ascii="Times New Roman" w:hAnsi="Times New Roman" w:cs="Times New Roman"/>
          <w:color w:val="000000" w:themeColor="text1"/>
          <w:sz w:val="16"/>
          <w:szCs w:val="16"/>
        </w:rPr>
        <w:softHyphen/>
        <w:t>соты на режиме максимальной скорости - 32,5% САХ («падение степени устойчи</w:t>
      </w:r>
      <w:r w:rsidRPr="00D03F3E">
        <w:rPr>
          <w:rFonts w:ascii="Times New Roman" w:hAnsi="Times New Roman" w:cs="Times New Roman"/>
          <w:color w:val="000000" w:themeColor="text1"/>
          <w:sz w:val="16"/>
          <w:szCs w:val="16"/>
        </w:rPr>
        <w:softHyphen/>
        <w:t>вости равно 39 - 32,5 = 6,5% САХ»), а на углах атаки в пределах от 9° до 12° «сте</w:t>
      </w:r>
      <w:r w:rsidRPr="00D03F3E">
        <w:rPr>
          <w:rFonts w:ascii="Times New Roman" w:hAnsi="Times New Roman" w:cs="Times New Roman"/>
          <w:color w:val="000000" w:themeColor="text1"/>
          <w:sz w:val="16"/>
          <w:szCs w:val="16"/>
        </w:rPr>
        <w:softHyphen/>
        <w:t>пень устойчивости почти не отличается от случая с фиксированным рулем». При ис</w:t>
      </w:r>
      <w:r w:rsidRPr="00D03F3E">
        <w:rPr>
          <w:rFonts w:ascii="Times New Roman" w:hAnsi="Times New Roman" w:cs="Times New Roman"/>
          <w:color w:val="000000" w:themeColor="text1"/>
          <w:sz w:val="16"/>
          <w:szCs w:val="16"/>
        </w:rPr>
        <w:softHyphen/>
        <w:t>пытании в ЛИИ нейтральная центровка при планировании с фиксированным ру</w:t>
      </w:r>
      <w:r w:rsidRPr="00D03F3E">
        <w:rPr>
          <w:rFonts w:ascii="Times New Roman" w:hAnsi="Times New Roman" w:cs="Times New Roman"/>
          <w:color w:val="000000" w:themeColor="text1"/>
          <w:sz w:val="16"/>
          <w:szCs w:val="16"/>
        </w:rPr>
        <w:softHyphen/>
        <w:t>лем высоты соответствовала примерно 35% САХ. Был сделан вывод, что «само</w:t>
      </w:r>
      <w:r w:rsidRPr="00D03F3E">
        <w:rPr>
          <w:rFonts w:ascii="Times New Roman" w:hAnsi="Times New Roman" w:cs="Times New Roman"/>
          <w:color w:val="000000" w:themeColor="text1"/>
          <w:sz w:val="16"/>
          <w:szCs w:val="16"/>
        </w:rPr>
        <w:softHyphen/>
        <w:t>лет Ил-2 при центровке 32% САХ не обла</w:t>
      </w:r>
      <w:r w:rsidRPr="00D03F3E">
        <w:rPr>
          <w:rFonts w:ascii="Times New Roman" w:hAnsi="Times New Roman" w:cs="Times New Roman"/>
          <w:color w:val="000000" w:themeColor="text1"/>
          <w:sz w:val="16"/>
          <w:szCs w:val="16"/>
        </w:rPr>
        <w:softHyphen/>
        <w:t>дает достаточным запасом устойчивости для перехода к режиму набора высоты, когда можно ожидать дополнительную потерю устойчивости от влияния винта на 3-5% САХ».</w:t>
      </w:r>
    </w:p>
    <w:p w14:paraId="1CA537D9" w14:textId="77777777" w:rsidR="000C0A4A" w:rsidRPr="00D03F3E"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То есть, одной из основных причин аварий и катастроф Ил-2 в действую</w:t>
      </w:r>
      <w:r w:rsidRPr="00D03F3E">
        <w:rPr>
          <w:rFonts w:ascii="Times New Roman" w:hAnsi="Times New Roman" w:cs="Times New Roman"/>
          <w:color w:val="000000" w:themeColor="text1"/>
          <w:sz w:val="16"/>
          <w:szCs w:val="16"/>
        </w:rPr>
        <w:softHyphen/>
        <w:t>щей армии и в тылу, помимо понижен</w:t>
      </w:r>
      <w:r w:rsidRPr="00D03F3E">
        <w:rPr>
          <w:rFonts w:ascii="Times New Roman" w:hAnsi="Times New Roman" w:cs="Times New Roman"/>
          <w:color w:val="000000" w:themeColor="text1"/>
          <w:sz w:val="16"/>
          <w:szCs w:val="16"/>
        </w:rPr>
        <w:softHyphen/>
        <w:t>ной прочности крыла, следует считать не</w:t>
      </w:r>
      <w:r w:rsidRPr="00D03F3E">
        <w:rPr>
          <w:rFonts w:ascii="Times New Roman" w:hAnsi="Times New Roman" w:cs="Times New Roman"/>
          <w:color w:val="000000" w:themeColor="text1"/>
          <w:sz w:val="16"/>
          <w:szCs w:val="16"/>
        </w:rPr>
        <w:softHyphen/>
        <w:t>достаточный запас продольной устойчи</w:t>
      </w:r>
      <w:r w:rsidRPr="00D03F3E">
        <w:rPr>
          <w:rFonts w:ascii="Times New Roman" w:hAnsi="Times New Roman" w:cs="Times New Roman"/>
          <w:color w:val="000000" w:themeColor="text1"/>
          <w:sz w:val="16"/>
          <w:szCs w:val="16"/>
        </w:rPr>
        <w:softHyphen/>
        <w:t>вости машины в сочетании с неравномер</w:t>
      </w:r>
      <w:r w:rsidRPr="00D03F3E">
        <w:rPr>
          <w:rFonts w:ascii="Times New Roman" w:hAnsi="Times New Roman" w:cs="Times New Roman"/>
          <w:color w:val="000000" w:themeColor="text1"/>
          <w:sz w:val="16"/>
          <w:szCs w:val="16"/>
        </w:rPr>
        <w:softHyphen/>
        <w:t>ным срывом воздушного потока с крыла при переходе к набору высоты. Как след</w:t>
      </w:r>
      <w:r w:rsidRPr="00D03F3E">
        <w:rPr>
          <w:rFonts w:ascii="Times New Roman" w:hAnsi="Times New Roman" w:cs="Times New Roman"/>
          <w:color w:val="000000" w:themeColor="text1"/>
          <w:sz w:val="16"/>
          <w:szCs w:val="16"/>
        </w:rPr>
        <w:softHyphen/>
        <w:t>ствие этого «явления», самолеты Ил-2 при резком выводе из пикирования или при энергичном маневрировании на больших углах атаки «имеют тенденцию к срыву в штопор».</w:t>
      </w:r>
    </w:p>
    <w:p w14:paraId="095C454B" w14:textId="77777777" w:rsidR="000C0A4A" w:rsidRPr="00D03F3E"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Для улучшения продольной устой</w:t>
      </w:r>
      <w:r w:rsidRPr="00D03F3E">
        <w:rPr>
          <w:rFonts w:ascii="Times New Roman" w:hAnsi="Times New Roman" w:cs="Times New Roman"/>
          <w:color w:val="000000" w:themeColor="text1"/>
          <w:sz w:val="16"/>
          <w:szCs w:val="16"/>
        </w:rPr>
        <w:softHyphen/>
        <w:t>чивости и управляемости предлагалось сдвинуть центровку самолета вперед до 25% САХ «путем придания крылу боль</w:t>
      </w:r>
      <w:r w:rsidRPr="00D03F3E">
        <w:rPr>
          <w:rFonts w:ascii="Times New Roman" w:hAnsi="Times New Roman" w:cs="Times New Roman"/>
          <w:color w:val="000000" w:themeColor="text1"/>
          <w:sz w:val="16"/>
          <w:szCs w:val="16"/>
        </w:rPr>
        <w:softHyphen/>
        <w:t>шей стреловидности» и увеличить до 24% осевую компенсацию руля высоты. Од</w:t>
      </w:r>
      <w:r w:rsidRPr="00D03F3E">
        <w:rPr>
          <w:rFonts w:ascii="Times New Roman" w:hAnsi="Times New Roman" w:cs="Times New Roman"/>
          <w:color w:val="000000" w:themeColor="text1"/>
          <w:sz w:val="16"/>
          <w:szCs w:val="16"/>
        </w:rPr>
        <w:softHyphen/>
        <w:t>новременно рекомендовалось:</w:t>
      </w:r>
    </w:p>
    <w:p w14:paraId="33DB1055" w14:textId="77777777" w:rsidR="000C0A4A" w:rsidRPr="00D03F3E"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«1) Ввести на заводе тщательный контроль за пра</w:t>
      </w:r>
      <w:r w:rsidRPr="00D03F3E">
        <w:rPr>
          <w:rFonts w:ascii="Times New Roman" w:hAnsi="Times New Roman" w:cs="Times New Roman"/>
          <w:color w:val="000000" w:themeColor="text1"/>
          <w:sz w:val="16"/>
          <w:szCs w:val="16"/>
        </w:rPr>
        <w:softHyphen/>
        <w:t>вильностью выполнения профиля крыла в центроплане.</w:t>
      </w:r>
    </w:p>
    <w:p w14:paraId="760E6EA8" w14:textId="77777777" w:rsidR="000C0A4A" w:rsidRPr="00D03F3E"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2) Перейти на гладкое по</w:t>
      </w:r>
      <w:r w:rsidRPr="00D03F3E">
        <w:rPr>
          <w:rFonts w:ascii="Times New Roman" w:hAnsi="Times New Roman" w:cs="Times New Roman"/>
          <w:color w:val="000000" w:themeColor="text1"/>
          <w:sz w:val="16"/>
          <w:szCs w:val="16"/>
        </w:rPr>
        <w:softHyphen/>
        <w:t>крытие крыла с шероховатостью не бо</w:t>
      </w:r>
      <w:r w:rsidRPr="00D03F3E">
        <w:rPr>
          <w:rFonts w:ascii="Times New Roman" w:hAnsi="Times New Roman" w:cs="Times New Roman"/>
          <w:color w:val="000000" w:themeColor="text1"/>
          <w:sz w:val="16"/>
          <w:szCs w:val="16"/>
        </w:rPr>
        <w:softHyphen/>
        <w:t>лее 14 микрон, Уменьшить число лючков на верхней поверхности (если это ока</w:t>
      </w:r>
      <w:r w:rsidRPr="00D03F3E">
        <w:rPr>
          <w:rFonts w:ascii="Times New Roman" w:hAnsi="Times New Roman" w:cs="Times New Roman"/>
          <w:color w:val="000000" w:themeColor="text1"/>
          <w:sz w:val="16"/>
          <w:szCs w:val="16"/>
        </w:rPr>
        <w:softHyphen/>
        <w:t>жется возможным) и сделать более над</w:t>
      </w:r>
      <w:r w:rsidRPr="00D03F3E">
        <w:rPr>
          <w:rFonts w:ascii="Times New Roman" w:hAnsi="Times New Roman" w:cs="Times New Roman"/>
          <w:color w:val="000000" w:themeColor="text1"/>
          <w:sz w:val="16"/>
          <w:szCs w:val="16"/>
        </w:rPr>
        <w:softHyphen/>
        <w:t>ежными замки крепления.</w:t>
      </w:r>
    </w:p>
    <w:p w14:paraId="22B824CF" w14:textId="77777777" w:rsidR="000C0A4A" w:rsidRPr="00D03F3E"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3) Поднять бо</w:t>
      </w:r>
      <w:r w:rsidRPr="00D03F3E">
        <w:rPr>
          <w:rFonts w:ascii="Times New Roman" w:hAnsi="Times New Roman" w:cs="Times New Roman"/>
          <w:color w:val="000000" w:themeColor="text1"/>
          <w:sz w:val="16"/>
          <w:szCs w:val="16"/>
        </w:rPr>
        <w:softHyphen/>
        <w:t>ковые карманы над поверхностью крыла и изменить форму согласно чертежам, пе</w:t>
      </w:r>
      <w:r w:rsidRPr="00D03F3E">
        <w:rPr>
          <w:rFonts w:ascii="Times New Roman" w:hAnsi="Times New Roman" w:cs="Times New Roman"/>
          <w:color w:val="000000" w:themeColor="text1"/>
          <w:sz w:val="16"/>
          <w:szCs w:val="16"/>
        </w:rPr>
        <w:softHyphen/>
        <w:t>реданным заводу №30».</w:t>
      </w:r>
    </w:p>
    <w:p w14:paraId="0D68E3C2" w14:textId="77777777" w:rsidR="000C0A4A" w:rsidRPr="00D03F3E"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Рекомендации специалистов ЦАГИ по исправлению ситуации срочно «ушли» в адрес главного конструктора само</w:t>
      </w:r>
      <w:r w:rsidRPr="00D03F3E">
        <w:rPr>
          <w:rFonts w:ascii="Times New Roman" w:hAnsi="Times New Roman" w:cs="Times New Roman"/>
          <w:color w:val="000000" w:themeColor="text1"/>
          <w:sz w:val="16"/>
          <w:szCs w:val="16"/>
        </w:rPr>
        <w:softHyphen/>
        <w:t>лета Ильюшина, НИИ ВВС и профильных управлений ГУ ИАС ВВС (19558).</w:t>
      </w:r>
    </w:p>
    <w:p w14:paraId="0BF632B1" w14:textId="77777777" w:rsidR="000C0A4A" w:rsidRPr="00D03F3E" w:rsidRDefault="000C0A4A" w:rsidP="00D03F3E">
      <w:pPr>
        <w:spacing w:after="0" w:line="240" w:lineRule="auto"/>
        <w:jc w:val="both"/>
        <w:rPr>
          <w:rStyle w:val="9pt80"/>
          <w:rFonts w:ascii="Times New Roman" w:hAnsi="Times New Roman" w:cs="Times New Roman"/>
          <w:color w:val="000000" w:themeColor="text1"/>
          <w:w w:val="100"/>
          <w:sz w:val="16"/>
          <w:szCs w:val="16"/>
        </w:rPr>
      </w:pPr>
    </w:p>
    <w:p w14:paraId="7F03600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мае-июне 1943 г. проходила со</w:t>
      </w:r>
      <w:r w:rsidRPr="00D03F3E">
        <w:rPr>
          <w:color w:val="000000" w:themeColor="text1"/>
          <w:sz w:val="16"/>
          <w:szCs w:val="16"/>
        </w:rPr>
        <w:softHyphen/>
        <w:t>вместная работа ОКБ С.В.Ильюшина, самолетостроителей 30-го авиазавода и ЦАГИ по улучшению летных качеств Ил-2 позволила увеличить максимальную скорость опытной машины с улучшен</w:t>
      </w:r>
      <w:r w:rsidRPr="00D03F3E">
        <w:rPr>
          <w:color w:val="000000" w:themeColor="text1"/>
          <w:sz w:val="16"/>
          <w:szCs w:val="16"/>
        </w:rPr>
        <w:softHyphen/>
        <w:t>ной аэродинамикой на 30 км/ч по срав</w:t>
      </w:r>
      <w:r w:rsidRPr="00D03F3E">
        <w:rPr>
          <w:color w:val="000000" w:themeColor="text1"/>
          <w:sz w:val="16"/>
          <w:szCs w:val="16"/>
        </w:rPr>
        <w:softHyphen/>
        <w:t>нению с серийными образцами (6467).</w:t>
      </w:r>
    </w:p>
    <w:p w14:paraId="3F87E16E" w14:textId="77777777" w:rsidR="00531570" w:rsidRPr="00D03F3E" w:rsidRDefault="00531570" w:rsidP="00D03F3E">
      <w:pPr>
        <w:pStyle w:val="Iauiue"/>
        <w:jc w:val="both"/>
        <w:rPr>
          <w:color w:val="000000" w:themeColor="text1"/>
          <w:sz w:val="16"/>
          <w:szCs w:val="16"/>
        </w:rPr>
      </w:pPr>
    </w:p>
    <w:p w14:paraId="5AE0209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мая по август В 1943 г. промышленность изготовила 1612 тысяч авиабомб ПТАБ-2,5-1,5. Для создание фактора неожиданности по распоряжению Сталина авиабом бы поступали на полковые склады, но применять их до особо го распоряжения было категорически запрещено (7453).</w:t>
      </w:r>
    </w:p>
    <w:p w14:paraId="634EFC59" w14:textId="77777777" w:rsidR="00531570" w:rsidRPr="00D03F3E" w:rsidRDefault="00531570" w:rsidP="00D03F3E">
      <w:pPr>
        <w:pStyle w:val="Iauiue"/>
        <w:jc w:val="both"/>
        <w:rPr>
          <w:color w:val="000000" w:themeColor="text1"/>
          <w:sz w:val="16"/>
          <w:szCs w:val="16"/>
        </w:rPr>
      </w:pPr>
    </w:p>
    <w:p w14:paraId="6833C4B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мае-июне 1943 г. на заводе №23 строили Ил-4 с парой М-90. По-видимому, для него готовились два варианта фюзеляжа - с металлической и фанерной обшивкой. Однако был ли этот бомбардировщик закончен - неизвестно (7666).</w:t>
      </w:r>
    </w:p>
    <w:p w14:paraId="250E66EA" w14:textId="77777777" w:rsidR="00531570" w:rsidRPr="00D03F3E" w:rsidRDefault="00531570" w:rsidP="00D03F3E">
      <w:pPr>
        <w:pStyle w:val="Iauiue"/>
        <w:jc w:val="both"/>
        <w:rPr>
          <w:color w:val="000000" w:themeColor="text1"/>
          <w:sz w:val="16"/>
          <w:szCs w:val="16"/>
        </w:rPr>
      </w:pPr>
    </w:p>
    <w:p w14:paraId="348EEEF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мае-июне 1943 г. самолет Ил-4 с парой М-90 строили на за</w:t>
      </w:r>
      <w:r w:rsidRPr="00D03F3E">
        <w:rPr>
          <w:rFonts w:ascii="Times New Roman" w:hAnsi="Times New Roman"/>
          <w:color w:val="000000" w:themeColor="text1"/>
          <w:sz w:val="16"/>
          <w:szCs w:val="16"/>
        </w:rPr>
        <w:softHyphen/>
        <w:t>воде № 23. Интерес</w:t>
      </w:r>
      <w:r w:rsidRPr="00D03F3E">
        <w:rPr>
          <w:rFonts w:ascii="Times New Roman" w:hAnsi="Times New Roman"/>
          <w:color w:val="000000" w:themeColor="text1"/>
          <w:sz w:val="16"/>
          <w:szCs w:val="16"/>
        </w:rPr>
        <w:softHyphen/>
        <w:t>но, что, по-видимому, для него готови</w:t>
      </w:r>
      <w:r w:rsidRPr="00D03F3E">
        <w:rPr>
          <w:rFonts w:ascii="Times New Roman" w:hAnsi="Times New Roman"/>
          <w:color w:val="000000" w:themeColor="text1"/>
          <w:sz w:val="16"/>
          <w:szCs w:val="16"/>
        </w:rPr>
        <w:softHyphen/>
        <w:t>лись два варианта фюзеляжа — с ме</w:t>
      </w:r>
      <w:r w:rsidRPr="00D03F3E">
        <w:rPr>
          <w:rFonts w:ascii="Times New Roman" w:hAnsi="Times New Roman"/>
          <w:color w:val="000000" w:themeColor="text1"/>
          <w:sz w:val="16"/>
          <w:szCs w:val="16"/>
        </w:rPr>
        <w:softHyphen/>
        <w:t>таллической и фанерной обшивкой. Был ли этот бомбардировщик закончен — неизвестно (10734,78).</w:t>
      </w:r>
    </w:p>
    <w:p w14:paraId="6A71FF9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2668AB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мае-июне 1943 г. на заводе № 23 строили самолет с парой М-90 Интересно, что, по-видимому, для него готовились два варианта фюзеляжа - с металлической и фанерной обшивкой. Был ли этот бомбардировщик закончен - неизвестно (12021).</w:t>
      </w:r>
    </w:p>
    <w:p w14:paraId="22E3451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3DDBA2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мае-июле 1943 г. самолет Ил-4 М-82НВ проходил заводские испытания. 16 июля на высоте 7000 м отказал правый мотор. Из-за отсутствия запасного двигателя полеты прекратили (7666).</w:t>
      </w:r>
    </w:p>
    <w:p w14:paraId="6C3B323F" w14:textId="77777777" w:rsidR="00531570" w:rsidRPr="00D03F3E" w:rsidRDefault="00531570" w:rsidP="00D03F3E">
      <w:pPr>
        <w:pStyle w:val="Iauiue"/>
        <w:jc w:val="both"/>
        <w:rPr>
          <w:color w:val="000000" w:themeColor="text1"/>
          <w:sz w:val="16"/>
          <w:szCs w:val="16"/>
        </w:rPr>
      </w:pPr>
    </w:p>
    <w:p w14:paraId="3603910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мае-июле 1943 г. Ил-4 с М-82 проходил заводские испытания. 16 июля на высоте 7000 м отказал правый мотор. Из-за отсутствия запасного двигателя полеты прекратили. В план опытных работ Ил-4 с М-82 включили в качестве дневного бомбардировщика. Требования по максимальной скорости понизили до 450 км/ч, но зато предусмотрели вооружение из пяти пулеметов (в том числе четырех калибра 12,7 мм). На заводе № 23 весной построили Ил-4 с моторами М-82НВ. Местные конструкторы оценивали возможности машины скромнее: предполагалось, что максимальная скорость достигнет 440 км/ч. Самолет имел фанерную обшивку крыла "со стрелкой", деревянные кабину штурмана и хвостовой кок, колеса 1100x450 мм. Этот самолет нес даже более мощное вооружение, чем предусматривалось заданием. Оно состояло из пяти УБТ (из них два в люках по бортам). Для обслуживания такого числа стрелковых точек экипаж пришлось увеличить до пяти человек. Машина имела и усиленное бронирование: спинку у летчика утолщили до 18 мм, у штурмана - 8 мм (12021).</w:t>
      </w:r>
    </w:p>
    <w:p w14:paraId="41E0646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879BF7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мае-июне 1943 г. завод 300 вплотную приступил к разработке АМ-39. До конца года были успешно завершены заводские испыта</w:t>
      </w:r>
      <w:r w:rsidRPr="00D03F3E">
        <w:rPr>
          <w:rFonts w:ascii="Times New Roman" w:hAnsi="Times New Roman"/>
          <w:color w:val="000000" w:themeColor="text1"/>
          <w:sz w:val="16"/>
          <w:szCs w:val="16"/>
        </w:rPr>
        <w:softHyphen/>
        <w:t>ния мотора. Государственные испытания, закончившиеся с удовле</w:t>
      </w:r>
      <w:r w:rsidRPr="00D03F3E">
        <w:rPr>
          <w:rFonts w:ascii="Times New Roman" w:hAnsi="Times New Roman"/>
          <w:color w:val="000000" w:themeColor="text1"/>
          <w:sz w:val="16"/>
          <w:szCs w:val="16"/>
        </w:rPr>
        <w:softHyphen/>
        <w:t>творительными результатами, проводились в марте-апреле 1944 г. Взлетная мощность АМ-39 составляла 1800 л. с., а номинальная мощность изменялась от 1600 л. с. на высоте 1100 м до 1500 л. с. на высоте 6800 м. По своим основным характеристикам и эксплуатаци</w:t>
      </w:r>
      <w:r w:rsidRPr="00D03F3E">
        <w:rPr>
          <w:rFonts w:ascii="Times New Roman" w:hAnsi="Times New Roman"/>
          <w:color w:val="000000" w:themeColor="text1"/>
          <w:sz w:val="16"/>
          <w:szCs w:val="16"/>
        </w:rPr>
        <w:softHyphen/>
        <w:t>онным качествам АМ-39 явился еще одним важным успехом ОКБ Микулина (10781).</w:t>
      </w:r>
    </w:p>
    <w:p w14:paraId="51B2A9C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E27C23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мае-июне 1943 г. завод № 300 вплотную приступил к разработке АМ-39. До конца 1943 г. были успешно завершены заводские испытания мотора (9032).</w:t>
      </w:r>
    </w:p>
    <w:p w14:paraId="66533F34" w14:textId="77777777" w:rsidR="00531570" w:rsidRPr="00D03F3E" w:rsidRDefault="00531570" w:rsidP="00D03F3E">
      <w:pPr>
        <w:pStyle w:val="Iauiue"/>
        <w:jc w:val="both"/>
        <w:rPr>
          <w:color w:val="000000" w:themeColor="text1"/>
          <w:sz w:val="16"/>
          <w:szCs w:val="16"/>
        </w:rPr>
      </w:pPr>
    </w:p>
    <w:p w14:paraId="22AC8BB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мае-июне 1943 в НИИ ВВС были проведены летные испытания Спитфайра V, 173 которых поступило в Россию в начале 1943 (173,255).</w:t>
      </w:r>
    </w:p>
    <w:p w14:paraId="50783BC0" w14:textId="77777777" w:rsidR="00531570" w:rsidRPr="00D03F3E" w:rsidRDefault="00531570" w:rsidP="00D03F3E">
      <w:pPr>
        <w:pStyle w:val="Iauiue"/>
        <w:jc w:val="both"/>
        <w:rPr>
          <w:color w:val="000000" w:themeColor="text1"/>
          <w:sz w:val="16"/>
          <w:szCs w:val="16"/>
        </w:rPr>
      </w:pPr>
    </w:p>
    <w:p w14:paraId="2F9919E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мае-июне 1943 г. проходили госиспытания Спитфайров типа УВ в НИИ ВВС. Испыта</w:t>
      </w:r>
      <w:r w:rsidRPr="00D03F3E">
        <w:rPr>
          <w:rFonts w:ascii="Times New Roman" w:hAnsi="Times New Roman"/>
          <w:color w:val="000000" w:themeColor="text1"/>
          <w:sz w:val="16"/>
          <w:szCs w:val="16"/>
        </w:rPr>
        <w:softHyphen/>
        <w:t>ния, вопреки общепринятой практике, проводились "задним числом", когда английские истребители уже сражались на Кубани. Выводы испытателей в целом совпа</w:t>
      </w:r>
      <w:r w:rsidRPr="00D03F3E">
        <w:rPr>
          <w:rFonts w:ascii="Times New Roman" w:hAnsi="Times New Roman"/>
          <w:color w:val="000000" w:themeColor="text1"/>
          <w:sz w:val="16"/>
          <w:szCs w:val="16"/>
        </w:rPr>
        <w:softHyphen/>
        <w:t>ли с мнением строевых летчиков. От</w:t>
      </w:r>
      <w:r w:rsidRPr="00D03F3E">
        <w:rPr>
          <w:rFonts w:ascii="Times New Roman" w:hAnsi="Times New Roman"/>
          <w:color w:val="000000" w:themeColor="text1"/>
          <w:sz w:val="16"/>
          <w:szCs w:val="16"/>
        </w:rPr>
        <w:softHyphen/>
        <w:t>метили, что самолет прост и удобен в пилотировании, доступен пилотам с квалификацией даже ниже средней. Мотор "Мерлин" 46 развивал мощ</w:t>
      </w:r>
      <w:r w:rsidRPr="00D03F3E">
        <w:rPr>
          <w:rFonts w:ascii="Times New Roman" w:hAnsi="Times New Roman"/>
          <w:color w:val="000000" w:themeColor="text1"/>
          <w:sz w:val="16"/>
          <w:szCs w:val="16"/>
        </w:rPr>
        <w:softHyphen/>
        <w:t>ность 1165 л.с. на высоте 5800 м, в то время как основной советский двига</w:t>
      </w:r>
      <w:r w:rsidRPr="00D03F3E">
        <w:rPr>
          <w:rFonts w:ascii="Times New Roman" w:hAnsi="Times New Roman"/>
          <w:color w:val="000000" w:themeColor="text1"/>
          <w:sz w:val="16"/>
          <w:szCs w:val="16"/>
        </w:rPr>
        <w:softHyphen/>
        <w:t>тель, устанавливавшийся на истреби</w:t>
      </w:r>
      <w:r w:rsidRPr="00D03F3E">
        <w:rPr>
          <w:rFonts w:ascii="Times New Roman" w:hAnsi="Times New Roman"/>
          <w:color w:val="000000" w:themeColor="text1"/>
          <w:sz w:val="16"/>
          <w:szCs w:val="16"/>
        </w:rPr>
        <w:softHyphen/>
        <w:t>тели в 1941-42 годах, М-105ПА, "вы</w:t>
      </w:r>
      <w:r w:rsidRPr="00D03F3E">
        <w:rPr>
          <w:rFonts w:ascii="Times New Roman" w:hAnsi="Times New Roman"/>
          <w:color w:val="000000" w:themeColor="text1"/>
          <w:sz w:val="16"/>
          <w:szCs w:val="16"/>
        </w:rPr>
        <w:softHyphen/>
        <w:t>жимал" только 1050 л.с. на 4000 м. Имея примерно равный с нашим Як-1 полетный вес, "Спитфайр" УВ обладал лучшими высотными характеристиками и большим потолком. По вооружению "Спитфайр" УВ пре</w:t>
      </w:r>
      <w:r w:rsidRPr="00D03F3E">
        <w:rPr>
          <w:rFonts w:ascii="Times New Roman" w:hAnsi="Times New Roman"/>
          <w:color w:val="000000" w:themeColor="text1"/>
          <w:sz w:val="16"/>
          <w:szCs w:val="16"/>
        </w:rPr>
        <w:softHyphen/>
        <w:t>восходил все советские истребители первой половины 1943 г. Две пушки и четыре пулемета давали вес секунд</w:t>
      </w:r>
      <w:r w:rsidRPr="00D03F3E">
        <w:rPr>
          <w:rFonts w:ascii="Times New Roman" w:hAnsi="Times New Roman"/>
          <w:color w:val="000000" w:themeColor="text1"/>
          <w:sz w:val="16"/>
          <w:szCs w:val="16"/>
        </w:rPr>
        <w:softHyphen/>
        <w:t>ного залпа 3,54 кг/сек. Лишь позднее его превзошел Як-9Т - 3,78 кг/сек. Поскольку, в отличие от "Харрикейна", "Спитфайр" у нас использовался толь</w:t>
      </w:r>
      <w:r w:rsidRPr="00D03F3E">
        <w:rPr>
          <w:rFonts w:ascii="Times New Roman" w:hAnsi="Times New Roman"/>
          <w:color w:val="000000" w:themeColor="text1"/>
          <w:sz w:val="16"/>
          <w:szCs w:val="16"/>
        </w:rPr>
        <w:softHyphen/>
        <w:t>ко как "чистый" истребитель, то ни бомбодержатели, ни пусковые балки РС на нем не устанавливались. Но вместе с тем шасси английского самолета не годилось для неровных травяных полевых аэродромов. Из-за малой ширины колеи при рулении ис</w:t>
      </w:r>
      <w:r w:rsidRPr="00D03F3E">
        <w:rPr>
          <w:rFonts w:ascii="Times New Roman" w:hAnsi="Times New Roman"/>
          <w:color w:val="000000" w:themeColor="text1"/>
          <w:sz w:val="16"/>
          <w:szCs w:val="16"/>
        </w:rPr>
        <w:softHyphen/>
        <w:t>требитель раскачивался, норовя заце</w:t>
      </w:r>
      <w:r w:rsidRPr="00D03F3E">
        <w:rPr>
          <w:rFonts w:ascii="Times New Roman" w:hAnsi="Times New Roman"/>
          <w:color w:val="000000" w:themeColor="text1"/>
          <w:sz w:val="16"/>
          <w:szCs w:val="16"/>
        </w:rPr>
        <w:softHyphen/>
        <w:t>пить крылом землю. Обладая малым противокапотажным углом, "Спитфайр" мог "клюнуть" носом, "...все время но</w:t>
      </w:r>
      <w:r w:rsidRPr="00D03F3E">
        <w:rPr>
          <w:rFonts w:ascii="Times New Roman" w:hAnsi="Times New Roman"/>
          <w:color w:val="000000" w:themeColor="text1"/>
          <w:sz w:val="16"/>
          <w:szCs w:val="16"/>
        </w:rPr>
        <w:softHyphen/>
        <w:t>ровил ткнуться носом в землю", - вспо</w:t>
      </w:r>
      <w:r w:rsidRPr="00D03F3E">
        <w:rPr>
          <w:rFonts w:ascii="Times New Roman" w:hAnsi="Times New Roman"/>
          <w:color w:val="000000" w:themeColor="text1"/>
          <w:sz w:val="16"/>
          <w:szCs w:val="16"/>
        </w:rPr>
        <w:softHyphen/>
        <w:t>минал после войны Н. Исаенко. На малых и средних высотах тип УВ во многом уступал современным со</w:t>
      </w:r>
      <w:r w:rsidRPr="00D03F3E">
        <w:rPr>
          <w:rFonts w:ascii="Times New Roman" w:hAnsi="Times New Roman"/>
          <w:color w:val="000000" w:themeColor="text1"/>
          <w:sz w:val="16"/>
          <w:szCs w:val="16"/>
        </w:rPr>
        <w:softHyphen/>
        <w:t>ветским и немецким истребителям. Кро</w:t>
      </w:r>
      <w:r w:rsidRPr="00D03F3E">
        <w:rPr>
          <w:rFonts w:ascii="Times New Roman" w:hAnsi="Times New Roman"/>
          <w:color w:val="000000" w:themeColor="text1"/>
          <w:sz w:val="16"/>
          <w:szCs w:val="16"/>
        </w:rPr>
        <w:softHyphen/>
        <w:t>ме того, к 1943 г. "Спитфайр" УВ уже порядком устарел, да и присланные в СССР самолеты были не новыми и не могли полностью раскрыть свои воз</w:t>
      </w:r>
      <w:r w:rsidRPr="00D03F3E">
        <w:rPr>
          <w:rFonts w:ascii="Times New Roman" w:hAnsi="Times New Roman"/>
          <w:color w:val="000000" w:themeColor="text1"/>
          <w:sz w:val="16"/>
          <w:szCs w:val="16"/>
        </w:rPr>
        <w:softHyphen/>
        <w:t>можности. Выявился и ряд досадных недостатков, таких, как ненадежность сброса фонаря в аварийной ситуации. Непривычным для советских летчиков казалось широко разнесенное по кры</w:t>
      </w:r>
      <w:r w:rsidRPr="00D03F3E">
        <w:rPr>
          <w:rFonts w:ascii="Times New Roman" w:hAnsi="Times New Roman"/>
          <w:color w:val="000000" w:themeColor="text1"/>
          <w:sz w:val="16"/>
          <w:szCs w:val="16"/>
        </w:rPr>
        <w:softHyphen/>
        <w:t>лу вооружение, пристрелянное на ди</w:t>
      </w:r>
      <w:r w:rsidRPr="00D03F3E">
        <w:rPr>
          <w:rFonts w:ascii="Times New Roman" w:hAnsi="Times New Roman"/>
          <w:color w:val="000000" w:themeColor="text1"/>
          <w:sz w:val="16"/>
          <w:szCs w:val="16"/>
        </w:rPr>
        <w:softHyphen/>
        <w:t>станции, не соответствовавшей приня</w:t>
      </w:r>
      <w:r w:rsidRPr="00D03F3E">
        <w:rPr>
          <w:rFonts w:ascii="Times New Roman" w:hAnsi="Times New Roman"/>
          <w:color w:val="000000" w:themeColor="text1"/>
          <w:sz w:val="16"/>
          <w:szCs w:val="16"/>
        </w:rPr>
        <w:softHyphen/>
        <w:t>той в СССР. Зато главной положительной чертой "Спитфайра" являлись хорошие высот</w:t>
      </w:r>
      <w:r w:rsidRPr="00D03F3E">
        <w:rPr>
          <w:rFonts w:ascii="Times New Roman" w:hAnsi="Times New Roman"/>
          <w:color w:val="000000" w:themeColor="text1"/>
          <w:sz w:val="16"/>
          <w:szCs w:val="16"/>
        </w:rPr>
        <w:softHyphen/>
        <w:t>ные данные, превосходившие возмож</w:t>
      </w:r>
      <w:r w:rsidRPr="00D03F3E">
        <w:rPr>
          <w:rFonts w:ascii="Times New Roman" w:hAnsi="Times New Roman"/>
          <w:color w:val="000000" w:themeColor="text1"/>
          <w:sz w:val="16"/>
          <w:szCs w:val="16"/>
        </w:rPr>
        <w:softHyphen/>
        <w:t>ности отечественных машин. Поэтому английским истребителям нашли при</w:t>
      </w:r>
      <w:r w:rsidRPr="00D03F3E">
        <w:rPr>
          <w:rFonts w:ascii="Times New Roman" w:hAnsi="Times New Roman"/>
          <w:color w:val="000000" w:themeColor="text1"/>
          <w:sz w:val="16"/>
          <w:szCs w:val="16"/>
        </w:rPr>
        <w:softHyphen/>
        <w:t>менение в системе ПВО. В 1943 г. туда передали первые 20 "Спитфайров" УВ. В первую очередь эти самолеты на</w:t>
      </w:r>
      <w:r w:rsidRPr="00D03F3E">
        <w:rPr>
          <w:rFonts w:ascii="Times New Roman" w:hAnsi="Times New Roman"/>
          <w:color w:val="000000" w:themeColor="text1"/>
          <w:sz w:val="16"/>
          <w:szCs w:val="16"/>
        </w:rPr>
        <w:softHyphen/>
        <w:t>правили под Москву. Их получили 16-й и 67-й иап (10790).</w:t>
      </w:r>
    </w:p>
    <w:p w14:paraId="1F83950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5F7F1ED"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6408CB2A" w14:textId="77777777" w:rsidR="00531570" w:rsidRPr="00D03F3E" w:rsidRDefault="00531570" w:rsidP="00D03F3E">
      <w:pPr>
        <w:pStyle w:val="Iauiue"/>
        <w:jc w:val="both"/>
        <w:rPr>
          <w:iCs/>
          <w:color w:val="000000" w:themeColor="text1"/>
          <w:sz w:val="16"/>
          <w:szCs w:val="16"/>
        </w:rPr>
      </w:pPr>
    </w:p>
    <w:p w14:paraId="406701B2" w14:textId="77777777" w:rsidR="003770F2" w:rsidRPr="00D03F3E" w:rsidRDefault="003770F2" w:rsidP="00D03F3E">
      <w:pPr>
        <w:pStyle w:val="ae"/>
        <w:spacing w:before="0" w:after="0"/>
        <w:jc w:val="both"/>
        <w:textAlignment w:val="baseline"/>
        <w:rPr>
          <w:color w:val="000000" w:themeColor="text1"/>
          <w:sz w:val="16"/>
          <w:szCs w:val="16"/>
        </w:rPr>
      </w:pPr>
      <w:r w:rsidRPr="00D03F3E">
        <w:rPr>
          <w:color w:val="000000" w:themeColor="text1"/>
          <w:sz w:val="16"/>
          <w:szCs w:val="16"/>
        </w:rPr>
        <w:t>В мае-июне 1943 года КБ завода №9 в инициативном порядке начало разработку 122-мм танковой пушки с баллистикой А-19. Одним словом, итоги Курской битвы дали лишь дополнительный толчок к развитию танкового орудия (17717).</w:t>
      </w:r>
    </w:p>
    <w:p w14:paraId="4AB8D1AB" w14:textId="77777777" w:rsidR="003770F2" w:rsidRPr="00D03F3E" w:rsidRDefault="003770F2" w:rsidP="00D03F3E">
      <w:pPr>
        <w:pStyle w:val="12a"/>
        <w:shd w:val="clear" w:color="auto" w:fill="auto"/>
        <w:spacing w:after="0" w:line="240" w:lineRule="auto"/>
        <w:jc w:val="both"/>
        <w:rPr>
          <w:color w:val="000000" w:themeColor="text1"/>
          <w:sz w:val="16"/>
          <w:szCs w:val="16"/>
        </w:rPr>
      </w:pPr>
    </w:p>
    <w:p w14:paraId="2F507C5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 июне 1943 г. два из трех изготовленных Т-43 (второй вариант) прошли заводские испыта</w:t>
      </w:r>
      <w:r w:rsidRPr="00D03F3E">
        <w:rPr>
          <w:rFonts w:ascii="Times New Roman" w:hAnsi="Times New Roman"/>
          <w:color w:val="000000" w:themeColor="text1"/>
          <w:sz w:val="16"/>
          <w:szCs w:val="16"/>
        </w:rPr>
        <w:softHyphen/>
        <w:t>ния, а в период с 8 по 26 августа того же года успешно прошли испыта</w:t>
      </w:r>
      <w:r w:rsidRPr="00D03F3E">
        <w:rPr>
          <w:rFonts w:ascii="Times New Roman" w:hAnsi="Times New Roman"/>
          <w:color w:val="000000" w:themeColor="text1"/>
          <w:sz w:val="16"/>
          <w:szCs w:val="16"/>
        </w:rPr>
        <w:softHyphen/>
        <w:t>ния и на НИБТ полигоне. В сентябре 1943 г. в НКТП и ГБТУ рассмат</w:t>
      </w:r>
      <w:r w:rsidRPr="00D03F3E">
        <w:rPr>
          <w:rFonts w:ascii="Times New Roman" w:hAnsi="Times New Roman"/>
          <w:color w:val="000000" w:themeColor="text1"/>
          <w:sz w:val="16"/>
          <w:szCs w:val="16"/>
        </w:rPr>
        <w:softHyphen/>
        <w:t>ривался вопрос о принятии тапка Т-43 па вооружение, по в связи с ши</w:t>
      </w:r>
      <w:r w:rsidRPr="00D03F3E">
        <w:rPr>
          <w:rFonts w:ascii="Times New Roman" w:hAnsi="Times New Roman"/>
          <w:color w:val="000000" w:themeColor="text1"/>
          <w:sz w:val="16"/>
          <w:szCs w:val="16"/>
        </w:rPr>
        <w:softHyphen/>
        <w:t>роко развернувшейся работой по созданию танка Т-34-85, а в последую</w:t>
      </w:r>
      <w:r w:rsidRPr="00D03F3E">
        <w:rPr>
          <w:rFonts w:ascii="Times New Roman" w:hAnsi="Times New Roman"/>
          <w:color w:val="000000" w:themeColor="text1"/>
          <w:sz w:val="16"/>
          <w:szCs w:val="16"/>
        </w:rPr>
        <w:softHyphen/>
        <w:t>щем и принятием сто на вооружение, дальнейшие работы по танку Т-43 были прекращены (10703).</w:t>
      </w:r>
    </w:p>
    <w:p w14:paraId="3DBDF82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BE6E4DD" w14:textId="77777777" w:rsidR="003770F2" w:rsidRPr="00D03F3E" w:rsidRDefault="003770F2" w:rsidP="00D03F3E">
      <w:pPr>
        <w:pStyle w:val="ae"/>
        <w:shd w:val="clear" w:color="auto" w:fill="FFFFFF"/>
        <w:spacing w:before="0" w:after="0"/>
        <w:jc w:val="both"/>
        <w:rPr>
          <w:color w:val="000000" w:themeColor="text1"/>
          <w:sz w:val="16"/>
          <w:szCs w:val="16"/>
        </w:rPr>
      </w:pPr>
      <w:r w:rsidRPr="00D03F3E">
        <w:rPr>
          <w:color w:val="000000" w:themeColor="text1"/>
          <w:sz w:val="16"/>
          <w:szCs w:val="16"/>
        </w:rPr>
        <w:t xml:space="preserve">Маем-июнем 1943 года датированы последние работы заводского КБ по теме Т-80. Позже, в том числе по причине бомбардировки завода, никаких опытных работ не проводилось. Заводу стало совсем не до Т-80. Осталась невостребованной идея об усилении вооружения, с которой выступал Астров. Вместо 45-мм пушки он предлагал установить 76-мм полковую пушку. Другой идеей, которая, по крайней мере, сохранилась на бумаге, была установка 50-мм казнозарядного миномёта С-11. Его разработали в Центральном артиллерийском конструкторском бюро (ЦАКБ), летом 1943 года работы по данной теме велись довольно активно. Идею такого миномёта советские конструкторы подсмотрели у англичан на танках </w:t>
      </w:r>
      <w:hyperlink r:id="rId176" w:history="1">
        <w:r w:rsidRPr="00D03F3E">
          <w:rPr>
            <w:rStyle w:val="a5"/>
            <w:color w:val="000000" w:themeColor="text1"/>
            <w:sz w:val="16"/>
            <w:szCs w:val="16"/>
          </w:rPr>
          <w:t>Valentine</w:t>
        </w:r>
      </w:hyperlink>
      <w:r w:rsidRPr="00D03F3E">
        <w:rPr>
          <w:color w:val="000000" w:themeColor="text1"/>
          <w:sz w:val="16"/>
          <w:szCs w:val="16"/>
        </w:rPr>
        <w:t>. Правда, по ряду причин, прежде всего из-за прекращения производства Т-80, в металле этот проект воплощён не был (17712).</w:t>
      </w:r>
    </w:p>
    <w:p w14:paraId="23E6B832" w14:textId="77777777" w:rsidR="003770F2" w:rsidRPr="00D03F3E" w:rsidRDefault="003770F2" w:rsidP="00D03F3E">
      <w:pPr>
        <w:pStyle w:val="12a"/>
        <w:shd w:val="clear" w:color="auto" w:fill="auto"/>
        <w:spacing w:after="0" w:line="240" w:lineRule="auto"/>
        <w:jc w:val="both"/>
        <w:rPr>
          <w:color w:val="000000" w:themeColor="text1"/>
          <w:sz w:val="16"/>
          <w:szCs w:val="16"/>
        </w:rPr>
      </w:pPr>
    </w:p>
    <w:p w14:paraId="65351BB2" w14:textId="77777777" w:rsidR="000C0A4A" w:rsidRPr="00D03F3E" w:rsidRDefault="000C0A4A" w:rsidP="00D03F3E">
      <w:pPr>
        <w:pStyle w:val="ae"/>
        <w:spacing w:before="0" w:after="0"/>
        <w:jc w:val="both"/>
        <w:textAlignment w:val="baseline"/>
        <w:rPr>
          <w:color w:val="000000" w:themeColor="text1"/>
          <w:sz w:val="16"/>
          <w:szCs w:val="16"/>
        </w:rPr>
      </w:pPr>
      <w:r w:rsidRPr="00D03F3E">
        <w:rPr>
          <w:color w:val="000000" w:themeColor="text1"/>
          <w:sz w:val="16"/>
          <w:szCs w:val="16"/>
        </w:rPr>
        <w:t>В мае-июне 1943 года, у 13 из 29 танков M4A, прибывших южным путём были неисправны радиаторы. Танки поступали с замками, но без ключей, так что их приходилось ломать. Да и позже сами американцы признали, что с соплами инжекторов имелись производственные дефекты. Кроме того, просачивалась информация из США, где с M4A2 также иногда было не всё гладко. Выяснилось, что башни многих танков плохо пригнаны, большинство радиаторов имеет течь, имеются дефекты подшипников опорных катков. Массово наблюдались дефекты с отходом венцов ведущих колёс. Жестяной жёлоб в корме корпуса, который должен был отводить выхлопные газы, оказался отличным трамплином для пуль, которые летели вверх и попадали в радиаторы. Такие сведения поступили в январе 1944 года от генерал-майора Дина, начальника американской военной миссии в СССР (19038).</w:t>
      </w:r>
    </w:p>
    <w:p w14:paraId="41746B15" w14:textId="77777777" w:rsidR="000C0A4A" w:rsidRPr="00D03F3E" w:rsidRDefault="000C0A4A" w:rsidP="00D03F3E">
      <w:pPr>
        <w:pStyle w:val="ae"/>
        <w:spacing w:before="0" w:after="0"/>
        <w:jc w:val="both"/>
        <w:textAlignment w:val="baseline"/>
        <w:rPr>
          <w:color w:val="000000" w:themeColor="text1"/>
          <w:sz w:val="16"/>
          <w:szCs w:val="16"/>
        </w:rPr>
      </w:pPr>
    </w:p>
    <w:p w14:paraId="2A3CE24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мае-июне 1943 успешно прошла испытания САУ, разработанная в марте-июне 1943 в КБ Уралмашзавода - улучшенный вариант Су-122 - Су-122М с новым 122-мм орудием Д-11 завода 9. По результатам устранения недостатков, выявленных в ходе испытаний, получилась Су-122III с гаубицей Д-6 (4406).</w:t>
      </w:r>
    </w:p>
    <w:p w14:paraId="7CC20CAB" w14:textId="77777777" w:rsidR="00531570" w:rsidRPr="00D03F3E" w:rsidRDefault="00531570" w:rsidP="00D03F3E">
      <w:pPr>
        <w:pStyle w:val="Iauiue"/>
        <w:jc w:val="both"/>
        <w:rPr>
          <w:color w:val="000000" w:themeColor="text1"/>
          <w:sz w:val="16"/>
          <w:szCs w:val="16"/>
        </w:rPr>
      </w:pPr>
    </w:p>
    <w:p w14:paraId="3B6CE984" w14:textId="77777777" w:rsidR="00D50DCD" w:rsidRPr="00D03F3E" w:rsidRDefault="00D50D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 июне 1943 года арттягач Я-11 прошел краткие испытания на полигоне в Кубинке. Кроме необходимости проведения мелких доработок они выявили потребность в установке ограничителей оборотов двигателей для предотвращения их "перекрутки". Производство первой партии тягачей (50 машин) планировалось начать уже в июне, и завод форсировал подготовку их серийного производства (15646).</w:t>
      </w:r>
    </w:p>
    <w:p w14:paraId="5C474E49" w14:textId="77777777" w:rsidR="00D50DCD" w:rsidRPr="00D03F3E" w:rsidRDefault="00D50DCD" w:rsidP="00D03F3E">
      <w:pPr>
        <w:spacing w:after="0" w:line="240" w:lineRule="auto"/>
        <w:jc w:val="both"/>
        <w:rPr>
          <w:rFonts w:ascii="Times New Roman" w:hAnsi="Times New Roman"/>
          <w:color w:val="000000" w:themeColor="text1"/>
          <w:sz w:val="16"/>
          <w:szCs w:val="16"/>
        </w:rPr>
      </w:pPr>
    </w:p>
    <w:p w14:paraId="36931E7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мая по август 1943 г. СТК ДД проходил испытания на Каспии. В ходе испытаний было произведено 36 выходов катера, в том числе и при волнении 5-6 баллов. Произвели 27 стрельб “ходовой торпедой», в том числе и при волнении в 3 балла, но полностью испытать катер не удалось (10675).</w:t>
      </w:r>
    </w:p>
    <w:p w14:paraId="45055E5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A0089D7"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01B4E855" w14:textId="77777777" w:rsidR="00531570" w:rsidRPr="00D03F3E" w:rsidRDefault="00531570" w:rsidP="00D03F3E">
      <w:pPr>
        <w:pStyle w:val="Iauiue"/>
        <w:jc w:val="both"/>
        <w:rPr>
          <w:iCs/>
          <w:color w:val="000000" w:themeColor="text1"/>
          <w:sz w:val="16"/>
          <w:szCs w:val="16"/>
        </w:rPr>
      </w:pPr>
    </w:p>
    <w:p w14:paraId="1441B5A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мае-июне 1943 по данным оперативного управления ВВС КА боевая живучесть Ил-2 при на</w:t>
      </w:r>
      <w:r w:rsidRPr="00D03F3E">
        <w:rPr>
          <w:color w:val="000000" w:themeColor="text1"/>
          <w:sz w:val="16"/>
          <w:szCs w:val="16"/>
        </w:rPr>
        <w:softHyphen/>
        <w:t>летах на аэродромы противника в опе</w:t>
      </w:r>
      <w:r w:rsidRPr="00D03F3E">
        <w:rPr>
          <w:color w:val="000000" w:themeColor="text1"/>
          <w:sz w:val="16"/>
          <w:szCs w:val="16"/>
        </w:rPr>
        <w:softHyphen/>
        <w:t>рациях воздушных армий в среднем составила 15,2 самолето-вылетов на одну потерю штурмовика и одно повреждение на 42,8 самолето-вылетов. Средняя результативность уда</w:t>
      </w:r>
      <w:r w:rsidRPr="00D03F3E">
        <w:rPr>
          <w:color w:val="000000" w:themeColor="text1"/>
          <w:sz w:val="16"/>
          <w:szCs w:val="16"/>
        </w:rPr>
        <w:softHyphen/>
        <w:t>ров штурмовиков Ил-2 составила от 0,51 до 1,42 уничтоженных и поврежденных на аэродромах самолетов, приходящих</w:t>
      </w:r>
      <w:r w:rsidRPr="00D03F3E">
        <w:rPr>
          <w:color w:val="000000" w:themeColor="text1"/>
          <w:sz w:val="16"/>
          <w:szCs w:val="16"/>
        </w:rPr>
        <w:softHyphen/>
        <w:t>ся на один самолето-вылет участвующих в налете штурмовиков.</w:t>
      </w:r>
    </w:p>
    <w:p w14:paraId="37E2D16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Удары по целям на аэродромах обыч</w:t>
      </w:r>
      <w:r w:rsidRPr="00D03F3E">
        <w:rPr>
          <w:color w:val="000000" w:themeColor="text1"/>
          <w:sz w:val="16"/>
          <w:szCs w:val="16"/>
        </w:rPr>
        <w:softHyphen/>
        <w:t>но производились с планирования с высот 600-700 м под углом от 20-25° до 30</w:t>
      </w:r>
      <w:r w:rsidRPr="00D03F3E">
        <w:rPr>
          <w:color w:val="000000" w:themeColor="text1"/>
          <w:sz w:val="16"/>
          <w:szCs w:val="16"/>
          <w:vertAlign w:val="superscript"/>
        </w:rPr>
        <w:t>е</w:t>
      </w:r>
      <w:r w:rsidRPr="00D03F3E">
        <w:rPr>
          <w:color w:val="000000" w:themeColor="text1"/>
          <w:sz w:val="16"/>
          <w:szCs w:val="16"/>
        </w:rPr>
        <w:t xml:space="preserve"> или с бреющего полета. Дальность открытия огня - 600-400 м.</w:t>
      </w:r>
    </w:p>
    <w:p w14:paraId="1387AE4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Способ атаки зависел от расположе</w:t>
      </w:r>
      <w:r w:rsidRPr="00D03F3E">
        <w:rPr>
          <w:color w:val="000000" w:themeColor="text1"/>
          <w:sz w:val="16"/>
          <w:szCs w:val="16"/>
        </w:rPr>
        <w:softHyphen/>
        <w:t>ния самолетов на аэродромах, степени их маскировки и рельефа местности (на</w:t>
      </w:r>
      <w:r w:rsidRPr="00D03F3E">
        <w:rPr>
          <w:color w:val="000000" w:themeColor="text1"/>
          <w:sz w:val="16"/>
          <w:szCs w:val="16"/>
        </w:rPr>
        <w:softHyphen/>
        <w:t>личия скрытых подступов к аэродрому).</w:t>
      </w:r>
    </w:p>
    <w:p w14:paraId="57351E6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уничтожения самолетов на аэро</w:t>
      </w:r>
      <w:r w:rsidRPr="00D03F3E">
        <w:rPr>
          <w:color w:val="000000" w:themeColor="text1"/>
          <w:sz w:val="16"/>
          <w:szCs w:val="16"/>
        </w:rPr>
        <w:softHyphen/>
        <w:t>дромах применялись осколочные авиа</w:t>
      </w:r>
      <w:r w:rsidRPr="00D03F3E">
        <w:rPr>
          <w:color w:val="000000" w:themeColor="text1"/>
          <w:sz w:val="16"/>
          <w:szCs w:val="16"/>
        </w:rPr>
        <w:softHyphen/>
        <w:t xml:space="preserve">бомбы АО-10, АО-15, АО-25 и т.д. или </w:t>
      </w:r>
      <w:r w:rsidRPr="00D03F3E">
        <w:rPr>
          <w:iCs/>
          <w:color w:val="000000" w:themeColor="text1"/>
          <w:sz w:val="16"/>
          <w:szCs w:val="16"/>
        </w:rPr>
        <w:t>А0'-2,5</w:t>
      </w:r>
      <w:r w:rsidRPr="00D03F3E">
        <w:rPr>
          <w:color w:val="000000" w:themeColor="text1"/>
          <w:sz w:val="16"/>
          <w:szCs w:val="16"/>
        </w:rPr>
        <w:t xml:space="preserve"> в кассетах (осколки всех этих бомб, как правило, выводили самолет из строя), пулеметно-пушечный огонь, ре</w:t>
      </w:r>
      <w:r w:rsidRPr="00D03F3E">
        <w:rPr>
          <w:color w:val="000000" w:themeColor="text1"/>
          <w:sz w:val="16"/>
          <w:szCs w:val="16"/>
        </w:rPr>
        <w:softHyphen/>
        <w:t>активные снаряды и зажигательные средства.</w:t>
      </w:r>
    </w:p>
    <w:p w14:paraId="2BDB212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Склады боеприпасов и горючего уничтожались фугасными авиабомбами ФАБ-50, ФАБ-100 с взрывателями замед</w:t>
      </w:r>
      <w:r w:rsidRPr="00D03F3E">
        <w:rPr>
          <w:color w:val="000000" w:themeColor="text1"/>
          <w:sz w:val="16"/>
          <w:szCs w:val="16"/>
        </w:rPr>
        <w:softHyphen/>
        <w:t>ленного действия и зажигательными бомбами ЗАБ-2,5, заправочные средства - огнем пушек, пулеметов и PC.</w:t>
      </w:r>
    </w:p>
    <w:p w14:paraId="10933AD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Оптимальной боевой зарядкой при действиях Ил-2 по аэродромам счита</w:t>
      </w:r>
      <w:r w:rsidRPr="00D03F3E">
        <w:rPr>
          <w:color w:val="000000" w:themeColor="text1"/>
          <w:sz w:val="16"/>
          <w:szCs w:val="16"/>
        </w:rPr>
        <w:softHyphen/>
        <w:t>лась следующая: 80-85% мелких оско</w:t>
      </w:r>
      <w:r w:rsidRPr="00D03F3E">
        <w:rPr>
          <w:color w:val="000000" w:themeColor="text1"/>
          <w:sz w:val="16"/>
          <w:szCs w:val="16"/>
        </w:rPr>
        <w:softHyphen/>
        <w:t xml:space="preserve">лочных и зажигательных авиабомб и 15-20% фугасных </w:t>
      </w:r>
      <w:r w:rsidRPr="00D03F3E">
        <w:rPr>
          <w:color w:val="000000" w:themeColor="text1"/>
          <w:sz w:val="16"/>
          <w:szCs w:val="16"/>
        </w:rPr>
        <w:lastRenderedPageBreak/>
        <w:t>бомб калибра 50 кг.</w:t>
      </w:r>
    </w:p>
    <w:p w14:paraId="7B4639D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Что касается стрелково-пушечного вооружения, то, как показали полигонные испытания и боевой опыт, наилучшую эффективность давали осколочно-зажигательные снаряды к авиапушкам ВЯ-23. Снаряды ОЗТ-23 при стрельбе с дис</w:t>
      </w:r>
      <w:r w:rsidRPr="00D03F3E">
        <w:rPr>
          <w:color w:val="000000" w:themeColor="text1"/>
          <w:sz w:val="16"/>
          <w:szCs w:val="16"/>
        </w:rPr>
        <w:softHyphen/>
        <w:t>танции 100-400 м по дюралевой обшив</w:t>
      </w:r>
      <w:r w:rsidRPr="00D03F3E">
        <w:rPr>
          <w:color w:val="000000" w:themeColor="text1"/>
          <w:sz w:val="16"/>
          <w:szCs w:val="16"/>
        </w:rPr>
        <w:softHyphen/>
        <w:t>ке немецких самолетов в среднем да</w:t>
      </w:r>
      <w:r w:rsidRPr="00D03F3E">
        <w:rPr>
          <w:color w:val="000000" w:themeColor="text1"/>
          <w:sz w:val="16"/>
          <w:szCs w:val="16"/>
        </w:rPr>
        <w:softHyphen/>
        <w:t>вали размер входного отверстия (75-225)х(90-200) мм. При этом задняя об</w:t>
      </w:r>
      <w:r w:rsidRPr="00D03F3E">
        <w:rPr>
          <w:color w:val="000000" w:themeColor="text1"/>
          <w:sz w:val="16"/>
          <w:szCs w:val="16"/>
        </w:rPr>
        <w:softHyphen/>
        <w:t>шивка поражалась осколками на площа</w:t>
      </w:r>
      <w:r w:rsidRPr="00D03F3E">
        <w:rPr>
          <w:color w:val="000000" w:themeColor="text1"/>
          <w:sz w:val="16"/>
          <w:szCs w:val="16"/>
        </w:rPr>
        <w:softHyphen/>
        <w:t>ди (600-800)х(400-700) мм и образовы</w:t>
      </w:r>
      <w:r w:rsidRPr="00D03F3E">
        <w:rPr>
          <w:color w:val="000000" w:themeColor="text1"/>
          <w:sz w:val="16"/>
          <w:szCs w:val="16"/>
        </w:rPr>
        <w:softHyphen/>
        <w:t>валось рваное отверстие.</w:t>
      </w:r>
    </w:p>
    <w:p w14:paraId="50264CE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Эффективность снарядов ОЗТ-20 к пушке ШВАК была примерно в 1,5-2 раза ниже. Тем не менее, и они наносили довольно значительные разрушения са</w:t>
      </w:r>
      <w:r w:rsidRPr="00D03F3E">
        <w:rPr>
          <w:color w:val="000000" w:themeColor="text1"/>
          <w:sz w:val="16"/>
          <w:szCs w:val="16"/>
        </w:rPr>
        <w:softHyphen/>
        <w:t>молетам противника.</w:t>
      </w:r>
    </w:p>
    <w:p w14:paraId="68619C6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вывода самолета типа Не111Н из строя было достаточно 1 -2-х попада</w:t>
      </w:r>
      <w:r w:rsidRPr="00D03F3E">
        <w:rPr>
          <w:color w:val="000000" w:themeColor="text1"/>
          <w:sz w:val="16"/>
          <w:szCs w:val="16"/>
        </w:rPr>
        <w:softHyphen/>
        <w:t>ний снарядов ОЗТ-20 и ОЗТ-23 в мотор, бензобаки и в кабину пилота, 4-х попа</w:t>
      </w:r>
      <w:r w:rsidRPr="00D03F3E">
        <w:rPr>
          <w:color w:val="000000" w:themeColor="text1"/>
          <w:sz w:val="16"/>
          <w:szCs w:val="16"/>
        </w:rPr>
        <w:softHyphen/>
        <w:t>даний снарядов ОЗТ-23 в консоль кры</w:t>
      </w:r>
      <w:r w:rsidRPr="00D03F3E">
        <w:rPr>
          <w:color w:val="000000" w:themeColor="text1"/>
          <w:sz w:val="16"/>
          <w:szCs w:val="16"/>
        </w:rPr>
        <w:softHyphen/>
        <w:t>ла и 7 попаданий снарядов ОЗТ-20. В среднем, для поражения двухмоторного бомбардировщика типа Не111Н было достаточно 4-8 попаданий осколочно-зажигательных снарядов к пушкам В Я и ШВАК, а для поражения одномоторного истребителя типа Bf109 - 1 -2 попаданий.</w:t>
      </w:r>
    </w:p>
    <w:p w14:paraId="03BADF4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Прямое попадание в самолет реак</w:t>
      </w:r>
      <w:r w:rsidRPr="00D03F3E">
        <w:rPr>
          <w:color w:val="000000" w:themeColor="text1"/>
          <w:sz w:val="16"/>
          <w:szCs w:val="16"/>
        </w:rPr>
        <w:softHyphen/>
        <w:t>тивных снарядов любого типа приводи</w:t>
      </w:r>
      <w:r w:rsidRPr="00D03F3E">
        <w:rPr>
          <w:color w:val="000000" w:themeColor="text1"/>
          <w:sz w:val="16"/>
          <w:szCs w:val="16"/>
        </w:rPr>
        <w:softHyphen/>
        <w:t>ло к уничтожению самолета.</w:t>
      </w:r>
    </w:p>
    <w:p w14:paraId="3313C2C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Оценки показывают, что хорошо под</w:t>
      </w:r>
      <w:r w:rsidRPr="00D03F3E">
        <w:rPr>
          <w:color w:val="000000" w:themeColor="text1"/>
          <w:sz w:val="16"/>
          <w:szCs w:val="16"/>
        </w:rPr>
        <w:softHyphen/>
        <w:t>готовленный летчик-штурмовик в типо</w:t>
      </w:r>
      <w:r w:rsidRPr="00D03F3E">
        <w:rPr>
          <w:color w:val="000000" w:themeColor="text1"/>
          <w:sz w:val="16"/>
          <w:szCs w:val="16"/>
        </w:rPr>
        <w:softHyphen/>
        <w:t>вых условиях атаки с планирования под углом 30° при стрельбе из пушек ВЯ с дистанции порядка 400 м мог обеспе</w:t>
      </w:r>
      <w:r w:rsidRPr="00D03F3E">
        <w:rPr>
          <w:color w:val="000000" w:themeColor="text1"/>
          <w:sz w:val="16"/>
          <w:szCs w:val="16"/>
        </w:rPr>
        <w:softHyphen/>
        <w:t>чить вероятность поражения двухмотор</w:t>
      </w:r>
      <w:r w:rsidRPr="00D03F3E">
        <w:rPr>
          <w:color w:val="000000" w:themeColor="text1"/>
          <w:sz w:val="16"/>
          <w:szCs w:val="16"/>
        </w:rPr>
        <w:softHyphen/>
        <w:t>ного самолета на земле (типа Не111Н) в одном заходе примерно 0,32-0,34. То есть учитывая, что штурмовики Ил-2 при нанесении бомбоштурмовых ударов по аэродромам в среднем производили в это время 2-3 захода, для уничтожения одного самолета на аэродроме необхо</w:t>
      </w:r>
      <w:r w:rsidRPr="00D03F3E">
        <w:rPr>
          <w:color w:val="000000" w:themeColor="text1"/>
          <w:sz w:val="16"/>
          <w:szCs w:val="16"/>
        </w:rPr>
        <w:softHyphen/>
        <w:t>димо было выделять как минимум пару бронированных "Илов".</w:t>
      </w:r>
    </w:p>
    <w:p w14:paraId="1823A03D" w14:textId="77777777" w:rsidR="00531570" w:rsidRPr="00D03F3E" w:rsidRDefault="00531570" w:rsidP="00D03F3E">
      <w:pPr>
        <w:pStyle w:val="Iauiue"/>
        <w:jc w:val="both"/>
        <w:rPr>
          <w:iCs/>
          <w:color w:val="000000" w:themeColor="text1"/>
          <w:sz w:val="16"/>
          <w:szCs w:val="16"/>
        </w:rPr>
      </w:pPr>
    </w:p>
    <w:p w14:paraId="3E3FECD0" w14:textId="77777777" w:rsidR="001D5595" w:rsidRPr="00D03F3E" w:rsidRDefault="001D5595" w:rsidP="00D03F3E">
      <w:pPr>
        <w:shd w:val="clear" w:color="auto" w:fill="FFFFFF"/>
        <w:spacing w:after="0" w:line="240" w:lineRule="auto"/>
        <w:jc w:val="both"/>
        <w:rPr>
          <w:rFonts w:ascii="Times New Roman" w:hAnsi="Times New Roman"/>
          <w:color w:val="0070C0"/>
          <w:sz w:val="16"/>
          <w:szCs w:val="16"/>
        </w:rPr>
      </w:pPr>
      <w:r w:rsidRPr="00D03F3E">
        <w:rPr>
          <w:rFonts w:ascii="Times New Roman" w:eastAsia="Times New Roman" w:hAnsi="Times New Roman"/>
          <w:color w:val="0070C0"/>
          <w:sz w:val="16"/>
          <w:szCs w:val="16"/>
        </w:rPr>
        <w:t>По данным оперативного управления ВВС РККА боевая живучесть штурмовиков при налетах на аэродромы противника в операциях воздушных армий в мае-июне 1943 г. в среднем составила 15,2 самолето-вылетов на одну потерю штурмовика и одно повреждение на 42,8 самолето-вылетов. Средняя результативность ударов штурмовиков составила от 0,51 до 1,42 уничтоженных и поврежденных на аэродромах самолетов, приходящихся на один самолето-вылет участвующих в налете штурмовиков (20186).</w:t>
      </w:r>
    </w:p>
    <w:p w14:paraId="356CCDC4" w14:textId="77777777" w:rsidR="001D5595" w:rsidRPr="00D03F3E" w:rsidRDefault="001D5595" w:rsidP="00D03F3E">
      <w:pPr>
        <w:shd w:val="clear" w:color="auto" w:fill="FFFFFF"/>
        <w:spacing w:after="0" w:line="240" w:lineRule="auto"/>
        <w:jc w:val="both"/>
        <w:rPr>
          <w:rFonts w:ascii="Times New Roman" w:eastAsia="Times New Roman" w:hAnsi="Times New Roman"/>
          <w:color w:val="0070C0"/>
          <w:sz w:val="16"/>
          <w:szCs w:val="16"/>
        </w:rPr>
      </w:pPr>
    </w:p>
    <w:p w14:paraId="2A1EA8C1" w14:textId="77777777" w:rsidR="001D5595" w:rsidRPr="00D03F3E" w:rsidRDefault="001D5595"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период мая-июля 1943 года анализ потерь показывает, что свыше 69% потерь понесли лётчики, имеющие слабую лётно-техническую подготовку и малый боевой опыт (не более 10 боевых вылетов), т. е. молодые лётчики. При этом 25% молодых лётчиков погибло при выполнении первого боевого вылета (19906).</w:t>
      </w:r>
    </w:p>
    <w:p w14:paraId="753CB1B4" w14:textId="77777777" w:rsidR="001D5595" w:rsidRPr="00D03F3E" w:rsidRDefault="001D5595" w:rsidP="00D03F3E">
      <w:pPr>
        <w:shd w:val="clear" w:color="auto" w:fill="FFFFFF"/>
        <w:spacing w:after="0" w:line="240" w:lineRule="auto"/>
        <w:jc w:val="both"/>
        <w:rPr>
          <w:rFonts w:ascii="Times New Roman" w:hAnsi="Times New Roman"/>
          <w:color w:val="0070C0"/>
          <w:sz w:val="16"/>
          <w:szCs w:val="16"/>
        </w:rPr>
      </w:pPr>
    </w:p>
    <w:p w14:paraId="29C6FF2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 июне 1943 г. для переоборудования под тральщики и трал-баржи были отобраны 165 самоходных и несамоходных транспортных судов. Противоминная оборона речной коммуникации на участке от Астрахани до Батраков обеспечивалась тральными силами Волжской флотилии и Астраханской военно-морской базы, а противовоздушная – силами и средствами войск ПВО страны, Волжской флотилии, оперативной группы ПВО транспортной службы Волжского бассейна. В этот период противовоздушная оборона Волжской водной коммуникации была значительно усилена. Флотилия располагала 287 орудиями мелкокалиберной зенитной артиллерии, 92 крупнокалиберными пулеметами и 53 пулеметами М-1. Кроме того, 12 канонерских лодок были вооружены 85-мм зенитными орудиями. В 198 взводах ПВО, сформированных и вооруженных в мае – июне, и в 31 отстойном пункте насчитывались в общей сложности 221 зенитное орудие, 308 зенитных пулеметов и 173 прожекторных установки. Действия всех этих сил и средств ПВО координировал штаб Волжской флотилии. Корабельная береговая зенитная артиллерия, зенитные орудия и пулеметы взводов ПВО бассейна Волги и транспортных судов, истребительная авиация использовались по единому плану. Гидрографическая служба флотилии во главе с капитаном 2-го ранга И. Ф. Новоселовым обеспечивала действия тральных сил и ограждение протраленных фарватеров и минных банок. На каждом боевом участке был сформирован военно-лоцманский пункт. В связи с переоборудованием большого количества транспортных судов под тральщики и формированием речных аварийно-спасательных отрядов численность личного состава флотилии возросла с 7827 до 11 116 человек. Если на 1 апреля на флотилии были 1201 офицер, 2155 старшин и 4471 матрос, то к 30 июня численность офицеров составила 1367, старшин – 2756, матросов – 6993 человека. Несмотря на это, людей по-прежнему не хватало. Некомплект по офицерскому составу достигал 10,5%, а по старшинскому и рядовому составу – 15%. Бронекатера и сторожевые катера 4-й бригады речных кораблей при конвоировании транспортов и нахождении в засадах на боевых участках оказывали противодействие минным постановкам авиации противника на участке от Камышина до Копановки. 13 канонерских лодок 3-й бригады речных кораблей, находившиеся в оперативном подчинении начальника пароходства «Волготанкер», использовались для буксировки и противовоздушной обороны нефтеналивных судов. Остальные канонерские лодки конвоировали наиболее важные караваны нефтеналивных судов. Береговые и плавучие зенитные батареи обеспечивали ПВО отстойных пунктов и мест базирования тральных сил флотилии. С 17 мая все наиболее крупные и важные караваны судов (нефтеналивные баржи грузоподъемностью более 5000 т, военные транспорты с личным составом и грузами) совершали переходы в охранении канонерских лодок, бронекатеров и сторожевых катеров. Возглавлял конвой один из командиров конвойных кораблей. При этом применялся ряд методов конвоирования: эстафетный, сквозной (непрерывный), частичный, комбинированный и усиленный. Эстафетное конвоирование заключалось в том, что боевые корабли прикрывали суда от воздействия авиации противника лишь в пределах своего участка, передавая их дальше соседнему участку. При сквозном конвоировании корабли охранения сопровождали транспортные суда от пункта выхода до порта назначения или на всем опасном участке. Суть частичного конвоирования состояла в том, что бронекатера и сторожевые катера прикрывали транспорты только в пределах своих подвижных огневых позиций, дальше суда шли самостоятельно, осуществляя ПВО своими огневыми средствами. При комбинированном конвоировании корабли охранения, обычно канонерские лодки, во время всего перехода одновременно выполняли и роль буксиров. Усиленное конвоирование осуществлялось кораблями охранения совместно с кораблями, находившимися на подвижных огневых позициях. Наиболее эффективными оказались эстафетное и частичное конвоирование. Эти методы требовали минимального количества кораблей охранения, исключали скопление их в отдельных районах, позволяли сохранять четкую организацию ПВО во всей операционной зоне флотилии. При таком конвоировании экипажи кораблей охранения в пределах своих участков хорошо знали обстановку, способы действий вражеской авиации и поэтому могли оказывать ей активное противодействие. И в этом случае не нарушался принцип непосредственной и оперативной подчиненности таких кораблей. Основная часть конвойных кораблей распределялась по боевым районам, которым они подчинялись в оперативном отношении. Помимо кораблей охранения, ПВО транспортных судов осуществляли постоянные и маневренные отстойные пункты, которые прикрывались береговыми и корабельными зенитными средствами, дозорными кораблями и истребительной авиацией. Таким образом, на всем пути следования транспортных судов в границах операционной зоны флотилии обеспечивались непрерывное наблюдение за действиями вражеской авиации и минной обстановкой, ПВО транспортных судов на переходах, в отстойных пунктах, местах погрузки и разгрузки. Конвоированием, наряду с систематическим тралением и уничтожением мин, достигались непрерывность и относительная безопасность перевозок (11774).</w:t>
      </w:r>
    </w:p>
    <w:p w14:paraId="52366CF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CFEAFED"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21AFBE10" w14:textId="77777777" w:rsidR="00531570" w:rsidRPr="00D03F3E" w:rsidRDefault="00531570" w:rsidP="00D03F3E">
      <w:pPr>
        <w:pStyle w:val="Iauiue"/>
        <w:jc w:val="both"/>
        <w:rPr>
          <w:iCs/>
          <w:color w:val="000000" w:themeColor="text1"/>
          <w:sz w:val="16"/>
          <w:szCs w:val="16"/>
        </w:rPr>
      </w:pPr>
    </w:p>
    <w:p w14:paraId="6E1B30A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мае-июне 1943 года остававшиеся в эвакуации работники аппарата ИККИ вернулись в Москву (8983).</w:t>
      </w:r>
    </w:p>
    <w:p w14:paraId="24270D8E" w14:textId="77777777" w:rsidR="00531570" w:rsidRPr="00D03F3E" w:rsidRDefault="00531570" w:rsidP="00D03F3E">
      <w:pPr>
        <w:pStyle w:val="Iauiue"/>
        <w:jc w:val="both"/>
        <w:rPr>
          <w:color w:val="000000" w:themeColor="text1"/>
          <w:sz w:val="16"/>
          <w:szCs w:val="16"/>
        </w:rPr>
      </w:pPr>
    </w:p>
    <w:p w14:paraId="093FB6C3" w14:textId="77777777" w:rsidR="00D50DCD"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6C5316D4" w14:textId="77777777" w:rsidR="00D50DCD" w:rsidRPr="00D03F3E" w:rsidRDefault="00D50DCD" w:rsidP="00D03F3E">
      <w:pPr>
        <w:pStyle w:val="Iauiue"/>
        <w:jc w:val="both"/>
        <w:rPr>
          <w:iCs/>
          <w:color w:val="000000" w:themeColor="text1"/>
          <w:sz w:val="16"/>
          <w:szCs w:val="16"/>
        </w:rPr>
      </w:pPr>
    </w:p>
    <w:p w14:paraId="4A9FA180" w14:textId="77777777" w:rsidR="00D50DCD" w:rsidRPr="00D03F3E" w:rsidRDefault="00D50D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мае-июне 1943 года модернизированные ракеты, запущенные с полигона вблизи Близны, устремились на северо-восток. Тренировочному, ракетному удару подверглась Польская деревня Сарнаки с населением в   1  000 человек, по которой на полторы недели, выпустили около 100 </w:t>
      </w:r>
      <w:hyperlink r:id="rId177" w:history="1">
        <w:r w:rsidRPr="00D03F3E">
          <w:rPr>
            <w:rFonts w:ascii="Times New Roman" w:hAnsi="Times New Roman"/>
            <w:color w:val="000000" w:themeColor="text1"/>
            <w:sz w:val="16"/>
            <w:szCs w:val="16"/>
          </w:rPr>
          <w:t>ракет V-2</w:t>
        </w:r>
      </w:hyperlink>
      <w:r w:rsidRPr="00D03F3E">
        <w:rPr>
          <w:rFonts w:ascii="Times New Roman" w:hAnsi="Times New Roman"/>
          <w:color w:val="000000" w:themeColor="text1"/>
          <w:sz w:val="16"/>
          <w:szCs w:val="16"/>
        </w:rPr>
        <w:t>. Только по счастливой случайности, ни одна из ракет, не попала в населенный пункт. Погиб лишь один человек, и один был ранен. Тем не менее, такая оплошность с натурными испытаниями, со стороны руководителей проекта, стала отправной точкой новой разведоперации, которая была поручена польскому инженеру Антони Кацьяну английской разведкой.</w:t>
      </w:r>
    </w:p>
    <w:p w14:paraId="69038749" w14:textId="77777777" w:rsidR="00D50DCD" w:rsidRPr="00D03F3E" w:rsidRDefault="00D50D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Вести о ковровых ударах по селу Сарнаки, и последующих поисковых операциях немцев, быстро дошли до Варшавы, где Касьян засев за расчеты, определил район, где должны были находится новые стартовые позиции немецкой ракетной техники.</w:t>
      </w:r>
    </w:p>
    <w:p w14:paraId="4769E8EA" w14:textId="77777777" w:rsidR="00D50DCD" w:rsidRPr="00D03F3E" w:rsidRDefault="00D50D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Необходимо было предпринимать срочные меры, по организации мероприятии, направленных на захват фрагментов ракетной техники. Выбор пал на коллегу Кацьяна, так же работавшего до войны в авиапромышленности, командира локального партизанского отряда Армии Крайовой, Ежи Хмелевского. Тот в кратчайшие сроки, создал на местах разветвленную сеть наблюдателей и организовал оперативный сбор фрагментов ракет, упавших в районе села Сарнаки, которое по прежнему являлось тренировочной мишенью полигона в Близне. Все собранные фрагменты, тайком,  доставлялись в Варшаву, где изучались в лаборатории подпольщиков. Результаты исследований сообщались в Лондон. Вскоре, английская разведка затребовала невозможное - а именно, любой ценой, получить действующий образец ракеты.</w:t>
      </w:r>
    </w:p>
    <w:p w14:paraId="45193A57" w14:textId="77777777" w:rsidR="00D50DCD" w:rsidRPr="00D03F3E" w:rsidRDefault="00D50D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Дерзкий Кацьян приступил к планированию операции. Однако все возможные варианты получения рабочего прототипа </w:t>
      </w:r>
      <w:hyperlink r:id="rId178" w:history="1">
        <w:r w:rsidRPr="00D03F3E">
          <w:rPr>
            <w:rFonts w:ascii="Times New Roman" w:hAnsi="Times New Roman"/>
            <w:color w:val="000000" w:themeColor="text1"/>
            <w:sz w:val="16"/>
            <w:szCs w:val="16"/>
          </w:rPr>
          <w:t>V-2</w:t>
        </w:r>
      </w:hyperlink>
      <w:r w:rsidRPr="00D03F3E">
        <w:rPr>
          <w:rFonts w:ascii="Times New Roman" w:hAnsi="Times New Roman"/>
          <w:color w:val="000000" w:themeColor="text1"/>
          <w:sz w:val="16"/>
          <w:szCs w:val="16"/>
        </w:rPr>
        <w:t xml:space="preserve"> были явно утопическими. Рассматривались попытки отбить образцы во время перевозки железной дорогой, напасть на склады.. однако, осуществить эти планы не представлялось возможным.</w:t>
      </w:r>
    </w:p>
    <w:p w14:paraId="73DFF392" w14:textId="77777777" w:rsidR="00D50DCD" w:rsidRPr="00D03F3E" w:rsidRDefault="00D50DC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Вскоре, агентурная работа принесла результаты- у немецкого офицера административной службы, удалось на время выкрасть и скопировать карту полигона в Близне, с точной топографической привязкой. Повторные расчеты Кацьяна, позволили выявить район падения ракет при испытатетельных пусках, площадью 60 кв км в районе Седлицы.  Сектор  падения тут же оказался под пристальным наблюдением партизан Ежи Хмельницкого (15500).</w:t>
      </w:r>
    </w:p>
    <w:p w14:paraId="71900B51" w14:textId="77777777" w:rsidR="00D50DCD" w:rsidRPr="00D03F3E" w:rsidRDefault="00D50DCD" w:rsidP="00D03F3E">
      <w:pPr>
        <w:spacing w:after="0" w:line="240" w:lineRule="auto"/>
        <w:jc w:val="both"/>
        <w:rPr>
          <w:rFonts w:ascii="Times New Roman" w:hAnsi="Times New Roman"/>
          <w:color w:val="000000" w:themeColor="text1"/>
          <w:sz w:val="16"/>
          <w:szCs w:val="16"/>
        </w:rPr>
      </w:pPr>
    </w:p>
    <w:p w14:paraId="3E0F1631"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63D321B4" w14:textId="77777777" w:rsidR="00531570" w:rsidRPr="00D03F3E" w:rsidRDefault="00531570" w:rsidP="00D03F3E">
      <w:pPr>
        <w:pStyle w:val="Iauiue"/>
        <w:jc w:val="both"/>
        <w:rPr>
          <w:iCs/>
          <w:color w:val="000000" w:themeColor="text1"/>
          <w:sz w:val="16"/>
          <w:szCs w:val="16"/>
        </w:rPr>
      </w:pPr>
    </w:p>
    <w:p w14:paraId="35C0D04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К весне 1943 г. положение с дизелями В-2 начало выправ</w:t>
      </w:r>
      <w:r w:rsidRPr="00D03F3E">
        <w:rPr>
          <w:rFonts w:ascii="Times New Roman" w:hAnsi="Times New Roman"/>
          <w:color w:val="000000" w:themeColor="text1"/>
          <w:sz w:val="16"/>
          <w:szCs w:val="16"/>
        </w:rPr>
        <w:softHyphen/>
        <w:t>ляться. Введенные в строй новые мощности двигательных заводов, поставка оборудования и алюминия по ленд-лизу, позволили в течение года резко улучшить качество выпуска</w:t>
      </w:r>
      <w:r w:rsidRPr="00D03F3E">
        <w:rPr>
          <w:rFonts w:ascii="Times New Roman" w:hAnsi="Times New Roman"/>
          <w:color w:val="000000" w:themeColor="text1"/>
          <w:sz w:val="16"/>
          <w:szCs w:val="16"/>
        </w:rPr>
        <w:softHyphen/>
        <w:t>емых моторов. Так, уже к маю 1943 г. гарантированная нара</w:t>
      </w:r>
      <w:r w:rsidRPr="00D03F3E">
        <w:rPr>
          <w:rFonts w:ascii="Times New Roman" w:hAnsi="Times New Roman"/>
          <w:color w:val="000000" w:themeColor="text1"/>
          <w:sz w:val="16"/>
          <w:szCs w:val="16"/>
        </w:rPr>
        <w:softHyphen/>
        <w:t>ботка дизеля В-2 составила 150-180 часов, а осенью при ис</w:t>
      </w:r>
      <w:r w:rsidRPr="00D03F3E">
        <w:rPr>
          <w:rFonts w:ascii="Times New Roman" w:hAnsi="Times New Roman"/>
          <w:color w:val="000000" w:themeColor="text1"/>
          <w:sz w:val="16"/>
          <w:szCs w:val="16"/>
        </w:rPr>
        <w:softHyphen/>
        <w:t>пытании на ряде предприятий превысила 200 (11135).</w:t>
      </w:r>
    </w:p>
    <w:p w14:paraId="410418F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53F0416"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6D8CB4F4" w14:textId="77777777" w:rsidR="00531570" w:rsidRPr="00D03F3E" w:rsidRDefault="00531570" w:rsidP="00D03F3E">
      <w:pPr>
        <w:pStyle w:val="Iauiue"/>
        <w:jc w:val="both"/>
        <w:rPr>
          <w:iCs/>
          <w:color w:val="000000" w:themeColor="text1"/>
          <w:sz w:val="16"/>
          <w:szCs w:val="16"/>
        </w:rPr>
      </w:pPr>
    </w:p>
    <w:p w14:paraId="4A06E33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начале весны 1943 года через северные порты прибыли в разобранном виде восемь самолетов модификации Норт Америкен АТ-6С. Первые шесть машин доставили в 6-ю запасную бригаду в Иванове, где их и собрали. Один самолет выделили для испытаний в НИИ ВВС. Еще 22 АТ-6С отправили южным маршрутом, через Иран. К сожалению, два самолета разбили во время облета после сборки. Поэтому в Советский Союз прибыли только 20 (3457,141).</w:t>
      </w:r>
    </w:p>
    <w:p w14:paraId="05485289" w14:textId="77777777" w:rsidR="00531570" w:rsidRPr="00D03F3E" w:rsidRDefault="00531570" w:rsidP="00D03F3E">
      <w:pPr>
        <w:pStyle w:val="Iauiue"/>
        <w:jc w:val="both"/>
        <w:rPr>
          <w:color w:val="000000" w:themeColor="text1"/>
          <w:sz w:val="16"/>
          <w:szCs w:val="16"/>
        </w:rPr>
      </w:pPr>
    </w:p>
    <w:p w14:paraId="42930E29"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1E93242C" w14:textId="77777777" w:rsidR="00531570" w:rsidRPr="00D03F3E" w:rsidRDefault="00531570" w:rsidP="00D03F3E">
      <w:pPr>
        <w:pStyle w:val="Iauiue"/>
        <w:jc w:val="both"/>
        <w:rPr>
          <w:iCs/>
          <w:color w:val="000000" w:themeColor="text1"/>
          <w:sz w:val="16"/>
          <w:szCs w:val="16"/>
        </w:rPr>
      </w:pPr>
    </w:p>
    <w:p w14:paraId="0DDF675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конца весны 1943 г “юнкерсы” стали широко использоваться в перевозках в Европейской части СССР. Поначалу они действовали на службы ПВО как красная тряпка на быка. При появлении характерного силуэта Ю-52, который трудно было с чем-то спутать, сразу открывалась пальба (6393).</w:t>
      </w:r>
    </w:p>
    <w:p w14:paraId="4E8BD5F6" w14:textId="77777777" w:rsidR="00531570" w:rsidRPr="00D03F3E" w:rsidRDefault="00531570" w:rsidP="00D03F3E">
      <w:pPr>
        <w:pStyle w:val="Iauiue"/>
        <w:jc w:val="both"/>
        <w:rPr>
          <w:color w:val="000000" w:themeColor="text1"/>
          <w:sz w:val="16"/>
          <w:szCs w:val="16"/>
        </w:rPr>
      </w:pPr>
    </w:p>
    <w:p w14:paraId="6750F6E2" w14:textId="77777777" w:rsidR="00474276" w:rsidRPr="00D03F3E" w:rsidRDefault="00474276"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С конца весны 1943 г. Ю-52 стали широко использоваться для перевозок в Европейской части СССР. Поначалу они действовали на службы ПВО как красная тряпка на быка. При появпении характерного силуэта сразу открывалась пальба. 29 апреля зенитная артиллерия обстреляла самолет, летевший из Сызрани в Куйбышев. Обошлось - ни жертв, ни пробоин. А вот 12 мая Ю-52, шедший из Челябинска, угодил под огонь вблизи моста в Ульяновске. Машина совершила вынужденную посадку на аэродроме Стригино. Механики нашли две приличные пробоины в правом крыле. Такие случаен были не единичны (21550).</w:t>
      </w:r>
    </w:p>
    <w:p w14:paraId="281C3470" w14:textId="77777777" w:rsidR="00474276" w:rsidRPr="00D03F3E" w:rsidRDefault="00474276"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p>
    <w:p w14:paraId="61624F6D" w14:textId="5B9C81B8" w:rsidR="00474276" w:rsidRPr="00D03F3E" w:rsidRDefault="00474276" w:rsidP="00D03F3E">
      <w:pPr>
        <w:pStyle w:val="232"/>
        <w:shd w:val="clear" w:color="auto" w:fill="auto"/>
        <w:spacing w:before="0" w:after="0" w:line="240" w:lineRule="auto"/>
        <w:ind w:firstLine="0"/>
        <w:jc w:val="both"/>
        <w:rPr>
          <w:rFonts w:ascii="Times New Roman" w:hAnsi="Times New Roman" w:cs="Times New Roman"/>
          <w:i/>
          <w:iCs/>
          <w:color w:val="0070C0"/>
          <w:sz w:val="16"/>
          <w:szCs w:val="16"/>
        </w:rPr>
      </w:pPr>
      <w:r w:rsidRPr="00D03F3E">
        <w:rPr>
          <w:rFonts w:ascii="Times New Roman" w:hAnsi="Times New Roman" w:cs="Times New Roman"/>
          <w:i/>
          <w:iCs/>
          <w:color w:val="0070C0"/>
          <w:sz w:val="16"/>
          <w:szCs w:val="16"/>
        </w:rPr>
        <w:t>За рубежом:</w:t>
      </w:r>
    </w:p>
    <w:p w14:paraId="456B51E7" w14:textId="77777777" w:rsidR="00474276" w:rsidRPr="00D03F3E" w:rsidRDefault="00474276" w:rsidP="00D03F3E">
      <w:pPr>
        <w:pStyle w:val="232"/>
        <w:shd w:val="clear" w:color="auto" w:fill="auto"/>
        <w:spacing w:before="0" w:after="0" w:line="240" w:lineRule="auto"/>
        <w:ind w:firstLine="0"/>
        <w:jc w:val="both"/>
        <w:rPr>
          <w:rFonts w:ascii="Times New Roman" w:hAnsi="Times New Roman" w:cs="Times New Roman"/>
          <w:i/>
          <w:iCs/>
          <w:color w:val="0070C0"/>
          <w:sz w:val="16"/>
          <w:szCs w:val="16"/>
        </w:rPr>
      </w:pPr>
    </w:p>
    <w:p w14:paraId="5D147B96" w14:textId="138DE3DD" w:rsidR="00474276" w:rsidRPr="00D03F3E" w:rsidRDefault="00474276"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В конце весны 1943 года на авиабазе Райт Филд, где главный конструктор фирмы Lockheed Даниель Русс встретился с представителями командования ВВС США началась история создания истребителя F-80 Shooting Star. Итогом встречи стало официальное письмо, в котором фирме предлагалось разработать реактивный истребитель под английский двигатель Н.1В Goblin фирмы De Havilland. Такие двигатели планировалось производить на производственной базе американской фирмы Allis Chalmers. Последняя долгое время пыталась разработать свой двигатель, но к 1943 году она бросила бесплодные попытки и приобрела лицензию на постройку Н.1В (22848).</w:t>
      </w:r>
    </w:p>
    <w:p w14:paraId="75D60D98" w14:textId="77777777" w:rsidR="00474276" w:rsidRPr="00D03F3E" w:rsidRDefault="00474276"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p>
    <w:p w14:paraId="659C0D0A"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2EAD2E32" w14:textId="77777777" w:rsidR="00531570" w:rsidRPr="00D03F3E" w:rsidRDefault="00531570" w:rsidP="00D03F3E">
      <w:pPr>
        <w:pStyle w:val="Iauiue"/>
        <w:jc w:val="both"/>
        <w:rPr>
          <w:iCs/>
          <w:color w:val="000000" w:themeColor="text1"/>
          <w:sz w:val="16"/>
          <w:szCs w:val="16"/>
        </w:rPr>
      </w:pPr>
    </w:p>
    <w:p w14:paraId="44D20DC7" w14:textId="77777777" w:rsidR="000C0A4A" w:rsidRPr="00D03F3E" w:rsidRDefault="000C0A4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в 16-ой воздушной армии вышло из строя 125 самолетов Ил-2, отмечались случаи, когда в полете с крыла срывало фанерную обшивку. 12 мая 1943 г. вышел приказ НКАП № 287: «Для всестороннего изучения прочности самолета Ил-2... произвести анализ прочности и исчерпывающие стат. и полетные испытания самолета на прочность и дать заключение к 31 мая с.г... Испытание в полете произвести до эксплуатационных нормированных перегрузок на 5—6 самолетах производства завода 30 и один производства завода 1... Полным испытаниям на прочность в ЦАГИ подвергнуть самолеты в целом виде: 2 самолета производства завода 30 и один самолет производства завода 1» (19727).</w:t>
      </w:r>
    </w:p>
    <w:p w14:paraId="49676E6C" w14:textId="77777777" w:rsidR="000C0A4A" w:rsidRPr="00D03F3E" w:rsidRDefault="000C0A4A" w:rsidP="00D03F3E">
      <w:pPr>
        <w:spacing w:after="0" w:line="240" w:lineRule="auto"/>
        <w:jc w:val="both"/>
        <w:rPr>
          <w:rFonts w:ascii="Times New Roman" w:hAnsi="Times New Roman"/>
          <w:color w:val="000000" w:themeColor="text1"/>
          <w:sz w:val="16"/>
          <w:szCs w:val="16"/>
        </w:rPr>
      </w:pPr>
    </w:p>
    <w:p w14:paraId="20040AF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Весной 1943 удалось наладить серийное производство ЛаГГ-3, Як-9 и Ил-2, вооруженных пушкой НС-37 (263,14).</w:t>
      </w:r>
    </w:p>
    <w:p w14:paraId="56265903" w14:textId="77777777" w:rsidR="00531570" w:rsidRPr="00D03F3E" w:rsidRDefault="00531570" w:rsidP="00D03F3E">
      <w:pPr>
        <w:pStyle w:val="Iauiue"/>
        <w:jc w:val="both"/>
        <w:rPr>
          <w:color w:val="000000" w:themeColor="text1"/>
          <w:sz w:val="16"/>
          <w:szCs w:val="16"/>
        </w:rPr>
      </w:pPr>
    </w:p>
    <w:p w14:paraId="18319E6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весны 1943 на кабине стрелка Ил-2 стали ставить фонарь с козырьком (241,29).</w:t>
      </w:r>
    </w:p>
    <w:p w14:paraId="4296DF36" w14:textId="77777777" w:rsidR="00531570" w:rsidRPr="00D03F3E" w:rsidRDefault="00531570" w:rsidP="00D03F3E">
      <w:pPr>
        <w:pStyle w:val="Iauiue"/>
        <w:jc w:val="both"/>
        <w:rPr>
          <w:color w:val="000000" w:themeColor="text1"/>
          <w:sz w:val="16"/>
          <w:szCs w:val="16"/>
        </w:rPr>
      </w:pPr>
    </w:p>
    <w:p w14:paraId="30FDF5E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Весной 1943 г. боевую живучесть Ил-2 повысили внедрением фибровых протестированных бензобаков. По сравнению с металлическими баками пробоины этих баков при пулевых прострелах не имели рваных краев, что позволяло протектору быстро затянуть отверстие и предотвратить течь, снизить вероятность возникновения пожара (9528).</w:t>
      </w:r>
    </w:p>
    <w:p w14:paraId="19CE9BB9" w14:textId="77777777" w:rsidR="00531570" w:rsidRPr="00D03F3E" w:rsidRDefault="00531570" w:rsidP="00D03F3E">
      <w:pPr>
        <w:pStyle w:val="Iauiue"/>
        <w:jc w:val="both"/>
        <w:rPr>
          <w:color w:val="000000" w:themeColor="text1"/>
          <w:sz w:val="16"/>
          <w:szCs w:val="16"/>
        </w:rPr>
      </w:pPr>
    </w:p>
    <w:p w14:paraId="2638B9A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на заводе № 18 цехом окончательной сборки были завершены работы по тяжелому штурмовику Ил-2М и начались пред</w:t>
      </w:r>
      <w:r w:rsidRPr="00D03F3E">
        <w:rPr>
          <w:rFonts w:ascii="Times New Roman" w:hAnsi="Times New Roman"/>
          <w:color w:val="000000" w:themeColor="text1"/>
          <w:sz w:val="16"/>
          <w:szCs w:val="16"/>
        </w:rPr>
        <w:softHyphen/>
        <w:t>варительные заводские испытания. Целью наземных и летных испытаний являлась полная доводка машины, винтомоторной группы и выявление эксплуатационных особенностей са</w:t>
      </w:r>
      <w:r w:rsidRPr="00D03F3E">
        <w:rPr>
          <w:rFonts w:ascii="Times New Roman" w:hAnsi="Times New Roman"/>
          <w:color w:val="000000" w:themeColor="text1"/>
          <w:sz w:val="16"/>
          <w:szCs w:val="16"/>
        </w:rPr>
        <w:softHyphen/>
        <w:t>молета для подготовки его к переда</w:t>
      </w:r>
      <w:r w:rsidRPr="00D03F3E">
        <w:rPr>
          <w:rFonts w:ascii="Times New Roman" w:hAnsi="Times New Roman"/>
          <w:color w:val="000000" w:themeColor="text1"/>
          <w:sz w:val="16"/>
          <w:szCs w:val="16"/>
        </w:rPr>
        <w:softHyphen/>
        <w:t>че на официальные заводские испы</w:t>
      </w:r>
      <w:r w:rsidRPr="00D03F3E">
        <w:rPr>
          <w:rFonts w:ascii="Times New Roman" w:hAnsi="Times New Roman"/>
          <w:color w:val="000000" w:themeColor="text1"/>
          <w:sz w:val="16"/>
          <w:szCs w:val="16"/>
        </w:rPr>
        <w:softHyphen/>
        <w:t>тания.</w:t>
      </w:r>
    </w:p>
    <w:p w14:paraId="69375DB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Уже к 1 мая были закончены на</w:t>
      </w:r>
      <w:r w:rsidRPr="00D03F3E">
        <w:rPr>
          <w:rFonts w:ascii="Times New Roman" w:hAnsi="Times New Roman"/>
          <w:color w:val="000000" w:themeColor="text1"/>
          <w:sz w:val="16"/>
          <w:szCs w:val="16"/>
        </w:rPr>
        <w:softHyphen/>
        <w:t>земные испытания бомбардировоч</w:t>
      </w:r>
      <w:r w:rsidRPr="00D03F3E">
        <w:rPr>
          <w:rFonts w:ascii="Times New Roman" w:hAnsi="Times New Roman"/>
          <w:color w:val="000000" w:themeColor="text1"/>
          <w:sz w:val="16"/>
          <w:szCs w:val="16"/>
        </w:rPr>
        <w:softHyphen/>
        <w:t>ного и стрелково-пушечного воору</w:t>
      </w:r>
      <w:r w:rsidRPr="00D03F3E">
        <w:rPr>
          <w:rFonts w:ascii="Times New Roman" w:hAnsi="Times New Roman"/>
          <w:color w:val="000000" w:themeColor="text1"/>
          <w:sz w:val="16"/>
          <w:szCs w:val="16"/>
        </w:rPr>
        <w:softHyphen/>
        <w:t>жения, и самолет "перевезли в тир для горячего отстрела оружия". Все вооружение работало безотказно. Серьезные претензии были только к оборонительной пулеметной установ</w:t>
      </w:r>
      <w:r w:rsidRPr="00D03F3E">
        <w:rPr>
          <w:rFonts w:ascii="Times New Roman" w:hAnsi="Times New Roman"/>
          <w:color w:val="000000" w:themeColor="text1"/>
          <w:sz w:val="16"/>
          <w:szCs w:val="16"/>
        </w:rPr>
        <w:softHyphen/>
        <w:t>ке, так как ее отстрел вообще не удалось произвести "ввиду задержек в механизме подтяга" (11427).</w:t>
      </w:r>
    </w:p>
    <w:p w14:paraId="0C13F13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41A288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негативные тенденции с боеспособностью материальной части в ВВС КА достигли та</w:t>
      </w:r>
      <w:r w:rsidRPr="00D03F3E">
        <w:rPr>
          <w:rFonts w:ascii="Times New Roman" w:hAnsi="Times New Roman"/>
          <w:color w:val="000000" w:themeColor="text1"/>
          <w:sz w:val="16"/>
          <w:szCs w:val="16"/>
        </w:rPr>
        <w:softHyphen/>
        <w:t>ких размеров, что поставили под угрозу проведение операций летней кампании.</w:t>
      </w:r>
    </w:p>
    <w:p w14:paraId="2A923A9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Техническое состояние поступающих в это время с авиаза</w:t>
      </w:r>
      <w:r w:rsidRPr="00D03F3E">
        <w:rPr>
          <w:rFonts w:ascii="Times New Roman" w:hAnsi="Times New Roman"/>
          <w:color w:val="000000" w:themeColor="text1"/>
          <w:sz w:val="16"/>
          <w:szCs w:val="16"/>
        </w:rPr>
        <w:softHyphen/>
        <w:t>водов самолетов Ил-2 было таково, что часть из них сразу же направлялась в ремонтные органы для «приведения в летное состояние». Непосредственно в частях технический состав за</w:t>
      </w:r>
      <w:r w:rsidRPr="00D03F3E">
        <w:rPr>
          <w:rFonts w:ascii="Times New Roman" w:hAnsi="Times New Roman"/>
          <w:color w:val="000000" w:themeColor="text1"/>
          <w:sz w:val="16"/>
          <w:szCs w:val="16"/>
        </w:rPr>
        <w:softHyphen/>
        <w:t>трачивал в среднем по 2—3 дня на доработку вновь прибывших штурмовиков.</w:t>
      </w:r>
    </w:p>
    <w:p w14:paraId="46DF2B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разряду обычных явлений относились: течь смеси АС в амортизационных стойках, масла из втулок винтов, бензоба</w:t>
      </w:r>
      <w:r w:rsidRPr="00D03F3E">
        <w:rPr>
          <w:rFonts w:ascii="Times New Roman" w:hAnsi="Times New Roman"/>
          <w:color w:val="000000" w:themeColor="text1"/>
          <w:sz w:val="16"/>
          <w:szCs w:val="16"/>
        </w:rPr>
        <w:softHyphen/>
        <w:t>ков по точечной сварке, подтекания воды и бензина, разруше</w:t>
      </w:r>
      <w:r w:rsidRPr="00D03F3E">
        <w:rPr>
          <w:rFonts w:ascii="Times New Roman" w:hAnsi="Times New Roman"/>
          <w:color w:val="000000" w:themeColor="text1"/>
          <w:sz w:val="16"/>
          <w:szCs w:val="16"/>
        </w:rPr>
        <w:softHyphen/>
        <w:t>ние тормозных шлангов, отсутствие герметичности в соедине</w:t>
      </w:r>
      <w:r w:rsidRPr="00D03F3E">
        <w:rPr>
          <w:rFonts w:ascii="Times New Roman" w:hAnsi="Times New Roman"/>
          <w:color w:val="000000" w:themeColor="text1"/>
          <w:sz w:val="16"/>
          <w:szCs w:val="16"/>
        </w:rPr>
        <w:softHyphen/>
        <w:t>ниях воздушной системы и т.д.</w:t>
      </w:r>
    </w:p>
    <w:p w14:paraId="7A96482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Довольно быстро выходили из строя замки бронелюков мо</w:t>
      </w:r>
      <w:r w:rsidRPr="00D03F3E">
        <w:rPr>
          <w:rFonts w:ascii="Times New Roman" w:hAnsi="Times New Roman"/>
          <w:color w:val="000000" w:themeColor="text1"/>
          <w:sz w:val="16"/>
          <w:szCs w:val="16"/>
        </w:rPr>
        <w:softHyphen/>
        <w:t>тора: «лопаются или ослабевают пластинчатые пружинки, раз</w:t>
      </w:r>
      <w:r w:rsidRPr="00D03F3E">
        <w:rPr>
          <w:rFonts w:ascii="Times New Roman" w:hAnsi="Times New Roman"/>
          <w:color w:val="000000" w:themeColor="text1"/>
          <w:sz w:val="16"/>
          <w:szCs w:val="16"/>
        </w:rPr>
        <w:softHyphen/>
        <w:t>балтываются заклепки и изнашиваются оси подвесок нижних бронелюков». Отмечались случаи, особенно на самолетах про</w:t>
      </w:r>
      <w:r w:rsidRPr="00D03F3E">
        <w:rPr>
          <w:rFonts w:ascii="Times New Roman" w:hAnsi="Times New Roman"/>
          <w:color w:val="000000" w:themeColor="text1"/>
          <w:sz w:val="16"/>
          <w:szCs w:val="16"/>
        </w:rPr>
        <w:softHyphen/>
        <w:t>изводства завода № 30, выпадения в полете нижних бронелю</w:t>
      </w:r>
      <w:r w:rsidRPr="00D03F3E">
        <w:rPr>
          <w:rFonts w:ascii="Times New Roman" w:hAnsi="Times New Roman"/>
          <w:color w:val="000000" w:themeColor="text1"/>
          <w:sz w:val="16"/>
          <w:szCs w:val="16"/>
        </w:rPr>
        <w:softHyphen/>
        <w:t>ков капота мотора из-за ослабления крепления петель.</w:t>
      </w:r>
    </w:p>
    <w:p w14:paraId="725B56D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штурмовиках в большом количестве имелись люфты в различных соединениях управления самолетом и мотором, не</w:t>
      </w:r>
      <w:r w:rsidRPr="00D03F3E">
        <w:rPr>
          <w:rFonts w:ascii="Times New Roman" w:hAnsi="Times New Roman"/>
          <w:color w:val="000000" w:themeColor="text1"/>
          <w:sz w:val="16"/>
          <w:szCs w:val="16"/>
        </w:rPr>
        <w:softHyphen/>
        <w:t>которые гайки оказывались не дотянутыми, а иногда и не за</w:t>
      </w:r>
      <w:r w:rsidRPr="00D03F3E">
        <w:rPr>
          <w:rFonts w:ascii="Times New Roman" w:hAnsi="Times New Roman"/>
          <w:color w:val="000000" w:themeColor="text1"/>
          <w:sz w:val="16"/>
          <w:szCs w:val="16"/>
        </w:rPr>
        <w:softHyphen/>
        <w:t>контренными. На авиазаводах ставились «не вытянутые» тросы управления. В результате после 3—5 часов налета самолета трос вытягивался настолько, что его уже «не хватало для вытяжки слабины». Тросы приходилось переплетать.</w:t>
      </w:r>
    </w:p>
    <w:p w14:paraId="351F390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Массовым явлением было разъединение троса управления бронешторками маслорадиатора с рычагом оси шторок, что было связано с некачественной пайкой на заводе «заделки конца троса».</w:t>
      </w:r>
    </w:p>
    <w:p w14:paraId="09DB303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Из-за недоброкачественной склейки шпона и подгонки де</w:t>
      </w:r>
      <w:r w:rsidRPr="00D03F3E">
        <w:rPr>
          <w:rFonts w:ascii="Times New Roman" w:hAnsi="Times New Roman"/>
          <w:color w:val="000000" w:themeColor="text1"/>
          <w:sz w:val="16"/>
          <w:szCs w:val="16"/>
        </w:rPr>
        <w:softHyphen/>
        <w:t>талей хвостового оперения имелись случаи заклинивания ру</w:t>
      </w:r>
      <w:r w:rsidRPr="00D03F3E">
        <w:rPr>
          <w:rFonts w:ascii="Times New Roman" w:hAnsi="Times New Roman"/>
          <w:color w:val="000000" w:themeColor="text1"/>
          <w:sz w:val="16"/>
          <w:szCs w:val="16"/>
        </w:rPr>
        <w:softHyphen/>
        <w:t>лей высоты и направления. Худшими в этом отношении явля</w:t>
      </w:r>
      <w:r w:rsidRPr="00D03F3E">
        <w:rPr>
          <w:rFonts w:ascii="Times New Roman" w:hAnsi="Times New Roman"/>
          <w:color w:val="000000" w:themeColor="text1"/>
          <w:sz w:val="16"/>
          <w:szCs w:val="16"/>
        </w:rPr>
        <w:softHyphen/>
        <w:t>лись самолеты заводов № 1 и № 30.</w:t>
      </w:r>
    </w:p>
    <w:p w14:paraId="38D6493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Характерным-дефектом Ил-2 являлось загнивание, расслое</w:t>
      </w:r>
      <w:r w:rsidRPr="00D03F3E">
        <w:rPr>
          <w:rFonts w:ascii="Times New Roman" w:hAnsi="Times New Roman"/>
          <w:color w:val="000000" w:themeColor="text1"/>
          <w:sz w:val="16"/>
          <w:szCs w:val="16"/>
        </w:rPr>
        <w:softHyphen/>
        <w:t>ние и отставание деревянной обшивки от силового каркаса как в консолях и плоскостях, так и в хвостовой части фюзеляжа ме</w:t>
      </w:r>
      <w:r w:rsidRPr="00D03F3E">
        <w:rPr>
          <w:rFonts w:ascii="Times New Roman" w:hAnsi="Times New Roman"/>
          <w:color w:val="000000" w:themeColor="text1"/>
          <w:sz w:val="16"/>
          <w:szCs w:val="16"/>
        </w:rPr>
        <w:softHyphen/>
        <w:t>жду 10-м и 16-м шпангоутом и в стыковке киля. Отмечалась плохая склейка шпангоутов между собой и связь их с каркасом, а также недостаточная прочность самих шпангоутов. На шпан</w:t>
      </w:r>
      <w:r w:rsidRPr="00D03F3E">
        <w:rPr>
          <w:rFonts w:ascii="Times New Roman" w:hAnsi="Times New Roman"/>
          <w:color w:val="000000" w:themeColor="text1"/>
          <w:sz w:val="16"/>
          <w:szCs w:val="16"/>
        </w:rPr>
        <w:softHyphen/>
        <w:t>гоутах наблюдались трещины и расслоение по склейке.</w:t>
      </w:r>
    </w:p>
    <w:p w14:paraId="0FC367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этим причинам прочность хвостовой части фюзеляжа оказывалась невысокой. В строевых частях имелись частые слу</w:t>
      </w:r>
      <w:r w:rsidRPr="00D03F3E">
        <w:rPr>
          <w:rFonts w:ascii="Times New Roman" w:hAnsi="Times New Roman"/>
          <w:color w:val="000000" w:themeColor="text1"/>
          <w:sz w:val="16"/>
          <w:szCs w:val="16"/>
        </w:rPr>
        <w:softHyphen/>
        <w:t>чаи, когда при производстве взлета и посадки на полевых аэро</w:t>
      </w:r>
      <w:r w:rsidRPr="00D03F3E">
        <w:rPr>
          <w:rFonts w:ascii="Times New Roman" w:hAnsi="Times New Roman"/>
          <w:color w:val="000000" w:themeColor="text1"/>
          <w:sz w:val="16"/>
          <w:szCs w:val="16"/>
        </w:rPr>
        <w:softHyphen/>
        <w:t>дромах с полной бомбовой нагрузкой даже от незначительного подскока хвоста разрушались 14-й и 15-й шпангоуты, иногда и 13-й шпангоут. Как следствие, фюзеляжи переламывались. Указанный дефект появлялся уже при налете в 20—40 ч. В боль</w:t>
      </w:r>
      <w:r w:rsidRPr="00D03F3E">
        <w:rPr>
          <w:rFonts w:ascii="Times New Roman" w:hAnsi="Times New Roman"/>
          <w:color w:val="000000" w:themeColor="text1"/>
          <w:sz w:val="16"/>
          <w:szCs w:val="16"/>
        </w:rPr>
        <w:softHyphen/>
        <w:t>шинстве случаев этот дефект отмечался на самолетах производ</w:t>
      </w:r>
      <w:r w:rsidRPr="00D03F3E">
        <w:rPr>
          <w:rFonts w:ascii="Times New Roman" w:hAnsi="Times New Roman"/>
          <w:color w:val="000000" w:themeColor="text1"/>
          <w:sz w:val="16"/>
          <w:szCs w:val="16"/>
        </w:rPr>
        <w:softHyphen/>
        <w:t>ства заводов № 1 и № 30 и в меньшей степени на самолетах за</w:t>
      </w:r>
      <w:r w:rsidRPr="00D03F3E">
        <w:rPr>
          <w:rFonts w:ascii="Times New Roman" w:hAnsi="Times New Roman"/>
          <w:color w:val="000000" w:themeColor="text1"/>
          <w:sz w:val="16"/>
          <w:szCs w:val="16"/>
        </w:rPr>
        <w:softHyphen/>
        <w:t>вода № 18.</w:t>
      </w:r>
    </w:p>
    <w:p w14:paraId="5659D28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качестве профилактических мероприятий силами ПАРМ-1 и техсостава частей производилось усиление хвостовой части фюзеляжа путем постановки дополнительных накладок и уголь</w:t>
      </w:r>
      <w:r w:rsidRPr="00D03F3E">
        <w:rPr>
          <w:rFonts w:ascii="Times New Roman" w:hAnsi="Times New Roman"/>
          <w:color w:val="000000" w:themeColor="text1"/>
          <w:sz w:val="16"/>
          <w:szCs w:val="16"/>
        </w:rPr>
        <w:softHyphen/>
        <w:t>ников, которые крепили 14-й и 15-й шпангоуты к шпону фюзе</w:t>
      </w:r>
      <w:r w:rsidRPr="00D03F3E">
        <w:rPr>
          <w:rFonts w:ascii="Times New Roman" w:hAnsi="Times New Roman"/>
          <w:color w:val="000000" w:themeColor="text1"/>
          <w:sz w:val="16"/>
          <w:szCs w:val="16"/>
        </w:rPr>
        <w:softHyphen/>
        <w:t>ляжа. Усиление производилось сразу же после поступления в части самолетов с заводов.</w:t>
      </w:r>
    </w:p>
    <w:p w14:paraId="4EEF8E0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Обрыв ушково-вильчатого болта крепления штока цилиндра уборки и выпуска шасси, а также трещины по сварке ломаю</w:t>
      </w:r>
      <w:r w:rsidRPr="00D03F3E">
        <w:rPr>
          <w:rFonts w:ascii="Times New Roman" w:hAnsi="Times New Roman"/>
          <w:color w:val="000000" w:themeColor="text1"/>
          <w:sz w:val="16"/>
          <w:szCs w:val="16"/>
        </w:rPr>
        <w:softHyphen/>
        <w:t>щихся подкосов шасси и в узлах стыка крыла с центропланом нередко вызывали тяжелые последствия (аварии и поломки). Однако они все же не имели массового характера. Поэтому «для предупреждения и устранения их не требовалось большой за</w:t>
      </w:r>
      <w:r w:rsidRPr="00D03F3E">
        <w:rPr>
          <w:rFonts w:ascii="Times New Roman" w:hAnsi="Times New Roman"/>
          <w:color w:val="000000" w:themeColor="text1"/>
          <w:sz w:val="16"/>
          <w:szCs w:val="16"/>
        </w:rPr>
        <w:softHyphen/>
        <w:t>траты сил и средств, как это имело место при устранении де</w:t>
      </w:r>
      <w:r w:rsidRPr="00D03F3E">
        <w:rPr>
          <w:rFonts w:ascii="Times New Roman" w:hAnsi="Times New Roman"/>
          <w:color w:val="000000" w:themeColor="text1"/>
          <w:sz w:val="16"/>
          <w:szCs w:val="16"/>
        </w:rPr>
        <w:softHyphen/>
        <w:t>фектов хвостовой части фюзеляжа».</w:t>
      </w:r>
    </w:p>
    <w:p w14:paraId="57290A8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Серьезные проблемы были и с моторами АМ-38, которые нормально все же не работали. По опыту штурмовых частей 3-й воздушной армии один отказ мотора, который приводил к его преждевременному снятию с самолета или к вынужденным посадкам, авариям и катастрофам, приходился в среднем на 35 часов налета (11474,270).</w:t>
      </w:r>
    </w:p>
    <w:p w14:paraId="5C8577F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07573A69" w14:textId="77777777" w:rsidR="000C0A4A" w:rsidRPr="00D03F3E" w:rsidRDefault="000C0A4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Весной 1943 года начались заводские испытания модифицированного двухместного штурмовика Су-6, а летом он успешно прошел государственные испытания и был рекомендован в серийное производство. При этом, по мнению специалистов НИИ ВВС КА, следовало выпускать серийные самолеты Су-6 в двухместном и одноместном вариантах. В июне 1943 года заведующий отделом Управления кадров ЦК ВКП(б) А.В.Будников в своем обращении к секретарю ЦК ВКП(б) Г.М.Маленкову доложил, что: «Главный конструктор т . Сухой П.О. разработал конструкцию самолета-штурмовика Су-6 с мотором М-71. 1-й вариант – одноместный был готов и прошел госиспытания в апреле 1942 года с положительной оценкой. 2-й вариант – двухместный закончен в марте 1943 года и прошел полные заводские испытания в мае с.г. также с положительной оценкой. Сравнительные данные самолетов Су-6 и Ил-2 Су-6 двухместный с М-71Ф Су-6 одноместный с М-71Ф Ил-2 двухместный с АМ-38 Ил-2 с АМ-42 (расчет.) Скорость у земли на номинальной мощности 492 445 403 423 Скорость на расчетной высоте 560/ 4500 491/ 2500 420/ 2000 440/ 1500 Дальность максимальная 650 576 690 700-900 Преимущество самолета-штурмовика Су-6 с мотором М-71Ф по сравнению с Ил-2 с АМ-38 и Ил-2 с АМ-42 заключается в преобладании скорости и улучшенной броневой защите. Отзывы боевых летчиков и летчиков-испытателей в части удобств управления самолетом Су-6 и простоты его обслуживания, а также маневренности, самые положительные. В целях лучшей отработки самолета Су-6 отдел Управления кадров считает необходимым сосредоточить все силы конструкторского бюро с опытным заводом т. Сухого на одной производственной базе – на заводе № 380 в г. Калининграде, под Москвой. Площади, занимаемые конструкторским бюро т . Сухого (завод № 289 в г. Молотове), будут переданы заводу № 19, который в них нуждается.» (После эвакуации завода № 289 (ОКБ П.О. Сухого) в Молотов, на его площадях был развернут завод по ремонту самолетов, получивший в июне 1942 года № 380 и вошедший в 6 ГУ НКАП.) (19769).</w:t>
      </w:r>
    </w:p>
    <w:p w14:paraId="38688A2A" w14:textId="77777777" w:rsidR="000C0A4A" w:rsidRPr="00D03F3E" w:rsidRDefault="000C0A4A" w:rsidP="00D03F3E">
      <w:pPr>
        <w:spacing w:after="0" w:line="240" w:lineRule="auto"/>
        <w:jc w:val="both"/>
        <w:rPr>
          <w:rFonts w:ascii="Times New Roman" w:hAnsi="Times New Roman"/>
          <w:color w:val="000000" w:themeColor="text1"/>
          <w:sz w:val="16"/>
          <w:szCs w:val="16"/>
        </w:rPr>
      </w:pPr>
    </w:p>
    <w:p w14:paraId="1D8933B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 весне 1943 г. одна опытная машина ДДБШ 2М-71 в целом была готова. На самолете не были установлены вооружение, прозрачная броня и ряд других систем.</w:t>
      </w:r>
    </w:p>
    <w:p w14:paraId="3390DD4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Опытный штурмовик имел несколько усиленный состав вооружения: в подфюзеляжной батарее - четыре пушки калибра 37 мм ОКБ-16 (200 снарядов), в каждой консоли крыла - по четыре крыльевых пулемета ШКАС (2400 патронов), на верхней турели УТК-1 - один оборонительный пулемет УБТ (200 патронов) и в люковой оборонительной установке ЛУ-100 - один пулемет ШКАС (700 патронов). Бомбовое и ракетное вооружение не изменялось. Окончание постройки намечалось на 1 мая 43-го (9649).</w:t>
      </w:r>
    </w:p>
    <w:p w14:paraId="5784B2D2" w14:textId="77777777" w:rsidR="00531570" w:rsidRPr="00D03F3E" w:rsidRDefault="00531570" w:rsidP="00D03F3E">
      <w:pPr>
        <w:pStyle w:val="Iauiue"/>
        <w:jc w:val="both"/>
        <w:rPr>
          <w:color w:val="000000" w:themeColor="text1"/>
          <w:sz w:val="16"/>
          <w:szCs w:val="16"/>
        </w:rPr>
      </w:pPr>
    </w:p>
    <w:p w14:paraId="18CD029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года самолет ДДБШ был включен в проект плана строительства самолетов и моди</w:t>
      </w:r>
      <w:r w:rsidRPr="00D03F3E">
        <w:rPr>
          <w:rFonts w:ascii="Times New Roman" w:hAnsi="Times New Roman"/>
          <w:color w:val="000000" w:themeColor="text1"/>
          <w:sz w:val="16"/>
          <w:szCs w:val="16"/>
        </w:rPr>
        <w:softHyphen/>
        <w:t>фикаций самолетов на 1943 год со сроком передачи его на госиспы</w:t>
      </w:r>
      <w:r w:rsidRPr="00D03F3E">
        <w:rPr>
          <w:rFonts w:ascii="Times New Roman" w:hAnsi="Times New Roman"/>
          <w:color w:val="000000" w:themeColor="text1"/>
          <w:sz w:val="16"/>
          <w:szCs w:val="16"/>
        </w:rPr>
        <w:softHyphen/>
        <w:t>тания 1.09.43 г. Слабая производственная база позволила завершить постройку опытного экземпляра самолета только к началу июля 1943 года. К этому времени правительство при</w:t>
      </w:r>
      <w:r w:rsidRPr="00D03F3E">
        <w:rPr>
          <w:rFonts w:ascii="Times New Roman" w:hAnsi="Times New Roman"/>
          <w:color w:val="000000" w:themeColor="text1"/>
          <w:sz w:val="16"/>
          <w:szCs w:val="16"/>
        </w:rPr>
        <w:softHyphen/>
        <w:t>няло решение о реэвакуации заво</w:t>
      </w:r>
      <w:r w:rsidRPr="00D03F3E">
        <w:rPr>
          <w:rFonts w:ascii="Times New Roman" w:hAnsi="Times New Roman"/>
          <w:color w:val="000000" w:themeColor="text1"/>
          <w:sz w:val="16"/>
          <w:szCs w:val="16"/>
        </w:rPr>
        <w:softHyphen/>
        <w:t>да № 289 на прежнее место бази</w:t>
      </w:r>
      <w:r w:rsidRPr="00D03F3E">
        <w:rPr>
          <w:rFonts w:ascii="Times New Roman" w:hAnsi="Times New Roman"/>
          <w:color w:val="000000" w:themeColor="text1"/>
          <w:sz w:val="16"/>
          <w:szCs w:val="16"/>
        </w:rPr>
        <w:softHyphen/>
        <w:t>рования в подмосковный город Ка</w:t>
      </w:r>
      <w:r w:rsidRPr="00D03F3E">
        <w:rPr>
          <w:rFonts w:ascii="Times New Roman" w:hAnsi="Times New Roman"/>
          <w:color w:val="000000" w:themeColor="text1"/>
          <w:sz w:val="16"/>
          <w:szCs w:val="16"/>
        </w:rPr>
        <w:softHyphen/>
        <w:t>лининград (Королев). Самолету ДДБШ, в переписке получившему обозначение Су-8, предстояло дли</w:t>
      </w:r>
      <w:r w:rsidRPr="00D03F3E">
        <w:rPr>
          <w:rFonts w:ascii="Times New Roman" w:hAnsi="Times New Roman"/>
          <w:color w:val="000000" w:themeColor="text1"/>
          <w:sz w:val="16"/>
          <w:szCs w:val="16"/>
        </w:rPr>
        <w:softHyphen/>
        <w:t>тельное «путешествие» по железной дороге. Желая предъявить самолет на испытания к установленному сроку, П.О.Сухой принял решение все работы на нем завершить в Молотове. На самолете предстоя</w:t>
      </w:r>
      <w:r w:rsidRPr="00D03F3E">
        <w:rPr>
          <w:rFonts w:ascii="Times New Roman" w:hAnsi="Times New Roman"/>
          <w:color w:val="000000" w:themeColor="text1"/>
          <w:sz w:val="16"/>
          <w:szCs w:val="16"/>
        </w:rPr>
        <w:softHyphen/>
        <w:t>ло установить прозрачную броню, стрелково-пушечное вооружение, а также устранить деформацию об</w:t>
      </w:r>
      <w:r w:rsidRPr="00D03F3E">
        <w:rPr>
          <w:rFonts w:ascii="Times New Roman" w:hAnsi="Times New Roman"/>
          <w:color w:val="000000" w:themeColor="text1"/>
          <w:sz w:val="16"/>
          <w:szCs w:val="16"/>
        </w:rPr>
        <w:softHyphen/>
        <w:t>шивки крыла, выполненной из не</w:t>
      </w:r>
      <w:r w:rsidRPr="00D03F3E">
        <w:rPr>
          <w:rFonts w:ascii="Times New Roman" w:hAnsi="Times New Roman"/>
          <w:color w:val="000000" w:themeColor="text1"/>
          <w:sz w:val="16"/>
          <w:szCs w:val="16"/>
        </w:rPr>
        <w:softHyphen/>
        <w:t>качественной фанеры. Приближался срок начала лет</w:t>
      </w:r>
      <w:r w:rsidRPr="00D03F3E">
        <w:rPr>
          <w:rFonts w:ascii="Times New Roman" w:hAnsi="Times New Roman"/>
          <w:color w:val="000000" w:themeColor="text1"/>
          <w:sz w:val="16"/>
          <w:szCs w:val="16"/>
        </w:rPr>
        <w:softHyphen/>
        <w:t>ных испытаний, однако статический экземпляр самолета Су-8 еще не был испытан из-за загруженности статической лаборатории ЦАГИ другими заданиями. Поэтому в на</w:t>
      </w:r>
      <w:r w:rsidRPr="00D03F3E">
        <w:rPr>
          <w:rFonts w:ascii="Times New Roman" w:hAnsi="Times New Roman"/>
          <w:color w:val="000000" w:themeColor="text1"/>
          <w:sz w:val="16"/>
          <w:szCs w:val="16"/>
        </w:rPr>
        <w:softHyphen/>
        <w:t>чале августа опытный самолет Су-8 отправили в Москву водным путем (Кама - Волга - Москва-река). В октябре он прибыл в Тушино. Размещение завода № 289 в под</w:t>
      </w:r>
      <w:r w:rsidRPr="00D03F3E">
        <w:rPr>
          <w:rFonts w:ascii="Times New Roman" w:hAnsi="Times New Roman"/>
          <w:color w:val="000000" w:themeColor="text1"/>
          <w:sz w:val="16"/>
          <w:szCs w:val="16"/>
        </w:rPr>
        <w:softHyphen/>
        <w:t>московном поселке Тушино стало результатом организационных не</w:t>
      </w:r>
      <w:r w:rsidRPr="00D03F3E">
        <w:rPr>
          <w:rFonts w:ascii="Times New Roman" w:hAnsi="Times New Roman"/>
          <w:color w:val="000000" w:themeColor="text1"/>
          <w:sz w:val="16"/>
          <w:szCs w:val="16"/>
        </w:rPr>
        <w:softHyphen/>
        <w:t>увязок, возникших между Наркома</w:t>
      </w:r>
      <w:r w:rsidRPr="00D03F3E">
        <w:rPr>
          <w:rFonts w:ascii="Times New Roman" w:hAnsi="Times New Roman"/>
          <w:color w:val="000000" w:themeColor="text1"/>
          <w:sz w:val="16"/>
          <w:szCs w:val="16"/>
        </w:rPr>
        <w:softHyphen/>
        <w:t>тами Обороны и авиационной про</w:t>
      </w:r>
      <w:r w:rsidRPr="00D03F3E">
        <w:rPr>
          <w:rFonts w:ascii="Times New Roman" w:hAnsi="Times New Roman"/>
          <w:color w:val="000000" w:themeColor="text1"/>
          <w:sz w:val="16"/>
          <w:szCs w:val="16"/>
        </w:rPr>
        <w:softHyphen/>
        <w:t>мышленности. На новом месте са</w:t>
      </w:r>
      <w:r w:rsidRPr="00D03F3E">
        <w:rPr>
          <w:rFonts w:ascii="Times New Roman" w:hAnsi="Times New Roman"/>
          <w:color w:val="000000" w:themeColor="text1"/>
          <w:sz w:val="16"/>
          <w:szCs w:val="16"/>
        </w:rPr>
        <w:softHyphen/>
        <w:t>молет был доукомплектован (за ис</w:t>
      </w:r>
      <w:r w:rsidRPr="00D03F3E">
        <w:rPr>
          <w:rFonts w:ascii="Times New Roman" w:hAnsi="Times New Roman"/>
          <w:color w:val="000000" w:themeColor="text1"/>
          <w:sz w:val="16"/>
          <w:szCs w:val="16"/>
        </w:rPr>
        <w:softHyphen/>
        <w:t>ключением стрелково-пушечного вооружения) и в ноябре перевезен на Тушинский аэродром для подго</w:t>
      </w:r>
      <w:r w:rsidRPr="00D03F3E">
        <w:rPr>
          <w:rFonts w:ascii="Times New Roman" w:hAnsi="Times New Roman"/>
          <w:color w:val="000000" w:themeColor="text1"/>
          <w:sz w:val="16"/>
          <w:szCs w:val="16"/>
        </w:rPr>
        <w:softHyphen/>
        <w:t>товки к летным испытаниям (веду</w:t>
      </w:r>
      <w:r w:rsidRPr="00D03F3E">
        <w:rPr>
          <w:rFonts w:ascii="Times New Roman" w:hAnsi="Times New Roman"/>
          <w:color w:val="000000" w:themeColor="text1"/>
          <w:sz w:val="16"/>
          <w:szCs w:val="16"/>
        </w:rPr>
        <w:softHyphen/>
        <w:t>щий инженер В.И.Фурдецкий). В это же время по приказу НКАП на заводе № 289 приступили к до</w:t>
      </w:r>
      <w:r w:rsidRPr="00D03F3E">
        <w:rPr>
          <w:rFonts w:ascii="Times New Roman" w:hAnsi="Times New Roman"/>
          <w:color w:val="000000" w:themeColor="text1"/>
          <w:sz w:val="16"/>
          <w:szCs w:val="16"/>
        </w:rPr>
        <w:softHyphen/>
        <w:t>работке самолета Су-6 под двига</w:t>
      </w:r>
      <w:r w:rsidRPr="00D03F3E">
        <w:rPr>
          <w:rFonts w:ascii="Times New Roman" w:hAnsi="Times New Roman"/>
          <w:color w:val="000000" w:themeColor="text1"/>
          <w:sz w:val="16"/>
          <w:szCs w:val="16"/>
        </w:rPr>
        <w:softHyphen/>
        <w:t>тель АМ-42. Под эти же двигатели, но уже в инициативном порядке до</w:t>
      </w:r>
      <w:r w:rsidRPr="00D03F3E">
        <w:rPr>
          <w:rFonts w:ascii="Times New Roman" w:hAnsi="Times New Roman"/>
          <w:color w:val="000000" w:themeColor="text1"/>
          <w:sz w:val="16"/>
          <w:szCs w:val="16"/>
        </w:rPr>
        <w:softHyphen/>
        <w:t>работали и проект самолета Су-8, однако проект ДДБШ 2АМ-42 остал</w:t>
      </w:r>
      <w:r w:rsidRPr="00D03F3E">
        <w:rPr>
          <w:rFonts w:ascii="Times New Roman" w:hAnsi="Times New Roman"/>
          <w:color w:val="000000" w:themeColor="text1"/>
          <w:sz w:val="16"/>
          <w:szCs w:val="16"/>
        </w:rPr>
        <w:softHyphen/>
        <w:t>ся нереализованным (11853).</w:t>
      </w:r>
    </w:p>
    <w:p w14:paraId="0BE884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231726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четырехместный ДДБШ в вариан</w:t>
      </w:r>
      <w:r w:rsidRPr="00D03F3E">
        <w:rPr>
          <w:rFonts w:ascii="Times New Roman" w:hAnsi="Times New Roman"/>
          <w:color w:val="000000" w:themeColor="text1"/>
          <w:sz w:val="16"/>
          <w:szCs w:val="16"/>
        </w:rPr>
        <w:softHyphen/>
        <w:t>тах бомбардировщика и высотно</w:t>
      </w:r>
      <w:r w:rsidRPr="00D03F3E">
        <w:rPr>
          <w:rFonts w:ascii="Times New Roman" w:hAnsi="Times New Roman"/>
          <w:color w:val="000000" w:themeColor="text1"/>
          <w:sz w:val="16"/>
          <w:szCs w:val="16"/>
        </w:rPr>
        <w:softHyphen/>
        <w:t>го разведчика в качестве дублера Су-8 был включен в про</w:t>
      </w:r>
      <w:r w:rsidRPr="00D03F3E">
        <w:rPr>
          <w:rFonts w:ascii="Times New Roman" w:hAnsi="Times New Roman"/>
          <w:color w:val="000000" w:themeColor="text1"/>
          <w:sz w:val="16"/>
          <w:szCs w:val="16"/>
        </w:rPr>
        <w:softHyphen/>
        <w:t>ект плана строительства самолетов и модификаций серийных самоле</w:t>
      </w:r>
      <w:r w:rsidRPr="00D03F3E">
        <w:rPr>
          <w:rFonts w:ascii="Times New Roman" w:hAnsi="Times New Roman"/>
          <w:color w:val="000000" w:themeColor="text1"/>
          <w:sz w:val="16"/>
          <w:szCs w:val="16"/>
        </w:rPr>
        <w:softHyphen/>
        <w:t>тов на 1943 год со сроком переда</w:t>
      </w:r>
      <w:r w:rsidRPr="00D03F3E">
        <w:rPr>
          <w:rFonts w:ascii="Times New Roman" w:hAnsi="Times New Roman"/>
          <w:color w:val="000000" w:themeColor="text1"/>
          <w:sz w:val="16"/>
          <w:szCs w:val="16"/>
        </w:rPr>
        <w:softHyphen/>
        <w:t>чи его на госиспытания 15.12.43 г. В августе завершилось эскизное и началось рабочее проектирова</w:t>
      </w:r>
      <w:r w:rsidRPr="00D03F3E">
        <w:rPr>
          <w:rFonts w:ascii="Times New Roman" w:hAnsi="Times New Roman"/>
          <w:color w:val="000000" w:themeColor="text1"/>
          <w:sz w:val="16"/>
          <w:szCs w:val="16"/>
        </w:rPr>
        <w:softHyphen/>
        <w:t>ние самолета, получившего в пе</w:t>
      </w:r>
      <w:r w:rsidRPr="00D03F3E">
        <w:rPr>
          <w:rFonts w:ascii="Times New Roman" w:hAnsi="Times New Roman"/>
          <w:color w:val="000000" w:themeColor="text1"/>
          <w:sz w:val="16"/>
          <w:szCs w:val="16"/>
        </w:rPr>
        <w:softHyphen/>
        <w:t>реписке обозначение БББ (бро</w:t>
      </w:r>
      <w:r w:rsidRPr="00D03F3E">
        <w:rPr>
          <w:rFonts w:ascii="Times New Roman" w:hAnsi="Times New Roman"/>
          <w:color w:val="000000" w:themeColor="text1"/>
          <w:sz w:val="16"/>
          <w:szCs w:val="16"/>
        </w:rPr>
        <w:softHyphen/>
        <w:t>нированный ближний бомбарди</w:t>
      </w:r>
      <w:r w:rsidRPr="00D03F3E">
        <w:rPr>
          <w:rFonts w:ascii="Times New Roman" w:hAnsi="Times New Roman"/>
          <w:color w:val="000000" w:themeColor="text1"/>
          <w:sz w:val="16"/>
          <w:szCs w:val="16"/>
        </w:rPr>
        <w:softHyphen/>
        <w:t>ровщик). 5 августа комиссия утвердила макет самолета БББ, но в связи с начавшейся реэвакуацией завода № 289 работы по самолету были временно прекращены. В конце декабря 1943 года по ука</w:t>
      </w:r>
      <w:r w:rsidRPr="00D03F3E">
        <w:rPr>
          <w:rFonts w:ascii="Times New Roman" w:hAnsi="Times New Roman"/>
          <w:color w:val="000000" w:themeColor="text1"/>
          <w:sz w:val="16"/>
          <w:szCs w:val="16"/>
        </w:rPr>
        <w:softHyphen/>
        <w:t>занию НКАП СССР ОКБ прекрати</w:t>
      </w:r>
      <w:r w:rsidRPr="00D03F3E">
        <w:rPr>
          <w:rFonts w:ascii="Times New Roman" w:hAnsi="Times New Roman"/>
          <w:color w:val="000000" w:themeColor="text1"/>
          <w:sz w:val="16"/>
          <w:szCs w:val="16"/>
        </w:rPr>
        <w:softHyphen/>
        <w:t>ло работы по БББ с 2М-71Ф, ввиду того, что «...по своим ЛТД он не пре</w:t>
      </w:r>
      <w:r w:rsidRPr="00D03F3E">
        <w:rPr>
          <w:rFonts w:ascii="Times New Roman" w:hAnsi="Times New Roman"/>
          <w:color w:val="000000" w:themeColor="text1"/>
          <w:sz w:val="16"/>
          <w:szCs w:val="16"/>
        </w:rPr>
        <w:softHyphen/>
        <w:t>восходит серийный Ту-2 с 2М-82ФН».</w:t>
      </w:r>
    </w:p>
    <w:p w14:paraId="6DFDE1A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расчетные характеристики вариантов самолетов ДДБШ</w:t>
      </w:r>
    </w:p>
    <w:tbl>
      <w:tblPr>
        <w:tblW w:w="0" w:type="auto"/>
        <w:tblInd w:w="40" w:type="dxa"/>
        <w:tblLayout w:type="fixed"/>
        <w:tblCellMar>
          <w:left w:w="40" w:type="dxa"/>
          <w:right w:w="40" w:type="dxa"/>
        </w:tblCellMar>
        <w:tblLook w:val="0000" w:firstRow="0" w:lastRow="0" w:firstColumn="0" w:lastColumn="0" w:noHBand="0" w:noVBand="0"/>
      </w:tblPr>
      <w:tblGrid>
        <w:gridCol w:w="3184"/>
        <w:gridCol w:w="1119"/>
        <w:gridCol w:w="1218"/>
        <w:gridCol w:w="2378"/>
        <w:gridCol w:w="2378"/>
      </w:tblGrid>
      <w:tr w:rsidR="00860B4B" w:rsidRPr="00D03F3E" w14:paraId="38DDA5D3" w14:textId="77777777">
        <w:trPr>
          <w:trHeight w:val="485"/>
        </w:trPr>
        <w:tc>
          <w:tcPr>
            <w:tcW w:w="3184" w:type="dxa"/>
            <w:tcBorders>
              <w:top w:val="single" w:sz="6" w:space="0" w:color="auto"/>
              <w:left w:val="single" w:sz="6" w:space="0" w:color="auto"/>
              <w:bottom w:val="single" w:sz="6" w:space="0" w:color="auto"/>
              <w:right w:val="single" w:sz="6" w:space="0" w:color="auto"/>
            </w:tcBorders>
          </w:tcPr>
          <w:p w14:paraId="3FC7C68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Характеристики</w:t>
            </w:r>
          </w:p>
          <w:p w14:paraId="6E17D55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single" w:sz="6" w:space="0" w:color="auto"/>
              <w:left w:val="single" w:sz="6" w:space="0" w:color="auto"/>
              <w:bottom w:val="single" w:sz="6" w:space="0" w:color="auto"/>
              <w:right w:val="single" w:sz="6" w:space="0" w:color="auto"/>
            </w:tcBorders>
          </w:tcPr>
          <w:p w14:paraId="235FB86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 ОНВ</w:t>
            </w:r>
          </w:p>
          <w:p w14:paraId="2A322C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single" w:sz="6" w:space="0" w:color="auto"/>
              <w:left w:val="single" w:sz="6" w:space="0" w:color="auto"/>
              <w:bottom w:val="single" w:sz="6" w:space="0" w:color="auto"/>
              <w:right w:val="single" w:sz="6" w:space="0" w:color="auto"/>
            </w:tcBorders>
          </w:tcPr>
          <w:p w14:paraId="61F31E7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 2АМ-42</w:t>
            </w:r>
          </w:p>
          <w:p w14:paraId="46E4EAA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single" w:sz="6" w:space="0" w:color="auto"/>
              <w:left w:val="single" w:sz="6" w:space="0" w:color="auto"/>
              <w:bottom w:val="single" w:sz="6" w:space="0" w:color="auto"/>
              <w:right w:val="single" w:sz="6" w:space="0" w:color="auto"/>
            </w:tcBorders>
          </w:tcPr>
          <w:p w14:paraId="570A518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 2М-71Ф 2ТК-3</w:t>
            </w:r>
          </w:p>
          <w:p w14:paraId="41E6412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single" w:sz="6" w:space="0" w:color="auto"/>
              <w:left w:val="single" w:sz="6" w:space="0" w:color="auto"/>
              <w:bottom w:val="single" w:sz="6" w:space="0" w:color="auto"/>
              <w:right w:val="single" w:sz="6" w:space="0" w:color="auto"/>
            </w:tcBorders>
          </w:tcPr>
          <w:p w14:paraId="395DFC8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2М-71Ф</w:t>
            </w:r>
          </w:p>
          <w:p w14:paraId="65ACFFC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6812BAAC" w14:textId="77777777">
        <w:trPr>
          <w:trHeight w:val="206"/>
        </w:trPr>
        <w:tc>
          <w:tcPr>
            <w:tcW w:w="3184" w:type="dxa"/>
            <w:tcBorders>
              <w:top w:val="single" w:sz="6" w:space="0" w:color="auto"/>
              <w:left w:val="single" w:sz="6" w:space="0" w:color="auto"/>
              <w:bottom w:val="nil"/>
              <w:right w:val="single" w:sz="6" w:space="0" w:color="auto"/>
            </w:tcBorders>
          </w:tcPr>
          <w:p w14:paraId="2A2F676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самолета, мм</w:t>
            </w:r>
          </w:p>
          <w:p w14:paraId="779E5C1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single" w:sz="6" w:space="0" w:color="auto"/>
              <w:left w:val="single" w:sz="6" w:space="0" w:color="auto"/>
              <w:bottom w:val="nil"/>
              <w:right w:val="single" w:sz="6" w:space="0" w:color="auto"/>
            </w:tcBorders>
          </w:tcPr>
          <w:p w14:paraId="113ED1D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13580</w:t>
            </w:r>
          </w:p>
          <w:p w14:paraId="3205F57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single" w:sz="6" w:space="0" w:color="auto"/>
              <w:left w:val="single" w:sz="6" w:space="0" w:color="auto"/>
              <w:bottom w:val="nil"/>
              <w:right w:val="single" w:sz="6" w:space="0" w:color="auto"/>
            </w:tcBorders>
          </w:tcPr>
          <w:p w14:paraId="29A6721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13580</w:t>
            </w:r>
          </w:p>
          <w:p w14:paraId="71743F2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single" w:sz="6" w:space="0" w:color="auto"/>
              <w:left w:val="single" w:sz="6" w:space="0" w:color="auto"/>
              <w:bottom w:val="nil"/>
              <w:right w:val="single" w:sz="6" w:space="0" w:color="auto"/>
            </w:tcBorders>
          </w:tcPr>
          <w:p w14:paraId="13A8016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14750 14750</w:t>
            </w:r>
          </w:p>
          <w:p w14:paraId="2F4BA46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single" w:sz="6" w:space="0" w:color="auto"/>
              <w:left w:val="single" w:sz="6" w:space="0" w:color="auto"/>
              <w:bottom w:val="nil"/>
              <w:right w:val="single" w:sz="6" w:space="0" w:color="auto"/>
            </w:tcBorders>
          </w:tcPr>
          <w:p w14:paraId="03EF4CF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14750 14750</w:t>
            </w:r>
          </w:p>
          <w:p w14:paraId="0E68DDD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7D4E9CB0" w14:textId="77777777">
        <w:trPr>
          <w:trHeight w:val="214"/>
        </w:trPr>
        <w:tc>
          <w:tcPr>
            <w:tcW w:w="3184" w:type="dxa"/>
            <w:tcBorders>
              <w:top w:val="nil"/>
              <w:left w:val="single" w:sz="6" w:space="0" w:color="auto"/>
              <w:bottom w:val="nil"/>
              <w:right w:val="single" w:sz="6" w:space="0" w:color="auto"/>
            </w:tcBorders>
          </w:tcPr>
          <w:p w14:paraId="31903C3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Размах крыла, мм</w:t>
            </w:r>
          </w:p>
          <w:p w14:paraId="0562DAC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3C6EF09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20500</w:t>
            </w:r>
          </w:p>
          <w:p w14:paraId="071169F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421BD62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20500</w:t>
            </w:r>
          </w:p>
          <w:p w14:paraId="40F3FF7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6B9D76B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20500 20500</w:t>
            </w:r>
          </w:p>
          <w:p w14:paraId="12E1151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5FF1EFE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20500 20500</w:t>
            </w:r>
          </w:p>
          <w:p w14:paraId="5F8E9DF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58B829B3" w14:textId="77777777">
        <w:trPr>
          <w:trHeight w:val="214"/>
        </w:trPr>
        <w:tc>
          <w:tcPr>
            <w:tcW w:w="3184" w:type="dxa"/>
            <w:tcBorders>
              <w:top w:val="nil"/>
              <w:left w:val="single" w:sz="6" w:space="0" w:color="auto"/>
              <w:bottom w:val="nil"/>
              <w:right w:val="single" w:sz="6" w:space="0" w:color="auto"/>
            </w:tcBorders>
          </w:tcPr>
          <w:p w14:paraId="4BDE003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крыла, м</w:t>
            </w:r>
            <w:r w:rsidRPr="00D03F3E">
              <w:rPr>
                <w:rFonts w:ascii="Times New Roman" w:hAnsi="Times New Roman"/>
                <w:color w:val="000000" w:themeColor="text1"/>
                <w:sz w:val="16"/>
                <w:szCs w:val="16"/>
                <w:vertAlign w:val="superscript"/>
              </w:rPr>
              <w:t>2</w:t>
            </w:r>
          </w:p>
          <w:p w14:paraId="1EBB875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1B42E48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p w14:paraId="7045C81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4018F06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p w14:paraId="17CC143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0B301F3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60 60</w:t>
            </w:r>
          </w:p>
          <w:p w14:paraId="5029E19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71C00D3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60 60</w:t>
            </w:r>
          </w:p>
          <w:p w14:paraId="6FC7A2A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70EDD62F" w14:textId="77777777">
        <w:trPr>
          <w:trHeight w:val="206"/>
        </w:trPr>
        <w:tc>
          <w:tcPr>
            <w:tcW w:w="3184" w:type="dxa"/>
            <w:tcBorders>
              <w:top w:val="nil"/>
              <w:left w:val="single" w:sz="6" w:space="0" w:color="auto"/>
              <w:bottom w:val="nil"/>
              <w:right w:val="single" w:sz="6" w:space="0" w:color="auto"/>
            </w:tcBorders>
          </w:tcPr>
          <w:p w14:paraId="2C249F0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Масса самолета, кг</w:t>
            </w:r>
          </w:p>
          <w:p w14:paraId="13F6AC9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7946C6E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2B4AA8A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6A33C7E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F88070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0083C21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9BA891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6429CD7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2BBFD3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760E5F5A" w14:textId="77777777">
        <w:trPr>
          <w:trHeight w:val="214"/>
        </w:trPr>
        <w:tc>
          <w:tcPr>
            <w:tcW w:w="3184" w:type="dxa"/>
            <w:tcBorders>
              <w:top w:val="nil"/>
              <w:left w:val="single" w:sz="6" w:space="0" w:color="auto"/>
              <w:bottom w:val="nil"/>
              <w:right w:val="single" w:sz="6" w:space="0" w:color="auto"/>
            </w:tcBorders>
          </w:tcPr>
          <w:p w14:paraId="6F3EB3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пустого</w:t>
            </w:r>
          </w:p>
          <w:p w14:paraId="537AE00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2BF1EC4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9168</w:t>
            </w:r>
          </w:p>
          <w:p w14:paraId="7B0210F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1950F3C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9728</w:t>
            </w:r>
          </w:p>
          <w:p w14:paraId="51A3CC8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13E9AD8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8407 8422</w:t>
            </w:r>
          </w:p>
          <w:p w14:paraId="06B3227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213EADF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8297 8329</w:t>
            </w:r>
          </w:p>
          <w:p w14:paraId="7CA58C9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5D008D27" w14:textId="77777777">
        <w:trPr>
          <w:trHeight w:val="189"/>
        </w:trPr>
        <w:tc>
          <w:tcPr>
            <w:tcW w:w="3184" w:type="dxa"/>
            <w:tcBorders>
              <w:top w:val="nil"/>
              <w:left w:val="single" w:sz="6" w:space="0" w:color="auto"/>
              <w:bottom w:val="nil"/>
              <w:right w:val="single" w:sz="6" w:space="0" w:color="auto"/>
            </w:tcBorders>
          </w:tcPr>
          <w:p w14:paraId="206D076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полетная</w:t>
            </w:r>
          </w:p>
          <w:p w14:paraId="11C15F5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4274836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12413</w:t>
            </w:r>
          </w:p>
          <w:p w14:paraId="0AE1A94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0E27349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12774</w:t>
            </w:r>
          </w:p>
          <w:p w14:paraId="1118BE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7D62380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11250 11232</w:t>
            </w:r>
          </w:p>
          <w:p w14:paraId="3C0D71B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6AD134D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11912 12034</w:t>
            </w:r>
          </w:p>
          <w:p w14:paraId="76E57D3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5FFE88EB" w14:textId="77777777">
        <w:trPr>
          <w:trHeight w:val="230"/>
        </w:trPr>
        <w:tc>
          <w:tcPr>
            <w:tcW w:w="3184" w:type="dxa"/>
            <w:tcBorders>
              <w:top w:val="nil"/>
              <w:left w:val="single" w:sz="6" w:space="0" w:color="auto"/>
              <w:bottom w:val="nil"/>
              <w:right w:val="single" w:sz="6" w:space="0" w:color="auto"/>
            </w:tcBorders>
          </w:tcPr>
          <w:p w14:paraId="7933EE9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 перегрузкой</w:t>
            </w:r>
          </w:p>
          <w:p w14:paraId="5855773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61CA665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3381</w:t>
            </w:r>
          </w:p>
          <w:p w14:paraId="2CC52C1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233A2ED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A2329C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0206519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77504B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6F41D74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BED0C5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4AD311C6" w14:textId="77777777">
        <w:trPr>
          <w:trHeight w:val="214"/>
        </w:trPr>
        <w:tc>
          <w:tcPr>
            <w:tcW w:w="3184" w:type="dxa"/>
            <w:tcBorders>
              <w:top w:val="nil"/>
              <w:left w:val="single" w:sz="6" w:space="0" w:color="auto"/>
              <w:bottom w:val="nil"/>
              <w:right w:val="single" w:sz="6" w:space="0" w:color="auto"/>
            </w:tcBorders>
          </w:tcPr>
          <w:p w14:paraId="42D7852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км/ч</w:t>
            </w:r>
          </w:p>
          <w:p w14:paraId="611AE9B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60855AE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6FC99E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53A8C17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0C12624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3850D6D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04E036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1BE4E9A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7E4425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6835E741" w14:textId="77777777">
        <w:trPr>
          <w:trHeight w:val="206"/>
        </w:trPr>
        <w:tc>
          <w:tcPr>
            <w:tcW w:w="3184" w:type="dxa"/>
            <w:tcBorders>
              <w:top w:val="nil"/>
              <w:left w:val="single" w:sz="6" w:space="0" w:color="auto"/>
              <w:bottom w:val="nil"/>
              <w:right w:val="single" w:sz="6" w:space="0" w:color="auto"/>
            </w:tcBorders>
          </w:tcPr>
          <w:p w14:paraId="1E5DBBE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 земли</w:t>
            </w:r>
          </w:p>
          <w:p w14:paraId="0CFEB17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21EAD13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w:t>
            </w:r>
          </w:p>
          <w:p w14:paraId="4868DA2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798727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485</w:t>
            </w:r>
          </w:p>
          <w:p w14:paraId="510503F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4876205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483 483</w:t>
            </w:r>
          </w:p>
          <w:p w14:paraId="76C30B2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3390EDA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490 490</w:t>
            </w:r>
          </w:p>
          <w:p w14:paraId="59FA08F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2404AEB7" w14:textId="77777777">
        <w:trPr>
          <w:trHeight w:val="206"/>
        </w:trPr>
        <w:tc>
          <w:tcPr>
            <w:tcW w:w="3184" w:type="dxa"/>
            <w:tcBorders>
              <w:top w:val="nil"/>
              <w:left w:val="single" w:sz="6" w:space="0" w:color="auto"/>
              <w:bottom w:val="nil"/>
              <w:right w:val="single" w:sz="6" w:space="0" w:color="auto"/>
            </w:tcBorders>
          </w:tcPr>
          <w:p w14:paraId="76F5A36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на высоте, м</w:t>
            </w:r>
          </w:p>
          <w:p w14:paraId="488B34E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1F799DF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550/4600</w:t>
            </w:r>
          </w:p>
          <w:p w14:paraId="17AF00D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2FBF79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525/2500</w:t>
            </w:r>
          </w:p>
          <w:p w14:paraId="5FA689A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12FAF84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595/8000 595/8300</w:t>
            </w:r>
          </w:p>
          <w:p w14:paraId="411368E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20AC26B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566/4600 566/4600</w:t>
            </w:r>
          </w:p>
          <w:p w14:paraId="0756B25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28242982" w14:textId="77777777">
        <w:trPr>
          <w:trHeight w:val="214"/>
        </w:trPr>
        <w:tc>
          <w:tcPr>
            <w:tcW w:w="3184" w:type="dxa"/>
            <w:tcBorders>
              <w:top w:val="nil"/>
              <w:left w:val="single" w:sz="6" w:space="0" w:color="auto"/>
              <w:bottom w:val="nil"/>
              <w:right w:val="single" w:sz="6" w:space="0" w:color="auto"/>
            </w:tcBorders>
          </w:tcPr>
          <w:p w14:paraId="62AF66A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Н, мин/м</w:t>
            </w:r>
          </w:p>
          <w:p w14:paraId="7E026CD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3E1628D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9/5000</w:t>
            </w:r>
          </w:p>
          <w:p w14:paraId="732A2E9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344AAA0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8,5/4000</w:t>
            </w:r>
          </w:p>
          <w:p w14:paraId="2F68BD1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602B9F5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10/8000 10,6/8300</w:t>
            </w:r>
          </w:p>
          <w:p w14:paraId="048D4B2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3B8858D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8,5/6000 8,25/4000</w:t>
            </w:r>
          </w:p>
          <w:p w14:paraId="78C4920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28CE9A65" w14:textId="77777777">
        <w:trPr>
          <w:trHeight w:val="214"/>
        </w:trPr>
        <w:tc>
          <w:tcPr>
            <w:tcW w:w="3184" w:type="dxa"/>
            <w:tcBorders>
              <w:top w:val="nil"/>
              <w:left w:val="single" w:sz="6" w:space="0" w:color="auto"/>
              <w:bottom w:val="nil"/>
              <w:right w:val="single" w:sz="6" w:space="0" w:color="auto"/>
            </w:tcBorders>
          </w:tcPr>
          <w:p w14:paraId="0E5934F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 м</w:t>
            </w:r>
          </w:p>
          <w:p w14:paraId="0F51F8A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56BC90A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9000</w:t>
            </w:r>
          </w:p>
          <w:p w14:paraId="1B06582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5D70587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7000</w:t>
            </w:r>
          </w:p>
          <w:p w14:paraId="39FF6D1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1709796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12000 12000</w:t>
            </w:r>
          </w:p>
          <w:p w14:paraId="6183410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036296D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10300 10300</w:t>
            </w:r>
          </w:p>
          <w:p w14:paraId="784276A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58300067" w14:textId="77777777">
        <w:trPr>
          <w:trHeight w:val="197"/>
        </w:trPr>
        <w:tc>
          <w:tcPr>
            <w:tcW w:w="3184" w:type="dxa"/>
            <w:tcBorders>
              <w:top w:val="nil"/>
              <w:left w:val="single" w:sz="6" w:space="0" w:color="auto"/>
              <w:bottom w:val="nil"/>
              <w:right w:val="single" w:sz="6" w:space="0" w:color="auto"/>
            </w:tcBorders>
          </w:tcPr>
          <w:p w14:paraId="1905D15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полета, км</w:t>
            </w:r>
          </w:p>
          <w:p w14:paraId="0F3B9B8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7CC9EC4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697AF5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2D1CA9F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FB17B2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16CDEB1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4BFE6F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010C21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96F918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2692C0AA" w14:textId="77777777">
        <w:trPr>
          <w:trHeight w:val="222"/>
        </w:trPr>
        <w:tc>
          <w:tcPr>
            <w:tcW w:w="3184" w:type="dxa"/>
            <w:tcBorders>
              <w:top w:val="nil"/>
              <w:left w:val="single" w:sz="6" w:space="0" w:color="auto"/>
              <w:bottom w:val="nil"/>
              <w:right w:val="single" w:sz="6" w:space="0" w:color="auto"/>
            </w:tcBorders>
          </w:tcPr>
          <w:p w14:paraId="448C527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нормальная</w:t>
            </w:r>
          </w:p>
          <w:p w14:paraId="5644CAB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2822AC3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p w14:paraId="5536C2D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30DD25F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620</w:t>
            </w:r>
          </w:p>
          <w:p w14:paraId="2F06649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234E22B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2000 2000</w:t>
            </w:r>
          </w:p>
          <w:p w14:paraId="0795A35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12A8F01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1500 1500</w:t>
            </w:r>
          </w:p>
          <w:p w14:paraId="760E886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0AAD8225" w14:textId="77777777">
        <w:trPr>
          <w:trHeight w:val="206"/>
        </w:trPr>
        <w:tc>
          <w:tcPr>
            <w:tcW w:w="3184" w:type="dxa"/>
            <w:tcBorders>
              <w:top w:val="nil"/>
              <w:left w:val="single" w:sz="6" w:space="0" w:color="auto"/>
              <w:bottom w:val="nil"/>
              <w:right w:val="single" w:sz="6" w:space="0" w:color="auto"/>
            </w:tcBorders>
          </w:tcPr>
          <w:p w14:paraId="66F601E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 перегрузкой</w:t>
            </w:r>
          </w:p>
          <w:p w14:paraId="06B444C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4CBF46C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w:t>
            </w:r>
          </w:p>
          <w:p w14:paraId="610C35B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2C76528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248C7B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4D231DB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738961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30E3575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C9B3E3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19CDFD87" w14:textId="77777777">
        <w:trPr>
          <w:trHeight w:val="214"/>
        </w:trPr>
        <w:tc>
          <w:tcPr>
            <w:tcW w:w="3184" w:type="dxa"/>
            <w:tcBorders>
              <w:top w:val="nil"/>
              <w:left w:val="single" w:sz="6" w:space="0" w:color="auto"/>
              <w:bottom w:val="nil"/>
              <w:right w:val="single" w:sz="6" w:space="0" w:color="auto"/>
            </w:tcBorders>
          </w:tcPr>
          <w:p w14:paraId="3D667C9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разбега, м</w:t>
            </w:r>
          </w:p>
          <w:p w14:paraId="1FC67AB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1C5E410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p w14:paraId="66F18A2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5B4CCCA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430</w:t>
            </w:r>
          </w:p>
          <w:p w14:paraId="2C5348F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12238EC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264 265</w:t>
            </w:r>
          </w:p>
          <w:p w14:paraId="7928B6E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29FE145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356 360</w:t>
            </w:r>
          </w:p>
          <w:p w14:paraId="135E0AB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4CF9AEFD" w14:textId="77777777">
        <w:trPr>
          <w:trHeight w:val="255"/>
        </w:trPr>
        <w:tc>
          <w:tcPr>
            <w:tcW w:w="3184" w:type="dxa"/>
            <w:tcBorders>
              <w:top w:val="nil"/>
              <w:left w:val="single" w:sz="6" w:space="0" w:color="auto"/>
              <w:bottom w:val="single" w:sz="6" w:space="0" w:color="auto"/>
              <w:right w:val="single" w:sz="6" w:space="0" w:color="auto"/>
            </w:tcBorders>
          </w:tcPr>
          <w:p w14:paraId="0E83DED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 чел.</w:t>
            </w:r>
          </w:p>
          <w:p w14:paraId="74098E5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single" w:sz="6" w:space="0" w:color="auto"/>
              <w:right w:val="single" w:sz="6" w:space="0" w:color="auto"/>
            </w:tcBorders>
          </w:tcPr>
          <w:p w14:paraId="2DA57E9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40F60D2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single" w:sz="6" w:space="0" w:color="auto"/>
              <w:right w:val="single" w:sz="6" w:space="0" w:color="auto"/>
            </w:tcBorders>
          </w:tcPr>
          <w:p w14:paraId="3A63175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06822DD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single" w:sz="6" w:space="0" w:color="auto"/>
              <w:right w:val="single" w:sz="6" w:space="0" w:color="auto"/>
            </w:tcBorders>
          </w:tcPr>
          <w:p w14:paraId="4B26039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3 4</w:t>
            </w:r>
          </w:p>
          <w:p w14:paraId="0C63F0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single" w:sz="6" w:space="0" w:color="auto"/>
              <w:right w:val="single" w:sz="6" w:space="0" w:color="auto"/>
            </w:tcBorders>
          </w:tcPr>
          <w:p w14:paraId="7100C22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3 4</w:t>
            </w:r>
          </w:p>
          <w:p w14:paraId="45258F5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bl>
    <w:p w14:paraId="21BAEF5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(11853).</w:t>
      </w:r>
    </w:p>
    <w:p w14:paraId="1B7C7E6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209E5D3" w14:textId="77777777" w:rsidR="00666F51" w:rsidRPr="00D03F3E" w:rsidRDefault="00666F51"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Весной 1943 г. англий</w:t>
      </w:r>
      <w:r w:rsidRPr="00D03F3E">
        <w:rPr>
          <w:rFonts w:ascii="Times New Roman" w:hAnsi="Times New Roman" w:cs="Times New Roman"/>
          <w:color w:val="000000" w:themeColor="text1"/>
          <w:sz w:val="16"/>
          <w:szCs w:val="16"/>
        </w:rPr>
        <w:softHyphen/>
        <w:t>ская сторона в рамках программы ленд- лиза предложила поставить в СССР пар</w:t>
      </w:r>
      <w:r w:rsidRPr="00D03F3E">
        <w:rPr>
          <w:rFonts w:ascii="Times New Roman" w:hAnsi="Times New Roman" w:cs="Times New Roman"/>
          <w:color w:val="000000" w:themeColor="text1"/>
          <w:sz w:val="16"/>
          <w:szCs w:val="16"/>
        </w:rPr>
        <w:softHyphen/>
        <w:t>тию самолетов «Харрикейн» в штурмовом варианте, вооруженных 40-мм пушками Виккерс (12735).</w:t>
      </w:r>
    </w:p>
    <w:p w14:paraId="20C2902B" w14:textId="77777777" w:rsidR="00666F51" w:rsidRPr="00D03F3E" w:rsidRDefault="00666F51"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p>
    <w:p w14:paraId="63218428" w14:textId="77777777" w:rsidR="003770F2" w:rsidRPr="00D03F3E" w:rsidRDefault="003770F2"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Весной 1943 г. английская сторо</w:t>
      </w:r>
      <w:r w:rsidRPr="00D03F3E">
        <w:rPr>
          <w:color w:val="000000" w:themeColor="text1"/>
          <w:sz w:val="16"/>
          <w:szCs w:val="16"/>
        </w:rPr>
        <w:softHyphen/>
        <w:t>на в рамках программы ленд-лиза предложила по</w:t>
      </w:r>
      <w:r w:rsidRPr="00D03F3E">
        <w:rPr>
          <w:color w:val="000000" w:themeColor="text1"/>
          <w:sz w:val="16"/>
          <w:szCs w:val="16"/>
        </w:rPr>
        <w:softHyphen/>
        <w:t>ставить в СССР партию самолетов ««Харрикейн»» в штурмовом варианте, вооруженных 40-мм пуш</w:t>
      </w:r>
      <w:r w:rsidRPr="00D03F3E">
        <w:rPr>
          <w:color w:val="000000" w:themeColor="text1"/>
          <w:sz w:val="16"/>
          <w:szCs w:val="16"/>
        </w:rPr>
        <w:softHyphen/>
        <w:t xml:space="preserve">ками Виккерс </w:t>
      </w:r>
      <w:r w:rsidRPr="00D03F3E">
        <w:rPr>
          <w:color w:val="000000" w:themeColor="text1"/>
          <w:sz w:val="16"/>
          <w:szCs w:val="16"/>
          <w:lang w:val="en-US"/>
        </w:rPr>
        <w:t>S</w:t>
      </w:r>
      <w:r w:rsidRPr="00D03F3E">
        <w:rPr>
          <w:color w:val="000000" w:themeColor="text1"/>
          <w:sz w:val="16"/>
          <w:szCs w:val="16"/>
        </w:rPr>
        <w:t xml:space="preserve"> (17500).</w:t>
      </w:r>
    </w:p>
    <w:p w14:paraId="17D7D7C3" w14:textId="77777777" w:rsidR="003770F2" w:rsidRPr="00D03F3E" w:rsidRDefault="003770F2" w:rsidP="00D03F3E">
      <w:pPr>
        <w:pStyle w:val="12a"/>
        <w:shd w:val="clear" w:color="auto" w:fill="auto"/>
        <w:spacing w:after="0" w:line="240" w:lineRule="auto"/>
        <w:jc w:val="both"/>
        <w:rPr>
          <w:color w:val="000000" w:themeColor="text1"/>
          <w:sz w:val="16"/>
          <w:szCs w:val="16"/>
        </w:rPr>
      </w:pPr>
    </w:p>
    <w:p w14:paraId="4E7D168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Весной 1943 г. на заводе №23 начался очередной раунд работ по подтягиванию возможностей Ил-4 до необходимого уровня и построили Ил-4 с моторами М-82НВ. Использование более мощного швецовского двигателя, оснащенного системой непосредственного впрыска топлива в цилиндры должно было существенно повысить надежность работы силовой установки и снизить расход горючего. Однако на основе прошлогоднего опыта местные конструкторы оценивали возможности машины довольно скромно: предполагалось, что максимальная скорость достигнет в лучшем случае 440 км/ч. К тому же конструкция самолета была “естественным образом перетяжелена” использованием фанерной обшивки крыла “со стрелкой”. Из дерева была выполнена кабина штурмана и хвостовым кок. К тому же самолет нес даже более мощное вооружение, чем предусматривалось заданием. Оно состояло из пяти УБТ (из них два - в люках по бортам). Для обслуживания такого числа стрелковых точек экипаж пришлось увеличить до пяти человек. Машина имела и усиленное бронирование: спинку у летчика утолщили до 18 мм, у штурмана - 8 мм. Все это потребовало заменить типоразмер пневматиков. Штатные размера 1000 х 350 мм уступили место увеличенным протекторам 1100 х 450 мм (7666).</w:t>
      </w:r>
    </w:p>
    <w:p w14:paraId="2FD605D9" w14:textId="77777777" w:rsidR="00531570" w:rsidRPr="00D03F3E" w:rsidRDefault="00531570" w:rsidP="00D03F3E">
      <w:pPr>
        <w:pStyle w:val="Iauiue"/>
        <w:jc w:val="both"/>
        <w:rPr>
          <w:color w:val="000000" w:themeColor="text1"/>
          <w:sz w:val="16"/>
          <w:szCs w:val="16"/>
        </w:rPr>
      </w:pPr>
    </w:p>
    <w:p w14:paraId="40AB104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на заводе № 23 построили Ил-4 с моторами М-82НВ. В план опытных работ опять включили Ил-4 с М-82, причем в качестве дневного бом</w:t>
      </w:r>
      <w:r w:rsidRPr="00D03F3E">
        <w:rPr>
          <w:rFonts w:ascii="Times New Roman" w:hAnsi="Times New Roman"/>
          <w:color w:val="000000" w:themeColor="text1"/>
          <w:sz w:val="16"/>
          <w:szCs w:val="16"/>
        </w:rPr>
        <w:softHyphen/>
        <w:t>бардировщика. Требования по макси</w:t>
      </w:r>
      <w:r w:rsidRPr="00D03F3E">
        <w:rPr>
          <w:rFonts w:ascii="Times New Roman" w:hAnsi="Times New Roman"/>
          <w:color w:val="000000" w:themeColor="text1"/>
          <w:sz w:val="16"/>
          <w:szCs w:val="16"/>
        </w:rPr>
        <w:softHyphen/>
        <w:t>мальной скорости понизили до 450 км/ч, но зато предусмотрели вооруже</w:t>
      </w:r>
      <w:r w:rsidRPr="00D03F3E">
        <w:rPr>
          <w:rFonts w:ascii="Times New Roman" w:hAnsi="Times New Roman"/>
          <w:color w:val="000000" w:themeColor="text1"/>
          <w:sz w:val="16"/>
          <w:szCs w:val="16"/>
        </w:rPr>
        <w:softHyphen/>
        <w:t>ние из пяти пулеметов (в том числе че</w:t>
      </w:r>
      <w:r w:rsidRPr="00D03F3E">
        <w:rPr>
          <w:rFonts w:ascii="Times New Roman" w:hAnsi="Times New Roman"/>
          <w:color w:val="000000" w:themeColor="text1"/>
          <w:sz w:val="16"/>
          <w:szCs w:val="16"/>
        </w:rPr>
        <w:softHyphen/>
        <w:t>тырех калибра 12,7 мм). Местные конструкторы оценивали возможности машины скромнее: предполагалось, что максимальная ско</w:t>
      </w:r>
      <w:r w:rsidRPr="00D03F3E">
        <w:rPr>
          <w:rFonts w:ascii="Times New Roman" w:hAnsi="Times New Roman"/>
          <w:color w:val="000000" w:themeColor="text1"/>
          <w:sz w:val="16"/>
          <w:szCs w:val="16"/>
        </w:rPr>
        <w:softHyphen/>
        <w:t>рость достигнет 440 км/ч. Самолет имел фанерную обшивку крыла «со стрел</w:t>
      </w:r>
      <w:r w:rsidRPr="00D03F3E">
        <w:rPr>
          <w:rFonts w:ascii="Times New Roman" w:hAnsi="Times New Roman"/>
          <w:color w:val="000000" w:themeColor="text1"/>
          <w:sz w:val="16"/>
          <w:szCs w:val="16"/>
        </w:rPr>
        <w:softHyphen/>
        <w:t>кой», деревянные кабину штурмана и хвостовой кок, колеса 1100x450 мм. Этот самолет нес даже более мощное вооружение, чем предусматривалось заданием. Оно состояло из пяти УБТ (из них два в люках по бортам). Для обслу</w:t>
      </w:r>
      <w:r w:rsidRPr="00D03F3E">
        <w:rPr>
          <w:rFonts w:ascii="Times New Roman" w:hAnsi="Times New Roman"/>
          <w:color w:val="000000" w:themeColor="text1"/>
          <w:sz w:val="16"/>
          <w:szCs w:val="16"/>
        </w:rPr>
        <w:softHyphen/>
        <w:t>живания такого числа стрелковых точек экипаж пришлось увеличить до пяти че</w:t>
      </w:r>
      <w:r w:rsidRPr="00D03F3E">
        <w:rPr>
          <w:rFonts w:ascii="Times New Roman" w:hAnsi="Times New Roman"/>
          <w:color w:val="000000" w:themeColor="text1"/>
          <w:sz w:val="16"/>
          <w:szCs w:val="16"/>
        </w:rPr>
        <w:softHyphen/>
        <w:t>ловек. Машина имела и усиленное бро</w:t>
      </w:r>
      <w:r w:rsidRPr="00D03F3E">
        <w:rPr>
          <w:rFonts w:ascii="Times New Roman" w:hAnsi="Times New Roman"/>
          <w:color w:val="000000" w:themeColor="text1"/>
          <w:sz w:val="16"/>
          <w:szCs w:val="16"/>
        </w:rPr>
        <w:softHyphen/>
        <w:t>нирование: спинку у летчика утолщили до 18 мм, у штурмана — 8 мм. В мае-июле 1943 г. этот самолет проходил за</w:t>
      </w:r>
      <w:r w:rsidRPr="00D03F3E">
        <w:rPr>
          <w:rFonts w:ascii="Times New Roman" w:hAnsi="Times New Roman"/>
          <w:color w:val="000000" w:themeColor="text1"/>
          <w:sz w:val="16"/>
          <w:szCs w:val="16"/>
        </w:rPr>
        <w:softHyphen/>
        <w:t>водские испытания. 16 июля на высоте 7000 м отказал правый мотор. Из-за от</w:t>
      </w:r>
      <w:r w:rsidRPr="00D03F3E">
        <w:rPr>
          <w:rFonts w:ascii="Times New Roman" w:hAnsi="Times New Roman"/>
          <w:color w:val="000000" w:themeColor="text1"/>
          <w:sz w:val="16"/>
          <w:szCs w:val="16"/>
        </w:rPr>
        <w:softHyphen/>
        <w:t>сутствия запасного двигателя полеты прекратили (10734,78).</w:t>
      </w:r>
    </w:p>
    <w:p w14:paraId="7D9C415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6E83A6B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Весной 1943 на заводе № 22 начиная с 205-й серии изменили конструкцию капота мотора Пе-2, поставили новые всасывающие патрубки, переместили вперед мачту радиоантенны вместе с трубкой приемника воздушного давления, улучшили стыковку фонаря и турели ВУБ-1. Начиная с этой же серии на 100 самолетах установили индивидуальные реактивные выхлопные патрубки (по два одиночных и два спаренных с каждой стороны) вместо стоявших ранее коллекторов. Чуть позднее, на 211-й серии, убрали внутрь крыла балки наружных бомбодержателей, ранее располагавшиеся в выступах под крылом (3542).</w:t>
      </w:r>
    </w:p>
    <w:p w14:paraId="4BA04526" w14:textId="77777777" w:rsidR="00531570" w:rsidRPr="00D03F3E" w:rsidRDefault="00531570" w:rsidP="00D03F3E">
      <w:pPr>
        <w:pStyle w:val="Iauiue"/>
        <w:jc w:val="both"/>
        <w:rPr>
          <w:color w:val="000000" w:themeColor="text1"/>
          <w:sz w:val="16"/>
          <w:szCs w:val="16"/>
        </w:rPr>
      </w:pPr>
    </w:p>
    <w:p w14:paraId="5E89AE5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Весной 1943 г. выяснилось, что конструкция ВУБ-1 препятствует нормальному покиданию самолета в воздухе, так как после сбрасывания средней части фонаря кабины экран установки создает сильнейшие аэродинамические возмущения. ОКБ завода № 22 разработало новую, более совершенную, установку штурмана, получившую обозначение “ФЗ” - “фронтовое задание”. Вместе с модифицированным фонарем кабины пилота такая установка позволяла осуществить следующий этап повышения боевых качеств Пе-2. Установка “ФЗ” прошла испытания в НИИ ВВС и была рекомендована к внедрению в серию (4476).</w:t>
      </w:r>
    </w:p>
    <w:p w14:paraId="62F19917" w14:textId="77777777" w:rsidR="00531570" w:rsidRPr="00D03F3E" w:rsidRDefault="00531570" w:rsidP="00D03F3E">
      <w:pPr>
        <w:pStyle w:val="Iauiue"/>
        <w:jc w:val="both"/>
        <w:rPr>
          <w:color w:val="000000" w:themeColor="text1"/>
          <w:sz w:val="16"/>
          <w:szCs w:val="16"/>
        </w:rPr>
      </w:pPr>
    </w:p>
    <w:p w14:paraId="698AF99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произошло резкое снижение летных данных Пе-2, причинами которого, можно считать следующие: ухудшение аэродинамики самолета из-за внедрения усиленного стрелкового вооружения, увеличение полетного веса самолета (более мощное бронирование, дополнительный вес оружия и боеприпасов), а также неважное производственное исполнение машины. Между тем, ставшие на фронте массовыми истребители Bf 109G и FW 190А, которые безусловно превосходили Пе-2 в скорости полета, в указанный период располагали мощным вооружением, состоявшим из трех - четырех 20-мм пушек и пары пулеметов. Это позволило им в ряде случаев сбивать "пешку" с одной атаки, открывая стрельбу с больших дистанций, на которых огонь оборонительных пулеметов УБ не слишком их беспокоил. К тому же преимущество в скорости полета на 100-150 км/ч позволяло немцам выбирать ракурс атаки вплоть до направления строго сбоку или сверху; при этом очевидными становились недостатки и люковой, и верхней установок Пе-2. Потери "пешек" на фронте угрожающе возросли. В некоторых случаях с заданий перестали возвращаться целые подразделения, шестерки и девятки пикировщиков. Перед заводом № 22 и ОКО стояла задача радикального улучшения летных данных выпускаемого самолета. Так случилось, что желаемое улучшение произошло уже при новом главном конструкторе Владимире Михайловиче Мясишеве, ставшем 29 июня 1943 г. во главе ОКО-22, хотя почти всю подготовительную работу выполнили еще при Путилове. Следует также отметить ту огромную роль, которую сыграли в совершенствовании Пе-2 две организации наркомата авиационной промышленности - ЦАГИ и ЛИИ. Остановимся немного подробнее на их работе (12042).</w:t>
      </w:r>
    </w:p>
    <w:p w14:paraId="139722A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81A1F7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года в НИИ ВВС на Ту-2С с моторами М-82ФН, оборудованными регуляторами постоянного давления наддува РПД-2ВН, испытывались система 82НВ-ВГ объединенного управления винтом и газом и автомат переключения скоростей нагнетателя Э-67 (12035).</w:t>
      </w:r>
    </w:p>
    <w:p w14:paraId="0D36D3A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B6388D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года в НИИ ВВС испытывалась система 82НВ-ВГ объединенного управления винтом и газом и автомат переключения скоростей нагнетателя Э-67 на Ту-2 с моторами М-82ФН, оборудованными регуляторами постоянного давления наддува РПД-2ВН (12035).</w:t>
      </w:r>
    </w:p>
    <w:p w14:paraId="04845BC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4C2587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Весной 1943 Ю.А.Антипов начал испытания МиГ-3 ДД (ИТ-231 2Д) с АМ-39 (665,190).</w:t>
      </w:r>
    </w:p>
    <w:p w14:paraId="0EC94971" w14:textId="77777777" w:rsidR="00531570" w:rsidRPr="00D03F3E" w:rsidRDefault="00531570" w:rsidP="00D03F3E">
      <w:pPr>
        <w:pStyle w:val="Iauiue"/>
        <w:jc w:val="both"/>
        <w:rPr>
          <w:color w:val="000000" w:themeColor="text1"/>
          <w:sz w:val="16"/>
          <w:szCs w:val="16"/>
        </w:rPr>
      </w:pPr>
    </w:p>
    <w:p w14:paraId="5B1336F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Весной 1943-го Командир 2-го иак генерал А.С.Благовещенский пишет САЛавочкину: "Самолет Ла-5, конструктором которого Вы являетесь, на сегодняшний день является лучшей истребительной машиной у нас в воздушных силах. Однако фонарь кабины сделан небрежно, в воздухе летчик не может его открыть, капоты мотора открываются при пикировании, часты случаи прогара выхлопных коллекторов. На самолете необходимо увеличить вооружение, не может такой хороший самолет иметь такой малый огонь. Необходимо минимум три точки, и хорошо если их будет четыре. Живучесть немецких самолетов не дает возможности нашим летчикам выводить их из строя с одной очереди двух пушек. Необходимо больше снарядов выпустить в одну секунду. Этого требует жизнь". С.А.Лавочкин ответил А.С.Благовещенскому: "Нами подготовлен фонарь, откидывающийся вбок и аварийно открывающийся вверх, капоты в указанных Вами местах усилены, нами запроектирована дополнительная установка одного УБ" (4573).</w:t>
      </w:r>
    </w:p>
    <w:p w14:paraId="0B305D14" w14:textId="77777777" w:rsidR="00531570" w:rsidRPr="00D03F3E" w:rsidRDefault="00531570" w:rsidP="00D03F3E">
      <w:pPr>
        <w:pStyle w:val="Iauiue"/>
        <w:jc w:val="both"/>
        <w:rPr>
          <w:color w:val="000000" w:themeColor="text1"/>
          <w:sz w:val="16"/>
          <w:szCs w:val="16"/>
        </w:rPr>
      </w:pPr>
    </w:p>
    <w:p w14:paraId="596F765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были отмечены первые случаи обрыва полотна, которым оклеивались деревянные части Ла-5Ф, выпущенных 21-м и 99-м заводами. Безобидные на первый взгляд трещинки на крас</w:t>
      </w:r>
      <w:r w:rsidRPr="00D03F3E">
        <w:rPr>
          <w:rFonts w:ascii="Times New Roman" w:hAnsi="Times New Roman"/>
          <w:color w:val="000000" w:themeColor="text1"/>
          <w:sz w:val="16"/>
          <w:szCs w:val="16"/>
        </w:rPr>
        <w:softHyphen/>
        <w:t>ке заканчивались катастрофами, и к началу июня это явление при</w:t>
      </w:r>
      <w:r w:rsidRPr="00D03F3E">
        <w:rPr>
          <w:rFonts w:ascii="Times New Roman" w:hAnsi="Times New Roman"/>
          <w:color w:val="000000" w:themeColor="text1"/>
          <w:sz w:val="16"/>
          <w:szCs w:val="16"/>
        </w:rPr>
        <w:softHyphen/>
        <w:t>обрело массовый характер. В причине разобрались не сразу. Ока</w:t>
      </w:r>
      <w:r w:rsidRPr="00D03F3E">
        <w:rPr>
          <w:rFonts w:ascii="Times New Roman" w:hAnsi="Times New Roman"/>
          <w:color w:val="000000" w:themeColor="text1"/>
          <w:sz w:val="16"/>
          <w:szCs w:val="16"/>
        </w:rPr>
        <w:softHyphen/>
        <w:t>залось, что в нитрошпатлевке АШ-22, которая наносилась после покраски зеленых полей камуфляжа эмалью АМТ-4, свинцовый крон был заменен железным суриком без согласования с ВИАМом. Такую шпатлевку начали поставлять с декабря 1942 г., и пока было холодно, она держалась, но как только солнце начало припекать, стала трескаться, полотно промокало и разрушалось, особенно на крыле и стабилизаторе. В войсках таких самолетов оказалось око</w:t>
      </w:r>
      <w:r w:rsidRPr="00D03F3E">
        <w:rPr>
          <w:rFonts w:ascii="Times New Roman" w:hAnsi="Times New Roman"/>
          <w:color w:val="000000" w:themeColor="text1"/>
          <w:sz w:val="16"/>
          <w:szCs w:val="16"/>
        </w:rPr>
        <w:softHyphen/>
        <w:t>ло тысячи, что грозило различным руководителям промышленнос</w:t>
      </w:r>
      <w:r w:rsidRPr="00D03F3E">
        <w:rPr>
          <w:rFonts w:ascii="Times New Roman" w:hAnsi="Times New Roman"/>
          <w:color w:val="000000" w:themeColor="text1"/>
          <w:sz w:val="16"/>
          <w:szCs w:val="16"/>
        </w:rPr>
        <w:softHyphen/>
        <w:t>ти репрессиями. Тогда срочно сформировали выездные бригады, которые за 3 недели устранили опасные дефекты. В районе Курско</w:t>
      </w:r>
      <w:r w:rsidRPr="00D03F3E">
        <w:rPr>
          <w:rFonts w:ascii="Times New Roman" w:hAnsi="Times New Roman"/>
          <w:color w:val="000000" w:themeColor="text1"/>
          <w:sz w:val="16"/>
          <w:szCs w:val="16"/>
        </w:rPr>
        <w:softHyphen/>
        <w:t>го выступа они закончили работу буквально за 3 дня до начала гран</w:t>
      </w:r>
      <w:r w:rsidRPr="00D03F3E">
        <w:rPr>
          <w:rFonts w:ascii="Times New Roman" w:hAnsi="Times New Roman"/>
          <w:color w:val="000000" w:themeColor="text1"/>
          <w:sz w:val="16"/>
          <w:szCs w:val="16"/>
        </w:rPr>
        <w:softHyphen/>
        <w:t>диозного сражения. Замену дефицитному свинцовому крону найти так и не удалось. Пришлось прекратить выпуск нескольких шпатле</w:t>
      </w:r>
      <w:r w:rsidRPr="00D03F3E">
        <w:rPr>
          <w:rFonts w:ascii="Times New Roman" w:hAnsi="Times New Roman"/>
          <w:color w:val="000000" w:themeColor="text1"/>
          <w:sz w:val="16"/>
          <w:szCs w:val="16"/>
        </w:rPr>
        <w:softHyphen/>
        <w:t>вок и грунтовок, включавших этот компонент, а для истребителей ввели новую схему камуфляжа на основе серых красок (11123).</w:t>
      </w:r>
    </w:p>
    <w:p w14:paraId="241C030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61AC32E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весне 1943 года вышла серия карбюраторов АК-82БП А-6, на которой вместо жикле</w:t>
      </w:r>
      <w:r w:rsidRPr="00D03F3E">
        <w:rPr>
          <w:rFonts w:ascii="Times New Roman" w:hAnsi="Times New Roman"/>
          <w:color w:val="000000" w:themeColor="text1"/>
          <w:sz w:val="16"/>
          <w:szCs w:val="16"/>
        </w:rPr>
        <w:softHyphen/>
        <w:t>ра экономайзера была введена ре</w:t>
      </w:r>
      <w:r w:rsidRPr="00D03F3E">
        <w:rPr>
          <w:rFonts w:ascii="Times New Roman" w:hAnsi="Times New Roman"/>
          <w:color w:val="000000" w:themeColor="text1"/>
          <w:sz w:val="16"/>
          <w:szCs w:val="16"/>
        </w:rPr>
        <w:softHyphen/>
        <w:t>гулировочная игла в ниппеле трубки экономайзера и т.д. Никаких существенных ре</w:t>
      </w:r>
      <w:r w:rsidRPr="00D03F3E">
        <w:rPr>
          <w:rFonts w:ascii="Times New Roman" w:hAnsi="Times New Roman"/>
          <w:color w:val="000000" w:themeColor="text1"/>
          <w:sz w:val="16"/>
          <w:szCs w:val="16"/>
        </w:rPr>
        <w:softHyphen/>
        <w:t>зультатов по улучшению работы АК-82БП получено не было (10705).</w:t>
      </w:r>
    </w:p>
    <w:p w14:paraId="262A87B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8A5343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Весной 1943 г. в рекламационных актах, направляемых в НКАП из частей ВВС КА, начали упоминаться случаи срыва обшивки крыльев, оканчивавшиеся, как правило, катастрофами. Предвестником катастроф обычно было растрескивание полотна. "Грешили" этим истребители Як-7Б завода № 153, Як-1 завода № 292 и Ла-5 заводов № 21 и № 99. Большинство дефектных самолетов были выпущены в конце зимы или весной 1943 г. Несмотря на предпринимаемые меры, к июню 1943 этот дефект принял настолько массовый характер, что грозил срывом боевых операций. Ремонт, производимый авиамастерскими не помогал - отремонтированные обшивки вскоре снова покрывались трещинами. Упоминания об этих событиях можно найти в воспоминаниях А.И.Шахурина, А.С.Яковлева, И.И.Шелеста (со ссылкой на рассказ П.В.Дементьева). Все они причиной называют "плохое качество нитрокраски, поставляемой одним из уральских химических предприятий, где применили наспех проверенные заменители". Но это не совсем так. Обратимся к более компетентному источнику: В.В.Чеботаревский - во время войны заместитель начальника лакокрасочной лаборатории ВИАМ. Объяснение этих событий дается по его книге "Лаки и краски в народном хозяйстве" и личным воспоминаниям. В конце 1942 - начале 1943 г. в нитро-шпатлевке АШ-22, разработанной Чеботаревским, без его ведома и достаточно серьезной проработки, свинцовый крон, входят и в состав пигментной части, был заменен на железный сурик. Замена была произведена на заводах НКХП в Челябинске и Новосибирске. Такая шпатлевка применялась на авиазаводах в течение всей зимы и весны. Летом "под воздействием тепла и солнечных лучей в слое шпатлевки возникли внутренние напряжения, вызвавшие растрескивание всего лакокрасочного слоя. Через трещины проникала влага, что резко снизило прочность приклейки ткани и привело к отрыву ее от деревянных частей". Свою роль сыграл и отказ от грунтовочного слоя аэролака алюминиевого цвета, который мог бы защитить шпатлевку от солнца и влаги. Растрескивание произошло почти на всех (примерно тысяче) самолетах, окрашенных с применением этой шпатлевки. Брошенные на фронт заводские бригады успели за 2-3 недели вернуть в строй дефектные самолеты (правда, в тыловых частях ремонт продолжался еще и в сентябре 1943 г). А буквально через 2-3 дня, как пишет А.С.Яковлев, началось знаменитое сражение на орловско-курском направлении. Таким образом, основная причина дефекта - некачественная шпатлевка, из рецептуры которой был выведен дефицитный свинцовый крон. Как видим, решить проблему его дефицита за счет шпатлевки не удалось. Но свинцовый крон входил и в состав зеленых эмалей </w:t>
      </w:r>
      <w:r w:rsidRPr="00D03F3E">
        <w:rPr>
          <w:color w:val="000000" w:themeColor="text1"/>
          <w:sz w:val="16"/>
          <w:szCs w:val="16"/>
        </w:rPr>
        <w:lastRenderedPageBreak/>
        <w:t>А-24м и АМТ-4. Если нельзя отказаться от него в шпатлевке, то может быть уменьшить расход крона на краски? В них свинцовый крон (пигмент желтого цвета) вместе с милорью (синий пигмент) служил для получения зеленого цвета. При этом рецептуры предусматривали возможность замены этой парочки одним пигментом - зеленой окисью хрома, но и окись хрома была дефицитной - в 1943 г. НКАП получил только 53,8% от необходимого количества. Невозможна была и замена свинцового крона на другой - цинковый: в марте 1943 г. "в связи с полным отсутствием цинкового крона" было принято решение "приостановить изготовление грунтов АЛГ-1 и АЛГ-5", применявшихся для покрытия металлических деталей перед окраской их нитроэмалями. Выход был один - резко уменьшить выпуск зеленых эмалей. "Схемы" 1943 г. как раз и отвечают такому решению, весьма выгодному для авиапромышленности: на наиболее массовом типе самолетов - истребителях - зеленый цвет отсутствует полностью, а для других самолетов потребность в зеленых красках уменьшена более чем в 1,6 раза (3285,17).</w:t>
      </w:r>
    </w:p>
    <w:p w14:paraId="04D23AA5" w14:textId="77777777" w:rsidR="00531570" w:rsidRPr="00D03F3E" w:rsidRDefault="00531570" w:rsidP="00D03F3E">
      <w:pPr>
        <w:pStyle w:val="Iauiue"/>
        <w:jc w:val="both"/>
        <w:rPr>
          <w:color w:val="000000" w:themeColor="text1"/>
          <w:sz w:val="16"/>
          <w:szCs w:val="16"/>
        </w:rPr>
      </w:pPr>
    </w:p>
    <w:p w14:paraId="102072A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на Ла-5 № 39210204 установили новый звездообразный двигатель М-71Ф мощностью 2250 л.с. Использование этого мотора на различных типах самолетов, как на истребителях, так и на бомбардировщиках все время сопровождалось неудачами. Хотя двигатель и прошел 50-часовые стендовые испытания, в полете и у М-71, и у его форсированной модификации М-71Ф постоянно что-то ломалось. Не исключением стал и Ла-5. Хотя мотор М-71Ф не только вылез за обводы капотов прежней силовой установки, но и утяжелил истребитель, его большая мощность сделала свое дело. Летные испытания, проведенные в ЛИИ с 28 апреля по 4 июня 1943 года, показали, что максимальная скорость истребителя возросла до 685 км/ч на высоте 5500 м. В то же время скороподъемность машины практически не изменилась.</w:t>
      </w:r>
    </w:p>
    <w:p w14:paraId="47DC538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Чтобы выяснить пути улучшения характеристик машины, ее исследовали в натурной аэродинамической трубе ЦАГИ Т-101. Вывод специалистов аэрогидродинамического института был оптимистичным - улучшение аэродинамики самолета, особенно капотирования мотора, позволит довести максимальную скорость до 720 км/ч. Но доводка Ла-5 и двигателя М-71 затянулась. В итоге самолет оказался в разряде экспериментальных.</w:t>
      </w:r>
    </w:p>
    <w:p w14:paraId="6A7D457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Проектировался, но так и не был закончен истребитель со звездообразным мотором М-90 взлетной мощностью 1750 л.с. (12032).</w:t>
      </w:r>
    </w:p>
    <w:p w14:paraId="62DF0E3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2315D53" w14:textId="77777777" w:rsidR="000C0A4A" w:rsidRPr="00D03F3E" w:rsidRDefault="000C0A4A"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Весной 1943-го с конвейера завода №21 стали сходить «Ла-5Ф с улучшенным обзором». За счет понижения гаргрота их фонарь стал каплевидным, а за головой пилота появилось прозрачное бронестекло вместо стального бронезаголовника.</w:t>
      </w:r>
    </w:p>
    <w:p w14:paraId="5AD610F8" w14:textId="77777777" w:rsidR="000C0A4A" w:rsidRPr="00D03F3E" w:rsidRDefault="000C0A4A"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Еще одним «нововведением» (а точнее – шагом назад) стала установка на части машин примитивных  рамочных прицелов ВВ-1 из-за нехватки и низкого качества коллиматорных прицелов ПБП-1а. Вооружение Ла-5Ф состояло из двух синхронных пушек ШВАК с боекомплектом по 200 снарядов на ствол, то есть оно вновь стало таким же, как и на ранних Ла-5 (19178).</w:t>
      </w:r>
    </w:p>
    <w:p w14:paraId="6155CF6F" w14:textId="77777777" w:rsidR="000C0A4A" w:rsidRPr="00D03F3E" w:rsidRDefault="000C0A4A" w:rsidP="00D03F3E">
      <w:pPr>
        <w:pStyle w:val="rtejustify"/>
        <w:shd w:val="clear" w:color="auto" w:fill="FFFFFF"/>
        <w:spacing w:before="0" w:beforeAutospacing="0" w:after="0" w:afterAutospacing="0"/>
        <w:jc w:val="both"/>
        <w:textAlignment w:val="baseline"/>
        <w:rPr>
          <w:color w:val="000000" w:themeColor="text1"/>
          <w:sz w:val="16"/>
          <w:szCs w:val="16"/>
        </w:rPr>
      </w:pPr>
    </w:p>
    <w:p w14:paraId="3403D14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Весной 1943 в группе Горбунова в Тбилиси построили первый экз. ЛаГГ-3 с ВК-105ПФ2 облегченного, который назвали машина 105. Дублер проходил гос. испытания в апреле 1944 (3241,3).</w:t>
      </w:r>
    </w:p>
    <w:p w14:paraId="117F9517" w14:textId="77777777" w:rsidR="00531570" w:rsidRPr="00D03F3E" w:rsidRDefault="00531570" w:rsidP="00D03F3E">
      <w:pPr>
        <w:pStyle w:val="Iauiue"/>
        <w:jc w:val="both"/>
        <w:rPr>
          <w:color w:val="000000" w:themeColor="text1"/>
          <w:sz w:val="16"/>
          <w:szCs w:val="16"/>
        </w:rPr>
      </w:pPr>
    </w:p>
    <w:p w14:paraId="66874B1A" w14:textId="77777777" w:rsidR="000C0A4A" w:rsidRPr="00D03F3E" w:rsidRDefault="000C0A4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весны 1943 г. до середины 1944 г. в Тбилиси строили ЛаГГ-3 66-й серии, на котором были внедрены рекомендации ЦАГИ в области аэродинамики планера самолета (19727)</w:t>
      </w:r>
    </w:p>
    <w:p w14:paraId="6F5903AD" w14:textId="77777777" w:rsidR="000C0A4A" w:rsidRPr="00D03F3E" w:rsidRDefault="000C0A4A" w:rsidP="00D03F3E">
      <w:pPr>
        <w:spacing w:after="0" w:line="240" w:lineRule="auto"/>
        <w:jc w:val="both"/>
        <w:rPr>
          <w:rFonts w:ascii="Times New Roman" w:hAnsi="Times New Roman"/>
          <w:color w:val="000000" w:themeColor="text1"/>
          <w:sz w:val="16"/>
          <w:szCs w:val="16"/>
        </w:rPr>
      </w:pPr>
    </w:p>
    <w:p w14:paraId="44EEFE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весны 1943 г. до середины 1944 г. в Тбилиси строили ЛаГГ-3 66-й серии, на котором были внедрены рекомендации ЦАГИ в области аэродинамики планера самолета (4707).</w:t>
      </w:r>
    </w:p>
    <w:p w14:paraId="1FB4E178" w14:textId="77777777" w:rsidR="00531570" w:rsidRPr="00D03F3E" w:rsidRDefault="00531570" w:rsidP="00D03F3E">
      <w:pPr>
        <w:pStyle w:val="Iauiue"/>
        <w:jc w:val="both"/>
        <w:rPr>
          <w:color w:val="000000" w:themeColor="text1"/>
          <w:sz w:val="16"/>
          <w:szCs w:val="16"/>
        </w:rPr>
      </w:pPr>
    </w:p>
    <w:p w14:paraId="793A895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на территории завода № 156 размещалось КБ М.И. Гудкова (переведено с завода № 21). Работы по Гу-1. После катастрофы Гу-1 12.06.1943 г. КБ было ликвидировано, личный состав переведен в КБ Лавочкина, Гудков лишен звания гл. конструктора и назначен зам. начальника ОТК завода № 84 (11982).</w:t>
      </w:r>
    </w:p>
    <w:p w14:paraId="55B4ADA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F766C5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Н.Поликарпов закончил проект модифицированной машины И-187 (название использовалось вторично), ориентированной под форсированный двигатель М-71Ф со взлетной мощностью 2200 л.с. Самолет отличался уменьшенным полетным весом, каплевидным фонарем кабины пилота с плоской лобовой броней. Был спроектирован новый оригинальный капот двигателя с передними подвижными створками, обеспечивающий сочетание оптимальной аэродинамики с равномерным охлаждением головок цилиндров. Согласно расчетам максимальная скорость у земли составляла 650 км/ч, на высоте 6250 м - 710 км/ч.</w:t>
      </w:r>
    </w:p>
    <w:p w14:paraId="4D26C71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Следующим появился проект И-188 под двигатель М-90, обладавший взлетной мощностью 2080 л.е., который в 1942 г. прошел 50-часовые испытания. В дальнейшем можно было надеяться на появление двигателя М-95, развивающего мощность 2500 л.с. на высоте 3300 м. С М-95 полетная скорость И-188 заметно превышала значение 700 км/ч (12016).</w:t>
      </w:r>
    </w:p>
    <w:p w14:paraId="63B1228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D87BA4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весны 1943 года выпуск АЧ-30Б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 (11852).</w:t>
      </w:r>
    </w:p>
    <w:p w14:paraId="7B0289C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2B6BF8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Весной 1943 был подготовлен:</w:t>
      </w:r>
    </w:p>
    <w:p w14:paraId="6831A6D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Отчет о работе НИИ ГВФ за 1942 год</w:t>
      </w:r>
    </w:p>
    <w:p w14:paraId="53DAC44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1 января 1942 года</w:t>
      </w:r>
    </w:p>
    <w:p w14:paraId="0AA88B6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Основная часть Института находилась в Казани в нескольких местах (КАИ, Химзавод, здание Аэрофлота) и небольшая группа Института в Москве (Покровско-Глебово, Тушино, Химки, НИИ-6 и НИИ-12).</w:t>
      </w:r>
    </w:p>
    <w:p w14:paraId="7EF9677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Занимались разработкой жидкостного пулемета, специальной установки дистанционного управления огнем из кабины самолета. Велись работы на реактивными бомбами, заградительными минами. Конструировали и строили десантный планер. Разрабатывали способы детонации взвешенных в воздухе горючих веществ для взрыва их с самолета. Ни одна из этих тем не была выполнена (работы велись в 1941 году) (8656,326-356).</w:t>
      </w:r>
    </w:p>
    <w:p w14:paraId="4103AAD5" w14:textId="77777777" w:rsidR="00531570" w:rsidRPr="00D03F3E" w:rsidRDefault="00531570" w:rsidP="00D03F3E">
      <w:pPr>
        <w:pStyle w:val="Iauiue"/>
        <w:jc w:val="both"/>
        <w:rPr>
          <w:color w:val="000000" w:themeColor="text1"/>
          <w:sz w:val="16"/>
          <w:szCs w:val="16"/>
        </w:rPr>
      </w:pPr>
    </w:p>
    <w:p w14:paraId="44BD7C6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Весной 1943 в КБ завода Компрессор была разработана, изготовлена и принята на вооружение нормализованная боевая машина БМ-13Н, которую можно было ставить на любое шасси (вк В.А.Рудницкий) (3114,25).</w:t>
      </w:r>
    </w:p>
    <w:p w14:paraId="345B53A4" w14:textId="77777777" w:rsidR="00531570" w:rsidRPr="00D03F3E" w:rsidRDefault="00531570" w:rsidP="00D03F3E">
      <w:pPr>
        <w:pStyle w:val="Iauiue"/>
        <w:jc w:val="both"/>
        <w:rPr>
          <w:color w:val="000000" w:themeColor="text1"/>
          <w:sz w:val="16"/>
          <w:szCs w:val="16"/>
        </w:rPr>
      </w:pPr>
    </w:p>
    <w:p w14:paraId="2EA47F97" w14:textId="77777777" w:rsidR="009477D6" w:rsidRPr="00D03F3E" w:rsidRDefault="009477D6" w:rsidP="00D03F3E">
      <w:pPr>
        <w:pStyle w:val="a3"/>
        <w:rPr>
          <w:color w:val="000000" w:themeColor="text1"/>
          <w:lang w:val="ru-RU"/>
        </w:rPr>
      </w:pPr>
      <w:r w:rsidRPr="00D03F3E">
        <w:rPr>
          <w:color w:val="000000" w:themeColor="text1"/>
          <w:lang w:val="ru-RU"/>
        </w:rPr>
        <w:t>Весной 1943 вопрос об организации Секции авиации неоднократно обсуждался в Отделении тех</w:t>
      </w:r>
      <w:r w:rsidRPr="00D03F3E">
        <w:rPr>
          <w:color w:val="000000" w:themeColor="text1"/>
          <w:lang w:val="ru-RU"/>
        </w:rPr>
        <w:softHyphen/>
        <w:t>нических наук АН СССР, и там разработали и обсудили «Положение о секции по научной разра</w:t>
      </w:r>
      <w:r w:rsidRPr="00D03F3E">
        <w:rPr>
          <w:color w:val="000000" w:themeColor="text1"/>
          <w:lang w:val="ru-RU"/>
        </w:rPr>
        <w:softHyphen/>
        <w:t>ботке проблем авиации АН СССР», представленное в Президиум АН:</w:t>
      </w:r>
    </w:p>
    <w:p w14:paraId="77BF827E" w14:textId="77777777" w:rsidR="009477D6" w:rsidRPr="00D03F3E" w:rsidRDefault="009477D6" w:rsidP="00D03F3E">
      <w:pPr>
        <w:pStyle w:val="a3"/>
        <w:rPr>
          <w:color w:val="000000" w:themeColor="text1"/>
          <w:lang w:val="ru-RU"/>
        </w:rPr>
      </w:pPr>
      <w:r w:rsidRPr="00D03F3E">
        <w:rPr>
          <w:color w:val="000000" w:themeColor="text1"/>
        </w:rPr>
        <w:t>I</w:t>
      </w:r>
      <w:r w:rsidRPr="00D03F3E">
        <w:rPr>
          <w:color w:val="000000" w:themeColor="text1"/>
          <w:lang w:val="ru-RU"/>
        </w:rPr>
        <w:t>. ОБЩИЕ ПОЛОЖЕНИЯ</w:t>
      </w:r>
    </w:p>
    <w:p w14:paraId="08FE1649" w14:textId="77777777" w:rsidR="009477D6" w:rsidRPr="00D03F3E" w:rsidRDefault="009477D6" w:rsidP="00D03F3E">
      <w:pPr>
        <w:pStyle w:val="a3"/>
        <w:rPr>
          <w:color w:val="000000" w:themeColor="text1"/>
          <w:lang w:val="ru-RU"/>
        </w:rPr>
      </w:pPr>
      <w:r w:rsidRPr="00D03F3E">
        <w:rPr>
          <w:color w:val="000000" w:themeColor="text1"/>
          <w:lang w:val="ru-RU"/>
        </w:rPr>
        <w:t>1. Секция является научно-исследовательским органом Академии наук СССР.</w:t>
      </w:r>
    </w:p>
    <w:p w14:paraId="16A9A166" w14:textId="77777777" w:rsidR="009477D6" w:rsidRPr="00D03F3E" w:rsidRDefault="009477D6" w:rsidP="00D03F3E">
      <w:pPr>
        <w:pStyle w:val="a3"/>
        <w:rPr>
          <w:color w:val="000000" w:themeColor="text1"/>
          <w:lang w:val="ru-RU"/>
        </w:rPr>
      </w:pPr>
      <w:r w:rsidRPr="00D03F3E">
        <w:rPr>
          <w:color w:val="000000" w:themeColor="text1"/>
          <w:lang w:val="ru-RU"/>
        </w:rPr>
        <w:t>2. Основной задачей Секции является по- новка и проведение научных исследова- способствовавших развитию нашей воен- и гражданской авиации, и координация нно-исследовательских работ по проблемам авиации, проводимым в учреждениях АН Р, в отраслевых институтах и КБ 5. Для выполнения своей основной задачи секция:</w:t>
      </w:r>
    </w:p>
    <w:p w14:paraId="04A18659" w14:textId="77777777" w:rsidR="009477D6" w:rsidRPr="00D03F3E" w:rsidRDefault="009477D6" w:rsidP="00D03F3E">
      <w:pPr>
        <w:pStyle w:val="a3"/>
        <w:rPr>
          <w:color w:val="000000" w:themeColor="text1"/>
          <w:lang w:val="ru-RU"/>
        </w:rPr>
      </w:pPr>
      <w:r w:rsidRPr="00D03F3E">
        <w:rPr>
          <w:color w:val="000000" w:themeColor="text1"/>
          <w:lang w:val="ru-RU"/>
        </w:rPr>
        <w:t>а) выявляет основные научные проб</w:t>
      </w:r>
      <w:r w:rsidRPr="00D03F3E">
        <w:rPr>
          <w:color w:val="000000" w:themeColor="text1"/>
          <w:lang w:val="ru-RU"/>
        </w:rPr>
        <w:softHyphen/>
        <w:t>ны, связанные с авиацией;</w:t>
      </w:r>
    </w:p>
    <w:p w14:paraId="43ABB1F7" w14:textId="77777777" w:rsidR="009477D6" w:rsidRPr="00D03F3E" w:rsidRDefault="009477D6" w:rsidP="00D03F3E">
      <w:pPr>
        <w:pStyle w:val="a3"/>
        <w:rPr>
          <w:color w:val="000000" w:themeColor="text1"/>
          <w:lang w:val="ru-RU"/>
        </w:rPr>
      </w:pPr>
      <w:r w:rsidRPr="00D03F3E">
        <w:rPr>
          <w:color w:val="000000" w:themeColor="text1"/>
          <w:lang w:val="ru-RU"/>
        </w:rPr>
        <w:t>б) производит своими силами особо важные учные исследования по принципиальным росам авиации;</w:t>
      </w:r>
    </w:p>
    <w:p w14:paraId="2CD71BF6" w14:textId="77777777" w:rsidR="009477D6" w:rsidRPr="00D03F3E" w:rsidRDefault="009477D6" w:rsidP="00D03F3E">
      <w:pPr>
        <w:pStyle w:val="a3"/>
        <w:rPr>
          <w:color w:val="000000" w:themeColor="text1"/>
          <w:lang w:val="ru-RU"/>
        </w:rPr>
      </w:pPr>
      <w:r w:rsidRPr="00D03F3E">
        <w:rPr>
          <w:color w:val="000000" w:themeColor="text1"/>
          <w:lang w:val="ru-RU"/>
        </w:rPr>
        <w:t>в) участвует в планировании и в координа- -и особо важных научных работ, ведущихся СССР;</w:t>
      </w:r>
    </w:p>
    <w:p w14:paraId="53586DEE" w14:textId="77777777" w:rsidR="009477D6" w:rsidRPr="00D03F3E" w:rsidRDefault="009477D6" w:rsidP="00D03F3E">
      <w:pPr>
        <w:pStyle w:val="a3"/>
        <w:rPr>
          <w:color w:val="000000" w:themeColor="text1"/>
          <w:lang w:val="ru-RU"/>
        </w:rPr>
      </w:pPr>
      <w:r w:rsidRPr="00D03F3E">
        <w:rPr>
          <w:rStyle w:val="99"/>
          <w:rFonts w:ascii="Times New Roman" w:hAnsi="Times New Roman" w:cs="Times New Roman"/>
          <w:b w:val="0"/>
          <w:color w:val="000000" w:themeColor="text1"/>
          <w:spacing w:val="0"/>
          <w:sz w:val="16"/>
          <w:szCs w:val="16"/>
          <w:lang w:val="ru-RU"/>
        </w:rPr>
        <w:t>г)</w:t>
      </w:r>
      <w:r w:rsidRPr="00D03F3E">
        <w:rPr>
          <w:color w:val="000000" w:themeColor="text1"/>
          <w:lang w:val="ru-RU"/>
        </w:rPr>
        <w:t xml:space="preserve"> проводит консультации и обследования особым заданиям правительства;</w:t>
      </w:r>
    </w:p>
    <w:p w14:paraId="027E1AD5" w14:textId="77777777" w:rsidR="009477D6" w:rsidRPr="00D03F3E" w:rsidRDefault="009477D6" w:rsidP="00D03F3E">
      <w:pPr>
        <w:pStyle w:val="a3"/>
        <w:rPr>
          <w:color w:val="000000" w:themeColor="text1"/>
          <w:lang w:val="ru-RU"/>
        </w:rPr>
      </w:pPr>
      <w:r w:rsidRPr="00D03F3E">
        <w:rPr>
          <w:color w:val="000000" w:themeColor="text1"/>
          <w:lang w:val="ru-RU"/>
        </w:rPr>
        <w:t>д) способствует внедрению в авиацию новейших научных достижений путем научной паганды;</w:t>
      </w:r>
    </w:p>
    <w:p w14:paraId="3AD808EA" w14:textId="77777777" w:rsidR="009477D6" w:rsidRPr="00D03F3E" w:rsidRDefault="009477D6" w:rsidP="00D03F3E">
      <w:pPr>
        <w:pStyle w:val="a3"/>
        <w:rPr>
          <w:color w:val="000000" w:themeColor="text1"/>
          <w:lang w:val="ru-RU"/>
        </w:rPr>
      </w:pPr>
      <w:r w:rsidRPr="00D03F3E">
        <w:rPr>
          <w:color w:val="000000" w:themeColor="text1"/>
          <w:lang w:val="ru-RU"/>
        </w:rPr>
        <w:t>е) организует информацию по научно-исследовательским и эксплуатационным вопросам авиации, опираясь на отраслевые институты;</w:t>
      </w:r>
    </w:p>
    <w:p w14:paraId="0CDAC0F2" w14:textId="77777777" w:rsidR="009477D6" w:rsidRPr="00D03F3E" w:rsidRDefault="009477D6" w:rsidP="00D03F3E">
      <w:pPr>
        <w:pStyle w:val="a3"/>
        <w:rPr>
          <w:color w:val="000000" w:themeColor="text1"/>
          <w:lang w:val="ru-RU"/>
        </w:rPr>
      </w:pPr>
      <w:r w:rsidRPr="00D03F3E">
        <w:rPr>
          <w:color w:val="000000" w:themeColor="text1"/>
          <w:lang w:val="ru-RU"/>
        </w:rPr>
        <w:t>ж) организует научные конференции по вопросам авиации;</w:t>
      </w:r>
    </w:p>
    <w:p w14:paraId="3F28B66B" w14:textId="77777777" w:rsidR="009477D6" w:rsidRPr="00D03F3E" w:rsidRDefault="009477D6" w:rsidP="00D03F3E">
      <w:pPr>
        <w:pStyle w:val="a3"/>
        <w:rPr>
          <w:color w:val="000000" w:themeColor="text1"/>
          <w:lang w:val="ru-RU"/>
        </w:rPr>
      </w:pPr>
      <w:r w:rsidRPr="00D03F3E">
        <w:rPr>
          <w:color w:val="000000" w:themeColor="text1"/>
          <w:lang w:val="ru-RU"/>
        </w:rPr>
        <w:t>з) печатает свои труды'на языках народов СССР и на иностранных языках.</w:t>
      </w:r>
    </w:p>
    <w:p w14:paraId="17EAEAAF" w14:textId="77777777" w:rsidR="009477D6" w:rsidRPr="00D03F3E" w:rsidRDefault="009477D6" w:rsidP="00D03F3E">
      <w:pPr>
        <w:pStyle w:val="a3"/>
        <w:rPr>
          <w:color w:val="000000" w:themeColor="text1"/>
          <w:lang w:val="ru-RU"/>
        </w:rPr>
      </w:pPr>
      <w:r w:rsidRPr="00D03F3E">
        <w:rPr>
          <w:color w:val="000000" w:themeColor="text1"/>
        </w:rPr>
        <w:t>II</w:t>
      </w:r>
      <w:r w:rsidRPr="00D03F3E">
        <w:rPr>
          <w:color w:val="000000" w:themeColor="text1"/>
          <w:lang w:val="ru-RU"/>
        </w:rPr>
        <w:t>. СТРУКТУРА СЕКЦИИ</w:t>
      </w:r>
    </w:p>
    <w:p w14:paraId="2A39FDD0" w14:textId="77777777" w:rsidR="009477D6" w:rsidRPr="00D03F3E" w:rsidRDefault="009477D6" w:rsidP="00D03F3E">
      <w:pPr>
        <w:pStyle w:val="a3"/>
        <w:rPr>
          <w:color w:val="000000" w:themeColor="text1"/>
          <w:lang w:val="ru-RU"/>
        </w:rPr>
      </w:pPr>
      <w:r w:rsidRPr="00D03F3E">
        <w:rPr>
          <w:color w:val="000000" w:themeColor="text1"/>
          <w:lang w:val="ru-RU"/>
        </w:rPr>
        <w:t>...4. Рабочими органами Секции являются группы, которые комплектуются из дейст- -ельных членов и членов-корреспондентов АН СССР, а также из высококвалифици- ванных специалистов данной области знания. Группы работают под руководством йствительных членов и членов-корреспондентов АН СССР &lt;...&gt;» (15789).</w:t>
      </w:r>
    </w:p>
    <w:p w14:paraId="0DCADDEC" w14:textId="77777777" w:rsidR="009477D6" w:rsidRPr="00D03F3E" w:rsidRDefault="009477D6" w:rsidP="00D03F3E">
      <w:pPr>
        <w:pStyle w:val="a3"/>
        <w:rPr>
          <w:color w:val="000000" w:themeColor="text1"/>
          <w:lang w:val="ru-RU"/>
        </w:rPr>
      </w:pPr>
    </w:p>
    <w:p w14:paraId="3AB0538B"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1981C6CD" w14:textId="77777777" w:rsidR="00531570" w:rsidRPr="00D03F3E" w:rsidRDefault="00531570" w:rsidP="00D03F3E">
      <w:pPr>
        <w:pStyle w:val="Iauiue"/>
        <w:jc w:val="both"/>
        <w:rPr>
          <w:iCs/>
          <w:color w:val="000000" w:themeColor="text1"/>
          <w:sz w:val="16"/>
          <w:szCs w:val="16"/>
        </w:rPr>
      </w:pPr>
    </w:p>
    <w:p w14:paraId="22B46F0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Весной 1943 г. началось массовое производство новой противотанковой пушки М-42, созданной по программе «большой модернизации» 45-мм орудия обр. 1937 г. М-42 отличалась от предшественника главным образом длиной ствола, переработанной конструкцией тормоза отката и усиленными сошниками. Начальная скорость </w:t>
      </w:r>
      <w:r w:rsidRPr="00D03F3E">
        <w:rPr>
          <w:rFonts w:ascii="Times New Roman" w:hAnsi="Times New Roman"/>
          <w:color w:val="000000" w:themeColor="text1"/>
          <w:sz w:val="16"/>
          <w:szCs w:val="16"/>
        </w:rPr>
        <w:lastRenderedPageBreak/>
        <w:t>бронебой</w:t>
      </w:r>
      <w:r w:rsidRPr="00D03F3E">
        <w:rPr>
          <w:rFonts w:ascii="Times New Roman" w:hAnsi="Times New Roman"/>
          <w:color w:val="000000" w:themeColor="text1"/>
          <w:sz w:val="16"/>
          <w:szCs w:val="16"/>
        </w:rPr>
        <w:softHyphen/>
        <w:t>ного снаряда, выпущенного из орудия М-42, составляла 870 м/с, что позволяло пробить гомогенную броню высо</w:t>
      </w:r>
      <w:r w:rsidRPr="00D03F3E">
        <w:rPr>
          <w:rFonts w:ascii="Times New Roman" w:hAnsi="Times New Roman"/>
          <w:color w:val="000000" w:themeColor="text1"/>
          <w:sz w:val="16"/>
          <w:szCs w:val="16"/>
        </w:rPr>
        <w:softHyphen/>
        <w:t>кой твердости толщиной до 70 мм на расстоянии 100 м или до 60 мм на дистанции 500 м (для сравнения 45-мм пушка обр. 1937 г. способна была на тех же условиях пробить сна</w:t>
      </w:r>
      <w:r w:rsidRPr="00D03F3E">
        <w:rPr>
          <w:rFonts w:ascii="Times New Roman" w:hAnsi="Times New Roman"/>
          <w:color w:val="000000" w:themeColor="text1"/>
          <w:sz w:val="16"/>
          <w:szCs w:val="16"/>
        </w:rPr>
        <w:softHyphen/>
        <w:t>рядом БР-240 с нач. скоростью 760 м/с броню толщиной соответственно до 48 и до 39 мм). Таким образом, помимо восстановления выпуска 57-мм противотанковых и танковых пушек ЗИС-2 и ЗИС-4 на во</w:t>
      </w:r>
      <w:r w:rsidRPr="00D03F3E">
        <w:rPr>
          <w:rFonts w:ascii="Times New Roman" w:hAnsi="Times New Roman"/>
          <w:color w:val="000000" w:themeColor="text1"/>
          <w:sz w:val="16"/>
          <w:szCs w:val="16"/>
        </w:rPr>
        <w:softHyphen/>
        <w:t>оружение Красной Армии в начале 1943 г. было принято все</w:t>
      </w:r>
      <w:r w:rsidRPr="00D03F3E">
        <w:rPr>
          <w:rFonts w:ascii="Times New Roman" w:hAnsi="Times New Roman"/>
          <w:color w:val="000000" w:themeColor="text1"/>
          <w:sz w:val="16"/>
          <w:szCs w:val="16"/>
        </w:rPr>
        <w:softHyphen/>
        <w:t>го одно противотанковое орудие — 45 мм пушка М-42 (11135).</w:t>
      </w:r>
    </w:p>
    <w:p w14:paraId="7F134C9B" w14:textId="77777777" w:rsidR="00531570" w:rsidRPr="00D03F3E" w:rsidRDefault="00531570" w:rsidP="00D03F3E">
      <w:pPr>
        <w:shd w:val="clear" w:color="auto" w:fill="FFFFFF"/>
        <w:spacing w:after="0" w:line="240" w:lineRule="auto"/>
        <w:jc w:val="both"/>
        <w:rPr>
          <w:rFonts w:ascii="Times New Roman" w:hAnsi="Times New Roman"/>
          <w:bCs/>
          <w:color w:val="000000" w:themeColor="text1"/>
          <w:sz w:val="16"/>
          <w:szCs w:val="16"/>
          <w:u w:val="single"/>
        </w:rPr>
      </w:pPr>
    </w:p>
    <w:p w14:paraId="226ECEF2" w14:textId="77777777" w:rsidR="009477D6" w:rsidRPr="00D03F3E" w:rsidRDefault="009477D6"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образец  ПТР первого варианта ЛКБ-16 проходил испытания  стрельбой по трофейному немецкому танку Т-VI «Тигр». Ружье работало, пуля пробивала бортовую броню этого танка, но из-за большого импульса отдачи устойчивость его на треноге была неудовлетворительной.</w:t>
      </w:r>
    </w:p>
    <w:p w14:paraId="1005DE7A" w14:textId="77777777" w:rsidR="009477D6" w:rsidRPr="00D03F3E" w:rsidRDefault="009477D6"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Разработкой противотанкового ружья (ПТР) занималась группа Блюма М.Н.. Ружье проектировалось в двух вариантах – с начальной скоростью  1200 м/сек и 1500 м/сек.</w:t>
      </w:r>
    </w:p>
    <w:p w14:paraId="4C34A983" w14:textId="77777777" w:rsidR="009477D6" w:rsidRPr="00D03F3E" w:rsidRDefault="009477D6"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серию это ПТР не пошло, но работа была отмечена Наркоматом обороны. Несколько сотрудников ОКБ-16 были награждены денежной премией в 3000 рублей, что по тем временам было значительной суммой.</w:t>
      </w:r>
    </w:p>
    <w:p w14:paraId="1B57F377" w14:textId="77777777" w:rsidR="009477D6" w:rsidRPr="00D03F3E" w:rsidRDefault="009477D6"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Конструкторы Савин И.В., Норов А.К., Грибков П.П. разрабатывали конструкции 7,62-мм автоматов. Хотя упомянутые выше работы не были приняты на вооружение, но они способствовали накоплению опыта и повышению квалификации конструкторов (15979).</w:t>
      </w:r>
    </w:p>
    <w:p w14:paraId="1823CCC9" w14:textId="77777777" w:rsidR="009477D6" w:rsidRPr="00D03F3E" w:rsidRDefault="009477D6" w:rsidP="00D03F3E">
      <w:pPr>
        <w:shd w:val="clear" w:color="auto" w:fill="FFFFFF"/>
        <w:spacing w:after="0" w:line="240" w:lineRule="auto"/>
        <w:jc w:val="both"/>
        <w:rPr>
          <w:rFonts w:ascii="Times New Roman" w:hAnsi="Times New Roman"/>
          <w:color w:val="000000" w:themeColor="text1"/>
          <w:sz w:val="16"/>
          <w:szCs w:val="16"/>
        </w:rPr>
      </w:pPr>
    </w:p>
    <w:p w14:paraId="30740979" w14:textId="77777777" w:rsidR="00AA27F1" w:rsidRPr="00D03F3E" w:rsidRDefault="00AA27F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года британская военная миссия сделала советским союзникам прямой заказ на новые образцы вооружения: противотанковые ружья, прибор управления артиллерийским зенитным огнём (ПУАЗО), ракетную артиллерию, а также танки Т-34 и КВ. Британцам повезло, и заказ был одобрен — за исключением «Катюш».</w:t>
      </w:r>
    </w:p>
    <w:p w14:paraId="6E9C2140" w14:textId="77777777" w:rsidR="00AA27F1" w:rsidRPr="00D03F3E" w:rsidRDefault="00AA27F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Танки прибыли в порт Бакарица в Архангельске 26 мая 1943 года, а 13 июня их погрузили на пароход «Эмпайр Порша». В наше время популярно мнение, что эти машины были особой сборки, чтобы скрыть от союзников низкое качество советских танков. Конечно, ни о чём подобном речи быть не может, да и каким-то особым обращением к себе эти танки не отличались. Например, на обоих машинах недоставало магазинов к пулемётам, а брезенты на танках были старые и рваные. С танками послали 73 ящика с запчастями и большое количество горюче-смазочных материалов: бочку пушечного сала, 70 кг масла и т.д. К Т-34 прилагалось 19 выстрелов с бронебойным снарядом, 53 выстрела с осколочной гранатой — в английском варианте документа этот пункт перевели неправильно, назвав снаряды «бронебойными болванками» — и пять шрапнельных выстрелов. Были в комплекте патроны к пулемёту — 665 с трассирующей, 150 с бронебойной и 1103 с тяжёлой пулей, — а также 20 гранат Ф-1 (18249).</w:t>
      </w:r>
    </w:p>
    <w:p w14:paraId="76B47A39" w14:textId="77777777" w:rsidR="00AA27F1" w:rsidRPr="00D03F3E" w:rsidRDefault="00AA27F1" w:rsidP="00D03F3E">
      <w:pPr>
        <w:spacing w:after="0" w:line="240" w:lineRule="auto"/>
        <w:jc w:val="both"/>
        <w:rPr>
          <w:rFonts w:ascii="Times New Roman" w:hAnsi="Times New Roman"/>
          <w:color w:val="000000" w:themeColor="text1"/>
          <w:sz w:val="16"/>
          <w:szCs w:val="16"/>
        </w:rPr>
      </w:pPr>
    </w:p>
    <w:p w14:paraId="04C1E528" w14:textId="77777777" w:rsidR="00AA27F1" w:rsidRPr="00D03F3E" w:rsidRDefault="00AA27F1" w:rsidP="00D03F3E">
      <w:pPr>
        <w:pStyle w:val="ae"/>
        <w:spacing w:before="0" w:after="0"/>
        <w:jc w:val="both"/>
        <w:textAlignment w:val="baseline"/>
        <w:rPr>
          <w:color w:val="000000" w:themeColor="text1"/>
          <w:sz w:val="16"/>
          <w:szCs w:val="16"/>
        </w:rPr>
      </w:pPr>
      <w:r w:rsidRPr="00D03F3E">
        <w:rPr>
          <w:color w:val="000000" w:themeColor="text1"/>
          <w:sz w:val="16"/>
          <w:szCs w:val="16"/>
        </w:rPr>
        <w:t>Весной 1943 года взамен РПГ-40 в серийное производство планировали запустить разработку КБ-30 под наименованием РПГ-43. Она могла пробивать до 75 мм танковой брони. Производство началось в июле. О важности этих гранат говорит тот факт, что рабочим и инженерно-техническим работникам, задействованным в их производстве, полагались дополнительные обеды и по 200 г табака в месяц, а также освобождение от всех видов мобилизации. Гранату РПГ-6 разработки НИИ-6 с бронепробиваемостью в 100 мм планировали запустить в серийное производство в ноябре того же года за счёт полного прекращения изготовления РПГ-40.</w:t>
      </w:r>
    </w:p>
    <w:p w14:paraId="1D80DA2B" w14:textId="77777777" w:rsidR="00AA27F1" w:rsidRPr="00D03F3E" w:rsidRDefault="00AA27F1" w:rsidP="00D03F3E">
      <w:pPr>
        <w:pStyle w:val="ae"/>
        <w:spacing w:before="0" w:after="0"/>
        <w:jc w:val="both"/>
        <w:textAlignment w:val="baseline"/>
        <w:rPr>
          <w:color w:val="000000" w:themeColor="text1"/>
          <w:sz w:val="16"/>
          <w:szCs w:val="16"/>
        </w:rPr>
      </w:pPr>
      <w:r w:rsidRPr="00D03F3E">
        <w:rPr>
          <w:color w:val="000000" w:themeColor="text1"/>
          <w:sz w:val="16"/>
          <w:szCs w:val="16"/>
        </w:rPr>
        <w:t>Метание противотанковых гранат РПГ-43 и РПГ-6 осуществлялось из окопа или укрытия на дальность 15-20 м. Стабилизация гранаты в полёте происходила за счёт нескольких матерчатых лент. Это требовалось для того, чтобы граната встретилась с бронёй танка под прямым углом и смогла нанести максимально возможный урон. Однако уже к концу Великой Отечественной войны лобовая броня танков в 100-150 мм была обычным делом, а ГАУ вело разработку более мощных противотанковых пехотных средств. И всё же ставить точку в истории ручных противотанковых гранат военные специалисты не спешили (18876).</w:t>
      </w:r>
    </w:p>
    <w:p w14:paraId="733E64A8" w14:textId="77777777" w:rsidR="00AA27F1" w:rsidRPr="00D03F3E" w:rsidRDefault="00AA27F1" w:rsidP="00D03F3E">
      <w:pPr>
        <w:spacing w:after="0" w:line="240" w:lineRule="auto"/>
        <w:jc w:val="both"/>
        <w:textAlignment w:val="baseline"/>
        <w:rPr>
          <w:rFonts w:ascii="Times New Roman" w:hAnsi="Times New Roman"/>
          <w:bCs/>
          <w:iCs/>
          <w:noProof/>
          <w:color w:val="000000" w:themeColor="text1"/>
          <w:sz w:val="16"/>
          <w:szCs w:val="16"/>
          <w:bdr w:val="none" w:sz="0" w:space="0" w:color="auto" w:frame="1"/>
          <w:lang w:eastAsia="ru-RU"/>
        </w:rPr>
      </w:pPr>
    </w:p>
    <w:p w14:paraId="3BA8745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для обеспечения борьбы с новыми немец</w:t>
      </w:r>
      <w:r w:rsidRPr="00D03F3E">
        <w:rPr>
          <w:rFonts w:ascii="Times New Roman" w:hAnsi="Times New Roman"/>
          <w:color w:val="000000" w:themeColor="text1"/>
          <w:sz w:val="16"/>
          <w:szCs w:val="16"/>
        </w:rPr>
        <w:softHyphen/>
        <w:t>кими танками и САУ артиллерийский завод № 92 возобно</w:t>
      </w:r>
      <w:r w:rsidRPr="00D03F3E">
        <w:rPr>
          <w:rFonts w:ascii="Times New Roman" w:hAnsi="Times New Roman"/>
          <w:color w:val="000000" w:themeColor="text1"/>
          <w:sz w:val="16"/>
          <w:szCs w:val="16"/>
        </w:rPr>
        <w:softHyphen/>
        <w:t>вил производство 57-мм противотанковых орудий ЗИС-2, прекращенное в конце 1941 г. Вполне естественно, что для улучшения мобильности орудий и усиления противотанко</w:t>
      </w:r>
      <w:r w:rsidRPr="00D03F3E">
        <w:rPr>
          <w:rFonts w:ascii="Times New Roman" w:hAnsi="Times New Roman"/>
          <w:color w:val="000000" w:themeColor="text1"/>
          <w:sz w:val="16"/>
          <w:szCs w:val="16"/>
        </w:rPr>
        <w:softHyphen/>
        <w:t>вой способности танковых частей и соединений на поверх</w:t>
      </w:r>
      <w:r w:rsidRPr="00D03F3E">
        <w:rPr>
          <w:rFonts w:ascii="Times New Roman" w:hAnsi="Times New Roman"/>
          <w:color w:val="000000" w:themeColor="text1"/>
          <w:sz w:val="16"/>
          <w:szCs w:val="16"/>
        </w:rPr>
        <w:softHyphen/>
        <w:t>ности лежал путь возобновления выпуска 57-мм танковых пушек ЗИС-4 и установки их в часть выпускаемых танков Т-34 и КВ для создания рот истребителей танков (11417).</w:t>
      </w:r>
    </w:p>
    <w:p w14:paraId="488442C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5030BA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на ЧКЗ конструкторским бюро СКБ-2 под общим руководством Ж.Я. Котина был разработан Танк КВ-85, являющийся дальнейшим развитием тяжелого танка КВ-1С в целях повышения его огневой мощи. Танк был принят на вооружение РККА 8 августа 1943 г. в связи с задержкой начала серийного производства тяжелого танка ИС-1 (ИС-85) из-за недоработанности конструкции последнего. Танк выпускался на ЧКЗ серийно до сентября 1943 г., т.е. до начала организа</w:t>
      </w:r>
      <w:r w:rsidRPr="00D03F3E">
        <w:rPr>
          <w:rFonts w:ascii="Times New Roman" w:hAnsi="Times New Roman"/>
          <w:color w:val="000000" w:themeColor="text1"/>
          <w:sz w:val="16"/>
          <w:szCs w:val="16"/>
        </w:rPr>
        <w:softHyphen/>
        <w:t>ции серийного выпуска танков ИС-85. Всего было выпущено 148 машин данной модификации, которые широко применялись на фронтах Вели</w:t>
      </w:r>
      <w:r w:rsidRPr="00D03F3E">
        <w:rPr>
          <w:rFonts w:ascii="Times New Roman" w:hAnsi="Times New Roman"/>
          <w:color w:val="000000" w:themeColor="text1"/>
          <w:sz w:val="16"/>
          <w:szCs w:val="16"/>
        </w:rPr>
        <w:softHyphen/>
        <w:t>кой Отечественной войны в составе танковых полков прорыва (10703).</w:t>
      </w:r>
    </w:p>
    <w:p w14:paraId="30E328C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5A0916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на ЧКЗ в конструкторском бюро СКБ-2 под руководством Г.Н. Москвина в це</w:t>
      </w:r>
      <w:r w:rsidRPr="00D03F3E">
        <w:rPr>
          <w:rFonts w:ascii="Times New Roman" w:hAnsi="Times New Roman"/>
          <w:color w:val="000000" w:themeColor="text1"/>
          <w:sz w:val="16"/>
          <w:szCs w:val="16"/>
        </w:rPr>
        <w:softHyphen/>
        <w:t>лях повышения огневой мощи танка КВ-1С был разработан Танк КВ-85Г ("Объект 238"). Общее руководство осуще</w:t>
      </w:r>
      <w:r w:rsidRPr="00D03F3E">
        <w:rPr>
          <w:rFonts w:ascii="Times New Roman" w:hAnsi="Times New Roman"/>
          <w:color w:val="000000" w:themeColor="text1"/>
          <w:sz w:val="16"/>
          <w:szCs w:val="16"/>
        </w:rPr>
        <w:softHyphen/>
        <w:t>ствлял Ж.Я.Котин. Ведущим инженером машины был Н.Ф. Шашмурин. При разработке машина имела заводское обозначение "Объект 238". Два опытных образца танка были собраны на Опытном заводе № 100 в июле 1943 г., один из которых в период с 21 по 24 августа 1943 г. совместно с опытным танком "Объект 239" прошел полигонные испыта</w:t>
      </w:r>
      <w:r w:rsidRPr="00D03F3E">
        <w:rPr>
          <w:rFonts w:ascii="Times New Roman" w:hAnsi="Times New Roman"/>
          <w:color w:val="000000" w:themeColor="text1"/>
          <w:sz w:val="16"/>
          <w:szCs w:val="16"/>
        </w:rPr>
        <w:softHyphen/>
        <w:t>ния на Гороховецком АНИОПе. На вооружение не принимался и в се</w:t>
      </w:r>
      <w:r w:rsidRPr="00D03F3E">
        <w:rPr>
          <w:rFonts w:ascii="Times New Roman" w:hAnsi="Times New Roman"/>
          <w:color w:val="000000" w:themeColor="text1"/>
          <w:sz w:val="16"/>
          <w:szCs w:val="16"/>
        </w:rPr>
        <w:softHyphen/>
        <w:t>рийном производстве не состоял (10703).</w:t>
      </w:r>
    </w:p>
    <w:p w14:paraId="4BF78D0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2E98F7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на ЧКЗ конструк</w:t>
      </w:r>
      <w:r w:rsidRPr="00D03F3E">
        <w:rPr>
          <w:rFonts w:ascii="Times New Roman" w:hAnsi="Times New Roman"/>
          <w:color w:val="000000" w:themeColor="text1"/>
          <w:sz w:val="16"/>
          <w:szCs w:val="16"/>
        </w:rPr>
        <w:softHyphen/>
        <w:t>торским бюро СКБ-2 под общим руководством Ж.Я. Котина с целью по</w:t>
      </w:r>
      <w:r w:rsidRPr="00D03F3E">
        <w:rPr>
          <w:rFonts w:ascii="Times New Roman" w:hAnsi="Times New Roman"/>
          <w:color w:val="000000" w:themeColor="text1"/>
          <w:sz w:val="16"/>
          <w:szCs w:val="16"/>
        </w:rPr>
        <w:softHyphen/>
        <w:t>вышения огневой мощи танка КВ-1С был разработан Танк "Объект 239". Опытный образец танка был собран на заводе № 100 в июле 1943 г. и в период с 21 по 24 августа 1943 г. прошел полигонные испытания на Гороховецком АНИОПе. После уст</w:t>
      </w:r>
      <w:r w:rsidRPr="00D03F3E">
        <w:rPr>
          <w:rFonts w:ascii="Times New Roman" w:hAnsi="Times New Roman"/>
          <w:color w:val="000000" w:themeColor="text1"/>
          <w:sz w:val="16"/>
          <w:szCs w:val="16"/>
        </w:rPr>
        <w:softHyphen/>
        <w:t>ранения недостатков, выявленных в ходе проведения испытаний, танк под маркой КВ-85 был принят на вооружение и поставлен на серийное производство до начала серийного выпуска танков ИС-85 (ИС-1). Опытный танк отличался от серийного танка КБ-1С, прежде всего, новой конструкцией башни с более мощным вооружением, конструкци</w:t>
      </w:r>
      <w:r w:rsidRPr="00D03F3E">
        <w:rPr>
          <w:rFonts w:ascii="Times New Roman" w:hAnsi="Times New Roman"/>
          <w:color w:val="000000" w:themeColor="text1"/>
          <w:sz w:val="16"/>
          <w:szCs w:val="16"/>
        </w:rPr>
        <w:softHyphen/>
        <w:t>ей силовой установки и численностью экипажа. Машина имела класси</w:t>
      </w:r>
      <w:r w:rsidRPr="00D03F3E">
        <w:rPr>
          <w:rFonts w:ascii="Times New Roman" w:hAnsi="Times New Roman"/>
          <w:color w:val="000000" w:themeColor="text1"/>
          <w:sz w:val="16"/>
          <w:szCs w:val="16"/>
        </w:rPr>
        <w:softHyphen/>
        <w:t>ческую схему общей компоновки. Отделение управления располагалось в передней части танка. В нем размещался механик-водитель, рабочее место стрелка-радиста и люк в крыше отделения управления были уп</w:t>
      </w:r>
      <w:r w:rsidRPr="00D03F3E">
        <w:rPr>
          <w:rFonts w:ascii="Times New Roman" w:hAnsi="Times New Roman"/>
          <w:color w:val="000000" w:themeColor="text1"/>
          <w:sz w:val="16"/>
          <w:szCs w:val="16"/>
        </w:rPr>
        <w:softHyphen/>
        <w:t>разднены, а радиостанция перенесена в корму башни. Установка пуле</w:t>
      </w:r>
      <w:r w:rsidRPr="00D03F3E">
        <w:rPr>
          <w:rFonts w:ascii="Times New Roman" w:hAnsi="Times New Roman"/>
          <w:color w:val="000000" w:themeColor="text1"/>
          <w:sz w:val="16"/>
          <w:szCs w:val="16"/>
        </w:rPr>
        <w:softHyphen/>
        <w:t>мета в шаровой опоре в верхнем лобовом листе корпуса была заменена курсовым пулеметом, размещавшимся справа от механика-водителя. Для наблюдения за полем боя в лобовом листе перед механиком-води</w:t>
      </w:r>
      <w:r w:rsidRPr="00D03F3E">
        <w:rPr>
          <w:rFonts w:ascii="Times New Roman" w:hAnsi="Times New Roman"/>
          <w:color w:val="000000" w:themeColor="text1"/>
          <w:sz w:val="16"/>
          <w:szCs w:val="16"/>
        </w:rPr>
        <w:softHyphen/>
        <w:t>телем имелся смотровой лючок, закрывавшийся броневой пробкой со смотровой щелью с триплексом, а в крыше отделения устанавливались два смотровых прибора МК-4. Слева и справа от механика-водителя размещались топливные баки, которые были перенесены из боевого от</w:t>
      </w:r>
      <w:r w:rsidRPr="00D03F3E">
        <w:rPr>
          <w:rFonts w:ascii="Times New Roman" w:hAnsi="Times New Roman"/>
          <w:color w:val="000000" w:themeColor="text1"/>
          <w:sz w:val="16"/>
          <w:szCs w:val="16"/>
        </w:rPr>
        <w:softHyphen/>
        <w:t>деления (10703).</w:t>
      </w:r>
    </w:p>
    <w:p w14:paraId="0530DCB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E8FF2EE" w14:textId="77777777" w:rsidR="009477D6" w:rsidRPr="00D03F3E" w:rsidRDefault="009477D6"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Весной 1943 года конструкторское бюро за</w:t>
      </w:r>
      <w:r w:rsidRPr="00D03F3E">
        <w:rPr>
          <w:rFonts w:ascii="Times New Roman" w:cs="Times New Roman"/>
          <w:color w:val="000000" w:themeColor="text1"/>
          <w:spacing w:val="0"/>
        </w:rPr>
        <w:softHyphen/>
        <w:t xml:space="preserve">вода № 9 и ЦАКБ начали разработку 122-мм гаубицы для вооружения танка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Пер</w:t>
      </w:r>
      <w:r w:rsidRPr="00D03F3E">
        <w:rPr>
          <w:rFonts w:ascii="Times New Roman" w:cs="Times New Roman"/>
          <w:color w:val="000000" w:themeColor="text1"/>
          <w:spacing w:val="0"/>
        </w:rPr>
        <w:softHyphen/>
        <w:t>вое спроектировало гаубицу Д-5Т-122, а вто</w:t>
      </w:r>
      <w:r w:rsidRPr="00D03F3E">
        <w:rPr>
          <w:rFonts w:ascii="Times New Roman" w:cs="Times New Roman"/>
          <w:color w:val="000000" w:themeColor="text1"/>
          <w:spacing w:val="0"/>
        </w:rPr>
        <w:softHyphen/>
        <w:t>рое - 122-мм гаубицу С-41. При проекти</w:t>
      </w:r>
      <w:r w:rsidRPr="00D03F3E">
        <w:rPr>
          <w:rFonts w:ascii="Times New Roman" w:cs="Times New Roman"/>
          <w:color w:val="000000" w:themeColor="text1"/>
          <w:spacing w:val="0"/>
        </w:rPr>
        <w:softHyphen/>
        <w:t>ровании последней за основу взяли люльку 76-мм пушки ЗИС-5, наложив на нее ствол 122-мм гаубицы М-30. С-41 получила полу</w:t>
      </w:r>
      <w:r w:rsidRPr="00D03F3E">
        <w:rPr>
          <w:rFonts w:ascii="Times New Roman" w:cs="Times New Roman"/>
          <w:color w:val="000000" w:themeColor="text1"/>
          <w:spacing w:val="0"/>
        </w:rPr>
        <w:softHyphen/>
        <w:t>автоматический клиновый затвор и дульный тормоз для уменьшения длины отката (15226).</w:t>
      </w:r>
    </w:p>
    <w:p w14:paraId="336772DF" w14:textId="77777777" w:rsidR="009477D6" w:rsidRPr="00D03F3E" w:rsidRDefault="009477D6" w:rsidP="00D03F3E">
      <w:pPr>
        <w:pStyle w:val="27"/>
        <w:shd w:val="clear" w:color="auto" w:fill="auto"/>
        <w:spacing w:after="0" w:line="240" w:lineRule="auto"/>
        <w:ind w:firstLine="0"/>
        <w:rPr>
          <w:rFonts w:ascii="Times New Roman" w:cs="Times New Roman"/>
          <w:color w:val="000000" w:themeColor="text1"/>
          <w:spacing w:val="0"/>
        </w:rPr>
      </w:pPr>
    </w:p>
    <w:p w14:paraId="22AEA9C2" w14:textId="77777777" w:rsidR="009477D6" w:rsidRPr="00D03F3E" w:rsidRDefault="009477D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года нужда в  артиллерийском танке усиле</w:t>
      </w:r>
      <w:r w:rsidRPr="00D03F3E">
        <w:rPr>
          <w:rFonts w:ascii="Times New Roman" w:hAnsi="Times New Roman"/>
          <w:color w:val="000000" w:themeColor="text1"/>
          <w:sz w:val="16"/>
          <w:szCs w:val="16"/>
        </w:rPr>
        <w:softHyphen/>
        <w:t>ния танковых и механизированных час</w:t>
      </w:r>
      <w:r w:rsidRPr="00D03F3E">
        <w:rPr>
          <w:rFonts w:ascii="Times New Roman" w:hAnsi="Times New Roman"/>
          <w:color w:val="000000" w:themeColor="text1"/>
          <w:sz w:val="16"/>
          <w:szCs w:val="16"/>
        </w:rPr>
        <w:softHyphen/>
        <w:t>тей и соединений при прорыве оборони</w:t>
      </w:r>
      <w:r w:rsidRPr="00D03F3E">
        <w:rPr>
          <w:rFonts w:ascii="Times New Roman" w:hAnsi="Times New Roman"/>
          <w:color w:val="000000" w:themeColor="text1"/>
          <w:sz w:val="16"/>
          <w:szCs w:val="16"/>
        </w:rPr>
        <w:softHyphen/>
        <w:t>тельных полос противника была несколько больше, чем весной 1942-го и началсь работа над танком Ис-2 (объект 234) — один из двух, так называемых, пятикатковых ИСов, на который перекочевала башня от КВ-9. Кроме того, в начале года для 122-мм по</w:t>
      </w:r>
      <w:r w:rsidRPr="00D03F3E">
        <w:rPr>
          <w:rFonts w:ascii="Times New Roman" w:hAnsi="Times New Roman"/>
          <w:color w:val="000000" w:themeColor="text1"/>
          <w:sz w:val="16"/>
          <w:szCs w:val="16"/>
        </w:rPr>
        <w:softHyphen/>
        <w:t>левой гаубицы М-30 был принят на вооружение бронебойный кумулятивный снаряд, на испытаниях пробивавший бо</w:t>
      </w:r>
      <w:r w:rsidRPr="00D03F3E">
        <w:rPr>
          <w:rFonts w:ascii="Times New Roman" w:hAnsi="Times New Roman"/>
          <w:color w:val="000000" w:themeColor="text1"/>
          <w:sz w:val="16"/>
          <w:szCs w:val="16"/>
        </w:rPr>
        <w:softHyphen/>
        <w:t>лее 100 мм брони. Танковая же гаубица У-11 имела точно такую же баллистику, и для стрельбы из нее использовались та</w:t>
      </w:r>
      <w:r w:rsidRPr="00D03F3E">
        <w:rPr>
          <w:rFonts w:ascii="Times New Roman" w:hAnsi="Times New Roman"/>
          <w:color w:val="000000" w:themeColor="text1"/>
          <w:sz w:val="16"/>
          <w:szCs w:val="16"/>
        </w:rPr>
        <w:softHyphen/>
        <w:t>кие же боеприпасы. В свете появления на фронте нового тяжелого танка «Тигр» все это было более чем актуально. Впро</w:t>
      </w:r>
      <w:r w:rsidRPr="00D03F3E">
        <w:rPr>
          <w:rFonts w:ascii="Times New Roman" w:hAnsi="Times New Roman"/>
          <w:color w:val="000000" w:themeColor="text1"/>
          <w:sz w:val="16"/>
          <w:szCs w:val="16"/>
        </w:rPr>
        <w:softHyphen/>
        <w:t>чем, и танкостроителей, и военных жда</w:t>
      </w:r>
      <w:r w:rsidRPr="00D03F3E">
        <w:rPr>
          <w:rFonts w:ascii="Times New Roman" w:hAnsi="Times New Roman"/>
          <w:color w:val="000000" w:themeColor="text1"/>
          <w:sz w:val="16"/>
          <w:szCs w:val="16"/>
        </w:rPr>
        <w:softHyphen/>
        <w:t>ло разочарование. В апреле 1943 года проводились испытания обстрелом из 122-мм гаубицы М-30 корпуса трофейно</w:t>
      </w:r>
      <w:r w:rsidRPr="00D03F3E">
        <w:rPr>
          <w:rFonts w:ascii="Times New Roman" w:hAnsi="Times New Roman"/>
          <w:color w:val="000000" w:themeColor="text1"/>
          <w:sz w:val="16"/>
          <w:szCs w:val="16"/>
        </w:rPr>
        <w:softHyphen/>
        <w:t>го танка «Тигр». Было произведено 15 выстрелов с дистанции 400 — 600 м, и... ни одного попадания. Работы над пяти- катковыми ИСами свернули в пользу шестикатковых.</w:t>
      </w:r>
    </w:p>
    <w:p w14:paraId="21B33BAA" w14:textId="77777777" w:rsidR="009477D6" w:rsidRPr="00D03F3E" w:rsidRDefault="009477D6"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апреле 1943 года проводились испытания обстрелом из 122-мм гаубицы М-30 корпуса трофейно</w:t>
      </w:r>
      <w:r w:rsidRPr="00D03F3E">
        <w:rPr>
          <w:rFonts w:ascii="Times New Roman" w:cs="Times New Roman"/>
          <w:color w:val="000000" w:themeColor="text1"/>
          <w:spacing w:val="0"/>
        </w:rPr>
        <w:softHyphen/>
        <w:t>го танка «Тигр». Было произведено 15 выстрелов с дистанции 400 — 600 м, и ни одного попадания (15232).</w:t>
      </w:r>
    </w:p>
    <w:p w14:paraId="7404A778" w14:textId="77777777" w:rsidR="009477D6" w:rsidRPr="00D03F3E" w:rsidRDefault="009477D6" w:rsidP="00D03F3E">
      <w:pPr>
        <w:pStyle w:val="27"/>
        <w:shd w:val="clear" w:color="auto" w:fill="auto"/>
        <w:spacing w:after="0" w:line="240" w:lineRule="auto"/>
        <w:ind w:firstLine="0"/>
        <w:rPr>
          <w:rFonts w:ascii="Times New Roman" w:cs="Times New Roman"/>
          <w:color w:val="000000" w:themeColor="text1"/>
          <w:spacing w:val="0"/>
        </w:rPr>
      </w:pPr>
    </w:p>
    <w:p w14:paraId="7199A811" w14:textId="77777777" w:rsidR="009477D6" w:rsidRPr="00D03F3E" w:rsidRDefault="009477D6"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Весной 1943 года, когда по распоря</w:t>
      </w:r>
      <w:r w:rsidRPr="00D03F3E">
        <w:rPr>
          <w:rFonts w:ascii="Times New Roman" w:cs="Times New Roman"/>
          <w:color w:val="000000" w:themeColor="text1"/>
          <w:spacing w:val="0"/>
        </w:rPr>
        <w:softHyphen/>
        <w:t>жению И.В.Сталина артиллерийские КБ приступили к разработке 152-мм гауби</w:t>
      </w:r>
      <w:r w:rsidRPr="00D03F3E">
        <w:rPr>
          <w:rFonts w:ascii="Times New Roman" w:cs="Times New Roman"/>
          <w:color w:val="000000" w:themeColor="text1"/>
          <w:spacing w:val="0"/>
        </w:rPr>
        <w:softHyphen/>
        <w:t>цы для вооружения тяжелого танка, была предпринята последняя попытка создания совет</w:t>
      </w:r>
      <w:r w:rsidRPr="00D03F3E">
        <w:rPr>
          <w:rFonts w:ascii="Times New Roman" w:cs="Times New Roman"/>
          <w:color w:val="000000" w:themeColor="text1"/>
          <w:spacing w:val="0"/>
        </w:rPr>
        <w:softHyphen/>
        <w:t>ского штурмового танка. Ос</w:t>
      </w:r>
      <w:r w:rsidRPr="00D03F3E">
        <w:rPr>
          <w:rFonts w:ascii="Times New Roman" w:cs="Times New Roman"/>
          <w:color w:val="000000" w:themeColor="text1"/>
          <w:spacing w:val="0"/>
        </w:rPr>
        <w:softHyphen/>
        <w:t>новной задачей, которую предстояло ре</w:t>
      </w:r>
      <w:r w:rsidRPr="00D03F3E">
        <w:rPr>
          <w:rFonts w:ascii="Times New Roman" w:cs="Times New Roman"/>
          <w:color w:val="000000" w:themeColor="text1"/>
          <w:spacing w:val="0"/>
        </w:rPr>
        <w:softHyphen/>
        <w:t xml:space="preserve">шить, была установка гаубицы в штатной башне тяжелого танка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Как и во многих других случаях, в конкурентной борьбе схлестнулись КБ завода №9 и ЦАКБ. Первое решило установить в танк уже рекомендованную к принятию на во</w:t>
      </w:r>
      <w:r w:rsidRPr="00D03F3E">
        <w:rPr>
          <w:rFonts w:ascii="Times New Roman" w:cs="Times New Roman"/>
          <w:color w:val="000000" w:themeColor="text1"/>
          <w:spacing w:val="0"/>
        </w:rPr>
        <w:softHyphen/>
        <w:t>оружение 152-мм гаубицу Д-1, разумеет</w:t>
      </w:r>
      <w:r w:rsidRPr="00D03F3E">
        <w:rPr>
          <w:rFonts w:ascii="Times New Roman" w:cs="Times New Roman"/>
          <w:color w:val="000000" w:themeColor="text1"/>
          <w:spacing w:val="0"/>
        </w:rPr>
        <w:softHyphen/>
        <w:t>ся, переделав ее для этой цели. Ствол га</w:t>
      </w:r>
      <w:r w:rsidRPr="00D03F3E">
        <w:rPr>
          <w:rFonts w:ascii="Times New Roman" w:cs="Times New Roman"/>
          <w:color w:val="000000" w:themeColor="text1"/>
          <w:spacing w:val="0"/>
        </w:rPr>
        <w:softHyphen/>
        <w:t>убицы наложили на люльку 85-мм пушки Д-5. В итоге получилась новая танковая гаубица Д-1-5 (или Д-15), которая ус</w:t>
      </w:r>
      <w:r w:rsidRPr="00D03F3E">
        <w:rPr>
          <w:rFonts w:ascii="Times New Roman" w:cs="Times New Roman"/>
          <w:color w:val="000000" w:themeColor="text1"/>
          <w:spacing w:val="0"/>
        </w:rPr>
        <w:softHyphen/>
        <w:t>пешно прошла испытания. Однако ин</w:t>
      </w:r>
      <w:r w:rsidRPr="00D03F3E">
        <w:rPr>
          <w:rFonts w:ascii="Times New Roman" w:cs="Times New Roman"/>
          <w:color w:val="000000" w:themeColor="text1"/>
          <w:spacing w:val="0"/>
        </w:rPr>
        <w:softHyphen/>
        <w:t xml:space="preserve">формации о том, устанавливалась ли она в башне танка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нет. А вот 152-мм гаубипа С-41, разрабо</w:t>
      </w:r>
      <w:r w:rsidRPr="00D03F3E">
        <w:rPr>
          <w:rFonts w:ascii="Times New Roman" w:cs="Times New Roman"/>
          <w:color w:val="000000" w:themeColor="text1"/>
          <w:spacing w:val="0"/>
        </w:rPr>
        <w:softHyphen/>
        <w:t>танная в ЦАКБ, была установлена в КВ- 1С в августе 1943 года. Особенностью этого орудия было то, что оно представ</w:t>
      </w:r>
      <w:r w:rsidRPr="00D03F3E">
        <w:rPr>
          <w:rFonts w:ascii="Times New Roman" w:cs="Times New Roman"/>
          <w:color w:val="000000" w:themeColor="text1"/>
          <w:spacing w:val="0"/>
        </w:rPr>
        <w:softHyphen/>
        <w:t>ляло собой дуплекс из 122-мм и 152-мм гаубиц. Отличия заключались в трубе ствола, затворе и конструкции дульного тормоза. Правда, при размещении С-41 в танке для удобства работы экипажа при</w:t>
      </w:r>
      <w:r w:rsidRPr="00D03F3E">
        <w:rPr>
          <w:rFonts w:ascii="Times New Roman" w:cs="Times New Roman"/>
          <w:color w:val="000000" w:themeColor="text1"/>
          <w:spacing w:val="0"/>
        </w:rPr>
        <w:softHyphen/>
        <w:t>шлось сделать на крыше башни клино</w:t>
      </w:r>
      <w:r w:rsidRPr="00D03F3E">
        <w:rPr>
          <w:rFonts w:ascii="Times New Roman" w:cs="Times New Roman"/>
          <w:color w:val="000000" w:themeColor="text1"/>
          <w:spacing w:val="0"/>
        </w:rPr>
        <w:softHyphen/>
        <w:t xml:space="preserve">видный поперечный выступ. В августе 1943 года танк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с гаубицей С-41 был продемонстрирован К.Е.Ворошило</w:t>
      </w:r>
      <w:r w:rsidRPr="00D03F3E">
        <w:rPr>
          <w:rFonts w:ascii="Times New Roman" w:cs="Times New Roman"/>
          <w:color w:val="000000" w:themeColor="text1"/>
          <w:spacing w:val="0"/>
        </w:rPr>
        <w:softHyphen/>
        <w:t>ву во время его посещения ЦАКБ (15232).</w:t>
      </w:r>
    </w:p>
    <w:p w14:paraId="2ED18F96" w14:textId="77777777" w:rsidR="009477D6" w:rsidRPr="00D03F3E" w:rsidRDefault="009477D6" w:rsidP="00D03F3E">
      <w:pPr>
        <w:pStyle w:val="27"/>
        <w:shd w:val="clear" w:color="auto" w:fill="auto"/>
        <w:spacing w:after="0" w:line="240" w:lineRule="auto"/>
        <w:ind w:firstLine="0"/>
        <w:rPr>
          <w:rFonts w:ascii="Times New Roman" w:cs="Times New Roman"/>
          <w:color w:val="000000" w:themeColor="text1"/>
          <w:spacing w:val="0"/>
        </w:rPr>
      </w:pPr>
    </w:p>
    <w:p w14:paraId="387E2743" w14:textId="77777777" w:rsidR="00B610FB" w:rsidRPr="00D03F3E" w:rsidRDefault="00B610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Весной 1943 появился проект, который базировался на переработанном по предложению Техническо</w:t>
      </w:r>
      <w:r w:rsidRPr="00D03F3E">
        <w:rPr>
          <w:rFonts w:ascii="Times New Roman" w:hAnsi="Times New Roman"/>
          <w:color w:val="000000" w:themeColor="text1"/>
          <w:sz w:val="16"/>
          <w:szCs w:val="16"/>
        </w:rPr>
        <w:softHyphen/>
        <w:t>го совета НКВ варианте ЗИК-20. САУ получила кормовой люк, теле</w:t>
      </w:r>
      <w:r w:rsidRPr="00D03F3E">
        <w:rPr>
          <w:rFonts w:ascii="Times New Roman" w:hAnsi="Times New Roman"/>
          <w:color w:val="000000" w:themeColor="text1"/>
          <w:sz w:val="16"/>
          <w:szCs w:val="16"/>
        </w:rPr>
        <w:softHyphen/>
        <w:t xml:space="preserve">скопический прицел, боеукладку на полу в один слой и командирскую башенку от </w:t>
      </w:r>
      <w:r w:rsidRPr="00D03F3E">
        <w:rPr>
          <w:rFonts w:ascii="Times New Roman" w:hAnsi="Times New Roman"/>
          <w:color w:val="000000" w:themeColor="text1"/>
          <w:sz w:val="16"/>
          <w:szCs w:val="16"/>
          <w:lang w:val="en-US"/>
        </w:rPr>
        <w:t>KB</w:t>
      </w:r>
      <w:r w:rsidRPr="00D03F3E">
        <w:rPr>
          <w:rFonts w:ascii="Times New Roman" w:hAnsi="Times New Roman"/>
          <w:color w:val="000000" w:themeColor="text1"/>
          <w:sz w:val="16"/>
          <w:szCs w:val="16"/>
        </w:rPr>
        <w:t xml:space="preserve">-1С. Кроме того, проект установки БР-2 включал в себя ТТХ ЗИК-20 не только на базе КВ-1, но и на базе </w:t>
      </w:r>
      <w:r w:rsidRPr="00D03F3E">
        <w:rPr>
          <w:rFonts w:ascii="Times New Roman" w:hAnsi="Times New Roman"/>
          <w:color w:val="000000" w:themeColor="text1"/>
          <w:sz w:val="16"/>
          <w:szCs w:val="16"/>
          <w:lang w:val="en-US"/>
        </w:rPr>
        <w:t>KB</w:t>
      </w:r>
      <w:r w:rsidRPr="00D03F3E">
        <w:rPr>
          <w:rFonts w:ascii="Times New Roman" w:hAnsi="Times New Roman"/>
          <w:color w:val="000000" w:themeColor="text1"/>
          <w:sz w:val="16"/>
          <w:szCs w:val="16"/>
        </w:rPr>
        <w:t>-1С:</w:t>
      </w:r>
    </w:p>
    <w:p w14:paraId="5AB510E7" w14:textId="77777777" w:rsidR="00B610FB" w:rsidRPr="00D03F3E" w:rsidRDefault="00B610FB"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«1. Техсоввтом Наркомата Вооружения и Арткомом ГАУ КА ут</w:t>
      </w:r>
      <w:r w:rsidRPr="00D03F3E">
        <w:rPr>
          <w:rStyle w:val="Bodytext145"/>
          <w:i w:val="0"/>
          <w:iCs w:val="0"/>
          <w:color w:val="000000" w:themeColor="text1"/>
          <w:sz w:val="16"/>
          <w:szCs w:val="16"/>
        </w:rPr>
        <w:softHyphen/>
        <w:t xml:space="preserve">вержден проект ЗИК-20 установки 152-мм гаубицы-пушки обр. 1937 года МЛ-20 в танке </w:t>
      </w:r>
      <w:r w:rsidRPr="00D03F3E">
        <w:rPr>
          <w:rStyle w:val="Bodytext145"/>
          <w:i w:val="0"/>
          <w:iCs w:val="0"/>
          <w:color w:val="000000" w:themeColor="text1"/>
          <w:sz w:val="16"/>
          <w:szCs w:val="16"/>
          <w:lang w:val="en-US"/>
        </w:rPr>
        <w:t>KB</w:t>
      </w:r>
      <w:r w:rsidRPr="00D03F3E">
        <w:rPr>
          <w:rStyle w:val="Bodytext145"/>
          <w:i w:val="0"/>
          <w:iCs w:val="0"/>
          <w:color w:val="000000" w:themeColor="text1"/>
          <w:sz w:val="16"/>
          <w:szCs w:val="16"/>
        </w:rPr>
        <w:t xml:space="preserve"> с невращающейся (приварной) баш</w:t>
      </w:r>
      <w:r w:rsidRPr="00D03F3E">
        <w:rPr>
          <w:rStyle w:val="Bodytext145"/>
          <w:i w:val="0"/>
          <w:iCs w:val="0"/>
          <w:color w:val="000000" w:themeColor="text1"/>
          <w:sz w:val="16"/>
          <w:szCs w:val="16"/>
        </w:rPr>
        <w:softHyphen/>
        <w:t>ней. Разработка чертежей этой установки подходит к концу.</w:t>
      </w:r>
    </w:p>
    <w:p w14:paraId="6F564668" w14:textId="77777777" w:rsidR="00B610FB" w:rsidRPr="00D03F3E" w:rsidRDefault="00B610FB"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Если осуществить наложение 152-мм пушки БР-2 на лафет МЛ-20, то без особых переделок на ту же люльку МЛ-20 можно легко на</w:t>
      </w:r>
      <w:r w:rsidRPr="00D03F3E">
        <w:rPr>
          <w:rStyle w:val="Bodytext145"/>
          <w:i w:val="0"/>
          <w:iCs w:val="0"/>
          <w:color w:val="000000" w:themeColor="text1"/>
          <w:sz w:val="16"/>
          <w:szCs w:val="16"/>
        </w:rPr>
        <w:softHyphen/>
        <w:t>ложить ствол пушки БР-2 с дульным тормозом из броневой стали.</w:t>
      </w:r>
    </w:p>
    <w:p w14:paraId="5BD7F17A" w14:textId="77777777" w:rsidR="00B610FB" w:rsidRPr="00D03F3E" w:rsidRDefault="00B610FB"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В стволе приходится переделать только литой казенник, вес которого увеличивается и наружные очертания по распределению веса меняются, как в целях получения самоуравновешивания, так и обеспечения нужных углов отстрела.</w:t>
      </w:r>
    </w:p>
    <w:p w14:paraId="0657AC2B" w14:textId="77777777" w:rsidR="00B610FB" w:rsidRPr="00D03F3E" w:rsidRDefault="00B610FB"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В тормозе отката, по сравнению с танковой МЛ-20, меняется только профиль веретена.</w:t>
      </w:r>
    </w:p>
    <w:p w14:paraId="6C748EBD" w14:textId="77777777" w:rsidR="00B610FB" w:rsidRPr="00D03F3E" w:rsidRDefault="00B610FB"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2. В результате такой установки появится самоходное орудие со сле</w:t>
      </w:r>
      <w:r w:rsidRPr="00D03F3E">
        <w:rPr>
          <w:rStyle w:val="Bodytext145"/>
          <w:i w:val="0"/>
          <w:iCs w:val="0"/>
          <w:color w:val="000000" w:themeColor="text1"/>
          <w:sz w:val="16"/>
          <w:szCs w:val="16"/>
        </w:rPr>
        <w:softHyphen/>
        <w:t>дующими характеристиками: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506"/>
        <w:gridCol w:w="1992"/>
        <w:gridCol w:w="2544"/>
        <w:gridCol w:w="2554"/>
      </w:tblGrid>
      <w:tr w:rsidR="00860B4B" w:rsidRPr="00D03F3E" w14:paraId="7D0FBD45" w14:textId="77777777" w:rsidTr="00C81444">
        <w:trPr>
          <w:trHeight w:val="557"/>
        </w:trPr>
        <w:tc>
          <w:tcPr>
            <w:tcW w:w="2506" w:type="dxa"/>
            <w:shd w:val="clear" w:color="auto" w:fill="FFFFFF"/>
          </w:tcPr>
          <w:p w14:paraId="4E94CD70" w14:textId="77777777" w:rsidR="00B610FB" w:rsidRPr="00D03F3E" w:rsidRDefault="00B610FB" w:rsidP="00D03F3E">
            <w:pPr>
              <w:pStyle w:val="Bodytext311"/>
              <w:shd w:val="clear" w:color="auto" w:fill="auto"/>
              <w:spacing w:line="240" w:lineRule="auto"/>
              <w:rPr>
                <w:b w:val="0"/>
                <w:color w:val="000000" w:themeColor="text1"/>
                <w:sz w:val="16"/>
                <w:szCs w:val="16"/>
              </w:rPr>
            </w:pPr>
            <w:r w:rsidRPr="00D03F3E">
              <w:rPr>
                <w:b w:val="0"/>
                <w:color w:val="000000" w:themeColor="text1"/>
                <w:sz w:val="16"/>
                <w:szCs w:val="16"/>
              </w:rPr>
              <w:t>Название характеристики</w:t>
            </w:r>
          </w:p>
        </w:tc>
        <w:tc>
          <w:tcPr>
            <w:tcW w:w="1992" w:type="dxa"/>
            <w:shd w:val="clear" w:color="auto" w:fill="FFFFFF"/>
          </w:tcPr>
          <w:p w14:paraId="3D9A275E" w14:textId="77777777" w:rsidR="00B610FB" w:rsidRPr="00D03F3E" w:rsidRDefault="00B610FB" w:rsidP="00D03F3E">
            <w:pPr>
              <w:pStyle w:val="Bodytext311"/>
              <w:shd w:val="clear" w:color="auto" w:fill="auto"/>
              <w:spacing w:line="240" w:lineRule="auto"/>
              <w:rPr>
                <w:b w:val="0"/>
                <w:color w:val="000000" w:themeColor="text1"/>
                <w:sz w:val="16"/>
                <w:szCs w:val="16"/>
              </w:rPr>
            </w:pPr>
            <w:r w:rsidRPr="00D03F3E">
              <w:rPr>
                <w:b w:val="0"/>
                <w:color w:val="000000" w:themeColor="text1"/>
                <w:sz w:val="16"/>
                <w:szCs w:val="16"/>
              </w:rPr>
              <w:t>Тактико-технические требования ГАУ</w:t>
            </w:r>
          </w:p>
        </w:tc>
        <w:tc>
          <w:tcPr>
            <w:tcW w:w="2544" w:type="dxa"/>
            <w:shd w:val="clear" w:color="auto" w:fill="FFFFFF"/>
          </w:tcPr>
          <w:p w14:paraId="5DE50748" w14:textId="77777777" w:rsidR="00B610FB" w:rsidRPr="00D03F3E" w:rsidRDefault="00B610FB" w:rsidP="00D03F3E">
            <w:pPr>
              <w:pStyle w:val="Bodytext311"/>
              <w:shd w:val="clear" w:color="auto" w:fill="auto"/>
              <w:spacing w:line="240" w:lineRule="auto"/>
              <w:rPr>
                <w:b w:val="0"/>
                <w:color w:val="000000" w:themeColor="text1"/>
                <w:sz w:val="16"/>
                <w:szCs w:val="16"/>
              </w:rPr>
            </w:pPr>
            <w:r w:rsidRPr="00D03F3E">
              <w:rPr>
                <w:b w:val="0"/>
                <w:color w:val="000000" w:themeColor="text1"/>
                <w:sz w:val="16"/>
                <w:szCs w:val="16"/>
              </w:rPr>
              <w:t>152 мм гаубица-пушка обр. 1937 года МЛ-20</w:t>
            </w:r>
          </w:p>
        </w:tc>
        <w:tc>
          <w:tcPr>
            <w:tcW w:w="2554" w:type="dxa"/>
            <w:shd w:val="clear" w:color="auto" w:fill="FFFFFF"/>
          </w:tcPr>
          <w:p w14:paraId="36552F98" w14:textId="77777777" w:rsidR="00B610FB" w:rsidRPr="00D03F3E" w:rsidRDefault="00B610FB" w:rsidP="00D03F3E">
            <w:pPr>
              <w:pStyle w:val="Bodytext311"/>
              <w:shd w:val="clear" w:color="auto" w:fill="auto"/>
              <w:spacing w:line="240" w:lineRule="auto"/>
              <w:rPr>
                <w:b w:val="0"/>
                <w:color w:val="000000" w:themeColor="text1"/>
                <w:sz w:val="16"/>
                <w:szCs w:val="16"/>
              </w:rPr>
            </w:pPr>
            <w:r w:rsidRPr="00D03F3E">
              <w:rPr>
                <w:b w:val="0"/>
                <w:color w:val="000000" w:themeColor="text1"/>
                <w:sz w:val="16"/>
                <w:szCs w:val="16"/>
              </w:rPr>
              <w:t>152 мм пушка обр. 1935 года БР-2</w:t>
            </w:r>
          </w:p>
        </w:tc>
      </w:tr>
      <w:tr w:rsidR="00860B4B" w:rsidRPr="00D03F3E" w14:paraId="2AC12097" w14:textId="77777777" w:rsidTr="00C81444">
        <w:trPr>
          <w:trHeight w:val="336"/>
        </w:trPr>
        <w:tc>
          <w:tcPr>
            <w:tcW w:w="2506" w:type="dxa"/>
            <w:shd w:val="clear" w:color="auto" w:fill="FFFFFF"/>
          </w:tcPr>
          <w:p w14:paraId="5FDD0536"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I. Калибр, мм</w:t>
            </w:r>
          </w:p>
        </w:tc>
        <w:tc>
          <w:tcPr>
            <w:tcW w:w="1992" w:type="dxa"/>
            <w:shd w:val="clear" w:color="auto" w:fill="FFFFFF"/>
          </w:tcPr>
          <w:p w14:paraId="3D1DE047"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152</w:t>
            </w:r>
          </w:p>
        </w:tc>
        <w:tc>
          <w:tcPr>
            <w:tcW w:w="2544" w:type="dxa"/>
            <w:shd w:val="clear" w:color="auto" w:fill="FFFFFF"/>
          </w:tcPr>
          <w:p w14:paraId="3E31E0B4"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152</w:t>
            </w:r>
          </w:p>
        </w:tc>
        <w:tc>
          <w:tcPr>
            <w:tcW w:w="2554" w:type="dxa"/>
            <w:shd w:val="clear" w:color="auto" w:fill="FFFFFF"/>
          </w:tcPr>
          <w:p w14:paraId="1A863C39"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152</w:t>
            </w:r>
          </w:p>
        </w:tc>
      </w:tr>
      <w:tr w:rsidR="00860B4B" w:rsidRPr="00D03F3E" w14:paraId="1FEF0BB2" w14:textId="77777777" w:rsidTr="00C81444">
        <w:trPr>
          <w:trHeight w:val="341"/>
        </w:trPr>
        <w:tc>
          <w:tcPr>
            <w:tcW w:w="2506" w:type="dxa"/>
            <w:shd w:val="clear" w:color="auto" w:fill="FFFFFF"/>
          </w:tcPr>
          <w:p w14:paraId="4E0BF814"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2. Вес снаряда, кг</w:t>
            </w:r>
          </w:p>
        </w:tc>
        <w:tc>
          <w:tcPr>
            <w:tcW w:w="1992" w:type="dxa"/>
            <w:shd w:val="clear" w:color="auto" w:fill="FFFFFF"/>
          </w:tcPr>
          <w:p w14:paraId="3C38EC16"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49</w:t>
            </w:r>
          </w:p>
        </w:tc>
        <w:tc>
          <w:tcPr>
            <w:tcW w:w="2544" w:type="dxa"/>
            <w:shd w:val="clear" w:color="auto" w:fill="FFFFFF"/>
          </w:tcPr>
          <w:p w14:paraId="6EC5D325"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43,5</w:t>
            </w:r>
          </w:p>
        </w:tc>
        <w:tc>
          <w:tcPr>
            <w:tcW w:w="2554" w:type="dxa"/>
            <w:shd w:val="clear" w:color="auto" w:fill="FFFFFF"/>
          </w:tcPr>
          <w:p w14:paraId="36421366"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49</w:t>
            </w:r>
          </w:p>
        </w:tc>
      </w:tr>
      <w:tr w:rsidR="00860B4B" w:rsidRPr="00D03F3E" w14:paraId="21288FC4" w14:textId="77777777" w:rsidTr="00C81444">
        <w:trPr>
          <w:trHeight w:val="341"/>
        </w:trPr>
        <w:tc>
          <w:tcPr>
            <w:tcW w:w="2506" w:type="dxa"/>
            <w:shd w:val="clear" w:color="auto" w:fill="FFFFFF"/>
          </w:tcPr>
          <w:p w14:paraId="30A064C3"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3. Начальная скорость, м/с</w:t>
            </w:r>
          </w:p>
        </w:tc>
        <w:tc>
          <w:tcPr>
            <w:tcW w:w="1992" w:type="dxa"/>
            <w:shd w:val="clear" w:color="auto" w:fill="FFFFFF"/>
          </w:tcPr>
          <w:p w14:paraId="1446500E"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880</w:t>
            </w:r>
          </w:p>
        </w:tc>
        <w:tc>
          <w:tcPr>
            <w:tcW w:w="2544" w:type="dxa"/>
            <w:shd w:val="clear" w:color="auto" w:fill="FFFFFF"/>
          </w:tcPr>
          <w:p w14:paraId="6879D9F0"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600</w:t>
            </w:r>
          </w:p>
        </w:tc>
        <w:tc>
          <w:tcPr>
            <w:tcW w:w="2554" w:type="dxa"/>
            <w:shd w:val="clear" w:color="auto" w:fill="FFFFFF"/>
          </w:tcPr>
          <w:p w14:paraId="25AAB683"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880</w:t>
            </w:r>
          </w:p>
        </w:tc>
      </w:tr>
      <w:tr w:rsidR="00860B4B" w:rsidRPr="00D03F3E" w14:paraId="1BDB10EA" w14:textId="77777777" w:rsidTr="00C81444">
        <w:trPr>
          <w:trHeight w:val="341"/>
        </w:trPr>
        <w:tc>
          <w:tcPr>
            <w:tcW w:w="2506" w:type="dxa"/>
            <w:shd w:val="clear" w:color="auto" w:fill="FFFFFF"/>
          </w:tcPr>
          <w:p w14:paraId="2C201351"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4. Тип заряжания</w:t>
            </w:r>
          </w:p>
        </w:tc>
        <w:tc>
          <w:tcPr>
            <w:tcW w:w="1992" w:type="dxa"/>
            <w:shd w:val="clear" w:color="auto" w:fill="FFFFFF"/>
          </w:tcPr>
          <w:p w14:paraId="6591DE58"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картузное</w:t>
            </w:r>
          </w:p>
        </w:tc>
        <w:tc>
          <w:tcPr>
            <w:tcW w:w="2544" w:type="dxa"/>
            <w:shd w:val="clear" w:color="auto" w:fill="FFFFFF"/>
          </w:tcPr>
          <w:p w14:paraId="280BC098"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раздельное заряжание</w:t>
            </w:r>
          </w:p>
        </w:tc>
        <w:tc>
          <w:tcPr>
            <w:tcW w:w="2554" w:type="dxa"/>
            <w:shd w:val="clear" w:color="auto" w:fill="FFFFFF"/>
          </w:tcPr>
          <w:p w14:paraId="65E84CE6"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картузное</w:t>
            </w:r>
          </w:p>
        </w:tc>
      </w:tr>
      <w:tr w:rsidR="00860B4B" w:rsidRPr="00D03F3E" w14:paraId="7AF46921" w14:textId="77777777" w:rsidTr="00C81444">
        <w:trPr>
          <w:trHeight w:val="1133"/>
        </w:trPr>
        <w:tc>
          <w:tcPr>
            <w:tcW w:w="2506" w:type="dxa"/>
            <w:shd w:val="clear" w:color="auto" w:fill="FFFFFF"/>
          </w:tcPr>
          <w:p w14:paraId="3E249010"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5. Вес всей самоход</w:t>
            </w:r>
            <w:r w:rsidRPr="00D03F3E">
              <w:rPr>
                <w:rStyle w:val="Bodytext32"/>
                <w:b w:val="0"/>
                <w:color w:val="000000" w:themeColor="text1"/>
              </w:rPr>
              <w:softHyphen/>
              <w:t>ной установки с ис</w:t>
            </w:r>
            <w:r w:rsidRPr="00D03F3E">
              <w:rPr>
                <w:rStyle w:val="Bodytext32"/>
                <w:b w:val="0"/>
                <w:color w:val="000000" w:themeColor="text1"/>
              </w:rPr>
              <w:softHyphen/>
              <w:t>пользованием:</w:t>
            </w:r>
          </w:p>
          <w:p w14:paraId="1BB7925A" w14:textId="77777777" w:rsidR="00B610FB" w:rsidRPr="00D03F3E" w:rsidRDefault="00B610FB" w:rsidP="00D03F3E">
            <w:pPr>
              <w:pStyle w:val="Bodytext312"/>
              <w:shd w:val="clear" w:color="auto" w:fill="auto"/>
              <w:tabs>
                <w:tab w:val="left" w:pos="387"/>
              </w:tabs>
              <w:spacing w:line="240" w:lineRule="auto"/>
              <w:ind w:firstLine="0"/>
              <w:jc w:val="both"/>
              <w:rPr>
                <w:b w:val="0"/>
                <w:color w:val="000000" w:themeColor="text1"/>
              </w:rPr>
            </w:pPr>
            <w:r w:rsidRPr="00D03F3E">
              <w:rPr>
                <w:rStyle w:val="Bodytext32"/>
                <w:b w:val="0"/>
                <w:color w:val="000000" w:themeColor="text1"/>
              </w:rPr>
              <w:t>а)</w:t>
            </w:r>
            <w:r w:rsidRPr="00D03F3E">
              <w:rPr>
                <w:rStyle w:val="Bodytext32"/>
                <w:b w:val="0"/>
                <w:color w:val="000000" w:themeColor="text1"/>
              </w:rPr>
              <w:tab/>
              <w:t xml:space="preserve">танка </w:t>
            </w:r>
            <w:r w:rsidRPr="00D03F3E">
              <w:rPr>
                <w:rStyle w:val="Bodytext32"/>
                <w:b w:val="0"/>
                <w:color w:val="000000" w:themeColor="text1"/>
                <w:lang w:val="en-US"/>
              </w:rPr>
              <w:t>KB</w:t>
            </w:r>
          </w:p>
          <w:p w14:paraId="6C7646AF" w14:textId="77777777" w:rsidR="00B610FB" w:rsidRPr="00D03F3E" w:rsidRDefault="00B610FB" w:rsidP="00D03F3E">
            <w:pPr>
              <w:pStyle w:val="Bodytext312"/>
              <w:shd w:val="clear" w:color="auto" w:fill="auto"/>
              <w:tabs>
                <w:tab w:val="left" w:pos="397"/>
              </w:tabs>
              <w:spacing w:line="240" w:lineRule="auto"/>
              <w:ind w:firstLine="0"/>
              <w:jc w:val="both"/>
              <w:rPr>
                <w:b w:val="0"/>
                <w:color w:val="000000" w:themeColor="text1"/>
              </w:rPr>
            </w:pPr>
            <w:r w:rsidRPr="00D03F3E">
              <w:rPr>
                <w:rStyle w:val="Bodytext32"/>
                <w:b w:val="0"/>
                <w:color w:val="000000" w:themeColor="text1"/>
              </w:rPr>
              <w:t>б)</w:t>
            </w:r>
            <w:r w:rsidRPr="00D03F3E">
              <w:rPr>
                <w:rStyle w:val="Bodytext32"/>
                <w:b w:val="0"/>
                <w:color w:val="000000" w:themeColor="text1"/>
              </w:rPr>
              <w:tab/>
              <w:t xml:space="preserve">танка </w:t>
            </w:r>
            <w:r w:rsidRPr="00D03F3E">
              <w:rPr>
                <w:rStyle w:val="Bodytext32"/>
                <w:b w:val="0"/>
                <w:color w:val="000000" w:themeColor="text1"/>
                <w:lang w:val="en-US"/>
              </w:rPr>
              <w:t>KB</w:t>
            </w:r>
            <w:r w:rsidRPr="00D03F3E">
              <w:rPr>
                <w:rStyle w:val="Bodytext32"/>
                <w:b w:val="0"/>
                <w:color w:val="000000" w:themeColor="text1"/>
              </w:rPr>
              <w:t>-1С</w:t>
            </w:r>
          </w:p>
        </w:tc>
        <w:tc>
          <w:tcPr>
            <w:tcW w:w="1992" w:type="dxa"/>
            <w:shd w:val="clear" w:color="auto" w:fill="FFFFFF"/>
          </w:tcPr>
          <w:p w14:paraId="10828610"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Не свыше 65 тонн Не свыше 65 тонн</w:t>
            </w:r>
          </w:p>
        </w:tc>
        <w:tc>
          <w:tcPr>
            <w:tcW w:w="2544" w:type="dxa"/>
            <w:shd w:val="clear" w:color="auto" w:fill="FFFFFF"/>
          </w:tcPr>
          <w:p w14:paraId="7A5DC93C"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53 тонны 46 тонн</w:t>
            </w:r>
          </w:p>
        </w:tc>
        <w:tc>
          <w:tcPr>
            <w:tcW w:w="2554" w:type="dxa"/>
            <w:shd w:val="clear" w:color="auto" w:fill="FFFFFF"/>
          </w:tcPr>
          <w:p w14:paraId="7AFDF030"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55 тонн 48 тонн</w:t>
            </w:r>
          </w:p>
        </w:tc>
      </w:tr>
      <w:tr w:rsidR="00860B4B" w:rsidRPr="00D03F3E" w14:paraId="7CABD3C9" w14:textId="77777777" w:rsidTr="00C81444">
        <w:trPr>
          <w:trHeight w:val="341"/>
        </w:trPr>
        <w:tc>
          <w:tcPr>
            <w:tcW w:w="2506" w:type="dxa"/>
            <w:shd w:val="clear" w:color="auto" w:fill="FFFFFF"/>
          </w:tcPr>
          <w:p w14:paraId="0D721565"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6. Количество снарядов</w:t>
            </w:r>
          </w:p>
        </w:tc>
        <w:tc>
          <w:tcPr>
            <w:tcW w:w="1992" w:type="dxa"/>
            <w:shd w:val="clear" w:color="auto" w:fill="FFFFFF"/>
          </w:tcPr>
          <w:p w14:paraId="6CAB87A6"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47 шт.</w:t>
            </w:r>
          </w:p>
        </w:tc>
        <w:tc>
          <w:tcPr>
            <w:tcW w:w="2544" w:type="dxa"/>
            <w:shd w:val="clear" w:color="auto" w:fill="FFFFFF"/>
          </w:tcPr>
          <w:p w14:paraId="0B7FE1D8"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30-40 шт.</w:t>
            </w:r>
          </w:p>
        </w:tc>
        <w:tc>
          <w:tcPr>
            <w:tcW w:w="2554" w:type="dxa"/>
            <w:shd w:val="clear" w:color="auto" w:fill="FFFFFF"/>
          </w:tcPr>
          <w:p w14:paraId="4407DCBB"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40-47 шт.</w:t>
            </w:r>
          </w:p>
        </w:tc>
      </w:tr>
      <w:tr w:rsidR="00860B4B" w:rsidRPr="00D03F3E" w14:paraId="7EAB4A7F" w14:textId="77777777" w:rsidTr="00C81444">
        <w:trPr>
          <w:trHeight w:val="734"/>
        </w:trPr>
        <w:tc>
          <w:tcPr>
            <w:tcW w:w="2506" w:type="dxa"/>
            <w:shd w:val="clear" w:color="auto" w:fill="FFFFFF"/>
          </w:tcPr>
          <w:p w14:paraId="66E8CEC3"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7. Смешение центра тяжести по сравне</w:t>
            </w:r>
            <w:r w:rsidRPr="00D03F3E">
              <w:rPr>
                <w:rStyle w:val="Bodytext32"/>
                <w:b w:val="0"/>
                <w:color w:val="000000" w:themeColor="text1"/>
              </w:rPr>
              <w:softHyphen/>
              <w:t xml:space="preserve">нию с танком </w:t>
            </w:r>
            <w:r w:rsidRPr="00D03F3E">
              <w:rPr>
                <w:rStyle w:val="Bodytext32"/>
                <w:b w:val="0"/>
                <w:color w:val="000000" w:themeColor="text1"/>
                <w:lang w:val="en-US"/>
              </w:rPr>
              <w:t>KB</w:t>
            </w:r>
          </w:p>
        </w:tc>
        <w:tc>
          <w:tcPr>
            <w:tcW w:w="1992" w:type="dxa"/>
            <w:shd w:val="clear" w:color="auto" w:fill="FFFFFF"/>
          </w:tcPr>
          <w:p w14:paraId="0C50FBB7" w14:textId="77777777" w:rsidR="00B610FB" w:rsidRPr="00D03F3E" w:rsidRDefault="00B610FB" w:rsidP="00D03F3E">
            <w:pPr>
              <w:pStyle w:val="Bodytext321"/>
              <w:shd w:val="clear" w:color="auto" w:fill="auto"/>
              <w:spacing w:line="240" w:lineRule="auto"/>
              <w:jc w:val="both"/>
              <w:rPr>
                <w:color w:val="000000" w:themeColor="text1"/>
                <w:sz w:val="16"/>
                <w:szCs w:val="16"/>
              </w:rPr>
            </w:pPr>
            <w:r w:rsidRPr="00D03F3E">
              <w:rPr>
                <w:noProof w:val="0"/>
                <w:color w:val="000000" w:themeColor="text1"/>
                <w:sz w:val="16"/>
                <w:szCs w:val="16"/>
              </w:rPr>
              <w:t>-</w:t>
            </w:r>
          </w:p>
        </w:tc>
        <w:tc>
          <w:tcPr>
            <w:tcW w:w="2544" w:type="dxa"/>
            <w:shd w:val="clear" w:color="auto" w:fill="FFFFFF"/>
          </w:tcPr>
          <w:p w14:paraId="19D54C09"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360 мм</w:t>
            </w:r>
          </w:p>
        </w:tc>
        <w:tc>
          <w:tcPr>
            <w:tcW w:w="2554" w:type="dxa"/>
            <w:shd w:val="clear" w:color="auto" w:fill="FFFFFF"/>
          </w:tcPr>
          <w:p w14:paraId="26D2C3B9"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390 мм</w:t>
            </w:r>
          </w:p>
        </w:tc>
      </w:tr>
      <w:tr w:rsidR="00860B4B" w:rsidRPr="00D03F3E" w14:paraId="525A4105" w14:textId="77777777" w:rsidTr="00C81444">
        <w:trPr>
          <w:trHeight w:val="960"/>
        </w:trPr>
        <w:tc>
          <w:tcPr>
            <w:tcW w:w="2506" w:type="dxa"/>
            <w:shd w:val="clear" w:color="auto" w:fill="FFFFFF"/>
          </w:tcPr>
          <w:p w14:paraId="0C55F67B"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8.Толщина брони:</w:t>
            </w:r>
          </w:p>
          <w:p w14:paraId="58DD8866" w14:textId="77777777" w:rsidR="00B610FB" w:rsidRPr="00D03F3E" w:rsidRDefault="00B610FB" w:rsidP="00D03F3E">
            <w:pPr>
              <w:pStyle w:val="Bodytext312"/>
              <w:shd w:val="clear" w:color="auto" w:fill="auto"/>
              <w:tabs>
                <w:tab w:val="left" w:pos="382"/>
              </w:tabs>
              <w:spacing w:line="240" w:lineRule="auto"/>
              <w:ind w:firstLine="0"/>
              <w:jc w:val="both"/>
              <w:rPr>
                <w:b w:val="0"/>
                <w:color w:val="000000" w:themeColor="text1"/>
              </w:rPr>
            </w:pPr>
            <w:r w:rsidRPr="00D03F3E">
              <w:rPr>
                <w:rStyle w:val="Bodytext32"/>
                <w:b w:val="0"/>
                <w:color w:val="000000" w:themeColor="text1"/>
              </w:rPr>
              <w:t>а)</w:t>
            </w:r>
            <w:r w:rsidRPr="00D03F3E">
              <w:rPr>
                <w:rStyle w:val="Bodytext32"/>
                <w:b w:val="0"/>
                <w:color w:val="000000" w:themeColor="text1"/>
              </w:rPr>
              <w:tab/>
              <w:t>лобовая</w:t>
            </w:r>
          </w:p>
          <w:p w14:paraId="45C6A857" w14:textId="77777777" w:rsidR="00B610FB" w:rsidRPr="00D03F3E" w:rsidRDefault="00B610FB" w:rsidP="00D03F3E">
            <w:pPr>
              <w:pStyle w:val="Bodytext312"/>
              <w:shd w:val="clear" w:color="auto" w:fill="auto"/>
              <w:tabs>
                <w:tab w:val="left" w:pos="402"/>
              </w:tabs>
              <w:spacing w:line="240" w:lineRule="auto"/>
              <w:ind w:firstLine="0"/>
              <w:jc w:val="both"/>
              <w:rPr>
                <w:b w:val="0"/>
                <w:color w:val="000000" w:themeColor="text1"/>
              </w:rPr>
            </w:pPr>
            <w:r w:rsidRPr="00D03F3E">
              <w:rPr>
                <w:rStyle w:val="Bodytext32"/>
                <w:b w:val="0"/>
                <w:color w:val="000000" w:themeColor="text1"/>
              </w:rPr>
              <w:t>б)</w:t>
            </w:r>
            <w:r w:rsidRPr="00D03F3E">
              <w:rPr>
                <w:rStyle w:val="Bodytext32"/>
                <w:b w:val="0"/>
                <w:color w:val="000000" w:themeColor="text1"/>
              </w:rPr>
              <w:tab/>
              <w:t>боковая</w:t>
            </w:r>
          </w:p>
          <w:p w14:paraId="7134F209" w14:textId="77777777" w:rsidR="00B610FB" w:rsidRPr="00D03F3E" w:rsidRDefault="00B610FB" w:rsidP="00D03F3E">
            <w:pPr>
              <w:pStyle w:val="Bodytext312"/>
              <w:shd w:val="clear" w:color="auto" w:fill="auto"/>
              <w:tabs>
                <w:tab w:val="left" w:pos="387"/>
              </w:tabs>
              <w:spacing w:line="240" w:lineRule="auto"/>
              <w:ind w:firstLine="0"/>
              <w:jc w:val="both"/>
              <w:rPr>
                <w:b w:val="0"/>
                <w:color w:val="000000" w:themeColor="text1"/>
              </w:rPr>
            </w:pPr>
            <w:r w:rsidRPr="00D03F3E">
              <w:rPr>
                <w:rStyle w:val="Bodytext32"/>
                <w:b w:val="0"/>
                <w:color w:val="000000" w:themeColor="text1"/>
              </w:rPr>
              <w:t>в)</w:t>
            </w:r>
            <w:r w:rsidRPr="00D03F3E">
              <w:rPr>
                <w:rStyle w:val="Bodytext32"/>
                <w:b w:val="0"/>
                <w:color w:val="000000" w:themeColor="text1"/>
              </w:rPr>
              <w:tab/>
              <w:t>башня</w:t>
            </w:r>
          </w:p>
        </w:tc>
        <w:tc>
          <w:tcPr>
            <w:tcW w:w="1992" w:type="dxa"/>
            <w:shd w:val="clear" w:color="auto" w:fill="FFFFFF"/>
          </w:tcPr>
          <w:p w14:paraId="17363AB5"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60 мм 60 мм 60 мм</w:t>
            </w:r>
          </w:p>
        </w:tc>
        <w:tc>
          <w:tcPr>
            <w:tcW w:w="2544" w:type="dxa"/>
            <w:shd w:val="clear" w:color="auto" w:fill="FFFFFF"/>
          </w:tcPr>
          <w:p w14:paraId="1676F9EA"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КВ-75мм, КВ-1С-60 мм КВ-75мм, КВ-1С-60 мм 75 мм</w:t>
            </w:r>
          </w:p>
        </w:tc>
        <w:tc>
          <w:tcPr>
            <w:tcW w:w="2554" w:type="dxa"/>
            <w:shd w:val="clear" w:color="auto" w:fill="FFFFFF"/>
          </w:tcPr>
          <w:p w14:paraId="6D5E3669"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КВ-75мм, КВ-1С-60 мм КВ-75мм, КВ-1С-60 мм 75 мм</w:t>
            </w:r>
          </w:p>
        </w:tc>
      </w:tr>
      <w:tr w:rsidR="00860B4B" w:rsidRPr="00D03F3E" w14:paraId="66757664" w14:textId="77777777" w:rsidTr="00C81444">
        <w:trPr>
          <w:trHeight w:val="514"/>
        </w:trPr>
        <w:tc>
          <w:tcPr>
            <w:tcW w:w="2506" w:type="dxa"/>
            <w:shd w:val="clear" w:color="auto" w:fill="FFFFFF"/>
          </w:tcPr>
          <w:p w14:paraId="6B7D45CA"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Угол горизонтального обстрела</w:t>
            </w:r>
          </w:p>
        </w:tc>
        <w:tc>
          <w:tcPr>
            <w:tcW w:w="1992" w:type="dxa"/>
            <w:shd w:val="clear" w:color="auto" w:fill="FFFFFF"/>
          </w:tcPr>
          <w:p w14:paraId="3FEB4294"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+/-4°</w:t>
            </w:r>
          </w:p>
        </w:tc>
        <w:tc>
          <w:tcPr>
            <w:tcW w:w="2544" w:type="dxa"/>
            <w:shd w:val="clear" w:color="auto" w:fill="FFFFFF"/>
          </w:tcPr>
          <w:p w14:paraId="3F660CB2" w14:textId="77777777" w:rsidR="00B610FB" w:rsidRPr="00D03F3E" w:rsidRDefault="00B610FB" w:rsidP="00D03F3E">
            <w:pPr>
              <w:spacing w:after="0" w:line="240" w:lineRule="auto"/>
              <w:jc w:val="both"/>
              <w:rPr>
                <w:rFonts w:ascii="Times New Roman" w:hAnsi="Times New Roman"/>
                <w:color w:val="000000" w:themeColor="text1"/>
                <w:sz w:val="16"/>
                <w:szCs w:val="16"/>
              </w:rPr>
            </w:pPr>
          </w:p>
        </w:tc>
        <w:tc>
          <w:tcPr>
            <w:tcW w:w="2554" w:type="dxa"/>
            <w:shd w:val="clear" w:color="auto" w:fill="FFFFFF"/>
          </w:tcPr>
          <w:p w14:paraId="4901D5D7"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+/-5°</w:t>
            </w:r>
          </w:p>
        </w:tc>
      </w:tr>
      <w:tr w:rsidR="00860B4B" w:rsidRPr="00D03F3E" w14:paraId="0D5D1CBE" w14:textId="77777777" w:rsidTr="00C81444">
        <w:trPr>
          <w:trHeight w:val="509"/>
        </w:trPr>
        <w:tc>
          <w:tcPr>
            <w:tcW w:w="2506" w:type="dxa"/>
            <w:shd w:val="clear" w:color="auto" w:fill="FFFFFF"/>
          </w:tcPr>
          <w:p w14:paraId="434BB9A3"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Угол вертикального обстрела</w:t>
            </w:r>
          </w:p>
        </w:tc>
        <w:tc>
          <w:tcPr>
            <w:tcW w:w="1992" w:type="dxa"/>
            <w:shd w:val="clear" w:color="auto" w:fill="FFFFFF"/>
          </w:tcPr>
          <w:p w14:paraId="4B1D7DDA"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+ 16°,-3°</w:t>
            </w:r>
          </w:p>
        </w:tc>
        <w:tc>
          <w:tcPr>
            <w:tcW w:w="2544" w:type="dxa"/>
            <w:shd w:val="clear" w:color="auto" w:fill="FFFFFF"/>
          </w:tcPr>
          <w:p w14:paraId="4571F3A7"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+ 15°, -3°</w:t>
            </w:r>
          </w:p>
        </w:tc>
        <w:tc>
          <w:tcPr>
            <w:tcW w:w="2554" w:type="dxa"/>
            <w:shd w:val="clear" w:color="auto" w:fill="FFFFFF"/>
          </w:tcPr>
          <w:p w14:paraId="3F9D373E"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+ 15°, -3°</w:t>
            </w:r>
          </w:p>
        </w:tc>
      </w:tr>
      <w:tr w:rsidR="00860B4B" w:rsidRPr="00D03F3E" w14:paraId="27D52461" w14:textId="77777777" w:rsidTr="00C81444">
        <w:trPr>
          <w:trHeight w:val="509"/>
        </w:trPr>
        <w:tc>
          <w:tcPr>
            <w:tcW w:w="2506" w:type="dxa"/>
            <w:shd w:val="clear" w:color="auto" w:fill="FFFFFF"/>
          </w:tcPr>
          <w:p w14:paraId="482468FC"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Выход ствола за ли</w:t>
            </w:r>
            <w:r w:rsidRPr="00D03F3E">
              <w:rPr>
                <w:rStyle w:val="Bodytext32"/>
                <w:b w:val="0"/>
                <w:color w:val="000000" w:themeColor="text1"/>
              </w:rPr>
              <w:softHyphen/>
              <w:t>нию габаритов танка</w:t>
            </w:r>
          </w:p>
        </w:tc>
        <w:tc>
          <w:tcPr>
            <w:tcW w:w="1992" w:type="dxa"/>
            <w:shd w:val="clear" w:color="auto" w:fill="FFFFFF"/>
          </w:tcPr>
          <w:p w14:paraId="37DC5BB9" w14:textId="77777777" w:rsidR="00B610FB" w:rsidRPr="00D03F3E" w:rsidRDefault="00B610FB" w:rsidP="00D03F3E">
            <w:pPr>
              <w:pStyle w:val="Bodytext321"/>
              <w:shd w:val="clear" w:color="auto" w:fill="auto"/>
              <w:spacing w:line="240" w:lineRule="auto"/>
              <w:jc w:val="both"/>
              <w:rPr>
                <w:color w:val="000000" w:themeColor="text1"/>
                <w:sz w:val="16"/>
                <w:szCs w:val="16"/>
              </w:rPr>
            </w:pPr>
            <w:r w:rsidRPr="00D03F3E">
              <w:rPr>
                <w:noProof w:val="0"/>
                <w:color w:val="000000" w:themeColor="text1"/>
                <w:sz w:val="16"/>
                <w:szCs w:val="16"/>
              </w:rPr>
              <w:t>-</w:t>
            </w:r>
          </w:p>
        </w:tc>
        <w:tc>
          <w:tcPr>
            <w:tcW w:w="2544" w:type="dxa"/>
            <w:shd w:val="clear" w:color="auto" w:fill="FFFFFF"/>
          </w:tcPr>
          <w:p w14:paraId="1BB78952"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1700 мм</w:t>
            </w:r>
          </w:p>
        </w:tc>
        <w:tc>
          <w:tcPr>
            <w:tcW w:w="2554" w:type="dxa"/>
            <w:shd w:val="clear" w:color="auto" w:fill="FFFFFF"/>
          </w:tcPr>
          <w:p w14:paraId="6B1BE2B5"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3000 мм</w:t>
            </w:r>
          </w:p>
        </w:tc>
      </w:tr>
      <w:tr w:rsidR="00860B4B" w:rsidRPr="00D03F3E" w14:paraId="0170FB03" w14:textId="77777777" w:rsidTr="00C81444">
        <w:trPr>
          <w:trHeight w:val="350"/>
        </w:trPr>
        <w:tc>
          <w:tcPr>
            <w:tcW w:w="2506" w:type="dxa"/>
            <w:shd w:val="clear" w:color="auto" w:fill="FFFFFF"/>
          </w:tcPr>
          <w:p w14:paraId="36E162FF"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Высота линии огня</w:t>
            </w:r>
          </w:p>
        </w:tc>
        <w:tc>
          <w:tcPr>
            <w:tcW w:w="1992" w:type="dxa"/>
            <w:shd w:val="clear" w:color="auto" w:fill="FFFFFF"/>
          </w:tcPr>
          <w:p w14:paraId="7F9FAE98" w14:textId="77777777" w:rsidR="00B610FB" w:rsidRPr="00D03F3E" w:rsidRDefault="00B610FB" w:rsidP="00D03F3E">
            <w:pPr>
              <w:pStyle w:val="Bodytext321"/>
              <w:shd w:val="clear" w:color="auto" w:fill="auto"/>
              <w:spacing w:line="240" w:lineRule="auto"/>
              <w:jc w:val="both"/>
              <w:rPr>
                <w:color w:val="000000" w:themeColor="text1"/>
                <w:sz w:val="16"/>
                <w:szCs w:val="16"/>
              </w:rPr>
            </w:pPr>
            <w:r w:rsidRPr="00D03F3E">
              <w:rPr>
                <w:noProof w:val="0"/>
                <w:color w:val="000000" w:themeColor="text1"/>
                <w:sz w:val="16"/>
                <w:szCs w:val="16"/>
              </w:rPr>
              <w:t>-</w:t>
            </w:r>
          </w:p>
        </w:tc>
        <w:tc>
          <w:tcPr>
            <w:tcW w:w="2544" w:type="dxa"/>
            <w:shd w:val="clear" w:color="auto" w:fill="FFFFFF"/>
          </w:tcPr>
          <w:p w14:paraId="2BF9F4E1"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2190 мм</w:t>
            </w:r>
          </w:p>
        </w:tc>
        <w:tc>
          <w:tcPr>
            <w:tcW w:w="2554" w:type="dxa"/>
            <w:shd w:val="clear" w:color="auto" w:fill="FFFFFF"/>
          </w:tcPr>
          <w:p w14:paraId="2F3438BA" w14:textId="77777777" w:rsidR="00B610FB" w:rsidRPr="00D03F3E" w:rsidRDefault="00B610FB" w:rsidP="00D03F3E">
            <w:pPr>
              <w:pStyle w:val="Bodytext312"/>
              <w:shd w:val="clear" w:color="auto" w:fill="auto"/>
              <w:spacing w:line="240" w:lineRule="auto"/>
              <w:ind w:firstLine="0"/>
              <w:jc w:val="both"/>
              <w:rPr>
                <w:b w:val="0"/>
                <w:color w:val="000000" w:themeColor="text1"/>
              </w:rPr>
            </w:pPr>
            <w:r w:rsidRPr="00D03F3E">
              <w:rPr>
                <w:rStyle w:val="Bodytext32"/>
                <w:b w:val="0"/>
                <w:color w:val="000000" w:themeColor="text1"/>
              </w:rPr>
              <w:t>2206 мм</w:t>
            </w:r>
          </w:p>
        </w:tc>
      </w:tr>
    </w:tbl>
    <w:p w14:paraId="665A417C" w14:textId="77777777" w:rsidR="00B610FB" w:rsidRPr="00D03F3E" w:rsidRDefault="00B610FB" w:rsidP="00D03F3E">
      <w:pPr>
        <w:pStyle w:val="Bodytext141"/>
        <w:shd w:val="clear" w:color="auto" w:fill="auto"/>
        <w:tabs>
          <w:tab w:val="left" w:pos="535"/>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 xml:space="preserve">3. Как видно из приведенной таблицы и из чертежа установки в танке </w:t>
      </w:r>
      <w:r w:rsidRPr="00D03F3E">
        <w:rPr>
          <w:rStyle w:val="Bodytext145"/>
          <w:i w:val="0"/>
          <w:iCs w:val="0"/>
          <w:color w:val="000000" w:themeColor="text1"/>
          <w:sz w:val="16"/>
          <w:szCs w:val="16"/>
          <w:lang w:val="en-US"/>
        </w:rPr>
        <w:t>KB</w:t>
      </w:r>
      <w:r w:rsidRPr="00D03F3E">
        <w:rPr>
          <w:rStyle w:val="Bodytext145"/>
          <w:i w:val="0"/>
          <w:iCs w:val="0"/>
          <w:color w:val="000000" w:themeColor="text1"/>
          <w:sz w:val="16"/>
          <w:szCs w:val="16"/>
        </w:rPr>
        <w:t>, наложение БР-2 мало отличается от установки МЛ-20 в том же танке, но зато больше чем в два раза превосходит последнюю по мощности.</w:t>
      </w:r>
    </w:p>
    <w:p w14:paraId="2F8F1002" w14:textId="77777777" w:rsidR="00B610FB" w:rsidRPr="00D03F3E" w:rsidRDefault="00B610FB"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С большим, по сравнению с МЛ-20, выступанием из габаритов танка ствола пушки приходится мириться, поскольку приходится иметь дело с таким мощным стволом, общая длина которого со</w:t>
      </w:r>
      <w:r w:rsidRPr="00D03F3E">
        <w:rPr>
          <w:rStyle w:val="Bodytext145"/>
          <w:i w:val="0"/>
          <w:iCs w:val="0"/>
          <w:color w:val="000000" w:themeColor="text1"/>
          <w:sz w:val="16"/>
          <w:szCs w:val="16"/>
        </w:rPr>
        <w:softHyphen/>
        <w:t>ставляет с дульным тормозом около 8000мм.</w:t>
      </w:r>
    </w:p>
    <w:p w14:paraId="1E65F97D" w14:textId="77777777" w:rsidR="00B610FB" w:rsidRPr="00D03F3E" w:rsidRDefault="00B610FB"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Если нужно создавать такой самоход, то предлагаемое реше</w:t>
      </w:r>
      <w:r w:rsidRPr="00D03F3E">
        <w:rPr>
          <w:rStyle w:val="Bodytext145"/>
          <w:i w:val="0"/>
          <w:iCs w:val="0"/>
          <w:color w:val="000000" w:themeColor="text1"/>
          <w:sz w:val="16"/>
          <w:szCs w:val="16"/>
        </w:rPr>
        <w:softHyphen/>
        <w:t>ние является из всех возможных наиболее рациональным и простым, наиболе конструктивным и технически правильным.</w:t>
      </w:r>
    </w:p>
    <w:p w14:paraId="4921054E" w14:textId="77777777" w:rsidR="00B610FB" w:rsidRPr="00D03F3E" w:rsidRDefault="00B610FB" w:rsidP="00D03F3E">
      <w:pPr>
        <w:pStyle w:val="Bodytext141"/>
        <w:shd w:val="clear" w:color="auto" w:fill="auto"/>
        <w:tabs>
          <w:tab w:val="left" w:pos="540"/>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4. Поскольку 152-мм пушка БР-2 имеет с 203-мм гаубицей общий ла</w:t>
      </w:r>
      <w:r w:rsidRPr="00D03F3E">
        <w:rPr>
          <w:rStyle w:val="Bodytext145"/>
          <w:i w:val="0"/>
          <w:iCs w:val="0"/>
          <w:color w:val="000000" w:themeColor="text1"/>
          <w:sz w:val="16"/>
          <w:szCs w:val="16"/>
        </w:rPr>
        <w:softHyphen/>
        <w:t>фет, люльку, затвор, противооткатные устройства, то наложе</w:t>
      </w:r>
      <w:r w:rsidRPr="00D03F3E">
        <w:rPr>
          <w:rStyle w:val="Bodytext145"/>
          <w:i w:val="0"/>
          <w:iCs w:val="0"/>
          <w:color w:val="000000" w:themeColor="text1"/>
          <w:sz w:val="16"/>
          <w:szCs w:val="16"/>
        </w:rPr>
        <w:softHyphen/>
        <w:t>ние БР-2 на танковую люльку МЛ-20 открывает возможность при необходимости постановки на эту люльку с подобными переделками и ствола-моноблока 203-мм гаубицы Б-4 и, конечно, еще легче по</w:t>
      </w:r>
      <w:r w:rsidRPr="00D03F3E">
        <w:rPr>
          <w:rStyle w:val="Bodytext145"/>
          <w:i w:val="0"/>
          <w:iCs w:val="0"/>
          <w:color w:val="000000" w:themeColor="text1"/>
          <w:sz w:val="16"/>
          <w:szCs w:val="16"/>
        </w:rPr>
        <w:softHyphen/>
        <w:t xml:space="preserve">ставить в танк 203-мм гаубицу У-3» </w:t>
      </w:r>
      <w:r w:rsidRPr="00D03F3E">
        <w:rPr>
          <w:i w:val="0"/>
          <w:color w:val="000000" w:themeColor="text1"/>
          <w:sz w:val="16"/>
          <w:szCs w:val="16"/>
        </w:rPr>
        <w:t>(17484).</w:t>
      </w:r>
    </w:p>
    <w:p w14:paraId="12D55376" w14:textId="77777777" w:rsidR="00B610FB" w:rsidRPr="00D03F3E" w:rsidRDefault="00B610FB" w:rsidP="00D03F3E">
      <w:pPr>
        <w:spacing w:after="0" w:line="240" w:lineRule="auto"/>
        <w:jc w:val="both"/>
        <w:rPr>
          <w:rFonts w:ascii="Times New Roman" w:hAnsi="Times New Roman"/>
          <w:color w:val="000000" w:themeColor="text1"/>
          <w:sz w:val="16"/>
          <w:szCs w:val="16"/>
        </w:rPr>
      </w:pPr>
    </w:p>
    <w:p w14:paraId="1CEF8C58" w14:textId="77777777" w:rsidR="00B610FB" w:rsidRPr="00D03F3E" w:rsidRDefault="00B610FB" w:rsidP="00D03F3E">
      <w:pPr>
        <w:pStyle w:val="a3"/>
        <w:rPr>
          <w:color w:val="000000" w:themeColor="text1"/>
          <w:lang w:val="ru-RU"/>
        </w:rPr>
      </w:pPr>
      <w:r w:rsidRPr="00D03F3E">
        <w:rPr>
          <w:color w:val="000000" w:themeColor="text1"/>
          <w:lang w:val="ru-RU"/>
        </w:rPr>
        <w:t>Весной 1943 года именно М-40 оказалась тем орудием, которое было использовано КБ завода №172 в качестве вооружения самоходной установки. САУ, получившая заводской индекс М-17, являлась инициативным проектом завода, который был одобрен нар</w:t>
      </w:r>
      <w:r w:rsidRPr="00D03F3E">
        <w:rPr>
          <w:color w:val="000000" w:themeColor="text1"/>
          <w:lang w:val="ru-RU"/>
        </w:rPr>
        <w:softHyphen/>
        <w:t>комом вооружения Устиновым. Проект был представлен к рассмо</w:t>
      </w:r>
      <w:r w:rsidRPr="00D03F3E">
        <w:rPr>
          <w:color w:val="000000" w:themeColor="text1"/>
          <w:lang w:val="ru-RU"/>
        </w:rPr>
        <w:softHyphen/>
        <w:t>трению 5 июня 1943 года, то есть уже через две недели после неудачи ОКБ-172 с СУ-203. К сожалению, по данной установке сохранилось только словестное описание и расчеты орудийной системы.</w:t>
      </w:r>
    </w:p>
    <w:p w14:paraId="2CE7C178" w14:textId="77777777" w:rsidR="00B610FB" w:rsidRPr="00D03F3E" w:rsidRDefault="00B610FB" w:rsidP="00D03F3E">
      <w:pPr>
        <w:pStyle w:val="a3"/>
        <w:rPr>
          <w:color w:val="000000" w:themeColor="text1"/>
          <w:lang w:val="ru-RU"/>
        </w:rPr>
      </w:pPr>
      <w:r w:rsidRPr="00D03F3E">
        <w:rPr>
          <w:color w:val="000000" w:themeColor="text1"/>
          <w:lang w:val="ru-RU"/>
        </w:rPr>
        <w:t xml:space="preserve">По концепции М-17, работой над которой руководил начальник артиллерийского КБ завода №172 В.А. Ильин, была близка к СУ-203. При ее создании требовались минимальные изменения конструкции шасси </w:t>
      </w:r>
      <w:r w:rsidRPr="00D03F3E">
        <w:rPr>
          <w:color w:val="000000" w:themeColor="text1"/>
        </w:rPr>
        <w:t>KB</w:t>
      </w:r>
      <w:r w:rsidRPr="00D03F3E">
        <w:rPr>
          <w:color w:val="000000" w:themeColor="text1"/>
          <w:lang w:val="ru-RU"/>
        </w:rPr>
        <w:t>-1С, а также максимальное использование деталей рубки СУ-152. От серийной самоходной установки без изменений брались неподвижная бронировка, маска и рамка.</w:t>
      </w:r>
    </w:p>
    <w:p w14:paraId="51F5E698" w14:textId="77777777" w:rsidR="00B610FB" w:rsidRPr="00D03F3E" w:rsidRDefault="00B610FB" w:rsidP="00D03F3E">
      <w:pPr>
        <w:pStyle w:val="a3"/>
        <w:rPr>
          <w:color w:val="000000" w:themeColor="text1"/>
          <w:lang w:val="ru-RU"/>
        </w:rPr>
      </w:pPr>
      <w:r w:rsidRPr="00D03F3E">
        <w:rPr>
          <w:color w:val="000000" w:themeColor="text1"/>
          <w:lang w:val="ru-RU"/>
        </w:rPr>
        <w:t>В отличие от СУ-203, высота М-17 оказалась той же, что и у СУ- 152 — 2450 мм. Сохранился тот же состав экипажа, радиооборудование, люки рубки, приборы наблюдения. Для обеспечения угла сниженияв 3° крышу боевого отделения запроектировали с уклоном вперед на тот же угол. Кроме того, для обеспечения должных объемов боево</w:t>
      </w:r>
      <w:r w:rsidRPr="00D03F3E">
        <w:rPr>
          <w:color w:val="000000" w:themeColor="text1"/>
          <w:lang w:val="ru-RU"/>
        </w:rPr>
        <w:softHyphen/>
        <w:t>го отделения борта в кормовой части расширили до полной ширины машины. Топливный бак расширили, одновременно снизив размеры второго бака, который располагался вдоль левой стенки боевого отде</w:t>
      </w:r>
      <w:r w:rsidRPr="00D03F3E">
        <w:rPr>
          <w:color w:val="000000" w:themeColor="text1"/>
          <w:lang w:val="ru-RU"/>
        </w:rPr>
        <w:softHyphen/>
        <w:t>ления. Для того чтобы снизить боевую массу М-17, толщину маски со</w:t>
      </w:r>
      <w:r w:rsidRPr="00D03F3E">
        <w:rPr>
          <w:color w:val="000000" w:themeColor="text1"/>
          <w:lang w:val="ru-RU"/>
        </w:rPr>
        <w:softHyphen/>
        <w:t>кратили до 65 мм, лобового листа рубки до 60 мм, бортов и кормы руб</w:t>
      </w:r>
      <w:r w:rsidRPr="00D03F3E">
        <w:rPr>
          <w:color w:val="000000" w:themeColor="text1"/>
          <w:lang w:val="ru-RU"/>
        </w:rPr>
        <w:softHyphen/>
        <w:t>ки до 45 мм. При этом боевая масса должна была составить 45,8 тонны. Также рассматривался вариант сохранения штатной толщины листов рубки СУ-152, в таком случае боевая масса должна была составить 46,8 тонны.</w:t>
      </w:r>
    </w:p>
    <w:p w14:paraId="619C326E" w14:textId="77777777" w:rsidR="00B610FB" w:rsidRPr="00D03F3E" w:rsidRDefault="00B610FB" w:rsidP="00D03F3E">
      <w:pPr>
        <w:pStyle w:val="a3"/>
        <w:rPr>
          <w:color w:val="000000" w:themeColor="text1"/>
          <w:lang w:val="ru-RU"/>
        </w:rPr>
      </w:pPr>
      <w:r w:rsidRPr="00D03F3E">
        <w:rPr>
          <w:color w:val="000000" w:themeColor="text1"/>
          <w:lang w:val="ru-RU"/>
        </w:rPr>
        <w:t>Выбор в качестве орудия гаубицы М-40, объяснялся тем, что ее ствол больше подходил для установки в М-17. По проекту, ствол М-40 уста</w:t>
      </w:r>
      <w:r w:rsidRPr="00D03F3E">
        <w:rPr>
          <w:color w:val="000000" w:themeColor="text1"/>
          <w:lang w:val="ru-RU"/>
        </w:rPr>
        <w:softHyphen/>
        <w:t xml:space="preserve">навливался на люльку от </w:t>
      </w:r>
      <w:r w:rsidRPr="00D03F3E">
        <w:rPr>
          <w:color w:val="000000" w:themeColor="text1"/>
        </w:rPr>
        <w:t>MJI</w:t>
      </w:r>
      <w:r w:rsidRPr="00D03F3E">
        <w:rPr>
          <w:color w:val="000000" w:themeColor="text1"/>
          <w:lang w:val="ru-RU"/>
        </w:rPr>
        <w:t>-20</w:t>
      </w:r>
      <w:r w:rsidRPr="00D03F3E">
        <w:rPr>
          <w:color w:val="000000" w:themeColor="text1"/>
        </w:rPr>
        <w:t>C</w:t>
      </w:r>
      <w:r w:rsidRPr="00D03F3E">
        <w:rPr>
          <w:color w:val="000000" w:themeColor="text1"/>
          <w:lang w:val="ru-RU"/>
        </w:rPr>
        <w:t>, в которую вносились минимальные изменения. Кроме того, ствол М-40 получал двухкамерный дульный тормоз, длина которого превышала метр. Для прицеливания прямой наводкой использовался телескопический прицел Т-5.</w:t>
      </w:r>
    </w:p>
    <w:p w14:paraId="40477E4D" w14:textId="77777777" w:rsidR="00B610FB" w:rsidRPr="00D03F3E" w:rsidRDefault="00B610FB" w:rsidP="00D03F3E">
      <w:pPr>
        <w:pStyle w:val="a3"/>
        <w:rPr>
          <w:color w:val="000000" w:themeColor="text1"/>
          <w:lang w:val="ru-RU"/>
        </w:rPr>
      </w:pPr>
      <w:r w:rsidRPr="00D03F3E">
        <w:rPr>
          <w:color w:val="000000" w:themeColor="text1"/>
          <w:lang w:val="ru-RU"/>
        </w:rPr>
        <w:t>Боекомплект, согласно проекту, должен был составлять 16 выстре</w:t>
      </w:r>
      <w:r w:rsidRPr="00D03F3E">
        <w:rPr>
          <w:color w:val="000000" w:themeColor="text1"/>
          <w:lang w:val="ru-RU"/>
        </w:rPr>
        <w:softHyphen/>
        <w:t>лов. Снаряды размещались в двух магазинах по левой стороне рубки — 9 в заднем и 7 в переднем. Заряды предполагалось разместить в двух же</w:t>
      </w:r>
      <w:r w:rsidRPr="00D03F3E">
        <w:rPr>
          <w:color w:val="000000" w:themeColor="text1"/>
          <w:lang w:val="ru-RU"/>
        </w:rPr>
        <w:softHyphen/>
        <w:t>лезных ящиках, один из которых размещался под системой, а второй в правом углу боевого отделения. Кроме того, в боекомплект входил 21 диск пистолета-пулемета ППШ и 25 гранат Ф-1.</w:t>
      </w:r>
    </w:p>
    <w:p w14:paraId="11C52FBC" w14:textId="77777777" w:rsidR="00B610FB" w:rsidRPr="00D03F3E" w:rsidRDefault="00B610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итогам рассмотрения проекта начальник УСА ГБТУ КА инже</w:t>
      </w:r>
      <w:r w:rsidRPr="00D03F3E">
        <w:rPr>
          <w:rFonts w:ascii="Times New Roman" w:hAnsi="Times New Roman"/>
          <w:color w:val="000000" w:themeColor="text1"/>
          <w:sz w:val="16"/>
          <w:szCs w:val="16"/>
        </w:rPr>
        <w:softHyphen/>
        <w:t>нер-полковник Алымов и начальник 3-го управления УСА ГБТУ КА инженер-подполковник Ковалев подготовили доклад, датируемый 25 июня 1943 года:</w:t>
      </w:r>
    </w:p>
    <w:p w14:paraId="54C4F804" w14:textId="77777777" w:rsidR="00B610FB" w:rsidRPr="00D03F3E" w:rsidRDefault="00B610FB" w:rsidP="00D03F3E">
      <w:pPr>
        <w:pStyle w:val="Bodytext141"/>
        <w:shd w:val="clear" w:color="auto" w:fill="auto"/>
        <w:spacing w:line="240" w:lineRule="auto"/>
        <w:ind w:firstLine="0"/>
        <w:jc w:val="both"/>
        <w:rPr>
          <w:i w:val="0"/>
          <w:color w:val="000000" w:themeColor="text1"/>
          <w:sz w:val="16"/>
          <w:szCs w:val="16"/>
        </w:rPr>
      </w:pPr>
      <w:r w:rsidRPr="00D03F3E">
        <w:rPr>
          <w:i w:val="0"/>
          <w:color w:val="000000" w:themeColor="text1"/>
          <w:sz w:val="16"/>
          <w:szCs w:val="16"/>
        </w:rPr>
        <w:t>«При рассмотрении проекта установлено:</w:t>
      </w:r>
    </w:p>
    <w:p w14:paraId="236B9E8D" w14:textId="77777777" w:rsidR="00B610FB" w:rsidRPr="00D03F3E" w:rsidRDefault="00B610FB" w:rsidP="00D03F3E">
      <w:pPr>
        <w:pStyle w:val="Bodytext141"/>
        <w:shd w:val="clear" w:color="auto" w:fill="auto"/>
        <w:tabs>
          <w:tab w:val="left" w:pos="2912"/>
        </w:tabs>
        <w:spacing w:line="240" w:lineRule="auto"/>
        <w:ind w:firstLine="0"/>
        <w:jc w:val="both"/>
        <w:rPr>
          <w:i w:val="0"/>
          <w:color w:val="000000" w:themeColor="text1"/>
          <w:sz w:val="16"/>
          <w:szCs w:val="16"/>
        </w:rPr>
      </w:pPr>
      <w:r w:rsidRPr="00D03F3E">
        <w:rPr>
          <w:i w:val="0"/>
          <w:color w:val="000000" w:themeColor="text1"/>
          <w:sz w:val="16"/>
          <w:szCs w:val="16"/>
        </w:rPr>
        <w:t>1. Изготовление 203-мм самоходной пушки на базе агрегатов освоенной заводом самоходной пушки СУ-152 вполне возможно.</w:t>
      </w:r>
    </w:p>
    <w:p w14:paraId="72AE4CAE" w14:textId="77777777" w:rsidR="00B610FB" w:rsidRPr="00D03F3E" w:rsidRDefault="00B610FB" w:rsidP="00D03F3E">
      <w:pPr>
        <w:pStyle w:val="Bodytext141"/>
        <w:shd w:val="clear" w:color="auto" w:fill="auto"/>
        <w:tabs>
          <w:tab w:val="left" w:pos="2946"/>
        </w:tabs>
        <w:spacing w:line="240" w:lineRule="auto"/>
        <w:ind w:firstLine="0"/>
        <w:jc w:val="both"/>
        <w:rPr>
          <w:i w:val="0"/>
          <w:color w:val="000000" w:themeColor="text1"/>
          <w:sz w:val="16"/>
          <w:szCs w:val="16"/>
        </w:rPr>
      </w:pPr>
      <w:r w:rsidRPr="00D03F3E">
        <w:rPr>
          <w:i w:val="0"/>
          <w:color w:val="000000" w:themeColor="text1"/>
          <w:sz w:val="16"/>
          <w:szCs w:val="16"/>
        </w:rPr>
        <w:t>2. Максимальное использование агрегатов от освоенной в валовом про</w:t>
      </w:r>
      <w:r w:rsidRPr="00D03F3E">
        <w:rPr>
          <w:i w:val="0"/>
          <w:color w:val="000000" w:themeColor="text1"/>
          <w:sz w:val="16"/>
          <w:szCs w:val="16"/>
        </w:rPr>
        <w:softHyphen/>
        <w:t>изводстве самоходной установки СУ-152 позволит в короткий срок, при небольших производственных затратах, поставить на произ</w:t>
      </w:r>
      <w:r w:rsidRPr="00D03F3E">
        <w:rPr>
          <w:i w:val="0"/>
          <w:color w:val="000000" w:themeColor="text1"/>
          <w:sz w:val="16"/>
          <w:szCs w:val="16"/>
        </w:rPr>
        <w:softHyphen/>
        <w:t>водство предлагаемый образец самоходной артустановки.</w:t>
      </w:r>
    </w:p>
    <w:p w14:paraId="23C097AA" w14:textId="77777777" w:rsidR="00B610FB" w:rsidRPr="00D03F3E" w:rsidRDefault="00B610FB" w:rsidP="00D03F3E">
      <w:pPr>
        <w:pStyle w:val="Bodytext141"/>
        <w:shd w:val="clear" w:color="auto" w:fill="auto"/>
        <w:tabs>
          <w:tab w:val="left" w:pos="2970"/>
        </w:tabs>
        <w:spacing w:line="240" w:lineRule="auto"/>
        <w:ind w:firstLine="0"/>
        <w:jc w:val="both"/>
        <w:rPr>
          <w:i w:val="0"/>
          <w:color w:val="000000" w:themeColor="text1"/>
          <w:sz w:val="16"/>
          <w:szCs w:val="16"/>
        </w:rPr>
      </w:pPr>
      <w:r w:rsidRPr="00D03F3E">
        <w:rPr>
          <w:i w:val="0"/>
          <w:color w:val="000000" w:themeColor="text1"/>
          <w:sz w:val="16"/>
          <w:szCs w:val="16"/>
        </w:rPr>
        <w:lastRenderedPageBreak/>
        <w:t>3. При проектировании М-17, в целях снижения общего веса всей си</w:t>
      </w:r>
      <w:r w:rsidRPr="00D03F3E">
        <w:rPr>
          <w:i w:val="0"/>
          <w:color w:val="000000" w:themeColor="text1"/>
          <w:sz w:val="16"/>
          <w:szCs w:val="16"/>
        </w:rPr>
        <w:softHyphen/>
        <w:t>стемы, допущено уменьшение толщины бронезащиты.</w:t>
      </w:r>
    </w:p>
    <w:p w14:paraId="2E871054" w14:textId="77777777" w:rsidR="00B610FB" w:rsidRPr="00D03F3E" w:rsidRDefault="00B610FB" w:rsidP="00D03F3E">
      <w:pPr>
        <w:pStyle w:val="Bodytext141"/>
        <w:shd w:val="clear" w:color="auto" w:fill="auto"/>
        <w:tabs>
          <w:tab w:val="left" w:pos="2955"/>
        </w:tabs>
        <w:spacing w:line="240" w:lineRule="auto"/>
        <w:ind w:firstLine="0"/>
        <w:jc w:val="both"/>
        <w:rPr>
          <w:i w:val="0"/>
          <w:color w:val="000000" w:themeColor="text1"/>
          <w:sz w:val="16"/>
          <w:szCs w:val="16"/>
        </w:rPr>
      </w:pPr>
      <w:r w:rsidRPr="00D03F3E">
        <w:rPr>
          <w:i w:val="0"/>
          <w:color w:val="000000" w:themeColor="text1"/>
          <w:sz w:val="16"/>
          <w:szCs w:val="16"/>
        </w:rPr>
        <w:t>4. Боекомплект М-17, в сравнении с СУ-152, уменьшен на 4 выстрела (16 выстрелов вместо 20 в СУ-152), что является существенным, так как мощность 203-мм выстрела значительно превосходит мощ</w:t>
      </w:r>
      <w:r w:rsidRPr="00D03F3E">
        <w:rPr>
          <w:i w:val="0"/>
          <w:color w:val="000000" w:themeColor="text1"/>
          <w:sz w:val="16"/>
          <w:szCs w:val="16"/>
        </w:rPr>
        <w:softHyphen/>
        <w:t>ность 152-мм выстрела.</w:t>
      </w:r>
    </w:p>
    <w:p w14:paraId="0E8A2981" w14:textId="77777777" w:rsidR="00B610FB" w:rsidRPr="00D03F3E" w:rsidRDefault="00B610FB" w:rsidP="00D03F3E">
      <w:pPr>
        <w:pStyle w:val="Bodytext141"/>
        <w:shd w:val="clear" w:color="auto" w:fill="auto"/>
        <w:tabs>
          <w:tab w:val="left" w:pos="2965"/>
        </w:tabs>
        <w:spacing w:line="240" w:lineRule="auto"/>
        <w:ind w:firstLine="0"/>
        <w:jc w:val="both"/>
        <w:rPr>
          <w:i w:val="0"/>
          <w:color w:val="000000" w:themeColor="text1"/>
          <w:sz w:val="16"/>
          <w:szCs w:val="16"/>
        </w:rPr>
      </w:pPr>
      <w:r w:rsidRPr="00D03F3E">
        <w:rPr>
          <w:i w:val="0"/>
          <w:color w:val="000000" w:themeColor="text1"/>
          <w:sz w:val="16"/>
          <w:szCs w:val="16"/>
        </w:rPr>
        <w:t>5. Скорострельность — один выстрел в 80 секунд для данного калибра можно считать допустимой.</w:t>
      </w:r>
    </w:p>
    <w:p w14:paraId="6566FC2C" w14:textId="77777777" w:rsidR="00B610FB" w:rsidRPr="00D03F3E" w:rsidRDefault="00B610FB" w:rsidP="00D03F3E">
      <w:pPr>
        <w:pStyle w:val="Bodytext141"/>
        <w:shd w:val="clear" w:color="auto" w:fill="auto"/>
        <w:tabs>
          <w:tab w:val="left" w:pos="2970"/>
        </w:tabs>
        <w:spacing w:line="240" w:lineRule="auto"/>
        <w:ind w:firstLine="0"/>
        <w:jc w:val="both"/>
        <w:rPr>
          <w:i w:val="0"/>
          <w:color w:val="000000" w:themeColor="text1"/>
          <w:sz w:val="16"/>
          <w:szCs w:val="16"/>
        </w:rPr>
      </w:pPr>
      <w:r w:rsidRPr="00D03F3E">
        <w:rPr>
          <w:i w:val="0"/>
          <w:color w:val="000000" w:themeColor="text1"/>
          <w:sz w:val="16"/>
          <w:szCs w:val="16"/>
        </w:rPr>
        <w:t>6. Размещение боеприпасов в боевом отделении, удобство заряжания и досылка снаряда спроектированы удовлетворительно, но требуют практической проверки на опытном образце.</w:t>
      </w:r>
    </w:p>
    <w:p w14:paraId="3AE51AAC" w14:textId="77777777" w:rsidR="00B610FB" w:rsidRPr="00D03F3E" w:rsidRDefault="00B610FB" w:rsidP="00D03F3E">
      <w:pPr>
        <w:pStyle w:val="Bodytext141"/>
        <w:shd w:val="clear" w:color="auto" w:fill="auto"/>
        <w:tabs>
          <w:tab w:val="left" w:pos="2946"/>
        </w:tabs>
        <w:spacing w:line="240" w:lineRule="auto"/>
        <w:ind w:firstLine="0"/>
        <w:jc w:val="both"/>
        <w:rPr>
          <w:i w:val="0"/>
          <w:color w:val="000000" w:themeColor="text1"/>
          <w:sz w:val="16"/>
          <w:szCs w:val="16"/>
        </w:rPr>
      </w:pPr>
      <w:r w:rsidRPr="00D03F3E">
        <w:rPr>
          <w:i w:val="0"/>
          <w:color w:val="000000" w:themeColor="text1"/>
          <w:sz w:val="16"/>
          <w:szCs w:val="16"/>
        </w:rPr>
        <w:t>7. Общий вес машины 45,8 тонны для данной ходовой части является предельным и на опытном образце ни в коем случае не должен быть превышен.</w:t>
      </w:r>
    </w:p>
    <w:p w14:paraId="023D078A" w14:textId="77777777" w:rsidR="00B610FB" w:rsidRPr="00D03F3E" w:rsidRDefault="00B610FB" w:rsidP="00D03F3E">
      <w:pPr>
        <w:pStyle w:val="Bodytext141"/>
        <w:shd w:val="clear" w:color="auto" w:fill="auto"/>
        <w:spacing w:line="240" w:lineRule="auto"/>
        <w:ind w:firstLine="0"/>
        <w:jc w:val="both"/>
        <w:rPr>
          <w:i w:val="0"/>
          <w:color w:val="000000" w:themeColor="text1"/>
          <w:sz w:val="16"/>
          <w:szCs w:val="16"/>
        </w:rPr>
      </w:pPr>
      <w:r w:rsidRPr="00D03F3E">
        <w:rPr>
          <w:i w:val="0"/>
          <w:color w:val="000000" w:themeColor="text1"/>
          <w:sz w:val="16"/>
          <w:szCs w:val="16"/>
        </w:rPr>
        <w:t>Выводы и предложения</w:t>
      </w:r>
    </w:p>
    <w:p w14:paraId="7A56DE72" w14:textId="77777777" w:rsidR="00B610FB" w:rsidRPr="00D03F3E" w:rsidRDefault="00B610FB" w:rsidP="00D03F3E">
      <w:pPr>
        <w:pStyle w:val="Bodytext141"/>
        <w:shd w:val="clear" w:color="auto" w:fill="auto"/>
        <w:tabs>
          <w:tab w:val="left" w:pos="2941"/>
        </w:tabs>
        <w:spacing w:line="240" w:lineRule="auto"/>
        <w:ind w:firstLine="0"/>
        <w:jc w:val="both"/>
        <w:rPr>
          <w:i w:val="0"/>
          <w:color w:val="000000" w:themeColor="text1"/>
          <w:sz w:val="16"/>
          <w:szCs w:val="16"/>
        </w:rPr>
      </w:pPr>
      <w:r w:rsidRPr="00D03F3E">
        <w:rPr>
          <w:i w:val="0"/>
          <w:color w:val="000000" w:themeColor="text1"/>
          <w:sz w:val="16"/>
          <w:szCs w:val="16"/>
        </w:rPr>
        <w:t>8. Самоходная 203-мм пушка М-17 значительно превосходит по своей мощности 152-мм пушку.</w:t>
      </w:r>
    </w:p>
    <w:p w14:paraId="71A0A6C9" w14:textId="77777777" w:rsidR="00B610FB" w:rsidRPr="00D03F3E" w:rsidRDefault="00B610FB" w:rsidP="00D03F3E">
      <w:pPr>
        <w:pStyle w:val="Bodytext141"/>
        <w:shd w:val="clear" w:color="auto" w:fill="auto"/>
        <w:tabs>
          <w:tab w:val="left" w:pos="2998"/>
        </w:tabs>
        <w:spacing w:line="240" w:lineRule="auto"/>
        <w:ind w:firstLine="0"/>
        <w:jc w:val="both"/>
        <w:rPr>
          <w:i w:val="0"/>
          <w:color w:val="000000" w:themeColor="text1"/>
          <w:sz w:val="16"/>
          <w:szCs w:val="16"/>
        </w:rPr>
      </w:pPr>
      <w:r w:rsidRPr="00D03F3E">
        <w:rPr>
          <w:i w:val="0"/>
          <w:color w:val="000000" w:themeColor="text1"/>
          <w:sz w:val="16"/>
          <w:szCs w:val="16"/>
        </w:rPr>
        <w:t>9. Целесообразно для целей разрушения оборонительных сооружений противника наряду с СУ-152 иметь в составе самоходной артилле</w:t>
      </w:r>
      <w:r w:rsidRPr="00D03F3E">
        <w:rPr>
          <w:i w:val="0"/>
          <w:color w:val="000000" w:themeColor="text1"/>
          <w:sz w:val="16"/>
          <w:szCs w:val="16"/>
        </w:rPr>
        <w:softHyphen/>
        <w:t>рии установки, вооруженные 203-мм пушками.</w:t>
      </w:r>
    </w:p>
    <w:p w14:paraId="3B2B6907" w14:textId="77777777" w:rsidR="00B610FB" w:rsidRPr="00D03F3E" w:rsidRDefault="00B610FB" w:rsidP="00D03F3E">
      <w:pPr>
        <w:pStyle w:val="Bodytext141"/>
        <w:shd w:val="clear" w:color="auto" w:fill="auto"/>
        <w:tabs>
          <w:tab w:val="left" w:pos="2935"/>
        </w:tabs>
        <w:spacing w:line="240" w:lineRule="auto"/>
        <w:ind w:firstLine="0"/>
        <w:jc w:val="both"/>
        <w:rPr>
          <w:i w:val="0"/>
          <w:color w:val="000000" w:themeColor="text1"/>
          <w:sz w:val="16"/>
          <w:szCs w:val="16"/>
        </w:rPr>
      </w:pPr>
      <w:r w:rsidRPr="00D03F3E">
        <w:rPr>
          <w:i w:val="0"/>
          <w:color w:val="000000" w:themeColor="text1"/>
          <w:sz w:val="16"/>
          <w:szCs w:val="16"/>
        </w:rPr>
        <w:t>10. Вес самоходной пушки М-17не должен превышать вес СУ-152.</w:t>
      </w:r>
    </w:p>
    <w:p w14:paraId="0B68FCB3" w14:textId="77777777" w:rsidR="00B610FB" w:rsidRPr="00D03F3E" w:rsidRDefault="00B610FB" w:rsidP="00D03F3E">
      <w:pPr>
        <w:pStyle w:val="Bodytext141"/>
        <w:shd w:val="clear" w:color="auto" w:fill="auto"/>
        <w:tabs>
          <w:tab w:val="left" w:pos="2979"/>
        </w:tabs>
        <w:spacing w:line="240" w:lineRule="auto"/>
        <w:ind w:firstLine="0"/>
        <w:jc w:val="both"/>
        <w:rPr>
          <w:i w:val="0"/>
          <w:color w:val="000000" w:themeColor="text1"/>
          <w:sz w:val="16"/>
          <w:szCs w:val="16"/>
        </w:rPr>
      </w:pPr>
      <w:r w:rsidRPr="00D03F3E">
        <w:rPr>
          <w:i w:val="0"/>
          <w:color w:val="000000" w:themeColor="text1"/>
          <w:sz w:val="16"/>
          <w:szCs w:val="16"/>
        </w:rPr>
        <w:t>11. В целях проверки возможности использования для вооружения са</w:t>
      </w:r>
      <w:r w:rsidRPr="00D03F3E">
        <w:rPr>
          <w:i w:val="0"/>
          <w:color w:val="000000" w:themeColor="text1"/>
          <w:sz w:val="16"/>
          <w:szCs w:val="16"/>
        </w:rPr>
        <w:softHyphen/>
        <w:t>моходных установок 203-мм пушки считаю целесообразным выпол</w:t>
      </w:r>
      <w:r w:rsidRPr="00D03F3E">
        <w:rPr>
          <w:i w:val="0"/>
          <w:color w:val="000000" w:themeColor="text1"/>
          <w:sz w:val="16"/>
          <w:szCs w:val="16"/>
        </w:rPr>
        <w:softHyphen/>
        <w:t>нить по проекту завода №172, с учетом замечаний УСА ГБТУ КА, опытный образец самохода и представить его на испытания ГБТУ КА и ГАУ КА для принятия окончательного решения»'.</w:t>
      </w:r>
    </w:p>
    <w:p w14:paraId="55B3199F" w14:textId="77777777" w:rsidR="00B610FB" w:rsidRPr="00D03F3E" w:rsidRDefault="00B610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Подобные выводы, казалось, откроют проекту зеленый свет, и штур</w:t>
      </w:r>
      <w:r w:rsidRPr="00D03F3E">
        <w:rPr>
          <w:rFonts w:ascii="Times New Roman" w:hAnsi="Times New Roman"/>
          <w:color w:val="000000" w:themeColor="text1"/>
          <w:sz w:val="16"/>
          <w:szCs w:val="16"/>
        </w:rPr>
        <w:softHyphen/>
        <w:t>мовая САУ с 203-мм гаубицей наконец будет реализована в металле. Но так думали в Управлении самоходной артиллерии, а артиллеристы оказались совсем иного мнения. Основной задачей М-17 являлось раз</w:t>
      </w:r>
      <w:r w:rsidRPr="00D03F3E">
        <w:rPr>
          <w:rFonts w:ascii="Times New Roman" w:hAnsi="Times New Roman"/>
          <w:color w:val="000000" w:themeColor="text1"/>
          <w:sz w:val="16"/>
          <w:szCs w:val="16"/>
        </w:rPr>
        <w:softHyphen/>
        <w:t>рушение вражеских укреплений, а здесь обнаружились нюансы. Расчет проникновения бетонобойного снаряда гаубицы М-40 показал, что на дистанции в 2000 метров его данные были выше бетонобойного снаря</w:t>
      </w:r>
      <w:r w:rsidRPr="00D03F3E">
        <w:rPr>
          <w:rFonts w:ascii="Times New Roman" w:hAnsi="Times New Roman"/>
          <w:color w:val="000000" w:themeColor="text1"/>
          <w:sz w:val="16"/>
          <w:szCs w:val="16"/>
        </w:rPr>
        <w:softHyphen/>
        <w:t>да МЛ-20 всего на 4%, на дистанции 1000 метров характеристики урав</w:t>
      </w:r>
      <w:r w:rsidRPr="00D03F3E">
        <w:rPr>
          <w:rFonts w:ascii="Times New Roman" w:hAnsi="Times New Roman"/>
          <w:color w:val="000000" w:themeColor="text1"/>
          <w:sz w:val="16"/>
          <w:szCs w:val="16"/>
        </w:rPr>
        <w:softHyphen/>
        <w:t xml:space="preserve">нивались, а на дальности 200 метров ниже на 6%! А ведь именно на этих дистанциях предстояло вести огонь по вражеским ДОТам. Таким образом, в целесообразности постройки М-17 были высказаны огромные </w:t>
      </w:r>
      <w:r w:rsidRPr="00D03F3E">
        <w:rPr>
          <w:rStyle w:val="Tablecaption2"/>
          <w:rFonts w:ascii="Times New Roman" w:hAnsi="Times New Roman"/>
          <w:color w:val="000000" w:themeColor="text1"/>
          <w:sz w:val="16"/>
          <w:szCs w:val="16"/>
        </w:rPr>
        <w:t>сомнения, что отмечалось в письме Артиллерийского комитета ГАУ КА, датированном 26 июля 1943 года (17484)</w:t>
      </w:r>
    </w:p>
    <w:p w14:paraId="52EAC440" w14:textId="77777777" w:rsidR="00B610FB" w:rsidRPr="00D03F3E" w:rsidRDefault="00B610FB" w:rsidP="00D03F3E">
      <w:pPr>
        <w:spacing w:after="0" w:line="240" w:lineRule="auto"/>
        <w:jc w:val="both"/>
        <w:rPr>
          <w:rFonts w:ascii="Times New Roman" w:hAnsi="Times New Roman"/>
          <w:color w:val="000000" w:themeColor="text1"/>
          <w:sz w:val="16"/>
          <w:szCs w:val="16"/>
        </w:rPr>
      </w:pPr>
    </w:p>
    <w:p w14:paraId="13779CC6" w14:textId="77777777" w:rsidR="00B610FB" w:rsidRPr="00D03F3E" w:rsidRDefault="00B610FB" w:rsidP="00D03F3E">
      <w:pPr>
        <w:pStyle w:val="a3"/>
        <w:rPr>
          <w:color w:val="000000" w:themeColor="text1"/>
          <w:lang w:val="ru-RU"/>
        </w:rPr>
      </w:pPr>
      <w:r w:rsidRPr="00D03F3E">
        <w:rPr>
          <w:color w:val="000000" w:themeColor="text1"/>
          <w:lang w:val="ru-RU"/>
        </w:rPr>
        <w:t>Весной 1943 года среди опытных работ по СУ-152 значилась установка в САУ 122-мм корпусной пушки-гаубицы А-19. Санкционировал данные работы Артиллерийский комитет ГАУ КА, в качестве исполнителей выступал ЧКЗ и завод №172. По состоянию на 29 апреля 1943 года одна система А-19 была получена ЧКЗ и шли работы по ее установке, а также разра</w:t>
      </w:r>
      <w:r w:rsidRPr="00D03F3E">
        <w:rPr>
          <w:color w:val="000000" w:themeColor="text1"/>
          <w:lang w:val="ru-RU"/>
        </w:rPr>
        <w:softHyphen/>
        <w:t>батывалась боеукладка. Опытный образец СУ-152 с пушкой А-19 ожи</w:t>
      </w:r>
      <w:r w:rsidRPr="00D03F3E">
        <w:rPr>
          <w:color w:val="000000" w:themeColor="text1"/>
          <w:lang w:val="ru-RU"/>
        </w:rPr>
        <w:softHyphen/>
        <w:t>дался к 10 мая, но работы по разным причинам застопорились (17484).</w:t>
      </w:r>
    </w:p>
    <w:p w14:paraId="6EC62361" w14:textId="77777777" w:rsidR="00B610FB" w:rsidRPr="00D03F3E" w:rsidRDefault="00B610FB" w:rsidP="00D03F3E">
      <w:pPr>
        <w:spacing w:after="0" w:line="240" w:lineRule="auto"/>
        <w:jc w:val="both"/>
        <w:rPr>
          <w:rFonts w:ascii="Times New Roman" w:hAnsi="Times New Roman"/>
          <w:color w:val="000000" w:themeColor="text1"/>
          <w:sz w:val="16"/>
          <w:szCs w:val="16"/>
        </w:rPr>
      </w:pPr>
    </w:p>
    <w:p w14:paraId="42483D12" w14:textId="77777777" w:rsidR="00AD620A" w:rsidRPr="00D03F3E"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Весной 1943 года КБ завода №9 прорабатывала возможность установки У-3 уже в СУ-152. Созданный эскиз был крайне условным. Если бы такую машину построили в металле, то бронировка орудийной маски наверняка осталась такой же, как у СУ-152. Дальше этого наброска, впрочем, дело не продвинулось. Дело в том, что снаряд У-3, идентичный снаряду 203-мм гаубицы особой мощности Б-4, весил 100 килограмм. Не совсем понятно, как боезапас из таких снарядов размещался бы в весьма узкой и низкой рубке КВ-14. И совсем непонятно, как заряжающий мог бы заряжать их вручную, ведь из-за малой высоты рубки КВ-14 разместить в ней крановое оборудование, как в У-19, вряд ли бы удалось.</w:t>
      </w:r>
    </w:p>
    <w:p w14:paraId="685BA6B1" w14:textId="77777777" w:rsidR="00AD620A" w:rsidRPr="00D03F3E"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1943 году окончательно закатилась звезда 203-мм гаубицы большой мощности У-3. В серию орудие не пошло, и перспективы проекта вооружённой ею САУ становились ещё более туманными. Не была реализована и идея наложения ствола У-3 на лафет МЛ-20, хотя в феврале 1943 года появилось указание изготовить опытный образец. Модернизированная версия гаубицы У-3 со стволом, удлиненным до баллистики Б-4, получившая индекс У-3БМ, тоже не была воплощена в металле (17701).</w:t>
      </w:r>
    </w:p>
    <w:p w14:paraId="1F16B543" w14:textId="77777777" w:rsidR="00AD620A" w:rsidRPr="00D03F3E" w:rsidRDefault="00AD620A" w:rsidP="00D03F3E">
      <w:pPr>
        <w:pStyle w:val="12a"/>
        <w:shd w:val="clear" w:color="auto" w:fill="auto"/>
        <w:spacing w:after="0" w:line="240" w:lineRule="auto"/>
        <w:jc w:val="both"/>
        <w:rPr>
          <w:color w:val="000000" w:themeColor="text1"/>
          <w:sz w:val="16"/>
          <w:szCs w:val="16"/>
        </w:rPr>
      </w:pPr>
    </w:p>
    <w:p w14:paraId="4534807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совместными усилиями трех заводов - ЧКЗ, № 100 и № 200 был изготовлен Опыт</w:t>
      </w:r>
      <w:r w:rsidRPr="00D03F3E">
        <w:rPr>
          <w:rFonts w:ascii="Times New Roman" w:hAnsi="Times New Roman"/>
          <w:color w:val="000000" w:themeColor="text1"/>
          <w:sz w:val="16"/>
          <w:szCs w:val="16"/>
        </w:rPr>
        <w:softHyphen/>
        <w:t>ный образец танка, получивший наименование "Иосиф Сталин № 2" (ИС № 2) и с 22 марта по 3 апреля 1943 г. прошел заводские испытания в районе Челябинска. Дальнейшие работы по усо</w:t>
      </w:r>
      <w:r w:rsidRPr="00D03F3E">
        <w:rPr>
          <w:rFonts w:ascii="Times New Roman" w:hAnsi="Times New Roman"/>
          <w:color w:val="000000" w:themeColor="text1"/>
          <w:sz w:val="16"/>
          <w:szCs w:val="16"/>
        </w:rPr>
        <w:softHyphen/>
        <w:t>вершенствованию опытного образца привели к созданию танка "Объект 237". Танк ИС № 2 был создан на базе узлов и агрегатов второго варианта среднего танка КВ-13 ("Объект 233") с использованием башни с воору</w:t>
      </w:r>
      <w:r w:rsidRPr="00D03F3E">
        <w:rPr>
          <w:rFonts w:ascii="Times New Roman" w:hAnsi="Times New Roman"/>
          <w:color w:val="000000" w:themeColor="text1"/>
          <w:sz w:val="16"/>
          <w:szCs w:val="16"/>
        </w:rPr>
        <w:softHyphen/>
        <w:t>жением от опытного танка КВ-9. Экипаж танка состоял из пяти чело</w:t>
      </w:r>
      <w:r w:rsidRPr="00D03F3E">
        <w:rPr>
          <w:rFonts w:ascii="Times New Roman" w:hAnsi="Times New Roman"/>
          <w:color w:val="000000" w:themeColor="text1"/>
          <w:sz w:val="16"/>
          <w:szCs w:val="16"/>
        </w:rPr>
        <w:softHyphen/>
        <w:t>век. Машина имела классическую схему общей компоновки. Корпус танка был разделен на четыре отделения: управления, боевое, моторное и трансмиссионное (10703).</w:t>
      </w:r>
    </w:p>
    <w:p w14:paraId="0A3126C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AA8859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после испытаний обстрелом захваченного в боях под г. Ленинградом тяжелого немецкого танка Т-VI "Тигр I" вновь были раз</w:t>
      </w:r>
      <w:r w:rsidRPr="00D03F3E">
        <w:rPr>
          <w:rFonts w:ascii="Times New Roman" w:hAnsi="Times New Roman"/>
          <w:color w:val="000000" w:themeColor="text1"/>
          <w:sz w:val="16"/>
          <w:szCs w:val="16"/>
        </w:rPr>
        <w:softHyphen/>
        <w:t>вернуты работы по созданию 85-мм пушек для тяжелого танка. ЦАКБ НКВ разработало 85-мм пушку С-31, а завод № 9 в период с 15 мая по 10 июня 1943 г. доработал конструкцию пушки У-12 и представил ее на ис</w:t>
      </w:r>
      <w:r w:rsidRPr="00D03F3E">
        <w:rPr>
          <w:rFonts w:ascii="Times New Roman" w:hAnsi="Times New Roman"/>
          <w:color w:val="000000" w:themeColor="text1"/>
          <w:sz w:val="16"/>
          <w:szCs w:val="16"/>
        </w:rPr>
        <w:softHyphen/>
        <w:t>пытания под индексом Д-5Т-85. Совместные испытания опытных тан</w:t>
      </w:r>
      <w:r w:rsidRPr="00D03F3E">
        <w:rPr>
          <w:rFonts w:ascii="Times New Roman" w:hAnsi="Times New Roman"/>
          <w:color w:val="000000" w:themeColor="text1"/>
          <w:sz w:val="16"/>
          <w:szCs w:val="16"/>
        </w:rPr>
        <w:softHyphen/>
        <w:t>ков КВ-1 С и ИС-1 с пушками С-31 и Д-5Т-85 показали преимущество орудия завода № 9, которое и было принято на вооружение. С августа 1943 г. 85-мм танковая пушка Д-5Т-85 стала устанавливаться на тяже</w:t>
      </w:r>
      <w:r w:rsidRPr="00D03F3E">
        <w:rPr>
          <w:rFonts w:ascii="Times New Roman" w:hAnsi="Times New Roman"/>
          <w:color w:val="000000" w:themeColor="text1"/>
          <w:sz w:val="16"/>
          <w:szCs w:val="16"/>
        </w:rPr>
        <w:softHyphen/>
        <w:t>лых танках КВ-85, а сентября того же года - на тяжелых танках ИС-1. В сентябре - ноябре 1943 г. на заводе № 183 эта пушка была установ</w:t>
      </w:r>
      <w:r w:rsidRPr="00D03F3E">
        <w:rPr>
          <w:rFonts w:ascii="Times New Roman" w:hAnsi="Times New Roman"/>
          <w:color w:val="000000" w:themeColor="text1"/>
          <w:sz w:val="16"/>
          <w:szCs w:val="16"/>
        </w:rPr>
        <w:softHyphen/>
        <w:t>лена в танк Т-34 с увеличенным до 1600 мм диаметром опоры башни и успешно прошла полигонные испытания. 15 декабря 1943 г. она была принята на вооружение танка Т-34-85 обр. 1943 г. (10703).</w:t>
      </w:r>
    </w:p>
    <w:p w14:paraId="4E18E22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2BA87072" w14:textId="77777777" w:rsidR="00AA27F1" w:rsidRPr="00D03F3E" w:rsidRDefault="00AA27F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Весна 1943 года оказалась временем больших перемен. Одной из причин тому стал захват 18 января 1943 года под Ленинградом двух образцов немецкого тяжёлого танка </w:t>
      </w:r>
      <w:hyperlink r:id="rId179" w:history="1">
        <w:r w:rsidRPr="00D03F3E">
          <w:rPr>
            <w:rStyle w:val="a5"/>
            <w:rFonts w:ascii="Times New Roman" w:hAnsi="Times New Roman"/>
            <w:color w:val="000000" w:themeColor="text1"/>
            <w:sz w:val="16"/>
            <w:szCs w:val="16"/>
          </w:rPr>
          <w:t>Pz.Kpfw.Tiger Ausf.E</w:t>
        </w:r>
      </w:hyperlink>
      <w:r w:rsidRPr="00D03F3E">
        <w:rPr>
          <w:rFonts w:ascii="Times New Roman" w:hAnsi="Times New Roman"/>
          <w:color w:val="000000" w:themeColor="text1"/>
          <w:sz w:val="16"/>
          <w:szCs w:val="16"/>
        </w:rPr>
        <w:t>. На НИБТ Полигон они прибыли к апрелю 1943 года, но уже в марте Артком ГАУ КА возобновил активность по 85-мм пушкам, которые проектировались для тяжёлых танков ещё с лета 1940 года. 26 марта 1943 года были подготовлены тактико-технические требования на орудие калибра 85 м, предназначенное для тяжёлых танков </w:t>
      </w:r>
      <w:hyperlink r:id="rId180" w:history="1">
        <w:r w:rsidRPr="00D03F3E">
          <w:rPr>
            <w:rStyle w:val="a5"/>
            <w:rFonts w:ascii="Times New Roman" w:hAnsi="Times New Roman"/>
            <w:color w:val="000000" w:themeColor="text1"/>
            <w:sz w:val="16"/>
            <w:szCs w:val="16"/>
          </w:rPr>
          <w:t>КВ-1с</w:t>
        </w:r>
      </w:hyperlink>
      <w:r w:rsidRPr="00D03F3E">
        <w:rPr>
          <w:rFonts w:ascii="Times New Roman" w:hAnsi="Times New Roman"/>
          <w:color w:val="000000" w:themeColor="text1"/>
          <w:sz w:val="16"/>
          <w:szCs w:val="16"/>
        </w:rPr>
        <w:t> и ИС (имеется в виду второй вариант КВ-13). Т-43 в них не значился, тем не менее в пояснительной записке по орудию С-31, разработанному в ЦАКБ, уже упоминался Т-43 как потенциальный носитель данного орудия. Подробно в ЦАКБ установку С-31 в башню Т-43 не прорабатывали, тем не менее это был первый звоночек. Более того, записка датирована 17 мая 1943 года — к этому моменту общая проработка Т-43 была закончена, и Морозов вряд ли рассчитывал на то, что в башне появится более крупная, чем Ф-34, система. Что же касается Д-5 (разработанной в КБ завода №9 системы, являвшейся главным конкурентом С-31), то там по состоянию на май 1943 года Т-43 даже не упоминался (18587).</w:t>
      </w:r>
    </w:p>
    <w:p w14:paraId="77EE986E" w14:textId="77777777" w:rsidR="00AA27F1" w:rsidRPr="00D03F3E" w:rsidRDefault="00AA27F1" w:rsidP="00D03F3E">
      <w:pPr>
        <w:spacing w:after="0" w:line="240" w:lineRule="auto"/>
        <w:jc w:val="both"/>
        <w:rPr>
          <w:rFonts w:ascii="Times New Roman" w:hAnsi="Times New Roman"/>
          <w:color w:val="000000" w:themeColor="text1"/>
          <w:sz w:val="16"/>
          <w:szCs w:val="16"/>
        </w:rPr>
      </w:pPr>
    </w:p>
    <w:p w14:paraId="175ABE0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группа МТО «отдела 520» УТЗ им. Сталина предложила на суд руководства НКТП схему уплотнения компоновки танка Т-34 путем размещения двигателя попе</w:t>
      </w:r>
      <w:r w:rsidRPr="00D03F3E">
        <w:rPr>
          <w:rFonts w:ascii="Times New Roman" w:hAnsi="Times New Roman"/>
          <w:color w:val="000000" w:themeColor="text1"/>
          <w:sz w:val="16"/>
          <w:szCs w:val="16"/>
        </w:rPr>
        <w:softHyphen/>
        <w:t>рек силового отделения. Опытные работы над ней А. Моро</w:t>
      </w:r>
      <w:r w:rsidRPr="00D03F3E">
        <w:rPr>
          <w:rFonts w:ascii="Times New Roman" w:hAnsi="Times New Roman"/>
          <w:color w:val="000000" w:themeColor="text1"/>
          <w:sz w:val="16"/>
          <w:szCs w:val="16"/>
        </w:rPr>
        <w:softHyphen/>
        <w:t>зов начал, когда велись работы по доводке Т-43, который, ка</w:t>
      </w:r>
      <w:r w:rsidRPr="00D03F3E">
        <w:rPr>
          <w:rFonts w:ascii="Times New Roman" w:hAnsi="Times New Roman"/>
          <w:color w:val="000000" w:themeColor="text1"/>
          <w:sz w:val="16"/>
          <w:szCs w:val="16"/>
        </w:rPr>
        <w:softHyphen/>
        <w:t>залось бы, вот-вот примут на вооружение. В письме В. Ма</w:t>
      </w:r>
      <w:r w:rsidRPr="00D03F3E">
        <w:rPr>
          <w:rFonts w:ascii="Times New Roman" w:hAnsi="Times New Roman"/>
          <w:color w:val="000000" w:themeColor="text1"/>
          <w:sz w:val="16"/>
          <w:szCs w:val="16"/>
        </w:rPr>
        <w:softHyphen/>
        <w:t>лышеву от 17 июля 1943 г. он писал: «Уже закончены исследо</w:t>
      </w:r>
      <w:r w:rsidRPr="00D03F3E">
        <w:rPr>
          <w:rFonts w:ascii="Times New Roman" w:hAnsi="Times New Roman"/>
          <w:color w:val="000000" w:themeColor="text1"/>
          <w:sz w:val="16"/>
          <w:szCs w:val="16"/>
        </w:rPr>
        <w:softHyphen/>
        <w:t>вания недостатков компоновочного решения танка Т-34, кото</w:t>
      </w:r>
      <w:r w:rsidRPr="00D03F3E">
        <w:rPr>
          <w:rFonts w:ascii="Times New Roman" w:hAnsi="Times New Roman"/>
          <w:color w:val="000000" w:themeColor="text1"/>
          <w:sz w:val="16"/>
          <w:szCs w:val="16"/>
        </w:rPr>
        <w:softHyphen/>
        <w:t>рые указывают, что значительно улучшить пространство бое</w:t>
      </w:r>
      <w:r w:rsidRPr="00D03F3E">
        <w:rPr>
          <w:rFonts w:ascii="Times New Roman" w:hAnsi="Times New Roman"/>
          <w:color w:val="000000" w:themeColor="text1"/>
          <w:sz w:val="16"/>
          <w:szCs w:val="16"/>
        </w:rPr>
        <w:softHyphen/>
        <w:t>вого отделения можно за счет отказа от размещения двигате</w:t>
      </w:r>
      <w:r w:rsidRPr="00D03F3E">
        <w:rPr>
          <w:rFonts w:ascii="Times New Roman" w:hAnsi="Times New Roman"/>
          <w:color w:val="000000" w:themeColor="text1"/>
          <w:sz w:val="16"/>
          <w:szCs w:val="16"/>
        </w:rPr>
        <w:softHyphen/>
        <w:t>ля и трансмиссии в корме нового танка или более плотной ком</w:t>
      </w:r>
      <w:r w:rsidRPr="00D03F3E">
        <w:rPr>
          <w:rFonts w:ascii="Times New Roman" w:hAnsi="Times New Roman"/>
          <w:color w:val="000000" w:themeColor="text1"/>
          <w:sz w:val="16"/>
          <w:szCs w:val="16"/>
        </w:rPr>
        <w:softHyphen/>
        <w:t>поновкой моторного аггрегата и отделения в целом...</w:t>
      </w:r>
    </w:p>
    <w:p w14:paraId="0F39EFF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Мы видим, что это возможно осуществить сегодня за счет размещения двигательного аггрегата поперек хода машины по схеме,изображенной на черт. 2. Прошу Вашего указания об из</w:t>
      </w:r>
      <w:r w:rsidRPr="00D03F3E">
        <w:rPr>
          <w:rFonts w:ascii="Times New Roman" w:hAnsi="Times New Roman"/>
          <w:color w:val="000000" w:themeColor="text1"/>
          <w:sz w:val="16"/>
          <w:szCs w:val="16"/>
        </w:rPr>
        <w:softHyphen/>
        <w:t>готовлении ходового макета танка по данной схеме и включе</w:t>
      </w:r>
      <w:r w:rsidRPr="00D03F3E">
        <w:rPr>
          <w:rFonts w:ascii="Times New Roman" w:hAnsi="Times New Roman"/>
          <w:color w:val="000000" w:themeColor="text1"/>
          <w:sz w:val="16"/>
          <w:szCs w:val="16"/>
        </w:rPr>
        <w:softHyphen/>
        <w:t>нии программы его испытаний в план следующего полугодия...»</w:t>
      </w:r>
    </w:p>
    <w:p w14:paraId="3CB67D4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в ходе обсуждения эскиза в ОГК НКТП, види</w:t>
      </w:r>
      <w:r w:rsidRPr="00D03F3E">
        <w:rPr>
          <w:rFonts w:ascii="Times New Roman" w:hAnsi="Times New Roman"/>
          <w:color w:val="000000" w:themeColor="text1"/>
          <w:sz w:val="16"/>
          <w:szCs w:val="16"/>
        </w:rPr>
        <w:softHyphen/>
        <w:t>мо, было принято решение, что предложенную схему про</w:t>
      </w:r>
      <w:r w:rsidRPr="00D03F3E">
        <w:rPr>
          <w:rFonts w:ascii="Times New Roman" w:hAnsi="Times New Roman"/>
          <w:color w:val="000000" w:themeColor="text1"/>
          <w:sz w:val="16"/>
          <w:szCs w:val="16"/>
        </w:rPr>
        <w:softHyphen/>
        <w:t>ще реализовать не в существующем корпусе Т-34, а в тан</w:t>
      </w:r>
      <w:r w:rsidRPr="00D03F3E">
        <w:rPr>
          <w:rFonts w:ascii="Times New Roman" w:hAnsi="Times New Roman"/>
          <w:color w:val="000000" w:themeColor="text1"/>
          <w:sz w:val="16"/>
          <w:szCs w:val="16"/>
        </w:rPr>
        <w:softHyphen/>
        <w:t>ке нового типа с учетом переработки не только силового отделения, но также отделения управления и боевого. Очевидно, что тут же возникло предложение реализовать на данном танке все новшества, разработанные в ходе войны в системах питания, охлаждения, трансмиссии и подвески Т-34.</w:t>
      </w:r>
    </w:p>
    <w:p w14:paraId="3FF1551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завершение работ с Т-43, Вячеслав Малы</w:t>
      </w:r>
      <w:r w:rsidRPr="00D03F3E">
        <w:rPr>
          <w:rFonts w:ascii="Times New Roman" w:hAnsi="Times New Roman"/>
          <w:color w:val="000000" w:themeColor="text1"/>
          <w:sz w:val="16"/>
          <w:szCs w:val="16"/>
        </w:rPr>
        <w:softHyphen/>
        <w:t>шев все-таки активно поддерживал создание нового танка и даже смог «пробить» приоритетные работы над ним не</w:t>
      </w:r>
      <w:r w:rsidRPr="00D03F3E">
        <w:rPr>
          <w:rFonts w:ascii="Times New Roman" w:hAnsi="Times New Roman"/>
          <w:color w:val="000000" w:themeColor="text1"/>
          <w:sz w:val="16"/>
          <w:szCs w:val="16"/>
        </w:rPr>
        <w:softHyphen/>
        <w:t>посредственно в ГКО.</w:t>
      </w:r>
    </w:p>
    <w:p w14:paraId="2859A7E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инициатива отделов 520 и 540 УВЗ бы</w:t>
      </w:r>
      <w:r w:rsidRPr="00D03F3E">
        <w:rPr>
          <w:rFonts w:ascii="Times New Roman" w:hAnsi="Times New Roman"/>
          <w:color w:val="000000" w:themeColor="text1"/>
          <w:sz w:val="16"/>
          <w:szCs w:val="16"/>
        </w:rPr>
        <w:softHyphen/>
        <w:t>ла «наказана» не только открытием заказа на создание нового танка (чему все были, несомненно, рады), но также и установлением ГКО довольно жестких сроков по его готовности к заводским полигонным испытаниям (их должны были провести не позднее 10 января 1944 г.).</w:t>
      </w:r>
    </w:p>
    <w:p w14:paraId="128AEEE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изготовлении опытного образца сотрудники УВЗ столкнулись с рядом серьезных проблем, к которым относи</w:t>
      </w:r>
      <w:r w:rsidRPr="00D03F3E">
        <w:rPr>
          <w:rFonts w:ascii="Times New Roman" w:hAnsi="Times New Roman"/>
          <w:color w:val="000000" w:themeColor="text1"/>
          <w:sz w:val="16"/>
          <w:szCs w:val="16"/>
        </w:rPr>
        <w:softHyphen/>
        <w:t>лась, например, нарезка зубчатого венца башни диаметром более 1600 мм, так как карусельные станки для такой ответ</w:t>
      </w:r>
      <w:r w:rsidRPr="00D03F3E">
        <w:rPr>
          <w:rFonts w:ascii="Times New Roman" w:hAnsi="Times New Roman"/>
          <w:color w:val="000000" w:themeColor="text1"/>
          <w:sz w:val="16"/>
          <w:szCs w:val="16"/>
        </w:rPr>
        <w:softHyphen/>
        <w:t>ственной операции ожидались на заводе лишь к февралю. ЧКЗ, проделавший такую операцию для Т-43-П и опытных Т-34-85, лихорадило от большого объема работ по освоению ИС-122, а завод № 112 мужественно переключался на про</w:t>
      </w:r>
      <w:r w:rsidRPr="00D03F3E">
        <w:rPr>
          <w:rFonts w:ascii="Times New Roman" w:hAnsi="Times New Roman"/>
          <w:color w:val="000000" w:themeColor="text1"/>
          <w:sz w:val="16"/>
          <w:szCs w:val="16"/>
        </w:rPr>
        <w:softHyphen/>
        <w:t>грамму Т-34-85. Поэтому для проведения предварительных испытаний первый образец Т-44 по разрешению наркома танковой промышленности был оснащен опытной башней танка Т-43 с уширенным до 1600 мм погоном. На танк был установлен также опытный двигатель В-2-УМ, мощностью 520 л.с. (также созданный для Т-43 из В-2-ИС). Электро- и радиооборудование первого Т-44 были переставлены с ко</w:t>
      </w:r>
      <w:r w:rsidRPr="00D03F3E">
        <w:rPr>
          <w:rFonts w:ascii="Times New Roman" w:hAnsi="Times New Roman"/>
          <w:color w:val="000000" w:themeColor="text1"/>
          <w:sz w:val="16"/>
          <w:szCs w:val="16"/>
        </w:rPr>
        <w:softHyphen/>
        <w:t>мандирского Т-34-85 (второго опытного образца). Таким об</w:t>
      </w:r>
      <w:r w:rsidRPr="00D03F3E">
        <w:rPr>
          <w:rFonts w:ascii="Times New Roman" w:hAnsi="Times New Roman"/>
          <w:color w:val="000000" w:themeColor="text1"/>
          <w:sz w:val="16"/>
          <w:szCs w:val="16"/>
        </w:rPr>
        <w:softHyphen/>
        <w:t>разом, первый образец Т-44 был уникален во многих отно</w:t>
      </w:r>
      <w:r w:rsidRPr="00D03F3E">
        <w:rPr>
          <w:rFonts w:ascii="Times New Roman" w:hAnsi="Times New Roman"/>
          <w:color w:val="000000" w:themeColor="text1"/>
          <w:sz w:val="16"/>
          <w:szCs w:val="16"/>
        </w:rPr>
        <w:softHyphen/>
        <w:t>шениях, представляя собой конгломерат узлов разных опыт</w:t>
      </w:r>
      <w:r w:rsidRPr="00D03F3E">
        <w:rPr>
          <w:rFonts w:ascii="Times New Roman" w:hAnsi="Times New Roman"/>
          <w:color w:val="000000" w:themeColor="text1"/>
          <w:sz w:val="16"/>
          <w:szCs w:val="16"/>
        </w:rPr>
        <w:softHyphen/>
        <w:t>ных уральских танков, вставленных в корпус нового типа (11135).</w:t>
      </w:r>
    </w:p>
    <w:p w14:paraId="76FC17A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023D4D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весны 1943 г. завод № 112 становится пионером по разра</w:t>
      </w:r>
      <w:r w:rsidRPr="00D03F3E">
        <w:rPr>
          <w:rFonts w:ascii="Times New Roman" w:hAnsi="Times New Roman"/>
          <w:color w:val="000000" w:themeColor="text1"/>
          <w:sz w:val="16"/>
          <w:szCs w:val="16"/>
        </w:rPr>
        <w:softHyphen/>
        <w:t>ботке множества полезных нововведений для Т-34. Впрочем, еще в 1942 г. по многочисленным просьбам танкистов завод начал установку поручней для экипажа и десанта не только на бортах, но также лобовой броне и башне Т-34. В мае 1943 г. было разработано и внедрено сцепное буксирное устройство, позволяющее использовать Т-34 в качестве тягача для перевозки прицепов с грузом на марше и артиллерийских орудий в бою (11135).</w:t>
      </w:r>
    </w:p>
    <w:p w14:paraId="39A9AD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D64719B" w14:textId="77777777" w:rsidR="00FD6DE2" w:rsidRPr="00D03F3E" w:rsidRDefault="00FD6DE2" w:rsidP="00D03F3E">
      <w:pPr>
        <w:pStyle w:val="a3"/>
        <w:rPr>
          <w:color w:val="000000" w:themeColor="text1"/>
          <w:lang w:val="ru-RU"/>
        </w:rPr>
      </w:pPr>
      <w:r w:rsidRPr="00D03F3E">
        <w:rPr>
          <w:color w:val="000000" w:themeColor="text1"/>
          <w:lang w:val="ru-RU"/>
        </w:rPr>
        <w:t>Весной 1943 года, когда группа конструкторов завода № 183 пересмотрела компоновку танка Т-34 и предложила изменить размещение в нём двигателя, началась разработка Т-44. Переставив двигатель поперёк хода движения, можно было уплотнить моторно-трансмиссионное отделение и за счёт этого снизить высоту танка, что открывало возможности для усиления бронирования без существенного увеличения веса танка. Возглавив наркомат, В. А. Малышев принял решение начать разработку принципиально нового среднего танка, использующую эти свежие идеи (12290).</w:t>
      </w:r>
    </w:p>
    <w:p w14:paraId="5167293D" w14:textId="77777777" w:rsidR="00FD6DE2" w:rsidRPr="00D03F3E" w:rsidRDefault="00FD6DE2" w:rsidP="00D03F3E">
      <w:pPr>
        <w:spacing w:after="0" w:line="240" w:lineRule="auto"/>
        <w:jc w:val="both"/>
        <w:rPr>
          <w:rFonts w:ascii="Times New Roman" w:hAnsi="Times New Roman"/>
          <w:color w:val="000000" w:themeColor="text1"/>
          <w:sz w:val="16"/>
          <w:szCs w:val="16"/>
        </w:rPr>
      </w:pPr>
    </w:p>
    <w:p w14:paraId="7DA5F282"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года, параллельно с работами по ЗИС-4, началось проектирование и мощных 76 и 85-мм орудий. В первую очередь, естественно пытались улучшить баллистику Ф-34. Для этого завод № 172 попытался удлинить ее ствол на 10 калибров и повысить начальную скорость бронебойного снаряда с 662 до 748 м/с, увеличив таким образом мощность орудия. Однако этот проект одобрения не получил (12217).</w:t>
      </w:r>
    </w:p>
    <w:p w14:paraId="62554DE6" w14:textId="77777777" w:rsidR="00FD6DE2" w:rsidRPr="00D03F3E" w:rsidRDefault="00FD6DE2" w:rsidP="00D03F3E">
      <w:pPr>
        <w:spacing w:after="0" w:line="240" w:lineRule="auto"/>
        <w:jc w:val="both"/>
        <w:rPr>
          <w:rFonts w:ascii="Times New Roman" w:hAnsi="Times New Roman"/>
          <w:color w:val="000000" w:themeColor="text1"/>
          <w:sz w:val="16"/>
          <w:szCs w:val="16"/>
        </w:rPr>
      </w:pPr>
    </w:p>
    <w:p w14:paraId="7D9A6750"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года, на основе данного постановления № 3092сс начались испытания на гарантийный километраж пяти тридцатьчетверок производства заводов № 183. № 112, № 174 ЧКЗ и УЗТМ. Испытания начались 16 мая 1943 года в районе Казани по проселочным дорогам и целине «с отрывом от базы на расстояние 100150 километров». Их материалы интересны тем, что по ним можно сравнить характеристики машин разных заводов. По первому этапу, завершенному 30 мая, были сделаны следующие выводы по качеству танков Т-34:</w:t>
      </w:r>
    </w:p>
    <w:p w14:paraId="277A6472"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Общими недостатками всех танков, которые снижают эксплуатационные возможности и требуют большой затраты времени на их устранение при обслуживании и ремонте являются:</w:t>
      </w:r>
    </w:p>
    <w:p w14:paraId="1D6C30F9"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Плохое качество крепежей деталей и надежность их фиксации;</w:t>
      </w:r>
    </w:p>
    <w:p w14:paraId="5A9F85D7"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ТанкТ-34-85с пушкой ЗИС-С-53 выпусказавода № 112 «Красное Сормово» марта 1944года, вид спереди (ЦАМО).</w:t>
      </w:r>
    </w:p>
    <w:p w14:paraId="34DE6A97"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w:t>
      </w:r>
      <w:r w:rsidRPr="00D03F3E">
        <w:rPr>
          <w:rFonts w:ascii="Times New Roman" w:hAnsi="Times New Roman"/>
          <w:color w:val="000000" w:themeColor="text1"/>
          <w:sz w:val="16"/>
          <w:szCs w:val="16"/>
        </w:rPr>
        <w:tab/>
        <w:t>Неудовлетворительный контроль при сборке танков на заводах;</w:t>
      </w:r>
    </w:p>
    <w:p w14:paraId="53ABE265"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w:t>
      </w:r>
      <w:r w:rsidRPr="00D03F3E">
        <w:rPr>
          <w:rFonts w:ascii="Times New Roman" w:hAnsi="Times New Roman"/>
          <w:color w:val="000000" w:themeColor="text1"/>
          <w:sz w:val="16"/>
          <w:szCs w:val="16"/>
        </w:rPr>
        <w:tab/>
        <w:t>Несоблюдение допусков на резьбу;</w:t>
      </w:r>
    </w:p>
    <w:p w14:paraId="041917BC"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w:t>
      </w:r>
      <w:r w:rsidRPr="00D03F3E">
        <w:rPr>
          <w:rFonts w:ascii="Times New Roman" w:hAnsi="Times New Roman"/>
          <w:color w:val="000000" w:themeColor="text1"/>
          <w:sz w:val="16"/>
          <w:szCs w:val="16"/>
        </w:rPr>
        <w:tab/>
        <w:t>Небрежное выполнение сварных соединений;</w:t>
      </w:r>
    </w:p>
    <w:p w14:paraId="51B02F02"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Наилучшую надежность при испытании танков Т-34 показал танк УЗТМ, прошедший первую тысячу километров за пять ходовых дней.</w:t>
      </w:r>
    </w:p>
    <w:p w14:paraId="6F0843E7"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Выводы:</w:t>
      </w:r>
    </w:p>
    <w:p w14:paraId="2B21EF81"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Тщательное техническое обслуживание обеспечивает надежную и безостановочную работу танков только в пределах 100-300 километров.</w:t>
      </w:r>
    </w:p>
    <w:p w14:paraId="4FEDE1A2"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Безостановочное движение всех танков лимитирует, а зачастую приводит к серьезным поломкам агрегатов и деталей плохое качество нормалей и ненадежная фиксация крепежа. Указанные недостатки объяснняются недостаточным контролем. производимым при сборке танков на заводах. Ненадежный крепеж в 2-3 раза увеличивает объем работы, затрачиваемой на техническое обслуживание танка относительно объема, указанного в руководстве службы.</w:t>
      </w:r>
    </w:p>
    <w:p w14:paraId="73F5DF69"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частые поломки и неисправности танков вследствие конструктивных и производственных недостатков, а также вследствие низкого качества крепежных деталей и слабого контроля за сборкой танков на заводе, снижают эксплуатационные возможности всех танков.</w:t>
      </w:r>
    </w:p>
    <w:p w14:paraId="3A88BE00"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Из всех танков за пять ходовых дней прошел без серьезных поломок первую тысячу километров Т-34</w:t>
      </w:r>
    </w:p>
    <w:p w14:paraId="2AEDCD69"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УЗТМ.</w:t>
      </w:r>
    </w:p>
    <w:p w14:paraId="7FEDEC97"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Двигатели танков работали удовлетворительно.</w:t>
      </w:r>
    </w:p>
    <w:p w14:paraId="659A4694"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Механизмы пушек и установок пулеметов на всех танках работали безотказно. Кучность боя 76-мм танковой пушки хорошая.</w:t>
      </w:r>
    </w:p>
    <w:p w14:paraId="6A9280FE"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На всех танках Т-34 систематически выходят из строя манометры вследствие недостаточной механической прочности капиллярных трубок.</w:t>
      </w:r>
    </w:p>
    <w:p w14:paraId="116B7953"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Обшим недостатком для танков Т-34 является повышенная температура выходящего масла, которая снижает среднюю скорость движения.</w:t>
      </w:r>
    </w:p>
    <w:p w14:paraId="631A31F4"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Имевшие место случаи выхода из строя коробки перемены передач танков Т-34 завода № 112 через 455 километров, завода N° 183 через 729 километров, завода № 174 через 842 километра и УЗТМ через 1001 километр, по предварительным данным являются следствием ненадежного стопорения гаек передач вала и особенно гаек левого конца главного вала коробки перемены передач.</w:t>
      </w:r>
    </w:p>
    <w:p w14:paraId="7EFB3E72"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Характерными дефектами для всех Т-34 является также разрушение или выпадение роликов ведущих колес.</w:t>
      </w:r>
    </w:p>
    <w:p w14:paraId="07978F55"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5-скоростаная коробка перемены передач более надежна в работе. легче в управлении, чем 4-скоростная. Желательно установить на муфтах переключения передач 5-скоростной КПП синхронизаторы, обеспечивающие бесшумность включения передач и повышающие надежность работы коробки в целом.</w:t>
      </w:r>
    </w:p>
    <w:p w14:paraId="5C62635A"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Вследствие незначительного количества заливаемого масла (2,5 литра) в бортовую передачу Т-34 и большой внутренней поверхности картера, происходит разбрызгивание шестернями всей смазки по стенкам картера. В целях предохранения бортовых передач танка Т-34 от разрушения необходимо количество смазки на каждую передачу увеличить до 3 литров и срок замены установить через 500 километров вместо 1000, указанной в руководстве.</w:t>
      </w:r>
    </w:p>
    <w:p w14:paraId="458A6BBB"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Передние крылья всех Т-34 не имеют достаточной прочности и разрушаются от собственного веса при движении по пересеченной местности. Необходимо конструкцию передних крыльев усилить или изменить, сделав их по типу американских танков М-3 или английских МК-Ш.</w:t>
      </w:r>
    </w:p>
    <w:p w14:paraId="6A53BE52"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Существенным недостатком в электрооборудовании танков является пусковое реле, в котором происходит пригорание контактов при включенном стартере.</w:t>
      </w:r>
    </w:p>
    <w:p w14:paraId="29B94461"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На танках Т-34 резиновые бандажи опорных катков работают надежно» (12217).</w:t>
      </w:r>
    </w:p>
    <w:p w14:paraId="438108FE" w14:textId="77777777" w:rsidR="00FD6DE2" w:rsidRPr="00D03F3E" w:rsidRDefault="00FD6DE2" w:rsidP="00D03F3E">
      <w:pPr>
        <w:spacing w:after="0" w:line="240" w:lineRule="auto"/>
        <w:jc w:val="both"/>
        <w:rPr>
          <w:rFonts w:ascii="Times New Roman" w:hAnsi="Times New Roman"/>
          <w:color w:val="000000" w:themeColor="text1"/>
          <w:sz w:val="16"/>
          <w:szCs w:val="16"/>
        </w:rPr>
      </w:pPr>
    </w:p>
    <w:p w14:paraId="4842C440" w14:textId="77777777" w:rsidR="003770F2" w:rsidRPr="00D03F3E"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Весной 1943 года был организован гарантийный пробег КВ-1с и Т-34 разных заводов, а также Т-70Б, именно горьковская машина оказалась самой надежной. С 14 апреля по 20 мая машина февральского выпуска прошла 1223 километра. После испытаний Т-70Б оказался единственным танком из всех, который мог уверено продолжать дальнейшее движение. А дальнейшие испытания остальных танков признали не имеющими смысла (17695).</w:t>
      </w:r>
    </w:p>
    <w:p w14:paraId="446FAC22" w14:textId="77777777" w:rsidR="003770F2" w:rsidRPr="00D03F3E" w:rsidRDefault="003770F2" w:rsidP="00D03F3E">
      <w:pPr>
        <w:pStyle w:val="12a"/>
        <w:shd w:val="clear" w:color="auto" w:fill="auto"/>
        <w:spacing w:after="0" w:line="240" w:lineRule="auto"/>
        <w:jc w:val="both"/>
        <w:rPr>
          <w:color w:val="000000" w:themeColor="text1"/>
          <w:sz w:val="16"/>
          <w:szCs w:val="16"/>
        </w:rPr>
      </w:pPr>
    </w:p>
    <w:p w14:paraId="0B2B68E0"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года стало ясно, что тридцатьчетверка потеряла свое преимущество в огневой мощи над немецкими танками. Бои под Харьковом в феврале-марте 1943 года показали, что орудие Ф-34 далеко не всегда справляется с стоящими перед ним задачами, и не всегда может поразить броню немецких танков, например, Рг.ГУ последних серий. Еще большую тревогу вызвал у командования Красной Армии и руководства страны танки Рг.УГ «Тигр», захваченные в боях при прорыве блокады Ленинграда в январе 1943 года. Проведенные испытания показали, что 76-мм пушки (танковые и противотанковые) против этого «зверя» бессильны. В срочном порядке начали искать контрмеры, тем более, что по советским разведданным, в летнюю компанию немцы должны были задействовать большое число «тигров» (упоминалось даже о целой танковой дивизии, вооруженной ими) (12217).</w:t>
      </w:r>
    </w:p>
    <w:p w14:paraId="1B6308A8" w14:textId="77777777" w:rsidR="00FD6DE2" w:rsidRPr="00D03F3E" w:rsidRDefault="00FD6DE2" w:rsidP="00D03F3E">
      <w:pPr>
        <w:spacing w:after="0" w:line="240" w:lineRule="auto"/>
        <w:jc w:val="both"/>
        <w:rPr>
          <w:rFonts w:ascii="Times New Roman" w:hAnsi="Times New Roman"/>
          <w:color w:val="000000" w:themeColor="text1"/>
          <w:sz w:val="16"/>
          <w:szCs w:val="16"/>
        </w:rPr>
      </w:pPr>
    </w:p>
    <w:p w14:paraId="202B523F" w14:textId="77777777" w:rsidR="00851D86" w:rsidRPr="00D03F3E" w:rsidRDefault="00851D8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Весной 1943 года было разработано и изготовлено два типа экранов, предназначенных для дополнительной защиты Т-34. Оба варианта 6 июня 1943 года прибыли на НИБТ Полигон на испытания, вместе с ними в Кубинке оказался и Цыганов (20535).</w:t>
      </w:r>
    </w:p>
    <w:p w14:paraId="38FF0990" w14:textId="77777777" w:rsidR="00851D86" w:rsidRPr="00D03F3E" w:rsidRDefault="00851D86" w:rsidP="00D03F3E">
      <w:pPr>
        <w:spacing w:after="0" w:line="240" w:lineRule="auto"/>
        <w:jc w:val="both"/>
        <w:rPr>
          <w:rFonts w:ascii="Times New Roman" w:hAnsi="Times New Roman"/>
          <w:color w:val="0070C0"/>
          <w:sz w:val="16"/>
          <w:szCs w:val="16"/>
        </w:rPr>
      </w:pPr>
    </w:p>
    <w:p w14:paraId="414FE01C" w14:textId="77777777" w:rsidR="00AD620A" w:rsidRPr="00D03F3E"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Весной 1943 года КБ завода №172 использовало М-40 в качестве вооружения самоходной установки несмотря на то, что уже в октябре 1942 года из Артиллерийского комитета Главного артиллерийского управления Красной армии (ГАУ КА) поступил приказ о прекращении работ по данной гаубице. САУ, получившая заводской индекс М-17, являлась инициативным проектом завода, который был одобрен народным комиссаром вооружения Устиновым. Проект был представлен к рассмотрению 5 июня 1943 года, то есть уже через две недели после неудачи ОКБ-172 с СУ-203. К сожалению, по данной установке сохранилось только её словесное описание и расчеты орудийной системы. Концепция М-17, работами по которой руководил начальник артиллерийского КБ завода №172 В.А. Ильин, была близка к концепции СУ-203. При её создании изменения в конструкцию шасси КВ-1с должны были быть минимальными, а использование деталей рубки СУ-152 – максимальным. От серийной самоходной установки без изменений брались неподвижная бронировка, маска и рамка.</w:t>
      </w:r>
    </w:p>
    <w:p w14:paraId="30556C29" w14:textId="77777777" w:rsidR="00AD620A" w:rsidRPr="00D03F3E"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Использование гаубицы М-40 объяснялось тем, что её ствол больше всего подходил для установки в М-17. По проекту, ствол М-40 устанавливался на люльку от МЛ-20С, в конструкцию которой вносились минимальные изменения. Кроме того, ствол М-40 получал двухкамерный дульный тормоз длиной более метра. Для прямой наводки использовался телескопический прицел Т-5. Боекомплект САУ, согласно проекту, должен был составлять 16 выстрелов. Снаряды размещались в двух магазинах по левой стороне рубки – 9 в заднем и 7 в переднем. Заряды предполагалось разместить в двух железных ящиках, один из которых находился под системой, а второй – в правом углу боевого отделения. Кроме того, в боекомплект входили 25 гранат Ф-1 и 21 диск пистолета-пулемета ППШ.</w:t>
      </w:r>
    </w:p>
    <w:p w14:paraId="58234080" w14:textId="77777777" w:rsidR="00AD620A" w:rsidRPr="00D03F3E"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Сохранялись те же, что и у СУ-152, состав экипажа, радиооборудование, люки рубки, приборы наблюдения. Для обеспечения угла склонения орудия в 3° крышу боевого отделения спроектировали с уклоном вперед на тот же угол. Кроме того, для обеспечения необходимого объема боевого отделения борта в кормовой части расширили до полной ширины машины. Основной топливный бак расширили, одновременно уменьшив размеры второго бака, который располагался вдоль левой стенки боевого отделения. Для того, чтобы снизить боевую массу М-17, толщину маски уменьшили до 65 мм, лобового листа рубки – до 60 мм, бортов и кормы рубки – до 45 мм. При этом боевая масса установки должна была составить 45,8 тонн. Также рассматривался вариант сохранения штатной толщины листов рубки СУ-152, в таком случае боевая масса должна была составить 46,8 тонн.</w:t>
      </w:r>
    </w:p>
    <w:p w14:paraId="5B6E6602" w14:textId="77777777" w:rsidR="00AD620A" w:rsidRPr="00D03F3E"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Проект был рассмотрен в Управлении самоходной артиллерии Главного бронетанкового управления Красной армии (УСА ГБТУ КА), где было решено изготовить опытный образец. Совсем иного мнения придерживались представители ГАУ КА. Здесь следует напомнить, что основной задачей М-17 являлось разрушение вражеских укреплений, и как раз в этом месте обнаружились нюансы. Расчеты проникновения бетонобойного снаряда гаубицы М-40 показали, что на дистанции в 2000 метров его показатели превышали характеристики бетонобойного снаряда МЛ-20 всего на 4%, на дистанции 1000 метров характеристики уравнивались, а на </w:t>
      </w:r>
      <w:r w:rsidRPr="00D03F3E">
        <w:rPr>
          <w:rFonts w:ascii="Times New Roman" w:eastAsia="Times New Roman" w:hAnsi="Times New Roman"/>
          <w:color w:val="000000" w:themeColor="text1"/>
          <w:sz w:val="16"/>
          <w:szCs w:val="16"/>
          <w:lang w:eastAsia="ru-RU"/>
        </w:rPr>
        <w:lastRenderedPageBreak/>
        <w:t>дальности 200 метров были уже ниже на 6%. С учетом того, что по вражеским укреплениям чаще приходилось бить прямой наводкой, смысл в создании подобной установки отсутствовал. В конце июля 1943 года работы по теме М-17 были прекращены (17701).</w:t>
      </w:r>
    </w:p>
    <w:p w14:paraId="354C5011" w14:textId="77777777" w:rsidR="00AD620A" w:rsidRPr="00D03F3E" w:rsidRDefault="00AD620A" w:rsidP="00D03F3E">
      <w:pPr>
        <w:pStyle w:val="12a"/>
        <w:shd w:val="clear" w:color="auto" w:fill="auto"/>
        <w:spacing w:after="0" w:line="240" w:lineRule="auto"/>
        <w:jc w:val="both"/>
        <w:rPr>
          <w:color w:val="000000" w:themeColor="text1"/>
          <w:sz w:val="16"/>
          <w:szCs w:val="16"/>
        </w:rPr>
      </w:pPr>
    </w:p>
    <w:p w14:paraId="4BA860E2" w14:textId="77777777" w:rsidR="00AD620A" w:rsidRPr="00D03F3E" w:rsidRDefault="00AD620A" w:rsidP="00D03F3E">
      <w:pPr>
        <w:pStyle w:val="ae"/>
        <w:shd w:val="clear" w:color="auto" w:fill="FFFFFF"/>
        <w:spacing w:before="0" w:after="0"/>
        <w:jc w:val="both"/>
        <w:rPr>
          <w:color w:val="000000" w:themeColor="text1"/>
          <w:sz w:val="16"/>
          <w:szCs w:val="16"/>
        </w:rPr>
      </w:pPr>
      <w:r w:rsidRPr="00D03F3E">
        <w:rPr>
          <w:color w:val="000000" w:themeColor="text1"/>
          <w:sz w:val="16"/>
          <w:szCs w:val="16"/>
        </w:rPr>
        <w:t xml:space="preserve">Весной 1943 года были изучены трофейные немецкие аналоги СУ-15 — самоходные установки </w:t>
      </w:r>
      <w:hyperlink r:id="rId181" w:history="1">
        <w:r w:rsidRPr="00D03F3E">
          <w:rPr>
            <w:rStyle w:val="a5"/>
            <w:color w:val="000000" w:themeColor="text1"/>
            <w:sz w:val="16"/>
            <w:szCs w:val="16"/>
          </w:rPr>
          <w:t>Marder II</w:t>
        </w:r>
      </w:hyperlink>
      <w:r w:rsidRPr="00D03F3E">
        <w:rPr>
          <w:color w:val="000000" w:themeColor="text1"/>
          <w:sz w:val="16"/>
          <w:szCs w:val="16"/>
        </w:rPr>
        <w:t xml:space="preserve"> и Marder III. С учётом полученной информации было принято решение облегчить конструкцию СУ-15 путём уменьшения толщины лобовой брони до 25 мм, а бортов и кормы до 13–15 мм. Этого вполне хватало, чтобы защитить экипаж от огня стрелкового вооружения. Наконец, ГБТУ КА распорядилось снять крышу боевого отделения и убрать броню с части бортов и кормы рубки. Эти меры позволили снизить боевую массу до 10,5 тонн. Для защиты от непогоды САУ получила тент. Переделки и снижение максимальной скорости СУ-15 до 30 км/ч были утверждены постановлением ГКО №3760сс от 17 июля 1943 года.</w:t>
      </w:r>
    </w:p>
    <w:p w14:paraId="1599AD99" w14:textId="77777777" w:rsidR="00AD620A" w:rsidRPr="00D03F3E" w:rsidRDefault="00AD620A" w:rsidP="00D03F3E">
      <w:pPr>
        <w:pStyle w:val="ae"/>
        <w:shd w:val="clear" w:color="auto" w:fill="FFFFFF"/>
        <w:spacing w:before="0" w:after="0"/>
        <w:jc w:val="both"/>
        <w:rPr>
          <w:color w:val="000000" w:themeColor="text1"/>
          <w:sz w:val="16"/>
          <w:szCs w:val="16"/>
        </w:rPr>
      </w:pPr>
      <w:r w:rsidRPr="00D03F3E">
        <w:rPr>
          <w:color w:val="000000" w:themeColor="text1"/>
          <w:sz w:val="16"/>
          <w:szCs w:val="16"/>
        </w:rPr>
        <w:t>Переделанная подобным образом самоходная установка получила обозначение СУ-15М. Параллельно похожим образом была переделана СУ-38, получившая после этого новое обозначение СУ-16. Ещё большим метаморфозам подверглась СУ-74. Но уже в начале июня было понятно, что СУ-15М выглядит предпочтительнее. Её боевое отделение было скомпоновано лучше, чем у конкурентов, и даже первый экземпляр с кучей недочётов оказался более надёжным, чем СУ-12 и не уступал по надёжности СУ-38. В соответствии с постановлением ГКО №3703 сс 8 июля 1943 года завод №38 получил план на выпуск установочной партии из 25 СУ-15М. 24 июля в сборке находилось пять СУ-15М, к 1 августа была собрана вся партия из 25 машин. Об изготовлении некоего второго опытного образца СУ-15, о котором говорится в ряде публикаций, не шло и речи. Приказом Народного комиссариата танковой промышленности (НКТП) №360 от 9 июля 1943 года на 3-й квартал 1943 года был запланирован выпуск 225 СУ-15М (17728).</w:t>
      </w:r>
    </w:p>
    <w:p w14:paraId="43A584D9" w14:textId="77777777" w:rsidR="00AD620A" w:rsidRPr="00D03F3E" w:rsidRDefault="00AD620A" w:rsidP="00D03F3E">
      <w:pPr>
        <w:pStyle w:val="12a"/>
        <w:shd w:val="clear" w:color="auto" w:fill="auto"/>
        <w:spacing w:after="0" w:line="240" w:lineRule="auto"/>
        <w:jc w:val="both"/>
        <w:rPr>
          <w:color w:val="000000" w:themeColor="text1"/>
          <w:sz w:val="16"/>
          <w:szCs w:val="16"/>
        </w:rPr>
      </w:pPr>
    </w:p>
    <w:p w14:paraId="3FE65080" w14:textId="77777777" w:rsidR="00B610FB" w:rsidRPr="00D03F3E" w:rsidRDefault="00B610FB" w:rsidP="00D03F3E">
      <w:pPr>
        <w:pStyle w:val="162"/>
        <w:shd w:val="clear" w:color="auto" w:fill="auto"/>
        <w:spacing w:line="240" w:lineRule="auto"/>
        <w:jc w:val="both"/>
        <w:rPr>
          <w:color w:val="000000" w:themeColor="text1"/>
          <w:sz w:val="16"/>
          <w:szCs w:val="16"/>
        </w:rPr>
      </w:pPr>
      <w:r w:rsidRPr="00D03F3E">
        <w:rPr>
          <w:rFonts w:eastAsia="Calibri"/>
          <w:color w:val="000000" w:themeColor="text1"/>
          <w:sz w:val="16"/>
          <w:szCs w:val="16"/>
        </w:rPr>
        <w:t>Весной 1943 года на ГАЗ вернулись к идее зенитной самоходной установки с использованием танка Т-60 (такую установку спроектировали еше в сентябре 1942 года), предполагалось, что подобным образом можно переделывать попадавшие в ремонт ма</w:t>
      </w:r>
      <w:r w:rsidRPr="00D03F3E">
        <w:rPr>
          <w:rFonts w:eastAsia="Calibri"/>
          <w:color w:val="000000" w:themeColor="text1"/>
          <w:sz w:val="16"/>
          <w:szCs w:val="16"/>
        </w:rPr>
        <w:softHyphen/>
        <w:t>шины. Машина, получившая заводской индекс СЗУ (самоходная зе</w:t>
      </w:r>
      <w:r w:rsidRPr="00D03F3E">
        <w:rPr>
          <w:rFonts w:eastAsia="Calibri"/>
          <w:color w:val="000000" w:themeColor="text1"/>
          <w:sz w:val="16"/>
          <w:szCs w:val="16"/>
        </w:rPr>
        <w:softHyphen/>
        <w:t>нитная установка), была готова к июлю 1943 года. В качестве базы для опытного образца был выбран один из ремонтных Т-60 выпуска марта- апреля 1942 года, имевший экранированный корпус.</w:t>
      </w:r>
    </w:p>
    <w:p w14:paraId="01AB05E9" w14:textId="77777777" w:rsidR="00B610FB" w:rsidRPr="00D03F3E" w:rsidRDefault="00B610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Башню для СЗУ пришлось создавать практически заново, причем по форме она полностью отличалась и от Т-60, и от Т-70. При ее проектировании были учтены замечания не только по Т-90, но и по зенитной установке ОКБ-15 с 37-мм пушкой Ш-37 (ЗУТ). Как и в случае с ЗУТ, крыша СЗУ почти полностью закрывалась откидными панелями, появилась небольшая кормовая ниша, где разместилась радиостанция 12-Р. Спаренная установка пулеметов ДШКТ вместе с маской была взята от Т-90, но некоторые элементы, в частности расположение коллиматорного прицела, подверглись из</w:t>
      </w:r>
      <w:r w:rsidRPr="00D03F3E">
        <w:rPr>
          <w:rFonts w:ascii="Times New Roman" w:hAnsi="Times New Roman"/>
          <w:color w:val="000000" w:themeColor="text1"/>
          <w:sz w:val="16"/>
          <w:szCs w:val="16"/>
        </w:rPr>
        <w:softHyphen/>
        <w:t>менениям. Стрельба из пулеметов велась с помощью электроспуска, предусматривался огонь как очередями, так и одиночными выстрелами. Скорость наведения как в горизонтальной, так и в вертикальной пло</w:t>
      </w:r>
      <w:r w:rsidRPr="00D03F3E">
        <w:rPr>
          <w:rFonts w:ascii="Times New Roman" w:hAnsi="Times New Roman"/>
          <w:color w:val="000000" w:themeColor="text1"/>
          <w:sz w:val="16"/>
          <w:szCs w:val="16"/>
        </w:rPr>
        <w:softHyphen/>
        <w:t>скостях была доведена до 10 градусов за один поворот маховика. Общая масса СЗУ составляла 6420 кг, что сопоставимо с серийным Т-60.</w:t>
      </w:r>
    </w:p>
    <w:p w14:paraId="190E7318" w14:textId="77777777" w:rsidR="00B610FB" w:rsidRPr="00D03F3E" w:rsidRDefault="00B610FB" w:rsidP="00D03F3E">
      <w:pPr>
        <w:pStyle w:val="162"/>
        <w:shd w:val="clear" w:color="auto" w:fill="auto"/>
        <w:spacing w:line="240" w:lineRule="auto"/>
        <w:jc w:val="both"/>
        <w:rPr>
          <w:color w:val="000000" w:themeColor="text1"/>
          <w:sz w:val="16"/>
          <w:szCs w:val="16"/>
        </w:rPr>
      </w:pPr>
      <w:r w:rsidRPr="00D03F3E">
        <w:rPr>
          <w:rFonts w:eastAsia="Calibri"/>
          <w:color w:val="000000" w:themeColor="text1"/>
          <w:sz w:val="16"/>
          <w:szCs w:val="16"/>
        </w:rPr>
        <w:t>Испытания СЗУ проходили с 12 по 25 июля 1943 года. Помимо стрельб, программа также предусматривала пробег 200 км по шоссе и пересеченной местности для проверки стабильности выверки прице</w:t>
      </w:r>
      <w:r w:rsidRPr="00D03F3E">
        <w:rPr>
          <w:rFonts w:eastAsia="Calibri"/>
          <w:color w:val="000000" w:themeColor="text1"/>
          <w:sz w:val="16"/>
          <w:szCs w:val="16"/>
        </w:rPr>
        <w:softHyphen/>
        <w:t>лов. Как и в случае с Т-90, огневые испытания, в ходе которых должна была производиться стрельба по конусу, прикрепленному к самолету, не производились. Отмечалась неуравновешенность башни на погоне Т-60, а также не совсем удачная конструкция откидных панелей кры</w:t>
      </w:r>
      <w:r w:rsidRPr="00D03F3E">
        <w:rPr>
          <w:rFonts w:eastAsia="Calibri"/>
          <w:color w:val="000000" w:themeColor="text1"/>
          <w:sz w:val="16"/>
          <w:szCs w:val="16"/>
        </w:rPr>
        <w:softHyphen/>
        <w:t>ши (при закрытых створках стрелок во время движения бился головой об их замок), наблюдался люфт. Испытания стрельбой по наземной мишени показали хорошую кучность при ведении огня с места, на ходу точность резко снижалась (из 60 выстрелов с места 42 попадания, с хода 7 попаданий, дистанция 400 метров). Максимальный угол воз</w:t>
      </w:r>
      <w:r w:rsidRPr="00D03F3E">
        <w:rPr>
          <w:rFonts w:eastAsia="Calibri"/>
          <w:color w:val="000000" w:themeColor="text1"/>
          <w:sz w:val="16"/>
          <w:szCs w:val="16"/>
        </w:rPr>
        <w:softHyphen/>
        <w:t>вышения в 70 градусов признали недостаточным, следовало его под</w:t>
      </w:r>
      <w:r w:rsidRPr="00D03F3E">
        <w:rPr>
          <w:rFonts w:eastAsia="Calibri"/>
          <w:color w:val="000000" w:themeColor="text1"/>
          <w:sz w:val="16"/>
          <w:szCs w:val="16"/>
        </w:rPr>
        <w:softHyphen/>
        <w:t>нять до 85 градусов. Происходили задержки при стрельбе на углах воз</w:t>
      </w:r>
      <w:r w:rsidRPr="00D03F3E">
        <w:rPr>
          <w:rFonts w:eastAsia="Calibri"/>
          <w:color w:val="000000" w:themeColor="text1"/>
          <w:sz w:val="16"/>
          <w:szCs w:val="16"/>
        </w:rPr>
        <w:softHyphen/>
        <w:t>вышения больше 40 градусов, а также заклинивание гильз вследствие неправильного расчета окна в лафете пулеметов. Прицел ТМФП реко</w:t>
      </w:r>
      <w:r w:rsidRPr="00D03F3E">
        <w:rPr>
          <w:rFonts w:eastAsia="Calibri"/>
          <w:color w:val="000000" w:themeColor="text1"/>
          <w:sz w:val="16"/>
          <w:szCs w:val="16"/>
        </w:rPr>
        <w:softHyphen/>
        <w:t>мендовалось заменить на более короткий 5Т, а боекомплект увеличить с 480 до 1500 патронов. В заключении говорилось о необходимости ис</w:t>
      </w:r>
      <w:r w:rsidRPr="00D03F3E">
        <w:rPr>
          <w:rFonts w:eastAsia="Calibri"/>
          <w:color w:val="000000" w:themeColor="text1"/>
          <w:sz w:val="16"/>
          <w:szCs w:val="16"/>
        </w:rPr>
        <w:softHyphen/>
        <w:t>правления найденных недостатков, и ни слова о перспективах серий</w:t>
      </w:r>
      <w:r w:rsidRPr="00D03F3E">
        <w:rPr>
          <w:rFonts w:eastAsia="Calibri"/>
          <w:color w:val="000000" w:themeColor="text1"/>
          <w:sz w:val="16"/>
          <w:szCs w:val="16"/>
        </w:rPr>
        <w:softHyphen/>
        <w:t>ного производства.</w:t>
      </w:r>
    </w:p>
    <w:p w14:paraId="5A622315" w14:textId="77777777" w:rsidR="00B610FB" w:rsidRPr="00D03F3E" w:rsidRDefault="00B610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и в случае с зенитными танками на шасси Т-70 и Т-80, СЗУ ока</w:t>
      </w:r>
      <w:r w:rsidRPr="00D03F3E">
        <w:rPr>
          <w:rFonts w:ascii="Times New Roman" w:hAnsi="Times New Roman"/>
          <w:color w:val="000000" w:themeColor="text1"/>
          <w:sz w:val="16"/>
          <w:szCs w:val="16"/>
        </w:rPr>
        <w:softHyphen/>
        <w:t>зался лишь опытной разработкой. ДК с барабанным питанием к тому моменту давно не производился, возобновление его производства яв</w:t>
      </w:r>
      <w:r w:rsidRPr="00D03F3E">
        <w:rPr>
          <w:rFonts w:ascii="Times New Roman" w:hAnsi="Times New Roman"/>
          <w:color w:val="000000" w:themeColor="text1"/>
          <w:sz w:val="16"/>
          <w:szCs w:val="16"/>
        </w:rPr>
        <w:softHyphen/>
        <w:t>лялось являлось туманной перспективой, как и возможность переделки ремонт</w:t>
      </w:r>
      <w:r w:rsidRPr="00D03F3E">
        <w:rPr>
          <w:rFonts w:ascii="Times New Roman" w:hAnsi="Times New Roman"/>
          <w:color w:val="000000" w:themeColor="text1"/>
          <w:sz w:val="16"/>
          <w:szCs w:val="16"/>
        </w:rPr>
        <w:softHyphen/>
        <w:t>ных Т-60. Надо сказать, что сама по себе история разработки советских ЗСУ в годы Великой отечественной войны превратилась в трагикоме</w:t>
      </w:r>
      <w:r w:rsidRPr="00D03F3E">
        <w:rPr>
          <w:rFonts w:ascii="Times New Roman" w:hAnsi="Times New Roman"/>
          <w:color w:val="000000" w:themeColor="text1"/>
          <w:sz w:val="16"/>
          <w:szCs w:val="16"/>
        </w:rPr>
        <w:softHyphen/>
        <w:t>дию. Данной темой занимался целый ряд коллективов, был построен целый ряд опытных образцов, несколько раз проекты почти подходили к стадии серийного производства, и в итоге дело спускали на тормозах. В результате основной советской ЗСУ к концу войны оказалась амери</w:t>
      </w:r>
      <w:r w:rsidRPr="00D03F3E">
        <w:rPr>
          <w:rFonts w:ascii="Times New Roman" w:hAnsi="Times New Roman"/>
          <w:color w:val="000000" w:themeColor="text1"/>
          <w:sz w:val="16"/>
          <w:szCs w:val="16"/>
        </w:rPr>
        <w:softHyphen/>
        <w:t xml:space="preserve">канская М17 </w:t>
      </w:r>
      <w:r w:rsidRPr="00D03F3E">
        <w:rPr>
          <w:rFonts w:ascii="Times New Roman" w:hAnsi="Times New Roman"/>
          <w:color w:val="000000" w:themeColor="text1"/>
          <w:sz w:val="16"/>
          <w:szCs w:val="16"/>
          <w:lang w:val="en-US"/>
        </w:rPr>
        <w:t>MGMC</w:t>
      </w:r>
      <w:r w:rsidRPr="00D03F3E">
        <w:rPr>
          <w:rFonts w:ascii="Times New Roman" w:hAnsi="Times New Roman"/>
          <w:color w:val="000000" w:themeColor="text1"/>
          <w:sz w:val="16"/>
          <w:szCs w:val="16"/>
        </w:rPr>
        <w:t>, которую поставляли по ленд-лизу (17485).</w:t>
      </w:r>
    </w:p>
    <w:p w14:paraId="01E8B26D" w14:textId="77777777" w:rsidR="00B610FB" w:rsidRPr="00D03F3E" w:rsidRDefault="00B610FB" w:rsidP="00D03F3E">
      <w:pPr>
        <w:spacing w:after="0" w:line="240" w:lineRule="auto"/>
        <w:jc w:val="both"/>
        <w:rPr>
          <w:rFonts w:ascii="Times New Roman" w:hAnsi="Times New Roman"/>
          <w:color w:val="000000" w:themeColor="text1"/>
          <w:sz w:val="16"/>
          <w:szCs w:val="16"/>
        </w:rPr>
      </w:pPr>
    </w:p>
    <w:p w14:paraId="5711B24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наркомат танковой промышленности получил следующую телефонограмму Ставки:</w:t>
      </w:r>
    </w:p>
    <w:p w14:paraId="5CF012F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«Тов. Зальцман! В наст, время вы сдаете в действующую армию танки Т-70 выпуска двух типов, в значительной степени отличающиеся по конструкции, что приводит к невозможности нормального обслужива</w:t>
      </w:r>
      <w:r w:rsidRPr="00D03F3E">
        <w:rPr>
          <w:rFonts w:ascii="Times New Roman" w:hAnsi="Times New Roman"/>
          <w:color w:val="000000" w:themeColor="text1"/>
          <w:sz w:val="16"/>
          <w:szCs w:val="16"/>
        </w:rPr>
        <w:softHyphen/>
        <w:t>ния указанных танков в танк, соединениях. Это недопустимо, особенно в то время, ко</w:t>
      </w:r>
      <w:r w:rsidRPr="00D03F3E">
        <w:rPr>
          <w:rFonts w:ascii="Times New Roman" w:hAnsi="Times New Roman"/>
          <w:color w:val="000000" w:themeColor="text1"/>
          <w:sz w:val="16"/>
          <w:szCs w:val="16"/>
        </w:rPr>
        <w:softHyphen/>
        <w:t>гда Красная армия как никогда нуждается в упрощении обслуживания мат. части танковых войск - основы наступления. Прошу срочно разобраться. Сталин».</w:t>
      </w:r>
    </w:p>
    <w:p w14:paraId="0115B80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Разрешению этого вопроса техуправление НКТП посвятило специальное заседание «О совершенствовании конструкции легкого танка», состоявшееся, по-видимому, в апреле 1943 г. На заседании выступали Н. Астров, М. Щукин, Н. Попов, А. Канищев, С. Гинз</w:t>
      </w:r>
      <w:r w:rsidRPr="00D03F3E">
        <w:rPr>
          <w:rFonts w:ascii="Times New Roman" w:hAnsi="Times New Roman"/>
          <w:color w:val="000000" w:themeColor="text1"/>
          <w:sz w:val="16"/>
          <w:szCs w:val="16"/>
        </w:rPr>
        <w:softHyphen/>
        <w:t>бург. В ходе совещания отмечалось:</w:t>
      </w:r>
    </w:p>
    <w:p w14:paraId="3940990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«Доработать танк Т-70 до уровня Т-70М в полевых условиях не представля</w:t>
      </w:r>
      <w:r w:rsidRPr="00D03F3E">
        <w:rPr>
          <w:rFonts w:ascii="Times New Roman" w:hAnsi="Times New Roman"/>
          <w:color w:val="000000" w:themeColor="text1"/>
          <w:sz w:val="16"/>
          <w:szCs w:val="16"/>
        </w:rPr>
        <w:softHyphen/>
        <w:t>ется возможным.</w:t>
      </w:r>
    </w:p>
    <w:p w14:paraId="7E3BE19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Ввиду предстоящего освоения танка Т-70М с двухместной башней оставшиеся в войсках танки Т-60 и Т-70 изымать и от</w:t>
      </w:r>
      <w:r w:rsidRPr="00D03F3E">
        <w:rPr>
          <w:rFonts w:ascii="Times New Roman" w:hAnsi="Times New Roman"/>
          <w:color w:val="000000" w:themeColor="text1"/>
          <w:sz w:val="16"/>
          <w:szCs w:val="16"/>
        </w:rPr>
        <w:softHyphen/>
        <w:t>правлять в военно-учебные заведения для несения службы до полного износа.</w:t>
      </w:r>
    </w:p>
    <w:p w14:paraId="5A4A0B5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Параллельный выпуск Т-70 и Т-70М счи</w:t>
      </w:r>
      <w:r w:rsidRPr="00D03F3E">
        <w:rPr>
          <w:rFonts w:ascii="Times New Roman" w:hAnsi="Times New Roman"/>
          <w:color w:val="000000" w:themeColor="text1"/>
          <w:sz w:val="16"/>
          <w:szCs w:val="16"/>
        </w:rPr>
        <w:softHyphen/>
        <w:t>тать недопустимым. В настоящий мо</w:t>
      </w:r>
      <w:r w:rsidRPr="00D03F3E">
        <w:rPr>
          <w:rFonts w:ascii="Times New Roman" w:hAnsi="Times New Roman"/>
          <w:color w:val="000000" w:themeColor="text1"/>
          <w:sz w:val="16"/>
          <w:szCs w:val="16"/>
        </w:rPr>
        <w:softHyphen/>
        <w:t>мент выпуск танка Т-70 повсеместно пре</w:t>
      </w:r>
      <w:r w:rsidRPr="00D03F3E">
        <w:rPr>
          <w:rFonts w:ascii="Times New Roman" w:hAnsi="Times New Roman"/>
          <w:color w:val="000000" w:themeColor="text1"/>
          <w:sz w:val="16"/>
          <w:szCs w:val="16"/>
        </w:rPr>
        <w:softHyphen/>
        <w:t>кращен...» (11084).</w:t>
      </w:r>
    </w:p>
    <w:p w14:paraId="65A1C5F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0A34B23C" w14:textId="77777777" w:rsidR="003770F2" w:rsidRPr="00D03F3E"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Весной 1943 года в руководстве Главного Автобронетанкового Управления (ГАБТУ КА) появилось понимание, что ресурсы развития легкого танка Т-70 подходят к концу. Итогом глубокой модернизации стал Т-80 с двухместной башней и форсированным двигателем, но уже к моменту завершения испытаний этот танк безнадежно устарел. Даже установка длинноствольной пушки ВТ-43, так и оставшейся опытной, слабо решала проблему повышения огневой мощи. Еще хуже обстояло дело с бронированием. Т-70 создавался с расчетом защиты лобовой проекции от огня 37-мм противотанковой пушки, а в начале 1943 года основой немецкой противотанковой артиллерии была уже 75-мм пушка Pak 40, которая постепенно заменяла 50-мм пушку Pak 38. А даже Pak 38 пробивала советские легкие танки едва ли не навылет.</w:t>
      </w:r>
    </w:p>
    <w:p w14:paraId="22A653EF" w14:textId="77777777" w:rsidR="003770F2" w:rsidRPr="00D03F3E"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Проблема усиления бронирования Т-80 оказалась неразрешимой, да и сколько можно было модернизировать машину, фактически представлявшую собой глубокую переработку малого танка-амфибии Т-40? В конце концов, Т-60, созданный на базе Т-40, был всего лишь «бюджетным» дополнением к Т-50, который весил почти в 3 раза больше и имел куда более значительные резервы для модернизации. Увы, ряд проблем, прежде всего с силовой установкой, не позволил развернуть полноценное производство Т-50, потому зимой 1942 года и появился Т-70. Детище Астрова уступало Т-50 почти по всем характеристикам, но оказалось гораздо более простым, не имеющим дефицитных узлов, да и организация его производства на предприятиях, уже выпускавших Т-60, было делом недолгим.</w:t>
      </w:r>
    </w:p>
    <w:p w14:paraId="61EEAAC6" w14:textId="77777777" w:rsidR="003770F2" w:rsidRPr="00D03F3E"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Считается, что после снятия с производства Т-80 разработка легких танков в СССР закончилась. Некоторые отечественные военные историки вспоминают инициативные разработки, которые предлагались заводами, производившими САУ СУ-76. На самом же деле никакой остановки не было. Другое дело, что на ГАЗ и другие предприятия, выпускавшие легкие танки и САУ на их базе, более ставки не делалось. База Т-70 не рассматривалась перспективной, поскольку масса в 10–12 тонн была для нее предельной, да и подходящей силовой установки не имелось. Одним словом, создавать новую машину предстояло с нуля (17639).</w:t>
      </w:r>
    </w:p>
    <w:p w14:paraId="1C1A5B8D" w14:textId="77777777" w:rsidR="003770F2" w:rsidRPr="00D03F3E" w:rsidRDefault="003770F2" w:rsidP="00D03F3E">
      <w:pPr>
        <w:pStyle w:val="12a"/>
        <w:shd w:val="clear" w:color="auto" w:fill="auto"/>
        <w:spacing w:after="0" w:line="240" w:lineRule="auto"/>
        <w:jc w:val="both"/>
        <w:rPr>
          <w:color w:val="000000" w:themeColor="text1"/>
          <w:sz w:val="16"/>
          <w:szCs w:val="16"/>
        </w:rPr>
      </w:pPr>
    </w:p>
    <w:p w14:paraId="3A370019" w14:textId="77777777" w:rsidR="00AA27F1" w:rsidRPr="00D03F3E" w:rsidRDefault="00AA27F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Вплоть до весны 1943 года главными целями для тяжёлых САУ считались толстостенные оборонительные сооружения (18335).</w:t>
      </w:r>
    </w:p>
    <w:p w14:paraId="6B0B8AAF" w14:textId="77777777" w:rsidR="00AA27F1" w:rsidRPr="00D03F3E" w:rsidRDefault="00AA27F1" w:rsidP="00D03F3E">
      <w:pPr>
        <w:spacing w:after="0" w:line="240" w:lineRule="auto"/>
        <w:jc w:val="both"/>
        <w:rPr>
          <w:rFonts w:ascii="Times New Roman" w:hAnsi="Times New Roman"/>
          <w:color w:val="000000" w:themeColor="text1"/>
          <w:sz w:val="16"/>
          <w:szCs w:val="16"/>
        </w:rPr>
      </w:pPr>
    </w:p>
    <w:p w14:paraId="34D43FFB" w14:textId="77777777" w:rsidR="00AD620A" w:rsidRPr="00D03F3E" w:rsidRDefault="00AD620A" w:rsidP="00D03F3E">
      <w:pPr>
        <w:pStyle w:val="ae"/>
        <w:shd w:val="clear" w:color="auto" w:fill="FFFFFF"/>
        <w:spacing w:before="0" w:after="0"/>
        <w:jc w:val="both"/>
        <w:rPr>
          <w:color w:val="000000" w:themeColor="text1"/>
          <w:sz w:val="16"/>
          <w:szCs w:val="16"/>
        </w:rPr>
      </w:pPr>
      <w:r w:rsidRPr="00D03F3E">
        <w:rPr>
          <w:iCs/>
          <w:color w:val="000000" w:themeColor="text1"/>
          <w:sz w:val="16"/>
          <w:szCs w:val="16"/>
        </w:rPr>
        <w:t xml:space="preserve">Весной 1943 года ассортимент отправлявшихся в СССР танков английского производства резко сократился. Из поставок исчезли </w:t>
      </w:r>
      <w:hyperlink r:id="rId182" w:history="1">
        <w:r w:rsidRPr="00D03F3E">
          <w:rPr>
            <w:rStyle w:val="a5"/>
            <w:iCs/>
            <w:color w:val="000000" w:themeColor="text1"/>
            <w:sz w:val="16"/>
            <w:szCs w:val="16"/>
          </w:rPr>
          <w:t>Matilda</w:t>
        </w:r>
      </w:hyperlink>
      <w:r w:rsidRPr="00D03F3E">
        <w:rPr>
          <w:iCs/>
          <w:color w:val="000000" w:themeColor="text1"/>
          <w:sz w:val="16"/>
          <w:szCs w:val="16"/>
        </w:rPr>
        <w:t xml:space="preserve">, практически прекратились поставки </w:t>
      </w:r>
      <w:hyperlink r:id="rId183" w:history="1">
        <w:r w:rsidRPr="00D03F3E">
          <w:rPr>
            <w:rStyle w:val="a5"/>
            <w:iCs/>
            <w:color w:val="000000" w:themeColor="text1"/>
            <w:sz w:val="16"/>
            <w:szCs w:val="16"/>
            <w:u w:val="none"/>
          </w:rPr>
          <w:t>Churchill</w:t>
        </w:r>
      </w:hyperlink>
      <w:r w:rsidRPr="00D03F3E">
        <w:rPr>
          <w:iCs/>
          <w:color w:val="000000" w:themeColor="text1"/>
          <w:sz w:val="16"/>
          <w:szCs w:val="16"/>
        </w:rPr>
        <w:t xml:space="preserve">. Единственным типом английского танка, массово поставлявшимся британцами для Красной армии, остался </w:t>
      </w:r>
      <w:hyperlink r:id="rId184" w:history="1">
        <w:r w:rsidRPr="00D03F3E">
          <w:rPr>
            <w:rStyle w:val="a5"/>
            <w:iCs/>
            <w:color w:val="000000" w:themeColor="text1"/>
            <w:sz w:val="16"/>
            <w:szCs w:val="16"/>
          </w:rPr>
          <w:t>Valentine</w:t>
        </w:r>
      </w:hyperlink>
      <w:r w:rsidRPr="00D03F3E">
        <w:rPr>
          <w:iCs/>
          <w:color w:val="000000" w:themeColor="text1"/>
          <w:sz w:val="16"/>
          <w:szCs w:val="16"/>
        </w:rPr>
        <w:t xml:space="preserve">. Несмотря на то, что самими англичанами к весне 1943 года эти танки почти перестали применяться, в Красной армии спрос на них оказался высоким. Особенно это касалось </w:t>
      </w:r>
      <w:r w:rsidRPr="00D03F3E">
        <w:rPr>
          <w:bCs/>
          <w:iCs/>
          <w:color w:val="000000" w:themeColor="text1"/>
          <w:sz w:val="16"/>
          <w:szCs w:val="16"/>
        </w:rPr>
        <w:t>ValentineIX</w:t>
      </w:r>
      <w:r w:rsidRPr="00D03F3E">
        <w:rPr>
          <w:iCs/>
          <w:color w:val="000000" w:themeColor="text1"/>
          <w:sz w:val="16"/>
          <w:szCs w:val="16"/>
        </w:rPr>
        <w:t>, версии с 6-фунтовой пушкой, для установки которой башню танка снова пришлось делать двухместной (17709).</w:t>
      </w:r>
    </w:p>
    <w:p w14:paraId="4DA742F2" w14:textId="77777777" w:rsidR="00AD620A" w:rsidRPr="00D03F3E" w:rsidRDefault="00AD620A" w:rsidP="00D03F3E">
      <w:pPr>
        <w:pStyle w:val="12a"/>
        <w:shd w:val="clear" w:color="auto" w:fill="auto"/>
        <w:spacing w:after="0" w:line="240" w:lineRule="auto"/>
        <w:jc w:val="both"/>
        <w:rPr>
          <w:color w:val="000000" w:themeColor="text1"/>
          <w:sz w:val="16"/>
          <w:szCs w:val="16"/>
        </w:rPr>
      </w:pPr>
    </w:p>
    <w:p w14:paraId="24C011B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вновь вернулись к идее усиления бронирования уже изготовленных танков посредством использования железобетона. Совместные исследования НИИ-48 и ОКБ-43 показали, что простое нанесение подуш</w:t>
      </w:r>
      <w:r w:rsidRPr="00D03F3E">
        <w:rPr>
          <w:rFonts w:ascii="Times New Roman" w:hAnsi="Times New Roman"/>
          <w:color w:val="000000" w:themeColor="text1"/>
          <w:sz w:val="16"/>
          <w:szCs w:val="16"/>
        </w:rPr>
        <w:softHyphen/>
        <w:t>ки железобетона толщиной всего 23—40 мм на поверхность брони танка работает не только как обыкновенное дополни</w:t>
      </w:r>
      <w:r w:rsidRPr="00D03F3E">
        <w:rPr>
          <w:rFonts w:ascii="Times New Roman" w:hAnsi="Times New Roman"/>
          <w:color w:val="000000" w:themeColor="text1"/>
          <w:sz w:val="16"/>
          <w:szCs w:val="16"/>
        </w:rPr>
        <w:softHyphen/>
        <w:t>тельное бронирование, но при попадании снаряда под срав</w:t>
      </w:r>
      <w:r w:rsidRPr="00D03F3E">
        <w:rPr>
          <w:rFonts w:ascii="Times New Roman" w:hAnsi="Times New Roman"/>
          <w:color w:val="000000" w:themeColor="text1"/>
          <w:sz w:val="16"/>
          <w:szCs w:val="16"/>
        </w:rPr>
        <w:softHyphen/>
        <w:t>нительно большим углом встречи, скалываясь, не дает бро</w:t>
      </w:r>
      <w:r w:rsidRPr="00D03F3E">
        <w:rPr>
          <w:rFonts w:ascii="Times New Roman" w:hAnsi="Times New Roman"/>
          <w:color w:val="000000" w:themeColor="text1"/>
          <w:sz w:val="16"/>
          <w:szCs w:val="16"/>
        </w:rPr>
        <w:softHyphen/>
        <w:t>небойному сердечнику «закуситься», чтобы произошел дово-рот снаряда в сторону нормали при пробитии. Таким обра</w:t>
      </w:r>
      <w:r w:rsidRPr="00D03F3E">
        <w:rPr>
          <w:rFonts w:ascii="Times New Roman" w:hAnsi="Times New Roman"/>
          <w:color w:val="000000" w:themeColor="text1"/>
          <w:sz w:val="16"/>
          <w:szCs w:val="16"/>
        </w:rPr>
        <w:softHyphen/>
        <w:t>зом, нанесенный слой железобетона увеличивал склонность тупоголового снаряда к рикошету... Однако бетонная подуш</w:t>
      </w:r>
      <w:r w:rsidRPr="00D03F3E">
        <w:rPr>
          <w:rFonts w:ascii="Times New Roman" w:hAnsi="Times New Roman"/>
          <w:color w:val="000000" w:themeColor="text1"/>
          <w:sz w:val="16"/>
          <w:szCs w:val="16"/>
        </w:rPr>
        <w:softHyphen/>
        <w:t>ка могла быть нанесена на поверхность брони только вруч</w:t>
      </w:r>
      <w:r w:rsidRPr="00D03F3E">
        <w:rPr>
          <w:rFonts w:ascii="Times New Roman" w:hAnsi="Times New Roman"/>
          <w:color w:val="000000" w:themeColor="text1"/>
          <w:sz w:val="16"/>
          <w:szCs w:val="16"/>
        </w:rPr>
        <w:softHyphen/>
        <w:t>ную и должна была подвергаться сложной технологии суш</w:t>
      </w:r>
      <w:r w:rsidRPr="00D03F3E">
        <w:rPr>
          <w:rFonts w:ascii="Times New Roman" w:hAnsi="Times New Roman"/>
          <w:color w:val="000000" w:themeColor="text1"/>
          <w:sz w:val="16"/>
          <w:szCs w:val="16"/>
        </w:rPr>
        <w:softHyphen/>
        <w:t>ки, поэтому такой способ увеличения бронирования был признан неравноценным ожидаемым результатам. Поэтому группа слушателя академии ВАММ под руко</w:t>
      </w:r>
      <w:r w:rsidRPr="00D03F3E">
        <w:rPr>
          <w:rFonts w:ascii="Times New Roman" w:hAnsi="Times New Roman"/>
          <w:color w:val="000000" w:themeColor="text1"/>
          <w:sz w:val="16"/>
          <w:szCs w:val="16"/>
        </w:rPr>
        <w:softHyphen/>
        <w:t>водством Цыганкова (по некоторым источникам, это был тот самый Н. Цыганов, что перед войной занимался разработкой танков БТ-ИС и БТ-СВ) разработала две схемы усиления бронирования — с непосредственным прилеганием бетонной подушки к броневым листам танка и установленной с зазо</w:t>
      </w:r>
      <w:r w:rsidRPr="00D03F3E">
        <w:rPr>
          <w:rFonts w:ascii="Times New Roman" w:hAnsi="Times New Roman"/>
          <w:color w:val="000000" w:themeColor="text1"/>
          <w:sz w:val="16"/>
          <w:szCs w:val="16"/>
        </w:rPr>
        <w:softHyphen/>
        <w:t>ром. Указанные схемы отличались от аналогов тем, что уси</w:t>
      </w:r>
      <w:r w:rsidRPr="00D03F3E">
        <w:rPr>
          <w:rFonts w:ascii="Times New Roman" w:hAnsi="Times New Roman"/>
          <w:color w:val="000000" w:themeColor="text1"/>
          <w:sz w:val="16"/>
          <w:szCs w:val="16"/>
        </w:rPr>
        <w:softHyphen/>
        <w:t>ленное бронирование получалось установкой на корпусе танка специальной съемной или несъемной опалубки и ее за</w:t>
      </w:r>
      <w:r w:rsidRPr="00D03F3E">
        <w:rPr>
          <w:rFonts w:ascii="Times New Roman" w:hAnsi="Times New Roman"/>
          <w:color w:val="000000" w:themeColor="text1"/>
          <w:sz w:val="16"/>
          <w:szCs w:val="16"/>
        </w:rPr>
        <w:softHyphen/>
        <w:t>ливкой бетоном с последующей трамбовкой. Кроме того, для применения в зимних условиях НИИ-48 предлагалось уси</w:t>
      </w:r>
      <w:r w:rsidRPr="00D03F3E">
        <w:rPr>
          <w:rFonts w:ascii="Times New Roman" w:hAnsi="Times New Roman"/>
          <w:color w:val="000000" w:themeColor="text1"/>
          <w:sz w:val="16"/>
          <w:szCs w:val="16"/>
        </w:rPr>
        <w:softHyphen/>
        <w:t xml:space="preserve">ливать бронирование танка «льдобетоном», посредством </w:t>
      </w:r>
      <w:r w:rsidRPr="00D03F3E">
        <w:rPr>
          <w:rFonts w:ascii="Times New Roman" w:hAnsi="Times New Roman"/>
          <w:color w:val="000000" w:themeColor="text1"/>
          <w:sz w:val="16"/>
          <w:szCs w:val="16"/>
        </w:rPr>
        <w:lastRenderedPageBreak/>
        <w:t>установки на корпусе танка деревянного каркаса с засыпкой его смесью фавия, песка и деревянных опилок, обильно по</w:t>
      </w:r>
      <w:r w:rsidRPr="00D03F3E">
        <w:rPr>
          <w:rFonts w:ascii="Times New Roman" w:hAnsi="Times New Roman"/>
          <w:color w:val="000000" w:themeColor="text1"/>
          <w:sz w:val="16"/>
          <w:szCs w:val="16"/>
        </w:rPr>
        <w:softHyphen/>
        <w:t>ливаемой водой на морозе. Применение подобных подушек из «льдобетона» толщиной 80 мм приводило к тому, что бор</w:t>
      </w:r>
      <w:r w:rsidRPr="00D03F3E">
        <w:rPr>
          <w:rFonts w:ascii="Times New Roman" w:hAnsi="Times New Roman"/>
          <w:color w:val="000000" w:themeColor="text1"/>
          <w:sz w:val="16"/>
          <w:szCs w:val="16"/>
        </w:rPr>
        <w:softHyphen/>
        <w:t>та Т-34 не пробивались из немецкой 75-мм противотанковой пушки РаК 40 с дистанции даже 300-400 м (11135).</w:t>
      </w:r>
    </w:p>
    <w:p w14:paraId="7773434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BE82F4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в КБ Горьковского автозавода под руководством Н.А. Астрова была разработана самоходная установка СУ-74 (СУ-74А). Опытный образец был изготовлен в мае 1943 г. и был отправлен на за</w:t>
      </w:r>
      <w:r w:rsidRPr="00D03F3E">
        <w:rPr>
          <w:rFonts w:ascii="Times New Roman" w:hAnsi="Times New Roman"/>
          <w:color w:val="000000" w:themeColor="text1"/>
          <w:sz w:val="16"/>
          <w:szCs w:val="16"/>
        </w:rPr>
        <w:softHyphen/>
        <w:t>водские испытания, которые не выдержал по причине неудовлетвори</w:t>
      </w:r>
      <w:r w:rsidRPr="00D03F3E">
        <w:rPr>
          <w:rFonts w:ascii="Times New Roman" w:hAnsi="Times New Roman"/>
          <w:color w:val="000000" w:themeColor="text1"/>
          <w:sz w:val="16"/>
          <w:szCs w:val="16"/>
        </w:rPr>
        <w:softHyphen/>
        <w:t>тельной работы двигателя, и с дальнейшей разработки был снят (10703).</w:t>
      </w:r>
    </w:p>
    <w:p w14:paraId="356A19F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21A1CC24" w14:textId="77777777" w:rsidR="00851D86" w:rsidRPr="00D03F3E" w:rsidRDefault="00851D86"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Весной 1943 года, в виду того, что СКБ КЭО ГАЗ было загружено и другими работами, более приоритетными, чем зенитный танк, начало формировать облик СЗУ. От Т-90 там остался только сам принцип установки спарки пулеметов ДШКТ, да и то, кое-что поменяли. Теперь телескопический прицел ТМФП находился в одной подвижной бронировке с пулеметной установкой. Сама же башня стала совсем новой. Ее сделали 7-гранной, с ярко выраженной кормовой нишей, куда поставили радиостанцию 12-Р. Толщина стенок башни составила 35 мм, таким образом, она получалась крепче, чем лоб танка, куда она ставилась. На крыше появились откидные лючки, которыми она частично закрывалась. Угол вертикальной наводки снизился до +70 градусов, по этому поводу позже военные высказали своё неодобрение. По их мнению, угол вертикальной наводки требовалось сделать на уровне Т-90, то есть +85 градусов. А вот по чему не возникло претензий, так это по скорости горизонтальной наводки. На ГАЗ учли критику, доведя скорость до 10 градусов в секунду. Этого было достаточно для сопровождения целей (21261).</w:t>
      </w:r>
    </w:p>
    <w:p w14:paraId="57215765" w14:textId="77777777" w:rsidR="00851D86" w:rsidRPr="00D03F3E" w:rsidRDefault="00851D86" w:rsidP="00D03F3E">
      <w:pPr>
        <w:shd w:val="clear" w:color="auto" w:fill="FFFFFF"/>
        <w:spacing w:after="0" w:line="240" w:lineRule="auto"/>
        <w:jc w:val="both"/>
        <w:rPr>
          <w:rFonts w:ascii="Times New Roman" w:eastAsia="Times New Roman" w:hAnsi="Times New Roman"/>
          <w:color w:val="0070C0"/>
          <w:sz w:val="16"/>
          <w:szCs w:val="16"/>
          <w:lang w:eastAsia="ru-RU"/>
        </w:rPr>
      </w:pPr>
    </w:p>
    <w:p w14:paraId="4272356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Весной 1943 г. по приказу Ставки для расследования причин невыполнения заказов НКО по 76-мм СУ-76 (СУ-12) и.о. наркома танковой промышленности И.Зальцман образовал специаль ную комиссию под собственным председа тельством. Комиссия работала споро и быстро, но не нашла других причин невы полнения заказов, кроме виновных. Таковы ми были объявлены С.А.Гинзбург (к тому времени - начальник Отдела Главного Кон структора НКТП), а также директор заводе № 38 Яковлев и бывший главный конструк тор завода № 37. Но если последние подверг лись довольно легкому наказанию (времен ное отстранение от руководства работами и выговоры), то начальник ОГК НКТП, как “главный виновный” был в апреле 1943 г. отправлен на фронт начальником ремонтной службы одного из танковых корпусов. Вскоре И.Сталин поинтересовался что сделано по устранению дефектов СУ-76 и как восполнена их недостача. А узнав, что деятельность наркомата ограничилась наказаниями, он обрушил на головы руководства НКТП свой гнев, изложенный в двух письмах и телеграмме, где “... подобное наказание талантливого конструктора и танкостроителя СССР, товарища Гинзбурга...” называлось “...гнусным преступлением!”, а “...фактическое бездействие руководства наркомата...” по его мнению, “...оставило Красную армию совсем без самоходной артиллерии” (6205, 14).</w:t>
      </w:r>
    </w:p>
    <w:p w14:paraId="32768343" w14:textId="77777777" w:rsidR="00531570" w:rsidRPr="00D03F3E" w:rsidRDefault="00531570" w:rsidP="00D03F3E">
      <w:pPr>
        <w:pStyle w:val="Iauiue"/>
        <w:jc w:val="both"/>
        <w:rPr>
          <w:color w:val="000000" w:themeColor="text1"/>
          <w:sz w:val="16"/>
          <w:szCs w:val="16"/>
        </w:rPr>
      </w:pPr>
    </w:p>
    <w:p w14:paraId="07965D9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Весной 1943 г. для 122-мм орудия для САУ У-11 была разработана и отлажена рамочная установка с креплением к лобовой броне (4017).</w:t>
      </w:r>
    </w:p>
    <w:p w14:paraId="2E90F878" w14:textId="77777777" w:rsidR="00531570" w:rsidRPr="00D03F3E" w:rsidRDefault="00531570" w:rsidP="00D03F3E">
      <w:pPr>
        <w:pStyle w:val="Iauiue"/>
        <w:jc w:val="both"/>
        <w:rPr>
          <w:color w:val="000000" w:themeColor="text1"/>
          <w:sz w:val="16"/>
          <w:szCs w:val="16"/>
        </w:rPr>
      </w:pPr>
    </w:p>
    <w:p w14:paraId="0A98D72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Когда весной 1943 г. выяснилось конструкционное несо</w:t>
      </w:r>
      <w:r w:rsidRPr="00D03F3E">
        <w:rPr>
          <w:rFonts w:ascii="Times New Roman" w:hAnsi="Times New Roman"/>
          <w:color w:val="000000" w:themeColor="text1"/>
          <w:sz w:val="16"/>
          <w:szCs w:val="16"/>
        </w:rPr>
        <w:softHyphen/>
        <w:t>вершенство СУ-76(СУ-12), многим казалось, что решить его просто — достаточно усилить валы, что вскоре было выпол</w:t>
      </w:r>
      <w:r w:rsidRPr="00D03F3E">
        <w:rPr>
          <w:rFonts w:ascii="Times New Roman" w:hAnsi="Times New Roman"/>
          <w:color w:val="000000" w:themeColor="text1"/>
          <w:sz w:val="16"/>
          <w:szCs w:val="16"/>
        </w:rPr>
        <w:softHyphen/>
        <w:t>нено. Но такие «усиленные» машины начали выходить из строя даже чаще, чем прежние. Стало понятно, что полуме</w:t>
      </w:r>
      <w:r w:rsidRPr="00D03F3E">
        <w:rPr>
          <w:rFonts w:ascii="Times New Roman" w:hAnsi="Times New Roman"/>
          <w:color w:val="000000" w:themeColor="text1"/>
          <w:sz w:val="16"/>
          <w:szCs w:val="16"/>
        </w:rPr>
        <w:softHyphen/>
        <w:t>рами не обойтись, нужна серьезная работа. Поэтому 21 мар</w:t>
      </w:r>
      <w:r w:rsidRPr="00D03F3E">
        <w:rPr>
          <w:rFonts w:ascii="Times New Roman" w:hAnsi="Times New Roman"/>
          <w:color w:val="000000" w:themeColor="text1"/>
          <w:sz w:val="16"/>
          <w:szCs w:val="16"/>
        </w:rPr>
        <w:softHyphen/>
        <w:t>та 1943 г. производство СУ-12 было остановлено до выясне</w:t>
      </w:r>
      <w:r w:rsidRPr="00D03F3E">
        <w:rPr>
          <w:rFonts w:ascii="Times New Roman" w:hAnsi="Times New Roman"/>
          <w:color w:val="000000" w:themeColor="text1"/>
          <w:sz w:val="16"/>
          <w:szCs w:val="16"/>
        </w:rPr>
        <w:softHyphen/>
        <w:t>ния путей возможного устранения их дефекта.</w:t>
      </w:r>
    </w:p>
    <w:p w14:paraId="2483D36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Расследование показало, что в процессе работы двух двигателей на общий вал, если их обороты не синхронизи</w:t>
      </w:r>
      <w:r w:rsidRPr="00D03F3E">
        <w:rPr>
          <w:rFonts w:ascii="Times New Roman" w:hAnsi="Times New Roman"/>
          <w:color w:val="000000" w:themeColor="text1"/>
          <w:sz w:val="16"/>
          <w:szCs w:val="16"/>
        </w:rPr>
        <w:softHyphen/>
        <w:t>рованы, то на валу неизбежно возникают крутильные коле</w:t>
      </w:r>
      <w:r w:rsidRPr="00D03F3E">
        <w:rPr>
          <w:rFonts w:ascii="Times New Roman" w:hAnsi="Times New Roman"/>
          <w:color w:val="000000" w:themeColor="text1"/>
          <w:sz w:val="16"/>
          <w:szCs w:val="16"/>
        </w:rPr>
        <w:softHyphen/>
        <w:t>бания, резонансная частота которых находится в рабочем диапазоне оборотов мотора. Самое страшное, что ее пиковое значение приходилось на наиболее нагруженный режим ра</w:t>
      </w:r>
      <w:r w:rsidRPr="00D03F3E">
        <w:rPr>
          <w:rFonts w:ascii="Times New Roman" w:hAnsi="Times New Roman"/>
          <w:color w:val="000000" w:themeColor="text1"/>
          <w:sz w:val="16"/>
          <w:szCs w:val="16"/>
        </w:rPr>
        <w:softHyphen/>
        <w:t>боты, соответствующий движению САУ на второй передаче по бездорожью. Надо было срочно найти способ предотвра</w:t>
      </w:r>
      <w:r w:rsidRPr="00D03F3E">
        <w:rPr>
          <w:rFonts w:ascii="Times New Roman" w:hAnsi="Times New Roman"/>
          <w:color w:val="000000" w:themeColor="text1"/>
          <w:sz w:val="16"/>
          <w:szCs w:val="16"/>
        </w:rPr>
        <w:softHyphen/>
        <w:t>щения возникновения резонансов, .чем и занялось спецбюро САУ и ОГК НКТП в целом. Здесь работы велись сразу по 2 направлениям: синхронизация работы моторов или га-ие крутильных колебаний рабочего вала. Но синхронизация моторов, расположенных далеко друг друга (тем более когда между ними механик-водитель), выливалась в особую проблему. Это было возможно в случае повторения пути горьковских танкостроителей — макси-Иального сближения моторных агрегатов, что вело к серьезной переделке конструкции САУ в целом, а значит — реаль-и длительной остановке их выпуска в то время, как они остро требовались для предстоящей летней 1943 г. кампании. Поэтому С.А. Гинзбург избрал другой путь — гашение Крутильных колебаний на валу. В марте-апреле 1943 г. в Ки</w:t>
      </w:r>
      <w:r w:rsidRPr="00D03F3E">
        <w:rPr>
          <w:rFonts w:ascii="Times New Roman" w:hAnsi="Times New Roman"/>
          <w:color w:val="000000" w:themeColor="text1"/>
          <w:sz w:val="16"/>
          <w:szCs w:val="16"/>
        </w:rPr>
        <w:softHyphen/>
        <w:t>рове прошли испытания машины СУ- 12М, отличавшейся от СУ-12 рядом усовершенствований. Между моторами и КПП были установлены две упругие пружинные муфты, а между двумя главными передачами на общем валу — фрикционная проскальзывающая муфта. Моторы были дополнены подмо-торными амортизаторами. Принятые меры резко снизили аварийность главных передач СУ-12М, но все же полностью их не исключили. Необходимость в легких САУ была столь велика, что уже в мае 1943 г. СУ-12М пошли в серию и нача</w:t>
      </w:r>
      <w:r w:rsidRPr="00D03F3E">
        <w:rPr>
          <w:rFonts w:ascii="Times New Roman" w:hAnsi="Times New Roman"/>
          <w:color w:val="000000" w:themeColor="text1"/>
          <w:sz w:val="16"/>
          <w:szCs w:val="16"/>
        </w:rPr>
        <w:softHyphen/>
        <w:t>ли поступать в войска под индексом СУ-76М.</w:t>
      </w:r>
    </w:p>
    <w:p w14:paraId="7052127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Здесь необходимо сделать некоторое грустное отступле</w:t>
      </w:r>
      <w:r w:rsidRPr="00D03F3E">
        <w:rPr>
          <w:rFonts w:ascii="Times New Roman" w:hAnsi="Times New Roman"/>
          <w:color w:val="000000" w:themeColor="text1"/>
          <w:sz w:val="16"/>
          <w:szCs w:val="16"/>
        </w:rPr>
        <w:softHyphen/>
        <w:t>ние от истории машины к судьбе человека, впрочем, непо</w:t>
      </w:r>
      <w:r w:rsidRPr="00D03F3E">
        <w:rPr>
          <w:rFonts w:ascii="Times New Roman" w:hAnsi="Times New Roman"/>
          <w:color w:val="000000" w:themeColor="text1"/>
          <w:sz w:val="16"/>
          <w:szCs w:val="16"/>
        </w:rPr>
        <w:softHyphen/>
        <w:t>средственно связанной с СУ-76. Дело в том, что весной 1943 г. по приказу Ставки для расследования причин выхода из строя СУ-76 (СУ-12) нарком танковой промышленности И.М. Зальцман образовал специальную комиссию под собст</w:t>
      </w:r>
      <w:r w:rsidRPr="00D03F3E">
        <w:rPr>
          <w:rFonts w:ascii="Times New Roman" w:hAnsi="Times New Roman"/>
          <w:color w:val="000000" w:themeColor="text1"/>
          <w:sz w:val="16"/>
          <w:szCs w:val="16"/>
        </w:rPr>
        <w:softHyphen/>
        <w:t>венным председательством. Комиссия работала споро и бы</w:t>
      </w:r>
      <w:r w:rsidRPr="00D03F3E">
        <w:rPr>
          <w:rFonts w:ascii="Times New Roman" w:hAnsi="Times New Roman"/>
          <w:color w:val="000000" w:themeColor="text1"/>
          <w:sz w:val="16"/>
          <w:szCs w:val="16"/>
        </w:rPr>
        <w:softHyphen/>
        <w:t>стро, но не нашла других причин невыполнения заказов, кроме виновных. Таковыми были объявлены С.А. Гинзбург (к тому времени — начальник ОГК НКТП), директор завода № 38 Н.Д. Яковлев и бывший главный конструктор завода N° 37. Но если последние подверглись довольно мягкому, даже несколько «условному» наказанию (временное отстране</w:t>
      </w:r>
      <w:r w:rsidRPr="00D03F3E">
        <w:rPr>
          <w:rFonts w:ascii="Times New Roman" w:hAnsi="Times New Roman"/>
          <w:color w:val="000000" w:themeColor="text1"/>
          <w:sz w:val="16"/>
          <w:szCs w:val="16"/>
        </w:rPr>
        <w:softHyphen/>
        <w:t>ние от руководства работами и выговоры), то начальник ОГК НКТП, как «главный виновник», был в апреле—мае 1943 г. отправлен на фронт начальником ремонтной службы одного из танковых корпусов. В мае 1943 г. И.В. Сталин поинтересо</w:t>
      </w:r>
      <w:r w:rsidRPr="00D03F3E">
        <w:rPr>
          <w:rFonts w:ascii="Times New Roman" w:hAnsi="Times New Roman"/>
          <w:color w:val="000000" w:themeColor="text1"/>
          <w:sz w:val="16"/>
          <w:szCs w:val="16"/>
        </w:rPr>
        <w:softHyphen/>
        <w:t>вался у наркома танковой промышленности, что уже сделано по устранению дефектов СУ-76 и как восполнена их недоста</w:t>
      </w:r>
      <w:r w:rsidRPr="00D03F3E">
        <w:rPr>
          <w:rFonts w:ascii="Times New Roman" w:hAnsi="Times New Roman"/>
          <w:color w:val="000000" w:themeColor="text1"/>
          <w:sz w:val="16"/>
          <w:szCs w:val="16"/>
        </w:rPr>
        <w:softHyphen/>
        <w:t>ча. А узнав, что деятельность наркомата ограничилась нака</w:t>
      </w:r>
      <w:r w:rsidRPr="00D03F3E">
        <w:rPr>
          <w:rFonts w:ascii="Times New Roman" w:hAnsi="Times New Roman"/>
          <w:color w:val="000000" w:themeColor="text1"/>
          <w:sz w:val="16"/>
          <w:szCs w:val="16"/>
        </w:rPr>
        <w:softHyphen/>
        <w:t>заниями, обрушил на головы наркома и его замов свой гнев, изложенный в двух письмах и телеграмме, где «... подобное на</w:t>
      </w:r>
      <w:r w:rsidRPr="00D03F3E">
        <w:rPr>
          <w:rFonts w:ascii="Times New Roman" w:hAnsi="Times New Roman"/>
          <w:color w:val="000000" w:themeColor="text1"/>
          <w:sz w:val="16"/>
          <w:szCs w:val="16"/>
        </w:rPr>
        <w:softHyphen/>
        <w:t>казание талантливого конструктора и танкостроителя СССР, товарища Гинзбурга ...» называлось «...гнусным пре</w:t>
      </w:r>
      <w:r w:rsidRPr="00D03F3E">
        <w:rPr>
          <w:rFonts w:ascii="Times New Roman" w:hAnsi="Times New Roman"/>
          <w:color w:val="000000" w:themeColor="text1"/>
          <w:sz w:val="16"/>
          <w:szCs w:val="16"/>
        </w:rPr>
        <w:softHyphen/>
        <w:t>ступлением!», а «...фактическое бездействие руководства нар</w:t>
      </w:r>
      <w:r w:rsidRPr="00D03F3E">
        <w:rPr>
          <w:rFonts w:ascii="Times New Roman" w:hAnsi="Times New Roman"/>
          <w:color w:val="000000" w:themeColor="text1"/>
          <w:sz w:val="16"/>
          <w:szCs w:val="16"/>
        </w:rPr>
        <w:softHyphen/>
        <w:t>комата...», по его мнению, «...оставило Красную Армию сов</w:t>
      </w:r>
      <w:r w:rsidRPr="00D03F3E">
        <w:rPr>
          <w:rFonts w:ascii="Times New Roman" w:hAnsi="Times New Roman"/>
          <w:color w:val="000000" w:themeColor="text1"/>
          <w:sz w:val="16"/>
          <w:szCs w:val="16"/>
        </w:rPr>
        <w:softHyphen/>
        <w:t>сем без самоходной артиллерии». С.А.Гинзбург был отозван с фронта приказом Ставки, но было поздно, так как отозва</w:t>
      </w:r>
      <w:r w:rsidRPr="00D03F3E">
        <w:rPr>
          <w:rFonts w:ascii="Times New Roman" w:hAnsi="Times New Roman"/>
          <w:color w:val="000000" w:themeColor="text1"/>
          <w:sz w:val="16"/>
          <w:szCs w:val="16"/>
        </w:rPr>
        <w:softHyphen/>
        <w:t>ние, по воспоминаниям Л.И. Горлицкого, пришло лишь че</w:t>
      </w:r>
      <w:r w:rsidRPr="00D03F3E">
        <w:rPr>
          <w:rFonts w:ascii="Times New Roman" w:hAnsi="Times New Roman"/>
          <w:color w:val="000000" w:themeColor="text1"/>
          <w:sz w:val="16"/>
          <w:szCs w:val="16"/>
        </w:rPr>
        <w:softHyphen/>
        <w:t>рез день после его трагической гибели (11417).</w:t>
      </w:r>
    </w:p>
    <w:p w14:paraId="179C8A8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6B7BF2C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Весной 1943 г. КБ Уралмашзавода, выполняя предписание ОГК НКТП по совершенствованию конструкции серийных машин, предприняло ряд попыток радикально улучшить характеристики СУ-122. Главным недостатком 122-мм артсистемы считалась ее вооружение пехотной гаубицей М-30, особенностью которой было осуществление раздельной наводки ее по горизонтали и вертикали, а также применение раздельного выстрела и поршневого затвора, не позволявшие значительно уменьшить расчет орудия и его массогабаритные характеристики (4017).</w:t>
      </w:r>
    </w:p>
    <w:p w14:paraId="0D1E896D" w14:textId="77777777" w:rsidR="00531570" w:rsidRPr="00D03F3E" w:rsidRDefault="00531570" w:rsidP="00D03F3E">
      <w:pPr>
        <w:pStyle w:val="Iauiue"/>
        <w:jc w:val="both"/>
        <w:rPr>
          <w:color w:val="000000" w:themeColor="text1"/>
          <w:sz w:val="16"/>
          <w:szCs w:val="16"/>
        </w:rPr>
      </w:pPr>
    </w:p>
    <w:p w14:paraId="678AE44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Весной-летом 1943 г. для увеличения боекомплекта СУ-122 из экипажей некоторых машин удалили второго заряжающего (экипаж уменьшен с 6 до 5 человек), что, несомненно, отрицательно сказалось на скорострельности (4017).</w:t>
      </w:r>
    </w:p>
    <w:p w14:paraId="56635A4B" w14:textId="77777777" w:rsidR="00531570" w:rsidRPr="00D03F3E" w:rsidRDefault="00531570" w:rsidP="00D03F3E">
      <w:pPr>
        <w:pStyle w:val="Iauiue"/>
        <w:jc w:val="both"/>
        <w:rPr>
          <w:color w:val="000000" w:themeColor="text1"/>
          <w:sz w:val="16"/>
          <w:szCs w:val="16"/>
        </w:rPr>
      </w:pPr>
    </w:p>
    <w:p w14:paraId="3C8BD06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Весной 1943 г. за работы по созданию и освоению в серии СУ-122 Л.И. Гор-лицкий и Н.В. Курин были награждены орденом «Красная звезда» и удостоены Сталинской премии </w:t>
      </w:r>
      <w:r w:rsidRPr="00D03F3E">
        <w:rPr>
          <w:rFonts w:ascii="Times New Roman" w:hAnsi="Times New Roman"/>
          <w:color w:val="000000" w:themeColor="text1"/>
          <w:sz w:val="16"/>
          <w:szCs w:val="16"/>
          <w:lang w:val="en-US"/>
        </w:rPr>
        <w:t>II</w:t>
      </w:r>
      <w:r w:rsidRPr="00D03F3E">
        <w:rPr>
          <w:rFonts w:ascii="Times New Roman" w:hAnsi="Times New Roman"/>
          <w:color w:val="000000" w:themeColor="text1"/>
          <w:sz w:val="16"/>
          <w:szCs w:val="16"/>
        </w:rPr>
        <w:t xml:space="preserve"> степени. Все это, но главным образом то, что Уралмашзавод был освобожден от программы выпуска танков Т-34, позволили Уралмашзаводу уже в марте 1943 г. выйти на запланированный уровень серийного производства, а в мае уже доложить о готовности перевыполнения плана. С началом серийного производства средних СУ-122 на</w:t>
      </w:r>
      <w:r w:rsidRPr="00D03F3E">
        <w:rPr>
          <w:rFonts w:ascii="Times New Roman" w:hAnsi="Times New Roman"/>
          <w:color w:val="000000" w:themeColor="text1"/>
          <w:sz w:val="16"/>
          <w:szCs w:val="16"/>
        </w:rPr>
        <w:softHyphen/>
        <w:t>чались и мероприятия по улучшению конструкции и каче</w:t>
      </w:r>
      <w:r w:rsidRPr="00D03F3E">
        <w:rPr>
          <w:rFonts w:ascii="Times New Roman" w:hAnsi="Times New Roman"/>
          <w:color w:val="000000" w:themeColor="text1"/>
          <w:sz w:val="16"/>
          <w:szCs w:val="16"/>
        </w:rPr>
        <w:softHyphen/>
        <w:t>ства изготовления. К этому процессу были привлечены также завод № 50 (бывший филиал Уралмашзавода) и дви</w:t>
      </w:r>
      <w:r w:rsidRPr="00D03F3E">
        <w:rPr>
          <w:rFonts w:ascii="Times New Roman" w:hAnsi="Times New Roman"/>
          <w:color w:val="000000" w:themeColor="text1"/>
          <w:sz w:val="16"/>
          <w:szCs w:val="16"/>
        </w:rPr>
        <w:softHyphen/>
        <w:t>гательный завод № 76. Всеми работами по совершенство</w:t>
      </w:r>
      <w:r w:rsidRPr="00D03F3E">
        <w:rPr>
          <w:rFonts w:ascii="Times New Roman" w:hAnsi="Times New Roman"/>
          <w:color w:val="000000" w:themeColor="text1"/>
          <w:sz w:val="16"/>
          <w:szCs w:val="16"/>
        </w:rPr>
        <w:softHyphen/>
        <w:t>ванию СУ-122 руководил зам главного конструктора Урал</w:t>
      </w:r>
      <w:r w:rsidRPr="00D03F3E">
        <w:rPr>
          <w:rFonts w:ascii="Times New Roman" w:hAnsi="Times New Roman"/>
          <w:color w:val="000000" w:themeColor="text1"/>
          <w:sz w:val="16"/>
          <w:szCs w:val="16"/>
        </w:rPr>
        <w:softHyphen/>
        <w:t>машзавода Л.И. Гбрлицкий (11417).</w:t>
      </w:r>
    </w:p>
    <w:p w14:paraId="5AC7D5F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F69366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весне 1943 г. многим казалось, что в отечественной самоходной артиллерии наступил баланс. В самом деле, в начале 1943 г. в войсках имелись легкие штурмовые САУ, по броневой защите и подвижности соответствовавшие легкому танку, вооружение которых могло использоваться для борьбы с вражескими танками или усилить огневую мощь легких машин; средние САУ, по подвижности и бро</w:t>
      </w:r>
      <w:r w:rsidRPr="00D03F3E">
        <w:rPr>
          <w:rFonts w:ascii="Times New Roman" w:hAnsi="Times New Roman"/>
          <w:color w:val="000000" w:themeColor="text1"/>
          <w:sz w:val="16"/>
          <w:szCs w:val="16"/>
        </w:rPr>
        <w:softHyphen/>
        <w:t>нированию не отличавшиеся от Т-34, но имевшие воору</w:t>
      </w:r>
      <w:r w:rsidRPr="00D03F3E">
        <w:rPr>
          <w:rFonts w:ascii="Times New Roman" w:hAnsi="Times New Roman"/>
          <w:color w:val="000000" w:themeColor="text1"/>
          <w:sz w:val="16"/>
          <w:szCs w:val="16"/>
        </w:rPr>
        <w:softHyphen/>
        <w:t>жение с значительно большим могуществом осколочно-фугасного снаряда, и тяжелые САУ, способные значитель</w:t>
      </w:r>
      <w:r w:rsidRPr="00D03F3E">
        <w:rPr>
          <w:rFonts w:ascii="Times New Roman" w:hAnsi="Times New Roman"/>
          <w:color w:val="000000" w:themeColor="text1"/>
          <w:sz w:val="16"/>
          <w:szCs w:val="16"/>
        </w:rPr>
        <w:softHyphen/>
        <w:t>но усилить огневую мощь как тяжелых танков, вплоть до способности борьбы с особо мощными железобетонными ДОС. Казалось, что задание выполнено, и можно вздохнуть спокойно. Но это только казалось...(11417).</w:t>
      </w:r>
    </w:p>
    <w:p w14:paraId="425A0CE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3ADC5D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Весной 1943 в вермахте отмечались не только короткоствольные штурмовые орудия на шасси </w:t>
      </w:r>
      <w:r w:rsidRPr="00D03F3E">
        <w:rPr>
          <w:rFonts w:ascii="Times New Roman" w:hAnsi="Times New Roman"/>
          <w:color w:val="000000" w:themeColor="text1"/>
          <w:sz w:val="16"/>
          <w:szCs w:val="16"/>
          <w:lang w:val="en-US"/>
        </w:rPr>
        <w:t>PzKpfwIII</w:t>
      </w:r>
      <w:r w:rsidRPr="00D03F3E">
        <w:rPr>
          <w:rFonts w:ascii="Times New Roman" w:hAnsi="Times New Roman"/>
          <w:color w:val="000000" w:themeColor="text1"/>
          <w:sz w:val="16"/>
          <w:szCs w:val="16"/>
        </w:rPr>
        <w:t xml:space="preserve"> и легкие противотанковые пушки на шасси устаревших </w:t>
      </w:r>
      <w:r w:rsidRPr="00D03F3E">
        <w:rPr>
          <w:rFonts w:ascii="Times New Roman" w:hAnsi="Times New Roman"/>
          <w:color w:val="000000" w:themeColor="text1"/>
          <w:sz w:val="16"/>
          <w:szCs w:val="16"/>
          <w:lang w:val="en-US"/>
        </w:rPr>
        <w:t>PzKpfwI</w:t>
      </w:r>
      <w:r w:rsidRPr="00D03F3E">
        <w:rPr>
          <w:rFonts w:ascii="Times New Roman" w:hAnsi="Times New Roman"/>
          <w:color w:val="000000" w:themeColor="text1"/>
          <w:sz w:val="16"/>
          <w:szCs w:val="16"/>
        </w:rPr>
        <w:t>. Немецкая самоходная артиллерия на танковом шасси глазами техуправления НКВ теперь выглядела так:</w:t>
      </w:r>
    </w:p>
    <w:p w14:paraId="0C8AE33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75-мм штурмовая пушка (короткоствольная) на шас</w:t>
      </w:r>
      <w:r w:rsidRPr="00D03F3E">
        <w:rPr>
          <w:rFonts w:ascii="Times New Roman" w:hAnsi="Times New Roman"/>
          <w:color w:val="000000" w:themeColor="text1"/>
          <w:sz w:val="16"/>
          <w:szCs w:val="16"/>
        </w:rPr>
        <w:softHyphen/>
        <w:t>си танка Т-3 (</w:t>
      </w:r>
      <w:r w:rsidRPr="00D03F3E">
        <w:rPr>
          <w:rFonts w:ascii="Times New Roman" w:hAnsi="Times New Roman"/>
          <w:color w:val="000000" w:themeColor="text1"/>
          <w:sz w:val="16"/>
          <w:szCs w:val="16"/>
          <w:lang w:val="en-US"/>
        </w:rPr>
        <w:t>Artsturm</w:t>
      </w:r>
      <w:r w:rsidRPr="00D03F3E">
        <w:rPr>
          <w:rFonts w:ascii="Times New Roman" w:hAnsi="Times New Roman"/>
          <w:color w:val="000000" w:themeColor="text1"/>
          <w:sz w:val="16"/>
          <w:szCs w:val="16"/>
        </w:rPr>
        <w:t>). Бронирование круговое аналогично среднему танку Т-3, вооружение 75-мм короткоствольная танковая пушка танка Т-4 и оборонительный ручной пуле</w:t>
      </w:r>
      <w:r w:rsidRPr="00D03F3E">
        <w:rPr>
          <w:rFonts w:ascii="Times New Roman" w:hAnsi="Times New Roman"/>
          <w:color w:val="000000" w:themeColor="text1"/>
          <w:sz w:val="16"/>
          <w:szCs w:val="16"/>
        </w:rPr>
        <w:softHyphen/>
        <w:t>мет. Назначение — огневое и броневое сопровождение пехоты при атаке оборонительных полос.</w:t>
      </w:r>
    </w:p>
    <w:p w14:paraId="473B1A8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76,2-мм противотанковая пушка обр. 36 или 75-мм противотанковая пушка обр. 40 на шасси легкого танка Т-2. Бронирование ограниченное противопульное. Назначе</w:t>
      </w:r>
      <w:r w:rsidRPr="00D03F3E">
        <w:rPr>
          <w:rFonts w:ascii="Times New Roman" w:hAnsi="Times New Roman"/>
          <w:color w:val="000000" w:themeColor="text1"/>
          <w:sz w:val="16"/>
          <w:szCs w:val="16"/>
        </w:rPr>
        <w:softHyphen/>
        <w:t>ние — маневренная оборона против танков. Ведение огня с места из засад и из-за укрытий.</w:t>
      </w:r>
    </w:p>
    <w:p w14:paraId="4175A8A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76,2-мм противотанковая пушка ограниченного про-тивопулъного бронирования на шасси легкого танка «Прага» Т-38. По устройству и назначению подобна предыдущей, от</w:t>
      </w:r>
      <w:r w:rsidRPr="00D03F3E">
        <w:rPr>
          <w:rFonts w:ascii="Times New Roman" w:hAnsi="Times New Roman"/>
          <w:color w:val="000000" w:themeColor="text1"/>
          <w:sz w:val="16"/>
          <w:szCs w:val="16"/>
        </w:rPr>
        <w:softHyphen/>
        <w:t>личается наличием оборонительного пулемета.</w:t>
      </w:r>
    </w:p>
    <w:p w14:paraId="59D4C37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4. 75-мм тяжелая противотанковая пушка в полностью забронированном корпусе. По устройству подобна СУ «</w:t>
      </w:r>
      <w:r w:rsidRPr="00D03F3E">
        <w:rPr>
          <w:rFonts w:ascii="Times New Roman" w:hAnsi="Times New Roman"/>
          <w:color w:val="000000" w:themeColor="text1"/>
          <w:sz w:val="16"/>
          <w:szCs w:val="16"/>
          <w:lang w:val="en-US"/>
        </w:rPr>
        <w:t>Artsturm</w:t>
      </w:r>
      <w:r w:rsidRPr="00D03F3E">
        <w:rPr>
          <w:rFonts w:ascii="Times New Roman" w:hAnsi="Times New Roman"/>
          <w:color w:val="000000" w:themeColor="text1"/>
          <w:sz w:val="16"/>
          <w:szCs w:val="16"/>
        </w:rPr>
        <w:t>», но имеет вооружение 75-мм танков, пушку обр. 40. Назначение — огневое сопровождение и усиление про</w:t>
      </w:r>
      <w:r w:rsidRPr="00D03F3E">
        <w:rPr>
          <w:rFonts w:ascii="Times New Roman" w:hAnsi="Times New Roman"/>
          <w:color w:val="000000" w:themeColor="text1"/>
          <w:sz w:val="16"/>
          <w:szCs w:val="16"/>
        </w:rPr>
        <w:softHyphen/>
        <w:t>тивотанковых способностей танковых частей. Борьба с тан</w:t>
      </w:r>
      <w:r w:rsidRPr="00D03F3E">
        <w:rPr>
          <w:rFonts w:ascii="Times New Roman" w:hAnsi="Times New Roman"/>
          <w:color w:val="000000" w:themeColor="text1"/>
          <w:sz w:val="16"/>
          <w:szCs w:val="16"/>
        </w:rPr>
        <w:softHyphen/>
        <w:t>ками и противотанковыми орудиями входе наступления.</w:t>
      </w:r>
    </w:p>
    <w:p w14:paraId="525ADB0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5.128-мм тяжелая противотанковая пушка на шасси спе</w:t>
      </w:r>
      <w:r w:rsidRPr="00D03F3E">
        <w:rPr>
          <w:rFonts w:ascii="Times New Roman" w:hAnsi="Times New Roman"/>
          <w:color w:val="000000" w:themeColor="text1"/>
          <w:sz w:val="16"/>
          <w:szCs w:val="16"/>
        </w:rPr>
        <w:softHyphen/>
        <w:t>циальной постройки. Вооружение — 128мм противотанковая пушка обр. 41 и пулемет, бронирование — частичное. Назначе</w:t>
      </w:r>
      <w:r w:rsidRPr="00D03F3E">
        <w:rPr>
          <w:rFonts w:ascii="Times New Roman" w:hAnsi="Times New Roman"/>
          <w:color w:val="000000" w:themeColor="text1"/>
          <w:sz w:val="16"/>
          <w:szCs w:val="16"/>
        </w:rPr>
        <w:softHyphen/>
        <w:t>ние — артиллерийские части резерва главного командования. Дальняя борьба с тяжелыми танками и огневыми точками. Выведение танков командиров частей и соединений.</w:t>
      </w:r>
    </w:p>
    <w:p w14:paraId="0290B97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6.150-мм тяжелое штурмовое орудие в полностью забро</w:t>
      </w:r>
      <w:r w:rsidRPr="00D03F3E">
        <w:rPr>
          <w:rFonts w:ascii="Times New Roman" w:hAnsi="Times New Roman"/>
          <w:color w:val="000000" w:themeColor="text1"/>
          <w:sz w:val="16"/>
          <w:szCs w:val="16"/>
        </w:rPr>
        <w:softHyphen/>
        <w:t>нированном корпусе на шасси среднего танка Т-3. По устрой</w:t>
      </w:r>
      <w:r w:rsidRPr="00D03F3E">
        <w:rPr>
          <w:rFonts w:ascii="Times New Roman" w:hAnsi="Times New Roman"/>
          <w:color w:val="000000" w:themeColor="text1"/>
          <w:sz w:val="16"/>
          <w:szCs w:val="16"/>
        </w:rPr>
        <w:softHyphen/>
        <w:t>ству подобно СУ«</w:t>
      </w:r>
      <w:r w:rsidRPr="00D03F3E">
        <w:rPr>
          <w:rFonts w:ascii="Times New Roman" w:hAnsi="Times New Roman"/>
          <w:color w:val="000000" w:themeColor="text1"/>
          <w:sz w:val="16"/>
          <w:szCs w:val="16"/>
          <w:lang w:val="en-US"/>
        </w:rPr>
        <w:t>Artsturm</w:t>
      </w:r>
      <w:r w:rsidRPr="00D03F3E">
        <w:rPr>
          <w:rFonts w:ascii="Times New Roman" w:hAnsi="Times New Roman"/>
          <w:color w:val="000000" w:themeColor="text1"/>
          <w:sz w:val="16"/>
          <w:szCs w:val="16"/>
        </w:rPr>
        <w:t>», но имеет вооружение 150-мм тяжелое пехотное орудие и оборонительный пулемет в шаро</w:t>
      </w:r>
      <w:r w:rsidRPr="00D03F3E">
        <w:rPr>
          <w:rFonts w:ascii="Times New Roman" w:hAnsi="Times New Roman"/>
          <w:color w:val="000000" w:themeColor="text1"/>
          <w:sz w:val="16"/>
          <w:szCs w:val="16"/>
        </w:rPr>
        <w:softHyphen/>
        <w:t>вом яблоке лобового листа. Назначение — качественное ар</w:t>
      </w:r>
      <w:r w:rsidRPr="00D03F3E">
        <w:rPr>
          <w:rFonts w:ascii="Times New Roman" w:hAnsi="Times New Roman"/>
          <w:color w:val="000000" w:themeColor="text1"/>
          <w:sz w:val="16"/>
          <w:szCs w:val="16"/>
        </w:rPr>
        <w:softHyphen/>
        <w:t>тиллерийское усиление пехотных частей, уничтожение дол</w:t>
      </w:r>
      <w:r w:rsidRPr="00D03F3E">
        <w:rPr>
          <w:rFonts w:ascii="Times New Roman" w:hAnsi="Times New Roman"/>
          <w:color w:val="000000" w:themeColor="text1"/>
          <w:sz w:val="16"/>
          <w:szCs w:val="16"/>
        </w:rPr>
        <w:softHyphen/>
        <w:t>говременных огневых точек.</w:t>
      </w:r>
    </w:p>
    <w:p w14:paraId="0527C6A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20-мм зенитная автоматическая пушка на шасси лег</w:t>
      </w:r>
      <w:r w:rsidRPr="00D03F3E">
        <w:rPr>
          <w:rFonts w:ascii="Times New Roman" w:hAnsi="Times New Roman"/>
          <w:color w:val="000000" w:themeColor="text1"/>
          <w:sz w:val="16"/>
          <w:szCs w:val="16"/>
        </w:rPr>
        <w:softHyphen/>
        <w:t>кого .танка Т-1. По устройству аналогична устаревшей 47-мм СУ на шасси танка Т-1, но вместо 47-мм противотан</w:t>
      </w:r>
      <w:r w:rsidRPr="00D03F3E">
        <w:rPr>
          <w:rFonts w:ascii="Times New Roman" w:hAnsi="Times New Roman"/>
          <w:color w:val="000000" w:themeColor="text1"/>
          <w:sz w:val="16"/>
          <w:szCs w:val="16"/>
        </w:rPr>
        <w:softHyphen/>
        <w:t>кового орудия вооружена 20-мм пушкой типа «Эрликон».</w:t>
      </w:r>
    </w:p>
    <w:p w14:paraId="61FBAB0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Поразвед. информации в Германии заканчивается разра</w:t>
      </w:r>
      <w:r w:rsidRPr="00D03F3E">
        <w:rPr>
          <w:rFonts w:ascii="Times New Roman" w:hAnsi="Times New Roman"/>
          <w:color w:val="000000" w:themeColor="text1"/>
          <w:sz w:val="16"/>
          <w:szCs w:val="16"/>
        </w:rPr>
        <w:softHyphen/>
        <w:t>ботка 88-мм самоходной пушки обр. 1941 на шасси танка Т-4».</w:t>
      </w:r>
    </w:p>
    <w:p w14:paraId="0EDD70F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Внимательное изучение парка немецких САУ пред</w:t>
      </w:r>
      <w:r w:rsidRPr="00D03F3E">
        <w:rPr>
          <w:rFonts w:ascii="Times New Roman" w:hAnsi="Times New Roman"/>
          <w:color w:val="000000" w:themeColor="text1"/>
          <w:sz w:val="16"/>
          <w:szCs w:val="16"/>
        </w:rPr>
        <w:softHyphen/>
        <w:t>ставителями НКВ показало, что: «Новое вооружение не</w:t>
      </w:r>
      <w:r w:rsidRPr="00D03F3E">
        <w:rPr>
          <w:rFonts w:ascii="Times New Roman" w:hAnsi="Times New Roman"/>
          <w:color w:val="000000" w:themeColor="text1"/>
          <w:sz w:val="16"/>
          <w:szCs w:val="16"/>
        </w:rPr>
        <w:softHyphen/>
        <w:t>мецких танков и принятие на вооружение новых образцов самоходов показывает, что главной целью немецких войск становятся советские танки... Меж тем перевооружение немецкой фашистской армии новыми образцами танков ставит вопрос борьбы с ними на первое место, так как Красная Армия не имеет в настоящее время эффективных средств борьбы с ними на средней и большой дальности...»</w:t>
      </w:r>
    </w:p>
    <w:p w14:paraId="6043BC8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все же наибольшее внимание в КА уделялось борьбе с танками «тигр» и Р</w:t>
      </w:r>
      <w:r w:rsidRPr="00D03F3E">
        <w:rPr>
          <w:rFonts w:ascii="Times New Roman" w:hAnsi="Times New Roman"/>
          <w:color w:val="000000" w:themeColor="text1"/>
          <w:sz w:val="16"/>
          <w:szCs w:val="16"/>
          <w:lang w:val="en-US"/>
        </w:rPr>
        <w:t>zKpfwIVAusfF</w:t>
      </w:r>
      <w:r w:rsidRPr="00D03F3E">
        <w:rPr>
          <w:rFonts w:ascii="Times New Roman" w:hAnsi="Times New Roman"/>
          <w:color w:val="000000" w:themeColor="text1"/>
          <w:sz w:val="16"/>
          <w:szCs w:val="16"/>
        </w:rPr>
        <w:t>2-</w:t>
      </w:r>
      <w:r w:rsidRPr="00D03F3E">
        <w:rPr>
          <w:rFonts w:ascii="Times New Roman" w:hAnsi="Times New Roman"/>
          <w:color w:val="000000" w:themeColor="text1"/>
          <w:sz w:val="16"/>
          <w:szCs w:val="16"/>
          <w:lang w:val="en-US"/>
        </w:rPr>
        <w:t>G</w:t>
      </w:r>
      <w:r w:rsidRPr="00D03F3E">
        <w:rPr>
          <w:rFonts w:ascii="Times New Roman" w:hAnsi="Times New Roman"/>
          <w:color w:val="000000" w:themeColor="text1"/>
          <w:sz w:val="16"/>
          <w:szCs w:val="16"/>
        </w:rPr>
        <w:t xml:space="preserve"> (который в то время также был отнесен командованием КА к «тяжелым»), захва</w:t>
      </w:r>
      <w:r w:rsidRPr="00D03F3E">
        <w:rPr>
          <w:rFonts w:ascii="Times New Roman" w:hAnsi="Times New Roman"/>
          <w:color w:val="000000" w:themeColor="text1"/>
          <w:sz w:val="16"/>
          <w:szCs w:val="16"/>
        </w:rPr>
        <w:softHyphen/>
        <w:t>ченными в ходе боев начала 1943 г. Их обстрел показал, что и для бронебойных снарядов калибра 45 мм и 76 мм «шкура» немецкого «тифа» и «лоб» его меньших братьев оказались тоже очень прочными. Так, 45-мм противотанковая пушка обр. 1942 г. оставляла в бортах «тигра» и лобовой части Р</w:t>
      </w:r>
      <w:r w:rsidRPr="00D03F3E">
        <w:rPr>
          <w:rFonts w:ascii="Times New Roman" w:hAnsi="Times New Roman"/>
          <w:color w:val="000000" w:themeColor="text1"/>
          <w:sz w:val="16"/>
          <w:szCs w:val="16"/>
          <w:lang w:val="en-US"/>
        </w:rPr>
        <w:t>zKpfwIVAusfF</w:t>
      </w:r>
      <w:r w:rsidRPr="00D03F3E">
        <w:rPr>
          <w:rFonts w:ascii="Times New Roman" w:hAnsi="Times New Roman"/>
          <w:color w:val="000000" w:themeColor="text1"/>
          <w:sz w:val="16"/>
          <w:szCs w:val="16"/>
        </w:rPr>
        <w:t>2-</w:t>
      </w:r>
      <w:r w:rsidRPr="00D03F3E">
        <w:rPr>
          <w:rFonts w:ascii="Times New Roman" w:hAnsi="Times New Roman"/>
          <w:color w:val="000000" w:themeColor="text1"/>
          <w:sz w:val="16"/>
          <w:szCs w:val="16"/>
          <w:lang w:val="en-US"/>
        </w:rPr>
        <w:t>G</w:t>
      </w:r>
      <w:r w:rsidRPr="00D03F3E">
        <w:rPr>
          <w:rFonts w:ascii="Times New Roman" w:hAnsi="Times New Roman"/>
          <w:color w:val="000000" w:themeColor="text1"/>
          <w:sz w:val="16"/>
          <w:szCs w:val="16"/>
        </w:rPr>
        <w:t xml:space="preserve"> только шрамы глубиной до 50—60 мм. Из трех попаданюгуказанным орудием в нижний бортовой лист «тигра» (толщиной 62 мм) с дистанции 200 м в нем лишь однажды образовалась кондиционная пробоина сна</w:t>
      </w:r>
      <w:r w:rsidRPr="00D03F3E">
        <w:rPr>
          <w:rFonts w:ascii="Times New Roman" w:hAnsi="Times New Roman"/>
          <w:color w:val="000000" w:themeColor="text1"/>
          <w:sz w:val="16"/>
          <w:szCs w:val="16"/>
        </w:rPr>
        <w:softHyphen/>
        <w:t>рядом БР-240СП. Дивизионная 76,2-мм пушка была не в со</w:t>
      </w:r>
      <w:r w:rsidRPr="00D03F3E">
        <w:rPr>
          <w:rFonts w:ascii="Times New Roman" w:hAnsi="Times New Roman"/>
          <w:color w:val="000000" w:themeColor="text1"/>
          <w:sz w:val="16"/>
          <w:szCs w:val="16"/>
        </w:rPr>
        <w:softHyphen/>
        <w:t>стоянии пробить 82-мм бортовой лист даже снарядом БР-350Б с дистанции 250—300 м, хотя цельность тыльной поверхности броневого листа была нарушена.</w:t>
      </w:r>
    </w:p>
    <w:p w14:paraId="21A53AA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Обстрел 100-мм брони из 85-мм пушки обр. 1939 г. так</w:t>
      </w:r>
      <w:r w:rsidRPr="00D03F3E">
        <w:rPr>
          <w:rFonts w:ascii="Times New Roman" w:hAnsi="Times New Roman"/>
          <w:color w:val="000000" w:themeColor="text1"/>
          <w:sz w:val="16"/>
          <w:szCs w:val="16"/>
        </w:rPr>
        <w:softHyphen/>
        <w:t>же дал не вполне удовлетворительный результат, так как, несмотря на ожидания испытателей, бронебойный охолощенный снаряд, выпущенный на стенде с эквивалентного расстояния 500 м под углом около 30°, застрял в 100-мм ли</w:t>
      </w:r>
      <w:r w:rsidRPr="00D03F3E">
        <w:rPr>
          <w:rFonts w:ascii="Times New Roman" w:hAnsi="Times New Roman"/>
          <w:color w:val="000000" w:themeColor="text1"/>
          <w:sz w:val="16"/>
          <w:szCs w:val="16"/>
        </w:rPr>
        <w:softHyphen/>
        <w:t>сте лба подбашенной коробки «тигра». Впрочем, при де</w:t>
      </w:r>
      <w:r w:rsidRPr="00D03F3E">
        <w:rPr>
          <w:rFonts w:ascii="Times New Roman" w:hAnsi="Times New Roman"/>
          <w:color w:val="000000" w:themeColor="text1"/>
          <w:sz w:val="16"/>
          <w:szCs w:val="16"/>
        </w:rPr>
        <w:softHyphen/>
        <w:t>тальных исследованиях этот итог оказался закономерным. Ведь при обстреле брони «тигра», отличавшейся высокой поверхностной твердостью, 85-мм бронебойный снаряд массой 9,2 кг, имея начальную скорость 792 м/с, мог про</w:t>
      </w:r>
      <w:r w:rsidRPr="00D03F3E">
        <w:rPr>
          <w:rFonts w:ascii="Times New Roman" w:hAnsi="Times New Roman"/>
          <w:color w:val="000000" w:themeColor="text1"/>
          <w:sz w:val="16"/>
          <w:szCs w:val="16"/>
        </w:rPr>
        <w:softHyphen/>
        <w:t>бить на дистанции 500 м под углом встречи броневой лист толщиной лишь до 91 мм, а на дистанции 1000м эта толщи</w:t>
      </w:r>
      <w:r w:rsidRPr="00D03F3E">
        <w:rPr>
          <w:rFonts w:ascii="Times New Roman" w:hAnsi="Times New Roman"/>
          <w:color w:val="000000" w:themeColor="text1"/>
          <w:sz w:val="16"/>
          <w:szCs w:val="16"/>
        </w:rPr>
        <w:softHyphen/>
        <w:t>на составляла не более 86 мм, или соответственно 105 мм и 100 мм при попадании строго по нормали.</w:t>
      </w:r>
    </w:p>
    <w:p w14:paraId="5AC6D7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Разработанные в 1941 г. 57-мм противотанковая и танко</w:t>
      </w:r>
      <w:r w:rsidRPr="00D03F3E">
        <w:rPr>
          <w:rFonts w:ascii="Times New Roman" w:hAnsi="Times New Roman"/>
          <w:color w:val="000000" w:themeColor="text1"/>
          <w:sz w:val="16"/>
          <w:szCs w:val="16"/>
        </w:rPr>
        <w:softHyphen/>
        <w:t>вая пушки ОКБ № 92 также оказались бесполезными для пробития лба «тигра» на дальности 500 м. Кроме того, 57-мм бронебойные снаряды орудия ЗИС-2 еще не вполне удовле</w:t>
      </w:r>
      <w:r w:rsidRPr="00D03F3E">
        <w:rPr>
          <w:rFonts w:ascii="Times New Roman" w:hAnsi="Times New Roman"/>
          <w:color w:val="000000" w:themeColor="text1"/>
          <w:sz w:val="16"/>
          <w:szCs w:val="16"/>
        </w:rPr>
        <w:softHyphen/>
        <w:t>творительно работали по поверхностно упрочненной броне толщиной более 60 мм при попадании под углом свыше 25°, и недостаточно хорошо пробивали 82-мм бортовую броню «тигра». Но быстрых альтернатив найдено не было (11417).</w:t>
      </w:r>
    </w:p>
    <w:p w14:paraId="19577E9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CA01D4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ознакомившись с представленными предложенными образцами, советская сторона останови</w:t>
      </w:r>
      <w:r w:rsidRPr="00D03F3E">
        <w:rPr>
          <w:rFonts w:ascii="Times New Roman" w:hAnsi="Times New Roman"/>
          <w:color w:val="000000" w:themeColor="text1"/>
          <w:sz w:val="16"/>
          <w:szCs w:val="16"/>
        </w:rPr>
        <w:softHyphen/>
        <w:t>лась на машинах Т48, которые представляли собой 57-мм противотанковую пушку, установленную в кузове полугу</w:t>
      </w:r>
      <w:r w:rsidRPr="00D03F3E">
        <w:rPr>
          <w:rFonts w:ascii="Times New Roman" w:hAnsi="Times New Roman"/>
          <w:color w:val="000000" w:themeColor="text1"/>
          <w:sz w:val="16"/>
          <w:szCs w:val="16"/>
        </w:rPr>
        <w:softHyphen/>
        <w:t>сеничного бронетранспортера МЗ (некое подобие оте</w:t>
      </w:r>
      <w:r w:rsidRPr="00D03F3E">
        <w:rPr>
          <w:rFonts w:ascii="Times New Roman" w:hAnsi="Times New Roman"/>
          <w:color w:val="000000" w:themeColor="text1"/>
          <w:sz w:val="16"/>
          <w:szCs w:val="16"/>
        </w:rPr>
        <w:softHyphen/>
        <w:t>чественной ЗИС-41). Эти машины были разработаны по заказу Великобритании для использования в Африке. Со</w:t>
      </w:r>
      <w:r w:rsidRPr="00D03F3E">
        <w:rPr>
          <w:rFonts w:ascii="Times New Roman" w:hAnsi="Times New Roman"/>
          <w:color w:val="000000" w:themeColor="text1"/>
          <w:sz w:val="16"/>
          <w:szCs w:val="16"/>
        </w:rPr>
        <w:softHyphen/>
        <w:t>ветская сторона высказала пожелание о перевооружении указанных САУ 76,2-мм (или в крайнем случае 75-мм) пушкой, однако фирма-изготовитель отказалась от по</w:t>
      </w:r>
      <w:r w:rsidRPr="00D03F3E">
        <w:rPr>
          <w:rFonts w:ascii="Times New Roman" w:hAnsi="Times New Roman"/>
          <w:color w:val="000000" w:themeColor="text1"/>
          <w:sz w:val="16"/>
          <w:szCs w:val="16"/>
        </w:rPr>
        <w:softHyphen/>
        <w:t>добной модернизации Т48 (11417).</w:t>
      </w:r>
    </w:p>
    <w:p w14:paraId="358F1B8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E1F1C5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весны 1943 начался выпуск БА-64Б с колеей, уширенной с 1250 мм до 1446 мм (2018,27).</w:t>
      </w:r>
    </w:p>
    <w:p w14:paraId="1A8F5F2C" w14:textId="77777777" w:rsidR="00531570" w:rsidRPr="00D03F3E" w:rsidRDefault="00531570" w:rsidP="00D03F3E">
      <w:pPr>
        <w:pStyle w:val="Iauiue"/>
        <w:jc w:val="both"/>
        <w:rPr>
          <w:color w:val="000000" w:themeColor="text1"/>
          <w:sz w:val="16"/>
          <w:szCs w:val="16"/>
        </w:rPr>
      </w:pPr>
    </w:p>
    <w:p w14:paraId="0942D07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Начатое весной 1943 года производство "ширококолейного" БА-64Б продолжалось по 1946 год (3862).</w:t>
      </w:r>
    </w:p>
    <w:p w14:paraId="6344F30C" w14:textId="77777777" w:rsidR="00531570" w:rsidRPr="00D03F3E" w:rsidRDefault="00531570" w:rsidP="00D03F3E">
      <w:pPr>
        <w:pStyle w:val="Iauiue"/>
        <w:jc w:val="both"/>
        <w:rPr>
          <w:color w:val="000000" w:themeColor="text1"/>
          <w:sz w:val="16"/>
          <w:szCs w:val="16"/>
        </w:rPr>
      </w:pPr>
    </w:p>
    <w:p w14:paraId="672CF09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Весной 1943 ГАЗ попытался приспособить для перевозки десанта БА-64 и создал БА-64Е - десантно-транспортную версию. Выпустили 11 - небольшую серию. Прошла войсковые испытания с отрицательным результатом (9624).</w:t>
      </w:r>
    </w:p>
    <w:p w14:paraId="4215E961" w14:textId="77777777" w:rsidR="00531570" w:rsidRPr="00D03F3E" w:rsidRDefault="00531570" w:rsidP="00D03F3E">
      <w:pPr>
        <w:pStyle w:val="Iauiue"/>
        <w:jc w:val="both"/>
        <w:rPr>
          <w:color w:val="000000" w:themeColor="text1"/>
          <w:sz w:val="16"/>
          <w:szCs w:val="16"/>
        </w:rPr>
      </w:pPr>
    </w:p>
    <w:p w14:paraId="5DA70DF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был изготовлен второй опытный образец улучшенного варианта (эталонный) БА-64Г. Оба улучшенных образца бронеавтомобиля поступили на полигонные ис</w:t>
      </w:r>
      <w:r w:rsidRPr="00D03F3E">
        <w:rPr>
          <w:rFonts w:ascii="Times New Roman" w:hAnsi="Times New Roman"/>
          <w:color w:val="000000" w:themeColor="text1"/>
          <w:sz w:val="16"/>
          <w:szCs w:val="16"/>
        </w:rPr>
        <w:softHyphen/>
        <w:t>пытания на Гороховецкий полигон ВОСО. Бронеавтомобиль БА-64Г отличался от серийного образца БА-64 возможностью движения по железнодорожной колее. В носовой и кор</w:t>
      </w:r>
      <w:r w:rsidRPr="00D03F3E">
        <w:rPr>
          <w:rFonts w:ascii="Times New Roman" w:hAnsi="Times New Roman"/>
          <w:color w:val="000000" w:themeColor="text1"/>
          <w:sz w:val="16"/>
          <w:szCs w:val="16"/>
        </w:rPr>
        <w:softHyphen/>
        <w:t>мовой частях корпуса машины устанавливались специальные, частично подрессоренные, откидывавшиеся вверх железнодорожные колеса ма</w:t>
      </w:r>
      <w:r w:rsidRPr="00D03F3E">
        <w:rPr>
          <w:rFonts w:ascii="Times New Roman" w:hAnsi="Times New Roman"/>
          <w:color w:val="000000" w:themeColor="text1"/>
          <w:sz w:val="16"/>
          <w:szCs w:val="16"/>
        </w:rPr>
        <w:softHyphen/>
        <w:t>лого диаметра, которые представляли собой направляющие ролики с ребордами, препятствовавшими сходу машины с железнодорожной ко</w:t>
      </w:r>
      <w:r w:rsidRPr="00D03F3E">
        <w:rPr>
          <w:rFonts w:ascii="Times New Roman" w:hAnsi="Times New Roman"/>
          <w:color w:val="000000" w:themeColor="text1"/>
          <w:sz w:val="16"/>
          <w:szCs w:val="16"/>
        </w:rPr>
        <w:softHyphen/>
        <w:t>леи и позволявшие ей двигаться по железнодорожному полотну при ис</w:t>
      </w:r>
      <w:r w:rsidRPr="00D03F3E">
        <w:rPr>
          <w:rFonts w:ascii="Times New Roman" w:hAnsi="Times New Roman"/>
          <w:color w:val="000000" w:themeColor="text1"/>
          <w:sz w:val="16"/>
          <w:szCs w:val="16"/>
        </w:rPr>
        <w:softHyphen/>
        <w:t>пользовании колесного движителя. Для достижения постоянного кон</w:t>
      </w:r>
      <w:r w:rsidRPr="00D03F3E">
        <w:rPr>
          <w:rFonts w:ascii="Times New Roman" w:hAnsi="Times New Roman"/>
          <w:color w:val="000000" w:themeColor="text1"/>
          <w:sz w:val="16"/>
          <w:szCs w:val="16"/>
        </w:rPr>
        <w:softHyphen/>
        <w:t>такта колес с шинами "ГК" с железнодорожным полотном (колея 1524 мм) было предусмотрено расширение собственной колеи машины, что соответствовало планам ее дальнейшей модернизации и проведению работ над машиной БА-64Б (10703).</w:t>
      </w:r>
    </w:p>
    <w:p w14:paraId="6CD0CEB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219755F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по инициати</w:t>
      </w:r>
      <w:r w:rsidRPr="00D03F3E">
        <w:rPr>
          <w:rFonts w:ascii="Times New Roman" w:hAnsi="Times New Roman"/>
          <w:color w:val="000000" w:themeColor="text1"/>
          <w:sz w:val="16"/>
          <w:szCs w:val="16"/>
        </w:rPr>
        <w:softHyphen/>
        <w:t>ве КБ Горьковского автозавода был разработан Десантный бронеавтомобиль БА-64Е. Первый опытный образец бронеавтомобиля был изготовлен в начале марта 1943 г. Впоследствии в период с апреля 1943 г. по декабрь 1944 г. были выпущены еще семь опытных образцов машины, три из которых в феврале - марте 1944 г. прошли войсковые испытания. На вооружение бронеавтомобиль БА-64Е не принимался и в серийном производстве не состоял (10703).</w:t>
      </w:r>
    </w:p>
    <w:p w14:paraId="45C8C40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214692D" w14:textId="77777777" w:rsidR="009477D6" w:rsidRPr="00D03F3E" w:rsidRDefault="009477D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года немцы стали усиленно бомбить Горький. Особенно много налетов было совершено на автозавод. Начальник МПВО страны созвал совещание, на котором сообщил, что немцы применяют там какие-то зажигательные бомбы, которые через три-четыре часа после ликвидации пожара воспламеняются вновь и вызывают повторные пожары. Было приказано выяснить, в чем дело. Бомбы были доставлены из Горького в Красноармейск, обезврежены, разобраны и осмотрены. Оказалось, что в корпуса 50 кг и 250 кг фугасных бомб немцы наливают загущенную зажигательную смесь и отходы резиновой промышленности. Кроме того, в корпус вкладывают два стеклянных флакона с фосфором. При взрыве бомбы эти флаконы разрушались, фосфор разбрызгивался, попадал на сгораемые конструкции и через некоторое время вызывал повторные пожары. Отделом была выдана инструкция по обезвреживанию этих бомб. В результате анализа трофейных материалов сотрудниками отдела С. П. Стрелковым, Ф. И. Сидоровым, А. П. Якушевым, Б. М. Ульяновым и др. была создана кумулятивная надкалиберная мина к 45-мм противотанковой пушке; отработка ее, включая изготовление серийной партии, заняла около четырех месяцев. Правда, во время войны она широкого распространения не получила (15794).</w:t>
      </w:r>
    </w:p>
    <w:p w14:paraId="2413C522" w14:textId="77777777" w:rsidR="009477D6" w:rsidRPr="00D03F3E" w:rsidRDefault="009477D6" w:rsidP="00D03F3E">
      <w:pPr>
        <w:spacing w:after="0" w:line="240" w:lineRule="auto"/>
        <w:jc w:val="both"/>
        <w:rPr>
          <w:rFonts w:ascii="Times New Roman" w:hAnsi="Times New Roman"/>
          <w:color w:val="000000" w:themeColor="text1"/>
          <w:sz w:val="16"/>
          <w:szCs w:val="16"/>
        </w:rPr>
      </w:pPr>
    </w:p>
    <w:p w14:paraId="257E5E67"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7BF85FF8" w14:textId="77777777" w:rsidR="00531570" w:rsidRPr="00D03F3E" w:rsidRDefault="00531570" w:rsidP="00D03F3E">
      <w:pPr>
        <w:pStyle w:val="Iauiue"/>
        <w:jc w:val="both"/>
        <w:rPr>
          <w:iCs/>
          <w:color w:val="000000" w:themeColor="text1"/>
          <w:sz w:val="16"/>
          <w:szCs w:val="16"/>
        </w:rPr>
      </w:pPr>
    </w:p>
    <w:p w14:paraId="0286A309" w14:textId="77777777" w:rsidR="00666F51" w:rsidRPr="00D03F3E" w:rsidRDefault="00666F51" w:rsidP="00D03F3E">
      <w:pPr>
        <w:pStyle w:val="Iauiue"/>
        <w:jc w:val="both"/>
        <w:rPr>
          <w:color w:val="000000" w:themeColor="text1"/>
          <w:sz w:val="16"/>
          <w:szCs w:val="16"/>
        </w:rPr>
      </w:pPr>
      <w:r w:rsidRPr="00D03F3E">
        <w:rPr>
          <w:color w:val="000000" w:themeColor="text1"/>
          <w:sz w:val="16"/>
          <w:szCs w:val="16"/>
        </w:rPr>
        <w:t>Весной 1943-го появился вариант Fw190F-2. Оба варианта представляли собой переобозначенные Fwl90A-4/U3 и A-5/U3 соответственно (9084).</w:t>
      </w:r>
    </w:p>
    <w:p w14:paraId="02294027" w14:textId="77777777" w:rsidR="00666F51" w:rsidRPr="00D03F3E" w:rsidRDefault="00666F51" w:rsidP="00D03F3E">
      <w:pPr>
        <w:pStyle w:val="Iauiue"/>
        <w:jc w:val="both"/>
        <w:rPr>
          <w:color w:val="000000" w:themeColor="text1"/>
          <w:sz w:val="16"/>
          <w:szCs w:val="16"/>
        </w:rPr>
      </w:pPr>
    </w:p>
    <w:p w14:paraId="038ECE46" w14:textId="77777777" w:rsidR="00666F51" w:rsidRPr="00D03F3E" w:rsidRDefault="00666F51" w:rsidP="00D03F3E">
      <w:pPr>
        <w:pStyle w:val="a3"/>
        <w:rPr>
          <w:color w:val="000000" w:themeColor="text1"/>
          <w:lang w:val="ru-RU"/>
        </w:rPr>
      </w:pPr>
      <w:r w:rsidRPr="00D03F3E">
        <w:rPr>
          <w:color w:val="000000" w:themeColor="text1"/>
          <w:lang w:val="ru-RU"/>
        </w:rPr>
        <w:t>Весной 1943 г. в соответствии с концепцией Э.Купфера появился первый «фокке- вульф»-штурмовик - Р\л/190- вариант Р-2. Оба самолета пред</w:t>
      </w:r>
      <w:r w:rsidRPr="00D03F3E">
        <w:rPr>
          <w:color w:val="000000" w:themeColor="text1"/>
          <w:lang w:val="ru-RU"/>
        </w:rPr>
        <w:softHyphen/>
        <w:t>ставляли собой всего лишь переименован</w:t>
      </w:r>
      <w:r w:rsidRPr="00D03F3E">
        <w:rPr>
          <w:color w:val="000000" w:themeColor="text1"/>
          <w:lang w:val="ru-RU"/>
        </w:rPr>
        <w:softHyphen/>
        <w:t>ные Р\м190А-4/113 и А-5/113, соответственно. С лета 1943 г. в серию «пошел» самый массовый вариант ударного «фоккера» - Р-3. В марте 1944 г. началось производство серии Р-8.</w:t>
      </w:r>
    </w:p>
    <w:p w14:paraId="188BFD16" w14:textId="77777777" w:rsidR="00666F51" w:rsidRPr="00D03F3E" w:rsidRDefault="00666F51" w:rsidP="00D03F3E">
      <w:pPr>
        <w:pStyle w:val="a3"/>
        <w:rPr>
          <w:color w:val="000000" w:themeColor="text1"/>
          <w:lang w:val="ru-RU"/>
        </w:rPr>
      </w:pPr>
      <w:r w:rsidRPr="00D03F3E">
        <w:rPr>
          <w:color w:val="000000" w:themeColor="text1"/>
          <w:lang w:val="ru-RU"/>
        </w:rPr>
        <w:t>Вооружение Р\л/190Р состояло из двух фюзеляжных пулеметов М017, двух син</w:t>
      </w:r>
      <w:r w:rsidRPr="00D03F3E">
        <w:rPr>
          <w:color w:val="000000" w:themeColor="text1"/>
          <w:lang w:val="ru-RU"/>
        </w:rPr>
        <w:softHyphen/>
        <w:t>хронных крыльевых пушек МС151/20 и бомбового вооружения в составе четырех 50-кг бомб, подвешиваемых на фюзеляжном бомбодержателе ЕТС 501 с переходником ЕВ4 и двух бомб до 250 кг на подкрыльевых держателях. На ЕТС 501 можно было подве</w:t>
      </w:r>
      <w:r w:rsidRPr="00D03F3E">
        <w:rPr>
          <w:color w:val="000000" w:themeColor="text1"/>
          <w:lang w:val="ru-RU"/>
        </w:rPr>
        <w:softHyphen/>
        <w:t>шивать также одну 500-кг бомбу ЗС500. На Р-2 был немного улучшен обзор из кабины пилота вперед-вниз, на недостаток которого жаловались пилоты первых серий, а на Р-3 держатель ЕТС 501 был приспособлен для подвески дополнительного бензобака. Серия Р-8 отличалась от собратьев фю</w:t>
      </w:r>
      <w:r w:rsidRPr="00D03F3E">
        <w:rPr>
          <w:color w:val="000000" w:themeColor="text1"/>
          <w:lang w:val="ru-RU"/>
        </w:rPr>
        <w:softHyphen/>
        <w:t>зеляжными пулеметами МОЛ 31 калибра 13 мм и установкой четырех подкрыльевых держателей ЕТС 50 под 50-кг бомбы.</w:t>
      </w:r>
    </w:p>
    <w:p w14:paraId="4D7906E7" w14:textId="77777777" w:rsidR="00666F51" w:rsidRPr="00D03F3E" w:rsidRDefault="00666F51" w:rsidP="00D03F3E">
      <w:pPr>
        <w:pStyle w:val="a3"/>
        <w:rPr>
          <w:color w:val="000000" w:themeColor="text1"/>
          <w:lang w:val="ru-RU"/>
        </w:rPr>
      </w:pPr>
      <w:r w:rsidRPr="00D03F3E">
        <w:rPr>
          <w:color w:val="000000" w:themeColor="text1"/>
          <w:lang w:val="ru-RU"/>
        </w:rPr>
        <w:t>Бронирование ударных Р\д/190Р в срав</w:t>
      </w:r>
      <w:r w:rsidRPr="00D03F3E">
        <w:rPr>
          <w:color w:val="000000" w:themeColor="text1"/>
          <w:lang w:val="ru-RU"/>
        </w:rPr>
        <w:softHyphen/>
        <w:t>нении с чистыми истребителями было усилено - общий вес бронедеталей на самолете вырос до 310 кг (по данным НИИ ВВС КА).</w:t>
      </w:r>
    </w:p>
    <w:p w14:paraId="370AAABE" w14:textId="77777777" w:rsidR="00666F51" w:rsidRPr="00D03F3E" w:rsidRDefault="00666F51" w:rsidP="00D03F3E">
      <w:pPr>
        <w:pStyle w:val="a3"/>
        <w:rPr>
          <w:color w:val="000000" w:themeColor="text1"/>
          <w:lang w:val="ru-RU"/>
        </w:rPr>
      </w:pPr>
      <w:r w:rsidRPr="00D03F3E">
        <w:rPr>
          <w:color w:val="000000" w:themeColor="text1"/>
          <w:lang w:val="ru-RU"/>
        </w:rPr>
        <w:t>На моторе устанавливалось переднее бронекольцо толщиной 5 мм (в пересчете на советскую броню АБ-1 -3,3 мм), сделанное по габариту мотора с загибающимся внутрь передним краем. За ним устанавливался короткий цилиндр из брони толщиной Змм (АБ-1 -2 мм), по форме совпадающий с капотом мотора. Эти два бронекольца защищали маслобак, частично мотор, и усиливали защиту летчика спереди. На нижней поверхности фюзеляжа, начиная от броневых колец на моторе и до заднего обреза кабины летчика, устанавливались 18 бронеплит различной формы, толщиной 5 мм (АБ-1 - 3,3 мм) и под мотором - 6 мм (АБ-1 - 4 мм), в том числе два броневых щитка шасси.</w:t>
      </w:r>
    </w:p>
    <w:p w14:paraId="2F44FC83" w14:textId="77777777" w:rsidR="00666F51" w:rsidRPr="00D03F3E" w:rsidRDefault="00666F51" w:rsidP="00D03F3E">
      <w:pPr>
        <w:pStyle w:val="a3"/>
        <w:rPr>
          <w:color w:val="000000" w:themeColor="text1"/>
          <w:lang w:val="ru-RU"/>
        </w:rPr>
      </w:pPr>
      <w:r w:rsidRPr="00D03F3E">
        <w:rPr>
          <w:color w:val="000000" w:themeColor="text1"/>
          <w:lang w:val="ru-RU"/>
        </w:rPr>
        <w:t xml:space="preserve">Спереди летчика защищало пулестойкое стекло толщиной 57 мм (в пересчете на советское бронестекло типа К-4 - 40,7 мм), расположенное под углом 30° к продольной </w:t>
      </w:r>
      <w:r w:rsidRPr="00D03F3E">
        <w:rPr>
          <w:color w:val="000000" w:themeColor="text1"/>
          <w:lang w:val="ru-RU"/>
        </w:rPr>
        <w:lastRenderedPageBreak/>
        <w:t>оси самолета. Кроме этого, за головой лет</w:t>
      </w:r>
      <w:r w:rsidRPr="00D03F3E">
        <w:rPr>
          <w:color w:val="000000" w:themeColor="text1"/>
          <w:lang w:val="ru-RU"/>
        </w:rPr>
        <w:softHyphen/>
        <w:t>чика устанавливался 12-мм бронезаголовник (АБ-1 - 8 мм), сдвигающийся назад вместе с подвижной частью фонаря кабины. В свою очередь, боковины фонаря кабины выполня</w:t>
      </w:r>
      <w:r w:rsidRPr="00D03F3E">
        <w:rPr>
          <w:color w:val="000000" w:themeColor="text1"/>
          <w:lang w:val="ru-RU"/>
        </w:rPr>
        <w:softHyphen/>
        <w:t>лись из 30-мм бронестекла (К-4 - 21,4 мм).</w:t>
      </w:r>
    </w:p>
    <w:p w14:paraId="0497FDFE" w14:textId="77777777" w:rsidR="00666F51" w:rsidRPr="00D03F3E" w:rsidRDefault="00666F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Защита летчика сзади обеспечива</w:t>
      </w:r>
      <w:r w:rsidRPr="00D03F3E">
        <w:rPr>
          <w:rFonts w:ascii="Times New Roman" w:hAnsi="Times New Roman"/>
          <w:color w:val="000000" w:themeColor="text1"/>
          <w:sz w:val="16"/>
          <w:szCs w:val="16"/>
        </w:rPr>
        <w:softHyphen/>
        <w:t>лась также бронеплитой толщиной 8 мм (АБ-1 - 5,3 мм), несколько изогнутой в горизонтальной плоскости, расположенной за ней бронеперегородкой, составленной из четырех отдельных 5-мм бронеплит (АБ-1 -3,3 мм).</w:t>
      </w:r>
    </w:p>
    <w:p w14:paraId="55F7A8ED" w14:textId="77777777" w:rsidR="00666F51" w:rsidRPr="00D03F3E" w:rsidRDefault="00666F51" w:rsidP="00D03F3E">
      <w:pPr>
        <w:pStyle w:val="a3"/>
        <w:rPr>
          <w:color w:val="000000" w:themeColor="text1"/>
          <w:lang w:val="ru-RU"/>
        </w:rPr>
      </w:pPr>
      <w:r w:rsidRPr="00D03F3E">
        <w:rPr>
          <w:color w:val="000000" w:themeColor="text1"/>
          <w:lang w:val="ru-RU"/>
        </w:rPr>
        <w:t>В каждой эскадре немецкое коман</w:t>
      </w:r>
      <w:r w:rsidRPr="00D03F3E">
        <w:rPr>
          <w:color w:val="000000" w:themeColor="text1"/>
          <w:lang w:val="ru-RU"/>
        </w:rPr>
        <w:softHyphen/>
        <w:t>дование планировало иметь три группы, вооруженных Р\л/190 в варианте истреби</w:t>
      </w:r>
      <w:r w:rsidRPr="00D03F3E">
        <w:rPr>
          <w:color w:val="000000" w:themeColor="text1"/>
          <w:lang w:val="ru-RU"/>
        </w:rPr>
        <w:softHyphen/>
        <w:t>теля-штурмовика, и одну специальную противотанковую эскадрилью на Нз129В.</w:t>
      </w:r>
    </w:p>
    <w:p w14:paraId="19187A05" w14:textId="77777777" w:rsidR="00666F51" w:rsidRPr="00D03F3E" w:rsidRDefault="00666F51" w:rsidP="00D03F3E">
      <w:pPr>
        <w:pStyle w:val="a3"/>
        <w:rPr>
          <w:color w:val="000000" w:themeColor="text1"/>
          <w:lang w:val="ru-RU"/>
        </w:rPr>
      </w:pPr>
      <w:r w:rsidRPr="00D03F3E">
        <w:rPr>
          <w:color w:val="000000" w:themeColor="text1"/>
          <w:lang w:val="ru-RU"/>
        </w:rPr>
        <w:t>Считалось, что именно такое сочетание боевых сил позволит серьезно повысить эффективность непосредственной авиаци</w:t>
      </w:r>
      <w:r w:rsidRPr="00D03F3E">
        <w:rPr>
          <w:color w:val="000000" w:themeColor="text1"/>
          <w:lang w:val="ru-RU"/>
        </w:rPr>
        <w:softHyphen/>
        <w:t>онной поддержки войск, как в обороне, так и в наступлении (12733).</w:t>
      </w:r>
    </w:p>
    <w:p w14:paraId="5B0DD733" w14:textId="77777777" w:rsidR="00666F51" w:rsidRPr="00D03F3E" w:rsidRDefault="00666F51" w:rsidP="00D03F3E">
      <w:pPr>
        <w:pStyle w:val="a3"/>
        <w:rPr>
          <w:color w:val="000000" w:themeColor="text1"/>
          <w:lang w:val="ru-RU"/>
        </w:rPr>
      </w:pPr>
    </w:p>
    <w:p w14:paraId="3D05A10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потеряв ориентировку, лидирующий Пе-2 завел группу Як-1 вместо Ростова в Таганрог, занятый немцами. Противнику удалось захватить один советский истребитель. Приказ уничтожить "як" на аэродроме Таганрога получил А.И. Покрышкин, однако найти самолет ему не удалось. А 5 мая Покрышкин неожиданно подвергся атаке истребителя Як-1. Решили, что немцы используют ту самую трофейную машину. Необходимо было сбить замаскированного врага, но при этом не принять своего за чужого. Приказом по 4-й воздушной армии на всех ее "яках" на фюзеляжи у хвоста нанесли две черные полосы. Всем истребителям фронта отдали приказ: в случае обнаружения машины без таких знаков доложить на командный пункт и уничтожить. Як-1 без полос был сбит эскадрильей майора И.В. Шмелева из 4-го иап в районе Геленджика (11989).</w:t>
      </w:r>
    </w:p>
    <w:p w14:paraId="1BFEAFA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4A48E8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при маневрировании резервами Ставка осуществляла не только выдвижение 1-го и 2-го бак из тыла к фронту, но и вдоль линии фронта, с одного стратегического направления на другое. Например, когда в низовьях реки Кубань разгорелись ожесточенные бои, было решено усилить здесь нашу авиацию примерно на 500 боевых машин путем передачи в состав 4-й и 5-й ВА трех авиакорпусов, включая 2-й бак. Перебазирование с Воронежского на Северо-Кавказский фронт, получившее название межфронтового маневра, было выполнено за трое суток благодаря хорошей организации перелета на расстояние 900 км и своевременной подаче корпусу транспортной авиагруппы на самолетах Ли-2 (12042).</w:t>
      </w:r>
    </w:p>
    <w:p w14:paraId="07FC9F1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171261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весны 1943-го началось массовое применение на полях сражений РБС-132 и РОФС-132, а РБС-82 - с лета 1944 г. (8270).</w:t>
      </w:r>
    </w:p>
    <w:p w14:paraId="6CCEA17C" w14:textId="77777777" w:rsidR="00531570" w:rsidRPr="00D03F3E" w:rsidRDefault="00531570" w:rsidP="00D03F3E">
      <w:pPr>
        <w:pStyle w:val="Iauiue"/>
        <w:jc w:val="both"/>
        <w:rPr>
          <w:color w:val="000000" w:themeColor="text1"/>
          <w:sz w:val="16"/>
          <w:szCs w:val="16"/>
        </w:rPr>
      </w:pPr>
    </w:p>
    <w:p w14:paraId="4E15F22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Весной 1943 года несколько самолетов, оснащенных плановыми фотоаппаратами АФА-И, летали в 118-м разведывательном полку, но недолго, их заменили более подходящими для разведки "Киттихауками". Такие же машины с фотоаппаратурой были в 98-м гвардейском дальнеразведывательном полку, в эскадрилье майора В.П.Сачкова. Фотоаппараты АФА-И ставили и на отдельные самолеты в истребительных полках. Один такой истребитель имелся в 67-м гвардейском полку (3457,76).</w:t>
      </w:r>
    </w:p>
    <w:p w14:paraId="3AF8B5E3" w14:textId="77777777" w:rsidR="00531570" w:rsidRPr="00D03F3E" w:rsidRDefault="00531570" w:rsidP="00D03F3E">
      <w:pPr>
        <w:pStyle w:val="Iauiue"/>
        <w:jc w:val="both"/>
        <w:rPr>
          <w:color w:val="000000" w:themeColor="text1"/>
          <w:sz w:val="16"/>
          <w:szCs w:val="16"/>
        </w:rPr>
      </w:pPr>
    </w:p>
    <w:p w14:paraId="7266A3D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Весной 1943 г. испытанием для Пе-2 стало применение противником новых истребителей Фокке-Вульф FW190А, имевших хорошую бронезащиту и мощное пушечное вооружение. Постоянно увеличивалось на фронте и количество "мессершмиттов" модификации G. И тот, и другой имели значительный перевес в скорости над Пе-2 (3542).</w:t>
      </w:r>
    </w:p>
    <w:p w14:paraId="66A99D1E" w14:textId="77777777" w:rsidR="00531570" w:rsidRPr="00D03F3E" w:rsidRDefault="00531570" w:rsidP="00D03F3E">
      <w:pPr>
        <w:pStyle w:val="Iauiue"/>
        <w:jc w:val="both"/>
        <w:rPr>
          <w:color w:val="000000" w:themeColor="text1"/>
          <w:sz w:val="16"/>
          <w:szCs w:val="16"/>
        </w:rPr>
      </w:pPr>
    </w:p>
    <w:p w14:paraId="13FD7286" w14:textId="77777777" w:rsidR="00AA27F1" w:rsidRPr="00D03F3E" w:rsidRDefault="00AA27F1" w:rsidP="00D03F3E">
      <w:pPr>
        <w:pStyle w:val="ae"/>
        <w:spacing w:before="0" w:after="0"/>
        <w:jc w:val="both"/>
        <w:textAlignment w:val="baseline"/>
        <w:rPr>
          <w:color w:val="000000" w:themeColor="text1"/>
          <w:sz w:val="16"/>
          <w:szCs w:val="16"/>
        </w:rPr>
      </w:pPr>
      <w:r w:rsidRPr="00D03F3E">
        <w:rPr>
          <w:color w:val="000000" w:themeColor="text1"/>
          <w:sz w:val="16"/>
          <w:szCs w:val="16"/>
        </w:rPr>
        <w:t>Весной 1943 г. начались активные действия штурмовиков на Северном флоте, когда туда с Черного моря перебазировался 46-й шап. Его боевой дебют состоялся 7 июня, когда самолет-разведчик обнаружил в Кобхольм-фьорде два немецких транспорта, шедшие без охранения. Для нанесения воздушного удара по ним вылетели пять Ил-2 во главе с капитаном Алексеем Мазуренко. Их прикрывали 12 «Харрикейнов» и «Аэрокобр». Штурмовики зашли на цель со стороны финского берега и на высоте 1500 метров появились над морем.</w:t>
      </w:r>
    </w:p>
    <w:p w14:paraId="7D1F445C" w14:textId="77777777" w:rsidR="00AA27F1" w:rsidRPr="00D03F3E" w:rsidRDefault="00AA27F1" w:rsidP="00D03F3E">
      <w:pPr>
        <w:pStyle w:val="ae"/>
        <w:spacing w:before="0" w:after="0"/>
        <w:jc w:val="both"/>
        <w:textAlignment w:val="baseline"/>
        <w:rPr>
          <w:color w:val="000000" w:themeColor="text1"/>
          <w:sz w:val="16"/>
          <w:szCs w:val="16"/>
        </w:rPr>
      </w:pPr>
      <w:r w:rsidRPr="00D03F3E">
        <w:rPr>
          <w:color w:val="000000" w:themeColor="text1"/>
          <w:sz w:val="16"/>
          <w:szCs w:val="16"/>
        </w:rPr>
        <w:t>Немецкие моряки, до этого в Арктике ни разу не видавшие «черную смерть», поначалу даже не поняли, что это за самолеты, и подали опознавательные сигналы. И, только не получив ответа, корабельные зенитки открыли по ним огонь. Трассеры также появились и со стороны берега, с замаскированных зенитных батарей.</w:t>
      </w:r>
    </w:p>
    <w:p w14:paraId="338E7AC7" w14:textId="77777777" w:rsidR="00AA27F1" w:rsidRPr="00D03F3E" w:rsidRDefault="00AA27F1" w:rsidP="00D03F3E">
      <w:pPr>
        <w:pStyle w:val="ae"/>
        <w:spacing w:before="0" w:after="0"/>
        <w:jc w:val="both"/>
        <w:textAlignment w:val="baseline"/>
        <w:rPr>
          <w:color w:val="000000" w:themeColor="text1"/>
          <w:sz w:val="16"/>
          <w:szCs w:val="16"/>
        </w:rPr>
      </w:pPr>
      <w:r w:rsidRPr="00D03F3E">
        <w:rPr>
          <w:color w:val="000000" w:themeColor="text1"/>
          <w:sz w:val="16"/>
          <w:szCs w:val="16"/>
        </w:rPr>
        <w:t>Штурмовики выполнили сброс бомб по традиционной «сухопутной» схеме, с пологого пикирования и с высоты 1200–1400 метров. Лейтенант Сергей Гуляев затем доложил, что после прямых попаданий его 100-кг бомб «загорелся и затонул» транспорт тоннажем в 5000 брт, а капитан Мазуренко претендовал на «повреждение» другого судна. Однако на самом деле оба транспорта благополучно дошли до порта назначения (19522).</w:t>
      </w:r>
    </w:p>
    <w:p w14:paraId="7C08F9C8" w14:textId="77777777" w:rsidR="00AA27F1" w:rsidRPr="00D03F3E" w:rsidRDefault="00AA27F1" w:rsidP="00D03F3E">
      <w:pPr>
        <w:pStyle w:val="ae"/>
        <w:spacing w:before="0" w:after="0"/>
        <w:jc w:val="both"/>
        <w:textAlignment w:val="baseline"/>
        <w:rPr>
          <w:color w:val="000000" w:themeColor="text1"/>
          <w:sz w:val="16"/>
          <w:szCs w:val="16"/>
        </w:rPr>
      </w:pPr>
    </w:p>
    <w:p w14:paraId="7F637785" w14:textId="77777777" w:rsidR="00AA27F1" w:rsidRPr="00D03F3E" w:rsidRDefault="00AA27F1" w:rsidP="00D03F3E">
      <w:pPr>
        <w:pStyle w:val="ae"/>
        <w:spacing w:before="0" w:after="0"/>
        <w:jc w:val="both"/>
        <w:textAlignment w:val="baseline"/>
        <w:rPr>
          <w:color w:val="000000" w:themeColor="text1"/>
          <w:sz w:val="16"/>
          <w:szCs w:val="16"/>
        </w:rPr>
      </w:pPr>
      <w:r w:rsidRPr="00D03F3E">
        <w:rPr>
          <w:color w:val="000000" w:themeColor="text1"/>
          <w:sz w:val="16"/>
          <w:szCs w:val="16"/>
        </w:rPr>
        <w:t>Весной 1943 г. командование Балтийского флота, хорошо помнившее прошлогоднюю немецкую операцию «Айсштосс», всерьез опасалось повторения чего-то подобного. При этом в нем почему-то думали, что враг снова будет бомбить именно перед ледоходом, то есть не иначе как в начале апреля. Предотвратить «повторный фашистский удар» решили двумя традиционными способами: усилить ПВО стоянок кораблей и нанести упреждающий удар по авиабазам люфтваффе.</w:t>
      </w:r>
    </w:p>
    <w:p w14:paraId="25ED31EA" w14:textId="77777777" w:rsidR="00AA27F1" w:rsidRPr="00D03F3E" w:rsidRDefault="00AA27F1" w:rsidP="00D03F3E">
      <w:pPr>
        <w:pStyle w:val="ae"/>
        <w:spacing w:before="0" w:after="0"/>
        <w:jc w:val="both"/>
        <w:textAlignment w:val="baseline"/>
        <w:rPr>
          <w:color w:val="000000" w:themeColor="text1"/>
          <w:sz w:val="16"/>
          <w:szCs w:val="16"/>
        </w:rPr>
      </w:pPr>
      <w:r w:rsidRPr="00D03F3E">
        <w:rPr>
          <w:color w:val="000000" w:themeColor="text1"/>
          <w:sz w:val="16"/>
          <w:szCs w:val="16"/>
        </w:rPr>
        <w:t>Флотские самолеты-разведчики совершили несколько дальних полетов над вражескими аэродромами. Попутно радиоразведка усиленно прослушивала немецкие переговоры в эфире. В итоге удалось установить, что, например, на аэродроме Котлы, расположенном приблизительно в 27 километрах северо-восточнее города Кингисеппа, «базируются 19 Ju-88 из I./KG1 „Гинденбург“». Однако остальные полученные сведения были далеки от действительности.</w:t>
      </w:r>
    </w:p>
    <w:p w14:paraId="17A09695" w14:textId="77777777" w:rsidR="00AA27F1" w:rsidRPr="00D03F3E" w:rsidRDefault="00AA27F1" w:rsidP="00D03F3E">
      <w:pPr>
        <w:pStyle w:val="ae"/>
        <w:spacing w:before="0" w:after="0"/>
        <w:jc w:val="both"/>
        <w:textAlignment w:val="baseline"/>
        <w:rPr>
          <w:color w:val="000000" w:themeColor="text1"/>
          <w:sz w:val="16"/>
          <w:szCs w:val="16"/>
        </w:rPr>
      </w:pPr>
      <w:r w:rsidRPr="00D03F3E">
        <w:rPr>
          <w:color w:val="000000" w:themeColor="text1"/>
          <w:sz w:val="16"/>
          <w:szCs w:val="16"/>
        </w:rPr>
        <w:t>Так, согласно донесению командующего Ленинградским фронтом генерал-полковника Говорова от 31 января 1943 г., под Ленинградом якобы действовали «специально переброшенные» из Франции II./KG30 «Адлер» и IV./KG100 «Викинг». Эти «ценные сведения» были получены в ходе допроса некоего пленного лейтенанта Крюгера, якобы служившего в 10-й эскадрилье KG100. По его словам, «викинги» базировались в Пскове, а «адлеровцы» — на аэродроме Кресты. Фактически Не-111Н и Do-217E из IV./KG100 тогда находились на аэродроме Шартр, во Франции, и входили в состав 3-го воздушного флота, a Ju-88A из II./KG30 — на аэродроме Комизо, на острове Сицилия, в составе 2-го воздушного флота.</w:t>
      </w:r>
    </w:p>
    <w:p w14:paraId="06BD8AEE" w14:textId="77777777" w:rsidR="00AA27F1" w:rsidRPr="00D03F3E" w:rsidRDefault="00AA27F1" w:rsidP="00D03F3E">
      <w:pPr>
        <w:pStyle w:val="ae"/>
        <w:spacing w:before="0" w:after="0"/>
        <w:jc w:val="both"/>
        <w:textAlignment w:val="baseline"/>
        <w:rPr>
          <w:color w:val="000000" w:themeColor="text1"/>
          <w:sz w:val="16"/>
          <w:szCs w:val="16"/>
        </w:rPr>
      </w:pPr>
      <w:r w:rsidRPr="00D03F3E">
        <w:rPr>
          <w:color w:val="000000" w:themeColor="text1"/>
          <w:sz w:val="16"/>
          <w:szCs w:val="16"/>
        </w:rPr>
        <w:t>На самом же деле во второй половине марта 1943 г. на аэродроме Дно базировались III./KG 1 «Гинденбург» и III./KG53 «Легион Кондор», на аэродроме Псков — штаб и I./KG53, на аэродроме Городец — III./StG1 и на аэродроме Красногвардейск (Гатчина) — I./JG54 и III./JG51.</w:t>
      </w:r>
    </w:p>
    <w:p w14:paraId="308773CD" w14:textId="77777777" w:rsidR="00AA27F1" w:rsidRPr="00D03F3E" w:rsidRDefault="00AA27F1" w:rsidP="00D03F3E">
      <w:pPr>
        <w:pStyle w:val="ae"/>
        <w:spacing w:before="0" w:after="0"/>
        <w:jc w:val="both"/>
        <w:textAlignment w:val="baseline"/>
        <w:rPr>
          <w:color w:val="000000" w:themeColor="text1"/>
          <w:sz w:val="16"/>
          <w:szCs w:val="16"/>
        </w:rPr>
      </w:pPr>
      <w:r w:rsidRPr="00D03F3E">
        <w:rPr>
          <w:color w:val="000000" w:themeColor="text1"/>
          <w:sz w:val="16"/>
          <w:szCs w:val="16"/>
        </w:rPr>
        <w:t>Командование ВВС Балтфлота, получив очередные разведданные, приказало командиру 8-й бомбардировочной авиабригады полковнику Е. Н. Преображенскому атаковать аэродром Котлы. Для этого выделялись штурмовики из 7-го гв. шап майора М. Н. Хроленко и истребители из 21-го иап (19522).</w:t>
      </w:r>
    </w:p>
    <w:p w14:paraId="577240CF" w14:textId="77777777" w:rsidR="00AA27F1" w:rsidRPr="00D03F3E" w:rsidRDefault="00AA27F1" w:rsidP="00D03F3E">
      <w:pPr>
        <w:pStyle w:val="ae"/>
        <w:spacing w:before="0" w:after="0"/>
        <w:jc w:val="both"/>
        <w:textAlignment w:val="baseline"/>
        <w:rPr>
          <w:color w:val="000000" w:themeColor="text1"/>
          <w:sz w:val="16"/>
          <w:szCs w:val="16"/>
        </w:rPr>
      </w:pPr>
    </w:p>
    <w:p w14:paraId="552D2E0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Весной 1943 года Мазурук перегнал В-24, оставленный в Якутске, под Москву (3457,115).</w:t>
      </w:r>
    </w:p>
    <w:p w14:paraId="414B7A71" w14:textId="77777777" w:rsidR="00531570" w:rsidRPr="00D03F3E" w:rsidRDefault="00531570" w:rsidP="00D03F3E">
      <w:pPr>
        <w:pStyle w:val="Iauiue"/>
        <w:jc w:val="both"/>
        <w:rPr>
          <w:color w:val="000000" w:themeColor="text1"/>
          <w:sz w:val="16"/>
          <w:szCs w:val="16"/>
        </w:rPr>
      </w:pPr>
    </w:p>
    <w:p w14:paraId="07A507D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 весне 1943 в действующей армии насчитывалось около 400 "Бостонов", почти все на юге: Юго-Западный фронт - 108 самолетов. Северо-Кавказский - 101, Закавказский - 163, Южный-24 (3457,104).</w:t>
      </w:r>
    </w:p>
    <w:p w14:paraId="612B4F59" w14:textId="77777777" w:rsidR="00531570" w:rsidRPr="00D03F3E" w:rsidRDefault="00531570" w:rsidP="00D03F3E">
      <w:pPr>
        <w:pStyle w:val="Iauiue"/>
        <w:jc w:val="both"/>
        <w:rPr>
          <w:color w:val="000000" w:themeColor="text1"/>
          <w:sz w:val="16"/>
          <w:szCs w:val="16"/>
        </w:rPr>
      </w:pPr>
    </w:p>
    <w:p w14:paraId="558FEDA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Весной 1943 РЛС "Гнейс-5" была оснащена дивизия тяжелых ночных перехватчиков Пе, которые в первом же бою сбили 3 машины (384,223).</w:t>
      </w:r>
    </w:p>
    <w:p w14:paraId="0D9D4E8E" w14:textId="77777777" w:rsidR="00531570" w:rsidRPr="00D03F3E" w:rsidRDefault="00531570" w:rsidP="00D03F3E">
      <w:pPr>
        <w:pStyle w:val="Iauiue"/>
        <w:jc w:val="both"/>
        <w:rPr>
          <w:color w:val="000000" w:themeColor="text1"/>
          <w:sz w:val="16"/>
          <w:szCs w:val="16"/>
        </w:rPr>
      </w:pPr>
    </w:p>
    <w:p w14:paraId="66DB4F1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Весной 1943 стали формироваться артиллерийские дивизии прорыва из 6 бригад, а с 1944 - из 7, имевшие 356 и 364 орудия и миномета (359,175).</w:t>
      </w:r>
    </w:p>
    <w:p w14:paraId="0676E7DA" w14:textId="77777777" w:rsidR="00531570" w:rsidRPr="00D03F3E" w:rsidRDefault="00531570" w:rsidP="00D03F3E">
      <w:pPr>
        <w:pStyle w:val="Iauiue"/>
        <w:jc w:val="both"/>
        <w:rPr>
          <w:color w:val="000000" w:themeColor="text1"/>
          <w:sz w:val="16"/>
          <w:szCs w:val="16"/>
        </w:rPr>
      </w:pPr>
    </w:p>
    <w:p w14:paraId="1AA9414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Весной 1943 СССР отказался ввозить танки Матильда, тем не менее они активно использовались в течение всего 1943 и к 1944 их фактически не осталось (4367).</w:t>
      </w:r>
    </w:p>
    <w:p w14:paraId="6A3A2BA3" w14:textId="77777777" w:rsidR="00531570" w:rsidRPr="00D03F3E" w:rsidRDefault="00531570" w:rsidP="00D03F3E">
      <w:pPr>
        <w:pStyle w:val="Iauiue"/>
        <w:jc w:val="both"/>
        <w:rPr>
          <w:color w:val="000000" w:themeColor="text1"/>
          <w:sz w:val="16"/>
          <w:szCs w:val="16"/>
        </w:rPr>
      </w:pPr>
    </w:p>
    <w:p w14:paraId="54A90D2A" w14:textId="77777777" w:rsidR="00AD620A" w:rsidRPr="00D03F3E"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Весной 1943 года начала формироваться новая волна полков, вооруженных «Черчиллями». Связано это было с получением северными конвоями более чем полутора сотен машин. Танки данного типа в течение весны 1943 года передали в 10-й, 15-й, 34-й и 36-й гвардейские танковые полки. Кроме того, в мае 1943 года произошла ротация матчасти в 47-м и 48-м тяжелых танковых полках. Два полка из вышеперечисленных (36-й и 48-й) участвовали в Курской дуге. 48-й гв. ттп вступил в бой 6 июля 1943 года, за день потеряв 8 танков (один из них был уничтожен немецкими штурмовиками), записав при этом на свой счет 23 танка и 13 самоходных установок противника. Действуя совместно с 21-й танковой бригадой, на следующий день полк отошел к Прохоровке. Во время отхода он потерял еще 7 танков, при этом на свой счет танкисты записали 5 танков и 7 самоходных установок. В течение следующих дней оставшиеся 6 «Черчиллей» были переданы в 21-ю танковую бригаду. Снова полк получил «Черчилли» 9 сентября 1943 года, с ними он участвовал в освобождении Киева (17691).</w:t>
      </w:r>
    </w:p>
    <w:p w14:paraId="746AF53F" w14:textId="77777777" w:rsidR="00AD620A" w:rsidRPr="00D03F3E" w:rsidRDefault="00AD620A" w:rsidP="00D03F3E">
      <w:pPr>
        <w:pStyle w:val="12a"/>
        <w:shd w:val="clear" w:color="auto" w:fill="auto"/>
        <w:spacing w:after="0" w:line="240" w:lineRule="auto"/>
        <w:jc w:val="both"/>
        <w:rPr>
          <w:color w:val="000000" w:themeColor="text1"/>
          <w:sz w:val="16"/>
          <w:szCs w:val="16"/>
        </w:rPr>
      </w:pPr>
    </w:p>
    <w:p w14:paraId="464F6EC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Весной 1943 г. германское командо</w:t>
      </w:r>
      <w:r w:rsidRPr="00D03F3E">
        <w:rPr>
          <w:color w:val="000000" w:themeColor="text1"/>
          <w:sz w:val="16"/>
          <w:szCs w:val="16"/>
        </w:rPr>
        <w:softHyphen/>
        <w:t>вание, рассчитывая воспользоваться выгодным начертанием линии фронта, приступило к подготовке двух встречных ударов из районов южнее Орла и се</w:t>
      </w:r>
      <w:r w:rsidRPr="00D03F3E">
        <w:rPr>
          <w:color w:val="000000" w:themeColor="text1"/>
          <w:sz w:val="16"/>
          <w:szCs w:val="16"/>
        </w:rPr>
        <w:softHyphen/>
        <w:t>вернее Харькова в общем направлении на Курск, имеющих целью окружение и уничтожение войск Центрального и Во</w:t>
      </w:r>
      <w:r w:rsidRPr="00D03F3E">
        <w:rPr>
          <w:color w:val="000000" w:themeColor="text1"/>
          <w:sz w:val="16"/>
          <w:szCs w:val="16"/>
        </w:rPr>
        <w:softHyphen/>
        <w:t>ронежского фронтов, занимавших Курс</w:t>
      </w:r>
      <w:r w:rsidRPr="00D03F3E">
        <w:rPr>
          <w:color w:val="000000" w:themeColor="text1"/>
          <w:sz w:val="16"/>
          <w:szCs w:val="16"/>
        </w:rPr>
        <w:softHyphen/>
        <w:t>кий выступ, и получение свободы манев</w:t>
      </w:r>
      <w:r w:rsidRPr="00D03F3E">
        <w:rPr>
          <w:color w:val="000000" w:themeColor="text1"/>
          <w:sz w:val="16"/>
          <w:szCs w:val="16"/>
        </w:rPr>
        <w:softHyphen/>
        <w:t>ра для обхода Москвы по кратчайшему направлению. План наступления полу</w:t>
      </w:r>
      <w:r w:rsidRPr="00D03F3E">
        <w:rPr>
          <w:color w:val="000000" w:themeColor="text1"/>
          <w:sz w:val="16"/>
          <w:szCs w:val="16"/>
        </w:rPr>
        <w:softHyphen/>
        <w:t>чил кодовое название "Цитадель" (6467).</w:t>
      </w:r>
    </w:p>
    <w:p w14:paraId="705A33CA" w14:textId="77777777" w:rsidR="00531570" w:rsidRPr="00D03F3E" w:rsidRDefault="00531570" w:rsidP="00D03F3E">
      <w:pPr>
        <w:pStyle w:val="Iauiue"/>
        <w:jc w:val="both"/>
        <w:rPr>
          <w:color w:val="000000" w:themeColor="text1"/>
          <w:sz w:val="16"/>
          <w:szCs w:val="16"/>
        </w:rPr>
      </w:pPr>
    </w:p>
    <w:p w14:paraId="4F81C89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C весны 1943 года, стабилизировав фронт, немецкое командование начало подготовку к летнему наступлению под Курском. В осуществлении намеченного плана важное значение придавалось укреплению группировки в Крыму с целью сохранения плацдарма для наступления на Кавказ, а также отвлечения на второстепенные направления как можно большего числа советских войск (3573).</w:t>
      </w:r>
    </w:p>
    <w:p w14:paraId="40FA0F2B" w14:textId="77777777" w:rsidR="00531570" w:rsidRPr="00D03F3E" w:rsidRDefault="00531570" w:rsidP="00D03F3E">
      <w:pPr>
        <w:pStyle w:val="Iauiue"/>
        <w:jc w:val="both"/>
        <w:rPr>
          <w:color w:val="000000" w:themeColor="text1"/>
          <w:sz w:val="16"/>
          <w:szCs w:val="16"/>
        </w:rPr>
      </w:pPr>
    </w:p>
    <w:p w14:paraId="5424C02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весне 1943г. центр тяжести борь</w:t>
      </w:r>
      <w:r w:rsidRPr="00D03F3E">
        <w:rPr>
          <w:rFonts w:ascii="Times New Roman" w:hAnsi="Times New Roman"/>
          <w:color w:val="000000" w:themeColor="text1"/>
          <w:sz w:val="16"/>
          <w:szCs w:val="16"/>
        </w:rPr>
        <w:softHyphen/>
        <w:t>бы на советско-германском фронте пе</w:t>
      </w:r>
      <w:r w:rsidRPr="00D03F3E">
        <w:rPr>
          <w:rFonts w:ascii="Times New Roman" w:hAnsi="Times New Roman"/>
          <w:color w:val="000000" w:themeColor="text1"/>
          <w:sz w:val="16"/>
          <w:szCs w:val="16"/>
        </w:rPr>
        <w:softHyphen/>
        <w:t>реместился на его центральный учас</w:t>
      </w:r>
      <w:r w:rsidRPr="00D03F3E">
        <w:rPr>
          <w:rFonts w:ascii="Times New Roman" w:hAnsi="Times New Roman"/>
          <w:color w:val="000000" w:themeColor="text1"/>
          <w:sz w:val="16"/>
          <w:szCs w:val="16"/>
        </w:rPr>
        <w:softHyphen/>
        <w:t>ток. Воспользовавшись ошибками Ставки ВГК, Генерального штаба и ко</w:t>
      </w:r>
      <w:r w:rsidRPr="00D03F3E">
        <w:rPr>
          <w:rFonts w:ascii="Times New Roman" w:hAnsi="Times New Roman"/>
          <w:color w:val="000000" w:themeColor="text1"/>
          <w:sz w:val="16"/>
          <w:szCs w:val="16"/>
        </w:rPr>
        <w:softHyphen/>
        <w:t>мандующих Воронежским и Юго-За</w:t>
      </w:r>
      <w:r w:rsidRPr="00D03F3E">
        <w:rPr>
          <w:rFonts w:ascii="Times New Roman" w:hAnsi="Times New Roman"/>
          <w:color w:val="000000" w:themeColor="text1"/>
          <w:sz w:val="16"/>
          <w:szCs w:val="16"/>
        </w:rPr>
        <w:softHyphen/>
        <w:t>падным фронтами, немцы провели мощное контрнаступление из района Люботина против войск Воронежско</w:t>
      </w:r>
      <w:r w:rsidRPr="00D03F3E">
        <w:rPr>
          <w:rFonts w:ascii="Times New Roman" w:hAnsi="Times New Roman"/>
          <w:color w:val="000000" w:themeColor="text1"/>
          <w:sz w:val="16"/>
          <w:szCs w:val="16"/>
        </w:rPr>
        <w:softHyphen/>
        <w:t>го фронта и 16 марта вновь овладели Харьковом. 18 марта пал Белгород. Прорваться дальше на север против</w:t>
      </w:r>
      <w:r w:rsidRPr="00D03F3E">
        <w:rPr>
          <w:rFonts w:ascii="Times New Roman" w:hAnsi="Times New Roman"/>
          <w:color w:val="000000" w:themeColor="text1"/>
          <w:sz w:val="16"/>
          <w:szCs w:val="16"/>
        </w:rPr>
        <w:softHyphen/>
        <w:t>ник не смог — 20 -21 марта войска 21 -и армии генерала И.М. Чистякова и 1-й танковой армии генерала М.Е. Кату</w:t>
      </w:r>
      <w:r w:rsidRPr="00D03F3E">
        <w:rPr>
          <w:rFonts w:ascii="Times New Roman" w:hAnsi="Times New Roman"/>
          <w:color w:val="000000" w:themeColor="text1"/>
          <w:sz w:val="16"/>
          <w:szCs w:val="16"/>
        </w:rPr>
        <w:softHyphen/>
        <w:t>кова организовали крепкую оборону севернее Белгорода и в районе юж</w:t>
      </w:r>
      <w:r w:rsidRPr="00D03F3E">
        <w:rPr>
          <w:rFonts w:ascii="Times New Roman" w:hAnsi="Times New Roman"/>
          <w:color w:val="000000" w:themeColor="text1"/>
          <w:sz w:val="16"/>
          <w:szCs w:val="16"/>
        </w:rPr>
        <w:softHyphen/>
        <w:t>нее Обояни. С этого момента поло</w:t>
      </w:r>
      <w:r w:rsidRPr="00D03F3E">
        <w:rPr>
          <w:rFonts w:ascii="Times New Roman" w:hAnsi="Times New Roman"/>
          <w:color w:val="000000" w:themeColor="text1"/>
          <w:sz w:val="16"/>
          <w:szCs w:val="16"/>
        </w:rPr>
        <w:softHyphen/>
        <w:t>жение на фронте в районе Курска ста</w:t>
      </w:r>
      <w:r w:rsidRPr="00D03F3E">
        <w:rPr>
          <w:rFonts w:ascii="Times New Roman" w:hAnsi="Times New Roman"/>
          <w:color w:val="000000" w:themeColor="text1"/>
          <w:sz w:val="16"/>
          <w:szCs w:val="16"/>
        </w:rPr>
        <w:softHyphen/>
        <w:t>билизировалось. Обе сто</w:t>
      </w:r>
      <w:r w:rsidRPr="00D03F3E">
        <w:rPr>
          <w:rFonts w:ascii="Times New Roman" w:hAnsi="Times New Roman"/>
          <w:color w:val="000000" w:themeColor="text1"/>
          <w:sz w:val="16"/>
          <w:szCs w:val="16"/>
        </w:rPr>
        <w:softHyphen/>
        <w:t>роны стали готовиться к решающей схватке. Немецкое командова</w:t>
      </w:r>
      <w:r w:rsidRPr="00D03F3E">
        <w:rPr>
          <w:rFonts w:ascii="Times New Roman" w:hAnsi="Times New Roman"/>
          <w:color w:val="000000" w:themeColor="text1"/>
          <w:sz w:val="16"/>
          <w:szCs w:val="16"/>
        </w:rPr>
        <w:softHyphen/>
        <w:t>ние, рассчитывая восполь</w:t>
      </w:r>
      <w:r w:rsidRPr="00D03F3E">
        <w:rPr>
          <w:rFonts w:ascii="Times New Roman" w:hAnsi="Times New Roman"/>
          <w:color w:val="000000" w:themeColor="text1"/>
          <w:sz w:val="16"/>
          <w:szCs w:val="16"/>
        </w:rPr>
        <w:softHyphen/>
        <w:t>зоваться выгодным начер</w:t>
      </w:r>
      <w:r w:rsidRPr="00D03F3E">
        <w:rPr>
          <w:rFonts w:ascii="Times New Roman" w:hAnsi="Times New Roman"/>
          <w:color w:val="000000" w:themeColor="text1"/>
          <w:sz w:val="16"/>
          <w:szCs w:val="16"/>
        </w:rPr>
        <w:softHyphen/>
        <w:t>танием линии фронта, при</w:t>
      </w:r>
      <w:r w:rsidRPr="00D03F3E">
        <w:rPr>
          <w:rFonts w:ascii="Times New Roman" w:hAnsi="Times New Roman"/>
          <w:color w:val="000000" w:themeColor="text1"/>
          <w:sz w:val="16"/>
          <w:szCs w:val="16"/>
        </w:rPr>
        <w:softHyphen/>
        <w:t>ступило к подготовке двух встречных ударов из райо</w:t>
      </w:r>
      <w:r w:rsidRPr="00D03F3E">
        <w:rPr>
          <w:rFonts w:ascii="Times New Roman" w:hAnsi="Times New Roman"/>
          <w:color w:val="000000" w:themeColor="text1"/>
          <w:sz w:val="16"/>
          <w:szCs w:val="16"/>
        </w:rPr>
        <w:softHyphen/>
        <w:t>нов южнее Орла и север</w:t>
      </w:r>
      <w:r w:rsidRPr="00D03F3E">
        <w:rPr>
          <w:rFonts w:ascii="Times New Roman" w:hAnsi="Times New Roman"/>
          <w:color w:val="000000" w:themeColor="text1"/>
          <w:sz w:val="16"/>
          <w:szCs w:val="16"/>
        </w:rPr>
        <w:softHyphen/>
        <w:t>нее Харькова в общем на</w:t>
      </w:r>
      <w:r w:rsidRPr="00D03F3E">
        <w:rPr>
          <w:rFonts w:ascii="Times New Roman" w:hAnsi="Times New Roman"/>
          <w:color w:val="000000" w:themeColor="text1"/>
          <w:sz w:val="16"/>
          <w:szCs w:val="16"/>
        </w:rPr>
        <w:softHyphen/>
        <w:t>правлении на Курск, име</w:t>
      </w:r>
      <w:r w:rsidRPr="00D03F3E">
        <w:rPr>
          <w:rFonts w:ascii="Times New Roman" w:hAnsi="Times New Roman"/>
          <w:color w:val="000000" w:themeColor="text1"/>
          <w:sz w:val="16"/>
          <w:szCs w:val="16"/>
        </w:rPr>
        <w:softHyphen/>
        <w:t>ющих целью окружение и уничтожение войск Цент</w:t>
      </w:r>
      <w:r w:rsidRPr="00D03F3E">
        <w:rPr>
          <w:rFonts w:ascii="Times New Roman" w:hAnsi="Times New Roman"/>
          <w:color w:val="000000" w:themeColor="text1"/>
          <w:sz w:val="16"/>
          <w:szCs w:val="16"/>
        </w:rPr>
        <w:softHyphen/>
        <w:t>рального и Воронежского фронтов, занимавших Кур</w:t>
      </w:r>
      <w:r w:rsidRPr="00D03F3E">
        <w:rPr>
          <w:rFonts w:ascii="Times New Roman" w:hAnsi="Times New Roman"/>
          <w:color w:val="000000" w:themeColor="text1"/>
          <w:sz w:val="16"/>
          <w:szCs w:val="16"/>
        </w:rPr>
        <w:softHyphen/>
        <w:t>ский выступ, и получение свободы маневра для об</w:t>
      </w:r>
      <w:r w:rsidRPr="00D03F3E">
        <w:rPr>
          <w:rFonts w:ascii="Times New Roman" w:hAnsi="Times New Roman"/>
          <w:color w:val="000000" w:themeColor="text1"/>
          <w:sz w:val="16"/>
          <w:szCs w:val="16"/>
        </w:rPr>
        <w:softHyphen/>
        <w:t>хода Москвы по кратчай</w:t>
      </w:r>
      <w:r w:rsidRPr="00D03F3E">
        <w:rPr>
          <w:rFonts w:ascii="Times New Roman" w:hAnsi="Times New Roman"/>
          <w:color w:val="000000" w:themeColor="text1"/>
          <w:sz w:val="16"/>
          <w:szCs w:val="16"/>
        </w:rPr>
        <w:softHyphen/>
        <w:t>шему направлению. Расчет строился на создание решающего пре</w:t>
      </w:r>
      <w:r w:rsidRPr="00D03F3E">
        <w:rPr>
          <w:rFonts w:ascii="Times New Roman" w:hAnsi="Times New Roman"/>
          <w:color w:val="000000" w:themeColor="text1"/>
          <w:sz w:val="16"/>
          <w:szCs w:val="16"/>
        </w:rPr>
        <w:softHyphen/>
        <w:t>восходства в силах над войсками Крас</w:t>
      </w:r>
      <w:r w:rsidRPr="00D03F3E">
        <w:rPr>
          <w:rFonts w:ascii="Times New Roman" w:hAnsi="Times New Roman"/>
          <w:color w:val="000000" w:themeColor="text1"/>
          <w:sz w:val="16"/>
          <w:szCs w:val="16"/>
        </w:rPr>
        <w:softHyphen/>
        <w:t>ной Армии на главных направлениях удара и их быстрый разгром до под</w:t>
      </w:r>
      <w:r w:rsidRPr="00D03F3E">
        <w:rPr>
          <w:rFonts w:ascii="Times New Roman" w:hAnsi="Times New Roman"/>
          <w:color w:val="000000" w:themeColor="text1"/>
          <w:sz w:val="16"/>
          <w:szCs w:val="16"/>
        </w:rPr>
        <w:softHyphen/>
        <w:t>хода советских резервов из глубины. План наступления получил кодовое на</w:t>
      </w:r>
      <w:r w:rsidRPr="00D03F3E">
        <w:rPr>
          <w:rFonts w:ascii="Times New Roman" w:hAnsi="Times New Roman"/>
          <w:color w:val="000000" w:themeColor="text1"/>
          <w:sz w:val="16"/>
          <w:szCs w:val="16"/>
        </w:rPr>
        <w:softHyphen/>
        <w:t>звание "Цитадель" (10783).</w:t>
      </w:r>
    </w:p>
    <w:p w14:paraId="20EDA39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7A8B90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1943 г. в Ваенгу с Шетландских островов переле</w:t>
      </w:r>
      <w:r w:rsidRPr="00D03F3E">
        <w:rPr>
          <w:rFonts w:ascii="Times New Roman" w:hAnsi="Times New Roman"/>
          <w:color w:val="000000" w:themeColor="text1"/>
          <w:sz w:val="16"/>
          <w:szCs w:val="16"/>
        </w:rPr>
        <w:softHyphen/>
        <w:t>тели еще три РR IV. Их привел командир 543-й эскадрильи Робинсон. На этот раз стави</w:t>
      </w:r>
      <w:r w:rsidRPr="00D03F3E">
        <w:rPr>
          <w:rFonts w:ascii="Times New Roman" w:hAnsi="Times New Roman"/>
          <w:color w:val="000000" w:themeColor="text1"/>
          <w:sz w:val="16"/>
          <w:szCs w:val="16"/>
        </w:rPr>
        <w:softHyphen/>
        <w:t>лась задача собрать информа</w:t>
      </w:r>
      <w:r w:rsidRPr="00D03F3E">
        <w:rPr>
          <w:rFonts w:ascii="Times New Roman" w:hAnsi="Times New Roman"/>
          <w:color w:val="000000" w:themeColor="text1"/>
          <w:sz w:val="16"/>
          <w:szCs w:val="16"/>
        </w:rPr>
        <w:softHyphen/>
        <w:t>цию для подготовки операции "Брон" - диверсионного рейда сверхмалых подводных лодок против линкора "Тирпиц", сто</w:t>
      </w:r>
      <w:r w:rsidRPr="00D03F3E">
        <w:rPr>
          <w:rFonts w:ascii="Times New Roman" w:hAnsi="Times New Roman"/>
          <w:color w:val="000000" w:themeColor="text1"/>
          <w:sz w:val="16"/>
          <w:szCs w:val="16"/>
        </w:rPr>
        <w:softHyphen/>
        <w:t>явшего в Альтен-фьорде. 11 ноября лет</w:t>
      </w:r>
      <w:r w:rsidRPr="00D03F3E">
        <w:rPr>
          <w:rFonts w:ascii="Times New Roman" w:hAnsi="Times New Roman"/>
          <w:color w:val="000000" w:themeColor="text1"/>
          <w:sz w:val="16"/>
          <w:szCs w:val="16"/>
        </w:rPr>
        <w:softHyphen/>
        <w:t>ный и наземный состав английского подразделения погрузился на эсминец. Самолеты опять оставили в Ваенге (10790).</w:t>
      </w:r>
    </w:p>
    <w:p w14:paraId="7ECE589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CF4F453"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Весной 1943 г. на Закавказском фронте на базе 23-го, 24-го и 43- го ОВОААН был сформировали 4-й ОВДААН. В июне 1943 г. дивизион поступил в распоряжение командующего артиллерией Московской зоны обороны: 1-й и 2-й отряды на</w:t>
      </w:r>
      <w:r w:rsidRPr="00D03F3E">
        <w:rPr>
          <w:rFonts w:ascii="Times New Roman" w:hAnsi="Times New Roman"/>
          <w:color w:val="0070C0"/>
          <w:sz w:val="16"/>
          <w:szCs w:val="16"/>
        </w:rPr>
        <w:softHyphen/>
        <w:t>правили на Брянский, а 3-й — на Воронежский фронт. Воздухоплаватели дивизиона работали в интересах 11-й армии, которая вела бои за освобождение Орловской, Брянской и Смоленской областей. Они участвовали во взятии городов Болхов, Белов, Орёл, Карачев, Киров, Орджони- кидзеград и Брянск, обнаружив пять артиллерий</w:t>
      </w:r>
      <w:r w:rsidRPr="00D03F3E">
        <w:rPr>
          <w:rFonts w:ascii="Times New Roman" w:hAnsi="Times New Roman"/>
          <w:color w:val="0070C0"/>
          <w:sz w:val="16"/>
          <w:szCs w:val="16"/>
        </w:rPr>
        <w:softHyphen/>
        <w:t>ских и шесть миномётных батарей, а также пере</w:t>
      </w:r>
      <w:r w:rsidRPr="00D03F3E">
        <w:rPr>
          <w:rFonts w:ascii="Times New Roman" w:hAnsi="Times New Roman"/>
          <w:color w:val="0070C0"/>
          <w:sz w:val="16"/>
          <w:szCs w:val="16"/>
        </w:rPr>
        <w:softHyphen/>
        <w:t>праву.</w:t>
      </w:r>
    </w:p>
    <w:p w14:paraId="5C4E02D2"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Киевская наступательная операции 1-2 ноября 1943 г. характеризовалась большой плотностью артиллерийского огня: в полосе операции было сосредоточено 2054 орудия и миномётов — 25% всей артиллерии 1-го Украинского фронта. Столь высокая концентрация артиллерии потребовала привлечения значительных сил воздушной раз</w:t>
      </w:r>
      <w:r w:rsidRPr="00D03F3E">
        <w:rPr>
          <w:rFonts w:ascii="Times New Roman" w:hAnsi="Times New Roman"/>
          <w:color w:val="0070C0"/>
          <w:sz w:val="16"/>
          <w:szCs w:val="16"/>
        </w:rPr>
        <w:softHyphen/>
        <w:t>ведки: двух отдельных корректировочных ави</w:t>
      </w:r>
      <w:r w:rsidRPr="00D03F3E">
        <w:rPr>
          <w:rFonts w:ascii="Times New Roman" w:hAnsi="Times New Roman"/>
          <w:color w:val="0070C0"/>
          <w:sz w:val="16"/>
          <w:szCs w:val="16"/>
        </w:rPr>
        <w:softHyphen/>
        <w:t>ационных эскадрильей, геодезического отряда, а также 2-го и 3-го отрядов 4-го ОВДААН, при</w:t>
      </w:r>
      <w:r w:rsidRPr="00D03F3E">
        <w:rPr>
          <w:rFonts w:ascii="Times New Roman" w:hAnsi="Times New Roman"/>
          <w:color w:val="0070C0"/>
          <w:sz w:val="16"/>
          <w:szCs w:val="16"/>
        </w:rPr>
        <w:softHyphen/>
        <w:t>данных 38-й армии, наносившей главный удар.</w:t>
      </w:r>
    </w:p>
    <w:p w14:paraId="37CF1712"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Во второй половине ноября 1943 г. 4-й ОВДААН переподчинили командующему артил</w:t>
      </w:r>
      <w:r w:rsidRPr="00D03F3E">
        <w:rPr>
          <w:rFonts w:ascii="Times New Roman" w:hAnsi="Times New Roman"/>
          <w:color w:val="0070C0"/>
          <w:sz w:val="16"/>
          <w:szCs w:val="16"/>
        </w:rPr>
        <w:softHyphen/>
        <w:t>лерией 2-го Прибалтийского фронта. С ноября 1943 г. по май 1944 г. воздухоплаватели дивизио</w:t>
      </w:r>
      <w:r w:rsidRPr="00D03F3E">
        <w:rPr>
          <w:rFonts w:ascii="Times New Roman" w:hAnsi="Times New Roman"/>
          <w:color w:val="0070C0"/>
          <w:sz w:val="16"/>
          <w:szCs w:val="16"/>
        </w:rPr>
        <w:softHyphen/>
        <w:t>на вели разведку и корректировали огонь артил</w:t>
      </w:r>
      <w:r w:rsidRPr="00D03F3E">
        <w:rPr>
          <w:rFonts w:ascii="Times New Roman" w:hAnsi="Times New Roman"/>
          <w:color w:val="0070C0"/>
          <w:sz w:val="16"/>
          <w:szCs w:val="16"/>
        </w:rPr>
        <w:softHyphen/>
        <w:t>лерии 22-й, 6-й Гвардейской и 3-й ударной армий.</w:t>
      </w:r>
    </w:p>
    <w:p w14:paraId="1EB4CCC8"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сентябре 1944 г. дивизион на короткий срок поступил в оперативное подчинение 1-й армии Войска Польского, заняв боевые порядки на бере</w:t>
      </w:r>
      <w:r w:rsidRPr="00D03F3E">
        <w:rPr>
          <w:rFonts w:ascii="Times New Roman" w:hAnsi="Times New Roman"/>
          <w:color w:val="0070C0"/>
          <w:sz w:val="16"/>
          <w:szCs w:val="16"/>
        </w:rPr>
        <w:softHyphen/>
        <w:t>гу Вислы. За это время воздухоплаватели совер</w:t>
      </w:r>
      <w:r w:rsidRPr="00D03F3E">
        <w:rPr>
          <w:rFonts w:ascii="Times New Roman" w:hAnsi="Times New Roman"/>
          <w:color w:val="0070C0"/>
          <w:sz w:val="16"/>
          <w:szCs w:val="16"/>
        </w:rPr>
        <w:softHyphen/>
        <w:t>шили 51 боевой подъём, из них 22 — ночью. Они разведали 22 огневые позиции артиллерийских батарей противника, девять железнодорожных эшелонов, понтонную переправу и несколько ав</w:t>
      </w:r>
      <w:r w:rsidRPr="00D03F3E">
        <w:rPr>
          <w:rFonts w:ascii="Times New Roman" w:hAnsi="Times New Roman"/>
          <w:color w:val="0070C0"/>
          <w:sz w:val="16"/>
          <w:szCs w:val="16"/>
        </w:rPr>
        <w:softHyphen/>
        <w:t>токолонн. Заместитель начальника штаба артил</w:t>
      </w:r>
      <w:r w:rsidRPr="00D03F3E">
        <w:rPr>
          <w:rFonts w:ascii="Times New Roman" w:hAnsi="Times New Roman"/>
          <w:color w:val="0070C0"/>
          <w:sz w:val="16"/>
          <w:szCs w:val="16"/>
        </w:rPr>
        <w:softHyphen/>
        <w:t>лерии 1-й армии Войска Польского подполков</w:t>
      </w:r>
      <w:r w:rsidRPr="00D03F3E">
        <w:rPr>
          <w:rFonts w:ascii="Times New Roman" w:hAnsi="Times New Roman"/>
          <w:color w:val="0070C0"/>
          <w:sz w:val="16"/>
          <w:szCs w:val="16"/>
        </w:rPr>
        <w:softHyphen/>
        <w:t>ник Трейгус в боевом отзыве писал:</w:t>
      </w:r>
    </w:p>
    <w:p w14:paraId="1920D3D3"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 период с 18 сентября по 25 сентября 1944 г. 4-й ОВДААН в составе трёх воздухоплавательных отрядов обслуживал боевую деятельность группы дальнего действия артиллерии Войска Польского 6-й артдиви- зии... В процессе боевой работы командный состав огневых подразделений получил практический опыт работы с аэростатами наблюдения. Следует отметить хорошую слаженность и оперативность в работе шта</w:t>
      </w:r>
      <w:r w:rsidRPr="00D03F3E">
        <w:rPr>
          <w:rFonts w:ascii="Times New Roman" w:hAnsi="Times New Roman"/>
          <w:color w:val="0070C0"/>
          <w:sz w:val="16"/>
          <w:szCs w:val="16"/>
        </w:rPr>
        <w:softHyphen/>
        <w:t>ба дивизиона и воздухоплавательных отрядов, обеспе</w:t>
      </w:r>
      <w:r w:rsidRPr="00D03F3E">
        <w:rPr>
          <w:rFonts w:ascii="Times New Roman" w:hAnsi="Times New Roman"/>
          <w:color w:val="0070C0"/>
          <w:sz w:val="16"/>
          <w:szCs w:val="16"/>
        </w:rPr>
        <w:softHyphen/>
        <w:t>чивших эффективное использование артиллерийских средств группы дальнего действия артиллерии 1-й ар</w:t>
      </w:r>
      <w:r w:rsidRPr="00D03F3E">
        <w:rPr>
          <w:rFonts w:ascii="Times New Roman" w:hAnsi="Times New Roman"/>
          <w:color w:val="0070C0"/>
          <w:sz w:val="16"/>
          <w:szCs w:val="16"/>
        </w:rPr>
        <w:softHyphen/>
        <w:t>мии Войска Польского28.</w:t>
      </w:r>
    </w:p>
    <w:p w14:paraId="1B6AFDDA"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январе 1945 г. отряды 4-го ВДААН освобо</w:t>
      </w:r>
      <w:r w:rsidRPr="00D03F3E">
        <w:rPr>
          <w:rFonts w:ascii="Times New Roman" w:hAnsi="Times New Roman"/>
          <w:color w:val="0070C0"/>
          <w:sz w:val="16"/>
          <w:szCs w:val="16"/>
        </w:rPr>
        <w:softHyphen/>
        <w:t>ждали Варшаву, Лодзь и Познань, а уже в марте участвовали в боях по ликвидации плацдарма врага на правом берегу Одера. Затем дивизи</w:t>
      </w:r>
      <w:r w:rsidRPr="00D03F3E">
        <w:rPr>
          <w:rFonts w:ascii="Times New Roman" w:hAnsi="Times New Roman"/>
          <w:color w:val="0070C0"/>
          <w:sz w:val="16"/>
          <w:szCs w:val="16"/>
        </w:rPr>
        <w:softHyphen/>
        <w:t>он вошёл в состав 5-й ударной армии, которая прорывала оборону противника на левом берегу Одера, брала г. Кюстрин и вела бои за Берлин.</w:t>
      </w:r>
    </w:p>
    <w:p w14:paraId="72995083"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районе Кюстрина противник оборудовал сильно укреплённые оборонительные позиции. Весь район был заминирован и покрыт сетью ин</w:t>
      </w:r>
      <w:r w:rsidRPr="00D03F3E">
        <w:rPr>
          <w:rFonts w:ascii="Times New Roman" w:hAnsi="Times New Roman"/>
          <w:color w:val="0070C0"/>
          <w:sz w:val="16"/>
          <w:szCs w:val="16"/>
        </w:rPr>
        <w:softHyphen/>
        <w:t>женерных заграждений. День и ночь над землёй стлался дым пожарищ, затруднявший боевую работу воздухоплавателей. Подъёмные поля вы</w:t>
      </w:r>
      <w:r w:rsidRPr="00D03F3E">
        <w:rPr>
          <w:rFonts w:ascii="Times New Roman" w:hAnsi="Times New Roman"/>
          <w:color w:val="0070C0"/>
          <w:sz w:val="16"/>
          <w:szCs w:val="16"/>
        </w:rPr>
        <w:softHyphen/>
        <w:t>бирались в 2-3 км от переднего края. Командные пункты отрядов ААН располагали вблизи артил</w:t>
      </w:r>
      <w:r w:rsidRPr="00D03F3E">
        <w:rPr>
          <w:rFonts w:ascii="Times New Roman" w:hAnsi="Times New Roman"/>
          <w:color w:val="0070C0"/>
          <w:sz w:val="16"/>
          <w:szCs w:val="16"/>
        </w:rPr>
        <w:softHyphen/>
        <w:t>лерийских командных пунктов. Большое коли</w:t>
      </w:r>
      <w:r w:rsidRPr="00D03F3E">
        <w:rPr>
          <w:rFonts w:ascii="Times New Roman" w:hAnsi="Times New Roman"/>
          <w:color w:val="0070C0"/>
          <w:sz w:val="16"/>
          <w:szCs w:val="16"/>
        </w:rPr>
        <w:softHyphen/>
        <w:t>чество линий воздушной проводной связи, го</w:t>
      </w:r>
      <w:r w:rsidRPr="00D03F3E">
        <w:rPr>
          <w:rFonts w:ascii="Times New Roman" w:hAnsi="Times New Roman"/>
          <w:color w:val="0070C0"/>
          <w:sz w:val="16"/>
          <w:szCs w:val="16"/>
        </w:rPr>
        <w:softHyphen/>
        <w:t>родской электрической проводки ограничивало участки подъёма, усложняло вывод аэростатов наблюдения на подъёмные поля. Двигаться на Берлин по перегруженным транспортом и обоза</w:t>
      </w:r>
      <w:r w:rsidRPr="00D03F3E">
        <w:rPr>
          <w:rFonts w:ascii="Times New Roman" w:hAnsi="Times New Roman"/>
          <w:color w:val="0070C0"/>
          <w:sz w:val="16"/>
          <w:szCs w:val="16"/>
        </w:rPr>
        <w:softHyphen/>
        <w:t>ми дорогам с поднятыми аэростатами было не</w:t>
      </w:r>
      <w:r w:rsidRPr="00D03F3E">
        <w:rPr>
          <w:rFonts w:ascii="Times New Roman" w:hAnsi="Times New Roman"/>
          <w:color w:val="0070C0"/>
          <w:sz w:val="16"/>
          <w:szCs w:val="16"/>
        </w:rPr>
        <w:softHyphen/>
        <w:t>возможно, и дивизион передвигался по полевым дорогам, а нередко и по бездорожью. Встречав</w:t>
      </w:r>
      <w:r w:rsidRPr="00D03F3E">
        <w:rPr>
          <w:rFonts w:ascii="Times New Roman" w:hAnsi="Times New Roman"/>
          <w:color w:val="0070C0"/>
          <w:sz w:val="16"/>
          <w:szCs w:val="16"/>
        </w:rPr>
        <w:softHyphen/>
        <w:t>шиеся на пути населённые пункты либо обхо</w:t>
      </w:r>
      <w:r w:rsidRPr="00D03F3E">
        <w:rPr>
          <w:rFonts w:ascii="Times New Roman" w:hAnsi="Times New Roman"/>
          <w:color w:val="0070C0"/>
          <w:sz w:val="16"/>
          <w:szCs w:val="16"/>
        </w:rPr>
        <w:softHyphen/>
        <w:t>дили, либо проходили с наветренной стороны с поднятыми на маневровых тросах ААН, избегая воспламенения оболочки от горящих зданий.</w:t>
      </w:r>
    </w:p>
    <w:p w14:paraId="7EB293E4"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 время Берлинской операции 4-й ВДААН произвёл 121 подъём. Наблюдатели провели 13 корректировок, в результате которых было по</w:t>
      </w:r>
      <w:r w:rsidRPr="00D03F3E">
        <w:rPr>
          <w:rFonts w:ascii="Times New Roman" w:hAnsi="Times New Roman"/>
          <w:color w:val="0070C0"/>
          <w:sz w:val="16"/>
          <w:szCs w:val="16"/>
        </w:rPr>
        <w:softHyphen/>
        <w:t>давлено пять артиллерийских батарей, три узла сопротивления, рассеяно и частично уничтожено три скопления автомашин, пехоты и техники.</w:t>
      </w:r>
    </w:p>
    <w:p w14:paraId="23E09E05"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После окончания войны 4-й ОВДААН некото</w:t>
      </w:r>
      <w:r w:rsidRPr="00D03F3E">
        <w:rPr>
          <w:rFonts w:ascii="Times New Roman" w:hAnsi="Times New Roman"/>
          <w:color w:val="0070C0"/>
          <w:sz w:val="16"/>
          <w:szCs w:val="16"/>
        </w:rPr>
        <w:softHyphen/>
        <w:t>рое время находился в Группе Советских войск в Германии. В ноябре 1945 г. дивизион расфор</w:t>
      </w:r>
      <w:r w:rsidRPr="00D03F3E">
        <w:rPr>
          <w:rFonts w:ascii="Times New Roman" w:hAnsi="Times New Roman"/>
          <w:color w:val="0070C0"/>
          <w:sz w:val="16"/>
          <w:szCs w:val="16"/>
        </w:rPr>
        <w:softHyphen/>
        <w:t>мировали (20120).</w:t>
      </w:r>
    </w:p>
    <w:p w14:paraId="7B1AF9F5" w14:textId="77777777" w:rsidR="00474276" w:rsidRPr="00D03F3E" w:rsidRDefault="00474276" w:rsidP="00D03F3E">
      <w:pPr>
        <w:spacing w:after="0" w:line="240" w:lineRule="auto"/>
        <w:jc w:val="both"/>
        <w:rPr>
          <w:rFonts w:ascii="Times New Roman" w:hAnsi="Times New Roman"/>
          <w:color w:val="0070C0"/>
          <w:sz w:val="16"/>
          <w:szCs w:val="16"/>
        </w:rPr>
      </w:pPr>
    </w:p>
    <w:p w14:paraId="54F42B88"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Весной 1943 г. после ликвидации Демянского «мешка» командиром 2-го ОВДААН назначили майора Серафимова. 1-й и 4-й отряды дивизио</w:t>
      </w:r>
      <w:r w:rsidRPr="00D03F3E">
        <w:rPr>
          <w:rFonts w:ascii="Times New Roman" w:hAnsi="Times New Roman"/>
          <w:color w:val="0070C0"/>
          <w:sz w:val="16"/>
          <w:szCs w:val="16"/>
        </w:rPr>
        <w:softHyphen/>
        <w:t>на передислоцировали на правый берег р. Ловать в район Старой Руссы для разведки железнодо</w:t>
      </w:r>
      <w:r w:rsidRPr="00D03F3E">
        <w:rPr>
          <w:rFonts w:ascii="Times New Roman" w:hAnsi="Times New Roman"/>
          <w:color w:val="0070C0"/>
          <w:sz w:val="16"/>
          <w:szCs w:val="16"/>
        </w:rPr>
        <w:softHyphen/>
        <w:t>рожных эшелонов противника и корректировки артиллерийского огня по ним. Весенняя распу</w:t>
      </w:r>
      <w:r w:rsidRPr="00D03F3E">
        <w:rPr>
          <w:rFonts w:ascii="Times New Roman" w:hAnsi="Times New Roman"/>
          <w:color w:val="0070C0"/>
          <w:sz w:val="16"/>
          <w:szCs w:val="16"/>
        </w:rPr>
        <w:softHyphen/>
        <w:t>тица исключала возможность маневрирования лебёдкой, что облегчало противнику обстрел по</w:t>
      </w:r>
      <w:r w:rsidRPr="00D03F3E">
        <w:rPr>
          <w:rFonts w:ascii="Times New Roman" w:hAnsi="Times New Roman"/>
          <w:color w:val="0070C0"/>
          <w:sz w:val="16"/>
          <w:szCs w:val="16"/>
        </w:rPr>
        <w:softHyphen/>
        <w:t>ста ААН. Была затруднена доставка боеприпасов и материально-технических средств в отряды, а аэростаты поднимались в воздух без прикры</w:t>
      </w:r>
      <w:r w:rsidRPr="00D03F3E">
        <w:rPr>
          <w:rFonts w:ascii="Times New Roman" w:hAnsi="Times New Roman"/>
          <w:color w:val="0070C0"/>
          <w:sz w:val="16"/>
          <w:szCs w:val="16"/>
        </w:rPr>
        <w:softHyphen/>
        <w:t>тия зениток и авиации.</w:t>
      </w:r>
    </w:p>
    <w:p w14:paraId="3636E03E"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21 мая 1943 г. старшему лейтенанту К.П. Ежо</w:t>
      </w:r>
      <w:r w:rsidRPr="00D03F3E">
        <w:rPr>
          <w:rFonts w:ascii="Times New Roman" w:hAnsi="Times New Roman"/>
          <w:color w:val="0070C0"/>
          <w:sz w:val="16"/>
          <w:szCs w:val="16"/>
        </w:rPr>
        <w:softHyphen/>
        <w:t>ву и командиру батареи Мазурову поставили задачу провести разведку железнодорожной станции Старая Русса. Они обнаружили эшелон противника и скорректировали по нему огонь нашей артиллерии. Для уничтожения аэростата противник выслал два истребителя, один из ко</w:t>
      </w:r>
      <w:r w:rsidRPr="00D03F3E">
        <w:rPr>
          <w:rFonts w:ascii="Times New Roman" w:hAnsi="Times New Roman"/>
          <w:color w:val="0070C0"/>
          <w:sz w:val="16"/>
          <w:szCs w:val="16"/>
        </w:rPr>
        <w:softHyphen/>
        <w:t>торых поджёг оболочку аэростата, а другой об</w:t>
      </w:r>
      <w:r w:rsidRPr="00D03F3E">
        <w:rPr>
          <w:rFonts w:ascii="Times New Roman" w:hAnsi="Times New Roman"/>
          <w:color w:val="0070C0"/>
          <w:sz w:val="16"/>
          <w:szCs w:val="16"/>
        </w:rPr>
        <w:softHyphen/>
        <w:t>стрелял наблюдателей в корзине. Воздухоплава</w:t>
      </w:r>
      <w:r w:rsidRPr="00D03F3E">
        <w:rPr>
          <w:rFonts w:ascii="Times New Roman" w:hAnsi="Times New Roman"/>
          <w:color w:val="0070C0"/>
          <w:sz w:val="16"/>
          <w:szCs w:val="16"/>
        </w:rPr>
        <w:softHyphen/>
        <w:t>тели выпрыгнули с парашютами. Мазуров был расстрелян истребителем в воздухе, а на земле его тело накрыла горящая оболочка. Ежова тяжело ранило в ногу, а пылающая оболочка подожгла купол его парашюта. По счастливой случайно</w:t>
      </w:r>
      <w:r w:rsidRPr="00D03F3E">
        <w:rPr>
          <w:rFonts w:ascii="Times New Roman" w:hAnsi="Times New Roman"/>
          <w:color w:val="0070C0"/>
          <w:sz w:val="16"/>
          <w:szCs w:val="16"/>
        </w:rPr>
        <w:softHyphen/>
        <w:t>сти парашют зацепился за сосну, и Ежов повис на стропах. В полевом госпитале ему отняли ногу и эвакуировали в тыл. За этот подвиг К.П. Ежова наградили орденом Отечественной войны II сте</w:t>
      </w:r>
      <w:r w:rsidRPr="00D03F3E">
        <w:rPr>
          <w:rFonts w:ascii="Times New Roman" w:hAnsi="Times New Roman"/>
          <w:color w:val="0070C0"/>
          <w:sz w:val="16"/>
          <w:szCs w:val="16"/>
        </w:rPr>
        <w:softHyphen/>
        <w:t>пени.</w:t>
      </w:r>
    </w:p>
    <w:p w14:paraId="72456A36"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ходе Смоленской наступательной операции 7 августа — 2 октября 1943 г. 1-й, 2-й и 3-й воз</w:t>
      </w:r>
      <w:r w:rsidRPr="00D03F3E">
        <w:rPr>
          <w:rFonts w:ascii="Times New Roman" w:hAnsi="Times New Roman"/>
          <w:color w:val="0070C0"/>
          <w:sz w:val="16"/>
          <w:szCs w:val="16"/>
        </w:rPr>
        <w:softHyphen/>
        <w:t>духоплавательные отряды 2-го ОВДААН прини</w:t>
      </w:r>
      <w:r w:rsidRPr="00D03F3E">
        <w:rPr>
          <w:rFonts w:ascii="Times New Roman" w:hAnsi="Times New Roman"/>
          <w:color w:val="0070C0"/>
          <w:sz w:val="16"/>
          <w:szCs w:val="16"/>
        </w:rPr>
        <w:softHyphen/>
        <w:t>мали участие в боях за освобождение Смоленска, Рославля, Починка и Красного. В ходе боёв за Смоленск 2-й отряд 2-го ОВДААН взаимодей</w:t>
      </w:r>
      <w:r w:rsidRPr="00D03F3E">
        <w:rPr>
          <w:rFonts w:ascii="Times New Roman" w:hAnsi="Times New Roman"/>
          <w:color w:val="0070C0"/>
          <w:sz w:val="16"/>
          <w:szCs w:val="16"/>
        </w:rPr>
        <w:softHyphen/>
        <w:t>ствовал с бригадами 4-й гвардейской пушечной артиллерийской дивизии. В начале октября воз</w:t>
      </w:r>
      <w:r w:rsidRPr="00D03F3E">
        <w:rPr>
          <w:rFonts w:ascii="Times New Roman" w:hAnsi="Times New Roman"/>
          <w:color w:val="0070C0"/>
          <w:sz w:val="16"/>
          <w:szCs w:val="16"/>
        </w:rPr>
        <w:softHyphen/>
        <w:t>духоплаватели получили распоряжение занять позиции в районе северо-восточнее г. Крас</w:t>
      </w:r>
      <w:r w:rsidRPr="00D03F3E">
        <w:rPr>
          <w:rFonts w:ascii="Times New Roman" w:hAnsi="Times New Roman"/>
          <w:color w:val="0070C0"/>
          <w:sz w:val="16"/>
          <w:szCs w:val="16"/>
        </w:rPr>
        <w:softHyphen/>
        <w:t>ный — местности с большим количеством овра</w:t>
      </w:r>
      <w:r w:rsidRPr="00D03F3E">
        <w:rPr>
          <w:rFonts w:ascii="Times New Roman" w:hAnsi="Times New Roman"/>
          <w:color w:val="0070C0"/>
          <w:sz w:val="16"/>
          <w:szCs w:val="16"/>
        </w:rPr>
        <w:softHyphen/>
        <w:t>гов и очень сложными условиями для манёвра. Оболочку поставили в узкий, глубокий, порос</w:t>
      </w:r>
      <w:r w:rsidRPr="00D03F3E">
        <w:rPr>
          <w:rFonts w:ascii="Times New Roman" w:hAnsi="Times New Roman"/>
          <w:color w:val="0070C0"/>
          <w:sz w:val="16"/>
          <w:szCs w:val="16"/>
        </w:rPr>
        <w:softHyphen/>
        <w:t>ший на склонах соснами овраг, почти полностью закрывавший её сверху, так что самолёты про</w:t>
      </w:r>
      <w:r w:rsidRPr="00D03F3E">
        <w:rPr>
          <w:rFonts w:ascii="Times New Roman" w:hAnsi="Times New Roman"/>
          <w:color w:val="0070C0"/>
          <w:sz w:val="16"/>
          <w:szCs w:val="16"/>
        </w:rPr>
        <w:softHyphen/>
        <w:t>тивника так и не смогли её обнаружить. В воздух пошёл старший лейтенант Яков Ильич Абрамо</w:t>
      </w:r>
      <w:r w:rsidRPr="00D03F3E">
        <w:rPr>
          <w:rFonts w:ascii="Times New Roman" w:hAnsi="Times New Roman"/>
          <w:color w:val="0070C0"/>
          <w:sz w:val="16"/>
          <w:szCs w:val="16"/>
        </w:rPr>
        <w:softHyphen/>
        <w:t>вич, самый старший по возрасту офицер отряда (ещё в 1938 г. он стал командиром дирижабля, имел более 600 часов полёта на дирижаблях и до 300 часов — на аэростатах). Он передал коор</w:t>
      </w:r>
      <w:r w:rsidRPr="00D03F3E">
        <w:rPr>
          <w:rFonts w:ascii="Times New Roman" w:hAnsi="Times New Roman"/>
          <w:color w:val="0070C0"/>
          <w:sz w:val="16"/>
          <w:szCs w:val="16"/>
        </w:rPr>
        <w:softHyphen/>
        <w:t>динаты стреляющей миномётной батареи, двух двигающихся по дорогам колонн, места сосре</w:t>
      </w:r>
      <w:r w:rsidRPr="00D03F3E">
        <w:rPr>
          <w:rFonts w:ascii="Times New Roman" w:hAnsi="Times New Roman"/>
          <w:color w:val="0070C0"/>
          <w:sz w:val="16"/>
          <w:szCs w:val="16"/>
        </w:rPr>
        <w:softHyphen/>
        <w:t>доточения живой силы и техники в лесу. Через четверть часа пребывания аэростата в воздухе его обстреляли разрывными снарядами. Манёвр на ограниченной площадке не дал результатов, и оболочка получила пробоины. Ветер стал сно</w:t>
      </w:r>
      <w:r w:rsidRPr="00D03F3E">
        <w:rPr>
          <w:rFonts w:ascii="Times New Roman" w:hAnsi="Times New Roman"/>
          <w:color w:val="0070C0"/>
          <w:sz w:val="16"/>
          <w:szCs w:val="16"/>
        </w:rPr>
        <w:softHyphen/>
        <w:t>сить теряющую высоту оболочку на деревья. Из- за потери газа в ней образовалась «ложка». Поки</w:t>
      </w:r>
      <w:r w:rsidRPr="00D03F3E">
        <w:rPr>
          <w:rFonts w:ascii="Times New Roman" w:hAnsi="Times New Roman"/>
          <w:color w:val="0070C0"/>
          <w:sz w:val="16"/>
          <w:szCs w:val="16"/>
        </w:rPr>
        <w:softHyphen/>
        <w:t>дать гондолу, прыгать с парашютом воздухопла</w:t>
      </w:r>
      <w:r w:rsidRPr="00D03F3E">
        <w:rPr>
          <w:rFonts w:ascii="Times New Roman" w:hAnsi="Times New Roman"/>
          <w:color w:val="0070C0"/>
          <w:sz w:val="16"/>
          <w:szCs w:val="16"/>
        </w:rPr>
        <w:softHyphen/>
        <w:t>ватель имел право только при загорании оболоч</w:t>
      </w:r>
      <w:r w:rsidRPr="00D03F3E">
        <w:rPr>
          <w:rFonts w:ascii="Times New Roman" w:hAnsi="Times New Roman"/>
          <w:color w:val="0070C0"/>
          <w:sz w:val="16"/>
          <w:szCs w:val="16"/>
        </w:rPr>
        <w:softHyphen/>
        <w:t>ки или при ветре, дующем в сторону противника (предварительно вскрыв разрывную). Поэтому оставалось только оттянуть оболочку на лямках. Расчёт, рассредоточившись веером, прижал трос к земле, выбирая аэростат. В то время как расчёт удерживал оттянутый на достаточное расстояние от лебёдки трос, она осторожно выбирала аэро</w:t>
      </w:r>
      <w:r w:rsidRPr="00D03F3E">
        <w:rPr>
          <w:rFonts w:ascii="Times New Roman" w:hAnsi="Times New Roman"/>
          <w:color w:val="0070C0"/>
          <w:sz w:val="16"/>
          <w:szCs w:val="16"/>
        </w:rPr>
        <w:softHyphen/>
        <w:t>стат. Оболочку удалось спасти, и после ремонта её использовали в боевой работе.</w:t>
      </w:r>
    </w:p>
    <w:p w14:paraId="6C088297"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После летней кампании 1943 г. отряды сосре</w:t>
      </w:r>
      <w:r w:rsidRPr="00D03F3E">
        <w:rPr>
          <w:rFonts w:ascii="Times New Roman" w:hAnsi="Times New Roman"/>
          <w:color w:val="0070C0"/>
          <w:sz w:val="16"/>
          <w:szCs w:val="16"/>
        </w:rPr>
        <w:softHyphen/>
        <w:t>доточили на Оршанско-Витебском направлении. Командиром 2-го ОВДААН назначили майора А.И. Выборнова. Перед Белорусской наступа</w:t>
      </w:r>
      <w:r w:rsidRPr="00D03F3E">
        <w:rPr>
          <w:rFonts w:ascii="Times New Roman" w:hAnsi="Times New Roman"/>
          <w:color w:val="0070C0"/>
          <w:sz w:val="16"/>
          <w:szCs w:val="16"/>
        </w:rPr>
        <w:softHyphen/>
        <w:t>тельной операцией (23 июня — 25 августа 1944 г.) воздухоплавательные отряды 2-го ОВДААН за</w:t>
      </w:r>
      <w:r w:rsidRPr="00D03F3E">
        <w:rPr>
          <w:rFonts w:ascii="Times New Roman" w:hAnsi="Times New Roman"/>
          <w:color w:val="0070C0"/>
          <w:sz w:val="16"/>
          <w:szCs w:val="16"/>
        </w:rPr>
        <w:softHyphen/>
        <w:t>няли следующие боевые порядки в составе 3-го Белорусского фронта: 1-й отряд — южнее г. Витебск в полосе 5-й армии, 2-й — на южном бере</w:t>
      </w:r>
      <w:r w:rsidRPr="00D03F3E">
        <w:rPr>
          <w:rFonts w:ascii="Times New Roman" w:hAnsi="Times New Roman"/>
          <w:color w:val="0070C0"/>
          <w:sz w:val="16"/>
          <w:szCs w:val="16"/>
        </w:rPr>
        <w:softHyphen/>
        <w:t>гу Днепра на левом крыле фронта в полосе 31-й армии, 3-й — в полосе 11-й гвардейской армии.</w:t>
      </w:r>
    </w:p>
    <w:p w14:paraId="1D86C721"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Войска 3-го Белорусского фронта за шесть дней наступления прошли на запад 150 км. На марше при смене боевой позиции отряды пере</w:t>
      </w:r>
      <w:r w:rsidRPr="00D03F3E">
        <w:rPr>
          <w:rFonts w:ascii="Times New Roman" w:hAnsi="Times New Roman"/>
          <w:color w:val="0070C0"/>
          <w:sz w:val="16"/>
          <w:szCs w:val="16"/>
        </w:rPr>
        <w:softHyphen/>
        <w:t>водили снаряжённые аэростаты на манёврен</w:t>
      </w:r>
      <w:r w:rsidRPr="00D03F3E">
        <w:rPr>
          <w:rFonts w:ascii="Times New Roman" w:hAnsi="Times New Roman"/>
          <w:color w:val="0070C0"/>
          <w:sz w:val="16"/>
          <w:szCs w:val="16"/>
        </w:rPr>
        <w:softHyphen/>
        <w:t>ных тросах, прикреплённых к лебёдке Л3-3, что помогало воздухоплавателям не отставать от ар</w:t>
      </w:r>
      <w:r w:rsidRPr="00D03F3E">
        <w:rPr>
          <w:rFonts w:ascii="Times New Roman" w:hAnsi="Times New Roman"/>
          <w:color w:val="0070C0"/>
          <w:sz w:val="16"/>
          <w:szCs w:val="16"/>
        </w:rPr>
        <w:softHyphen/>
        <w:t>тиллерии.</w:t>
      </w:r>
    </w:p>
    <w:p w14:paraId="56920298"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боях за освобождение Минска особо от</w:t>
      </w:r>
      <w:r w:rsidRPr="00D03F3E">
        <w:rPr>
          <w:rFonts w:ascii="Times New Roman" w:hAnsi="Times New Roman"/>
          <w:color w:val="0070C0"/>
          <w:sz w:val="16"/>
          <w:szCs w:val="16"/>
        </w:rPr>
        <w:softHyphen/>
        <w:t>личился личный состав 2-го отряда дивизиона. Утром 7 июля на юго-восточной окраине города (на территории нынешнего Минского аэропор</w:t>
      </w:r>
      <w:r w:rsidRPr="00D03F3E">
        <w:rPr>
          <w:rFonts w:ascii="Times New Roman" w:hAnsi="Times New Roman"/>
          <w:color w:val="0070C0"/>
          <w:sz w:val="16"/>
          <w:szCs w:val="16"/>
        </w:rPr>
        <w:softHyphen/>
        <w:t>та) воздухоплаватели под командой капитана А.М. Горового вступили в рукопашную схват</w:t>
      </w:r>
      <w:r w:rsidRPr="00D03F3E">
        <w:rPr>
          <w:rFonts w:ascii="Times New Roman" w:hAnsi="Times New Roman"/>
          <w:color w:val="0070C0"/>
          <w:sz w:val="16"/>
          <w:szCs w:val="16"/>
        </w:rPr>
        <w:softHyphen/>
        <w:t>ку с гитлеровцами, пытавшимися вырваться из окружения. В этом бою воздухоплаватели унич</w:t>
      </w:r>
      <w:r w:rsidRPr="00D03F3E">
        <w:rPr>
          <w:rFonts w:ascii="Times New Roman" w:hAnsi="Times New Roman"/>
          <w:color w:val="0070C0"/>
          <w:sz w:val="16"/>
          <w:szCs w:val="16"/>
        </w:rPr>
        <w:softHyphen/>
        <w:t>тожили много врагов и взяли тридцать пленных.</w:t>
      </w:r>
    </w:p>
    <w:p w14:paraId="3A7A779B"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Штаб 2-го дивизиона аэростатов наблюдения</w:t>
      </w:r>
    </w:p>
    <w:p w14:paraId="074B4EDA"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После освобождения Белоруссии 1-й отряд 2-го ОВДААН совместно с войсками 5-й армии 13 июля участвовал в штурме и освобождении Вильнюса, 1 августа — Каунаса. 2-й отряд, дей</w:t>
      </w:r>
      <w:r w:rsidRPr="00D03F3E">
        <w:rPr>
          <w:rFonts w:ascii="Times New Roman" w:hAnsi="Times New Roman"/>
          <w:color w:val="0070C0"/>
          <w:sz w:val="16"/>
          <w:szCs w:val="16"/>
        </w:rPr>
        <w:softHyphen/>
        <w:t>ствуя с 140-й ПАБр, участвовал в форсировании р. Неман в районе Друскининкай и в освобожде</w:t>
      </w:r>
      <w:r w:rsidRPr="00D03F3E">
        <w:rPr>
          <w:rFonts w:ascii="Times New Roman" w:hAnsi="Times New Roman"/>
          <w:color w:val="0070C0"/>
          <w:sz w:val="16"/>
          <w:szCs w:val="16"/>
        </w:rPr>
        <w:softHyphen/>
        <w:t>нии северо-восточных районов Польши. 3-й от</w:t>
      </w:r>
      <w:r w:rsidRPr="00D03F3E">
        <w:rPr>
          <w:rFonts w:ascii="Times New Roman" w:hAnsi="Times New Roman"/>
          <w:color w:val="0070C0"/>
          <w:sz w:val="16"/>
          <w:szCs w:val="16"/>
        </w:rPr>
        <w:softHyphen/>
        <w:t>ряд с 11-й гвардейской армией освобождал го</w:t>
      </w:r>
      <w:r w:rsidRPr="00D03F3E">
        <w:rPr>
          <w:rFonts w:ascii="Times New Roman" w:hAnsi="Times New Roman"/>
          <w:color w:val="0070C0"/>
          <w:sz w:val="16"/>
          <w:szCs w:val="16"/>
        </w:rPr>
        <w:softHyphen/>
        <w:t>рода Ораны, Алитус, Каунас. К началу октября 1944 г. все воздухоплавательные отряды дивизио</w:t>
      </w:r>
      <w:r w:rsidRPr="00D03F3E">
        <w:rPr>
          <w:rFonts w:ascii="Times New Roman" w:hAnsi="Times New Roman"/>
          <w:color w:val="0070C0"/>
          <w:sz w:val="16"/>
          <w:szCs w:val="16"/>
        </w:rPr>
        <w:softHyphen/>
        <w:t>на вместе с войсками 3-го Белорусского фронта вышли к территории Германии. Только на гра</w:t>
      </w:r>
      <w:r w:rsidRPr="00D03F3E">
        <w:rPr>
          <w:rFonts w:ascii="Times New Roman" w:hAnsi="Times New Roman"/>
          <w:color w:val="0070C0"/>
          <w:sz w:val="16"/>
          <w:szCs w:val="16"/>
        </w:rPr>
        <w:softHyphen/>
        <w:t>нице с Восточной Пруссией воздухоплаватели 2-го ОВДААН обнаружили более 50 артиллерий</w:t>
      </w:r>
      <w:r w:rsidRPr="00D03F3E">
        <w:rPr>
          <w:rFonts w:ascii="Times New Roman" w:hAnsi="Times New Roman"/>
          <w:color w:val="0070C0"/>
          <w:sz w:val="16"/>
          <w:szCs w:val="16"/>
        </w:rPr>
        <w:softHyphen/>
        <w:t>ских батарей противника, несколько десятков ав</w:t>
      </w:r>
      <w:r w:rsidRPr="00D03F3E">
        <w:rPr>
          <w:rFonts w:ascii="Times New Roman" w:hAnsi="Times New Roman"/>
          <w:color w:val="0070C0"/>
          <w:sz w:val="16"/>
          <w:szCs w:val="16"/>
        </w:rPr>
        <w:softHyphen/>
        <w:t>токолонн, 4 танковые колонны, 5 железнодорож</w:t>
      </w:r>
      <w:r w:rsidRPr="00D03F3E">
        <w:rPr>
          <w:rFonts w:ascii="Times New Roman" w:hAnsi="Times New Roman"/>
          <w:color w:val="0070C0"/>
          <w:sz w:val="16"/>
          <w:szCs w:val="16"/>
        </w:rPr>
        <w:softHyphen/>
        <w:t>ных эшелонов и две переправы. Было произве</w:t>
      </w:r>
      <w:r w:rsidRPr="00D03F3E">
        <w:rPr>
          <w:rFonts w:ascii="Times New Roman" w:hAnsi="Times New Roman"/>
          <w:color w:val="0070C0"/>
          <w:sz w:val="16"/>
          <w:szCs w:val="16"/>
        </w:rPr>
        <w:softHyphen/>
        <w:t xml:space="preserve">дено 11 корректировок артиллерийского огня по целям противника, в результате чего подавили девять батарей, частично уничтожили и рассеяли две автоколонны. 16 октября </w:t>
      </w:r>
      <w:r w:rsidRPr="00D03F3E">
        <w:rPr>
          <w:rFonts w:ascii="Times New Roman" w:hAnsi="Times New Roman"/>
          <w:color w:val="0070C0"/>
          <w:sz w:val="16"/>
          <w:szCs w:val="16"/>
        </w:rPr>
        <w:lastRenderedPageBreak/>
        <w:t>1-й воздухоплава</w:t>
      </w:r>
      <w:r w:rsidRPr="00D03F3E">
        <w:rPr>
          <w:rFonts w:ascii="Times New Roman" w:hAnsi="Times New Roman"/>
          <w:color w:val="0070C0"/>
          <w:sz w:val="16"/>
          <w:szCs w:val="16"/>
        </w:rPr>
        <w:softHyphen/>
        <w:t>тельный отряд перешёл советско-германскую границу в районе Ширвиндта, 2-й воздухоплава</w:t>
      </w:r>
      <w:r w:rsidRPr="00D03F3E">
        <w:rPr>
          <w:rFonts w:ascii="Times New Roman" w:hAnsi="Times New Roman"/>
          <w:color w:val="0070C0"/>
          <w:sz w:val="16"/>
          <w:szCs w:val="16"/>
        </w:rPr>
        <w:softHyphen/>
        <w:t>тельный отряд — в районе Гольдапа, 3-й возду</w:t>
      </w:r>
      <w:r w:rsidRPr="00D03F3E">
        <w:rPr>
          <w:rFonts w:ascii="Times New Roman" w:hAnsi="Times New Roman"/>
          <w:color w:val="0070C0"/>
          <w:sz w:val="16"/>
          <w:szCs w:val="16"/>
        </w:rPr>
        <w:softHyphen/>
        <w:t>хоплавательный отряд — в районе Эйдткунена.</w:t>
      </w:r>
    </w:p>
    <w:p w14:paraId="6F1CB6FE"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22 ноября во время боевой работы оболоч</w:t>
      </w:r>
      <w:r w:rsidRPr="00D03F3E">
        <w:rPr>
          <w:rFonts w:ascii="Times New Roman" w:hAnsi="Times New Roman"/>
          <w:color w:val="0070C0"/>
          <w:sz w:val="16"/>
          <w:szCs w:val="16"/>
        </w:rPr>
        <w:softHyphen/>
        <w:t>ку аэростата 2-го отряда подожгли истребите</w:t>
      </w:r>
      <w:r w:rsidRPr="00D03F3E">
        <w:rPr>
          <w:rFonts w:ascii="Times New Roman" w:hAnsi="Times New Roman"/>
          <w:color w:val="0070C0"/>
          <w:sz w:val="16"/>
          <w:szCs w:val="16"/>
        </w:rPr>
        <w:softHyphen/>
        <w:t>ли врага. Артиллерист-наблюдатель Краснояр- ско-Смоленского артполка лейтенант Ильюш- кин раскрыл парашют в гондоле и не смог выпрыгнуть. Тогда командир отряда капитан А.М. Горовой на высоте всего 200 м выбросился с парашютом, чтобы облегчить гондолу и затор</w:t>
      </w:r>
      <w:r w:rsidRPr="00D03F3E">
        <w:rPr>
          <w:rFonts w:ascii="Times New Roman" w:hAnsi="Times New Roman"/>
          <w:color w:val="0070C0"/>
          <w:sz w:val="16"/>
          <w:szCs w:val="16"/>
        </w:rPr>
        <w:softHyphen/>
        <w:t>мозить падение горящего аэростата. Самоотвер</w:t>
      </w:r>
      <w:r w:rsidRPr="00D03F3E">
        <w:rPr>
          <w:rFonts w:ascii="Times New Roman" w:hAnsi="Times New Roman"/>
          <w:color w:val="0070C0"/>
          <w:sz w:val="16"/>
          <w:szCs w:val="16"/>
        </w:rPr>
        <w:softHyphen/>
        <w:t>женные действия Горового спасли жизни обоим воздухоплавателям.</w:t>
      </w:r>
    </w:p>
    <w:p w14:paraId="3BA51826"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боях при прорыве укреплений глубоко эшело</w:t>
      </w:r>
      <w:r w:rsidRPr="00D03F3E">
        <w:rPr>
          <w:rFonts w:ascii="Times New Roman" w:hAnsi="Times New Roman"/>
          <w:color w:val="0070C0"/>
          <w:sz w:val="16"/>
          <w:szCs w:val="16"/>
        </w:rPr>
        <w:softHyphen/>
        <w:t>нированной обороны немцев на подступах к Восточ</w:t>
      </w:r>
      <w:r w:rsidRPr="00D03F3E">
        <w:rPr>
          <w:rFonts w:ascii="Times New Roman" w:hAnsi="Times New Roman"/>
          <w:color w:val="0070C0"/>
          <w:sz w:val="16"/>
          <w:szCs w:val="16"/>
        </w:rPr>
        <w:softHyphen/>
        <w:t>ной Пруссии и при вторжении в пределы Восточной Пруссии, 1-й отряд показал себя хорошо слаженным подразделением, успешно выполняющим свои задачи по разведке противника.</w:t>
      </w:r>
    </w:p>
    <w:p w14:paraId="479C369B"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период подготовки к прорыву отряд провёл большую работу по разведке и уточнению действу</w:t>
      </w:r>
      <w:r w:rsidRPr="00D03F3E">
        <w:rPr>
          <w:rFonts w:ascii="Times New Roman" w:hAnsi="Times New Roman"/>
          <w:color w:val="0070C0"/>
          <w:sz w:val="16"/>
          <w:szCs w:val="16"/>
        </w:rPr>
        <w:softHyphen/>
        <w:t>ющих батарей противника, давая ценные сведения о дислокации и подходе резервов... С помощью аэро</w:t>
      </w:r>
      <w:r w:rsidRPr="00D03F3E">
        <w:rPr>
          <w:rFonts w:ascii="Times New Roman" w:hAnsi="Times New Roman"/>
          <w:color w:val="0070C0"/>
          <w:sz w:val="16"/>
          <w:szCs w:val="16"/>
        </w:rPr>
        <w:softHyphen/>
        <w:t>стата бригадой подавлено 6 артбатарей противника, рассеяно и частично уничтожено 4 колонны автома</w:t>
      </w:r>
      <w:r w:rsidRPr="00D03F3E">
        <w:rPr>
          <w:rFonts w:ascii="Times New Roman" w:hAnsi="Times New Roman"/>
          <w:color w:val="0070C0"/>
          <w:sz w:val="16"/>
          <w:szCs w:val="16"/>
        </w:rPr>
        <w:softHyphen/>
        <w:t>шин и 2 скопления пехоты и танков.21</w:t>
      </w:r>
    </w:p>
    <w:p w14:paraId="4EE7B91E"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Во время зимне-весенних боёв в Восточной Пруссии в 1945 г. жестокий мороз с сильным ветром сменялся резкой оттепелью с туманами, метелями и мокрым снегом. «Однако использо</w:t>
      </w:r>
      <w:r w:rsidRPr="00D03F3E">
        <w:rPr>
          <w:rFonts w:ascii="Times New Roman" w:hAnsi="Times New Roman"/>
          <w:color w:val="0070C0"/>
          <w:sz w:val="16"/>
          <w:szCs w:val="16"/>
        </w:rPr>
        <w:softHyphen/>
        <w:t>вались все возможности для производства подъ</w:t>
      </w:r>
      <w:r w:rsidRPr="00D03F3E">
        <w:rPr>
          <w:rFonts w:ascii="Times New Roman" w:hAnsi="Times New Roman"/>
          <w:color w:val="0070C0"/>
          <w:sz w:val="16"/>
          <w:szCs w:val="16"/>
        </w:rPr>
        <w:softHyphen/>
        <w:t>ёмов, — вспоминал А.М. Горовой, — даже когда условия были на пределе допустимых, когда по</w:t>
      </w:r>
      <w:r w:rsidRPr="00D03F3E">
        <w:rPr>
          <w:rFonts w:ascii="Times New Roman" w:hAnsi="Times New Roman"/>
          <w:color w:val="0070C0"/>
          <w:sz w:val="16"/>
          <w:szCs w:val="16"/>
        </w:rPr>
        <w:softHyphen/>
        <w:t>ясные принимали почти горизонтальное поло</w:t>
      </w:r>
      <w:r w:rsidRPr="00D03F3E">
        <w:rPr>
          <w:rFonts w:ascii="Times New Roman" w:hAnsi="Times New Roman"/>
          <w:color w:val="0070C0"/>
          <w:sz w:val="16"/>
          <w:szCs w:val="16"/>
        </w:rPr>
        <w:softHyphen/>
        <w:t>жение, а гондола под напором ветра наклонялась и ветер свистел в ушах»22.</w:t>
      </w:r>
    </w:p>
    <w:p w14:paraId="2AB58173"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 14 января по 9 мая 1945 г. отряды 2-го ОВДААН в составе войск 3-го Белорусского фронта действовали на направлении главных ударов: 1-й отряд находился в полосе 5-й армии и взаимодействовал с 15-й гвардейской ПАБр; 2-й отряд вёл разведку противника на стыке 5-й и 11-й гвардейских армий, взаимодействуя с 4-й гвардейской пушечной артиллерийской диви</w:t>
      </w:r>
      <w:r w:rsidRPr="00D03F3E">
        <w:rPr>
          <w:rFonts w:ascii="Times New Roman" w:hAnsi="Times New Roman"/>
          <w:color w:val="0070C0"/>
          <w:sz w:val="16"/>
          <w:szCs w:val="16"/>
        </w:rPr>
        <w:softHyphen/>
        <w:t>зией; 3-й отряд находился в полосе 28-й армии, ведя разведку и корректировку в интересах 113-й ПАБр. Отряды дивизиона участвовали в проры</w:t>
      </w:r>
      <w:r w:rsidRPr="00D03F3E">
        <w:rPr>
          <w:rFonts w:ascii="Times New Roman" w:hAnsi="Times New Roman"/>
          <w:color w:val="0070C0"/>
          <w:sz w:val="16"/>
          <w:szCs w:val="16"/>
        </w:rPr>
        <w:softHyphen/>
        <w:t>ве долговременных оборонительных сооруже</w:t>
      </w:r>
      <w:r w:rsidRPr="00D03F3E">
        <w:rPr>
          <w:rFonts w:ascii="Times New Roman" w:hAnsi="Times New Roman"/>
          <w:color w:val="0070C0"/>
          <w:sz w:val="16"/>
          <w:szCs w:val="16"/>
        </w:rPr>
        <w:softHyphen/>
        <w:t>ний и форсировании водных преград на терри</w:t>
      </w:r>
      <w:r w:rsidRPr="00D03F3E">
        <w:rPr>
          <w:rFonts w:ascii="Times New Roman" w:hAnsi="Times New Roman"/>
          <w:color w:val="0070C0"/>
          <w:sz w:val="16"/>
          <w:szCs w:val="16"/>
        </w:rPr>
        <w:softHyphen/>
        <w:t>тории Восточной Пруссии совместно с войсками 5-й, 28-й и 11-й гвардейской армий и во взятии городов Инстербург, Тапиау, Велау, Алленбург, Гердауэн. Особенно тяжёлые бои велись по про</w:t>
      </w:r>
      <w:r w:rsidRPr="00D03F3E">
        <w:rPr>
          <w:rFonts w:ascii="Times New Roman" w:hAnsi="Times New Roman"/>
          <w:color w:val="0070C0"/>
          <w:sz w:val="16"/>
          <w:szCs w:val="16"/>
        </w:rPr>
        <w:softHyphen/>
        <w:t>рыву Хайльсбергского укреплённого района.</w:t>
      </w:r>
    </w:p>
    <w:p w14:paraId="1033F28B"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марте советские войска окружили крупную группировку войск противника под Кёнигсбергом. При подготовке штурма города-крепости 2-й воздухоплавательный отряд 2-го ОВДААН был придан командующему артиллерией 11-й гвардейской армии. Основная роль при штур</w:t>
      </w:r>
      <w:r w:rsidRPr="00D03F3E">
        <w:rPr>
          <w:rFonts w:ascii="Times New Roman" w:hAnsi="Times New Roman"/>
          <w:color w:val="0070C0"/>
          <w:sz w:val="16"/>
          <w:szCs w:val="16"/>
        </w:rPr>
        <w:softHyphen/>
        <w:t>ме отводилась огню артиллерии всех калибров (5000 орудий и миномётов), включая орудия большой и особой мощности, и действиям ави</w:t>
      </w:r>
      <w:r w:rsidRPr="00D03F3E">
        <w:rPr>
          <w:rFonts w:ascii="Times New Roman" w:hAnsi="Times New Roman"/>
          <w:color w:val="0070C0"/>
          <w:sz w:val="16"/>
          <w:szCs w:val="16"/>
        </w:rPr>
        <w:softHyphen/>
        <w:t>ации (2500 самолётов). За четыре дня до штурма авиация и артиллерия разрушали оборонитель</w:t>
      </w:r>
      <w:r w:rsidRPr="00D03F3E">
        <w:rPr>
          <w:rFonts w:ascii="Times New Roman" w:hAnsi="Times New Roman"/>
          <w:color w:val="0070C0"/>
          <w:sz w:val="16"/>
          <w:szCs w:val="16"/>
        </w:rPr>
        <w:softHyphen/>
        <w:t>ные сооружения крепости. 6 апреля, наконец, установилась ясная погода. Штурм начали с мощ</w:t>
      </w:r>
      <w:r w:rsidRPr="00D03F3E">
        <w:rPr>
          <w:rFonts w:ascii="Times New Roman" w:hAnsi="Times New Roman"/>
          <w:color w:val="0070C0"/>
          <w:sz w:val="16"/>
          <w:szCs w:val="16"/>
        </w:rPr>
        <w:softHyphen/>
        <w:t>ной артподготовки на всю глубину обороны. В городе начались пожары, всё затянуло дымом.</w:t>
      </w:r>
    </w:p>
    <w:p w14:paraId="33EC8933"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Наблюдатели не просматривали дымовую пеле</w:t>
      </w:r>
      <w:r w:rsidRPr="00D03F3E">
        <w:rPr>
          <w:rFonts w:ascii="Times New Roman" w:hAnsi="Times New Roman"/>
          <w:color w:val="0070C0"/>
          <w:sz w:val="16"/>
          <w:szCs w:val="16"/>
        </w:rPr>
        <w:softHyphen/>
        <w:t>ну, но, учитывая моральное воздействие пребы</w:t>
      </w:r>
      <w:r w:rsidRPr="00D03F3E">
        <w:rPr>
          <w:rFonts w:ascii="Times New Roman" w:hAnsi="Times New Roman"/>
          <w:color w:val="0070C0"/>
          <w:sz w:val="16"/>
          <w:szCs w:val="16"/>
        </w:rPr>
        <w:softHyphen/>
        <w:t>вания аэростата в воздухе как на противника, так и на свои войска, на землю не спускались. 9 апре</w:t>
      </w:r>
      <w:r w:rsidRPr="00D03F3E">
        <w:rPr>
          <w:rFonts w:ascii="Times New Roman" w:hAnsi="Times New Roman"/>
          <w:color w:val="0070C0"/>
          <w:sz w:val="16"/>
          <w:szCs w:val="16"/>
        </w:rPr>
        <w:softHyphen/>
        <w:t>ля Кенигсберг капитулировал. В тот же день по приказу Верховного Главнокомандующего 2-й ОВДААН получил наименование «Кенигсбергский» и был награждён орденом Александра Нев</w:t>
      </w:r>
      <w:r w:rsidRPr="00D03F3E">
        <w:rPr>
          <w:rFonts w:ascii="Times New Roman" w:hAnsi="Times New Roman"/>
          <w:color w:val="0070C0"/>
          <w:sz w:val="16"/>
          <w:szCs w:val="16"/>
        </w:rPr>
        <w:softHyphen/>
        <w:t>ского. Весь личный состав дивизиона наградили медалью «За взятие Кенигсберга».</w:t>
      </w:r>
    </w:p>
    <w:p w14:paraId="1458470A"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Овладение Кенигсбергом создало благоприят</w:t>
      </w:r>
      <w:r w:rsidRPr="00D03F3E">
        <w:rPr>
          <w:rFonts w:ascii="Times New Roman" w:hAnsi="Times New Roman"/>
          <w:color w:val="0070C0"/>
          <w:sz w:val="16"/>
          <w:szCs w:val="16"/>
        </w:rPr>
        <w:softHyphen/>
        <w:t>ные условия для уничтожения последней части восточно-прусской группировки на Земландском полуострове. Наступление началось 13 апреля 1945 г. После кровопролитных боёв ликвиди</w:t>
      </w:r>
      <w:r w:rsidRPr="00D03F3E">
        <w:rPr>
          <w:rFonts w:ascii="Times New Roman" w:hAnsi="Times New Roman"/>
          <w:color w:val="0070C0"/>
          <w:sz w:val="16"/>
          <w:szCs w:val="16"/>
        </w:rPr>
        <w:softHyphen/>
        <w:t>ровали мощный узел сопротивления Фишхау- зен. Остатки немецких войск отступили в ВМБ Пиллау, павшую 25 апреля. В боях по очистке косы Фришес-Нерунг от противника участвова</w:t>
      </w:r>
      <w:r w:rsidRPr="00D03F3E">
        <w:rPr>
          <w:rFonts w:ascii="Times New Roman" w:hAnsi="Times New Roman"/>
          <w:color w:val="0070C0"/>
          <w:sz w:val="16"/>
          <w:szCs w:val="16"/>
        </w:rPr>
        <w:softHyphen/>
        <w:t>ли 2-й и 3-й воздухоплавательные отряды 2-го ОВДААН, взаимодействовавшие с 4-й гвардей</w:t>
      </w:r>
      <w:r w:rsidRPr="00D03F3E">
        <w:rPr>
          <w:rFonts w:ascii="Times New Roman" w:hAnsi="Times New Roman"/>
          <w:color w:val="0070C0"/>
          <w:sz w:val="16"/>
          <w:szCs w:val="16"/>
        </w:rPr>
        <w:softHyphen/>
        <w:t>ской пушечной артиллерийской дивизии.</w:t>
      </w:r>
    </w:p>
    <w:p w14:paraId="19AA187C" w14:textId="77777777" w:rsidR="00474276" w:rsidRPr="00D03F3E" w:rsidRDefault="0047427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После войны 2-й Отдельный воздухопла</w:t>
      </w:r>
      <w:r w:rsidRPr="00D03F3E">
        <w:rPr>
          <w:rFonts w:ascii="Times New Roman" w:hAnsi="Times New Roman"/>
          <w:color w:val="0070C0"/>
          <w:sz w:val="16"/>
          <w:szCs w:val="16"/>
        </w:rPr>
        <w:softHyphen/>
        <w:t>вательный дивизион аэростатов артиллерий</w:t>
      </w:r>
      <w:r w:rsidRPr="00D03F3E">
        <w:rPr>
          <w:rFonts w:ascii="Times New Roman" w:hAnsi="Times New Roman"/>
          <w:color w:val="0070C0"/>
          <w:sz w:val="16"/>
          <w:szCs w:val="16"/>
        </w:rPr>
        <w:softHyphen/>
        <w:t>ского наблюдения несколько раз менял место дислокации. Последним местом его базиро</w:t>
      </w:r>
      <w:r w:rsidRPr="00D03F3E">
        <w:rPr>
          <w:rFonts w:ascii="Times New Roman" w:hAnsi="Times New Roman"/>
          <w:color w:val="0070C0"/>
          <w:sz w:val="16"/>
          <w:szCs w:val="16"/>
        </w:rPr>
        <w:softHyphen/>
        <w:t>вания стал г. Котовск. Он вошёл в состав 16-й пушечной артиллерийской дивизии РВГК. В 1955 г. 2-й ОВДААН расформировали (20120).</w:t>
      </w:r>
    </w:p>
    <w:p w14:paraId="2D7A1C53" w14:textId="77777777" w:rsidR="00474276" w:rsidRPr="00D03F3E" w:rsidRDefault="00474276" w:rsidP="00D03F3E">
      <w:pPr>
        <w:spacing w:after="0" w:line="240" w:lineRule="auto"/>
        <w:jc w:val="both"/>
        <w:rPr>
          <w:rFonts w:ascii="Times New Roman" w:hAnsi="Times New Roman"/>
          <w:color w:val="0070C0"/>
          <w:sz w:val="16"/>
          <w:szCs w:val="16"/>
        </w:rPr>
      </w:pPr>
    </w:p>
    <w:p w14:paraId="4D28A085"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Жизнь и внутренняя политика:</w:t>
      </w:r>
    </w:p>
    <w:p w14:paraId="2AA2F33F" w14:textId="77777777" w:rsidR="00531570" w:rsidRPr="00D03F3E" w:rsidRDefault="00531570" w:rsidP="00D03F3E">
      <w:pPr>
        <w:pStyle w:val="Iauiue"/>
        <w:jc w:val="both"/>
        <w:rPr>
          <w:iCs/>
          <w:color w:val="000000" w:themeColor="text1"/>
          <w:sz w:val="16"/>
          <w:szCs w:val="16"/>
        </w:rPr>
      </w:pPr>
    </w:p>
    <w:p w14:paraId="485A851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Весной 1943 по эскизам В.Самойлова и под руководством ведущего конструктора Ю.Сорочкина было создано несколько гипсовых моделей будущего а/м Победа (10731).</w:t>
      </w:r>
    </w:p>
    <w:p w14:paraId="53AF9419" w14:textId="77777777" w:rsidR="00531570" w:rsidRPr="00D03F3E" w:rsidRDefault="00531570" w:rsidP="00D03F3E">
      <w:pPr>
        <w:pStyle w:val="Iauiue"/>
        <w:jc w:val="both"/>
        <w:rPr>
          <w:color w:val="000000" w:themeColor="text1"/>
          <w:sz w:val="16"/>
          <w:szCs w:val="16"/>
        </w:rPr>
      </w:pPr>
    </w:p>
    <w:p w14:paraId="11D16265"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28B871F8" w14:textId="77777777" w:rsidR="00531570" w:rsidRPr="00D03F3E" w:rsidRDefault="00531570" w:rsidP="00D03F3E">
      <w:pPr>
        <w:pStyle w:val="Iauiue"/>
        <w:jc w:val="both"/>
        <w:rPr>
          <w:iCs/>
          <w:color w:val="000000" w:themeColor="text1"/>
          <w:sz w:val="16"/>
          <w:szCs w:val="16"/>
        </w:rPr>
      </w:pPr>
    </w:p>
    <w:p w14:paraId="24F73C16" w14:textId="77777777" w:rsidR="00C51EC4" w:rsidRPr="00D03F3E" w:rsidRDefault="00C51EC4"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Весной 1943 года шеф-пилот фирмы «Фокке Вульф» Ганс Зандер провел заводские испытания самолета FW191V6 и сдал бомбардировщик на государственные испытания. Однако это было уже в конце 1943 года, Технический комитет министерства авиации аннулировал заказ на серию бомбардировщиков FW191B-1 и не согласился с предложением главного конструктора фирмы «Фокке Вульф» Курта Танка заменить два ненадеж - ных мотора DB606 четырьмя менее мощными, зато хорошо себя зарекомендовавшими Jumo, DB601E, DB605 на самолете FW191C. Проект закрыли, зато вспомнили о «резервном» Do317 (22850).</w:t>
      </w:r>
    </w:p>
    <w:p w14:paraId="3BC8E2FF" w14:textId="77777777" w:rsidR="00C51EC4" w:rsidRPr="00D03F3E" w:rsidRDefault="00C51EC4" w:rsidP="00D03F3E">
      <w:pPr>
        <w:shd w:val="clear" w:color="auto" w:fill="FFFFFF"/>
        <w:spacing w:after="0" w:line="240" w:lineRule="auto"/>
        <w:jc w:val="both"/>
        <w:rPr>
          <w:rFonts w:ascii="Times New Roman" w:hAnsi="Times New Roman"/>
          <w:color w:val="0070C0"/>
          <w:sz w:val="16"/>
          <w:szCs w:val="16"/>
        </w:rPr>
      </w:pPr>
    </w:p>
    <w:p w14:paraId="24B923A9" w14:textId="77777777" w:rsidR="00C51EC4" w:rsidRPr="00D03F3E" w:rsidRDefault="00C51EC4"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Весной 1943 года была готова вся серия Б-17, переоборудованных в крейсера. Последние четыре машины были достроены в качестве тренировочных ТВ-40.</w:t>
      </w:r>
    </w:p>
    <w:p w14:paraId="6D99C7C2" w14:textId="77777777" w:rsidR="00C51EC4" w:rsidRPr="00D03F3E" w:rsidRDefault="00C51EC4"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Военные заказали «Боингу» переоборудование 13-ти в ноябре 1942 года, а в январе следующего года — еще 12-ти серийных B-17F в «крейсера» YB-40. Но из-за загруженности завода «Вега» выпуском обыч ых В-17 эта работа была передана заводу фирмы «Дуглас» в городе Тулса, Оклахома.</w:t>
      </w:r>
    </w:p>
    <w:p w14:paraId="3F91549D" w14:textId="77777777" w:rsidR="00C51EC4" w:rsidRPr="00D03F3E" w:rsidRDefault="00C51EC4"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ходе войсковых испытаний в Европе проверялись и альтернативные варианты вооружения, в т.ч. пушки калибра 20 мм, но в целом их результаты были признаны негативными, В-40 не был принят на вооружение, исправные машины вернулись на завод и вновь были переоборудованы в обычные B-17F. Единственной (но весьма ощутимой) пользой от всей этой затеи было внедрение «бороды» — огневой установки «Бендикс» на серийных В-17F и G. Однако проблема защиты тяжелых бомбардировщиков оставалась, и пришлось взяться за создание полноценных истребителей, способных сопровождать «летающие крепости» на полный радиус (22889).</w:t>
      </w:r>
    </w:p>
    <w:p w14:paraId="4567DDAE" w14:textId="77777777" w:rsidR="00C51EC4" w:rsidRPr="00D03F3E" w:rsidRDefault="00C51EC4" w:rsidP="00D03F3E">
      <w:pPr>
        <w:shd w:val="clear" w:color="auto" w:fill="FFFFFF"/>
        <w:spacing w:after="0" w:line="240" w:lineRule="auto"/>
        <w:jc w:val="both"/>
        <w:rPr>
          <w:rFonts w:ascii="Times New Roman" w:hAnsi="Times New Roman"/>
          <w:color w:val="0070C0"/>
          <w:sz w:val="16"/>
          <w:szCs w:val="16"/>
        </w:rPr>
      </w:pPr>
    </w:p>
    <w:p w14:paraId="46F8F030" w14:textId="77777777" w:rsidR="00531570" w:rsidRPr="00D03F3E" w:rsidRDefault="00531570" w:rsidP="00D03F3E">
      <w:pPr>
        <w:pStyle w:val="afffc"/>
        <w:widowControl/>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Весной 1943 г. на полигоне в Цинновитце (о. Узедом) для обеспечения пусков ракет началось формирование ракетной части.</w:t>
      </w:r>
    </w:p>
    <w:p w14:paraId="57234B03" w14:textId="77777777" w:rsidR="00531570" w:rsidRPr="00D03F3E" w:rsidRDefault="00531570" w:rsidP="00D03F3E">
      <w:pPr>
        <w:pStyle w:val="afffc"/>
        <w:widowControl/>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 целях маскировки ей было дано условное наименование – 155-й зенитный полк (полк «W»). Командиром полка был назначен полковник М. Вахтель. Штатная численность полка составляла до 10 тыс. человек. Основным подразделением полка была огневая батарея, которая осуществляла пуск V1 с четырех стартовых позиций.</w:t>
      </w:r>
    </w:p>
    <w:p w14:paraId="00018950" w14:textId="77777777" w:rsidR="00531570" w:rsidRPr="00D03F3E" w:rsidRDefault="00531570" w:rsidP="00D03F3E">
      <w:pPr>
        <w:pStyle w:val="afffc"/>
        <w:widowControl/>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Организационно 155-й зенитный полк входил в состав 65-го армейского корпуса. В состав этого корпуса также входило 91-е артиллерийское командование, на вооружении которого были ракеты V2. Впоследствии, с принятием на вооружение сверхдальнобойной артиллерии (V3), в состав корпуса планировалось включить и части этого «оружия возмездия».</w:t>
      </w:r>
    </w:p>
    <w:p w14:paraId="55FD5FA8" w14:textId="77777777" w:rsidR="00531570" w:rsidRPr="00D03F3E" w:rsidRDefault="00531570" w:rsidP="00D03F3E">
      <w:pPr>
        <w:pStyle w:val="afffc"/>
        <w:widowControl/>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Корпусу были оперативно подчинены два авиационных истребительных полка для прикрытия стартовых позиций с воздуха, геодезический батальон СС, который определял точность ракетных ударов и корректировал стрельбу, а также дивизион тяжелых орудий на железнодорожных платформах – для маскировки позиций и подъездных путей. Командиром 65-го армейского корпуса был назначен генерал Э. Хейнеман. Штаб корпуса размещался в предместье Парижа (11686).</w:t>
      </w:r>
    </w:p>
    <w:p w14:paraId="744BA691" w14:textId="77777777" w:rsidR="00531570" w:rsidRPr="00D03F3E" w:rsidRDefault="00531570" w:rsidP="00D03F3E">
      <w:pPr>
        <w:pStyle w:val="afffc"/>
        <w:widowControl/>
        <w:jc w:val="both"/>
        <w:rPr>
          <w:rFonts w:ascii="Times New Roman" w:hAnsi="Times New Roman" w:cs="Times New Roman"/>
          <w:color w:val="000000" w:themeColor="text1"/>
          <w:sz w:val="16"/>
          <w:szCs w:val="16"/>
        </w:rPr>
      </w:pPr>
    </w:p>
    <w:p w14:paraId="1541FE04"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1FBAA451" w14:textId="77777777" w:rsidR="00531570" w:rsidRPr="00D03F3E" w:rsidRDefault="00531570" w:rsidP="00D03F3E">
      <w:pPr>
        <w:pStyle w:val="Iauiue"/>
        <w:jc w:val="both"/>
        <w:rPr>
          <w:iCs/>
          <w:color w:val="000000" w:themeColor="text1"/>
          <w:sz w:val="16"/>
          <w:szCs w:val="16"/>
        </w:rPr>
      </w:pPr>
    </w:p>
    <w:p w14:paraId="563E682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-летом 1943 г. в конструкторском бюро Опытного завода № 100 в Челя</w:t>
      </w:r>
      <w:r w:rsidRPr="00D03F3E">
        <w:rPr>
          <w:rFonts w:ascii="Times New Roman" w:hAnsi="Times New Roman"/>
          <w:color w:val="000000" w:themeColor="text1"/>
          <w:sz w:val="16"/>
          <w:szCs w:val="16"/>
        </w:rPr>
        <w:softHyphen/>
        <w:t>бинске под руководством А.С. Ермолаева был разработан Танк ИС-1 (ИС-85), который являлся первым представителем нового семей</w:t>
      </w:r>
      <w:r w:rsidRPr="00D03F3E">
        <w:rPr>
          <w:rFonts w:ascii="Times New Roman" w:hAnsi="Times New Roman"/>
          <w:color w:val="000000" w:themeColor="text1"/>
          <w:sz w:val="16"/>
          <w:szCs w:val="16"/>
        </w:rPr>
        <w:softHyphen/>
        <w:t>ства тяжелых танков ИС. По основному оружию и броневой защите он значительно превосходил танк КВ-1С. Танк имел заводское обозначение "Объект 237". Общее руководство осуществлял Ж.Я. Котин Ведущим инженером машины был Н.Ф. Шашмурин. Танк был принят на воору</w:t>
      </w:r>
      <w:r w:rsidRPr="00D03F3E">
        <w:rPr>
          <w:rFonts w:ascii="Times New Roman" w:hAnsi="Times New Roman"/>
          <w:color w:val="000000" w:themeColor="text1"/>
          <w:sz w:val="16"/>
          <w:szCs w:val="16"/>
        </w:rPr>
        <w:softHyphen/>
        <w:t>жение Красной Армии 4 сентября 1943 г. и серийно выпускался на ЧКЗ с октября 1943 г. по январь 1944 г. Всего было выпущено 107 машин данной модификации, которые впервые были применены в феврале 1944 г. на завершающем этапе проведения Корсунь-Шевченковской на</w:t>
      </w:r>
      <w:r w:rsidRPr="00D03F3E">
        <w:rPr>
          <w:rFonts w:ascii="Times New Roman" w:hAnsi="Times New Roman"/>
          <w:color w:val="000000" w:themeColor="text1"/>
          <w:sz w:val="16"/>
          <w:szCs w:val="16"/>
        </w:rPr>
        <w:softHyphen/>
        <w:t>ступательной операции (10703).</w:t>
      </w:r>
    </w:p>
    <w:p w14:paraId="332D966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6EEB94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Весной-летом 1943 г. на скользкий путь создания спе</w:t>
      </w:r>
      <w:r w:rsidRPr="00D03F3E">
        <w:rPr>
          <w:rFonts w:ascii="Times New Roman" w:hAnsi="Times New Roman"/>
          <w:color w:val="000000" w:themeColor="text1"/>
          <w:sz w:val="16"/>
          <w:szCs w:val="16"/>
        </w:rPr>
        <w:softHyphen/>
        <w:t>циального легкого истребителя танков ступили конструк</w:t>
      </w:r>
      <w:r w:rsidRPr="00D03F3E">
        <w:rPr>
          <w:rFonts w:ascii="Times New Roman" w:hAnsi="Times New Roman"/>
          <w:color w:val="000000" w:themeColor="text1"/>
          <w:sz w:val="16"/>
          <w:szCs w:val="16"/>
        </w:rPr>
        <w:softHyphen/>
        <w:t>торы ГАЗ во главе с НА. Астровым. Уже упоминалось, что к лету 1943 г. они и КБ НАГИ подготовили два проекта бронированных САУ, фигурировавших в переписке по Наркомату танковой промышленности, как «безбашенные танки-истребители ГАЗ-74». Между собой эти САУ отли</w:t>
      </w:r>
      <w:r w:rsidRPr="00D03F3E">
        <w:rPr>
          <w:rFonts w:ascii="Times New Roman" w:hAnsi="Times New Roman"/>
          <w:color w:val="000000" w:themeColor="text1"/>
          <w:sz w:val="16"/>
          <w:szCs w:val="16"/>
        </w:rPr>
        <w:softHyphen/>
        <w:t>чались расположением боевого отделения. В первой ма</w:t>
      </w:r>
      <w:r w:rsidRPr="00D03F3E">
        <w:rPr>
          <w:rFonts w:ascii="Times New Roman" w:hAnsi="Times New Roman"/>
          <w:color w:val="000000" w:themeColor="text1"/>
          <w:sz w:val="16"/>
          <w:szCs w:val="16"/>
        </w:rPr>
        <w:softHyphen/>
        <w:t>шине (ГАЗ-74а) оно должно было располагаться в корме машины по типу ГАЗ-71 и уже принятых на вооружение СУ-12 и СУ-15, что улучшало распределение массы на опорные катки, поднимало маневренность правда, за это приходилось платить сравнительно высоким силуэтом.</w:t>
      </w:r>
    </w:p>
    <w:p w14:paraId="3F47329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Второй вариант (ГАЗ-74Б) очень напоминал проект СУ-ИТ-76, предложенный НИИ-13. При этом машина имела низкий силуэт, солидное бронирование (в лобовой части до 45 мм), наклонное расположение броневых листов и во</w:t>
      </w:r>
      <w:r w:rsidRPr="00D03F3E">
        <w:rPr>
          <w:rFonts w:ascii="Times New Roman" w:hAnsi="Times New Roman"/>
          <w:color w:val="000000" w:themeColor="text1"/>
          <w:sz w:val="16"/>
          <w:szCs w:val="16"/>
        </w:rPr>
        <w:softHyphen/>
        <w:t>оружение из 76-мм пушки С-1 (самоходный вариант танко</w:t>
      </w:r>
      <w:r w:rsidRPr="00D03F3E">
        <w:rPr>
          <w:rFonts w:ascii="Times New Roman" w:hAnsi="Times New Roman"/>
          <w:color w:val="000000" w:themeColor="text1"/>
          <w:sz w:val="16"/>
          <w:szCs w:val="16"/>
        </w:rPr>
        <w:softHyphen/>
        <w:t>вой Ф-34). Ожидалось, что этот истребитель танков получит также дизель-мотор ОМС-71 отечественного изготовления.</w:t>
      </w:r>
    </w:p>
    <w:p w14:paraId="296D65B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ГАЗ-74Б был построен, прошел заводские испытания, в целом был одобрен военными и даже под индексом СУ-76-И/СУ-74 («И» — истребитель, не путать с СУ-76(И) допущен до гос. испытаний. Но-вооружение 76,2-мм пушкой с длиной ствола 41,5 калибра считалось теперь недостаточным для борьбы с вражескими тяжелыми танками, а стоимость значи</w:t>
      </w:r>
      <w:r w:rsidRPr="00D03F3E">
        <w:rPr>
          <w:rFonts w:ascii="Times New Roman" w:hAnsi="Times New Roman"/>
          <w:color w:val="000000" w:themeColor="text1"/>
          <w:sz w:val="16"/>
          <w:szCs w:val="16"/>
        </w:rPr>
        <w:softHyphen/>
        <w:t>тельно превышала стоимость СУ-76, которая уже строилась массово. Поэтому участь ГАЗ-74Б в тот момент была решена (11417).</w:t>
      </w:r>
    </w:p>
    <w:p w14:paraId="64E3C53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110CCFC"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4C948D67" w14:textId="77777777" w:rsidR="00531570" w:rsidRPr="00D03F3E" w:rsidRDefault="00531570" w:rsidP="00D03F3E">
      <w:pPr>
        <w:pStyle w:val="Iauiue"/>
        <w:jc w:val="both"/>
        <w:rPr>
          <w:iCs/>
          <w:color w:val="000000" w:themeColor="text1"/>
          <w:sz w:val="16"/>
          <w:szCs w:val="16"/>
        </w:rPr>
      </w:pPr>
    </w:p>
    <w:p w14:paraId="7A01888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и летом 1943 г. в воздухе почти над всем фронтом советско-гер</w:t>
      </w:r>
      <w:r w:rsidRPr="00D03F3E">
        <w:rPr>
          <w:rFonts w:ascii="Times New Roman" w:hAnsi="Times New Roman"/>
          <w:color w:val="000000" w:themeColor="text1"/>
          <w:sz w:val="16"/>
          <w:szCs w:val="16"/>
        </w:rPr>
        <w:softHyphen/>
        <w:t>манской вооруженной борьбы шла грандиозная борьба за стратегическое господство в воздухе. Так, в период 6-8 мая и 8-10 июня ВВС Красной Ар</w:t>
      </w:r>
      <w:r w:rsidRPr="00D03F3E">
        <w:rPr>
          <w:rFonts w:ascii="Times New Roman" w:hAnsi="Times New Roman"/>
          <w:color w:val="000000" w:themeColor="text1"/>
          <w:sz w:val="16"/>
          <w:szCs w:val="16"/>
        </w:rPr>
        <w:softHyphen/>
        <w:t>мии провели две самостоятельные воз</w:t>
      </w:r>
      <w:r w:rsidRPr="00D03F3E">
        <w:rPr>
          <w:rFonts w:ascii="Times New Roman" w:hAnsi="Times New Roman"/>
          <w:color w:val="000000" w:themeColor="text1"/>
          <w:sz w:val="16"/>
          <w:szCs w:val="16"/>
        </w:rPr>
        <w:softHyphen/>
        <w:t>душные операции по разгрому немец</w:t>
      </w:r>
      <w:r w:rsidRPr="00D03F3E">
        <w:rPr>
          <w:rFonts w:ascii="Times New Roman" w:hAnsi="Times New Roman"/>
          <w:color w:val="000000" w:themeColor="text1"/>
          <w:sz w:val="16"/>
          <w:szCs w:val="16"/>
        </w:rPr>
        <w:softHyphen/>
        <w:t>кой авиации на аэродромах базиро</w:t>
      </w:r>
      <w:r w:rsidRPr="00D03F3E">
        <w:rPr>
          <w:rFonts w:ascii="Times New Roman" w:hAnsi="Times New Roman"/>
          <w:color w:val="000000" w:themeColor="text1"/>
          <w:sz w:val="16"/>
          <w:szCs w:val="16"/>
        </w:rPr>
        <w:softHyphen/>
        <w:t>вания. Считается, что от всех предыду</w:t>
      </w:r>
      <w:r w:rsidRPr="00D03F3E">
        <w:rPr>
          <w:rFonts w:ascii="Times New Roman" w:hAnsi="Times New Roman"/>
          <w:color w:val="000000" w:themeColor="text1"/>
          <w:sz w:val="16"/>
          <w:szCs w:val="16"/>
        </w:rPr>
        <w:softHyphen/>
        <w:t>щих операций они отличались не толь</w:t>
      </w:r>
      <w:r w:rsidRPr="00D03F3E">
        <w:rPr>
          <w:rFonts w:ascii="Times New Roman" w:hAnsi="Times New Roman"/>
          <w:color w:val="000000" w:themeColor="text1"/>
          <w:sz w:val="16"/>
          <w:szCs w:val="16"/>
        </w:rPr>
        <w:softHyphen/>
        <w:t>ко большим размахом и решительнос</w:t>
      </w:r>
      <w:r w:rsidRPr="00D03F3E">
        <w:rPr>
          <w:rFonts w:ascii="Times New Roman" w:hAnsi="Times New Roman"/>
          <w:color w:val="000000" w:themeColor="text1"/>
          <w:sz w:val="16"/>
          <w:szCs w:val="16"/>
        </w:rPr>
        <w:softHyphen/>
        <w:t>тью целей, но и высокой эффективнос</w:t>
      </w:r>
      <w:r w:rsidRPr="00D03F3E">
        <w:rPr>
          <w:rFonts w:ascii="Times New Roman" w:hAnsi="Times New Roman"/>
          <w:color w:val="000000" w:themeColor="text1"/>
          <w:sz w:val="16"/>
          <w:szCs w:val="16"/>
        </w:rPr>
        <w:softHyphen/>
        <w:t>тью. К сожалению, это не совсем так. Фактически за четыре дня боев наши ВВС при ударах по аэродромам про</w:t>
      </w:r>
      <w:r w:rsidRPr="00D03F3E">
        <w:rPr>
          <w:rFonts w:ascii="Times New Roman" w:hAnsi="Times New Roman"/>
          <w:color w:val="000000" w:themeColor="text1"/>
          <w:sz w:val="16"/>
          <w:szCs w:val="16"/>
        </w:rPr>
        <w:softHyphen/>
        <w:t>тивника безвозвратно потеряли 103 са</w:t>
      </w:r>
      <w:r w:rsidRPr="00D03F3E">
        <w:rPr>
          <w:rFonts w:ascii="Times New Roman" w:hAnsi="Times New Roman"/>
          <w:color w:val="000000" w:themeColor="text1"/>
          <w:sz w:val="16"/>
          <w:szCs w:val="16"/>
        </w:rPr>
        <w:softHyphen/>
        <w:t>молета Ил-2, 26 бомбардировщиков Пе-2 и Б-3 ("Бостон"), 67 истребите</w:t>
      </w:r>
      <w:r w:rsidRPr="00D03F3E">
        <w:rPr>
          <w:rFonts w:ascii="Times New Roman" w:hAnsi="Times New Roman"/>
          <w:color w:val="000000" w:themeColor="text1"/>
          <w:sz w:val="16"/>
          <w:szCs w:val="16"/>
        </w:rPr>
        <w:softHyphen/>
        <w:t>лей. Только штурмовики недосчитались 86 летчиков и 70 воздушных стрелков, из которых большинство были опытны</w:t>
      </w:r>
      <w:r w:rsidRPr="00D03F3E">
        <w:rPr>
          <w:rFonts w:ascii="Times New Roman" w:hAnsi="Times New Roman"/>
          <w:color w:val="000000" w:themeColor="text1"/>
          <w:sz w:val="16"/>
          <w:szCs w:val="16"/>
        </w:rPr>
        <w:softHyphen/>
        <w:t>ми воздушными бойцами. Некоторые штурмовые авиаполки практически ут</w:t>
      </w:r>
      <w:r w:rsidRPr="00D03F3E">
        <w:rPr>
          <w:rFonts w:ascii="Times New Roman" w:hAnsi="Times New Roman"/>
          <w:color w:val="000000" w:themeColor="text1"/>
          <w:sz w:val="16"/>
          <w:szCs w:val="16"/>
        </w:rPr>
        <w:softHyphen/>
        <w:t>ратили боеспособность, так как поте</w:t>
      </w:r>
      <w:r w:rsidRPr="00D03F3E">
        <w:rPr>
          <w:rFonts w:ascii="Times New Roman" w:hAnsi="Times New Roman"/>
          <w:color w:val="000000" w:themeColor="text1"/>
          <w:sz w:val="16"/>
          <w:szCs w:val="16"/>
        </w:rPr>
        <w:softHyphen/>
        <w:t>ряли свыше половины своего летного состава и главное почти весь команд</w:t>
      </w:r>
      <w:r w:rsidRPr="00D03F3E">
        <w:rPr>
          <w:rFonts w:ascii="Times New Roman" w:hAnsi="Times New Roman"/>
          <w:color w:val="000000" w:themeColor="text1"/>
          <w:sz w:val="16"/>
          <w:szCs w:val="16"/>
        </w:rPr>
        <w:softHyphen/>
        <w:t>ный состав - командиров полков, штур</w:t>
      </w:r>
      <w:r w:rsidRPr="00D03F3E">
        <w:rPr>
          <w:rFonts w:ascii="Times New Roman" w:hAnsi="Times New Roman"/>
          <w:color w:val="000000" w:themeColor="text1"/>
          <w:sz w:val="16"/>
          <w:szCs w:val="16"/>
        </w:rPr>
        <w:softHyphen/>
        <w:t>манов, помощников по воздушно-стрелковой службе, командиров эскад</w:t>
      </w:r>
      <w:r w:rsidRPr="00D03F3E">
        <w:rPr>
          <w:rFonts w:ascii="Times New Roman" w:hAnsi="Times New Roman"/>
          <w:color w:val="000000" w:themeColor="text1"/>
          <w:sz w:val="16"/>
          <w:szCs w:val="16"/>
        </w:rPr>
        <w:softHyphen/>
        <w:t>рилий и звеньев. В то же время потери противника ненамного превысили наши потери. Если убыль лютфваффе в са</w:t>
      </w:r>
      <w:r w:rsidRPr="00D03F3E">
        <w:rPr>
          <w:rFonts w:ascii="Times New Roman" w:hAnsi="Times New Roman"/>
          <w:color w:val="000000" w:themeColor="text1"/>
          <w:sz w:val="16"/>
          <w:szCs w:val="16"/>
        </w:rPr>
        <w:softHyphen/>
        <w:t>молетах по оценкам могла составить примерно 13-14% наличных сил авиа</w:t>
      </w:r>
      <w:r w:rsidRPr="00D03F3E">
        <w:rPr>
          <w:rFonts w:ascii="Times New Roman" w:hAnsi="Times New Roman"/>
          <w:color w:val="000000" w:themeColor="text1"/>
          <w:sz w:val="16"/>
          <w:szCs w:val="16"/>
        </w:rPr>
        <w:softHyphen/>
        <w:t>ции на всех атакованных аэродромах (включая возможные потери в воздуш</w:t>
      </w:r>
      <w:r w:rsidRPr="00D03F3E">
        <w:rPr>
          <w:rFonts w:ascii="Times New Roman" w:hAnsi="Times New Roman"/>
          <w:color w:val="000000" w:themeColor="text1"/>
          <w:sz w:val="16"/>
          <w:szCs w:val="16"/>
        </w:rPr>
        <w:softHyphen/>
        <w:t>ных боях), то советская сторона поте</w:t>
      </w:r>
      <w:r w:rsidRPr="00D03F3E">
        <w:rPr>
          <w:rFonts w:ascii="Times New Roman" w:hAnsi="Times New Roman"/>
          <w:color w:val="000000" w:themeColor="text1"/>
          <w:sz w:val="16"/>
          <w:szCs w:val="16"/>
        </w:rPr>
        <w:softHyphen/>
        <w:t>ряла 1 2% от общего числа "ходивших" на аэродромы самолетов. При этом наши воздушные армии понесли без</w:t>
      </w:r>
      <w:r w:rsidRPr="00D03F3E">
        <w:rPr>
          <w:rFonts w:ascii="Times New Roman" w:hAnsi="Times New Roman"/>
          <w:color w:val="000000" w:themeColor="text1"/>
          <w:sz w:val="16"/>
          <w:szCs w:val="16"/>
        </w:rPr>
        <w:softHyphen/>
        <w:t>возвратные потери и в самолетах, и, главное, в летном составе, тогда как противник - лишь в самолетах, из ко</w:t>
      </w:r>
      <w:r w:rsidRPr="00D03F3E">
        <w:rPr>
          <w:rFonts w:ascii="Times New Roman" w:hAnsi="Times New Roman"/>
          <w:color w:val="000000" w:themeColor="text1"/>
          <w:sz w:val="16"/>
          <w:szCs w:val="16"/>
        </w:rPr>
        <w:softHyphen/>
        <w:t>торых часть могла быть вскоре восста</w:t>
      </w:r>
      <w:r w:rsidRPr="00D03F3E">
        <w:rPr>
          <w:rFonts w:ascii="Times New Roman" w:hAnsi="Times New Roman"/>
          <w:color w:val="000000" w:themeColor="text1"/>
          <w:sz w:val="16"/>
          <w:szCs w:val="16"/>
        </w:rPr>
        <w:softHyphen/>
        <w:t>новлена. Из летного состава немцы недосчитались в основном лишь тех, кто погиб в воздушных боях. Поэтому для восстановления боеспособности своей группировки командованию люф</w:t>
      </w:r>
      <w:r w:rsidRPr="00D03F3E">
        <w:rPr>
          <w:rFonts w:ascii="Times New Roman" w:hAnsi="Times New Roman"/>
          <w:color w:val="000000" w:themeColor="text1"/>
          <w:sz w:val="16"/>
          <w:szCs w:val="16"/>
        </w:rPr>
        <w:softHyphen/>
        <w:t>тваффе было достаточно перебросить на атакованные участки фронта ре</w:t>
      </w:r>
      <w:r w:rsidRPr="00D03F3E">
        <w:rPr>
          <w:rFonts w:ascii="Times New Roman" w:hAnsi="Times New Roman"/>
          <w:color w:val="000000" w:themeColor="text1"/>
          <w:sz w:val="16"/>
          <w:szCs w:val="16"/>
        </w:rPr>
        <w:softHyphen/>
        <w:t>зервы самолетов, а советскому коман</w:t>
      </w:r>
      <w:r w:rsidRPr="00D03F3E">
        <w:rPr>
          <w:rFonts w:ascii="Times New Roman" w:hAnsi="Times New Roman"/>
          <w:color w:val="000000" w:themeColor="text1"/>
          <w:sz w:val="16"/>
          <w:szCs w:val="16"/>
        </w:rPr>
        <w:softHyphen/>
        <w:t>дованию необходимо было пополнять части и самолетами, и летным соста</w:t>
      </w:r>
      <w:r w:rsidRPr="00D03F3E">
        <w:rPr>
          <w:rFonts w:ascii="Times New Roman" w:hAnsi="Times New Roman"/>
          <w:color w:val="000000" w:themeColor="text1"/>
          <w:sz w:val="16"/>
          <w:szCs w:val="16"/>
        </w:rPr>
        <w:softHyphen/>
        <w:t>вом, который еще требовалось ввести в строй. Как оказалось, причинами больших потерь и невысокой результативности ударов ВВС КА являлась "не слабая выучка экипажей подразделений и ча</w:t>
      </w:r>
      <w:r w:rsidRPr="00D03F3E">
        <w:rPr>
          <w:rFonts w:ascii="Times New Roman" w:hAnsi="Times New Roman"/>
          <w:color w:val="000000" w:themeColor="text1"/>
          <w:sz w:val="16"/>
          <w:szCs w:val="16"/>
        </w:rPr>
        <w:softHyphen/>
        <w:t>стей в целом, а, прежде всего, непра</w:t>
      </w:r>
      <w:r w:rsidRPr="00D03F3E">
        <w:rPr>
          <w:rFonts w:ascii="Times New Roman" w:hAnsi="Times New Roman"/>
          <w:color w:val="000000" w:themeColor="text1"/>
          <w:sz w:val="16"/>
          <w:szCs w:val="16"/>
        </w:rPr>
        <w:softHyphen/>
        <w:t>вильное боевое применение подразделений и частей со стороны их коман</w:t>
      </w:r>
      <w:r w:rsidRPr="00D03F3E">
        <w:rPr>
          <w:rFonts w:ascii="Times New Roman" w:hAnsi="Times New Roman"/>
          <w:color w:val="000000" w:themeColor="text1"/>
          <w:sz w:val="16"/>
          <w:szCs w:val="16"/>
        </w:rPr>
        <w:softHyphen/>
        <w:t>диров " (10783).</w:t>
      </w:r>
    </w:p>
    <w:p w14:paraId="27E064C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6874BA8"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6F6E67A9" w14:textId="77777777" w:rsidR="00531570" w:rsidRPr="00D03F3E" w:rsidRDefault="00531570" w:rsidP="00D03F3E">
      <w:pPr>
        <w:pStyle w:val="Iauiue"/>
        <w:jc w:val="both"/>
        <w:rPr>
          <w:iCs/>
          <w:color w:val="000000" w:themeColor="text1"/>
          <w:sz w:val="16"/>
          <w:szCs w:val="16"/>
        </w:rPr>
      </w:pPr>
    </w:p>
    <w:p w14:paraId="798BB35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Весной-летом 1943 г. была остановлена отгрузка М4А2 для РККА и танки, поставляемые с конца ноября 1943 г., уже имели значительно более высокое качество броневой защиты, которая уже не уступала по ка</w:t>
      </w:r>
      <w:r w:rsidRPr="00D03F3E">
        <w:rPr>
          <w:rFonts w:ascii="Times New Roman" w:hAnsi="Times New Roman"/>
          <w:color w:val="000000" w:themeColor="text1"/>
          <w:sz w:val="16"/>
          <w:szCs w:val="16"/>
        </w:rPr>
        <w:softHyphen/>
        <w:t>честву советской. Кроме того, для защиты с воздуха осенью 1943 г. практически на всех «Шерманах» устанавливались зенитные 7,62-мм и 12,7-мм пулеметы «Браунинг».</w:t>
      </w:r>
    </w:p>
    <w:p w14:paraId="7F6C98B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американские танки поступали в состав отдельных танковых полков общевойсковых армий (здесь по штату находились, как правило, 21 танк, из которых 11 - М4А2 и 10 — «Валентайн IX»), танковых и механизированных кор</w:t>
      </w:r>
      <w:r w:rsidRPr="00D03F3E">
        <w:rPr>
          <w:rFonts w:ascii="Times New Roman" w:hAnsi="Times New Roman"/>
          <w:color w:val="000000" w:themeColor="text1"/>
          <w:sz w:val="16"/>
          <w:szCs w:val="16"/>
        </w:rPr>
        <w:softHyphen/>
        <w:t>пусов (например, 3 гвардейский Сталинградский механи</w:t>
      </w:r>
      <w:r w:rsidRPr="00D03F3E">
        <w:rPr>
          <w:rFonts w:ascii="Times New Roman" w:hAnsi="Times New Roman"/>
          <w:color w:val="000000" w:themeColor="text1"/>
          <w:sz w:val="16"/>
          <w:szCs w:val="16"/>
        </w:rPr>
        <w:softHyphen/>
        <w:t>зированный корпус, действовавший в составе 3-го Бело</w:t>
      </w:r>
      <w:r w:rsidRPr="00D03F3E">
        <w:rPr>
          <w:rFonts w:ascii="Times New Roman" w:hAnsi="Times New Roman"/>
          <w:color w:val="000000" w:themeColor="text1"/>
          <w:sz w:val="16"/>
          <w:szCs w:val="16"/>
        </w:rPr>
        <w:softHyphen/>
        <w:t>русского фронта, на 22 июня 1944 г. имел 196 танков, из ко</w:t>
      </w:r>
      <w:r w:rsidRPr="00D03F3E">
        <w:rPr>
          <w:rFonts w:ascii="Times New Roman" w:hAnsi="Times New Roman"/>
          <w:color w:val="000000" w:themeColor="text1"/>
          <w:sz w:val="16"/>
          <w:szCs w:val="16"/>
        </w:rPr>
        <w:softHyphen/>
        <w:t>торых 110 М4А2, 70 «Валентайн IX», 16 Т-34) и их наиболее массовые поставки начались с весны 1944 г. Причем тен</w:t>
      </w:r>
      <w:r w:rsidRPr="00D03F3E">
        <w:rPr>
          <w:rFonts w:ascii="Times New Roman" w:hAnsi="Times New Roman"/>
          <w:color w:val="000000" w:themeColor="text1"/>
          <w:sz w:val="16"/>
          <w:szCs w:val="16"/>
        </w:rPr>
        <w:softHyphen/>
        <w:t>денция оснащения мехкорпусов лендлизовской техникой оказалась весьма устойчивой. Так, 3-й гвардейский танко</w:t>
      </w:r>
      <w:r w:rsidRPr="00D03F3E">
        <w:rPr>
          <w:rFonts w:ascii="Times New Roman" w:hAnsi="Times New Roman"/>
          <w:color w:val="000000" w:themeColor="text1"/>
          <w:sz w:val="16"/>
          <w:szCs w:val="16"/>
        </w:rPr>
        <w:softHyphen/>
        <w:t>вый корпус (1-й Прибалтийский фронт) также был осна</w:t>
      </w:r>
      <w:r w:rsidRPr="00D03F3E">
        <w:rPr>
          <w:rFonts w:ascii="Times New Roman" w:hAnsi="Times New Roman"/>
          <w:color w:val="000000" w:themeColor="text1"/>
          <w:sz w:val="16"/>
          <w:szCs w:val="16"/>
        </w:rPr>
        <w:softHyphen/>
        <w:t>щен танками американского и английского производства и к 15 августа 1944 г. имел 99 М4А2 и 23 «Валентайн IX» (11135).</w:t>
      </w:r>
    </w:p>
    <w:p w14:paraId="042BFC5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267CC803"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1C11E13A" w14:textId="77777777" w:rsidR="00531570" w:rsidRPr="00D03F3E" w:rsidRDefault="00531570" w:rsidP="00D03F3E">
      <w:pPr>
        <w:pStyle w:val="Iauiue"/>
        <w:jc w:val="both"/>
        <w:rPr>
          <w:iCs/>
          <w:color w:val="000000" w:themeColor="text1"/>
          <w:sz w:val="16"/>
          <w:szCs w:val="16"/>
        </w:rPr>
      </w:pPr>
    </w:p>
    <w:p w14:paraId="31F56BF6" w14:textId="77777777" w:rsidR="00851D86" w:rsidRPr="00D03F3E" w:rsidRDefault="00851D86" w:rsidP="00D03F3E">
      <w:pPr>
        <w:pStyle w:val="11c"/>
        <w:shd w:val="clear" w:color="auto" w:fill="auto"/>
        <w:spacing w:after="0" w:line="240" w:lineRule="auto"/>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К лету 1943 г. в двухместные варианты на фронте переоборудовали в общей сложности около 1200 одноместных Ил-2. К концу 1942 г. заводы выпустили 642 двухместных само</w:t>
      </w:r>
      <w:r w:rsidRPr="00D03F3E">
        <w:rPr>
          <w:rFonts w:ascii="Times New Roman" w:hAnsi="Times New Roman" w:cs="Times New Roman"/>
          <w:color w:val="0070C0"/>
          <w:sz w:val="16"/>
          <w:szCs w:val="16"/>
        </w:rPr>
        <w:softHyphen/>
        <w:t>летов Ил-2, а в следующем году (до момента полного перехода в серии на Ил-2 с воздуш</w:t>
      </w:r>
      <w:r w:rsidRPr="00D03F3E">
        <w:rPr>
          <w:rFonts w:ascii="Times New Roman" w:hAnsi="Times New Roman" w:cs="Times New Roman"/>
          <w:color w:val="0070C0"/>
          <w:sz w:val="16"/>
          <w:szCs w:val="16"/>
        </w:rPr>
        <w:softHyphen/>
        <w:t>ным стрелком) - 346 одноместных машин (19878).</w:t>
      </w:r>
    </w:p>
    <w:p w14:paraId="2F3B91F0" w14:textId="77777777" w:rsidR="00851D86" w:rsidRPr="00D03F3E" w:rsidRDefault="00851D86" w:rsidP="00D03F3E">
      <w:pPr>
        <w:pStyle w:val="11c"/>
        <w:shd w:val="clear" w:color="auto" w:fill="auto"/>
        <w:spacing w:after="0" w:line="240" w:lineRule="auto"/>
        <w:jc w:val="both"/>
        <w:rPr>
          <w:rFonts w:ascii="Times New Roman" w:hAnsi="Times New Roman" w:cs="Times New Roman"/>
          <w:color w:val="0070C0"/>
          <w:sz w:val="16"/>
          <w:szCs w:val="16"/>
        </w:rPr>
      </w:pPr>
    </w:p>
    <w:p w14:paraId="74FA2224" w14:textId="77777777" w:rsidR="00DD3CFA" w:rsidRPr="00D03F3E" w:rsidRDefault="00DD3CFA"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К лету 1943 года испытания ВЯ-14,5 были свернуты как ввиду низкой надежности системы, так и узкой специализации этого оружия, по бронепробиваемости не превосходящего штатной 23-мм ВЯ.</w:t>
      </w:r>
    </w:p>
    <w:p w14:paraId="3AFCC87F" w14:textId="77777777" w:rsidR="00DD3CFA" w:rsidRPr="00D03F3E" w:rsidRDefault="00DD3CFA"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Аналогичную работу по 14,5-мм авиапушке вели конструктора Салищев и Галкин на своей версии СГ-14,5, правда, в отличие от Волкова с Ярцевым они полностью переработали свою предвоенную версию СГ-23, изменив схему автоматики с короткого отката ствола на газоотвод. Кроме того, в пушке СГ-14,5 применили стандартный серийный патрон 14,5х114 от противотанковых ружей ПТРД и ПТРС. Баллистика СГ-14,5 получилась не столь форсированной, начальная скорость бронебойной пули достигала 1000 выстр/мин. Но неудовлетворительная надежность системы поставила крест и на этой разработке (19192).</w:t>
      </w:r>
    </w:p>
    <w:p w14:paraId="0EA48F13" w14:textId="77777777" w:rsidR="00DD3CFA" w:rsidRPr="00D03F3E" w:rsidRDefault="00DD3CFA" w:rsidP="00D03F3E">
      <w:pPr>
        <w:spacing w:after="0" w:line="240" w:lineRule="auto"/>
        <w:jc w:val="both"/>
        <w:rPr>
          <w:rFonts w:ascii="Times New Roman" w:hAnsi="Times New Roman"/>
          <w:color w:val="000000" w:themeColor="text1"/>
          <w:sz w:val="16"/>
          <w:szCs w:val="16"/>
        </w:rPr>
      </w:pPr>
    </w:p>
    <w:p w14:paraId="5A1184B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 лету 1943 бригада С.М.Егера подготовила эскизный проект Ту-2С 2М-82ФНВ (стандартный, АНТ-61), оформленный как краткое ТО и этот материал стал исходным для подготовки проекта постановления ГКО. Согласно эскизного проекта это был скоростной пикирующий бомбардировщик, предназначенный для выполнения бомбардировочных операций по целям, расположенным в оперативной и стратегической зонах. Хотели скорость 527 км/час у земли и 555 км/час на высоте и нормальную дальность в 1000 км. Можно было вешать до трех мин в 500-1000 кг на или 2 торпеды на наружной подвеске (1835,26). На базе машины предлагалось делать и специализированные машины:</w:t>
      </w:r>
    </w:p>
    <w:p w14:paraId="6D1C94B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ДБ с новыми консолями (размах - 22.06 м по сравнению с 18.86 м) и оперением и автоматом курса АК-1 и прицелом Ц-1</w:t>
      </w:r>
    </w:p>
    <w:p w14:paraId="7C828B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ПБ с тормозными решетками</w:t>
      </w:r>
    </w:p>
    <w:p w14:paraId="3725BEE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Р с фотооборудованием (АФА-3с (500 мм) или 2 АФА-33 (200 мм и 500 мм) и дополнительным баком на 750 л или 700 л в бомбоотсеке</w:t>
      </w:r>
    </w:p>
    <w:p w14:paraId="3E190F2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УТ с дополнительным управлением для ш (1835,26).</w:t>
      </w:r>
    </w:p>
    <w:p w14:paraId="62678C08" w14:textId="77777777" w:rsidR="00531570" w:rsidRPr="00D03F3E" w:rsidRDefault="00531570" w:rsidP="00D03F3E">
      <w:pPr>
        <w:pStyle w:val="Iauiue"/>
        <w:jc w:val="both"/>
        <w:rPr>
          <w:color w:val="000000" w:themeColor="text1"/>
          <w:sz w:val="16"/>
          <w:szCs w:val="16"/>
        </w:rPr>
      </w:pPr>
    </w:p>
    <w:p w14:paraId="3973FD9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лету 1943 г. эскизный проект новой модификации Ту-2 разрабатывался бригадой С.М. Егера и был завершен (11988).</w:t>
      </w:r>
    </w:p>
    <w:p w14:paraId="31D3D51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6A34B7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 лету 1943 г. летно-технические характеристики выпускаемых серийно пикирующих бомбардировщиков Пе-2 ухудшились настолько, что мириться с этим обстоятельством больше было нельзя. Прошедший в НИИ ВВС Красной Армии контрольные испытания самолет № 7/196 показал скорость полета у земли всего 437 км/час, а на второй границе высотности (3400 м) - не более 482 км/час. Причин, по которым сложилось такое положение, было три: ухудшение аэродинамики самолета из-за усиленного стрелкового вооружения, увеличение полетного веса самолета (более мощное бронирование, дополнительный вес оружия и боеприпасов), а также ухудшение производственного выполнения машины. Между тем ставший на фронте массовым истребитель противника Мессершмитт BH09G и второй основной немецкий истребитель Фокке-Вульф FW190A, безусловно превосходившие Пе-2 в скорости полета, получили мощное вооружение из 3-4 пушек калибра 20 мм, что позволило им в ряде случаев сбивать "пешку" с одной атаки. К тому же преимущество в скорости полета на 100-150 км/час позволяло немцам выбирать ракурс атаки вплоть до направления строго сбоку или сверху; при этом очевидными становились недостатки и люковой, и верхней установок Пе-2. Потери "пешек" на фронте угрожающе возросли. Перед заводом № 22 и ОКО была поставлена задача радикального улучшения летных данных выпускаемого самолета (3542).</w:t>
      </w:r>
    </w:p>
    <w:p w14:paraId="619217B3" w14:textId="77777777" w:rsidR="00531570" w:rsidRPr="00D03F3E" w:rsidRDefault="00531570" w:rsidP="00D03F3E">
      <w:pPr>
        <w:pStyle w:val="Iauiue"/>
        <w:jc w:val="both"/>
        <w:rPr>
          <w:color w:val="000000" w:themeColor="text1"/>
          <w:sz w:val="16"/>
          <w:szCs w:val="16"/>
        </w:rPr>
      </w:pPr>
    </w:p>
    <w:p w14:paraId="3CA40C36"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7C7559D1" w14:textId="77777777" w:rsidR="00531570" w:rsidRPr="00D03F3E" w:rsidRDefault="00531570" w:rsidP="00D03F3E">
      <w:pPr>
        <w:pStyle w:val="Iauiue"/>
        <w:jc w:val="both"/>
        <w:rPr>
          <w:iCs/>
          <w:color w:val="000000" w:themeColor="text1"/>
          <w:sz w:val="16"/>
          <w:szCs w:val="16"/>
        </w:rPr>
      </w:pPr>
    </w:p>
    <w:p w14:paraId="3D039DD6" w14:textId="77777777" w:rsidR="00327442" w:rsidRPr="00D03F3E"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лету 1943 г. ОКБ завода № 9 предложило новое 122-мм штурмовое орудие Д-6 образца 1943 г., которое представляло собой дальнейшее развитие орудия У-11, с использованием установочных мест 85-мм пушки Д-5. Д-6 могла быть без пе</w:t>
      </w:r>
      <w:r w:rsidRPr="00D03F3E">
        <w:rPr>
          <w:rFonts w:ascii="Times New Roman" w:hAnsi="Times New Roman"/>
          <w:color w:val="000000" w:themeColor="text1"/>
          <w:sz w:val="16"/>
          <w:szCs w:val="16"/>
        </w:rPr>
        <w:softHyphen/>
        <w:t>ределок установлена в башню танков ИС-85, Т-43. Но как танковое орудие она имела те же недостатки, что и У-И, к тому же сломалась на заводских испытаниях.</w:t>
      </w:r>
    </w:p>
    <w:p w14:paraId="4ECAFEC5" w14:textId="77777777" w:rsidR="00327442" w:rsidRPr="00D03F3E"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ЦАКБ не отставал от конкурента. В том же 1943 г. были завершены работы по штурмовой пушке С-41, разработан</w:t>
      </w:r>
      <w:r w:rsidRPr="00D03F3E">
        <w:rPr>
          <w:rFonts w:ascii="Times New Roman" w:hAnsi="Times New Roman"/>
          <w:color w:val="000000" w:themeColor="text1"/>
          <w:sz w:val="16"/>
          <w:szCs w:val="16"/>
        </w:rPr>
        <w:softHyphen/>
        <w:t>ной на основе люльки с противооткатным механизмом орудия С-31. Особенности предлагаемой конструкции со</w:t>
      </w:r>
      <w:r w:rsidRPr="00D03F3E">
        <w:rPr>
          <w:rFonts w:ascii="Times New Roman" w:hAnsi="Times New Roman"/>
          <w:color w:val="000000" w:themeColor="text1"/>
          <w:sz w:val="16"/>
          <w:szCs w:val="16"/>
        </w:rPr>
        <w:softHyphen/>
        <w:t>стояли в том, что в лице С-31 и С-41 предлагался сразу триплекс из 85-мм пушки, а также 122-мм и 152-мм гаубиц, отличающихся друг от друга лишь трубой ствола с затвором (от М-30 или М-10) и конструкцией дульного тормоза.</w:t>
      </w:r>
    </w:p>
    <w:p w14:paraId="5C9CB836" w14:textId="77777777" w:rsidR="00327442" w:rsidRPr="00D03F3E"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баллистически С-41 почти ничем не отлича</w:t>
      </w:r>
      <w:r w:rsidRPr="00D03F3E">
        <w:rPr>
          <w:rFonts w:ascii="Times New Roman" w:hAnsi="Times New Roman"/>
          <w:color w:val="000000" w:themeColor="text1"/>
          <w:sz w:val="16"/>
          <w:szCs w:val="16"/>
        </w:rPr>
        <w:softHyphen/>
        <w:t>лась от У-11 и Д-6, причем впечатление о ней портил дуль</w:t>
      </w:r>
      <w:r w:rsidRPr="00D03F3E">
        <w:rPr>
          <w:rFonts w:ascii="Times New Roman" w:hAnsi="Times New Roman"/>
          <w:color w:val="000000" w:themeColor="text1"/>
          <w:sz w:val="16"/>
          <w:szCs w:val="16"/>
        </w:rPr>
        <w:softHyphen/>
        <w:t>ный тормоз, без которого обойтись не получалось.</w:t>
      </w:r>
    </w:p>
    <w:p w14:paraId="0353D7FF" w14:textId="77777777" w:rsidR="00327442" w:rsidRPr="00D03F3E"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долгий процесс доработок, к осени 1943 г. штурмовые танковые пушки с баллистикой гаубицы обр. 1938 г. М-30 так и не были доведены. Постоянно вылезали какие-то конструктивные дефекты. Раздельное заряжание гаубицы приводило к малой скорострельности ее в танке и малому возимому боекомплекту. Но главное — недостаточная точность стрельбы за пределами дальности прямого выстре</w:t>
      </w:r>
      <w:r w:rsidRPr="00D03F3E">
        <w:rPr>
          <w:rFonts w:ascii="Times New Roman" w:hAnsi="Times New Roman"/>
          <w:color w:val="000000" w:themeColor="text1"/>
          <w:sz w:val="16"/>
          <w:szCs w:val="16"/>
        </w:rPr>
        <w:softHyphen/>
        <w:t>ла фактически зачеркивала указанное орудие как танковую пушку, способную бороться с вражескими бронеобъектами.</w:t>
      </w:r>
    </w:p>
    <w:p w14:paraId="42920616" w14:textId="77777777" w:rsidR="00327442" w:rsidRPr="00D03F3E" w:rsidRDefault="0032744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Возрождение КВ-2 на новом уровне не состоялось (11417).</w:t>
      </w:r>
    </w:p>
    <w:p w14:paraId="77005986" w14:textId="77777777" w:rsidR="00327442" w:rsidRPr="00D03F3E" w:rsidRDefault="0032744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777139" w14:textId="77777777" w:rsidR="001F7164" w:rsidRPr="00D03F3E"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лету 1943 г. в производство был принят дизель В-2-520. Он должен был сменить в серии модель В-2К, отличаясь от последнего немного пониженной до 520-540 л.с. мощнос</w:t>
      </w:r>
      <w:r w:rsidRPr="00D03F3E">
        <w:rPr>
          <w:rFonts w:ascii="Times New Roman" w:hAnsi="Times New Roman"/>
          <w:color w:val="000000" w:themeColor="text1"/>
          <w:sz w:val="16"/>
          <w:szCs w:val="16"/>
        </w:rPr>
        <w:softHyphen/>
        <w:t>тью, но увеличенным до .250-300 моточасов ресурсом (11135).</w:t>
      </w:r>
    </w:p>
    <w:p w14:paraId="783F882C" w14:textId="77777777" w:rsidR="001F7164" w:rsidRPr="00D03F3E"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57F27A" w14:textId="77777777" w:rsidR="00AD620A" w:rsidRPr="00D03F3E"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 лету 1943 года Т-70 и Т-70Б в основном вытеснили из войск Т-60. Вопрос в том, что и сам Т-70 уже морально устарел. Бои на Курской дуге наглядно показали, что время легких танков уходит. Части, имевшие на вооружение Т-70, понесли тяжелые потери. На основе анализа боевых действий советское военное руководство приняло решение от легких танков в их тогдашнем виде отказаться. Это не означало, что от легкого танка отказываются совсем, но смысла в развитии семейства Т-</w:t>
      </w:r>
      <w:r w:rsidRPr="00D03F3E">
        <w:rPr>
          <w:rFonts w:ascii="Times New Roman" w:eastAsia="Times New Roman" w:hAnsi="Times New Roman"/>
          <w:color w:val="000000" w:themeColor="text1"/>
          <w:sz w:val="16"/>
          <w:szCs w:val="16"/>
          <w:lang w:eastAsia="ru-RU"/>
        </w:rPr>
        <w:lastRenderedPageBreak/>
        <w:t>60/Т-70 уже не было никакого. Вместо них было предложено запустить разработку легкого танка нового поколения, который по заявленным характеристикам больше напоминал Т-50, но с 76-мм пушкой. Началась долгая эпопея разработки перспективного легкого танка, которая, в итоге, завершилась с нулевым результатом. Что же касается заводов, выпускавших легкие танки, их было решено переключить на выпуск СУ-76М. Так советские военные повторили действия немецкого военного руководства. Осенью 1943 года единственной страной, которая продолжала массово выпускать легкие танки, остались США.</w:t>
      </w:r>
    </w:p>
    <w:p w14:paraId="20FDFAC7" w14:textId="77777777" w:rsidR="00AD620A" w:rsidRPr="00D03F3E"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Снятие с производства Т-70Б отнюдь не означало, что эти танки быстро исчезнут из войск. Они продолжали верой и правдой служить в Красной армии, используясь по прямому назначению. Разумеется, их численность в войсках неуклонно падала, постепенно их заменяли на Т-34. Т-70Б нередко использовались в качестве командирских танков в самоходных артиллерийских полках. Немало Т-70 воевало на Ленинградском фронте, где они принимали участие в боях вплоть до осени 1944 года. Впрочем, и на центральных фронтах в некоторых частях Т-70 активно воевали и летом 1944 года. Речь идет о танковых полках при кавалерийских дивизиях. В их составе Т-70Б активно применялись, например, в ходе </w:t>
      </w:r>
      <w:hyperlink r:id="rId185" w:history="1">
        <w:r w:rsidRPr="00D03F3E">
          <w:rPr>
            <w:rFonts w:ascii="Times New Roman" w:eastAsia="Times New Roman" w:hAnsi="Times New Roman"/>
            <w:color w:val="000000" w:themeColor="text1"/>
            <w:sz w:val="16"/>
            <w:szCs w:val="16"/>
            <w:lang w:eastAsia="ru-RU"/>
          </w:rPr>
          <w:t>Львовско-Сандомирской операции</w:t>
        </w:r>
      </w:hyperlink>
      <w:r w:rsidRPr="00D03F3E">
        <w:rPr>
          <w:rFonts w:ascii="Times New Roman" w:eastAsia="Times New Roman" w:hAnsi="Times New Roman"/>
          <w:color w:val="000000" w:themeColor="text1"/>
          <w:sz w:val="16"/>
          <w:szCs w:val="16"/>
          <w:lang w:eastAsia="ru-RU"/>
        </w:rPr>
        <w:t>. Например, машины данного типа имелись в 61-м и 87-м отдельных танковых полках (17695).</w:t>
      </w:r>
    </w:p>
    <w:p w14:paraId="4A8A7092" w14:textId="77777777" w:rsidR="00AD620A" w:rsidRPr="00D03F3E" w:rsidRDefault="00AD620A" w:rsidP="00D03F3E">
      <w:pPr>
        <w:pStyle w:val="12a"/>
        <w:shd w:val="clear" w:color="auto" w:fill="auto"/>
        <w:spacing w:after="0" w:line="240" w:lineRule="auto"/>
        <w:jc w:val="both"/>
        <w:rPr>
          <w:color w:val="000000" w:themeColor="text1"/>
          <w:sz w:val="16"/>
          <w:szCs w:val="16"/>
        </w:rPr>
      </w:pPr>
    </w:p>
    <w:p w14:paraId="3C0D676F" w14:textId="77777777" w:rsidR="009477D6" w:rsidRPr="00D03F3E" w:rsidRDefault="009477D6"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 лету </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1943 г</w:t>
        </w:r>
      </w:smartTag>
      <w:r w:rsidRPr="00D03F3E">
        <w:rPr>
          <w:rFonts w:ascii="Times New Roman" w:hAnsi="Times New Roman"/>
          <w:color w:val="000000" w:themeColor="text1"/>
          <w:sz w:val="16"/>
          <w:szCs w:val="16"/>
        </w:rPr>
        <w:t>. СУ-76М (СУ-12М) пошли в войска и учебные подразделения. Их массовое применение имело место на Курской дуге, и именно тут родились устойчивые слухи о ненадежности механизмов СУ-76, продержавшиеся всю войну, равно как и первые уничижительные клички в адрес этой боевой машины, в частности, «братская могила четырех танкистов», «сука», «душегубка». Это объяснялось отчасти и тем, что САУ отдали в подчинение танковых войск, а это было чревато тем, что большинство из них применялось теперь большей частью именно как танки без башни. И потому отработанная еще в самом начале года тактика часто менялась с точностью до наоборот – сравнительно толстобронные танки либо пехота прикрывались СУ-76, броневая защита которых была очень слабой. Лето было жарким, и СУ-76, практически не имевшие нормальной вентиляции боевого отделения, обзывали «душегубками», как, впрочем, и СУ-76(И), испытывавшую в это время сходные проблемы. Уже в начале июля наркоматом было рекомендовано демонтировать «</w:t>
      </w:r>
      <w:r w:rsidRPr="00D03F3E">
        <w:rPr>
          <w:rFonts w:ascii="Times New Roman" w:hAnsi="Times New Roman"/>
          <w:iCs/>
          <w:color w:val="000000" w:themeColor="text1"/>
          <w:sz w:val="16"/>
          <w:szCs w:val="16"/>
        </w:rPr>
        <w:t xml:space="preserve">вплоть до фартука перископического прицела» </w:t>
      </w:r>
      <w:r w:rsidRPr="00D03F3E">
        <w:rPr>
          <w:rFonts w:ascii="Times New Roman" w:hAnsi="Times New Roman"/>
          <w:color w:val="000000" w:themeColor="text1"/>
          <w:sz w:val="16"/>
          <w:szCs w:val="16"/>
        </w:rPr>
        <w:t>крышу боевой рубки или установить на крышу СУ-76М вытяжной вентилятор. Машина со снятой крышей понравилась в войсках, несмотря на то, что дождь лил на головы экипажа, а закрепить брезент было непросто. Механики-водители не любили СУ-12М, так как сидеть между моторами было очень неприятно, как и неудобно было оперировать для управления САУ двумя КПП, издававшими из-за несинхронной работы множество посторонних шумов. Случавшиеся поломки механизмов также не добавляли любви водителям этих машин (15218).</w:t>
      </w:r>
    </w:p>
    <w:p w14:paraId="6945D15B" w14:textId="77777777" w:rsidR="009477D6" w:rsidRPr="00D03F3E" w:rsidRDefault="009477D6" w:rsidP="00D03F3E">
      <w:pPr>
        <w:widowControl w:val="0"/>
        <w:spacing w:after="0" w:line="240" w:lineRule="auto"/>
        <w:jc w:val="both"/>
        <w:rPr>
          <w:rFonts w:ascii="Times New Roman" w:hAnsi="Times New Roman"/>
          <w:color w:val="000000" w:themeColor="text1"/>
          <w:sz w:val="16"/>
          <w:szCs w:val="16"/>
        </w:rPr>
      </w:pPr>
    </w:p>
    <w:p w14:paraId="367D8D90" w14:textId="77777777" w:rsidR="00327442" w:rsidRPr="00D03F3E" w:rsidRDefault="0032744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лету 1943 г. СУ-76М (СУ-12М) пошли в войска и учебные подразделения. Их массовое боевое применение имело место на Курской дуге и именно тут родились устойчивые слухи о ненадежности механизмов СУ-76, продержавшиеся всю войну и тут же появились первые уничижительные клички в адрес этой боевой машины, в частности “братская могила четырех танкистов”, “сука” и “душегубка”. Это объяснялось отчасти и тем, что САУ отдали в подчинение танковых войск, а это было чревато тем, что большинство из них применялись большей частью именно как танки без башни. И потому отработанная еще в самом начале года тактика часто менялось с точностью до наоборот - сравнительно толстобронные танки шли под прикрытием СУ-76/СУ-76М, защищенных противопульной броней. Но были и другие причины (6205, 14). Лето было жарким и СУ-12М, практически не имевшая нормальной вентиляции боевого отделения, была обозвана “душегубкой”, как впрочем, и СУ-76 (И), испытывавшая в это время сходные проблемы. Уже в первых числах июля Наркоматом было рекомендовано демонтировать “вплоть до фартука перископического прицела” крышу боевой рубки, или установить на крыше СУ-76М дополнительный вытяжной вентилятор. Машина со снятой крышей понравилась в войсках несмотря на то, что дождь лил на головы экипажа, а закрепить брезент было непросто (6205, 14).</w:t>
      </w:r>
    </w:p>
    <w:p w14:paraId="09ACB0AC" w14:textId="77777777" w:rsidR="00327442" w:rsidRPr="00D03F3E" w:rsidRDefault="0032744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Механики-водители тоже не особо любили СУ-12М, так как сидеть посередине между моторами было довольно неприятно, как не очень удобо было оперировать для управления САУ одной рукояткой, обслуживающей два КПП, издававшими из-за несинхронной работы множественные посторонние шумы. Случавшиеся поломки механизмов также не добавляли любви этим машинам (6205, 14).</w:t>
      </w:r>
    </w:p>
    <w:p w14:paraId="4102646A" w14:textId="77777777" w:rsidR="00327442" w:rsidRPr="00D03F3E" w:rsidRDefault="0032744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хоть по надежности работы они уже почти не отличались от средних САУ, ремонтировать их все-таки приходилось большей кровью, так как ремонт почти всегда сводился к замене КПП, главного вала или главных передач (6205, 14).</w:t>
      </w:r>
    </w:p>
    <w:p w14:paraId="13D31D9D" w14:textId="77777777" w:rsidR="00327442" w:rsidRPr="00D03F3E" w:rsidRDefault="0032744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23C11D" w14:textId="77777777" w:rsidR="00327442" w:rsidRPr="00D03F3E"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лету 1943 г. СУ-76М (СУ-12М) по</w:t>
      </w:r>
      <w:r w:rsidRPr="00D03F3E">
        <w:rPr>
          <w:rFonts w:ascii="Times New Roman" w:hAnsi="Times New Roman"/>
          <w:color w:val="000000" w:themeColor="text1"/>
          <w:sz w:val="16"/>
          <w:szCs w:val="16"/>
        </w:rPr>
        <w:softHyphen/>
        <w:t>шли в войска и учебные подразделения. Их массовое боевое применение имело место на Курской дуге, и именно тут ро</w:t>
      </w:r>
      <w:r w:rsidRPr="00D03F3E">
        <w:rPr>
          <w:rFonts w:ascii="Times New Roman" w:hAnsi="Times New Roman"/>
          <w:color w:val="000000" w:themeColor="text1"/>
          <w:sz w:val="16"/>
          <w:szCs w:val="16"/>
        </w:rPr>
        <w:softHyphen/>
        <w:t>дились устойчивые слухи о ненадежности механизмов СУ-76, продержавшиеся всю войну, равно как тут же появи</w:t>
      </w:r>
      <w:r w:rsidRPr="00D03F3E">
        <w:rPr>
          <w:rFonts w:ascii="Times New Roman" w:hAnsi="Times New Roman"/>
          <w:color w:val="000000" w:themeColor="text1"/>
          <w:sz w:val="16"/>
          <w:szCs w:val="16"/>
        </w:rPr>
        <w:softHyphen/>
        <w:t>лись и первые уничижительные клички в адрес этой боевой машины, в частности «братская могила четырех танкистов», «сука», «душегубка». Это объяснялось отчасти и тем, что САУ отдали в подчинение танковых войск, а это было чрева</w:t>
      </w:r>
      <w:r w:rsidRPr="00D03F3E">
        <w:rPr>
          <w:rFonts w:ascii="Times New Roman" w:hAnsi="Times New Roman"/>
          <w:color w:val="000000" w:themeColor="text1"/>
          <w:sz w:val="16"/>
          <w:szCs w:val="16"/>
        </w:rPr>
        <w:softHyphen/>
        <w:t>то тем, что большинство из них применялись теперь боль</w:t>
      </w:r>
      <w:r w:rsidRPr="00D03F3E">
        <w:rPr>
          <w:rFonts w:ascii="Times New Roman" w:hAnsi="Times New Roman"/>
          <w:color w:val="000000" w:themeColor="text1"/>
          <w:sz w:val="16"/>
          <w:szCs w:val="16"/>
        </w:rPr>
        <w:softHyphen/>
        <w:t>шей частью именно как танки без башни. И потому отрабо</w:t>
      </w:r>
      <w:r w:rsidRPr="00D03F3E">
        <w:rPr>
          <w:rFonts w:ascii="Times New Roman" w:hAnsi="Times New Roman"/>
          <w:color w:val="000000" w:themeColor="text1"/>
          <w:sz w:val="16"/>
          <w:szCs w:val="16"/>
        </w:rPr>
        <w:softHyphen/>
        <w:t>танная еще в самом начале года тактика часто менялась с точностью до наоборот — сравнительно толстобронные тан</w:t>
      </w:r>
      <w:r w:rsidRPr="00D03F3E">
        <w:rPr>
          <w:rFonts w:ascii="Times New Roman" w:hAnsi="Times New Roman"/>
          <w:color w:val="000000" w:themeColor="text1"/>
          <w:sz w:val="16"/>
          <w:szCs w:val="16"/>
        </w:rPr>
        <w:softHyphen/>
        <w:t>ки либо пехота шли, прикрываясь СУ-76, броневая защита которых была очень слабой. Но были и другие причины.</w:t>
      </w:r>
    </w:p>
    <w:p w14:paraId="67B44E66" w14:textId="77777777" w:rsidR="00327442" w:rsidRPr="00D03F3E" w:rsidRDefault="0032744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 было жарким и СУ-76, практически не имевшие : нормальной вентиляции боевого отделения, обзывали «ду</w:t>
      </w:r>
      <w:r w:rsidRPr="00D03F3E">
        <w:rPr>
          <w:rFonts w:ascii="Times New Roman" w:hAnsi="Times New Roman"/>
          <w:color w:val="000000" w:themeColor="text1"/>
          <w:sz w:val="16"/>
          <w:szCs w:val="16"/>
        </w:rPr>
        <w:softHyphen/>
        <w:t>шегубкой», как, впрочем, и СУ-76(И), испытывавшую в это время сходные проблемы. Уже в начале июля наркоматом было рекомендовано демонтировать «вплоть до фартука пе</w:t>
      </w:r>
      <w:r w:rsidRPr="00D03F3E">
        <w:rPr>
          <w:rFonts w:ascii="Times New Roman" w:hAnsi="Times New Roman"/>
          <w:color w:val="000000" w:themeColor="text1"/>
          <w:sz w:val="16"/>
          <w:szCs w:val="16"/>
        </w:rPr>
        <w:softHyphen/>
        <w:t>рископического прицела» крышу боевой рубки или установить на крыше СУ-76М вытяжной вентилятор. Машина со снятой крышей понравилась в войсках несмотря на то, что дождь лил на головы экипажа, а закрепить брезент было непросто.</w:t>
      </w:r>
    </w:p>
    <w:p w14:paraId="0B30893B" w14:textId="77777777" w:rsidR="00327442" w:rsidRPr="00D03F3E"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Механики-водители не любили СУ-12М, так как си</w:t>
      </w:r>
      <w:r w:rsidRPr="00D03F3E">
        <w:rPr>
          <w:rFonts w:ascii="Times New Roman" w:hAnsi="Times New Roman"/>
          <w:color w:val="000000" w:themeColor="text1"/>
          <w:sz w:val="16"/>
          <w:szCs w:val="16"/>
        </w:rPr>
        <w:softHyphen/>
        <w:t>деть посередине между моторами было очень неприятно, как неудобно было оперировать для управления САУ двумя КПП, издававшими из-за несинхронной работы множест</w:t>
      </w:r>
      <w:r w:rsidRPr="00D03F3E">
        <w:rPr>
          <w:rFonts w:ascii="Times New Roman" w:hAnsi="Times New Roman"/>
          <w:color w:val="000000" w:themeColor="text1"/>
          <w:sz w:val="16"/>
          <w:szCs w:val="16"/>
        </w:rPr>
        <w:softHyphen/>
        <w:t>во посторонних шумов. Случавшиеся поломки механизмов также не добавляли любви водителям этих машин.</w:t>
      </w:r>
    </w:p>
    <w:p w14:paraId="600D5EAB" w14:textId="77777777" w:rsidR="00327442" w:rsidRPr="00D03F3E"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хоть по надежности работы они уже мало отличались от средних САУ, ремонтировать их все-таки приходилось большей кровью, так как ремонт почти всегда сводился к замене КПП, главного вала или главных передач.</w:t>
      </w:r>
    </w:p>
    <w:p w14:paraId="7BF5B5D6" w14:textId="77777777" w:rsidR="00327442" w:rsidRPr="00D03F3E"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Радикальная модернизация СУ-76, как говорится, на</w:t>
      </w:r>
      <w:r w:rsidRPr="00D03F3E">
        <w:rPr>
          <w:rFonts w:ascii="Times New Roman" w:hAnsi="Times New Roman"/>
          <w:color w:val="000000" w:themeColor="text1"/>
          <w:sz w:val="16"/>
          <w:szCs w:val="16"/>
        </w:rPr>
        <w:softHyphen/>
        <w:t>зрела и вскоре состоялась. Однако отдельные машины ти</w:t>
      </w:r>
      <w:r w:rsidRPr="00D03F3E">
        <w:rPr>
          <w:rFonts w:ascii="Times New Roman" w:hAnsi="Times New Roman"/>
          <w:color w:val="000000" w:themeColor="text1"/>
          <w:sz w:val="16"/>
          <w:szCs w:val="16"/>
        </w:rPr>
        <w:softHyphen/>
        <w:t>па СУ-12М дожили в войсках до середины 1944 г., когда приказом нач. Бронетанкового управления КА были выве</w:t>
      </w:r>
      <w:r w:rsidRPr="00D03F3E">
        <w:rPr>
          <w:rFonts w:ascii="Times New Roman" w:hAnsi="Times New Roman"/>
          <w:color w:val="000000" w:themeColor="text1"/>
          <w:sz w:val="16"/>
          <w:szCs w:val="16"/>
        </w:rPr>
        <w:softHyphen/>
        <w:t>дены в учебные подразделения (11417).</w:t>
      </w:r>
    </w:p>
    <w:p w14:paraId="1C4DCC47" w14:textId="77777777" w:rsidR="00327442" w:rsidRPr="00D03F3E"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A28B3E" w14:textId="77777777" w:rsidR="00327442" w:rsidRPr="00D03F3E"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лету 1943 г. они и КБ НАГИ подготовили два проекта бронированных САУ, фигурировавших в переписке по Наркомату танковой промышленности, как «безбашенные танки-истребители ГАЗ-74». Между собой эти САУ отли</w:t>
      </w:r>
      <w:r w:rsidRPr="00D03F3E">
        <w:rPr>
          <w:rFonts w:ascii="Times New Roman" w:hAnsi="Times New Roman"/>
          <w:color w:val="000000" w:themeColor="text1"/>
          <w:sz w:val="16"/>
          <w:szCs w:val="16"/>
        </w:rPr>
        <w:softHyphen/>
        <w:t>чались расположением боевого отделения. В первой ма</w:t>
      </w:r>
      <w:r w:rsidRPr="00D03F3E">
        <w:rPr>
          <w:rFonts w:ascii="Times New Roman" w:hAnsi="Times New Roman"/>
          <w:color w:val="000000" w:themeColor="text1"/>
          <w:sz w:val="16"/>
          <w:szCs w:val="16"/>
        </w:rPr>
        <w:softHyphen/>
        <w:t>шине (ГАЗ-74а) оно должно было располагаться в корме машины по типу ГАЗ-71 и уже принятых на вооружение СУ-12 и СУ-15, что улучшало распределение массы на опорные катки, поднимало маневренность правда, за это приходилось платить сравнительно высоким силуэтом.</w:t>
      </w:r>
    </w:p>
    <w:p w14:paraId="49C4C65B" w14:textId="77777777" w:rsidR="00327442" w:rsidRPr="00D03F3E"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Второй вариант (ГАЗ-74Б) очень напоминал проект СУ-ИТ-76, предложенный НИИ-13. При этом машина имела низкий силуэт, солидное бронирование (в лобовой части до 45 мм), наклонное расположение броневых листов и во</w:t>
      </w:r>
      <w:r w:rsidRPr="00D03F3E">
        <w:rPr>
          <w:rFonts w:ascii="Times New Roman" w:hAnsi="Times New Roman"/>
          <w:color w:val="000000" w:themeColor="text1"/>
          <w:sz w:val="16"/>
          <w:szCs w:val="16"/>
        </w:rPr>
        <w:softHyphen/>
        <w:t>оружение из 76-мм пушки С-1 (самоходный вариант танко</w:t>
      </w:r>
      <w:r w:rsidRPr="00D03F3E">
        <w:rPr>
          <w:rFonts w:ascii="Times New Roman" w:hAnsi="Times New Roman"/>
          <w:color w:val="000000" w:themeColor="text1"/>
          <w:sz w:val="16"/>
          <w:szCs w:val="16"/>
        </w:rPr>
        <w:softHyphen/>
        <w:t>вой Ф-34). Ожидалось, что этот истребитель танков получит также дизель-мотор ОМС-71 отечественного изготовления.</w:t>
      </w:r>
    </w:p>
    <w:p w14:paraId="1CFA5C37" w14:textId="77777777" w:rsidR="00327442" w:rsidRPr="00D03F3E"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ГАЗ-74Б был построен, прошел заводские испытания, в целом был одобрен военными и даже под индексом СУ-76-И/СУ-74 («И» — истребитель, не путать с СУ-76(И) допущен до гос. испытаний. Но-вооружение 76,2-мм пушкой с длиной ствола 41,5 калибра считалось теперь недостаточным для борьбы с вражескими тяжелыми танками, а стоимость значи</w:t>
      </w:r>
      <w:r w:rsidRPr="00D03F3E">
        <w:rPr>
          <w:rFonts w:ascii="Times New Roman" w:hAnsi="Times New Roman"/>
          <w:color w:val="000000" w:themeColor="text1"/>
          <w:sz w:val="16"/>
          <w:szCs w:val="16"/>
        </w:rPr>
        <w:softHyphen/>
        <w:t>тельно превышала стоимость СУ-76, которая уже строилась массово. Поэтому участь ГАЗ-74Б в тот момент была решена (11417).</w:t>
      </w:r>
    </w:p>
    <w:p w14:paraId="4BB06493" w14:textId="77777777" w:rsidR="00327442" w:rsidRPr="00D03F3E"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0F36E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До лета 1943 года продолжались работы по модернизация ж/д БА-64 ГАЗ - БА-64Г, когда в следствие изменений на фронтах, значение бронепоездов снизилось и особая необходимость в бронедрезинах отпала. Проект был оставлен. Всего к этому моменту было изготовлено 3 бронеавтомобиля БА-64Г с незначительными отличиями (3862).</w:t>
      </w:r>
    </w:p>
    <w:p w14:paraId="67B99A59" w14:textId="77777777" w:rsidR="00531570" w:rsidRPr="00D03F3E" w:rsidRDefault="00531570" w:rsidP="00D03F3E">
      <w:pPr>
        <w:pStyle w:val="Iauiue"/>
        <w:jc w:val="both"/>
        <w:rPr>
          <w:color w:val="000000" w:themeColor="text1"/>
          <w:sz w:val="16"/>
          <w:szCs w:val="16"/>
        </w:rPr>
      </w:pPr>
    </w:p>
    <w:p w14:paraId="56633A26"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37BA9A46" w14:textId="77777777" w:rsidR="00531570" w:rsidRPr="00D03F3E" w:rsidRDefault="00531570" w:rsidP="00D03F3E">
      <w:pPr>
        <w:pStyle w:val="Iauiue"/>
        <w:jc w:val="both"/>
        <w:rPr>
          <w:iCs/>
          <w:color w:val="000000" w:themeColor="text1"/>
          <w:sz w:val="16"/>
          <w:szCs w:val="16"/>
        </w:rPr>
      </w:pPr>
    </w:p>
    <w:p w14:paraId="0CBD3A70" w14:textId="77777777" w:rsidR="001F7164" w:rsidRPr="00D03F3E"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лету 1943г. тактика действий штурмовой авиа</w:t>
      </w:r>
      <w:r w:rsidRPr="00D03F3E">
        <w:rPr>
          <w:rFonts w:ascii="Times New Roman" w:hAnsi="Times New Roman"/>
          <w:color w:val="000000" w:themeColor="text1"/>
          <w:sz w:val="16"/>
          <w:szCs w:val="16"/>
        </w:rPr>
        <w:softHyphen/>
        <w:t>ции ВВС КА по аэродромам в целом уже сформировалась, поэтому эффективность ударов Ил-2 по ним зависела в основном от умения командного состава грамотно плани</w:t>
      </w:r>
      <w:r w:rsidRPr="00D03F3E">
        <w:rPr>
          <w:rFonts w:ascii="Times New Roman" w:hAnsi="Times New Roman"/>
          <w:color w:val="000000" w:themeColor="text1"/>
          <w:sz w:val="16"/>
          <w:szCs w:val="16"/>
        </w:rPr>
        <w:softHyphen/>
        <w:t>ровать и организовать удар и от уме</w:t>
      </w:r>
      <w:r w:rsidRPr="00D03F3E">
        <w:rPr>
          <w:rFonts w:ascii="Times New Roman" w:hAnsi="Times New Roman"/>
          <w:color w:val="000000" w:themeColor="text1"/>
          <w:sz w:val="16"/>
          <w:szCs w:val="16"/>
        </w:rPr>
        <w:softHyphen/>
        <w:t>ния летною состава реализовать за</w:t>
      </w:r>
      <w:r w:rsidRPr="00D03F3E">
        <w:rPr>
          <w:rFonts w:ascii="Times New Roman" w:hAnsi="Times New Roman"/>
          <w:color w:val="000000" w:themeColor="text1"/>
          <w:sz w:val="16"/>
          <w:szCs w:val="16"/>
        </w:rPr>
        <w:softHyphen/>
        <w:t>думанное в реальных условиях боя. Формы и способы нанесения штур</w:t>
      </w:r>
      <w:r w:rsidRPr="00D03F3E">
        <w:rPr>
          <w:rFonts w:ascii="Times New Roman" w:hAnsi="Times New Roman"/>
          <w:color w:val="000000" w:themeColor="text1"/>
          <w:sz w:val="16"/>
          <w:szCs w:val="16"/>
        </w:rPr>
        <w:softHyphen/>
        <w:t>мовиками ударов по аэродромам оп</w:t>
      </w:r>
      <w:r w:rsidRPr="00D03F3E">
        <w:rPr>
          <w:rFonts w:ascii="Times New Roman" w:hAnsi="Times New Roman"/>
          <w:color w:val="000000" w:themeColor="text1"/>
          <w:sz w:val="16"/>
          <w:szCs w:val="16"/>
        </w:rPr>
        <w:softHyphen/>
        <w:t>ределялись многими факторами, в ча</w:t>
      </w:r>
      <w:r w:rsidRPr="00D03F3E">
        <w:rPr>
          <w:rFonts w:ascii="Times New Roman" w:hAnsi="Times New Roman"/>
          <w:color w:val="000000" w:themeColor="text1"/>
          <w:sz w:val="16"/>
          <w:szCs w:val="16"/>
        </w:rPr>
        <w:softHyphen/>
        <w:t>стности, удаленностью их от аэродро</w:t>
      </w:r>
      <w:r w:rsidRPr="00D03F3E">
        <w:rPr>
          <w:rFonts w:ascii="Times New Roman" w:hAnsi="Times New Roman"/>
          <w:color w:val="000000" w:themeColor="text1"/>
          <w:sz w:val="16"/>
          <w:szCs w:val="16"/>
        </w:rPr>
        <w:softHyphen/>
        <w:t>мов базирования Ил-2, временем уда</w:t>
      </w:r>
      <w:r w:rsidRPr="00D03F3E">
        <w:rPr>
          <w:rFonts w:ascii="Times New Roman" w:hAnsi="Times New Roman"/>
          <w:color w:val="000000" w:themeColor="text1"/>
          <w:sz w:val="16"/>
          <w:szCs w:val="16"/>
        </w:rPr>
        <w:softHyphen/>
        <w:t>ра, количеством и расположением са</w:t>
      </w:r>
      <w:r w:rsidRPr="00D03F3E">
        <w:rPr>
          <w:rFonts w:ascii="Times New Roman" w:hAnsi="Times New Roman"/>
          <w:color w:val="000000" w:themeColor="text1"/>
          <w:sz w:val="16"/>
          <w:szCs w:val="16"/>
        </w:rPr>
        <w:softHyphen/>
        <w:t>молетов на аэродроме, степени мас</w:t>
      </w:r>
      <w:r w:rsidRPr="00D03F3E">
        <w:rPr>
          <w:rFonts w:ascii="Times New Roman" w:hAnsi="Times New Roman"/>
          <w:color w:val="000000" w:themeColor="text1"/>
          <w:sz w:val="16"/>
          <w:szCs w:val="16"/>
        </w:rPr>
        <w:softHyphen/>
        <w:t>кировки, наличием скрытых подступов к аэродрому, а также системой ПВО аэродрома. Эти данные являлись ос</w:t>
      </w:r>
      <w:r w:rsidRPr="00D03F3E">
        <w:rPr>
          <w:rFonts w:ascii="Times New Roman" w:hAnsi="Times New Roman"/>
          <w:color w:val="000000" w:themeColor="text1"/>
          <w:sz w:val="16"/>
          <w:szCs w:val="16"/>
        </w:rPr>
        <w:softHyphen/>
        <w:t>новой для расчета выделяемого соста</w:t>
      </w:r>
      <w:r w:rsidRPr="00D03F3E">
        <w:rPr>
          <w:rFonts w:ascii="Times New Roman" w:hAnsi="Times New Roman"/>
          <w:color w:val="000000" w:themeColor="text1"/>
          <w:sz w:val="16"/>
          <w:szCs w:val="16"/>
        </w:rPr>
        <w:softHyphen/>
        <w:t>ва Ил-2 и истребителей прикрытия, вы</w:t>
      </w:r>
      <w:r w:rsidRPr="00D03F3E">
        <w:rPr>
          <w:rFonts w:ascii="Times New Roman" w:hAnsi="Times New Roman"/>
          <w:color w:val="000000" w:themeColor="text1"/>
          <w:sz w:val="16"/>
          <w:szCs w:val="16"/>
        </w:rPr>
        <w:softHyphen/>
        <w:t>бора боевых порядков штурмовиков и метода истребительного сопровожде</w:t>
      </w:r>
      <w:r w:rsidRPr="00D03F3E">
        <w:rPr>
          <w:rFonts w:ascii="Times New Roman" w:hAnsi="Times New Roman"/>
          <w:color w:val="000000" w:themeColor="text1"/>
          <w:sz w:val="16"/>
          <w:szCs w:val="16"/>
        </w:rPr>
        <w:softHyphen/>
        <w:t>ния, направления и количества захо</w:t>
      </w:r>
      <w:r w:rsidRPr="00D03F3E">
        <w:rPr>
          <w:rFonts w:ascii="Times New Roman" w:hAnsi="Times New Roman"/>
          <w:color w:val="000000" w:themeColor="text1"/>
          <w:sz w:val="16"/>
          <w:szCs w:val="16"/>
        </w:rPr>
        <w:softHyphen/>
        <w:t>дов по целям на аэродроме, высоты подхода к аэродрому и отхода от него, а также необходимых сил для подав</w:t>
      </w:r>
      <w:r w:rsidRPr="00D03F3E">
        <w:rPr>
          <w:rFonts w:ascii="Times New Roman" w:hAnsi="Times New Roman"/>
          <w:color w:val="000000" w:themeColor="text1"/>
          <w:sz w:val="16"/>
          <w:szCs w:val="16"/>
        </w:rPr>
        <w:softHyphen/>
        <w:t>ления системы ПВО аэродрома. Для выделенных экипажей и ведущих групп штурмовиков и истребителей раз</w:t>
      </w:r>
      <w:r w:rsidRPr="00D03F3E">
        <w:rPr>
          <w:rFonts w:ascii="Times New Roman" w:hAnsi="Times New Roman"/>
          <w:color w:val="000000" w:themeColor="text1"/>
          <w:sz w:val="16"/>
          <w:szCs w:val="16"/>
        </w:rPr>
        <w:softHyphen/>
        <w:t>рабатывалось боевое задание, кото</w:t>
      </w:r>
      <w:r w:rsidRPr="00D03F3E">
        <w:rPr>
          <w:rFonts w:ascii="Times New Roman" w:hAnsi="Times New Roman"/>
          <w:color w:val="000000" w:themeColor="text1"/>
          <w:sz w:val="16"/>
          <w:szCs w:val="16"/>
        </w:rPr>
        <w:softHyphen/>
        <w:t>рое определяло порядок взлета и сбо</w:t>
      </w:r>
      <w:r w:rsidRPr="00D03F3E">
        <w:rPr>
          <w:rFonts w:ascii="Times New Roman" w:hAnsi="Times New Roman"/>
          <w:color w:val="000000" w:themeColor="text1"/>
          <w:sz w:val="16"/>
          <w:szCs w:val="16"/>
        </w:rPr>
        <w:softHyphen/>
        <w:t>ра групп, маршрут и профиль полета, строй на маршруте, действия при встрече с истребителями противника, действия в районе цели, порядок отхо</w:t>
      </w:r>
      <w:r w:rsidRPr="00D03F3E">
        <w:rPr>
          <w:rFonts w:ascii="Times New Roman" w:hAnsi="Times New Roman"/>
          <w:color w:val="000000" w:themeColor="text1"/>
          <w:sz w:val="16"/>
          <w:szCs w:val="16"/>
        </w:rPr>
        <w:softHyphen/>
        <w:t>да от цели и следования на свой аэро</w:t>
      </w:r>
      <w:r w:rsidRPr="00D03F3E">
        <w:rPr>
          <w:rFonts w:ascii="Times New Roman" w:hAnsi="Times New Roman"/>
          <w:color w:val="000000" w:themeColor="text1"/>
          <w:sz w:val="16"/>
          <w:szCs w:val="16"/>
        </w:rPr>
        <w:softHyphen/>
        <w:t>дром, а также организацию контроля результатов удара. Удаление немецких аэродромов в среднем почти всегда было близким к предельному радиусу действия группы из 6 Ил-2 при нормальной боевой на</w:t>
      </w:r>
      <w:r w:rsidRPr="00D03F3E">
        <w:rPr>
          <w:rFonts w:ascii="Times New Roman" w:hAnsi="Times New Roman"/>
          <w:color w:val="000000" w:themeColor="text1"/>
          <w:sz w:val="16"/>
          <w:szCs w:val="16"/>
        </w:rPr>
        <w:softHyphen/>
        <w:t>грузке каждого самолета (полная зап</w:t>
      </w:r>
      <w:r w:rsidRPr="00D03F3E">
        <w:rPr>
          <w:rFonts w:ascii="Times New Roman" w:hAnsi="Times New Roman"/>
          <w:color w:val="000000" w:themeColor="text1"/>
          <w:sz w:val="16"/>
          <w:szCs w:val="16"/>
        </w:rPr>
        <w:softHyphen/>
        <w:t>равка горючим 525кг, 400кг бомб, 4 РС-82, боекомплект к пушкам и пуле</w:t>
      </w:r>
      <w:r w:rsidRPr="00D03F3E">
        <w:rPr>
          <w:rFonts w:ascii="Times New Roman" w:hAnsi="Times New Roman"/>
          <w:color w:val="000000" w:themeColor="text1"/>
          <w:sz w:val="16"/>
          <w:szCs w:val="16"/>
        </w:rPr>
        <w:softHyphen/>
        <w:t>метам) - до 150-160 км. Это предъяв</w:t>
      </w:r>
      <w:r w:rsidRPr="00D03F3E">
        <w:rPr>
          <w:rFonts w:ascii="Times New Roman" w:hAnsi="Times New Roman"/>
          <w:color w:val="000000" w:themeColor="text1"/>
          <w:sz w:val="16"/>
          <w:szCs w:val="16"/>
        </w:rPr>
        <w:softHyphen/>
        <w:t>ляло жесткие требования к организа</w:t>
      </w:r>
      <w:r w:rsidRPr="00D03F3E">
        <w:rPr>
          <w:rFonts w:ascii="Times New Roman" w:hAnsi="Times New Roman"/>
          <w:color w:val="000000" w:themeColor="text1"/>
          <w:sz w:val="16"/>
          <w:szCs w:val="16"/>
        </w:rPr>
        <w:softHyphen/>
        <w:t>ции боевого вылета и соблюдению эки</w:t>
      </w:r>
      <w:r w:rsidRPr="00D03F3E">
        <w:rPr>
          <w:rFonts w:ascii="Times New Roman" w:hAnsi="Times New Roman"/>
          <w:color w:val="000000" w:themeColor="text1"/>
          <w:sz w:val="16"/>
          <w:szCs w:val="16"/>
        </w:rPr>
        <w:softHyphen/>
        <w:t>пажами маршрута и профиля полета. Как правило, на взлет и сбор груп</w:t>
      </w:r>
      <w:r w:rsidRPr="00D03F3E">
        <w:rPr>
          <w:rFonts w:ascii="Times New Roman" w:hAnsi="Times New Roman"/>
          <w:color w:val="000000" w:themeColor="text1"/>
          <w:sz w:val="16"/>
          <w:szCs w:val="16"/>
        </w:rPr>
        <w:softHyphen/>
        <w:t xml:space="preserve">пы планировалось не более 10 минут, полет к аэродрому истребителей и встречу с ними - 10 минут, полет к цели </w:t>
      </w:r>
      <w:r w:rsidRPr="00D03F3E">
        <w:rPr>
          <w:rFonts w:ascii="Times New Roman" w:hAnsi="Times New Roman"/>
          <w:color w:val="000000" w:themeColor="text1"/>
          <w:sz w:val="16"/>
          <w:szCs w:val="16"/>
        </w:rPr>
        <w:lastRenderedPageBreak/>
        <w:t>— 30 минут, выполнение удара по целям на аэродроме (из расчета двух заходов) - 12-16 минут, полет на обратном маршруте - 30 минут, рос</w:t>
      </w:r>
      <w:r w:rsidRPr="00D03F3E">
        <w:rPr>
          <w:rFonts w:ascii="Times New Roman" w:hAnsi="Times New Roman"/>
          <w:color w:val="000000" w:themeColor="text1"/>
          <w:sz w:val="16"/>
          <w:szCs w:val="16"/>
        </w:rPr>
        <w:softHyphen/>
        <w:t>пуск группы и посадка - 10-12 минут. Итого на выполнение боевого зада</w:t>
      </w:r>
      <w:r w:rsidRPr="00D03F3E">
        <w:rPr>
          <w:rFonts w:ascii="Times New Roman" w:hAnsi="Times New Roman"/>
          <w:color w:val="000000" w:themeColor="text1"/>
          <w:sz w:val="16"/>
          <w:szCs w:val="16"/>
        </w:rPr>
        <w:softHyphen/>
        <w:t>ния по расчету отводилось до 1 часа 50 минут. При этом остатка горючего хватало еще на 15-20 минут полета, что в свою очередь накладывало ог</w:t>
      </w:r>
      <w:r w:rsidRPr="00D03F3E">
        <w:rPr>
          <w:rFonts w:ascii="Times New Roman" w:hAnsi="Times New Roman"/>
          <w:color w:val="000000" w:themeColor="text1"/>
          <w:sz w:val="16"/>
          <w:szCs w:val="16"/>
        </w:rPr>
        <w:softHyphen/>
        <w:t>раничения на выбор штурмовиками тактики ведения воздушного боя при встрече с истребителями противника и "на неточное выдерживание марш</w:t>
      </w:r>
      <w:r w:rsidRPr="00D03F3E">
        <w:rPr>
          <w:rFonts w:ascii="Times New Roman" w:hAnsi="Times New Roman"/>
          <w:color w:val="000000" w:themeColor="text1"/>
          <w:sz w:val="16"/>
          <w:szCs w:val="16"/>
        </w:rPr>
        <w:softHyphen/>
        <w:t>рута полета" экипажами. Недостаточный ради</w:t>
      </w:r>
      <w:r w:rsidRPr="00D03F3E">
        <w:rPr>
          <w:rFonts w:ascii="Times New Roman" w:hAnsi="Times New Roman"/>
          <w:color w:val="000000" w:themeColor="text1"/>
          <w:sz w:val="16"/>
          <w:szCs w:val="16"/>
        </w:rPr>
        <w:softHyphen/>
        <w:t>ус действия Ил-2 вынуждал экипажи строить маршрут полета к аэродрому и обратно с наименьшим количеством изломов. Это приводило к тому, что при выполнении повторных ударов штурмовики летели почти по старому маршруту. Как следствие, противник получал возможность устраивать заса</w:t>
      </w:r>
      <w:r w:rsidRPr="00D03F3E">
        <w:rPr>
          <w:rFonts w:ascii="Times New Roman" w:hAnsi="Times New Roman"/>
          <w:color w:val="000000" w:themeColor="text1"/>
          <w:sz w:val="16"/>
          <w:szCs w:val="16"/>
        </w:rPr>
        <w:softHyphen/>
        <w:t>ды, сажая на небольшие полевые пло</w:t>
      </w:r>
      <w:r w:rsidRPr="00D03F3E">
        <w:rPr>
          <w:rFonts w:ascii="Times New Roman" w:hAnsi="Times New Roman"/>
          <w:color w:val="000000" w:themeColor="text1"/>
          <w:sz w:val="16"/>
          <w:szCs w:val="16"/>
        </w:rPr>
        <w:softHyphen/>
        <w:t>щадки свои истребители и сосредото</w:t>
      </w:r>
      <w:r w:rsidRPr="00D03F3E">
        <w:rPr>
          <w:rFonts w:ascii="Times New Roman" w:hAnsi="Times New Roman"/>
          <w:color w:val="000000" w:themeColor="text1"/>
          <w:sz w:val="16"/>
          <w:szCs w:val="16"/>
        </w:rPr>
        <w:softHyphen/>
        <w:t>чивая батареи зенитной артиллерии, со всеми вытекающими последствиями для экипажей Ил-2. Более того, зная летно-тактические данные Ил-2, нем</w:t>
      </w:r>
      <w:r w:rsidRPr="00D03F3E">
        <w:rPr>
          <w:rFonts w:ascii="Times New Roman" w:hAnsi="Times New Roman"/>
          <w:color w:val="000000" w:themeColor="text1"/>
          <w:sz w:val="16"/>
          <w:szCs w:val="16"/>
        </w:rPr>
        <w:softHyphen/>
        <w:t>цы могли сравнительно легко прогно</w:t>
      </w:r>
      <w:r w:rsidRPr="00D03F3E">
        <w:rPr>
          <w:rFonts w:ascii="Times New Roman" w:hAnsi="Times New Roman"/>
          <w:color w:val="000000" w:themeColor="text1"/>
          <w:sz w:val="16"/>
          <w:szCs w:val="16"/>
        </w:rPr>
        <w:softHyphen/>
        <w:t>зировать наиболее вероятные марш</w:t>
      </w:r>
      <w:r w:rsidRPr="00D03F3E">
        <w:rPr>
          <w:rFonts w:ascii="Times New Roman" w:hAnsi="Times New Roman"/>
          <w:color w:val="000000" w:themeColor="text1"/>
          <w:sz w:val="16"/>
          <w:szCs w:val="16"/>
        </w:rPr>
        <w:softHyphen/>
        <w:t>руты полета штурмовиков к своим аэродромам. Для успеха было необ</w:t>
      </w:r>
      <w:r w:rsidRPr="00D03F3E">
        <w:rPr>
          <w:rFonts w:ascii="Times New Roman" w:hAnsi="Times New Roman"/>
          <w:color w:val="000000" w:themeColor="text1"/>
          <w:sz w:val="16"/>
          <w:szCs w:val="16"/>
        </w:rPr>
        <w:softHyphen/>
        <w:t>ходимо только проводить регулярную авиа- и радиоразведку с целью вскры</w:t>
      </w:r>
      <w:r w:rsidRPr="00D03F3E">
        <w:rPr>
          <w:rFonts w:ascii="Times New Roman" w:hAnsi="Times New Roman"/>
          <w:color w:val="000000" w:themeColor="text1"/>
          <w:sz w:val="16"/>
          <w:szCs w:val="16"/>
        </w:rPr>
        <w:softHyphen/>
        <w:t>тия фактической дислокации нашей авиации. Собственно говоря, что нем</w:t>
      </w:r>
      <w:r w:rsidRPr="00D03F3E">
        <w:rPr>
          <w:rFonts w:ascii="Times New Roman" w:hAnsi="Times New Roman"/>
          <w:color w:val="000000" w:themeColor="text1"/>
          <w:sz w:val="16"/>
          <w:szCs w:val="16"/>
        </w:rPr>
        <w:softHyphen/>
        <w:t>цы и делали. Удары по аэродромам Ил-2 обыч</w:t>
      </w:r>
      <w:r w:rsidRPr="00D03F3E">
        <w:rPr>
          <w:rFonts w:ascii="Times New Roman" w:hAnsi="Times New Roman"/>
          <w:color w:val="000000" w:themeColor="text1"/>
          <w:sz w:val="16"/>
          <w:szCs w:val="16"/>
        </w:rPr>
        <w:softHyphen/>
        <w:t>но наносили под прикрытием истреби</w:t>
      </w:r>
      <w:r w:rsidRPr="00D03F3E">
        <w:rPr>
          <w:rFonts w:ascii="Times New Roman" w:hAnsi="Times New Roman"/>
          <w:color w:val="000000" w:themeColor="text1"/>
          <w:sz w:val="16"/>
          <w:szCs w:val="16"/>
        </w:rPr>
        <w:softHyphen/>
        <w:t>телей, и лишь в исключительных случа</w:t>
      </w:r>
      <w:r w:rsidRPr="00D03F3E">
        <w:rPr>
          <w:rFonts w:ascii="Times New Roman" w:hAnsi="Times New Roman"/>
          <w:color w:val="000000" w:themeColor="text1"/>
          <w:sz w:val="16"/>
          <w:szCs w:val="16"/>
        </w:rPr>
        <w:softHyphen/>
        <w:t>ях штурмовики могли действовать са</w:t>
      </w:r>
      <w:r w:rsidRPr="00D03F3E">
        <w:rPr>
          <w:rFonts w:ascii="Times New Roman" w:hAnsi="Times New Roman"/>
          <w:color w:val="000000" w:themeColor="text1"/>
          <w:sz w:val="16"/>
          <w:szCs w:val="16"/>
        </w:rPr>
        <w:softHyphen/>
        <w:t>мостоятельно. Достаточным считалось прикрытие из расчета 1:1, то есть один истребитель на один штурмовик, а в случае сильного противодействия ис</w:t>
      </w:r>
      <w:r w:rsidRPr="00D03F3E">
        <w:rPr>
          <w:rFonts w:ascii="Times New Roman" w:hAnsi="Times New Roman"/>
          <w:color w:val="000000" w:themeColor="text1"/>
          <w:sz w:val="16"/>
          <w:szCs w:val="16"/>
        </w:rPr>
        <w:softHyphen/>
        <w:t>требительной авиации противника — 1,5:1. Состав групп Ил-2 обуславливался удобством управления и маневриро</w:t>
      </w:r>
      <w:r w:rsidRPr="00D03F3E">
        <w:rPr>
          <w:rFonts w:ascii="Times New Roman" w:hAnsi="Times New Roman"/>
          <w:color w:val="000000" w:themeColor="text1"/>
          <w:sz w:val="16"/>
          <w:szCs w:val="16"/>
        </w:rPr>
        <w:softHyphen/>
        <w:t>вания на маршруте и над целью. Обыч</w:t>
      </w:r>
      <w:r w:rsidRPr="00D03F3E">
        <w:rPr>
          <w:rFonts w:ascii="Times New Roman" w:hAnsi="Times New Roman"/>
          <w:color w:val="000000" w:themeColor="text1"/>
          <w:sz w:val="16"/>
          <w:szCs w:val="16"/>
        </w:rPr>
        <w:softHyphen/>
        <w:t>но состав одной группы не превышал 8-1 2 самолетов - две четверки или ше</w:t>
      </w:r>
      <w:r w:rsidRPr="00D03F3E">
        <w:rPr>
          <w:rFonts w:ascii="Times New Roman" w:hAnsi="Times New Roman"/>
          <w:color w:val="000000" w:themeColor="text1"/>
          <w:sz w:val="16"/>
          <w:szCs w:val="16"/>
        </w:rPr>
        <w:softHyphen/>
        <w:t>стерки. Если для удара выделялся боль</w:t>
      </w:r>
      <w:r w:rsidRPr="00D03F3E">
        <w:rPr>
          <w:rFonts w:ascii="Times New Roman" w:hAnsi="Times New Roman"/>
          <w:color w:val="000000" w:themeColor="text1"/>
          <w:sz w:val="16"/>
          <w:szCs w:val="16"/>
        </w:rPr>
        <w:softHyphen/>
        <w:t>ший наряд сил, то группы эшелониро</w:t>
      </w:r>
      <w:r w:rsidRPr="00D03F3E">
        <w:rPr>
          <w:rFonts w:ascii="Times New Roman" w:hAnsi="Times New Roman"/>
          <w:color w:val="000000" w:themeColor="text1"/>
          <w:sz w:val="16"/>
          <w:szCs w:val="16"/>
        </w:rPr>
        <w:softHyphen/>
        <w:t>вались по времени. Исходный пункт маршрута для вы</w:t>
      </w:r>
      <w:r w:rsidRPr="00D03F3E">
        <w:rPr>
          <w:rFonts w:ascii="Times New Roman" w:hAnsi="Times New Roman"/>
          <w:color w:val="000000" w:themeColor="text1"/>
          <w:sz w:val="16"/>
          <w:szCs w:val="16"/>
        </w:rPr>
        <w:softHyphen/>
        <w:t>хода (разворота) на атакуемый аэро</w:t>
      </w:r>
      <w:r w:rsidRPr="00D03F3E">
        <w:rPr>
          <w:rFonts w:ascii="Times New Roman" w:hAnsi="Times New Roman"/>
          <w:color w:val="000000" w:themeColor="text1"/>
          <w:sz w:val="16"/>
          <w:szCs w:val="16"/>
        </w:rPr>
        <w:softHyphen/>
        <w:t>дром выбирался на удалении 6-12км от него. Для эффективного использо</w:t>
      </w:r>
      <w:r w:rsidRPr="00D03F3E">
        <w:rPr>
          <w:rFonts w:ascii="Times New Roman" w:hAnsi="Times New Roman"/>
          <w:color w:val="000000" w:themeColor="text1"/>
          <w:sz w:val="16"/>
          <w:szCs w:val="16"/>
        </w:rPr>
        <w:softHyphen/>
        <w:t>вания всей мощи огня штурмовиков на</w:t>
      </w:r>
      <w:r w:rsidRPr="00D03F3E">
        <w:rPr>
          <w:rFonts w:ascii="Times New Roman" w:hAnsi="Times New Roman"/>
          <w:color w:val="000000" w:themeColor="text1"/>
          <w:sz w:val="16"/>
          <w:szCs w:val="16"/>
        </w:rPr>
        <w:softHyphen/>
        <w:t>правление атак выбиралось с таким расчетом, чтобы оно проходило через несколько створных ориентиров. Обыч</w:t>
      </w:r>
      <w:r w:rsidRPr="00D03F3E">
        <w:rPr>
          <w:rFonts w:ascii="Times New Roman" w:hAnsi="Times New Roman"/>
          <w:color w:val="000000" w:themeColor="text1"/>
          <w:sz w:val="16"/>
          <w:szCs w:val="16"/>
        </w:rPr>
        <w:softHyphen/>
        <w:t>но группа Ил-2 подходила к цели в бо</w:t>
      </w:r>
      <w:r w:rsidRPr="00D03F3E">
        <w:rPr>
          <w:rFonts w:ascii="Times New Roman" w:hAnsi="Times New Roman"/>
          <w:color w:val="000000" w:themeColor="text1"/>
          <w:sz w:val="16"/>
          <w:szCs w:val="16"/>
        </w:rPr>
        <w:softHyphen/>
        <w:t>евом порядке клин или пеленг, на вы</w:t>
      </w:r>
      <w:r w:rsidRPr="00D03F3E">
        <w:rPr>
          <w:rFonts w:ascii="Times New Roman" w:hAnsi="Times New Roman"/>
          <w:color w:val="000000" w:themeColor="text1"/>
          <w:sz w:val="16"/>
          <w:szCs w:val="16"/>
        </w:rPr>
        <w:softHyphen/>
        <w:t>соте 800-1 100м выполняла противозе</w:t>
      </w:r>
      <w:r w:rsidRPr="00D03F3E">
        <w:rPr>
          <w:rFonts w:ascii="Times New Roman" w:hAnsi="Times New Roman"/>
          <w:color w:val="000000" w:themeColor="text1"/>
          <w:sz w:val="16"/>
          <w:szCs w:val="16"/>
        </w:rPr>
        <w:softHyphen/>
        <w:t>нитный маневр, выдерживая средний курс к точкам начала пикирования или разворота для ввода в пикирование. Пройдя "точку расхождения", группы перестраивались в боевой порядок для атаки целей на аэродроме - пеленг, обратный намеченному направлению разворота группы над целью, или фронт пар. Каждая пара атаковала цели на аэродроме самостоятельно. Для этого экипажам назначались конкретные цели или сектор на аэродроме, в ко</w:t>
      </w:r>
      <w:r w:rsidRPr="00D03F3E">
        <w:rPr>
          <w:rFonts w:ascii="Times New Roman" w:hAnsi="Times New Roman"/>
          <w:color w:val="000000" w:themeColor="text1"/>
          <w:sz w:val="16"/>
          <w:szCs w:val="16"/>
        </w:rPr>
        <w:softHyphen/>
        <w:t>тором они уничтожали самолеты. Удары штурмовиков Ил-2 по само</w:t>
      </w:r>
      <w:r w:rsidRPr="00D03F3E">
        <w:rPr>
          <w:rFonts w:ascii="Times New Roman" w:hAnsi="Times New Roman"/>
          <w:color w:val="000000" w:themeColor="text1"/>
          <w:sz w:val="16"/>
          <w:szCs w:val="16"/>
        </w:rPr>
        <w:softHyphen/>
        <w:t>летам и объектам на аэродромах про</w:t>
      </w:r>
      <w:r w:rsidRPr="00D03F3E">
        <w:rPr>
          <w:rFonts w:ascii="Times New Roman" w:hAnsi="Times New Roman"/>
          <w:color w:val="000000" w:themeColor="text1"/>
          <w:sz w:val="16"/>
          <w:szCs w:val="16"/>
        </w:rPr>
        <w:softHyphen/>
        <w:t>изводились с крутого планирования (25-30°) с высот 600-800 м или с бреюще</w:t>
      </w:r>
      <w:r w:rsidRPr="00D03F3E">
        <w:rPr>
          <w:rFonts w:ascii="Times New Roman" w:hAnsi="Times New Roman"/>
          <w:color w:val="000000" w:themeColor="text1"/>
          <w:sz w:val="16"/>
          <w:szCs w:val="16"/>
        </w:rPr>
        <w:softHyphen/>
        <w:t>го полета с последующим выскакива-нием на высоту 150-200 м для атаки цели. При этом учитывалась последова</w:t>
      </w:r>
      <w:r w:rsidRPr="00D03F3E">
        <w:rPr>
          <w:rFonts w:ascii="Times New Roman" w:hAnsi="Times New Roman"/>
          <w:color w:val="000000" w:themeColor="text1"/>
          <w:sz w:val="16"/>
          <w:szCs w:val="16"/>
        </w:rPr>
        <w:softHyphen/>
        <w:t>тельность использования вооружения Ил-2: сначала вели пушечно-пулемет-ный огонь, перед выходом из пикиро</w:t>
      </w:r>
      <w:r w:rsidRPr="00D03F3E">
        <w:rPr>
          <w:rFonts w:ascii="Times New Roman" w:hAnsi="Times New Roman"/>
          <w:color w:val="000000" w:themeColor="text1"/>
          <w:sz w:val="16"/>
          <w:szCs w:val="16"/>
        </w:rPr>
        <w:softHyphen/>
        <w:t>вания по той же цели сбрасывались бомбы, а после выхода из пикирова</w:t>
      </w:r>
      <w:r w:rsidRPr="00D03F3E">
        <w:rPr>
          <w:rFonts w:ascii="Times New Roman" w:hAnsi="Times New Roman"/>
          <w:color w:val="000000" w:themeColor="text1"/>
          <w:sz w:val="16"/>
          <w:szCs w:val="16"/>
        </w:rPr>
        <w:softHyphen/>
        <w:t>ния огнем из пушек, пулеметов и РСов обстреливались другие цели в направ</w:t>
      </w:r>
      <w:r w:rsidRPr="00D03F3E">
        <w:rPr>
          <w:rFonts w:ascii="Times New Roman" w:hAnsi="Times New Roman"/>
          <w:color w:val="000000" w:themeColor="text1"/>
          <w:sz w:val="16"/>
          <w:szCs w:val="16"/>
        </w:rPr>
        <w:softHyphen/>
        <w:t>лении атаки. При повторных атаках цели обстреливались РСами и пулемет-но-пушечным огнем. Для уничтожения самолетов на аэро</w:t>
      </w:r>
      <w:r w:rsidRPr="00D03F3E">
        <w:rPr>
          <w:rFonts w:ascii="Times New Roman" w:hAnsi="Times New Roman"/>
          <w:color w:val="000000" w:themeColor="text1"/>
          <w:sz w:val="16"/>
          <w:szCs w:val="16"/>
        </w:rPr>
        <w:softHyphen/>
        <w:t>дромах применялись осколочные авиа</w:t>
      </w:r>
      <w:r w:rsidRPr="00D03F3E">
        <w:rPr>
          <w:rFonts w:ascii="Times New Roman" w:hAnsi="Times New Roman"/>
          <w:color w:val="000000" w:themeColor="text1"/>
          <w:sz w:val="16"/>
          <w:szCs w:val="16"/>
        </w:rPr>
        <w:softHyphen/>
        <w:t>бомбы калибра от 1 0 до 50 кт, пушеч-но-пулеметный огонь, реактивные сна</w:t>
      </w:r>
      <w:r w:rsidRPr="00D03F3E">
        <w:rPr>
          <w:rFonts w:ascii="Times New Roman" w:hAnsi="Times New Roman"/>
          <w:color w:val="000000" w:themeColor="text1"/>
          <w:sz w:val="16"/>
          <w:szCs w:val="16"/>
        </w:rPr>
        <w:softHyphen/>
        <w:t>ряды и зажигательные средства. Кро</w:t>
      </w:r>
      <w:r w:rsidRPr="00D03F3E">
        <w:rPr>
          <w:rFonts w:ascii="Times New Roman" w:hAnsi="Times New Roman"/>
          <w:color w:val="000000" w:themeColor="text1"/>
          <w:sz w:val="16"/>
          <w:szCs w:val="16"/>
        </w:rPr>
        <w:softHyphen/>
        <w:t>ме самолетов, основными объектами действий для штурмовиков на аэродро</w:t>
      </w:r>
      <w:r w:rsidRPr="00D03F3E">
        <w:rPr>
          <w:rFonts w:ascii="Times New Roman" w:hAnsi="Times New Roman"/>
          <w:color w:val="000000" w:themeColor="text1"/>
          <w:sz w:val="16"/>
          <w:szCs w:val="16"/>
        </w:rPr>
        <w:softHyphen/>
        <w:t>мах являлись склады горючего, боеп</w:t>
      </w:r>
      <w:r w:rsidRPr="00D03F3E">
        <w:rPr>
          <w:rFonts w:ascii="Times New Roman" w:hAnsi="Times New Roman"/>
          <w:color w:val="000000" w:themeColor="text1"/>
          <w:sz w:val="16"/>
          <w:szCs w:val="16"/>
        </w:rPr>
        <w:softHyphen/>
        <w:t>рипасов и заправочные средства. Склады уничтожались фугасными и за</w:t>
      </w:r>
      <w:r w:rsidRPr="00D03F3E">
        <w:rPr>
          <w:rFonts w:ascii="Times New Roman" w:hAnsi="Times New Roman"/>
          <w:color w:val="000000" w:themeColor="text1"/>
          <w:sz w:val="16"/>
          <w:szCs w:val="16"/>
        </w:rPr>
        <w:softHyphen/>
        <w:t>жигательными авиабомбами средних калибров, а заправочные средства -огнем пушек, пулеметов и РС. При действиях Ил-2 по аэродромам оптимальной считалась бомбовая за</w:t>
      </w:r>
      <w:r w:rsidRPr="00D03F3E">
        <w:rPr>
          <w:rFonts w:ascii="Times New Roman" w:hAnsi="Times New Roman"/>
          <w:color w:val="000000" w:themeColor="text1"/>
          <w:sz w:val="16"/>
          <w:szCs w:val="16"/>
        </w:rPr>
        <w:softHyphen/>
        <w:t>рядка, состоящая (по весу) из 85% ос</w:t>
      </w:r>
      <w:r w:rsidRPr="00D03F3E">
        <w:rPr>
          <w:rFonts w:ascii="Times New Roman" w:hAnsi="Times New Roman"/>
          <w:color w:val="000000" w:themeColor="text1"/>
          <w:sz w:val="16"/>
          <w:szCs w:val="16"/>
        </w:rPr>
        <w:softHyphen/>
        <w:t>колочных и зажигательных авиабомб и 15-20% фугасных бомб. При этом рас</w:t>
      </w:r>
      <w:r w:rsidRPr="00D03F3E">
        <w:rPr>
          <w:rFonts w:ascii="Times New Roman" w:hAnsi="Times New Roman"/>
          <w:color w:val="000000" w:themeColor="text1"/>
          <w:sz w:val="16"/>
          <w:szCs w:val="16"/>
        </w:rPr>
        <w:softHyphen/>
        <w:t>пределение бомбовой нагрузки и це</w:t>
      </w:r>
      <w:r w:rsidRPr="00D03F3E">
        <w:rPr>
          <w:rFonts w:ascii="Times New Roman" w:hAnsi="Times New Roman"/>
          <w:color w:val="000000" w:themeColor="text1"/>
          <w:sz w:val="16"/>
          <w:szCs w:val="16"/>
        </w:rPr>
        <w:softHyphen/>
        <w:t>лей на аэродроме между экипажами в одной группе могло быть следующим. Например, пара во главе с веду</w:t>
      </w:r>
      <w:r w:rsidRPr="00D03F3E">
        <w:rPr>
          <w:rFonts w:ascii="Times New Roman" w:hAnsi="Times New Roman"/>
          <w:color w:val="000000" w:themeColor="text1"/>
          <w:sz w:val="16"/>
          <w:szCs w:val="16"/>
        </w:rPr>
        <w:softHyphen/>
        <w:t>щим первой шестерки Ил-2 имела сво</w:t>
      </w:r>
      <w:r w:rsidRPr="00D03F3E">
        <w:rPr>
          <w:rFonts w:ascii="Times New Roman" w:hAnsi="Times New Roman"/>
          <w:color w:val="000000" w:themeColor="text1"/>
          <w:sz w:val="16"/>
          <w:szCs w:val="16"/>
        </w:rPr>
        <w:softHyphen/>
        <w:t>ей задачей уничтожение складов бо</w:t>
      </w:r>
      <w:r w:rsidRPr="00D03F3E">
        <w:rPr>
          <w:rFonts w:ascii="Times New Roman" w:hAnsi="Times New Roman"/>
          <w:color w:val="000000" w:themeColor="text1"/>
          <w:sz w:val="16"/>
          <w:szCs w:val="16"/>
        </w:rPr>
        <w:softHyphen/>
        <w:t>еприпасов и горюче-смазочных мате</w:t>
      </w:r>
      <w:r w:rsidRPr="00D03F3E">
        <w:rPr>
          <w:rFonts w:ascii="Times New Roman" w:hAnsi="Times New Roman"/>
          <w:color w:val="000000" w:themeColor="text1"/>
          <w:sz w:val="16"/>
          <w:szCs w:val="16"/>
        </w:rPr>
        <w:softHyphen/>
        <w:t>риалов, другая пара - выведение из строя взлетно-посадочной полосы, и третья пара — уничтожение самолетов на аэродроме. Соответственно этому бомбовая загрузка ведущей пары со</w:t>
      </w:r>
      <w:r w:rsidRPr="00D03F3E">
        <w:rPr>
          <w:rFonts w:ascii="Times New Roman" w:hAnsi="Times New Roman"/>
          <w:color w:val="000000" w:themeColor="text1"/>
          <w:sz w:val="16"/>
          <w:szCs w:val="16"/>
        </w:rPr>
        <w:softHyphen/>
        <w:t>стояла из 4 фугасных авиабомб типа ФАБ-100 или 6 бомб типа ФАБ-50 на каждый самолет, а загрузка ведомых пар - из 1 2 осколочных авиабомб типа АО-25 или 20 АО-15. Вторая шестерка могла иметь либо такое же распределение целей между парами в группе и бомбовую зарядку, либо снаряжаться исключительно ос</w:t>
      </w:r>
      <w:r w:rsidRPr="00D03F3E">
        <w:rPr>
          <w:rFonts w:ascii="Times New Roman" w:hAnsi="Times New Roman"/>
          <w:color w:val="000000" w:themeColor="text1"/>
          <w:sz w:val="16"/>
          <w:szCs w:val="16"/>
        </w:rPr>
        <w:softHyphen/>
        <w:t>колочными авиабомбами и в этом слу</w:t>
      </w:r>
      <w:r w:rsidRPr="00D03F3E">
        <w:rPr>
          <w:rFonts w:ascii="Times New Roman" w:hAnsi="Times New Roman"/>
          <w:color w:val="000000" w:themeColor="text1"/>
          <w:sz w:val="16"/>
          <w:szCs w:val="16"/>
        </w:rPr>
        <w:softHyphen/>
        <w:t>чае действовать только по матчасти на аэродроме. Количество заходов по целям опре</w:t>
      </w:r>
      <w:r w:rsidRPr="00D03F3E">
        <w:rPr>
          <w:rFonts w:ascii="Times New Roman" w:hAnsi="Times New Roman"/>
          <w:color w:val="000000" w:themeColor="text1"/>
          <w:sz w:val="16"/>
          <w:szCs w:val="16"/>
        </w:rPr>
        <w:softHyphen/>
        <w:t>делялось степенью защищенности аэродрома средствами ПВО. Обычно ПВО немецкого аэродрома состояла из 2-4 батарей среднекалиберной ар</w:t>
      </w:r>
      <w:r w:rsidRPr="00D03F3E">
        <w:rPr>
          <w:rFonts w:ascii="Times New Roman" w:hAnsi="Times New Roman"/>
          <w:color w:val="000000" w:themeColor="text1"/>
          <w:sz w:val="16"/>
          <w:szCs w:val="16"/>
        </w:rPr>
        <w:softHyphen/>
        <w:t>тиллерии (каждая батарея имела 4x88-мм и 2х20-мм зенитных орудия), 6-8 ба</w:t>
      </w:r>
      <w:r w:rsidRPr="00D03F3E">
        <w:rPr>
          <w:rFonts w:ascii="Times New Roman" w:hAnsi="Times New Roman"/>
          <w:color w:val="000000" w:themeColor="text1"/>
          <w:sz w:val="16"/>
          <w:szCs w:val="16"/>
        </w:rPr>
        <w:softHyphen/>
        <w:t>тарей малокалиберной зенитной ар</w:t>
      </w:r>
      <w:r w:rsidRPr="00D03F3E">
        <w:rPr>
          <w:rFonts w:ascii="Times New Roman" w:hAnsi="Times New Roman"/>
          <w:color w:val="000000" w:themeColor="text1"/>
          <w:sz w:val="16"/>
          <w:szCs w:val="16"/>
        </w:rPr>
        <w:softHyphen/>
        <w:t>тиллерии (по 9-12 20-мм или 37-мм автоматов каждая), до 10 крупнокали</w:t>
      </w:r>
      <w:r w:rsidRPr="00D03F3E">
        <w:rPr>
          <w:rFonts w:ascii="Times New Roman" w:hAnsi="Times New Roman"/>
          <w:color w:val="000000" w:themeColor="text1"/>
          <w:sz w:val="16"/>
          <w:szCs w:val="16"/>
        </w:rPr>
        <w:softHyphen/>
        <w:t>берных зенитно-пулеметных установок, трех звукоулавливателей и двух про</w:t>
      </w:r>
      <w:r w:rsidRPr="00D03F3E">
        <w:rPr>
          <w:rFonts w:ascii="Times New Roman" w:hAnsi="Times New Roman"/>
          <w:color w:val="000000" w:themeColor="text1"/>
          <w:sz w:val="16"/>
          <w:szCs w:val="16"/>
        </w:rPr>
        <w:softHyphen/>
        <w:t>жекторов. Все огневые средства ПВО немцы тщательно маскировали (можно ска</w:t>
      </w:r>
      <w:r w:rsidRPr="00D03F3E">
        <w:rPr>
          <w:rFonts w:ascii="Times New Roman" w:hAnsi="Times New Roman"/>
          <w:color w:val="000000" w:themeColor="text1"/>
          <w:sz w:val="16"/>
          <w:szCs w:val="16"/>
        </w:rPr>
        <w:softHyphen/>
        <w:t>зать, образцово) и располагали таким образом, чтобы прикрыть места сто</w:t>
      </w:r>
      <w:r w:rsidRPr="00D03F3E">
        <w:rPr>
          <w:rFonts w:ascii="Times New Roman" w:hAnsi="Times New Roman"/>
          <w:color w:val="000000" w:themeColor="text1"/>
          <w:sz w:val="16"/>
          <w:szCs w:val="16"/>
        </w:rPr>
        <w:softHyphen/>
        <w:t>янок самолетов и в то же время иметь возможность вести огонь в любом на</w:t>
      </w:r>
      <w:r w:rsidRPr="00D03F3E">
        <w:rPr>
          <w:rFonts w:ascii="Times New Roman" w:hAnsi="Times New Roman"/>
          <w:color w:val="000000" w:themeColor="text1"/>
          <w:sz w:val="16"/>
          <w:szCs w:val="16"/>
        </w:rPr>
        <w:softHyphen/>
        <w:t>правлении. Малокалиберная зенитная артиллерия (МЗА) и крупнокалиберные зенитные пулеметы (ЗПУ) ставились обычно "в линеечку", 5-6 установок срасстоянием по 20-25м между ними. Как следует из документов, на на</w:t>
      </w:r>
      <w:r w:rsidRPr="00D03F3E">
        <w:rPr>
          <w:rFonts w:ascii="Times New Roman" w:hAnsi="Times New Roman"/>
          <w:color w:val="000000" w:themeColor="text1"/>
          <w:sz w:val="16"/>
          <w:szCs w:val="16"/>
        </w:rPr>
        <w:softHyphen/>
        <w:t>правлениях вероятного захода штурмо</w:t>
      </w:r>
      <w:r w:rsidRPr="00D03F3E">
        <w:rPr>
          <w:rFonts w:ascii="Times New Roman" w:hAnsi="Times New Roman"/>
          <w:color w:val="000000" w:themeColor="text1"/>
          <w:sz w:val="16"/>
          <w:szCs w:val="16"/>
        </w:rPr>
        <w:softHyphen/>
        <w:t>виков в атаку и выхода из атаки при</w:t>
      </w:r>
      <w:r w:rsidRPr="00D03F3E">
        <w:rPr>
          <w:rFonts w:ascii="Times New Roman" w:hAnsi="Times New Roman"/>
          <w:color w:val="000000" w:themeColor="text1"/>
          <w:sz w:val="16"/>
          <w:szCs w:val="16"/>
        </w:rPr>
        <w:softHyphen/>
        <w:t>стреливались целые квадраты по основ</w:t>
      </w:r>
      <w:r w:rsidRPr="00D03F3E">
        <w:rPr>
          <w:rFonts w:ascii="Times New Roman" w:hAnsi="Times New Roman"/>
          <w:color w:val="000000" w:themeColor="text1"/>
          <w:sz w:val="16"/>
          <w:szCs w:val="16"/>
        </w:rPr>
        <w:softHyphen/>
        <w:t>ным высотам боевого применения Ил-2. При этом плотность зенитного огня, не считая орудий среднего калибра и зенитно-пулеметных установок, достига</w:t>
      </w:r>
      <w:r w:rsidRPr="00D03F3E">
        <w:rPr>
          <w:rFonts w:ascii="Times New Roman" w:hAnsi="Times New Roman"/>
          <w:color w:val="000000" w:themeColor="text1"/>
          <w:sz w:val="16"/>
          <w:szCs w:val="16"/>
        </w:rPr>
        <w:softHyphen/>
        <w:t>ла трех-пятислойного огня. Трассы МЗА "сходились" на высотах 1 50-200м, 300-400м, 500-600м, 800-900м и далее. Круп</w:t>
      </w:r>
      <w:r w:rsidRPr="00D03F3E">
        <w:rPr>
          <w:rFonts w:ascii="Times New Roman" w:hAnsi="Times New Roman"/>
          <w:color w:val="000000" w:themeColor="text1"/>
          <w:sz w:val="16"/>
          <w:szCs w:val="16"/>
        </w:rPr>
        <w:softHyphen/>
        <w:t>нокалиберные зенитные пулеметы "ра</w:t>
      </w:r>
      <w:r w:rsidRPr="00D03F3E">
        <w:rPr>
          <w:rFonts w:ascii="Times New Roman" w:hAnsi="Times New Roman"/>
          <w:color w:val="000000" w:themeColor="text1"/>
          <w:sz w:val="16"/>
          <w:szCs w:val="16"/>
        </w:rPr>
        <w:softHyphen/>
        <w:t>ботали" на высотах от предельно малых до 500-600м. Интенсивный зенитный огонь на по</w:t>
      </w:r>
      <w:r w:rsidRPr="00D03F3E">
        <w:rPr>
          <w:rFonts w:ascii="Times New Roman" w:hAnsi="Times New Roman"/>
          <w:color w:val="000000" w:themeColor="text1"/>
          <w:sz w:val="16"/>
          <w:szCs w:val="16"/>
        </w:rPr>
        <w:softHyphen/>
        <w:t>ражение (всеми стволами) открывался, как правило, только тогда, когда штурмовики "втягивались" всей группой или ее боль</w:t>
      </w:r>
      <w:r w:rsidRPr="00D03F3E">
        <w:rPr>
          <w:rFonts w:ascii="Times New Roman" w:hAnsi="Times New Roman"/>
          <w:color w:val="000000" w:themeColor="text1"/>
          <w:sz w:val="16"/>
          <w:szCs w:val="16"/>
        </w:rPr>
        <w:softHyphen/>
        <w:t>шей частью в пристрелянные квадра</w:t>
      </w:r>
      <w:r w:rsidRPr="00D03F3E">
        <w:rPr>
          <w:rFonts w:ascii="Times New Roman" w:hAnsi="Times New Roman"/>
          <w:color w:val="000000" w:themeColor="text1"/>
          <w:sz w:val="16"/>
          <w:szCs w:val="16"/>
        </w:rPr>
        <w:softHyphen/>
        <w:t>ты и выходили на боевой курс. А до этого момента немецкие зенитчики вы</w:t>
      </w:r>
      <w:r w:rsidRPr="00D03F3E">
        <w:rPr>
          <w:rFonts w:ascii="Times New Roman" w:hAnsi="Times New Roman"/>
          <w:color w:val="000000" w:themeColor="text1"/>
          <w:sz w:val="16"/>
          <w:szCs w:val="16"/>
        </w:rPr>
        <w:softHyphen/>
        <w:t>жидали, ничем не проявляя себя. Обна</w:t>
      </w:r>
      <w:r w:rsidRPr="00D03F3E">
        <w:rPr>
          <w:rFonts w:ascii="Times New Roman" w:hAnsi="Times New Roman"/>
          <w:color w:val="000000" w:themeColor="text1"/>
          <w:sz w:val="16"/>
          <w:szCs w:val="16"/>
        </w:rPr>
        <w:softHyphen/>
        <w:t>ружить огневые точки было очень слож</w:t>
      </w:r>
      <w:r w:rsidRPr="00D03F3E">
        <w:rPr>
          <w:rFonts w:ascii="Times New Roman" w:hAnsi="Times New Roman"/>
          <w:color w:val="000000" w:themeColor="text1"/>
          <w:sz w:val="16"/>
          <w:szCs w:val="16"/>
        </w:rPr>
        <w:softHyphen/>
        <w:t>но. Помимо зенитных батарей аэро</w:t>
      </w:r>
      <w:r w:rsidRPr="00D03F3E">
        <w:rPr>
          <w:rFonts w:ascii="Times New Roman" w:hAnsi="Times New Roman"/>
          <w:color w:val="000000" w:themeColor="text1"/>
          <w:sz w:val="16"/>
          <w:szCs w:val="16"/>
        </w:rPr>
        <w:softHyphen/>
        <w:t>дромной зоны, штурмовиков "встреча</w:t>
      </w:r>
      <w:r w:rsidRPr="00D03F3E">
        <w:rPr>
          <w:rFonts w:ascii="Times New Roman" w:hAnsi="Times New Roman"/>
          <w:color w:val="000000" w:themeColor="text1"/>
          <w:sz w:val="16"/>
          <w:szCs w:val="16"/>
        </w:rPr>
        <w:softHyphen/>
        <w:t>ли" батареи 2-й зоны ПВО, которые располагались на удалении 6-8км от границ аэродрома. В систему ПВО аэродрома в обязательном порядке включались зенитные батареи, прикры</w:t>
      </w:r>
      <w:r w:rsidRPr="00D03F3E">
        <w:rPr>
          <w:rFonts w:ascii="Times New Roman" w:hAnsi="Times New Roman"/>
          <w:color w:val="000000" w:themeColor="text1"/>
          <w:sz w:val="16"/>
          <w:szCs w:val="16"/>
        </w:rPr>
        <w:softHyphen/>
        <w:t>вающие населенные пункты или ж.д. станции, около которых обычно рас</w:t>
      </w:r>
      <w:r w:rsidRPr="00D03F3E">
        <w:rPr>
          <w:rFonts w:ascii="Times New Roman" w:hAnsi="Times New Roman"/>
          <w:color w:val="000000" w:themeColor="text1"/>
          <w:sz w:val="16"/>
          <w:szCs w:val="16"/>
        </w:rPr>
        <w:softHyphen/>
        <w:t>полагались аэродромы. То есть зенит</w:t>
      </w:r>
      <w:r w:rsidRPr="00D03F3E">
        <w:rPr>
          <w:rFonts w:ascii="Times New Roman" w:hAnsi="Times New Roman"/>
          <w:color w:val="000000" w:themeColor="text1"/>
          <w:sz w:val="16"/>
          <w:szCs w:val="16"/>
        </w:rPr>
        <w:softHyphen/>
        <w:t>ная артиллерия противника начинала воздействовать на штурмовики уже за 8-1 2км до подхода к цели. Наиболее опасными для Ил-2 явля</w:t>
      </w:r>
      <w:r w:rsidRPr="00D03F3E">
        <w:rPr>
          <w:rFonts w:ascii="Times New Roman" w:hAnsi="Times New Roman"/>
          <w:color w:val="000000" w:themeColor="text1"/>
          <w:sz w:val="16"/>
          <w:szCs w:val="16"/>
        </w:rPr>
        <w:softHyphen/>
        <w:t>лись зенитные автоматы калибра 20-37 мм и крупнокалиберные пулеметы (13 мм). Поражение огнем среднека</w:t>
      </w:r>
      <w:r w:rsidRPr="00D03F3E">
        <w:rPr>
          <w:rFonts w:ascii="Times New Roman" w:hAnsi="Times New Roman"/>
          <w:color w:val="000000" w:themeColor="text1"/>
          <w:sz w:val="16"/>
          <w:szCs w:val="16"/>
        </w:rPr>
        <w:softHyphen/>
        <w:t>либерной артиллерии обеспечивалось лишь осколками или при прямом по</w:t>
      </w:r>
      <w:r w:rsidRPr="00D03F3E">
        <w:rPr>
          <w:rFonts w:ascii="Times New Roman" w:hAnsi="Times New Roman"/>
          <w:color w:val="000000" w:themeColor="text1"/>
          <w:sz w:val="16"/>
          <w:szCs w:val="16"/>
        </w:rPr>
        <w:softHyphen/>
        <w:t>падании, но такие случаи были редки</w:t>
      </w:r>
      <w:r w:rsidRPr="00D03F3E">
        <w:rPr>
          <w:rFonts w:ascii="Times New Roman" w:hAnsi="Times New Roman"/>
          <w:color w:val="000000" w:themeColor="text1"/>
          <w:sz w:val="16"/>
          <w:szCs w:val="16"/>
        </w:rPr>
        <w:softHyphen/>
        <w:t>ми. Боевой опыт и полигонные испыта</w:t>
      </w:r>
      <w:r w:rsidRPr="00D03F3E">
        <w:rPr>
          <w:rFonts w:ascii="Times New Roman" w:hAnsi="Times New Roman"/>
          <w:color w:val="000000" w:themeColor="text1"/>
          <w:sz w:val="16"/>
          <w:szCs w:val="16"/>
        </w:rPr>
        <w:softHyphen/>
        <w:t>ния показали, что от огня МЗА броня Ил-2 спасала лишь частично. Для по</w:t>
      </w:r>
      <w:r w:rsidRPr="00D03F3E">
        <w:rPr>
          <w:rFonts w:ascii="Times New Roman" w:hAnsi="Times New Roman"/>
          <w:color w:val="000000" w:themeColor="text1"/>
          <w:sz w:val="16"/>
          <w:szCs w:val="16"/>
        </w:rPr>
        <w:softHyphen/>
        <w:t>ражения Ил-2 было достаточно в сред</w:t>
      </w:r>
      <w:r w:rsidRPr="00D03F3E">
        <w:rPr>
          <w:rFonts w:ascii="Times New Roman" w:hAnsi="Times New Roman"/>
          <w:color w:val="000000" w:themeColor="text1"/>
          <w:sz w:val="16"/>
          <w:szCs w:val="16"/>
        </w:rPr>
        <w:softHyphen/>
        <w:t>нем 1-2 попаданий снарядов калибра 37 мм или 3-4 попаданий 20-мм сна</w:t>
      </w:r>
      <w:r w:rsidRPr="00D03F3E">
        <w:rPr>
          <w:rFonts w:ascii="Times New Roman" w:hAnsi="Times New Roman"/>
          <w:color w:val="000000" w:themeColor="text1"/>
          <w:sz w:val="16"/>
          <w:szCs w:val="16"/>
        </w:rPr>
        <w:softHyphen/>
        <w:t>рядов. Крупнокалиберные пулеметы были "послабее" зенитных автоматов, но их скорострельность была значительно выше, а бронебойные пули крупного калибра по бронепробиваемости были даже лучше 20-мм снарядов. Основными способами ведения огня немецкой МЗА по самолетам являлась сопроводительная стрельба (основной способ) и стрельба "завесой". "Заве</w:t>
      </w:r>
      <w:r w:rsidRPr="00D03F3E">
        <w:rPr>
          <w:rFonts w:ascii="Times New Roman" w:hAnsi="Times New Roman"/>
          <w:color w:val="000000" w:themeColor="text1"/>
          <w:sz w:val="16"/>
          <w:szCs w:val="16"/>
        </w:rPr>
        <w:softHyphen/>
        <w:t>са" применялась, как правило, по са</w:t>
      </w:r>
      <w:r w:rsidRPr="00D03F3E">
        <w:rPr>
          <w:rFonts w:ascii="Times New Roman" w:hAnsi="Times New Roman"/>
          <w:color w:val="000000" w:themeColor="text1"/>
          <w:sz w:val="16"/>
          <w:szCs w:val="16"/>
        </w:rPr>
        <w:softHyphen/>
        <w:t>молетам, пикирующим на объекты, уда</w:t>
      </w:r>
      <w:r w:rsidRPr="00D03F3E">
        <w:rPr>
          <w:rFonts w:ascii="Times New Roman" w:hAnsi="Times New Roman"/>
          <w:color w:val="000000" w:themeColor="text1"/>
          <w:sz w:val="16"/>
          <w:szCs w:val="16"/>
        </w:rPr>
        <w:softHyphen/>
        <w:t>ленные от места расположения зенит</w:t>
      </w:r>
      <w:r w:rsidRPr="00D03F3E">
        <w:rPr>
          <w:rFonts w:ascii="Times New Roman" w:hAnsi="Times New Roman"/>
          <w:color w:val="000000" w:themeColor="text1"/>
          <w:sz w:val="16"/>
          <w:szCs w:val="16"/>
        </w:rPr>
        <w:softHyphen/>
        <w:t>ной установки, а также в случае боль</w:t>
      </w:r>
      <w:r w:rsidRPr="00D03F3E">
        <w:rPr>
          <w:rFonts w:ascii="Times New Roman" w:hAnsi="Times New Roman"/>
          <w:color w:val="000000" w:themeColor="text1"/>
          <w:sz w:val="16"/>
          <w:szCs w:val="16"/>
        </w:rPr>
        <w:softHyphen/>
        <w:t>ших угловых скоростей цели или сла</w:t>
      </w:r>
      <w:r w:rsidRPr="00D03F3E">
        <w:rPr>
          <w:rFonts w:ascii="Times New Roman" w:hAnsi="Times New Roman"/>
          <w:color w:val="000000" w:themeColor="text1"/>
          <w:sz w:val="16"/>
          <w:szCs w:val="16"/>
        </w:rPr>
        <w:softHyphen/>
        <w:t>бой ее видимости (дымка, сумерки, ту</w:t>
      </w:r>
      <w:r w:rsidRPr="00D03F3E">
        <w:rPr>
          <w:rFonts w:ascii="Times New Roman" w:hAnsi="Times New Roman"/>
          <w:color w:val="000000" w:themeColor="text1"/>
          <w:sz w:val="16"/>
          <w:szCs w:val="16"/>
        </w:rPr>
        <w:softHyphen/>
        <w:t>ман и т.д.), когда затрудняется непре</w:t>
      </w:r>
      <w:r w:rsidRPr="00D03F3E">
        <w:rPr>
          <w:rFonts w:ascii="Times New Roman" w:hAnsi="Times New Roman"/>
          <w:color w:val="000000" w:themeColor="text1"/>
          <w:sz w:val="16"/>
          <w:szCs w:val="16"/>
        </w:rPr>
        <w:softHyphen/>
        <w:t>рывная наводка по цели. При стрельбе на дальности свыше 1000м огонь велся короткими очере</w:t>
      </w:r>
      <w:r w:rsidRPr="00D03F3E">
        <w:rPr>
          <w:rFonts w:ascii="Times New Roman" w:hAnsi="Times New Roman"/>
          <w:color w:val="000000" w:themeColor="text1"/>
          <w:sz w:val="16"/>
          <w:szCs w:val="16"/>
        </w:rPr>
        <w:softHyphen/>
        <w:t>дями, на дальности менее 1000м — по 6-10 выстрелов, а на дальности до 600м - непрерывной очередью (в этом случае наводчик прицелом не пользо</w:t>
      </w:r>
      <w:r w:rsidRPr="00D03F3E">
        <w:rPr>
          <w:rFonts w:ascii="Times New Roman" w:hAnsi="Times New Roman"/>
          <w:color w:val="000000" w:themeColor="text1"/>
          <w:sz w:val="16"/>
          <w:szCs w:val="16"/>
        </w:rPr>
        <w:softHyphen/>
        <w:t>вался, а положение ствола изменял по наблюдению трассы, добиваясь совме</w:t>
      </w:r>
      <w:r w:rsidRPr="00D03F3E">
        <w:rPr>
          <w:rFonts w:ascii="Times New Roman" w:hAnsi="Times New Roman"/>
          <w:color w:val="000000" w:themeColor="text1"/>
          <w:sz w:val="16"/>
          <w:szCs w:val="16"/>
        </w:rPr>
        <w:softHyphen/>
        <w:t>щения трасс с целью). Практика показала, что ошибки при стрельбе по маневрирующему штур</w:t>
      </w:r>
      <w:r w:rsidRPr="00D03F3E">
        <w:rPr>
          <w:rFonts w:ascii="Times New Roman" w:hAnsi="Times New Roman"/>
          <w:color w:val="000000" w:themeColor="text1"/>
          <w:sz w:val="16"/>
          <w:szCs w:val="16"/>
        </w:rPr>
        <w:softHyphen/>
        <w:t>мовику составляли в среднем 5°, что на дистанции 2000м давало вертикаль</w:t>
      </w:r>
      <w:r w:rsidRPr="00D03F3E">
        <w:rPr>
          <w:rFonts w:ascii="Times New Roman" w:hAnsi="Times New Roman"/>
          <w:color w:val="000000" w:themeColor="text1"/>
          <w:sz w:val="16"/>
          <w:szCs w:val="16"/>
        </w:rPr>
        <w:softHyphen/>
        <w:t>ное и боковое отклонения до 20м. Однако эти ошибки компенсировались рассеиванием от</w:t>
      </w:r>
      <w:r w:rsidRPr="00D03F3E">
        <w:rPr>
          <w:rFonts w:ascii="Times New Roman" w:hAnsi="Times New Roman"/>
          <w:color w:val="000000" w:themeColor="text1"/>
          <w:sz w:val="16"/>
          <w:szCs w:val="16"/>
        </w:rPr>
        <w:softHyphen/>
        <w:t>дельных орудий и со</w:t>
      </w:r>
      <w:r w:rsidRPr="00D03F3E">
        <w:rPr>
          <w:rFonts w:ascii="Times New Roman" w:hAnsi="Times New Roman"/>
          <w:color w:val="000000" w:themeColor="text1"/>
          <w:sz w:val="16"/>
          <w:szCs w:val="16"/>
        </w:rPr>
        <w:softHyphen/>
        <w:t>средоточением огня нескольких орудий по одному самолету. При стрельбе 9-12-орудийной батареи МЗА на дистанцию 2000м с прицелива</w:t>
      </w:r>
      <w:r w:rsidRPr="00D03F3E">
        <w:rPr>
          <w:rFonts w:ascii="Times New Roman" w:hAnsi="Times New Roman"/>
          <w:color w:val="000000" w:themeColor="text1"/>
          <w:sz w:val="16"/>
          <w:szCs w:val="16"/>
        </w:rPr>
        <w:softHyphen/>
        <w:t>нием по "среднему самолету" с одинако</w:t>
      </w:r>
      <w:r w:rsidRPr="00D03F3E">
        <w:rPr>
          <w:rFonts w:ascii="Times New Roman" w:hAnsi="Times New Roman"/>
          <w:color w:val="000000" w:themeColor="text1"/>
          <w:sz w:val="16"/>
          <w:szCs w:val="16"/>
        </w:rPr>
        <w:softHyphen/>
        <w:t>вой вероятностью могли быть пораже</w:t>
      </w:r>
      <w:r w:rsidRPr="00D03F3E">
        <w:rPr>
          <w:rFonts w:ascii="Times New Roman" w:hAnsi="Times New Roman"/>
          <w:color w:val="000000" w:themeColor="text1"/>
          <w:sz w:val="16"/>
          <w:szCs w:val="16"/>
        </w:rPr>
        <w:softHyphen/>
        <w:t>ны все Ил-2, удален</w:t>
      </w:r>
      <w:r w:rsidRPr="00D03F3E">
        <w:rPr>
          <w:rFonts w:ascii="Times New Roman" w:hAnsi="Times New Roman"/>
          <w:color w:val="000000" w:themeColor="text1"/>
          <w:sz w:val="16"/>
          <w:szCs w:val="16"/>
        </w:rPr>
        <w:softHyphen/>
        <w:t>ные от него на 50-70м. Кроме этого, ору</w:t>
      </w:r>
      <w:r w:rsidRPr="00D03F3E">
        <w:rPr>
          <w:rFonts w:ascii="Times New Roman" w:hAnsi="Times New Roman"/>
          <w:color w:val="000000" w:themeColor="text1"/>
          <w:sz w:val="16"/>
          <w:szCs w:val="16"/>
        </w:rPr>
        <w:softHyphen/>
        <w:t>дия МЗА обладали высокой скоростью горизонтальной и вертикальной навод</w:t>
      </w:r>
      <w:r w:rsidRPr="00D03F3E">
        <w:rPr>
          <w:rFonts w:ascii="Times New Roman" w:hAnsi="Times New Roman"/>
          <w:color w:val="000000" w:themeColor="text1"/>
          <w:sz w:val="16"/>
          <w:szCs w:val="16"/>
        </w:rPr>
        <w:softHyphen/>
        <w:t>ки, корректировка стрельбы зенитными расчетами велась не по разрывам снарядов, а по трассе. Поэтому эффективный проти</w:t>
      </w:r>
      <w:r w:rsidRPr="00D03F3E">
        <w:rPr>
          <w:rFonts w:ascii="Times New Roman" w:hAnsi="Times New Roman"/>
          <w:color w:val="000000" w:themeColor="text1"/>
          <w:sz w:val="16"/>
          <w:szCs w:val="16"/>
        </w:rPr>
        <w:softHyphen/>
        <w:t>возенитный маневр штурмовики могли обеспечить лишь пу</w:t>
      </w:r>
      <w:r w:rsidRPr="00D03F3E">
        <w:rPr>
          <w:rFonts w:ascii="Times New Roman" w:hAnsi="Times New Roman"/>
          <w:color w:val="000000" w:themeColor="text1"/>
          <w:sz w:val="16"/>
          <w:szCs w:val="16"/>
        </w:rPr>
        <w:softHyphen/>
        <w:t>тем резкого и одно</w:t>
      </w:r>
      <w:r w:rsidRPr="00D03F3E">
        <w:rPr>
          <w:rFonts w:ascii="Times New Roman" w:hAnsi="Times New Roman"/>
          <w:color w:val="000000" w:themeColor="text1"/>
          <w:sz w:val="16"/>
          <w:szCs w:val="16"/>
        </w:rPr>
        <w:softHyphen/>
        <w:t>временного изменения курса, высоты и скорости. Но для этого Ил-2 не хватало маневренности и управляемости во всем диапазоне рабочих высот и ско</w:t>
      </w:r>
      <w:r w:rsidRPr="00D03F3E">
        <w:rPr>
          <w:rFonts w:ascii="Times New Roman" w:hAnsi="Times New Roman"/>
          <w:color w:val="000000" w:themeColor="text1"/>
          <w:sz w:val="16"/>
          <w:szCs w:val="16"/>
        </w:rPr>
        <w:softHyphen/>
        <w:t>ростей. Самым же радикальным способом снижения потерь Ил-2 ог зенитного огня оставалось огневое подавление зенитных средств силами самих штур</w:t>
      </w:r>
      <w:r w:rsidRPr="00D03F3E">
        <w:rPr>
          <w:rFonts w:ascii="Times New Roman" w:hAnsi="Times New Roman"/>
          <w:color w:val="000000" w:themeColor="text1"/>
          <w:sz w:val="16"/>
          <w:szCs w:val="16"/>
        </w:rPr>
        <w:softHyphen/>
        <w:t>мовиков. Однако уничтожить позицию МЗА было весьма и весьма трудно. Даже тогда, когда МЗА ведет огонь, увидеть ее позицию из-за маскировки сложно. Кроме того, каждая зенитная установка обычно располагалась в окопе с обваловкой. Поэтому вывести из строя зенитный автомат можно было либо прямым попаданием пушечного снаряда или РС, либо бомбой средне</w:t>
      </w:r>
      <w:r w:rsidRPr="00D03F3E">
        <w:rPr>
          <w:rFonts w:ascii="Times New Roman" w:hAnsi="Times New Roman"/>
          <w:color w:val="000000" w:themeColor="text1"/>
          <w:sz w:val="16"/>
          <w:szCs w:val="16"/>
        </w:rPr>
        <w:softHyphen/>
        <w:t>го калибра при разрыве, по крайней мере, в пределах 1,5-2 м от окопа. Как следует из документов, "лучшим средством борьбы с ЗА и МЗА про</w:t>
      </w:r>
      <w:r w:rsidRPr="00D03F3E">
        <w:rPr>
          <w:rFonts w:ascii="Times New Roman" w:hAnsi="Times New Roman"/>
          <w:color w:val="000000" w:themeColor="text1"/>
          <w:sz w:val="16"/>
          <w:szCs w:val="16"/>
        </w:rPr>
        <w:softHyphen/>
        <w:t>тивника является прицельная стрельба из стрелково-пушечного вооружения и мелкие осколочные авиабомбы для уничтожения прислуги". В то же время вероятность получить от немецких зе</w:t>
      </w:r>
      <w:r w:rsidRPr="00D03F3E">
        <w:rPr>
          <w:rFonts w:ascii="Times New Roman" w:hAnsi="Times New Roman"/>
          <w:color w:val="000000" w:themeColor="text1"/>
          <w:sz w:val="16"/>
          <w:szCs w:val="16"/>
        </w:rPr>
        <w:softHyphen/>
        <w:t>нитчиков "гостинец" была очень высо</w:t>
      </w:r>
      <w:r w:rsidRPr="00D03F3E">
        <w:rPr>
          <w:rFonts w:ascii="Times New Roman" w:hAnsi="Times New Roman"/>
          <w:color w:val="000000" w:themeColor="text1"/>
          <w:sz w:val="16"/>
          <w:szCs w:val="16"/>
        </w:rPr>
        <w:softHyphen/>
        <w:t>кой. По сути, поединок штурмовика с зенитчиками это был поединок крепо</w:t>
      </w:r>
      <w:r w:rsidRPr="00D03F3E">
        <w:rPr>
          <w:rFonts w:ascii="Times New Roman" w:hAnsi="Times New Roman"/>
          <w:color w:val="000000" w:themeColor="text1"/>
          <w:sz w:val="16"/>
          <w:szCs w:val="16"/>
        </w:rPr>
        <w:softHyphen/>
        <w:t>сти нервов. Именно поэтому при ата</w:t>
      </w:r>
      <w:r w:rsidRPr="00D03F3E">
        <w:rPr>
          <w:rFonts w:ascii="Times New Roman" w:hAnsi="Times New Roman"/>
          <w:color w:val="000000" w:themeColor="text1"/>
          <w:sz w:val="16"/>
          <w:szCs w:val="16"/>
        </w:rPr>
        <w:softHyphen/>
        <w:t>ке зенитной точки огонь из стрелково-пушечного вооружения часто открывал</w:t>
      </w:r>
      <w:r w:rsidRPr="00D03F3E">
        <w:rPr>
          <w:rFonts w:ascii="Times New Roman" w:hAnsi="Times New Roman"/>
          <w:color w:val="000000" w:themeColor="text1"/>
          <w:sz w:val="16"/>
          <w:szCs w:val="16"/>
        </w:rPr>
        <w:softHyphen/>
        <w:t>ся уже с дистанций 1200-1500м. Стрельба с таких дистанций, как пока</w:t>
      </w:r>
      <w:r w:rsidRPr="00D03F3E">
        <w:rPr>
          <w:rFonts w:ascii="Times New Roman" w:hAnsi="Times New Roman"/>
          <w:color w:val="000000" w:themeColor="text1"/>
          <w:sz w:val="16"/>
          <w:szCs w:val="16"/>
        </w:rPr>
        <w:softHyphen/>
        <w:t>зал боевой опыт, не давая высокой эффективности поражения, существен</w:t>
      </w:r>
      <w:r w:rsidRPr="00D03F3E">
        <w:rPr>
          <w:rFonts w:ascii="Times New Roman" w:hAnsi="Times New Roman"/>
          <w:color w:val="000000" w:themeColor="text1"/>
          <w:sz w:val="16"/>
          <w:szCs w:val="16"/>
        </w:rPr>
        <w:softHyphen/>
        <w:t>но затрудняла расчетам ведение при</w:t>
      </w:r>
      <w:r w:rsidRPr="00D03F3E">
        <w:rPr>
          <w:rFonts w:ascii="Times New Roman" w:hAnsi="Times New Roman"/>
          <w:color w:val="000000" w:themeColor="text1"/>
          <w:sz w:val="16"/>
          <w:szCs w:val="16"/>
        </w:rPr>
        <w:softHyphen/>
        <w:t>цельного огня по штурмовикам. Если расчеты при приближении штурмови</w:t>
      </w:r>
      <w:r w:rsidRPr="00D03F3E">
        <w:rPr>
          <w:rFonts w:ascii="Times New Roman" w:hAnsi="Times New Roman"/>
          <w:color w:val="000000" w:themeColor="text1"/>
          <w:sz w:val="16"/>
          <w:szCs w:val="16"/>
        </w:rPr>
        <w:softHyphen/>
        <w:t>ка не выдерживали и начинали разбе</w:t>
      </w:r>
      <w:r w:rsidRPr="00D03F3E">
        <w:rPr>
          <w:rFonts w:ascii="Times New Roman" w:hAnsi="Times New Roman"/>
          <w:color w:val="000000" w:themeColor="text1"/>
          <w:sz w:val="16"/>
          <w:szCs w:val="16"/>
        </w:rPr>
        <w:softHyphen/>
        <w:t>гаться в сторону от позиции, то в этот момент выполнялся пуск РС, и затем сбрасывались мелкие осколочные авиабомбы. После такого удара зенит</w:t>
      </w:r>
      <w:r w:rsidRPr="00D03F3E">
        <w:rPr>
          <w:rFonts w:ascii="Times New Roman" w:hAnsi="Times New Roman"/>
          <w:color w:val="000000" w:themeColor="text1"/>
          <w:sz w:val="16"/>
          <w:szCs w:val="16"/>
        </w:rPr>
        <w:softHyphen/>
        <w:t>ные расчеты, как правило, огня не вели даже при наличии исправных устано</w:t>
      </w:r>
      <w:r w:rsidRPr="00D03F3E">
        <w:rPr>
          <w:rFonts w:ascii="Times New Roman" w:hAnsi="Times New Roman"/>
          <w:color w:val="000000" w:themeColor="text1"/>
          <w:sz w:val="16"/>
          <w:szCs w:val="16"/>
        </w:rPr>
        <w:softHyphen/>
        <w:t>вок. В отчетных документах штурмо</w:t>
      </w:r>
      <w:r w:rsidRPr="00D03F3E">
        <w:rPr>
          <w:rFonts w:ascii="Times New Roman" w:hAnsi="Times New Roman"/>
          <w:color w:val="000000" w:themeColor="text1"/>
          <w:sz w:val="16"/>
          <w:szCs w:val="16"/>
        </w:rPr>
        <w:softHyphen/>
        <w:t>вых авиачастей это называлось "пода</w:t>
      </w:r>
      <w:r w:rsidRPr="00D03F3E">
        <w:rPr>
          <w:rFonts w:ascii="Times New Roman" w:hAnsi="Times New Roman"/>
          <w:color w:val="000000" w:themeColor="text1"/>
          <w:sz w:val="16"/>
          <w:szCs w:val="16"/>
        </w:rPr>
        <w:softHyphen/>
        <w:t>вить огонь зенитной артиллерии". Если же расчет оставался "при оружии", то при сближении Ил-2 на дальность дей</w:t>
      </w:r>
      <w:r w:rsidRPr="00D03F3E">
        <w:rPr>
          <w:rFonts w:ascii="Times New Roman" w:hAnsi="Times New Roman"/>
          <w:color w:val="000000" w:themeColor="text1"/>
          <w:sz w:val="16"/>
          <w:szCs w:val="16"/>
        </w:rPr>
        <w:softHyphen/>
        <w:t>ствительного огня зенитчики получали, что называется, "по полной программе". И если летчик все сделал правильно, то зенитный расчет и установка уничто</w:t>
      </w:r>
      <w:r w:rsidRPr="00D03F3E">
        <w:rPr>
          <w:rFonts w:ascii="Times New Roman" w:hAnsi="Times New Roman"/>
          <w:color w:val="000000" w:themeColor="text1"/>
          <w:sz w:val="16"/>
          <w:szCs w:val="16"/>
        </w:rPr>
        <w:softHyphen/>
        <w:t>жались или надолго выводились из строя. Если же летчик ошибся, то часто сам становился жертвой немецких зе</w:t>
      </w:r>
      <w:r w:rsidRPr="00D03F3E">
        <w:rPr>
          <w:rFonts w:ascii="Times New Roman" w:hAnsi="Times New Roman"/>
          <w:color w:val="000000" w:themeColor="text1"/>
          <w:sz w:val="16"/>
          <w:szCs w:val="16"/>
        </w:rPr>
        <w:softHyphen/>
        <w:t>нитчиков. Для подавления зенитных точек про</w:t>
      </w:r>
      <w:r w:rsidRPr="00D03F3E">
        <w:rPr>
          <w:rFonts w:ascii="Times New Roman" w:hAnsi="Times New Roman"/>
          <w:color w:val="000000" w:themeColor="text1"/>
          <w:sz w:val="16"/>
          <w:szCs w:val="16"/>
        </w:rPr>
        <w:softHyphen/>
        <w:t>тивника из состава каждой шестерки или восьмерки Ил-2 обычно выделялась пара штурмовиков, которые шли за</w:t>
      </w:r>
      <w:r w:rsidRPr="00D03F3E">
        <w:rPr>
          <w:rFonts w:ascii="Times New Roman" w:hAnsi="Times New Roman"/>
          <w:color w:val="000000" w:themeColor="text1"/>
          <w:sz w:val="16"/>
          <w:szCs w:val="16"/>
        </w:rPr>
        <w:softHyphen/>
        <w:t>мыкающими в группе. С этой же це</w:t>
      </w:r>
      <w:r w:rsidRPr="00D03F3E">
        <w:rPr>
          <w:rFonts w:ascii="Times New Roman" w:hAnsi="Times New Roman"/>
          <w:color w:val="000000" w:themeColor="text1"/>
          <w:sz w:val="16"/>
          <w:szCs w:val="16"/>
        </w:rPr>
        <w:softHyphen/>
        <w:t>лью, если позволял состав группы штур</w:t>
      </w:r>
      <w:r w:rsidRPr="00D03F3E">
        <w:rPr>
          <w:rFonts w:ascii="Times New Roman" w:hAnsi="Times New Roman"/>
          <w:color w:val="000000" w:themeColor="text1"/>
          <w:sz w:val="16"/>
          <w:szCs w:val="16"/>
        </w:rPr>
        <w:softHyphen/>
        <w:t>мовиков, выделялась специальная груп</w:t>
      </w:r>
      <w:r w:rsidRPr="00D03F3E">
        <w:rPr>
          <w:rFonts w:ascii="Times New Roman" w:hAnsi="Times New Roman"/>
          <w:color w:val="000000" w:themeColor="text1"/>
          <w:sz w:val="16"/>
          <w:szCs w:val="16"/>
        </w:rPr>
        <w:softHyphen/>
        <w:t>па 4-6 Ил-2. Эта группа шла позади и несколько в стороне от ударной груп</w:t>
      </w:r>
      <w:r w:rsidRPr="00D03F3E">
        <w:rPr>
          <w:rFonts w:ascii="Times New Roman" w:hAnsi="Times New Roman"/>
          <w:color w:val="000000" w:themeColor="text1"/>
          <w:sz w:val="16"/>
          <w:szCs w:val="16"/>
        </w:rPr>
        <w:softHyphen/>
        <w:t>пы и в момент, когда немецкие зенит</w:t>
      </w:r>
      <w:r w:rsidRPr="00D03F3E">
        <w:rPr>
          <w:rFonts w:ascii="Times New Roman" w:hAnsi="Times New Roman"/>
          <w:color w:val="000000" w:themeColor="text1"/>
          <w:sz w:val="16"/>
          <w:szCs w:val="16"/>
        </w:rPr>
        <w:softHyphen/>
        <w:t>чики открывали огонь, атаковывали их. Иногда при достаточном наряде сил для надежного подавления средств ПВО аэродрома штурмовики действовали уже несколькими эшелонами. Первый эшелон вызывал огонь зенитной артил</w:t>
      </w:r>
      <w:r w:rsidRPr="00D03F3E">
        <w:rPr>
          <w:rFonts w:ascii="Times New Roman" w:hAnsi="Times New Roman"/>
          <w:color w:val="000000" w:themeColor="text1"/>
          <w:sz w:val="16"/>
          <w:szCs w:val="16"/>
        </w:rPr>
        <w:softHyphen/>
        <w:t>лерии на себя, подавлял зенитные ба</w:t>
      </w:r>
      <w:r w:rsidRPr="00D03F3E">
        <w:rPr>
          <w:rFonts w:ascii="Times New Roman" w:hAnsi="Times New Roman"/>
          <w:color w:val="000000" w:themeColor="text1"/>
          <w:sz w:val="16"/>
          <w:szCs w:val="16"/>
        </w:rPr>
        <w:softHyphen/>
        <w:t>тареи и обеспечивал свободу действий ударных эшелонов Ил-2. В таких слу</w:t>
      </w:r>
      <w:r w:rsidRPr="00D03F3E">
        <w:rPr>
          <w:rFonts w:ascii="Times New Roman" w:hAnsi="Times New Roman"/>
          <w:color w:val="000000" w:themeColor="text1"/>
          <w:sz w:val="16"/>
          <w:szCs w:val="16"/>
        </w:rPr>
        <w:softHyphen/>
        <w:t>чаях выход на цель второго и последу</w:t>
      </w:r>
      <w:r w:rsidRPr="00D03F3E">
        <w:rPr>
          <w:rFonts w:ascii="Times New Roman" w:hAnsi="Times New Roman"/>
          <w:color w:val="000000" w:themeColor="text1"/>
          <w:sz w:val="16"/>
          <w:szCs w:val="16"/>
        </w:rPr>
        <w:softHyphen/>
        <w:t>ющих эшелонов обычно осуществлялся с разных направлений на бреющем полете с использованием внезапности освещенности, рельефа местности, облач</w:t>
      </w:r>
      <w:r w:rsidRPr="00D03F3E">
        <w:rPr>
          <w:rFonts w:ascii="Times New Roman" w:hAnsi="Times New Roman"/>
          <w:color w:val="000000" w:themeColor="text1"/>
          <w:sz w:val="16"/>
          <w:szCs w:val="16"/>
        </w:rPr>
        <w:softHyphen/>
        <w:t>ности. При особенно сильной зенитной обороне аэродрома удары по нему на</w:t>
      </w:r>
      <w:r w:rsidRPr="00D03F3E">
        <w:rPr>
          <w:rFonts w:ascii="Times New Roman" w:hAnsi="Times New Roman"/>
          <w:color w:val="000000" w:themeColor="text1"/>
          <w:sz w:val="16"/>
          <w:szCs w:val="16"/>
        </w:rPr>
        <w:softHyphen/>
        <w:t>носились одновременно несколькими группами с разных направлений и вы</w:t>
      </w:r>
      <w:r w:rsidRPr="00D03F3E">
        <w:rPr>
          <w:rFonts w:ascii="Times New Roman" w:hAnsi="Times New Roman"/>
          <w:color w:val="000000" w:themeColor="text1"/>
          <w:sz w:val="16"/>
          <w:szCs w:val="16"/>
        </w:rPr>
        <w:softHyphen/>
        <w:t>сот. Таким образом, распылялись силы зенитных батарей и снижалась ее эф</w:t>
      </w:r>
      <w:r w:rsidRPr="00D03F3E">
        <w:rPr>
          <w:rFonts w:ascii="Times New Roman" w:hAnsi="Times New Roman"/>
          <w:color w:val="000000" w:themeColor="text1"/>
          <w:sz w:val="16"/>
          <w:szCs w:val="16"/>
        </w:rPr>
        <w:softHyphen/>
        <w:t>фективность. Необходимо, конечно, учитывать, что основной задачей штурмовиков яв</w:t>
      </w:r>
      <w:r w:rsidRPr="00D03F3E">
        <w:rPr>
          <w:rFonts w:ascii="Times New Roman" w:hAnsi="Times New Roman"/>
          <w:color w:val="000000" w:themeColor="text1"/>
          <w:sz w:val="16"/>
          <w:szCs w:val="16"/>
        </w:rPr>
        <w:softHyphen/>
        <w:t>лялось все же уничтожение материаль</w:t>
      </w:r>
      <w:r w:rsidRPr="00D03F3E">
        <w:rPr>
          <w:rFonts w:ascii="Times New Roman" w:hAnsi="Times New Roman"/>
          <w:color w:val="000000" w:themeColor="text1"/>
          <w:sz w:val="16"/>
          <w:szCs w:val="16"/>
        </w:rPr>
        <w:softHyphen/>
        <w:t>ной части самолетов противника на аэродроме, а не его зенитной артил</w:t>
      </w:r>
      <w:r w:rsidRPr="00D03F3E">
        <w:rPr>
          <w:rFonts w:ascii="Times New Roman" w:hAnsi="Times New Roman"/>
          <w:color w:val="000000" w:themeColor="text1"/>
          <w:sz w:val="16"/>
          <w:szCs w:val="16"/>
        </w:rPr>
        <w:softHyphen/>
        <w:t>лерии. Кроме этого, для устойчивого подавления зенитных точек на аэро</w:t>
      </w:r>
      <w:r w:rsidRPr="00D03F3E">
        <w:rPr>
          <w:rFonts w:ascii="Times New Roman" w:hAnsi="Times New Roman"/>
          <w:color w:val="000000" w:themeColor="text1"/>
          <w:sz w:val="16"/>
          <w:szCs w:val="16"/>
        </w:rPr>
        <w:softHyphen/>
        <w:t>дроме требовался весьма значитель</w:t>
      </w:r>
      <w:r w:rsidRPr="00D03F3E">
        <w:rPr>
          <w:rFonts w:ascii="Times New Roman" w:hAnsi="Times New Roman"/>
          <w:color w:val="000000" w:themeColor="text1"/>
          <w:sz w:val="16"/>
          <w:szCs w:val="16"/>
        </w:rPr>
        <w:softHyphen/>
        <w:t>ный наряд штурмовиков, что не всегда было возможным из-за ограниченнос</w:t>
      </w:r>
      <w:r w:rsidRPr="00D03F3E">
        <w:rPr>
          <w:rFonts w:ascii="Times New Roman" w:hAnsi="Times New Roman"/>
          <w:color w:val="000000" w:themeColor="text1"/>
          <w:sz w:val="16"/>
          <w:szCs w:val="16"/>
        </w:rPr>
        <w:softHyphen/>
        <w:t>ти выделяемых для удара сил. Поэтому успех удара по аэродрому заключался в грамотном сочетании всех способов противодействия зенитной артиллерии противника: обеспечение неожиданно</w:t>
      </w:r>
      <w:r w:rsidRPr="00D03F3E">
        <w:rPr>
          <w:rFonts w:ascii="Times New Roman" w:hAnsi="Times New Roman"/>
          <w:color w:val="000000" w:themeColor="text1"/>
          <w:sz w:val="16"/>
          <w:szCs w:val="16"/>
        </w:rPr>
        <w:softHyphen/>
        <w:t>сти удара,выбор направления захода со стороны солнца или из-за естествен</w:t>
      </w:r>
      <w:r w:rsidRPr="00D03F3E">
        <w:rPr>
          <w:rFonts w:ascii="Times New Roman" w:hAnsi="Times New Roman"/>
          <w:color w:val="000000" w:themeColor="text1"/>
          <w:sz w:val="16"/>
          <w:szCs w:val="16"/>
        </w:rPr>
        <w:softHyphen/>
        <w:t>ных укрытий, мешающих зенитчикам ве</w:t>
      </w:r>
      <w:r w:rsidRPr="00D03F3E">
        <w:rPr>
          <w:rFonts w:ascii="Times New Roman" w:hAnsi="Times New Roman"/>
          <w:color w:val="000000" w:themeColor="text1"/>
          <w:sz w:val="16"/>
          <w:szCs w:val="16"/>
        </w:rPr>
        <w:softHyphen/>
        <w:t>сти прицельный огонь, а также построе</w:t>
      </w:r>
      <w:r w:rsidRPr="00D03F3E">
        <w:rPr>
          <w:rFonts w:ascii="Times New Roman" w:hAnsi="Times New Roman"/>
          <w:color w:val="000000" w:themeColor="text1"/>
          <w:sz w:val="16"/>
          <w:szCs w:val="16"/>
        </w:rPr>
        <w:softHyphen/>
        <w:t>ние эффективного противозенитного маневра и огневое подавление ПВО аэродрома. Помимо зенитных огневых средств, ПВО немецкого аэродрома в обязательном порядке обеспечивалась де</w:t>
      </w:r>
      <w:r w:rsidRPr="00D03F3E">
        <w:rPr>
          <w:rFonts w:ascii="Times New Roman" w:hAnsi="Times New Roman"/>
          <w:color w:val="000000" w:themeColor="text1"/>
          <w:sz w:val="16"/>
          <w:szCs w:val="16"/>
        </w:rPr>
        <w:softHyphen/>
        <w:t>журными силами истребителей - обыч</w:t>
      </w:r>
      <w:r w:rsidRPr="00D03F3E">
        <w:rPr>
          <w:rFonts w:ascii="Times New Roman" w:hAnsi="Times New Roman"/>
          <w:color w:val="000000" w:themeColor="text1"/>
          <w:sz w:val="16"/>
          <w:szCs w:val="16"/>
        </w:rPr>
        <w:softHyphen/>
        <w:t xml:space="preserve">но 4-6 </w:t>
      </w:r>
      <w:r w:rsidRPr="00D03F3E">
        <w:rPr>
          <w:rFonts w:ascii="Times New Roman" w:hAnsi="Times New Roman"/>
          <w:color w:val="000000" w:themeColor="text1"/>
          <w:sz w:val="16"/>
          <w:szCs w:val="16"/>
        </w:rPr>
        <w:lastRenderedPageBreak/>
        <w:t>самолетов. Иногда дежурные силы истребителей базировались на полевых площадках вблизи своих аэро</w:t>
      </w:r>
      <w:r w:rsidRPr="00D03F3E">
        <w:rPr>
          <w:rFonts w:ascii="Times New Roman" w:hAnsi="Times New Roman"/>
          <w:color w:val="000000" w:themeColor="text1"/>
          <w:sz w:val="16"/>
          <w:szCs w:val="16"/>
        </w:rPr>
        <w:softHyphen/>
        <w:t>дромов, крупных станций выгрузки и на направлениях наиболее вероятного пролета советских самолетов. Эти груп</w:t>
      </w:r>
      <w:r w:rsidRPr="00D03F3E">
        <w:rPr>
          <w:rFonts w:ascii="Times New Roman" w:hAnsi="Times New Roman"/>
          <w:color w:val="000000" w:themeColor="text1"/>
          <w:sz w:val="16"/>
          <w:szCs w:val="16"/>
        </w:rPr>
        <w:softHyphen/>
        <w:t>пы перехватывали наши штурмовики и бомбардировщики, производя взлет "по-зрячему". При этом в случае атаки аэродрома вызывались истребители с других аэродромов. Система взаимного оповещения о нападении противника у немцев работала без сбоев и весь</w:t>
      </w:r>
      <w:r w:rsidRPr="00D03F3E">
        <w:rPr>
          <w:rFonts w:ascii="Times New Roman" w:hAnsi="Times New Roman"/>
          <w:color w:val="000000" w:themeColor="text1"/>
          <w:sz w:val="16"/>
          <w:szCs w:val="16"/>
        </w:rPr>
        <w:softHyphen/>
        <w:t>ма оперативно. Истребители, задействованные в си</w:t>
      </w:r>
      <w:r w:rsidRPr="00D03F3E">
        <w:rPr>
          <w:rFonts w:ascii="Times New Roman" w:hAnsi="Times New Roman"/>
          <w:color w:val="000000" w:themeColor="text1"/>
          <w:sz w:val="16"/>
          <w:szCs w:val="16"/>
        </w:rPr>
        <w:softHyphen/>
        <w:t>стеме ПВО аэродромов, атаковали штурмовики, как правило, на отходе от цели, когда группы растягивались, и нарушался компактный боевой поря</w:t>
      </w:r>
      <w:r w:rsidRPr="00D03F3E">
        <w:rPr>
          <w:rFonts w:ascii="Times New Roman" w:hAnsi="Times New Roman"/>
          <w:color w:val="000000" w:themeColor="text1"/>
          <w:sz w:val="16"/>
          <w:szCs w:val="16"/>
        </w:rPr>
        <w:softHyphen/>
        <w:t>док, а иногда и на подходе к аэродро</w:t>
      </w:r>
      <w:r w:rsidRPr="00D03F3E">
        <w:rPr>
          <w:rFonts w:ascii="Times New Roman" w:hAnsi="Times New Roman"/>
          <w:color w:val="000000" w:themeColor="text1"/>
          <w:sz w:val="16"/>
          <w:szCs w:val="16"/>
        </w:rPr>
        <w:softHyphen/>
        <w:t>мам. Атаки строились по классике: одна группа сковывала истребители со</w:t>
      </w:r>
      <w:r w:rsidRPr="00D03F3E">
        <w:rPr>
          <w:rFonts w:ascii="Times New Roman" w:hAnsi="Times New Roman"/>
          <w:color w:val="000000" w:themeColor="text1"/>
          <w:sz w:val="16"/>
          <w:szCs w:val="16"/>
        </w:rPr>
        <w:softHyphen/>
        <w:t>провождения, другая - атаковала штурмовиков, стараясь сначала сбить ведущего и разбить группу на неболь</w:t>
      </w:r>
      <w:r w:rsidRPr="00D03F3E">
        <w:rPr>
          <w:rFonts w:ascii="Times New Roman" w:hAnsi="Times New Roman"/>
          <w:color w:val="000000" w:themeColor="text1"/>
          <w:sz w:val="16"/>
          <w:szCs w:val="16"/>
        </w:rPr>
        <w:softHyphen/>
        <w:t>шие части или отдельные самолеты (на</w:t>
      </w:r>
      <w:r w:rsidRPr="00D03F3E">
        <w:rPr>
          <w:rFonts w:ascii="Times New Roman" w:hAnsi="Times New Roman"/>
          <w:color w:val="000000" w:themeColor="text1"/>
          <w:sz w:val="16"/>
          <w:szCs w:val="16"/>
        </w:rPr>
        <w:softHyphen/>
        <w:t>чиная с крайних в группе), а затем уничтожить их по отдельности. При этом расчет строился на внезапность атаки (со стороны солнца, из облачности, со стороны не просматриваемых секто</w:t>
      </w:r>
      <w:r w:rsidRPr="00D03F3E">
        <w:rPr>
          <w:rFonts w:ascii="Times New Roman" w:hAnsi="Times New Roman"/>
          <w:color w:val="000000" w:themeColor="text1"/>
          <w:sz w:val="16"/>
          <w:szCs w:val="16"/>
        </w:rPr>
        <w:softHyphen/>
        <w:t>ров), большую скорость, высокую точ</w:t>
      </w:r>
      <w:r w:rsidRPr="00D03F3E">
        <w:rPr>
          <w:rFonts w:ascii="Times New Roman" w:hAnsi="Times New Roman"/>
          <w:color w:val="000000" w:themeColor="text1"/>
          <w:sz w:val="16"/>
          <w:szCs w:val="16"/>
        </w:rPr>
        <w:softHyphen/>
        <w:t>ность и мощь огня. Огонь велся из всех огневых точек со средних дистанций ко</w:t>
      </w:r>
      <w:r w:rsidRPr="00D03F3E">
        <w:rPr>
          <w:rFonts w:ascii="Times New Roman" w:hAnsi="Times New Roman"/>
          <w:color w:val="000000" w:themeColor="text1"/>
          <w:sz w:val="16"/>
          <w:szCs w:val="16"/>
        </w:rPr>
        <w:softHyphen/>
        <w:t>роткими очередями и при сближении на близкие дистанции — длинными оче</w:t>
      </w:r>
      <w:r w:rsidRPr="00D03F3E">
        <w:rPr>
          <w:rFonts w:ascii="Times New Roman" w:hAnsi="Times New Roman"/>
          <w:color w:val="000000" w:themeColor="text1"/>
          <w:sz w:val="16"/>
          <w:szCs w:val="16"/>
        </w:rPr>
        <w:softHyphen/>
        <w:t>редями. Обычно один штурмовик ата-ковывался одновременно двумя-тремя истребителями люфтваффе. Атаки вы</w:t>
      </w:r>
      <w:r w:rsidRPr="00D03F3E">
        <w:rPr>
          <w:rFonts w:ascii="Times New Roman" w:hAnsi="Times New Roman"/>
          <w:color w:val="000000" w:themeColor="text1"/>
          <w:sz w:val="16"/>
          <w:szCs w:val="16"/>
        </w:rPr>
        <w:softHyphen/>
        <w:t>полнялись с разных сторон и направ</w:t>
      </w:r>
      <w:r w:rsidRPr="00D03F3E">
        <w:rPr>
          <w:rFonts w:ascii="Times New Roman" w:hAnsi="Times New Roman"/>
          <w:color w:val="000000" w:themeColor="text1"/>
          <w:sz w:val="16"/>
          <w:szCs w:val="16"/>
        </w:rPr>
        <w:softHyphen/>
        <w:t>лений. Очень часто один-два истреби</w:t>
      </w:r>
      <w:r w:rsidRPr="00D03F3E">
        <w:rPr>
          <w:rFonts w:ascii="Times New Roman" w:hAnsi="Times New Roman"/>
          <w:color w:val="000000" w:themeColor="text1"/>
          <w:sz w:val="16"/>
          <w:szCs w:val="16"/>
        </w:rPr>
        <w:softHyphen/>
        <w:t>теля заходили в атаку сверху с разных направлений, отвлекая внимание воз</w:t>
      </w:r>
      <w:r w:rsidRPr="00D03F3E">
        <w:rPr>
          <w:rFonts w:ascii="Times New Roman" w:hAnsi="Times New Roman"/>
          <w:color w:val="000000" w:themeColor="text1"/>
          <w:sz w:val="16"/>
          <w:szCs w:val="16"/>
        </w:rPr>
        <w:softHyphen/>
        <w:t>душного стрелка Ил-2, а их напарник заходил снизу строго под хвост штур</w:t>
      </w:r>
      <w:r w:rsidRPr="00D03F3E">
        <w:rPr>
          <w:rFonts w:ascii="Times New Roman" w:hAnsi="Times New Roman"/>
          <w:color w:val="000000" w:themeColor="text1"/>
          <w:sz w:val="16"/>
          <w:szCs w:val="16"/>
        </w:rPr>
        <w:softHyphen/>
        <w:t>мовика и, сблизившись на предельно короткую дистанцию, открывал при</w:t>
      </w:r>
      <w:r w:rsidRPr="00D03F3E">
        <w:rPr>
          <w:rFonts w:ascii="Times New Roman" w:hAnsi="Times New Roman"/>
          <w:color w:val="000000" w:themeColor="text1"/>
          <w:sz w:val="16"/>
          <w:szCs w:val="16"/>
        </w:rPr>
        <w:softHyphen/>
        <w:t>цельный огонь из всех точек. Как пра</w:t>
      </w:r>
      <w:r w:rsidRPr="00D03F3E">
        <w:rPr>
          <w:rFonts w:ascii="Times New Roman" w:hAnsi="Times New Roman"/>
          <w:color w:val="000000" w:themeColor="text1"/>
          <w:sz w:val="16"/>
          <w:szCs w:val="16"/>
        </w:rPr>
        <w:softHyphen/>
        <w:t>вило, ударную роль выполняли Руу190, а отвлекали внимание - ВИ09. Выход из атаки выполнялся на большой ско</w:t>
      </w:r>
      <w:r w:rsidRPr="00D03F3E">
        <w:rPr>
          <w:rFonts w:ascii="Times New Roman" w:hAnsi="Times New Roman"/>
          <w:color w:val="000000" w:themeColor="text1"/>
          <w:sz w:val="16"/>
          <w:szCs w:val="16"/>
        </w:rPr>
        <w:softHyphen/>
        <w:t>рости. Атаки всегда проводились целеуст</w:t>
      </w:r>
      <w:r w:rsidRPr="00D03F3E">
        <w:rPr>
          <w:rFonts w:ascii="Times New Roman" w:hAnsi="Times New Roman"/>
          <w:color w:val="000000" w:themeColor="text1"/>
          <w:sz w:val="16"/>
          <w:szCs w:val="16"/>
        </w:rPr>
        <w:softHyphen/>
        <w:t>ремленно и в высоком темпе. При этом если истребительное прикрытие штур</w:t>
      </w:r>
      <w:r w:rsidRPr="00D03F3E">
        <w:rPr>
          <w:rFonts w:ascii="Times New Roman" w:hAnsi="Times New Roman"/>
          <w:color w:val="000000" w:themeColor="text1"/>
          <w:sz w:val="16"/>
          <w:szCs w:val="16"/>
        </w:rPr>
        <w:softHyphen/>
        <w:t>мовиков отсутствовало или сильно устуггало по численности, то пилоты люфт</w:t>
      </w:r>
      <w:r w:rsidRPr="00D03F3E">
        <w:rPr>
          <w:rFonts w:ascii="Times New Roman" w:hAnsi="Times New Roman"/>
          <w:color w:val="000000" w:themeColor="text1"/>
          <w:sz w:val="16"/>
          <w:szCs w:val="16"/>
        </w:rPr>
        <w:softHyphen/>
        <w:t>ваффе настойчиво повторяли свои атаки, добиваясь полного разгрома группы. В противном случае выходили из боя пос</w:t>
      </w:r>
      <w:r w:rsidRPr="00D03F3E">
        <w:rPr>
          <w:rFonts w:ascii="Times New Roman" w:hAnsi="Times New Roman"/>
          <w:color w:val="000000" w:themeColor="text1"/>
          <w:sz w:val="16"/>
          <w:szCs w:val="16"/>
        </w:rPr>
        <w:softHyphen/>
        <w:t>ле одной результативной атаки. Кроме того, надо признать, у немцев на протяжении всей войны прекрасно работала система взаимодействия между истребителями и зенитной ар</w:t>
      </w:r>
      <w:r w:rsidRPr="00D03F3E">
        <w:rPr>
          <w:rFonts w:ascii="Times New Roman" w:hAnsi="Times New Roman"/>
          <w:color w:val="000000" w:themeColor="text1"/>
          <w:sz w:val="16"/>
          <w:szCs w:val="16"/>
        </w:rPr>
        <w:softHyphen/>
        <w:t>тиллерии. Как правило, противник ог</w:t>
      </w:r>
      <w:r w:rsidRPr="00D03F3E">
        <w:rPr>
          <w:rFonts w:ascii="Times New Roman" w:hAnsi="Times New Roman"/>
          <w:color w:val="000000" w:themeColor="text1"/>
          <w:sz w:val="16"/>
          <w:szCs w:val="16"/>
        </w:rPr>
        <w:softHyphen/>
        <w:t>нем ЗА и МЗА пытался "разбить" строй группы штурмовиков или отсечь от них истребители сопровождения с тем, что</w:t>
      </w:r>
      <w:r w:rsidRPr="00D03F3E">
        <w:rPr>
          <w:rFonts w:ascii="Times New Roman" w:hAnsi="Times New Roman"/>
          <w:color w:val="000000" w:themeColor="text1"/>
          <w:sz w:val="16"/>
          <w:szCs w:val="16"/>
        </w:rPr>
        <w:softHyphen/>
        <w:t>бы свои истребители име</w:t>
      </w:r>
      <w:r w:rsidRPr="00D03F3E">
        <w:rPr>
          <w:rFonts w:ascii="Times New Roman" w:hAnsi="Times New Roman"/>
          <w:color w:val="000000" w:themeColor="text1"/>
          <w:sz w:val="16"/>
          <w:szCs w:val="16"/>
        </w:rPr>
        <w:softHyphen/>
        <w:t>ли возможность атаковать отдельные самолеты и не</w:t>
      </w:r>
      <w:r w:rsidRPr="00D03F3E">
        <w:rPr>
          <w:rFonts w:ascii="Times New Roman" w:hAnsi="Times New Roman"/>
          <w:color w:val="000000" w:themeColor="text1"/>
          <w:sz w:val="16"/>
          <w:szCs w:val="16"/>
        </w:rPr>
        <w:softHyphen/>
        <w:t>большие группы Ил-2. И наоборот, истребители имитировали атаки на штурмовиков, заставляя последних принимать бо</w:t>
      </w:r>
      <w:r w:rsidRPr="00D03F3E">
        <w:rPr>
          <w:rFonts w:ascii="Times New Roman" w:hAnsi="Times New Roman"/>
          <w:color w:val="000000" w:themeColor="text1"/>
          <w:sz w:val="16"/>
          <w:szCs w:val="16"/>
        </w:rPr>
        <w:softHyphen/>
        <w:t>лее компактные строи, что в свою очередь облегча</w:t>
      </w:r>
      <w:r w:rsidRPr="00D03F3E">
        <w:rPr>
          <w:rFonts w:ascii="Times New Roman" w:hAnsi="Times New Roman"/>
          <w:color w:val="000000" w:themeColor="text1"/>
          <w:sz w:val="16"/>
          <w:szCs w:val="16"/>
        </w:rPr>
        <w:softHyphen/>
        <w:t>ло зенитным расчетам ве</w:t>
      </w:r>
      <w:r w:rsidRPr="00D03F3E">
        <w:rPr>
          <w:rFonts w:ascii="Times New Roman" w:hAnsi="Times New Roman"/>
          <w:color w:val="000000" w:themeColor="text1"/>
          <w:sz w:val="16"/>
          <w:szCs w:val="16"/>
        </w:rPr>
        <w:softHyphen/>
        <w:t>дение огня. Конечно же, при плани</w:t>
      </w:r>
      <w:r w:rsidRPr="00D03F3E">
        <w:rPr>
          <w:rFonts w:ascii="Times New Roman" w:hAnsi="Times New Roman"/>
          <w:color w:val="000000" w:themeColor="text1"/>
          <w:sz w:val="16"/>
          <w:szCs w:val="16"/>
        </w:rPr>
        <w:softHyphen/>
        <w:t>ровании ударов по аэро</w:t>
      </w:r>
      <w:r w:rsidRPr="00D03F3E">
        <w:rPr>
          <w:rFonts w:ascii="Times New Roman" w:hAnsi="Times New Roman"/>
          <w:color w:val="000000" w:themeColor="text1"/>
          <w:sz w:val="16"/>
          <w:szCs w:val="16"/>
        </w:rPr>
        <w:softHyphen/>
        <w:t>дромам эти обстоятель</w:t>
      </w:r>
      <w:r w:rsidRPr="00D03F3E">
        <w:rPr>
          <w:rFonts w:ascii="Times New Roman" w:hAnsi="Times New Roman"/>
          <w:color w:val="000000" w:themeColor="text1"/>
          <w:sz w:val="16"/>
          <w:szCs w:val="16"/>
        </w:rPr>
        <w:softHyphen/>
        <w:t>ства учитывались и выде</w:t>
      </w:r>
      <w:r w:rsidRPr="00D03F3E">
        <w:rPr>
          <w:rFonts w:ascii="Times New Roman" w:hAnsi="Times New Roman"/>
          <w:color w:val="000000" w:themeColor="text1"/>
          <w:sz w:val="16"/>
          <w:szCs w:val="16"/>
        </w:rPr>
        <w:softHyphen/>
        <w:t>лялись специальные группы истребите</w:t>
      </w:r>
      <w:r w:rsidRPr="00D03F3E">
        <w:rPr>
          <w:rFonts w:ascii="Times New Roman" w:hAnsi="Times New Roman"/>
          <w:color w:val="000000" w:themeColor="text1"/>
          <w:sz w:val="16"/>
          <w:szCs w:val="16"/>
        </w:rPr>
        <w:softHyphen/>
        <w:t>лей для расчистки подступов к аэро</w:t>
      </w:r>
      <w:r w:rsidRPr="00D03F3E">
        <w:rPr>
          <w:rFonts w:ascii="Times New Roman" w:hAnsi="Times New Roman"/>
          <w:color w:val="000000" w:themeColor="text1"/>
          <w:sz w:val="16"/>
          <w:szCs w:val="16"/>
        </w:rPr>
        <w:softHyphen/>
        <w:t>дрому от воздушных патрулей против</w:t>
      </w:r>
      <w:r w:rsidRPr="00D03F3E">
        <w:rPr>
          <w:rFonts w:ascii="Times New Roman" w:hAnsi="Times New Roman"/>
          <w:color w:val="000000" w:themeColor="text1"/>
          <w:sz w:val="16"/>
          <w:szCs w:val="16"/>
        </w:rPr>
        <w:softHyphen/>
        <w:t>ника и блокировки его на время дей</w:t>
      </w:r>
      <w:r w:rsidRPr="00D03F3E">
        <w:rPr>
          <w:rFonts w:ascii="Times New Roman" w:hAnsi="Times New Roman"/>
          <w:color w:val="000000" w:themeColor="text1"/>
          <w:sz w:val="16"/>
          <w:szCs w:val="16"/>
        </w:rPr>
        <w:softHyphen/>
        <w:t>ствия штурмовиков. Однако это была очень сложная задача. Даже при са</w:t>
      </w:r>
      <w:r w:rsidRPr="00D03F3E">
        <w:rPr>
          <w:rFonts w:ascii="Times New Roman" w:hAnsi="Times New Roman"/>
          <w:color w:val="000000" w:themeColor="text1"/>
          <w:sz w:val="16"/>
          <w:szCs w:val="16"/>
        </w:rPr>
        <w:softHyphen/>
        <w:t>мой тщательной подготовке блокиро</w:t>
      </w:r>
      <w:r w:rsidRPr="00D03F3E">
        <w:rPr>
          <w:rFonts w:ascii="Times New Roman" w:hAnsi="Times New Roman"/>
          <w:color w:val="000000" w:themeColor="text1"/>
          <w:sz w:val="16"/>
          <w:szCs w:val="16"/>
        </w:rPr>
        <w:softHyphen/>
        <w:t>вать аэродром и обеспечить штурмо</w:t>
      </w:r>
      <w:r w:rsidRPr="00D03F3E">
        <w:rPr>
          <w:rFonts w:ascii="Times New Roman" w:hAnsi="Times New Roman"/>
          <w:color w:val="000000" w:themeColor="text1"/>
          <w:sz w:val="16"/>
          <w:szCs w:val="16"/>
        </w:rPr>
        <w:softHyphen/>
        <w:t>викам относительную безопасность за</w:t>
      </w:r>
      <w:r w:rsidRPr="00D03F3E">
        <w:rPr>
          <w:rFonts w:ascii="Times New Roman" w:hAnsi="Times New Roman"/>
          <w:color w:val="000000" w:themeColor="text1"/>
          <w:sz w:val="16"/>
          <w:szCs w:val="16"/>
        </w:rPr>
        <w:softHyphen/>
        <w:t>частую удавалось в течение всего лишь 4-6 минут. За это время противник ус</w:t>
      </w:r>
      <w:r w:rsidRPr="00D03F3E">
        <w:rPr>
          <w:rFonts w:ascii="Times New Roman" w:hAnsi="Times New Roman"/>
          <w:color w:val="000000" w:themeColor="text1"/>
          <w:sz w:val="16"/>
          <w:szCs w:val="16"/>
        </w:rPr>
        <w:softHyphen/>
        <w:t>певал вызвать помощь с соседних аэро</w:t>
      </w:r>
      <w:r w:rsidRPr="00D03F3E">
        <w:rPr>
          <w:rFonts w:ascii="Times New Roman" w:hAnsi="Times New Roman"/>
          <w:color w:val="000000" w:themeColor="text1"/>
          <w:sz w:val="16"/>
          <w:szCs w:val="16"/>
        </w:rPr>
        <w:softHyphen/>
        <w:t>дромов и полевых площадок. Именно в течение этого интервала времени и дол</w:t>
      </w:r>
      <w:r w:rsidRPr="00D03F3E">
        <w:rPr>
          <w:rFonts w:ascii="Times New Roman" w:hAnsi="Times New Roman"/>
          <w:color w:val="000000" w:themeColor="text1"/>
          <w:sz w:val="16"/>
          <w:szCs w:val="16"/>
        </w:rPr>
        <w:softHyphen/>
        <w:t>жны были успеть "отработать" штурмо</w:t>
      </w:r>
      <w:r w:rsidRPr="00D03F3E">
        <w:rPr>
          <w:rFonts w:ascii="Times New Roman" w:hAnsi="Times New Roman"/>
          <w:color w:val="000000" w:themeColor="text1"/>
          <w:sz w:val="16"/>
          <w:szCs w:val="16"/>
        </w:rPr>
        <w:softHyphen/>
        <w:t>вики по целям на аэродроме. Очевидно, что в таких условиях боя над немецкими аэродромами все по</w:t>
      </w:r>
      <w:r w:rsidRPr="00D03F3E">
        <w:rPr>
          <w:rFonts w:ascii="Times New Roman" w:hAnsi="Times New Roman"/>
          <w:color w:val="000000" w:themeColor="text1"/>
          <w:sz w:val="16"/>
          <w:szCs w:val="16"/>
        </w:rPr>
        <w:softHyphen/>
        <w:t>вторные заходы были сопряжены с рис</w:t>
      </w:r>
      <w:r w:rsidRPr="00D03F3E">
        <w:rPr>
          <w:rFonts w:ascii="Times New Roman" w:hAnsi="Times New Roman"/>
          <w:color w:val="000000" w:themeColor="text1"/>
          <w:sz w:val="16"/>
          <w:szCs w:val="16"/>
        </w:rPr>
        <w:softHyphen/>
        <w:t>ком больших потерь. Поэтому экипа</w:t>
      </w:r>
      <w:r w:rsidRPr="00D03F3E">
        <w:rPr>
          <w:rFonts w:ascii="Times New Roman" w:hAnsi="Times New Roman"/>
          <w:color w:val="000000" w:themeColor="text1"/>
          <w:sz w:val="16"/>
          <w:szCs w:val="16"/>
        </w:rPr>
        <w:softHyphen/>
        <w:t>жи Ил-2 старались выполнять удары по аэродромам с одного захода, а сама атака строилась на внезапности появ</w:t>
      </w:r>
      <w:r w:rsidRPr="00D03F3E">
        <w:rPr>
          <w:rFonts w:ascii="Times New Roman" w:hAnsi="Times New Roman"/>
          <w:color w:val="000000" w:themeColor="text1"/>
          <w:sz w:val="16"/>
          <w:szCs w:val="16"/>
        </w:rPr>
        <w:softHyphen/>
        <w:t>ления над целью. Однако при первой же возможности число заходов на цель увеличивалось до двух (обычно) и бо</w:t>
      </w:r>
      <w:r w:rsidRPr="00D03F3E">
        <w:rPr>
          <w:rFonts w:ascii="Times New Roman" w:hAnsi="Times New Roman"/>
          <w:color w:val="000000" w:themeColor="text1"/>
          <w:sz w:val="16"/>
          <w:szCs w:val="16"/>
        </w:rPr>
        <w:softHyphen/>
        <w:t>лее (очень и очень редко). В этом слу</w:t>
      </w:r>
      <w:r w:rsidRPr="00D03F3E">
        <w:rPr>
          <w:rFonts w:ascii="Times New Roman" w:hAnsi="Times New Roman"/>
          <w:color w:val="000000" w:themeColor="text1"/>
          <w:sz w:val="16"/>
          <w:szCs w:val="16"/>
        </w:rPr>
        <w:softHyphen/>
        <w:t>чае после первого захода Ил-2 уходи</w:t>
      </w:r>
      <w:r w:rsidRPr="00D03F3E">
        <w:rPr>
          <w:rFonts w:ascii="Times New Roman" w:hAnsi="Times New Roman"/>
          <w:color w:val="000000" w:themeColor="text1"/>
          <w:sz w:val="16"/>
          <w:szCs w:val="16"/>
        </w:rPr>
        <w:softHyphen/>
        <w:t>ли со снижением в район, где не было средств ПВО противника, выполняли разворот и вторично атаковывали цель. Очень часто при выполнении второго захода большая часть группы выделя</w:t>
      </w:r>
      <w:r w:rsidRPr="00D03F3E">
        <w:rPr>
          <w:rFonts w:ascii="Times New Roman" w:hAnsi="Times New Roman"/>
          <w:color w:val="000000" w:themeColor="text1"/>
          <w:sz w:val="16"/>
          <w:szCs w:val="16"/>
        </w:rPr>
        <w:softHyphen/>
        <w:t>лась для подавления зенитных точек противника. Уход от цели осуществлял</w:t>
      </w:r>
      <w:r w:rsidRPr="00D03F3E">
        <w:rPr>
          <w:rFonts w:ascii="Times New Roman" w:hAnsi="Times New Roman"/>
          <w:color w:val="000000" w:themeColor="text1"/>
          <w:sz w:val="16"/>
          <w:szCs w:val="16"/>
        </w:rPr>
        <w:softHyphen/>
        <w:t>ся, как правило, на бреющем полете. Во время штурмовики экипажами Ил-2 целей на аэродроме, группы истреби-телей-блокировщиков и непосредствен</w:t>
      </w:r>
      <w:r w:rsidRPr="00D03F3E">
        <w:rPr>
          <w:rFonts w:ascii="Times New Roman" w:hAnsi="Times New Roman"/>
          <w:color w:val="000000" w:themeColor="text1"/>
          <w:sz w:val="16"/>
          <w:szCs w:val="16"/>
        </w:rPr>
        <w:softHyphen/>
        <w:t>ного истребительною прикрытия обыч</w:t>
      </w:r>
      <w:r w:rsidRPr="00D03F3E">
        <w:rPr>
          <w:rFonts w:ascii="Times New Roman" w:hAnsi="Times New Roman"/>
          <w:color w:val="000000" w:themeColor="text1"/>
          <w:sz w:val="16"/>
          <w:szCs w:val="16"/>
        </w:rPr>
        <w:softHyphen/>
        <w:t>но втягивались в затяжной воздушный бой с подоспевшими истребителями противника. Это были очень тяжелые воздушные бои. Боевой опыт показал, чю внезап</w:t>
      </w:r>
      <w:r w:rsidRPr="00D03F3E">
        <w:rPr>
          <w:rFonts w:ascii="Times New Roman" w:hAnsi="Times New Roman"/>
          <w:color w:val="000000" w:themeColor="text1"/>
          <w:sz w:val="16"/>
          <w:szCs w:val="16"/>
        </w:rPr>
        <w:softHyphen/>
        <w:t>ный выход штурмовиков на цель и эф</w:t>
      </w:r>
      <w:r w:rsidRPr="00D03F3E">
        <w:rPr>
          <w:rFonts w:ascii="Times New Roman" w:hAnsi="Times New Roman"/>
          <w:color w:val="000000" w:themeColor="text1"/>
          <w:sz w:val="16"/>
          <w:szCs w:val="16"/>
        </w:rPr>
        <w:softHyphen/>
        <w:t>фективность их действий обеспечива</w:t>
      </w:r>
      <w:r w:rsidRPr="00D03F3E">
        <w:rPr>
          <w:rFonts w:ascii="Times New Roman" w:hAnsi="Times New Roman"/>
          <w:color w:val="000000" w:themeColor="text1"/>
          <w:sz w:val="16"/>
          <w:szCs w:val="16"/>
        </w:rPr>
        <w:softHyphen/>
        <w:t>лись только тогда, когда летный состав группы был хорошо слетам, отлично знал маршрут и характер цели, командир группы хотя бы один раз "ходил" на аэродром, а ос</w:t>
      </w:r>
      <w:r w:rsidRPr="00D03F3E">
        <w:rPr>
          <w:rFonts w:ascii="Times New Roman" w:hAnsi="Times New Roman"/>
          <w:color w:val="000000" w:themeColor="text1"/>
          <w:sz w:val="16"/>
          <w:szCs w:val="16"/>
        </w:rPr>
        <w:softHyphen/>
        <w:t>тальной состав тщательно изучил цель по кортом, пла</w:t>
      </w:r>
      <w:r w:rsidRPr="00D03F3E">
        <w:rPr>
          <w:rFonts w:ascii="Times New Roman" w:hAnsi="Times New Roman"/>
          <w:color w:val="000000" w:themeColor="text1"/>
          <w:sz w:val="16"/>
          <w:szCs w:val="16"/>
        </w:rPr>
        <w:softHyphen/>
        <w:t>нам или фогосхемом. По этим причинам при повторных ударах по аэродромам командиры полков старались не ме</w:t>
      </w:r>
      <w:r w:rsidRPr="00D03F3E">
        <w:rPr>
          <w:rFonts w:ascii="Times New Roman" w:hAnsi="Times New Roman"/>
          <w:color w:val="000000" w:themeColor="text1"/>
          <w:sz w:val="16"/>
          <w:szCs w:val="16"/>
        </w:rPr>
        <w:softHyphen/>
        <w:t>нять ведущих групп и по возможности сохраняли тог же состав групп. В дополнение к ска</w:t>
      </w:r>
      <w:r w:rsidRPr="00D03F3E">
        <w:rPr>
          <w:rFonts w:ascii="Times New Roman" w:hAnsi="Times New Roman"/>
          <w:color w:val="000000" w:themeColor="text1"/>
          <w:sz w:val="16"/>
          <w:szCs w:val="16"/>
        </w:rPr>
        <w:softHyphen/>
        <w:t>занному, следует добавить, что посты системы ВНОС у немцев имели отличную организацию, вследствие чего работали чрезвычайно эффективно. Немецкие по</w:t>
      </w:r>
      <w:r w:rsidRPr="00D03F3E">
        <w:rPr>
          <w:rFonts w:ascii="Times New Roman" w:hAnsi="Times New Roman"/>
          <w:color w:val="000000" w:themeColor="text1"/>
          <w:sz w:val="16"/>
          <w:szCs w:val="16"/>
        </w:rPr>
        <w:softHyphen/>
        <w:t>сты глубоко эшелонировались в глуби</w:t>
      </w:r>
      <w:r w:rsidRPr="00D03F3E">
        <w:rPr>
          <w:rFonts w:ascii="Times New Roman" w:hAnsi="Times New Roman"/>
          <w:color w:val="000000" w:themeColor="text1"/>
          <w:sz w:val="16"/>
          <w:szCs w:val="16"/>
        </w:rPr>
        <w:softHyphen/>
        <w:t>ну своей территории и располагались довольно плотно. Расстояние между ними на линии боевого соприкоснове</w:t>
      </w:r>
      <w:r w:rsidRPr="00D03F3E">
        <w:rPr>
          <w:rFonts w:ascii="Times New Roman" w:hAnsi="Times New Roman"/>
          <w:color w:val="000000" w:themeColor="text1"/>
          <w:sz w:val="16"/>
          <w:szCs w:val="16"/>
        </w:rPr>
        <w:softHyphen/>
        <w:t>ния редко превышало 10км. Долететь экипажам Ил-2 до немецкого аэродро</w:t>
      </w:r>
      <w:r w:rsidRPr="00D03F3E">
        <w:rPr>
          <w:rFonts w:ascii="Times New Roman" w:hAnsi="Times New Roman"/>
          <w:color w:val="000000" w:themeColor="text1"/>
          <w:sz w:val="16"/>
          <w:szCs w:val="16"/>
        </w:rPr>
        <w:softHyphen/>
        <w:t>ма незамеченными удавалось далеко не всегда...(10783).</w:t>
      </w:r>
    </w:p>
    <w:p w14:paraId="52778758" w14:textId="77777777" w:rsidR="001F7164" w:rsidRPr="00D03F3E" w:rsidRDefault="001F7164"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901EB3" w14:textId="77777777" w:rsidR="001F7164" w:rsidRPr="00D03F3E"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лету 1943 г. почти повсеместно в танковых дивизиях основу танкового парка составляли средние и тяжелые тан</w:t>
      </w:r>
      <w:r w:rsidRPr="00D03F3E">
        <w:rPr>
          <w:rFonts w:ascii="Times New Roman" w:hAnsi="Times New Roman"/>
          <w:color w:val="000000" w:themeColor="text1"/>
          <w:sz w:val="16"/>
          <w:szCs w:val="16"/>
        </w:rPr>
        <w:softHyphen/>
        <w:t>ки, вооруженные преимущественно новыми пушками ка</w:t>
      </w:r>
      <w:r w:rsidRPr="00D03F3E">
        <w:rPr>
          <w:rFonts w:ascii="Times New Roman" w:hAnsi="Times New Roman"/>
          <w:color w:val="000000" w:themeColor="text1"/>
          <w:sz w:val="16"/>
          <w:szCs w:val="16"/>
        </w:rPr>
        <w:softHyphen/>
        <w:t>либра 75-мм и 88-мм, тогда как легкие, вооруженные 20-мм и 37-мм пушками, составляли теперь абсолютное меньшинство.</w:t>
      </w:r>
    </w:p>
    <w:p w14:paraId="09F689CE" w14:textId="77777777" w:rsidR="001F7164" w:rsidRPr="00D03F3E"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«Реализованная немцами система артиллерийского воору</w:t>
      </w:r>
      <w:r w:rsidRPr="00D03F3E">
        <w:rPr>
          <w:rFonts w:ascii="Times New Roman" w:hAnsi="Times New Roman"/>
          <w:color w:val="000000" w:themeColor="text1"/>
          <w:sz w:val="16"/>
          <w:szCs w:val="16"/>
        </w:rPr>
        <w:softHyphen/>
        <w:t>жения бронетанковых частей лета-осени 1943 г. (по времени появления на полях битв) не является случайной и представля</w:t>
      </w:r>
      <w:r w:rsidRPr="00D03F3E">
        <w:rPr>
          <w:rFonts w:ascii="Times New Roman" w:hAnsi="Times New Roman"/>
          <w:color w:val="000000" w:themeColor="text1"/>
          <w:sz w:val="16"/>
          <w:szCs w:val="16"/>
        </w:rPr>
        <w:softHyphen/>
        <w:t>ет собой третью систему артвооружения танков и самоходов фашистской Германии за три года войны, в течение которых немцы конструктивно отрабатывали три идеи тактико-тех</w:t>
      </w:r>
      <w:r w:rsidRPr="00D03F3E">
        <w:rPr>
          <w:rFonts w:ascii="Times New Roman" w:hAnsi="Times New Roman"/>
          <w:color w:val="000000" w:themeColor="text1"/>
          <w:sz w:val="16"/>
          <w:szCs w:val="16"/>
        </w:rPr>
        <w:softHyphen/>
        <w:t>нических требований к артиллерийским танковым орудиям.</w:t>
      </w:r>
    </w:p>
    <w:p w14:paraId="52114FF8" w14:textId="77777777" w:rsidR="001F7164" w:rsidRPr="00D03F3E"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Первая идея тактико-технических требований преду</w:t>
      </w:r>
      <w:r w:rsidRPr="00D03F3E">
        <w:rPr>
          <w:rFonts w:ascii="Times New Roman" w:hAnsi="Times New Roman"/>
          <w:color w:val="000000" w:themeColor="text1"/>
          <w:sz w:val="16"/>
          <w:szCs w:val="16"/>
        </w:rPr>
        <w:softHyphen/>
        <w:t>сматривала получение скорострельной малокалиберной пуш</w:t>
      </w:r>
      <w:r w:rsidRPr="00D03F3E">
        <w:rPr>
          <w:rFonts w:ascii="Times New Roman" w:hAnsi="Times New Roman"/>
          <w:color w:val="000000" w:themeColor="text1"/>
          <w:sz w:val="16"/>
          <w:szCs w:val="16"/>
        </w:rPr>
        <w:softHyphen/>
        <w:t>ки с мощным бронебойным выстрелом, что и было осуществ</w:t>
      </w:r>
      <w:r w:rsidRPr="00D03F3E">
        <w:rPr>
          <w:rFonts w:ascii="Times New Roman" w:hAnsi="Times New Roman"/>
          <w:color w:val="000000" w:themeColor="text1"/>
          <w:sz w:val="16"/>
          <w:szCs w:val="16"/>
        </w:rPr>
        <w:softHyphen/>
        <w:t>лено в 37-мм и 50-мм танковых пушках. Эти пушки имели малый вес и незначительные габариты, что повышало их ог</w:t>
      </w:r>
      <w:r w:rsidRPr="00D03F3E">
        <w:rPr>
          <w:rFonts w:ascii="Times New Roman" w:hAnsi="Times New Roman"/>
          <w:color w:val="000000" w:themeColor="text1"/>
          <w:sz w:val="16"/>
          <w:szCs w:val="16"/>
        </w:rPr>
        <w:softHyphen/>
        <w:t>невую маневренность, скорострельность и разрешало резко увеличить число патронов возимого в танке боезапаса.</w:t>
      </w:r>
    </w:p>
    <w:p w14:paraId="7D35B668" w14:textId="77777777" w:rsidR="001F7164" w:rsidRPr="00D03F3E"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Мощность бронебойного выстрела достигалась широким применением подкалиберного снаряда с тяжелым карбидо-вольфрамовым сердечником. Так как снаряд обладает пони</w:t>
      </w:r>
      <w:r w:rsidRPr="00D03F3E">
        <w:rPr>
          <w:rFonts w:ascii="Times New Roman" w:hAnsi="Times New Roman"/>
          <w:color w:val="000000" w:themeColor="text1"/>
          <w:sz w:val="16"/>
          <w:szCs w:val="16"/>
        </w:rPr>
        <w:softHyphen/>
        <w:t>женным весом, относительно нормального бронебойного сна</w:t>
      </w:r>
      <w:r w:rsidRPr="00D03F3E">
        <w:rPr>
          <w:rFonts w:ascii="Times New Roman" w:hAnsi="Times New Roman"/>
          <w:color w:val="000000" w:themeColor="text1"/>
          <w:sz w:val="16"/>
          <w:szCs w:val="16"/>
        </w:rPr>
        <w:softHyphen/>
        <w:t>ряда, ему может быть сообщена высокая начальная скорость без нарушения прочности орудия...</w:t>
      </w:r>
    </w:p>
    <w:p w14:paraId="10A3A168" w14:textId="77777777" w:rsidR="001F7164" w:rsidRPr="00D03F3E"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вследствие «катушечной» формы снаряда, при его полете развивается большое сопротивление воздуха, что при</w:t>
      </w:r>
      <w:r w:rsidRPr="00D03F3E">
        <w:rPr>
          <w:rFonts w:ascii="Times New Roman" w:hAnsi="Times New Roman"/>
          <w:color w:val="000000" w:themeColor="text1"/>
          <w:sz w:val="16"/>
          <w:szCs w:val="16"/>
        </w:rPr>
        <w:softHyphen/>
        <w:t>водит к быстрой потере им начальной скорости и большому рассеиванию снарядов на средней и дальней дистанции. Стрельба подкалиберными снарядами такого типа на дис</w:t>
      </w:r>
      <w:r w:rsidRPr="00D03F3E">
        <w:rPr>
          <w:rFonts w:ascii="Times New Roman" w:hAnsi="Times New Roman"/>
          <w:color w:val="000000" w:themeColor="text1"/>
          <w:sz w:val="16"/>
          <w:szCs w:val="16"/>
        </w:rPr>
        <w:softHyphen/>
        <w:t>танции свыше 600м мало эффективна.</w:t>
      </w:r>
    </w:p>
    <w:p w14:paraId="7073BC5D" w14:textId="77777777" w:rsidR="001F7164" w:rsidRPr="00D03F3E"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Вторая идея тактико-технических требований являлась дальнейшим развитием первой. Ствол орудий делался цилиндро-коническим, что несколько повышает полезную работу порохо</w:t>
      </w:r>
      <w:r w:rsidRPr="00D03F3E">
        <w:rPr>
          <w:rFonts w:ascii="Times New Roman" w:hAnsi="Times New Roman"/>
          <w:color w:val="000000" w:themeColor="text1"/>
          <w:sz w:val="16"/>
          <w:szCs w:val="16"/>
        </w:rPr>
        <w:softHyphen/>
        <w:t>вых газов. Снаряд орудий с коническим каналом подобен подка-либерному, но обладает относительно большим весом и немного более удобообтекаемой формой, что обеспечивает лучшую куч</w:t>
      </w:r>
      <w:r w:rsidRPr="00D03F3E">
        <w:rPr>
          <w:rFonts w:ascii="Times New Roman" w:hAnsi="Times New Roman"/>
          <w:color w:val="000000" w:themeColor="text1"/>
          <w:sz w:val="16"/>
          <w:szCs w:val="16"/>
        </w:rPr>
        <w:softHyphen/>
        <w:t>ность стрельбы и мощность бронебойного действия на больших дистанциях... Но в танковом вооружении орудия с цилиндро-ко-ническим каналом ствола распространения не получили.</w:t>
      </w:r>
    </w:p>
    <w:p w14:paraId="230E34B9" w14:textId="77777777" w:rsidR="001F7164" w:rsidRPr="00D03F3E"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Наконец, третья идея тактико-технических требова</w:t>
      </w:r>
      <w:r w:rsidRPr="00D03F3E">
        <w:rPr>
          <w:rFonts w:ascii="Times New Roman" w:hAnsi="Times New Roman"/>
          <w:color w:val="000000" w:themeColor="text1"/>
          <w:sz w:val="16"/>
          <w:szCs w:val="16"/>
        </w:rPr>
        <w:softHyphen/>
        <w:t>ний к танковым орудиям заключалась в получении больших начальных скоростей снарядов среднего калибра за счет зна</w:t>
      </w:r>
      <w:r w:rsidRPr="00D03F3E">
        <w:rPr>
          <w:rFonts w:ascii="Times New Roman" w:hAnsi="Times New Roman"/>
          <w:color w:val="000000" w:themeColor="text1"/>
          <w:sz w:val="16"/>
          <w:szCs w:val="16"/>
        </w:rPr>
        <w:softHyphen/>
        <w:t>чительного удлинения канала ствола и увеличения абсолют</w:t>
      </w:r>
      <w:r w:rsidRPr="00D03F3E">
        <w:rPr>
          <w:rFonts w:ascii="Times New Roman" w:hAnsi="Times New Roman"/>
          <w:color w:val="000000" w:themeColor="text1"/>
          <w:sz w:val="16"/>
          <w:szCs w:val="16"/>
        </w:rPr>
        <w:softHyphen/>
        <w:t>ного и относительного веса порохового заряда.</w:t>
      </w:r>
    </w:p>
    <w:p w14:paraId="73095746" w14:textId="77777777" w:rsidR="001F7164" w:rsidRPr="00D03F3E"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Танковые орудия средних калибров имеют, конечно, больший вес и габариты, чем орудия первых двух типов, но зато они разрешают применение подкалиберных снарядов удобообтекаемой формы, а осколочно-фугасные их снаряды по мощности фугасного и осколочного действия обладают рядом неоспоримых выгод...</w:t>
      </w:r>
    </w:p>
    <w:p w14:paraId="48660FDD" w14:textId="77777777" w:rsidR="001F7164" w:rsidRPr="00D03F3E"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создавая систему вооружения 1943 г., немцы отказались от одностороннего развития танковых орудий путем увеличения их бронепробивной мощности и на</w:t>
      </w:r>
      <w:r w:rsidRPr="00D03F3E">
        <w:rPr>
          <w:rFonts w:ascii="Times New Roman" w:hAnsi="Times New Roman"/>
          <w:color w:val="000000" w:themeColor="text1"/>
          <w:sz w:val="16"/>
          <w:szCs w:val="16"/>
        </w:rPr>
        <w:softHyphen/>
        <w:t>чали придавать значительно большее значение осколочному и фугасному действию их выстрелов.</w:t>
      </w:r>
    </w:p>
    <w:p w14:paraId="0E7B7FCF" w14:textId="77777777" w:rsidR="001F7164" w:rsidRPr="00D03F3E"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этом отношении система вооружения 1943 г. является наиболее гармоничной и удовлетворяющей современным бое</w:t>
      </w:r>
      <w:r w:rsidRPr="00D03F3E">
        <w:rPr>
          <w:rFonts w:ascii="Times New Roman" w:hAnsi="Times New Roman"/>
          <w:color w:val="000000" w:themeColor="text1"/>
          <w:sz w:val="16"/>
          <w:szCs w:val="16"/>
        </w:rPr>
        <w:softHyphen/>
        <w:t>вым требованиям. Опыт боев показывает, что глубокое эше</w:t>
      </w:r>
      <w:r w:rsidRPr="00D03F3E">
        <w:rPr>
          <w:rFonts w:ascii="Times New Roman" w:hAnsi="Times New Roman"/>
          <w:color w:val="000000" w:themeColor="text1"/>
          <w:sz w:val="16"/>
          <w:szCs w:val="16"/>
        </w:rPr>
        <w:softHyphen/>
        <w:t>лонирование современной обороны, наличие специальных про</w:t>
      </w:r>
      <w:r w:rsidRPr="00D03F3E">
        <w:rPr>
          <w:rFonts w:ascii="Times New Roman" w:hAnsi="Times New Roman"/>
          <w:color w:val="000000" w:themeColor="text1"/>
          <w:sz w:val="16"/>
          <w:szCs w:val="16"/>
        </w:rPr>
        <w:softHyphen/>
        <w:t>тивотанковых оборонительных районов, в основе которых лежит высокая насыщенность артиллерией, требуют от танковых орудий обеспечить наилучшие возможности веде</w:t>
      </w:r>
      <w:r w:rsidRPr="00D03F3E">
        <w:rPr>
          <w:rFonts w:ascii="Times New Roman" w:hAnsi="Times New Roman"/>
          <w:color w:val="000000" w:themeColor="text1"/>
          <w:sz w:val="16"/>
          <w:szCs w:val="16"/>
        </w:rPr>
        <w:softHyphen/>
        <w:t>ния дуэльной борьбы с артиллерией, расположенной в боевых порядках обороняющихся...</w:t>
      </w:r>
    </w:p>
    <w:p w14:paraId="32E2D89B" w14:textId="77777777" w:rsidR="001F7164" w:rsidRPr="00D03F3E"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характеристики новых 75-мм и 88-мм танко</w:t>
      </w:r>
      <w:r w:rsidRPr="00D03F3E">
        <w:rPr>
          <w:rFonts w:ascii="Times New Roman" w:hAnsi="Times New Roman"/>
          <w:color w:val="000000" w:themeColor="text1"/>
          <w:sz w:val="16"/>
          <w:szCs w:val="16"/>
        </w:rPr>
        <w:softHyphen/>
        <w:t>вых и самоходных пушек, получивших распространение в 1943 г., помещены в табл!»</w:t>
      </w:r>
    </w:p>
    <w:p w14:paraId="439C72D2" w14:textId="77777777" w:rsidR="001F7164" w:rsidRPr="00D03F3E"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Далее в отчете особо подчеркивалось, что переход пан-церваффе на вооружение танков 75-мм и 88-мм орудиями привел не только к повышению бронепробиваемости не</w:t>
      </w:r>
      <w:r w:rsidRPr="00D03F3E">
        <w:rPr>
          <w:rFonts w:ascii="Times New Roman" w:hAnsi="Times New Roman"/>
          <w:color w:val="000000" w:themeColor="text1"/>
          <w:sz w:val="16"/>
          <w:szCs w:val="16"/>
        </w:rPr>
        <w:softHyphen/>
        <w:t>мецкой танковой артиллерии, но и к увеличению осколоч</w:t>
      </w:r>
      <w:r w:rsidRPr="00D03F3E">
        <w:rPr>
          <w:rFonts w:ascii="Times New Roman" w:hAnsi="Times New Roman"/>
          <w:color w:val="000000" w:themeColor="text1"/>
          <w:sz w:val="16"/>
          <w:szCs w:val="16"/>
        </w:rPr>
        <w:softHyphen/>
        <w:t>ного и фугасного действия танковой артиллерии. В этом плане внимание обращалось также на то, что часть «старых знакомых» — танков Рг III получила короткоствольные 75-мм орудия, имеющие осколочно-фугасный снаряд, сравнимый по мощности со снарядом танка Рг IV и штур</w:t>
      </w:r>
      <w:r w:rsidRPr="00D03F3E">
        <w:rPr>
          <w:rFonts w:ascii="Times New Roman" w:hAnsi="Times New Roman"/>
          <w:color w:val="000000" w:themeColor="text1"/>
          <w:sz w:val="16"/>
          <w:szCs w:val="16"/>
        </w:rPr>
        <w:softHyphen/>
        <w:t>мового орудия 5шО 40. В плане же боевого применения увеличение мощности вооружения танков позволило нем</w:t>
      </w:r>
      <w:r w:rsidRPr="00D03F3E">
        <w:rPr>
          <w:rFonts w:ascii="Times New Roman" w:hAnsi="Times New Roman"/>
          <w:color w:val="000000" w:themeColor="text1"/>
          <w:sz w:val="16"/>
          <w:szCs w:val="16"/>
        </w:rPr>
        <w:softHyphen/>
        <w:t>цам реализовать новые тактические приемы ведения боя:</w:t>
      </w:r>
    </w:p>
    <w:p w14:paraId="63EDCB30" w14:textId="77777777" w:rsidR="001F7164" w:rsidRPr="00D03F3E"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массирование средних и тяжелых танков и артсамоходов на направлении главного удара в наступательных операциях;</w:t>
      </w:r>
    </w:p>
    <w:p w14:paraId="3498D5AB" w14:textId="77777777" w:rsidR="001F7164" w:rsidRPr="00D03F3E"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использование мощности бронирования для ведения прицельного огня с места или маневрировании на ограничен</w:t>
      </w:r>
      <w:r w:rsidRPr="00D03F3E">
        <w:rPr>
          <w:rFonts w:ascii="Times New Roman" w:hAnsi="Times New Roman"/>
          <w:color w:val="000000" w:themeColor="text1"/>
          <w:sz w:val="16"/>
          <w:szCs w:val="16"/>
        </w:rPr>
        <w:softHyphen/>
        <w:t>ных участках местности;</w:t>
      </w:r>
    </w:p>
    <w:p w14:paraId="6649C3CE" w14:textId="77777777" w:rsidR="001F7164" w:rsidRPr="00D03F3E"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ведение эффективного огневого боя против наших тан</w:t>
      </w:r>
      <w:r w:rsidRPr="00D03F3E">
        <w:rPr>
          <w:rFonts w:ascii="Times New Roman" w:hAnsi="Times New Roman"/>
          <w:color w:val="000000" w:themeColor="text1"/>
          <w:sz w:val="16"/>
          <w:szCs w:val="16"/>
        </w:rPr>
        <w:softHyphen/>
        <w:t>ков, а главное — артиллерии на дистанции. 1000— 2000м, что обеспечивается мощностью бронебойного, и главное — фугас</w:t>
      </w:r>
      <w:r w:rsidRPr="00D03F3E">
        <w:rPr>
          <w:rFonts w:ascii="Times New Roman" w:hAnsi="Times New Roman"/>
          <w:color w:val="000000" w:themeColor="text1"/>
          <w:sz w:val="16"/>
          <w:szCs w:val="16"/>
        </w:rPr>
        <w:softHyphen/>
        <w:t>ного выстрелов».</w:t>
      </w:r>
    </w:p>
    <w:p w14:paraId="36E9A900" w14:textId="77777777" w:rsidR="001F7164" w:rsidRPr="00D03F3E"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Также в выводах по исследованию озвучивалась мысль, что немцы реализовали наиболее экономный вариант уси</w:t>
      </w:r>
      <w:r w:rsidRPr="00D03F3E">
        <w:rPr>
          <w:rFonts w:ascii="Times New Roman" w:hAnsi="Times New Roman"/>
          <w:color w:val="000000" w:themeColor="text1"/>
          <w:sz w:val="16"/>
          <w:szCs w:val="16"/>
        </w:rPr>
        <w:softHyphen/>
        <w:t>ления вооружения своих танков, как для пробития брони, так и для борьбы с полевыми укреплениями и огневыми точками, в ходе которого эффективная дальность стрельбы из танка увеличилась по сравнению с началом войны в 4—5 раз, а фугасное действие возросло в 2—3 раза..</w:t>
      </w:r>
    </w:p>
    <w:p w14:paraId="3D0545CF" w14:textId="77777777" w:rsidR="001F7164" w:rsidRPr="00D03F3E"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Далее, сравнивая массо-габаритные данные 75-мм пушки КдуК 42, 88-мм пушки 8шК 43 и унитарных патро</w:t>
      </w:r>
      <w:r w:rsidRPr="00D03F3E">
        <w:rPr>
          <w:rFonts w:ascii="Times New Roman" w:hAnsi="Times New Roman"/>
          <w:color w:val="000000" w:themeColor="text1"/>
          <w:sz w:val="16"/>
          <w:szCs w:val="16"/>
        </w:rPr>
        <w:softHyphen/>
        <w:t>нов к ним, автор признавал, что 75-мм длинноствольная пушка не имеет существенных преимуществ перед новой 88-мм пушкой как с точки зрения монтажа пушки в танке, так и с точки зрения ее боевого обслуживания. При этом пушка КууК 42 была на 30% слабее по бронепробиваемости и приблизительно на 16-17% по фугасности, а по стоимос</w:t>
      </w:r>
      <w:r w:rsidRPr="00D03F3E">
        <w:rPr>
          <w:rFonts w:ascii="Times New Roman" w:hAnsi="Times New Roman"/>
          <w:color w:val="000000" w:themeColor="text1"/>
          <w:sz w:val="16"/>
          <w:szCs w:val="16"/>
        </w:rPr>
        <w:softHyphen/>
        <w:t>ти указанное орудие превышает 75-мм пушку «обр. 1940 г.» (Ку/К 40) почти вдвое, имея при этом оригинальный вы</w:t>
      </w:r>
      <w:r w:rsidRPr="00D03F3E">
        <w:rPr>
          <w:rFonts w:ascii="Times New Roman" w:hAnsi="Times New Roman"/>
          <w:color w:val="000000" w:themeColor="text1"/>
          <w:sz w:val="16"/>
          <w:szCs w:val="16"/>
        </w:rPr>
        <w:softHyphen/>
        <w:t>стрел, размеры которого затрудняют размещение внутри танка большого возимого боекомплекта.</w:t>
      </w:r>
    </w:p>
    <w:p w14:paraId="0E53E3C1" w14:textId="77777777" w:rsidR="001F7164" w:rsidRPr="00D03F3E"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Автор статьи счел такое разнотипие главным недо</w:t>
      </w:r>
      <w:r w:rsidRPr="00D03F3E">
        <w:rPr>
          <w:rFonts w:ascii="Times New Roman" w:hAnsi="Times New Roman"/>
          <w:color w:val="000000" w:themeColor="text1"/>
          <w:sz w:val="16"/>
          <w:szCs w:val="16"/>
        </w:rPr>
        <w:softHyphen/>
        <w:t>статком немецкой системы танкового вооружения и сви</w:t>
      </w:r>
      <w:r w:rsidRPr="00D03F3E">
        <w:rPr>
          <w:rFonts w:ascii="Times New Roman" w:hAnsi="Times New Roman"/>
          <w:color w:val="000000" w:themeColor="text1"/>
          <w:sz w:val="16"/>
          <w:szCs w:val="16"/>
        </w:rPr>
        <w:softHyphen/>
        <w:t>детельством того, что она еще не закончена, прогнозируя, что в кампании 1944 г. в немецкой армии должны были появиться танки, вооруженные 88-мм длинноствольными пушками, 105-мм танковыми пушками или орудиями еще большего калибра... (11135).</w:t>
      </w:r>
    </w:p>
    <w:p w14:paraId="43551684" w14:textId="77777777" w:rsidR="001F7164" w:rsidRPr="00D03F3E"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4D90A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К лету 1943 г., учитывая количество поставленных в страну бомбардировщиков В-25, приступили к созданию на базе 4-й ГБАД ДД 4-го гвардейского БАК. В его </w:t>
      </w:r>
      <w:r w:rsidRPr="00D03F3E">
        <w:rPr>
          <w:color w:val="000000" w:themeColor="text1"/>
          <w:sz w:val="16"/>
          <w:szCs w:val="16"/>
        </w:rPr>
        <w:lastRenderedPageBreak/>
        <w:t>состав вошли 5-я ГБАД ДД, созданная в сентябре 1942 г. на основе 14-го ГБАП, и 747-й БАП ДД, который после переучивания с Ер-2 на В-25 получил наименование 22-й ГБАП ДД. В марте 1944 г. были образованы 335-й БАП ДД (с декабря - 34-й ГБАП) в составе 4-й ГБАД и 337-й БАП ДД (с декабря-35-й ГБАП ДД) в составе 5-й ГБАД. Кроме того, в составе 4-го ГБАК в августе 1944 г. сформировали отдельный 341-й дневной БАП, также вооруженный бомбардировщиками В-25 (3198).</w:t>
      </w:r>
    </w:p>
    <w:p w14:paraId="64B35A8A" w14:textId="77777777" w:rsidR="00531570" w:rsidRPr="00D03F3E" w:rsidRDefault="00531570" w:rsidP="00D03F3E">
      <w:pPr>
        <w:pStyle w:val="Iauiue"/>
        <w:jc w:val="both"/>
        <w:rPr>
          <w:color w:val="000000" w:themeColor="text1"/>
          <w:sz w:val="16"/>
          <w:szCs w:val="16"/>
        </w:rPr>
      </w:pPr>
    </w:p>
    <w:p w14:paraId="4FA5545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 лету 1943 г. немецкие ВВС все еще обладали значительной силой. Истребителями, равными немецким по всему комплексу летно-боевых качеств, в составе ВВС КА были только Ла-5ФН и, отчасти, Як-9. Но последних к началу Курской битвы в авиаполках воздушных армий было немного - не более двух сотен. Составлявшие же основную мас</w:t>
      </w:r>
      <w:r w:rsidRPr="00D03F3E">
        <w:rPr>
          <w:color w:val="000000" w:themeColor="text1"/>
          <w:sz w:val="16"/>
          <w:szCs w:val="16"/>
        </w:rPr>
        <w:softHyphen/>
        <w:t>су советских ВВС истребители Ла-5, Як-76 и Як-1 не отвечали требованиям этого периода войны, уступая немецким ма</w:t>
      </w:r>
      <w:r w:rsidRPr="00D03F3E">
        <w:rPr>
          <w:color w:val="000000" w:themeColor="text1"/>
          <w:sz w:val="16"/>
          <w:szCs w:val="16"/>
        </w:rPr>
        <w:softHyphen/>
        <w:t>шинам по определяющим характерис</w:t>
      </w:r>
      <w:r w:rsidRPr="00D03F3E">
        <w:rPr>
          <w:color w:val="000000" w:themeColor="text1"/>
          <w:sz w:val="16"/>
          <w:szCs w:val="16"/>
        </w:rPr>
        <w:softHyphen/>
        <w:t>тикам - максимальной скорости, верти</w:t>
      </w:r>
      <w:r w:rsidRPr="00D03F3E">
        <w:rPr>
          <w:color w:val="000000" w:themeColor="text1"/>
          <w:sz w:val="16"/>
          <w:szCs w:val="16"/>
        </w:rPr>
        <w:softHyphen/>
        <w:t>кальному маневру и разгонным харак</w:t>
      </w:r>
      <w:r w:rsidRPr="00D03F3E">
        <w:rPr>
          <w:color w:val="000000" w:themeColor="text1"/>
          <w:sz w:val="16"/>
          <w:szCs w:val="16"/>
        </w:rPr>
        <w:softHyphen/>
        <w:t>теристикам... Для того чтобы побеждать немецкие "мессершмитты" на Ла-5Ф необходимо было иметь отличную лет</w:t>
      </w:r>
      <w:r w:rsidRPr="00D03F3E">
        <w:rPr>
          <w:color w:val="000000" w:themeColor="text1"/>
          <w:sz w:val="16"/>
          <w:szCs w:val="16"/>
        </w:rPr>
        <w:softHyphen/>
        <w:t>ную, стрелковую и тактическую подготов</w:t>
      </w:r>
      <w:r w:rsidRPr="00D03F3E">
        <w:rPr>
          <w:color w:val="000000" w:themeColor="text1"/>
          <w:sz w:val="16"/>
          <w:szCs w:val="16"/>
        </w:rPr>
        <w:softHyphen/>
        <w:t>ку, чем большинство советских летчиков похвастаться еще не могло: пилоты-ин</w:t>
      </w:r>
      <w:r w:rsidRPr="00D03F3E">
        <w:rPr>
          <w:color w:val="000000" w:themeColor="text1"/>
          <w:sz w:val="16"/>
          <w:szCs w:val="16"/>
        </w:rPr>
        <w:softHyphen/>
        <w:t>структоры имели налет на боевом са</w:t>
      </w:r>
      <w:r w:rsidRPr="00D03F3E">
        <w:rPr>
          <w:color w:val="000000" w:themeColor="text1"/>
          <w:sz w:val="16"/>
          <w:szCs w:val="16"/>
        </w:rPr>
        <w:softHyphen/>
        <w:t>молете не более 20 часов, а "желторотики" - существенно меньше. ВВС Крас</w:t>
      </w:r>
      <w:r w:rsidRPr="00D03F3E">
        <w:rPr>
          <w:color w:val="000000" w:themeColor="text1"/>
          <w:sz w:val="16"/>
          <w:szCs w:val="16"/>
        </w:rPr>
        <w:softHyphen/>
        <w:t>ной Армии, как и под Сталинградом, все еще оставались в положении "отстаю</w:t>
      </w:r>
      <w:r w:rsidRPr="00D03F3E">
        <w:rPr>
          <w:color w:val="000000" w:themeColor="text1"/>
          <w:sz w:val="16"/>
          <w:szCs w:val="16"/>
        </w:rPr>
        <w:softHyphen/>
        <w:t>щей-догоняющей"...</w:t>
      </w:r>
    </w:p>
    <w:p w14:paraId="14A1A99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Во-вторых, в районе Курского высту</w:t>
      </w:r>
      <w:r w:rsidRPr="00D03F3E">
        <w:rPr>
          <w:color w:val="000000" w:themeColor="text1"/>
          <w:sz w:val="16"/>
          <w:szCs w:val="16"/>
        </w:rPr>
        <w:softHyphen/>
        <w:t>па Люфтваффе имели преимущество в аэродромном базировании авиации. Значительная часть аэродромов немец</w:t>
      </w:r>
      <w:r w:rsidRPr="00D03F3E">
        <w:rPr>
          <w:color w:val="000000" w:themeColor="text1"/>
          <w:sz w:val="16"/>
          <w:szCs w:val="16"/>
        </w:rPr>
        <w:softHyphen/>
        <w:t>кой истребительной авиации распола</w:t>
      </w:r>
      <w:r w:rsidRPr="00D03F3E">
        <w:rPr>
          <w:color w:val="000000" w:themeColor="text1"/>
          <w:sz w:val="16"/>
          <w:szCs w:val="16"/>
        </w:rPr>
        <w:softHyphen/>
        <w:t>галась в 18-30 км от линии фронта, а от</w:t>
      </w:r>
      <w:r w:rsidRPr="00D03F3E">
        <w:rPr>
          <w:color w:val="000000" w:themeColor="text1"/>
          <w:sz w:val="16"/>
          <w:szCs w:val="16"/>
        </w:rPr>
        <w:softHyphen/>
        <w:t>дельные посадочные площадки находи</w:t>
      </w:r>
      <w:r w:rsidRPr="00D03F3E">
        <w:rPr>
          <w:color w:val="000000" w:themeColor="text1"/>
          <w:sz w:val="16"/>
          <w:szCs w:val="16"/>
        </w:rPr>
        <w:softHyphen/>
        <w:t>лись всего лишь в 5-6 км от переднего фронта. Такое базирование авиации позволило немцам в первые дни сра</w:t>
      </w:r>
      <w:r w:rsidRPr="00D03F3E">
        <w:rPr>
          <w:color w:val="000000" w:themeColor="text1"/>
          <w:sz w:val="16"/>
          <w:szCs w:val="16"/>
        </w:rPr>
        <w:softHyphen/>
        <w:t>жения удерживать превосходство истре</w:t>
      </w:r>
      <w:r w:rsidRPr="00D03F3E">
        <w:rPr>
          <w:color w:val="000000" w:themeColor="text1"/>
          <w:sz w:val="16"/>
          <w:szCs w:val="16"/>
        </w:rPr>
        <w:softHyphen/>
        <w:t>бительных сил в воздухе над полем боя, несмотря на численное преимущество ВВС КА.</w:t>
      </w:r>
    </w:p>
    <w:p w14:paraId="18F47FE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 в-третьих, для борьбы с советской авиацией перед фронтом наступления немцы сосредоточили большое количе</w:t>
      </w:r>
      <w:r w:rsidRPr="00D03F3E">
        <w:rPr>
          <w:color w:val="000000" w:themeColor="text1"/>
          <w:sz w:val="16"/>
          <w:szCs w:val="16"/>
        </w:rPr>
        <w:softHyphen/>
        <w:t>ство огневых средств ПВО. По данным армейской разведки на орловском на</w:t>
      </w:r>
      <w:r w:rsidRPr="00D03F3E">
        <w:rPr>
          <w:color w:val="000000" w:themeColor="text1"/>
          <w:sz w:val="16"/>
          <w:szCs w:val="16"/>
        </w:rPr>
        <w:softHyphen/>
        <w:t>правлении в полосе наступления про</w:t>
      </w:r>
      <w:r w:rsidRPr="00D03F3E">
        <w:rPr>
          <w:color w:val="000000" w:themeColor="text1"/>
          <w:sz w:val="16"/>
          <w:szCs w:val="16"/>
        </w:rPr>
        <w:softHyphen/>
        <w:t>тивника шириной 36 км было сосредо</w:t>
      </w:r>
      <w:r w:rsidRPr="00D03F3E">
        <w:rPr>
          <w:color w:val="000000" w:themeColor="text1"/>
          <w:sz w:val="16"/>
          <w:szCs w:val="16"/>
        </w:rPr>
        <w:softHyphen/>
        <w:t>точено до 20 батарей среднекалиберной зенитной артиллерии, 242 зенитных ав</w:t>
      </w:r>
      <w:r w:rsidRPr="00D03F3E">
        <w:rPr>
          <w:color w:val="000000" w:themeColor="text1"/>
          <w:sz w:val="16"/>
          <w:szCs w:val="16"/>
        </w:rPr>
        <w:softHyphen/>
        <w:t>томатов МЗА и 240 крупнокалиберных зенитных установок. Перед Воронежс</w:t>
      </w:r>
      <w:r w:rsidRPr="00D03F3E">
        <w:rPr>
          <w:color w:val="000000" w:themeColor="text1"/>
          <w:sz w:val="16"/>
          <w:szCs w:val="16"/>
        </w:rPr>
        <w:softHyphen/>
        <w:t>ким фронтом в районе Тросное, Змиев, Лебедин действовало свыше трех зенит</w:t>
      </w:r>
      <w:r w:rsidRPr="00D03F3E">
        <w:rPr>
          <w:color w:val="000000" w:themeColor="text1"/>
          <w:sz w:val="16"/>
          <w:szCs w:val="16"/>
        </w:rPr>
        <w:softHyphen/>
        <w:t>ных дивизий, причем только воздушной разведкой были обнаружены 121 бата</w:t>
      </w:r>
      <w:r w:rsidRPr="00D03F3E">
        <w:rPr>
          <w:color w:val="000000" w:themeColor="text1"/>
          <w:sz w:val="16"/>
          <w:szCs w:val="16"/>
        </w:rPr>
        <w:softHyphen/>
        <w:t>рея зенитной артиллерии среднего ка</w:t>
      </w:r>
      <w:r w:rsidRPr="00D03F3E">
        <w:rPr>
          <w:color w:val="000000" w:themeColor="text1"/>
          <w:sz w:val="16"/>
          <w:szCs w:val="16"/>
        </w:rPr>
        <w:softHyphen/>
        <w:t>либра и 68 прожекторов. Согласно не</w:t>
      </w:r>
      <w:r w:rsidRPr="00D03F3E">
        <w:rPr>
          <w:color w:val="000000" w:themeColor="text1"/>
          <w:sz w:val="16"/>
          <w:szCs w:val="16"/>
        </w:rPr>
        <w:softHyphen/>
        <w:t>мецким документам в одной зенитной дивизии имелось 81 прожектор, до 36 105-мм или 150-мм зенитных орудий, 108 88-мм орудий и 270 20-мм или 37-мм зенитных автоматов. Наличие такого ко</w:t>
      </w:r>
      <w:r w:rsidRPr="00D03F3E">
        <w:rPr>
          <w:color w:val="000000" w:themeColor="text1"/>
          <w:sz w:val="16"/>
          <w:szCs w:val="16"/>
        </w:rPr>
        <w:softHyphen/>
        <w:t>личества зенитных средств обеспечива</w:t>
      </w:r>
      <w:r w:rsidRPr="00D03F3E">
        <w:rPr>
          <w:color w:val="000000" w:themeColor="text1"/>
          <w:sz w:val="16"/>
          <w:szCs w:val="16"/>
        </w:rPr>
        <w:softHyphen/>
        <w:t>ло на направлении главного удара про</w:t>
      </w:r>
      <w:r w:rsidRPr="00D03F3E">
        <w:rPr>
          <w:color w:val="000000" w:themeColor="text1"/>
          <w:sz w:val="16"/>
          <w:szCs w:val="16"/>
        </w:rPr>
        <w:softHyphen/>
        <w:t>тивника трехслойный огонь зенитной артиллерии среднего калибра и четырехслойный огонь МЗА со всеми выте</w:t>
      </w:r>
      <w:r w:rsidRPr="00D03F3E">
        <w:rPr>
          <w:color w:val="000000" w:themeColor="text1"/>
          <w:sz w:val="16"/>
          <w:szCs w:val="16"/>
        </w:rPr>
        <w:softHyphen/>
        <w:t>кающими из этого последствиями для ВВС КА...</w:t>
      </w:r>
    </w:p>
    <w:p w14:paraId="76DB2CD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аэродромах в районах Орла, Бел</w:t>
      </w:r>
      <w:r w:rsidRPr="00D03F3E">
        <w:rPr>
          <w:color w:val="000000" w:themeColor="text1"/>
          <w:sz w:val="16"/>
          <w:szCs w:val="16"/>
        </w:rPr>
        <w:softHyphen/>
        <w:t>города и Харькова немецкое командо</w:t>
      </w:r>
      <w:r w:rsidRPr="00D03F3E">
        <w:rPr>
          <w:color w:val="000000" w:themeColor="text1"/>
          <w:sz w:val="16"/>
          <w:szCs w:val="16"/>
        </w:rPr>
        <w:softHyphen/>
        <w:t>вание сосредоточило свои лучшие авиа</w:t>
      </w:r>
      <w:r w:rsidRPr="00D03F3E">
        <w:rPr>
          <w:color w:val="000000" w:themeColor="text1"/>
          <w:sz w:val="16"/>
          <w:szCs w:val="16"/>
        </w:rPr>
        <w:softHyphen/>
        <w:t>ционные силы. Ударную группу немец</w:t>
      </w:r>
      <w:r w:rsidRPr="00D03F3E">
        <w:rPr>
          <w:color w:val="000000" w:themeColor="text1"/>
          <w:sz w:val="16"/>
          <w:szCs w:val="16"/>
        </w:rPr>
        <w:softHyphen/>
        <w:t>ких войск в районе Курска должен был поддерживать 6-й воздушный флот, се</w:t>
      </w:r>
      <w:r w:rsidRPr="00D03F3E">
        <w:rPr>
          <w:color w:val="000000" w:themeColor="text1"/>
          <w:sz w:val="16"/>
          <w:szCs w:val="16"/>
        </w:rPr>
        <w:softHyphen/>
        <w:t>вернее Харькова - 4-й воздушный флот и 2-й венгерский авиационный корпус, на орловском направлении - 1-я воз</w:t>
      </w:r>
      <w:r w:rsidRPr="00D03F3E">
        <w:rPr>
          <w:color w:val="000000" w:themeColor="text1"/>
          <w:sz w:val="16"/>
          <w:szCs w:val="16"/>
        </w:rPr>
        <w:softHyphen/>
        <w:t>душная дивизия из состава 6-го воздуш</w:t>
      </w:r>
      <w:r w:rsidRPr="00D03F3E">
        <w:rPr>
          <w:color w:val="000000" w:themeColor="text1"/>
          <w:sz w:val="16"/>
          <w:szCs w:val="16"/>
        </w:rPr>
        <w:softHyphen/>
        <w:t>ного флота.</w:t>
      </w:r>
    </w:p>
    <w:p w14:paraId="5153F3D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Группировка Люфтваффе, предназна</w:t>
      </w:r>
      <w:r w:rsidRPr="00D03F3E">
        <w:rPr>
          <w:color w:val="000000" w:themeColor="text1"/>
          <w:sz w:val="16"/>
          <w:szCs w:val="16"/>
        </w:rPr>
        <w:softHyphen/>
        <w:t>ченная для участия в предстоящем сра</w:t>
      </w:r>
      <w:r w:rsidRPr="00D03F3E">
        <w:rPr>
          <w:color w:val="000000" w:themeColor="text1"/>
          <w:sz w:val="16"/>
          <w:szCs w:val="16"/>
        </w:rPr>
        <w:softHyphen/>
        <w:t>жении, насчитывала 2050 боевых само</w:t>
      </w:r>
      <w:r w:rsidRPr="00D03F3E">
        <w:rPr>
          <w:color w:val="000000" w:themeColor="text1"/>
          <w:sz w:val="16"/>
          <w:szCs w:val="16"/>
        </w:rPr>
        <w:softHyphen/>
        <w:t>летов всех типов: 660 дневных и 80 ноч</w:t>
      </w:r>
      <w:r w:rsidRPr="00D03F3E">
        <w:rPr>
          <w:color w:val="000000" w:themeColor="text1"/>
          <w:sz w:val="16"/>
          <w:szCs w:val="16"/>
        </w:rPr>
        <w:softHyphen/>
        <w:t>ных бомбардировщиков, 440 пикирующих бомбардировщиков, 100 штурмовиков, 630 истребителей и 140 самолетов-развед</w:t>
      </w:r>
      <w:r w:rsidRPr="00D03F3E">
        <w:rPr>
          <w:color w:val="000000" w:themeColor="text1"/>
          <w:sz w:val="16"/>
          <w:szCs w:val="16"/>
        </w:rPr>
        <w:softHyphen/>
        <w:t>чиков, что составляло 80% всей авиа</w:t>
      </w:r>
      <w:r w:rsidRPr="00D03F3E">
        <w:rPr>
          <w:color w:val="000000" w:themeColor="text1"/>
          <w:sz w:val="16"/>
          <w:szCs w:val="16"/>
        </w:rPr>
        <w:softHyphen/>
        <w:t>ции Восточного фронта.</w:t>
      </w:r>
    </w:p>
    <w:p w14:paraId="1CBF7BA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соответствии с решением Ставки ВГК к боевым действиям на Курском выступе привлекались три воздушные армии: 2-я (Воронежский фронт) и 16-я (Центральный фронт) воздушные армии прикрывали курское и орловское на</w:t>
      </w:r>
      <w:r w:rsidRPr="00D03F3E">
        <w:rPr>
          <w:color w:val="000000" w:themeColor="text1"/>
          <w:sz w:val="16"/>
          <w:szCs w:val="16"/>
        </w:rPr>
        <w:softHyphen/>
        <w:t>правления, а 17-я ВА (Юго-Западный фронт) - белгородско-харьковское на</w:t>
      </w:r>
      <w:r w:rsidRPr="00D03F3E">
        <w:rPr>
          <w:color w:val="000000" w:themeColor="text1"/>
          <w:sz w:val="16"/>
          <w:szCs w:val="16"/>
        </w:rPr>
        <w:softHyphen/>
        <w:t>правление.</w:t>
      </w:r>
    </w:p>
    <w:p w14:paraId="78F817C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Кроме того, для помощи 16-й ВА на орловском направлении предполагалось задействовать часть сил 15-й воздуш</w:t>
      </w:r>
      <w:r w:rsidRPr="00D03F3E">
        <w:rPr>
          <w:color w:val="000000" w:themeColor="text1"/>
          <w:sz w:val="16"/>
          <w:szCs w:val="16"/>
        </w:rPr>
        <w:softHyphen/>
        <w:t>ной армии Брянского фронта.</w:t>
      </w:r>
    </w:p>
    <w:p w14:paraId="60B5F4A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тылах Центрального и Воронежс</w:t>
      </w:r>
      <w:r w:rsidRPr="00D03F3E">
        <w:rPr>
          <w:color w:val="000000" w:themeColor="text1"/>
          <w:sz w:val="16"/>
          <w:szCs w:val="16"/>
        </w:rPr>
        <w:softHyphen/>
        <w:t>кого фронтов разворачивался резерв Ставки ВГК - Степной военный округ (09.07.43 г. переименован в Степной фронт), который обеспечивался 5-й воз</w:t>
      </w:r>
      <w:r w:rsidRPr="00D03F3E">
        <w:rPr>
          <w:color w:val="000000" w:themeColor="text1"/>
          <w:sz w:val="16"/>
          <w:szCs w:val="16"/>
        </w:rPr>
        <w:softHyphen/>
        <w:t>душной армией. Предполагалось, что войска Степного военного округа будут введены в сражение в случае прорыва немецкими войсками обороны Воронеж</w:t>
      </w:r>
      <w:r w:rsidRPr="00D03F3E">
        <w:rPr>
          <w:color w:val="000000" w:themeColor="text1"/>
          <w:sz w:val="16"/>
          <w:szCs w:val="16"/>
        </w:rPr>
        <w:softHyphen/>
        <w:t>ского или Центрального фронтов, а в период контрнаступления - для оконча</w:t>
      </w:r>
      <w:r w:rsidRPr="00D03F3E">
        <w:rPr>
          <w:color w:val="000000" w:themeColor="text1"/>
          <w:sz w:val="16"/>
          <w:szCs w:val="16"/>
        </w:rPr>
        <w:softHyphen/>
        <w:t>тельного разгрома противника в райо</w:t>
      </w:r>
      <w:r w:rsidRPr="00D03F3E">
        <w:rPr>
          <w:color w:val="000000" w:themeColor="text1"/>
          <w:sz w:val="16"/>
          <w:szCs w:val="16"/>
        </w:rPr>
        <w:softHyphen/>
        <w:t>не Харькова и Белгорода.</w:t>
      </w:r>
    </w:p>
    <w:p w14:paraId="3F779B2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Накануне сражения 17-я ВА имела 657 боевых самолетов всех типов, из них 231 (22 неисправных) Ил-2 и 255 истреби</w:t>
      </w:r>
      <w:r w:rsidRPr="00D03F3E">
        <w:rPr>
          <w:color w:val="000000" w:themeColor="text1"/>
          <w:sz w:val="16"/>
          <w:szCs w:val="16"/>
        </w:rPr>
        <w:softHyphen/>
        <w:t>телей: Ла-5 - 113 (7 неисправных), Як-1 и Як-7 - 142 (21 неисправных). 2-я ВА насчитывала 1153 боевых са</w:t>
      </w:r>
      <w:r w:rsidRPr="00D03F3E">
        <w:rPr>
          <w:color w:val="000000" w:themeColor="text1"/>
          <w:sz w:val="16"/>
          <w:szCs w:val="16"/>
        </w:rPr>
        <w:softHyphen/>
        <w:t>молетов всех типов, из них 311 Ил-2 (32 машины были неисправными) и 601 ис</w:t>
      </w:r>
      <w:r w:rsidRPr="00D03F3E">
        <w:rPr>
          <w:color w:val="000000" w:themeColor="text1"/>
          <w:sz w:val="16"/>
          <w:szCs w:val="16"/>
        </w:rPr>
        <w:softHyphen/>
        <w:t>требитель: Ла-5 - 216 (21 неисправных), Як-1 и Як-7 - 381 (при 74 неисправных) и 4 единицы ретро-истребителей И-16. В 16-й ВА имелось 1218 боевых са</w:t>
      </w:r>
      <w:r w:rsidRPr="00D03F3E">
        <w:rPr>
          <w:color w:val="000000" w:themeColor="text1"/>
          <w:sz w:val="16"/>
          <w:szCs w:val="16"/>
        </w:rPr>
        <w:softHyphen/>
        <w:t>молетов всех типов, из них 295 Ил-2 (28 были неисправными) и 558 истребите</w:t>
      </w:r>
      <w:r w:rsidRPr="00D03F3E">
        <w:rPr>
          <w:color w:val="000000" w:themeColor="text1"/>
          <w:sz w:val="16"/>
          <w:szCs w:val="16"/>
        </w:rPr>
        <w:softHyphen/>
        <w:t>лей: Ла-5 - 170 (7 неисправных), ЛаГГ-3 - 7, Як-1 и Як-7 - 278 (35 неисправных), Як-9 - 43 при 5 неисправных и Р-39 -64 машины (4 неисправных). В составе 15-й ВА из 967 боевых са</w:t>
      </w:r>
      <w:r w:rsidRPr="00D03F3E">
        <w:rPr>
          <w:color w:val="000000" w:themeColor="text1"/>
          <w:sz w:val="16"/>
          <w:szCs w:val="16"/>
        </w:rPr>
        <w:softHyphen/>
        <w:t>молетов всех типов имелось 314 исправ</w:t>
      </w:r>
      <w:r w:rsidRPr="00D03F3E">
        <w:rPr>
          <w:color w:val="000000" w:themeColor="text1"/>
          <w:sz w:val="16"/>
          <w:szCs w:val="16"/>
        </w:rPr>
        <w:softHyphen/>
        <w:t>ных и 33 неисправных штурмовика Ил-2 и 484 самолетов-истребителей: Ла-5 - 130 (8 неисправных), Як-1 и Як-7 - 350 (48 неисправных), И-16 - 3 и И-15бис (!) - 1 машина (6467).</w:t>
      </w:r>
    </w:p>
    <w:p w14:paraId="6A8759D7" w14:textId="77777777" w:rsidR="00531570" w:rsidRPr="00D03F3E" w:rsidRDefault="00531570" w:rsidP="00D03F3E">
      <w:pPr>
        <w:pStyle w:val="Iauiue"/>
        <w:jc w:val="both"/>
        <w:rPr>
          <w:color w:val="000000" w:themeColor="text1"/>
          <w:sz w:val="16"/>
          <w:szCs w:val="16"/>
        </w:rPr>
      </w:pPr>
    </w:p>
    <w:p w14:paraId="658E7BE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лету 1943 г. ближайшие аэродромы Люфтваффе, с которых могли взлетать неприятельские бомбардировщики, находились от Горького на удалении 600-700 км, но противник все же предпринял семь налетов значительными силами, причем в ночь на 7 июня наши посты ВНОС зафиксировали приближение к городу на высоте примерно 5000 м не менее 130 Ju 88 и Не 111 (что примерно в 2,5 раза превышало действительное количество участвовавших в налете немецких бомбардировщиков).</w:t>
      </w:r>
    </w:p>
    <w:p w14:paraId="2634FF6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этому времени 722-й иап возглавлял майор Д.И. Яедовской, одержавший на МиГ-3 ночные победы над Москвой и Ленинградом летом 1941 г. В полку было девять летчиков-орденоносцев, и все они, насколько известно, участвовали в отражении налетов, находясь в зонах ночного патрулирования, вплотную примыкавших к зонам огня зенитной артиллерии Горького. Первоначально пилоты вылетали поодиночке, затем действовали парами и звеньями, но во всех случаях не добились ни одного положительного результата. Впрочем, наши экипажи, летавшие на истребителях других типов, действовали столь же неудачно, отчасти из- за невозможности использования радиолокационной станции РУС-2.</w:t>
      </w:r>
    </w:p>
    <w:p w14:paraId="5A35DC4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на 8 июня старший лейтенант B.C. Табарчук обнаружил противника и принял неординарное решение: таранить Не 111, даже не выпустив по нему ни одной очереди. По докладу самого летчика, силуэт самолета противника был плохо виден, и он решил не допустить бомбометания любыми средствами. МиГ-3 Табарчука ударил винтом по рулям "хейнкеля", после чего совершил вынужденную посадку на фюзеляж в районе аэродрома.</w:t>
      </w:r>
    </w:p>
    <w:p w14:paraId="5F50071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Летчика наградили орденом Красного Знамени, а его боевую машину пришлось списать. Этот МиГ оказался единственной безвозвратной потерей 722-го иап за июнь 1943 г. Получил ранение старший сержант Аверин, попавший под обстрел стрелков противника. В то же время документы зафиксировали в полку значительное количество аварий и мелких летных происшествий, особенно при взлетах и посадках. Только одних колес было пробито 13 штук - многочисленные осколки вражеских бомб густо усеивали тогда летное поле аэродрома Стригино. В одном из вылетов незаурядное мастерство проявил ст. лейтенант Карих, сумевший благополучно посадить МиГ-3 на одно колесо (12045).</w:t>
      </w:r>
    </w:p>
    <w:p w14:paraId="1C2D479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1F4A05B" w14:textId="77777777" w:rsidR="00851D86" w:rsidRPr="00D03F3E" w:rsidRDefault="00851D8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 лету 1943 г. на Волховском, Севе- ро-3ападном, Калининском, 3ападном и Брян</w:t>
      </w:r>
      <w:r w:rsidRPr="00D03F3E">
        <w:rPr>
          <w:rFonts w:ascii="Times New Roman" w:hAnsi="Times New Roman"/>
          <w:color w:val="0070C0"/>
          <w:sz w:val="16"/>
          <w:szCs w:val="16"/>
        </w:rPr>
        <w:softHyphen/>
        <w:t>ском фронтах были сформированы и уже дейст</w:t>
      </w:r>
      <w:r w:rsidRPr="00D03F3E">
        <w:rPr>
          <w:rFonts w:ascii="Times New Roman" w:hAnsi="Times New Roman"/>
          <w:color w:val="0070C0"/>
          <w:sz w:val="16"/>
          <w:szCs w:val="16"/>
        </w:rPr>
        <w:softHyphen/>
        <w:t>вовали 1-й, 2-й, 3-й, 4-й, 7-й и 10-й ОВДААН.</w:t>
      </w:r>
    </w:p>
    <w:p w14:paraId="60B898A0" w14:textId="77777777" w:rsidR="00851D86" w:rsidRPr="00D03F3E" w:rsidRDefault="00851D8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Личный состав ОВДААН подчинялся непо</w:t>
      </w:r>
      <w:r w:rsidRPr="00D03F3E">
        <w:rPr>
          <w:rFonts w:ascii="Times New Roman" w:hAnsi="Times New Roman"/>
          <w:color w:val="0070C0"/>
          <w:sz w:val="16"/>
          <w:szCs w:val="16"/>
        </w:rPr>
        <w:softHyphen/>
        <w:t>средственно командующему артиллерией фрон</w:t>
      </w:r>
      <w:r w:rsidRPr="00D03F3E">
        <w:rPr>
          <w:rFonts w:ascii="Times New Roman" w:hAnsi="Times New Roman"/>
          <w:color w:val="0070C0"/>
          <w:sz w:val="16"/>
          <w:szCs w:val="16"/>
        </w:rPr>
        <w:softHyphen/>
        <w:t>та. Боевые подразделения дивизионов — возду</w:t>
      </w:r>
      <w:r w:rsidRPr="00D03F3E">
        <w:rPr>
          <w:rFonts w:ascii="Times New Roman" w:hAnsi="Times New Roman"/>
          <w:color w:val="0070C0"/>
          <w:sz w:val="16"/>
          <w:szCs w:val="16"/>
        </w:rPr>
        <w:softHyphen/>
        <w:t>хоплавательные отряды — придавались коман</w:t>
      </w:r>
      <w:r w:rsidRPr="00D03F3E">
        <w:rPr>
          <w:rFonts w:ascii="Times New Roman" w:hAnsi="Times New Roman"/>
          <w:color w:val="0070C0"/>
          <w:sz w:val="16"/>
          <w:szCs w:val="16"/>
        </w:rPr>
        <w:softHyphen/>
        <w:t>дующим артиллерией армий, командирам ар</w:t>
      </w:r>
      <w:r w:rsidRPr="00D03F3E">
        <w:rPr>
          <w:rFonts w:ascii="Times New Roman" w:hAnsi="Times New Roman"/>
          <w:color w:val="0070C0"/>
          <w:sz w:val="16"/>
          <w:szCs w:val="16"/>
        </w:rPr>
        <w:softHyphen/>
        <w:t>тиллерийских корпусов и армейских пушечных артиллерийских бригад (ПАБр). Когда требова</w:t>
      </w:r>
      <w:r w:rsidRPr="00D03F3E">
        <w:rPr>
          <w:rFonts w:ascii="Times New Roman" w:hAnsi="Times New Roman"/>
          <w:color w:val="0070C0"/>
          <w:sz w:val="16"/>
          <w:szCs w:val="16"/>
        </w:rPr>
        <w:softHyphen/>
        <w:t>ла обстановка на фронте, ОВДААН придавали в оперативное подчинение командующим артил</w:t>
      </w:r>
      <w:r w:rsidRPr="00D03F3E">
        <w:rPr>
          <w:rFonts w:ascii="Times New Roman" w:hAnsi="Times New Roman"/>
          <w:color w:val="0070C0"/>
          <w:sz w:val="16"/>
          <w:szCs w:val="16"/>
        </w:rPr>
        <w:softHyphen/>
        <w:t>лерией армий. Они применялись в большинстве операций Красной Армии от прорыва блокады Ленинграда 12-30 января 1943 г. до Берлинской наступательной операции 16 апреля — 7 мая 1945 г.</w:t>
      </w:r>
    </w:p>
    <w:p w14:paraId="24C41C9A" w14:textId="77777777" w:rsidR="00851D86" w:rsidRPr="00D03F3E" w:rsidRDefault="00851D8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этот период в составе Красной Армии име</w:t>
      </w:r>
      <w:r w:rsidRPr="00D03F3E">
        <w:rPr>
          <w:rFonts w:ascii="Times New Roman" w:hAnsi="Times New Roman"/>
          <w:color w:val="0070C0"/>
          <w:sz w:val="16"/>
          <w:szCs w:val="16"/>
        </w:rPr>
        <w:softHyphen/>
        <w:t>лось девять воздухоплавательных дивизионов, из которых только один находился на Дальнем Востоке. Так как не каждая армия имела свой воздухоплавательный дивизион, то ОВДААН'ы часто переподчиняли и перебрасывали на зна</w:t>
      </w:r>
      <w:r w:rsidRPr="00D03F3E">
        <w:rPr>
          <w:rFonts w:ascii="Times New Roman" w:hAnsi="Times New Roman"/>
          <w:color w:val="0070C0"/>
          <w:sz w:val="16"/>
          <w:szCs w:val="16"/>
        </w:rPr>
        <w:softHyphen/>
        <w:t>чительные расстояния, что снижало эффектив</w:t>
      </w:r>
      <w:r w:rsidRPr="00D03F3E">
        <w:rPr>
          <w:rFonts w:ascii="Times New Roman" w:hAnsi="Times New Roman"/>
          <w:color w:val="0070C0"/>
          <w:sz w:val="16"/>
          <w:szCs w:val="16"/>
        </w:rPr>
        <w:softHyphen/>
        <w:t>ность их применения.</w:t>
      </w:r>
    </w:p>
    <w:p w14:paraId="1289F7B2" w14:textId="77777777" w:rsidR="00851D86" w:rsidRPr="00D03F3E" w:rsidRDefault="00851D8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Как правило, ОВДААН состоял из трёх возду</w:t>
      </w:r>
      <w:r w:rsidRPr="00D03F3E">
        <w:rPr>
          <w:rFonts w:ascii="Times New Roman" w:hAnsi="Times New Roman"/>
          <w:color w:val="0070C0"/>
          <w:sz w:val="16"/>
          <w:szCs w:val="16"/>
        </w:rPr>
        <w:softHyphen/>
        <w:t>хоплавательных отрядов, штаба и обеспечиваю</w:t>
      </w:r>
      <w:r w:rsidRPr="00D03F3E">
        <w:rPr>
          <w:rFonts w:ascii="Times New Roman" w:hAnsi="Times New Roman"/>
          <w:color w:val="0070C0"/>
          <w:sz w:val="16"/>
          <w:szCs w:val="16"/>
        </w:rPr>
        <w:softHyphen/>
        <w:t>щих подразделений. На вооружении каждого отряда находился один аэростат и запасная обо</w:t>
      </w:r>
      <w:r w:rsidRPr="00D03F3E">
        <w:rPr>
          <w:rFonts w:ascii="Times New Roman" w:hAnsi="Times New Roman"/>
          <w:color w:val="0070C0"/>
          <w:sz w:val="16"/>
          <w:szCs w:val="16"/>
        </w:rPr>
        <w:softHyphen/>
        <w:t>лочка. В штабе дивизиона, находившегося в тылу войск, решались административно-хозяйствен</w:t>
      </w:r>
      <w:r w:rsidRPr="00D03F3E">
        <w:rPr>
          <w:rFonts w:ascii="Times New Roman" w:hAnsi="Times New Roman"/>
          <w:color w:val="0070C0"/>
          <w:sz w:val="16"/>
          <w:szCs w:val="16"/>
        </w:rPr>
        <w:softHyphen/>
        <w:t>ные, материально-технические и наградные во</w:t>
      </w:r>
      <w:r w:rsidRPr="00D03F3E">
        <w:rPr>
          <w:rFonts w:ascii="Times New Roman" w:hAnsi="Times New Roman"/>
          <w:color w:val="0070C0"/>
          <w:sz w:val="16"/>
          <w:szCs w:val="16"/>
        </w:rPr>
        <w:softHyphen/>
        <w:t>просы. Отряды в боевых действиях применялись самостоятельно под оперативным командовани</w:t>
      </w:r>
      <w:r w:rsidRPr="00D03F3E">
        <w:rPr>
          <w:rFonts w:ascii="Times New Roman" w:hAnsi="Times New Roman"/>
          <w:color w:val="0070C0"/>
          <w:sz w:val="16"/>
          <w:szCs w:val="16"/>
        </w:rPr>
        <w:softHyphen/>
        <w:t>ем обслуживаемых ими артиллерийских частей. Полученная наблюдателями информация пере</w:t>
      </w:r>
      <w:r w:rsidRPr="00D03F3E">
        <w:rPr>
          <w:rFonts w:ascii="Times New Roman" w:hAnsi="Times New Roman"/>
          <w:color w:val="0070C0"/>
          <w:sz w:val="16"/>
          <w:szCs w:val="16"/>
        </w:rPr>
        <w:softHyphen/>
        <w:t>давалась по телефону непосредственно из гондо</w:t>
      </w:r>
      <w:r w:rsidRPr="00D03F3E">
        <w:rPr>
          <w:rFonts w:ascii="Times New Roman" w:hAnsi="Times New Roman"/>
          <w:color w:val="0070C0"/>
          <w:sz w:val="16"/>
          <w:szCs w:val="16"/>
        </w:rPr>
        <w:softHyphen/>
        <w:t>лы аэростата в штаб артиллерийской части или подразделения (20120).</w:t>
      </w:r>
    </w:p>
    <w:p w14:paraId="51F02089" w14:textId="77777777" w:rsidR="00851D86" w:rsidRPr="00D03F3E" w:rsidRDefault="00851D86" w:rsidP="00D03F3E">
      <w:pPr>
        <w:spacing w:after="0" w:line="240" w:lineRule="auto"/>
        <w:jc w:val="both"/>
        <w:rPr>
          <w:rFonts w:ascii="Times New Roman" w:hAnsi="Times New Roman"/>
          <w:color w:val="0070C0"/>
          <w:sz w:val="16"/>
          <w:szCs w:val="16"/>
        </w:rPr>
      </w:pPr>
    </w:p>
    <w:p w14:paraId="102028DA"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3CCBE120" w14:textId="77777777" w:rsidR="00531570" w:rsidRPr="00D03F3E" w:rsidRDefault="00531570" w:rsidP="00D03F3E">
      <w:pPr>
        <w:pStyle w:val="Iauiue"/>
        <w:jc w:val="both"/>
        <w:rPr>
          <w:iCs/>
          <w:color w:val="000000" w:themeColor="text1"/>
          <w:sz w:val="16"/>
          <w:szCs w:val="16"/>
        </w:rPr>
      </w:pPr>
    </w:p>
    <w:p w14:paraId="74886F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 июню 1943 года завершили проектирование нового среднего танка, получившего название Т-43. Главное требование военных, обеспечить максимум защиты при минимальном увеличении массы, было выполнено. Его корпус, унаследовавший конфигурацию Т-34, уже имел круговое 75-мм бронирование..</w:t>
      </w:r>
    </w:p>
    <w:p w14:paraId="31330A0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Толщину лобовой части башни, в которой была установлена 76,2 мм танковая пушка Ф-34, довели до 90 мм (против 45 мм у Т-34). А вот длину моторно-трансмиссионного отделения сократить не удалось, в результате чего боевое отделение получилось меньше..</w:t>
      </w:r>
    </w:p>
    <w:p w14:paraId="0E13EE0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Поэтому, чтобы обеспечить экипажу необходимое внутреннее пространство, конструкторы впервые применили на среднем танке торсионную подвеску, более компактную, чем свечная, с вертикальными пружинами, как на танках БТ и Т-34,.</w:t>
      </w:r>
    </w:p>
    <w:p w14:paraId="2D9F73B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Превосходя Т-34 по бронезащите и не уступая по вооружению КВ-1 и КВ-1с, средний Т-43 однако, приблизился к тяжелым танкам по удельному давлению на грунт, что отрицательно сказалось на проходимости и запасе хода..</w:t>
      </w:r>
    </w:p>
    <w:p w14:paraId="5925E50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Но хуже всего было то, что его конструкция вышла предельной, исключающей дальнейшую модернизацию. И когда серийную "тридцатьчетверку" оснастили 85-мм пушкой, нужда в Т-43 временно отпала. Однако опыт работы над ним не пропал даром. Дело в том, что испытательный пробег Т-43 на 3 тыс. км. наглядно доказал правильность выбора для среднего танка торсионной подвески и бесперспективность поэтапного изменения традиционной компоновки. Стало ясно, что нужна </w:t>
      </w:r>
      <w:r w:rsidRPr="00D03F3E">
        <w:rPr>
          <w:color w:val="000000" w:themeColor="text1"/>
          <w:sz w:val="16"/>
          <w:szCs w:val="16"/>
        </w:rPr>
        <w:lastRenderedPageBreak/>
        <w:t>принципиально иная машина. Именно ее и начали проектировать в КБ Морозова. (3862).</w:t>
      </w:r>
    </w:p>
    <w:p w14:paraId="1DD113D1" w14:textId="77777777" w:rsidR="00531570" w:rsidRPr="00D03F3E" w:rsidRDefault="00531570" w:rsidP="00D03F3E">
      <w:pPr>
        <w:pStyle w:val="Iauiue"/>
        <w:jc w:val="both"/>
        <w:rPr>
          <w:color w:val="000000" w:themeColor="text1"/>
          <w:sz w:val="16"/>
          <w:szCs w:val="16"/>
        </w:rPr>
      </w:pPr>
    </w:p>
    <w:p w14:paraId="78F2089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июню 1944 увеличенных башен В. Ницен</w:t>
      </w:r>
      <w:r w:rsidRPr="00D03F3E">
        <w:rPr>
          <w:rFonts w:ascii="Times New Roman" w:hAnsi="Times New Roman"/>
          <w:color w:val="000000" w:themeColor="text1"/>
          <w:sz w:val="16"/>
          <w:szCs w:val="16"/>
        </w:rPr>
        <w:softHyphen/>
        <w:t>ко для Т-44было заказано еще 50. Поскольку башня являлась наиболее сложным узлом в новом танке, А. Морозов вновь настоял на изготовлении двух «ездящих лабораторий» из корпуса Т-34 и увеличен</w:t>
      </w:r>
      <w:r w:rsidRPr="00D03F3E">
        <w:rPr>
          <w:rFonts w:ascii="Times New Roman" w:hAnsi="Times New Roman"/>
          <w:color w:val="000000" w:themeColor="text1"/>
          <w:sz w:val="16"/>
          <w:szCs w:val="16"/>
        </w:rPr>
        <w:softHyphen/>
        <w:t>ной башни Т-43. Для того чтобы сделать такой гибрид, кор</w:t>
      </w:r>
      <w:r w:rsidRPr="00D03F3E">
        <w:rPr>
          <w:rFonts w:ascii="Times New Roman" w:hAnsi="Times New Roman"/>
          <w:color w:val="000000" w:themeColor="text1"/>
          <w:sz w:val="16"/>
          <w:szCs w:val="16"/>
        </w:rPr>
        <w:softHyphen/>
        <w:t>пус Т-34 был несколько изменен, на нем была установлена новая крыша с отверстием под бдшню диаметром 1600 мм. А так как высота кольцевого основания башни Т-43 была меньше, чем высота надмоторного кожуха Т-34, то для обеспечения вращения башни кольцевое основание было дополнено кольцевой вставкой (шайбой). Первый танк Т-34 с новой башней закончил первый этап испытаний к 15 мая 1943 г. Башня оказалась удачной. Почти все меха</w:t>
      </w:r>
      <w:r w:rsidRPr="00D03F3E">
        <w:rPr>
          <w:rFonts w:ascii="Times New Roman" w:hAnsi="Times New Roman"/>
          <w:color w:val="000000" w:themeColor="text1"/>
          <w:sz w:val="16"/>
          <w:szCs w:val="16"/>
        </w:rPr>
        <w:softHyphen/>
        <w:t>низмы в ней работали безупречно, лишь одностворчатый люк командира, требовавший уравновешивания, было ре</w:t>
      </w:r>
      <w:r w:rsidRPr="00D03F3E">
        <w:rPr>
          <w:rFonts w:ascii="Times New Roman" w:hAnsi="Times New Roman"/>
          <w:color w:val="000000" w:themeColor="text1"/>
          <w:sz w:val="16"/>
          <w:szCs w:val="16"/>
        </w:rPr>
        <w:softHyphen/>
        <w:t>комендовано заменить двухстворчатым (по типу люка за</w:t>
      </w:r>
      <w:r w:rsidRPr="00D03F3E">
        <w:rPr>
          <w:rFonts w:ascii="Times New Roman" w:hAnsi="Times New Roman"/>
          <w:color w:val="000000" w:themeColor="text1"/>
          <w:sz w:val="16"/>
          <w:szCs w:val="16"/>
        </w:rPr>
        <w:softHyphen/>
        <w:t>вода № 112 танка Т- 34). Новый корпус Т-43 был дополнен полноценным лю</w:t>
      </w:r>
      <w:r w:rsidRPr="00D03F3E">
        <w:rPr>
          <w:rFonts w:ascii="Times New Roman" w:hAnsi="Times New Roman"/>
          <w:color w:val="000000" w:themeColor="text1"/>
          <w:sz w:val="16"/>
          <w:szCs w:val="16"/>
        </w:rPr>
        <w:softHyphen/>
        <w:t>ком механика-водителя вместо люка-пробки, оснащен усиленными торсионами. В июне 1943 г. танк, прежде но</w:t>
      </w:r>
      <w:r w:rsidRPr="00D03F3E">
        <w:rPr>
          <w:rFonts w:ascii="Times New Roman" w:hAnsi="Times New Roman"/>
          <w:color w:val="000000" w:themeColor="text1"/>
          <w:sz w:val="16"/>
          <w:szCs w:val="16"/>
        </w:rPr>
        <w:softHyphen/>
        <w:t>сивший в наркомате индекс Т-44, был переименован в Т-43-П, или Т-43 эталонный (11135).</w:t>
      </w:r>
    </w:p>
    <w:p w14:paraId="783FCC7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293BBC9"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3897DDAB" w14:textId="77777777" w:rsidR="00531570" w:rsidRPr="00D03F3E" w:rsidRDefault="00531570" w:rsidP="00D03F3E">
      <w:pPr>
        <w:pStyle w:val="Iauiue"/>
        <w:jc w:val="both"/>
        <w:rPr>
          <w:iCs/>
          <w:color w:val="000000" w:themeColor="text1"/>
          <w:sz w:val="16"/>
          <w:szCs w:val="16"/>
        </w:rPr>
      </w:pPr>
    </w:p>
    <w:p w14:paraId="351FC62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июню 1943 Горьковский корпусной район ПВО под командованием генерал-майора артиллерии А. А. Осипова располагал самым большим количеством сил и средств среди городов Поволжья. В составе пяти полков и нескольких отдельных артдивизионов в общей сложности имелись 515 зенитных орудий, в т.ч. 433 пушки среднего калибра (76-мм и 85-мм) и 82 МЗА. Командование зенитной артиллерией осуществлял полковник П. А. Долгополов. Плотность ПВО Горького составляла примерно полтора-два зенитного орудия на один квадратный километр [141]  . Эти части имели 13 станций орудийной наводки (СОН-2), две радиолокационных станции РУС-2с «Пегматит», находившиеся в Правдинске и в районе станции Сейма. Кроме того, насчитывалось 107 аэростатов заграждения и 231 зенитный прожектор!</w:t>
      </w:r>
    </w:p>
    <w:p w14:paraId="1F02C37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Помимо этого, на ряде заводов имелись собственные «объектовые» подразделения противовоздушной обороны. В частности, на Горько веком автозаводе были установлены 11 самодельных зенитных установок на основе 20-мм авиационных пушек ШВАК. Но ценность этих «зениток» являлась весьма сомнительной, они даже не были приспособлены для стрельбы по пикирующим самолетам и могли палить только по бомбардировщикам, идущим над заводом на небольшой высоте.</w:t>
      </w:r>
    </w:p>
    <w:p w14:paraId="4812075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Однако ряду командиров и эти силы казались недостаточными. Так, 2 июня начальник пункта ПВО «Дзержинск», командир 583-го ЗенАП майор И. Б. Зугер, позже назначенный командиром 1291-го ЗенАП, в донесении командующему генералу Осипову представил расчеты по усилению пункта. Он писал, что для обороны объектов города требуется минимум 32 батареи зенитной артиллерии среднего калибра, а в наличии имелось «всего» 14, из которых одна была укомплектована76-мм пушками образца 1914—1915гг. В заключение Зугер написал:  «Имеющимися средствами зенитной артиллерии обеспечить надежную оборону порученных объектов невозможно». </w:t>
      </w:r>
    </w:p>
    <w:p w14:paraId="76AFB31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Боевые позиции зенитной артиллерии среднего калибра располагались вокруг города в трех секторах. Зенитно-артиллерийские полки строили свои боевые порядки в несколько линий зенитных батарей. Но их глубина была небольшой: передовая линия батарей находилась на удалении всего 5—7 км от границ обороняемых объектов. Многие батареи вообще находились непосредственно у объектов и даже на их территории. Соответственно наибольшая плотность зенитного артиллерийского огня создавалась непосредственно над прикрываемыми объектами, а не на подступах к ним, что было бы более разумно.</w:t>
      </w:r>
    </w:p>
    <w:p w14:paraId="4D77A06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Для отражения ночных налетов немецкой авиации основным видом стрельбы зениток среднего калибра все еще оставался заградительный огонь, т.е. стрельба по площадям, связанная с большим расходом боеприпасов. Объяснение этому простое: во-первых, несмотря на достаточно большое число зенитных прожекторов, размеры создаваемой ими световой зоны не обеспечивали необходимого светового упреждения для прицельной стрельбы зенитной артиллерии по захваченным прожекторами самолетам; во-вторых, стрельба по ненаблюдаемой цели по данным станций орудийной наводки до сих пор была освоена плохо. Складывается впечатление, что командование корпусного района ПВО готовилось только к отражению дневных налетов, по принципу «не вижу – не стреляю». А для освоения СОН, вероятно, не было не только необходимых инструкций, но и сказывались отсутствие самолетов-мишеней и нехватка боеприпасов, которые не выделялись для тренировки зенитных расчетов.</w:t>
      </w:r>
    </w:p>
    <w:p w14:paraId="015157E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Значительными силами располагала и 142-я ИАД ПВО под командованием полковника В. П. Иванова. К июню 1943 г. ее части были полностью обеспечены боеприпасами, горючим и средствами связи. Организационно дивизия состояла из четырех полков (423-й, 632-й, 722-й и 786-й ИАП) и трех батальонов аэродромного обслуживания (БАО). Истребители базировались на пяти аэродромах – Стригино, Правдинск, Дзержинск, Казань и Ковров. В ее составе в общей сложности имелись 87 самолетов, в т.ч. 72 исправных, а личный состав насчитывал 159 летчиков, в т.ч. 33 летчика-ночника 43 «облачника» и 47 т.н. высотников. 36 летчиков не были отнесены к указанным категориям.</w:t>
      </w:r>
    </w:p>
    <w:p w14:paraId="28A4F8A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в скором времени дивизия должна была получить еще 10 истребителей Ла-5 и 33 английских «Харрикейна». Пока же самолетный парк дивизии на 35% состоял из машин устаревших типов. Даже МиГ-3 к лету 1943 г. уже нельзя было считать последним словом авиатехники. Правда, других высотных перехватчиков советская промышленность до конца войны создать так и не смогла.</w:t>
      </w:r>
    </w:p>
    <w:p w14:paraId="5BE3F50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Проведенная Военным отделом бюро Горьковского обкома ВКП(б) проверка показала, что дивизия, несмотря на наличие большого количества сил и средств, не была подготовлена к отражению массированных налетов противника. Отсутствовала боевая подготовка и тренировка действий в воздухе в составе полка и в целом дивизии. Более или менее были отработаны лишь действия в составе звена (три истребителя) и поодиночке. Командир дивизии полковник Иванов в течение 1943 г. ни разу не проводил занятий с командирами полков. Плохо была поставлена воздушно-стрелковая подготовка. Так, командир эскадрильи Ярыгин в течение пяти месяцев всего один раз стрелял в воздухе по конусу. Теоретические занятия по стрельбе проводились только один раз в месяц, и то формально. В результате большинство летчиков 722-го ИАП, оснащенного высотными перехватчиками МиГ-3, вообще не умели грамотно прицеливаться. Летчики-ночники, «высотники» и т.н. заоблачники вследствие недостаточной тренировки были не подготовлены для воздушных боев ночью и на предельной высоте, т.е. весьма слабо соответствовали своим «специальностям».</w:t>
      </w:r>
    </w:p>
    <w:p w14:paraId="533D365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Средства связи по-прежнему использовались неудовлетворительно. По рации вместо четких команд велись длинные разговоры и монологи, доклады, например  «Патрулирую над Балахной», передавались открытым текстом. В дежурных подразделениях отсутствовал должный порядок и дисциплина. Так, дежурное звено истребителей 423-го ИАП во время учебной воздушной тревоги оказалось не готово к вылету, и взлет не состоялся. Командир полка Елизаров прибыл к самолету без парашюта, а начштаба перепутал дачу ракет. Дежурная пара того же авиаполка, пребывавшая в готовности № 2, при проверочной тревоге оказалась небоеготовой. Истребители в воздух не поднялись, т.к. летчики… ушли обедать. Дежурная пара 632-го ИАП, также находясь в готовности № 2, по проверочной тревоге взлететь не смогла, т.к. на этот раз  «летчики ушли на занятия». В 786-м ИАП, чьи самолеты находились в готовности № 1, т.е. когда пилоты сидят в кабине и ждут ракету на старт, вместо возможных 30—60 секунд подняли истребитель только через шесть минут. Во время учебной тревоги 2 июня на вызов вообще не ответили полки, находящиеся в Стригино и Дзержинске.</w:t>
      </w:r>
    </w:p>
    <w:p w14:paraId="6E5ADA1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При этом командный состав дивизии в качестве «учебно-воспитательных мер» в основном увлекался арестами. Так, заместитель командира 142-й ИАД Ковригин, приехав в один из полков,  «приказал арестовать целую группу (шесть человек) товарищей за хранение личных вещей под кроватями, причем среди арестованных оказались и совсем невиновные товарищи. Командир БАО Фещенко увлекается арестами, при проверке спросили, за что сидят товарищи, он не знает, говорит, что забыл, за что арестовал». </w:t>
      </w:r>
    </w:p>
    <w:p w14:paraId="2E6D4B1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Вообще вся организация боевой подготовки, видимо, основывавшаяся в основном на опыте 1942 г., была рассчитана только на отражение налетов мелких групп бомбардировщиков и перехваты одиночных самолетов-разведчиков. При этом в течение всей первой половины 1943 г. не проводилось ни одного занятия по боевой и тактической подготовке. Понятно, что перечисленные недостатки существенно сказывались на боевой подготовке и значительно снижали боеспособность подразделений.</w:t>
      </w:r>
    </w:p>
    <w:p w14:paraId="31E6AE1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Истребительная авиация имела 12 зон ночного патрулирования, в каждой из которых должен был действовать один самолет. Зоны патрулирования располагались равномерно вокруг обороняемого пункта и вплотную примыкали к зоне огня зенитной артиллерии, в которую истребителям было входить запрещено. Но световые прожекторные поля для обеспечения боевых действий истребителей ночью почему-то не создавались.</w:t>
      </w:r>
    </w:p>
    <w:p w14:paraId="79B2529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Что касается самого командира авиадивизии, то его деятельность не отличалась большими успехами. С ноября 1942 г., когда боевой офицер В. П. Иванов был назначен командовать тыловой частью, немецкие самолеты в течение полугода почти не появлялись. Для человека, на протяжении года лично водившего своих летчиков в ожесточенные бои и на штурмовки, это означало приговор. Боевого командира «засунули» в тыл, не суливший ни боевых наград, ни славы, ни повышений по званию. Вот тут его и подстерегла типичная ловушка, к которую попадали многие русские люди, по обычаю заливавшие свое горе и обиду вином, что и сказалось на его последующей деятельности как командира.</w:t>
      </w:r>
    </w:p>
    <w:p w14:paraId="4916822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Службу ВНОС на территории Горьковского корпусного района ПВО осуществляли два батальона и около 30 внештатных постов, как в начале 30-х гг. Большинство этих постов располагалось вдоль рек Волга и Ока, а также вдоль шоссейных и железных дорог, являвшихся основными ориентирами для полетов вражеской авиации. Оповещение всех частей ПВО и управление боем по-прежнему осуществлялись с главного поста ВНОС и КП командующего войсками корпусного района, находившегося на Почтовом съезде в Горьком, а в боевых секторах – с КП начальников секторов – командиров 90-го, 196-го, 742-го и 784-го ЗенАП. Основным видом связи по старинке являлась телефонная связь, легко повреждаемая при разрывах бомб и разрушении различных объектов. Радиосвязь многими командирами недооценивалась и рассматривалась как дублирующая. И это после двух лет войны!</w:t>
      </w:r>
    </w:p>
    <w:p w14:paraId="7F8D022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В мае произошло очередное пополнение частей ПВО девушками.</w:t>
      </w:r>
    </w:p>
    <w:p w14:paraId="5F97FA5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xml:space="preserve"> Среди новобранок была и уроженка Лукояновского района Горьковской области Пелагея Паршина. 15 мая ей прислали повестку из военкомата, и 22-летняя девушка вместе со своей подругой вынуждена была отправляться в долгий путь в областной центр. До Горького ехали весьма экзотическим способом – вагоны были переполнены, и пришлось расположиться на буферах между ними. В таких, не самых комфортабельных, условиях девушки доехали до Казанского вокзала, затем пересекли Оку и оказались в военкомате Сталинского района. Отсюда Пелагею уже направили на место службы – в 741-й ЗенАП, позиции которого находились на восточном берегу Волги, в районе Баталово.</w:t>
      </w:r>
    </w:p>
    <w:p w14:paraId="646BBEB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Подруга Паршиной выбрала дальномер, а сама же она в расчете 8 5-мм зенитки стала четвертым номером, отвечавшим за угол возвышения орудия. С этого момента молодая девушка попала в другую реальность. Пусть это был и не фронт, но жили и служили зенитчицы по-фронтовому. Поначалу позиции батареи были не обустроены, приходилось спать прямо на земле, на чехлах от орудий. Потом отрыли землянки, но жить в них тоже было не очень удобно: земляная постель, а вместо белья – обыкновенное сено. Поначалу не было даже специальной женской формы. В баню зенитчиц возили партиями через каждые 10 дней, стричься же приходилось самим.</w:t>
      </w:r>
    </w:p>
    <w:p w14:paraId="1481180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Пелагея Паршина потом вспоминала:  «За нарушения устава карали по всей строгости военного времени. Даже если встал в строй или явился по тревоге без пилотки, могли посадить в яму, исполнявшую роль гауптвахты. Бывало, что во время тревоги хватали сапоги и пилотку в руки, бежали на свое место, а уже потом одевались». </w:t>
      </w:r>
    </w:p>
    <w:p w14:paraId="378477D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Таким образом, накануне лета Горьковский корпусной район ПВО вновь получил многочисленное пополнение в лице необстрелянных и неопытных девчонок.</w:t>
      </w:r>
    </w:p>
    <w:p w14:paraId="6FF5AFF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Между тем в ночь на 27 мая прозвучал первый тревожный звонок. Одиночный немецкий бомбардировщик совершил налет на Кулебакский металлургический завод, сбросив на него 25 зажигательных бомб. В результате на предприятии возникли восемь очагов пожаров и цеха получили некоторые повреждения. При этом посты ВНОС «прозевали» этот самолет, приняв его за советский. Впоследствии, чтобы оправдать свою беспечность, было объявлено, что немцы бомбили Кулебаки на трофейном самолете! (11774).</w:t>
      </w:r>
    </w:p>
    <w:p w14:paraId="3F6CA086"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557100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июню 1943 противовоздушную оборону Ярославля в тот период осуществляли части Рыбинске-Ярославского дивизионного района ПВО (командующий генерал-майор артиллерии И. С. Смирнов [143] , начальник штаба подполковник И. А. Киселев) и 147-й ИАД ПВО под командованием полковника И. И. Красноюрченко. Из их состава обороняли Ярославль 17 экипажей истребителей, подготовленных для действий ночью, 75 орудий калибра 85-мм, 19 орудий МЗА, 55 зенитных пулеметов и незначительное число зенитных прожекторов и аэростатов заграждения. Большинство этих сил и средств прикрывали северо-западную часть города, где находились шинный завод и завод синтетического каучука. Таким образом, по сравнению с другими городами Поволжья, Ярославль, если судить по количеству средств ПВО, был наименее защищенным.</w:t>
      </w:r>
    </w:p>
    <w:p w14:paraId="380E536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В самом северном волжском городе – Рыбинске – вообще был полный бардак. В марте немецкая авиация несколько раз бомбила железнодорожную станцию в городе, не встретив никакого противодействия со стороны ПВО. 21 марта по этому поводу срочно собрался городской комитет обороны. Выяснилось, что внезапный налет стал возможным потому, что  «в артиллерийских батареях не было надлежащего порядка, а среди личного состава допущена беспечность, вследствие чего активные средства противовоздушной обороны, расположенные в районе г. Рыбинск, своевременно не были приведены в действие». Горкомитет обороны в постановлении № 14-П предложил командующему диврайоном генералу Смирнову проверить боеспособность всех частей и подразделений ПВО, повысить их боевую готовность и дисциплину личного состава. Однако этих мер оказалось недостаточно.</w:t>
      </w:r>
    </w:p>
    <w:p w14:paraId="18A26A1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В начале июня одиночный немецкий самолет, незамеченный постами ВНОС, пролетел 450 км от линии фронта и беспрепятственно сбросил мину ВМ1000 на авиамоторный завод в Рыбинске. Местный житель В. Т. Федин, находившийся в тот момент неподалеку от места бомбежки, вспоминал:</w:t>
      </w:r>
    </w:p>
    <w:p w14:paraId="29CDB04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«В один из теплых солнечных дней начала июня смотрел я из окна пятого этажа студенческого общежития на играющих внизу на спортплощадке волейболистов, потому как моя команда только что выбыла из игры по причине проигрыша. Время было около пяти часов вечера. </w:t>
      </w:r>
    </w:p>
    <w:p w14:paraId="52EF7FA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Невольно в поле моего зрения попал какой-то самолет, летящий на небольшой высоте по направлению к территории завода, граница которого (забор) проходила метрах в трехстах от нашего общежития. Вдруг от самолета отделяется продолговатый предмет, и через секунду до сознания доходит, что это большая бомба летит к земле. Ни воздушной тревоги, ни единого выстрела – тихий летний вечер. И только когда пятисотка грохнула где-то на территории завода, завыли сирены, забухали зенитки» (11774). </w:t>
      </w:r>
    </w:p>
    <w:p w14:paraId="49014C4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1D7865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июню 1943 г. ПВО Саратова и прилегающих к нему объектов обеспечивали два зенитно-артиллерийских полка (720-й и 1078-й) и два отдельных зенитных артдивизиона (89-йи501-й). На их вооружении состояли 192 орудия среднего калибра, 72 орудия малого калибра и 90 пулеметов. В трех отдельных батареях СОН-2 имелись четыре станции орудийной наводки. Кроме того, в состав сил противовоздушной обороны входил 43-й зенитно-прожекторный полк, располагавший 98 прожекторами, три отдельных батальона ВНОС и отдельный взвод связи. Оповещение всех частей диврайона возлагалось на главный пост ВНОС, а зенитно-артиллерийских частей – на их наблюдательные посты. Для контроля над воздушным пространством были две радиолокационные станции РУС-2с «Пегматит», находившиеся в подчинении командира 144-й ИАД ПВО [144] . Саратовский диврайон также располагал 48 аэростатами заграждения.</w:t>
      </w:r>
    </w:p>
    <w:p w14:paraId="5448EBC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Зенитная артиллерия среднего калибра располагалась в трех боевых секторах. 1-й (северный) сектор прикрывал собственно Саратов и его предприятия, 2-й (юго-западный) сектор – объекты, расположенные южнее города, в частности Улешовскую и Увекскую нефтебазы. 3-й (юго-восточный) сектор – железнодорожный мост через Волгу и город Энгельс, расположенный на восточном берегу. 20-мм и 37-мм зенитки стояли в основном на обороне ТЭЦ, крекинг-завода и моста. На обороне других городов Саратовской области (Балашов, Ртищево) также находилось несколько десятков зенитных орудий и пулеметов. В районе Саратова базировалась 3-я бригада речных кораблей Волжской военной флотилии, которые осуществляли противовоздушную и противоминную оборону Волги. В составе 144-й ИАД под командованием майора И. П. Суворова насчитывался 41 боевой экипаж, в т.ч. 23 летчика-ночника. Для истребителей вокруг Саратова были установлены пять зон ночного боя, которые примыкали к зоне огня зенитной артиллерии. Саратовским дивизионным районом ПВО по-прежнему командовал полковник М. В. Антоненко, должность начальника штаба занимал подполковник Н. А. Тихонов (11774).</w:t>
      </w:r>
    </w:p>
    <w:p w14:paraId="0C8A120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7E25D21"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321B7283" w14:textId="77777777" w:rsidR="00531570" w:rsidRPr="00D03F3E" w:rsidRDefault="00531570" w:rsidP="00D03F3E">
      <w:pPr>
        <w:pStyle w:val="Iauiue"/>
        <w:jc w:val="both"/>
        <w:rPr>
          <w:iCs/>
          <w:color w:val="000000" w:themeColor="text1"/>
          <w:sz w:val="16"/>
          <w:szCs w:val="16"/>
        </w:rPr>
      </w:pPr>
    </w:p>
    <w:p w14:paraId="6204D5E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июня 1943 года начальник НИИ ВВС генерал-лейтенант ИАС Лосюков и начальник штаба НИИ ВВС полковник Иващенко писали письмо N 0492 Шахурину.</w:t>
      </w:r>
    </w:p>
    <w:p w14:paraId="6E8F796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Представляю сравнительные данные по дальности и продолжительности полета самолетов, находящихся на вооружении ВВС и трофейных.</w:t>
      </w:r>
    </w:p>
    <w:p w14:paraId="113146E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Приложение: Упомянутое на 1 листе.</w:t>
      </w:r>
    </w:p>
    <w:p w14:paraId="2A78CCE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Данные по дальности и продолжительности полета истребительных самолетов, находящихся</w:t>
      </w:r>
    </w:p>
    <w:p w14:paraId="775A79D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вооружении ВВС и трофейных, при полете до полного выгорания горючего.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746"/>
        <w:gridCol w:w="746"/>
        <w:gridCol w:w="746"/>
        <w:gridCol w:w="746"/>
        <w:gridCol w:w="746"/>
        <w:gridCol w:w="1089"/>
        <w:gridCol w:w="690"/>
        <w:gridCol w:w="690"/>
        <w:gridCol w:w="690"/>
        <w:gridCol w:w="690"/>
        <w:gridCol w:w="1494"/>
      </w:tblGrid>
      <w:tr w:rsidR="00860B4B" w:rsidRPr="00D03F3E" w14:paraId="45BCF844" w14:textId="77777777">
        <w:tc>
          <w:tcPr>
            <w:tcW w:w="1526" w:type="dxa"/>
          </w:tcPr>
          <w:p w14:paraId="6501DDF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Тип самолета</w:t>
            </w:r>
          </w:p>
        </w:tc>
        <w:tc>
          <w:tcPr>
            <w:tcW w:w="746" w:type="dxa"/>
          </w:tcPr>
          <w:p w14:paraId="13AE108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Полн.</w:t>
            </w:r>
          </w:p>
        </w:tc>
        <w:tc>
          <w:tcPr>
            <w:tcW w:w="746" w:type="dxa"/>
          </w:tcPr>
          <w:p w14:paraId="17BBACF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Дальность</w:t>
            </w:r>
          </w:p>
        </w:tc>
        <w:tc>
          <w:tcPr>
            <w:tcW w:w="746" w:type="dxa"/>
          </w:tcPr>
          <w:p w14:paraId="15E6FE29" w14:textId="77777777" w:rsidR="00531570" w:rsidRPr="00D03F3E" w:rsidRDefault="00531570" w:rsidP="00D03F3E">
            <w:pPr>
              <w:pStyle w:val="Iauiue"/>
              <w:jc w:val="both"/>
              <w:rPr>
                <w:color w:val="000000" w:themeColor="text1"/>
                <w:sz w:val="16"/>
                <w:szCs w:val="16"/>
              </w:rPr>
            </w:pPr>
          </w:p>
        </w:tc>
        <w:tc>
          <w:tcPr>
            <w:tcW w:w="746" w:type="dxa"/>
          </w:tcPr>
          <w:p w14:paraId="59B1257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Продолжительн.</w:t>
            </w:r>
          </w:p>
        </w:tc>
        <w:tc>
          <w:tcPr>
            <w:tcW w:w="746" w:type="dxa"/>
          </w:tcPr>
          <w:p w14:paraId="7BF807E5" w14:textId="77777777" w:rsidR="00531570" w:rsidRPr="00D03F3E" w:rsidRDefault="00531570" w:rsidP="00D03F3E">
            <w:pPr>
              <w:pStyle w:val="Iauiue"/>
              <w:jc w:val="both"/>
              <w:rPr>
                <w:color w:val="000000" w:themeColor="text1"/>
                <w:sz w:val="16"/>
                <w:szCs w:val="16"/>
              </w:rPr>
            </w:pPr>
          </w:p>
        </w:tc>
        <w:tc>
          <w:tcPr>
            <w:tcW w:w="1089" w:type="dxa"/>
          </w:tcPr>
          <w:p w14:paraId="7553D41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Высота</w:t>
            </w:r>
          </w:p>
        </w:tc>
        <w:tc>
          <w:tcPr>
            <w:tcW w:w="690" w:type="dxa"/>
          </w:tcPr>
          <w:p w14:paraId="2BFBCEB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Режим полета</w:t>
            </w:r>
          </w:p>
        </w:tc>
        <w:tc>
          <w:tcPr>
            <w:tcW w:w="690" w:type="dxa"/>
          </w:tcPr>
          <w:p w14:paraId="76363F62" w14:textId="77777777" w:rsidR="00531570" w:rsidRPr="00D03F3E" w:rsidRDefault="00531570" w:rsidP="00D03F3E">
            <w:pPr>
              <w:pStyle w:val="Iauiue"/>
              <w:jc w:val="both"/>
              <w:rPr>
                <w:color w:val="000000" w:themeColor="text1"/>
                <w:sz w:val="16"/>
                <w:szCs w:val="16"/>
              </w:rPr>
            </w:pPr>
          </w:p>
        </w:tc>
        <w:tc>
          <w:tcPr>
            <w:tcW w:w="690" w:type="dxa"/>
          </w:tcPr>
          <w:p w14:paraId="1A2A8AF0" w14:textId="77777777" w:rsidR="00531570" w:rsidRPr="00D03F3E" w:rsidRDefault="00531570" w:rsidP="00D03F3E">
            <w:pPr>
              <w:pStyle w:val="Iauiue"/>
              <w:jc w:val="both"/>
              <w:rPr>
                <w:color w:val="000000" w:themeColor="text1"/>
                <w:sz w:val="16"/>
                <w:szCs w:val="16"/>
              </w:rPr>
            </w:pPr>
          </w:p>
        </w:tc>
        <w:tc>
          <w:tcPr>
            <w:tcW w:w="690" w:type="dxa"/>
          </w:tcPr>
          <w:p w14:paraId="6D20E83C" w14:textId="77777777" w:rsidR="00531570" w:rsidRPr="00D03F3E" w:rsidRDefault="00531570" w:rsidP="00D03F3E">
            <w:pPr>
              <w:pStyle w:val="Iauiue"/>
              <w:jc w:val="both"/>
              <w:rPr>
                <w:color w:val="000000" w:themeColor="text1"/>
                <w:sz w:val="16"/>
                <w:szCs w:val="16"/>
              </w:rPr>
            </w:pPr>
          </w:p>
        </w:tc>
        <w:tc>
          <w:tcPr>
            <w:tcW w:w="1494" w:type="dxa"/>
          </w:tcPr>
          <w:p w14:paraId="227A37D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Положение</w:t>
            </w:r>
          </w:p>
        </w:tc>
      </w:tr>
      <w:tr w:rsidR="00860B4B" w:rsidRPr="00D03F3E" w14:paraId="33943A00" w14:textId="77777777">
        <w:tc>
          <w:tcPr>
            <w:tcW w:w="1526" w:type="dxa"/>
          </w:tcPr>
          <w:p w14:paraId="7D8D1547" w14:textId="77777777" w:rsidR="00531570" w:rsidRPr="00D03F3E" w:rsidRDefault="00531570" w:rsidP="00D03F3E">
            <w:pPr>
              <w:pStyle w:val="Iauiue"/>
              <w:jc w:val="both"/>
              <w:rPr>
                <w:color w:val="000000" w:themeColor="text1"/>
                <w:sz w:val="16"/>
                <w:szCs w:val="16"/>
              </w:rPr>
            </w:pPr>
          </w:p>
        </w:tc>
        <w:tc>
          <w:tcPr>
            <w:tcW w:w="746" w:type="dxa"/>
          </w:tcPr>
          <w:p w14:paraId="2876370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запас</w:t>
            </w:r>
          </w:p>
        </w:tc>
        <w:tc>
          <w:tcPr>
            <w:tcW w:w="746" w:type="dxa"/>
          </w:tcPr>
          <w:p w14:paraId="5A2B147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полета в км</w:t>
            </w:r>
          </w:p>
        </w:tc>
        <w:tc>
          <w:tcPr>
            <w:tcW w:w="746" w:type="dxa"/>
          </w:tcPr>
          <w:p w14:paraId="41BBEC4C" w14:textId="77777777" w:rsidR="00531570" w:rsidRPr="00D03F3E" w:rsidRDefault="00531570" w:rsidP="00D03F3E">
            <w:pPr>
              <w:pStyle w:val="Iauiue"/>
              <w:jc w:val="both"/>
              <w:rPr>
                <w:color w:val="000000" w:themeColor="text1"/>
                <w:sz w:val="16"/>
                <w:szCs w:val="16"/>
              </w:rPr>
            </w:pPr>
          </w:p>
        </w:tc>
        <w:tc>
          <w:tcPr>
            <w:tcW w:w="746" w:type="dxa"/>
          </w:tcPr>
          <w:p w14:paraId="6164F0C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полета час.-мин.</w:t>
            </w:r>
          </w:p>
        </w:tc>
        <w:tc>
          <w:tcPr>
            <w:tcW w:w="746" w:type="dxa"/>
          </w:tcPr>
          <w:p w14:paraId="78751173" w14:textId="77777777" w:rsidR="00531570" w:rsidRPr="00D03F3E" w:rsidRDefault="00531570" w:rsidP="00D03F3E">
            <w:pPr>
              <w:pStyle w:val="Iauiue"/>
              <w:jc w:val="both"/>
              <w:rPr>
                <w:color w:val="000000" w:themeColor="text1"/>
                <w:sz w:val="16"/>
                <w:szCs w:val="16"/>
              </w:rPr>
            </w:pPr>
          </w:p>
        </w:tc>
        <w:tc>
          <w:tcPr>
            <w:tcW w:w="1089" w:type="dxa"/>
          </w:tcPr>
          <w:p w14:paraId="3E2B53D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полета</w:t>
            </w:r>
          </w:p>
        </w:tc>
        <w:tc>
          <w:tcPr>
            <w:tcW w:w="690" w:type="dxa"/>
          </w:tcPr>
          <w:p w14:paraId="1F3C9B6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0,9 Vmax</w:t>
            </w:r>
          </w:p>
        </w:tc>
        <w:tc>
          <w:tcPr>
            <w:tcW w:w="690" w:type="dxa"/>
          </w:tcPr>
          <w:p w14:paraId="732283A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Наивыгодн.</w:t>
            </w:r>
          </w:p>
        </w:tc>
        <w:tc>
          <w:tcPr>
            <w:tcW w:w="690" w:type="dxa"/>
          </w:tcPr>
          <w:p w14:paraId="0E217137" w14:textId="77777777" w:rsidR="00531570" w:rsidRPr="00D03F3E" w:rsidRDefault="00531570" w:rsidP="00D03F3E">
            <w:pPr>
              <w:pStyle w:val="Iauiue"/>
              <w:jc w:val="both"/>
              <w:rPr>
                <w:color w:val="000000" w:themeColor="text1"/>
                <w:sz w:val="16"/>
                <w:szCs w:val="16"/>
              </w:rPr>
            </w:pPr>
          </w:p>
        </w:tc>
        <w:tc>
          <w:tcPr>
            <w:tcW w:w="690" w:type="dxa"/>
          </w:tcPr>
          <w:p w14:paraId="340112D6" w14:textId="77777777" w:rsidR="00531570" w:rsidRPr="00D03F3E" w:rsidRDefault="00531570" w:rsidP="00D03F3E">
            <w:pPr>
              <w:pStyle w:val="Iauiue"/>
              <w:jc w:val="both"/>
              <w:rPr>
                <w:color w:val="000000" w:themeColor="text1"/>
                <w:sz w:val="16"/>
                <w:szCs w:val="16"/>
              </w:rPr>
            </w:pPr>
          </w:p>
        </w:tc>
        <w:tc>
          <w:tcPr>
            <w:tcW w:w="1494" w:type="dxa"/>
          </w:tcPr>
          <w:p w14:paraId="283C7D0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высотного</w:t>
            </w:r>
          </w:p>
        </w:tc>
      </w:tr>
      <w:tr w:rsidR="00860B4B" w:rsidRPr="00D03F3E" w14:paraId="52975C39" w14:textId="77777777">
        <w:tc>
          <w:tcPr>
            <w:tcW w:w="1526" w:type="dxa"/>
          </w:tcPr>
          <w:p w14:paraId="5881D309" w14:textId="77777777" w:rsidR="00531570" w:rsidRPr="00D03F3E" w:rsidRDefault="00531570" w:rsidP="00D03F3E">
            <w:pPr>
              <w:pStyle w:val="Iauiue"/>
              <w:jc w:val="both"/>
              <w:rPr>
                <w:color w:val="000000" w:themeColor="text1"/>
                <w:sz w:val="16"/>
                <w:szCs w:val="16"/>
              </w:rPr>
            </w:pPr>
          </w:p>
        </w:tc>
        <w:tc>
          <w:tcPr>
            <w:tcW w:w="746" w:type="dxa"/>
          </w:tcPr>
          <w:p w14:paraId="0789F39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горюч.</w:t>
            </w:r>
          </w:p>
        </w:tc>
        <w:tc>
          <w:tcPr>
            <w:tcW w:w="746" w:type="dxa"/>
          </w:tcPr>
          <w:p w14:paraId="525289D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w:t>
            </w:r>
          </w:p>
        </w:tc>
        <w:tc>
          <w:tcPr>
            <w:tcW w:w="746" w:type="dxa"/>
          </w:tcPr>
          <w:p w14:paraId="43801BA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w:t>
            </w:r>
          </w:p>
        </w:tc>
        <w:tc>
          <w:tcPr>
            <w:tcW w:w="746" w:type="dxa"/>
          </w:tcPr>
          <w:p w14:paraId="24B2E31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w:t>
            </w:r>
          </w:p>
        </w:tc>
        <w:tc>
          <w:tcPr>
            <w:tcW w:w="746" w:type="dxa"/>
          </w:tcPr>
          <w:p w14:paraId="7DBEAD0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w:t>
            </w:r>
          </w:p>
        </w:tc>
        <w:tc>
          <w:tcPr>
            <w:tcW w:w="1089" w:type="dxa"/>
          </w:tcPr>
          <w:p w14:paraId="17004D1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м</w:t>
            </w:r>
          </w:p>
        </w:tc>
        <w:tc>
          <w:tcPr>
            <w:tcW w:w="690" w:type="dxa"/>
          </w:tcPr>
          <w:p w14:paraId="019B49A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w:t>
            </w:r>
          </w:p>
        </w:tc>
        <w:tc>
          <w:tcPr>
            <w:tcW w:w="690" w:type="dxa"/>
          </w:tcPr>
          <w:p w14:paraId="3D651F4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Vпр.</w:t>
            </w:r>
          </w:p>
        </w:tc>
        <w:tc>
          <w:tcPr>
            <w:tcW w:w="690" w:type="dxa"/>
          </w:tcPr>
          <w:p w14:paraId="6B6E971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w:t>
            </w:r>
          </w:p>
        </w:tc>
        <w:tc>
          <w:tcPr>
            <w:tcW w:w="690" w:type="dxa"/>
          </w:tcPr>
          <w:p w14:paraId="0CA6B1D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Vпр.</w:t>
            </w:r>
          </w:p>
        </w:tc>
        <w:tc>
          <w:tcPr>
            <w:tcW w:w="1494" w:type="dxa"/>
          </w:tcPr>
          <w:p w14:paraId="7202056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корректора</w:t>
            </w:r>
          </w:p>
        </w:tc>
      </w:tr>
      <w:tr w:rsidR="00860B4B" w:rsidRPr="00D03F3E" w14:paraId="710C4232" w14:textId="77777777">
        <w:tc>
          <w:tcPr>
            <w:tcW w:w="1526" w:type="dxa"/>
          </w:tcPr>
          <w:p w14:paraId="13B9DBF0" w14:textId="77777777" w:rsidR="00531570" w:rsidRPr="00D03F3E" w:rsidRDefault="00531570" w:rsidP="00D03F3E">
            <w:pPr>
              <w:pStyle w:val="Iauiue"/>
              <w:jc w:val="both"/>
              <w:rPr>
                <w:color w:val="000000" w:themeColor="text1"/>
                <w:sz w:val="16"/>
                <w:szCs w:val="16"/>
              </w:rPr>
            </w:pPr>
          </w:p>
        </w:tc>
        <w:tc>
          <w:tcPr>
            <w:tcW w:w="746" w:type="dxa"/>
          </w:tcPr>
          <w:p w14:paraId="5C3748D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лит.</w:t>
            </w:r>
          </w:p>
        </w:tc>
        <w:tc>
          <w:tcPr>
            <w:tcW w:w="746" w:type="dxa"/>
          </w:tcPr>
          <w:p w14:paraId="4FF3862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режиме</w:t>
            </w:r>
          </w:p>
        </w:tc>
        <w:tc>
          <w:tcPr>
            <w:tcW w:w="746" w:type="dxa"/>
          </w:tcPr>
          <w:p w14:paraId="4C6F4D2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наивыгод.</w:t>
            </w:r>
          </w:p>
        </w:tc>
        <w:tc>
          <w:tcPr>
            <w:tcW w:w="746" w:type="dxa"/>
          </w:tcPr>
          <w:p w14:paraId="64EFC51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режиме</w:t>
            </w:r>
          </w:p>
        </w:tc>
        <w:tc>
          <w:tcPr>
            <w:tcW w:w="746" w:type="dxa"/>
          </w:tcPr>
          <w:p w14:paraId="5D68906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наивыг.</w:t>
            </w:r>
          </w:p>
        </w:tc>
        <w:tc>
          <w:tcPr>
            <w:tcW w:w="1089" w:type="dxa"/>
          </w:tcPr>
          <w:p w14:paraId="0F783D66" w14:textId="77777777" w:rsidR="00531570" w:rsidRPr="00D03F3E" w:rsidRDefault="00531570" w:rsidP="00D03F3E">
            <w:pPr>
              <w:pStyle w:val="Iauiue"/>
              <w:jc w:val="both"/>
              <w:rPr>
                <w:color w:val="000000" w:themeColor="text1"/>
                <w:sz w:val="16"/>
                <w:szCs w:val="16"/>
              </w:rPr>
            </w:pPr>
          </w:p>
        </w:tc>
        <w:tc>
          <w:tcPr>
            <w:tcW w:w="690" w:type="dxa"/>
          </w:tcPr>
          <w:p w14:paraId="12D8293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об/мин.</w:t>
            </w:r>
          </w:p>
        </w:tc>
        <w:tc>
          <w:tcPr>
            <w:tcW w:w="690" w:type="dxa"/>
          </w:tcPr>
          <w:p w14:paraId="09B17DB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км/час</w:t>
            </w:r>
          </w:p>
        </w:tc>
        <w:tc>
          <w:tcPr>
            <w:tcW w:w="690" w:type="dxa"/>
          </w:tcPr>
          <w:p w14:paraId="7931B1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об/мин.</w:t>
            </w:r>
          </w:p>
        </w:tc>
        <w:tc>
          <w:tcPr>
            <w:tcW w:w="690" w:type="dxa"/>
          </w:tcPr>
          <w:p w14:paraId="026B913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км/час</w:t>
            </w:r>
          </w:p>
        </w:tc>
        <w:tc>
          <w:tcPr>
            <w:tcW w:w="1494" w:type="dxa"/>
          </w:tcPr>
          <w:p w14:paraId="73ADE3E2" w14:textId="77777777" w:rsidR="00531570" w:rsidRPr="00D03F3E" w:rsidRDefault="00531570" w:rsidP="00D03F3E">
            <w:pPr>
              <w:pStyle w:val="Iauiue"/>
              <w:jc w:val="both"/>
              <w:rPr>
                <w:color w:val="000000" w:themeColor="text1"/>
                <w:sz w:val="16"/>
                <w:szCs w:val="16"/>
              </w:rPr>
            </w:pPr>
          </w:p>
        </w:tc>
      </w:tr>
      <w:tr w:rsidR="00860B4B" w:rsidRPr="00D03F3E" w14:paraId="0A46FCCC" w14:textId="77777777">
        <w:tc>
          <w:tcPr>
            <w:tcW w:w="1526" w:type="dxa"/>
          </w:tcPr>
          <w:p w14:paraId="7E547B0F" w14:textId="77777777" w:rsidR="00531570" w:rsidRPr="00D03F3E" w:rsidRDefault="00531570" w:rsidP="00D03F3E">
            <w:pPr>
              <w:pStyle w:val="Iauiue"/>
              <w:jc w:val="both"/>
              <w:rPr>
                <w:color w:val="000000" w:themeColor="text1"/>
                <w:sz w:val="16"/>
                <w:szCs w:val="16"/>
              </w:rPr>
            </w:pPr>
          </w:p>
        </w:tc>
        <w:tc>
          <w:tcPr>
            <w:tcW w:w="746" w:type="dxa"/>
          </w:tcPr>
          <w:p w14:paraId="0A01FB3E" w14:textId="77777777" w:rsidR="00531570" w:rsidRPr="00D03F3E" w:rsidRDefault="00531570" w:rsidP="00D03F3E">
            <w:pPr>
              <w:pStyle w:val="Iauiue"/>
              <w:jc w:val="both"/>
              <w:rPr>
                <w:color w:val="000000" w:themeColor="text1"/>
                <w:sz w:val="16"/>
                <w:szCs w:val="16"/>
              </w:rPr>
            </w:pPr>
          </w:p>
        </w:tc>
        <w:tc>
          <w:tcPr>
            <w:tcW w:w="746" w:type="dxa"/>
          </w:tcPr>
          <w:p w14:paraId="091038B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0,9</w:t>
            </w:r>
          </w:p>
        </w:tc>
        <w:tc>
          <w:tcPr>
            <w:tcW w:w="746" w:type="dxa"/>
          </w:tcPr>
          <w:p w14:paraId="4E5B967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режиме</w:t>
            </w:r>
          </w:p>
        </w:tc>
        <w:tc>
          <w:tcPr>
            <w:tcW w:w="746" w:type="dxa"/>
          </w:tcPr>
          <w:p w14:paraId="2AA968D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0,9</w:t>
            </w:r>
          </w:p>
        </w:tc>
        <w:tc>
          <w:tcPr>
            <w:tcW w:w="746" w:type="dxa"/>
          </w:tcPr>
          <w:p w14:paraId="4026FC3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режиме</w:t>
            </w:r>
          </w:p>
        </w:tc>
        <w:tc>
          <w:tcPr>
            <w:tcW w:w="1089" w:type="dxa"/>
          </w:tcPr>
          <w:p w14:paraId="32A74943" w14:textId="77777777" w:rsidR="00531570" w:rsidRPr="00D03F3E" w:rsidRDefault="00531570" w:rsidP="00D03F3E">
            <w:pPr>
              <w:pStyle w:val="Iauiue"/>
              <w:jc w:val="both"/>
              <w:rPr>
                <w:color w:val="000000" w:themeColor="text1"/>
                <w:sz w:val="16"/>
                <w:szCs w:val="16"/>
              </w:rPr>
            </w:pPr>
          </w:p>
        </w:tc>
        <w:tc>
          <w:tcPr>
            <w:tcW w:w="690" w:type="dxa"/>
          </w:tcPr>
          <w:p w14:paraId="56B26369" w14:textId="77777777" w:rsidR="00531570" w:rsidRPr="00D03F3E" w:rsidRDefault="00531570" w:rsidP="00D03F3E">
            <w:pPr>
              <w:pStyle w:val="Iauiue"/>
              <w:jc w:val="both"/>
              <w:rPr>
                <w:color w:val="000000" w:themeColor="text1"/>
                <w:sz w:val="16"/>
                <w:szCs w:val="16"/>
              </w:rPr>
            </w:pPr>
          </w:p>
        </w:tc>
        <w:tc>
          <w:tcPr>
            <w:tcW w:w="690" w:type="dxa"/>
          </w:tcPr>
          <w:p w14:paraId="149C8558" w14:textId="77777777" w:rsidR="00531570" w:rsidRPr="00D03F3E" w:rsidRDefault="00531570" w:rsidP="00D03F3E">
            <w:pPr>
              <w:pStyle w:val="Iauiue"/>
              <w:jc w:val="both"/>
              <w:rPr>
                <w:color w:val="000000" w:themeColor="text1"/>
                <w:sz w:val="16"/>
                <w:szCs w:val="16"/>
              </w:rPr>
            </w:pPr>
          </w:p>
        </w:tc>
        <w:tc>
          <w:tcPr>
            <w:tcW w:w="690" w:type="dxa"/>
          </w:tcPr>
          <w:p w14:paraId="53B43E69" w14:textId="77777777" w:rsidR="00531570" w:rsidRPr="00D03F3E" w:rsidRDefault="00531570" w:rsidP="00D03F3E">
            <w:pPr>
              <w:pStyle w:val="Iauiue"/>
              <w:jc w:val="both"/>
              <w:rPr>
                <w:color w:val="000000" w:themeColor="text1"/>
                <w:sz w:val="16"/>
                <w:szCs w:val="16"/>
              </w:rPr>
            </w:pPr>
          </w:p>
        </w:tc>
        <w:tc>
          <w:tcPr>
            <w:tcW w:w="690" w:type="dxa"/>
          </w:tcPr>
          <w:p w14:paraId="44CB19E3" w14:textId="77777777" w:rsidR="00531570" w:rsidRPr="00D03F3E" w:rsidRDefault="00531570" w:rsidP="00D03F3E">
            <w:pPr>
              <w:pStyle w:val="Iauiue"/>
              <w:jc w:val="both"/>
              <w:rPr>
                <w:color w:val="000000" w:themeColor="text1"/>
                <w:sz w:val="16"/>
                <w:szCs w:val="16"/>
              </w:rPr>
            </w:pPr>
          </w:p>
        </w:tc>
        <w:tc>
          <w:tcPr>
            <w:tcW w:w="1494" w:type="dxa"/>
          </w:tcPr>
          <w:p w14:paraId="3EACE7D7" w14:textId="77777777" w:rsidR="00531570" w:rsidRPr="00D03F3E" w:rsidRDefault="00531570" w:rsidP="00D03F3E">
            <w:pPr>
              <w:pStyle w:val="Iauiue"/>
              <w:jc w:val="both"/>
              <w:rPr>
                <w:color w:val="000000" w:themeColor="text1"/>
                <w:sz w:val="16"/>
                <w:szCs w:val="16"/>
              </w:rPr>
            </w:pPr>
          </w:p>
        </w:tc>
      </w:tr>
      <w:tr w:rsidR="00860B4B" w:rsidRPr="00D03F3E" w14:paraId="00FF3DC5" w14:textId="77777777">
        <w:tc>
          <w:tcPr>
            <w:tcW w:w="1526" w:type="dxa"/>
          </w:tcPr>
          <w:p w14:paraId="605CE1D8" w14:textId="77777777" w:rsidR="00531570" w:rsidRPr="00D03F3E" w:rsidRDefault="00531570" w:rsidP="00D03F3E">
            <w:pPr>
              <w:pStyle w:val="Iauiue"/>
              <w:jc w:val="both"/>
              <w:rPr>
                <w:color w:val="000000" w:themeColor="text1"/>
                <w:sz w:val="16"/>
                <w:szCs w:val="16"/>
              </w:rPr>
            </w:pPr>
          </w:p>
        </w:tc>
        <w:tc>
          <w:tcPr>
            <w:tcW w:w="746" w:type="dxa"/>
          </w:tcPr>
          <w:p w14:paraId="6650FD19" w14:textId="77777777" w:rsidR="00531570" w:rsidRPr="00D03F3E" w:rsidRDefault="00531570" w:rsidP="00D03F3E">
            <w:pPr>
              <w:pStyle w:val="Iauiue"/>
              <w:jc w:val="both"/>
              <w:rPr>
                <w:color w:val="000000" w:themeColor="text1"/>
                <w:sz w:val="16"/>
                <w:szCs w:val="16"/>
              </w:rPr>
            </w:pPr>
          </w:p>
        </w:tc>
        <w:tc>
          <w:tcPr>
            <w:tcW w:w="746" w:type="dxa"/>
          </w:tcPr>
          <w:p w14:paraId="4C0A9BE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Vmax</w:t>
            </w:r>
          </w:p>
        </w:tc>
        <w:tc>
          <w:tcPr>
            <w:tcW w:w="746" w:type="dxa"/>
          </w:tcPr>
          <w:p w14:paraId="4E0C7F88" w14:textId="77777777" w:rsidR="00531570" w:rsidRPr="00D03F3E" w:rsidRDefault="00531570" w:rsidP="00D03F3E">
            <w:pPr>
              <w:pStyle w:val="Iauiue"/>
              <w:jc w:val="both"/>
              <w:rPr>
                <w:color w:val="000000" w:themeColor="text1"/>
                <w:sz w:val="16"/>
                <w:szCs w:val="16"/>
              </w:rPr>
            </w:pPr>
          </w:p>
        </w:tc>
        <w:tc>
          <w:tcPr>
            <w:tcW w:w="746" w:type="dxa"/>
          </w:tcPr>
          <w:p w14:paraId="5085533B" w14:textId="77777777" w:rsidR="00531570" w:rsidRPr="00D03F3E" w:rsidRDefault="00531570" w:rsidP="00D03F3E">
            <w:pPr>
              <w:pStyle w:val="Iauiue"/>
              <w:jc w:val="both"/>
              <w:rPr>
                <w:color w:val="000000" w:themeColor="text1"/>
                <w:sz w:val="16"/>
                <w:szCs w:val="16"/>
              </w:rPr>
            </w:pPr>
          </w:p>
        </w:tc>
        <w:tc>
          <w:tcPr>
            <w:tcW w:w="746" w:type="dxa"/>
          </w:tcPr>
          <w:p w14:paraId="25D6DB9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Vmax</w:t>
            </w:r>
          </w:p>
        </w:tc>
        <w:tc>
          <w:tcPr>
            <w:tcW w:w="1089" w:type="dxa"/>
          </w:tcPr>
          <w:p w14:paraId="3EB24169" w14:textId="77777777" w:rsidR="00531570" w:rsidRPr="00D03F3E" w:rsidRDefault="00531570" w:rsidP="00D03F3E">
            <w:pPr>
              <w:pStyle w:val="Iauiue"/>
              <w:jc w:val="both"/>
              <w:rPr>
                <w:color w:val="000000" w:themeColor="text1"/>
                <w:sz w:val="16"/>
                <w:szCs w:val="16"/>
              </w:rPr>
            </w:pPr>
          </w:p>
        </w:tc>
        <w:tc>
          <w:tcPr>
            <w:tcW w:w="690" w:type="dxa"/>
          </w:tcPr>
          <w:p w14:paraId="57843D06" w14:textId="77777777" w:rsidR="00531570" w:rsidRPr="00D03F3E" w:rsidRDefault="00531570" w:rsidP="00D03F3E">
            <w:pPr>
              <w:pStyle w:val="Iauiue"/>
              <w:jc w:val="both"/>
              <w:rPr>
                <w:color w:val="000000" w:themeColor="text1"/>
                <w:sz w:val="16"/>
                <w:szCs w:val="16"/>
              </w:rPr>
            </w:pPr>
          </w:p>
        </w:tc>
        <w:tc>
          <w:tcPr>
            <w:tcW w:w="690" w:type="dxa"/>
          </w:tcPr>
          <w:p w14:paraId="0725EDE5" w14:textId="77777777" w:rsidR="00531570" w:rsidRPr="00D03F3E" w:rsidRDefault="00531570" w:rsidP="00D03F3E">
            <w:pPr>
              <w:pStyle w:val="Iauiue"/>
              <w:jc w:val="both"/>
              <w:rPr>
                <w:color w:val="000000" w:themeColor="text1"/>
                <w:sz w:val="16"/>
                <w:szCs w:val="16"/>
              </w:rPr>
            </w:pPr>
          </w:p>
        </w:tc>
        <w:tc>
          <w:tcPr>
            <w:tcW w:w="690" w:type="dxa"/>
          </w:tcPr>
          <w:p w14:paraId="55240E15" w14:textId="77777777" w:rsidR="00531570" w:rsidRPr="00D03F3E" w:rsidRDefault="00531570" w:rsidP="00D03F3E">
            <w:pPr>
              <w:pStyle w:val="Iauiue"/>
              <w:jc w:val="both"/>
              <w:rPr>
                <w:color w:val="000000" w:themeColor="text1"/>
                <w:sz w:val="16"/>
                <w:szCs w:val="16"/>
              </w:rPr>
            </w:pPr>
          </w:p>
        </w:tc>
        <w:tc>
          <w:tcPr>
            <w:tcW w:w="690" w:type="dxa"/>
          </w:tcPr>
          <w:p w14:paraId="633D15B1" w14:textId="77777777" w:rsidR="00531570" w:rsidRPr="00D03F3E" w:rsidRDefault="00531570" w:rsidP="00D03F3E">
            <w:pPr>
              <w:pStyle w:val="Iauiue"/>
              <w:jc w:val="both"/>
              <w:rPr>
                <w:color w:val="000000" w:themeColor="text1"/>
                <w:sz w:val="16"/>
                <w:szCs w:val="16"/>
              </w:rPr>
            </w:pPr>
          </w:p>
        </w:tc>
        <w:tc>
          <w:tcPr>
            <w:tcW w:w="1494" w:type="dxa"/>
          </w:tcPr>
          <w:p w14:paraId="39760DE1" w14:textId="77777777" w:rsidR="00531570" w:rsidRPr="00D03F3E" w:rsidRDefault="00531570" w:rsidP="00D03F3E">
            <w:pPr>
              <w:pStyle w:val="Iauiue"/>
              <w:jc w:val="both"/>
              <w:rPr>
                <w:color w:val="000000" w:themeColor="text1"/>
                <w:sz w:val="16"/>
                <w:szCs w:val="16"/>
              </w:rPr>
            </w:pPr>
          </w:p>
        </w:tc>
      </w:tr>
      <w:tr w:rsidR="00860B4B" w:rsidRPr="00D03F3E" w14:paraId="58E065A5" w14:textId="77777777">
        <w:tc>
          <w:tcPr>
            <w:tcW w:w="1526" w:type="dxa"/>
          </w:tcPr>
          <w:p w14:paraId="5AF1578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Як-1 с М-105П</w:t>
            </w:r>
          </w:p>
        </w:tc>
        <w:tc>
          <w:tcPr>
            <w:tcW w:w="746" w:type="dxa"/>
          </w:tcPr>
          <w:p w14:paraId="77B8A3C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405</w:t>
            </w:r>
          </w:p>
        </w:tc>
        <w:tc>
          <w:tcPr>
            <w:tcW w:w="746" w:type="dxa"/>
          </w:tcPr>
          <w:p w14:paraId="016FC94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670</w:t>
            </w:r>
          </w:p>
        </w:tc>
        <w:tc>
          <w:tcPr>
            <w:tcW w:w="746" w:type="dxa"/>
          </w:tcPr>
          <w:p w14:paraId="3889ADC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930</w:t>
            </w:r>
          </w:p>
        </w:tc>
        <w:tc>
          <w:tcPr>
            <w:tcW w:w="746" w:type="dxa"/>
          </w:tcPr>
          <w:p w14:paraId="14DD080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1-31</w:t>
            </w:r>
          </w:p>
        </w:tc>
        <w:tc>
          <w:tcPr>
            <w:tcW w:w="746" w:type="dxa"/>
          </w:tcPr>
          <w:p w14:paraId="7E8A048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3-10</w:t>
            </w:r>
          </w:p>
        </w:tc>
        <w:tc>
          <w:tcPr>
            <w:tcW w:w="1089" w:type="dxa"/>
          </w:tcPr>
          <w:p w14:paraId="0FDD99C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500-100</w:t>
            </w:r>
          </w:p>
        </w:tc>
        <w:tc>
          <w:tcPr>
            <w:tcW w:w="690" w:type="dxa"/>
          </w:tcPr>
          <w:p w14:paraId="436100D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2420</w:t>
            </w:r>
          </w:p>
        </w:tc>
        <w:tc>
          <w:tcPr>
            <w:tcW w:w="690" w:type="dxa"/>
          </w:tcPr>
          <w:p w14:paraId="7B6A35F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400</w:t>
            </w:r>
          </w:p>
        </w:tc>
        <w:tc>
          <w:tcPr>
            <w:tcW w:w="690" w:type="dxa"/>
          </w:tcPr>
          <w:p w14:paraId="34A5E46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5B37435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280</w:t>
            </w:r>
          </w:p>
        </w:tc>
        <w:tc>
          <w:tcPr>
            <w:tcW w:w="1494" w:type="dxa"/>
          </w:tcPr>
          <w:p w14:paraId="722036B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В.К. закрыт.</w:t>
            </w:r>
          </w:p>
        </w:tc>
      </w:tr>
      <w:tr w:rsidR="00860B4B" w:rsidRPr="00D03F3E" w14:paraId="72F33A77" w14:textId="77777777">
        <w:tc>
          <w:tcPr>
            <w:tcW w:w="1526" w:type="dxa"/>
          </w:tcPr>
          <w:p w14:paraId="33A85052" w14:textId="77777777" w:rsidR="00531570" w:rsidRPr="00D03F3E" w:rsidRDefault="00531570" w:rsidP="00D03F3E">
            <w:pPr>
              <w:pStyle w:val="Iauiue"/>
              <w:jc w:val="both"/>
              <w:rPr>
                <w:color w:val="000000" w:themeColor="text1"/>
                <w:sz w:val="16"/>
                <w:szCs w:val="16"/>
              </w:rPr>
            </w:pPr>
          </w:p>
        </w:tc>
        <w:tc>
          <w:tcPr>
            <w:tcW w:w="746" w:type="dxa"/>
          </w:tcPr>
          <w:p w14:paraId="5B1E2A69" w14:textId="77777777" w:rsidR="00531570" w:rsidRPr="00D03F3E" w:rsidRDefault="00531570" w:rsidP="00D03F3E">
            <w:pPr>
              <w:pStyle w:val="Iauiue"/>
              <w:jc w:val="both"/>
              <w:rPr>
                <w:color w:val="000000" w:themeColor="text1"/>
                <w:sz w:val="16"/>
                <w:szCs w:val="16"/>
              </w:rPr>
            </w:pPr>
          </w:p>
        </w:tc>
        <w:tc>
          <w:tcPr>
            <w:tcW w:w="746" w:type="dxa"/>
          </w:tcPr>
          <w:p w14:paraId="2F4DE91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665</w:t>
            </w:r>
          </w:p>
        </w:tc>
        <w:tc>
          <w:tcPr>
            <w:tcW w:w="746" w:type="dxa"/>
          </w:tcPr>
          <w:p w14:paraId="5AF312B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910</w:t>
            </w:r>
          </w:p>
        </w:tc>
        <w:tc>
          <w:tcPr>
            <w:tcW w:w="746" w:type="dxa"/>
          </w:tcPr>
          <w:p w14:paraId="3A227CC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1-29</w:t>
            </w:r>
          </w:p>
        </w:tc>
        <w:tc>
          <w:tcPr>
            <w:tcW w:w="746" w:type="dxa"/>
          </w:tcPr>
          <w:p w14:paraId="581AC1C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2-58</w:t>
            </w:r>
          </w:p>
        </w:tc>
        <w:tc>
          <w:tcPr>
            <w:tcW w:w="1089" w:type="dxa"/>
          </w:tcPr>
          <w:p w14:paraId="1587D79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w:t>
            </w:r>
          </w:p>
        </w:tc>
        <w:tc>
          <w:tcPr>
            <w:tcW w:w="690" w:type="dxa"/>
          </w:tcPr>
          <w:p w14:paraId="17658FF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2420</w:t>
            </w:r>
          </w:p>
        </w:tc>
        <w:tc>
          <w:tcPr>
            <w:tcW w:w="690" w:type="dxa"/>
          </w:tcPr>
          <w:p w14:paraId="2E51031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400</w:t>
            </w:r>
          </w:p>
        </w:tc>
        <w:tc>
          <w:tcPr>
            <w:tcW w:w="690" w:type="dxa"/>
          </w:tcPr>
          <w:p w14:paraId="74EFAB8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2994E3D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280</w:t>
            </w:r>
          </w:p>
        </w:tc>
        <w:tc>
          <w:tcPr>
            <w:tcW w:w="1494" w:type="dxa"/>
          </w:tcPr>
          <w:p w14:paraId="4FF48731" w14:textId="77777777" w:rsidR="00531570" w:rsidRPr="00D03F3E" w:rsidRDefault="00531570" w:rsidP="00D03F3E">
            <w:pPr>
              <w:pStyle w:val="Iauiue"/>
              <w:jc w:val="both"/>
              <w:rPr>
                <w:color w:val="000000" w:themeColor="text1"/>
                <w:sz w:val="16"/>
                <w:szCs w:val="16"/>
              </w:rPr>
            </w:pPr>
          </w:p>
        </w:tc>
      </w:tr>
      <w:tr w:rsidR="00860B4B" w:rsidRPr="00D03F3E" w14:paraId="7FD215D6" w14:textId="77777777">
        <w:tc>
          <w:tcPr>
            <w:tcW w:w="1526" w:type="dxa"/>
          </w:tcPr>
          <w:p w14:paraId="7816D4FF" w14:textId="77777777" w:rsidR="00531570" w:rsidRPr="00D03F3E" w:rsidRDefault="00531570" w:rsidP="00D03F3E">
            <w:pPr>
              <w:pStyle w:val="Iauiue"/>
              <w:jc w:val="both"/>
              <w:rPr>
                <w:color w:val="000000" w:themeColor="text1"/>
                <w:sz w:val="16"/>
                <w:szCs w:val="16"/>
              </w:rPr>
            </w:pPr>
          </w:p>
        </w:tc>
        <w:tc>
          <w:tcPr>
            <w:tcW w:w="746" w:type="dxa"/>
          </w:tcPr>
          <w:p w14:paraId="1EF63EE3" w14:textId="77777777" w:rsidR="00531570" w:rsidRPr="00D03F3E" w:rsidRDefault="00531570" w:rsidP="00D03F3E">
            <w:pPr>
              <w:pStyle w:val="Iauiue"/>
              <w:jc w:val="both"/>
              <w:rPr>
                <w:color w:val="000000" w:themeColor="text1"/>
                <w:sz w:val="16"/>
                <w:szCs w:val="16"/>
              </w:rPr>
            </w:pPr>
          </w:p>
        </w:tc>
        <w:tc>
          <w:tcPr>
            <w:tcW w:w="746" w:type="dxa"/>
          </w:tcPr>
          <w:p w14:paraId="67D754D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690</w:t>
            </w:r>
          </w:p>
        </w:tc>
        <w:tc>
          <w:tcPr>
            <w:tcW w:w="746" w:type="dxa"/>
          </w:tcPr>
          <w:p w14:paraId="4ADFB0A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860</w:t>
            </w:r>
          </w:p>
        </w:tc>
        <w:tc>
          <w:tcPr>
            <w:tcW w:w="746" w:type="dxa"/>
          </w:tcPr>
          <w:p w14:paraId="0288AEA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1-28</w:t>
            </w:r>
          </w:p>
        </w:tc>
        <w:tc>
          <w:tcPr>
            <w:tcW w:w="746" w:type="dxa"/>
          </w:tcPr>
          <w:p w14:paraId="50A0975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2-35</w:t>
            </w:r>
          </w:p>
        </w:tc>
        <w:tc>
          <w:tcPr>
            <w:tcW w:w="1089" w:type="dxa"/>
          </w:tcPr>
          <w:p w14:paraId="3BDB465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3000</w:t>
            </w:r>
          </w:p>
        </w:tc>
        <w:tc>
          <w:tcPr>
            <w:tcW w:w="690" w:type="dxa"/>
          </w:tcPr>
          <w:p w14:paraId="6627597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2420</w:t>
            </w:r>
          </w:p>
        </w:tc>
        <w:tc>
          <w:tcPr>
            <w:tcW w:w="690" w:type="dxa"/>
          </w:tcPr>
          <w:p w14:paraId="0EA10C5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380</w:t>
            </w:r>
          </w:p>
        </w:tc>
        <w:tc>
          <w:tcPr>
            <w:tcW w:w="690" w:type="dxa"/>
          </w:tcPr>
          <w:p w14:paraId="5363501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2403ED6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280</w:t>
            </w:r>
          </w:p>
        </w:tc>
        <w:tc>
          <w:tcPr>
            <w:tcW w:w="1494" w:type="dxa"/>
          </w:tcPr>
          <w:p w14:paraId="45B65B1C" w14:textId="77777777" w:rsidR="00531570" w:rsidRPr="00D03F3E" w:rsidRDefault="00531570" w:rsidP="00D03F3E">
            <w:pPr>
              <w:pStyle w:val="Iauiue"/>
              <w:jc w:val="both"/>
              <w:rPr>
                <w:color w:val="000000" w:themeColor="text1"/>
                <w:sz w:val="16"/>
                <w:szCs w:val="16"/>
              </w:rPr>
            </w:pPr>
          </w:p>
        </w:tc>
      </w:tr>
      <w:tr w:rsidR="00860B4B" w:rsidRPr="00D03F3E" w14:paraId="04DDB0D5" w14:textId="77777777">
        <w:tc>
          <w:tcPr>
            <w:tcW w:w="1526" w:type="dxa"/>
          </w:tcPr>
          <w:p w14:paraId="399CBCB0" w14:textId="77777777" w:rsidR="00531570" w:rsidRPr="00D03F3E" w:rsidRDefault="00531570" w:rsidP="00D03F3E">
            <w:pPr>
              <w:pStyle w:val="Iauiue"/>
              <w:jc w:val="both"/>
              <w:rPr>
                <w:color w:val="000000" w:themeColor="text1"/>
                <w:sz w:val="16"/>
                <w:szCs w:val="16"/>
              </w:rPr>
            </w:pPr>
          </w:p>
        </w:tc>
        <w:tc>
          <w:tcPr>
            <w:tcW w:w="746" w:type="dxa"/>
          </w:tcPr>
          <w:p w14:paraId="4CFF6ED9" w14:textId="77777777" w:rsidR="00531570" w:rsidRPr="00D03F3E" w:rsidRDefault="00531570" w:rsidP="00D03F3E">
            <w:pPr>
              <w:pStyle w:val="Iauiue"/>
              <w:jc w:val="both"/>
              <w:rPr>
                <w:color w:val="000000" w:themeColor="text1"/>
                <w:sz w:val="16"/>
                <w:szCs w:val="16"/>
              </w:rPr>
            </w:pPr>
          </w:p>
        </w:tc>
        <w:tc>
          <w:tcPr>
            <w:tcW w:w="746" w:type="dxa"/>
          </w:tcPr>
          <w:p w14:paraId="7E4C5C8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685</w:t>
            </w:r>
          </w:p>
        </w:tc>
        <w:tc>
          <w:tcPr>
            <w:tcW w:w="746" w:type="dxa"/>
          </w:tcPr>
          <w:p w14:paraId="5286EE9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830</w:t>
            </w:r>
          </w:p>
        </w:tc>
        <w:tc>
          <w:tcPr>
            <w:tcW w:w="746" w:type="dxa"/>
          </w:tcPr>
          <w:p w14:paraId="1D7B728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1-23</w:t>
            </w:r>
          </w:p>
        </w:tc>
        <w:tc>
          <w:tcPr>
            <w:tcW w:w="746" w:type="dxa"/>
          </w:tcPr>
          <w:p w14:paraId="23E5081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2-20</w:t>
            </w:r>
          </w:p>
        </w:tc>
        <w:tc>
          <w:tcPr>
            <w:tcW w:w="1089" w:type="dxa"/>
          </w:tcPr>
          <w:p w14:paraId="247562C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5000</w:t>
            </w:r>
          </w:p>
        </w:tc>
        <w:tc>
          <w:tcPr>
            <w:tcW w:w="690" w:type="dxa"/>
          </w:tcPr>
          <w:p w14:paraId="465A699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2420</w:t>
            </w:r>
          </w:p>
        </w:tc>
        <w:tc>
          <w:tcPr>
            <w:tcW w:w="690" w:type="dxa"/>
          </w:tcPr>
          <w:p w14:paraId="1592B4A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360</w:t>
            </w:r>
          </w:p>
        </w:tc>
        <w:tc>
          <w:tcPr>
            <w:tcW w:w="690" w:type="dxa"/>
          </w:tcPr>
          <w:p w14:paraId="3828635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0078258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270</w:t>
            </w:r>
          </w:p>
        </w:tc>
        <w:tc>
          <w:tcPr>
            <w:tcW w:w="1494" w:type="dxa"/>
          </w:tcPr>
          <w:p w14:paraId="1C445781" w14:textId="77777777" w:rsidR="00531570" w:rsidRPr="00D03F3E" w:rsidRDefault="00531570" w:rsidP="00D03F3E">
            <w:pPr>
              <w:pStyle w:val="Iauiue"/>
              <w:jc w:val="both"/>
              <w:rPr>
                <w:color w:val="000000" w:themeColor="text1"/>
                <w:sz w:val="16"/>
                <w:szCs w:val="16"/>
              </w:rPr>
            </w:pPr>
          </w:p>
        </w:tc>
      </w:tr>
      <w:tr w:rsidR="00860B4B" w:rsidRPr="00D03F3E" w14:paraId="0E7E4E7C" w14:textId="77777777">
        <w:tc>
          <w:tcPr>
            <w:tcW w:w="1526" w:type="dxa"/>
          </w:tcPr>
          <w:p w14:paraId="47D5868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Як-1 с М-105ПФ</w:t>
            </w:r>
          </w:p>
        </w:tc>
        <w:tc>
          <w:tcPr>
            <w:tcW w:w="746" w:type="dxa"/>
          </w:tcPr>
          <w:p w14:paraId="6595B7A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405</w:t>
            </w:r>
          </w:p>
        </w:tc>
        <w:tc>
          <w:tcPr>
            <w:tcW w:w="746" w:type="dxa"/>
          </w:tcPr>
          <w:p w14:paraId="3BB3470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490</w:t>
            </w:r>
          </w:p>
        </w:tc>
        <w:tc>
          <w:tcPr>
            <w:tcW w:w="746" w:type="dxa"/>
          </w:tcPr>
          <w:p w14:paraId="67B99F3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830</w:t>
            </w:r>
          </w:p>
        </w:tc>
        <w:tc>
          <w:tcPr>
            <w:tcW w:w="746" w:type="dxa"/>
          </w:tcPr>
          <w:p w14:paraId="571D73C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1-04</w:t>
            </w:r>
          </w:p>
        </w:tc>
        <w:tc>
          <w:tcPr>
            <w:tcW w:w="746" w:type="dxa"/>
          </w:tcPr>
          <w:p w14:paraId="1FF00DC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2-50</w:t>
            </w:r>
          </w:p>
        </w:tc>
        <w:tc>
          <w:tcPr>
            <w:tcW w:w="1089" w:type="dxa"/>
          </w:tcPr>
          <w:p w14:paraId="574DA61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500-100</w:t>
            </w:r>
          </w:p>
        </w:tc>
        <w:tc>
          <w:tcPr>
            <w:tcW w:w="690" w:type="dxa"/>
          </w:tcPr>
          <w:p w14:paraId="58E9CA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2420</w:t>
            </w:r>
          </w:p>
        </w:tc>
        <w:tc>
          <w:tcPr>
            <w:tcW w:w="690" w:type="dxa"/>
          </w:tcPr>
          <w:p w14:paraId="1C19ADC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415</w:t>
            </w:r>
          </w:p>
        </w:tc>
        <w:tc>
          <w:tcPr>
            <w:tcW w:w="690" w:type="dxa"/>
          </w:tcPr>
          <w:p w14:paraId="202C65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622DF26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280</w:t>
            </w:r>
          </w:p>
        </w:tc>
        <w:tc>
          <w:tcPr>
            <w:tcW w:w="1494" w:type="dxa"/>
          </w:tcPr>
          <w:p w14:paraId="17B8255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В.К. закрыт.</w:t>
            </w:r>
          </w:p>
        </w:tc>
      </w:tr>
      <w:tr w:rsidR="00860B4B" w:rsidRPr="00D03F3E" w14:paraId="4657CB77" w14:textId="77777777">
        <w:tc>
          <w:tcPr>
            <w:tcW w:w="1526" w:type="dxa"/>
          </w:tcPr>
          <w:p w14:paraId="1E959B87" w14:textId="77777777" w:rsidR="00531570" w:rsidRPr="00D03F3E" w:rsidRDefault="00531570" w:rsidP="00D03F3E">
            <w:pPr>
              <w:pStyle w:val="Iauiue"/>
              <w:jc w:val="both"/>
              <w:rPr>
                <w:color w:val="000000" w:themeColor="text1"/>
                <w:sz w:val="16"/>
                <w:szCs w:val="16"/>
              </w:rPr>
            </w:pPr>
          </w:p>
        </w:tc>
        <w:tc>
          <w:tcPr>
            <w:tcW w:w="746" w:type="dxa"/>
          </w:tcPr>
          <w:p w14:paraId="6C7C5186" w14:textId="77777777" w:rsidR="00531570" w:rsidRPr="00D03F3E" w:rsidRDefault="00531570" w:rsidP="00D03F3E">
            <w:pPr>
              <w:pStyle w:val="Iauiue"/>
              <w:jc w:val="both"/>
              <w:rPr>
                <w:color w:val="000000" w:themeColor="text1"/>
                <w:sz w:val="16"/>
                <w:szCs w:val="16"/>
              </w:rPr>
            </w:pPr>
          </w:p>
        </w:tc>
        <w:tc>
          <w:tcPr>
            <w:tcW w:w="746" w:type="dxa"/>
          </w:tcPr>
          <w:p w14:paraId="7850667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540</w:t>
            </w:r>
          </w:p>
        </w:tc>
        <w:tc>
          <w:tcPr>
            <w:tcW w:w="746" w:type="dxa"/>
          </w:tcPr>
          <w:p w14:paraId="3F777C2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810</w:t>
            </w:r>
          </w:p>
        </w:tc>
        <w:tc>
          <w:tcPr>
            <w:tcW w:w="746" w:type="dxa"/>
          </w:tcPr>
          <w:p w14:paraId="65E3DD4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1-08</w:t>
            </w:r>
          </w:p>
        </w:tc>
        <w:tc>
          <w:tcPr>
            <w:tcW w:w="746" w:type="dxa"/>
          </w:tcPr>
          <w:p w14:paraId="71ACF48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2-37</w:t>
            </w:r>
          </w:p>
        </w:tc>
        <w:tc>
          <w:tcPr>
            <w:tcW w:w="1089" w:type="dxa"/>
          </w:tcPr>
          <w:p w14:paraId="132F174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w:t>
            </w:r>
          </w:p>
        </w:tc>
        <w:tc>
          <w:tcPr>
            <w:tcW w:w="690" w:type="dxa"/>
          </w:tcPr>
          <w:p w14:paraId="109BAB2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2440</w:t>
            </w:r>
          </w:p>
        </w:tc>
        <w:tc>
          <w:tcPr>
            <w:tcW w:w="690" w:type="dxa"/>
          </w:tcPr>
          <w:p w14:paraId="3F0098E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400</w:t>
            </w:r>
          </w:p>
        </w:tc>
        <w:tc>
          <w:tcPr>
            <w:tcW w:w="690" w:type="dxa"/>
          </w:tcPr>
          <w:p w14:paraId="14F7C60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007556D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280</w:t>
            </w:r>
          </w:p>
        </w:tc>
        <w:tc>
          <w:tcPr>
            <w:tcW w:w="1494" w:type="dxa"/>
          </w:tcPr>
          <w:p w14:paraId="3091041E" w14:textId="77777777" w:rsidR="00531570" w:rsidRPr="00D03F3E" w:rsidRDefault="00531570" w:rsidP="00D03F3E">
            <w:pPr>
              <w:pStyle w:val="Iauiue"/>
              <w:jc w:val="both"/>
              <w:rPr>
                <w:color w:val="000000" w:themeColor="text1"/>
                <w:sz w:val="16"/>
                <w:szCs w:val="16"/>
              </w:rPr>
            </w:pPr>
          </w:p>
        </w:tc>
      </w:tr>
      <w:tr w:rsidR="00860B4B" w:rsidRPr="00D03F3E" w14:paraId="2A05AADF" w14:textId="77777777">
        <w:tc>
          <w:tcPr>
            <w:tcW w:w="1526" w:type="dxa"/>
          </w:tcPr>
          <w:p w14:paraId="31256E09" w14:textId="77777777" w:rsidR="00531570" w:rsidRPr="00D03F3E" w:rsidRDefault="00531570" w:rsidP="00D03F3E">
            <w:pPr>
              <w:pStyle w:val="Iauiue"/>
              <w:jc w:val="both"/>
              <w:rPr>
                <w:color w:val="000000" w:themeColor="text1"/>
                <w:sz w:val="16"/>
                <w:szCs w:val="16"/>
              </w:rPr>
            </w:pPr>
          </w:p>
        </w:tc>
        <w:tc>
          <w:tcPr>
            <w:tcW w:w="746" w:type="dxa"/>
          </w:tcPr>
          <w:p w14:paraId="03FB0A51" w14:textId="77777777" w:rsidR="00531570" w:rsidRPr="00D03F3E" w:rsidRDefault="00531570" w:rsidP="00D03F3E">
            <w:pPr>
              <w:pStyle w:val="Iauiue"/>
              <w:jc w:val="both"/>
              <w:rPr>
                <w:color w:val="000000" w:themeColor="text1"/>
                <w:sz w:val="16"/>
                <w:szCs w:val="16"/>
              </w:rPr>
            </w:pPr>
          </w:p>
        </w:tc>
        <w:tc>
          <w:tcPr>
            <w:tcW w:w="746" w:type="dxa"/>
          </w:tcPr>
          <w:p w14:paraId="50C77DF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600</w:t>
            </w:r>
          </w:p>
        </w:tc>
        <w:tc>
          <w:tcPr>
            <w:tcW w:w="746" w:type="dxa"/>
          </w:tcPr>
          <w:p w14:paraId="10397EC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750</w:t>
            </w:r>
          </w:p>
        </w:tc>
        <w:tc>
          <w:tcPr>
            <w:tcW w:w="746" w:type="dxa"/>
          </w:tcPr>
          <w:p w14:paraId="08C225D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1-16</w:t>
            </w:r>
          </w:p>
        </w:tc>
        <w:tc>
          <w:tcPr>
            <w:tcW w:w="746" w:type="dxa"/>
          </w:tcPr>
          <w:p w14:paraId="1B315DE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2-10</w:t>
            </w:r>
          </w:p>
        </w:tc>
        <w:tc>
          <w:tcPr>
            <w:tcW w:w="1089" w:type="dxa"/>
          </w:tcPr>
          <w:p w14:paraId="4FEC296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3000</w:t>
            </w:r>
          </w:p>
        </w:tc>
        <w:tc>
          <w:tcPr>
            <w:tcW w:w="690" w:type="dxa"/>
          </w:tcPr>
          <w:p w14:paraId="31FC4C8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2400</w:t>
            </w:r>
          </w:p>
        </w:tc>
        <w:tc>
          <w:tcPr>
            <w:tcW w:w="690" w:type="dxa"/>
          </w:tcPr>
          <w:p w14:paraId="370F914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375</w:t>
            </w:r>
          </w:p>
        </w:tc>
        <w:tc>
          <w:tcPr>
            <w:tcW w:w="690" w:type="dxa"/>
          </w:tcPr>
          <w:p w14:paraId="6B46502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037CBFF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280</w:t>
            </w:r>
          </w:p>
        </w:tc>
        <w:tc>
          <w:tcPr>
            <w:tcW w:w="1494" w:type="dxa"/>
          </w:tcPr>
          <w:p w14:paraId="63DCD5DF" w14:textId="77777777" w:rsidR="00531570" w:rsidRPr="00D03F3E" w:rsidRDefault="00531570" w:rsidP="00D03F3E">
            <w:pPr>
              <w:pStyle w:val="Iauiue"/>
              <w:jc w:val="both"/>
              <w:rPr>
                <w:color w:val="000000" w:themeColor="text1"/>
                <w:sz w:val="16"/>
                <w:szCs w:val="16"/>
              </w:rPr>
            </w:pPr>
          </w:p>
        </w:tc>
      </w:tr>
      <w:tr w:rsidR="00860B4B" w:rsidRPr="00D03F3E" w14:paraId="6413D819" w14:textId="77777777">
        <w:tc>
          <w:tcPr>
            <w:tcW w:w="1526" w:type="dxa"/>
          </w:tcPr>
          <w:p w14:paraId="36790534" w14:textId="77777777" w:rsidR="00531570" w:rsidRPr="00D03F3E" w:rsidRDefault="00531570" w:rsidP="00D03F3E">
            <w:pPr>
              <w:pStyle w:val="Iauiue"/>
              <w:jc w:val="both"/>
              <w:rPr>
                <w:color w:val="000000" w:themeColor="text1"/>
                <w:sz w:val="16"/>
                <w:szCs w:val="16"/>
              </w:rPr>
            </w:pPr>
          </w:p>
        </w:tc>
        <w:tc>
          <w:tcPr>
            <w:tcW w:w="746" w:type="dxa"/>
          </w:tcPr>
          <w:p w14:paraId="5BC96DB6" w14:textId="77777777" w:rsidR="00531570" w:rsidRPr="00D03F3E" w:rsidRDefault="00531570" w:rsidP="00D03F3E">
            <w:pPr>
              <w:pStyle w:val="Iauiue"/>
              <w:jc w:val="both"/>
              <w:rPr>
                <w:color w:val="000000" w:themeColor="text1"/>
                <w:sz w:val="16"/>
                <w:szCs w:val="16"/>
              </w:rPr>
            </w:pPr>
          </w:p>
        </w:tc>
        <w:tc>
          <w:tcPr>
            <w:tcW w:w="746" w:type="dxa"/>
          </w:tcPr>
          <w:p w14:paraId="5982C67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650</w:t>
            </w:r>
          </w:p>
        </w:tc>
        <w:tc>
          <w:tcPr>
            <w:tcW w:w="746" w:type="dxa"/>
          </w:tcPr>
          <w:p w14:paraId="0903C96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710</w:t>
            </w:r>
          </w:p>
        </w:tc>
        <w:tc>
          <w:tcPr>
            <w:tcW w:w="746" w:type="dxa"/>
          </w:tcPr>
          <w:p w14:paraId="71521A8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1-21</w:t>
            </w:r>
          </w:p>
        </w:tc>
        <w:tc>
          <w:tcPr>
            <w:tcW w:w="746" w:type="dxa"/>
          </w:tcPr>
          <w:p w14:paraId="75D1A4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2-00</w:t>
            </w:r>
          </w:p>
        </w:tc>
        <w:tc>
          <w:tcPr>
            <w:tcW w:w="1089" w:type="dxa"/>
          </w:tcPr>
          <w:p w14:paraId="06AF502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5000</w:t>
            </w:r>
          </w:p>
        </w:tc>
        <w:tc>
          <w:tcPr>
            <w:tcW w:w="690" w:type="dxa"/>
          </w:tcPr>
          <w:p w14:paraId="0EA2270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2400</w:t>
            </w:r>
          </w:p>
        </w:tc>
        <w:tc>
          <w:tcPr>
            <w:tcW w:w="690" w:type="dxa"/>
          </w:tcPr>
          <w:p w14:paraId="7DC123D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335</w:t>
            </w:r>
          </w:p>
        </w:tc>
        <w:tc>
          <w:tcPr>
            <w:tcW w:w="690" w:type="dxa"/>
          </w:tcPr>
          <w:p w14:paraId="7588F48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221AB26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270</w:t>
            </w:r>
          </w:p>
        </w:tc>
        <w:tc>
          <w:tcPr>
            <w:tcW w:w="1494" w:type="dxa"/>
          </w:tcPr>
          <w:p w14:paraId="753A993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Открыт на 1/2</w:t>
            </w:r>
          </w:p>
        </w:tc>
      </w:tr>
      <w:tr w:rsidR="00860B4B" w:rsidRPr="00D03F3E" w14:paraId="083CC3AD" w14:textId="77777777">
        <w:tc>
          <w:tcPr>
            <w:tcW w:w="1526" w:type="dxa"/>
          </w:tcPr>
          <w:p w14:paraId="6856151D" w14:textId="77777777" w:rsidR="00531570" w:rsidRPr="00D03F3E" w:rsidRDefault="00531570" w:rsidP="00D03F3E">
            <w:pPr>
              <w:pStyle w:val="Iauiue"/>
              <w:jc w:val="both"/>
              <w:rPr>
                <w:color w:val="000000" w:themeColor="text1"/>
                <w:sz w:val="16"/>
                <w:szCs w:val="16"/>
              </w:rPr>
            </w:pPr>
          </w:p>
        </w:tc>
        <w:tc>
          <w:tcPr>
            <w:tcW w:w="746" w:type="dxa"/>
          </w:tcPr>
          <w:p w14:paraId="4974F82A" w14:textId="77777777" w:rsidR="00531570" w:rsidRPr="00D03F3E" w:rsidRDefault="00531570" w:rsidP="00D03F3E">
            <w:pPr>
              <w:pStyle w:val="Iauiue"/>
              <w:jc w:val="both"/>
              <w:rPr>
                <w:color w:val="000000" w:themeColor="text1"/>
                <w:sz w:val="16"/>
                <w:szCs w:val="16"/>
              </w:rPr>
            </w:pPr>
          </w:p>
        </w:tc>
        <w:tc>
          <w:tcPr>
            <w:tcW w:w="746" w:type="dxa"/>
          </w:tcPr>
          <w:p w14:paraId="27613C0D" w14:textId="77777777" w:rsidR="00531570" w:rsidRPr="00D03F3E" w:rsidRDefault="00531570" w:rsidP="00D03F3E">
            <w:pPr>
              <w:pStyle w:val="Iauiue"/>
              <w:jc w:val="both"/>
              <w:rPr>
                <w:color w:val="000000" w:themeColor="text1"/>
                <w:sz w:val="16"/>
                <w:szCs w:val="16"/>
              </w:rPr>
            </w:pPr>
          </w:p>
        </w:tc>
        <w:tc>
          <w:tcPr>
            <w:tcW w:w="746" w:type="dxa"/>
          </w:tcPr>
          <w:p w14:paraId="58497B90" w14:textId="77777777" w:rsidR="00531570" w:rsidRPr="00D03F3E" w:rsidRDefault="00531570" w:rsidP="00D03F3E">
            <w:pPr>
              <w:pStyle w:val="Iauiue"/>
              <w:jc w:val="both"/>
              <w:rPr>
                <w:color w:val="000000" w:themeColor="text1"/>
                <w:sz w:val="16"/>
                <w:szCs w:val="16"/>
              </w:rPr>
            </w:pPr>
          </w:p>
        </w:tc>
        <w:tc>
          <w:tcPr>
            <w:tcW w:w="746" w:type="dxa"/>
          </w:tcPr>
          <w:p w14:paraId="16163009" w14:textId="77777777" w:rsidR="00531570" w:rsidRPr="00D03F3E" w:rsidRDefault="00531570" w:rsidP="00D03F3E">
            <w:pPr>
              <w:pStyle w:val="Iauiue"/>
              <w:jc w:val="both"/>
              <w:rPr>
                <w:color w:val="000000" w:themeColor="text1"/>
                <w:sz w:val="16"/>
                <w:szCs w:val="16"/>
              </w:rPr>
            </w:pPr>
          </w:p>
        </w:tc>
        <w:tc>
          <w:tcPr>
            <w:tcW w:w="746" w:type="dxa"/>
          </w:tcPr>
          <w:p w14:paraId="6C3D923F" w14:textId="77777777" w:rsidR="00531570" w:rsidRPr="00D03F3E" w:rsidRDefault="00531570" w:rsidP="00D03F3E">
            <w:pPr>
              <w:pStyle w:val="Iauiue"/>
              <w:jc w:val="both"/>
              <w:rPr>
                <w:color w:val="000000" w:themeColor="text1"/>
                <w:sz w:val="16"/>
                <w:szCs w:val="16"/>
              </w:rPr>
            </w:pPr>
          </w:p>
        </w:tc>
        <w:tc>
          <w:tcPr>
            <w:tcW w:w="1089" w:type="dxa"/>
          </w:tcPr>
          <w:p w14:paraId="112077F2" w14:textId="77777777" w:rsidR="00531570" w:rsidRPr="00D03F3E" w:rsidRDefault="00531570" w:rsidP="00D03F3E">
            <w:pPr>
              <w:pStyle w:val="Iauiue"/>
              <w:jc w:val="both"/>
              <w:rPr>
                <w:color w:val="000000" w:themeColor="text1"/>
                <w:sz w:val="16"/>
                <w:szCs w:val="16"/>
              </w:rPr>
            </w:pPr>
          </w:p>
        </w:tc>
        <w:tc>
          <w:tcPr>
            <w:tcW w:w="690" w:type="dxa"/>
          </w:tcPr>
          <w:p w14:paraId="25A63889" w14:textId="77777777" w:rsidR="00531570" w:rsidRPr="00D03F3E" w:rsidRDefault="00531570" w:rsidP="00D03F3E">
            <w:pPr>
              <w:pStyle w:val="Iauiue"/>
              <w:jc w:val="both"/>
              <w:rPr>
                <w:color w:val="000000" w:themeColor="text1"/>
                <w:sz w:val="16"/>
                <w:szCs w:val="16"/>
              </w:rPr>
            </w:pPr>
          </w:p>
        </w:tc>
        <w:tc>
          <w:tcPr>
            <w:tcW w:w="690" w:type="dxa"/>
          </w:tcPr>
          <w:p w14:paraId="74D3AD64" w14:textId="77777777" w:rsidR="00531570" w:rsidRPr="00D03F3E" w:rsidRDefault="00531570" w:rsidP="00D03F3E">
            <w:pPr>
              <w:pStyle w:val="Iauiue"/>
              <w:jc w:val="both"/>
              <w:rPr>
                <w:color w:val="000000" w:themeColor="text1"/>
                <w:sz w:val="16"/>
                <w:szCs w:val="16"/>
              </w:rPr>
            </w:pPr>
          </w:p>
        </w:tc>
        <w:tc>
          <w:tcPr>
            <w:tcW w:w="690" w:type="dxa"/>
          </w:tcPr>
          <w:p w14:paraId="77AFDC6C" w14:textId="77777777" w:rsidR="00531570" w:rsidRPr="00D03F3E" w:rsidRDefault="00531570" w:rsidP="00D03F3E">
            <w:pPr>
              <w:pStyle w:val="Iauiue"/>
              <w:jc w:val="both"/>
              <w:rPr>
                <w:color w:val="000000" w:themeColor="text1"/>
                <w:sz w:val="16"/>
                <w:szCs w:val="16"/>
              </w:rPr>
            </w:pPr>
          </w:p>
        </w:tc>
        <w:tc>
          <w:tcPr>
            <w:tcW w:w="690" w:type="dxa"/>
          </w:tcPr>
          <w:p w14:paraId="30A80842" w14:textId="77777777" w:rsidR="00531570" w:rsidRPr="00D03F3E" w:rsidRDefault="00531570" w:rsidP="00D03F3E">
            <w:pPr>
              <w:pStyle w:val="Iauiue"/>
              <w:jc w:val="both"/>
              <w:rPr>
                <w:color w:val="000000" w:themeColor="text1"/>
                <w:sz w:val="16"/>
                <w:szCs w:val="16"/>
              </w:rPr>
            </w:pPr>
          </w:p>
        </w:tc>
        <w:tc>
          <w:tcPr>
            <w:tcW w:w="1494" w:type="dxa"/>
          </w:tcPr>
          <w:p w14:paraId="39518A8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хода.</w:t>
            </w:r>
          </w:p>
        </w:tc>
      </w:tr>
      <w:tr w:rsidR="00860B4B" w:rsidRPr="00D03F3E" w14:paraId="359C1F8B" w14:textId="77777777">
        <w:tc>
          <w:tcPr>
            <w:tcW w:w="1526" w:type="dxa"/>
          </w:tcPr>
          <w:p w14:paraId="1E2B7AC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Як-7б с М-105ПФ</w:t>
            </w:r>
          </w:p>
        </w:tc>
        <w:tc>
          <w:tcPr>
            <w:tcW w:w="746" w:type="dxa"/>
          </w:tcPr>
          <w:p w14:paraId="0511B6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415</w:t>
            </w:r>
          </w:p>
        </w:tc>
        <w:tc>
          <w:tcPr>
            <w:tcW w:w="746" w:type="dxa"/>
          </w:tcPr>
          <w:p w14:paraId="13A18B0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560</w:t>
            </w:r>
          </w:p>
        </w:tc>
        <w:tc>
          <w:tcPr>
            <w:tcW w:w="746" w:type="dxa"/>
          </w:tcPr>
          <w:p w14:paraId="375ED18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840</w:t>
            </w:r>
          </w:p>
        </w:tc>
        <w:tc>
          <w:tcPr>
            <w:tcW w:w="746" w:type="dxa"/>
          </w:tcPr>
          <w:p w14:paraId="4B99D16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1-10</w:t>
            </w:r>
          </w:p>
        </w:tc>
        <w:tc>
          <w:tcPr>
            <w:tcW w:w="746" w:type="dxa"/>
          </w:tcPr>
          <w:p w14:paraId="6704668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2-55</w:t>
            </w:r>
          </w:p>
        </w:tc>
        <w:tc>
          <w:tcPr>
            <w:tcW w:w="1089" w:type="dxa"/>
          </w:tcPr>
          <w:p w14:paraId="2EDEA67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500-100</w:t>
            </w:r>
          </w:p>
        </w:tc>
        <w:tc>
          <w:tcPr>
            <w:tcW w:w="690" w:type="dxa"/>
          </w:tcPr>
          <w:p w14:paraId="2EA4A6A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2300</w:t>
            </w:r>
          </w:p>
        </w:tc>
        <w:tc>
          <w:tcPr>
            <w:tcW w:w="690" w:type="dxa"/>
          </w:tcPr>
          <w:p w14:paraId="7D9B225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430</w:t>
            </w:r>
          </w:p>
        </w:tc>
        <w:tc>
          <w:tcPr>
            <w:tcW w:w="690" w:type="dxa"/>
          </w:tcPr>
          <w:p w14:paraId="43809E1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383D032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280</w:t>
            </w:r>
          </w:p>
        </w:tc>
        <w:tc>
          <w:tcPr>
            <w:tcW w:w="1494" w:type="dxa"/>
          </w:tcPr>
          <w:p w14:paraId="17AF27F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В.К. закрыт.</w:t>
            </w:r>
          </w:p>
        </w:tc>
      </w:tr>
      <w:tr w:rsidR="00860B4B" w:rsidRPr="00D03F3E" w14:paraId="09FC8417" w14:textId="77777777">
        <w:tc>
          <w:tcPr>
            <w:tcW w:w="1526" w:type="dxa"/>
          </w:tcPr>
          <w:p w14:paraId="4172ECEA" w14:textId="77777777" w:rsidR="00531570" w:rsidRPr="00D03F3E" w:rsidRDefault="00531570" w:rsidP="00D03F3E">
            <w:pPr>
              <w:pStyle w:val="Iauiue"/>
              <w:jc w:val="both"/>
              <w:rPr>
                <w:color w:val="000000" w:themeColor="text1"/>
                <w:sz w:val="16"/>
                <w:szCs w:val="16"/>
              </w:rPr>
            </w:pPr>
          </w:p>
        </w:tc>
        <w:tc>
          <w:tcPr>
            <w:tcW w:w="746" w:type="dxa"/>
          </w:tcPr>
          <w:p w14:paraId="70F7A98B" w14:textId="77777777" w:rsidR="00531570" w:rsidRPr="00D03F3E" w:rsidRDefault="00531570" w:rsidP="00D03F3E">
            <w:pPr>
              <w:pStyle w:val="Iauiue"/>
              <w:jc w:val="both"/>
              <w:rPr>
                <w:color w:val="000000" w:themeColor="text1"/>
                <w:sz w:val="16"/>
                <w:szCs w:val="16"/>
              </w:rPr>
            </w:pPr>
          </w:p>
        </w:tc>
        <w:tc>
          <w:tcPr>
            <w:tcW w:w="746" w:type="dxa"/>
          </w:tcPr>
          <w:p w14:paraId="68301FD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570</w:t>
            </w:r>
          </w:p>
        </w:tc>
        <w:tc>
          <w:tcPr>
            <w:tcW w:w="746" w:type="dxa"/>
          </w:tcPr>
          <w:p w14:paraId="1942A67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820</w:t>
            </w:r>
          </w:p>
        </w:tc>
        <w:tc>
          <w:tcPr>
            <w:tcW w:w="746" w:type="dxa"/>
          </w:tcPr>
          <w:p w14:paraId="2CF90C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1-12</w:t>
            </w:r>
          </w:p>
        </w:tc>
        <w:tc>
          <w:tcPr>
            <w:tcW w:w="746" w:type="dxa"/>
          </w:tcPr>
          <w:p w14:paraId="696FF1E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2-45</w:t>
            </w:r>
          </w:p>
        </w:tc>
        <w:tc>
          <w:tcPr>
            <w:tcW w:w="1089" w:type="dxa"/>
          </w:tcPr>
          <w:p w14:paraId="06A0D0F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w:t>
            </w:r>
          </w:p>
        </w:tc>
        <w:tc>
          <w:tcPr>
            <w:tcW w:w="690" w:type="dxa"/>
          </w:tcPr>
          <w:p w14:paraId="627C57B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2300</w:t>
            </w:r>
          </w:p>
        </w:tc>
        <w:tc>
          <w:tcPr>
            <w:tcW w:w="690" w:type="dxa"/>
          </w:tcPr>
          <w:p w14:paraId="573EAB4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425</w:t>
            </w:r>
          </w:p>
        </w:tc>
        <w:tc>
          <w:tcPr>
            <w:tcW w:w="690" w:type="dxa"/>
          </w:tcPr>
          <w:p w14:paraId="1A3C9BE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2236BF9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280</w:t>
            </w:r>
          </w:p>
        </w:tc>
        <w:tc>
          <w:tcPr>
            <w:tcW w:w="1494" w:type="dxa"/>
          </w:tcPr>
          <w:p w14:paraId="296104A9" w14:textId="77777777" w:rsidR="00531570" w:rsidRPr="00D03F3E" w:rsidRDefault="00531570" w:rsidP="00D03F3E">
            <w:pPr>
              <w:pStyle w:val="Iauiue"/>
              <w:jc w:val="both"/>
              <w:rPr>
                <w:color w:val="000000" w:themeColor="text1"/>
                <w:sz w:val="16"/>
                <w:szCs w:val="16"/>
              </w:rPr>
            </w:pPr>
          </w:p>
        </w:tc>
      </w:tr>
      <w:tr w:rsidR="00860B4B" w:rsidRPr="00D03F3E" w14:paraId="035953B0" w14:textId="77777777">
        <w:tc>
          <w:tcPr>
            <w:tcW w:w="1526" w:type="dxa"/>
          </w:tcPr>
          <w:p w14:paraId="37641EC7" w14:textId="77777777" w:rsidR="00531570" w:rsidRPr="00D03F3E" w:rsidRDefault="00531570" w:rsidP="00D03F3E">
            <w:pPr>
              <w:pStyle w:val="Iauiue"/>
              <w:jc w:val="both"/>
              <w:rPr>
                <w:color w:val="000000" w:themeColor="text1"/>
                <w:sz w:val="16"/>
                <w:szCs w:val="16"/>
              </w:rPr>
            </w:pPr>
          </w:p>
        </w:tc>
        <w:tc>
          <w:tcPr>
            <w:tcW w:w="746" w:type="dxa"/>
          </w:tcPr>
          <w:p w14:paraId="16FD8985" w14:textId="77777777" w:rsidR="00531570" w:rsidRPr="00D03F3E" w:rsidRDefault="00531570" w:rsidP="00D03F3E">
            <w:pPr>
              <w:pStyle w:val="Iauiue"/>
              <w:jc w:val="both"/>
              <w:rPr>
                <w:color w:val="000000" w:themeColor="text1"/>
                <w:sz w:val="16"/>
                <w:szCs w:val="16"/>
              </w:rPr>
            </w:pPr>
          </w:p>
        </w:tc>
        <w:tc>
          <w:tcPr>
            <w:tcW w:w="746" w:type="dxa"/>
          </w:tcPr>
          <w:p w14:paraId="179162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620</w:t>
            </w:r>
          </w:p>
        </w:tc>
        <w:tc>
          <w:tcPr>
            <w:tcW w:w="746" w:type="dxa"/>
          </w:tcPr>
          <w:p w14:paraId="3F8BD22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780</w:t>
            </w:r>
          </w:p>
        </w:tc>
        <w:tc>
          <w:tcPr>
            <w:tcW w:w="746" w:type="dxa"/>
          </w:tcPr>
          <w:p w14:paraId="72099EF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1-15</w:t>
            </w:r>
          </w:p>
        </w:tc>
        <w:tc>
          <w:tcPr>
            <w:tcW w:w="746" w:type="dxa"/>
          </w:tcPr>
          <w:p w14:paraId="76238B0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2-20</w:t>
            </w:r>
          </w:p>
        </w:tc>
        <w:tc>
          <w:tcPr>
            <w:tcW w:w="1089" w:type="dxa"/>
          </w:tcPr>
          <w:p w14:paraId="4C99283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3000</w:t>
            </w:r>
          </w:p>
        </w:tc>
        <w:tc>
          <w:tcPr>
            <w:tcW w:w="690" w:type="dxa"/>
          </w:tcPr>
          <w:p w14:paraId="2AA99B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2300</w:t>
            </w:r>
          </w:p>
        </w:tc>
        <w:tc>
          <w:tcPr>
            <w:tcW w:w="690" w:type="dxa"/>
          </w:tcPr>
          <w:p w14:paraId="47CDD9E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400</w:t>
            </w:r>
          </w:p>
        </w:tc>
        <w:tc>
          <w:tcPr>
            <w:tcW w:w="690" w:type="dxa"/>
          </w:tcPr>
          <w:p w14:paraId="3F2D8AF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513854C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280</w:t>
            </w:r>
          </w:p>
        </w:tc>
        <w:tc>
          <w:tcPr>
            <w:tcW w:w="1494" w:type="dxa"/>
          </w:tcPr>
          <w:p w14:paraId="791A5C71" w14:textId="77777777" w:rsidR="00531570" w:rsidRPr="00D03F3E" w:rsidRDefault="00531570" w:rsidP="00D03F3E">
            <w:pPr>
              <w:pStyle w:val="Iauiue"/>
              <w:jc w:val="both"/>
              <w:rPr>
                <w:color w:val="000000" w:themeColor="text1"/>
                <w:sz w:val="16"/>
                <w:szCs w:val="16"/>
              </w:rPr>
            </w:pPr>
          </w:p>
        </w:tc>
      </w:tr>
      <w:tr w:rsidR="00860B4B" w:rsidRPr="00D03F3E" w14:paraId="5248682B" w14:textId="77777777">
        <w:tc>
          <w:tcPr>
            <w:tcW w:w="1526" w:type="dxa"/>
          </w:tcPr>
          <w:p w14:paraId="14EC4B80" w14:textId="77777777" w:rsidR="00531570" w:rsidRPr="00D03F3E" w:rsidRDefault="00531570" w:rsidP="00D03F3E">
            <w:pPr>
              <w:pStyle w:val="Iauiue"/>
              <w:jc w:val="both"/>
              <w:rPr>
                <w:color w:val="000000" w:themeColor="text1"/>
                <w:sz w:val="16"/>
                <w:szCs w:val="16"/>
              </w:rPr>
            </w:pPr>
          </w:p>
        </w:tc>
        <w:tc>
          <w:tcPr>
            <w:tcW w:w="746" w:type="dxa"/>
          </w:tcPr>
          <w:p w14:paraId="481928B1" w14:textId="77777777" w:rsidR="00531570" w:rsidRPr="00D03F3E" w:rsidRDefault="00531570" w:rsidP="00D03F3E">
            <w:pPr>
              <w:pStyle w:val="Iauiue"/>
              <w:jc w:val="both"/>
              <w:rPr>
                <w:color w:val="000000" w:themeColor="text1"/>
                <w:sz w:val="16"/>
                <w:szCs w:val="16"/>
              </w:rPr>
            </w:pPr>
          </w:p>
        </w:tc>
        <w:tc>
          <w:tcPr>
            <w:tcW w:w="746" w:type="dxa"/>
          </w:tcPr>
          <w:p w14:paraId="083AFB2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620</w:t>
            </w:r>
          </w:p>
        </w:tc>
        <w:tc>
          <w:tcPr>
            <w:tcW w:w="746" w:type="dxa"/>
          </w:tcPr>
          <w:p w14:paraId="59C29D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720</w:t>
            </w:r>
          </w:p>
        </w:tc>
        <w:tc>
          <w:tcPr>
            <w:tcW w:w="746" w:type="dxa"/>
          </w:tcPr>
          <w:p w14:paraId="1A30755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1-18</w:t>
            </w:r>
          </w:p>
        </w:tc>
        <w:tc>
          <w:tcPr>
            <w:tcW w:w="746" w:type="dxa"/>
          </w:tcPr>
          <w:p w14:paraId="501377C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2-00</w:t>
            </w:r>
          </w:p>
        </w:tc>
        <w:tc>
          <w:tcPr>
            <w:tcW w:w="1089" w:type="dxa"/>
          </w:tcPr>
          <w:p w14:paraId="15E7FFD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5000</w:t>
            </w:r>
          </w:p>
        </w:tc>
        <w:tc>
          <w:tcPr>
            <w:tcW w:w="690" w:type="dxa"/>
          </w:tcPr>
          <w:p w14:paraId="004DB09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2300</w:t>
            </w:r>
          </w:p>
        </w:tc>
        <w:tc>
          <w:tcPr>
            <w:tcW w:w="690" w:type="dxa"/>
          </w:tcPr>
          <w:p w14:paraId="3F7B9AF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350</w:t>
            </w:r>
          </w:p>
        </w:tc>
        <w:tc>
          <w:tcPr>
            <w:tcW w:w="690" w:type="dxa"/>
          </w:tcPr>
          <w:p w14:paraId="03F5E6D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0BA5321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270</w:t>
            </w:r>
          </w:p>
        </w:tc>
        <w:tc>
          <w:tcPr>
            <w:tcW w:w="1494" w:type="dxa"/>
          </w:tcPr>
          <w:p w14:paraId="5B7FD62D" w14:textId="77777777" w:rsidR="00531570" w:rsidRPr="00D03F3E" w:rsidRDefault="00531570" w:rsidP="00D03F3E">
            <w:pPr>
              <w:pStyle w:val="Iauiue"/>
              <w:jc w:val="both"/>
              <w:rPr>
                <w:color w:val="000000" w:themeColor="text1"/>
                <w:sz w:val="16"/>
                <w:szCs w:val="16"/>
              </w:rPr>
            </w:pPr>
          </w:p>
        </w:tc>
      </w:tr>
      <w:tr w:rsidR="00860B4B" w:rsidRPr="00D03F3E" w14:paraId="66C931E3" w14:textId="77777777">
        <w:tc>
          <w:tcPr>
            <w:tcW w:w="1526" w:type="dxa"/>
          </w:tcPr>
          <w:p w14:paraId="3ED1221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Як-9 с М-105ПФ</w:t>
            </w:r>
          </w:p>
        </w:tc>
        <w:tc>
          <w:tcPr>
            <w:tcW w:w="746" w:type="dxa"/>
          </w:tcPr>
          <w:p w14:paraId="7814EE5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673</w:t>
            </w:r>
          </w:p>
        </w:tc>
        <w:tc>
          <w:tcPr>
            <w:tcW w:w="746" w:type="dxa"/>
          </w:tcPr>
          <w:p w14:paraId="56079B3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950</w:t>
            </w:r>
          </w:p>
        </w:tc>
        <w:tc>
          <w:tcPr>
            <w:tcW w:w="746" w:type="dxa"/>
          </w:tcPr>
          <w:p w14:paraId="7CD9E47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1420</w:t>
            </w:r>
          </w:p>
        </w:tc>
        <w:tc>
          <w:tcPr>
            <w:tcW w:w="746" w:type="dxa"/>
          </w:tcPr>
          <w:p w14:paraId="4E1DB8F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2-00</w:t>
            </w:r>
          </w:p>
        </w:tc>
        <w:tc>
          <w:tcPr>
            <w:tcW w:w="746" w:type="dxa"/>
          </w:tcPr>
          <w:p w14:paraId="654E982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4-55</w:t>
            </w:r>
          </w:p>
        </w:tc>
        <w:tc>
          <w:tcPr>
            <w:tcW w:w="1089" w:type="dxa"/>
          </w:tcPr>
          <w:p w14:paraId="132FECA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500-100</w:t>
            </w:r>
          </w:p>
        </w:tc>
        <w:tc>
          <w:tcPr>
            <w:tcW w:w="690" w:type="dxa"/>
          </w:tcPr>
          <w:p w14:paraId="3095BBE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2300</w:t>
            </w:r>
          </w:p>
        </w:tc>
        <w:tc>
          <w:tcPr>
            <w:tcW w:w="690" w:type="dxa"/>
          </w:tcPr>
          <w:p w14:paraId="7B553C9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430</w:t>
            </w:r>
          </w:p>
        </w:tc>
        <w:tc>
          <w:tcPr>
            <w:tcW w:w="690" w:type="dxa"/>
          </w:tcPr>
          <w:p w14:paraId="100354B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6AD69A5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280</w:t>
            </w:r>
          </w:p>
        </w:tc>
        <w:tc>
          <w:tcPr>
            <w:tcW w:w="1494" w:type="dxa"/>
          </w:tcPr>
          <w:p w14:paraId="45EB167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В.К. закрыт.</w:t>
            </w:r>
          </w:p>
        </w:tc>
      </w:tr>
      <w:tr w:rsidR="00860B4B" w:rsidRPr="00D03F3E" w14:paraId="725C2412" w14:textId="77777777">
        <w:tc>
          <w:tcPr>
            <w:tcW w:w="1526" w:type="dxa"/>
          </w:tcPr>
          <w:p w14:paraId="4F8BB1D2" w14:textId="77777777" w:rsidR="00531570" w:rsidRPr="00D03F3E" w:rsidRDefault="00531570" w:rsidP="00D03F3E">
            <w:pPr>
              <w:pStyle w:val="Iauiue"/>
              <w:jc w:val="both"/>
              <w:rPr>
                <w:color w:val="000000" w:themeColor="text1"/>
                <w:sz w:val="16"/>
                <w:szCs w:val="16"/>
              </w:rPr>
            </w:pPr>
          </w:p>
        </w:tc>
        <w:tc>
          <w:tcPr>
            <w:tcW w:w="746" w:type="dxa"/>
          </w:tcPr>
          <w:p w14:paraId="3D31B5C2" w14:textId="77777777" w:rsidR="00531570" w:rsidRPr="00D03F3E" w:rsidRDefault="00531570" w:rsidP="00D03F3E">
            <w:pPr>
              <w:pStyle w:val="Iauiue"/>
              <w:jc w:val="both"/>
              <w:rPr>
                <w:color w:val="000000" w:themeColor="text1"/>
                <w:sz w:val="16"/>
                <w:szCs w:val="16"/>
              </w:rPr>
            </w:pPr>
          </w:p>
        </w:tc>
        <w:tc>
          <w:tcPr>
            <w:tcW w:w="746" w:type="dxa"/>
          </w:tcPr>
          <w:p w14:paraId="37169F9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970</w:t>
            </w:r>
          </w:p>
        </w:tc>
        <w:tc>
          <w:tcPr>
            <w:tcW w:w="746" w:type="dxa"/>
          </w:tcPr>
          <w:p w14:paraId="79F5C5C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1400</w:t>
            </w:r>
          </w:p>
        </w:tc>
        <w:tc>
          <w:tcPr>
            <w:tcW w:w="746" w:type="dxa"/>
          </w:tcPr>
          <w:p w14:paraId="64B0BC7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2-03</w:t>
            </w:r>
          </w:p>
        </w:tc>
        <w:tc>
          <w:tcPr>
            <w:tcW w:w="746" w:type="dxa"/>
          </w:tcPr>
          <w:p w14:paraId="6B3B913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4-37</w:t>
            </w:r>
          </w:p>
        </w:tc>
        <w:tc>
          <w:tcPr>
            <w:tcW w:w="1089" w:type="dxa"/>
          </w:tcPr>
          <w:p w14:paraId="673F300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w:t>
            </w:r>
          </w:p>
        </w:tc>
        <w:tc>
          <w:tcPr>
            <w:tcW w:w="690" w:type="dxa"/>
          </w:tcPr>
          <w:p w14:paraId="7E22E50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2300</w:t>
            </w:r>
          </w:p>
        </w:tc>
        <w:tc>
          <w:tcPr>
            <w:tcW w:w="690" w:type="dxa"/>
          </w:tcPr>
          <w:p w14:paraId="1BB9C90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425</w:t>
            </w:r>
          </w:p>
        </w:tc>
        <w:tc>
          <w:tcPr>
            <w:tcW w:w="690" w:type="dxa"/>
          </w:tcPr>
          <w:p w14:paraId="416249C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72B5BD5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280</w:t>
            </w:r>
          </w:p>
        </w:tc>
        <w:tc>
          <w:tcPr>
            <w:tcW w:w="1494" w:type="dxa"/>
          </w:tcPr>
          <w:p w14:paraId="412CE50E" w14:textId="77777777" w:rsidR="00531570" w:rsidRPr="00D03F3E" w:rsidRDefault="00531570" w:rsidP="00D03F3E">
            <w:pPr>
              <w:pStyle w:val="Iauiue"/>
              <w:jc w:val="both"/>
              <w:rPr>
                <w:color w:val="000000" w:themeColor="text1"/>
                <w:sz w:val="16"/>
                <w:szCs w:val="16"/>
              </w:rPr>
            </w:pPr>
          </w:p>
        </w:tc>
      </w:tr>
      <w:tr w:rsidR="00860B4B" w:rsidRPr="00D03F3E" w14:paraId="05BEC067" w14:textId="77777777">
        <w:tc>
          <w:tcPr>
            <w:tcW w:w="1526" w:type="dxa"/>
          </w:tcPr>
          <w:p w14:paraId="53E0CC83" w14:textId="77777777" w:rsidR="00531570" w:rsidRPr="00D03F3E" w:rsidRDefault="00531570" w:rsidP="00D03F3E">
            <w:pPr>
              <w:pStyle w:val="Iauiue"/>
              <w:jc w:val="both"/>
              <w:rPr>
                <w:color w:val="000000" w:themeColor="text1"/>
                <w:sz w:val="16"/>
                <w:szCs w:val="16"/>
              </w:rPr>
            </w:pPr>
          </w:p>
        </w:tc>
        <w:tc>
          <w:tcPr>
            <w:tcW w:w="746" w:type="dxa"/>
          </w:tcPr>
          <w:p w14:paraId="72128EBC" w14:textId="77777777" w:rsidR="00531570" w:rsidRPr="00D03F3E" w:rsidRDefault="00531570" w:rsidP="00D03F3E">
            <w:pPr>
              <w:pStyle w:val="Iauiue"/>
              <w:jc w:val="both"/>
              <w:rPr>
                <w:color w:val="000000" w:themeColor="text1"/>
                <w:sz w:val="16"/>
                <w:szCs w:val="16"/>
              </w:rPr>
            </w:pPr>
          </w:p>
        </w:tc>
        <w:tc>
          <w:tcPr>
            <w:tcW w:w="746" w:type="dxa"/>
          </w:tcPr>
          <w:p w14:paraId="4CFAB7A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1070</w:t>
            </w:r>
          </w:p>
        </w:tc>
        <w:tc>
          <w:tcPr>
            <w:tcW w:w="746" w:type="dxa"/>
          </w:tcPr>
          <w:p w14:paraId="4963AD1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1360</w:t>
            </w:r>
          </w:p>
        </w:tc>
        <w:tc>
          <w:tcPr>
            <w:tcW w:w="746" w:type="dxa"/>
          </w:tcPr>
          <w:p w14:paraId="0FF388F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2-10</w:t>
            </w:r>
          </w:p>
        </w:tc>
        <w:tc>
          <w:tcPr>
            <w:tcW w:w="746" w:type="dxa"/>
          </w:tcPr>
          <w:p w14:paraId="0CDA6E7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4-00</w:t>
            </w:r>
          </w:p>
        </w:tc>
        <w:tc>
          <w:tcPr>
            <w:tcW w:w="1089" w:type="dxa"/>
          </w:tcPr>
          <w:p w14:paraId="32CD3D1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3000</w:t>
            </w:r>
          </w:p>
        </w:tc>
        <w:tc>
          <w:tcPr>
            <w:tcW w:w="690" w:type="dxa"/>
          </w:tcPr>
          <w:p w14:paraId="06ADCED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2300</w:t>
            </w:r>
          </w:p>
        </w:tc>
        <w:tc>
          <w:tcPr>
            <w:tcW w:w="690" w:type="dxa"/>
          </w:tcPr>
          <w:p w14:paraId="54E3B62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400</w:t>
            </w:r>
          </w:p>
        </w:tc>
        <w:tc>
          <w:tcPr>
            <w:tcW w:w="690" w:type="dxa"/>
          </w:tcPr>
          <w:p w14:paraId="3ED0305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53DC481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280</w:t>
            </w:r>
          </w:p>
        </w:tc>
        <w:tc>
          <w:tcPr>
            <w:tcW w:w="1494" w:type="dxa"/>
          </w:tcPr>
          <w:p w14:paraId="44C647D6" w14:textId="77777777" w:rsidR="00531570" w:rsidRPr="00D03F3E" w:rsidRDefault="00531570" w:rsidP="00D03F3E">
            <w:pPr>
              <w:pStyle w:val="Iauiue"/>
              <w:jc w:val="both"/>
              <w:rPr>
                <w:color w:val="000000" w:themeColor="text1"/>
                <w:sz w:val="16"/>
                <w:szCs w:val="16"/>
              </w:rPr>
            </w:pPr>
          </w:p>
        </w:tc>
      </w:tr>
      <w:tr w:rsidR="00860B4B" w:rsidRPr="00D03F3E" w14:paraId="0F86E7E3" w14:textId="77777777">
        <w:tc>
          <w:tcPr>
            <w:tcW w:w="1526" w:type="dxa"/>
          </w:tcPr>
          <w:p w14:paraId="01E7D2DD" w14:textId="77777777" w:rsidR="00531570" w:rsidRPr="00D03F3E" w:rsidRDefault="00531570" w:rsidP="00D03F3E">
            <w:pPr>
              <w:pStyle w:val="Iauiue"/>
              <w:jc w:val="both"/>
              <w:rPr>
                <w:color w:val="000000" w:themeColor="text1"/>
                <w:sz w:val="16"/>
                <w:szCs w:val="16"/>
              </w:rPr>
            </w:pPr>
          </w:p>
        </w:tc>
        <w:tc>
          <w:tcPr>
            <w:tcW w:w="746" w:type="dxa"/>
          </w:tcPr>
          <w:p w14:paraId="3591188A" w14:textId="77777777" w:rsidR="00531570" w:rsidRPr="00D03F3E" w:rsidRDefault="00531570" w:rsidP="00D03F3E">
            <w:pPr>
              <w:pStyle w:val="Iauiue"/>
              <w:jc w:val="both"/>
              <w:rPr>
                <w:color w:val="000000" w:themeColor="text1"/>
                <w:sz w:val="16"/>
                <w:szCs w:val="16"/>
              </w:rPr>
            </w:pPr>
          </w:p>
        </w:tc>
        <w:tc>
          <w:tcPr>
            <w:tcW w:w="746" w:type="dxa"/>
          </w:tcPr>
          <w:p w14:paraId="1A673F1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1110</w:t>
            </w:r>
          </w:p>
        </w:tc>
        <w:tc>
          <w:tcPr>
            <w:tcW w:w="746" w:type="dxa"/>
          </w:tcPr>
          <w:p w14:paraId="05EB9DB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1290</w:t>
            </w:r>
          </w:p>
        </w:tc>
        <w:tc>
          <w:tcPr>
            <w:tcW w:w="746" w:type="dxa"/>
          </w:tcPr>
          <w:p w14:paraId="3B0D1DF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2-20</w:t>
            </w:r>
          </w:p>
        </w:tc>
        <w:tc>
          <w:tcPr>
            <w:tcW w:w="746" w:type="dxa"/>
          </w:tcPr>
          <w:p w14:paraId="01443D7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3-40</w:t>
            </w:r>
          </w:p>
        </w:tc>
        <w:tc>
          <w:tcPr>
            <w:tcW w:w="1089" w:type="dxa"/>
          </w:tcPr>
          <w:p w14:paraId="31F6CDC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5000</w:t>
            </w:r>
          </w:p>
        </w:tc>
        <w:tc>
          <w:tcPr>
            <w:tcW w:w="690" w:type="dxa"/>
          </w:tcPr>
          <w:p w14:paraId="64422DE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2300</w:t>
            </w:r>
          </w:p>
        </w:tc>
        <w:tc>
          <w:tcPr>
            <w:tcW w:w="690" w:type="dxa"/>
          </w:tcPr>
          <w:p w14:paraId="59E8DD7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350</w:t>
            </w:r>
          </w:p>
        </w:tc>
        <w:tc>
          <w:tcPr>
            <w:tcW w:w="690" w:type="dxa"/>
          </w:tcPr>
          <w:p w14:paraId="5585D44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0A2DC02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270</w:t>
            </w:r>
          </w:p>
        </w:tc>
        <w:tc>
          <w:tcPr>
            <w:tcW w:w="1494" w:type="dxa"/>
          </w:tcPr>
          <w:p w14:paraId="183049AB" w14:textId="77777777" w:rsidR="00531570" w:rsidRPr="00D03F3E" w:rsidRDefault="00531570" w:rsidP="00D03F3E">
            <w:pPr>
              <w:pStyle w:val="Iauiue"/>
              <w:jc w:val="both"/>
              <w:rPr>
                <w:color w:val="000000" w:themeColor="text1"/>
                <w:sz w:val="16"/>
                <w:szCs w:val="16"/>
              </w:rPr>
            </w:pPr>
          </w:p>
        </w:tc>
      </w:tr>
      <w:tr w:rsidR="00860B4B" w:rsidRPr="00D03F3E" w14:paraId="7647C2E9" w14:textId="77777777">
        <w:tc>
          <w:tcPr>
            <w:tcW w:w="1526" w:type="dxa"/>
          </w:tcPr>
          <w:p w14:paraId="457A9CD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Лагг-3 с М-105П</w:t>
            </w:r>
          </w:p>
        </w:tc>
        <w:tc>
          <w:tcPr>
            <w:tcW w:w="746" w:type="dxa"/>
          </w:tcPr>
          <w:p w14:paraId="0BE0F3B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340</w:t>
            </w:r>
          </w:p>
        </w:tc>
        <w:tc>
          <w:tcPr>
            <w:tcW w:w="746" w:type="dxa"/>
          </w:tcPr>
          <w:p w14:paraId="4FF1E7F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460</w:t>
            </w:r>
          </w:p>
        </w:tc>
        <w:tc>
          <w:tcPr>
            <w:tcW w:w="746" w:type="dxa"/>
          </w:tcPr>
          <w:p w14:paraId="0E5C51E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600</w:t>
            </w:r>
          </w:p>
        </w:tc>
        <w:tc>
          <w:tcPr>
            <w:tcW w:w="746" w:type="dxa"/>
          </w:tcPr>
          <w:p w14:paraId="06BE279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1-08</w:t>
            </w:r>
          </w:p>
        </w:tc>
        <w:tc>
          <w:tcPr>
            <w:tcW w:w="746" w:type="dxa"/>
          </w:tcPr>
          <w:p w14:paraId="48009EB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2-08</w:t>
            </w:r>
          </w:p>
        </w:tc>
        <w:tc>
          <w:tcPr>
            <w:tcW w:w="1089" w:type="dxa"/>
          </w:tcPr>
          <w:p w14:paraId="5AD4F5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500-100</w:t>
            </w:r>
          </w:p>
        </w:tc>
        <w:tc>
          <w:tcPr>
            <w:tcW w:w="690" w:type="dxa"/>
          </w:tcPr>
          <w:p w14:paraId="36D2336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2400</w:t>
            </w:r>
          </w:p>
        </w:tc>
        <w:tc>
          <w:tcPr>
            <w:tcW w:w="690" w:type="dxa"/>
          </w:tcPr>
          <w:p w14:paraId="390AE05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380</w:t>
            </w:r>
          </w:p>
        </w:tc>
        <w:tc>
          <w:tcPr>
            <w:tcW w:w="690" w:type="dxa"/>
          </w:tcPr>
          <w:p w14:paraId="714E49D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6373B92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280</w:t>
            </w:r>
          </w:p>
        </w:tc>
        <w:tc>
          <w:tcPr>
            <w:tcW w:w="1494" w:type="dxa"/>
          </w:tcPr>
          <w:p w14:paraId="6994387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В.К. закрыт.</w:t>
            </w:r>
          </w:p>
        </w:tc>
      </w:tr>
      <w:tr w:rsidR="00860B4B" w:rsidRPr="00D03F3E" w14:paraId="47E9E580" w14:textId="77777777">
        <w:tc>
          <w:tcPr>
            <w:tcW w:w="1526" w:type="dxa"/>
          </w:tcPr>
          <w:p w14:paraId="3A0D6AF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(3-х баковый)</w:t>
            </w:r>
          </w:p>
        </w:tc>
        <w:tc>
          <w:tcPr>
            <w:tcW w:w="746" w:type="dxa"/>
          </w:tcPr>
          <w:p w14:paraId="2FCE5FFA" w14:textId="77777777" w:rsidR="00531570" w:rsidRPr="00D03F3E" w:rsidRDefault="00531570" w:rsidP="00D03F3E">
            <w:pPr>
              <w:pStyle w:val="Iauiue"/>
              <w:jc w:val="both"/>
              <w:rPr>
                <w:color w:val="000000" w:themeColor="text1"/>
                <w:sz w:val="16"/>
                <w:szCs w:val="16"/>
              </w:rPr>
            </w:pPr>
          </w:p>
        </w:tc>
        <w:tc>
          <w:tcPr>
            <w:tcW w:w="746" w:type="dxa"/>
          </w:tcPr>
          <w:p w14:paraId="1B44BB2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455</w:t>
            </w:r>
          </w:p>
        </w:tc>
        <w:tc>
          <w:tcPr>
            <w:tcW w:w="746" w:type="dxa"/>
          </w:tcPr>
          <w:p w14:paraId="36CCD65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590</w:t>
            </w:r>
          </w:p>
        </w:tc>
        <w:tc>
          <w:tcPr>
            <w:tcW w:w="746" w:type="dxa"/>
          </w:tcPr>
          <w:p w14:paraId="6B483F5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1-06</w:t>
            </w:r>
          </w:p>
        </w:tc>
        <w:tc>
          <w:tcPr>
            <w:tcW w:w="746" w:type="dxa"/>
          </w:tcPr>
          <w:p w14:paraId="4DB1F39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2-00</w:t>
            </w:r>
          </w:p>
        </w:tc>
        <w:tc>
          <w:tcPr>
            <w:tcW w:w="1089" w:type="dxa"/>
          </w:tcPr>
          <w:p w14:paraId="3EDB011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w:t>
            </w:r>
          </w:p>
        </w:tc>
        <w:tc>
          <w:tcPr>
            <w:tcW w:w="690" w:type="dxa"/>
          </w:tcPr>
          <w:p w14:paraId="72C56DE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2400</w:t>
            </w:r>
          </w:p>
        </w:tc>
        <w:tc>
          <w:tcPr>
            <w:tcW w:w="690" w:type="dxa"/>
          </w:tcPr>
          <w:p w14:paraId="1B16FB2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380</w:t>
            </w:r>
          </w:p>
        </w:tc>
        <w:tc>
          <w:tcPr>
            <w:tcW w:w="690" w:type="dxa"/>
          </w:tcPr>
          <w:p w14:paraId="5BAD1FB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1BA5A91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280</w:t>
            </w:r>
          </w:p>
        </w:tc>
        <w:tc>
          <w:tcPr>
            <w:tcW w:w="1494" w:type="dxa"/>
          </w:tcPr>
          <w:p w14:paraId="3D538389" w14:textId="77777777" w:rsidR="00531570" w:rsidRPr="00D03F3E" w:rsidRDefault="00531570" w:rsidP="00D03F3E">
            <w:pPr>
              <w:pStyle w:val="Iauiue"/>
              <w:jc w:val="both"/>
              <w:rPr>
                <w:color w:val="000000" w:themeColor="text1"/>
                <w:sz w:val="16"/>
                <w:szCs w:val="16"/>
              </w:rPr>
            </w:pPr>
          </w:p>
        </w:tc>
      </w:tr>
      <w:tr w:rsidR="00860B4B" w:rsidRPr="00D03F3E" w14:paraId="3BAD2619" w14:textId="77777777">
        <w:tc>
          <w:tcPr>
            <w:tcW w:w="1526" w:type="dxa"/>
          </w:tcPr>
          <w:p w14:paraId="73164B52" w14:textId="77777777" w:rsidR="00531570" w:rsidRPr="00D03F3E" w:rsidRDefault="00531570" w:rsidP="00D03F3E">
            <w:pPr>
              <w:pStyle w:val="Iauiue"/>
              <w:jc w:val="both"/>
              <w:rPr>
                <w:color w:val="000000" w:themeColor="text1"/>
                <w:sz w:val="16"/>
                <w:szCs w:val="16"/>
              </w:rPr>
            </w:pPr>
          </w:p>
        </w:tc>
        <w:tc>
          <w:tcPr>
            <w:tcW w:w="746" w:type="dxa"/>
          </w:tcPr>
          <w:p w14:paraId="3954713D" w14:textId="77777777" w:rsidR="00531570" w:rsidRPr="00D03F3E" w:rsidRDefault="00531570" w:rsidP="00D03F3E">
            <w:pPr>
              <w:pStyle w:val="Iauiue"/>
              <w:jc w:val="both"/>
              <w:rPr>
                <w:color w:val="000000" w:themeColor="text1"/>
                <w:sz w:val="16"/>
                <w:szCs w:val="16"/>
              </w:rPr>
            </w:pPr>
          </w:p>
        </w:tc>
        <w:tc>
          <w:tcPr>
            <w:tcW w:w="746" w:type="dxa"/>
          </w:tcPr>
          <w:p w14:paraId="7789131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450</w:t>
            </w:r>
          </w:p>
        </w:tc>
        <w:tc>
          <w:tcPr>
            <w:tcW w:w="746" w:type="dxa"/>
          </w:tcPr>
          <w:p w14:paraId="60AE42B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550</w:t>
            </w:r>
          </w:p>
        </w:tc>
        <w:tc>
          <w:tcPr>
            <w:tcW w:w="746" w:type="dxa"/>
          </w:tcPr>
          <w:p w14:paraId="1841DC3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0-59</w:t>
            </w:r>
          </w:p>
        </w:tc>
        <w:tc>
          <w:tcPr>
            <w:tcW w:w="746" w:type="dxa"/>
          </w:tcPr>
          <w:p w14:paraId="31AA083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1-40</w:t>
            </w:r>
          </w:p>
        </w:tc>
        <w:tc>
          <w:tcPr>
            <w:tcW w:w="1089" w:type="dxa"/>
          </w:tcPr>
          <w:p w14:paraId="630AF95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3000</w:t>
            </w:r>
          </w:p>
        </w:tc>
        <w:tc>
          <w:tcPr>
            <w:tcW w:w="690" w:type="dxa"/>
          </w:tcPr>
          <w:p w14:paraId="370BFE4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2400</w:t>
            </w:r>
          </w:p>
        </w:tc>
        <w:tc>
          <w:tcPr>
            <w:tcW w:w="690" w:type="dxa"/>
          </w:tcPr>
          <w:p w14:paraId="6227DAA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370</w:t>
            </w:r>
          </w:p>
        </w:tc>
        <w:tc>
          <w:tcPr>
            <w:tcW w:w="690" w:type="dxa"/>
          </w:tcPr>
          <w:p w14:paraId="2DFC8DE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4CDD21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280</w:t>
            </w:r>
          </w:p>
        </w:tc>
        <w:tc>
          <w:tcPr>
            <w:tcW w:w="1494" w:type="dxa"/>
          </w:tcPr>
          <w:p w14:paraId="5A6A50DD" w14:textId="77777777" w:rsidR="00531570" w:rsidRPr="00D03F3E" w:rsidRDefault="00531570" w:rsidP="00D03F3E">
            <w:pPr>
              <w:pStyle w:val="Iauiue"/>
              <w:jc w:val="both"/>
              <w:rPr>
                <w:color w:val="000000" w:themeColor="text1"/>
                <w:sz w:val="16"/>
                <w:szCs w:val="16"/>
              </w:rPr>
            </w:pPr>
          </w:p>
        </w:tc>
      </w:tr>
      <w:tr w:rsidR="00860B4B" w:rsidRPr="00D03F3E" w14:paraId="26876A16" w14:textId="77777777">
        <w:tc>
          <w:tcPr>
            <w:tcW w:w="1526" w:type="dxa"/>
          </w:tcPr>
          <w:p w14:paraId="7C9B5190" w14:textId="77777777" w:rsidR="00531570" w:rsidRPr="00D03F3E" w:rsidRDefault="00531570" w:rsidP="00D03F3E">
            <w:pPr>
              <w:pStyle w:val="Iauiue"/>
              <w:jc w:val="both"/>
              <w:rPr>
                <w:color w:val="000000" w:themeColor="text1"/>
                <w:sz w:val="16"/>
                <w:szCs w:val="16"/>
              </w:rPr>
            </w:pPr>
          </w:p>
        </w:tc>
        <w:tc>
          <w:tcPr>
            <w:tcW w:w="746" w:type="dxa"/>
          </w:tcPr>
          <w:p w14:paraId="6D950243" w14:textId="77777777" w:rsidR="00531570" w:rsidRPr="00D03F3E" w:rsidRDefault="00531570" w:rsidP="00D03F3E">
            <w:pPr>
              <w:pStyle w:val="Iauiue"/>
              <w:jc w:val="both"/>
              <w:rPr>
                <w:color w:val="000000" w:themeColor="text1"/>
                <w:sz w:val="16"/>
                <w:szCs w:val="16"/>
              </w:rPr>
            </w:pPr>
          </w:p>
        </w:tc>
        <w:tc>
          <w:tcPr>
            <w:tcW w:w="746" w:type="dxa"/>
          </w:tcPr>
          <w:p w14:paraId="0884B56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440</w:t>
            </w:r>
          </w:p>
        </w:tc>
        <w:tc>
          <w:tcPr>
            <w:tcW w:w="746" w:type="dxa"/>
          </w:tcPr>
          <w:p w14:paraId="6630345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550</w:t>
            </w:r>
          </w:p>
        </w:tc>
        <w:tc>
          <w:tcPr>
            <w:tcW w:w="746" w:type="dxa"/>
          </w:tcPr>
          <w:p w14:paraId="6255CEF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0-59</w:t>
            </w:r>
          </w:p>
        </w:tc>
        <w:tc>
          <w:tcPr>
            <w:tcW w:w="746" w:type="dxa"/>
          </w:tcPr>
          <w:p w14:paraId="10F1CB4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1-30</w:t>
            </w:r>
          </w:p>
        </w:tc>
        <w:tc>
          <w:tcPr>
            <w:tcW w:w="1089" w:type="dxa"/>
          </w:tcPr>
          <w:p w14:paraId="270F10D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5000</w:t>
            </w:r>
          </w:p>
        </w:tc>
        <w:tc>
          <w:tcPr>
            <w:tcW w:w="690" w:type="dxa"/>
          </w:tcPr>
          <w:p w14:paraId="080609F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2400</w:t>
            </w:r>
          </w:p>
        </w:tc>
        <w:tc>
          <w:tcPr>
            <w:tcW w:w="690" w:type="dxa"/>
          </w:tcPr>
          <w:p w14:paraId="6AB8CD8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340</w:t>
            </w:r>
          </w:p>
        </w:tc>
        <w:tc>
          <w:tcPr>
            <w:tcW w:w="690" w:type="dxa"/>
          </w:tcPr>
          <w:p w14:paraId="4EB17F7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0A75019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270</w:t>
            </w:r>
          </w:p>
        </w:tc>
        <w:tc>
          <w:tcPr>
            <w:tcW w:w="1494" w:type="dxa"/>
          </w:tcPr>
          <w:p w14:paraId="45CB625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Открыт на 1/2.</w:t>
            </w:r>
          </w:p>
        </w:tc>
      </w:tr>
      <w:tr w:rsidR="00860B4B" w:rsidRPr="00D03F3E" w14:paraId="496FB3DC" w14:textId="77777777">
        <w:tc>
          <w:tcPr>
            <w:tcW w:w="1526" w:type="dxa"/>
          </w:tcPr>
          <w:p w14:paraId="33FD8B5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Лагг-3 с М-15ПФ</w:t>
            </w:r>
          </w:p>
        </w:tc>
        <w:tc>
          <w:tcPr>
            <w:tcW w:w="746" w:type="dxa"/>
          </w:tcPr>
          <w:p w14:paraId="20D8193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452</w:t>
            </w:r>
          </w:p>
        </w:tc>
        <w:tc>
          <w:tcPr>
            <w:tcW w:w="746" w:type="dxa"/>
          </w:tcPr>
          <w:p w14:paraId="1D4B65A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746" w:type="dxa"/>
          </w:tcPr>
          <w:p w14:paraId="7087DDB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910</w:t>
            </w:r>
          </w:p>
        </w:tc>
        <w:tc>
          <w:tcPr>
            <w:tcW w:w="746" w:type="dxa"/>
          </w:tcPr>
          <w:p w14:paraId="2751566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746" w:type="dxa"/>
          </w:tcPr>
          <w:p w14:paraId="766B70D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2-35</w:t>
            </w:r>
          </w:p>
        </w:tc>
        <w:tc>
          <w:tcPr>
            <w:tcW w:w="1089" w:type="dxa"/>
          </w:tcPr>
          <w:p w14:paraId="12D4213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w:t>
            </w:r>
          </w:p>
        </w:tc>
        <w:tc>
          <w:tcPr>
            <w:tcW w:w="690" w:type="dxa"/>
          </w:tcPr>
          <w:p w14:paraId="6F0B682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690" w:type="dxa"/>
          </w:tcPr>
          <w:p w14:paraId="23A6FE2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690" w:type="dxa"/>
          </w:tcPr>
          <w:p w14:paraId="5870E65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2250</w:t>
            </w:r>
          </w:p>
        </w:tc>
        <w:tc>
          <w:tcPr>
            <w:tcW w:w="690" w:type="dxa"/>
          </w:tcPr>
          <w:p w14:paraId="7E40D4E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310</w:t>
            </w:r>
          </w:p>
        </w:tc>
        <w:tc>
          <w:tcPr>
            <w:tcW w:w="1494" w:type="dxa"/>
          </w:tcPr>
          <w:p w14:paraId="1835224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В.К. закрыт.</w:t>
            </w:r>
          </w:p>
        </w:tc>
      </w:tr>
      <w:tr w:rsidR="00860B4B" w:rsidRPr="00D03F3E" w14:paraId="190134A7" w14:textId="77777777">
        <w:tc>
          <w:tcPr>
            <w:tcW w:w="1526" w:type="dxa"/>
          </w:tcPr>
          <w:p w14:paraId="5D53EB1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Ла-5 с М-82</w:t>
            </w:r>
          </w:p>
        </w:tc>
        <w:tc>
          <w:tcPr>
            <w:tcW w:w="746" w:type="dxa"/>
          </w:tcPr>
          <w:p w14:paraId="776FC2D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530</w:t>
            </w:r>
          </w:p>
        </w:tc>
        <w:tc>
          <w:tcPr>
            <w:tcW w:w="746" w:type="dxa"/>
          </w:tcPr>
          <w:p w14:paraId="15920C3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600</w:t>
            </w:r>
          </w:p>
        </w:tc>
        <w:tc>
          <w:tcPr>
            <w:tcW w:w="746" w:type="dxa"/>
          </w:tcPr>
          <w:p w14:paraId="1EEA913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1180</w:t>
            </w:r>
          </w:p>
        </w:tc>
        <w:tc>
          <w:tcPr>
            <w:tcW w:w="746" w:type="dxa"/>
          </w:tcPr>
          <w:p w14:paraId="27D2980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1-22</w:t>
            </w:r>
          </w:p>
        </w:tc>
        <w:tc>
          <w:tcPr>
            <w:tcW w:w="746" w:type="dxa"/>
          </w:tcPr>
          <w:p w14:paraId="551FB16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3-45</w:t>
            </w:r>
          </w:p>
        </w:tc>
        <w:tc>
          <w:tcPr>
            <w:tcW w:w="1089" w:type="dxa"/>
          </w:tcPr>
          <w:p w14:paraId="3BE5298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500-100</w:t>
            </w:r>
          </w:p>
        </w:tc>
        <w:tc>
          <w:tcPr>
            <w:tcW w:w="690" w:type="dxa"/>
          </w:tcPr>
          <w:p w14:paraId="61774F4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2150</w:t>
            </w:r>
          </w:p>
        </w:tc>
        <w:tc>
          <w:tcPr>
            <w:tcW w:w="690" w:type="dxa"/>
          </w:tcPr>
          <w:p w14:paraId="392A115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420</w:t>
            </w:r>
          </w:p>
        </w:tc>
        <w:tc>
          <w:tcPr>
            <w:tcW w:w="690" w:type="dxa"/>
          </w:tcPr>
          <w:p w14:paraId="1DE824A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1600</w:t>
            </w:r>
          </w:p>
        </w:tc>
        <w:tc>
          <w:tcPr>
            <w:tcW w:w="690" w:type="dxa"/>
          </w:tcPr>
          <w:p w14:paraId="6DD3D42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310</w:t>
            </w:r>
          </w:p>
        </w:tc>
        <w:tc>
          <w:tcPr>
            <w:tcW w:w="1494" w:type="dxa"/>
          </w:tcPr>
          <w:p w14:paraId="727F4ED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В.К. закрыт.</w:t>
            </w:r>
          </w:p>
        </w:tc>
      </w:tr>
      <w:tr w:rsidR="00860B4B" w:rsidRPr="00D03F3E" w14:paraId="6D48BB75" w14:textId="77777777">
        <w:tc>
          <w:tcPr>
            <w:tcW w:w="1526" w:type="dxa"/>
          </w:tcPr>
          <w:p w14:paraId="5E4D9F57" w14:textId="77777777" w:rsidR="00531570" w:rsidRPr="00D03F3E" w:rsidRDefault="00531570" w:rsidP="00D03F3E">
            <w:pPr>
              <w:pStyle w:val="Iauiue"/>
              <w:jc w:val="both"/>
              <w:rPr>
                <w:color w:val="000000" w:themeColor="text1"/>
                <w:sz w:val="16"/>
                <w:szCs w:val="16"/>
              </w:rPr>
            </w:pPr>
          </w:p>
        </w:tc>
        <w:tc>
          <w:tcPr>
            <w:tcW w:w="746" w:type="dxa"/>
          </w:tcPr>
          <w:p w14:paraId="62E6C10B" w14:textId="77777777" w:rsidR="00531570" w:rsidRPr="00D03F3E" w:rsidRDefault="00531570" w:rsidP="00D03F3E">
            <w:pPr>
              <w:pStyle w:val="Iauiue"/>
              <w:jc w:val="both"/>
              <w:rPr>
                <w:color w:val="000000" w:themeColor="text1"/>
                <w:sz w:val="16"/>
                <w:szCs w:val="16"/>
              </w:rPr>
            </w:pPr>
          </w:p>
        </w:tc>
        <w:tc>
          <w:tcPr>
            <w:tcW w:w="746" w:type="dxa"/>
          </w:tcPr>
          <w:p w14:paraId="4988A72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610</w:t>
            </w:r>
          </w:p>
        </w:tc>
        <w:tc>
          <w:tcPr>
            <w:tcW w:w="746" w:type="dxa"/>
          </w:tcPr>
          <w:p w14:paraId="1A823D9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1120</w:t>
            </w:r>
          </w:p>
        </w:tc>
        <w:tc>
          <w:tcPr>
            <w:tcW w:w="746" w:type="dxa"/>
          </w:tcPr>
          <w:p w14:paraId="1180C3D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1-22</w:t>
            </w:r>
          </w:p>
        </w:tc>
        <w:tc>
          <w:tcPr>
            <w:tcW w:w="746" w:type="dxa"/>
          </w:tcPr>
          <w:p w14:paraId="13E4B7C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3-08</w:t>
            </w:r>
          </w:p>
        </w:tc>
        <w:tc>
          <w:tcPr>
            <w:tcW w:w="1089" w:type="dxa"/>
          </w:tcPr>
          <w:p w14:paraId="486A8C5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1000-2000</w:t>
            </w:r>
          </w:p>
        </w:tc>
        <w:tc>
          <w:tcPr>
            <w:tcW w:w="690" w:type="dxa"/>
          </w:tcPr>
          <w:p w14:paraId="3A96603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2150</w:t>
            </w:r>
          </w:p>
        </w:tc>
        <w:tc>
          <w:tcPr>
            <w:tcW w:w="690" w:type="dxa"/>
          </w:tcPr>
          <w:p w14:paraId="35F5CE7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415</w:t>
            </w:r>
          </w:p>
        </w:tc>
        <w:tc>
          <w:tcPr>
            <w:tcW w:w="690" w:type="dxa"/>
          </w:tcPr>
          <w:p w14:paraId="31FE4C5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1600</w:t>
            </w:r>
          </w:p>
        </w:tc>
        <w:tc>
          <w:tcPr>
            <w:tcW w:w="690" w:type="dxa"/>
          </w:tcPr>
          <w:p w14:paraId="03C3D71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310</w:t>
            </w:r>
          </w:p>
        </w:tc>
        <w:tc>
          <w:tcPr>
            <w:tcW w:w="1494" w:type="dxa"/>
          </w:tcPr>
          <w:p w14:paraId="0B2032C7" w14:textId="77777777" w:rsidR="00531570" w:rsidRPr="00D03F3E" w:rsidRDefault="00531570" w:rsidP="00D03F3E">
            <w:pPr>
              <w:pStyle w:val="Iauiue"/>
              <w:jc w:val="both"/>
              <w:rPr>
                <w:color w:val="000000" w:themeColor="text1"/>
                <w:sz w:val="16"/>
                <w:szCs w:val="16"/>
              </w:rPr>
            </w:pPr>
          </w:p>
        </w:tc>
      </w:tr>
      <w:tr w:rsidR="00860B4B" w:rsidRPr="00D03F3E" w14:paraId="76841266" w14:textId="77777777">
        <w:tc>
          <w:tcPr>
            <w:tcW w:w="1526" w:type="dxa"/>
          </w:tcPr>
          <w:p w14:paraId="1A4C5611" w14:textId="77777777" w:rsidR="00531570" w:rsidRPr="00D03F3E" w:rsidRDefault="00531570" w:rsidP="00D03F3E">
            <w:pPr>
              <w:pStyle w:val="Iauiue"/>
              <w:jc w:val="both"/>
              <w:rPr>
                <w:color w:val="000000" w:themeColor="text1"/>
                <w:sz w:val="16"/>
                <w:szCs w:val="16"/>
              </w:rPr>
            </w:pPr>
          </w:p>
        </w:tc>
        <w:tc>
          <w:tcPr>
            <w:tcW w:w="746" w:type="dxa"/>
          </w:tcPr>
          <w:p w14:paraId="7D8E86A4" w14:textId="77777777" w:rsidR="00531570" w:rsidRPr="00D03F3E" w:rsidRDefault="00531570" w:rsidP="00D03F3E">
            <w:pPr>
              <w:pStyle w:val="Iauiue"/>
              <w:jc w:val="both"/>
              <w:rPr>
                <w:color w:val="000000" w:themeColor="text1"/>
                <w:sz w:val="16"/>
                <w:szCs w:val="16"/>
              </w:rPr>
            </w:pPr>
          </w:p>
        </w:tc>
        <w:tc>
          <w:tcPr>
            <w:tcW w:w="746" w:type="dxa"/>
          </w:tcPr>
          <w:p w14:paraId="5FD031D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615</w:t>
            </w:r>
          </w:p>
        </w:tc>
        <w:tc>
          <w:tcPr>
            <w:tcW w:w="746" w:type="dxa"/>
          </w:tcPr>
          <w:p w14:paraId="5114230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1150</w:t>
            </w:r>
          </w:p>
        </w:tc>
        <w:tc>
          <w:tcPr>
            <w:tcW w:w="746" w:type="dxa"/>
          </w:tcPr>
          <w:p w14:paraId="0C907FF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1-15</w:t>
            </w:r>
          </w:p>
        </w:tc>
        <w:tc>
          <w:tcPr>
            <w:tcW w:w="746" w:type="dxa"/>
          </w:tcPr>
          <w:p w14:paraId="1E88DD1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3-10</w:t>
            </w:r>
          </w:p>
        </w:tc>
        <w:tc>
          <w:tcPr>
            <w:tcW w:w="1089" w:type="dxa"/>
          </w:tcPr>
          <w:p w14:paraId="0396E9C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3000-4000</w:t>
            </w:r>
          </w:p>
        </w:tc>
        <w:tc>
          <w:tcPr>
            <w:tcW w:w="690" w:type="dxa"/>
          </w:tcPr>
          <w:p w14:paraId="4F93BED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2150</w:t>
            </w:r>
          </w:p>
        </w:tc>
        <w:tc>
          <w:tcPr>
            <w:tcW w:w="690" w:type="dxa"/>
          </w:tcPr>
          <w:p w14:paraId="720C99B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405</w:t>
            </w:r>
          </w:p>
        </w:tc>
        <w:tc>
          <w:tcPr>
            <w:tcW w:w="690" w:type="dxa"/>
          </w:tcPr>
          <w:p w14:paraId="6870EA7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1600</w:t>
            </w:r>
          </w:p>
        </w:tc>
        <w:tc>
          <w:tcPr>
            <w:tcW w:w="690" w:type="dxa"/>
          </w:tcPr>
          <w:p w14:paraId="4EE10A3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280</w:t>
            </w:r>
          </w:p>
        </w:tc>
        <w:tc>
          <w:tcPr>
            <w:tcW w:w="1494" w:type="dxa"/>
          </w:tcPr>
          <w:p w14:paraId="2A50BD8A" w14:textId="77777777" w:rsidR="00531570" w:rsidRPr="00D03F3E" w:rsidRDefault="00531570" w:rsidP="00D03F3E">
            <w:pPr>
              <w:pStyle w:val="Iauiue"/>
              <w:jc w:val="both"/>
              <w:rPr>
                <w:color w:val="000000" w:themeColor="text1"/>
                <w:sz w:val="16"/>
                <w:szCs w:val="16"/>
              </w:rPr>
            </w:pPr>
          </w:p>
        </w:tc>
      </w:tr>
      <w:tr w:rsidR="00860B4B" w:rsidRPr="00D03F3E" w14:paraId="2D025052" w14:textId="77777777">
        <w:tc>
          <w:tcPr>
            <w:tcW w:w="1526" w:type="dxa"/>
          </w:tcPr>
          <w:p w14:paraId="43C2C6E5" w14:textId="77777777" w:rsidR="00531570" w:rsidRPr="00D03F3E" w:rsidRDefault="00531570" w:rsidP="00D03F3E">
            <w:pPr>
              <w:pStyle w:val="Iauiue"/>
              <w:jc w:val="both"/>
              <w:rPr>
                <w:color w:val="000000" w:themeColor="text1"/>
                <w:sz w:val="16"/>
                <w:szCs w:val="16"/>
              </w:rPr>
            </w:pPr>
          </w:p>
        </w:tc>
        <w:tc>
          <w:tcPr>
            <w:tcW w:w="746" w:type="dxa"/>
          </w:tcPr>
          <w:p w14:paraId="22551224" w14:textId="77777777" w:rsidR="00531570" w:rsidRPr="00D03F3E" w:rsidRDefault="00531570" w:rsidP="00D03F3E">
            <w:pPr>
              <w:pStyle w:val="Iauiue"/>
              <w:jc w:val="both"/>
              <w:rPr>
                <w:color w:val="000000" w:themeColor="text1"/>
                <w:sz w:val="16"/>
                <w:szCs w:val="16"/>
              </w:rPr>
            </w:pPr>
          </w:p>
        </w:tc>
        <w:tc>
          <w:tcPr>
            <w:tcW w:w="746" w:type="dxa"/>
          </w:tcPr>
          <w:p w14:paraId="34A5A57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470</w:t>
            </w:r>
          </w:p>
        </w:tc>
        <w:tc>
          <w:tcPr>
            <w:tcW w:w="746" w:type="dxa"/>
          </w:tcPr>
          <w:p w14:paraId="51CA0E3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940</w:t>
            </w:r>
          </w:p>
        </w:tc>
        <w:tc>
          <w:tcPr>
            <w:tcW w:w="746" w:type="dxa"/>
          </w:tcPr>
          <w:p w14:paraId="4F90261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0-58</w:t>
            </w:r>
          </w:p>
        </w:tc>
        <w:tc>
          <w:tcPr>
            <w:tcW w:w="746" w:type="dxa"/>
          </w:tcPr>
          <w:p w14:paraId="6812904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2-35</w:t>
            </w:r>
          </w:p>
        </w:tc>
        <w:tc>
          <w:tcPr>
            <w:tcW w:w="1089" w:type="dxa"/>
          </w:tcPr>
          <w:p w14:paraId="2B35F60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6000</w:t>
            </w:r>
          </w:p>
        </w:tc>
        <w:tc>
          <w:tcPr>
            <w:tcW w:w="690" w:type="dxa"/>
          </w:tcPr>
          <w:p w14:paraId="502BEBD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2150</w:t>
            </w:r>
          </w:p>
        </w:tc>
        <w:tc>
          <w:tcPr>
            <w:tcW w:w="690" w:type="dxa"/>
          </w:tcPr>
          <w:p w14:paraId="40028E2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345</w:t>
            </w:r>
          </w:p>
        </w:tc>
        <w:tc>
          <w:tcPr>
            <w:tcW w:w="690" w:type="dxa"/>
          </w:tcPr>
          <w:p w14:paraId="3D13AD0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1800</w:t>
            </w:r>
          </w:p>
        </w:tc>
        <w:tc>
          <w:tcPr>
            <w:tcW w:w="690" w:type="dxa"/>
          </w:tcPr>
          <w:p w14:paraId="36E2D1D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280</w:t>
            </w:r>
          </w:p>
        </w:tc>
        <w:tc>
          <w:tcPr>
            <w:tcW w:w="1494" w:type="dxa"/>
          </w:tcPr>
          <w:p w14:paraId="36992A8E" w14:textId="77777777" w:rsidR="00531570" w:rsidRPr="00D03F3E" w:rsidRDefault="00531570" w:rsidP="00D03F3E">
            <w:pPr>
              <w:pStyle w:val="Iauiue"/>
              <w:jc w:val="both"/>
              <w:rPr>
                <w:color w:val="000000" w:themeColor="text1"/>
                <w:sz w:val="16"/>
                <w:szCs w:val="16"/>
              </w:rPr>
            </w:pPr>
          </w:p>
        </w:tc>
      </w:tr>
      <w:tr w:rsidR="00860B4B" w:rsidRPr="00D03F3E" w14:paraId="72B8F150" w14:textId="77777777">
        <w:tc>
          <w:tcPr>
            <w:tcW w:w="1526" w:type="dxa"/>
          </w:tcPr>
          <w:p w14:paraId="4CD01F3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Ла-5 с М-82ФН</w:t>
            </w:r>
          </w:p>
        </w:tc>
        <w:tc>
          <w:tcPr>
            <w:tcW w:w="746" w:type="dxa"/>
          </w:tcPr>
          <w:p w14:paraId="674B9C5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458</w:t>
            </w:r>
          </w:p>
        </w:tc>
        <w:tc>
          <w:tcPr>
            <w:tcW w:w="746" w:type="dxa"/>
          </w:tcPr>
          <w:p w14:paraId="5AB9710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746" w:type="dxa"/>
          </w:tcPr>
          <w:p w14:paraId="1731CE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765</w:t>
            </w:r>
          </w:p>
        </w:tc>
        <w:tc>
          <w:tcPr>
            <w:tcW w:w="746" w:type="dxa"/>
          </w:tcPr>
          <w:p w14:paraId="6CCF67C5" w14:textId="77777777" w:rsidR="00531570" w:rsidRPr="00D03F3E" w:rsidRDefault="00531570" w:rsidP="00D03F3E">
            <w:pPr>
              <w:pStyle w:val="Iauiue"/>
              <w:jc w:val="both"/>
              <w:rPr>
                <w:color w:val="000000" w:themeColor="text1"/>
                <w:sz w:val="16"/>
                <w:szCs w:val="16"/>
              </w:rPr>
            </w:pPr>
          </w:p>
        </w:tc>
        <w:tc>
          <w:tcPr>
            <w:tcW w:w="746" w:type="dxa"/>
          </w:tcPr>
          <w:p w14:paraId="6BCCE68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2-06</w:t>
            </w:r>
          </w:p>
        </w:tc>
        <w:tc>
          <w:tcPr>
            <w:tcW w:w="1089" w:type="dxa"/>
          </w:tcPr>
          <w:p w14:paraId="2EB3B91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w:t>
            </w:r>
          </w:p>
        </w:tc>
        <w:tc>
          <w:tcPr>
            <w:tcW w:w="690" w:type="dxa"/>
          </w:tcPr>
          <w:p w14:paraId="3FD11D5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690" w:type="dxa"/>
          </w:tcPr>
          <w:p w14:paraId="545F9F5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690" w:type="dxa"/>
          </w:tcPr>
          <w:p w14:paraId="736FEB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1600</w:t>
            </w:r>
          </w:p>
        </w:tc>
        <w:tc>
          <w:tcPr>
            <w:tcW w:w="690" w:type="dxa"/>
          </w:tcPr>
          <w:p w14:paraId="27A1B82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355</w:t>
            </w:r>
          </w:p>
        </w:tc>
        <w:tc>
          <w:tcPr>
            <w:tcW w:w="1494" w:type="dxa"/>
          </w:tcPr>
          <w:p w14:paraId="02222382" w14:textId="77777777" w:rsidR="00531570" w:rsidRPr="00D03F3E" w:rsidRDefault="00531570" w:rsidP="00D03F3E">
            <w:pPr>
              <w:pStyle w:val="Iauiue"/>
              <w:jc w:val="both"/>
              <w:rPr>
                <w:color w:val="000000" w:themeColor="text1"/>
                <w:sz w:val="16"/>
                <w:szCs w:val="16"/>
              </w:rPr>
            </w:pPr>
          </w:p>
        </w:tc>
      </w:tr>
      <w:tr w:rsidR="00860B4B" w:rsidRPr="00D03F3E" w14:paraId="7BEE7E93" w14:textId="77777777">
        <w:tc>
          <w:tcPr>
            <w:tcW w:w="1526" w:type="dxa"/>
          </w:tcPr>
          <w:p w14:paraId="3C0E8805" w14:textId="77777777" w:rsidR="00531570" w:rsidRPr="00D03F3E" w:rsidRDefault="00531570" w:rsidP="00D03F3E">
            <w:pPr>
              <w:pStyle w:val="Iauiue"/>
              <w:jc w:val="both"/>
              <w:rPr>
                <w:color w:val="000000" w:themeColor="text1"/>
                <w:sz w:val="16"/>
                <w:szCs w:val="16"/>
              </w:rPr>
            </w:pPr>
          </w:p>
        </w:tc>
        <w:tc>
          <w:tcPr>
            <w:tcW w:w="746" w:type="dxa"/>
          </w:tcPr>
          <w:p w14:paraId="1484FF43" w14:textId="77777777" w:rsidR="00531570" w:rsidRPr="00D03F3E" w:rsidRDefault="00531570" w:rsidP="00D03F3E">
            <w:pPr>
              <w:pStyle w:val="Iauiue"/>
              <w:jc w:val="both"/>
              <w:rPr>
                <w:color w:val="000000" w:themeColor="text1"/>
                <w:sz w:val="16"/>
                <w:szCs w:val="16"/>
              </w:rPr>
            </w:pPr>
          </w:p>
        </w:tc>
        <w:tc>
          <w:tcPr>
            <w:tcW w:w="746" w:type="dxa"/>
          </w:tcPr>
          <w:p w14:paraId="4D415FD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480</w:t>
            </w:r>
          </w:p>
        </w:tc>
        <w:tc>
          <w:tcPr>
            <w:tcW w:w="746" w:type="dxa"/>
          </w:tcPr>
          <w:p w14:paraId="6006A54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746" w:type="dxa"/>
          </w:tcPr>
          <w:p w14:paraId="79FF7D6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0-48</w:t>
            </w:r>
          </w:p>
        </w:tc>
        <w:tc>
          <w:tcPr>
            <w:tcW w:w="746" w:type="dxa"/>
          </w:tcPr>
          <w:p w14:paraId="597A550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1089" w:type="dxa"/>
          </w:tcPr>
          <w:p w14:paraId="451D809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5750</w:t>
            </w:r>
          </w:p>
        </w:tc>
        <w:tc>
          <w:tcPr>
            <w:tcW w:w="690" w:type="dxa"/>
          </w:tcPr>
          <w:p w14:paraId="17DB8C9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2250</w:t>
            </w:r>
          </w:p>
        </w:tc>
        <w:tc>
          <w:tcPr>
            <w:tcW w:w="690" w:type="dxa"/>
          </w:tcPr>
          <w:p w14:paraId="5CACF48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440</w:t>
            </w:r>
          </w:p>
        </w:tc>
        <w:tc>
          <w:tcPr>
            <w:tcW w:w="690" w:type="dxa"/>
          </w:tcPr>
          <w:p w14:paraId="722E25C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690" w:type="dxa"/>
          </w:tcPr>
          <w:p w14:paraId="6F6B2BD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1494" w:type="dxa"/>
          </w:tcPr>
          <w:p w14:paraId="7D7E9386" w14:textId="77777777" w:rsidR="00531570" w:rsidRPr="00D03F3E" w:rsidRDefault="00531570" w:rsidP="00D03F3E">
            <w:pPr>
              <w:pStyle w:val="Iauiue"/>
              <w:jc w:val="both"/>
              <w:rPr>
                <w:color w:val="000000" w:themeColor="text1"/>
                <w:sz w:val="16"/>
                <w:szCs w:val="16"/>
              </w:rPr>
            </w:pPr>
          </w:p>
        </w:tc>
      </w:tr>
      <w:tr w:rsidR="00860B4B" w:rsidRPr="00D03F3E" w14:paraId="183B734B" w14:textId="77777777">
        <w:tc>
          <w:tcPr>
            <w:tcW w:w="1526" w:type="dxa"/>
          </w:tcPr>
          <w:p w14:paraId="077ADA3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Кертис Р-40</w:t>
            </w:r>
          </w:p>
        </w:tc>
        <w:tc>
          <w:tcPr>
            <w:tcW w:w="746" w:type="dxa"/>
          </w:tcPr>
          <w:p w14:paraId="0F116F5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590</w:t>
            </w:r>
          </w:p>
        </w:tc>
        <w:tc>
          <w:tcPr>
            <w:tcW w:w="746" w:type="dxa"/>
          </w:tcPr>
          <w:p w14:paraId="2AE8C81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900</w:t>
            </w:r>
          </w:p>
        </w:tc>
        <w:tc>
          <w:tcPr>
            <w:tcW w:w="746" w:type="dxa"/>
          </w:tcPr>
          <w:p w14:paraId="3F50639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1390</w:t>
            </w:r>
          </w:p>
        </w:tc>
        <w:tc>
          <w:tcPr>
            <w:tcW w:w="746" w:type="dxa"/>
          </w:tcPr>
          <w:p w14:paraId="0A092D7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2-18</w:t>
            </w:r>
          </w:p>
        </w:tc>
        <w:tc>
          <w:tcPr>
            <w:tcW w:w="746" w:type="dxa"/>
          </w:tcPr>
          <w:p w14:paraId="1D20E12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5-18</w:t>
            </w:r>
          </w:p>
        </w:tc>
        <w:tc>
          <w:tcPr>
            <w:tcW w:w="1089" w:type="dxa"/>
          </w:tcPr>
          <w:p w14:paraId="116A693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500-100</w:t>
            </w:r>
          </w:p>
        </w:tc>
        <w:tc>
          <w:tcPr>
            <w:tcW w:w="690" w:type="dxa"/>
          </w:tcPr>
          <w:p w14:paraId="3A541B5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2350</w:t>
            </w:r>
          </w:p>
        </w:tc>
        <w:tc>
          <w:tcPr>
            <w:tcW w:w="690" w:type="dxa"/>
          </w:tcPr>
          <w:p w14:paraId="47AA55D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360</w:t>
            </w:r>
          </w:p>
        </w:tc>
        <w:tc>
          <w:tcPr>
            <w:tcW w:w="690" w:type="dxa"/>
          </w:tcPr>
          <w:p w14:paraId="6CACD70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3DC1F5E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250</w:t>
            </w:r>
          </w:p>
        </w:tc>
        <w:tc>
          <w:tcPr>
            <w:tcW w:w="1494" w:type="dxa"/>
          </w:tcPr>
          <w:p w14:paraId="55041236" w14:textId="77777777" w:rsidR="00531570" w:rsidRPr="00D03F3E" w:rsidRDefault="00531570" w:rsidP="00D03F3E">
            <w:pPr>
              <w:pStyle w:val="Iauiue"/>
              <w:jc w:val="both"/>
              <w:rPr>
                <w:color w:val="000000" w:themeColor="text1"/>
                <w:sz w:val="16"/>
                <w:szCs w:val="16"/>
              </w:rPr>
            </w:pPr>
          </w:p>
        </w:tc>
      </w:tr>
      <w:tr w:rsidR="00860B4B" w:rsidRPr="00D03F3E" w14:paraId="0BE65471" w14:textId="77777777">
        <w:tc>
          <w:tcPr>
            <w:tcW w:w="1526" w:type="dxa"/>
          </w:tcPr>
          <w:p w14:paraId="3BC2B74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(Томагаук) с</w:t>
            </w:r>
          </w:p>
        </w:tc>
        <w:tc>
          <w:tcPr>
            <w:tcW w:w="746" w:type="dxa"/>
          </w:tcPr>
          <w:p w14:paraId="37FDC6A8" w14:textId="77777777" w:rsidR="00531570" w:rsidRPr="00D03F3E" w:rsidRDefault="00531570" w:rsidP="00D03F3E">
            <w:pPr>
              <w:pStyle w:val="Iauiue"/>
              <w:jc w:val="both"/>
              <w:rPr>
                <w:color w:val="000000" w:themeColor="text1"/>
                <w:sz w:val="16"/>
                <w:szCs w:val="16"/>
              </w:rPr>
            </w:pPr>
          </w:p>
        </w:tc>
        <w:tc>
          <w:tcPr>
            <w:tcW w:w="746" w:type="dxa"/>
          </w:tcPr>
          <w:p w14:paraId="1DBAE6C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860</w:t>
            </w:r>
          </w:p>
        </w:tc>
        <w:tc>
          <w:tcPr>
            <w:tcW w:w="746" w:type="dxa"/>
          </w:tcPr>
          <w:p w14:paraId="2634790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1360</w:t>
            </w:r>
          </w:p>
        </w:tc>
        <w:tc>
          <w:tcPr>
            <w:tcW w:w="746" w:type="dxa"/>
          </w:tcPr>
          <w:p w14:paraId="4612AF8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2-06</w:t>
            </w:r>
          </w:p>
        </w:tc>
        <w:tc>
          <w:tcPr>
            <w:tcW w:w="746" w:type="dxa"/>
          </w:tcPr>
          <w:p w14:paraId="55E455D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5-05</w:t>
            </w:r>
          </w:p>
        </w:tc>
        <w:tc>
          <w:tcPr>
            <w:tcW w:w="1089" w:type="dxa"/>
          </w:tcPr>
          <w:p w14:paraId="33BDC86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w:t>
            </w:r>
          </w:p>
        </w:tc>
        <w:tc>
          <w:tcPr>
            <w:tcW w:w="690" w:type="dxa"/>
          </w:tcPr>
          <w:p w14:paraId="12BD490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2400</w:t>
            </w:r>
          </w:p>
        </w:tc>
        <w:tc>
          <w:tcPr>
            <w:tcW w:w="690" w:type="dxa"/>
          </w:tcPr>
          <w:p w14:paraId="02A804F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365</w:t>
            </w:r>
          </w:p>
        </w:tc>
        <w:tc>
          <w:tcPr>
            <w:tcW w:w="690" w:type="dxa"/>
          </w:tcPr>
          <w:p w14:paraId="02D4172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1D892AA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250</w:t>
            </w:r>
          </w:p>
        </w:tc>
        <w:tc>
          <w:tcPr>
            <w:tcW w:w="1494" w:type="dxa"/>
          </w:tcPr>
          <w:p w14:paraId="32373B2F" w14:textId="77777777" w:rsidR="00531570" w:rsidRPr="00D03F3E" w:rsidRDefault="00531570" w:rsidP="00D03F3E">
            <w:pPr>
              <w:pStyle w:val="Iauiue"/>
              <w:jc w:val="both"/>
              <w:rPr>
                <w:color w:val="000000" w:themeColor="text1"/>
                <w:sz w:val="16"/>
                <w:szCs w:val="16"/>
              </w:rPr>
            </w:pPr>
          </w:p>
        </w:tc>
      </w:tr>
      <w:tr w:rsidR="00860B4B" w:rsidRPr="00D03F3E" w14:paraId="7CA5AC0B" w14:textId="77777777">
        <w:tc>
          <w:tcPr>
            <w:tcW w:w="1526" w:type="dxa"/>
          </w:tcPr>
          <w:p w14:paraId="1E4228C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мотором Аллисон</w:t>
            </w:r>
          </w:p>
        </w:tc>
        <w:tc>
          <w:tcPr>
            <w:tcW w:w="746" w:type="dxa"/>
          </w:tcPr>
          <w:p w14:paraId="6B2316D5" w14:textId="77777777" w:rsidR="00531570" w:rsidRPr="00D03F3E" w:rsidRDefault="00531570" w:rsidP="00D03F3E">
            <w:pPr>
              <w:pStyle w:val="Iauiue"/>
              <w:jc w:val="both"/>
              <w:rPr>
                <w:color w:val="000000" w:themeColor="text1"/>
                <w:sz w:val="16"/>
                <w:szCs w:val="16"/>
              </w:rPr>
            </w:pPr>
          </w:p>
        </w:tc>
        <w:tc>
          <w:tcPr>
            <w:tcW w:w="746" w:type="dxa"/>
          </w:tcPr>
          <w:p w14:paraId="3C2FE09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845</w:t>
            </w:r>
          </w:p>
        </w:tc>
        <w:tc>
          <w:tcPr>
            <w:tcW w:w="746" w:type="dxa"/>
          </w:tcPr>
          <w:p w14:paraId="13C7DA6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1300</w:t>
            </w:r>
          </w:p>
        </w:tc>
        <w:tc>
          <w:tcPr>
            <w:tcW w:w="746" w:type="dxa"/>
          </w:tcPr>
          <w:p w14:paraId="751230D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2-00</w:t>
            </w:r>
          </w:p>
        </w:tc>
        <w:tc>
          <w:tcPr>
            <w:tcW w:w="746" w:type="dxa"/>
          </w:tcPr>
          <w:p w14:paraId="55E905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4-50</w:t>
            </w:r>
          </w:p>
        </w:tc>
        <w:tc>
          <w:tcPr>
            <w:tcW w:w="1089" w:type="dxa"/>
          </w:tcPr>
          <w:p w14:paraId="6774505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3000</w:t>
            </w:r>
          </w:p>
        </w:tc>
        <w:tc>
          <w:tcPr>
            <w:tcW w:w="690" w:type="dxa"/>
          </w:tcPr>
          <w:p w14:paraId="743AFA6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2400</w:t>
            </w:r>
          </w:p>
        </w:tc>
        <w:tc>
          <w:tcPr>
            <w:tcW w:w="690" w:type="dxa"/>
          </w:tcPr>
          <w:p w14:paraId="15A5821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360</w:t>
            </w:r>
          </w:p>
        </w:tc>
        <w:tc>
          <w:tcPr>
            <w:tcW w:w="690" w:type="dxa"/>
          </w:tcPr>
          <w:p w14:paraId="097B53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5B370F8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240</w:t>
            </w:r>
          </w:p>
        </w:tc>
        <w:tc>
          <w:tcPr>
            <w:tcW w:w="1494" w:type="dxa"/>
          </w:tcPr>
          <w:p w14:paraId="6A5C93F9" w14:textId="77777777" w:rsidR="00531570" w:rsidRPr="00D03F3E" w:rsidRDefault="00531570" w:rsidP="00D03F3E">
            <w:pPr>
              <w:pStyle w:val="Iauiue"/>
              <w:jc w:val="both"/>
              <w:rPr>
                <w:color w:val="000000" w:themeColor="text1"/>
                <w:sz w:val="16"/>
                <w:szCs w:val="16"/>
              </w:rPr>
            </w:pPr>
          </w:p>
        </w:tc>
      </w:tr>
      <w:tr w:rsidR="00860B4B" w:rsidRPr="00D03F3E" w14:paraId="0DE5F4CC" w14:textId="77777777">
        <w:tc>
          <w:tcPr>
            <w:tcW w:w="1526" w:type="dxa"/>
          </w:tcPr>
          <w:p w14:paraId="7AC6141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V-1710-С-15</w:t>
            </w:r>
          </w:p>
        </w:tc>
        <w:tc>
          <w:tcPr>
            <w:tcW w:w="746" w:type="dxa"/>
          </w:tcPr>
          <w:p w14:paraId="1BFE6897" w14:textId="77777777" w:rsidR="00531570" w:rsidRPr="00D03F3E" w:rsidRDefault="00531570" w:rsidP="00D03F3E">
            <w:pPr>
              <w:pStyle w:val="Iauiue"/>
              <w:jc w:val="both"/>
              <w:rPr>
                <w:color w:val="000000" w:themeColor="text1"/>
                <w:sz w:val="16"/>
                <w:szCs w:val="16"/>
              </w:rPr>
            </w:pPr>
          </w:p>
        </w:tc>
        <w:tc>
          <w:tcPr>
            <w:tcW w:w="746" w:type="dxa"/>
          </w:tcPr>
          <w:p w14:paraId="09FF2A6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1015</w:t>
            </w:r>
          </w:p>
        </w:tc>
        <w:tc>
          <w:tcPr>
            <w:tcW w:w="746" w:type="dxa"/>
          </w:tcPr>
          <w:p w14:paraId="1D0B223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1230</w:t>
            </w:r>
          </w:p>
        </w:tc>
        <w:tc>
          <w:tcPr>
            <w:tcW w:w="746" w:type="dxa"/>
          </w:tcPr>
          <w:p w14:paraId="4F2D500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2-22</w:t>
            </w:r>
          </w:p>
        </w:tc>
        <w:tc>
          <w:tcPr>
            <w:tcW w:w="746" w:type="dxa"/>
          </w:tcPr>
          <w:p w14:paraId="1865176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3-50</w:t>
            </w:r>
          </w:p>
        </w:tc>
        <w:tc>
          <w:tcPr>
            <w:tcW w:w="1089" w:type="dxa"/>
          </w:tcPr>
          <w:p w14:paraId="793ECC7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5000</w:t>
            </w:r>
          </w:p>
        </w:tc>
        <w:tc>
          <w:tcPr>
            <w:tcW w:w="690" w:type="dxa"/>
          </w:tcPr>
          <w:p w14:paraId="7936BE1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2400</w:t>
            </w:r>
          </w:p>
        </w:tc>
        <w:tc>
          <w:tcPr>
            <w:tcW w:w="690" w:type="dxa"/>
          </w:tcPr>
          <w:p w14:paraId="4427F9B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315</w:t>
            </w:r>
          </w:p>
        </w:tc>
        <w:tc>
          <w:tcPr>
            <w:tcW w:w="690" w:type="dxa"/>
          </w:tcPr>
          <w:p w14:paraId="4CA478B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1950</w:t>
            </w:r>
          </w:p>
        </w:tc>
        <w:tc>
          <w:tcPr>
            <w:tcW w:w="690" w:type="dxa"/>
          </w:tcPr>
          <w:p w14:paraId="5CB8C38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240</w:t>
            </w:r>
          </w:p>
        </w:tc>
        <w:tc>
          <w:tcPr>
            <w:tcW w:w="1494" w:type="dxa"/>
          </w:tcPr>
          <w:p w14:paraId="3731D5D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Смесь бедная.</w:t>
            </w:r>
          </w:p>
        </w:tc>
      </w:tr>
      <w:tr w:rsidR="00860B4B" w:rsidRPr="00D03F3E" w14:paraId="4F03FAAE" w14:textId="77777777">
        <w:tc>
          <w:tcPr>
            <w:tcW w:w="1526" w:type="dxa"/>
          </w:tcPr>
          <w:p w14:paraId="49ECFF7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Кертис Р-40-Е-1</w:t>
            </w:r>
          </w:p>
        </w:tc>
        <w:tc>
          <w:tcPr>
            <w:tcW w:w="746" w:type="dxa"/>
          </w:tcPr>
          <w:p w14:paraId="24114B6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546</w:t>
            </w:r>
          </w:p>
        </w:tc>
        <w:tc>
          <w:tcPr>
            <w:tcW w:w="746" w:type="dxa"/>
          </w:tcPr>
          <w:p w14:paraId="468679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960</w:t>
            </w:r>
          </w:p>
        </w:tc>
        <w:tc>
          <w:tcPr>
            <w:tcW w:w="746" w:type="dxa"/>
          </w:tcPr>
          <w:p w14:paraId="2FF876B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1690</w:t>
            </w:r>
          </w:p>
        </w:tc>
        <w:tc>
          <w:tcPr>
            <w:tcW w:w="746" w:type="dxa"/>
          </w:tcPr>
          <w:p w14:paraId="69F003E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2-16</w:t>
            </w:r>
          </w:p>
        </w:tc>
        <w:tc>
          <w:tcPr>
            <w:tcW w:w="746" w:type="dxa"/>
          </w:tcPr>
          <w:p w14:paraId="37D2AD8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6-18</w:t>
            </w:r>
          </w:p>
        </w:tc>
        <w:tc>
          <w:tcPr>
            <w:tcW w:w="1089" w:type="dxa"/>
          </w:tcPr>
          <w:p w14:paraId="2858E4F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500-100</w:t>
            </w:r>
          </w:p>
        </w:tc>
        <w:tc>
          <w:tcPr>
            <w:tcW w:w="690" w:type="dxa"/>
          </w:tcPr>
          <w:p w14:paraId="7555DE4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2400</w:t>
            </w:r>
          </w:p>
        </w:tc>
        <w:tc>
          <w:tcPr>
            <w:tcW w:w="690" w:type="dxa"/>
          </w:tcPr>
          <w:p w14:paraId="7A3C58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390</w:t>
            </w:r>
          </w:p>
        </w:tc>
        <w:tc>
          <w:tcPr>
            <w:tcW w:w="690" w:type="dxa"/>
          </w:tcPr>
          <w:p w14:paraId="7824ADC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322CE11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260</w:t>
            </w:r>
          </w:p>
        </w:tc>
        <w:tc>
          <w:tcPr>
            <w:tcW w:w="1494" w:type="dxa"/>
          </w:tcPr>
          <w:p w14:paraId="7EC46281" w14:textId="77777777" w:rsidR="00531570" w:rsidRPr="00D03F3E" w:rsidRDefault="00531570" w:rsidP="00D03F3E">
            <w:pPr>
              <w:pStyle w:val="Iauiue"/>
              <w:jc w:val="both"/>
              <w:rPr>
                <w:color w:val="000000" w:themeColor="text1"/>
                <w:sz w:val="16"/>
                <w:szCs w:val="16"/>
              </w:rPr>
            </w:pPr>
          </w:p>
        </w:tc>
      </w:tr>
      <w:tr w:rsidR="00860B4B" w:rsidRPr="00D03F3E" w14:paraId="021E0D80" w14:textId="77777777">
        <w:tc>
          <w:tcPr>
            <w:tcW w:w="1526" w:type="dxa"/>
          </w:tcPr>
          <w:p w14:paraId="66B4BCF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(Киттихаук) с</w:t>
            </w:r>
          </w:p>
        </w:tc>
        <w:tc>
          <w:tcPr>
            <w:tcW w:w="746" w:type="dxa"/>
          </w:tcPr>
          <w:p w14:paraId="3EC1AB04" w14:textId="77777777" w:rsidR="00531570" w:rsidRPr="00D03F3E" w:rsidRDefault="00531570" w:rsidP="00D03F3E">
            <w:pPr>
              <w:pStyle w:val="Iauiue"/>
              <w:jc w:val="both"/>
              <w:rPr>
                <w:color w:val="000000" w:themeColor="text1"/>
                <w:sz w:val="16"/>
                <w:szCs w:val="16"/>
              </w:rPr>
            </w:pPr>
          </w:p>
        </w:tc>
        <w:tc>
          <w:tcPr>
            <w:tcW w:w="746" w:type="dxa"/>
          </w:tcPr>
          <w:p w14:paraId="26CA922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950</w:t>
            </w:r>
          </w:p>
        </w:tc>
        <w:tc>
          <w:tcPr>
            <w:tcW w:w="746" w:type="dxa"/>
          </w:tcPr>
          <w:p w14:paraId="4455592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1660</w:t>
            </w:r>
          </w:p>
        </w:tc>
        <w:tc>
          <w:tcPr>
            <w:tcW w:w="746" w:type="dxa"/>
          </w:tcPr>
          <w:p w14:paraId="194AF4F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2-10</w:t>
            </w:r>
          </w:p>
        </w:tc>
        <w:tc>
          <w:tcPr>
            <w:tcW w:w="746" w:type="dxa"/>
          </w:tcPr>
          <w:p w14:paraId="6BA50EA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5-50</w:t>
            </w:r>
          </w:p>
        </w:tc>
        <w:tc>
          <w:tcPr>
            <w:tcW w:w="1089" w:type="dxa"/>
          </w:tcPr>
          <w:p w14:paraId="36303C3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w:t>
            </w:r>
          </w:p>
        </w:tc>
        <w:tc>
          <w:tcPr>
            <w:tcW w:w="690" w:type="dxa"/>
          </w:tcPr>
          <w:p w14:paraId="7381F2B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2400</w:t>
            </w:r>
          </w:p>
        </w:tc>
        <w:tc>
          <w:tcPr>
            <w:tcW w:w="690" w:type="dxa"/>
          </w:tcPr>
          <w:p w14:paraId="5B48A12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390</w:t>
            </w:r>
          </w:p>
        </w:tc>
        <w:tc>
          <w:tcPr>
            <w:tcW w:w="690" w:type="dxa"/>
          </w:tcPr>
          <w:p w14:paraId="0C5A629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0285923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260</w:t>
            </w:r>
          </w:p>
        </w:tc>
        <w:tc>
          <w:tcPr>
            <w:tcW w:w="1494" w:type="dxa"/>
          </w:tcPr>
          <w:p w14:paraId="594689B7" w14:textId="77777777" w:rsidR="00531570" w:rsidRPr="00D03F3E" w:rsidRDefault="00531570" w:rsidP="00D03F3E">
            <w:pPr>
              <w:pStyle w:val="Iauiue"/>
              <w:jc w:val="both"/>
              <w:rPr>
                <w:color w:val="000000" w:themeColor="text1"/>
                <w:sz w:val="16"/>
                <w:szCs w:val="16"/>
              </w:rPr>
            </w:pPr>
          </w:p>
        </w:tc>
      </w:tr>
      <w:tr w:rsidR="00860B4B" w:rsidRPr="00D03F3E" w14:paraId="5FF48340" w14:textId="77777777">
        <w:tc>
          <w:tcPr>
            <w:tcW w:w="1526" w:type="dxa"/>
          </w:tcPr>
          <w:p w14:paraId="55F88DB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мотором Аллисон</w:t>
            </w:r>
          </w:p>
        </w:tc>
        <w:tc>
          <w:tcPr>
            <w:tcW w:w="746" w:type="dxa"/>
          </w:tcPr>
          <w:p w14:paraId="3B617163" w14:textId="77777777" w:rsidR="00531570" w:rsidRPr="00D03F3E" w:rsidRDefault="00531570" w:rsidP="00D03F3E">
            <w:pPr>
              <w:pStyle w:val="Iauiue"/>
              <w:jc w:val="both"/>
              <w:rPr>
                <w:color w:val="000000" w:themeColor="text1"/>
                <w:sz w:val="16"/>
                <w:szCs w:val="16"/>
              </w:rPr>
            </w:pPr>
          </w:p>
        </w:tc>
        <w:tc>
          <w:tcPr>
            <w:tcW w:w="746" w:type="dxa"/>
          </w:tcPr>
          <w:p w14:paraId="2447AD8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900</w:t>
            </w:r>
          </w:p>
        </w:tc>
        <w:tc>
          <w:tcPr>
            <w:tcW w:w="746" w:type="dxa"/>
          </w:tcPr>
          <w:p w14:paraId="6CD896E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1590</w:t>
            </w:r>
          </w:p>
        </w:tc>
        <w:tc>
          <w:tcPr>
            <w:tcW w:w="746" w:type="dxa"/>
          </w:tcPr>
          <w:p w14:paraId="4C217EE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1-53</w:t>
            </w:r>
          </w:p>
        </w:tc>
        <w:tc>
          <w:tcPr>
            <w:tcW w:w="746" w:type="dxa"/>
          </w:tcPr>
          <w:p w14:paraId="3C0EF25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w:t>
            </w:r>
          </w:p>
        </w:tc>
        <w:tc>
          <w:tcPr>
            <w:tcW w:w="1089" w:type="dxa"/>
          </w:tcPr>
          <w:p w14:paraId="2473957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3000</w:t>
            </w:r>
          </w:p>
        </w:tc>
        <w:tc>
          <w:tcPr>
            <w:tcW w:w="690" w:type="dxa"/>
          </w:tcPr>
          <w:p w14:paraId="013A20B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2400</w:t>
            </w:r>
          </w:p>
        </w:tc>
        <w:tc>
          <w:tcPr>
            <w:tcW w:w="690" w:type="dxa"/>
          </w:tcPr>
          <w:p w14:paraId="2E05090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390</w:t>
            </w:r>
          </w:p>
        </w:tc>
        <w:tc>
          <w:tcPr>
            <w:tcW w:w="690" w:type="dxa"/>
          </w:tcPr>
          <w:p w14:paraId="1239475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690" w:type="dxa"/>
          </w:tcPr>
          <w:p w14:paraId="3A7381A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260</w:t>
            </w:r>
          </w:p>
        </w:tc>
        <w:tc>
          <w:tcPr>
            <w:tcW w:w="1494" w:type="dxa"/>
          </w:tcPr>
          <w:p w14:paraId="7C40E094" w14:textId="77777777" w:rsidR="00531570" w:rsidRPr="00D03F3E" w:rsidRDefault="00531570" w:rsidP="00D03F3E">
            <w:pPr>
              <w:pStyle w:val="Iauiue"/>
              <w:jc w:val="both"/>
              <w:rPr>
                <w:color w:val="000000" w:themeColor="text1"/>
                <w:sz w:val="16"/>
                <w:szCs w:val="16"/>
              </w:rPr>
            </w:pPr>
          </w:p>
        </w:tc>
      </w:tr>
      <w:tr w:rsidR="00860B4B" w:rsidRPr="00D03F3E" w14:paraId="2950C476" w14:textId="77777777">
        <w:tc>
          <w:tcPr>
            <w:tcW w:w="1526" w:type="dxa"/>
          </w:tcPr>
          <w:p w14:paraId="425C274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V-1710 F-3R</w:t>
            </w:r>
          </w:p>
        </w:tc>
        <w:tc>
          <w:tcPr>
            <w:tcW w:w="746" w:type="dxa"/>
          </w:tcPr>
          <w:p w14:paraId="645AF63A" w14:textId="77777777" w:rsidR="00531570" w:rsidRPr="00D03F3E" w:rsidRDefault="00531570" w:rsidP="00D03F3E">
            <w:pPr>
              <w:pStyle w:val="Iauiue"/>
              <w:jc w:val="both"/>
              <w:rPr>
                <w:color w:val="000000" w:themeColor="text1"/>
                <w:sz w:val="16"/>
                <w:szCs w:val="16"/>
              </w:rPr>
            </w:pPr>
          </w:p>
        </w:tc>
        <w:tc>
          <w:tcPr>
            <w:tcW w:w="746" w:type="dxa"/>
          </w:tcPr>
          <w:p w14:paraId="10A4F47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1160</w:t>
            </w:r>
          </w:p>
        </w:tc>
        <w:tc>
          <w:tcPr>
            <w:tcW w:w="746" w:type="dxa"/>
          </w:tcPr>
          <w:p w14:paraId="2342B06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1500</w:t>
            </w:r>
          </w:p>
        </w:tc>
        <w:tc>
          <w:tcPr>
            <w:tcW w:w="746" w:type="dxa"/>
          </w:tcPr>
          <w:p w14:paraId="507623F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2-30</w:t>
            </w:r>
          </w:p>
        </w:tc>
        <w:tc>
          <w:tcPr>
            <w:tcW w:w="746" w:type="dxa"/>
          </w:tcPr>
          <w:p w14:paraId="5F4F0F6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4-15</w:t>
            </w:r>
          </w:p>
        </w:tc>
        <w:tc>
          <w:tcPr>
            <w:tcW w:w="1089" w:type="dxa"/>
          </w:tcPr>
          <w:p w14:paraId="770DC2B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5000</w:t>
            </w:r>
          </w:p>
        </w:tc>
        <w:tc>
          <w:tcPr>
            <w:tcW w:w="690" w:type="dxa"/>
          </w:tcPr>
          <w:p w14:paraId="65F4F04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2400</w:t>
            </w:r>
          </w:p>
        </w:tc>
        <w:tc>
          <w:tcPr>
            <w:tcW w:w="690" w:type="dxa"/>
          </w:tcPr>
          <w:p w14:paraId="00B3AE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340</w:t>
            </w:r>
          </w:p>
        </w:tc>
        <w:tc>
          <w:tcPr>
            <w:tcW w:w="690" w:type="dxa"/>
          </w:tcPr>
          <w:p w14:paraId="084535A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2000</w:t>
            </w:r>
          </w:p>
        </w:tc>
        <w:tc>
          <w:tcPr>
            <w:tcW w:w="690" w:type="dxa"/>
          </w:tcPr>
          <w:p w14:paraId="622913D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260</w:t>
            </w:r>
          </w:p>
        </w:tc>
        <w:tc>
          <w:tcPr>
            <w:tcW w:w="1494" w:type="dxa"/>
          </w:tcPr>
          <w:p w14:paraId="5CEA732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Смесь бедная.</w:t>
            </w:r>
          </w:p>
        </w:tc>
      </w:tr>
      <w:tr w:rsidR="00860B4B" w:rsidRPr="00D03F3E" w14:paraId="10D3A179" w14:textId="77777777">
        <w:tc>
          <w:tcPr>
            <w:tcW w:w="1526" w:type="dxa"/>
          </w:tcPr>
          <w:p w14:paraId="1A8DB12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Аэрокобра-1 с</w:t>
            </w:r>
          </w:p>
        </w:tc>
        <w:tc>
          <w:tcPr>
            <w:tcW w:w="746" w:type="dxa"/>
          </w:tcPr>
          <w:p w14:paraId="48D2915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450</w:t>
            </w:r>
          </w:p>
        </w:tc>
        <w:tc>
          <w:tcPr>
            <w:tcW w:w="746" w:type="dxa"/>
          </w:tcPr>
          <w:p w14:paraId="511EA4D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700</w:t>
            </w:r>
          </w:p>
        </w:tc>
        <w:tc>
          <w:tcPr>
            <w:tcW w:w="746" w:type="dxa"/>
          </w:tcPr>
          <w:p w14:paraId="1FA613E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1130</w:t>
            </w:r>
          </w:p>
        </w:tc>
        <w:tc>
          <w:tcPr>
            <w:tcW w:w="746" w:type="dxa"/>
          </w:tcPr>
          <w:p w14:paraId="4156A2A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1-45</w:t>
            </w:r>
          </w:p>
        </w:tc>
        <w:tc>
          <w:tcPr>
            <w:tcW w:w="746" w:type="dxa"/>
          </w:tcPr>
          <w:p w14:paraId="33AA54F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4-05</w:t>
            </w:r>
          </w:p>
        </w:tc>
        <w:tc>
          <w:tcPr>
            <w:tcW w:w="1089" w:type="dxa"/>
          </w:tcPr>
          <w:p w14:paraId="288AEE2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500-100</w:t>
            </w:r>
          </w:p>
        </w:tc>
        <w:tc>
          <w:tcPr>
            <w:tcW w:w="690" w:type="dxa"/>
          </w:tcPr>
          <w:p w14:paraId="74DE7D1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2350</w:t>
            </w:r>
          </w:p>
        </w:tc>
        <w:tc>
          <w:tcPr>
            <w:tcW w:w="690" w:type="dxa"/>
          </w:tcPr>
          <w:p w14:paraId="1671ED6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375</w:t>
            </w:r>
          </w:p>
        </w:tc>
        <w:tc>
          <w:tcPr>
            <w:tcW w:w="690" w:type="dxa"/>
          </w:tcPr>
          <w:p w14:paraId="2BACEFE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1750</w:t>
            </w:r>
          </w:p>
        </w:tc>
        <w:tc>
          <w:tcPr>
            <w:tcW w:w="690" w:type="dxa"/>
          </w:tcPr>
          <w:p w14:paraId="247CD50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265</w:t>
            </w:r>
          </w:p>
        </w:tc>
        <w:tc>
          <w:tcPr>
            <w:tcW w:w="1494" w:type="dxa"/>
          </w:tcPr>
          <w:p w14:paraId="6404378A" w14:textId="77777777" w:rsidR="00531570" w:rsidRPr="00D03F3E" w:rsidRDefault="00531570" w:rsidP="00D03F3E">
            <w:pPr>
              <w:pStyle w:val="Iauiue"/>
              <w:jc w:val="both"/>
              <w:rPr>
                <w:color w:val="000000" w:themeColor="text1"/>
                <w:sz w:val="16"/>
                <w:szCs w:val="16"/>
              </w:rPr>
            </w:pPr>
          </w:p>
        </w:tc>
      </w:tr>
      <w:tr w:rsidR="00860B4B" w:rsidRPr="00D03F3E" w14:paraId="1B93E383" w14:textId="77777777">
        <w:tc>
          <w:tcPr>
            <w:tcW w:w="1526" w:type="dxa"/>
          </w:tcPr>
          <w:p w14:paraId="21E6477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мотором Аллисон</w:t>
            </w:r>
          </w:p>
        </w:tc>
        <w:tc>
          <w:tcPr>
            <w:tcW w:w="746" w:type="dxa"/>
          </w:tcPr>
          <w:p w14:paraId="1A5190E1" w14:textId="77777777" w:rsidR="00531570" w:rsidRPr="00D03F3E" w:rsidRDefault="00531570" w:rsidP="00D03F3E">
            <w:pPr>
              <w:pStyle w:val="Iauiue"/>
              <w:jc w:val="both"/>
              <w:rPr>
                <w:color w:val="000000" w:themeColor="text1"/>
                <w:sz w:val="16"/>
                <w:szCs w:val="16"/>
              </w:rPr>
            </w:pPr>
          </w:p>
        </w:tc>
        <w:tc>
          <w:tcPr>
            <w:tcW w:w="746" w:type="dxa"/>
          </w:tcPr>
          <w:p w14:paraId="462FD4F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690</w:t>
            </w:r>
          </w:p>
        </w:tc>
        <w:tc>
          <w:tcPr>
            <w:tcW w:w="746" w:type="dxa"/>
          </w:tcPr>
          <w:p w14:paraId="340AD22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1100</w:t>
            </w:r>
          </w:p>
        </w:tc>
        <w:tc>
          <w:tcPr>
            <w:tcW w:w="746" w:type="dxa"/>
          </w:tcPr>
          <w:p w14:paraId="1E2D707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1-40</w:t>
            </w:r>
          </w:p>
        </w:tc>
        <w:tc>
          <w:tcPr>
            <w:tcW w:w="746" w:type="dxa"/>
          </w:tcPr>
          <w:p w14:paraId="503FA16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3-50</w:t>
            </w:r>
          </w:p>
        </w:tc>
        <w:tc>
          <w:tcPr>
            <w:tcW w:w="1089" w:type="dxa"/>
          </w:tcPr>
          <w:p w14:paraId="3420AE8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w:t>
            </w:r>
          </w:p>
        </w:tc>
        <w:tc>
          <w:tcPr>
            <w:tcW w:w="690" w:type="dxa"/>
          </w:tcPr>
          <w:p w14:paraId="64D492B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2350</w:t>
            </w:r>
          </w:p>
        </w:tc>
        <w:tc>
          <w:tcPr>
            <w:tcW w:w="690" w:type="dxa"/>
          </w:tcPr>
          <w:p w14:paraId="4A0E35C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375</w:t>
            </w:r>
          </w:p>
        </w:tc>
        <w:tc>
          <w:tcPr>
            <w:tcW w:w="690" w:type="dxa"/>
          </w:tcPr>
          <w:p w14:paraId="1E30DF7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1750</w:t>
            </w:r>
          </w:p>
        </w:tc>
        <w:tc>
          <w:tcPr>
            <w:tcW w:w="690" w:type="dxa"/>
          </w:tcPr>
          <w:p w14:paraId="53F9B47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265</w:t>
            </w:r>
          </w:p>
        </w:tc>
        <w:tc>
          <w:tcPr>
            <w:tcW w:w="1494" w:type="dxa"/>
          </w:tcPr>
          <w:p w14:paraId="2D8D2A13" w14:textId="77777777" w:rsidR="00531570" w:rsidRPr="00D03F3E" w:rsidRDefault="00531570" w:rsidP="00D03F3E">
            <w:pPr>
              <w:pStyle w:val="Iauiue"/>
              <w:jc w:val="both"/>
              <w:rPr>
                <w:color w:val="000000" w:themeColor="text1"/>
                <w:sz w:val="16"/>
                <w:szCs w:val="16"/>
              </w:rPr>
            </w:pPr>
          </w:p>
        </w:tc>
      </w:tr>
      <w:tr w:rsidR="00860B4B" w:rsidRPr="00D03F3E" w14:paraId="414AF99B" w14:textId="77777777">
        <w:tc>
          <w:tcPr>
            <w:tcW w:w="1526" w:type="dxa"/>
          </w:tcPr>
          <w:p w14:paraId="138BCC7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V-1710-Е-4</w:t>
            </w:r>
          </w:p>
        </w:tc>
        <w:tc>
          <w:tcPr>
            <w:tcW w:w="746" w:type="dxa"/>
          </w:tcPr>
          <w:p w14:paraId="752ED933" w14:textId="77777777" w:rsidR="00531570" w:rsidRPr="00D03F3E" w:rsidRDefault="00531570" w:rsidP="00D03F3E">
            <w:pPr>
              <w:pStyle w:val="Iauiue"/>
              <w:jc w:val="both"/>
              <w:rPr>
                <w:color w:val="000000" w:themeColor="text1"/>
                <w:sz w:val="16"/>
                <w:szCs w:val="16"/>
              </w:rPr>
            </w:pPr>
          </w:p>
        </w:tc>
        <w:tc>
          <w:tcPr>
            <w:tcW w:w="746" w:type="dxa"/>
          </w:tcPr>
          <w:p w14:paraId="214F64A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640</w:t>
            </w:r>
          </w:p>
        </w:tc>
        <w:tc>
          <w:tcPr>
            <w:tcW w:w="746" w:type="dxa"/>
          </w:tcPr>
          <w:p w14:paraId="7DD6111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1040</w:t>
            </w:r>
          </w:p>
        </w:tc>
        <w:tc>
          <w:tcPr>
            <w:tcW w:w="746" w:type="dxa"/>
          </w:tcPr>
          <w:p w14:paraId="185AB42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1-23</w:t>
            </w:r>
          </w:p>
        </w:tc>
        <w:tc>
          <w:tcPr>
            <w:tcW w:w="746" w:type="dxa"/>
          </w:tcPr>
          <w:p w14:paraId="6ABE7F3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3-20</w:t>
            </w:r>
          </w:p>
        </w:tc>
        <w:tc>
          <w:tcPr>
            <w:tcW w:w="1089" w:type="dxa"/>
          </w:tcPr>
          <w:p w14:paraId="2922E6D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3000</w:t>
            </w:r>
          </w:p>
        </w:tc>
        <w:tc>
          <w:tcPr>
            <w:tcW w:w="690" w:type="dxa"/>
          </w:tcPr>
          <w:p w14:paraId="3AFE0CF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2400</w:t>
            </w:r>
          </w:p>
        </w:tc>
        <w:tc>
          <w:tcPr>
            <w:tcW w:w="690" w:type="dxa"/>
          </w:tcPr>
          <w:p w14:paraId="3F43165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375</w:t>
            </w:r>
          </w:p>
        </w:tc>
        <w:tc>
          <w:tcPr>
            <w:tcW w:w="690" w:type="dxa"/>
          </w:tcPr>
          <w:p w14:paraId="0BBC3E6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1850</w:t>
            </w:r>
          </w:p>
        </w:tc>
        <w:tc>
          <w:tcPr>
            <w:tcW w:w="690" w:type="dxa"/>
          </w:tcPr>
          <w:p w14:paraId="4FB2BD8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265</w:t>
            </w:r>
          </w:p>
        </w:tc>
        <w:tc>
          <w:tcPr>
            <w:tcW w:w="1494" w:type="dxa"/>
          </w:tcPr>
          <w:p w14:paraId="171CA74D" w14:textId="77777777" w:rsidR="00531570" w:rsidRPr="00D03F3E" w:rsidRDefault="00531570" w:rsidP="00D03F3E">
            <w:pPr>
              <w:pStyle w:val="Iauiue"/>
              <w:jc w:val="both"/>
              <w:rPr>
                <w:color w:val="000000" w:themeColor="text1"/>
                <w:sz w:val="16"/>
                <w:szCs w:val="16"/>
              </w:rPr>
            </w:pPr>
          </w:p>
        </w:tc>
      </w:tr>
      <w:tr w:rsidR="00860B4B" w:rsidRPr="00D03F3E" w14:paraId="627506CB" w14:textId="77777777">
        <w:tc>
          <w:tcPr>
            <w:tcW w:w="1526" w:type="dxa"/>
          </w:tcPr>
          <w:p w14:paraId="745697D5" w14:textId="77777777" w:rsidR="00531570" w:rsidRPr="00D03F3E" w:rsidRDefault="00531570" w:rsidP="00D03F3E">
            <w:pPr>
              <w:pStyle w:val="Iauiue"/>
              <w:jc w:val="both"/>
              <w:rPr>
                <w:color w:val="000000" w:themeColor="text1"/>
                <w:sz w:val="16"/>
                <w:szCs w:val="16"/>
              </w:rPr>
            </w:pPr>
          </w:p>
        </w:tc>
        <w:tc>
          <w:tcPr>
            <w:tcW w:w="746" w:type="dxa"/>
          </w:tcPr>
          <w:p w14:paraId="390BAF21" w14:textId="77777777" w:rsidR="00531570" w:rsidRPr="00D03F3E" w:rsidRDefault="00531570" w:rsidP="00D03F3E">
            <w:pPr>
              <w:pStyle w:val="Iauiue"/>
              <w:jc w:val="both"/>
              <w:rPr>
                <w:color w:val="000000" w:themeColor="text1"/>
                <w:sz w:val="16"/>
                <w:szCs w:val="16"/>
              </w:rPr>
            </w:pPr>
          </w:p>
        </w:tc>
        <w:tc>
          <w:tcPr>
            <w:tcW w:w="746" w:type="dxa"/>
          </w:tcPr>
          <w:p w14:paraId="104A5C6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760</w:t>
            </w:r>
          </w:p>
        </w:tc>
        <w:tc>
          <w:tcPr>
            <w:tcW w:w="746" w:type="dxa"/>
          </w:tcPr>
          <w:p w14:paraId="0FC8C0D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960</w:t>
            </w:r>
          </w:p>
        </w:tc>
        <w:tc>
          <w:tcPr>
            <w:tcW w:w="746" w:type="dxa"/>
          </w:tcPr>
          <w:p w14:paraId="239A48D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1-36</w:t>
            </w:r>
          </w:p>
        </w:tc>
        <w:tc>
          <w:tcPr>
            <w:tcW w:w="746" w:type="dxa"/>
          </w:tcPr>
          <w:p w14:paraId="70E8AF4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2-40</w:t>
            </w:r>
          </w:p>
        </w:tc>
        <w:tc>
          <w:tcPr>
            <w:tcW w:w="1089" w:type="dxa"/>
          </w:tcPr>
          <w:p w14:paraId="299819F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5000</w:t>
            </w:r>
          </w:p>
        </w:tc>
        <w:tc>
          <w:tcPr>
            <w:tcW w:w="690" w:type="dxa"/>
          </w:tcPr>
          <w:p w14:paraId="4B29125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2400</w:t>
            </w:r>
          </w:p>
        </w:tc>
        <w:tc>
          <w:tcPr>
            <w:tcW w:w="690" w:type="dxa"/>
          </w:tcPr>
          <w:p w14:paraId="01B165E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345</w:t>
            </w:r>
          </w:p>
        </w:tc>
        <w:tc>
          <w:tcPr>
            <w:tcW w:w="690" w:type="dxa"/>
          </w:tcPr>
          <w:p w14:paraId="0D9E2D2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2000</w:t>
            </w:r>
          </w:p>
        </w:tc>
        <w:tc>
          <w:tcPr>
            <w:tcW w:w="690" w:type="dxa"/>
          </w:tcPr>
          <w:p w14:paraId="0836DE6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265</w:t>
            </w:r>
          </w:p>
        </w:tc>
        <w:tc>
          <w:tcPr>
            <w:tcW w:w="1494" w:type="dxa"/>
          </w:tcPr>
          <w:p w14:paraId="3BFFE15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Смесь бедная.</w:t>
            </w:r>
          </w:p>
        </w:tc>
      </w:tr>
      <w:tr w:rsidR="00860B4B" w:rsidRPr="00D03F3E" w14:paraId="64A5B794" w14:textId="77777777">
        <w:tc>
          <w:tcPr>
            <w:tcW w:w="1526" w:type="dxa"/>
          </w:tcPr>
          <w:p w14:paraId="3E92966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Харрикейн-II с</w:t>
            </w:r>
          </w:p>
        </w:tc>
        <w:tc>
          <w:tcPr>
            <w:tcW w:w="746" w:type="dxa"/>
          </w:tcPr>
          <w:p w14:paraId="18A1B708" w14:textId="77777777" w:rsidR="00531570" w:rsidRPr="00D03F3E" w:rsidRDefault="00531570" w:rsidP="00D03F3E">
            <w:pPr>
              <w:pStyle w:val="Iauiue"/>
              <w:jc w:val="both"/>
              <w:rPr>
                <w:color w:val="000000" w:themeColor="text1"/>
                <w:sz w:val="16"/>
                <w:szCs w:val="16"/>
              </w:rPr>
            </w:pPr>
          </w:p>
        </w:tc>
        <w:tc>
          <w:tcPr>
            <w:tcW w:w="746" w:type="dxa"/>
          </w:tcPr>
          <w:p w14:paraId="0EF762CF" w14:textId="77777777" w:rsidR="00531570" w:rsidRPr="00D03F3E" w:rsidRDefault="00531570" w:rsidP="00D03F3E">
            <w:pPr>
              <w:pStyle w:val="Iauiue"/>
              <w:jc w:val="both"/>
              <w:rPr>
                <w:color w:val="000000" w:themeColor="text1"/>
                <w:sz w:val="16"/>
                <w:szCs w:val="16"/>
              </w:rPr>
            </w:pPr>
          </w:p>
        </w:tc>
        <w:tc>
          <w:tcPr>
            <w:tcW w:w="746" w:type="dxa"/>
          </w:tcPr>
          <w:p w14:paraId="43965BD1" w14:textId="77777777" w:rsidR="00531570" w:rsidRPr="00D03F3E" w:rsidRDefault="00531570" w:rsidP="00D03F3E">
            <w:pPr>
              <w:pStyle w:val="Iauiue"/>
              <w:jc w:val="both"/>
              <w:rPr>
                <w:color w:val="000000" w:themeColor="text1"/>
                <w:sz w:val="16"/>
                <w:szCs w:val="16"/>
              </w:rPr>
            </w:pPr>
          </w:p>
        </w:tc>
        <w:tc>
          <w:tcPr>
            <w:tcW w:w="746" w:type="dxa"/>
          </w:tcPr>
          <w:p w14:paraId="7A4D38BD" w14:textId="77777777" w:rsidR="00531570" w:rsidRPr="00D03F3E" w:rsidRDefault="00531570" w:rsidP="00D03F3E">
            <w:pPr>
              <w:pStyle w:val="Iauiue"/>
              <w:jc w:val="both"/>
              <w:rPr>
                <w:color w:val="000000" w:themeColor="text1"/>
                <w:sz w:val="16"/>
                <w:szCs w:val="16"/>
              </w:rPr>
            </w:pPr>
          </w:p>
        </w:tc>
        <w:tc>
          <w:tcPr>
            <w:tcW w:w="746" w:type="dxa"/>
          </w:tcPr>
          <w:p w14:paraId="7F86A65D" w14:textId="77777777" w:rsidR="00531570" w:rsidRPr="00D03F3E" w:rsidRDefault="00531570" w:rsidP="00D03F3E">
            <w:pPr>
              <w:pStyle w:val="Iauiue"/>
              <w:jc w:val="both"/>
              <w:rPr>
                <w:color w:val="000000" w:themeColor="text1"/>
                <w:sz w:val="16"/>
                <w:szCs w:val="16"/>
              </w:rPr>
            </w:pPr>
          </w:p>
        </w:tc>
        <w:tc>
          <w:tcPr>
            <w:tcW w:w="1089" w:type="dxa"/>
          </w:tcPr>
          <w:p w14:paraId="6BA939CA" w14:textId="77777777" w:rsidR="00531570" w:rsidRPr="00D03F3E" w:rsidRDefault="00531570" w:rsidP="00D03F3E">
            <w:pPr>
              <w:pStyle w:val="Iauiue"/>
              <w:jc w:val="both"/>
              <w:rPr>
                <w:color w:val="000000" w:themeColor="text1"/>
                <w:sz w:val="16"/>
                <w:szCs w:val="16"/>
              </w:rPr>
            </w:pPr>
          </w:p>
        </w:tc>
        <w:tc>
          <w:tcPr>
            <w:tcW w:w="690" w:type="dxa"/>
          </w:tcPr>
          <w:p w14:paraId="561AEBE6" w14:textId="77777777" w:rsidR="00531570" w:rsidRPr="00D03F3E" w:rsidRDefault="00531570" w:rsidP="00D03F3E">
            <w:pPr>
              <w:pStyle w:val="Iauiue"/>
              <w:jc w:val="both"/>
              <w:rPr>
                <w:color w:val="000000" w:themeColor="text1"/>
                <w:sz w:val="16"/>
                <w:szCs w:val="16"/>
              </w:rPr>
            </w:pPr>
          </w:p>
        </w:tc>
        <w:tc>
          <w:tcPr>
            <w:tcW w:w="690" w:type="dxa"/>
          </w:tcPr>
          <w:p w14:paraId="61D8B796" w14:textId="77777777" w:rsidR="00531570" w:rsidRPr="00D03F3E" w:rsidRDefault="00531570" w:rsidP="00D03F3E">
            <w:pPr>
              <w:pStyle w:val="Iauiue"/>
              <w:jc w:val="both"/>
              <w:rPr>
                <w:color w:val="000000" w:themeColor="text1"/>
                <w:sz w:val="16"/>
                <w:szCs w:val="16"/>
              </w:rPr>
            </w:pPr>
          </w:p>
        </w:tc>
        <w:tc>
          <w:tcPr>
            <w:tcW w:w="690" w:type="dxa"/>
          </w:tcPr>
          <w:p w14:paraId="5207D7F2" w14:textId="77777777" w:rsidR="00531570" w:rsidRPr="00D03F3E" w:rsidRDefault="00531570" w:rsidP="00D03F3E">
            <w:pPr>
              <w:pStyle w:val="Iauiue"/>
              <w:jc w:val="both"/>
              <w:rPr>
                <w:color w:val="000000" w:themeColor="text1"/>
                <w:sz w:val="16"/>
                <w:szCs w:val="16"/>
              </w:rPr>
            </w:pPr>
          </w:p>
        </w:tc>
        <w:tc>
          <w:tcPr>
            <w:tcW w:w="690" w:type="dxa"/>
          </w:tcPr>
          <w:p w14:paraId="11F452AE" w14:textId="77777777" w:rsidR="00531570" w:rsidRPr="00D03F3E" w:rsidRDefault="00531570" w:rsidP="00D03F3E">
            <w:pPr>
              <w:pStyle w:val="Iauiue"/>
              <w:jc w:val="both"/>
              <w:rPr>
                <w:color w:val="000000" w:themeColor="text1"/>
                <w:sz w:val="16"/>
                <w:szCs w:val="16"/>
              </w:rPr>
            </w:pPr>
          </w:p>
        </w:tc>
        <w:tc>
          <w:tcPr>
            <w:tcW w:w="1494" w:type="dxa"/>
          </w:tcPr>
          <w:p w14:paraId="6514A909" w14:textId="77777777" w:rsidR="00531570" w:rsidRPr="00D03F3E" w:rsidRDefault="00531570" w:rsidP="00D03F3E">
            <w:pPr>
              <w:pStyle w:val="Iauiue"/>
              <w:jc w:val="both"/>
              <w:rPr>
                <w:color w:val="000000" w:themeColor="text1"/>
                <w:sz w:val="16"/>
                <w:szCs w:val="16"/>
              </w:rPr>
            </w:pPr>
          </w:p>
        </w:tc>
      </w:tr>
      <w:tr w:rsidR="00860B4B" w:rsidRPr="00D03F3E" w14:paraId="3A9ED614" w14:textId="77777777">
        <w:tc>
          <w:tcPr>
            <w:tcW w:w="1526" w:type="dxa"/>
          </w:tcPr>
          <w:p w14:paraId="4480858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мотором</w:t>
            </w:r>
          </w:p>
        </w:tc>
        <w:tc>
          <w:tcPr>
            <w:tcW w:w="746" w:type="dxa"/>
          </w:tcPr>
          <w:p w14:paraId="118F60F1" w14:textId="77777777" w:rsidR="00531570" w:rsidRPr="00D03F3E" w:rsidRDefault="00531570" w:rsidP="00D03F3E">
            <w:pPr>
              <w:pStyle w:val="Iauiue"/>
              <w:jc w:val="both"/>
              <w:rPr>
                <w:color w:val="000000" w:themeColor="text1"/>
                <w:sz w:val="16"/>
                <w:szCs w:val="16"/>
              </w:rPr>
            </w:pPr>
          </w:p>
        </w:tc>
        <w:tc>
          <w:tcPr>
            <w:tcW w:w="746" w:type="dxa"/>
          </w:tcPr>
          <w:p w14:paraId="4486A94F" w14:textId="77777777" w:rsidR="00531570" w:rsidRPr="00D03F3E" w:rsidRDefault="00531570" w:rsidP="00D03F3E">
            <w:pPr>
              <w:pStyle w:val="Iauiue"/>
              <w:jc w:val="both"/>
              <w:rPr>
                <w:color w:val="000000" w:themeColor="text1"/>
                <w:sz w:val="16"/>
                <w:szCs w:val="16"/>
              </w:rPr>
            </w:pPr>
          </w:p>
        </w:tc>
        <w:tc>
          <w:tcPr>
            <w:tcW w:w="746" w:type="dxa"/>
          </w:tcPr>
          <w:p w14:paraId="7D1A1888" w14:textId="77777777" w:rsidR="00531570" w:rsidRPr="00D03F3E" w:rsidRDefault="00531570" w:rsidP="00D03F3E">
            <w:pPr>
              <w:pStyle w:val="Iauiue"/>
              <w:jc w:val="both"/>
              <w:rPr>
                <w:color w:val="000000" w:themeColor="text1"/>
                <w:sz w:val="16"/>
                <w:szCs w:val="16"/>
              </w:rPr>
            </w:pPr>
          </w:p>
        </w:tc>
        <w:tc>
          <w:tcPr>
            <w:tcW w:w="746" w:type="dxa"/>
          </w:tcPr>
          <w:p w14:paraId="6D2C1BA1" w14:textId="77777777" w:rsidR="00531570" w:rsidRPr="00D03F3E" w:rsidRDefault="00531570" w:rsidP="00D03F3E">
            <w:pPr>
              <w:pStyle w:val="Iauiue"/>
              <w:jc w:val="both"/>
              <w:rPr>
                <w:color w:val="000000" w:themeColor="text1"/>
                <w:sz w:val="16"/>
                <w:szCs w:val="16"/>
              </w:rPr>
            </w:pPr>
          </w:p>
        </w:tc>
        <w:tc>
          <w:tcPr>
            <w:tcW w:w="746" w:type="dxa"/>
          </w:tcPr>
          <w:p w14:paraId="502CE400" w14:textId="77777777" w:rsidR="00531570" w:rsidRPr="00D03F3E" w:rsidRDefault="00531570" w:rsidP="00D03F3E">
            <w:pPr>
              <w:pStyle w:val="Iauiue"/>
              <w:jc w:val="both"/>
              <w:rPr>
                <w:color w:val="000000" w:themeColor="text1"/>
                <w:sz w:val="16"/>
                <w:szCs w:val="16"/>
              </w:rPr>
            </w:pPr>
          </w:p>
        </w:tc>
        <w:tc>
          <w:tcPr>
            <w:tcW w:w="1089" w:type="dxa"/>
          </w:tcPr>
          <w:p w14:paraId="6533BF38" w14:textId="77777777" w:rsidR="00531570" w:rsidRPr="00D03F3E" w:rsidRDefault="00531570" w:rsidP="00D03F3E">
            <w:pPr>
              <w:pStyle w:val="Iauiue"/>
              <w:jc w:val="both"/>
              <w:rPr>
                <w:color w:val="000000" w:themeColor="text1"/>
                <w:sz w:val="16"/>
                <w:szCs w:val="16"/>
              </w:rPr>
            </w:pPr>
          </w:p>
        </w:tc>
        <w:tc>
          <w:tcPr>
            <w:tcW w:w="690" w:type="dxa"/>
          </w:tcPr>
          <w:p w14:paraId="0D3BC4C7" w14:textId="77777777" w:rsidR="00531570" w:rsidRPr="00D03F3E" w:rsidRDefault="00531570" w:rsidP="00D03F3E">
            <w:pPr>
              <w:pStyle w:val="Iauiue"/>
              <w:jc w:val="both"/>
              <w:rPr>
                <w:color w:val="000000" w:themeColor="text1"/>
                <w:sz w:val="16"/>
                <w:szCs w:val="16"/>
              </w:rPr>
            </w:pPr>
          </w:p>
        </w:tc>
        <w:tc>
          <w:tcPr>
            <w:tcW w:w="690" w:type="dxa"/>
          </w:tcPr>
          <w:p w14:paraId="48F8BC51" w14:textId="77777777" w:rsidR="00531570" w:rsidRPr="00D03F3E" w:rsidRDefault="00531570" w:rsidP="00D03F3E">
            <w:pPr>
              <w:pStyle w:val="Iauiue"/>
              <w:jc w:val="both"/>
              <w:rPr>
                <w:color w:val="000000" w:themeColor="text1"/>
                <w:sz w:val="16"/>
                <w:szCs w:val="16"/>
              </w:rPr>
            </w:pPr>
          </w:p>
        </w:tc>
        <w:tc>
          <w:tcPr>
            <w:tcW w:w="690" w:type="dxa"/>
          </w:tcPr>
          <w:p w14:paraId="095D47D8" w14:textId="77777777" w:rsidR="00531570" w:rsidRPr="00D03F3E" w:rsidRDefault="00531570" w:rsidP="00D03F3E">
            <w:pPr>
              <w:pStyle w:val="Iauiue"/>
              <w:jc w:val="both"/>
              <w:rPr>
                <w:color w:val="000000" w:themeColor="text1"/>
                <w:sz w:val="16"/>
                <w:szCs w:val="16"/>
              </w:rPr>
            </w:pPr>
          </w:p>
        </w:tc>
        <w:tc>
          <w:tcPr>
            <w:tcW w:w="690" w:type="dxa"/>
          </w:tcPr>
          <w:p w14:paraId="5A99E9D5" w14:textId="77777777" w:rsidR="00531570" w:rsidRPr="00D03F3E" w:rsidRDefault="00531570" w:rsidP="00D03F3E">
            <w:pPr>
              <w:pStyle w:val="Iauiue"/>
              <w:jc w:val="both"/>
              <w:rPr>
                <w:color w:val="000000" w:themeColor="text1"/>
                <w:sz w:val="16"/>
                <w:szCs w:val="16"/>
              </w:rPr>
            </w:pPr>
          </w:p>
        </w:tc>
        <w:tc>
          <w:tcPr>
            <w:tcW w:w="1494" w:type="dxa"/>
          </w:tcPr>
          <w:p w14:paraId="5DAC6B57" w14:textId="77777777" w:rsidR="00531570" w:rsidRPr="00D03F3E" w:rsidRDefault="00531570" w:rsidP="00D03F3E">
            <w:pPr>
              <w:pStyle w:val="Iauiue"/>
              <w:jc w:val="both"/>
              <w:rPr>
                <w:color w:val="000000" w:themeColor="text1"/>
                <w:sz w:val="16"/>
                <w:szCs w:val="16"/>
              </w:rPr>
            </w:pPr>
          </w:p>
        </w:tc>
      </w:tr>
      <w:tr w:rsidR="00860B4B" w:rsidRPr="00D03F3E" w14:paraId="38479D99" w14:textId="77777777">
        <w:tc>
          <w:tcPr>
            <w:tcW w:w="1526" w:type="dxa"/>
          </w:tcPr>
          <w:p w14:paraId="7A877F3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Мерлин-ХХ</w:t>
            </w:r>
          </w:p>
        </w:tc>
        <w:tc>
          <w:tcPr>
            <w:tcW w:w="746" w:type="dxa"/>
          </w:tcPr>
          <w:p w14:paraId="3B27C1B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417</w:t>
            </w:r>
          </w:p>
        </w:tc>
        <w:tc>
          <w:tcPr>
            <w:tcW w:w="746" w:type="dxa"/>
          </w:tcPr>
          <w:p w14:paraId="7F402D0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550</w:t>
            </w:r>
          </w:p>
        </w:tc>
        <w:tc>
          <w:tcPr>
            <w:tcW w:w="746" w:type="dxa"/>
          </w:tcPr>
          <w:p w14:paraId="5C0C365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890</w:t>
            </w:r>
          </w:p>
        </w:tc>
        <w:tc>
          <w:tcPr>
            <w:tcW w:w="746" w:type="dxa"/>
          </w:tcPr>
          <w:p w14:paraId="5B8C941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1-22</w:t>
            </w:r>
          </w:p>
        </w:tc>
        <w:tc>
          <w:tcPr>
            <w:tcW w:w="746" w:type="dxa"/>
          </w:tcPr>
          <w:p w14:paraId="3B195D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3-18</w:t>
            </w:r>
          </w:p>
        </w:tc>
        <w:tc>
          <w:tcPr>
            <w:tcW w:w="1089" w:type="dxa"/>
          </w:tcPr>
          <w:p w14:paraId="572FF3C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500-100</w:t>
            </w:r>
          </w:p>
        </w:tc>
        <w:tc>
          <w:tcPr>
            <w:tcW w:w="690" w:type="dxa"/>
          </w:tcPr>
          <w:p w14:paraId="65A7507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2580</w:t>
            </w:r>
          </w:p>
        </w:tc>
        <w:tc>
          <w:tcPr>
            <w:tcW w:w="690" w:type="dxa"/>
          </w:tcPr>
          <w:p w14:paraId="5EC6A9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385</w:t>
            </w:r>
          </w:p>
        </w:tc>
        <w:tc>
          <w:tcPr>
            <w:tcW w:w="690" w:type="dxa"/>
          </w:tcPr>
          <w:p w14:paraId="066C8BF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1800</w:t>
            </w:r>
          </w:p>
        </w:tc>
        <w:tc>
          <w:tcPr>
            <w:tcW w:w="690" w:type="dxa"/>
          </w:tcPr>
          <w:p w14:paraId="0D41631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265</w:t>
            </w:r>
          </w:p>
        </w:tc>
        <w:tc>
          <w:tcPr>
            <w:tcW w:w="1494" w:type="dxa"/>
          </w:tcPr>
          <w:p w14:paraId="20820D5E" w14:textId="77777777" w:rsidR="00531570" w:rsidRPr="00D03F3E" w:rsidRDefault="00531570" w:rsidP="00D03F3E">
            <w:pPr>
              <w:pStyle w:val="Iauiue"/>
              <w:jc w:val="both"/>
              <w:rPr>
                <w:color w:val="000000" w:themeColor="text1"/>
                <w:sz w:val="16"/>
                <w:szCs w:val="16"/>
              </w:rPr>
            </w:pPr>
          </w:p>
        </w:tc>
      </w:tr>
      <w:tr w:rsidR="00860B4B" w:rsidRPr="00D03F3E" w14:paraId="2DEA65C0" w14:textId="77777777">
        <w:tc>
          <w:tcPr>
            <w:tcW w:w="1526" w:type="dxa"/>
          </w:tcPr>
          <w:p w14:paraId="2E75D73E" w14:textId="77777777" w:rsidR="00531570" w:rsidRPr="00D03F3E" w:rsidRDefault="00531570" w:rsidP="00D03F3E">
            <w:pPr>
              <w:pStyle w:val="Iauiue"/>
              <w:jc w:val="both"/>
              <w:rPr>
                <w:color w:val="000000" w:themeColor="text1"/>
                <w:sz w:val="16"/>
                <w:szCs w:val="16"/>
              </w:rPr>
            </w:pPr>
          </w:p>
        </w:tc>
        <w:tc>
          <w:tcPr>
            <w:tcW w:w="746" w:type="dxa"/>
          </w:tcPr>
          <w:p w14:paraId="79CF2522" w14:textId="77777777" w:rsidR="00531570" w:rsidRPr="00D03F3E" w:rsidRDefault="00531570" w:rsidP="00D03F3E">
            <w:pPr>
              <w:pStyle w:val="Iauiue"/>
              <w:jc w:val="both"/>
              <w:rPr>
                <w:color w:val="000000" w:themeColor="text1"/>
                <w:sz w:val="16"/>
                <w:szCs w:val="16"/>
              </w:rPr>
            </w:pPr>
          </w:p>
        </w:tc>
        <w:tc>
          <w:tcPr>
            <w:tcW w:w="746" w:type="dxa"/>
          </w:tcPr>
          <w:p w14:paraId="1AD091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560</w:t>
            </w:r>
          </w:p>
        </w:tc>
        <w:tc>
          <w:tcPr>
            <w:tcW w:w="746" w:type="dxa"/>
          </w:tcPr>
          <w:p w14:paraId="4E73302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870</w:t>
            </w:r>
          </w:p>
        </w:tc>
        <w:tc>
          <w:tcPr>
            <w:tcW w:w="746" w:type="dxa"/>
          </w:tcPr>
          <w:p w14:paraId="340B797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1-25</w:t>
            </w:r>
          </w:p>
        </w:tc>
        <w:tc>
          <w:tcPr>
            <w:tcW w:w="746" w:type="dxa"/>
          </w:tcPr>
          <w:p w14:paraId="373F017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3-05</w:t>
            </w:r>
          </w:p>
        </w:tc>
        <w:tc>
          <w:tcPr>
            <w:tcW w:w="1089" w:type="dxa"/>
          </w:tcPr>
          <w:p w14:paraId="072870D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w:t>
            </w:r>
          </w:p>
        </w:tc>
        <w:tc>
          <w:tcPr>
            <w:tcW w:w="690" w:type="dxa"/>
          </w:tcPr>
          <w:p w14:paraId="357E12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2550</w:t>
            </w:r>
          </w:p>
        </w:tc>
        <w:tc>
          <w:tcPr>
            <w:tcW w:w="690" w:type="dxa"/>
          </w:tcPr>
          <w:p w14:paraId="408FA7F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380</w:t>
            </w:r>
          </w:p>
        </w:tc>
        <w:tc>
          <w:tcPr>
            <w:tcW w:w="690" w:type="dxa"/>
          </w:tcPr>
          <w:p w14:paraId="622AE8A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1800</w:t>
            </w:r>
          </w:p>
        </w:tc>
        <w:tc>
          <w:tcPr>
            <w:tcW w:w="690" w:type="dxa"/>
          </w:tcPr>
          <w:p w14:paraId="232CEEB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265</w:t>
            </w:r>
          </w:p>
        </w:tc>
        <w:tc>
          <w:tcPr>
            <w:tcW w:w="1494" w:type="dxa"/>
          </w:tcPr>
          <w:p w14:paraId="0DCDDED6" w14:textId="77777777" w:rsidR="00531570" w:rsidRPr="00D03F3E" w:rsidRDefault="00531570" w:rsidP="00D03F3E">
            <w:pPr>
              <w:pStyle w:val="Iauiue"/>
              <w:jc w:val="both"/>
              <w:rPr>
                <w:color w:val="000000" w:themeColor="text1"/>
                <w:sz w:val="16"/>
                <w:szCs w:val="16"/>
              </w:rPr>
            </w:pPr>
          </w:p>
        </w:tc>
      </w:tr>
      <w:tr w:rsidR="00860B4B" w:rsidRPr="00D03F3E" w14:paraId="6E60DBE3" w14:textId="77777777">
        <w:tc>
          <w:tcPr>
            <w:tcW w:w="1526" w:type="dxa"/>
          </w:tcPr>
          <w:p w14:paraId="144E3E76" w14:textId="77777777" w:rsidR="00531570" w:rsidRPr="00D03F3E" w:rsidRDefault="00531570" w:rsidP="00D03F3E">
            <w:pPr>
              <w:pStyle w:val="Iauiue"/>
              <w:jc w:val="both"/>
              <w:rPr>
                <w:color w:val="000000" w:themeColor="text1"/>
                <w:sz w:val="16"/>
                <w:szCs w:val="16"/>
              </w:rPr>
            </w:pPr>
          </w:p>
        </w:tc>
        <w:tc>
          <w:tcPr>
            <w:tcW w:w="746" w:type="dxa"/>
          </w:tcPr>
          <w:p w14:paraId="18BEE1D4" w14:textId="77777777" w:rsidR="00531570" w:rsidRPr="00D03F3E" w:rsidRDefault="00531570" w:rsidP="00D03F3E">
            <w:pPr>
              <w:pStyle w:val="Iauiue"/>
              <w:jc w:val="both"/>
              <w:rPr>
                <w:color w:val="000000" w:themeColor="text1"/>
                <w:sz w:val="16"/>
                <w:szCs w:val="16"/>
              </w:rPr>
            </w:pPr>
          </w:p>
        </w:tc>
        <w:tc>
          <w:tcPr>
            <w:tcW w:w="746" w:type="dxa"/>
          </w:tcPr>
          <w:p w14:paraId="6DEA34E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550</w:t>
            </w:r>
          </w:p>
        </w:tc>
        <w:tc>
          <w:tcPr>
            <w:tcW w:w="746" w:type="dxa"/>
          </w:tcPr>
          <w:p w14:paraId="4CFBF57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820</w:t>
            </w:r>
          </w:p>
        </w:tc>
        <w:tc>
          <w:tcPr>
            <w:tcW w:w="746" w:type="dxa"/>
          </w:tcPr>
          <w:p w14:paraId="790543D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1-17</w:t>
            </w:r>
          </w:p>
        </w:tc>
        <w:tc>
          <w:tcPr>
            <w:tcW w:w="746" w:type="dxa"/>
          </w:tcPr>
          <w:p w14:paraId="5A07F52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2-43</w:t>
            </w:r>
          </w:p>
        </w:tc>
        <w:tc>
          <w:tcPr>
            <w:tcW w:w="1089" w:type="dxa"/>
          </w:tcPr>
          <w:p w14:paraId="7E55C58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3000</w:t>
            </w:r>
          </w:p>
        </w:tc>
        <w:tc>
          <w:tcPr>
            <w:tcW w:w="690" w:type="dxa"/>
          </w:tcPr>
          <w:p w14:paraId="3B884B8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2580</w:t>
            </w:r>
          </w:p>
        </w:tc>
        <w:tc>
          <w:tcPr>
            <w:tcW w:w="690" w:type="dxa"/>
          </w:tcPr>
          <w:p w14:paraId="76C722F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375</w:t>
            </w:r>
          </w:p>
        </w:tc>
        <w:tc>
          <w:tcPr>
            <w:tcW w:w="690" w:type="dxa"/>
          </w:tcPr>
          <w:p w14:paraId="5095F15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1800</w:t>
            </w:r>
          </w:p>
        </w:tc>
        <w:tc>
          <w:tcPr>
            <w:tcW w:w="690" w:type="dxa"/>
          </w:tcPr>
          <w:p w14:paraId="23578D4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265</w:t>
            </w:r>
          </w:p>
        </w:tc>
        <w:tc>
          <w:tcPr>
            <w:tcW w:w="1494" w:type="dxa"/>
          </w:tcPr>
          <w:p w14:paraId="70D31F33" w14:textId="77777777" w:rsidR="00531570" w:rsidRPr="00D03F3E" w:rsidRDefault="00531570" w:rsidP="00D03F3E">
            <w:pPr>
              <w:pStyle w:val="Iauiue"/>
              <w:jc w:val="both"/>
              <w:rPr>
                <w:color w:val="000000" w:themeColor="text1"/>
                <w:sz w:val="16"/>
                <w:szCs w:val="16"/>
              </w:rPr>
            </w:pPr>
          </w:p>
        </w:tc>
      </w:tr>
      <w:tr w:rsidR="00860B4B" w:rsidRPr="00D03F3E" w14:paraId="4D8F63C5" w14:textId="77777777">
        <w:tc>
          <w:tcPr>
            <w:tcW w:w="1526" w:type="dxa"/>
          </w:tcPr>
          <w:p w14:paraId="14E0971E" w14:textId="77777777" w:rsidR="00531570" w:rsidRPr="00D03F3E" w:rsidRDefault="00531570" w:rsidP="00D03F3E">
            <w:pPr>
              <w:pStyle w:val="Iauiue"/>
              <w:jc w:val="both"/>
              <w:rPr>
                <w:color w:val="000000" w:themeColor="text1"/>
                <w:sz w:val="16"/>
                <w:szCs w:val="16"/>
              </w:rPr>
            </w:pPr>
          </w:p>
        </w:tc>
        <w:tc>
          <w:tcPr>
            <w:tcW w:w="746" w:type="dxa"/>
          </w:tcPr>
          <w:p w14:paraId="071212EC" w14:textId="77777777" w:rsidR="00531570" w:rsidRPr="00D03F3E" w:rsidRDefault="00531570" w:rsidP="00D03F3E">
            <w:pPr>
              <w:pStyle w:val="Iauiue"/>
              <w:jc w:val="both"/>
              <w:rPr>
                <w:color w:val="000000" w:themeColor="text1"/>
                <w:sz w:val="16"/>
                <w:szCs w:val="16"/>
              </w:rPr>
            </w:pPr>
          </w:p>
        </w:tc>
        <w:tc>
          <w:tcPr>
            <w:tcW w:w="746" w:type="dxa"/>
          </w:tcPr>
          <w:p w14:paraId="5B6CA3F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620</w:t>
            </w:r>
          </w:p>
        </w:tc>
        <w:tc>
          <w:tcPr>
            <w:tcW w:w="746" w:type="dxa"/>
          </w:tcPr>
          <w:p w14:paraId="71DB892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790</w:t>
            </w:r>
          </w:p>
        </w:tc>
        <w:tc>
          <w:tcPr>
            <w:tcW w:w="746" w:type="dxa"/>
          </w:tcPr>
          <w:p w14:paraId="0E29AD7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1-23</w:t>
            </w:r>
          </w:p>
        </w:tc>
        <w:tc>
          <w:tcPr>
            <w:tcW w:w="746" w:type="dxa"/>
          </w:tcPr>
          <w:p w14:paraId="6FF11B8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2-10</w:t>
            </w:r>
          </w:p>
        </w:tc>
        <w:tc>
          <w:tcPr>
            <w:tcW w:w="1089" w:type="dxa"/>
          </w:tcPr>
          <w:p w14:paraId="0FB9EDB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5000</w:t>
            </w:r>
          </w:p>
        </w:tc>
        <w:tc>
          <w:tcPr>
            <w:tcW w:w="690" w:type="dxa"/>
          </w:tcPr>
          <w:p w14:paraId="6AE0B5F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2560</w:t>
            </w:r>
          </w:p>
        </w:tc>
        <w:tc>
          <w:tcPr>
            <w:tcW w:w="690" w:type="dxa"/>
          </w:tcPr>
          <w:p w14:paraId="49B242B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345</w:t>
            </w:r>
          </w:p>
        </w:tc>
        <w:tc>
          <w:tcPr>
            <w:tcW w:w="690" w:type="dxa"/>
          </w:tcPr>
          <w:p w14:paraId="56B71D8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1800</w:t>
            </w:r>
          </w:p>
        </w:tc>
        <w:tc>
          <w:tcPr>
            <w:tcW w:w="690" w:type="dxa"/>
          </w:tcPr>
          <w:p w14:paraId="49F3DDB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265</w:t>
            </w:r>
          </w:p>
        </w:tc>
        <w:tc>
          <w:tcPr>
            <w:tcW w:w="1494" w:type="dxa"/>
          </w:tcPr>
          <w:p w14:paraId="2B8CA47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Смесь бедная.</w:t>
            </w:r>
          </w:p>
        </w:tc>
      </w:tr>
      <w:tr w:rsidR="00860B4B" w:rsidRPr="00D03F3E" w14:paraId="435D2B5B" w14:textId="77777777">
        <w:tc>
          <w:tcPr>
            <w:tcW w:w="1526" w:type="dxa"/>
          </w:tcPr>
          <w:p w14:paraId="10F348E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Мустанг с</w:t>
            </w:r>
          </w:p>
        </w:tc>
        <w:tc>
          <w:tcPr>
            <w:tcW w:w="746" w:type="dxa"/>
          </w:tcPr>
          <w:p w14:paraId="60413CB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636</w:t>
            </w:r>
          </w:p>
        </w:tc>
        <w:tc>
          <w:tcPr>
            <w:tcW w:w="746" w:type="dxa"/>
          </w:tcPr>
          <w:p w14:paraId="41C3B83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1410</w:t>
            </w:r>
          </w:p>
        </w:tc>
        <w:tc>
          <w:tcPr>
            <w:tcW w:w="746" w:type="dxa"/>
          </w:tcPr>
          <w:p w14:paraId="0C7EC72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1620</w:t>
            </w:r>
          </w:p>
        </w:tc>
        <w:tc>
          <w:tcPr>
            <w:tcW w:w="746" w:type="dxa"/>
          </w:tcPr>
          <w:p w14:paraId="76AA432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3-25</w:t>
            </w:r>
          </w:p>
        </w:tc>
        <w:tc>
          <w:tcPr>
            <w:tcW w:w="746" w:type="dxa"/>
          </w:tcPr>
          <w:p w14:paraId="7CE0482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5-26</w:t>
            </w:r>
          </w:p>
        </w:tc>
        <w:tc>
          <w:tcPr>
            <w:tcW w:w="1089" w:type="dxa"/>
          </w:tcPr>
          <w:p w14:paraId="433BDCC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11.2-1040</w:t>
            </w:r>
          </w:p>
        </w:tc>
        <w:tc>
          <w:tcPr>
            <w:tcW w:w="690" w:type="dxa"/>
          </w:tcPr>
          <w:p w14:paraId="6A9085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2200</w:t>
            </w:r>
          </w:p>
        </w:tc>
        <w:tc>
          <w:tcPr>
            <w:tcW w:w="690" w:type="dxa"/>
          </w:tcPr>
          <w:p w14:paraId="4561FBE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390</w:t>
            </w:r>
          </w:p>
        </w:tc>
        <w:tc>
          <w:tcPr>
            <w:tcW w:w="690" w:type="dxa"/>
          </w:tcPr>
          <w:p w14:paraId="5B088A2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1950</w:t>
            </w:r>
          </w:p>
        </w:tc>
        <w:tc>
          <w:tcPr>
            <w:tcW w:w="690" w:type="dxa"/>
          </w:tcPr>
          <w:p w14:paraId="71A9DD5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275</w:t>
            </w:r>
          </w:p>
        </w:tc>
        <w:tc>
          <w:tcPr>
            <w:tcW w:w="1494" w:type="dxa"/>
          </w:tcPr>
          <w:p w14:paraId="1C9CB87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Смесь бедная.</w:t>
            </w:r>
          </w:p>
        </w:tc>
      </w:tr>
      <w:tr w:rsidR="00860B4B" w:rsidRPr="00D03F3E" w14:paraId="345BEB25" w14:textId="77777777">
        <w:tc>
          <w:tcPr>
            <w:tcW w:w="1526" w:type="dxa"/>
          </w:tcPr>
          <w:p w14:paraId="68552D8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Мотором Аллисон</w:t>
            </w:r>
          </w:p>
        </w:tc>
        <w:tc>
          <w:tcPr>
            <w:tcW w:w="746" w:type="dxa"/>
          </w:tcPr>
          <w:p w14:paraId="26BF99D6" w14:textId="77777777" w:rsidR="00531570" w:rsidRPr="00D03F3E" w:rsidRDefault="00531570" w:rsidP="00D03F3E">
            <w:pPr>
              <w:pStyle w:val="Iauiue"/>
              <w:jc w:val="both"/>
              <w:rPr>
                <w:color w:val="000000" w:themeColor="text1"/>
                <w:sz w:val="16"/>
                <w:szCs w:val="16"/>
              </w:rPr>
            </w:pPr>
          </w:p>
        </w:tc>
        <w:tc>
          <w:tcPr>
            <w:tcW w:w="746" w:type="dxa"/>
          </w:tcPr>
          <w:p w14:paraId="1F7D76C5" w14:textId="77777777" w:rsidR="00531570" w:rsidRPr="00D03F3E" w:rsidRDefault="00531570" w:rsidP="00D03F3E">
            <w:pPr>
              <w:pStyle w:val="Iauiue"/>
              <w:jc w:val="both"/>
              <w:rPr>
                <w:color w:val="000000" w:themeColor="text1"/>
                <w:sz w:val="16"/>
                <w:szCs w:val="16"/>
              </w:rPr>
            </w:pPr>
          </w:p>
        </w:tc>
        <w:tc>
          <w:tcPr>
            <w:tcW w:w="746" w:type="dxa"/>
          </w:tcPr>
          <w:p w14:paraId="2B4216BE" w14:textId="77777777" w:rsidR="00531570" w:rsidRPr="00D03F3E" w:rsidRDefault="00531570" w:rsidP="00D03F3E">
            <w:pPr>
              <w:pStyle w:val="Iauiue"/>
              <w:jc w:val="both"/>
              <w:rPr>
                <w:color w:val="000000" w:themeColor="text1"/>
                <w:sz w:val="16"/>
                <w:szCs w:val="16"/>
              </w:rPr>
            </w:pPr>
          </w:p>
        </w:tc>
        <w:tc>
          <w:tcPr>
            <w:tcW w:w="746" w:type="dxa"/>
          </w:tcPr>
          <w:p w14:paraId="216F5330" w14:textId="77777777" w:rsidR="00531570" w:rsidRPr="00D03F3E" w:rsidRDefault="00531570" w:rsidP="00D03F3E">
            <w:pPr>
              <w:pStyle w:val="Iauiue"/>
              <w:jc w:val="both"/>
              <w:rPr>
                <w:color w:val="000000" w:themeColor="text1"/>
                <w:sz w:val="16"/>
                <w:szCs w:val="16"/>
              </w:rPr>
            </w:pPr>
          </w:p>
        </w:tc>
        <w:tc>
          <w:tcPr>
            <w:tcW w:w="746" w:type="dxa"/>
          </w:tcPr>
          <w:p w14:paraId="46D71BF3" w14:textId="77777777" w:rsidR="00531570" w:rsidRPr="00D03F3E" w:rsidRDefault="00531570" w:rsidP="00D03F3E">
            <w:pPr>
              <w:pStyle w:val="Iauiue"/>
              <w:jc w:val="both"/>
              <w:rPr>
                <w:color w:val="000000" w:themeColor="text1"/>
                <w:sz w:val="16"/>
                <w:szCs w:val="16"/>
              </w:rPr>
            </w:pPr>
          </w:p>
        </w:tc>
        <w:tc>
          <w:tcPr>
            <w:tcW w:w="1089" w:type="dxa"/>
          </w:tcPr>
          <w:p w14:paraId="45580601" w14:textId="77777777" w:rsidR="00531570" w:rsidRPr="00D03F3E" w:rsidRDefault="00531570" w:rsidP="00D03F3E">
            <w:pPr>
              <w:pStyle w:val="Iauiue"/>
              <w:jc w:val="both"/>
              <w:rPr>
                <w:color w:val="000000" w:themeColor="text1"/>
                <w:sz w:val="16"/>
                <w:szCs w:val="16"/>
              </w:rPr>
            </w:pPr>
          </w:p>
        </w:tc>
        <w:tc>
          <w:tcPr>
            <w:tcW w:w="690" w:type="dxa"/>
          </w:tcPr>
          <w:p w14:paraId="5CEB2E33" w14:textId="77777777" w:rsidR="00531570" w:rsidRPr="00D03F3E" w:rsidRDefault="00531570" w:rsidP="00D03F3E">
            <w:pPr>
              <w:pStyle w:val="Iauiue"/>
              <w:jc w:val="both"/>
              <w:rPr>
                <w:color w:val="000000" w:themeColor="text1"/>
                <w:sz w:val="16"/>
                <w:szCs w:val="16"/>
              </w:rPr>
            </w:pPr>
          </w:p>
        </w:tc>
        <w:tc>
          <w:tcPr>
            <w:tcW w:w="690" w:type="dxa"/>
          </w:tcPr>
          <w:p w14:paraId="45585290" w14:textId="77777777" w:rsidR="00531570" w:rsidRPr="00D03F3E" w:rsidRDefault="00531570" w:rsidP="00D03F3E">
            <w:pPr>
              <w:pStyle w:val="Iauiue"/>
              <w:jc w:val="both"/>
              <w:rPr>
                <w:color w:val="000000" w:themeColor="text1"/>
                <w:sz w:val="16"/>
                <w:szCs w:val="16"/>
              </w:rPr>
            </w:pPr>
          </w:p>
        </w:tc>
        <w:tc>
          <w:tcPr>
            <w:tcW w:w="690" w:type="dxa"/>
          </w:tcPr>
          <w:p w14:paraId="686437B3" w14:textId="77777777" w:rsidR="00531570" w:rsidRPr="00D03F3E" w:rsidRDefault="00531570" w:rsidP="00D03F3E">
            <w:pPr>
              <w:pStyle w:val="Iauiue"/>
              <w:jc w:val="both"/>
              <w:rPr>
                <w:color w:val="000000" w:themeColor="text1"/>
                <w:sz w:val="16"/>
                <w:szCs w:val="16"/>
              </w:rPr>
            </w:pPr>
          </w:p>
        </w:tc>
        <w:tc>
          <w:tcPr>
            <w:tcW w:w="690" w:type="dxa"/>
          </w:tcPr>
          <w:p w14:paraId="67B9C29D" w14:textId="77777777" w:rsidR="00531570" w:rsidRPr="00D03F3E" w:rsidRDefault="00531570" w:rsidP="00D03F3E">
            <w:pPr>
              <w:pStyle w:val="Iauiue"/>
              <w:jc w:val="both"/>
              <w:rPr>
                <w:color w:val="000000" w:themeColor="text1"/>
                <w:sz w:val="16"/>
                <w:szCs w:val="16"/>
              </w:rPr>
            </w:pPr>
          </w:p>
        </w:tc>
        <w:tc>
          <w:tcPr>
            <w:tcW w:w="1494" w:type="dxa"/>
          </w:tcPr>
          <w:p w14:paraId="5C6BF326" w14:textId="77777777" w:rsidR="00531570" w:rsidRPr="00D03F3E" w:rsidRDefault="00531570" w:rsidP="00D03F3E">
            <w:pPr>
              <w:pStyle w:val="Iauiue"/>
              <w:jc w:val="both"/>
              <w:rPr>
                <w:color w:val="000000" w:themeColor="text1"/>
                <w:sz w:val="16"/>
                <w:szCs w:val="16"/>
              </w:rPr>
            </w:pPr>
          </w:p>
        </w:tc>
      </w:tr>
      <w:tr w:rsidR="00860B4B" w:rsidRPr="00D03F3E" w14:paraId="01AC9904" w14:textId="77777777">
        <w:tc>
          <w:tcPr>
            <w:tcW w:w="1526" w:type="dxa"/>
          </w:tcPr>
          <w:p w14:paraId="4558CB5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V-1710-3</w:t>
            </w:r>
          </w:p>
        </w:tc>
        <w:tc>
          <w:tcPr>
            <w:tcW w:w="746" w:type="dxa"/>
          </w:tcPr>
          <w:p w14:paraId="7A7D03AB" w14:textId="77777777" w:rsidR="00531570" w:rsidRPr="00D03F3E" w:rsidRDefault="00531570" w:rsidP="00D03F3E">
            <w:pPr>
              <w:pStyle w:val="Iauiue"/>
              <w:jc w:val="both"/>
              <w:rPr>
                <w:color w:val="000000" w:themeColor="text1"/>
                <w:sz w:val="16"/>
                <w:szCs w:val="16"/>
              </w:rPr>
            </w:pPr>
          </w:p>
        </w:tc>
        <w:tc>
          <w:tcPr>
            <w:tcW w:w="746" w:type="dxa"/>
          </w:tcPr>
          <w:p w14:paraId="2902B321" w14:textId="77777777" w:rsidR="00531570" w:rsidRPr="00D03F3E" w:rsidRDefault="00531570" w:rsidP="00D03F3E">
            <w:pPr>
              <w:pStyle w:val="Iauiue"/>
              <w:jc w:val="both"/>
              <w:rPr>
                <w:color w:val="000000" w:themeColor="text1"/>
                <w:sz w:val="16"/>
                <w:szCs w:val="16"/>
              </w:rPr>
            </w:pPr>
          </w:p>
        </w:tc>
        <w:tc>
          <w:tcPr>
            <w:tcW w:w="746" w:type="dxa"/>
          </w:tcPr>
          <w:p w14:paraId="679EC424" w14:textId="77777777" w:rsidR="00531570" w:rsidRPr="00D03F3E" w:rsidRDefault="00531570" w:rsidP="00D03F3E">
            <w:pPr>
              <w:pStyle w:val="Iauiue"/>
              <w:jc w:val="both"/>
              <w:rPr>
                <w:color w:val="000000" w:themeColor="text1"/>
                <w:sz w:val="16"/>
                <w:szCs w:val="16"/>
              </w:rPr>
            </w:pPr>
          </w:p>
        </w:tc>
        <w:tc>
          <w:tcPr>
            <w:tcW w:w="746" w:type="dxa"/>
          </w:tcPr>
          <w:p w14:paraId="50D77A09" w14:textId="77777777" w:rsidR="00531570" w:rsidRPr="00D03F3E" w:rsidRDefault="00531570" w:rsidP="00D03F3E">
            <w:pPr>
              <w:pStyle w:val="Iauiue"/>
              <w:jc w:val="both"/>
              <w:rPr>
                <w:color w:val="000000" w:themeColor="text1"/>
                <w:sz w:val="16"/>
                <w:szCs w:val="16"/>
              </w:rPr>
            </w:pPr>
          </w:p>
        </w:tc>
        <w:tc>
          <w:tcPr>
            <w:tcW w:w="746" w:type="dxa"/>
          </w:tcPr>
          <w:p w14:paraId="757186C1" w14:textId="77777777" w:rsidR="00531570" w:rsidRPr="00D03F3E" w:rsidRDefault="00531570" w:rsidP="00D03F3E">
            <w:pPr>
              <w:pStyle w:val="Iauiue"/>
              <w:jc w:val="both"/>
              <w:rPr>
                <w:color w:val="000000" w:themeColor="text1"/>
                <w:sz w:val="16"/>
                <w:szCs w:val="16"/>
              </w:rPr>
            </w:pPr>
          </w:p>
        </w:tc>
        <w:tc>
          <w:tcPr>
            <w:tcW w:w="1089" w:type="dxa"/>
          </w:tcPr>
          <w:p w14:paraId="1F4B9200" w14:textId="77777777" w:rsidR="00531570" w:rsidRPr="00D03F3E" w:rsidRDefault="00531570" w:rsidP="00D03F3E">
            <w:pPr>
              <w:pStyle w:val="Iauiue"/>
              <w:jc w:val="both"/>
              <w:rPr>
                <w:color w:val="000000" w:themeColor="text1"/>
                <w:sz w:val="16"/>
                <w:szCs w:val="16"/>
              </w:rPr>
            </w:pPr>
          </w:p>
        </w:tc>
        <w:tc>
          <w:tcPr>
            <w:tcW w:w="690" w:type="dxa"/>
          </w:tcPr>
          <w:p w14:paraId="312CD574" w14:textId="77777777" w:rsidR="00531570" w:rsidRPr="00D03F3E" w:rsidRDefault="00531570" w:rsidP="00D03F3E">
            <w:pPr>
              <w:pStyle w:val="Iauiue"/>
              <w:jc w:val="both"/>
              <w:rPr>
                <w:color w:val="000000" w:themeColor="text1"/>
                <w:sz w:val="16"/>
                <w:szCs w:val="16"/>
              </w:rPr>
            </w:pPr>
          </w:p>
        </w:tc>
        <w:tc>
          <w:tcPr>
            <w:tcW w:w="690" w:type="dxa"/>
          </w:tcPr>
          <w:p w14:paraId="2005999C" w14:textId="77777777" w:rsidR="00531570" w:rsidRPr="00D03F3E" w:rsidRDefault="00531570" w:rsidP="00D03F3E">
            <w:pPr>
              <w:pStyle w:val="Iauiue"/>
              <w:jc w:val="both"/>
              <w:rPr>
                <w:color w:val="000000" w:themeColor="text1"/>
                <w:sz w:val="16"/>
                <w:szCs w:val="16"/>
              </w:rPr>
            </w:pPr>
          </w:p>
        </w:tc>
        <w:tc>
          <w:tcPr>
            <w:tcW w:w="690" w:type="dxa"/>
          </w:tcPr>
          <w:p w14:paraId="11E2C0AE" w14:textId="77777777" w:rsidR="00531570" w:rsidRPr="00D03F3E" w:rsidRDefault="00531570" w:rsidP="00D03F3E">
            <w:pPr>
              <w:pStyle w:val="Iauiue"/>
              <w:jc w:val="both"/>
              <w:rPr>
                <w:color w:val="000000" w:themeColor="text1"/>
                <w:sz w:val="16"/>
                <w:szCs w:val="16"/>
              </w:rPr>
            </w:pPr>
          </w:p>
        </w:tc>
        <w:tc>
          <w:tcPr>
            <w:tcW w:w="690" w:type="dxa"/>
          </w:tcPr>
          <w:p w14:paraId="43067FDE" w14:textId="77777777" w:rsidR="00531570" w:rsidRPr="00D03F3E" w:rsidRDefault="00531570" w:rsidP="00D03F3E">
            <w:pPr>
              <w:pStyle w:val="Iauiue"/>
              <w:jc w:val="both"/>
              <w:rPr>
                <w:color w:val="000000" w:themeColor="text1"/>
                <w:sz w:val="16"/>
                <w:szCs w:val="16"/>
              </w:rPr>
            </w:pPr>
          </w:p>
        </w:tc>
        <w:tc>
          <w:tcPr>
            <w:tcW w:w="1494" w:type="dxa"/>
          </w:tcPr>
          <w:p w14:paraId="6B644B60" w14:textId="77777777" w:rsidR="00531570" w:rsidRPr="00D03F3E" w:rsidRDefault="00531570" w:rsidP="00D03F3E">
            <w:pPr>
              <w:pStyle w:val="Iauiue"/>
              <w:jc w:val="both"/>
              <w:rPr>
                <w:color w:val="000000" w:themeColor="text1"/>
                <w:sz w:val="16"/>
                <w:szCs w:val="16"/>
              </w:rPr>
            </w:pPr>
          </w:p>
        </w:tc>
      </w:tr>
      <w:tr w:rsidR="00860B4B" w:rsidRPr="00D03F3E" w14:paraId="52A27CF9" w14:textId="77777777">
        <w:tc>
          <w:tcPr>
            <w:tcW w:w="1526" w:type="dxa"/>
          </w:tcPr>
          <w:p w14:paraId="5576DAB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Спитфайр 5В </w:t>
            </w:r>
          </w:p>
        </w:tc>
        <w:tc>
          <w:tcPr>
            <w:tcW w:w="746" w:type="dxa"/>
          </w:tcPr>
          <w:p w14:paraId="4BB2458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386</w:t>
            </w:r>
          </w:p>
        </w:tc>
        <w:tc>
          <w:tcPr>
            <w:tcW w:w="746" w:type="dxa"/>
          </w:tcPr>
          <w:p w14:paraId="1123083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612</w:t>
            </w:r>
          </w:p>
        </w:tc>
        <w:tc>
          <w:tcPr>
            <w:tcW w:w="746" w:type="dxa"/>
          </w:tcPr>
          <w:p w14:paraId="07FFFA1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746" w:type="dxa"/>
          </w:tcPr>
          <w:p w14:paraId="0229BD0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1-13</w:t>
            </w:r>
          </w:p>
        </w:tc>
        <w:tc>
          <w:tcPr>
            <w:tcW w:w="746" w:type="dxa"/>
          </w:tcPr>
          <w:p w14:paraId="1644FD9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1089" w:type="dxa"/>
          </w:tcPr>
          <w:p w14:paraId="6FC0AFF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7000</w:t>
            </w:r>
          </w:p>
        </w:tc>
        <w:tc>
          <w:tcPr>
            <w:tcW w:w="690" w:type="dxa"/>
          </w:tcPr>
          <w:p w14:paraId="4E2AA29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2650</w:t>
            </w:r>
          </w:p>
        </w:tc>
        <w:tc>
          <w:tcPr>
            <w:tcW w:w="690" w:type="dxa"/>
          </w:tcPr>
          <w:p w14:paraId="54AC666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384</w:t>
            </w:r>
          </w:p>
        </w:tc>
        <w:tc>
          <w:tcPr>
            <w:tcW w:w="690" w:type="dxa"/>
          </w:tcPr>
          <w:p w14:paraId="74E063D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690" w:type="dxa"/>
          </w:tcPr>
          <w:p w14:paraId="5F6214D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1494" w:type="dxa"/>
          </w:tcPr>
          <w:p w14:paraId="50C5E30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Смесь богатая.</w:t>
            </w:r>
          </w:p>
        </w:tc>
      </w:tr>
      <w:tr w:rsidR="00860B4B" w:rsidRPr="00D03F3E" w14:paraId="0279BCD8" w14:textId="77777777">
        <w:tc>
          <w:tcPr>
            <w:tcW w:w="1526" w:type="dxa"/>
          </w:tcPr>
          <w:p w14:paraId="3EA12D9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мотором</w:t>
            </w:r>
          </w:p>
        </w:tc>
        <w:tc>
          <w:tcPr>
            <w:tcW w:w="746" w:type="dxa"/>
          </w:tcPr>
          <w:p w14:paraId="485F6248" w14:textId="77777777" w:rsidR="00531570" w:rsidRPr="00D03F3E" w:rsidRDefault="00531570" w:rsidP="00D03F3E">
            <w:pPr>
              <w:pStyle w:val="Iauiue"/>
              <w:jc w:val="both"/>
              <w:rPr>
                <w:color w:val="000000" w:themeColor="text1"/>
                <w:sz w:val="16"/>
                <w:szCs w:val="16"/>
              </w:rPr>
            </w:pPr>
          </w:p>
        </w:tc>
        <w:tc>
          <w:tcPr>
            <w:tcW w:w="746" w:type="dxa"/>
          </w:tcPr>
          <w:p w14:paraId="0E4A4F3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746" w:type="dxa"/>
          </w:tcPr>
          <w:p w14:paraId="53CE539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747</w:t>
            </w:r>
          </w:p>
        </w:tc>
        <w:tc>
          <w:tcPr>
            <w:tcW w:w="746" w:type="dxa"/>
          </w:tcPr>
          <w:p w14:paraId="2D689FF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746" w:type="dxa"/>
          </w:tcPr>
          <w:p w14:paraId="21CCB83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2-55</w:t>
            </w:r>
          </w:p>
        </w:tc>
        <w:tc>
          <w:tcPr>
            <w:tcW w:w="1089" w:type="dxa"/>
          </w:tcPr>
          <w:p w14:paraId="45C403C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w:t>
            </w:r>
          </w:p>
        </w:tc>
        <w:tc>
          <w:tcPr>
            <w:tcW w:w="690" w:type="dxa"/>
          </w:tcPr>
          <w:p w14:paraId="0BD0BA9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690" w:type="dxa"/>
          </w:tcPr>
          <w:p w14:paraId="6191E9A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690" w:type="dxa"/>
          </w:tcPr>
          <w:p w14:paraId="35BE50A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1850</w:t>
            </w:r>
          </w:p>
        </w:tc>
        <w:tc>
          <w:tcPr>
            <w:tcW w:w="690" w:type="dxa"/>
          </w:tcPr>
          <w:p w14:paraId="61285F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240</w:t>
            </w:r>
          </w:p>
        </w:tc>
        <w:tc>
          <w:tcPr>
            <w:tcW w:w="1494" w:type="dxa"/>
          </w:tcPr>
          <w:p w14:paraId="64DCB78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Смесь бедная.</w:t>
            </w:r>
          </w:p>
        </w:tc>
      </w:tr>
      <w:tr w:rsidR="00860B4B" w:rsidRPr="00D03F3E" w14:paraId="26F57003" w14:textId="77777777">
        <w:tc>
          <w:tcPr>
            <w:tcW w:w="1526" w:type="dxa"/>
          </w:tcPr>
          <w:p w14:paraId="134E552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Мерлин-45</w:t>
            </w:r>
          </w:p>
        </w:tc>
        <w:tc>
          <w:tcPr>
            <w:tcW w:w="746" w:type="dxa"/>
          </w:tcPr>
          <w:p w14:paraId="3F268DB8" w14:textId="77777777" w:rsidR="00531570" w:rsidRPr="00D03F3E" w:rsidRDefault="00531570" w:rsidP="00D03F3E">
            <w:pPr>
              <w:pStyle w:val="Iauiue"/>
              <w:jc w:val="both"/>
              <w:rPr>
                <w:color w:val="000000" w:themeColor="text1"/>
                <w:sz w:val="16"/>
                <w:szCs w:val="16"/>
              </w:rPr>
            </w:pPr>
          </w:p>
        </w:tc>
        <w:tc>
          <w:tcPr>
            <w:tcW w:w="746" w:type="dxa"/>
          </w:tcPr>
          <w:p w14:paraId="4517ABAD" w14:textId="77777777" w:rsidR="00531570" w:rsidRPr="00D03F3E" w:rsidRDefault="00531570" w:rsidP="00D03F3E">
            <w:pPr>
              <w:pStyle w:val="Iauiue"/>
              <w:jc w:val="both"/>
              <w:rPr>
                <w:color w:val="000000" w:themeColor="text1"/>
                <w:sz w:val="16"/>
                <w:szCs w:val="16"/>
              </w:rPr>
            </w:pPr>
          </w:p>
        </w:tc>
        <w:tc>
          <w:tcPr>
            <w:tcW w:w="746" w:type="dxa"/>
          </w:tcPr>
          <w:p w14:paraId="3821F1E7" w14:textId="77777777" w:rsidR="00531570" w:rsidRPr="00D03F3E" w:rsidRDefault="00531570" w:rsidP="00D03F3E">
            <w:pPr>
              <w:pStyle w:val="Iauiue"/>
              <w:jc w:val="both"/>
              <w:rPr>
                <w:color w:val="000000" w:themeColor="text1"/>
                <w:sz w:val="16"/>
                <w:szCs w:val="16"/>
              </w:rPr>
            </w:pPr>
          </w:p>
        </w:tc>
        <w:tc>
          <w:tcPr>
            <w:tcW w:w="746" w:type="dxa"/>
          </w:tcPr>
          <w:p w14:paraId="0949ED88" w14:textId="77777777" w:rsidR="00531570" w:rsidRPr="00D03F3E" w:rsidRDefault="00531570" w:rsidP="00D03F3E">
            <w:pPr>
              <w:pStyle w:val="Iauiue"/>
              <w:jc w:val="both"/>
              <w:rPr>
                <w:color w:val="000000" w:themeColor="text1"/>
                <w:sz w:val="16"/>
                <w:szCs w:val="16"/>
              </w:rPr>
            </w:pPr>
          </w:p>
        </w:tc>
        <w:tc>
          <w:tcPr>
            <w:tcW w:w="746" w:type="dxa"/>
          </w:tcPr>
          <w:p w14:paraId="742A403D" w14:textId="77777777" w:rsidR="00531570" w:rsidRPr="00D03F3E" w:rsidRDefault="00531570" w:rsidP="00D03F3E">
            <w:pPr>
              <w:pStyle w:val="Iauiue"/>
              <w:jc w:val="both"/>
              <w:rPr>
                <w:color w:val="000000" w:themeColor="text1"/>
                <w:sz w:val="16"/>
                <w:szCs w:val="16"/>
              </w:rPr>
            </w:pPr>
          </w:p>
        </w:tc>
        <w:tc>
          <w:tcPr>
            <w:tcW w:w="1089" w:type="dxa"/>
          </w:tcPr>
          <w:p w14:paraId="13EF4917" w14:textId="77777777" w:rsidR="00531570" w:rsidRPr="00D03F3E" w:rsidRDefault="00531570" w:rsidP="00D03F3E">
            <w:pPr>
              <w:pStyle w:val="Iauiue"/>
              <w:jc w:val="both"/>
              <w:rPr>
                <w:color w:val="000000" w:themeColor="text1"/>
                <w:sz w:val="16"/>
                <w:szCs w:val="16"/>
              </w:rPr>
            </w:pPr>
          </w:p>
        </w:tc>
        <w:tc>
          <w:tcPr>
            <w:tcW w:w="690" w:type="dxa"/>
          </w:tcPr>
          <w:p w14:paraId="5DD3C49B" w14:textId="77777777" w:rsidR="00531570" w:rsidRPr="00D03F3E" w:rsidRDefault="00531570" w:rsidP="00D03F3E">
            <w:pPr>
              <w:pStyle w:val="Iauiue"/>
              <w:jc w:val="both"/>
              <w:rPr>
                <w:color w:val="000000" w:themeColor="text1"/>
                <w:sz w:val="16"/>
                <w:szCs w:val="16"/>
              </w:rPr>
            </w:pPr>
          </w:p>
        </w:tc>
        <w:tc>
          <w:tcPr>
            <w:tcW w:w="690" w:type="dxa"/>
          </w:tcPr>
          <w:p w14:paraId="202A5291" w14:textId="77777777" w:rsidR="00531570" w:rsidRPr="00D03F3E" w:rsidRDefault="00531570" w:rsidP="00D03F3E">
            <w:pPr>
              <w:pStyle w:val="Iauiue"/>
              <w:jc w:val="both"/>
              <w:rPr>
                <w:color w:val="000000" w:themeColor="text1"/>
                <w:sz w:val="16"/>
                <w:szCs w:val="16"/>
              </w:rPr>
            </w:pPr>
          </w:p>
        </w:tc>
        <w:tc>
          <w:tcPr>
            <w:tcW w:w="690" w:type="dxa"/>
          </w:tcPr>
          <w:p w14:paraId="12AE3981" w14:textId="77777777" w:rsidR="00531570" w:rsidRPr="00D03F3E" w:rsidRDefault="00531570" w:rsidP="00D03F3E">
            <w:pPr>
              <w:pStyle w:val="Iauiue"/>
              <w:jc w:val="both"/>
              <w:rPr>
                <w:color w:val="000000" w:themeColor="text1"/>
                <w:sz w:val="16"/>
                <w:szCs w:val="16"/>
              </w:rPr>
            </w:pPr>
          </w:p>
        </w:tc>
        <w:tc>
          <w:tcPr>
            <w:tcW w:w="690" w:type="dxa"/>
          </w:tcPr>
          <w:p w14:paraId="40E0BF83" w14:textId="77777777" w:rsidR="00531570" w:rsidRPr="00D03F3E" w:rsidRDefault="00531570" w:rsidP="00D03F3E">
            <w:pPr>
              <w:pStyle w:val="Iauiue"/>
              <w:jc w:val="both"/>
              <w:rPr>
                <w:color w:val="000000" w:themeColor="text1"/>
                <w:sz w:val="16"/>
                <w:szCs w:val="16"/>
              </w:rPr>
            </w:pPr>
          </w:p>
        </w:tc>
        <w:tc>
          <w:tcPr>
            <w:tcW w:w="1494" w:type="dxa"/>
          </w:tcPr>
          <w:p w14:paraId="091FE088" w14:textId="77777777" w:rsidR="00531570" w:rsidRPr="00D03F3E" w:rsidRDefault="00531570" w:rsidP="00D03F3E">
            <w:pPr>
              <w:pStyle w:val="Iauiue"/>
              <w:jc w:val="both"/>
              <w:rPr>
                <w:color w:val="000000" w:themeColor="text1"/>
                <w:sz w:val="16"/>
                <w:szCs w:val="16"/>
              </w:rPr>
            </w:pPr>
          </w:p>
        </w:tc>
      </w:tr>
      <w:tr w:rsidR="00860B4B" w:rsidRPr="00D03F3E" w14:paraId="6B1CCB78" w14:textId="77777777">
        <w:tc>
          <w:tcPr>
            <w:tcW w:w="1526" w:type="dxa"/>
          </w:tcPr>
          <w:p w14:paraId="30D6FC2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Мессершмитт</w:t>
            </w:r>
          </w:p>
        </w:tc>
        <w:tc>
          <w:tcPr>
            <w:tcW w:w="746" w:type="dxa"/>
          </w:tcPr>
          <w:p w14:paraId="4295496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405</w:t>
            </w:r>
          </w:p>
        </w:tc>
        <w:tc>
          <w:tcPr>
            <w:tcW w:w="746" w:type="dxa"/>
          </w:tcPr>
          <w:p w14:paraId="742EB6D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520</w:t>
            </w:r>
          </w:p>
        </w:tc>
        <w:tc>
          <w:tcPr>
            <w:tcW w:w="746" w:type="dxa"/>
          </w:tcPr>
          <w:p w14:paraId="3F28FA3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730</w:t>
            </w:r>
          </w:p>
        </w:tc>
        <w:tc>
          <w:tcPr>
            <w:tcW w:w="746" w:type="dxa"/>
          </w:tcPr>
          <w:p w14:paraId="2214257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1-04</w:t>
            </w:r>
          </w:p>
        </w:tc>
        <w:tc>
          <w:tcPr>
            <w:tcW w:w="746" w:type="dxa"/>
          </w:tcPr>
          <w:p w14:paraId="79EE080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2-17</w:t>
            </w:r>
          </w:p>
        </w:tc>
        <w:tc>
          <w:tcPr>
            <w:tcW w:w="1089" w:type="dxa"/>
          </w:tcPr>
          <w:p w14:paraId="3BB66DB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w:t>
            </w:r>
          </w:p>
        </w:tc>
        <w:tc>
          <w:tcPr>
            <w:tcW w:w="690" w:type="dxa"/>
          </w:tcPr>
          <w:p w14:paraId="609C3E2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2300</w:t>
            </w:r>
          </w:p>
        </w:tc>
        <w:tc>
          <w:tcPr>
            <w:tcW w:w="690" w:type="dxa"/>
          </w:tcPr>
          <w:p w14:paraId="650A3AB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445</w:t>
            </w:r>
          </w:p>
        </w:tc>
        <w:tc>
          <w:tcPr>
            <w:tcW w:w="690" w:type="dxa"/>
          </w:tcPr>
          <w:p w14:paraId="547C17D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2100</w:t>
            </w:r>
          </w:p>
        </w:tc>
        <w:tc>
          <w:tcPr>
            <w:tcW w:w="690" w:type="dxa"/>
          </w:tcPr>
          <w:p w14:paraId="37AB48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295</w:t>
            </w:r>
          </w:p>
        </w:tc>
        <w:tc>
          <w:tcPr>
            <w:tcW w:w="1494" w:type="dxa"/>
          </w:tcPr>
          <w:p w14:paraId="4118AFC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Данные получены</w:t>
            </w:r>
          </w:p>
        </w:tc>
      </w:tr>
      <w:tr w:rsidR="00860B4B" w:rsidRPr="00D03F3E" w14:paraId="14609B04" w14:textId="77777777">
        <w:tc>
          <w:tcPr>
            <w:tcW w:w="1526" w:type="dxa"/>
          </w:tcPr>
          <w:p w14:paraId="4AB6BAC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109С-2 с мотором</w:t>
            </w:r>
          </w:p>
        </w:tc>
        <w:tc>
          <w:tcPr>
            <w:tcW w:w="746" w:type="dxa"/>
          </w:tcPr>
          <w:p w14:paraId="5F28F5DB" w14:textId="77777777" w:rsidR="00531570" w:rsidRPr="00D03F3E" w:rsidRDefault="00531570" w:rsidP="00D03F3E">
            <w:pPr>
              <w:pStyle w:val="Iauiue"/>
              <w:jc w:val="both"/>
              <w:rPr>
                <w:color w:val="000000" w:themeColor="text1"/>
                <w:sz w:val="16"/>
                <w:szCs w:val="16"/>
              </w:rPr>
            </w:pPr>
          </w:p>
        </w:tc>
        <w:tc>
          <w:tcPr>
            <w:tcW w:w="746" w:type="dxa"/>
          </w:tcPr>
          <w:p w14:paraId="416CB2E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545</w:t>
            </w:r>
          </w:p>
        </w:tc>
        <w:tc>
          <w:tcPr>
            <w:tcW w:w="746" w:type="dxa"/>
          </w:tcPr>
          <w:p w14:paraId="0218AB7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770</w:t>
            </w:r>
          </w:p>
        </w:tc>
        <w:tc>
          <w:tcPr>
            <w:tcW w:w="746" w:type="dxa"/>
          </w:tcPr>
          <w:p w14:paraId="0777337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1-02</w:t>
            </w:r>
          </w:p>
        </w:tc>
        <w:tc>
          <w:tcPr>
            <w:tcW w:w="746" w:type="dxa"/>
          </w:tcPr>
          <w:p w14:paraId="02FD8B3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2-12</w:t>
            </w:r>
          </w:p>
        </w:tc>
        <w:tc>
          <w:tcPr>
            <w:tcW w:w="1089" w:type="dxa"/>
          </w:tcPr>
          <w:p w14:paraId="53D360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3000</w:t>
            </w:r>
          </w:p>
        </w:tc>
        <w:tc>
          <w:tcPr>
            <w:tcW w:w="690" w:type="dxa"/>
          </w:tcPr>
          <w:p w14:paraId="6F19509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2300</w:t>
            </w:r>
          </w:p>
        </w:tc>
        <w:tc>
          <w:tcPr>
            <w:tcW w:w="690" w:type="dxa"/>
          </w:tcPr>
          <w:p w14:paraId="393651D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450</w:t>
            </w:r>
          </w:p>
        </w:tc>
        <w:tc>
          <w:tcPr>
            <w:tcW w:w="690" w:type="dxa"/>
          </w:tcPr>
          <w:p w14:paraId="73EF08A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2100</w:t>
            </w:r>
          </w:p>
        </w:tc>
        <w:tc>
          <w:tcPr>
            <w:tcW w:w="690" w:type="dxa"/>
          </w:tcPr>
          <w:p w14:paraId="342C2DE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295</w:t>
            </w:r>
          </w:p>
        </w:tc>
        <w:tc>
          <w:tcPr>
            <w:tcW w:w="1494" w:type="dxa"/>
          </w:tcPr>
          <w:p w14:paraId="1DE925E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расчетом.</w:t>
            </w:r>
          </w:p>
        </w:tc>
      </w:tr>
      <w:tr w:rsidR="00860B4B" w:rsidRPr="00D03F3E" w14:paraId="6142BC09" w14:textId="77777777">
        <w:tc>
          <w:tcPr>
            <w:tcW w:w="1526" w:type="dxa"/>
          </w:tcPr>
          <w:p w14:paraId="5927987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ДБ-605</w:t>
            </w:r>
          </w:p>
        </w:tc>
        <w:tc>
          <w:tcPr>
            <w:tcW w:w="746" w:type="dxa"/>
          </w:tcPr>
          <w:p w14:paraId="5F119115" w14:textId="77777777" w:rsidR="00531570" w:rsidRPr="00D03F3E" w:rsidRDefault="00531570" w:rsidP="00D03F3E">
            <w:pPr>
              <w:pStyle w:val="Iauiue"/>
              <w:jc w:val="both"/>
              <w:rPr>
                <w:color w:val="000000" w:themeColor="text1"/>
                <w:sz w:val="16"/>
                <w:szCs w:val="16"/>
              </w:rPr>
            </w:pPr>
          </w:p>
        </w:tc>
        <w:tc>
          <w:tcPr>
            <w:tcW w:w="746" w:type="dxa"/>
          </w:tcPr>
          <w:p w14:paraId="3FF7A9C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545</w:t>
            </w:r>
          </w:p>
        </w:tc>
        <w:tc>
          <w:tcPr>
            <w:tcW w:w="746" w:type="dxa"/>
          </w:tcPr>
          <w:p w14:paraId="1B38CDE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760</w:t>
            </w:r>
          </w:p>
        </w:tc>
        <w:tc>
          <w:tcPr>
            <w:tcW w:w="746" w:type="dxa"/>
          </w:tcPr>
          <w:p w14:paraId="6D40AB0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1-01</w:t>
            </w:r>
          </w:p>
        </w:tc>
        <w:tc>
          <w:tcPr>
            <w:tcW w:w="746" w:type="dxa"/>
          </w:tcPr>
          <w:p w14:paraId="64EE12A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2-09</w:t>
            </w:r>
          </w:p>
        </w:tc>
        <w:tc>
          <w:tcPr>
            <w:tcW w:w="1089" w:type="dxa"/>
          </w:tcPr>
          <w:p w14:paraId="1C4E1B6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5000</w:t>
            </w:r>
          </w:p>
        </w:tc>
        <w:tc>
          <w:tcPr>
            <w:tcW w:w="690" w:type="dxa"/>
          </w:tcPr>
          <w:p w14:paraId="7B7D577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2300</w:t>
            </w:r>
          </w:p>
        </w:tc>
        <w:tc>
          <w:tcPr>
            <w:tcW w:w="690" w:type="dxa"/>
          </w:tcPr>
          <w:p w14:paraId="12915A6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410</w:t>
            </w:r>
          </w:p>
        </w:tc>
        <w:tc>
          <w:tcPr>
            <w:tcW w:w="690" w:type="dxa"/>
          </w:tcPr>
          <w:p w14:paraId="6D460A1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2100</w:t>
            </w:r>
          </w:p>
        </w:tc>
        <w:tc>
          <w:tcPr>
            <w:tcW w:w="690" w:type="dxa"/>
          </w:tcPr>
          <w:p w14:paraId="32FE0B0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275</w:t>
            </w:r>
          </w:p>
        </w:tc>
        <w:tc>
          <w:tcPr>
            <w:tcW w:w="1494" w:type="dxa"/>
          </w:tcPr>
          <w:p w14:paraId="56FA740B" w14:textId="77777777" w:rsidR="00531570" w:rsidRPr="00D03F3E" w:rsidRDefault="00531570" w:rsidP="00D03F3E">
            <w:pPr>
              <w:pStyle w:val="Iauiue"/>
              <w:jc w:val="both"/>
              <w:rPr>
                <w:color w:val="000000" w:themeColor="text1"/>
                <w:sz w:val="16"/>
                <w:szCs w:val="16"/>
              </w:rPr>
            </w:pPr>
          </w:p>
        </w:tc>
      </w:tr>
      <w:tr w:rsidR="00860B4B" w:rsidRPr="00D03F3E" w14:paraId="1C4F760C" w14:textId="77777777">
        <w:tc>
          <w:tcPr>
            <w:tcW w:w="1526" w:type="dxa"/>
          </w:tcPr>
          <w:p w14:paraId="583490A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Мессершмитт</w:t>
            </w:r>
          </w:p>
        </w:tc>
        <w:tc>
          <w:tcPr>
            <w:tcW w:w="746" w:type="dxa"/>
          </w:tcPr>
          <w:p w14:paraId="739DC89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1270</w:t>
            </w:r>
          </w:p>
        </w:tc>
        <w:tc>
          <w:tcPr>
            <w:tcW w:w="746" w:type="dxa"/>
          </w:tcPr>
          <w:p w14:paraId="0724D04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810</w:t>
            </w:r>
          </w:p>
        </w:tc>
        <w:tc>
          <w:tcPr>
            <w:tcW w:w="746" w:type="dxa"/>
          </w:tcPr>
          <w:p w14:paraId="2A56E6A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870</w:t>
            </w:r>
          </w:p>
        </w:tc>
        <w:tc>
          <w:tcPr>
            <w:tcW w:w="746" w:type="dxa"/>
          </w:tcPr>
          <w:p w14:paraId="62DC14C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2-03</w:t>
            </w:r>
          </w:p>
        </w:tc>
        <w:tc>
          <w:tcPr>
            <w:tcW w:w="746" w:type="dxa"/>
          </w:tcPr>
          <w:p w14:paraId="3015C3E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2-42</w:t>
            </w:r>
          </w:p>
        </w:tc>
        <w:tc>
          <w:tcPr>
            <w:tcW w:w="1089" w:type="dxa"/>
          </w:tcPr>
          <w:p w14:paraId="4E0A265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2000</w:t>
            </w:r>
          </w:p>
        </w:tc>
        <w:tc>
          <w:tcPr>
            <w:tcW w:w="690" w:type="dxa"/>
          </w:tcPr>
          <w:p w14:paraId="766D261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2200</w:t>
            </w:r>
          </w:p>
        </w:tc>
        <w:tc>
          <w:tcPr>
            <w:tcW w:w="690" w:type="dxa"/>
          </w:tcPr>
          <w:p w14:paraId="545AA4A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358</w:t>
            </w:r>
          </w:p>
        </w:tc>
        <w:tc>
          <w:tcPr>
            <w:tcW w:w="690" w:type="dxa"/>
          </w:tcPr>
          <w:p w14:paraId="346AAC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2200</w:t>
            </w:r>
          </w:p>
        </w:tc>
        <w:tc>
          <w:tcPr>
            <w:tcW w:w="690" w:type="dxa"/>
          </w:tcPr>
          <w:p w14:paraId="7B77C96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285</w:t>
            </w:r>
          </w:p>
        </w:tc>
        <w:tc>
          <w:tcPr>
            <w:tcW w:w="1494" w:type="dxa"/>
          </w:tcPr>
          <w:p w14:paraId="3D771438" w14:textId="77777777" w:rsidR="00531570" w:rsidRPr="00D03F3E" w:rsidRDefault="00531570" w:rsidP="00D03F3E">
            <w:pPr>
              <w:pStyle w:val="Iauiue"/>
              <w:jc w:val="both"/>
              <w:rPr>
                <w:color w:val="000000" w:themeColor="text1"/>
                <w:sz w:val="16"/>
                <w:szCs w:val="16"/>
              </w:rPr>
            </w:pPr>
          </w:p>
        </w:tc>
      </w:tr>
      <w:tr w:rsidR="00860B4B" w:rsidRPr="00D03F3E" w14:paraId="3E426F66" w14:textId="77777777">
        <w:tc>
          <w:tcPr>
            <w:tcW w:w="1526" w:type="dxa"/>
          </w:tcPr>
          <w:p w14:paraId="2F706BB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Г10 с 2-мя</w:t>
            </w:r>
          </w:p>
        </w:tc>
        <w:tc>
          <w:tcPr>
            <w:tcW w:w="746" w:type="dxa"/>
          </w:tcPr>
          <w:p w14:paraId="06E0747E" w14:textId="77777777" w:rsidR="00531570" w:rsidRPr="00D03F3E" w:rsidRDefault="00531570" w:rsidP="00D03F3E">
            <w:pPr>
              <w:pStyle w:val="Iauiue"/>
              <w:jc w:val="both"/>
              <w:rPr>
                <w:color w:val="000000" w:themeColor="text1"/>
                <w:sz w:val="16"/>
                <w:szCs w:val="16"/>
              </w:rPr>
            </w:pPr>
          </w:p>
        </w:tc>
        <w:tc>
          <w:tcPr>
            <w:tcW w:w="746" w:type="dxa"/>
          </w:tcPr>
          <w:p w14:paraId="6BE1BDA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760</w:t>
            </w:r>
          </w:p>
        </w:tc>
        <w:tc>
          <w:tcPr>
            <w:tcW w:w="746" w:type="dxa"/>
          </w:tcPr>
          <w:p w14:paraId="4E3636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830</w:t>
            </w:r>
          </w:p>
        </w:tc>
        <w:tc>
          <w:tcPr>
            <w:tcW w:w="746" w:type="dxa"/>
          </w:tcPr>
          <w:p w14:paraId="10CDA7C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1-52</w:t>
            </w:r>
          </w:p>
        </w:tc>
        <w:tc>
          <w:tcPr>
            <w:tcW w:w="746" w:type="dxa"/>
          </w:tcPr>
          <w:p w14:paraId="3CA935A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2-30</w:t>
            </w:r>
          </w:p>
        </w:tc>
        <w:tc>
          <w:tcPr>
            <w:tcW w:w="1089" w:type="dxa"/>
          </w:tcPr>
          <w:p w14:paraId="427D589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3000</w:t>
            </w:r>
          </w:p>
        </w:tc>
        <w:tc>
          <w:tcPr>
            <w:tcW w:w="690" w:type="dxa"/>
          </w:tcPr>
          <w:p w14:paraId="5DBD30F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2200</w:t>
            </w:r>
          </w:p>
        </w:tc>
        <w:tc>
          <w:tcPr>
            <w:tcW w:w="690" w:type="dxa"/>
          </w:tcPr>
          <w:p w14:paraId="3E0B3FF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354</w:t>
            </w:r>
          </w:p>
        </w:tc>
        <w:tc>
          <w:tcPr>
            <w:tcW w:w="690" w:type="dxa"/>
          </w:tcPr>
          <w:p w14:paraId="50A23D0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2200</w:t>
            </w:r>
          </w:p>
        </w:tc>
        <w:tc>
          <w:tcPr>
            <w:tcW w:w="690" w:type="dxa"/>
          </w:tcPr>
          <w:p w14:paraId="7B0BFB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280</w:t>
            </w:r>
          </w:p>
        </w:tc>
        <w:tc>
          <w:tcPr>
            <w:tcW w:w="1494" w:type="dxa"/>
          </w:tcPr>
          <w:p w14:paraId="15CB95E7" w14:textId="77777777" w:rsidR="00531570" w:rsidRPr="00D03F3E" w:rsidRDefault="00531570" w:rsidP="00D03F3E">
            <w:pPr>
              <w:pStyle w:val="Iauiue"/>
              <w:jc w:val="both"/>
              <w:rPr>
                <w:color w:val="000000" w:themeColor="text1"/>
                <w:sz w:val="16"/>
                <w:szCs w:val="16"/>
              </w:rPr>
            </w:pPr>
          </w:p>
        </w:tc>
      </w:tr>
      <w:tr w:rsidR="00860B4B" w:rsidRPr="00D03F3E" w14:paraId="18147EED" w14:textId="77777777">
        <w:tc>
          <w:tcPr>
            <w:tcW w:w="1526" w:type="dxa"/>
          </w:tcPr>
          <w:p w14:paraId="15B8638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моторами</w:t>
            </w:r>
          </w:p>
        </w:tc>
        <w:tc>
          <w:tcPr>
            <w:tcW w:w="746" w:type="dxa"/>
          </w:tcPr>
          <w:p w14:paraId="5DCF638C" w14:textId="77777777" w:rsidR="00531570" w:rsidRPr="00D03F3E" w:rsidRDefault="00531570" w:rsidP="00D03F3E">
            <w:pPr>
              <w:pStyle w:val="Iauiue"/>
              <w:jc w:val="both"/>
              <w:rPr>
                <w:color w:val="000000" w:themeColor="text1"/>
                <w:sz w:val="16"/>
                <w:szCs w:val="16"/>
              </w:rPr>
            </w:pPr>
          </w:p>
        </w:tc>
        <w:tc>
          <w:tcPr>
            <w:tcW w:w="746" w:type="dxa"/>
          </w:tcPr>
          <w:p w14:paraId="782AD77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690</w:t>
            </w:r>
          </w:p>
        </w:tc>
        <w:tc>
          <w:tcPr>
            <w:tcW w:w="746" w:type="dxa"/>
          </w:tcPr>
          <w:p w14:paraId="1E98AF6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700</w:t>
            </w:r>
          </w:p>
        </w:tc>
        <w:tc>
          <w:tcPr>
            <w:tcW w:w="746" w:type="dxa"/>
          </w:tcPr>
          <w:p w14:paraId="628D945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1-40</w:t>
            </w:r>
          </w:p>
        </w:tc>
        <w:tc>
          <w:tcPr>
            <w:tcW w:w="746" w:type="dxa"/>
          </w:tcPr>
          <w:p w14:paraId="6C801DC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1-50</w:t>
            </w:r>
          </w:p>
        </w:tc>
        <w:tc>
          <w:tcPr>
            <w:tcW w:w="1089" w:type="dxa"/>
          </w:tcPr>
          <w:p w14:paraId="0A041FA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4000</w:t>
            </w:r>
          </w:p>
        </w:tc>
        <w:tc>
          <w:tcPr>
            <w:tcW w:w="690" w:type="dxa"/>
          </w:tcPr>
          <w:p w14:paraId="5B3F564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2200</w:t>
            </w:r>
          </w:p>
        </w:tc>
        <w:tc>
          <w:tcPr>
            <w:tcW w:w="690" w:type="dxa"/>
          </w:tcPr>
          <w:p w14:paraId="27DEEC3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340</w:t>
            </w:r>
          </w:p>
        </w:tc>
        <w:tc>
          <w:tcPr>
            <w:tcW w:w="690" w:type="dxa"/>
          </w:tcPr>
          <w:p w14:paraId="2E18D9D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2200</w:t>
            </w:r>
          </w:p>
        </w:tc>
        <w:tc>
          <w:tcPr>
            <w:tcW w:w="690" w:type="dxa"/>
          </w:tcPr>
          <w:p w14:paraId="0A68E69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310</w:t>
            </w:r>
          </w:p>
        </w:tc>
        <w:tc>
          <w:tcPr>
            <w:tcW w:w="1494" w:type="dxa"/>
          </w:tcPr>
          <w:p w14:paraId="7563FE02" w14:textId="77777777" w:rsidR="00531570" w:rsidRPr="00D03F3E" w:rsidRDefault="00531570" w:rsidP="00D03F3E">
            <w:pPr>
              <w:pStyle w:val="Iauiue"/>
              <w:jc w:val="both"/>
              <w:rPr>
                <w:color w:val="000000" w:themeColor="text1"/>
                <w:sz w:val="16"/>
                <w:szCs w:val="16"/>
              </w:rPr>
            </w:pPr>
          </w:p>
        </w:tc>
      </w:tr>
      <w:tr w:rsidR="00860B4B" w:rsidRPr="00D03F3E" w14:paraId="66729D0C" w14:textId="77777777">
        <w:tc>
          <w:tcPr>
            <w:tcW w:w="1526" w:type="dxa"/>
          </w:tcPr>
          <w:p w14:paraId="655608A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ДБ-601А</w:t>
            </w:r>
          </w:p>
        </w:tc>
        <w:tc>
          <w:tcPr>
            <w:tcW w:w="746" w:type="dxa"/>
          </w:tcPr>
          <w:p w14:paraId="30972EEF" w14:textId="77777777" w:rsidR="00531570" w:rsidRPr="00D03F3E" w:rsidRDefault="00531570" w:rsidP="00D03F3E">
            <w:pPr>
              <w:pStyle w:val="Iauiue"/>
              <w:jc w:val="both"/>
              <w:rPr>
                <w:color w:val="000000" w:themeColor="text1"/>
                <w:sz w:val="16"/>
                <w:szCs w:val="16"/>
              </w:rPr>
            </w:pPr>
          </w:p>
        </w:tc>
        <w:tc>
          <w:tcPr>
            <w:tcW w:w="746" w:type="dxa"/>
          </w:tcPr>
          <w:p w14:paraId="32F0641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860</w:t>
            </w:r>
          </w:p>
        </w:tc>
        <w:tc>
          <w:tcPr>
            <w:tcW w:w="746" w:type="dxa"/>
          </w:tcPr>
          <w:p w14:paraId="4B3D657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w:t>
            </w:r>
          </w:p>
        </w:tc>
        <w:tc>
          <w:tcPr>
            <w:tcW w:w="746" w:type="dxa"/>
          </w:tcPr>
          <w:p w14:paraId="0D6AFB5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2-00</w:t>
            </w:r>
          </w:p>
        </w:tc>
        <w:tc>
          <w:tcPr>
            <w:tcW w:w="746" w:type="dxa"/>
          </w:tcPr>
          <w:p w14:paraId="5C38583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3-10</w:t>
            </w:r>
          </w:p>
        </w:tc>
        <w:tc>
          <w:tcPr>
            <w:tcW w:w="1089" w:type="dxa"/>
          </w:tcPr>
          <w:p w14:paraId="789E527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6000</w:t>
            </w:r>
          </w:p>
        </w:tc>
        <w:tc>
          <w:tcPr>
            <w:tcW w:w="690" w:type="dxa"/>
          </w:tcPr>
          <w:p w14:paraId="6CCE501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2300</w:t>
            </w:r>
          </w:p>
        </w:tc>
        <w:tc>
          <w:tcPr>
            <w:tcW w:w="690" w:type="dxa"/>
          </w:tcPr>
          <w:p w14:paraId="41E31FF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w:t>
            </w:r>
          </w:p>
        </w:tc>
        <w:tc>
          <w:tcPr>
            <w:tcW w:w="690" w:type="dxa"/>
          </w:tcPr>
          <w:p w14:paraId="414DA3E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2300</w:t>
            </w:r>
          </w:p>
        </w:tc>
        <w:tc>
          <w:tcPr>
            <w:tcW w:w="690" w:type="dxa"/>
          </w:tcPr>
          <w:p w14:paraId="5A9529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205</w:t>
            </w:r>
          </w:p>
        </w:tc>
        <w:tc>
          <w:tcPr>
            <w:tcW w:w="1494" w:type="dxa"/>
          </w:tcPr>
          <w:p w14:paraId="27759F72" w14:textId="77777777" w:rsidR="00531570" w:rsidRPr="00D03F3E" w:rsidRDefault="00531570" w:rsidP="00D03F3E">
            <w:pPr>
              <w:pStyle w:val="Iauiue"/>
              <w:jc w:val="both"/>
              <w:rPr>
                <w:color w:val="000000" w:themeColor="text1"/>
                <w:sz w:val="16"/>
                <w:szCs w:val="16"/>
              </w:rPr>
            </w:pPr>
          </w:p>
        </w:tc>
      </w:tr>
      <w:tr w:rsidR="00860B4B" w:rsidRPr="00D03F3E" w14:paraId="573A7319" w14:textId="77777777">
        <w:tc>
          <w:tcPr>
            <w:tcW w:w="1526" w:type="dxa"/>
          </w:tcPr>
          <w:p w14:paraId="55FFBDE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Фокке-Вульф-190</w:t>
            </w:r>
          </w:p>
        </w:tc>
        <w:tc>
          <w:tcPr>
            <w:tcW w:w="746" w:type="dxa"/>
          </w:tcPr>
          <w:p w14:paraId="4F246FD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530</w:t>
            </w:r>
          </w:p>
        </w:tc>
        <w:tc>
          <w:tcPr>
            <w:tcW w:w="746" w:type="dxa"/>
          </w:tcPr>
          <w:p w14:paraId="43E3D57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605</w:t>
            </w:r>
          </w:p>
        </w:tc>
        <w:tc>
          <w:tcPr>
            <w:tcW w:w="746" w:type="dxa"/>
          </w:tcPr>
          <w:p w14:paraId="1681E75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923</w:t>
            </w:r>
          </w:p>
        </w:tc>
        <w:tc>
          <w:tcPr>
            <w:tcW w:w="746" w:type="dxa"/>
          </w:tcPr>
          <w:p w14:paraId="1094C0A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1-17</w:t>
            </w:r>
          </w:p>
        </w:tc>
        <w:tc>
          <w:tcPr>
            <w:tcW w:w="746" w:type="dxa"/>
          </w:tcPr>
          <w:p w14:paraId="35AFD4E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2-57</w:t>
            </w:r>
          </w:p>
        </w:tc>
        <w:tc>
          <w:tcPr>
            <w:tcW w:w="1089" w:type="dxa"/>
          </w:tcPr>
          <w:p w14:paraId="3586B28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1400</w:t>
            </w:r>
          </w:p>
        </w:tc>
        <w:tc>
          <w:tcPr>
            <w:tcW w:w="690" w:type="dxa"/>
          </w:tcPr>
          <w:p w14:paraId="0B7AAE8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2200</w:t>
            </w:r>
          </w:p>
        </w:tc>
        <w:tc>
          <w:tcPr>
            <w:tcW w:w="690" w:type="dxa"/>
          </w:tcPr>
          <w:p w14:paraId="7C85EBD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470</w:t>
            </w:r>
          </w:p>
        </w:tc>
        <w:tc>
          <w:tcPr>
            <w:tcW w:w="690" w:type="dxa"/>
          </w:tcPr>
          <w:p w14:paraId="38B6B5C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2000</w:t>
            </w:r>
          </w:p>
        </w:tc>
        <w:tc>
          <w:tcPr>
            <w:tcW w:w="690" w:type="dxa"/>
          </w:tcPr>
          <w:p w14:paraId="5467B51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313</w:t>
            </w:r>
          </w:p>
        </w:tc>
        <w:tc>
          <w:tcPr>
            <w:tcW w:w="1494" w:type="dxa"/>
          </w:tcPr>
          <w:p w14:paraId="299BC0A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Данные получены</w:t>
            </w:r>
          </w:p>
        </w:tc>
      </w:tr>
      <w:tr w:rsidR="00860B4B" w:rsidRPr="00D03F3E" w14:paraId="66F0B363" w14:textId="77777777">
        <w:tc>
          <w:tcPr>
            <w:tcW w:w="1526" w:type="dxa"/>
          </w:tcPr>
          <w:p w14:paraId="785E7B4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с мотором </w:t>
            </w:r>
          </w:p>
        </w:tc>
        <w:tc>
          <w:tcPr>
            <w:tcW w:w="746" w:type="dxa"/>
          </w:tcPr>
          <w:p w14:paraId="5BABE333" w14:textId="77777777" w:rsidR="00531570" w:rsidRPr="00D03F3E" w:rsidRDefault="00531570" w:rsidP="00D03F3E">
            <w:pPr>
              <w:pStyle w:val="Iauiue"/>
              <w:jc w:val="both"/>
              <w:rPr>
                <w:color w:val="000000" w:themeColor="text1"/>
                <w:sz w:val="16"/>
                <w:szCs w:val="16"/>
              </w:rPr>
            </w:pPr>
          </w:p>
        </w:tc>
        <w:tc>
          <w:tcPr>
            <w:tcW w:w="746" w:type="dxa"/>
          </w:tcPr>
          <w:p w14:paraId="6C38135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717</w:t>
            </w:r>
          </w:p>
        </w:tc>
        <w:tc>
          <w:tcPr>
            <w:tcW w:w="746" w:type="dxa"/>
          </w:tcPr>
          <w:p w14:paraId="3E4AB51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1110</w:t>
            </w:r>
          </w:p>
        </w:tc>
        <w:tc>
          <w:tcPr>
            <w:tcW w:w="746" w:type="dxa"/>
          </w:tcPr>
          <w:p w14:paraId="53120E1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1-20</w:t>
            </w:r>
          </w:p>
        </w:tc>
        <w:tc>
          <w:tcPr>
            <w:tcW w:w="746" w:type="dxa"/>
          </w:tcPr>
          <w:p w14:paraId="76B3874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3-05</w:t>
            </w:r>
          </w:p>
        </w:tc>
        <w:tc>
          <w:tcPr>
            <w:tcW w:w="1089" w:type="dxa"/>
          </w:tcPr>
          <w:p w14:paraId="6059C9D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5500</w:t>
            </w:r>
          </w:p>
        </w:tc>
        <w:tc>
          <w:tcPr>
            <w:tcW w:w="690" w:type="dxa"/>
          </w:tcPr>
          <w:p w14:paraId="6FA0501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2200</w:t>
            </w:r>
          </w:p>
        </w:tc>
        <w:tc>
          <w:tcPr>
            <w:tcW w:w="690" w:type="dxa"/>
          </w:tcPr>
          <w:p w14:paraId="742D2AD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540</w:t>
            </w:r>
          </w:p>
        </w:tc>
        <w:tc>
          <w:tcPr>
            <w:tcW w:w="690" w:type="dxa"/>
          </w:tcPr>
          <w:p w14:paraId="03D071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2000</w:t>
            </w:r>
          </w:p>
        </w:tc>
        <w:tc>
          <w:tcPr>
            <w:tcW w:w="690" w:type="dxa"/>
          </w:tcPr>
          <w:p w14:paraId="6E8E444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360</w:t>
            </w:r>
          </w:p>
        </w:tc>
        <w:tc>
          <w:tcPr>
            <w:tcW w:w="1494" w:type="dxa"/>
          </w:tcPr>
          <w:p w14:paraId="62DD82D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расчетом.</w:t>
            </w:r>
          </w:p>
        </w:tc>
      </w:tr>
      <w:tr w:rsidR="00860B4B" w:rsidRPr="00D03F3E" w14:paraId="6E4863A5" w14:textId="77777777">
        <w:tc>
          <w:tcPr>
            <w:tcW w:w="1526" w:type="dxa"/>
          </w:tcPr>
          <w:p w14:paraId="3B1EDBE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BMW-801-А-1</w:t>
            </w:r>
          </w:p>
        </w:tc>
        <w:tc>
          <w:tcPr>
            <w:tcW w:w="746" w:type="dxa"/>
          </w:tcPr>
          <w:p w14:paraId="29E6AE7E" w14:textId="77777777" w:rsidR="00531570" w:rsidRPr="00D03F3E" w:rsidRDefault="00531570" w:rsidP="00D03F3E">
            <w:pPr>
              <w:pStyle w:val="Iauiue"/>
              <w:jc w:val="both"/>
              <w:rPr>
                <w:color w:val="000000" w:themeColor="text1"/>
                <w:sz w:val="16"/>
                <w:szCs w:val="16"/>
              </w:rPr>
            </w:pPr>
          </w:p>
        </w:tc>
        <w:tc>
          <w:tcPr>
            <w:tcW w:w="746" w:type="dxa"/>
          </w:tcPr>
          <w:p w14:paraId="11C0EA7F" w14:textId="77777777" w:rsidR="00531570" w:rsidRPr="00D03F3E" w:rsidRDefault="00531570" w:rsidP="00D03F3E">
            <w:pPr>
              <w:pStyle w:val="Iauiue"/>
              <w:jc w:val="both"/>
              <w:rPr>
                <w:color w:val="000000" w:themeColor="text1"/>
                <w:sz w:val="16"/>
                <w:szCs w:val="16"/>
              </w:rPr>
            </w:pPr>
          </w:p>
        </w:tc>
        <w:tc>
          <w:tcPr>
            <w:tcW w:w="746" w:type="dxa"/>
          </w:tcPr>
          <w:p w14:paraId="30F0D1FF" w14:textId="77777777" w:rsidR="00531570" w:rsidRPr="00D03F3E" w:rsidRDefault="00531570" w:rsidP="00D03F3E">
            <w:pPr>
              <w:pStyle w:val="Iauiue"/>
              <w:jc w:val="both"/>
              <w:rPr>
                <w:color w:val="000000" w:themeColor="text1"/>
                <w:sz w:val="16"/>
                <w:szCs w:val="16"/>
              </w:rPr>
            </w:pPr>
          </w:p>
        </w:tc>
        <w:tc>
          <w:tcPr>
            <w:tcW w:w="746" w:type="dxa"/>
          </w:tcPr>
          <w:p w14:paraId="21B4DE88" w14:textId="77777777" w:rsidR="00531570" w:rsidRPr="00D03F3E" w:rsidRDefault="00531570" w:rsidP="00D03F3E">
            <w:pPr>
              <w:pStyle w:val="Iauiue"/>
              <w:jc w:val="both"/>
              <w:rPr>
                <w:color w:val="000000" w:themeColor="text1"/>
                <w:sz w:val="16"/>
                <w:szCs w:val="16"/>
              </w:rPr>
            </w:pPr>
          </w:p>
        </w:tc>
        <w:tc>
          <w:tcPr>
            <w:tcW w:w="746" w:type="dxa"/>
          </w:tcPr>
          <w:p w14:paraId="32C9D868" w14:textId="77777777" w:rsidR="00531570" w:rsidRPr="00D03F3E" w:rsidRDefault="00531570" w:rsidP="00D03F3E">
            <w:pPr>
              <w:pStyle w:val="Iauiue"/>
              <w:jc w:val="both"/>
              <w:rPr>
                <w:color w:val="000000" w:themeColor="text1"/>
                <w:sz w:val="16"/>
                <w:szCs w:val="16"/>
              </w:rPr>
            </w:pPr>
          </w:p>
        </w:tc>
        <w:tc>
          <w:tcPr>
            <w:tcW w:w="1089" w:type="dxa"/>
          </w:tcPr>
          <w:p w14:paraId="047FCED3" w14:textId="77777777" w:rsidR="00531570" w:rsidRPr="00D03F3E" w:rsidRDefault="00531570" w:rsidP="00D03F3E">
            <w:pPr>
              <w:pStyle w:val="Iauiue"/>
              <w:jc w:val="both"/>
              <w:rPr>
                <w:color w:val="000000" w:themeColor="text1"/>
                <w:sz w:val="16"/>
                <w:szCs w:val="16"/>
              </w:rPr>
            </w:pPr>
          </w:p>
        </w:tc>
        <w:tc>
          <w:tcPr>
            <w:tcW w:w="690" w:type="dxa"/>
          </w:tcPr>
          <w:p w14:paraId="362E1B3E" w14:textId="77777777" w:rsidR="00531570" w:rsidRPr="00D03F3E" w:rsidRDefault="00531570" w:rsidP="00D03F3E">
            <w:pPr>
              <w:pStyle w:val="Iauiue"/>
              <w:jc w:val="both"/>
              <w:rPr>
                <w:color w:val="000000" w:themeColor="text1"/>
                <w:sz w:val="16"/>
                <w:szCs w:val="16"/>
              </w:rPr>
            </w:pPr>
          </w:p>
        </w:tc>
        <w:tc>
          <w:tcPr>
            <w:tcW w:w="690" w:type="dxa"/>
          </w:tcPr>
          <w:p w14:paraId="21D7E1E8" w14:textId="77777777" w:rsidR="00531570" w:rsidRPr="00D03F3E" w:rsidRDefault="00531570" w:rsidP="00D03F3E">
            <w:pPr>
              <w:pStyle w:val="Iauiue"/>
              <w:jc w:val="both"/>
              <w:rPr>
                <w:color w:val="000000" w:themeColor="text1"/>
                <w:sz w:val="16"/>
                <w:szCs w:val="16"/>
              </w:rPr>
            </w:pPr>
          </w:p>
        </w:tc>
        <w:tc>
          <w:tcPr>
            <w:tcW w:w="690" w:type="dxa"/>
          </w:tcPr>
          <w:p w14:paraId="72024696" w14:textId="77777777" w:rsidR="00531570" w:rsidRPr="00D03F3E" w:rsidRDefault="00531570" w:rsidP="00D03F3E">
            <w:pPr>
              <w:pStyle w:val="Iauiue"/>
              <w:jc w:val="both"/>
              <w:rPr>
                <w:color w:val="000000" w:themeColor="text1"/>
                <w:sz w:val="16"/>
                <w:szCs w:val="16"/>
              </w:rPr>
            </w:pPr>
          </w:p>
        </w:tc>
        <w:tc>
          <w:tcPr>
            <w:tcW w:w="690" w:type="dxa"/>
          </w:tcPr>
          <w:p w14:paraId="5C5AE95E" w14:textId="77777777" w:rsidR="00531570" w:rsidRPr="00D03F3E" w:rsidRDefault="00531570" w:rsidP="00D03F3E">
            <w:pPr>
              <w:pStyle w:val="Iauiue"/>
              <w:jc w:val="both"/>
              <w:rPr>
                <w:color w:val="000000" w:themeColor="text1"/>
                <w:sz w:val="16"/>
                <w:szCs w:val="16"/>
              </w:rPr>
            </w:pPr>
          </w:p>
        </w:tc>
        <w:tc>
          <w:tcPr>
            <w:tcW w:w="1494" w:type="dxa"/>
          </w:tcPr>
          <w:p w14:paraId="26B7A52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Скорости полета</w:t>
            </w:r>
          </w:p>
        </w:tc>
      </w:tr>
      <w:tr w:rsidR="00860B4B" w:rsidRPr="00D03F3E" w14:paraId="34F2AF74" w14:textId="77777777">
        <w:tc>
          <w:tcPr>
            <w:tcW w:w="1526" w:type="dxa"/>
          </w:tcPr>
          <w:p w14:paraId="6A23A8E6" w14:textId="77777777" w:rsidR="00531570" w:rsidRPr="00D03F3E" w:rsidRDefault="00531570" w:rsidP="00D03F3E">
            <w:pPr>
              <w:pStyle w:val="Iauiue"/>
              <w:jc w:val="both"/>
              <w:rPr>
                <w:color w:val="000000" w:themeColor="text1"/>
                <w:sz w:val="16"/>
                <w:szCs w:val="16"/>
              </w:rPr>
            </w:pPr>
          </w:p>
        </w:tc>
        <w:tc>
          <w:tcPr>
            <w:tcW w:w="746" w:type="dxa"/>
          </w:tcPr>
          <w:p w14:paraId="75137869" w14:textId="77777777" w:rsidR="00531570" w:rsidRPr="00D03F3E" w:rsidRDefault="00531570" w:rsidP="00D03F3E">
            <w:pPr>
              <w:pStyle w:val="Iauiue"/>
              <w:jc w:val="both"/>
              <w:rPr>
                <w:color w:val="000000" w:themeColor="text1"/>
                <w:sz w:val="16"/>
                <w:szCs w:val="16"/>
              </w:rPr>
            </w:pPr>
          </w:p>
        </w:tc>
        <w:tc>
          <w:tcPr>
            <w:tcW w:w="746" w:type="dxa"/>
          </w:tcPr>
          <w:p w14:paraId="06FF53D3" w14:textId="77777777" w:rsidR="00531570" w:rsidRPr="00D03F3E" w:rsidRDefault="00531570" w:rsidP="00D03F3E">
            <w:pPr>
              <w:pStyle w:val="Iauiue"/>
              <w:jc w:val="both"/>
              <w:rPr>
                <w:color w:val="000000" w:themeColor="text1"/>
                <w:sz w:val="16"/>
                <w:szCs w:val="16"/>
              </w:rPr>
            </w:pPr>
          </w:p>
        </w:tc>
        <w:tc>
          <w:tcPr>
            <w:tcW w:w="746" w:type="dxa"/>
          </w:tcPr>
          <w:p w14:paraId="0C3F8CEA" w14:textId="77777777" w:rsidR="00531570" w:rsidRPr="00D03F3E" w:rsidRDefault="00531570" w:rsidP="00D03F3E">
            <w:pPr>
              <w:pStyle w:val="Iauiue"/>
              <w:jc w:val="both"/>
              <w:rPr>
                <w:color w:val="000000" w:themeColor="text1"/>
                <w:sz w:val="16"/>
                <w:szCs w:val="16"/>
              </w:rPr>
            </w:pPr>
          </w:p>
        </w:tc>
        <w:tc>
          <w:tcPr>
            <w:tcW w:w="746" w:type="dxa"/>
          </w:tcPr>
          <w:p w14:paraId="7D0D9684" w14:textId="77777777" w:rsidR="00531570" w:rsidRPr="00D03F3E" w:rsidRDefault="00531570" w:rsidP="00D03F3E">
            <w:pPr>
              <w:pStyle w:val="Iauiue"/>
              <w:jc w:val="both"/>
              <w:rPr>
                <w:color w:val="000000" w:themeColor="text1"/>
                <w:sz w:val="16"/>
                <w:szCs w:val="16"/>
              </w:rPr>
            </w:pPr>
          </w:p>
        </w:tc>
        <w:tc>
          <w:tcPr>
            <w:tcW w:w="746" w:type="dxa"/>
          </w:tcPr>
          <w:p w14:paraId="0D5437EC" w14:textId="77777777" w:rsidR="00531570" w:rsidRPr="00D03F3E" w:rsidRDefault="00531570" w:rsidP="00D03F3E">
            <w:pPr>
              <w:pStyle w:val="Iauiue"/>
              <w:jc w:val="both"/>
              <w:rPr>
                <w:color w:val="000000" w:themeColor="text1"/>
                <w:sz w:val="16"/>
                <w:szCs w:val="16"/>
              </w:rPr>
            </w:pPr>
          </w:p>
        </w:tc>
        <w:tc>
          <w:tcPr>
            <w:tcW w:w="1089" w:type="dxa"/>
          </w:tcPr>
          <w:p w14:paraId="72F216D9" w14:textId="77777777" w:rsidR="00531570" w:rsidRPr="00D03F3E" w:rsidRDefault="00531570" w:rsidP="00D03F3E">
            <w:pPr>
              <w:pStyle w:val="Iauiue"/>
              <w:jc w:val="both"/>
              <w:rPr>
                <w:color w:val="000000" w:themeColor="text1"/>
                <w:sz w:val="16"/>
                <w:szCs w:val="16"/>
              </w:rPr>
            </w:pPr>
          </w:p>
        </w:tc>
        <w:tc>
          <w:tcPr>
            <w:tcW w:w="690" w:type="dxa"/>
          </w:tcPr>
          <w:p w14:paraId="4C6372ED" w14:textId="77777777" w:rsidR="00531570" w:rsidRPr="00D03F3E" w:rsidRDefault="00531570" w:rsidP="00D03F3E">
            <w:pPr>
              <w:pStyle w:val="Iauiue"/>
              <w:jc w:val="both"/>
              <w:rPr>
                <w:color w:val="000000" w:themeColor="text1"/>
                <w:sz w:val="16"/>
                <w:szCs w:val="16"/>
              </w:rPr>
            </w:pPr>
          </w:p>
        </w:tc>
        <w:tc>
          <w:tcPr>
            <w:tcW w:w="690" w:type="dxa"/>
          </w:tcPr>
          <w:p w14:paraId="1E3CBDC0" w14:textId="77777777" w:rsidR="00531570" w:rsidRPr="00D03F3E" w:rsidRDefault="00531570" w:rsidP="00D03F3E">
            <w:pPr>
              <w:pStyle w:val="Iauiue"/>
              <w:jc w:val="both"/>
              <w:rPr>
                <w:color w:val="000000" w:themeColor="text1"/>
                <w:sz w:val="16"/>
                <w:szCs w:val="16"/>
              </w:rPr>
            </w:pPr>
          </w:p>
        </w:tc>
        <w:tc>
          <w:tcPr>
            <w:tcW w:w="690" w:type="dxa"/>
          </w:tcPr>
          <w:p w14:paraId="1B482573" w14:textId="77777777" w:rsidR="00531570" w:rsidRPr="00D03F3E" w:rsidRDefault="00531570" w:rsidP="00D03F3E">
            <w:pPr>
              <w:pStyle w:val="Iauiue"/>
              <w:jc w:val="both"/>
              <w:rPr>
                <w:color w:val="000000" w:themeColor="text1"/>
                <w:sz w:val="16"/>
                <w:szCs w:val="16"/>
              </w:rPr>
            </w:pPr>
          </w:p>
        </w:tc>
        <w:tc>
          <w:tcPr>
            <w:tcW w:w="690" w:type="dxa"/>
          </w:tcPr>
          <w:p w14:paraId="39D1772F" w14:textId="77777777" w:rsidR="00531570" w:rsidRPr="00D03F3E" w:rsidRDefault="00531570" w:rsidP="00D03F3E">
            <w:pPr>
              <w:pStyle w:val="Iauiue"/>
              <w:jc w:val="both"/>
              <w:rPr>
                <w:color w:val="000000" w:themeColor="text1"/>
                <w:sz w:val="16"/>
                <w:szCs w:val="16"/>
              </w:rPr>
            </w:pPr>
          </w:p>
        </w:tc>
        <w:tc>
          <w:tcPr>
            <w:tcW w:w="1494" w:type="dxa"/>
          </w:tcPr>
          <w:p w14:paraId="33D607B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даны истинные (1783).</w:t>
            </w:r>
          </w:p>
        </w:tc>
      </w:tr>
    </w:tbl>
    <w:p w14:paraId="5D41C2EA" w14:textId="77777777" w:rsidR="00531570" w:rsidRPr="00D03F3E" w:rsidRDefault="00531570" w:rsidP="00D03F3E">
      <w:pPr>
        <w:pStyle w:val="Iauiue"/>
        <w:jc w:val="both"/>
        <w:rPr>
          <w:color w:val="000000" w:themeColor="text1"/>
          <w:sz w:val="16"/>
          <w:szCs w:val="16"/>
        </w:rPr>
      </w:pPr>
    </w:p>
    <w:p w14:paraId="3EDF79AD" w14:textId="77777777" w:rsidR="00AD620A" w:rsidRPr="00D03F3E"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 1 июня 1943 г. на заводе №22 отработали и начали испытания на самолете Пе-2 (зав. №18/186) новой установки 2-й зоны НГ с трубопроводом в носке крыла. Кроме того, на заводе проводились исследования по установлению наилучших условий отбора выхлопных газов для 1-й и 2-й зоны НГ из новых индивидуальных реактивных патрубков. ВНИИ ВВС готовился к испытаниям самолет Пе-2 (зав. №17/196) с системой НГ-2, запущенной в серийное производство с мая 1943 г.</w:t>
      </w:r>
    </w:p>
    <w:p w14:paraId="1E4BC68E" w14:textId="77777777" w:rsidR="00AD620A" w:rsidRPr="00D03F3E"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Надо сказать, попытка создать нормально работающую систему 2-й зоны НГ для боевых самолетов стоила затрачиваемых на это усилий и средств. Как следует из документов, потери Пе-2 от огня зенитной артиллерии и истребителей противника в основном являлись следствием образования очагов пожара на борту. При этом образование очагов пожара происходило или непосредственно в ВМГ, или же в бензосистеме, как правило, в крыльевых бензобаках и чаще всего - в бензобаках 2-й группы.</w:t>
      </w:r>
    </w:p>
    <w:p w14:paraId="5C0CEDDB" w14:textId="77777777" w:rsidR="00AD620A" w:rsidRPr="00D03F3E"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Самой уязвимой частью Пе-2 при атаках истребительной авиации противника являлись бензобаки 2-й группы и центральный бензобак №1, которые не имели броневой защиты. Попадание в них крупнокалиберных пуль или снарядов в большинстве случаев вызывало пожар и затем гибель экипажа и самолета: «Огонь из 20-мм пушек немецких истребителей, поражая бензосистему Пе-2, вызывает пожар, который обычно начинается с мотора или с центрального бензобака № 1 и очень быстро распространяется по самолету, попадая в кабину летчика. Быстрое распространение огня объясняется тем, что воздушный поток с мотора через центроплан и от центрального бака вследствие малого статического давления в ней быстро врывается в нее».</w:t>
      </w:r>
    </w:p>
    <w:p w14:paraId="770DD434" w14:textId="77777777" w:rsidR="00AD620A" w:rsidRPr="00D03F3E"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При пожаре Пе-2 часто терял управляемость из-за обгорания легко воспламеняющегося полотняного покрытия вертикальных горизонтальных рулей. Повреждения самолета, не вызывающие пожара, как правило, позволяли экипажу продолжать полет до своего аэродрома, в том числе и «при наличии частичного отказа управления...». В то же время, на Пе-2, оборудованных 2-й зоной НГ, даже в случае возникновения пожара от полученных в бою повреждений экипаж имел возможность спасти себя и машину (17733).</w:t>
      </w:r>
    </w:p>
    <w:p w14:paraId="6892D370" w14:textId="77777777" w:rsidR="00AD620A" w:rsidRPr="00D03F3E" w:rsidRDefault="00AD620A" w:rsidP="00D03F3E">
      <w:pPr>
        <w:pStyle w:val="12a"/>
        <w:shd w:val="clear" w:color="auto" w:fill="auto"/>
        <w:spacing w:after="0" w:line="240" w:lineRule="auto"/>
        <w:jc w:val="both"/>
        <w:rPr>
          <w:color w:val="000000" w:themeColor="text1"/>
          <w:sz w:val="16"/>
          <w:szCs w:val="16"/>
        </w:rPr>
      </w:pPr>
    </w:p>
    <w:p w14:paraId="63C655F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1 июня 1943 по 16 сентября 1943 проходили испытания второго ТИС с АМ-38Ф (125,20).</w:t>
      </w:r>
    </w:p>
    <w:p w14:paraId="4ADCBC3F" w14:textId="77777777" w:rsidR="00531570" w:rsidRPr="00D03F3E" w:rsidRDefault="00531570" w:rsidP="00D03F3E">
      <w:pPr>
        <w:pStyle w:val="Iauiue"/>
        <w:jc w:val="both"/>
        <w:rPr>
          <w:color w:val="000000" w:themeColor="text1"/>
          <w:sz w:val="16"/>
          <w:szCs w:val="16"/>
        </w:rPr>
      </w:pPr>
    </w:p>
    <w:p w14:paraId="112E9C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июня 1943 года выпуск моторов АМ-38 заводом № 45 был полностью прекращен и завод переключился на выпуск АМ-38Ф.</w:t>
      </w:r>
    </w:p>
    <w:p w14:paraId="443F24E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марта 1944 года завод параллельно с выпуском моторов АМ-38Ф включил в производство изготовление деталей и агрегатов дизеля АЧ-30Б.</w:t>
      </w:r>
    </w:p>
    <w:p w14:paraId="45774E2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сентября 1945 года выпуск моторов АМ-38Ф с производства снят и оставлен в производстве только дизель-мотор АЧ-30Б</w:t>
      </w:r>
    </w:p>
    <w:p w14:paraId="0CFE8D7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Адрес: Москва, Мейеровский пр., 14 (территория Б, В), территория А – Ткацкая ул.</w:t>
      </w:r>
    </w:p>
    <w:p w14:paraId="1C85801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Производственный профиль – моторный (9829).</w:t>
      </w:r>
    </w:p>
    <w:p w14:paraId="488EFFB7" w14:textId="77777777" w:rsidR="00531570" w:rsidRPr="00D03F3E" w:rsidRDefault="00531570" w:rsidP="00D03F3E">
      <w:pPr>
        <w:pStyle w:val="Iauiue"/>
        <w:jc w:val="both"/>
        <w:rPr>
          <w:color w:val="000000" w:themeColor="text1"/>
          <w:sz w:val="16"/>
          <w:szCs w:val="16"/>
        </w:rPr>
      </w:pPr>
    </w:p>
    <w:p w14:paraId="30F4ECC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июня 1943 командиром 282 иад п Рязановым был утвержден акт комиссии, назначенной приказом командира 282 иад по распоряжению 6 САК N 300/III для испытания Як-1 292 завода, недодающих скоростей. Скорости у земли были от 375 до 435 км/час. Повезли этот акт на завод 292 (2519).</w:t>
      </w:r>
    </w:p>
    <w:p w14:paraId="3F2BFA83" w14:textId="77777777" w:rsidR="00531570" w:rsidRPr="00D03F3E" w:rsidRDefault="00531570" w:rsidP="00D03F3E">
      <w:pPr>
        <w:pStyle w:val="Iauiue"/>
        <w:jc w:val="both"/>
        <w:rPr>
          <w:color w:val="000000" w:themeColor="text1"/>
          <w:sz w:val="16"/>
          <w:szCs w:val="16"/>
        </w:rPr>
      </w:pPr>
    </w:p>
    <w:p w14:paraId="15364F3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июня 1943 на заводе №19 мотор №821 1207 на 35-м часу был снят с испытания по причине полом</w:t>
      </w:r>
      <w:r w:rsidRPr="00D03F3E">
        <w:rPr>
          <w:rFonts w:ascii="Times New Roman" w:hAnsi="Times New Roman"/>
          <w:color w:val="000000" w:themeColor="text1"/>
          <w:sz w:val="16"/>
          <w:szCs w:val="16"/>
        </w:rPr>
        <w:softHyphen/>
        <w:t>ки коленвала (средняя опора) и выра</w:t>
      </w:r>
      <w:r w:rsidRPr="00D03F3E">
        <w:rPr>
          <w:rFonts w:ascii="Times New Roman" w:hAnsi="Times New Roman"/>
          <w:color w:val="000000" w:themeColor="text1"/>
          <w:sz w:val="16"/>
          <w:szCs w:val="16"/>
        </w:rPr>
        <w:softHyphen/>
        <w:t>ботке корпуса РС-2. Дефект был се</w:t>
      </w:r>
      <w:r w:rsidRPr="00D03F3E">
        <w:rPr>
          <w:rFonts w:ascii="Times New Roman" w:hAnsi="Times New Roman"/>
          <w:color w:val="000000" w:themeColor="text1"/>
          <w:sz w:val="16"/>
          <w:szCs w:val="16"/>
        </w:rPr>
        <w:softHyphen/>
        <w:t>рьезный и старший военпред завода №19 А.М. Сабуров вынужден был прекратить отправку моторов ФН с 4 июня 1943 года. В то время, пока завод № 19 вы</w:t>
      </w:r>
      <w:r w:rsidRPr="00D03F3E">
        <w:rPr>
          <w:rFonts w:ascii="Times New Roman" w:hAnsi="Times New Roman"/>
          <w:color w:val="000000" w:themeColor="text1"/>
          <w:sz w:val="16"/>
          <w:szCs w:val="16"/>
        </w:rPr>
        <w:softHyphen/>
        <w:t>яснял причины появления дефектов на комиссионных испытаниях, нарко</w:t>
      </w:r>
      <w:r w:rsidRPr="00D03F3E">
        <w:rPr>
          <w:rFonts w:ascii="Times New Roman" w:hAnsi="Times New Roman"/>
          <w:color w:val="000000" w:themeColor="text1"/>
          <w:sz w:val="16"/>
          <w:szCs w:val="16"/>
        </w:rPr>
        <w:softHyphen/>
        <w:t>мат авиапромышленности обратился к командующему ВВС КА Новикову с просьбой разрешить, в целях эконо</w:t>
      </w:r>
      <w:r w:rsidRPr="00D03F3E">
        <w:rPr>
          <w:rFonts w:ascii="Times New Roman" w:hAnsi="Times New Roman"/>
          <w:color w:val="000000" w:themeColor="text1"/>
          <w:sz w:val="16"/>
          <w:szCs w:val="16"/>
        </w:rPr>
        <w:softHyphen/>
        <w:t>мии времени, транспортировку мото</w:t>
      </w:r>
      <w:r w:rsidRPr="00D03F3E">
        <w:rPr>
          <w:rFonts w:ascii="Times New Roman" w:hAnsi="Times New Roman"/>
          <w:color w:val="000000" w:themeColor="text1"/>
          <w:sz w:val="16"/>
          <w:szCs w:val="16"/>
        </w:rPr>
        <w:softHyphen/>
        <w:t>ров на завод № 21. Новиков дал такое разрешение, оговорив, что от</w:t>
      </w:r>
      <w:r w:rsidRPr="00D03F3E">
        <w:rPr>
          <w:rFonts w:ascii="Times New Roman" w:hAnsi="Times New Roman"/>
          <w:color w:val="000000" w:themeColor="text1"/>
          <w:sz w:val="16"/>
          <w:szCs w:val="16"/>
        </w:rPr>
        <w:softHyphen/>
        <w:t>правленные и непроверенные комис</w:t>
      </w:r>
      <w:r w:rsidRPr="00D03F3E">
        <w:rPr>
          <w:rFonts w:ascii="Times New Roman" w:hAnsi="Times New Roman"/>
          <w:color w:val="000000" w:themeColor="text1"/>
          <w:sz w:val="16"/>
          <w:szCs w:val="16"/>
        </w:rPr>
        <w:softHyphen/>
        <w:t>сионными испытаниями моторы не должны устанавливаться на самолеты. Таких моторов М-82ФН в период с 6 по 12 июля было отправлено на завод № 21 - 168 штук, и 22 из них успели установить на самолеты. Мо</w:t>
      </w:r>
      <w:r w:rsidRPr="00D03F3E">
        <w:rPr>
          <w:rFonts w:ascii="Times New Roman" w:hAnsi="Times New Roman"/>
          <w:color w:val="000000" w:themeColor="text1"/>
          <w:sz w:val="16"/>
          <w:szCs w:val="16"/>
        </w:rPr>
        <w:softHyphen/>
        <w:t>торы эти были изготовлены в июне-июле месяцах (10723).</w:t>
      </w:r>
    </w:p>
    <w:p w14:paraId="5F8A438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64D7B9E"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758C339D" w14:textId="77777777" w:rsidR="00531570" w:rsidRPr="00D03F3E" w:rsidRDefault="00531570" w:rsidP="00D03F3E">
      <w:pPr>
        <w:pStyle w:val="Iauiue"/>
        <w:jc w:val="both"/>
        <w:rPr>
          <w:iCs/>
          <w:color w:val="000000" w:themeColor="text1"/>
          <w:sz w:val="16"/>
          <w:szCs w:val="16"/>
        </w:rPr>
      </w:pPr>
    </w:p>
    <w:p w14:paraId="1EA4F85C" w14:textId="77777777" w:rsidR="00AD620A" w:rsidRPr="00D03F3E" w:rsidRDefault="00AD620A" w:rsidP="00D03F3E">
      <w:pPr>
        <w:pStyle w:val="ae"/>
        <w:shd w:val="clear" w:color="auto" w:fill="FFFFFF"/>
        <w:spacing w:before="0" w:after="0"/>
        <w:jc w:val="both"/>
        <w:rPr>
          <w:color w:val="000000" w:themeColor="text1"/>
          <w:sz w:val="16"/>
          <w:szCs w:val="16"/>
        </w:rPr>
      </w:pPr>
      <w:r w:rsidRPr="00D03F3E">
        <w:rPr>
          <w:color w:val="000000" w:themeColor="text1"/>
          <w:sz w:val="16"/>
          <w:szCs w:val="16"/>
        </w:rPr>
        <w:t>К 1 июня 1943 Мытищенскому заводу № 40 удалось сдать ещё 7 танков Т-80, при этом все ранее выпущенные машины оснастили радиостанциями. Далее производство Т-80 на месяц полностью остановилось. В июне заводчане собрали 8 танков, но военные их не приняли.</w:t>
      </w:r>
    </w:p>
    <w:p w14:paraId="39D8B1AC" w14:textId="77777777" w:rsidR="00AD620A" w:rsidRPr="00D03F3E" w:rsidRDefault="00AD620A" w:rsidP="00D03F3E">
      <w:pPr>
        <w:pStyle w:val="ae"/>
        <w:shd w:val="clear" w:color="auto" w:fill="FFFFFF"/>
        <w:spacing w:before="0" w:after="0"/>
        <w:jc w:val="both"/>
        <w:rPr>
          <w:color w:val="000000" w:themeColor="text1"/>
          <w:sz w:val="16"/>
          <w:szCs w:val="16"/>
        </w:rPr>
      </w:pPr>
      <w:r w:rsidRPr="00D03F3E">
        <w:rPr>
          <w:color w:val="000000" w:themeColor="text1"/>
          <w:sz w:val="16"/>
          <w:szCs w:val="16"/>
        </w:rPr>
        <w:t>Старший военный представитель на заводе №40 инженер-майор Слюсарев в своём отчёте громил руководство, обвиняя его в бездействии. Возможно, в чём-то он и прав, организация производства по некоторым направлениям шла медленно. Но нужно понимать, что нельзя просто так взять и почти на пустом месте за 3-4 месяца организовать танковый завод, который будет выполнять не маленький план, да ещё и выдерживать при этом качество. При остром дефиците кадров и не до конца введённых в строй производственных мощностях других результатов и быть не могло.</w:t>
      </w:r>
    </w:p>
    <w:p w14:paraId="4924DB91" w14:textId="77777777" w:rsidR="00AD620A" w:rsidRPr="00D03F3E" w:rsidRDefault="00AD620A" w:rsidP="00D03F3E">
      <w:pPr>
        <w:pStyle w:val="ae"/>
        <w:shd w:val="clear" w:color="auto" w:fill="FFFFFF"/>
        <w:spacing w:before="0" w:after="0"/>
        <w:jc w:val="both"/>
        <w:rPr>
          <w:color w:val="000000" w:themeColor="text1"/>
          <w:sz w:val="16"/>
          <w:szCs w:val="16"/>
        </w:rPr>
      </w:pPr>
      <w:r w:rsidRPr="00D03F3E">
        <w:rPr>
          <w:color w:val="000000" w:themeColor="text1"/>
          <w:sz w:val="16"/>
          <w:szCs w:val="16"/>
        </w:rPr>
        <w:t>Дефекты на мытищинских танках являлись весьма частым явлением. С мая по июнь 1943 года отмечено 4 случая выхода из строя бортовых передач и 2 случая поломки главных передач. Масса нареканий вызвала установка артиллерийской системы. Помимо дефектов механизма отката, аналогичных тем, что наблюдались на ГАЗ им. Молотова, отмечались и дефекты сборки. Например, прицел ТМФ, который временно ставили вместо ТП-80, позволял вести огонь при угле возвышения орудия не больше 50-53 градусов. Фактически все танки выпуска апреля-мая 1943 года требовали доработок. На это указывали результаты испытания Т-80 майского выпуска, который в июне 1943 года направили на НИБТ Полигон. После 370 километров пробега случилась поломка шестерён главной и бортовых передач, на этом гарантийный пробег закончился (17712).</w:t>
      </w:r>
    </w:p>
    <w:p w14:paraId="2608197A" w14:textId="77777777" w:rsidR="00AD620A" w:rsidRPr="00D03F3E"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FC621F5"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 июня 1943 вышло Постановление ГКО № 3470 Об общем плане перевозок народнохозяйственных и воинских грузов по железнодорожному и водному транспорту на июнь 1943 года. (7111, 96).</w:t>
      </w:r>
    </w:p>
    <w:p w14:paraId="0F11762B" w14:textId="77777777" w:rsidR="00531570" w:rsidRPr="00D03F3E" w:rsidRDefault="00531570" w:rsidP="00D03F3E">
      <w:pPr>
        <w:pStyle w:val="Iauiue"/>
        <w:tabs>
          <w:tab w:val="left" w:pos="11199"/>
        </w:tabs>
        <w:jc w:val="both"/>
        <w:rPr>
          <w:color w:val="000000" w:themeColor="text1"/>
          <w:sz w:val="16"/>
          <w:szCs w:val="16"/>
        </w:rPr>
      </w:pPr>
    </w:p>
    <w:p w14:paraId="2BEF1202"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 июня 1943 вышло Постановление ГКО № 3471 О строительстве нефтеемкостей Hаркомвоенморфлота и HКО в 1943-1944 гг. (7111, 97-102,103-117).</w:t>
      </w:r>
    </w:p>
    <w:p w14:paraId="0D92AE05" w14:textId="77777777" w:rsidR="00531570" w:rsidRPr="00D03F3E" w:rsidRDefault="00531570" w:rsidP="00D03F3E">
      <w:pPr>
        <w:pStyle w:val="Iauiue"/>
        <w:tabs>
          <w:tab w:val="left" w:pos="11199"/>
        </w:tabs>
        <w:jc w:val="both"/>
        <w:rPr>
          <w:color w:val="000000" w:themeColor="text1"/>
          <w:sz w:val="16"/>
          <w:szCs w:val="16"/>
        </w:rPr>
      </w:pPr>
    </w:p>
    <w:p w14:paraId="4F2AC0B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1 июня 1943 г. в Новосибирск вместе с предприятиями и организациями, в основном оборонной промышленности, прибыло 48367 человек, в индивидуальном порядке – 92370 человек. По приезду в Новосибирске они устраивались на работу, как правило, на предприятия, которые были эвакуированы из тех городов, откуда они приехали. Всего в Новосибирскую область прибыло 301457 человек. Эвакуированные из Ленинграда составляли 76395 человек, Ленинградской области – 18509 человек, Москвы – 18793 человека, Московской области – 10711 человек, Тульской – 3472 человека, Воронежской – 2626 человек, Ростовской области – 2800 человек. В основном из этих городов и областей эвакуировались предприятия оборонной промышленности. Размещение эвакуированного населения для местных органов власти являлось чрезвычайно трудной проблемой, тем более, что в Новосибирске перед войной на каждого жителя приходилось 3,5 м</w:t>
      </w:r>
      <w:r w:rsidRPr="00D03F3E">
        <w:rPr>
          <w:color w:val="000000" w:themeColor="text1"/>
          <w:sz w:val="16"/>
          <w:szCs w:val="16"/>
          <w:vertAlign w:val="superscript"/>
        </w:rPr>
        <w:t>2</w:t>
      </w:r>
      <w:r w:rsidRPr="00D03F3E">
        <w:rPr>
          <w:color w:val="000000" w:themeColor="text1"/>
          <w:sz w:val="16"/>
          <w:szCs w:val="16"/>
        </w:rPr>
        <w:t xml:space="preserve"> жилплощади. В соответствии с постановлением ГКО необходимо было срочно расселить работников, прибывших в Новосибирск для работы на оборонных заводах. Поэтому местные органы власти вынуждены были пойти на крайние меры: переместить ряд организаций, соответственно их кадры с семьями, из города в сельские районы области; изъять часть жилья у организаций и учреждений за счет уплотнения жильцов; построить новое жилье, в основном упрощенного типа – одно-двухэтажные бараки, полуземляные общежития, а также приспособить для проживания здания нежилого фонда (9932).</w:t>
      </w:r>
    </w:p>
    <w:p w14:paraId="36312B71" w14:textId="77777777" w:rsidR="00531570" w:rsidRPr="00D03F3E" w:rsidRDefault="00531570" w:rsidP="00D03F3E">
      <w:pPr>
        <w:pStyle w:val="Iauiue"/>
        <w:jc w:val="both"/>
        <w:rPr>
          <w:color w:val="000000" w:themeColor="text1"/>
          <w:sz w:val="16"/>
          <w:szCs w:val="16"/>
        </w:rPr>
      </w:pPr>
    </w:p>
    <w:p w14:paraId="175C4F8A"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4B643188" w14:textId="77777777" w:rsidR="00531570" w:rsidRPr="00D03F3E" w:rsidRDefault="00531570" w:rsidP="00D03F3E">
      <w:pPr>
        <w:pStyle w:val="Iauiue"/>
        <w:jc w:val="both"/>
        <w:rPr>
          <w:iCs/>
          <w:color w:val="000000" w:themeColor="text1"/>
          <w:sz w:val="16"/>
          <w:szCs w:val="16"/>
        </w:rPr>
      </w:pPr>
    </w:p>
    <w:p w14:paraId="5DCD046C"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июня</w:t>
      </w:r>
      <w:r w:rsidRPr="00D03F3E">
        <w:rPr>
          <w:rFonts w:ascii="Times New Roman" w:hAnsi="Times New Roman"/>
          <w:color w:val="000000" w:themeColor="text1"/>
          <w:sz w:val="16"/>
          <w:szCs w:val="16"/>
        </w:rPr>
        <w:t xml:space="preserve"> в 1943 году утреннее сообщение Совинформбюро:</w:t>
      </w:r>
    </w:p>
    <w:p w14:paraId="1D2F9128"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 июня на фронте ничего существенного не произошло.</w:t>
      </w:r>
    </w:p>
    <w:p w14:paraId="44E070EA"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артиллеристы Н-ской части обстреляли позиции противника и разбили 4 вражеских дзота и 2 блиндажа. На другом участке наш разведывательныйотряд ночью пробрался в расположение противника и уничтожил несколько десятков гитлеровцев. Захватив пленных, разведчики благополучно вернулись в свою часть.</w:t>
      </w:r>
    </w:p>
    <w:p w14:paraId="7158A27D"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немцы, пытаясь вернуть ранее утерянные ими позиции, предприняли одну за другой две атаки. Наши подразделения отбили атаки противника с большими для него потерями. Гитлеровцы отброшены на исходные позиции.</w:t>
      </w:r>
    </w:p>
    <w:p w14:paraId="705E7B4F"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Наша авиация совершила налёт на аэродром противника и уничтожила на земле 10 немецких самолётов. В воздушных боях сбито 4 самолёта противника.</w:t>
      </w:r>
    </w:p>
    <w:p w14:paraId="73AD8719"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артиллеристы рассеяли и частью уничтожили до батальона немецкой пехоты. На другом участке немцы пытались переправиться через водный рубеж. Боевое охранение Н-ской части встретило противника ружейно-пулемётным огнём и уничтожило 20 гитлеровцев.</w:t>
      </w:r>
    </w:p>
    <w:p w14:paraId="6324BE98"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артиллеристы Н-ской части обстреляли скопление войск противника. Разведка установила, что в результате огневого налёта советской артиллерии уничтожено до 200 немецких солдат и офицеров.</w:t>
      </w:r>
    </w:p>
    <w:p w14:paraId="13B0B872"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Белоруссии, напал на гарнизон противника. Партизаны уничтожили 63 гитлеровца. Захвачены у немцев трофеи: бронемашина, 2 автомашины, много винтовок и патронов. Партизаны другого отряда ружейно-пулемётным огнём сбили самолёт противника.</w:t>
      </w:r>
    </w:p>
    <w:p w14:paraId="7DA09E1D"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Добровольно сдавшийся в плен солдат 113 полка 39 немецкой пехотной дивизии, поляк по национальности, Людвиг В. рассказал: «Я проживал в Быдгощском уезде, Познанского воеводства. Немцы ограбили моих односельчан. Немец Гриль, волостной староста, захватил себе более 500 моргов крестьянской земли. Немец Беккер присвоил 200 моргов земли. Гитлеровцы превратили поляков в своих батраков и обращаются с ними, как с рабами. В августе прошлого года меня насильно призвали в немецкую армию. Я попал в 39 дивизию, находившуюся в Бельгии. В марте месяце нас отправили в Россию. В поезде мы, поляки, твёрдо договорились между собою, что не будем воевать за Гитлера и перейдём на сторону русских. Немцы были и остаются смертельными врагами нашей родины. Каждый польский патриот должен бороться против немцев до тех пор, пока гитлеровская гадина не будет раздавлена».</w:t>
      </w:r>
    </w:p>
    <w:p w14:paraId="15DEC14A"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Наше подразделение, действующее на Калининском фронте, освободило от немцев село Максимиха. На окраине села обнаружено 12 трупов красноармейцев.Установлено, что, будучи ранеными в бою, они попали в плен и зверски замучены гитлеровцами. На трупах имеются следы ножовых ран и ожогов.</w:t>
      </w:r>
    </w:p>
    <w:p w14:paraId="1DA9E603"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Французские патриоты взорвали в Бресте немецкий эшелон с вооружением. В Гаврев течение одного дня убито 5 немецких моряков. На окраине Парижа группа шофёров, насильно мобилизованных немцами для перевозки военных грузов, истребила вооружённую охрану и скрылась. Патриоты примкнули к вольным стрелкам, передав им автомашины и оружие.» (14909).</w:t>
      </w:r>
    </w:p>
    <w:p w14:paraId="19E9C86D" w14:textId="77777777" w:rsidR="0012603D" w:rsidRPr="00D03F3E" w:rsidRDefault="0012603D" w:rsidP="00D03F3E">
      <w:pPr>
        <w:spacing w:after="0" w:line="240" w:lineRule="auto"/>
        <w:jc w:val="both"/>
        <w:rPr>
          <w:rFonts w:ascii="Times New Roman" w:hAnsi="Times New Roman"/>
          <w:color w:val="000000" w:themeColor="text1"/>
          <w:sz w:val="16"/>
          <w:szCs w:val="16"/>
        </w:rPr>
      </w:pPr>
    </w:p>
    <w:p w14:paraId="38BAAE14"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 июня</w:t>
      </w:r>
      <w:r w:rsidRPr="00D03F3E">
        <w:rPr>
          <w:rFonts w:ascii="Times New Roman" w:hAnsi="Times New Roman"/>
          <w:color w:val="000000" w:themeColor="text1"/>
          <w:sz w:val="16"/>
          <w:szCs w:val="16"/>
        </w:rPr>
        <w:t xml:space="preserve"> в 1943 году вечернее сообщение Совинформбюро:</w:t>
      </w:r>
    </w:p>
    <w:p w14:paraId="6CB4FCBF"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 июня на Кубани, северо-восточнее Новороссийска, продолжались бои. На других участках фронта существенных изменений не произошло.</w:t>
      </w:r>
    </w:p>
    <w:p w14:paraId="7651102A"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кораблями и авиацией в Черном море и в Финском заливе потоплены три самоходные баржи, торпедный катер и транспорт противника.</w:t>
      </w:r>
    </w:p>
    <w:p w14:paraId="1EE600F0"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мая частями нашей авиации на различных участках фронта уничтожено или повреждено до 10 немецких танков, более 120 автомашин с войсками и грузами, взорван ряд складов боеприпасов, подавлен огонь 20 артиллерийских и миномётных батарей, рассеяно и частично уничтожено до батальона пехоты противника.</w:t>
      </w:r>
    </w:p>
    <w:p w14:paraId="78BEBD64"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истребили до 400 немецких солдат и офицеров. На одном участке разведывательный отряд Н-ской части атаковал противника и после короткого боя выбил гитлеровцев из опорного пункта. На другом участке противник пытался вести разведку боем. Наши бойцы встретили немцев сильным огнём и отбросили их на исходные позиции. На поле боя осталось 90 вражеских трупов.</w:t>
      </w:r>
    </w:p>
    <w:p w14:paraId="4874AD19"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наши подразделения уничтожили до роты гитлеровцев, разрушили 3 дзота и подавили огонь 2 миномётных батарей противника. Артиллеристы Н-ской части произвели огневой налёт на скопление танков и пехоты противника. По данным разведки, в результате артиллерийского огня выведено из строя 5 немецких танков, убито и ранено много гитлеровцев.</w:t>
      </w:r>
    </w:p>
    <w:p w14:paraId="3F217704"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наблюдением было замечено скопление немецкой пехоты. Наши миномётчики открыли огонь и уничтожили до роты гитлеровцев. На другом участке артиллерийско-миномётным огнём разрушено 3 вражеских дзота, уничтожено 3 орудия и взорван склад боеприпасов.</w:t>
      </w:r>
    </w:p>
    <w:p w14:paraId="01DFB39E"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разведывательная группа под командованием гвардии младшего лейтенанта Ушкалова внезапно атаковала немцев. В ожесточённой схватке разведчики уничтожили 17 гитлеровцев, разрушили 2 дзота и захватили пленных. Артиллеристы Н-ской части разбили 3 немецких орудия и взорвали 5 автомашин с боеприпасами.</w:t>
      </w:r>
    </w:p>
    <w:p w14:paraId="7DFA5BBB"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подразделения разрушили 22 немецких дзота, 10 землянок и 4 наблюдательных пункта, уничтожили 2 орудия и взорвали склад боеприпасов противника. Снайперы Н-ского соединения истребили 96 гитлеровцев.</w:t>
      </w:r>
    </w:p>
    <w:p w14:paraId="089E2301"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Партизанский отряд, действующий в одном из районов Житомирской области, совершил налёт на железнодорожную станцию. Советские патриоты уничтожили 27 немецких солдат и офицеров. Взорваны пути и железнодорожные стрелки. Партизанами захвачено 2 пулемёта, 19 автоматов и винтовок.</w:t>
      </w:r>
    </w:p>
    <w:p w14:paraId="35B1908A"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ефрейтор 466 полка 257 немецкой пехотной дивизии Вальтер Ц. рассказал: «Летом прошлого года остатки разгромленной 257 дивизии были отведены во Францию на переформирование. Там мы почти не чувствовали войны. В начале апреля 1943 г. дивизию снова отправили на Восток. С тяжёлым чувством ехали мы в Россию. Старые солдаты, рассказывая о боях с русскими, говорили: «Здесь мы пропадём, отсюда нет возврата». Уничтожение 6-й немецкой армии под Сталинградом открыло многим глава и показало, что Россия непобедима. Раньше солдатам вдалбливали в голову, что Германия должна покорить все народы. 3а последнее время немецкая пропаганда перестроилась. Теперь нам говорят, что необходимо любой ценой удержать завоёванное. Но солдаты, уже побывавшие на фронте, понимают, что от нас требуют невозможного. Недавно Германия получила ещё один мощный удар в Африке, или, как у нас говорят, "Тунисград". Многие солдаты видят теперь, что Германия вошла в тупик и никто уже не может спасти германскую армию от разгрома».</w:t>
      </w:r>
    </w:p>
    <w:p w14:paraId="7802DA4B"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Недавно в городе Барановичи немецко-фашистские мерзавцы устроили кровавую резню. Сначала гитлеровцы расстреляли 200 заложников. В последующие дни отряды эсэсовских палачей арестовали ещё много мирных жителей и увезли их в лес.</w:t>
      </w:r>
    </w:p>
    <w:p w14:paraId="207D591F"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лесных оврагах близ Барановичей фашистские людоеды замучили и расстреляли много ни в чём не повинных мирных советских граждан.» (14909).</w:t>
      </w:r>
    </w:p>
    <w:p w14:paraId="03D0C711" w14:textId="77777777" w:rsidR="0012603D" w:rsidRPr="00D03F3E" w:rsidRDefault="0012603D" w:rsidP="00D03F3E">
      <w:pPr>
        <w:spacing w:after="0" w:line="240" w:lineRule="auto"/>
        <w:jc w:val="both"/>
        <w:rPr>
          <w:rFonts w:ascii="Times New Roman" w:hAnsi="Times New Roman"/>
          <w:color w:val="000000" w:themeColor="text1"/>
          <w:sz w:val="16"/>
          <w:szCs w:val="16"/>
        </w:rPr>
      </w:pPr>
    </w:p>
    <w:p w14:paraId="7B71919E" w14:textId="77777777" w:rsidR="000D1833" w:rsidRPr="00D03F3E" w:rsidRDefault="000D1833" w:rsidP="00D03F3E">
      <w:pPr>
        <w:pStyle w:val="ae"/>
        <w:spacing w:before="0" w:after="0"/>
        <w:jc w:val="both"/>
        <w:textAlignment w:val="baseline"/>
        <w:rPr>
          <w:color w:val="000000" w:themeColor="text1"/>
          <w:sz w:val="16"/>
          <w:szCs w:val="16"/>
        </w:rPr>
      </w:pPr>
      <w:r w:rsidRPr="00D03F3E">
        <w:rPr>
          <w:color w:val="000000" w:themeColor="text1"/>
          <w:sz w:val="16"/>
          <w:szCs w:val="16"/>
        </w:rPr>
        <w:t>По состоянию на 1 июля 1943 г. на фронте насчитывалось 2815 Ил-2, а к 1 января 1944 г., несмотря на непрерывное пополнение, численность штурмовиков даже уменьшилась до 2413 штук. Это неудивительно, так как согласно советским данным в течение 1943 г. было потеряно в общей сложности 3515 Ил-2 (19522).</w:t>
      </w:r>
    </w:p>
    <w:p w14:paraId="4EEC4E50" w14:textId="77777777" w:rsidR="000D1833" w:rsidRPr="00D03F3E" w:rsidRDefault="000D1833" w:rsidP="00D03F3E">
      <w:pPr>
        <w:pStyle w:val="ae"/>
        <w:spacing w:before="0" w:after="0"/>
        <w:jc w:val="both"/>
        <w:textAlignment w:val="baseline"/>
        <w:rPr>
          <w:color w:val="000000" w:themeColor="text1"/>
          <w:sz w:val="16"/>
          <w:szCs w:val="16"/>
        </w:rPr>
      </w:pPr>
    </w:p>
    <w:p w14:paraId="5A852CE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июня 1943:</w:t>
      </w:r>
    </w:p>
    <w:p w14:paraId="42186B9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Боевая живучесть Ил-2 ВВС КА в 1941-45 гг. (среднее количество боевых вылетов, приходящихся на одну боевую потерю)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1559"/>
        <w:gridCol w:w="1559"/>
        <w:gridCol w:w="1559"/>
        <w:gridCol w:w="1559"/>
      </w:tblGrid>
      <w:tr w:rsidR="00860B4B" w:rsidRPr="00D03F3E" w14:paraId="407E8F3F" w14:textId="77777777">
        <w:tc>
          <w:tcPr>
            <w:tcW w:w="2660" w:type="dxa"/>
            <w:tcBorders>
              <w:top w:val="single" w:sz="12" w:space="0" w:color="auto"/>
            </w:tcBorders>
          </w:tcPr>
          <w:p w14:paraId="3DE4593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Период</w:t>
            </w:r>
          </w:p>
        </w:tc>
        <w:tc>
          <w:tcPr>
            <w:tcW w:w="1559" w:type="dxa"/>
            <w:tcBorders>
              <w:top w:val="single" w:sz="12" w:space="0" w:color="auto"/>
            </w:tcBorders>
          </w:tcPr>
          <w:p w14:paraId="7C40941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26.06.41-01.07.42 </w:t>
            </w:r>
          </w:p>
        </w:tc>
        <w:tc>
          <w:tcPr>
            <w:tcW w:w="1559" w:type="dxa"/>
            <w:tcBorders>
              <w:top w:val="single" w:sz="12" w:space="0" w:color="auto"/>
            </w:tcBorders>
          </w:tcPr>
          <w:p w14:paraId="547EE84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01.08.42-01.06.43</w:t>
            </w:r>
          </w:p>
        </w:tc>
        <w:tc>
          <w:tcPr>
            <w:tcW w:w="1559" w:type="dxa"/>
            <w:tcBorders>
              <w:top w:val="single" w:sz="12" w:space="0" w:color="auto"/>
            </w:tcBorders>
          </w:tcPr>
          <w:p w14:paraId="23A22AF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01.11.44.</w:t>
            </w:r>
          </w:p>
        </w:tc>
        <w:tc>
          <w:tcPr>
            <w:tcW w:w="1559" w:type="dxa"/>
            <w:tcBorders>
              <w:top w:val="single" w:sz="12" w:space="0" w:color="auto"/>
            </w:tcBorders>
          </w:tcPr>
          <w:p w14:paraId="1F55FAA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01.01.45-09.05.45</w:t>
            </w:r>
          </w:p>
        </w:tc>
      </w:tr>
      <w:tr w:rsidR="00860B4B" w:rsidRPr="00D03F3E" w14:paraId="537B3DD7" w14:textId="77777777">
        <w:tc>
          <w:tcPr>
            <w:tcW w:w="2660" w:type="dxa"/>
          </w:tcPr>
          <w:p w14:paraId="524A39E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Ил-2</w:t>
            </w:r>
          </w:p>
        </w:tc>
        <w:tc>
          <w:tcPr>
            <w:tcW w:w="1559" w:type="dxa"/>
          </w:tcPr>
          <w:p w14:paraId="049C40D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w:t>
            </w:r>
          </w:p>
        </w:tc>
        <w:tc>
          <w:tcPr>
            <w:tcW w:w="1559" w:type="dxa"/>
          </w:tcPr>
          <w:p w14:paraId="79703D7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p>
        </w:tc>
        <w:tc>
          <w:tcPr>
            <w:tcW w:w="1559" w:type="dxa"/>
          </w:tcPr>
          <w:p w14:paraId="61F3C5E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w:t>
            </w:r>
          </w:p>
        </w:tc>
        <w:tc>
          <w:tcPr>
            <w:tcW w:w="1559" w:type="dxa"/>
          </w:tcPr>
          <w:p w14:paraId="5FFBA1C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w:t>
            </w:r>
          </w:p>
        </w:tc>
      </w:tr>
      <w:tr w:rsidR="00860B4B" w:rsidRPr="00D03F3E" w14:paraId="152EA70E" w14:textId="77777777">
        <w:tc>
          <w:tcPr>
            <w:tcW w:w="2660" w:type="dxa"/>
          </w:tcPr>
          <w:p w14:paraId="3A00516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Истребители</w:t>
            </w:r>
          </w:p>
        </w:tc>
        <w:tc>
          <w:tcPr>
            <w:tcW w:w="1559" w:type="dxa"/>
          </w:tcPr>
          <w:p w14:paraId="394080C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w:t>
            </w:r>
          </w:p>
        </w:tc>
        <w:tc>
          <w:tcPr>
            <w:tcW w:w="1559" w:type="dxa"/>
          </w:tcPr>
          <w:p w14:paraId="7A99961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w:t>
            </w:r>
          </w:p>
        </w:tc>
        <w:tc>
          <w:tcPr>
            <w:tcW w:w="1559" w:type="dxa"/>
          </w:tcPr>
          <w:p w14:paraId="711F6F2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127</w:t>
            </w:r>
          </w:p>
        </w:tc>
        <w:tc>
          <w:tcPr>
            <w:tcW w:w="1559" w:type="dxa"/>
          </w:tcPr>
          <w:p w14:paraId="5DF82EF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w:t>
            </w:r>
          </w:p>
        </w:tc>
      </w:tr>
      <w:tr w:rsidR="00860B4B" w:rsidRPr="00D03F3E" w14:paraId="19361989" w14:textId="77777777">
        <w:tc>
          <w:tcPr>
            <w:tcW w:w="2660" w:type="dxa"/>
            <w:tcBorders>
              <w:bottom w:val="single" w:sz="12" w:space="0" w:color="auto"/>
            </w:tcBorders>
          </w:tcPr>
          <w:p w14:paraId="39CB781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Бомбардировщики</w:t>
            </w:r>
          </w:p>
        </w:tc>
        <w:tc>
          <w:tcPr>
            <w:tcW w:w="1559" w:type="dxa"/>
            <w:tcBorders>
              <w:bottom w:val="single" w:sz="12" w:space="0" w:color="auto"/>
            </w:tcBorders>
          </w:tcPr>
          <w:p w14:paraId="4DCAC01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w:t>
            </w:r>
          </w:p>
        </w:tc>
        <w:tc>
          <w:tcPr>
            <w:tcW w:w="1559" w:type="dxa"/>
            <w:tcBorders>
              <w:bottom w:val="single" w:sz="12" w:space="0" w:color="auto"/>
            </w:tcBorders>
          </w:tcPr>
          <w:p w14:paraId="7637A22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w:t>
            </w:r>
          </w:p>
        </w:tc>
        <w:tc>
          <w:tcPr>
            <w:tcW w:w="1559" w:type="dxa"/>
            <w:tcBorders>
              <w:bottom w:val="single" w:sz="12" w:space="0" w:color="auto"/>
            </w:tcBorders>
          </w:tcPr>
          <w:p w14:paraId="4F5542D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125</w:t>
            </w:r>
          </w:p>
        </w:tc>
        <w:tc>
          <w:tcPr>
            <w:tcW w:w="1559" w:type="dxa"/>
            <w:tcBorders>
              <w:bottom w:val="single" w:sz="12" w:space="0" w:color="auto"/>
            </w:tcBorders>
          </w:tcPr>
          <w:p w14:paraId="14F1BEE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133</w:t>
            </w:r>
          </w:p>
        </w:tc>
      </w:tr>
    </w:tbl>
    <w:p w14:paraId="4B7E604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(12020).</w:t>
      </w:r>
    </w:p>
    <w:p w14:paraId="4A4076E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61D95F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 июня 1943 г. в составе действующей армии насчитывалось 32 И-15бис (главным образом в 7-й и 4-й воздушных армиях). Кроме того, в этот период до 40 экземпляров имелось в составе тыловых соединений ПВО н летных школах. Для большинства этих машин 1943-й год стал последним годом практического использования (12014).</w:t>
      </w:r>
    </w:p>
    <w:p w14:paraId="580E103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E91341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ВЕДОМОСТЬ НАЛИЧИЯ И ТЕХНИЧЕСКОГО СОСТОЯНИЯ ТАНКОВ РЕЗЕРВА ГБТУ КА ПО СОСТОЯНИЮ НА 1 ИЮНЯ 1943 г. № 1152066</w:t>
      </w:r>
    </w:p>
    <w:tbl>
      <w:tblPr>
        <w:tblW w:w="0" w:type="auto"/>
        <w:tblInd w:w="40" w:type="dxa"/>
        <w:tblLayout w:type="fixed"/>
        <w:tblCellMar>
          <w:left w:w="40" w:type="dxa"/>
          <w:right w:w="40" w:type="dxa"/>
        </w:tblCellMar>
        <w:tblLook w:val="0000" w:firstRow="0" w:lastRow="0" w:firstColumn="0" w:lastColumn="0" w:noHBand="0" w:noVBand="0"/>
      </w:tblPr>
      <w:tblGrid>
        <w:gridCol w:w="851"/>
        <w:gridCol w:w="2835"/>
        <w:gridCol w:w="850"/>
        <w:gridCol w:w="993"/>
        <w:gridCol w:w="1134"/>
        <w:gridCol w:w="1275"/>
        <w:gridCol w:w="1418"/>
      </w:tblGrid>
      <w:tr w:rsidR="00860B4B" w:rsidRPr="00D03F3E" w14:paraId="3982AF5E" w14:textId="77777777">
        <w:trPr>
          <w:trHeight w:val="221"/>
        </w:trPr>
        <w:tc>
          <w:tcPr>
            <w:tcW w:w="851" w:type="dxa"/>
            <w:tcBorders>
              <w:top w:val="single" w:sz="6" w:space="0" w:color="auto"/>
              <w:left w:val="single" w:sz="6" w:space="0" w:color="auto"/>
              <w:bottom w:val="nil"/>
              <w:right w:val="single" w:sz="6" w:space="0" w:color="auto"/>
            </w:tcBorders>
          </w:tcPr>
          <w:p w14:paraId="1388714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46FAF7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nil"/>
              <w:right w:val="single" w:sz="6" w:space="0" w:color="auto"/>
            </w:tcBorders>
          </w:tcPr>
          <w:p w14:paraId="7BAAC11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Наименование танков и их состояние</w:t>
            </w:r>
          </w:p>
          <w:p w14:paraId="60BF7CE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nil"/>
              <w:right w:val="single" w:sz="6" w:space="0" w:color="auto"/>
            </w:tcBorders>
          </w:tcPr>
          <w:p w14:paraId="2D2898F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Состоит и учтено на 1 июня 1943 г.</w:t>
            </w:r>
          </w:p>
          <w:p w14:paraId="09821CA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4820" w:type="dxa"/>
            <w:gridSpan w:val="4"/>
            <w:tcBorders>
              <w:top w:val="single" w:sz="6" w:space="0" w:color="auto"/>
              <w:left w:val="single" w:sz="6" w:space="0" w:color="auto"/>
              <w:bottom w:val="single" w:sz="6" w:space="0" w:color="auto"/>
              <w:right w:val="single" w:sz="6" w:space="0" w:color="auto"/>
            </w:tcBorders>
          </w:tcPr>
          <w:p w14:paraId="5F91ADA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Соединения, отдельные части учреждения и заведения</w:t>
            </w:r>
          </w:p>
          <w:p w14:paraId="72BF8C9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667CF119" w14:textId="77777777">
        <w:trPr>
          <w:trHeight w:val="374"/>
        </w:trPr>
        <w:tc>
          <w:tcPr>
            <w:tcW w:w="851" w:type="dxa"/>
            <w:tcBorders>
              <w:top w:val="nil"/>
              <w:left w:val="single" w:sz="6" w:space="0" w:color="auto"/>
              <w:bottom w:val="single" w:sz="6" w:space="0" w:color="auto"/>
              <w:right w:val="single" w:sz="6" w:space="0" w:color="auto"/>
            </w:tcBorders>
          </w:tcPr>
          <w:p w14:paraId="658E698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372A18E"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nil"/>
              <w:left w:val="single" w:sz="6" w:space="0" w:color="auto"/>
              <w:bottom w:val="single" w:sz="6" w:space="0" w:color="auto"/>
              <w:right w:val="single" w:sz="6" w:space="0" w:color="auto"/>
            </w:tcBorders>
          </w:tcPr>
          <w:p w14:paraId="7FAC8BB0"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977ED9B"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850" w:type="dxa"/>
            <w:tcBorders>
              <w:top w:val="nil"/>
              <w:left w:val="single" w:sz="6" w:space="0" w:color="auto"/>
              <w:bottom w:val="single" w:sz="6" w:space="0" w:color="auto"/>
              <w:right w:val="single" w:sz="6" w:space="0" w:color="auto"/>
            </w:tcBorders>
          </w:tcPr>
          <w:p w14:paraId="28E300C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7A2290A"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30D2E7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Горьковск. отдел в/приемки</w:t>
            </w:r>
          </w:p>
          <w:p w14:paraId="7BBB554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CC46A4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Бакинский отдел в/приемки</w:t>
            </w:r>
          </w:p>
          <w:p w14:paraId="762DF0A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5B75D56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отд. уч. тан</w:t>
            </w:r>
            <w:r w:rsidRPr="00D03F3E">
              <w:rPr>
                <w:rFonts w:ascii="Times New Roman" w:hAnsi="Times New Roman"/>
                <w:color w:val="000000" w:themeColor="text1"/>
                <w:sz w:val="16"/>
                <w:szCs w:val="16"/>
              </w:rPr>
              <w:softHyphen/>
              <w:t>ков, полк</w:t>
            </w:r>
          </w:p>
          <w:p w14:paraId="5288231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BB6E0F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рем. завод №12</w:t>
            </w:r>
          </w:p>
          <w:p w14:paraId="41E0C1F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77F3083A" w14:textId="77777777">
        <w:trPr>
          <w:trHeight w:val="230"/>
        </w:trPr>
        <w:tc>
          <w:tcPr>
            <w:tcW w:w="851" w:type="dxa"/>
            <w:tcBorders>
              <w:top w:val="single" w:sz="6" w:space="0" w:color="auto"/>
              <w:left w:val="single" w:sz="6" w:space="0" w:color="auto"/>
              <w:bottom w:val="nil"/>
              <w:right w:val="single" w:sz="6" w:space="0" w:color="auto"/>
            </w:tcBorders>
          </w:tcPr>
          <w:p w14:paraId="623A2EE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Танки Черчилль</w:t>
            </w:r>
          </w:p>
          <w:p w14:paraId="6D2690E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7B91320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штату</w:t>
            </w:r>
          </w:p>
          <w:p w14:paraId="0C39F19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5F70C9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1AB070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693948E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5AF541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23A8FD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BADD50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36D2027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1B4C34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EB3676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392F5F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1D50346C" w14:textId="77777777">
        <w:trPr>
          <w:trHeight w:val="230"/>
        </w:trPr>
        <w:tc>
          <w:tcPr>
            <w:tcW w:w="851" w:type="dxa"/>
            <w:tcBorders>
              <w:top w:val="nil"/>
              <w:left w:val="single" w:sz="6" w:space="0" w:color="auto"/>
              <w:bottom w:val="nil"/>
              <w:right w:val="single" w:sz="6" w:space="0" w:color="auto"/>
            </w:tcBorders>
          </w:tcPr>
          <w:p w14:paraId="418F90C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BB312DE"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5FE794E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списку</w:t>
            </w:r>
          </w:p>
          <w:p w14:paraId="524956D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2952A8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0F8E691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6563947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3842862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B21242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17445B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14A3E9E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F50399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3BD984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B8736D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4A73E667" w14:textId="77777777">
        <w:trPr>
          <w:trHeight w:val="230"/>
        </w:trPr>
        <w:tc>
          <w:tcPr>
            <w:tcW w:w="851" w:type="dxa"/>
            <w:tcBorders>
              <w:top w:val="nil"/>
              <w:left w:val="single" w:sz="6" w:space="0" w:color="auto"/>
              <w:bottom w:val="nil"/>
              <w:right w:val="single" w:sz="6" w:space="0" w:color="auto"/>
            </w:tcBorders>
          </w:tcPr>
          <w:p w14:paraId="28F7C3F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424AA93"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4DB0A1D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них</w:t>
            </w:r>
          </w:p>
          <w:p w14:paraId="0C3CB5A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011A2A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0F98E7F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78078A4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451A62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B61167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6A6BDD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35CD1A2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870FD1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1AB558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64FC9F3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79E64FE5" w14:textId="77777777">
        <w:trPr>
          <w:trHeight w:val="422"/>
        </w:trPr>
        <w:tc>
          <w:tcPr>
            <w:tcW w:w="851" w:type="dxa"/>
            <w:tcBorders>
              <w:top w:val="nil"/>
              <w:left w:val="single" w:sz="6" w:space="0" w:color="auto"/>
              <w:bottom w:val="nil"/>
              <w:right w:val="single" w:sz="6" w:space="0" w:color="auto"/>
            </w:tcBorders>
          </w:tcPr>
          <w:p w14:paraId="5B5AE1D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8961E6A"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42199C4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исправных ( в том числе и требую</w:t>
            </w:r>
            <w:r w:rsidRPr="00D03F3E">
              <w:rPr>
                <w:rFonts w:ascii="Times New Roman" w:hAnsi="Times New Roman"/>
                <w:color w:val="000000" w:themeColor="text1"/>
                <w:sz w:val="16"/>
                <w:szCs w:val="16"/>
              </w:rPr>
              <w:softHyphen/>
              <w:t>щих текущ. ремонта)</w:t>
            </w:r>
          </w:p>
          <w:p w14:paraId="6B8D2C7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1F0389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17B88EE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E4F837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6B7371F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6E8666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CAE3EE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23B140C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20EBF9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ADA32D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FDD5A8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149BEC98" w14:textId="77777777">
        <w:trPr>
          <w:trHeight w:val="230"/>
        </w:trPr>
        <w:tc>
          <w:tcPr>
            <w:tcW w:w="851" w:type="dxa"/>
            <w:tcBorders>
              <w:top w:val="nil"/>
              <w:left w:val="single" w:sz="6" w:space="0" w:color="auto"/>
              <w:bottom w:val="single" w:sz="6" w:space="0" w:color="auto"/>
              <w:right w:val="single" w:sz="6" w:space="0" w:color="auto"/>
            </w:tcBorders>
          </w:tcPr>
          <w:p w14:paraId="1393EB2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CB0B419"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11F9EBC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Требующих средн. ремонта</w:t>
            </w:r>
          </w:p>
          <w:p w14:paraId="3BD6790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DEDA53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0E7CDC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7CE17D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87691E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7C897E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579116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609C652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AE10B0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6716D3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87827C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2EE74283" w14:textId="77777777">
        <w:trPr>
          <w:trHeight w:val="230"/>
        </w:trPr>
        <w:tc>
          <w:tcPr>
            <w:tcW w:w="851" w:type="dxa"/>
            <w:tcBorders>
              <w:top w:val="single" w:sz="6" w:space="0" w:color="auto"/>
              <w:left w:val="single" w:sz="6" w:space="0" w:color="auto"/>
              <w:bottom w:val="nil"/>
              <w:right w:val="single" w:sz="6" w:space="0" w:color="auto"/>
            </w:tcBorders>
          </w:tcPr>
          <w:p w14:paraId="3CD0462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Танки КВ</w:t>
            </w:r>
          </w:p>
          <w:p w14:paraId="1D1F41B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53281E1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штату</w:t>
            </w:r>
          </w:p>
          <w:p w14:paraId="4517E6D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40FFE20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38F268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5C59F7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982BE2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7C644B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C47438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34F64F1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845C06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6F4454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413992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5DFD172A" w14:textId="77777777">
        <w:trPr>
          <w:trHeight w:val="230"/>
        </w:trPr>
        <w:tc>
          <w:tcPr>
            <w:tcW w:w="851" w:type="dxa"/>
            <w:tcBorders>
              <w:top w:val="nil"/>
              <w:left w:val="single" w:sz="6" w:space="0" w:color="auto"/>
              <w:bottom w:val="nil"/>
              <w:right w:val="single" w:sz="6" w:space="0" w:color="auto"/>
            </w:tcBorders>
          </w:tcPr>
          <w:p w14:paraId="78EF713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4D7D5E1"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3734CC8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списку</w:t>
            </w:r>
          </w:p>
          <w:p w14:paraId="7F96AB2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230269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p w14:paraId="1C46719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557F65F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X</w:t>
            </w:r>
          </w:p>
          <w:p w14:paraId="1376DD7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219FA7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49A971F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0486751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547A59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8A8535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0C92275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05C5A8DD" w14:textId="77777777">
        <w:trPr>
          <w:trHeight w:val="221"/>
        </w:trPr>
        <w:tc>
          <w:tcPr>
            <w:tcW w:w="851" w:type="dxa"/>
            <w:tcBorders>
              <w:top w:val="nil"/>
              <w:left w:val="single" w:sz="6" w:space="0" w:color="auto"/>
              <w:bottom w:val="nil"/>
              <w:right w:val="single" w:sz="6" w:space="0" w:color="auto"/>
            </w:tcBorders>
          </w:tcPr>
          <w:p w14:paraId="516E942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A376E19"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5B87703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них</w:t>
            </w:r>
          </w:p>
          <w:p w14:paraId="75E83A6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91668F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BC6F3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3A6AE3F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1B7D7B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4DC4E2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2AF9FA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668D00B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A61630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52077E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9A5B96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648F5B1F" w14:textId="77777777">
        <w:trPr>
          <w:trHeight w:val="422"/>
        </w:trPr>
        <w:tc>
          <w:tcPr>
            <w:tcW w:w="851" w:type="dxa"/>
            <w:tcBorders>
              <w:top w:val="nil"/>
              <w:left w:val="single" w:sz="6" w:space="0" w:color="auto"/>
              <w:bottom w:val="nil"/>
              <w:right w:val="single" w:sz="6" w:space="0" w:color="auto"/>
            </w:tcBorders>
          </w:tcPr>
          <w:p w14:paraId="0AEBEBF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7C86017"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7D1B016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Исправных (в том числе и требую</w:t>
            </w:r>
            <w:r w:rsidRPr="00D03F3E">
              <w:rPr>
                <w:rFonts w:ascii="Times New Roman" w:hAnsi="Times New Roman"/>
                <w:color w:val="000000" w:themeColor="text1"/>
                <w:sz w:val="16"/>
                <w:szCs w:val="16"/>
              </w:rPr>
              <w:softHyphen/>
              <w:t>щих текущ. ремонта)</w:t>
            </w:r>
          </w:p>
          <w:p w14:paraId="1011F5A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C0AFAA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6C3E24A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7118BB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6729ABF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4B8182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6584353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1BFA41A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AB609E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4A7838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96E390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4D5262EE" w14:textId="77777777">
        <w:trPr>
          <w:trHeight w:val="240"/>
        </w:trPr>
        <w:tc>
          <w:tcPr>
            <w:tcW w:w="851" w:type="dxa"/>
            <w:tcBorders>
              <w:top w:val="nil"/>
              <w:left w:val="single" w:sz="6" w:space="0" w:color="auto"/>
              <w:bottom w:val="single" w:sz="6" w:space="0" w:color="auto"/>
              <w:right w:val="single" w:sz="6" w:space="0" w:color="auto"/>
            </w:tcBorders>
          </w:tcPr>
          <w:p w14:paraId="6AA7A55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C7E6507"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57F68B6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Требующих сред. Ремонта</w:t>
            </w:r>
          </w:p>
          <w:p w14:paraId="284E70F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450945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0/2</w:t>
            </w:r>
          </w:p>
          <w:p w14:paraId="0256A01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5047B8A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A8441B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ED96F1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6883B0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534E05E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345B19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3BA773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0/2</w:t>
            </w:r>
          </w:p>
          <w:p w14:paraId="337C944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405C655B" w14:textId="77777777">
        <w:trPr>
          <w:trHeight w:val="221"/>
        </w:trPr>
        <w:tc>
          <w:tcPr>
            <w:tcW w:w="851" w:type="dxa"/>
            <w:tcBorders>
              <w:top w:val="single" w:sz="6" w:space="0" w:color="auto"/>
              <w:left w:val="single" w:sz="6" w:space="0" w:color="auto"/>
              <w:bottom w:val="nil"/>
              <w:right w:val="single" w:sz="6" w:space="0" w:color="auto"/>
            </w:tcBorders>
          </w:tcPr>
          <w:p w14:paraId="6CAA223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Танки М4А2</w:t>
            </w:r>
          </w:p>
          <w:p w14:paraId="55EEBAE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4285B2C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штату</w:t>
            </w:r>
          </w:p>
          <w:p w14:paraId="1E29056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6C0998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5CEC5D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888448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EBA128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365F8A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A00BAD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190CAF5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6AF38E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B27CF4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1471E2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2CB9002F" w14:textId="77777777">
        <w:trPr>
          <w:trHeight w:val="230"/>
        </w:trPr>
        <w:tc>
          <w:tcPr>
            <w:tcW w:w="851" w:type="dxa"/>
            <w:tcBorders>
              <w:top w:val="nil"/>
              <w:left w:val="single" w:sz="6" w:space="0" w:color="auto"/>
              <w:bottom w:val="nil"/>
              <w:right w:val="single" w:sz="6" w:space="0" w:color="auto"/>
            </w:tcBorders>
          </w:tcPr>
          <w:p w14:paraId="33A92DD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C4FC25A"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1ADFFA9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списку</w:t>
            </w:r>
          </w:p>
          <w:p w14:paraId="1D9C80E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8097A1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w:t>
            </w:r>
          </w:p>
          <w:p w14:paraId="3E9E180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520CA38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9EB3E5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0C3CC4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5280818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26F5172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w:t>
            </w:r>
          </w:p>
          <w:p w14:paraId="2386964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D3FEA7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p w14:paraId="1813052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2C04BDE8" w14:textId="77777777">
        <w:trPr>
          <w:trHeight w:val="432"/>
        </w:trPr>
        <w:tc>
          <w:tcPr>
            <w:tcW w:w="851" w:type="dxa"/>
            <w:tcBorders>
              <w:top w:val="nil"/>
              <w:left w:val="single" w:sz="6" w:space="0" w:color="auto"/>
              <w:bottom w:val="nil"/>
              <w:right w:val="single" w:sz="6" w:space="0" w:color="auto"/>
            </w:tcBorders>
          </w:tcPr>
          <w:p w14:paraId="5048D73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574AE59"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3851589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Исправных (в том числе и требую</w:t>
            </w:r>
            <w:r w:rsidRPr="00D03F3E">
              <w:rPr>
                <w:rFonts w:ascii="Times New Roman" w:hAnsi="Times New Roman"/>
                <w:color w:val="000000" w:themeColor="text1"/>
                <w:sz w:val="16"/>
                <w:szCs w:val="16"/>
              </w:rPr>
              <w:softHyphen/>
              <w:t>щих текущего ремонта).</w:t>
            </w:r>
          </w:p>
          <w:p w14:paraId="23C12F1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4537633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p w14:paraId="78E5E5C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6AC26D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55A8DD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DFFA65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039CB3B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2DA74D2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w:t>
            </w:r>
          </w:p>
          <w:p w14:paraId="064854B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FE6F87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AD72DC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1B9848DE" w14:textId="77777777">
        <w:trPr>
          <w:trHeight w:val="221"/>
        </w:trPr>
        <w:tc>
          <w:tcPr>
            <w:tcW w:w="851" w:type="dxa"/>
            <w:tcBorders>
              <w:top w:val="nil"/>
              <w:left w:val="single" w:sz="6" w:space="0" w:color="auto"/>
              <w:bottom w:val="single" w:sz="6" w:space="0" w:color="auto"/>
              <w:right w:val="single" w:sz="6" w:space="0" w:color="auto"/>
            </w:tcBorders>
          </w:tcPr>
          <w:p w14:paraId="4CF63C2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D6F94D1"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5CACE3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Требующих среднего ремонта</w:t>
            </w:r>
          </w:p>
          <w:p w14:paraId="6F94199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FA7042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0/8</w:t>
            </w:r>
          </w:p>
          <w:p w14:paraId="6556687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3EF1739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FEC5F1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A07E8A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C74B0C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03AE639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42E57A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0E5F21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0/8</w:t>
            </w:r>
          </w:p>
          <w:p w14:paraId="60864F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7D201FD2" w14:textId="77777777">
        <w:trPr>
          <w:trHeight w:val="230"/>
        </w:trPr>
        <w:tc>
          <w:tcPr>
            <w:tcW w:w="851" w:type="dxa"/>
            <w:tcBorders>
              <w:top w:val="single" w:sz="6" w:space="0" w:color="auto"/>
              <w:left w:val="single" w:sz="6" w:space="0" w:color="auto"/>
              <w:bottom w:val="nil"/>
              <w:right w:val="single" w:sz="6" w:space="0" w:color="auto"/>
            </w:tcBorders>
          </w:tcPr>
          <w:p w14:paraId="3C30261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Танки МЗ средн.</w:t>
            </w:r>
          </w:p>
          <w:p w14:paraId="1E3332F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2D367D4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штату</w:t>
            </w:r>
          </w:p>
          <w:p w14:paraId="1E6FEC7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46CEB65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3361B2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DBC37B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8B2B9E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B91DF6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63362A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2C5BA4E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2D16F9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7B370A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9F5FE0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09B60D0F" w14:textId="77777777">
        <w:trPr>
          <w:trHeight w:val="221"/>
        </w:trPr>
        <w:tc>
          <w:tcPr>
            <w:tcW w:w="851" w:type="dxa"/>
            <w:tcBorders>
              <w:top w:val="nil"/>
              <w:left w:val="single" w:sz="6" w:space="0" w:color="auto"/>
              <w:bottom w:val="nil"/>
              <w:right w:val="single" w:sz="6" w:space="0" w:color="auto"/>
            </w:tcBorders>
          </w:tcPr>
          <w:p w14:paraId="5471B91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9D6A6A9"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2AC46C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списку</w:t>
            </w:r>
          </w:p>
          <w:p w14:paraId="4C76B87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018F76F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p w14:paraId="77D38B0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0988F58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63F9EE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1BF9E2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F22BA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126AB70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22FC243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E0727C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338ED60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5E2FEAA1" w14:textId="77777777">
        <w:trPr>
          <w:trHeight w:val="230"/>
        </w:trPr>
        <w:tc>
          <w:tcPr>
            <w:tcW w:w="851" w:type="dxa"/>
            <w:tcBorders>
              <w:top w:val="nil"/>
              <w:left w:val="single" w:sz="6" w:space="0" w:color="auto"/>
              <w:bottom w:val="nil"/>
              <w:right w:val="single" w:sz="6" w:space="0" w:color="auto"/>
            </w:tcBorders>
          </w:tcPr>
          <w:p w14:paraId="281FC09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52CD113"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035DACC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них</w:t>
            </w:r>
          </w:p>
          <w:p w14:paraId="3BBA373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71E4380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B464D9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331B8D2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303995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C1F707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D2A130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32286A7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389A4F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28B292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0FB642D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6240B41A" w14:textId="77777777">
        <w:trPr>
          <w:trHeight w:val="432"/>
        </w:trPr>
        <w:tc>
          <w:tcPr>
            <w:tcW w:w="851" w:type="dxa"/>
            <w:tcBorders>
              <w:top w:val="nil"/>
              <w:left w:val="single" w:sz="6" w:space="0" w:color="auto"/>
              <w:bottom w:val="nil"/>
              <w:right w:val="single" w:sz="6" w:space="0" w:color="auto"/>
            </w:tcBorders>
          </w:tcPr>
          <w:p w14:paraId="6F49143A"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199EAEE"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68D6A20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Исправных (в том числе и требую</w:t>
            </w:r>
            <w:r w:rsidRPr="00D03F3E">
              <w:rPr>
                <w:rFonts w:ascii="Times New Roman" w:hAnsi="Times New Roman"/>
                <w:color w:val="000000" w:themeColor="text1"/>
                <w:sz w:val="16"/>
                <w:szCs w:val="16"/>
              </w:rPr>
              <w:softHyphen/>
              <w:t>щих текущего ремонта)</w:t>
            </w:r>
          </w:p>
          <w:p w14:paraId="0D1299C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DA2E3E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0D0CEE2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418351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FB989A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BE36EE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F22E25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185233E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249E921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2566BE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876023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3C9E1DD3" w14:textId="77777777">
        <w:trPr>
          <w:trHeight w:val="250"/>
        </w:trPr>
        <w:tc>
          <w:tcPr>
            <w:tcW w:w="851" w:type="dxa"/>
            <w:tcBorders>
              <w:top w:val="nil"/>
              <w:left w:val="single" w:sz="6" w:space="0" w:color="auto"/>
              <w:bottom w:val="single" w:sz="6" w:space="0" w:color="auto"/>
              <w:right w:val="single" w:sz="6" w:space="0" w:color="auto"/>
            </w:tcBorders>
          </w:tcPr>
          <w:p w14:paraId="674A307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432626F"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3BF6F2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Требующих среднего ремонта</w:t>
            </w:r>
          </w:p>
          <w:p w14:paraId="0BD317B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3C418D3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0/2</w:t>
            </w:r>
          </w:p>
          <w:p w14:paraId="39D43B1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DECE59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w:t>
            </w:r>
          </w:p>
          <w:p w14:paraId="242F7BD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CAF89C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w:t>
            </w:r>
          </w:p>
          <w:p w14:paraId="05447AF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2F2F3FD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w:t>
            </w:r>
          </w:p>
          <w:p w14:paraId="42B1AFB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5AFD7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0/2</w:t>
            </w:r>
          </w:p>
          <w:p w14:paraId="35DEBA4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1F4FEFFD" w14:textId="77777777">
        <w:trPr>
          <w:trHeight w:val="230"/>
        </w:trPr>
        <w:tc>
          <w:tcPr>
            <w:tcW w:w="851" w:type="dxa"/>
            <w:tcBorders>
              <w:top w:val="single" w:sz="6" w:space="0" w:color="auto"/>
              <w:left w:val="single" w:sz="6" w:space="0" w:color="auto"/>
              <w:bottom w:val="nil"/>
              <w:right w:val="single" w:sz="6" w:space="0" w:color="auto"/>
            </w:tcBorders>
          </w:tcPr>
          <w:p w14:paraId="18EAF9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Танки МЗ легк.</w:t>
            </w:r>
          </w:p>
          <w:p w14:paraId="0965FEC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28ECD4F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штату</w:t>
            </w:r>
          </w:p>
          <w:p w14:paraId="20B1EC8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4CCD69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151DC0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5C733C6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BE1344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99F611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25D366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1CFDE9D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400825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2954E6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4EC7BA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0BED344B" w14:textId="77777777">
        <w:trPr>
          <w:trHeight w:val="230"/>
        </w:trPr>
        <w:tc>
          <w:tcPr>
            <w:tcW w:w="851" w:type="dxa"/>
            <w:tcBorders>
              <w:top w:val="nil"/>
              <w:left w:val="single" w:sz="6" w:space="0" w:color="auto"/>
              <w:bottom w:val="nil"/>
              <w:right w:val="single" w:sz="6" w:space="0" w:color="auto"/>
            </w:tcBorders>
          </w:tcPr>
          <w:p w14:paraId="58B6733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A6F92B8"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555C997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списку</w:t>
            </w:r>
          </w:p>
          <w:p w14:paraId="5C77AD3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763DDC8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r w:rsidRPr="00D03F3E">
              <w:rPr>
                <w:rFonts w:ascii="Times New Roman" w:hAnsi="Times New Roman"/>
                <w:color w:val="000000" w:themeColor="text1"/>
                <w:sz w:val="16"/>
                <w:szCs w:val="16"/>
                <w:vertAlign w:val="superscript"/>
              </w:rPr>
              <w:t>1</w:t>
            </w:r>
          </w:p>
          <w:p w14:paraId="3E42A31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D77F7C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E699D9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4D0170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E0F571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3D8C92A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p w14:paraId="54E3CCB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231687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p w14:paraId="7C816AD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6F812344" w14:textId="77777777">
        <w:trPr>
          <w:trHeight w:val="230"/>
        </w:trPr>
        <w:tc>
          <w:tcPr>
            <w:tcW w:w="851" w:type="dxa"/>
            <w:tcBorders>
              <w:top w:val="nil"/>
              <w:left w:val="single" w:sz="6" w:space="0" w:color="auto"/>
              <w:bottom w:val="nil"/>
              <w:right w:val="single" w:sz="6" w:space="0" w:color="auto"/>
            </w:tcBorders>
          </w:tcPr>
          <w:p w14:paraId="25FBE7E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BFC6DC5"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2E0C0B2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них</w:t>
            </w:r>
          </w:p>
          <w:p w14:paraId="1F141F2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1FAC73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6CB8A85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031E45D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B6AA3F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52150E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6A29059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42C8EFC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1A3E21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726422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1C5E22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5E94227F" w14:textId="77777777">
        <w:trPr>
          <w:trHeight w:val="422"/>
        </w:trPr>
        <w:tc>
          <w:tcPr>
            <w:tcW w:w="851" w:type="dxa"/>
            <w:tcBorders>
              <w:top w:val="nil"/>
              <w:left w:val="single" w:sz="6" w:space="0" w:color="auto"/>
              <w:bottom w:val="nil"/>
              <w:right w:val="single" w:sz="6" w:space="0" w:color="auto"/>
            </w:tcBorders>
          </w:tcPr>
          <w:p w14:paraId="4832DDA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26DB2D2"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2571FEC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Исправных (в том числе и требую</w:t>
            </w:r>
            <w:r w:rsidRPr="00D03F3E">
              <w:rPr>
                <w:rFonts w:ascii="Times New Roman" w:hAnsi="Times New Roman"/>
                <w:color w:val="000000" w:themeColor="text1"/>
                <w:sz w:val="16"/>
                <w:szCs w:val="16"/>
              </w:rPr>
              <w:softHyphen/>
              <w:t>щих ремонта)</w:t>
            </w:r>
          </w:p>
          <w:p w14:paraId="2146EB2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38B759F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p w14:paraId="6D02E75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371DE8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273C16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DD07C9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249833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293B388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p w14:paraId="5FF3AC2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220B86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C4F058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61EA4FD7" w14:textId="77777777">
        <w:trPr>
          <w:trHeight w:val="250"/>
        </w:trPr>
        <w:tc>
          <w:tcPr>
            <w:tcW w:w="851" w:type="dxa"/>
            <w:tcBorders>
              <w:top w:val="nil"/>
              <w:left w:val="single" w:sz="6" w:space="0" w:color="auto"/>
              <w:bottom w:val="single" w:sz="6" w:space="0" w:color="auto"/>
              <w:right w:val="single" w:sz="6" w:space="0" w:color="auto"/>
            </w:tcBorders>
          </w:tcPr>
          <w:p w14:paraId="73FC582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2CE86DE"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3818BD3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Требующих среднего ремонта</w:t>
            </w:r>
          </w:p>
          <w:p w14:paraId="281F437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26C025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0/5</w:t>
            </w:r>
          </w:p>
          <w:p w14:paraId="14A1F8A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4CDEC7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AF5BFD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0CC70F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E15BA5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729AB84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49C74B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136E40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0/5</w:t>
            </w:r>
          </w:p>
          <w:p w14:paraId="61D5CB6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bl>
    <w:p w14:paraId="7505E83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 П Из числа 26 танков МЗ легк. — 9 танков из числа обезличенных, полученных из капитального ремонта.</w:t>
      </w:r>
    </w:p>
    <w:p w14:paraId="7EAB2CA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Танки резерва ГБТУ КА, исчисляющиеся в 5-м и 6-м учебных танковых брига</w:t>
      </w:r>
      <w:r w:rsidRPr="00D03F3E">
        <w:rPr>
          <w:rFonts w:ascii="Times New Roman" w:hAnsi="Times New Roman"/>
          <w:color w:val="000000" w:themeColor="text1"/>
          <w:sz w:val="16"/>
          <w:szCs w:val="16"/>
        </w:rPr>
        <w:softHyphen/>
        <w:t>дах и на рем. базах 97 и 1 ОУРВЗ показаны, как переучтенные МВО.</w:t>
      </w:r>
    </w:p>
    <w:p w14:paraId="07DDAB7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И.о. начальника 5 отд. ТУ ГБТУ КА подполковник административной службы Ткачев</w:t>
      </w:r>
    </w:p>
    <w:p w14:paraId="5E0793C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1677. Л. 156. Подлинник (11403).</w:t>
      </w:r>
    </w:p>
    <w:p w14:paraId="63BCFED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488D41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июня 1943 г. вышло РАСПОРЯЖЕНИЕ НАЧАЛЬНИКА У ПРАВЛЕНИЯ РЕМОНТА ТАНКОВ ГБТУ КА В БТ и МВ СЛУЖБЫ ФРОНТОВ И ОКРУГОВ О СБОРЕ И СДАЧЕ НЕГОДНЫХ ДЕТАЛЕЙ, СОДЕРЖАЩИХ ДРАГМЕТАЛЛЫ №1156441</w:t>
      </w:r>
    </w:p>
    <w:p w14:paraId="703C943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приказом народного комиссара обороны № 0336 от 7 мая 1943 года ПРЕДЛАГАЮ:</w:t>
      </w:r>
    </w:p>
    <w:p w14:paraId="5F0E445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Организовать в ремонтных частях и подразделениях, СПАМах и БТ складах фронта (округа) сбор и сдачу негодных деталей и аппаратуры танков, содержащих платину, родий, иридий и серебро, руководствуясь инструкцией и перечнем деталей, объявленных в приказе НКО № 0336 от 7 мая с.г.</w:t>
      </w:r>
    </w:p>
    <w:p w14:paraId="415F9E8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Одновременно с представлением сведений управлению материальных фондов НКО о количе</w:t>
      </w:r>
      <w:r w:rsidRPr="00D03F3E">
        <w:rPr>
          <w:rFonts w:ascii="Times New Roman" w:hAnsi="Times New Roman"/>
          <w:color w:val="000000" w:themeColor="text1"/>
          <w:sz w:val="16"/>
          <w:szCs w:val="16"/>
        </w:rPr>
        <w:softHyphen/>
        <w:t>стве собранных и отправленных негодных деталей и аппаратуры танков, содержащих драгоценные металлы, а равно о суммах, поступивших от получателей этих деталей, высылая сведения во 2-й отдел управления ремонта танков ГБТУ КА.</w:t>
      </w:r>
    </w:p>
    <w:p w14:paraId="0C51AFB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Врид начальника управления ремонта танков ГБТУ инженер-полковник Мельник</w:t>
      </w:r>
    </w:p>
    <w:p w14:paraId="34CE869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2 отдела управления ремонта танков ГБТУ инженер-майор Лейн</w:t>
      </w:r>
    </w:p>
    <w:p w14:paraId="720E7F3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11371. Д. 24 Л. 55. Подлинник (11403).</w:t>
      </w:r>
    </w:p>
    <w:p w14:paraId="313410F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57BAA6C"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June 1st, 1943: BdU (C-in-C U-boats) adopts a new policy of fighting back at Allied sub-hunting aircraft with the U-boats' own AA guns while crossing the Bay of Biscay on the surface; this tactic proves to be largely unsuccesful and is soon abandoned. In the East, the Red Air Force attacks German rear communications and airfields at Smolensk, Orel and Bryansk (3819).</w:t>
      </w:r>
    </w:p>
    <w:p w14:paraId="6445D124" w14:textId="77777777" w:rsidR="00531570" w:rsidRPr="00D03F3E" w:rsidRDefault="00531570" w:rsidP="00D03F3E">
      <w:pPr>
        <w:pStyle w:val="Iauiue"/>
        <w:jc w:val="both"/>
        <w:rPr>
          <w:color w:val="000000" w:themeColor="text1"/>
          <w:sz w:val="16"/>
          <w:szCs w:val="16"/>
          <w:lang w:val="en-US"/>
        </w:rPr>
      </w:pPr>
    </w:p>
    <w:p w14:paraId="65753F1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1 июня 1943 ВВС КА совершили налеты на Смоленск, Орел и Брянск (3819).</w:t>
      </w:r>
    </w:p>
    <w:p w14:paraId="5E0286EF" w14:textId="77777777" w:rsidR="00531570" w:rsidRPr="00D03F3E" w:rsidRDefault="00531570" w:rsidP="00D03F3E">
      <w:pPr>
        <w:pStyle w:val="Iauiue"/>
        <w:jc w:val="both"/>
        <w:rPr>
          <w:color w:val="000000" w:themeColor="text1"/>
          <w:sz w:val="16"/>
          <w:szCs w:val="16"/>
        </w:rPr>
      </w:pPr>
    </w:p>
    <w:p w14:paraId="21FF6B6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 июня 1943 начштаба МПВО города Горький подполковник Антропов в своем докладе в горком партии писал:  «Город Горький является крупнейшим промышленным центром страны, играющим исключительно важную роль в снабжении Красной Армии всеми видами вооружения. Фашистская авиация при первом удобном случае будет стремиться нарушить нормальную работу фабрик и заводов нашего города» (11774). </w:t>
      </w:r>
    </w:p>
    <w:p w14:paraId="5EC7E31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5601504"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Жизнь и внутренняя политика:</w:t>
      </w:r>
    </w:p>
    <w:p w14:paraId="4213199D" w14:textId="77777777" w:rsidR="00531570" w:rsidRPr="00D03F3E" w:rsidRDefault="00531570" w:rsidP="00D03F3E">
      <w:pPr>
        <w:pStyle w:val="Iauiue"/>
        <w:jc w:val="both"/>
        <w:rPr>
          <w:iCs/>
          <w:color w:val="000000" w:themeColor="text1"/>
          <w:sz w:val="16"/>
          <w:szCs w:val="16"/>
        </w:rPr>
      </w:pPr>
    </w:p>
    <w:p w14:paraId="71CA69B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июня 1943 в Куйбышеве (ныне г. Самаре) правительственная комиссия приняла в эксплуатацию спецобъект № 1 (бомбогазоубежище первой категории), ныне известный как «Бункер Сталина» (11422).</w:t>
      </w:r>
    </w:p>
    <w:p w14:paraId="7D4738F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0627776"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4C8DC834" w14:textId="77777777" w:rsidR="00531570" w:rsidRPr="00D03F3E" w:rsidRDefault="00531570" w:rsidP="00D03F3E">
      <w:pPr>
        <w:pStyle w:val="Iauiue"/>
        <w:jc w:val="both"/>
        <w:rPr>
          <w:iCs/>
          <w:color w:val="000000" w:themeColor="text1"/>
          <w:sz w:val="16"/>
          <w:szCs w:val="16"/>
        </w:rPr>
      </w:pPr>
    </w:p>
    <w:p w14:paraId="764640AA" w14:textId="77777777" w:rsidR="0012603D" w:rsidRPr="00D03F3E" w:rsidRDefault="0012603D" w:rsidP="00D03F3E">
      <w:pPr>
        <w:spacing w:after="0" w:line="240" w:lineRule="auto"/>
        <w:jc w:val="both"/>
        <w:rPr>
          <w:rFonts w:ascii="Times New Roman" w:hAnsi="Times New Roman"/>
          <w:color w:val="000000" w:themeColor="text1"/>
          <w:sz w:val="16"/>
          <w:szCs w:val="16"/>
          <w:lang w:val="en-US"/>
        </w:rPr>
      </w:pPr>
      <w:r w:rsidRPr="00D03F3E">
        <w:rPr>
          <w:rFonts w:ascii="Times New Roman" w:hAnsi="Times New Roman"/>
          <w:bCs/>
          <w:color w:val="000000" w:themeColor="text1"/>
          <w:sz w:val="16"/>
          <w:szCs w:val="16"/>
        </w:rPr>
        <w:t>1 июня</w:t>
      </w:r>
      <w:r w:rsidRPr="00D03F3E">
        <w:rPr>
          <w:rFonts w:ascii="Times New Roman" w:hAnsi="Times New Roman"/>
          <w:color w:val="000000" w:themeColor="text1"/>
          <w:sz w:val="16"/>
          <w:szCs w:val="16"/>
        </w:rPr>
        <w:t xml:space="preserve"> в 1943 году самолет </w:t>
      </w:r>
      <w:hyperlink r:id="rId186" w:tgtFrame="_blank" w:history="1">
        <w:r w:rsidRPr="00D03F3E">
          <w:rPr>
            <w:rFonts w:ascii="Times New Roman" w:hAnsi="Times New Roman"/>
            <w:color w:val="000000" w:themeColor="text1"/>
            <w:sz w:val="16"/>
            <w:szCs w:val="16"/>
          </w:rPr>
          <w:t xml:space="preserve">"Галифакс" III </w:t>
        </w:r>
      </w:hyperlink>
      <w:r w:rsidRPr="00D03F3E">
        <w:rPr>
          <w:rFonts w:ascii="Times New Roman" w:hAnsi="Times New Roman"/>
          <w:color w:val="000000" w:themeColor="text1"/>
          <w:sz w:val="16"/>
          <w:szCs w:val="16"/>
        </w:rPr>
        <w:t xml:space="preserve">впервые взлетел с прямоугольным вертикальным оперением типа «D», заменившим симметричное типа «F». В серийном производстве было вновь введено убирающееся хвостовое колесо (которое мало применялось на модификациях I и II, что уже отмечалось) и применены капоты "бофайтеровского" типа. Изменена топливная система: баки, находившиеся в передней кромке крыла, были перенесены из участка между моторами в центральную секцию со снижением объема с 455 до 282 л, а в дальних крыльевых бомбоотсеках установлены новые баки по 436 л (в качестве модификации 673). Летные испытания "Галифакса" III показали, что элероны, которые получили бульбообразную переднюю кромку (как модификацию 930), излишне тяжелы. Были приняты и удлиненные концы крыла, первоначально предложенные для высотного "Галифакса" (как модификация 862/ 863), доведшие размах крыла до 31,75 м. Это позволило увеличить полный вес с 28577 кг до 29484 кг. Эти новые концы крыльев впервые были испытаны в воздухе в конце 1943 г. на В.II серии 1 А. В.III пошел в серию к февралю </w:t>
      </w:r>
      <w:r w:rsidRPr="00D03F3E">
        <w:rPr>
          <w:rFonts w:ascii="Times New Roman" w:hAnsi="Times New Roman"/>
          <w:color w:val="000000" w:themeColor="text1"/>
          <w:sz w:val="16"/>
          <w:szCs w:val="16"/>
          <w:lang w:val="en-US"/>
        </w:rPr>
        <w:t xml:space="preserve">1944 </w:t>
      </w:r>
      <w:r w:rsidRPr="00D03F3E">
        <w:rPr>
          <w:rFonts w:ascii="Times New Roman" w:hAnsi="Times New Roman"/>
          <w:color w:val="000000" w:themeColor="text1"/>
          <w:sz w:val="16"/>
          <w:szCs w:val="16"/>
        </w:rPr>
        <w:t>года</w:t>
      </w:r>
      <w:r w:rsidRPr="00D03F3E">
        <w:rPr>
          <w:rFonts w:ascii="Times New Roman" w:hAnsi="Times New Roman"/>
          <w:color w:val="000000" w:themeColor="text1"/>
          <w:sz w:val="16"/>
          <w:szCs w:val="16"/>
          <w:lang w:val="en-US"/>
        </w:rPr>
        <w:t xml:space="preserve"> (14909).</w:t>
      </w:r>
    </w:p>
    <w:p w14:paraId="002BA86E" w14:textId="77777777" w:rsidR="0012603D" w:rsidRPr="00D03F3E" w:rsidRDefault="0012603D" w:rsidP="00D03F3E">
      <w:pPr>
        <w:spacing w:after="0" w:line="240" w:lineRule="auto"/>
        <w:jc w:val="both"/>
        <w:rPr>
          <w:rFonts w:ascii="Times New Roman" w:hAnsi="Times New Roman"/>
          <w:color w:val="000000" w:themeColor="text1"/>
          <w:sz w:val="16"/>
          <w:szCs w:val="16"/>
          <w:lang w:val="en-US"/>
        </w:rPr>
      </w:pPr>
    </w:p>
    <w:p w14:paraId="25E94261"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1 June 1943 Massive air raids on Sicily prior to Allied invasion (270).</w:t>
      </w:r>
    </w:p>
    <w:p w14:paraId="00A4427C" w14:textId="77777777" w:rsidR="00531570" w:rsidRPr="00D03F3E" w:rsidRDefault="00531570" w:rsidP="00D03F3E">
      <w:pPr>
        <w:pStyle w:val="Iauiue"/>
        <w:jc w:val="both"/>
        <w:rPr>
          <w:color w:val="000000" w:themeColor="text1"/>
          <w:sz w:val="16"/>
          <w:szCs w:val="16"/>
          <w:lang w:val="en-US"/>
        </w:rPr>
      </w:pPr>
    </w:p>
    <w:p w14:paraId="3897363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июня 1943 состоялся массированный налет на Сицилию перед вторжением (270).</w:t>
      </w:r>
    </w:p>
    <w:p w14:paraId="1C087591" w14:textId="77777777" w:rsidR="00531570" w:rsidRPr="00D03F3E" w:rsidRDefault="00531570" w:rsidP="00D03F3E">
      <w:pPr>
        <w:pStyle w:val="Iauiue"/>
        <w:jc w:val="both"/>
        <w:rPr>
          <w:color w:val="000000" w:themeColor="text1"/>
          <w:sz w:val="16"/>
          <w:szCs w:val="16"/>
        </w:rPr>
      </w:pPr>
    </w:p>
    <w:p w14:paraId="2DD56FAF" w14:textId="77777777" w:rsidR="000B4AB2" w:rsidRPr="00D03F3E" w:rsidRDefault="000B4AB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июня 1943 самолеты союзников начинают последний период интенсивных бомбардировок Пантеллерии за десять дней до запланированного вторжения на остров и совершают 3647 самолето-пролетов (20376).</w:t>
      </w:r>
    </w:p>
    <w:p w14:paraId="702A67C2" w14:textId="77777777" w:rsidR="000B4AB2" w:rsidRPr="00D03F3E" w:rsidRDefault="000B4AB2" w:rsidP="00D03F3E">
      <w:pPr>
        <w:spacing w:after="0" w:line="240" w:lineRule="auto"/>
        <w:jc w:val="both"/>
        <w:rPr>
          <w:rFonts w:ascii="Times New Roman" w:hAnsi="Times New Roman"/>
          <w:color w:val="0070C0"/>
          <w:sz w:val="16"/>
          <w:szCs w:val="16"/>
        </w:rPr>
      </w:pPr>
    </w:p>
    <w:p w14:paraId="43BFAF52" w14:textId="77777777" w:rsidR="000B4AB2" w:rsidRPr="00D03F3E" w:rsidRDefault="000B4AB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 1 июня 1943 11 армия военно - воздушных сил США выполнила 407 боевых вылетов против японских войск на Kiska на Алеутских островах. Военно - морской флот США PV-1 Venturas совершил дополнительные ночные бомбардировки острова (20376).</w:t>
      </w:r>
    </w:p>
    <w:p w14:paraId="2BB5B608" w14:textId="77777777" w:rsidR="000B4AB2" w:rsidRPr="00D03F3E" w:rsidRDefault="000B4AB2" w:rsidP="00D03F3E">
      <w:pPr>
        <w:spacing w:after="0" w:line="240" w:lineRule="auto"/>
        <w:jc w:val="both"/>
        <w:rPr>
          <w:rFonts w:ascii="Times New Roman" w:hAnsi="Times New Roman"/>
          <w:color w:val="0070C0"/>
          <w:sz w:val="16"/>
          <w:szCs w:val="16"/>
        </w:rPr>
      </w:pPr>
    </w:p>
    <w:p w14:paraId="75151131" w14:textId="77777777" w:rsidR="000B4AB2" w:rsidRPr="00D03F3E" w:rsidRDefault="000B4AB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 1 июня 1943 на маршруте «Горб» между Индией и Китаем произошло 135 крупных авиационных происшествий . В результате несчастных случаев погибло 168 человек (20376).</w:t>
      </w:r>
    </w:p>
    <w:p w14:paraId="44417F29" w14:textId="77777777" w:rsidR="000B4AB2" w:rsidRPr="00D03F3E" w:rsidRDefault="000B4AB2" w:rsidP="00D03F3E">
      <w:pPr>
        <w:spacing w:after="0" w:line="240" w:lineRule="auto"/>
        <w:jc w:val="both"/>
        <w:rPr>
          <w:rFonts w:ascii="Times New Roman" w:hAnsi="Times New Roman"/>
          <w:color w:val="0070C0"/>
          <w:sz w:val="16"/>
          <w:szCs w:val="16"/>
        </w:rPr>
      </w:pPr>
    </w:p>
    <w:p w14:paraId="0B92EB7C"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С 1 июня 1943 командующий подводным флотом одобрил новую тактику обороны, используя зенитки при пересечении Бискайского залива надводным ходом, но в основном она оказалась неудачной и больше не применялась (3819).</w:t>
      </w:r>
    </w:p>
    <w:p w14:paraId="1E60A32E" w14:textId="77777777" w:rsidR="00531570" w:rsidRPr="00D03F3E" w:rsidRDefault="00531570" w:rsidP="00D03F3E">
      <w:pPr>
        <w:pStyle w:val="Iauiue"/>
        <w:tabs>
          <w:tab w:val="left" w:pos="11199"/>
        </w:tabs>
        <w:jc w:val="both"/>
        <w:rPr>
          <w:color w:val="000000" w:themeColor="text1"/>
          <w:sz w:val="16"/>
          <w:szCs w:val="16"/>
        </w:rPr>
      </w:pPr>
    </w:p>
    <w:p w14:paraId="7C60D8D9"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 июня 1943 над Бискайским заливом немцами сбит британский гражданский самолет, в котором погиб английский актер Лесли Говард, прославившийся ролью в “Унесенных ветром” (4962).</w:t>
      </w:r>
    </w:p>
    <w:p w14:paraId="2A6C056E" w14:textId="77777777" w:rsidR="00531570" w:rsidRPr="00D03F3E" w:rsidRDefault="00531570" w:rsidP="00D03F3E">
      <w:pPr>
        <w:pStyle w:val="Iauiue"/>
        <w:tabs>
          <w:tab w:val="left" w:pos="11199"/>
        </w:tabs>
        <w:jc w:val="both"/>
        <w:rPr>
          <w:color w:val="000000" w:themeColor="text1"/>
          <w:sz w:val="16"/>
          <w:szCs w:val="16"/>
        </w:rPr>
      </w:pPr>
    </w:p>
    <w:p w14:paraId="4ADA278B" w14:textId="77777777" w:rsidR="000B4AB2" w:rsidRPr="00D03F3E" w:rsidRDefault="000B4AB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июня 1943 немецкие истребители Junkers Ju 88 сбили авиалайнер Douglas DC-3, выполнявший рейс 777 BOAC из Лиссабона, Португалия, в Великобританию. Все 17 человек на борту погибают, включая актера Лесли Ховарда (20376).</w:t>
      </w:r>
    </w:p>
    <w:p w14:paraId="2E2BD60A" w14:textId="77777777" w:rsidR="000B4AB2" w:rsidRPr="00D03F3E" w:rsidRDefault="000B4AB2" w:rsidP="00D03F3E">
      <w:pPr>
        <w:spacing w:after="0" w:line="240" w:lineRule="auto"/>
        <w:jc w:val="both"/>
        <w:rPr>
          <w:rFonts w:ascii="Times New Roman" w:hAnsi="Times New Roman"/>
          <w:color w:val="0070C0"/>
          <w:sz w:val="16"/>
          <w:szCs w:val="16"/>
        </w:rPr>
      </w:pPr>
    </w:p>
    <w:p w14:paraId="0D190589"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13F61191" w14:textId="77777777" w:rsidR="00531570" w:rsidRPr="00D03F3E" w:rsidRDefault="00531570" w:rsidP="00D03F3E">
      <w:pPr>
        <w:pStyle w:val="Iauiue"/>
        <w:jc w:val="both"/>
        <w:rPr>
          <w:iCs/>
          <w:color w:val="000000" w:themeColor="text1"/>
          <w:sz w:val="16"/>
          <w:szCs w:val="16"/>
        </w:rPr>
      </w:pPr>
    </w:p>
    <w:p w14:paraId="620CB56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июня 1943 П.Воронин писал директору завода 30 Шапиро письмо о необходимости ремонта 58 Ил-2 в Тамбове (16), в Сасово (7), в Набережной (32), в Борках (4) и предлагал параллельно менять АМ-38 на АМ-38Ф (1767,148).</w:t>
      </w:r>
    </w:p>
    <w:p w14:paraId="1C970B94" w14:textId="77777777" w:rsidR="00531570" w:rsidRPr="00D03F3E" w:rsidRDefault="00531570" w:rsidP="00D03F3E">
      <w:pPr>
        <w:pStyle w:val="Iauiue"/>
        <w:jc w:val="both"/>
        <w:rPr>
          <w:color w:val="000000" w:themeColor="text1"/>
          <w:sz w:val="16"/>
          <w:szCs w:val="16"/>
        </w:rPr>
      </w:pPr>
    </w:p>
    <w:p w14:paraId="69A3EF3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июня 1943 состоялся первый полет нового Ил-8 с АМ-42 (24,311).</w:t>
      </w:r>
    </w:p>
    <w:p w14:paraId="511D625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По другим данным - 10 мая 1943. Заводские испытания затянулись из-за дымления и тряски двигателей и в их ходе сменили 5 моторов (5,131).</w:t>
      </w:r>
    </w:p>
    <w:p w14:paraId="6F521DAF" w14:textId="77777777" w:rsidR="00531570" w:rsidRPr="00D03F3E" w:rsidRDefault="00531570" w:rsidP="00D03F3E">
      <w:pPr>
        <w:pStyle w:val="Iauiue"/>
        <w:jc w:val="both"/>
        <w:rPr>
          <w:color w:val="000000" w:themeColor="text1"/>
          <w:sz w:val="16"/>
          <w:szCs w:val="16"/>
        </w:rPr>
      </w:pPr>
    </w:p>
    <w:p w14:paraId="3C49B55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июня 1943 по неко</w:t>
      </w:r>
      <w:r w:rsidRPr="00D03F3E">
        <w:rPr>
          <w:rFonts w:ascii="Times New Roman" w:hAnsi="Times New Roman"/>
          <w:color w:val="000000" w:themeColor="text1"/>
          <w:sz w:val="16"/>
          <w:szCs w:val="16"/>
        </w:rPr>
        <w:softHyphen/>
        <w:t>торым данным состоялся первый полет Ил-2М. Все полеты прово</w:t>
      </w:r>
      <w:r w:rsidRPr="00D03F3E">
        <w:rPr>
          <w:rFonts w:ascii="Times New Roman" w:hAnsi="Times New Roman"/>
          <w:color w:val="000000" w:themeColor="text1"/>
          <w:sz w:val="16"/>
          <w:szCs w:val="16"/>
        </w:rPr>
        <w:softHyphen/>
        <w:t>дились при полетном весе 6570 кг (без бомб и боезапаса к пушкам и пулеметам).</w:t>
      </w:r>
    </w:p>
    <w:p w14:paraId="72BF951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летным данным самолет Ил-2М оказался значительно лучше се</w:t>
      </w:r>
      <w:r w:rsidRPr="00D03F3E">
        <w:rPr>
          <w:rFonts w:ascii="Times New Roman" w:hAnsi="Times New Roman"/>
          <w:color w:val="000000" w:themeColor="text1"/>
          <w:sz w:val="16"/>
          <w:szCs w:val="16"/>
        </w:rPr>
        <w:softHyphen/>
        <w:t>рийного Ил-2 АМ-38ф. Так, макси</w:t>
      </w:r>
      <w:r w:rsidRPr="00D03F3E">
        <w:rPr>
          <w:rFonts w:ascii="Times New Roman" w:hAnsi="Times New Roman"/>
          <w:color w:val="000000" w:themeColor="text1"/>
          <w:sz w:val="16"/>
          <w:szCs w:val="16"/>
        </w:rPr>
        <w:softHyphen/>
        <w:t>мальная скорость горизонтального полета достигала 470 км/ч. Однако из-за сильной тряски мотора и вин</w:t>
      </w:r>
      <w:r w:rsidRPr="00D03F3E">
        <w:rPr>
          <w:rFonts w:ascii="Times New Roman" w:hAnsi="Times New Roman"/>
          <w:color w:val="000000" w:themeColor="text1"/>
          <w:sz w:val="16"/>
          <w:szCs w:val="16"/>
        </w:rPr>
        <w:softHyphen/>
        <w:t>та, которая обнаружилась в первом же полете, летные данные самолета в полном объеме снять не удалось. Тряска появлялась при оборотах вин</w:t>
      </w:r>
      <w:r w:rsidRPr="00D03F3E">
        <w:rPr>
          <w:rFonts w:ascii="Times New Roman" w:hAnsi="Times New Roman"/>
          <w:color w:val="000000" w:themeColor="text1"/>
          <w:sz w:val="16"/>
          <w:szCs w:val="16"/>
        </w:rPr>
        <w:softHyphen/>
        <w:t>та 2220 об/мин и ниже. Причем "при утяжелении винта"тряска увеличива</w:t>
      </w:r>
      <w:r w:rsidRPr="00D03F3E">
        <w:rPr>
          <w:rFonts w:ascii="Times New Roman" w:hAnsi="Times New Roman"/>
          <w:color w:val="000000" w:themeColor="text1"/>
          <w:sz w:val="16"/>
          <w:szCs w:val="16"/>
        </w:rPr>
        <w:softHyphen/>
        <w:t>лась "до размеров, препятствующих нормальному полету". Кроме этого, "при резкой даче газа наблюдался заброс оборотов винта на 150-200 об/мин при очень быстром восста</w:t>
      </w:r>
      <w:r w:rsidRPr="00D03F3E">
        <w:rPr>
          <w:rFonts w:ascii="Times New Roman" w:hAnsi="Times New Roman"/>
          <w:color w:val="000000" w:themeColor="text1"/>
          <w:sz w:val="16"/>
          <w:szCs w:val="16"/>
        </w:rPr>
        <w:softHyphen/>
        <w:t>новлении (3-4 сек)". Раскрутки винта не было.</w:t>
      </w:r>
    </w:p>
    <w:p w14:paraId="3AC85BB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демонстрировал вполне приличные пилотажные качества. При наборе высоты, в горизонтальном по</w:t>
      </w:r>
      <w:r w:rsidRPr="00D03F3E">
        <w:rPr>
          <w:rFonts w:ascii="Times New Roman" w:hAnsi="Times New Roman"/>
          <w:color w:val="000000" w:themeColor="text1"/>
          <w:sz w:val="16"/>
          <w:szCs w:val="16"/>
        </w:rPr>
        <w:softHyphen/>
        <w:t>лете и на планировании штурмовик был устойчив во всех плоскостях. Ус</w:t>
      </w:r>
      <w:r w:rsidRPr="00D03F3E">
        <w:rPr>
          <w:rFonts w:ascii="Times New Roman" w:hAnsi="Times New Roman"/>
          <w:color w:val="000000" w:themeColor="text1"/>
          <w:sz w:val="16"/>
          <w:szCs w:val="16"/>
        </w:rPr>
        <w:softHyphen/>
        <w:t>тойчивость оказалась даже несколь</w:t>
      </w:r>
      <w:r w:rsidRPr="00D03F3E">
        <w:rPr>
          <w:rFonts w:ascii="Times New Roman" w:hAnsi="Times New Roman"/>
          <w:color w:val="000000" w:themeColor="text1"/>
          <w:sz w:val="16"/>
          <w:szCs w:val="16"/>
        </w:rPr>
        <w:softHyphen/>
        <w:t>ко излишней. В отчете по испытани</w:t>
      </w:r>
      <w:r w:rsidRPr="00D03F3E">
        <w:rPr>
          <w:rFonts w:ascii="Times New Roman" w:hAnsi="Times New Roman"/>
          <w:color w:val="000000" w:themeColor="text1"/>
          <w:sz w:val="16"/>
          <w:szCs w:val="16"/>
        </w:rPr>
        <w:softHyphen/>
        <w:t>ям отмечалось, что "при возникно</w:t>
      </w:r>
      <w:r w:rsidRPr="00D03F3E">
        <w:rPr>
          <w:rFonts w:ascii="Times New Roman" w:hAnsi="Times New Roman"/>
          <w:color w:val="000000" w:themeColor="text1"/>
          <w:sz w:val="16"/>
          <w:szCs w:val="16"/>
        </w:rPr>
        <w:softHyphen/>
        <w:t>вении крена при болтанке самолет не быстро возвращается в горизон</w:t>
      </w:r>
      <w:r w:rsidRPr="00D03F3E">
        <w:rPr>
          <w:rFonts w:ascii="Times New Roman" w:hAnsi="Times New Roman"/>
          <w:color w:val="000000" w:themeColor="text1"/>
          <w:sz w:val="16"/>
          <w:szCs w:val="16"/>
        </w:rPr>
        <w:softHyphen/>
        <w:t>тальное положение и требует зна</w:t>
      </w:r>
      <w:r w:rsidRPr="00D03F3E">
        <w:rPr>
          <w:rFonts w:ascii="Times New Roman" w:hAnsi="Times New Roman"/>
          <w:color w:val="000000" w:themeColor="text1"/>
          <w:sz w:val="16"/>
          <w:szCs w:val="16"/>
        </w:rPr>
        <w:softHyphen/>
        <w:t>чительных усилий для выравнивания ". Эффективность триммера элерона оценивалась как недостаточная. При вводе самолета в разворот для со</w:t>
      </w:r>
      <w:r w:rsidRPr="00D03F3E">
        <w:rPr>
          <w:rFonts w:ascii="Times New Roman" w:hAnsi="Times New Roman"/>
          <w:color w:val="000000" w:themeColor="text1"/>
          <w:sz w:val="16"/>
          <w:szCs w:val="16"/>
        </w:rPr>
        <w:softHyphen/>
        <w:t>здания крена требовались значитель</w:t>
      </w:r>
      <w:r w:rsidRPr="00D03F3E">
        <w:rPr>
          <w:rFonts w:ascii="Times New Roman" w:hAnsi="Times New Roman"/>
          <w:color w:val="000000" w:themeColor="text1"/>
          <w:sz w:val="16"/>
          <w:szCs w:val="16"/>
        </w:rPr>
        <w:softHyphen/>
        <w:t>ные усилия. Заметного запаздывания в реагировании на отклонение ру</w:t>
      </w:r>
      <w:r w:rsidRPr="00D03F3E">
        <w:rPr>
          <w:rFonts w:ascii="Times New Roman" w:hAnsi="Times New Roman"/>
          <w:color w:val="000000" w:themeColor="text1"/>
          <w:sz w:val="16"/>
          <w:szCs w:val="16"/>
        </w:rPr>
        <w:softHyphen/>
        <w:t>лей не наблюдалось. Посадка, даже без щитков, производилась без зат</w:t>
      </w:r>
      <w:r w:rsidRPr="00D03F3E">
        <w:rPr>
          <w:rFonts w:ascii="Times New Roman" w:hAnsi="Times New Roman"/>
          <w:color w:val="000000" w:themeColor="text1"/>
          <w:sz w:val="16"/>
          <w:szCs w:val="16"/>
        </w:rPr>
        <w:softHyphen/>
        <w:t>руднений. Отклонение рулей было вполне достаточным.</w:t>
      </w:r>
    </w:p>
    <w:p w14:paraId="33726D5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рулежке и взлете самолет хо</w:t>
      </w:r>
      <w:r w:rsidRPr="00D03F3E">
        <w:rPr>
          <w:rFonts w:ascii="Times New Roman" w:hAnsi="Times New Roman"/>
          <w:color w:val="000000" w:themeColor="text1"/>
          <w:sz w:val="16"/>
          <w:szCs w:val="16"/>
        </w:rPr>
        <w:softHyphen/>
        <w:t>рошо выдерживал прямолинейное движение, был "послушен к тормо</w:t>
      </w:r>
      <w:r w:rsidRPr="00D03F3E">
        <w:rPr>
          <w:rFonts w:ascii="Times New Roman" w:hAnsi="Times New Roman"/>
          <w:color w:val="000000" w:themeColor="text1"/>
          <w:sz w:val="16"/>
          <w:szCs w:val="16"/>
        </w:rPr>
        <w:softHyphen/>
        <w:t>зам", тенденций к подъему хвоста и развороту не имел. Самолет быстро набирал скорость и отрывался от земли.</w:t>
      </w:r>
    </w:p>
    <w:p w14:paraId="47D98CD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 работал устойчиво без признаков детонации, показывая хо</w:t>
      </w:r>
      <w:r w:rsidRPr="00D03F3E">
        <w:rPr>
          <w:rFonts w:ascii="Times New Roman" w:hAnsi="Times New Roman"/>
          <w:color w:val="000000" w:themeColor="text1"/>
          <w:sz w:val="16"/>
          <w:szCs w:val="16"/>
        </w:rPr>
        <w:softHyphen/>
        <w:t>рошую приемистость. Новая схема размещения водо- и маслорадиато-ров оказалась вполне удачной: тем</w:t>
      </w:r>
      <w:r w:rsidRPr="00D03F3E">
        <w:rPr>
          <w:rFonts w:ascii="Times New Roman" w:hAnsi="Times New Roman"/>
          <w:color w:val="000000" w:themeColor="text1"/>
          <w:sz w:val="16"/>
          <w:szCs w:val="16"/>
        </w:rPr>
        <w:softHyphen/>
        <w:t>пература воды и масла на всех ре</w:t>
      </w:r>
      <w:r w:rsidRPr="00D03F3E">
        <w:rPr>
          <w:rFonts w:ascii="Times New Roman" w:hAnsi="Times New Roman"/>
          <w:color w:val="000000" w:themeColor="text1"/>
          <w:sz w:val="16"/>
          <w:szCs w:val="16"/>
        </w:rPr>
        <w:softHyphen/>
        <w:t>жимах полета находилась в преде</w:t>
      </w:r>
      <w:r w:rsidRPr="00D03F3E">
        <w:rPr>
          <w:rFonts w:ascii="Times New Roman" w:hAnsi="Times New Roman"/>
          <w:color w:val="000000" w:themeColor="text1"/>
          <w:sz w:val="16"/>
          <w:szCs w:val="16"/>
        </w:rPr>
        <w:softHyphen/>
        <w:t>лах нормы. В то же время воздуш</w:t>
      </w:r>
      <w:r w:rsidRPr="00D03F3E">
        <w:rPr>
          <w:rFonts w:ascii="Times New Roman" w:hAnsi="Times New Roman"/>
          <w:color w:val="000000" w:themeColor="text1"/>
          <w:sz w:val="16"/>
          <w:szCs w:val="16"/>
        </w:rPr>
        <w:softHyphen/>
        <w:t>ный пылефильтр ЦАГИ не обеспечи</w:t>
      </w:r>
      <w:r w:rsidRPr="00D03F3E">
        <w:rPr>
          <w:rFonts w:ascii="Times New Roman" w:hAnsi="Times New Roman"/>
          <w:color w:val="000000" w:themeColor="text1"/>
          <w:sz w:val="16"/>
          <w:szCs w:val="16"/>
        </w:rPr>
        <w:softHyphen/>
        <w:t>вал требуемых значений наддува воз</w:t>
      </w:r>
      <w:r w:rsidRPr="00D03F3E">
        <w:rPr>
          <w:rFonts w:ascii="Times New Roman" w:hAnsi="Times New Roman"/>
          <w:color w:val="000000" w:themeColor="text1"/>
          <w:sz w:val="16"/>
          <w:szCs w:val="16"/>
        </w:rPr>
        <w:softHyphen/>
        <w:t>духа на номинальном и взлетном ре</w:t>
      </w:r>
      <w:r w:rsidRPr="00D03F3E">
        <w:rPr>
          <w:rFonts w:ascii="Times New Roman" w:hAnsi="Times New Roman"/>
          <w:color w:val="000000" w:themeColor="text1"/>
          <w:sz w:val="16"/>
          <w:szCs w:val="16"/>
        </w:rPr>
        <w:softHyphen/>
        <w:t>жимах. Требовалось изменить его конструкцию. Для надежной работы водосистемы предлагалось повысить давление воды на входе в помпу пу</w:t>
      </w:r>
      <w:r w:rsidRPr="00D03F3E">
        <w:rPr>
          <w:rFonts w:ascii="Times New Roman" w:hAnsi="Times New Roman"/>
          <w:color w:val="000000" w:themeColor="text1"/>
          <w:sz w:val="16"/>
          <w:szCs w:val="16"/>
        </w:rPr>
        <w:softHyphen/>
        <w:t>тем увеличения диаметра пароотво-дящих трубок от блоков цилиндров до 14-16 мм (вместо 12 мм) и диа</w:t>
      </w:r>
      <w:r w:rsidRPr="00D03F3E">
        <w:rPr>
          <w:rFonts w:ascii="Times New Roman" w:hAnsi="Times New Roman"/>
          <w:color w:val="000000" w:themeColor="text1"/>
          <w:sz w:val="16"/>
          <w:szCs w:val="16"/>
        </w:rPr>
        <w:softHyphen/>
        <w:t>метра компенсационной трубки до 40 мм (вместо 33 мм). Кроме этого, в маслосистему самолета было необ</w:t>
      </w:r>
      <w:r w:rsidRPr="00D03F3E">
        <w:rPr>
          <w:rFonts w:ascii="Times New Roman" w:hAnsi="Times New Roman"/>
          <w:color w:val="000000" w:themeColor="text1"/>
          <w:sz w:val="16"/>
          <w:szCs w:val="16"/>
        </w:rPr>
        <w:softHyphen/>
        <w:t>ходимо ввести приспособление, обеспечивавшее "зашпринцовкумас</w:t>
      </w:r>
      <w:r w:rsidRPr="00D03F3E">
        <w:rPr>
          <w:rFonts w:ascii="Times New Roman" w:hAnsi="Times New Roman"/>
          <w:color w:val="000000" w:themeColor="text1"/>
          <w:sz w:val="16"/>
          <w:szCs w:val="16"/>
        </w:rPr>
        <w:softHyphen/>
        <w:t>ла в систему мотора перед запус</w:t>
      </w:r>
      <w:r w:rsidRPr="00D03F3E">
        <w:rPr>
          <w:rFonts w:ascii="Times New Roman" w:hAnsi="Times New Roman"/>
          <w:color w:val="000000" w:themeColor="text1"/>
          <w:sz w:val="16"/>
          <w:szCs w:val="16"/>
        </w:rPr>
        <w:softHyphen/>
        <w:t>ком". Дело в том, что в связи с вве</w:t>
      </w:r>
      <w:r w:rsidRPr="00D03F3E">
        <w:rPr>
          <w:rFonts w:ascii="Times New Roman" w:hAnsi="Times New Roman"/>
          <w:color w:val="000000" w:themeColor="text1"/>
          <w:sz w:val="16"/>
          <w:szCs w:val="16"/>
        </w:rPr>
        <w:softHyphen/>
        <w:t>дением поддона картера "мотор зна</w:t>
      </w:r>
      <w:r w:rsidRPr="00D03F3E">
        <w:rPr>
          <w:rFonts w:ascii="Times New Roman" w:hAnsi="Times New Roman"/>
          <w:color w:val="000000" w:themeColor="text1"/>
          <w:sz w:val="16"/>
          <w:szCs w:val="16"/>
        </w:rPr>
        <w:softHyphen/>
        <w:t>чительно осушился" и при запуске работал без подачи масла (по ма</w:t>
      </w:r>
      <w:r w:rsidRPr="00D03F3E">
        <w:rPr>
          <w:rFonts w:ascii="Times New Roman" w:hAnsi="Times New Roman"/>
          <w:color w:val="000000" w:themeColor="text1"/>
          <w:sz w:val="16"/>
          <w:szCs w:val="16"/>
        </w:rPr>
        <w:softHyphen/>
        <w:t>нометру) в течение 5-10 сек.</w:t>
      </w:r>
    </w:p>
    <w:p w14:paraId="7FFD76C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общем, по летным, пилотажным и эксплуатационным возможностям новый штурмовик производил впол</w:t>
      </w:r>
      <w:r w:rsidRPr="00D03F3E">
        <w:rPr>
          <w:rFonts w:ascii="Times New Roman" w:hAnsi="Times New Roman"/>
          <w:color w:val="000000" w:themeColor="text1"/>
          <w:sz w:val="16"/>
          <w:szCs w:val="16"/>
        </w:rPr>
        <w:softHyphen/>
        <w:t>не благоприятное впечатление, но постоянная тряска не позволяла нор</w:t>
      </w:r>
      <w:r w:rsidRPr="00D03F3E">
        <w:rPr>
          <w:rFonts w:ascii="Times New Roman" w:hAnsi="Times New Roman"/>
          <w:color w:val="000000" w:themeColor="text1"/>
          <w:sz w:val="16"/>
          <w:szCs w:val="16"/>
        </w:rPr>
        <w:softHyphen/>
        <w:t>мально летать (11427).</w:t>
      </w:r>
    </w:p>
    <w:p w14:paraId="39C20270"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2E4563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июня 1943 Ил-2М выполнил по некоторым сведениям первый полет.</w:t>
      </w:r>
    </w:p>
    <w:p w14:paraId="6CCD039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летным и пилотажным качествам Ил-2М оказался значительно лучше серийного Ил-2 с АМ-38ф. Так, максимальная скорость горизонтального полета достигала 470 км/ч. Однако из-за сильной тряски летные данные самолета в полном объеме снять не удалось. Тряска появлялась при оборотах винта 2220 об/мин и ниже. Причем "при утяжелении винта" тряска увеличивалась "до размеров, препятствующих нормальному полету". Кроме этого, "при резкой даче газа наблюдался заброс оборотов винта на 150-200 об/мин при очень быстром восстановлении (3-4 сек)". Раскрутки винта не было.</w:t>
      </w:r>
    </w:p>
    <w:p w14:paraId="100F1F0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демонстрировал вполне приличные пилотажные качества. При наборе высоты, в горизонтальном полете и на планировании штурмовик был устойчив во всех плоскостях. Устойчивость оказалась даже несколько излишней. В отчете по испытаниям отмечалось, что "при возникновении крена при болтанке самолет не быстро возвращается в горизонтальное положение и требует значительных усилий для выравнивания". При вводе самолета в разворот для создания крена требовались значительные усилия. Заметного запаздывания в реагировании на отклонение рулей не наблюдалось. Посадка, даже без щитков, производилась без затруднений. Отклонение рулей было вполне достаточным.</w:t>
      </w:r>
    </w:p>
    <w:p w14:paraId="2F27314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рулежке и взлете самолет хорошо выдерживал прямолинейное движение, был "послушен к тормозам", тенденций к подъему хвоста и развороту не имел. Самолет быстро набирал скорость и отрывался от земли.</w:t>
      </w:r>
    </w:p>
    <w:p w14:paraId="0D9A5EC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 работал устойчиво без признаков детонации, показывая хорошую приемистость. Новая схема размещения водо- и маслорадиаторов оказалась вполне удачной: температура воды и масла на всех режимах полета находилась в пределах нормы. В Гоже время воздушный пылефильтр ЦАГИ не обеспечивал требуемых значений наддува воздуха на номинальном и взлетном режимах. Требовалось изменить его конструкцию.</w:t>
      </w:r>
    </w:p>
    <w:p w14:paraId="763337B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общем, по летным, пилотажным и эксплуатационным возможностям новый штурмовик производил вполне благоприятное впечатление, но постоянная тряска не позволяла нормально летать (12920).</w:t>
      </w:r>
    </w:p>
    <w:p w14:paraId="25EE04A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7358776"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2 июня 1943 еще до завершения государственных контрольных ис</w:t>
      </w:r>
      <w:r w:rsidRPr="00D03F3E">
        <w:rPr>
          <w:color w:val="000000" w:themeColor="text1"/>
          <w:sz w:val="16"/>
          <w:szCs w:val="16"/>
        </w:rPr>
        <w:softHyphen/>
        <w:t>пытаний поступил головной серийный Ил-2 зав. № 302349 с пушками 11П, помощник на</w:t>
      </w:r>
      <w:r w:rsidRPr="00D03F3E">
        <w:rPr>
          <w:color w:val="000000" w:themeColor="text1"/>
          <w:sz w:val="16"/>
          <w:szCs w:val="16"/>
        </w:rPr>
        <w:softHyphen/>
        <w:t>чальника 1-го отдела НИИ ВВС ин</w:t>
      </w:r>
      <w:r w:rsidRPr="00D03F3E">
        <w:rPr>
          <w:color w:val="000000" w:themeColor="text1"/>
          <w:sz w:val="16"/>
          <w:szCs w:val="16"/>
        </w:rPr>
        <w:softHyphen/>
        <w:t>женер-капитан Бобровский внео</w:t>
      </w:r>
      <w:r w:rsidRPr="00D03F3E">
        <w:rPr>
          <w:color w:val="000000" w:themeColor="text1"/>
          <w:sz w:val="16"/>
          <w:szCs w:val="16"/>
        </w:rPr>
        <w:softHyphen/>
        <w:t>чередным донесением доложил начальнику 1-го отдела ГУ ИАС ВВС генерал-майору Гребневу об обнаруженных дефектах Ил-2 с 11П, а также о том, что «институ</w:t>
      </w:r>
      <w:r w:rsidRPr="00D03F3E">
        <w:rPr>
          <w:color w:val="000000" w:themeColor="text1"/>
          <w:sz w:val="16"/>
          <w:szCs w:val="16"/>
        </w:rPr>
        <w:softHyphen/>
        <w:t>том написано письмо Репину, Шахурину, Шиманову, Селезневу» с тре</w:t>
      </w:r>
      <w:r w:rsidRPr="00D03F3E">
        <w:rPr>
          <w:color w:val="000000" w:themeColor="text1"/>
          <w:sz w:val="16"/>
          <w:szCs w:val="16"/>
        </w:rPr>
        <w:softHyphen/>
        <w:t>бованием устранить выявленные недостатки вооружения в серии.</w:t>
      </w:r>
    </w:p>
    <w:p w14:paraId="1B9A78F6"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После согласования позиций по этому вопросу 11 июня за под</w:t>
      </w:r>
      <w:r w:rsidRPr="00D03F3E">
        <w:rPr>
          <w:color w:val="000000" w:themeColor="text1"/>
          <w:sz w:val="16"/>
          <w:szCs w:val="16"/>
        </w:rPr>
        <w:softHyphen/>
        <w:t>писью начальника НИИ ВВС гене</w:t>
      </w:r>
      <w:r w:rsidRPr="00D03F3E">
        <w:rPr>
          <w:color w:val="000000" w:themeColor="text1"/>
          <w:sz w:val="16"/>
          <w:szCs w:val="16"/>
        </w:rPr>
        <w:softHyphen/>
        <w:t>рал-лейтенанта Лосюкова и началь</w:t>
      </w:r>
      <w:r w:rsidRPr="00D03F3E">
        <w:rPr>
          <w:color w:val="000000" w:themeColor="text1"/>
          <w:sz w:val="16"/>
          <w:szCs w:val="16"/>
        </w:rPr>
        <w:softHyphen/>
        <w:t>ника 3-го отдела института инже</w:t>
      </w:r>
      <w:r w:rsidRPr="00D03F3E">
        <w:rPr>
          <w:color w:val="000000" w:themeColor="text1"/>
          <w:sz w:val="16"/>
          <w:szCs w:val="16"/>
        </w:rPr>
        <w:softHyphen/>
        <w:t>нер-полковника Сафронова ушло письмо «Главному инженеру ВВС КА генерал-полковнику ИАС тов. Репину, в ЦК ВКП(б) генерал-лей</w:t>
      </w:r>
      <w:r w:rsidRPr="00D03F3E">
        <w:rPr>
          <w:color w:val="000000" w:themeColor="text1"/>
          <w:sz w:val="16"/>
          <w:szCs w:val="16"/>
        </w:rPr>
        <w:softHyphen/>
        <w:t>тенанту тов. Шиманову, народному комиссару авиационной промыш</w:t>
      </w:r>
      <w:r w:rsidRPr="00D03F3E">
        <w:rPr>
          <w:color w:val="000000" w:themeColor="text1"/>
          <w:sz w:val="16"/>
          <w:szCs w:val="16"/>
        </w:rPr>
        <w:softHyphen/>
        <w:t>ленности генерал-лейтенанту тов. Шахурину, народному комиссару вооружения Союза ССР тов. Усти</w:t>
      </w:r>
      <w:r w:rsidRPr="00D03F3E">
        <w:rPr>
          <w:color w:val="000000" w:themeColor="text1"/>
          <w:sz w:val="16"/>
          <w:szCs w:val="16"/>
        </w:rPr>
        <w:softHyphen/>
        <w:t>нову, начальнику ГУЗ ВВС КА ге</w:t>
      </w:r>
      <w:r w:rsidRPr="00D03F3E">
        <w:rPr>
          <w:color w:val="000000" w:themeColor="text1"/>
          <w:sz w:val="16"/>
          <w:szCs w:val="16"/>
        </w:rPr>
        <w:softHyphen/>
        <w:t>нерал-лейтенанту тов. Селезневу, главному конструктору самолета генерал-майо</w:t>
      </w:r>
      <w:r w:rsidRPr="00D03F3E">
        <w:rPr>
          <w:color w:val="000000" w:themeColor="text1"/>
          <w:sz w:val="16"/>
          <w:szCs w:val="16"/>
        </w:rPr>
        <w:softHyphen/>
        <w:t>ру тов. Ильюшину». В нем обобщались основные результаты испытаний вооружения Ил-2 с 11П и предлагалось принять срочные меры «к устра</w:t>
      </w:r>
      <w:r w:rsidRPr="00D03F3E">
        <w:rPr>
          <w:color w:val="000000" w:themeColor="text1"/>
          <w:sz w:val="16"/>
          <w:szCs w:val="16"/>
        </w:rPr>
        <w:softHyphen/>
        <w:t>нению указанных недостатков как в производстве, так и в частях, имеющих самолеты Ил-2 с 37-мм пушками ОКБ-16».</w:t>
      </w:r>
    </w:p>
    <w:p w14:paraId="101F2699"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Уже через три дня главный инженер ОКБ-16 инженер-полковник Юшин и «конструктор 37-мм пушки ОКБ-16» Нудельман направили главному инженеру ВВС генерал-лейтенанту Репину письмо, в котором указывали, что «проведенные в НИИ АВ ВВС и НИИ ВВС в течение месяца отстрелы са</w:t>
      </w:r>
      <w:r w:rsidRPr="00D03F3E">
        <w:rPr>
          <w:color w:val="000000" w:themeColor="text1"/>
          <w:sz w:val="16"/>
          <w:szCs w:val="16"/>
        </w:rPr>
        <w:softHyphen/>
        <w:t>молетов Ил-2 с 37-мм пушками ОКБ-16 показали срочную необходимость конструктивных измене</w:t>
      </w:r>
      <w:r w:rsidRPr="00D03F3E">
        <w:rPr>
          <w:color w:val="000000" w:themeColor="text1"/>
          <w:sz w:val="16"/>
          <w:szCs w:val="16"/>
        </w:rPr>
        <w:softHyphen/>
        <w:t>ний рукавов питания. Установленные на Ил-2, пе</w:t>
      </w:r>
      <w:r w:rsidRPr="00D03F3E">
        <w:rPr>
          <w:color w:val="000000" w:themeColor="text1"/>
          <w:sz w:val="16"/>
          <w:szCs w:val="16"/>
        </w:rPr>
        <w:softHyphen/>
        <w:t>реданные в 208-й и 637-й шап, рукава питания не обеспечивают надежной работы автоматики пуш</w:t>
      </w:r>
      <w:r w:rsidRPr="00D03F3E">
        <w:rPr>
          <w:color w:val="000000" w:themeColor="text1"/>
          <w:sz w:val="16"/>
          <w:szCs w:val="16"/>
        </w:rPr>
        <w:softHyphen/>
        <w:t>ки. Перед заводом № 30 нами неоднократно ста</w:t>
      </w:r>
      <w:r w:rsidRPr="00D03F3E">
        <w:rPr>
          <w:color w:val="000000" w:themeColor="text1"/>
          <w:sz w:val="16"/>
          <w:szCs w:val="16"/>
        </w:rPr>
        <w:softHyphen/>
        <w:t>вился вопрос о необходимости переделки рукавов питания /.../».</w:t>
      </w:r>
    </w:p>
    <w:p w14:paraId="16187C06"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связи с тем, что «главный конструктор Ил-2 т. Ильюшин на днях принял решение о конструк</w:t>
      </w:r>
      <w:r w:rsidRPr="00D03F3E">
        <w:rPr>
          <w:color w:val="000000" w:themeColor="text1"/>
          <w:sz w:val="16"/>
          <w:szCs w:val="16"/>
        </w:rPr>
        <w:softHyphen/>
        <w:t>тивной переделке рукавов питания пушек», Юшин и Нудельман просили Репина в случае положитель</w:t>
      </w:r>
      <w:r w:rsidRPr="00D03F3E">
        <w:rPr>
          <w:color w:val="000000" w:themeColor="text1"/>
          <w:sz w:val="16"/>
          <w:szCs w:val="16"/>
        </w:rPr>
        <w:softHyphen/>
        <w:t>ных результатов испытаний дать указания «о за</w:t>
      </w:r>
      <w:r w:rsidRPr="00D03F3E">
        <w:rPr>
          <w:color w:val="000000" w:themeColor="text1"/>
          <w:sz w:val="16"/>
          <w:szCs w:val="16"/>
        </w:rPr>
        <w:softHyphen/>
        <w:t>мене рукавов питания прежней конструкции на новые в указанных полках».</w:t>
      </w:r>
    </w:p>
    <w:p w14:paraId="445AADBF"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результатам первого этапа государственных испытаний был составлен акт от 22 июня 1943 г., который был утвержден главным инженером ВВС генералом А. К. Репиным 8 июля с замечанием: «По постановлению ГКО № 3144 Ил-2 с пушками 37 мм ОКБ-15 должен иметь боекомплект 100 патронов и 100 кг бомб. При такой нагрузке и надо было ис</w:t>
      </w:r>
      <w:r w:rsidRPr="00D03F3E">
        <w:rPr>
          <w:color w:val="000000" w:themeColor="text1"/>
          <w:sz w:val="16"/>
          <w:szCs w:val="16"/>
        </w:rPr>
        <w:softHyphen/>
        <w:t>пытывать».</w:t>
      </w:r>
    </w:p>
    <w:p w14:paraId="65C861BC"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доводки пушечного вооружения на Ил-2 зав. № 302349 был изменен профиль горловины патронного рукава с добавлением к двум направляю</w:t>
      </w:r>
      <w:r w:rsidRPr="00D03F3E">
        <w:rPr>
          <w:color w:val="000000" w:themeColor="text1"/>
          <w:sz w:val="16"/>
          <w:szCs w:val="16"/>
        </w:rPr>
        <w:softHyphen/>
        <w:t>щим роликам еще двух таких же роликов, а также устранены производственные дефекты патронных ящиков.</w:t>
      </w:r>
    </w:p>
    <w:p w14:paraId="535A51F9"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После доработок было выполнено 7 полетов со стрельбой в воздухе на режимах горизонтального полета и кабрирования, а также с планирования и пикирования до угла 30° по наземным мишеням. Расход снарядов составил 739 снарядов.</w:t>
      </w:r>
    </w:p>
    <w:p w14:paraId="4B078DC8"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Отстрел пушек 11П производился с целью вы</w:t>
      </w:r>
      <w:r w:rsidRPr="00D03F3E">
        <w:rPr>
          <w:color w:val="000000" w:themeColor="text1"/>
          <w:sz w:val="16"/>
          <w:szCs w:val="16"/>
        </w:rPr>
        <w:softHyphen/>
        <w:t>явления особенностей поведения самолета Ил-2 при стрельбе, определения удобства прицеливания, возможности пораже</w:t>
      </w:r>
      <w:r w:rsidRPr="00D03F3E">
        <w:rPr>
          <w:color w:val="000000" w:themeColor="text1"/>
          <w:sz w:val="16"/>
          <w:szCs w:val="16"/>
        </w:rPr>
        <w:softHyphen/>
        <w:t>ния точечных целей. Пушки пристре</w:t>
      </w:r>
      <w:r w:rsidRPr="00D03F3E">
        <w:rPr>
          <w:color w:val="000000" w:themeColor="text1"/>
          <w:sz w:val="16"/>
          <w:szCs w:val="16"/>
        </w:rPr>
        <w:softHyphen/>
        <w:t>ливались на дистанцию 800 м.</w:t>
      </w:r>
    </w:p>
    <w:p w14:paraId="7BD700B4"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стрельбах выяснилось, что правая пушечная установка (пушка зав. № АГ-191) работала удовлетво</w:t>
      </w:r>
      <w:r w:rsidRPr="00D03F3E">
        <w:rPr>
          <w:color w:val="000000" w:themeColor="text1"/>
          <w:sz w:val="16"/>
          <w:szCs w:val="16"/>
        </w:rPr>
        <w:softHyphen/>
        <w:t>рительно, а в левой установке (пушка зав. № АГ-242) «остались неустраненными выпадения патронов из лен</w:t>
      </w:r>
      <w:r w:rsidRPr="00D03F3E">
        <w:rPr>
          <w:color w:val="000000" w:themeColor="text1"/>
          <w:sz w:val="16"/>
          <w:szCs w:val="16"/>
        </w:rPr>
        <w:softHyphen/>
        <w:t>ты при расстреле последних 4—15 патронов боекомплекта, приводя</w:t>
      </w:r>
      <w:r w:rsidRPr="00D03F3E">
        <w:rPr>
          <w:color w:val="000000" w:themeColor="text1"/>
          <w:sz w:val="16"/>
          <w:szCs w:val="16"/>
        </w:rPr>
        <w:softHyphen/>
        <w:t>щие к рассоединению ленты» (всего 4 случая).</w:t>
      </w:r>
    </w:p>
    <w:p w14:paraId="0242EB70"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то же время сами пушки, уста</w:t>
      </w:r>
      <w:r w:rsidRPr="00D03F3E">
        <w:rPr>
          <w:color w:val="000000" w:themeColor="text1"/>
          <w:sz w:val="16"/>
          <w:szCs w:val="16"/>
        </w:rPr>
        <w:softHyphen/>
        <w:t>новленные на самолете, работали хорошо. За все время испытаний по вине пушек имела место всего одна задержка — «неотброс затвора».</w:t>
      </w:r>
    </w:p>
    <w:p w14:paraId="5C4EC67B"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Максимальная емкость патрон</w:t>
      </w:r>
      <w:r w:rsidRPr="00D03F3E">
        <w:rPr>
          <w:color w:val="000000" w:themeColor="text1"/>
          <w:sz w:val="16"/>
          <w:szCs w:val="16"/>
        </w:rPr>
        <w:softHyphen/>
        <w:t>ных ящиков пушек 11П равнялась 60 снарядам, при испытаниях в них загружали не более 50—55 снаря</w:t>
      </w:r>
      <w:r w:rsidRPr="00D03F3E">
        <w:rPr>
          <w:color w:val="000000" w:themeColor="text1"/>
          <w:sz w:val="16"/>
          <w:szCs w:val="16"/>
        </w:rPr>
        <w:softHyphen/>
        <w:t>дов. При этом наиболее благоприят</w:t>
      </w:r>
      <w:r w:rsidRPr="00D03F3E">
        <w:rPr>
          <w:color w:val="000000" w:themeColor="text1"/>
          <w:sz w:val="16"/>
          <w:szCs w:val="16"/>
        </w:rPr>
        <w:softHyphen/>
        <w:t>ной укладкой ленты, для исключения задевания звеньев съемниками, яв</w:t>
      </w:r>
      <w:r w:rsidRPr="00D03F3E">
        <w:rPr>
          <w:color w:val="000000" w:themeColor="text1"/>
          <w:sz w:val="16"/>
          <w:szCs w:val="16"/>
        </w:rPr>
        <w:softHyphen/>
        <w:t>ляется укладка нижнего горизонталь</w:t>
      </w:r>
      <w:r w:rsidRPr="00D03F3E">
        <w:rPr>
          <w:color w:val="000000" w:themeColor="text1"/>
          <w:sz w:val="16"/>
          <w:szCs w:val="16"/>
        </w:rPr>
        <w:softHyphen/>
        <w:t>ного ряда и последующей вертикаль</w:t>
      </w:r>
      <w:r w:rsidRPr="00D03F3E">
        <w:rPr>
          <w:color w:val="000000" w:themeColor="text1"/>
          <w:sz w:val="16"/>
          <w:szCs w:val="16"/>
        </w:rPr>
        <w:softHyphen/>
        <w:t>ной змейкой (укладка начинается от пушки).</w:t>
      </w:r>
    </w:p>
    <w:p w14:paraId="55214FA0"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Стрельба в горизонтальном по</w:t>
      </w:r>
      <w:r w:rsidRPr="00D03F3E">
        <w:rPr>
          <w:color w:val="000000" w:themeColor="text1"/>
          <w:sz w:val="16"/>
          <w:szCs w:val="16"/>
        </w:rPr>
        <w:softHyphen/>
        <w:t>лете и на кабрировании произво</w:t>
      </w:r>
      <w:r w:rsidRPr="00D03F3E">
        <w:rPr>
          <w:color w:val="000000" w:themeColor="text1"/>
          <w:sz w:val="16"/>
          <w:szCs w:val="16"/>
        </w:rPr>
        <w:softHyphen/>
        <w:t>дилась на скоростях 320, 300, 270, 250 и 230 км/ч по прибору одновре</w:t>
      </w:r>
      <w:r w:rsidRPr="00D03F3E">
        <w:rPr>
          <w:color w:val="000000" w:themeColor="text1"/>
          <w:sz w:val="16"/>
          <w:szCs w:val="16"/>
        </w:rPr>
        <w:softHyphen/>
        <w:t>менно из обеих пушек и раздельно из правой и левой пушек. При этом «при стрельбе из обеих пушек самолет испытыва</w:t>
      </w:r>
      <w:r w:rsidRPr="00D03F3E">
        <w:rPr>
          <w:color w:val="000000" w:themeColor="text1"/>
          <w:sz w:val="16"/>
          <w:szCs w:val="16"/>
        </w:rPr>
        <w:softHyphen/>
        <w:t>ет значительные толчки, причем чем меньше ско</w:t>
      </w:r>
      <w:r w:rsidRPr="00D03F3E">
        <w:rPr>
          <w:color w:val="000000" w:themeColor="text1"/>
          <w:sz w:val="16"/>
          <w:szCs w:val="16"/>
        </w:rPr>
        <w:softHyphen/>
        <w:t>рость, тем сильнее толчки». При стрельбе из одной пушки «самолет резко разворачивает в сторону стреляющей пушки, и если его не парировать, то разворот достигает 30° и более».</w:t>
      </w:r>
    </w:p>
    <w:p w14:paraId="79F89007"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Стрельба по наземным мишеням проводи</w:t>
      </w:r>
      <w:r w:rsidRPr="00D03F3E">
        <w:rPr>
          <w:color w:val="000000" w:themeColor="text1"/>
          <w:sz w:val="16"/>
          <w:szCs w:val="16"/>
        </w:rPr>
        <w:softHyphen/>
        <w:t>лась с планирования и пикирования под углами 10° и 30°. Было установлено, что наиболее выгод</w:t>
      </w:r>
      <w:r w:rsidRPr="00D03F3E">
        <w:rPr>
          <w:color w:val="000000" w:themeColor="text1"/>
          <w:sz w:val="16"/>
          <w:szCs w:val="16"/>
        </w:rPr>
        <w:softHyphen/>
        <w:t>ным является угол 30°, «так как при меньших углах благодаря плохой продольной устойчивости само лет сильнее колеблется в продольной плоскости и прицеливание затруднено».</w:t>
      </w:r>
    </w:p>
    <w:p w14:paraId="4FBA53C1"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Выход на цель лучше производить с разворота под 45° к плоскости пикирования с высоты 500 м, «так как цель в этом случае все время находит</w:t>
      </w:r>
      <w:r w:rsidRPr="00D03F3E">
        <w:rPr>
          <w:color w:val="000000" w:themeColor="text1"/>
          <w:sz w:val="16"/>
          <w:szCs w:val="16"/>
        </w:rPr>
        <w:softHyphen/>
        <w:t>ся в поле зрения летчика и получаются меньшие ошибки в наводке по направлению». Ввод в пики</w:t>
      </w:r>
      <w:r w:rsidRPr="00D03F3E">
        <w:rPr>
          <w:color w:val="000000" w:themeColor="text1"/>
          <w:sz w:val="16"/>
          <w:szCs w:val="16"/>
        </w:rPr>
        <w:softHyphen/>
        <w:t>рование выполняется при скорости 260—270 км/ч по прибору. Дистанция стрельбы при указанных условиях получается порядка 900—400 м. Вывод из пикирования «необходимо было начинать с таким расчетом, чтобы при выходе на горизонтальном по</w:t>
      </w:r>
      <w:r w:rsidRPr="00D03F3E">
        <w:rPr>
          <w:color w:val="000000" w:themeColor="text1"/>
          <w:sz w:val="16"/>
          <w:szCs w:val="16"/>
        </w:rPr>
        <w:softHyphen/>
        <w:t>лете иметь высоту не менее 100 м». То есть с высо</w:t>
      </w:r>
      <w:r w:rsidRPr="00D03F3E">
        <w:rPr>
          <w:color w:val="000000" w:themeColor="text1"/>
          <w:sz w:val="16"/>
          <w:szCs w:val="16"/>
        </w:rPr>
        <w:softHyphen/>
        <w:t>ты 200 м при перегрузке на выводе 2,5—3 единицы.</w:t>
      </w:r>
    </w:p>
    <w:p w14:paraId="3A2BECA7"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стрельбе из 2 пушек «чувствуется значи</w:t>
      </w:r>
      <w:r w:rsidRPr="00D03F3E">
        <w:rPr>
          <w:color w:val="000000" w:themeColor="text1"/>
          <w:sz w:val="16"/>
          <w:szCs w:val="16"/>
        </w:rPr>
        <w:softHyphen/>
        <w:t>тельная отдача назад». Вследствие плохой про</w:t>
      </w:r>
      <w:r w:rsidRPr="00D03F3E">
        <w:rPr>
          <w:color w:val="000000" w:themeColor="text1"/>
          <w:sz w:val="16"/>
          <w:szCs w:val="16"/>
        </w:rPr>
        <w:softHyphen/>
        <w:t>дольной устойчивости самолета прицеливание нарушается после первых же выстрелов и «получа</w:t>
      </w:r>
      <w:r w:rsidRPr="00D03F3E">
        <w:rPr>
          <w:color w:val="000000" w:themeColor="text1"/>
          <w:sz w:val="16"/>
          <w:szCs w:val="16"/>
        </w:rPr>
        <w:softHyphen/>
        <w:t xml:space="preserve">ется разброс снарядов, особенно при асинхронной работе пушек». Поэтому «прицельное поражение точечной цели (одиночный танк) </w:t>
      </w:r>
      <w:r w:rsidRPr="00D03F3E">
        <w:rPr>
          <w:color w:val="000000" w:themeColor="text1"/>
          <w:sz w:val="16"/>
          <w:szCs w:val="16"/>
        </w:rPr>
        <w:lastRenderedPageBreak/>
        <w:t>возможно только из первой очереди, а возможно, даже и только из первых выстрелов». По этой причине стрельбу не</w:t>
      </w:r>
      <w:r w:rsidRPr="00D03F3E">
        <w:rPr>
          <w:color w:val="000000" w:themeColor="text1"/>
          <w:sz w:val="16"/>
          <w:szCs w:val="16"/>
        </w:rPr>
        <w:softHyphen/>
        <w:t>обходимо было вести только короткими очередями по 2—3 выстрела. Внесение поправок в прицелива</w:t>
      </w:r>
      <w:r w:rsidRPr="00D03F3E">
        <w:rPr>
          <w:color w:val="000000" w:themeColor="text1"/>
          <w:sz w:val="16"/>
          <w:szCs w:val="16"/>
        </w:rPr>
        <w:softHyphen/>
        <w:t>ние было возможным, но требует от летчиков опре</w:t>
      </w:r>
      <w:r w:rsidRPr="00D03F3E">
        <w:rPr>
          <w:color w:val="000000" w:themeColor="text1"/>
          <w:sz w:val="16"/>
          <w:szCs w:val="16"/>
        </w:rPr>
        <w:softHyphen/>
        <w:t>деленного навыка. При этом максимальная длина очереди ограничивалась 3—4 выстрелами. За один заход с высоты 500 м при соответствующей трени</w:t>
      </w:r>
      <w:r w:rsidRPr="00D03F3E">
        <w:rPr>
          <w:color w:val="000000" w:themeColor="text1"/>
          <w:sz w:val="16"/>
          <w:szCs w:val="16"/>
        </w:rPr>
        <w:softHyphen/>
        <w:t>ровке можно было выполнить 3—4 прицельные очереди.</w:t>
      </w:r>
    </w:p>
    <w:p w14:paraId="42229ED4"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стрельбе из одной пушки самолет силь</w:t>
      </w:r>
      <w:r w:rsidRPr="00D03F3E">
        <w:rPr>
          <w:color w:val="000000" w:themeColor="text1"/>
          <w:sz w:val="16"/>
          <w:szCs w:val="16"/>
        </w:rPr>
        <w:softHyphen/>
        <w:t>но разворачивает в сторону стреляющей пушки, «стрельба становится неприцельной, и удержать самолет в заданном направлении невозможно». Даже при парировании разворота «в момент стрельбы разрывы ложатся в сторону стреляющей пушки». В этом случае требовалось «стрелять еще более короткой очередью с небольшим боковым упреждением».</w:t>
      </w:r>
    </w:p>
    <w:p w14:paraId="453414E4"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Прицел ВВ-1 не отвечает требованиям прицель</w:t>
      </w:r>
      <w:r w:rsidRPr="00D03F3E">
        <w:rPr>
          <w:color w:val="000000" w:themeColor="text1"/>
          <w:sz w:val="16"/>
          <w:szCs w:val="16"/>
        </w:rPr>
        <w:softHyphen/>
        <w:t>ной стрельбы из пушек 11П по точечным целям с самолета Ил-2. Получалось так, что цель разме</w:t>
      </w:r>
      <w:r w:rsidRPr="00D03F3E">
        <w:rPr>
          <w:color w:val="000000" w:themeColor="text1"/>
          <w:sz w:val="16"/>
          <w:szCs w:val="16"/>
        </w:rPr>
        <w:softHyphen/>
        <w:t>рами 6x6 м с дистанции 900—800 м закрывается мушкой, а «совмещение перекрестия на козырь</w:t>
      </w:r>
      <w:r w:rsidRPr="00D03F3E">
        <w:rPr>
          <w:color w:val="000000" w:themeColor="text1"/>
          <w:sz w:val="16"/>
          <w:szCs w:val="16"/>
        </w:rPr>
        <w:softHyphen/>
        <w:t>ке с мушкой после первого выстрела нарушается и впоследствии трудно возобновляется». К тому же «наводка затрудняется также плохим качеством прозрачной брони (искажает)».</w:t>
      </w:r>
    </w:p>
    <w:p w14:paraId="7A123B8D"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Средний процент попаданий в круг диаметром 60 м составил 33,3% (диапазон — от 22,3 до 71,5%), а в цель размерами 6x6 м — всего 2,65% (диапа</w:t>
      </w:r>
      <w:r w:rsidRPr="00D03F3E">
        <w:rPr>
          <w:color w:val="000000" w:themeColor="text1"/>
          <w:sz w:val="16"/>
          <w:szCs w:val="16"/>
        </w:rPr>
        <w:softHyphen/>
        <w:t>зон — от 2,13 до 4,76%).</w:t>
      </w:r>
    </w:p>
    <w:p w14:paraId="2883906D"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 числу основных выводов по результатам ис</w:t>
      </w:r>
      <w:r w:rsidRPr="00D03F3E">
        <w:rPr>
          <w:color w:val="000000" w:themeColor="text1"/>
          <w:sz w:val="16"/>
          <w:szCs w:val="16"/>
        </w:rPr>
        <w:softHyphen/>
        <w:t>пытаний относили следующее. Во всем диапазоне эксплуатационных центровок двухместный самолет Ил-2 не имеет продольной устойчивости. С уста</w:t>
      </w:r>
      <w:r w:rsidRPr="00D03F3E">
        <w:rPr>
          <w:color w:val="000000" w:themeColor="text1"/>
          <w:sz w:val="16"/>
          <w:szCs w:val="16"/>
        </w:rPr>
        <w:softHyphen/>
        <w:t>новленными 37-мм пушками самолет инертен, на</w:t>
      </w:r>
      <w:r w:rsidRPr="00D03F3E">
        <w:rPr>
          <w:color w:val="000000" w:themeColor="text1"/>
          <w:sz w:val="16"/>
          <w:szCs w:val="16"/>
        </w:rPr>
        <w:softHyphen/>
        <w:t>грузки на рули большие. Самолет сложен в технике пилотирования на виражах, боевых разворотах, при полете на низких высотах. Отсутствие у само</w:t>
      </w:r>
      <w:r w:rsidRPr="00D03F3E">
        <w:rPr>
          <w:color w:val="000000" w:themeColor="text1"/>
          <w:sz w:val="16"/>
          <w:szCs w:val="16"/>
        </w:rPr>
        <w:softHyphen/>
        <w:t>лета продольной устойчивости «снижает качество стрельбы, особенно из пушек калибра 37 мм».</w:t>
      </w:r>
    </w:p>
    <w:p w14:paraId="5A487758"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то же время отмечалось, что самолет Ил-2 с пушками 11П «может быть применен для пораже</w:t>
      </w:r>
      <w:r w:rsidRPr="00D03F3E">
        <w:rPr>
          <w:color w:val="000000" w:themeColor="text1"/>
          <w:sz w:val="16"/>
          <w:szCs w:val="16"/>
        </w:rPr>
        <w:softHyphen/>
        <w:t>ния железнодорожных эшелонов, паровозов, тан</w:t>
      </w:r>
      <w:r w:rsidRPr="00D03F3E">
        <w:rPr>
          <w:color w:val="000000" w:themeColor="text1"/>
          <w:sz w:val="16"/>
          <w:szCs w:val="16"/>
        </w:rPr>
        <w:softHyphen/>
        <w:t>ков, автоколонн и других целей» при соответствую</w:t>
      </w:r>
      <w:r w:rsidRPr="00D03F3E">
        <w:rPr>
          <w:color w:val="000000" w:themeColor="text1"/>
          <w:sz w:val="16"/>
          <w:szCs w:val="16"/>
        </w:rPr>
        <w:softHyphen/>
        <w:t>щей тренировке летного состава и нормальной ра</w:t>
      </w:r>
      <w:r w:rsidRPr="00D03F3E">
        <w:rPr>
          <w:color w:val="000000" w:themeColor="text1"/>
          <w:sz w:val="16"/>
          <w:szCs w:val="16"/>
        </w:rPr>
        <w:softHyphen/>
        <w:t>боте самих пушек. При этом стрельбу необходимо производить только короткими очередями не бо</w:t>
      </w:r>
      <w:r w:rsidRPr="00D03F3E">
        <w:rPr>
          <w:color w:val="000000" w:themeColor="text1"/>
          <w:sz w:val="16"/>
          <w:szCs w:val="16"/>
        </w:rPr>
        <w:softHyphen/>
        <w:t>лее 3—4 выстрелов, «помня, что первые выстрелы наиболее прицельные».</w:t>
      </w:r>
    </w:p>
    <w:p w14:paraId="29174B54"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Производственное исполнение Ил-2 зав. № 302349 неудовлетворительное. Большинство производственных дефектов, отмеченных в актах по испытаниям самолетов Ил-2 производства заво</w:t>
      </w:r>
      <w:r w:rsidRPr="00D03F3E">
        <w:rPr>
          <w:color w:val="000000" w:themeColor="text1"/>
          <w:sz w:val="16"/>
          <w:szCs w:val="16"/>
        </w:rPr>
        <w:softHyphen/>
        <w:t>да № 30 зав. № 2067, 1140 и 1122, «повторено и на испытанном самолете».</w:t>
      </w:r>
    </w:p>
    <w:p w14:paraId="7DB19F9E"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Требовалось немедленно устранить заклинение патронной ленты в горловине патронного рукава, для чего «доработать патронные рукава по типу доводок, произведенных при испытаниях». Исклю</w:t>
      </w:r>
      <w:r w:rsidRPr="00D03F3E">
        <w:rPr>
          <w:color w:val="000000" w:themeColor="text1"/>
          <w:sz w:val="16"/>
          <w:szCs w:val="16"/>
        </w:rPr>
        <w:softHyphen/>
        <w:t>чить выпадение патронов из ленты. Устранить во внутренней части патронного ящика выступающие предметы — «профиля и шурупы», а саму внутрен</w:t>
      </w:r>
      <w:r w:rsidRPr="00D03F3E">
        <w:rPr>
          <w:color w:val="000000" w:themeColor="text1"/>
          <w:sz w:val="16"/>
          <w:szCs w:val="16"/>
        </w:rPr>
        <w:softHyphen/>
        <w:t>нюю поверхность стенок ящика сделать лучшего качества. Кроме этого, необходимо было удлинить троса спусков пушек, поскольку «тендеры разъема нельзя довернуть до конца и при каждом рассоеди</w:t>
      </w:r>
      <w:r w:rsidRPr="00D03F3E">
        <w:rPr>
          <w:color w:val="000000" w:themeColor="text1"/>
          <w:sz w:val="16"/>
          <w:szCs w:val="16"/>
        </w:rPr>
        <w:softHyphen/>
        <w:t>нении тендеров нарушается регулировка спуска». Предлагалось установить «предохранительные листы против звеньеотводов на правой плоскости и люке патронного отсека левого пулемета ШКАС», возвратные пружины рычагов спусков на заднем креплении пушек, контргайки на горизонтальных болтах переднего крепления пушек.</w:t>
      </w:r>
    </w:p>
    <w:p w14:paraId="224562E4"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следствие выявленных в ходе испытаний дефектов и недостатков, в заключении отчета НИИ ВВС констатировалось: «Головной серийный Ил-2 с 37-мм пушками (зав. № 302349 з-д 30) в предъяв</w:t>
      </w:r>
      <w:r w:rsidRPr="00D03F3E">
        <w:rPr>
          <w:color w:val="000000" w:themeColor="text1"/>
          <w:sz w:val="16"/>
          <w:szCs w:val="16"/>
        </w:rPr>
        <w:softHyphen/>
        <w:t>ленном виде испытаний не выдержал по причинам недоведенности системы питания пушек калибра 37 мм и неудовлетворительного производственно</w:t>
      </w:r>
      <w:r w:rsidRPr="00D03F3E">
        <w:rPr>
          <w:color w:val="000000" w:themeColor="text1"/>
          <w:sz w:val="16"/>
          <w:szCs w:val="16"/>
        </w:rPr>
        <w:softHyphen/>
        <w:t>го исполнения».</w:t>
      </w:r>
    </w:p>
    <w:p w14:paraId="5AEF8D48"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Предлагалось «самолет Ил-2 с 37-мм пушками со всеми устраненными дефектами, отмеченными на самолетах зав. № 302067 и № 302349 и доведен</w:t>
      </w:r>
      <w:r w:rsidRPr="00D03F3E">
        <w:rPr>
          <w:color w:val="000000" w:themeColor="text1"/>
          <w:sz w:val="16"/>
          <w:szCs w:val="16"/>
        </w:rPr>
        <w:softHyphen/>
        <w:t>ной системой питания, предъявить в НИИ ВВС на повторные испытания».</w:t>
      </w:r>
    </w:p>
    <w:p w14:paraId="330BF5CC" w14:textId="77777777" w:rsidR="000F3F4A" w:rsidRPr="00D03F3E" w:rsidRDefault="000F3F4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Акт по результатам испытаний Ил-2 зав. № 302349 главный инженер ВВС генерал-полков</w:t>
      </w:r>
      <w:r w:rsidRPr="00D03F3E">
        <w:rPr>
          <w:color w:val="000000" w:themeColor="text1"/>
          <w:sz w:val="16"/>
          <w:szCs w:val="16"/>
        </w:rPr>
        <w:softHyphen/>
        <w:t>ник А. К. Репин утвердил 14 августа 1943 г. (17500).</w:t>
      </w:r>
    </w:p>
    <w:p w14:paraId="6CE16980" w14:textId="77777777" w:rsidR="000F3F4A" w:rsidRPr="00D03F3E" w:rsidRDefault="000F3F4A" w:rsidP="00D03F3E">
      <w:pPr>
        <w:spacing w:after="0" w:line="240" w:lineRule="auto"/>
        <w:jc w:val="both"/>
        <w:rPr>
          <w:rFonts w:ascii="Times New Roman" w:eastAsia="Times New Roman" w:hAnsi="Times New Roman"/>
          <w:color w:val="000000" w:themeColor="text1"/>
          <w:sz w:val="16"/>
          <w:szCs w:val="16"/>
          <w:lang w:eastAsia="ru-RU"/>
        </w:rPr>
      </w:pPr>
    </w:p>
    <w:p w14:paraId="1E993DE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2 по 21 июня 1943 13 ЛаГГ-3 завода 31 проходили испытания на определение температурных режимов ВМГ и прошли неудовлетворительно (1779).</w:t>
      </w:r>
    </w:p>
    <w:p w14:paraId="77E877B1" w14:textId="77777777" w:rsidR="00531570" w:rsidRPr="00D03F3E" w:rsidRDefault="00531570" w:rsidP="00D03F3E">
      <w:pPr>
        <w:pStyle w:val="Iauiue"/>
        <w:jc w:val="both"/>
        <w:rPr>
          <w:color w:val="000000" w:themeColor="text1"/>
          <w:sz w:val="16"/>
          <w:szCs w:val="16"/>
        </w:rPr>
      </w:pPr>
    </w:p>
    <w:p w14:paraId="2C44CB05" w14:textId="77777777" w:rsidR="0012603D" w:rsidRPr="00D03F3E" w:rsidRDefault="0012603D" w:rsidP="00D03F3E">
      <w:pPr>
        <w:pStyle w:val="Iauiue"/>
        <w:jc w:val="both"/>
        <w:rPr>
          <w:color w:val="000000" w:themeColor="text1"/>
          <w:sz w:val="16"/>
          <w:szCs w:val="16"/>
        </w:rPr>
      </w:pPr>
      <w:r w:rsidRPr="00D03F3E">
        <w:rPr>
          <w:color w:val="000000" w:themeColor="text1"/>
          <w:sz w:val="16"/>
          <w:szCs w:val="16"/>
        </w:rPr>
        <w:t>2 июня 1943 на 21 заводе была авария Ла-5 N 37211473 с М-82 65028808 (2129).</w:t>
      </w:r>
    </w:p>
    <w:p w14:paraId="662D5342" w14:textId="77777777" w:rsidR="0012603D" w:rsidRPr="00D03F3E" w:rsidRDefault="0012603D" w:rsidP="00D03F3E">
      <w:pPr>
        <w:pStyle w:val="Iauiue"/>
        <w:jc w:val="both"/>
        <w:rPr>
          <w:color w:val="000000" w:themeColor="text1"/>
          <w:sz w:val="16"/>
          <w:szCs w:val="16"/>
        </w:rPr>
      </w:pPr>
    </w:p>
    <w:p w14:paraId="73E0000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июня 1943 п - инспектор по технике пилотирования 6 иак ПВО Москвы Л.А.Шолохов выполнил полет на Як-9ПД на перехват Ю-86Р (646,275). Это была машина N 01-29 с М-105ПД. На высоте 11650 м по прибору (12210 м по барографу) видел желтые консоли и кресты, но давление бензина упало до 0, а козырек и кабина были покрыты льдом. Полет, длившийся 59 минут, был прекращен (65,123).</w:t>
      </w:r>
    </w:p>
    <w:p w14:paraId="736D68A6" w14:textId="77777777" w:rsidR="00531570" w:rsidRPr="00D03F3E" w:rsidRDefault="00531570" w:rsidP="00D03F3E">
      <w:pPr>
        <w:pStyle w:val="Iauiue"/>
        <w:jc w:val="both"/>
        <w:rPr>
          <w:color w:val="000000" w:themeColor="text1"/>
          <w:sz w:val="16"/>
          <w:szCs w:val="16"/>
        </w:rPr>
      </w:pPr>
    </w:p>
    <w:p w14:paraId="4754A85B"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 июня 1943 г. на перехват </w:t>
      </w:r>
      <w:r w:rsidRPr="00D03F3E">
        <w:rPr>
          <w:rFonts w:ascii="Times New Roman" w:hAnsi="Times New Roman"/>
          <w:color w:val="000000" w:themeColor="text1"/>
          <w:sz w:val="16"/>
          <w:szCs w:val="16"/>
          <w:lang w:val="en-US"/>
        </w:rPr>
        <w:t>Ju</w:t>
      </w:r>
      <w:r w:rsidRPr="00D03F3E">
        <w:rPr>
          <w:rFonts w:ascii="Times New Roman" w:hAnsi="Times New Roman"/>
          <w:color w:val="000000" w:themeColor="text1"/>
          <w:sz w:val="16"/>
          <w:szCs w:val="16"/>
        </w:rPr>
        <w:t>-86</w:t>
      </w:r>
      <w:r w:rsidRPr="00D03F3E">
        <w:rPr>
          <w:rFonts w:ascii="Times New Roman" w:hAnsi="Times New Roman"/>
          <w:color w:val="000000" w:themeColor="text1"/>
          <w:sz w:val="16"/>
          <w:szCs w:val="16"/>
          <w:lang w:val="en-US"/>
        </w:rPr>
        <w:t>R</w:t>
      </w:r>
      <w:r w:rsidRPr="00D03F3E">
        <w:rPr>
          <w:rFonts w:ascii="Times New Roman" w:hAnsi="Times New Roman"/>
          <w:color w:val="000000" w:themeColor="text1"/>
          <w:sz w:val="16"/>
          <w:szCs w:val="16"/>
        </w:rPr>
        <w:t xml:space="preserve"> на Як-9 № 01-29 с М-105ПД с Центрального аэ</w:t>
      </w:r>
      <w:r w:rsidRPr="00D03F3E">
        <w:rPr>
          <w:rFonts w:ascii="Times New Roman" w:hAnsi="Times New Roman"/>
          <w:color w:val="000000" w:themeColor="text1"/>
          <w:sz w:val="16"/>
          <w:szCs w:val="16"/>
        </w:rPr>
        <w:softHyphen/>
        <w:t>родрома взлетел п/п-к Л.А. Шолохов — инспектор по технике пилотирования 6 ИАК...</w:t>
      </w:r>
    </w:p>
    <w:p w14:paraId="15CB953C"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высоте 8500 м пилот получил сообщение с КП 12 ГИАП: «Противник прошел Внуко</w:t>
      </w:r>
      <w:r w:rsidRPr="00D03F3E">
        <w:rPr>
          <w:rFonts w:ascii="Times New Roman" w:hAnsi="Times New Roman"/>
          <w:color w:val="000000" w:themeColor="text1"/>
          <w:sz w:val="16"/>
          <w:szCs w:val="16"/>
        </w:rPr>
        <w:softHyphen/>
        <w:t xml:space="preserve">во». В это время по следу инверсии он заметил на удалении 12-15 км самолёт, подходивший к южной окраине Москвы на большой высоте. Через 15 мин, идя с набором высоты, Як-9 догнал </w:t>
      </w:r>
      <w:r w:rsidRPr="00D03F3E">
        <w:rPr>
          <w:rFonts w:ascii="Times New Roman" w:hAnsi="Times New Roman"/>
          <w:color w:val="000000" w:themeColor="text1"/>
          <w:sz w:val="16"/>
          <w:szCs w:val="16"/>
          <w:lang w:val="en-US"/>
        </w:rPr>
        <w:t>Ju</w:t>
      </w:r>
      <w:r w:rsidRPr="00D03F3E">
        <w:rPr>
          <w:rFonts w:ascii="Times New Roman" w:hAnsi="Times New Roman"/>
          <w:color w:val="000000" w:themeColor="text1"/>
          <w:sz w:val="16"/>
          <w:szCs w:val="16"/>
        </w:rPr>
        <w:t>-86 и, находясь на высоте по прибору 11650 м (по барограмме — 12210 м), летел ниже его на 1000-1500 м. Температура воды достигла 110°С, масла — 105°С. Пи</w:t>
      </w:r>
      <w:r w:rsidRPr="00D03F3E">
        <w:rPr>
          <w:rFonts w:ascii="Times New Roman" w:hAnsi="Times New Roman"/>
          <w:color w:val="000000" w:themeColor="text1"/>
          <w:sz w:val="16"/>
          <w:szCs w:val="16"/>
        </w:rPr>
        <w:softHyphen/>
        <w:t>лот увидел желтые консоли крыла и неясные очертания крестов. В этот момент давление бензина упало до нуля и восстановилось при снижении до 10800 м. Самолёт вновь набрал 11400 м по прибору, но двигатель «запарил»: температура воды — 112°С, масла— 110°С. Козырек и фонарь покрылись слоем льда. Потеряв противника из виду, Шолохов вынуж</w:t>
      </w:r>
      <w:r w:rsidRPr="00D03F3E">
        <w:rPr>
          <w:rFonts w:ascii="Times New Roman" w:hAnsi="Times New Roman"/>
          <w:color w:val="000000" w:themeColor="text1"/>
          <w:sz w:val="16"/>
          <w:szCs w:val="16"/>
        </w:rPr>
        <w:softHyphen/>
        <w:t>денно прекратил преследование и пошёл на посадку. Полёт продолжался 59 мин. Полёт</w:t>
      </w:r>
      <w:r w:rsidRPr="00D03F3E">
        <w:rPr>
          <w:rFonts w:ascii="Times New Roman" w:hAnsi="Times New Roman"/>
          <w:color w:val="000000" w:themeColor="text1"/>
          <w:sz w:val="16"/>
          <w:szCs w:val="16"/>
        </w:rPr>
        <w:softHyphen/>
        <w:t>ная масса самолёта — 2728 кг, включая горючее — 300 кг и масло — 40 кг (15830).</w:t>
      </w:r>
    </w:p>
    <w:p w14:paraId="3E28E109" w14:textId="77777777" w:rsidR="0012603D" w:rsidRPr="00D03F3E" w:rsidRDefault="0012603D" w:rsidP="00D03F3E">
      <w:pPr>
        <w:spacing w:after="0" w:line="240" w:lineRule="auto"/>
        <w:jc w:val="both"/>
        <w:rPr>
          <w:rFonts w:ascii="Times New Roman" w:hAnsi="Times New Roman"/>
          <w:color w:val="000000" w:themeColor="text1"/>
          <w:sz w:val="16"/>
          <w:szCs w:val="16"/>
        </w:rPr>
      </w:pPr>
    </w:p>
    <w:p w14:paraId="414DDFA0"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 июня</w:t>
      </w:r>
      <w:r w:rsidRPr="00D03F3E">
        <w:rPr>
          <w:rFonts w:ascii="Times New Roman" w:hAnsi="Times New Roman"/>
          <w:color w:val="000000" w:themeColor="text1"/>
          <w:sz w:val="16"/>
          <w:szCs w:val="16"/>
        </w:rPr>
        <w:t xml:space="preserve"> в 1943 году на перехват высотного разведчика с Центрального аэродрома Москвы на самолете </w:t>
      </w:r>
      <w:hyperlink r:id="rId187" w:tgtFrame="_blank" w:history="1">
        <w:r w:rsidRPr="00D03F3E">
          <w:rPr>
            <w:rFonts w:ascii="Times New Roman" w:hAnsi="Times New Roman"/>
            <w:color w:val="000000" w:themeColor="text1"/>
            <w:sz w:val="16"/>
            <w:szCs w:val="16"/>
          </w:rPr>
          <w:t xml:space="preserve">«Як-9» </w:t>
        </w:r>
      </w:hyperlink>
      <w:r w:rsidRPr="00D03F3E">
        <w:rPr>
          <w:rFonts w:ascii="Times New Roman" w:hAnsi="Times New Roman"/>
          <w:color w:val="000000" w:themeColor="text1"/>
          <w:sz w:val="16"/>
          <w:szCs w:val="16"/>
        </w:rPr>
        <w:t>№01-29 с «М-105ПД» взлетел подполковник Л.А.Шолохов - инспектор по технике пилотирования 6-го истребительного авиационного корпуса ПВО Москвы. Летчик набирал высоту на скорости 260 км/ч до высоты 6000 м, при этом температура воды была 105°С, масла - 95°С; турбомуфту начал включать с высоты 4000 м, на высоте 8500 м включил полностью; высотным корректором начал пользоваться с 8000 м. Двигатель работал хорошо, температуры воды и масла оставались в норме. На высоте 8500 м Л.А.Шолохов получил сообщение с КП 12-го гвардейского истребительного авиационного полка: "Противник прошел Внуково". В это время по следу инверсии он заметил на удалении 12...15 км самолет противника, подходивший к южной окраине Москвы на большой высоте. Через 15 мин, идя с набором высоты, «Як-9» догнал противника и, находясь на высоте по прибору 11650 м (приведенная по барограмме - 12210 м), был ниже его на 1000...1500 м. Температура воды была 110°С, масла - 105°С. Пилот видел желтые консоли крыла и неясные очертания крестов. В этот момент давление бензина упало до нуля и восстановилось при снижении до 10800 м. Самолет набрал 11400 м по прибору, но двигатель "запарил". Температура воды была 112°С, масла - 110°С. Козырек и фонарь покрылись слоем льда. Потеряв противника из виду, Л.А.Шолохов вынужден был прекратить преследование и пошел на посадку. Полет продолжался 59 мин. Полетная масса самолета 2728 кг, включая горючее - 300 кг и масло - 40 кг (14910).</w:t>
      </w:r>
    </w:p>
    <w:p w14:paraId="6388D04B" w14:textId="77777777" w:rsidR="0012603D" w:rsidRPr="00D03F3E" w:rsidRDefault="0012603D" w:rsidP="00D03F3E">
      <w:pPr>
        <w:spacing w:after="0" w:line="240" w:lineRule="auto"/>
        <w:jc w:val="both"/>
        <w:rPr>
          <w:rFonts w:ascii="Times New Roman" w:hAnsi="Times New Roman"/>
          <w:color w:val="000000" w:themeColor="text1"/>
          <w:sz w:val="16"/>
          <w:szCs w:val="16"/>
        </w:rPr>
      </w:pPr>
    </w:p>
    <w:p w14:paraId="12ABBEE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июня 1943 вышел приказ НКАП N 329сс "О постановке серийного производства на заводе 22 самолетов Пе-2 в варианте истребителя":</w:t>
      </w:r>
    </w:p>
    <w:p w14:paraId="61C7DF8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исполнение постановления ГКО от 28 мая 1943 N 3449сс:</w:t>
      </w:r>
    </w:p>
    <w:p w14:paraId="4BD7846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Нач. 10 ГУ Тарасевич, директору завода 22 Окулову и ГК Путилову, наряду с выпуском самолетов Пе-2 бомбардировщиков, организовать на заводе 22 серийное производство 2-х местных истребителей.</w:t>
      </w:r>
    </w:p>
    <w:p w14:paraId="25FE4F8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Самолет Пе-2 с М-105ПФ в варианте истребителя выпускать со след.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1281"/>
      </w:tblGrid>
      <w:tr w:rsidR="00860B4B" w:rsidRPr="00D03F3E" w14:paraId="308CEA83" w14:textId="77777777">
        <w:tc>
          <w:tcPr>
            <w:tcW w:w="3227" w:type="dxa"/>
          </w:tcPr>
          <w:p w14:paraId="283D190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у земли</w:t>
            </w:r>
          </w:p>
        </w:tc>
        <w:tc>
          <w:tcPr>
            <w:tcW w:w="1281" w:type="dxa"/>
          </w:tcPr>
          <w:p w14:paraId="4AF4E89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470 км/час</w:t>
            </w:r>
          </w:p>
        </w:tc>
      </w:tr>
      <w:tr w:rsidR="00860B4B" w:rsidRPr="00D03F3E" w14:paraId="269DF99A" w14:textId="77777777">
        <w:tc>
          <w:tcPr>
            <w:tcW w:w="3227" w:type="dxa"/>
          </w:tcPr>
          <w:p w14:paraId="290D79C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на 3500 м</w:t>
            </w:r>
          </w:p>
        </w:tc>
        <w:tc>
          <w:tcPr>
            <w:tcW w:w="1281" w:type="dxa"/>
          </w:tcPr>
          <w:p w14:paraId="0504DCF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540 км/час</w:t>
            </w:r>
          </w:p>
        </w:tc>
      </w:tr>
      <w:tr w:rsidR="00860B4B" w:rsidRPr="00D03F3E" w14:paraId="1A270D6D" w14:textId="77777777">
        <w:tc>
          <w:tcPr>
            <w:tcW w:w="3227" w:type="dxa"/>
          </w:tcPr>
          <w:p w14:paraId="157D44D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посадочная скорость</w:t>
            </w:r>
          </w:p>
        </w:tc>
        <w:tc>
          <w:tcPr>
            <w:tcW w:w="1281" w:type="dxa"/>
          </w:tcPr>
          <w:p w14:paraId="01C5BE6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145 км/час</w:t>
            </w:r>
          </w:p>
        </w:tc>
      </w:tr>
      <w:tr w:rsidR="00860B4B" w:rsidRPr="00D03F3E" w14:paraId="6843F2CE" w14:textId="77777777">
        <w:tc>
          <w:tcPr>
            <w:tcW w:w="3227" w:type="dxa"/>
          </w:tcPr>
          <w:p w14:paraId="673AE06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вр. подъема на 5000 м</w:t>
            </w:r>
          </w:p>
        </w:tc>
        <w:tc>
          <w:tcPr>
            <w:tcW w:w="1281" w:type="dxa"/>
          </w:tcPr>
          <w:p w14:paraId="58C0673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9.6 мин</w:t>
            </w:r>
          </w:p>
        </w:tc>
      </w:tr>
      <w:tr w:rsidR="00860B4B" w:rsidRPr="00D03F3E" w14:paraId="4DDBB3FC" w14:textId="77777777">
        <w:tc>
          <w:tcPr>
            <w:tcW w:w="3227" w:type="dxa"/>
          </w:tcPr>
          <w:p w14:paraId="11C6BC8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практический потолок</w:t>
            </w:r>
          </w:p>
        </w:tc>
        <w:tc>
          <w:tcPr>
            <w:tcW w:w="1281" w:type="dxa"/>
          </w:tcPr>
          <w:p w14:paraId="103B4B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9100 м</w:t>
            </w:r>
          </w:p>
        </w:tc>
      </w:tr>
      <w:tr w:rsidR="00860B4B" w:rsidRPr="00D03F3E" w14:paraId="421DC5E3" w14:textId="77777777">
        <w:tc>
          <w:tcPr>
            <w:tcW w:w="3227" w:type="dxa"/>
          </w:tcPr>
          <w:p w14:paraId="0094A6F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разбег</w:t>
            </w:r>
          </w:p>
        </w:tc>
        <w:tc>
          <w:tcPr>
            <w:tcW w:w="1281" w:type="dxa"/>
          </w:tcPr>
          <w:p w14:paraId="61D4F73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 м</w:t>
            </w:r>
          </w:p>
        </w:tc>
      </w:tr>
      <w:tr w:rsidR="00860B4B" w:rsidRPr="00D03F3E" w14:paraId="73A504BF" w14:textId="77777777">
        <w:tc>
          <w:tcPr>
            <w:tcW w:w="3227" w:type="dxa"/>
          </w:tcPr>
          <w:p w14:paraId="0B3D7BE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дальность на 0.8 макс. скорости</w:t>
            </w:r>
          </w:p>
        </w:tc>
        <w:tc>
          <w:tcPr>
            <w:tcW w:w="1281" w:type="dxa"/>
          </w:tcPr>
          <w:p w14:paraId="50C6BF4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1600 км</w:t>
            </w:r>
          </w:p>
        </w:tc>
      </w:tr>
    </w:tbl>
    <w:p w14:paraId="1CB3FA3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вооружение: вперед - 2х20 в бомбоотсеке с 160 снарядов на каждую и 1х12.7 мм в носу со 150 патронами</w:t>
      </w:r>
    </w:p>
    <w:p w14:paraId="3F91E55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назад - 1х12.7 мм на турели с 250 + 1х7.62 мм неподвижный в хвостовом коке с 250 патронами</w:t>
      </w:r>
    </w:p>
    <w:p w14:paraId="5B19307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бомбозамки в мотогондолах + два замка для наружной подвески</w:t>
      </w:r>
    </w:p>
    <w:p w14:paraId="706660C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Немедленно приступить к организации серийного производства самолетов Пе-2 в варианте истребителя, обеспечив их выпуск в счет программы по Пе-3 бомбардировщикам.</w:t>
      </w:r>
    </w:p>
    <w:p w14:paraId="229CDBE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июне направить 2 головных в НИИ ВВС для проведения испытаний</w:t>
      </w:r>
    </w:p>
    <w:p w14:paraId="76AC628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июле произвести 25</w:t>
      </w:r>
    </w:p>
    <w:p w14:paraId="4E4C2DA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августа - по 2 в день</w:t>
      </w:r>
    </w:p>
    <w:p w14:paraId="5B7F650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Самолет Пе-2 в варианте двух моторного истребителя именовать Пе-3 (1716,320).</w:t>
      </w:r>
    </w:p>
    <w:p w14:paraId="4152F0AB" w14:textId="77777777" w:rsidR="00531570" w:rsidRPr="00D03F3E" w:rsidRDefault="00531570" w:rsidP="00D03F3E">
      <w:pPr>
        <w:pStyle w:val="Iauiue"/>
        <w:jc w:val="both"/>
        <w:rPr>
          <w:color w:val="000000" w:themeColor="text1"/>
          <w:sz w:val="16"/>
          <w:szCs w:val="16"/>
        </w:rPr>
      </w:pPr>
    </w:p>
    <w:p w14:paraId="25E79C0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2 июня 1943 был подготовлен краткий перечень конструктивных изменений в стандартном типе самолета Ту-2 относительно серийных машин, выпускаемых заводом </w:t>
      </w:r>
      <w:r w:rsidRPr="00D03F3E">
        <w:rPr>
          <w:color w:val="000000" w:themeColor="text1"/>
          <w:sz w:val="16"/>
          <w:szCs w:val="16"/>
        </w:rPr>
        <w:lastRenderedPageBreak/>
        <w:t>166 (1775,168).</w:t>
      </w:r>
    </w:p>
    <w:p w14:paraId="41596C1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КРАТКИЙ ПЕРЕЧЕНЬ</w:t>
      </w:r>
    </w:p>
    <w:p w14:paraId="1E94AD5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конструктивных изменений в стандартном типе самолета ТУ-2 относительно серийных машин выпускавшихся заводом № 166.</w:t>
      </w:r>
    </w:p>
    <w:p w14:paraId="48CB77B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Ставящийся на серийное производство стандартный тип самолета ТУ-2 отличается от серийной машины, стро</w:t>
      </w:r>
      <w:r w:rsidRPr="00D03F3E">
        <w:rPr>
          <w:rFonts w:ascii="Times New Roman" w:hAnsi="Times New Roman"/>
          <w:color w:val="000000" w:themeColor="text1"/>
          <w:sz w:val="16"/>
          <w:szCs w:val="16"/>
        </w:rPr>
        <w:softHyphen/>
        <w:t>ившейся на заводе № 166 следующим:</w:t>
      </w:r>
    </w:p>
    <w:p w14:paraId="40BB8FE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 Вместо моторов М-82 поставлены мотош М-82ФНВ /форсированные с непосредственным впрыском/.</w:t>
      </w:r>
    </w:p>
    <w:p w14:paraId="768C592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Бензиновая система и система дренажа выполнена по упрощенной схеме с сокращением на 40% длины проводки. Задний дренаж бензобаков снят полностью.</w:t>
      </w:r>
    </w:p>
    <w:p w14:paraId="0144E4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Сняты бензиновые баки № 9 и 10; бензобаки №№ 1, 6 и 7 увеличены по об”ему.</w:t>
      </w:r>
    </w:p>
    <w:p w14:paraId="4B0064F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Электроинерционный запуск моторов заменен воз</w:t>
      </w:r>
      <w:r w:rsidRPr="00D03F3E">
        <w:rPr>
          <w:rFonts w:ascii="Times New Roman" w:hAnsi="Times New Roman"/>
          <w:color w:val="000000" w:themeColor="text1"/>
          <w:sz w:val="16"/>
          <w:szCs w:val="16"/>
        </w:rPr>
        <w:softHyphen/>
        <w:t>душным.</w:t>
      </w:r>
    </w:p>
    <w:p w14:paraId="692E219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Управление переключением скоростей нагнетателей моторов с гидравлического переведено на механическое /троссовое/.</w:t>
      </w:r>
    </w:p>
    <w:p w14:paraId="29CC46B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Управление заслонкой маслорадиатора механически связано с управлением боковыми створками.</w:t>
      </w:r>
    </w:p>
    <w:p w14:paraId="1CC1F40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Тормозные решетки сняты.</w:t>
      </w:r>
    </w:p>
    <w:p w14:paraId="57BAD18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Гидравлическая система низкого давления снята. Все линии проводки проложены по носку центроплана, а руч</w:t>
      </w:r>
      <w:r w:rsidRPr="00D03F3E">
        <w:rPr>
          <w:rFonts w:ascii="Times New Roman" w:hAnsi="Times New Roman"/>
          <w:color w:val="000000" w:themeColor="text1"/>
          <w:sz w:val="16"/>
          <w:szCs w:val="16"/>
        </w:rPr>
        <w:softHyphen/>
        <w:t>ная помпа, сферический гидроаккумулятор и гидравлический бак перенесены в переднюю кабину; благодаря этим мероприятиям длина гидравлических проводок сокращена на 70%.</w:t>
      </w:r>
    </w:p>
    <w:p w14:paraId="3505425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Все проводки аэронавигационного и вспомогатель</w:t>
      </w:r>
      <w:r w:rsidRPr="00D03F3E">
        <w:rPr>
          <w:rFonts w:ascii="Times New Roman" w:hAnsi="Times New Roman"/>
          <w:color w:val="000000" w:themeColor="text1"/>
          <w:sz w:val="16"/>
          <w:szCs w:val="16"/>
        </w:rPr>
        <w:softHyphen/>
        <w:t>ного оборудования прокладываются по упрощенной схеме на переднем лонжероне центроплана, благо даря чему длина про</w:t>
      </w:r>
      <w:r w:rsidRPr="00D03F3E">
        <w:rPr>
          <w:rFonts w:ascii="Times New Roman" w:hAnsi="Times New Roman"/>
          <w:color w:val="000000" w:themeColor="text1"/>
          <w:sz w:val="16"/>
          <w:szCs w:val="16"/>
        </w:rPr>
        <w:softHyphen/>
        <w:t>водки сокращается на 30%.</w:t>
      </w:r>
    </w:p>
    <w:p w14:paraId="25CE1D8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Приборы контроля работы мотора перенесены с мо</w:t>
      </w:r>
      <w:r w:rsidRPr="00D03F3E">
        <w:rPr>
          <w:rFonts w:ascii="Times New Roman" w:hAnsi="Times New Roman"/>
          <w:color w:val="000000" w:themeColor="text1"/>
          <w:sz w:val="16"/>
          <w:szCs w:val="16"/>
        </w:rPr>
        <w:softHyphen/>
        <w:t>тогондол на приборную доску летчика. С приборных досок летчика снят дублерный указатель скорости, термометры входящего масла не ставятся.</w:t>
      </w:r>
    </w:p>
    <w:p w14:paraId="6F509B4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Автомат курса АК-1 снят и заменен гиромагнитным компасом</w:t>
      </w:r>
    </w:p>
    <w:p w14:paraId="0262436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Снят высотомер у стрелка -радиста.</w:t>
      </w:r>
    </w:p>
    <w:p w14:paraId="0EC0478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Фотоаппарат АФА-Б заменен аппаратом АФА-БИ с по</w:t>
      </w:r>
      <w:r w:rsidRPr="00D03F3E">
        <w:rPr>
          <w:rFonts w:ascii="Times New Roman" w:hAnsi="Times New Roman"/>
          <w:color w:val="000000" w:themeColor="text1"/>
          <w:sz w:val="16"/>
          <w:szCs w:val="16"/>
        </w:rPr>
        <w:softHyphen/>
        <w:t>становкой командного прибора в задней .кабине.</w:t>
      </w:r>
    </w:p>
    <w:p w14:paraId="01856EC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Питание электросистемы осуществляется от одного генератора ГС-1000 вместо 2-х. Вся электросеть монтирует</w:t>
      </w:r>
      <w:r w:rsidRPr="00D03F3E">
        <w:rPr>
          <w:rFonts w:ascii="Times New Roman" w:hAnsi="Times New Roman"/>
          <w:color w:val="000000" w:themeColor="text1"/>
          <w:sz w:val="16"/>
          <w:szCs w:val="16"/>
        </w:rPr>
        <w:softHyphen/>
        <w:t>ся по упрощенной схеме со снятием всех равветвителышх коробок, длина сети сокращается на 1000 метров.</w:t>
      </w:r>
    </w:p>
    <w:p w14:paraId="76F7732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Триммер рулей направления делается только на пра</w:t>
      </w:r>
      <w:r w:rsidRPr="00D03F3E">
        <w:rPr>
          <w:rFonts w:ascii="Times New Roman" w:hAnsi="Times New Roman"/>
          <w:color w:val="000000" w:themeColor="text1"/>
          <w:sz w:val="16"/>
          <w:szCs w:val="16"/>
        </w:rPr>
        <w:softHyphen/>
        <w:t>вом руле.</w:t>
      </w:r>
    </w:p>
    <w:p w14:paraId="0E09751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С самолета сняты электросигнализации убранного по</w:t>
      </w:r>
      <w:r w:rsidRPr="00D03F3E">
        <w:rPr>
          <w:rFonts w:ascii="Times New Roman" w:hAnsi="Times New Roman"/>
          <w:color w:val="000000" w:themeColor="text1"/>
          <w:sz w:val="16"/>
          <w:szCs w:val="16"/>
        </w:rPr>
        <w:softHyphen/>
        <w:t>ложения шасси и закрытого положения бомбовых люков. электросигнализация положения посадочных щитков заменена ме</w:t>
      </w:r>
      <w:r w:rsidRPr="00D03F3E">
        <w:rPr>
          <w:rFonts w:ascii="Times New Roman" w:hAnsi="Times New Roman"/>
          <w:color w:val="000000" w:themeColor="text1"/>
          <w:sz w:val="16"/>
          <w:szCs w:val="16"/>
        </w:rPr>
        <w:softHyphen/>
        <w:t>ханической.</w:t>
      </w:r>
    </w:p>
    <w:p w14:paraId="1BDEA5B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Снят электроподтяг с пушечных установок.</w:t>
      </w:r>
    </w:p>
    <w:p w14:paraId="4789131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Переведены на однопроводную схему аэронавигацион</w:t>
      </w:r>
      <w:r w:rsidRPr="00D03F3E">
        <w:rPr>
          <w:rFonts w:ascii="Times New Roman" w:hAnsi="Times New Roman"/>
          <w:color w:val="000000" w:themeColor="text1"/>
          <w:sz w:val="16"/>
          <w:szCs w:val="16"/>
        </w:rPr>
        <w:softHyphen/>
        <w:t>ные огни, тахометры.</w:t>
      </w:r>
    </w:p>
    <w:p w14:paraId="70ADFB2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Система под"ема бомб делается усовершенствованной без лотков с установкой лебедок на вилках шасси.</w:t>
      </w:r>
    </w:p>
    <w:p w14:paraId="5D88B79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Правое открывающееся окно ликвидируется.</w:t>
      </w:r>
    </w:p>
    <w:p w14:paraId="60F7431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Увеличивается емкость патронных ящиков до 300 па</w:t>
      </w:r>
      <w:r w:rsidRPr="00D03F3E">
        <w:rPr>
          <w:rFonts w:ascii="Times New Roman" w:hAnsi="Times New Roman"/>
          <w:color w:val="000000" w:themeColor="text1"/>
          <w:sz w:val="16"/>
          <w:szCs w:val="16"/>
        </w:rPr>
        <w:softHyphen/>
        <w:t>трон на люковой установке.</w:t>
      </w:r>
    </w:p>
    <w:p w14:paraId="08D4B3A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Сидение летчика делается без спинки с постановкой подушки на бронеспинку.</w:t>
      </w:r>
    </w:p>
    <w:p w14:paraId="62FCC44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На правом борту у штурмана устанавливается броне</w:t>
      </w:r>
      <w:r w:rsidRPr="00D03F3E">
        <w:rPr>
          <w:rFonts w:ascii="Times New Roman" w:hAnsi="Times New Roman"/>
          <w:color w:val="000000" w:themeColor="text1"/>
          <w:sz w:val="16"/>
          <w:szCs w:val="16"/>
        </w:rPr>
        <w:softHyphen/>
        <w:t>вой лист.</w:t>
      </w:r>
    </w:p>
    <w:p w14:paraId="160334A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Открывающийся люк в полу штурмана заменяется ре</w:t>
      </w:r>
      <w:r w:rsidRPr="00D03F3E">
        <w:rPr>
          <w:rFonts w:ascii="Times New Roman" w:hAnsi="Times New Roman"/>
          <w:color w:val="000000" w:themeColor="text1"/>
          <w:sz w:val="16"/>
          <w:szCs w:val="16"/>
        </w:rPr>
        <w:softHyphen/>
        <w:t>монтным люком на шурупах.</w:t>
      </w:r>
    </w:p>
    <w:p w14:paraId="1408E35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Фонарь передней кабины делается новым с одной об</w:t>
      </w:r>
      <w:r w:rsidRPr="00D03F3E">
        <w:rPr>
          <w:rFonts w:ascii="Times New Roman" w:hAnsi="Times New Roman"/>
          <w:color w:val="000000" w:themeColor="text1"/>
          <w:sz w:val="16"/>
          <w:szCs w:val="16"/>
        </w:rPr>
        <w:softHyphen/>
        <w:t>щей створкой и с дополнительной задней дугой</w:t>
      </w:r>
      <w:r w:rsidRPr="00D03F3E">
        <w:rPr>
          <w:rFonts w:ascii="Times New Roman" w:hAnsi="Times New Roman"/>
          <w:smallCaps/>
          <w:color w:val="000000" w:themeColor="text1"/>
          <w:sz w:val="16"/>
          <w:szCs w:val="16"/>
        </w:rPr>
        <w:t xml:space="preserve">, </w:t>
      </w:r>
      <w:r w:rsidRPr="00D03F3E">
        <w:rPr>
          <w:rFonts w:ascii="Times New Roman" w:hAnsi="Times New Roman"/>
          <w:color w:val="000000" w:themeColor="text1"/>
          <w:sz w:val="16"/>
          <w:szCs w:val="16"/>
        </w:rPr>
        <w:t>позволяющей производить всю отладку фонаря на носовой части фюзеляжа.</w:t>
      </w:r>
    </w:p>
    <w:p w14:paraId="340611D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Так как большая часть трубопроводов прокладывает</w:t>
      </w:r>
      <w:r w:rsidRPr="00D03F3E">
        <w:rPr>
          <w:rFonts w:ascii="Times New Roman" w:hAnsi="Times New Roman"/>
          <w:color w:val="000000" w:themeColor="text1"/>
          <w:sz w:val="16"/>
          <w:szCs w:val="16"/>
        </w:rPr>
        <w:softHyphen/>
        <w:t>ся по левому лонжерону центроплана,то носок центроплана делается с”емным.</w:t>
      </w:r>
    </w:p>
    <w:p w14:paraId="67E7366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Снимается горизонтальная ферма центральной части фюзеляжа.</w:t>
      </w:r>
    </w:p>
    <w:p w14:paraId="2C1EEA5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Стабилизатор закрепляется неподвижно; механизм под ема стабилизатора снимается.</w:t>
      </w:r>
    </w:p>
    <w:p w14:paraId="39107B5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Управление стопором хвостового колеса делается с жесткой передачей на хвостовое колесо.</w:t>
      </w:r>
    </w:p>
    <w:p w14:paraId="4858CF3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Аварийный клапан шасси делается новой конструкции.</w:t>
      </w:r>
    </w:p>
    <w:p w14:paraId="1212283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Обшивка носовой части фюзеляжа делается деревянной.</w:t>
      </w:r>
    </w:p>
    <w:p w14:paraId="5D9D27B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 Реактивные орудия снимаются.</w:t>
      </w:r>
    </w:p>
    <w:p w14:paraId="71093C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ГЛАВНЫЙ ЮНСТРУКТОР (1775,168).</w:t>
      </w:r>
    </w:p>
    <w:p w14:paraId="0A5A0407" w14:textId="77777777" w:rsidR="00531570" w:rsidRPr="00D03F3E" w:rsidRDefault="00531570" w:rsidP="00D03F3E">
      <w:pPr>
        <w:pStyle w:val="Iauiue"/>
        <w:widowControl/>
        <w:jc w:val="both"/>
        <w:rPr>
          <w:color w:val="000000" w:themeColor="text1"/>
          <w:sz w:val="16"/>
          <w:szCs w:val="16"/>
        </w:rPr>
      </w:pPr>
    </w:p>
    <w:p w14:paraId="3A5935D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июня 1943 года был подготовлен проект приказа НКАП</w:t>
      </w:r>
    </w:p>
    <w:p w14:paraId="0B72726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 исполнение распоряжения СНК от 11 мая 1943 года № 9451-р:</w:t>
      </w:r>
    </w:p>
    <w:p w14:paraId="409B032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Производственные, складские и вспомогательные помещения, освобождаемые заводами №№ 468 и 293 НКАП в Билимбае Свердловской области, передать из системы НКАП в систему НК текстиля (8914).</w:t>
      </w:r>
    </w:p>
    <w:p w14:paraId="15D5AC91" w14:textId="77777777" w:rsidR="00531570" w:rsidRPr="00D03F3E" w:rsidRDefault="00531570" w:rsidP="00D03F3E">
      <w:pPr>
        <w:pStyle w:val="Iauiue"/>
        <w:jc w:val="both"/>
        <w:rPr>
          <w:color w:val="000000" w:themeColor="text1"/>
          <w:sz w:val="16"/>
          <w:szCs w:val="16"/>
        </w:rPr>
      </w:pPr>
    </w:p>
    <w:p w14:paraId="4149FAA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июня 1943 года вышел приказ № 220 НКАП</w:t>
      </w:r>
    </w:p>
    <w:p w14:paraId="4E210F6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обеспечения производства изделиями из сплава “Мишима” металлокерамических сплавов и инструментов, оснащенных пластинами из твердых сплавов:</w:t>
      </w:r>
    </w:p>
    <w:p w14:paraId="65583070" w14:textId="77777777" w:rsidR="00531570" w:rsidRPr="00D03F3E" w:rsidRDefault="00531570" w:rsidP="00D03F3E">
      <w:pPr>
        <w:pStyle w:val="Iauiue"/>
        <w:numPr>
          <w:ilvl w:val="0"/>
          <w:numId w:val="8"/>
        </w:numPr>
        <w:tabs>
          <w:tab w:val="left" w:pos="360"/>
        </w:tabs>
        <w:ind w:left="0" w:firstLine="0"/>
        <w:jc w:val="both"/>
        <w:rPr>
          <w:color w:val="000000" w:themeColor="text1"/>
          <w:sz w:val="16"/>
          <w:szCs w:val="16"/>
        </w:rPr>
      </w:pPr>
      <w:r w:rsidRPr="00D03F3E">
        <w:rPr>
          <w:color w:val="000000" w:themeColor="text1"/>
          <w:sz w:val="16"/>
          <w:szCs w:val="16"/>
        </w:rPr>
        <w:t>Начальнику 10 гл. управления Домову организовать в Москве филиал завода № 49 с производством сплава “Мишима” металлокерамических сплавов и инструментов, оснащенных пластинами из твердых сплавов.</w:t>
      </w:r>
    </w:p>
    <w:p w14:paraId="034732F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Зам. наркома Завитаеву и директору завода № 500 Петрову передать для организации филиала завода № 49 производственные помещения бывш. филиала завода № 453, входящего в настоящее время в состав завода № 500 НКАП (8922).</w:t>
      </w:r>
    </w:p>
    <w:p w14:paraId="5D7B3EB7" w14:textId="77777777" w:rsidR="00531570" w:rsidRPr="00D03F3E" w:rsidRDefault="00531570" w:rsidP="00D03F3E">
      <w:pPr>
        <w:pStyle w:val="Iauiue"/>
        <w:jc w:val="both"/>
        <w:rPr>
          <w:color w:val="000000" w:themeColor="text1"/>
          <w:sz w:val="16"/>
          <w:szCs w:val="16"/>
        </w:rPr>
      </w:pPr>
    </w:p>
    <w:p w14:paraId="5C21DE87"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1A62CF0A" w14:textId="77777777" w:rsidR="00531570" w:rsidRPr="00D03F3E" w:rsidRDefault="00531570" w:rsidP="00D03F3E">
      <w:pPr>
        <w:pStyle w:val="Iauiue"/>
        <w:jc w:val="both"/>
        <w:rPr>
          <w:iCs/>
          <w:color w:val="000000" w:themeColor="text1"/>
          <w:sz w:val="16"/>
          <w:szCs w:val="16"/>
        </w:rPr>
      </w:pPr>
    </w:p>
    <w:p w14:paraId="5BAD7EF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июня 1943г. была подготовлена СПРАВКА НАЧАЛЬНИКА ТАНКОВОГО УПРАВЛЕНИЯ ГБТУ КА ПО ДЕФЕКТАМ ТАНКА Т-34 ПРОИЗВОДСТВА ЗАВОДА №183</w:t>
      </w:r>
    </w:p>
    <w:p w14:paraId="29ED66E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Главный фрикцион:</w:t>
      </w:r>
    </w:p>
    <w:p w14:paraId="1391B89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коробление дисков.</w:t>
      </w:r>
    </w:p>
    <w:p w14:paraId="58621D7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Коробка перемены передач:</w:t>
      </w:r>
    </w:p>
    <w:p w14:paraId="47113E1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поломка зубьев шестерен 3-й и 4-й передачи;</w:t>
      </w:r>
    </w:p>
    <w:p w14:paraId="7B86D1D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сколы цементационного слоя и трещины зубьев шестерен 1-й, 2-й, 3-й и 4-й передач, больше всего на шестернях 3-й и 4-й передач;</w:t>
      </w:r>
    </w:p>
    <w:p w14:paraId="7E2DF44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течь масла через сальниковое уплотнение горловины.</w:t>
      </w:r>
    </w:p>
    <w:p w14:paraId="4400743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Бортовые передачи:</w:t>
      </w:r>
    </w:p>
    <w:p w14:paraId="607880D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разрушение подшипников (№7526) ведомого вала;</w:t>
      </w:r>
    </w:p>
    <w:p w14:paraId="09F447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течь масла через сальниковые уплотнения фланца ведущего вала.</w:t>
      </w:r>
    </w:p>
    <w:p w14:paraId="7B78E87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Ходовая часть:</w:t>
      </w:r>
    </w:p>
    <w:p w14:paraId="687A864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разрушение резины опорных катков с внутренней амортизацией;</w:t>
      </w:r>
    </w:p>
    <w:p w14:paraId="3F7F21F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поломка осей роликов ведущих колес;</w:t>
      </w:r>
    </w:p>
    <w:p w14:paraId="0B480E4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разрушение наружной обоймы подшипников (№2220) ленивцев.</w:t>
      </w:r>
    </w:p>
    <w:p w14:paraId="6659719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Топливная, масляная и водяная система:</w:t>
      </w:r>
    </w:p>
    <w:p w14:paraId="1066C07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течи в соединениях трубопроводов и шлангов,</w:t>
      </w:r>
    </w:p>
    <w:p w14:paraId="50F2413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Электрооборудование:</w:t>
      </w:r>
    </w:p>
    <w:p w14:paraId="78BCA65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замыкание в обмотках генератора из-за плохой изоляции и припайки проводов;</w:t>
      </w:r>
    </w:p>
    <w:p w14:paraId="7846E6E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обрыв обмотки реле привода и пробуксовка фрикционной муфты электростартера;</w:t>
      </w:r>
    </w:p>
    <w:p w14:paraId="5315BAE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спекание контактов пускового реле электростартера.</w:t>
      </w:r>
    </w:p>
    <w:p w14:paraId="03B13C8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Контрольные приборы:</w:t>
      </w:r>
    </w:p>
    <w:p w14:paraId="416B57B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обрыв капилляров у манометра масла и аэротермометров.</w:t>
      </w:r>
    </w:p>
    <w:p w14:paraId="4E0FDC9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танкового управления ГБТУ КА инженер-полковник Афонин</w:t>
      </w:r>
    </w:p>
    <w:p w14:paraId="518D9A8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1 отдела ТУ ГБТУ КА инженер-подполковник Егоров</w:t>
      </w:r>
    </w:p>
    <w:p w14:paraId="406D8CC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1659. Л. 43. Копия (11403).</w:t>
      </w:r>
    </w:p>
    <w:p w14:paraId="45BD709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0F9494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 июня 1943 г. вышла ДОКЛАДНАЯ ЗАПИСКА НАЧАЛЬНИКА ГАВТУ КА А.И. МИКОЯНУ О КАЧЕСТВЕ ТОПЛИВА ДЛЯ ИМПОРТНЫХ АВТОМОБИЛЕЙ №1182513</w:t>
      </w:r>
    </w:p>
    <w:p w14:paraId="5213438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 полуторагодовой эксплуатации импортных автомобилей в частях действующей Красной Армии, а также специальные испытания, проведенные ГАВТУ КА показали, что детали шатунно-кривошипной группы двигателей импортных автомобилей подвергаются преждевременному и усиленному износу и требуют капитального ремонта уже после пробега 10-15 тысяч км вместо нормальных 50-60 тысяч км.</w:t>
      </w:r>
    </w:p>
    <w:p w14:paraId="48118FB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Основной причиной этого является несоответствие конструктивных особенностей импортных двигателей качествам применяемого отечественного автобензина.</w:t>
      </w:r>
    </w:p>
    <w:p w14:paraId="64C44AB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Специфические особенности импортных двигателей требуют применения высокооктановых и легких бензинов, т.е. таких, которые действительно применяются в американской практике.</w:t>
      </w:r>
    </w:p>
    <w:p w14:paraId="5973D88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Работа импортных двигателей на тяжелом отечественном автобензине приводит к увеличению расхода топлива до 10%, падению мощности двигателя до 15%, детонации и усиленному износу шатунно-поршневой группы.</w:t>
      </w:r>
    </w:p>
    <w:p w14:paraId="4C47734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в отношении антидетонационных свойств отечественных бензинов положение в настоящее время улучшилось благодаря Постановлению ГОКО № 3146-сс от 8.04.1943 г. о переводе импортного парка Красной Армии на питание автобензином, этилированным продуктом В-20, то все остальные отрицательные момен</w:t>
      </w:r>
      <w:r w:rsidRPr="00D03F3E">
        <w:rPr>
          <w:rFonts w:ascii="Times New Roman" w:hAnsi="Times New Roman"/>
          <w:color w:val="000000" w:themeColor="text1"/>
          <w:sz w:val="16"/>
          <w:szCs w:val="16"/>
        </w:rPr>
        <w:softHyphen/>
        <w:t>ты, сопутствующие работе импортных машин на отечественном бензине остаются, до их пор не изжитыми.</w:t>
      </w:r>
    </w:p>
    <w:p w14:paraId="6C1E9E1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сохранения материальной части парка импортных автомобилей, находящихся в Красной Армии, для увеличения междуремонтных пробегов и повышения их экономики необходимо было бы перевести импортные автомобили на снабжение бензином, на который эти машины и рассчитаны, т.е. с концом кипения 195°С (по американскому стандарту).</w:t>
      </w:r>
    </w:p>
    <w:p w14:paraId="6DA3F21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учитывая напряженность топливного баланса страны и уменьшение выхода бензина при значи</w:t>
      </w:r>
      <w:r w:rsidRPr="00D03F3E">
        <w:rPr>
          <w:rFonts w:ascii="Times New Roman" w:hAnsi="Times New Roman"/>
          <w:color w:val="000000" w:themeColor="text1"/>
          <w:sz w:val="16"/>
          <w:szCs w:val="16"/>
        </w:rPr>
        <w:softHyphen/>
        <w:t>тельном понижении его конца кипения, в настоящее время можно пойти, как на временное мероприя</w:t>
      </w:r>
      <w:r w:rsidRPr="00D03F3E">
        <w:rPr>
          <w:rFonts w:ascii="Times New Roman" w:hAnsi="Times New Roman"/>
          <w:color w:val="000000" w:themeColor="text1"/>
          <w:sz w:val="16"/>
          <w:szCs w:val="16"/>
        </w:rPr>
        <w:softHyphen/>
        <w:t>тие, на эксплуатацию импортного автопарка на несколько более тяжелом бензине, чем американский.</w:t>
      </w:r>
    </w:p>
    <w:p w14:paraId="458BEB8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Просим Вас дать указания Наркомнефти об изготовлении для парка импортных машин Красной Армии бензина, имеющего конец кипения не выше 220°С, с присадкой в качестве анти</w:t>
      </w:r>
      <w:r w:rsidRPr="00D03F3E">
        <w:rPr>
          <w:rFonts w:ascii="Times New Roman" w:hAnsi="Times New Roman"/>
          <w:color w:val="000000" w:themeColor="text1"/>
          <w:sz w:val="16"/>
          <w:szCs w:val="16"/>
        </w:rPr>
        <w:softHyphen/>
        <w:t>детонатора 2 куб. см этиловой жидкости В-20 на 1 кг бензина.</w:t>
      </w:r>
    </w:p>
    <w:p w14:paraId="23D734F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Главного автомобильного управления Красной Армии генерал-лейтенант Белокосков</w:t>
      </w:r>
    </w:p>
    <w:p w14:paraId="1216E36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управления снабжения горючим Красной Армии генерал-майор технических войск Кормилицын</w:t>
      </w:r>
    </w:p>
    <w:p w14:paraId="131EEF2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Академик Чудаков</w:t>
      </w:r>
    </w:p>
    <w:p w14:paraId="24C9E4B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11579. Д. 5. Л. 4-5. Копия (11403).</w:t>
      </w:r>
    </w:p>
    <w:p w14:paraId="70572A3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AFCABD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июня 1943 вышло Постановление ГКО № 3472 Справка о командировочном удостоверении Солонина И.М. в Энгельс на завод № 213 НКАП.РГАНИР, Фонд ГКО, д. 121, лл. 118 (11012).</w:t>
      </w:r>
    </w:p>
    <w:p w14:paraId="2A5877B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EF5C54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июня 1943 вышло Постановление ГКО № 3473 Справка о командировочном удостоверении Гуревич К.Н. в Куйбышев на подшипниковый завод НКСМ.РГАНИР, Фонд ГКО, д. 121, лл. 118 (11012).</w:t>
      </w:r>
    </w:p>
    <w:p w14:paraId="559E232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EB7CB1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июня 1943 вышло Постановление ГКО № 3474 Справка о командировочном удостоверении Денисова М.Ф. в Омск на завод № 735 НКРП.РГАНИР, Фонд ГКО, д. 121, лл. 118 (11012).</w:t>
      </w:r>
    </w:p>
    <w:p w14:paraId="5BF6FA1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CE5EC5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июня 1943 вышло Постановление ГКО № 3475 Справка о командировочном удостоверении Штайдо И.П. в Ярославль на завод № 736 НКРП.РГАНИР, Фонд ГКО, д. 121, лл. 118 (11012).</w:t>
      </w:r>
    </w:p>
    <w:p w14:paraId="0BA7F210"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4FE155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июня 1943 вышло Постановление ГКО № 3476 Справка о командировочном удостоверении Захарченко П.И. в Свердловск на завод № 713 НКРП.РГАНИР, Фонд ГКО, д. 121, лл. 118 (11012).</w:t>
      </w:r>
    </w:p>
    <w:p w14:paraId="6285C06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03273A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июня 1943 вышло Постановление ГКО № 3477 Справка о командировочном удостоверении Качура И.С. в Челябинск на завод № 255 НКТП.РГАНИР, Фонд ГКО, д. 121, лл. 118 (11012).</w:t>
      </w:r>
    </w:p>
    <w:p w14:paraId="6A8A9CE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2B2840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июня 1943 вышло Постановление ГКО № 3478 Справка о командировочном удостоверении Hевяжского Я.И. в Свердловск на завод № 76 HКТП.РГАНИР, Фонд ГКО, д. 121, лл. 118 (11012).</w:t>
      </w:r>
    </w:p>
    <w:p w14:paraId="758054F6"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7485FB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июня 1943 вышло Постановление ГКО № 3479 Справка о командировочном удостоверении Вовка А.Г. в Киров на завод № 38 НКТП.РГАНИР, Фонд ГКО, д. 121, лл. 118 (11012).</w:t>
      </w:r>
    </w:p>
    <w:p w14:paraId="0E8C131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EC55AF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июня 1943 вышло Постановление ГКО № 3480 Справка о командировочном удостоверении Емельянова В.С. в Свердловск на УЗТМ НКТП.РГАНИР, Фонд ГКО, д. 121, лл. 118 (11012).</w:t>
      </w:r>
    </w:p>
    <w:p w14:paraId="6440322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DD14D14"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 июня 1943 вышло Распоряжение ГКО № 3481 О восстановлении Тихорецкого паровозоремонтного завода НКПС. (7111, 119).</w:t>
      </w:r>
    </w:p>
    <w:p w14:paraId="3186A73F" w14:textId="77777777" w:rsidR="00531570" w:rsidRPr="00D03F3E" w:rsidRDefault="00531570" w:rsidP="00D03F3E">
      <w:pPr>
        <w:pStyle w:val="Iauiue"/>
        <w:tabs>
          <w:tab w:val="left" w:pos="11199"/>
        </w:tabs>
        <w:jc w:val="both"/>
        <w:rPr>
          <w:color w:val="000000" w:themeColor="text1"/>
          <w:sz w:val="16"/>
          <w:szCs w:val="16"/>
        </w:rPr>
      </w:pPr>
    </w:p>
    <w:p w14:paraId="15CAF17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июня 1943 вышло Распоряжение ГКО № 3482. Об установке масляных радиаторов на танках Т-34.РГАНИР, Фонд ГКО, д. 121, лл. 120 (11012).</w:t>
      </w:r>
    </w:p>
    <w:p w14:paraId="259DD99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3B23A2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июня 1943 вышло Постановление ГКО № 3483 Справка о командировочном удостоверении Вовченко Я.Л. в Омск на завод № 174 HКТП.РГАНИР, Фонд ГКО, д. 121, лл. 121 (11012).</w:t>
      </w:r>
    </w:p>
    <w:p w14:paraId="576D7CA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E54CD8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июня 1943 вышло Постановление ГКО № 3484 Справка о командировочном удостоверении Лебева И.А. в Горький на завод № 112 HКТП.РГАНИР, Фонд ГКО, д. 121, лл. 121 (11012).</w:t>
      </w:r>
    </w:p>
    <w:p w14:paraId="365D248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E4F5E9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июня 1943 вышло Постановление ГКО № 3485 Справка о командировочном удостоверении Бирюкова Н.И. в Челябинск на Кировский завод НКТП.РГАНИР, Фонд ГКО, д. 121, лл. 121 (11012).</w:t>
      </w:r>
    </w:p>
    <w:p w14:paraId="35ED3B0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8FF13E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июня 1943 вышло Постановление ГКО № 3486 О плане распределения нефтепродуктов на июнь 1943 года.РГАНИР, Фонд ГКО, д. 121, лл. 122-123, 124-142 (11012).</w:t>
      </w:r>
    </w:p>
    <w:p w14:paraId="1CAC3966"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622D0C7"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 июня 1943 вышло Постановление ГКО № 3487 Об обеспечении радиоаппаратурой и имуществом связи 5-го Управления НКГБ Союза ССР. (7111, 143,144).</w:t>
      </w:r>
    </w:p>
    <w:p w14:paraId="50B02A26" w14:textId="77777777" w:rsidR="00531570" w:rsidRPr="00D03F3E" w:rsidRDefault="00531570" w:rsidP="00D03F3E">
      <w:pPr>
        <w:pStyle w:val="Iauiue"/>
        <w:tabs>
          <w:tab w:val="left" w:pos="11199"/>
        </w:tabs>
        <w:jc w:val="both"/>
        <w:rPr>
          <w:color w:val="000000" w:themeColor="text1"/>
          <w:sz w:val="16"/>
          <w:szCs w:val="16"/>
        </w:rPr>
      </w:pPr>
    </w:p>
    <w:p w14:paraId="114DD51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июня 1943 вышло Постановление ГКО № 3490 О перевозке из Баку в навигационный период для предприятий Наркомрезинпрома газовой сажи, зеленого масла и рубракса.РГАНИР, Фонд ГКО, д. 121, лл. 155-156 (11012).</w:t>
      </w:r>
    </w:p>
    <w:p w14:paraId="71F397C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913C79A"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76DD2BE5" w14:textId="77777777" w:rsidR="00531570" w:rsidRPr="00D03F3E" w:rsidRDefault="00531570" w:rsidP="00D03F3E">
      <w:pPr>
        <w:pStyle w:val="Iauiue"/>
        <w:jc w:val="both"/>
        <w:rPr>
          <w:iCs/>
          <w:color w:val="000000" w:themeColor="text1"/>
          <w:sz w:val="16"/>
          <w:szCs w:val="16"/>
        </w:rPr>
      </w:pPr>
    </w:p>
    <w:p w14:paraId="1DE9DEF0"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 июня</w:t>
      </w:r>
      <w:r w:rsidRPr="00D03F3E">
        <w:rPr>
          <w:rFonts w:ascii="Times New Roman" w:hAnsi="Times New Roman"/>
          <w:color w:val="000000" w:themeColor="text1"/>
          <w:sz w:val="16"/>
          <w:szCs w:val="16"/>
        </w:rPr>
        <w:t xml:space="preserve"> в 1943 году утреннее сообщение Совинформбюро:</w:t>
      </w:r>
    </w:p>
    <w:p w14:paraId="301A62A6"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 июня на фронте ничего существенного не произошло.</w:t>
      </w:r>
    </w:p>
    <w:p w14:paraId="7F473C63"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разведывательные группы в течение ночи уничтожили до роты пехоты противника. Артиллеристы-гвардейцы разрушили 6 вражеских блиндажей, уничтожили орудие и взорвали склад противника с боеприпасами. Десять снайперов Н-ской части за два дня уничтожили 32 немецких солдата и офицера. Снайпер т. Семидчук истребил 5 немцев, снайперы тт. Берко, Апраксин и Кислов уничтожили по 4 немца каждый.</w:t>
      </w:r>
    </w:p>
    <w:p w14:paraId="6AE4AA1B"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артиллеристы Н-ской части обстреляли колонну противника. B результате артиллерийского огня рассеяно и частью уничтожено до батальона гитлеровцев.</w:t>
      </w:r>
    </w:p>
    <w:p w14:paraId="615ECFA8"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Советская авиация совершила налёт на аэродром противника, на котором уничтожено и повреждено 14 немецких самолётов. Лётчики-истребители в воздушном бою сбили 5 самолётов противника. Все наши самолёты вернулись на свою базу.</w:t>
      </w:r>
    </w:p>
    <w:p w14:paraId="0D5157FF"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районе Севска артиллеристы Н-ской части уничтожили 25 повозок и 5 автомашин, разрушили 3 дзота и подавили огонь двух миномётных батарей противника. На другом участке шесть разведчиков под командованием лейтенанта Бабышко пробрались в тыл врага. Внезапно напав на группу немцев, наши бойцы убили 14 гитлеровцев и благополучно вернулись в свою часть.</w:t>
      </w:r>
    </w:p>
    <w:p w14:paraId="04A97DB3"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 одном участке немцы предприняли разведку боем. Противник был рассеян, не достигнув советских позиций. На поле боя осталось до 60 вражеских трупов.</w:t>
      </w:r>
    </w:p>
    <w:p w14:paraId="7547E802"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Белоруссии, в мае месяце провёл успешный рейд по тылам противника. Ниже публикуются краткие записи командира отряда:</w:t>
      </w:r>
    </w:p>
    <w:p w14:paraId="629C8677"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мая. Подорван немецкий воинский эшелон. Разбиты паровоз, 2 вагона и 2 платформы.</w:t>
      </w:r>
    </w:p>
    <w:p w14:paraId="29DF793F"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Пустили под откос вражеский поезд с боевой техникой и солдатами. При крушении разбито 7 вагонов. Убито 36 немецких солдат и офицеров.</w:t>
      </w:r>
    </w:p>
    <w:p w14:paraId="7D3B1C95"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мая. Группа наших бойцов проникла в расположение немецкого гарнизона. Партизаны бесшумно сняли охрану, забросали гранатами немецкую казарму и, воспользовавшись возникшей суматохой, увели из конюшен артиллерийского дивизиона 50 лошадей.</w:t>
      </w:r>
    </w:p>
    <w:p w14:paraId="5FC470E5"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мая. Пустили под откос немецкий воинский эшелон. В результате катастрофы разбиты паровоз и 8 вагонов с боеприпасами и вооружением».</w:t>
      </w:r>
    </w:p>
    <w:p w14:paraId="0E2BE945"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Пленные лётчики 55 немецкой бомбардировочной эскадры обер-фельдфебель Иоганн Бос и унтер-офицер Эбергард Роде рассказали: «Русские зенитчики подбили наш самолёт раньше, чем нам удалось достигнуть цели. Сбросив бомбы куда попало, мы повернули обратно, однако вскоре вынуждены были совершить посадку на советской территории. Мы пытались бежать, но крестьяне поймали нас. Военные события последних шести месяцев, тяжёлые поражения немецких войск в России и Африке потрясли Германию. Пораженческие настроения проникли и в среду лётчиков. Для всех очевидно, что скоро немецкой армии придётся воевать на два фронта, а в Германии именно этого всегда боялись больше всего. Правда, немецкие официальные круги неизменно отрицают всякую возможность открытия второго фронта в Европе. Но подобные заявления теперь уже не пользуются доверием. Разве эти же официальные круги не утверждали, что немецкие войска удержат Сталинград и не отдадут Туниса. B тылу и на фронте чувствуется тревога. Многие, считают, что Германия не сможет долго сопротивляться».</w:t>
      </w:r>
    </w:p>
    <w:p w14:paraId="45A0BB02"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департаменте Соммы (Франция) группа французских вольных стрелков проникла в железнодорожное депо и взорвала два паровоза. B этом же департаменте патриоты заминировали запасной железнодорожный путь. Два дня спустя на минах подорвался поезд с военными материалами. Близ города Бурж вольные стрелки взорвали железнодорожный мост. В Тулоне состоялись многолюдные демонстрации протеста против насильственной отправки французов на каторжные работы в Германию.» (14910).</w:t>
      </w:r>
    </w:p>
    <w:p w14:paraId="42330562" w14:textId="77777777" w:rsidR="0012603D" w:rsidRPr="00D03F3E" w:rsidRDefault="0012603D" w:rsidP="00D03F3E">
      <w:pPr>
        <w:spacing w:after="0" w:line="240" w:lineRule="auto"/>
        <w:jc w:val="both"/>
        <w:rPr>
          <w:rFonts w:ascii="Times New Roman" w:hAnsi="Times New Roman"/>
          <w:color w:val="000000" w:themeColor="text1"/>
          <w:sz w:val="16"/>
          <w:szCs w:val="16"/>
        </w:rPr>
      </w:pPr>
    </w:p>
    <w:p w14:paraId="3A624948"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 июня</w:t>
      </w:r>
      <w:r w:rsidRPr="00D03F3E">
        <w:rPr>
          <w:rFonts w:ascii="Times New Roman" w:hAnsi="Times New Roman"/>
          <w:color w:val="000000" w:themeColor="text1"/>
          <w:sz w:val="16"/>
          <w:szCs w:val="16"/>
        </w:rPr>
        <w:t xml:space="preserve"> в 1943 году вечернее сообщение Совинформбюро:</w:t>
      </w:r>
    </w:p>
    <w:p w14:paraId="67A23056"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 июня на Кубани, северо-восточнее Новороссийска, продолжались бои. На других участках фронта существенных изменений не произошло.</w:t>
      </w:r>
    </w:p>
    <w:p w14:paraId="542543A2"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июня частями нашей авиации на различных участках фронта уничтожено или повреждено до 60 немецких автомашин с войсками и грузами, взорвано 3 склада боеприпасов, подавлен огонь 12 артиллерийских и миномётных батарей, в Финском заливе потоплены транспорт и самоходная баржа противника.</w:t>
      </w:r>
    </w:p>
    <w:p w14:paraId="34A08960"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истребили до 200 немецких солдат и офицеров, разрушили 3 блиндажа и 2 дзота, уничтожили 13 пулемётов и 4 миномёта противника. Разведчики под командованием старшего лейтенанта т. Деряева проникли в расположение противника и ворвались в немецкие траншеи. Наши бойцы уничтожили 40 гитлеровцев. Захватив пленных и несколько ручных пулемётов, разведчики вернулисьв свою часть.</w:t>
      </w:r>
    </w:p>
    <w:p w14:paraId="0DC2F475"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наша артиллерия обстреливала укрепления и скопление пехоты противника. Уничтожено до роты гитлеровцев, самоходное орудие, 6 пулемётов, разрушено 9 дзотов и блиндажей, подавлен огонь нескольких артиллерийских и миномётных батарей противника.</w:t>
      </w:r>
    </w:p>
    <w:p w14:paraId="0B28D20C"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происходила перестрелка. Наши подразделения уничтожили более 100 немецких солдат и, офицеров, взорвали 2 склада боеприпасови 3 минных поля.</w:t>
      </w:r>
    </w:p>
    <w:p w14:paraId="380EC9E9"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Огнём нашей зенитной артиллерии сбит немецкий самолёт. Три лётчика захваченыв плен.</w:t>
      </w:r>
    </w:p>
    <w:p w14:paraId="2A64C849"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из участков Калининского фронта наш разведывательный отряд атаковал противника и овладел одним населённым пунктом. Гитлеровцы предприняли контратаку, но были отброшены с большими для них потерями. Разведчики захватили у немцев 7 пулемётов, много винтовок и взяли пленных.</w:t>
      </w:r>
    </w:p>
    <w:p w14:paraId="77646DC9"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огнём нашей артиллерии уничтожено 7 вражеских дзотов, 3 наблюдательных пункта, подавлен огонь 17 артиллерийских, 2 миномётных батарей и 10 отдельных орудий.</w:t>
      </w:r>
    </w:p>
    <w:p w14:paraId="62D4ACFB"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отражении налёта авиации противника на один из наших объектов в воздушных боях сбито 22 немецких самолёта. Кроме того, 3 самолёта противника уничтожено огнём зенитной артиллерии.</w:t>
      </w:r>
    </w:p>
    <w:p w14:paraId="13FD07DB"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«Штурм», действующий в одном из районов Минской области, совершил смелый налёт на немецкий гарнизон в одном населённом пункте. Советские патриоты убили 17 и взяли в плен 12 гитлеровцев. Остальные немцы в панике разбежались. Партизанами сожжены танк и две бронемашины противника, захвачено 42 винтовки и 15 тысяч патронов. На помощь гарнизону немцы выслали подкрепление из соседнего села. Не доехав до места назначения, 4 автомашины с гитлеровцами подорвались на расставленных партизанами минах. Взрывом убито 60 немецких солдати офицеров. Партизаны другого отряда пустили под откос немецкий эшелон, в котором следовал штаб дивизии. Разбиты паровоз и 4 вагона. При крушении убито 35 штабных офицеров.</w:t>
      </w:r>
    </w:p>
    <w:p w14:paraId="6D231AE6"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солдат 106 гренадерского полка 15 немецкой пехотной дивизии Артур К. рассказал: «Недавно я после годичного пребывания в Германии снова попал на фронт. Мне бросилась в глаза резкая перемена в настроениях солдат. Многие из них считают, что Германия, безусловно, проиграет войну. В прошлом году никто всерьёз не думал о втором фронте, а сейчас, после разгрома немецких и итальянских войск в Тунисе, многие уверены, что войска союзников высадятся в Европе. Наша дивизия понесла огромные потери. В некоторых рогах 106 полка осталось по 8—10 человек. В апреле дивизия получила пополнение, в составе которого было много австрийцев и словенцев. И те, и другие ненавидят немцев. Некоторые поговаривают о сдаче в плен. Случайно я подслушал разговор обер-лейтенанта Гееса с унтер-офицером Кюфнером о новом пополнении. Гесс сказал: «Стоит только одному из них перебежать, как за ним последуют и другие». Вскоре исчез солдат Агрейтер. В тот же день были усилены посты. Гесс запретил солдатам ходить в одиночку и отдаляться от своих блиндажей. Несмотря навсе эти меры, за одну неделю несколько человек перебежало к русским. За ними последовал и я».</w:t>
      </w:r>
    </w:p>
    <w:p w14:paraId="76CBC830"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Бельгийские патриоты совершили налёт на Лувенский вокзал, перебили немецкую охрану и уничтожили станционное оборудование. Вольные стрелки подожгли также несколько цистерн с мазутом. На участке Брюссель—Льеж пущен под откос воинский поезд. При крушении убито и ранено много немецких оккупантов.» (14910).</w:t>
      </w:r>
    </w:p>
    <w:p w14:paraId="02CBC32A" w14:textId="77777777" w:rsidR="0012603D" w:rsidRPr="00D03F3E" w:rsidRDefault="0012603D" w:rsidP="00D03F3E">
      <w:pPr>
        <w:spacing w:after="0" w:line="240" w:lineRule="auto"/>
        <w:jc w:val="both"/>
        <w:rPr>
          <w:rFonts w:ascii="Times New Roman" w:hAnsi="Times New Roman"/>
          <w:color w:val="000000" w:themeColor="text1"/>
          <w:sz w:val="16"/>
          <w:szCs w:val="16"/>
        </w:rPr>
      </w:pPr>
    </w:p>
    <w:p w14:paraId="5E0AE11F" w14:textId="77777777" w:rsidR="000D1833" w:rsidRPr="00D03F3E" w:rsidRDefault="000D1833" w:rsidP="00D03F3E">
      <w:pPr>
        <w:pStyle w:val="book"/>
        <w:ind w:firstLine="0"/>
        <w:jc w:val="both"/>
        <w:rPr>
          <w:color w:val="000000" w:themeColor="text1"/>
          <w:sz w:val="16"/>
          <w:szCs w:val="16"/>
        </w:rPr>
      </w:pPr>
      <w:r w:rsidRPr="00D03F3E">
        <w:rPr>
          <w:color w:val="000000" w:themeColor="text1"/>
          <w:sz w:val="16"/>
          <w:szCs w:val="16"/>
        </w:rPr>
        <w:t>2 июня 1943 г. при налёте немецкой авиации на железнодорожный узел Курск две 250-кг фугасные бомбы взорвались в 7 м от ровика ПУАЗО, образовав воронки диаметром 8 м и глубиной 2.5 м. Прибор возвышался над уровнем земли на 0.3 м. Ударной волной взрыва прибор был опрокинут и получил при этом повреждения, требующие лишь заводского ремонта (18737).</w:t>
      </w:r>
    </w:p>
    <w:p w14:paraId="626B4B50" w14:textId="77777777" w:rsidR="000D1833" w:rsidRPr="00D03F3E" w:rsidRDefault="000D1833" w:rsidP="00D03F3E">
      <w:pPr>
        <w:pStyle w:val="book"/>
        <w:ind w:firstLine="0"/>
        <w:jc w:val="both"/>
        <w:rPr>
          <w:color w:val="000000" w:themeColor="text1"/>
          <w:sz w:val="16"/>
          <w:szCs w:val="16"/>
        </w:rPr>
      </w:pPr>
    </w:p>
    <w:p w14:paraId="49351FDE"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 июня</w:t>
      </w:r>
      <w:r w:rsidRPr="00D03F3E">
        <w:rPr>
          <w:rFonts w:ascii="Times New Roman" w:hAnsi="Times New Roman"/>
          <w:color w:val="000000" w:themeColor="text1"/>
          <w:sz w:val="16"/>
          <w:szCs w:val="16"/>
        </w:rPr>
        <w:t xml:space="preserve"> в 1943 году успешное отражение силами и средствами ПВО массированного налета немецко-фашистской авиации на Курский железнодорожный узел. Налет длился более 10 часов, в нем участвовало 543 самолета. Вражеской авиации, несмотря на отчаянные усилия, не удалось разрушить железнодорожный узел. Врага достойно встретили воины Воронежско-Борисоглебского района ПВО, а также истребители 16-й и 2-й воздушных армий (14910).</w:t>
      </w:r>
    </w:p>
    <w:p w14:paraId="16145F64" w14:textId="77777777" w:rsidR="0012603D" w:rsidRPr="00D03F3E" w:rsidRDefault="0012603D" w:rsidP="00D03F3E">
      <w:pPr>
        <w:spacing w:after="0" w:line="240" w:lineRule="auto"/>
        <w:jc w:val="both"/>
        <w:rPr>
          <w:rFonts w:ascii="Times New Roman" w:hAnsi="Times New Roman"/>
          <w:color w:val="000000" w:themeColor="text1"/>
          <w:sz w:val="16"/>
          <w:szCs w:val="16"/>
        </w:rPr>
      </w:pPr>
    </w:p>
    <w:p w14:paraId="269C4DB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Боевой вылет 2 июня 1943 остался в памяти не только его участников, но и многих ветеранов боев на Кубани. Девятка Пе-2, которую вела капитан Е.Д. Тимофеева из 587-го бап, в районе станицы Киевская была атакована вражескими истребителями. "Ястребки" прикрытия вступили с ними бой, позволив бомбардировщикам продолжать выполнять задание. Сплошная облачность вынудила ведущую снизиться до высоты 600 м, где мало- качиберные зенитные орудия сумели добиться попаданий в машины О. Шолоховой и Е. Федотовой. Заметив дымный шлейф за ведомыми самолетами, Тимофеева снизила скорость, позволив летчицам подбитых самолетов удержаться в строю и сбросить бомбы.</w:t>
      </w:r>
    </w:p>
    <w:p w14:paraId="555DCC1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Тут в атаку перешли Bf 109 из I/JG52. За несколько заходов они подбили "пешки" A.Язовской, А. Скобликовой и М. Долиной, причем у самолета последней вспыхнули оба мотора. Неимоверными усилиями девушки- летчицы посадили четыре самолета в поле, а пятый на один из близлежащих аэродромов, после чего О. Шолохову и ее штурмана B.Волкову отправили в госпиталь. "Только благодаря высокой дисциплине и отличной слаженности всех экипажей, умелому маневрированию, стойкости и смелости, а также прекрасным волевым качествам Тимофеевой, удалось сохранить жизнь всем отважным девушкам", - отмечала начальник оперативного отделения полка Е.А. Мигунова.</w:t>
      </w:r>
    </w:p>
    <w:p w14:paraId="0A6B055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Одновременно с выставлением "тактических" оценок в вышестоящих штабах попытались проанализировать достоинства и недостатки самолетов Пе-2. К первым относились хороший обзор всех членов экипажа, а удачное местоположение летчика давало ему возможность постоянно отслеживать обстановку в воздухе и на земле. Застекленный пол кабины позволял пилоту при фотографировании площадей легко контролировать движение машины по наземным ориентирам. Круговой обзор из кабины обеспечивал штурману выполнение его обязанностей (хотя обзор вниз - в стороны считался неважным). Расположение его вместе с летчиком в одной кабине давало хорошие результаты во время разведки; при отказе СПУ или плохой слышимости они могли понять друг друга посредством условных сигналов и даже оказать помощь в случае ранения одного из членов экипажа. Отмечались высокая маневренность на крейсерских скоростях и легкость управления "пешки". Большой запас прочности позволял планеру выдерживать практически любые эволюции, вплоть до выхода из почти отвесного пикирования.</w:t>
      </w:r>
    </w:p>
    <w:p w14:paraId="46B9A26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Среди недостатков отмечались незначительная мощность моторов М-105, которые не обеспечивали самолету Пе-2 быстрого набора высоты и скорости. В ходе эксплуатации выявилась малая надежность в работе стрелковой установки штурмана ФТ, часто отказывающая в работе, а с установкой ВУБ-1 (на последних в то </w:t>
      </w:r>
      <w:r w:rsidRPr="00D03F3E">
        <w:rPr>
          <w:rFonts w:ascii="Times New Roman" w:hAnsi="Times New Roman"/>
          <w:color w:val="000000" w:themeColor="text1"/>
          <w:sz w:val="16"/>
          <w:szCs w:val="16"/>
        </w:rPr>
        <w:lastRenderedPageBreak/>
        <w:t>время сериях машин) в кабине стало тесно, что сковывало движения штурмана даже в летнем обмундировании. Запас горючего во внутренних баках признали недостаточным, а центральный бензобак оказался слабо защищен от попадания пуль и снарядов - его возгорание приводило к значительным потерям экипажей.</w:t>
      </w:r>
    </w:p>
    <w:p w14:paraId="5A98B05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мнению штабов 2-го бак и 4-й ВА, следовало устанавливать на "пешку" моторы М-105ПФ, а не М-105РА. В варианте разведчика считалось необходимым доработать самолет, для чего снять с него пикировочное оборудование, одновременно увеличив запас бензина путем монтирования дополнительного бензобака в бомбоотсеке, а также усовершенствовать пулеметную установку. Отмечалось, что "качающиеся" фотоаппараты, позволяющие при маршрутной съемке захватывать большую площадь, полностью себя оправдали (12042).</w:t>
      </w:r>
    </w:p>
    <w:p w14:paraId="2EB2192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17AD5D1"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 июня 1943 советскими истребителями под Курском уничтожено 145 немецких самолетов (4962).</w:t>
      </w:r>
    </w:p>
    <w:p w14:paraId="606969B2" w14:textId="77777777" w:rsidR="00531570" w:rsidRPr="00D03F3E" w:rsidRDefault="00531570" w:rsidP="00D03F3E">
      <w:pPr>
        <w:pStyle w:val="Iauiue"/>
        <w:tabs>
          <w:tab w:val="left" w:pos="11199"/>
        </w:tabs>
        <w:jc w:val="both"/>
        <w:rPr>
          <w:color w:val="000000" w:themeColor="text1"/>
          <w:sz w:val="16"/>
          <w:szCs w:val="16"/>
        </w:rPr>
      </w:pPr>
    </w:p>
    <w:p w14:paraId="4708C96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июня 1943 при налете на железнодорожный узел Курска немцы потеряли 145 самолетов из 180 (104 сбиты истребителями) при наших потерях в 27 (340,142).</w:t>
      </w:r>
    </w:p>
    <w:p w14:paraId="37233D66" w14:textId="77777777" w:rsidR="00531570" w:rsidRPr="00D03F3E" w:rsidRDefault="00531570" w:rsidP="00D03F3E">
      <w:pPr>
        <w:pStyle w:val="Iauiue"/>
        <w:jc w:val="both"/>
        <w:rPr>
          <w:color w:val="000000" w:themeColor="text1"/>
          <w:sz w:val="16"/>
          <w:szCs w:val="16"/>
        </w:rPr>
      </w:pPr>
    </w:p>
    <w:p w14:paraId="5DF748B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июня 1943 средства ПВО успешно отразили массированный налет на Курский ж/д узел. Налет длился 10 час. и в нем участвовало 543 самолета. Разрушить не смогли. Отбивались Воронежско-Борисоглебский район ПВО и и 16Ва и 2ВА (3398,202).</w:t>
      </w:r>
    </w:p>
    <w:p w14:paraId="72AEA7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другим данным, в налете приняло участие 550 немецких машин и 386 советских истребителей (518,48).</w:t>
      </w:r>
    </w:p>
    <w:p w14:paraId="3154D5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Это было потому, что взаимодействовали истребители 16 и 2ВА и 101 иад ПВО, которые распределили зоны перехвата и обменивались информацией (518,88).</w:t>
      </w:r>
    </w:p>
    <w:p w14:paraId="1E8676A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Налеты были днем 2 и в ночь на 3. Днем - 500, в т.ч. 424 б и против них было 280 и 16 и 2ВА, силы 106 и 101 иад ПВО и ЗА. Первый эшелон - 160 (137 б + 30 и - шли со стороны Орла. Перехватили и 16ВА и сбили 58. Во 2 и 3-м - 175 (120 б и 55 и). Подняли 85 и и они сбили 34. Прорвалось 55. 4 и 5 эшелоны - (167 б и 14 и) - шли со стороны Обояни на 6-7 км. Подняли 205 и, но все группы перехватить не смогли. 100 б прорвались и вывели ж/д узел на 12 час. Потеряли 145 (в т.ч. 104 от и). мы потеряли 27 и (340,142).</w:t>
      </w:r>
    </w:p>
    <w:p w14:paraId="2781F208" w14:textId="77777777" w:rsidR="00531570" w:rsidRPr="00D03F3E" w:rsidRDefault="00531570" w:rsidP="00D03F3E">
      <w:pPr>
        <w:pStyle w:val="Iauiue"/>
        <w:jc w:val="both"/>
        <w:rPr>
          <w:color w:val="000000" w:themeColor="text1"/>
          <w:sz w:val="16"/>
          <w:szCs w:val="16"/>
        </w:rPr>
      </w:pPr>
    </w:p>
    <w:p w14:paraId="3F2ED3D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на 2 июня 1943 в дальний полет ушел Ил-4, ведомый Героем Советского Союза (удостоен звания 22 февраля 1943 г. за успехи, достигнутые в предыдущем году) капитаном В.А.Балебиным. Подробно рассмотрим время, маршрут и профиль полета, поскольку он был весьма характерен для «охотников», действовавших в 43-м году. Взлет в 00:07 с аэродрома Углово, Сестрорецк (высота 600 м), остров Лавенсари (1000 м), полуостров Ханко (3000 м), Мариенхамн на Аландских островах (1100 м), снижение до высоты 200 м. Вскоре после двух часов на дистанции 5 км обнаружено одиночное судно водоизмещением около 5000 т, идущее курсом 190°. Экипаж выполнил снижение до высоты 15 м, после чего лёг на боевой курс и с дистанции 100 м сбросил торпеду. Наши авиаторы наблюдали попадание и взрыв в кормовой части судна, которое быстро погрузилось (зарубежных данных об успехе атаки нет). Обратный маршрут: финский город Лувиа (5000 м), Муохнорви (6500 м), Кексгольм (8700 м), Ладожское озеро (8000 м), Новая Ладога (3000 м), посадка в Приютино в 05:38. Общая продолжительность полета 5 часов 31 минута (9965).</w:t>
      </w:r>
    </w:p>
    <w:p w14:paraId="02814B5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5338AC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части, погружение. По финским данным, атаке подвергся пассажирский пароход "Арктурус" (2156 брт), имевший на борту 225 человек пассажиров, но В ночь на 2 июня 1943 в дальний полет ушел Ил-4, ведомый Героем Советского Союза (удостоен звания 22.2.1943 за успехи, достигнутые в предыдущем году) капитаном В.А. Балебиным. Подробно рассмотрим время, маршрут и профиль полета, поскольку он был весьма характерен для "охотников", действовавших в 43-м году. Взлет в 00.07 с аэродрома Углово, Сестрорецк (высота 600 м), остров Лавансаари (1000 м), полуостров Ханко (3000 м), Мариенхамн на Аландских островах (1100 м), снижение до высоты 200 м. Вскоре после двух часов на дистанции 5 км обнаружено одиночное судно водоизмещением около 5000 т, идущее курсом 190 градусов. Снижение до высоты 15 м, выход на боевой курс, с дистанции 100 метров сброшена торпеда. Наблюдается попадание и взрыв в кормовой торпеда в него не попала. Обратный маршрут: финский город Лувиа (5000 м), Муох- норви (6500 м), Кексгольм (8700 м), Ладожское озеро (8000 м), Новая Ладога (3000 м), посадка в Приютино в 05.38. Общая продолжительность полета 5 часов 31 минута (12002).</w:t>
      </w:r>
    </w:p>
    <w:p w14:paraId="156046D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98AA6A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июня 1943 годы была предпринята неудачная попытка перехватить вражеский высотный разведчик "Юнкере" (видимо, Ju-86P), вторгшийся в воздушное пространство столицы. В тот день в 15 часов 56 минут инспектор-летчик по технике пилотирования 6-го авиакорпуса ПВО подполковник JI.A. Шолохов взлетел на Як-9ПД с Центрального аэродрома имени М.В. Фрунзе. Противник шел с запада и находился на большой высоте в районе Можайска. Поднявшись на 8500 м, летчик получил с командного пункта 12-го гвардейского иап сообщение, что противник прошел Внуково.</w:t>
      </w:r>
    </w:p>
    <w:p w14:paraId="472955B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следует из доклада Шолохова: "По инверсии (имеется в виде конденсационный след - прим. авт.) я заметил самолет противника, подходивший к южной окраине Москвы... Продолжая набор высоты, пошел на перерез противнику, шедшему в направлении Монино, но, не доходя, свернувшего на Пушкино.</w:t>
      </w:r>
    </w:p>
    <w:p w14:paraId="17CA855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Чкаловского аэродрома я сблизился с самолетом противника по дистанции, но был ниже его, продолжая набор высоты под самолетом противника, делая небольшую змейку, так как по скорости обгонял его. В районе Пушкино у меня высота по прибору была 11 600 м (...) и я находился ниже самолета противника приблизительно на 1000-1500 м и прекрасно видел желтые консоли плоскостей и неясные очертания крестов. Самолет противника имел два мотора, большой размах, приблизительно в 1,5-2 раза больше длины фюзеляжа и двухкилевое оперение.</w:t>
      </w:r>
    </w:p>
    <w:p w14:paraId="4F6AC42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 Пушкино самолет противника пошел в направление на Истру, я шел под ним, продолжая медленно набирать высоту. На высоте 11 650 м по прибору давление бензина упало до нуля, мотор прекратил работу и снова заработал на высоте 10 800 м. Я вновь перешел в набор высоты и набрал 11 400 м...</w:t>
      </w:r>
    </w:p>
    <w:p w14:paraId="4DF4130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это время самолет противника, дойдя до Истры, развернулся курсом 90 градусов и пошел на Москву. В этот момент мой мотор "запарил", температура воды была 112 градусов. Козырек и фонарь покрылись слоем льда, я потерял противника и вынужден был снижаться на 46-й минуте полета. Посадку произвел в 16 часов 55 минут... Набирать большую высоту оказалось невозможным при данном техническом состоянии самолета" (12046).</w:t>
      </w:r>
    </w:p>
    <w:p w14:paraId="278B3EA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3F036BC" w14:textId="77777777" w:rsidR="000D1833" w:rsidRPr="00D03F3E" w:rsidRDefault="000D1833"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2 июня 1943 г. с участием одного из пяти истребителей Як-9ПД предприняли неудачную попытку перехватить высотный развед</w:t>
      </w:r>
      <w:r w:rsidRPr="00D03F3E">
        <w:rPr>
          <w:rFonts w:ascii="Times New Roman" w:cs="Times New Roman"/>
          <w:color w:val="000000" w:themeColor="text1"/>
          <w:spacing w:val="0"/>
        </w:rPr>
        <w:softHyphen/>
        <w:t xml:space="preserve">чик </w:t>
      </w:r>
      <w:r w:rsidRPr="00D03F3E">
        <w:rPr>
          <w:rFonts w:ascii="Times New Roman" w:cs="Times New Roman"/>
          <w:color w:val="000000" w:themeColor="text1"/>
          <w:spacing w:val="0"/>
          <w:lang w:val="en-US"/>
        </w:rPr>
        <w:t>Ju</w:t>
      </w:r>
      <w:r w:rsidRPr="00D03F3E">
        <w:rPr>
          <w:rFonts w:ascii="Times New Roman" w:cs="Times New Roman"/>
          <w:color w:val="000000" w:themeColor="text1"/>
          <w:spacing w:val="0"/>
        </w:rPr>
        <w:t xml:space="preserve"> 86Р, вторгшийся в воздушное про</w:t>
      </w:r>
      <w:r w:rsidRPr="00D03F3E">
        <w:rPr>
          <w:rFonts w:ascii="Times New Roman" w:cs="Times New Roman"/>
          <w:color w:val="000000" w:themeColor="text1"/>
          <w:spacing w:val="0"/>
        </w:rPr>
        <w:softHyphen/>
        <w:t>странство столицы. В тот день в 15 ч 56 мин. инспектор по технике пилотирования 6-го иак ПВО подполковник Л.А. Шолохов взле</w:t>
      </w:r>
      <w:r w:rsidRPr="00D03F3E">
        <w:rPr>
          <w:rFonts w:ascii="Times New Roman" w:cs="Times New Roman"/>
          <w:color w:val="000000" w:themeColor="text1"/>
          <w:spacing w:val="0"/>
        </w:rPr>
        <w:softHyphen/>
        <w:t>тел на Як-9ПД с Центрального аэродрома. Противник двигался с запада и находился на большой высоте в районе Можайска. Поднявшись на 8500 м, лётчик получил с командного пункта 12-го гв. иап сообщение, что «немец» прошёл Внуково.</w:t>
      </w:r>
    </w:p>
    <w:p w14:paraId="51709380" w14:textId="77777777" w:rsidR="000D1833" w:rsidRPr="00D03F3E" w:rsidRDefault="000D1833"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Вражеский самолёт Шолохов заметил по конденсационному следу. Он двинулся ему наперерез, продолжая набор высоты. В районе Пушкино Як-9ПД находился на 11 600 м, а противник летел на 1000-1500 м выше. На 11 650 м упало давление бензина, и мотор истребителя заглох. Опустившись ниже, пилот смог вновь запустить его и по</w:t>
      </w:r>
      <w:r w:rsidRPr="00D03F3E">
        <w:rPr>
          <w:rFonts w:ascii="Times New Roman" w:cs="Times New Roman"/>
          <w:color w:val="000000" w:themeColor="text1"/>
          <w:spacing w:val="0"/>
        </w:rPr>
        <w:softHyphen/>
        <w:t>вторить набор высоты. На 11 400 м дви</w:t>
      </w:r>
      <w:r w:rsidRPr="00D03F3E">
        <w:rPr>
          <w:rFonts w:ascii="Times New Roman" w:cs="Times New Roman"/>
          <w:color w:val="000000" w:themeColor="text1"/>
          <w:spacing w:val="0"/>
        </w:rPr>
        <w:softHyphen/>
        <w:t>гатель запарил, фонарь кабины покрылся слоем льда; Шолохов потерял цель и пре</w:t>
      </w:r>
      <w:r w:rsidRPr="00D03F3E">
        <w:rPr>
          <w:rFonts w:ascii="Times New Roman" w:cs="Times New Roman"/>
          <w:color w:val="000000" w:themeColor="text1"/>
          <w:spacing w:val="0"/>
        </w:rPr>
        <w:softHyphen/>
        <w:t>кратил преследование (19103).</w:t>
      </w:r>
    </w:p>
    <w:p w14:paraId="66D78118" w14:textId="77777777" w:rsidR="000D1833" w:rsidRPr="00D03F3E" w:rsidRDefault="000D1833" w:rsidP="00D03F3E">
      <w:pPr>
        <w:pStyle w:val="27"/>
        <w:shd w:val="clear" w:color="auto" w:fill="auto"/>
        <w:spacing w:after="0" w:line="240" w:lineRule="auto"/>
        <w:ind w:firstLine="0"/>
        <w:rPr>
          <w:rFonts w:ascii="Times New Roman" w:cs="Times New Roman"/>
          <w:color w:val="000000" w:themeColor="text1"/>
          <w:spacing w:val="0"/>
        </w:rPr>
      </w:pPr>
    </w:p>
    <w:p w14:paraId="74806FA0"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 июня 1943 вышло Постановление ГКО № 3488 О дополнительных мероприятиях по противовоздушной обороне р. Волги от Астраханского рейда до г. Саратова. (7111, 145-147).</w:t>
      </w:r>
    </w:p>
    <w:p w14:paraId="7E473B44" w14:textId="77777777" w:rsidR="00531570" w:rsidRPr="00D03F3E" w:rsidRDefault="00531570" w:rsidP="00D03F3E">
      <w:pPr>
        <w:pStyle w:val="Iauiue"/>
        <w:tabs>
          <w:tab w:val="left" w:pos="11199"/>
        </w:tabs>
        <w:jc w:val="both"/>
        <w:rPr>
          <w:color w:val="000000" w:themeColor="text1"/>
          <w:sz w:val="16"/>
          <w:szCs w:val="16"/>
        </w:rPr>
      </w:pPr>
    </w:p>
    <w:p w14:paraId="0DB9A082" w14:textId="77777777" w:rsidR="00531570" w:rsidRPr="00D03F3E" w:rsidRDefault="00531570" w:rsidP="00D03F3E">
      <w:pPr>
        <w:pStyle w:val="Iauiue"/>
        <w:tabs>
          <w:tab w:val="left" w:pos="11199"/>
        </w:tabs>
        <w:jc w:val="both"/>
        <w:rPr>
          <w:color w:val="000000" w:themeColor="text1"/>
          <w:sz w:val="16"/>
          <w:szCs w:val="16"/>
          <w:lang w:val="en-US"/>
        </w:rPr>
      </w:pPr>
      <w:r w:rsidRPr="00D03F3E">
        <w:rPr>
          <w:color w:val="000000" w:themeColor="text1"/>
          <w:sz w:val="16"/>
          <w:szCs w:val="16"/>
        </w:rPr>
        <w:t xml:space="preserve">2 июня 1943 вышло Постановление ГКО № 3489 О дополнительных мероприятиях по защите плотин на водохранилищах. </w:t>
      </w:r>
      <w:r w:rsidRPr="00D03F3E">
        <w:rPr>
          <w:color w:val="000000" w:themeColor="text1"/>
          <w:sz w:val="16"/>
          <w:szCs w:val="16"/>
          <w:lang w:val="en-US"/>
        </w:rPr>
        <w:t>(7111, 148-152,153-154).</w:t>
      </w:r>
    </w:p>
    <w:p w14:paraId="254F57FF" w14:textId="77777777" w:rsidR="00531570" w:rsidRPr="00D03F3E" w:rsidRDefault="00531570" w:rsidP="00D03F3E">
      <w:pPr>
        <w:pStyle w:val="Iauiue"/>
        <w:tabs>
          <w:tab w:val="left" w:pos="11199"/>
        </w:tabs>
        <w:jc w:val="both"/>
        <w:rPr>
          <w:color w:val="000000" w:themeColor="text1"/>
          <w:sz w:val="16"/>
          <w:szCs w:val="16"/>
          <w:lang w:val="en-US"/>
        </w:rPr>
      </w:pPr>
    </w:p>
    <w:p w14:paraId="6FEF9106" w14:textId="77777777" w:rsidR="00531570" w:rsidRPr="00D03F3E" w:rsidRDefault="00C81444" w:rsidP="00D03F3E">
      <w:pPr>
        <w:pStyle w:val="Iauiue"/>
        <w:jc w:val="both"/>
        <w:rPr>
          <w:iCs/>
          <w:color w:val="000000" w:themeColor="text1"/>
          <w:sz w:val="16"/>
          <w:szCs w:val="16"/>
          <w:lang w:val="en-US"/>
        </w:rPr>
      </w:pPr>
      <w:r w:rsidRPr="00D03F3E">
        <w:rPr>
          <w:i/>
          <w:iCs/>
          <w:color w:val="000000" w:themeColor="text1"/>
          <w:sz w:val="16"/>
          <w:szCs w:val="16"/>
        </w:rPr>
        <w:t>Внешняя</w:t>
      </w:r>
      <w:r w:rsidRPr="00D03F3E">
        <w:rPr>
          <w:i/>
          <w:iCs/>
          <w:color w:val="000000" w:themeColor="text1"/>
          <w:sz w:val="16"/>
          <w:szCs w:val="16"/>
          <w:lang w:val="en-US"/>
        </w:rPr>
        <w:t xml:space="preserve"> </w:t>
      </w:r>
      <w:r w:rsidRPr="00D03F3E">
        <w:rPr>
          <w:i/>
          <w:iCs/>
          <w:color w:val="000000" w:themeColor="text1"/>
          <w:sz w:val="16"/>
          <w:szCs w:val="16"/>
        </w:rPr>
        <w:t>политика</w:t>
      </w:r>
      <w:r w:rsidRPr="00D03F3E">
        <w:rPr>
          <w:i/>
          <w:iCs/>
          <w:color w:val="000000" w:themeColor="text1"/>
          <w:sz w:val="16"/>
          <w:szCs w:val="16"/>
          <w:lang w:val="en-US"/>
        </w:rPr>
        <w:t>:</w:t>
      </w:r>
    </w:p>
    <w:p w14:paraId="549B86A5" w14:textId="77777777" w:rsidR="00531570" w:rsidRPr="00D03F3E" w:rsidRDefault="00531570" w:rsidP="00D03F3E">
      <w:pPr>
        <w:pStyle w:val="Iauiue"/>
        <w:jc w:val="both"/>
        <w:rPr>
          <w:iCs/>
          <w:color w:val="000000" w:themeColor="text1"/>
          <w:sz w:val="16"/>
          <w:szCs w:val="16"/>
          <w:lang w:val="en-US"/>
        </w:rPr>
      </w:pPr>
    </w:p>
    <w:p w14:paraId="6D893E55"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June 2 1943 FDR sent Stalin Trident communique, but Stalin angry over 2nd Front delay (1052).</w:t>
      </w:r>
    </w:p>
    <w:p w14:paraId="45292D47" w14:textId="77777777" w:rsidR="00531570" w:rsidRPr="00D03F3E" w:rsidRDefault="00531570" w:rsidP="00D03F3E">
      <w:pPr>
        <w:pStyle w:val="Iauiue"/>
        <w:jc w:val="both"/>
        <w:rPr>
          <w:color w:val="000000" w:themeColor="text1"/>
          <w:sz w:val="16"/>
          <w:szCs w:val="16"/>
          <w:lang w:val="en-US"/>
        </w:rPr>
      </w:pPr>
    </w:p>
    <w:p w14:paraId="57BAD3E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июня 1943 Ф.Д.Р. направил И.В.С. коммюнике Вашингтонской конференции и И.В.С. был недоволен решением по 2 фронту (1052).</w:t>
      </w:r>
    </w:p>
    <w:p w14:paraId="35615B2E" w14:textId="77777777" w:rsidR="00531570" w:rsidRPr="00D03F3E" w:rsidRDefault="00531570" w:rsidP="00D03F3E">
      <w:pPr>
        <w:pStyle w:val="Iauiue"/>
        <w:jc w:val="both"/>
        <w:rPr>
          <w:color w:val="000000" w:themeColor="text1"/>
          <w:sz w:val="16"/>
          <w:szCs w:val="16"/>
        </w:rPr>
      </w:pPr>
    </w:p>
    <w:p w14:paraId="72F3C80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2 и 8 июня 1943. Из протокола заседания Политбюро N 40, 1943 г.</w:t>
      </w:r>
    </w:p>
    <w:p w14:paraId="0D4CB57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Вопрос т. Меркулова </w:t>
      </w:r>
    </w:p>
    <w:p w14:paraId="52DA6DA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Выдать НКГБ СССР на расходы по заграничной работе 1-ого Управления НКГБ СССР (политическая разведка) в первом полугодии 1943 г.: </w:t>
      </w:r>
    </w:p>
    <w:p w14:paraId="20AE385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1 500 000 (один миллион пятьсот тысяч) рублей в инвалюте разных стран; </w:t>
      </w:r>
    </w:p>
    <w:p w14:paraId="56B4988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на 400 000 (четыреста тысяч) рублей германских оккупационных марок и польских злот (11652).</w:t>
      </w:r>
    </w:p>
    <w:p w14:paraId="694B7576"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EE61F97"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2D5690AA" w14:textId="77777777" w:rsidR="00531570" w:rsidRPr="00D03F3E" w:rsidRDefault="00531570" w:rsidP="00D03F3E">
      <w:pPr>
        <w:pStyle w:val="Iauiue"/>
        <w:jc w:val="both"/>
        <w:rPr>
          <w:iCs/>
          <w:color w:val="000000" w:themeColor="text1"/>
          <w:sz w:val="16"/>
          <w:szCs w:val="16"/>
        </w:rPr>
      </w:pPr>
    </w:p>
    <w:p w14:paraId="6CF8950F"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 июня</w:t>
      </w:r>
      <w:r w:rsidRPr="00D03F3E">
        <w:rPr>
          <w:rFonts w:ascii="Times New Roman" w:hAnsi="Times New Roman"/>
          <w:color w:val="000000" w:themeColor="text1"/>
          <w:sz w:val="16"/>
          <w:szCs w:val="16"/>
        </w:rPr>
        <w:t xml:space="preserve"> в 1943 году впервые поднялся в воздух </w:t>
      </w:r>
      <w:hyperlink r:id="rId188" w:tgtFrame="_blank" w:history="1">
        <w:r w:rsidRPr="00D03F3E">
          <w:rPr>
            <w:rFonts w:ascii="Times New Roman" w:hAnsi="Times New Roman"/>
            <w:color w:val="000000" w:themeColor="text1"/>
            <w:sz w:val="16"/>
            <w:szCs w:val="16"/>
          </w:rPr>
          <w:t xml:space="preserve">«Р-38Е», </w:t>
        </w:r>
      </w:hyperlink>
      <w:r w:rsidRPr="00D03F3E">
        <w:rPr>
          <w:rFonts w:ascii="Times New Roman" w:hAnsi="Times New Roman"/>
          <w:color w:val="000000" w:themeColor="text1"/>
          <w:sz w:val="16"/>
          <w:szCs w:val="16"/>
        </w:rPr>
        <w:t xml:space="preserve">модифицированный путем переделки центральной гондолы с удлиненными и приподнятыми на 41 см хвостовыми балками. Носовую часть удлинили на 76, а хвостовую - на 122 см. Кресло пилота сместили вперед на 91 см, а позади него оборудовали кабину второго члена экипажа. Фонарь кабины заметно уменьшился по ширине, лобовое стекло установили под большим углом, обводы всего остекления стали исключительно плавными. Эти изменения не связаны с поисками путей решения проблемы бафтинга, а являлись частью программы разработки поплавковой модификации машины. Машину вначале продули в большой аэродинамической трубе. Самолет получил широкую известность среди летчиков-испытателей USAAF под именем "Мэд метеор" </w:t>
      </w:r>
      <w:r w:rsidRPr="00D03F3E">
        <w:rPr>
          <w:rFonts w:ascii="Times New Roman" w:hAnsi="Times New Roman"/>
          <w:color w:val="000000" w:themeColor="text1"/>
          <w:sz w:val="16"/>
          <w:szCs w:val="16"/>
        </w:rPr>
        <w:lastRenderedPageBreak/>
        <w:t>(«Mad Meteor» - "Бешеный метеор"), так как он использовался для изучения пикирующих свойств "Лайтнингов" и при этом, по-видимому, развивал неплохую скорость (14910).</w:t>
      </w:r>
    </w:p>
    <w:p w14:paraId="177B4F59" w14:textId="77777777" w:rsidR="0012603D" w:rsidRPr="00D03F3E" w:rsidRDefault="0012603D" w:rsidP="00D03F3E">
      <w:pPr>
        <w:spacing w:after="0" w:line="240" w:lineRule="auto"/>
        <w:jc w:val="both"/>
        <w:rPr>
          <w:rFonts w:ascii="Times New Roman" w:hAnsi="Times New Roman"/>
          <w:color w:val="000000" w:themeColor="text1"/>
          <w:sz w:val="16"/>
          <w:szCs w:val="16"/>
        </w:rPr>
      </w:pPr>
    </w:p>
    <w:p w14:paraId="709FB636"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 июня</w:t>
      </w:r>
      <w:r w:rsidRPr="00D03F3E">
        <w:rPr>
          <w:rFonts w:ascii="Times New Roman" w:hAnsi="Times New Roman"/>
          <w:color w:val="000000" w:themeColor="text1"/>
          <w:sz w:val="16"/>
          <w:szCs w:val="16"/>
        </w:rPr>
        <w:t xml:space="preserve"> в 1943 году летающая лодка </w:t>
      </w:r>
      <w:hyperlink r:id="rId189" w:tgtFrame="_blank" w:history="1">
        <w:r w:rsidRPr="00D03F3E">
          <w:rPr>
            <w:rFonts w:ascii="Times New Roman" w:hAnsi="Times New Roman"/>
            <w:color w:val="000000" w:themeColor="text1"/>
            <w:sz w:val="16"/>
            <w:szCs w:val="16"/>
          </w:rPr>
          <w:t xml:space="preserve">«Потэ-CAMS 141» </w:t>
        </w:r>
      </w:hyperlink>
      <w:r w:rsidRPr="00D03F3E">
        <w:rPr>
          <w:rFonts w:ascii="Times New Roman" w:hAnsi="Times New Roman"/>
          <w:color w:val="000000" w:themeColor="text1"/>
          <w:sz w:val="16"/>
          <w:szCs w:val="16"/>
        </w:rPr>
        <w:t>потопила немецкую подводную лодку «U-105» в 35 милях от Дакара. Немцы признали потерю подводного корабля, вместе с которым погибли 65 человек. Летающая лодка была построена в одном экземпляре и применялась для дальнего патрулирования в Атлантике в 1939-42 годах. Тем не менее, из-за нехватки запчастей и износа конструкции «Potez-CAMS 141» списали к концу 1943 года. К тому времени суммарный налет летающей лодки составил 1800 часов. Ни одна из серийных лодок «Потэ-CAMS 141» не была завершена (14910).</w:t>
      </w:r>
    </w:p>
    <w:p w14:paraId="3A1E2E41" w14:textId="77777777" w:rsidR="0012603D" w:rsidRPr="00D03F3E" w:rsidRDefault="0012603D" w:rsidP="00D03F3E">
      <w:pPr>
        <w:spacing w:after="0" w:line="240" w:lineRule="auto"/>
        <w:jc w:val="both"/>
        <w:rPr>
          <w:rFonts w:ascii="Times New Roman" w:hAnsi="Times New Roman"/>
          <w:color w:val="000000" w:themeColor="text1"/>
          <w:sz w:val="16"/>
          <w:szCs w:val="16"/>
        </w:rPr>
      </w:pPr>
    </w:p>
    <w:p w14:paraId="32E1382C"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2 июня 1943 папа римский Пий XII призвал воюющие стороны придерживаться законов гуманности при проведении авиационных бомбардировок (4962).</w:t>
      </w:r>
    </w:p>
    <w:p w14:paraId="0534D18C" w14:textId="77777777" w:rsidR="00531570" w:rsidRPr="00D03F3E" w:rsidRDefault="00531570" w:rsidP="00D03F3E">
      <w:pPr>
        <w:pStyle w:val="Iauiue"/>
        <w:tabs>
          <w:tab w:val="left" w:pos="11199"/>
        </w:tabs>
        <w:jc w:val="both"/>
        <w:rPr>
          <w:color w:val="000000" w:themeColor="text1"/>
          <w:sz w:val="16"/>
          <w:szCs w:val="16"/>
        </w:rPr>
      </w:pPr>
    </w:p>
    <w:p w14:paraId="6C6FD1BC" w14:textId="77777777" w:rsidR="000B4AB2" w:rsidRPr="00D03F3E" w:rsidRDefault="000B4AB2" w:rsidP="00D03F3E">
      <w:pPr>
        <w:pStyle w:val="article-renderblock"/>
        <w:shd w:val="clear" w:color="auto" w:fill="FFFFFF"/>
        <w:spacing w:before="0" w:beforeAutospacing="0" w:after="0" w:afterAutospacing="0"/>
        <w:jc w:val="both"/>
        <w:rPr>
          <w:color w:val="0070C0"/>
          <w:sz w:val="16"/>
          <w:szCs w:val="16"/>
        </w:rPr>
      </w:pPr>
      <w:r w:rsidRPr="00D03F3E">
        <w:rPr>
          <w:color w:val="0070C0"/>
          <w:sz w:val="16"/>
          <w:szCs w:val="16"/>
        </w:rPr>
        <w:t>2 июня 1943 г. было принято решение о начале серийного производства Me 262 в новой компоновке со стартовыми ускорителей, сокращавшими разбег до 400 м. Испытания провел Карл Баур (22776).</w:t>
      </w:r>
    </w:p>
    <w:p w14:paraId="18CE1ADA" w14:textId="77777777" w:rsidR="000B4AB2" w:rsidRPr="00D03F3E" w:rsidRDefault="000B4AB2" w:rsidP="00D03F3E">
      <w:pPr>
        <w:pStyle w:val="article-renderblock"/>
        <w:shd w:val="clear" w:color="auto" w:fill="FFFFFF"/>
        <w:spacing w:before="0" w:beforeAutospacing="0" w:after="0" w:afterAutospacing="0"/>
        <w:jc w:val="both"/>
        <w:rPr>
          <w:color w:val="0070C0"/>
          <w:sz w:val="16"/>
          <w:szCs w:val="16"/>
        </w:rPr>
      </w:pPr>
    </w:p>
    <w:p w14:paraId="35E8D2EB" w14:textId="77777777" w:rsidR="000B4AB2" w:rsidRPr="00D03F3E" w:rsidRDefault="000B4AB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июня 1943 бывшая звезда американского футбола в колледже и обладатель трофея Heisman Trophy Нил Кинник, пилот-истребитель военно-морского резерва США, погибает, когда покидает свой истребитель Grumman F4F Wildcat после того, как во время тренировочного полета произошла серьезная утечка нефти над заливом Пария у побережья Венесуэлы. с авианосца USS Lexington. Его тело так и не нашли (20376).</w:t>
      </w:r>
    </w:p>
    <w:p w14:paraId="3FF06447" w14:textId="77777777" w:rsidR="000B4AB2" w:rsidRPr="00D03F3E" w:rsidRDefault="000B4AB2" w:rsidP="00D03F3E">
      <w:pPr>
        <w:spacing w:after="0" w:line="240" w:lineRule="auto"/>
        <w:jc w:val="both"/>
        <w:rPr>
          <w:rFonts w:ascii="Times New Roman" w:hAnsi="Times New Roman"/>
          <w:color w:val="0070C0"/>
          <w:sz w:val="16"/>
          <w:szCs w:val="16"/>
        </w:rPr>
      </w:pPr>
    </w:p>
    <w:p w14:paraId="56578801"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 июня</w:t>
      </w:r>
      <w:r w:rsidRPr="00D03F3E">
        <w:rPr>
          <w:rFonts w:ascii="Times New Roman" w:hAnsi="Times New Roman"/>
          <w:color w:val="000000" w:themeColor="text1"/>
          <w:sz w:val="16"/>
          <w:szCs w:val="16"/>
        </w:rPr>
        <w:t xml:space="preserve"> в 1943 году (2-9 июня) массовая облава на территории Германии на сбежавших из-под охраны военнопленных, в которой принимало участие 650 тысяч солдат регулярной армии и дружинников (14910).</w:t>
      </w:r>
    </w:p>
    <w:p w14:paraId="77096547" w14:textId="77777777" w:rsidR="0012603D" w:rsidRPr="00D03F3E" w:rsidRDefault="0012603D" w:rsidP="00D03F3E">
      <w:pPr>
        <w:spacing w:after="0" w:line="240" w:lineRule="auto"/>
        <w:jc w:val="both"/>
        <w:rPr>
          <w:rFonts w:ascii="Times New Roman" w:hAnsi="Times New Roman"/>
          <w:color w:val="000000" w:themeColor="text1"/>
          <w:sz w:val="16"/>
          <w:szCs w:val="16"/>
        </w:rPr>
      </w:pPr>
    </w:p>
    <w:p w14:paraId="3E7F499B"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June 02 1943 Canned milk added to rationing lists in the US (1242).</w:t>
      </w:r>
    </w:p>
    <w:p w14:paraId="3437A00B" w14:textId="77777777" w:rsidR="00531570" w:rsidRPr="00D03F3E" w:rsidRDefault="00531570" w:rsidP="00D03F3E">
      <w:pPr>
        <w:pStyle w:val="Iauiue"/>
        <w:jc w:val="both"/>
        <w:rPr>
          <w:color w:val="000000" w:themeColor="text1"/>
          <w:sz w:val="16"/>
          <w:szCs w:val="16"/>
          <w:lang w:val="en-US"/>
        </w:rPr>
      </w:pPr>
    </w:p>
    <w:p w14:paraId="55038C9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июня 1943 в США были введены карточки на сгущенное молоко (1242).</w:t>
      </w:r>
    </w:p>
    <w:p w14:paraId="0434E7A8" w14:textId="77777777" w:rsidR="00531570" w:rsidRPr="00D03F3E" w:rsidRDefault="00531570" w:rsidP="00D03F3E">
      <w:pPr>
        <w:pStyle w:val="Iauiue"/>
        <w:jc w:val="both"/>
        <w:rPr>
          <w:color w:val="000000" w:themeColor="text1"/>
          <w:sz w:val="16"/>
          <w:szCs w:val="16"/>
        </w:rPr>
      </w:pPr>
    </w:p>
    <w:p w14:paraId="7CA7BBFE"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49E406AB" w14:textId="77777777" w:rsidR="00531570" w:rsidRPr="00D03F3E" w:rsidRDefault="00531570" w:rsidP="00D03F3E">
      <w:pPr>
        <w:pStyle w:val="Iauiue"/>
        <w:jc w:val="both"/>
        <w:rPr>
          <w:iCs/>
          <w:color w:val="000000" w:themeColor="text1"/>
          <w:sz w:val="16"/>
          <w:szCs w:val="16"/>
        </w:rPr>
      </w:pPr>
    </w:p>
    <w:p w14:paraId="4BE0B0A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июня 1943 Нач. ЦАГИ С.Шишкин направил в НКАП А.И.Ш. с письмом N 551с (исх.) и N 6769 (вх.) заключение о прочности самолета Ил-2 в двухместном варианте и два предварительных заключения по стат. Испытаниям (1785,190).</w:t>
      </w:r>
    </w:p>
    <w:p w14:paraId="05E5CB0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"Заключение о прочности самолета Ил-2 производства заводов 1 и 30"</w:t>
      </w:r>
    </w:p>
    <w:p w14:paraId="5BAB065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связи с имевшими место поломками крыльев на самолетах Ил-2 в авиационных частях, комиссия, назначенная приказом НКАВП от 12 мая N 287 в составе Нач. ЦАГИ С.Н.Шишкина, Нач. ЛИИ А.В.Чесалова, нач. отд. ЦАГИ А.И.Макаревского и др. для проверки прочности самолета Ил-2 производства заводов 1 и 30 провела необходимые обследования, результаты которых приводятся ниже.</w:t>
      </w:r>
    </w:p>
    <w:p w14:paraId="4B1F0AE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Состояние технологии производства крыльев на заводе 30</w:t>
      </w:r>
    </w:p>
    <w:p w14:paraId="00F2FF5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Качество крыльев, выпускаемых заводом 30, не может быть признано удовлетворительным и требует для своего исправления улучшения технологии производства и более тщательного контроля со стороны ОТК завода.</w:t>
      </w:r>
    </w:p>
    <w:p w14:paraId="053A6C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Встречающееся понижение качества приклейки обшивки крыльев объясняется смещением разметочного трафарета при запрессовке и неудовлетворительной подгонки плавности каркаса крыла.</w:t>
      </w:r>
    </w:p>
    <w:p w14:paraId="2D70613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Постановка фанеры на законцовку крыла без ее предварительной штамповки не может надежно гарантировать прочность ее соединения с каркасом.</w:t>
      </w:r>
    </w:p>
    <w:p w14:paraId="4B4D452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Недостаточно тщательное выдерживание допусков по геометрии стыковочных узлов может приводить к понижению прочности.</w:t>
      </w:r>
    </w:p>
    <w:p w14:paraId="6E6324D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Кроме перечисленных недостатков по крыльям самолетов Ил-2 производства завода 30, встречается ряд более мелких дефектов (открывание лючков, непроклей патронного ящика, непроклей ремонтных прокладок и т.д.), отмеченных ниже в настоящем заключении, а также в прилагаемом акте ЛИИ НКАП.</w:t>
      </w:r>
    </w:p>
    <w:p w14:paraId="6C889C9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Полетные испытания на прочность</w:t>
      </w:r>
    </w:p>
    <w:p w14:paraId="4FEC93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ЛИИ НКАП были проведены полетные испытания на прочность 7 самолетов Ил-2 производства заводов 1 и 30, а именно N 302263, 302114, 302363, 302345, 302221 30 завода и 7004 и 7005 производства завода 1.</w:t>
      </w:r>
    </w:p>
    <w:p w14:paraId="41EE901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Испытания проводились на режиме выхода из пикирования на скоростях по заданию 450 км/час по прибору при полной загрузке самолета (вес 6080 кг) перегрузки 5 соответствующей максимальной эксплуатационной перегрузки норм прочности 1943. На каждом самолете было произведено от 25 до 30 выходов из пикирования. Перед полетами и после полетов каждый самолет подвергался внешнему осмотру. Внешний осмотр крыльев перед полетами показал на следующие типовые дефекты:</w:t>
      </w:r>
    </w:p>
    <w:p w14:paraId="781B794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Недостаточный проклей верхней обшивки крыла по контуру патронного ящика (завод 30).</w:t>
      </w:r>
    </w:p>
    <w:p w14:paraId="51099E3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Непроклей балинитовой стенки патронного ящика (завод 30).</w:t>
      </w:r>
    </w:p>
    <w:p w14:paraId="7906BD8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Непроклей обшивки носка крыла с лобовым стрингером и лобовыми частями нервюр (завод 30 и 1).</w:t>
      </w:r>
    </w:p>
    <w:p w14:paraId="12A2BED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Непроклей обшивки над узлами кронштейнов подвески элеронов (завод 30 и 1).</w:t>
      </w:r>
    </w:p>
    <w:p w14:paraId="087EFD5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Частичный непроклей обшивки с каркасом крыла, определяемый методом простукивания (у завода 30 относительно больше, чем у 1).</w:t>
      </w:r>
    </w:p>
    <w:p w14:paraId="0AC8D86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Недостаточно тщательная подгонка верхнего люка патронного ящика к пазам. Переднее ребро имеет щели 3-4 мм (завод 30 и в меньшей степени завод 1).</w:t>
      </w:r>
    </w:p>
    <w:p w14:paraId="5622C84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 Непроклей миткаля, особенно в хвостовой части крыла, начиная от заднего лонжерона (завод 1).</w:t>
      </w:r>
    </w:p>
    <w:p w14:paraId="0F6B067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 Непроклей по усу накладки под отверстие у патронного ящика, а также непроклей ремонтной накладки между лонжеронами близ законцовки (завод 30).</w:t>
      </w:r>
    </w:p>
    <w:p w14:paraId="17E4E56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 полетных испытаниях на указанных самолетах достигались скорости до 484 км/час по прибору и максимальные перегрузки при выходе из пикирования до 5.97.</w:t>
      </w:r>
    </w:p>
    <w:p w14:paraId="434204F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Все самолеты Ил-2 указанные полетные испытания на прочность прошли удовлетворительно.</w:t>
      </w:r>
    </w:p>
    <w:p w14:paraId="56C4B84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Внешний осмотр крыльев самолетов после проведенных полетных испытаний показал на ряд дополнительных типовых дефектов, однако не повлиявших на прочность самолета, а именно:</w:t>
      </w:r>
    </w:p>
    <w:p w14:paraId="53DDE85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открытие лючков на верхней поверхности крыла, в противопожарной перегородке и в полу кабины л (завод 30).</w:t>
      </w:r>
    </w:p>
    <w:p w14:paraId="0326163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ослабление шурупов на зализах крыла из-за недостаточно тщательной их пригонки на заводах (завод 30 и 1).</w:t>
      </w:r>
    </w:p>
    <w:p w14:paraId="672EE49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трещины на шпаклевке в местах фар и дюралевых накладок лонжеронов (завод 30 и 1).</w:t>
      </w:r>
    </w:p>
    <w:p w14:paraId="0D045FE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Кроме того: 1) на самолете N 302363 завода 30 в полетах слетала верхняя крышка капота и 2) на самолете N 302263 того же завода N 30 произошло выпучивание противопожарной перегородки.</w:t>
      </w:r>
    </w:p>
    <w:p w14:paraId="7BE10D9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Более подробный перечень смотри в прилагаемом акте ЛИИ НКАП (1785,194).</w:t>
      </w:r>
    </w:p>
    <w:p w14:paraId="03D35BC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Статические испытания на прочность</w:t>
      </w:r>
    </w:p>
    <w:p w14:paraId="5E74E0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Из числа самолетов Ил-2, прошедших гос. испытания на прочность в ЛИИ НКАП, было выделено для стат. испытаний 2 самолета, а именно: N 302263 завода 30 и N 7005 завода 1.</w:t>
      </w:r>
    </w:p>
    <w:p w14:paraId="44CD98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Стат. испытания крыла были проведены в 3-й лаборатории ЦАГИ в соответствии с нормами прочности 1943, а именно при полетном весе самолета 6080 кг и значения ку макс. 735 кг/м кв., величина расчетной перегрузки по классу Б принималась равной 7.5.</w:t>
      </w:r>
    </w:p>
    <w:p w14:paraId="1E6EBE5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Испытание крыльев проводилось в системе целого самолета на сл. А и А прим, являющихся наиболее тяжелыми для работы обшивки крыла и лонжеронов.</w:t>
      </w:r>
    </w:p>
    <w:p w14:paraId="1988D7D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 Испытание крыла самолете 302263 завода № 30 (см. прилагаемое предварительное заключение ЦАГИ).</w:t>
      </w:r>
    </w:p>
    <w:p w14:paraId="31CD0A7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Крыло испытывалось на сл. А с загрудкой носков без учета влияния числа Re. Одновременно нагружалась верх</w:t>
      </w:r>
      <w:r w:rsidRPr="00D03F3E">
        <w:rPr>
          <w:rFonts w:ascii="Times New Roman" w:hAnsi="Times New Roman"/>
          <w:color w:val="000000" w:themeColor="text1"/>
          <w:sz w:val="16"/>
          <w:szCs w:val="16"/>
        </w:rPr>
        <w:softHyphen/>
        <w:t>няя обшивка законцовки крыла на отрыв. В процессе испы</w:t>
      </w:r>
      <w:r w:rsidRPr="00D03F3E">
        <w:rPr>
          <w:rFonts w:ascii="Times New Roman" w:hAnsi="Times New Roman"/>
          <w:color w:val="000000" w:themeColor="text1"/>
          <w:sz w:val="16"/>
          <w:szCs w:val="16"/>
        </w:rPr>
        <w:softHyphen/>
        <w:t>тания было отмечено при 55% нагруженил местное вспучивание с отрывом верхней обшивки по усовому соединению у лонжерона вблизи нервюры № .12, а также волнообразование дюралевых накладок лонжеронов у нервюр.</w:t>
      </w:r>
    </w:p>
    <w:p w14:paraId="2217CD1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65-70% произошел сдвиг (примерно на 4 мм) по усовой склейке носовой части обшивки крыла у 7-й нервю</w:t>
      </w:r>
      <w:r w:rsidRPr="00D03F3E">
        <w:rPr>
          <w:rFonts w:ascii="Times New Roman" w:hAnsi="Times New Roman"/>
          <w:color w:val="000000" w:themeColor="text1"/>
          <w:sz w:val="16"/>
          <w:szCs w:val="16"/>
        </w:rPr>
        <w:softHyphen/>
        <w:t>ры. При 100% произошло разрушение стрингеров между 12 и 13 нервюрой, а также самой 12-й нервюры.</w:t>
      </w:r>
    </w:p>
    <w:p w14:paraId="06233B2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Разрушение крыла произошло при 100% нагрузке от расчетной по нижнему стыковому узлу переднего лонжеро</w:t>
      </w:r>
      <w:r w:rsidRPr="00D03F3E">
        <w:rPr>
          <w:rFonts w:ascii="Times New Roman" w:hAnsi="Times New Roman"/>
          <w:color w:val="000000" w:themeColor="text1"/>
          <w:sz w:val="16"/>
          <w:szCs w:val="16"/>
        </w:rPr>
        <w:softHyphen/>
        <w:t>на от"емной части крыла. Анализ механических свойств материала разрушенного узла показал его нормальную кон</w:t>
      </w:r>
      <w:r w:rsidRPr="00D03F3E">
        <w:rPr>
          <w:rFonts w:ascii="Times New Roman" w:hAnsi="Times New Roman"/>
          <w:color w:val="000000" w:themeColor="text1"/>
          <w:sz w:val="16"/>
          <w:szCs w:val="16"/>
        </w:rPr>
        <w:softHyphen/>
        <w:t>дицию (Еер=164 кг/мм^). Обмер геометрических парамет</w:t>
      </w:r>
      <w:r w:rsidRPr="00D03F3E">
        <w:rPr>
          <w:rFonts w:ascii="Times New Roman" w:hAnsi="Times New Roman"/>
          <w:color w:val="000000" w:themeColor="text1"/>
          <w:sz w:val="16"/>
          <w:szCs w:val="16"/>
        </w:rPr>
        <w:softHyphen/>
        <w:t>ров узла показал отклонение в толщинах по месту разруше</w:t>
      </w:r>
      <w:r w:rsidRPr="00D03F3E">
        <w:rPr>
          <w:rFonts w:ascii="Times New Roman" w:hAnsi="Times New Roman"/>
          <w:color w:val="000000" w:themeColor="text1"/>
          <w:sz w:val="16"/>
          <w:szCs w:val="16"/>
        </w:rPr>
        <w:softHyphen/>
        <w:t>ния (вместо б = 2,5 мм при допуске + 0,4, фактически имело место б2,3 мм), что дает снижение его проч</w:t>
      </w:r>
      <w:r w:rsidRPr="00D03F3E">
        <w:rPr>
          <w:rFonts w:ascii="Times New Roman" w:hAnsi="Times New Roman"/>
          <w:color w:val="000000" w:themeColor="text1"/>
          <w:sz w:val="16"/>
          <w:szCs w:val="16"/>
        </w:rPr>
        <w:softHyphen/>
        <w:t>ности примерно на 10%.</w:t>
      </w:r>
    </w:p>
    <w:p w14:paraId="10A20F0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Испытание крыла самолета № 7005 завода № 1.(см. прилагаемое предварительное заключение ЦАГИ).</w:t>
      </w:r>
    </w:p>
    <w:p w14:paraId="3428608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Крыло испытывалось на сл. А с нагрузкой на отрыв обшивки между лонжеронами от"емной части крыла, а так</w:t>
      </w:r>
      <w:r w:rsidRPr="00D03F3E">
        <w:rPr>
          <w:rFonts w:ascii="Times New Roman" w:hAnsi="Times New Roman"/>
          <w:color w:val="000000" w:themeColor="text1"/>
          <w:sz w:val="16"/>
          <w:szCs w:val="16"/>
        </w:rPr>
        <w:softHyphen/>
        <w:t>же обшивки законцовки крыла.</w:t>
      </w:r>
    </w:p>
    <w:p w14:paraId="0C0C101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испытании нагрузки была доведена до 110% от расчетной, что соответствует перегрузке 8,25, и при этом разрушения крыла не произошло.</w:t>
      </w:r>
    </w:p>
    <w:p w14:paraId="45D1C4D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процессе нагружения вплоть до 80% никаких дефек</w:t>
      </w:r>
      <w:r w:rsidRPr="00D03F3E">
        <w:rPr>
          <w:rFonts w:ascii="Times New Roman" w:hAnsi="Times New Roman"/>
          <w:color w:val="000000" w:themeColor="text1"/>
          <w:sz w:val="16"/>
          <w:szCs w:val="16"/>
        </w:rPr>
        <w:softHyphen/>
        <w:t>тов и повреждений в крыле не наблюдалось, что .выгодно отличает качество крыльев завода № 1 от крыльев завода № 30.</w:t>
      </w:r>
    </w:p>
    <w:p w14:paraId="1B78D2A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При 80% расчетной нагрузки появилась небольшая волна на верхней металлической обшивке центроплана, пе</w:t>
      </w:r>
      <w:r w:rsidRPr="00D03F3E">
        <w:rPr>
          <w:rFonts w:ascii="Times New Roman" w:hAnsi="Times New Roman"/>
          <w:color w:val="000000" w:themeColor="text1"/>
          <w:sz w:val="16"/>
          <w:szCs w:val="16"/>
        </w:rPr>
        <w:softHyphen/>
        <w:t>решедшая в остаточную складку при нагрузке около 100% от расчетной. После снятия нагрузки на нижней поверхнос</w:t>
      </w:r>
      <w:r w:rsidRPr="00D03F3E">
        <w:rPr>
          <w:rFonts w:ascii="Times New Roman" w:hAnsi="Times New Roman"/>
          <w:color w:val="000000" w:themeColor="text1"/>
          <w:sz w:val="16"/>
          <w:szCs w:val="16"/>
        </w:rPr>
        <w:softHyphen/>
        <w:t>ти хвостовой части правого крыла была обнаружена трещи</w:t>
      </w:r>
      <w:r w:rsidRPr="00D03F3E">
        <w:rPr>
          <w:rFonts w:ascii="Times New Roman" w:hAnsi="Times New Roman"/>
          <w:color w:val="000000" w:themeColor="text1"/>
          <w:sz w:val="16"/>
          <w:szCs w:val="16"/>
        </w:rPr>
        <w:softHyphen/>
        <w:t>на по усовой оклейке фанеры.</w:t>
      </w:r>
    </w:p>
    <w:p w14:paraId="05354D9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указанного испытания это же крыло было испы</w:t>
      </w:r>
      <w:r w:rsidRPr="00D03F3E">
        <w:rPr>
          <w:rFonts w:ascii="Times New Roman" w:hAnsi="Times New Roman"/>
          <w:color w:val="000000" w:themeColor="text1"/>
          <w:sz w:val="16"/>
          <w:szCs w:val="16"/>
        </w:rPr>
        <w:softHyphen/>
        <w:t>тано на сл. А с одновременной загрузкою носков на всем размахе крыла. Разрушение крыла произошло при 93% рас</w:t>
      </w:r>
      <w:r w:rsidRPr="00D03F3E">
        <w:rPr>
          <w:rFonts w:ascii="Times New Roman" w:hAnsi="Times New Roman"/>
          <w:color w:val="000000" w:themeColor="text1"/>
          <w:sz w:val="16"/>
          <w:szCs w:val="16"/>
        </w:rPr>
        <w:softHyphen/>
        <w:t>четной нагрузки по стенке переднего лонжерона близь стыковых узлов.</w:t>
      </w:r>
    </w:p>
    <w:p w14:paraId="68EF8C2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ВЫВОДЫ</w:t>
      </w:r>
    </w:p>
    <w:p w14:paraId="48E081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Выводы</w:t>
      </w:r>
    </w:p>
    <w:p w14:paraId="67CC0A6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Основываясь на проведенных исследованиях прочности самолетов Ил-2, комиссия пришла к выводу:</w:t>
      </w:r>
    </w:p>
    <w:p w14:paraId="19B7350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Прочность крыла самолета Ил-2 при нормальной кондиции материала и технологии его изготовления удовлетворяет при полном полетном весе самолета в двухместном варианте (6080 кг) требованиям прочности 1943 г.</w:t>
      </w:r>
    </w:p>
    <w:p w14:paraId="247A4F2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Анализ прочности крыльев на флаттер показал, что при скорости, имеющей место при эксплуатации Ил-2, возникновение флаттера исключается.</w:t>
      </w:r>
    </w:p>
    <w:p w14:paraId="033C079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Имевшие место случаи срыва обшивки и разрушения крыльев в воздухе могли объясняться только неблагоприятным совпадением плохого технологического изготовления, с получением очень высоких перегрузок, при выходе из пикирования.</w:t>
      </w:r>
    </w:p>
    <w:p w14:paraId="30FC76C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Самолет Ил-2 в двухместном варианте, как имею</w:t>
      </w:r>
      <w:r w:rsidRPr="00D03F3E">
        <w:rPr>
          <w:rFonts w:ascii="Times New Roman" w:hAnsi="Times New Roman"/>
          <w:color w:val="000000" w:themeColor="text1"/>
          <w:sz w:val="16"/>
          <w:szCs w:val="16"/>
        </w:rPr>
        <w:softHyphen/>
        <w:t>щий заднюю центровку, позволяет при выводе из яикирова-ния получать более высокие перегрузки, чем в одноместном варианте. Если в одноместном варианте при испытании в ЛИИ с большим трудом была получена перегрузка 5,2, то в двухместном варианте при задании летчика^ на перегруз-' ку не свыше 4-5, достаточно легко были подучены перег</w:t>
      </w:r>
      <w:r w:rsidRPr="00D03F3E">
        <w:rPr>
          <w:rFonts w:ascii="Times New Roman" w:hAnsi="Times New Roman"/>
          <w:color w:val="000000" w:themeColor="text1"/>
          <w:sz w:val="16"/>
          <w:szCs w:val="16"/>
        </w:rPr>
        <w:softHyphen/>
        <w:t>рузки близкие к 6.</w:t>
      </w:r>
    </w:p>
    <w:p w14:paraId="6064EC2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предотвращения в боевой эксплоатации двух</w:t>
      </w:r>
      <w:r w:rsidRPr="00D03F3E">
        <w:rPr>
          <w:rFonts w:ascii="Times New Roman" w:hAnsi="Times New Roman"/>
          <w:color w:val="000000" w:themeColor="text1"/>
          <w:sz w:val="16"/>
          <w:szCs w:val="16"/>
        </w:rPr>
        <w:softHyphen/>
        <w:t>местного самолета Ил-2 перегрузок больших допускаемых нормами прочности, необходимо просить ВВС КА внести изменения в "Курс боевой подготовки штурмовой авиации на самолете Ил-2":</w:t>
      </w:r>
    </w:p>
    <w:p w14:paraId="1AC5B3A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Ограничить скорость пикирования этих самолетов до 400 км/час по прибору летчика, что является достаточ</w:t>
      </w:r>
      <w:r w:rsidRPr="00D03F3E">
        <w:rPr>
          <w:rFonts w:ascii="Times New Roman" w:hAnsi="Times New Roman"/>
          <w:color w:val="000000" w:themeColor="text1"/>
          <w:sz w:val="16"/>
          <w:szCs w:val="16"/>
        </w:rPr>
        <w:softHyphen/>
        <w:t>ным для выполнения всех упражнений по боевой подготовке и при боевой эксшюатации самолета.</w:t>
      </w:r>
    </w:p>
    <w:p w14:paraId="2D89A25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Внести четкие указания о необходимости плавного вывода самолета из пикирования, обеспечивающего перегруз-^ ку при выводе не более 4. Как показали специальные по</w:t>
      </w:r>
      <w:r w:rsidRPr="00D03F3E">
        <w:rPr>
          <w:rFonts w:ascii="Times New Roman" w:hAnsi="Times New Roman"/>
          <w:color w:val="000000" w:themeColor="text1"/>
          <w:sz w:val="16"/>
          <w:szCs w:val="16"/>
        </w:rPr>
        <w:softHyphen/>
        <w:t>летные испытания в ЛИИ при правильном пилотировании вполне возможно не выходить из указанного предела перег</w:t>
      </w:r>
      <w:r w:rsidRPr="00D03F3E">
        <w:rPr>
          <w:rFonts w:ascii="Times New Roman" w:hAnsi="Times New Roman"/>
          <w:color w:val="000000" w:themeColor="text1"/>
          <w:sz w:val="16"/>
          <w:szCs w:val="16"/>
        </w:rPr>
        <w:softHyphen/>
        <w:t>рузки.</w:t>
      </w:r>
    </w:p>
    <w:p w14:paraId="14260F4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Увеличить высоту захода в пикирование для стрельбы по земным целям по крайней мере до высоты 500 метров. Указанная в "Курсе" высота захода на стрельбу 400 метров, при затянувшемся прицеливании является недостаточной для получения запаса высоты в 100 м пос</w:t>
      </w:r>
      <w:r w:rsidRPr="00D03F3E">
        <w:rPr>
          <w:rFonts w:ascii="Times New Roman" w:hAnsi="Times New Roman"/>
          <w:color w:val="000000" w:themeColor="text1"/>
          <w:sz w:val="16"/>
          <w:szCs w:val="16"/>
        </w:rPr>
        <w:softHyphen/>
        <w:t>ле выхода из пикирования.</w:t>
      </w:r>
    </w:p>
    <w:p w14:paraId="132482D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Для полной гарантии прочности крыльев самоле</w:t>
      </w:r>
      <w:r w:rsidRPr="00D03F3E">
        <w:rPr>
          <w:rFonts w:ascii="Times New Roman" w:hAnsi="Times New Roman"/>
          <w:color w:val="000000" w:themeColor="text1"/>
          <w:sz w:val="16"/>
          <w:szCs w:val="16"/>
        </w:rPr>
        <w:softHyphen/>
        <w:t>та и перекрытия возможных технологических отступлений, считать необходимым проведение следующих мероприятий;</w:t>
      </w:r>
    </w:p>
    <w:p w14:paraId="7ABD25F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Внедрить последовательную приклейку обшивки к каркасу крыла, а именно, сначала верхнюю, а затем (после проверки качества склейки) - нижнюю обшивку.</w:t>
      </w:r>
    </w:p>
    <w:p w14:paraId="45671C3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Обеспечить более тщательную подгонку по шабло</w:t>
      </w:r>
      <w:r w:rsidRPr="00D03F3E">
        <w:rPr>
          <w:rFonts w:ascii="Times New Roman" w:hAnsi="Times New Roman"/>
          <w:color w:val="000000" w:themeColor="text1"/>
          <w:sz w:val="16"/>
          <w:szCs w:val="16"/>
        </w:rPr>
        <w:softHyphen/>
        <w:t>ну каркаса.</w:t>
      </w:r>
    </w:p>
    <w:p w14:paraId="1FB385B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Одобрить мероприятия главного конструктора тов.Ильюшина по уменьшению числа продольных стыков по верхней обшивке при фанеровке крыла до 2 (вместо 4), с введением неразрезных панелей фанеры между передним и задним лонжеронами.</w:t>
      </w:r>
    </w:p>
    <w:p w14:paraId="451D756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Ввести на самолетах завода № 30 увеличение площади склейки обшивки с каркасом по нервюрам, а также металлическую окантовку законцовки крыла и продольные дуралевые накладки на последней, аналогично крыльям завода № 1.</w:t>
      </w:r>
    </w:p>
    <w:p w14:paraId="162CD10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Ввести на заводе № 30 распаривание и штампов</w:t>
      </w:r>
      <w:r w:rsidRPr="00D03F3E">
        <w:rPr>
          <w:rFonts w:ascii="Times New Roman" w:hAnsi="Times New Roman"/>
          <w:color w:val="000000" w:themeColor="text1"/>
          <w:sz w:val="16"/>
          <w:szCs w:val="16"/>
        </w:rPr>
        <w:softHyphen/>
        <w:t>ку фанеры верхней обшивки законцовки.</w:t>
      </w:r>
    </w:p>
    <w:p w14:paraId="505C85C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 Увеличить толщину щечек передних стыковых уз</w:t>
      </w:r>
      <w:r w:rsidRPr="00D03F3E">
        <w:rPr>
          <w:rFonts w:ascii="Times New Roman" w:hAnsi="Times New Roman"/>
          <w:color w:val="000000" w:themeColor="text1"/>
          <w:sz w:val="16"/>
          <w:szCs w:val="16"/>
        </w:rPr>
        <w:softHyphen/>
        <w:t>лов консолей и центроплана на 0,5 мм, диаметр болтов крепления стыковых узлов к полке лонжерона не менее, чем на 1 мм и толщину стенки лонжерона у стыкового узла на 0,5 мм на длине двух пролетов между нервюрами.</w:t>
      </w:r>
    </w:p>
    <w:p w14:paraId="0885545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 Устранить на самолете типовые дефекты, выявлен</w:t>
      </w:r>
      <w:r w:rsidRPr="00D03F3E">
        <w:rPr>
          <w:rFonts w:ascii="Times New Roman" w:hAnsi="Times New Roman"/>
          <w:color w:val="000000" w:themeColor="text1"/>
          <w:sz w:val="16"/>
          <w:szCs w:val="16"/>
        </w:rPr>
        <w:softHyphen/>
        <w:t>ные полетными испытаниями на прочность и перечисленные в.акте ЛИИ.</w:t>
      </w:r>
    </w:p>
    <w:p w14:paraId="7E01BC7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 Усилить ОТК завода № 30, так как его работа яв</w:t>
      </w:r>
      <w:r w:rsidRPr="00D03F3E">
        <w:rPr>
          <w:rFonts w:ascii="Times New Roman" w:hAnsi="Times New Roman"/>
          <w:color w:val="000000" w:themeColor="text1"/>
          <w:sz w:val="16"/>
          <w:szCs w:val="16"/>
        </w:rPr>
        <w:softHyphen/>
        <w:t>но неудовлетворительна.</w:t>
      </w:r>
    </w:p>
    <w:p w14:paraId="23A8DF4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Послать бригаду работников завода № 30 на за</w:t>
      </w:r>
      <w:r w:rsidRPr="00D03F3E">
        <w:rPr>
          <w:rFonts w:ascii="Times New Roman" w:hAnsi="Times New Roman"/>
          <w:color w:val="000000" w:themeColor="text1"/>
          <w:sz w:val="16"/>
          <w:szCs w:val="16"/>
        </w:rPr>
        <w:softHyphen/>
        <w:t>вод № 1 для изучения методов технологического изготов</w:t>
      </w:r>
      <w:r w:rsidRPr="00D03F3E">
        <w:rPr>
          <w:rFonts w:ascii="Times New Roman" w:hAnsi="Times New Roman"/>
          <w:color w:val="000000" w:themeColor="text1"/>
          <w:sz w:val="16"/>
          <w:szCs w:val="16"/>
        </w:rPr>
        <w:softHyphen/>
        <w:t>ления деревянных частей самолетов.</w:t>
      </w:r>
    </w:p>
    <w:p w14:paraId="208B695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В дальнейшем считать желательным сдвиг вперед центровки самолета на 3-4% для увеличения его устойчи</w:t>
      </w:r>
      <w:r w:rsidRPr="00D03F3E">
        <w:rPr>
          <w:rFonts w:ascii="Times New Roman" w:hAnsi="Times New Roman"/>
          <w:color w:val="000000" w:themeColor="text1"/>
          <w:sz w:val="16"/>
          <w:szCs w:val="16"/>
        </w:rPr>
        <w:softHyphen/>
        <w:t>вости и как следствие понижения вероятных перегрузок (1785,197).</w:t>
      </w:r>
    </w:p>
    <w:p w14:paraId="1F55C6D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Предварительное заключение</w:t>
      </w:r>
    </w:p>
    <w:p w14:paraId="38B9E67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 результатах статических испытаний крыла серийного самолета Ил-2, изготовления завода № 30</w:t>
      </w:r>
    </w:p>
    <w:p w14:paraId="4ECB648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Серийный самолет Ил-2 № 302263, изготовления завода № 30, перед статическими ясшааниями прошел полетные -испытания на прочность в ЛИИ. Было выполнено 26пикирований на скорости 400 км/час, с выходом из пикирования с перегрузками порядка 5; максимальная замеренная перегрузка - 5,46. Перед полетньми испытаниями путем выстукивания крыла были установлены места возможного напроклея обшивки с каркасом. После по</w:t>
      </w:r>
      <w:r w:rsidRPr="00D03F3E">
        <w:rPr>
          <w:rFonts w:ascii="Times New Roman" w:hAnsi="Times New Roman"/>
          <w:color w:val="000000" w:themeColor="text1"/>
          <w:sz w:val="16"/>
          <w:szCs w:val="16"/>
        </w:rPr>
        <w:softHyphen/>
        <w:t>летов новых мест возможного непроклея не обнаружено. В про</w:t>
      </w:r>
      <w:r w:rsidRPr="00D03F3E">
        <w:rPr>
          <w:rFonts w:ascii="Times New Roman" w:hAnsi="Times New Roman"/>
          <w:color w:val="000000" w:themeColor="text1"/>
          <w:sz w:val="16"/>
          <w:szCs w:val="16"/>
        </w:rPr>
        <w:softHyphen/>
        <w:t>цессе подготовки самолета к статическим испытаниям было об</w:t>
      </w:r>
      <w:r w:rsidRPr="00D03F3E">
        <w:rPr>
          <w:rFonts w:ascii="Times New Roman" w:hAnsi="Times New Roman"/>
          <w:color w:val="000000" w:themeColor="text1"/>
          <w:sz w:val="16"/>
          <w:szCs w:val="16"/>
        </w:rPr>
        <w:softHyphen/>
        <w:t>наружено отставание верхнего шпона фанеры на верхней поверх</w:t>
      </w:r>
      <w:r w:rsidRPr="00D03F3E">
        <w:rPr>
          <w:rFonts w:ascii="Times New Roman" w:hAnsi="Times New Roman"/>
          <w:color w:val="000000" w:themeColor="text1"/>
          <w:sz w:val="16"/>
          <w:szCs w:val="16"/>
        </w:rPr>
        <w:softHyphen/>
        <w:t>ности законцовки крыла между лонжеронами в зоне нервюр №№ 20-21.</w:t>
      </w:r>
    </w:p>
    <w:p w14:paraId="6BDD890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Программа испытаний и исходные данные</w:t>
      </w:r>
    </w:p>
    <w:p w14:paraId="2CDFC66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Испытанию подвергалось крыло в системе целого самолета на случай Ак по нормам прочности 1943 года с одновременной затрузкой носков без учета влияния числа Reи загрузкой верхней поверхности одной из эаконцовок.</w:t>
      </w:r>
    </w:p>
    <w:p w14:paraId="1FCA97D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Исходные данные:</w:t>
      </w:r>
    </w:p>
    <w:p w14:paraId="3A2EC3D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Полный, полетный вес - 6080 кг.</w:t>
      </w:r>
    </w:p>
    <w:p w14:paraId="2F1C725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Перегрузка случая А: = 7,5.</w:t>
      </w:r>
    </w:p>
    <w:p w14:paraId="715C306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нагрузке в 55% от расчетной произошел местный отрыв по усу склейки сжатой обшивки на правой консоли около заднего лонжерона в зоне нервюры № 12 и появилось выпучивание дуралевой накладки верхних поясов лонжеро</w:t>
      </w:r>
      <w:r w:rsidRPr="00D03F3E">
        <w:rPr>
          <w:rFonts w:ascii="Times New Roman" w:hAnsi="Times New Roman"/>
          <w:color w:val="000000" w:themeColor="text1"/>
          <w:sz w:val="16"/>
          <w:szCs w:val="16"/>
        </w:rPr>
        <w:softHyphen/>
        <w:t>нов, Фото № 1. При нагрузке в 60-70% от расчетной появилась поперечная трещина в полотне на носке крыла в месте стыковски дуралввой обшивки с фанерной.</w:t>
      </w:r>
    </w:p>
    <w:p w14:paraId="78B9B85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нагрузке в 100% от расчетной на левом полуразмахе между лонввронами в пределах нервюр №№ за 12. в 13 обраэовалась сильная волна по верхней повкрхности обшивки с просадкой вниз части набора. Образование волны и просадка набора сопровождались сильним треском. Одновременно на правом по</w:t>
      </w:r>
      <w:r w:rsidRPr="00D03F3E">
        <w:rPr>
          <w:rFonts w:ascii="Times New Roman" w:hAnsi="Times New Roman"/>
          <w:color w:val="000000" w:themeColor="text1"/>
          <w:sz w:val="16"/>
          <w:szCs w:val="16"/>
        </w:rPr>
        <w:softHyphen/>
        <w:t>луразмахе в зоне нервюры № 20 и в пределах носков крыла по всему размаху был слышен сильный треск. В сечение нервюры № 13 около переднего лондерона появшгось местное выпучива</w:t>
      </w:r>
      <w:r w:rsidRPr="00D03F3E">
        <w:rPr>
          <w:rFonts w:ascii="Times New Roman" w:hAnsi="Times New Roman"/>
          <w:color w:val="000000" w:themeColor="text1"/>
          <w:sz w:val="16"/>
          <w:szCs w:val="16"/>
        </w:rPr>
        <w:softHyphen/>
        <w:t>ние сжатой обшивки в результате происшедшеготрыва обшивки от каркаса.</w:t>
      </w:r>
    </w:p>
    <w:p w14:paraId="07E26C4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попытке нагрукения самолета-с выше 100% от расчетной нагрузки произошло разрушение крыла.</w:t>
      </w:r>
    </w:p>
    <w:p w14:paraId="1460A4F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Предполагавшиеся дальнейшие испытания консолей на случай «А» с догружением носков, учитывающим число Re не состоялись, вследствие больших разрушений обоих консолей.</w:t>
      </w:r>
    </w:p>
    <w:p w14:paraId="5AA4F13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осмотре крыла после статических испытанийобнару</w:t>
      </w:r>
      <w:r w:rsidRPr="00D03F3E">
        <w:rPr>
          <w:rFonts w:ascii="Times New Roman" w:hAnsi="Times New Roman"/>
          <w:color w:val="000000" w:themeColor="text1"/>
          <w:sz w:val="16"/>
          <w:szCs w:val="16"/>
        </w:rPr>
        <w:softHyphen/>
        <w:t>жены следующие разрушения в конструкции:</w:t>
      </w:r>
    </w:p>
    <w:p w14:paraId="04C6BD4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Разрыв нижнего стыкового узла переднего лонжерона правой консоли крыла к срез отдельных болтов, крепящих узел к поясу лонжерона (фото №2).</w:t>
      </w:r>
    </w:p>
    <w:p w14:paraId="5756F3C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Отрыв нижнего стыкового узла заднего лонжерона правой консоли крыла вследствие среза всех болтов и заклепок, крепящих узел к поясу лонжерона (фото № 3).</w:t>
      </w:r>
    </w:p>
    <w:p w14:paraId="3DD3D81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Отрыв стенки переднего лонжерона от стойки в сечении нервюры № 6.</w:t>
      </w:r>
    </w:p>
    <w:p w14:paraId="0316A5C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Отрыв растянутой обшивки от норвюры 16, /</w:t>
      </w:r>
    </w:p>
    <w:p w14:paraId="16E39E7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Разрыв растянутой обшивки вдоль хвостика нервюры № 20 (фото № 4).</w:t>
      </w:r>
    </w:p>
    <w:p w14:paraId="3541F6E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Срез обшивки (правой консоли) в местах крепления ее к жестким элементам крыла (вдоль лонжеронов и по хвостикам усиленных нервюр).Фото №№ 4, 5, 6.</w:t>
      </w:r>
    </w:p>
    <w:p w14:paraId="3EAA8A1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осмотре крыла после вскрытия обшивки обнаружено:</w:t>
      </w:r>
    </w:p>
    <w:p w14:paraId="2F812DD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Левая консоль имеет приклейку обшивки иеаду нервдрами № 10 и 14 с направлением волокон вдоль размаха крыла, в то время, как правая консоль в аналогичных местах имеет направление волокон поперек размаха крыла.</w:t>
      </w:r>
    </w:p>
    <w:p w14:paraId="09C93B0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Верхняя обшивка в обоих консолях смещений при запрессовке по трафарету не имеет.</w:t>
      </w:r>
    </w:p>
    <w:p w14:paraId="07EA107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Качество приклейки обшивка к нервюрам в правой и левой консолях вполне удовлетворительное.</w:t>
      </w:r>
    </w:p>
    <w:p w14:paraId="3985D94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правом крыле частично имеет место неудовлетворительная склейка обшивки со стрингерами: толстая клеевая фуга, вследствие недостаточной подгонки в слабого прижатия.</w:t>
      </w:r>
    </w:p>
    <w:p w14:paraId="5EEC656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По левому крылу качество приклейки обшивки к стрингерам вполне удовлетворительное.</w:t>
      </w:r>
    </w:p>
    <w:p w14:paraId="2DFB3BF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Приклейка лобового стрингера и соседних с ним стрингеров к обшивке, а такие склейка обшивка с носками нервюр совер</w:t>
      </w:r>
      <w:r w:rsidRPr="00D03F3E">
        <w:rPr>
          <w:rFonts w:ascii="Times New Roman" w:hAnsi="Times New Roman"/>
          <w:color w:val="000000" w:themeColor="text1"/>
          <w:sz w:val="16"/>
          <w:szCs w:val="16"/>
        </w:rPr>
        <w:softHyphen/>
        <w:t>шенно неудовлетворительны вследствие несовпадения контуров.</w:t>
      </w:r>
    </w:p>
    <w:p w14:paraId="1A38763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Качество клеевого материала (казеиновый клей) сомнений не вызывает.</w:t>
      </w:r>
    </w:p>
    <w:p w14:paraId="031C86C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Между 12 н 13 нервюрами правой консоли имеется разрушение всех стрингеров, а в левой консоли - 2-х стрингеров, вызванное появлеаием волн в обшивке. Фото № 7.</w:t>
      </w:r>
    </w:p>
    <w:p w14:paraId="786C70B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На правой консоли разрушен верхний пояс нервюры №12. Фото № 7.</w:t>
      </w:r>
    </w:p>
    <w:p w14:paraId="732CFB3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На наружной дуралевой накладке поясов лонжеронов не были поставлевн заклепки в местах установки нервюр. Фото № 6 (1785,197).</w:t>
      </w:r>
    </w:p>
    <w:p w14:paraId="1FAD6823" w14:textId="77777777" w:rsidR="00531570" w:rsidRPr="00D03F3E" w:rsidRDefault="00531570" w:rsidP="00D03F3E">
      <w:pPr>
        <w:pStyle w:val="Iauiue"/>
        <w:jc w:val="both"/>
        <w:rPr>
          <w:color w:val="000000" w:themeColor="text1"/>
          <w:sz w:val="16"/>
          <w:szCs w:val="16"/>
        </w:rPr>
      </w:pPr>
    </w:p>
    <w:p w14:paraId="5A80B864" w14:textId="77777777" w:rsidR="000D1833" w:rsidRPr="00D03F3E" w:rsidRDefault="000D183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3 июня 1943 г. начальник ЦАГИ направил в НКАП заключение о прочности самолета Ил-2 в двухместном варианте и два предварительных заключения по статическим испытаниям самолетов Ил-2 про изводства заводов № 30 и № 1 (19727).</w:t>
      </w:r>
    </w:p>
    <w:p w14:paraId="172EBE94" w14:textId="77777777" w:rsidR="000D1833" w:rsidRPr="00D03F3E" w:rsidRDefault="000D1833" w:rsidP="00D03F3E">
      <w:pPr>
        <w:spacing w:after="0" w:line="240" w:lineRule="auto"/>
        <w:jc w:val="both"/>
        <w:rPr>
          <w:rFonts w:ascii="Times New Roman" w:hAnsi="Times New Roman"/>
          <w:color w:val="000000" w:themeColor="text1"/>
          <w:sz w:val="16"/>
          <w:szCs w:val="16"/>
        </w:rPr>
      </w:pPr>
    </w:p>
    <w:p w14:paraId="7751FCF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июня 1943 Нач. 12 лаборатории ВИАМ Юлицкий писал А.И.Ш. справку для НКАП А.И.Ш. с заключением о причинах низкого качества приклейки обшивки крыльев Як-7 и Як-9 (1783).</w:t>
      </w:r>
    </w:p>
    <w:p w14:paraId="1F62A1B1" w14:textId="77777777" w:rsidR="00531570" w:rsidRPr="00D03F3E" w:rsidRDefault="00531570" w:rsidP="00D03F3E">
      <w:pPr>
        <w:pStyle w:val="Iauiue"/>
        <w:jc w:val="both"/>
        <w:rPr>
          <w:color w:val="000000" w:themeColor="text1"/>
          <w:sz w:val="16"/>
          <w:szCs w:val="16"/>
        </w:rPr>
      </w:pPr>
    </w:p>
    <w:p w14:paraId="25E1D6D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июня 1943 А.С.Я. и П.В.Дементьев докладывали И.В.С. почему выходят из строя машины из-за отслаивания обшивки. Решили провести срочный ремонт на фронтах (173,227) - Дементьев пообещал за две недели и когда А.С.Я спросил как дементьев ответил, что лучше пусть расстреляют за две недели, а не сегодня же (4830, 31).</w:t>
      </w:r>
    </w:p>
    <w:p w14:paraId="63FC0A9D" w14:textId="77777777" w:rsidR="00531570" w:rsidRPr="00D03F3E" w:rsidRDefault="00531570" w:rsidP="00D03F3E">
      <w:pPr>
        <w:pStyle w:val="Iauiue"/>
        <w:jc w:val="both"/>
        <w:rPr>
          <w:color w:val="000000" w:themeColor="text1"/>
          <w:sz w:val="16"/>
          <w:szCs w:val="16"/>
        </w:rPr>
      </w:pPr>
    </w:p>
    <w:p w14:paraId="6A2E808F" w14:textId="77777777" w:rsidR="000B4AB2" w:rsidRPr="00D03F3E" w:rsidRDefault="000B4AB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июня 1943 в Кремль для дачи объяснения по поводу отслаивающейся обшивки направились заместители НКАП Яковлев и П. В. Дементьев. Сталин серьёзно воспринял эту авиатехническую «эпидемию», грозившую в преддверии решающей летней кампании существенно подорвать боеспособность войск. Выслушав оправдания руководителей отрасли, сославшихся на дожди (тогда действительно обильные), которые-де «размочили» самолёты, стоявшие на аэродромах без тентов и брезента, а также их заверения, «что всё будет исправлено в течение двух недель», он предостерегающе произнёс: «Смотрите!» (21417).</w:t>
      </w:r>
    </w:p>
    <w:p w14:paraId="1506CB63" w14:textId="77777777" w:rsidR="000B4AB2" w:rsidRPr="00D03F3E" w:rsidRDefault="000B4AB2" w:rsidP="00D03F3E">
      <w:pPr>
        <w:spacing w:after="0" w:line="240" w:lineRule="auto"/>
        <w:jc w:val="both"/>
        <w:rPr>
          <w:rFonts w:ascii="Times New Roman" w:hAnsi="Times New Roman"/>
          <w:color w:val="0070C0"/>
          <w:sz w:val="16"/>
          <w:szCs w:val="16"/>
        </w:rPr>
      </w:pPr>
    </w:p>
    <w:p w14:paraId="5730035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июня 1943 Дементьев писал письмо N Н-35/2336 директору завода 30 Шапиро и Нач. 10 ГУ Тарасевичу:</w:t>
      </w:r>
    </w:p>
    <w:p w14:paraId="67FC5C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"Предлагаю с 15 июля с.г. выпускать самолеты Ил-2, оборудованные под подвесные бензобаки в количестве 50% всех выпускаемых самолетов.</w:t>
      </w:r>
    </w:p>
    <w:p w14:paraId="576CAA1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1 августа выпускать все самолеты Ил-2, оборудованные под подвесные бензобаки." (1767,156).</w:t>
      </w:r>
    </w:p>
    <w:p w14:paraId="7EC62B30" w14:textId="77777777" w:rsidR="00531570" w:rsidRPr="00D03F3E" w:rsidRDefault="00531570" w:rsidP="00D03F3E">
      <w:pPr>
        <w:pStyle w:val="Iauiue"/>
        <w:jc w:val="both"/>
        <w:rPr>
          <w:color w:val="000000" w:themeColor="text1"/>
          <w:sz w:val="16"/>
          <w:szCs w:val="16"/>
        </w:rPr>
      </w:pPr>
    </w:p>
    <w:p w14:paraId="1373D3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июня 1943 А.И.Шахуриным был подписан приказ по НКАП № 386 о немедленном создании эталонов самолетов с целью отработать на них внешнюю поверхность и другие элементы с тем, чтобы достичь максимальной скорости</w:t>
      </w:r>
      <w:r w:rsidRPr="00D03F3E">
        <w:rPr>
          <w:iCs/>
          <w:color w:val="000000" w:themeColor="text1"/>
          <w:sz w:val="16"/>
          <w:szCs w:val="16"/>
        </w:rPr>
        <w:t xml:space="preserve"> у земли 410-419 км/ч</w:t>
      </w:r>
      <w:r w:rsidRPr="00D03F3E">
        <w:rPr>
          <w:color w:val="000000" w:themeColor="text1"/>
          <w:sz w:val="16"/>
          <w:szCs w:val="16"/>
        </w:rPr>
        <w:t>. Однако в условиях массового серий</w:t>
      </w:r>
      <w:r w:rsidRPr="00D03F3E">
        <w:rPr>
          <w:color w:val="000000" w:themeColor="text1"/>
          <w:sz w:val="16"/>
          <w:szCs w:val="16"/>
        </w:rPr>
        <w:softHyphen/>
        <w:t>ного производства Ил-2 поставленную Наркомом задачу авиазаводы так и не смогли решить - максимальные скоро</w:t>
      </w:r>
      <w:r w:rsidRPr="00D03F3E">
        <w:rPr>
          <w:color w:val="000000" w:themeColor="text1"/>
          <w:sz w:val="16"/>
          <w:szCs w:val="16"/>
        </w:rPr>
        <w:softHyphen/>
        <w:t>сти серийных "Илов" удалось поднять лишь до 391 км/ч у земли и 405 км/ч на высоте (6467).</w:t>
      </w:r>
    </w:p>
    <w:p w14:paraId="5D90AFE4" w14:textId="77777777" w:rsidR="00531570" w:rsidRPr="00D03F3E" w:rsidRDefault="00531570" w:rsidP="00D03F3E">
      <w:pPr>
        <w:pStyle w:val="Iauiue"/>
        <w:jc w:val="both"/>
        <w:rPr>
          <w:color w:val="000000" w:themeColor="text1"/>
          <w:sz w:val="16"/>
          <w:szCs w:val="16"/>
        </w:rPr>
      </w:pPr>
    </w:p>
    <w:p w14:paraId="12B8B0E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июня 1943 А.П.Якимов выполнил первый полет на И-220А МиГ (563,24).</w:t>
      </w:r>
    </w:p>
    <w:p w14:paraId="5268013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другим данным Якимов летал в июле (1084,41).</w:t>
      </w:r>
    </w:p>
    <w:p w14:paraId="7B034649" w14:textId="77777777" w:rsidR="00531570" w:rsidRPr="00D03F3E" w:rsidRDefault="00531570" w:rsidP="00D03F3E">
      <w:pPr>
        <w:pStyle w:val="Iauiue"/>
        <w:jc w:val="both"/>
        <w:rPr>
          <w:color w:val="000000" w:themeColor="text1"/>
          <w:sz w:val="16"/>
          <w:szCs w:val="16"/>
        </w:rPr>
      </w:pPr>
    </w:p>
    <w:p w14:paraId="47AC5E4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июня 1943 на 21 заводе была авария Ла-5 N 37212237 с М-82 6503134 (2129).</w:t>
      </w:r>
    </w:p>
    <w:p w14:paraId="3AA971BB" w14:textId="77777777" w:rsidR="00531570" w:rsidRPr="00D03F3E" w:rsidRDefault="00531570" w:rsidP="00D03F3E">
      <w:pPr>
        <w:pStyle w:val="Iauiue"/>
        <w:jc w:val="both"/>
        <w:rPr>
          <w:color w:val="000000" w:themeColor="text1"/>
          <w:sz w:val="16"/>
          <w:szCs w:val="16"/>
        </w:rPr>
      </w:pPr>
    </w:p>
    <w:p w14:paraId="117CE5A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июня 1943 на заводе 292 был составлен акт комиссии по получению объективных данных Як-1. Испытывался самолет в том виде, как он прибыл из 127 иап без каких либо улучшений и изменений. Макс. скорость была 486-488 км/час. Акт был утвержден 4 июня 1943 (2519,151).</w:t>
      </w:r>
    </w:p>
    <w:p w14:paraId="7F8325E2" w14:textId="77777777" w:rsidR="00531570" w:rsidRPr="00D03F3E" w:rsidRDefault="00531570" w:rsidP="00D03F3E">
      <w:pPr>
        <w:pStyle w:val="Iauiue"/>
        <w:jc w:val="both"/>
        <w:rPr>
          <w:color w:val="000000" w:themeColor="text1"/>
          <w:sz w:val="16"/>
          <w:szCs w:val="16"/>
        </w:rPr>
      </w:pPr>
    </w:p>
    <w:p w14:paraId="655156B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3 июня 1943 г. по приказу НКАП № 336с было образовано единое ОКБ-315-33 НКАП на базе ОКБ завода № 33 и ОКБ завода № 315. Гл. конструктором ОКБ и обоих заводов назначен Ф.А. Коротков. </w:t>
      </w:r>
    </w:p>
    <w:p w14:paraId="7C78C85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помощи серийному производству на заводе № 33 организован филиал ОКБ-315-33 (в 1957 г. филиал преобразован в самостоятельное ОКБ-33 МАП).</w:t>
      </w:r>
    </w:p>
    <w:p w14:paraId="40AB1A0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280с от 6.07.1945 г. филиал ОКБ завода № 55 при заводе № 315 по агрегатам топливопитания дизелей в полном составе передан в состав ОКБ-315-33 как отдел.</w:t>
      </w:r>
    </w:p>
    <w:p w14:paraId="7F12902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438с от 8.07.1946 г. в составе ОКБ-315-33 образован КО по аппаратуре топливопитания реактивных двигателей (начальник- Н.И. Макаров).</w:t>
      </w:r>
    </w:p>
    <w:p w14:paraId="0630190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1945 г. создан первый отечественный карбюратор с непосредственным впрыском ВК-4 для АШ-73ТК. С 1946 г. началась разработка аппаратуры топливопитания для ТРД и ПВРД. В начале 1950-х г. начались работы по созданию командно-топливных агрегатов (КТА) для ТВД. </w:t>
      </w:r>
    </w:p>
    <w:p w14:paraId="7E3E0A9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1957 г. ОКБ-315-33 переименовано в ОКБ-315. В 1963 г. на базе ОКБ-315 вновь создается объединенное ОКБ-315-33 с Пермским филиалом на заводе № 33. С 1967 г. ОКБ-315-33 переименовано в МАКБ «Темп». С 1992 г. получило название НПП «Электронно-гидравлической автоматики («ЭГА»). В 2002 г. входит в ММПП «Салют». По Указу Президента РФ № 1009 от 4.08.2004 г. вошло в число стратегических оборонных предприятий.</w:t>
      </w:r>
    </w:p>
    <w:p w14:paraId="2D2A5C1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1965 г.- разработка многофункциональной системы автоматического регулирования (САР) для Ту-144, в которую, помимо регулирования основного и форсажного контуров, волши агрегаты регулирования компрессора и соплового аппарата. Принимало участие в программе создания ОК «Буран».</w:t>
      </w:r>
    </w:p>
    <w:p w14:paraId="4D1CA32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(2002 г.): создание электронных гидравлических, гидромеханических систем питания и регулирования для авиационных и наземных ГТД; плунжерные, центробежные и шестеренные насосы.</w:t>
      </w:r>
    </w:p>
    <w:p w14:paraId="5EAC924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(2002 г.)- 900 чел.</w:t>
      </w:r>
    </w:p>
    <w:p w14:paraId="1D743F4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Гл. конструктор (12.1942 г.-)- Н.Г. Гладченко, А.А. Артемьев, (06.1943-84 г.)- Ф.А. Коротков (до этого- гл. конструктор завода № 33), (1984-2004 г.-)- В.И. Зазулов. </w:t>
      </w:r>
    </w:p>
    <w:p w14:paraId="0FAB607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Ответственный руководитель (1963-84 г.)- Ф.А. Коротков. Гендиректор (1993-2004 г.-)- В.И. Зазулов.</w:t>
      </w:r>
    </w:p>
    <w:p w14:paraId="3CA012B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1-й зам. гл. конструктора (2002 г.)- А.Л. Аршавский. Зам. гл. конструктора (06.1943 г.-)- Н.Г. Гладченко, (06.1943 г.-)- А.А. Артемьев; по дизельной аппаратуре (07.1945 г.-)- Н.И. Макаров; по аппаратуре ТРД (07.1946 г.-)- Н.И. Макаров; (1974-84 г.)- В.И. Зазулов.49 </w:t>
      </w:r>
    </w:p>
    <w:p w14:paraId="63F9CDE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гендиректора (2002 г.)- С.Н. Ломовицкий.</w:t>
      </w:r>
    </w:p>
    <w:p w14:paraId="015C898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Создано: карбюраторы К-35, К-87, К-105, К-38, АК-88, АК-63; АДТ-10 для РД-10, АДТ-20 для РД-20; регулятор оборотов ТНА и регулятор подачи топлива для РД-012, часовой механизм отсечки топлива для РД-036; КТА для НК-12; часовое устройство для РСЗО "Вихрь" (1958), насос-регулятор НР-22 (1966); САР для Ту-144; САР 59А для РД-33, САР для АЛ-31Ф; регулятор подачи водорода в ГПВРД (программа "Орел") (1990-е).</w:t>
      </w:r>
    </w:p>
    <w:p w14:paraId="5614065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944D1DC"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июня</w:t>
      </w:r>
      <w:r w:rsidRPr="00D03F3E">
        <w:rPr>
          <w:rFonts w:ascii="Times New Roman" w:hAnsi="Times New Roman"/>
          <w:color w:val="000000" w:themeColor="text1"/>
          <w:sz w:val="16"/>
          <w:szCs w:val="16"/>
        </w:rPr>
        <w:t xml:space="preserve"> в 1943 году образованo ОАО "Стар"- филиал московского ОКБ № 315 в городе Пермь, ныне - ОАО «Системы топливопитания и автоматического регулирования». Преобразовано в 1957 году вопытно-конструкторское бюро для разработки систем автоматического регулирования для ГТД самолетов и вертолетов. В первые годы после основания предприятие занималось модернизацией карбюраторов для двигателей боевых самолетов. В 1970 -е годы был осуществлен революционный шаг и компания приступила к разработке электронной тематики. В 1980-е годы освоена гибридная технология микроэлектроники . Были осуществлены масштабные инвестиции , в частности запущен уникальный корпус электроники стоимостью порядка 9 млн. долларов. По уровню научно-технического потенциала, квалификации персонала компания занимала первое-второе место среди предприятий западноуральского куста авиа-космического двигателестроения и оборонной промышленности. По утверждению руководителей АО им удалось сохранить костяк персонала. В настоящее время производство гидравлических и электронно-гидравлических систем управления газотурбинными двигателями и их ремонтное обслуживание, выполнение научно-исследовательских и опытно-конструкторских работ , конструкторское сопровождение серийных изделий (14911).</w:t>
      </w:r>
    </w:p>
    <w:p w14:paraId="4033D371" w14:textId="77777777" w:rsidR="0012603D" w:rsidRPr="00D03F3E" w:rsidRDefault="0012603D" w:rsidP="00D03F3E">
      <w:pPr>
        <w:spacing w:after="0" w:line="240" w:lineRule="auto"/>
        <w:jc w:val="both"/>
        <w:rPr>
          <w:rFonts w:ascii="Times New Roman" w:hAnsi="Times New Roman"/>
          <w:color w:val="000000" w:themeColor="text1"/>
          <w:sz w:val="16"/>
          <w:szCs w:val="16"/>
        </w:rPr>
      </w:pPr>
    </w:p>
    <w:p w14:paraId="1F436CD2"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июня</w:t>
      </w:r>
      <w:r w:rsidRPr="00D03F3E">
        <w:rPr>
          <w:rFonts w:ascii="Times New Roman" w:hAnsi="Times New Roman"/>
          <w:color w:val="000000" w:themeColor="text1"/>
          <w:sz w:val="16"/>
          <w:szCs w:val="16"/>
        </w:rPr>
        <w:t xml:space="preserve"> в 1943 году в Перми основан филиал Московского опытно-конструкторского бюро ОКБ-315 (Пермское агрегатное КБ), занимающееся доводкой и совершенствованием серийных авиационных карбюраторов (ныне ОАО «Стар»). Разрабатывает и производит системы управления газотурбинных авиационных двигателей и системы топливопитания для газоперекачивающих агрегатов и передвижных электростанций. Системы используются на летательных аппаратах более чем 50 типов (14911).</w:t>
      </w:r>
    </w:p>
    <w:p w14:paraId="78B274CD" w14:textId="77777777" w:rsidR="0012603D" w:rsidRPr="00D03F3E" w:rsidRDefault="0012603D" w:rsidP="00D03F3E">
      <w:pPr>
        <w:spacing w:after="0" w:line="240" w:lineRule="auto"/>
        <w:jc w:val="both"/>
        <w:rPr>
          <w:rFonts w:ascii="Times New Roman" w:hAnsi="Times New Roman"/>
          <w:color w:val="000000" w:themeColor="text1"/>
          <w:sz w:val="16"/>
          <w:szCs w:val="16"/>
        </w:rPr>
      </w:pPr>
    </w:p>
    <w:p w14:paraId="7137C55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июня 1943 вышло Постановление ГКО № 3491 О производстве авиационной фанеры.РГАНИР, Фонд ГКО, д. 122, лл. 1-4, 5-42 (11012).</w:t>
      </w:r>
    </w:p>
    <w:p w14:paraId="039BB2B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724E5CA"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2D9023CA" w14:textId="77777777" w:rsidR="00531570" w:rsidRPr="00D03F3E" w:rsidRDefault="00531570" w:rsidP="00D03F3E">
      <w:pPr>
        <w:pStyle w:val="Iauiue"/>
        <w:jc w:val="both"/>
        <w:rPr>
          <w:iCs/>
          <w:color w:val="000000" w:themeColor="text1"/>
          <w:sz w:val="16"/>
          <w:szCs w:val="16"/>
        </w:rPr>
      </w:pPr>
    </w:p>
    <w:p w14:paraId="0DB9D91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июня 1943 вышло Распоряжение ГКО № 3492. О поставках строительных материалов НКУП наравне со стройками черной металлургии.РГАНИР, Фонд ГКО, д. 122, лл. 43 (11012).</w:t>
      </w:r>
    </w:p>
    <w:p w14:paraId="2DC9557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FE08C7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июня 1943 вышло Распоряжение ГКО № 3493. О выделении здания для Управления Азчерэнерго в Ростове-на-Дону.РГАНИР, Фонд ГКО, д. 122, лл. 44 (11012).</w:t>
      </w:r>
    </w:p>
    <w:p w14:paraId="0479DA6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1BD1A41"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5EA51238" w14:textId="77777777" w:rsidR="00531570" w:rsidRPr="00D03F3E" w:rsidRDefault="00531570" w:rsidP="00D03F3E">
      <w:pPr>
        <w:pStyle w:val="Iauiue"/>
        <w:jc w:val="both"/>
        <w:rPr>
          <w:iCs/>
          <w:color w:val="000000" w:themeColor="text1"/>
          <w:sz w:val="16"/>
          <w:szCs w:val="16"/>
        </w:rPr>
      </w:pPr>
    </w:p>
    <w:p w14:paraId="7DB8C9AE"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июня</w:t>
      </w:r>
      <w:r w:rsidRPr="00D03F3E">
        <w:rPr>
          <w:rFonts w:ascii="Times New Roman" w:hAnsi="Times New Roman"/>
          <w:color w:val="000000" w:themeColor="text1"/>
          <w:sz w:val="16"/>
          <w:szCs w:val="16"/>
        </w:rPr>
        <w:t xml:space="preserve"> в 1943 году утреннее сообщение Совинформбюро:</w:t>
      </w:r>
    </w:p>
    <w:p w14:paraId="351E0229"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3 июня на фронте ничего существенного не произошло.</w:t>
      </w:r>
    </w:p>
    <w:p w14:paraId="5B45B2BD"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На Кубани, в районе северо-восточнее Новороссийска, наша авиация отражала налёты самолётов противника. B течение вчерашнего дня в воздушных боях и огнём зенитной артиллерии на этом участке фронта сбито 37 немецких самолётов.</w:t>
      </w:r>
    </w:p>
    <w:p w14:paraId="1BE6E051"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артиллеристы Н-ской части разрушили немецкий дзот, 4 блиндажа и уничтожили 2 орудия противника. Снайперы подразделения, где командиром старший лейтенант т. Бурховцев, за четыре дня истребили 39 немецких солдат и офицеров. Наши лётчики сбили аэростат воздушного наблюдения противника.</w:t>
      </w:r>
    </w:p>
    <w:p w14:paraId="03384D3C"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Несколько дней назад на одном участке Калининского фронта противник значительными силами пехоты атаковал и несколько потеснил наши подразделения. Перегруппировав свои силы, бойцы Н-ской части в упорных двухдневных боях вновь отбросили немцев и полностью восстановили положение. Все дальнейшие атаки гитлеровцев отбиты с большими для них потерями. В результате этих боёв уничтожено до 2.000 солдат и офицеров противника.</w:t>
      </w:r>
    </w:p>
    <w:p w14:paraId="21F7A70E"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наши артиллеристы уничтожили самоходное орудие, 6 автомашин, разрушили блиндаж и 2 вражеских дзота. Разведывательная группа Н-ской части пробралась в расположение немцев и истребила 13 солдат противника. Захватив пленных, разведчики вернулись в свою часть.</w:t>
      </w:r>
    </w:p>
    <w:p w14:paraId="34D076AA"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наши подразделения после сильного огневого налёта на позиции противника атаковали немцев и выбили их из трёх населённых пунктов. Уничтоженодо 200 гитлеровцев. Взяты пленные. Подтянув подкрепление, противник попытался вернуть эти пункты, но был отброшен.</w:t>
      </w:r>
    </w:p>
    <w:p w14:paraId="3C65398A"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участке Ленинградского фронта группа снайперов, возглавляемаялейтенантом т. Бондаренко, в течение 17 суток находилась в засаде. За это время снайперы уничтожили 287 немецких солдат и офицеров. Красноармейцы тт. Белов и Евпалов уничтожили по 22 немца, сержант т. Кузько — 17, старший сержант т. Бутенко — 16, снайпер т. Новикова истребила 14 гитлеровцев.</w:t>
      </w:r>
    </w:p>
    <w:p w14:paraId="125D3E8C"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Тарнопольской области, заминировал железнодорожный путь. На мины наскочил и взорвался железнодорожный эшелон с войсками противника. Партизанская разведка установила, что в результате крушения разбиты паровоз и 20 вагонов. Под обломками вагонов погибло много немецких солдат и офицеров.</w:t>
      </w:r>
    </w:p>
    <w:p w14:paraId="1E354B6A"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учинили зверскую расправу над мирным населением города Олевска, Житомирской области. В мае месяце гитлеровцы вызвали в комендатуру несколько сот жителей и предложили им выехать в Германию. Советские граждане наотрез отказались ехать на фашистскую каторгу и не явились в указанный срок на сборный пункт. Немецкие людоеды устроили облаву, схватили 70 жителей и после долгих издевательств расстреляли их.</w:t>
      </w:r>
    </w:p>
    <w:p w14:paraId="7D9AF114"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ведут ожесточённые бои против немецких и итальянских оккупантов. Зa два дня патриоты истребили у города Фоча более 300 немецких солдат и офицеров. Партизанами захвачены большие трофеи. B Словении партизаны пустили под откос итальянский воинский эшелон. У населённых пунктов Требне и Мокронога патриоты истребили и ранили 45 итальянцев, восстанавливавших полотно железной дороги.» (14911).</w:t>
      </w:r>
    </w:p>
    <w:p w14:paraId="3C1F88B9" w14:textId="77777777" w:rsidR="0012603D" w:rsidRPr="00D03F3E" w:rsidRDefault="0012603D" w:rsidP="00D03F3E">
      <w:pPr>
        <w:spacing w:after="0" w:line="240" w:lineRule="auto"/>
        <w:jc w:val="both"/>
        <w:rPr>
          <w:rFonts w:ascii="Times New Roman" w:hAnsi="Times New Roman"/>
          <w:color w:val="000000" w:themeColor="text1"/>
          <w:sz w:val="16"/>
          <w:szCs w:val="16"/>
        </w:rPr>
      </w:pPr>
    </w:p>
    <w:p w14:paraId="20CCEFCF"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июня</w:t>
      </w:r>
      <w:r w:rsidRPr="00D03F3E">
        <w:rPr>
          <w:rFonts w:ascii="Times New Roman" w:hAnsi="Times New Roman"/>
          <w:color w:val="000000" w:themeColor="text1"/>
          <w:sz w:val="16"/>
          <w:szCs w:val="16"/>
        </w:rPr>
        <w:t xml:space="preserve"> в 1943 году вечернее сообщение Совинформбюро:</w:t>
      </w:r>
    </w:p>
    <w:p w14:paraId="7118A06D"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3 июня на Кубани, северо-восточнее Новороссийска, продолжались бои. На других участках фронта существенных изменений не произошло.</w:t>
      </w:r>
    </w:p>
    <w:p w14:paraId="58CF79B2"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кораблями в Чёрном море потоплены подводная лодка и танкер противника.</w:t>
      </w:r>
    </w:p>
    <w:p w14:paraId="2A7C847F"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Баренцевом море нашими кораблями и авиацией потоплены транспорт, тральщик и два сторожевых катера противника.</w:t>
      </w:r>
    </w:p>
    <w:p w14:paraId="05F3C605"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июня частями нашей авиации на различных участках фронта уничтожено или повреждено не менее 6 немецких танков, свыше 50 автомашин с войсками и грузами, взорван ряд складов боеприпасов и горючего, подавлен огонь 6 артиллерийских батарей, в Финском заливе потоплены транспорт и буксир противника.</w:t>
      </w:r>
    </w:p>
    <w:p w14:paraId="74006509"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обстреливали обнаруженные огневые точки и скопления живой силы противника. Истреблено до роты немецких солдат и офицеров, уничтожено 2 орудия, 14 пулемётов, разрушено 6 наблюдательных пунктов и 3 блиндажа противника. Отряд разведчиков под командованием лейтенанта т. Киреева атаковал вражеский опорный пункт. Советские бойцы уничтожили до 100 гитлеровцев и, захватив несколько пулемётов, организованно отошли в расположение своей части.</w:t>
      </w:r>
    </w:p>
    <w:p w14:paraId="4E310573"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участке Калининского фронта наши подразделения атаковали сильно укреплённые позиции противника. Наши бойцы уничтожили 18 дзотов, 9 блиндажей, 13 пулемётов, 3 миномёта, склад боеприпасов и вещевой склад. В этом бою немцы потеряли убитыми и ранеными до 200 солдат и офицеров. Захвачены трофеи и пленные.</w:t>
      </w:r>
    </w:p>
    <w:p w14:paraId="49AAFE4B"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районе Лисичанска немецкий разведывательный отряд пытался на лодках переправиться на левый берег реки Северный Донец. Когда лодки достигли середины реки, наши бойцы открыли ружейно-пулемётный огонь и истребили всех гитлеровцев.</w:t>
      </w:r>
    </w:p>
    <w:p w14:paraId="3FEA6434"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части уничтожили 2 артиллерийские батареи, разрушили 3 блиндажа, рассеяли и частью истребили до батальона пехоты противника. Н-ское артиллерийское подразделение совершило огневой налёт на обоз противника. Разбито 20 повозок с грузами. Снайпер узбек Усман Халиков в маемесяце истребил 12 немцев.</w:t>
      </w:r>
    </w:p>
    <w:p w14:paraId="1E12FA61"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Карельском фронте бойцы части, где командиром тов. Сологуб, после короткого артиллерийского налёта атаковали белофиннов, оборонявших одну высоту. Противник, застигнутый врасплох, не оказал сопротивления. Подтянув силы и пытаясь вернуть потерянные позиции, белофинны предприняли одну за другой одиннадцать контратак. Все контратаки противника отбиты с большими для него потерями.</w:t>
      </w:r>
    </w:p>
    <w:p w14:paraId="591C2CC2"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Украины, совершил смелый налёт на железнодорожную станцию. Партизаны перебили охрану, взорвали водокачку, 5 стрелок и недавно восстановленный гитлеровцами железнодорожный мост. Подрывники партизанского отряда «За победу» за две недели пустили под откос 6 немецких воинских эшелонов. Разбито 6 паровозов, 50 вагонов с боеприпасами, вооружением, продовольствием и 4 цистерны с бензином.</w:t>
      </w:r>
    </w:p>
    <w:p w14:paraId="28EE004B"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Датские патриоты взорвали в Оргусе две немецкие авторемонтные мастерские. Близ Копенгагена потоплены две немецкие баржи с военным грузом. В районе Оденсе патриоты подожгли склады противника. Немецко-фашистским оккупантам причинён значительный ущерб.» (14911).</w:t>
      </w:r>
    </w:p>
    <w:p w14:paraId="4D8E13B6" w14:textId="77777777" w:rsidR="0012603D" w:rsidRPr="00D03F3E" w:rsidRDefault="0012603D" w:rsidP="00D03F3E">
      <w:pPr>
        <w:spacing w:after="0" w:line="240" w:lineRule="auto"/>
        <w:jc w:val="both"/>
        <w:rPr>
          <w:rFonts w:ascii="Times New Roman" w:hAnsi="Times New Roman"/>
          <w:color w:val="000000" w:themeColor="text1"/>
          <w:sz w:val="16"/>
          <w:szCs w:val="16"/>
        </w:rPr>
      </w:pPr>
    </w:p>
    <w:p w14:paraId="5E971E7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на 3 июня 1943 вылетело два Ил-4 1-го ГМТАП, но им не удалось обнаружить целей (9965).</w:t>
      </w:r>
    </w:p>
    <w:p w14:paraId="66794E1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6B4C5E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июня 1943 дважды таранил разведчик в районе Малоярославца командир звена 562-го ИАП ПВО мл. л-т Родионов Михаил Александрович, в конечном итоге уничтожив его на малой высоте. К сожалению, Родионов погиб при посадке на поврежденном самолете. Посмертно был удостоен звания Героя Советского Союза. Немцы зафиксировали невозвращение из вылета в район Киров-Калуга Ju 88D-5 (w/n 1764, борт 6M+LM) из дальнеразведы-вательной эскадрильи 4.(F)/11 (10206).</w:t>
      </w:r>
    </w:p>
    <w:p w14:paraId="7019260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FD5B99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июня 1943 г. вышел ПРИКАЗ КОМАНДУЮЩЕГО БТ и МВ КА О ВЫДАЧЕ ПАСПОРТОВ И НОМЕРНЫХ ЗНАКОВ НА МОТОЦИКЛЫ КРАСНОЙ АРМИИ №94</w:t>
      </w:r>
    </w:p>
    <w:p w14:paraId="153D628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установления единого документа учета и упорядочения системы выдачи номерных зна</w:t>
      </w:r>
      <w:r w:rsidRPr="00D03F3E">
        <w:rPr>
          <w:rFonts w:ascii="Times New Roman" w:hAnsi="Times New Roman"/>
          <w:color w:val="000000" w:themeColor="text1"/>
          <w:sz w:val="16"/>
          <w:szCs w:val="16"/>
        </w:rPr>
        <w:softHyphen/>
        <w:t>ков на мотоциклы Красной Армии ПРИКАЗЫВАЮ:</w:t>
      </w:r>
    </w:p>
    <w:p w14:paraId="6EF9568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 период с 15 по 25 июня 1943 года произвести выдачу паспортов и номерных знаков на штатные мотоциклы во всех, без исключения, войсковых частях, соединениях, учреждениях и заведениях.</w:t>
      </w:r>
    </w:p>
    <w:p w14:paraId="6E79DE3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Паспорта и номерные знаки на сверхштатные мотоциклы не выдавать, а машины эти передать в резерв фронта (округа).</w:t>
      </w:r>
    </w:p>
    <w:p w14:paraId="5450094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Ведение формуляров на мотоциклы отменить.</w:t>
      </w:r>
    </w:p>
    <w:p w14:paraId="1D81B6E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Выдачу паспортов и номерных знаков на штатные мотоциклы возлагаю на командующих бро</w:t>
      </w:r>
      <w:r w:rsidRPr="00D03F3E">
        <w:rPr>
          <w:rFonts w:ascii="Times New Roman" w:hAnsi="Times New Roman"/>
          <w:color w:val="000000" w:themeColor="text1"/>
          <w:sz w:val="16"/>
          <w:szCs w:val="16"/>
        </w:rPr>
        <w:softHyphen/>
        <w:t>нетанковыми и механизированными войсками армий (округов), а для частей, непосредственно под</w:t>
      </w:r>
      <w:r w:rsidRPr="00D03F3E">
        <w:rPr>
          <w:rFonts w:ascii="Times New Roman" w:hAnsi="Times New Roman"/>
          <w:color w:val="000000" w:themeColor="text1"/>
          <w:sz w:val="16"/>
          <w:szCs w:val="16"/>
        </w:rPr>
        <w:softHyphen/>
        <w:t>чиненных фронтам, на командующих бронетанковыми и механизированными войсками фронтов.</w:t>
      </w:r>
    </w:p>
    <w:p w14:paraId="14526CE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 каждый штатный мотоцикл паспорт выдать в двух экземплярах, один из которых вручить водителю, а второй хранить в делах части.</w:t>
      </w:r>
    </w:p>
    <w:p w14:paraId="39296BA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форму паспорта на мотоциклы принять паспорт для автомобилей, объявленный приказом НКО№15от 10.01.1943г.</w:t>
      </w:r>
    </w:p>
    <w:p w14:paraId="0512EDC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Номерные знаки на штатные мотоциклы выдать в соответствии с приказом НКО №44 от 8.02.1943 г. за счет номеров, объявляемых настоящим приказом.</w:t>
      </w:r>
    </w:p>
    <w:p w14:paraId="4238F9E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Приказ передать по телеграфу.</w:t>
      </w:r>
    </w:p>
    <w:p w14:paraId="1ED71FF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Об исполнении донести к 1 июля 1943 года.</w:t>
      </w:r>
    </w:p>
    <w:p w14:paraId="3DF2A19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Командующий бронетанковыми и механизированными войсками КА генерал-полковник танковых войск Федоренко</w:t>
      </w:r>
    </w:p>
    <w:p w14:paraId="202E340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Член военного совета БТ и МВ КА генерал-лейтенант танковых войск Бирюков</w:t>
      </w:r>
    </w:p>
    <w:p w14:paraId="278E313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штаба БТ и МВ КА генерал-майор танковых войск Салминов</w:t>
      </w:r>
    </w:p>
    <w:p w14:paraId="15036B9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11362. Д. 69. Л. 6. Копия (11403).</w:t>
      </w:r>
    </w:p>
    <w:p w14:paraId="3F44554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B89610F"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3 июня 1943 немецкие войска начали операцию “Котбус” для уничтожения советских партизан в районе Борисова (4962).</w:t>
      </w:r>
    </w:p>
    <w:p w14:paraId="205D607B" w14:textId="77777777" w:rsidR="00531570" w:rsidRPr="00D03F3E" w:rsidRDefault="00531570" w:rsidP="00D03F3E">
      <w:pPr>
        <w:pStyle w:val="Iauiue"/>
        <w:tabs>
          <w:tab w:val="left" w:pos="11199"/>
        </w:tabs>
        <w:jc w:val="both"/>
        <w:rPr>
          <w:color w:val="000000" w:themeColor="text1"/>
          <w:sz w:val="16"/>
          <w:szCs w:val="16"/>
        </w:rPr>
      </w:pPr>
    </w:p>
    <w:p w14:paraId="394B14F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июня 1943 вышел приказ наркома ВМФ Н.К.Кузнецова N 0408 об установлении денежных наград личному составу подводных лодок, торпедных катеров, катеров охотников и экипажей самолетов ВВС ВМФ за потопление кораблей противников (2120).</w:t>
      </w:r>
    </w:p>
    <w:p w14:paraId="1070301C" w14:textId="77777777" w:rsidR="00531570" w:rsidRPr="00D03F3E" w:rsidRDefault="00531570" w:rsidP="00D03F3E">
      <w:pPr>
        <w:pStyle w:val="Iauiue"/>
        <w:jc w:val="both"/>
        <w:rPr>
          <w:color w:val="000000" w:themeColor="text1"/>
          <w:sz w:val="16"/>
          <w:szCs w:val="16"/>
        </w:rPr>
      </w:pPr>
    </w:p>
    <w:p w14:paraId="3AF2569F"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7DF1F14B" w14:textId="77777777" w:rsidR="00531570" w:rsidRPr="00D03F3E" w:rsidRDefault="00531570" w:rsidP="00D03F3E">
      <w:pPr>
        <w:pStyle w:val="Iauiue"/>
        <w:jc w:val="both"/>
        <w:rPr>
          <w:iCs/>
          <w:color w:val="000000" w:themeColor="text1"/>
          <w:sz w:val="16"/>
          <w:szCs w:val="16"/>
        </w:rPr>
      </w:pPr>
    </w:p>
    <w:p w14:paraId="45C2BACA"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июня</w:t>
      </w:r>
      <w:r w:rsidRPr="00D03F3E">
        <w:rPr>
          <w:rFonts w:ascii="Times New Roman" w:hAnsi="Times New Roman"/>
          <w:color w:val="000000" w:themeColor="text1"/>
          <w:sz w:val="16"/>
          <w:szCs w:val="16"/>
        </w:rPr>
        <w:t xml:space="preserve"> в 1943 году рейхсминистр иностранных дел фон Риббентроп встретился с Царем Болгарии Борисом, который заверил его в солидарности болгарского правительства с Германией (14911).</w:t>
      </w:r>
    </w:p>
    <w:p w14:paraId="5A84AAA0" w14:textId="77777777" w:rsidR="0012603D" w:rsidRPr="00D03F3E" w:rsidRDefault="0012603D" w:rsidP="00D03F3E">
      <w:pPr>
        <w:spacing w:after="0" w:line="240" w:lineRule="auto"/>
        <w:jc w:val="both"/>
        <w:rPr>
          <w:rFonts w:ascii="Times New Roman" w:hAnsi="Times New Roman"/>
          <w:color w:val="000000" w:themeColor="text1"/>
          <w:sz w:val="16"/>
          <w:szCs w:val="16"/>
        </w:rPr>
      </w:pPr>
    </w:p>
    <w:p w14:paraId="2E92B4C3"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3 июня 1943 бойцами Французского Сопротивления уничтожено около 300 тонн автомобильных шин на заводе “Мишелин” в Клермон-Ферране (4962).</w:t>
      </w:r>
    </w:p>
    <w:p w14:paraId="4D2D6140" w14:textId="77777777" w:rsidR="00531570" w:rsidRPr="00D03F3E" w:rsidRDefault="00531570" w:rsidP="00D03F3E">
      <w:pPr>
        <w:pStyle w:val="Iauiue"/>
        <w:tabs>
          <w:tab w:val="left" w:pos="11199"/>
        </w:tabs>
        <w:jc w:val="both"/>
        <w:rPr>
          <w:color w:val="000000" w:themeColor="text1"/>
          <w:sz w:val="16"/>
          <w:szCs w:val="16"/>
        </w:rPr>
      </w:pPr>
    </w:p>
    <w:p w14:paraId="60F8A7DE"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3 июня 1943 в Лондоне был создан французский Комитет сопротивления во главе с генералом Шарлем де Голлем (4963 ).</w:t>
      </w:r>
    </w:p>
    <w:p w14:paraId="3E4CE4C3" w14:textId="77777777" w:rsidR="00531570" w:rsidRPr="00D03F3E" w:rsidRDefault="00531570" w:rsidP="00D03F3E">
      <w:pPr>
        <w:pStyle w:val="Iauiue"/>
        <w:tabs>
          <w:tab w:val="left" w:pos="11199"/>
        </w:tabs>
        <w:jc w:val="both"/>
        <w:rPr>
          <w:color w:val="000000" w:themeColor="text1"/>
          <w:sz w:val="16"/>
          <w:szCs w:val="16"/>
        </w:rPr>
      </w:pPr>
    </w:p>
    <w:p w14:paraId="26F0E30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июня 1943 де Голлю и Жиро удалось достичь соглашения. Было провозглашено создание Комитета Национального Освобождения, в котором де Голль и Жиро были сопрезидентами. После очередного тура яростной борьбы генерал Жиро стал главнокомандующим в Северной и Западной Африке, а генерал де Голль - в остальных частях французской империи (3871).</w:t>
      </w:r>
    </w:p>
    <w:p w14:paraId="02419939" w14:textId="77777777" w:rsidR="00531570" w:rsidRPr="00D03F3E" w:rsidRDefault="00531570" w:rsidP="00D03F3E">
      <w:pPr>
        <w:pStyle w:val="Iauiue"/>
        <w:jc w:val="both"/>
        <w:rPr>
          <w:color w:val="000000" w:themeColor="text1"/>
          <w:sz w:val="16"/>
          <w:szCs w:val="16"/>
        </w:rPr>
      </w:pPr>
    </w:p>
    <w:p w14:paraId="299FDCD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июня 1943 в Алжире был создан Французский комитет национального освобождения во главе с Ш. де Голем (3481).</w:t>
      </w:r>
    </w:p>
    <w:p w14:paraId="74E85310" w14:textId="77777777" w:rsidR="00531570" w:rsidRPr="00D03F3E" w:rsidRDefault="00531570" w:rsidP="00D03F3E">
      <w:pPr>
        <w:pStyle w:val="Iauiue"/>
        <w:jc w:val="both"/>
        <w:rPr>
          <w:color w:val="000000" w:themeColor="text1"/>
          <w:sz w:val="16"/>
          <w:szCs w:val="16"/>
        </w:rPr>
      </w:pPr>
    </w:p>
    <w:p w14:paraId="0FC782AE" w14:textId="77777777" w:rsidR="0012603D" w:rsidRPr="00D03F3E" w:rsidRDefault="0012603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 июня</w:t>
      </w:r>
      <w:r w:rsidRPr="00D03F3E">
        <w:rPr>
          <w:rFonts w:ascii="Times New Roman" w:hAnsi="Times New Roman"/>
          <w:color w:val="000000" w:themeColor="text1"/>
          <w:sz w:val="16"/>
          <w:szCs w:val="16"/>
        </w:rPr>
        <w:t xml:space="preserve"> в 1943 году в Алжире в результате соглашения между руководителем Французского национального комитета Шарлем де Голлем (1890–1970) и главой французской администрации и командующим армией в Северной Африке Анри Жиро (1879–1949) был создан орган центральной французской власти — Французский комитет национального освобождения. Комитет представлял государственные интересы Французской Республики и руководил действиями французских патриотов в антифашистской коалиции в 1943–1944 годах (14911).</w:t>
      </w:r>
    </w:p>
    <w:p w14:paraId="73ECF60B" w14:textId="77777777" w:rsidR="0012603D" w:rsidRPr="00D03F3E" w:rsidRDefault="0012603D" w:rsidP="00D03F3E">
      <w:pPr>
        <w:spacing w:after="0" w:line="240" w:lineRule="auto"/>
        <w:jc w:val="both"/>
        <w:rPr>
          <w:rFonts w:ascii="Times New Roman" w:hAnsi="Times New Roman"/>
          <w:color w:val="000000" w:themeColor="text1"/>
          <w:sz w:val="16"/>
          <w:szCs w:val="16"/>
        </w:rPr>
      </w:pPr>
    </w:p>
    <w:p w14:paraId="64A803F9"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1CAD4A97" w14:textId="77777777" w:rsidR="00531570" w:rsidRPr="00D03F3E" w:rsidRDefault="00531570" w:rsidP="00D03F3E">
      <w:pPr>
        <w:pStyle w:val="Iauiue"/>
        <w:jc w:val="both"/>
        <w:rPr>
          <w:iCs/>
          <w:color w:val="000000" w:themeColor="text1"/>
          <w:sz w:val="16"/>
          <w:szCs w:val="16"/>
        </w:rPr>
      </w:pPr>
    </w:p>
    <w:p w14:paraId="3F13423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июня 1943 в НИИ ВВС закончились испытания подвесных бензобаков на Ил-2 с АМ-38Ф, которые шли с 27 мая 1943 (1784,262).</w:t>
      </w:r>
    </w:p>
    <w:p w14:paraId="60E137FC" w14:textId="77777777" w:rsidR="00531570" w:rsidRPr="00D03F3E" w:rsidRDefault="00531570" w:rsidP="00D03F3E">
      <w:pPr>
        <w:pStyle w:val="Iauiue"/>
        <w:jc w:val="both"/>
        <w:rPr>
          <w:color w:val="000000" w:themeColor="text1"/>
          <w:sz w:val="16"/>
          <w:szCs w:val="16"/>
        </w:rPr>
      </w:pPr>
    </w:p>
    <w:p w14:paraId="3B2DBB3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июня 1943 вышел приказ НКАП № 339с об организации временной летной группы для срочной переброски на фронт ремонтных бригад, лакокрасочных и других материалов. Это для того, чтобы за две недели исправить обшивку. Командиром назначили В.А.Гринце, освобожденного от дол-ти нач. ЛИС з-да № 464. Получили 6хЯк-6 №№ 640328 (Лисичкин), 640325 (Савченко), 640327 (Аксенов), 640319 (Давыдов), И-512 СССР (Кузаков) и И-496 СССР (Зюнкин). 24 июня - расформировали и машины передали в летный отряд НКАП (4830, 31).</w:t>
      </w:r>
    </w:p>
    <w:p w14:paraId="64748380" w14:textId="77777777" w:rsidR="00531570" w:rsidRPr="00D03F3E" w:rsidRDefault="00531570" w:rsidP="00D03F3E">
      <w:pPr>
        <w:pStyle w:val="Iauiue"/>
        <w:jc w:val="both"/>
        <w:rPr>
          <w:color w:val="000000" w:themeColor="text1"/>
          <w:sz w:val="16"/>
          <w:szCs w:val="16"/>
        </w:rPr>
      </w:pPr>
    </w:p>
    <w:p w14:paraId="64E5A0C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июня 1943 Дементьев писал дир. завода 126 Тимофееву Нач. 10 ГУ Тарасевичу, а т. ГИ АДД Маркову:</w:t>
      </w:r>
    </w:p>
    <w:p w14:paraId="58553BD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"Предлагаю 50 самолетов Ил-4 оборудовать автоматами АПГ-1 в сроки: июль -25 машин, август - 25 машин." (1767,150).</w:t>
      </w:r>
    </w:p>
    <w:p w14:paraId="58E4BF1B" w14:textId="77777777" w:rsidR="00531570" w:rsidRPr="00D03F3E" w:rsidRDefault="00531570" w:rsidP="00D03F3E">
      <w:pPr>
        <w:pStyle w:val="Iauiue"/>
        <w:jc w:val="both"/>
        <w:rPr>
          <w:color w:val="000000" w:themeColor="text1"/>
          <w:sz w:val="16"/>
          <w:szCs w:val="16"/>
        </w:rPr>
      </w:pPr>
    </w:p>
    <w:p w14:paraId="5A84442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июня 1943 Нач. 3У ГУ ВВС КА Хлопов направил в НКАП А.И.Ш. некоторые данные по вооружению и бронированию немецких самолетов (1784,55).</w:t>
      </w:r>
    </w:p>
    <w:p w14:paraId="1F3761BD" w14:textId="77777777" w:rsidR="00531570" w:rsidRPr="00D03F3E" w:rsidRDefault="00531570" w:rsidP="00D03F3E">
      <w:pPr>
        <w:pStyle w:val="Iauiue"/>
        <w:jc w:val="both"/>
        <w:rPr>
          <w:color w:val="000000" w:themeColor="text1"/>
          <w:sz w:val="16"/>
          <w:szCs w:val="16"/>
        </w:rPr>
      </w:pPr>
    </w:p>
    <w:p w14:paraId="2AAD53C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июня 1943 года начальник РО штаба центрального фронта Вавилов писал письмо N 21/613сс командующему ВВС Новикову, зам. командующего ВВС Никитину, Шахурину.</w:t>
      </w:r>
    </w:p>
    <w:p w14:paraId="56738AA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Разведдонесение N 40</w:t>
      </w:r>
    </w:p>
    <w:p w14:paraId="299BEE1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РО штаба центрального фронта к 15.00 19.3.43 г.</w:t>
      </w:r>
    </w:p>
    <w:p w14:paraId="5E09704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карта 1:100000; 1:200000</w:t>
      </w:r>
    </w:p>
    <w:p w14:paraId="2B25F73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Пленный летчик обер лейтенант, захваченный 18.3.43 г. в районе Избични (см. разведдонесение N 38) на предварительном опросе показал - принадлежит к испытательной авиагруппе противотанковых самолетов "Ю-87", новой модернизации. Группа прибыла в Брянск 16.3.43 г. в количестве 18 самолетов с задачей провести на этом участке фронта опыт боевых качеств самолета против танков. Самолет новой модернизации, "Ю-87", выпущен три недели тому назад. Испытательная группа непосредственно подчинена министерству авиации, но в настоящее время придана штабу 4 воздушной армии. Самолеты, "Ю-87", новой модернизации имеют вооружение 2 пушки 37 мм и 2 пулемета.</w:t>
      </w:r>
    </w:p>
    <w:p w14:paraId="6A88D5A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Сбитый самолет находится в районе Избични целым.</w:t>
      </w:r>
    </w:p>
    <w:p w14:paraId="1E78A8F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В районе Крюки (7 км юго-западнее Дмитровска-Орловского) в подбитом танке захвачены документы, принадлежащие обер ефрейтору 21 тп 10 тд (1778,54).</w:t>
      </w:r>
    </w:p>
    <w:p w14:paraId="15F67135" w14:textId="77777777" w:rsidR="00531570" w:rsidRPr="00D03F3E" w:rsidRDefault="00531570" w:rsidP="00D03F3E">
      <w:pPr>
        <w:pStyle w:val="Iauiue"/>
        <w:jc w:val="both"/>
        <w:rPr>
          <w:color w:val="000000" w:themeColor="text1"/>
          <w:sz w:val="16"/>
          <w:szCs w:val="16"/>
        </w:rPr>
      </w:pPr>
    </w:p>
    <w:p w14:paraId="2A61CC8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июня 1943 года майор Лебедев писал письмо N 21/613с.</w:t>
      </w:r>
    </w:p>
    <w:p w14:paraId="04F1365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Некоторые данные</w:t>
      </w:r>
    </w:p>
    <w:p w14:paraId="34BD3C8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 вооружении и бронировании германских самолетов</w:t>
      </w:r>
    </w:p>
    <w:p w14:paraId="5AC8F4D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Бомбардировщик "Хейнкель 111"</w:t>
      </w:r>
    </w:p>
    <w:p w14:paraId="6A65D37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Вооружение и его расположение. Установлено, что некоторые самолеты "Хе-111" 6 серии вооруженный 20 мм пушкой "Эрликон ФФ", устанавливаемой в носовой части. Пушка крепится на шарнирах к неподвижному кольцу.</w:t>
      </w:r>
    </w:p>
    <w:p w14:paraId="5F6E63A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Вооружение этих самолетов состоит из одной пушки и шести пулеметов (20 мм пушки "Эрликон ФФ" - в носовой части, двух пулеметов "МГ 15" калибра 7,9 мм по одному с каждой стороны фюзеляжа, одного пулемета "МГ 15", установленного сзади снизу, одного пулемета "МГ 15" калибра 7,8 мм, установленного спереди снизу, одного пулемета "МГ 15" калибра 7,9 мм, установленного сверху, одного пулемета "МГ17" калибра 7,9 мм, установленного в хвостовой части. Последний пулемет стационарный, ведет огонь только назад при помощи дистанционного управления огнем).</w:t>
      </w:r>
    </w:p>
    <w:p w14:paraId="28F10AC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Броня. В дополнение к броневой плите, защищающей вспомогательные части мотора, обнаруженной в начале 1942 г., установлены дополнительные броневые щитки толщиной 5 мм для предохранения водяного и масляного радиатора.</w:t>
      </w:r>
    </w:p>
    <w:p w14:paraId="4238493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сбитом в апреле 1942 г. самолете "Хе-111" была обнаружена дополнительная броня, предназначенная для защиты экипажа, а именно: кабина стрелка-радиста, расположенная в верхней части фюзеляжа, имела по бортам броневые щитки толщиной 6 мм. Бортовые щитки имели длину 28" и ширину 11 3/8". Общий вес броневых щитков 340 кг.</w:t>
      </w:r>
    </w:p>
    <w:p w14:paraId="045DAEA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Бомбардировщик "Юнкерс 88"</w:t>
      </w:r>
    </w:p>
    <w:p w14:paraId="1902172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Броня. В марте 1942 г. на самолете была установлена новая броня для защиты кабины пилота. Она состоит из литых и сваренных плит, образующих фактически полное бронированное сиденье. Выгнутые части плит идут вокруг шеи и головы. Толщина брони 9 мм. Тонкая обивка, покрытая "Рексине", прикрепляется прямо к броне.</w:t>
      </w:r>
    </w:p>
    <w:p w14:paraId="004029B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Бомбардировщики "Дорнье Е-1, Е-2, Е-4"</w:t>
      </w:r>
    </w:p>
    <w:p w14:paraId="388DEBF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вооружении этих самолетов никаких усовершенствований не отмечено. Бронезащита жизненных частей кабины, по-видимому, несколько усилена, но никаких подробностей в этом отношении установить не удалось, так как все самолеты этих типов, сбитые недавно, были почти полностью уничтожены.</w:t>
      </w:r>
    </w:p>
    <w:p w14:paraId="37A20DF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Истребитель "Мессершмитт 109 Ф-4"</w:t>
      </w:r>
    </w:p>
    <w:p w14:paraId="5EFE9D8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Защита пилотов на более ранних типах "Ме-109Ф" состояла из 8 мм стальной перегородки, находящейся за пилотом и как раз перед бензобаками. Новый "Ме-109 Ф-4", который был восстановлен в мае 1942 г., имеет ту же броню, но в дополнение к ней поперечную перегородку, установленную за бензобаками и состоящую из пластинчатых листов дюраля, общей толщиной около 7/8". Это представляет значительную защиту для бензобака от зажигательных пуль и вместе со стальной броней, находящейся непосредственно за сидением, создает для пилота полный иммунитет в отношении пуль 303 и бронебойных, в том случае, если огонь ведется сзади из "мертвого сектора". Значительная защита создается также от бронебойных пуль 5.</w:t>
      </w:r>
    </w:p>
    <w:p w14:paraId="68EE84A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Истребитель "ФБ 190"</w:t>
      </w:r>
    </w:p>
    <w:p w14:paraId="2165075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Первый из сбитых самолетов в июне 1942 г. имел следующее вооружение:</w:t>
      </w:r>
    </w:p>
    <w:p w14:paraId="3BD75F4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Два пулемета "МГ 17" калибра 7,9 мм, стационарные, установленные над мотором, для стрельбы через винт.</w:t>
      </w:r>
    </w:p>
    <w:p w14:paraId="5070373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Две пушки "МГ 151" калибра 20 мм, стационарные, установленные в основании крыльев.</w:t>
      </w:r>
    </w:p>
    <w:p w14:paraId="7C02E07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Две пушки "Эрликон 4Ф" калибра 20 мм стационарные, установленные в крыльях за пределами сектора винта.</w:t>
      </w:r>
    </w:p>
    <w:p w14:paraId="156A2AD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Другие "ФВ 190", сбитые позднее, не имели крыльевых пушек.</w:t>
      </w:r>
    </w:p>
    <w:p w14:paraId="24FB676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Броня. Бронезащита указанных самолетов была следующей:</w:t>
      </w:r>
    </w:p>
    <w:p w14:paraId="5BB9E12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Броневая плита позади головы и плеч пилота толщиной 13 мм.</w:t>
      </w:r>
    </w:p>
    <w:p w14:paraId="0500A5F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Броневая спинка сиденья пилота толщиной - 8 мм.</w:t>
      </w:r>
    </w:p>
    <w:p w14:paraId="04EB98B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Броневые щитки - полоски между сиденьем и бортами фюзеляжа - толщиной 5-6 мм, козырек, не пробиваемый пулями, толщиной 1 3/4".</w:t>
      </w:r>
    </w:p>
    <w:p w14:paraId="5D4DC5B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Переднее кольцо мотора состоит из брони толщиной 5 мм. Следующее кольцо состоит из 3 мм листовой стали. Под ними находится кольцевой масляный радиатор, который имеет дополнительную защиту из 3 мм стали.</w:t>
      </w:r>
    </w:p>
    <w:p w14:paraId="0BA6202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Истребитель-бомбардировщик "Мессершмитт 210"</w:t>
      </w:r>
    </w:p>
    <w:p w14:paraId="7F2B12A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Вооружение и его расположение. Первый самолет этого типа был сбит в сентябре 1942 г.</w:t>
      </w:r>
    </w:p>
    <w:p w14:paraId="3277CF9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Вооружение состоит из неподвижных пушек и пулеметов стреляющих вперед, (в носовой части в ряд установлены 2 пулемета "МГ 17" калибра 7,9 мм и 2 пушки "МГ 151" калибра 20 мм) и стреляющих назад и в стороны (2 пулемета "МГ 131" калибра 13 мм). Каждый из них установлен в специально обтекаемом выступе в борту фюзеляжа.</w:t>
      </w:r>
    </w:p>
    <w:p w14:paraId="3963807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Пулеметы могут вести огонь в азимуте 45 градусов с возвышением и склонением в пределах 130 градусов и имеют дистанционное управление при помощи электрической серво-системы. Прицеливание осуществляется при помощи рефлектора - визира для каждого пулемета в отдельности. Синхронная передача установлена для предотвращения поломки стабилизаторов или руля направления.</w:t>
      </w:r>
    </w:p>
    <w:p w14:paraId="3943257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Броня. Защита этого самолета более всесторонняя, чем какого-либо другого германского самолета. Моторы спереди защищены кольцевыми плитами диаметром в 2'6" и толщиной в 5 мм, прикрепленными к задней стороне, сзади 5 мм плитами. Охлаждающие трубки, идущие к крыльевым радиаторам защищены кожухами, имеющими толщину 5 мм. Каждый в отдельности радиатор защищен сверху и снизу плитой размерами 3'9"х1'2"х5 мм толщины. Кабина пилота защищена плитами фасонной брони толщиной в 14 мм, идущей по бортам кабины до самой носовой части. 10 мм плита установлена перед пилотом таким образом, что он сидит как бы за щитом. Нижняя часть сиденья имеет 5 мм плиту; спинка состоит из перегородки толщиной в 8 мм с защитой для головы и плеч толщиной в 12 мм. Козырька из небьющегося стекла для пилота обнаружено не было.</w:t>
      </w:r>
    </w:p>
    <w:p w14:paraId="600081A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Задняя кабина защищена поперечной перегородкой толщиной в 9 мм, заполняющей все поперечное сиденье кабины в этой части. Щит из небьющегося стекла шириной в 2'4" и высотой в 12" создает сзади дополнительную защиту, сочетающуюся с превосходной видимостью. толщина щита 2..".</w:t>
      </w:r>
    </w:p>
    <w:p w14:paraId="0E7B759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Кроме того обнаружен ряд отдельных кусков брони различных размеров и толщины, но их назначение определить не удалось и вес поной брони до сих пор с точностью не определен, предполагается, что он составляет по меньшей мере 400-450 кг (1778,58).</w:t>
      </w:r>
    </w:p>
    <w:p w14:paraId="315B9825" w14:textId="77777777" w:rsidR="00531570" w:rsidRPr="00D03F3E" w:rsidRDefault="00531570" w:rsidP="00D03F3E">
      <w:pPr>
        <w:pStyle w:val="Iauiue"/>
        <w:jc w:val="both"/>
        <w:rPr>
          <w:color w:val="000000" w:themeColor="text1"/>
          <w:sz w:val="16"/>
          <w:szCs w:val="16"/>
        </w:rPr>
      </w:pPr>
    </w:p>
    <w:p w14:paraId="21E89F4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июня 1943 завод 292 писал письмо N 1826 НКАП А.И.Ш. о том, что 1 июня на завод прилетели командир 282 ИАД 6 САК п Рязанов и Зам. командира 282 ИАД п/п Ананьенко на двух Як-1 N 20122 и 38112 и привезли с собой акт, согласно которому макс. скорости машин ЯК-1 ИАД составляли от 375 до 435 км/час. После прилета самолеты были осмотрены и был составлен акт об их состоянии. После устранения дефектов 20122 был облетан ли военпредства и с его заключением был согласен командир 282 ИАД п Рязанов. 2 июня 1943 в 282 ИАД 6САК была направлена комиссия в составе ГИ, зам. ГК, Нач. ОТК и др. Проверяли и согласились (2519).</w:t>
      </w:r>
    </w:p>
    <w:p w14:paraId="74344155" w14:textId="77777777" w:rsidR="00531570" w:rsidRPr="00D03F3E" w:rsidRDefault="00531570" w:rsidP="00D03F3E">
      <w:pPr>
        <w:pStyle w:val="Iauiue"/>
        <w:jc w:val="both"/>
        <w:rPr>
          <w:color w:val="000000" w:themeColor="text1"/>
          <w:sz w:val="16"/>
          <w:szCs w:val="16"/>
        </w:rPr>
      </w:pPr>
    </w:p>
    <w:p w14:paraId="13BB5D7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июня 1943 был утвержден акт, составленный 3 июня 1943 на заводе 292 комиссией по получению объективных данных Як-1. Испытывался самолет в том виде, как он прибыл из 127 иап без каких либо улучшений и изменений. Макс. скорость была 486-488 км/час. (2519,151).</w:t>
      </w:r>
    </w:p>
    <w:p w14:paraId="15FD037C" w14:textId="77777777" w:rsidR="00531570" w:rsidRPr="00D03F3E" w:rsidRDefault="00531570" w:rsidP="00D03F3E">
      <w:pPr>
        <w:pStyle w:val="Iauiue"/>
        <w:jc w:val="both"/>
        <w:rPr>
          <w:color w:val="000000" w:themeColor="text1"/>
          <w:sz w:val="16"/>
          <w:szCs w:val="16"/>
        </w:rPr>
      </w:pPr>
    </w:p>
    <w:p w14:paraId="267B657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июня 1943 г. закончился первый этап испытания Ла-5М-71Ф (взлетная мощность двигателя 2200 л. с.), которые шли с апреля 1943. Истребитель не показал ожидаемых данных, хотя и превзошел по скорости Ла-5ФН. Причины недобора характеристик выяснили специалисты ЦАГИ после продувок машины в натурной аэродинамической трубе Т-101: плохое качество изготовления, особенно капота двигателя. Аэродинамики пришли к заключению, что после устранения производственных дефектов и внесения некоторых изменений в конструкцию Ла-5М-71Ф может достигнуть скорости 720 км/ ч. История с М-71 достаточно загадочна. Каких-либо объективных причин незапуска его в серийное производства в опубликованных мемуарах и литературе найти не удалось. Наверняка, двигатель был "сырым" и требовал доводки, тем не менее, вряд ли он был "сырее" того же М-107. Остаются интриги, ведь запуск в серию мощной звезды воздушного охлаждения ставил крест на самолетах Яковлева, они уже не смогли бы тягаться ни с Ла-5М-71, ни тем более с поликарповским И-185 (4707).</w:t>
      </w:r>
    </w:p>
    <w:p w14:paraId="66EF7F22" w14:textId="77777777" w:rsidR="00531570" w:rsidRPr="00D03F3E" w:rsidRDefault="00531570" w:rsidP="00D03F3E">
      <w:pPr>
        <w:pStyle w:val="Iauiue"/>
        <w:jc w:val="both"/>
        <w:rPr>
          <w:color w:val="000000" w:themeColor="text1"/>
          <w:sz w:val="16"/>
          <w:szCs w:val="16"/>
        </w:rPr>
      </w:pPr>
    </w:p>
    <w:p w14:paraId="0CED287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июня 1943 завершились заводские ис</w:t>
      </w:r>
      <w:r w:rsidRPr="00D03F3E">
        <w:rPr>
          <w:rFonts w:ascii="Times New Roman" w:hAnsi="Times New Roman"/>
          <w:color w:val="000000" w:themeColor="text1"/>
          <w:sz w:val="16"/>
          <w:szCs w:val="16"/>
        </w:rPr>
        <w:softHyphen/>
        <w:t>пытания Ла-5 М-71Ф (самолет «Е»), которые проходили с 28 апреля. Они показали, что самолет развивает скорость лишь 685 км/ч вместо заданных 720 км/ч, зато обладает приличной ско</w:t>
      </w:r>
      <w:r w:rsidRPr="00D03F3E">
        <w:rPr>
          <w:rFonts w:ascii="Times New Roman" w:hAnsi="Times New Roman"/>
          <w:color w:val="000000" w:themeColor="text1"/>
          <w:sz w:val="16"/>
          <w:szCs w:val="16"/>
        </w:rPr>
        <w:softHyphen/>
        <w:t>роподъемностью — на 5 км он выходил за 4,4 мин. Машину пере</w:t>
      </w:r>
      <w:r w:rsidRPr="00D03F3E">
        <w:rPr>
          <w:rFonts w:ascii="Times New Roman" w:hAnsi="Times New Roman"/>
          <w:color w:val="000000" w:themeColor="text1"/>
          <w:sz w:val="16"/>
          <w:szCs w:val="16"/>
        </w:rPr>
        <w:softHyphen/>
        <w:t>дали ЦАГИ для улучшения аэродинамики, и далее она «летала» лишь в аэродинамической трубе. Серийно такой вариант не строи</w:t>
      </w:r>
      <w:r w:rsidRPr="00D03F3E">
        <w:rPr>
          <w:rFonts w:ascii="Times New Roman" w:hAnsi="Times New Roman"/>
          <w:color w:val="000000" w:themeColor="text1"/>
          <w:sz w:val="16"/>
          <w:szCs w:val="16"/>
        </w:rPr>
        <w:softHyphen/>
        <w:t>ли, но полученный опыт использовался при создании Ла-5 М-82ФН № 0206, ставшего прототипом одного из лучших истребителей Второй мировой Ла-7. Не пошел в серию и вариант Ла-5 с новым мотором АШ-83, совершивший первый полет в марте 1944 г (11123).</w:t>
      </w:r>
    </w:p>
    <w:p w14:paraId="0135893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DDEAB3E" w14:textId="77777777" w:rsidR="00227A2A" w:rsidRPr="00D03F3E" w:rsidRDefault="00227A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4 июня</w:t>
      </w:r>
      <w:r w:rsidRPr="00D03F3E">
        <w:rPr>
          <w:rFonts w:ascii="Times New Roman" w:hAnsi="Times New Roman"/>
          <w:color w:val="000000" w:themeColor="text1"/>
          <w:sz w:val="16"/>
          <w:szCs w:val="16"/>
        </w:rPr>
        <w:t xml:space="preserve"> в 1943 году завершились (с 28 апреля) испытания </w:t>
      </w:r>
      <w:hyperlink r:id="rId190" w:tgtFrame="_blank" w:history="1">
        <w:r w:rsidRPr="00D03F3E">
          <w:rPr>
            <w:rFonts w:ascii="Times New Roman" w:hAnsi="Times New Roman"/>
            <w:color w:val="000000" w:themeColor="text1"/>
            <w:sz w:val="16"/>
            <w:szCs w:val="16"/>
          </w:rPr>
          <w:t xml:space="preserve">«Ла-5» </w:t>
        </w:r>
      </w:hyperlink>
      <w:r w:rsidRPr="00D03F3E">
        <w:rPr>
          <w:rFonts w:ascii="Times New Roman" w:hAnsi="Times New Roman"/>
          <w:color w:val="000000" w:themeColor="text1"/>
          <w:sz w:val="16"/>
          <w:szCs w:val="16"/>
        </w:rPr>
        <w:t xml:space="preserve">№ 39210204 с установленным новым звездообразным двигателем «М-71Ф», которые показали, что максимальная скорость истребителя возросла до 685 км/ч на высоте 5500 м. Чтобы выяснить пути дальнейшего улучшения характеристик машины, ее исследовали в трубе ЦАГИ Т-101. Вывод специалистов аэрогидродинамического института был оптимистичным - улучшение аэродинамики самолета, особенно формы капота мотора, позволит довести максимальную скорость до 720 км/ч. Но доработка </w:t>
      </w:r>
      <w:hyperlink r:id="rId191" w:tgtFrame="_blank" w:history="1">
        <w:r w:rsidRPr="00D03F3E">
          <w:rPr>
            <w:rFonts w:ascii="Times New Roman" w:hAnsi="Times New Roman"/>
            <w:color w:val="000000" w:themeColor="text1"/>
            <w:sz w:val="16"/>
            <w:szCs w:val="16"/>
          </w:rPr>
          <w:t xml:space="preserve">«Ла-5М-71» </w:t>
        </w:r>
      </w:hyperlink>
      <w:r w:rsidRPr="00D03F3E">
        <w:rPr>
          <w:rFonts w:ascii="Times New Roman" w:hAnsi="Times New Roman"/>
          <w:color w:val="000000" w:themeColor="text1"/>
          <w:sz w:val="16"/>
          <w:szCs w:val="16"/>
        </w:rPr>
        <w:t>затянулась, и он не поступил в серию. Проектировался, но так и не был закончен истребитель со звездообразным мотором «М-90» взлетной мощностью 1750 л.с (14912).</w:t>
      </w:r>
    </w:p>
    <w:p w14:paraId="625C71AB" w14:textId="77777777" w:rsidR="00227A2A" w:rsidRPr="00D03F3E" w:rsidRDefault="00227A2A" w:rsidP="00D03F3E">
      <w:pPr>
        <w:spacing w:after="0" w:line="240" w:lineRule="auto"/>
        <w:jc w:val="both"/>
        <w:rPr>
          <w:rFonts w:ascii="Times New Roman" w:hAnsi="Times New Roman"/>
          <w:color w:val="000000" w:themeColor="text1"/>
          <w:sz w:val="16"/>
          <w:szCs w:val="16"/>
        </w:rPr>
      </w:pPr>
    </w:p>
    <w:p w14:paraId="0F81942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июня 1943 года в ЛИИ закончились летные испытания Ла-5 № 39210204 с новым звездообразным двигателем М-71Ф мощностью 2250 л.с., которые проходили с 28 апреля и показали, что максимальная скорость истребителя возросла до 685 км/ч на высоте 5500 м. В то же время скороподъемность машины практически не изменилась.</w:t>
      </w:r>
    </w:p>
    <w:p w14:paraId="791D464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Использование этого мотора на различных типах самолетов, как на истребителях, так и на бомбардировщиках все время сопровождалось неудачами. Хотя двигатель и прошел 50-часовые стендовые испытания, в полете и у М-71, и у его форсированной модификации М-71Ф постоянно что-то ломалось. Не исключением стал и Ла-5. Хотя мотор М-71Ф не только вылез за обводы капотов прежней силовой установки, но и утяжелил истребитель, его большая мощность сделала свое дело. </w:t>
      </w:r>
    </w:p>
    <w:p w14:paraId="731DEEC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Чтобы выяснить пути улучшения характеристик машины, ее исследовали в натурной аэродинамической трубе ЦАГИ Т-101. Вывод специалистов аэрогидродинамического института был оптимистичным - улучшение аэродинамики самолета, особенно капотирования мотора, позволит довести максимальную скорость до 720 км/ч. Но доводка Ла-5 и двигателя М-71 затянулась. В итоге самолет оказался в разряде экспериментальных.</w:t>
      </w:r>
    </w:p>
    <w:p w14:paraId="5E5E322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Проектировался, но так и не был закончен истребитель со звездообразным мотором М-90 взлетной мощностью 1750 л.с. (12032).</w:t>
      </w:r>
    </w:p>
    <w:p w14:paraId="5EB7686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D2DD80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июня 1943 г. Шахурин направил письмо Маленкову с изложением результатов работы комиссии по рассмотрению двигателя Люлька. В заключении указывалось, что НКАП начал подготовку проекта решения ГОКО по созданию реактивных двигателей для авиации и, в частности, по газотурбинным реактивным двигателям, и что в течение июня месяца такой проект будет представлен на рассмотрение (9016).</w:t>
      </w:r>
    </w:p>
    <w:p w14:paraId="22C5EB8D" w14:textId="77777777" w:rsidR="00531570" w:rsidRPr="00D03F3E" w:rsidRDefault="00531570" w:rsidP="00D03F3E">
      <w:pPr>
        <w:pStyle w:val="Iauiue"/>
        <w:jc w:val="both"/>
        <w:rPr>
          <w:color w:val="000000" w:themeColor="text1"/>
          <w:sz w:val="16"/>
          <w:szCs w:val="16"/>
        </w:rPr>
      </w:pPr>
    </w:p>
    <w:p w14:paraId="1DEA33A0"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3CCB4BD4" w14:textId="77777777" w:rsidR="00531570" w:rsidRPr="00D03F3E" w:rsidRDefault="00531570" w:rsidP="00D03F3E">
      <w:pPr>
        <w:pStyle w:val="Iauiue"/>
        <w:jc w:val="both"/>
        <w:rPr>
          <w:iCs/>
          <w:color w:val="000000" w:themeColor="text1"/>
          <w:sz w:val="16"/>
          <w:szCs w:val="16"/>
        </w:rPr>
      </w:pPr>
    </w:p>
    <w:p w14:paraId="5E28E18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июня 1943 г. ЦАКБ разработало документацию на 100-мм ПТБ, получившую индекс ЦАКБ "С-3" и выслало ее на завод № 172. Ствол пушки состоял из трубы-моноблока, казенника, муфты, задней обоймы, передней обоймы и дульного тормоза. Дульный тормоз двухкамерный, эффективность около 60 %.</w:t>
      </w:r>
    </w:p>
    <w:p w14:paraId="6160C5E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Затвор вертикальный клиновой с полуавтоматикой механического (копирного) типа.</w:t>
      </w:r>
    </w:p>
    <w:p w14:paraId="5894B17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Тормоз отката гидравлический, накатник гидропневматический. При выстреле цилиндры противооткатных устройств откатываются вместе со стволом.</w:t>
      </w:r>
    </w:p>
    <w:p w14:paraId="5B6902D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Люлька клепаная корытообразная. В люльке помещены противооткатные устройства.</w:t>
      </w:r>
    </w:p>
    <w:p w14:paraId="669DC49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Подъемный механизм имел два сектора. Поворотный механизм винтового типа. Уравновешивающий механизм гидропневматический, толкающего типа, состоял из двух параллельно работающих цилиндров.</w:t>
      </w:r>
    </w:p>
    <w:p w14:paraId="4D8AFB2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Подрессоривание торсионное, автоматически включалось (и выключалось) при сведении (разведении) станин.</w:t>
      </w:r>
    </w:p>
    <w:p w14:paraId="67D26A3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Колеса от грузового автомобиля ГАЗ-АА, но с усиленной резиновой шиной, ступица колеса специальная.</w:t>
      </w:r>
    </w:p>
    <w:p w14:paraId="0E410E9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Прицел состоял из панорамы "С-71А-5" и оптического прицела "ОП1-5" для прямой наводки. (Пушки первых выпусков прицела прямой наводки не имели).</w:t>
      </w:r>
    </w:p>
    <w:p w14:paraId="70DA0F3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Пушка перевозилась без передка. Для перевозки пушки применялись тягачи АТ-Л и Я-12, бронетранспортер М-2, а также автомобиль ЗИС-151.</w:t>
      </w:r>
    </w:p>
    <w:p w14:paraId="7887D3E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процессе испытаний БС-3 с дистанции 1500 м был произведен выстрел по "Тигру", броня была пробита. При обстреле САУ "Фердинанд" на той же дистанции пробоин не было, но САУ вышла из строя из-за откола брони с внутренней стороны.</w:t>
      </w:r>
    </w:p>
    <w:p w14:paraId="0DD9340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ОКБ-172 разработало экстралегкие снаряды типа "Кольцо". При стрельбе ими из БС-3 была получена начальная скорость 1650 м/с.</w:t>
      </w:r>
    </w:p>
    <w:p w14:paraId="60AE257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Но тогда нужды в снарядах типа "Кольцо" и подкалиберных снарядах не было, так как калиберные бронебойные снаряды БС-3 и так пробивали броню любого немецкого танка (САУ "Фердинанд" применялись лишь в нескольких эпизодах войны).</w:t>
      </w:r>
    </w:p>
    <w:p w14:paraId="13E1460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Первоначально пушки БС-3 были запущены сразу на двух ленинградских заводах № 7 ("Арсенал") и № 232 ("Большевик"). Пушки производились до 1951 года, данные по производству смотри в таблице.</w:t>
      </w:r>
    </w:p>
    <w:p w14:paraId="4447C8D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ходе Великой Отечественной войны было утеряно около сотни пушек БС-3. В послевоенные годы пушка БС-3 подверглась небольшой модернизации, это в первую очередь касалось прицелов и боеприпасов.</w:t>
      </w:r>
    </w:p>
    <w:p w14:paraId="10F1B61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1950 году на заводе № 7 был изготовлен опытный образец пушки БС-3 с безгильзовой обтюрацией. Он прошел испытания, но не был принят на вооружение</w:t>
      </w:r>
    </w:p>
    <w:p w14:paraId="23E2F76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ночь на 4 июня 1943 экипаж 890 полка под командованием Шамрая сбросила ФАБ-5000 на ж/д узел в Орле (1564,10).</w:t>
      </w:r>
    </w:p>
    <w:p w14:paraId="553A17F6" w14:textId="77777777" w:rsidR="00531570" w:rsidRPr="00D03F3E" w:rsidRDefault="00531570" w:rsidP="00D03F3E">
      <w:pPr>
        <w:pStyle w:val="Iauiue"/>
        <w:jc w:val="both"/>
        <w:rPr>
          <w:color w:val="000000" w:themeColor="text1"/>
          <w:sz w:val="16"/>
          <w:szCs w:val="16"/>
        </w:rPr>
      </w:pPr>
    </w:p>
    <w:p w14:paraId="30B627A3" w14:textId="77777777" w:rsidR="00E40CBE" w:rsidRPr="00D03F3E" w:rsidRDefault="00E40CBE" w:rsidP="00D03F3E">
      <w:pPr>
        <w:pStyle w:val="ae"/>
        <w:shd w:val="clear" w:color="auto" w:fill="FFFFFF"/>
        <w:spacing w:before="0" w:after="0"/>
        <w:jc w:val="both"/>
        <w:rPr>
          <w:color w:val="000000" w:themeColor="text1"/>
          <w:sz w:val="16"/>
          <w:szCs w:val="16"/>
        </w:rPr>
      </w:pPr>
      <w:r w:rsidRPr="00D03F3E">
        <w:rPr>
          <w:color w:val="000000" w:themeColor="text1"/>
          <w:sz w:val="16"/>
          <w:szCs w:val="16"/>
        </w:rPr>
        <w:lastRenderedPageBreak/>
        <w:t>С 4 по 16 июня 1943 прибывшие 26 мая 1943 на Гороховецкий АНИОП 4 СУ-15 и 3 СУ-38 были испытаны стрельбой машины и испытания выдержали, а с ходовыми испытаниями обнаружились прежние проблемы. Наблюдался повышенный износ гусениц и других элементов ходовой части (17728).</w:t>
      </w:r>
    </w:p>
    <w:p w14:paraId="571B67F0" w14:textId="77777777" w:rsidR="00E40CBE" w:rsidRPr="00D03F3E" w:rsidRDefault="00E40CBE" w:rsidP="00D03F3E">
      <w:pPr>
        <w:spacing w:after="0" w:line="240" w:lineRule="auto"/>
        <w:jc w:val="both"/>
        <w:rPr>
          <w:rFonts w:ascii="Times New Roman" w:hAnsi="Times New Roman"/>
          <w:color w:val="000000" w:themeColor="text1"/>
          <w:sz w:val="16"/>
          <w:szCs w:val="16"/>
        </w:rPr>
      </w:pPr>
    </w:p>
    <w:p w14:paraId="516F463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июня 1943 г. была подготовлена ДОКЛАДНАЯ ЗАПИСКА КОМАНДУЮЩЕГО БТ и МВ КА НАРОДНОМУ КОМИССАРУ ОБОРОНЫ МАРШАЛУ СОВЕТСКОГО СОЮЗА И.В. СТАЛИНУ О ГОТОВНОСТИ К ДЕМОНСТРАЦИИ ТАНКА С ПРОТИВОМИННЫМ ТРАЛОМ № 1151906</w:t>
      </w:r>
    </w:p>
    <w:p w14:paraId="34E598A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Докладываю, что по Вашему приказанию противоминный трал и танк доставлены в Кремль. Прошу Вас назначить время для показа.</w:t>
      </w:r>
    </w:p>
    <w:p w14:paraId="671D1A8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Командующий бронетанковыми и механизированными войсками КА генерал-полковник танковых войск Федоренко</w:t>
      </w:r>
    </w:p>
    <w:p w14:paraId="628E7B5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1380. Л. 35. Копия (11403).</w:t>
      </w:r>
    </w:p>
    <w:p w14:paraId="0F1D8B9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B8136C2" w14:textId="77777777" w:rsidR="00531570" w:rsidRPr="00D03F3E" w:rsidRDefault="00531570" w:rsidP="00D03F3E">
      <w:pPr>
        <w:pStyle w:val="a8"/>
        <w:widowControl/>
        <w:jc w:val="both"/>
        <w:rPr>
          <w:rFonts w:ascii="Times New Roman" w:hAnsi="Times New Roman" w:cs="Times New Roman"/>
          <w:color w:val="000000" w:themeColor="text1"/>
        </w:rPr>
      </w:pPr>
      <w:r w:rsidRPr="00D03F3E">
        <w:rPr>
          <w:rFonts w:ascii="Times New Roman" w:hAnsi="Times New Roman" w:cs="Times New Roman"/>
          <w:color w:val="000000" w:themeColor="text1"/>
        </w:rPr>
        <w:t>С 4 июня по 5 июля 1943 фашистская авиация совершила на ГАЗ 25 налетов, в результате которых предприятие понесло значительный ущерб, нарушился поточный производственный цикл. Но, несмотря на бомбежки, выпуск оборонной продукции, в том числе и полуторок, продолжался. К восстановительным работам были привлечены рабочие с других предприятий. Уже 18 августа работали все цеха, а к 28 октября завод восстановили полностью (9648).</w:t>
      </w:r>
    </w:p>
    <w:p w14:paraId="271EA9F0" w14:textId="77777777" w:rsidR="00531570" w:rsidRPr="00D03F3E" w:rsidRDefault="00531570" w:rsidP="00D03F3E">
      <w:pPr>
        <w:pStyle w:val="a8"/>
        <w:widowControl/>
        <w:jc w:val="both"/>
        <w:rPr>
          <w:rFonts w:ascii="Times New Roman" w:hAnsi="Times New Roman" w:cs="Times New Roman"/>
          <w:color w:val="000000" w:themeColor="text1"/>
        </w:rPr>
      </w:pPr>
    </w:p>
    <w:p w14:paraId="5E6A209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июня 1943 Закончены государственные испытания головного МБК. Приемный акт подписан 22 сентября 1943 г (10671).</w:t>
      </w:r>
    </w:p>
    <w:p w14:paraId="2871613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0AAD6A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июня 1943 вышло Постановление ГКО № 3494 О плане добычи угля и сланца на июнь 1943 года.РГАНИР, Фонд ГКО, д. 122, лл. 45-51, 52-54 (11012).</w:t>
      </w:r>
    </w:p>
    <w:p w14:paraId="54F927B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5769FE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июня 1943 вышло Постановление ГКО № 3495 О добыче нефти и выработке нефтепродуктов в июне 1943 года.РГАНИР, Фонд ГКО, д. 122, лл. 55-59, 60-61 (11012).</w:t>
      </w:r>
    </w:p>
    <w:p w14:paraId="62E05E3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48C52C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июня 1943 вышло Постановление ГКО № 3496 О плане производства и поставок артиллерийского и стрелкового вооружения и военных приборов на июнь месяц 1943 года.РГАНИР, Фонд ГКО, д. 122, лл. 62-74, 75-84 (11012).</w:t>
      </w:r>
    </w:p>
    <w:p w14:paraId="264F94F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612ECA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июня 1943 вышло Постановление ГКО № 3497 О плане производства минометного вооружения на июнь месяц 1943 года.РГАНИР, Фонд ГКО, д. 122, лл. 85-89, 90-105 (11012).</w:t>
      </w:r>
    </w:p>
    <w:p w14:paraId="2F0D6E2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146A8F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июня 1943 вышло Постановление ГКО № 3498 О плане производства и поставок пулеметов-пистолетов Шпагина в июне месяце 1943 года.РГАНИР, Фонд ГКО, д. 122, лл. 106-111, 112-122 (11012).</w:t>
      </w:r>
    </w:p>
    <w:p w14:paraId="7ECC5E9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156ECA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июня 1943 вышло Постановление ГКО № 3499 О плане производства и поставок патронов и звеньев Наркоматом вооружения в июне 1943 г.РГАНИР, Фонд ГКО, д. 122, лл. 123-128, 129-136 (11012).</w:t>
      </w:r>
    </w:p>
    <w:p w14:paraId="7EC0A17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F006A2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июня 1943 вышло Постановление ГКО № 3500 О плане комплектной сдачи боеприпасов в июне 1943 года.РГАНИР, Фонд ГКО, д. 123, лл. 1-21, 22-60 (11012).</w:t>
      </w:r>
    </w:p>
    <w:p w14:paraId="0DF4C6C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279FEF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июня 1943 вышло Постановление ГКО № 3501 О плане производства важнейших химикатов для боеприпасов и народного хозяйства на июнь 1943 г.РГАНИР, Фонд ГКО, д. 123, лл. 61-70 (11012).</w:t>
      </w:r>
    </w:p>
    <w:p w14:paraId="1D36C7D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99E080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июня 1943 г. вышло Постановление ГКО № 3502 «О производстве средств химической защиты» (Д. 176. Л. 174–181).</w:t>
      </w:r>
    </w:p>
    <w:p w14:paraId="1EA6115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3F3FD9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июня 1943 вышло Постановление ГКО № 3503 О строительстве танкодромов и дорог для выходов танков на полевые испытания.РГАНИР, Фонд ГКО, д. 123, лл. 78-84 (11012).</w:t>
      </w:r>
    </w:p>
    <w:p w14:paraId="225357A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25763E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июня 1943 вышло Постановление ГКО № 3504 Об обеспечении торфопредприятий Наркомэлектростанций и Наркомтекстиля СССР рабочей силой для проведения сушки и уборки торфа в сезоне 1943 года.РГАНИР, Фонд ГКО, д. 123, лл. 85-86, 87 (11012).</w:t>
      </w:r>
    </w:p>
    <w:p w14:paraId="1DA1AAB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E1F98C8"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7D350A1E" w14:textId="77777777" w:rsidR="00531570" w:rsidRPr="00D03F3E" w:rsidRDefault="00531570" w:rsidP="00D03F3E">
      <w:pPr>
        <w:pStyle w:val="Iauiue"/>
        <w:jc w:val="both"/>
        <w:rPr>
          <w:iCs/>
          <w:color w:val="000000" w:themeColor="text1"/>
          <w:sz w:val="16"/>
          <w:szCs w:val="16"/>
        </w:rPr>
      </w:pPr>
    </w:p>
    <w:p w14:paraId="76D21C74" w14:textId="77777777" w:rsidR="00227A2A" w:rsidRPr="00D03F3E" w:rsidRDefault="00227A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4 июня</w:t>
      </w:r>
      <w:r w:rsidRPr="00D03F3E">
        <w:rPr>
          <w:rFonts w:ascii="Times New Roman" w:hAnsi="Times New Roman"/>
          <w:color w:val="000000" w:themeColor="text1"/>
          <w:sz w:val="16"/>
          <w:szCs w:val="16"/>
        </w:rPr>
        <w:t xml:space="preserve"> в 1943 году утреннее сообщение Совинформбюро:</w:t>
      </w:r>
    </w:p>
    <w:p w14:paraId="759A7C35" w14:textId="77777777" w:rsidR="00227A2A" w:rsidRPr="00D03F3E" w:rsidRDefault="00227A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4 июня на фронте ничего существенного не произошло.</w:t>
      </w:r>
    </w:p>
    <w:p w14:paraId="429BF703" w14:textId="77777777" w:rsidR="00227A2A" w:rsidRPr="00D03F3E" w:rsidRDefault="00227A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Кубани, в районе северо-восточнее Новороссийска, в течение 3 июня наши лётчики в воздушных боях сбили 19 немецких самолётов. Дополнительно к этому 4 самолёта противника сбито огнём зенитной артиллерии и ружейно-пулемётным огнём наших пехотных частей.</w:t>
      </w:r>
    </w:p>
    <w:p w14:paraId="74600E5F" w14:textId="77777777" w:rsidR="00227A2A" w:rsidRPr="00D03F3E" w:rsidRDefault="00227A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артиллеристы Н-ской части разрушили 7 дзотов и блиндажей, подавили огонь миномётной и двух артиллерийских батарей противника. Группа разведчиков под командованием старшего сержанта т. Акенчеца проникла в тыл противника. За два дня наши бойцы разведали вражескую оборону и, захватив в плен двух немецких пулемётчиков, благополучно вернулись в свою часть.</w:t>
      </w:r>
    </w:p>
    <w:p w14:paraId="24143C03" w14:textId="77777777" w:rsidR="00227A2A" w:rsidRPr="00D03F3E" w:rsidRDefault="00227A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на одном участке немецкая пехота пыталась атаковать наше боевое охранение. Бойцы Н-ской части контрударом отбросили противника, уничтожив при этом до 70 немецких солдат и офицеров.</w:t>
      </w:r>
    </w:p>
    <w:p w14:paraId="374F0F57" w14:textId="77777777" w:rsidR="00227A2A" w:rsidRPr="00D03F3E" w:rsidRDefault="00227A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подразделение Н-ской части предприняло разведку боем. Наши бойцы стремительно ворвались в расположение противника и, уничтожив до 40гитлеровцев, заняли несколько вражеских окопов. Взяты пленные и трофеи. На другом участке наши подразделения отбили атаку противника. В результате боя подбит немецкий танк и уничтожено до роты гитлеровцев.</w:t>
      </w:r>
    </w:p>
    <w:p w14:paraId="6F0C44AF" w14:textId="77777777" w:rsidR="00227A2A" w:rsidRPr="00D03F3E" w:rsidRDefault="00227A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разведывательные отряды уничтожили более 100 вражеских солдат и офицеров, разрушили 7 дзотов, 12 блиндажей, 2 наблюдательных пункта и взорвали 3 оклада противника с боеприпасами.</w:t>
      </w:r>
    </w:p>
    <w:p w14:paraId="44B3E3BC" w14:textId="77777777" w:rsidR="00227A2A" w:rsidRPr="00D03F3E" w:rsidRDefault="00227A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Рота немецких солдат напала на отряд латвийских партизан. Подпустив врага на близкое расстояние, советские патриоты отрыли дружный огонь и уничтожили 60 гитлеровцев. Партизаны захватили 4 повозки, станковый пулемёт, ротный миномёт и другие трофеи. Партизаны-латыши из другого отряда обстреляли на шоссейной дороге легковую автомашину и убили находившихся в ней 3 немецких офицеров. В Латгалии партизаны пустили под откос немецкий воинский эшелон в составе 14 вагонов.</w:t>
      </w:r>
    </w:p>
    <w:p w14:paraId="44348E5F" w14:textId="77777777" w:rsidR="00227A2A" w:rsidRPr="00D03F3E" w:rsidRDefault="00227A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Еще не так давно немецко-фашистские убийцы бомбардировками с воздуха разрушали города и сёла свободолюбивых стран, борющихся против гитлеровской тирании. Теперь англо-американская авиация начала наносить сокрушительные удары по центрам военной промышленности Германии. Фашистские ублюдки всех рангов тотчас же завопили. Из Германии на советско-германский фронт хлынул поток писем. Солдату Паулю Редману пишет его мать: «Эссен превращен в груду развалин. Эти ночи я никогда не забуду. Я уже написала завещание». Солдату Иосифу Клеймеру сообщает его сестра: «Недавно англичане и американцы снова были в Мюнхене. Ужас что они тут натворили. Твое счастье, что ты не в Мюнхене». У неизвестного немецкого солдата, убитого в бою с партизанами, найдено письмо из Берлина. В нём говорится: "В понедельник была воздушная тревога. Это поразительно — как далеко они летают и как тяжело в Берлине во время бомбардировки. Во всяком случае этот налёт был самый ужасный из всех предыдущих. Очень сильный ветер не давал возможности тушить пожары. Пожарные ничего не могли сделать» (14912).</w:t>
      </w:r>
    </w:p>
    <w:p w14:paraId="2F469BA5" w14:textId="77777777" w:rsidR="00227A2A" w:rsidRPr="00D03F3E" w:rsidRDefault="00227A2A" w:rsidP="00D03F3E">
      <w:pPr>
        <w:spacing w:after="0" w:line="240" w:lineRule="auto"/>
        <w:jc w:val="both"/>
        <w:rPr>
          <w:rFonts w:ascii="Times New Roman" w:hAnsi="Times New Roman"/>
          <w:color w:val="000000" w:themeColor="text1"/>
          <w:sz w:val="16"/>
          <w:szCs w:val="16"/>
        </w:rPr>
      </w:pPr>
    </w:p>
    <w:p w14:paraId="42CDC735" w14:textId="77777777" w:rsidR="00227A2A" w:rsidRPr="00D03F3E" w:rsidRDefault="00227A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4 июня</w:t>
      </w:r>
      <w:r w:rsidRPr="00D03F3E">
        <w:rPr>
          <w:rFonts w:ascii="Times New Roman" w:hAnsi="Times New Roman"/>
          <w:color w:val="000000" w:themeColor="text1"/>
          <w:sz w:val="16"/>
          <w:szCs w:val="16"/>
        </w:rPr>
        <w:t xml:space="preserve"> в 1943 году вечернее сообщение Совинформбюро:</w:t>
      </w:r>
    </w:p>
    <w:p w14:paraId="6B6013EB" w14:textId="77777777" w:rsidR="00227A2A" w:rsidRPr="00D03F3E" w:rsidRDefault="00227A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4 июня на фронте существенных изменений не произошло.</w:t>
      </w:r>
    </w:p>
    <w:p w14:paraId="5FE90C24" w14:textId="77777777" w:rsidR="00227A2A" w:rsidRPr="00D03F3E" w:rsidRDefault="00227A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уничтожили до 200 немецких солдат и офицеров.На одном участке наши бойцы подожгли лесной завал на переднем крае немецкойобороны. Когда немецкие солдаты вылезли из траншей, чтобы потушить пожар, наши снайперы открыли огонь и уничтожили более 20 немцев.</w:t>
      </w:r>
    </w:p>
    <w:p w14:paraId="0A839EF8" w14:textId="77777777" w:rsidR="00227A2A" w:rsidRPr="00D03F3E" w:rsidRDefault="00227A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в воздушном бою сбили 2 немецких самолёта. Один самолёт противника уничтожен огнём зенитной артиллерии.</w:t>
      </w:r>
    </w:p>
    <w:p w14:paraId="7676340E" w14:textId="77777777" w:rsidR="00227A2A" w:rsidRPr="00D03F3E" w:rsidRDefault="00227A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артиллерийским огнём уничтожены две миномётные батареи противника, взорван склад боеприпасов, разбито 3 автомашины и несколько повозок с боеприпасами. Снайперы Н-ской части истребили 44 гитлеровца.</w:t>
      </w:r>
    </w:p>
    <w:p w14:paraId="2FB8047C" w14:textId="77777777" w:rsidR="00227A2A" w:rsidRPr="00D03F3E" w:rsidRDefault="00227A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отряд противника пытался на лодках переправиться через реку Северный Донец. Наши бойцы открыли ружейно-пулемётный огонь и уничтожили большую часть гитлеровцев. Огнём нашей артиллерии подбито и сожжено 2 немецких танка, рассеяно и частью уничтожено до двух рот пехоты противника.</w:t>
      </w:r>
    </w:p>
    <w:p w14:paraId="4190C537" w14:textId="77777777" w:rsidR="00227A2A" w:rsidRPr="00D03F3E" w:rsidRDefault="00227A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На Ленинградском фронте наши подразделения разрушили 7 вражеских дзотов и 5 землянок, сожгли немецкий танк, уничтожили орудие и более 100 немецких солдат и офицеров. Снайпер младший сержант Иван Гаев бронебойно-зажигательными пулями зажёг аэростат, корректировавший огонь артиллерии противника. Немецкий наблюдатель, находившийся в гондоле аэростата, убит.</w:t>
      </w:r>
    </w:p>
    <w:p w14:paraId="69EAA359" w14:textId="77777777" w:rsidR="00227A2A" w:rsidRPr="00D03F3E" w:rsidRDefault="00227A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имени Чкалова, действующий в одном из районов Барановичской области, за последнее время пустил под откос 5 немецких воинских эшелонов. В результате крушения уничтожен ряд платформ с танками и сожжено 11 железнодорожных цистерн с горючим. На шоссейных дорогах из засад истреблено 60 гитлеровцев. Партизаны из отряда имени Чапаева разгромили колонну противника. Убито 26 немецких солдат и 5 офицеров. Партизанами захвачены у противника 28 винтовок, пулемёт, 2 автомата, несколько тысяч патронов, гранаты и другие трофеи.</w:t>
      </w:r>
    </w:p>
    <w:p w14:paraId="69897B66" w14:textId="77777777" w:rsidR="00227A2A" w:rsidRPr="00D03F3E" w:rsidRDefault="00227A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солдат 531 полка 383 немецкой пехотной дивизии, словенец по национальности, Станислав Л. рассказал: «Немецкие оккупанты подвергают словенцев неслыханным преследованиям и издевательствам. Нам запретили разговаривать на родном языке. Оккупанты закрыли наши школы и церкви. Близ городаСараево на строительстве дороги работают многие заключённые словенские общественные деятели, писатели, учителя и священники. Там же находится и шестидесятилетний священник Шегола из села Максау. Под предлогом борьбы с партизанами гитлеровцы убивают мирных жителей, изгоняют целые деревни с насиженных мест, отбирают у земледельцев их хозяйства. Недавно в районе Петтау оккупанты расстреляли несколько сот человек. В Словению наехали целые стаи немецких чиновников. Они вместе с немецкими солдатами грабят крестьян и опустошают страну. Словенцы не хотят служить в немецкой армии, но их насильно мобилизуют. Гитлеровцы знают, что мы их ненавидим, но, видимо, плохи дела немцев, если они вынуждены брать в армию своих явных врагов. В составе маршевого батальона было не менее 100 словенцев. Еще по дороге на фронт мы сговорились о переходе на сторону русских, как только это будет возможно».</w:t>
      </w:r>
    </w:p>
    <w:p w14:paraId="5A4FF1BD" w14:textId="77777777" w:rsidR="00227A2A" w:rsidRPr="00D03F3E" w:rsidRDefault="00227A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время оккупации города Демянска на болотистом участке, обнесённом несколькими рядами колючей проволоки, немцами был организован лагерь для пленных красноармейцев и мирных советских граждан. В этом лагере немецкие бандиты уморили голодом, замучили и расстреляли сотни советских людей. Печник Александр Карпов, которого гитлеровцы заставили сложить печи в комендатуре лагеря, был невольным свидетелем фашистских зверств. Карпов рассказывает: «Немцы избивали свои жертвы досмерти, подвергали их пыткам. Трупы убитых гитлеровцы закапывали в траншеях неподалёку от лагеря». На днях в присутствии Медицинской комиссии была вскрыта одна могила. Из неё извлечено большое количество трупов. Всего в районе лагеря обнаружено 27 массовых могил.» (14912).</w:t>
      </w:r>
    </w:p>
    <w:p w14:paraId="47F9B8E6" w14:textId="77777777" w:rsidR="00227A2A" w:rsidRPr="00D03F3E" w:rsidRDefault="00227A2A" w:rsidP="00D03F3E">
      <w:pPr>
        <w:spacing w:after="0" w:line="240" w:lineRule="auto"/>
        <w:jc w:val="both"/>
        <w:rPr>
          <w:rFonts w:ascii="Times New Roman" w:hAnsi="Times New Roman"/>
          <w:color w:val="000000" w:themeColor="text1"/>
          <w:sz w:val="16"/>
          <w:szCs w:val="16"/>
        </w:rPr>
      </w:pPr>
    </w:p>
    <w:p w14:paraId="52373635" w14:textId="77777777" w:rsidR="00666F51" w:rsidRPr="00D03F3E" w:rsidRDefault="00666F51" w:rsidP="00D03F3E">
      <w:pPr>
        <w:pStyle w:val="Iauiue"/>
        <w:jc w:val="both"/>
        <w:rPr>
          <w:color w:val="000000" w:themeColor="text1"/>
          <w:sz w:val="16"/>
          <w:szCs w:val="16"/>
        </w:rPr>
      </w:pPr>
      <w:r w:rsidRPr="00D03F3E">
        <w:rPr>
          <w:color w:val="000000" w:themeColor="text1"/>
          <w:sz w:val="16"/>
          <w:szCs w:val="16"/>
        </w:rPr>
        <w:t>4 июня 1943 с помощью ФАБ-5000 перепахали железнодорожные пути в районе Орла, затруднив переброску германских войск в район Курского выступа (7685).</w:t>
      </w:r>
    </w:p>
    <w:p w14:paraId="2B276340" w14:textId="77777777" w:rsidR="00666F51" w:rsidRPr="00D03F3E" w:rsidRDefault="00666F51" w:rsidP="00D03F3E">
      <w:pPr>
        <w:pStyle w:val="Iauiue"/>
        <w:jc w:val="both"/>
        <w:rPr>
          <w:color w:val="000000" w:themeColor="text1"/>
          <w:sz w:val="16"/>
          <w:szCs w:val="16"/>
        </w:rPr>
      </w:pPr>
    </w:p>
    <w:p w14:paraId="2117597B" w14:textId="77777777" w:rsidR="00666F51" w:rsidRPr="00D03F3E" w:rsidRDefault="00666F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июня 1943 с помощью ФАБ-5000 перепахали железнодорожные пути в районе Орла, затруднив переброску германских войск в район Курского выступа. В июле 1943 года ФАБ-5000 обрушивались в ходе начавшейся Курской битвы на войска противника и на Орел. Всего до весны 1944 года на головы немцев было сброшено 13 ФАБ-5000 (12726).</w:t>
      </w:r>
    </w:p>
    <w:p w14:paraId="17D08540" w14:textId="77777777" w:rsidR="00666F51" w:rsidRPr="00D03F3E" w:rsidRDefault="00666F51" w:rsidP="00D03F3E">
      <w:pPr>
        <w:pStyle w:val="ae"/>
        <w:spacing w:before="0" w:after="0"/>
        <w:jc w:val="both"/>
        <w:rPr>
          <w:rStyle w:val="mfont1"/>
          <w:rFonts w:eastAsia="Times New Roman"/>
          <w:bCs/>
          <w:color w:val="000000" w:themeColor="text1"/>
          <w:sz w:val="16"/>
          <w:szCs w:val="16"/>
        </w:rPr>
      </w:pPr>
    </w:p>
    <w:p w14:paraId="35949941" w14:textId="77777777" w:rsidR="00227A2A" w:rsidRPr="00D03F3E" w:rsidRDefault="00227A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4 июня</w:t>
      </w:r>
      <w:r w:rsidRPr="00D03F3E">
        <w:rPr>
          <w:rFonts w:ascii="Times New Roman" w:hAnsi="Times New Roman"/>
          <w:color w:val="000000" w:themeColor="text1"/>
          <w:sz w:val="16"/>
          <w:szCs w:val="16"/>
        </w:rPr>
        <w:t xml:space="preserve"> в 1943 году с бомбардировщика </w:t>
      </w:r>
      <w:hyperlink r:id="rId192" w:tgtFrame="_blank" w:history="1">
        <w:r w:rsidRPr="00D03F3E">
          <w:rPr>
            <w:rFonts w:ascii="Times New Roman" w:hAnsi="Times New Roman"/>
            <w:color w:val="000000" w:themeColor="text1"/>
            <w:sz w:val="16"/>
            <w:szCs w:val="16"/>
          </w:rPr>
          <w:t xml:space="preserve">«Пе-8» «4М-30» </w:t>
        </w:r>
      </w:hyperlink>
      <w:r w:rsidRPr="00D03F3E">
        <w:rPr>
          <w:rFonts w:ascii="Times New Roman" w:hAnsi="Times New Roman"/>
          <w:color w:val="000000" w:themeColor="text1"/>
          <w:sz w:val="16"/>
          <w:szCs w:val="16"/>
        </w:rPr>
        <w:t>сбросили «ФАБ-5000» перепахав железнодорожные пути в районе Орла, затруднив переброску германских войск в район Курского выступа. В июле 1943 года «ФАБ-5000» обрушивались в ходе начавшейся Курской битвы на войска противника и на Орел. Всего до весны 1944 года на головы немцев было сброшено 13 «ФАБ-5000» (14912).</w:t>
      </w:r>
    </w:p>
    <w:p w14:paraId="20C82483" w14:textId="77777777" w:rsidR="00227A2A" w:rsidRPr="00D03F3E" w:rsidRDefault="00227A2A" w:rsidP="00D03F3E">
      <w:pPr>
        <w:spacing w:after="0" w:line="240" w:lineRule="auto"/>
        <w:jc w:val="both"/>
        <w:rPr>
          <w:rFonts w:ascii="Times New Roman" w:hAnsi="Times New Roman"/>
          <w:color w:val="000000" w:themeColor="text1"/>
          <w:sz w:val="16"/>
          <w:szCs w:val="16"/>
        </w:rPr>
      </w:pPr>
    </w:p>
    <w:p w14:paraId="392D7D86" w14:textId="77777777" w:rsidR="00227A2A" w:rsidRPr="00D03F3E" w:rsidRDefault="00227A2A" w:rsidP="00D03F3E">
      <w:pPr>
        <w:pStyle w:val="Iauiue"/>
        <w:jc w:val="both"/>
        <w:rPr>
          <w:color w:val="000000" w:themeColor="text1"/>
          <w:sz w:val="16"/>
          <w:szCs w:val="16"/>
          <w:lang w:val="en-US"/>
        </w:rPr>
      </w:pPr>
      <w:r w:rsidRPr="00D03F3E">
        <w:rPr>
          <w:color w:val="000000" w:themeColor="text1"/>
          <w:sz w:val="16"/>
          <w:szCs w:val="16"/>
          <w:lang w:val="en-US"/>
        </w:rPr>
        <w:t xml:space="preserve">4 </w:t>
      </w:r>
      <w:r w:rsidRPr="00D03F3E">
        <w:rPr>
          <w:color w:val="000000" w:themeColor="text1"/>
          <w:sz w:val="16"/>
          <w:szCs w:val="16"/>
        </w:rPr>
        <w:t>июня</w:t>
      </w:r>
      <w:r w:rsidRPr="00D03F3E">
        <w:rPr>
          <w:color w:val="000000" w:themeColor="text1"/>
          <w:sz w:val="16"/>
          <w:szCs w:val="16"/>
          <w:lang w:val="en-US"/>
        </w:rPr>
        <w:t xml:space="preserve"> 1943 </w:t>
      </w:r>
      <w:r w:rsidRPr="00D03F3E">
        <w:rPr>
          <w:color w:val="000000" w:themeColor="text1"/>
          <w:sz w:val="16"/>
          <w:szCs w:val="16"/>
        </w:rPr>
        <w:t>ВВСбомбилиБрянск</w:t>
      </w:r>
      <w:r w:rsidRPr="00D03F3E">
        <w:rPr>
          <w:color w:val="000000" w:themeColor="text1"/>
          <w:sz w:val="16"/>
          <w:szCs w:val="16"/>
          <w:lang w:val="en-US"/>
        </w:rPr>
        <w:t xml:space="preserve"> (2262).</w:t>
      </w:r>
    </w:p>
    <w:p w14:paraId="21353F8B" w14:textId="77777777" w:rsidR="00227A2A" w:rsidRPr="00D03F3E" w:rsidRDefault="00227A2A" w:rsidP="00D03F3E">
      <w:pPr>
        <w:pStyle w:val="Iauiue"/>
        <w:jc w:val="both"/>
        <w:rPr>
          <w:color w:val="000000" w:themeColor="text1"/>
          <w:sz w:val="16"/>
          <w:szCs w:val="16"/>
          <w:lang w:val="en-US"/>
        </w:rPr>
      </w:pPr>
    </w:p>
    <w:p w14:paraId="12D38460"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June 4th, 1943: In the East, Luftwaffe bombers attack the great tank-producing plants at Gorki (3819).</w:t>
      </w:r>
    </w:p>
    <w:p w14:paraId="578A1849" w14:textId="77777777" w:rsidR="00531570" w:rsidRPr="00D03F3E" w:rsidRDefault="00531570" w:rsidP="00D03F3E">
      <w:pPr>
        <w:pStyle w:val="Iauiue"/>
        <w:jc w:val="both"/>
        <w:rPr>
          <w:color w:val="000000" w:themeColor="text1"/>
          <w:sz w:val="16"/>
          <w:szCs w:val="16"/>
          <w:lang w:val="en-US"/>
        </w:rPr>
      </w:pPr>
    </w:p>
    <w:p w14:paraId="67D2984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июня 1943 Люфтваффе бомбили Горький (2262).</w:t>
      </w:r>
    </w:p>
    <w:p w14:paraId="152A0F34" w14:textId="77777777" w:rsidR="00531570" w:rsidRPr="00D03F3E" w:rsidRDefault="00531570" w:rsidP="00D03F3E">
      <w:pPr>
        <w:pStyle w:val="Iauiue"/>
        <w:jc w:val="both"/>
        <w:rPr>
          <w:color w:val="000000" w:themeColor="text1"/>
          <w:sz w:val="16"/>
          <w:szCs w:val="16"/>
        </w:rPr>
      </w:pPr>
    </w:p>
    <w:p w14:paraId="0996051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Утром 4 июня 1843 «Хейнкели» из П. и III./KG55 «Грайф» также перелетели с аэродрома Сталино в Карачев и Сещинскую. Первая группа эскадры в это время находилась на переформировании, и потому принять участие в операции не могла. В общей сложности на Брянско-Орловском аэроузле были сосредоточены девять бомбардировочных групп из семи эскадр. Общее оперативное руководство их действиями принял на себя командир 1-й авиадивизии генерал-лейтенант Альфред Бюловиус [145] . Было решено в первом налете использо вать все имеющиеся боеготовые машины, чтобы, используя эффект внезапности, нанести автозаводу им. Молотова максимальный ущерб. Для фиксирования результатов налетов на Горький была специально выделена 1-я эскадрилья , оснащенная самолетами-разведчиками Ju-88D, Do-217E и Аг-240. Днем 4 июня на немецких аэродромах кипела работа, штабисты изучали карты Горького и схемы цели, разрабатывая маршруты полета и тактику бомбометания. Й. Вольферсбергер из 5-й эскадрильи KG27 «Бельке» вспоминал об этом дне:  «Ранним утром 4 июня нас разбудили и выдали карты всего течения Волги и района вплоть до Ленинграда, кажется, в воздухе затевалось нечто крупное. Говорили, что это будет налет на Москву и что уже имеются схемы целей, но около 16 часов был окончательно объявлено: цель налета – Горький, центр военной промышленности на Волге… С наступлением лета нас редко можно было увидеть на улице днем, было жарко и время до полудня мы так или иначе проводили лежа в кроватях, и после завтрака каждый предавался своим собственным мыслям. Нередко наши разговоры касались возможности совершения вынужденной посадки в глубине русской территории или необходимости выпрыгнуть на парашюте, и того, что мы должны были делать при этом. На всякий случай было бы хорошо держать в голове карту, а значит, и направление рек, железных дорог и т.п.».  Летный состав эскадр, безусловно, осознавал важность предстоящей операции. Тот факт, что германская авиация вновь готовилась выполнять наступательные задачи, сразу поднял моральный дух летчиков. Интенсивная авиационная подготовка на основе накопленного боевого опыта уже гарантировала половину успеха. Оставалось лишь точно выйти в район цели и поразить ее. Тем временем к вечеру вернулся самолет-разведчик, экипаж которого сообщил, что в районе Горького стоит безоблачная погода и дует северо-восточный ветер со скоростью 2,7 м/с. При этом пролет Ju-88 остался незамеченным местными постами ВНОС. Правда, одна из работниц ГАЗа впоследствии вспоминала, что около 15.00, выходя с завода после окончания смены, все рабочие видели черный самолет, пролетавший над городом. Й. Вольферсбергер продолжал свой рассказ:  «Около 17 часов пришло предварительное распоряжение, определявшее экипажи и машины, оно давало уверенность, что все уже решено. Если ничего особенного не произойдет, я так или иначе буду участвовать в вылете. Предполетный инструктаж был назначен на 19.00, а до этого у нас еще было время для ужина, написания писем и т.п. Сейчас едва ли можно было различить воинские звания, все были одеты в летные комбинезоны, и приятели приветствовали друг друга рукопожатиями.  Незадолго до 20.00 один из офицеров построил экипажи, и сразу же в дверях появился шеф. «Привет летчики! – приветствовал он нас и сразу же скомандовал: – Вольно, пилоты и штурманы ко мне!» С бумагой и карандашами в руках мы столпились вокруг большого стола, на котором перед нами лежала карта. «Итак, налет всеми имеющимися в наличии машинами на военный завод в Горьком на Волге. Время старта с 20.00 до 20.10 в следующей последовательности: „Антон“, „Цезарь“, „Паула“, „Эмиль“, „Фритц“, „Берта“, „Зигфрид“, „Отто“, „Мари“, „Северный полюс“ и последним „Курфюрст“. Бомбежка в районе 22.40—22.45, перед нами действует 2-я эскадрилья из KG4, таким образом, цель может уже гореть и, кроме того, освещена осветительными бомбами. Последние помогут облегчить бомбометание. Заход на цель с севера на юг, затем – отворот вправо. Высота произвольная, но тем не менее не ниже 2000 м. Ветер дует с курса 30° со скоростью 10 км/ч, над целью безоблачно. У кого есть вопросы ? Сверим часы! Так, ну а теперь ни пуха, ни пера!» Записав координаты нескольких радиомаяков и принятые сигналы осветительными ракетами, летчики бросили последний взгляд на подробные снимки автозавода, сложили карты и пошли к самолетам. Старший техник доложил экипажу Вольферсбергера, что их Не-111Н «1G+NN» готов к вылету, а оружейник сообщил, что в него загружены восемь тяжелых зажигательных бомб Flamm C250. Перед тем как подняться на борт, каждый летчик шел к хвосту самолета. Там он произносил традиционный девиз:  «Только настоящий летчик перед стартом писает на хвостовое оперение». В 19.57 по берлинскому времени двигатели первых машин были заведены и набирали обороты. Вскоре были запущены и моторы «Хейнкеля» Вольферсбергера. Далее он вспоминал: «Двигатели первых машин набирают оборот. Мы поступаем так же, и наши моторы равномерно гудят. Постепенно темнеет. Включается освещение, и теперь можно все видеть. Штурман сидит на откидном стуле в носу, так что он может обозревать пространство вокруг и вести отсчет: один, два, три, четыре, пять, шесть, семь, восемь, девять, таким образом, мы под номером десять. «Антон» стоит на линии старта, последний салют, дроссели открыты, и уже ревут тысячи лошадиных сил обоих Jumo 211, – хвост приподнимается, самолет отрывается от земли, уборка шасси, скорость растет, и машина набирает высоту. Сточными интервалами в 45 секунд за ней следуют другие машины. Так, сейчас перед нами только одна, она разбегается, и теперь включается наш секундомер. </w:t>
      </w:r>
    </w:p>
    <w:p w14:paraId="5B4D72C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И уже мы стоим на линии старта, стрелка движется безостановочно. Застегнуть привязные ремни, через две секунды рычаги дросселей медленно двигаются вперед, и бортмеханик, сидящий между пилотом и штурманом, докладывает о показаниях приборов, прежде всего о скорости. Итак, 120,140,160,180…, на 190км/ч самолет отрывается от земли. Внутри тяжелый груз, который несет смерть и разрушения. Это всегда особенное ощущение, когда твердая почва уходит из-под ног и вы поднимаетесь в воздух».  Одновременно с этим с аэродрома Сещинская один за другим взлетали «Хейнкели» из эскадры KG55 «Грайф». В 20.00 по берлинскому времени стартовало первое звено, за ним последовали остальные машины. Летчики потом вспоминали, что для каждого самолета эскадры был определен индивидуальный маршрут к цели, однако светлая ночь позволяла лететь даже в разреженном строю соединения. Для полета был выбран маршрут, огибающий Москву с юга. Линию фронта, отмеченную отсветами перестрелок, бомбардировщики пересекли в строю звеньев. При этом летчики из KG27 зафиксировали даже несколько прожекторов и отдельные выстрелы зениток, правда, не причинившие самолетам никакого вреда. Й. Вольферсбергер продолжал:  «Мы медленно забираемся все выше, и линия горизонта на востоке становится светлее. Вспышки извыхлопных патрубков двигателей слабеют, но их достаточно, чтобы видеть круги вращающихся винтов. Где-то впереди стреляют вражеские зенитки, лучи двух-трех прожекторов шарят вокруг в воздухе подобно пальцам мертвеца, ага, пожалуй, это наши „приятели“. Мы немного изменяем обороты двигателей, что вводит наблюдательные посты зенитчиков в заблуждение, и мы без малейшего ущерба преодолеваем </w:t>
      </w:r>
      <w:r w:rsidRPr="00D03F3E">
        <w:rPr>
          <w:rFonts w:ascii="Times New Roman" w:hAnsi="Times New Roman"/>
          <w:color w:val="000000" w:themeColor="text1"/>
          <w:sz w:val="16"/>
          <w:szCs w:val="16"/>
        </w:rPr>
        <w:lastRenderedPageBreak/>
        <w:t>первый рубеж: обороны».  Всего в первом массированном налете на Горький участвовали 168 бомбардировщиков, в т.ч. Не-111 из II./KG4 «Генерал Вефер» майора Рейнхарда Граубнера, KG27 «Бельке» майора Ханса-Хеннига фон Бёста, II и III./KG55 «Грайф» майоров Хайнца Хёфера и Вильгельма Антрупа и I./KG100 «Викинг» гауптмана Ханса Бётхера, а также Ju-88 из III./KG1 «Гинденбург» гауптмана Вернера Кантера, II./KG3 «Блиц» майора Юр гена де Лаланде и II./KG51 «Эдельвейс» майора Герберта Фосса. Это была самый массированный ночной налет с начала войны против Советского Союза! Самолеты шли на высоте 4000—5000 м небольшими группами с интервалами 10—15 минут. Для навигации на первом отрезке полета экипажи использовали мощный радиопередатчик Московской радиостанции им. Коминтерна, который нетрудно было запеленговать на определенной волне и с его помощью правильно определить направление. Кроме того, транслировавшиеся там патриотические песни и гимны вносили разнообразие в долгий полет. Через некоторое время внизу появилась блестящая лента Оки, которая служила прекрасным ориентиром для конечного выхода на цель.</w:t>
      </w:r>
    </w:p>
    <w:p w14:paraId="453A3EE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Горьком теплый вечер 4 июня 1943 не предвещал никаких важных событий. На предприятиях началась ночная смена, уставшие рабочие дневной смены вернулись в свои неказистые дома и бараки, с тем чтобы наутро вновь идти «ковать победу». Те немногие жители, что были свободны от работы, допоздна прогуливались по улицам, наслаждаясь наконец пришедшим летним теплом. Молодые пары, гулявшие вдоль стен древнего Кремля, поднимающегося на высоком откосе прямо над слиянием двух великих русских рек, последними наблюдали, как на западе, где-то за Окой и дымящимися трубами автозавода, зашло за горизонт приветливое июньское солнце. Никто и подумать не мог, что именно оттуда на их родной город надвигается грозная опасность. После 22.30 штаб Горьковского корпусного района ПВО неожиданно получил от центрального поста ВНОС из Москвы тревожное сообщение о том, что большая группа бомбардировщиков противника пересекла линию фронта, прошла над Тулой и движется в северо-восточном направлении. После этого были введены в действие РЛС РУС-2с, операторы которых вскоре подтвердили, что со стороны Владимирской и Рязанской областей приближаются вражеские самолеты. В 23.56 по местному времени по приказу командующего корпусным районом ПВО генерала А. А. Осипова был подан сигнал «Воздушная тревога». Городской сигнал «ВТ» был принят районами города на протяжении от одной до трех минут и продублирован электросиренами и гудками заводов в течение восьми минут. Однако отвыкшие от бомбежек и воя сирен руководители и работники ряда предприятий не смогли своевременно принять необходимые меры. Имели место нарушения светомаскировки. Так, в железнодорожном депо станции Горький-Сортировочная были демаскированы шесть окон, продолжительное время освещавшие территорию депо. Требования работников МПВО замаскировать окна начальником депо Трофимовым не были выполнены, в итоге пришлось просто отключить электроэнергию. На Борском стеклозаводе им. Горького после подачи сигнала «ВТ» явка медико-санитарной команды составила всего 4%, дегазационной – 17%, пожарной – 30%. В то же время зенитчики, прожектористы лихорадочно готовились к отражению налета. В небо плавно взмыли аэростаты заграждения. В 00.10 посты ВНОС около Вязников и Кулебак стали наперебой докладывать о том, что над ними в сторону города идут большие группы бомбардировщиков. Теперь сомнений не было, самолеты держат курс на Горький. Зенитчик И. А. Левицкий вспоминал:  «Была включена батарея СОН. Вскоре с нее доложили, что с запада приближается групповая цель, дальность больше 50км. Была объявлена „Готовность № 1“. Зенитчики были готовы к бою. Командир батареи СОН доложил, что цели движутся небольшими группами с интервалами в 10—15км на высоте пять-шесть тысяч метров». Штаб корпусного района пребывал в напряжении. Все понимали, что предстоит нечто ужасное, чего город за два года войны еще не испытывал. Вскоре поступили донесения, что первые самолеты уже подходят к городу, и генерал Осипов приказал зенитно-артиллерийским полкам начать заградительный огонь. Первыми начали стрелять зенитки 742-го ЗенАП подполковника М. Ф. Евгенова, потом открыла огонь артиллерия всех секторов. Девятикилограммовые снаряды с жужжанием устремились вверх, и небо над городом озарилось разноцветными разрывами снарядов. Грохот от стрельбы сотен орудий сотряс улицы и кварталы. Лев Павлович Мардарьев, живший тогда в Сормовском районе, вспоминал:  «Метрах в ста от нашего дома стояла зенитная батарея. Грохот от стрельбы был такой, что весь дом ходил ходуном, словно при землетрясении». Затем на крыши домов и бараков градом посыпались осколки. Зенитчица Пелагея Паршина рассказывала:  «Первый же выстрел орудия меня оглушил, но нужно было во что бы то ни стало продолжать стрелять. При выстрелах пушка буквально подпрыгивала, сверху на нас сыпался град осколков разорвавшихся снарядов. Осколки были острые и раскаленные, многие потом получали ранения, у кого-то даже отрывало руки».</w:t>
      </w:r>
    </w:p>
    <w:p w14:paraId="668CC7C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Первыми над Горьким появились самолеты-цельфиндеры, несшие контейнеры Мк.250 с белыми осветительными ракетами. Чтобы скрыть главную цель налета, немцы сбросили их одновременно над Сталинским, Ленинским, Кагановичским и Автозаводским районами, а также над Окским мостом. Плавно опускаясь на парашютах, горящие ракеты осветили местность, словно подвешенные в небе люстры. Рабочий артиллерийского завода № 92 Александр Коровин вспоминал:  «Эти люстры светили так ярко, что в городе повсюду стало светло, как днем». Одновременно с бомбардировщиков было сброшено огромное число «зажигательных листочков» – кусков толстой фольги, обмазанных фосфором. Словно опавшие, пылающие в ночи листья, они медленно опускались на город, создавая ужасающее светопреставление. Затем первая группа Ju-88 с пикирования нанесла удары по водозаборным станциям на Оке и основным узлам водопроводной сети Автозаводского района. Прогремели первые мощные взрывы, выбросившие в небо яркие языки пламени. В результате главный водовод диаметром 600 мм был разрушен в шести местах, причем на нем вырвало участки длиной до 25 м. Прямым попаданием тяжелой фугасной бомбы на перекрестке пр. Молотова (ныне пр. Октября) и ул. Октябрьской был разрушен узел управления водоснабжением и теплофикацией (колодец № 27). На шоссе Энтузиастов (ныне пр. Ленина) сильно пострадал фекальный коллектор. При попадании бомб в Автозаводскую ТЭЦ, находившуюся на территории завода, там выбросило пламя из котлов, что привело к немедленной остановке турбогенераторов. Одновременно вышла из строя подстанция, через которую поступала энергия из городской электросети. Таким образом, ГАЗ был полностью обесточен и лишен воды. Тем временем к городу подходили новые группы «Юнкерсов» и «Хейнкелей», которые, помимо фугасных и осколочных бомб, несли тяжелые зажигалки, начиненные смесью бензина, каучука и фосфора. Пилоты эскадры KG55 «Грайф» потом вспоминали, что, даже не принимая в расчет разноцветный фейерверк от огня зенитной артиллерии всех калибров и плотную сетку лучей прожекторов, при подходе к городу первых атакующих волн самолетов было видно, что цель так хорошо освещена осветительными ракетами, что уже с большого расстояния место бомбежки для подлетающих машин было четко узнаваемо. Во время нахождения над целью командиры эскадр давали необходимые указания, чтобы обеспечить успех атаки всех своих экипажей. Сектора автозавода были поделены между эскадрильями, каждый штурман держал перед собой фотоснимок подлежащего уничтожению объекта. Увидев ярко освещенные «люстрами» цеха, пилоты бомбардировщиков начали заход. Главный удар наносился по кузнечному, литейному и механосборочному корпусам. От мощных взрывов с грохотом рушились перекрытия, взлетали в воздух станки, валились многотонные краны. Горючая смесь поджигала крыши, растекалась по стенам, расплавляя металлические балки и воспламеняя все на своем пути.</w:t>
      </w:r>
    </w:p>
    <w:p w14:paraId="41D8707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Й. Вольферсбергер из 5./KG27 «Бельке» продолжал свой рассказ:  «Мы еще в 50 км от цели, зенитки уже активны, также в достаточном количестве имеются прожектора. Повисла одна осветительная бомба, затем другая, внизу первые вспышки разрывов бомб. Зенитчики ведут себя нервно, они все еще не знают, какой завод мы атакуем. С короткими интервалами падают бомбы, следуют несколько сильных взрывов с последующими пожарами. Итак, наша цель перед нами. Впереди отчетливо выделяется широкая лента Волги. Черные глубины этой большой русской реки уже часто слышали взрывы бомб, но она беззаботно течет дальше, так же как далее, не обращая ни начто внимания, течет и время, тогда как здесь, наверху, в настоящий момент всех волнует их судьба. Так или похоже мог думать любой в течение этих минут перед бомбежкой. Сейчас 22.38. С одной из машин уже докладывают: «Всем бортрадистам, осветительные бомбы висят южнее завода, в середине цели пожар». Бортрадист следующего самолета сообщает о заходе на цель, и снова внизу вспышки. Зенитки посылают нам навстречу множество неприятных приветов». После попадания большого количества фугасных и зажигательных бомб страшный пожар охватил механосборочный корпус № 1, в котором находились главный сборочный конвейер, моторный цех № 2, термический цех и цех шасси. Корпус представлял собой семипролетное здание площадью 66,5 тыс. кв. м, в двух пролетах которого были смонтированы мостовые краны. Конструкция была выполнена в виде металлического каркаса с заполнением стен шлакобетонными камнями и с металлическими фермами. Переплеты наружных стен и фонарей также были сделаны из железа. Крыша состояла из сборных железобетонных кровельных плит со шлаковым отеплением, покрытых рубероидом. От огромной температуры верхние пояса ферм и основания фонарей стали плавиться, сжатые элементы потеряли устойчивость, и в итоге ряд участков здания полностью обрушились. Горение пропитанного маслами пола и технологических запасов масла довело нагрев нижней части колонн до того, что они теряли устойчивость и оседали, увлекая за собой перекрытия. На участках, где температура от пожара была меньше, фермы теряли устойчивость верхнего пояса без обрушения, но со значительными деформациями и просадками. У оказавшихся в этом аду рабочих не было никаких шансов выжить. В расположенном неподалеку литейном корпусе № 1 после прямых попаданий бомб взорвались доменные печи, и в небо поднялся огромный, почти километровый, огненный столб. Вольферсбергер видит это из кабины своего «Хейнкеля».  «Внизу разрывы, бомбы легли очень хорошо, а теперь —что это было? Мощный взрыв поднимает над заводом огромный огненный столб. Между тем подходят другие машины и тоже сбрасывают свой груз». Через несколько секунд его собственный самолет прошел над автозаводом и восемь 250-кг зажигательных бомб устремились вниз.  «Сейчас разрывы следуют один за другим, и эти бомбы также ложатся точно в цель. Завтра дальний разведчик точно определит, что мы поразили». Тем временем силы ПВО отчаянно пытались противодействовать налету. Однако их усилия оказались неэффективными. </w:t>
      </w:r>
    </w:p>
    <w:p w14:paraId="27602D6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оборонявших город зенитных полках отсутствовало оперативное управление огнем. Так, командир 742-го ЗенАП подполковник Евгенов, командир 784-го ЗенАП подполковник Бирюков и командир 1291 -го ЗенАП майор Зугер находились не на своих КП, а на наблюдательных вышках. Они видели лишь происходящее над своими головами и не успевали реагировать на изменения обстановки. Их команды приходили на батареи с опозданием и уже не отвечали реальной ситуации. Связь с батареями велась по телефону, а рации практически не использовались. В ходе бомбежки провода во многих местах были перебиты, и тогда связь вообще прекратилась.Напрочь отсутствовало взаимодействие с прожектористами. Последние с трудом осветили 12 самолетов, но ни один из них артиллерия так и не обстреляла. Поэтому зенитчики вели лишь беспорядочный заградительный огонь на предполагаемом курсе и высоте полета бомбардировщиков. Но и он был бесполезным из-за непродуманной схемы расположения зенитных батарей. Находясь непосредственно у охраняемых объектов или вообще на их территории, они создавали наибольшую плотность огня прямо над ними, а не на подходах. Имевшиеся станции орудийной наводки использовались плохо, вследствие отсутствия практических навыков такой стрельбы. Зенитчица Пелагея Паршина вспоминала:  «Командование постоянно учило нас, что сбивать идущий над городом бомбардировщик нельзя, надо его отгонять, не дать сбросить бомбы». Таким образом, рядовым артиллеристам буквально вдалбливали, что заградительный огонь </w:t>
      </w:r>
      <w:r w:rsidRPr="00D03F3E">
        <w:rPr>
          <w:rFonts w:ascii="Times New Roman" w:hAnsi="Times New Roman"/>
          <w:color w:val="000000" w:themeColor="text1"/>
          <w:sz w:val="16"/>
          <w:szCs w:val="16"/>
        </w:rPr>
        <w:lastRenderedPageBreak/>
        <w:t>является эффективнейшим средством противовоздушной обороны. Попутно выяснилось, что работе РЛС РУС-2с в Сейме «мешает» высокий правый берег Оки, как будто этот факт нельзя было установить раньше, в ходе учений.</w:t>
      </w:r>
    </w:p>
    <w:p w14:paraId="2FBB630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летчиков 142-й ИАД дела тоже пошли наперекосяк. Командир дивизии полковник Иванов во время налета находился в нетрезвом состоянии, и командование пришлось принять его заместителю Ковригину. В воздух были подняты лишь 12 ночных истребителей, распределившихся по своим «зонам патрулирования». В 23.40 взлетел и самолет капитана Шилова. По словам летчика, патрулируя западнее Горького на высоте 2700 м, он на светлой части неба заметил силуэт бомбардировщика, идущего на Горький, которого опознал не иначе как «Фокке-Вульф-200». Далее Шилов пошел на сближение с противником и на встречных курсах с дистанции 200 м под ракурсом 1/4 произвел первую атаку, открыв огонь из пушек. Призрак «Кондора», развернувшись влево, стал уходить от истребителя. Дальнейшие события советский летчик так описал в своем рапорте:  «Оказавшись в хвосте бомбардировщика, произвел вторую атаку слева, снизу под ракурсом 1/4, дав длинную очередь из всех огневых точек с дистанции 30—50 м. В это время стрелок-радист бомбардировщика открыл неприцельный огонь. После второй атаки на бомбардировщике противника задымился мотор и показалось пламя, он стал уходить на большой скорости со снижением». Продолжая преследование, Шилов, по его словам, произвел еще четыре атаки. При шестой попытке на его «ЛаГГе» отказало вооружение, тогда летчик принял решение идти на таран, но в ту ночь ему явно не везло. В момент сближения с бомбардировщиком в районе поселка Володары истребитель был пойман лучами прожекторов, и ослепленный ими капитан Шилов противника потерял. Описание этого «боя» отражает общую картину неразберихи, творившейся в ночь на 5 июня в частях ПВО Горького. Во-первых, непонятно, как Шилов, проведя, по его словам, шесть атак спереди и сзади, не смог отличить двухмоторный самолет от четырехмоторного FW-200. Во-вторых, он заявил, что атаковал бомбардировщик, идущий курсом на Горький, а в донесении же корпусного района ПВО указано, что Шилов преследовал противника до г. Ковров, т.е. в обратную сторону, и там же приземлился из-за нехватки горючего. Непонятно даже, на каком именно истребителе летел Шилов. По одним данным, это был ЛаГГ-3, по другим – Ла-5.</w:t>
      </w:r>
    </w:p>
    <w:p w14:paraId="42D3A2E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временем к Горькому подходили последние группы немецких бомбардировщиков. Их экипажи уже за десятки километров видели протяженные очаги пожаров на левом берегу Оки, обозначавшие местоположение цели. По воспоминаниям летчиков, над землей после взрывов поднималось громадное пылающее облако. Только замыкающим машинам, которым сильно мешал расползающийся дым от крупных пожаров, уже не представилась возможность безоговорочно распознавать отдельные цели. Поэтому самолеты сбросили бомбы на жилой сектор Автозаводского района и прилегающие объекты. В результате были разрушены дома № 1 и 3 на проспекте Молотова (больница № 1), по три дома на ул. Жданова и ул. Комсомольской, четыре дома в Моторном переулке. Бомба SC250 угодила в баню № 1 на проспекте Молотова, пробила крышу и взорвалась в подвале. В результате стены фасада обрушились до основания, деформировался фундамент, рухнули железобетонные перекрытия и колонны. Во внутренней части здания проломило много балок, уцелевшие перекрытия и стены во многих местах дали трещины. В Американском поселке был частично разбит цех промвентиляции и сгорела рембаза облвоенкомата. В районе молочной фермы взрывы бомб разрушили линии трамвайного пути, оборвали провода, повалили два столба, обрушился местный барак № 7. В Ново-Западном поселке полностью или частично обрушились восемь жилых бараков. В поселке Стригино сгорели три частных дома. Но больше всех пострадал поселок Гнилицы, расположенный в 7 км юго-западнее автозавода. Там были разрушены целые кварталы частных домов. Всего в окрестностях ГАЗа немецкие бомбардировщики уничтожили 57 жилых домов и бараков. Учитывая высочайшую плотность заселения, понятно, что сотни рабочих остались без крова и потеряли свое имущество. На расположенном бок о бок с ГАЗом авиамоторном заводе № 466 от взрывов фугасных бомб и пожара пострадали цеха №№ 3-а, 3-е и 22. На Ленинский район, по данным службы МПВО, были сброшены 24 фугасных и четыре тяжелых зажигательных бомбы, а также одна мина ВМ1000. По счастливой случайности, ни один производственный объект не пострадал. На завод № 469 [148] упали несколько «зажигалок», но очаги пожаров возникли только вне зданий цехов и были потушены силами объектовых формирований. На ул. Шоссейной был разрушен дом № 9, в котором погибли два человека.</w:t>
      </w:r>
    </w:p>
    <w:p w14:paraId="4C1CF55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в ночь с 4 на 5 июня 1943 г. на Горький и прилегающие объекты были сброшены 224 т бомб всех калибров. При этом служба МПВО зафиксировала падение 433 фугасных и 306 тяжелых зажигательных бомб, в т.ч. около 500 попаданий в ГАЗ и его жилые поселки. На станцию Кудьма Казанской железной дороги немцы сбросили 25 фугасных бомб весом от 50 до 500 кг.</w:t>
      </w:r>
    </w:p>
    <w:p w14:paraId="0DFE109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и у Люфтваффе не все сложилось благополучно и не все экипажи сумели выйти на цель. Во время длительного полета бомбардировщиков по разным причинам сбились с курса и вынуждены были сбросить свой смертоносный груз куда придется. Именно этим объясняются случаи падения бомб в Дальне-Константиновском районе и на село Большое Мурашкино Горьковской области, расположенных в 50—70 км к югу и юго-востоку от областного центра. В итоге непосредственно по Горькому отбомбились 149 самолетов. Одновременно некоторые бомбардировщики атаковали второстепенные цели. Так, например, Не-111H «lG+ML»H3l./KG27, взлетевший в 20.15 с аэродрома Орел, совершил налет на г. Сталиногорск (ныне Новомосковск).</w:t>
      </w:r>
    </w:p>
    <w:p w14:paraId="66CFF50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После успешной бомбежки немецким экипажам предстоял долгий путь домой. Поскольку при полете на высоте 4000 м в кабинах вскоре становилось очень холодно, большинство самолетов, выйдя из зоны зенитного огня, снижались до трех километров и ниже. Летчики снимали кислородные маски и могли расслабиться. Благо советское командование не вело никакого преследования уходящих бомбардировщиков. Поскольку дело было в июне, уже вскоре после полуночи небо на востоке начало светлеть. Теперь свободные от работы члены экипажей могли почитать газету или выкурить сигарету, снимая пережитое напряжение. В период с 00.30 до 02.00, по берлинскому времени, немецкие бомбардировщики один за другим приземлялись на своих аэродромах. Так, Не-111H «1G+FS» из 8./KG27 совершил посадку в Орле в 01.00, проведя в воздухе 283 минуты. Экипаж отчитался в бомбометании с высоты 4000 м, а также о том, что над целью были  «отмечены зенитный огонь, прожектора, ночные истребители». Не-111H «1G+EL» из 3./KG27 приземлился на аэродроме Орел в 01.50, продолжительность вылета составила 360 минут, т.е. ровно шесть часов. Не-111H «1G+DP» из 6./KG27 сел в 00.45 на аэродроме Домнино после 4 часов 45 минут полета, преодолев общее расстояние 1550 км. На свою базу возвращался и Не-111H «1G+NN», в котором летел Й. Вольферсбергер. Потом он вспоминал:  «После пересечения линии фронта бортмеханик и бортрадист покидают свои огневые точки и снова приступают к своим обычным обязанностям. Механик проверил, все ли в порядке в бомбоотсеке, и следит за количеством горючего имасла. Время от времени видны другие машины с включенными навигационными огнями, которые также стремятся вернуться на родной аэродром. Мы тоже включили навигационные огни и сообщили, что приземлимся через 12 минут. Впереди уже светятся посадочные огни, и мы на небольшой высоте приближаемся к аэродрому. Шасси выпущены, и, пролетев над краем летного поля, мы приземляемся около первых огней, указывающих взлетно-посадочную полосу. Все, мы снова на земле. Пожалуй, так думает каждый, в то время как его самолет рулит к своей стоянке и останавливается. Там нас уже ждет старший техник, который получает машину обратно в свое распоряжение. Хорошо, что она не имеет никаких повреждений от зенитного огня. Мы выбираемся из самолета и рассказываем товарищам из наземного персонала о налете и достигнутых результатах. В наших успехах их доля значительная, если машина хорошо подготовлена. Затем мы неторопливо идем к вышке управления полетами, где нас уже ждут автомобили, там мы встречаем другие экипажи, и начинается оживленный обмен мнениями о налете и его успехе, а также о том, что каждый видел во время вылета. После посадки последнего самолета мы отправляемся на командный пункт, где представляем боевые донесения дежурному офицеру. Рапорты краткие и точные, отражают ситуацию в зоне боевых действий. Затем поесть и в кровать. При этом все благодарят Бога за то, что пережили еще один вылет, и втайне жалеют тех, кто пострадал при налете. Какое жестокое дело, если подумать, война, которая часто вызывает внутренний конфликт: самолет мирно парит в лунном свете под оком всемогущего Бога, и как жестоко и непреклонно смерть пожинает свою жатву, когда створки его бомбоотсека открываются и бомбы поражают цели. Но надо спать, завтра снова будет налет на Горький». </w:t>
      </w:r>
    </w:p>
    <w:p w14:paraId="52F71A6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то время как немецкие летчики делились свежими впечатлениями о налете и ложились отдыхать, в семистах километрах к северо-востоку, в Горьком бушевали вызванные ими пожары. Когда в городском штабе МПВО осознали масштабы случившегося на ГАЗе, туда было выслано все, что имелось под рукой. Для ликвидации очагов пожаров прибыли 44 автонасоса, пять пожарных поездов и четыре оперативные группы пожаротушения. Тушением лично руководил заместитель начальника УПО УНКВД города и области капитан Грачев. Ликвидация очагов пожаров в течение двух часов была затруднена повреждениями водопровода. Автонасосы работали от трех водоемов, протянув длинные рукавные линии, давление воды в которых оставляло желать лучшего. Около 03.00 утра героическими усилиями ремонтников водоснабжение на большинстве участков было частично восстановлено, а еще через три часа вода худо-бедно подавалась на все очаги. Только к 07.30 большинство пожаров были локализованы, однако огонь по-прежнему полыхал в главном механосборочном и литейном корпусах ГАЗа. Дым огромными столбами поднимался в небо, и все жители города и окрестностей понимали, что на автозаводе творится нечто ужасное. Лишь около 13.00, т.е. через 12 часов после бомбежки, удалось локализовать пожары и на этих участках. При этом из личного состава пожарной охраны три человека получили тяжелые и три легкие ранения. После этого руководство завода смогло оценить масштабы полученных разрушений. На фоне дымящихся развалин особенно выделялся механосборочный корпус. В огромном здании были разрушены и выгорели 80% производственной площади. Тяжкое зрелище представляли сплошные завалы на площади в 11,4 тыс. кв. м. Это было месиво из рухнувших железобетонных плит перекрытий, колонн, деформированных огнем металлоконструкций, трубопроводов, остатков технологического оборудования и деталей машин. Прямыми попаданиями авиабомб были причинены значительные повреждения и разрушения фундаментам строительных конструкций, фундаментам под оборудованием и подземному хозяйству цехов. При пожарах были полностью выведены из строя внутренняя ливневая канализация цехов, промразводки, вентиляция, силовая и осветительные разводки, моторы технического оборудования. Тут и там валялись обгоревшие лохмотья и фрагменты человеческих тел, на уцелевших фермах висели оторванные руки и ноги. От многих рабочих, оказавшихся в момент бомбежки на своих местах, практически ничего не осталось. Сильные повреждения получил и литейный корпус. В цехе серого чугуна взрывами и пожарами были разрушены стержневая, отделение формовки, конвейер № 6, земледелка и бытовые помещения. Полностью уничтоженным оказался цех ковкого чугуна. Так же сильно пострадали от огня и взрывов фугасных бомб прессово-кузовной, арматурно-радиаторный, рессорный и кузнечный цеха. На Автозаводской ТЭЦ в результате пожара были уничтожены галерея торфоподачи, бункерная галерея, самососная площадка, зольное помещение, запасной склад торфоподачи, кровля и распределительные устройства. Тем не менее сами турбогенераторы и котлы каким-то чудом уцелели, и работа станции могла быть восстановлена в относительно короткий срок. В соседнем углекислотном цехе был полностью разрушен склад баллонов. В термическом цехе № 2 огонь частично уничтожил крышу, оборудование и бытовые постройки. В механосборочном цехе № 2 сильно пострадали 6-е отделение и конвейер, сгорела и обрушилась крыша. В механосборочном цехе № 3 в результате мощных взрывов и пожара были уничтожены 20 станков и </w:t>
      </w:r>
      <w:r w:rsidRPr="00D03F3E">
        <w:rPr>
          <w:rFonts w:ascii="Times New Roman" w:hAnsi="Times New Roman"/>
          <w:color w:val="000000" w:themeColor="text1"/>
          <w:sz w:val="16"/>
          <w:szCs w:val="16"/>
        </w:rPr>
        <w:lastRenderedPageBreak/>
        <w:t>водопроводная колонка, обрушился угол здания. Местами металлические переплеты стен и фонарей сильно деформировались от сгорания деревянной светомаскировочной обшивки.</w:t>
      </w:r>
    </w:p>
    <w:p w14:paraId="6CBBCE1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штаба МПВО Горького майор Антропов, подводя итоги налета, с горечью написал:  «В результате налетов сильно пострадал ряд основных цехов автозавода и завода 466, что отразится в целом на работе завода. Для восстановления разрушенных цехов потребуется продолжительное время». Хотя директор ГАЗа Лившиц в своем приказе по заводу объявил 5 июня  «нормальным рабочим днем», всем было ясно, что крупнейшее предприятие Поволжья полностью выведено из строя. Примерные данные, поступившие от участковых формирований МПВО, показывали, что в ходе бомбежки в городе пострадал 271 человек: 61 погиб и 210 получили ранения и контузии, в т.ч. 62 – тяжелые, 60 – средние и 88 – легкие ранения. При этом 17 трупов не подлежали опознанию. ГАЗ сообщил о 110 пострадавших. Однако эти данные являлись явно преуменьшенными. Во-первых, точное число работавших в ночной смене осталось неизвестным, между тем многочисленные завалы, особенно на главном конвейере, не позволяли произвести какой-либо полный осмотр цехов. Во-вторых, от многих людей, оказавшихся в эпицентре взрывов и пожаров, практически ничего не осталось, либо были найдены только фрагменты тел. В-третьих, начальники цехов и участков к подсчету погибших относились безответственно, сообщая совершенно противоречивые и составленные наспех данные, их гораздо больше волновали многочисленные повреждения оборудования. Поэтому установить точное число убитых уже не представляется возможным, но можно предположить, что речь идет о цифре не менее 200—250 человек. Причем среди погибших были начальники цехов ковочных машин и прессового Китаев и Лышков, а также заместитель начальника штамповального цеха № 1 Г. Масленников. В местные штабы МПВО, помимо прочего, поступали и сообщения о невзорвавшихся авиабомбах. Даже в нагорной части города, в Ворошиловском районе на ул. Инженерной (ныне пр. Гагарина), были обнаружены четыре неразорвавшихся фугаски. Прибывшие саперы замерили их, и оказалось, что бомбы имеют диаметр 25 см и длину 120 см. Поэтому их идентифицировали как SC50 [150] . На той же улице, в 100 м западнее дома № 18, обнаружили несработавшую зажигательную бомбу Brand C50A. По счастливой случайности, в районе никто не пострадал. В Ленинском районе саперам пришлось обезвреживать десять фугасных бомб крупного калибра.</w:t>
      </w:r>
    </w:p>
    <w:p w14:paraId="7BDEDDF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Уже ранним утром 5 июня штаб Горьковского корпусного района ПВО на скорую руку составил донесение, в котором указал, что  «в ночь 4—5 июня 43 г. с 22.50 до 1.43 противник мелкими группами (2—3 самолета) и одиночными самолетами в количестве 35—40 бомбардировщиков типа Хе-111, Ю-88и Ф-В„Курьер“ совершил налет на пункт ПВО Горький». Начальник штаба МПВО майор Антропов подготовил свою оперативную сводку, в которой написал, что якобы  «всего в налете участвовало до 45 самолетов противника типа „Хейнкель-111“, Ю-88 и ФВ Курьер, из коих прорвались на город около 20 самолетов». Все это ни в коей мере не соответствовало действительности. Было совершенно неверно определено количество бомбардировщиков, а утверждение о прорыве лишь двадцати из них было очередной попыткой оправдаться и показать «эффективность» противовоздушной обороны. Во время отражения налета зенитная артиллерия корпусного района израсходовала свыше 22 тыс. снарядов, в т.ч. 20 115 среднего и 1940 малого калибра. Однако общая плотность огня оказалась небольшой, т.к. по небу интенсивно палили батареи, находившиеся в районе городов Коврова, Дзержинска и Балахны, хотя над последней бомбардировщики вообще не появлялись. Аэростаты заграждения тоже оказались малоэффективными. Из 25 поднятых в небо семь были расстреляны и уничтожены, в т.ч. к концу налета над Автозаводским районом уцелели всего пять аэростатов. При этом части ПВО также понесли потери, в 784-м ЗенАП были убиты два и ранены четыре человека, выведены из строя прибор ПУАЗО-3 и одно 76-мм орудие образца 1914 г. Первый массированный налет сразу же выявил множество недостатков в организации ПВО Горького. Маневрирование огнем зенитной артиллерии оказалось слабым. Подразделения медленно переходили от заградительного огня к сопроводительному и наоборот. Также медленно осуществлялись переносы огня с одной завесы на другую. Распоряжения и приказы если и приходили на батареи, то с большим опозданием и не соответствовали реальной обстановке. Командиры дивизионов, связанные субординацией, ждали распоряжений свыше и действовали нерешительно. Быстро выявилась нецелесообразность размещения КП зенитных полков в подвальных помещениях городских зданий, т.к. они сразу же оказывались в зоне бомбардировки при нарушенной связи, а то и в завале, что не способствовало успешной организации управления огнем. В итоге зенитчики не только не смогли сбить ни одного самолета, но оказались бессильны и против осветительных бомб. «Люстры» спокойно опускались на завод, ярко освещая район бомбометания. Отдельные инициативные товарищи, не полагаясь на защиту зенитчиков, решили собственными силами создавать своего рода объектовые силы ПВО. Директор станкозавода № 113 организовал из состава 1-го отряда ВОХР, охранявшего предприятие, две группы по семь бойцов с винтовками  «для расстрела сбрасываемых светящихся ракет». Но вряд ли подобные меры могли сильно изменить ситуацию. Словом, оставалось только молиться, что немцы решат ограничиться одним налетом, как это уже бывало в прошлые годы…Утром 5 июня о налете германской авиации на Горький стало известно Сталину. Узнав о разрушении главного конвейера ГАЗа, вождь пришел в ужас и тут же лично от руки, что было неслыханным случаем, написал постановление ГКО № 3524, в котором приказал немедленно сформировать комиссию по расследованию причин невыполнения задач Горьковским корпусным районом ПВО. В ее состав были включены глава НКВД Л. П. Берия, шеф НКГБ В. Н. Меркулов, секретарь ЦК ВКП(б) А. С.Щербаков, председатель Моссовета В. П. Пронин и командующий ПВО территории страны М. С. Громадин. Уже сам состав комиссии говорил о том, какое значение руководство страны придавало Горькому и его военным предприятиям. Председателем комиссии, естественно, был назначен Берия, так что кое-кому следовало ждать грозы. Заместитель наркома строительства К. М. Соколов по приказу Сталина уже 5 июня прилетел в Горький, чтобы лично руководить разработкой мероприятий, необходимых для восстановления завода. Приехав на ГАЗ, Соколов был поражен увиденной картиной разрушений. Механосборочный и литейный корпус № 1 были практически уничтожены. Было ясно, что в короткие сроки все это не восстановить.</w:t>
      </w:r>
    </w:p>
    <w:p w14:paraId="2FF625D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Одновременно советская авиация в районе Орловского выступа получила приказ ударами истребителей, штурмовиков и бомбардировщиков «зачистить» немецкие аэродромы, на которых базировалась бомбардировочная авиация. В частности, был совершен налет на Сещинскую, где находились «Хейнкели» из П. и III./KG55. Однако немецкие патрульные истребители своевременно обнаружили приближающиеся самолеты и не только сорвали атаку, но и не дали русским спокойно вернуться на свои базы. В общей сложности в течение дня FW-190 и Bf-109 из эскадр JG51 «Мельдерс» и JG54 «Грюнхерц», согласно данным Люфтваффе, сбили 23 советских самолета, в т.ч. десять ЛаГГ-3, четыре Пе-2, столько же Р-40 «Киттихаук» и по одному Ил-2, Ла-5 и МиГ-3 (11774).</w:t>
      </w:r>
    </w:p>
    <w:p w14:paraId="1115C21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AC35C7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с 4 по 28 июня 1943 г. бомбардировочные эскадры 1-го, 4-го и 6-го воздушных флотов совершили девять налетов на Саратов, семь налетов на Горький, два налета на Ярославль, один налет на Астрахань и Рыбинск, а также нанесли удары по населенным пунктам Константиновский, Сызрань, Балашов и Камышин. В результате операции были выведены из строя около 30 крупных, средних и мелких предприятий, в т.ч. были почти полностью разрушены Ярославский шинный завод № 736, ГАЗ, завод «Двигатель революции» в Горьком, Саратовский авиазавод № 292 и крекинг-завод им. Кирова в том же Саратове. Окрыленные достигнутыми успехами, немцы хотели и далее наносить удары по объектам советского тыла. Однако задуманные командованием Люфтваффе широкомасштабные операции пришлось отменить в связи с начавшейся 5 июля операцией «Цитадель». А через неделю последовал советский контрудар по Орловскому выступу. 13 июля немецкая оборона была прорвана. В ходе упорных боев Люфтваффе стали одну задругой терять свои авиабазы, с которых еще недавно выполняли налеты на города Поволжья. 5 августа Вермахт оставил Орел, отойдя на линию обороны восточнее Брянска. Затем 17 сентября и этот город был освобожден советскими войсками. Еще через три дня русские танки ворвались в Сещинскую. Огромный аэродром, с которого немцы в течение полутора лет совершали налеты на Горький, вскоре использовала уже советская авиация. Немецкие бомбардировочные эскадры вновь были вынуждены действовать в качестве «летающих пожарных команд», используемых в бесполезных попытках стабилизировать разваливающийся фронт групп армий «Центр» и «Юг». На темпах советского наступления, казалось, никак не сказываются июньские удары по военным заводам. Тысячи танков Т-34, сопровождаемые нескончаемыми толпами пехоты, неумолимо рвались на запад и безостановочно продвигались вплоть до ноября 1943 г. К тому моменту Горький и Саратов отделяли от фронта свыше 800 км, и только Ярославль с Рыбинском по-прежнему еще находились в зоне досягаемости Люфтваффе (11774).</w:t>
      </w:r>
    </w:p>
    <w:p w14:paraId="03BF545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E12706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июня 1943 вышло Постановление ГКО № 3505 О дополнительном формировании 13 гвардейских воздушно-десантных бригаРГАНИР, Фонд ГКО, д. РГАНИР, Фонд ГКО, д. 123 Л. 88 (11012).</w:t>
      </w:r>
    </w:p>
    <w:p w14:paraId="046F1C7A"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5A42DDE"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4 июня 1943 вышло Постановление ГКО № 3506 О мерах противовоздушной защиты плотин на территории Закавказья и сооружений Беломорско-Балтийского канала. (7112, 89-91).</w:t>
      </w:r>
    </w:p>
    <w:p w14:paraId="7680644E" w14:textId="77777777" w:rsidR="00531570" w:rsidRPr="00D03F3E" w:rsidRDefault="00531570" w:rsidP="00D03F3E">
      <w:pPr>
        <w:pStyle w:val="Iauiue"/>
        <w:tabs>
          <w:tab w:val="left" w:pos="11199"/>
        </w:tabs>
        <w:jc w:val="both"/>
        <w:rPr>
          <w:color w:val="000000" w:themeColor="text1"/>
          <w:sz w:val="16"/>
          <w:szCs w:val="16"/>
        </w:rPr>
      </w:pPr>
    </w:p>
    <w:p w14:paraId="3694E93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июня 1943 вышло Постановление ГКО № 3507 Об организации в составе Народного комиссариата Военно-Морского Флота Управления судоподъемных и аварийно-спасательных работ на речных бассейнах.РГАНИР, Фонд ГКО, д. 123, лл. 92-93 (11012).</w:t>
      </w:r>
    </w:p>
    <w:p w14:paraId="09C2C32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FC5C4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июня 1943 г. вышло ПОСТАНОВЛЕНИЕ СОВЕТА НАРОДНЫХ КОМИССАРОВ СССР № 632 О ЛЬГОТАХ ДЛЯ СЕМЕЙ ВОЕННОСЛУЖАЩИХ, ПОГИБШИХ И БЕЗ ВЕСТИ ПРОПАВШИХ НА ФРОНТАХ ОТЕЧЕСТВЕННОЙ ВОЙНЫ</w:t>
      </w:r>
    </w:p>
    <w:p w14:paraId="311E9C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Совет Народных Комиссаров Союза ССР постановляет:</w:t>
      </w:r>
    </w:p>
    <w:p w14:paraId="7E56181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Сохранить на все время войны за семьями военнослужащих, погибших и без вести пропавших на фронтах Отечественной войны, все льготы, предоставляемые семьям военнослужащих, состоящих в Красной Армии, Военно-Морском Флоте и войсках НКВД.</w:t>
      </w:r>
    </w:p>
    <w:p w14:paraId="47E6CAA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Сохранить на все время войны за семьями военнослужащих рядового и младшего начальствующего состава, погибших и без вести пропавших на фронтах Отечественной войны, получающими пенсии, все льготы, предоставляемые семьям военнослужащих, получающим государственное пособие согласно Указу Президиума Верховного Совета СССР от 26 июня 1941 г.*</w:t>
      </w:r>
    </w:p>
    <w:p w14:paraId="7BF9273B" w14:textId="77777777" w:rsidR="00531570" w:rsidRPr="00D03F3E" w:rsidRDefault="00531570" w:rsidP="00D03F3E">
      <w:pPr>
        <w:pStyle w:val="Iauiue"/>
        <w:jc w:val="both"/>
        <w:rPr>
          <w:iCs/>
          <w:color w:val="000000" w:themeColor="text1"/>
          <w:sz w:val="16"/>
          <w:szCs w:val="16"/>
        </w:rPr>
      </w:pPr>
      <w:r w:rsidRPr="00D03F3E">
        <w:rPr>
          <w:iCs/>
          <w:color w:val="000000" w:themeColor="text1"/>
          <w:sz w:val="16"/>
          <w:szCs w:val="16"/>
        </w:rPr>
        <w:t>Зам. Председателя Совета</w:t>
      </w:r>
    </w:p>
    <w:p w14:paraId="2062F5FA" w14:textId="77777777" w:rsidR="00531570" w:rsidRPr="00D03F3E" w:rsidRDefault="00531570" w:rsidP="00D03F3E">
      <w:pPr>
        <w:pStyle w:val="Iauiue"/>
        <w:jc w:val="both"/>
        <w:rPr>
          <w:iCs/>
          <w:color w:val="000000" w:themeColor="text1"/>
          <w:sz w:val="16"/>
          <w:szCs w:val="16"/>
        </w:rPr>
      </w:pPr>
      <w:r w:rsidRPr="00D03F3E">
        <w:rPr>
          <w:iCs/>
          <w:color w:val="000000" w:themeColor="text1"/>
          <w:sz w:val="16"/>
          <w:szCs w:val="16"/>
        </w:rPr>
        <w:lastRenderedPageBreak/>
        <w:t>Народных Комиссаров СССР В. МОЛОТОВ</w:t>
      </w:r>
    </w:p>
    <w:p w14:paraId="0F832EE5" w14:textId="77777777" w:rsidR="00531570" w:rsidRPr="00D03F3E" w:rsidRDefault="00531570" w:rsidP="00D03F3E">
      <w:pPr>
        <w:pStyle w:val="Iauiue"/>
        <w:jc w:val="both"/>
        <w:rPr>
          <w:color w:val="000000" w:themeColor="text1"/>
          <w:sz w:val="16"/>
          <w:szCs w:val="16"/>
        </w:rPr>
      </w:pPr>
      <w:r w:rsidRPr="00D03F3E">
        <w:rPr>
          <w:iCs/>
          <w:color w:val="000000" w:themeColor="text1"/>
          <w:sz w:val="16"/>
          <w:szCs w:val="16"/>
        </w:rPr>
        <w:t>Управляющий делами Совета Народных Комиссаров СССР Я. ЧАДАЕВ</w:t>
      </w:r>
      <w:r w:rsidRPr="00D03F3E">
        <w:rPr>
          <w:color w:val="000000" w:themeColor="text1"/>
          <w:sz w:val="16"/>
          <w:szCs w:val="16"/>
        </w:rPr>
        <w:t xml:space="preserve"> (9844).</w:t>
      </w:r>
    </w:p>
    <w:p w14:paraId="36AACE13" w14:textId="77777777" w:rsidR="00531570" w:rsidRPr="00D03F3E" w:rsidRDefault="00531570" w:rsidP="00D03F3E">
      <w:pPr>
        <w:pStyle w:val="Iauiue"/>
        <w:jc w:val="both"/>
        <w:rPr>
          <w:color w:val="000000" w:themeColor="text1"/>
          <w:sz w:val="16"/>
          <w:szCs w:val="16"/>
        </w:rPr>
      </w:pPr>
    </w:p>
    <w:p w14:paraId="51B0824C"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7B837DD0" w14:textId="77777777" w:rsidR="00531570" w:rsidRPr="00D03F3E" w:rsidRDefault="00531570" w:rsidP="00D03F3E">
      <w:pPr>
        <w:pStyle w:val="Iauiue"/>
        <w:jc w:val="both"/>
        <w:rPr>
          <w:iCs/>
          <w:color w:val="000000" w:themeColor="text1"/>
          <w:sz w:val="16"/>
          <w:szCs w:val="16"/>
        </w:rPr>
      </w:pPr>
    </w:p>
    <w:p w14:paraId="7E7E9D7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июня 1943 года было получено:</w:t>
      </w:r>
    </w:p>
    <w:p w14:paraId="5A6B65F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ОТ ПРЕЗИДЕНТА РУЗВЕЛЬТА г-ну СТАЛИНУ (ЛИЧНО И СТРОГО СЕКРЕТНО).</w:t>
      </w:r>
    </w:p>
    <w:p w14:paraId="6532EA0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Основная стратегия согласно недавно принятым решениям Объединенного Штаба состоит из следующих разделов:</w:t>
      </w:r>
    </w:p>
    <w:p w14:paraId="6D48E4B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Основное внимание уделяется борьбе с угрозой, создавшейся в результате действий подводных лодок, наряду с обеспечением безопасности морских коммуникаций союзников и поддержки Советского Союза всеми возможными средствами.</w:t>
      </w:r>
    </w:p>
    <w:p w14:paraId="207AEF9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Создание предварительных условий для участия Турции в войне либо в качестве активного, либо в качестве пассивного союзника.</w:t>
      </w:r>
    </w:p>
    <w:p w14:paraId="2747174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Ослабление военной мощи Японии путем поддержания неослабного давления на нее.</w:t>
      </w:r>
    </w:p>
    <w:p w14:paraId="6D53DB7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D. Проведение тех признанных осуществимыми мер, при помощи которых можно удержать Китай в войне в качестве эффективной силы и в качестве базы, с которой можно проводить операции против Японии.</w:t>
      </w:r>
    </w:p>
    <w:p w14:paraId="4516A58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Е. Оказание такой помощи и поддержки французским вооруженным силам в Африке, чтобы они могли быть готовыми к активному участию в наступлениях, которые должны быть предприняты на территории Европы, удерживаемой противником.</w:t>
      </w:r>
    </w:p>
    <w:p w14:paraId="10D8919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Что касается раздела А, то мы весьма обнадежены недавно достигнутыми результатами в борьбе против подводных лодок противника путем применения самолетов дальнего действия, снабженных новыми приспособлениями и оборудованием, а также групп специальных кораблей-охотников. Начиная с 1 мая мы уничтожали в среднем более одной подводной лодки в день. Уничтожение с такой скоростью в течение некоторого периода времени окажет громадное воздействие на моральное состояние экипажей германского подводного флота. Это в конце концов снизит наши потери судов и тем самым увеличит наш общий тоннаж.</w:t>
      </w:r>
    </w:p>
    <w:p w14:paraId="5F56497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отношении поддержки СССР были приняты следующие решения: воздушное наступление, развиваемое в настоящее время против занятой противником Европы, будет усилено с целью выполнения трех задач — уничтожение промышленности противника, сведение на нет силы германской истребительной: авиации и подрыв морального состояния гражданского населения Германии. Тот факт, что это усиление уже происходит, подтверждается событиями последних трех недель, в течение которых подвергались сильным налетам Франция, Италия, Германия, Сицилия и Сардиния. Силы британской бомбардировочной авиации неуклонно растут. Силы тяжелой бомбардировочной авиации Соединенных Штатов, оперирующей из Англии, постоянно увеличивались и будут продолжать увеличиваться. В марте в Англии находилось около 350 тяжелых бомбардировщиков Соединенных Штатов. В настоящее время там находится около 700. По планам предусмотрено 900 на конец июня, 1150 на конец сентября и 2500 к 1 апреля.</w:t>
      </w:r>
    </w:p>
    <w:p w14:paraId="0C4E0F0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Было решено вывести Италию из войны в ближайший возможный момент времени. План наступления на Сицилию имеет обозначение “Эскимос”. Генералу Эйзенхауэру дано распоряжение, чтобы он, когда будет успешно закончен “Эскимос”, был готов немедленно начать наступление с целью добиться краха Италии. Силы, которыми генерал Эйзенхауэр будет располагать для этих операций, будут состоять из всех сил, находящихся в настоящее время на средиземноморском театре, за исключением четырех американских и трех британских дивизий, которые должны быть отправлены в Англию в качестве составной части сил, концентрируемых в этой стране, о чем будет упомянуто ниже.</w:t>
      </w:r>
    </w:p>
    <w:p w14:paraId="29A2AE5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Крах Италии значительно облегчит проведение воздушного наступления против Южной и Восточной Германии, продолжит истощение сил ее истребительной авиации и создаст угрозу позициям держав оси в районе Балкан.</w:t>
      </w:r>
    </w:p>
    <w:p w14:paraId="61065D8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Теперь, когда Африка прочно находится в наших руках, было решено, что в настоящее время существует возможность возобновить концентрацию наземных сил в Англии. Совместная англо-американская штабная группа постоянно занималась и занимается пополнением необходимых планов самыми последними данными, для того чтобы немедленно использовать всякую слабость противника во Франции или в Норвегии. Согласно теперешним планам на Британских островах весной 1944 года должно быть сконцентрировано достаточно большое количество людей и материалов, для того чтобы позволить предпринять всеобъемлющее вторжение на континент в это время. Широкое воздушное наступление достигнет тогда своей кульминационной точки. В силу необходимости некоторое количество крупных десантных судов было отправлено в юго-западную часть Тихого океана, на Алеутские острова и в Средиземное море. Необходимость это сделать, конечно, уменьшила в той же степени количество таких судов, отправленных в Англию. Это был наиболее важный лимитирующий фактор, поскольку речь шла об операциях из Англии.</w:t>
      </w:r>
    </w:p>
    <w:p w14:paraId="4C3EC06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Предполагается, что осуществление перечисленных и разъясненных выше решений приведет к тому, что противник будет вынужден в значительной степени рассредоточить свои наземные силы как для того, чтобы оказать сопротивление действительному наступлению, так и для того, чтобы гарантировать себя от возможного наступления. Кроме того, он будет подвергаться сильному и непрерывному воздействию с воздуха. Когда в каком-либо месте станут очевидными признаки слабости держав оси, действительное наступление и угроза такого наступления будут легко и быстро превращены в успешные операции. Мы полагаем, что эти решения, как они изложены здесь, потребуют всех ресурсов, которые мы сможем мобилизовать.</w:t>
      </w:r>
    </w:p>
    <w:p w14:paraId="1E694B9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РУЗВЕЛЬТ</w:t>
      </w:r>
    </w:p>
    <w:p w14:paraId="48860E4A" w14:textId="77777777" w:rsidR="00531570" w:rsidRPr="00D03F3E" w:rsidRDefault="00531570" w:rsidP="00D03F3E">
      <w:pPr>
        <w:pStyle w:val="Iauiue"/>
        <w:jc w:val="both"/>
        <w:rPr>
          <w:color w:val="000000" w:themeColor="text1"/>
          <w:sz w:val="16"/>
          <w:szCs w:val="16"/>
        </w:rPr>
      </w:pPr>
    </w:p>
    <w:p w14:paraId="59DF0153" w14:textId="77777777" w:rsidR="00227A2A"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5B42C230" w14:textId="77777777" w:rsidR="00227A2A" w:rsidRPr="00D03F3E" w:rsidRDefault="00227A2A" w:rsidP="00D03F3E">
      <w:pPr>
        <w:pStyle w:val="Iauiue"/>
        <w:jc w:val="both"/>
        <w:rPr>
          <w:iCs/>
          <w:color w:val="000000" w:themeColor="text1"/>
          <w:sz w:val="16"/>
          <w:szCs w:val="16"/>
        </w:rPr>
      </w:pPr>
    </w:p>
    <w:p w14:paraId="2B20A100" w14:textId="77777777" w:rsidR="00227A2A" w:rsidRPr="00D03F3E" w:rsidRDefault="00227A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4 июня</w:t>
      </w:r>
      <w:r w:rsidRPr="00D03F3E">
        <w:rPr>
          <w:rFonts w:ascii="Times New Roman" w:hAnsi="Times New Roman"/>
          <w:color w:val="000000" w:themeColor="text1"/>
          <w:sz w:val="16"/>
          <w:szCs w:val="16"/>
        </w:rPr>
        <w:t xml:space="preserve"> в 1943 году избрание на пост премьер-министра Станислава Миколайчика в связи со смертью премьер-министра польского эмигрантского правительства генерала Сикорского (14912).</w:t>
      </w:r>
    </w:p>
    <w:p w14:paraId="1DCD569E" w14:textId="77777777" w:rsidR="00227A2A" w:rsidRPr="00D03F3E" w:rsidRDefault="00227A2A" w:rsidP="00D03F3E">
      <w:pPr>
        <w:spacing w:after="0" w:line="240" w:lineRule="auto"/>
        <w:jc w:val="both"/>
        <w:rPr>
          <w:rFonts w:ascii="Times New Roman" w:hAnsi="Times New Roman"/>
          <w:color w:val="000000" w:themeColor="text1"/>
          <w:sz w:val="16"/>
          <w:szCs w:val="16"/>
        </w:rPr>
      </w:pPr>
    </w:p>
    <w:p w14:paraId="6980A82A"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07C03904" w14:textId="77777777" w:rsidR="00531570" w:rsidRPr="00D03F3E" w:rsidRDefault="00531570" w:rsidP="00D03F3E">
      <w:pPr>
        <w:pStyle w:val="Iauiue"/>
        <w:jc w:val="both"/>
        <w:rPr>
          <w:iCs/>
          <w:color w:val="000000" w:themeColor="text1"/>
          <w:sz w:val="16"/>
          <w:szCs w:val="16"/>
        </w:rPr>
      </w:pPr>
    </w:p>
    <w:p w14:paraId="7457F53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июня 1943 при контрольном испытании Ил-2 завода 18 N 1871955 были достигнуты скорости 387 км/час у земли и 404 к/час на границе высотности (1823,28).</w:t>
      </w:r>
    </w:p>
    <w:p w14:paraId="6D662F1E" w14:textId="77777777" w:rsidR="00531570" w:rsidRPr="00D03F3E" w:rsidRDefault="00531570" w:rsidP="00D03F3E">
      <w:pPr>
        <w:pStyle w:val="Iauiue"/>
        <w:jc w:val="both"/>
        <w:rPr>
          <w:color w:val="000000" w:themeColor="text1"/>
          <w:sz w:val="16"/>
          <w:szCs w:val="16"/>
        </w:rPr>
      </w:pPr>
    </w:p>
    <w:p w14:paraId="042A755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июня 1943 вышел приказ НКАП об изготовлении головного Як-9Р c АФА-ИМ (65,128).</w:t>
      </w:r>
    </w:p>
    <w:p w14:paraId="6BE3F2DA" w14:textId="77777777" w:rsidR="00531570" w:rsidRPr="00D03F3E" w:rsidRDefault="00531570" w:rsidP="00D03F3E">
      <w:pPr>
        <w:pStyle w:val="Iauiue"/>
        <w:jc w:val="both"/>
        <w:rPr>
          <w:color w:val="000000" w:themeColor="text1"/>
          <w:sz w:val="16"/>
          <w:szCs w:val="16"/>
        </w:rPr>
      </w:pPr>
    </w:p>
    <w:p w14:paraId="22E87F2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июня 1943 закончились войсковые испытания на боевое применение ЛаГГ-3 с 37 мм пушкой ОКБ-16 и пулеметов УБС, которые шли 21 апреля, а по другим данным с 24 апреля по 6 июня 1943.</w:t>
      </w:r>
    </w:p>
    <w:p w14:paraId="4C62824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 июня 1943 ГИ ВВС гп ИАС Репиным был утвержден отчет</w:t>
      </w:r>
    </w:p>
    <w:p w14:paraId="7A2D0E2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Отв. Исполнитель к-р 21 ИАП м-р Нестоянов</w:t>
      </w:r>
    </w:p>
    <w:p w14:paraId="2D859E2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ст. политрук, нач-к 3 отд. ГУ ИАС ВВС и м-р Мохов</w:t>
      </w:r>
    </w:p>
    <w:p w14:paraId="7A1114D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Вед. инж. 4 отд. НИИ ВВС и к-н Зюскевич</w:t>
      </w:r>
    </w:p>
    <w:p w14:paraId="7C5A1BD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Вед. л-к 4 отд. НИИ ВВС КА ст. л. Масляков</w:t>
      </w:r>
    </w:p>
    <w:p w14:paraId="27EA810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Объект испытаний: с-т ЛаГГ-3 М-105ПФ постройки з-да № 21 1943 г.</w:t>
      </w:r>
    </w:p>
    <w:p w14:paraId="6A651B3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отличие от серийного с-та ЛаГГ-3:</w:t>
      </w:r>
    </w:p>
    <w:p w14:paraId="43D140B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установлена пушка ОКБ-16 калибра 37 мм с б/к 36 патронов вместо пушки ШВАК кал. 20 мм</w:t>
      </w:r>
    </w:p>
    <w:p w14:paraId="4DAC16A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УБС с б/з в 170 патронов оставлены без изменений</w:t>
      </w:r>
    </w:p>
    <w:p w14:paraId="5DEECA2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 пушки - 150 кг, темп стрельбы - 240-250 в/мин, вес установки на с-т - 35 кг, вес патрона - 1,6 кг, вес снаряда 0,702 кг. Вес боевомплекта - 63 кг. Общий вес пушечного вооружения - 250 кг.</w:t>
      </w:r>
    </w:p>
    <w:p w14:paraId="2CCE3C2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Войсковые испытания проведены в 21 иап согласно приказу командования ВВС № 114 от 22 февраля 1942 г. и № 089 от 26 апреля 1943 г.</w:t>
      </w:r>
    </w:p>
    <w:p w14:paraId="7EE71D1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Полк получил 13 с-тов ЛаГГ-3 с завода № 21 с этими пушками и кроме того Ла-5 21 шт.</w:t>
      </w:r>
    </w:p>
    <w:p w14:paraId="035371D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Летный состав - в основном молодые л-ки, подготовленные в 23 АПс Сейлин</w:t>
      </w:r>
    </w:p>
    <w:p w14:paraId="33431C6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 период испытаний с 21 апреля по 5 июня 1943 г. выполнено 174 с/в, из которых 71 были боевыми</w:t>
      </w:r>
    </w:p>
    <w:p w14:paraId="30A53FF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Полком уничтожено:</w:t>
      </w:r>
    </w:p>
    <w:p w14:paraId="4E94899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с-тов противника 12 (Ме-110 - 1, ФВ-189 - 6, Хш-126 -5)</w:t>
      </w:r>
    </w:p>
    <w:p w14:paraId="336FB7B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паровозов - 3</w:t>
      </w:r>
    </w:p>
    <w:p w14:paraId="5FE8522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а/м - 26</w:t>
      </w:r>
    </w:p>
    <w:p w14:paraId="6EA49E7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ЛаГГ с пушкой сбили 5 с-тов (ФВ-189 -1. Хш-126 - 4)</w:t>
      </w:r>
    </w:p>
    <w:p w14:paraId="3C606EE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уничтоженис с-та противника достаточно 1-2 прямых попаданий снарядов</w:t>
      </w:r>
    </w:p>
    <w:p w14:paraId="5A8BAA4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Испытания были на Калининском фронте в 21 иап 3ВА (аэродромы Старица, Торопа, Равонь, Борки - почва песчаная)</w:t>
      </w:r>
    </w:p>
    <w:p w14:paraId="3B1114A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ЛаГГ-3 ходили под прикрытием Ла-5</w:t>
      </w:r>
    </w:p>
    <w:p w14:paraId="19522BD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Боевое применение: борьба с корректировщиками противника по вызову наземных частей, перехват разведчиков противника, свободный полет (охота), </w:t>
      </w:r>
      <w:r w:rsidRPr="00D03F3E">
        <w:rPr>
          <w:color w:val="000000" w:themeColor="text1"/>
          <w:sz w:val="16"/>
          <w:szCs w:val="16"/>
        </w:rPr>
        <w:lastRenderedPageBreak/>
        <w:t>сопровождение штурмовиков Ил-2. Ла-5 применячлись в основном при полетах над территорией противника (перехват и барражирование не дали положительных результатов).</w:t>
      </w:r>
    </w:p>
    <w:p w14:paraId="0069143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Заключение:</w:t>
      </w:r>
    </w:p>
    <w:p w14:paraId="5A39BA3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Войсковые испытания с-тов ЛаГГ-3 с 37мм пушкой ОКБ-16 подтвердили эффективность использования истребителей для уничтожения с-тов-бомбардировщиков и корректировщиков противника, а также для действия по наземным целям (ж/д эшелоны, переправы, мотомехколлонны, автотранспорт) при слабой ПВО этих целей</w:t>
      </w:r>
    </w:p>
    <w:p w14:paraId="73AA360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С-ты ЛаГГ-3, вооруженные 37мм пушками, по своим ЛТД уступают современным истребителям Ла-5 и Як-9, поэтому применение их для выполнения боевых задач при противодействии со стороны истребителей противника требует совместных действий с с-тами ла-5 или Як-9 в смешанных боевых порядках.</w:t>
      </w:r>
    </w:p>
    <w:p w14:paraId="63E6EB6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Пушки ОКБ-16 калтюра 37 мм войсковые испытания на боевое применение выдержали.</w:t>
      </w:r>
    </w:p>
    <w:p w14:paraId="2CE0BD6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Нач. НИИ Лосюков 16 июня, Ком. 3ВА ш=гма Папив, Нач. 4 отд. НИИ Шишкин 6 июня 1943 (757,1).</w:t>
      </w:r>
    </w:p>
    <w:p w14:paraId="44D012F5" w14:textId="77777777" w:rsidR="00531570" w:rsidRPr="00D03F3E" w:rsidRDefault="00531570" w:rsidP="00D03F3E">
      <w:pPr>
        <w:pStyle w:val="Iauiue"/>
        <w:jc w:val="both"/>
        <w:rPr>
          <w:color w:val="000000" w:themeColor="text1"/>
          <w:sz w:val="16"/>
          <w:szCs w:val="16"/>
        </w:rPr>
      </w:pPr>
    </w:p>
    <w:p w14:paraId="7D740D5A" w14:textId="77777777" w:rsidR="00227A2A" w:rsidRPr="00D03F3E" w:rsidRDefault="00227A2A"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с 5 по 14 июня 1943 года немецкая авиация совершила ряд массированных налетов на Автозаводский район Горького. Всего было сброшено 2170 бомб, из них 1540 на территорию автозавода. Использовались осколочно-фугасные бомбы 250-</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1000 кг</w:t>
        </w:r>
      </w:smartTag>
      <w:r w:rsidRPr="00D03F3E">
        <w:rPr>
          <w:rFonts w:ascii="Times New Roman" w:hAnsi="Times New Roman"/>
          <w:color w:val="000000" w:themeColor="text1"/>
          <w:sz w:val="16"/>
          <w:szCs w:val="16"/>
        </w:rPr>
        <w:t xml:space="preserve"> и зажигательные (термитные) 1-</w:t>
      </w:r>
      <w:smartTag w:uri="urn:schemas-microsoft-com:office:smarttags" w:element="metricconverter">
        <w:smartTagPr>
          <w:attr w:name="ProductID" w:val="1945 г"/>
        </w:smartTagPr>
        <w:smartTag w:uri="urn:schemas-microsoft-com:office:smarttags" w:element="metricconverter">
          <w:smartTagPr>
            <w:attr w:name="ProductID" w:val="1945 г"/>
          </w:smartTagPr>
          <w:r w:rsidRPr="00D03F3E">
            <w:rPr>
              <w:rFonts w:ascii="Times New Roman" w:hAnsi="Times New Roman"/>
              <w:color w:val="000000" w:themeColor="text1"/>
              <w:sz w:val="16"/>
              <w:szCs w:val="16"/>
            </w:rPr>
            <w:t>250 кг</w:t>
          </w:r>
        </w:smartTag>
        <w:r w:rsidRPr="00D03F3E">
          <w:rPr>
            <w:rFonts w:ascii="Times New Roman" w:hAnsi="Times New Roman"/>
            <w:color w:val="000000" w:themeColor="text1"/>
            <w:sz w:val="16"/>
            <w:szCs w:val="16"/>
          </w:rPr>
          <w:t>,</w:t>
        </w:r>
      </w:smartTag>
      <w:r w:rsidRPr="00D03F3E">
        <w:rPr>
          <w:rFonts w:ascii="Times New Roman" w:hAnsi="Times New Roman"/>
          <w:color w:val="000000" w:themeColor="text1"/>
          <w:sz w:val="16"/>
          <w:szCs w:val="16"/>
        </w:rPr>
        <w:t xml:space="preserve"> и в больших количествах немецкие летчики использовали осветительные ракеты. В результате налетов было полностью разрушено или значительно повреждено более 50 зданий и сооружений, сгорели цеха шасси, колесный, монтажный и термический №2, главный конвейер, паровозное депо. В литейных цехах серого и ковкого чугуна полностью были уничтожены стержневая, участок цветного литья и электропечь, сильно пострадали кузнечный корпус, инструментально-штамповый и прессово-кузнечный корпуса, моторный цех №2, ремонтно-механический цех, много жилых домов. После бомбардировок ГАЗ оказался в тяжелом положении – резко снизилась подача электроэнергии из-за разрушения линий электропередач, вышел из строя водопровод, а кроме того, завод оказался без сжатого воздуха – были повреждены или разрушены 6 компрессоров общей мощностью </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21 000 м²</w:t>
        </w:r>
      </w:smartTag>
      <w:r w:rsidRPr="00D03F3E">
        <w:rPr>
          <w:rFonts w:ascii="Times New Roman" w:hAnsi="Times New Roman"/>
          <w:color w:val="000000" w:themeColor="text1"/>
          <w:sz w:val="16"/>
          <w:szCs w:val="16"/>
        </w:rPr>
        <w:t xml:space="preserve">. Всего в 32 цехах выбыло из строя 5900 единиц технологического оборудования (51%), 8000 электромоторов (5620 из них полностью уничтожены), </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9180 м</w:t>
        </w:r>
      </w:smartTag>
      <w:r w:rsidRPr="00D03F3E">
        <w:rPr>
          <w:rFonts w:ascii="Times New Roman" w:hAnsi="Times New Roman"/>
          <w:color w:val="000000" w:themeColor="text1"/>
          <w:sz w:val="16"/>
          <w:szCs w:val="16"/>
        </w:rPr>
        <w:t xml:space="preserve"> конвейеров и транспортеров, более 300 электросварочных машин, 14 000 комплектов электро- и радиоаппаратуры, 238 мостовых кранов. В результате налетов вражеской авиации погибло 254 жителя Автозаводского района и 28 бойцов ПВО, ранено соответственно 492 и 27, медицинская помощь была оказана 2740 пострадавшим. Защищая предприятие, героически погибли директор автобусного завода (филиал ГАЗа) Герасим Кузьмич Парышев, начальник кузовного цеха Иван Васильевич Китаев, прославленные передовики Григорий Иванович Масленников и Иван Леонидович Лышнов. Посмертно они были награждены орденами Отечественной войны </w:t>
      </w:r>
      <w:r w:rsidRPr="00D03F3E">
        <w:rPr>
          <w:rFonts w:ascii="Times New Roman" w:hAnsi="Times New Roman"/>
          <w:color w:val="000000" w:themeColor="text1"/>
          <w:sz w:val="16"/>
          <w:szCs w:val="16"/>
          <w:lang w:val="en-US"/>
        </w:rPr>
        <w:t>I</w:t>
      </w:r>
      <w:r w:rsidRPr="00D03F3E">
        <w:rPr>
          <w:rFonts w:ascii="Times New Roman" w:hAnsi="Times New Roman"/>
          <w:color w:val="000000" w:themeColor="text1"/>
          <w:sz w:val="16"/>
          <w:szCs w:val="16"/>
        </w:rPr>
        <w:t xml:space="preserve"> степени. Особенно сильно пострадало автомобильное производство, так как из строя вышли основные автомобильные цеха: шасси, отделение коробок скоростей, моторный цех, цех ковкого чугуна, колесный, паровая кузница и главный конвейер. Согласно официальным данным завода, танковое производство не было парализовано, однако выход из строя электроплавильных печей, а главное, печи в цехе ковкого чугуна значительно осложнил изготовление брони. В результате пришлось применить «новый способ» плавления в комбинированной шихте методом «скоростных плавок». Применение подобных «обходных технологий» стало для ГАЗа повседневной реальностью. Ориентировочная сумма ущерба заводу была определена в 191 миллион рублей, что было по тем временам огромной суммой (15218).</w:t>
      </w:r>
    </w:p>
    <w:p w14:paraId="6831396B" w14:textId="77777777" w:rsidR="00227A2A" w:rsidRPr="00D03F3E" w:rsidRDefault="00227A2A" w:rsidP="00D03F3E">
      <w:pPr>
        <w:widowControl w:val="0"/>
        <w:spacing w:after="0" w:line="240" w:lineRule="auto"/>
        <w:jc w:val="both"/>
        <w:rPr>
          <w:rFonts w:ascii="Times New Roman" w:hAnsi="Times New Roman"/>
          <w:color w:val="000000" w:themeColor="text1"/>
          <w:sz w:val="16"/>
          <w:szCs w:val="16"/>
        </w:rPr>
      </w:pPr>
    </w:p>
    <w:p w14:paraId="4374A44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июня 1945 Инспектор-летчик по технике пилотирования 6 АК подполковник Шолохов писал командиру 6 Авиакорпуса генерал-майору авиации Демидову.</w:t>
      </w:r>
    </w:p>
    <w:p w14:paraId="6CCFDD0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Боевое донесение</w:t>
      </w:r>
    </w:p>
    <w:p w14:paraId="7D60866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приказанию с КП 6 АК в 15 ч. 56 мин. 2.6.43 г. вылетел на самолете Як-9 N 29 с мотором М-105 - ПД с Центрального аэродрома с задачей набрать потолок над аэродромом. Противник шел с запада в районе Можайска на большой высоте. Набирая высоту над аэродромом, на Н=2000 м, с КП 12 Гв. ИАП получил настройку рации, слышал хорошо. На высоте 4000 м в 10 ч. 01 мин. получил предупреждение с КП 12 Гв. ИАП: "Противник с юго-запада на большой высоте, внимание на юго-запад". Находясь на высоте 6600 м получил команду по радио с КП 12 Гв. ИАП: "Противник прошел Внуково". В это время по инверсии заметил самолет противника, подходивший к южной окраине Москвы на большой высоте. Продолжая набор высоты пошел наперерез противнику. Самолет противника пошел в направлении на Монино, не доходя до Монино, развернулся на Пушкино.</w:t>
      </w:r>
    </w:p>
    <w:p w14:paraId="7B1104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районе Чкаловского аэродрома, я сблизился с самолетом противника по дистанции, но был ниже его, продолжая набор высоты под самолетом противника, делал небольшую змейку, так как по скорости обгонял самолет противника. В районе Пушкино у меня высота по прибору была 11600 м приведенная по барограмме " " метров. Я находился ниже самолета противника, примерно на 1000-1500 м и прекрасно видел желтые консоли плоскостей и неясные очертания крестов. Самолет противника имел два мотора большой размах, примерно в 1,5-2 раза больше длины фюзеляжа и двухкилевое хвостовое оперение. От Пушкино самолет противника пошел в направлении на Истру, я шел под ним продолжая медленно набирать высоту. На высоте 11650 м по прибору, давление бензина упало до 0, мотор прекратил работу и снова заработал на высоте 10800 м и вновь перешел на набор высоты и набрал 11400 м по прибору. В это время самолет противника, дойдя до Истры, развернулся курсом 90 и пошел на Москву. В этот момент мой мотор "запарил", температура воды была 112 градусов С. Козырек и фонарь покрылись слоем льда, я потерял противника и вынужден был прекратить преследование и пойти на посадку. С высоты стал снижаться на 46-й минуте полета. Посадку произвел на Ц.А. в 16.65 м., пробыв в воздухе 59 мин. Все команды по радио с КП 12 Гв. ИАП и с КП 6 АК слышал отлично, но не было необходимости их выполнять, так как они давали наведение на противника, с опозданием о месте нахождения его на 30-40 км, а я ходил все время за противником, не теряя его из вида, но ниже его на 1000-1500 м. Набрать большую высоту оказалось невозможным при данном техническом состоянии самолета.</w:t>
      </w:r>
    </w:p>
    <w:p w14:paraId="56DE9A3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Приложение: Барограмма полета (1778).</w:t>
      </w:r>
    </w:p>
    <w:p w14:paraId="34CF429E" w14:textId="77777777" w:rsidR="00531570" w:rsidRPr="00D03F3E" w:rsidRDefault="00531570" w:rsidP="00D03F3E">
      <w:pPr>
        <w:pStyle w:val="Iauiue"/>
        <w:jc w:val="both"/>
        <w:rPr>
          <w:color w:val="000000" w:themeColor="text1"/>
          <w:sz w:val="16"/>
          <w:szCs w:val="16"/>
        </w:rPr>
      </w:pPr>
    </w:p>
    <w:p w14:paraId="0E3B6CEF"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5 июня 1943 вышло Постановление ГКО № 3509 Об организации Всесоюзного социалистического соревнования предприятий и авиаремонтных баз Главного управления Гражданского воздушного флота. (7112, 109).</w:t>
      </w:r>
    </w:p>
    <w:p w14:paraId="18CED5E2" w14:textId="77777777" w:rsidR="00531570" w:rsidRPr="00D03F3E" w:rsidRDefault="00531570" w:rsidP="00D03F3E">
      <w:pPr>
        <w:pStyle w:val="Iauiue"/>
        <w:tabs>
          <w:tab w:val="left" w:pos="11199"/>
        </w:tabs>
        <w:jc w:val="both"/>
        <w:rPr>
          <w:color w:val="000000" w:themeColor="text1"/>
          <w:sz w:val="16"/>
          <w:szCs w:val="16"/>
        </w:rPr>
      </w:pPr>
    </w:p>
    <w:p w14:paraId="51EFF666"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7DCC82D7" w14:textId="77777777" w:rsidR="00531570" w:rsidRPr="00D03F3E" w:rsidRDefault="00531570" w:rsidP="00D03F3E">
      <w:pPr>
        <w:pStyle w:val="Iauiue"/>
        <w:jc w:val="both"/>
        <w:rPr>
          <w:iCs/>
          <w:color w:val="000000" w:themeColor="text1"/>
          <w:sz w:val="16"/>
          <w:szCs w:val="16"/>
        </w:rPr>
      </w:pPr>
    </w:p>
    <w:p w14:paraId="29C45F8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июня 1943 г. была подготовлена ДОКЛАДНАЯ ЗАПИСКА НАЧАЛЬНИКА ТУ ГБТУ КА НАРКОМУ ТАНКОВОЙ ПРОМЫШЛЕННОСТИ СССР И.М.ЗАЛЬЦМАНУ ОБ ОПЫТНЫХ ОБРАЗЦАХ ПЛАНЕТАРНОЙ ТРАНСМИССИИ ДЛЯ ТАНКА КВ №1151929</w:t>
      </w:r>
    </w:p>
    <w:p w14:paraId="6D9092D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распоряжения СНК СССР №12016рс и 12017рс от 27 июня 1942 г. Саратовский завод зуборезных станков изготовил два опытных образца планетарной трансмиссии для танка КВ кон</w:t>
      </w:r>
      <w:r w:rsidRPr="00D03F3E">
        <w:rPr>
          <w:rFonts w:ascii="Times New Roman" w:hAnsi="Times New Roman"/>
          <w:color w:val="000000" w:themeColor="text1"/>
          <w:sz w:val="16"/>
          <w:szCs w:val="16"/>
        </w:rPr>
        <w:softHyphen/>
        <w:t>струкции института им. Баумана.</w:t>
      </w:r>
    </w:p>
    <w:p w14:paraId="5E5DCD5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с 8 февраля по 4 марта 1943 г. на заводе №100 были проведены заводские испытания одного опытного образца трансмиссии, смонтированного на танке КВ-7.</w:t>
      </w:r>
    </w:p>
    <w:p w14:paraId="4F9B8C6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время испытаний танк с опытной трансмиссией прошел 540 км.</w:t>
      </w:r>
    </w:p>
    <w:p w14:paraId="1D66005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Трансмиссия работала удовлетворительно.</w:t>
      </w:r>
    </w:p>
    <w:p w14:paraId="6D27066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 с планетарной трансмиссией становится более маневренным и приемистым. Переключение скоростей происходит легко и быстро, без снижения скорости движения.</w:t>
      </w:r>
    </w:p>
    <w:p w14:paraId="0D2D9B9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Обнаруженные во время испытания конструктивные дефекты: течи масла через сальники, повышенные усилия на педали и рычагах управления, отсутствие автоматической регулировки тор</w:t>
      </w:r>
      <w:r w:rsidRPr="00D03F3E">
        <w:rPr>
          <w:rFonts w:ascii="Times New Roman" w:hAnsi="Times New Roman"/>
          <w:color w:val="000000" w:themeColor="text1"/>
          <w:sz w:val="16"/>
          <w:szCs w:val="16"/>
        </w:rPr>
        <w:softHyphen/>
        <w:t>мозных лент могут быть устранены при доработке этой трансмиссии для серийного производства.</w:t>
      </w:r>
    </w:p>
    <w:p w14:paraId="29B711E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полного выяснения эксплуатационных качеств планетарной трансмиссии испытания танка с этой трансмиссией продолжены до полного гарантийного километража в 2000 км.</w:t>
      </w:r>
    </w:p>
    <w:p w14:paraId="6F3786A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Заводом №100 по различным причинам эти испытания задерживаются, вследствие чего на 15.05.1943 г. танк КВ-7 прошел всего 850 км.</w:t>
      </w:r>
    </w:p>
    <w:p w14:paraId="4036123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Ваших указаний заводу №100 о форсировании испытаний и окончании их к 20 июня с.г. для дачи окончательного заключения о надежности работы трансмиссии и возможности примене</w:t>
      </w:r>
      <w:r w:rsidRPr="00D03F3E">
        <w:rPr>
          <w:rFonts w:ascii="Times New Roman" w:hAnsi="Times New Roman"/>
          <w:color w:val="000000" w:themeColor="text1"/>
          <w:sz w:val="16"/>
          <w:szCs w:val="16"/>
        </w:rPr>
        <w:softHyphen/>
        <w:t>ния ее для серийных танков.</w:t>
      </w:r>
    </w:p>
    <w:p w14:paraId="75663F9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ТУ ГБТУ КА инженер-полковник Афонин</w:t>
      </w:r>
    </w:p>
    <w:p w14:paraId="6EA3769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6 отдела ТУ ГБТУ КА инженер-подполковник Солонин</w:t>
      </w:r>
    </w:p>
    <w:p w14:paraId="1009C27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1377. Л. 153. Копия (11403).</w:t>
      </w:r>
    </w:p>
    <w:p w14:paraId="61773FC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6D7881F" w14:textId="77777777" w:rsidR="00267D1F" w:rsidRPr="00D03F3E" w:rsidRDefault="00267D1F" w:rsidP="00D03F3E">
      <w:pPr>
        <w:pStyle w:val="a3"/>
        <w:rPr>
          <w:color w:val="000000" w:themeColor="text1"/>
          <w:lang w:val="ru-RU"/>
        </w:rPr>
      </w:pPr>
      <w:r w:rsidRPr="00D03F3E">
        <w:rPr>
          <w:color w:val="000000" w:themeColor="text1"/>
          <w:lang w:val="ru-RU"/>
        </w:rPr>
        <w:t>5 июня 1943 года, начальник БТУ ГАБТУ КА в докладной записке наркому танковой промышленности И.М. Зальцману относительно испытаний КВ-7 с планетарной трансмиссией, которую разработал коллектив Московского машино</w:t>
      </w:r>
      <w:r w:rsidRPr="00D03F3E">
        <w:rPr>
          <w:color w:val="000000" w:themeColor="text1"/>
          <w:lang w:val="ru-RU"/>
        </w:rPr>
        <w:softHyphen/>
        <w:t>строительного института им. Баумана под руководством Г. И. Зайчи</w:t>
      </w:r>
      <w:r w:rsidRPr="00D03F3E">
        <w:rPr>
          <w:color w:val="000000" w:themeColor="text1"/>
          <w:lang w:val="ru-RU"/>
        </w:rPr>
        <w:softHyphen/>
        <w:t>ка, писал следующее:</w:t>
      </w:r>
    </w:p>
    <w:p w14:paraId="058DCF47" w14:textId="77777777" w:rsidR="00267D1F" w:rsidRPr="00D03F3E" w:rsidRDefault="00267D1F" w:rsidP="00D03F3E">
      <w:pPr>
        <w:spacing w:after="0" w:line="240" w:lineRule="auto"/>
        <w:jc w:val="both"/>
        <w:rPr>
          <w:rStyle w:val="Bodytext145"/>
          <w:rFonts w:ascii="Times New Roman" w:hAnsi="Times New Roman"/>
          <w:color w:val="000000" w:themeColor="text1"/>
          <w:sz w:val="16"/>
          <w:szCs w:val="16"/>
        </w:rPr>
      </w:pPr>
      <w:r w:rsidRPr="00D03F3E">
        <w:rPr>
          <w:rStyle w:val="Bodytext145"/>
          <w:rFonts w:ascii="Times New Roman" w:hAnsi="Times New Roman"/>
          <w:color w:val="000000" w:themeColor="text1"/>
          <w:sz w:val="16"/>
          <w:szCs w:val="16"/>
        </w:rPr>
        <w:t>«Танк с планетарной трансмиссией становится более маневренным и приемистым. Переключение скоростей происходит легко и быстро, без снижения скорости движения.</w:t>
      </w:r>
    </w:p>
    <w:p w14:paraId="2C558B3F" w14:textId="77777777" w:rsidR="00267D1F" w:rsidRPr="00D03F3E" w:rsidRDefault="00267D1F"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Обнаруженные во время испытания конструктивные дефекты: течи масла через сальники, повышенные усилия на педали и рычагах управле</w:t>
      </w:r>
      <w:r w:rsidRPr="00D03F3E">
        <w:rPr>
          <w:rStyle w:val="Bodytext145"/>
          <w:i w:val="0"/>
          <w:iCs w:val="0"/>
          <w:color w:val="000000" w:themeColor="text1"/>
          <w:sz w:val="16"/>
          <w:szCs w:val="16"/>
        </w:rPr>
        <w:softHyphen/>
        <w:t>ния, отсутствие автоматической регулировки тормозных лент, могутбыть устранены при доработке этой трансмиссии для серийного произ</w:t>
      </w:r>
      <w:r w:rsidRPr="00D03F3E">
        <w:rPr>
          <w:rStyle w:val="Bodytext145"/>
          <w:i w:val="0"/>
          <w:iCs w:val="0"/>
          <w:color w:val="000000" w:themeColor="text1"/>
          <w:sz w:val="16"/>
          <w:szCs w:val="16"/>
        </w:rPr>
        <w:softHyphen/>
        <w:t>водства.</w:t>
      </w:r>
    </w:p>
    <w:p w14:paraId="68CBA90E" w14:textId="77777777" w:rsidR="00267D1F" w:rsidRPr="00D03F3E" w:rsidRDefault="00267D1F"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Для полного выяснения эксплуатационных качеств планетарной транс</w:t>
      </w:r>
      <w:r w:rsidRPr="00D03F3E">
        <w:rPr>
          <w:rStyle w:val="Bodytext145"/>
          <w:i w:val="0"/>
          <w:iCs w:val="0"/>
          <w:color w:val="000000" w:themeColor="text1"/>
          <w:sz w:val="16"/>
          <w:szCs w:val="16"/>
        </w:rPr>
        <w:softHyphen/>
        <w:t>миссии испытания танка с этой трансмиссией продолжены до полного га</w:t>
      </w:r>
      <w:r w:rsidRPr="00D03F3E">
        <w:rPr>
          <w:rStyle w:val="Bodytext145"/>
          <w:i w:val="0"/>
          <w:iCs w:val="0"/>
          <w:color w:val="000000" w:themeColor="text1"/>
          <w:sz w:val="16"/>
          <w:szCs w:val="16"/>
        </w:rPr>
        <w:softHyphen/>
        <w:t>рантийного километража в 2000 км».</w:t>
      </w:r>
    </w:p>
    <w:p w14:paraId="68216EA0" w14:textId="77777777" w:rsidR="00267D1F" w:rsidRPr="00D03F3E" w:rsidRDefault="00267D1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Испытания, между тем, затягивались. В апреле, после 160 киломе</w:t>
      </w:r>
      <w:r w:rsidRPr="00D03F3E">
        <w:rPr>
          <w:rFonts w:ascii="Times New Roman" w:hAnsi="Times New Roman"/>
          <w:color w:val="000000" w:themeColor="text1"/>
          <w:sz w:val="16"/>
          <w:szCs w:val="16"/>
        </w:rPr>
        <w:softHyphen/>
        <w:t>тров пробега (не считая 545 километров, пройденных в феврале—мар</w:t>
      </w:r>
      <w:r w:rsidRPr="00D03F3E">
        <w:rPr>
          <w:rFonts w:ascii="Times New Roman" w:hAnsi="Times New Roman"/>
          <w:color w:val="000000" w:themeColor="text1"/>
          <w:sz w:val="16"/>
          <w:szCs w:val="16"/>
        </w:rPr>
        <w:softHyphen/>
        <w:t>те), вышел из строя бортовой редуктор. После ремонта испытания планетарной трансмиссии продолжились (17484).</w:t>
      </w:r>
    </w:p>
    <w:p w14:paraId="659DE995" w14:textId="77777777" w:rsidR="00267D1F" w:rsidRPr="00D03F3E" w:rsidRDefault="00267D1F" w:rsidP="00D03F3E">
      <w:pPr>
        <w:spacing w:after="0" w:line="240" w:lineRule="auto"/>
        <w:jc w:val="both"/>
        <w:rPr>
          <w:rFonts w:ascii="Times New Roman" w:hAnsi="Times New Roman"/>
          <w:color w:val="000000" w:themeColor="text1"/>
          <w:sz w:val="16"/>
          <w:szCs w:val="16"/>
        </w:rPr>
      </w:pPr>
    </w:p>
    <w:p w14:paraId="7616E3D3" w14:textId="77777777" w:rsidR="00E40CBE" w:rsidRPr="00D03F3E" w:rsidRDefault="00E40CB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С 5 по 14 июня 1943 года ГАЗ подвергался массированной бомбардировке, многие цеха оказались разрушены. Героическими усилиями завод удалось восстановить в кратчайшие сроки. Сборка танков и другой продукции продолжалась прямо под открытым небом, параллельно шло восстановление цехов. В итоге за июнь заводу удалось сдать 128 танков (17695).</w:t>
      </w:r>
    </w:p>
    <w:p w14:paraId="672F08AA" w14:textId="77777777" w:rsidR="00E40CBE" w:rsidRPr="00D03F3E" w:rsidRDefault="00E40CBE" w:rsidP="00D03F3E">
      <w:pPr>
        <w:spacing w:after="0" w:line="240" w:lineRule="auto"/>
        <w:jc w:val="both"/>
        <w:rPr>
          <w:rFonts w:ascii="Times New Roman" w:eastAsia="Times New Roman" w:hAnsi="Times New Roman"/>
          <w:color w:val="000000" w:themeColor="text1"/>
          <w:sz w:val="16"/>
          <w:szCs w:val="16"/>
          <w:lang w:eastAsia="ru-RU"/>
        </w:rPr>
      </w:pPr>
    </w:p>
    <w:p w14:paraId="126C5B1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июня 1943 вышло Постановление ГКО № 3508 О строительстве в г. Фергане гидролизного завода по производству ксилитана из отходов маслобойной промышленности (хлопковая шелуха).РГАНИР, Фонд ГКО, д. 123, лл. 94-101, 102-108 (11012).</w:t>
      </w:r>
    </w:p>
    <w:p w14:paraId="61EE77E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47C071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июня 1943 вышло Постановление ГКО № 3510 О дополнительном учреждении двух переходящих Красных знамен Государственного Комитета Обороны для предприятий Наркоммясомолпрома СССР.РГАНИР, Фонд ГКО, д. 123, лл. 110 (11012).</w:t>
      </w:r>
    </w:p>
    <w:p w14:paraId="752882B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E2CDC9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июня 1943 вышло Постановление ГКО № 3511 О разрешении фронтовым и армейским ремонтным частям капитально ремонтировать танковые дизельные моторы В-2.РГАНИР, Фонд ГКО, д. 124, лл. 1 (11012).</w:t>
      </w:r>
    </w:p>
    <w:p w14:paraId="0A17426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95C4AE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июня 1943 вышло Постановление ГКО № 3512 О мероприятиях по обеспечению выполнения плана по лесохимической промышленности Наркомлеса СССР во II и III кварталах 1943 года.РГАНИР, Фонд ГКО, д. 124, лл. 2-4, 5-10 (11012).</w:t>
      </w:r>
    </w:p>
    <w:p w14:paraId="24B3658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14BAAF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июня 1943 вышло Распоряжение ГКО № 3513. О продлении до 1 октября 1943 г. действия распоряжения ГКО № 2757 от 18 января 1943 г., запрещавшего перевыполнение плана выработки электроэнергии и тепла, и о премировании за экономию топлива и электроэнергии на электростанциях.РГАНИР, Фонд ГКО, д. 124, лл. 11 (11012).</w:t>
      </w:r>
    </w:p>
    <w:p w14:paraId="1EE9956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2164115"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5 июня 1943 вышло Распоряжение ГКО № 3514 [О выделении цемента ГУАС НКВД СССР наравне со стройками черной металлургии.] (7113, 12).</w:t>
      </w:r>
    </w:p>
    <w:p w14:paraId="2ACB64DF" w14:textId="77777777" w:rsidR="00531570" w:rsidRPr="00D03F3E" w:rsidRDefault="00531570" w:rsidP="00D03F3E">
      <w:pPr>
        <w:pStyle w:val="Iauiue"/>
        <w:tabs>
          <w:tab w:val="left" w:pos="11199"/>
        </w:tabs>
        <w:jc w:val="both"/>
        <w:rPr>
          <w:color w:val="000000" w:themeColor="text1"/>
          <w:sz w:val="16"/>
          <w:szCs w:val="16"/>
        </w:rPr>
      </w:pPr>
    </w:p>
    <w:p w14:paraId="57E9993A"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5 июня 1943 вышло Распоряжение ГКО № 3515 [Об освобождении Главстройлеса СССР от передачи в резерв Ставки ВГК 51 автомашины.] (7113, 13).</w:t>
      </w:r>
    </w:p>
    <w:p w14:paraId="37A82B39" w14:textId="77777777" w:rsidR="00531570" w:rsidRPr="00D03F3E" w:rsidRDefault="00531570" w:rsidP="00D03F3E">
      <w:pPr>
        <w:pStyle w:val="Iauiue"/>
        <w:tabs>
          <w:tab w:val="left" w:pos="11199"/>
        </w:tabs>
        <w:jc w:val="both"/>
        <w:rPr>
          <w:color w:val="000000" w:themeColor="text1"/>
          <w:sz w:val="16"/>
          <w:szCs w:val="16"/>
        </w:rPr>
      </w:pPr>
    </w:p>
    <w:p w14:paraId="498F0BC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июня 1943 вышло Постановление ГКО № 3516 Об обеспечении бесперебойного снабжения электроэнергией шахт Подмосковного угольного бассейна.РГАНИР, Фонд ГКО, д. 124, лл. 14-16, 17-20 (11012).</w:t>
      </w:r>
    </w:p>
    <w:p w14:paraId="0FC4154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07231C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июня 1943 вышло Постановление ГКО № 3517 О заготовке, вывозке и поставке дров в г. Москву по железным дорогам на период с 1 апреля 1943 года по 1 апреля 1944 года.РГАНИР, Фонд ГКО, д. 124, лл. 21-29, 30-50 (11012).</w:t>
      </w:r>
    </w:p>
    <w:p w14:paraId="67EC23A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92012B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июня 1943 вышло Распоряжение ГКО № 3518. О поставках ГБТУ КА дополнительных материалов для ремонта танков.РГАНИР, Фонд ГКО, д. 124, лл. 51, 52 (11012).</w:t>
      </w:r>
    </w:p>
    <w:p w14:paraId="0E7B8D1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4DF85B1"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5 июня 1943 вышло [Справка о выдаче удостоверения Акопову С.А № 3519 - уполномоченному ГКО по ликвидации последствий налета вражеской авиации на ГАЗ.] (7113, 53).</w:t>
      </w:r>
    </w:p>
    <w:p w14:paraId="7E1899D5" w14:textId="77777777" w:rsidR="00531570" w:rsidRPr="00D03F3E" w:rsidRDefault="00531570" w:rsidP="00D03F3E">
      <w:pPr>
        <w:pStyle w:val="Iauiue"/>
        <w:tabs>
          <w:tab w:val="left" w:pos="11199"/>
        </w:tabs>
        <w:jc w:val="both"/>
        <w:rPr>
          <w:color w:val="000000" w:themeColor="text1"/>
          <w:sz w:val="16"/>
          <w:szCs w:val="16"/>
        </w:rPr>
      </w:pPr>
    </w:p>
    <w:p w14:paraId="10D28BF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июня 1943 вышло Постановление ГКО № 3520 Об освобождении заводов Наркомугля от производства оборудования и механизмов для других наркоматов.РГАНИР, Фонд ГКО, д. 124, лл. 54-55, 56-61 (11012).</w:t>
      </w:r>
    </w:p>
    <w:p w14:paraId="7850923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606421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июня 1943 вышло Постановление ГКО № 3521 О плане распределения сплавной древесины и дров на 1943 гоРГАНИР, Фонд ГКО, д. РГАНИР, Фонд ГКО, д. 124, лл. 62-65, 66-174 (11012).</w:t>
      </w:r>
    </w:p>
    <w:p w14:paraId="79232F5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5DD2B5F"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5 июня 1943 вышло Постановление ГКО № 3523 О строительстве шоссейного моста через реку Неву у Шлиссельбурга. (7113, 181-182).</w:t>
      </w:r>
    </w:p>
    <w:p w14:paraId="20D5D007" w14:textId="77777777" w:rsidR="00531570" w:rsidRPr="00D03F3E" w:rsidRDefault="00531570" w:rsidP="00D03F3E">
      <w:pPr>
        <w:pStyle w:val="Iauiue"/>
        <w:tabs>
          <w:tab w:val="left" w:pos="11199"/>
        </w:tabs>
        <w:jc w:val="both"/>
        <w:rPr>
          <w:color w:val="000000" w:themeColor="text1"/>
          <w:sz w:val="16"/>
          <w:szCs w:val="16"/>
        </w:rPr>
      </w:pPr>
    </w:p>
    <w:p w14:paraId="459A615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июня 1943 вышло Постановление ГКО № 3525 О т.т. Клементьеве Н.Н., Абрамове К.К.РГАНИР, Фонд ГКО, д. 124, лл. 184 (11012).</w:t>
      </w:r>
    </w:p>
    <w:p w14:paraId="4E94A39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7559E8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июня 1943 вышло Распоряжение ГКО № 3526. О создании в системе Главнефтеснаба двух специализированных строительно-монтажных частей и преобразовании отдела капитального строительства в УКС Главнефтеснаба.РГАНИР, Фонд ГКО, д. 124, лл. 185 (11012).</w:t>
      </w:r>
    </w:p>
    <w:p w14:paraId="6AB0128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FC3FC04"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5 июня 1943 вышло Постановление ГКО № 3527 О мероприятиях по укреплению ВТУЗов и техникумов железнодорожного транспорта. (7113, 186-189,190-196).</w:t>
      </w:r>
    </w:p>
    <w:p w14:paraId="1CA81506" w14:textId="77777777" w:rsidR="00531570" w:rsidRPr="00D03F3E" w:rsidRDefault="00531570" w:rsidP="00D03F3E">
      <w:pPr>
        <w:pStyle w:val="Iauiue"/>
        <w:tabs>
          <w:tab w:val="left" w:pos="11199"/>
        </w:tabs>
        <w:jc w:val="both"/>
        <w:rPr>
          <w:color w:val="000000" w:themeColor="text1"/>
          <w:sz w:val="16"/>
          <w:szCs w:val="16"/>
        </w:rPr>
      </w:pPr>
    </w:p>
    <w:p w14:paraId="773B4C7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июня 1943 Вступил в строй очередной МО типа ПП-19-0 (10671).</w:t>
      </w:r>
    </w:p>
    <w:p w14:paraId="38F231E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E7214C2"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39933124" w14:textId="77777777" w:rsidR="00531570" w:rsidRPr="00D03F3E" w:rsidRDefault="00531570" w:rsidP="00D03F3E">
      <w:pPr>
        <w:pStyle w:val="Iauiue"/>
        <w:jc w:val="both"/>
        <w:rPr>
          <w:iCs/>
          <w:color w:val="000000" w:themeColor="text1"/>
          <w:sz w:val="16"/>
          <w:szCs w:val="16"/>
        </w:rPr>
      </w:pPr>
    </w:p>
    <w:p w14:paraId="5ED103AC"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июня</w:t>
      </w:r>
      <w:r w:rsidRPr="00D03F3E">
        <w:rPr>
          <w:rFonts w:ascii="Times New Roman" w:hAnsi="Times New Roman"/>
          <w:color w:val="000000" w:themeColor="text1"/>
          <w:sz w:val="16"/>
          <w:szCs w:val="16"/>
        </w:rPr>
        <w:t xml:space="preserve"> в 1943 году утреннее сообщение Совинформбюро:</w:t>
      </w:r>
    </w:p>
    <w:p w14:paraId="1386D646"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5 июня на фронте ничего существенного не произошло.</w:t>
      </w:r>
    </w:p>
    <w:p w14:paraId="36D6E76A"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артиллеристы Н-ского соединения разбили 7 немецких дзотов, уничтожили несколько автомашин и взорвали склад противника с боеприпасами. На другом участке наши подразделения уничтожили боевое охранение противника и овладели укреплённой немцами высотой. Захвачены пленные и трофеи. Снайперы Н-ской части за два дня истребили 80 немецких солдат и офицеров.</w:t>
      </w:r>
    </w:p>
    <w:p w14:paraId="6D7898E2"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из участков Калининского фронта бойцы Н-ской части вели бои местного значения. B результате этих боёв подбито и сожжено 2 немецких танка, уничтожено2 орудия и до 200 немецких солдат и офицеров. Взяты пленные.</w:t>
      </w:r>
    </w:p>
    <w:p w14:paraId="468E0BF7"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рота пехоты противника атаковала наши позиции. После короткой схватки гитлеровцы были отброшены. На поле боя осталось 60 вражеских трупов и много брошенного немцами оружия. На другом участке группа наших разведчиков организовала засаду и уничтожила 14 солдат и одного офицера противника.</w:t>
      </w:r>
    </w:p>
    <w:p w14:paraId="526DD1EE"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продолжалась редкая артиллерийско-миномётная перестрелка с противником. Миномётчики Н-ской части уничтожили 3 вражеских орудия и рассеяли колонну немецкой пехоты. Снайперы подразделения, где командиром лейтенант т. Абрычкин, за пять дней истребили 47 немцев. Снайперы другого подразделения за несколько дней истребили 14 немцев.</w:t>
      </w:r>
    </w:p>
    <w:p w14:paraId="5A1B7113"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артиллеристы Н-ской части уничтожили орудие, 3 шестиствольных миномёта, 7 пулемётов и 18 повозок с различными грузами. На другом участке наши бойцы отбили контратаку противника и истребили до роты гитлеровцев.</w:t>
      </w:r>
    </w:p>
    <w:p w14:paraId="69CDC908"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группа разведчиков Н-ской части внезапно ворваласьв расположение противника и забросала гранатами несколько немецких землянок. Уничтожив до 40 гитлеровцев, наши бойцы вернулись в свою часть.</w:t>
      </w:r>
    </w:p>
    <w:p w14:paraId="16A61DA9"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имени Щорса, действующий в одном из районов Черниговской области, ночью напал на отделение гестапо в крупном населенном пункте. Партизаны разгромили отделение гестапо и захватили важные документы. Партизаны отряда «Спартак» подорвали на минах немецкий воинский эшелон с бронемашинами. Уничтожены паровоз и 9 платформ. Группа партизан из отряда имени Ворошилова уничтожила грузовую автомашину и убила находившихся в ней 8 немецких солдат.</w:t>
      </w:r>
    </w:p>
    <w:p w14:paraId="7DCCA97E"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Греческие патриоты всё более активно развёртывают борьбу против итало-немецких оккупантов. В Фессалии партизаны совершили успешные нападения на четыре итальянских гарнизона. B боях истреблено более 200 вражеских солдат. Захвачена в плен группа итальянцев. В другом районе отряд партизан ворвался на территорию лагеря военнопленных и истребил немецкую охрану. Все военнопленные освобождены. В Афинах и Патрасе патриоты за последние дни убили 9 изменников и предателей, продавшихся оккупантам.» (14913).</w:t>
      </w:r>
    </w:p>
    <w:p w14:paraId="2F8F4375" w14:textId="77777777" w:rsidR="009D3D3A" w:rsidRPr="00D03F3E" w:rsidRDefault="009D3D3A" w:rsidP="00D03F3E">
      <w:pPr>
        <w:spacing w:after="0" w:line="240" w:lineRule="auto"/>
        <w:jc w:val="both"/>
        <w:rPr>
          <w:rFonts w:ascii="Times New Roman" w:hAnsi="Times New Roman"/>
          <w:color w:val="000000" w:themeColor="text1"/>
          <w:sz w:val="16"/>
          <w:szCs w:val="16"/>
        </w:rPr>
      </w:pPr>
    </w:p>
    <w:p w14:paraId="261B9C93"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июня</w:t>
      </w:r>
      <w:r w:rsidRPr="00D03F3E">
        <w:rPr>
          <w:rFonts w:ascii="Times New Roman" w:hAnsi="Times New Roman"/>
          <w:color w:val="000000" w:themeColor="text1"/>
          <w:sz w:val="16"/>
          <w:szCs w:val="16"/>
        </w:rPr>
        <w:t xml:space="preserve"> в 1943 году вечернее сообщение Совинформбюро:</w:t>
      </w:r>
    </w:p>
    <w:p w14:paraId="0C52684E"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5 июня на фронте существенных изменений не произошло.</w:t>
      </w:r>
    </w:p>
    <w:p w14:paraId="507834F4"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На Западном фронте наши части уничтожили до 200 немецких солдат и офицеров, разрушили 3 дзота, уничтожили артиллерийскую батарею и 6 пулемётов противника. На одном участке стрелковая рота при поддержке трёх танков атаковала немцев и овладела опорным пунктом противника. Нашими бойцами захвачены 7 пулемётов, винтовки и патроны.</w:t>
      </w:r>
    </w:p>
    <w:p w14:paraId="2E944C75"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Калининском фронте на одном участке немцы численностью до батальона пехоты при поддержке артиллерийского огня предприняли несколько атак. Наши подразделения успешно отбили все атаки противника и нанесли ему тяжёлые потери. Захвачены трофеи и пленные. На другом участке отряд немецких разведчиков пытался проникнуть в расположение нашей обороны. Встреченные ружейно-пулемётным огнём, гитлеровцы отступили, оставив перед нашими позициями до 30 трупов.</w:t>
      </w:r>
    </w:p>
    <w:p w14:paraId="0A45F9DA"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наши артиллеристы уничтожили самоходное орудие противника, разбили несколько автомашин и 10 повозок с военными грузами. На другом участке советские миномётчики обстреляли скопление немецкой пехоты и истребили до 60 гитлеровцев.</w:t>
      </w:r>
    </w:p>
    <w:p w14:paraId="398ECF67"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происходила редкая артиллерийская перестрелка. Огнём нашей артиллерии разрушено 4 вражеских дзота, уничтожено 5 станковых пулемётов, подавлен огонь нескольких артиллерийских и миномётных батарей противника.Четырнадцать снайперов подразделения, где командиром капитан т. Выкизанцев, в мае месяце истребили 174 гитлеровца. Снайпер т. Парахин уничтожил 60 немцев, т. Бочаров — 40, снайпер т. Ардышев истребил 16 немцев.</w:t>
      </w:r>
    </w:p>
    <w:p w14:paraId="36B76687"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нашими подразделениями и снайперами уничтожено более 200 солдат и офицеров противника. В воздушных боях на подступах к Ленинграду наши лётчики сбили 7 немецких самолётов.</w:t>
      </w:r>
    </w:p>
    <w:p w14:paraId="34E52727"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Против партизанского отряда, действующего в одном из районов Ленинградской области, немцы направили крупный полицейский отряд. Все попытки противника окружить и уничтожить партизан не увенчались успехом. Умело маневрируя, советские патриоты уклонялись от лобовых схваток с врагом и наносили гитлеровцам внезапные удары. За несколько дней боёв партизаны истребили до 300 немецких полицейских. Группа партизан этого же отряда пробралась в крупный населённый пункт и подожгла склад горючего, в котором находилось около тысячи бочек бензина и смазочных масел. Пожар продолжался три дня. Другая группа партизан пустила под откос немецкий воинский эшелон. Разбиты паровоз и 24 платформы с разными военными грузами.</w:t>
      </w:r>
    </w:p>
    <w:p w14:paraId="561BE267"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ефрейтор 7 роты 459 полка 251 немецкой пехотной дивизии Эвальд Бок рассказал: «Наша дивизия находилась несколько месяцев в тылу, вдали от фронта. Но и здесь мы никогда не чувствовала себя в безопасности. Партизаны нападали на наши гарнизоны, перехватывали на дорогах обозы, убивали небольшие группы солдат и офицеров. Командир роты обер-лейтенант Циммерман однажды заявил: «Командование требует полного уничтожения партизан. Если мы не покончим с партизанами, они нас прикончат». Вскоре нашему батальону было приказано уничтожить партизанский отряд. В первые же дни мы убедились, что борьба будет стоить нам больших жертв. Партизаны хорошо вооружены и действуют внезапно. В двухдневных боях наша рота потеряла 40 солдат убитыми. Я бывал на фронте, ходил в разведку и выполнял опасные задания. Должен сказать, что никогда и нигде я не испытывал такого страха, как в лесу, где скрывались партизаны. Другие солдаты и офицеры чувствовали себя не лучше. Страх не покидал нас всё время, пока сильно поредевший батальон после бесплодных атак не ушёл из леса».</w:t>
      </w:r>
    </w:p>
    <w:p w14:paraId="06C95E17"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Борьба французских патриотов против немецких оккупантов принимает всё более широкий размах. В городе Сен-Клод французы разогнали немецкую охрану поезда и освободили всех рабочих, согнанных гитлеровцами для отправки на каторжные работы в Германию. В городе Эпернэ вольные стрелки сожгли немецкий военный склад. Близ Рибекура патриоты пустили под откос железнодорожный эшелон с немецкими солдатами. На Бургонском канале взорван шлюз. В Марселе вольные стрелки убили двух немецких офицеров, ранили 5 солдат и подожгли военный гараж. В районе Руана железнодорожники вывели из строя 36 паровозов.» (14913).</w:t>
      </w:r>
    </w:p>
    <w:p w14:paraId="762B5592" w14:textId="77777777" w:rsidR="009D3D3A" w:rsidRPr="00D03F3E" w:rsidRDefault="009D3D3A" w:rsidP="00D03F3E">
      <w:pPr>
        <w:spacing w:after="0" w:line="240" w:lineRule="auto"/>
        <w:jc w:val="both"/>
        <w:rPr>
          <w:rFonts w:ascii="Times New Roman" w:hAnsi="Times New Roman"/>
          <w:color w:val="000000" w:themeColor="text1"/>
          <w:sz w:val="16"/>
          <w:szCs w:val="16"/>
        </w:rPr>
      </w:pPr>
    </w:p>
    <w:p w14:paraId="777EAB3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июня 1943 вечернее небо над Горьким снова пронзили гудки воздушной тревоги. В 18.40 над городом прошли два самолета-разведчика Ju-88D, которые зафиксировали разрушения, причиненные в ходе вчерашнего налета, а заодно разведали погоду над целью. Появление «Юнкерсов» оказалось совершенно неожиданным для ПВО, и на перехват даже не было поднято ни одного истребителя. Через два часа разведчики вернулись на немецкие аэродромы. После обработки пленки командиры эскадрилий смогли увидеть на фотографиях результаты своих действий. Снимки показывали, что вся центральная часть ГАЗа получила сильнейшие повреждения.</w:t>
      </w:r>
    </w:p>
    <w:p w14:paraId="517C1DE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сей раз удар было решено нанести по западному сектору предприятия, в котором находились различные вспомогательные цеха и сооружения. Данные метеоразведки показывали, что над Горьким стояла ясная безоблачная погода, и условия для повторного налета были идеальными. Незадолго до 20.00 по берлинскому времени на аэродромах Орел, Брянск и Сещинская снова взревели моторы бомбардировщиков, и тяжело груженные машины стали одна задругой выруливать на старт. Не-111H «IG+БГ» из 3-й эскадрильи KG27 «Бельке» взлетел с аэродрома Орел в 19.50, Не-111H «1G+DP» из 6./KG27 – в 20.00, Не-111H «1G+FS»H3 8./KG27 – в 20.13 и т.д. Всего во втором массированном налете на Горький приняли участие 128 самолетов. Помимо налета на основную цель, некоторые экипажи снова атаковали второстепенные объекты, чтобы запутать советскую ПВО. Так, Не-111Н«Ю+МГ»из З./КС27, взлетев в 19.50 с аэродрома Орел, совершил повторный налет на Сталиногорск. Основная же армада, огибая с юга Москву, летела дальше на восток. П. Мёбиус из эскадры KG27 «Бельке» вспоминал:  «Ночи были светлыми и безоблачными, к тому же имелось северное сияние. Также иногда на крыльях плясали огни Святого Эльма. Поэтому навигация была нетрудной, особенно учитывая длительные полеты над вражеской территорией и ожидаемую нами мощную противовоздушную оборону».  «Хейнкели» и «Юнкерсы» группами по три – пять машин летели на высоте 4000—6000 м. Основная масса шла через Кулебаки и Павлово, остальные – через Арзамас, используя в качестве ориентиров Оку и железную дорогу. При подходе к объекту атаки самолеты снижались, не нарушая при этом строя.</w:t>
      </w:r>
    </w:p>
    <w:p w14:paraId="2193D93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ночи в Горьком опять слегка похолодало, до + 13°С, ветер стих и стоял полный штиль. После 22.00 с центрального поста ВНОС в Москве вновь поступило сообщение о приближении большой группы вражеских бомбардировщиков. На сей раз сигнал «Воздушной тревоги» был дан в 23.36. В течение восьми минут гудки заводов и фабрик в Сормове, Канавине, Ленинском и других районах наполняли воздух напряженным ожиданием нового налета. В 23.40 воздушную тревогу объявили на ГАЗе. Этот вой был отчетливо слышен в нагорной части города с высокого берега Оки, вскоре и там, на заводах Ворошиловского района, в Караваихе и Дубенках тоже тревожно загудели электросирены. Около полуночи в небе над Автозаводским, Ленинским и Кировским районами вспыхнули около двухсот осветительных ракет, и вся огромная промзона вновь стала видна, как днем. Вслед за этим открыли огонь зенитные батареи, дополнив начавшийся фейерверк разноцветными разрывами снарядов. Основной удар вновь наносился по автозаводу им. Молотова. Тысячи мелких зажигательных бомб и «листочков» огненным дождем устремились вниз, затем стали падать тяжелые FrAM C250, начиненные смесью нефти и бензина. При падении этих «адских машин» подрывался заряд тротила, и горючая жидкость разбрызгивалась, поджигая все вокруг в радиусе 50 м. Директор ГАЗа Лившиц бросил в бой с огнем все семь исправных автонасосов, имевшихся на заводе, однако пламя вскоре охватило многие объекты и разгоралось все сильнее. Поднимавшиеся высоко в небо языки ярко освещали территорию на многие километры вокруг. А тем временем с юго-запада приближались новые волны бомбардировщиков. Владислав Гурьев (во время войны был подростком, его отец работал на Автозаводской ТЭЦ) наблюдал за происходящим с Малиновой гряды, т.е. с высокого, правого берега Оки. Позднее он вспоминал:  «Мы отчетливо видели немецкие бомбардировщики, летящие над Окой. Они шли группами по 20 самолетов, по четыре в ряд. Создавалось впечатление, что, используя в качестве ориентира водонапорную башню, расположенную прямо напротив завода, они круто поворачивали на 90 градусов и спокойно, словно на учениях, бомбили цеха. Причем складывалось ощущение, что каждый самолет шел на конкретный корпус завода. Некоторые бомбардировщики сильно снижались, пикировали и даже включали прожектора  [153]  . При этом стоял такой свист, что звенело в ушах, было отчетливо видно, как отделяются бомбы. После бомбежки самолеты резко набирали высоту и исчезали в темноте, только в этот момент зенитки начинали стрелять». После первого удара пикирующих бомбардировщиков Ju-88 водопроводная сеть была вновь повреждена прямыми попаданиями в нескольких местах, и тушить пожары опять стало нечем. Снова была выведена из строя и основная линия электропередач, разбиты 45 изоляторов открытой подстанции, перебита резервная линия через завод «Красная Этна». Пока работала телефонная связь, Лившиц беспрерывно названивал в городской штаб МПВО и требовал прислать автонасосы. Возяков пообещал ему 25 пожарных автомашин и пять пожарных автопоездов, но те почему-то не спешили. А огонь охватывал все новые и новые объекты. Сильнейший пожар возник в корпусе главного магазина смежных деталей. Он представлял собой пятипролетное четырехэтажное здание площадью 2,6 тыс. кв. м с грибовидными перекрытиями. Основная конструкция была выполнена из железобетона, стены – из шлакобетонных камней. Уязвимыми местами являлись крыша, покрытая рубероидом, и деревянные переплеты. В результате попадания в здание тяжелых зажигательных бомб на верхних этажах возник сильнейший пожар. На складах в этот момент находилось большое количество горючих материалов (резина, кабели, моторы, аккумуляторы и т.д.), от сгорания которых железобетонные конструкции, особенно на третьем и четвертом этажах, подверглись разрушению и сильной деформации, а на нижних этажах – получили трещины и отколы. Особенно сильно пострадали конструкции без хомутов, т.е. армированные по американскому способу. Полностью разрушились ригели кранового пролета, подкрановые пути и консоли, 152 железобетонных колонны и площадки первого и второго этажей. На 100% сгорела кровля, внутренние перегородки, пришли в негодность система отопления, внутренний воздуховод, электросеть, фекальная и ливневая канализация. Кроме того, полностью сгорели монтажный цех, парк автотягачей, тарная мастерская деревообделочного цеха, диетическая столовая, склад резины, кузница № 2 и паровозное депо, а также кузнечная и механо-строительные мастерские, деревообделочный завод и все склады материалов треста «Стройгаз» № 2. Получили сильные повреждения литейный цех ковкого чугуна, кузнечный, модельный, ремонтно-механический, механосборочный (танковый) цех № 5 и др. объекты. На главном конвейере в результате повторной бомбардировки сгорело все ранее уцелевшее оборудование. Своевременно потушить пожары удалось лишь в инструментально-штамповальном корпусе и в полуразрушенном рессорном цехе. От взрывов фугасных бомб и пожаров сильно пострадали и вспомогательные объекты ГАЗа: сгорела больница № 7, на хлебозаводе были разрушены дрожжевой цех и мучной склад, на фабрике-кухне – столовая и кондитерский цех, в котельной № 3 сгорела кровля и было повреждено оборудование.</w:t>
      </w:r>
    </w:p>
    <w:p w14:paraId="4000286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Последняя волна бомбардировщиков сбросила бомбы на жилой сектор. В результате на ул. Комсомольской сгорел дом № 37, а находившаяся рядом щель, в которой укрывались жители, оказалась засыпанной землей. В Депутатском переулке дотла сгорел дом №11. В поселке Гнилицы огонь полностью уничтожил дом № 16 на ул. Полярной. В Ново-Западном поселке сгорел барак № 26, а бараки № 27 и 28 были разрушены фугасными бомбами. Еще три барака сгорели в соседнем Старо-Западном </w:t>
      </w:r>
      <w:r w:rsidRPr="00D03F3E">
        <w:rPr>
          <w:rFonts w:ascii="Times New Roman" w:hAnsi="Times New Roman"/>
          <w:color w:val="000000" w:themeColor="text1"/>
          <w:sz w:val="16"/>
          <w:szCs w:val="16"/>
        </w:rPr>
        <w:lastRenderedPageBreak/>
        <w:t>поселке. В Старо-Северном поселке, расположенном рядом с заводом, сгорели три барака, а рядом, на перекрестке шоссе Энтузиастов, было разрушено полотно железной дороги. Возле барака № 6 фугасная бомба SC500 попала прямо в щель, в которой укрывались жители. Мощнейшим взрывом людей разорвало на куски, разбросав останки в радиусе 100 м. Всего здесь погибли 35 человек. Неподалеку, на пр. Молотова, около дома № 7 была засыпана еще одна щель, но там укрывавшиеся отделались контузиями. Соседний дом № 3 от близких разрывов частично обвалился. Кроме того, сгорели три барака треста «Стройгаз» № 2.Особенно сильной бомбежке подвергся поселок Монастырка, расположенный юго-западнее автозавода. От мощных взрывов рушились дома, разлетались на части заборы и сараи, в воздухе летали бревна и горящие доски. Дождь зажигательных бомб вызвал многочисленные пожары, быстро охватившие целые улицы. Жители в ужасе отсиживались в щелях и погребах и неустанно молились, чтобы очередная бомба упала не на них. Даже по окончании налета большинство монастырцев не решались выходить на улицу, многих охватило полное оцепенение. Только на рассвете люди стали постепенно вылезать из своих укрытий, и тут их глазам предстало ужасное зрелище. Весь поселок превратился в груду дымящихся развалин, почва повсюду была изрыта воронками, торчали обгоревшие скелеты деревьев, лежали скорчившиеся в ужасных позах испепеленные трупы. Всего были разрушены 70 жилых домов и бараков, а уцелевшие постройки получили сильные повреждения. Старая каменная церковь от разрыва бомбы практически ушла в землю.</w:t>
      </w:r>
    </w:p>
    <w:p w14:paraId="611BF8E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общей сложности служба МПВО зафиксировала падение на Автозаводский район около 200 фугасных бомб, в т.ч. 10 – весом 1000 кг, 40 – весом 500 кг, 100 – весом 250 кг и около 40 – весом 1000 кг. Бомбардировке подверглись и другие районы города. В начале налета на завод «Двигатель революции» по прямой линии с северо-востока на юго-запад с интервалом ПО м упали десять фугасных бомб SC250, причем восемь из них не взорвались! В дальнейшем на Ленинский район были сброшены еще 22 фугаски, в т.ч. одна весом 1000 кг. Мощные взрывы прогремели в поселках Карповка и Инструментальный, у бани № 2, рядом с заводом «Красный кожевенник». Был частично разрушен конный парк станкозавода, где ранения получили конюх и две лошади, одна лошадь погибла. Взрывной волной вышибло окна на заводе «Красный кожевенник» и в жилом секторе. Один самолет, видимо, из-за ошибки штурмана, сбросил бомбы на Кировский район, вдалеке от промышленной зоны. Одна бомба SC500 взорвалась около трамвайной остановки 2-го инструментального завода, девять SC50 – в лесу около поселка Гвоздильный [154] . На ул. Игарской упала тяжелая зажигательная бомба, но пожаров не возникло. Жители Ворошиловского района опять отделались легким испугом. 12 мелких зажигательных бомб упали на завод им. Фрунзе, еще одна – на ул. Радистов. Все очаги возгораний были ликвидированы силами групп самозащиты. Разрушений, пожаров и пострадавших в районе не было. Пытаясь отразить налет, зенитная артиллерия в течение двух часов вела интенсивный заградительный огонь, израсходовав в общей сложности 25 483 снаряда среднего и 2786 снарядов малого калибра. Прожектористам удалось осветить пять самолетов и держать их в лучах от 30 секунд до 3 минут. При этом зенитчики заявили об одном сбитом бомбардировщике. Ночные истребители на сей раз действовали более активно, произведя 31 самолето-вылет с общим налетом 35,5 часа. При этом летчики 142-й ИАД отчитались о четырех встречах с противником и двух воздушных боях. Лейтенант Люньков из 632-го ИАП по возвращении на аэродром заявил о том, что сбил «Хейнкель-111» в районе деревни Сосновка Выксунского района. По немецким данным, в ходе второго массированного налета на автозавод в Горьком пропали без вести два самолета:</w:t>
      </w:r>
    </w:p>
    <w:p w14:paraId="0929645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 Не-111H-16 WNr.8514 «1G+AH» из 3-й эскадрильи KG27 «Бельке» с экипажем: пилот фельдфебель Вернер Букан, штурман унтер-офицер Фридрих Тухшерер, бортрадист фельдфебель Йоханнес Неуманн, бортмеханик фельдфебель Карл Бендерт и бортстрелок ефрейтор Вальтер Эльснер,</w:t>
      </w:r>
    </w:p>
    <w:p w14:paraId="13FAC84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 Ju-88A-4 WNr. 142166 из 9-й эскадрильи KG1 «Гинденбург» с экипажем во главе с унтер-офицером X. Хорткопом.</w:t>
      </w:r>
    </w:p>
    <w:p w14:paraId="16E1220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На сей раз пвошники заявили о том, что из 80 самолетов к городу прорвались 20—25, остальные якобы не были допущены огнем зенитной артиллерии. Все это, как обычно, не соответствовало действительности. В частях противовоздушной обороны Горького тоже имелись потери. Осколками бомб были убиты четыре человека, еще семь получили ранения, в т.ч. два средних командира. Сгорели здание штаба и гараж 8-го дивизиона аэростатов заграждения.</w:t>
      </w:r>
    </w:p>
    <w:p w14:paraId="55E269A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рассвете 6 июня немецкие бомбардировщики один за другим возвращались на свои аэродромы. Так, Не-111H «1G+FS» из 8./KG27 приземлился на аэродроме Орел в 01.00 по берлинскому времени, проведя в воздухе 287 минут, Не-111H «1G+EL» из 3./KG27 – в 00.50 на аэродроме Оптуха, продолжительность вылета составила 300 минут, Не-111H «1G+DP»H3 6./KG27 – в 00.55 на аэродроме Домнино, проведя в воздухе 4 часа 55 минут и преодолев расстояние 1570 км.</w:t>
      </w:r>
    </w:p>
    <w:p w14:paraId="69FB73E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в течение полутора часов на Горький были сброшены 179 т бомб всех калибров. Служба МПВО зафиксировала падение на город около 230 фугасных [156] и нескольких тысяч различных зажигательных бомб. В результате, по официальным данным, погибли около 100 человек, еще столько же получили ранения. В поликлиники и госпитали поступили 33 тяжело-, 34 – средне– и 26 легкораненых. На автозаводе наутро были обнаружены 32 трупа рабочих. Тела многих других не нашли, и они стали «пропавшими без вести».</w:t>
      </w:r>
    </w:p>
    <w:p w14:paraId="6E9AF92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ликвидации последствий бомбежки участвовали различные формирования местной противовоздушной обороны. Медико-санитарный взвод в количестве 33 человек до 09.00 утра работал на различных объектах, оказав помощь 31 раненому, а также убрал 36 трупов. Кроме того, в Автозаводском районе работали три отряда «скорой помощи» и две медсандружины. Боевой расчет УПВ с 00.10 в течение пяти часов ликвидировал очаги пожаров на ул. Кирова, в поселках Монастырка и Западном. Аварийно-восстановительный взвод в количестве 29 человек участвовал в раскопке и извлечении пострадавших из заваленных щелей и по окончании работ был переброшен на разборку завалов, где работы продолжались весь следующий день. Дегазационная рота производила разведку очагов поражения и устанавливала места падения неразорвавшихся авиабомб. Кроме того, бойцы помогали извлекать трупы из щели барака № 7 в Северном поселке. В ликвидации последствий налета также принимали участие 2000 военнослужащих различных тыловых частей. В 02.00 вследствие обрыва кабеля была нарушена связь между Сталинской и Соцгородской АТС. Для устранения повреждений выслали бригаду, которая смогла в течение часа частично устранить повреждения, подав временную прямую связь КП города с Автозаводским КП МПВО. Связь же между АТС была восстановлена только к 16.00. Аварийно-восстановительные бригады ЖКО из водопроводчиков и подсобных рабочих как могли ремонтировали разрушенные водопроводные магистрали в Соцгороде.</w:t>
      </w:r>
    </w:p>
    <w:p w14:paraId="4A56286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Наутро директор ГАЗа А. Лившиц написал донесение председателю горкомитета обороны М. Родионову, в котором изложил ужасные подробности налета:  «Сообщаю Вам о втором вражеском налете на автозавод им. Молотова в ночь с 5 на 6 июня с.г…. </w:t>
      </w:r>
    </w:p>
    <w:p w14:paraId="66582D5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 Бомбометание продолжалось до 2-х часов (1.30) с исключительной прицельностью попадания. Самолеты приближались к объекту, снижались, пикировали и сбрасывали бомбы. </w:t>
      </w:r>
    </w:p>
    <w:p w14:paraId="5FCF3D9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 В результате сброса фугасных, зажигательных и комбинированных бомб в ряде цехов возникли очаги пожаров, которые распространились и полностью уничтожили ряд вспомогательных и производственных объектов. </w:t>
      </w:r>
    </w:p>
    <w:p w14:paraId="2C7B8AE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3. Вода в водопроводной сети завода была все время, но вследствие того, что трасса водоводной сети была повреждена прямыми попаданиями в нескольких местах, давление в сети было понижено. На заводе было всего 7автонасосов до прибытия большого количества из Горького. </w:t>
      </w:r>
    </w:p>
    <w:p w14:paraId="1A8D663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4. В начале тревоги были обещаны заводу 25пожарных автомашин и 5 пожарных автопоездов. Эти машины во время бомбометания и возникновения пожаров на завод не прибыли, несмотря на неоднократные просьбы и требования завода. Машины начали прибывать только после конца бомбометания, когда пожары достигли весьма большой силы и значительная часть корпусов уже горела. </w:t>
      </w:r>
    </w:p>
    <w:p w14:paraId="3D97F83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6. В результате бомбометания и пожаров на заводе сгорели: моторный цех, главный магазин смежных деталей, склад резины, гараж: тягачей, диетическая столовая № 4, главный конвейер, паровозное депо, цех шасси, опытная мастерская. Своевременно потушены пожары на 6 объектах. </w:t>
      </w:r>
    </w:p>
    <w:p w14:paraId="0A1A4FD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 предварительным данным только на заводскую территорию без территории поселков было сброшено непосредственно в здания цехов 60 бомб, а на территорию завода 100 бомб. </w:t>
      </w:r>
    </w:p>
    <w:p w14:paraId="2E74C5B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Считаю необходимым отметить исключительно слабую ПВО завода» (11774). </w:t>
      </w:r>
    </w:p>
    <w:p w14:paraId="50D2C21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06C014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5 по 22 июня 1943 в городе Горьком, по данным службы МПВО, возникли 415 пожаров и загораний, из которых 260 были потушены населением, 35 – бойцами местной противовоздушной обороны и 120 – военизированными пожарными командами. Наибольшие разрушения бомбежки причинили автозаводу. Здесь из 44 цехов значительные повреждения получили 34. В июле директор автозавода И. К. Лоскутов составил секретный отчет в Государственный Комитет Обороны и ЦК ВКП(б) о последствиях вражеских бомбардировок, в котором говорилось:  «В результате действий вражеской авиации на ГАЗе им. Молотова пострадало большинство производственных цехов, в т.ч. полностью уничтожены: главный сборочный конвейер, монтажный цех, сборочный цех, деревообделочный цех № 2, несколько складов (в т.ч. значительное количество готовой продукции)».  Из общего количества механического, прессового, кузнечного, литейного и подъемно-транспортного оборудования (за исключением энергетического), установленного на заводе, поражению подверглись 5944 единицы, причем 350 единиц были уничтожены безвозвратно. При этом некоторые цеха практически лишились производственной базы. В прессовом цехе из 546 единиц оборудования были выведены из строя 543, в колесном – 305 из 323, в цехе шасси – 1788 из 1799! Кроме того, выбыли из строя 8000 электромоторов различной мощности и типов, 14 тыс. электроприборов (в т.ч. 12 тыс. безвозвратно), свыше 300 сварочных машин. В ходе налетов были выведены из строя или уничтожены практически все компрессоры, из-за чего завод остался без сжатого воздуха. Выбыли из строя 100 км различных трубопроводов, девять километров конвейеров и транспортеров, 28 мостовых кранов. Были разрушены 10 энергоподстанций: 1-го кузовного корпуса, 2-го кузовного корпуса, кузницы, литейного корпуса, прессового корпуса, рессорного цеха, механосборочного цеха № 1, механосборочного (средняя) и колесного корпусов. На складах отдела снабжения ГАЗа сгорели 264 т каменного угля, 58 т ценных сплавов, 15712тпрокатачерныхметалловистали, 21,5 т меди и др. Серьезные потери понес железнодорожный цех ГАЗа. Были уничтожены или повреждены три паровоза, четыре товарных вагона и 34 железнодорожных платформы. Автотранспортное хозяйство завода потеряло 60 различных автомобилей и 25 автотягачей. Кроме того, на складе автотранспортного цеха сгорели 365 автопокрышек. Особенно сильно пострадало автомобильное производство, т.к. из строя вышли основные автомобильные цеха: шасси, отделение коробок скоростей, моторный цех, цех ковкого чугуна, колесный цех, паровая кузница и главный конвейер. Согласно официальным данным завода, танковое производство не было парализовано, однако выход из строя электроплавильных печей, а главное печи в цехе ковкого чугуна, значительно осложнил изготовление брони. В итоге пришлось применить новый способ плавления в комбинированной шихте методом «скоростных плавок». </w:t>
      </w:r>
      <w:r w:rsidRPr="00D03F3E">
        <w:rPr>
          <w:rFonts w:ascii="Times New Roman" w:hAnsi="Times New Roman"/>
          <w:color w:val="000000" w:themeColor="text1"/>
          <w:sz w:val="16"/>
          <w:szCs w:val="16"/>
        </w:rPr>
        <w:lastRenderedPageBreak/>
        <w:t>Применение подобных «обходных технологий» стало для ГАЗа повседневной реальностью. Ориентировочный ущерб завода был определен в 191 млн рублей, что по тем временам было огромной суммой. Серьезные убытки были нанесены жилищно-коммунальному хозяйству завода. В ходе налетов были полностью разрушены 42 деревянных дома и пять складов. Различные повреждения получили 39 каменных и 109 деревянных домов, здание клуба, бани и др. строения. В поселке автозавода две трети жилого фонда нуждались в среднем или капитальном ремонте. У многих домов и бараков покосились стены и несущие балки, были выбиты рамы и косяки, снесены крыши. В общей сложности требовалось восстановить жилой фонд в объеме 6400 кв. м и построить взамен разрушенного 10 000 кв. м. Фугасными бомбами и пожарами были уничтожены 6 км высоковольтных, свыше 7 км низковольтных линий электропередач и 1,3 км водоводов. Также подлежали восстановлению 5000 кв. м автомобильных дорог. В общей сложности ЖКХ ГАЗа понесло убытки на сумму 15,6 млн рублей. Помимо самого автозавода, серьезные повреждения были причинены расположенному на его территории авиамоторному заводу № 466. Была практически стерта с лица земли сортировочная станция, расположенная северо-западнее ГАЗа, а также находящийся здесь же секретный танкоремонтный завод (он же рембаза № 97) на котором проходили расконсервацию и ремонт танки, поставляемые в СССР по ленд-лизу. При этом было уничтожено определенное количество американской и английской техники (11774).</w:t>
      </w:r>
    </w:p>
    <w:p w14:paraId="0A7A11B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сводкам МПВО за июнь 1943 г., в Горьком в результате авиаударов погибли около 400 человек, еще 864 получили ранения. Причем наибольшее число пострадавших пришлось на седьмой налет, когда немцы бомбили сразу пять районов города. Фактическое число жертв осталось неизвестным вследствие откровенно халатного их учета. Донесения учитывали лишь убитых, чьи трупы были найдены непосредственно после налета, те же, кто остался под завалами или попросту испарился во время взрыва, уже никуда не записывались. Обращает на себя внимание и отсутствие пункта «пропавшие без вести», которые появляются при любом, даже стихийном бедствии.  Разрушение Горьковского автозавода и др. предприятий нанесло огромный ущерб всей военной промышленности, значительно снизив темпы производства всех видов вооружений – от снарядов и автоматов до танков и самолетов. ГАЗ поставлял десятки наименований деталей для средних и тяжелых танков, в т.ч. шестерни для коробок передач, детали бортовых фрикционов и шасси. В отраслевой переписке Наркомата танковой промышленности констатировался провал выпуска танков в июне 1943 г. В частности, Кировский завод № 200 в Челябинске выполнил план по тяжелым танкам KB на 64%, по Т-34 – на 70%, а Омский танковый завод № 174 и вовсе сдал фронту только 59% плановой продукции. Производство же нового легкого танка Т-80, намечавшееся на ГАЗе как раз на июнь, и вовсе было полностью сорвано немецкими бомбежками.  На заводе № 112 «Красное Сормово» в Горьком при плане на июнь в 355 средних танков Т-34 удалось выпустить только около полусотни. Причиной тому опять же стало прекращение поставок деталей с автозавода и коробок передач со станкозавода № 113. Директор завода Рубинчик как мог выкручивался из положения, часть деталей пытались изготавливать кустарным способом, но план все равно был сорван. Впоследствии в годовом отчете о работе завода 1943 г. по этому поводу будет указано следующее:  «Бее это создало крайне тяжелые условия, привело к срыву программы июня месяца и не дало возможность развернуть еще лучшую работу в июле и последующих месяцах». Затем в июле завод с трудом выпустил 178 танков Т-34, снова недовыполнив уже сокращенный план. При этом вся эта техника была крайне низкого качества из-за пресловутых «обходных технологий». Если в мае все советские заводы произвели в общей сложности 2303 танка всех типов, то в июле выпуск составил 1481 штук, т.е. на 30% меньше. Суммарно вследствие налетов на города Поволжья Красная Армия недополучила примерно 2000 танков, кроме того, был значительно замедлен рост их производства во второй половине 1943 г. (11774).</w:t>
      </w:r>
    </w:p>
    <w:p w14:paraId="08060B7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AF2D5B4"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В ночь на 5 июня 1943 168 бомбардировщиков совершили первый массированный налет на Горьковский автозавод. В результате были полностью разрушены главный сборочный конвейер, литейный цех № 1, цех шасси и другие важнейшие объекты. При этом все самолеты благополучно вернулись обратно. Командование ПВО и все советское руководство в целом были в шоке, а наутро об остановке одного из крупнейших предприятий Советского Союза пришлось доложить и самому Сталину.</w:t>
      </w:r>
    </w:p>
    <w:p w14:paraId="00FD55CD"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Готовясь к операции «Цитадель», германское командование решило провести в июне 1943 г. массированные налеты на советские промышленные центры. Главной целью был выбран Горьковский автозавод им. Молотова. Воздушный удар готовился в строжайшей тайне, параллельно была запущена дезинформация о якобы готовящемся крупном налете на Москву. На аэродромы Олсуфьево, Сещинская, Брянск, Орел-Западный, Карачев и другие были заблаговременно завезены большие запасы всевозможных авиационных боеприпасов.</w:t>
      </w:r>
    </w:p>
    <w:p w14:paraId="11D1533F"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Поскольку большинство баз бомбардировщиков находились в пределах досягаемости советских штурмовиков, командование люфтваффе позаботилось о надежном прикрытии с воздуха. К началу июня на аэродромах в районе Орла и Брянска были сосредоточены пять истребительных авиагрупп: I., III. и IV./JG51 «Мёльдерс», I. и II./JG54 «Грюнхерц», из которых три были полностью вооружены самолетами FW-190A. Там же находилась и испанская эскадрилья 15.(Span)/JG51.</w:t>
      </w:r>
    </w:p>
    <w:p w14:paraId="26734D17"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Начало операции было назначено на 20.00 4 июня. Накануне на аэродромы Орловского выступа скрытно перебазировались бомбардировщики. В Олсуфьево из Мелитополя прибыли Не-111 из KG27 «Бёльке», а в Карачев и Сещинскую с аэродрома Сталино перелетели «Хейнкели» из II. и III./KG55 «Грайф», кроме того, в Сещинской приземлились экипажи I./KG 100 «Викинг», которым поручалась роль лидеров («цельфиндеров»). Всего на Брянско-Орловском аэроузле немцам удалось скрытно сосредоточить девять бомбардировочных групп из семи эскадр. Общее оперативное руководство их действиями принял на себя командир 1-й авиадивизии генерал-лейтенант Альфред Бюловиус.</w:t>
      </w:r>
    </w:p>
    <w:p w14:paraId="306128FC"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Согласно данным люфтваффе, уже днем 5 июня последовали попытки ответных ударов по некоторым аэродромам, в частности по Сещинской. Однако они проводились разрозненными мелкими группами самолетов и были легко сорваны патрульными истребителями. В течение дня пилоты JG51 и JG54 сообщили о 23 сбитых самолетах.</w:t>
      </w:r>
    </w:p>
    <w:p w14:paraId="1A6E2188"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В ночь с 5 на 6 июня последовал второй массированный налет на крупнейший завод Поволжья. Стало ясно, что немцы стремятся полностью уничтожить ГАЗ. В преддверии летней кампании это таило огромную опасность для советского командования. Между тем никто толком не знал, откуда по ночам прилетают «армады фашистских бомбардировщиков» (19522).</w:t>
      </w:r>
    </w:p>
    <w:p w14:paraId="0E090F4D" w14:textId="77777777" w:rsidR="006B6B4C" w:rsidRPr="00D03F3E" w:rsidRDefault="006B6B4C" w:rsidP="00D03F3E">
      <w:pPr>
        <w:pStyle w:val="ae"/>
        <w:spacing w:before="0" w:after="0"/>
        <w:jc w:val="both"/>
        <w:textAlignment w:val="baseline"/>
        <w:rPr>
          <w:color w:val="000000" w:themeColor="text1"/>
          <w:sz w:val="16"/>
          <w:szCs w:val="16"/>
        </w:rPr>
      </w:pPr>
    </w:p>
    <w:p w14:paraId="7D5B7209"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5-22 июня 1943 г. на Горький было соверше</w:t>
      </w:r>
      <w:r w:rsidRPr="00D03F3E">
        <w:rPr>
          <w:rFonts w:ascii="Times New Roman" w:hAnsi="Times New Roman"/>
          <w:color w:val="0070C0"/>
          <w:sz w:val="16"/>
          <w:szCs w:val="16"/>
        </w:rPr>
        <w:softHyphen/>
        <w:t>но семь массированных налётов. Самолёты шли на высоте 3500-5000 м, выше боевой высоты подъёма АЗ. Но и с такой высоты бомбарди</w:t>
      </w:r>
      <w:r w:rsidRPr="00D03F3E">
        <w:rPr>
          <w:rFonts w:ascii="Times New Roman" w:hAnsi="Times New Roman"/>
          <w:color w:val="0070C0"/>
          <w:sz w:val="16"/>
          <w:szCs w:val="16"/>
        </w:rPr>
        <w:softHyphen/>
        <w:t>ровка города привела к большим разрушениям и жертвам. Это явилось следствием того, что ПВО города была плохо организована и име</w:t>
      </w:r>
      <w:r w:rsidRPr="00D03F3E">
        <w:rPr>
          <w:rFonts w:ascii="Times New Roman" w:hAnsi="Times New Roman"/>
          <w:color w:val="0070C0"/>
          <w:sz w:val="16"/>
          <w:szCs w:val="16"/>
        </w:rPr>
        <w:softHyphen/>
        <w:t>ла тактические просчёты. Средства ПВО были излишне уплотнены к центру города, не было скоординировано взаимодействие разнород</w:t>
      </w:r>
      <w:r w:rsidRPr="00D03F3E">
        <w:rPr>
          <w:rFonts w:ascii="Times New Roman" w:hAnsi="Times New Roman"/>
          <w:color w:val="0070C0"/>
          <w:sz w:val="16"/>
          <w:szCs w:val="16"/>
        </w:rPr>
        <w:softHyphen/>
        <w:t>ных сил противовоздушной обороны. По этим причинам при налёте противника 5 июня из 34 поднятых аэростатов 22 пострадали от огня зе</w:t>
      </w:r>
      <w:r w:rsidRPr="00D03F3E">
        <w:rPr>
          <w:rFonts w:ascii="Times New Roman" w:hAnsi="Times New Roman"/>
          <w:color w:val="0070C0"/>
          <w:sz w:val="16"/>
          <w:szCs w:val="16"/>
        </w:rPr>
        <w:softHyphen/>
        <w:t>нитной артиллерии, были разбиты штаб и ко</w:t>
      </w:r>
      <w:r w:rsidRPr="00D03F3E">
        <w:rPr>
          <w:rFonts w:ascii="Times New Roman" w:hAnsi="Times New Roman"/>
          <w:color w:val="0070C0"/>
          <w:sz w:val="16"/>
          <w:szCs w:val="16"/>
        </w:rPr>
        <w:softHyphen/>
        <w:t>мандный пункт 8-го ОДАЗ (20120).</w:t>
      </w:r>
    </w:p>
    <w:p w14:paraId="3832C113" w14:textId="77777777" w:rsidR="00E024A1" w:rsidRPr="00D03F3E" w:rsidRDefault="00E024A1" w:rsidP="00D03F3E">
      <w:pPr>
        <w:spacing w:after="0" w:line="240" w:lineRule="auto"/>
        <w:jc w:val="both"/>
        <w:rPr>
          <w:rFonts w:ascii="Times New Roman" w:hAnsi="Times New Roman"/>
          <w:color w:val="0070C0"/>
          <w:sz w:val="16"/>
          <w:szCs w:val="16"/>
        </w:rPr>
      </w:pPr>
    </w:p>
    <w:p w14:paraId="0C9CB13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Проводившиеся с 5 по 26 июня массированные налеты на немецкие аэродромы на Орловском выступе не принесли практически никаких результатов. В то же время штурмовые, бомбардировочные и истребительные полки, а также соединения АДД понесли большие потери. В отчете о боевых действиях 1-й воздушной армии за июнь 1943 г. говорилось:  «Необходимо отметить, что в операции по удару по аэродромам противника мы понесли чрезвычайно большие потери, особенно 10.06, которых можно было бы избежать при лучшей организации боевой работы» (11774).</w:t>
      </w:r>
    </w:p>
    <w:p w14:paraId="72482C1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6CDE873"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 5 по 10 июня 1943 по официальным советским данным, авиация совершила 3360 самолето</w:t>
      </w:r>
      <w:r w:rsidRPr="00D03F3E">
        <w:rPr>
          <w:rFonts w:ascii="Times New Roman" w:hAnsi="Times New Roman"/>
          <w:color w:val="0070C0"/>
          <w:sz w:val="16"/>
          <w:szCs w:val="16"/>
        </w:rPr>
        <w:noBreakHyphen/>
        <w:t>вылетов для нанесения ударов по аэродромам люфтваффе, якобы уничтожив от 140 до 170 самолетов. На самом деле за все это время люфтваффе потеряли на земле только один Ju</w:t>
      </w:r>
      <w:r w:rsidRPr="00D03F3E">
        <w:rPr>
          <w:rFonts w:ascii="Times New Roman" w:hAnsi="Times New Roman"/>
          <w:color w:val="0070C0"/>
          <w:sz w:val="16"/>
          <w:szCs w:val="16"/>
        </w:rPr>
        <w:noBreakHyphen/>
        <w:t>88, еще две машины получили легкие повреждения. При этом собственные потери атаковавших составили 106 машин! По данным оперативного управления ВВС Красной армии, боевая живучесть Ил</w:t>
      </w:r>
      <w:r w:rsidRPr="00D03F3E">
        <w:rPr>
          <w:rFonts w:ascii="Times New Roman" w:hAnsi="Times New Roman"/>
          <w:color w:val="0070C0"/>
          <w:sz w:val="16"/>
          <w:szCs w:val="16"/>
        </w:rPr>
        <w:noBreakHyphen/>
        <w:t>2 при налетах на аэродромы противника в операциях воздушных армий в мае – июне 1943 г. в среднем составляла 15,2 самолето</w:t>
      </w:r>
      <w:r w:rsidRPr="00D03F3E">
        <w:rPr>
          <w:rFonts w:ascii="Times New Roman" w:hAnsi="Times New Roman"/>
          <w:color w:val="0070C0"/>
          <w:sz w:val="16"/>
          <w:szCs w:val="16"/>
        </w:rPr>
        <w:noBreakHyphen/>
        <w:t>вылета на одну потерю (23199).</w:t>
      </w:r>
    </w:p>
    <w:p w14:paraId="545B76DE" w14:textId="77777777" w:rsidR="00334572" w:rsidRPr="00D03F3E" w:rsidRDefault="00334572" w:rsidP="00D03F3E">
      <w:pPr>
        <w:spacing w:after="0" w:line="240" w:lineRule="auto"/>
        <w:jc w:val="both"/>
        <w:rPr>
          <w:rFonts w:ascii="Times New Roman" w:hAnsi="Times New Roman"/>
          <w:color w:val="0070C0"/>
          <w:sz w:val="16"/>
          <w:szCs w:val="16"/>
        </w:rPr>
      </w:pPr>
    </w:p>
    <w:p w14:paraId="55D0560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июня 1943, рано утром, эскадрилья 6/JG5 совместно с другими эскадрильями, в том числе со специалистами по морским целям - летчиками FW190 из состава 14(Jabo)/JG5, атаковали конвой снабжения, идущий в Порт-Владимир для гарнизона полуострова Рыбачий. Небольшой караван в составе четырех малых охотников, одного сторожевого корабля и буксира с баржей, перевозил для защитников полуострова очень ценный груз - десять новых 122-мм пушек и 60 артиллеристов. Для их прикрытия ВВС Северного флота задействовали в общей сложности 52 истребителя.</w:t>
      </w:r>
    </w:p>
    <w:p w14:paraId="3480D00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04:35 зайдя со стороны берега, три группы Вf109 и FW190 с высоты около 100 м атаковали корабли. Сторожевик и "мошки" немедленно открыли заградительный огонь, но до того момента, как подоспели советские истребители, стервятники успели сделать по два захода. Вскоре большинству из них было уже не до ползущих к Рыбачьему катеров: над Мотовским заливом разворачивалось настоящее воздушное сражение. С той и с другой стороны в течение нескольких часов постоянно, сменяя друг друга, подходили все новые и новые волны истребителей.</w:t>
      </w:r>
    </w:p>
    <w:p w14:paraId="4CB8E6E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Но несмотря на все усилия "полярных охотников" и немецких батарей, ведущих огонь с противоположного берега Мотовского залива, конвою удалось под дымовой завесой поставленной парой Пе-3, благополучно дойти до места назначения. В воздушных боях советская сторона понесла значительные потери: шесть "Харрикейнов" были сбиты, правда, четыре летчика спаслись на парашютах. Еще четыре самолета этого типа совершили вынужденные посадки на полуострове Рыбачий. "Пешки", ставившие дымовые завесы, получили повреждения, но благополучно вернулись на свой аэродром, чего не скажешь о сопровождавших их паре "Харрикейнов" (3480).</w:t>
      </w:r>
    </w:p>
    <w:p w14:paraId="6C7EB6EE" w14:textId="77777777" w:rsidR="00531570" w:rsidRPr="00D03F3E" w:rsidRDefault="00531570" w:rsidP="00D03F3E">
      <w:pPr>
        <w:pStyle w:val="Iauiue"/>
        <w:jc w:val="both"/>
        <w:rPr>
          <w:color w:val="000000" w:themeColor="text1"/>
          <w:sz w:val="16"/>
          <w:szCs w:val="16"/>
        </w:rPr>
      </w:pPr>
    </w:p>
    <w:p w14:paraId="543CBD33"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5 июня 1943 вышло Постановление ГКО № 3524 О противовоздушной обороне г. Горького. (7113, 183).</w:t>
      </w:r>
    </w:p>
    <w:p w14:paraId="3933275E" w14:textId="77777777" w:rsidR="00531570" w:rsidRPr="00D03F3E" w:rsidRDefault="00531570" w:rsidP="00D03F3E">
      <w:pPr>
        <w:pStyle w:val="Iauiue"/>
        <w:tabs>
          <w:tab w:val="left" w:pos="11199"/>
        </w:tabs>
        <w:jc w:val="both"/>
        <w:rPr>
          <w:color w:val="000000" w:themeColor="text1"/>
          <w:sz w:val="16"/>
          <w:szCs w:val="16"/>
        </w:rPr>
      </w:pPr>
    </w:p>
    <w:p w14:paraId="7A7A12D1"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5 июня 1943 вышло Постановление ГКО № 3522 [Об утверждении представленных НКГБ и ГРУ КА "Мероприятий по улучшению зарубежной работы разведывательных органов СССР".] (7113, 175,176-180).</w:t>
      </w:r>
    </w:p>
    <w:p w14:paraId="3830DBAE" w14:textId="77777777" w:rsidR="00531570" w:rsidRPr="00D03F3E" w:rsidRDefault="00531570" w:rsidP="00D03F3E">
      <w:pPr>
        <w:pStyle w:val="Iauiue"/>
        <w:tabs>
          <w:tab w:val="left" w:pos="11199"/>
        </w:tabs>
        <w:jc w:val="both"/>
        <w:rPr>
          <w:color w:val="000000" w:themeColor="text1"/>
          <w:sz w:val="16"/>
          <w:szCs w:val="16"/>
        </w:rPr>
      </w:pPr>
    </w:p>
    <w:p w14:paraId="45687083"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Жизнь и внутренняя политика:</w:t>
      </w:r>
    </w:p>
    <w:p w14:paraId="52B1244F" w14:textId="77777777" w:rsidR="00531570" w:rsidRPr="00D03F3E" w:rsidRDefault="00531570" w:rsidP="00D03F3E">
      <w:pPr>
        <w:pStyle w:val="Iauiue"/>
        <w:jc w:val="both"/>
        <w:rPr>
          <w:iCs/>
          <w:color w:val="000000" w:themeColor="text1"/>
          <w:sz w:val="16"/>
          <w:szCs w:val="16"/>
        </w:rPr>
      </w:pPr>
    </w:p>
    <w:p w14:paraId="70CAD8E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июня 1943 вышло постановление СНК о займе на 12 млрд. руб. (1348,202).</w:t>
      </w:r>
    </w:p>
    <w:p w14:paraId="30F090A1" w14:textId="77777777" w:rsidR="00531570" w:rsidRPr="00D03F3E" w:rsidRDefault="00531570" w:rsidP="00D03F3E">
      <w:pPr>
        <w:pStyle w:val="Iauiue"/>
        <w:jc w:val="both"/>
        <w:rPr>
          <w:color w:val="000000" w:themeColor="text1"/>
          <w:sz w:val="16"/>
          <w:szCs w:val="16"/>
        </w:rPr>
      </w:pPr>
    </w:p>
    <w:p w14:paraId="2B9B0734"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xml:space="preserve">5 июня 1943 </w:t>
      </w:r>
    </w:p>
    <w:p w14:paraId="757022FD"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Из сводки цензорских вмешательств по отделу радиоцензуры за апрель-май 1943 г.</w:t>
      </w:r>
    </w:p>
    <w:p w14:paraId="69FB4097"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 июня 1943 г.</w:t>
      </w:r>
    </w:p>
    <w:p w14:paraId="66E9C449"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 Отдел политагитации</w:t>
      </w:r>
    </w:p>
    <w:p w14:paraId="311BFFC9"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6 апреля 4.20 (редактор Лебедев, цензор Горинштейн) снята статья «Благородный почин уральцев». Статья была посвящена созданию особого танкового корпуса на Урале.</w:t>
      </w:r>
    </w:p>
    <w:p w14:paraId="1A307EA4"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11 апреля - материал митинга. Из выступления казачки Ольховой снято, что полк, которым командует полковник Макеев, включен в состав 5-го гв. донского кавалерийского казачьего корпуса.</w:t>
      </w:r>
    </w:p>
    <w:p w14:paraId="51770B08"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16 апреля 13.40 (редактор Лебедев, цензор Строев) выступление директора Уральского металлургического комбината тов. Шилина изменено как выступление директора энского уральского завода тов. Шилина, так как завод, где директором тов. Шилин является заводом № 259, который оглашался в материалах соцсоревнования.</w:t>
      </w:r>
    </w:p>
    <w:p w14:paraId="5EEF073F"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 27 апреля 13.00 (редактор Лебедев, цензор Строев) из выступления по радио директора авиационного завода тов. Гоцеридзе снят характер производства - авиационный. Снято также сообщение директора о том, что от 2-го гвардейского авиационного полка, где командиром гвардии подполковник тов. Балашев, получено сообщение, дающее положительную оценку их авиационной продукции.</w:t>
      </w:r>
    </w:p>
    <w:p w14:paraId="12F5F7D2"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 26 апреля 13.40 передача для молодежи (редактор Лебедев, цензор Строев) из выступления стахановки энского завода тов. Ереминой снята месячная норма выработки мин - 11.000.</w:t>
      </w:r>
    </w:p>
    <w:p w14:paraId="0130F767" w14:textId="6E1170B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6. Из выступления стахановки артиллерийского завода снято, что вместо 80 снарядов в смену они вырабатывают 300.</w:t>
      </w:r>
    </w:p>
    <w:p w14:paraId="4E8FE22A"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7. 3 мая 17.00 передача для железнодорожников (редактор Лебедев, цензор Строев) снято, что узловая станция Смычка, вагонный завод, Благодатская и Сан-Донато были забиты вагонами и тормозился грузопоток, что железнодорожники своими силами выстроили специальные обходные линии.</w:t>
      </w:r>
    </w:p>
    <w:p w14:paraId="00E4447F"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8. 4 мая 12.45 (редактор Лебедев, цензор Строев) из обзора центральных газет снято звание подполковника Мурецкого (Воронежский сектор фронта).</w:t>
      </w:r>
    </w:p>
    <w:p w14:paraId="502475E8"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9. 23 мая 18.20 (редактор Лебедев, цензор Строев) в статье Заславского «Кризис в лагере фашистов» цитата из доклада товарища Сталина к 25-летию Октябрьской революции, вместо: «экономическое порабощение покоренных наций и расхищение их национального достояния» было «...их национального достоинства». Исправлено.</w:t>
      </w:r>
    </w:p>
    <w:p w14:paraId="21CC20D9"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10. 26 мая 18.20 (редактор Лебедев, цензор Горинштейн) снято упоминание, что завод, где директором тов[арищ] Демин, дислоцирован в Москве.</w:t>
      </w:r>
    </w:p>
    <w:p w14:paraId="2F14E26D"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w:t>
      </w:r>
    </w:p>
    <w:p w14:paraId="4F3F2EE9"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ГА РФ. Ф. 9425. On. 1. Д. 192. Л. 11-11 об. Подлинник, машинопись.</w:t>
      </w:r>
    </w:p>
    <w:p w14:paraId="45F78D24"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Сводка подписана заведующим отделом А. Буртаковым (21118).</w:t>
      </w:r>
    </w:p>
    <w:p w14:paraId="44EE7884" w14:textId="77777777" w:rsidR="00E024A1" w:rsidRPr="00D03F3E" w:rsidRDefault="00E024A1" w:rsidP="00D03F3E">
      <w:pPr>
        <w:spacing w:after="0" w:line="240" w:lineRule="auto"/>
        <w:jc w:val="both"/>
        <w:rPr>
          <w:rFonts w:ascii="Times New Roman" w:hAnsi="Times New Roman"/>
          <w:color w:val="0070C0"/>
          <w:sz w:val="16"/>
          <w:szCs w:val="16"/>
        </w:rPr>
      </w:pPr>
    </w:p>
    <w:p w14:paraId="17E941A3" w14:textId="77777777" w:rsidR="00227A2A"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6A87D930" w14:textId="77777777" w:rsidR="00227A2A" w:rsidRPr="00D03F3E" w:rsidRDefault="00227A2A" w:rsidP="00D03F3E">
      <w:pPr>
        <w:pStyle w:val="Iauiue"/>
        <w:jc w:val="both"/>
        <w:rPr>
          <w:iCs/>
          <w:color w:val="000000" w:themeColor="text1"/>
          <w:sz w:val="16"/>
          <w:szCs w:val="16"/>
        </w:rPr>
      </w:pPr>
    </w:p>
    <w:p w14:paraId="78A3F182" w14:textId="77777777" w:rsidR="00227A2A" w:rsidRPr="00D03F3E" w:rsidRDefault="00227A2A" w:rsidP="00D03F3E">
      <w:pPr>
        <w:pStyle w:val="Iauiue"/>
        <w:jc w:val="both"/>
        <w:rPr>
          <w:color w:val="000000" w:themeColor="text1"/>
          <w:sz w:val="16"/>
          <w:szCs w:val="16"/>
        </w:rPr>
      </w:pPr>
      <w:r w:rsidRPr="00D03F3E">
        <w:rPr>
          <w:color w:val="000000" w:themeColor="text1"/>
          <w:sz w:val="16"/>
          <w:szCs w:val="16"/>
        </w:rPr>
        <w:t>5 июня 1943 года Постановлением ГКО №3522сс утверждены "Мероприятия по улучшению зарубежной работы разведывательных органов СССР" (из 14 пунктов), в соответствии с которыми на НКГБ возлагалось ведение разведывательной деятельности "в целях получения сведений о внешней и внутренней политике иностранных государств, их политическом и экономическом положении, о политических партиях, группах и общественно-политических деятелях, о достижениях и изобретениях в области науки и техники, сведений по вопросам печати, религии, положении национальных меньшинств и эмиграции и информирование Правительства СССР по этим вопросам", для чего предписывалось создание агентурных сетей в правительственных учреждениях, торговых, промышленных, финансовых, общественно-политических и научных организациях, разведывательных и контрразведывательных органах иностранных государств, в том числе (пункт пятый): "по линии нелегальной: считать необходимым, наряду с имеющимися легальными резидентурами, шире практиковать создание нелегальных резидентур на территории иностранных государств", а советские граждане, находящиеся за границей, обязывались соблюдать за рубежом определенные правила поведения (пункт четырнадцатый: "разработать и представить на утверждение "Инструкцию о правилах поведения советских граждан за границей", в которой должны быть в соответствующей форме отражены интересы разведывательных органов СССР") (8983).</w:t>
      </w:r>
    </w:p>
    <w:p w14:paraId="4474F7B8" w14:textId="77777777" w:rsidR="00227A2A" w:rsidRPr="00D03F3E" w:rsidRDefault="00227A2A" w:rsidP="00D03F3E">
      <w:pPr>
        <w:pStyle w:val="Iauiue"/>
        <w:jc w:val="both"/>
        <w:rPr>
          <w:color w:val="000000" w:themeColor="text1"/>
          <w:sz w:val="16"/>
          <w:szCs w:val="16"/>
        </w:rPr>
      </w:pPr>
    </w:p>
    <w:p w14:paraId="56503279"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5DAD239F" w14:textId="77777777" w:rsidR="00531570" w:rsidRPr="00D03F3E" w:rsidRDefault="00531570" w:rsidP="00D03F3E">
      <w:pPr>
        <w:pStyle w:val="Iauiue"/>
        <w:jc w:val="both"/>
        <w:rPr>
          <w:iCs/>
          <w:color w:val="000000" w:themeColor="text1"/>
          <w:sz w:val="16"/>
          <w:szCs w:val="16"/>
        </w:rPr>
      </w:pPr>
    </w:p>
    <w:p w14:paraId="563C7888" w14:textId="77777777" w:rsidR="00227A2A" w:rsidRPr="00D03F3E" w:rsidRDefault="00227A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5 июня</w:t>
      </w:r>
      <w:r w:rsidRPr="00D03F3E">
        <w:rPr>
          <w:rFonts w:ascii="Times New Roman" w:hAnsi="Times New Roman"/>
          <w:color w:val="000000" w:themeColor="text1"/>
          <w:sz w:val="16"/>
          <w:szCs w:val="16"/>
        </w:rPr>
        <w:t xml:space="preserve"> в 1943 году крупный налет авиации союзников на Специю, повреждено 3 итальянских линейных корабля (14913).</w:t>
      </w:r>
    </w:p>
    <w:p w14:paraId="68E8D737" w14:textId="77777777" w:rsidR="00227A2A" w:rsidRPr="00D03F3E" w:rsidRDefault="00227A2A" w:rsidP="00D03F3E">
      <w:pPr>
        <w:spacing w:after="0" w:line="240" w:lineRule="auto"/>
        <w:jc w:val="both"/>
        <w:rPr>
          <w:rFonts w:ascii="Times New Roman" w:hAnsi="Times New Roman"/>
          <w:color w:val="000000" w:themeColor="text1"/>
          <w:sz w:val="16"/>
          <w:szCs w:val="16"/>
        </w:rPr>
      </w:pPr>
    </w:p>
    <w:p w14:paraId="3AFE4263"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 июня 1943 в битве над островами Рассела между 81 японским истребителем Mitsubishi A6M Zero и 110 самолетами союзников японцы теряют 24 самолета в обмен на семь американских истребителей (20376).</w:t>
      </w:r>
    </w:p>
    <w:p w14:paraId="4745AD07" w14:textId="77777777" w:rsidR="00E024A1" w:rsidRPr="00D03F3E" w:rsidRDefault="00E024A1" w:rsidP="00D03F3E">
      <w:pPr>
        <w:spacing w:after="0" w:line="240" w:lineRule="auto"/>
        <w:jc w:val="both"/>
        <w:rPr>
          <w:rFonts w:ascii="Times New Roman" w:hAnsi="Times New Roman"/>
          <w:color w:val="0070C0"/>
          <w:sz w:val="16"/>
          <w:szCs w:val="16"/>
        </w:rPr>
      </w:pPr>
    </w:p>
    <w:p w14:paraId="479542B4"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June 5th, 1943: U-513 (Kptlt.. Sohler) sinks 4 ships off the coast of Brazil (3819).</w:t>
      </w:r>
    </w:p>
    <w:p w14:paraId="442CD88B" w14:textId="77777777" w:rsidR="00531570" w:rsidRPr="00D03F3E" w:rsidRDefault="00531570" w:rsidP="00D03F3E">
      <w:pPr>
        <w:pStyle w:val="Iauiue"/>
        <w:jc w:val="both"/>
        <w:rPr>
          <w:color w:val="000000" w:themeColor="text1"/>
          <w:sz w:val="16"/>
          <w:szCs w:val="16"/>
          <w:lang w:val="en-US"/>
        </w:rPr>
      </w:pPr>
    </w:p>
    <w:p w14:paraId="077C2E9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июня 1943 У-513 (Солер) потопила 4 судна у берегов Бразилии (3819).</w:t>
      </w:r>
    </w:p>
    <w:p w14:paraId="4213B4B0" w14:textId="77777777" w:rsidR="00531570" w:rsidRPr="00D03F3E" w:rsidRDefault="00531570" w:rsidP="00D03F3E">
      <w:pPr>
        <w:pStyle w:val="Iauiue"/>
        <w:jc w:val="both"/>
        <w:rPr>
          <w:color w:val="000000" w:themeColor="text1"/>
          <w:sz w:val="16"/>
          <w:szCs w:val="16"/>
        </w:rPr>
      </w:pPr>
    </w:p>
    <w:p w14:paraId="0907A460"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0539A197" w14:textId="77777777" w:rsidR="00531570" w:rsidRPr="00D03F3E" w:rsidRDefault="00531570" w:rsidP="00D03F3E">
      <w:pPr>
        <w:pStyle w:val="Iauiue"/>
        <w:jc w:val="both"/>
        <w:rPr>
          <w:iCs/>
          <w:color w:val="000000" w:themeColor="text1"/>
          <w:sz w:val="16"/>
          <w:szCs w:val="16"/>
        </w:rPr>
      </w:pPr>
    </w:p>
    <w:p w14:paraId="0EF8BF80"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6 июня 1943 начальник НИИ АВ генерал-майором М. В. Гуревич утвердил Отчет по результатам испытаний Ил-2 зав. № 301415 «с пушками № НС-556 и НС-561», которые велись с 15 марта по 14 мая 1943.</w:t>
      </w:r>
    </w:p>
    <w:p w14:paraId="77D75A54"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15 марта 1943 г. в НИИ АВ поступили 3 самолета Ил-2 зав. № 301396, 301407, 301415 производства завода № 30, на которые при участии специалистов по вооружению ОКБ-240 были установлены пуш</w:t>
      </w:r>
      <w:r w:rsidRPr="00D03F3E">
        <w:rPr>
          <w:color w:val="000000" w:themeColor="text1"/>
          <w:sz w:val="16"/>
          <w:szCs w:val="16"/>
        </w:rPr>
        <w:softHyphen/>
        <w:t>ки 11П серийного изготовления завода № 74 НКВ. В ходе контрольных испытаний предполагалось определить живучесть, безотказность, эффектив</w:t>
      </w:r>
      <w:r w:rsidRPr="00D03F3E">
        <w:rPr>
          <w:color w:val="000000" w:themeColor="text1"/>
          <w:sz w:val="16"/>
          <w:szCs w:val="16"/>
        </w:rPr>
        <w:softHyphen/>
        <w:t>ность стрельбы из двух и одной пушек в воздухе, а также оценить влияние пушек на самолет и его прочность.</w:t>
      </w:r>
    </w:p>
    <w:p w14:paraId="1BB137A3"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Ответственным исполнителем по испытаниям был назначен инженер-капитан Смирнов, веду</w:t>
      </w:r>
      <w:r w:rsidRPr="00D03F3E">
        <w:rPr>
          <w:color w:val="000000" w:themeColor="text1"/>
          <w:sz w:val="16"/>
          <w:szCs w:val="16"/>
        </w:rPr>
        <w:softHyphen/>
        <w:t>щим летчиком-испытателем — капитан Кравченко.</w:t>
      </w:r>
    </w:p>
    <w:p w14:paraId="78B02A13"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Помимо военных специалистов, в состав испыта</w:t>
      </w:r>
      <w:r w:rsidRPr="00D03F3E">
        <w:rPr>
          <w:color w:val="000000" w:themeColor="text1"/>
          <w:sz w:val="16"/>
          <w:szCs w:val="16"/>
        </w:rPr>
        <w:softHyphen/>
        <w:t>тельной бригады входили: от ОКБ-16 — Лебедев и Исаков, от ОКБ-240 — Певзнер, от завода № 30 — Зуйков.</w:t>
      </w:r>
    </w:p>
    <w:p w14:paraId="194B0E25"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следует из документов, после окончания программы контрольных испытаний один из штур</w:t>
      </w:r>
      <w:r w:rsidRPr="00D03F3E">
        <w:rPr>
          <w:color w:val="000000" w:themeColor="text1"/>
          <w:sz w:val="16"/>
          <w:szCs w:val="16"/>
        </w:rPr>
        <w:softHyphen/>
        <w:t>мовиков Ил-2 зав. № 301396 был передан в НИИ ВВС для снятия летных данных, а Ил-2 зав. № 301415 был испытан по отдельной программе «на опреде</w:t>
      </w:r>
      <w:r w:rsidRPr="00D03F3E">
        <w:rPr>
          <w:color w:val="000000" w:themeColor="text1"/>
          <w:sz w:val="16"/>
          <w:szCs w:val="16"/>
        </w:rPr>
        <w:softHyphen/>
        <w:t>ление живучести двух пушек 37 мм ОКБ-16 серий</w:t>
      </w:r>
      <w:r w:rsidRPr="00D03F3E">
        <w:rPr>
          <w:color w:val="000000" w:themeColor="text1"/>
          <w:sz w:val="16"/>
          <w:szCs w:val="16"/>
        </w:rPr>
        <w:softHyphen/>
        <w:t>ного изготовления и установок под них». Третий самолет был возвращен заводу для устранения вы</w:t>
      </w:r>
      <w:r w:rsidRPr="00D03F3E">
        <w:rPr>
          <w:color w:val="000000" w:themeColor="text1"/>
          <w:sz w:val="16"/>
          <w:szCs w:val="16"/>
        </w:rPr>
        <w:softHyphen/>
        <w:t>явленных дефектов и недостатков.</w:t>
      </w:r>
    </w:p>
    <w:p w14:paraId="6F6A6300"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стрельб была составлена дефектная ве</w:t>
      </w:r>
      <w:r w:rsidRPr="00D03F3E">
        <w:rPr>
          <w:color w:val="000000" w:themeColor="text1"/>
          <w:sz w:val="16"/>
          <w:szCs w:val="16"/>
        </w:rPr>
        <w:softHyphen/>
        <w:t>домость на пушки и установки и отправлена на заводы № 30 и № 74 для внесения изменений в се</w:t>
      </w:r>
      <w:r w:rsidRPr="00D03F3E">
        <w:rPr>
          <w:color w:val="000000" w:themeColor="text1"/>
          <w:sz w:val="16"/>
          <w:szCs w:val="16"/>
        </w:rPr>
        <w:softHyphen/>
        <w:t>рийное производство.</w:t>
      </w:r>
    </w:p>
    <w:p w14:paraId="5F64F4BA"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Живучесть деталей пушек и пушечных устано</w:t>
      </w:r>
      <w:r w:rsidRPr="00D03F3E">
        <w:rPr>
          <w:color w:val="000000" w:themeColor="text1"/>
          <w:sz w:val="16"/>
          <w:szCs w:val="16"/>
        </w:rPr>
        <w:softHyphen/>
        <w:t>вок оценивалась по количеству выстрелов, «кото</w:t>
      </w:r>
      <w:r w:rsidRPr="00D03F3E">
        <w:rPr>
          <w:color w:val="000000" w:themeColor="text1"/>
          <w:sz w:val="16"/>
          <w:szCs w:val="16"/>
        </w:rPr>
        <w:softHyphen/>
        <w:t>рые способна выдержать деталь без поломки, де</w:t>
      </w:r>
      <w:r w:rsidRPr="00D03F3E">
        <w:rPr>
          <w:color w:val="000000" w:themeColor="text1"/>
          <w:sz w:val="16"/>
          <w:szCs w:val="16"/>
        </w:rPr>
        <w:softHyphen/>
        <w:t>формации или любых изменений, препятствующих нормальной работе пушек». Критический износ ствола определялся по снижению начальной ско</w:t>
      </w:r>
      <w:r w:rsidRPr="00D03F3E">
        <w:rPr>
          <w:color w:val="000000" w:themeColor="text1"/>
          <w:sz w:val="16"/>
          <w:szCs w:val="16"/>
        </w:rPr>
        <w:softHyphen/>
        <w:t>рости снаряда и его эффективности у цели, а так</w:t>
      </w:r>
      <w:r w:rsidRPr="00D03F3E">
        <w:rPr>
          <w:color w:val="000000" w:themeColor="text1"/>
          <w:sz w:val="16"/>
          <w:szCs w:val="16"/>
        </w:rPr>
        <w:softHyphen/>
        <w:t>же по ухудшению устойчивости снаряда в полете и рассеивания снаряда на дистанции 400—600 м в зависимости от настрела пушки. При этом по</w:t>
      </w:r>
      <w:r w:rsidRPr="00D03F3E">
        <w:rPr>
          <w:color w:val="000000" w:themeColor="text1"/>
          <w:sz w:val="16"/>
          <w:szCs w:val="16"/>
        </w:rPr>
        <w:softHyphen/>
        <w:t>скольку «основным назначением пушек калибра 37 мм является борьба с бронированными целями», то «изменение эффективности у цели» для 37-мм бронебойных снарядов оценивалось в диапазоне 100—2000 выстрелов.</w:t>
      </w:r>
    </w:p>
    <w:p w14:paraId="3F0D7BFB"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Стрельба велась по танку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III</w:t>
      </w:r>
      <w:r w:rsidRPr="00D03F3E">
        <w:rPr>
          <w:color w:val="000000" w:themeColor="text1"/>
          <w:sz w:val="16"/>
          <w:szCs w:val="16"/>
        </w:rPr>
        <w:t xml:space="preserve"> бронебойно-трас- сирующими и бронебойно-зажигательными снаря</w:t>
      </w:r>
      <w:r w:rsidRPr="00D03F3E">
        <w:rPr>
          <w:color w:val="000000" w:themeColor="text1"/>
          <w:sz w:val="16"/>
          <w:szCs w:val="16"/>
        </w:rPr>
        <w:softHyphen/>
        <w:t>дами БТ-37 и БЗ-37 с дистанции 400 м со станка.</w:t>
      </w:r>
    </w:p>
    <w:p w14:paraId="035A220E"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Основные результаты сводились к следующему. Новый ствол (118 выстрелов) обеспечивает 37-мм снаряду во всех случаях пробитие брони толщиной 30 мм на дистанции 400 м под углом к нормали 30°. После производства 1390 выстрелов броне- пробиваемость снарядов резко падает и в услови</w:t>
      </w:r>
      <w:r w:rsidRPr="00D03F3E">
        <w:rPr>
          <w:color w:val="000000" w:themeColor="text1"/>
          <w:sz w:val="16"/>
          <w:szCs w:val="16"/>
        </w:rPr>
        <w:softHyphen/>
        <w:t>ях, аналогичных предыдущим, получается только 33% сквозных пробоин. При доведении настрела до 2012 выстрелов баллистические качества ство</w:t>
      </w:r>
      <w:r w:rsidRPr="00D03F3E">
        <w:rPr>
          <w:color w:val="000000" w:themeColor="text1"/>
          <w:sz w:val="16"/>
          <w:szCs w:val="16"/>
        </w:rPr>
        <w:softHyphen/>
        <w:t>ла ухудшаются настолько, что немецкая танковая броня 30 мм на дистанции 400 м под углом 30° к нормали и вовсе не пробивается. На основании этого был сделан вывод, что «стрельба по танкам из пушек с настрелом более 2000 выстрелов не яв</w:t>
      </w:r>
      <w:r w:rsidRPr="00D03F3E">
        <w:rPr>
          <w:color w:val="000000" w:themeColor="text1"/>
          <w:sz w:val="16"/>
          <w:szCs w:val="16"/>
        </w:rPr>
        <w:softHyphen/>
        <w:t>ляется эффективной. Отсюда допустимый предел живучести ствола, исходя из оценки изменения эф</w:t>
      </w:r>
      <w:r w:rsidRPr="00D03F3E">
        <w:rPr>
          <w:color w:val="000000" w:themeColor="text1"/>
          <w:sz w:val="16"/>
          <w:szCs w:val="16"/>
        </w:rPr>
        <w:softHyphen/>
        <w:t>фективности снаряда у цели, лежит ниже 1390 вы</w:t>
      </w:r>
      <w:r w:rsidRPr="00D03F3E">
        <w:rPr>
          <w:color w:val="000000" w:themeColor="text1"/>
          <w:sz w:val="16"/>
          <w:szCs w:val="16"/>
        </w:rPr>
        <w:softHyphen/>
        <w:t>стрелов. Окончательное установление предела живучести должно быть произведено после специ</w:t>
      </w:r>
      <w:r w:rsidRPr="00D03F3E">
        <w:rPr>
          <w:color w:val="000000" w:themeColor="text1"/>
          <w:sz w:val="16"/>
          <w:szCs w:val="16"/>
        </w:rPr>
        <w:softHyphen/>
        <w:t>ального испытания ствола на живучесть с опреде</w:t>
      </w:r>
      <w:r w:rsidRPr="00D03F3E">
        <w:rPr>
          <w:color w:val="000000" w:themeColor="text1"/>
          <w:sz w:val="16"/>
          <w:szCs w:val="16"/>
        </w:rPr>
        <w:softHyphen/>
        <w:t>лением допустимых норм снижения эффективности снаряда».</w:t>
      </w:r>
    </w:p>
    <w:p w14:paraId="33D92CB5"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Изменение начальной скорости снарядов из-за износа ствола не является резким и уменьшается по линейному закону. После каждой сотни выстре</w:t>
      </w:r>
      <w:r w:rsidRPr="00D03F3E">
        <w:rPr>
          <w:color w:val="000000" w:themeColor="text1"/>
          <w:sz w:val="16"/>
          <w:szCs w:val="16"/>
        </w:rPr>
        <w:softHyphen/>
        <w:t>лов начальная скорость понижается на 4,3—4,5 м/с (до 0,5%). Допустимой нормой снижения начальной скорости снаряда для 37-мм пушек предваритель</w:t>
      </w:r>
      <w:r w:rsidRPr="00D03F3E">
        <w:rPr>
          <w:color w:val="000000" w:themeColor="text1"/>
          <w:sz w:val="16"/>
          <w:szCs w:val="16"/>
        </w:rPr>
        <w:softHyphen/>
        <w:t>но («до более глубокого изучения») сочли 7% от значения при малом настреле (до 100 выстрелов).</w:t>
      </w:r>
    </w:p>
    <w:p w14:paraId="2D94E962"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Влияние износа ствола на устойчивость снаря</w:t>
      </w:r>
      <w:r w:rsidRPr="00D03F3E">
        <w:rPr>
          <w:color w:val="000000" w:themeColor="text1"/>
          <w:sz w:val="16"/>
          <w:szCs w:val="16"/>
        </w:rPr>
        <w:softHyphen/>
        <w:t>дов в полете определялось по размеру пробоин у цели. Нормальными считались пробоины, наи</w:t>
      </w:r>
      <w:r w:rsidRPr="00D03F3E">
        <w:rPr>
          <w:color w:val="000000" w:themeColor="text1"/>
          <w:sz w:val="16"/>
          <w:szCs w:val="16"/>
        </w:rPr>
        <w:softHyphen/>
        <w:t>больший диаметр которых не превышает калибра снаряда, увеличенного на 10%, а боковыми — про</w:t>
      </w:r>
      <w:r w:rsidRPr="00D03F3E">
        <w:rPr>
          <w:color w:val="000000" w:themeColor="text1"/>
          <w:sz w:val="16"/>
          <w:szCs w:val="16"/>
        </w:rPr>
        <w:softHyphen/>
        <w:t>боины, наибольший диаметр которых превышает половину длины снаряда.</w:t>
      </w:r>
    </w:p>
    <w:p w14:paraId="44CA0EF9"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Стрельба велась одиночными выстрелами с дистанции 50 и 400 м. Живучесть ствола пушки НС-37, исходя из критерия устойчивости снаряда на траектории полета, составила 2013 выстрелов.</w:t>
      </w:r>
    </w:p>
    <w:p w14:paraId="16AD2D0B"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Замеры рассеивания снарядов в зависимо</w:t>
      </w:r>
      <w:r w:rsidRPr="00D03F3E">
        <w:rPr>
          <w:color w:val="000000" w:themeColor="text1"/>
          <w:sz w:val="16"/>
          <w:szCs w:val="16"/>
        </w:rPr>
        <w:softHyphen/>
        <w:t>сти от износа ствола показали, что стволы и сами пушки, задействованные в испытаниях, оказались неодинакового качества. Вероятное отклонение снарядов при стрельбе в одинаковых условиях (50 и 400 м) и при практически равном настреле (1591—1450 выстрелов) отличалось почти в 1,5 раза. Характерно, что и износ ствола у пушки зав. № НС-561 резко отличается от износа ствола у пуш</w:t>
      </w:r>
      <w:r w:rsidRPr="00D03F3E">
        <w:rPr>
          <w:color w:val="000000" w:themeColor="text1"/>
          <w:sz w:val="16"/>
          <w:szCs w:val="16"/>
        </w:rPr>
        <w:softHyphen/>
        <w:t>ки зав. № НС-556. В дульной части ствола первой пушки отсутствовали 3 поля нарезов на длине 70 мм, в то время как у 2-й пушки они сохранились полностью.</w:t>
      </w:r>
    </w:p>
    <w:p w14:paraId="0CA5B685"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испытаний произошло четыре полом</w:t>
      </w:r>
      <w:r w:rsidRPr="00D03F3E">
        <w:rPr>
          <w:color w:val="000000" w:themeColor="text1"/>
          <w:sz w:val="16"/>
          <w:szCs w:val="16"/>
        </w:rPr>
        <w:softHyphen/>
        <w:t>ки вкладыша пушек после 164, 249, 454 и 558-го (зав. № НС-556) выстрела. Флажок оси фиксатора у пушки зав. № НС-556 вышел из строя на 1223-м выстреле, а у пушки зав. № НС-561 — на 202-м вы</w:t>
      </w:r>
      <w:r w:rsidRPr="00D03F3E">
        <w:rPr>
          <w:color w:val="000000" w:themeColor="text1"/>
          <w:sz w:val="16"/>
          <w:szCs w:val="16"/>
        </w:rPr>
        <w:softHyphen/>
        <w:t>стреле. Живучесть бойка (предел живучести пушки) ограничивалась 1899, флажка оси защелки проти- воотскочного механизма — 1510, звеньеотвода — 1820 выстрелами. При износе затвора в 0,3 мм он полностью поворачивался в ствольной коробке, что приводило к неполному запиранию и большо</w:t>
      </w:r>
      <w:r w:rsidRPr="00D03F3E">
        <w:rPr>
          <w:color w:val="000000" w:themeColor="text1"/>
          <w:sz w:val="16"/>
          <w:szCs w:val="16"/>
        </w:rPr>
        <w:softHyphen/>
        <w:t>му износу запирающих выступов.</w:t>
      </w:r>
    </w:p>
    <w:p w14:paraId="4C57D6A5"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После 867 выстрелов произошла поломка крон</w:t>
      </w:r>
      <w:r w:rsidRPr="00D03F3E">
        <w:rPr>
          <w:color w:val="000000" w:themeColor="text1"/>
          <w:sz w:val="16"/>
          <w:szCs w:val="16"/>
        </w:rPr>
        <w:softHyphen/>
        <w:t>штейнов заднего крепления пушечной установки. Трубки воздухопроводов выходили из строя после 723, 790, 870, 950 и 1200-го выстрела. Болты перед</w:t>
      </w:r>
      <w:r w:rsidRPr="00D03F3E">
        <w:rPr>
          <w:color w:val="000000" w:themeColor="text1"/>
          <w:sz w:val="16"/>
          <w:szCs w:val="16"/>
        </w:rPr>
        <w:softHyphen/>
        <w:t>него крепления пушек из-за поломок заменялись пять раз — после 443, 560, 1000, 1470 и 1500 вы</w:t>
      </w:r>
      <w:r w:rsidRPr="00D03F3E">
        <w:rPr>
          <w:color w:val="000000" w:themeColor="text1"/>
          <w:sz w:val="16"/>
          <w:szCs w:val="16"/>
        </w:rPr>
        <w:softHyphen/>
        <w:t>стрелов. Более того, после 1500-го выстрела пушки зав. № НС-561 при осмотре была обнаружена тре</w:t>
      </w:r>
      <w:r w:rsidRPr="00D03F3E">
        <w:rPr>
          <w:color w:val="000000" w:themeColor="text1"/>
          <w:sz w:val="16"/>
          <w:szCs w:val="16"/>
        </w:rPr>
        <w:softHyphen/>
        <w:t>щина в стенке лонжерона у заднего крепления.</w:t>
      </w:r>
    </w:p>
    <w:p w14:paraId="60D258F9"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Детальный анализ отказов и дефектов пушек и их установок показал, что поломка крепления пушки зав. № НС-561 на 867-м выстреле обусловли</w:t>
      </w:r>
      <w:r w:rsidRPr="00D03F3E">
        <w:rPr>
          <w:color w:val="000000" w:themeColor="text1"/>
          <w:sz w:val="16"/>
          <w:szCs w:val="16"/>
        </w:rPr>
        <w:softHyphen/>
        <w:t>валась некачественным его монтажом на самолете Ил-2 зав. № 301415. Как выяснилось, «между само</w:t>
      </w:r>
      <w:r w:rsidRPr="00D03F3E">
        <w:rPr>
          <w:color w:val="000000" w:themeColor="text1"/>
          <w:sz w:val="16"/>
          <w:szCs w:val="16"/>
        </w:rPr>
        <w:softHyphen/>
        <w:t>летной жесткостью и кронштейном были проложе</w:t>
      </w:r>
      <w:r w:rsidRPr="00D03F3E">
        <w:rPr>
          <w:color w:val="000000" w:themeColor="text1"/>
          <w:sz w:val="16"/>
          <w:szCs w:val="16"/>
        </w:rPr>
        <w:softHyphen/>
        <w:t>ны прокладки, имеющие разную толщину по длине, что привело к перекосу и односторонней затяжки кронштейна».</w:t>
      </w:r>
    </w:p>
    <w:p w14:paraId="00AC2AEB"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Многочисленные поломки болтов объяснялись недостаточной их прочностью «плюс дефект мон</w:t>
      </w:r>
      <w:r w:rsidRPr="00D03F3E">
        <w:rPr>
          <w:color w:val="000000" w:themeColor="text1"/>
          <w:sz w:val="16"/>
          <w:szCs w:val="16"/>
        </w:rPr>
        <w:softHyphen/>
        <w:t>тажа — односторонняя затяжка, вместо отверстия в силовом угольнике жесткости самолета сделаны сквозные прорези».</w:t>
      </w:r>
    </w:p>
    <w:p w14:paraId="67F72068"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Поломка трубок воздухопроводов произошла из-за небрежного монтажа на заводе № 30, малых радиусов кривизны изгибов. По этим причинам «при настреле в 1500—2000 выстрелов пушечная установка конструкции ОКБ-240 достигает своей живучести, так как ведение автоматической стрель</w:t>
      </w:r>
      <w:r w:rsidRPr="00D03F3E">
        <w:rPr>
          <w:color w:val="000000" w:themeColor="text1"/>
          <w:sz w:val="16"/>
          <w:szCs w:val="16"/>
        </w:rPr>
        <w:softHyphen/>
        <w:t>бы становится невозможным из-за большого числа задержек по вине установки». Так, при настреле 1000—1500 выстрелов было зафиксировано 9 за</w:t>
      </w:r>
      <w:r w:rsidRPr="00D03F3E">
        <w:rPr>
          <w:color w:val="000000" w:themeColor="text1"/>
          <w:sz w:val="16"/>
          <w:szCs w:val="16"/>
        </w:rPr>
        <w:softHyphen/>
        <w:t>держек (1,8%) по вине правой установки («сход звена за закраину патрона»). Оказалось, что после 2000 выстрелов, несмотря на подтяжку болтов по</w:t>
      </w:r>
      <w:r w:rsidRPr="00D03F3E">
        <w:rPr>
          <w:color w:val="000000" w:themeColor="text1"/>
          <w:sz w:val="16"/>
          <w:szCs w:val="16"/>
        </w:rPr>
        <w:softHyphen/>
        <w:t>сле каждых 500 выстрелов и замену сломанных болтов, «правая установка допускает смещение пушки при стрельбе до 12 мм». Налицо «общее ос</w:t>
      </w:r>
      <w:r w:rsidRPr="00D03F3E">
        <w:rPr>
          <w:color w:val="000000" w:themeColor="text1"/>
          <w:sz w:val="16"/>
          <w:szCs w:val="16"/>
        </w:rPr>
        <w:softHyphen/>
        <w:t>лабление установки из-за потери упругих свойств, особенно в месте, связывавшем кронштейн с само</w:t>
      </w:r>
      <w:r w:rsidRPr="00D03F3E">
        <w:rPr>
          <w:color w:val="000000" w:themeColor="text1"/>
          <w:sz w:val="16"/>
          <w:szCs w:val="16"/>
        </w:rPr>
        <w:softHyphen/>
        <w:t>летными жесткостями». По мнению военных специ</w:t>
      </w:r>
      <w:r w:rsidRPr="00D03F3E">
        <w:rPr>
          <w:color w:val="000000" w:themeColor="text1"/>
          <w:sz w:val="16"/>
          <w:szCs w:val="16"/>
        </w:rPr>
        <w:softHyphen/>
        <w:t>алистов, именно это обстоятельство, а также вы</w:t>
      </w:r>
      <w:r w:rsidRPr="00D03F3E">
        <w:rPr>
          <w:color w:val="000000" w:themeColor="text1"/>
          <w:sz w:val="16"/>
          <w:szCs w:val="16"/>
        </w:rPr>
        <w:softHyphen/>
        <w:t>явленные производственные дефекты («сквозные прорези вместо отверстий, неодинаковые по высо</w:t>
      </w:r>
      <w:r w:rsidRPr="00D03F3E">
        <w:rPr>
          <w:color w:val="000000" w:themeColor="text1"/>
          <w:sz w:val="16"/>
          <w:szCs w:val="16"/>
        </w:rPr>
        <w:softHyphen/>
        <w:t>те прокладки») «способствуют преждевременному выходу установки из строя».</w:t>
      </w:r>
    </w:p>
    <w:p w14:paraId="0EA327FA"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 xml:space="preserve">Стрельба в воздухе из пушек 11П (для оценки величины рассеивания и эффективности снаряда у цели в зависимости от настрела) выполнялась по щитам 6x8 м и танку </w:t>
      </w:r>
      <w:r w:rsidRPr="00D03F3E">
        <w:rPr>
          <w:color w:val="000000" w:themeColor="text1"/>
          <w:sz w:val="16"/>
          <w:szCs w:val="16"/>
          <w:lang w:val="en-US"/>
        </w:rPr>
        <w:t>Pz</w:t>
      </w:r>
      <w:r w:rsidRPr="00D03F3E">
        <w:rPr>
          <w:color w:val="000000" w:themeColor="text1"/>
          <w:sz w:val="16"/>
          <w:szCs w:val="16"/>
        </w:rPr>
        <w:t>.</w:t>
      </w:r>
      <w:r w:rsidRPr="00D03F3E">
        <w:rPr>
          <w:color w:val="000000" w:themeColor="text1"/>
          <w:sz w:val="16"/>
          <w:szCs w:val="16"/>
          <w:lang w:val="en-US"/>
        </w:rPr>
        <w:t>III</w:t>
      </w:r>
      <w:r w:rsidRPr="00D03F3E">
        <w:rPr>
          <w:color w:val="000000" w:themeColor="text1"/>
          <w:sz w:val="16"/>
          <w:szCs w:val="16"/>
        </w:rPr>
        <w:t xml:space="preserve"> с пикирования под углом 30° (высота ввода 400—600 м) и с бреющего полета. Всего в 12 полетах было отстреляно 275 снарядов. Стрельба велась очередями от 4—5 до 24—49 сна</w:t>
      </w:r>
      <w:r w:rsidRPr="00D03F3E">
        <w:rPr>
          <w:color w:val="000000" w:themeColor="text1"/>
          <w:sz w:val="16"/>
          <w:szCs w:val="16"/>
        </w:rPr>
        <w:softHyphen/>
        <w:t>рядов в очереди.</w:t>
      </w:r>
    </w:p>
    <w:p w14:paraId="244159DE"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Вероятное отклонение по дальности и в боко</w:t>
      </w:r>
      <w:r w:rsidRPr="00D03F3E">
        <w:rPr>
          <w:color w:val="000000" w:themeColor="text1"/>
          <w:sz w:val="16"/>
          <w:szCs w:val="16"/>
        </w:rPr>
        <w:softHyphen/>
        <w:t>вом направлении в зависимости от длины очереди изменялось от 6 до 20 м и от 3,5 до 13,5 м соответ</w:t>
      </w:r>
      <w:r w:rsidRPr="00D03F3E">
        <w:rPr>
          <w:color w:val="000000" w:themeColor="text1"/>
          <w:sz w:val="16"/>
          <w:szCs w:val="16"/>
        </w:rPr>
        <w:softHyphen/>
        <w:t>ственно. В танк было получено всего 2 попадания. Одно — в крышу танка, была пробита 10-мм броня под углом 40°, снаряд пробил 5-мм пол и образо</w:t>
      </w:r>
      <w:r w:rsidRPr="00D03F3E">
        <w:rPr>
          <w:color w:val="000000" w:themeColor="text1"/>
          <w:sz w:val="16"/>
          <w:szCs w:val="16"/>
        </w:rPr>
        <w:softHyphen/>
        <w:t>вал трещину около 300 мм в длину. Второе попада</w:t>
      </w:r>
      <w:r w:rsidRPr="00D03F3E">
        <w:rPr>
          <w:color w:val="000000" w:themeColor="text1"/>
          <w:sz w:val="16"/>
          <w:szCs w:val="16"/>
        </w:rPr>
        <w:softHyphen/>
        <w:t>ние — в бронеплиту толщиной 40 мм под углом 15° к нормали, броня не пробита, образовалась вмяти на глубиной 20 мм (настрел пушек к этому времени составил 1223 выстрела).</w:t>
      </w:r>
    </w:p>
    <w:p w14:paraId="7A216E64"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Заместитель командира эскадрильи капитан В. М. Кравченко отмечал, что Ил-2 с пушками 11П «в воздухе инертный, при выполнении разворотов, виражей, планирования следует держать скорость на 10—15 км/ч больше, чем на серийном Ил-2, на пикировании устойчив». Прицельная стрельба из пушек вполне возможна, «хотя отдача пушек силь</w:t>
      </w:r>
      <w:r w:rsidRPr="00D03F3E">
        <w:rPr>
          <w:color w:val="000000" w:themeColor="text1"/>
          <w:sz w:val="16"/>
          <w:szCs w:val="16"/>
        </w:rPr>
        <w:softHyphen/>
        <w:t>ная, ощущается летчиком». При стрельбе из одной пушки «в цель попадут первые 1—2 снаряда из очереди, /.../ остальные снаряды из очереди бу</w:t>
      </w:r>
      <w:r w:rsidRPr="00D03F3E">
        <w:rPr>
          <w:color w:val="000000" w:themeColor="text1"/>
          <w:sz w:val="16"/>
          <w:szCs w:val="16"/>
        </w:rPr>
        <w:softHyphen/>
        <w:t>дут ложиться в стороне стреляющей пушки». При этом «сохранение длительно точки прицеливания во время стрельбы из одной пушки невозмож</w:t>
      </w:r>
      <w:r w:rsidRPr="00D03F3E">
        <w:rPr>
          <w:color w:val="000000" w:themeColor="text1"/>
          <w:sz w:val="16"/>
          <w:szCs w:val="16"/>
        </w:rPr>
        <w:softHyphen/>
        <w:t>но из-за разворота самолета вследствие отдачи пушки». Стрельбу по наземной цели необходимо вести с пикирования под углом 30—35° при вы</w:t>
      </w:r>
      <w:r w:rsidRPr="00D03F3E">
        <w:rPr>
          <w:color w:val="000000" w:themeColor="text1"/>
          <w:sz w:val="16"/>
          <w:szCs w:val="16"/>
        </w:rPr>
        <w:softHyphen/>
        <w:t>соте ввода в пикирование 400—600 м и скорости 220—230 км/ч. Огонь следовало вести с дистанции 300—400 м, не более. Боекомплекта в 55 снарядов достаточно на 10—12 атак, «стрельба очередями более 4—5 выстрелов в очереди по наземной цели нецелесообразна».</w:t>
      </w:r>
    </w:p>
    <w:p w14:paraId="6F94DCE0"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опыту эксплуатации требовалось доработать приемные рукава от патронного ящика к прием</w:t>
      </w:r>
      <w:r w:rsidRPr="00D03F3E">
        <w:rPr>
          <w:color w:val="000000" w:themeColor="text1"/>
          <w:sz w:val="16"/>
          <w:szCs w:val="16"/>
        </w:rPr>
        <w:softHyphen/>
        <w:t>нику пушки — «рукав должен входить в приемник и быть гибким, /.../ этим самым перекосы, полу</w:t>
      </w:r>
      <w:r w:rsidRPr="00D03F3E">
        <w:rPr>
          <w:color w:val="000000" w:themeColor="text1"/>
          <w:sz w:val="16"/>
          <w:szCs w:val="16"/>
        </w:rPr>
        <w:softHyphen/>
        <w:t>чаемые при смещении пушки и во время стрель</w:t>
      </w:r>
      <w:r w:rsidRPr="00D03F3E">
        <w:rPr>
          <w:color w:val="000000" w:themeColor="text1"/>
          <w:sz w:val="16"/>
          <w:szCs w:val="16"/>
        </w:rPr>
        <w:softHyphen/>
        <w:t>бы и погрешности в сборке, будут меньше влиять на работу агрегатов питания», а также улучшить качество монтажа приемного рукава. Кроме это</w:t>
      </w:r>
      <w:r w:rsidRPr="00D03F3E">
        <w:rPr>
          <w:color w:val="000000" w:themeColor="text1"/>
          <w:sz w:val="16"/>
          <w:szCs w:val="16"/>
        </w:rPr>
        <w:softHyphen/>
        <w:t>го, необходимо было установить электроспуски и оптический прицел ПБП-1б взамен механиче</w:t>
      </w:r>
      <w:r w:rsidRPr="00D03F3E">
        <w:rPr>
          <w:color w:val="000000" w:themeColor="text1"/>
          <w:sz w:val="16"/>
          <w:szCs w:val="16"/>
        </w:rPr>
        <w:softHyphen/>
        <w:t>ского ВВ-1.</w:t>
      </w:r>
    </w:p>
    <w:p w14:paraId="3CEA629B"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результатам стрельб было сделано заклю</w:t>
      </w:r>
      <w:r w:rsidRPr="00D03F3E">
        <w:rPr>
          <w:color w:val="000000" w:themeColor="text1"/>
          <w:sz w:val="16"/>
          <w:szCs w:val="16"/>
        </w:rPr>
        <w:softHyphen/>
        <w:t>чение, что пушки 11П и пушечные установки кон</w:t>
      </w:r>
      <w:r w:rsidRPr="00D03F3E">
        <w:rPr>
          <w:color w:val="000000" w:themeColor="text1"/>
          <w:sz w:val="16"/>
          <w:szCs w:val="16"/>
        </w:rPr>
        <w:softHyphen/>
        <w:t>струкции ОКБ-240 на самолете Ил-2 «полигонные испытания не выдержали из-за недостаточной жесткости крепления». Живучесть стволов серий</w:t>
      </w:r>
      <w:r w:rsidRPr="00D03F3E">
        <w:rPr>
          <w:color w:val="000000" w:themeColor="text1"/>
          <w:sz w:val="16"/>
          <w:szCs w:val="16"/>
        </w:rPr>
        <w:softHyphen/>
        <w:t>ных пушек 11П ОКБ-16 «1200—1300 выстрелов при стрельбе по бронированным целям является недо</w:t>
      </w:r>
      <w:r w:rsidRPr="00D03F3E">
        <w:rPr>
          <w:color w:val="000000" w:themeColor="text1"/>
          <w:sz w:val="16"/>
          <w:szCs w:val="16"/>
        </w:rPr>
        <w:softHyphen/>
        <w:t>статочной».</w:t>
      </w:r>
    </w:p>
    <w:p w14:paraId="06D59713"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Поставив на вооружение противотанковые ва</w:t>
      </w:r>
      <w:r w:rsidRPr="00D03F3E">
        <w:rPr>
          <w:color w:val="000000" w:themeColor="text1"/>
          <w:sz w:val="16"/>
          <w:szCs w:val="16"/>
        </w:rPr>
        <w:softHyphen/>
        <w:t>рианты истребителей (ЛаГГ-3, Як-9т) и штурмовиков Ил-2, советское командование всерьез рассчитыва</w:t>
      </w:r>
      <w:r w:rsidRPr="00D03F3E">
        <w:rPr>
          <w:color w:val="000000" w:themeColor="text1"/>
          <w:sz w:val="16"/>
          <w:szCs w:val="16"/>
        </w:rPr>
        <w:softHyphen/>
        <w:t>ло в летней кампании 1943 г. сокрушить брониро</w:t>
      </w:r>
      <w:r w:rsidRPr="00D03F3E">
        <w:rPr>
          <w:color w:val="000000" w:themeColor="text1"/>
          <w:sz w:val="16"/>
          <w:szCs w:val="16"/>
        </w:rPr>
        <w:softHyphen/>
        <w:t>ванный «зверинец» вермахта. Однако реальность оказалась более чем приземленной.</w:t>
      </w:r>
    </w:p>
    <w:p w14:paraId="4B11614F"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Основная проблема состояла в обеспечении точной стрельбы из пушек 11П по малоразмерным целям. Двухместный Ил-2 был неустойчив в про</w:t>
      </w:r>
      <w:r w:rsidRPr="00D03F3E">
        <w:rPr>
          <w:color w:val="000000" w:themeColor="text1"/>
          <w:sz w:val="16"/>
          <w:szCs w:val="16"/>
        </w:rPr>
        <w:softHyphen/>
        <w:t>дольном отношении в еще большей степени, чем одноместный Ил-2, и в силу этого стрельба из 11П сказывалась на полете самолета значительно сильнее.</w:t>
      </w:r>
    </w:p>
    <w:p w14:paraId="74CEF062" w14:textId="77777777" w:rsidR="00E40CBE" w:rsidRPr="00D03F3E" w:rsidRDefault="00E40CB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Эффективность стрельбы в воздухе из 11П с са</w:t>
      </w:r>
      <w:r w:rsidRPr="00D03F3E">
        <w:rPr>
          <w:color w:val="000000" w:themeColor="text1"/>
          <w:sz w:val="16"/>
          <w:szCs w:val="16"/>
        </w:rPr>
        <w:softHyphen/>
        <w:t>молета Ил-2 по немецким танкам практически ни</w:t>
      </w:r>
      <w:r w:rsidRPr="00D03F3E">
        <w:rPr>
          <w:color w:val="000000" w:themeColor="text1"/>
          <w:sz w:val="16"/>
          <w:szCs w:val="16"/>
        </w:rPr>
        <w:softHyphen/>
        <w:t>чем не отличалась от стрельбы из пушки Ш-37 и ха</w:t>
      </w:r>
      <w:r w:rsidRPr="00D03F3E">
        <w:rPr>
          <w:color w:val="000000" w:themeColor="text1"/>
          <w:sz w:val="16"/>
          <w:szCs w:val="16"/>
        </w:rPr>
        <w:softHyphen/>
        <w:t>рактеризовалась тем, что 52% попаданий снарядов по среднему танку и 73% попаданий по легкому танку выводили их из строя. При этом лишь в 43% вылетов получались попадания в танки, а число по</w:t>
      </w:r>
      <w:r w:rsidRPr="00D03F3E">
        <w:rPr>
          <w:color w:val="000000" w:themeColor="text1"/>
          <w:sz w:val="16"/>
          <w:szCs w:val="16"/>
        </w:rPr>
        <w:softHyphen/>
        <w:t>паданий к израсходованному боекомплекту не пре</w:t>
      </w:r>
      <w:r w:rsidRPr="00D03F3E">
        <w:rPr>
          <w:color w:val="000000" w:themeColor="text1"/>
          <w:sz w:val="16"/>
          <w:szCs w:val="16"/>
        </w:rPr>
        <w:softHyphen/>
        <w:t>вышало 3% (17500).</w:t>
      </w:r>
    </w:p>
    <w:p w14:paraId="41E8D3E4" w14:textId="77777777" w:rsidR="00E40CBE" w:rsidRPr="00D03F3E" w:rsidRDefault="00E40CBE" w:rsidP="00D03F3E">
      <w:pPr>
        <w:spacing w:after="0" w:line="240" w:lineRule="auto"/>
        <w:jc w:val="both"/>
        <w:rPr>
          <w:rFonts w:ascii="Times New Roman" w:eastAsia="Times New Roman" w:hAnsi="Times New Roman"/>
          <w:color w:val="000000" w:themeColor="text1"/>
          <w:sz w:val="16"/>
          <w:szCs w:val="16"/>
          <w:lang w:eastAsia="ru-RU"/>
        </w:rPr>
      </w:pPr>
    </w:p>
    <w:p w14:paraId="1C15A81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июня 1943 Приказом по НКАП чертежи Ил-1 отправили в Куйбышев, на авиазавод № 18. Заводское КБ и опыт</w:t>
      </w:r>
      <w:r w:rsidRPr="00D03F3E">
        <w:rPr>
          <w:rFonts w:ascii="Times New Roman" w:hAnsi="Times New Roman"/>
          <w:color w:val="000000" w:themeColor="text1"/>
          <w:sz w:val="16"/>
          <w:szCs w:val="16"/>
        </w:rPr>
        <w:softHyphen/>
        <w:t>ное производство все силы отдавали на обеспечение серийного выпуска Ил-2 и постройку опытных самолетов с мотором АМ-42 на его базе. Стало ясно, что в ус</w:t>
      </w:r>
      <w:r w:rsidRPr="00D03F3E">
        <w:rPr>
          <w:rFonts w:ascii="Times New Roman" w:hAnsi="Times New Roman"/>
          <w:color w:val="000000" w:themeColor="text1"/>
          <w:sz w:val="16"/>
          <w:szCs w:val="16"/>
        </w:rPr>
        <w:softHyphen/>
        <w:t>тановленные ГКО сроки новую машину предъявить на испытания не удастся (10680).</w:t>
      </w:r>
    </w:p>
    <w:p w14:paraId="05DD970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0F6BA6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июня 1943 неудовлетворительно закончились гос. испытания самолета Пе-2 N 7/187 производства завода 22, которые шли с 25 мая 1943 по причине:</w:t>
      </w:r>
    </w:p>
    <w:p w14:paraId="3459243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потери скоростей</w:t>
      </w:r>
    </w:p>
    <w:p w14:paraId="5ACEE09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плохого производственного выполнения (1778,271).</w:t>
      </w:r>
    </w:p>
    <w:p w14:paraId="4D8AEACE" w14:textId="77777777" w:rsidR="00531570" w:rsidRPr="00D03F3E" w:rsidRDefault="00531570" w:rsidP="00D03F3E">
      <w:pPr>
        <w:pStyle w:val="Iauiue"/>
        <w:jc w:val="both"/>
        <w:rPr>
          <w:color w:val="000000" w:themeColor="text1"/>
          <w:sz w:val="16"/>
          <w:szCs w:val="16"/>
        </w:rPr>
      </w:pPr>
    </w:p>
    <w:p w14:paraId="655EB48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июня 1943 Нач. Штаба Фронта гмарт. Герасимов с письмом N 0402 Зам. НКАП А.С.Я. направил донесение л Шолохова, вылетевшего 2 июня на Як-9 для перехвата высотного разведчика (предположительно Ю-86 Р-1) (1778).</w:t>
      </w:r>
    </w:p>
    <w:p w14:paraId="7D409B1F" w14:textId="77777777" w:rsidR="00531570" w:rsidRPr="00D03F3E" w:rsidRDefault="00531570" w:rsidP="00D03F3E">
      <w:pPr>
        <w:pStyle w:val="Iauiue"/>
        <w:jc w:val="both"/>
        <w:rPr>
          <w:color w:val="000000" w:themeColor="text1"/>
          <w:sz w:val="16"/>
          <w:szCs w:val="16"/>
        </w:rPr>
      </w:pPr>
    </w:p>
    <w:p w14:paraId="328BECA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июня 1943 согласно журнала наблюдения за проектированием, постройкой и испытаниями МиГ-3 за 9 июня 1943 на МиГ-3 1 экз. Д-1 приступили к замене мотора (992,9).</w:t>
      </w:r>
    </w:p>
    <w:p w14:paraId="3D03586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464348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июня 1943 закончились войсковые испытания на боевое применение ЛаГГ-3 с 37 мм пушкой ОКБ-16 и пулеметов УБС, которые шли 24 апреля, а по другим данным с 21 апреля по 5 июня 1943.</w:t>
      </w:r>
    </w:p>
    <w:p w14:paraId="5340CEB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 июня 1943 ГИ ВВС гп ИАС Репиным был утвержден отчет</w:t>
      </w:r>
    </w:p>
    <w:p w14:paraId="784796A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Отв. Исполнитель к-р 21 ИАП м-р Нестоянов</w:t>
      </w:r>
    </w:p>
    <w:p w14:paraId="6D6C54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ст. политрук, нач-к 3 отд. ГУ ИАС ВВС и м-р Мохов</w:t>
      </w:r>
    </w:p>
    <w:p w14:paraId="6FE9CAC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Вед. инж. 4 отд. НИИ ВВС и к-н Зюскевич</w:t>
      </w:r>
    </w:p>
    <w:p w14:paraId="7715544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Вед. л-к 4 отд. НИИ ВВС КА ст. л. Масляков</w:t>
      </w:r>
    </w:p>
    <w:p w14:paraId="084E870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Объект испытаний: с-т ЛаГГ-3 М-105ПФ постройки з-да № 21 1943 г.</w:t>
      </w:r>
    </w:p>
    <w:p w14:paraId="479FC92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отличие от серийного с-та ЛаГГ-3:</w:t>
      </w:r>
    </w:p>
    <w:p w14:paraId="57F599D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установлена пушка ОКБ-16 калибра 37 мм с б/к 36 патронов вместо пушки ШВАК кал. 20 мм</w:t>
      </w:r>
    </w:p>
    <w:p w14:paraId="041AB1E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УБС с б/з в 170 патронов оставлены без изменений</w:t>
      </w:r>
    </w:p>
    <w:p w14:paraId="0F28CA7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 пушки - 150 кг, темп стрельбы - 240-250 в/мин, вес установки на с-т - 35 кг, вес патрона - 1,6 кг, вес снаряда 0,702 кг. Вес боевомплекта - 63 кг. Общий вес пушечного вооружения - 250 кг.</w:t>
      </w:r>
    </w:p>
    <w:p w14:paraId="2AECB46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Войсковые испытания проведены в 21 иап согласно приказу командования ВВС № 114 от 22 февраля 1942 г. и № 089 от 26 апреля 1943 г.</w:t>
      </w:r>
    </w:p>
    <w:p w14:paraId="55D2174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Полк получил 13 с-тов ЛаГГ-3 с завода № 21 с этими пушками и кроме того Ла-5 21 шт.</w:t>
      </w:r>
    </w:p>
    <w:p w14:paraId="77D3F7A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Летный состав - в основном молодые л-ки, подготовленные в 23 АПс Сейлин</w:t>
      </w:r>
    </w:p>
    <w:p w14:paraId="19D09AF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За период испытаний с 21 апреля по 5 июня 1943 г. выполнено 174 с/в, из которых 71 были боевыми</w:t>
      </w:r>
    </w:p>
    <w:p w14:paraId="72D67CC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Полком уничтожено:</w:t>
      </w:r>
    </w:p>
    <w:p w14:paraId="297EBAB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с-тов противника 12 (Ме-110 - 1, ФВ-189 - 6, Хш-126 -5)</w:t>
      </w:r>
    </w:p>
    <w:p w14:paraId="7DCDA3D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паровозов - 3</w:t>
      </w:r>
    </w:p>
    <w:p w14:paraId="55146DF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а/м - 26</w:t>
      </w:r>
    </w:p>
    <w:p w14:paraId="0BCC63F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ЛаГГ с пушкой сбили 5 с-тов (ФВ-189 -1. Хш-126 - 4)</w:t>
      </w:r>
    </w:p>
    <w:p w14:paraId="3B22F70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уничтоженис с-та противника достаточно 1-2 прямых попаданий снарядов</w:t>
      </w:r>
    </w:p>
    <w:p w14:paraId="476AD52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Испытания были на Калининском фронте в 21 иап 3ВА (аэродромы Старица, Торопа, Равонь, Борки - почва песчаная)</w:t>
      </w:r>
    </w:p>
    <w:p w14:paraId="687F1ED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ЛаГГ-3 ходили под прикрытием Ла-5</w:t>
      </w:r>
    </w:p>
    <w:p w14:paraId="6FCE0AD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Боевое применение: борьба с корректировщиками противника по вызову наземных частей, перехват разведчиков противника, свободный полет (охота), сопровождение штурмовиков Ил-2. Ла-5 применячлись в основном при полетах над территорией противника (перехват и барражирование не дали положительных результатов).</w:t>
      </w:r>
    </w:p>
    <w:p w14:paraId="4E83E9C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Заключение:</w:t>
      </w:r>
    </w:p>
    <w:p w14:paraId="35AC25F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Войсковые испытания с-тов ЛаГГ-3 с 37мм пушкой ОКБ-16 подтвердили эффективность использования истребителей для уничтожения с-тов-бомбардировщиков и корректировщиков противника, а также для действия по наземным целям (ж/д эшелоны, переправы, мотомехколлонны, автотранспорт) при слабой ПВО этих целей</w:t>
      </w:r>
    </w:p>
    <w:p w14:paraId="2839A18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С-ты ЛаГГ-3, вооруженные 37мм пушками, по своим ЛТД уступают современным истребителям Ла-5 и Як-9, поэтому применение их для выполнения боевых задач при противодействии со стороны истребителей противника требует совместных действий с с-тами ла-5 или Як-9 в смешанных боевых порядках.</w:t>
      </w:r>
    </w:p>
    <w:p w14:paraId="45F6198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Пушки ОКБ-16 калтюра 37 мм войсковые испытания на боевое применение выдержали.</w:t>
      </w:r>
    </w:p>
    <w:p w14:paraId="0D3EEC7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Нач. НИИ Лосюков 16 июня, Ком. 3ВА ш=гма Папив, Нач. 4 отд. НИИ Шишкин 6 июня 1943 (757,1).</w:t>
      </w:r>
    </w:p>
    <w:p w14:paraId="4202A4EA" w14:textId="77777777" w:rsidR="00531570" w:rsidRPr="00D03F3E" w:rsidRDefault="00531570" w:rsidP="00D03F3E">
      <w:pPr>
        <w:pStyle w:val="Iauiue"/>
        <w:jc w:val="both"/>
        <w:rPr>
          <w:color w:val="000000" w:themeColor="text1"/>
          <w:sz w:val="16"/>
          <w:szCs w:val="16"/>
        </w:rPr>
      </w:pPr>
    </w:p>
    <w:p w14:paraId="7A7D7F5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июня 1943 в НИИ ВВС закончились испытания Норт Америкен АТ-6С Тексан, которые шли с 21 мая 1943. В испытаниях участвовал командир 6-й бригады полковник Ю. И. Шумов. Общая оценка АТ-6С была.достаточно высокой. В отчете записано: "По технике пилотирования самолет прост, имеет хорошую продольную и боковую устойчивость, позволяет выполнять весь пилотаж, необходимый самолетам истребительного типа: виражи, боевые развороты, перевороты, бочки, иммельманы, петли, пикирование". Мотоустановка была надежной, самолет в целом прост и удобен в эксплуатации. Особо подчеркнули наличие вооружения п оборудования.для слепых и ночных полетов. Весьма цепным сочли то, что компоновка кабины походила па американские истребители, которых в наших ВВС, тогда было немало. "Тексан" годился для тренировки нилотов, обучения воздушной стрельбе. Но вот для подготовки штурманов его сочли непригодным-нет бомбового прицела, бомбосбрасывателя во второй кабине. Не было п радио-полукомпаса, тогда уже стоявшего практически иа всех бомбардировщиках (3457,141).</w:t>
      </w:r>
    </w:p>
    <w:p w14:paraId="3B8C3B99" w14:textId="77777777" w:rsidR="00531570" w:rsidRPr="00D03F3E" w:rsidRDefault="00531570" w:rsidP="00D03F3E">
      <w:pPr>
        <w:pStyle w:val="Iauiue"/>
        <w:jc w:val="both"/>
        <w:rPr>
          <w:color w:val="000000" w:themeColor="text1"/>
          <w:sz w:val="16"/>
          <w:szCs w:val="16"/>
        </w:rPr>
      </w:pPr>
    </w:p>
    <w:p w14:paraId="0DD73F91" w14:textId="77777777" w:rsidR="00B7432C" w:rsidRPr="00D03F3E" w:rsidRDefault="00B7432C"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15AE4F22" w14:textId="77777777" w:rsidR="00B7432C" w:rsidRPr="00D03F3E" w:rsidRDefault="00B7432C" w:rsidP="00D03F3E">
      <w:pPr>
        <w:pStyle w:val="Iauiue"/>
        <w:jc w:val="both"/>
        <w:rPr>
          <w:iCs/>
          <w:color w:val="000000" w:themeColor="text1"/>
          <w:sz w:val="16"/>
          <w:szCs w:val="16"/>
        </w:rPr>
      </w:pPr>
    </w:p>
    <w:p w14:paraId="5B1E7A55" w14:textId="77777777" w:rsidR="00B7432C" w:rsidRPr="00D03F3E"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6 июня 1943 года в адрес Молотова ушла докладная записка за подписью начальника ГБТУ КА генерал-полковника Федоренко. В ней он сообщал, что исследования вопроса установки 85-мм пушки в штатную башню ИС-1 выявили массу проблем. Башня оказалась слишком маленькой для такой системы, работать в ней было бы крайне неудобно. В результате Котин дал команду начать разработку новой башни с диаметром погона 1800 мм. Это означало, что придется переделывать и корпус, удлиняя его на 420 мм. Так родился тот ИС, который мы все хорошо знаем, сборка первой такой машины началась в начале 20-х чисел июня.</w:t>
      </w:r>
    </w:p>
    <w:p w14:paraId="3B47E473" w14:textId="77777777" w:rsidR="00B7432C" w:rsidRPr="00D03F3E"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Что же касается ИС-1, то июнь стал последним месяцем, когда этот танк проходил испытания. Он проехал 724 км, в ходе которых наблюдались все те же проблемы с попаданием грязи и пыли в воздухозаборники. Пройдя в общей сложности 2294 км, танк занял место на заводской площадке рядом с КВ-13 (17688).</w:t>
      </w:r>
    </w:p>
    <w:p w14:paraId="5013D3E3" w14:textId="77777777" w:rsidR="00B7432C" w:rsidRPr="00D03F3E" w:rsidRDefault="00B7432C" w:rsidP="00D03F3E">
      <w:pPr>
        <w:pStyle w:val="12a"/>
        <w:shd w:val="clear" w:color="auto" w:fill="auto"/>
        <w:spacing w:after="0" w:line="240" w:lineRule="auto"/>
        <w:jc w:val="both"/>
        <w:rPr>
          <w:color w:val="000000" w:themeColor="text1"/>
          <w:sz w:val="16"/>
          <w:szCs w:val="16"/>
        </w:rPr>
      </w:pPr>
    </w:p>
    <w:p w14:paraId="270CDDB1"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6 июня 1943 года оба варианта экранов, предназначенных для дополнительной защиты Т-34 прибыли на НИБТ Полигон на испытания, вместе с ними в Кубинке оказался и Цыганов.</w:t>
      </w:r>
    </w:p>
    <w:p w14:paraId="33A198F5"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основу конструкции обоих типов экранов была положена простота изготовления. Подобные экраны можно было изготовлять силами ремонтных мастерских, что упрощало процесс их внедрения. Общий принцип экранов был примерно одинаковый. На корпусе и башне сваркой крепились специальные уголки, к которым, на болтах, прикручивались отдельные звенья экранов. Подобным образом прикрывались корпус и башня, танк закрывался ими по периметру. Между экранами и корпусом танка оставалась воздушная прослойка шириной 150-550 мм.</w:t>
      </w:r>
    </w:p>
    <w:p w14:paraId="5975B7AF"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Несмотря на то, что общая масса экранов превысила 9 тонн, сильно на вращение башни они не повлияли.</w:t>
      </w:r>
    </w:p>
    <w:p w14:paraId="141495C2"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Первый вариант экранировки предполагал использование железобетонных конструкций. Башня прикрывалась шестью отдельными звеньями толщиной 120-150 мм. Для усиления каждое звено имело с боковых сторон металлические косынки. Звенья прикручивались к фермам, а также скреплялись между собой. Похожим образом были изготовлены и узлы экранов корпуса, но их оказалось намного больше - 22 штуки (10 боковых, 6 передних и 6 задних). С точки зрения изготовления такая конструкция выглядела самой простой, но общая масса экранов, включая и крепления, составила почти 9,3 тонны.</w:t>
      </w:r>
    </w:p>
    <w:p w14:paraId="74C1FD81"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Во многом похожим оказался по конструкции и второй вариант экранов. Правда, там количество звеньев башенных экранов составило 9 штук, а корпусных - 20 штук. Каждое звено представляло собой конструкцию из листового железа толщиной 3-4 мм, внутри засыпался песок, а также смолистое вещество, которое его закрепляло. Эта конструкция оказалась еще тяжелее - масса составила 12,76 тонн. Еще одним минусом оказалось то, что экраны корпуса и башни задевали друг за друга, посему круговой обстрел был невозможен.</w:t>
      </w:r>
    </w:p>
    <w:p w14:paraId="51272962"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НИБТ Полигон экранировка прибыла для испытаний обстрелом, но фактически там ограничились изучением конструкции. Несмотря на сильно возросшую массу, скорость поворота башни снизилась не так сильно, как может показаться. Для обычной башни полный оборот в ручном режиме происходил за 2 минуты 20 секунд, а для железобетонной экранировки - 2 минут 42 секунды. Идея съемных сегментов была интересной, но с учетом того, что масса каждого из них варьировалась в пределах 330-700 кг, без кранового оборудования их демонтаж и замена выглядели непростыми. Впрочем, главной проблемой являлась масса. У Т-34 и так с ней имелась беда, а тут лишние 9-13 тонн. Металлические экраны оказались еще тяжелее железобетонных.</w:t>
      </w:r>
    </w:p>
    <w:p w14:paraId="666B879D"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Заключение по экранам оказалось, скажем так, дипломатичным. Совсем экранировку не отрицали, но только для специальных операций. Дипломатическим языком это означало "спасибо, но нет"(20535).</w:t>
      </w:r>
    </w:p>
    <w:p w14:paraId="463E8B45" w14:textId="77777777" w:rsidR="00E024A1" w:rsidRPr="00D03F3E" w:rsidRDefault="00E024A1" w:rsidP="00D03F3E">
      <w:pPr>
        <w:spacing w:after="0" w:line="240" w:lineRule="auto"/>
        <w:jc w:val="both"/>
        <w:rPr>
          <w:rFonts w:ascii="Times New Roman" w:hAnsi="Times New Roman"/>
          <w:color w:val="0070C0"/>
          <w:sz w:val="16"/>
          <w:szCs w:val="16"/>
        </w:rPr>
      </w:pPr>
    </w:p>
    <w:p w14:paraId="23B48994"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600EABA2" w14:textId="77777777" w:rsidR="00531570" w:rsidRPr="00D03F3E" w:rsidRDefault="00531570" w:rsidP="00D03F3E">
      <w:pPr>
        <w:pStyle w:val="Iauiue"/>
        <w:jc w:val="both"/>
        <w:rPr>
          <w:iCs/>
          <w:color w:val="000000" w:themeColor="text1"/>
          <w:sz w:val="16"/>
          <w:szCs w:val="16"/>
        </w:rPr>
      </w:pPr>
    </w:p>
    <w:p w14:paraId="2DDB60E3"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6 июня</w:t>
      </w:r>
      <w:r w:rsidRPr="00D03F3E">
        <w:rPr>
          <w:rFonts w:ascii="Times New Roman" w:hAnsi="Times New Roman"/>
          <w:color w:val="000000" w:themeColor="text1"/>
          <w:sz w:val="16"/>
          <w:szCs w:val="16"/>
        </w:rPr>
        <w:t xml:space="preserve"> в 1943 году утреннее сообщение Совинформбюро:</w:t>
      </w:r>
    </w:p>
    <w:p w14:paraId="5420A1AE"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6 июня на фронте ничего существенного не произошло.</w:t>
      </w:r>
    </w:p>
    <w:p w14:paraId="02E7796A"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разведывательный отряд противника пытался проникнуть в расположение Н-ской части. Группа разведчиков под командованием старшего лейтенанта Иванова, находившаяся в засаде, своевременно заметила немцев. Наши бойцы выждали, пока гитлеровцы подошли на близкое расстояние, а затем открыли ружейно-пулемётный огонь. Уничтожено 30 гитлеровцев, а остальные в беспорядке отступили. Взяты пленные.</w:t>
      </w:r>
    </w:p>
    <w:p w14:paraId="05298BE3"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Балаклеи артиллерийско-миномётным огнём разбиты 4 немецких дзота, наблюдательный пункт, уничтожена миномётная батарея противника и истреблено два взвода немцев. Снайперы Н-ской части уничтожили 42 гитлеровца.</w:t>
      </w:r>
    </w:p>
    <w:p w14:paraId="25E835AC"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наши подразделения уничтожили тяжёлое орудие противника, рассеяли и частью истребили до роты немецкой пехоты. Разведчики Н-ской части переправились на правый берег реки Северный Донец и напали на группу гитлеровцев. В короткой схватке наши бойцы уничтожили 15 немецких солдат и одного офицера. Захватив пленных, 2 миномёта, гранатомёт и несколько винтовок, разведчики вернулись в свою часть.</w:t>
      </w:r>
    </w:p>
    <w:p w14:paraId="585FC66A"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подразделения Н-ской части вели бои местного значения. После артиллерийского налёта на позиции противника наши бойцы атаковали немцев и ворвались в их траншеи. В этом бою уничтожено до 100 гитлеровцев, захвачены орудие, 4 пулемёта, винтовки и склад боеприпасов.</w:t>
      </w:r>
    </w:p>
    <w:p w14:paraId="6D4BB146"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Наша зенитная артиллерия сбила 3 немецких самолёта.</w:t>
      </w:r>
    </w:p>
    <w:p w14:paraId="0BDCCE02"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одном из районов Украины, пустили под откос немецкий воинский эшелон с двойной тягой, шедший к линии фронта. Уничтожено 2 паровоза, 36 вагонов с военными грузами, 3 цистерны с горючим и 2 классных вагона. Другой отряд украинских партизан атаковал немецкий гарнизон в населённомпункте и уничтожил несколько десятков гитлеровцев. 80 немецких солдат перешли на сторону партизан.</w:t>
      </w:r>
    </w:p>
    <w:p w14:paraId="30D7D4B4"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 одном из участков Западного фронта на сторону Красной Армии перешёл ефрейтор 296 немецкой пехотной дивизии Пауль Н. Перебежчик рассказал: «С самого начала войны немецкая печать уверяет нас в том, что у русских не хватает вооружения. Газеты всё время пишут, что 60 процентов всей советскойпромышленности захвачено немцами. Солдаты уже давно убедились в том, что всё это враньё. Русские танки в огромном количестве появляются на поле боя, а советская авиация наносит нам тяжёлые удары. Особенно большой урон нашим армейским тылам нанесла русская бомбардировочная авиация за последнее время. B результате налётана Брянск сгорел крупный склад армейского значения. На станции бомбы попали в железнодорожный эшелон с войсками и продовольственный склад. В апреле я ездил в Германию. В связи с частыми воздушными налётами на немецкие города повсеместно отмечается усталость и рост недовольства войной. В Мюнхене во время </w:t>
      </w:r>
      <w:r w:rsidRPr="00D03F3E">
        <w:rPr>
          <w:rFonts w:ascii="Times New Roman" w:hAnsi="Times New Roman"/>
          <w:color w:val="000000" w:themeColor="text1"/>
          <w:sz w:val="16"/>
          <w:szCs w:val="16"/>
        </w:rPr>
        <w:lastRenderedPageBreak/>
        <w:t>одного воздушного налёта, очевидцем которого мне пришлось быть, английские бомбардировщики уничтожили огромный военный склад медикаментов. В Штутгарте полностью разрушено здание городского вокзала. Крупные разрушения я наблюдал также в Дюссельдорфе».</w:t>
      </w:r>
    </w:p>
    <w:p w14:paraId="6307DD26"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отбили многочисленные атаки итало-немецких войск на участках Фоча—Плевлье и Никшич — Яворак. B боях с партизанами оккупанты понесли большие потери. В Словении, недалеко от одного из рудников, партизаны истребили 60 немцев и захватили большое количество боеприпасов. При налёте на одну железнодорожную станцию партизаны уничтожили 25 грузовых автомашин, 48 вагонов с военным имуществом, в том числе 2 вагона с радиостанциями. На участке железной дороги Любляна—Зидани Мост пущен под откос немецкий эшелон с грузом.» (14914).</w:t>
      </w:r>
    </w:p>
    <w:p w14:paraId="3FBBD9E4" w14:textId="77777777" w:rsidR="009D3D3A" w:rsidRPr="00D03F3E" w:rsidRDefault="009D3D3A" w:rsidP="00D03F3E">
      <w:pPr>
        <w:spacing w:after="0" w:line="240" w:lineRule="auto"/>
        <w:jc w:val="both"/>
        <w:rPr>
          <w:rFonts w:ascii="Times New Roman" w:hAnsi="Times New Roman"/>
          <w:color w:val="000000" w:themeColor="text1"/>
          <w:sz w:val="16"/>
          <w:szCs w:val="16"/>
        </w:rPr>
      </w:pPr>
    </w:p>
    <w:p w14:paraId="24A2C690"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6 июня</w:t>
      </w:r>
      <w:r w:rsidRPr="00D03F3E">
        <w:rPr>
          <w:rFonts w:ascii="Times New Roman" w:hAnsi="Times New Roman"/>
          <w:color w:val="000000" w:themeColor="text1"/>
          <w:sz w:val="16"/>
          <w:szCs w:val="16"/>
        </w:rPr>
        <w:t xml:space="preserve"> в 1943 году вечернее сообщение Совинформбюро:</w:t>
      </w:r>
    </w:p>
    <w:p w14:paraId="13A847C6"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6 июня на фронте существенных изменений не произошло.</w:t>
      </w:r>
    </w:p>
    <w:p w14:paraId="39D63904"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30 мая по 5 июня включительно, в воздушных боях, на аэродромах противника, огнём зенитной артиллерии и войск уничтожено 752 немецких самолёта. Наши потери за это же время — 212 самолётов.</w:t>
      </w:r>
    </w:p>
    <w:p w14:paraId="6A56303B"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июня частями нашей авиации на различных участках фронта уничтожено или повреждено не менее 30 автомашин с войсками и грузами, взорваны склад боеприпасов и 3 склада с горючим, подавлен огонь 6 батарей полевой и зенитной артиллерии, разбито и сожжено несколько железнодорожных эшелонов, потоплены 4 самоходные десантные баржи и повреждено три сторожевых катера противника.</w:t>
      </w:r>
    </w:p>
    <w:p w14:paraId="07854937"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уничтожили до 300 немецких солдат и офицеров, разбили 10 пулемётов, подавили огонь 4 артиллерийских и 2 миномётных батарей противника. На одном участке разведывательный отряд Н-ской части атаковал позиции противника. Наши бойцы ворвались во вражеские траншеи и истребили до 100 гитлеровцев. Выполнив поставленную перед ними задачу и захватив пленных, разведчики вернулись в свою часть.</w:t>
      </w:r>
    </w:p>
    <w:p w14:paraId="1F56672C"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районе Севска противник, стремясь вернуть потерянные накануне позиции, силами пехоты и 7 танков предпринял несколько контратак. Наши подразделения отбили все контратаки немцев и прочно удерживают занятые позиции. В бесплодных атаках противник потерял только убитыми до 200 солдат и офицеров. Нашими бойцами подбито 4 немецких танка, захвачены орудие, несколько пулемётов, автоматы и винтовки. Взяты пленные.</w:t>
      </w:r>
    </w:p>
    <w:p w14:paraId="50C0D28F"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наши части артиллерийско-миномётным огнём уничтожили до роты немецкой пехоты, 5 автомашин и 11 повозок с грузами, разрушили 3 дзота и 12 наблюдательных пункта противника. Снайперы Н-ской части истребили 40 гитлеровцев.</w:t>
      </w:r>
    </w:p>
    <w:p w14:paraId="105A8E0C"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подразделения уничтожили более 100 немецких солдат и офицеров. Огнём артиллерии и миномётов взорван склад боеприпасов противника, уничтожено 6 автомашин и 20 повозок с грузами, разрушено 6 вражеских дзотов и 3 наблюдательных пункта. Нашей авиацией сбито в воздушных боях 22 немецких самолёта. Кроме того, 5 самолётов противника уничтожено огнём зенитной артиллерии.</w:t>
      </w:r>
    </w:p>
    <w:p w14:paraId="7D080A84"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Пинской области, совершил нападение на немецкий гарнизон, расположенный в крупном населённом пункте. Врезультате упорного боя партизаны уничтожили 160 вражеских солдат и офицеров, захватили 4 миномёта, 17 пулемётов, свыше 100 винтовок и 20 тысяч патронов. Группа полесских партизан подорвала на минах немецкий эшелон, следовавший на фронт. Разбиты паровоз, 2 платформы с автомашинами и вагон с солдатами. При перестрелке и во время крушения убито до 50 гитлеровцев. Партизаны отряда «Смерть фашизму» уничтожили немецкий конвой и освободили мирных советских жителей, которых гитлеровцы угоняли на каторжные работы в Германию.</w:t>
      </w:r>
    </w:p>
    <w:p w14:paraId="388877F1"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солдат 161 немецкой пехотной дивизии Конрад В. рассказал: «В нашей роте есть небольшая группа солдат, мечтающих о звании унтер-офицера. Для этих карьеристов война стала профессией. Они надеются пограбить, нажиться и разбогатеть. Остальные солдаты с тревогой и напряжением ждут предстоящих сражений. Мои товарищи настроены очень мрачно. Один из них говорил мне: «Под Сталинградом русские устроили нам громадный «котёл», в котором погибла армия фельдмаршала Паулюса. Германия уже наполовину проиграла войну. Мне бы не хотелось заплатить своей шкурой за этот проигрыш». Удручающе действуют на солдат письма о бомбардировках городов Германии».</w:t>
      </w:r>
    </w:p>
    <w:p w14:paraId="666E3A7B"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Близ Люблина (Польша) партизанский отряд имени Мицкевича вёл ожесточённые бои с немецкой карательной экспедицией и нанёс противнику тяжёлые потери. Близ Жирардова патриоты пустили под откос два немецких эшелона. При крушении одного поезда было убито 20 немецких офицеров и большое количество солдат. В другом районе партизаны ружейно-пулемётным огнём сбили 3 немецких самолёта.» (14914).</w:t>
      </w:r>
    </w:p>
    <w:p w14:paraId="2DC66A09" w14:textId="77777777" w:rsidR="009D3D3A" w:rsidRPr="00D03F3E" w:rsidRDefault="009D3D3A" w:rsidP="00D03F3E">
      <w:pPr>
        <w:spacing w:after="0" w:line="240" w:lineRule="auto"/>
        <w:jc w:val="both"/>
        <w:rPr>
          <w:rFonts w:ascii="Times New Roman" w:hAnsi="Times New Roman"/>
          <w:color w:val="000000" w:themeColor="text1"/>
          <w:sz w:val="16"/>
          <w:szCs w:val="16"/>
        </w:rPr>
      </w:pPr>
    </w:p>
    <w:p w14:paraId="2FDE9D95" w14:textId="77777777" w:rsidR="009D3D3A" w:rsidRPr="00D03F3E" w:rsidRDefault="009D3D3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6 июня</w:t>
      </w:r>
      <w:r w:rsidRPr="00D03F3E">
        <w:rPr>
          <w:rFonts w:ascii="Times New Roman" w:hAnsi="Times New Roman"/>
          <w:color w:val="000000" w:themeColor="text1"/>
          <w:sz w:val="16"/>
          <w:szCs w:val="16"/>
        </w:rPr>
        <w:t xml:space="preserve"> в 1943 году старший лейтенант А.К.Горовец в одном воздушном бою сбивает девять самолетов противника (14914).</w:t>
      </w:r>
    </w:p>
    <w:p w14:paraId="0A502D75" w14:textId="77777777" w:rsidR="009D3D3A" w:rsidRPr="00D03F3E" w:rsidRDefault="009D3D3A" w:rsidP="00D03F3E">
      <w:pPr>
        <w:spacing w:after="0" w:line="240" w:lineRule="auto"/>
        <w:jc w:val="both"/>
        <w:rPr>
          <w:rFonts w:ascii="Times New Roman" w:hAnsi="Times New Roman"/>
          <w:color w:val="000000" w:themeColor="text1"/>
          <w:sz w:val="16"/>
          <w:szCs w:val="16"/>
        </w:rPr>
      </w:pPr>
    </w:p>
    <w:p w14:paraId="40EC8A3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и 7 июня 1943 фактически всего за два дня боев безвозвратные потери воздушных армий при ударах по аэродромам составили 70 самолетов Ил-2.</w:t>
      </w:r>
    </w:p>
    <w:p w14:paraId="4D7E457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отчетам штабов штурмовых авиаполков, 9 Ил-2 были сбиты истребителями Люфтваффе, 8 - огнем зенитной артиллерии, 36 - не вернулось с боевого задания и 17 - списаны после вынужденных посадок.</w:t>
      </w:r>
    </w:p>
    <w:p w14:paraId="003C44B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общей сложности с боевого задания не возвратилось 52 летчика-штурмовика и 41 воздушный стрелок. Основную массу боевых потерь - 52% составили молодые летчики, которые имели небольшой боевой опыт или не имели его вовсе, и без устойчивых навыков боевого применения Ил-2. Остальные 48% потерь пришлись на летчиков с хорошей и выше летно-боевой подготовкой, в том числе: 21% - на командный состав полков (командиры полков, штурманы полков, командиры эскадрилий и звеньев), то есть, на очень опытных летчиков, и 27% - на старших летчиков с достаточным опытом войны.</w:t>
      </w:r>
    </w:p>
    <w:p w14:paraId="23241F4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Ставка ВГК своевременно раскрыла план летнего немецкого наступления. Уже 12 апреля было принято решение измотать противника активной глубоко эшелонированной обороной, обескровить его ударные группировки и резервы, а затем, перейдя в контрнаступление, разгромить их.</w:t>
      </w:r>
    </w:p>
    <w:p w14:paraId="3BD1C77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Делался вывод, что поскольку немецкая пехота в сравнении с прошлыми годами значительно ослабла и не обладает прежними боевыми качествами, противник основную ставку сделает на массированное применение танков и авиации.</w:t>
      </w:r>
    </w:p>
    <w:p w14:paraId="79DEA13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учетом этого было решено в период с 6 по 16 мая включительно активными действиями авиации на всем протяжении центрального и смежных с ним участках фронта уничтожить немецкую авиацию на аэродромах и в воздухе, сорвать железнодорожные перевозки и дезорганизовать автодвижение. Предполагалось, что в результате удастся нарушить планомерную подготовку противника к предстоящим боям и облегчить завоевание господства в воздухе в первого дня немецкого наступления.</w:t>
      </w:r>
    </w:p>
    <w:p w14:paraId="6CDC55A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операции намечалось привлечь фронтовую авиацию Западного, Брянского, Центрального, Воронежского, Юго-Западного и Южного фронтов.</w:t>
      </w:r>
    </w:p>
    <w:p w14:paraId="5BD0012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Основную тяжесть боев в этих операциях вынесли на себе штурмовики Ил-2, которые действовали в составе 1 и 2-й гвардейских, 224, 233, 266, 292, 290 и 299-й штурмовых авиадивизий.</w:t>
      </w:r>
    </w:p>
    <w:p w14:paraId="55C9024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Считается, что эта операция отличалась не только большим размахом и решительностью целей, но и высокой эффективностью. К сожалению, это не совсем так.</w:t>
      </w:r>
    </w:p>
    <w:p w14:paraId="1B68E76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Следует признать, нашим воздушным армиям не удалось разгромить немецкую авиацию на аэродромах базирования, как того требовала Ставка ВГК. Намеченные цели операций достигнуты не были.</w:t>
      </w:r>
    </w:p>
    <w:p w14:paraId="22817E0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оказалось, причинами больших потерь и невысокой результативности ударов ВВС КА являлись главным образом серьезные недостатки в работе авиационных штабов всех уровней.</w:t>
      </w:r>
    </w:p>
    <w:p w14:paraId="5CCCD42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Отдаваемые приказы и распоряжения зачастую не в полной мере учитывали сложившуюся обстановку, уровень защищенности целей и боевые возможности авиационных частей и соединений, не подкреплялись организаторской работой по налаживанию взаимодействия родов авиации и обеспечению их действий всем комплексом обязательных подготовительных мероприятий. В очередной раз выявилась слабость нашей истребительной авиации, которая все еще не могла эффективно противодействовать истребителям Люфтваффе. Именно по этим причинам в боевых вылетах на аэродромы противника бесследно "терялись" целые группы Ил-2.</w:t>
      </w:r>
    </w:p>
    <w:p w14:paraId="38F4589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Например, из вылетавших 6 мая на боевое задание 16 Ил-2 от 41-го шап 299-й шад на свой аэродром вернулся только один экипаж - капитан Федоров с воздушным стрелком Исаевым. Их штурмовик имел многочисленные пробоины, а сами воины были тяжело ранены. Розыск пропавших экипажей позволил установить местонахождение еще двух экипажей.</w:t>
      </w:r>
    </w:p>
    <w:p w14:paraId="10F7E3C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Федоров доложил, что на подходе к аэродрому Орел-ГВФ штурмовики были обстреляны сильным огнем зенитной артиллерии, расположенной на окраине города и в районе аэродрома. На выходе из атаки группы растянулись - ведомые, в основном молодые летчики, не смогли удержаться в строю. Пока ведущие сбрасывали газ, а ведомые экипажи подтягивались, обе группы были атакованы истребителями Люфтваффе. В оборонительный круг штурмовики встать не успели, так как были "расколоты" стремительной атакой немецких пилотов. Бой велся разрозненно и неорганизованно, отбивались, кто как мог. Своих истребителей прикрытия в районе боя капитан Федоров не наблюдал.</w:t>
      </w:r>
    </w:p>
    <w:p w14:paraId="10E9853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показало расследование, истребители сопровождения от 896-го иап 286-й иад - две группы по 8 Як-1, вопреки инструкции находились со значительным превышением (на 1000-1200 м) над штурмовиками и сзади на 800 м, а с началом обстрела зенитной артиллерией в районе цели поднялись еще выше. В результате, когда экипажи 41-го шап пошли в атаку, истребители потеряли их из виду и найти больше не смогли.</w:t>
      </w:r>
    </w:p>
    <w:p w14:paraId="69A731A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мая из 12 экипажей Ил-2 от 58-го и 79-го гвардейских штурмовых авиаполков 2-й гшад, которые вылетали для нанесения удара по аэродрому Хмелевая, в живых остался только один экипаж: капитан Паршин и воздушный стрелок ст. сержант Матвеев. Их самолет был подбит истребителями противника и при вынужденной посадке в районе Новосиль полностью разбит.</w:t>
      </w:r>
    </w:p>
    <w:p w14:paraId="4E284B0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Оказалось, что группы потеряли ориентировку, сбились с курса и проскочили мимо аэродрома Хмелевая. В результате 6 Ил-2 от 58-го гшап (ведущий лейтенант Минга- лев) атаковали аэродром Орел-Центральный, а 6 Ил-2 от 79-го гшап (ведущий капитан Паршин) - аэродром Хмелевая, как этого требовало задание. В свою </w:t>
      </w:r>
      <w:r w:rsidRPr="00D03F3E">
        <w:rPr>
          <w:rFonts w:ascii="Times New Roman" w:hAnsi="Times New Roman"/>
          <w:color w:val="000000" w:themeColor="text1"/>
          <w:sz w:val="16"/>
          <w:szCs w:val="16"/>
        </w:rPr>
        <w:lastRenderedPageBreak/>
        <w:t>очередь, истребители сопровождения при первых же залпах зенитной артиллерии запаниковали и начали шарахаться в разные стороны, пытаясь спрятаться в облачность. Штурмовики над аэродромами оказались без прикрытия.</w:t>
      </w:r>
    </w:p>
    <w:p w14:paraId="7AD40FD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итоге, "будучи оставленными сопровождающими истребителями, ...штурмовики по одиночке и парами были уничтожены истребителями противника в воздухе при подходе к цели и уходе от нее..."</w:t>
      </w:r>
    </w:p>
    <w:p w14:paraId="34703D9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тем в тех случаях, когда боевой вылет готовился должным образом, то и результаты были высокими. Наиболее показательным в этом плане является удар штурмовиков 673-го шап 266-й шад по аэродрому Рогань 6 мая.</w:t>
      </w:r>
    </w:p>
    <w:p w14:paraId="50F884C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подготовке к вылету экипажи изучили фотопланшет аэродрома по состоянию на 17.55 5 мая. К этому времени на аэродроме находилось 107 истребителей типа Bf 109 и Fw 190. Основываясь на этих данных, командир полка капитан Матнаков провел проигрыш полета и подробно указал маневр каждого экипажа, порядок выхода из атаки и сбор группы после атаки.</w:t>
      </w:r>
    </w:p>
    <w:p w14:paraId="690AB0D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Маршрут полета был выбран таким образом, чтобы пересечь линию фронта в районе без густой сети дорог, без населенных пунктов и аэродромов противника. Это исключало наличие большого количества постов ВНОС и огневых точек зенитной артиллерии.</w:t>
      </w:r>
    </w:p>
    <w:p w14:paraId="5A2F0D2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Первая группа Ил-2 (ведущий капитан Елисеев) взлетела в 4.43 и следом за ней через 2 минуты поднялась в воздух вторая группа (ведущий мл. лейтенант Александров). Несмотря на предрассветные сумерки, местный туман и дымку, взлет и сбор групп </w:t>
      </w:r>
    </w:p>
    <w:p w14:paraId="5A199F3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прошел, можно сказать, образцово. Над аэродромом базирования истребителей Уразо- во к штурмовикам пристроились 18 Ла-5 от 240-го и 193-го иап 302-й иад.</w:t>
      </w:r>
    </w:p>
    <w:p w14:paraId="23FCC97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 доходя до аэродрома 10-12 км, экипажи Ил-2 сбавили газ и на приглушенных моторах планировали к цели до высоты 1150 м со стороны солнца. К аэродрому штурмовики подошли в 5.20 и сходу парами атаковали скопления немецких самолетов на его западной и южной окраинах. Каждая пара вначале обстреляла цели из PC и пушек, и затем с высоты 600-400 м сбросили бомбы. После бомбометания экипажи расстреливали из пушек и пулеметов самолеты и позиции немецких зенитчиков.</w:t>
      </w:r>
    </w:p>
    <w:p w14:paraId="33CA53B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Отработав по цели, штурмовики собрались над лесным массивом Мохначи и плотной группой проследовали на свой аэродром.</w:t>
      </w:r>
    </w:p>
    <w:p w14:paraId="73FB749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подходе к аэродрому Рогань, в ходе атаки и на отходе от него немцы вели довольно слабый зенитный огонь, который был к тому же неорганизованным и неточным (расчетам пришлось вести огонь против солнца). Тем не менее, от огня зенитной артиллерии три Ил-2 получили небольшие повреждения.</w:t>
      </w:r>
    </w:p>
    <w:p w14:paraId="10B5AE0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докладам экипажей штурмовиков и истребителей прикрытия на аэродроме Рогань было уничтожено и повреждено до 30 самолетов Люфтваффе, создано 18 очагов пожаров, подавлен огонь 8 точек зенитной артиллерии. Фоторазведка аэродрома Ро- Ненецкие эшелоны, гань показала, что безвозвратные потери разбитые Люфтваффе могли составить около 6 истре- штурмовиками Ил-2 бителей. В целом это неплохой результат, если учесть, что с нашей стороны не было ни одной потери Ил-2.</w:t>
      </w:r>
    </w:p>
    <w:p w14:paraId="24E1700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Удары с целью срыва железнодорожных перевозок и дезорганизации автомобильного движения предусматривались на протяжении 10 суток, начиная с 6 мая.</w:t>
      </w:r>
    </w:p>
    <w:p w14:paraId="779456B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 каких результатов можно добиться даже минимальными силами, показал удар, нанесенный 26 января 1943 г. парой Ил-2 от 7-го гшап в составе лейтенанта Смирнова и мл. лейтенанта Слепова по станции Малороссийская.</w:t>
      </w:r>
    </w:p>
    <w:p w14:paraId="10CFD34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Выполняя в сложных метеоусловиях задачу по поиску ж.д. составов противника в районе Ставрополь, Тихорецк и Кавказская, летчики обнаружили и атаковали на ст. Малороссийская 4 эшелона. На станции возникли сильные взрывы и пожары. Малороссийская горела так, что на обратном пути летчики, из-за густого дыма не смогли рассмотреть станцию...</w:t>
      </w:r>
    </w:p>
    <w:p w14:paraId="0FE9C73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Эффективность удара Смирнова и Слепова была подтверждена специальной комиссией 4-й ВА, которая работала на ст. Малороссийская после ее освобождения. Установлено, что на станции сгорели один эшелон с горючим, один с танками и два с боеприпасами. Путевое хозяйство было настолько сильно разрушено, что немцы не смогли восстановить движение, вплоть до освобождения станции нашими войсками - за четверо суток ни один эшелон не проследовал в сторону Тихорецка. Много эшелонов застряло на перегонах. Красноармейцам достались богатые трофеи...</w:t>
      </w:r>
    </w:p>
    <w:p w14:paraId="168CD3E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приказе от 4 мая 1943 г. Верховный главнокомандующий И. В. Сталин поставил грамотные действия Смирнова и Слепова в пример всему личному составу ВВС Красной Армии.</w:t>
      </w:r>
    </w:p>
    <w:p w14:paraId="33A980C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Отметим, что к этому времени Слепов уже погиб, а Смирнов - сбит зенитной артиллерией, после падения самолета остался жив, пытался перейти фронт, но попал в плен, пройдя несколько концлагерей, бежал и затем партизанил в Чехословакии. Боевыми наградами за удар по Малороссийской никто из них награжден не был...</w:t>
      </w:r>
    </w:p>
    <w:p w14:paraId="08BF5AC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ударов на коммуникациях противника в каждой воздушной армии выделялось по одному штурмовому и истребительному авиаполку, которые должны были действовать небольшими группами способом "свободной охоты".</w:t>
      </w:r>
    </w:p>
    <w:p w14:paraId="3009FBA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7 мая пара Ил-2-"охотников" от 617-го шап 291 -й шад в составе комэска лейтенанта Прошкина (воздушный стрелок старшина Сапиев) и командир звена мл. лейтенанта Алексухина (воздушный стрелок мл. сер- </w:t>
      </w:r>
    </w:p>
    <w:p w14:paraId="0A08F9F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жант Апухин) в 4.37 вылетела на свободную "охоту" вдоль железной дороги на участке Сумы-Белополье. Экипажи шли по заранее рассчитанному маршруту на высоте 3-5 м. Линию фронта пересекли над лесом. Дальнейший полет проходил с использованием оврагов вдали населенных пунктов. Примерно в 5.00-5.05 при входе на ж.д. ст. Амбары был обнаружен эшелон в составе 42 крытых вагонов с войсками.</w:t>
      </w:r>
    </w:p>
    <w:p w14:paraId="156A0B3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Первая атака была выполнена по паровозу под углом к составу 30° с выскакиванием на высоту 100-120 м на удалении от эшелона 2-3 км. Ведущий пары Ил-2 лейтенант Прошкин атаковал паровоз бомбами ФАБ-50, а ведомый мл .лейтенант Алексухин обстрелял паровоз из стрелково-пушечного вооружения. Паровоз окутался паром и остановился.</w:t>
      </w:r>
    </w:p>
    <w:p w14:paraId="203DF7D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втором заходе свои ФАБ-50 на вагоны из состава эшелона сбросил Алексухин, а Прошкин - огнем из пушек и PC подавил огневые точки МЗА, расположенные на открытых платформах в составе эшелона.</w:t>
      </w:r>
    </w:p>
    <w:p w14:paraId="0459639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6 последующих атак эшелона выполнялись без противодействия противника. В результате, кроме паровоза, получили различные повреждения около 30 вагонов, из которых часть загорелись.</w:t>
      </w:r>
    </w:p>
    <w:p w14:paraId="744EA76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Утром следующего дня эти же экипажи, "охотясь" вдоль дороги Золочев-Готня, в 5.10 обнаружили в 2-3 км от ст. Золочев эшелон из 50 вагонов (30 крытых вагонов, 10 открытых платформ, 10 цистерн). В первом заходе Прошкин подавил огонь огневых точек МЗА, расположенных на открытых платформах. В это время Алексухин, находясь на удалении от ведущего на 300-400 м, бомбардировал головную часть эшелона бомбами.</w:t>
      </w:r>
    </w:p>
    <w:p w14:paraId="08798E9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летчики выполнили по 5 заходов каждый. Прямым попаданием PC был поврежден паровоз, подожжены два крытых вагона и груз на открытых платформах. Эшелон разорвался на две части, из которых хвостовая часть ушла под уклон в сторону Золочева. От огня МЗА оба Ил-2 получили повреждения.</w:t>
      </w:r>
    </w:p>
    <w:p w14:paraId="3A60CF5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Вечером 8 мая Прошкин и Алексухин вновь в поиске. На это раз в районе южнее Готня, Грайворон, Б. Писаревка. Взлет был выполнен в 19.30. До линии фронта экипажи шли на высоте 5-10 м. После перелета линии фронта с наступлением темноты высота полета была увеличена до 20-25 м. Поиск подходящей цели продолжался около получаса. В районе Грайворон удалось обнаружить скопление автомашин до 70 единиц. Выходя в атаку, примерно в 5 км от Грайворон экипажи "по ходу дела" обстреляли из пулеметов и пушек две грузовых автомашины. Результат экипажи не наблюдали. </w:t>
      </w:r>
    </w:p>
    <w:p w14:paraId="2EFE055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Цель поражена успешно Непосредственно по скоплению автомашин Прошкин и Алексухин выполнили по четыре захода каждый. В первом заходе выполнен пуск PC и стрельба из пушек и пулеметов. Во втором заходе - сброшены все бомбы и произведен обстрел целей из стрел- ково-пушечного вооружения. В последующих заходах применялись только пушки и пулеметы.</w:t>
      </w:r>
    </w:p>
    <w:p w14:paraId="621F5C7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докладу экипажей, уже после второго захода цель была окутана дымом и огнем так, что отдельные автомашины едва просматривались. Над целью интенсивно "работала" МЗА противника, но все обошлось - Ил-2 получили лишь незначительные повреждения.</w:t>
      </w:r>
    </w:p>
    <w:p w14:paraId="682BA2E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9 мая от 299-го шап 290-й шад на "охоту" вылетало три пары Ил-2 (ведущие капитан Сотников и младшие лейтенанты Иванов и Обухов), которые уничтожали эшелоны на участках Барвенково-Лозовая и Лозовая-Беляевка. Прямыми попаданиями PC и бомбами летчики повредили один и уничтожили пять паровозов, сожгли один эшелон полностью и подожгли 10 вагонов. Кроме того, штурмовики атаковали автоколонну в движении и уничтожили около пяти автомашин.</w:t>
      </w:r>
    </w:p>
    <w:p w14:paraId="6D15C8B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мая сержанты Н.Смирнов и А.Смирнов из 6-го гшап 3-й ВА у разъезда Власье обнаружили и атаковали два железнодорожных эшелона. Первая атака производилась со стороны солнца, последующие - с разных направлений. В результате трех атак поврежден паровоз и разбиты два вагона и две платформы с автомашинами. После посадки "охотников", по их данным, для повторной атаки была выслана группа ст. лейтенанта Феофанова (4 Ил-2), которой удалось повредить шесть крытых вагонов и семь платформ с автомашинами.</w:t>
      </w:r>
    </w:p>
    <w:p w14:paraId="77C303C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Последующие события показали, что активные действия ВВС КА по срыву железнодорожных и автомобильных перевозок несколько затормозили сосредоточение немецких войск в районе Курского выступа, что дало возможность войскам Красной Армии основательно врыться в землю.</w:t>
      </w:r>
    </w:p>
    <w:p w14:paraId="0F74D2B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Здесь следует сказать, что командование ВВС КА и воздушных армий должных выводов из опыта боев в мае все же не сделало.</w:t>
      </w:r>
    </w:p>
    <w:p w14:paraId="0FC4A63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Мероприятия по совершенствованию системы организации боевых действий и взаимодействия истребителей и штурмовиков не были выделены в особо важные задачи учебно-боевой подготовки частей и соединений (12020).</w:t>
      </w:r>
    </w:p>
    <w:p w14:paraId="0628C5B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63680BA"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6 июня 1943 днем бомбардировщики В</w:t>
      </w:r>
      <w:r w:rsidRPr="00D03F3E">
        <w:rPr>
          <w:rFonts w:ascii="Times New Roman" w:hAnsi="Times New Roman"/>
          <w:color w:val="0070C0"/>
          <w:sz w:val="16"/>
          <w:szCs w:val="16"/>
        </w:rPr>
        <w:noBreakHyphen/>
        <w:t>25 из 15</w:t>
      </w:r>
      <w:r w:rsidRPr="00D03F3E">
        <w:rPr>
          <w:rFonts w:ascii="Times New Roman" w:hAnsi="Times New Roman"/>
          <w:color w:val="0070C0"/>
          <w:sz w:val="16"/>
          <w:szCs w:val="16"/>
        </w:rPr>
        <w:noBreakHyphen/>
        <w:t>го гв. бап АДД предприняли новый налет на аэродром Сещинская. Хотя советской стороной он был признан эффективным, фактически никаких серьезных повреждений аэродром не получил, а экипажи KG55 «Грайф» спокойно продолжали подготовку к третьему массированному налету на Горький.</w:t>
      </w:r>
    </w:p>
    <w:p w14:paraId="63F54073"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Между тем самолеты</w:t>
      </w:r>
      <w:r w:rsidRPr="00D03F3E">
        <w:rPr>
          <w:rFonts w:ascii="Times New Roman" w:hAnsi="Times New Roman"/>
          <w:color w:val="0070C0"/>
          <w:sz w:val="16"/>
          <w:szCs w:val="16"/>
        </w:rPr>
        <w:noBreakHyphen/>
        <w:t>разведчики Пе</w:t>
      </w:r>
      <w:r w:rsidRPr="00D03F3E">
        <w:rPr>
          <w:rFonts w:ascii="Times New Roman" w:hAnsi="Times New Roman"/>
          <w:color w:val="0070C0"/>
          <w:sz w:val="16"/>
          <w:szCs w:val="16"/>
        </w:rPr>
        <w:noBreakHyphen/>
        <w:t>2 целыми днями лихорадочно бороздили воздушное пространство противника, выискивая скопления Не</w:t>
      </w:r>
      <w:r w:rsidRPr="00D03F3E">
        <w:rPr>
          <w:rFonts w:ascii="Times New Roman" w:hAnsi="Times New Roman"/>
          <w:color w:val="0070C0"/>
          <w:sz w:val="16"/>
          <w:szCs w:val="16"/>
        </w:rPr>
        <w:noBreakHyphen/>
        <w:t>111 и Ju</w:t>
      </w:r>
      <w:r w:rsidRPr="00D03F3E">
        <w:rPr>
          <w:rFonts w:ascii="Times New Roman" w:hAnsi="Times New Roman"/>
          <w:color w:val="0070C0"/>
          <w:sz w:val="16"/>
          <w:szCs w:val="16"/>
        </w:rPr>
        <w:noBreakHyphen/>
        <w:t xml:space="preserve">88. В результате, сопоставив все полученные аэрофотоснимки, командование советских ВВС сделало ошеломляющее открытие. Бомбардировщики, совершавшие ночные </w:t>
      </w:r>
      <w:r w:rsidRPr="00D03F3E">
        <w:rPr>
          <w:rFonts w:ascii="Times New Roman" w:hAnsi="Times New Roman"/>
          <w:color w:val="0070C0"/>
          <w:sz w:val="16"/>
          <w:szCs w:val="16"/>
        </w:rPr>
        <w:lastRenderedPageBreak/>
        <w:t>рейды в Поволжье, базируются не где</w:t>
      </w:r>
      <w:r w:rsidRPr="00D03F3E">
        <w:rPr>
          <w:rFonts w:ascii="Times New Roman" w:hAnsi="Times New Roman"/>
          <w:color w:val="0070C0"/>
          <w:sz w:val="16"/>
          <w:szCs w:val="16"/>
        </w:rPr>
        <w:noBreakHyphen/>
        <w:t>то в глубоком тылу, а на Орловском выступе, то есть под самым носом у штурмовиков 1</w:t>
      </w:r>
      <w:r w:rsidRPr="00D03F3E">
        <w:rPr>
          <w:rFonts w:ascii="Times New Roman" w:hAnsi="Times New Roman"/>
          <w:color w:val="0070C0"/>
          <w:sz w:val="16"/>
          <w:szCs w:val="16"/>
        </w:rPr>
        <w:noBreakHyphen/>
        <w:t>й и 15</w:t>
      </w:r>
      <w:r w:rsidRPr="00D03F3E">
        <w:rPr>
          <w:rFonts w:ascii="Times New Roman" w:hAnsi="Times New Roman"/>
          <w:color w:val="0070C0"/>
          <w:sz w:val="16"/>
          <w:szCs w:val="16"/>
        </w:rPr>
        <w:noBreakHyphen/>
        <w:t>й воздушных армий! Больше всего «стервятников» обнаружилось на аэродромах Сещинская, Орел</w:t>
      </w:r>
      <w:r w:rsidRPr="00D03F3E">
        <w:rPr>
          <w:rFonts w:ascii="Times New Roman" w:hAnsi="Times New Roman"/>
          <w:color w:val="0070C0"/>
          <w:sz w:val="16"/>
          <w:szCs w:val="16"/>
        </w:rPr>
        <w:noBreakHyphen/>
        <w:t>Западный и Брянск. Характерно, что сосредоточение «Хейнкелей</w:t>
      </w:r>
      <w:r w:rsidRPr="00D03F3E">
        <w:rPr>
          <w:rFonts w:ascii="Times New Roman" w:hAnsi="Times New Roman"/>
          <w:color w:val="0070C0"/>
          <w:sz w:val="16"/>
          <w:szCs w:val="16"/>
        </w:rPr>
        <w:noBreakHyphen/>
        <w:t>111» в Олсуфьево, где в почти полном составе базировалась KG27 «Бёльке», при этом выявлено не было (23199).</w:t>
      </w:r>
    </w:p>
    <w:p w14:paraId="52B676A9" w14:textId="77777777" w:rsidR="00334572" w:rsidRPr="00D03F3E" w:rsidRDefault="00334572" w:rsidP="00D03F3E">
      <w:pPr>
        <w:spacing w:after="0" w:line="240" w:lineRule="auto"/>
        <w:jc w:val="both"/>
        <w:rPr>
          <w:rFonts w:ascii="Times New Roman" w:hAnsi="Times New Roman"/>
          <w:color w:val="0070C0"/>
          <w:sz w:val="16"/>
          <w:szCs w:val="16"/>
        </w:rPr>
      </w:pPr>
    </w:p>
    <w:p w14:paraId="65352F5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июня 1943 после второго подряд массированного налета на крупнейший завод Поволжья стало ясно, что немцы стремятся полностью вывести предприятие из строя. В преддверии летней кампании это создавало огромную опасность для советского командования. Днем б июня русские бомбардировщики предприняли повторный налет на аэродром Сещинская. На сей раз его атаковали В-25 из 15-го гвардейского бомбардировочного полка АДД. Помимо бомбежки взлетной полосы и стоянок самолетов, отдельные экипажи попытались нанести удар по РЛС и зенитным прожекторам. В частности, самолет командира эскадрильи майора Н. С. Бирюкова прошел над ними на бреющем полете и обстрелял из бортовых пулеметов. Хотя советской стороной атака была признана эффективной, фактически никаких серьезных повреждений аэродром не получил и находившиеся там экипажи эскадры KG55 «Грайф» продолжили подготовку к третьему массированному налету на Горький. В 18.36 в Горьком, Дзержинске и Балахне завыли гудки воздушной тревоги. Взгляды зенитчиков и жителей города были прикованы к небу. Вскоре в штаб корпусного района ПВО поступило донесение от наблюдателей, что над городом на высоте четыре километра появились сразу три самолета «Хейнкель-111». Зенитные батареи из разных частей города открыли заградительный огонь, жители побежали к укрытиям. Однако бомбежки не было. На самом деле над Горьким на высоте 7000 м прошли два Ju-88D из 1-й эскадрильи Aufkl.Gr . 100. «Юнкерсы» пролетели прямо над автозаводом, произведя аэрофотосъемку и зафиксировав погодные условия, после чего удалились в юго-западном направлении. По тревоге были подняты 18 истребителей из 142-й ИАД, командование надеялось, что хотя бы сейчас удастся добиться каких-нибудь результатов. В 19.02 прозвучал сигнал «Отбой ВТ» и на некоторое время все стихло. Через полчаса «Яки», «ЛаГГи» и «МиГи» стали один за другим приземляться на свои аэродромы в Дзержинске, Стригино и Правдинске, и тут полковника Иванова снова ждало разочарование. Все летчики в один голос заявили, что контакта с противником не имели. Разведчики словно растворились в необъятном голубом небе. Таким образом, немцы уже в третий раз с начала операции, при дневном свете и в одно и то же время, безнаказанно произвели аэрофотосъемку автозавода, благополучно доставив полученные разведданные в штаб 1-й авиадивизии в Орле. Бойцы службы ВНОС снова проявили полную некомпетентность в определении типов самолетов и высоты их полета, обсчитавшись в последней аж на три километра. Но это все еще можно понять. Совсем другое дело, как два «Юнкерса» можно было принять за три «Хейнкеля»?! Вечером на немецких аэродромах снова закипела работа. Техники завершали подготовку самолетов к длительному полету, летчики изучали доставленные дальними разведчиками снимки цели. По плану теперь нужно было атаковать северный сектор автозавода, в особенности крупные корпуса. Затем, четко по графику тяжело груженные машины стали одна за другой выруливать на старт. После 20.00 по берлинскому времени начали взлетать «Хейнкели» из эскадры KG27 «Бельке». Не-111H «1G+EL» из 3-й эскадрильи взлетел с аэродрома Орел в 20.08, Не-111H «1G+FS» из 8-й эскадрильи – в20.17,Не-111H«Ю+ВР»из6./КС27-в20.20ит.д.Всеговтретьем массированном налете на Горький участвовали 154 бомбардировщика из эскадр «Гинденбург», «Блиц», «Генерал Вефер», «Бельке», «Эдельвейс», «Грайф» и «Викинг». Одновременно с этим часть экипажей вновь отправилась бомбить второстепенные цели. Так, «Хейнкели» из 3./KG27 совершили уже третий налет на Сталиногорск. Самолеты летели к цели двумя основными маршрутами: одна группа – через Ряжск – Сасово – Муром – Павлово, вторая – над железной дорогой Москва – Горький на высоте 2000—3000 м. Небольшая часть бомбардировщиков летела через Арзамас с выходом к цели с южного направления. Впереди шли цельфиндеры, обозначавшие маршрут полета периодически сбрасываемыми осветительными ракетами. Погода опять благоприятствовала налету: стоял полный штиль, температура к ночи опустилась до + 13°С.</w:t>
      </w:r>
    </w:p>
    <w:p w14:paraId="4465986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23.55 генерал Осипов вновь приказал объявить воздушную тревогу. Сигнал был принят всеми районами города и продублирован средствами оповещения в течение восьми минут. В штабе ПВО царило напряжение, посты ВНОС наперебой докладывали о приближении большого числа самолетов. Навскидку суммировав их данные, стало ясно, что на Горький идут не менее 150 бомбардировщиков. Осипов и его штаб приготовились к худшему. После полуночи в небе над Автозаводским районом вновь вспыхнули осветительные «люстры». Было понятно, что основным объектом атаки опять станет ГАЗ. Самолеты шли на цель с трех направлений, заходя с севера, запада и юга. Первыми наносили удар пикирующие бомбардировщики Ju-88, затем с горизонтального полета вываливали свой смертоносный груз «Хейнкели».</w:t>
      </w:r>
    </w:p>
    <w:p w14:paraId="0894C76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 Мёбиус из 9-й эскадрильи KG27 «Бельке» вспоминал:  «Мы выполняли эти стратегические налеты в неплотном боевом порядке до тех пор, пока это казалось целесообразным. Конечно, переговоры экипажей друг с другом были запрещены. Минимальная высота при пересечении линии фронта была установлена в 5000 м. Немедленно после пересечения линии фронта мы снижались и продолжали полет на 3000 м. Эту высоту мы сохраняли и при бомбежке, т.к. ужасно мерзли даже на этой высоте из-за недостаточного обогрева. Цель –  Горький – было легко обнаружить благодаря ярким вспышкам взрывавшихся бомб и пожарам. Вокруг появлялись облачка от разрывов зенитных снарядов, и часто можно было увидеть трассирующие очереди из бортового оружия самолетов. Также мы ощущали турбулентные потоки, которые могли исходить от других наших самолетов или ночных истребителей». </w:t>
      </w:r>
    </w:p>
    <w:p w14:paraId="4EB2199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этот раз основной удар пришелся по механическим, прессовым и инструментальным цехам, расположенным в северной части автозавода. Сильной бомбежке подвергся инструментально-штамповальный корпус. Внутри здания взорвались 12 фугасных бомб, в т.ч. одна весом 1000 кг. Еще три фугаски воткнулись в пол и не сработали. В режущем цехе и ЦИС сильно пострадало оборудование, обвалилось 100 кв. м кровли. В штамповых цехах № 2 и № 3 обрушился целый пролет крыши. С южной стороны здания прямым попаданием была разрушена трансформаторная будка. На улице около инструментально-штамповального корпуса упали еще десять тяжелых фугасных бомб, в т.ч. три SC1000. От разрыва в общей сложности нескольких тонн аматола и тротила сдвинулся фундамент, расслоилась кладка, а местами обрушились целые участки стен. Многие несущие конструкции получили сильную деформацию. На месте погибли 10 человек, два получили тяжелые и три легкие ранения. Сильные разрушения были причинены прессово-кузовному корпусу, причем рухнула полностью одна из стен, сгорели крыша и деревянные перегородки. На монтажно-сборочный цех № 5, в котором велась сборка танков Т-70, были сброшены пять фугасных бомб, в т.ч. две SC1000. От мощнейших взрывов участки цеха были полностью разрушены, бытовые постройки сгорели, но каким-то чудом уцелела часть основного оборудования. На цех корпусов упали пять тяжелых фугасных и десять зажигательных бомб, от которых здание частично обвалилось, сгорели крыша, бытовые помещения и часть оборудования. При ликвидации последствий пять человек получили ранения, один сгорел заживо. В ЦСК была разрушена кровля участка сборки глушителей и повреждены четыре станка. В цехе запасных частей были разрушены главный склад и часть бытовых помещений. Вокруг новокузовного корпуса прогремела серия мощных взрывов, от которых в здании деформировались стены, обрушилась часть перекрытий и вылетели все стекла. Взрывами и пожарами был частично разрушен и ремонтно-механическии цех, в моторных цехах № 2 и № 3 возник сильный пожар в термическом отделении, частично уничтоживший кровлю и оборудование. Несколько тяжелых фугасных бомб угодили в железнодорожный цех, разрушив до основания все здание. При этом были уничтожены два пожарных автонасоса, на одном из которых погиб весь боевой расчет.</w:t>
      </w:r>
    </w:p>
    <w:p w14:paraId="218CED5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самая страшная участь постигла колесный цех, также находившийся в северном секторе завода. Корпус представлял собой пятипролетное здание площадью свыше 23 тыс. кв. м. Колонны и подкрановые балки были железобетонные, стены выполнены из шлакобетонных камней. Уязвимым местом цеха являлись перекрытия, выполненные деревянными сегментными фермами, а также кровля, покрытая рубероидом. Кроме того, деревянными досками были зашиты переплеты наружных стен и фонарей.</w:t>
      </w:r>
    </w:p>
    <w:p w14:paraId="367A8FA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налета немцы впервые применили воспламеняющуюся жидкость, вьшивавшуюся из специальных приборов, установленных на бомбардировщиках Ju-88. Несколько «Юнкерсов» на небольшой высоте прошли над северным сектором автозавода и полили его воспламеняющейся жидкостью. Даже жители Сормовского района, находившиеся в 13—15 км от автозавода, видели, как огромные огненные струи прорезали ночное небо и обрушивались на корпуса ГАЗа. Большая часть этого «напалма» как раз попала на здание колесного цеха. В результате одновременно вспыхнула практически вся крыша. Затем следующие волны немецких самолетов сбросили на колесный цех серию фугасных и тяжелых зажигательных бомб. Возникли сразу несколько десятков очагов пожаров, тушить которые не было никакой возможности. Сначала огонь охватил деревянные элементы, а затем все здание превратилось в огромный пылающий костер. Вследствие огромной температуры железобетонные конструкции, колонны, подкрановые балки и подкрановые пути стали трескаться и осыпаться, а металлические краны плавились и прогибались, горели даже станки. Расплавленный рубероид целыми потоками стекал по стенам и трубам, заполняя ливневую канализацию.</w:t>
      </w:r>
    </w:p>
    <w:p w14:paraId="16E6D4F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Сильнейшие пожары охватили и многие другие объекты. Моторный цех № 1 был полит горючей смесью, потом в здание попала еще и бомба SC500, а также несколько «зажигалок». В итоге возник большой пожар, уничтоживший часть крыши и все деревянные строения антресолей. Мощный взрыв прогремел в кузовном отделении конструкторского зала КЭО, от которого частично обвалились стены и сгорела часть чертежей. Некоторые объекты все же удалось спасти. Так, три зажигалки попали в центральную заводскую лабораторию, но пожар был ликвидирован формированиями МПВО. Успешно шла борьба с огнем в гараже, где были разрушены только бытовые помещения. Пожар в здании отдела кадров был ликвидирован красноармейцами воинских частей. В модельном цехе прогремели три мощных взрыва, затем возник пожар, но бойцы формирований МПВО не дрогнули и сумели локализовать огонь, не дав ему распространиться. Позднее около цеха в грунте были обнаружены еще две неразорвавшихся фугаски. Пожар, охвативший деревообделочный цех, также был быстро ликвидирован. Однако на многих других объектах борьба с огнем оказалась менее успешной. Сгорели дотла цех автонормалей, столовая газснаба, цех режущего инструмента, новая проходная, склад имущества МПВО, заводская АТС № 2, моторный цех № 2, прессовый цех, цех ковкого и серого чугуна.</w:t>
      </w:r>
    </w:p>
    <w:p w14:paraId="3084B78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по данным службы МПВО, на автозавод им. Молотова были сброшены 170 фугасных бомб весом от 50 до 2000 кг, причем немецкие летчики добились около 90 прямых попаданий в заводские корпуса. Авиамоторный завод № 466, расположенный на территории ГАЗа, на сей раз отделался легко. Около литейного корпуса упали и не взорвались пять фугасных бомб SC250, и лишь одна 50-кг бомба попала в цех № 24. Взрыв частично разрушил здание и вызвал пожар, который самоотверженно ликвидировали бойцы МПВО.</w:t>
      </w:r>
    </w:p>
    <w:p w14:paraId="6E81D84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Сильной бомбежке подвергся и жилой сектор. В Соцгороде прямыми попаданиями разрушило здание АТС и районную поликлинику. Одна из фугасных бомб взорвалась в 10 м от командного пункта МПВО Автозаводского района, из-за чего оборвалась связь, как со штабами объектов, так и с городским КП на Почтовом </w:t>
      </w:r>
      <w:r w:rsidRPr="00D03F3E">
        <w:rPr>
          <w:rFonts w:ascii="Times New Roman" w:hAnsi="Times New Roman"/>
          <w:color w:val="000000" w:themeColor="text1"/>
          <w:sz w:val="16"/>
          <w:szCs w:val="16"/>
        </w:rPr>
        <w:lastRenderedPageBreak/>
        <w:t xml:space="preserve">съезде. В здание Автозаводского райисполкома попала 250-килограммовая бомба. Мощный взрыв прогремел на втором этаже здания, разрушив кровлю, стены и перекрытия. На пр. Молотова, ведущем от завода в западную часть района, упало большое количество фугасных и зажигательных бомб. В результате был частично разрушен дом № 28. Остекление всех домов Соцгорода и поселков было полностью выбито. Частично сгорел дом № 1 на ул. Октябрьской, полностью выгорел гараж райкома ВКП(б). Разрушения получили центральный клуб и районная электроподстанция. Дома №№ 1 и 3 на ул. Кирова были практически уничтожены прямыми попаданиями нескольких фугасок. Две 50-кг фугасных бомбы упали около четырехподъездного четырехэтажного дома № 16 на пр. Молотова. Одна взорвалась у угла рядом с подъездом № 1, вторая – напротив подъезда № 3 со стороны восточного фасада. Взрывной волной этернитовая кровля дома была снесена полностью, обвалилась большая часть крыши. Стены во многих местах деформировались, получили трещины и отклонения, везде сдвинулась и расслоилась кладка. Лестница третьего подъезда рухнула полностью, лестница первого обвалилась частично. В большей части дома были деформированы перекрытия, вылетели рамы и двери, все стекла, обсыпалась половина штукатурки. От зажигалок вспыхнули стоящие неподалеку сараи, а одна бомба Brand C50A попала в щель, в которой прятались жители. Все они получили ожоги от страшной горючей жидкости. Сараи сгорели также у дома № 11 и у дома № 20 на пр. Жданова. Н. В. Надёжкина, работавшая во время войны начальником техсектора экспериментального участка ИШЦ, вспоминала:  «В то время я лежала дома с гипсом на ноге – был перелом. В больницу не брали, они были переполнены ранеными. Все население Соцгорода уходило в поле за город, чтобы избежать гибели. Яна постели оставалась одна. Кругом никого. Стрелка часов приближалась к полуночи. Начиналась нервная дрожь и мучительное ожидание. Чтобы успокоиться, я брала гитару и играла. Играла как умела и пела. Пела песни, в которых звучали внутреннее сопротивление и протест. Лишь бы не упасть духом, не сломиться, не раскиснуть. Ровно в 12 часов начинался налет. Плотность бомбежки была невероятная. Позднее я подсчитала, что около моего дома было взорвано восемь бомб. Они оставили глубокие воронки. На мое счастье, в дом ни попала ни одна. Самая близкая взорвалась у торца дома. От ее удара дом зашатался, вылетели двери и окна, осыпалась вся штукатурка. Прижавшись к постели, я прятала под себя руки – лучше смерть, чем быть калекой. Ровно в 2 часа бомбежка кончилась. Горели деревянные сооружения, сараи, где хранились дрова у жителей. Над моей кроватью торчал громадный осколок бомбы, воткнувшийся в остатки стены, а сама я была засыпана мусором разрушившегося дома. Лежавший на столе студенческий портфельчик с документами, приготовленный на всякий случай, был в нескольких местах прорезан оконным стеклом, разбившимся от взрывной волны. Наутро друзья меня выбирали из мусора». </w:t>
      </w:r>
    </w:p>
    <w:p w14:paraId="065265D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Американском поселке в результате бомбардировки были полностью или частично разрушены четыре жилых дома. Значительные повреждения получил и Ново-Северный поселок, там был частично разрушен дом № 5 на ул. Рабочей, сгорели два барака на ул. Коммунальной. Барак № 2 прямым попаданием фугаски был практически разнесен в щепки, а расположенное рядом здание отделения милиции уцелело наполовину. На окраине Автозаводского района, на торфоболоте, от зажигалок сгорел барак № 2. В поселке Монастырка, расположенном юго-западнее ГАЗа, сгорели 13 частных одноэтажных домов вместе с хозяйственными постройками. Часть бомб обрушилась на позиции батарей 784-го ЗенАП. На 13-й батарее, расположенной у одной из проходных завода, были разбиты два орудия и убиты две девушки из состава расчета. В районе расположения 14-й батареи упали около 30 бомб разных калибров. Зенитчикам повезло, что окружающая местность представляла собой торфяники, и фугаски при падении либо вообще не взрывались, либо взрывались на большой глубине, не причиняя большого ущерба. Позиция же 15-й батареи, находившейся в Автозаводском парке, была буквально засыпана фугасными и зажигательными бомбами. Взрывом сильно повредило прибор управления артиллерийским зенитным огнем (ПУАЗО), причем осколки убили техника по приборам дивизиона лейтенанта Симонова, еще несколько бойцов, в т.ч. санинструктор батареи Анна Сорокина, получили ранения. Однако она отказалась от госпитализации и осталась на боевом посту. Здесь же была практически уничтожена батарея МЗА. Больше половины личного состава было убито, многие получили ранения и ожоги, все восемь 20-мм зениток были выведены из строя. Не пострадала только одна разведчица Роза Ионова. Зенитные подразделения, расположенные на территории ГАЗа, несли особенно большие потери. Зачастую позиции пулеметов располагались на крышах цехов, и девушки-зенитчицы гибли, сметенные взрывной волной. К тому же на район, воздушное пространство над которым подвергалось обстрелу, стальным горохом сыпались осколки зенитных снарядов, раскаленные и острые как бритва. По этой причине зенитчикам приходилось надевать каски и бушлаты, чтобы не быть израненными осколками своих же снарядов. Зенитчица Пелагея Паршина, 85-мм орудие которой находилось на левом берегу Волги, вспоминала:  «Осколки снарядов сыпались на нас дождем… Однажды в мою пушку попал тяжелый осколок, разбивший все приборы. Возник вопрос, как дальше вести огонь, на что командир ответил: „Наводите наугад!“»   Зенитчик И. А. Левицкий вспоминал:  «Трехдневные тяжелые бои и ликвидация их последствий до предела вымотали силы всего личного состава. Особенно тяжело приходилось девушкам, но они старались не отставать от мужчин в преодолении тягот борьбы с врагом». </w:t>
      </w:r>
    </w:p>
    <w:p w14:paraId="2219F1B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Уже во время бомбежки в очаги поражения были высланы пожарные автонасосы, а также различные военизированные формирования [158]  . Медико-санитарный взвод в количестве 44 человек оказывал помощь. В течение ночи и начинающегося утра бойцы оказали первую помощь 65 пострадавшим, эвакуировали в госпитали 32 раненых и убрали 42 трупа. Кроме того, в районе не покладая рук работали четыре отряда «скорой помощи» на заводе из 25 человек, четыре отряда первой помощи в районе в количестве 20 человек и санитарная дружина из 25 человек. Также в усиленном режиме трудились все формирования медико-санитарной службы поликлиники, больниц и госпиталей. На разборах завалов и ликвидации очагов пожаров работали аварийно-восстановительный взвод в количестве 25 человек, дегазационная рота из 30 человек и войсковые части в составе двух батальонов. При тушении пожара погибли командир дегазационной роты Егоров и боец той же роты Сивачев, а командир аварийно-восстановительного взвода А. Н. Чикин был ранен в руку осколком бомбы.</w:t>
      </w:r>
    </w:p>
    <w:p w14:paraId="585A3EE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Из-за нарушения технической связи и выхода из строя Автозаводского КП МПВО работа руководящего состава района по управлению силами и средствами МПВО была особо напряженной. Сведения об обстановке от наблюдательных постов поступали только живой связью, со значительным опозданием, что лишало возможности принимать своевременные решения. Жители Ленинского района вновь отделались легким испугом. Три фугасных бомбы весом 250 кг упали около Станкозавода, две в полукилометре от него – в Карповский карьер, не причинив никаких разрушений. Еще одна бомба взорвалась в огороде частного дома на ул. Шоссейной. Взрывной волной сам бревенчатый дом, а также расположенная в конце огорода баня были полностью разрушены, как и щель, в которой, к счастью, никого не оказалось. Тут же рядом упали и четыре мелких зажигалки. Жильцы находились на работе, и жертв не было.</w:t>
      </w:r>
    </w:p>
    <w:p w14:paraId="192B62A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Немного бомб досталось и Ворошиловскому району. На черепичный завод (ныне завод «Керамик») в поселке Новые Дубенки упали пять зажигалок весом по 1 кг, и бойцам группы самозащиты не составило труда потушить их, пожаров на предприятии не возникло. В 02.30, когда уже начинался рассвет, наконец прозвучал долгожданный сигнал «Отбой воздушной тревоги». Всего во время третьего массированного налета на Горький были сброшены 242 т бомб всех калибров. Служба МПВО Автозаводского района насчитала попадания 402 фугасных бомб весом от 50 кг до 2000 кг, из которых 132 не взорвались. Кроме того, было зафиксировано падение примерно 60 тяжелых зажигательных бомб. Помимо больших разрушений на ГАЗе и в прилегающем к нему жилом секторе, был перебит запасной Канавинский водовод, и весь район полностью остался без водоснабжения.</w:t>
      </w:r>
    </w:p>
    <w:p w14:paraId="307498D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 официальным подсчетам, сделанным на следующее утро, в результате бомбежки в Автозаводском районе пострадали 232 человека, из них 73 погибли. Из поступивших в госпитали тяжелораненых восемь вскоре умерли. Непосредственно с ГАЗа в больницы поступили 56 человек, из различных воинских частей – 65, из гражданского населения – 19, из пожарной охраны – девять. Фактически же число погибших было гораздо большим. Приведенная выше сводка включала только первичные данные, полученные к утру 7 июня. При этом цифра «73» означает число трупов, обнаруженных на тот момент на территории района. Обращает на себя внимание отсутствие каких-либо данных о пропавших без вести. Это лишний раз доказывает, что считали именно трупы, а не количество выбывших в результате бомбежки людей. После составления сводки дальнейшим уточнением количества жертв, естественно, никто не занимался, поэтому точное число погибших уже никогда не удастся установить. В то же время послевоенные исследователи совершенно некритично использовали данные из сводок МПВО, ссылаясь на них как на истину в последней инстанции. Поскольку первым делом надо было наладить связь, наутро бойцы МПВО отправились в разрушенное здание АТС. Оказалось, что взрывом фугасной бомбы ему причинены большие разрушения. Оборудование имело ряд серьезных повреждений: были смещены кабели, оборваны кроссировки, помяты и пробиты рамки, порваны искатели, разбита блок-станция. Все, что уцелело, забилось и засорилось пылью и осколками. Помимо этого, взрывной волной снесло все соединительные связи с двумя воздушными кабелями. Линии радиосети в районе вышли из строя на 40%. Фидер был также разрушен. Линейные кабельные бригады АТС и бойцы войсковых частей немедленно приступили к восстановительным работам, чтобы наладить хотя бы временную связь. Пошли простым путем – подвесили на временных столбах два провода, напрямую соединив КП МПВО района с командным пунктом города и корпусного района. Удалось и установить связь райотдела НКВД с областным управлением. Работы были начаты в 07.00 по местному времени и закончились авральными методами через пять часов. Еще в 02.00 генерал-майор Осипов подписал составленное по горячим следам донесение № 004 командующему ПВО территории страны генерал-лейтенанту Михаилу Громадину, в котором, в частности говорилось:  «В ночь 6 – 7 июня 1943 г. с 23.04. до 01.37. противник совершил групповой бомбардировочный налет на пункт ПВО Горький. Налет производился с юго-западного и западного направления. </w:t>
      </w:r>
    </w:p>
    <w:p w14:paraId="0418CA8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Маршруты: </w:t>
      </w:r>
    </w:p>
    <w:p w14:paraId="461E3CA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Ряжск – Сасово – Арзамас – Горький </w:t>
      </w:r>
    </w:p>
    <w:p w14:paraId="110A124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Рязань – Муром – Павлове – Горький </w:t>
      </w:r>
    </w:p>
    <w:p w14:paraId="4A6B594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Высота 4—6 тыс. метров. </w:t>
      </w:r>
    </w:p>
    <w:p w14:paraId="134CB07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Всего зафиксировано около 160 самолетов типа Ю-88 и Хе-111. Бомбометание производилось с горизонтального полета. </w:t>
      </w:r>
    </w:p>
    <w:p w14:paraId="001A9D8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Основные районы: автозавод им. Молотова, Соцгород и аэродром Мыза. Сброшено большое количество ФАБ, ЗАБ и САБ. </w:t>
      </w:r>
    </w:p>
    <w:p w14:paraId="1818E9E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Данные уточняются. Связь с автозаводом прервана. Основная часть авиабомб сброшена на подступах к автозаводу, р-н Соцгорода и его окраины». </w:t>
      </w:r>
    </w:p>
    <w:p w14:paraId="0ED30C4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Зенитная артиллерия корпусного района на сей раз выпустила в небо 23 444 снаряда среднего и 1666 малого калибра. При этом зенитчики претендовали на четыре сбитых самолета, из которых якобы три упали на город! Назывались даже районы: завод «Красный Октябрь» в Ленинском районе, поселок Стригино и Автозавод. </w:t>
      </w:r>
      <w:r w:rsidRPr="00D03F3E">
        <w:rPr>
          <w:rFonts w:ascii="Times New Roman" w:hAnsi="Times New Roman"/>
          <w:color w:val="000000" w:themeColor="text1"/>
          <w:sz w:val="16"/>
          <w:szCs w:val="16"/>
        </w:rPr>
        <w:lastRenderedPageBreak/>
        <w:t>Еще один бомбардировщик, как сообщалось, упал у села Деренево. Прожектористам удалось осветить всего два самолета, причем один, как заявлялось в донесении, был сбит зенитками 784-го ЗенАП. Аэростатчики поднимали в воздух 27 A3 на высоту 3500 м, из них два были потеряны.</w:t>
      </w:r>
    </w:p>
    <w:p w14:paraId="518BE10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По немецким данным, в ту ночь огнем зенитной артиллерии был поврежден Ju-88A-14 WNr. 144440 из 8-й эскадрильи KG1 «Гинденбург». Он смог дотянуть до аэродрома Орел-Западный, но затем при посадке потерпел аварию.</w:t>
      </w:r>
    </w:p>
    <w:p w14:paraId="7E45EED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Истребители 142-й ИАД произвели свыше 36 самолето-вылетов, при этом летчики заявили о четырех воздушных боях и двух сбитых самолетах в районе села Спасское и поселка Кстово.</w:t>
      </w:r>
    </w:p>
    <w:p w14:paraId="5BE8C42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Капитан Малякин на истребителе ЛаГГ-3 патрулировал в своей зоне на высоте 4500 м. Потом он написал в своем рапорте:  «В 23.09 я увидел серию осветительных ракет, сбрасываемых вражескими самолетами над объектами. Направил самолет в эту зону, стремясь сблизиться с противником. Обнаружил на фоне, создаваемом светом ракет, силуэт ФВ-200 „Курьер“. Приблизившись к нему до 100м, произвел первую атаку спереди, сбоку под ракурсом 3/4, открыв огонь из всех видов оружия. Затем провел повторную атаку уже снизу сзади под ракурсом 1/4 с дистанции 50—30 м, дав длинную прицельную очередь из всех огневых точек». </w:t>
      </w:r>
    </w:p>
    <w:p w14:paraId="0BBB38B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После этого, по словам Малякина, «Фокке-Вульф» загорелся и пошел к земле. Правда, падения самолета он не видел, т.к. истребитель в этот момент сильно отбросило в сторону и на некоторое время он стал неуправляемым. Вернувшись на аэродром летчик не без гордости сообщил о своей победе. Однако на следующий день поиски «сбитого FW-200» не дали никаких результатов. Да и не могли дать, т.к. никакие «Фокке-Вульфы» в налете на Горький не участвовали.</w:t>
      </w:r>
    </w:p>
    <w:p w14:paraId="287A63D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Немцы же впоследствии подтвердили, что их бомбардировщики подвергались атакам ночных истребителей, однако все они оказались безуспешными. X. Новак из 8-й эскадрильи KG27 «Бельке» рассказывал, что его «Хейнкель» в районе Горького был атакован советским самолетом, но экипаж вовремя заметил преследователя и выпустил по нему осветительную ракету, которая заставила истребитель отвернуть. Фактически во время третьего налета Люфтваффе потеряли один бомбардировщик. Причем ни истребители, ни зенитчики, по всей видимости, не имели к нему никакого отношения. Один из летчиков 7-й эскадрильи KG27 «Бельке» вспоминал:  «Во время бомбежки танкового завода в Горьком мы видели наш самолет, который не соблюдал предписанную высоту. Таким образом, он попал под серию бомб, сброшенных с летевших выше его машин, и рухнул вниз». Возможно, это был Ju-88A-14 WNr. 144438 лейтенанта К. Принца из 7-й эскадрильи KG1 «Гинденбург», пропавший без вести в ту ночь.</w:t>
      </w:r>
    </w:p>
    <w:p w14:paraId="7A55403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Тем временем группы «Хейнкелей» и «Юнкерсов» по ставшему уже привычному маршруту возвращались на свои базы. Самолеты шли на высоте около трех километров, встречая июньский рассвет. Их опять никто не преследовал, посему экипажи после напряженных минут, проведенных над целью, опять могли расслабиться, сняв кислородные маски и вытянувшись в своих креслах. Кто-то читал газету, кто-то курил, другие крутили ручки радиоприемников, чтобы поймать какие-нибудь песни и музыку. Но не всегда пойманные передачи оказывались приятными.</w:t>
      </w:r>
    </w:p>
    <w:p w14:paraId="338E5E2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Член одного из экипажей 7-й эскадрильи KG27 «Бельке» затем припомнил:  «Когда на обратном пути мы искали в радиоэфире какую-нибудь музыку, то нашли радиостанцию, которая передавала, что KG27 убила тысячи невинных людей и при этом называла фамилию нашего командира. Это было щекотливым делом для нас!» </w:t>
      </w:r>
    </w:p>
    <w:p w14:paraId="77BE803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Около 01.00, по берлинскому времени, когда в Горьком еще вовсю бушевали пожары, бомбардировщики один за другим заходили на посадку. Так, согласно летным книжкам пилотов, Не-111H «IG+ГГ» приземлился в 00.55 на аэродроме Оптуха, проведя в воздухе 287 минут, Не-111H «1G+DP» – в 00.55 на аэродроме Домнино, продолжительность вылета составила 4 часа 35 минут, за которые он преодолел расстояние 1470 км, Не-111H «1G+FS» – в 01.06 на аэродроме Орел через 289 минут после старта.</w:t>
      </w:r>
    </w:p>
    <w:p w14:paraId="6248ADF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В ночь на 7 июня советские легкие ночные бомбардировщики У-2 сбросили на аэродром в Орле листовки:  «Убийцы Горького! Мы уничтожим вас!» (11774).</w:t>
      </w:r>
    </w:p>
    <w:p w14:paraId="1946D8BD" w14:textId="77777777" w:rsidR="00531570" w:rsidRPr="00D03F3E" w:rsidRDefault="00531570" w:rsidP="00D03F3E">
      <w:pPr>
        <w:pStyle w:val="Iauiue"/>
        <w:jc w:val="both"/>
        <w:rPr>
          <w:color w:val="000000" w:themeColor="text1"/>
          <w:sz w:val="16"/>
          <w:szCs w:val="16"/>
        </w:rPr>
      </w:pPr>
    </w:p>
    <w:p w14:paraId="4DF595B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6 по 8 июня 1943 была еще одна воздушная операция для разгрома бомбардировочной группировки противника, которая нападала на промцентры - Горький, Саратов, Ярославль и привлекли 1, 15 и 2 ВА и АДД. Ударили по 15 аэродромам и особое внимание уделяли аэродромам в Сеща, Брянске, Карачеве, Орле, Олсуфьево, Основе, Сокольниках, Сталино, Запорожье. Во избежания шаблона - ударили вечером. По отдельным аэродромам, например, Веще, действовало до 160 и более машин, из которых 35-40% (бомбардировщиков и штурмовиков) выделяли на уничтожение машин на аэродромах, 30-38% (истребители) - сопровождали, 10-15% (истребители) - отсекали истребителей противника и 10-15% (истребители) - блокирование соседних аэродромов и подавление ПВО в районе цели. 8 уничтожили 141, в т.ч. 56 в боях, 9 - 92, 25 в т.ч. в боях, 10 - 16 на аэродромах (518,83).</w:t>
      </w:r>
    </w:p>
    <w:p w14:paraId="617E4DA6" w14:textId="77777777" w:rsidR="00531570" w:rsidRPr="00D03F3E" w:rsidRDefault="00531570" w:rsidP="00D03F3E">
      <w:pPr>
        <w:pStyle w:val="Iauiue"/>
        <w:jc w:val="both"/>
        <w:rPr>
          <w:color w:val="000000" w:themeColor="text1"/>
          <w:sz w:val="16"/>
          <w:szCs w:val="16"/>
        </w:rPr>
      </w:pPr>
    </w:p>
    <w:p w14:paraId="4575B8E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июня 1943 данные о двойной противолодочной сети на Балтике были подтверждены аэрофотоснимками, сделанными нашими разведывательными самолётами (9965).</w:t>
      </w:r>
    </w:p>
    <w:p w14:paraId="5043BA2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1495F8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6-го июня 1943 1-м ГМТАП был достигнут первый достоверный успех. Один из двух «Илов», «охотившихся» в эту ночь (пилот - лейтенант А.И.Разгонин), обнаружил на входе в Ирбенский пролив небольшой конвой и потопил транспорт «Хайнрих фон Плауэн» (1746 брт). Немецкий флот потерял торговое судно, но ещё раньше - в 1941 г. - его лишились мы. Дело в том, что на пятые сутки войны «Хайнрих фон Плауэн», называвшийся тогда латышским пароходом «Аарне», был захвачен наступающими частями вермахта в Виндаве (9965).</w:t>
      </w:r>
    </w:p>
    <w:p w14:paraId="06E1C2F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E003A5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6-го июня 1943 наконец-то был достигнут первый достоверный успех. Один из двух "илов", "охотившихся" в эту ночь (пилот - лейтенант А.И. Разгонин), обнаружил на входе в Ирбенский пролив небольшой конвой. По немецким данным, никаких конвоев в этот период по Балтике не водилось, просто на этом оживленном перекрестке нескольких коммуникаций в тот момент одновременно находилось несколько судов. Получилось так, что Разгонин выбрал далеко не самое крупное из них - пароход "Хайнрих фон Плауэн" (1746 брт), в то время как рядом находилось госпитальное судно "Браке" (5347 брт; в его охранении следовали корабль-ловушка "Шифф 47" и сторожевик "V 303") и пароход "Сириус" (998 брт). С борта "Плауэна" заметили самолет типа "Веллингтон", не обнаруживший каких-либо враждебных намерений, а спустя 10 минут, в 02.33 по среднеевропейскому времени, судно потряс подводный взрыв. Еще через 20 минут транспорт затонул, унеся на дно моря трех членов экипажа.</w:t>
      </w:r>
    </w:p>
    <w:p w14:paraId="09CA1A0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Немецкое командование не сразу связало подводный взрыв с самолетом. Версию об атаке подводной лодки после некоторых раздумий отклонили, то, что судно могли поразить бомбой, категорически отрицал сам экипаж. Лишь спустя два дня. с получением от финнов данных о торпедной атаке "Арктуру- са", в ЖБД FdM появилась запись о том, что "Хайнрих фон Плауэн" скорее всего потопил торпедоносец. Разница же во времени между обнаружением самолета и взрывом, по всей вероятности, объяснялась тем, что экипаж заметил Ил-4 не в момент торпедной атаки, а раньше, до того как Разгонин вышел в темную часть горизонта, откуда он и стрелял. Несмотря на этот вердикт, из Финского залива для траления района потопления прислали несколько моторных тральщиков 1-й флотилии. Режим перевозок на театре не изменился. Таким образом, ни осложнить перевозки, ни оттянуть сколько-нибудь заметную часть сил немецкого флота из Финского залива в результате этого успеха нам не удалось. Немецкий флот потерял торговое судно, но еще раньше, в 1941 г., его лишились мы - дело в том, что на пятые сутки войны "Хайнрих фон Плауэн", называвшийся тогда латышским пароходом "Аарне", был захвачен наступающими частями вермахта в Виндаве (12002).</w:t>
      </w:r>
    </w:p>
    <w:p w14:paraId="295662C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2174D84"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6 июня 1943 бомбардировщики В-25 из 15-го гв. бап АДД предприняли новый налет на аэродром Сещинская. Хотя советской стороной он был признан эффективным, фактически никаких серьезных повреждений аэродром не получил, а экипажи KG55 «Грайф» спокойно продолжали подготовку к третьему массированному налету на Горький (10522).</w:t>
      </w:r>
    </w:p>
    <w:p w14:paraId="0305C521" w14:textId="77777777" w:rsidR="006B6B4C" w:rsidRPr="00D03F3E" w:rsidRDefault="006B6B4C" w:rsidP="00D03F3E">
      <w:pPr>
        <w:pStyle w:val="ae"/>
        <w:spacing w:before="0" w:after="0"/>
        <w:jc w:val="both"/>
        <w:textAlignment w:val="baseline"/>
        <w:rPr>
          <w:color w:val="000000" w:themeColor="text1"/>
          <w:sz w:val="16"/>
          <w:szCs w:val="16"/>
        </w:rPr>
      </w:pPr>
    </w:p>
    <w:p w14:paraId="0F68465A"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В ночь с 6 на 7 июня 154 Не-111 и Ju-88 совершили третий подряд налет на Горький, сбросив 242 тонны бомб всех калибров. Были разрушены еще двенадцать цехов автозавода, а также десятки жилых домов (19522).</w:t>
      </w:r>
    </w:p>
    <w:p w14:paraId="2E5FA97D" w14:textId="77777777" w:rsidR="006B6B4C" w:rsidRPr="00D03F3E" w:rsidRDefault="006B6B4C" w:rsidP="00D03F3E">
      <w:pPr>
        <w:pStyle w:val="ae"/>
        <w:spacing w:before="0" w:after="0"/>
        <w:jc w:val="both"/>
        <w:textAlignment w:val="baseline"/>
        <w:rPr>
          <w:color w:val="000000" w:themeColor="text1"/>
          <w:sz w:val="16"/>
          <w:szCs w:val="16"/>
        </w:rPr>
      </w:pPr>
    </w:p>
    <w:p w14:paraId="26F5F322"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447D2735" w14:textId="77777777" w:rsidR="00531570" w:rsidRPr="00D03F3E" w:rsidRDefault="00531570" w:rsidP="00D03F3E">
      <w:pPr>
        <w:pStyle w:val="Iauiue"/>
        <w:jc w:val="both"/>
        <w:rPr>
          <w:iCs/>
          <w:color w:val="000000" w:themeColor="text1"/>
          <w:sz w:val="16"/>
          <w:szCs w:val="16"/>
        </w:rPr>
      </w:pPr>
    </w:p>
    <w:p w14:paraId="61F336AC"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6–9 июня 1943 самолеты союзников сбрасывают на Пантеллерию в среднем 600 тонн (544 316 кг) бомб в день (20376).</w:t>
      </w:r>
    </w:p>
    <w:p w14:paraId="4A85551A" w14:textId="77777777" w:rsidR="00E024A1" w:rsidRPr="00D03F3E" w:rsidRDefault="00E024A1" w:rsidP="00D03F3E">
      <w:pPr>
        <w:spacing w:after="0" w:line="240" w:lineRule="auto"/>
        <w:jc w:val="both"/>
        <w:rPr>
          <w:rFonts w:ascii="Times New Roman" w:hAnsi="Times New Roman"/>
          <w:color w:val="0070C0"/>
          <w:sz w:val="16"/>
          <w:szCs w:val="16"/>
        </w:rPr>
      </w:pPr>
    </w:p>
    <w:p w14:paraId="1055FD84"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6 июня 1943 генерал Шарль де Голль обратился к народу Франции с призывом создать Четвертую Республику (4962).</w:t>
      </w:r>
    </w:p>
    <w:p w14:paraId="4DEB5B96" w14:textId="77777777" w:rsidR="00531570" w:rsidRPr="00D03F3E" w:rsidRDefault="00531570" w:rsidP="00D03F3E">
      <w:pPr>
        <w:pStyle w:val="Iauiue"/>
        <w:tabs>
          <w:tab w:val="left" w:pos="11199"/>
        </w:tabs>
        <w:jc w:val="both"/>
        <w:rPr>
          <w:color w:val="000000" w:themeColor="text1"/>
          <w:sz w:val="16"/>
          <w:szCs w:val="16"/>
        </w:rPr>
      </w:pPr>
    </w:p>
    <w:p w14:paraId="592570E4"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6 июня 1943 диктатор Испании генерал Франко предложил создать в Европе зоны, свободные от бомбежки (4962).</w:t>
      </w:r>
    </w:p>
    <w:p w14:paraId="0C68CE25" w14:textId="77777777" w:rsidR="00531570" w:rsidRPr="00D03F3E" w:rsidRDefault="00531570" w:rsidP="00D03F3E">
      <w:pPr>
        <w:pStyle w:val="Iauiue"/>
        <w:tabs>
          <w:tab w:val="left" w:pos="11199"/>
        </w:tabs>
        <w:jc w:val="both"/>
        <w:rPr>
          <w:color w:val="000000" w:themeColor="text1"/>
          <w:sz w:val="16"/>
          <w:szCs w:val="16"/>
        </w:rPr>
      </w:pPr>
    </w:p>
    <w:p w14:paraId="2BB929D3"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June 06 1943 Rationing of soft cheese begins in the US (1242).</w:t>
      </w:r>
    </w:p>
    <w:p w14:paraId="798648F5" w14:textId="77777777" w:rsidR="00531570" w:rsidRPr="00D03F3E" w:rsidRDefault="00531570" w:rsidP="00D03F3E">
      <w:pPr>
        <w:pStyle w:val="Iauiue"/>
        <w:jc w:val="both"/>
        <w:rPr>
          <w:color w:val="000000" w:themeColor="text1"/>
          <w:sz w:val="16"/>
          <w:szCs w:val="16"/>
          <w:lang w:val="en-US"/>
        </w:rPr>
      </w:pPr>
    </w:p>
    <w:p w14:paraId="2FA9DFE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июня 1943 в США были введены карточки на мягкие сорта сыра (1242).</w:t>
      </w:r>
    </w:p>
    <w:p w14:paraId="22FEA4C4" w14:textId="77777777" w:rsidR="00531570" w:rsidRPr="00D03F3E" w:rsidRDefault="00531570" w:rsidP="00D03F3E">
      <w:pPr>
        <w:pStyle w:val="Iauiue"/>
        <w:jc w:val="both"/>
        <w:rPr>
          <w:color w:val="000000" w:themeColor="text1"/>
          <w:sz w:val="16"/>
          <w:szCs w:val="16"/>
        </w:rPr>
      </w:pPr>
    </w:p>
    <w:p w14:paraId="1E03A781"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0D3DD177" w14:textId="77777777" w:rsidR="00531570" w:rsidRPr="00D03F3E" w:rsidRDefault="00531570" w:rsidP="00D03F3E">
      <w:pPr>
        <w:pStyle w:val="Iauiue"/>
        <w:jc w:val="both"/>
        <w:rPr>
          <w:iCs/>
          <w:color w:val="000000" w:themeColor="text1"/>
          <w:sz w:val="16"/>
          <w:szCs w:val="16"/>
        </w:rPr>
      </w:pPr>
    </w:p>
    <w:p w14:paraId="17996E4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начале июня 1943 г. Государственным Комитетом обороны была поставлена задача создания 45-мм авиационной пушки для установки на самолеты Як-9т и Ил-2. В ходе проработки этого вопроса стало ясно, что такая пуш</w:t>
      </w:r>
      <w:r w:rsidRPr="00D03F3E">
        <w:rPr>
          <w:rFonts w:ascii="Times New Roman" w:hAnsi="Times New Roman"/>
          <w:color w:val="000000" w:themeColor="text1"/>
          <w:sz w:val="16"/>
          <w:szCs w:val="16"/>
        </w:rPr>
        <w:softHyphen/>
        <w:t>ка может быть создана тремя конструкторскими бюро: ОКБ-16 АС. Нудельмана, ОКБ-15 Б. Г. Шпитального и ЦАКБ В.Г. Гра-бина. При этом пушки ОКБ-15 и ОКБ-16 могли устанавливать</w:t>
      </w:r>
      <w:r w:rsidRPr="00D03F3E">
        <w:rPr>
          <w:rFonts w:ascii="Times New Roman" w:hAnsi="Times New Roman"/>
          <w:color w:val="000000" w:themeColor="text1"/>
          <w:sz w:val="16"/>
          <w:szCs w:val="16"/>
        </w:rPr>
        <w:softHyphen/>
        <w:t>ся как на самолет Ил-2, так и на Як-9т, а пушка ЦАКБ — только на «Як». При обсуждении предварительных предложений А.С. Нудельман и В.Г. Грабин гарантировали силу отдачи в пре делах 2300 кг и 3000 кг соответственно. И хотя по ТТТ усилие отдачи ограничивалось 2000 кг при весе самой пушки не более 200 кг, было решено допустить их к дальнейшей работе (11474,357).</w:t>
      </w:r>
    </w:p>
    <w:p w14:paraId="7428DF3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F08A5CF" w14:textId="77777777" w:rsidR="007061EB" w:rsidRPr="00D03F3E" w:rsidRDefault="007061E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начале июня 1943 г. Государственным Комитетом Обороны была поставлена задача создания 45-мм авиационной пушки для установки на самолеты Як-9т и Ил-2  С ее помощью рассчи</w:t>
      </w:r>
      <w:r w:rsidRPr="00D03F3E">
        <w:rPr>
          <w:color w:val="000000" w:themeColor="text1"/>
          <w:sz w:val="16"/>
          <w:szCs w:val="16"/>
        </w:rPr>
        <w:softHyphen/>
        <w:t>тывали бороться с тяжелой немецкой бронетех</w:t>
      </w:r>
      <w:r w:rsidRPr="00D03F3E">
        <w:rPr>
          <w:color w:val="000000" w:themeColor="text1"/>
          <w:sz w:val="16"/>
          <w:szCs w:val="16"/>
        </w:rPr>
        <w:softHyphen/>
        <w:t>никой.</w:t>
      </w:r>
    </w:p>
    <w:p w14:paraId="69CDEC36" w14:textId="77777777" w:rsidR="007061EB" w:rsidRPr="00D03F3E" w:rsidRDefault="007061EB"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проработки этого вопроса стало ясно, что такая пушка может быть создана 3 конструк</w:t>
      </w:r>
      <w:r w:rsidRPr="00D03F3E">
        <w:rPr>
          <w:color w:val="000000" w:themeColor="text1"/>
          <w:sz w:val="16"/>
          <w:szCs w:val="16"/>
        </w:rPr>
        <w:softHyphen/>
        <w:t>торскими бюро: ОКБ-16 А. Э. Нудельмана, ОКБ-15 Б. Г. Шпитального и ЦАКБ В. Г. Грабина. При этом пушки ОКБ-15 и ОКБ-16 могли устанавливаться как на самолет Ил-2, так и на Як-9т, а пушка ЦАКБ — только на Як-9т. При обсуждении предварительных предложений А. Э. Нудельман и В. Г. Грабин гаран</w:t>
      </w:r>
      <w:r w:rsidRPr="00D03F3E">
        <w:rPr>
          <w:color w:val="000000" w:themeColor="text1"/>
          <w:sz w:val="16"/>
          <w:szCs w:val="16"/>
        </w:rPr>
        <w:softHyphen/>
        <w:t>тировали силу отдачи в пределах 2300 и 3000 кг соответственно. И хотя по ТТТ усилие отдачи огра</w:t>
      </w:r>
      <w:r w:rsidRPr="00D03F3E">
        <w:rPr>
          <w:color w:val="000000" w:themeColor="text1"/>
          <w:sz w:val="16"/>
          <w:szCs w:val="16"/>
        </w:rPr>
        <w:softHyphen/>
        <w:t>ничивалось 2000 кг при весе самой пушки не более 200 кг, было решено допустить их к дальнейшей работе (17500).</w:t>
      </w:r>
    </w:p>
    <w:p w14:paraId="1BEBB0AE" w14:textId="77777777" w:rsidR="007061EB" w:rsidRPr="00D03F3E" w:rsidRDefault="007061EB" w:rsidP="00D03F3E">
      <w:pPr>
        <w:spacing w:after="0" w:line="240" w:lineRule="auto"/>
        <w:jc w:val="both"/>
        <w:rPr>
          <w:rFonts w:ascii="Times New Roman" w:eastAsia="Times New Roman" w:hAnsi="Times New Roman"/>
          <w:color w:val="000000" w:themeColor="text1"/>
          <w:sz w:val="16"/>
          <w:szCs w:val="16"/>
          <w:lang w:eastAsia="ru-RU"/>
        </w:rPr>
      </w:pPr>
    </w:p>
    <w:p w14:paraId="3BE5CD9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началу июня 1943 г., с опозданием из-за большой загрузкой ОКБ С.В. Ильюшина по совершенствованию серийных самолетов и другим опытным машинам были закончены чертежи Ил-1 с мотором АМ-42 (10680).</w:t>
      </w:r>
    </w:p>
    <w:p w14:paraId="7A0DE80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28B7F9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начале июня 1943 Зам. начальника 7-го гл. управления Алексеев писал письмо А.И.Шахурину.</w:t>
      </w:r>
    </w:p>
    <w:p w14:paraId="3CAB2B2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Докладываю, что построенный гл. конструктором Братухиным экспериментальный геликоптер "Омега" с двумя моторами МВ-6 проходит в настоящее время летные испытания в г. Алма-Ата.</w:t>
      </w:r>
    </w:p>
    <w:p w14:paraId="0DA3932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Геликоптер имеет фюзеляж, хвостовое оперение и шасси нормального самолетного типа и снабжен двумя трехлопастными металлическими винтами диаметром 7 м. Моторы находятся в разнесенных моторных гондолах, присоединенных к фюзеляжу с помощью двух сварных ферм.</w:t>
      </w:r>
    </w:p>
    <w:p w14:paraId="5751D03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Управляемость геликоптера при горизонтальном полете и висении осуществляется путем получения моментов от несущих винтов в продольном и поперечном направлениях.</w:t>
      </w:r>
    </w:p>
    <w:p w14:paraId="78AD573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Геликоптер может подыматься и опускаться по вертикали, не требуя аэродрома, находиться в воздухе в неподвижном состоянии и передвигаться по горизонтали вперед и назад.</w:t>
      </w:r>
    </w:p>
    <w:p w14:paraId="2CF7001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Расчетные данные геликоптера "Омега":</w:t>
      </w:r>
    </w:p>
    <w:p w14:paraId="1ACC488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Полетный вес - 1900 кг</w:t>
      </w:r>
    </w:p>
    <w:p w14:paraId="2A0838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Минимальная скорость - 0</w:t>
      </w:r>
    </w:p>
    <w:p w14:paraId="186369E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Максимальная скорость у земли - 186 км/час</w:t>
      </w:r>
    </w:p>
    <w:p w14:paraId="38E1F37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Разбег при взлете - 0</w:t>
      </w:r>
    </w:p>
    <w:p w14:paraId="4F47144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Пробег при посадке - 0</w:t>
      </w:r>
    </w:p>
    <w:p w14:paraId="74E2742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После рулежки и коротких подлетов, 19 мая с.г. произведены свободные (без привязи) полеты на геликоптере. В дальнейшем проводились подъемы и посадки. Первые полеты были ограничены временем 1-2 минутами и высотою - 3 м.</w:t>
      </w:r>
    </w:p>
    <w:p w14:paraId="2E90215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Согласно донесения Братухина, первые полеты показали удовлетворительное поведение геликоптера в воздухе по устойчивости и управляемости.</w:t>
      </w:r>
    </w:p>
    <w:p w14:paraId="6A5BE0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прилагаемых фотоснимках засняты отдельные моменты полета геликоптера 20 мая. Испытания продолжаются (1458,167).</w:t>
      </w:r>
    </w:p>
    <w:p w14:paraId="61C406D3" w14:textId="77777777" w:rsidR="00531570" w:rsidRPr="00D03F3E" w:rsidRDefault="00531570" w:rsidP="00D03F3E">
      <w:pPr>
        <w:pStyle w:val="Iauiue"/>
        <w:jc w:val="both"/>
        <w:rPr>
          <w:color w:val="000000" w:themeColor="text1"/>
          <w:sz w:val="16"/>
          <w:szCs w:val="16"/>
        </w:rPr>
      </w:pPr>
    </w:p>
    <w:p w14:paraId="3846C42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начале июня 1943 года была закончена реэвакуация завода № 293 НКАП из Билимбая в Химки (9360).</w:t>
      </w:r>
    </w:p>
    <w:p w14:paraId="0DE04E3C" w14:textId="77777777" w:rsidR="00531570" w:rsidRPr="00D03F3E" w:rsidRDefault="00531570" w:rsidP="00D03F3E">
      <w:pPr>
        <w:pStyle w:val="Iauiue"/>
        <w:jc w:val="both"/>
        <w:rPr>
          <w:color w:val="000000" w:themeColor="text1"/>
          <w:sz w:val="16"/>
          <w:szCs w:val="16"/>
        </w:rPr>
      </w:pPr>
    </w:p>
    <w:p w14:paraId="71261881"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5D86FC5B" w14:textId="77777777" w:rsidR="00531570" w:rsidRPr="00D03F3E" w:rsidRDefault="00531570" w:rsidP="00D03F3E">
      <w:pPr>
        <w:pStyle w:val="Iauiue"/>
        <w:jc w:val="both"/>
        <w:rPr>
          <w:iCs/>
          <w:color w:val="000000" w:themeColor="text1"/>
          <w:sz w:val="16"/>
          <w:szCs w:val="16"/>
        </w:rPr>
      </w:pPr>
    </w:p>
    <w:p w14:paraId="1E8C13B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июня 1943 г., поскольку прогресса в де</w:t>
      </w:r>
      <w:r w:rsidRPr="00D03F3E">
        <w:rPr>
          <w:rFonts w:ascii="Times New Roman" w:hAnsi="Times New Roman"/>
          <w:color w:val="000000" w:themeColor="text1"/>
          <w:sz w:val="16"/>
          <w:szCs w:val="16"/>
        </w:rPr>
        <w:softHyphen/>
        <w:t>ятельности наркомата по-прежнему не наблюдалось, кресло наркома вновь стало вакантным. И 28 июня 1943 г. оно после короткой паузы было вновь возвращено В. Малышеву, кото</w:t>
      </w:r>
      <w:r w:rsidRPr="00D03F3E">
        <w:rPr>
          <w:rFonts w:ascii="Times New Roman" w:hAnsi="Times New Roman"/>
          <w:color w:val="000000" w:themeColor="text1"/>
          <w:sz w:val="16"/>
          <w:szCs w:val="16"/>
        </w:rPr>
        <w:softHyphen/>
        <w:t>рого И. Сталин назовет впоследствии «Суворовым советско</w:t>
      </w:r>
      <w:r w:rsidRPr="00D03F3E">
        <w:rPr>
          <w:rFonts w:ascii="Times New Roman" w:hAnsi="Times New Roman"/>
          <w:color w:val="000000" w:themeColor="text1"/>
          <w:sz w:val="16"/>
          <w:szCs w:val="16"/>
        </w:rPr>
        <w:softHyphen/>
        <w:t>го танкостроения» (11135).</w:t>
      </w:r>
    </w:p>
    <w:p w14:paraId="7EDC1E9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D8EE7B7"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июня 1943 был подготовлен доклад военпреда ГБТУ КА на заводе № 37 капитана Ворогушина, посвящённый выполнению майской программы 1943 года. За этот месяц предприятие сдало 15СУ-76И (за апрель-25):</w:t>
      </w:r>
    </w:p>
    <w:p w14:paraId="4E5C355D"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мае 1943 года завод № 37 должен был по плану выпустить 35 машин СУ-76И, фактически выпущено 15 штук.</w:t>
      </w:r>
    </w:p>
    <w:p w14:paraId="4278217A"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Причины невыполнения плана следующие.</w:t>
      </w:r>
    </w:p>
    <w:p w14:paraId="15A9265B"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Почти полное отсутствие в производстве машин. Дело в том, что в апреле завод затратил много сил на выполнение апрельского плана. Рабочие работали в цехах, особенно в последней пятидневке месяца, круглыми сутками. Все машины, обеспеченные деталями, были собраны и окончательно сданы военной приёмке. Таким образом, все силы завода задействовали на выполнение апрельского плана, задел для изготовления машин практически не производился.</w:t>
      </w:r>
    </w:p>
    <w:p w14:paraId="15312D27"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Благодаря активной работе в апреле и небольшого количества деталей, оставшихся для сборки самоходок, завод по существу не работал до 7 мая, так как рабочие вынуждены были отдыхать. Таким образом, количество рабочих дней в мае сократилось до 21.</w:t>
      </w:r>
    </w:p>
    <w:p w14:paraId="1A9DFE92"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Исключительно плохая помощь заводу оказывается со стороны Наркомтанкпрома. То, что завод не в состоянии изготавливать у себя, размещается по другим предприятиям только по инициативе завода, при этом с большими трудностями. Наркомат танковой промышленности не только не оказывает помощи заводу в размещении заказов на других заводах, но, заявляя, что необходимо ремонтировать машины только за счёт снятия деталей с других машин, а не идти по линии изготовления хотя бы незначительного количества и маю трудоемких деталей, тем самым направляет руководства завода по неправильному пути. Благодаря такому мнению руководство завода живет только сегодняшним днем, разукомплектовывая ремфонд и собирая, по существу, из двух машин одну.</w:t>
      </w:r>
    </w:p>
    <w:p w14:paraId="3A3BF2DE"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Недостаточное количество квалифицированной рабочей силы на заводе. Так, например, из-за отсутствия электросварщиков сборочный цех имел несколько дней простоя. Отдел же кадров завода, несмотря на острую необходимость в электросварщиках, не обеспечил своевременное обучение их необходимого количества, хотя все возможности для этого имелись. Только в конце мая директор завода издал приказ об обучении, или вернее, подготовке из неквалифицированного состава рабочих, четырех электросварщиков.</w:t>
      </w:r>
    </w:p>
    <w:p w14:paraId="28E10199"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Из-за отсутствия токарей механический цех завода полностью также не загружен. Этот цех в мае имел большие простои станков, и в то же время сборочный цех ощущал недостаток в изделиях механического цеха.</w:t>
      </w:r>
    </w:p>
    <w:p w14:paraId="5B0700FB"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Сборочный цех завода также ощущал большой недостаток в рабочей силе. В цехе имеется шесть основных сборочных бригад, которые при нормальных условиях и напряженной работе могут собирать в месяц не более 25 машин. Таким образом, при всех благоприятных условиях плановое задание заводу по выпуску самоходок не было обеспечено. Для увеличения же количества бригад дирекция завода мер пока ещё не приняла.</w:t>
      </w:r>
    </w:p>
    <w:p w14:paraId="36BD7214"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Анализируя существующее положение на заводе можно отметить, что и в июне месяце он не сможет выполнить заданный ему план, фактически может быть выпушено из ремонта и переделано на СУ-76И 20–25 машин. Это подтверждается тем, что имеющийся ремфонд сильно разукомплектован. Так, например, ни на одной машине нет магнето, многие не обеспечены венцом ведущего колеса, катками ходовой части, шестернями газораспределения и совершенно отсутствуют специальные манжеты в системе гидравлических тормозов.</w:t>
      </w:r>
    </w:p>
    <w:p w14:paraId="1CCE3B64"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Сейчас производятся опыты по установке на машины магнето отечественного производства, однако получение их откуда-либо затруднительно. С шестернями газораспределения, венцами ведущего колеса и манжетами для гидротормоза вопрос на сегодня совершенно не решен. Количество остродефицитных деталей не ограничивается этим, и равняется примерно 75 наименованиям.</w:t>
      </w:r>
    </w:p>
    <w:p w14:paraId="2EC921CD"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бы даже завод был полностью удовлетворен запасными частями, то из-за отсутствия достаточного количества рабочей силы, особенно в сборочном цехе, в июне месяце можно выпустить не более 25 машин».</w:t>
      </w:r>
    </w:p>
    <w:p w14:paraId="75229155"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Кстати, уже в июне 1943 года на заводе № 37 начались проблемы с поставкой трофейных шасси для переделки их в самоходки. Дело в том, что в марте — апреле большинство машин поступали с завода № 40, рембаз № 8 и 82, то есть уже после проведения ремонта. Кроме того, прибывающий для нужд сборки на завод № 37 ремфонд охранялся. Начиная же с мая трофейные танки стали поступать главным образом с Юго-Западного фронта, причем в очень плохом состоянии «в смысле его укомплектованности и пригодности деталей для ремонта».</w:t>
      </w:r>
    </w:p>
    <w:p w14:paraId="4A2E5E3E"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 по состоянию на 5 июня 1943 года ситуация с шасси для СУ-76И была следующей. Всего с февраля на завод № 37 завезли 127 трофейных танков Pz. III и самоходных установок StuG III. Из этого количества: 27 поступило с завода № 40 (бывший № 592), 27 — с ремзавода № 82, 15 — с ремзавода № 8,7-с Калининского и 35 с Юго-Западного фронтов, 15 — из учебного центра самоходной артиллерии.</w:t>
      </w:r>
    </w:p>
    <w:p w14:paraId="6FE24DCE"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Из этого количества было списано как негодные 24 машины, отремонтировано и переделано в СУ-76И — 41 и в процессе производства находилось — 30 единиц. Таким образом, по состоянию на 5 июня 1943 года ремонтный фонд завода № 37 составлял 32 единицы. Кроме того, в тот же день на станцию Черкизово прибыл железнодорожный транспорт с 26 трофейными танками, из которых «беглым осмотром выявлено примерно 15 машин годных к ремонту, остальные в большинстве </w:t>
      </w:r>
      <w:r w:rsidRPr="00D03F3E">
        <w:rPr>
          <w:rFonts w:ascii="Times New Roman" w:hAnsi="Times New Roman"/>
          <w:color w:val="000000" w:themeColor="text1"/>
          <w:sz w:val="16"/>
          <w:szCs w:val="16"/>
        </w:rPr>
        <w:lastRenderedPageBreak/>
        <w:t>горелые и разукомплектованные». В своих выводах по этому вопросу помощник военпреда ГБТУ КА на заводе инженер-капитан А. Шитов 5 июля 1943 года сообщал следующее:</w:t>
      </w:r>
    </w:p>
    <w:p w14:paraId="57CFDD82"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«Большинство машин приходят либо разукомплектованными, либо с негодными к ремонту агрегатами и деталями. Особо остро стоит вопрос с опорными катками, магнето, распределительными шестернями, манжетами поршней тормозной гидросистемы и рядом других. Из-за некомплектности танков и невозможности изготовить ряд деталей своими силами, работники сборочного цеха черпают эти детали за счет вновь прибывающего на завод ремфонда. Таким образом, имеющийся в данный момент задел в 32 единицы почти полностью „раздет“, и фактически из двух машин собирается одна.</w:t>
      </w:r>
    </w:p>
    <w:p w14:paraId="5C719FDD"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Считаю, что при данном количестве ремфонда и при вышеизложенном его состоянии, и кроме того, учитывая производственную возможность завода для воспроизводства целого ряда деталей, завод не сумеет справиться с возложенной на него Правительством программой, если в самом ближайшем будущем ему не будет предоставлен в достаточном количестве и в укомплектованном состоянии ремонтный фонд. Кроме того, завод в ближайшее время обязан будет выдавать полковой и ремонтный комплекты ЗИПа, что главным образом, потребует большого количества ремфонда» (12688).</w:t>
      </w:r>
    </w:p>
    <w:p w14:paraId="0E0EC0BF" w14:textId="77777777" w:rsidR="00FD6DE2" w:rsidRPr="00D03F3E" w:rsidRDefault="00FD6DE2" w:rsidP="00D03F3E">
      <w:pPr>
        <w:spacing w:after="0" w:line="240" w:lineRule="auto"/>
        <w:jc w:val="both"/>
        <w:rPr>
          <w:rFonts w:ascii="Times New Roman" w:hAnsi="Times New Roman"/>
          <w:color w:val="000000" w:themeColor="text1"/>
          <w:sz w:val="16"/>
          <w:szCs w:val="16"/>
        </w:rPr>
      </w:pPr>
    </w:p>
    <w:p w14:paraId="5251D874" w14:textId="0554D891" w:rsidR="00334572" w:rsidRPr="00D03F3E" w:rsidRDefault="00334572" w:rsidP="00D03F3E">
      <w:pPr>
        <w:pStyle w:val="Iauiue"/>
        <w:jc w:val="both"/>
        <w:rPr>
          <w:i/>
          <w:iCs/>
          <w:color w:val="000000" w:themeColor="text1"/>
          <w:sz w:val="16"/>
          <w:szCs w:val="16"/>
        </w:rPr>
      </w:pPr>
      <w:r w:rsidRPr="00D03F3E">
        <w:rPr>
          <w:i/>
          <w:iCs/>
          <w:color w:val="000000" w:themeColor="text1"/>
          <w:sz w:val="16"/>
          <w:szCs w:val="16"/>
        </w:rPr>
        <w:t>Армиия:</w:t>
      </w:r>
    </w:p>
    <w:p w14:paraId="2BE9307B" w14:textId="77777777" w:rsidR="00334572" w:rsidRPr="00D03F3E" w:rsidRDefault="00334572" w:rsidP="00D03F3E">
      <w:pPr>
        <w:pStyle w:val="Iauiue"/>
        <w:jc w:val="both"/>
        <w:rPr>
          <w:i/>
          <w:iCs/>
          <w:color w:val="000000" w:themeColor="text1"/>
          <w:sz w:val="16"/>
          <w:szCs w:val="16"/>
        </w:rPr>
      </w:pPr>
    </w:p>
    <w:p w14:paraId="2304D452"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 началу июня 1942 на аэродромах в районе Орла и Брянска немцами были сосредоточены пять истребительных авиагрупп: I., III. и IV./JG51 «Мёльдерс», I. и II./JG54 «Грюнхерц», из которых три были полностью вооружены самолетами FW</w:t>
      </w:r>
      <w:r w:rsidRPr="00D03F3E">
        <w:rPr>
          <w:rFonts w:ascii="Times New Roman" w:hAnsi="Times New Roman"/>
          <w:color w:val="0070C0"/>
          <w:sz w:val="16"/>
          <w:szCs w:val="16"/>
        </w:rPr>
        <w:noBreakHyphen/>
        <w:t>190A. Там же находилась и испанская эскадрилья 15.(Span)/JG51.</w:t>
      </w:r>
    </w:p>
    <w:p w14:paraId="0B52221F"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Накануне 4 июня на аэродромы Орловского выступа скрытно перебазировались бомбардировщики. В Олсуфьево из Мелитополя прибыли Не</w:t>
      </w:r>
      <w:r w:rsidRPr="00D03F3E">
        <w:rPr>
          <w:rFonts w:ascii="Times New Roman" w:hAnsi="Times New Roman"/>
          <w:color w:val="0070C0"/>
          <w:sz w:val="16"/>
          <w:szCs w:val="16"/>
        </w:rPr>
        <w:noBreakHyphen/>
        <w:t>111 из KG27 «Бёльке», а в Карачев и Сещинскую с аэродрома Сталино перелетели «Хейнкели» из II. и III./KG55 «Грайф», кроме того, в Сещинской приземлились экипажи I./KG 100 «Викинг», которым поручалась роль лидеров («цельфиндеров»). Всего на Брянско</w:t>
      </w:r>
      <w:r w:rsidRPr="00D03F3E">
        <w:rPr>
          <w:rFonts w:ascii="Times New Roman" w:hAnsi="Times New Roman"/>
          <w:color w:val="0070C0"/>
          <w:sz w:val="16"/>
          <w:szCs w:val="16"/>
        </w:rPr>
        <w:noBreakHyphen/>
        <w:t>Орловском аэроузле немцам удалось скрытно сосредоточить девять бомбардировочных групп из семи эскадр. Общее оперативное руководство их действиями принял на себя командир 1</w:t>
      </w:r>
      <w:r w:rsidRPr="00D03F3E">
        <w:rPr>
          <w:rFonts w:ascii="Times New Roman" w:hAnsi="Times New Roman"/>
          <w:color w:val="0070C0"/>
          <w:sz w:val="16"/>
          <w:szCs w:val="16"/>
        </w:rPr>
        <w:noBreakHyphen/>
        <w:t>й авиадивизии генерал</w:t>
      </w:r>
      <w:r w:rsidRPr="00D03F3E">
        <w:rPr>
          <w:rFonts w:ascii="Times New Roman" w:hAnsi="Times New Roman"/>
          <w:color w:val="0070C0"/>
          <w:sz w:val="16"/>
          <w:szCs w:val="16"/>
        </w:rPr>
        <w:noBreakHyphen/>
        <w:t>лейтенант Альфред Бюловиус (23199).</w:t>
      </w:r>
    </w:p>
    <w:p w14:paraId="68F3A8A8" w14:textId="77777777" w:rsidR="00334572" w:rsidRPr="00D03F3E" w:rsidRDefault="00334572" w:rsidP="00D03F3E">
      <w:pPr>
        <w:spacing w:after="0" w:line="240" w:lineRule="auto"/>
        <w:jc w:val="both"/>
        <w:rPr>
          <w:rFonts w:ascii="Times New Roman" w:hAnsi="Times New Roman"/>
          <w:color w:val="0070C0"/>
          <w:sz w:val="16"/>
          <w:szCs w:val="16"/>
        </w:rPr>
      </w:pPr>
    </w:p>
    <w:p w14:paraId="765E4058" w14:textId="77777777" w:rsidR="00041C3A" w:rsidRPr="00D03F3E" w:rsidRDefault="00041C3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 началу июля 1943 г. под впечатлением мнимых майско</w:t>
      </w:r>
      <w:r w:rsidRPr="00D03F3E">
        <w:rPr>
          <w:rFonts w:ascii="Times New Roman" w:hAnsi="Times New Roman"/>
          <w:color w:val="0070C0"/>
          <w:sz w:val="16"/>
          <w:szCs w:val="16"/>
        </w:rPr>
        <w:noBreakHyphen/>
        <w:t>июньских «успехов» командование ВВС Красной армии подготовило очередную, уже третью подряд масштабную операцию по атакам немецких аэродромов. Общий замысел ее состоял в том, чтобы накануне предполагаемого немецкого наступления в районе Курского выступа взять и ударить сразу по всем авиабазам люфтваффе, дабы «намного ослабить группировку врага». Для участия в ней командующие 2</w:t>
      </w:r>
      <w:r w:rsidRPr="00D03F3E">
        <w:rPr>
          <w:rFonts w:ascii="Times New Roman" w:hAnsi="Times New Roman"/>
          <w:color w:val="0070C0"/>
          <w:sz w:val="16"/>
          <w:szCs w:val="16"/>
        </w:rPr>
        <w:noBreakHyphen/>
        <w:t>й и 17</w:t>
      </w:r>
      <w:r w:rsidRPr="00D03F3E">
        <w:rPr>
          <w:rFonts w:ascii="Times New Roman" w:hAnsi="Times New Roman"/>
          <w:color w:val="0070C0"/>
          <w:sz w:val="16"/>
          <w:szCs w:val="16"/>
        </w:rPr>
        <w:noBreakHyphen/>
        <w:t>й воздушными армиями решили задействовать не менее сотни Ил</w:t>
      </w:r>
      <w:r w:rsidRPr="00D03F3E">
        <w:rPr>
          <w:rFonts w:ascii="Times New Roman" w:hAnsi="Times New Roman"/>
          <w:color w:val="0070C0"/>
          <w:sz w:val="16"/>
          <w:szCs w:val="16"/>
        </w:rPr>
        <w:noBreakHyphen/>
        <w:t>2 и в два раза больше истребителей сопровождения.</w:t>
      </w:r>
    </w:p>
    <w:p w14:paraId="18D75679" w14:textId="77777777" w:rsidR="00041C3A" w:rsidRPr="00D03F3E" w:rsidRDefault="00041C3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Сигналом к началу массированной атаки должны были стать «очевидные признаки подготовки противника к наступлению», а именно перебазирование немецких самолетов на прифронтовые аэродромы. И таковое после томительного ожидания началось вечером 4 июля. Советские наземные наблюдатели и разведчики ночью наперебой докладывали о массовом перелете разных типов самолетов, шуме двигателей и других признаках приготовлений. После этого советское командование решило, что час пробил. Так, командующий Воронежским фронтом генерал</w:t>
      </w:r>
      <w:r w:rsidRPr="00D03F3E">
        <w:rPr>
          <w:rFonts w:ascii="Times New Roman" w:hAnsi="Times New Roman"/>
          <w:color w:val="0070C0"/>
          <w:sz w:val="16"/>
          <w:szCs w:val="16"/>
        </w:rPr>
        <w:noBreakHyphen/>
        <w:t>полковник Н.Ф. Ватутин лично санкционировал удар 2</w:t>
      </w:r>
      <w:r w:rsidRPr="00D03F3E">
        <w:rPr>
          <w:rFonts w:ascii="Times New Roman" w:hAnsi="Times New Roman"/>
          <w:color w:val="0070C0"/>
          <w:sz w:val="16"/>
          <w:szCs w:val="16"/>
        </w:rPr>
        <w:noBreakHyphen/>
        <w:t>й воздушной армии по аэродромам. Воздушная операция должна была начаться с рассветом 5 июля.</w:t>
      </w:r>
    </w:p>
    <w:p w14:paraId="181D2605" w14:textId="77777777" w:rsidR="00041C3A" w:rsidRPr="00D03F3E" w:rsidRDefault="00041C3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Всю ночь на аэродромах кипела работа, механики готовили «горбатых» к вылету, подвешивали бомбы и «эрэсы». Командиры полков и эскадрилий изучали аэрофотоснимки авиабаз, взлетных площадок и основные ориентиры. Все цели были поделены между ударными группами. Так, 237</w:t>
      </w:r>
      <w:r w:rsidRPr="00D03F3E">
        <w:rPr>
          <w:rFonts w:ascii="Times New Roman" w:hAnsi="Times New Roman"/>
          <w:color w:val="0070C0"/>
          <w:sz w:val="16"/>
          <w:szCs w:val="16"/>
        </w:rPr>
        <w:noBreakHyphen/>
        <w:t>й шап должен был «накрыть» аэродромы Основа и Харьков</w:t>
      </w:r>
      <w:r w:rsidRPr="00D03F3E">
        <w:rPr>
          <w:rFonts w:ascii="Times New Roman" w:hAnsi="Times New Roman"/>
          <w:color w:val="0070C0"/>
          <w:sz w:val="16"/>
          <w:szCs w:val="16"/>
        </w:rPr>
        <w:noBreakHyphen/>
        <w:t>Рогань, 266</w:t>
      </w:r>
      <w:r w:rsidRPr="00D03F3E">
        <w:rPr>
          <w:rFonts w:ascii="Times New Roman" w:hAnsi="Times New Roman"/>
          <w:color w:val="0070C0"/>
          <w:sz w:val="16"/>
          <w:szCs w:val="16"/>
        </w:rPr>
        <w:noBreakHyphen/>
        <w:t>я, 291</w:t>
      </w:r>
      <w:r w:rsidRPr="00D03F3E">
        <w:rPr>
          <w:rFonts w:ascii="Times New Roman" w:hAnsi="Times New Roman"/>
          <w:color w:val="0070C0"/>
          <w:sz w:val="16"/>
          <w:szCs w:val="16"/>
        </w:rPr>
        <w:noBreakHyphen/>
        <w:t>я и 292</w:t>
      </w:r>
      <w:r w:rsidRPr="00D03F3E">
        <w:rPr>
          <w:rFonts w:ascii="Times New Roman" w:hAnsi="Times New Roman"/>
          <w:color w:val="0070C0"/>
          <w:sz w:val="16"/>
          <w:szCs w:val="16"/>
        </w:rPr>
        <w:noBreakHyphen/>
        <w:t>я шад наносили удар по аэродромам Харьков</w:t>
      </w:r>
      <w:r w:rsidRPr="00D03F3E">
        <w:rPr>
          <w:rFonts w:ascii="Times New Roman" w:hAnsi="Times New Roman"/>
          <w:color w:val="0070C0"/>
          <w:sz w:val="16"/>
          <w:szCs w:val="16"/>
        </w:rPr>
        <w:noBreakHyphen/>
        <w:t>Сокольники, Микояновка и Померки, а Илы из 17</w:t>
      </w:r>
      <w:r w:rsidRPr="00D03F3E">
        <w:rPr>
          <w:rFonts w:ascii="Times New Roman" w:hAnsi="Times New Roman"/>
          <w:color w:val="0070C0"/>
          <w:sz w:val="16"/>
          <w:szCs w:val="16"/>
        </w:rPr>
        <w:noBreakHyphen/>
        <w:t>й воздушной армии взяли на себя Барвенково и Краматорск. Для атаки каждой цели выделялись группы по восемнадцать штурмовиков (23199).</w:t>
      </w:r>
    </w:p>
    <w:p w14:paraId="31483AED" w14:textId="77777777" w:rsidR="00041C3A" w:rsidRPr="00D03F3E" w:rsidRDefault="00041C3A" w:rsidP="00D03F3E">
      <w:pPr>
        <w:spacing w:after="0" w:line="240" w:lineRule="auto"/>
        <w:jc w:val="both"/>
        <w:rPr>
          <w:rFonts w:ascii="Times New Roman" w:hAnsi="Times New Roman"/>
          <w:color w:val="0070C0"/>
          <w:sz w:val="16"/>
          <w:szCs w:val="16"/>
        </w:rPr>
      </w:pPr>
    </w:p>
    <w:p w14:paraId="67052298" w14:textId="28E9C9A3"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4B0D1ECC" w14:textId="77777777" w:rsidR="00531570" w:rsidRPr="00D03F3E" w:rsidRDefault="00531570" w:rsidP="00D03F3E">
      <w:pPr>
        <w:pStyle w:val="Iauiue"/>
        <w:jc w:val="both"/>
        <w:rPr>
          <w:iCs/>
          <w:color w:val="000000" w:themeColor="text1"/>
          <w:sz w:val="16"/>
          <w:szCs w:val="16"/>
        </w:rPr>
      </w:pPr>
    </w:p>
    <w:p w14:paraId="5163626F" w14:textId="77777777" w:rsidR="006B6B4C" w:rsidRPr="00D03F3E" w:rsidRDefault="006B6B4C"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7 июня 1943 комиссией НКАП под предсе</w:t>
      </w:r>
      <w:r w:rsidRPr="00D03F3E">
        <w:rPr>
          <w:rFonts w:ascii="Times New Roman" w:hAnsi="Times New Roman" w:cs="Times New Roman"/>
          <w:color w:val="000000" w:themeColor="text1"/>
          <w:sz w:val="16"/>
          <w:szCs w:val="16"/>
        </w:rPr>
        <w:softHyphen/>
        <w:t>дательством С.Н. Шишкина было подго</w:t>
      </w:r>
      <w:r w:rsidRPr="00D03F3E">
        <w:rPr>
          <w:rFonts w:ascii="Times New Roman" w:hAnsi="Times New Roman" w:cs="Times New Roman"/>
          <w:color w:val="000000" w:themeColor="text1"/>
          <w:sz w:val="16"/>
          <w:szCs w:val="16"/>
        </w:rPr>
        <w:softHyphen/>
        <w:t>товлено итоговое заключение по вопросу прочности самолетов Ил-2 в двухместном варианте. Основные выводы сводились к следующему.</w:t>
      </w:r>
    </w:p>
    <w:p w14:paraId="6CC40C7F" w14:textId="77777777" w:rsidR="006B6B4C" w:rsidRPr="00D03F3E" w:rsidRDefault="006B6B4C"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Прочность крыла «при нормальной кондиции материала и технологии его из</w:t>
      </w:r>
      <w:r w:rsidRPr="00D03F3E">
        <w:rPr>
          <w:rFonts w:ascii="Times New Roman" w:hAnsi="Times New Roman" w:cs="Times New Roman"/>
          <w:color w:val="000000" w:themeColor="text1"/>
          <w:sz w:val="16"/>
          <w:szCs w:val="16"/>
        </w:rPr>
        <w:softHyphen/>
        <w:t>готовления» удовлетворяет требованиям норм прочности 1943 г. при полетном весе 6080 кг». С учетом этого все «имев</w:t>
      </w:r>
      <w:r w:rsidRPr="00D03F3E">
        <w:rPr>
          <w:rFonts w:ascii="Times New Roman" w:hAnsi="Times New Roman" w:cs="Times New Roman"/>
          <w:color w:val="000000" w:themeColor="text1"/>
          <w:sz w:val="16"/>
          <w:szCs w:val="16"/>
        </w:rPr>
        <w:softHyphen/>
        <w:t>шие место случаи срыва обшивки и раз</w:t>
      </w:r>
      <w:r w:rsidRPr="00D03F3E">
        <w:rPr>
          <w:rFonts w:ascii="Times New Roman" w:hAnsi="Times New Roman" w:cs="Times New Roman"/>
          <w:color w:val="000000" w:themeColor="text1"/>
          <w:sz w:val="16"/>
          <w:szCs w:val="16"/>
        </w:rPr>
        <w:softHyphen/>
        <w:t>рушения крыльев в воздухе могут объяс</w:t>
      </w:r>
      <w:r w:rsidRPr="00D03F3E">
        <w:rPr>
          <w:rFonts w:ascii="Times New Roman" w:hAnsi="Times New Roman" w:cs="Times New Roman"/>
          <w:color w:val="000000" w:themeColor="text1"/>
          <w:sz w:val="16"/>
          <w:szCs w:val="16"/>
        </w:rPr>
        <w:softHyphen/>
        <w:t>няться только неблагоприятным совпа</w:t>
      </w:r>
      <w:r w:rsidRPr="00D03F3E">
        <w:rPr>
          <w:rFonts w:ascii="Times New Roman" w:hAnsi="Times New Roman" w:cs="Times New Roman"/>
          <w:color w:val="000000" w:themeColor="text1"/>
          <w:sz w:val="16"/>
          <w:szCs w:val="16"/>
        </w:rPr>
        <w:softHyphen/>
        <w:t>дением плохого технологического изго</w:t>
      </w:r>
      <w:r w:rsidRPr="00D03F3E">
        <w:rPr>
          <w:rFonts w:ascii="Times New Roman" w:hAnsi="Times New Roman" w:cs="Times New Roman"/>
          <w:color w:val="000000" w:themeColor="text1"/>
          <w:sz w:val="16"/>
          <w:szCs w:val="16"/>
        </w:rPr>
        <w:softHyphen/>
        <w:t>товления, с получением очень высоких перегрузок при выходе из пикирования».</w:t>
      </w:r>
    </w:p>
    <w:p w14:paraId="38204B9D" w14:textId="77777777" w:rsidR="006B6B4C" w:rsidRPr="00D03F3E" w:rsidRDefault="006B6B4C"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Признавалось, что применение не</w:t>
      </w:r>
      <w:r w:rsidRPr="00D03F3E">
        <w:rPr>
          <w:rFonts w:ascii="Times New Roman" w:hAnsi="Times New Roman" w:cs="Times New Roman"/>
          <w:color w:val="000000" w:themeColor="text1"/>
          <w:sz w:val="16"/>
          <w:szCs w:val="16"/>
        </w:rPr>
        <w:softHyphen/>
        <w:t>качественных материалов - шпаклевки АШ-22, клея АК-20 и оклеечной ткани, не является причиной срыва обшивки крыла Ил-2. Особенно это касалось завода №30, где единственная полученная партия клея АК-20 в производство не пошла, а шпат</w:t>
      </w:r>
      <w:r w:rsidRPr="00D03F3E">
        <w:rPr>
          <w:rFonts w:ascii="Times New Roman" w:hAnsi="Times New Roman" w:cs="Times New Roman"/>
          <w:color w:val="000000" w:themeColor="text1"/>
          <w:sz w:val="16"/>
          <w:szCs w:val="16"/>
        </w:rPr>
        <w:softHyphen/>
        <w:t>левка АШ-22 завода № 34 НКХП и вовсе на завод не поступала.</w:t>
      </w:r>
    </w:p>
    <w:p w14:paraId="4A019A08" w14:textId="77777777" w:rsidR="006B6B4C" w:rsidRPr="00D03F3E" w:rsidRDefault="006B6B4C"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Главной же причиной срывов об</w:t>
      </w:r>
      <w:r w:rsidRPr="00D03F3E">
        <w:rPr>
          <w:rFonts w:ascii="Times New Roman" w:hAnsi="Times New Roman" w:cs="Times New Roman"/>
          <w:color w:val="000000" w:themeColor="text1"/>
          <w:sz w:val="16"/>
          <w:szCs w:val="16"/>
        </w:rPr>
        <w:softHyphen/>
        <w:t>шивки и пониженной прочности крыла являлась неудачная конструкция крепле</w:t>
      </w:r>
      <w:r w:rsidRPr="00D03F3E">
        <w:rPr>
          <w:rFonts w:ascii="Times New Roman" w:hAnsi="Times New Roman" w:cs="Times New Roman"/>
          <w:color w:val="000000" w:themeColor="text1"/>
          <w:sz w:val="16"/>
          <w:szCs w:val="16"/>
        </w:rPr>
        <w:softHyphen/>
        <w:t>ния верхней и нижней обшивки консолей в сочетании с нарушениями технологии производства.</w:t>
      </w:r>
    </w:p>
    <w:p w14:paraId="3A7EF023" w14:textId="77777777" w:rsidR="006B6B4C" w:rsidRPr="00D03F3E" w:rsidRDefault="006B6B4C"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Наиболее слабым местом считался стык (усовое соединение) межлонжеронной части обшивки с фанерной поло</w:t>
      </w:r>
      <w:r w:rsidRPr="00D03F3E">
        <w:rPr>
          <w:rFonts w:ascii="Times New Roman" w:hAnsi="Times New Roman" w:cs="Times New Roman"/>
          <w:color w:val="000000" w:themeColor="text1"/>
          <w:sz w:val="16"/>
          <w:szCs w:val="16"/>
        </w:rPr>
        <w:softHyphen/>
        <w:t>сой, приклепываемой вдоль лонжерона к его полкам через дюралевую 1,5-мм на</w:t>
      </w:r>
      <w:r w:rsidRPr="00D03F3E">
        <w:rPr>
          <w:rFonts w:ascii="Times New Roman" w:hAnsi="Times New Roman" w:cs="Times New Roman"/>
          <w:color w:val="000000" w:themeColor="text1"/>
          <w:sz w:val="16"/>
          <w:szCs w:val="16"/>
        </w:rPr>
        <w:softHyphen/>
        <w:t>кладку. Соединение находилось непо</w:t>
      </w:r>
      <w:r w:rsidRPr="00D03F3E">
        <w:rPr>
          <w:rFonts w:ascii="Times New Roman" w:hAnsi="Times New Roman" w:cs="Times New Roman"/>
          <w:color w:val="000000" w:themeColor="text1"/>
          <w:sz w:val="16"/>
          <w:szCs w:val="16"/>
        </w:rPr>
        <w:softHyphen/>
        <w:t>средственно на стрингере, в силу чего «исключалась возможность гарантировать качественную его приклейку из-за невоз</w:t>
      </w:r>
      <w:r w:rsidRPr="00D03F3E">
        <w:rPr>
          <w:rFonts w:ascii="Times New Roman" w:hAnsi="Times New Roman" w:cs="Times New Roman"/>
          <w:color w:val="000000" w:themeColor="text1"/>
          <w:sz w:val="16"/>
          <w:szCs w:val="16"/>
        </w:rPr>
        <w:softHyphen/>
        <w:t>можности создать равномерное и при том достаточное давление при запрессовке за счет деформации стрингера». Причем своим верхним концом усовое соедине</w:t>
      </w:r>
      <w:r w:rsidRPr="00D03F3E">
        <w:rPr>
          <w:rFonts w:ascii="Times New Roman" w:hAnsi="Times New Roman" w:cs="Times New Roman"/>
          <w:color w:val="000000" w:themeColor="text1"/>
          <w:sz w:val="16"/>
          <w:szCs w:val="16"/>
        </w:rPr>
        <w:softHyphen/>
        <w:t>ние располагалось против (!) воздушного потока. Кроме того, «отсутствовали вырав</w:t>
      </w:r>
      <w:r w:rsidRPr="00D03F3E">
        <w:rPr>
          <w:rFonts w:ascii="Times New Roman" w:hAnsi="Times New Roman" w:cs="Times New Roman"/>
          <w:color w:val="000000" w:themeColor="text1"/>
          <w:sz w:val="16"/>
          <w:szCs w:val="16"/>
        </w:rPr>
        <w:softHyphen/>
        <w:t>нивающие и перекрывающие стыки фа</w:t>
      </w:r>
      <w:r w:rsidRPr="00D03F3E">
        <w:rPr>
          <w:rFonts w:ascii="Times New Roman" w:hAnsi="Times New Roman" w:cs="Times New Roman"/>
          <w:color w:val="000000" w:themeColor="text1"/>
          <w:sz w:val="16"/>
          <w:szCs w:val="16"/>
        </w:rPr>
        <w:softHyphen/>
        <w:t>нерные накладки в местах перехода с вы</w:t>
      </w:r>
      <w:r w:rsidRPr="00D03F3E">
        <w:rPr>
          <w:rFonts w:ascii="Times New Roman" w:hAnsi="Times New Roman" w:cs="Times New Roman"/>
          <w:color w:val="000000" w:themeColor="text1"/>
          <w:sz w:val="16"/>
          <w:szCs w:val="16"/>
        </w:rPr>
        <w:softHyphen/>
        <w:t>ступающей металлической накладки на обшивку».</w:t>
      </w:r>
    </w:p>
    <w:p w14:paraId="32CF3047" w14:textId="77777777" w:rsidR="006B6B4C" w:rsidRPr="00D03F3E" w:rsidRDefault="006B6B4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Предлагалось срочно внести измене</w:t>
      </w:r>
      <w:r w:rsidRPr="00D03F3E">
        <w:rPr>
          <w:rFonts w:ascii="Times New Roman" w:hAnsi="Times New Roman"/>
          <w:color w:val="000000" w:themeColor="text1"/>
          <w:sz w:val="16"/>
          <w:szCs w:val="16"/>
        </w:rPr>
        <w:softHyphen/>
        <w:t>ния в конструкцию усового соединения, сдвинуть вперед на 3-4% центровку са</w:t>
      </w:r>
      <w:r w:rsidRPr="00D03F3E">
        <w:rPr>
          <w:rFonts w:ascii="Times New Roman" w:hAnsi="Times New Roman"/>
          <w:color w:val="000000" w:themeColor="text1"/>
          <w:sz w:val="16"/>
          <w:szCs w:val="16"/>
        </w:rPr>
        <w:softHyphen/>
        <w:t>молета («для предотвращения перегрузок, больших допускаемых нормами прочно</w:t>
      </w:r>
      <w:r w:rsidRPr="00D03F3E">
        <w:rPr>
          <w:rFonts w:ascii="Times New Roman" w:hAnsi="Times New Roman"/>
          <w:color w:val="000000" w:themeColor="text1"/>
          <w:sz w:val="16"/>
          <w:szCs w:val="16"/>
        </w:rPr>
        <w:softHyphen/>
        <w:t>сти»), а также внести изменения в Курс боевой подготовки штурмовой авиации - увеличить высоту ввода в пикирование минимум до 500 м и до 400 км/ч ограни</w:t>
      </w:r>
      <w:r w:rsidRPr="00D03F3E">
        <w:rPr>
          <w:rFonts w:ascii="Times New Roman" w:hAnsi="Times New Roman"/>
          <w:color w:val="000000" w:themeColor="text1"/>
          <w:sz w:val="16"/>
          <w:szCs w:val="16"/>
        </w:rPr>
        <w:softHyphen/>
        <w:t>чить скорость на пикировании. Включить в инструкцию по технике пилотирова</w:t>
      </w:r>
      <w:r w:rsidRPr="00D03F3E">
        <w:rPr>
          <w:rFonts w:ascii="Times New Roman" w:hAnsi="Times New Roman"/>
          <w:color w:val="000000" w:themeColor="text1"/>
          <w:sz w:val="16"/>
          <w:szCs w:val="16"/>
        </w:rPr>
        <w:softHyphen/>
        <w:t>ния Ил-2 «четкие указания о необходимо</w:t>
      </w:r>
      <w:r w:rsidRPr="00D03F3E">
        <w:rPr>
          <w:rFonts w:ascii="Times New Roman" w:hAnsi="Times New Roman"/>
          <w:color w:val="000000" w:themeColor="text1"/>
          <w:sz w:val="16"/>
          <w:szCs w:val="16"/>
        </w:rPr>
        <w:softHyphen/>
        <w:t>сти плавного вывода самолета из пикиро</w:t>
      </w:r>
      <w:r w:rsidRPr="00D03F3E">
        <w:rPr>
          <w:rFonts w:ascii="Times New Roman" w:hAnsi="Times New Roman"/>
          <w:color w:val="000000" w:themeColor="text1"/>
          <w:sz w:val="16"/>
          <w:szCs w:val="16"/>
        </w:rPr>
        <w:softHyphen/>
        <w:t>вания, обеспечивающего перегрузку при выводе не более 4 единиц» (19558).</w:t>
      </w:r>
    </w:p>
    <w:p w14:paraId="517BEB29" w14:textId="77777777" w:rsidR="006B6B4C" w:rsidRPr="00D03F3E" w:rsidRDefault="006B6B4C" w:rsidP="00D03F3E">
      <w:pPr>
        <w:spacing w:after="0" w:line="240" w:lineRule="auto"/>
        <w:jc w:val="both"/>
        <w:rPr>
          <w:rFonts w:ascii="Times New Roman" w:hAnsi="Times New Roman"/>
          <w:color w:val="000000" w:themeColor="text1"/>
          <w:sz w:val="16"/>
          <w:szCs w:val="16"/>
        </w:rPr>
      </w:pPr>
    </w:p>
    <w:p w14:paraId="19F955C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 июня 1943 закончились заводские испытания Як-1М, которые начались 28 февраля 1943 (198,54).</w:t>
      </w:r>
    </w:p>
    <w:p w14:paraId="0D5D14AE" w14:textId="77777777" w:rsidR="00531570" w:rsidRPr="00D03F3E" w:rsidRDefault="00531570" w:rsidP="00D03F3E">
      <w:pPr>
        <w:pStyle w:val="Iauiue"/>
        <w:jc w:val="both"/>
        <w:rPr>
          <w:color w:val="000000" w:themeColor="text1"/>
          <w:sz w:val="16"/>
          <w:szCs w:val="16"/>
        </w:rPr>
      </w:pPr>
    </w:p>
    <w:p w14:paraId="0B9B794C"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7 июня 1943 завершили заводские испытания Як-1М (будущего Як-3) и в тот же день летчик НИИ ВВС Прошаков начал Государственные испытания (27751).</w:t>
      </w:r>
    </w:p>
    <w:p w14:paraId="66890D82" w14:textId="77777777" w:rsidR="00E024A1" w:rsidRPr="00D03F3E" w:rsidRDefault="00E024A1" w:rsidP="00D03F3E">
      <w:pPr>
        <w:spacing w:after="0" w:line="240" w:lineRule="auto"/>
        <w:jc w:val="both"/>
        <w:rPr>
          <w:rFonts w:ascii="Times New Roman" w:hAnsi="Times New Roman"/>
          <w:color w:val="0070C0"/>
          <w:sz w:val="16"/>
          <w:szCs w:val="16"/>
        </w:rPr>
      </w:pPr>
    </w:p>
    <w:p w14:paraId="46EF191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7 июня по 4 июля 1943 состоялись гос. испытания Як-1М (198,54) - это были основные и летал А.Г.Прошаков и с 21 по 22 июля 1943 были дополнительные (65,165).</w:t>
      </w:r>
    </w:p>
    <w:p w14:paraId="5DA1BAC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Ви был А.Т.Степанец (65,165).</w:t>
      </w:r>
    </w:p>
    <w:p w14:paraId="20874C1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То есть к Курску - опоздал</w:t>
      </w:r>
    </w:p>
    <w:p w14:paraId="017E17F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C 26 мая по 7 июня 1943 советская авиация произвела 845 самолето-вылетов по аэродромам противника Саки, Сарабуз, Керчь, Тамань, Анапа. Немецкая бомбардировочная авиация действовала и с аэродромов Крыма и Украины. Воздушные бои над Кубанским плацдармом были ожесточенными. На сравнительно узком, 25-30 километров, участке фронта, в день происходило до 40 групповых воздушных боев, в каждом из которых с обеих сторон участвовало 50-80 самолетов (3573).</w:t>
      </w:r>
    </w:p>
    <w:p w14:paraId="5D6A5F3B" w14:textId="77777777" w:rsidR="00531570" w:rsidRPr="00D03F3E" w:rsidRDefault="00531570" w:rsidP="00D03F3E">
      <w:pPr>
        <w:pStyle w:val="Iauiue"/>
        <w:jc w:val="both"/>
        <w:rPr>
          <w:color w:val="000000" w:themeColor="text1"/>
          <w:sz w:val="16"/>
          <w:szCs w:val="16"/>
        </w:rPr>
      </w:pPr>
    </w:p>
    <w:p w14:paraId="54D447F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июня 1943 самолет Як-1М, заводские испытания которого шли с 28 февраля, передали в НИИ ВВС. Ведущими по машине были летчик-испытатель А.Г. Прошаков и инженер А.Т. Степанец.</w:t>
      </w:r>
    </w:p>
    <w:p w14:paraId="6EDA3C8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Заводские испытания вел летчик-испытатель П.Я. Федрови и ведущий-инженер М.А. Григорьев. Заводские испытания и доводка Як-1М с серийным двигателем М-105ПФ (без форсирования по наддуву до 1100 мм рт. ст.) и с винтом ВИШ-61П, по меркам военного времени, продол жались довольно долго - свыше трех месяцев.</w:t>
      </w:r>
    </w:p>
    <w:p w14:paraId="4551DB4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государственных испытаний, завершившихся 22 июля, была получена скорость у земли 545 км/ч, а на высоте 4450 м - 632 км/ч, дальность на наивыгоднейшем режиме - 845 км, время выполнения виража на высоте 1000 метров - 15 - 17 секунд. Для сравнения: с серийным Як-1 №2985 саратовского авиазавода пустой опытный Як-1М полегчал на 282 кг. Вес горючего сократили на 35 кг, а взлетный уменьшился на 245 кг. При этом при одинаковой мощности двигателя максимальная скорость у земли возросла на 37 км/ч, а на высоте - на 62 км/ч.</w:t>
      </w:r>
    </w:p>
    <w:p w14:paraId="70569FA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получения разрешения В.Я. Климова на форсирование мотора по просьбе А.С. Яковлева в НИИ ВВС увеличили наддув М-105ПФдо 1100 мм рт. ст. путем регулировки РПД, но только на первой скорости нагнетателя. При этом рычаг переключения скоростей нагнетателя закрепили в положении "Первая скорость". Испытания, завершившиеся в августе того же года, подтвердили возможность форсирования двигателя и установки его на самолеты (12047).</w:t>
      </w:r>
    </w:p>
    <w:p w14:paraId="463736C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F3D9F8D"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7 июня</w:t>
      </w:r>
      <w:r w:rsidRPr="00D03F3E">
        <w:rPr>
          <w:rFonts w:ascii="Times New Roman" w:hAnsi="Times New Roman"/>
          <w:color w:val="000000" w:themeColor="text1"/>
          <w:sz w:val="16"/>
          <w:szCs w:val="16"/>
        </w:rPr>
        <w:t xml:space="preserve"> в 1943 году закончились (с 28 февраля) заводские испытания и начались государственные (с 7 июня по 4 июля 1943 года) испытания </w:t>
      </w:r>
      <w:hyperlink r:id="rId193" w:tgtFrame="_blank" w:history="1">
        <w:r w:rsidRPr="00D03F3E">
          <w:rPr>
            <w:rFonts w:ascii="Times New Roman" w:hAnsi="Times New Roman"/>
            <w:color w:val="000000" w:themeColor="text1"/>
            <w:sz w:val="16"/>
            <w:szCs w:val="16"/>
          </w:rPr>
          <w:t xml:space="preserve">«Як-1М». </w:t>
        </w:r>
      </w:hyperlink>
      <w:r w:rsidRPr="00D03F3E">
        <w:rPr>
          <w:rFonts w:ascii="Times New Roman" w:hAnsi="Times New Roman"/>
          <w:color w:val="000000" w:themeColor="text1"/>
          <w:sz w:val="16"/>
          <w:szCs w:val="16"/>
        </w:rPr>
        <w:t>К этому времени, основываясь на результатах испытаний мотора «М-106», ОКБ А.С.Яковлева выдвинуло предложение по дальнейшему форсированию мощности мотора «М-105ПФ» путем увеличения наддува с 1050 до 1100 мм рт. ст. При этом номинальная мощность мотора на первой скорости нагнетателя становилась 1310 л.с. на высоте 200 м (против 1260 л.с. на высоте 700 м), а на второй скорости нагнетателя - 1240 л.с. на высоте 2100 м (против 1180 л.с. на высоте 2700 м) (14915).</w:t>
      </w:r>
    </w:p>
    <w:p w14:paraId="0A1EB898" w14:textId="77777777" w:rsidR="001E3FAF" w:rsidRPr="00D03F3E" w:rsidRDefault="001E3FAF" w:rsidP="00D03F3E">
      <w:pPr>
        <w:spacing w:after="0" w:line="240" w:lineRule="auto"/>
        <w:jc w:val="both"/>
        <w:rPr>
          <w:rFonts w:ascii="Times New Roman" w:hAnsi="Times New Roman"/>
          <w:color w:val="000000" w:themeColor="text1"/>
          <w:sz w:val="16"/>
          <w:szCs w:val="16"/>
        </w:rPr>
      </w:pPr>
    </w:p>
    <w:p w14:paraId="579C66E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7 июня 1943 г. Як-1M успешно прошел заводские испытания, которые шли с 28 февраля и государственные (с 7 июня по 4 июля 1943 г.) испытания. К этому времени, основываясь на результатах испытаний мотора М-106, ОКБ А.С. Яковлева выдвинуло предложение по дальнейшему форсированию мощности мотора М-Ю5ПФ путем увеличения наддува с 1050 до 1100 мм рт.ст. При этом номинальная мощность мотора на первой скорости нагнетателя становилась 1310 л.с. на высоте 200 м (против 1260 л.с. на высоте 700 м), а на второй скорости нагнетателя - 1240 л.с. на высоте 2100 м (против 1180 л.с. на высоте 2700 м).</w:t>
      </w:r>
    </w:p>
    <w:p w14:paraId="2625656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февраля 1943 г. был построен первый прототип Як-IM с мотором М-105ПФ, который отличался от серийного Як-1, прежде всего, новым крылом меньшего размаха (9,2 м) и меньшей плошали (14,83 м2). Применение металлических лонжеронов крыла, уменьшение запаса топлива (установкой двух бензобаков в крыле и одного, расходного, в фюзеляже вместо четырех крыльевых бензобаков), уменьшение площади хвостового оперения и другие конструктивные мероприятия уменьшили полетный вес на 230 кг. Улучшение внешних форм и туннеля водо- радиатора (он стал более утоплен в фюзеляж, в связи с чем в стандартную ферму Як-1 в районе третьей рамы пришлось внести изменения для его крепления), перенос маслорадиатора в центральную часть крыла, использование индивидуальных на каждый цилиндр мотора реактивных выхлопных патрубков способствовали уменьшению аэродинамического сопротивления и увеличению максимальной скорости.</w:t>
      </w:r>
    </w:p>
    <w:p w14:paraId="03B0931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Разрешение на повышение наддува было получено от КБ В.Я. Климова, правда, только для первой скорости нагнетателя. С таким усеченным форсированием мощности мотора М-105ПФ Як-1М прошел 21-22 июля 1943 г. дополнительные испытания в НИИ ВВС с целью проверки возможности увеличения мощности с существующими устройствами охлаждения и снятия летных характеристик. К сожалению конструкторов, установленные на Як-1М водо- и маслора- диаторы оказались недостаточно эффективны. Для поиска дополнительных мер по улучшению обводов и работы устройств охлаждения самолет был отправлен в ЦАГИ, где в августе 1943 г. продувался в аэродинамической трубе.</w:t>
      </w:r>
    </w:p>
    <w:p w14:paraId="28087FD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основе результатов продувок 17 сентября 1943 г. был выпушен второй прототип Як-IM, или "Дублер", как его иногда называли. Помимо форсированного мотора, переведенного на повышенный наддув во всем диапазоне высот и получившего обозначение ВК-105ПФ2, на самолет был установлен винт ВИШ-105СВ-01, новые водо- и масло- радиаторы с увеличенными, по сравнению с первым экземпляром, площадями охлаждающих поверхностей (на 7 и 8,83 м2 соответственно). Вооружение усилили за счет установки двух синхронных пулеметов УБ, а мотор-пушку заменили опытной облегченной пушкой LUA-20M. Обшивка хвостовой части фюзеляжа стала полностью фанерной (тол- шиной 2 мм). Козырек фонаря выполнили беспереплетным. Ввели также многочисленные эксплуатационные улучшения. Вес конструкции "Дублера", по сравнению с Як-1, уменьшился на 250 кг.</w:t>
      </w:r>
    </w:p>
    <w:p w14:paraId="691C95A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Дублер успешно прошел заводские (с 20 по 30 сентября 1943 г.) и государственные (с 6 по 15 октября) испытания. Сравнительные испытания и учебные воздушные бои показали, что новый истребитель не уступает ни одному из истребителей воюющих на Восточном фронте сторон в скорости (кроме Ла-5ФН на форсаже), а также в скороподъемности и в вертикальном маневре до высоты 5000 м. Постановлением ГКО от 26 октября 1943 г. Як-IM был переименован в Як-3 и под этим обозначением запущен в серийное производство (12048).</w:t>
      </w:r>
    </w:p>
    <w:p w14:paraId="08A5CC8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BA46555"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7 июня</w:t>
      </w:r>
      <w:r w:rsidRPr="00D03F3E">
        <w:rPr>
          <w:rFonts w:ascii="Times New Roman" w:hAnsi="Times New Roman"/>
          <w:color w:val="000000" w:themeColor="text1"/>
          <w:sz w:val="16"/>
          <w:szCs w:val="16"/>
        </w:rPr>
        <w:t xml:space="preserve"> в 1943 году на Калининском фронте в составе 1-й воздушной армии проходили (с 21 апреля) войсковые испытания </w:t>
      </w:r>
      <w:hyperlink r:id="rId194" w:tgtFrame="_blank" w:history="1">
        <w:r w:rsidRPr="00D03F3E">
          <w:rPr>
            <w:rFonts w:ascii="Times New Roman" w:hAnsi="Times New Roman"/>
            <w:color w:val="000000" w:themeColor="text1"/>
            <w:sz w:val="16"/>
            <w:szCs w:val="16"/>
          </w:rPr>
          <w:t xml:space="preserve">«ЛаГГ-3» </w:t>
        </w:r>
      </w:hyperlink>
      <w:r w:rsidRPr="00D03F3E">
        <w:rPr>
          <w:rFonts w:ascii="Times New Roman" w:hAnsi="Times New Roman"/>
          <w:color w:val="000000" w:themeColor="text1"/>
          <w:sz w:val="16"/>
          <w:szCs w:val="16"/>
        </w:rPr>
        <w:t>с пушкой «НС-37» (14915).</w:t>
      </w:r>
    </w:p>
    <w:p w14:paraId="4CD0453F" w14:textId="77777777" w:rsidR="001E3FAF" w:rsidRPr="00D03F3E" w:rsidRDefault="001E3FAF" w:rsidP="00D03F3E">
      <w:pPr>
        <w:spacing w:after="0" w:line="240" w:lineRule="auto"/>
        <w:jc w:val="both"/>
        <w:rPr>
          <w:rFonts w:ascii="Times New Roman" w:hAnsi="Times New Roman"/>
          <w:color w:val="000000" w:themeColor="text1"/>
          <w:sz w:val="16"/>
          <w:szCs w:val="16"/>
        </w:rPr>
      </w:pPr>
    </w:p>
    <w:p w14:paraId="6CFD53C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 июня 1943 г. был составлен Акт</w:t>
      </w:r>
    </w:p>
    <w:p w14:paraId="4D840DF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Горький</w:t>
      </w:r>
    </w:p>
    <w:p w14:paraId="5E180B8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Составлен вед. И ОКБ Мосоловым П.В., дежурным механиком ЛЭС з-да № 21 С.Н.Рыбаковым, представителем ОКБ з-да № 19 вед. И П.Т.Кулик</w:t>
      </w:r>
    </w:p>
    <w:p w14:paraId="5B7E20B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 нижеследующем:</w:t>
      </w:r>
    </w:p>
    <w:p w14:paraId="10BADA7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моторе № 710041 обнаружены следующие дефекты:</w:t>
      </w:r>
    </w:p>
    <w:p w14:paraId="6B5AC41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Ослабление футеровки задних свечей цилиндра № 3</w:t>
      </w:r>
    </w:p>
    <w:p w14:paraId="14228D0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Ослабление футеровки задних свечей цилиндра № 18</w:t>
      </w:r>
    </w:p>
    <w:p w14:paraId="0C897FE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Поломка двух пружин клапана всасывания цилиндра № 7, вызывающая надир в клапанной коробке, забоины на тарелке клапана и ролике рычага клапана</w:t>
      </w:r>
    </w:p>
    <w:p w14:paraId="11FC1DB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Перегрев цилиндра № 9</w:t>
      </w:r>
    </w:p>
    <w:p w14:paraId="100C4DF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Трение на втулке кожуха тяги толкателя выхлопа в головке цилиндра № 9 и отрыв шпильки крепления фланца этого же кожуха к картеру, что вызвало течб масла из указанных соединений</w:t>
      </w:r>
    </w:p>
    <w:p w14:paraId="4318EDA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Разрегулировка зазора между штоками клапанов и роликами рычагов (в сторону уыеличения)</w:t>
      </w:r>
    </w:p>
    <w:p w14:paraId="2E62EEF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 Перегорела резиновая изоляция проводников задней свечи цилиндра № 11</w:t>
      </w:r>
    </w:p>
    <w:p w14:paraId="24769A3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 В процессе испытаний наблюдалась периодическая тряска мотора из-за неудовлетворительной работы свечей (739,2).</w:t>
      </w:r>
    </w:p>
    <w:p w14:paraId="75077FC1" w14:textId="77777777" w:rsidR="00531570" w:rsidRPr="00D03F3E" w:rsidRDefault="00531570" w:rsidP="00D03F3E">
      <w:pPr>
        <w:pStyle w:val="Iauiue"/>
        <w:jc w:val="both"/>
        <w:rPr>
          <w:color w:val="000000" w:themeColor="text1"/>
          <w:sz w:val="16"/>
          <w:szCs w:val="16"/>
        </w:rPr>
      </w:pPr>
    </w:p>
    <w:p w14:paraId="3BBD036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 июня 1943 года был подготовлен проект приказа НКАП:</w:t>
      </w:r>
    </w:p>
    <w:p w14:paraId="5D385CA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соответствии с Постановлением СНК № 301 – передать из системы НКАП в систему НКМВ бывш. завод № 154 НКАП в Воронеже и бывш. завод № 123 НКАП (незавершенное строительство) в Каменск-Шахтинском Ростовской области (8914).</w:t>
      </w:r>
    </w:p>
    <w:p w14:paraId="56479BDB" w14:textId="77777777" w:rsidR="00531570" w:rsidRPr="00D03F3E" w:rsidRDefault="00531570" w:rsidP="00D03F3E">
      <w:pPr>
        <w:pStyle w:val="Iauiue"/>
        <w:jc w:val="both"/>
        <w:rPr>
          <w:color w:val="000000" w:themeColor="text1"/>
          <w:sz w:val="16"/>
          <w:szCs w:val="16"/>
        </w:rPr>
      </w:pPr>
    </w:p>
    <w:p w14:paraId="1432FFF2"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7 июня 1943 вышло Распоряжение ГКО № 3529 [О временном выделении из состава ГУГВФ 50 самолетов в Распоряжение ГКО HКлеса СССР.] (7114, 13).</w:t>
      </w:r>
    </w:p>
    <w:p w14:paraId="0391A329" w14:textId="77777777" w:rsidR="00531570" w:rsidRPr="00D03F3E" w:rsidRDefault="00531570" w:rsidP="00D03F3E">
      <w:pPr>
        <w:pStyle w:val="Iauiue"/>
        <w:tabs>
          <w:tab w:val="left" w:pos="11199"/>
        </w:tabs>
        <w:jc w:val="both"/>
        <w:rPr>
          <w:color w:val="000000" w:themeColor="text1"/>
          <w:sz w:val="16"/>
          <w:szCs w:val="16"/>
        </w:rPr>
      </w:pPr>
    </w:p>
    <w:p w14:paraId="052D10DF"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2CECFE99" w14:textId="77777777" w:rsidR="00531570" w:rsidRPr="00D03F3E" w:rsidRDefault="00531570" w:rsidP="00D03F3E">
      <w:pPr>
        <w:pStyle w:val="Iauiue"/>
        <w:jc w:val="both"/>
        <w:rPr>
          <w:iCs/>
          <w:color w:val="000000" w:themeColor="text1"/>
          <w:sz w:val="16"/>
          <w:szCs w:val="16"/>
        </w:rPr>
      </w:pPr>
    </w:p>
    <w:p w14:paraId="1AF0074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июня 1943 вышло Постановление ГКО № 3528 О срочных мерах по восстановлению цеха взрывчатых веществ на заводе № 319 НКБ.РГАНИР, Фонд ГКО, д. 125, лл. 1-5, 6-12 (11012).</w:t>
      </w:r>
    </w:p>
    <w:p w14:paraId="0554048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33DE7A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июня 1943г. была подготовлена ДОКЛАДНАЯ ЗАПИСКА КОМАНДУЮЩЕГО БТ и МВ КА ЗАМЕСТИТЕЛЮ ПРЕДСЕДАТЕЛЯ ГКО СССР МОЛОТОВУ</w:t>
      </w:r>
    </w:p>
    <w:p w14:paraId="78EC2E1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ОПЫТНЫМ ОБРАЗЦАМ ТЯЖЕЛОГО ТАНКА ИС</w:t>
      </w:r>
    </w:p>
    <w:p w14:paraId="17B0BB9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Постановлению ГОКО №3299 от 5.05.1943 г. на двух опытных образцах танка ИС долж</w:t>
      </w:r>
      <w:r w:rsidRPr="00D03F3E">
        <w:rPr>
          <w:rFonts w:ascii="Times New Roman" w:hAnsi="Times New Roman"/>
          <w:color w:val="000000" w:themeColor="text1"/>
          <w:sz w:val="16"/>
          <w:szCs w:val="16"/>
        </w:rPr>
        <w:softHyphen/>
        <w:t>ны быть установлены 85-мм танковые пушки с зенитной баллистикой.</w:t>
      </w:r>
    </w:p>
    <w:p w14:paraId="721A5AA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Конструктивные разработки по установке этой пушки в башне опытного образца танка ИС-1 показали, что условия работы экипажа при орудии будут крайне стесненными.</w:t>
      </w:r>
    </w:p>
    <w:p w14:paraId="7815036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Командир танка, расположенный сзади стреляющего, будет мешать ему при наводке пушки на цель, а заряжающему вследствие большой длины снарядов (930 мм), будет трудно производить заря</w:t>
      </w:r>
      <w:r w:rsidRPr="00D03F3E">
        <w:rPr>
          <w:rFonts w:ascii="Times New Roman" w:hAnsi="Times New Roman"/>
          <w:color w:val="000000" w:themeColor="text1"/>
          <w:sz w:val="16"/>
          <w:szCs w:val="16"/>
        </w:rPr>
        <w:softHyphen/>
        <w:t>жание пушки.</w:t>
      </w:r>
    </w:p>
    <w:p w14:paraId="593134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Конструкторы Кировского завода во главе с т. Котиным решили расширить погон башни до 1800 мм в свету.</w:t>
      </w:r>
    </w:p>
    <w:p w14:paraId="4FAAA7F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Расширение погона потребовало: расширить подбашенную коробку, увеличить длину корпуса на 420 мм и добавить по одному опорному катку на сторону.</w:t>
      </w:r>
    </w:p>
    <w:p w14:paraId="60FB7D5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Эти изменения конструкции опытных образцов танков ИС-1 и ИС-2 увеличивают вес танка, снижают удельную мощность и скорость движения.</w:t>
      </w:r>
    </w:p>
    <w:p w14:paraId="2B05143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обязать Наркомтанкопром (т. Зальцман) к 10.06.1943 г. представить на утверждение ГОКО уточненную тактико-техническую характеристику опытного образца танка ИС с 85-мм пуш</w:t>
      </w:r>
      <w:r w:rsidRPr="00D03F3E">
        <w:rPr>
          <w:rFonts w:ascii="Times New Roman" w:hAnsi="Times New Roman"/>
          <w:color w:val="000000" w:themeColor="text1"/>
          <w:sz w:val="16"/>
          <w:szCs w:val="16"/>
        </w:rPr>
        <w:softHyphen/>
        <w:t>кой и диаметром погона башни в свету 1800 мм.</w:t>
      </w:r>
    </w:p>
    <w:p w14:paraId="7CE4EA4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Командующий БТ и МВ КА генерал-полковник танковых войск Федоренко</w:t>
      </w:r>
    </w:p>
    <w:p w14:paraId="74FD7CE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1660. Л. 24. Копия (11403).</w:t>
      </w:r>
    </w:p>
    <w:p w14:paraId="3BAD067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7DE5374" w14:textId="77777777" w:rsidR="00B7432C" w:rsidRPr="00D03F3E"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7 июня 1943 года на расширенном совещании решилась судьба переделанной башни. Кировскому заводу было предложено спроектировать башню на базе предложений ЦАКБ. На практике же в Челябинске и не собирались делать ничего подобного. К моменту проведения совещания никаких проектных работ по данной теме не велось. К тому времени судьба ИС-1 уже решилась: стало ясно, что в текущем виде танк не будет строиться серийно, его конструкция переделывалась. В значительной степени это оказалось связано с новой башней, которую начали проектировать под артиллерийскую систему Д-5Т. Эту же башню КБ завода №9 предложило и для установки на КВ-1с. Это требовало переделки подбашенной коробки, зато получалась унифицированная башня и для нового ИС, и для КВ-1с. В таких условиях разрабатывать третью башню не имело никакого смысла.</w:t>
      </w:r>
    </w:p>
    <w:p w14:paraId="273480E1" w14:textId="77777777" w:rsidR="00B7432C" w:rsidRPr="00D03F3E"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Кроме того, к орудию С-31 имелся ряд вопросов. Судя по всему, уже на тот момент у специалистов ГАУ и НКВ имелись идеи по дальнейшей модернизации орудия, а ресурсов для этого не было. Кроме того, пушка Д-5Т получилась легче и компактнее, а длина отката у этой системы составляла 430 мм. Тем не менее, окончательного решения по выбору орудия ещё не было. С-31 было решено поставить в один из опытных ИС-3 (объект 237), а также в КВ-1с со штатным погоном башни. Изготовление систем, разрабатываемых ЦАКБ, было возложено на завод №92, где они получили обозначение Ф-85.</w:t>
      </w:r>
    </w:p>
    <w:p w14:paraId="2440F568" w14:textId="77777777" w:rsidR="00B7432C" w:rsidRPr="00D03F3E"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Работы по установке С-31 в штатную башню КВ-1с начались еще в конце мая 1943 года. Судя по переписке, первоначально прорабатывался вопрос установки С-31 как в штатную башню, так и в башню ИС. По итогам июньского совещания от варианта С-31 с новой башней отказались, а в башне ИС-3 для КВ-1с «прописалась» Д-5Т. Вариант с новой башней проектировал опытный завод №100 совместно с заводом №200, в то время как версию со штатной башней взяло на себя СКБ-2 Кировского завода. КВ-1с с новым орудием получил чертежный индекс 238, в июле 1943 года он трансформировался в официальное обозначение машины – Объект 238. «Всплывающий» в некоторых публикациях индекс КВ-85Г никогда не использовался, это послевоенное изобретение «писателей» в погонах. Ведущим инженером машины являлся Н.Ф. Шашмурин, по линии СКБ-2 руководство работами осуществлял Г.Н Москвин, а общую работу возглавил Ж.Я. Котин (17698).</w:t>
      </w:r>
    </w:p>
    <w:p w14:paraId="6B135D10" w14:textId="77777777" w:rsidR="00B7432C" w:rsidRPr="00D03F3E" w:rsidRDefault="00B7432C" w:rsidP="00D03F3E">
      <w:pPr>
        <w:pStyle w:val="12a"/>
        <w:shd w:val="clear" w:color="auto" w:fill="auto"/>
        <w:spacing w:after="0" w:line="240" w:lineRule="auto"/>
        <w:jc w:val="both"/>
        <w:rPr>
          <w:color w:val="000000" w:themeColor="text1"/>
          <w:sz w:val="16"/>
          <w:szCs w:val="16"/>
        </w:rPr>
      </w:pPr>
    </w:p>
    <w:p w14:paraId="1D13E4EB" w14:textId="77777777" w:rsidR="003A3024" w:rsidRPr="00D03F3E" w:rsidRDefault="003A3024" w:rsidP="00D03F3E">
      <w:pPr>
        <w:pStyle w:val="article-renderblock"/>
        <w:shd w:val="clear" w:color="auto" w:fill="FFFFFF"/>
        <w:spacing w:before="0" w:beforeAutospacing="0" w:after="0" w:afterAutospacing="0"/>
        <w:jc w:val="both"/>
        <w:rPr>
          <w:color w:val="0070C0"/>
          <w:sz w:val="16"/>
          <w:szCs w:val="16"/>
        </w:rPr>
      </w:pPr>
      <w:r w:rsidRPr="00D03F3E">
        <w:rPr>
          <w:color w:val="0070C0"/>
          <w:sz w:val="16"/>
          <w:szCs w:val="16"/>
        </w:rPr>
        <w:t>7 июня 1943 года на расширенном совещании было предложено башню ЦАКБ для КВ-1с всё же построить. Но делать ее не стали, посему и появился каноничный вариант, известный как Объект 238. Данная версия, ведущим инженером которой являлся Н.Ф. Шашмурин, представляла собой серийный КВ-1с, куда поставили орудие С-31. Данную машину, которую ошибочно называют КВ-85Г, ныне можно видеть в парке "Патриот". Она, вполне ожидаемо, проиграла Объекту 239, на котором стояла башня ИС (Объект 239) с орудием Д-5Т. 8 августа 1943 года Объект 239 приняли на вооружение Красной Армии как КВ-85, в том же месяце сдали первые такие танки (20276).</w:t>
      </w:r>
    </w:p>
    <w:p w14:paraId="1F41C478" w14:textId="77777777" w:rsidR="003A3024" w:rsidRPr="00D03F3E" w:rsidRDefault="003A3024" w:rsidP="00D03F3E">
      <w:pPr>
        <w:shd w:val="clear" w:color="auto" w:fill="FFFFFF"/>
        <w:spacing w:after="0" w:line="240" w:lineRule="auto"/>
        <w:jc w:val="both"/>
        <w:rPr>
          <w:rFonts w:ascii="Times New Roman" w:hAnsi="Times New Roman"/>
          <w:color w:val="0070C0"/>
          <w:sz w:val="16"/>
          <w:szCs w:val="16"/>
        </w:rPr>
      </w:pPr>
    </w:p>
    <w:p w14:paraId="60E6173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июня 1943 вышло Постановление ГКО № 3530 О самоходных артустановках СУ-76РГАНИР, Фонд ГКО, д. 125, лл. 14-16, 17 (11012).</w:t>
      </w:r>
    </w:p>
    <w:p w14:paraId="7614675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7CCC1A8" w14:textId="77777777" w:rsidR="006B6B4C" w:rsidRPr="00D03F3E" w:rsidRDefault="006B6B4C"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июня 1943 года он подписал постановление ГКО №3530 «О самоходных установках СУ-76», где есть следующий пункт:</w:t>
      </w:r>
    </w:p>
    <w:p w14:paraId="552E1017" w14:textId="77777777" w:rsidR="006B6B4C" w:rsidRPr="00D03F3E" w:rsidRDefault="006B6B4C" w:rsidP="00D03F3E">
      <w:pPr>
        <w:shd w:val="clear" w:color="auto" w:fill="FFFFFF"/>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"«Конструктора самоходной артиллерийской установки СУ-76 т. Гинзбурга отстранить от работы в Наркомтанкопроме, запретить допущение его в дальнейшем к конструкторским работам и направить в распоряжение НКО для использования в войсках Действующей Армии»".</w:t>
      </w:r>
    </w:p>
    <w:p w14:paraId="632C15D3" w14:textId="77777777" w:rsidR="006B6B4C" w:rsidRPr="00D03F3E" w:rsidRDefault="006B6B4C"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Гинзбурга направили на фронт в составе 32-й танковой бригады, в которой он занял должность зампотеха. Боевая карьера Семёна Александровича оказалась недолгой: инженер-полковник Гинзбург погиб 3 августа 1943 года в районе деревни Малая Томаровка Курской области. Похоронен в селе Беленихино Прохоровского района Белгородской области (19634).</w:t>
      </w:r>
    </w:p>
    <w:p w14:paraId="2D4E26D4" w14:textId="77777777" w:rsidR="006B6B4C" w:rsidRPr="00D03F3E" w:rsidRDefault="006B6B4C" w:rsidP="00D03F3E">
      <w:pPr>
        <w:shd w:val="clear" w:color="auto" w:fill="FFFFFF"/>
        <w:spacing w:after="0" w:line="240" w:lineRule="auto"/>
        <w:jc w:val="both"/>
        <w:rPr>
          <w:rFonts w:ascii="Times New Roman" w:hAnsi="Times New Roman"/>
          <w:color w:val="000000" w:themeColor="text1"/>
          <w:sz w:val="16"/>
          <w:szCs w:val="16"/>
        </w:rPr>
      </w:pPr>
    </w:p>
    <w:p w14:paraId="1BA74499" w14:textId="77777777" w:rsidR="00E024A1" w:rsidRPr="00D03F3E" w:rsidRDefault="00E024A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7 июня 1943 г. ГКО сделал вывод, что проведён</w:t>
      </w:r>
      <w:r w:rsidRPr="00D03F3E">
        <w:rPr>
          <w:rFonts w:ascii="Times New Roman" w:hAnsi="Times New Roman"/>
          <w:color w:val="0070C0"/>
          <w:sz w:val="16"/>
          <w:szCs w:val="16"/>
        </w:rPr>
        <w:softHyphen/>
        <w:t>ные Наркомтанкопромом и Главным артилле</w:t>
      </w:r>
      <w:r w:rsidRPr="00D03F3E">
        <w:rPr>
          <w:rFonts w:ascii="Times New Roman" w:hAnsi="Times New Roman"/>
          <w:color w:val="0070C0"/>
          <w:sz w:val="16"/>
          <w:szCs w:val="16"/>
        </w:rPr>
        <w:softHyphen/>
        <w:t>рийским управлением Красной армии (ГАУ КА) мероприятия по устранению недостатков СУ-76 не внесли серьёзных улучшений и не обеспечили удовлетворительного качества самоходных ар</w:t>
      </w:r>
      <w:r w:rsidRPr="00D03F3E">
        <w:rPr>
          <w:rFonts w:ascii="Times New Roman" w:hAnsi="Times New Roman"/>
          <w:color w:val="0070C0"/>
          <w:sz w:val="16"/>
          <w:szCs w:val="16"/>
        </w:rPr>
        <w:softHyphen/>
        <w:t>тиллерийских установок (САУ). Исходя из этого, было принято следующее решение: немедленно прекратить их выпуск на заводе № 38 НКТП; указать наркому Зальцману на допущенное им безответственное отношение к делу [15, оп.1, д. 125, л. 14-17] (21521).</w:t>
      </w:r>
    </w:p>
    <w:p w14:paraId="7AFF5953" w14:textId="77777777" w:rsidR="00E024A1" w:rsidRPr="00D03F3E" w:rsidRDefault="00E024A1" w:rsidP="00D03F3E">
      <w:pPr>
        <w:spacing w:after="0" w:line="240" w:lineRule="auto"/>
        <w:jc w:val="both"/>
        <w:rPr>
          <w:rFonts w:ascii="Times New Roman" w:hAnsi="Times New Roman"/>
          <w:color w:val="0070C0"/>
          <w:sz w:val="16"/>
          <w:szCs w:val="16"/>
        </w:rPr>
      </w:pPr>
    </w:p>
    <w:p w14:paraId="2A34716D" w14:textId="77777777" w:rsidR="006B6B4C" w:rsidRPr="00D03F3E" w:rsidRDefault="006B6B4C"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7 июня 1943 года Сталин подписал постановление ГКО №3530 «О самоходных установках СУ-76», где есть следующий пункт:</w:t>
      </w:r>
    </w:p>
    <w:p w14:paraId="38F03758" w14:textId="77777777" w:rsidR="006B6B4C" w:rsidRPr="00D03F3E" w:rsidRDefault="006B6B4C" w:rsidP="00D03F3E">
      <w:pPr>
        <w:pStyle w:val="ae"/>
        <w:shd w:val="clear" w:color="auto" w:fill="FFFFFF"/>
        <w:spacing w:before="0" w:after="0"/>
        <w:jc w:val="both"/>
        <w:textAlignment w:val="baseline"/>
        <w:rPr>
          <w:i/>
          <w:iCs/>
          <w:color w:val="000000" w:themeColor="text1"/>
          <w:sz w:val="16"/>
          <w:szCs w:val="16"/>
        </w:rPr>
      </w:pPr>
      <w:r w:rsidRPr="00D03F3E">
        <w:rPr>
          <w:i/>
          <w:iCs/>
          <w:color w:val="000000" w:themeColor="text1"/>
          <w:sz w:val="16"/>
          <w:szCs w:val="16"/>
          <w:bdr w:val="none" w:sz="0" w:space="0" w:color="auto" w:frame="1"/>
        </w:rPr>
        <w:t>«Конструктора самоходной артиллерийской установки СУ-76 т. Гинзбурга отстранить от работы в Наркомтанкопроме, запретить допущение его в дальнейшем к конструкторским работам и направить в распоряжение НКО для использования в войсках Действующей Армии»</w:t>
      </w:r>
    </w:p>
    <w:p w14:paraId="7287EF27" w14:textId="77777777" w:rsidR="006B6B4C" w:rsidRPr="00D03F3E" w:rsidRDefault="006B6B4C"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В Российском государственном архиве экономики сохранилось и «покаянное письмо» Гинзбурга, которое, впрочем, ему не помогло (19602).</w:t>
      </w:r>
    </w:p>
    <w:p w14:paraId="63EE903F" w14:textId="77777777" w:rsidR="006B6B4C" w:rsidRPr="00D03F3E" w:rsidRDefault="006B6B4C" w:rsidP="00D03F3E">
      <w:pPr>
        <w:pStyle w:val="ae"/>
        <w:shd w:val="clear" w:color="auto" w:fill="FFFFFF"/>
        <w:spacing w:before="0" w:after="0"/>
        <w:jc w:val="both"/>
        <w:textAlignment w:val="baseline"/>
        <w:rPr>
          <w:color w:val="000000" w:themeColor="text1"/>
          <w:sz w:val="16"/>
          <w:szCs w:val="16"/>
        </w:rPr>
      </w:pPr>
    </w:p>
    <w:p w14:paraId="52209C13" w14:textId="77777777" w:rsidR="00B7432C" w:rsidRPr="00D03F3E"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7 июня 1943 года, когда вышло постановление ГКО №3530 «О самоходных установках СУ-76», гораздо более жёсткое:</w:t>
      </w:r>
    </w:p>
    <w:p w14:paraId="481060EA" w14:textId="77777777" w:rsidR="00B7432C" w:rsidRPr="00D03F3E"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«Самоходные установки СУ-76, предложенные Наркомтанкопромом (т. Зальцман) и начальником ГАУ КА (т. Яковлевым) и принятые на производство Постановлением ГКО от 2.12.1942 г., имели в эксплуатации массовые поломки коробок перемены передач и другие дефекты.</w:t>
      </w:r>
    </w:p>
    <w:p w14:paraId="3762CCF2" w14:textId="77777777" w:rsidR="00B7432C" w:rsidRPr="00D03F3E"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Указанные недостатки имели место в результате безответственного отношения Наркома Танковой промышленности т. Зальцман, начальника ГАУ т. Яковлева, директора завода №38 НКТП т. Яковлева и конструктора т. Гинзбурга к разработке конструкции самоходной установки и ее испытаниям.</w:t>
      </w:r>
    </w:p>
    <w:p w14:paraId="645D34E1" w14:textId="77777777" w:rsidR="00B7432C" w:rsidRPr="00D03F3E"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Мероприятия по устранению поломок коробки перемены передач и других дефектов в установке, предложенные Наркомтанкопромом (т. Зальцман) и Начальником ГАУ КА. (т. Яковлевым) и выполненные заводом №38 НКТП по Постановлению ГОКО №3184с от 14.4.43 г., не устранили имевшиеся дефекты и надежной эксплуатации этой самоходной артиллерийской установки не обеспечили.</w:t>
      </w:r>
    </w:p>
    <w:p w14:paraId="66C29B30" w14:textId="77777777" w:rsidR="00B7432C" w:rsidRPr="00D03F3E"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Государственный Комитет Обороны постановляет:</w:t>
      </w:r>
    </w:p>
    <w:p w14:paraId="52C87F84" w14:textId="77777777" w:rsidR="00B7432C" w:rsidRPr="00D03F3E"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Немедленно прекратить на заводе №38 НКТП дальнейший выпуск самоходных артиллерийских установок СУ-76 существующей конструкции.</w:t>
      </w:r>
    </w:p>
    <w:p w14:paraId="70D0C730" w14:textId="77777777" w:rsidR="00B7432C" w:rsidRPr="00D03F3E"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&lt;…&gt;</w:t>
      </w:r>
    </w:p>
    <w:p w14:paraId="14766D48" w14:textId="77777777" w:rsidR="00B7432C" w:rsidRPr="00D03F3E"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За безответственное представление в ГОКО предложения по серийному выпуску и конструктивным доработкам самоходной артиллерийской установки СУ-76 – Народному Комиссару Танковой Промышленности т. Зальцман объявить выговор.</w:t>
      </w:r>
    </w:p>
    <w:p w14:paraId="1E4B2BEA" w14:textId="77777777" w:rsidR="00B7432C" w:rsidRPr="00D03F3E"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Предупредить т. Зальцман, что в дальнейшем за подобные упущения по качеству изготовления бронетанкового вооружения он будет строго наказан.</w:t>
      </w:r>
    </w:p>
    <w:p w14:paraId="44E071CB" w14:textId="77777777" w:rsidR="00B7432C" w:rsidRPr="00D03F3E"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Конструктора самоходной артиллерийской установки СУ-76 т. Гинзбурга отстранить от работы в Наркомтанкопроме, запретить допущение его в дальнейшем к конструкторским работам и направить в распоряжение НКО для использования в войсках Действующей Армии.</w:t>
      </w:r>
    </w:p>
    <w:p w14:paraId="717A6504" w14:textId="77777777" w:rsidR="00B7432C" w:rsidRPr="00D03F3E"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Начальнику ГАУ КА т. Яковлеву в своей дальнейшей работе повысить ответственность и контроль за всеми опытными работами по бронетанковому вооружению, обратив особое внимание на правильный подбор состава комиссии по испытаниям.</w:t>
      </w:r>
    </w:p>
    <w:p w14:paraId="7F823659" w14:textId="77777777" w:rsidR="00B7432C" w:rsidRPr="00D03F3E"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iCs/>
          <w:color w:val="000000" w:themeColor="text1"/>
          <w:sz w:val="16"/>
          <w:szCs w:val="16"/>
          <w:lang w:eastAsia="ru-RU"/>
        </w:rPr>
        <w:t>Обязать Наркомтанкопром (т. Зальцман) и Начальника ГАУ КА. (т. Яковлева) установить и наказать виновных работников НКТП и ГАУ КА, безответственно отнесшихся к испытаниям самоходной артиллерийской установки СУ-76».</w:t>
      </w:r>
    </w:p>
    <w:p w14:paraId="416BE3C0" w14:textId="77777777" w:rsidR="00B7432C" w:rsidRPr="00D03F3E"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Гинзбурга направили на фронт в составе 32-й танковой бригады, в которой он занял должность зампотеха. Боевая карьера Семена Александровича оказалась недолгой: он погиб 3 августа 1943 года в районе деревни Малая Томаровка Курской области. Для Зальцмана</w:t>
      </w:r>
      <w:r w:rsidRPr="00D03F3E">
        <w:rPr>
          <w:rFonts w:ascii="Times New Roman" w:hAnsi="Times New Roman"/>
          <w:color w:val="000000" w:themeColor="text1"/>
          <w:sz w:val="16"/>
          <w:szCs w:val="16"/>
          <w:lang w:eastAsia="ru-RU"/>
        </w:rPr>
        <w:t xml:space="preserve"> </w:t>
      </w:r>
      <w:r w:rsidRPr="00D03F3E">
        <w:rPr>
          <w:rFonts w:ascii="Times New Roman" w:eastAsia="Times New Roman" w:hAnsi="Times New Roman"/>
          <w:color w:val="000000" w:themeColor="text1"/>
          <w:sz w:val="16"/>
          <w:szCs w:val="16"/>
          <w:lang w:eastAsia="ru-RU"/>
        </w:rPr>
        <w:t>эта история также не прошла бесследно – 28 июня его сняли с должности наркома танковой промышленности. Коллектив КБ завода №38 не пострадал, поскольку он не являлся разработчиком дефектной системы, ставшей ахиллесовой пятой СУ-12. Возглавляемый Щукиным коллектив довольно оперативно создал для замены СУ-15М. Уже с июля 1943 года эта машина, более известная как СУ-76М, пошла в серию. Что же касается СУ-12, то всего их изготовили 609 штук (608 серийных и опытный образец) (17699).</w:t>
      </w:r>
    </w:p>
    <w:p w14:paraId="630D1A7C" w14:textId="77777777" w:rsidR="00B7432C" w:rsidRPr="00D03F3E" w:rsidRDefault="00B7432C" w:rsidP="00D03F3E">
      <w:pPr>
        <w:pStyle w:val="12a"/>
        <w:shd w:val="clear" w:color="auto" w:fill="auto"/>
        <w:spacing w:after="0" w:line="240" w:lineRule="auto"/>
        <w:jc w:val="both"/>
        <w:rPr>
          <w:color w:val="000000" w:themeColor="text1"/>
          <w:sz w:val="16"/>
          <w:szCs w:val="16"/>
        </w:rPr>
      </w:pPr>
    </w:p>
    <w:p w14:paraId="08BDE9C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июня 1943 вышло Постановление ГКО № 3531 Об установке командирских башенок на танках Т-34.РГАНИР, Фонд ГКО, д. 125, лл. 18-20 (11012).</w:t>
      </w:r>
    </w:p>
    <w:p w14:paraId="78BF46B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D09EF17"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июня 1943 года согласно постановлению ГКО № 3531 сс для танка Т-34 утверждалась командирская смотровая башенка с установкой в ней смотрового прибора английского танка МК-4 (прибор кругового обзора). По этому-же постановлению, продублированному приказом по Наркомтанкопрому, предполагалось начать выпуск танков Т-34 с командирскими башенками в июне - июле 1943 года, причем сразу на всех заводах - № 183, 174, 112, УЗТМ и ЧКЗ. Однако по целому ряду причин сделать это не удалось (12217).</w:t>
      </w:r>
    </w:p>
    <w:p w14:paraId="61264029" w14:textId="77777777" w:rsidR="00FD6DE2" w:rsidRPr="00D03F3E" w:rsidRDefault="00FD6DE2" w:rsidP="00D03F3E">
      <w:pPr>
        <w:spacing w:after="0" w:line="240" w:lineRule="auto"/>
        <w:jc w:val="both"/>
        <w:rPr>
          <w:rFonts w:ascii="Times New Roman" w:hAnsi="Times New Roman"/>
          <w:color w:val="000000" w:themeColor="text1"/>
          <w:sz w:val="16"/>
          <w:szCs w:val="16"/>
        </w:rPr>
      </w:pPr>
    </w:p>
    <w:p w14:paraId="137859F0" w14:textId="77777777" w:rsidR="00531570" w:rsidRPr="00D03F3E" w:rsidRDefault="00531570" w:rsidP="00D03F3E">
      <w:pPr>
        <w:pStyle w:val="a8"/>
        <w:widowControl/>
        <w:jc w:val="both"/>
        <w:rPr>
          <w:rFonts w:ascii="Times New Roman" w:hAnsi="Times New Roman" w:cs="Times New Roman"/>
          <w:color w:val="000000" w:themeColor="text1"/>
        </w:rPr>
      </w:pPr>
      <w:r w:rsidRPr="00D03F3E">
        <w:rPr>
          <w:rFonts w:ascii="Times New Roman" w:hAnsi="Times New Roman" w:cs="Times New Roman"/>
          <w:color w:val="000000" w:themeColor="text1"/>
        </w:rPr>
        <w:t>7 июня 1943 года специальная смешанная комиссия из представителей НКТП, НКВ, ГАУ и ГБТУ приняла решение изготовить для сравнительных испытаний три опытных образца самоходов с 85-мм пушками: СУ-85-1 с пушкой С-18-1 ЦАКБ и измененной люлькой "Уралмашзаво-да", СУ-85-Н с пушкой Д-5С-85 завода № 9, Cy-85-IV с пушкой С-18 ЦАКБ (9637).</w:t>
      </w:r>
    </w:p>
    <w:p w14:paraId="0B1EF507" w14:textId="77777777" w:rsidR="00531570" w:rsidRPr="00D03F3E" w:rsidRDefault="00531570" w:rsidP="00D03F3E">
      <w:pPr>
        <w:pStyle w:val="a8"/>
        <w:widowControl/>
        <w:jc w:val="both"/>
        <w:rPr>
          <w:rFonts w:ascii="Times New Roman" w:hAnsi="Times New Roman" w:cs="Times New Roman"/>
          <w:color w:val="000000" w:themeColor="text1"/>
        </w:rPr>
      </w:pPr>
    </w:p>
    <w:p w14:paraId="3DAAC0C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июня 1943 г. специальная комиссия представите</w:t>
      </w:r>
      <w:r w:rsidRPr="00D03F3E">
        <w:rPr>
          <w:rFonts w:ascii="Times New Roman" w:hAnsi="Times New Roman"/>
          <w:color w:val="000000" w:themeColor="text1"/>
          <w:sz w:val="16"/>
          <w:szCs w:val="16"/>
        </w:rPr>
        <w:softHyphen/>
        <w:t>лей НКВ, НКТП, ГАУ и ГБТУ, рассмотрев все проекты, вы</w:t>
      </w:r>
      <w:r w:rsidRPr="00D03F3E">
        <w:rPr>
          <w:rFonts w:ascii="Times New Roman" w:hAnsi="Times New Roman"/>
          <w:color w:val="000000" w:themeColor="text1"/>
          <w:sz w:val="16"/>
          <w:szCs w:val="16"/>
        </w:rPr>
        <w:softHyphen/>
        <w:t>несла решение изготовить для сравнительных испытаний три опытных образца СУ-85 с вооружением ОКБ № 9 и ЦАКБ, а также одного модернизированного образца СУ-122 (11417).</w:t>
      </w:r>
    </w:p>
    <w:p w14:paraId="5AB30EE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224E8D2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7 по 11, а затем с 18 по 23 июня 1943 г. на полигоне около Нижнего Тагила проводились Государственные испытания СУ-122М стрельбой. Всего было выполнено 329 выстрелов нормальным и усиленным зарядом.</w:t>
      </w:r>
    </w:p>
    <w:p w14:paraId="3A88F81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Ходовые испытания проводились на трассах Свердловск - Нижний Тагил и Свердловск - Челябинск, на которых было пройдено 858 км. Принято считать, что испытания новая машина выдержала в полном объеме, но это не так, ибо в выводе госкомиссии под руководством генерал-майора танковых войск Огурцова по результатам испытаний значилось, что САУ может быть введена на вооружение самоходных частей Красной Армии "только после устранения отмеченных в ходе испытаний недостатков". Главными недостатками СУ-122М были отмечены чрезмерная масса (модернизированная САУ оказалась почти на две тонны тяжелее, чем то допускалось в техзадании), а также слишком малый боекомплект (не свыше 34 выстрелов) (4017).</w:t>
      </w:r>
    </w:p>
    <w:p w14:paraId="33A260AD" w14:textId="77777777" w:rsidR="00531570" w:rsidRPr="00D03F3E" w:rsidRDefault="00531570" w:rsidP="00D03F3E">
      <w:pPr>
        <w:pStyle w:val="Iauiue"/>
        <w:jc w:val="both"/>
        <w:rPr>
          <w:color w:val="000000" w:themeColor="text1"/>
          <w:sz w:val="16"/>
          <w:szCs w:val="16"/>
        </w:rPr>
      </w:pPr>
    </w:p>
    <w:p w14:paraId="776389E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июня 1943г. была подготовлена ДОКЛАДНАЯ ЗАПИСКА НАЧАЛЬНИКА ШТАБА ГАВТУ КА НАЧАЛЬНИКУ ШТАБА ТЫЛА КА О СОБРАНЫХ ЭКСПОНАТАХ ДЛЯ МУЗЕЯ-ВЫСТАВКИ ТРОФЕЙНОЙ ТЕХНИКИ</w:t>
      </w:r>
    </w:p>
    <w:p w14:paraId="40AEB14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указаний о сосредоточении экспонатов по трофейным автомобилям и транспор</w:t>
      </w:r>
      <w:r w:rsidRPr="00D03F3E">
        <w:rPr>
          <w:rFonts w:ascii="Times New Roman" w:hAnsi="Times New Roman"/>
          <w:color w:val="000000" w:themeColor="text1"/>
          <w:sz w:val="16"/>
          <w:szCs w:val="16"/>
        </w:rPr>
        <w:softHyphen/>
        <w:t>терам для музея-выставки трофейной техники выполнено следующее: 1. Из частей, находящихся в Москве, музею-выставке были переданы:</w:t>
      </w:r>
    </w:p>
    <w:p w14:paraId="08D3873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Штабной автомобиль Хорьх,</w:t>
      </w:r>
    </w:p>
    <w:p w14:paraId="35F66EE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Связной автомобиль Мерседес-Бенц,</w:t>
      </w:r>
    </w:p>
    <w:p w14:paraId="4A09FA7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Грузовой автомобиль Крупп,</w:t>
      </w:r>
    </w:p>
    <w:p w14:paraId="7BDACA4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Малый колесно-гусеничный транспортер,</w:t>
      </w:r>
    </w:p>
    <w:p w14:paraId="138EC2D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Средний колесно-гусеничный транспортер,</w:t>
      </w:r>
    </w:p>
    <w:p w14:paraId="66D64D4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Большой колесно-гусеничный транспортер,</w:t>
      </w:r>
    </w:p>
    <w:p w14:paraId="465EC6E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Штабной автомобиль «Прага».</w:t>
      </w:r>
    </w:p>
    <w:p w14:paraId="3D0245C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 Из Сталинграда отгружен эшелон со следующими машинами для музея-выставки:</w:t>
      </w:r>
    </w:p>
    <w:p w14:paraId="1B3C527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Грузовой автомобиль Пежо,</w:t>
      </w:r>
    </w:p>
    <w:p w14:paraId="7434714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Грузовой автомобиль-фургон Магирус,</w:t>
      </w:r>
    </w:p>
    <w:p w14:paraId="1AEA86A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Штабной автобус Берлие,</w:t>
      </w:r>
    </w:p>
    <w:p w14:paraId="323CE18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Штабной автомобиль Штевер,</w:t>
      </w:r>
    </w:p>
    <w:p w14:paraId="64A4D39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Штабной автомобиль Мерседес-Бенц,</w:t>
      </w:r>
    </w:p>
    <w:p w14:paraId="2256B9C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Грузовой автомобиль-фургон Крупп,</w:t>
      </w:r>
    </w:p>
    <w:p w14:paraId="7422B4C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Грузовой автомобиль Бюсинг-Наг,</w:t>
      </w:r>
    </w:p>
    <w:p w14:paraId="727F19A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Грузовой автомобиль Шкода,</w:t>
      </w:r>
    </w:p>
    <w:p w14:paraId="1108EFC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Легковой специальный автомобиль Мерседес-Бенц,</w:t>
      </w:r>
    </w:p>
    <w:p w14:paraId="1EE31E0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Грузовик-платформа Зауер,</w:t>
      </w:r>
    </w:p>
    <w:p w14:paraId="0A03B4A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Грузовой автомобиль Мерседес-Бенц,</w:t>
      </w:r>
    </w:p>
    <w:p w14:paraId="4B35664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Грузовой автомобиль Рено,</w:t>
      </w:r>
    </w:p>
    <w:p w14:paraId="5AA1407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Грузовой специальный автомобиль Бюсинг,</w:t>
      </w:r>
    </w:p>
    <w:p w14:paraId="7733793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Грузовой специальный автомобиль Мерседес-Бенц,</w:t>
      </w:r>
    </w:p>
    <w:p w14:paraId="0CBEE8B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Грузовой автомобиль Кюсслей,</w:t>
      </w:r>
    </w:p>
    <w:p w14:paraId="12F34A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Санитарный автомобиль Ганзо-Ллойд,</w:t>
      </w:r>
    </w:p>
    <w:p w14:paraId="1A7F6C9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Грузовой автомобиль-фургон для ремонтной мастерской Мерседес-Бенц,</w:t>
      </w:r>
    </w:p>
    <w:p w14:paraId="2575E29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Колесно-гусеничный тягач Краус-Марфей,</w:t>
      </w:r>
    </w:p>
    <w:p w14:paraId="3683108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Грузовой автомобиль самосвал Мерседес-Бенц,</w:t>
      </w:r>
    </w:p>
    <w:p w14:paraId="5D1ECC8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Автомобиль-вездеход Татра,</w:t>
      </w:r>
    </w:p>
    <w:p w14:paraId="019A73E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Специальный автомобиль Хорьх,</w:t>
      </w:r>
    </w:p>
    <w:p w14:paraId="1D5D124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Грузовой специальный автомобиль Хорьх,</w:t>
      </w:r>
    </w:p>
    <w:p w14:paraId="1691F6F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Грузовой автомобиль со специальным кузовом Феномен,</w:t>
      </w:r>
    </w:p>
    <w:p w14:paraId="78BC65A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Бронетранспортер Бюсинг-Наг,</w:t>
      </w:r>
    </w:p>
    <w:p w14:paraId="6E94291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Специальный автомобиль Феномен,</w:t>
      </w:r>
    </w:p>
    <w:p w14:paraId="44F95E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Автомобиль для радиостанции Хорьх,</w:t>
      </w:r>
    </w:p>
    <w:p w14:paraId="2D9DCF5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Колесный тягач Ганомаг,</w:t>
      </w:r>
    </w:p>
    <w:p w14:paraId="1A27256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Грузовой автомобиль со специальным кузовом Фомаг,</w:t>
      </w:r>
    </w:p>
    <w:p w14:paraId="6AD2A52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Автомобиль-вездеход Лафли,</w:t>
      </w:r>
    </w:p>
    <w:p w14:paraId="2E15AC1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Специальный автомобиль Мерседес-Бенц,</w:t>
      </w:r>
    </w:p>
    <w:p w14:paraId="1078DF8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Колесно-гусеничный тягач Борч-Борч,</w:t>
      </w:r>
    </w:p>
    <w:p w14:paraId="082415B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 Грузовой автомобиль со специальным кузовом Самой,</w:t>
      </w:r>
    </w:p>
    <w:p w14:paraId="6B61AE8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 Грузовой автомобиль-фургон Прага,</w:t>
      </w:r>
    </w:p>
    <w:p w14:paraId="1D71287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 Специальный автомобиль Берлие,</w:t>
      </w:r>
    </w:p>
    <w:p w14:paraId="192B2D2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 Специальный автомобиль Хорьх,</w:t>
      </w:r>
    </w:p>
    <w:p w14:paraId="286F568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 Специальный автомобиль Хорьх,</w:t>
      </w:r>
    </w:p>
    <w:p w14:paraId="525674F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 Специальный грузовой автомобиль-фургон Геншель,</w:t>
      </w:r>
    </w:p>
    <w:p w14:paraId="59D138D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 Штабной автомобиль Хорьх,</w:t>
      </w:r>
    </w:p>
    <w:p w14:paraId="4A7E4A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 Штабной автомобиль БМВ,</w:t>
      </w:r>
    </w:p>
    <w:p w14:paraId="69F0716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 Специальный трехосный автомобиль Штейер,</w:t>
      </w:r>
    </w:p>
    <w:p w14:paraId="483C043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 Колесно-гусеничный тягач Бюсинг-Наг,</w:t>
      </w:r>
    </w:p>
    <w:p w14:paraId="417B875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 Колесно-гусеничный тягач МВЦ,</w:t>
      </w:r>
    </w:p>
    <w:p w14:paraId="3B0476D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 Колесно-гусеничный тягач Крауз-Маффей,</w:t>
      </w:r>
    </w:p>
    <w:p w14:paraId="354EF1B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 Специальный грузовой автомобиль Рено.</w:t>
      </w:r>
    </w:p>
    <w:p w14:paraId="309BBF6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имеющимся сведениям, направленный из Сталинграда эшелон с трофейной автотехникой находился утром 31.05.1943 г. на станции Подлипки (640 км от Москвы), утром 3.06.1943 г. эшелон находился на станции Быково.</w:t>
      </w:r>
    </w:p>
    <w:p w14:paraId="620A24D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штаба ГАВТУ КА генерал-майор Новиков</w:t>
      </w:r>
    </w:p>
    <w:p w14:paraId="3A34FB5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41. Оп. 11584. Д. 262. Л. 18-19. Копия (11403).</w:t>
      </w:r>
    </w:p>
    <w:p w14:paraId="1D9B164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1B20A7D" w14:textId="77777777" w:rsidR="00531570" w:rsidRPr="00D03F3E" w:rsidRDefault="00C81444" w:rsidP="00D03F3E">
      <w:pPr>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06494ACF" w14:textId="77777777" w:rsidR="00531570" w:rsidRPr="00D03F3E" w:rsidRDefault="00531570" w:rsidP="00D03F3E">
      <w:pPr>
        <w:spacing w:after="0" w:line="240" w:lineRule="auto"/>
        <w:jc w:val="both"/>
        <w:rPr>
          <w:rFonts w:ascii="Times New Roman" w:hAnsi="Times New Roman"/>
          <w:iCs/>
          <w:color w:val="000000" w:themeColor="text1"/>
          <w:sz w:val="16"/>
          <w:szCs w:val="16"/>
        </w:rPr>
      </w:pPr>
    </w:p>
    <w:p w14:paraId="44C7A22B"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7 июня</w:t>
      </w:r>
      <w:r w:rsidRPr="00D03F3E">
        <w:rPr>
          <w:rFonts w:ascii="Times New Roman" w:hAnsi="Times New Roman"/>
          <w:color w:val="000000" w:themeColor="text1"/>
          <w:sz w:val="16"/>
          <w:szCs w:val="16"/>
        </w:rPr>
        <w:t xml:space="preserve"> в 1943 году утреннее сообщение Совинформбюро:</w:t>
      </w:r>
    </w:p>
    <w:p w14:paraId="39A52396"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7 июня на фронте ничего существенного не произошло.</w:t>
      </w:r>
    </w:p>
    <w:p w14:paraId="0F5314C7"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миномётчики, совершив огневой налёт на позиции противника, рассеяли и частью уничтожили до роты немецкой пехоты. Пулемётчики тт. Гуськов и Амандаров, находившиеся в боевом охранении, истребили, группу немецких разведчиков.</w:t>
      </w:r>
    </w:p>
    <w:p w14:paraId="0150BD43"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наши подразделения отразили контратаку противника и уничтожили более 100 немецких солдат и офицеров. На другом участке артиллеристы Н-ской части обстреляли большой обоз противника и уничтожили несколько десятков повозок с грузами.</w:t>
      </w:r>
    </w:p>
    <w:p w14:paraId="117951D7"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противник дважды пытался переправиться на левый берег реки Северный Донец. Наши подразделения метким огнём истребили несколько десятков гитлеровцев и вынудили их отступить. Советская авиация совершила налеты на аэродромы противника. В результате бомбардировки на немецких аэродромах отмечены пожары и взрывы.</w:t>
      </w:r>
    </w:p>
    <w:p w14:paraId="764555CF"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происходила редкая артиллерийско-миномётная и ружейно-пулемётная перестрелка. Наши подразделения разрушили 10 блиндажей и 3 наблюдательных пункта, уничтожили артиллерийскую батарею и 13 пулемётов противника. Разведывательная группа под командованием старшего лейтенанта т.Яковлева и лейтенанта т. Завьялова проникла в тыл противника и истребила 18 гитлеровцев. Захватив пленных и трофеи, разведчики вернулись в свою часть.</w:t>
      </w:r>
    </w:p>
    <w:p w14:paraId="5CF9CE16"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огнём нашей артиллерии уничтожено 9 блиндажей и дзотов, одно орудие и рассеяно до батальона немецкой пехоты. На одном участке противник пытался вести разведку боем. Бойцы Н-ской части ружейно-пулемётным огнём отбросили гитлеровцев. Взяты трофеи и пленные.</w:t>
      </w:r>
    </w:p>
    <w:p w14:paraId="7664092A"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украинских партизан ночью напал на охрану железнодорожного разъезда в Каменец-Подольской области. Сняв немецких часовых, партизаны заминировали железнодорожное полотно. Следовавший по этому пути вражеский эшелон наскочил на мины и взорвался. Уничтожены паровоз, 16 вагонов и платформ с боеприпасами и другими военными грузами.</w:t>
      </w:r>
    </w:p>
    <w:p w14:paraId="76C09507"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солдат 17 немецкой танковой дивизии Гюнтер Д. рассказал: «Я полуинвалид. После многих переосвидетельствований меня в апреле прошлого года признали «годным к гарнизонной службе на родине». В феврале1943 года медицинская комиссия признала, что я годен к строевой службе. В конце марта я выехал в Россию. В нашей роте преобладают солдаты, впервые попавшие на фронт. Был среди нас обер-ефрейтор, возвратившийся на фронт после ранения. Однажды он нам сказал: «Почти все мои земляки уже погибли в России, а товарищи, с которыми я воевал, тоже все убиты или ранены. После одного боя в батальоне осталось всего лишь 16 человек». Многие солдаты видят безнадежность своего положения и всё время думают о том, как бы им целыми и невредимыми выбраться из России».</w:t>
      </w:r>
    </w:p>
    <w:p w14:paraId="552228A6"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железной дороге Амьен — Мондидье французские патриоты уничтожили 20 товарных вагонов с военными грузами немецких оккупантов. В городе Сен-Клод вольные стрелки бросили гранаты в казарму, занятую немецкими зенитчиками. Убито и ранено много гитлеровцев (14915).</w:t>
      </w:r>
    </w:p>
    <w:p w14:paraId="1A7E52EE" w14:textId="77777777" w:rsidR="001E3FAF" w:rsidRPr="00D03F3E" w:rsidRDefault="001E3FAF" w:rsidP="00D03F3E">
      <w:pPr>
        <w:spacing w:after="0" w:line="240" w:lineRule="auto"/>
        <w:jc w:val="both"/>
        <w:rPr>
          <w:rFonts w:ascii="Times New Roman" w:hAnsi="Times New Roman"/>
          <w:color w:val="000000" w:themeColor="text1"/>
          <w:sz w:val="16"/>
          <w:szCs w:val="16"/>
        </w:rPr>
      </w:pPr>
    </w:p>
    <w:p w14:paraId="7B403A24"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7 июня</w:t>
      </w:r>
      <w:r w:rsidRPr="00D03F3E">
        <w:rPr>
          <w:rFonts w:ascii="Times New Roman" w:hAnsi="Times New Roman"/>
          <w:color w:val="000000" w:themeColor="text1"/>
          <w:sz w:val="16"/>
          <w:szCs w:val="16"/>
        </w:rPr>
        <w:t xml:space="preserve"> в 1943 году вечернее сообщение Совинформбюро:</w:t>
      </w:r>
    </w:p>
    <w:p w14:paraId="6A03746E"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7 июня на фронте существенных изменений не произошло.</w:t>
      </w:r>
    </w:p>
    <w:p w14:paraId="21969BD2"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Нашей авиацией в Рижском заливе потоплен немецкий транспорт. В Чёрном море потоплено 3 баржи и 5 катеров с войсками и боеприпасами противника.</w:t>
      </w:r>
    </w:p>
    <w:p w14:paraId="29E4846F"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июня частями нашей авиации на различных участках фронта уничтожено или повреждено не менее 60 автомашин с войсками и грузами, взорвано 5 складов боеприпасов, рассеяно и частью уничтожено до двух рот пехоты противника.</w:t>
      </w:r>
    </w:p>
    <w:p w14:paraId="3EB95231"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На Западном фронте наши части уничтожили до 300 немецких солдат и офицеров, подавили огонь 2 артиллерийских и одной миномётной батареи, разбили 3 дзота и 5 блиндажей противника. На одном участке отряд немцев пытался разведать наши позиции. Советские бойцы встретили вражеских разведчиков ружейно-пулемётным огнём и истребили несколько десятков гитлеровцев.</w:t>
      </w:r>
    </w:p>
    <w:p w14:paraId="669300A8"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Балаклеи рота пехоты противника при поддержке танков атаковала наше боевое охранение. В результате короткой схватки немцы были отброшены на исходные рубежи. На поле боя осталось до 100 вражеских трупов. Наши лётчики посадили на советской территории бомбардировщик противника. Немецкие лётчики взяты вплен.</w:t>
      </w:r>
    </w:p>
    <w:p w14:paraId="308D2B96"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немцы в ряде мест пытались боем разведать нашу оборону, но всюду были отброшены с большими для них потерями. Только на одном участке вражеская разведывательная группа потеряла убитыми 70 солдат и офицеров.Н-ская артиллерийская часть уничтожила артиллерийскую и две миномётные батареи, 16 подвод с грузами и разрушила 3 блиндажа противника.</w:t>
      </w:r>
    </w:p>
    <w:p w14:paraId="32CDEB51"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снайперы Н-ской части в мае месяце истребили 150 вражеских солдат и офицеров. Снайпер т. Медведев убил 23 немца, снайпер т. Бурлацкий — 20, снайпер т. Пермяков— 15, орденоносец снайпер Василий Егоров в мае убил 20 гитлеровцев.</w:t>
      </w:r>
    </w:p>
    <w:p w14:paraId="20C94364"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Калининской области, за последние дни разгромил два немецких гарнизона и уничтожил более 100 гитлеровцев. Групповым огнём партизаны сбили немецкий самолёт «Юнкерс-88». Подрывники этого же отряда пустили под откос два немецких воинских эшелона. Другой отряд калининских партизан пустил под откос поезд с войсками противника. Под обломками вагонов погибло большое число немецких солдат и офицеров.</w:t>
      </w:r>
    </w:p>
    <w:p w14:paraId="642B194F"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солдат 40 немецкого мотострелкового полка, поляк по национальности, Сигизмунд В. рассказал: «В нашем полку немцы составляют меньшинство. Их не больше 40 процентов. Большинство солдат — поляки, словаки и другие. Мы ненавидим немцев. Разве могу я хоть на одну минуту забыть, что сделали гитлеровцы с моей родиной. Разве я могу забыть, что немецкие бандиты выгнали мою семью из родной деревни, лишили её хозяйства, земли, скота и всего имущества. Наше хозяйство забрал немец Гринке, а мою семью выселили, не разрешив ничего взять с собою. Я считал для себя позором служить в немецкой армии и носить немецкую форму. Улучив удобный момент, я убил находившегося вместе сомной на посту немца, обер-ефрейтора, взял ручной пулемёт и перебежал на сторону русских».</w:t>
      </w:r>
    </w:p>
    <w:p w14:paraId="6476DE90"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Немецко-фашистские мерзавцы учинили кровавую расправу над мирными жителями деревень Баканиха, Канашенки, Старина и Поречье, Витебской области. Только в деревне Баканиха гитлеровские убийцы расстреляли и сожгли 112 стариков, женщин и детей. Расправы избежали лишь те жители деревни, которым удалось скрыться в лесах.» (14915).</w:t>
      </w:r>
    </w:p>
    <w:p w14:paraId="3F45259C" w14:textId="77777777" w:rsidR="001E3FAF" w:rsidRPr="00D03F3E" w:rsidRDefault="001E3FAF" w:rsidP="00D03F3E">
      <w:pPr>
        <w:spacing w:after="0" w:line="240" w:lineRule="auto"/>
        <w:jc w:val="both"/>
        <w:rPr>
          <w:rFonts w:ascii="Times New Roman" w:hAnsi="Times New Roman"/>
          <w:color w:val="000000" w:themeColor="text1"/>
          <w:sz w:val="16"/>
          <w:szCs w:val="16"/>
        </w:rPr>
      </w:pPr>
    </w:p>
    <w:p w14:paraId="79A6AE4C"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7 июня 1943, ранним утром, когда на ГАЗе еще догорал единственный в стране цех по производству колес, в штабы 1</w:t>
      </w:r>
      <w:r w:rsidRPr="00D03F3E">
        <w:rPr>
          <w:rFonts w:ascii="Times New Roman" w:hAnsi="Times New Roman"/>
          <w:color w:val="0070C0"/>
          <w:sz w:val="16"/>
          <w:szCs w:val="16"/>
        </w:rPr>
        <w:noBreakHyphen/>
        <w:t>й и 15</w:t>
      </w:r>
      <w:r w:rsidRPr="00D03F3E">
        <w:rPr>
          <w:rFonts w:ascii="Times New Roman" w:hAnsi="Times New Roman"/>
          <w:color w:val="0070C0"/>
          <w:sz w:val="16"/>
          <w:szCs w:val="16"/>
        </w:rPr>
        <w:noBreakHyphen/>
        <w:t>й воздушных армий пришел приказ: в период с 20.30 до 21.00 по московскому времени нанести массированные удары сразу по пяти авиабазам люфтваффе. Однако в дело неожиданно вмешалась погода. Днем прошли сильные ливневые дожди, и грунтовые взлетные полосы советских полевых аэродромов полностью раскисли. В результате удар штурмовиков не состоялся, что подарило многим их экипажам возможность прожить на один день дольше.</w:t>
      </w:r>
    </w:p>
    <w:p w14:paraId="0A798968"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Поэтому первыми массированный налет на немецкие аэродромы совершили бомбардировщики АДД. В ночь с 7 на 8 июня 1943, согласно плану, 102 самолета вылетели к Сещинской, 87 – к Брянску и еще 75 – к Орлу. Однако из</w:t>
      </w:r>
      <w:r w:rsidRPr="00D03F3E">
        <w:rPr>
          <w:rFonts w:ascii="Times New Roman" w:hAnsi="Times New Roman"/>
          <w:color w:val="0070C0"/>
          <w:sz w:val="16"/>
          <w:szCs w:val="16"/>
        </w:rPr>
        <w:noBreakHyphen/>
        <w:t>за метеоусловий, остававшихся по</w:t>
      </w:r>
      <w:r w:rsidRPr="00D03F3E">
        <w:rPr>
          <w:rFonts w:ascii="Times New Roman" w:hAnsi="Times New Roman"/>
          <w:color w:val="0070C0"/>
          <w:sz w:val="16"/>
          <w:szCs w:val="16"/>
        </w:rPr>
        <w:noBreakHyphen/>
        <w:t>прежнему не лучшими, 38 экипажей не смогли достичь их и сбросили бомбы на различные запасные цели. Атаковали аэродромы только 244 машины, при этом лидеры сбрасывали светящиеся и зажигательные бомбы, обозначая цель для остальных самолетов. По возвращении экипажи отчитались о восьми пораженных бомбардировщиках. Фактически же в Брянске был уничтожен один Ju</w:t>
      </w:r>
      <w:r w:rsidRPr="00D03F3E">
        <w:rPr>
          <w:rFonts w:ascii="Times New Roman" w:hAnsi="Times New Roman"/>
          <w:color w:val="0070C0"/>
          <w:sz w:val="16"/>
          <w:szCs w:val="16"/>
        </w:rPr>
        <w:noBreakHyphen/>
        <w:t>88A</w:t>
      </w:r>
      <w:r w:rsidRPr="00D03F3E">
        <w:rPr>
          <w:rFonts w:ascii="Times New Roman" w:hAnsi="Times New Roman"/>
          <w:color w:val="0070C0"/>
          <w:sz w:val="16"/>
          <w:szCs w:val="16"/>
        </w:rPr>
        <w:noBreakHyphen/>
        <w:t>4 из II./KG51 «Эдельвейс», а в Сещинской легкие повреждения (10 %) получил Ju</w:t>
      </w:r>
      <w:r w:rsidRPr="00D03F3E">
        <w:rPr>
          <w:rFonts w:ascii="Times New Roman" w:hAnsi="Times New Roman"/>
          <w:color w:val="0070C0"/>
          <w:sz w:val="16"/>
          <w:szCs w:val="16"/>
        </w:rPr>
        <w:noBreakHyphen/>
        <w:t>88D</w:t>
      </w:r>
      <w:r w:rsidRPr="00D03F3E">
        <w:rPr>
          <w:rFonts w:ascii="Times New Roman" w:hAnsi="Times New Roman"/>
          <w:color w:val="0070C0"/>
          <w:sz w:val="16"/>
          <w:szCs w:val="16"/>
        </w:rPr>
        <w:noBreakHyphen/>
        <w:t>1 из 4</w:t>
      </w:r>
      <w:r w:rsidRPr="00D03F3E">
        <w:rPr>
          <w:rFonts w:ascii="Times New Roman" w:hAnsi="Times New Roman"/>
          <w:color w:val="0070C0"/>
          <w:sz w:val="16"/>
          <w:szCs w:val="16"/>
        </w:rPr>
        <w:noBreakHyphen/>
        <w:t>й эскадрильи дальней разведки Aufld.Gr. 121. Из летного и наземного персонала никто не пострадал.</w:t>
      </w:r>
    </w:p>
    <w:p w14:paraId="73990E8E"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Ухудшение погоды в обширном секторе юго</w:t>
      </w:r>
      <w:r w:rsidRPr="00D03F3E">
        <w:rPr>
          <w:rFonts w:ascii="Times New Roman" w:hAnsi="Times New Roman"/>
          <w:color w:val="0070C0"/>
          <w:sz w:val="16"/>
          <w:szCs w:val="16"/>
        </w:rPr>
        <w:noBreakHyphen/>
        <w:t>западнее Москвы сказалось в ту ночь и на активности германской авиации. Так, в четвертом ударе по Горькому приняли участие всего 20 Не</w:t>
      </w:r>
      <w:r w:rsidRPr="00D03F3E">
        <w:rPr>
          <w:rFonts w:ascii="Times New Roman" w:hAnsi="Times New Roman"/>
          <w:color w:val="0070C0"/>
          <w:sz w:val="16"/>
          <w:szCs w:val="16"/>
        </w:rPr>
        <w:noBreakHyphen/>
        <w:t>111 из II./KG4 «Генерал Вефер» и I./KG100 «Викинг». Кроме того, на немецких авиабазах поиссякли запасы бомб и горючего, и требовалось время для их пополнения (23199).</w:t>
      </w:r>
    </w:p>
    <w:p w14:paraId="51D04B21" w14:textId="77777777" w:rsidR="00334572" w:rsidRPr="00D03F3E" w:rsidRDefault="00334572" w:rsidP="00D03F3E">
      <w:pPr>
        <w:spacing w:after="0" w:line="240" w:lineRule="auto"/>
        <w:jc w:val="both"/>
        <w:rPr>
          <w:rFonts w:ascii="Times New Roman" w:hAnsi="Times New Roman"/>
          <w:color w:val="0070C0"/>
          <w:sz w:val="16"/>
          <w:szCs w:val="16"/>
        </w:rPr>
      </w:pPr>
    </w:p>
    <w:p w14:paraId="5AC0AFB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21 апреля по 7 июня 1943 г. на Калининском фронте в составе 1-й воздушной армии Войсковые испытания истребителей с пушками НС-37 проходили. Хотя результаты их были признаны успешными, кроме небольшой партии машин, направленных туда, эта пушка на серийных ЛаГГ-3 не устанавливалась. Позднее НС-37 начали монтировать на истребители Як-9Т и штурмовики Ил-2 (11983).</w:t>
      </w:r>
    </w:p>
    <w:p w14:paraId="2D218B0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ADF179A"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В ночь с 7 на 8 июня 1943, согласно плану, 102 самолета АДД вылетели к Сещинской, 87 — к Брянску и еще 75 — к Орлу. Однако из-за метеоусловий, остававшихся по-прежнему не лучшими, 38 экипажей не смогли достичь их и сбросили бомбы на различные запасные цели. Атаковали аэродромы только 244 машины, при этом лидеры сбрасывали светящиеся и зажигательные бомбы, обозначая цель для остальных самолетов. По возвращении экипажи отчитались о восьми пораженных бомбардировщиках. Фактически же в Брянске был уничтожен один Ju-88A-4 из II./KG51 «Эдельвейс», а в Сещинской легкие повреждения (10 %) получил Ju-88D-1 из 4-й эскадрильи дальней разведки Aufld.Gr. 121. Из летного и наземного персонала никто не пострадал[68].</w:t>
      </w:r>
    </w:p>
    <w:p w14:paraId="5B997883"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Ухудшение погоды в обширном секторе юго-западнее Москвы сказалось в ту ночь и на активности германской авиации. Так, в четвертом ударе по Горькому приняли участие всего 20 Не-111 из II./KG4 «Генерал Вефер» и I./KG100 «Викинг». Кроме того, на немецких авиабазах поиссякли запасы бомб и горючего, и требовалось время для их пополнения (19522).</w:t>
      </w:r>
    </w:p>
    <w:p w14:paraId="29B12650" w14:textId="77777777" w:rsidR="006B6B4C" w:rsidRPr="00D03F3E" w:rsidRDefault="006B6B4C" w:rsidP="00D03F3E">
      <w:pPr>
        <w:pStyle w:val="ae"/>
        <w:spacing w:before="0" w:after="0"/>
        <w:jc w:val="both"/>
        <w:textAlignment w:val="baseline"/>
        <w:rPr>
          <w:color w:val="000000" w:themeColor="text1"/>
          <w:sz w:val="16"/>
          <w:szCs w:val="16"/>
        </w:rPr>
      </w:pPr>
    </w:p>
    <w:p w14:paraId="0C17940C"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7 июня 1943, когда на ГАЗе еще догорал единственный в стране цех по производству колес, в штабы 1-й и 15-й воздушных армий пришел приказ: в период с 20.30 до 21.00 по московскому времени нанести массированные удары сразу по пяти авиабазам люфтваффе. Однако в дело неожиданно вмешалась погода. Днем прошли сильные ливневые дожди, и грунтовые взлетные полосы советских полевых аэродромов полностью раскисли (19522).</w:t>
      </w:r>
    </w:p>
    <w:p w14:paraId="7F9740AF" w14:textId="77777777" w:rsidR="006B6B4C" w:rsidRPr="00D03F3E" w:rsidRDefault="006B6B4C" w:rsidP="00D03F3E">
      <w:pPr>
        <w:pStyle w:val="ae"/>
        <w:spacing w:before="0" w:after="0"/>
        <w:jc w:val="both"/>
        <w:textAlignment w:val="baseline"/>
        <w:rPr>
          <w:color w:val="000000" w:themeColor="text1"/>
          <w:sz w:val="16"/>
          <w:szCs w:val="16"/>
        </w:rPr>
      </w:pPr>
    </w:p>
    <w:p w14:paraId="68997FD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Утром 7 июня 1943 директор автозавода А. Лившиц первым делом направился к зданию колесного цеха. Шутка ли, единственный в стране цех, производящий автомобильные колеса! Когда машина, пробираясь между дымящихся куч обломков и огромных воронок, подъехала к цеху, Лившиц был настолько поражен увиденным, что даже не смог выйти из нее. Некогда красивое, построенное в виде больших арок, здание представляло собой обуглившийся остов. Крыша полностью обвалилась, а внутри через зияющие пробоины виднелись почерневшие остатки уникального оборудования. От действия пожара были полностью выведены из строя воздушные разводки, внутренняя ливневая канализация, промразводки, трубопроводы приточной и вытяжной вентиляции, силовые и осветительные электроразводки и моторы технического оборудования цеха. Уцелевшие перекрытия крыши получили сильные деформации и уже не подлежали восстановлению. Подземная ливневая канализация цеха оказалась полностью заполненной нефтебитумом. От действия взрывной волны в отдельных местах разрушилась и каменная кладка стен. Все бытовые помещения цеха тоже сгорели дотла. Как потом оказалось, из 323 единиц цехового оборудования уцелели лишь 17! С трудом придя в себя от этого зрелища, Лившиц поехал в еще уцелевшую главную контору звонить Сталину.  Таким образом, в ходе третьего массированного налета на Горький автозавод им. Молотова был уже практически полностью разрушен, немцам удалось вывести из строя почти все крупные объекты предприятия. Было окончательно ясно, что на восстановление потребуются многие месяцы непрерывных работ.  Стали отчетливо видны и многочисленные недостатки в организации противовоздушной обороны и МПВО. Централизованное управление боем частей ПВО с командного пункта корпусного района, в связи с нарушением проводной связи, осуществить не удалось. В этих условиях управление частями велось децентрализованно начальниками секторов, а роль КП ПВО была сведена лишь к общей ориентировке частей в создающейся обстановке. В ходе боев выявилась и слабая подготовка офицеров штабов ПВО, которые недостаточно четко знали свои функциональные обязанности и не могли обеспечить своевременный сбор и проверку донесений, составить необходимый доклад своему командиру и даже донесение в вышестоящий штаб. И это после двух лет войны! Стала сказываться и нехватка боеприпасов. Командующий зенитной артиллерией Долгополов потом вспоминал:  «Случалось и так, что к концу налета на каждое орудие оставалось по одному снаряду». Прямо во время налета, по словам Долгополова, отстрелянные снарядные гильзы на машинах отвозились в мастерские, что находились поблизости от города. Героическим трудом рабочих мастерских гильзы обжимались, снаряжались, и зенитчики опять получали снаряды для своего малоэффективного зенитного огня, производимого с  «неорганизованностью и отсутствием мастерства». Можно представить себе и состояние водителей автомашин, которые под бомбами разъезжали по городу, собирая ящики с использованными гильзами, если, конечно, верить воспоминаниям командующего ЗА ПВО. Зачастую автомашины доставляли снаряды на огневые позиции батарей во время бомбежки под разрывами бомб. В этом случае шоферы выполняли свой служебный долг, рискуя жизнью. Были случаи, когда осколки рвавшихся бомб попадали в ящики со снарядами, что приводило к взрыву последних и гибели шоферов. Выявились также общие недостатки в вопросах организации и взаимодействия между войсками ПВО страны и силами противовоздушной обороны фронтов, а также авиацией фронтовых воздушных армий. Действительно, через линию фронта проходит большая группа вражеских бомбардировщиков, а никто, как говорится, «и ухом не ведет». На пути следования эскадр Люфтваффе к объектам на глубину 500—600 км со стороны фронтового командования не было принято никаких попыток если уж не сорвать налет, то хотя бы помешать немецким бомбардировщикам. Видимо, тамошних генералов не интересовали самолеты, которые не атаковали объекты во фронтовой полосе, а просто удалялись в «неизвестном направлении». А командование ПВО страны, в надежде на русский «авось», вероятно, уповало на силу Горьковского корпусного района. Все это еще можно было отнести к первому «внезапному» налету, но подобная картина действий командования частями ПВО наблюдалась и дальше! В результате подобной организации боевых действий сил и средств ПВО авиация противника подходила к цели в строгом боевом порядке, без малейших потерь. Утром 7 июня на Московский вокзал Горького в бронированных вагонах прибыла комиссия из Москвы во главе с Лаврентием Берией. Ее </w:t>
      </w:r>
      <w:r w:rsidRPr="00D03F3E">
        <w:rPr>
          <w:rFonts w:ascii="Times New Roman" w:hAnsi="Times New Roman"/>
          <w:color w:val="000000" w:themeColor="text1"/>
          <w:sz w:val="16"/>
          <w:szCs w:val="16"/>
        </w:rPr>
        <w:lastRenderedPageBreak/>
        <w:t>задачей было разобраться в ситуации, сложившейся в городе в результате массированных налетов немецкой авиации. Присутствие среди приехавших двух наркомов, отвечавших за безопасность страны, говорило о многом. Они должны были изучить важный вопрос, нет ли тут измены или вредительства, а также определить меру личной ответственности всех лиц, отвечавших за защиту с воздуха важного промышленного центра.  Вскоре после приезда Берия посетил Горьковский обком ВКП(б) и штаб корпусного района ПВО. По воспоминаниям летчицы В. Бояркиной-Шиловой, жены капитана Шилова, безуспешно атаковавшего бомбардировщик в ночь на 5 июня, грозный нарком вел себя довольно демократично: шел по коридору и со всеми встречными здоровался за руку. Наверное, для того, чтобы лучше запомнить лица людей, когда придется с ними разбираться. Затем Берия отправился на автозавод. Пораженный картиной увиденных разрушений, он подозвал к себе генерал-майора Осипова и плюнул ему в лицо. Ближе к вечеру Берия решил еще и лично проинспектировать 784-й ЗенАП, одна из батарей которого находилась в Автозаводском парке. Зенитчица Анна Сорокина потом вспоминала:  «Личный состав батареи был выстроен вряд, после чего к нам обратился Берия.   Он сказал: "Что вы делаете?! Автозавод является важнейшим промышленным объектом страны, вашему полку поручено защищать его, но вы плохо справляетесь с поставленной задачей. В результате завод уже выведен из строя и продолжает получать большие разрушения "».  Далее нарком НКВД стал, как обычно, угрожать зенитчицам трибуналом со всеми вытекающими последствиями. Но тут произошло неожиданное. В 18.36 по местному времени повсюду завыли гудки воздушной тревоги, и один из офицеров сообщил, что над городом вот-вот появятся немецкие самолеты. Где-то вдалеке послышалась отрывистая пальба зениток. «Митинг» сразу прекратился, и все внимание присутствующих было приковано к небу. Вскоре на высоте примерно четыре километра появились два Ju-88. Их задачей было зафиксировать результаты последнего налета на автозавод. По воспоминаниям Сорокиной, увидев «Юнкерсы», Берия воинственно выхватил пистолет, и его примеру последовала охрана, также обнажившая оружие. Однако затем грозный нарком со своей свитой поспешил покинуть «поле боя». Тем временем командование 142-й ИАД подняло в воздух 18 истребителей. Летчикам приказали любой ценой перехватить и сбить разведчиков, не позволить им доставить на свои базы аэрофотоснимки ГАЗа. Пилоты были полны решимости выполнить задачу и на максимальной скорости помчались в юго-западном направлении. И некоторым из них сопутствовала удача. Около 19.00 южнее Владимира нескольким истребителям удалось настичь противника. Завязался ожесточенный воздушный бой. Летчик Павлов открыл шквальный огонь по кабине, целясь в бортстрелка, а затем выпустил несколько очередей по фюзеляжу. В результате «Юнкере» загорелся, и казалось, что он вот-вот будет сбит. Но в решающий момент пилот Ju-88 применил стандартный прием, резко переведя машину в пикирование. Ему удалось сбить пламя и одновременно уйти от преследователей. Второй разведчик также смог оторваться от истребителей. В то же время ответным огнем немецких бортстрелков были сбиты два Ла-5, причем пилот одного из них – лейтенант Павленко из 786-го ИАП ПВО – погиб (11774).</w:t>
      </w:r>
    </w:p>
    <w:p w14:paraId="63CA6E7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7FD964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июня 1943 в 23.03 в погруженном в темноту Горьком завыли гудки, свободные от работы жители стали собираться в укрытия, зенитчики застыли около орудий, пожарные собрались возле своих автонасосов. Штаб 142-й авиадивизии поднял в воздух 32 ночных истребителя, каждый из которых направился в свою зону патрулирования. В небо плавно взмыл 21 аэростат, вспыхнула сетка прожекторных лучей. Все нервно вслушивались в летнюю тишину. И вот через двадцать минут с юго-запада послышался отдаленный рев авиационных моторов. Первыми в 23.29 открыли огонь 85-мм орудия 1291-го ЗенАП, а уже через минуту высоко в небе над Автозаводским районом вспыхнули 22 осветительные ракеты. И тут же высоко в небе в луч одного из прожекторов попал силуэт двухмоторного самолета. Зенитки открыли бешеный огонь. Вскоре после короткой паузы послышался уже хорошо знакомый всем горьковчанам свист падающих бомб, и на территории автозавода прогремела короткая серия взрывов. После этого наступила длинная пауза. «Люстры» опустились на землю и погасли, небо теперь освещали только лучи прожекторов и зарево пожара. В командном бункере штаба корпусного района ПВО на Почтовом съезде царило напряжение. В присутствии высокого начальства все командиры старались изображать профессионализм и со знанием дела отдавали очередные приказы и указания. Громадин лично изучал обстановку. Из Автозаводского района поступали донесения, что после первого удара новых бомбежек, как это бывало раньше, не последовало. Но Осипов приказал сохранять бдительность, возможно, немцы специально сделали паузу, тем более от постов ВНОС снова поступило сообщение о гуле авиационных моторов. Время было уже 00.23, как вдруг послышался гулкий грохот взрыва, на столах задрожали стаканы и кое-где осыпалась штукатурка. Все находившиеся на КП поняли, что бомба упала где-то в окрестностях бункера. Через десять минут бойцы из охраны сообщили, что в ста метрах отсюда, на пересечении улиц Краснофлотской (ныне Ильинская) и Добролюбова, горят дома и сараи. В голову Осипову тут же закралась мысль, уж не стало ли известно фашистам о местонахождении командного пункта ПВО. Впоследствии оказалось, что на Куйбышевский район немцы сбросили две бомбы SC250 и шесть зажигательных, начиненных нефтью, полистиреном и фосфором. Два жилых дома были полностью разрушены, еще в 22 домах на ул. Краснофлотской взрывной волной выбило стекла и оконные рамы, во дворах сгорели хозяйственные постройки. Вскоре на место бомбежки прибыли пять пожарных машин и взвод МПВО района. Бойцы, не имевшие до этого никакого боевого опыта, впервые увидели здесь кошмар войны: куски человеческих тел, раненых, закрывающих руками окровавленные лица, обломки зданий и битое стекло. К 01.30 пожары удалось ликвидировать, и начался разбор завалов. При обходе территории около дома, выходящего фасадом на трамвайный поворот, бойцами было обнаружено небольшое отверстие прямо под стеной. Посветив в него фонариком, они увидели зловещие очертания стабилизатора неразорвавшейся бомбы. Для обезвреживания пришлось вызывать солдат вездесущего 22-го инженерного батальона НКВД. Тем временем Осипов с Громадиным никак не решались отдать приказ об отбое «ВТ», тем более они знали, что где-то недалеко отсюда находится сам товарищ Берия, и, не дай Бог, немцы нанесут после отбоя третий удар. В итоге сигнал был подан только в 02.20, когда на востоке небо уже светлело. Обезвреживание несработавшей SC250 было закончено уже утром, в 04.20, когда со стороны Кремля всходило жаркое летнее солнце. Тем временем служба МПВО подвела итоги очередного налета. По ее данным, на территорию автозавода были сброшены девять фугасных и семь 250-кг зажигательных бомб. От взрывов и возникших пожаров в литейном цехе серого чугуна был выведен из строя разливочно-формовочный конвейер, участок поршневого кольца и две машины «Холлей», разрушилась кран-балка с подкрановыми путями, обвалились фермы над участком поршневого кольца и формовочным отделением, а также рухнула стена между выбивной и обрубным отделением. Еще две фугасных бомбы взорвались у северо-западного угла инструментально-штамповального корпуса. В Северном поселке сгорел один барак. На территории военного городка упали три фугаски, причем две из них не сработали. На этот раз серьезно пострадал авиамоторный завод № 466. Прямыми попаданиями фугасных бомб здесь были выведены из строя центральная заводская и химическая лаборатории, частично разрушен цех № 16. В главном корпусе завода взрывы разрушили бытовые помещения, часть кровли и металлоконструкции в цехах №№ 16, 24, 4, За, 36 и 13, а также бытовые помещения между проходными №№ 1 и 2 и столовую. Фактически в ходе четвертого июньского налета на Горький немецкие самолеты сбросили 39 т фугасных и зажигательных бомб.</w:t>
      </w:r>
    </w:p>
    <w:p w14:paraId="067A74E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Хотя во время налета в небе вокруг Горького находились в общей сложности 32 ночных истребителя, только одному из них посчастливилось обнаружить противника. В 23.20, по местному времени, командир эскадрильи 722-го ИАП ПВО старший лейтенант Борис Табарчук на перехватчике МиГ-3 начал патрулирование на подступах к городу. Наблюдая за разрывами снарядов зенитной артиллерии, летчик увидел на высоте примерно 4000 м едва различимый силуэт бомбардировщика, идущего курсом на автозавод, и тотчас направился за ним.  Табарчук потом вспоминал:  «Вижу длинное черное тело „Хейнкеля-111“. Снижаюсь. Решил атаковать от земли. Подхожу. Очередь по мне с нижних пулеметов. Заметили. Чуть взмыл и попал в струю, идущую от винтов. Мой „МиГ“ выбросило вверх. Опять к земле, и вновь захожу». При этом, по одной версии, советский пилот решил сразу идти на таран, не открывая огня, по другой – у него заклинило пулеметы из-за перекосов патронов в ленте.  Бомбардировщиком, который атаковал Табарчук, был Не-111Н «5J+KN» из 5-й эскадрильи KG4 «Генерал Вефер». В состав его экипажа входили шесть человек: пилот унтер-офицер Фестнер, штурман лейтенант Хаегер, бортрадист унтер-офицер Шайфер и два бортстрелка обер-ефрейторы Брокманн и Лайб. Находившийся на борту штурман майор Кранц должен был контролировать бомбометание всей группы. Тем временем самолеты оказались прямо над городом, и немцы сбросили бомбы на находившийся внизу автозавод. Вероятно, бомбометание отвлекло внимание летчиков, и они не сразу заметили преследователя, не подозревая о нависшей над ними опасности. Выровняв машину, Табарчук сделал вторую попытку, подобравшись к «Хейнкелю» справа – сзади снизу, но самолет опять был отброшен воздушной струей и в итоге оказался выше бомбардировщика. Как раз в этот момент его и заметил бортрадист Шайфер и немедленно сообщил пилоту. Но было уже поздно. Как только винт истребителя оказался над стабилизатором, МиГ-3 ударил винтом по рулям поворота и высоты немецкого самолета. Пилот «Хейнкеля» Хайнц Фестнер затем рассказывал:  «Согласно полетной документации высота полета составляла примерно 3600м. Сразу после сброса бомб на танковый завод радист подал сигнал: „Истребитель!“ Тут же удар потряс весь наш самолет. Машина резко свернула вправо. Когда я попытался рулями направления и высоты вернуть машину на прямолинейный курс, выяснилось, что Не-111 не выходит из правого виража. Лишь приложив все силы, упираясь обеими ногами в левую педаль руля направления и одновременно выжав максимально влево элерон (колонка управления встала почти под прямым углом) и регулируя обороты моторов, удалось направить машину на прямой курс. При этом левый мотор пришлось задросселировать, а правому повысить обороты». Истребитель при ударе тоже получил сильные повреждения, одна из лопастей винта отлетела, вторую срезало наполовину, поэтому Табарчук не мог наблюдать за судьбой своей жертвы. Он увидел лишь, как «Хейнкель» резко свернул со снижением вправо и исчез в темноте. После этого советский летчик развернул свою теряющую скорость машину на юго-запад и принял решение садиться на ближайшем аэродроме Стригино. Самолет плохо управлялся, поэтому выпускать шасси Борис не решился и приземлился «на брюхо». МиГ-3 пропахал 75 м аэродромного поля, после чего остановился. Тем временем экипаж «Хейнкеля» прилагал отчаянные усилия для того, чтобы лечь на обратный курс. Шестеро летчиков находились в тот момент в весьма неприятном положении. До линии фронта оставалось более 500 км, а внизу тянулись негостеприимные русские равнины, садиться на которые совсем не хотелось. Фестнер делал все возможное, чтобы сохранить управление самолетом. Лишь он чуть-чуть ослаблял усилия, как самолет немедленно разворачивало вправо. Лейтенант Хайгер заметил по этому поводу: «Если мы полетим так и дальше, то окажемся в Москве!» Но в конце концов пилоту все же удалось вывести машину на юго-западный курс. Чтобы облегчить самолет, экипаж выбросил за борт весь боезапас для пулеметов и бронеплиты, тем не менее «Хейнкель» летел почти на 100 км/ч медленнее, чем на пути к цели. В итоге к линии фронта экипаж подлетал уже утром. К счастью для немцев, советская ПВО не предпринимала никаких мер по перехвату возвращающихся с бомбежек тыловых городов самолетов Люфтваффе. Бортрадист связался с аэродромом Орел-Западный и сообщил, что они возвращаются с большими повреждениями. На взлетно-посадочную полосу были немедленно направлены пожарные и санитарные машины, в то же время с земли непрерывно буквально вели «Хейнкель» на посадку. Увидев знакомые контуры аэродрома, пилот выпустил шасси, которое благополучно вышло и встало на замки. Вслед за этим самолет успешно выполнил плавный вираж и нормально приземлился. Унтер-офицер Фестнер </w:t>
      </w:r>
      <w:r w:rsidRPr="00D03F3E">
        <w:rPr>
          <w:rFonts w:ascii="Times New Roman" w:hAnsi="Times New Roman"/>
          <w:color w:val="000000" w:themeColor="text1"/>
          <w:sz w:val="16"/>
          <w:szCs w:val="16"/>
        </w:rPr>
        <w:lastRenderedPageBreak/>
        <w:t>продолжал свой рассказ:  «Лишь покинув самолет, мы увидели размеры разрушений. Хвостовое оперение было практически целиком разрушено. Кроме того, плоскость стабилизатора от у дара загнуло так, что оставшаяся часть руля должна была развернуть машину вправо. Однако левый руль оставался исправным, благодаря чему удавалось сохранить высоту, избежать перехода в пикирование и не разбиться». Впоследствии всех членов экипажа Не-111Н «5j+kn» наградили Железными Крестами 1-го класса, а лейтенант Хайгер, составивший доклад в штаб 6-го воздушного флота, привез всем пятерым фотографию генерал-оберста фон Грайма с автографом. Маленькие подарки (бумажники и зажигалки) летчики также получили и от руководства фирмы «Хейнкель» после того, как там узнали о случившемся.</w:t>
      </w:r>
    </w:p>
    <w:p w14:paraId="22E3F00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Горьком тем временем шло подведение итогов очередного налета. Штаб корпусного района ПВО составил донесение № 005, в котором указал, что якобы «в налете участвовало 55 самолетов типа Xe-111 и Ю-88, из которых к городу прорвалось 3—4 самолета». Зенитная артиллерия в течение полутора часов израсходовала 18 955 снарядов среднего и 55 малого калибра. При этом расчеты 784-го и 1291 -го ЗенАП весьма нескромно заявили о шести сбитых самолетах противника, указав даже «точные» районы их падений: два – в районе Вязовки, и по одному – над Комарово, Щитками, Кудьмой и Кусовкой. В сводке даже написали: «Найдено два, остальные разыскиваются». Истребительная авиация произвела 32 самолето-вылета с общим налетом 33 часа 44 минут. При этом старший лейтенант Табарчук из 722-го ПАП сбил тараном бомбардировщик, который якобы упал в районе деревни Щербинка. Прожекторы осветили три самолета на высоте 5000 м. Потери частей ПВО составили один аэростат заграждения и один человек из личного состава. Таким образом, Горьковский корпусной район ПВО заявил в общей сложности о семи сбитых бомбардировщиках!Фактически же все «Хейнкели» из II./KG4 и I./KG100 благополучно вернулись на свои аэродромы. Тем более непонятно, какие такие самолеты были «найдены» на момент составления сводки, и уж совсем неясно, как протараненный Табарчуком «Хейнкель» вдруг оказался упавшим в районе деревни Щербинка. Потом эта воздушная победа чудесным образом «подтвердилась». Согласно данным корпусного района, сбитый Не-111 был обнаружен около станции Кудьма. Военный же отдел обкома ВКП(б) впоследствии утверждал, что самолет обнаружили  «в районе станции Мыза». Сам же автор тарана по неким причинам никогда не видел сбитый им «Хейнкель», что было крайне странно, поскольку каждый летчик при малейшей возможности стремился лично увидеть свою жертву, особенно в тыловых районах, где воздушные победы одерживались не каждый день. Тем не менее 8 июня на аэродром 722-го ИАП приехал сам М. С. Громадин и в присутствии всех летчиков вручил Табарчуку орден Красного Знамени. В этот же день газета «Известия» напечатала небольшой очерк о таране Табарчука (11774).</w:t>
      </w:r>
    </w:p>
    <w:p w14:paraId="1D7D01A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FB5693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7-11 июня 1943 г. было следующее базирование частей Люфтваффе, привлекавшихся к ударам по объектам советского стратегического тыла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969"/>
        <w:gridCol w:w="1585"/>
        <w:gridCol w:w="1585"/>
        <w:gridCol w:w="1969"/>
        <w:gridCol w:w="1969"/>
        <w:gridCol w:w="1969"/>
      </w:tblGrid>
      <w:tr w:rsidR="00860B4B" w:rsidRPr="00D03F3E" w14:paraId="257C253E" w14:textId="77777777">
        <w:trPr>
          <w:jc w:val="center"/>
        </w:trPr>
        <w:tc>
          <w:tcPr>
            <w:tcW w:w="1969" w:type="dxa"/>
          </w:tcPr>
          <w:p w14:paraId="4D914A8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Часть</w:t>
            </w:r>
          </w:p>
        </w:tc>
        <w:tc>
          <w:tcPr>
            <w:tcW w:w="1585" w:type="dxa"/>
          </w:tcPr>
          <w:p w14:paraId="59E3F83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июня</w:t>
            </w:r>
          </w:p>
        </w:tc>
        <w:tc>
          <w:tcPr>
            <w:tcW w:w="1585" w:type="dxa"/>
          </w:tcPr>
          <w:p w14:paraId="19B5A55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июня</w:t>
            </w:r>
          </w:p>
        </w:tc>
        <w:tc>
          <w:tcPr>
            <w:tcW w:w="1969" w:type="dxa"/>
          </w:tcPr>
          <w:p w14:paraId="68954BF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июня</w:t>
            </w:r>
          </w:p>
        </w:tc>
        <w:tc>
          <w:tcPr>
            <w:tcW w:w="1969" w:type="dxa"/>
          </w:tcPr>
          <w:p w14:paraId="428FBCD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июня</w:t>
            </w:r>
          </w:p>
        </w:tc>
        <w:tc>
          <w:tcPr>
            <w:tcW w:w="1969" w:type="dxa"/>
          </w:tcPr>
          <w:p w14:paraId="1F4B43F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июня</w:t>
            </w:r>
          </w:p>
        </w:tc>
      </w:tr>
      <w:tr w:rsidR="00860B4B" w:rsidRPr="00D03F3E" w14:paraId="65F23BDA" w14:textId="77777777">
        <w:trPr>
          <w:jc w:val="center"/>
        </w:trPr>
        <w:tc>
          <w:tcPr>
            <w:tcW w:w="1969" w:type="dxa"/>
          </w:tcPr>
          <w:p w14:paraId="26AD775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III./KG1</w:t>
            </w:r>
          </w:p>
        </w:tc>
        <w:tc>
          <w:tcPr>
            <w:tcW w:w="1585" w:type="dxa"/>
          </w:tcPr>
          <w:p w14:paraId="67C7365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Сеща</w:t>
            </w:r>
          </w:p>
        </w:tc>
        <w:tc>
          <w:tcPr>
            <w:tcW w:w="1585" w:type="dxa"/>
          </w:tcPr>
          <w:p w14:paraId="607B9DB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Сеща</w:t>
            </w:r>
          </w:p>
        </w:tc>
        <w:tc>
          <w:tcPr>
            <w:tcW w:w="1969" w:type="dxa"/>
          </w:tcPr>
          <w:p w14:paraId="015F2D1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Орел-Зап.</w:t>
            </w:r>
          </w:p>
        </w:tc>
        <w:tc>
          <w:tcPr>
            <w:tcW w:w="1969" w:type="dxa"/>
          </w:tcPr>
          <w:p w14:paraId="3B524FA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Орел-Зап.</w:t>
            </w:r>
          </w:p>
        </w:tc>
        <w:tc>
          <w:tcPr>
            <w:tcW w:w="1969" w:type="dxa"/>
          </w:tcPr>
          <w:p w14:paraId="5FC6BA9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Орел-Зап.</w:t>
            </w:r>
          </w:p>
        </w:tc>
      </w:tr>
      <w:tr w:rsidR="00860B4B" w:rsidRPr="00D03F3E" w14:paraId="466024E2" w14:textId="77777777">
        <w:trPr>
          <w:jc w:val="center"/>
        </w:trPr>
        <w:tc>
          <w:tcPr>
            <w:tcW w:w="1969" w:type="dxa"/>
          </w:tcPr>
          <w:p w14:paraId="18EF0F1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II./KG3</w:t>
            </w:r>
          </w:p>
        </w:tc>
        <w:tc>
          <w:tcPr>
            <w:tcW w:w="1585" w:type="dxa"/>
          </w:tcPr>
          <w:p w14:paraId="2622804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Полтава</w:t>
            </w:r>
          </w:p>
        </w:tc>
        <w:tc>
          <w:tcPr>
            <w:tcW w:w="1585" w:type="dxa"/>
          </w:tcPr>
          <w:p w14:paraId="149F1F7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Полтава</w:t>
            </w:r>
          </w:p>
        </w:tc>
        <w:tc>
          <w:tcPr>
            <w:tcW w:w="1969" w:type="dxa"/>
          </w:tcPr>
          <w:p w14:paraId="378720F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Полтава</w:t>
            </w:r>
          </w:p>
        </w:tc>
        <w:tc>
          <w:tcPr>
            <w:tcW w:w="1969" w:type="dxa"/>
          </w:tcPr>
          <w:p w14:paraId="5608DD4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Полтава</w:t>
            </w:r>
          </w:p>
        </w:tc>
        <w:tc>
          <w:tcPr>
            <w:tcW w:w="1969" w:type="dxa"/>
          </w:tcPr>
          <w:p w14:paraId="2D1CD69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Полтава</w:t>
            </w:r>
          </w:p>
        </w:tc>
      </w:tr>
      <w:tr w:rsidR="00860B4B" w:rsidRPr="00D03F3E" w14:paraId="2F035011" w14:textId="77777777">
        <w:trPr>
          <w:jc w:val="center"/>
        </w:trPr>
        <w:tc>
          <w:tcPr>
            <w:tcW w:w="1969" w:type="dxa"/>
          </w:tcPr>
          <w:p w14:paraId="7173D26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III./KG3</w:t>
            </w:r>
          </w:p>
        </w:tc>
        <w:tc>
          <w:tcPr>
            <w:tcW w:w="1585" w:type="dxa"/>
          </w:tcPr>
          <w:p w14:paraId="035AE31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Полтава</w:t>
            </w:r>
          </w:p>
        </w:tc>
        <w:tc>
          <w:tcPr>
            <w:tcW w:w="1585" w:type="dxa"/>
          </w:tcPr>
          <w:p w14:paraId="50C72CB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Полтава</w:t>
            </w:r>
          </w:p>
        </w:tc>
        <w:tc>
          <w:tcPr>
            <w:tcW w:w="1969" w:type="dxa"/>
          </w:tcPr>
          <w:p w14:paraId="040A70C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Полтава</w:t>
            </w:r>
          </w:p>
        </w:tc>
        <w:tc>
          <w:tcPr>
            <w:tcW w:w="1969" w:type="dxa"/>
          </w:tcPr>
          <w:p w14:paraId="1F941F3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Полтава</w:t>
            </w:r>
          </w:p>
        </w:tc>
        <w:tc>
          <w:tcPr>
            <w:tcW w:w="1969" w:type="dxa"/>
          </w:tcPr>
          <w:p w14:paraId="107D391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Полтава</w:t>
            </w:r>
          </w:p>
        </w:tc>
      </w:tr>
      <w:tr w:rsidR="00860B4B" w:rsidRPr="00D03F3E" w14:paraId="67E1DE4A" w14:textId="77777777">
        <w:trPr>
          <w:jc w:val="center"/>
        </w:trPr>
        <w:tc>
          <w:tcPr>
            <w:tcW w:w="1969" w:type="dxa"/>
          </w:tcPr>
          <w:p w14:paraId="2D235E9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II./KG4</w:t>
            </w:r>
          </w:p>
        </w:tc>
        <w:tc>
          <w:tcPr>
            <w:tcW w:w="1585" w:type="dxa"/>
          </w:tcPr>
          <w:p w14:paraId="40EF919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Карачев</w:t>
            </w:r>
          </w:p>
        </w:tc>
        <w:tc>
          <w:tcPr>
            <w:tcW w:w="1585" w:type="dxa"/>
          </w:tcPr>
          <w:p w14:paraId="41B1B23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Карачев</w:t>
            </w:r>
          </w:p>
        </w:tc>
        <w:tc>
          <w:tcPr>
            <w:tcW w:w="1969" w:type="dxa"/>
          </w:tcPr>
          <w:p w14:paraId="590F9A3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Карачев</w:t>
            </w:r>
          </w:p>
        </w:tc>
        <w:tc>
          <w:tcPr>
            <w:tcW w:w="1969" w:type="dxa"/>
          </w:tcPr>
          <w:p w14:paraId="469BF17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Карачев</w:t>
            </w:r>
          </w:p>
        </w:tc>
        <w:tc>
          <w:tcPr>
            <w:tcW w:w="1969" w:type="dxa"/>
          </w:tcPr>
          <w:p w14:paraId="678B58F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Карачев</w:t>
            </w:r>
          </w:p>
        </w:tc>
      </w:tr>
      <w:tr w:rsidR="00860B4B" w:rsidRPr="00D03F3E" w14:paraId="56EB89E8" w14:textId="77777777">
        <w:trPr>
          <w:jc w:val="center"/>
        </w:trPr>
        <w:tc>
          <w:tcPr>
            <w:tcW w:w="1969" w:type="dxa"/>
          </w:tcPr>
          <w:p w14:paraId="5F19AAC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III./KG4</w:t>
            </w:r>
          </w:p>
        </w:tc>
        <w:tc>
          <w:tcPr>
            <w:tcW w:w="1585" w:type="dxa"/>
          </w:tcPr>
          <w:p w14:paraId="76BA663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w:t>
            </w:r>
          </w:p>
        </w:tc>
        <w:tc>
          <w:tcPr>
            <w:tcW w:w="1585" w:type="dxa"/>
          </w:tcPr>
          <w:p w14:paraId="67F053D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w:t>
            </w:r>
          </w:p>
        </w:tc>
        <w:tc>
          <w:tcPr>
            <w:tcW w:w="1969" w:type="dxa"/>
          </w:tcPr>
          <w:p w14:paraId="09CCABA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w:t>
            </w:r>
          </w:p>
        </w:tc>
        <w:tc>
          <w:tcPr>
            <w:tcW w:w="1969" w:type="dxa"/>
          </w:tcPr>
          <w:p w14:paraId="0BE1217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w:t>
            </w:r>
          </w:p>
        </w:tc>
        <w:tc>
          <w:tcPr>
            <w:tcW w:w="1969" w:type="dxa"/>
          </w:tcPr>
          <w:p w14:paraId="56CECF1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w:t>
            </w:r>
          </w:p>
        </w:tc>
      </w:tr>
      <w:tr w:rsidR="00860B4B" w:rsidRPr="00D03F3E" w14:paraId="338FF2B7" w14:textId="77777777">
        <w:trPr>
          <w:jc w:val="center"/>
        </w:trPr>
        <w:tc>
          <w:tcPr>
            <w:tcW w:w="1969" w:type="dxa"/>
          </w:tcPr>
          <w:p w14:paraId="2516805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I./KG27</w:t>
            </w:r>
          </w:p>
        </w:tc>
        <w:tc>
          <w:tcPr>
            <w:tcW w:w="1585" w:type="dxa"/>
          </w:tcPr>
          <w:p w14:paraId="6B467B7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w:t>
            </w:r>
          </w:p>
        </w:tc>
        <w:tc>
          <w:tcPr>
            <w:tcW w:w="1585" w:type="dxa"/>
          </w:tcPr>
          <w:p w14:paraId="09FC949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w:t>
            </w:r>
          </w:p>
        </w:tc>
        <w:tc>
          <w:tcPr>
            <w:tcW w:w="1969" w:type="dxa"/>
          </w:tcPr>
          <w:p w14:paraId="39DC925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w:t>
            </w:r>
          </w:p>
        </w:tc>
        <w:tc>
          <w:tcPr>
            <w:tcW w:w="1969" w:type="dxa"/>
          </w:tcPr>
          <w:p w14:paraId="5DE7ADC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w:t>
            </w:r>
          </w:p>
        </w:tc>
        <w:tc>
          <w:tcPr>
            <w:tcW w:w="1969" w:type="dxa"/>
          </w:tcPr>
          <w:p w14:paraId="1C02D41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w:t>
            </w:r>
          </w:p>
        </w:tc>
      </w:tr>
      <w:tr w:rsidR="00860B4B" w:rsidRPr="00D03F3E" w14:paraId="61414DDE" w14:textId="77777777">
        <w:trPr>
          <w:jc w:val="center"/>
        </w:trPr>
        <w:tc>
          <w:tcPr>
            <w:tcW w:w="1969" w:type="dxa"/>
          </w:tcPr>
          <w:p w14:paraId="345F275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II./KG27</w:t>
            </w:r>
          </w:p>
        </w:tc>
        <w:tc>
          <w:tcPr>
            <w:tcW w:w="1585" w:type="dxa"/>
          </w:tcPr>
          <w:p w14:paraId="41749AF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w:t>
            </w:r>
          </w:p>
        </w:tc>
        <w:tc>
          <w:tcPr>
            <w:tcW w:w="1585" w:type="dxa"/>
          </w:tcPr>
          <w:p w14:paraId="316A646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w:t>
            </w:r>
          </w:p>
        </w:tc>
        <w:tc>
          <w:tcPr>
            <w:tcW w:w="1969" w:type="dxa"/>
          </w:tcPr>
          <w:p w14:paraId="5999A4D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w:t>
            </w:r>
          </w:p>
        </w:tc>
        <w:tc>
          <w:tcPr>
            <w:tcW w:w="1969" w:type="dxa"/>
          </w:tcPr>
          <w:p w14:paraId="7656CB5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w:t>
            </w:r>
          </w:p>
        </w:tc>
        <w:tc>
          <w:tcPr>
            <w:tcW w:w="1969" w:type="dxa"/>
          </w:tcPr>
          <w:p w14:paraId="7AC48C2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w:t>
            </w:r>
          </w:p>
        </w:tc>
      </w:tr>
      <w:tr w:rsidR="00860B4B" w:rsidRPr="00D03F3E" w14:paraId="60CDFB8C" w14:textId="77777777">
        <w:trPr>
          <w:jc w:val="center"/>
        </w:trPr>
        <w:tc>
          <w:tcPr>
            <w:tcW w:w="1969" w:type="dxa"/>
          </w:tcPr>
          <w:p w14:paraId="2155232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III./KG27</w:t>
            </w:r>
          </w:p>
        </w:tc>
        <w:tc>
          <w:tcPr>
            <w:tcW w:w="1585" w:type="dxa"/>
          </w:tcPr>
          <w:p w14:paraId="5A3353E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w:t>
            </w:r>
          </w:p>
        </w:tc>
        <w:tc>
          <w:tcPr>
            <w:tcW w:w="1585" w:type="dxa"/>
          </w:tcPr>
          <w:p w14:paraId="7E26CDF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w:t>
            </w:r>
          </w:p>
        </w:tc>
        <w:tc>
          <w:tcPr>
            <w:tcW w:w="1969" w:type="dxa"/>
          </w:tcPr>
          <w:p w14:paraId="31B838A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w:t>
            </w:r>
          </w:p>
        </w:tc>
        <w:tc>
          <w:tcPr>
            <w:tcW w:w="1969" w:type="dxa"/>
          </w:tcPr>
          <w:p w14:paraId="0363045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w:t>
            </w:r>
          </w:p>
        </w:tc>
        <w:tc>
          <w:tcPr>
            <w:tcW w:w="1969" w:type="dxa"/>
          </w:tcPr>
          <w:p w14:paraId="08A9452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w:t>
            </w:r>
          </w:p>
        </w:tc>
      </w:tr>
      <w:tr w:rsidR="00860B4B" w:rsidRPr="00D03F3E" w14:paraId="6713A944" w14:textId="77777777">
        <w:trPr>
          <w:jc w:val="center"/>
        </w:trPr>
        <w:tc>
          <w:tcPr>
            <w:tcW w:w="1969" w:type="dxa"/>
          </w:tcPr>
          <w:p w14:paraId="59380DA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II./KG51</w:t>
            </w:r>
          </w:p>
        </w:tc>
        <w:tc>
          <w:tcPr>
            <w:tcW w:w="1585" w:type="dxa"/>
          </w:tcPr>
          <w:p w14:paraId="56710A7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w:t>
            </w:r>
          </w:p>
        </w:tc>
        <w:tc>
          <w:tcPr>
            <w:tcW w:w="1585" w:type="dxa"/>
          </w:tcPr>
          <w:p w14:paraId="49AC9EE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w:t>
            </w:r>
          </w:p>
        </w:tc>
        <w:tc>
          <w:tcPr>
            <w:tcW w:w="1969" w:type="dxa"/>
          </w:tcPr>
          <w:p w14:paraId="7E57D11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w:t>
            </w:r>
          </w:p>
        </w:tc>
        <w:tc>
          <w:tcPr>
            <w:tcW w:w="1969" w:type="dxa"/>
          </w:tcPr>
          <w:p w14:paraId="09FC3CE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w:t>
            </w:r>
          </w:p>
        </w:tc>
        <w:tc>
          <w:tcPr>
            <w:tcW w:w="1969" w:type="dxa"/>
          </w:tcPr>
          <w:p w14:paraId="2CB9984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w:t>
            </w:r>
          </w:p>
        </w:tc>
      </w:tr>
      <w:tr w:rsidR="00860B4B" w:rsidRPr="00D03F3E" w14:paraId="3713577A" w14:textId="77777777">
        <w:trPr>
          <w:jc w:val="center"/>
        </w:trPr>
        <w:tc>
          <w:tcPr>
            <w:tcW w:w="1969" w:type="dxa"/>
          </w:tcPr>
          <w:p w14:paraId="78518ED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III./KG51</w:t>
            </w:r>
          </w:p>
        </w:tc>
        <w:tc>
          <w:tcPr>
            <w:tcW w:w="1585" w:type="dxa"/>
          </w:tcPr>
          <w:p w14:paraId="6BE2831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w:t>
            </w:r>
          </w:p>
        </w:tc>
        <w:tc>
          <w:tcPr>
            <w:tcW w:w="1585" w:type="dxa"/>
          </w:tcPr>
          <w:p w14:paraId="6BCCA64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w:t>
            </w:r>
          </w:p>
        </w:tc>
        <w:tc>
          <w:tcPr>
            <w:tcW w:w="1969" w:type="dxa"/>
          </w:tcPr>
          <w:p w14:paraId="2514F62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w:t>
            </w:r>
          </w:p>
        </w:tc>
        <w:tc>
          <w:tcPr>
            <w:tcW w:w="1969" w:type="dxa"/>
          </w:tcPr>
          <w:p w14:paraId="3033D45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w:t>
            </w:r>
          </w:p>
        </w:tc>
        <w:tc>
          <w:tcPr>
            <w:tcW w:w="1969" w:type="dxa"/>
          </w:tcPr>
          <w:p w14:paraId="4F66D55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w:t>
            </w:r>
          </w:p>
        </w:tc>
      </w:tr>
      <w:tr w:rsidR="00860B4B" w:rsidRPr="00D03F3E" w14:paraId="7889C8EA" w14:textId="77777777">
        <w:trPr>
          <w:jc w:val="center"/>
        </w:trPr>
        <w:tc>
          <w:tcPr>
            <w:tcW w:w="1969" w:type="dxa"/>
          </w:tcPr>
          <w:p w14:paraId="7C0FBA3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II./KG55</w:t>
            </w:r>
          </w:p>
        </w:tc>
        <w:tc>
          <w:tcPr>
            <w:tcW w:w="1585" w:type="dxa"/>
          </w:tcPr>
          <w:p w14:paraId="0268849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Карачев</w:t>
            </w:r>
          </w:p>
        </w:tc>
        <w:tc>
          <w:tcPr>
            <w:tcW w:w="1585" w:type="dxa"/>
          </w:tcPr>
          <w:p w14:paraId="7EB4356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Карачев</w:t>
            </w:r>
          </w:p>
        </w:tc>
        <w:tc>
          <w:tcPr>
            <w:tcW w:w="1969" w:type="dxa"/>
          </w:tcPr>
          <w:p w14:paraId="62719D5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Карачев</w:t>
            </w:r>
          </w:p>
        </w:tc>
        <w:tc>
          <w:tcPr>
            <w:tcW w:w="1969" w:type="dxa"/>
          </w:tcPr>
          <w:p w14:paraId="3BAEEDC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Карачев</w:t>
            </w:r>
          </w:p>
        </w:tc>
        <w:tc>
          <w:tcPr>
            <w:tcW w:w="1969" w:type="dxa"/>
          </w:tcPr>
          <w:p w14:paraId="40E3A6F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Карачев</w:t>
            </w:r>
          </w:p>
        </w:tc>
      </w:tr>
      <w:tr w:rsidR="00860B4B" w:rsidRPr="00D03F3E" w14:paraId="0A05D6B7" w14:textId="77777777">
        <w:trPr>
          <w:jc w:val="center"/>
        </w:trPr>
        <w:tc>
          <w:tcPr>
            <w:tcW w:w="1969" w:type="dxa"/>
          </w:tcPr>
          <w:p w14:paraId="58EDC22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III./KG55</w:t>
            </w:r>
          </w:p>
        </w:tc>
        <w:tc>
          <w:tcPr>
            <w:tcW w:w="1585" w:type="dxa"/>
          </w:tcPr>
          <w:p w14:paraId="343D2F0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Сеща</w:t>
            </w:r>
          </w:p>
        </w:tc>
        <w:tc>
          <w:tcPr>
            <w:tcW w:w="1585" w:type="dxa"/>
          </w:tcPr>
          <w:p w14:paraId="2A42CF0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Сеща</w:t>
            </w:r>
          </w:p>
        </w:tc>
        <w:tc>
          <w:tcPr>
            <w:tcW w:w="1969" w:type="dxa"/>
          </w:tcPr>
          <w:p w14:paraId="600C259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Сеща</w:t>
            </w:r>
          </w:p>
        </w:tc>
        <w:tc>
          <w:tcPr>
            <w:tcW w:w="1969" w:type="dxa"/>
          </w:tcPr>
          <w:p w14:paraId="4D09FB1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Сеща</w:t>
            </w:r>
          </w:p>
        </w:tc>
        <w:tc>
          <w:tcPr>
            <w:tcW w:w="1969" w:type="dxa"/>
          </w:tcPr>
          <w:p w14:paraId="12F2DC9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Сеща</w:t>
            </w:r>
          </w:p>
        </w:tc>
      </w:tr>
      <w:tr w:rsidR="00860B4B" w:rsidRPr="00D03F3E" w14:paraId="672A33D3" w14:textId="77777777">
        <w:trPr>
          <w:jc w:val="center"/>
        </w:trPr>
        <w:tc>
          <w:tcPr>
            <w:tcW w:w="1969" w:type="dxa"/>
          </w:tcPr>
          <w:p w14:paraId="1D0AEAF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I./KG100</w:t>
            </w:r>
          </w:p>
        </w:tc>
        <w:tc>
          <w:tcPr>
            <w:tcW w:w="1585" w:type="dxa"/>
          </w:tcPr>
          <w:p w14:paraId="46E5FB2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Сеща</w:t>
            </w:r>
          </w:p>
        </w:tc>
        <w:tc>
          <w:tcPr>
            <w:tcW w:w="1585" w:type="dxa"/>
          </w:tcPr>
          <w:p w14:paraId="7FE1AC3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Сталино</w:t>
            </w:r>
          </w:p>
        </w:tc>
        <w:tc>
          <w:tcPr>
            <w:tcW w:w="1969" w:type="dxa"/>
          </w:tcPr>
          <w:p w14:paraId="0F987CA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Сталино</w:t>
            </w:r>
          </w:p>
        </w:tc>
        <w:tc>
          <w:tcPr>
            <w:tcW w:w="1969" w:type="dxa"/>
          </w:tcPr>
          <w:p w14:paraId="67F3791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Сталино</w:t>
            </w:r>
          </w:p>
        </w:tc>
        <w:tc>
          <w:tcPr>
            <w:tcW w:w="1969" w:type="dxa"/>
          </w:tcPr>
          <w:p w14:paraId="0278964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Сталино</w:t>
            </w:r>
          </w:p>
        </w:tc>
      </w:tr>
    </w:tbl>
    <w:p w14:paraId="5913268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 Неоднозначно трактуемые данные о базировании бомбардировочных групп выделены в таблице курсивом (11152).</w:t>
      </w:r>
    </w:p>
    <w:p w14:paraId="4EBA0A1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EE1FD56" w14:textId="77777777" w:rsidR="00041C3A" w:rsidRPr="00D03F3E" w:rsidRDefault="00041C3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7 июня 1943 самолет</w:t>
      </w:r>
      <w:r w:rsidRPr="00D03F3E">
        <w:rPr>
          <w:rFonts w:ascii="Times New Roman" w:hAnsi="Times New Roman"/>
          <w:color w:val="0070C0"/>
          <w:sz w:val="16"/>
          <w:szCs w:val="16"/>
        </w:rPr>
        <w:noBreakHyphen/>
        <w:t>разведчик обнаружил в Кобхольм</w:t>
      </w:r>
      <w:r w:rsidRPr="00D03F3E">
        <w:rPr>
          <w:rFonts w:ascii="Times New Roman" w:hAnsi="Times New Roman"/>
          <w:color w:val="0070C0"/>
          <w:sz w:val="16"/>
          <w:szCs w:val="16"/>
        </w:rPr>
        <w:noBreakHyphen/>
        <w:t>фьорде два немецких транспорта, шедшие без охранения. Для нанесения воздушного удара по ним вылетели пять Ил</w:t>
      </w:r>
      <w:r w:rsidRPr="00D03F3E">
        <w:rPr>
          <w:rFonts w:ascii="Times New Roman" w:hAnsi="Times New Roman"/>
          <w:color w:val="0070C0"/>
          <w:sz w:val="16"/>
          <w:szCs w:val="16"/>
        </w:rPr>
        <w:noBreakHyphen/>
        <w:t>2 во главе с капитаном Алексеем Мазуренко. Их прикрывали 12 «Харрикейнов» и «Аэрокобр». Штурмовики зашли на цель со стороны финского берега и на высоте 1500 метров появились над морем.</w:t>
      </w:r>
    </w:p>
    <w:p w14:paraId="1EC0B72B" w14:textId="77777777" w:rsidR="00041C3A" w:rsidRPr="00D03F3E" w:rsidRDefault="00041C3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Немецкие моряки, до этого в Арктике ни разу не видавшие «черную смерть», поначалу даже не поняли, что это за самолеты, и подали опознавательные сигналы. И, только не получив ответа, корабельные зенитки открыли по ним огонь. Трассеры также появились и со стороны берега, с замаскированных зенитных батарей.</w:t>
      </w:r>
    </w:p>
    <w:p w14:paraId="623FA7D0" w14:textId="77777777" w:rsidR="00041C3A" w:rsidRPr="00D03F3E" w:rsidRDefault="00041C3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Штурмовики выполнили сброс бомб по традиционной «сухопутной» схеме, с пологого пикирования и с высоты 1200–1400 метров. Лейтенант Сергей Гуляев затем доложил, что после прямых попаданий его 100</w:t>
      </w:r>
      <w:r w:rsidRPr="00D03F3E">
        <w:rPr>
          <w:rFonts w:ascii="Times New Roman" w:hAnsi="Times New Roman"/>
          <w:color w:val="0070C0"/>
          <w:sz w:val="16"/>
          <w:szCs w:val="16"/>
        </w:rPr>
        <w:noBreakHyphen/>
        <w:t>кг бомб «загорелся и затонул» транспорт тоннажем в 5000 брт, а капитан Мазуренко претендовал на «повреждение» другого судна. Однако на самом деле оба транспорта благополучно дошли до порта назначения (23199).</w:t>
      </w:r>
    </w:p>
    <w:p w14:paraId="3F15C36F" w14:textId="77777777" w:rsidR="00041C3A" w:rsidRPr="00D03F3E" w:rsidRDefault="00041C3A" w:rsidP="00D03F3E">
      <w:pPr>
        <w:spacing w:after="0" w:line="240" w:lineRule="auto"/>
        <w:jc w:val="both"/>
        <w:rPr>
          <w:rFonts w:ascii="Times New Roman" w:hAnsi="Times New Roman"/>
          <w:color w:val="0070C0"/>
          <w:sz w:val="16"/>
          <w:szCs w:val="16"/>
        </w:rPr>
      </w:pPr>
    </w:p>
    <w:p w14:paraId="52212623"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5CC0DF22" w14:textId="77777777" w:rsidR="00531570" w:rsidRPr="00D03F3E" w:rsidRDefault="00531570" w:rsidP="00D03F3E">
      <w:pPr>
        <w:pStyle w:val="Iauiue"/>
        <w:jc w:val="both"/>
        <w:rPr>
          <w:iCs/>
          <w:color w:val="000000" w:themeColor="text1"/>
          <w:sz w:val="16"/>
          <w:szCs w:val="16"/>
        </w:rPr>
      </w:pPr>
    </w:p>
    <w:p w14:paraId="6E3D140F"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7 июня 1943 начат вывод итальянских войск из Албании (4962).</w:t>
      </w:r>
    </w:p>
    <w:p w14:paraId="38377531" w14:textId="77777777" w:rsidR="00531570" w:rsidRPr="00D03F3E" w:rsidRDefault="00531570" w:rsidP="00D03F3E">
      <w:pPr>
        <w:pStyle w:val="Iauiue"/>
        <w:tabs>
          <w:tab w:val="left" w:pos="11199"/>
        </w:tabs>
        <w:jc w:val="both"/>
        <w:rPr>
          <w:color w:val="000000" w:themeColor="text1"/>
          <w:sz w:val="16"/>
          <w:szCs w:val="16"/>
        </w:rPr>
      </w:pPr>
    </w:p>
    <w:p w14:paraId="4297A873"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4F2620D6" w14:textId="77777777" w:rsidR="00531570" w:rsidRPr="00D03F3E" w:rsidRDefault="00531570" w:rsidP="00D03F3E">
      <w:pPr>
        <w:pStyle w:val="Iauiue"/>
        <w:jc w:val="both"/>
        <w:rPr>
          <w:iCs/>
          <w:color w:val="000000" w:themeColor="text1"/>
          <w:sz w:val="16"/>
          <w:szCs w:val="16"/>
        </w:rPr>
      </w:pPr>
    </w:p>
    <w:p w14:paraId="04C6A28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8 июня по 25 июня 1843 стационарные мастерские заводов 26, 201 и 162 ремонтировали в 13 воздушной армии истребители с отставшей деревянной обшивкой крыла. Учитывая, что в 13 армии было 84 Ил-2 с такими дефектами и 81 истребитель, должны были ремонтировать и их. Кроме того, в примерно эти же сроки ремонтировали самолеты и в других ВА (173,277).</w:t>
      </w:r>
    </w:p>
    <w:p w14:paraId="53553D3A" w14:textId="77777777" w:rsidR="00531570" w:rsidRPr="00D03F3E" w:rsidRDefault="00531570" w:rsidP="00D03F3E">
      <w:pPr>
        <w:pStyle w:val="Iauiue"/>
        <w:jc w:val="both"/>
        <w:rPr>
          <w:color w:val="000000" w:themeColor="text1"/>
          <w:sz w:val="16"/>
          <w:szCs w:val="16"/>
        </w:rPr>
      </w:pPr>
    </w:p>
    <w:p w14:paraId="081AB86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 июня 1943 А.И.Ш. писал командующему ВВС Новикову письмо N Н-34/2285:</w:t>
      </w:r>
    </w:p>
    <w:p w14:paraId="04213B9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"Посылаю Вам:</w:t>
      </w:r>
    </w:p>
    <w:p w14:paraId="09F6A54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Выводы комиссии НКАП о прочности 2-х местных самолетов Ил-2 производства заводов 1 и 30 (не приложены).</w:t>
      </w:r>
    </w:p>
    <w:p w14:paraId="562E935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Акт ЛИИ о летных испытаниях 7 самолетов Ил-2 на прочность (не приложены).</w:t>
      </w:r>
    </w:p>
    <w:p w14:paraId="53D6690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Заключение ЦАГИ о результатах статиспытаний на прочность серийных самолетов заводов 1 и 30 (на приложены).</w:t>
      </w:r>
    </w:p>
    <w:p w14:paraId="63894E1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Необходимые мероприятия по рекомендациям комиссии в части технологии и конструкции самолета мною проводятся.</w:t>
      </w:r>
    </w:p>
    <w:p w14:paraId="2585F3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основании выводов комиссии, прошу Вас с Вашей стороны дать указания об уточнении и изменении некоторых положений в "Курсе боевой подготовки штурмовой авиации". Это вызывается тем, что самолет Ил-2 в 2-х местном варианте, как имеющий более заднюю центровку, позволяет, при выводе из пикирования получить более высокие перегрузки, чем в одноместном варианте.</w:t>
      </w:r>
    </w:p>
    <w:p w14:paraId="1ED25D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Необходимы следующие изменения и дополнения:</w:t>
      </w:r>
    </w:p>
    <w:p w14:paraId="07695DD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Ограничение скорости пикирования величиной 400 км/час по прибору л, что является достаточным для выполнения всех упражнений по боевой подготовке и при боевой эксплуатации самолета.</w:t>
      </w:r>
    </w:p>
    <w:p w14:paraId="704171F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Увеличение начальной высоты захода в пикирование для стрельбы по земным целям не менее, чем до 500 м.</w:t>
      </w:r>
    </w:p>
    <w:p w14:paraId="19BE1CC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Внести четкие указания о необходимости плавного вывода самолета из пикирования, обеспечивающего перегрузку при выводе не более 4-х. Как показали специальные полетные испытания в ЛИИ, при правильном пилотировании вполне возможно не выходить за указанный предел перегрузки" (1878,64).</w:t>
      </w:r>
    </w:p>
    <w:p w14:paraId="2D629E24" w14:textId="77777777" w:rsidR="00531570" w:rsidRPr="00D03F3E" w:rsidRDefault="00531570" w:rsidP="00D03F3E">
      <w:pPr>
        <w:pStyle w:val="Iauiue"/>
        <w:jc w:val="both"/>
        <w:rPr>
          <w:color w:val="000000" w:themeColor="text1"/>
          <w:sz w:val="16"/>
          <w:szCs w:val="16"/>
        </w:rPr>
      </w:pPr>
    </w:p>
    <w:p w14:paraId="3B59861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 июня 1943 на 21 заводе была авария Ла-5 N 37212367 с М-82 6501742 (2129).</w:t>
      </w:r>
    </w:p>
    <w:p w14:paraId="747B3231" w14:textId="77777777" w:rsidR="00531570" w:rsidRPr="00D03F3E" w:rsidRDefault="00531570" w:rsidP="00D03F3E">
      <w:pPr>
        <w:pStyle w:val="Iauiue"/>
        <w:jc w:val="both"/>
        <w:rPr>
          <w:color w:val="000000" w:themeColor="text1"/>
          <w:sz w:val="16"/>
          <w:szCs w:val="16"/>
        </w:rPr>
      </w:pPr>
    </w:p>
    <w:p w14:paraId="3541875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 июня 1943 на 21 заводе была авария Ла-5 N 37211472 с М-82 (2129).</w:t>
      </w:r>
    </w:p>
    <w:p w14:paraId="2DF14901" w14:textId="77777777" w:rsidR="00531570" w:rsidRPr="00D03F3E" w:rsidRDefault="00531570" w:rsidP="00D03F3E">
      <w:pPr>
        <w:pStyle w:val="Iauiue"/>
        <w:jc w:val="both"/>
        <w:rPr>
          <w:color w:val="000000" w:themeColor="text1"/>
          <w:sz w:val="16"/>
          <w:szCs w:val="16"/>
        </w:rPr>
      </w:pPr>
    </w:p>
    <w:p w14:paraId="1C8A7AA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 июня 1943 на 21 заводе была авария Ла-5 N 37211473 с М-82 6501483 (2129).</w:t>
      </w:r>
    </w:p>
    <w:p w14:paraId="078F9FCD" w14:textId="77777777" w:rsidR="00531570" w:rsidRPr="00D03F3E" w:rsidRDefault="00531570" w:rsidP="00D03F3E">
      <w:pPr>
        <w:pStyle w:val="Iauiue"/>
        <w:jc w:val="both"/>
        <w:rPr>
          <w:color w:val="000000" w:themeColor="text1"/>
          <w:sz w:val="16"/>
          <w:szCs w:val="16"/>
        </w:rPr>
      </w:pPr>
    </w:p>
    <w:p w14:paraId="2BF2341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июня 1943 согласно журнала наблюдения за проектированием, постройкой и испытаниями МиГ-3 за 9 июня 1943 на МиГ-3 2 экз. Д-2 передан на ЛЭС завода. Готовность остальных изделий “Д” - Д-3 - 80%, Д-4 - 45%, Д-5 - 25%, Д-6 - 10-15%. Статиспытания агрегатов самолетов серии “Д” закончено (992,9).</w:t>
      </w:r>
    </w:p>
    <w:p w14:paraId="05C6490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2EC5B20"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60709C56" w14:textId="77777777" w:rsidR="00531570" w:rsidRPr="00D03F3E" w:rsidRDefault="00531570" w:rsidP="00D03F3E">
      <w:pPr>
        <w:pStyle w:val="Iauiue"/>
        <w:jc w:val="both"/>
        <w:rPr>
          <w:iCs/>
          <w:color w:val="000000" w:themeColor="text1"/>
          <w:sz w:val="16"/>
          <w:szCs w:val="16"/>
        </w:rPr>
      </w:pPr>
    </w:p>
    <w:p w14:paraId="5B2A748B" w14:textId="77777777" w:rsidR="00BA5C26" w:rsidRPr="00D03F3E" w:rsidRDefault="00BA5C26" w:rsidP="00D03F3E">
      <w:pPr>
        <w:pStyle w:val="ae"/>
        <w:shd w:val="clear" w:color="auto" w:fill="FFFFFF"/>
        <w:spacing w:before="0" w:after="0"/>
        <w:jc w:val="both"/>
        <w:rPr>
          <w:color w:val="000000" w:themeColor="text1"/>
          <w:sz w:val="16"/>
          <w:szCs w:val="16"/>
        </w:rPr>
      </w:pPr>
      <w:r w:rsidRPr="00D03F3E">
        <w:rPr>
          <w:color w:val="000000" w:themeColor="text1"/>
          <w:sz w:val="16"/>
          <w:szCs w:val="16"/>
        </w:rPr>
        <w:lastRenderedPageBreak/>
        <w:t>8 июня 1943 года было подготовлено заключение согласно которому, проект СУ-85 с орудием С-18 отличался ухудшением обзорности с места механика-водителя и командира. Недостатком была названа и ликвидация места замкового, которого в ЦАКБ посчитали лишним, поскольку 52-К имела унитарное заряжание. Наконец, смещение центра тяжести установки на 14 см вперёд увеличивало нагрузку на передние опорные катки. КБ УЗТМ предложило проект ЦАКБ переделать, изменив укладку и сместив орудие назад. Одновременно с этим сужалась качающаяся часть системы. Данный вариант был утверждён к постройке, но ЦАКБ настояло на изготовлении исходного проекта С-18 (17704).</w:t>
      </w:r>
    </w:p>
    <w:p w14:paraId="06C5E885" w14:textId="77777777" w:rsidR="00BA5C26" w:rsidRPr="00D03F3E" w:rsidRDefault="00BA5C26" w:rsidP="00D03F3E">
      <w:pPr>
        <w:spacing w:after="0" w:line="240" w:lineRule="auto"/>
        <w:jc w:val="both"/>
        <w:rPr>
          <w:rFonts w:ascii="Times New Roman" w:eastAsia="Times New Roman" w:hAnsi="Times New Roman"/>
          <w:color w:val="000000" w:themeColor="text1"/>
          <w:sz w:val="16"/>
          <w:szCs w:val="16"/>
          <w:lang w:eastAsia="ru-RU"/>
        </w:rPr>
      </w:pPr>
    </w:p>
    <w:p w14:paraId="7175D8A2" w14:textId="77777777" w:rsidR="001E3FAF" w:rsidRPr="00D03F3E" w:rsidRDefault="001E3FAF"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июня 1943 года вышло постановление ГКО о снятии с поста директора ГАЗа им. Молотова т. Лившица, как не справившегося с работой, и возвращении на автозавод бывшего директора т. Лоскутова. И.К. Лоскутов, вновь назначенный директором Горьковского автозавода, пишет: «Пустые оконные пролеты, горелый кирпич, покореженные металлоконструкции. Но жизнь на автогиганте не замерла. То, что фашисты крушили ночью, люди восстанавливали днем. Ночные бомбардировки, пожары выматывали, уносили десятки жизней. А люди не сдавались, делали все, что в их силах, боролись за каждый станок, за каждое задание. В обкоме разговор был короткий: принять дела, ознакомиться с обстановкой, организовать восстановительные работы, особое внимание уделить производству танков, минометов, реактивных снарядов М-13 («катюш») и других изделий для фронта. – Будем работать, будем делать танки. Минометы... Завод жив!» (15218).</w:t>
      </w:r>
    </w:p>
    <w:p w14:paraId="5104A008" w14:textId="77777777" w:rsidR="001E3FAF" w:rsidRPr="00D03F3E" w:rsidRDefault="001E3FAF" w:rsidP="00D03F3E">
      <w:pPr>
        <w:widowControl w:val="0"/>
        <w:spacing w:after="0" w:line="240" w:lineRule="auto"/>
        <w:jc w:val="both"/>
        <w:rPr>
          <w:rFonts w:ascii="Times New Roman" w:hAnsi="Times New Roman"/>
          <w:color w:val="000000" w:themeColor="text1"/>
          <w:sz w:val="16"/>
          <w:szCs w:val="16"/>
        </w:rPr>
      </w:pPr>
    </w:p>
    <w:p w14:paraId="397C4360"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8 июня 1943 вышло Постановление ГКО № 3532 О строительстве железнодорожной линии Старый Оскол - Ржава. (7114, 21-22).</w:t>
      </w:r>
    </w:p>
    <w:p w14:paraId="6F318600" w14:textId="77777777" w:rsidR="00531570" w:rsidRPr="00D03F3E" w:rsidRDefault="00531570" w:rsidP="00D03F3E">
      <w:pPr>
        <w:pStyle w:val="Iauiue"/>
        <w:tabs>
          <w:tab w:val="left" w:pos="11199"/>
        </w:tabs>
        <w:jc w:val="both"/>
        <w:rPr>
          <w:color w:val="000000" w:themeColor="text1"/>
          <w:sz w:val="16"/>
          <w:szCs w:val="16"/>
        </w:rPr>
      </w:pPr>
    </w:p>
    <w:p w14:paraId="59EE9CD1"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8 июня 1943 вышло Постановление ГКО № 3533 О строительстве узкоколейной железной дороги Торопец - Холм. (7114, 23).</w:t>
      </w:r>
    </w:p>
    <w:p w14:paraId="3202F0A4" w14:textId="77777777" w:rsidR="00531570" w:rsidRPr="00D03F3E" w:rsidRDefault="00531570" w:rsidP="00D03F3E">
      <w:pPr>
        <w:pStyle w:val="Iauiue"/>
        <w:tabs>
          <w:tab w:val="left" w:pos="11199"/>
        </w:tabs>
        <w:jc w:val="both"/>
        <w:rPr>
          <w:color w:val="000000" w:themeColor="text1"/>
          <w:sz w:val="16"/>
          <w:szCs w:val="16"/>
        </w:rPr>
      </w:pPr>
    </w:p>
    <w:p w14:paraId="35D6A0F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июня 1943 Адмиралтейцы завершили ходовые испытания ТК типа Г-5 и передали его флоту (эти ТК строили на Большой земле, испытывали и сдавали флоту в Ленинграде) (10671).</w:t>
      </w:r>
    </w:p>
    <w:p w14:paraId="05E8FD7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65095BF"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6C8DA038" w14:textId="77777777" w:rsidR="00531570" w:rsidRPr="00D03F3E" w:rsidRDefault="00531570" w:rsidP="00D03F3E">
      <w:pPr>
        <w:pStyle w:val="Iauiue"/>
        <w:jc w:val="both"/>
        <w:rPr>
          <w:iCs/>
          <w:color w:val="000000" w:themeColor="text1"/>
          <w:sz w:val="16"/>
          <w:szCs w:val="16"/>
        </w:rPr>
      </w:pPr>
    </w:p>
    <w:p w14:paraId="10486A66"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8 июня</w:t>
      </w:r>
      <w:r w:rsidRPr="00D03F3E">
        <w:rPr>
          <w:rFonts w:ascii="Times New Roman" w:hAnsi="Times New Roman"/>
          <w:color w:val="000000" w:themeColor="text1"/>
          <w:sz w:val="16"/>
          <w:szCs w:val="16"/>
        </w:rPr>
        <w:t xml:space="preserve"> в 1943 году вечернее сообщение Совинформбюро:</w:t>
      </w:r>
    </w:p>
    <w:p w14:paraId="45268DD1"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8 июня на фронте существенных изменений не произошло.</w:t>
      </w:r>
    </w:p>
    <w:p w14:paraId="731B5EB1"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июня частями нашей авиации на различных участках фронта уничтожено или повреждено не менее 20 автомашин с войсками и грузами, разбит железнодорожный эшелон, сожжён склад горючего, взорвано 2 склада боеприпасов, рассеяно и частью уничтожено до роты пехоты противника.</w:t>
      </w:r>
    </w:p>
    <w:p w14:paraId="7C0CAF59"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уничтожили до 250 немецких солдат и офицеров, разбили 3 миномёта, 7 пулемётов, 10 автомашин с грузами и подавили огонь нескольких артиллерийских батарей противника. На одном участке наши подразделения атаковали позиции немцев, закрепившихся на левом берегу реки. В результате боя противник понёс большие потери и был отброшен на правый берег реки.</w:t>
      </w:r>
    </w:p>
    <w:p w14:paraId="0DAFDDB3"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наши части вели разведку и артиллерийскую перестрелку с противником. Артиллерийским огнём подбито 2 немецких танка и уничтожено до трёх рот пехоты противника. Нашими подразделениями захвачено у немцев 2 противотанковых орудия, 4 пулемёта, 60 автоматов и винтовок. Взяты пленные.</w:t>
      </w:r>
    </w:p>
    <w:p w14:paraId="2ED8D2F3"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артиллеристы Н-ской части произвели огневой налёт на скопление вражеской пехоты, уничтожили несколько автомашин и повозок с боеприпасами и истребили до 100 немецких солдат и офицеров. На одном участке отряд немцев пытался на лодках переправиться на левый берег реки Северный Донец. Наши бойцы открыли огонь по ледкам противника и уничтожили находившихся в них гитлеровцев.</w:t>
      </w:r>
    </w:p>
    <w:p w14:paraId="4F219396"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подразделения уничтожили до 200 немецких солдат и офицеров. Огнём артиллерии и миномётов разрушен сильно укреплённый узел сопротивления противника. Кроме того, разрушено 18 дзотов и землянок, уничтожено 3 орудия, 9 пулемётов, 8 миномётов и взорван склад противника с боеприпасами.</w:t>
      </w:r>
    </w:p>
    <w:p w14:paraId="5627BD21"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 одном участке пехота противника пыталась атаковать наши позиции. Наши подразделения ружейно-пулемётным огнём отбили атаку гитлеровцев. Потеряв убитыми и ранеными более 150 солдат и офицеров, противник отошёл на исходные позиции. Наши бойцы захватили 5 станковых пулемётов, много винтовок, автоматов и боеприпасов. Взято в плен три немецких офицера.</w:t>
      </w:r>
    </w:p>
    <w:p w14:paraId="4D8F7A72"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подразделение Н-ской части предприняло разведку боем. Советские бойцы ворвались в расположение противника и в рукопашной схватке истребили 60 гитлеровцев. Взорвано несколько вражеских дзотов и блиндажей.</w:t>
      </w:r>
    </w:p>
    <w:p w14:paraId="145950FE"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«Железняк», действующий в одном из районов Гомельской области, подорвал 2 железнодорожных эшелона противника. Разбиты паровоз, 11 вагонов с войсками и 2 платформы с зенитными орудиями. Другой отряд белорусских партизан за две недели пустил под откос бронепоезд и 3 воинских эшелона противника. Разбито 2 паровоза. 15 вагонов и 2 бронеплощадки.</w:t>
      </w:r>
    </w:p>
    <w:p w14:paraId="4184D120"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Жители советских районов, оккупированных немцами, оказывают героическое сопротивление немецко-фашистским захватчикам. Недавно на станцию Славута (Украина) прибыл эшелон с советскими гражданами, которых немцы насильно увозили на каторгу в Германию. Находившиеся в одном вагоне женщины задушили четырёх немцев-конвоиров и скрылись.</w:t>
      </w:r>
    </w:p>
    <w:p w14:paraId="1F57A2F3"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в Герцеговине, Черногории и Санджаке ведут ожесточённые бои против немецко-итальянских оккупантов. Патриоты наносят противнику тяжёлые потери. В районе Загреба партизаны совершили налёт на вражеский аэродром, сожгли 2 самолёта и 30 планёров, захватили 5 пулемётов, свыше 100 винтовок, 10 тысяч патронов и 2 автомашины. Взято в плен 120 солдат и офицеров противника. В Хорватском Загорье патриоты убили и ранили 60 гитлеровцев и захватили пленных. Партизанами захвачено 134 винтовки, 50 тысяч патронов и другое военное имущество. В другом районе патриоты пустили под откос два немецких эшелона.» (14916).</w:t>
      </w:r>
    </w:p>
    <w:p w14:paraId="00131474" w14:textId="77777777" w:rsidR="001E3FAF" w:rsidRPr="00D03F3E" w:rsidRDefault="001E3FAF" w:rsidP="00D03F3E">
      <w:pPr>
        <w:spacing w:after="0" w:line="240" w:lineRule="auto"/>
        <w:jc w:val="both"/>
        <w:rPr>
          <w:rFonts w:ascii="Times New Roman" w:hAnsi="Times New Roman"/>
          <w:color w:val="000000" w:themeColor="text1"/>
          <w:sz w:val="16"/>
          <w:szCs w:val="16"/>
        </w:rPr>
      </w:pPr>
    </w:p>
    <w:p w14:paraId="77046740"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8 июня 1943 состоялся удар по аэродрому Сещинская. Атаку целей на летных полях аэродромов, с учетом прежнего опыта, решили производить с пологого планирования под углом 25–30° с высоты 600–700 метров или же с бреющего полета. Открывать огонь из пушек и пулеметов предписывалось с дистанции 400–600 метров. Способ атаки предполагалось варьировать «в зависимости от расположения самолетов на аэродромах, степени их маскировки и рельефа местности». Для уничтожения стоящих на земле самолетов должны были применяться осколочные бомбы AO-10, АО-15 и АО-25, а также кассетные бомбы АО-2,5. Считалось, что осколки должны гарантированно выводить самолет из строя. Для «добивания» со второго захода нужно было вести огонь из пулеметов, пушек и пускать неуправляемые ракеты. На штурмовики, выделенные для поражения складов боеприпасов и бензохранилищ, предполагалось подвесить фугасные бомбы ФАБ-50, ФАБ-100 с взрывателями замедленного действия и зажигательные бомбы ЗАБ-2,5.</w:t>
      </w:r>
    </w:p>
    <w:p w14:paraId="7EF9FC88"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Командир 198-го шап майор Карякин еще накануне — 7 июня — получил приказ атаковать аэродром Сещинская. У многих летчиков он вызвал нервную дрожь. Уж слишком много историй ходило о тамошнем страшном зенитном огне и атаках десятков «Мессершмиттов». Говорили, что из вылетов к Сещи не возвращается половина экипажей, словом, гиблое место на карте. К тому же цель находилась на пределе радиуса действия Ил-2.</w:t>
      </w:r>
    </w:p>
    <w:p w14:paraId="5759E5D1"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А затем воздушный удар был перенесен на следующий день. Александр Ефимов потом вспоминал:</w:t>
      </w:r>
    </w:p>
    <w:p w14:paraId="2ED258DF" w14:textId="77777777" w:rsidR="006B6B4C" w:rsidRPr="00D03F3E" w:rsidRDefault="006B6B4C"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«Весь вечер мы были заняты подготовкой к заданию. Обсуждали маршрут, особенно тщательно разбирали действия при подходе к цели и в начале атаки. Внимательно изучили фотопланшет аэродрома Сеща. Наметили, кому какую цель атаковать, как маневрировать, куда уходить после атаки. В конце дня командир полка собрал всех, и летчики еще раз обсудили в деталях порядок выполнения боевой задачи.</w:t>
      </w:r>
    </w:p>
    <w:p w14:paraId="56A82399" w14:textId="77777777" w:rsidR="006B6B4C" w:rsidRPr="00D03F3E" w:rsidRDefault="006B6B4C"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Затем Карякин предоставил слово майору Бондаренко. Это был удивительно спокойный человек. Мы собирались громить аэродром Сеща — фашистское осиное гнездо. От одного сознания важности предстоящего полета по спине пробегали мурашки, а Михаил Захарович говорил с нами так спокойно и деловито, что можно было подумать, будто мы готовимся лететь туда с визитом вежливости»[69].</w:t>
      </w:r>
    </w:p>
    <w:p w14:paraId="0B6A9474"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Сам Ефимов получил от майора Карякина распоряжение в паре с ним перед самым налетом произвести разведку погоды на маршруте к цели. Хотя в своих послевоенных мемуарах он писал, что «дело это тоже важное», без сомнения, любой летчик скорее бы согласился слетать разведать погоду, чем штурмовать хорошо защищенный немецкий аэродром. Таким образом, командир полка выбрал для себя не самую трудную миссию.</w:t>
      </w:r>
    </w:p>
    <w:p w14:paraId="12CDE0E3"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В налете должны были участвовать самолеты и двух других полков 233-й шад — 62-го и 312-го шап. В общей сложности для удара выделялись 36 Ил-2. После постановки задачи представитель 172-го иап рассказал летчикам-штурмовикам о порядке встречи с истребителями сопровождения, назвал фамилии их ведущих. Эскорт состоял из 27 истребителей Як-1 и Як-7 из 233-й и 309-й иад.</w:t>
      </w:r>
    </w:p>
    <w:p w14:paraId="7F392786"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Утро 8 июня выдалось пасмурным. Облака низко висели над летным полем, временами моросил дождь. У летчиков, живших на фронте одним днем, это вызвало надежду, что вылет отложится. Однако ближе к вечеру погода несколько разгулялась, и в 20.20 все же поступил приказ — атаковать Сещинскую.</w:t>
      </w:r>
    </w:p>
    <w:p w14:paraId="4EAE2F53"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Первыми поднялись разведчики погоды. Ефимов продолжал рассказ:</w:t>
      </w:r>
    </w:p>
    <w:p w14:paraId="0B5A4F82" w14:textId="77777777" w:rsidR="006B6B4C" w:rsidRPr="00D03F3E" w:rsidRDefault="006B6B4C"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«Пока летчики занимали свои места, мы с командиром полка, не задерживаясь на старте, парой пошли на взлет. Высоту набирали на маршруте. С удалением на запад облака поднимались выше и заметно редели. Кое-где в окна пробивалось клонившееся к закату солнце.</w:t>
      </w:r>
    </w:p>
    <w:p w14:paraId="22A8E53A" w14:textId="77777777" w:rsidR="006B6B4C" w:rsidRPr="00D03F3E" w:rsidRDefault="006B6B4C"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Вот и линия фронта. Командир сообщает по радио погоду… Летим на запад, то и дело меняя курс. Здесь скоро будет наша дивизия. Выше нас вдруг проскочила четверка «мессеров». Командир резко накренил самолет и со снижением пошел в сторону лесного массива. Но противник не заметил нас…</w:t>
      </w:r>
    </w:p>
    <w:p w14:paraId="446EA1FC" w14:textId="77777777" w:rsidR="006B6B4C" w:rsidRPr="00D03F3E" w:rsidRDefault="006B6B4C"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 xml:space="preserve">Берем обратный курс и на предельно малой высоте проходим линию фронта. И вот на встречных выше нас в знакомом нам боевом порядке проносится армада штурмовиков с синими коками винтов — наш полк. Чуть в стороне — желтоклювые самолеты 312-го полка. Замыкает колонну 62-й полк — машины с красными </w:t>
      </w:r>
      <w:r w:rsidRPr="00D03F3E">
        <w:rPr>
          <w:iCs/>
          <w:color w:val="000000" w:themeColor="text1"/>
          <w:sz w:val="16"/>
          <w:szCs w:val="16"/>
          <w:bdr w:val="none" w:sz="0" w:space="0" w:color="auto" w:frame="1"/>
        </w:rPr>
        <w:lastRenderedPageBreak/>
        <w:t>коками винтов»[70].</w:t>
      </w:r>
    </w:p>
    <w:p w14:paraId="63491810"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Однако организованного налета, как это часто уже бывало, не вышло. Одни штурмовики не смогли встретиться с истребителями сопровождения, другие — заблудились, а некоторые совершили вынужденные посадки из-за технических неисправностей. В итоге вместо 36 «горбатых» к вражескому «осиному гнезду» приближались всего тринадцать. Их экипажи это обстоятельство, конечно, мало радовало, так как чем больше была группа, тем соответственно была меньше вероятность, что будут атаковать и собьют именно тебя.</w:t>
      </w:r>
    </w:p>
    <w:p w14:paraId="062CFDA6"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В очередной раз не удалось достичь и внезапности. Уже на подходе к Сещинской две группы Ил-2, возглавляемые майором Бондаренко и капитаном Малинкиным, натолкнулись на интенсивный заградительный огонь. Казалось, немецкие зенитки стоят повсюду, на каждой поляне. Одновременно в воздухе вспыхивало до сотни разрывов, сопровождаемых гулким грохотом. Затем в небе на разных высотах показались знакомые силуэты «Мессершмиттов». Когда же штурмовики стали заходить для атаки, зенитчики открыли огонь уже по конкретным самолетам.</w:t>
      </w:r>
    </w:p>
    <w:p w14:paraId="070B88FF"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В итоге пилотам Илов пришлось сбрасывать бомбы с горизонтального полета с высоты 1200 метров. Ни о каком точном прицеливании при этом не могло быть и речи. Правда, потом некоторые летчики бодро доложили, что «били с бреющего по стоянкам самолетов».</w:t>
      </w:r>
    </w:p>
    <w:p w14:paraId="6093613F"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Повернувшим обратно Илам предстоял самый опасный отрезок пути. Все знали, что атаки истребителей люфтваффе наиболее опасны как раз на отходе. Но штурмовикам на сей раз повезло, поскольку вслед за ними над Сещинской появились 26 Пе-2 из 204-й бад полковника С. П. Андреева и сопровождавшие их 42 истребителя Лa-5, которые и отвлекли на себя внимание немцев. И все же некоторые «Мессершмитты» и «Фокке-Вульфы» атаковали Ил-2, которые шли к линии фронта разрозненными мелкими группами и поодиночке.</w:t>
      </w:r>
    </w:p>
    <w:p w14:paraId="11069A16"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Так, одноместный Ил-2 младшего лейтенанта С. Петрова был поврежден прямым попаданием 20-мм снаряда, однако пилоту все же удалось развернуть машину в сторону линии фронта и на небольшой скорости выйти из зоны зенитного огня. Из-за неполадок в двигателе Петров отстал от своей группы и возвращался на свой аэродром в одиночку. Однако недалеко от линии фронта его штурмовик все же был настигнут парой Bf-109. Первая пулеметная очередь прошла мимо, но вторая ударила по центроплану. Петров снизился до бреющего полета и смог перетянуть через линию фронта. Но и «Мессершмитты» не отставали. Пулеметная очередь вывела из строя руль поворота. В итоге самолет плашмя упал на краю луга, пробороздил загнутыми лопастями винта около пятидесяти метров и остановился. Пилот опасался, что на открытом месте немцы добьют его, поэтому сразу же выбрался из кабины и залез под крыло.</w:t>
      </w:r>
    </w:p>
    <w:p w14:paraId="4551FC8F"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Двухместный Ил-2 Героя Советского Союза майора Михаила Бондаренко вскоре после разворота на обратный курс был замечен одиночным мессером, который затем произвел в общей сложности семь атак. Зная о наличии бортстрелка, «подлый фашист» заходил только сзади снизу. На штурмовике был поврежден двигатель, перебиты тросы управления рулями, а пилот и бортстрелок были ранены, причем последний тяжело. Бондаренко с большим трудом перетянул через линию фронта, после чего сразу же совершил вынужденную посадку «на живот».</w:t>
      </w:r>
    </w:p>
    <w:p w14:paraId="7552C71F"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Также были сильно повреждены и совершили вынужденные посадки еще три «черные смерти». Из состава группы сопровождения было сбито три истребителя и еще три, получив повреждения, сели «на живот».</w:t>
      </w:r>
    </w:p>
    <w:p w14:paraId="03ADF3EA"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Что же касается результатов столь драматичного налета, то пилоты Илов отчитались о двадцати уничтоженных и пятнадцати поврежденных самолетах. А штаб 1-й воздушной армии с учетом донесений пешек и вовсе сообщил наверх, что </w:t>
      </w:r>
      <w:r w:rsidRPr="00D03F3E">
        <w:rPr>
          <w:iCs/>
          <w:color w:val="000000" w:themeColor="text1"/>
          <w:sz w:val="16"/>
          <w:szCs w:val="16"/>
        </w:rPr>
        <w:t>«на аэродроме Сеща уничтожено и повреждено, и частично подтверждено фотоконтролем, до 35 самолетов противника из 60–70 находившихся на нем самолетов». </w:t>
      </w:r>
      <w:r w:rsidRPr="00D03F3E">
        <w:rPr>
          <w:color w:val="000000" w:themeColor="text1"/>
          <w:sz w:val="16"/>
          <w:szCs w:val="16"/>
        </w:rPr>
        <w:t> Кроме того, в воздушных боях в районе цели якобы было сбито три Bf-109, два Bf-110 и два FW-190.</w:t>
      </w:r>
    </w:p>
    <w:p w14:paraId="43731107"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Если учесть, что 8 июня на авиабазе Сещинская базировались только две группы: III./KG55 «Грайф» и III./KG1 «Гинденбург», то они обе должны были остаться вообще без бомбардировщиков. Фактически же в результате бомбежки и штурмовки самолеты и наземные сооружения вообще не пострадали. Был ранен только один германский зенитчик!</w:t>
      </w:r>
    </w:p>
    <w:p w14:paraId="30611C26"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В тот же день в налете на авиабазы люфтваффе в районе Орла, согласно замыслу штаба 15-й воздушной армии, должны были участвовать 42 Ил-2 в сопровождении 56 истребителей Як-1, Як-7 и Ла-5. Часть последних выделялась для блокировки аэродромов с целью недопущения взлета истребителей, а остальные — для непосредственного эскорта штурмовиков.</w:t>
      </w:r>
    </w:p>
    <w:p w14:paraId="1881B925"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В 19.30 с аэродрома Мценск взлетели 12 «горбатых» из 614-го шап. Их сопровождали 22 истребителя из 315-й иад полковника В. Я. Литвинова. Целью налета был аэродром Орел, где бомбардировщиков вообще не было, а базировались только истребители, транспортники и связные самолеты.</w:t>
      </w:r>
    </w:p>
    <w:p w14:paraId="43A88407"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Тем временем в 19.58 шестерка Як-1 из 65-го гв. иап попыталась блокировать немецкий аэродром Мезенка. Пилоты потом доложили, что увидели на летном поле около тридцати двухмоторных бомбардировщиков и «пожгли» пять из них. Затем пара сержанта Божко и лейтенанта Ковенцова была атакована двумя FW-190, один из которых они сбили. В то же время один из Яков тоже был подбит и совершил вынужденную посадку.</w:t>
      </w:r>
    </w:p>
    <w:p w14:paraId="32DDD43D"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Затем в окрестности Орла подтянулись гвардейцы 63-го и 64-го гв. иап. Немецкие посты наблюдения вовремя засекли приближение противника, и в воздух поднялись «Фокке-Вульфы». В итоге практически все советские истребители были связаны боем. Воздушное сражение из-за низкой облачности приняло характер скоротечных, разрозненных схваток. Истребители со звездами и крестами то вываливались из облаков, то снова уходили в них, небо в разных направлениях прорезали трассирующие очереди. Время от времени в воздухе проносились горящие машины и раскрывались купола парашютов…</w:t>
      </w:r>
    </w:p>
    <w:p w14:paraId="0323FDE2"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Впоследствии советские летчики заявили о шести сбитых фоккерах, которые записали на счета капитана Кубарева, старших лейтенантов Маношина и Ковенцова, младших лейтенантов Алексеева и Попова, а также сержанта Судожкина. Собственные потери советской авиации в этом бою составили по одному Як-1, Як-7 и Лa-5. Но, так или иначе, немцы добились главного, вместо прикрытия штурмовиков истребители были полностью связаны боями и выработали почти все свое горючее.</w:t>
      </w:r>
    </w:p>
    <w:p w14:paraId="16CF72CA"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К этому времени к Орлу подходила дюжина Ил-2 из 614-го шап. Их экипажи напрасно всматривались в дождливое, свинцовое небо, надеясь увидеть силуэты своих истребителей. Однако тем было некогда, и пришлось выполнять задание без прикрытия. В итоге немецкая зенитная артиллерия и истребители JG51 сбили все двенадцать «цементбомберов», ни один из которых не смог даже дотянуть до линии фронта. Пропали без вести 24 летчика и бортстрелка, в том числе штурман полка и помощник командира полка по воздушно-стрелковой подготовке.</w:t>
      </w:r>
    </w:p>
    <w:p w14:paraId="2F735EE4"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Ведущий группы истребителей 315-й иад затем сообщил, что от цели в сторону Мценска шли </w:t>
      </w:r>
      <w:r w:rsidRPr="00D03F3E">
        <w:rPr>
          <w:iCs/>
          <w:color w:val="000000" w:themeColor="text1"/>
          <w:sz w:val="16"/>
          <w:szCs w:val="16"/>
        </w:rPr>
        <w:t>«только четыре Ил-2, один из которых был сбит зенитным огнем, а других больше потом никто не видел». </w:t>
      </w:r>
      <w:r w:rsidRPr="00D03F3E">
        <w:rPr>
          <w:color w:val="000000" w:themeColor="text1"/>
          <w:sz w:val="16"/>
          <w:szCs w:val="16"/>
        </w:rPr>
        <w:t> Сами истребители тоже понесли большие потери: с задания не вернулись семь летчиков.</w:t>
      </w:r>
    </w:p>
    <w:p w14:paraId="780C2173"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Потеряв в общей сложности 19 из 34 самолетов, а также 31 из 48 летчиков, ударная группа не добилась никаких результатов. Аэродром Орел не пострадал, а все бомбы по большей части взорвались на близлежащих городских улицах и пустырях. По данным люфтваффе, в тот вечер по два Ил-2 сбили командир 11-й эскадрильи обер-лейтенант Адольф Борхерс, лейтенант Йоахим Бренд ель из 1-й эскадрильи и фельдфебель Бернхард Фехтель из 10-й эскадрильи. По одному «цементбомберу» записали на свои счета испанцы из 15-й эскадрильи — тениенте Рамон Галиван и Луис Аскуэт-Брунет.</w:t>
      </w:r>
    </w:p>
    <w:p w14:paraId="046C23B4"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Судьба оказалась более благосклонной к 12 Ил-2 из 948-го шап, целью которых должен был стать аэродром около поселка Хомуты, в 24 километрах юго-западнее Орла. Взлетев с полевого аэродрома Проходное и встретившись с истребителями, штурмовики направились к цели. Однако им «повезло», так как путь им преградила сплошная облачность. Командир полка майор Храбрых принял действительно храброе решение — прекратить выполнение задания и повернуть назад. Это спасло жизнь многим неопытным экипажам, которыми и был укомплектован полк (19522).</w:t>
      </w:r>
    </w:p>
    <w:p w14:paraId="43A26BA9" w14:textId="77777777" w:rsidR="006B6B4C" w:rsidRPr="00D03F3E" w:rsidRDefault="006B6B4C" w:rsidP="00D03F3E">
      <w:pPr>
        <w:pStyle w:val="ae"/>
        <w:spacing w:before="0" w:after="0"/>
        <w:jc w:val="both"/>
        <w:textAlignment w:val="baseline"/>
        <w:rPr>
          <w:color w:val="000000" w:themeColor="text1"/>
          <w:sz w:val="16"/>
          <w:szCs w:val="16"/>
        </w:rPr>
      </w:pPr>
      <w:r w:rsidRPr="00D03F3E">
        <w:rPr>
          <w:color w:val="000000" w:themeColor="text1"/>
          <w:sz w:val="16"/>
          <w:szCs w:val="16"/>
        </w:rPr>
        <w:t>Затем в ночь на 9 июня 1943 г. еще 160 советских двухмоторных бомбардировщиков совершили новые налеты на аэродромы люфтваффе на Орловском выступе. Однако и эта бомбежка по площадям не принесла никаких ощутимых результатов. Так, на аэродроме Орел-Западный получили ранения лишь два человека из наземного персонала. В то же время на свои базы не вернулся 21 самолет, или 13 % от общего числа участвовавших в налете (19522).</w:t>
      </w:r>
    </w:p>
    <w:p w14:paraId="4908FFDF" w14:textId="77777777" w:rsidR="006B6B4C" w:rsidRPr="00D03F3E" w:rsidRDefault="006B6B4C" w:rsidP="00D03F3E">
      <w:pPr>
        <w:pStyle w:val="ae"/>
        <w:spacing w:before="0" w:after="0"/>
        <w:jc w:val="both"/>
        <w:textAlignment w:val="baseline"/>
        <w:rPr>
          <w:color w:val="000000" w:themeColor="text1"/>
          <w:sz w:val="16"/>
          <w:szCs w:val="16"/>
        </w:rPr>
      </w:pPr>
    </w:p>
    <w:p w14:paraId="794CE0CE" w14:textId="77777777" w:rsidR="00BA5C26" w:rsidRPr="00D03F3E" w:rsidRDefault="00BA5C26"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8-10 июня 1943 года были седующие учтенные в документах потери в технике и людях, понесенные Люфтваффе в результате воздушных операций ВВС КА</w:t>
      </w:r>
    </w:p>
    <w:p w14:paraId="15593407" w14:textId="77777777" w:rsidR="00BA5C26" w:rsidRPr="00D03F3E" w:rsidRDefault="00BA5C26"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Учтенные потери Люфтваффе в результате авиационных ударов 8-10 июня 1943 года</w:t>
      </w:r>
    </w:p>
    <w:tbl>
      <w:tblPr>
        <w:tblW w:w="0" w:type="auto"/>
        <w:jc w:val="center"/>
        <w:tblLayout w:type="fixed"/>
        <w:tblCellMar>
          <w:left w:w="0" w:type="dxa"/>
          <w:right w:w="0" w:type="dxa"/>
        </w:tblCellMar>
        <w:tblLook w:val="0000" w:firstRow="0" w:lastRow="0" w:firstColumn="0" w:lastColumn="0" w:noHBand="0" w:noVBand="0"/>
      </w:tblPr>
      <w:tblGrid>
        <w:gridCol w:w="1585"/>
        <w:gridCol w:w="2064"/>
        <w:gridCol w:w="1750"/>
        <w:gridCol w:w="1032"/>
        <w:gridCol w:w="1436"/>
        <w:gridCol w:w="1421"/>
        <w:gridCol w:w="1796"/>
      </w:tblGrid>
      <w:tr w:rsidR="00860B4B" w:rsidRPr="00D03F3E" w14:paraId="09F1C1BE"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1A2DA751"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Дата</w:t>
            </w:r>
          </w:p>
        </w:tc>
        <w:tc>
          <w:tcPr>
            <w:tcW w:w="2064" w:type="dxa"/>
            <w:tcBorders>
              <w:top w:val="single" w:sz="6" w:space="0" w:color="auto"/>
              <w:left w:val="single" w:sz="6" w:space="0" w:color="auto"/>
              <w:bottom w:val="single" w:sz="6" w:space="0" w:color="auto"/>
              <w:right w:val="single" w:sz="6" w:space="0" w:color="auto"/>
            </w:tcBorders>
          </w:tcPr>
          <w:p w14:paraId="64789FCC"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Место</w:t>
            </w:r>
          </w:p>
        </w:tc>
        <w:tc>
          <w:tcPr>
            <w:tcW w:w="1750" w:type="dxa"/>
            <w:tcBorders>
              <w:top w:val="single" w:sz="6" w:space="0" w:color="auto"/>
              <w:left w:val="single" w:sz="6" w:space="0" w:color="auto"/>
              <w:bottom w:val="single" w:sz="6" w:space="0" w:color="auto"/>
              <w:right w:val="single" w:sz="6" w:space="0" w:color="auto"/>
            </w:tcBorders>
          </w:tcPr>
          <w:p w14:paraId="029738FE"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Часть</w:t>
            </w:r>
          </w:p>
        </w:tc>
        <w:tc>
          <w:tcPr>
            <w:tcW w:w="1032" w:type="dxa"/>
            <w:tcBorders>
              <w:top w:val="single" w:sz="6" w:space="0" w:color="auto"/>
              <w:left w:val="single" w:sz="6" w:space="0" w:color="auto"/>
              <w:bottom w:val="single" w:sz="6" w:space="0" w:color="auto"/>
              <w:right w:val="single" w:sz="6" w:space="0" w:color="auto"/>
            </w:tcBorders>
          </w:tcPr>
          <w:p w14:paraId="7E72209E"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w:t>
            </w:r>
          </w:p>
        </w:tc>
        <w:tc>
          <w:tcPr>
            <w:tcW w:w="1436" w:type="dxa"/>
            <w:tcBorders>
              <w:top w:val="single" w:sz="6" w:space="0" w:color="auto"/>
              <w:left w:val="single" w:sz="6" w:space="0" w:color="auto"/>
              <w:bottom w:val="single" w:sz="6" w:space="0" w:color="auto"/>
              <w:right w:val="single" w:sz="6" w:space="0" w:color="auto"/>
            </w:tcBorders>
          </w:tcPr>
          <w:p w14:paraId="7B5A3E04"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Заводской номер</w:t>
            </w:r>
          </w:p>
        </w:tc>
        <w:tc>
          <w:tcPr>
            <w:tcW w:w="1421" w:type="dxa"/>
            <w:tcBorders>
              <w:top w:val="single" w:sz="6" w:space="0" w:color="auto"/>
              <w:left w:val="single" w:sz="6" w:space="0" w:color="auto"/>
              <w:bottom w:val="single" w:sz="6" w:space="0" w:color="auto"/>
              <w:right w:val="single" w:sz="6" w:space="0" w:color="auto"/>
            </w:tcBorders>
          </w:tcPr>
          <w:p w14:paraId="500A1085"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Степень поврежд. %</w:t>
            </w:r>
          </w:p>
        </w:tc>
        <w:tc>
          <w:tcPr>
            <w:tcW w:w="1796" w:type="dxa"/>
            <w:tcBorders>
              <w:top w:val="single" w:sz="6" w:space="0" w:color="auto"/>
              <w:left w:val="single" w:sz="6" w:space="0" w:color="auto"/>
              <w:bottom w:val="single" w:sz="6" w:space="0" w:color="auto"/>
              <w:right w:val="single" w:sz="6" w:space="0" w:color="auto"/>
            </w:tcBorders>
          </w:tcPr>
          <w:p w14:paraId="2D289BE7"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Потери в личном составе</w:t>
            </w:r>
          </w:p>
        </w:tc>
      </w:tr>
      <w:tr w:rsidR="00860B4B" w:rsidRPr="00D03F3E" w14:paraId="65EE4FFA"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1AA23AD1"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07.06</w:t>
            </w:r>
          </w:p>
        </w:tc>
        <w:tc>
          <w:tcPr>
            <w:tcW w:w="2064" w:type="dxa"/>
            <w:tcBorders>
              <w:top w:val="single" w:sz="6" w:space="0" w:color="auto"/>
              <w:left w:val="single" w:sz="6" w:space="0" w:color="auto"/>
              <w:bottom w:val="single" w:sz="6" w:space="0" w:color="auto"/>
              <w:right w:val="single" w:sz="6" w:space="0" w:color="auto"/>
            </w:tcBorders>
          </w:tcPr>
          <w:p w14:paraId="5CB71E85"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w:t>
            </w:r>
          </w:p>
        </w:tc>
        <w:tc>
          <w:tcPr>
            <w:tcW w:w="1750" w:type="dxa"/>
            <w:tcBorders>
              <w:top w:val="single" w:sz="6" w:space="0" w:color="auto"/>
              <w:left w:val="single" w:sz="6" w:space="0" w:color="auto"/>
              <w:bottom w:val="single" w:sz="6" w:space="0" w:color="auto"/>
              <w:right w:val="single" w:sz="6" w:space="0" w:color="auto"/>
            </w:tcBorders>
          </w:tcPr>
          <w:p w14:paraId="781AAFCD"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II./KG51</w:t>
            </w:r>
          </w:p>
        </w:tc>
        <w:tc>
          <w:tcPr>
            <w:tcW w:w="1032" w:type="dxa"/>
            <w:tcBorders>
              <w:top w:val="single" w:sz="6" w:space="0" w:color="auto"/>
              <w:left w:val="single" w:sz="6" w:space="0" w:color="auto"/>
              <w:bottom w:val="single" w:sz="6" w:space="0" w:color="auto"/>
              <w:right w:val="single" w:sz="6" w:space="0" w:color="auto"/>
            </w:tcBorders>
          </w:tcPr>
          <w:p w14:paraId="32D7435C"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Ju88A-4</w:t>
            </w:r>
          </w:p>
        </w:tc>
        <w:tc>
          <w:tcPr>
            <w:tcW w:w="1436" w:type="dxa"/>
            <w:tcBorders>
              <w:top w:val="single" w:sz="6" w:space="0" w:color="auto"/>
              <w:left w:val="single" w:sz="6" w:space="0" w:color="auto"/>
              <w:bottom w:val="single" w:sz="6" w:space="0" w:color="auto"/>
              <w:right w:val="single" w:sz="6" w:space="0" w:color="auto"/>
            </w:tcBorders>
          </w:tcPr>
          <w:p w14:paraId="073FEBE1"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1159</w:t>
            </w:r>
          </w:p>
        </w:tc>
        <w:tc>
          <w:tcPr>
            <w:tcW w:w="1421" w:type="dxa"/>
            <w:tcBorders>
              <w:top w:val="single" w:sz="6" w:space="0" w:color="auto"/>
              <w:left w:val="single" w:sz="6" w:space="0" w:color="auto"/>
              <w:bottom w:val="single" w:sz="6" w:space="0" w:color="auto"/>
              <w:right w:val="single" w:sz="6" w:space="0" w:color="auto"/>
            </w:tcBorders>
          </w:tcPr>
          <w:p w14:paraId="3A48C6D8"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c>
          <w:tcPr>
            <w:tcW w:w="1796" w:type="dxa"/>
            <w:tcBorders>
              <w:top w:val="single" w:sz="6" w:space="0" w:color="auto"/>
              <w:left w:val="single" w:sz="6" w:space="0" w:color="auto"/>
              <w:bottom w:val="single" w:sz="6" w:space="0" w:color="auto"/>
              <w:right w:val="single" w:sz="6" w:space="0" w:color="auto"/>
            </w:tcBorders>
          </w:tcPr>
          <w:p w14:paraId="1501177A"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504061AD"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027F0D8E"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07.06</w:t>
            </w:r>
          </w:p>
        </w:tc>
        <w:tc>
          <w:tcPr>
            <w:tcW w:w="2064" w:type="dxa"/>
            <w:tcBorders>
              <w:top w:val="single" w:sz="6" w:space="0" w:color="auto"/>
              <w:left w:val="single" w:sz="6" w:space="0" w:color="auto"/>
              <w:bottom w:val="single" w:sz="6" w:space="0" w:color="auto"/>
              <w:right w:val="single" w:sz="6" w:space="0" w:color="auto"/>
            </w:tcBorders>
          </w:tcPr>
          <w:p w14:paraId="5F37AAFE"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Сеща</w:t>
            </w:r>
          </w:p>
        </w:tc>
        <w:tc>
          <w:tcPr>
            <w:tcW w:w="1750" w:type="dxa"/>
            <w:tcBorders>
              <w:top w:val="single" w:sz="6" w:space="0" w:color="auto"/>
              <w:left w:val="single" w:sz="6" w:space="0" w:color="auto"/>
              <w:bottom w:val="single" w:sz="6" w:space="0" w:color="auto"/>
              <w:right w:val="single" w:sz="6" w:space="0" w:color="auto"/>
            </w:tcBorders>
          </w:tcPr>
          <w:p w14:paraId="75A7CB22"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4.(F)/121</w:t>
            </w:r>
          </w:p>
        </w:tc>
        <w:tc>
          <w:tcPr>
            <w:tcW w:w="1032" w:type="dxa"/>
            <w:tcBorders>
              <w:top w:val="single" w:sz="6" w:space="0" w:color="auto"/>
              <w:left w:val="single" w:sz="6" w:space="0" w:color="auto"/>
              <w:bottom w:val="single" w:sz="6" w:space="0" w:color="auto"/>
              <w:right w:val="single" w:sz="6" w:space="0" w:color="auto"/>
            </w:tcBorders>
          </w:tcPr>
          <w:p w14:paraId="4128C7AB"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Ju88D-1</w:t>
            </w:r>
          </w:p>
        </w:tc>
        <w:tc>
          <w:tcPr>
            <w:tcW w:w="1436" w:type="dxa"/>
            <w:tcBorders>
              <w:top w:val="single" w:sz="6" w:space="0" w:color="auto"/>
              <w:left w:val="single" w:sz="6" w:space="0" w:color="auto"/>
              <w:bottom w:val="single" w:sz="6" w:space="0" w:color="auto"/>
              <w:right w:val="single" w:sz="6" w:space="0" w:color="auto"/>
            </w:tcBorders>
          </w:tcPr>
          <w:p w14:paraId="5480CFC0"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430447</w:t>
            </w:r>
          </w:p>
        </w:tc>
        <w:tc>
          <w:tcPr>
            <w:tcW w:w="1421" w:type="dxa"/>
            <w:tcBorders>
              <w:top w:val="single" w:sz="6" w:space="0" w:color="auto"/>
              <w:left w:val="single" w:sz="6" w:space="0" w:color="auto"/>
              <w:bottom w:val="single" w:sz="6" w:space="0" w:color="auto"/>
              <w:right w:val="single" w:sz="6" w:space="0" w:color="auto"/>
            </w:tcBorders>
          </w:tcPr>
          <w:p w14:paraId="6CAED06A"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c>
          <w:tcPr>
            <w:tcW w:w="1796" w:type="dxa"/>
            <w:tcBorders>
              <w:top w:val="single" w:sz="6" w:space="0" w:color="auto"/>
              <w:left w:val="single" w:sz="6" w:space="0" w:color="auto"/>
              <w:bottom w:val="single" w:sz="6" w:space="0" w:color="auto"/>
              <w:right w:val="single" w:sz="6" w:space="0" w:color="auto"/>
            </w:tcBorders>
          </w:tcPr>
          <w:p w14:paraId="097E6048"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0473B044"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50F01A8A"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07.06</w:t>
            </w:r>
          </w:p>
        </w:tc>
        <w:tc>
          <w:tcPr>
            <w:tcW w:w="2064" w:type="dxa"/>
            <w:tcBorders>
              <w:top w:val="single" w:sz="6" w:space="0" w:color="auto"/>
              <w:left w:val="single" w:sz="6" w:space="0" w:color="auto"/>
              <w:bottom w:val="single" w:sz="6" w:space="0" w:color="auto"/>
              <w:right w:val="single" w:sz="6" w:space="0" w:color="auto"/>
            </w:tcBorders>
          </w:tcPr>
          <w:p w14:paraId="2637012B"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 - Рогань</w:t>
            </w:r>
          </w:p>
        </w:tc>
        <w:tc>
          <w:tcPr>
            <w:tcW w:w="1750" w:type="dxa"/>
            <w:tcBorders>
              <w:top w:val="single" w:sz="6" w:space="0" w:color="auto"/>
              <w:left w:val="single" w:sz="6" w:space="0" w:color="auto"/>
              <w:bottom w:val="single" w:sz="6" w:space="0" w:color="auto"/>
              <w:right w:val="single" w:sz="6" w:space="0" w:color="auto"/>
            </w:tcBorders>
          </w:tcPr>
          <w:p w14:paraId="27348AB7"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II./JG3</w:t>
            </w:r>
          </w:p>
        </w:tc>
        <w:tc>
          <w:tcPr>
            <w:tcW w:w="1032" w:type="dxa"/>
            <w:tcBorders>
              <w:top w:val="single" w:sz="6" w:space="0" w:color="auto"/>
              <w:left w:val="single" w:sz="6" w:space="0" w:color="auto"/>
              <w:bottom w:val="single" w:sz="6" w:space="0" w:color="auto"/>
              <w:right w:val="single" w:sz="6" w:space="0" w:color="auto"/>
            </w:tcBorders>
          </w:tcPr>
          <w:p w14:paraId="25BA5BE2"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36" w:type="dxa"/>
            <w:tcBorders>
              <w:top w:val="single" w:sz="6" w:space="0" w:color="auto"/>
              <w:left w:val="single" w:sz="6" w:space="0" w:color="auto"/>
              <w:bottom w:val="single" w:sz="6" w:space="0" w:color="auto"/>
              <w:right w:val="single" w:sz="6" w:space="0" w:color="auto"/>
            </w:tcBorders>
          </w:tcPr>
          <w:p w14:paraId="7963B8ED"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01BA5569"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96" w:type="dxa"/>
            <w:tcBorders>
              <w:top w:val="single" w:sz="6" w:space="0" w:color="auto"/>
              <w:left w:val="single" w:sz="6" w:space="0" w:color="auto"/>
              <w:bottom w:val="single" w:sz="6" w:space="0" w:color="auto"/>
              <w:right w:val="single" w:sz="6" w:space="0" w:color="auto"/>
            </w:tcBorders>
          </w:tcPr>
          <w:p w14:paraId="646B539E"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619F4C97"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653DDF57"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08.06</w:t>
            </w:r>
          </w:p>
        </w:tc>
        <w:tc>
          <w:tcPr>
            <w:tcW w:w="2064" w:type="dxa"/>
            <w:tcBorders>
              <w:top w:val="single" w:sz="6" w:space="0" w:color="auto"/>
              <w:left w:val="single" w:sz="6" w:space="0" w:color="auto"/>
              <w:bottom w:val="single" w:sz="6" w:space="0" w:color="auto"/>
              <w:right w:val="single" w:sz="6" w:space="0" w:color="auto"/>
            </w:tcBorders>
          </w:tcPr>
          <w:p w14:paraId="11AE071E"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Сеща</w:t>
            </w:r>
          </w:p>
        </w:tc>
        <w:tc>
          <w:tcPr>
            <w:tcW w:w="1750" w:type="dxa"/>
            <w:tcBorders>
              <w:top w:val="single" w:sz="6" w:space="0" w:color="auto"/>
              <w:left w:val="single" w:sz="6" w:space="0" w:color="auto"/>
              <w:bottom w:val="single" w:sz="6" w:space="0" w:color="auto"/>
              <w:right w:val="single" w:sz="6" w:space="0" w:color="auto"/>
            </w:tcBorders>
          </w:tcPr>
          <w:p w14:paraId="5C53BCB3"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I./FlakR36</w:t>
            </w:r>
          </w:p>
        </w:tc>
        <w:tc>
          <w:tcPr>
            <w:tcW w:w="1032" w:type="dxa"/>
            <w:tcBorders>
              <w:top w:val="single" w:sz="6" w:space="0" w:color="auto"/>
              <w:left w:val="single" w:sz="6" w:space="0" w:color="auto"/>
              <w:bottom w:val="single" w:sz="6" w:space="0" w:color="auto"/>
              <w:right w:val="single" w:sz="6" w:space="0" w:color="auto"/>
            </w:tcBorders>
          </w:tcPr>
          <w:p w14:paraId="137AFEB7"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36" w:type="dxa"/>
            <w:tcBorders>
              <w:top w:val="single" w:sz="6" w:space="0" w:color="auto"/>
              <w:left w:val="single" w:sz="6" w:space="0" w:color="auto"/>
              <w:bottom w:val="single" w:sz="6" w:space="0" w:color="auto"/>
              <w:right w:val="single" w:sz="6" w:space="0" w:color="auto"/>
            </w:tcBorders>
          </w:tcPr>
          <w:p w14:paraId="708A643B"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08341CA7"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96" w:type="dxa"/>
            <w:tcBorders>
              <w:top w:val="single" w:sz="6" w:space="0" w:color="auto"/>
              <w:left w:val="single" w:sz="6" w:space="0" w:color="auto"/>
              <w:bottom w:val="single" w:sz="6" w:space="0" w:color="auto"/>
              <w:right w:val="single" w:sz="6" w:space="0" w:color="auto"/>
            </w:tcBorders>
          </w:tcPr>
          <w:p w14:paraId="523BF7D3"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30FB2CF1"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374A2F1F"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08.06</w:t>
            </w:r>
          </w:p>
        </w:tc>
        <w:tc>
          <w:tcPr>
            <w:tcW w:w="2064" w:type="dxa"/>
            <w:tcBorders>
              <w:top w:val="single" w:sz="6" w:space="0" w:color="auto"/>
              <w:left w:val="single" w:sz="6" w:space="0" w:color="auto"/>
              <w:bottom w:val="single" w:sz="6" w:space="0" w:color="auto"/>
              <w:right w:val="single" w:sz="6" w:space="0" w:color="auto"/>
            </w:tcBorders>
          </w:tcPr>
          <w:p w14:paraId="33FE922D"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Орел</w:t>
            </w:r>
          </w:p>
        </w:tc>
        <w:tc>
          <w:tcPr>
            <w:tcW w:w="1750" w:type="dxa"/>
            <w:tcBorders>
              <w:top w:val="single" w:sz="6" w:space="0" w:color="auto"/>
              <w:left w:val="single" w:sz="6" w:space="0" w:color="auto"/>
              <w:bottom w:val="single" w:sz="6" w:space="0" w:color="auto"/>
              <w:right w:val="single" w:sz="6" w:space="0" w:color="auto"/>
            </w:tcBorders>
          </w:tcPr>
          <w:p w14:paraId="483AA0FD"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Ln.Betr.Kp132</w:t>
            </w:r>
          </w:p>
        </w:tc>
        <w:tc>
          <w:tcPr>
            <w:tcW w:w="1032" w:type="dxa"/>
            <w:tcBorders>
              <w:top w:val="single" w:sz="6" w:space="0" w:color="auto"/>
              <w:left w:val="single" w:sz="6" w:space="0" w:color="auto"/>
              <w:bottom w:val="single" w:sz="6" w:space="0" w:color="auto"/>
              <w:right w:val="single" w:sz="6" w:space="0" w:color="auto"/>
            </w:tcBorders>
          </w:tcPr>
          <w:p w14:paraId="0C3EDF2F"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36" w:type="dxa"/>
            <w:tcBorders>
              <w:top w:val="single" w:sz="6" w:space="0" w:color="auto"/>
              <w:left w:val="single" w:sz="6" w:space="0" w:color="auto"/>
              <w:bottom w:val="single" w:sz="6" w:space="0" w:color="auto"/>
              <w:right w:val="single" w:sz="6" w:space="0" w:color="auto"/>
            </w:tcBorders>
          </w:tcPr>
          <w:p w14:paraId="6304B64F"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46D2E34B"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96" w:type="dxa"/>
            <w:tcBorders>
              <w:top w:val="single" w:sz="6" w:space="0" w:color="auto"/>
              <w:left w:val="single" w:sz="6" w:space="0" w:color="auto"/>
              <w:bottom w:val="single" w:sz="6" w:space="0" w:color="auto"/>
              <w:right w:val="single" w:sz="6" w:space="0" w:color="auto"/>
            </w:tcBorders>
          </w:tcPr>
          <w:p w14:paraId="236691FC"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r>
      <w:tr w:rsidR="00860B4B" w:rsidRPr="00D03F3E" w14:paraId="245C6EC8"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2EF7DC77"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10.06</w:t>
            </w:r>
          </w:p>
        </w:tc>
        <w:tc>
          <w:tcPr>
            <w:tcW w:w="2064" w:type="dxa"/>
            <w:tcBorders>
              <w:top w:val="single" w:sz="6" w:space="0" w:color="auto"/>
              <w:left w:val="single" w:sz="6" w:space="0" w:color="auto"/>
              <w:bottom w:val="single" w:sz="6" w:space="0" w:color="auto"/>
              <w:right w:val="single" w:sz="6" w:space="0" w:color="auto"/>
            </w:tcBorders>
          </w:tcPr>
          <w:p w14:paraId="75D17C92"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w:t>
            </w:r>
          </w:p>
        </w:tc>
        <w:tc>
          <w:tcPr>
            <w:tcW w:w="1750" w:type="dxa"/>
            <w:tcBorders>
              <w:top w:val="single" w:sz="6" w:space="0" w:color="auto"/>
              <w:left w:val="single" w:sz="6" w:space="0" w:color="auto"/>
              <w:bottom w:val="single" w:sz="6" w:space="0" w:color="auto"/>
              <w:right w:val="single" w:sz="6" w:space="0" w:color="auto"/>
            </w:tcBorders>
          </w:tcPr>
          <w:p w14:paraId="00A4E7DA"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3./StG77</w:t>
            </w:r>
          </w:p>
        </w:tc>
        <w:tc>
          <w:tcPr>
            <w:tcW w:w="1032" w:type="dxa"/>
            <w:tcBorders>
              <w:top w:val="single" w:sz="6" w:space="0" w:color="auto"/>
              <w:left w:val="single" w:sz="6" w:space="0" w:color="auto"/>
              <w:bottom w:val="single" w:sz="6" w:space="0" w:color="auto"/>
              <w:right w:val="single" w:sz="6" w:space="0" w:color="auto"/>
            </w:tcBorders>
          </w:tcPr>
          <w:p w14:paraId="515F3E95"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Ju87D-3</w:t>
            </w:r>
          </w:p>
        </w:tc>
        <w:tc>
          <w:tcPr>
            <w:tcW w:w="1436" w:type="dxa"/>
            <w:tcBorders>
              <w:top w:val="single" w:sz="6" w:space="0" w:color="auto"/>
              <w:left w:val="single" w:sz="6" w:space="0" w:color="auto"/>
              <w:bottom w:val="single" w:sz="6" w:space="0" w:color="auto"/>
              <w:right w:val="single" w:sz="6" w:space="0" w:color="auto"/>
            </w:tcBorders>
          </w:tcPr>
          <w:p w14:paraId="4DF0B04C"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1246</w:t>
            </w:r>
          </w:p>
        </w:tc>
        <w:tc>
          <w:tcPr>
            <w:tcW w:w="1421" w:type="dxa"/>
            <w:tcBorders>
              <w:top w:val="single" w:sz="6" w:space="0" w:color="auto"/>
              <w:left w:val="single" w:sz="6" w:space="0" w:color="auto"/>
              <w:bottom w:val="single" w:sz="6" w:space="0" w:color="auto"/>
              <w:right w:val="single" w:sz="6" w:space="0" w:color="auto"/>
            </w:tcBorders>
          </w:tcPr>
          <w:p w14:paraId="25A83492"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c>
          <w:tcPr>
            <w:tcW w:w="1796" w:type="dxa"/>
            <w:tcBorders>
              <w:top w:val="single" w:sz="6" w:space="0" w:color="auto"/>
              <w:left w:val="single" w:sz="6" w:space="0" w:color="auto"/>
              <w:bottom w:val="single" w:sz="6" w:space="0" w:color="auto"/>
              <w:right w:val="single" w:sz="6" w:space="0" w:color="auto"/>
            </w:tcBorders>
          </w:tcPr>
          <w:p w14:paraId="40F57A2A"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1D5E897B"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0912BA1D"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10.06</w:t>
            </w:r>
          </w:p>
        </w:tc>
        <w:tc>
          <w:tcPr>
            <w:tcW w:w="2064" w:type="dxa"/>
            <w:tcBorders>
              <w:top w:val="single" w:sz="6" w:space="0" w:color="auto"/>
              <w:left w:val="single" w:sz="6" w:space="0" w:color="auto"/>
              <w:bottom w:val="single" w:sz="6" w:space="0" w:color="auto"/>
              <w:right w:val="single" w:sz="6" w:space="0" w:color="auto"/>
            </w:tcBorders>
          </w:tcPr>
          <w:p w14:paraId="2E7A9AA4"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аэ. Брянск</w:t>
            </w:r>
          </w:p>
        </w:tc>
        <w:tc>
          <w:tcPr>
            <w:tcW w:w="1750" w:type="dxa"/>
            <w:tcBorders>
              <w:top w:val="single" w:sz="6" w:space="0" w:color="auto"/>
              <w:left w:val="single" w:sz="6" w:space="0" w:color="auto"/>
              <w:bottom w:val="single" w:sz="6" w:space="0" w:color="auto"/>
              <w:right w:val="single" w:sz="6" w:space="0" w:color="auto"/>
            </w:tcBorders>
          </w:tcPr>
          <w:p w14:paraId="308B5095"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Ln.Kp./KG51</w:t>
            </w:r>
          </w:p>
        </w:tc>
        <w:tc>
          <w:tcPr>
            <w:tcW w:w="1032" w:type="dxa"/>
            <w:tcBorders>
              <w:top w:val="single" w:sz="6" w:space="0" w:color="auto"/>
              <w:left w:val="single" w:sz="6" w:space="0" w:color="auto"/>
              <w:bottom w:val="single" w:sz="6" w:space="0" w:color="auto"/>
              <w:right w:val="single" w:sz="6" w:space="0" w:color="auto"/>
            </w:tcBorders>
          </w:tcPr>
          <w:p w14:paraId="6B9F3726"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36" w:type="dxa"/>
            <w:tcBorders>
              <w:top w:val="single" w:sz="6" w:space="0" w:color="auto"/>
              <w:left w:val="single" w:sz="6" w:space="0" w:color="auto"/>
              <w:bottom w:val="single" w:sz="6" w:space="0" w:color="auto"/>
              <w:right w:val="single" w:sz="6" w:space="0" w:color="auto"/>
            </w:tcBorders>
          </w:tcPr>
          <w:p w14:paraId="56139089"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479CA89E"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96" w:type="dxa"/>
            <w:tcBorders>
              <w:top w:val="single" w:sz="6" w:space="0" w:color="auto"/>
              <w:left w:val="single" w:sz="6" w:space="0" w:color="auto"/>
              <w:bottom w:val="single" w:sz="6" w:space="0" w:color="auto"/>
              <w:right w:val="single" w:sz="6" w:space="0" w:color="auto"/>
            </w:tcBorders>
          </w:tcPr>
          <w:p w14:paraId="5FFD8EDC"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110D7F16"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4ECCFB51"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10.06</w:t>
            </w:r>
          </w:p>
        </w:tc>
        <w:tc>
          <w:tcPr>
            <w:tcW w:w="2064" w:type="dxa"/>
            <w:tcBorders>
              <w:top w:val="single" w:sz="6" w:space="0" w:color="auto"/>
              <w:left w:val="single" w:sz="6" w:space="0" w:color="auto"/>
              <w:bottom w:val="single" w:sz="6" w:space="0" w:color="auto"/>
              <w:right w:val="single" w:sz="6" w:space="0" w:color="auto"/>
            </w:tcBorders>
          </w:tcPr>
          <w:p w14:paraId="28D21EC8"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 - Сев.</w:t>
            </w:r>
          </w:p>
        </w:tc>
        <w:tc>
          <w:tcPr>
            <w:tcW w:w="1750" w:type="dxa"/>
            <w:tcBorders>
              <w:top w:val="single" w:sz="6" w:space="0" w:color="auto"/>
              <w:left w:val="single" w:sz="6" w:space="0" w:color="auto"/>
              <w:bottom w:val="single" w:sz="6" w:space="0" w:color="auto"/>
              <w:right w:val="single" w:sz="6" w:space="0" w:color="auto"/>
            </w:tcBorders>
          </w:tcPr>
          <w:p w14:paraId="1FF395A8"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III./LnR38</w:t>
            </w:r>
          </w:p>
        </w:tc>
        <w:tc>
          <w:tcPr>
            <w:tcW w:w="1032" w:type="dxa"/>
            <w:tcBorders>
              <w:top w:val="single" w:sz="6" w:space="0" w:color="auto"/>
              <w:left w:val="single" w:sz="6" w:space="0" w:color="auto"/>
              <w:bottom w:val="single" w:sz="6" w:space="0" w:color="auto"/>
              <w:right w:val="single" w:sz="6" w:space="0" w:color="auto"/>
            </w:tcBorders>
          </w:tcPr>
          <w:p w14:paraId="5EC10DF2"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36" w:type="dxa"/>
            <w:tcBorders>
              <w:top w:val="single" w:sz="6" w:space="0" w:color="auto"/>
              <w:left w:val="single" w:sz="6" w:space="0" w:color="auto"/>
              <w:bottom w:val="single" w:sz="6" w:space="0" w:color="auto"/>
              <w:right w:val="single" w:sz="6" w:space="0" w:color="auto"/>
            </w:tcBorders>
          </w:tcPr>
          <w:p w14:paraId="2F40D46F"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65225FCB"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96" w:type="dxa"/>
            <w:tcBorders>
              <w:top w:val="single" w:sz="6" w:space="0" w:color="auto"/>
              <w:left w:val="single" w:sz="6" w:space="0" w:color="auto"/>
              <w:bottom w:val="single" w:sz="6" w:space="0" w:color="auto"/>
              <w:right w:val="single" w:sz="6" w:space="0" w:color="auto"/>
            </w:tcBorders>
          </w:tcPr>
          <w:p w14:paraId="72C1D4CC"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3DFBBF5B"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4DD134E6"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10.06</w:t>
            </w:r>
          </w:p>
        </w:tc>
        <w:tc>
          <w:tcPr>
            <w:tcW w:w="2064" w:type="dxa"/>
            <w:tcBorders>
              <w:top w:val="single" w:sz="6" w:space="0" w:color="auto"/>
              <w:left w:val="single" w:sz="6" w:space="0" w:color="auto"/>
              <w:bottom w:val="single" w:sz="6" w:space="0" w:color="auto"/>
              <w:right w:val="single" w:sz="6" w:space="0" w:color="auto"/>
            </w:tcBorders>
          </w:tcPr>
          <w:p w14:paraId="6DE74773"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Харьков - Сокольники</w:t>
            </w:r>
          </w:p>
        </w:tc>
        <w:tc>
          <w:tcPr>
            <w:tcW w:w="1750" w:type="dxa"/>
            <w:tcBorders>
              <w:top w:val="single" w:sz="6" w:space="0" w:color="auto"/>
              <w:left w:val="single" w:sz="6" w:space="0" w:color="auto"/>
              <w:bottom w:val="single" w:sz="6" w:space="0" w:color="auto"/>
              <w:right w:val="single" w:sz="6" w:space="0" w:color="auto"/>
            </w:tcBorders>
          </w:tcPr>
          <w:p w14:paraId="5CACF632"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Stab/VIII Fl.K.</w:t>
            </w:r>
          </w:p>
        </w:tc>
        <w:tc>
          <w:tcPr>
            <w:tcW w:w="1032" w:type="dxa"/>
            <w:tcBorders>
              <w:top w:val="single" w:sz="6" w:space="0" w:color="auto"/>
              <w:left w:val="single" w:sz="6" w:space="0" w:color="auto"/>
              <w:bottom w:val="single" w:sz="6" w:space="0" w:color="auto"/>
              <w:right w:val="single" w:sz="6" w:space="0" w:color="auto"/>
            </w:tcBorders>
          </w:tcPr>
          <w:p w14:paraId="726DB9E6"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36" w:type="dxa"/>
            <w:tcBorders>
              <w:top w:val="single" w:sz="6" w:space="0" w:color="auto"/>
              <w:left w:val="single" w:sz="6" w:space="0" w:color="auto"/>
              <w:bottom w:val="single" w:sz="6" w:space="0" w:color="auto"/>
              <w:right w:val="single" w:sz="6" w:space="0" w:color="auto"/>
            </w:tcBorders>
          </w:tcPr>
          <w:p w14:paraId="76818F4F"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6363B31F"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96" w:type="dxa"/>
            <w:tcBorders>
              <w:top w:val="single" w:sz="6" w:space="0" w:color="auto"/>
              <w:left w:val="single" w:sz="6" w:space="0" w:color="auto"/>
              <w:bottom w:val="single" w:sz="6" w:space="0" w:color="auto"/>
              <w:right w:val="single" w:sz="6" w:space="0" w:color="auto"/>
            </w:tcBorders>
          </w:tcPr>
          <w:p w14:paraId="02DB9BFC"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tc>
      </w:tr>
      <w:tr w:rsidR="00860B4B" w:rsidRPr="00D03F3E" w14:paraId="548A2C84"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7DE8D15C"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11.06</w:t>
            </w:r>
          </w:p>
        </w:tc>
        <w:tc>
          <w:tcPr>
            <w:tcW w:w="2064" w:type="dxa"/>
            <w:tcBorders>
              <w:top w:val="single" w:sz="6" w:space="0" w:color="auto"/>
              <w:left w:val="single" w:sz="6" w:space="0" w:color="auto"/>
              <w:bottom w:val="single" w:sz="6" w:space="0" w:color="auto"/>
              <w:right w:val="single" w:sz="6" w:space="0" w:color="auto"/>
            </w:tcBorders>
          </w:tcPr>
          <w:p w14:paraId="67B4BC51"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Шаталово</w:t>
            </w:r>
          </w:p>
        </w:tc>
        <w:tc>
          <w:tcPr>
            <w:tcW w:w="1750" w:type="dxa"/>
            <w:tcBorders>
              <w:top w:val="single" w:sz="6" w:space="0" w:color="auto"/>
              <w:left w:val="single" w:sz="6" w:space="0" w:color="auto"/>
              <w:bottom w:val="single" w:sz="6" w:space="0" w:color="auto"/>
              <w:right w:val="single" w:sz="6" w:space="0" w:color="auto"/>
            </w:tcBorders>
          </w:tcPr>
          <w:p w14:paraId="1BA9600C"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1.(H)/16</w:t>
            </w:r>
          </w:p>
        </w:tc>
        <w:tc>
          <w:tcPr>
            <w:tcW w:w="1032" w:type="dxa"/>
            <w:tcBorders>
              <w:top w:val="single" w:sz="6" w:space="0" w:color="auto"/>
              <w:left w:val="single" w:sz="6" w:space="0" w:color="auto"/>
              <w:bottom w:val="single" w:sz="6" w:space="0" w:color="auto"/>
              <w:right w:val="single" w:sz="6" w:space="0" w:color="auto"/>
            </w:tcBorders>
          </w:tcPr>
          <w:p w14:paraId="4BD6600F"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Bf110G-3</w:t>
            </w:r>
          </w:p>
        </w:tc>
        <w:tc>
          <w:tcPr>
            <w:tcW w:w="1436" w:type="dxa"/>
            <w:tcBorders>
              <w:top w:val="single" w:sz="6" w:space="0" w:color="auto"/>
              <w:left w:val="single" w:sz="6" w:space="0" w:color="auto"/>
              <w:bottom w:val="single" w:sz="6" w:space="0" w:color="auto"/>
              <w:right w:val="single" w:sz="6" w:space="0" w:color="auto"/>
            </w:tcBorders>
          </w:tcPr>
          <w:p w14:paraId="7A300606"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4829</w:t>
            </w:r>
          </w:p>
        </w:tc>
        <w:tc>
          <w:tcPr>
            <w:tcW w:w="1421" w:type="dxa"/>
            <w:tcBorders>
              <w:top w:val="single" w:sz="6" w:space="0" w:color="auto"/>
              <w:left w:val="single" w:sz="6" w:space="0" w:color="auto"/>
              <w:bottom w:val="single" w:sz="6" w:space="0" w:color="auto"/>
              <w:right w:val="single" w:sz="6" w:space="0" w:color="auto"/>
            </w:tcBorders>
          </w:tcPr>
          <w:p w14:paraId="1F640792"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tc>
        <w:tc>
          <w:tcPr>
            <w:tcW w:w="1796" w:type="dxa"/>
            <w:tcBorders>
              <w:top w:val="single" w:sz="6" w:space="0" w:color="auto"/>
              <w:left w:val="single" w:sz="6" w:space="0" w:color="auto"/>
              <w:bottom w:val="single" w:sz="6" w:space="0" w:color="auto"/>
              <w:right w:val="single" w:sz="6" w:space="0" w:color="auto"/>
            </w:tcBorders>
          </w:tcPr>
          <w:p w14:paraId="5B833B63"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34EC38FC"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53DA9ED7"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11.06</w:t>
            </w:r>
          </w:p>
        </w:tc>
        <w:tc>
          <w:tcPr>
            <w:tcW w:w="2064" w:type="dxa"/>
            <w:tcBorders>
              <w:top w:val="single" w:sz="6" w:space="0" w:color="auto"/>
              <w:left w:val="single" w:sz="6" w:space="0" w:color="auto"/>
              <w:bottom w:val="single" w:sz="6" w:space="0" w:color="auto"/>
              <w:right w:val="single" w:sz="6" w:space="0" w:color="auto"/>
            </w:tcBorders>
          </w:tcPr>
          <w:p w14:paraId="050C849C"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Шаталово</w:t>
            </w:r>
          </w:p>
        </w:tc>
        <w:tc>
          <w:tcPr>
            <w:tcW w:w="1750" w:type="dxa"/>
            <w:tcBorders>
              <w:top w:val="single" w:sz="6" w:space="0" w:color="auto"/>
              <w:left w:val="single" w:sz="6" w:space="0" w:color="auto"/>
              <w:bottom w:val="single" w:sz="6" w:space="0" w:color="auto"/>
              <w:right w:val="single" w:sz="6" w:space="0" w:color="auto"/>
            </w:tcBorders>
          </w:tcPr>
          <w:p w14:paraId="4C481ABB"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1.(H)/16</w:t>
            </w:r>
          </w:p>
        </w:tc>
        <w:tc>
          <w:tcPr>
            <w:tcW w:w="1032" w:type="dxa"/>
            <w:tcBorders>
              <w:top w:val="single" w:sz="6" w:space="0" w:color="auto"/>
              <w:left w:val="single" w:sz="6" w:space="0" w:color="auto"/>
              <w:bottom w:val="single" w:sz="6" w:space="0" w:color="auto"/>
              <w:right w:val="single" w:sz="6" w:space="0" w:color="auto"/>
            </w:tcBorders>
          </w:tcPr>
          <w:p w14:paraId="05364B68"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Bf110G-3</w:t>
            </w:r>
          </w:p>
        </w:tc>
        <w:tc>
          <w:tcPr>
            <w:tcW w:w="1436" w:type="dxa"/>
            <w:tcBorders>
              <w:top w:val="single" w:sz="6" w:space="0" w:color="auto"/>
              <w:left w:val="single" w:sz="6" w:space="0" w:color="auto"/>
              <w:bottom w:val="single" w:sz="6" w:space="0" w:color="auto"/>
              <w:right w:val="single" w:sz="6" w:space="0" w:color="auto"/>
            </w:tcBorders>
          </w:tcPr>
          <w:p w14:paraId="0EF79599"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4822</w:t>
            </w:r>
          </w:p>
        </w:tc>
        <w:tc>
          <w:tcPr>
            <w:tcW w:w="1421" w:type="dxa"/>
            <w:tcBorders>
              <w:top w:val="single" w:sz="6" w:space="0" w:color="auto"/>
              <w:left w:val="single" w:sz="6" w:space="0" w:color="auto"/>
              <w:bottom w:val="single" w:sz="6" w:space="0" w:color="auto"/>
              <w:right w:val="single" w:sz="6" w:space="0" w:color="auto"/>
            </w:tcBorders>
          </w:tcPr>
          <w:p w14:paraId="4B32C6A1"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tc>
        <w:tc>
          <w:tcPr>
            <w:tcW w:w="1796" w:type="dxa"/>
            <w:tcBorders>
              <w:top w:val="single" w:sz="6" w:space="0" w:color="auto"/>
              <w:left w:val="single" w:sz="6" w:space="0" w:color="auto"/>
              <w:bottom w:val="single" w:sz="6" w:space="0" w:color="auto"/>
              <w:right w:val="single" w:sz="6" w:space="0" w:color="auto"/>
            </w:tcBorders>
          </w:tcPr>
          <w:p w14:paraId="75FAE33B"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41ECAF36"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6552DA69"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11.06</w:t>
            </w:r>
          </w:p>
        </w:tc>
        <w:tc>
          <w:tcPr>
            <w:tcW w:w="2064" w:type="dxa"/>
            <w:tcBorders>
              <w:top w:val="single" w:sz="6" w:space="0" w:color="auto"/>
              <w:left w:val="single" w:sz="6" w:space="0" w:color="auto"/>
              <w:bottom w:val="single" w:sz="6" w:space="0" w:color="auto"/>
              <w:right w:val="single" w:sz="6" w:space="0" w:color="auto"/>
            </w:tcBorders>
          </w:tcPr>
          <w:p w14:paraId="3691D732"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Шаталово</w:t>
            </w:r>
          </w:p>
        </w:tc>
        <w:tc>
          <w:tcPr>
            <w:tcW w:w="1750" w:type="dxa"/>
            <w:tcBorders>
              <w:top w:val="single" w:sz="6" w:space="0" w:color="auto"/>
              <w:left w:val="single" w:sz="6" w:space="0" w:color="auto"/>
              <w:bottom w:val="single" w:sz="6" w:space="0" w:color="auto"/>
              <w:right w:val="single" w:sz="6" w:space="0" w:color="auto"/>
            </w:tcBorders>
          </w:tcPr>
          <w:p w14:paraId="13F965F8"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NAGr5</w:t>
            </w:r>
          </w:p>
        </w:tc>
        <w:tc>
          <w:tcPr>
            <w:tcW w:w="1032" w:type="dxa"/>
            <w:tcBorders>
              <w:top w:val="single" w:sz="6" w:space="0" w:color="auto"/>
              <w:left w:val="single" w:sz="6" w:space="0" w:color="auto"/>
              <w:bottom w:val="single" w:sz="6" w:space="0" w:color="auto"/>
              <w:right w:val="single" w:sz="6" w:space="0" w:color="auto"/>
            </w:tcBorders>
          </w:tcPr>
          <w:p w14:paraId="61C99589"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Hs126</w:t>
            </w:r>
          </w:p>
        </w:tc>
        <w:tc>
          <w:tcPr>
            <w:tcW w:w="1436" w:type="dxa"/>
            <w:tcBorders>
              <w:top w:val="single" w:sz="6" w:space="0" w:color="auto"/>
              <w:left w:val="single" w:sz="6" w:space="0" w:color="auto"/>
              <w:bottom w:val="single" w:sz="6" w:space="0" w:color="auto"/>
              <w:right w:val="single" w:sz="6" w:space="0" w:color="auto"/>
            </w:tcBorders>
          </w:tcPr>
          <w:p w14:paraId="0D7A9CB0"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4161</w:t>
            </w:r>
          </w:p>
        </w:tc>
        <w:tc>
          <w:tcPr>
            <w:tcW w:w="1421" w:type="dxa"/>
            <w:tcBorders>
              <w:top w:val="single" w:sz="6" w:space="0" w:color="auto"/>
              <w:left w:val="single" w:sz="6" w:space="0" w:color="auto"/>
              <w:bottom w:val="single" w:sz="6" w:space="0" w:color="auto"/>
              <w:right w:val="single" w:sz="6" w:space="0" w:color="auto"/>
            </w:tcBorders>
          </w:tcPr>
          <w:p w14:paraId="33D9BF57"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tc>
        <w:tc>
          <w:tcPr>
            <w:tcW w:w="1796" w:type="dxa"/>
            <w:tcBorders>
              <w:top w:val="single" w:sz="6" w:space="0" w:color="auto"/>
              <w:left w:val="single" w:sz="6" w:space="0" w:color="auto"/>
              <w:bottom w:val="single" w:sz="6" w:space="0" w:color="auto"/>
              <w:right w:val="single" w:sz="6" w:space="0" w:color="auto"/>
            </w:tcBorders>
          </w:tcPr>
          <w:p w14:paraId="438E374F"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55D20EBD"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300A7878"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11.06</w:t>
            </w:r>
          </w:p>
        </w:tc>
        <w:tc>
          <w:tcPr>
            <w:tcW w:w="2064" w:type="dxa"/>
            <w:tcBorders>
              <w:top w:val="single" w:sz="6" w:space="0" w:color="auto"/>
              <w:left w:val="single" w:sz="6" w:space="0" w:color="auto"/>
              <w:bottom w:val="single" w:sz="6" w:space="0" w:color="auto"/>
              <w:right w:val="single" w:sz="6" w:space="0" w:color="auto"/>
            </w:tcBorders>
          </w:tcPr>
          <w:p w14:paraId="1CBC62DF"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Шаталово</w:t>
            </w:r>
          </w:p>
        </w:tc>
        <w:tc>
          <w:tcPr>
            <w:tcW w:w="1750" w:type="dxa"/>
            <w:tcBorders>
              <w:top w:val="single" w:sz="6" w:space="0" w:color="auto"/>
              <w:left w:val="single" w:sz="6" w:space="0" w:color="auto"/>
              <w:bottom w:val="single" w:sz="6" w:space="0" w:color="auto"/>
              <w:right w:val="single" w:sz="6" w:space="0" w:color="auto"/>
            </w:tcBorders>
          </w:tcPr>
          <w:p w14:paraId="0229BF3C"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NAGr5</w:t>
            </w:r>
          </w:p>
        </w:tc>
        <w:tc>
          <w:tcPr>
            <w:tcW w:w="1032" w:type="dxa"/>
            <w:tcBorders>
              <w:top w:val="single" w:sz="6" w:space="0" w:color="auto"/>
              <w:left w:val="single" w:sz="6" w:space="0" w:color="auto"/>
              <w:bottom w:val="single" w:sz="6" w:space="0" w:color="auto"/>
              <w:right w:val="single" w:sz="6" w:space="0" w:color="auto"/>
            </w:tcBorders>
          </w:tcPr>
          <w:p w14:paraId="169A1972"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Hs126</w:t>
            </w:r>
          </w:p>
        </w:tc>
        <w:tc>
          <w:tcPr>
            <w:tcW w:w="1436" w:type="dxa"/>
            <w:tcBorders>
              <w:top w:val="single" w:sz="6" w:space="0" w:color="auto"/>
              <w:left w:val="single" w:sz="6" w:space="0" w:color="auto"/>
              <w:bottom w:val="single" w:sz="6" w:space="0" w:color="auto"/>
              <w:right w:val="single" w:sz="6" w:space="0" w:color="auto"/>
            </w:tcBorders>
          </w:tcPr>
          <w:p w14:paraId="30CEEA2E"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4086</w:t>
            </w:r>
          </w:p>
        </w:tc>
        <w:tc>
          <w:tcPr>
            <w:tcW w:w="1421" w:type="dxa"/>
            <w:tcBorders>
              <w:top w:val="single" w:sz="6" w:space="0" w:color="auto"/>
              <w:left w:val="single" w:sz="6" w:space="0" w:color="auto"/>
              <w:bottom w:val="single" w:sz="6" w:space="0" w:color="auto"/>
              <w:right w:val="single" w:sz="6" w:space="0" w:color="auto"/>
            </w:tcBorders>
          </w:tcPr>
          <w:p w14:paraId="0CFAC74C"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tc>
        <w:tc>
          <w:tcPr>
            <w:tcW w:w="1796" w:type="dxa"/>
            <w:tcBorders>
              <w:top w:val="single" w:sz="6" w:space="0" w:color="auto"/>
              <w:left w:val="single" w:sz="6" w:space="0" w:color="auto"/>
              <w:bottom w:val="single" w:sz="6" w:space="0" w:color="auto"/>
              <w:right w:val="single" w:sz="6" w:space="0" w:color="auto"/>
            </w:tcBorders>
          </w:tcPr>
          <w:p w14:paraId="0BBC6742"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54D8B4F0"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768C589A"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11.06</w:t>
            </w:r>
          </w:p>
        </w:tc>
        <w:tc>
          <w:tcPr>
            <w:tcW w:w="2064" w:type="dxa"/>
            <w:tcBorders>
              <w:top w:val="single" w:sz="6" w:space="0" w:color="auto"/>
              <w:left w:val="single" w:sz="6" w:space="0" w:color="auto"/>
              <w:bottom w:val="single" w:sz="6" w:space="0" w:color="auto"/>
              <w:right w:val="single" w:sz="6" w:space="0" w:color="auto"/>
            </w:tcBorders>
          </w:tcPr>
          <w:p w14:paraId="012FF406"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Шаталово</w:t>
            </w:r>
          </w:p>
        </w:tc>
        <w:tc>
          <w:tcPr>
            <w:tcW w:w="1750" w:type="dxa"/>
            <w:tcBorders>
              <w:top w:val="single" w:sz="6" w:space="0" w:color="auto"/>
              <w:left w:val="single" w:sz="6" w:space="0" w:color="auto"/>
              <w:bottom w:val="single" w:sz="6" w:space="0" w:color="auto"/>
              <w:right w:val="single" w:sz="6" w:space="0" w:color="auto"/>
            </w:tcBorders>
          </w:tcPr>
          <w:p w14:paraId="27B14932"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NAGr5</w:t>
            </w:r>
          </w:p>
        </w:tc>
        <w:tc>
          <w:tcPr>
            <w:tcW w:w="1032" w:type="dxa"/>
            <w:tcBorders>
              <w:top w:val="single" w:sz="6" w:space="0" w:color="auto"/>
              <w:left w:val="single" w:sz="6" w:space="0" w:color="auto"/>
              <w:bottom w:val="single" w:sz="6" w:space="0" w:color="auto"/>
              <w:right w:val="single" w:sz="6" w:space="0" w:color="auto"/>
            </w:tcBorders>
          </w:tcPr>
          <w:p w14:paraId="5751D3C9"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Hs126</w:t>
            </w:r>
          </w:p>
        </w:tc>
        <w:tc>
          <w:tcPr>
            <w:tcW w:w="1436" w:type="dxa"/>
            <w:tcBorders>
              <w:top w:val="single" w:sz="6" w:space="0" w:color="auto"/>
              <w:left w:val="single" w:sz="6" w:space="0" w:color="auto"/>
              <w:bottom w:val="single" w:sz="6" w:space="0" w:color="auto"/>
              <w:right w:val="single" w:sz="6" w:space="0" w:color="auto"/>
            </w:tcBorders>
          </w:tcPr>
          <w:p w14:paraId="7936BC71"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3109</w:t>
            </w:r>
          </w:p>
        </w:tc>
        <w:tc>
          <w:tcPr>
            <w:tcW w:w="1421" w:type="dxa"/>
            <w:tcBorders>
              <w:top w:val="single" w:sz="6" w:space="0" w:color="auto"/>
              <w:left w:val="single" w:sz="6" w:space="0" w:color="auto"/>
              <w:bottom w:val="single" w:sz="6" w:space="0" w:color="auto"/>
              <w:right w:val="single" w:sz="6" w:space="0" w:color="auto"/>
            </w:tcBorders>
          </w:tcPr>
          <w:p w14:paraId="43E82B4B"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c>
          <w:tcPr>
            <w:tcW w:w="1796" w:type="dxa"/>
            <w:tcBorders>
              <w:top w:val="single" w:sz="6" w:space="0" w:color="auto"/>
              <w:left w:val="single" w:sz="6" w:space="0" w:color="auto"/>
              <w:bottom w:val="single" w:sz="6" w:space="0" w:color="auto"/>
              <w:right w:val="single" w:sz="6" w:space="0" w:color="auto"/>
            </w:tcBorders>
          </w:tcPr>
          <w:p w14:paraId="3CD1B9FB"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76B8D623"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18A24477"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11.06</w:t>
            </w:r>
          </w:p>
        </w:tc>
        <w:tc>
          <w:tcPr>
            <w:tcW w:w="2064" w:type="dxa"/>
            <w:tcBorders>
              <w:top w:val="single" w:sz="6" w:space="0" w:color="auto"/>
              <w:left w:val="single" w:sz="6" w:space="0" w:color="auto"/>
              <w:bottom w:val="single" w:sz="6" w:space="0" w:color="auto"/>
              <w:right w:val="single" w:sz="6" w:space="0" w:color="auto"/>
            </w:tcBorders>
          </w:tcPr>
          <w:p w14:paraId="24294493"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Шаталово</w:t>
            </w:r>
          </w:p>
        </w:tc>
        <w:tc>
          <w:tcPr>
            <w:tcW w:w="1750" w:type="dxa"/>
            <w:tcBorders>
              <w:top w:val="single" w:sz="6" w:space="0" w:color="auto"/>
              <w:left w:val="single" w:sz="6" w:space="0" w:color="auto"/>
              <w:bottom w:val="single" w:sz="6" w:space="0" w:color="auto"/>
              <w:right w:val="single" w:sz="6" w:space="0" w:color="auto"/>
            </w:tcBorders>
          </w:tcPr>
          <w:p w14:paraId="5E388FD8"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NAGr5</w:t>
            </w:r>
          </w:p>
        </w:tc>
        <w:tc>
          <w:tcPr>
            <w:tcW w:w="1032" w:type="dxa"/>
            <w:tcBorders>
              <w:top w:val="single" w:sz="6" w:space="0" w:color="auto"/>
              <w:left w:val="single" w:sz="6" w:space="0" w:color="auto"/>
              <w:bottom w:val="single" w:sz="6" w:space="0" w:color="auto"/>
              <w:right w:val="single" w:sz="6" w:space="0" w:color="auto"/>
            </w:tcBorders>
          </w:tcPr>
          <w:p w14:paraId="3AF34682"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Fi156</w:t>
            </w:r>
          </w:p>
        </w:tc>
        <w:tc>
          <w:tcPr>
            <w:tcW w:w="1436" w:type="dxa"/>
            <w:tcBorders>
              <w:top w:val="single" w:sz="6" w:space="0" w:color="auto"/>
              <w:left w:val="single" w:sz="6" w:space="0" w:color="auto"/>
              <w:bottom w:val="single" w:sz="6" w:space="0" w:color="auto"/>
              <w:right w:val="single" w:sz="6" w:space="0" w:color="auto"/>
            </w:tcBorders>
          </w:tcPr>
          <w:p w14:paraId="21E4B86E"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1142</w:t>
            </w:r>
          </w:p>
        </w:tc>
        <w:tc>
          <w:tcPr>
            <w:tcW w:w="1421" w:type="dxa"/>
            <w:tcBorders>
              <w:top w:val="single" w:sz="6" w:space="0" w:color="auto"/>
              <w:left w:val="single" w:sz="6" w:space="0" w:color="auto"/>
              <w:bottom w:val="single" w:sz="6" w:space="0" w:color="auto"/>
              <w:right w:val="single" w:sz="6" w:space="0" w:color="auto"/>
            </w:tcBorders>
          </w:tcPr>
          <w:p w14:paraId="5E840736"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c>
          <w:tcPr>
            <w:tcW w:w="1796" w:type="dxa"/>
            <w:tcBorders>
              <w:top w:val="single" w:sz="6" w:space="0" w:color="auto"/>
              <w:left w:val="single" w:sz="6" w:space="0" w:color="auto"/>
              <w:bottom w:val="single" w:sz="6" w:space="0" w:color="auto"/>
              <w:right w:val="single" w:sz="6" w:space="0" w:color="auto"/>
            </w:tcBorders>
          </w:tcPr>
          <w:p w14:paraId="0A1585C0"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7720AD1C"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2BFBF02E"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11.06</w:t>
            </w:r>
          </w:p>
        </w:tc>
        <w:tc>
          <w:tcPr>
            <w:tcW w:w="2064" w:type="dxa"/>
            <w:tcBorders>
              <w:top w:val="single" w:sz="6" w:space="0" w:color="auto"/>
              <w:left w:val="single" w:sz="6" w:space="0" w:color="auto"/>
              <w:bottom w:val="single" w:sz="6" w:space="0" w:color="auto"/>
              <w:right w:val="single" w:sz="6" w:space="0" w:color="auto"/>
            </w:tcBorders>
          </w:tcPr>
          <w:p w14:paraId="7B39EB1A"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Шаталово</w:t>
            </w:r>
          </w:p>
        </w:tc>
        <w:tc>
          <w:tcPr>
            <w:tcW w:w="1750" w:type="dxa"/>
            <w:tcBorders>
              <w:top w:val="single" w:sz="6" w:space="0" w:color="auto"/>
              <w:left w:val="single" w:sz="6" w:space="0" w:color="auto"/>
              <w:bottom w:val="single" w:sz="6" w:space="0" w:color="auto"/>
              <w:right w:val="single" w:sz="6" w:space="0" w:color="auto"/>
            </w:tcBorders>
          </w:tcPr>
          <w:p w14:paraId="77FD2ED7"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NAGr5</w:t>
            </w:r>
          </w:p>
        </w:tc>
        <w:tc>
          <w:tcPr>
            <w:tcW w:w="1032" w:type="dxa"/>
            <w:tcBorders>
              <w:top w:val="single" w:sz="6" w:space="0" w:color="auto"/>
              <w:left w:val="single" w:sz="6" w:space="0" w:color="auto"/>
              <w:bottom w:val="single" w:sz="6" w:space="0" w:color="auto"/>
              <w:right w:val="single" w:sz="6" w:space="0" w:color="auto"/>
            </w:tcBorders>
          </w:tcPr>
          <w:p w14:paraId="46FAEB9C"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Fi156</w:t>
            </w:r>
          </w:p>
        </w:tc>
        <w:tc>
          <w:tcPr>
            <w:tcW w:w="1436" w:type="dxa"/>
            <w:tcBorders>
              <w:top w:val="single" w:sz="6" w:space="0" w:color="auto"/>
              <w:left w:val="single" w:sz="6" w:space="0" w:color="auto"/>
              <w:bottom w:val="single" w:sz="6" w:space="0" w:color="auto"/>
              <w:right w:val="single" w:sz="6" w:space="0" w:color="auto"/>
            </w:tcBorders>
          </w:tcPr>
          <w:p w14:paraId="232DA31B"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1267</w:t>
            </w:r>
          </w:p>
        </w:tc>
        <w:tc>
          <w:tcPr>
            <w:tcW w:w="1421" w:type="dxa"/>
            <w:tcBorders>
              <w:top w:val="single" w:sz="6" w:space="0" w:color="auto"/>
              <w:left w:val="single" w:sz="6" w:space="0" w:color="auto"/>
              <w:bottom w:val="single" w:sz="6" w:space="0" w:color="auto"/>
              <w:right w:val="single" w:sz="6" w:space="0" w:color="auto"/>
            </w:tcBorders>
          </w:tcPr>
          <w:p w14:paraId="28D6F7B6"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c>
          <w:tcPr>
            <w:tcW w:w="1796" w:type="dxa"/>
            <w:tcBorders>
              <w:top w:val="single" w:sz="6" w:space="0" w:color="auto"/>
              <w:left w:val="single" w:sz="6" w:space="0" w:color="auto"/>
              <w:bottom w:val="single" w:sz="6" w:space="0" w:color="auto"/>
              <w:right w:val="single" w:sz="6" w:space="0" w:color="auto"/>
            </w:tcBorders>
          </w:tcPr>
          <w:p w14:paraId="59E9BDBC"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788F8100"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3B9E06E1"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11.06</w:t>
            </w:r>
          </w:p>
        </w:tc>
        <w:tc>
          <w:tcPr>
            <w:tcW w:w="2064" w:type="dxa"/>
            <w:tcBorders>
              <w:top w:val="single" w:sz="6" w:space="0" w:color="auto"/>
              <w:left w:val="single" w:sz="6" w:space="0" w:color="auto"/>
              <w:bottom w:val="single" w:sz="6" w:space="0" w:color="auto"/>
              <w:right w:val="single" w:sz="6" w:space="0" w:color="auto"/>
            </w:tcBorders>
          </w:tcPr>
          <w:p w14:paraId="387ABB62"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Шаталово</w:t>
            </w:r>
          </w:p>
        </w:tc>
        <w:tc>
          <w:tcPr>
            <w:tcW w:w="1750" w:type="dxa"/>
            <w:tcBorders>
              <w:top w:val="single" w:sz="6" w:space="0" w:color="auto"/>
              <w:left w:val="single" w:sz="6" w:space="0" w:color="auto"/>
              <w:bottom w:val="single" w:sz="6" w:space="0" w:color="auto"/>
              <w:right w:val="single" w:sz="6" w:space="0" w:color="auto"/>
            </w:tcBorders>
          </w:tcPr>
          <w:p w14:paraId="577369AE"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NAGr5</w:t>
            </w:r>
          </w:p>
        </w:tc>
        <w:tc>
          <w:tcPr>
            <w:tcW w:w="1032" w:type="dxa"/>
            <w:tcBorders>
              <w:top w:val="single" w:sz="6" w:space="0" w:color="auto"/>
              <w:left w:val="single" w:sz="6" w:space="0" w:color="auto"/>
              <w:bottom w:val="single" w:sz="6" w:space="0" w:color="auto"/>
              <w:right w:val="single" w:sz="6" w:space="0" w:color="auto"/>
            </w:tcBorders>
          </w:tcPr>
          <w:p w14:paraId="01AA1234"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Fi156</w:t>
            </w:r>
          </w:p>
        </w:tc>
        <w:tc>
          <w:tcPr>
            <w:tcW w:w="1436" w:type="dxa"/>
            <w:tcBorders>
              <w:top w:val="single" w:sz="6" w:space="0" w:color="auto"/>
              <w:left w:val="single" w:sz="6" w:space="0" w:color="auto"/>
              <w:bottom w:val="single" w:sz="6" w:space="0" w:color="auto"/>
              <w:right w:val="single" w:sz="6" w:space="0" w:color="auto"/>
            </w:tcBorders>
          </w:tcPr>
          <w:p w14:paraId="74890E22"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48F025DD"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c>
          <w:tcPr>
            <w:tcW w:w="1796" w:type="dxa"/>
            <w:tcBorders>
              <w:top w:val="single" w:sz="6" w:space="0" w:color="auto"/>
              <w:left w:val="single" w:sz="6" w:space="0" w:color="auto"/>
              <w:bottom w:val="single" w:sz="6" w:space="0" w:color="auto"/>
              <w:right w:val="single" w:sz="6" w:space="0" w:color="auto"/>
            </w:tcBorders>
          </w:tcPr>
          <w:p w14:paraId="3FE969E0"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578F4614"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3454D9E8"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11.06</w:t>
            </w:r>
          </w:p>
        </w:tc>
        <w:tc>
          <w:tcPr>
            <w:tcW w:w="2064" w:type="dxa"/>
            <w:tcBorders>
              <w:top w:val="single" w:sz="6" w:space="0" w:color="auto"/>
              <w:left w:val="single" w:sz="6" w:space="0" w:color="auto"/>
              <w:bottom w:val="single" w:sz="6" w:space="0" w:color="auto"/>
              <w:right w:val="single" w:sz="6" w:space="0" w:color="auto"/>
            </w:tcBorders>
          </w:tcPr>
          <w:p w14:paraId="36386B54"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Брянск</w:t>
            </w:r>
          </w:p>
        </w:tc>
        <w:tc>
          <w:tcPr>
            <w:tcW w:w="1750" w:type="dxa"/>
            <w:tcBorders>
              <w:top w:val="single" w:sz="6" w:space="0" w:color="auto"/>
              <w:left w:val="single" w:sz="6" w:space="0" w:color="auto"/>
              <w:bottom w:val="single" w:sz="6" w:space="0" w:color="auto"/>
              <w:right w:val="single" w:sz="6" w:space="0" w:color="auto"/>
            </w:tcBorders>
          </w:tcPr>
          <w:p w14:paraId="2D7A4B63"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Flakschw.Abt.260</w:t>
            </w:r>
          </w:p>
        </w:tc>
        <w:tc>
          <w:tcPr>
            <w:tcW w:w="1032" w:type="dxa"/>
            <w:tcBorders>
              <w:top w:val="single" w:sz="6" w:space="0" w:color="auto"/>
              <w:left w:val="single" w:sz="6" w:space="0" w:color="auto"/>
              <w:bottom w:val="single" w:sz="6" w:space="0" w:color="auto"/>
              <w:right w:val="single" w:sz="6" w:space="0" w:color="auto"/>
            </w:tcBorders>
          </w:tcPr>
          <w:p w14:paraId="47AACE96"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36" w:type="dxa"/>
            <w:tcBorders>
              <w:top w:val="single" w:sz="6" w:space="0" w:color="auto"/>
              <w:left w:val="single" w:sz="6" w:space="0" w:color="auto"/>
              <w:bottom w:val="single" w:sz="6" w:space="0" w:color="auto"/>
              <w:right w:val="single" w:sz="6" w:space="0" w:color="auto"/>
            </w:tcBorders>
          </w:tcPr>
          <w:p w14:paraId="7EC41E1D"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44C445A2"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96" w:type="dxa"/>
            <w:tcBorders>
              <w:top w:val="single" w:sz="6" w:space="0" w:color="auto"/>
              <w:left w:val="single" w:sz="6" w:space="0" w:color="auto"/>
              <w:bottom w:val="single" w:sz="6" w:space="0" w:color="auto"/>
              <w:right w:val="single" w:sz="6" w:space="0" w:color="auto"/>
            </w:tcBorders>
          </w:tcPr>
          <w:p w14:paraId="38B01E82"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r>
      <w:tr w:rsidR="00860B4B" w:rsidRPr="00D03F3E" w14:paraId="6E363665"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2E8059D7"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11.06</w:t>
            </w:r>
          </w:p>
        </w:tc>
        <w:tc>
          <w:tcPr>
            <w:tcW w:w="2064" w:type="dxa"/>
            <w:tcBorders>
              <w:top w:val="single" w:sz="6" w:space="0" w:color="auto"/>
              <w:left w:val="single" w:sz="6" w:space="0" w:color="auto"/>
              <w:bottom w:val="single" w:sz="6" w:space="0" w:color="auto"/>
              <w:right w:val="single" w:sz="6" w:space="0" w:color="auto"/>
            </w:tcBorders>
          </w:tcPr>
          <w:p w14:paraId="0D034827"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Шаталово - Вост.</w:t>
            </w:r>
          </w:p>
        </w:tc>
        <w:tc>
          <w:tcPr>
            <w:tcW w:w="1750" w:type="dxa"/>
            <w:tcBorders>
              <w:top w:val="single" w:sz="6" w:space="0" w:color="auto"/>
              <w:left w:val="single" w:sz="6" w:space="0" w:color="auto"/>
              <w:bottom w:val="single" w:sz="6" w:space="0" w:color="auto"/>
              <w:right w:val="single" w:sz="6" w:space="0" w:color="auto"/>
            </w:tcBorders>
          </w:tcPr>
          <w:p w14:paraId="51F3B8BD"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NAGr5</w:t>
            </w:r>
          </w:p>
        </w:tc>
        <w:tc>
          <w:tcPr>
            <w:tcW w:w="1032" w:type="dxa"/>
            <w:tcBorders>
              <w:top w:val="single" w:sz="6" w:space="0" w:color="auto"/>
              <w:left w:val="single" w:sz="6" w:space="0" w:color="auto"/>
              <w:bottom w:val="single" w:sz="6" w:space="0" w:color="auto"/>
              <w:right w:val="single" w:sz="6" w:space="0" w:color="auto"/>
            </w:tcBorders>
          </w:tcPr>
          <w:p w14:paraId="0E0309D3"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36" w:type="dxa"/>
            <w:tcBorders>
              <w:top w:val="single" w:sz="6" w:space="0" w:color="auto"/>
              <w:left w:val="single" w:sz="6" w:space="0" w:color="auto"/>
              <w:bottom w:val="single" w:sz="6" w:space="0" w:color="auto"/>
              <w:right w:val="single" w:sz="6" w:space="0" w:color="auto"/>
            </w:tcBorders>
          </w:tcPr>
          <w:p w14:paraId="259C8AFE"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018CF39D"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96" w:type="dxa"/>
            <w:tcBorders>
              <w:top w:val="single" w:sz="6" w:space="0" w:color="auto"/>
              <w:left w:val="single" w:sz="6" w:space="0" w:color="auto"/>
              <w:bottom w:val="single" w:sz="6" w:space="0" w:color="auto"/>
              <w:right w:val="single" w:sz="6" w:space="0" w:color="auto"/>
            </w:tcBorders>
          </w:tcPr>
          <w:p w14:paraId="176A9080"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 4</w:t>
            </w:r>
          </w:p>
        </w:tc>
      </w:tr>
      <w:tr w:rsidR="00860B4B" w:rsidRPr="00D03F3E" w14:paraId="12B03C96"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30D1B95D"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11.06</w:t>
            </w:r>
          </w:p>
        </w:tc>
        <w:tc>
          <w:tcPr>
            <w:tcW w:w="2064" w:type="dxa"/>
            <w:tcBorders>
              <w:top w:val="single" w:sz="6" w:space="0" w:color="auto"/>
              <w:left w:val="single" w:sz="6" w:space="0" w:color="auto"/>
              <w:bottom w:val="single" w:sz="6" w:space="0" w:color="auto"/>
              <w:right w:val="single" w:sz="6" w:space="0" w:color="auto"/>
            </w:tcBorders>
          </w:tcPr>
          <w:p w14:paraId="78C0FFF8"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Шаталово - Вост.</w:t>
            </w:r>
          </w:p>
        </w:tc>
        <w:tc>
          <w:tcPr>
            <w:tcW w:w="1750" w:type="dxa"/>
            <w:tcBorders>
              <w:top w:val="single" w:sz="6" w:space="0" w:color="auto"/>
              <w:left w:val="single" w:sz="6" w:space="0" w:color="auto"/>
              <w:bottom w:val="single" w:sz="6" w:space="0" w:color="auto"/>
              <w:right w:val="single" w:sz="6" w:space="0" w:color="auto"/>
            </w:tcBorders>
          </w:tcPr>
          <w:p w14:paraId="1F28CF79"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Lw.Bau-Btl.14/XVII</w:t>
            </w:r>
          </w:p>
        </w:tc>
        <w:tc>
          <w:tcPr>
            <w:tcW w:w="1032" w:type="dxa"/>
            <w:tcBorders>
              <w:top w:val="single" w:sz="6" w:space="0" w:color="auto"/>
              <w:left w:val="single" w:sz="6" w:space="0" w:color="auto"/>
              <w:bottom w:val="single" w:sz="6" w:space="0" w:color="auto"/>
              <w:right w:val="single" w:sz="6" w:space="0" w:color="auto"/>
            </w:tcBorders>
          </w:tcPr>
          <w:p w14:paraId="7BAC0A87"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36" w:type="dxa"/>
            <w:tcBorders>
              <w:top w:val="single" w:sz="6" w:space="0" w:color="auto"/>
              <w:left w:val="single" w:sz="6" w:space="0" w:color="auto"/>
              <w:bottom w:val="single" w:sz="6" w:space="0" w:color="auto"/>
              <w:right w:val="single" w:sz="6" w:space="0" w:color="auto"/>
            </w:tcBorders>
          </w:tcPr>
          <w:p w14:paraId="121CD861"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77A5B41D"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96" w:type="dxa"/>
            <w:tcBorders>
              <w:top w:val="single" w:sz="6" w:space="0" w:color="auto"/>
              <w:left w:val="single" w:sz="6" w:space="0" w:color="auto"/>
              <w:bottom w:val="single" w:sz="6" w:space="0" w:color="auto"/>
              <w:right w:val="single" w:sz="6" w:space="0" w:color="auto"/>
            </w:tcBorders>
          </w:tcPr>
          <w:p w14:paraId="2AFBA330"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4</w:t>
            </w:r>
          </w:p>
        </w:tc>
      </w:tr>
      <w:tr w:rsidR="00860B4B" w:rsidRPr="00D03F3E" w14:paraId="4EEB2271"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0E10F94C"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11.06</w:t>
            </w:r>
          </w:p>
        </w:tc>
        <w:tc>
          <w:tcPr>
            <w:tcW w:w="2064" w:type="dxa"/>
            <w:tcBorders>
              <w:top w:val="single" w:sz="6" w:space="0" w:color="auto"/>
              <w:left w:val="single" w:sz="6" w:space="0" w:color="auto"/>
              <w:bottom w:val="single" w:sz="6" w:space="0" w:color="auto"/>
              <w:right w:val="single" w:sz="6" w:space="0" w:color="auto"/>
            </w:tcBorders>
          </w:tcPr>
          <w:p w14:paraId="3C3891EE"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Шаталово - Вост.</w:t>
            </w:r>
          </w:p>
        </w:tc>
        <w:tc>
          <w:tcPr>
            <w:tcW w:w="1750" w:type="dxa"/>
            <w:tcBorders>
              <w:top w:val="single" w:sz="6" w:space="0" w:color="auto"/>
              <w:left w:val="single" w:sz="6" w:space="0" w:color="auto"/>
              <w:bottom w:val="single" w:sz="6" w:space="0" w:color="auto"/>
              <w:right w:val="single" w:sz="6" w:space="0" w:color="auto"/>
            </w:tcBorders>
          </w:tcPr>
          <w:p w14:paraId="61432F93" w14:textId="77777777" w:rsidR="00BA5C26" w:rsidRPr="00D03F3E" w:rsidRDefault="00BA5C26" w:rsidP="00D03F3E">
            <w:pPr>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Fl.H.Kdtr (E)13/XVII</w:t>
            </w:r>
          </w:p>
        </w:tc>
        <w:tc>
          <w:tcPr>
            <w:tcW w:w="1032" w:type="dxa"/>
            <w:tcBorders>
              <w:top w:val="single" w:sz="6" w:space="0" w:color="auto"/>
              <w:left w:val="single" w:sz="6" w:space="0" w:color="auto"/>
              <w:bottom w:val="single" w:sz="6" w:space="0" w:color="auto"/>
              <w:right w:val="single" w:sz="6" w:space="0" w:color="auto"/>
            </w:tcBorders>
          </w:tcPr>
          <w:p w14:paraId="69850B9E"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36" w:type="dxa"/>
            <w:tcBorders>
              <w:top w:val="single" w:sz="6" w:space="0" w:color="auto"/>
              <w:left w:val="single" w:sz="6" w:space="0" w:color="auto"/>
              <w:bottom w:val="single" w:sz="6" w:space="0" w:color="auto"/>
              <w:right w:val="single" w:sz="6" w:space="0" w:color="auto"/>
            </w:tcBorders>
          </w:tcPr>
          <w:p w14:paraId="301B97D9"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2D9D2571"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796" w:type="dxa"/>
            <w:tcBorders>
              <w:top w:val="single" w:sz="6" w:space="0" w:color="auto"/>
              <w:left w:val="single" w:sz="6" w:space="0" w:color="auto"/>
              <w:bottom w:val="single" w:sz="6" w:space="0" w:color="auto"/>
              <w:right w:val="single" w:sz="6" w:space="0" w:color="auto"/>
            </w:tcBorders>
          </w:tcPr>
          <w:p w14:paraId="00B23014" w14:textId="77777777" w:rsidR="00BA5C26" w:rsidRPr="00D03F3E" w:rsidRDefault="00BA5C2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 4</w:t>
            </w:r>
          </w:p>
        </w:tc>
      </w:tr>
    </w:tbl>
    <w:p w14:paraId="2D952537" w14:textId="77777777" w:rsidR="00BA5C26" w:rsidRPr="00D03F3E" w:rsidRDefault="00BA5C26"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Итого: 11 самолетов, 9 погибших, 16 раненных </w:t>
      </w:r>
    </w:p>
    <w:p w14:paraId="4DC17DF4" w14:textId="77777777" w:rsidR="00BA5C26" w:rsidRPr="00D03F3E" w:rsidRDefault="00BA5C26"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Примечания: 1. Таблица составлена по данным ежедневных сводок потерь Люфтваффе, хранящихся в Военном архиве ФРГ под номерами RL 2 III 1189 - 1190.</w:t>
      </w:r>
    </w:p>
    <w:p w14:paraId="1309E4B7" w14:textId="77777777" w:rsidR="00BA5C26" w:rsidRPr="00D03F3E" w:rsidRDefault="00BA5C26"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 - погиб, = - ранен</w:t>
      </w:r>
    </w:p>
    <w:p w14:paraId="7D98099B" w14:textId="77777777" w:rsidR="00BA5C26" w:rsidRPr="00D03F3E" w:rsidRDefault="00BA5C26"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сожалению, воздушная операция 8-10 июня, также закончилась не в нашу пользу. Как можно видеть из Таблицы, немецкие документы зафиксировали потери накануне и после официального периода её проведения. Это может быть объяснено двояко. Либо потери это результат действий ночных бомбардировщиков, что наиболее вероятно. Или, что тоже довольно обычно, немецкие документы ошиблись на день. Но даже в последнем случае нанесенный урон мало мог повлиять на боеспособность немецких бомбардировочных эскадр. Теоретически, воздушная операция 8-10 июня могла стать причиной временного прекращения налетов на Горький. Но чтобы подтвердить эту гипотезу требуются дальнейшие исследования.</w:t>
      </w:r>
    </w:p>
    <w:p w14:paraId="4CB58A4D" w14:textId="77777777" w:rsidR="00BA5C26" w:rsidRPr="00D03F3E" w:rsidRDefault="00BA5C26"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учетом вышесказанного, следует признать, что результаты воздушных операций ВВС КА по уничтожению немецкой авиации на аэродромах не только не соответствуют заявленным успехам, но и не могут быть признаны выходящими за обычные рамки (11152).</w:t>
      </w:r>
    </w:p>
    <w:p w14:paraId="6B8783B6" w14:textId="77777777" w:rsidR="00BA5C26" w:rsidRPr="00D03F3E" w:rsidRDefault="00BA5C26" w:rsidP="00D03F3E">
      <w:pPr>
        <w:shd w:val="clear" w:color="auto" w:fill="FFFFFF"/>
        <w:spacing w:after="0" w:line="240" w:lineRule="auto"/>
        <w:jc w:val="both"/>
        <w:rPr>
          <w:rFonts w:ascii="Times New Roman" w:hAnsi="Times New Roman"/>
          <w:color w:val="000000" w:themeColor="text1"/>
          <w:sz w:val="16"/>
          <w:szCs w:val="16"/>
        </w:rPr>
      </w:pPr>
    </w:p>
    <w:p w14:paraId="48D4D1DB"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8 июня 1943 вышло Постановление ГКО № 3534 О противовоздушной обороне заводов Горьковского района. (7114, 24).</w:t>
      </w:r>
    </w:p>
    <w:p w14:paraId="27839866" w14:textId="77777777" w:rsidR="00531570" w:rsidRPr="00D03F3E" w:rsidRDefault="00531570" w:rsidP="00D03F3E">
      <w:pPr>
        <w:pStyle w:val="Iauiue"/>
        <w:tabs>
          <w:tab w:val="left" w:pos="11199"/>
        </w:tabs>
        <w:jc w:val="both"/>
        <w:rPr>
          <w:color w:val="000000" w:themeColor="text1"/>
          <w:sz w:val="16"/>
          <w:szCs w:val="16"/>
        </w:rPr>
      </w:pPr>
    </w:p>
    <w:p w14:paraId="4B364EF2" w14:textId="77777777" w:rsidR="003A3024" w:rsidRPr="00D03F3E" w:rsidRDefault="003A302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8 июня 1943 г. ГКО издал Постановление «О противовоздушной обороне заводов Горьковского района», предусматривавшее значительное увеличение сил и средств ПВО района, и в том числе выделение 75 аэростатов заграждения. При налётах 11, 14 и 22 июня самолётам противника не удалось прорваться к городу.</w:t>
      </w:r>
    </w:p>
    <w:p w14:paraId="7D7F843C" w14:textId="77777777" w:rsidR="003A3024" w:rsidRPr="00D03F3E" w:rsidRDefault="003A302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Посты 8-го ОДАЗ размещались в Горьком по обе стороны Оки. Они находились на территории автозавода, в посёлках Новинки, Мордвинцево, им. Ворошилова, Карповка, Б. Новинки, Кокша- рово, Румянцево, Горки, Ольгино, Монастырка и других. 28-й ОДАЗ прикрывал подходы к Горь</w:t>
      </w:r>
      <w:r w:rsidRPr="00D03F3E">
        <w:rPr>
          <w:rFonts w:ascii="Times New Roman" w:hAnsi="Times New Roman"/>
          <w:color w:val="0070C0"/>
          <w:sz w:val="16"/>
          <w:szCs w:val="16"/>
        </w:rPr>
        <w:softHyphen/>
        <w:t>кому и Дзержинску, а также заводы в близлежа</w:t>
      </w:r>
      <w:r w:rsidRPr="00D03F3E">
        <w:rPr>
          <w:rFonts w:ascii="Times New Roman" w:hAnsi="Times New Roman"/>
          <w:color w:val="0070C0"/>
          <w:sz w:val="16"/>
          <w:szCs w:val="16"/>
        </w:rPr>
        <w:softHyphen/>
        <w:t>щие заводы. Аэростатные посты этого дивизиона размещались на территории заводов им. Калини</w:t>
      </w:r>
      <w:r w:rsidRPr="00D03F3E">
        <w:rPr>
          <w:rFonts w:ascii="Times New Roman" w:hAnsi="Times New Roman"/>
          <w:color w:val="0070C0"/>
          <w:sz w:val="16"/>
          <w:szCs w:val="16"/>
        </w:rPr>
        <w:softHyphen/>
        <w:t>на и им. Свердлова, в рабочих посёлках Игум- ново, Растяпино, Колодкино. Дивизион имел не только аэростаты заграждения, но и аэростаты наблюдения, поднимавшиеся для разведки об</w:t>
      </w:r>
      <w:r w:rsidRPr="00D03F3E">
        <w:rPr>
          <w:rFonts w:ascii="Times New Roman" w:hAnsi="Times New Roman"/>
          <w:color w:val="0070C0"/>
          <w:sz w:val="16"/>
          <w:szCs w:val="16"/>
        </w:rPr>
        <w:softHyphen/>
        <w:t>становки (20120).</w:t>
      </w:r>
    </w:p>
    <w:p w14:paraId="2000E856" w14:textId="77777777" w:rsidR="003A3024" w:rsidRPr="00D03F3E" w:rsidRDefault="003A3024" w:rsidP="00D03F3E">
      <w:pPr>
        <w:spacing w:after="0" w:line="240" w:lineRule="auto"/>
        <w:jc w:val="both"/>
        <w:rPr>
          <w:rFonts w:ascii="Times New Roman" w:hAnsi="Times New Roman"/>
          <w:color w:val="0070C0"/>
          <w:sz w:val="16"/>
          <w:szCs w:val="16"/>
        </w:rPr>
      </w:pPr>
    </w:p>
    <w:p w14:paraId="7E7A52B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на 8 июня 1943 старший лейтенант B.C. Табарчук обнаружил противника и принял неординарное решение: таранить Не 111, даже не выпустив по нему ни одной очереди. По докладу самого летчика, силуэт самолета противника был плохо виден, и он решил не допустить бомбометания любыми средствами. МиГ-3 Табарчука ударил винтом по рулям "хейнкеля", после чего совершил вынужденную посадку на фюзеляж в районе аэродрома.</w:t>
      </w:r>
    </w:p>
    <w:p w14:paraId="35C482F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Летчика наградили орденом Красного Знамени, а его боевую машину пришлось списать. Этот МиГ оказался единственной безвозвратной потерей 722-го иап за июнь 1943 г. Получил ранение старший сержант Аверин, попавший под обстрел стрелков противника. В то же время документы зафиксировали в полку значительное количество аварий и мелких летных происшествий, особенно при взлетах и посадках. Только одних колес было пробито 13 штук - многочисленные осколки вражеских бомб густо усеивали тогда летное поле аэродрома Стригино. В одном из вылетов незаурядное мастерство проявил ст. лейтенант Карих, сумевший благополучно посадить МиГ-3 на одно колесо (12045).</w:t>
      </w:r>
    </w:p>
    <w:p w14:paraId="4EE0E5A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4D7A3D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период 8-10 июня 1943 г. по реше</w:t>
      </w:r>
      <w:r w:rsidRPr="00D03F3E">
        <w:rPr>
          <w:color w:val="000000" w:themeColor="text1"/>
          <w:sz w:val="16"/>
          <w:szCs w:val="16"/>
        </w:rPr>
        <w:softHyphen/>
        <w:t>нию Ставки ВГК была проведена еще одна воздушная операция по разгрому авиации противника на аэродромах ба</w:t>
      </w:r>
      <w:r w:rsidRPr="00D03F3E">
        <w:rPr>
          <w:color w:val="000000" w:themeColor="text1"/>
          <w:sz w:val="16"/>
          <w:szCs w:val="16"/>
        </w:rPr>
        <w:softHyphen/>
        <w:t>зирования. К участию в ней привлека</w:t>
      </w:r>
      <w:r w:rsidRPr="00D03F3E">
        <w:rPr>
          <w:color w:val="000000" w:themeColor="text1"/>
          <w:sz w:val="16"/>
          <w:szCs w:val="16"/>
        </w:rPr>
        <w:softHyphen/>
        <w:t>лись авиасилы 1-й, 15-й и 2-й воздуш</w:t>
      </w:r>
      <w:r w:rsidRPr="00D03F3E">
        <w:rPr>
          <w:color w:val="000000" w:themeColor="text1"/>
          <w:sz w:val="16"/>
          <w:szCs w:val="16"/>
        </w:rPr>
        <w:softHyphen/>
        <w:t>ных армий. Ударам подверглись перво</w:t>
      </w:r>
      <w:r w:rsidRPr="00D03F3E">
        <w:rPr>
          <w:color w:val="000000" w:themeColor="text1"/>
          <w:sz w:val="16"/>
          <w:szCs w:val="16"/>
        </w:rPr>
        <w:softHyphen/>
        <w:t>начально 15, а затем еще 13 аэродро</w:t>
      </w:r>
      <w:r w:rsidRPr="00D03F3E">
        <w:rPr>
          <w:color w:val="000000" w:themeColor="text1"/>
          <w:sz w:val="16"/>
          <w:szCs w:val="16"/>
        </w:rPr>
        <w:softHyphen/>
        <w:t>мов Люфтваффе.</w:t>
      </w:r>
    </w:p>
    <w:p w14:paraId="7FB55D5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данным штаба ВВС КА в резуль</w:t>
      </w:r>
      <w:r w:rsidRPr="00D03F3E">
        <w:rPr>
          <w:color w:val="000000" w:themeColor="text1"/>
          <w:sz w:val="16"/>
          <w:szCs w:val="16"/>
        </w:rPr>
        <w:softHyphen/>
        <w:t>тате массированных ударов по немец</w:t>
      </w:r>
      <w:r w:rsidRPr="00D03F3E">
        <w:rPr>
          <w:color w:val="000000" w:themeColor="text1"/>
          <w:sz w:val="16"/>
          <w:szCs w:val="16"/>
        </w:rPr>
        <w:softHyphen/>
        <w:t>ким аэродромам были уничтожены и повреждены 8 июня - 141 самолет, 9 июня - 92 и 10 июня - 16 машин (6467).</w:t>
      </w:r>
    </w:p>
    <w:p w14:paraId="6BCA1A68" w14:textId="77777777" w:rsidR="00531570" w:rsidRPr="00D03F3E" w:rsidRDefault="00531570" w:rsidP="00D03F3E">
      <w:pPr>
        <w:pStyle w:val="Iauiue"/>
        <w:jc w:val="both"/>
        <w:rPr>
          <w:color w:val="000000" w:themeColor="text1"/>
          <w:sz w:val="16"/>
          <w:szCs w:val="16"/>
        </w:rPr>
      </w:pPr>
    </w:p>
    <w:p w14:paraId="4363FF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8-10 июня 1843 1, 15 и 2 ВА разгромили бомбардировочную группировку, действовавшую по Горькому, Саратову, Ярославлю и действуя по 15 аэродромам за 1805 вылетов уничтожили 249 самолетов (340,129).</w:t>
      </w:r>
    </w:p>
    <w:p w14:paraId="6E45AF4B" w14:textId="77777777" w:rsidR="00531570" w:rsidRPr="00D03F3E" w:rsidRDefault="00531570" w:rsidP="00D03F3E">
      <w:pPr>
        <w:pStyle w:val="Iauiue"/>
        <w:jc w:val="both"/>
        <w:rPr>
          <w:color w:val="000000" w:themeColor="text1"/>
          <w:sz w:val="16"/>
          <w:szCs w:val="16"/>
        </w:rPr>
      </w:pPr>
    </w:p>
    <w:p w14:paraId="0262C24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8-10 июня 1943 (ранее 6-8 мая) ВВС Красной Ар</w:t>
      </w:r>
      <w:r w:rsidRPr="00D03F3E">
        <w:rPr>
          <w:rFonts w:ascii="Times New Roman" w:hAnsi="Times New Roman"/>
          <w:color w:val="000000" w:themeColor="text1"/>
          <w:sz w:val="16"/>
          <w:szCs w:val="16"/>
        </w:rPr>
        <w:softHyphen/>
        <w:t>мии провели две самостоятельные воз</w:t>
      </w:r>
      <w:r w:rsidRPr="00D03F3E">
        <w:rPr>
          <w:rFonts w:ascii="Times New Roman" w:hAnsi="Times New Roman"/>
          <w:color w:val="000000" w:themeColor="text1"/>
          <w:sz w:val="16"/>
          <w:szCs w:val="16"/>
        </w:rPr>
        <w:softHyphen/>
        <w:t>душные операции по разгрому немец</w:t>
      </w:r>
      <w:r w:rsidRPr="00D03F3E">
        <w:rPr>
          <w:rFonts w:ascii="Times New Roman" w:hAnsi="Times New Roman"/>
          <w:color w:val="000000" w:themeColor="text1"/>
          <w:sz w:val="16"/>
          <w:szCs w:val="16"/>
        </w:rPr>
        <w:softHyphen/>
        <w:t>кой авиации на аэродромах базиро</w:t>
      </w:r>
      <w:r w:rsidRPr="00D03F3E">
        <w:rPr>
          <w:rFonts w:ascii="Times New Roman" w:hAnsi="Times New Roman"/>
          <w:color w:val="000000" w:themeColor="text1"/>
          <w:sz w:val="16"/>
          <w:szCs w:val="16"/>
        </w:rPr>
        <w:softHyphen/>
        <w:t>вания. Считается, что от всех предыду</w:t>
      </w:r>
      <w:r w:rsidRPr="00D03F3E">
        <w:rPr>
          <w:rFonts w:ascii="Times New Roman" w:hAnsi="Times New Roman"/>
          <w:color w:val="000000" w:themeColor="text1"/>
          <w:sz w:val="16"/>
          <w:szCs w:val="16"/>
        </w:rPr>
        <w:softHyphen/>
        <w:t>щих операций они отличались не толь</w:t>
      </w:r>
      <w:r w:rsidRPr="00D03F3E">
        <w:rPr>
          <w:rFonts w:ascii="Times New Roman" w:hAnsi="Times New Roman"/>
          <w:color w:val="000000" w:themeColor="text1"/>
          <w:sz w:val="16"/>
          <w:szCs w:val="16"/>
        </w:rPr>
        <w:softHyphen/>
        <w:t>ко большим размахом и решительнос</w:t>
      </w:r>
      <w:r w:rsidRPr="00D03F3E">
        <w:rPr>
          <w:rFonts w:ascii="Times New Roman" w:hAnsi="Times New Roman"/>
          <w:color w:val="000000" w:themeColor="text1"/>
          <w:sz w:val="16"/>
          <w:szCs w:val="16"/>
        </w:rPr>
        <w:softHyphen/>
        <w:t>тью целей, но и высокой эффективнос</w:t>
      </w:r>
      <w:r w:rsidRPr="00D03F3E">
        <w:rPr>
          <w:rFonts w:ascii="Times New Roman" w:hAnsi="Times New Roman"/>
          <w:color w:val="000000" w:themeColor="text1"/>
          <w:sz w:val="16"/>
          <w:szCs w:val="16"/>
        </w:rPr>
        <w:softHyphen/>
        <w:t>тью. К сожалению, это не совсем так. Фактически за четыре дня боев наши ВВС при ударах по аэродромам про</w:t>
      </w:r>
      <w:r w:rsidRPr="00D03F3E">
        <w:rPr>
          <w:rFonts w:ascii="Times New Roman" w:hAnsi="Times New Roman"/>
          <w:color w:val="000000" w:themeColor="text1"/>
          <w:sz w:val="16"/>
          <w:szCs w:val="16"/>
        </w:rPr>
        <w:softHyphen/>
        <w:t>тивника безвозвратно потеряли 103 са</w:t>
      </w:r>
      <w:r w:rsidRPr="00D03F3E">
        <w:rPr>
          <w:rFonts w:ascii="Times New Roman" w:hAnsi="Times New Roman"/>
          <w:color w:val="000000" w:themeColor="text1"/>
          <w:sz w:val="16"/>
          <w:szCs w:val="16"/>
        </w:rPr>
        <w:softHyphen/>
        <w:t>молета Ил-2, 26 бомбардировщиков Пе-2 и Б-3 ("Бостон"), 67 истребите</w:t>
      </w:r>
      <w:r w:rsidRPr="00D03F3E">
        <w:rPr>
          <w:rFonts w:ascii="Times New Roman" w:hAnsi="Times New Roman"/>
          <w:color w:val="000000" w:themeColor="text1"/>
          <w:sz w:val="16"/>
          <w:szCs w:val="16"/>
        </w:rPr>
        <w:softHyphen/>
        <w:t>лей. Только штурмовики недосчитались 86 летчиков и 70 воздушных стрелков, из которых большинство были опытны</w:t>
      </w:r>
      <w:r w:rsidRPr="00D03F3E">
        <w:rPr>
          <w:rFonts w:ascii="Times New Roman" w:hAnsi="Times New Roman"/>
          <w:color w:val="000000" w:themeColor="text1"/>
          <w:sz w:val="16"/>
          <w:szCs w:val="16"/>
        </w:rPr>
        <w:softHyphen/>
        <w:t>ми воздушными бойцами. Некоторые штурмовые авиаполки практически ут</w:t>
      </w:r>
      <w:r w:rsidRPr="00D03F3E">
        <w:rPr>
          <w:rFonts w:ascii="Times New Roman" w:hAnsi="Times New Roman"/>
          <w:color w:val="000000" w:themeColor="text1"/>
          <w:sz w:val="16"/>
          <w:szCs w:val="16"/>
        </w:rPr>
        <w:softHyphen/>
        <w:t>ратили боеспособность, так как поте</w:t>
      </w:r>
      <w:r w:rsidRPr="00D03F3E">
        <w:rPr>
          <w:rFonts w:ascii="Times New Roman" w:hAnsi="Times New Roman"/>
          <w:color w:val="000000" w:themeColor="text1"/>
          <w:sz w:val="16"/>
          <w:szCs w:val="16"/>
        </w:rPr>
        <w:softHyphen/>
        <w:t>ряли свыше половины своего летного состава и главное почти весь команд</w:t>
      </w:r>
      <w:r w:rsidRPr="00D03F3E">
        <w:rPr>
          <w:rFonts w:ascii="Times New Roman" w:hAnsi="Times New Roman"/>
          <w:color w:val="000000" w:themeColor="text1"/>
          <w:sz w:val="16"/>
          <w:szCs w:val="16"/>
        </w:rPr>
        <w:softHyphen/>
        <w:t>ный состав - командиров полков, штур</w:t>
      </w:r>
      <w:r w:rsidRPr="00D03F3E">
        <w:rPr>
          <w:rFonts w:ascii="Times New Roman" w:hAnsi="Times New Roman"/>
          <w:color w:val="000000" w:themeColor="text1"/>
          <w:sz w:val="16"/>
          <w:szCs w:val="16"/>
        </w:rPr>
        <w:softHyphen/>
        <w:t>манов, помощников по воздушно-стрелковой службе, командиров эскад</w:t>
      </w:r>
      <w:r w:rsidRPr="00D03F3E">
        <w:rPr>
          <w:rFonts w:ascii="Times New Roman" w:hAnsi="Times New Roman"/>
          <w:color w:val="000000" w:themeColor="text1"/>
          <w:sz w:val="16"/>
          <w:szCs w:val="16"/>
        </w:rPr>
        <w:softHyphen/>
        <w:t>рилий и звеньев. В то же время потери противника ненамного превысили наши потери. Если убыль лютфваффе в са</w:t>
      </w:r>
      <w:r w:rsidRPr="00D03F3E">
        <w:rPr>
          <w:rFonts w:ascii="Times New Roman" w:hAnsi="Times New Roman"/>
          <w:color w:val="000000" w:themeColor="text1"/>
          <w:sz w:val="16"/>
          <w:szCs w:val="16"/>
        </w:rPr>
        <w:softHyphen/>
        <w:t>молетах по оценкам могла составить примерно 13-14% наличных сил авиа</w:t>
      </w:r>
      <w:r w:rsidRPr="00D03F3E">
        <w:rPr>
          <w:rFonts w:ascii="Times New Roman" w:hAnsi="Times New Roman"/>
          <w:color w:val="000000" w:themeColor="text1"/>
          <w:sz w:val="16"/>
          <w:szCs w:val="16"/>
        </w:rPr>
        <w:softHyphen/>
        <w:t>ции на всех атакованных аэродромах (включая возможные потери в воздуш</w:t>
      </w:r>
      <w:r w:rsidRPr="00D03F3E">
        <w:rPr>
          <w:rFonts w:ascii="Times New Roman" w:hAnsi="Times New Roman"/>
          <w:color w:val="000000" w:themeColor="text1"/>
          <w:sz w:val="16"/>
          <w:szCs w:val="16"/>
        </w:rPr>
        <w:softHyphen/>
        <w:t>ных боях), то советская сторона поте</w:t>
      </w:r>
      <w:r w:rsidRPr="00D03F3E">
        <w:rPr>
          <w:rFonts w:ascii="Times New Roman" w:hAnsi="Times New Roman"/>
          <w:color w:val="000000" w:themeColor="text1"/>
          <w:sz w:val="16"/>
          <w:szCs w:val="16"/>
        </w:rPr>
        <w:softHyphen/>
        <w:t>ряла 1 2% от общего числа "ходивших" на аэродромы самолетов. При этом наши воздушные армии понесли без</w:t>
      </w:r>
      <w:r w:rsidRPr="00D03F3E">
        <w:rPr>
          <w:rFonts w:ascii="Times New Roman" w:hAnsi="Times New Roman"/>
          <w:color w:val="000000" w:themeColor="text1"/>
          <w:sz w:val="16"/>
          <w:szCs w:val="16"/>
        </w:rPr>
        <w:softHyphen/>
        <w:t>возвратные потери и в самолетах, и, главное, в летном составе, тогда как противник - лишь в самолетах, из ко</w:t>
      </w:r>
      <w:r w:rsidRPr="00D03F3E">
        <w:rPr>
          <w:rFonts w:ascii="Times New Roman" w:hAnsi="Times New Roman"/>
          <w:color w:val="000000" w:themeColor="text1"/>
          <w:sz w:val="16"/>
          <w:szCs w:val="16"/>
        </w:rPr>
        <w:softHyphen/>
        <w:t>торых часть могла быть вскоре восста</w:t>
      </w:r>
      <w:r w:rsidRPr="00D03F3E">
        <w:rPr>
          <w:rFonts w:ascii="Times New Roman" w:hAnsi="Times New Roman"/>
          <w:color w:val="000000" w:themeColor="text1"/>
          <w:sz w:val="16"/>
          <w:szCs w:val="16"/>
        </w:rPr>
        <w:softHyphen/>
        <w:t>новлена. Из летного состава немцы недосчитались в основном лишь тех, кто погиб в воздушных боях. Поэтому для восстановления боеспособности своей группировки командованию люф</w:t>
      </w:r>
      <w:r w:rsidRPr="00D03F3E">
        <w:rPr>
          <w:rFonts w:ascii="Times New Roman" w:hAnsi="Times New Roman"/>
          <w:color w:val="000000" w:themeColor="text1"/>
          <w:sz w:val="16"/>
          <w:szCs w:val="16"/>
        </w:rPr>
        <w:softHyphen/>
        <w:t>тваффе было достаточно перебросить на атакованные участки фронта ре</w:t>
      </w:r>
      <w:r w:rsidRPr="00D03F3E">
        <w:rPr>
          <w:rFonts w:ascii="Times New Roman" w:hAnsi="Times New Roman"/>
          <w:color w:val="000000" w:themeColor="text1"/>
          <w:sz w:val="16"/>
          <w:szCs w:val="16"/>
        </w:rPr>
        <w:softHyphen/>
        <w:t>зервы самолетов, а советскому коман</w:t>
      </w:r>
      <w:r w:rsidRPr="00D03F3E">
        <w:rPr>
          <w:rFonts w:ascii="Times New Roman" w:hAnsi="Times New Roman"/>
          <w:color w:val="000000" w:themeColor="text1"/>
          <w:sz w:val="16"/>
          <w:szCs w:val="16"/>
        </w:rPr>
        <w:softHyphen/>
        <w:t>дованию необходимо было пополнять части и самолетами, и летным соста</w:t>
      </w:r>
      <w:r w:rsidRPr="00D03F3E">
        <w:rPr>
          <w:rFonts w:ascii="Times New Roman" w:hAnsi="Times New Roman"/>
          <w:color w:val="000000" w:themeColor="text1"/>
          <w:sz w:val="16"/>
          <w:szCs w:val="16"/>
        </w:rPr>
        <w:softHyphen/>
        <w:t>вом, который еще требовалось ввести в строй. Как оказалось, причинами больших потерь и невысокой результативности ударов ВВС КА являлась "не слабая выучка экипажей подразделений и ча</w:t>
      </w:r>
      <w:r w:rsidRPr="00D03F3E">
        <w:rPr>
          <w:rFonts w:ascii="Times New Roman" w:hAnsi="Times New Roman"/>
          <w:color w:val="000000" w:themeColor="text1"/>
          <w:sz w:val="16"/>
          <w:szCs w:val="16"/>
        </w:rPr>
        <w:softHyphen/>
        <w:t>стей в целом, а, прежде всего, непра</w:t>
      </w:r>
      <w:r w:rsidRPr="00D03F3E">
        <w:rPr>
          <w:rFonts w:ascii="Times New Roman" w:hAnsi="Times New Roman"/>
          <w:color w:val="000000" w:themeColor="text1"/>
          <w:sz w:val="16"/>
          <w:szCs w:val="16"/>
        </w:rPr>
        <w:softHyphen/>
        <w:t>вильное боевое применение подразделений и частей со стороны их коман</w:t>
      </w:r>
      <w:r w:rsidRPr="00D03F3E">
        <w:rPr>
          <w:rFonts w:ascii="Times New Roman" w:hAnsi="Times New Roman"/>
          <w:color w:val="000000" w:themeColor="text1"/>
          <w:sz w:val="16"/>
          <w:szCs w:val="16"/>
        </w:rPr>
        <w:softHyphen/>
        <w:t>диров " (10783).</w:t>
      </w:r>
    </w:p>
    <w:p w14:paraId="21C4560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425B09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8-10 июня 1943 г. по ре</w:t>
      </w:r>
      <w:r w:rsidRPr="00D03F3E">
        <w:rPr>
          <w:rFonts w:ascii="Times New Roman" w:hAnsi="Times New Roman"/>
          <w:color w:val="000000" w:themeColor="text1"/>
          <w:sz w:val="16"/>
          <w:szCs w:val="16"/>
        </w:rPr>
        <w:softHyphen/>
        <w:t>шению Ставки ВГК была проведена еще одна крупная воздушная опера</w:t>
      </w:r>
      <w:r w:rsidRPr="00D03F3E">
        <w:rPr>
          <w:rFonts w:ascii="Times New Roman" w:hAnsi="Times New Roman"/>
          <w:color w:val="000000" w:themeColor="text1"/>
          <w:sz w:val="16"/>
          <w:szCs w:val="16"/>
        </w:rPr>
        <w:softHyphen/>
        <w:t>ция по уничтожению авиации против</w:t>
      </w:r>
      <w:r w:rsidRPr="00D03F3E">
        <w:rPr>
          <w:rFonts w:ascii="Times New Roman" w:hAnsi="Times New Roman"/>
          <w:color w:val="000000" w:themeColor="text1"/>
          <w:sz w:val="16"/>
          <w:szCs w:val="16"/>
        </w:rPr>
        <w:softHyphen/>
        <w:t>ника на аэродромах. Цель операции заключалась в том, чтобы разгромить группировку бомбардировочной авиа</w:t>
      </w:r>
      <w:r w:rsidRPr="00D03F3E">
        <w:rPr>
          <w:rFonts w:ascii="Times New Roman" w:hAnsi="Times New Roman"/>
          <w:color w:val="000000" w:themeColor="text1"/>
          <w:sz w:val="16"/>
          <w:szCs w:val="16"/>
        </w:rPr>
        <w:softHyphen/>
        <w:t>ции люфтваффе, которая совершала ночные налеты на крупные промыш</w:t>
      </w:r>
      <w:r w:rsidRPr="00D03F3E">
        <w:rPr>
          <w:rFonts w:ascii="Times New Roman" w:hAnsi="Times New Roman"/>
          <w:color w:val="000000" w:themeColor="text1"/>
          <w:sz w:val="16"/>
          <w:szCs w:val="16"/>
        </w:rPr>
        <w:softHyphen/>
        <w:t>ленные центры страны - Горький, Са</w:t>
      </w:r>
      <w:r w:rsidRPr="00D03F3E">
        <w:rPr>
          <w:rFonts w:ascii="Times New Roman" w:hAnsi="Times New Roman"/>
          <w:color w:val="000000" w:themeColor="text1"/>
          <w:sz w:val="16"/>
          <w:szCs w:val="16"/>
        </w:rPr>
        <w:softHyphen/>
        <w:t>ратов, Ярославль. К участию в ней при</w:t>
      </w:r>
      <w:r w:rsidRPr="00D03F3E">
        <w:rPr>
          <w:rFonts w:ascii="Times New Roman" w:hAnsi="Times New Roman"/>
          <w:color w:val="000000" w:themeColor="text1"/>
          <w:sz w:val="16"/>
          <w:szCs w:val="16"/>
        </w:rPr>
        <w:softHyphen/>
        <w:t>влекались авиасилы 1-й, 15-й и 2-й воздушных армий и часть сил АДД. Особое внимание было уделено унич</w:t>
      </w:r>
      <w:r w:rsidRPr="00D03F3E">
        <w:rPr>
          <w:rFonts w:ascii="Times New Roman" w:hAnsi="Times New Roman"/>
          <w:color w:val="000000" w:themeColor="text1"/>
          <w:sz w:val="16"/>
          <w:szCs w:val="16"/>
        </w:rPr>
        <w:softHyphen/>
        <w:t>тожению самолетов на аэродромах Сещинского, Брянского, Орловского и Харьковского аэроузлов. На этих аэро</w:t>
      </w:r>
      <w:r w:rsidRPr="00D03F3E">
        <w:rPr>
          <w:rFonts w:ascii="Times New Roman" w:hAnsi="Times New Roman"/>
          <w:color w:val="000000" w:themeColor="text1"/>
          <w:sz w:val="16"/>
          <w:szCs w:val="16"/>
        </w:rPr>
        <w:softHyphen/>
        <w:t>дромах воздушная разведка обнару</w:t>
      </w:r>
      <w:r w:rsidRPr="00D03F3E">
        <w:rPr>
          <w:rFonts w:ascii="Times New Roman" w:hAnsi="Times New Roman"/>
          <w:color w:val="000000" w:themeColor="text1"/>
          <w:sz w:val="16"/>
          <w:szCs w:val="16"/>
        </w:rPr>
        <w:softHyphen/>
        <w:t>жила наибольшее скопление немецких бомбардировщиков. Учитывая итоги майской операции, командующий ВВС КА маршал А. А. Новиков в своих ди</w:t>
      </w:r>
      <w:r w:rsidRPr="00D03F3E">
        <w:rPr>
          <w:rFonts w:ascii="Times New Roman" w:hAnsi="Times New Roman"/>
          <w:color w:val="000000" w:themeColor="text1"/>
          <w:sz w:val="16"/>
          <w:szCs w:val="16"/>
        </w:rPr>
        <w:softHyphen/>
        <w:t>рективах командующим воздушными армиями указал на необходимость вы</w:t>
      </w:r>
      <w:r w:rsidRPr="00D03F3E">
        <w:rPr>
          <w:rFonts w:ascii="Times New Roman" w:hAnsi="Times New Roman"/>
          <w:color w:val="000000" w:themeColor="text1"/>
          <w:sz w:val="16"/>
          <w:szCs w:val="16"/>
        </w:rPr>
        <w:softHyphen/>
        <w:t>деления значительно больших сил, чем прежде, в эшелон подавления зенит</w:t>
      </w:r>
      <w:r w:rsidRPr="00D03F3E">
        <w:rPr>
          <w:rFonts w:ascii="Times New Roman" w:hAnsi="Times New Roman"/>
          <w:color w:val="000000" w:themeColor="text1"/>
          <w:sz w:val="16"/>
          <w:szCs w:val="16"/>
        </w:rPr>
        <w:softHyphen/>
        <w:t>ных средств. Истребителям была по</w:t>
      </w:r>
      <w:r w:rsidRPr="00D03F3E">
        <w:rPr>
          <w:rFonts w:ascii="Times New Roman" w:hAnsi="Times New Roman"/>
          <w:color w:val="000000" w:themeColor="text1"/>
          <w:sz w:val="16"/>
          <w:szCs w:val="16"/>
        </w:rPr>
        <w:softHyphen/>
        <w:t>ставлена задача сковать боем в воз</w:t>
      </w:r>
      <w:r w:rsidRPr="00D03F3E">
        <w:rPr>
          <w:rFonts w:ascii="Times New Roman" w:hAnsi="Times New Roman"/>
          <w:color w:val="000000" w:themeColor="text1"/>
          <w:sz w:val="16"/>
          <w:szCs w:val="16"/>
        </w:rPr>
        <w:softHyphen/>
        <w:t>духе истребители противника и заблокировать все передовые немецкие аэродромы.</w:t>
      </w:r>
    </w:p>
    <w:p w14:paraId="34F3DA4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Особенно сложная обстановка складывалась на западном и брянском направлениях, где действовали 1-я и 15-я воздушные армии. По плану они должны были нанести удар по двум аэродромам в районе Сещи и Брянс</w:t>
      </w:r>
      <w:r w:rsidRPr="00D03F3E">
        <w:rPr>
          <w:rFonts w:ascii="Times New Roman" w:hAnsi="Times New Roman"/>
          <w:color w:val="000000" w:themeColor="text1"/>
          <w:sz w:val="16"/>
          <w:szCs w:val="16"/>
        </w:rPr>
        <w:softHyphen/>
        <w:t>ка и трем аэродромам Орловского аэроузла. Время первого удара уста</w:t>
      </w:r>
      <w:r w:rsidRPr="00D03F3E">
        <w:rPr>
          <w:rFonts w:ascii="Times New Roman" w:hAnsi="Times New Roman"/>
          <w:color w:val="000000" w:themeColor="text1"/>
          <w:sz w:val="16"/>
          <w:szCs w:val="16"/>
        </w:rPr>
        <w:softHyphen/>
        <w:t>навливалось в период с 20.30 до 21.00 7 июня. Удары фронтовой авиации предполагалось "подкрепить" налета</w:t>
      </w:r>
      <w:r w:rsidRPr="00D03F3E">
        <w:rPr>
          <w:rFonts w:ascii="Times New Roman" w:hAnsi="Times New Roman"/>
          <w:color w:val="000000" w:themeColor="text1"/>
          <w:sz w:val="16"/>
          <w:szCs w:val="16"/>
        </w:rPr>
        <w:softHyphen/>
        <w:t>ми дальних бомбардировщиков, кото</w:t>
      </w:r>
      <w:r w:rsidRPr="00D03F3E">
        <w:rPr>
          <w:rFonts w:ascii="Times New Roman" w:hAnsi="Times New Roman"/>
          <w:color w:val="000000" w:themeColor="text1"/>
          <w:sz w:val="16"/>
          <w:szCs w:val="16"/>
        </w:rPr>
        <w:softHyphen/>
        <w:t>рые действовали по аэродромам про</w:t>
      </w:r>
      <w:r w:rsidRPr="00D03F3E">
        <w:rPr>
          <w:rFonts w:ascii="Times New Roman" w:hAnsi="Times New Roman"/>
          <w:color w:val="000000" w:themeColor="text1"/>
          <w:sz w:val="16"/>
          <w:szCs w:val="16"/>
        </w:rPr>
        <w:softHyphen/>
        <w:t>тивника в течение всей ночи с 7 на 8 июня начиная с 22.00. Соответ</w:t>
      </w:r>
      <w:r w:rsidRPr="00D03F3E">
        <w:rPr>
          <w:rFonts w:ascii="Times New Roman" w:hAnsi="Times New Roman"/>
          <w:color w:val="000000" w:themeColor="text1"/>
          <w:sz w:val="16"/>
          <w:szCs w:val="16"/>
        </w:rPr>
        <w:softHyphen/>
        <w:t>ствующие шифровки штабы ар</w:t>
      </w:r>
      <w:r w:rsidRPr="00D03F3E">
        <w:rPr>
          <w:rFonts w:ascii="Times New Roman" w:hAnsi="Times New Roman"/>
          <w:color w:val="000000" w:themeColor="text1"/>
          <w:sz w:val="16"/>
          <w:szCs w:val="16"/>
        </w:rPr>
        <w:softHyphen/>
        <w:t>мий получили ранним утром 7 июня.</w:t>
      </w:r>
    </w:p>
    <w:p w14:paraId="0A0AD98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в связи со сложными метеоусловиями в районе целей вылет 7 июня был отменен и перенесен на следующий день. При этом 1-я ВА наносила уда</w:t>
      </w:r>
      <w:r w:rsidRPr="00D03F3E">
        <w:rPr>
          <w:rFonts w:ascii="Times New Roman" w:hAnsi="Times New Roman"/>
          <w:color w:val="000000" w:themeColor="text1"/>
          <w:sz w:val="16"/>
          <w:szCs w:val="16"/>
        </w:rPr>
        <w:softHyphen/>
        <w:t>ры только по аэродрому Сеща, так как Брянск был "закрыт" по метеоусловиям, а 15-я ВА — по аэродромам Орел-ГВФ и Хому</w:t>
      </w:r>
      <w:r w:rsidRPr="00D03F3E">
        <w:rPr>
          <w:rFonts w:ascii="Times New Roman" w:hAnsi="Times New Roman"/>
          <w:color w:val="000000" w:themeColor="text1"/>
          <w:sz w:val="16"/>
          <w:szCs w:val="16"/>
        </w:rPr>
        <w:softHyphen/>
        <w:t>ты.</w:t>
      </w:r>
    </w:p>
    <w:p w14:paraId="5D48A95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запланирован</w:t>
      </w:r>
      <w:r w:rsidRPr="00D03F3E">
        <w:rPr>
          <w:rFonts w:ascii="Times New Roman" w:hAnsi="Times New Roman"/>
          <w:color w:val="000000" w:themeColor="text1"/>
          <w:sz w:val="16"/>
          <w:szCs w:val="16"/>
        </w:rPr>
        <w:softHyphen/>
        <w:t>ная последовательность ударов фронтовой авиации и авиации дальнего действия была нару</w:t>
      </w:r>
      <w:r w:rsidRPr="00D03F3E">
        <w:rPr>
          <w:rFonts w:ascii="Times New Roman" w:hAnsi="Times New Roman"/>
          <w:color w:val="000000" w:themeColor="text1"/>
          <w:sz w:val="16"/>
          <w:szCs w:val="16"/>
        </w:rPr>
        <w:softHyphen/>
        <w:t>шена.</w:t>
      </w:r>
    </w:p>
    <w:p w14:paraId="4794AA5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показали дальнейшие события, перенос сроков нане</w:t>
      </w:r>
      <w:r w:rsidRPr="00D03F3E">
        <w:rPr>
          <w:rFonts w:ascii="Times New Roman" w:hAnsi="Times New Roman"/>
          <w:color w:val="000000" w:themeColor="text1"/>
          <w:sz w:val="16"/>
          <w:szCs w:val="16"/>
        </w:rPr>
        <w:softHyphen/>
        <w:t>сения ударов крайне неблагоп</w:t>
      </w:r>
      <w:r w:rsidRPr="00D03F3E">
        <w:rPr>
          <w:rFonts w:ascii="Times New Roman" w:hAnsi="Times New Roman"/>
          <w:color w:val="000000" w:themeColor="text1"/>
          <w:sz w:val="16"/>
          <w:szCs w:val="16"/>
        </w:rPr>
        <w:softHyphen/>
        <w:t>риятно сказался на их резуль</w:t>
      </w:r>
      <w:r w:rsidRPr="00D03F3E">
        <w:rPr>
          <w:rFonts w:ascii="Times New Roman" w:hAnsi="Times New Roman"/>
          <w:color w:val="000000" w:themeColor="text1"/>
          <w:sz w:val="16"/>
          <w:szCs w:val="16"/>
        </w:rPr>
        <w:softHyphen/>
        <w:t>татах. Анализ документов пока</w:t>
      </w:r>
      <w:r w:rsidRPr="00D03F3E">
        <w:rPr>
          <w:rFonts w:ascii="Times New Roman" w:hAnsi="Times New Roman"/>
          <w:color w:val="000000" w:themeColor="text1"/>
          <w:sz w:val="16"/>
          <w:szCs w:val="16"/>
        </w:rPr>
        <w:softHyphen/>
        <w:t>зывает, что для внезапного уда</w:t>
      </w:r>
      <w:r w:rsidRPr="00D03F3E">
        <w:rPr>
          <w:rFonts w:ascii="Times New Roman" w:hAnsi="Times New Roman"/>
          <w:color w:val="000000" w:themeColor="text1"/>
          <w:sz w:val="16"/>
          <w:szCs w:val="16"/>
        </w:rPr>
        <w:softHyphen/>
        <w:t>ра по немецким аэродромам время было упущено, и готовя</w:t>
      </w:r>
      <w:r w:rsidRPr="00D03F3E">
        <w:rPr>
          <w:rFonts w:ascii="Times New Roman" w:hAnsi="Times New Roman"/>
          <w:color w:val="000000" w:themeColor="text1"/>
          <w:sz w:val="16"/>
          <w:szCs w:val="16"/>
        </w:rPr>
        <w:softHyphen/>
        <w:t>щиеся налеты для противника никакой тайны не составляли.</w:t>
      </w:r>
    </w:p>
    <w:p w14:paraId="2D57DFF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Дело в том, что в течение 7 июня проводилась активная раз</w:t>
      </w:r>
      <w:r w:rsidRPr="00D03F3E">
        <w:rPr>
          <w:rFonts w:ascii="Times New Roman" w:hAnsi="Times New Roman"/>
          <w:color w:val="000000" w:themeColor="text1"/>
          <w:sz w:val="16"/>
          <w:szCs w:val="16"/>
        </w:rPr>
        <w:softHyphen/>
        <w:t>ведка аэродромов базирования немецкой авиации, а 8 июня пришлось проводить еще и до-разведку целей. При этом один разведчик 1-й ВА был сбит, а другой - подбит.</w:t>
      </w:r>
    </w:p>
    <w:p w14:paraId="1F37D31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этого, в ночь с 7 на 8 июня по аэродрому Сеща "отработа</w:t>
      </w:r>
      <w:r w:rsidRPr="00D03F3E">
        <w:rPr>
          <w:rFonts w:ascii="Times New Roman" w:hAnsi="Times New Roman"/>
          <w:color w:val="000000" w:themeColor="text1"/>
          <w:sz w:val="16"/>
          <w:szCs w:val="16"/>
        </w:rPr>
        <w:softHyphen/>
        <w:t>ла" авиация дальнего действия. По офи</w:t>
      </w:r>
      <w:r w:rsidRPr="00D03F3E">
        <w:rPr>
          <w:rFonts w:ascii="Times New Roman" w:hAnsi="Times New Roman"/>
          <w:color w:val="000000" w:themeColor="text1"/>
          <w:sz w:val="16"/>
          <w:szCs w:val="16"/>
        </w:rPr>
        <w:softHyphen/>
        <w:t>циальным данным от налетов дальних бомбардировщиков противник недо</w:t>
      </w:r>
      <w:r w:rsidRPr="00D03F3E">
        <w:rPr>
          <w:rFonts w:ascii="Times New Roman" w:hAnsi="Times New Roman"/>
          <w:color w:val="000000" w:themeColor="text1"/>
          <w:sz w:val="16"/>
          <w:szCs w:val="16"/>
        </w:rPr>
        <w:softHyphen/>
        <w:t>считался 8 самолетов.</w:t>
      </w:r>
    </w:p>
    <w:p w14:paraId="3BA9A9F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Очевидно,- что возросшая актив</w:t>
      </w:r>
      <w:r w:rsidRPr="00D03F3E">
        <w:rPr>
          <w:rFonts w:ascii="Times New Roman" w:hAnsi="Times New Roman"/>
          <w:color w:val="000000" w:themeColor="text1"/>
          <w:sz w:val="16"/>
          <w:szCs w:val="16"/>
        </w:rPr>
        <w:softHyphen/>
        <w:t>ность советской авиации на участках 1-й и 15-й ВА не могла не навести про</w:t>
      </w:r>
      <w:r w:rsidRPr="00D03F3E">
        <w:rPr>
          <w:rFonts w:ascii="Times New Roman" w:hAnsi="Times New Roman"/>
          <w:color w:val="000000" w:themeColor="text1"/>
          <w:sz w:val="16"/>
          <w:szCs w:val="16"/>
        </w:rPr>
        <w:softHyphen/>
        <w:t>тивника на мысль о готовящемся уда</w:t>
      </w:r>
      <w:r w:rsidRPr="00D03F3E">
        <w:rPr>
          <w:rFonts w:ascii="Times New Roman" w:hAnsi="Times New Roman"/>
          <w:color w:val="000000" w:themeColor="text1"/>
          <w:sz w:val="16"/>
          <w:szCs w:val="16"/>
        </w:rPr>
        <w:softHyphen/>
        <w:t>ре. Об этом свидетельствовали и до</w:t>
      </w:r>
      <w:r w:rsidRPr="00D03F3E">
        <w:rPr>
          <w:rFonts w:ascii="Times New Roman" w:hAnsi="Times New Roman"/>
          <w:color w:val="000000" w:themeColor="text1"/>
          <w:sz w:val="16"/>
          <w:szCs w:val="16"/>
        </w:rPr>
        <w:softHyphen/>
        <w:t>несения авиаразведчиков армий, ко</w:t>
      </w:r>
      <w:r w:rsidRPr="00D03F3E">
        <w:rPr>
          <w:rFonts w:ascii="Times New Roman" w:hAnsi="Times New Roman"/>
          <w:color w:val="000000" w:themeColor="text1"/>
          <w:sz w:val="16"/>
          <w:szCs w:val="16"/>
        </w:rPr>
        <w:softHyphen/>
        <w:t>торые докладывали, что противник ос</w:t>
      </w:r>
      <w:r w:rsidRPr="00D03F3E">
        <w:rPr>
          <w:rFonts w:ascii="Times New Roman" w:hAnsi="Times New Roman"/>
          <w:color w:val="000000" w:themeColor="text1"/>
          <w:sz w:val="16"/>
          <w:szCs w:val="16"/>
        </w:rPr>
        <w:softHyphen/>
        <w:t>новательно усилил воздушные патру</w:t>
      </w:r>
      <w:r w:rsidRPr="00D03F3E">
        <w:rPr>
          <w:rFonts w:ascii="Times New Roman" w:hAnsi="Times New Roman"/>
          <w:color w:val="000000" w:themeColor="text1"/>
          <w:sz w:val="16"/>
          <w:szCs w:val="16"/>
        </w:rPr>
        <w:softHyphen/>
        <w:t>ли и зенитное прикрытие на ближних подступах к аэродромам. По агентур</w:t>
      </w:r>
      <w:r w:rsidRPr="00D03F3E">
        <w:rPr>
          <w:rFonts w:ascii="Times New Roman" w:hAnsi="Times New Roman"/>
          <w:color w:val="000000" w:themeColor="text1"/>
          <w:sz w:val="16"/>
          <w:szCs w:val="16"/>
        </w:rPr>
        <w:softHyphen/>
        <w:t>ным данным штаба партизанского дви</w:t>
      </w:r>
      <w:r w:rsidRPr="00D03F3E">
        <w:rPr>
          <w:rFonts w:ascii="Times New Roman" w:hAnsi="Times New Roman"/>
          <w:color w:val="000000" w:themeColor="text1"/>
          <w:sz w:val="16"/>
          <w:szCs w:val="16"/>
        </w:rPr>
        <w:softHyphen/>
        <w:t>жения Западного фронта, немцы до</w:t>
      </w:r>
      <w:r w:rsidRPr="00D03F3E">
        <w:rPr>
          <w:rFonts w:ascii="Times New Roman" w:hAnsi="Times New Roman"/>
          <w:color w:val="000000" w:themeColor="text1"/>
          <w:sz w:val="16"/>
          <w:szCs w:val="16"/>
        </w:rPr>
        <w:softHyphen/>
        <w:t>полнительно подтянули к наиболее крупным аэродромам радиолокацион</w:t>
      </w:r>
      <w:r w:rsidRPr="00D03F3E">
        <w:rPr>
          <w:rFonts w:ascii="Times New Roman" w:hAnsi="Times New Roman"/>
          <w:color w:val="000000" w:themeColor="text1"/>
          <w:sz w:val="16"/>
          <w:szCs w:val="16"/>
        </w:rPr>
        <w:softHyphen/>
        <w:t>ные станции с целью создания сплош</w:t>
      </w:r>
      <w:r w:rsidRPr="00D03F3E">
        <w:rPr>
          <w:rFonts w:ascii="Times New Roman" w:hAnsi="Times New Roman"/>
          <w:color w:val="000000" w:themeColor="text1"/>
          <w:sz w:val="16"/>
          <w:szCs w:val="16"/>
        </w:rPr>
        <w:softHyphen/>
        <w:t>ного радиолокационного поля обна</w:t>
      </w:r>
      <w:r w:rsidRPr="00D03F3E">
        <w:rPr>
          <w:rFonts w:ascii="Times New Roman" w:hAnsi="Times New Roman"/>
          <w:color w:val="000000" w:themeColor="text1"/>
          <w:sz w:val="16"/>
          <w:szCs w:val="16"/>
        </w:rPr>
        <w:softHyphen/>
        <w:t>ружения самолетов. Были расширены сети постов ВНОС, радиоразведки и радиоперехвата.</w:t>
      </w:r>
    </w:p>
    <w:p w14:paraId="76EB352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Благодаря этим мерам противник по</w:t>
      </w:r>
      <w:r w:rsidRPr="00D03F3E">
        <w:rPr>
          <w:rFonts w:ascii="Times New Roman" w:hAnsi="Times New Roman"/>
          <w:color w:val="000000" w:themeColor="text1"/>
          <w:sz w:val="16"/>
          <w:szCs w:val="16"/>
        </w:rPr>
        <w:softHyphen/>
        <w:t>лучил возможность оперативно отсле</w:t>
      </w:r>
      <w:r w:rsidRPr="00D03F3E">
        <w:rPr>
          <w:rFonts w:ascii="Times New Roman" w:hAnsi="Times New Roman"/>
          <w:color w:val="000000" w:themeColor="text1"/>
          <w:sz w:val="16"/>
          <w:szCs w:val="16"/>
        </w:rPr>
        <w:softHyphen/>
        <w:t>живать все действия нашей авиации и в кратчайшие сроки стягивать в район атакованных аэродромов крупные силы истребителей. Чтобы "продавить" та</w:t>
      </w:r>
      <w:r w:rsidRPr="00D03F3E">
        <w:rPr>
          <w:rFonts w:ascii="Times New Roman" w:hAnsi="Times New Roman"/>
          <w:color w:val="000000" w:themeColor="text1"/>
          <w:sz w:val="16"/>
          <w:szCs w:val="16"/>
        </w:rPr>
        <w:softHyphen/>
        <w:t>кую мощную противовоздушную обо</w:t>
      </w:r>
      <w:r w:rsidRPr="00D03F3E">
        <w:rPr>
          <w:rFonts w:ascii="Times New Roman" w:hAnsi="Times New Roman"/>
          <w:color w:val="000000" w:themeColor="text1"/>
          <w:sz w:val="16"/>
          <w:szCs w:val="16"/>
        </w:rPr>
        <w:softHyphen/>
        <w:t>рону, требовалось значительно увели</w:t>
      </w:r>
      <w:r w:rsidRPr="00D03F3E">
        <w:rPr>
          <w:rFonts w:ascii="Times New Roman" w:hAnsi="Times New Roman"/>
          <w:color w:val="000000" w:themeColor="text1"/>
          <w:sz w:val="16"/>
          <w:szCs w:val="16"/>
        </w:rPr>
        <w:softHyphen/>
        <w:t>чить ударные силы и истребительное обеспечение.</w:t>
      </w:r>
    </w:p>
    <w:p w14:paraId="386449F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в предыдущие несколько дней прошли ливневые дожди. Грунто</w:t>
      </w:r>
      <w:r w:rsidRPr="00D03F3E">
        <w:rPr>
          <w:rFonts w:ascii="Times New Roman" w:hAnsi="Times New Roman"/>
          <w:color w:val="000000" w:themeColor="text1"/>
          <w:sz w:val="16"/>
          <w:szCs w:val="16"/>
        </w:rPr>
        <w:softHyphen/>
        <w:t>вые площадки, на которых "сидели" авиаполки воздушных армий, раскисли. С некоторых аэродромов взлетать было просто невозможно. Поэтому ряд истребительных дивизий не могли уча</w:t>
      </w:r>
      <w:r w:rsidRPr="00D03F3E">
        <w:rPr>
          <w:rFonts w:ascii="Times New Roman" w:hAnsi="Times New Roman"/>
          <w:color w:val="000000" w:themeColor="text1"/>
          <w:sz w:val="16"/>
          <w:szCs w:val="16"/>
        </w:rPr>
        <w:softHyphen/>
        <w:t>ствовать в операции всеми своими си</w:t>
      </w:r>
      <w:r w:rsidRPr="00D03F3E">
        <w:rPr>
          <w:rFonts w:ascii="Times New Roman" w:hAnsi="Times New Roman"/>
          <w:color w:val="000000" w:themeColor="text1"/>
          <w:sz w:val="16"/>
          <w:szCs w:val="16"/>
        </w:rPr>
        <w:softHyphen/>
        <w:t>лами. А это означало, что блокировка большинства аэродромов будет про</w:t>
      </w:r>
      <w:r w:rsidRPr="00D03F3E">
        <w:rPr>
          <w:rFonts w:ascii="Times New Roman" w:hAnsi="Times New Roman"/>
          <w:color w:val="000000" w:themeColor="text1"/>
          <w:sz w:val="16"/>
          <w:szCs w:val="16"/>
        </w:rPr>
        <w:softHyphen/>
        <w:t>ведена лишь частично, а группы не</w:t>
      </w:r>
      <w:r w:rsidRPr="00D03F3E">
        <w:rPr>
          <w:rFonts w:ascii="Times New Roman" w:hAnsi="Times New Roman"/>
          <w:color w:val="000000" w:themeColor="text1"/>
          <w:sz w:val="16"/>
          <w:szCs w:val="16"/>
        </w:rPr>
        <w:softHyphen/>
        <w:t>посредственного сопровождения будут не столь сильны, как этого требовала обстановка.</w:t>
      </w:r>
    </w:p>
    <w:p w14:paraId="7A75F57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не менее, несмотря на столь неблагоприятные обстоятельства, ко</w:t>
      </w:r>
      <w:r w:rsidRPr="00D03F3E">
        <w:rPr>
          <w:rFonts w:ascii="Times New Roman" w:hAnsi="Times New Roman"/>
          <w:color w:val="000000" w:themeColor="text1"/>
          <w:sz w:val="16"/>
          <w:szCs w:val="16"/>
        </w:rPr>
        <w:softHyphen/>
        <w:t>мандующий 1-й ВА генерал-лейтенант М. М. Громов и командующий 15-й ВА генерал-лейтенант Н. Ф. Науменко при</w:t>
      </w:r>
      <w:r w:rsidRPr="00D03F3E">
        <w:rPr>
          <w:rFonts w:ascii="Times New Roman" w:hAnsi="Times New Roman"/>
          <w:color w:val="000000" w:themeColor="text1"/>
          <w:sz w:val="16"/>
          <w:szCs w:val="16"/>
        </w:rPr>
        <w:softHyphen/>
        <w:t>нимают решения на нанесение 8 июня ударов по аэродромам противника.</w:t>
      </w:r>
    </w:p>
    <w:p w14:paraId="1A57090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Штаб 15-й ВА запланировал нане</w:t>
      </w:r>
      <w:r w:rsidRPr="00D03F3E">
        <w:rPr>
          <w:rFonts w:ascii="Times New Roman" w:hAnsi="Times New Roman"/>
          <w:color w:val="000000" w:themeColor="text1"/>
          <w:sz w:val="16"/>
          <w:szCs w:val="16"/>
        </w:rPr>
        <w:softHyphen/>
        <w:t>сти бомбоштурмовой удар в период 20.00-20.05 8 июня по трем аэродро</w:t>
      </w:r>
      <w:r w:rsidRPr="00D03F3E">
        <w:rPr>
          <w:rFonts w:ascii="Times New Roman" w:hAnsi="Times New Roman"/>
          <w:color w:val="000000" w:themeColor="text1"/>
          <w:sz w:val="16"/>
          <w:szCs w:val="16"/>
        </w:rPr>
        <w:softHyphen/>
        <w:t>мам Орловского аэроузла. Для этого выделялось 42 Ил-2, из них: три груп-</w:t>
      </w:r>
    </w:p>
    <w:p w14:paraId="18017AD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пы по 6 Ил-2 от 948-го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308-й </w:t>
      </w:r>
      <w:r w:rsidRPr="00D03F3E">
        <w:rPr>
          <w:rFonts w:ascii="Times New Roman" w:hAnsi="Times New Roman"/>
          <w:iCs/>
          <w:color w:val="000000" w:themeColor="text1"/>
          <w:sz w:val="16"/>
          <w:szCs w:val="16"/>
        </w:rPr>
        <w:t xml:space="preserve">шад - </w:t>
      </w:r>
      <w:r w:rsidRPr="00D03F3E">
        <w:rPr>
          <w:rFonts w:ascii="Times New Roman" w:hAnsi="Times New Roman"/>
          <w:color w:val="000000" w:themeColor="text1"/>
          <w:sz w:val="16"/>
          <w:szCs w:val="16"/>
        </w:rPr>
        <w:t>по аэродрому Хомуты или Орел-Во</w:t>
      </w:r>
      <w:r w:rsidRPr="00D03F3E">
        <w:rPr>
          <w:rFonts w:ascii="Times New Roman" w:hAnsi="Times New Roman"/>
          <w:color w:val="000000" w:themeColor="text1"/>
          <w:sz w:val="16"/>
          <w:szCs w:val="16"/>
        </w:rPr>
        <w:softHyphen/>
        <w:t xml:space="preserve">енный (он же Орел-Центральный), 18 Ил-2 в трех группах от 614-го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225-й </w:t>
      </w:r>
      <w:r w:rsidRPr="00D03F3E">
        <w:rPr>
          <w:rFonts w:ascii="Times New Roman" w:hAnsi="Times New Roman"/>
          <w:iCs/>
          <w:color w:val="000000" w:themeColor="text1"/>
          <w:sz w:val="16"/>
          <w:szCs w:val="16"/>
        </w:rPr>
        <w:t xml:space="preserve">шад - </w:t>
      </w:r>
      <w:r w:rsidRPr="00D03F3E">
        <w:rPr>
          <w:rFonts w:ascii="Times New Roman" w:hAnsi="Times New Roman"/>
          <w:color w:val="000000" w:themeColor="text1"/>
          <w:sz w:val="16"/>
          <w:szCs w:val="16"/>
        </w:rPr>
        <w:t>по аэродрому Орел-ГВФ и 6 Ил-2 от 810-го шал этой же дивизии -по аэродрому Мезенка.</w:t>
      </w:r>
    </w:p>
    <w:p w14:paraId="0BD2D0F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 командиров штурмовых авиади</w:t>
      </w:r>
      <w:r w:rsidRPr="00D03F3E">
        <w:rPr>
          <w:rFonts w:ascii="Times New Roman" w:hAnsi="Times New Roman"/>
          <w:color w:val="000000" w:themeColor="text1"/>
          <w:sz w:val="16"/>
          <w:szCs w:val="16"/>
        </w:rPr>
        <w:softHyphen/>
        <w:t>визий требовалось в составе каждой шестерки Ил-2 выделить не менее од</w:t>
      </w:r>
      <w:r w:rsidRPr="00D03F3E">
        <w:rPr>
          <w:rFonts w:ascii="Times New Roman" w:hAnsi="Times New Roman"/>
          <w:color w:val="000000" w:themeColor="text1"/>
          <w:sz w:val="16"/>
          <w:szCs w:val="16"/>
        </w:rPr>
        <w:softHyphen/>
        <w:t>ной пары штурмовиков для подавле</w:t>
      </w:r>
      <w:r w:rsidRPr="00D03F3E">
        <w:rPr>
          <w:rFonts w:ascii="Times New Roman" w:hAnsi="Times New Roman"/>
          <w:color w:val="000000" w:themeColor="text1"/>
          <w:sz w:val="16"/>
          <w:szCs w:val="16"/>
        </w:rPr>
        <w:softHyphen/>
        <w:t>ния зенитного огня в районе цели. Уточ</w:t>
      </w:r>
      <w:r w:rsidRPr="00D03F3E">
        <w:rPr>
          <w:rFonts w:ascii="Times New Roman" w:hAnsi="Times New Roman"/>
          <w:color w:val="000000" w:themeColor="text1"/>
          <w:sz w:val="16"/>
          <w:szCs w:val="16"/>
        </w:rPr>
        <w:softHyphen/>
        <w:t>нение по целям для атаки предполага</w:t>
      </w:r>
      <w:r w:rsidRPr="00D03F3E">
        <w:rPr>
          <w:rFonts w:ascii="Times New Roman" w:hAnsi="Times New Roman"/>
          <w:color w:val="000000" w:themeColor="text1"/>
          <w:sz w:val="16"/>
          <w:szCs w:val="16"/>
        </w:rPr>
        <w:softHyphen/>
        <w:t>лось дать не позже 18.00 8 июня. При облачности с высотой по нижней кром</w:t>
      </w:r>
      <w:r w:rsidRPr="00D03F3E">
        <w:rPr>
          <w:rFonts w:ascii="Times New Roman" w:hAnsi="Times New Roman"/>
          <w:color w:val="000000" w:themeColor="text1"/>
          <w:sz w:val="16"/>
          <w:szCs w:val="16"/>
        </w:rPr>
        <w:softHyphen/>
        <w:t>ке менее 400 м и видимости до 2 км ведущим групп штурмовиков разрешалось прекратить выпол</w:t>
      </w:r>
      <w:r w:rsidRPr="00D03F3E">
        <w:rPr>
          <w:rFonts w:ascii="Times New Roman" w:hAnsi="Times New Roman"/>
          <w:color w:val="000000" w:themeColor="text1"/>
          <w:sz w:val="16"/>
          <w:szCs w:val="16"/>
        </w:rPr>
        <w:softHyphen/>
        <w:t>нение боевой задачи и возвра</w:t>
      </w:r>
      <w:r w:rsidRPr="00D03F3E">
        <w:rPr>
          <w:rFonts w:ascii="Times New Roman" w:hAnsi="Times New Roman"/>
          <w:color w:val="000000" w:themeColor="text1"/>
          <w:sz w:val="16"/>
          <w:szCs w:val="16"/>
        </w:rPr>
        <w:softHyphen/>
        <w:t>титься на свои аэродромы.</w:t>
      </w:r>
    </w:p>
    <w:p w14:paraId="31A7706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Штурмовиков должны были сопровождать 42 истребителя от 315-й </w:t>
      </w:r>
      <w:r w:rsidRPr="00D03F3E">
        <w:rPr>
          <w:rFonts w:ascii="Times New Roman" w:hAnsi="Times New Roman"/>
          <w:iCs/>
          <w:color w:val="000000" w:themeColor="text1"/>
          <w:sz w:val="16"/>
          <w:szCs w:val="16"/>
        </w:rPr>
        <w:t xml:space="preserve">над — </w:t>
      </w:r>
      <w:r w:rsidRPr="00D03F3E">
        <w:rPr>
          <w:rFonts w:ascii="Times New Roman" w:hAnsi="Times New Roman"/>
          <w:color w:val="000000" w:themeColor="text1"/>
          <w:sz w:val="16"/>
          <w:szCs w:val="16"/>
        </w:rPr>
        <w:t>из расчета один истребитель прикрытия на каж</w:t>
      </w:r>
      <w:r w:rsidRPr="00D03F3E">
        <w:rPr>
          <w:rFonts w:ascii="Times New Roman" w:hAnsi="Times New Roman"/>
          <w:color w:val="000000" w:themeColor="text1"/>
          <w:sz w:val="16"/>
          <w:szCs w:val="16"/>
        </w:rPr>
        <w:softHyphen/>
        <w:t>дый Ил-2.</w:t>
      </w:r>
    </w:p>
    <w:p w14:paraId="7F9086C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Истребителям 1-го </w:t>
      </w:r>
      <w:r w:rsidRPr="00D03F3E">
        <w:rPr>
          <w:rFonts w:ascii="Times New Roman" w:hAnsi="Times New Roman"/>
          <w:iCs/>
          <w:color w:val="000000" w:themeColor="text1"/>
          <w:sz w:val="16"/>
          <w:szCs w:val="16"/>
        </w:rPr>
        <w:t xml:space="preserve">гиак </w:t>
      </w:r>
      <w:r w:rsidRPr="00D03F3E">
        <w:rPr>
          <w:rFonts w:ascii="Times New Roman" w:hAnsi="Times New Roman"/>
          <w:color w:val="000000" w:themeColor="text1"/>
          <w:sz w:val="16"/>
          <w:szCs w:val="16"/>
        </w:rPr>
        <w:t>была поставлена задача в период 19.58-20.10 блокировать аэро</w:t>
      </w:r>
      <w:r w:rsidRPr="00D03F3E">
        <w:rPr>
          <w:rFonts w:ascii="Times New Roman" w:hAnsi="Times New Roman"/>
          <w:color w:val="000000" w:themeColor="text1"/>
          <w:sz w:val="16"/>
          <w:szCs w:val="16"/>
        </w:rPr>
        <w:softHyphen/>
        <w:t>дромы Орловского аэроузла, чем обеспечить действия штур</w:t>
      </w:r>
      <w:r w:rsidRPr="00D03F3E">
        <w:rPr>
          <w:rFonts w:ascii="Times New Roman" w:hAnsi="Times New Roman"/>
          <w:color w:val="000000" w:themeColor="text1"/>
          <w:sz w:val="16"/>
          <w:szCs w:val="16"/>
        </w:rPr>
        <w:softHyphen/>
        <w:t>мовиков в районе целей. Всего выделялось 56 самолетов: 12 Як-1 блокируют аэродром Орел-ГВФ, 8 Як-1 - аэродром Мезен</w:t>
      </w:r>
      <w:r w:rsidRPr="00D03F3E">
        <w:rPr>
          <w:rFonts w:ascii="Times New Roman" w:hAnsi="Times New Roman"/>
          <w:color w:val="000000" w:themeColor="text1"/>
          <w:sz w:val="16"/>
          <w:szCs w:val="16"/>
        </w:rPr>
        <w:softHyphen/>
        <w:t>ка, 8 Як-76 - аэродром Лежен-ки, 1 2 Ла-5 - аэродром Орел-Центральный, 8 Ла-5 - аэро</w:t>
      </w:r>
      <w:r w:rsidRPr="00D03F3E">
        <w:rPr>
          <w:rFonts w:ascii="Times New Roman" w:hAnsi="Times New Roman"/>
          <w:color w:val="000000" w:themeColor="text1"/>
          <w:sz w:val="16"/>
          <w:szCs w:val="16"/>
        </w:rPr>
        <w:softHyphen/>
        <w:t>дром Кулики, и 8 Ла-5 - аэро</w:t>
      </w:r>
      <w:r w:rsidRPr="00D03F3E">
        <w:rPr>
          <w:rFonts w:ascii="Times New Roman" w:hAnsi="Times New Roman"/>
          <w:color w:val="000000" w:themeColor="text1"/>
          <w:sz w:val="16"/>
          <w:szCs w:val="16"/>
        </w:rPr>
        <w:softHyphen/>
        <w:t>дром Хомуты.</w:t>
      </w:r>
    </w:p>
    <w:p w14:paraId="6690165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вылета всех групп штурмовиков назначалось с та</w:t>
      </w:r>
      <w:r w:rsidRPr="00D03F3E">
        <w:rPr>
          <w:rFonts w:ascii="Times New Roman" w:hAnsi="Times New Roman"/>
          <w:color w:val="000000" w:themeColor="text1"/>
          <w:sz w:val="16"/>
          <w:szCs w:val="16"/>
        </w:rPr>
        <w:softHyphen/>
        <w:t>ким расчетом, чтобы у цели Ил-2 были через 2-3 минуты, после того как аэродромы бу</w:t>
      </w:r>
      <w:r w:rsidRPr="00D03F3E">
        <w:rPr>
          <w:rFonts w:ascii="Times New Roman" w:hAnsi="Times New Roman"/>
          <w:color w:val="000000" w:themeColor="text1"/>
          <w:sz w:val="16"/>
          <w:szCs w:val="16"/>
        </w:rPr>
        <w:softHyphen/>
        <w:t>дут заблокированы истребителя</w:t>
      </w:r>
      <w:r w:rsidRPr="00D03F3E">
        <w:rPr>
          <w:rFonts w:ascii="Times New Roman" w:hAnsi="Times New Roman"/>
          <w:color w:val="000000" w:themeColor="text1"/>
          <w:sz w:val="16"/>
          <w:szCs w:val="16"/>
        </w:rPr>
        <w:softHyphen/>
        <w:t xml:space="preserve">ми 1 -го </w:t>
      </w:r>
      <w:r w:rsidRPr="00D03F3E">
        <w:rPr>
          <w:rFonts w:ascii="Times New Roman" w:hAnsi="Times New Roman"/>
          <w:iCs/>
          <w:color w:val="000000" w:themeColor="text1"/>
          <w:sz w:val="16"/>
          <w:szCs w:val="16"/>
        </w:rPr>
        <w:t>гиак.</w:t>
      </w:r>
    </w:p>
    <w:p w14:paraId="40B6573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Встреча истребителей и штур</w:t>
      </w:r>
      <w:r w:rsidRPr="00D03F3E">
        <w:rPr>
          <w:rFonts w:ascii="Times New Roman" w:hAnsi="Times New Roman"/>
          <w:color w:val="000000" w:themeColor="text1"/>
          <w:sz w:val="16"/>
          <w:szCs w:val="16"/>
        </w:rPr>
        <w:softHyphen/>
        <w:t>мовиков планировалась над аэродромами базирования ис</w:t>
      </w:r>
      <w:r w:rsidRPr="00D03F3E">
        <w:rPr>
          <w:rFonts w:ascii="Times New Roman" w:hAnsi="Times New Roman"/>
          <w:color w:val="000000" w:themeColor="text1"/>
          <w:sz w:val="16"/>
          <w:szCs w:val="16"/>
        </w:rPr>
        <w:softHyphen/>
        <w:t xml:space="preserve">требителей. О месте и времени встречи, порядке прикрытия и взаимодействия в бою в случае атаки истребителей противника командирам 3-го </w:t>
      </w:r>
      <w:r w:rsidRPr="00D03F3E">
        <w:rPr>
          <w:rFonts w:ascii="Times New Roman" w:hAnsi="Times New Roman"/>
          <w:iCs/>
          <w:color w:val="000000" w:themeColor="text1"/>
          <w:sz w:val="16"/>
          <w:szCs w:val="16"/>
        </w:rPr>
        <w:t xml:space="preserve">шок, </w:t>
      </w:r>
      <w:r w:rsidRPr="00D03F3E">
        <w:rPr>
          <w:rFonts w:ascii="Times New Roman" w:hAnsi="Times New Roman"/>
          <w:color w:val="000000" w:themeColor="text1"/>
          <w:sz w:val="16"/>
          <w:szCs w:val="16"/>
        </w:rPr>
        <w:t xml:space="preserve">225-й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 xml:space="preserve">и 315-й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предписывалось догово</w:t>
      </w:r>
      <w:r w:rsidRPr="00D03F3E">
        <w:rPr>
          <w:rFonts w:ascii="Times New Roman" w:hAnsi="Times New Roman"/>
          <w:color w:val="000000" w:themeColor="text1"/>
          <w:sz w:val="16"/>
          <w:szCs w:val="16"/>
        </w:rPr>
        <w:softHyphen/>
        <w:t xml:space="preserve">риться самим. При этом командир 315-й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 xml:space="preserve">п-к В. Я. Литвинов лично отвечал </w:t>
      </w:r>
      <w:r w:rsidRPr="00D03F3E">
        <w:rPr>
          <w:rFonts w:ascii="Times New Roman" w:hAnsi="Times New Roman"/>
          <w:iCs/>
          <w:color w:val="000000" w:themeColor="text1"/>
          <w:sz w:val="16"/>
          <w:szCs w:val="16"/>
        </w:rPr>
        <w:t>"за организацию встречи и сопровож</w:t>
      </w:r>
      <w:r w:rsidRPr="00D03F3E">
        <w:rPr>
          <w:rFonts w:ascii="Times New Roman" w:hAnsi="Times New Roman"/>
          <w:iCs/>
          <w:color w:val="000000" w:themeColor="text1"/>
          <w:sz w:val="16"/>
          <w:szCs w:val="16"/>
        </w:rPr>
        <w:softHyphen/>
        <w:t xml:space="preserve">дение" </w:t>
      </w:r>
      <w:r w:rsidRPr="00D03F3E">
        <w:rPr>
          <w:rFonts w:ascii="Times New Roman" w:hAnsi="Times New Roman"/>
          <w:color w:val="000000" w:themeColor="text1"/>
          <w:sz w:val="16"/>
          <w:szCs w:val="16"/>
        </w:rPr>
        <w:t>штурмовиков. Готовность к вы</w:t>
      </w:r>
      <w:r w:rsidRPr="00D03F3E">
        <w:rPr>
          <w:rFonts w:ascii="Times New Roman" w:hAnsi="Times New Roman"/>
          <w:color w:val="000000" w:themeColor="text1"/>
          <w:sz w:val="16"/>
          <w:szCs w:val="16"/>
        </w:rPr>
        <w:softHyphen/>
        <w:t>лету выделенных для удара авиапол</w:t>
      </w:r>
      <w:r w:rsidRPr="00D03F3E">
        <w:rPr>
          <w:rFonts w:ascii="Times New Roman" w:hAnsi="Times New Roman"/>
          <w:color w:val="000000" w:themeColor="text1"/>
          <w:sz w:val="16"/>
          <w:szCs w:val="16"/>
        </w:rPr>
        <w:softHyphen/>
        <w:t>ков истребителей и штурмовиков оп</w:t>
      </w:r>
      <w:r w:rsidRPr="00D03F3E">
        <w:rPr>
          <w:rFonts w:ascii="Times New Roman" w:hAnsi="Times New Roman"/>
          <w:color w:val="000000" w:themeColor="text1"/>
          <w:sz w:val="16"/>
          <w:szCs w:val="16"/>
        </w:rPr>
        <w:softHyphen/>
        <w:t>ределялась с 18.00.</w:t>
      </w:r>
    </w:p>
    <w:p w14:paraId="2E3D58C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Ровно в 18.00 командующий 15-й ВА генерал Н. Ф. Науменко по теле</w:t>
      </w:r>
      <w:r w:rsidRPr="00D03F3E">
        <w:rPr>
          <w:rFonts w:ascii="Times New Roman" w:hAnsi="Times New Roman"/>
          <w:color w:val="000000" w:themeColor="text1"/>
          <w:sz w:val="16"/>
          <w:szCs w:val="16"/>
        </w:rPr>
        <w:softHyphen/>
        <w:t>фону уточнил поставленную задачу. Ударам подвергались только два аэро</w:t>
      </w:r>
      <w:r w:rsidRPr="00D03F3E">
        <w:rPr>
          <w:rFonts w:ascii="Times New Roman" w:hAnsi="Times New Roman"/>
          <w:color w:val="000000" w:themeColor="text1"/>
          <w:sz w:val="16"/>
          <w:szCs w:val="16"/>
        </w:rPr>
        <w:softHyphen/>
        <w:t>дрома: Орел-ГВФ и Хомуты. По пер</w:t>
      </w:r>
      <w:r w:rsidRPr="00D03F3E">
        <w:rPr>
          <w:rFonts w:ascii="Times New Roman" w:hAnsi="Times New Roman"/>
          <w:color w:val="000000" w:themeColor="text1"/>
          <w:sz w:val="16"/>
          <w:szCs w:val="16"/>
        </w:rPr>
        <w:softHyphen/>
        <w:t>вому аэродрому должны были "отра</w:t>
      </w:r>
      <w:r w:rsidRPr="00D03F3E">
        <w:rPr>
          <w:rFonts w:ascii="Times New Roman" w:hAnsi="Times New Roman"/>
          <w:color w:val="000000" w:themeColor="text1"/>
          <w:sz w:val="16"/>
          <w:szCs w:val="16"/>
        </w:rPr>
        <w:softHyphen/>
        <w:t xml:space="preserve">ботать" две шестерки Ил-2 от 614-го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(ведущие к-н Смирнов и стажер к-н Ковган), и по второму - также две шестерки Ил-2 от 948-го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(веду</w:t>
      </w:r>
      <w:r w:rsidRPr="00D03F3E">
        <w:rPr>
          <w:rFonts w:ascii="Times New Roman" w:hAnsi="Times New Roman"/>
          <w:color w:val="000000" w:themeColor="text1"/>
          <w:sz w:val="16"/>
          <w:szCs w:val="16"/>
        </w:rPr>
        <w:softHyphen/>
        <w:t>щие командир полка м-р Храбрых и к-н Афанасьев).</w:t>
      </w:r>
    </w:p>
    <w:p w14:paraId="0283F58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Как следует из документов 315-й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выделенные для выполнения боевого задания группы истребителей прикрытия уже в 18.30 вырулили на старт, дозаправились и ожидали подхода Ил-2.</w:t>
      </w:r>
    </w:p>
    <w:p w14:paraId="1B6E319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понимания дальнейших событий необходимо остановиться на серьез</w:t>
      </w:r>
      <w:r w:rsidRPr="00D03F3E">
        <w:rPr>
          <w:rFonts w:ascii="Times New Roman" w:hAnsi="Times New Roman"/>
          <w:color w:val="000000" w:themeColor="text1"/>
          <w:sz w:val="16"/>
          <w:szCs w:val="16"/>
        </w:rPr>
        <w:softHyphen/>
        <w:t>ных недочетах и ошибках, которые были допущены командованием выде</w:t>
      </w:r>
      <w:r w:rsidRPr="00D03F3E">
        <w:rPr>
          <w:rFonts w:ascii="Times New Roman" w:hAnsi="Times New Roman"/>
          <w:color w:val="000000" w:themeColor="text1"/>
          <w:sz w:val="16"/>
          <w:szCs w:val="16"/>
        </w:rPr>
        <w:softHyphen/>
        <w:t>ленных для удара соединений и частей.</w:t>
      </w:r>
    </w:p>
    <w:p w14:paraId="6D70BAD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Вместо того чтобы собрать всех ко</w:t>
      </w:r>
      <w:r w:rsidRPr="00D03F3E">
        <w:rPr>
          <w:rFonts w:ascii="Times New Roman" w:hAnsi="Times New Roman"/>
          <w:color w:val="000000" w:themeColor="text1"/>
          <w:sz w:val="16"/>
          <w:szCs w:val="16"/>
        </w:rPr>
        <w:softHyphen/>
        <w:t>мандиров истребительных и штурмо</w:t>
      </w:r>
      <w:r w:rsidRPr="00D03F3E">
        <w:rPr>
          <w:rFonts w:ascii="Times New Roman" w:hAnsi="Times New Roman"/>
          <w:color w:val="000000" w:themeColor="text1"/>
          <w:sz w:val="16"/>
          <w:szCs w:val="16"/>
        </w:rPr>
        <w:softHyphen/>
        <w:t xml:space="preserve">вых авиаполков на командном пункте 315-й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для проработки боевого задания, было решено вызвать их на КП своих соединений. При этом пол</w:t>
      </w:r>
      <w:r w:rsidRPr="00D03F3E">
        <w:rPr>
          <w:rFonts w:ascii="Times New Roman" w:hAnsi="Times New Roman"/>
          <w:color w:val="000000" w:themeColor="text1"/>
          <w:sz w:val="16"/>
          <w:szCs w:val="16"/>
        </w:rPr>
        <w:softHyphen/>
        <w:t xml:space="preserve">ковник В. Я. Литвинов совместным с командирами 225-й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 xml:space="preserve">полковником А. Ф. Обуховым и 3-го </w:t>
      </w:r>
      <w:r w:rsidRPr="00D03F3E">
        <w:rPr>
          <w:rFonts w:ascii="Times New Roman" w:hAnsi="Times New Roman"/>
          <w:iCs/>
          <w:color w:val="000000" w:themeColor="text1"/>
          <w:sz w:val="16"/>
          <w:szCs w:val="16"/>
        </w:rPr>
        <w:t xml:space="preserve">шак </w:t>
      </w:r>
      <w:r w:rsidRPr="00D03F3E">
        <w:rPr>
          <w:rFonts w:ascii="Times New Roman" w:hAnsi="Times New Roman"/>
          <w:color w:val="000000" w:themeColor="text1"/>
          <w:sz w:val="16"/>
          <w:szCs w:val="16"/>
        </w:rPr>
        <w:t>генералом М. И. Горлаченко решением перело</w:t>
      </w:r>
      <w:r w:rsidRPr="00D03F3E">
        <w:rPr>
          <w:rFonts w:ascii="Times New Roman" w:hAnsi="Times New Roman"/>
          <w:color w:val="000000" w:themeColor="text1"/>
          <w:sz w:val="16"/>
          <w:szCs w:val="16"/>
        </w:rPr>
        <w:softHyphen/>
        <w:t>жил на командиров полков согласова</w:t>
      </w:r>
      <w:r w:rsidRPr="00D03F3E">
        <w:rPr>
          <w:rFonts w:ascii="Times New Roman" w:hAnsi="Times New Roman"/>
          <w:color w:val="000000" w:themeColor="text1"/>
          <w:sz w:val="16"/>
          <w:szCs w:val="16"/>
        </w:rPr>
        <w:softHyphen/>
        <w:t>ние всех вопросов взаимодействия ис</w:t>
      </w:r>
      <w:r w:rsidRPr="00D03F3E">
        <w:rPr>
          <w:rFonts w:ascii="Times New Roman" w:hAnsi="Times New Roman"/>
          <w:color w:val="000000" w:themeColor="text1"/>
          <w:sz w:val="16"/>
          <w:szCs w:val="16"/>
        </w:rPr>
        <w:softHyphen/>
        <w:t>требителей и штурмовиков в полете и в бою. В дальнейшем ни он сам, ни командиры штурмовых авиасоединений не проконтролировали своевремен</w:t>
      </w:r>
      <w:r w:rsidRPr="00D03F3E">
        <w:rPr>
          <w:rFonts w:ascii="Times New Roman" w:hAnsi="Times New Roman"/>
          <w:color w:val="000000" w:themeColor="text1"/>
          <w:sz w:val="16"/>
          <w:szCs w:val="16"/>
        </w:rPr>
        <w:softHyphen/>
        <w:t>ность выполнения подчиненными этого распоряжения.</w:t>
      </w:r>
    </w:p>
    <w:p w14:paraId="18BC537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свою очередь, штабы соединений настолько подробно спланировали удар, что командирам авиаполков ос</w:t>
      </w:r>
      <w:r w:rsidRPr="00D03F3E">
        <w:rPr>
          <w:rFonts w:ascii="Times New Roman" w:hAnsi="Times New Roman"/>
          <w:color w:val="000000" w:themeColor="text1"/>
          <w:sz w:val="16"/>
          <w:szCs w:val="16"/>
        </w:rPr>
        <w:softHyphen/>
        <w:t>тавалось лишь узаконить назначение ведущих групп и отдать необходимые распоряжения по подготовке самоле</w:t>
      </w:r>
      <w:r w:rsidRPr="00D03F3E">
        <w:rPr>
          <w:rFonts w:ascii="Times New Roman" w:hAnsi="Times New Roman"/>
          <w:color w:val="000000" w:themeColor="text1"/>
          <w:sz w:val="16"/>
          <w:szCs w:val="16"/>
        </w:rPr>
        <w:softHyphen/>
        <w:t>тов к боевому вылету. В боевых доку</w:t>
      </w:r>
      <w:r w:rsidRPr="00D03F3E">
        <w:rPr>
          <w:rFonts w:ascii="Times New Roman" w:hAnsi="Times New Roman"/>
          <w:color w:val="000000" w:themeColor="text1"/>
          <w:sz w:val="16"/>
          <w:szCs w:val="16"/>
        </w:rPr>
        <w:softHyphen/>
        <w:t>ментах штабов дивизий указывались не только цель, время удара, количество и численность групп, но также и бое</w:t>
      </w:r>
      <w:r w:rsidRPr="00D03F3E">
        <w:rPr>
          <w:rFonts w:ascii="Times New Roman" w:hAnsi="Times New Roman"/>
          <w:color w:val="000000" w:themeColor="text1"/>
          <w:sz w:val="16"/>
          <w:szCs w:val="16"/>
        </w:rPr>
        <w:softHyphen/>
        <w:t>вые порядки на маршруте и при атаке цели, маршрут полета до цели и об</w:t>
      </w:r>
      <w:r w:rsidRPr="00D03F3E">
        <w:rPr>
          <w:rFonts w:ascii="Times New Roman" w:hAnsi="Times New Roman"/>
          <w:color w:val="000000" w:themeColor="text1"/>
          <w:sz w:val="16"/>
          <w:szCs w:val="16"/>
        </w:rPr>
        <w:softHyphen/>
        <w:t>ратно, высота полета, количество и на</w:t>
      </w:r>
      <w:r w:rsidRPr="00D03F3E">
        <w:rPr>
          <w:rFonts w:ascii="Times New Roman" w:hAnsi="Times New Roman"/>
          <w:color w:val="000000" w:themeColor="text1"/>
          <w:sz w:val="16"/>
          <w:szCs w:val="16"/>
        </w:rPr>
        <w:softHyphen/>
        <w:t>правление заходов на цель, количество самолетов для подавления зенитного огня и т.д. Всякая инициатива со сто</w:t>
      </w:r>
      <w:r w:rsidRPr="00D03F3E">
        <w:rPr>
          <w:rFonts w:ascii="Times New Roman" w:hAnsi="Times New Roman"/>
          <w:color w:val="000000" w:themeColor="text1"/>
          <w:sz w:val="16"/>
          <w:szCs w:val="16"/>
        </w:rPr>
        <w:softHyphen/>
        <w:t>роны командиров полков была полно</w:t>
      </w:r>
      <w:r w:rsidRPr="00D03F3E">
        <w:rPr>
          <w:rFonts w:ascii="Times New Roman" w:hAnsi="Times New Roman"/>
          <w:color w:val="000000" w:themeColor="text1"/>
          <w:sz w:val="16"/>
          <w:szCs w:val="16"/>
        </w:rPr>
        <w:softHyphen/>
        <w:t>стью исключена.</w:t>
      </w:r>
    </w:p>
    <w:p w14:paraId="0BDB178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Фактически при таком подходе ко</w:t>
      </w:r>
      <w:r w:rsidRPr="00D03F3E">
        <w:rPr>
          <w:rFonts w:ascii="Times New Roman" w:hAnsi="Times New Roman"/>
          <w:color w:val="000000" w:themeColor="text1"/>
          <w:sz w:val="16"/>
          <w:szCs w:val="16"/>
        </w:rPr>
        <w:softHyphen/>
        <w:t>мандиры полков превращались в про</w:t>
      </w:r>
      <w:r w:rsidRPr="00D03F3E">
        <w:rPr>
          <w:rFonts w:ascii="Times New Roman" w:hAnsi="Times New Roman"/>
          <w:color w:val="000000" w:themeColor="text1"/>
          <w:sz w:val="16"/>
          <w:szCs w:val="16"/>
        </w:rPr>
        <w:softHyphen/>
        <w:t>стые передаточные инстанции команд вышестоящего штаба, практически ни</w:t>
      </w:r>
      <w:r w:rsidRPr="00D03F3E">
        <w:rPr>
          <w:rFonts w:ascii="Times New Roman" w:hAnsi="Times New Roman"/>
          <w:color w:val="000000" w:themeColor="text1"/>
          <w:sz w:val="16"/>
          <w:szCs w:val="16"/>
        </w:rPr>
        <w:softHyphen/>
        <w:t>как не влиявшие на руководство бое</w:t>
      </w:r>
      <w:r w:rsidRPr="00D03F3E">
        <w:rPr>
          <w:rFonts w:ascii="Times New Roman" w:hAnsi="Times New Roman"/>
          <w:color w:val="000000" w:themeColor="text1"/>
          <w:sz w:val="16"/>
          <w:szCs w:val="16"/>
        </w:rPr>
        <w:softHyphen/>
        <w:t>выми действиями. Штабы утрачивали инициативу и чувство ответственности за результаты боевой работы вверен</w:t>
      </w:r>
      <w:r w:rsidRPr="00D03F3E">
        <w:rPr>
          <w:rFonts w:ascii="Times New Roman" w:hAnsi="Times New Roman"/>
          <w:color w:val="000000" w:themeColor="text1"/>
          <w:sz w:val="16"/>
          <w:szCs w:val="16"/>
        </w:rPr>
        <w:softHyphen/>
        <w:t>ных им полков. В итоге — недостатки при организации боевого вылета и тра</w:t>
      </w:r>
      <w:r w:rsidRPr="00D03F3E">
        <w:rPr>
          <w:rFonts w:ascii="Times New Roman" w:hAnsi="Times New Roman"/>
          <w:color w:val="000000" w:themeColor="text1"/>
          <w:sz w:val="16"/>
          <w:szCs w:val="16"/>
        </w:rPr>
        <w:softHyphen/>
        <w:t>гические последствия, к которым они привели.</w:t>
      </w:r>
    </w:p>
    <w:p w14:paraId="6F2391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 неустановленным причинам представитель от 614-го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прибыл на аэродром базирования 50-го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 xml:space="preserve">Молочные Дворы для согласования вопросов совместного выполнения боевого задания лишь за 5 минут до вылета истребителей, хотя командир полка подполковник В. Н. Верещинс-кий получил </w:t>
      </w:r>
      <w:r w:rsidRPr="00D03F3E">
        <w:rPr>
          <w:rFonts w:ascii="Times New Roman" w:hAnsi="Times New Roman"/>
          <w:iCs/>
          <w:color w:val="000000" w:themeColor="text1"/>
          <w:sz w:val="16"/>
          <w:szCs w:val="16"/>
        </w:rPr>
        <w:t xml:space="preserve">''исчерпывающие указания" о </w:t>
      </w:r>
      <w:r w:rsidRPr="00D03F3E">
        <w:rPr>
          <w:rFonts w:ascii="Times New Roman" w:hAnsi="Times New Roman"/>
          <w:color w:val="000000" w:themeColor="text1"/>
          <w:sz w:val="16"/>
          <w:szCs w:val="16"/>
        </w:rPr>
        <w:t>подготовке к вылету еще в 12.00. Ес</w:t>
      </w:r>
      <w:r w:rsidRPr="00D03F3E">
        <w:rPr>
          <w:rFonts w:ascii="Times New Roman" w:hAnsi="Times New Roman"/>
          <w:color w:val="000000" w:themeColor="text1"/>
          <w:sz w:val="16"/>
          <w:szCs w:val="16"/>
        </w:rPr>
        <w:softHyphen/>
        <w:t>тественно, ни о какой договоренности между группами штурмовиков и истре</w:t>
      </w:r>
      <w:r w:rsidRPr="00D03F3E">
        <w:rPr>
          <w:rFonts w:ascii="Times New Roman" w:hAnsi="Times New Roman"/>
          <w:color w:val="000000" w:themeColor="text1"/>
          <w:sz w:val="16"/>
          <w:szCs w:val="16"/>
        </w:rPr>
        <w:softHyphen/>
        <w:t>бителей о порядке сопровождения на маршруте и в районе цели, а также взаимодействия в бою при встрече с истребителями противника не могло быть и речи. То есть штурмовики и истребители вылетели на боевое зада</w:t>
      </w:r>
      <w:r w:rsidRPr="00D03F3E">
        <w:rPr>
          <w:rFonts w:ascii="Times New Roman" w:hAnsi="Times New Roman"/>
          <w:color w:val="000000" w:themeColor="text1"/>
          <w:sz w:val="16"/>
          <w:szCs w:val="16"/>
        </w:rPr>
        <w:softHyphen/>
        <w:t>ние, не проработав обязательный эле</w:t>
      </w:r>
      <w:r w:rsidRPr="00D03F3E">
        <w:rPr>
          <w:rFonts w:ascii="Times New Roman" w:hAnsi="Times New Roman"/>
          <w:color w:val="000000" w:themeColor="text1"/>
          <w:sz w:val="16"/>
          <w:szCs w:val="16"/>
        </w:rPr>
        <w:softHyphen/>
        <w:t>мент полета - взаимодействие групп в бою.</w:t>
      </w:r>
    </w:p>
    <w:p w14:paraId="42856F7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Кроме этого, штабом 614-го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не все было учтено при организации бо</w:t>
      </w:r>
      <w:r w:rsidRPr="00D03F3E">
        <w:rPr>
          <w:rFonts w:ascii="Times New Roman" w:hAnsi="Times New Roman"/>
          <w:color w:val="000000" w:themeColor="text1"/>
          <w:sz w:val="16"/>
          <w:szCs w:val="16"/>
        </w:rPr>
        <w:softHyphen/>
        <w:t>евого вылета. Временной расчет взле</w:t>
      </w:r>
      <w:r w:rsidRPr="00D03F3E">
        <w:rPr>
          <w:rFonts w:ascii="Times New Roman" w:hAnsi="Times New Roman"/>
          <w:color w:val="000000" w:themeColor="text1"/>
          <w:sz w:val="16"/>
          <w:szCs w:val="16"/>
        </w:rPr>
        <w:softHyphen/>
        <w:t>та группы Ил-2 был выполнен без уче</w:t>
      </w:r>
      <w:r w:rsidRPr="00D03F3E">
        <w:rPr>
          <w:rFonts w:ascii="Times New Roman" w:hAnsi="Times New Roman"/>
          <w:color w:val="000000" w:themeColor="text1"/>
          <w:sz w:val="16"/>
          <w:szCs w:val="16"/>
        </w:rPr>
        <w:softHyphen/>
        <w:t>та состояния аэродрома Жадомо-Ефремово, который имел плохое травя</w:t>
      </w:r>
      <w:r w:rsidRPr="00D03F3E">
        <w:rPr>
          <w:rFonts w:ascii="Times New Roman" w:hAnsi="Times New Roman"/>
          <w:color w:val="000000" w:themeColor="text1"/>
          <w:sz w:val="16"/>
          <w:szCs w:val="16"/>
        </w:rPr>
        <w:softHyphen/>
        <w:t>ное покрытие. В результате 12 экипа</w:t>
      </w:r>
      <w:r w:rsidRPr="00D03F3E">
        <w:rPr>
          <w:rFonts w:ascii="Times New Roman" w:hAnsi="Times New Roman"/>
          <w:color w:val="000000" w:themeColor="text1"/>
          <w:sz w:val="16"/>
          <w:szCs w:val="16"/>
        </w:rPr>
        <w:softHyphen/>
        <w:t>жей взлетали 17 минут, так как на вы-руливании и при взлете поднялась пыль. Как следствие, штурмовики опоздали на встречу с истребителями сопровож</w:t>
      </w:r>
      <w:r w:rsidRPr="00D03F3E">
        <w:rPr>
          <w:rFonts w:ascii="Times New Roman" w:hAnsi="Times New Roman"/>
          <w:color w:val="000000" w:themeColor="text1"/>
          <w:sz w:val="16"/>
          <w:szCs w:val="16"/>
        </w:rPr>
        <w:softHyphen/>
        <w:t>дения.</w:t>
      </w:r>
    </w:p>
    <w:p w14:paraId="14114B3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Дальнейшие события развивались примерно следующим образом. С про</w:t>
      </w:r>
      <w:r w:rsidRPr="00D03F3E">
        <w:rPr>
          <w:rFonts w:ascii="Times New Roman" w:hAnsi="Times New Roman"/>
          <w:color w:val="000000" w:themeColor="text1"/>
          <w:sz w:val="16"/>
          <w:szCs w:val="16"/>
        </w:rPr>
        <w:softHyphen/>
        <w:t xml:space="preserve">ходом штурмовиков над аэродромом Молочные Дворы взлет истребителей 50-го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был выполнен в течение од</w:t>
      </w:r>
      <w:r w:rsidRPr="00D03F3E">
        <w:rPr>
          <w:rFonts w:ascii="Times New Roman" w:hAnsi="Times New Roman"/>
          <w:color w:val="000000" w:themeColor="text1"/>
          <w:sz w:val="16"/>
          <w:szCs w:val="16"/>
        </w:rPr>
        <w:softHyphen/>
        <w:t>ной минуты, и в 19.53 группы встали на курс.</w:t>
      </w:r>
    </w:p>
    <w:p w14:paraId="768079C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построении в общий боевой по</w:t>
      </w:r>
      <w:r w:rsidRPr="00D03F3E">
        <w:rPr>
          <w:rFonts w:ascii="Times New Roman" w:hAnsi="Times New Roman"/>
          <w:color w:val="000000" w:themeColor="text1"/>
          <w:sz w:val="16"/>
          <w:szCs w:val="16"/>
        </w:rPr>
        <w:softHyphen/>
        <w:t xml:space="preserve">рядок мл. лейтенанты Гаврилов и Ку-варзин от 50-го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оторвались от основной группы и возвратились на свой аэродром. Вскоре на самолете мл. лейтенанта Добровольского заба</w:t>
      </w:r>
      <w:r w:rsidRPr="00D03F3E">
        <w:rPr>
          <w:rFonts w:ascii="Times New Roman" w:hAnsi="Times New Roman"/>
          <w:color w:val="000000" w:themeColor="text1"/>
          <w:sz w:val="16"/>
          <w:szCs w:val="16"/>
        </w:rPr>
        <w:softHyphen/>
        <w:t>рахлил мотор, и он потянул на свой аэродром. Таким образом, штурмови</w:t>
      </w:r>
      <w:r w:rsidRPr="00D03F3E">
        <w:rPr>
          <w:rFonts w:ascii="Times New Roman" w:hAnsi="Times New Roman"/>
          <w:color w:val="000000" w:themeColor="text1"/>
          <w:sz w:val="16"/>
          <w:szCs w:val="16"/>
        </w:rPr>
        <w:softHyphen/>
        <w:t>ков прикрывали только 9 Ла-5 вместо 12 истребителей по плану.</w:t>
      </w:r>
    </w:p>
    <w:p w14:paraId="39CC31C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дальнейшем все три возвратив</w:t>
      </w:r>
      <w:r w:rsidRPr="00D03F3E">
        <w:rPr>
          <w:rFonts w:ascii="Times New Roman" w:hAnsi="Times New Roman"/>
          <w:color w:val="000000" w:themeColor="text1"/>
          <w:sz w:val="16"/>
          <w:szCs w:val="16"/>
        </w:rPr>
        <w:softHyphen/>
        <w:t>шихся пилота в оперативных докумен</w:t>
      </w:r>
      <w:r w:rsidRPr="00D03F3E">
        <w:rPr>
          <w:rFonts w:ascii="Times New Roman" w:hAnsi="Times New Roman"/>
          <w:color w:val="000000" w:themeColor="text1"/>
          <w:sz w:val="16"/>
          <w:szCs w:val="16"/>
        </w:rPr>
        <w:softHyphen/>
        <w:t>тах 15-й воздушной армии были ука</w:t>
      </w:r>
      <w:r w:rsidRPr="00D03F3E">
        <w:rPr>
          <w:rFonts w:ascii="Times New Roman" w:hAnsi="Times New Roman"/>
          <w:color w:val="000000" w:themeColor="text1"/>
          <w:sz w:val="16"/>
          <w:szCs w:val="16"/>
        </w:rPr>
        <w:softHyphen/>
        <w:t>заны, как не выполнившие боевую за</w:t>
      </w:r>
      <w:r w:rsidRPr="00D03F3E">
        <w:rPr>
          <w:rFonts w:ascii="Times New Roman" w:hAnsi="Times New Roman"/>
          <w:color w:val="000000" w:themeColor="text1"/>
          <w:sz w:val="16"/>
          <w:szCs w:val="16"/>
        </w:rPr>
        <w:softHyphen/>
        <w:t xml:space="preserve">дачу </w:t>
      </w:r>
      <w:r w:rsidRPr="00D03F3E">
        <w:rPr>
          <w:rFonts w:ascii="Times New Roman" w:hAnsi="Times New Roman"/>
          <w:iCs/>
          <w:color w:val="000000" w:themeColor="text1"/>
          <w:sz w:val="16"/>
          <w:szCs w:val="16"/>
        </w:rPr>
        <w:t xml:space="preserve">"из-за неисправностей матчасти". </w:t>
      </w:r>
      <w:r w:rsidRPr="00D03F3E">
        <w:rPr>
          <w:rFonts w:ascii="Times New Roman" w:hAnsi="Times New Roman"/>
          <w:color w:val="000000" w:themeColor="text1"/>
          <w:sz w:val="16"/>
          <w:szCs w:val="16"/>
        </w:rPr>
        <w:t xml:space="preserve">Взлет и сбор групп от 948-го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и 431-го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над аэродромом Про</w:t>
      </w:r>
      <w:r w:rsidRPr="00D03F3E">
        <w:rPr>
          <w:rFonts w:ascii="Times New Roman" w:hAnsi="Times New Roman"/>
          <w:color w:val="000000" w:themeColor="text1"/>
          <w:sz w:val="16"/>
          <w:szCs w:val="16"/>
        </w:rPr>
        <w:softHyphen/>
        <w:t>ходное прошел в полном соответствии с планом и расчетом времени. Одна</w:t>
      </w:r>
      <w:r w:rsidRPr="00D03F3E">
        <w:rPr>
          <w:rFonts w:ascii="Times New Roman" w:hAnsi="Times New Roman"/>
          <w:color w:val="000000" w:themeColor="text1"/>
          <w:sz w:val="16"/>
          <w:szCs w:val="16"/>
        </w:rPr>
        <w:softHyphen/>
        <w:t>ко на маршруте к аэродрому Хомуты при пересечении линии фронта в рай</w:t>
      </w:r>
      <w:r w:rsidRPr="00D03F3E">
        <w:rPr>
          <w:rFonts w:ascii="Times New Roman" w:hAnsi="Times New Roman"/>
          <w:color w:val="000000" w:themeColor="text1"/>
          <w:sz w:val="16"/>
          <w:szCs w:val="16"/>
        </w:rPr>
        <w:softHyphen/>
        <w:t>оне Шашкино группы встретили лив</w:t>
      </w:r>
      <w:r w:rsidRPr="00D03F3E">
        <w:rPr>
          <w:rFonts w:ascii="Times New Roman" w:hAnsi="Times New Roman"/>
          <w:color w:val="000000" w:themeColor="text1"/>
          <w:sz w:val="16"/>
          <w:szCs w:val="16"/>
        </w:rPr>
        <w:softHyphen/>
        <w:t>невый дождь с облачностью до 8-10 баллов и высотой нижней кромки до 200 м, вследствие чего вернулись на свой аэродром, не выполнив боевой задачи. При этом четыре экипажа, не имеющие опыт посадки с бомбами, сбросили их на полигоне по собствен</w:t>
      </w:r>
      <w:r w:rsidRPr="00D03F3E">
        <w:rPr>
          <w:rFonts w:ascii="Times New Roman" w:hAnsi="Times New Roman"/>
          <w:color w:val="000000" w:themeColor="text1"/>
          <w:sz w:val="16"/>
          <w:szCs w:val="16"/>
        </w:rPr>
        <w:softHyphen/>
        <w:t>ной инициативе.</w:t>
      </w:r>
    </w:p>
    <w:p w14:paraId="699EE74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Истребители 1-го </w:t>
      </w:r>
      <w:r w:rsidRPr="00D03F3E">
        <w:rPr>
          <w:rFonts w:ascii="Times New Roman" w:hAnsi="Times New Roman"/>
          <w:iCs/>
          <w:color w:val="000000" w:themeColor="text1"/>
          <w:sz w:val="16"/>
          <w:szCs w:val="16"/>
        </w:rPr>
        <w:t xml:space="preserve">гиак </w:t>
      </w:r>
      <w:r w:rsidRPr="00D03F3E">
        <w:rPr>
          <w:rFonts w:ascii="Times New Roman" w:hAnsi="Times New Roman"/>
          <w:color w:val="000000" w:themeColor="text1"/>
          <w:sz w:val="16"/>
          <w:szCs w:val="16"/>
        </w:rPr>
        <w:t>действовали строго по плану. Ровно в 19.58 аэро</w:t>
      </w:r>
      <w:r w:rsidRPr="00D03F3E">
        <w:rPr>
          <w:rFonts w:ascii="Times New Roman" w:hAnsi="Times New Roman"/>
          <w:color w:val="000000" w:themeColor="text1"/>
          <w:sz w:val="16"/>
          <w:szCs w:val="16"/>
        </w:rPr>
        <w:softHyphen/>
        <w:t xml:space="preserve">дромы противника были блокированы. Все истребители, кроме группы от 65-го </w:t>
      </w:r>
      <w:r w:rsidRPr="00D03F3E">
        <w:rPr>
          <w:rFonts w:ascii="Times New Roman" w:hAnsi="Times New Roman"/>
          <w:iCs/>
          <w:color w:val="000000" w:themeColor="text1"/>
          <w:sz w:val="16"/>
          <w:szCs w:val="16"/>
        </w:rPr>
        <w:t xml:space="preserve">гиап </w:t>
      </w:r>
      <w:r w:rsidRPr="00D03F3E">
        <w:rPr>
          <w:rFonts w:ascii="Times New Roman" w:hAnsi="Times New Roman"/>
          <w:color w:val="000000" w:themeColor="text1"/>
          <w:sz w:val="16"/>
          <w:szCs w:val="16"/>
        </w:rPr>
        <w:t>(ведущий ст. л-т Головин), "ра</w:t>
      </w:r>
      <w:r w:rsidRPr="00D03F3E">
        <w:rPr>
          <w:rFonts w:ascii="Times New Roman" w:hAnsi="Times New Roman"/>
          <w:color w:val="000000" w:themeColor="text1"/>
          <w:sz w:val="16"/>
          <w:szCs w:val="16"/>
        </w:rPr>
        <w:softHyphen/>
        <w:t>ботавшей" по аэродрому Мезенка, обстреливались сильным огнем МЗА. Эта группа, обнаружив на аэродроме Мезенка выруливавшие два самолета противника и около 30 бомбардиров</w:t>
      </w:r>
      <w:r w:rsidRPr="00D03F3E">
        <w:rPr>
          <w:rFonts w:ascii="Times New Roman" w:hAnsi="Times New Roman"/>
          <w:color w:val="000000" w:themeColor="text1"/>
          <w:sz w:val="16"/>
          <w:szCs w:val="16"/>
        </w:rPr>
        <w:softHyphen/>
        <w:t>щиков и 5-6 истребителей на стоянках в северной части аэродрома, тремя экипажами произвела штурмовые ата</w:t>
      </w:r>
      <w:r w:rsidRPr="00D03F3E">
        <w:rPr>
          <w:rFonts w:ascii="Times New Roman" w:hAnsi="Times New Roman"/>
          <w:color w:val="000000" w:themeColor="text1"/>
          <w:sz w:val="16"/>
          <w:szCs w:val="16"/>
        </w:rPr>
        <w:softHyphen/>
        <w:t>ки. Отличились ст. л-т Головин, л-т Сычев и сержант Ходос, которые в двух заходах зажгли 5 двухмоторных само</w:t>
      </w:r>
      <w:r w:rsidRPr="00D03F3E">
        <w:rPr>
          <w:rFonts w:ascii="Times New Roman" w:hAnsi="Times New Roman"/>
          <w:color w:val="000000" w:themeColor="text1"/>
          <w:sz w:val="16"/>
          <w:szCs w:val="16"/>
        </w:rPr>
        <w:softHyphen/>
        <w:t>летов.</w:t>
      </w:r>
    </w:p>
    <w:p w14:paraId="101B60E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6-12 минут с момента при</w:t>
      </w:r>
      <w:r w:rsidRPr="00D03F3E">
        <w:rPr>
          <w:rFonts w:ascii="Times New Roman" w:hAnsi="Times New Roman"/>
          <w:color w:val="000000" w:themeColor="text1"/>
          <w:sz w:val="16"/>
          <w:szCs w:val="16"/>
        </w:rPr>
        <w:softHyphen/>
        <w:t>хода наших истребителей в район заб</w:t>
      </w:r>
      <w:r w:rsidRPr="00D03F3E">
        <w:rPr>
          <w:rFonts w:ascii="Times New Roman" w:hAnsi="Times New Roman"/>
          <w:color w:val="000000" w:themeColor="text1"/>
          <w:sz w:val="16"/>
          <w:szCs w:val="16"/>
        </w:rPr>
        <w:softHyphen/>
        <w:t>локированных аэродромов подтянулись многочисленные группы истребителей противника, поднятых с дальних аэро</w:t>
      </w:r>
      <w:r w:rsidRPr="00D03F3E">
        <w:rPr>
          <w:rFonts w:ascii="Times New Roman" w:hAnsi="Times New Roman"/>
          <w:color w:val="000000" w:themeColor="text1"/>
          <w:sz w:val="16"/>
          <w:szCs w:val="16"/>
        </w:rPr>
        <w:softHyphen/>
        <w:t>дромов, которые не были заблокиро</w:t>
      </w:r>
      <w:r w:rsidRPr="00D03F3E">
        <w:rPr>
          <w:rFonts w:ascii="Times New Roman" w:hAnsi="Times New Roman"/>
          <w:color w:val="000000" w:themeColor="text1"/>
          <w:sz w:val="16"/>
          <w:szCs w:val="16"/>
        </w:rPr>
        <w:softHyphen/>
        <w:t>ваны. В воздухе над аэродромами за</w:t>
      </w:r>
      <w:r w:rsidRPr="00D03F3E">
        <w:rPr>
          <w:rFonts w:ascii="Times New Roman" w:hAnsi="Times New Roman"/>
          <w:color w:val="000000" w:themeColor="text1"/>
          <w:sz w:val="16"/>
          <w:szCs w:val="16"/>
        </w:rPr>
        <w:softHyphen/>
        <w:t>вязались воздушные бои.</w:t>
      </w:r>
    </w:p>
    <w:p w14:paraId="0561CDD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Группа в составе 8 Ла-5 от 63-го </w:t>
      </w:r>
      <w:r w:rsidRPr="00D03F3E">
        <w:rPr>
          <w:rFonts w:ascii="Times New Roman" w:hAnsi="Times New Roman"/>
          <w:iCs/>
          <w:color w:val="000000" w:themeColor="text1"/>
          <w:sz w:val="16"/>
          <w:szCs w:val="16"/>
        </w:rPr>
        <w:t xml:space="preserve">гиап </w:t>
      </w:r>
      <w:r w:rsidRPr="00D03F3E">
        <w:rPr>
          <w:rFonts w:ascii="Times New Roman" w:hAnsi="Times New Roman"/>
          <w:color w:val="000000" w:themeColor="text1"/>
          <w:sz w:val="16"/>
          <w:szCs w:val="16"/>
        </w:rPr>
        <w:t>(ведущий комполка п-п-к Иванов) была атакована парой ру/190 уже на подходе к аэродрому Кулики. В ходе скоротечного воздушного боя сержант Судошкин сбил "фокке-вульф", который упал в районе аэродрома. Оставший</w:t>
      </w:r>
      <w:r w:rsidRPr="00D03F3E">
        <w:rPr>
          <w:rFonts w:ascii="Times New Roman" w:hAnsi="Times New Roman"/>
          <w:color w:val="000000" w:themeColor="text1"/>
          <w:sz w:val="16"/>
          <w:szCs w:val="16"/>
        </w:rPr>
        <w:softHyphen/>
        <w:t>ся без напарника "фоккер" вышел из боя, но вскоре к аэродрому одиночно и парами подошли еще около 8-12 ФВ190 и Ме109. Гвардейцы вели с ними тяжелый воздушный бой.</w:t>
      </w:r>
    </w:p>
    <w:p w14:paraId="1422B35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Командир 65-го </w:t>
      </w:r>
      <w:r w:rsidRPr="00D03F3E">
        <w:rPr>
          <w:rFonts w:ascii="Times New Roman" w:hAnsi="Times New Roman"/>
          <w:iCs/>
          <w:color w:val="000000" w:themeColor="text1"/>
          <w:sz w:val="16"/>
          <w:szCs w:val="16"/>
        </w:rPr>
        <w:t xml:space="preserve">гиап </w:t>
      </w:r>
      <w:r w:rsidRPr="00D03F3E">
        <w:rPr>
          <w:rFonts w:ascii="Times New Roman" w:hAnsi="Times New Roman"/>
          <w:color w:val="000000" w:themeColor="text1"/>
          <w:sz w:val="16"/>
          <w:szCs w:val="16"/>
        </w:rPr>
        <w:t xml:space="preserve">п-п-к Зворы-гин доложил, что </w:t>
      </w:r>
      <w:r w:rsidRPr="00D03F3E">
        <w:rPr>
          <w:rFonts w:ascii="Times New Roman" w:hAnsi="Times New Roman"/>
          <w:iCs/>
          <w:color w:val="000000" w:themeColor="text1"/>
          <w:sz w:val="16"/>
          <w:szCs w:val="16"/>
        </w:rPr>
        <w:t>"после второго круга в районе аэродрома Орел-ГВФ появи</w:t>
      </w:r>
      <w:r w:rsidRPr="00D03F3E">
        <w:rPr>
          <w:rFonts w:ascii="Times New Roman" w:hAnsi="Times New Roman"/>
          <w:iCs/>
          <w:color w:val="000000" w:themeColor="text1"/>
          <w:sz w:val="16"/>
          <w:szCs w:val="16"/>
        </w:rPr>
        <w:softHyphen/>
        <w:t xml:space="preserve">лось до 4 ФВ190 и 2 Ме109, </w:t>
      </w:r>
      <w:r w:rsidRPr="00D03F3E">
        <w:rPr>
          <w:rFonts w:ascii="Times New Roman" w:hAnsi="Times New Roman"/>
          <w:color w:val="000000" w:themeColor="text1"/>
          <w:sz w:val="16"/>
          <w:szCs w:val="16"/>
        </w:rPr>
        <w:t>с которы</w:t>
      </w:r>
      <w:r w:rsidRPr="00D03F3E">
        <w:rPr>
          <w:rFonts w:ascii="Times New Roman" w:hAnsi="Times New Roman"/>
          <w:color w:val="000000" w:themeColor="text1"/>
          <w:sz w:val="16"/>
          <w:szCs w:val="16"/>
        </w:rPr>
        <w:softHyphen/>
        <w:t>ми его группа (12 Як-1) вступила в воз</w:t>
      </w:r>
      <w:r w:rsidRPr="00D03F3E">
        <w:rPr>
          <w:rFonts w:ascii="Times New Roman" w:hAnsi="Times New Roman"/>
          <w:color w:val="000000" w:themeColor="text1"/>
          <w:sz w:val="16"/>
          <w:szCs w:val="16"/>
        </w:rPr>
        <w:softHyphen/>
        <w:t>душный бой. Бой велся в основном на вертикальном маневре. В ходе воздуш</w:t>
      </w:r>
      <w:r w:rsidRPr="00D03F3E">
        <w:rPr>
          <w:rFonts w:ascii="Times New Roman" w:hAnsi="Times New Roman"/>
          <w:color w:val="000000" w:themeColor="text1"/>
          <w:sz w:val="16"/>
          <w:szCs w:val="16"/>
        </w:rPr>
        <w:softHyphen/>
        <w:t>ного боя противник последовательно наращивал свои силы за счет подхо</w:t>
      </w:r>
      <w:r w:rsidRPr="00D03F3E">
        <w:rPr>
          <w:rFonts w:ascii="Times New Roman" w:hAnsi="Times New Roman"/>
          <w:color w:val="000000" w:themeColor="text1"/>
          <w:sz w:val="16"/>
          <w:szCs w:val="16"/>
        </w:rPr>
        <w:softHyphen/>
        <w:t>дивших в район боя отдельных пар и четверок своих истребителей, созда</w:t>
      </w:r>
      <w:r w:rsidRPr="00D03F3E">
        <w:rPr>
          <w:rFonts w:ascii="Times New Roman" w:hAnsi="Times New Roman"/>
          <w:color w:val="000000" w:themeColor="text1"/>
          <w:sz w:val="16"/>
          <w:szCs w:val="16"/>
        </w:rPr>
        <w:softHyphen/>
        <w:t>вая численное превосходство над со</w:t>
      </w:r>
      <w:r w:rsidRPr="00D03F3E">
        <w:rPr>
          <w:rFonts w:ascii="Times New Roman" w:hAnsi="Times New Roman"/>
          <w:color w:val="000000" w:themeColor="text1"/>
          <w:sz w:val="16"/>
          <w:szCs w:val="16"/>
        </w:rPr>
        <w:softHyphen/>
        <w:t>ветскими истребителями. Сдерживать натиск противника с каждой минутой становилось все труднее, но штурмо</w:t>
      </w:r>
      <w:r w:rsidRPr="00D03F3E">
        <w:rPr>
          <w:rFonts w:ascii="Times New Roman" w:hAnsi="Times New Roman"/>
          <w:color w:val="000000" w:themeColor="text1"/>
          <w:sz w:val="16"/>
          <w:szCs w:val="16"/>
        </w:rPr>
        <w:softHyphen/>
        <w:t>виков в районе цели все еще не было.</w:t>
      </w:r>
    </w:p>
    <w:p w14:paraId="124691E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Несмотря на неважную погоду на маршруте (облачность 8-10 баллов, высота по нижней кромке 800-1000 м, местами слабый дождь с видимостью до 4 км, западнее линии Орел-Болхов ливневые дожди), штурмовики 614-го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сократили отставание от графи</w:t>
      </w:r>
      <w:r w:rsidRPr="00D03F3E">
        <w:rPr>
          <w:rFonts w:ascii="Times New Roman" w:hAnsi="Times New Roman"/>
          <w:color w:val="000000" w:themeColor="text1"/>
          <w:sz w:val="16"/>
          <w:szCs w:val="16"/>
        </w:rPr>
        <w:softHyphen/>
        <w:t>ка, но все равно подошли к аэродро</w:t>
      </w:r>
      <w:r w:rsidRPr="00D03F3E">
        <w:rPr>
          <w:rFonts w:ascii="Times New Roman" w:hAnsi="Times New Roman"/>
          <w:color w:val="000000" w:themeColor="text1"/>
          <w:sz w:val="16"/>
          <w:szCs w:val="16"/>
        </w:rPr>
        <w:softHyphen/>
        <w:t>му Орел-ГВФ с опозданием на 13-15 минут от запланированного срока.</w:t>
      </w:r>
    </w:p>
    <w:p w14:paraId="385741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 моменту их подхода истребители 65-го </w:t>
      </w:r>
      <w:r w:rsidRPr="00D03F3E">
        <w:rPr>
          <w:rFonts w:ascii="Times New Roman" w:hAnsi="Times New Roman"/>
          <w:iCs/>
          <w:color w:val="000000" w:themeColor="text1"/>
          <w:sz w:val="16"/>
          <w:szCs w:val="16"/>
        </w:rPr>
        <w:t xml:space="preserve">гиап </w:t>
      </w:r>
      <w:r w:rsidRPr="00D03F3E">
        <w:rPr>
          <w:rFonts w:ascii="Times New Roman" w:hAnsi="Times New Roman"/>
          <w:color w:val="000000" w:themeColor="text1"/>
          <w:sz w:val="16"/>
          <w:szCs w:val="16"/>
        </w:rPr>
        <w:t xml:space="preserve">уже были </w:t>
      </w:r>
      <w:r w:rsidRPr="00D03F3E">
        <w:rPr>
          <w:rFonts w:ascii="Times New Roman" w:hAnsi="Times New Roman"/>
          <w:iCs/>
          <w:color w:val="000000" w:themeColor="text1"/>
          <w:sz w:val="16"/>
          <w:szCs w:val="16"/>
        </w:rPr>
        <w:t>"на исходе вре</w:t>
      </w:r>
      <w:r w:rsidRPr="00D03F3E">
        <w:rPr>
          <w:rFonts w:ascii="Times New Roman" w:hAnsi="Times New Roman"/>
          <w:iCs/>
          <w:color w:val="000000" w:themeColor="text1"/>
          <w:sz w:val="16"/>
          <w:szCs w:val="16"/>
        </w:rPr>
        <w:softHyphen/>
        <w:t xml:space="preserve">мени" и </w:t>
      </w:r>
      <w:r w:rsidRPr="00D03F3E">
        <w:rPr>
          <w:rFonts w:ascii="Times New Roman" w:hAnsi="Times New Roman"/>
          <w:color w:val="000000" w:themeColor="text1"/>
          <w:sz w:val="16"/>
          <w:szCs w:val="16"/>
        </w:rPr>
        <w:t>постепенно одиночно и пара</w:t>
      </w:r>
      <w:r w:rsidRPr="00D03F3E">
        <w:rPr>
          <w:rFonts w:ascii="Times New Roman" w:hAnsi="Times New Roman"/>
          <w:color w:val="000000" w:themeColor="text1"/>
          <w:sz w:val="16"/>
          <w:szCs w:val="16"/>
        </w:rPr>
        <w:softHyphen/>
        <w:t>ми выходили из боя.</w:t>
      </w:r>
    </w:p>
    <w:p w14:paraId="0689DF9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Надо сказать, выбор маршрута по</w:t>
      </w:r>
      <w:r w:rsidRPr="00D03F3E">
        <w:rPr>
          <w:rFonts w:ascii="Times New Roman" w:hAnsi="Times New Roman"/>
          <w:color w:val="000000" w:themeColor="text1"/>
          <w:sz w:val="16"/>
          <w:szCs w:val="16"/>
        </w:rPr>
        <w:softHyphen/>
        <w:t xml:space="preserve">лета штурмовиков к цели был выбран крайне неудачно. Группы 614-го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и 50-го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летели вдоль ж.д. дороги в направлении Мценск-Орел, что исклю</w:t>
      </w:r>
      <w:r w:rsidRPr="00D03F3E">
        <w:rPr>
          <w:rFonts w:ascii="Times New Roman" w:hAnsi="Times New Roman"/>
          <w:color w:val="000000" w:themeColor="text1"/>
          <w:sz w:val="16"/>
          <w:szCs w:val="16"/>
        </w:rPr>
        <w:softHyphen/>
        <w:t>чало внезапность удара, так как про</w:t>
      </w:r>
      <w:r w:rsidRPr="00D03F3E">
        <w:rPr>
          <w:rFonts w:ascii="Times New Roman" w:hAnsi="Times New Roman"/>
          <w:color w:val="000000" w:themeColor="text1"/>
          <w:sz w:val="16"/>
          <w:szCs w:val="16"/>
        </w:rPr>
        <w:softHyphen/>
        <w:t>тивник, имея вдоль нее многочислен</w:t>
      </w:r>
      <w:r w:rsidRPr="00D03F3E">
        <w:rPr>
          <w:rFonts w:ascii="Times New Roman" w:hAnsi="Times New Roman"/>
          <w:color w:val="000000" w:themeColor="text1"/>
          <w:sz w:val="16"/>
          <w:szCs w:val="16"/>
        </w:rPr>
        <w:softHyphen/>
        <w:t>ные посты оповещения, своевременно получил информацию о пролете боль</w:t>
      </w:r>
      <w:r w:rsidRPr="00D03F3E">
        <w:rPr>
          <w:rFonts w:ascii="Times New Roman" w:hAnsi="Times New Roman"/>
          <w:color w:val="000000" w:themeColor="text1"/>
          <w:sz w:val="16"/>
          <w:szCs w:val="16"/>
        </w:rPr>
        <w:softHyphen/>
        <w:t>шой группы советских самолетов в направлении на аэродром Орел-ГВФ, привел в готовность все зенитные сред</w:t>
      </w:r>
      <w:r w:rsidRPr="00D03F3E">
        <w:rPr>
          <w:rFonts w:ascii="Times New Roman" w:hAnsi="Times New Roman"/>
          <w:color w:val="000000" w:themeColor="text1"/>
          <w:sz w:val="16"/>
          <w:szCs w:val="16"/>
        </w:rPr>
        <w:softHyphen/>
        <w:t>ства и сосредоточил в район аэродро</w:t>
      </w:r>
      <w:r w:rsidRPr="00D03F3E">
        <w:rPr>
          <w:rFonts w:ascii="Times New Roman" w:hAnsi="Times New Roman"/>
          <w:color w:val="000000" w:themeColor="text1"/>
          <w:sz w:val="16"/>
          <w:szCs w:val="16"/>
        </w:rPr>
        <w:softHyphen/>
        <w:t>ма большое количество своих истре</w:t>
      </w:r>
      <w:r w:rsidRPr="00D03F3E">
        <w:rPr>
          <w:rFonts w:ascii="Times New Roman" w:hAnsi="Times New Roman"/>
          <w:color w:val="000000" w:themeColor="text1"/>
          <w:sz w:val="16"/>
          <w:szCs w:val="16"/>
        </w:rPr>
        <w:softHyphen/>
        <w:t>бителей.</w:t>
      </w:r>
    </w:p>
    <w:p w14:paraId="725490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"Из беседы с летчиками-истребите</w:t>
      </w:r>
      <w:r w:rsidRPr="00D03F3E">
        <w:rPr>
          <w:rFonts w:ascii="Times New Roman" w:hAnsi="Times New Roman"/>
          <w:iCs/>
          <w:color w:val="000000" w:themeColor="text1"/>
          <w:sz w:val="16"/>
          <w:szCs w:val="16"/>
        </w:rPr>
        <w:softHyphen/>
        <w:t>лями сопровождения штурмовиков ус</w:t>
      </w:r>
      <w:r w:rsidRPr="00D03F3E">
        <w:rPr>
          <w:rFonts w:ascii="Times New Roman" w:hAnsi="Times New Roman"/>
          <w:iCs/>
          <w:color w:val="000000" w:themeColor="text1"/>
          <w:sz w:val="16"/>
          <w:szCs w:val="16"/>
        </w:rPr>
        <w:softHyphen/>
        <w:t xml:space="preserve">тановлено", </w:t>
      </w:r>
      <w:r w:rsidRPr="00D03F3E">
        <w:rPr>
          <w:rFonts w:ascii="Times New Roman" w:hAnsi="Times New Roman"/>
          <w:color w:val="000000" w:themeColor="text1"/>
          <w:sz w:val="16"/>
          <w:szCs w:val="16"/>
        </w:rPr>
        <w:t xml:space="preserve">что после перелета линии фронта штурмовики 614-го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все время обстреливались зенитной артил</w:t>
      </w:r>
      <w:r w:rsidRPr="00D03F3E">
        <w:rPr>
          <w:rFonts w:ascii="Times New Roman" w:hAnsi="Times New Roman"/>
          <w:color w:val="000000" w:themeColor="text1"/>
          <w:sz w:val="16"/>
          <w:szCs w:val="16"/>
        </w:rPr>
        <w:softHyphen/>
        <w:t>лерией и были атакованы отдельными парами и звеньями истребителей про</w:t>
      </w:r>
      <w:r w:rsidRPr="00D03F3E">
        <w:rPr>
          <w:rFonts w:ascii="Times New Roman" w:hAnsi="Times New Roman"/>
          <w:color w:val="000000" w:themeColor="text1"/>
          <w:sz w:val="16"/>
          <w:szCs w:val="16"/>
        </w:rPr>
        <w:softHyphen/>
        <w:t xml:space="preserve">тивника. Атаки пилотов люфтваффе успешно отражались </w:t>
      </w:r>
      <w:r w:rsidRPr="00D03F3E">
        <w:rPr>
          <w:rFonts w:ascii="Times New Roman" w:hAnsi="Times New Roman"/>
          <w:color w:val="000000" w:themeColor="text1"/>
          <w:sz w:val="16"/>
          <w:szCs w:val="16"/>
        </w:rPr>
        <w:lastRenderedPageBreak/>
        <w:t xml:space="preserve">истребителями прикрытия и воздушными стрелками. В районе аэродрома сопровождающие истребители были атакованы сразу 10 ру/190 с </w:t>
      </w:r>
      <w:r w:rsidRPr="00D03F3E">
        <w:rPr>
          <w:rFonts w:ascii="Times New Roman" w:hAnsi="Times New Roman"/>
          <w:iCs/>
          <w:color w:val="000000" w:themeColor="text1"/>
          <w:sz w:val="16"/>
          <w:szCs w:val="16"/>
        </w:rPr>
        <w:t>"последующим наращивани</w:t>
      </w:r>
      <w:r w:rsidRPr="00D03F3E">
        <w:rPr>
          <w:rFonts w:ascii="Times New Roman" w:hAnsi="Times New Roman"/>
          <w:iCs/>
          <w:color w:val="000000" w:themeColor="text1"/>
          <w:sz w:val="16"/>
          <w:szCs w:val="16"/>
        </w:rPr>
        <w:softHyphen/>
        <w:t xml:space="preserve">ем сил". </w:t>
      </w:r>
      <w:r w:rsidRPr="00D03F3E">
        <w:rPr>
          <w:rFonts w:ascii="Times New Roman" w:hAnsi="Times New Roman"/>
          <w:color w:val="000000" w:themeColor="text1"/>
          <w:sz w:val="16"/>
          <w:szCs w:val="16"/>
        </w:rPr>
        <w:t xml:space="preserve">Пилотам люфтваффе удалось отсечь истребителей 50-го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от при</w:t>
      </w:r>
      <w:r w:rsidRPr="00D03F3E">
        <w:rPr>
          <w:rFonts w:ascii="Times New Roman" w:hAnsi="Times New Roman"/>
          <w:color w:val="000000" w:themeColor="text1"/>
          <w:sz w:val="16"/>
          <w:szCs w:val="16"/>
        </w:rPr>
        <w:softHyphen/>
        <w:t>крываемых групп Ил-2. Штурмовики остались без защиты, но развернуться в боевой порядок для атаки экипажам все же удалось.</w:t>
      </w:r>
    </w:p>
    <w:p w14:paraId="312B2D9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нанесения удара по целям на аэродроме Ил-2 перешли на бре</w:t>
      </w:r>
      <w:r w:rsidRPr="00D03F3E">
        <w:rPr>
          <w:rFonts w:ascii="Times New Roman" w:hAnsi="Times New Roman"/>
          <w:color w:val="000000" w:themeColor="text1"/>
          <w:sz w:val="16"/>
          <w:szCs w:val="16"/>
        </w:rPr>
        <w:softHyphen/>
        <w:t>ющий полет и начали выходить на свою территорию. Связанные воздушным боем истребители сопровождения по</w:t>
      </w:r>
      <w:r w:rsidRPr="00D03F3E">
        <w:rPr>
          <w:rFonts w:ascii="Times New Roman" w:hAnsi="Times New Roman"/>
          <w:color w:val="000000" w:themeColor="text1"/>
          <w:sz w:val="16"/>
          <w:szCs w:val="16"/>
        </w:rPr>
        <w:softHyphen/>
        <w:t>теряли штурмовиков из виду. В резуль</w:t>
      </w:r>
      <w:r w:rsidRPr="00D03F3E">
        <w:rPr>
          <w:rFonts w:ascii="Times New Roman" w:hAnsi="Times New Roman"/>
          <w:color w:val="000000" w:themeColor="text1"/>
          <w:sz w:val="16"/>
          <w:szCs w:val="16"/>
        </w:rPr>
        <w:softHyphen/>
        <w:t xml:space="preserve">тате </w:t>
      </w:r>
      <w:r w:rsidRPr="00D03F3E">
        <w:rPr>
          <w:rFonts w:ascii="Times New Roman" w:hAnsi="Times New Roman"/>
          <w:iCs/>
          <w:color w:val="000000" w:themeColor="text1"/>
          <w:sz w:val="16"/>
          <w:szCs w:val="16"/>
        </w:rPr>
        <w:t xml:space="preserve">"...вся группа 12 Ил-2 с </w:t>
      </w:r>
      <w:r w:rsidRPr="00D03F3E">
        <w:rPr>
          <w:rFonts w:ascii="Times New Roman" w:hAnsi="Times New Roman"/>
          <w:color w:val="000000" w:themeColor="text1"/>
          <w:sz w:val="16"/>
          <w:szCs w:val="16"/>
        </w:rPr>
        <w:t xml:space="preserve">задания </w:t>
      </w:r>
      <w:r w:rsidRPr="00D03F3E">
        <w:rPr>
          <w:rFonts w:ascii="Times New Roman" w:hAnsi="Times New Roman"/>
          <w:iCs/>
          <w:color w:val="000000" w:themeColor="text1"/>
          <w:sz w:val="16"/>
          <w:szCs w:val="16"/>
        </w:rPr>
        <w:t xml:space="preserve">не возвратилась". </w:t>
      </w:r>
      <w:r w:rsidRPr="00D03F3E">
        <w:rPr>
          <w:rFonts w:ascii="Times New Roman" w:hAnsi="Times New Roman"/>
          <w:color w:val="000000" w:themeColor="text1"/>
          <w:sz w:val="16"/>
          <w:szCs w:val="16"/>
        </w:rPr>
        <w:t>Никаких следов эки</w:t>
      </w:r>
      <w:r w:rsidRPr="00D03F3E">
        <w:rPr>
          <w:rFonts w:ascii="Times New Roman" w:hAnsi="Times New Roman"/>
          <w:color w:val="000000" w:themeColor="text1"/>
          <w:sz w:val="16"/>
          <w:szCs w:val="16"/>
        </w:rPr>
        <w:softHyphen/>
        <w:t>пажей на нашей территории не обна</w:t>
      </w:r>
      <w:r w:rsidRPr="00D03F3E">
        <w:rPr>
          <w:rFonts w:ascii="Times New Roman" w:hAnsi="Times New Roman"/>
          <w:color w:val="000000" w:themeColor="text1"/>
          <w:sz w:val="16"/>
          <w:szCs w:val="16"/>
        </w:rPr>
        <w:softHyphen/>
        <w:t>ружено. Точной причины не установ</w:t>
      </w:r>
      <w:r w:rsidRPr="00D03F3E">
        <w:rPr>
          <w:rFonts w:ascii="Times New Roman" w:hAnsi="Times New Roman"/>
          <w:color w:val="000000" w:themeColor="text1"/>
          <w:sz w:val="16"/>
          <w:szCs w:val="16"/>
        </w:rPr>
        <w:softHyphen/>
        <w:t>лено. По всей видимости, все экипажи были сбиты огнем зенитной артилле</w:t>
      </w:r>
      <w:r w:rsidRPr="00D03F3E">
        <w:rPr>
          <w:rFonts w:ascii="Times New Roman" w:hAnsi="Times New Roman"/>
          <w:color w:val="000000" w:themeColor="text1"/>
          <w:sz w:val="16"/>
          <w:szCs w:val="16"/>
        </w:rPr>
        <w:softHyphen/>
        <w:t>рии и истребителями противника.</w:t>
      </w:r>
    </w:p>
    <w:p w14:paraId="6081CD3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боевого задания не возвратились: штурман полка к-н А. Н. Смирнов (воз</w:t>
      </w:r>
      <w:r w:rsidRPr="00D03F3E">
        <w:rPr>
          <w:rFonts w:ascii="Times New Roman" w:hAnsi="Times New Roman"/>
          <w:color w:val="000000" w:themeColor="text1"/>
          <w:sz w:val="16"/>
          <w:szCs w:val="16"/>
        </w:rPr>
        <w:softHyphen/>
        <w:t>душный стрелок ст. сержант В. М. Ев-сеенко), помощник командира полка во воздушно-стрелковой службе к-н П. Е. Астапенко (воздушный стрелок мл. сержант Н. Н. Кропотов), старший лет</w:t>
      </w:r>
      <w:r w:rsidRPr="00D03F3E">
        <w:rPr>
          <w:rFonts w:ascii="Times New Roman" w:hAnsi="Times New Roman"/>
          <w:color w:val="000000" w:themeColor="text1"/>
          <w:sz w:val="16"/>
          <w:szCs w:val="16"/>
        </w:rPr>
        <w:softHyphen/>
        <w:t>чик мл. л-т П. В. Варапаев (воздушный стрелок мл. сержант Я. П. Кузнецов), командир звена мл. л-т А. Ф. Гамынин (воздушный стрелок мл. сержант М. Я. Ламцов), стажер в должности коман дира эскадрильи к-н А. С. Ковган (воз</w:t>
      </w:r>
      <w:r w:rsidRPr="00D03F3E">
        <w:rPr>
          <w:rFonts w:ascii="Times New Roman" w:hAnsi="Times New Roman"/>
          <w:color w:val="000000" w:themeColor="text1"/>
          <w:sz w:val="16"/>
          <w:szCs w:val="16"/>
        </w:rPr>
        <w:softHyphen/>
        <w:t>душный стрелок ст. сержант М. В. Пой-манов), командир звена л-т И. А, Кос-мачев (воздушный стрелок мл. сержант И. И. Лейман), мл. л-т В. И. Крамар (воздушный стрелок мл. сержант Б. И. Кислицин), мл. л-т Н. С. Чеботарев (воз</w:t>
      </w:r>
      <w:r w:rsidRPr="00D03F3E">
        <w:rPr>
          <w:rFonts w:ascii="Times New Roman" w:hAnsi="Times New Roman"/>
          <w:color w:val="000000" w:themeColor="text1"/>
          <w:sz w:val="16"/>
          <w:szCs w:val="16"/>
        </w:rPr>
        <w:softHyphen/>
        <w:t>душный стрелок сержант М. М. Хав-лин), ст. сержант Е. Л. Сабуров (воз</w:t>
      </w:r>
      <w:r w:rsidRPr="00D03F3E">
        <w:rPr>
          <w:rFonts w:ascii="Times New Roman" w:hAnsi="Times New Roman"/>
          <w:color w:val="000000" w:themeColor="text1"/>
          <w:sz w:val="16"/>
          <w:szCs w:val="16"/>
        </w:rPr>
        <w:softHyphen/>
        <w:t>душный стрелок сержант Н. И. Гаври-лин), сержант Г. С. Сорокин (воздуш</w:t>
      </w:r>
      <w:r w:rsidRPr="00D03F3E">
        <w:rPr>
          <w:rFonts w:ascii="Times New Roman" w:hAnsi="Times New Roman"/>
          <w:color w:val="000000" w:themeColor="text1"/>
          <w:sz w:val="16"/>
          <w:szCs w:val="16"/>
        </w:rPr>
        <w:softHyphen/>
        <w:t>ный стрелок сержант И. И. Елисеев), мл. л-т Г. Г. Мальцев (воздушный стре</w:t>
      </w:r>
      <w:r w:rsidRPr="00D03F3E">
        <w:rPr>
          <w:rFonts w:ascii="Times New Roman" w:hAnsi="Times New Roman"/>
          <w:color w:val="000000" w:themeColor="text1"/>
          <w:sz w:val="16"/>
          <w:szCs w:val="16"/>
        </w:rPr>
        <w:softHyphen/>
        <w:t>лок сержант Н. Ф. Ковалев), мл. л-т А. В. Резинкин (воздушный стрелок сер</w:t>
      </w:r>
      <w:r w:rsidRPr="00D03F3E">
        <w:rPr>
          <w:rFonts w:ascii="Times New Roman" w:hAnsi="Times New Roman"/>
          <w:color w:val="000000" w:themeColor="text1"/>
          <w:sz w:val="16"/>
          <w:szCs w:val="16"/>
        </w:rPr>
        <w:softHyphen/>
        <w:t>жант М. И. Баклань).</w:t>
      </w:r>
    </w:p>
    <w:p w14:paraId="6EAA36A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наблюдению большинства лет</w:t>
      </w:r>
      <w:r w:rsidRPr="00D03F3E">
        <w:rPr>
          <w:rFonts w:ascii="Times New Roman" w:hAnsi="Times New Roman"/>
          <w:color w:val="000000" w:themeColor="text1"/>
          <w:sz w:val="16"/>
          <w:szCs w:val="16"/>
        </w:rPr>
        <w:softHyphen/>
        <w:t>чиков-истребителей из группы сопро</w:t>
      </w:r>
      <w:r w:rsidRPr="00D03F3E">
        <w:rPr>
          <w:rFonts w:ascii="Times New Roman" w:hAnsi="Times New Roman"/>
          <w:color w:val="000000" w:themeColor="text1"/>
          <w:sz w:val="16"/>
          <w:szCs w:val="16"/>
        </w:rPr>
        <w:softHyphen/>
        <w:t>вождения и блокирующей группы, штур</w:t>
      </w:r>
      <w:r w:rsidRPr="00D03F3E">
        <w:rPr>
          <w:rFonts w:ascii="Times New Roman" w:hAnsi="Times New Roman"/>
          <w:color w:val="000000" w:themeColor="text1"/>
          <w:sz w:val="16"/>
          <w:szCs w:val="16"/>
        </w:rPr>
        <w:softHyphen/>
        <w:t xml:space="preserve">мовики свою задачу выполнили: удар по аэродрому нанесли, в результате чего на аэродроме </w:t>
      </w:r>
      <w:r w:rsidRPr="00D03F3E">
        <w:rPr>
          <w:rFonts w:ascii="Times New Roman" w:hAnsi="Times New Roman"/>
          <w:iCs/>
          <w:color w:val="000000" w:themeColor="text1"/>
          <w:sz w:val="16"/>
          <w:szCs w:val="16"/>
        </w:rPr>
        <w:t>"было создано 7-10 очагов пожара".</w:t>
      </w:r>
    </w:p>
    <w:p w14:paraId="130095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Как следует из акта расследования причин летных боевых потерь 614-го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при ударе по аэродрому Орел-ГВФ 8 июня, на случай встречи с ис</w:t>
      </w:r>
      <w:r w:rsidRPr="00D03F3E">
        <w:rPr>
          <w:rFonts w:ascii="Times New Roman" w:hAnsi="Times New Roman"/>
          <w:color w:val="000000" w:themeColor="text1"/>
          <w:sz w:val="16"/>
          <w:szCs w:val="16"/>
        </w:rPr>
        <w:softHyphen/>
        <w:t xml:space="preserve">требительной авиацией противника штурмовики должны были </w:t>
      </w:r>
      <w:r w:rsidRPr="00D03F3E">
        <w:rPr>
          <w:rFonts w:ascii="Times New Roman" w:hAnsi="Times New Roman"/>
          <w:iCs/>
          <w:color w:val="000000" w:themeColor="text1"/>
          <w:sz w:val="16"/>
          <w:szCs w:val="16"/>
        </w:rPr>
        <w:t xml:space="preserve">"встать в круг с оттяжкой на свою территорию, ведя оборонительный огонь летчиками и воздушными стрелками". </w:t>
      </w:r>
      <w:r w:rsidRPr="00D03F3E">
        <w:rPr>
          <w:rFonts w:ascii="Times New Roman" w:hAnsi="Times New Roman"/>
          <w:color w:val="000000" w:themeColor="text1"/>
          <w:sz w:val="16"/>
          <w:szCs w:val="16"/>
        </w:rPr>
        <w:t>Однако штур</w:t>
      </w:r>
      <w:r w:rsidRPr="00D03F3E">
        <w:rPr>
          <w:rFonts w:ascii="Times New Roman" w:hAnsi="Times New Roman"/>
          <w:color w:val="000000" w:themeColor="text1"/>
          <w:sz w:val="16"/>
          <w:szCs w:val="16"/>
        </w:rPr>
        <w:softHyphen/>
        <w:t>мовики организованного воздушного боя с истребителями противника не вели. При этом возвращение штурмо</w:t>
      </w:r>
      <w:r w:rsidRPr="00D03F3E">
        <w:rPr>
          <w:rFonts w:ascii="Times New Roman" w:hAnsi="Times New Roman"/>
          <w:color w:val="000000" w:themeColor="text1"/>
          <w:sz w:val="16"/>
          <w:szCs w:val="16"/>
        </w:rPr>
        <w:softHyphen/>
        <w:t xml:space="preserve">виков 3-го </w:t>
      </w:r>
      <w:r w:rsidRPr="00D03F3E">
        <w:rPr>
          <w:rFonts w:ascii="Times New Roman" w:hAnsi="Times New Roman"/>
          <w:iCs/>
          <w:color w:val="000000" w:themeColor="text1"/>
          <w:sz w:val="16"/>
          <w:szCs w:val="16"/>
        </w:rPr>
        <w:t xml:space="preserve">шак </w:t>
      </w:r>
      <w:r w:rsidRPr="00D03F3E">
        <w:rPr>
          <w:rFonts w:ascii="Times New Roman" w:hAnsi="Times New Roman"/>
          <w:color w:val="000000" w:themeColor="text1"/>
          <w:sz w:val="16"/>
          <w:szCs w:val="16"/>
        </w:rPr>
        <w:t>из района Шашкино позволило противнику сосредоточить в районе аэродрома Орел-ГВФ все силы своих истребителей в воздухе, которые могли массированно "рабо</w:t>
      </w:r>
      <w:r w:rsidRPr="00D03F3E">
        <w:rPr>
          <w:rFonts w:ascii="Times New Roman" w:hAnsi="Times New Roman"/>
          <w:color w:val="000000" w:themeColor="text1"/>
          <w:sz w:val="16"/>
          <w:szCs w:val="16"/>
        </w:rPr>
        <w:softHyphen/>
        <w:t xml:space="preserve">тать" по группе Ил-2 от 614-го </w:t>
      </w:r>
      <w:r w:rsidRPr="00D03F3E">
        <w:rPr>
          <w:rFonts w:ascii="Times New Roman" w:hAnsi="Times New Roman"/>
          <w:iCs/>
          <w:color w:val="000000" w:themeColor="text1"/>
          <w:sz w:val="16"/>
          <w:szCs w:val="16"/>
        </w:rPr>
        <w:t>шап.</w:t>
      </w:r>
    </w:p>
    <w:p w14:paraId="1875B15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докладу ведущего группы истре</w:t>
      </w:r>
      <w:r w:rsidRPr="00D03F3E">
        <w:rPr>
          <w:rFonts w:ascii="Times New Roman" w:hAnsi="Times New Roman"/>
          <w:color w:val="000000" w:themeColor="text1"/>
          <w:sz w:val="16"/>
          <w:szCs w:val="16"/>
        </w:rPr>
        <w:softHyphen/>
        <w:t>бителей прикрытия, он был связан воз</w:t>
      </w:r>
      <w:r w:rsidRPr="00D03F3E">
        <w:rPr>
          <w:rFonts w:ascii="Times New Roman" w:hAnsi="Times New Roman"/>
          <w:color w:val="000000" w:themeColor="text1"/>
          <w:sz w:val="16"/>
          <w:szCs w:val="16"/>
        </w:rPr>
        <w:softHyphen/>
        <w:t>душным боем истребителями против</w:t>
      </w:r>
      <w:r w:rsidRPr="00D03F3E">
        <w:rPr>
          <w:rFonts w:ascii="Times New Roman" w:hAnsi="Times New Roman"/>
          <w:color w:val="000000" w:themeColor="text1"/>
          <w:sz w:val="16"/>
          <w:szCs w:val="16"/>
        </w:rPr>
        <w:softHyphen/>
        <w:t>ника, последний раз видел штурмови</w:t>
      </w:r>
      <w:r w:rsidRPr="00D03F3E">
        <w:rPr>
          <w:rFonts w:ascii="Times New Roman" w:hAnsi="Times New Roman"/>
          <w:color w:val="000000" w:themeColor="text1"/>
          <w:sz w:val="16"/>
          <w:szCs w:val="16"/>
        </w:rPr>
        <w:softHyphen/>
        <w:t>ков в момент атаки ими аэродрома. Один из ведомых мл. л-т Димитрук по</w:t>
      </w:r>
      <w:r w:rsidRPr="00D03F3E">
        <w:rPr>
          <w:rFonts w:ascii="Times New Roman" w:hAnsi="Times New Roman"/>
          <w:color w:val="000000" w:themeColor="text1"/>
          <w:sz w:val="16"/>
          <w:szCs w:val="16"/>
        </w:rPr>
        <w:softHyphen/>
        <w:t>казал, что он после отражения атак истребителей противника нагнал 4 Ил-2, которые шли на бреющем полете вдоль р. Ока, и сопровождал их до Мценска. В районе лесного массива западнее ст. Думчино в 15-20 км юж</w:t>
      </w:r>
      <w:r w:rsidRPr="00D03F3E">
        <w:rPr>
          <w:rFonts w:ascii="Times New Roman" w:hAnsi="Times New Roman"/>
          <w:color w:val="000000" w:themeColor="text1"/>
          <w:sz w:val="16"/>
          <w:szCs w:val="16"/>
        </w:rPr>
        <w:softHyphen/>
        <w:t>нее Мценска один Ил-2, подбитый зе</w:t>
      </w:r>
      <w:r w:rsidRPr="00D03F3E">
        <w:rPr>
          <w:rFonts w:ascii="Times New Roman" w:hAnsi="Times New Roman"/>
          <w:color w:val="000000" w:themeColor="text1"/>
          <w:sz w:val="16"/>
          <w:szCs w:val="16"/>
        </w:rPr>
        <w:softHyphen/>
        <w:t>нитным огнем, загорелся и упал. Ос</w:t>
      </w:r>
      <w:r w:rsidRPr="00D03F3E">
        <w:rPr>
          <w:rFonts w:ascii="Times New Roman" w:hAnsi="Times New Roman"/>
          <w:color w:val="000000" w:themeColor="text1"/>
          <w:sz w:val="16"/>
          <w:szCs w:val="16"/>
        </w:rPr>
        <w:softHyphen/>
        <w:t>тавшиеся три штурмовика стали раз</w:t>
      </w:r>
      <w:r w:rsidRPr="00D03F3E">
        <w:rPr>
          <w:rFonts w:ascii="Times New Roman" w:hAnsi="Times New Roman"/>
          <w:color w:val="000000" w:themeColor="text1"/>
          <w:sz w:val="16"/>
          <w:szCs w:val="16"/>
        </w:rPr>
        <w:softHyphen/>
        <w:t>ворачиваться вправо для выхода на свою территорию. В этот момент Ди</w:t>
      </w:r>
      <w:r w:rsidRPr="00D03F3E">
        <w:rPr>
          <w:rFonts w:ascii="Times New Roman" w:hAnsi="Times New Roman"/>
          <w:color w:val="000000" w:themeColor="text1"/>
          <w:sz w:val="16"/>
          <w:szCs w:val="16"/>
        </w:rPr>
        <w:softHyphen/>
        <w:t>митрук потерял штурмовиков на фоне леса и больше их не видел.</w:t>
      </w:r>
    </w:p>
    <w:p w14:paraId="76221BA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Характерно, что при докладе наверх эти данные штабом 15-й ВА были под-корректированы. В оперативной свод</w:t>
      </w:r>
      <w:r w:rsidRPr="00D03F3E">
        <w:rPr>
          <w:rFonts w:ascii="Times New Roman" w:hAnsi="Times New Roman"/>
          <w:color w:val="000000" w:themeColor="text1"/>
          <w:sz w:val="16"/>
          <w:szCs w:val="16"/>
        </w:rPr>
        <w:softHyphen/>
        <w:t>ке штаба армии за 8 июня официаль</w:t>
      </w:r>
      <w:r w:rsidRPr="00D03F3E">
        <w:rPr>
          <w:rFonts w:ascii="Times New Roman" w:hAnsi="Times New Roman"/>
          <w:color w:val="000000" w:themeColor="text1"/>
          <w:sz w:val="16"/>
          <w:szCs w:val="16"/>
        </w:rPr>
        <w:softHyphen/>
        <w:t>но было учтено 8 уничтоженных само</w:t>
      </w:r>
      <w:r w:rsidRPr="00D03F3E">
        <w:rPr>
          <w:rFonts w:ascii="Times New Roman" w:hAnsi="Times New Roman"/>
          <w:color w:val="000000" w:themeColor="text1"/>
          <w:sz w:val="16"/>
          <w:szCs w:val="16"/>
        </w:rPr>
        <w:softHyphen/>
        <w:t>летов противника.</w:t>
      </w:r>
    </w:p>
    <w:p w14:paraId="158B612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воздушного боя истребите</w:t>
      </w:r>
      <w:r w:rsidRPr="00D03F3E">
        <w:rPr>
          <w:rFonts w:ascii="Times New Roman" w:hAnsi="Times New Roman"/>
          <w:color w:val="000000" w:themeColor="text1"/>
          <w:sz w:val="16"/>
          <w:szCs w:val="16"/>
        </w:rPr>
        <w:softHyphen/>
        <w:t xml:space="preserve">ли прикрытия от 50-го </w:t>
      </w:r>
      <w:r w:rsidRPr="00D03F3E">
        <w:rPr>
          <w:rFonts w:ascii="Times New Roman" w:hAnsi="Times New Roman"/>
          <w:iCs/>
          <w:color w:val="000000" w:themeColor="text1"/>
          <w:sz w:val="16"/>
          <w:szCs w:val="16"/>
        </w:rPr>
        <w:t xml:space="preserve">иап сбили 4 </w:t>
      </w:r>
      <w:r w:rsidRPr="00D03F3E">
        <w:rPr>
          <w:rFonts w:ascii="Times New Roman" w:hAnsi="Times New Roman"/>
          <w:color w:val="000000" w:themeColor="text1"/>
          <w:sz w:val="16"/>
          <w:szCs w:val="16"/>
        </w:rPr>
        <w:t>ру/190, но и сами потеряли трех лет</w:t>
      </w:r>
      <w:r w:rsidRPr="00D03F3E">
        <w:rPr>
          <w:rFonts w:ascii="Times New Roman" w:hAnsi="Times New Roman"/>
          <w:color w:val="000000" w:themeColor="text1"/>
          <w:sz w:val="16"/>
          <w:szCs w:val="16"/>
        </w:rPr>
        <w:softHyphen/>
        <w:t>чиков: на свой аэродром не вернулись мл. л-т Коротких, мл. л-т Михайлов и ст. сержант Журавлев. Кроме этого, мл. л-т Жучков из этого же полка был ранен, а его самолет - подбит. Летчик сумел дотянуть до аэродрома Вы-ползово, но при посадке потерпел ка</w:t>
      </w:r>
      <w:r w:rsidRPr="00D03F3E">
        <w:rPr>
          <w:rFonts w:ascii="Times New Roman" w:hAnsi="Times New Roman"/>
          <w:color w:val="000000" w:themeColor="text1"/>
          <w:sz w:val="16"/>
          <w:szCs w:val="16"/>
        </w:rPr>
        <w:softHyphen/>
        <w:t>тастрофу и погиб. Вынужденные посад</w:t>
      </w:r>
      <w:r w:rsidRPr="00D03F3E">
        <w:rPr>
          <w:rFonts w:ascii="Times New Roman" w:hAnsi="Times New Roman"/>
          <w:color w:val="000000" w:themeColor="text1"/>
          <w:sz w:val="16"/>
          <w:szCs w:val="16"/>
        </w:rPr>
        <w:softHyphen/>
        <w:t>ки на свой аэродром на подбитых са</w:t>
      </w:r>
      <w:r w:rsidRPr="00D03F3E">
        <w:rPr>
          <w:rFonts w:ascii="Times New Roman" w:hAnsi="Times New Roman"/>
          <w:color w:val="000000" w:themeColor="text1"/>
          <w:sz w:val="16"/>
          <w:szCs w:val="16"/>
        </w:rPr>
        <w:softHyphen/>
        <w:t>молетах совершили также мл. лейте</w:t>
      </w:r>
      <w:r w:rsidRPr="00D03F3E">
        <w:rPr>
          <w:rFonts w:ascii="Times New Roman" w:hAnsi="Times New Roman"/>
          <w:color w:val="000000" w:themeColor="text1"/>
          <w:sz w:val="16"/>
          <w:szCs w:val="16"/>
        </w:rPr>
        <w:softHyphen/>
        <w:t>нанты Голяк и Кравцов.</w:t>
      </w:r>
    </w:p>
    <w:p w14:paraId="1F1A274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Истребителями 1-го </w:t>
      </w:r>
      <w:r w:rsidRPr="00D03F3E">
        <w:rPr>
          <w:rFonts w:ascii="Times New Roman" w:hAnsi="Times New Roman"/>
          <w:iCs/>
          <w:color w:val="000000" w:themeColor="text1"/>
          <w:sz w:val="16"/>
          <w:szCs w:val="16"/>
        </w:rPr>
        <w:t xml:space="preserve">гиак </w:t>
      </w:r>
      <w:r w:rsidRPr="00D03F3E">
        <w:rPr>
          <w:rFonts w:ascii="Times New Roman" w:hAnsi="Times New Roman"/>
          <w:color w:val="000000" w:themeColor="text1"/>
          <w:sz w:val="16"/>
          <w:szCs w:val="16"/>
        </w:rPr>
        <w:t>в общей сложности было проведено 5 группо</w:t>
      </w:r>
      <w:r w:rsidRPr="00D03F3E">
        <w:rPr>
          <w:rFonts w:ascii="Times New Roman" w:hAnsi="Times New Roman"/>
          <w:color w:val="000000" w:themeColor="text1"/>
          <w:sz w:val="16"/>
          <w:szCs w:val="16"/>
        </w:rPr>
        <w:softHyphen/>
        <w:t>вых воздушных боев с группами по 4-8 самолетов Ме109 и ФВ190, в ходе ко</w:t>
      </w:r>
      <w:r w:rsidRPr="00D03F3E">
        <w:rPr>
          <w:rFonts w:ascii="Times New Roman" w:hAnsi="Times New Roman"/>
          <w:color w:val="000000" w:themeColor="text1"/>
          <w:sz w:val="16"/>
          <w:szCs w:val="16"/>
        </w:rPr>
        <w:softHyphen/>
        <w:t>торых противник недосчитался 5 "фок-ке-вульфов" и одного "мессера". По</w:t>
      </w:r>
      <w:r w:rsidRPr="00D03F3E">
        <w:rPr>
          <w:rFonts w:ascii="Times New Roman" w:hAnsi="Times New Roman"/>
          <w:color w:val="000000" w:themeColor="text1"/>
          <w:sz w:val="16"/>
          <w:szCs w:val="16"/>
        </w:rPr>
        <w:softHyphen/>
        <w:t xml:space="preserve">тери корпуса составили 9 самолетов и 7 летчиков. С боевого задания не вернулись мл. лейтенанты Кудрявцев и Валентей - от 63-го </w:t>
      </w:r>
      <w:r w:rsidRPr="00D03F3E">
        <w:rPr>
          <w:rFonts w:ascii="Times New Roman" w:hAnsi="Times New Roman"/>
          <w:iCs/>
          <w:color w:val="000000" w:themeColor="text1"/>
          <w:sz w:val="16"/>
          <w:szCs w:val="16"/>
        </w:rPr>
        <w:t xml:space="preserve">гиап, </w:t>
      </w:r>
      <w:r w:rsidRPr="00D03F3E">
        <w:rPr>
          <w:rFonts w:ascii="Times New Roman" w:hAnsi="Times New Roman"/>
          <w:color w:val="000000" w:themeColor="text1"/>
          <w:sz w:val="16"/>
          <w:szCs w:val="16"/>
        </w:rPr>
        <w:t xml:space="preserve">л-т Заикин и мл. лейтенанты Мацина и Дрозд — от 64-го </w:t>
      </w:r>
      <w:r w:rsidRPr="00D03F3E">
        <w:rPr>
          <w:rFonts w:ascii="Times New Roman" w:hAnsi="Times New Roman"/>
          <w:iCs/>
          <w:color w:val="000000" w:themeColor="text1"/>
          <w:sz w:val="16"/>
          <w:szCs w:val="16"/>
        </w:rPr>
        <w:t xml:space="preserve">гиап, </w:t>
      </w:r>
      <w:r w:rsidRPr="00D03F3E">
        <w:rPr>
          <w:rFonts w:ascii="Times New Roman" w:hAnsi="Times New Roman"/>
          <w:color w:val="000000" w:themeColor="text1"/>
          <w:sz w:val="16"/>
          <w:szCs w:val="16"/>
        </w:rPr>
        <w:t xml:space="preserve">л-т Жуков и мл. л-т Лап-шенков - от 65-го </w:t>
      </w:r>
      <w:r w:rsidRPr="00D03F3E">
        <w:rPr>
          <w:rFonts w:ascii="Times New Roman" w:hAnsi="Times New Roman"/>
          <w:iCs/>
          <w:color w:val="000000" w:themeColor="text1"/>
          <w:sz w:val="16"/>
          <w:szCs w:val="16"/>
        </w:rPr>
        <w:t xml:space="preserve">гиап. </w:t>
      </w:r>
      <w:r w:rsidRPr="00D03F3E">
        <w:rPr>
          <w:rFonts w:ascii="Times New Roman" w:hAnsi="Times New Roman"/>
          <w:color w:val="000000" w:themeColor="text1"/>
          <w:sz w:val="16"/>
          <w:szCs w:val="16"/>
        </w:rPr>
        <w:t>Старший сер</w:t>
      </w:r>
      <w:r w:rsidRPr="00D03F3E">
        <w:rPr>
          <w:rFonts w:ascii="Times New Roman" w:hAnsi="Times New Roman"/>
          <w:color w:val="000000" w:themeColor="text1"/>
          <w:sz w:val="16"/>
          <w:szCs w:val="16"/>
        </w:rPr>
        <w:softHyphen/>
        <w:t xml:space="preserve">жант Божко из 160-го </w:t>
      </w:r>
      <w:r w:rsidRPr="00D03F3E">
        <w:rPr>
          <w:rFonts w:ascii="Times New Roman" w:hAnsi="Times New Roman"/>
          <w:iCs/>
          <w:color w:val="000000" w:themeColor="text1"/>
          <w:sz w:val="16"/>
          <w:szCs w:val="16"/>
        </w:rPr>
        <w:t xml:space="preserve">иап был </w:t>
      </w:r>
      <w:r w:rsidRPr="00D03F3E">
        <w:rPr>
          <w:rFonts w:ascii="Times New Roman" w:hAnsi="Times New Roman"/>
          <w:color w:val="000000" w:themeColor="text1"/>
          <w:sz w:val="16"/>
          <w:szCs w:val="16"/>
        </w:rPr>
        <w:t>подбит в воздушном бою и совершил вынуж</w:t>
      </w:r>
      <w:r w:rsidRPr="00D03F3E">
        <w:rPr>
          <w:rFonts w:ascii="Times New Roman" w:hAnsi="Times New Roman"/>
          <w:color w:val="000000" w:themeColor="text1"/>
          <w:sz w:val="16"/>
          <w:szCs w:val="16"/>
        </w:rPr>
        <w:softHyphen/>
        <w:t>денную посадку в районе Б.Крицыно юго-восточнее Мценска. При посадке его Ла-5 был разбит, а сам летчик получил ранения.</w:t>
      </w:r>
    </w:p>
    <w:p w14:paraId="49608A2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Кроме этого, один "Як" из 65-го </w:t>
      </w:r>
      <w:r w:rsidRPr="00D03F3E">
        <w:rPr>
          <w:rFonts w:ascii="Times New Roman" w:hAnsi="Times New Roman"/>
          <w:iCs/>
          <w:color w:val="000000" w:themeColor="text1"/>
          <w:sz w:val="16"/>
          <w:szCs w:val="16"/>
        </w:rPr>
        <w:t xml:space="preserve">гиап </w:t>
      </w:r>
      <w:r w:rsidRPr="00D03F3E">
        <w:rPr>
          <w:rFonts w:ascii="Times New Roman" w:hAnsi="Times New Roman"/>
          <w:color w:val="000000" w:themeColor="text1"/>
          <w:sz w:val="16"/>
          <w:szCs w:val="16"/>
        </w:rPr>
        <w:t>(мл. л-т Кулиев) произвел вынужденную посадку из-за недостатка горючего в районе Пруды юго-восточнее Мценска.</w:t>
      </w:r>
    </w:p>
    <w:p w14:paraId="17A1EEF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довершение всех бед возвращав</w:t>
      </w:r>
      <w:r w:rsidRPr="00D03F3E">
        <w:rPr>
          <w:rFonts w:ascii="Times New Roman" w:hAnsi="Times New Roman"/>
          <w:color w:val="000000" w:themeColor="text1"/>
          <w:sz w:val="16"/>
          <w:szCs w:val="16"/>
        </w:rPr>
        <w:softHyphen/>
        <w:t>шиеся с боевого задания на малой вы</w:t>
      </w:r>
      <w:r w:rsidRPr="00D03F3E">
        <w:rPr>
          <w:rFonts w:ascii="Times New Roman" w:hAnsi="Times New Roman"/>
          <w:color w:val="000000" w:themeColor="text1"/>
          <w:sz w:val="16"/>
          <w:szCs w:val="16"/>
        </w:rPr>
        <w:softHyphen/>
        <w:t xml:space="preserve">соте истребители 1-го </w:t>
      </w:r>
      <w:r w:rsidRPr="00D03F3E">
        <w:rPr>
          <w:rFonts w:ascii="Times New Roman" w:hAnsi="Times New Roman"/>
          <w:iCs/>
          <w:color w:val="000000" w:themeColor="text1"/>
          <w:sz w:val="16"/>
          <w:szCs w:val="16"/>
        </w:rPr>
        <w:t xml:space="preserve">гиак </w:t>
      </w:r>
      <w:r w:rsidRPr="00D03F3E">
        <w:rPr>
          <w:rFonts w:ascii="Times New Roman" w:hAnsi="Times New Roman"/>
          <w:color w:val="000000" w:themeColor="text1"/>
          <w:sz w:val="16"/>
          <w:szCs w:val="16"/>
        </w:rPr>
        <w:t>в районе Б.Каменка были обстреляны нашими войсками ружейно-пулеметным огнем. По счастью, ни один самолет серьез</w:t>
      </w:r>
      <w:r w:rsidRPr="00D03F3E">
        <w:rPr>
          <w:rFonts w:ascii="Times New Roman" w:hAnsi="Times New Roman"/>
          <w:color w:val="000000" w:themeColor="text1"/>
          <w:sz w:val="16"/>
          <w:szCs w:val="16"/>
        </w:rPr>
        <w:softHyphen/>
        <w:t>но не пострадал.</w:t>
      </w:r>
    </w:p>
    <w:p w14:paraId="3A583A1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Командир 315-й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п-к В. Я. Лит</w:t>
      </w:r>
      <w:r w:rsidRPr="00D03F3E">
        <w:rPr>
          <w:rFonts w:ascii="Times New Roman" w:hAnsi="Times New Roman"/>
          <w:color w:val="000000" w:themeColor="text1"/>
          <w:sz w:val="16"/>
          <w:szCs w:val="16"/>
        </w:rPr>
        <w:softHyphen/>
        <w:t>винов в отчете о боевой работе диви</w:t>
      </w:r>
      <w:r w:rsidRPr="00D03F3E">
        <w:rPr>
          <w:rFonts w:ascii="Times New Roman" w:hAnsi="Times New Roman"/>
          <w:color w:val="000000" w:themeColor="text1"/>
          <w:sz w:val="16"/>
          <w:szCs w:val="16"/>
        </w:rPr>
        <w:softHyphen/>
        <w:t>зии за 8 июня в качестве основной причины больших потерь штурмовиков и истребителей считал отсутствие опы</w:t>
      </w:r>
      <w:r w:rsidRPr="00D03F3E">
        <w:rPr>
          <w:rFonts w:ascii="Times New Roman" w:hAnsi="Times New Roman"/>
          <w:color w:val="000000" w:themeColor="text1"/>
          <w:sz w:val="16"/>
          <w:szCs w:val="16"/>
        </w:rPr>
        <w:softHyphen/>
        <w:t>та у летного состава как истребите</w:t>
      </w:r>
      <w:r w:rsidRPr="00D03F3E">
        <w:rPr>
          <w:rFonts w:ascii="Times New Roman" w:hAnsi="Times New Roman"/>
          <w:color w:val="000000" w:themeColor="text1"/>
          <w:sz w:val="16"/>
          <w:szCs w:val="16"/>
        </w:rPr>
        <w:softHyphen/>
        <w:t>лей, так и штурмовиков в ведении воз</w:t>
      </w:r>
      <w:r w:rsidRPr="00D03F3E">
        <w:rPr>
          <w:rFonts w:ascii="Times New Roman" w:hAnsi="Times New Roman"/>
          <w:color w:val="000000" w:themeColor="text1"/>
          <w:sz w:val="16"/>
          <w:szCs w:val="16"/>
        </w:rPr>
        <w:softHyphen/>
        <w:t>душного боя в сложных метеоусловиях и с численно превосходящим против</w:t>
      </w:r>
      <w:r w:rsidRPr="00D03F3E">
        <w:rPr>
          <w:rFonts w:ascii="Times New Roman" w:hAnsi="Times New Roman"/>
          <w:color w:val="000000" w:themeColor="text1"/>
          <w:sz w:val="16"/>
          <w:szCs w:val="16"/>
        </w:rPr>
        <w:softHyphen/>
        <w:t>ником.</w:t>
      </w:r>
    </w:p>
    <w:p w14:paraId="65B85F9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Этой же точки зрения придерживал</w:t>
      </w:r>
      <w:r w:rsidRPr="00D03F3E">
        <w:rPr>
          <w:rFonts w:ascii="Times New Roman" w:hAnsi="Times New Roman"/>
          <w:color w:val="000000" w:themeColor="text1"/>
          <w:sz w:val="16"/>
          <w:szCs w:val="16"/>
        </w:rPr>
        <w:softHyphen/>
        <w:t xml:space="preserve">ся и командир 1-го </w:t>
      </w:r>
      <w:r w:rsidRPr="00D03F3E">
        <w:rPr>
          <w:rFonts w:ascii="Times New Roman" w:hAnsi="Times New Roman"/>
          <w:iCs/>
          <w:color w:val="000000" w:themeColor="text1"/>
          <w:sz w:val="16"/>
          <w:szCs w:val="16"/>
        </w:rPr>
        <w:t xml:space="preserve">гиак </w:t>
      </w:r>
      <w:r w:rsidRPr="00D03F3E">
        <w:rPr>
          <w:rFonts w:ascii="Times New Roman" w:hAnsi="Times New Roman"/>
          <w:color w:val="000000" w:themeColor="text1"/>
          <w:sz w:val="16"/>
          <w:szCs w:val="16"/>
        </w:rPr>
        <w:t>генерал-лей</w:t>
      </w:r>
      <w:r w:rsidRPr="00D03F3E">
        <w:rPr>
          <w:rFonts w:ascii="Times New Roman" w:hAnsi="Times New Roman"/>
          <w:color w:val="000000" w:themeColor="text1"/>
          <w:sz w:val="16"/>
          <w:szCs w:val="16"/>
        </w:rPr>
        <w:softHyphen/>
        <w:t>тенант Е. И. Белецкий, который доло</w:t>
      </w:r>
      <w:r w:rsidRPr="00D03F3E">
        <w:rPr>
          <w:rFonts w:ascii="Times New Roman" w:hAnsi="Times New Roman"/>
          <w:color w:val="000000" w:themeColor="text1"/>
          <w:sz w:val="16"/>
          <w:szCs w:val="16"/>
        </w:rPr>
        <w:softHyphen/>
        <w:t xml:space="preserve">жил, что: </w:t>
      </w:r>
      <w:r w:rsidRPr="00D03F3E">
        <w:rPr>
          <w:rFonts w:ascii="Times New Roman" w:hAnsi="Times New Roman"/>
          <w:iCs/>
          <w:color w:val="000000" w:themeColor="text1"/>
          <w:sz w:val="16"/>
          <w:szCs w:val="16"/>
        </w:rPr>
        <w:t>"...несмотря на сложные ме</w:t>
      </w:r>
      <w:r w:rsidRPr="00D03F3E">
        <w:rPr>
          <w:rFonts w:ascii="Times New Roman" w:hAnsi="Times New Roman"/>
          <w:iCs/>
          <w:color w:val="000000" w:themeColor="text1"/>
          <w:sz w:val="16"/>
          <w:szCs w:val="16"/>
        </w:rPr>
        <w:softHyphen/>
        <w:t>теоусловия, сильный зенитный огонь, бои с истребителями противника и от</w:t>
      </w:r>
      <w:r w:rsidRPr="00D03F3E">
        <w:rPr>
          <w:rFonts w:ascii="Times New Roman" w:hAnsi="Times New Roman"/>
          <w:iCs/>
          <w:color w:val="000000" w:themeColor="text1"/>
          <w:sz w:val="16"/>
          <w:szCs w:val="16"/>
        </w:rPr>
        <w:softHyphen/>
        <w:t>сутствие опыта у всего летного соста</w:t>
      </w:r>
      <w:r w:rsidRPr="00D03F3E">
        <w:rPr>
          <w:rFonts w:ascii="Times New Roman" w:hAnsi="Times New Roman"/>
          <w:iCs/>
          <w:color w:val="000000" w:themeColor="text1"/>
          <w:sz w:val="16"/>
          <w:szCs w:val="16"/>
        </w:rPr>
        <w:softHyphen/>
        <w:t>ва по блокированию аэродромов, за</w:t>
      </w:r>
      <w:r w:rsidRPr="00D03F3E">
        <w:rPr>
          <w:rFonts w:ascii="Times New Roman" w:hAnsi="Times New Roman"/>
          <w:iCs/>
          <w:color w:val="000000" w:themeColor="text1"/>
          <w:sz w:val="16"/>
          <w:szCs w:val="16"/>
        </w:rPr>
        <w:softHyphen/>
        <w:t>дача, поставленная частям корпуса, была выполнена полностью, с блоки</w:t>
      </w:r>
      <w:r w:rsidRPr="00D03F3E">
        <w:rPr>
          <w:rFonts w:ascii="Times New Roman" w:hAnsi="Times New Roman"/>
          <w:iCs/>
          <w:color w:val="000000" w:themeColor="text1"/>
          <w:sz w:val="16"/>
          <w:szCs w:val="16"/>
        </w:rPr>
        <w:softHyphen/>
        <w:t>рованных аэродромов ни один само</w:t>
      </w:r>
      <w:r w:rsidRPr="00D03F3E">
        <w:rPr>
          <w:rFonts w:ascii="Times New Roman" w:hAnsi="Times New Roman"/>
          <w:iCs/>
          <w:color w:val="000000" w:themeColor="text1"/>
          <w:sz w:val="16"/>
          <w:szCs w:val="16"/>
        </w:rPr>
        <w:softHyphen/>
        <w:t>лет не взлетел".</w:t>
      </w:r>
    </w:p>
    <w:p w14:paraId="6D37ED4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Штаб 15-й воздушной армии боль</w:t>
      </w:r>
      <w:r w:rsidRPr="00D03F3E">
        <w:rPr>
          <w:rFonts w:ascii="Times New Roman" w:hAnsi="Times New Roman"/>
          <w:color w:val="000000" w:themeColor="text1"/>
          <w:sz w:val="16"/>
          <w:szCs w:val="16"/>
        </w:rPr>
        <w:softHyphen/>
        <w:t xml:space="preserve">шие потери в истребителях объяснил тем, </w:t>
      </w:r>
      <w:r w:rsidRPr="00D03F3E">
        <w:rPr>
          <w:rFonts w:ascii="Times New Roman" w:hAnsi="Times New Roman"/>
          <w:iCs/>
          <w:color w:val="000000" w:themeColor="text1"/>
          <w:sz w:val="16"/>
          <w:szCs w:val="16"/>
        </w:rPr>
        <w:t>"что молодой летный состав, по</w:t>
      </w:r>
      <w:r w:rsidRPr="00D03F3E">
        <w:rPr>
          <w:rFonts w:ascii="Times New Roman" w:hAnsi="Times New Roman"/>
          <w:iCs/>
          <w:color w:val="000000" w:themeColor="text1"/>
          <w:sz w:val="16"/>
          <w:szCs w:val="16"/>
        </w:rPr>
        <w:softHyphen/>
        <w:t>пав в зону сильного зенитного огня, потерял боевой порядок и рассеялся одиночно, что позволило противнику атаковать наших истребителей превос</w:t>
      </w:r>
      <w:r w:rsidRPr="00D03F3E">
        <w:rPr>
          <w:rFonts w:ascii="Times New Roman" w:hAnsi="Times New Roman"/>
          <w:iCs/>
          <w:color w:val="000000" w:themeColor="text1"/>
          <w:sz w:val="16"/>
          <w:szCs w:val="16"/>
        </w:rPr>
        <w:softHyphen/>
        <w:t>ходящими силами".</w:t>
      </w:r>
    </w:p>
    <w:p w14:paraId="1596E3A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Отметим, что при блокировании аэродромов Орловского аэроузла 8 июня наши летчики впервые наблюда</w:t>
      </w:r>
      <w:r w:rsidRPr="00D03F3E">
        <w:rPr>
          <w:rFonts w:ascii="Times New Roman" w:hAnsi="Times New Roman"/>
          <w:color w:val="000000" w:themeColor="text1"/>
          <w:sz w:val="16"/>
          <w:szCs w:val="16"/>
        </w:rPr>
        <w:softHyphen/>
        <w:t>ли характерное построение групп ис</w:t>
      </w:r>
      <w:r w:rsidRPr="00D03F3E">
        <w:rPr>
          <w:rFonts w:ascii="Times New Roman" w:hAnsi="Times New Roman"/>
          <w:color w:val="000000" w:themeColor="text1"/>
          <w:sz w:val="16"/>
          <w:szCs w:val="16"/>
        </w:rPr>
        <w:softHyphen/>
        <w:t>требителей противника: перед вступ</w:t>
      </w:r>
      <w:r w:rsidRPr="00D03F3E">
        <w:rPr>
          <w:rFonts w:ascii="Times New Roman" w:hAnsi="Times New Roman"/>
          <w:color w:val="000000" w:themeColor="text1"/>
          <w:sz w:val="16"/>
          <w:szCs w:val="16"/>
        </w:rPr>
        <w:softHyphen/>
        <w:t>лением в бой пары были однородны</w:t>
      </w:r>
      <w:r w:rsidRPr="00D03F3E">
        <w:rPr>
          <w:rFonts w:ascii="Times New Roman" w:hAnsi="Times New Roman"/>
          <w:color w:val="000000" w:themeColor="text1"/>
          <w:sz w:val="16"/>
          <w:szCs w:val="16"/>
        </w:rPr>
        <w:softHyphen/>
        <w:t>ми, а в ходе боя очень быстро пере</w:t>
      </w:r>
      <w:r w:rsidRPr="00D03F3E">
        <w:rPr>
          <w:rFonts w:ascii="Times New Roman" w:hAnsi="Times New Roman"/>
          <w:color w:val="000000" w:themeColor="text1"/>
          <w:sz w:val="16"/>
          <w:szCs w:val="16"/>
        </w:rPr>
        <w:softHyphen/>
        <w:t>страивались в смешанные пары -ФВ190 и Ме109. При этом "мессерш-митты" вели бои на вертикали, а "фоккеры" - в горизонтали. Несмотря на некоторую сложность маневрирования при таком перестроении, применение смешанных пар позволяло противнику несколько лучше использовать летно-тактические данные их самолетов. Ко</w:t>
      </w:r>
      <w:r w:rsidRPr="00D03F3E">
        <w:rPr>
          <w:rFonts w:ascii="Times New Roman" w:hAnsi="Times New Roman"/>
          <w:color w:val="000000" w:themeColor="text1"/>
          <w:sz w:val="16"/>
          <w:szCs w:val="16"/>
        </w:rPr>
        <w:softHyphen/>
        <w:t>нечно же, такой маневр был возмо</w:t>
      </w:r>
      <w:r w:rsidRPr="00D03F3E">
        <w:rPr>
          <w:rFonts w:ascii="Times New Roman" w:hAnsi="Times New Roman"/>
          <w:color w:val="000000" w:themeColor="text1"/>
          <w:sz w:val="16"/>
          <w:szCs w:val="16"/>
        </w:rPr>
        <w:softHyphen/>
        <w:t>жен в основном благодаря традици</w:t>
      </w:r>
      <w:r w:rsidRPr="00D03F3E">
        <w:rPr>
          <w:rFonts w:ascii="Times New Roman" w:hAnsi="Times New Roman"/>
          <w:color w:val="000000" w:themeColor="text1"/>
          <w:sz w:val="16"/>
          <w:szCs w:val="16"/>
        </w:rPr>
        <w:softHyphen/>
        <w:t xml:space="preserve">онно хорошей слетанности немецких летчиков и широкого использования радиосвязи в бою. В то же время, по мнению наших летчиков, </w:t>
      </w:r>
      <w:r w:rsidRPr="00D03F3E">
        <w:rPr>
          <w:rFonts w:ascii="Times New Roman" w:hAnsi="Times New Roman"/>
          <w:iCs/>
          <w:color w:val="000000" w:themeColor="text1"/>
          <w:sz w:val="16"/>
          <w:szCs w:val="16"/>
        </w:rPr>
        <w:t>"на ход боя такое перестроение резкого влияния не оказывает".</w:t>
      </w:r>
    </w:p>
    <w:p w14:paraId="58A891A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Основной причиной больших потерь штурмовиков считалось опоздание с вылетом штурмовиков, что, по мнению штаба 15-й ВА, явилось следствием слабой организации удара командо</w:t>
      </w:r>
      <w:r w:rsidRPr="00D03F3E">
        <w:rPr>
          <w:rFonts w:ascii="Times New Roman" w:hAnsi="Times New Roman"/>
          <w:color w:val="000000" w:themeColor="text1"/>
          <w:sz w:val="16"/>
          <w:szCs w:val="16"/>
        </w:rPr>
        <w:softHyphen/>
        <w:t xml:space="preserve">ванием 225-й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По не понятным причинам в штабе армии не обратили внимания на то, что группы штурмови</w:t>
      </w:r>
      <w:r w:rsidRPr="00D03F3E">
        <w:rPr>
          <w:rFonts w:ascii="Times New Roman" w:hAnsi="Times New Roman"/>
          <w:color w:val="000000" w:themeColor="text1"/>
          <w:sz w:val="16"/>
          <w:szCs w:val="16"/>
        </w:rPr>
        <w:softHyphen/>
        <w:t>ков и истребителей вылетели на бое</w:t>
      </w:r>
      <w:r w:rsidRPr="00D03F3E">
        <w:rPr>
          <w:rFonts w:ascii="Times New Roman" w:hAnsi="Times New Roman"/>
          <w:color w:val="000000" w:themeColor="text1"/>
          <w:sz w:val="16"/>
          <w:szCs w:val="16"/>
        </w:rPr>
        <w:softHyphen/>
        <w:t>вое задание, не проработав обяза</w:t>
      </w:r>
      <w:r w:rsidRPr="00D03F3E">
        <w:rPr>
          <w:rFonts w:ascii="Times New Roman" w:hAnsi="Times New Roman"/>
          <w:color w:val="000000" w:themeColor="text1"/>
          <w:sz w:val="16"/>
          <w:szCs w:val="16"/>
        </w:rPr>
        <w:softHyphen/>
        <w:t>тельный элемент полета — взаимодей</w:t>
      </w:r>
      <w:r w:rsidRPr="00D03F3E">
        <w:rPr>
          <w:rFonts w:ascii="Times New Roman" w:hAnsi="Times New Roman"/>
          <w:color w:val="000000" w:themeColor="text1"/>
          <w:sz w:val="16"/>
          <w:szCs w:val="16"/>
        </w:rPr>
        <w:softHyphen/>
        <w:t>ствие групп в бою. Во всяком случае, этот факт не нашел отражения ни в одном документе штаба армии.</w:t>
      </w:r>
    </w:p>
    <w:p w14:paraId="55E8838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Отсутствует в отчетных документах штаба 15-й ВА и оценка действий ко</w:t>
      </w:r>
      <w:r w:rsidRPr="00D03F3E">
        <w:rPr>
          <w:rFonts w:ascii="Times New Roman" w:hAnsi="Times New Roman"/>
          <w:color w:val="000000" w:themeColor="text1"/>
          <w:sz w:val="16"/>
          <w:szCs w:val="16"/>
        </w:rPr>
        <w:softHyphen/>
        <w:t xml:space="preserve">мандира 315-й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полковника В. Я. Литвинова, который нес полную ответ</w:t>
      </w:r>
      <w:r w:rsidRPr="00D03F3E">
        <w:rPr>
          <w:rFonts w:ascii="Times New Roman" w:hAnsi="Times New Roman"/>
          <w:color w:val="000000" w:themeColor="text1"/>
          <w:sz w:val="16"/>
          <w:szCs w:val="16"/>
        </w:rPr>
        <w:softHyphen/>
        <w:t>ственность за организацию боевого вылета и не только лично не проконт</w:t>
      </w:r>
      <w:r w:rsidRPr="00D03F3E">
        <w:rPr>
          <w:rFonts w:ascii="Times New Roman" w:hAnsi="Times New Roman"/>
          <w:color w:val="000000" w:themeColor="text1"/>
          <w:sz w:val="16"/>
          <w:szCs w:val="16"/>
        </w:rPr>
        <w:softHyphen/>
        <w:t>ролировал решение вопросов взаимо</w:t>
      </w:r>
      <w:r w:rsidRPr="00D03F3E">
        <w:rPr>
          <w:rFonts w:ascii="Times New Roman" w:hAnsi="Times New Roman"/>
          <w:color w:val="000000" w:themeColor="text1"/>
          <w:sz w:val="16"/>
          <w:szCs w:val="16"/>
        </w:rPr>
        <w:softHyphen/>
        <w:t>действия истребителей и штурмовиков, но даже не отдал соответствующих распоряжений своим подчиненным. В документах же 315-й иод об этом фак</w:t>
      </w:r>
      <w:r w:rsidRPr="00D03F3E">
        <w:rPr>
          <w:rFonts w:ascii="Times New Roman" w:hAnsi="Times New Roman"/>
          <w:color w:val="000000" w:themeColor="text1"/>
          <w:sz w:val="16"/>
          <w:szCs w:val="16"/>
        </w:rPr>
        <w:softHyphen/>
        <w:t>те не упоминается вовсе.</w:t>
      </w:r>
    </w:p>
    <w:p w14:paraId="540B371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свою очередь, штаб 225-й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в своих отчетных документах даже на</w:t>
      </w:r>
      <w:r w:rsidRPr="00D03F3E">
        <w:rPr>
          <w:rFonts w:ascii="Times New Roman" w:hAnsi="Times New Roman"/>
          <w:color w:val="000000" w:themeColor="text1"/>
          <w:sz w:val="16"/>
          <w:szCs w:val="16"/>
        </w:rPr>
        <w:softHyphen/>
        <w:t>меком не затронул вопрос организа</w:t>
      </w:r>
      <w:r w:rsidRPr="00D03F3E">
        <w:rPr>
          <w:rFonts w:ascii="Times New Roman" w:hAnsi="Times New Roman"/>
          <w:color w:val="000000" w:themeColor="text1"/>
          <w:sz w:val="16"/>
          <w:szCs w:val="16"/>
        </w:rPr>
        <w:softHyphen/>
        <w:t>ции взаимодействия с истребителями, сделав основной акцент на запазды</w:t>
      </w:r>
      <w:r w:rsidRPr="00D03F3E">
        <w:rPr>
          <w:rFonts w:ascii="Times New Roman" w:hAnsi="Times New Roman"/>
          <w:color w:val="000000" w:themeColor="text1"/>
          <w:sz w:val="16"/>
          <w:szCs w:val="16"/>
        </w:rPr>
        <w:softHyphen/>
        <w:t>вание с вылетом групп Ил-2. Очевид</w:t>
      </w:r>
      <w:r w:rsidRPr="00D03F3E">
        <w:rPr>
          <w:rFonts w:ascii="Times New Roman" w:hAnsi="Times New Roman"/>
          <w:color w:val="000000" w:themeColor="text1"/>
          <w:sz w:val="16"/>
          <w:szCs w:val="16"/>
        </w:rPr>
        <w:softHyphen/>
        <w:t>но, это позволяло штабу дивизии "пе</w:t>
      </w:r>
      <w:r w:rsidRPr="00D03F3E">
        <w:rPr>
          <w:rFonts w:ascii="Times New Roman" w:hAnsi="Times New Roman"/>
          <w:color w:val="000000" w:themeColor="text1"/>
          <w:sz w:val="16"/>
          <w:szCs w:val="16"/>
        </w:rPr>
        <w:softHyphen/>
        <w:t xml:space="preserve">ревести стрелку" на командира 614-го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подполковника В. Н. Верещин-ского и его штаб. В отчете по боевым действиям частей дивизии начальник штаба 225-й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 xml:space="preserve">п-к Богданов особо указывал: </w:t>
      </w:r>
      <w:r w:rsidRPr="00D03F3E">
        <w:rPr>
          <w:rFonts w:ascii="Times New Roman" w:hAnsi="Times New Roman"/>
          <w:iCs/>
          <w:color w:val="000000" w:themeColor="text1"/>
          <w:sz w:val="16"/>
          <w:szCs w:val="16"/>
        </w:rPr>
        <w:t>"...Штабом дивизии были даны исчерпывающие указания коман</w:t>
      </w:r>
      <w:r w:rsidRPr="00D03F3E">
        <w:rPr>
          <w:rFonts w:ascii="Times New Roman" w:hAnsi="Times New Roman"/>
          <w:iCs/>
          <w:color w:val="000000" w:themeColor="text1"/>
          <w:sz w:val="16"/>
          <w:szCs w:val="16"/>
        </w:rPr>
        <w:softHyphen/>
        <w:t>дирам полков об организации и по</w:t>
      </w:r>
      <w:r w:rsidRPr="00D03F3E">
        <w:rPr>
          <w:rFonts w:ascii="Times New Roman" w:hAnsi="Times New Roman"/>
          <w:iCs/>
          <w:color w:val="000000" w:themeColor="text1"/>
          <w:sz w:val="16"/>
          <w:szCs w:val="16"/>
        </w:rPr>
        <w:softHyphen/>
        <w:t>рядке выполнения удара. Кроме того, в 12.00 8.06 командиры полков, выз</w:t>
      </w:r>
      <w:r w:rsidRPr="00D03F3E">
        <w:rPr>
          <w:rFonts w:ascii="Times New Roman" w:hAnsi="Times New Roman"/>
          <w:iCs/>
          <w:color w:val="000000" w:themeColor="text1"/>
          <w:sz w:val="16"/>
          <w:szCs w:val="16"/>
        </w:rPr>
        <w:softHyphen/>
        <w:t>ванные к командиру дивизии, получи</w:t>
      </w:r>
      <w:r w:rsidRPr="00D03F3E">
        <w:rPr>
          <w:rFonts w:ascii="Times New Roman" w:hAnsi="Times New Roman"/>
          <w:iCs/>
          <w:color w:val="000000" w:themeColor="text1"/>
          <w:sz w:val="16"/>
          <w:szCs w:val="16"/>
        </w:rPr>
        <w:softHyphen/>
        <w:t>ли дополнительные указания по орга</w:t>
      </w:r>
      <w:r w:rsidRPr="00D03F3E">
        <w:rPr>
          <w:rFonts w:ascii="Times New Roman" w:hAnsi="Times New Roman"/>
          <w:iCs/>
          <w:color w:val="000000" w:themeColor="text1"/>
          <w:sz w:val="16"/>
          <w:szCs w:val="16"/>
        </w:rPr>
        <w:softHyphen/>
        <w:t>низации всей системы подготовки и выполнения и проведения самого вы</w:t>
      </w:r>
      <w:r w:rsidRPr="00D03F3E">
        <w:rPr>
          <w:rFonts w:ascii="Times New Roman" w:hAnsi="Times New Roman"/>
          <w:iCs/>
          <w:color w:val="000000" w:themeColor="text1"/>
          <w:sz w:val="16"/>
          <w:szCs w:val="16"/>
        </w:rPr>
        <w:softHyphen/>
        <w:t>лета. ...Командование 614-го шап, имея вполне достаточно времени для выпол</w:t>
      </w:r>
      <w:r w:rsidRPr="00D03F3E">
        <w:rPr>
          <w:rFonts w:ascii="Times New Roman" w:hAnsi="Times New Roman"/>
          <w:iCs/>
          <w:color w:val="000000" w:themeColor="text1"/>
          <w:sz w:val="16"/>
          <w:szCs w:val="16"/>
        </w:rPr>
        <w:softHyphen/>
        <w:t>нения поставленной задачи, не учло, что аэродром пыльный и потребуется больше времени для вырулирования и взлета, нежели с аэродрома с травя</w:t>
      </w:r>
      <w:r w:rsidRPr="00D03F3E">
        <w:rPr>
          <w:rFonts w:ascii="Times New Roman" w:hAnsi="Times New Roman"/>
          <w:iCs/>
          <w:color w:val="000000" w:themeColor="text1"/>
          <w:sz w:val="16"/>
          <w:szCs w:val="16"/>
        </w:rPr>
        <w:softHyphen/>
        <w:t>ным покрытием".</w:t>
      </w:r>
    </w:p>
    <w:p w14:paraId="4D4D9E7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Несомненно, часть вины следует воз</w:t>
      </w:r>
      <w:r w:rsidRPr="00D03F3E">
        <w:rPr>
          <w:rFonts w:ascii="Times New Roman" w:hAnsi="Times New Roman"/>
          <w:color w:val="000000" w:themeColor="text1"/>
          <w:sz w:val="16"/>
          <w:szCs w:val="16"/>
        </w:rPr>
        <w:softHyphen/>
        <w:t>ложить и на подполковника Верещин-ского, и на его штаб. Отдав необхо</w:t>
      </w:r>
      <w:r w:rsidRPr="00D03F3E">
        <w:rPr>
          <w:rFonts w:ascii="Times New Roman" w:hAnsi="Times New Roman"/>
          <w:color w:val="000000" w:themeColor="text1"/>
          <w:sz w:val="16"/>
          <w:szCs w:val="16"/>
        </w:rPr>
        <w:softHyphen/>
        <w:t>димые распоряжения, Верещинский не проконтролировал их выполнение, а начальник штаба полка с офицерами штаба не смогли должным образом обеспечить выполнение боевого при</w:t>
      </w:r>
      <w:r w:rsidRPr="00D03F3E">
        <w:rPr>
          <w:rFonts w:ascii="Times New Roman" w:hAnsi="Times New Roman"/>
          <w:color w:val="000000" w:themeColor="text1"/>
          <w:sz w:val="16"/>
          <w:szCs w:val="16"/>
        </w:rPr>
        <w:softHyphen/>
        <w:t>каза.</w:t>
      </w:r>
    </w:p>
    <w:p w14:paraId="35C5E42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Обращает внимание также и сле</w:t>
      </w:r>
      <w:r w:rsidRPr="00D03F3E">
        <w:rPr>
          <w:rFonts w:ascii="Times New Roman" w:hAnsi="Times New Roman"/>
          <w:color w:val="000000" w:themeColor="text1"/>
          <w:sz w:val="16"/>
          <w:szCs w:val="16"/>
        </w:rPr>
        <w:softHyphen/>
        <w:t>дующее обстоятельство. Из 12 экипа</w:t>
      </w:r>
      <w:r w:rsidRPr="00D03F3E">
        <w:rPr>
          <w:rFonts w:ascii="Times New Roman" w:hAnsi="Times New Roman"/>
          <w:color w:val="000000" w:themeColor="text1"/>
          <w:sz w:val="16"/>
          <w:szCs w:val="16"/>
        </w:rPr>
        <w:softHyphen/>
        <w:t xml:space="preserve">жей 614-го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вылетавших для уда</w:t>
      </w:r>
      <w:r w:rsidRPr="00D03F3E">
        <w:rPr>
          <w:rFonts w:ascii="Times New Roman" w:hAnsi="Times New Roman"/>
          <w:color w:val="000000" w:themeColor="text1"/>
          <w:sz w:val="16"/>
          <w:szCs w:val="16"/>
        </w:rPr>
        <w:softHyphen/>
        <w:t>ра по аэродрому Орел-ГВФ, только пять воздушных стрелков и четыре лет</w:t>
      </w:r>
      <w:r w:rsidRPr="00D03F3E">
        <w:rPr>
          <w:rFonts w:ascii="Times New Roman" w:hAnsi="Times New Roman"/>
          <w:color w:val="000000" w:themeColor="text1"/>
          <w:sz w:val="16"/>
          <w:szCs w:val="16"/>
        </w:rPr>
        <w:softHyphen/>
        <w:t>чика имели боевой опыт. При этом опыт войны летчиков выражался в 5, 16, 24 и 25 боевых вылетов на самолете Ил-2 и проведении двух воздушных боев на каждого. Опыт воздушных стрелков характеризовался 9-15 бое</w:t>
      </w:r>
      <w:r w:rsidRPr="00D03F3E">
        <w:rPr>
          <w:rFonts w:ascii="Times New Roman" w:hAnsi="Times New Roman"/>
          <w:color w:val="000000" w:themeColor="text1"/>
          <w:sz w:val="16"/>
          <w:szCs w:val="16"/>
        </w:rPr>
        <w:softHyphen/>
        <w:t>выми вылетами и 1-4 воздушными боя</w:t>
      </w:r>
      <w:r w:rsidRPr="00D03F3E">
        <w:rPr>
          <w:rFonts w:ascii="Times New Roman" w:hAnsi="Times New Roman"/>
          <w:color w:val="000000" w:themeColor="text1"/>
          <w:sz w:val="16"/>
          <w:szCs w:val="16"/>
        </w:rPr>
        <w:softHyphen/>
        <w:t>ми. Ни один из них официально не имел сбитых самолетов противника. Все ос</w:t>
      </w:r>
      <w:r w:rsidRPr="00D03F3E">
        <w:rPr>
          <w:rFonts w:ascii="Times New Roman" w:hAnsi="Times New Roman"/>
          <w:color w:val="000000" w:themeColor="text1"/>
          <w:sz w:val="16"/>
          <w:szCs w:val="16"/>
        </w:rPr>
        <w:softHyphen/>
        <w:t>тальные летчики и воздушные стрелки, кроме ст. сержанта Пойманова, кото</w:t>
      </w:r>
      <w:r w:rsidRPr="00D03F3E">
        <w:rPr>
          <w:rFonts w:ascii="Times New Roman" w:hAnsi="Times New Roman"/>
          <w:color w:val="000000" w:themeColor="text1"/>
          <w:sz w:val="16"/>
          <w:szCs w:val="16"/>
        </w:rPr>
        <w:softHyphen/>
        <w:t>рый летел вместе с капитаном Ковга-ном, составлявшие 8 полных экипажей, выполняли в этот день свой первый боевой вылет - он же, как оказалось, и последний.</w:t>
      </w:r>
    </w:p>
    <w:p w14:paraId="03CF3FC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Следует признать, подобная "раз</w:t>
      </w:r>
      <w:r w:rsidRPr="00D03F3E">
        <w:rPr>
          <w:rFonts w:ascii="Times New Roman" w:hAnsi="Times New Roman"/>
          <w:color w:val="000000" w:themeColor="text1"/>
          <w:sz w:val="16"/>
          <w:szCs w:val="16"/>
        </w:rPr>
        <w:softHyphen/>
        <w:t xml:space="preserve">нарядка на вылет" является грубейшей ошибкой командира 614-го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и на</w:t>
      </w:r>
      <w:r w:rsidRPr="00D03F3E">
        <w:rPr>
          <w:rFonts w:ascii="Times New Roman" w:hAnsi="Times New Roman"/>
          <w:color w:val="000000" w:themeColor="text1"/>
          <w:sz w:val="16"/>
          <w:szCs w:val="16"/>
        </w:rPr>
        <w:softHyphen/>
        <w:t>чальника штаба полка, непосредствен</w:t>
      </w:r>
      <w:r w:rsidRPr="00D03F3E">
        <w:rPr>
          <w:rFonts w:ascii="Times New Roman" w:hAnsi="Times New Roman"/>
          <w:color w:val="000000" w:themeColor="text1"/>
          <w:sz w:val="16"/>
          <w:szCs w:val="16"/>
        </w:rPr>
        <w:softHyphen/>
        <w:t>но назначавших экипажи на вылет. Очевидно, что экипажи, не имеющие ни одного боевого вылета, ни под ка</w:t>
      </w:r>
      <w:r w:rsidRPr="00D03F3E">
        <w:rPr>
          <w:rFonts w:ascii="Times New Roman" w:hAnsi="Times New Roman"/>
          <w:color w:val="000000" w:themeColor="text1"/>
          <w:sz w:val="16"/>
          <w:szCs w:val="16"/>
        </w:rPr>
        <w:softHyphen/>
        <w:t>ким предлогом не должны были выле</w:t>
      </w:r>
      <w:r w:rsidRPr="00D03F3E">
        <w:rPr>
          <w:rFonts w:ascii="Times New Roman" w:hAnsi="Times New Roman"/>
          <w:color w:val="000000" w:themeColor="text1"/>
          <w:sz w:val="16"/>
          <w:szCs w:val="16"/>
        </w:rPr>
        <w:softHyphen/>
        <w:t>тать для удара по аэродрому. Из имев</w:t>
      </w:r>
      <w:r w:rsidRPr="00D03F3E">
        <w:rPr>
          <w:rFonts w:ascii="Times New Roman" w:hAnsi="Times New Roman"/>
          <w:color w:val="000000" w:themeColor="text1"/>
          <w:sz w:val="16"/>
          <w:szCs w:val="16"/>
        </w:rPr>
        <w:softHyphen/>
        <w:t>шихся в полку к концу мая 15 экипа</w:t>
      </w:r>
      <w:r w:rsidRPr="00D03F3E">
        <w:rPr>
          <w:rFonts w:ascii="Times New Roman" w:hAnsi="Times New Roman"/>
          <w:color w:val="000000" w:themeColor="text1"/>
          <w:sz w:val="16"/>
          <w:szCs w:val="16"/>
        </w:rPr>
        <w:softHyphen/>
        <w:t>жей, уже успевших "понюхать пороху", вполне можно было сформировать боеспособную группу для удара по аэродрому, включив в нее не более двух-трех "молодых" летчиков с боль</w:t>
      </w:r>
      <w:r w:rsidRPr="00D03F3E">
        <w:rPr>
          <w:rFonts w:ascii="Times New Roman" w:hAnsi="Times New Roman"/>
          <w:color w:val="000000" w:themeColor="text1"/>
          <w:sz w:val="16"/>
          <w:szCs w:val="16"/>
        </w:rPr>
        <w:softHyphen/>
        <w:t>шим налетом на Ил-2 (например, мл. лейтенанта Мальцева - 81 час 06 минут, капитана Астапенко - 39 ча</w:t>
      </w:r>
      <w:r w:rsidRPr="00D03F3E">
        <w:rPr>
          <w:rFonts w:ascii="Times New Roman" w:hAnsi="Times New Roman"/>
          <w:color w:val="000000" w:themeColor="text1"/>
          <w:sz w:val="16"/>
          <w:szCs w:val="16"/>
        </w:rPr>
        <w:softHyphen/>
        <w:t>сов и летчика-инструктора капитана Ковгана).</w:t>
      </w:r>
    </w:p>
    <w:p w14:paraId="40CDABC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Налицо явное нарушение принци</w:t>
      </w:r>
      <w:r w:rsidRPr="00D03F3E">
        <w:rPr>
          <w:rFonts w:ascii="Times New Roman" w:hAnsi="Times New Roman"/>
          <w:color w:val="000000" w:themeColor="text1"/>
          <w:sz w:val="16"/>
          <w:szCs w:val="16"/>
        </w:rPr>
        <w:softHyphen/>
        <w:t>па последовательности при вводе в бой молодых летчиков, когда в первый бой молодежь должна уходить по мере го</w:t>
      </w:r>
      <w:r w:rsidRPr="00D03F3E">
        <w:rPr>
          <w:rFonts w:ascii="Times New Roman" w:hAnsi="Times New Roman"/>
          <w:color w:val="000000" w:themeColor="text1"/>
          <w:sz w:val="16"/>
          <w:szCs w:val="16"/>
        </w:rPr>
        <w:softHyphen/>
        <w:t>товности к бою и только в паре с опыт</w:t>
      </w:r>
      <w:r w:rsidRPr="00D03F3E">
        <w:rPr>
          <w:rFonts w:ascii="Times New Roman" w:hAnsi="Times New Roman"/>
          <w:color w:val="000000" w:themeColor="text1"/>
          <w:sz w:val="16"/>
          <w:szCs w:val="16"/>
        </w:rPr>
        <w:softHyphen/>
        <w:t>ным ведущим. При этом цель должна быть простой, а прикрытие своими ис</w:t>
      </w:r>
      <w:r w:rsidRPr="00D03F3E">
        <w:rPr>
          <w:rFonts w:ascii="Times New Roman" w:hAnsi="Times New Roman"/>
          <w:color w:val="000000" w:themeColor="text1"/>
          <w:sz w:val="16"/>
          <w:szCs w:val="16"/>
        </w:rPr>
        <w:softHyphen/>
        <w:t>требителями - обязательным.</w:t>
      </w:r>
    </w:p>
    <w:p w14:paraId="2D44A56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дальнейшем оба штаба - диви</w:t>
      </w:r>
      <w:r w:rsidRPr="00D03F3E">
        <w:rPr>
          <w:rFonts w:ascii="Times New Roman" w:hAnsi="Times New Roman"/>
          <w:color w:val="000000" w:themeColor="text1"/>
          <w:sz w:val="16"/>
          <w:szCs w:val="16"/>
        </w:rPr>
        <w:softHyphen/>
        <w:t xml:space="preserve">зии и полка — попытались снять всю вину с себя, доказывая, что </w:t>
      </w:r>
      <w:r w:rsidRPr="00D03F3E">
        <w:rPr>
          <w:rFonts w:ascii="Times New Roman" w:hAnsi="Times New Roman"/>
          <w:iCs/>
          <w:color w:val="000000" w:themeColor="text1"/>
          <w:sz w:val="16"/>
          <w:szCs w:val="16"/>
        </w:rPr>
        <w:t>"уровень подготовки экипажей для выполнения поставленной боевой задачи вполне соответствовал", "в учебно-трениро</w:t>
      </w:r>
      <w:r w:rsidRPr="00D03F3E">
        <w:rPr>
          <w:rFonts w:ascii="Times New Roman" w:hAnsi="Times New Roman"/>
          <w:iCs/>
          <w:color w:val="000000" w:themeColor="text1"/>
          <w:sz w:val="16"/>
          <w:szCs w:val="16"/>
        </w:rPr>
        <w:softHyphen/>
        <w:t>вочных групповых полетах группы ско</w:t>
      </w:r>
      <w:r w:rsidRPr="00D03F3E">
        <w:rPr>
          <w:rFonts w:ascii="Times New Roman" w:hAnsi="Times New Roman"/>
          <w:iCs/>
          <w:color w:val="000000" w:themeColor="text1"/>
          <w:sz w:val="16"/>
          <w:szCs w:val="16"/>
        </w:rPr>
        <w:softHyphen/>
        <w:t>лочены хорошо", "в распоряжении эки</w:t>
      </w:r>
      <w:r w:rsidRPr="00D03F3E">
        <w:rPr>
          <w:rFonts w:ascii="Times New Roman" w:hAnsi="Times New Roman"/>
          <w:iCs/>
          <w:color w:val="000000" w:themeColor="text1"/>
          <w:sz w:val="16"/>
          <w:szCs w:val="16"/>
        </w:rPr>
        <w:softHyphen/>
        <w:t xml:space="preserve">пажей </w:t>
      </w:r>
      <w:r w:rsidRPr="00D03F3E">
        <w:rPr>
          <w:rFonts w:ascii="Times New Roman" w:hAnsi="Times New Roman"/>
          <w:color w:val="000000" w:themeColor="text1"/>
          <w:sz w:val="16"/>
          <w:szCs w:val="16"/>
        </w:rPr>
        <w:t xml:space="preserve">с </w:t>
      </w:r>
      <w:r w:rsidRPr="00D03F3E">
        <w:rPr>
          <w:rFonts w:ascii="Times New Roman" w:hAnsi="Times New Roman"/>
          <w:iCs/>
          <w:color w:val="000000" w:themeColor="text1"/>
          <w:sz w:val="16"/>
          <w:szCs w:val="16"/>
        </w:rPr>
        <w:t xml:space="preserve">момента получения задачи на подготовку к вылету ...времени было 1 час 50 минут" </w:t>
      </w:r>
      <w:r w:rsidRPr="00D03F3E">
        <w:rPr>
          <w:rFonts w:ascii="Times New Roman" w:hAnsi="Times New Roman"/>
          <w:color w:val="000000" w:themeColor="text1"/>
          <w:sz w:val="16"/>
          <w:szCs w:val="16"/>
        </w:rPr>
        <w:t>и т.д.</w:t>
      </w:r>
    </w:p>
    <w:p w14:paraId="3D8A104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xml:space="preserve">Как следует из документов 225-й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дивизия к началу июня еще нахо</w:t>
      </w:r>
      <w:r w:rsidRPr="00D03F3E">
        <w:rPr>
          <w:rFonts w:ascii="Times New Roman" w:hAnsi="Times New Roman"/>
          <w:color w:val="000000" w:themeColor="text1"/>
          <w:sz w:val="16"/>
          <w:szCs w:val="16"/>
        </w:rPr>
        <w:softHyphen/>
        <w:t>дилась в небоеготовом состоянии. В течение мая одна часть полков доу</w:t>
      </w:r>
      <w:r w:rsidRPr="00D03F3E">
        <w:rPr>
          <w:rFonts w:ascii="Times New Roman" w:hAnsi="Times New Roman"/>
          <w:color w:val="000000" w:themeColor="text1"/>
          <w:sz w:val="16"/>
          <w:szCs w:val="16"/>
        </w:rPr>
        <w:softHyphen/>
        <w:t>комплектовывалась матчастью и лет</w:t>
      </w:r>
      <w:r w:rsidRPr="00D03F3E">
        <w:rPr>
          <w:rFonts w:ascii="Times New Roman" w:hAnsi="Times New Roman"/>
          <w:color w:val="000000" w:themeColor="text1"/>
          <w:sz w:val="16"/>
          <w:szCs w:val="16"/>
        </w:rPr>
        <w:softHyphen/>
        <w:t>ным составом, а другая часть, получив Ил-2, только к концу месяца приступи</w:t>
      </w:r>
      <w:r w:rsidRPr="00D03F3E">
        <w:rPr>
          <w:rFonts w:ascii="Times New Roman" w:hAnsi="Times New Roman"/>
          <w:color w:val="000000" w:themeColor="text1"/>
          <w:sz w:val="16"/>
          <w:szCs w:val="16"/>
        </w:rPr>
        <w:softHyphen/>
        <w:t>ла к вводу в строй молодого пополне</w:t>
      </w:r>
      <w:r w:rsidRPr="00D03F3E">
        <w:rPr>
          <w:rFonts w:ascii="Times New Roman" w:hAnsi="Times New Roman"/>
          <w:color w:val="000000" w:themeColor="text1"/>
          <w:sz w:val="16"/>
          <w:szCs w:val="16"/>
        </w:rPr>
        <w:softHyphen/>
        <w:t>ния согласно курса боевой подготов</w:t>
      </w:r>
      <w:r w:rsidRPr="00D03F3E">
        <w:rPr>
          <w:rFonts w:ascii="Times New Roman" w:hAnsi="Times New Roman"/>
          <w:color w:val="000000" w:themeColor="text1"/>
          <w:sz w:val="16"/>
          <w:szCs w:val="16"/>
        </w:rPr>
        <w:softHyphen/>
        <w:t>ки штурмовой авиации 1943 г.</w:t>
      </w:r>
    </w:p>
    <w:p w14:paraId="74A0101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Проведенное 29 мая летно-тактическое учение выявило серьезные не</w:t>
      </w:r>
      <w:r w:rsidRPr="00D03F3E">
        <w:rPr>
          <w:rFonts w:ascii="Times New Roman" w:hAnsi="Times New Roman"/>
          <w:color w:val="000000" w:themeColor="text1"/>
          <w:sz w:val="16"/>
          <w:szCs w:val="16"/>
        </w:rPr>
        <w:softHyphen/>
        <w:t>достатки в подготовке летного соста</w:t>
      </w:r>
      <w:r w:rsidRPr="00D03F3E">
        <w:rPr>
          <w:rFonts w:ascii="Times New Roman" w:hAnsi="Times New Roman"/>
          <w:color w:val="000000" w:themeColor="text1"/>
          <w:sz w:val="16"/>
          <w:szCs w:val="16"/>
        </w:rPr>
        <w:softHyphen/>
        <w:t xml:space="preserve">ва дивизии. Так, при учебных атаках истребителей оказалось, что во всех полках </w:t>
      </w:r>
      <w:r w:rsidRPr="00D03F3E">
        <w:rPr>
          <w:rFonts w:ascii="Times New Roman" w:hAnsi="Times New Roman"/>
          <w:iCs/>
          <w:color w:val="000000" w:themeColor="text1"/>
          <w:sz w:val="16"/>
          <w:szCs w:val="16"/>
        </w:rPr>
        <w:t>"не отработано ведение воз</w:t>
      </w:r>
      <w:r w:rsidRPr="00D03F3E">
        <w:rPr>
          <w:rFonts w:ascii="Times New Roman" w:hAnsi="Times New Roman"/>
          <w:iCs/>
          <w:color w:val="000000" w:themeColor="text1"/>
          <w:sz w:val="16"/>
          <w:szCs w:val="16"/>
        </w:rPr>
        <w:softHyphen/>
        <w:t xml:space="preserve">душного боя". </w:t>
      </w:r>
      <w:r w:rsidRPr="00D03F3E">
        <w:rPr>
          <w:rFonts w:ascii="Times New Roman" w:hAnsi="Times New Roman"/>
          <w:color w:val="000000" w:themeColor="text1"/>
          <w:sz w:val="16"/>
          <w:szCs w:val="16"/>
        </w:rPr>
        <w:t>При построении обо</w:t>
      </w:r>
      <w:r w:rsidRPr="00D03F3E">
        <w:rPr>
          <w:rFonts w:ascii="Times New Roman" w:hAnsi="Times New Roman"/>
          <w:color w:val="000000" w:themeColor="text1"/>
          <w:sz w:val="16"/>
          <w:szCs w:val="16"/>
        </w:rPr>
        <w:softHyphen/>
        <w:t>ронительного круга штурмовики дер</w:t>
      </w:r>
      <w:r w:rsidRPr="00D03F3E">
        <w:rPr>
          <w:rFonts w:ascii="Times New Roman" w:hAnsi="Times New Roman"/>
          <w:color w:val="000000" w:themeColor="text1"/>
          <w:sz w:val="16"/>
          <w:szCs w:val="16"/>
        </w:rPr>
        <w:softHyphen/>
        <w:t xml:space="preserve">жали большие дистанции - до 1500-1800 м, нарушая тем самым огневое взаимодействие между экипажами. От цели уходили </w:t>
      </w:r>
      <w:r w:rsidRPr="00D03F3E">
        <w:rPr>
          <w:rFonts w:ascii="Times New Roman" w:hAnsi="Times New Roman"/>
          <w:iCs/>
          <w:color w:val="000000" w:themeColor="text1"/>
          <w:sz w:val="16"/>
          <w:szCs w:val="16"/>
        </w:rPr>
        <w:t>"...по одному, далеко друг от друга, что дает истребителям про</w:t>
      </w:r>
      <w:r w:rsidRPr="00D03F3E">
        <w:rPr>
          <w:rFonts w:ascii="Times New Roman" w:hAnsi="Times New Roman"/>
          <w:iCs/>
          <w:color w:val="000000" w:themeColor="text1"/>
          <w:sz w:val="16"/>
          <w:szCs w:val="16"/>
        </w:rPr>
        <w:softHyphen/>
        <w:t xml:space="preserve">тивника возможность пристроиться под хвост и безнаказанно атаковать". </w:t>
      </w:r>
      <w:r w:rsidRPr="00D03F3E">
        <w:rPr>
          <w:rFonts w:ascii="Times New Roman" w:hAnsi="Times New Roman"/>
          <w:color w:val="000000" w:themeColor="text1"/>
          <w:sz w:val="16"/>
          <w:szCs w:val="16"/>
        </w:rPr>
        <w:t>Ясно, что в реальном воздушном бою с ис</w:t>
      </w:r>
      <w:r w:rsidRPr="00D03F3E">
        <w:rPr>
          <w:rFonts w:ascii="Times New Roman" w:hAnsi="Times New Roman"/>
          <w:color w:val="000000" w:themeColor="text1"/>
          <w:sz w:val="16"/>
          <w:szCs w:val="16"/>
        </w:rPr>
        <w:softHyphen/>
        <w:t>требителями люфтваффе действия эки</w:t>
      </w:r>
      <w:r w:rsidRPr="00D03F3E">
        <w:rPr>
          <w:rFonts w:ascii="Times New Roman" w:hAnsi="Times New Roman"/>
          <w:color w:val="000000" w:themeColor="text1"/>
          <w:sz w:val="16"/>
          <w:szCs w:val="16"/>
        </w:rPr>
        <w:softHyphen/>
        <w:t>пажей штурмовиков не могли отличать</w:t>
      </w:r>
      <w:r w:rsidRPr="00D03F3E">
        <w:rPr>
          <w:rFonts w:ascii="Times New Roman" w:hAnsi="Times New Roman"/>
          <w:color w:val="000000" w:themeColor="text1"/>
          <w:sz w:val="16"/>
          <w:szCs w:val="16"/>
        </w:rPr>
        <w:softHyphen/>
        <w:t xml:space="preserve">ся в лучшую сторону. Летный состав требовал </w:t>
      </w:r>
      <w:r w:rsidRPr="00D03F3E">
        <w:rPr>
          <w:rFonts w:ascii="Times New Roman" w:hAnsi="Times New Roman"/>
          <w:iCs/>
          <w:color w:val="000000" w:themeColor="text1"/>
          <w:sz w:val="16"/>
          <w:szCs w:val="16"/>
        </w:rPr>
        <w:t>"кропотливой тренировки по вводу в строй".</w:t>
      </w:r>
    </w:p>
    <w:p w14:paraId="3B9561E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Действительно, в 614-м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на от</w:t>
      </w:r>
      <w:r w:rsidRPr="00D03F3E">
        <w:rPr>
          <w:rFonts w:ascii="Times New Roman" w:hAnsi="Times New Roman"/>
          <w:color w:val="000000" w:themeColor="text1"/>
          <w:sz w:val="16"/>
          <w:szCs w:val="16"/>
        </w:rPr>
        <w:softHyphen/>
        <w:t>работку воздушного боя было выпол</w:t>
      </w:r>
      <w:r w:rsidRPr="00D03F3E">
        <w:rPr>
          <w:rFonts w:ascii="Times New Roman" w:hAnsi="Times New Roman"/>
          <w:color w:val="000000" w:themeColor="text1"/>
          <w:sz w:val="16"/>
          <w:szCs w:val="16"/>
        </w:rPr>
        <w:softHyphen/>
        <w:t>нено всего 24 учебных самолето-вы</w:t>
      </w:r>
      <w:r w:rsidRPr="00D03F3E">
        <w:rPr>
          <w:rFonts w:ascii="Times New Roman" w:hAnsi="Times New Roman"/>
          <w:color w:val="000000" w:themeColor="text1"/>
          <w:sz w:val="16"/>
          <w:szCs w:val="16"/>
        </w:rPr>
        <w:softHyphen/>
        <w:t xml:space="preserve">лета с налетом 5 часов 30 минут. То есть менее одного вылета на летчика. В 810-м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и того меньше - 1 2 выле</w:t>
      </w:r>
      <w:r w:rsidRPr="00D03F3E">
        <w:rPr>
          <w:rFonts w:ascii="Times New Roman" w:hAnsi="Times New Roman"/>
          <w:color w:val="000000" w:themeColor="text1"/>
          <w:sz w:val="16"/>
          <w:szCs w:val="16"/>
        </w:rPr>
        <w:softHyphen/>
        <w:t xml:space="preserve">тов (2 часа налета). В лучшую сторону отличался 783-й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летчики которо</w:t>
      </w:r>
      <w:r w:rsidRPr="00D03F3E">
        <w:rPr>
          <w:rFonts w:ascii="Times New Roman" w:hAnsi="Times New Roman"/>
          <w:color w:val="000000" w:themeColor="text1"/>
          <w:sz w:val="16"/>
          <w:szCs w:val="16"/>
        </w:rPr>
        <w:softHyphen/>
        <w:t>го имели в своем активе 62 вылета (20 часов 42 минуты) на воздушный бой. В то же время ни в одном полку не было выполнено ни одного вылета на отра</w:t>
      </w:r>
      <w:r w:rsidRPr="00D03F3E">
        <w:rPr>
          <w:rFonts w:ascii="Times New Roman" w:hAnsi="Times New Roman"/>
          <w:color w:val="000000" w:themeColor="text1"/>
          <w:sz w:val="16"/>
          <w:szCs w:val="16"/>
        </w:rPr>
        <w:softHyphen/>
        <w:t>ботку групповой слетанности, хотя в материалах учения этот элемент подго</w:t>
      </w:r>
      <w:r w:rsidRPr="00D03F3E">
        <w:rPr>
          <w:rFonts w:ascii="Times New Roman" w:hAnsi="Times New Roman"/>
          <w:color w:val="000000" w:themeColor="text1"/>
          <w:sz w:val="16"/>
          <w:szCs w:val="16"/>
        </w:rPr>
        <w:softHyphen/>
        <w:t>товки оценивается удовлетворительно.</w:t>
      </w:r>
    </w:p>
    <w:p w14:paraId="6CDA7D6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Командир 225-й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п-к А. Ф. Обу</w:t>
      </w:r>
      <w:r w:rsidRPr="00D03F3E">
        <w:rPr>
          <w:rFonts w:ascii="Times New Roman" w:hAnsi="Times New Roman"/>
          <w:color w:val="000000" w:themeColor="text1"/>
          <w:sz w:val="16"/>
          <w:szCs w:val="16"/>
        </w:rPr>
        <w:softHyphen/>
        <w:t xml:space="preserve">хов в отчете о боевой работе дивизии за июнь месяц особо отмечал, что: </w:t>
      </w:r>
      <w:r w:rsidRPr="00D03F3E">
        <w:rPr>
          <w:rFonts w:ascii="Times New Roman" w:hAnsi="Times New Roman"/>
          <w:iCs/>
          <w:color w:val="000000" w:themeColor="text1"/>
          <w:sz w:val="16"/>
          <w:szCs w:val="16"/>
        </w:rPr>
        <w:t>"Ощущается крайняя необходимость в отработке противозенитного и проти-воистребительного маневра в группе, быстрого замыкания круга над целью..."</w:t>
      </w:r>
    </w:p>
    <w:p w14:paraId="150A2DD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Для налета на аэродром Сеща 8 июня командующий 1-й ВА генерал М. М. Громов выделил 36 Пе-2 от 204-й </w:t>
      </w:r>
      <w:r w:rsidRPr="00D03F3E">
        <w:rPr>
          <w:rFonts w:ascii="Times New Roman" w:hAnsi="Times New Roman"/>
          <w:iCs/>
          <w:color w:val="000000" w:themeColor="text1"/>
          <w:sz w:val="16"/>
          <w:szCs w:val="16"/>
        </w:rPr>
        <w:t xml:space="preserve">бад, </w:t>
      </w:r>
      <w:r w:rsidRPr="00D03F3E">
        <w:rPr>
          <w:rFonts w:ascii="Times New Roman" w:hAnsi="Times New Roman"/>
          <w:color w:val="000000" w:themeColor="text1"/>
          <w:sz w:val="16"/>
          <w:szCs w:val="16"/>
        </w:rPr>
        <w:t xml:space="preserve">36 Ил-2 от 233-й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 xml:space="preserve">6 Як-1 от 122-го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 xml:space="preserve">233-й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30 истребите</w:t>
      </w:r>
      <w:r w:rsidRPr="00D03F3E">
        <w:rPr>
          <w:rFonts w:ascii="Times New Roman" w:hAnsi="Times New Roman"/>
          <w:color w:val="000000" w:themeColor="text1"/>
          <w:sz w:val="16"/>
          <w:szCs w:val="16"/>
        </w:rPr>
        <w:softHyphen/>
        <w:t xml:space="preserve">лей Як-1, Як-7 и Ла-5 от 309-й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 xml:space="preserve">и 54 Ла-5 от 215-й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 xml:space="preserve">2-го </w:t>
      </w:r>
      <w:r w:rsidRPr="00D03F3E">
        <w:rPr>
          <w:rFonts w:ascii="Times New Roman" w:hAnsi="Times New Roman"/>
          <w:iCs/>
          <w:color w:val="000000" w:themeColor="text1"/>
          <w:sz w:val="16"/>
          <w:szCs w:val="16"/>
        </w:rPr>
        <w:t>иак.</w:t>
      </w:r>
    </w:p>
    <w:p w14:paraId="428C6A6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Истребителей явно не хватало для надежного решения всех задач по обеспечению действий ударной авиа</w:t>
      </w:r>
      <w:r w:rsidRPr="00D03F3E">
        <w:rPr>
          <w:rFonts w:ascii="Times New Roman" w:hAnsi="Times New Roman"/>
          <w:color w:val="000000" w:themeColor="text1"/>
          <w:sz w:val="16"/>
          <w:szCs w:val="16"/>
        </w:rPr>
        <w:softHyphen/>
        <w:t>ции армии. Однако из-за раскисших аэродромов задействовать большие силы оказалось невозможным. От бло</w:t>
      </w:r>
      <w:r w:rsidRPr="00D03F3E">
        <w:rPr>
          <w:rFonts w:ascii="Times New Roman" w:hAnsi="Times New Roman"/>
          <w:color w:val="000000" w:themeColor="text1"/>
          <w:sz w:val="16"/>
          <w:szCs w:val="16"/>
        </w:rPr>
        <w:softHyphen/>
        <w:t>кирования аэродромов противника и патрулирования в районах выхода на свою территорию штурмовиков и бом</w:t>
      </w:r>
      <w:r w:rsidRPr="00D03F3E">
        <w:rPr>
          <w:rFonts w:ascii="Times New Roman" w:hAnsi="Times New Roman"/>
          <w:color w:val="000000" w:themeColor="text1"/>
          <w:sz w:val="16"/>
          <w:szCs w:val="16"/>
        </w:rPr>
        <w:softHyphen/>
        <w:t>бардировщиков, как это планирова</w:t>
      </w:r>
      <w:r w:rsidRPr="00D03F3E">
        <w:rPr>
          <w:rFonts w:ascii="Times New Roman" w:hAnsi="Times New Roman"/>
          <w:color w:val="000000" w:themeColor="text1"/>
          <w:sz w:val="16"/>
          <w:szCs w:val="16"/>
        </w:rPr>
        <w:softHyphen/>
        <w:t>лось ранее, пришлось отказаться.</w:t>
      </w:r>
    </w:p>
    <w:p w14:paraId="1FDA526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Последовательность ударов по аэродромам предполагалась следую</w:t>
      </w:r>
      <w:r w:rsidRPr="00D03F3E">
        <w:rPr>
          <w:rFonts w:ascii="Times New Roman" w:hAnsi="Times New Roman"/>
          <w:color w:val="000000" w:themeColor="text1"/>
          <w:sz w:val="16"/>
          <w:szCs w:val="16"/>
        </w:rPr>
        <w:softHyphen/>
        <w:t>щей. Первыми в 20.15 по аэродрому Сеща наносят удар бомбардировщи</w:t>
      </w:r>
      <w:r w:rsidRPr="00D03F3E">
        <w:rPr>
          <w:rFonts w:ascii="Times New Roman" w:hAnsi="Times New Roman"/>
          <w:color w:val="000000" w:themeColor="text1"/>
          <w:sz w:val="16"/>
          <w:szCs w:val="16"/>
        </w:rPr>
        <w:softHyphen/>
        <w:t>ки. Следом за ними в 20.20 на аэро</w:t>
      </w:r>
      <w:r w:rsidRPr="00D03F3E">
        <w:rPr>
          <w:rFonts w:ascii="Times New Roman" w:hAnsi="Times New Roman"/>
          <w:color w:val="000000" w:themeColor="text1"/>
          <w:sz w:val="16"/>
          <w:szCs w:val="16"/>
        </w:rPr>
        <w:softHyphen/>
        <w:t>дром "выходят" штурмовики.</w:t>
      </w:r>
    </w:p>
    <w:p w14:paraId="1597E54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всех случаях бомбардировщики наносят так называемый "звездный" удар с горизонтального полета, то есть с разных направлений и высот, а штур</w:t>
      </w:r>
      <w:r w:rsidRPr="00D03F3E">
        <w:rPr>
          <w:rFonts w:ascii="Times New Roman" w:hAnsi="Times New Roman"/>
          <w:color w:val="000000" w:themeColor="text1"/>
          <w:sz w:val="16"/>
          <w:szCs w:val="16"/>
        </w:rPr>
        <w:softHyphen/>
        <w:t>мовики - действуют с пикирования в одном заходе.</w:t>
      </w:r>
    </w:p>
    <w:p w14:paraId="7F42AC0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удобства управления и орга</w:t>
      </w:r>
      <w:r w:rsidRPr="00D03F3E">
        <w:rPr>
          <w:rFonts w:ascii="Times New Roman" w:hAnsi="Times New Roman"/>
          <w:color w:val="000000" w:themeColor="text1"/>
          <w:sz w:val="16"/>
          <w:szCs w:val="16"/>
        </w:rPr>
        <w:softHyphen/>
        <w:t>низации удара по аэродрому Сеща была создана оперативная группа штаба 1-й ВА во главе с заместите</w:t>
      </w:r>
      <w:r w:rsidRPr="00D03F3E">
        <w:rPr>
          <w:rFonts w:ascii="Times New Roman" w:hAnsi="Times New Roman"/>
          <w:color w:val="000000" w:themeColor="text1"/>
          <w:sz w:val="16"/>
          <w:szCs w:val="16"/>
        </w:rPr>
        <w:softHyphen/>
        <w:t>лем командующего армией генерал-майором И. Г. Пятыхиным. Эта группа еще 7 июня выехала на аэродром Зубово.</w:t>
      </w:r>
    </w:p>
    <w:p w14:paraId="3BCF6CD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Учитывая сложность боевой задачи (большие группы, значительная даль</w:t>
      </w:r>
      <w:r w:rsidRPr="00D03F3E">
        <w:rPr>
          <w:rFonts w:ascii="Times New Roman" w:hAnsi="Times New Roman"/>
          <w:color w:val="000000" w:themeColor="text1"/>
          <w:sz w:val="16"/>
          <w:szCs w:val="16"/>
        </w:rPr>
        <w:softHyphen/>
        <w:t xml:space="preserve">ность), выделенные для удара группы истребителей от 309-й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вечером 7 июня перелетели на аэродромы под</w:t>
      </w:r>
      <w:r w:rsidRPr="00D03F3E">
        <w:rPr>
          <w:rFonts w:ascii="Times New Roman" w:hAnsi="Times New Roman"/>
          <w:color w:val="000000" w:themeColor="text1"/>
          <w:sz w:val="16"/>
          <w:szCs w:val="16"/>
        </w:rPr>
        <w:softHyphen/>
        <w:t xml:space="preserve">скока: 7 Як-1 и 5 Як-7 от 172-го </w:t>
      </w:r>
      <w:r w:rsidRPr="00D03F3E">
        <w:rPr>
          <w:rFonts w:ascii="Times New Roman" w:hAnsi="Times New Roman"/>
          <w:iCs/>
          <w:color w:val="000000" w:themeColor="text1"/>
          <w:sz w:val="16"/>
          <w:szCs w:val="16"/>
        </w:rPr>
        <w:t>иап -</w:t>
      </w:r>
      <w:r w:rsidRPr="00D03F3E">
        <w:rPr>
          <w:rFonts w:ascii="Times New Roman" w:hAnsi="Times New Roman"/>
          <w:color w:val="000000" w:themeColor="text1"/>
          <w:sz w:val="16"/>
          <w:szCs w:val="16"/>
        </w:rPr>
        <w:t xml:space="preserve">на аэродром Умиленка и 6 Ла-5 от 49-го </w:t>
      </w:r>
      <w:r w:rsidRPr="00D03F3E">
        <w:rPr>
          <w:rFonts w:ascii="Times New Roman" w:hAnsi="Times New Roman"/>
          <w:iCs/>
          <w:color w:val="000000" w:themeColor="text1"/>
          <w:sz w:val="16"/>
          <w:szCs w:val="16"/>
        </w:rPr>
        <w:t xml:space="preserve">иап - </w:t>
      </w:r>
      <w:r w:rsidRPr="00D03F3E">
        <w:rPr>
          <w:rFonts w:ascii="Times New Roman" w:hAnsi="Times New Roman"/>
          <w:color w:val="000000" w:themeColor="text1"/>
          <w:sz w:val="16"/>
          <w:szCs w:val="16"/>
        </w:rPr>
        <w:t xml:space="preserve">на аэродром Васильевс-кое. Кроме этого, командир 233-й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п-к В. В. Смирнов собрал всех коман</w:t>
      </w:r>
      <w:r w:rsidRPr="00D03F3E">
        <w:rPr>
          <w:rFonts w:ascii="Times New Roman" w:hAnsi="Times New Roman"/>
          <w:color w:val="000000" w:themeColor="text1"/>
          <w:sz w:val="16"/>
          <w:szCs w:val="16"/>
        </w:rPr>
        <w:softHyphen/>
        <w:t>диров полков, ведущих групп штурмо</w:t>
      </w:r>
      <w:r w:rsidRPr="00D03F3E">
        <w:rPr>
          <w:rFonts w:ascii="Times New Roman" w:hAnsi="Times New Roman"/>
          <w:color w:val="000000" w:themeColor="text1"/>
          <w:sz w:val="16"/>
          <w:szCs w:val="16"/>
        </w:rPr>
        <w:softHyphen/>
        <w:t>виков и истребителей на совещание, где было тщательно проработано за</w:t>
      </w:r>
      <w:r w:rsidRPr="00D03F3E">
        <w:rPr>
          <w:rFonts w:ascii="Times New Roman" w:hAnsi="Times New Roman"/>
          <w:color w:val="000000" w:themeColor="text1"/>
          <w:sz w:val="16"/>
          <w:szCs w:val="16"/>
        </w:rPr>
        <w:softHyphen/>
        <w:t>дание и достигнута полная договорен</w:t>
      </w:r>
      <w:r w:rsidRPr="00D03F3E">
        <w:rPr>
          <w:rFonts w:ascii="Times New Roman" w:hAnsi="Times New Roman"/>
          <w:color w:val="000000" w:themeColor="text1"/>
          <w:sz w:val="16"/>
          <w:szCs w:val="16"/>
        </w:rPr>
        <w:softHyphen/>
        <w:t>ность по всем вопросам взаимодей</w:t>
      </w:r>
      <w:r w:rsidRPr="00D03F3E">
        <w:rPr>
          <w:rFonts w:ascii="Times New Roman" w:hAnsi="Times New Roman"/>
          <w:color w:val="000000" w:themeColor="text1"/>
          <w:sz w:val="16"/>
          <w:szCs w:val="16"/>
        </w:rPr>
        <w:softHyphen/>
        <w:t>ствия.</w:t>
      </w:r>
    </w:p>
    <w:p w14:paraId="1F8ECF7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От каждого полка 233-й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выде</w:t>
      </w:r>
      <w:r w:rsidRPr="00D03F3E">
        <w:rPr>
          <w:rFonts w:ascii="Times New Roman" w:hAnsi="Times New Roman"/>
          <w:color w:val="000000" w:themeColor="text1"/>
          <w:sz w:val="16"/>
          <w:szCs w:val="16"/>
        </w:rPr>
        <w:softHyphen/>
        <w:t xml:space="preserve">лялось по две шестерки Ил-2. Ведущим сводной группы штурмовиков, он же ведущий первой группы Ил-2 от 198-го </w:t>
      </w:r>
      <w:r w:rsidRPr="00D03F3E">
        <w:rPr>
          <w:rFonts w:ascii="Times New Roman" w:hAnsi="Times New Roman"/>
          <w:iCs/>
          <w:color w:val="000000" w:themeColor="text1"/>
          <w:sz w:val="16"/>
          <w:szCs w:val="16"/>
        </w:rPr>
        <w:t xml:space="preserve">шап, был </w:t>
      </w:r>
      <w:r w:rsidRPr="00D03F3E">
        <w:rPr>
          <w:rFonts w:ascii="Times New Roman" w:hAnsi="Times New Roman"/>
          <w:color w:val="000000" w:themeColor="text1"/>
          <w:sz w:val="16"/>
          <w:szCs w:val="16"/>
        </w:rPr>
        <w:t>назначен Герой Советс</w:t>
      </w:r>
      <w:r w:rsidRPr="00D03F3E">
        <w:rPr>
          <w:rFonts w:ascii="Times New Roman" w:hAnsi="Times New Roman"/>
          <w:color w:val="000000" w:themeColor="text1"/>
          <w:sz w:val="16"/>
          <w:szCs w:val="16"/>
        </w:rPr>
        <w:softHyphen/>
        <w:t>кого Союза м-р М. 3. Бондаренко.</w:t>
      </w:r>
    </w:p>
    <w:p w14:paraId="44B9E8E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Порядок я очередность взлета ус</w:t>
      </w:r>
      <w:r w:rsidRPr="00D03F3E">
        <w:rPr>
          <w:rFonts w:ascii="Times New Roman" w:hAnsi="Times New Roman"/>
          <w:color w:val="000000" w:themeColor="text1"/>
          <w:sz w:val="16"/>
          <w:szCs w:val="16"/>
        </w:rPr>
        <w:softHyphen/>
        <w:t>танавливались следующим образом. За 30 минут до вылета все самолеты дол</w:t>
      </w:r>
      <w:r w:rsidRPr="00D03F3E">
        <w:rPr>
          <w:rFonts w:ascii="Times New Roman" w:hAnsi="Times New Roman"/>
          <w:color w:val="000000" w:themeColor="text1"/>
          <w:sz w:val="16"/>
          <w:szCs w:val="16"/>
        </w:rPr>
        <w:softHyphen/>
        <w:t>жны были находиться на линии пред</w:t>
      </w:r>
      <w:r w:rsidRPr="00D03F3E">
        <w:rPr>
          <w:rFonts w:ascii="Times New Roman" w:hAnsi="Times New Roman"/>
          <w:color w:val="000000" w:themeColor="text1"/>
          <w:sz w:val="16"/>
          <w:szCs w:val="16"/>
        </w:rPr>
        <w:softHyphen/>
        <w:t>варительного старта. Взлет выполня</w:t>
      </w:r>
      <w:r w:rsidRPr="00D03F3E">
        <w:rPr>
          <w:rFonts w:ascii="Times New Roman" w:hAnsi="Times New Roman"/>
          <w:color w:val="000000" w:themeColor="text1"/>
          <w:sz w:val="16"/>
          <w:szCs w:val="16"/>
        </w:rPr>
        <w:softHyphen/>
        <w:t>ется парами с последующим сбором в группы по 6 самолетов на большом кругу на высоте 400 м. Боевой прядок каждой группы — правый пеленг пар. После взлета и сбора штурмовики перестраиваются в колонну шестерок с дистанцией 300-400 м.</w:t>
      </w:r>
    </w:p>
    <w:p w14:paraId="2B28327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Первыми взлетают две группы от 198-го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(ведущие м-р Бондаренко, к-н Малинкин), затем две шестерки от 312-го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(ведущие к-н Зырянов, ст. л-т Алферов) и следом за ними две группы от 62-го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(ведущие к-н Гу</w:t>
      </w:r>
      <w:r w:rsidRPr="00D03F3E">
        <w:rPr>
          <w:rFonts w:ascii="Times New Roman" w:hAnsi="Times New Roman"/>
          <w:color w:val="000000" w:themeColor="text1"/>
          <w:sz w:val="16"/>
          <w:szCs w:val="16"/>
        </w:rPr>
        <w:softHyphen/>
        <w:t>банов и ст. л-т Панфилов).</w:t>
      </w:r>
    </w:p>
    <w:p w14:paraId="4023FB0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Встреча штурмовиков и истребите</w:t>
      </w:r>
      <w:r w:rsidRPr="00D03F3E">
        <w:rPr>
          <w:rFonts w:ascii="Times New Roman" w:hAnsi="Times New Roman"/>
          <w:color w:val="000000" w:themeColor="text1"/>
          <w:sz w:val="16"/>
          <w:szCs w:val="16"/>
        </w:rPr>
        <w:softHyphen/>
        <w:t>лей прикрытия планировалась над аэродромом Зубово. При этом истре</w:t>
      </w:r>
      <w:r w:rsidRPr="00D03F3E">
        <w:rPr>
          <w:rFonts w:ascii="Times New Roman" w:hAnsi="Times New Roman"/>
          <w:color w:val="000000" w:themeColor="text1"/>
          <w:sz w:val="16"/>
          <w:szCs w:val="16"/>
        </w:rPr>
        <w:softHyphen/>
        <w:t>бители пристраивались к штурмовикам на "петле" вдоль линейного ориенти</w:t>
      </w:r>
      <w:r w:rsidRPr="00D03F3E">
        <w:rPr>
          <w:rFonts w:ascii="Times New Roman" w:hAnsi="Times New Roman"/>
          <w:color w:val="000000" w:themeColor="text1"/>
          <w:sz w:val="16"/>
          <w:szCs w:val="16"/>
        </w:rPr>
        <w:softHyphen/>
        <w:t>ра - дорога Зубово, Гаврики. Каждая шестерка Ил-2 имела свое истреби</w:t>
      </w:r>
      <w:r w:rsidRPr="00D03F3E">
        <w:rPr>
          <w:rFonts w:ascii="Times New Roman" w:hAnsi="Times New Roman"/>
          <w:color w:val="000000" w:themeColor="text1"/>
          <w:sz w:val="16"/>
          <w:szCs w:val="16"/>
        </w:rPr>
        <w:softHyphen/>
        <w:t>тельное прикрытие. Единого управле</w:t>
      </w:r>
      <w:r w:rsidRPr="00D03F3E">
        <w:rPr>
          <w:rFonts w:ascii="Times New Roman" w:hAnsi="Times New Roman"/>
          <w:color w:val="000000" w:themeColor="text1"/>
          <w:sz w:val="16"/>
          <w:szCs w:val="16"/>
        </w:rPr>
        <w:softHyphen/>
        <w:t>ния всеми группами истребителей не предполагалось.</w:t>
      </w:r>
    </w:p>
    <w:p w14:paraId="3F63386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длительную подготов</w:t>
      </w:r>
      <w:r w:rsidRPr="00D03F3E">
        <w:rPr>
          <w:rFonts w:ascii="Times New Roman" w:hAnsi="Times New Roman"/>
          <w:color w:val="000000" w:themeColor="text1"/>
          <w:sz w:val="16"/>
          <w:szCs w:val="16"/>
        </w:rPr>
        <w:softHyphen/>
        <w:t>ку - почти два дня, вылет штурмови</w:t>
      </w:r>
      <w:r w:rsidRPr="00D03F3E">
        <w:rPr>
          <w:rFonts w:ascii="Times New Roman" w:hAnsi="Times New Roman"/>
          <w:color w:val="000000" w:themeColor="text1"/>
          <w:sz w:val="16"/>
          <w:szCs w:val="16"/>
        </w:rPr>
        <w:softHyphen/>
        <w:t>ков и истребителей 1-й воздушной армии для удара по аэродрому Сеща вечером 8 июня прошел далеко не по плану и далеко не с теми результата</w:t>
      </w:r>
      <w:r w:rsidRPr="00D03F3E">
        <w:rPr>
          <w:rFonts w:ascii="Times New Roman" w:hAnsi="Times New Roman"/>
          <w:color w:val="000000" w:themeColor="text1"/>
          <w:sz w:val="16"/>
          <w:szCs w:val="16"/>
        </w:rPr>
        <w:softHyphen/>
        <w:t>ми, на которые рассчитывали.</w:t>
      </w:r>
    </w:p>
    <w:p w14:paraId="5C77ABF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 парами, как предусматрива</w:t>
      </w:r>
      <w:r w:rsidRPr="00D03F3E">
        <w:rPr>
          <w:rFonts w:ascii="Times New Roman" w:hAnsi="Times New Roman"/>
          <w:color w:val="000000" w:themeColor="text1"/>
          <w:sz w:val="16"/>
          <w:szCs w:val="16"/>
        </w:rPr>
        <w:softHyphen/>
        <w:t>лось заданием, обеспечил довольно быстрый взлет всех шести групп Ил-2 с аэродромного узла дивизии - всего за 13 минут (в период с 19.30 до 1 9.43). Однако при построении групп в бое</w:t>
      </w:r>
      <w:r w:rsidRPr="00D03F3E">
        <w:rPr>
          <w:rFonts w:ascii="Times New Roman" w:hAnsi="Times New Roman"/>
          <w:color w:val="000000" w:themeColor="text1"/>
          <w:sz w:val="16"/>
          <w:szCs w:val="16"/>
        </w:rPr>
        <w:softHyphen/>
        <w:t>вой порядок ведущие слегка запута</w:t>
      </w:r>
      <w:r w:rsidRPr="00D03F3E">
        <w:rPr>
          <w:rFonts w:ascii="Times New Roman" w:hAnsi="Times New Roman"/>
          <w:color w:val="000000" w:themeColor="text1"/>
          <w:sz w:val="16"/>
          <w:szCs w:val="16"/>
        </w:rPr>
        <w:softHyphen/>
        <w:t xml:space="preserve">лись, вследствие чего группы от 312-го и 62-го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своевременно не пристро</w:t>
      </w:r>
      <w:r w:rsidRPr="00D03F3E">
        <w:rPr>
          <w:rFonts w:ascii="Times New Roman" w:hAnsi="Times New Roman"/>
          <w:color w:val="000000" w:themeColor="text1"/>
          <w:sz w:val="16"/>
          <w:szCs w:val="16"/>
        </w:rPr>
        <w:softHyphen/>
        <w:t xml:space="preserve">ились к группам от 198-го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поте</w:t>
      </w:r>
      <w:r w:rsidRPr="00D03F3E">
        <w:rPr>
          <w:rFonts w:ascii="Times New Roman" w:hAnsi="Times New Roman"/>
          <w:color w:val="000000" w:themeColor="text1"/>
          <w:sz w:val="16"/>
          <w:szCs w:val="16"/>
        </w:rPr>
        <w:softHyphen/>
        <w:t>ряв их из виду.</w:t>
      </w:r>
    </w:p>
    <w:p w14:paraId="760D40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Путаница произошла отчасти из-за отказов матчасти. Так, у ведущего пер</w:t>
      </w:r>
      <w:r w:rsidRPr="00D03F3E">
        <w:rPr>
          <w:rFonts w:ascii="Times New Roman" w:hAnsi="Times New Roman"/>
          <w:color w:val="000000" w:themeColor="text1"/>
          <w:sz w:val="16"/>
          <w:szCs w:val="16"/>
        </w:rPr>
        <w:softHyphen/>
        <w:t xml:space="preserve">вой группы от 31 2-го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капитана Зы</w:t>
      </w:r>
      <w:r w:rsidRPr="00D03F3E">
        <w:rPr>
          <w:rFonts w:ascii="Times New Roman" w:hAnsi="Times New Roman"/>
          <w:color w:val="000000" w:themeColor="text1"/>
          <w:sz w:val="16"/>
          <w:szCs w:val="16"/>
        </w:rPr>
        <w:softHyphen/>
        <w:t>рянова после взлета отказал мотор, и он совершил вынужденную посадку на свой аэродром. Оставшиеся пять эки</w:t>
      </w:r>
      <w:r w:rsidRPr="00D03F3E">
        <w:rPr>
          <w:rFonts w:ascii="Times New Roman" w:hAnsi="Times New Roman"/>
          <w:color w:val="000000" w:themeColor="text1"/>
          <w:sz w:val="16"/>
          <w:szCs w:val="16"/>
        </w:rPr>
        <w:softHyphen/>
        <w:t>пажей его группы на выполнение бое</w:t>
      </w:r>
      <w:r w:rsidRPr="00D03F3E">
        <w:rPr>
          <w:rFonts w:ascii="Times New Roman" w:hAnsi="Times New Roman"/>
          <w:color w:val="000000" w:themeColor="text1"/>
          <w:sz w:val="16"/>
          <w:szCs w:val="16"/>
        </w:rPr>
        <w:softHyphen/>
        <w:t>вой задачи повел мл. л-т Михайлов.</w:t>
      </w:r>
    </w:p>
    <w:p w14:paraId="75630A0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самолете ведущего группы ка</w:t>
      </w:r>
      <w:r w:rsidRPr="00D03F3E">
        <w:rPr>
          <w:rFonts w:ascii="Times New Roman" w:hAnsi="Times New Roman"/>
          <w:color w:val="000000" w:themeColor="text1"/>
          <w:sz w:val="16"/>
          <w:szCs w:val="16"/>
        </w:rPr>
        <w:softHyphen/>
        <w:t xml:space="preserve">питана Губанова (воздушный стрелок мл. сержант Карпов) из 62-го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не убралось шасси. В боевой порядок группы Губанов не встал, решив идти на посадку. Группу повел на задание его заместитель ст. л-т Ф. А. Башки-ров. В дальнейшем, сделав полкруга над аэродромом, Губанову удалось убрать шасси от аварийной системы, после чего он пошел в район исход</w:t>
      </w:r>
      <w:r w:rsidRPr="00D03F3E">
        <w:rPr>
          <w:rFonts w:ascii="Times New Roman" w:hAnsi="Times New Roman"/>
          <w:color w:val="000000" w:themeColor="text1"/>
          <w:sz w:val="16"/>
          <w:szCs w:val="16"/>
        </w:rPr>
        <w:softHyphen/>
        <w:t xml:space="preserve">ного пункта маршрута Серпейск и там пристроился к группе капитана Малинкина от 198-го </w:t>
      </w:r>
      <w:r w:rsidRPr="00D03F3E">
        <w:rPr>
          <w:rFonts w:ascii="Times New Roman" w:hAnsi="Times New Roman"/>
          <w:iCs/>
          <w:color w:val="000000" w:themeColor="text1"/>
          <w:sz w:val="16"/>
          <w:szCs w:val="16"/>
        </w:rPr>
        <w:t xml:space="preserve">шап, в </w:t>
      </w:r>
      <w:r w:rsidRPr="00D03F3E">
        <w:rPr>
          <w:rFonts w:ascii="Times New Roman" w:hAnsi="Times New Roman"/>
          <w:color w:val="000000" w:themeColor="text1"/>
          <w:sz w:val="16"/>
          <w:szCs w:val="16"/>
        </w:rPr>
        <w:t>составе кото</w:t>
      </w:r>
      <w:r w:rsidRPr="00D03F3E">
        <w:rPr>
          <w:rFonts w:ascii="Times New Roman" w:hAnsi="Times New Roman"/>
          <w:color w:val="000000" w:themeColor="text1"/>
          <w:sz w:val="16"/>
          <w:szCs w:val="16"/>
        </w:rPr>
        <w:softHyphen/>
        <w:t>рой и выполнял боевое задание.</w:t>
      </w:r>
    </w:p>
    <w:p w14:paraId="7385BEE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Остальные 23 экипажа от 312-го и 62-го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боевую задачу не выполня</w:t>
      </w:r>
      <w:r w:rsidRPr="00D03F3E">
        <w:rPr>
          <w:rFonts w:ascii="Times New Roman" w:hAnsi="Times New Roman"/>
          <w:color w:val="000000" w:themeColor="text1"/>
          <w:sz w:val="16"/>
          <w:szCs w:val="16"/>
        </w:rPr>
        <w:softHyphen/>
        <w:t>ли, так как на аэродром истребителей для встречи с ними пришли уже после их ухода с первыми группами штурмо</w:t>
      </w:r>
      <w:r w:rsidRPr="00D03F3E">
        <w:rPr>
          <w:rFonts w:ascii="Times New Roman" w:hAnsi="Times New Roman"/>
          <w:color w:val="000000" w:themeColor="text1"/>
          <w:sz w:val="16"/>
          <w:szCs w:val="16"/>
        </w:rPr>
        <w:softHyphen/>
        <w:t>виков. Сделав несколько кругов над аэродромом, штурмовики потеряли на этом 15 минут и, не дождавшись ис</w:t>
      </w:r>
      <w:r w:rsidRPr="00D03F3E">
        <w:rPr>
          <w:rFonts w:ascii="Times New Roman" w:hAnsi="Times New Roman"/>
          <w:color w:val="000000" w:themeColor="text1"/>
          <w:sz w:val="16"/>
          <w:szCs w:val="16"/>
        </w:rPr>
        <w:softHyphen/>
        <w:t>требителей, ушли в район Серпейск в надежде встретить их там.</w:t>
      </w:r>
    </w:p>
    <w:p w14:paraId="6CF8D16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Дальнейшие события имеют весьма неоднозначную трактовку в докумен</w:t>
      </w:r>
      <w:r w:rsidRPr="00D03F3E">
        <w:rPr>
          <w:rFonts w:ascii="Times New Roman" w:hAnsi="Times New Roman"/>
          <w:color w:val="000000" w:themeColor="text1"/>
          <w:sz w:val="16"/>
          <w:szCs w:val="16"/>
        </w:rPr>
        <w:softHyphen/>
        <w:t>тах различного уровня - армии, диви</w:t>
      </w:r>
      <w:r w:rsidRPr="00D03F3E">
        <w:rPr>
          <w:rFonts w:ascii="Times New Roman" w:hAnsi="Times New Roman"/>
          <w:color w:val="000000" w:themeColor="text1"/>
          <w:sz w:val="16"/>
          <w:szCs w:val="16"/>
        </w:rPr>
        <w:softHyphen/>
        <w:t>зии, полков.</w:t>
      </w:r>
    </w:p>
    <w:p w14:paraId="2086F6A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следует из доклада ст. л-та Н.Д. Алферова, его группа дошла до Серпейска, где он наблюдал две груп</w:t>
      </w:r>
      <w:r w:rsidRPr="00D03F3E">
        <w:rPr>
          <w:rFonts w:ascii="Times New Roman" w:hAnsi="Times New Roman"/>
          <w:color w:val="000000" w:themeColor="text1"/>
          <w:sz w:val="16"/>
          <w:szCs w:val="16"/>
        </w:rPr>
        <w:softHyphen/>
        <w:t>пы штурмовиков и одну девятку Пе-2. Истребителей не было. Алферов со своей группой дошел до района Фаянская поближе к линии фронта, но и там истребителей сопровождения не встретил. После этого он принял ре</w:t>
      </w:r>
      <w:r w:rsidRPr="00D03F3E">
        <w:rPr>
          <w:rFonts w:ascii="Times New Roman" w:hAnsi="Times New Roman"/>
          <w:color w:val="000000" w:themeColor="text1"/>
          <w:sz w:val="16"/>
          <w:szCs w:val="16"/>
        </w:rPr>
        <w:softHyphen/>
        <w:t>шение возвратиться на свой аэродром Зубово.</w:t>
      </w:r>
    </w:p>
    <w:p w14:paraId="74B2079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Ведущий другой группы мл. л-т Ми</w:t>
      </w:r>
      <w:r w:rsidRPr="00D03F3E">
        <w:rPr>
          <w:rFonts w:ascii="Times New Roman" w:hAnsi="Times New Roman"/>
          <w:color w:val="000000" w:themeColor="text1"/>
          <w:sz w:val="16"/>
          <w:szCs w:val="16"/>
        </w:rPr>
        <w:softHyphen/>
        <w:t>хайлов докладывал, что в районе Сер</w:t>
      </w:r>
      <w:r w:rsidRPr="00D03F3E">
        <w:rPr>
          <w:rFonts w:ascii="Times New Roman" w:hAnsi="Times New Roman"/>
          <w:color w:val="000000" w:themeColor="text1"/>
          <w:sz w:val="16"/>
          <w:szCs w:val="16"/>
        </w:rPr>
        <w:softHyphen/>
        <w:t>пейска он встретил истребители при</w:t>
      </w:r>
      <w:r w:rsidRPr="00D03F3E">
        <w:rPr>
          <w:rFonts w:ascii="Times New Roman" w:hAnsi="Times New Roman"/>
          <w:color w:val="000000" w:themeColor="text1"/>
          <w:sz w:val="16"/>
          <w:szCs w:val="16"/>
        </w:rPr>
        <w:softHyphen/>
        <w:t>крытия, которые ходили по кругу. Пос</w:t>
      </w:r>
      <w:r w:rsidRPr="00D03F3E">
        <w:rPr>
          <w:rFonts w:ascii="Times New Roman" w:hAnsi="Times New Roman"/>
          <w:color w:val="000000" w:themeColor="text1"/>
          <w:sz w:val="16"/>
          <w:szCs w:val="16"/>
        </w:rPr>
        <w:softHyphen/>
        <w:t>ле того как к нему пристроились 4 Як-1, он повел группу для выполнения бое</w:t>
      </w:r>
      <w:r w:rsidRPr="00D03F3E">
        <w:rPr>
          <w:rFonts w:ascii="Times New Roman" w:hAnsi="Times New Roman"/>
          <w:color w:val="000000" w:themeColor="text1"/>
          <w:sz w:val="16"/>
          <w:szCs w:val="16"/>
        </w:rPr>
        <w:softHyphen/>
        <w:t>вой задачи. Дойдя до железной доро</w:t>
      </w:r>
      <w:r w:rsidRPr="00D03F3E">
        <w:rPr>
          <w:rFonts w:ascii="Times New Roman" w:hAnsi="Times New Roman"/>
          <w:color w:val="000000" w:themeColor="text1"/>
          <w:sz w:val="16"/>
          <w:szCs w:val="16"/>
        </w:rPr>
        <w:softHyphen/>
        <w:t>ги Спас-Деменск-Сухиничи, истребите</w:t>
      </w:r>
      <w:r w:rsidRPr="00D03F3E">
        <w:rPr>
          <w:rFonts w:ascii="Times New Roman" w:hAnsi="Times New Roman"/>
          <w:color w:val="000000" w:themeColor="text1"/>
          <w:sz w:val="16"/>
          <w:szCs w:val="16"/>
        </w:rPr>
        <w:softHyphen/>
        <w:t>ли ушли, оставив штурмовиков одних. Михайлов принял решение прекратить выполнение боевой задачи. Побояв</w:t>
      </w:r>
      <w:r w:rsidRPr="00D03F3E">
        <w:rPr>
          <w:rFonts w:ascii="Times New Roman" w:hAnsi="Times New Roman"/>
          <w:color w:val="000000" w:themeColor="text1"/>
          <w:sz w:val="16"/>
          <w:szCs w:val="16"/>
        </w:rPr>
        <w:softHyphen/>
        <w:t>шись потерять ориентировку при воз</w:t>
      </w:r>
      <w:r w:rsidRPr="00D03F3E">
        <w:rPr>
          <w:rFonts w:ascii="Times New Roman" w:hAnsi="Times New Roman"/>
          <w:color w:val="000000" w:themeColor="text1"/>
          <w:sz w:val="16"/>
          <w:szCs w:val="16"/>
        </w:rPr>
        <w:softHyphen/>
        <w:t>вращении на свой аэродром в услови</w:t>
      </w:r>
      <w:r w:rsidRPr="00D03F3E">
        <w:rPr>
          <w:rFonts w:ascii="Times New Roman" w:hAnsi="Times New Roman"/>
          <w:color w:val="000000" w:themeColor="text1"/>
          <w:sz w:val="16"/>
          <w:szCs w:val="16"/>
        </w:rPr>
        <w:softHyphen/>
        <w:t>ях надвигающихся вечерних сумерек, Михайлов повел группу на Сухиничи вдоль железной дороги. В 21.15 вся группа благополучно выполнила посад</w:t>
      </w:r>
      <w:r w:rsidRPr="00D03F3E">
        <w:rPr>
          <w:rFonts w:ascii="Times New Roman" w:hAnsi="Times New Roman"/>
          <w:color w:val="000000" w:themeColor="text1"/>
          <w:sz w:val="16"/>
          <w:szCs w:val="16"/>
        </w:rPr>
        <w:softHyphen/>
        <w:t>ку на аэродроме Сухиничи и на следу</w:t>
      </w:r>
      <w:r w:rsidRPr="00D03F3E">
        <w:rPr>
          <w:rFonts w:ascii="Times New Roman" w:hAnsi="Times New Roman"/>
          <w:color w:val="000000" w:themeColor="text1"/>
          <w:sz w:val="16"/>
          <w:szCs w:val="16"/>
        </w:rPr>
        <w:softHyphen/>
        <w:t>ющий день перелетела на аэродром Зубово.</w:t>
      </w:r>
    </w:p>
    <w:p w14:paraId="6CDAF7C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Оба ведущие групп от 62-го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доложили, что истребителей прикры</w:t>
      </w:r>
      <w:r w:rsidRPr="00D03F3E">
        <w:rPr>
          <w:rFonts w:ascii="Times New Roman" w:hAnsi="Times New Roman"/>
          <w:color w:val="000000" w:themeColor="text1"/>
          <w:sz w:val="16"/>
          <w:szCs w:val="16"/>
        </w:rPr>
        <w:softHyphen/>
        <w:t>тия в районе встречи не обнаружили и приняли решение возвратиться на свой аэродром Гаврики.</w:t>
      </w:r>
    </w:p>
    <w:p w14:paraId="2760CDA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Отсутствие истребителей прикрытия в районе сбора стало официальной точкой зрения и штаба 233-й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на причины невыполнения боевой задачи штурмовиками.</w:t>
      </w:r>
    </w:p>
    <w:p w14:paraId="47BDA42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противовес мнению штурмовиков в оперативных документах штаба 309-й иод организация взаимодействия штурмовиков и истребителей, а также их встреча над аэродромами Гаврики, Васильевское и Умиленка оценивают</w:t>
      </w:r>
      <w:r w:rsidRPr="00D03F3E">
        <w:rPr>
          <w:rFonts w:ascii="Times New Roman" w:hAnsi="Times New Roman"/>
          <w:color w:val="000000" w:themeColor="text1"/>
          <w:sz w:val="16"/>
          <w:szCs w:val="16"/>
        </w:rPr>
        <w:softHyphen/>
        <w:t>ся как вполне удовлетворительные.</w:t>
      </w:r>
    </w:p>
    <w:p w14:paraId="51505AD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Штаб 1-й воздушной армии, есте</w:t>
      </w:r>
      <w:r w:rsidRPr="00D03F3E">
        <w:rPr>
          <w:rFonts w:ascii="Times New Roman" w:hAnsi="Times New Roman"/>
          <w:color w:val="000000" w:themeColor="text1"/>
          <w:sz w:val="16"/>
          <w:szCs w:val="16"/>
        </w:rPr>
        <w:softHyphen/>
        <w:t>ственно, считал иначе. В качестве глав</w:t>
      </w:r>
      <w:r w:rsidRPr="00D03F3E">
        <w:rPr>
          <w:rFonts w:ascii="Times New Roman" w:hAnsi="Times New Roman"/>
          <w:color w:val="000000" w:themeColor="text1"/>
          <w:sz w:val="16"/>
          <w:szCs w:val="16"/>
        </w:rPr>
        <w:softHyphen/>
        <w:t>ной причины не выполнения боевой за</w:t>
      </w:r>
      <w:r w:rsidRPr="00D03F3E">
        <w:rPr>
          <w:rFonts w:ascii="Times New Roman" w:hAnsi="Times New Roman"/>
          <w:color w:val="000000" w:themeColor="text1"/>
          <w:sz w:val="16"/>
          <w:szCs w:val="16"/>
        </w:rPr>
        <w:softHyphen/>
        <w:t xml:space="preserve">дачи штурмовиками и истребителями указывалась </w:t>
      </w:r>
      <w:r w:rsidRPr="00D03F3E">
        <w:rPr>
          <w:rFonts w:ascii="Times New Roman" w:hAnsi="Times New Roman"/>
          <w:iCs/>
          <w:color w:val="000000" w:themeColor="text1"/>
          <w:sz w:val="16"/>
          <w:szCs w:val="16"/>
        </w:rPr>
        <w:t>"плохая организация сбо</w:t>
      </w:r>
      <w:r w:rsidRPr="00D03F3E">
        <w:rPr>
          <w:rFonts w:ascii="Times New Roman" w:hAnsi="Times New Roman"/>
          <w:iCs/>
          <w:color w:val="000000" w:themeColor="text1"/>
          <w:sz w:val="16"/>
          <w:szCs w:val="16"/>
        </w:rPr>
        <w:softHyphen/>
        <w:t>ра на круге и маршруте и потеря на этом времени".</w:t>
      </w:r>
    </w:p>
    <w:p w14:paraId="12BACE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временем, пока штурмовики и истребители искали друг друга, выслан</w:t>
      </w:r>
      <w:r w:rsidRPr="00D03F3E">
        <w:rPr>
          <w:rFonts w:ascii="Times New Roman" w:hAnsi="Times New Roman"/>
          <w:color w:val="000000" w:themeColor="text1"/>
          <w:sz w:val="16"/>
          <w:szCs w:val="16"/>
        </w:rPr>
        <w:softHyphen/>
        <w:t xml:space="preserve">ная вперед пара Ил-2 от 198-го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(мл. л-т Бабкин и л-т Ефимов) для раз</w:t>
      </w:r>
      <w:r w:rsidRPr="00D03F3E">
        <w:rPr>
          <w:rFonts w:ascii="Times New Roman" w:hAnsi="Times New Roman"/>
          <w:color w:val="000000" w:themeColor="text1"/>
          <w:sz w:val="16"/>
          <w:szCs w:val="16"/>
        </w:rPr>
        <w:softHyphen/>
        <w:t>ведки погоды доложила, что метеоус</w:t>
      </w:r>
      <w:r w:rsidRPr="00D03F3E">
        <w:rPr>
          <w:rFonts w:ascii="Times New Roman" w:hAnsi="Times New Roman"/>
          <w:color w:val="000000" w:themeColor="text1"/>
          <w:sz w:val="16"/>
          <w:szCs w:val="16"/>
        </w:rPr>
        <w:softHyphen/>
        <w:t>ловия на маршруте Кожухово-Сер-пейск-Фаянская вполне сносные и обеспечивают выполнение боевой за</w:t>
      </w:r>
      <w:r w:rsidRPr="00D03F3E">
        <w:rPr>
          <w:rFonts w:ascii="Times New Roman" w:hAnsi="Times New Roman"/>
          <w:color w:val="000000" w:themeColor="text1"/>
          <w:sz w:val="16"/>
          <w:szCs w:val="16"/>
        </w:rPr>
        <w:softHyphen/>
        <w:t>дачи. Отбоя налета не последовало.</w:t>
      </w:r>
    </w:p>
    <w:p w14:paraId="2392607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удар по аэродро</w:t>
      </w:r>
      <w:r w:rsidRPr="00D03F3E">
        <w:rPr>
          <w:rFonts w:ascii="Times New Roman" w:hAnsi="Times New Roman"/>
          <w:color w:val="000000" w:themeColor="text1"/>
          <w:sz w:val="16"/>
          <w:szCs w:val="16"/>
        </w:rPr>
        <w:softHyphen/>
        <w:t>му Сеща выполняли 13 экипажей Ил-2 в двух группах: 6 Ил-2 вел м-р М.З. Бондаренко и 7 Ил-2 — к-н В. А. Ма</w:t>
      </w:r>
      <w:r w:rsidRPr="00D03F3E">
        <w:rPr>
          <w:rFonts w:ascii="Times New Roman" w:hAnsi="Times New Roman"/>
          <w:color w:val="000000" w:themeColor="text1"/>
          <w:sz w:val="16"/>
          <w:szCs w:val="16"/>
        </w:rPr>
        <w:softHyphen/>
        <w:t xml:space="preserve">линкин. Их прикрывали 6 Як-1 от 122-го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 xml:space="preserve">233-й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 xml:space="preserve">5 Ла-5 от 49-го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 xml:space="preserve">6 Як-1 от 162-го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 xml:space="preserve">5 Як-1 и 5 Як-7 от 1 72-го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 xml:space="preserve">309-й </w:t>
      </w:r>
      <w:r w:rsidRPr="00D03F3E">
        <w:rPr>
          <w:rFonts w:ascii="Times New Roman" w:hAnsi="Times New Roman"/>
          <w:iCs/>
          <w:color w:val="000000" w:themeColor="text1"/>
          <w:sz w:val="16"/>
          <w:szCs w:val="16"/>
        </w:rPr>
        <w:t>над.</w:t>
      </w:r>
    </w:p>
    <w:p w14:paraId="418AC6D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Истребительное прикрытие состоя</w:t>
      </w:r>
      <w:r w:rsidRPr="00D03F3E">
        <w:rPr>
          <w:rFonts w:ascii="Times New Roman" w:hAnsi="Times New Roman"/>
          <w:color w:val="000000" w:themeColor="text1"/>
          <w:sz w:val="16"/>
          <w:szCs w:val="16"/>
        </w:rPr>
        <w:softHyphen/>
        <w:t>ло из трех групп: группы непосредствен</w:t>
      </w:r>
      <w:r w:rsidRPr="00D03F3E">
        <w:rPr>
          <w:rFonts w:ascii="Times New Roman" w:hAnsi="Times New Roman"/>
          <w:color w:val="000000" w:themeColor="text1"/>
          <w:sz w:val="16"/>
          <w:szCs w:val="16"/>
        </w:rPr>
        <w:softHyphen/>
        <w:t>ного сопровождения, ударной группы и группы свободного боя. Группы ис</w:t>
      </w:r>
      <w:r w:rsidRPr="00D03F3E">
        <w:rPr>
          <w:rFonts w:ascii="Times New Roman" w:hAnsi="Times New Roman"/>
          <w:color w:val="000000" w:themeColor="text1"/>
          <w:sz w:val="16"/>
          <w:szCs w:val="16"/>
        </w:rPr>
        <w:softHyphen/>
        <w:t>требителей эшелонировались по высо</w:t>
      </w:r>
      <w:r w:rsidRPr="00D03F3E">
        <w:rPr>
          <w:rFonts w:ascii="Times New Roman" w:hAnsi="Times New Roman"/>
          <w:color w:val="000000" w:themeColor="text1"/>
          <w:sz w:val="16"/>
          <w:szCs w:val="16"/>
        </w:rPr>
        <w:softHyphen/>
        <w:t>те. При заходе штурмовиков на цель истребители снижались вмести с ними с последующим доворотом на 10-15° во внешнюю сторону с уходом в рай</w:t>
      </w:r>
      <w:r w:rsidRPr="00D03F3E">
        <w:rPr>
          <w:rFonts w:ascii="Times New Roman" w:hAnsi="Times New Roman"/>
          <w:color w:val="000000" w:themeColor="text1"/>
          <w:sz w:val="16"/>
          <w:szCs w:val="16"/>
        </w:rPr>
        <w:softHyphen/>
        <w:t>он выхода из атаки штурмовиков.</w:t>
      </w:r>
    </w:p>
    <w:p w14:paraId="03FBD0C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Выход на аэродром строился с за</w:t>
      </w:r>
      <w:r w:rsidRPr="00D03F3E">
        <w:rPr>
          <w:rFonts w:ascii="Times New Roman" w:hAnsi="Times New Roman"/>
          <w:color w:val="000000" w:themeColor="text1"/>
          <w:sz w:val="16"/>
          <w:szCs w:val="16"/>
        </w:rPr>
        <w:softHyphen/>
        <w:t>пада со стороны населенного пункта Новый Свет с таким расчетом, чтобы экипажи групп имели возможность ата</w:t>
      </w:r>
      <w:r w:rsidRPr="00D03F3E">
        <w:rPr>
          <w:rFonts w:ascii="Times New Roman" w:hAnsi="Times New Roman"/>
          <w:color w:val="000000" w:themeColor="text1"/>
          <w:sz w:val="16"/>
          <w:szCs w:val="16"/>
        </w:rPr>
        <w:softHyphen/>
        <w:t>ковать самолеты на стоянках и летном поле с последующим выходом в юго-восточном направлении.</w:t>
      </w:r>
    </w:p>
    <w:p w14:paraId="6E84F0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подходе штурмовиков к аэро</w:t>
      </w:r>
      <w:r w:rsidRPr="00D03F3E">
        <w:rPr>
          <w:rFonts w:ascii="Times New Roman" w:hAnsi="Times New Roman"/>
          <w:color w:val="000000" w:themeColor="text1"/>
          <w:sz w:val="16"/>
          <w:szCs w:val="16"/>
        </w:rPr>
        <w:softHyphen/>
        <w:t>дрому противник открыл сильный зе</w:t>
      </w:r>
      <w:r w:rsidRPr="00D03F3E">
        <w:rPr>
          <w:rFonts w:ascii="Times New Roman" w:hAnsi="Times New Roman"/>
          <w:color w:val="000000" w:themeColor="text1"/>
          <w:sz w:val="16"/>
          <w:szCs w:val="16"/>
        </w:rPr>
        <w:softHyphen/>
        <w:t>нитный огонь среднекалиберной и ма</w:t>
      </w:r>
      <w:r w:rsidRPr="00D03F3E">
        <w:rPr>
          <w:rFonts w:ascii="Times New Roman" w:hAnsi="Times New Roman"/>
          <w:color w:val="000000" w:themeColor="text1"/>
          <w:sz w:val="16"/>
          <w:szCs w:val="16"/>
        </w:rPr>
        <w:softHyphen/>
        <w:t>локалиберной артиллерии. Обстрел велся из населенных пунктов Б.Остров-ня, Холмовка, Плетневка, ст. Сещинс-кая и непосредственно с аэродрома. Экипажами было отмечено до 600 разрывов снарядов среднекалиберной зенитной артиллерии преимуществен</w:t>
      </w:r>
      <w:r w:rsidRPr="00D03F3E">
        <w:rPr>
          <w:rFonts w:ascii="Times New Roman" w:hAnsi="Times New Roman"/>
          <w:color w:val="000000" w:themeColor="text1"/>
          <w:sz w:val="16"/>
          <w:szCs w:val="16"/>
        </w:rPr>
        <w:softHyphen/>
        <w:t xml:space="preserve">но на высоте 800 м, а с северной сто роны аэродрома отмечался </w:t>
      </w:r>
      <w:r w:rsidRPr="00D03F3E">
        <w:rPr>
          <w:rFonts w:ascii="Times New Roman" w:hAnsi="Times New Roman"/>
          <w:iCs/>
          <w:color w:val="000000" w:themeColor="text1"/>
          <w:sz w:val="16"/>
          <w:szCs w:val="16"/>
        </w:rPr>
        <w:t>"обстрел термитными снарядами или фосфорны</w:t>
      </w:r>
      <w:r w:rsidRPr="00D03F3E">
        <w:rPr>
          <w:rFonts w:ascii="Times New Roman" w:hAnsi="Times New Roman"/>
          <w:iCs/>
          <w:color w:val="000000" w:themeColor="text1"/>
          <w:sz w:val="16"/>
          <w:szCs w:val="16"/>
        </w:rPr>
        <w:softHyphen/>
        <w:t>ми, имеющими вид огненных шаров".</w:t>
      </w:r>
    </w:p>
    <w:p w14:paraId="7CFDF92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прохождения населенного пункта Долгое в 20.17 штурмовиков пы</w:t>
      </w:r>
      <w:r w:rsidRPr="00D03F3E">
        <w:rPr>
          <w:rFonts w:ascii="Times New Roman" w:hAnsi="Times New Roman"/>
          <w:color w:val="000000" w:themeColor="text1"/>
          <w:sz w:val="16"/>
          <w:szCs w:val="16"/>
        </w:rPr>
        <w:softHyphen/>
        <w:t xml:space="preserve">тались атаковать 6 "фокке-вульфов". Истребители ударной группы от 122-го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вступили с ними в бой. Пара штурман полка м-р Михайлов и мл. л-т Непокрытое связала боем два Рм190, а пара к-н Гугнин и мл. л-т Бушков — четверку истребителей противника. Воздушные бои велись на высотах 1600-1800 м преимущественно на вер</w:t>
      </w:r>
      <w:r w:rsidRPr="00D03F3E">
        <w:rPr>
          <w:rFonts w:ascii="Times New Roman" w:hAnsi="Times New Roman"/>
          <w:color w:val="000000" w:themeColor="text1"/>
          <w:sz w:val="16"/>
          <w:szCs w:val="16"/>
        </w:rPr>
        <w:softHyphen/>
        <w:t>тикали и в лобовых атаках. По докла</w:t>
      </w:r>
      <w:r w:rsidRPr="00D03F3E">
        <w:rPr>
          <w:rFonts w:ascii="Times New Roman" w:hAnsi="Times New Roman"/>
          <w:color w:val="000000" w:themeColor="text1"/>
          <w:sz w:val="16"/>
          <w:szCs w:val="16"/>
        </w:rPr>
        <w:softHyphen/>
        <w:t>дам летчиков капитану Н. П. Гугнину удалось сбить один ру/190.</w:t>
      </w:r>
    </w:p>
    <w:p w14:paraId="364C707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xml:space="preserve">Самоотверженные действия пилотов 122-го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обеспечили штурмовикам свободу маневра на подходе к аэро</w:t>
      </w:r>
      <w:r w:rsidRPr="00D03F3E">
        <w:rPr>
          <w:rFonts w:ascii="Times New Roman" w:hAnsi="Times New Roman"/>
          <w:color w:val="000000" w:themeColor="text1"/>
          <w:sz w:val="16"/>
          <w:szCs w:val="16"/>
        </w:rPr>
        <w:softHyphen/>
        <w:t>дрому.</w:t>
      </w:r>
    </w:p>
    <w:p w14:paraId="2D824AB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 цель штурмовики 198-го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вышли на 2-3 минуты раньше расчет</w:t>
      </w:r>
      <w:r w:rsidRPr="00D03F3E">
        <w:rPr>
          <w:rFonts w:ascii="Times New Roman" w:hAnsi="Times New Roman"/>
          <w:color w:val="000000" w:themeColor="text1"/>
          <w:sz w:val="16"/>
          <w:szCs w:val="16"/>
        </w:rPr>
        <w:softHyphen/>
        <w:t>ного времени - в 20.24-20.25. К этому времени на аэродроме, по наблюде</w:t>
      </w:r>
      <w:r w:rsidRPr="00D03F3E">
        <w:rPr>
          <w:rFonts w:ascii="Times New Roman" w:hAnsi="Times New Roman"/>
          <w:color w:val="000000" w:themeColor="text1"/>
          <w:sz w:val="16"/>
          <w:szCs w:val="16"/>
        </w:rPr>
        <w:softHyphen/>
        <w:t>нию экипажей, находилось до 87 са</w:t>
      </w:r>
      <w:r w:rsidRPr="00D03F3E">
        <w:rPr>
          <w:rFonts w:ascii="Times New Roman" w:hAnsi="Times New Roman"/>
          <w:color w:val="000000" w:themeColor="text1"/>
          <w:sz w:val="16"/>
          <w:szCs w:val="16"/>
        </w:rPr>
        <w:softHyphen/>
        <w:t>молетов различного типа. На северо</w:t>
      </w:r>
      <w:r w:rsidRPr="00D03F3E">
        <w:rPr>
          <w:rFonts w:ascii="Times New Roman" w:hAnsi="Times New Roman"/>
          <w:color w:val="000000" w:themeColor="text1"/>
          <w:sz w:val="16"/>
          <w:szCs w:val="16"/>
        </w:rPr>
        <w:softHyphen/>
        <w:t>западной окраине имелось до 22 двух</w:t>
      </w:r>
      <w:r w:rsidRPr="00D03F3E">
        <w:rPr>
          <w:rFonts w:ascii="Times New Roman" w:hAnsi="Times New Roman"/>
          <w:color w:val="000000" w:themeColor="text1"/>
          <w:sz w:val="16"/>
          <w:szCs w:val="16"/>
        </w:rPr>
        <w:softHyphen/>
        <w:t>моторных самолетов, на северной ок</w:t>
      </w:r>
      <w:r w:rsidRPr="00D03F3E">
        <w:rPr>
          <w:rFonts w:ascii="Times New Roman" w:hAnsi="Times New Roman"/>
          <w:color w:val="000000" w:themeColor="text1"/>
          <w:sz w:val="16"/>
          <w:szCs w:val="16"/>
        </w:rPr>
        <w:softHyphen/>
        <w:t>раине - до 30 двух- и одномоторных самолетов, на восточной окраине -до 20 одномоторных, и на южной ок</w:t>
      </w:r>
      <w:r w:rsidRPr="00D03F3E">
        <w:rPr>
          <w:rFonts w:ascii="Times New Roman" w:hAnsi="Times New Roman"/>
          <w:color w:val="000000" w:themeColor="text1"/>
          <w:sz w:val="16"/>
          <w:szCs w:val="16"/>
        </w:rPr>
        <w:softHyphen/>
        <w:t>раине ~~ до 15 двухмоторных самолетов в капонирах.</w:t>
      </w:r>
    </w:p>
    <w:p w14:paraId="7A79E42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Обе группы штурмовиков нанесли удар почти одновременно. Атака вы</w:t>
      </w:r>
      <w:r w:rsidRPr="00D03F3E">
        <w:rPr>
          <w:rFonts w:ascii="Times New Roman" w:hAnsi="Times New Roman"/>
          <w:color w:val="000000" w:themeColor="text1"/>
          <w:sz w:val="16"/>
          <w:szCs w:val="16"/>
        </w:rPr>
        <w:softHyphen/>
        <w:t>полнялась с высоты 800-900 м с пики</w:t>
      </w:r>
      <w:r w:rsidRPr="00D03F3E">
        <w:rPr>
          <w:rFonts w:ascii="Times New Roman" w:hAnsi="Times New Roman"/>
          <w:color w:val="000000" w:themeColor="text1"/>
          <w:sz w:val="16"/>
          <w:szCs w:val="16"/>
        </w:rPr>
        <w:softHyphen/>
        <w:t>рования под углом 25-30°. Первая груп</w:t>
      </w:r>
      <w:r w:rsidRPr="00D03F3E">
        <w:rPr>
          <w:rFonts w:ascii="Times New Roman" w:hAnsi="Times New Roman"/>
          <w:color w:val="000000" w:themeColor="text1"/>
          <w:sz w:val="16"/>
          <w:szCs w:val="16"/>
        </w:rPr>
        <w:softHyphen/>
        <w:t>па "била" звеньями по самолетам на северо-восточной окраине и на лет</w:t>
      </w:r>
      <w:r w:rsidRPr="00D03F3E">
        <w:rPr>
          <w:rFonts w:ascii="Times New Roman" w:hAnsi="Times New Roman"/>
          <w:color w:val="000000" w:themeColor="text1"/>
          <w:sz w:val="16"/>
          <w:szCs w:val="16"/>
        </w:rPr>
        <w:softHyphen/>
        <w:t>ном поле, а вторая группа, также зве</w:t>
      </w:r>
      <w:r w:rsidRPr="00D03F3E">
        <w:rPr>
          <w:rFonts w:ascii="Times New Roman" w:hAnsi="Times New Roman"/>
          <w:color w:val="000000" w:themeColor="text1"/>
          <w:sz w:val="16"/>
          <w:szCs w:val="16"/>
        </w:rPr>
        <w:softHyphen/>
        <w:t>ньями, - по стоянкам на южной и за</w:t>
      </w:r>
      <w:r w:rsidRPr="00D03F3E">
        <w:rPr>
          <w:rFonts w:ascii="Times New Roman" w:hAnsi="Times New Roman"/>
          <w:color w:val="000000" w:themeColor="text1"/>
          <w:sz w:val="16"/>
          <w:szCs w:val="16"/>
        </w:rPr>
        <w:softHyphen/>
        <w:t>падной окраинах аэродрома. Сброс бомб осуществлялся с высоты 300 м с последующим переходом на бреющий полет для продолжения атаки пушка</w:t>
      </w:r>
      <w:r w:rsidRPr="00D03F3E">
        <w:rPr>
          <w:rFonts w:ascii="Times New Roman" w:hAnsi="Times New Roman"/>
          <w:color w:val="000000" w:themeColor="text1"/>
          <w:sz w:val="16"/>
          <w:szCs w:val="16"/>
        </w:rPr>
        <w:softHyphen/>
        <w:t>ми и пулеметами. Выход из атаки вы</w:t>
      </w:r>
      <w:r w:rsidRPr="00D03F3E">
        <w:rPr>
          <w:rFonts w:ascii="Times New Roman" w:hAnsi="Times New Roman"/>
          <w:color w:val="000000" w:themeColor="text1"/>
          <w:sz w:val="16"/>
          <w:szCs w:val="16"/>
        </w:rPr>
        <w:softHyphen/>
        <w:t>полнялся на бреющем полете в юго-восточном направлении.</w:t>
      </w:r>
    </w:p>
    <w:p w14:paraId="3132FF3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результате прямых попаданий бомб и РС экипажи наблюдали три горящих самолета на северо-западной окраине и три - в середине летногополя. На северной окраине отмечены два взрыва большой силы с высотой пламени и дыма до 250-300 м: </w:t>
      </w:r>
      <w:r w:rsidRPr="00D03F3E">
        <w:rPr>
          <w:rFonts w:ascii="Times New Roman" w:hAnsi="Times New Roman"/>
          <w:iCs/>
          <w:color w:val="000000" w:themeColor="text1"/>
          <w:sz w:val="16"/>
          <w:szCs w:val="16"/>
        </w:rPr>
        <w:t>"...один взрыв черного цвета, а другой — крас</w:t>
      </w:r>
      <w:r w:rsidRPr="00D03F3E">
        <w:rPr>
          <w:rFonts w:ascii="Times New Roman" w:hAnsi="Times New Roman"/>
          <w:iCs/>
          <w:color w:val="000000" w:themeColor="text1"/>
          <w:sz w:val="16"/>
          <w:szCs w:val="16"/>
        </w:rPr>
        <w:softHyphen/>
        <w:t xml:space="preserve">ного". </w:t>
      </w:r>
      <w:r w:rsidRPr="00D03F3E">
        <w:rPr>
          <w:rFonts w:ascii="Times New Roman" w:hAnsi="Times New Roman"/>
          <w:color w:val="000000" w:themeColor="text1"/>
          <w:sz w:val="16"/>
          <w:szCs w:val="16"/>
        </w:rPr>
        <w:t>На северо-восточной окраине была обстреляна группа до 50 чело</w:t>
      </w:r>
      <w:r w:rsidRPr="00D03F3E">
        <w:rPr>
          <w:rFonts w:ascii="Times New Roman" w:hAnsi="Times New Roman"/>
          <w:color w:val="000000" w:themeColor="text1"/>
          <w:sz w:val="16"/>
          <w:szCs w:val="16"/>
        </w:rPr>
        <w:softHyphen/>
        <w:t>век летно-технического состава, выбе</w:t>
      </w:r>
      <w:r w:rsidRPr="00D03F3E">
        <w:rPr>
          <w:rFonts w:ascii="Times New Roman" w:hAnsi="Times New Roman"/>
          <w:color w:val="000000" w:themeColor="text1"/>
          <w:sz w:val="16"/>
          <w:szCs w:val="16"/>
        </w:rPr>
        <w:softHyphen/>
        <w:t>жавших из здания (предположительно из столовой).</w:t>
      </w:r>
    </w:p>
    <w:p w14:paraId="0C76BB3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мнению экипажей, в результате удара на аэродроме в общей сложно</w:t>
      </w:r>
      <w:r w:rsidRPr="00D03F3E">
        <w:rPr>
          <w:rFonts w:ascii="Times New Roman" w:hAnsi="Times New Roman"/>
          <w:color w:val="000000" w:themeColor="text1"/>
          <w:sz w:val="16"/>
          <w:szCs w:val="16"/>
        </w:rPr>
        <w:softHyphen/>
        <w:t>сти было уничтожено до 20 и повреж</w:t>
      </w:r>
      <w:r w:rsidRPr="00D03F3E">
        <w:rPr>
          <w:rFonts w:ascii="Times New Roman" w:hAnsi="Times New Roman"/>
          <w:color w:val="000000" w:themeColor="text1"/>
          <w:sz w:val="16"/>
          <w:szCs w:val="16"/>
        </w:rPr>
        <w:softHyphen/>
        <w:t>дено до 15 самолетов противника.</w:t>
      </w:r>
    </w:p>
    <w:p w14:paraId="41F9616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свою очередь истребители при</w:t>
      </w:r>
      <w:r w:rsidRPr="00D03F3E">
        <w:rPr>
          <w:rFonts w:ascii="Times New Roman" w:hAnsi="Times New Roman"/>
          <w:color w:val="000000" w:themeColor="text1"/>
          <w:sz w:val="16"/>
          <w:szCs w:val="16"/>
        </w:rPr>
        <w:softHyphen/>
        <w:t xml:space="preserve">крытия от 309-го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доложили, что после удара штурмовиков на аэродро</w:t>
      </w:r>
      <w:r w:rsidRPr="00D03F3E">
        <w:rPr>
          <w:rFonts w:ascii="Times New Roman" w:hAnsi="Times New Roman"/>
          <w:color w:val="000000" w:themeColor="text1"/>
          <w:sz w:val="16"/>
          <w:szCs w:val="16"/>
        </w:rPr>
        <w:softHyphen/>
        <w:t>ме возникло до 18 очагов пожара в районе стоянок самолетов и ангаров, а также сильные взрывы.</w:t>
      </w:r>
    </w:p>
    <w:p w14:paraId="171ABB9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Как следует из документов 198-го </w:t>
      </w:r>
      <w:r w:rsidRPr="00D03F3E">
        <w:rPr>
          <w:rFonts w:ascii="Times New Roman" w:hAnsi="Times New Roman"/>
          <w:iCs/>
          <w:color w:val="000000" w:themeColor="text1"/>
          <w:sz w:val="16"/>
          <w:szCs w:val="16"/>
        </w:rPr>
        <w:t>шап, "...ночники У-2, базирующиеся на аэродроме Красный Гай, подтвердили, что при действии в ночь с 8 на 9.06 они наблюдали целую ночь пожары в районе аэродрома Сеща".</w:t>
      </w:r>
    </w:p>
    <w:p w14:paraId="779C079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Аэродром прикрывался истребите</w:t>
      </w:r>
      <w:r w:rsidRPr="00D03F3E">
        <w:rPr>
          <w:rFonts w:ascii="Times New Roman" w:hAnsi="Times New Roman"/>
          <w:color w:val="000000" w:themeColor="text1"/>
          <w:sz w:val="16"/>
          <w:szCs w:val="16"/>
        </w:rPr>
        <w:softHyphen/>
        <w:t>лями противника, которые парами и четверками атаковали штурмовиков во время их разворота на цель в рай</w:t>
      </w:r>
      <w:r w:rsidRPr="00D03F3E">
        <w:rPr>
          <w:rFonts w:ascii="Times New Roman" w:hAnsi="Times New Roman"/>
          <w:color w:val="000000" w:themeColor="text1"/>
          <w:sz w:val="16"/>
          <w:szCs w:val="16"/>
        </w:rPr>
        <w:softHyphen/>
        <w:t>оне Чекалина Слобода в 3-4 км до аэродрома. Из них одна часть связа</w:t>
      </w:r>
      <w:r w:rsidRPr="00D03F3E">
        <w:rPr>
          <w:rFonts w:ascii="Times New Roman" w:hAnsi="Times New Roman"/>
          <w:color w:val="000000" w:themeColor="text1"/>
          <w:sz w:val="16"/>
          <w:szCs w:val="16"/>
        </w:rPr>
        <w:softHyphen/>
        <w:t>ла боем истребители прикрытия, а дру</w:t>
      </w:r>
      <w:r w:rsidRPr="00D03F3E">
        <w:rPr>
          <w:rFonts w:ascii="Times New Roman" w:hAnsi="Times New Roman"/>
          <w:color w:val="000000" w:themeColor="text1"/>
          <w:sz w:val="16"/>
          <w:szCs w:val="16"/>
        </w:rPr>
        <w:softHyphen/>
        <w:t>гая — атаковала штурмовики со стороны нижней полусферы.</w:t>
      </w:r>
    </w:p>
    <w:p w14:paraId="37DB32D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первую очередь немецкие пилоты старались сбить ведущих групп. Напри</w:t>
      </w:r>
      <w:r w:rsidRPr="00D03F3E">
        <w:rPr>
          <w:rFonts w:ascii="Times New Roman" w:hAnsi="Times New Roman"/>
          <w:color w:val="000000" w:themeColor="text1"/>
          <w:sz w:val="16"/>
          <w:szCs w:val="16"/>
        </w:rPr>
        <w:softHyphen/>
        <w:t>мер, когда ведущий первой шестерки м-р Бондаренко вышел на боевой курс, его атаковали на встречных курсах два истребителя противника - ФВ190 и Ме109. После атаки цели при пересе</w:t>
      </w:r>
      <w:r w:rsidRPr="00D03F3E">
        <w:rPr>
          <w:rFonts w:ascii="Times New Roman" w:hAnsi="Times New Roman"/>
          <w:color w:val="000000" w:themeColor="text1"/>
          <w:sz w:val="16"/>
          <w:szCs w:val="16"/>
        </w:rPr>
        <w:softHyphen/>
        <w:t>чении железной дороги курсом 70° м-р Бондаренко был вторично атакован парой "фокке-вульфов". Атака прово</w:t>
      </w:r>
      <w:r w:rsidRPr="00D03F3E">
        <w:rPr>
          <w:rFonts w:ascii="Times New Roman" w:hAnsi="Times New Roman"/>
          <w:color w:val="000000" w:themeColor="text1"/>
          <w:sz w:val="16"/>
          <w:szCs w:val="16"/>
        </w:rPr>
        <w:softHyphen/>
        <w:t>дилась снизу сзади с бреющего поле</w:t>
      </w:r>
      <w:r w:rsidRPr="00D03F3E">
        <w:rPr>
          <w:rFonts w:ascii="Times New Roman" w:hAnsi="Times New Roman"/>
          <w:color w:val="000000" w:themeColor="text1"/>
          <w:sz w:val="16"/>
          <w:szCs w:val="16"/>
        </w:rPr>
        <w:softHyphen/>
        <w:t>та. В результате на самолете Бонда</w:t>
      </w:r>
      <w:r w:rsidRPr="00D03F3E">
        <w:rPr>
          <w:rFonts w:ascii="Times New Roman" w:hAnsi="Times New Roman"/>
          <w:color w:val="000000" w:themeColor="text1"/>
          <w:sz w:val="16"/>
          <w:szCs w:val="16"/>
        </w:rPr>
        <w:softHyphen/>
        <w:t>ренко был отбит киль. Отбивая атаку, воздушному стрелку капитану Бессмер</w:t>
      </w:r>
      <w:r w:rsidRPr="00D03F3E">
        <w:rPr>
          <w:rFonts w:ascii="Times New Roman" w:hAnsi="Times New Roman"/>
          <w:color w:val="000000" w:themeColor="text1"/>
          <w:sz w:val="16"/>
          <w:szCs w:val="16"/>
        </w:rPr>
        <w:softHyphen/>
        <w:t xml:space="preserve">тнову удалось сбить ведомого пары ФВ190. Истребитель </w:t>
      </w:r>
      <w:r w:rsidRPr="00D03F3E">
        <w:rPr>
          <w:rFonts w:ascii="Times New Roman" w:hAnsi="Times New Roman"/>
          <w:iCs/>
          <w:color w:val="000000" w:themeColor="text1"/>
          <w:sz w:val="16"/>
          <w:szCs w:val="16"/>
        </w:rPr>
        <w:t>"перевернулся на низкой высоте и упал в районе Заго</w:t>
      </w:r>
      <w:r w:rsidRPr="00D03F3E">
        <w:rPr>
          <w:rFonts w:ascii="Times New Roman" w:hAnsi="Times New Roman"/>
          <w:iCs/>
          <w:color w:val="000000" w:themeColor="text1"/>
          <w:sz w:val="16"/>
          <w:szCs w:val="16"/>
        </w:rPr>
        <w:softHyphen/>
        <w:t xml:space="preserve">рье (6 км северо-восточнее ст. Реко-вичи)". </w:t>
      </w:r>
      <w:r w:rsidRPr="00D03F3E">
        <w:rPr>
          <w:rFonts w:ascii="Times New Roman" w:hAnsi="Times New Roman"/>
          <w:color w:val="000000" w:themeColor="text1"/>
          <w:sz w:val="16"/>
          <w:szCs w:val="16"/>
        </w:rPr>
        <w:t>Ведущий "фоккер" резким на</w:t>
      </w:r>
      <w:r w:rsidRPr="00D03F3E">
        <w:rPr>
          <w:rFonts w:ascii="Times New Roman" w:hAnsi="Times New Roman"/>
          <w:color w:val="000000" w:themeColor="text1"/>
          <w:sz w:val="16"/>
          <w:szCs w:val="16"/>
        </w:rPr>
        <w:softHyphen/>
        <w:t>бором высоты ушел влево и больше атак не производил. Сам Бессмертнов получил тяжелые ранения в голову и в обе ноги.</w:t>
      </w:r>
    </w:p>
    <w:p w14:paraId="6F3A7B5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атаки ФВ190 м-р Бондарен</w:t>
      </w:r>
      <w:r w:rsidRPr="00D03F3E">
        <w:rPr>
          <w:rFonts w:ascii="Times New Roman" w:hAnsi="Times New Roman"/>
          <w:color w:val="000000" w:themeColor="text1"/>
          <w:sz w:val="16"/>
          <w:szCs w:val="16"/>
        </w:rPr>
        <w:softHyphen/>
        <w:t>ко был атакован одиночным "мессер-шмиттом". В общей сложности "мес</w:t>
      </w:r>
      <w:r w:rsidRPr="00D03F3E">
        <w:rPr>
          <w:rFonts w:ascii="Times New Roman" w:hAnsi="Times New Roman"/>
          <w:color w:val="000000" w:themeColor="text1"/>
          <w:sz w:val="16"/>
          <w:szCs w:val="16"/>
        </w:rPr>
        <w:softHyphen/>
        <w:t>сер" выполнил 7 атак, преследуя штур</w:t>
      </w:r>
      <w:r w:rsidRPr="00D03F3E">
        <w:rPr>
          <w:rFonts w:ascii="Times New Roman" w:hAnsi="Times New Roman"/>
          <w:color w:val="000000" w:themeColor="text1"/>
          <w:sz w:val="16"/>
          <w:szCs w:val="16"/>
        </w:rPr>
        <w:softHyphen/>
        <w:t>мовик до самого Людиново. Все атаки выполнялись сзади снизу. Огонь про</w:t>
      </w:r>
      <w:r w:rsidRPr="00D03F3E">
        <w:rPr>
          <w:rFonts w:ascii="Times New Roman" w:hAnsi="Times New Roman"/>
          <w:color w:val="000000" w:themeColor="text1"/>
          <w:sz w:val="16"/>
          <w:szCs w:val="16"/>
        </w:rPr>
        <w:softHyphen/>
        <w:t>тивником открывался с дистанции 1 ОС-200 м. В результате атак Вт109 на самолете Бондаренко был поврежден мотор и заклинены рули. Бондаренко удалось дотянуть до аэродрома Крас</w:t>
      </w:r>
      <w:r w:rsidRPr="00D03F3E">
        <w:rPr>
          <w:rFonts w:ascii="Times New Roman" w:hAnsi="Times New Roman"/>
          <w:color w:val="000000" w:themeColor="text1"/>
          <w:sz w:val="16"/>
          <w:szCs w:val="16"/>
        </w:rPr>
        <w:softHyphen/>
        <w:t>ный Гай и произвести вынужденную по</w:t>
      </w:r>
      <w:r w:rsidRPr="00D03F3E">
        <w:rPr>
          <w:rFonts w:ascii="Times New Roman" w:hAnsi="Times New Roman"/>
          <w:color w:val="000000" w:themeColor="text1"/>
          <w:sz w:val="16"/>
          <w:szCs w:val="16"/>
        </w:rPr>
        <w:softHyphen/>
        <w:t>садку с убранным шасси.</w:t>
      </w:r>
    </w:p>
    <w:p w14:paraId="319A57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Идущая за Бондаренко пара его ведомых атакам истребителей люфт</w:t>
      </w:r>
      <w:r w:rsidRPr="00D03F3E">
        <w:rPr>
          <w:rFonts w:ascii="Times New Roman" w:hAnsi="Times New Roman"/>
          <w:color w:val="000000" w:themeColor="text1"/>
          <w:sz w:val="16"/>
          <w:szCs w:val="16"/>
        </w:rPr>
        <w:softHyphen/>
        <w:t xml:space="preserve">ваффе не подвергалась, но огневой поддержки своему командиру они не оказали. Ведомые вообще не видели, как атакуют их ведущего, так как на выходе из атаки отстали от него на 800 м и затем шли на высоте 150-250 м, а Бондаренко </w:t>
      </w:r>
      <w:r w:rsidRPr="00D03F3E">
        <w:rPr>
          <w:rFonts w:ascii="Times New Roman" w:hAnsi="Times New Roman"/>
          <w:iCs/>
          <w:color w:val="000000" w:themeColor="text1"/>
          <w:sz w:val="16"/>
          <w:szCs w:val="16"/>
        </w:rPr>
        <w:t>"после повреждения самолета отошел вправо и снизился до предельно малой высоты".</w:t>
      </w:r>
    </w:p>
    <w:p w14:paraId="090F376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Вторая группа штурмовиков была атакована немецкими истребителями, не доходя 2-3 км до западной окраи</w:t>
      </w:r>
      <w:r w:rsidRPr="00D03F3E">
        <w:rPr>
          <w:rFonts w:ascii="Times New Roman" w:hAnsi="Times New Roman"/>
          <w:color w:val="000000" w:themeColor="text1"/>
          <w:sz w:val="16"/>
          <w:szCs w:val="16"/>
        </w:rPr>
        <w:softHyphen/>
        <w:t>ны аэродрома. Пара ФВ190 с высоты 1000 м безуспешно атаковала само</w:t>
      </w:r>
      <w:r w:rsidRPr="00D03F3E">
        <w:rPr>
          <w:rFonts w:ascii="Times New Roman" w:hAnsi="Times New Roman"/>
          <w:color w:val="000000" w:themeColor="text1"/>
          <w:sz w:val="16"/>
          <w:szCs w:val="16"/>
        </w:rPr>
        <w:softHyphen/>
        <w:t>лет ведущего группы капитана Малин-кина под ракурсом почти 3/4-4/4. После атаки один "фокке-вульф" про</w:t>
      </w:r>
      <w:r w:rsidRPr="00D03F3E">
        <w:rPr>
          <w:rFonts w:ascii="Times New Roman" w:hAnsi="Times New Roman"/>
          <w:color w:val="000000" w:themeColor="text1"/>
          <w:sz w:val="16"/>
          <w:szCs w:val="16"/>
        </w:rPr>
        <w:softHyphen/>
        <w:t>шел прямо перед носом Ил-2 и раз</w:t>
      </w:r>
      <w:r w:rsidRPr="00D03F3E">
        <w:rPr>
          <w:rFonts w:ascii="Times New Roman" w:hAnsi="Times New Roman"/>
          <w:color w:val="000000" w:themeColor="text1"/>
          <w:sz w:val="16"/>
          <w:szCs w:val="16"/>
        </w:rPr>
        <w:softHyphen/>
        <w:t>вернулся вправо для занятия исходной позиции для повторной атаки. В этот момент Малинкин довернул свой са</w:t>
      </w:r>
      <w:r w:rsidRPr="00D03F3E">
        <w:rPr>
          <w:rFonts w:ascii="Times New Roman" w:hAnsi="Times New Roman"/>
          <w:color w:val="000000" w:themeColor="text1"/>
          <w:sz w:val="16"/>
          <w:szCs w:val="16"/>
        </w:rPr>
        <w:softHyphen/>
        <w:t>молет немного вправо и с дистанции 70-100 м огнем из пушек сбил "фок</w:t>
      </w:r>
      <w:r w:rsidRPr="00D03F3E">
        <w:rPr>
          <w:rFonts w:ascii="Times New Roman" w:hAnsi="Times New Roman"/>
          <w:color w:val="000000" w:themeColor="text1"/>
          <w:sz w:val="16"/>
          <w:szCs w:val="16"/>
        </w:rPr>
        <w:softHyphen/>
        <w:t xml:space="preserve">кер", который </w:t>
      </w:r>
      <w:r w:rsidRPr="00D03F3E">
        <w:rPr>
          <w:rFonts w:ascii="Times New Roman" w:hAnsi="Times New Roman"/>
          <w:iCs/>
          <w:color w:val="000000" w:themeColor="text1"/>
          <w:sz w:val="16"/>
          <w:szCs w:val="16"/>
        </w:rPr>
        <w:t xml:space="preserve">"упал в болото перед аэродромом". </w:t>
      </w:r>
      <w:r w:rsidRPr="00D03F3E">
        <w:rPr>
          <w:rFonts w:ascii="Times New Roman" w:hAnsi="Times New Roman"/>
          <w:color w:val="000000" w:themeColor="text1"/>
          <w:sz w:val="16"/>
          <w:szCs w:val="16"/>
        </w:rPr>
        <w:t>Падение истребителя подтвердили замполит полка к-н Пиц-хелаури и ст. л-т Волков.</w:t>
      </w:r>
    </w:p>
    <w:p w14:paraId="27CC82D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отмечалось в боевом донесе</w:t>
      </w:r>
      <w:r w:rsidRPr="00D03F3E">
        <w:rPr>
          <w:rFonts w:ascii="Times New Roman" w:hAnsi="Times New Roman"/>
          <w:color w:val="000000" w:themeColor="text1"/>
          <w:sz w:val="16"/>
          <w:szCs w:val="16"/>
        </w:rPr>
        <w:softHyphen/>
        <w:t xml:space="preserve">нии 198-го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истребители прикры</w:t>
      </w:r>
      <w:r w:rsidRPr="00D03F3E">
        <w:rPr>
          <w:rFonts w:ascii="Times New Roman" w:hAnsi="Times New Roman"/>
          <w:color w:val="000000" w:themeColor="text1"/>
          <w:sz w:val="16"/>
          <w:szCs w:val="16"/>
        </w:rPr>
        <w:softHyphen/>
        <w:t xml:space="preserve">тия </w:t>
      </w:r>
      <w:r w:rsidRPr="00D03F3E">
        <w:rPr>
          <w:rFonts w:ascii="Times New Roman" w:hAnsi="Times New Roman"/>
          <w:iCs/>
          <w:color w:val="000000" w:themeColor="text1"/>
          <w:sz w:val="16"/>
          <w:szCs w:val="16"/>
        </w:rPr>
        <w:t>"сопровождали хорошо, ходили на высоте 1000-1500 м, но атаку штур</w:t>
      </w:r>
      <w:r w:rsidRPr="00D03F3E">
        <w:rPr>
          <w:rFonts w:ascii="Times New Roman" w:hAnsi="Times New Roman"/>
          <w:iCs/>
          <w:color w:val="000000" w:themeColor="text1"/>
          <w:sz w:val="16"/>
          <w:szCs w:val="16"/>
        </w:rPr>
        <w:softHyphen/>
        <w:t>мовиков истребителями противника, идущими на низких высотах, очевидно, не наблюдали..." (11087).</w:t>
      </w:r>
    </w:p>
    <w:p w14:paraId="6BC5577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боевом донесении 198-го </w:t>
      </w:r>
      <w:r w:rsidRPr="00D03F3E">
        <w:rPr>
          <w:rFonts w:ascii="Times New Roman" w:hAnsi="Times New Roman"/>
          <w:iCs/>
          <w:color w:val="000000" w:themeColor="text1"/>
          <w:sz w:val="16"/>
          <w:szCs w:val="16"/>
        </w:rPr>
        <w:t xml:space="preserve">шап о налете на аэродром Сеща 8 июня 1943 г., </w:t>
      </w:r>
      <w:r w:rsidRPr="00D03F3E">
        <w:rPr>
          <w:rFonts w:ascii="Times New Roman" w:hAnsi="Times New Roman"/>
          <w:color w:val="000000" w:themeColor="text1"/>
          <w:sz w:val="16"/>
          <w:szCs w:val="16"/>
        </w:rPr>
        <w:t xml:space="preserve">говорилось, что истребители прикрытия </w:t>
      </w:r>
      <w:r w:rsidRPr="00D03F3E">
        <w:rPr>
          <w:rFonts w:ascii="Times New Roman" w:hAnsi="Times New Roman"/>
          <w:iCs/>
          <w:color w:val="000000" w:themeColor="text1"/>
          <w:sz w:val="16"/>
          <w:szCs w:val="16"/>
        </w:rPr>
        <w:t>"сопровождали хорошо, хо</w:t>
      </w:r>
      <w:r w:rsidRPr="00D03F3E">
        <w:rPr>
          <w:rFonts w:ascii="Times New Roman" w:hAnsi="Times New Roman"/>
          <w:iCs/>
          <w:color w:val="000000" w:themeColor="text1"/>
          <w:sz w:val="16"/>
          <w:szCs w:val="16"/>
        </w:rPr>
        <w:softHyphen/>
        <w:t>дили на высоте 1000-1500 м, но ата</w:t>
      </w:r>
      <w:r w:rsidRPr="00D03F3E">
        <w:rPr>
          <w:rFonts w:ascii="Times New Roman" w:hAnsi="Times New Roman"/>
          <w:iCs/>
          <w:color w:val="000000" w:themeColor="text1"/>
          <w:sz w:val="16"/>
          <w:szCs w:val="16"/>
        </w:rPr>
        <w:softHyphen/>
        <w:t>ку штурмовиков истребителями против</w:t>
      </w:r>
      <w:r w:rsidRPr="00D03F3E">
        <w:rPr>
          <w:rFonts w:ascii="Times New Roman" w:hAnsi="Times New Roman"/>
          <w:iCs/>
          <w:color w:val="000000" w:themeColor="text1"/>
          <w:sz w:val="16"/>
          <w:szCs w:val="16"/>
        </w:rPr>
        <w:softHyphen/>
        <w:t>ника, идущими на низких высотах, оче</w:t>
      </w:r>
      <w:r w:rsidRPr="00D03F3E">
        <w:rPr>
          <w:rFonts w:ascii="Times New Roman" w:hAnsi="Times New Roman"/>
          <w:iCs/>
          <w:color w:val="000000" w:themeColor="text1"/>
          <w:sz w:val="16"/>
          <w:szCs w:val="16"/>
        </w:rPr>
        <w:softHyphen/>
        <w:t>видно, не наблюдали..."</w:t>
      </w:r>
    </w:p>
    <w:p w14:paraId="0CB846E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самом деле, пока штурмовики штурмовали аэродром и отбивались от пилотов люфтваффе, истребители прикрытия вели ожесточенные воздуш</w:t>
      </w:r>
      <w:r w:rsidRPr="00D03F3E">
        <w:rPr>
          <w:rFonts w:ascii="Times New Roman" w:hAnsi="Times New Roman"/>
          <w:color w:val="000000" w:themeColor="text1"/>
          <w:sz w:val="16"/>
          <w:szCs w:val="16"/>
        </w:rPr>
        <w:softHyphen/>
        <w:t>ные бои с превосходящими силами немецких истребителей.</w:t>
      </w:r>
    </w:p>
    <w:p w14:paraId="1484858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Так, пилоты 122-го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в районе аэродрома провели два воздушных боя с 6-8 самолетами противника. В результате два Р\у190 были сбиты и один подбит. Отличились к-н Гугнин и мл. л-т Бушков.</w:t>
      </w:r>
    </w:p>
    <w:p w14:paraId="3B043B3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числа истребителей группы не</w:t>
      </w:r>
      <w:r w:rsidRPr="00D03F3E">
        <w:rPr>
          <w:rFonts w:ascii="Times New Roman" w:hAnsi="Times New Roman"/>
          <w:color w:val="000000" w:themeColor="text1"/>
          <w:sz w:val="16"/>
          <w:szCs w:val="16"/>
        </w:rPr>
        <w:softHyphen/>
        <w:t>посредственного сопровождения воз</w:t>
      </w:r>
      <w:r w:rsidRPr="00D03F3E">
        <w:rPr>
          <w:rFonts w:ascii="Times New Roman" w:hAnsi="Times New Roman"/>
          <w:color w:val="000000" w:themeColor="text1"/>
          <w:sz w:val="16"/>
          <w:szCs w:val="16"/>
        </w:rPr>
        <w:softHyphen/>
        <w:t xml:space="preserve">душный бой вели только к-н Сибирцев и мл. л-т Щедрин из 172-го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кото</w:t>
      </w:r>
      <w:r w:rsidRPr="00D03F3E">
        <w:rPr>
          <w:rFonts w:ascii="Times New Roman" w:hAnsi="Times New Roman"/>
          <w:color w:val="000000" w:themeColor="text1"/>
          <w:sz w:val="16"/>
          <w:szCs w:val="16"/>
        </w:rPr>
        <w:softHyphen/>
        <w:t>рые в паре отражали атаку двух Р^190 на штурмовики ведущей шестерки во время их разворота на цель. В воз</w:t>
      </w:r>
      <w:r w:rsidRPr="00D03F3E">
        <w:rPr>
          <w:rFonts w:ascii="Times New Roman" w:hAnsi="Times New Roman"/>
          <w:color w:val="000000" w:themeColor="text1"/>
          <w:sz w:val="16"/>
          <w:szCs w:val="16"/>
        </w:rPr>
        <w:softHyphen/>
        <w:t>душном бою капитану Сибирцеву уда</w:t>
      </w:r>
      <w:r w:rsidRPr="00D03F3E">
        <w:rPr>
          <w:rFonts w:ascii="Times New Roman" w:hAnsi="Times New Roman"/>
          <w:color w:val="000000" w:themeColor="text1"/>
          <w:sz w:val="16"/>
          <w:szCs w:val="16"/>
        </w:rPr>
        <w:softHyphen/>
        <w:t>лось сбить один "фокке-вульф", после чего второй немецкий пилот вышел из боя.</w:t>
      </w:r>
    </w:p>
    <w:p w14:paraId="2C60109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Надо сказать, штурмовикам 233-й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в определенной степени повез</w:t>
      </w:r>
      <w:r w:rsidRPr="00D03F3E">
        <w:rPr>
          <w:rFonts w:ascii="Times New Roman" w:hAnsi="Times New Roman"/>
          <w:color w:val="000000" w:themeColor="text1"/>
          <w:sz w:val="16"/>
          <w:szCs w:val="16"/>
        </w:rPr>
        <w:softHyphen/>
        <w:t>ло, так как в момент их отхода от аэро</w:t>
      </w:r>
      <w:r w:rsidRPr="00D03F3E">
        <w:rPr>
          <w:rFonts w:ascii="Times New Roman" w:hAnsi="Times New Roman"/>
          <w:color w:val="000000" w:themeColor="text1"/>
          <w:sz w:val="16"/>
          <w:szCs w:val="16"/>
        </w:rPr>
        <w:softHyphen/>
        <w:t xml:space="preserve">дрома к нему подошли 4 девятки Пе-2 от 204-й </w:t>
      </w:r>
      <w:r w:rsidRPr="00D03F3E">
        <w:rPr>
          <w:rFonts w:ascii="Times New Roman" w:hAnsi="Times New Roman"/>
          <w:iCs/>
          <w:color w:val="000000" w:themeColor="text1"/>
          <w:sz w:val="16"/>
          <w:szCs w:val="16"/>
        </w:rPr>
        <w:t xml:space="preserve">бад </w:t>
      </w:r>
      <w:r w:rsidRPr="00D03F3E">
        <w:rPr>
          <w:rFonts w:ascii="Times New Roman" w:hAnsi="Times New Roman"/>
          <w:color w:val="000000" w:themeColor="text1"/>
          <w:sz w:val="16"/>
          <w:szCs w:val="16"/>
        </w:rPr>
        <w:t xml:space="preserve">в сопровождении 44 Ла-5 от 215-й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 xml:space="preserve">2-го </w:t>
      </w:r>
      <w:r w:rsidRPr="00D03F3E">
        <w:rPr>
          <w:rFonts w:ascii="Times New Roman" w:hAnsi="Times New Roman"/>
          <w:iCs/>
          <w:color w:val="000000" w:themeColor="text1"/>
          <w:sz w:val="16"/>
          <w:szCs w:val="16"/>
        </w:rPr>
        <w:t xml:space="preserve">иак. </w:t>
      </w:r>
      <w:r w:rsidRPr="00D03F3E">
        <w:rPr>
          <w:rFonts w:ascii="Times New Roman" w:hAnsi="Times New Roman"/>
          <w:color w:val="000000" w:themeColor="text1"/>
          <w:sz w:val="16"/>
          <w:szCs w:val="16"/>
        </w:rPr>
        <w:t>В результате все внимание немецких зенитчиков и истребителей было направлено на них.</w:t>
      </w:r>
    </w:p>
    <w:p w14:paraId="7C69040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Уже в 20.25 командир 263-го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м-р Алифанов в паре с заместителем командира эскадрильи мл. лейтенан</w:t>
      </w:r>
      <w:r w:rsidRPr="00D03F3E">
        <w:rPr>
          <w:rFonts w:ascii="Times New Roman" w:hAnsi="Times New Roman"/>
          <w:color w:val="000000" w:themeColor="text1"/>
          <w:sz w:val="16"/>
          <w:szCs w:val="16"/>
        </w:rPr>
        <w:softHyphen/>
        <w:t>том Сапегиным на высоте 3000 м всту</w:t>
      </w:r>
      <w:r w:rsidRPr="00D03F3E">
        <w:rPr>
          <w:rFonts w:ascii="Times New Roman" w:hAnsi="Times New Roman"/>
          <w:color w:val="000000" w:themeColor="text1"/>
          <w:sz w:val="16"/>
          <w:szCs w:val="16"/>
        </w:rPr>
        <w:softHyphen/>
        <w:t>пили в бой с парой ФВ190, которые пытались атаковать Пе-2. В ходе воз</w:t>
      </w:r>
      <w:r w:rsidRPr="00D03F3E">
        <w:rPr>
          <w:rFonts w:ascii="Times New Roman" w:hAnsi="Times New Roman"/>
          <w:color w:val="000000" w:themeColor="text1"/>
          <w:sz w:val="16"/>
          <w:szCs w:val="16"/>
        </w:rPr>
        <w:softHyphen/>
        <w:t>душного боя оба самолета противни</w:t>
      </w:r>
      <w:r w:rsidRPr="00D03F3E">
        <w:rPr>
          <w:rFonts w:ascii="Times New Roman" w:hAnsi="Times New Roman"/>
          <w:color w:val="000000" w:themeColor="text1"/>
          <w:sz w:val="16"/>
          <w:szCs w:val="16"/>
        </w:rPr>
        <w:softHyphen/>
        <w:t>ка были сбиты. Истребитель, сбитый Алифановым, упал в 8 км, а Сапеги</w:t>
      </w:r>
      <w:r w:rsidRPr="00D03F3E">
        <w:rPr>
          <w:rFonts w:ascii="Times New Roman" w:hAnsi="Times New Roman"/>
          <w:color w:val="000000" w:themeColor="text1"/>
          <w:sz w:val="16"/>
          <w:szCs w:val="16"/>
        </w:rPr>
        <w:softHyphen/>
        <w:t xml:space="preserve">ным - в 1 2 км северо-западнее Сещи. Подтверждение на сбитые самолеты дали все летчики группы полка и к-н Гугнин из 122-го </w:t>
      </w:r>
      <w:r w:rsidRPr="00D03F3E">
        <w:rPr>
          <w:rFonts w:ascii="Times New Roman" w:hAnsi="Times New Roman"/>
          <w:iCs/>
          <w:color w:val="000000" w:themeColor="text1"/>
          <w:sz w:val="16"/>
          <w:szCs w:val="16"/>
        </w:rPr>
        <w:t>иап.</w:t>
      </w:r>
    </w:p>
    <w:p w14:paraId="63CCBA4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Еще через две минуты при отраже</w:t>
      </w:r>
      <w:r w:rsidRPr="00D03F3E">
        <w:rPr>
          <w:rFonts w:ascii="Times New Roman" w:hAnsi="Times New Roman"/>
          <w:color w:val="000000" w:themeColor="text1"/>
          <w:sz w:val="16"/>
          <w:szCs w:val="16"/>
        </w:rPr>
        <w:softHyphen/>
        <w:t xml:space="preserve">нии атаки двух "фокке-вульфов" на Пе-2 командир звена 263-го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к-н По</w:t>
      </w:r>
      <w:r w:rsidRPr="00D03F3E">
        <w:rPr>
          <w:rFonts w:ascii="Times New Roman" w:hAnsi="Times New Roman"/>
          <w:color w:val="000000" w:themeColor="text1"/>
          <w:sz w:val="16"/>
          <w:szCs w:val="16"/>
        </w:rPr>
        <w:softHyphen/>
        <w:t>пов сбил один из них. Самолет упал в районе Воронов (25 км северо-вос-точнее Сеща). В 20.35 в районе 5-6 км юго-восточнее Сельцо в воздуш</w:t>
      </w:r>
      <w:r w:rsidRPr="00D03F3E">
        <w:rPr>
          <w:rFonts w:ascii="Times New Roman" w:hAnsi="Times New Roman"/>
          <w:color w:val="000000" w:themeColor="text1"/>
          <w:sz w:val="16"/>
          <w:szCs w:val="16"/>
        </w:rPr>
        <w:softHyphen/>
        <w:t>ном бою с группой немецких самоле</w:t>
      </w:r>
      <w:r w:rsidRPr="00D03F3E">
        <w:rPr>
          <w:rFonts w:ascii="Times New Roman" w:hAnsi="Times New Roman"/>
          <w:color w:val="000000" w:themeColor="text1"/>
          <w:sz w:val="16"/>
          <w:szCs w:val="16"/>
        </w:rPr>
        <w:softHyphen/>
        <w:t>тов в составе 2 ФВ190 и 2 Ме109 ко</w:t>
      </w:r>
      <w:r w:rsidRPr="00D03F3E">
        <w:rPr>
          <w:rFonts w:ascii="Times New Roman" w:hAnsi="Times New Roman"/>
          <w:color w:val="000000" w:themeColor="text1"/>
          <w:sz w:val="16"/>
          <w:szCs w:val="16"/>
        </w:rPr>
        <w:softHyphen/>
        <w:t xml:space="preserve">мандир эскадрильи 2-го </w:t>
      </w:r>
      <w:r w:rsidRPr="00D03F3E">
        <w:rPr>
          <w:rFonts w:ascii="Times New Roman" w:hAnsi="Times New Roman"/>
          <w:iCs/>
          <w:color w:val="000000" w:themeColor="text1"/>
          <w:sz w:val="16"/>
          <w:szCs w:val="16"/>
        </w:rPr>
        <w:t xml:space="preserve">гиап </w:t>
      </w:r>
      <w:r w:rsidRPr="00D03F3E">
        <w:rPr>
          <w:rFonts w:ascii="Times New Roman" w:hAnsi="Times New Roman"/>
          <w:color w:val="000000" w:themeColor="text1"/>
          <w:sz w:val="16"/>
          <w:szCs w:val="16"/>
        </w:rPr>
        <w:t>л-т Ко-солапов в паре с мл. лейтенантом Лев</w:t>
      </w:r>
      <w:r w:rsidRPr="00D03F3E">
        <w:rPr>
          <w:rFonts w:ascii="Times New Roman" w:hAnsi="Times New Roman"/>
          <w:color w:val="000000" w:themeColor="text1"/>
          <w:sz w:val="16"/>
          <w:szCs w:val="16"/>
        </w:rPr>
        <w:softHyphen/>
        <w:t>ченко сбил еще один "фоккер". Паде</w:t>
      </w:r>
      <w:r w:rsidRPr="00D03F3E">
        <w:rPr>
          <w:rFonts w:ascii="Times New Roman" w:hAnsi="Times New Roman"/>
          <w:color w:val="000000" w:themeColor="text1"/>
          <w:sz w:val="16"/>
          <w:szCs w:val="16"/>
        </w:rPr>
        <w:softHyphen/>
        <w:t>ние обоих самолетов подтвердили лет</w:t>
      </w:r>
      <w:r w:rsidRPr="00D03F3E">
        <w:rPr>
          <w:rFonts w:ascii="Times New Roman" w:hAnsi="Times New Roman"/>
          <w:color w:val="000000" w:themeColor="text1"/>
          <w:sz w:val="16"/>
          <w:szCs w:val="16"/>
        </w:rPr>
        <w:softHyphen/>
        <w:t xml:space="preserve">чики 2-го гвардейского и 263-го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участвовавшие в боевом вылете.</w:t>
      </w:r>
    </w:p>
    <w:p w14:paraId="40138DD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основная масса немецких истребителей оказалась связан</w:t>
      </w:r>
      <w:r w:rsidRPr="00D03F3E">
        <w:rPr>
          <w:rFonts w:ascii="Times New Roman" w:hAnsi="Times New Roman"/>
          <w:color w:val="000000" w:themeColor="text1"/>
          <w:sz w:val="16"/>
          <w:szCs w:val="16"/>
        </w:rPr>
        <w:softHyphen/>
        <w:t xml:space="preserve">ной воздушным боем с истребителями 215-й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Если бы они не подошли, то отход штурмовиков от аэродрома, учитывая, что истребители сопровож</w:t>
      </w:r>
      <w:r w:rsidRPr="00D03F3E">
        <w:rPr>
          <w:rFonts w:ascii="Times New Roman" w:hAnsi="Times New Roman"/>
          <w:color w:val="000000" w:themeColor="text1"/>
          <w:sz w:val="16"/>
          <w:szCs w:val="16"/>
        </w:rPr>
        <w:softHyphen/>
        <w:t xml:space="preserve">дения от 309-й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находились на боль</w:t>
      </w:r>
      <w:r w:rsidRPr="00D03F3E">
        <w:rPr>
          <w:rFonts w:ascii="Times New Roman" w:hAnsi="Times New Roman"/>
          <w:color w:val="000000" w:themeColor="text1"/>
          <w:sz w:val="16"/>
          <w:szCs w:val="16"/>
        </w:rPr>
        <w:softHyphen/>
        <w:t>шой высоте, вряд ли бы обошелся без серьезных потерь.</w:t>
      </w:r>
    </w:p>
    <w:p w14:paraId="493431B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Помимо самолета майора Бонда-ренко, от огня зенитной артиллерии и истребителей противника повреждения получили еще 4 </w:t>
      </w:r>
      <w:r w:rsidRPr="00D03F3E">
        <w:rPr>
          <w:rFonts w:ascii="Times New Roman" w:hAnsi="Times New Roman"/>
          <w:iCs/>
          <w:color w:val="000000" w:themeColor="text1"/>
          <w:sz w:val="16"/>
          <w:szCs w:val="16"/>
        </w:rPr>
        <w:t>Ил-2.</w:t>
      </w:r>
    </w:p>
    <w:p w14:paraId="7264FCF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 на аэродром Красный Гай вы</w:t>
      </w:r>
      <w:r w:rsidRPr="00D03F3E">
        <w:rPr>
          <w:rFonts w:ascii="Times New Roman" w:hAnsi="Times New Roman"/>
          <w:color w:val="000000" w:themeColor="text1"/>
          <w:sz w:val="16"/>
          <w:szCs w:val="16"/>
        </w:rPr>
        <w:softHyphen/>
        <w:t xml:space="preserve">нужденно сел мл. л-т Петров. В крыло его самолета попал зенитный снаряд, </w:t>
      </w:r>
      <w:r w:rsidRPr="00D03F3E">
        <w:rPr>
          <w:rFonts w:ascii="Times New Roman" w:hAnsi="Times New Roman"/>
          <w:iCs/>
          <w:color w:val="000000" w:themeColor="text1"/>
          <w:sz w:val="16"/>
          <w:szCs w:val="16"/>
        </w:rPr>
        <w:t xml:space="preserve">"разбита одна нога шасси". </w:t>
      </w:r>
      <w:r w:rsidRPr="00D03F3E">
        <w:rPr>
          <w:rFonts w:ascii="Times New Roman" w:hAnsi="Times New Roman"/>
          <w:color w:val="000000" w:themeColor="text1"/>
          <w:sz w:val="16"/>
          <w:szCs w:val="16"/>
        </w:rPr>
        <w:t>Посадка на одно колесо шасси прошла успешно.</w:t>
      </w:r>
    </w:p>
    <w:p w14:paraId="2748AF3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Вынужденную посадку на аэродром Железинки совершил мл. л-т Зиновс-кий (воздушный стрелок старшина Ре-дозубов). На самолете было пробито колесо, перебиты тяги элеронов, в ле</w:t>
      </w:r>
      <w:r w:rsidRPr="00D03F3E">
        <w:rPr>
          <w:rFonts w:ascii="Times New Roman" w:hAnsi="Times New Roman"/>
          <w:color w:val="000000" w:themeColor="text1"/>
          <w:sz w:val="16"/>
          <w:szCs w:val="16"/>
        </w:rPr>
        <w:softHyphen/>
        <w:t>вой плоскости зияла дыра площадью около одного квадратного метра.</w:t>
      </w:r>
    </w:p>
    <w:p w14:paraId="2A76F95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 аэродром Острова </w:t>
      </w:r>
      <w:r w:rsidRPr="00D03F3E">
        <w:rPr>
          <w:rFonts w:ascii="Times New Roman" w:hAnsi="Times New Roman"/>
          <w:iCs/>
          <w:color w:val="000000" w:themeColor="text1"/>
          <w:sz w:val="16"/>
          <w:szCs w:val="16"/>
        </w:rPr>
        <w:t xml:space="preserve">"на одну ногу" </w:t>
      </w:r>
      <w:r w:rsidRPr="00D03F3E">
        <w:rPr>
          <w:rFonts w:ascii="Times New Roman" w:hAnsi="Times New Roman"/>
          <w:color w:val="000000" w:themeColor="text1"/>
          <w:sz w:val="16"/>
          <w:szCs w:val="16"/>
        </w:rPr>
        <w:t xml:space="preserve">сел мл. л-т Захаров - </w:t>
      </w:r>
      <w:r w:rsidRPr="00D03F3E">
        <w:rPr>
          <w:rFonts w:ascii="Times New Roman" w:hAnsi="Times New Roman"/>
          <w:iCs/>
          <w:color w:val="000000" w:themeColor="text1"/>
          <w:sz w:val="16"/>
          <w:szCs w:val="16"/>
        </w:rPr>
        <w:t>"правая нога вырвана, сорван маслорадиатор, помята левая плоскость,... самолет тре</w:t>
      </w:r>
      <w:r w:rsidRPr="00D03F3E">
        <w:rPr>
          <w:rFonts w:ascii="Times New Roman" w:hAnsi="Times New Roman"/>
          <w:iCs/>
          <w:color w:val="000000" w:themeColor="text1"/>
          <w:sz w:val="16"/>
          <w:szCs w:val="16"/>
        </w:rPr>
        <w:softHyphen/>
        <w:t>бует ремонта ПАРМ"</w:t>
      </w:r>
    </w:p>
    <w:p w14:paraId="3148846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15 км юго-западнее Медынь в поле около Алексеевки сел на вынуж</w:t>
      </w:r>
      <w:r w:rsidRPr="00D03F3E">
        <w:rPr>
          <w:rFonts w:ascii="Times New Roman" w:hAnsi="Times New Roman"/>
          <w:color w:val="000000" w:themeColor="text1"/>
          <w:sz w:val="16"/>
          <w:szCs w:val="16"/>
        </w:rPr>
        <w:softHyphen/>
        <w:t>денную посадку с убранными шасси л-т Дроздов. Воздушный стрелок сер</w:t>
      </w:r>
      <w:r w:rsidRPr="00D03F3E">
        <w:rPr>
          <w:rFonts w:ascii="Times New Roman" w:hAnsi="Times New Roman"/>
          <w:color w:val="000000" w:themeColor="text1"/>
          <w:sz w:val="16"/>
          <w:szCs w:val="16"/>
        </w:rPr>
        <w:softHyphen/>
        <w:t>жант Дружинин был ранен, летчик цел.</w:t>
      </w:r>
    </w:p>
    <w:p w14:paraId="460D332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этого, из числа сопровождав</w:t>
      </w:r>
      <w:r w:rsidRPr="00D03F3E">
        <w:rPr>
          <w:rFonts w:ascii="Times New Roman" w:hAnsi="Times New Roman"/>
          <w:color w:val="000000" w:themeColor="text1"/>
          <w:sz w:val="16"/>
          <w:szCs w:val="16"/>
        </w:rPr>
        <w:softHyphen/>
        <w:t>ших штурмовики истребителей с бое</w:t>
      </w:r>
      <w:r w:rsidRPr="00D03F3E">
        <w:rPr>
          <w:rFonts w:ascii="Times New Roman" w:hAnsi="Times New Roman"/>
          <w:color w:val="000000" w:themeColor="text1"/>
          <w:sz w:val="16"/>
          <w:szCs w:val="16"/>
        </w:rPr>
        <w:softHyphen/>
        <w:t>вого задания не вернулись ст. л-т Ви</w:t>
      </w:r>
      <w:r w:rsidRPr="00D03F3E">
        <w:rPr>
          <w:rFonts w:ascii="Times New Roman" w:hAnsi="Times New Roman"/>
          <w:color w:val="000000" w:themeColor="text1"/>
          <w:sz w:val="16"/>
          <w:szCs w:val="16"/>
        </w:rPr>
        <w:softHyphen/>
        <w:t xml:space="preserve">нокуров из 122-го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 xml:space="preserve">и мл. л-т Ми-нарский из 162-го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 xml:space="preserve">а старшина Смоляков из 49-го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 xml:space="preserve">и ст. л-т Сычев из 162-го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совершили вынужденные посадки на аэродромы Острова и Дво-евка, соответственно.</w:t>
      </w:r>
    </w:p>
    <w:p w14:paraId="0370F63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Безвозвратные потери 215-й иод со</w:t>
      </w:r>
      <w:r w:rsidRPr="00D03F3E">
        <w:rPr>
          <w:rFonts w:ascii="Times New Roman" w:hAnsi="Times New Roman"/>
          <w:color w:val="000000" w:themeColor="text1"/>
          <w:sz w:val="16"/>
          <w:szCs w:val="16"/>
        </w:rPr>
        <w:softHyphen/>
        <w:t xml:space="preserve">ставили один Ла-5. Летчик 522-го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мл. л-т Стадничук на поврежденном са</w:t>
      </w:r>
      <w:r w:rsidRPr="00D03F3E">
        <w:rPr>
          <w:rFonts w:ascii="Times New Roman" w:hAnsi="Times New Roman"/>
          <w:color w:val="000000" w:themeColor="text1"/>
          <w:sz w:val="16"/>
          <w:szCs w:val="16"/>
        </w:rPr>
        <w:softHyphen/>
        <w:t>молете совершил вынужденную посад</w:t>
      </w:r>
      <w:r w:rsidRPr="00D03F3E">
        <w:rPr>
          <w:rFonts w:ascii="Times New Roman" w:hAnsi="Times New Roman"/>
          <w:color w:val="000000" w:themeColor="text1"/>
          <w:sz w:val="16"/>
          <w:szCs w:val="16"/>
        </w:rPr>
        <w:softHyphen/>
        <w:t>ку на лес в районе Брынь. Истреби</w:t>
      </w:r>
      <w:r w:rsidRPr="00D03F3E">
        <w:rPr>
          <w:rFonts w:ascii="Times New Roman" w:hAnsi="Times New Roman"/>
          <w:color w:val="000000" w:themeColor="text1"/>
          <w:sz w:val="16"/>
          <w:szCs w:val="16"/>
        </w:rPr>
        <w:softHyphen/>
        <w:t>тель был полностью разбит, а летчик отделался ушибами.</w:t>
      </w:r>
    </w:p>
    <w:p w14:paraId="1FA1ECD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Командир 233-й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Герой Совет</w:t>
      </w:r>
      <w:r w:rsidRPr="00D03F3E">
        <w:rPr>
          <w:rFonts w:ascii="Times New Roman" w:hAnsi="Times New Roman"/>
          <w:color w:val="000000" w:themeColor="text1"/>
          <w:sz w:val="16"/>
          <w:szCs w:val="16"/>
        </w:rPr>
        <w:softHyphen/>
        <w:t>ского Союза п-к В. В. Смирнов в бое</w:t>
      </w:r>
      <w:r w:rsidRPr="00D03F3E">
        <w:rPr>
          <w:rFonts w:ascii="Times New Roman" w:hAnsi="Times New Roman"/>
          <w:color w:val="000000" w:themeColor="text1"/>
          <w:sz w:val="16"/>
          <w:szCs w:val="16"/>
        </w:rPr>
        <w:softHyphen/>
        <w:t xml:space="preserve">вом донесении особо указывал, что: </w:t>
      </w:r>
      <w:r w:rsidRPr="00D03F3E">
        <w:rPr>
          <w:rFonts w:ascii="Times New Roman" w:hAnsi="Times New Roman"/>
          <w:iCs/>
          <w:color w:val="000000" w:themeColor="text1"/>
          <w:sz w:val="16"/>
          <w:szCs w:val="16"/>
        </w:rPr>
        <w:t>"По отзывам экипажей 309-й над и летчиков 2-го иак 198-й шап действо</w:t>
      </w:r>
      <w:r w:rsidRPr="00D03F3E">
        <w:rPr>
          <w:rFonts w:ascii="Times New Roman" w:hAnsi="Times New Roman"/>
          <w:iCs/>
          <w:color w:val="000000" w:themeColor="text1"/>
          <w:sz w:val="16"/>
          <w:szCs w:val="16"/>
        </w:rPr>
        <w:softHyphen/>
        <w:t>вал смело и дерзко, нанеся значитель</w:t>
      </w:r>
      <w:r w:rsidRPr="00D03F3E">
        <w:rPr>
          <w:rFonts w:ascii="Times New Roman" w:hAnsi="Times New Roman"/>
          <w:iCs/>
          <w:color w:val="000000" w:themeColor="text1"/>
          <w:sz w:val="16"/>
          <w:szCs w:val="16"/>
        </w:rPr>
        <w:softHyphen/>
        <w:t>ный ущерб матчасти противника".</w:t>
      </w:r>
    </w:p>
    <w:p w14:paraId="2208375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 докладу штаба 233-й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в ре</w:t>
      </w:r>
      <w:r w:rsidRPr="00D03F3E">
        <w:rPr>
          <w:rFonts w:ascii="Times New Roman" w:hAnsi="Times New Roman"/>
          <w:color w:val="000000" w:themeColor="text1"/>
          <w:sz w:val="16"/>
          <w:szCs w:val="16"/>
        </w:rPr>
        <w:softHyphen/>
        <w:t>зультате удара штурмовиков на аэро</w:t>
      </w:r>
      <w:r w:rsidRPr="00D03F3E">
        <w:rPr>
          <w:rFonts w:ascii="Times New Roman" w:hAnsi="Times New Roman"/>
          <w:color w:val="000000" w:themeColor="text1"/>
          <w:sz w:val="16"/>
          <w:szCs w:val="16"/>
        </w:rPr>
        <w:softHyphen/>
        <w:t>дроме Сеща было уничтожено до 20 и повреждено до 15 немецких самоле</w:t>
      </w:r>
      <w:r w:rsidRPr="00D03F3E">
        <w:rPr>
          <w:rFonts w:ascii="Times New Roman" w:hAnsi="Times New Roman"/>
          <w:color w:val="000000" w:themeColor="text1"/>
          <w:sz w:val="16"/>
          <w:szCs w:val="16"/>
        </w:rPr>
        <w:softHyphen/>
        <w:t>тов, создано два взрыва большой силы (предположительно склады горючего). В воздушных боях сбито 5 Р^190, из них два — штурмовиками.</w:t>
      </w:r>
    </w:p>
    <w:p w14:paraId="3040F8A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"обобщения" донесений вы</w:t>
      </w:r>
      <w:r w:rsidRPr="00D03F3E">
        <w:rPr>
          <w:rFonts w:ascii="Times New Roman" w:hAnsi="Times New Roman"/>
          <w:color w:val="000000" w:themeColor="text1"/>
          <w:sz w:val="16"/>
          <w:szCs w:val="16"/>
        </w:rPr>
        <w:softHyphen/>
        <w:t xml:space="preserve">летавших частей и соединений штаб 1-й ВА доложил руководству ВВС КА, что при налете 8 июня: </w:t>
      </w:r>
      <w:r w:rsidRPr="00D03F3E">
        <w:rPr>
          <w:rFonts w:ascii="Times New Roman" w:hAnsi="Times New Roman"/>
          <w:iCs/>
          <w:color w:val="000000" w:themeColor="text1"/>
          <w:sz w:val="16"/>
          <w:szCs w:val="16"/>
        </w:rPr>
        <w:t>"На аэродро</w:t>
      </w:r>
      <w:r w:rsidRPr="00D03F3E">
        <w:rPr>
          <w:rFonts w:ascii="Times New Roman" w:hAnsi="Times New Roman"/>
          <w:iCs/>
          <w:color w:val="000000" w:themeColor="text1"/>
          <w:sz w:val="16"/>
          <w:szCs w:val="16"/>
        </w:rPr>
        <w:softHyphen/>
        <w:t>ме Сеща уничтожено и повреждено, и частично подтверждено фотоконтро</w:t>
      </w:r>
      <w:r w:rsidRPr="00D03F3E">
        <w:rPr>
          <w:rFonts w:ascii="Times New Roman" w:hAnsi="Times New Roman"/>
          <w:iCs/>
          <w:color w:val="000000" w:themeColor="text1"/>
          <w:sz w:val="16"/>
          <w:szCs w:val="16"/>
        </w:rPr>
        <w:softHyphen/>
        <w:t>лем, до 35 самолетов противника из 60-70 находившихся на нем самоле</w:t>
      </w:r>
      <w:r w:rsidRPr="00D03F3E">
        <w:rPr>
          <w:rFonts w:ascii="Times New Roman" w:hAnsi="Times New Roman"/>
          <w:iCs/>
          <w:color w:val="000000" w:themeColor="text1"/>
          <w:sz w:val="16"/>
          <w:szCs w:val="16"/>
        </w:rPr>
        <w:softHyphen/>
        <w:t>тов. Истребители наблюдали 18 очагов пожаров в районе стоянок после удара Ил-2, а в районе ангаров 2 сильных взры</w:t>
      </w:r>
      <w:r w:rsidRPr="00D03F3E">
        <w:rPr>
          <w:rFonts w:ascii="Times New Roman" w:hAnsi="Times New Roman"/>
          <w:iCs/>
          <w:color w:val="000000" w:themeColor="text1"/>
          <w:sz w:val="16"/>
          <w:szCs w:val="16"/>
        </w:rPr>
        <w:softHyphen/>
        <w:t>ва с высотой пламени до 300 м ".</w:t>
      </w:r>
    </w:p>
    <w:p w14:paraId="478EE60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Экипажами воздушной армии было проведено в общей сложности 9 воз</w:t>
      </w:r>
      <w:r w:rsidRPr="00D03F3E">
        <w:rPr>
          <w:rFonts w:ascii="Times New Roman" w:hAnsi="Times New Roman"/>
          <w:color w:val="000000" w:themeColor="text1"/>
          <w:sz w:val="16"/>
          <w:szCs w:val="16"/>
        </w:rPr>
        <w:softHyphen/>
        <w:t>душных боев, в которых сбито 8 само</w:t>
      </w:r>
      <w:r w:rsidRPr="00D03F3E">
        <w:rPr>
          <w:rFonts w:ascii="Times New Roman" w:hAnsi="Times New Roman"/>
          <w:color w:val="000000" w:themeColor="text1"/>
          <w:sz w:val="16"/>
          <w:szCs w:val="16"/>
        </w:rPr>
        <w:softHyphen/>
        <w:t>летов противника, в том числе 5 само</w:t>
      </w:r>
      <w:r w:rsidRPr="00D03F3E">
        <w:rPr>
          <w:rFonts w:ascii="Times New Roman" w:hAnsi="Times New Roman"/>
          <w:color w:val="000000" w:themeColor="text1"/>
          <w:sz w:val="16"/>
          <w:szCs w:val="16"/>
        </w:rPr>
        <w:softHyphen/>
        <w:t>летов истребителями - один Ме109, два ФВ190, два ФВ190, и три самолета бом</w:t>
      </w:r>
      <w:r w:rsidRPr="00D03F3E">
        <w:rPr>
          <w:rFonts w:ascii="Times New Roman" w:hAnsi="Times New Roman"/>
          <w:color w:val="000000" w:themeColor="text1"/>
          <w:sz w:val="16"/>
          <w:szCs w:val="16"/>
        </w:rPr>
        <w:softHyphen/>
        <w:t>бардировщиками - два Ме109 и один ФВ190. О немецких истребителях, сби</w:t>
      </w:r>
      <w:r w:rsidRPr="00D03F3E">
        <w:rPr>
          <w:rFonts w:ascii="Times New Roman" w:hAnsi="Times New Roman"/>
          <w:color w:val="000000" w:themeColor="text1"/>
          <w:sz w:val="16"/>
          <w:szCs w:val="16"/>
        </w:rPr>
        <w:softHyphen/>
        <w:t xml:space="preserve">тых пилотами 122-го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и штурмови</w:t>
      </w:r>
      <w:r w:rsidRPr="00D03F3E">
        <w:rPr>
          <w:rFonts w:ascii="Times New Roman" w:hAnsi="Times New Roman"/>
          <w:color w:val="000000" w:themeColor="text1"/>
          <w:sz w:val="16"/>
          <w:szCs w:val="16"/>
        </w:rPr>
        <w:softHyphen/>
        <w:t xml:space="preserve">ками 198-го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ничего не говори</w:t>
      </w:r>
      <w:r w:rsidRPr="00D03F3E">
        <w:rPr>
          <w:rFonts w:ascii="Times New Roman" w:hAnsi="Times New Roman"/>
          <w:color w:val="000000" w:themeColor="text1"/>
          <w:sz w:val="16"/>
          <w:szCs w:val="16"/>
        </w:rPr>
        <w:softHyphen/>
        <w:t>лось. Из своих потерь были указаны только две "пешки", сбитые зенитной артиллерией противника.</w:t>
      </w:r>
    </w:p>
    <w:p w14:paraId="501C1E9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согласно официаль</w:t>
      </w:r>
      <w:r w:rsidRPr="00D03F3E">
        <w:rPr>
          <w:rFonts w:ascii="Times New Roman" w:hAnsi="Times New Roman"/>
          <w:color w:val="000000" w:themeColor="text1"/>
          <w:sz w:val="16"/>
          <w:szCs w:val="16"/>
        </w:rPr>
        <w:softHyphen/>
        <w:t>ным данным штаба 1-й ВА можно счи</w:t>
      </w:r>
      <w:r w:rsidRPr="00D03F3E">
        <w:rPr>
          <w:rFonts w:ascii="Times New Roman" w:hAnsi="Times New Roman"/>
          <w:color w:val="000000" w:themeColor="text1"/>
          <w:sz w:val="16"/>
          <w:szCs w:val="16"/>
        </w:rPr>
        <w:softHyphen/>
        <w:t>тать, что 8 июня противник потерял 51 самолет, в том числе: 43 самолета, унич</w:t>
      </w:r>
      <w:r w:rsidRPr="00D03F3E">
        <w:rPr>
          <w:rFonts w:ascii="Times New Roman" w:hAnsi="Times New Roman"/>
          <w:color w:val="000000" w:themeColor="text1"/>
          <w:sz w:val="16"/>
          <w:szCs w:val="16"/>
        </w:rPr>
        <w:softHyphen/>
        <w:t>тоженных и поврежденных на земле, и 8 самолетов, сбитых в воздушных боях.</w:t>
      </w:r>
    </w:p>
    <w:p w14:paraId="61CF7F7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Несколько позже штаб партизанс</w:t>
      </w:r>
      <w:r w:rsidRPr="00D03F3E">
        <w:rPr>
          <w:rFonts w:ascii="Times New Roman" w:hAnsi="Times New Roman"/>
          <w:color w:val="000000" w:themeColor="text1"/>
          <w:sz w:val="16"/>
          <w:szCs w:val="16"/>
        </w:rPr>
        <w:softHyphen/>
        <w:t>кого движения Западного фронта подтвердил, что в результате удара по аэродрому Сеща 8 июня авиацией 1-й ВА было уничтожено и повреждено 31 самолет противника, разрушено 3 барака, уничтожен продовольственный склад, 21 автомашина, 14 бочек с бен</w:t>
      </w:r>
      <w:r w:rsidRPr="00D03F3E">
        <w:rPr>
          <w:rFonts w:ascii="Times New Roman" w:hAnsi="Times New Roman"/>
          <w:color w:val="000000" w:themeColor="text1"/>
          <w:sz w:val="16"/>
          <w:szCs w:val="16"/>
        </w:rPr>
        <w:softHyphen/>
        <w:t>зином, до 150 человек обслуживаю</w:t>
      </w:r>
      <w:r w:rsidRPr="00D03F3E">
        <w:rPr>
          <w:rFonts w:ascii="Times New Roman" w:hAnsi="Times New Roman"/>
          <w:color w:val="000000" w:themeColor="text1"/>
          <w:sz w:val="16"/>
          <w:szCs w:val="16"/>
        </w:rPr>
        <w:softHyphen/>
        <w:t>щего персонала базы.</w:t>
      </w:r>
    </w:p>
    <w:p w14:paraId="70590F6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Следует отметить, что помимо 23 штурмовиков, не выполнивших боевое задание, группа из 9 Пе-2 и 8 истре</w:t>
      </w:r>
      <w:r w:rsidRPr="00D03F3E">
        <w:rPr>
          <w:rFonts w:ascii="Times New Roman" w:hAnsi="Times New Roman"/>
          <w:color w:val="000000" w:themeColor="text1"/>
          <w:sz w:val="16"/>
          <w:szCs w:val="16"/>
        </w:rPr>
        <w:softHyphen/>
        <w:t xml:space="preserve">бителей прикрытия от 215-й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ото</w:t>
      </w:r>
      <w:r w:rsidRPr="00D03F3E">
        <w:rPr>
          <w:rFonts w:ascii="Times New Roman" w:hAnsi="Times New Roman"/>
          <w:color w:val="000000" w:themeColor="text1"/>
          <w:sz w:val="16"/>
          <w:szCs w:val="16"/>
        </w:rPr>
        <w:softHyphen/>
        <w:t xml:space="preserve">рвалась от общего боевого порядка и, </w:t>
      </w:r>
      <w:r w:rsidRPr="00D03F3E">
        <w:rPr>
          <w:rFonts w:ascii="Times New Roman" w:hAnsi="Times New Roman"/>
          <w:iCs/>
          <w:color w:val="000000" w:themeColor="text1"/>
          <w:sz w:val="16"/>
          <w:szCs w:val="16"/>
        </w:rPr>
        <w:t>"не догнав бомбардировщиков дру</w:t>
      </w:r>
      <w:r w:rsidRPr="00D03F3E">
        <w:rPr>
          <w:rFonts w:ascii="Times New Roman" w:hAnsi="Times New Roman"/>
          <w:iCs/>
          <w:color w:val="000000" w:themeColor="text1"/>
          <w:sz w:val="16"/>
          <w:szCs w:val="16"/>
        </w:rPr>
        <w:softHyphen/>
        <w:t xml:space="preserve">гих групп", </w:t>
      </w:r>
      <w:r w:rsidRPr="00D03F3E">
        <w:rPr>
          <w:rFonts w:ascii="Times New Roman" w:hAnsi="Times New Roman"/>
          <w:color w:val="000000" w:themeColor="text1"/>
          <w:sz w:val="16"/>
          <w:szCs w:val="16"/>
        </w:rPr>
        <w:t>до цели не дошла, отбом</w:t>
      </w:r>
      <w:r w:rsidRPr="00D03F3E">
        <w:rPr>
          <w:rFonts w:ascii="Times New Roman" w:hAnsi="Times New Roman"/>
          <w:color w:val="000000" w:themeColor="text1"/>
          <w:sz w:val="16"/>
          <w:szCs w:val="16"/>
        </w:rPr>
        <w:softHyphen/>
        <w:t xml:space="preserve">билась по запасной цели ст. Бетлица, а затем </w:t>
      </w:r>
      <w:r w:rsidRPr="00D03F3E">
        <w:rPr>
          <w:rFonts w:ascii="Times New Roman" w:hAnsi="Times New Roman"/>
          <w:iCs/>
          <w:color w:val="000000" w:themeColor="text1"/>
          <w:sz w:val="16"/>
          <w:szCs w:val="16"/>
        </w:rPr>
        <w:t>"возвратилась на свой аэро</w:t>
      </w:r>
      <w:r w:rsidRPr="00D03F3E">
        <w:rPr>
          <w:rFonts w:ascii="Times New Roman" w:hAnsi="Times New Roman"/>
          <w:iCs/>
          <w:color w:val="000000" w:themeColor="text1"/>
          <w:sz w:val="16"/>
          <w:szCs w:val="16"/>
        </w:rPr>
        <w:softHyphen/>
        <w:t>дром ".</w:t>
      </w:r>
    </w:p>
    <w:p w14:paraId="23B0DE3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Весьма трагично завершился налет авиации 1-й ВА на аэродромы против</w:t>
      </w:r>
      <w:r w:rsidRPr="00D03F3E">
        <w:rPr>
          <w:rFonts w:ascii="Times New Roman" w:hAnsi="Times New Roman"/>
          <w:color w:val="000000" w:themeColor="text1"/>
          <w:sz w:val="16"/>
          <w:szCs w:val="16"/>
        </w:rPr>
        <w:softHyphen/>
        <w:t>ника 10 июня. В этот день штаб 1 -и ВА организовал удары по трем аэродро</w:t>
      </w:r>
      <w:r w:rsidRPr="00D03F3E">
        <w:rPr>
          <w:rFonts w:ascii="Times New Roman" w:hAnsi="Times New Roman"/>
          <w:color w:val="000000" w:themeColor="text1"/>
          <w:sz w:val="16"/>
          <w:szCs w:val="16"/>
        </w:rPr>
        <w:softHyphen/>
        <w:t>мам: Сеща, Брянск и Озерская.</w:t>
      </w:r>
    </w:p>
    <w:p w14:paraId="5349271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выполнения боевой задачи было задействовано 44 Пе-2, 54 Ил-2 и 135 истребителей. Из этого числа по аэро</w:t>
      </w:r>
      <w:r w:rsidRPr="00D03F3E">
        <w:rPr>
          <w:rFonts w:ascii="Times New Roman" w:hAnsi="Times New Roman"/>
          <w:color w:val="000000" w:themeColor="text1"/>
          <w:sz w:val="16"/>
          <w:szCs w:val="16"/>
        </w:rPr>
        <w:softHyphen/>
        <w:t xml:space="preserve">дрому Сеща выделялось 36 Пе-2 от 204-й </w:t>
      </w:r>
      <w:r w:rsidRPr="00D03F3E">
        <w:rPr>
          <w:rFonts w:ascii="Times New Roman" w:hAnsi="Times New Roman"/>
          <w:iCs/>
          <w:color w:val="000000" w:themeColor="text1"/>
          <w:sz w:val="16"/>
          <w:szCs w:val="16"/>
        </w:rPr>
        <w:t xml:space="preserve">бац, </w:t>
      </w:r>
      <w:r w:rsidRPr="00D03F3E">
        <w:rPr>
          <w:rFonts w:ascii="Times New Roman" w:hAnsi="Times New Roman"/>
          <w:color w:val="000000" w:themeColor="text1"/>
          <w:sz w:val="16"/>
          <w:szCs w:val="16"/>
        </w:rPr>
        <w:t xml:space="preserve">23 Ил-2 и 6 Як-1 от 233-й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 xml:space="preserve">20 Як-1 и Як-7 и 4 Ла-5 309-й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 xml:space="preserve">55 Ла-5 от 215-й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 xml:space="preserve">2-го </w:t>
      </w:r>
      <w:r w:rsidRPr="00D03F3E">
        <w:rPr>
          <w:rFonts w:ascii="Times New Roman" w:hAnsi="Times New Roman"/>
          <w:iCs/>
          <w:color w:val="000000" w:themeColor="text1"/>
          <w:sz w:val="16"/>
          <w:szCs w:val="16"/>
        </w:rPr>
        <w:t xml:space="preserve">иак. </w:t>
      </w:r>
      <w:r w:rsidRPr="00D03F3E">
        <w:rPr>
          <w:rFonts w:ascii="Times New Roman" w:hAnsi="Times New Roman"/>
          <w:color w:val="000000" w:themeColor="text1"/>
          <w:sz w:val="16"/>
          <w:szCs w:val="16"/>
        </w:rPr>
        <w:t xml:space="preserve">Для действий по аэродрому Брянск "работали" 8 Пе-2 204-й </w:t>
      </w:r>
      <w:r w:rsidRPr="00D03F3E">
        <w:rPr>
          <w:rFonts w:ascii="Times New Roman" w:hAnsi="Times New Roman"/>
          <w:iCs/>
          <w:color w:val="000000" w:themeColor="text1"/>
          <w:sz w:val="16"/>
          <w:szCs w:val="16"/>
        </w:rPr>
        <w:t xml:space="preserve">бад, </w:t>
      </w:r>
      <w:r w:rsidRPr="00D03F3E">
        <w:rPr>
          <w:rFonts w:ascii="Times New Roman" w:hAnsi="Times New Roman"/>
          <w:color w:val="000000" w:themeColor="text1"/>
          <w:sz w:val="16"/>
          <w:szCs w:val="16"/>
        </w:rPr>
        <w:t xml:space="preserve">23 Ил-2 224-й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 xml:space="preserve">42 Як-7 от 303-й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 xml:space="preserve">и по аэродрому Озерская - 8 Ил-2 224-й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 xml:space="preserve">8 Як-1 </w:t>
      </w:r>
      <w:r w:rsidRPr="00D03F3E">
        <w:rPr>
          <w:rFonts w:ascii="Times New Roman" w:hAnsi="Times New Roman"/>
          <w:iCs/>
          <w:color w:val="000000" w:themeColor="text1"/>
          <w:sz w:val="16"/>
          <w:szCs w:val="16"/>
        </w:rPr>
        <w:t xml:space="preserve">аэ </w:t>
      </w:r>
      <w:r w:rsidRPr="00D03F3E">
        <w:rPr>
          <w:rFonts w:ascii="Times New Roman" w:hAnsi="Times New Roman"/>
          <w:color w:val="000000" w:themeColor="text1"/>
          <w:sz w:val="16"/>
          <w:szCs w:val="16"/>
        </w:rPr>
        <w:t>"Нормандия".</w:t>
      </w:r>
    </w:p>
    <w:p w14:paraId="386C772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документах штаба 1-й ВА и неко</w:t>
      </w:r>
      <w:r w:rsidRPr="00D03F3E">
        <w:rPr>
          <w:rFonts w:ascii="Times New Roman" w:hAnsi="Times New Roman"/>
          <w:color w:val="000000" w:themeColor="text1"/>
          <w:sz w:val="16"/>
          <w:szCs w:val="16"/>
        </w:rPr>
        <w:softHyphen/>
        <w:t>торых соединений отмечается, что при подготовке к боевому вылету каждый штурмовой авиаполк имел последние данные и фотосхему аэродрома уда</w:t>
      </w:r>
      <w:r w:rsidRPr="00D03F3E">
        <w:rPr>
          <w:rFonts w:ascii="Times New Roman" w:hAnsi="Times New Roman"/>
          <w:color w:val="000000" w:themeColor="text1"/>
          <w:sz w:val="16"/>
          <w:szCs w:val="16"/>
        </w:rPr>
        <w:softHyphen/>
        <w:t xml:space="preserve">ра </w:t>
      </w:r>
      <w:r w:rsidRPr="00D03F3E">
        <w:rPr>
          <w:rFonts w:ascii="Times New Roman" w:hAnsi="Times New Roman"/>
          <w:iCs/>
          <w:color w:val="000000" w:themeColor="text1"/>
          <w:sz w:val="16"/>
          <w:szCs w:val="16"/>
        </w:rPr>
        <w:t xml:space="preserve">"с наличием и расположением мат-части на аэродроме и системы ПВО аэродрома за 10.06". </w:t>
      </w:r>
      <w:r w:rsidRPr="00D03F3E">
        <w:rPr>
          <w:rFonts w:ascii="Times New Roman" w:hAnsi="Times New Roman"/>
          <w:color w:val="000000" w:themeColor="text1"/>
          <w:sz w:val="16"/>
          <w:szCs w:val="16"/>
        </w:rPr>
        <w:t>Однако это не совсем так. Анализ боевых распоря</w:t>
      </w:r>
      <w:r w:rsidRPr="00D03F3E">
        <w:rPr>
          <w:rFonts w:ascii="Times New Roman" w:hAnsi="Times New Roman"/>
          <w:color w:val="000000" w:themeColor="text1"/>
          <w:sz w:val="16"/>
          <w:szCs w:val="16"/>
        </w:rPr>
        <w:softHyphen/>
        <w:t>жений ряда авиаполков на удар по аэродромам 10 июня позволяет сде</w:t>
      </w:r>
      <w:r w:rsidRPr="00D03F3E">
        <w:rPr>
          <w:rFonts w:ascii="Times New Roman" w:hAnsi="Times New Roman"/>
          <w:color w:val="000000" w:themeColor="text1"/>
          <w:sz w:val="16"/>
          <w:szCs w:val="16"/>
        </w:rPr>
        <w:softHyphen/>
        <w:t>лать вывод, что в полках имелись точ</w:t>
      </w:r>
      <w:r w:rsidRPr="00D03F3E">
        <w:rPr>
          <w:rFonts w:ascii="Times New Roman" w:hAnsi="Times New Roman"/>
          <w:color w:val="000000" w:themeColor="text1"/>
          <w:sz w:val="16"/>
          <w:szCs w:val="16"/>
        </w:rPr>
        <w:softHyphen/>
        <w:t>ные данные о наличии и расположе</w:t>
      </w:r>
      <w:r w:rsidRPr="00D03F3E">
        <w:rPr>
          <w:rFonts w:ascii="Times New Roman" w:hAnsi="Times New Roman"/>
          <w:color w:val="000000" w:themeColor="text1"/>
          <w:sz w:val="16"/>
          <w:szCs w:val="16"/>
        </w:rPr>
        <w:softHyphen/>
        <w:t>нии самолетов на аэродромах - фо</w:t>
      </w:r>
      <w:r w:rsidRPr="00D03F3E">
        <w:rPr>
          <w:rFonts w:ascii="Times New Roman" w:hAnsi="Times New Roman"/>
          <w:color w:val="000000" w:themeColor="text1"/>
          <w:sz w:val="16"/>
          <w:szCs w:val="16"/>
        </w:rPr>
        <w:softHyphen/>
        <w:t>топланшеты - только на 7 июня. Фо</w:t>
      </w:r>
      <w:r w:rsidRPr="00D03F3E">
        <w:rPr>
          <w:rFonts w:ascii="Times New Roman" w:hAnsi="Times New Roman"/>
          <w:color w:val="000000" w:themeColor="text1"/>
          <w:sz w:val="16"/>
          <w:szCs w:val="16"/>
        </w:rPr>
        <w:softHyphen/>
        <w:t>тоданные авиаразведки 8 и 9 июня в части не спускались. Поэтому летный состав в полках при постановке бое</w:t>
      </w:r>
      <w:r w:rsidRPr="00D03F3E">
        <w:rPr>
          <w:rFonts w:ascii="Times New Roman" w:hAnsi="Times New Roman"/>
          <w:color w:val="000000" w:themeColor="text1"/>
          <w:sz w:val="16"/>
          <w:szCs w:val="16"/>
        </w:rPr>
        <w:softHyphen/>
        <w:t>вых задач пользовался во многом ус</w:t>
      </w:r>
      <w:r w:rsidRPr="00D03F3E">
        <w:rPr>
          <w:rFonts w:ascii="Times New Roman" w:hAnsi="Times New Roman"/>
          <w:color w:val="000000" w:themeColor="text1"/>
          <w:sz w:val="16"/>
          <w:szCs w:val="16"/>
        </w:rPr>
        <w:softHyphen/>
        <w:t>таревшими данными.</w:t>
      </w:r>
    </w:p>
    <w:p w14:paraId="342464B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 удара фактически повторял план, составленный 7 июня. Каких-либо серьезных изменений не вносилось. В то же время, ни о какой внезапности удара речи быть не могло.</w:t>
      </w:r>
    </w:p>
    <w:p w14:paraId="7339A8B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Удар по аэродрому Сеща 8 июня довольно крупными силами и пролеты разведчиков армии над аэродромами в течение всего дня 9 и утром 1 0 июня укрепили противника в мысли, что со</w:t>
      </w:r>
      <w:r w:rsidRPr="00D03F3E">
        <w:rPr>
          <w:rFonts w:ascii="Times New Roman" w:hAnsi="Times New Roman"/>
          <w:color w:val="000000" w:themeColor="text1"/>
          <w:sz w:val="16"/>
          <w:szCs w:val="16"/>
        </w:rPr>
        <w:softHyphen/>
        <w:t>ветское командование готовится нане</w:t>
      </w:r>
      <w:r w:rsidRPr="00D03F3E">
        <w:rPr>
          <w:rFonts w:ascii="Times New Roman" w:hAnsi="Times New Roman"/>
          <w:color w:val="000000" w:themeColor="text1"/>
          <w:sz w:val="16"/>
          <w:szCs w:val="16"/>
        </w:rPr>
        <w:softHyphen/>
        <w:t>сти еще более сильный налет на аэро</w:t>
      </w:r>
      <w:r w:rsidRPr="00D03F3E">
        <w:rPr>
          <w:rFonts w:ascii="Times New Roman" w:hAnsi="Times New Roman"/>
          <w:color w:val="000000" w:themeColor="text1"/>
          <w:sz w:val="16"/>
          <w:szCs w:val="16"/>
        </w:rPr>
        <w:softHyphen/>
        <w:t>дромы базирования его бомбардиро</w:t>
      </w:r>
      <w:r w:rsidRPr="00D03F3E">
        <w:rPr>
          <w:rFonts w:ascii="Times New Roman" w:hAnsi="Times New Roman"/>
          <w:color w:val="000000" w:themeColor="text1"/>
          <w:sz w:val="16"/>
          <w:szCs w:val="16"/>
        </w:rPr>
        <w:softHyphen/>
        <w:t>вочной авиации. Тем более что после отмены боевого задания 9 июня пере</w:t>
      </w:r>
      <w:r w:rsidRPr="00D03F3E">
        <w:rPr>
          <w:rFonts w:ascii="Times New Roman" w:hAnsi="Times New Roman"/>
          <w:color w:val="000000" w:themeColor="text1"/>
          <w:sz w:val="16"/>
          <w:szCs w:val="16"/>
        </w:rPr>
        <w:softHyphen/>
        <w:t>лет выделенных для удара групп штур</w:t>
      </w:r>
      <w:r w:rsidRPr="00D03F3E">
        <w:rPr>
          <w:rFonts w:ascii="Times New Roman" w:hAnsi="Times New Roman"/>
          <w:color w:val="000000" w:themeColor="text1"/>
          <w:sz w:val="16"/>
          <w:szCs w:val="16"/>
        </w:rPr>
        <w:softHyphen/>
        <w:t>мовиков и истребителей на свои аэро</w:t>
      </w:r>
      <w:r w:rsidRPr="00D03F3E">
        <w:rPr>
          <w:rFonts w:ascii="Times New Roman" w:hAnsi="Times New Roman"/>
          <w:color w:val="000000" w:themeColor="text1"/>
          <w:sz w:val="16"/>
          <w:szCs w:val="16"/>
        </w:rPr>
        <w:softHyphen/>
        <w:t>дромы сопровождался разного рода "разговорами" в эфире, а 10 июня они вновь "подсели" на аэродромы подско</w:t>
      </w:r>
      <w:r w:rsidRPr="00D03F3E">
        <w:rPr>
          <w:rFonts w:ascii="Times New Roman" w:hAnsi="Times New Roman"/>
          <w:color w:val="000000" w:themeColor="text1"/>
          <w:sz w:val="16"/>
          <w:szCs w:val="16"/>
        </w:rPr>
        <w:softHyphen/>
        <w:t>ка. Перелет такой большой массы са</w:t>
      </w:r>
      <w:r w:rsidRPr="00D03F3E">
        <w:rPr>
          <w:rFonts w:ascii="Times New Roman" w:hAnsi="Times New Roman"/>
          <w:color w:val="000000" w:themeColor="text1"/>
          <w:sz w:val="16"/>
          <w:szCs w:val="16"/>
        </w:rPr>
        <w:softHyphen/>
        <w:t>молетов в оба конца, очевидно, не мог остаться незамеченным для немецкой авиаразведки и службы радиоперех</w:t>
      </w:r>
      <w:r w:rsidRPr="00D03F3E">
        <w:rPr>
          <w:rFonts w:ascii="Times New Roman" w:hAnsi="Times New Roman"/>
          <w:color w:val="000000" w:themeColor="text1"/>
          <w:sz w:val="16"/>
          <w:szCs w:val="16"/>
        </w:rPr>
        <w:softHyphen/>
        <w:t>вата.</w:t>
      </w:r>
    </w:p>
    <w:p w14:paraId="060B1AB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этому следует добавить, что на рассвете 10 июня 2-я воздушная ар</w:t>
      </w:r>
      <w:r w:rsidRPr="00D03F3E">
        <w:rPr>
          <w:rFonts w:ascii="Times New Roman" w:hAnsi="Times New Roman"/>
          <w:color w:val="000000" w:themeColor="text1"/>
          <w:sz w:val="16"/>
          <w:szCs w:val="16"/>
        </w:rPr>
        <w:softHyphen/>
        <w:t xml:space="preserve">мия силами 48 Ил-2 от 1 -го </w:t>
      </w:r>
      <w:r w:rsidRPr="00D03F3E">
        <w:rPr>
          <w:rFonts w:ascii="Times New Roman" w:hAnsi="Times New Roman"/>
          <w:iCs/>
          <w:color w:val="000000" w:themeColor="text1"/>
          <w:sz w:val="16"/>
          <w:szCs w:val="16"/>
        </w:rPr>
        <w:t xml:space="preserve">шак </w:t>
      </w:r>
      <w:r w:rsidRPr="00D03F3E">
        <w:rPr>
          <w:rFonts w:ascii="Times New Roman" w:hAnsi="Times New Roman"/>
          <w:color w:val="000000" w:themeColor="text1"/>
          <w:sz w:val="16"/>
          <w:szCs w:val="16"/>
        </w:rPr>
        <w:t>в со</w:t>
      </w:r>
      <w:r w:rsidRPr="00D03F3E">
        <w:rPr>
          <w:rFonts w:ascii="Times New Roman" w:hAnsi="Times New Roman"/>
          <w:color w:val="000000" w:themeColor="text1"/>
          <w:sz w:val="16"/>
          <w:szCs w:val="16"/>
        </w:rPr>
        <w:softHyphen/>
        <w:t xml:space="preserve">провождении 77 истребителей от 4-го </w:t>
      </w:r>
      <w:r w:rsidRPr="00D03F3E">
        <w:rPr>
          <w:rFonts w:ascii="Times New Roman" w:hAnsi="Times New Roman"/>
          <w:iCs/>
          <w:color w:val="000000" w:themeColor="text1"/>
          <w:sz w:val="16"/>
          <w:szCs w:val="16"/>
        </w:rPr>
        <w:t xml:space="preserve">иак </w:t>
      </w:r>
      <w:r w:rsidRPr="00D03F3E">
        <w:rPr>
          <w:rFonts w:ascii="Times New Roman" w:hAnsi="Times New Roman"/>
          <w:color w:val="000000" w:themeColor="text1"/>
          <w:sz w:val="16"/>
          <w:szCs w:val="16"/>
        </w:rPr>
        <w:t>нанесла удары по двум аэродро</w:t>
      </w:r>
      <w:r w:rsidRPr="00D03F3E">
        <w:rPr>
          <w:rFonts w:ascii="Times New Roman" w:hAnsi="Times New Roman"/>
          <w:color w:val="000000" w:themeColor="text1"/>
          <w:sz w:val="16"/>
          <w:szCs w:val="16"/>
        </w:rPr>
        <w:softHyphen/>
        <w:t>мам Харьковского аэроузла. Судя по документам, налет оказался для про</w:t>
      </w:r>
      <w:r w:rsidRPr="00D03F3E">
        <w:rPr>
          <w:rFonts w:ascii="Times New Roman" w:hAnsi="Times New Roman"/>
          <w:color w:val="000000" w:themeColor="text1"/>
          <w:sz w:val="16"/>
          <w:szCs w:val="16"/>
        </w:rPr>
        <w:softHyphen/>
        <w:t>тивника неожиданным, и он понес чув</w:t>
      </w:r>
      <w:r w:rsidRPr="00D03F3E">
        <w:rPr>
          <w:rFonts w:ascii="Times New Roman" w:hAnsi="Times New Roman"/>
          <w:color w:val="000000" w:themeColor="text1"/>
          <w:sz w:val="16"/>
          <w:szCs w:val="16"/>
        </w:rPr>
        <w:softHyphen/>
        <w:t>ствительные потери. По докладам эки</w:t>
      </w:r>
      <w:r w:rsidRPr="00D03F3E">
        <w:rPr>
          <w:rFonts w:ascii="Times New Roman" w:hAnsi="Times New Roman"/>
          <w:color w:val="000000" w:themeColor="text1"/>
          <w:sz w:val="16"/>
          <w:szCs w:val="16"/>
        </w:rPr>
        <w:softHyphen/>
        <w:t>пажей штурмовиков и истребителей убыль матчасти люфтваффе на атако</w:t>
      </w:r>
      <w:r w:rsidRPr="00D03F3E">
        <w:rPr>
          <w:rFonts w:ascii="Times New Roman" w:hAnsi="Times New Roman"/>
          <w:color w:val="000000" w:themeColor="text1"/>
          <w:sz w:val="16"/>
          <w:szCs w:val="16"/>
        </w:rPr>
        <w:softHyphen/>
        <w:t>ванных аэродромах составила около 40 самолетов уничтоженных и повреж</w:t>
      </w:r>
      <w:r w:rsidRPr="00D03F3E">
        <w:rPr>
          <w:rFonts w:ascii="Times New Roman" w:hAnsi="Times New Roman"/>
          <w:color w:val="000000" w:themeColor="text1"/>
          <w:sz w:val="16"/>
          <w:szCs w:val="16"/>
        </w:rPr>
        <w:softHyphen/>
        <w:t>денных. При этом потери советской сто</w:t>
      </w:r>
      <w:r w:rsidRPr="00D03F3E">
        <w:rPr>
          <w:rFonts w:ascii="Times New Roman" w:hAnsi="Times New Roman"/>
          <w:color w:val="000000" w:themeColor="text1"/>
          <w:sz w:val="16"/>
          <w:szCs w:val="16"/>
        </w:rPr>
        <w:softHyphen/>
        <w:t>роны исчисляются всего двумя Ил-2.</w:t>
      </w:r>
    </w:p>
    <w:p w14:paraId="730D10B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Несомненно, о налете советской авиации на Харьковский аэроузел ко</w:t>
      </w:r>
      <w:r w:rsidRPr="00D03F3E">
        <w:rPr>
          <w:rFonts w:ascii="Times New Roman" w:hAnsi="Times New Roman"/>
          <w:color w:val="000000" w:themeColor="text1"/>
          <w:sz w:val="16"/>
          <w:szCs w:val="16"/>
        </w:rPr>
        <w:softHyphen/>
        <w:t>мандование немецких авиагрупп в по</w:t>
      </w:r>
      <w:r w:rsidRPr="00D03F3E">
        <w:rPr>
          <w:rFonts w:ascii="Times New Roman" w:hAnsi="Times New Roman"/>
          <w:color w:val="000000" w:themeColor="text1"/>
          <w:sz w:val="16"/>
          <w:szCs w:val="16"/>
        </w:rPr>
        <w:softHyphen/>
        <w:t>лосе Западного, Брянского и других фронтов было тотчас же извещено. Соответственно, вся система ПВО и силы истребителей в прифронтовой зоне были приведены в повышенную боевую готовность.</w:t>
      </w:r>
    </w:p>
    <w:p w14:paraId="5747DAD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докладов "следопытов" 1-й ВА, вылетавших на доразведку немецких аэродромов, следовало, что ПВО аэродромов Сеща и Брянск к этому времени были еще более усилены за счет сосредоточения в районах аэро</w:t>
      </w:r>
      <w:r w:rsidRPr="00D03F3E">
        <w:rPr>
          <w:rFonts w:ascii="Times New Roman" w:hAnsi="Times New Roman"/>
          <w:color w:val="000000" w:themeColor="text1"/>
          <w:sz w:val="16"/>
          <w:szCs w:val="16"/>
        </w:rPr>
        <w:softHyphen/>
        <w:t>дромов и на подступах к ним дополни</w:t>
      </w:r>
      <w:r w:rsidRPr="00D03F3E">
        <w:rPr>
          <w:rFonts w:ascii="Times New Roman" w:hAnsi="Times New Roman"/>
          <w:color w:val="000000" w:themeColor="text1"/>
          <w:sz w:val="16"/>
          <w:szCs w:val="16"/>
        </w:rPr>
        <w:softHyphen/>
        <w:t>тельных сил малокалиберной и сред</w:t>
      </w:r>
      <w:r w:rsidRPr="00D03F3E">
        <w:rPr>
          <w:rFonts w:ascii="Times New Roman" w:hAnsi="Times New Roman"/>
          <w:color w:val="000000" w:themeColor="text1"/>
          <w:sz w:val="16"/>
          <w:szCs w:val="16"/>
        </w:rPr>
        <w:softHyphen/>
        <w:t>некалиберной зенитной артиллерии и истребительного прикрытия. Теперь немецкие истребители контролирова</w:t>
      </w:r>
      <w:r w:rsidRPr="00D03F3E">
        <w:rPr>
          <w:rFonts w:ascii="Times New Roman" w:hAnsi="Times New Roman"/>
          <w:color w:val="000000" w:themeColor="text1"/>
          <w:sz w:val="16"/>
          <w:szCs w:val="16"/>
        </w:rPr>
        <w:softHyphen/>
        <w:t>ли не только ближние, но и дальние подходы к аэродромам.</w:t>
      </w:r>
    </w:p>
    <w:p w14:paraId="7AA3E66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Было ясно, что одновременный удар несколькими группами по аэродромам неизбежно будет сопровождаться боль</w:t>
      </w:r>
      <w:r w:rsidRPr="00D03F3E">
        <w:rPr>
          <w:rFonts w:ascii="Times New Roman" w:hAnsi="Times New Roman"/>
          <w:color w:val="000000" w:themeColor="text1"/>
          <w:sz w:val="16"/>
          <w:szCs w:val="16"/>
        </w:rPr>
        <w:softHyphen/>
        <w:t>шими потерями с нашей стороны при значительно более низкой эффектив</w:t>
      </w:r>
      <w:r w:rsidRPr="00D03F3E">
        <w:rPr>
          <w:rFonts w:ascii="Times New Roman" w:hAnsi="Times New Roman"/>
          <w:color w:val="000000" w:themeColor="text1"/>
          <w:sz w:val="16"/>
          <w:szCs w:val="16"/>
        </w:rPr>
        <w:softHyphen/>
        <w:t>ности удара.</w:t>
      </w:r>
    </w:p>
    <w:p w14:paraId="7CCA543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Забегая вперед, следует отметить, что сам вылет на боевое задание в ряде соединений прошел без соблю</w:t>
      </w:r>
      <w:r w:rsidRPr="00D03F3E">
        <w:rPr>
          <w:rFonts w:ascii="Times New Roman" w:hAnsi="Times New Roman"/>
          <w:color w:val="000000" w:themeColor="text1"/>
          <w:sz w:val="16"/>
          <w:szCs w:val="16"/>
        </w:rPr>
        <w:softHyphen/>
        <w:t>дения элементарных мер по обеспече</w:t>
      </w:r>
      <w:r w:rsidRPr="00D03F3E">
        <w:rPr>
          <w:rFonts w:ascii="Times New Roman" w:hAnsi="Times New Roman"/>
          <w:color w:val="000000" w:themeColor="text1"/>
          <w:sz w:val="16"/>
          <w:szCs w:val="16"/>
        </w:rPr>
        <w:softHyphen/>
        <w:t>нию скрытности. В частности, как сле</w:t>
      </w:r>
      <w:r w:rsidRPr="00D03F3E">
        <w:rPr>
          <w:rFonts w:ascii="Times New Roman" w:hAnsi="Times New Roman"/>
          <w:color w:val="000000" w:themeColor="text1"/>
          <w:sz w:val="16"/>
          <w:szCs w:val="16"/>
        </w:rPr>
        <w:softHyphen/>
        <w:t xml:space="preserve">дует из документов 309-й </w:t>
      </w:r>
      <w:r w:rsidRPr="00D03F3E">
        <w:rPr>
          <w:rFonts w:ascii="Times New Roman" w:hAnsi="Times New Roman"/>
          <w:iCs/>
          <w:color w:val="000000" w:themeColor="text1"/>
          <w:sz w:val="16"/>
          <w:szCs w:val="16"/>
        </w:rPr>
        <w:t xml:space="preserve">иод, </w:t>
      </w:r>
      <w:r w:rsidRPr="00D03F3E">
        <w:rPr>
          <w:rFonts w:ascii="Times New Roman" w:hAnsi="Times New Roman"/>
          <w:color w:val="000000" w:themeColor="text1"/>
          <w:sz w:val="16"/>
          <w:szCs w:val="16"/>
        </w:rPr>
        <w:t>коман</w:t>
      </w:r>
      <w:r w:rsidRPr="00D03F3E">
        <w:rPr>
          <w:rFonts w:ascii="Times New Roman" w:hAnsi="Times New Roman"/>
          <w:color w:val="000000" w:themeColor="text1"/>
          <w:sz w:val="16"/>
          <w:szCs w:val="16"/>
        </w:rPr>
        <w:softHyphen/>
        <w:t>дир дивизии п-п-к И. И. Гейбо во вре</w:t>
      </w:r>
      <w:r w:rsidRPr="00D03F3E">
        <w:rPr>
          <w:rFonts w:ascii="Times New Roman" w:hAnsi="Times New Roman"/>
          <w:color w:val="000000" w:themeColor="text1"/>
          <w:sz w:val="16"/>
          <w:szCs w:val="16"/>
        </w:rPr>
        <w:softHyphen/>
        <w:t>мя взлета своих истребителей и их пристраивания к штурмовикам нахо</w:t>
      </w:r>
      <w:r w:rsidRPr="00D03F3E">
        <w:rPr>
          <w:rFonts w:ascii="Times New Roman" w:hAnsi="Times New Roman"/>
          <w:color w:val="000000" w:themeColor="text1"/>
          <w:sz w:val="16"/>
          <w:szCs w:val="16"/>
        </w:rPr>
        <w:softHyphen/>
        <w:t xml:space="preserve">дился </w:t>
      </w:r>
      <w:r w:rsidRPr="00D03F3E">
        <w:rPr>
          <w:rFonts w:ascii="Times New Roman" w:hAnsi="Times New Roman"/>
          <w:iCs/>
          <w:color w:val="000000" w:themeColor="text1"/>
          <w:sz w:val="16"/>
          <w:szCs w:val="16"/>
        </w:rPr>
        <w:t>"...на вышке с микрофоном от РСБ ...и лично командовал истребите</w:t>
      </w:r>
      <w:r w:rsidRPr="00D03F3E">
        <w:rPr>
          <w:rFonts w:ascii="Times New Roman" w:hAnsi="Times New Roman"/>
          <w:iCs/>
          <w:color w:val="000000" w:themeColor="text1"/>
          <w:sz w:val="16"/>
          <w:szCs w:val="16"/>
        </w:rPr>
        <w:softHyphen/>
        <w:t xml:space="preserve">лями после взлета при сборе". </w:t>
      </w:r>
      <w:r w:rsidRPr="00D03F3E">
        <w:rPr>
          <w:rFonts w:ascii="Times New Roman" w:hAnsi="Times New Roman"/>
          <w:color w:val="000000" w:themeColor="text1"/>
          <w:sz w:val="16"/>
          <w:szCs w:val="16"/>
        </w:rPr>
        <w:t>При</w:t>
      </w:r>
      <w:r w:rsidRPr="00D03F3E">
        <w:rPr>
          <w:rFonts w:ascii="Times New Roman" w:hAnsi="Times New Roman"/>
          <w:color w:val="000000" w:themeColor="text1"/>
          <w:sz w:val="16"/>
          <w:szCs w:val="16"/>
        </w:rPr>
        <w:softHyphen/>
        <w:t>чем происходило это безобразие в присутствии заместителя командующе</w:t>
      </w:r>
      <w:r w:rsidRPr="00D03F3E">
        <w:rPr>
          <w:rFonts w:ascii="Times New Roman" w:hAnsi="Times New Roman"/>
          <w:color w:val="000000" w:themeColor="text1"/>
          <w:sz w:val="16"/>
          <w:szCs w:val="16"/>
        </w:rPr>
        <w:softHyphen/>
        <w:t xml:space="preserve">го 1-й ВА генерал-майора И. Г. Пяты-хина, который прибыл на КП дивизии </w:t>
      </w:r>
      <w:r w:rsidRPr="00D03F3E">
        <w:rPr>
          <w:rFonts w:ascii="Times New Roman" w:hAnsi="Times New Roman"/>
          <w:iCs/>
          <w:color w:val="000000" w:themeColor="text1"/>
          <w:sz w:val="16"/>
          <w:szCs w:val="16"/>
        </w:rPr>
        <w:t>"для удобства управления и организа</w:t>
      </w:r>
      <w:r w:rsidRPr="00D03F3E">
        <w:rPr>
          <w:rFonts w:ascii="Times New Roman" w:hAnsi="Times New Roman"/>
          <w:iCs/>
          <w:color w:val="000000" w:themeColor="text1"/>
          <w:sz w:val="16"/>
          <w:szCs w:val="16"/>
        </w:rPr>
        <w:softHyphen/>
        <w:t xml:space="preserve">ции удара". </w:t>
      </w:r>
      <w:r w:rsidRPr="00D03F3E">
        <w:rPr>
          <w:rFonts w:ascii="Times New Roman" w:hAnsi="Times New Roman"/>
          <w:color w:val="000000" w:themeColor="text1"/>
          <w:sz w:val="16"/>
          <w:szCs w:val="16"/>
        </w:rPr>
        <w:t>О какой внезапности на</w:t>
      </w:r>
      <w:r w:rsidRPr="00D03F3E">
        <w:rPr>
          <w:rFonts w:ascii="Times New Roman" w:hAnsi="Times New Roman"/>
          <w:color w:val="000000" w:themeColor="text1"/>
          <w:sz w:val="16"/>
          <w:szCs w:val="16"/>
        </w:rPr>
        <w:softHyphen/>
        <w:t>лета можно говорить, если взлет 32 истребителей и 23 штурмовиков фак</w:t>
      </w:r>
      <w:r w:rsidRPr="00D03F3E">
        <w:rPr>
          <w:rFonts w:ascii="Times New Roman" w:hAnsi="Times New Roman"/>
          <w:color w:val="000000" w:themeColor="text1"/>
          <w:sz w:val="16"/>
          <w:szCs w:val="16"/>
        </w:rPr>
        <w:softHyphen/>
        <w:t>тически шел прямым текстом в радио</w:t>
      </w:r>
      <w:r w:rsidRPr="00D03F3E">
        <w:rPr>
          <w:rFonts w:ascii="Times New Roman" w:hAnsi="Times New Roman"/>
          <w:color w:val="000000" w:themeColor="text1"/>
          <w:sz w:val="16"/>
          <w:szCs w:val="16"/>
        </w:rPr>
        <w:softHyphen/>
        <w:t>эфире.</w:t>
      </w:r>
    </w:p>
    <w:p w14:paraId="790D52F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этого, нельзя сбрасывать со счетов и известное утомление летного состава выделенных для удара полков, накопившееся в результате трехднев</w:t>
      </w:r>
      <w:r w:rsidRPr="00D03F3E">
        <w:rPr>
          <w:rFonts w:ascii="Times New Roman" w:hAnsi="Times New Roman"/>
          <w:color w:val="000000" w:themeColor="text1"/>
          <w:sz w:val="16"/>
          <w:szCs w:val="16"/>
        </w:rPr>
        <w:softHyphen/>
        <w:t xml:space="preserve">ного ожидания боевого вылета. Как следует из донесения замполита 571-го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капитана Н. И. Генералова, в разговоре с летчиками полка капита</w:t>
      </w:r>
      <w:r w:rsidRPr="00D03F3E">
        <w:rPr>
          <w:rFonts w:ascii="Times New Roman" w:hAnsi="Times New Roman"/>
          <w:color w:val="000000" w:themeColor="text1"/>
          <w:sz w:val="16"/>
          <w:szCs w:val="16"/>
        </w:rPr>
        <w:softHyphen/>
        <w:t xml:space="preserve">ном И. Г. Выхором, ст. лейтенантом И.С. Старченковым и мл. лейтенантом Н. Н. Сканцевым он выяснил, что </w:t>
      </w:r>
      <w:r w:rsidRPr="00D03F3E">
        <w:rPr>
          <w:rFonts w:ascii="Times New Roman" w:hAnsi="Times New Roman"/>
          <w:iCs/>
          <w:color w:val="000000" w:themeColor="text1"/>
          <w:sz w:val="16"/>
          <w:szCs w:val="16"/>
        </w:rPr>
        <w:t>"отме</w:t>
      </w:r>
      <w:r w:rsidRPr="00D03F3E">
        <w:rPr>
          <w:rFonts w:ascii="Times New Roman" w:hAnsi="Times New Roman"/>
          <w:iCs/>
          <w:color w:val="000000" w:themeColor="text1"/>
          <w:sz w:val="16"/>
          <w:szCs w:val="16"/>
        </w:rPr>
        <w:softHyphen/>
        <w:t>на боевого вылета и перенесение его на другие дни очень болезненно пе</w:t>
      </w:r>
      <w:r w:rsidRPr="00D03F3E">
        <w:rPr>
          <w:rFonts w:ascii="Times New Roman" w:hAnsi="Times New Roman"/>
          <w:iCs/>
          <w:color w:val="000000" w:themeColor="text1"/>
          <w:sz w:val="16"/>
          <w:szCs w:val="16"/>
        </w:rPr>
        <w:softHyphen/>
        <w:t xml:space="preserve">реносятся летчиками". </w:t>
      </w:r>
      <w:r w:rsidRPr="00D03F3E">
        <w:rPr>
          <w:rFonts w:ascii="Times New Roman" w:hAnsi="Times New Roman"/>
          <w:color w:val="000000" w:themeColor="text1"/>
          <w:sz w:val="16"/>
          <w:szCs w:val="16"/>
        </w:rPr>
        <w:t xml:space="preserve">Например, Сканцев </w:t>
      </w:r>
      <w:r w:rsidRPr="00D03F3E">
        <w:rPr>
          <w:rFonts w:ascii="Times New Roman" w:hAnsi="Times New Roman"/>
          <w:iCs/>
          <w:color w:val="000000" w:themeColor="text1"/>
          <w:sz w:val="16"/>
          <w:szCs w:val="16"/>
        </w:rPr>
        <w:t>"выразил мысль: лучше сле</w:t>
      </w:r>
      <w:r w:rsidRPr="00D03F3E">
        <w:rPr>
          <w:rFonts w:ascii="Times New Roman" w:hAnsi="Times New Roman"/>
          <w:iCs/>
          <w:color w:val="000000" w:themeColor="text1"/>
          <w:sz w:val="16"/>
          <w:szCs w:val="16"/>
        </w:rPr>
        <w:softHyphen/>
        <w:t>тать два раза, чем в течение трех дней находиться под напряжением ожида</w:t>
      </w:r>
      <w:r w:rsidRPr="00D03F3E">
        <w:rPr>
          <w:rFonts w:ascii="Times New Roman" w:hAnsi="Times New Roman"/>
          <w:iCs/>
          <w:color w:val="000000" w:themeColor="text1"/>
          <w:sz w:val="16"/>
          <w:szCs w:val="16"/>
        </w:rPr>
        <w:softHyphen/>
        <w:t xml:space="preserve">ния боевого вылета". </w:t>
      </w:r>
      <w:r w:rsidRPr="00D03F3E">
        <w:rPr>
          <w:rFonts w:ascii="Times New Roman" w:hAnsi="Times New Roman"/>
          <w:color w:val="000000" w:themeColor="text1"/>
          <w:sz w:val="16"/>
          <w:szCs w:val="16"/>
        </w:rPr>
        <w:t>В таком же духе высказывались и другие летчики. Оче</w:t>
      </w:r>
      <w:r w:rsidRPr="00D03F3E">
        <w:rPr>
          <w:rFonts w:ascii="Times New Roman" w:hAnsi="Times New Roman"/>
          <w:color w:val="000000" w:themeColor="text1"/>
          <w:sz w:val="16"/>
          <w:szCs w:val="16"/>
        </w:rPr>
        <w:softHyphen/>
        <w:t>видно, такое психологическое состоя</w:t>
      </w:r>
      <w:r w:rsidRPr="00D03F3E">
        <w:rPr>
          <w:rFonts w:ascii="Times New Roman" w:hAnsi="Times New Roman"/>
          <w:color w:val="000000" w:themeColor="text1"/>
          <w:sz w:val="16"/>
          <w:szCs w:val="16"/>
        </w:rPr>
        <w:softHyphen/>
        <w:t>ние летчиков отрицательно отразилось и на боеспособности полков.</w:t>
      </w:r>
    </w:p>
    <w:p w14:paraId="0F3596B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Последующие события показали, что наших летчиков в районе немецких аэродромов действительно ждали, и ждали, хорошо подготовившись. И зе</w:t>
      </w:r>
      <w:r w:rsidRPr="00D03F3E">
        <w:rPr>
          <w:rFonts w:ascii="Times New Roman" w:hAnsi="Times New Roman"/>
          <w:color w:val="000000" w:themeColor="text1"/>
          <w:sz w:val="16"/>
          <w:szCs w:val="16"/>
        </w:rPr>
        <w:softHyphen/>
        <w:t>нитная артиллерия всех калибров, и ис</w:t>
      </w:r>
      <w:r w:rsidRPr="00D03F3E">
        <w:rPr>
          <w:rFonts w:ascii="Times New Roman" w:hAnsi="Times New Roman"/>
          <w:color w:val="000000" w:themeColor="text1"/>
          <w:sz w:val="16"/>
          <w:szCs w:val="16"/>
        </w:rPr>
        <w:softHyphen/>
        <w:t>требительная авиация противника ока</w:t>
      </w:r>
      <w:r w:rsidRPr="00D03F3E">
        <w:rPr>
          <w:rFonts w:ascii="Times New Roman" w:hAnsi="Times New Roman"/>
          <w:color w:val="000000" w:themeColor="text1"/>
          <w:sz w:val="16"/>
          <w:szCs w:val="16"/>
        </w:rPr>
        <w:softHyphen/>
        <w:t>зали советским летчикам 1 0 июня зна</w:t>
      </w:r>
      <w:r w:rsidRPr="00D03F3E">
        <w:rPr>
          <w:rFonts w:ascii="Times New Roman" w:hAnsi="Times New Roman"/>
          <w:color w:val="000000" w:themeColor="text1"/>
          <w:sz w:val="16"/>
          <w:szCs w:val="16"/>
        </w:rPr>
        <w:softHyphen/>
        <w:t>чительно более сильное противодей</w:t>
      </w:r>
      <w:r w:rsidRPr="00D03F3E">
        <w:rPr>
          <w:rFonts w:ascii="Times New Roman" w:hAnsi="Times New Roman"/>
          <w:color w:val="000000" w:themeColor="text1"/>
          <w:sz w:val="16"/>
          <w:szCs w:val="16"/>
        </w:rPr>
        <w:softHyphen/>
        <w:t>ствие, чем в предыдущих ударах. Ко</w:t>
      </w:r>
      <w:r w:rsidRPr="00D03F3E">
        <w:rPr>
          <w:rFonts w:ascii="Times New Roman" w:hAnsi="Times New Roman"/>
          <w:color w:val="000000" w:themeColor="text1"/>
          <w:sz w:val="16"/>
          <w:szCs w:val="16"/>
        </w:rPr>
        <w:softHyphen/>
        <w:t>мандиры штурмовых авиаполков в от</w:t>
      </w:r>
      <w:r w:rsidRPr="00D03F3E">
        <w:rPr>
          <w:rFonts w:ascii="Times New Roman" w:hAnsi="Times New Roman"/>
          <w:color w:val="000000" w:themeColor="text1"/>
          <w:sz w:val="16"/>
          <w:szCs w:val="16"/>
        </w:rPr>
        <w:softHyphen/>
        <w:t xml:space="preserve">четах о боевой работе своих частей в проведенной операции в один голос указывали, что немецкие </w:t>
      </w:r>
      <w:r w:rsidRPr="00D03F3E">
        <w:rPr>
          <w:rFonts w:ascii="Times New Roman" w:hAnsi="Times New Roman"/>
          <w:iCs/>
          <w:color w:val="000000" w:themeColor="text1"/>
          <w:sz w:val="16"/>
          <w:szCs w:val="16"/>
        </w:rPr>
        <w:t>"посты ВНОС работают неплохо, так как наши са</w:t>
      </w:r>
      <w:r w:rsidRPr="00D03F3E">
        <w:rPr>
          <w:rFonts w:ascii="Times New Roman" w:hAnsi="Times New Roman"/>
          <w:iCs/>
          <w:color w:val="000000" w:themeColor="text1"/>
          <w:sz w:val="16"/>
          <w:szCs w:val="16"/>
        </w:rPr>
        <w:softHyphen/>
        <w:t>молеты еще до подхода к цели на рас</w:t>
      </w:r>
      <w:r w:rsidRPr="00D03F3E">
        <w:rPr>
          <w:rFonts w:ascii="Times New Roman" w:hAnsi="Times New Roman"/>
          <w:iCs/>
          <w:color w:val="000000" w:themeColor="text1"/>
          <w:sz w:val="16"/>
          <w:szCs w:val="16"/>
        </w:rPr>
        <w:softHyphen/>
        <w:t>стоянии 25-30 км до нее были атако</w:t>
      </w:r>
      <w:r w:rsidRPr="00D03F3E">
        <w:rPr>
          <w:rFonts w:ascii="Times New Roman" w:hAnsi="Times New Roman"/>
          <w:iCs/>
          <w:color w:val="000000" w:themeColor="text1"/>
          <w:sz w:val="16"/>
          <w:szCs w:val="16"/>
        </w:rPr>
        <w:softHyphen/>
        <w:t xml:space="preserve">ваны истребителями противника". </w:t>
      </w:r>
      <w:r w:rsidRPr="00D03F3E">
        <w:rPr>
          <w:rFonts w:ascii="Times New Roman" w:hAnsi="Times New Roman"/>
          <w:color w:val="000000" w:themeColor="text1"/>
          <w:sz w:val="16"/>
          <w:szCs w:val="16"/>
        </w:rPr>
        <w:t>Ата</w:t>
      </w:r>
      <w:r w:rsidRPr="00D03F3E">
        <w:rPr>
          <w:rFonts w:ascii="Times New Roman" w:hAnsi="Times New Roman"/>
          <w:color w:val="000000" w:themeColor="text1"/>
          <w:sz w:val="16"/>
          <w:szCs w:val="16"/>
        </w:rPr>
        <w:softHyphen/>
        <w:t>ки истребителей продолжались и в районе аэродромов, и, особенно, на отходе от них. Исключение составил лишь аэродром Озерская, где проти</w:t>
      </w:r>
      <w:r w:rsidRPr="00D03F3E">
        <w:rPr>
          <w:rFonts w:ascii="Times New Roman" w:hAnsi="Times New Roman"/>
          <w:color w:val="000000" w:themeColor="text1"/>
          <w:sz w:val="16"/>
          <w:szCs w:val="16"/>
        </w:rPr>
        <w:softHyphen/>
        <w:t>водействие зенитной артиллерии было незначительным, а истребителей про</w:t>
      </w:r>
      <w:r w:rsidRPr="00D03F3E">
        <w:rPr>
          <w:rFonts w:ascii="Times New Roman" w:hAnsi="Times New Roman"/>
          <w:color w:val="000000" w:themeColor="text1"/>
          <w:sz w:val="16"/>
          <w:szCs w:val="16"/>
        </w:rPr>
        <w:softHyphen/>
        <w:t>тивника не было вовсе. Однако и бое</w:t>
      </w:r>
      <w:r w:rsidRPr="00D03F3E">
        <w:rPr>
          <w:rFonts w:ascii="Times New Roman" w:hAnsi="Times New Roman"/>
          <w:color w:val="000000" w:themeColor="text1"/>
          <w:sz w:val="16"/>
          <w:szCs w:val="16"/>
        </w:rPr>
        <w:softHyphen/>
        <w:t>вых самолетов на нем практически не было.</w:t>
      </w:r>
    </w:p>
    <w:p w14:paraId="15E4C0F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Надо сказать, некоторые команди</w:t>
      </w:r>
      <w:r w:rsidRPr="00D03F3E">
        <w:rPr>
          <w:rFonts w:ascii="Times New Roman" w:hAnsi="Times New Roman"/>
          <w:color w:val="000000" w:themeColor="text1"/>
          <w:sz w:val="16"/>
          <w:szCs w:val="16"/>
        </w:rPr>
        <w:softHyphen/>
        <w:t>ры, понимая всю безнадежность этого удара, пытались возражать и предла</w:t>
      </w:r>
      <w:r w:rsidRPr="00D03F3E">
        <w:rPr>
          <w:rFonts w:ascii="Times New Roman" w:hAnsi="Times New Roman"/>
          <w:color w:val="000000" w:themeColor="text1"/>
          <w:sz w:val="16"/>
          <w:szCs w:val="16"/>
        </w:rPr>
        <w:softHyphen/>
        <w:t>гали провести налет позднее, когда противник немного успокоится, а аэро</w:t>
      </w:r>
      <w:r w:rsidRPr="00D03F3E">
        <w:rPr>
          <w:rFonts w:ascii="Times New Roman" w:hAnsi="Times New Roman"/>
          <w:color w:val="000000" w:themeColor="text1"/>
          <w:sz w:val="16"/>
          <w:szCs w:val="16"/>
        </w:rPr>
        <w:softHyphen/>
        <w:t>дромы подсохнут. Однако перенести сроки удара еще раз штаб 1-й ВА, по-видимому, уже не мог, поэтому было решено действовать ограниченным составом. Естественно, это только усу</w:t>
      </w:r>
      <w:r w:rsidRPr="00D03F3E">
        <w:rPr>
          <w:rFonts w:ascii="Times New Roman" w:hAnsi="Times New Roman"/>
          <w:color w:val="000000" w:themeColor="text1"/>
          <w:sz w:val="16"/>
          <w:szCs w:val="16"/>
        </w:rPr>
        <w:softHyphen/>
        <w:t>губило ситуацию.</w:t>
      </w:r>
    </w:p>
    <w:p w14:paraId="03CC1B6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После возвращения разведчика от 168-го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который доложил, что по</w:t>
      </w:r>
      <w:r w:rsidRPr="00D03F3E">
        <w:rPr>
          <w:rFonts w:ascii="Times New Roman" w:hAnsi="Times New Roman"/>
          <w:color w:val="000000" w:themeColor="text1"/>
          <w:sz w:val="16"/>
          <w:szCs w:val="16"/>
        </w:rPr>
        <w:softHyphen/>
        <w:t>года на маршруте до Брянска и Сещи вполне благоприятная, а на аэродро</w:t>
      </w:r>
      <w:r w:rsidRPr="00D03F3E">
        <w:rPr>
          <w:rFonts w:ascii="Times New Roman" w:hAnsi="Times New Roman"/>
          <w:color w:val="000000" w:themeColor="text1"/>
          <w:sz w:val="16"/>
          <w:szCs w:val="16"/>
        </w:rPr>
        <w:softHyphen/>
        <w:t>мах находятся в общей сложности до 100-120 самолетов, командующий 1-й ВА генерал М. М. Громов принял окон</w:t>
      </w:r>
      <w:r w:rsidRPr="00D03F3E">
        <w:rPr>
          <w:rFonts w:ascii="Times New Roman" w:hAnsi="Times New Roman"/>
          <w:color w:val="000000" w:themeColor="text1"/>
          <w:sz w:val="16"/>
          <w:szCs w:val="16"/>
        </w:rPr>
        <w:softHyphen/>
        <w:t>чательное решение атаковать оба аэродрома согласно плановой табли</w:t>
      </w:r>
      <w:r w:rsidRPr="00D03F3E">
        <w:rPr>
          <w:rFonts w:ascii="Times New Roman" w:hAnsi="Times New Roman"/>
          <w:color w:val="000000" w:themeColor="text1"/>
          <w:sz w:val="16"/>
          <w:szCs w:val="16"/>
        </w:rPr>
        <w:softHyphen/>
        <w:t>цы. Вылет бомбардировщиков был на</w:t>
      </w:r>
      <w:r w:rsidRPr="00D03F3E">
        <w:rPr>
          <w:rFonts w:ascii="Times New Roman" w:hAnsi="Times New Roman"/>
          <w:color w:val="000000" w:themeColor="text1"/>
          <w:sz w:val="16"/>
          <w:szCs w:val="16"/>
        </w:rPr>
        <w:softHyphen/>
        <w:t>значен на 19.20, а штурмовиков - на 19.35. Истребители прикрытия пристра</w:t>
      </w:r>
      <w:r w:rsidRPr="00D03F3E">
        <w:rPr>
          <w:rFonts w:ascii="Times New Roman" w:hAnsi="Times New Roman"/>
          <w:color w:val="000000" w:themeColor="text1"/>
          <w:sz w:val="16"/>
          <w:szCs w:val="16"/>
        </w:rPr>
        <w:softHyphen/>
        <w:t>ивались к своим подопечным в соот</w:t>
      </w:r>
      <w:r w:rsidRPr="00D03F3E">
        <w:rPr>
          <w:rFonts w:ascii="Times New Roman" w:hAnsi="Times New Roman"/>
          <w:color w:val="000000" w:themeColor="text1"/>
          <w:sz w:val="16"/>
          <w:szCs w:val="16"/>
        </w:rPr>
        <w:softHyphen/>
        <w:t>ветствии с планами взаимодействия.</w:t>
      </w:r>
    </w:p>
    <w:p w14:paraId="4843029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Удар по аэродрому Сеща предпо</w:t>
      </w:r>
      <w:r w:rsidRPr="00D03F3E">
        <w:rPr>
          <w:rFonts w:ascii="Times New Roman" w:hAnsi="Times New Roman"/>
          <w:color w:val="000000" w:themeColor="text1"/>
          <w:sz w:val="16"/>
          <w:szCs w:val="16"/>
        </w:rPr>
        <w:softHyphen/>
        <w:t xml:space="preserve">лагалось нанести экипажами от 312-го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(12 Ил-2) и 62-го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(11 Ил-2), которые должны были "работать" дву</w:t>
      </w:r>
      <w:r w:rsidRPr="00D03F3E">
        <w:rPr>
          <w:rFonts w:ascii="Times New Roman" w:hAnsi="Times New Roman"/>
          <w:color w:val="000000" w:themeColor="text1"/>
          <w:sz w:val="16"/>
          <w:szCs w:val="16"/>
        </w:rPr>
        <w:softHyphen/>
        <w:t xml:space="preserve">мя группами. Для удара по аэродрому Брянск планировалось задействовать четыре группы от 566-го и 571-го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по две шестерки Ил-2 от каждого пол</w:t>
      </w:r>
      <w:r w:rsidRPr="00D03F3E">
        <w:rPr>
          <w:rFonts w:ascii="Times New Roman" w:hAnsi="Times New Roman"/>
          <w:color w:val="000000" w:themeColor="text1"/>
          <w:sz w:val="16"/>
          <w:szCs w:val="16"/>
        </w:rPr>
        <w:softHyphen/>
        <w:t>ка.</w:t>
      </w:r>
    </w:p>
    <w:p w14:paraId="4DC68CE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 командные пункты 303-й и 309-й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выехали оперативные группы офицеров штаба 1-й ВА во главе с заместителями командующего армией генералами А. Г. Богородецким и И. Г. Пятыхиным, соответственно. В задачу штабистов армии входила помощь шта</w:t>
      </w:r>
      <w:r w:rsidRPr="00D03F3E">
        <w:rPr>
          <w:rFonts w:ascii="Times New Roman" w:hAnsi="Times New Roman"/>
          <w:color w:val="000000" w:themeColor="text1"/>
          <w:sz w:val="16"/>
          <w:szCs w:val="16"/>
        </w:rPr>
        <w:softHyphen/>
        <w:t>бам дивизий в подготовке удара.</w:t>
      </w:r>
    </w:p>
    <w:p w14:paraId="551963E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Плановые таблицы вылетов групп штурмовиков и истребителей были раз</w:t>
      </w:r>
      <w:r w:rsidRPr="00D03F3E">
        <w:rPr>
          <w:rFonts w:ascii="Times New Roman" w:hAnsi="Times New Roman"/>
          <w:color w:val="000000" w:themeColor="text1"/>
          <w:sz w:val="16"/>
          <w:szCs w:val="16"/>
        </w:rPr>
        <w:softHyphen/>
        <w:t xml:space="preserve">работаны совместно штабами 303-й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 xml:space="preserve">и 224-й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 xml:space="preserve">а также 309-й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 xml:space="preserve">и 224-й </w:t>
      </w:r>
      <w:r w:rsidRPr="00D03F3E">
        <w:rPr>
          <w:rFonts w:ascii="Times New Roman" w:hAnsi="Times New Roman"/>
          <w:iCs/>
          <w:color w:val="000000" w:themeColor="text1"/>
          <w:sz w:val="16"/>
          <w:szCs w:val="16"/>
        </w:rPr>
        <w:t>шад. "Порядок сбора групп со</w:t>
      </w:r>
      <w:r w:rsidRPr="00D03F3E">
        <w:rPr>
          <w:rFonts w:ascii="Times New Roman" w:hAnsi="Times New Roman"/>
          <w:iCs/>
          <w:color w:val="000000" w:themeColor="text1"/>
          <w:sz w:val="16"/>
          <w:szCs w:val="16"/>
        </w:rPr>
        <w:softHyphen/>
        <w:t>провождения и обеспечения прикры</w:t>
      </w:r>
      <w:r w:rsidRPr="00D03F3E">
        <w:rPr>
          <w:rFonts w:ascii="Times New Roman" w:hAnsi="Times New Roman"/>
          <w:iCs/>
          <w:color w:val="000000" w:themeColor="text1"/>
          <w:sz w:val="16"/>
          <w:szCs w:val="16"/>
        </w:rPr>
        <w:softHyphen/>
        <w:t xml:space="preserve">тия" прорабатывался </w:t>
      </w:r>
      <w:r w:rsidRPr="00D03F3E">
        <w:rPr>
          <w:rFonts w:ascii="Times New Roman" w:hAnsi="Times New Roman"/>
          <w:color w:val="000000" w:themeColor="text1"/>
          <w:sz w:val="16"/>
          <w:szCs w:val="16"/>
        </w:rPr>
        <w:t>и утверждался в присутствии командиров выделенных для удара полков и ведущих групп.</w:t>
      </w:r>
    </w:p>
    <w:p w14:paraId="4A1A357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лучшей организации боевого вы</w:t>
      </w:r>
      <w:r w:rsidRPr="00D03F3E">
        <w:rPr>
          <w:rFonts w:ascii="Times New Roman" w:hAnsi="Times New Roman"/>
          <w:color w:val="000000" w:themeColor="text1"/>
          <w:sz w:val="16"/>
          <w:szCs w:val="16"/>
        </w:rPr>
        <w:softHyphen/>
        <w:t>лета на аэродром базирования истре</w:t>
      </w:r>
      <w:r w:rsidRPr="00D03F3E">
        <w:rPr>
          <w:rFonts w:ascii="Times New Roman" w:hAnsi="Times New Roman"/>
          <w:color w:val="000000" w:themeColor="text1"/>
          <w:sz w:val="16"/>
          <w:szCs w:val="16"/>
        </w:rPr>
        <w:softHyphen/>
        <w:t xml:space="preserve">бителей 303-й </w:t>
      </w:r>
      <w:r w:rsidRPr="00D03F3E">
        <w:rPr>
          <w:rFonts w:ascii="Times New Roman" w:hAnsi="Times New Roman"/>
          <w:iCs/>
          <w:color w:val="000000" w:themeColor="text1"/>
          <w:sz w:val="16"/>
          <w:szCs w:val="16"/>
        </w:rPr>
        <w:t xml:space="preserve">иад </w:t>
      </w:r>
      <w:r w:rsidRPr="00D03F3E">
        <w:rPr>
          <w:rFonts w:ascii="Times New Roman" w:hAnsi="Times New Roman"/>
          <w:color w:val="000000" w:themeColor="text1"/>
          <w:sz w:val="16"/>
          <w:szCs w:val="16"/>
        </w:rPr>
        <w:t xml:space="preserve">Вязовая "подсели" 14 Ил-2 566-го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а на аэродром базирования 571-го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Полошково перелетели 7 Як-76 168-го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 xml:space="preserve">и 8 Як-76 18-го </w:t>
      </w:r>
      <w:r w:rsidRPr="00D03F3E">
        <w:rPr>
          <w:rFonts w:ascii="Times New Roman" w:hAnsi="Times New Roman"/>
          <w:iCs/>
          <w:color w:val="000000" w:themeColor="text1"/>
          <w:sz w:val="16"/>
          <w:szCs w:val="16"/>
        </w:rPr>
        <w:t xml:space="preserve">гиап. </w:t>
      </w:r>
      <w:r w:rsidRPr="00D03F3E">
        <w:rPr>
          <w:rFonts w:ascii="Times New Roman" w:hAnsi="Times New Roman"/>
          <w:color w:val="000000" w:themeColor="text1"/>
          <w:sz w:val="16"/>
          <w:szCs w:val="16"/>
        </w:rPr>
        <w:t>Перелет всех групп был выполнен к 16.00 10 июня.</w:t>
      </w:r>
    </w:p>
    <w:p w14:paraId="6A80DD1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этой же целью 5 Ла-5 от 49-го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 xml:space="preserve">309-й </w:t>
      </w:r>
      <w:r w:rsidRPr="00D03F3E">
        <w:rPr>
          <w:rFonts w:ascii="Times New Roman" w:hAnsi="Times New Roman"/>
          <w:iCs/>
          <w:color w:val="000000" w:themeColor="text1"/>
          <w:sz w:val="16"/>
          <w:szCs w:val="16"/>
        </w:rPr>
        <w:t xml:space="preserve">иад </w:t>
      </w:r>
      <w:r w:rsidRPr="00D03F3E">
        <w:rPr>
          <w:rFonts w:ascii="Times New Roman" w:hAnsi="Times New Roman"/>
          <w:color w:val="000000" w:themeColor="text1"/>
          <w:sz w:val="16"/>
          <w:szCs w:val="16"/>
        </w:rPr>
        <w:t xml:space="preserve">к 17.00 перелетели на аэродром базирования 62-го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и 162-го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Гаврики.</w:t>
      </w:r>
    </w:p>
    <w:p w14:paraId="6CAE4ED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Предполетная подготовка экипажей проводилась совместным проигрышем полета. К 18.00 все группы прорабо</w:t>
      </w:r>
      <w:r w:rsidRPr="00D03F3E">
        <w:rPr>
          <w:rFonts w:ascii="Times New Roman" w:hAnsi="Times New Roman"/>
          <w:color w:val="000000" w:themeColor="text1"/>
          <w:sz w:val="16"/>
          <w:szCs w:val="16"/>
        </w:rPr>
        <w:softHyphen/>
        <w:t>тали боевое задание и находились в готовности № 2 к вылету.</w:t>
      </w:r>
    </w:p>
    <w:p w14:paraId="76134A4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общую схожесть раз</w:t>
      </w:r>
      <w:r w:rsidRPr="00D03F3E">
        <w:rPr>
          <w:rFonts w:ascii="Times New Roman" w:hAnsi="Times New Roman"/>
          <w:color w:val="000000" w:themeColor="text1"/>
          <w:sz w:val="16"/>
          <w:szCs w:val="16"/>
        </w:rPr>
        <w:softHyphen/>
        <w:t>работанных планов ударов по аэро</w:t>
      </w:r>
      <w:r w:rsidRPr="00D03F3E">
        <w:rPr>
          <w:rFonts w:ascii="Times New Roman" w:hAnsi="Times New Roman"/>
          <w:color w:val="000000" w:themeColor="text1"/>
          <w:sz w:val="16"/>
          <w:szCs w:val="16"/>
        </w:rPr>
        <w:softHyphen/>
        <w:t>дрому Сеща и Брянск, они имели се</w:t>
      </w:r>
      <w:r w:rsidRPr="00D03F3E">
        <w:rPr>
          <w:rFonts w:ascii="Times New Roman" w:hAnsi="Times New Roman"/>
          <w:color w:val="000000" w:themeColor="text1"/>
          <w:sz w:val="16"/>
          <w:szCs w:val="16"/>
        </w:rPr>
        <w:softHyphen/>
        <w:t>рьезные отличия с далеко идущими последствиями.</w:t>
      </w:r>
    </w:p>
    <w:p w14:paraId="5D1533D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Так, истребители прикрытия от 309-й </w:t>
      </w:r>
      <w:r w:rsidRPr="00D03F3E">
        <w:rPr>
          <w:rFonts w:ascii="Times New Roman" w:hAnsi="Times New Roman"/>
          <w:iCs/>
          <w:color w:val="000000" w:themeColor="text1"/>
          <w:sz w:val="16"/>
          <w:szCs w:val="16"/>
        </w:rPr>
        <w:t xml:space="preserve">иад, </w:t>
      </w:r>
      <w:r w:rsidRPr="00D03F3E">
        <w:rPr>
          <w:rFonts w:ascii="Times New Roman" w:hAnsi="Times New Roman"/>
          <w:color w:val="000000" w:themeColor="text1"/>
          <w:sz w:val="16"/>
          <w:szCs w:val="16"/>
        </w:rPr>
        <w:t>обеспечивавшие действия штур</w:t>
      </w:r>
      <w:r w:rsidRPr="00D03F3E">
        <w:rPr>
          <w:rFonts w:ascii="Times New Roman" w:hAnsi="Times New Roman"/>
          <w:color w:val="000000" w:themeColor="text1"/>
          <w:sz w:val="16"/>
          <w:szCs w:val="16"/>
        </w:rPr>
        <w:softHyphen/>
        <w:t xml:space="preserve">мовиков 233-й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по аэродрому Сеща, подразделялись на две группы непосредственного сопровождения (10 Як-1 и 8 Як-1, Як-7) - по числу групп штурмовиков, ударную (7 Як-1) и груп</w:t>
      </w:r>
      <w:r w:rsidRPr="00D03F3E">
        <w:rPr>
          <w:rFonts w:ascii="Times New Roman" w:hAnsi="Times New Roman"/>
          <w:color w:val="000000" w:themeColor="text1"/>
          <w:sz w:val="16"/>
          <w:szCs w:val="16"/>
        </w:rPr>
        <w:softHyphen/>
        <w:t>пу свободного боя (4 Ла-5). Последние две группы истребителей составляли единое прикрытие общего боевого порядка штурмовиков.</w:t>
      </w:r>
    </w:p>
    <w:p w14:paraId="1173E72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Несколько иначе было организова</w:t>
      </w:r>
      <w:r w:rsidRPr="00D03F3E">
        <w:rPr>
          <w:rFonts w:ascii="Times New Roman" w:hAnsi="Times New Roman"/>
          <w:color w:val="000000" w:themeColor="text1"/>
          <w:sz w:val="16"/>
          <w:szCs w:val="16"/>
        </w:rPr>
        <w:softHyphen/>
        <w:t>но взаимодействие истребителей и штурмовиков при налете на аэродром Брянск.</w:t>
      </w:r>
    </w:p>
    <w:p w14:paraId="26768CC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Помимо непосредственного истре</w:t>
      </w:r>
      <w:r w:rsidRPr="00D03F3E">
        <w:rPr>
          <w:rFonts w:ascii="Times New Roman" w:hAnsi="Times New Roman"/>
          <w:color w:val="000000" w:themeColor="text1"/>
          <w:sz w:val="16"/>
          <w:szCs w:val="16"/>
        </w:rPr>
        <w:softHyphen/>
        <w:t xml:space="preserve">бительного сопровождения (4 Як-7б), каждая шестерка Ил-2 224-й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име</w:t>
      </w:r>
      <w:r w:rsidRPr="00D03F3E">
        <w:rPr>
          <w:rFonts w:ascii="Times New Roman" w:hAnsi="Times New Roman"/>
          <w:color w:val="000000" w:themeColor="text1"/>
          <w:sz w:val="16"/>
          <w:szCs w:val="16"/>
        </w:rPr>
        <w:softHyphen/>
        <w:t>ла свою ударную группу в составе 2-4 Як-76. Единого управления всеми груп</w:t>
      </w:r>
      <w:r w:rsidRPr="00D03F3E">
        <w:rPr>
          <w:rFonts w:ascii="Times New Roman" w:hAnsi="Times New Roman"/>
          <w:color w:val="000000" w:themeColor="text1"/>
          <w:sz w:val="16"/>
          <w:szCs w:val="16"/>
        </w:rPr>
        <w:softHyphen/>
        <w:t xml:space="preserve">пами истребителей 303-й </w:t>
      </w:r>
      <w:r w:rsidRPr="00D03F3E">
        <w:rPr>
          <w:rFonts w:ascii="Times New Roman" w:hAnsi="Times New Roman"/>
          <w:iCs/>
          <w:color w:val="000000" w:themeColor="text1"/>
          <w:sz w:val="16"/>
          <w:szCs w:val="16"/>
        </w:rPr>
        <w:t xml:space="preserve">иад </w:t>
      </w:r>
      <w:r w:rsidRPr="00D03F3E">
        <w:rPr>
          <w:rFonts w:ascii="Times New Roman" w:hAnsi="Times New Roman"/>
          <w:color w:val="000000" w:themeColor="text1"/>
          <w:sz w:val="16"/>
          <w:szCs w:val="16"/>
        </w:rPr>
        <w:t>не пре</w:t>
      </w:r>
      <w:r w:rsidRPr="00D03F3E">
        <w:rPr>
          <w:rFonts w:ascii="Times New Roman" w:hAnsi="Times New Roman"/>
          <w:color w:val="000000" w:themeColor="text1"/>
          <w:sz w:val="16"/>
          <w:szCs w:val="16"/>
        </w:rPr>
        <w:softHyphen/>
        <w:t>дусматривалось. То есть, несмотря на довольно значительные силы прикры</w:t>
      </w:r>
      <w:r w:rsidRPr="00D03F3E">
        <w:rPr>
          <w:rFonts w:ascii="Times New Roman" w:hAnsi="Times New Roman"/>
          <w:color w:val="000000" w:themeColor="text1"/>
          <w:sz w:val="16"/>
          <w:szCs w:val="16"/>
        </w:rPr>
        <w:softHyphen/>
        <w:t>тия (27 Як-76), все группы истребите</w:t>
      </w:r>
      <w:r w:rsidRPr="00D03F3E">
        <w:rPr>
          <w:rFonts w:ascii="Times New Roman" w:hAnsi="Times New Roman"/>
          <w:color w:val="000000" w:themeColor="text1"/>
          <w:sz w:val="16"/>
          <w:szCs w:val="16"/>
        </w:rPr>
        <w:softHyphen/>
        <w:t>лей с точки зрения управления и взаи</w:t>
      </w:r>
      <w:r w:rsidRPr="00D03F3E">
        <w:rPr>
          <w:rFonts w:ascii="Times New Roman" w:hAnsi="Times New Roman"/>
          <w:color w:val="000000" w:themeColor="text1"/>
          <w:sz w:val="16"/>
          <w:szCs w:val="16"/>
        </w:rPr>
        <w:softHyphen/>
        <w:t>модействия в-бою могли действовать лишь изолированно друг от друга. Последнее обстоятельство самым не</w:t>
      </w:r>
      <w:r w:rsidRPr="00D03F3E">
        <w:rPr>
          <w:rFonts w:ascii="Times New Roman" w:hAnsi="Times New Roman"/>
          <w:color w:val="000000" w:themeColor="text1"/>
          <w:sz w:val="16"/>
          <w:szCs w:val="16"/>
        </w:rPr>
        <w:softHyphen/>
        <w:t>гативным образом сказалось на ре</w:t>
      </w:r>
      <w:r w:rsidRPr="00D03F3E">
        <w:rPr>
          <w:rFonts w:ascii="Times New Roman" w:hAnsi="Times New Roman"/>
          <w:color w:val="000000" w:themeColor="text1"/>
          <w:sz w:val="16"/>
          <w:szCs w:val="16"/>
        </w:rPr>
        <w:softHyphen/>
        <w:t>зультатах боевого вылета.</w:t>
      </w:r>
    </w:p>
    <w:p w14:paraId="2D041D3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 и построение общего боево</w:t>
      </w:r>
      <w:r w:rsidRPr="00D03F3E">
        <w:rPr>
          <w:rFonts w:ascii="Times New Roman" w:hAnsi="Times New Roman"/>
          <w:color w:val="000000" w:themeColor="text1"/>
          <w:sz w:val="16"/>
          <w:szCs w:val="16"/>
        </w:rPr>
        <w:softHyphen/>
        <w:t>го порядка штурмовиков и истребите</w:t>
      </w:r>
      <w:r w:rsidRPr="00D03F3E">
        <w:rPr>
          <w:rFonts w:ascii="Times New Roman" w:hAnsi="Times New Roman"/>
          <w:color w:val="000000" w:themeColor="text1"/>
          <w:sz w:val="16"/>
          <w:szCs w:val="16"/>
        </w:rPr>
        <w:softHyphen/>
        <w:t xml:space="preserve">лей 233-й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 xml:space="preserve">и 309-й </w:t>
      </w:r>
      <w:r w:rsidRPr="00D03F3E">
        <w:rPr>
          <w:rFonts w:ascii="Times New Roman" w:hAnsi="Times New Roman"/>
          <w:iCs/>
          <w:color w:val="000000" w:themeColor="text1"/>
          <w:sz w:val="16"/>
          <w:szCs w:val="16"/>
        </w:rPr>
        <w:t xml:space="preserve">иад </w:t>
      </w:r>
      <w:r w:rsidRPr="00D03F3E">
        <w:rPr>
          <w:rFonts w:ascii="Times New Roman" w:hAnsi="Times New Roman"/>
          <w:color w:val="000000" w:themeColor="text1"/>
          <w:sz w:val="16"/>
          <w:szCs w:val="16"/>
        </w:rPr>
        <w:t>прошел строго по плану. В установленное вре</w:t>
      </w:r>
      <w:r w:rsidRPr="00D03F3E">
        <w:rPr>
          <w:rFonts w:ascii="Times New Roman" w:hAnsi="Times New Roman"/>
          <w:color w:val="000000" w:themeColor="text1"/>
          <w:sz w:val="16"/>
          <w:szCs w:val="16"/>
        </w:rPr>
        <w:softHyphen/>
        <w:t xml:space="preserve">мя, 19.35, с аэродромов Гаврики и Зу-бово осуществили взлет групп Ил-2 от 62-го и 312-го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Следом взлетели истребители непосредственного сопро</w:t>
      </w:r>
      <w:r w:rsidRPr="00D03F3E">
        <w:rPr>
          <w:rFonts w:ascii="Times New Roman" w:hAnsi="Times New Roman"/>
          <w:color w:val="000000" w:themeColor="text1"/>
          <w:sz w:val="16"/>
          <w:szCs w:val="16"/>
        </w:rPr>
        <w:softHyphen/>
        <w:t>вождения 6 Як-1 от 122-го иол (веду</w:t>
      </w:r>
      <w:r w:rsidRPr="00D03F3E">
        <w:rPr>
          <w:rFonts w:ascii="Times New Roman" w:hAnsi="Times New Roman"/>
          <w:color w:val="000000" w:themeColor="text1"/>
          <w:sz w:val="16"/>
          <w:szCs w:val="16"/>
        </w:rPr>
        <w:softHyphen/>
        <w:t xml:space="preserve">щий м-р Н. В. Цагойко), 8 Як-1 и Як-7 от 172-го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 xml:space="preserve">(ведущий к-н Сибирцев) и 4 Як-1 от 162-го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(ведущий ст. л-т Р. С. Сероглазое). На первой поло</w:t>
      </w:r>
      <w:r w:rsidRPr="00D03F3E">
        <w:rPr>
          <w:rFonts w:ascii="Times New Roman" w:hAnsi="Times New Roman"/>
          <w:color w:val="000000" w:themeColor="text1"/>
          <w:sz w:val="16"/>
          <w:szCs w:val="16"/>
        </w:rPr>
        <w:softHyphen/>
        <w:t>вине круга они пристроились к общей колонне штурмовиков. Ударная груп</w:t>
      </w:r>
      <w:r w:rsidRPr="00D03F3E">
        <w:rPr>
          <w:rFonts w:ascii="Times New Roman" w:hAnsi="Times New Roman"/>
          <w:color w:val="000000" w:themeColor="text1"/>
          <w:sz w:val="16"/>
          <w:szCs w:val="16"/>
        </w:rPr>
        <w:softHyphen/>
        <w:t xml:space="preserve">па от 1 72-го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 xml:space="preserve">(ведущий ст. л-т Н. С. Киселев) и группа свободного боя от 49-го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(ведущий к-н Н. К. Спири-денко) вылетели с интервалом 4-5 ми</w:t>
      </w:r>
      <w:r w:rsidRPr="00D03F3E">
        <w:rPr>
          <w:rFonts w:ascii="Times New Roman" w:hAnsi="Times New Roman"/>
          <w:color w:val="000000" w:themeColor="text1"/>
          <w:sz w:val="16"/>
          <w:szCs w:val="16"/>
        </w:rPr>
        <w:softHyphen/>
        <w:t>нут после взлета Ил-2 и заняли свои места в боевом строю. При этом удар</w:t>
      </w:r>
      <w:r w:rsidRPr="00D03F3E">
        <w:rPr>
          <w:rFonts w:ascii="Times New Roman" w:hAnsi="Times New Roman"/>
          <w:color w:val="000000" w:themeColor="text1"/>
          <w:sz w:val="16"/>
          <w:szCs w:val="16"/>
        </w:rPr>
        <w:softHyphen/>
        <w:t>ная группа шла позади штурмовиков с превышением 400-600 м, а за ними на удалении 400-600 и с превышени</w:t>
      </w:r>
      <w:r w:rsidRPr="00D03F3E">
        <w:rPr>
          <w:rFonts w:ascii="Times New Roman" w:hAnsi="Times New Roman"/>
          <w:color w:val="000000" w:themeColor="text1"/>
          <w:sz w:val="16"/>
          <w:szCs w:val="16"/>
        </w:rPr>
        <w:softHyphen/>
        <w:t>ем 600-800 м над штурмовиками рас</w:t>
      </w:r>
      <w:r w:rsidRPr="00D03F3E">
        <w:rPr>
          <w:rFonts w:ascii="Times New Roman" w:hAnsi="Times New Roman"/>
          <w:color w:val="000000" w:themeColor="text1"/>
          <w:sz w:val="16"/>
          <w:szCs w:val="16"/>
        </w:rPr>
        <w:softHyphen/>
        <w:t>полагалась группа воздушного боя.</w:t>
      </w:r>
    </w:p>
    <w:p w14:paraId="11E290A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Ровно в 20.20 к аэродрому Сеща подошла группа 1 2 Ил-2 от 312-го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(ведущий к-н В. М. Рубцов). Следом за ней через одну минуту на аэродром вышла вторая группа 1 1 Ил-2 от 62-го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(ведущий Герой Советского Со</w:t>
      </w:r>
      <w:r w:rsidRPr="00D03F3E">
        <w:rPr>
          <w:rFonts w:ascii="Times New Roman" w:hAnsi="Times New Roman"/>
          <w:color w:val="000000" w:themeColor="text1"/>
          <w:sz w:val="16"/>
          <w:szCs w:val="16"/>
        </w:rPr>
        <w:softHyphen/>
        <w:t>юза к-н К. В. Брехов).</w:t>
      </w:r>
    </w:p>
    <w:p w14:paraId="3BD4ABF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заходе штурмовиков на цель истребители прикрытия снижались вме</w:t>
      </w:r>
      <w:r w:rsidRPr="00D03F3E">
        <w:rPr>
          <w:rFonts w:ascii="Times New Roman" w:hAnsi="Times New Roman"/>
          <w:color w:val="000000" w:themeColor="text1"/>
          <w:sz w:val="16"/>
          <w:szCs w:val="16"/>
        </w:rPr>
        <w:softHyphen/>
        <w:t>сте с ними с разворотом на 10-15° во внешнюю сторону круга с поспедуюка и отсечь их от штурмовиков. После первых атак истребители противника вышли из боя.</w:t>
      </w:r>
    </w:p>
    <w:p w14:paraId="68D6E7C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Это позволило штурмовикам раз</w:t>
      </w:r>
      <w:r w:rsidRPr="00D03F3E">
        <w:rPr>
          <w:rFonts w:ascii="Times New Roman" w:hAnsi="Times New Roman"/>
          <w:color w:val="000000" w:themeColor="text1"/>
          <w:sz w:val="16"/>
          <w:szCs w:val="16"/>
        </w:rPr>
        <w:softHyphen/>
        <w:t>вернуться в боевой порядок и выпол</w:t>
      </w:r>
      <w:r w:rsidRPr="00D03F3E">
        <w:rPr>
          <w:rFonts w:ascii="Times New Roman" w:hAnsi="Times New Roman"/>
          <w:color w:val="000000" w:themeColor="text1"/>
          <w:sz w:val="16"/>
          <w:szCs w:val="16"/>
        </w:rPr>
        <w:softHyphen/>
        <w:t>нить атаку. Правда, пара ФВ190 все же прорвалась сквозь истребительный заслон и сделала попытку атаковать Ил-2 в момент их разворота в атаку, но были удачно обстреляны ведущим группы капитаном Рубцовым и его ве</w:t>
      </w:r>
      <w:r w:rsidRPr="00D03F3E">
        <w:rPr>
          <w:rFonts w:ascii="Times New Roman" w:hAnsi="Times New Roman"/>
          <w:color w:val="000000" w:themeColor="text1"/>
          <w:sz w:val="16"/>
          <w:szCs w:val="16"/>
        </w:rPr>
        <w:softHyphen/>
        <w:t>домым ст. лейтенантом Алферовым. Пилоты люфтваффе с резким сниже</w:t>
      </w:r>
      <w:r w:rsidRPr="00D03F3E">
        <w:rPr>
          <w:rFonts w:ascii="Times New Roman" w:hAnsi="Times New Roman"/>
          <w:color w:val="000000" w:themeColor="text1"/>
          <w:sz w:val="16"/>
          <w:szCs w:val="16"/>
        </w:rPr>
        <w:softHyphen/>
        <w:t>нием ушли вниз и больше не показы</w:t>
      </w:r>
      <w:r w:rsidRPr="00D03F3E">
        <w:rPr>
          <w:rFonts w:ascii="Times New Roman" w:hAnsi="Times New Roman"/>
          <w:color w:val="000000" w:themeColor="text1"/>
          <w:sz w:val="16"/>
          <w:szCs w:val="16"/>
        </w:rPr>
        <w:softHyphen/>
        <w:t>вались.</w:t>
      </w:r>
    </w:p>
    <w:p w14:paraId="178648C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Перед разворотом в атаку штурмо</w:t>
      </w:r>
      <w:r w:rsidRPr="00D03F3E">
        <w:rPr>
          <w:rFonts w:ascii="Times New Roman" w:hAnsi="Times New Roman"/>
          <w:color w:val="000000" w:themeColor="text1"/>
          <w:sz w:val="16"/>
          <w:szCs w:val="16"/>
        </w:rPr>
        <w:softHyphen/>
        <w:t>вики перестроились в правый пеленг. Атака выполнялась с пикирования под углом 25-30° с высоты 850 м до 150 м. Заход в атаку выполнялся с юго-запад</w:t>
      </w:r>
      <w:r w:rsidRPr="00D03F3E">
        <w:rPr>
          <w:rFonts w:ascii="Times New Roman" w:hAnsi="Times New Roman"/>
          <w:color w:val="000000" w:themeColor="text1"/>
          <w:sz w:val="16"/>
          <w:szCs w:val="16"/>
        </w:rPr>
        <w:softHyphen/>
        <w:t>ного направления с последующим вы</w:t>
      </w:r>
      <w:r w:rsidRPr="00D03F3E">
        <w:rPr>
          <w:rFonts w:ascii="Times New Roman" w:hAnsi="Times New Roman"/>
          <w:color w:val="000000" w:themeColor="text1"/>
          <w:sz w:val="16"/>
          <w:szCs w:val="16"/>
        </w:rPr>
        <w:softHyphen/>
        <w:t>ходом на северо-восток и уходом с на</w:t>
      </w:r>
      <w:r w:rsidRPr="00D03F3E">
        <w:rPr>
          <w:rFonts w:ascii="Times New Roman" w:hAnsi="Times New Roman"/>
          <w:color w:val="000000" w:themeColor="text1"/>
          <w:sz w:val="16"/>
          <w:szCs w:val="16"/>
        </w:rPr>
        <w:softHyphen/>
        <w:t>бором высоты и выполнением проти</w:t>
      </w:r>
      <w:r w:rsidRPr="00D03F3E">
        <w:rPr>
          <w:rFonts w:ascii="Times New Roman" w:hAnsi="Times New Roman"/>
          <w:color w:val="000000" w:themeColor="text1"/>
          <w:sz w:val="16"/>
          <w:szCs w:val="16"/>
        </w:rPr>
        <w:softHyphen/>
        <w:t>возенитного маневра.</w:t>
      </w:r>
    </w:p>
    <w:p w14:paraId="15A20C4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Удар наносился по самолетам на стоянках на южной, северо-западной и северной окраинах аэродрома. Эки</w:t>
      </w:r>
      <w:r w:rsidRPr="00D03F3E">
        <w:rPr>
          <w:rFonts w:ascii="Times New Roman" w:hAnsi="Times New Roman"/>
          <w:color w:val="000000" w:themeColor="text1"/>
          <w:sz w:val="16"/>
          <w:szCs w:val="16"/>
        </w:rPr>
        <w:softHyphen/>
        <w:t>пажи наблюдали до 15 очагов пожа</w:t>
      </w:r>
      <w:r w:rsidRPr="00D03F3E">
        <w:rPr>
          <w:rFonts w:ascii="Times New Roman" w:hAnsi="Times New Roman"/>
          <w:color w:val="000000" w:themeColor="text1"/>
          <w:sz w:val="16"/>
          <w:szCs w:val="16"/>
        </w:rPr>
        <w:softHyphen/>
        <w:t>ров. Капитаны Рубцов и Захаров от</w:t>
      </w:r>
      <w:r w:rsidRPr="00D03F3E">
        <w:rPr>
          <w:rFonts w:ascii="Times New Roman" w:hAnsi="Times New Roman"/>
          <w:color w:val="000000" w:themeColor="text1"/>
          <w:sz w:val="16"/>
          <w:szCs w:val="16"/>
        </w:rPr>
        <w:softHyphen/>
        <w:t>мечали большой взрыв и пожар на ст. Сещинская (предположительно взорва</w:t>
      </w:r>
      <w:r w:rsidRPr="00D03F3E">
        <w:rPr>
          <w:rFonts w:ascii="Times New Roman" w:hAnsi="Times New Roman"/>
          <w:color w:val="000000" w:themeColor="text1"/>
          <w:sz w:val="16"/>
          <w:szCs w:val="16"/>
        </w:rPr>
        <w:softHyphen/>
        <w:t>лись цистерны с горючим). Кроме того, пулеметно-пушечным огнем и РСами были обстреляны две батареи зенит</w:t>
      </w:r>
      <w:r w:rsidRPr="00D03F3E">
        <w:rPr>
          <w:rFonts w:ascii="Times New Roman" w:hAnsi="Times New Roman"/>
          <w:color w:val="000000" w:themeColor="text1"/>
          <w:sz w:val="16"/>
          <w:szCs w:val="16"/>
        </w:rPr>
        <w:softHyphen/>
        <w:t>ной артиллерии в районе свх. Трех-братский и в 1 км севернее Сеща.</w:t>
      </w:r>
    </w:p>
    <w:p w14:paraId="04BEA6F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выходе из атаки над аэродро</w:t>
      </w:r>
      <w:r w:rsidRPr="00D03F3E">
        <w:rPr>
          <w:rFonts w:ascii="Times New Roman" w:hAnsi="Times New Roman"/>
          <w:color w:val="000000" w:themeColor="text1"/>
          <w:sz w:val="16"/>
          <w:szCs w:val="16"/>
        </w:rPr>
        <w:softHyphen/>
        <w:t>мом зенитным огнем был сбит Ил-2 мл, лейтенанта А. Г. Кузнецова (воздуш</w:t>
      </w:r>
      <w:r w:rsidRPr="00D03F3E">
        <w:rPr>
          <w:rFonts w:ascii="Times New Roman" w:hAnsi="Times New Roman"/>
          <w:color w:val="000000" w:themeColor="text1"/>
          <w:sz w:val="16"/>
          <w:szCs w:val="16"/>
        </w:rPr>
        <w:softHyphen/>
        <w:t>ный стрелок сержант М. А. Ефремов). Кузнецов выполнял свой первый бое</w:t>
      </w:r>
      <w:r w:rsidRPr="00D03F3E">
        <w:rPr>
          <w:rFonts w:ascii="Times New Roman" w:hAnsi="Times New Roman"/>
          <w:color w:val="000000" w:themeColor="text1"/>
          <w:sz w:val="16"/>
          <w:szCs w:val="16"/>
        </w:rPr>
        <w:softHyphen/>
        <w:t xml:space="preserve">вой вылет и, естественно, вследствие </w:t>
      </w:r>
      <w:r w:rsidRPr="00D03F3E">
        <w:rPr>
          <w:rFonts w:ascii="Times New Roman" w:hAnsi="Times New Roman"/>
          <w:iCs/>
          <w:color w:val="000000" w:themeColor="text1"/>
          <w:sz w:val="16"/>
          <w:szCs w:val="16"/>
        </w:rPr>
        <w:t>"отсутствия достаточного опыта"совер</w:t>
      </w:r>
      <w:r w:rsidRPr="00D03F3E">
        <w:rPr>
          <w:rFonts w:ascii="Times New Roman" w:hAnsi="Times New Roman"/>
          <w:iCs/>
          <w:color w:val="000000" w:themeColor="text1"/>
          <w:sz w:val="16"/>
          <w:szCs w:val="16"/>
        </w:rPr>
        <w:softHyphen/>
        <w:t xml:space="preserve">шенно </w:t>
      </w:r>
      <w:r w:rsidRPr="00D03F3E">
        <w:rPr>
          <w:rFonts w:ascii="Times New Roman" w:hAnsi="Times New Roman"/>
          <w:color w:val="000000" w:themeColor="text1"/>
          <w:sz w:val="16"/>
          <w:szCs w:val="16"/>
        </w:rPr>
        <w:t xml:space="preserve">не знал, каким должен быть энергичный противозенитный маневр, в то время как </w:t>
      </w:r>
      <w:r w:rsidRPr="00D03F3E">
        <w:rPr>
          <w:rFonts w:ascii="Times New Roman" w:hAnsi="Times New Roman"/>
          <w:iCs/>
          <w:color w:val="000000" w:themeColor="text1"/>
          <w:sz w:val="16"/>
          <w:szCs w:val="16"/>
        </w:rPr>
        <w:t>"...штурмовка аэродро</w:t>
      </w:r>
      <w:r w:rsidRPr="00D03F3E">
        <w:rPr>
          <w:rFonts w:ascii="Times New Roman" w:hAnsi="Times New Roman"/>
          <w:iCs/>
          <w:color w:val="000000" w:themeColor="text1"/>
          <w:sz w:val="16"/>
          <w:szCs w:val="16"/>
        </w:rPr>
        <w:softHyphen/>
        <w:t xml:space="preserve">ма является ответственной и сложной задачей". </w:t>
      </w:r>
      <w:r w:rsidRPr="00D03F3E">
        <w:rPr>
          <w:rFonts w:ascii="Times New Roman" w:hAnsi="Times New Roman"/>
          <w:color w:val="000000" w:themeColor="text1"/>
          <w:sz w:val="16"/>
          <w:szCs w:val="16"/>
        </w:rPr>
        <w:t xml:space="preserve">По докладу экипажей у его самолета </w:t>
      </w:r>
      <w:r w:rsidRPr="00D03F3E">
        <w:rPr>
          <w:rFonts w:ascii="Times New Roman" w:hAnsi="Times New Roman"/>
          <w:iCs/>
          <w:color w:val="000000" w:themeColor="text1"/>
          <w:sz w:val="16"/>
          <w:szCs w:val="16"/>
        </w:rPr>
        <w:t>"прямым попаданием зенит</w:t>
      </w:r>
      <w:r w:rsidRPr="00D03F3E">
        <w:rPr>
          <w:rFonts w:ascii="Times New Roman" w:hAnsi="Times New Roman"/>
          <w:iCs/>
          <w:color w:val="000000" w:themeColor="text1"/>
          <w:sz w:val="16"/>
          <w:szCs w:val="16"/>
        </w:rPr>
        <w:softHyphen/>
        <w:t xml:space="preserve">ного снаряда среднего калибра была отбита правая плоскость..." </w:t>
      </w:r>
      <w:r w:rsidRPr="00D03F3E">
        <w:rPr>
          <w:rFonts w:ascii="Times New Roman" w:hAnsi="Times New Roman"/>
          <w:color w:val="000000" w:themeColor="text1"/>
          <w:sz w:val="16"/>
          <w:szCs w:val="16"/>
        </w:rPr>
        <w:t>Из доку</w:t>
      </w:r>
      <w:r w:rsidRPr="00D03F3E">
        <w:rPr>
          <w:rFonts w:ascii="Times New Roman" w:hAnsi="Times New Roman"/>
          <w:color w:val="000000" w:themeColor="text1"/>
          <w:sz w:val="16"/>
          <w:szCs w:val="16"/>
        </w:rPr>
        <w:softHyphen/>
        <w:t>ментов полка следует, что экипаж не вернулся с боевого задания и судьба его неизвестна.</w:t>
      </w:r>
    </w:p>
    <w:p w14:paraId="21170B2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 огня МЗА получили поврежде</w:t>
      </w:r>
      <w:r w:rsidRPr="00D03F3E">
        <w:rPr>
          <w:rFonts w:ascii="Times New Roman" w:hAnsi="Times New Roman"/>
          <w:color w:val="000000" w:themeColor="text1"/>
          <w:sz w:val="16"/>
          <w:szCs w:val="16"/>
        </w:rPr>
        <w:softHyphen/>
        <w:t>ния самолеты ст. лейтенанта Алферо</w:t>
      </w:r>
      <w:r w:rsidRPr="00D03F3E">
        <w:rPr>
          <w:rFonts w:ascii="Times New Roman" w:hAnsi="Times New Roman"/>
          <w:color w:val="000000" w:themeColor="text1"/>
          <w:sz w:val="16"/>
          <w:szCs w:val="16"/>
        </w:rPr>
        <w:softHyphen/>
        <w:t>ва и мл. лейтенанта Мочалова, но лет</w:t>
      </w:r>
      <w:r w:rsidRPr="00D03F3E">
        <w:rPr>
          <w:rFonts w:ascii="Times New Roman" w:hAnsi="Times New Roman"/>
          <w:color w:val="000000" w:themeColor="text1"/>
          <w:sz w:val="16"/>
          <w:szCs w:val="16"/>
        </w:rPr>
        <w:softHyphen/>
        <w:t>чики смогли дотянуть до своего аэро</w:t>
      </w:r>
      <w:r w:rsidRPr="00D03F3E">
        <w:rPr>
          <w:rFonts w:ascii="Times New Roman" w:hAnsi="Times New Roman"/>
          <w:color w:val="000000" w:themeColor="text1"/>
          <w:sz w:val="16"/>
          <w:szCs w:val="16"/>
        </w:rPr>
        <w:softHyphen/>
        <w:t>дрома и совершить благополучные посадки.</w:t>
      </w:r>
    </w:p>
    <w:p w14:paraId="0C14637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подходе к аэродрому по штур</w:t>
      </w:r>
      <w:r w:rsidRPr="00D03F3E">
        <w:rPr>
          <w:rFonts w:ascii="Times New Roman" w:hAnsi="Times New Roman"/>
          <w:color w:val="000000" w:themeColor="text1"/>
          <w:sz w:val="16"/>
          <w:szCs w:val="16"/>
        </w:rPr>
        <w:softHyphen/>
        <w:t>мовикам велся сильный зенитный огонь из района Холмовка, Петлевка, Крас-нополье, Дмитриевка, свх. Трехбратс-кий, ст. Сещинская и Сеща. Только среднекалиберной зенитной артилле</w:t>
      </w:r>
      <w:r w:rsidRPr="00D03F3E">
        <w:rPr>
          <w:rFonts w:ascii="Times New Roman" w:hAnsi="Times New Roman"/>
          <w:color w:val="000000" w:themeColor="text1"/>
          <w:sz w:val="16"/>
          <w:szCs w:val="16"/>
        </w:rPr>
        <w:softHyphen/>
        <w:t>рии, не считая МЗА, в пределах 1-1,5 км зоны от аэродрома экипажи насчи</w:t>
      </w:r>
      <w:r w:rsidRPr="00D03F3E">
        <w:rPr>
          <w:rFonts w:ascii="Times New Roman" w:hAnsi="Times New Roman"/>
          <w:color w:val="000000" w:themeColor="text1"/>
          <w:sz w:val="16"/>
          <w:szCs w:val="16"/>
        </w:rPr>
        <w:softHyphen/>
        <w:t>тали до 6-8 батарей. Непосредствен</w:t>
      </w:r>
      <w:r w:rsidRPr="00D03F3E">
        <w:rPr>
          <w:rFonts w:ascii="Times New Roman" w:hAnsi="Times New Roman"/>
          <w:color w:val="000000" w:themeColor="text1"/>
          <w:sz w:val="16"/>
          <w:szCs w:val="16"/>
        </w:rPr>
        <w:softHyphen/>
        <w:t>но в районе аэродрома по штурмови</w:t>
      </w:r>
      <w:r w:rsidRPr="00D03F3E">
        <w:rPr>
          <w:rFonts w:ascii="Times New Roman" w:hAnsi="Times New Roman"/>
          <w:color w:val="000000" w:themeColor="text1"/>
          <w:sz w:val="16"/>
          <w:szCs w:val="16"/>
        </w:rPr>
        <w:softHyphen/>
        <w:t>кам "работали" преимущественно зе</w:t>
      </w:r>
      <w:r w:rsidRPr="00D03F3E">
        <w:rPr>
          <w:rFonts w:ascii="Times New Roman" w:hAnsi="Times New Roman"/>
          <w:color w:val="000000" w:themeColor="text1"/>
          <w:sz w:val="16"/>
          <w:szCs w:val="16"/>
        </w:rPr>
        <w:softHyphen/>
        <w:t xml:space="preserve">нитные автоматы и крупнокалиберные пулеметы, которые располагались </w:t>
      </w:r>
      <w:r w:rsidRPr="00D03F3E">
        <w:rPr>
          <w:rFonts w:ascii="Times New Roman" w:hAnsi="Times New Roman"/>
          <w:iCs/>
          <w:color w:val="000000" w:themeColor="text1"/>
          <w:sz w:val="16"/>
          <w:szCs w:val="16"/>
        </w:rPr>
        <w:t xml:space="preserve">"на границах летного поля и стоянок". </w:t>
      </w:r>
      <w:r w:rsidRPr="00D03F3E">
        <w:rPr>
          <w:rFonts w:ascii="Times New Roman" w:hAnsi="Times New Roman"/>
          <w:color w:val="000000" w:themeColor="text1"/>
          <w:sz w:val="16"/>
          <w:szCs w:val="16"/>
        </w:rPr>
        <w:t xml:space="preserve">Сколько их было натыкано, сосчитать не удалось. Экипажи отмечали, что: </w:t>
      </w:r>
      <w:r w:rsidRPr="00D03F3E">
        <w:rPr>
          <w:rFonts w:ascii="Times New Roman" w:hAnsi="Times New Roman"/>
          <w:iCs/>
          <w:color w:val="000000" w:themeColor="text1"/>
          <w:sz w:val="16"/>
          <w:szCs w:val="16"/>
        </w:rPr>
        <w:t>"...в районе Сеща сплошной зенитно-пуле-метный огонь", "...зенитный огонь при подходе к цели велся заградительный тремя ярусами, на аэродроме Сеща огонь велся круговой двумя ярусами, ...особенно сильный с северной сто</w:t>
      </w:r>
      <w:r w:rsidRPr="00D03F3E">
        <w:rPr>
          <w:rFonts w:ascii="Times New Roman" w:hAnsi="Times New Roman"/>
          <w:iCs/>
          <w:color w:val="000000" w:themeColor="text1"/>
          <w:sz w:val="16"/>
          <w:szCs w:val="16"/>
        </w:rPr>
        <w:softHyphen/>
        <w:t>роны ".</w:t>
      </w:r>
    </w:p>
    <w:p w14:paraId="0539775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аэродрома в воздухе на</w:t>
      </w:r>
      <w:r w:rsidRPr="00D03F3E">
        <w:rPr>
          <w:rFonts w:ascii="Times New Roman" w:hAnsi="Times New Roman"/>
          <w:color w:val="000000" w:themeColor="text1"/>
          <w:sz w:val="16"/>
          <w:szCs w:val="16"/>
        </w:rPr>
        <w:softHyphen/>
        <w:t xml:space="preserve">ходилось до 15 истребителей Р^190 и ВЛ09, которые пытались атаковать штурмовики. Истребители прикрытия вступили с ними в бой. Атаку 5-6 "фок-ке-вульфов" на штурмовики 312-го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отражали 4 "Яка" ударной группы и пара от 122-го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Нашим истреби</w:t>
      </w:r>
      <w:r w:rsidRPr="00D03F3E">
        <w:rPr>
          <w:rFonts w:ascii="Times New Roman" w:hAnsi="Times New Roman"/>
          <w:color w:val="000000" w:themeColor="text1"/>
          <w:sz w:val="16"/>
          <w:szCs w:val="16"/>
        </w:rPr>
        <w:softHyphen/>
        <w:t>телям удалось связать боем противника.</w:t>
      </w:r>
    </w:p>
    <w:p w14:paraId="08A4490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Но отходе от аэродрома два ру/1 90 пытались </w:t>
      </w:r>
      <w:r w:rsidRPr="00D03F3E">
        <w:rPr>
          <w:rFonts w:ascii="Times New Roman" w:hAnsi="Times New Roman"/>
          <w:iCs/>
          <w:color w:val="000000" w:themeColor="text1"/>
          <w:sz w:val="16"/>
          <w:szCs w:val="16"/>
        </w:rPr>
        <w:t xml:space="preserve">"...выходом из облачности" </w:t>
      </w:r>
      <w:r w:rsidRPr="00D03F3E">
        <w:rPr>
          <w:rFonts w:ascii="Times New Roman" w:hAnsi="Times New Roman"/>
          <w:color w:val="000000" w:themeColor="text1"/>
          <w:sz w:val="16"/>
          <w:szCs w:val="16"/>
        </w:rPr>
        <w:t>неожиданно атаковать штурмовики, но им помешали ст. л-т Нагорный и стар</w:t>
      </w:r>
      <w:r w:rsidRPr="00D03F3E">
        <w:rPr>
          <w:rFonts w:ascii="Times New Roman" w:hAnsi="Times New Roman"/>
          <w:color w:val="000000" w:themeColor="text1"/>
          <w:sz w:val="16"/>
          <w:szCs w:val="16"/>
        </w:rPr>
        <w:softHyphen/>
        <w:t xml:space="preserve">шина Шалуха из 162-го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которые обеспечивали непосредственное со</w:t>
      </w:r>
      <w:r w:rsidRPr="00D03F3E">
        <w:rPr>
          <w:rFonts w:ascii="Times New Roman" w:hAnsi="Times New Roman"/>
          <w:color w:val="000000" w:themeColor="text1"/>
          <w:sz w:val="16"/>
          <w:szCs w:val="16"/>
        </w:rPr>
        <w:softHyphen/>
        <w:t>провождение Ил-2. Пара "Яков" бое</w:t>
      </w:r>
      <w:r w:rsidRPr="00D03F3E">
        <w:rPr>
          <w:rFonts w:ascii="Times New Roman" w:hAnsi="Times New Roman"/>
          <w:color w:val="000000" w:themeColor="text1"/>
          <w:sz w:val="16"/>
          <w:szCs w:val="16"/>
        </w:rPr>
        <w:softHyphen/>
        <w:t>вым разворотом вышла "фокке-вуль-фам" в лоб, но противник вышел из боя, войдя в облачность.</w:t>
      </w:r>
    </w:p>
    <w:p w14:paraId="219183A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Атаку на штурмовиков другой пары Р^190 удачным маневром сумел отбить к-н В. С. Мовчан из 122-го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Пило</w:t>
      </w:r>
      <w:r w:rsidRPr="00D03F3E">
        <w:rPr>
          <w:rFonts w:ascii="Times New Roman" w:hAnsi="Times New Roman"/>
          <w:color w:val="000000" w:themeColor="text1"/>
          <w:sz w:val="16"/>
          <w:szCs w:val="16"/>
        </w:rPr>
        <w:softHyphen/>
        <w:t>ты люфтваффе длительного боя не приняли и ушли в облачность. Однако в ходе боя Мовчан оторвался от сво</w:t>
      </w:r>
      <w:r w:rsidRPr="00D03F3E">
        <w:rPr>
          <w:rFonts w:ascii="Times New Roman" w:hAnsi="Times New Roman"/>
          <w:color w:val="000000" w:themeColor="text1"/>
          <w:sz w:val="16"/>
          <w:szCs w:val="16"/>
        </w:rPr>
        <w:softHyphen/>
        <w:t>ей группы. Попытка догнать ее успе</w:t>
      </w:r>
      <w:r w:rsidRPr="00D03F3E">
        <w:rPr>
          <w:rFonts w:ascii="Times New Roman" w:hAnsi="Times New Roman"/>
          <w:color w:val="000000" w:themeColor="text1"/>
          <w:sz w:val="16"/>
          <w:szCs w:val="16"/>
        </w:rPr>
        <w:softHyphen/>
        <w:t>хом не увенчалась. В районе ст. Дуб</w:t>
      </w:r>
      <w:r w:rsidRPr="00D03F3E">
        <w:rPr>
          <w:rFonts w:ascii="Times New Roman" w:hAnsi="Times New Roman"/>
          <w:color w:val="000000" w:themeColor="text1"/>
          <w:sz w:val="16"/>
          <w:szCs w:val="16"/>
        </w:rPr>
        <w:softHyphen/>
        <w:t>ровка к-н Мовчан атаковал одиноч</w:t>
      </w:r>
      <w:r w:rsidRPr="00D03F3E">
        <w:rPr>
          <w:rFonts w:ascii="Times New Roman" w:hAnsi="Times New Roman"/>
          <w:color w:val="000000" w:themeColor="text1"/>
          <w:sz w:val="16"/>
          <w:szCs w:val="16"/>
        </w:rPr>
        <w:softHyphen/>
        <w:t>ный "фокке-вульфом", который, также не принимая боя, вошел в облачность и скрылся.</w:t>
      </w:r>
    </w:p>
    <w:p w14:paraId="6673904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Воздушный бой вели лейтенанты Ры</w:t>
      </w:r>
      <w:r w:rsidRPr="00D03F3E">
        <w:rPr>
          <w:rFonts w:ascii="Times New Roman" w:hAnsi="Times New Roman"/>
          <w:color w:val="000000" w:themeColor="text1"/>
          <w:sz w:val="16"/>
          <w:szCs w:val="16"/>
        </w:rPr>
        <w:softHyphen/>
        <w:t xml:space="preserve">балка и Вернигора из 122-го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ко</w:t>
      </w:r>
      <w:r w:rsidRPr="00D03F3E">
        <w:rPr>
          <w:rFonts w:ascii="Times New Roman" w:hAnsi="Times New Roman"/>
          <w:color w:val="000000" w:themeColor="text1"/>
          <w:sz w:val="16"/>
          <w:szCs w:val="16"/>
        </w:rPr>
        <w:softHyphen/>
        <w:t xml:space="preserve">торые в паре отбили атаку двух "фок-керов" на наши истребители Ла-5 от 49-го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Но и в этом случае истре</w:t>
      </w:r>
      <w:r w:rsidRPr="00D03F3E">
        <w:rPr>
          <w:rFonts w:ascii="Times New Roman" w:hAnsi="Times New Roman"/>
          <w:color w:val="000000" w:themeColor="text1"/>
          <w:sz w:val="16"/>
          <w:szCs w:val="16"/>
        </w:rPr>
        <w:softHyphen/>
        <w:t>бители противника вызов не приняли и вышли из боя.</w:t>
      </w:r>
    </w:p>
    <w:p w14:paraId="7A72D6F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Подобное поведение пилотов люф</w:t>
      </w:r>
      <w:r w:rsidRPr="00D03F3E">
        <w:rPr>
          <w:rFonts w:ascii="Times New Roman" w:hAnsi="Times New Roman"/>
          <w:color w:val="000000" w:themeColor="text1"/>
          <w:sz w:val="16"/>
          <w:szCs w:val="16"/>
        </w:rPr>
        <w:softHyphen/>
        <w:t>тваффе позволило нашим истребите</w:t>
      </w:r>
      <w:r w:rsidRPr="00D03F3E">
        <w:rPr>
          <w:rFonts w:ascii="Times New Roman" w:hAnsi="Times New Roman"/>
          <w:color w:val="000000" w:themeColor="text1"/>
          <w:sz w:val="16"/>
          <w:szCs w:val="16"/>
        </w:rPr>
        <w:softHyphen/>
        <w:t xml:space="preserve">лям прикрытия в своих донесениях о боевой работе за 10 июня сделать вывод, что </w:t>
      </w:r>
      <w:r w:rsidRPr="00D03F3E">
        <w:rPr>
          <w:rFonts w:ascii="Times New Roman" w:hAnsi="Times New Roman"/>
          <w:iCs/>
          <w:color w:val="000000" w:themeColor="text1"/>
          <w:sz w:val="16"/>
          <w:szCs w:val="16"/>
        </w:rPr>
        <w:t>"...ввиду большого преиму</w:t>
      </w:r>
      <w:r w:rsidRPr="00D03F3E">
        <w:rPr>
          <w:rFonts w:ascii="Times New Roman" w:hAnsi="Times New Roman"/>
          <w:iCs/>
          <w:color w:val="000000" w:themeColor="text1"/>
          <w:sz w:val="16"/>
          <w:szCs w:val="16"/>
        </w:rPr>
        <w:softHyphen/>
        <w:t>щества нашей авиации истребители противника активности не проявляли и при атаке нашими истребителями ук</w:t>
      </w:r>
      <w:r w:rsidRPr="00D03F3E">
        <w:rPr>
          <w:rFonts w:ascii="Times New Roman" w:hAnsi="Times New Roman"/>
          <w:iCs/>
          <w:color w:val="000000" w:themeColor="text1"/>
          <w:sz w:val="16"/>
          <w:szCs w:val="16"/>
        </w:rPr>
        <w:softHyphen/>
        <w:t xml:space="preserve">лонялись от воздушного боя". </w:t>
      </w:r>
      <w:r w:rsidRPr="00D03F3E">
        <w:rPr>
          <w:rFonts w:ascii="Times New Roman" w:hAnsi="Times New Roman"/>
          <w:color w:val="000000" w:themeColor="text1"/>
          <w:sz w:val="16"/>
          <w:szCs w:val="16"/>
        </w:rPr>
        <w:t>Однако думается, что это не так. Подобной имитацией атак немецкие пилоты пы</w:t>
      </w:r>
      <w:r w:rsidRPr="00D03F3E">
        <w:rPr>
          <w:rFonts w:ascii="Times New Roman" w:hAnsi="Times New Roman"/>
          <w:color w:val="000000" w:themeColor="text1"/>
          <w:sz w:val="16"/>
          <w:szCs w:val="16"/>
        </w:rPr>
        <w:softHyphen/>
        <w:t>тались оттянуть наших истребителей от прикрываемых штурмовиков. Как ока</w:t>
      </w:r>
      <w:r w:rsidRPr="00D03F3E">
        <w:rPr>
          <w:rFonts w:ascii="Times New Roman" w:hAnsi="Times New Roman"/>
          <w:color w:val="000000" w:themeColor="text1"/>
          <w:sz w:val="16"/>
          <w:szCs w:val="16"/>
        </w:rPr>
        <w:softHyphen/>
        <w:t>залось, в определенной мере это им удалось.</w:t>
      </w:r>
    </w:p>
    <w:p w14:paraId="22AEE15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временем, пока истребители не</w:t>
      </w:r>
      <w:r w:rsidRPr="00D03F3E">
        <w:rPr>
          <w:rFonts w:ascii="Times New Roman" w:hAnsi="Times New Roman"/>
          <w:color w:val="000000" w:themeColor="text1"/>
          <w:sz w:val="16"/>
          <w:szCs w:val="16"/>
        </w:rPr>
        <w:softHyphen/>
        <w:t>посредственного сопровождения отра</w:t>
      </w:r>
      <w:r w:rsidRPr="00D03F3E">
        <w:rPr>
          <w:rFonts w:ascii="Times New Roman" w:hAnsi="Times New Roman"/>
          <w:color w:val="000000" w:themeColor="text1"/>
          <w:sz w:val="16"/>
          <w:szCs w:val="16"/>
        </w:rPr>
        <w:softHyphen/>
        <w:t>жали атаки пилотов люфтваффе и вы</w:t>
      </w:r>
      <w:r w:rsidRPr="00D03F3E">
        <w:rPr>
          <w:rFonts w:ascii="Times New Roman" w:hAnsi="Times New Roman"/>
          <w:color w:val="000000" w:themeColor="text1"/>
          <w:sz w:val="16"/>
          <w:szCs w:val="16"/>
        </w:rPr>
        <w:softHyphen/>
        <w:t xml:space="preserve">полняли маневрирование, оставшийся без прикрытия командир звена мл. л-т Ю. Д. Ивлиев от 312-го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на высо</w:t>
      </w:r>
      <w:r w:rsidRPr="00D03F3E">
        <w:rPr>
          <w:rFonts w:ascii="Times New Roman" w:hAnsi="Times New Roman"/>
          <w:color w:val="000000" w:themeColor="text1"/>
          <w:sz w:val="16"/>
          <w:szCs w:val="16"/>
        </w:rPr>
        <w:softHyphen/>
        <w:t>те 400 м был дважды атакован парой ру^190. Первая атака справа снизу была сорвана воздушным стрелком Берещенко, который удачно обстре</w:t>
      </w:r>
      <w:r w:rsidRPr="00D03F3E">
        <w:rPr>
          <w:rFonts w:ascii="Times New Roman" w:hAnsi="Times New Roman"/>
          <w:color w:val="000000" w:themeColor="text1"/>
          <w:sz w:val="16"/>
          <w:szCs w:val="16"/>
        </w:rPr>
        <w:softHyphen/>
        <w:t>лял истребители противника и вынудил их прекратить атаку. Для второй атаки немецкие пилоты зашли снизу сзади под хвост самолета. Воздушный стре</w:t>
      </w:r>
      <w:r w:rsidRPr="00D03F3E">
        <w:rPr>
          <w:rFonts w:ascii="Times New Roman" w:hAnsi="Times New Roman"/>
          <w:color w:val="000000" w:themeColor="text1"/>
          <w:sz w:val="16"/>
          <w:szCs w:val="16"/>
        </w:rPr>
        <w:softHyphen/>
        <w:t xml:space="preserve">лок обстрелять истребители из УБТ уже не мог. От длинной очереди из всех стволов ведущего "фокке-вульфа" Ил-2 </w:t>
      </w:r>
      <w:r w:rsidRPr="00D03F3E">
        <w:rPr>
          <w:rFonts w:ascii="Times New Roman" w:hAnsi="Times New Roman"/>
          <w:iCs/>
          <w:color w:val="000000" w:themeColor="text1"/>
          <w:sz w:val="16"/>
          <w:szCs w:val="16"/>
        </w:rPr>
        <w:t>"...получил большие повреждения — перебито управление элерона правой плоскости, в плоскости образовалась дыра размерами 0,2x0,75 м, разбит руль высоты, в трех местах поврежден фюзеляж, перебита броня у стрелка, разбит патронный ящик в кабине стрел</w:t>
      </w:r>
      <w:r w:rsidRPr="00D03F3E">
        <w:rPr>
          <w:rFonts w:ascii="Times New Roman" w:hAnsi="Times New Roman"/>
          <w:iCs/>
          <w:color w:val="000000" w:themeColor="text1"/>
          <w:sz w:val="16"/>
          <w:szCs w:val="16"/>
        </w:rPr>
        <w:softHyphen/>
        <w:t xml:space="preserve">ка". </w:t>
      </w:r>
      <w:r w:rsidRPr="00D03F3E">
        <w:rPr>
          <w:rFonts w:ascii="Times New Roman" w:hAnsi="Times New Roman"/>
          <w:color w:val="000000" w:themeColor="text1"/>
          <w:sz w:val="16"/>
          <w:szCs w:val="16"/>
        </w:rPr>
        <w:t>Самолет перешел в беспорядоч</w:t>
      </w:r>
      <w:r w:rsidRPr="00D03F3E">
        <w:rPr>
          <w:rFonts w:ascii="Times New Roman" w:hAnsi="Times New Roman"/>
          <w:color w:val="000000" w:themeColor="text1"/>
          <w:sz w:val="16"/>
          <w:szCs w:val="16"/>
        </w:rPr>
        <w:softHyphen/>
        <w:t>ное падение. Примерно на высоте 35-50 м Ивлиеву удалось перевести штур</w:t>
      </w:r>
      <w:r w:rsidRPr="00D03F3E">
        <w:rPr>
          <w:rFonts w:ascii="Times New Roman" w:hAnsi="Times New Roman"/>
          <w:color w:val="000000" w:themeColor="text1"/>
          <w:sz w:val="16"/>
          <w:szCs w:val="16"/>
        </w:rPr>
        <w:softHyphen/>
        <w:t>мовик в горизонтальный полет. В это время воздушный стрелок самоотвер</w:t>
      </w:r>
      <w:r w:rsidRPr="00D03F3E">
        <w:rPr>
          <w:rFonts w:ascii="Times New Roman" w:hAnsi="Times New Roman"/>
          <w:color w:val="000000" w:themeColor="text1"/>
          <w:sz w:val="16"/>
          <w:szCs w:val="16"/>
        </w:rPr>
        <w:softHyphen/>
        <w:t>женно боролся с огнем в своей каби</w:t>
      </w:r>
      <w:r w:rsidRPr="00D03F3E">
        <w:rPr>
          <w:rFonts w:ascii="Times New Roman" w:hAnsi="Times New Roman"/>
          <w:color w:val="000000" w:themeColor="text1"/>
          <w:sz w:val="16"/>
          <w:szCs w:val="16"/>
        </w:rPr>
        <w:softHyphen/>
        <w:t>не - горел патронный ящик. Берещен</w:t>
      </w:r>
      <w:r w:rsidRPr="00D03F3E">
        <w:rPr>
          <w:rFonts w:ascii="Times New Roman" w:hAnsi="Times New Roman"/>
          <w:color w:val="000000" w:themeColor="text1"/>
          <w:sz w:val="16"/>
          <w:szCs w:val="16"/>
        </w:rPr>
        <w:softHyphen/>
        <w:t>ко удалось потушить пожар, но он получил сильные ожоги рук.</w:t>
      </w:r>
    </w:p>
    <w:p w14:paraId="2A084F7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Пилоты люфтваффе сделали третью попытку атаковать советский штурмо</w:t>
      </w:r>
      <w:r w:rsidRPr="00D03F3E">
        <w:rPr>
          <w:rFonts w:ascii="Times New Roman" w:hAnsi="Times New Roman"/>
          <w:color w:val="000000" w:themeColor="text1"/>
          <w:sz w:val="16"/>
          <w:szCs w:val="16"/>
        </w:rPr>
        <w:softHyphen/>
        <w:t>вик, но их атака была отбита одиноч</w:t>
      </w:r>
      <w:r w:rsidRPr="00D03F3E">
        <w:rPr>
          <w:rFonts w:ascii="Times New Roman" w:hAnsi="Times New Roman"/>
          <w:color w:val="000000" w:themeColor="text1"/>
          <w:sz w:val="16"/>
          <w:szCs w:val="16"/>
        </w:rPr>
        <w:softHyphen/>
        <w:t>ным Як-1 из группы прикрытия. На по</w:t>
      </w:r>
      <w:r w:rsidRPr="00D03F3E">
        <w:rPr>
          <w:rFonts w:ascii="Times New Roman" w:hAnsi="Times New Roman"/>
          <w:color w:val="000000" w:themeColor="text1"/>
          <w:sz w:val="16"/>
          <w:szCs w:val="16"/>
        </w:rPr>
        <w:softHyphen/>
        <w:t>мощь экипажу штурмовика пришел ст. л-т Нагорный, который к этому време</w:t>
      </w:r>
      <w:r w:rsidRPr="00D03F3E">
        <w:rPr>
          <w:rFonts w:ascii="Times New Roman" w:hAnsi="Times New Roman"/>
          <w:color w:val="000000" w:themeColor="text1"/>
          <w:sz w:val="16"/>
          <w:szCs w:val="16"/>
        </w:rPr>
        <w:softHyphen/>
        <w:t>ни потерял своего ведомого. На пло</w:t>
      </w:r>
      <w:r w:rsidRPr="00D03F3E">
        <w:rPr>
          <w:rFonts w:ascii="Times New Roman" w:hAnsi="Times New Roman"/>
          <w:color w:val="000000" w:themeColor="text1"/>
          <w:sz w:val="16"/>
          <w:szCs w:val="16"/>
        </w:rPr>
        <w:softHyphen/>
        <w:t>хо управляемом самолете мл. л-т Ив</w:t>
      </w:r>
      <w:r w:rsidRPr="00D03F3E">
        <w:rPr>
          <w:rFonts w:ascii="Times New Roman" w:hAnsi="Times New Roman"/>
          <w:color w:val="000000" w:themeColor="text1"/>
          <w:sz w:val="16"/>
          <w:szCs w:val="16"/>
        </w:rPr>
        <w:softHyphen/>
        <w:t>лиев набрал высоту 200-300 м и в сопровождении Як-1 пошел на свою территорию. Наш истребитель довел штурмовик в район Серпейска и ушел на свой аэродром. Ивлиев восстано</w:t>
      </w:r>
      <w:r w:rsidRPr="00D03F3E">
        <w:rPr>
          <w:rFonts w:ascii="Times New Roman" w:hAnsi="Times New Roman"/>
          <w:color w:val="000000" w:themeColor="text1"/>
          <w:sz w:val="16"/>
          <w:szCs w:val="16"/>
        </w:rPr>
        <w:softHyphen/>
        <w:t>вил ориентировку и выполнил посадку на первом же ближайшем аэродроме Умиленка. При заходе на посадку ока</w:t>
      </w:r>
      <w:r w:rsidRPr="00D03F3E">
        <w:rPr>
          <w:rFonts w:ascii="Times New Roman" w:hAnsi="Times New Roman"/>
          <w:color w:val="000000" w:themeColor="text1"/>
          <w:sz w:val="16"/>
          <w:szCs w:val="16"/>
        </w:rPr>
        <w:softHyphen/>
        <w:t>залось, что правая стойка шасси не вышла. Летчику пришлось садиться на одно левое колесо шасси. Все обо</w:t>
      </w:r>
      <w:r w:rsidRPr="00D03F3E">
        <w:rPr>
          <w:rFonts w:ascii="Times New Roman" w:hAnsi="Times New Roman"/>
          <w:color w:val="000000" w:themeColor="text1"/>
          <w:sz w:val="16"/>
          <w:szCs w:val="16"/>
        </w:rPr>
        <w:softHyphen/>
        <w:t>шлось, экипаж не пострадал.</w:t>
      </w:r>
    </w:p>
    <w:p w14:paraId="1BDDD8F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аэродром Умиленка сел и мл. л-т Комаровский, который отбился от ос</w:t>
      </w:r>
      <w:r w:rsidRPr="00D03F3E">
        <w:rPr>
          <w:rFonts w:ascii="Times New Roman" w:hAnsi="Times New Roman"/>
          <w:color w:val="000000" w:themeColor="text1"/>
          <w:sz w:val="16"/>
          <w:szCs w:val="16"/>
        </w:rPr>
        <w:softHyphen/>
        <w:t>новной группы и потерял ориентиров</w:t>
      </w:r>
      <w:r w:rsidRPr="00D03F3E">
        <w:rPr>
          <w:rFonts w:ascii="Times New Roman" w:hAnsi="Times New Roman"/>
          <w:color w:val="000000" w:themeColor="text1"/>
          <w:sz w:val="16"/>
          <w:szCs w:val="16"/>
        </w:rPr>
        <w:softHyphen/>
        <w:t>ку. Его самолет имел незначительные повреждения от огня истребителей.</w:t>
      </w:r>
    </w:p>
    <w:p w14:paraId="28D9F0F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боевом донесении 312-го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комполка м-р В. С. Спюнкин отмечал, что: </w:t>
      </w:r>
      <w:r w:rsidRPr="00D03F3E">
        <w:rPr>
          <w:rFonts w:ascii="Times New Roman" w:hAnsi="Times New Roman"/>
          <w:iCs/>
          <w:color w:val="000000" w:themeColor="text1"/>
          <w:sz w:val="16"/>
          <w:szCs w:val="16"/>
        </w:rPr>
        <w:t>"Истребители сопровождения при</w:t>
      </w:r>
      <w:r w:rsidRPr="00D03F3E">
        <w:rPr>
          <w:rFonts w:ascii="Times New Roman" w:hAnsi="Times New Roman"/>
          <w:iCs/>
          <w:color w:val="000000" w:themeColor="text1"/>
          <w:sz w:val="16"/>
          <w:szCs w:val="16"/>
        </w:rPr>
        <w:softHyphen/>
        <w:t>крывали хорошо, особенно группа м-ра Цагойко. После атаки цели истре</w:t>
      </w:r>
      <w:r w:rsidRPr="00D03F3E">
        <w:rPr>
          <w:rFonts w:ascii="Times New Roman" w:hAnsi="Times New Roman"/>
          <w:iCs/>
          <w:color w:val="000000" w:themeColor="text1"/>
          <w:sz w:val="16"/>
          <w:szCs w:val="16"/>
        </w:rPr>
        <w:softHyphen/>
        <w:t>бителей сопровождения не видели, вероятно, вели воздушный бой, и штур</w:t>
      </w:r>
      <w:r w:rsidRPr="00D03F3E">
        <w:rPr>
          <w:rFonts w:ascii="Times New Roman" w:hAnsi="Times New Roman"/>
          <w:iCs/>
          <w:color w:val="000000" w:themeColor="text1"/>
          <w:sz w:val="16"/>
          <w:szCs w:val="16"/>
        </w:rPr>
        <w:softHyphen/>
        <w:t>мовики возвращались без прикрытия".</w:t>
      </w:r>
    </w:p>
    <w:p w14:paraId="4BFE477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подходе к аэродрому в районе Снопоть 6 немецких истребителей ФВ190 пытались атаковать штурмови</w:t>
      </w:r>
      <w:r w:rsidRPr="00D03F3E">
        <w:rPr>
          <w:rFonts w:ascii="Times New Roman" w:hAnsi="Times New Roman"/>
          <w:color w:val="000000" w:themeColor="text1"/>
          <w:sz w:val="16"/>
          <w:szCs w:val="16"/>
        </w:rPr>
        <w:softHyphen/>
        <w:t xml:space="preserve">ков второй группы от 62-го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но воздушные стрелки и истребители при</w:t>
      </w:r>
      <w:r w:rsidRPr="00D03F3E">
        <w:rPr>
          <w:rFonts w:ascii="Times New Roman" w:hAnsi="Times New Roman"/>
          <w:color w:val="000000" w:themeColor="text1"/>
          <w:sz w:val="16"/>
          <w:szCs w:val="16"/>
        </w:rPr>
        <w:softHyphen/>
        <w:t xml:space="preserve">крытия атаку </w:t>
      </w:r>
      <w:r w:rsidRPr="00D03F3E">
        <w:rPr>
          <w:rFonts w:ascii="Times New Roman" w:hAnsi="Times New Roman"/>
          <w:iCs/>
          <w:color w:val="000000" w:themeColor="text1"/>
          <w:sz w:val="16"/>
          <w:szCs w:val="16"/>
        </w:rPr>
        <w:t>отбили.</w:t>
      </w:r>
    </w:p>
    <w:p w14:paraId="750967B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Ил-2 перестроилась в бое</w:t>
      </w:r>
      <w:r w:rsidRPr="00D03F3E">
        <w:rPr>
          <w:rFonts w:ascii="Times New Roman" w:hAnsi="Times New Roman"/>
          <w:color w:val="000000" w:themeColor="text1"/>
          <w:sz w:val="16"/>
          <w:szCs w:val="16"/>
        </w:rPr>
        <w:softHyphen/>
        <w:t>вой порядок фронт. Атака выполнялась с пикирования с высоты 900 м до 400 м и последующим переходом на бре</w:t>
      </w:r>
      <w:r w:rsidRPr="00D03F3E">
        <w:rPr>
          <w:rFonts w:ascii="Times New Roman" w:hAnsi="Times New Roman"/>
          <w:color w:val="000000" w:themeColor="text1"/>
          <w:sz w:val="16"/>
          <w:szCs w:val="16"/>
        </w:rPr>
        <w:softHyphen/>
        <w:t>ющий полет.</w:t>
      </w:r>
    </w:p>
    <w:p w14:paraId="04DDBBF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моменту подхода штурмовиков к аэродрому вся его восточная окраина была закрыта дымом и плохо просмат</w:t>
      </w:r>
      <w:r w:rsidRPr="00D03F3E">
        <w:rPr>
          <w:rFonts w:ascii="Times New Roman" w:hAnsi="Times New Roman"/>
          <w:color w:val="000000" w:themeColor="text1"/>
          <w:sz w:val="16"/>
          <w:szCs w:val="16"/>
        </w:rPr>
        <w:softHyphen/>
        <w:t>ривалась. На северной окраине нахо</w:t>
      </w:r>
      <w:r w:rsidRPr="00D03F3E">
        <w:rPr>
          <w:rFonts w:ascii="Times New Roman" w:hAnsi="Times New Roman"/>
          <w:color w:val="000000" w:themeColor="text1"/>
          <w:sz w:val="16"/>
          <w:szCs w:val="16"/>
        </w:rPr>
        <w:softHyphen/>
        <w:t>дилось до 10 двухмоторных самолетов, а на южной окраине под маскировоч</w:t>
      </w:r>
      <w:r w:rsidRPr="00D03F3E">
        <w:rPr>
          <w:rFonts w:ascii="Times New Roman" w:hAnsi="Times New Roman"/>
          <w:color w:val="000000" w:themeColor="text1"/>
          <w:sz w:val="16"/>
          <w:szCs w:val="16"/>
        </w:rPr>
        <w:softHyphen/>
        <w:t>ными сетями стояло до 12-14 двухмо</w:t>
      </w:r>
      <w:r w:rsidRPr="00D03F3E">
        <w:rPr>
          <w:rFonts w:ascii="Times New Roman" w:hAnsi="Times New Roman"/>
          <w:color w:val="000000" w:themeColor="text1"/>
          <w:sz w:val="16"/>
          <w:szCs w:val="16"/>
        </w:rPr>
        <w:softHyphen/>
        <w:t>торных самолетов. Четверки капитана Брехова и ст. лейтенанта Башкирова ударили по самолетам на стоянках на западной и северной окраинах аэро</w:t>
      </w:r>
      <w:r w:rsidRPr="00D03F3E">
        <w:rPr>
          <w:rFonts w:ascii="Times New Roman" w:hAnsi="Times New Roman"/>
          <w:color w:val="000000" w:themeColor="text1"/>
          <w:sz w:val="16"/>
          <w:szCs w:val="16"/>
        </w:rPr>
        <w:softHyphen/>
        <w:t>дрома, а звено ст. лейтенанта Панфи</w:t>
      </w:r>
      <w:r w:rsidRPr="00D03F3E">
        <w:rPr>
          <w:rFonts w:ascii="Times New Roman" w:hAnsi="Times New Roman"/>
          <w:color w:val="000000" w:themeColor="text1"/>
          <w:sz w:val="16"/>
          <w:szCs w:val="16"/>
        </w:rPr>
        <w:softHyphen/>
        <w:t>лова - по стоянкам на южной сторо</w:t>
      </w:r>
      <w:r w:rsidRPr="00D03F3E">
        <w:rPr>
          <w:rFonts w:ascii="Times New Roman" w:hAnsi="Times New Roman"/>
          <w:color w:val="000000" w:themeColor="text1"/>
          <w:sz w:val="16"/>
          <w:szCs w:val="16"/>
        </w:rPr>
        <w:softHyphen/>
        <w:t>не.</w:t>
      </w:r>
    </w:p>
    <w:p w14:paraId="4981BC5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Отмечались прямые попадания бомб и РС по стоянкам самолетов. На юж</w:t>
      </w:r>
      <w:r w:rsidRPr="00D03F3E">
        <w:rPr>
          <w:rFonts w:ascii="Times New Roman" w:hAnsi="Times New Roman"/>
          <w:color w:val="000000" w:themeColor="text1"/>
          <w:sz w:val="16"/>
          <w:szCs w:val="16"/>
        </w:rPr>
        <w:softHyphen/>
        <w:t>ной окраине наблюдались 2 очага пожара и 3 очага на северной окраи</w:t>
      </w:r>
      <w:r w:rsidRPr="00D03F3E">
        <w:rPr>
          <w:rFonts w:ascii="Times New Roman" w:hAnsi="Times New Roman"/>
          <w:color w:val="000000" w:themeColor="text1"/>
          <w:sz w:val="16"/>
          <w:szCs w:val="16"/>
        </w:rPr>
        <w:softHyphen/>
        <w:t>не. По докладам экипажей в результа</w:t>
      </w:r>
      <w:r w:rsidRPr="00D03F3E">
        <w:rPr>
          <w:rFonts w:ascii="Times New Roman" w:hAnsi="Times New Roman"/>
          <w:color w:val="000000" w:themeColor="text1"/>
          <w:sz w:val="16"/>
          <w:szCs w:val="16"/>
        </w:rPr>
        <w:softHyphen/>
        <w:t>те удара было уничтожено до 10 и повреждено до 5-7 самолетов, подав</w:t>
      </w:r>
      <w:r w:rsidRPr="00D03F3E">
        <w:rPr>
          <w:rFonts w:ascii="Times New Roman" w:hAnsi="Times New Roman"/>
          <w:color w:val="000000" w:themeColor="text1"/>
          <w:sz w:val="16"/>
          <w:szCs w:val="16"/>
        </w:rPr>
        <w:softHyphen/>
        <w:t>лен огонь двух зенитных орудий, за</w:t>
      </w:r>
      <w:r w:rsidRPr="00D03F3E">
        <w:rPr>
          <w:rFonts w:ascii="Times New Roman" w:hAnsi="Times New Roman"/>
          <w:color w:val="000000" w:themeColor="text1"/>
          <w:sz w:val="16"/>
          <w:szCs w:val="16"/>
        </w:rPr>
        <w:softHyphen/>
        <w:t>жжен один жилой дом в городке.</w:t>
      </w:r>
    </w:p>
    <w:p w14:paraId="112330D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отходе от аэродрома и штурмо</w:t>
      </w:r>
      <w:r w:rsidRPr="00D03F3E">
        <w:rPr>
          <w:rFonts w:ascii="Times New Roman" w:hAnsi="Times New Roman"/>
          <w:color w:val="000000" w:themeColor="text1"/>
          <w:sz w:val="16"/>
          <w:szCs w:val="16"/>
        </w:rPr>
        <w:softHyphen/>
        <w:t>вики, и сопровождающие их истреби</w:t>
      </w:r>
      <w:r w:rsidRPr="00D03F3E">
        <w:rPr>
          <w:rFonts w:ascii="Times New Roman" w:hAnsi="Times New Roman"/>
          <w:color w:val="000000" w:themeColor="text1"/>
          <w:sz w:val="16"/>
          <w:szCs w:val="16"/>
        </w:rPr>
        <w:softHyphen/>
        <w:t>тели допустили непростительную оп</w:t>
      </w:r>
      <w:r w:rsidRPr="00D03F3E">
        <w:rPr>
          <w:rFonts w:ascii="Times New Roman" w:hAnsi="Times New Roman"/>
          <w:color w:val="000000" w:themeColor="text1"/>
          <w:sz w:val="16"/>
          <w:szCs w:val="16"/>
        </w:rPr>
        <w:softHyphen/>
        <w:t>лошность - прозевали атаку четверки "фокке-вульфов".</w:t>
      </w:r>
    </w:p>
    <w:p w14:paraId="0E1697A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Примерно в 20.23 группа свобод</w:t>
      </w:r>
      <w:r w:rsidRPr="00D03F3E">
        <w:rPr>
          <w:rFonts w:ascii="Times New Roman" w:hAnsi="Times New Roman"/>
          <w:color w:val="000000" w:themeColor="text1"/>
          <w:sz w:val="16"/>
          <w:szCs w:val="16"/>
        </w:rPr>
        <w:softHyphen/>
        <w:t xml:space="preserve">ного боя от 49-го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находясь на высоте 1800 м, была внезапно атако</w:t>
      </w:r>
      <w:r w:rsidRPr="00D03F3E">
        <w:rPr>
          <w:rFonts w:ascii="Times New Roman" w:hAnsi="Times New Roman"/>
          <w:color w:val="000000" w:themeColor="text1"/>
          <w:sz w:val="16"/>
          <w:szCs w:val="16"/>
        </w:rPr>
        <w:softHyphen/>
        <w:t>вана сверху из облачности 4 ФВ190. Удар противника был нацелен на ведущих пар - капитана Спириденко и ст. лейтенанта Разина. Их ведомые мл. л-т Ольховский и мл. л-т Куликов бое</w:t>
      </w:r>
      <w:r w:rsidRPr="00D03F3E">
        <w:rPr>
          <w:rFonts w:ascii="Times New Roman" w:hAnsi="Times New Roman"/>
          <w:color w:val="000000" w:themeColor="text1"/>
          <w:sz w:val="16"/>
          <w:szCs w:val="16"/>
        </w:rPr>
        <w:softHyphen/>
        <w:t>вым разворотом вышли в лобовую ата</w:t>
      </w:r>
      <w:r w:rsidRPr="00D03F3E">
        <w:rPr>
          <w:rFonts w:ascii="Times New Roman" w:hAnsi="Times New Roman"/>
          <w:color w:val="000000" w:themeColor="text1"/>
          <w:sz w:val="16"/>
          <w:szCs w:val="16"/>
        </w:rPr>
        <w:softHyphen/>
        <w:t>ку, но противник, не принимая боя, ушел в облачность.</w:t>
      </w:r>
    </w:p>
    <w:p w14:paraId="13C3D34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Одновременно была атакована и пара ст. л-т Бурцев и ст. л-т В. С. Кисе</w:t>
      </w:r>
      <w:r w:rsidRPr="00D03F3E">
        <w:rPr>
          <w:rFonts w:ascii="Times New Roman" w:hAnsi="Times New Roman"/>
          <w:color w:val="000000" w:themeColor="text1"/>
          <w:sz w:val="16"/>
          <w:szCs w:val="16"/>
        </w:rPr>
        <w:softHyphen/>
        <w:t>лев из группы непосредственного со</w:t>
      </w:r>
      <w:r w:rsidRPr="00D03F3E">
        <w:rPr>
          <w:rFonts w:ascii="Times New Roman" w:hAnsi="Times New Roman"/>
          <w:color w:val="000000" w:themeColor="text1"/>
          <w:sz w:val="16"/>
          <w:szCs w:val="16"/>
        </w:rPr>
        <w:softHyphen/>
        <w:t>провождения, которые также оказались оттянутыми в сторону от прикрывае</w:t>
      </w:r>
      <w:r w:rsidRPr="00D03F3E">
        <w:rPr>
          <w:rFonts w:ascii="Times New Roman" w:hAnsi="Times New Roman"/>
          <w:color w:val="000000" w:themeColor="text1"/>
          <w:sz w:val="16"/>
          <w:szCs w:val="16"/>
        </w:rPr>
        <w:softHyphen/>
        <w:t>мых штурмовиков.</w:t>
      </w:r>
    </w:p>
    <w:p w14:paraId="5A8E2CA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это время другая четверка "фок-керов" атаковала штурмовики, кото</w:t>
      </w:r>
      <w:r w:rsidRPr="00D03F3E">
        <w:rPr>
          <w:rFonts w:ascii="Times New Roman" w:hAnsi="Times New Roman"/>
          <w:color w:val="000000" w:themeColor="text1"/>
          <w:sz w:val="16"/>
          <w:szCs w:val="16"/>
        </w:rPr>
        <w:softHyphen/>
        <w:t>рые шли крайними во второй и тре</w:t>
      </w:r>
      <w:r w:rsidRPr="00D03F3E">
        <w:rPr>
          <w:rFonts w:ascii="Times New Roman" w:hAnsi="Times New Roman"/>
          <w:color w:val="000000" w:themeColor="text1"/>
          <w:sz w:val="16"/>
          <w:szCs w:val="16"/>
        </w:rPr>
        <w:softHyphen/>
        <w:t>тьей группах. Оставшееся около штур</w:t>
      </w:r>
      <w:r w:rsidRPr="00D03F3E">
        <w:rPr>
          <w:rFonts w:ascii="Times New Roman" w:hAnsi="Times New Roman"/>
          <w:color w:val="000000" w:themeColor="text1"/>
          <w:sz w:val="16"/>
          <w:szCs w:val="16"/>
        </w:rPr>
        <w:softHyphen/>
        <w:t>мовиков на левом фланге звено ст. лейтенанта Гонченко из ударной груп</w:t>
      </w:r>
      <w:r w:rsidRPr="00D03F3E">
        <w:rPr>
          <w:rFonts w:ascii="Times New Roman" w:hAnsi="Times New Roman"/>
          <w:color w:val="000000" w:themeColor="text1"/>
          <w:sz w:val="16"/>
          <w:szCs w:val="16"/>
        </w:rPr>
        <w:softHyphen/>
        <w:t xml:space="preserve">пы среагировало на атаку противника слишком поздно. В результате на Ил-2 мл. л-та Ануфриева были </w:t>
      </w:r>
      <w:r w:rsidRPr="00D03F3E">
        <w:rPr>
          <w:rFonts w:ascii="Times New Roman" w:hAnsi="Times New Roman"/>
          <w:iCs/>
          <w:color w:val="000000" w:themeColor="text1"/>
          <w:sz w:val="16"/>
          <w:szCs w:val="16"/>
        </w:rPr>
        <w:t>"...пе</w:t>
      </w:r>
      <w:r w:rsidRPr="00D03F3E">
        <w:rPr>
          <w:rFonts w:ascii="Times New Roman" w:hAnsi="Times New Roman"/>
          <w:iCs/>
          <w:color w:val="000000" w:themeColor="text1"/>
          <w:sz w:val="16"/>
          <w:szCs w:val="16"/>
        </w:rPr>
        <w:softHyphen/>
        <w:t>ребиты лонжерон руля поворота, 4, 5, 14 и 16 рамы фюзеляжа, троса управ</w:t>
      </w:r>
      <w:r w:rsidRPr="00D03F3E">
        <w:rPr>
          <w:rFonts w:ascii="Times New Roman" w:hAnsi="Times New Roman"/>
          <w:iCs/>
          <w:color w:val="000000" w:themeColor="text1"/>
          <w:sz w:val="16"/>
          <w:szCs w:val="16"/>
        </w:rPr>
        <w:softHyphen/>
        <w:t xml:space="preserve">ления", </w:t>
      </w:r>
      <w:r w:rsidRPr="00D03F3E">
        <w:rPr>
          <w:rFonts w:ascii="Times New Roman" w:hAnsi="Times New Roman"/>
          <w:color w:val="000000" w:themeColor="text1"/>
          <w:sz w:val="16"/>
          <w:szCs w:val="16"/>
        </w:rPr>
        <w:t>а на самолете мл. л-та Попо</w:t>
      </w:r>
      <w:r w:rsidRPr="00D03F3E">
        <w:rPr>
          <w:rFonts w:ascii="Times New Roman" w:hAnsi="Times New Roman"/>
          <w:color w:val="000000" w:themeColor="text1"/>
          <w:sz w:val="16"/>
          <w:szCs w:val="16"/>
        </w:rPr>
        <w:softHyphen/>
        <w:t xml:space="preserve">ва — </w:t>
      </w:r>
      <w:r w:rsidRPr="00D03F3E">
        <w:rPr>
          <w:rFonts w:ascii="Times New Roman" w:hAnsi="Times New Roman"/>
          <w:iCs/>
          <w:color w:val="000000" w:themeColor="text1"/>
          <w:sz w:val="16"/>
          <w:szCs w:val="16"/>
        </w:rPr>
        <w:t>"разбита консоль левой плоско</w:t>
      </w:r>
      <w:r w:rsidRPr="00D03F3E">
        <w:rPr>
          <w:rFonts w:ascii="Times New Roman" w:hAnsi="Times New Roman"/>
          <w:iCs/>
          <w:color w:val="000000" w:themeColor="text1"/>
          <w:sz w:val="16"/>
          <w:szCs w:val="16"/>
        </w:rPr>
        <w:softHyphen/>
        <w:t>сти и разбита левая сторона стабили</w:t>
      </w:r>
      <w:r w:rsidRPr="00D03F3E">
        <w:rPr>
          <w:rFonts w:ascii="Times New Roman" w:hAnsi="Times New Roman"/>
          <w:iCs/>
          <w:color w:val="000000" w:themeColor="text1"/>
          <w:sz w:val="16"/>
          <w:szCs w:val="16"/>
        </w:rPr>
        <w:softHyphen/>
        <w:t xml:space="preserve">затора". </w:t>
      </w:r>
      <w:r w:rsidRPr="00D03F3E">
        <w:rPr>
          <w:rFonts w:ascii="Times New Roman" w:hAnsi="Times New Roman"/>
          <w:color w:val="000000" w:themeColor="text1"/>
          <w:sz w:val="16"/>
          <w:szCs w:val="16"/>
        </w:rPr>
        <w:t>Однако оба самолета оста</w:t>
      </w:r>
      <w:r w:rsidRPr="00D03F3E">
        <w:rPr>
          <w:rFonts w:ascii="Times New Roman" w:hAnsi="Times New Roman"/>
          <w:color w:val="000000" w:themeColor="text1"/>
          <w:sz w:val="16"/>
          <w:szCs w:val="16"/>
        </w:rPr>
        <w:softHyphen/>
        <w:t>лись на лету и благополучно долетели до своего аэродрома.</w:t>
      </w:r>
    </w:p>
    <w:p w14:paraId="1B54E4C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Из боевого донесения штаба 233-й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 xml:space="preserve">составленного к исходу дня 10 июня, следует, что в результате удара по аэродрому Сеща </w:t>
      </w:r>
      <w:r w:rsidRPr="00D03F3E">
        <w:rPr>
          <w:rFonts w:ascii="Times New Roman" w:hAnsi="Times New Roman"/>
          <w:iCs/>
          <w:color w:val="000000" w:themeColor="text1"/>
          <w:sz w:val="16"/>
          <w:szCs w:val="16"/>
        </w:rPr>
        <w:t>"уничтожено до 25 и повреждено до 12 самолетов противника, ...экипажи наблюдали ...большое количество очагов пожара, только на южной окраине 12 очагов, горели самолеты, из-за сильного дыма точное количество горящих самолетов не установлено..."</w:t>
      </w:r>
    </w:p>
    <w:p w14:paraId="22D990C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свою очередь, истребители сопро</w:t>
      </w:r>
      <w:r w:rsidRPr="00D03F3E">
        <w:rPr>
          <w:rFonts w:ascii="Times New Roman" w:hAnsi="Times New Roman"/>
          <w:color w:val="000000" w:themeColor="text1"/>
          <w:sz w:val="16"/>
          <w:szCs w:val="16"/>
        </w:rPr>
        <w:softHyphen/>
        <w:t xml:space="preserve">вождения </w:t>
      </w:r>
      <w:r w:rsidRPr="00D03F3E">
        <w:rPr>
          <w:rFonts w:ascii="Times New Roman" w:hAnsi="Times New Roman"/>
          <w:iCs/>
          <w:color w:val="000000" w:themeColor="text1"/>
          <w:sz w:val="16"/>
          <w:szCs w:val="16"/>
        </w:rPr>
        <w:t>"отмечали большое количе</w:t>
      </w:r>
      <w:r w:rsidRPr="00D03F3E">
        <w:rPr>
          <w:rFonts w:ascii="Times New Roman" w:hAnsi="Times New Roman"/>
          <w:iCs/>
          <w:color w:val="000000" w:themeColor="text1"/>
          <w:sz w:val="16"/>
          <w:szCs w:val="16"/>
        </w:rPr>
        <w:softHyphen/>
        <w:t xml:space="preserve">ство пожаров на аэродроме Сеща и в районе аэродрома". </w:t>
      </w:r>
      <w:r w:rsidRPr="00D03F3E">
        <w:rPr>
          <w:rFonts w:ascii="Times New Roman" w:hAnsi="Times New Roman"/>
          <w:color w:val="000000" w:themeColor="text1"/>
          <w:sz w:val="16"/>
          <w:szCs w:val="16"/>
        </w:rPr>
        <w:t xml:space="preserve">Только на южной окраине экипажи 172-го и 49-го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наблюдали до 10 пожаров, а на се</w:t>
      </w:r>
      <w:r w:rsidRPr="00D03F3E">
        <w:rPr>
          <w:rFonts w:ascii="Times New Roman" w:hAnsi="Times New Roman"/>
          <w:color w:val="000000" w:themeColor="text1"/>
          <w:sz w:val="16"/>
          <w:szCs w:val="16"/>
        </w:rPr>
        <w:softHyphen/>
        <w:t xml:space="preserve">верной окраине - </w:t>
      </w:r>
      <w:r w:rsidRPr="00D03F3E">
        <w:rPr>
          <w:rFonts w:ascii="Times New Roman" w:hAnsi="Times New Roman"/>
          <w:iCs/>
          <w:color w:val="000000" w:themeColor="text1"/>
          <w:sz w:val="16"/>
          <w:szCs w:val="16"/>
        </w:rPr>
        <w:t>"сплошной огонь на всех стоянках".</w:t>
      </w:r>
    </w:p>
    <w:p w14:paraId="0F938D5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Как следует из документов 309-й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из числа прикрывающих истреби</w:t>
      </w:r>
      <w:r w:rsidRPr="00D03F3E">
        <w:rPr>
          <w:rFonts w:ascii="Times New Roman" w:hAnsi="Times New Roman"/>
          <w:color w:val="000000" w:themeColor="text1"/>
          <w:sz w:val="16"/>
          <w:szCs w:val="16"/>
        </w:rPr>
        <w:softHyphen/>
        <w:t xml:space="preserve">телей с боевого задания не вернулся старшина Шалуха из 162-го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 xml:space="preserve">Его судьба осталась неизвестной. Кроме того, 4 экипажа </w:t>
      </w:r>
      <w:r w:rsidRPr="00D03F3E">
        <w:rPr>
          <w:rFonts w:ascii="Times New Roman" w:hAnsi="Times New Roman"/>
          <w:iCs/>
          <w:color w:val="000000" w:themeColor="text1"/>
          <w:sz w:val="16"/>
          <w:szCs w:val="16"/>
        </w:rPr>
        <w:t xml:space="preserve">"из-за недостатка </w:t>
      </w:r>
      <w:r w:rsidRPr="00D03F3E">
        <w:rPr>
          <w:rFonts w:ascii="Times New Roman" w:hAnsi="Times New Roman"/>
          <w:color w:val="000000" w:themeColor="text1"/>
          <w:sz w:val="16"/>
          <w:szCs w:val="16"/>
        </w:rPr>
        <w:t>го</w:t>
      </w:r>
      <w:r w:rsidRPr="00D03F3E">
        <w:rPr>
          <w:rFonts w:ascii="Times New Roman" w:hAnsi="Times New Roman"/>
          <w:color w:val="000000" w:themeColor="text1"/>
          <w:sz w:val="16"/>
          <w:szCs w:val="16"/>
        </w:rPr>
        <w:softHyphen/>
        <w:t>рю чего "вынужден но сели на аэродром Железинки, а три экипажа, потеряв ориентировку, совершили посадки на аэродромы Вязовая, Голодское и Ва-сильевское.</w:t>
      </w:r>
    </w:p>
    <w:p w14:paraId="2AA1154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боевого задания не вернулись ве</w:t>
      </w:r>
      <w:r w:rsidRPr="00D03F3E">
        <w:rPr>
          <w:rFonts w:ascii="Times New Roman" w:hAnsi="Times New Roman"/>
          <w:color w:val="000000" w:themeColor="text1"/>
          <w:sz w:val="16"/>
          <w:szCs w:val="16"/>
        </w:rPr>
        <w:softHyphen/>
        <w:t>дущий группы истребителей непосред</w:t>
      </w:r>
      <w:r w:rsidRPr="00D03F3E">
        <w:rPr>
          <w:rFonts w:ascii="Times New Roman" w:hAnsi="Times New Roman"/>
          <w:color w:val="000000" w:themeColor="text1"/>
          <w:sz w:val="16"/>
          <w:szCs w:val="16"/>
        </w:rPr>
        <w:softHyphen/>
        <w:t xml:space="preserve">ственного сопровождения от 122-го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м-р Н. В. Цагойко и мл. л-т А. В. Непокрытое.</w:t>
      </w:r>
    </w:p>
    <w:p w14:paraId="00BAD94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Позже выяснилось, что м-р Цагой</w:t>
      </w:r>
      <w:r w:rsidRPr="00D03F3E">
        <w:rPr>
          <w:rFonts w:ascii="Times New Roman" w:hAnsi="Times New Roman"/>
          <w:color w:val="000000" w:themeColor="text1"/>
          <w:sz w:val="16"/>
          <w:szCs w:val="16"/>
        </w:rPr>
        <w:softHyphen/>
        <w:t>ко в бою с "фоккерами" был ранен, а его самолет - подбит. Его ведомый мл. л-т Непокрытое до конца прикрывал вынужденную посадку командира в тылу противника...</w:t>
      </w:r>
    </w:p>
    <w:p w14:paraId="1B2E5C6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Наиболее пострадавшими в этом налете оказались бомбардировщики 204-й </w:t>
      </w:r>
      <w:r w:rsidRPr="00D03F3E">
        <w:rPr>
          <w:rFonts w:ascii="Times New Roman" w:hAnsi="Times New Roman"/>
          <w:iCs/>
          <w:color w:val="000000" w:themeColor="text1"/>
          <w:sz w:val="16"/>
          <w:szCs w:val="16"/>
        </w:rPr>
        <w:t xml:space="preserve">бад. </w:t>
      </w:r>
      <w:r w:rsidRPr="00D03F3E">
        <w:rPr>
          <w:rFonts w:ascii="Times New Roman" w:hAnsi="Times New Roman"/>
          <w:color w:val="000000" w:themeColor="text1"/>
          <w:sz w:val="16"/>
          <w:szCs w:val="16"/>
        </w:rPr>
        <w:t>Как и прежде, "пешки" на</w:t>
      </w:r>
      <w:r w:rsidRPr="00D03F3E">
        <w:rPr>
          <w:rFonts w:ascii="Times New Roman" w:hAnsi="Times New Roman"/>
          <w:color w:val="000000" w:themeColor="text1"/>
          <w:sz w:val="16"/>
          <w:szCs w:val="16"/>
        </w:rPr>
        <w:softHyphen/>
        <w:t>носили "звездный" удар с горизонталь</w:t>
      </w:r>
      <w:r w:rsidRPr="00D03F3E">
        <w:rPr>
          <w:rFonts w:ascii="Times New Roman" w:hAnsi="Times New Roman"/>
          <w:color w:val="000000" w:themeColor="text1"/>
          <w:sz w:val="16"/>
          <w:szCs w:val="16"/>
        </w:rPr>
        <w:softHyphen/>
        <w:t>ного полета группами по 8-9 самоле</w:t>
      </w:r>
      <w:r w:rsidRPr="00D03F3E">
        <w:rPr>
          <w:rFonts w:ascii="Times New Roman" w:hAnsi="Times New Roman"/>
          <w:color w:val="000000" w:themeColor="text1"/>
          <w:sz w:val="16"/>
          <w:szCs w:val="16"/>
        </w:rPr>
        <w:softHyphen/>
        <w:t>тов, летящих на разных высотах. Ин</w:t>
      </w:r>
      <w:r w:rsidRPr="00D03F3E">
        <w:rPr>
          <w:rFonts w:ascii="Times New Roman" w:hAnsi="Times New Roman"/>
          <w:color w:val="000000" w:themeColor="text1"/>
          <w:sz w:val="16"/>
          <w:szCs w:val="16"/>
        </w:rPr>
        <w:softHyphen/>
        <w:t>тервал между группами не превышал 1-1,5 км. Каждая группа имела бое</w:t>
      </w:r>
      <w:r w:rsidRPr="00D03F3E">
        <w:rPr>
          <w:rFonts w:ascii="Times New Roman" w:hAnsi="Times New Roman"/>
          <w:color w:val="000000" w:themeColor="text1"/>
          <w:sz w:val="16"/>
          <w:szCs w:val="16"/>
        </w:rPr>
        <w:softHyphen/>
        <w:t xml:space="preserve">вой порядок "клин" звеньев. Бомбы сбрасывались серией </w:t>
      </w:r>
      <w:r w:rsidRPr="00D03F3E">
        <w:rPr>
          <w:rFonts w:ascii="Times New Roman" w:hAnsi="Times New Roman"/>
          <w:iCs/>
          <w:color w:val="000000" w:themeColor="text1"/>
          <w:sz w:val="16"/>
          <w:szCs w:val="16"/>
        </w:rPr>
        <w:t xml:space="preserve">с </w:t>
      </w:r>
      <w:r w:rsidRPr="00D03F3E">
        <w:rPr>
          <w:rFonts w:ascii="Times New Roman" w:hAnsi="Times New Roman"/>
          <w:color w:val="000000" w:themeColor="text1"/>
          <w:sz w:val="16"/>
          <w:szCs w:val="16"/>
        </w:rPr>
        <w:t>высоты 3250-4200 м с одного захода по сигналу ведущего.</w:t>
      </w:r>
    </w:p>
    <w:p w14:paraId="5C9A91B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Действия бомбардировщиков обес</w:t>
      </w:r>
      <w:r w:rsidRPr="00D03F3E">
        <w:rPr>
          <w:rFonts w:ascii="Times New Roman" w:hAnsi="Times New Roman"/>
          <w:color w:val="000000" w:themeColor="text1"/>
          <w:sz w:val="16"/>
          <w:szCs w:val="16"/>
        </w:rPr>
        <w:softHyphen/>
        <w:t xml:space="preserve">печивались истребителями от 215-й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Непосредственное прикрытие каж</w:t>
      </w:r>
      <w:r w:rsidRPr="00D03F3E">
        <w:rPr>
          <w:rFonts w:ascii="Times New Roman" w:hAnsi="Times New Roman"/>
          <w:color w:val="000000" w:themeColor="text1"/>
          <w:sz w:val="16"/>
          <w:szCs w:val="16"/>
        </w:rPr>
        <w:softHyphen/>
        <w:t>дой группы бомбардировщиков состо</w:t>
      </w:r>
      <w:r w:rsidRPr="00D03F3E">
        <w:rPr>
          <w:rFonts w:ascii="Times New Roman" w:hAnsi="Times New Roman"/>
          <w:color w:val="000000" w:themeColor="text1"/>
          <w:sz w:val="16"/>
          <w:szCs w:val="16"/>
        </w:rPr>
        <w:softHyphen/>
        <w:t>яло из 6-8 Ла-5. Для отсечения истре</w:t>
      </w:r>
      <w:r w:rsidRPr="00D03F3E">
        <w:rPr>
          <w:rFonts w:ascii="Times New Roman" w:hAnsi="Times New Roman"/>
          <w:color w:val="000000" w:themeColor="text1"/>
          <w:sz w:val="16"/>
          <w:szCs w:val="16"/>
        </w:rPr>
        <w:softHyphen/>
        <w:t>бителей противника при отходе бом</w:t>
      </w:r>
      <w:r w:rsidRPr="00D03F3E">
        <w:rPr>
          <w:rFonts w:ascii="Times New Roman" w:hAnsi="Times New Roman"/>
          <w:color w:val="000000" w:themeColor="text1"/>
          <w:sz w:val="16"/>
          <w:szCs w:val="16"/>
        </w:rPr>
        <w:softHyphen/>
        <w:t>бардировщиков от цели выделялось 8 Ла-5, которые патрулировали на ли</w:t>
      </w:r>
      <w:r w:rsidRPr="00D03F3E">
        <w:rPr>
          <w:rFonts w:ascii="Times New Roman" w:hAnsi="Times New Roman"/>
          <w:color w:val="000000" w:themeColor="text1"/>
          <w:sz w:val="16"/>
          <w:szCs w:val="16"/>
        </w:rPr>
        <w:softHyphen/>
        <w:t>нии фронта в районе выхода Пе-2 на свою территорию. Посадка бомбар</w:t>
      </w:r>
      <w:r w:rsidRPr="00D03F3E">
        <w:rPr>
          <w:rFonts w:ascii="Times New Roman" w:hAnsi="Times New Roman"/>
          <w:color w:val="000000" w:themeColor="text1"/>
          <w:sz w:val="16"/>
          <w:szCs w:val="16"/>
        </w:rPr>
        <w:softHyphen/>
        <w:t>дировщиков прикрывалась специальной группой в составе 4 Ла-5.</w:t>
      </w:r>
    </w:p>
    <w:p w14:paraId="30D4D95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отличие от предыдущего вылета 8 июня, встреча истребителей прикры</w:t>
      </w:r>
      <w:r w:rsidRPr="00D03F3E">
        <w:rPr>
          <w:rFonts w:ascii="Times New Roman" w:hAnsi="Times New Roman"/>
          <w:color w:val="000000" w:themeColor="text1"/>
          <w:sz w:val="16"/>
          <w:szCs w:val="16"/>
        </w:rPr>
        <w:softHyphen/>
        <w:t>тия с бомбардировщиками происходи</w:t>
      </w:r>
      <w:r w:rsidRPr="00D03F3E">
        <w:rPr>
          <w:rFonts w:ascii="Times New Roman" w:hAnsi="Times New Roman"/>
          <w:color w:val="000000" w:themeColor="text1"/>
          <w:sz w:val="16"/>
          <w:szCs w:val="16"/>
        </w:rPr>
        <w:softHyphen/>
        <w:t>ла на высоте 700-1000 м над аэро</w:t>
      </w:r>
      <w:r w:rsidRPr="00D03F3E">
        <w:rPr>
          <w:rFonts w:ascii="Times New Roman" w:hAnsi="Times New Roman"/>
          <w:color w:val="000000" w:themeColor="text1"/>
          <w:sz w:val="16"/>
          <w:szCs w:val="16"/>
        </w:rPr>
        <w:softHyphen/>
        <w:t>дромом истребителей Умиленка, куда группы Пе-2 должны были при</w:t>
      </w:r>
      <w:r w:rsidRPr="00D03F3E">
        <w:rPr>
          <w:rFonts w:ascii="Times New Roman" w:hAnsi="Times New Roman"/>
          <w:color w:val="000000" w:themeColor="text1"/>
          <w:sz w:val="16"/>
          <w:szCs w:val="16"/>
        </w:rPr>
        <w:softHyphen/>
        <w:t>ходить с интервалом в 1 мину</w:t>
      </w:r>
      <w:r w:rsidRPr="00D03F3E">
        <w:rPr>
          <w:rFonts w:ascii="Times New Roman" w:hAnsi="Times New Roman"/>
          <w:color w:val="000000" w:themeColor="text1"/>
          <w:sz w:val="16"/>
          <w:szCs w:val="16"/>
        </w:rPr>
        <w:softHyphen/>
        <w:t xml:space="preserve">ту. Командир 215-й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п-к М.Н. Якушин на совещании пы</w:t>
      </w:r>
      <w:r w:rsidRPr="00D03F3E">
        <w:rPr>
          <w:rFonts w:ascii="Times New Roman" w:hAnsi="Times New Roman"/>
          <w:color w:val="000000" w:themeColor="text1"/>
          <w:sz w:val="16"/>
          <w:szCs w:val="16"/>
        </w:rPr>
        <w:softHyphen/>
        <w:t>тался возражать, но его пред</w:t>
      </w:r>
      <w:r w:rsidRPr="00D03F3E">
        <w:rPr>
          <w:rFonts w:ascii="Times New Roman" w:hAnsi="Times New Roman"/>
          <w:color w:val="000000" w:themeColor="text1"/>
          <w:sz w:val="16"/>
          <w:szCs w:val="16"/>
        </w:rPr>
        <w:softHyphen/>
        <w:t xml:space="preserve">ложение оставить порядок сбора прежним, как это было 8 июня командир 204-й </w:t>
      </w:r>
      <w:r w:rsidRPr="00D03F3E">
        <w:rPr>
          <w:rFonts w:ascii="Times New Roman" w:hAnsi="Times New Roman"/>
          <w:iCs/>
          <w:color w:val="000000" w:themeColor="text1"/>
          <w:sz w:val="16"/>
          <w:szCs w:val="16"/>
        </w:rPr>
        <w:t xml:space="preserve">бад </w:t>
      </w:r>
      <w:r w:rsidRPr="00D03F3E">
        <w:rPr>
          <w:rFonts w:ascii="Times New Roman" w:hAnsi="Times New Roman"/>
          <w:color w:val="000000" w:themeColor="text1"/>
          <w:sz w:val="16"/>
          <w:szCs w:val="16"/>
        </w:rPr>
        <w:t>п-к С. П. Андреев, отвечающий за организацию боевого вы</w:t>
      </w:r>
      <w:r w:rsidRPr="00D03F3E">
        <w:rPr>
          <w:rFonts w:ascii="Times New Roman" w:hAnsi="Times New Roman"/>
          <w:color w:val="000000" w:themeColor="text1"/>
          <w:sz w:val="16"/>
          <w:szCs w:val="16"/>
        </w:rPr>
        <w:softHyphen/>
        <w:t>лета, отклонил. В результате все группы бомбардировщиков для встречи с истребителями пришли почти одновременно и встали в общий круг. Сигналы давались экипажами Пе-2 ра</w:t>
      </w:r>
      <w:r w:rsidRPr="00D03F3E">
        <w:rPr>
          <w:rFonts w:ascii="Times New Roman" w:hAnsi="Times New Roman"/>
          <w:color w:val="000000" w:themeColor="text1"/>
          <w:sz w:val="16"/>
          <w:szCs w:val="16"/>
        </w:rPr>
        <w:softHyphen/>
        <w:t>кетами других цветов, вместо установленного цвета для каж</w:t>
      </w:r>
      <w:r w:rsidRPr="00D03F3E">
        <w:rPr>
          <w:rFonts w:ascii="Times New Roman" w:hAnsi="Times New Roman"/>
          <w:color w:val="000000" w:themeColor="text1"/>
          <w:sz w:val="16"/>
          <w:szCs w:val="16"/>
        </w:rPr>
        <w:softHyphen/>
        <w:t>дой группы. Произошла пута</w:t>
      </w:r>
      <w:r w:rsidRPr="00D03F3E">
        <w:rPr>
          <w:rFonts w:ascii="Times New Roman" w:hAnsi="Times New Roman"/>
          <w:color w:val="000000" w:themeColor="text1"/>
          <w:sz w:val="16"/>
          <w:szCs w:val="16"/>
        </w:rPr>
        <w:softHyphen/>
        <w:t xml:space="preserve">ница. Взлетевшие с трех аэродромов истребители, </w:t>
      </w:r>
      <w:r w:rsidRPr="00D03F3E">
        <w:rPr>
          <w:rFonts w:ascii="Times New Roman" w:hAnsi="Times New Roman"/>
          <w:iCs/>
          <w:color w:val="000000" w:themeColor="text1"/>
          <w:sz w:val="16"/>
          <w:szCs w:val="16"/>
        </w:rPr>
        <w:t>"...приходя на аэродром Умиленка, сразу не могли найти свою группу и пристраивались к первой сво</w:t>
      </w:r>
      <w:r w:rsidRPr="00D03F3E">
        <w:rPr>
          <w:rFonts w:ascii="Times New Roman" w:hAnsi="Times New Roman"/>
          <w:iCs/>
          <w:color w:val="000000" w:themeColor="text1"/>
          <w:sz w:val="16"/>
          <w:szCs w:val="16"/>
        </w:rPr>
        <w:softHyphen/>
        <w:t xml:space="preserve">бодной группе бомбардировщиков". </w:t>
      </w:r>
      <w:r w:rsidRPr="00D03F3E">
        <w:rPr>
          <w:rFonts w:ascii="Times New Roman" w:hAnsi="Times New Roman"/>
          <w:color w:val="000000" w:themeColor="text1"/>
          <w:sz w:val="16"/>
          <w:szCs w:val="16"/>
        </w:rPr>
        <w:t xml:space="preserve">При этом ведущие групп Пе-2 после подхода к ним истребителей, </w:t>
      </w:r>
      <w:r w:rsidRPr="00D03F3E">
        <w:rPr>
          <w:rFonts w:ascii="Times New Roman" w:hAnsi="Times New Roman"/>
          <w:iCs/>
          <w:color w:val="000000" w:themeColor="text1"/>
          <w:sz w:val="16"/>
          <w:szCs w:val="16"/>
        </w:rPr>
        <w:t>"не уста</w:t>
      </w:r>
      <w:r w:rsidRPr="00D03F3E">
        <w:rPr>
          <w:rFonts w:ascii="Times New Roman" w:hAnsi="Times New Roman"/>
          <w:iCs/>
          <w:color w:val="000000" w:themeColor="text1"/>
          <w:sz w:val="16"/>
          <w:szCs w:val="16"/>
        </w:rPr>
        <w:softHyphen/>
        <w:t>новив, те ли это группы, становились на курс и шли на боевое задание".</w:t>
      </w:r>
    </w:p>
    <w:p w14:paraId="70A35F4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этой неразберихе потеряли вре</w:t>
      </w:r>
      <w:r w:rsidRPr="00D03F3E">
        <w:rPr>
          <w:rFonts w:ascii="Times New Roman" w:hAnsi="Times New Roman"/>
          <w:color w:val="000000" w:themeColor="text1"/>
          <w:sz w:val="16"/>
          <w:szCs w:val="16"/>
        </w:rPr>
        <w:softHyphen/>
        <w:t>мя. Общий боевой порядок и очеред</w:t>
      </w:r>
      <w:r w:rsidRPr="00D03F3E">
        <w:rPr>
          <w:rFonts w:ascii="Times New Roman" w:hAnsi="Times New Roman"/>
          <w:color w:val="000000" w:themeColor="text1"/>
          <w:sz w:val="16"/>
          <w:szCs w:val="16"/>
        </w:rPr>
        <w:softHyphen/>
        <w:t>ность подхода групп Пе-2 к цели были нарушены. К аэродрому Сеща "пеш</w:t>
      </w:r>
      <w:r w:rsidRPr="00D03F3E">
        <w:rPr>
          <w:rFonts w:ascii="Times New Roman" w:hAnsi="Times New Roman"/>
          <w:color w:val="000000" w:themeColor="text1"/>
          <w:sz w:val="16"/>
          <w:szCs w:val="16"/>
        </w:rPr>
        <w:softHyphen/>
        <w:t>ки" подошли с опозданием от расчет</w:t>
      </w:r>
      <w:r w:rsidRPr="00D03F3E">
        <w:rPr>
          <w:rFonts w:ascii="Times New Roman" w:hAnsi="Times New Roman"/>
          <w:color w:val="000000" w:themeColor="text1"/>
          <w:sz w:val="16"/>
          <w:szCs w:val="16"/>
        </w:rPr>
        <w:softHyphen/>
        <w:t>ного времени на 5 минут, в момент, когда по аэродрому уже начали "ра</w:t>
      </w:r>
      <w:r w:rsidRPr="00D03F3E">
        <w:rPr>
          <w:rFonts w:ascii="Times New Roman" w:hAnsi="Times New Roman"/>
          <w:color w:val="000000" w:themeColor="text1"/>
          <w:sz w:val="16"/>
          <w:szCs w:val="16"/>
        </w:rPr>
        <w:softHyphen/>
        <w:t xml:space="preserve">ботать" штурмовики первой группы от 312-го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По этой причине бомбар</w:t>
      </w:r>
      <w:r w:rsidRPr="00D03F3E">
        <w:rPr>
          <w:rFonts w:ascii="Times New Roman" w:hAnsi="Times New Roman"/>
          <w:color w:val="000000" w:themeColor="text1"/>
          <w:sz w:val="16"/>
          <w:szCs w:val="16"/>
        </w:rPr>
        <w:softHyphen/>
        <w:t>дировщики почти не обстреливались зенитным огнем.</w:t>
      </w:r>
    </w:p>
    <w:p w14:paraId="468C3F1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Третьей по счету наносила бомбо</w:t>
      </w:r>
      <w:r w:rsidRPr="00D03F3E">
        <w:rPr>
          <w:rFonts w:ascii="Times New Roman" w:hAnsi="Times New Roman"/>
          <w:color w:val="000000" w:themeColor="text1"/>
          <w:sz w:val="16"/>
          <w:szCs w:val="16"/>
        </w:rPr>
        <w:softHyphen/>
        <w:t xml:space="preserve">вый удар группа в составе 9 Пе-2 от 6-го </w:t>
      </w:r>
      <w:r w:rsidRPr="00D03F3E">
        <w:rPr>
          <w:rFonts w:ascii="Times New Roman" w:hAnsi="Times New Roman"/>
          <w:iCs/>
          <w:color w:val="000000" w:themeColor="text1"/>
          <w:sz w:val="16"/>
          <w:szCs w:val="16"/>
        </w:rPr>
        <w:t xml:space="preserve">бап </w:t>
      </w:r>
      <w:r w:rsidRPr="00D03F3E">
        <w:rPr>
          <w:rFonts w:ascii="Times New Roman" w:hAnsi="Times New Roman"/>
          <w:color w:val="000000" w:themeColor="text1"/>
          <w:sz w:val="16"/>
          <w:szCs w:val="16"/>
        </w:rPr>
        <w:t xml:space="preserve">(ведущий комэск м-р Агеев) под прикрытием 6 Ла-5 от 522-го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Результат не установлен, так как груп</w:t>
      </w:r>
      <w:r w:rsidRPr="00D03F3E">
        <w:rPr>
          <w:rFonts w:ascii="Times New Roman" w:hAnsi="Times New Roman"/>
          <w:color w:val="000000" w:themeColor="text1"/>
          <w:sz w:val="16"/>
          <w:szCs w:val="16"/>
        </w:rPr>
        <w:softHyphen/>
        <w:t>па с боевого задания не вернулась в полном составе. На нашей террито</w:t>
      </w:r>
      <w:r w:rsidRPr="00D03F3E">
        <w:rPr>
          <w:rFonts w:ascii="Times New Roman" w:hAnsi="Times New Roman"/>
          <w:color w:val="000000" w:themeColor="text1"/>
          <w:sz w:val="16"/>
          <w:szCs w:val="16"/>
        </w:rPr>
        <w:softHyphen/>
        <w:t>рии никаких следов этой девятки Пе-2 обнаружить не удалось. По наблюде</w:t>
      </w:r>
      <w:r w:rsidRPr="00D03F3E">
        <w:rPr>
          <w:rFonts w:ascii="Times New Roman" w:hAnsi="Times New Roman"/>
          <w:color w:val="000000" w:themeColor="text1"/>
          <w:sz w:val="16"/>
          <w:szCs w:val="16"/>
        </w:rPr>
        <w:softHyphen/>
        <w:t xml:space="preserve">нию экипажей 130-го </w:t>
      </w:r>
      <w:r w:rsidRPr="00D03F3E">
        <w:rPr>
          <w:rFonts w:ascii="Times New Roman" w:hAnsi="Times New Roman"/>
          <w:iCs/>
          <w:color w:val="000000" w:themeColor="text1"/>
          <w:sz w:val="16"/>
          <w:szCs w:val="16"/>
        </w:rPr>
        <w:t xml:space="preserve">бап, </w:t>
      </w:r>
      <w:r w:rsidRPr="00D03F3E">
        <w:rPr>
          <w:rFonts w:ascii="Times New Roman" w:hAnsi="Times New Roman"/>
          <w:color w:val="000000" w:themeColor="text1"/>
          <w:sz w:val="16"/>
          <w:szCs w:val="16"/>
        </w:rPr>
        <w:t xml:space="preserve">которые атаковали цель следом за группой 6-го </w:t>
      </w:r>
      <w:r w:rsidRPr="00D03F3E">
        <w:rPr>
          <w:rFonts w:ascii="Times New Roman" w:hAnsi="Times New Roman"/>
          <w:iCs/>
          <w:color w:val="000000" w:themeColor="text1"/>
          <w:sz w:val="16"/>
          <w:szCs w:val="16"/>
        </w:rPr>
        <w:t xml:space="preserve">бап, </w:t>
      </w:r>
      <w:r w:rsidRPr="00D03F3E">
        <w:rPr>
          <w:rFonts w:ascii="Times New Roman" w:hAnsi="Times New Roman"/>
          <w:color w:val="000000" w:themeColor="text1"/>
          <w:sz w:val="16"/>
          <w:szCs w:val="16"/>
        </w:rPr>
        <w:t>последняя после бомбомета</w:t>
      </w:r>
      <w:r w:rsidRPr="00D03F3E">
        <w:rPr>
          <w:rFonts w:ascii="Times New Roman" w:hAnsi="Times New Roman"/>
          <w:color w:val="000000" w:themeColor="text1"/>
          <w:sz w:val="16"/>
          <w:szCs w:val="16"/>
        </w:rPr>
        <w:softHyphen/>
        <w:t>ния по целям на аэродроме Сеща по</w:t>
      </w:r>
      <w:r w:rsidRPr="00D03F3E">
        <w:rPr>
          <w:rFonts w:ascii="Times New Roman" w:hAnsi="Times New Roman"/>
          <w:color w:val="000000" w:themeColor="text1"/>
          <w:sz w:val="16"/>
          <w:szCs w:val="16"/>
        </w:rPr>
        <w:softHyphen/>
        <w:t>шла курсом 110-120° вместо 40-50°. Этим был нарушен боевой порядок возвращающихся групп бомбардировщиков от цели. Группа вышла из райо</w:t>
      </w:r>
      <w:r w:rsidRPr="00D03F3E">
        <w:rPr>
          <w:rFonts w:ascii="Times New Roman" w:hAnsi="Times New Roman"/>
          <w:color w:val="000000" w:themeColor="text1"/>
          <w:sz w:val="16"/>
          <w:szCs w:val="16"/>
        </w:rPr>
        <w:softHyphen/>
        <w:t>на общего прикрытия своими истреби</w:t>
      </w:r>
      <w:r w:rsidRPr="00D03F3E">
        <w:rPr>
          <w:rFonts w:ascii="Times New Roman" w:hAnsi="Times New Roman"/>
          <w:color w:val="000000" w:themeColor="text1"/>
          <w:sz w:val="16"/>
          <w:szCs w:val="16"/>
        </w:rPr>
        <w:softHyphen/>
        <w:t>телями, была встречена превосходящи</w:t>
      </w:r>
      <w:r w:rsidRPr="00D03F3E">
        <w:rPr>
          <w:rFonts w:ascii="Times New Roman" w:hAnsi="Times New Roman"/>
          <w:color w:val="000000" w:themeColor="text1"/>
          <w:sz w:val="16"/>
          <w:szCs w:val="16"/>
        </w:rPr>
        <w:softHyphen/>
        <w:t>ми силами истребителей противника и, не имея достаточных сил истребителей сопровождения, полностью уничтоже</w:t>
      </w:r>
      <w:r w:rsidRPr="00D03F3E">
        <w:rPr>
          <w:rFonts w:ascii="Times New Roman" w:hAnsi="Times New Roman"/>
          <w:color w:val="000000" w:themeColor="text1"/>
          <w:sz w:val="16"/>
          <w:szCs w:val="16"/>
        </w:rPr>
        <w:softHyphen/>
        <w:t xml:space="preserve">на. </w:t>
      </w:r>
      <w:r w:rsidRPr="00D03F3E">
        <w:rPr>
          <w:rFonts w:ascii="Times New Roman" w:hAnsi="Times New Roman"/>
          <w:iCs/>
          <w:color w:val="000000" w:themeColor="text1"/>
          <w:sz w:val="16"/>
          <w:szCs w:val="16"/>
        </w:rPr>
        <w:t>"Истребители 2-го иак бросили 9 Пе-2, кроме 2 Ла-5, которые также не вернулись с боевого задания".</w:t>
      </w:r>
    </w:p>
    <w:p w14:paraId="0D5CB2F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воспоминаниям оставшегося в живых участника этого боевого выле</w:t>
      </w:r>
      <w:r w:rsidRPr="00D03F3E">
        <w:rPr>
          <w:rFonts w:ascii="Times New Roman" w:hAnsi="Times New Roman"/>
          <w:color w:val="000000" w:themeColor="text1"/>
          <w:sz w:val="16"/>
          <w:szCs w:val="16"/>
        </w:rPr>
        <w:softHyphen/>
        <w:t xml:space="preserve">та летчика 6-го </w:t>
      </w:r>
      <w:r w:rsidRPr="00D03F3E">
        <w:rPr>
          <w:rFonts w:ascii="Times New Roman" w:hAnsi="Times New Roman"/>
          <w:iCs/>
          <w:color w:val="000000" w:themeColor="text1"/>
          <w:sz w:val="16"/>
          <w:szCs w:val="16"/>
        </w:rPr>
        <w:t xml:space="preserve">бап </w:t>
      </w:r>
      <w:r w:rsidRPr="00D03F3E">
        <w:rPr>
          <w:rFonts w:ascii="Times New Roman" w:hAnsi="Times New Roman"/>
          <w:color w:val="000000" w:themeColor="text1"/>
          <w:sz w:val="16"/>
          <w:szCs w:val="16"/>
        </w:rPr>
        <w:t>лейтенанта Н. Т. Смольского, при отходе группы от аэродрома после бомбометания дей</w:t>
      </w:r>
      <w:r w:rsidRPr="00D03F3E">
        <w:rPr>
          <w:rFonts w:ascii="Times New Roman" w:hAnsi="Times New Roman"/>
          <w:color w:val="000000" w:themeColor="text1"/>
          <w:sz w:val="16"/>
          <w:szCs w:val="16"/>
        </w:rPr>
        <w:softHyphen/>
        <w:t>ствия командира эскадрильи майора Агеева оказались тактически безгра</w:t>
      </w:r>
      <w:r w:rsidRPr="00D03F3E">
        <w:rPr>
          <w:rFonts w:ascii="Times New Roman" w:hAnsi="Times New Roman"/>
          <w:color w:val="000000" w:themeColor="text1"/>
          <w:sz w:val="16"/>
          <w:szCs w:val="16"/>
        </w:rPr>
        <w:softHyphen/>
        <w:t>мотными. При нападении немецких истребителей Агеев, летавший до это</w:t>
      </w:r>
      <w:r w:rsidRPr="00D03F3E">
        <w:rPr>
          <w:rFonts w:ascii="Times New Roman" w:hAnsi="Times New Roman"/>
          <w:color w:val="000000" w:themeColor="text1"/>
          <w:sz w:val="16"/>
          <w:szCs w:val="16"/>
        </w:rPr>
        <w:softHyphen/>
        <w:t>го на ночных бомбардировщиках У-2 и не имевший опыта вождения боль</w:t>
      </w:r>
      <w:r w:rsidRPr="00D03F3E">
        <w:rPr>
          <w:rFonts w:ascii="Times New Roman" w:hAnsi="Times New Roman"/>
          <w:color w:val="000000" w:themeColor="text1"/>
          <w:sz w:val="16"/>
          <w:szCs w:val="16"/>
        </w:rPr>
        <w:softHyphen/>
        <w:t>ших групп Пе-2 ("пешку" Агеев освоил только в мае), резко увеличил скорость в надежде оторваться от противника. В результате ведомые звенья за ним не успели, и боевой порядок группы "разорвался". Экипажи потеряли огне</w:t>
      </w:r>
      <w:r w:rsidRPr="00D03F3E">
        <w:rPr>
          <w:rFonts w:ascii="Times New Roman" w:hAnsi="Times New Roman"/>
          <w:color w:val="000000" w:themeColor="text1"/>
          <w:sz w:val="16"/>
          <w:szCs w:val="16"/>
        </w:rPr>
        <w:softHyphen/>
        <w:t>вую связь между собой и были сбиты противником поодиночке...</w:t>
      </w:r>
    </w:p>
    <w:p w14:paraId="384A794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События при ударе по аэродрому Брянск развивались следующим обра</w:t>
      </w:r>
      <w:r w:rsidRPr="00D03F3E">
        <w:rPr>
          <w:rFonts w:ascii="Times New Roman" w:hAnsi="Times New Roman"/>
          <w:color w:val="000000" w:themeColor="text1"/>
          <w:sz w:val="16"/>
          <w:szCs w:val="16"/>
        </w:rPr>
        <w:softHyphen/>
        <w:t xml:space="preserve">зом. В 19.21 над аэродромом Вязовая появились бомбардировщики 261-го </w:t>
      </w:r>
      <w:r w:rsidRPr="00D03F3E">
        <w:rPr>
          <w:rFonts w:ascii="Times New Roman" w:hAnsi="Times New Roman"/>
          <w:iCs/>
          <w:color w:val="000000" w:themeColor="text1"/>
          <w:sz w:val="16"/>
          <w:szCs w:val="16"/>
        </w:rPr>
        <w:t xml:space="preserve">бап, </w:t>
      </w:r>
      <w:r w:rsidRPr="00D03F3E">
        <w:rPr>
          <w:rFonts w:ascii="Times New Roman" w:hAnsi="Times New Roman"/>
          <w:color w:val="000000" w:themeColor="text1"/>
          <w:sz w:val="16"/>
          <w:szCs w:val="16"/>
        </w:rPr>
        <w:t>которые встали в круг и вызвали ракетой истребители прикрытия. Од</w:t>
      </w:r>
      <w:r w:rsidRPr="00D03F3E">
        <w:rPr>
          <w:rFonts w:ascii="Times New Roman" w:hAnsi="Times New Roman"/>
          <w:color w:val="000000" w:themeColor="text1"/>
          <w:sz w:val="16"/>
          <w:szCs w:val="16"/>
        </w:rPr>
        <w:softHyphen/>
        <w:t>новременно с аэродрома Хатенки взле</w:t>
      </w:r>
      <w:r w:rsidRPr="00D03F3E">
        <w:rPr>
          <w:rFonts w:ascii="Times New Roman" w:hAnsi="Times New Roman"/>
          <w:color w:val="000000" w:themeColor="text1"/>
          <w:sz w:val="16"/>
          <w:szCs w:val="16"/>
        </w:rPr>
        <w:softHyphen/>
        <w:t xml:space="preserve">тели две группы истребителей от 18-го </w:t>
      </w:r>
      <w:r w:rsidRPr="00D03F3E">
        <w:rPr>
          <w:rFonts w:ascii="Times New Roman" w:hAnsi="Times New Roman"/>
          <w:iCs/>
          <w:color w:val="000000" w:themeColor="text1"/>
          <w:sz w:val="16"/>
          <w:szCs w:val="16"/>
        </w:rPr>
        <w:t xml:space="preserve">гиап </w:t>
      </w:r>
      <w:r w:rsidRPr="00D03F3E">
        <w:rPr>
          <w:rFonts w:ascii="Times New Roman" w:hAnsi="Times New Roman"/>
          <w:color w:val="000000" w:themeColor="text1"/>
          <w:sz w:val="16"/>
          <w:szCs w:val="16"/>
        </w:rPr>
        <w:t>по 8 и 7 Як-76 в каждой (ведущие к-н С. А. Сибирин, ст. л-т И. А. Замо-рин), которые должны были блокиро</w:t>
      </w:r>
      <w:r w:rsidRPr="00D03F3E">
        <w:rPr>
          <w:rFonts w:ascii="Times New Roman" w:hAnsi="Times New Roman"/>
          <w:color w:val="000000" w:themeColor="text1"/>
          <w:sz w:val="16"/>
          <w:szCs w:val="16"/>
        </w:rPr>
        <w:softHyphen/>
        <w:t>вать аэродром Брянск и сопровождать "пешки". После сбора сводная группа в составе 9 Пе-2 и 15 истребителей взяла курс на исходный пункт маршру</w:t>
      </w:r>
      <w:r w:rsidRPr="00D03F3E">
        <w:rPr>
          <w:rFonts w:ascii="Times New Roman" w:hAnsi="Times New Roman"/>
          <w:color w:val="000000" w:themeColor="text1"/>
          <w:sz w:val="16"/>
          <w:szCs w:val="16"/>
        </w:rPr>
        <w:softHyphen/>
        <w:t>та Сухиничи и далее на Брянск.</w:t>
      </w:r>
    </w:p>
    <w:p w14:paraId="1C1AB66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19.35-19.36 </w:t>
      </w:r>
      <w:r w:rsidRPr="00D03F3E">
        <w:rPr>
          <w:rFonts w:ascii="Times New Roman" w:hAnsi="Times New Roman"/>
          <w:iCs/>
          <w:color w:val="000000" w:themeColor="text1"/>
          <w:sz w:val="16"/>
          <w:szCs w:val="16"/>
        </w:rPr>
        <w:t xml:space="preserve">с </w:t>
      </w:r>
      <w:r w:rsidRPr="00D03F3E">
        <w:rPr>
          <w:rFonts w:ascii="Times New Roman" w:hAnsi="Times New Roman"/>
          <w:color w:val="000000" w:themeColor="text1"/>
          <w:sz w:val="16"/>
          <w:szCs w:val="16"/>
        </w:rPr>
        <w:t>аэродрома Полош-ково последовательно взлетели две группы штурмовиков по 6 Ил-2 в каж</w:t>
      </w:r>
      <w:r w:rsidRPr="00D03F3E">
        <w:rPr>
          <w:rFonts w:ascii="Times New Roman" w:hAnsi="Times New Roman"/>
          <w:color w:val="000000" w:themeColor="text1"/>
          <w:sz w:val="16"/>
          <w:szCs w:val="16"/>
        </w:rPr>
        <w:softHyphen/>
        <w:t xml:space="preserve">дой от 571-го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(ведущие к-н И. Г. Выхор и ст. л-т Ф. Ф. Ермолин). Сле</w:t>
      </w:r>
      <w:r w:rsidRPr="00D03F3E">
        <w:rPr>
          <w:rFonts w:ascii="Times New Roman" w:hAnsi="Times New Roman"/>
          <w:color w:val="000000" w:themeColor="text1"/>
          <w:sz w:val="16"/>
          <w:szCs w:val="16"/>
        </w:rPr>
        <w:softHyphen/>
        <w:t>дом за ними взлетели и пристроились на круге 15 истребителей сопровож</w:t>
      </w:r>
      <w:r w:rsidRPr="00D03F3E">
        <w:rPr>
          <w:rFonts w:ascii="Times New Roman" w:hAnsi="Times New Roman"/>
          <w:color w:val="000000" w:themeColor="text1"/>
          <w:sz w:val="16"/>
          <w:szCs w:val="16"/>
        </w:rPr>
        <w:softHyphen/>
        <w:t xml:space="preserve">дения в двух группах: 8 Як-76 от 18-го </w:t>
      </w:r>
      <w:r w:rsidRPr="00D03F3E">
        <w:rPr>
          <w:rFonts w:ascii="Times New Roman" w:hAnsi="Times New Roman"/>
          <w:iCs/>
          <w:color w:val="000000" w:themeColor="text1"/>
          <w:sz w:val="16"/>
          <w:szCs w:val="16"/>
        </w:rPr>
        <w:t xml:space="preserve">гиап </w:t>
      </w:r>
      <w:r w:rsidRPr="00D03F3E">
        <w:rPr>
          <w:rFonts w:ascii="Times New Roman" w:hAnsi="Times New Roman"/>
          <w:color w:val="000000" w:themeColor="text1"/>
          <w:sz w:val="16"/>
          <w:szCs w:val="16"/>
        </w:rPr>
        <w:t xml:space="preserve">(ведущий ст. л-т Семенов) и 7 Як-76 от 168-го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(ведущий к-н Сере</w:t>
      </w:r>
      <w:r w:rsidRPr="00D03F3E">
        <w:rPr>
          <w:rFonts w:ascii="Times New Roman" w:hAnsi="Times New Roman"/>
          <w:color w:val="000000" w:themeColor="text1"/>
          <w:sz w:val="16"/>
          <w:szCs w:val="16"/>
        </w:rPr>
        <w:softHyphen/>
        <w:t>гин).</w:t>
      </w:r>
    </w:p>
    <w:p w14:paraId="47D4C76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Через одну-две минуты с аэродро</w:t>
      </w:r>
      <w:r w:rsidRPr="00D03F3E">
        <w:rPr>
          <w:rFonts w:ascii="Times New Roman" w:hAnsi="Times New Roman"/>
          <w:color w:val="000000" w:themeColor="text1"/>
          <w:sz w:val="16"/>
          <w:szCs w:val="16"/>
        </w:rPr>
        <w:softHyphen/>
        <w:t xml:space="preserve">ма Вязовая поднялись две шестерки Ил-2 от 566-го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(ведущие ст. л-т А. Г.</w:t>
      </w:r>
    </w:p>
    <w:p w14:paraId="48F21AB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Мачнев и ст. л-т Ф. И. Рябов). За ними взлетели 14 Як-76 от 168-го </w:t>
      </w:r>
      <w:r w:rsidRPr="00D03F3E">
        <w:rPr>
          <w:rFonts w:ascii="Times New Roman" w:hAnsi="Times New Roman"/>
          <w:iCs/>
          <w:color w:val="000000" w:themeColor="text1"/>
          <w:sz w:val="16"/>
          <w:szCs w:val="16"/>
        </w:rPr>
        <w:t xml:space="preserve">иап в </w:t>
      </w:r>
      <w:r w:rsidRPr="00D03F3E">
        <w:rPr>
          <w:rFonts w:ascii="Times New Roman" w:hAnsi="Times New Roman"/>
          <w:color w:val="000000" w:themeColor="text1"/>
          <w:sz w:val="16"/>
          <w:szCs w:val="16"/>
        </w:rPr>
        <w:t>двух группах по 8 и 6 самолетов в каждой (ведущие к-н Бородич и ст. л-т Яков</w:t>
      </w:r>
      <w:r w:rsidRPr="00D03F3E">
        <w:rPr>
          <w:rFonts w:ascii="Times New Roman" w:hAnsi="Times New Roman"/>
          <w:color w:val="000000" w:themeColor="text1"/>
          <w:sz w:val="16"/>
          <w:szCs w:val="16"/>
        </w:rPr>
        <w:softHyphen/>
        <w:t>лев).</w:t>
      </w:r>
    </w:p>
    <w:p w14:paraId="0AF80B6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 групп штурмовиков и истре</w:t>
      </w:r>
      <w:r w:rsidRPr="00D03F3E">
        <w:rPr>
          <w:rFonts w:ascii="Times New Roman" w:hAnsi="Times New Roman"/>
          <w:color w:val="000000" w:themeColor="text1"/>
          <w:sz w:val="16"/>
          <w:szCs w:val="16"/>
        </w:rPr>
        <w:softHyphen/>
        <w:t>бителей осуществлялся парами, что снизило время сбора каждой группы до 1-2 минут. При этом ускорении сбо</w:t>
      </w:r>
      <w:r w:rsidRPr="00D03F3E">
        <w:rPr>
          <w:rFonts w:ascii="Times New Roman" w:hAnsi="Times New Roman"/>
          <w:color w:val="000000" w:themeColor="text1"/>
          <w:sz w:val="16"/>
          <w:szCs w:val="16"/>
        </w:rPr>
        <w:softHyphen/>
        <w:t>ра всех групп в общий боевой поря</w:t>
      </w:r>
      <w:r w:rsidRPr="00D03F3E">
        <w:rPr>
          <w:rFonts w:ascii="Times New Roman" w:hAnsi="Times New Roman"/>
          <w:color w:val="000000" w:themeColor="text1"/>
          <w:sz w:val="16"/>
          <w:szCs w:val="16"/>
        </w:rPr>
        <w:softHyphen/>
        <w:t xml:space="preserve">док </w:t>
      </w:r>
      <w:r w:rsidRPr="00D03F3E">
        <w:rPr>
          <w:rFonts w:ascii="Times New Roman" w:hAnsi="Times New Roman"/>
          <w:iCs/>
          <w:color w:val="000000" w:themeColor="text1"/>
          <w:sz w:val="16"/>
          <w:szCs w:val="16"/>
        </w:rPr>
        <w:t>"всем шестеркам было дано ука</w:t>
      </w:r>
      <w:r w:rsidRPr="00D03F3E">
        <w:rPr>
          <w:rFonts w:ascii="Times New Roman" w:hAnsi="Times New Roman"/>
          <w:iCs/>
          <w:color w:val="000000" w:themeColor="text1"/>
          <w:sz w:val="16"/>
          <w:szCs w:val="16"/>
        </w:rPr>
        <w:softHyphen/>
        <w:t>зание пристраиваться за любой иду</w:t>
      </w:r>
      <w:r w:rsidRPr="00D03F3E">
        <w:rPr>
          <w:rFonts w:ascii="Times New Roman" w:hAnsi="Times New Roman"/>
          <w:iCs/>
          <w:color w:val="000000" w:themeColor="text1"/>
          <w:sz w:val="16"/>
          <w:szCs w:val="16"/>
        </w:rPr>
        <w:softHyphen/>
        <w:t>щей впереди шестеркой Ил-2 и следо</w:t>
      </w:r>
      <w:r w:rsidRPr="00D03F3E">
        <w:rPr>
          <w:rFonts w:ascii="Times New Roman" w:hAnsi="Times New Roman"/>
          <w:iCs/>
          <w:color w:val="000000" w:themeColor="text1"/>
          <w:sz w:val="16"/>
          <w:szCs w:val="16"/>
        </w:rPr>
        <w:softHyphen/>
        <w:t xml:space="preserve">вать на дистанции зрительной связи". </w:t>
      </w:r>
      <w:r w:rsidRPr="00D03F3E">
        <w:rPr>
          <w:rFonts w:ascii="Times New Roman" w:hAnsi="Times New Roman"/>
          <w:color w:val="000000" w:themeColor="text1"/>
          <w:sz w:val="16"/>
          <w:szCs w:val="16"/>
        </w:rPr>
        <w:t>Уже в 19.38 все четыре группы Ил-2 легли на курс исходного пункта марш</w:t>
      </w:r>
      <w:r w:rsidRPr="00D03F3E">
        <w:rPr>
          <w:rFonts w:ascii="Times New Roman" w:hAnsi="Times New Roman"/>
          <w:color w:val="000000" w:themeColor="text1"/>
          <w:sz w:val="16"/>
          <w:szCs w:val="16"/>
        </w:rPr>
        <w:softHyphen/>
        <w:t>рута Сухиничи.</w:t>
      </w:r>
    </w:p>
    <w:p w14:paraId="68DAC40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Боевой порядок штурмовиков на маршруте следования к цели была ко</w:t>
      </w:r>
      <w:r w:rsidRPr="00D03F3E">
        <w:rPr>
          <w:rFonts w:ascii="Times New Roman" w:hAnsi="Times New Roman"/>
          <w:color w:val="000000" w:themeColor="text1"/>
          <w:sz w:val="16"/>
          <w:szCs w:val="16"/>
        </w:rPr>
        <w:softHyphen/>
        <w:t>лонна шестерок. Построение в общую колонну штурмовиков и истребителей достигнуто одновременным прохождением через Сухиничи.</w:t>
      </w:r>
    </w:p>
    <w:p w14:paraId="2B9F880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сожалению, боевой поря</w:t>
      </w:r>
      <w:r w:rsidRPr="00D03F3E">
        <w:rPr>
          <w:rFonts w:ascii="Times New Roman" w:hAnsi="Times New Roman"/>
          <w:color w:val="000000" w:themeColor="text1"/>
          <w:sz w:val="16"/>
          <w:szCs w:val="16"/>
        </w:rPr>
        <w:softHyphen/>
        <w:t>док групп получился совершен</w:t>
      </w:r>
      <w:r w:rsidRPr="00D03F3E">
        <w:rPr>
          <w:rFonts w:ascii="Times New Roman" w:hAnsi="Times New Roman"/>
          <w:color w:val="000000" w:themeColor="text1"/>
          <w:sz w:val="16"/>
          <w:szCs w:val="16"/>
        </w:rPr>
        <w:softHyphen/>
        <w:t>но не таким, как его планиро</w:t>
      </w:r>
      <w:r w:rsidRPr="00D03F3E">
        <w:rPr>
          <w:rFonts w:ascii="Times New Roman" w:hAnsi="Times New Roman"/>
          <w:color w:val="000000" w:themeColor="text1"/>
          <w:sz w:val="16"/>
          <w:szCs w:val="16"/>
        </w:rPr>
        <w:softHyphen/>
        <w:t>вали. Штурмовики шли в пе</w:t>
      </w:r>
      <w:r w:rsidRPr="00D03F3E">
        <w:rPr>
          <w:rFonts w:ascii="Times New Roman" w:hAnsi="Times New Roman"/>
          <w:color w:val="000000" w:themeColor="text1"/>
          <w:sz w:val="16"/>
          <w:szCs w:val="16"/>
        </w:rPr>
        <w:softHyphen/>
        <w:t>ленге с увеличенными дистан</w:t>
      </w:r>
      <w:r w:rsidRPr="00D03F3E">
        <w:rPr>
          <w:rFonts w:ascii="Times New Roman" w:hAnsi="Times New Roman"/>
          <w:color w:val="000000" w:themeColor="text1"/>
          <w:sz w:val="16"/>
          <w:szCs w:val="16"/>
        </w:rPr>
        <w:softHyphen/>
        <w:t>циями и интервалами: в глуби</w:t>
      </w:r>
      <w:r w:rsidRPr="00D03F3E">
        <w:rPr>
          <w:rFonts w:ascii="Times New Roman" w:hAnsi="Times New Roman"/>
          <w:color w:val="000000" w:themeColor="text1"/>
          <w:sz w:val="16"/>
          <w:szCs w:val="16"/>
        </w:rPr>
        <w:softHyphen/>
        <w:t>ну строй достигал 1000-1200 м, по фронту - 500-600 м.</w:t>
      </w:r>
    </w:p>
    <w:p w14:paraId="2231561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Истребители из группы не</w:t>
      </w:r>
      <w:r w:rsidRPr="00D03F3E">
        <w:rPr>
          <w:rFonts w:ascii="Times New Roman" w:hAnsi="Times New Roman"/>
          <w:color w:val="000000" w:themeColor="text1"/>
          <w:sz w:val="16"/>
          <w:szCs w:val="16"/>
        </w:rPr>
        <w:softHyphen/>
        <w:t>посредственного сопровожде</w:t>
      </w:r>
      <w:r w:rsidRPr="00D03F3E">
        <w:rPr>
          <w:rFonts w:ascii="Times New Roman" w:hAnsi="Times New Roman"/>
          <w:color w:val="000000" w:themeColor="text1"/>
          <w:sz w:val="16"/>
          <w:szCs w:val="16"/>
        </w:rPr>
        <w:softHyphen/>
        <w:t>ния попарно заняли место на флангах в 200 м от штурмови</w:t>
      </w:r>
      <w:r w:rsidRPr="00D03F3E">
        <w:rPr>
          <w:rFonts w:ascii="Times New Roman" w:hAnsi="Times New Roman"/>
          <w:color w:val="000000" w:themeColor="text1"/>
          <w:sz w:val="16"/>
          <w:szCs w:val="16"/>
        </w:rPr>
        <w:softHyphen/>
        <w:t>ков с превышением 100-200 м, а ударные пары истребителей на свое место вовсе не вста</w:t>
      </w:r>
      <w:r w:rsidRPr="00D03F3E">
        <w:rPr>
          <w:rFonts w:ascii="Times New Roman" w:hAnsi="Times New Roman"/>
          <w:color w:val="000000" w:themeColor="text1"/>
          <w:sz w:val="16"/>
          <w:szCs w:val="16"/>
        </w:rPr>
        <w:softHyphen/>
        <w:t>ли - шли следом за непосред</w:t>
      </w:r>
      <w:r w:rsidRPr="00D03F3E">
        <w:rPr>
          <w:rFonts w:ascii="Times New Roman" w:hAnsi="Times New Roman"/>
          <w:color w:val="000000" w:themeColor="text1"/>
          <w:sz w:val="16"/>
          <w:szCs w:val="16"/>
        </w:rPr>
        <w:softHyphen/>
        <w:t>ственным прикрытием с превы</w:t>
      </w:r>
      <w:r w:rsidRPr="00D03F3E">
        <w:rPr>
          <w:rFonts w:ascii="Times New Roman" w:hAnsi="Times New Roman"/>
          <w:color w:val="000000" w:themeColor="text1"/>
          <w:sz w:val="16"/>
          <w:szCs w:val="16"/>
        </w:rPr>
        <w:softHyphen/>
        <w:t>шением над ними 200-300 м. В результате пары истребителей со</w:t>
      </w:r>
      <w:r w:rsidRPr="00D03F3E">
        <w:rPr>
          <w:rFonts w:ascii="Times New Roman" w:hAnsi="Times New Roman"/>
          <w:color w:val="000000" w:themeColor="text1"/>
          <w:sz w:val="16"/>
          <w:szCs w:val="16"/>
        </w:rPr>
        <w:softHyphen/>
        <w:t>провождения каждой группы штурмо</w:t>
      </w:r>
      <w:r w:rsidRPr="00D03F3E">
        <w:rPr>
          <w:rFonts w:ascii="Times New Roman" w:hAnsi="Times New Roman"/>
          <w:color w:val="000000" w:themeColor="text1"/>
          <w:sz w:val="16"/>
          <w:szCs w:val="16"/>
        </w:rPr>
        <w:softHyphen/>
        <w:t>виков оказались друг от друга на дис</w:t>
      </w:r>
      <w:r w:rsidRPr="00D03F3E">
        <w:rPr>
          <w:rFonts w:ascii="Times New Roman" w:hAnsi="Times New Roman"/>
          <w:color w:val="000000" w:themeColor="text1"/>
          <w:sz w:val="16"/>
          <w:szCs w:val="16"/>
        </w:rPr>
        <w:softHyphen/>
        <w:t>танции 1000-1500 м и 800-1000 м по фронту. Дистанции между группами по</w:t>
      </w:r>
      <w:r w:rsidRPr="00D03F3E">
        <w:rPr>
          <w:rFonts w:ascii="Times New Roman" w:hAnsi="Times New Roman"/>
          <w:color w:val="000000" w:themeColor="text1"/>
          <w:sz w:val="16"/>
          <w:szCs w:val="16"/>
        </w:rPr>
        <w:softHyphen/>
        <w:t>лучились очень большими - от 2-х до 4-5 км.</w:t>
      </w:r>
    </w:p>
    <w:p w14:paraId="59BFC3D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Такой порядок исключал всякую воз</w:t>
      </w:r>
      <w:r w:rsidRPr="00D03F3E">
        <w:rPr>
          <w:rFonts w:ascii="Times New Roman" w:hAnsi="Times New Roman"/>
          <w:color w:val="000000" w:themeColor="text1"/>
          <w:sz w:val="16"/>
          <w:szCs w:val="16"/>
        </w:rPr>
        <w:softHyphen/>
        <w:t>можность взаимодействия истребите</w:t>
      </w:r>
      <w:r w:rsidRPr="00D03F3E">
        <w:rPr>
          <w:rFonts w:ascii="Times New Roman" w:hAnsi="Times New Roman"/>
          <w:color w:val="000000" w:themeColor="text1"/>
          <w:sz w:val="16"/>
          <w:szCs w:val="16"/>
        </w:rPr>
        <w:softHyphen/>
        <w:t>лей сопровождения между собой, и в случае встречи с истребителями против</w:t>
      </w:r>
      <w:r w:rsidRPr="00D03F3E">
        <w:rPr>
          <w:rFonts w:ascii="Times New Roman" w:hAnsi="Times New Roman"/>
          <w:color w:val="000000" w:themeColor="text1"/>
          <w:sz w:val="16"/>
          <w:szCs w:val="16"/>
        </w:rPr>
        <w:softHyphen/>
        <w:t>ника наши самолеты были обречены на ведение боя в одиночку и парами. При этом противник получал хорошую воз</w:t>
      </w:r>
      <w:r w:rsidRPr="00D03F3E">
        <w:rPr>
          <w:rFonts w:ascii="Times New Roman" w:hAnsi="Times New Roman"/>
          <w:color w:val="000000" w:themeColor="text1"/>
          <w:sz w:val="16"/>
          <w:szCs w:val="16"/>
        </w:rPr>
        <w:softHyphen/>
        <w:t>можность небольшими силами "затя</w:t>
      </w:r>
      <w:r w:rsidRPr="00D03F3E">
        <w:rPr>
          <w:rFonts w:ascii="Times New Roman" w:hAnsi="Times New Roman"/>
          <w:color w:val="000000" w:themeColor="text1"/>
          <w:sz w:val="16"/>
          <w:szCs w:val="16"/>
        </w:rPr>
        <w:softHyphen/>
        <w:t>нуть" в воздушный бой не только ис</w:t>
      </w:r>
      <w:r w:rsidRPr="00D03F3E">
        <w:rPr>
          <w:rFonts w:ascii="Times New Roman" w:hAnsi="Times New Roman"/>
          <w:color w:val="000000" w:themeColor="text1"/>
          <w:sz w:val="16"/>
          <w:szCs w:val="16"/>
        </w:rPr>
        <w:softHyphen/>
        <w:t>требители ударной группы, но и груп</w:t>
      </w:r>
      <w:r w:rsidRPr="00D03F3E">
        <w:rPr>
          <w:rFonts w:ascii="Times New Roman" w:hAnsi="Times New Roman"/>
          <w:color w:val="000000" w:themeColor="text1"/>
          <w:sz w:val="16"/>
          <w:szCs w:val="16"/>
        </w:rPr>
        <w:softHyphen/>
        <w:t>пы непосредственного сопровождения. Отметим, что по плану дистанция между группами не должна была пре</w:t>
      </w:r>
      <w:r w:rsidRPr="00D03F3E">
        <w:rPr>
          <w:rFonts w:ascii="Times New Roman" w:hAnsi="Times New Roman"/>
          <w:color w:val="000000" w:themeColor="text1"/>
          <w:sz w:val="16"/>
          <w:szCs w:val="16"/>
        </w:rPr>
        <w:softHyphen/>
        <w:t>вышать 600-700 м, а ширина строя каждой группы - 400-500 м.</w:t>
      </w:r>
    </w:p>
    <w:p w14:paraId="2CC9A82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 первом этапе маршрута техник-лейтенант Смольский из 566-го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возвратился на аэродром подскока Вязовая по причине неисправности матчасти - раскрутка винта.</w:t>
      </w:r>
    </w:p>
    <w:p w14:paraId="4F45138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"Сошла с дистанции" и пара истре</w:t>
      </w:r>
      <w:r w:rsidRPr="00D03F3E">
        <w:rPr>
          <w:rFonts w:ascii="Times New Roman" w:hAnsi="Times New Roman"/>
          <w:color w:val="000000" w:themeColor="text1"/>
          <w:sz w:val="16"/>
          <w:szCs w:val="16"/>
        </w:rPr>
        <w:softHyphen/>
        <w:t xml:space="preserve">бителей от 168-го </w:t>
      </w:r>
      <w:r w:rsidRPr="00D03F3E">
        <w:rPr>
          <w:rFonts w:ascii="Times New Roman" w:hAnsi="Times New Roman"/>
          <w:iCs/>
          <w:color w:val="000000" w:themeColor="text1"/>
          <w:sz w:val="16"/>
          <w:szCs w:val="16"/>
        </w:rPr>
        <w:t xml:space="preserve">иап из </w:t>
      </w:r>
      <w:r w:rsidRPr="00D03F3E">
        <w:rPr>
          <w:rFonts w:ascii="Times New Roman" w:hAnsi="Times New Roman"/>
          <w:color w:val="000000" w:themeColor="text1"/>
          <w:sz w:val="16"/>
          <w:szCs w:val="16"/>
        </w:rPr>
        <w:t>состава груп</w:t>
      </w:r>
      <w:r w:rsidRPr="00D03F3E">
        <w:rPr>
          <w:rFonts w:ascii="Times New Roman" w:hAnsi="Times New Roman"/>
          <w:color w:val="000000" w:themeColor="text1"/>
          <w:sz w:val="16"/>
          <w:szCs w:val="16"/>
        </w:rPr>
        <w:softHyphen/>
        <w:t xml:space="preserve">пы прикрытия замыкающей шестерки штурмовиков от 566-го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На само</w:t>
      </w:r>
      <w:r w:rsidRPr="00D03F3E">
        <w:rPr>
          <w:rFonts w:ascii="Times New Roman" w:hAnsi="Times New Roman"/>
          <w:color w:val="000000" w:themeColor="text1"/>
          <w:sz w:val="16"/>
          <w:szCs w:val="16"/>
        </w:rPr>
        <w:softHyphen/>
        <w:t>лете ведущего ударной пары мл. лей</w:t>
      </w:r>
      <w:r w:rsidRPr="00D03F3E">
        <w:rPr>
          <w:rFonts w:ascii="Times New Roman" w:hAnsi="Times New Roman"/>
          <w:color w:val="000000" w:themeColor="text1"/>
          <w:sz w:val="16"/>
          <w:szCs w:val="16"/>
        </w:rPr>
        <w:softHyphen/>
        <w:t>тенанта Яскевича забарахлил мотор, и он в сопровождении своего ведомо</w:t>
      </w:r>
      <w:r w:rsidRPr="00D03F3E">
        <w:rPr>
          <w:rFonts w:ascii="Times New Roman" w:hAnsi="Times New Roman"/>
          <w:color w:val="000000" w:themeColor="text1"/>
          <w:sz w:val="16"/>
          <w:szCs w:val="16"/>
        </w:rPr>
        <w:softHyphen/>
        <w:t>го мл. лейтенанта Сержантова вышел из строя и затем выполнил вынужденную посадку на аэродром Васильевское.</w:t>
      </w:r>
    </w:p>
    <w:p w14:paraId="280BB5D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Высота полета над своей террито</w:t>
      </w:r>
      <w:r w:rsidRPr="00D03F3E">
        <w:rPr>
          <w:rFonts w:ascii="Times New Roman" w:hAnsi="Times New Roman"/>
          <w:color w:val="000000" w:themeColor="text1"/>
          <w:sz w:val="16"/>
          <w:szCs w:val="16"/>
        </w:rPr>
        <w:softHyphen/>
        <w:t>рией не превышала 300-600 м. Пере</w:t>
      </w:r>
      <w:r w:rsidRPr="00D03F3E">
        <w:rPr>
          <w:rFonts w:ascii="Times New Roman" w:hAnsi="Times New Roman"/>
          <w:color w:val="000000" w:themeColor="text1"/>
          <w:sz w:val="16"/>
          <w:szCs w:val="16"/>
        </w:rPr>
        <w:softHyphen/>
        <w:t xml:space="preserve">лет линии фронта группы выполнили в районе Букань на высоте 800-1200 м. Над территорией противника высота выдерживалась 400-600 м вплоть </w:t>
      </w:r>
      <w:r w:rsidRPr="00D03F3E">
        <w:rPr>
          <w:rFonts w:ascii="Times New Roman" w:hAnsi="Times New Roman"/>
          <w:iCs/>
          <w:color w:val="000000" w:themeColor="text1"/>
          <w:sz w:val="16"/>
          <w:szCs w:val="16"/>
        </w:rPr>
        <w:t>"до точки расхождения Меркульево".</w:t>
      </w:r>
    </w:p>
    <w:p w14:paraId="644C5DC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 плану экипажи Пе-2 261 -го </w:t>
      </w:r>
      <w:r w:rsidRPr="00D03F3E">
        <w:rPr>
          <w:rFonts w:ascii="Times New Roman" w:hAnsi="Times New Roman"/>
          <w:iCs/>
          <w:color w:val="000000" w:themeColor="text1"/>
          <w:sz w:val="16"/>
          <w:szCs w:val="16"/>
        </w:rPr>
        <w:t xml:space="preserve">бап </w:t>
      </w:r>
      <w:r w:rsidRPr="00D03F3E">
        <w:rPr>
          <w:rFonts w:ascii="Times New Roman" w:hAnsi="Times New Roman"/>
          <w:color w:val="000000" w:themeColor="text1"/>
          <w:sz w:val="16"/>
          <w:szCs w:val="16"/>
        </w:rPr>
        <w:t>должны были нанести удар за 2 мину</w:t>
      </w:r>
      <w:r w:rsidRPr="00D03F3E">
        <w:rPr>
          <w:rFonts w:ascii="Times New Roman" w:hAnsi="Times New Roman"/>
          <w:color w:val="000000" w:themeColor="text1"/>
          <w:sz w:val="16"/>
          <w:szCs w:val="16"/>
        </w:rPr>
        <w:softHyphen/>
        <w:t xml:space="preserve">ты до подлета </w:t>
      </w:r>
      <w:r w:rsidRPr="00D03F3E">
        <w:rPr>
          <w:rFonts w:ascii="Times New Roman" w:hAnsi="Times New Roman"/>
          <w:iCs/>
          <w:color w:val="000000" w:themeColor="text1"/>
          <w:sz w:val="16"/>
          <w:szCs w:val="16"/>
        </w:rPr>
        <w:t xml:space="preserve">Ил-2, </w:t>
      </w:r>
      <w:r w:rsidRPr="00D03F3E">
        <w:rPr>
          <w:rFonts w:ascii="Times New Roman" w:hAnsi="Times New Roman"/>
          <w:color w:val="000000" w:themeColor="text1"/>
          <w:sz w:val="16"/>
          <w:szCs w:val="16"/>
        </w:rPr>
        <w:t xml:space="preserve">но на аэродром Брянск не вышли, </w:t>
      </w:r>
      <w:r w:rsidRPr="00D03F3E">
        <w:rPr>
          <w:rFonts w:ascii="Times New Roman" w:hAnsi="Times New Roman"/>
          <w:iCs/>
          <w:color w:val="000000" w:themeColor="text1"/>
          <w:sz w:val="16"/>
          <w:szCs w:val="16"/>
        </w:rPr>
        <w:t xml:space="preserve">"уклонились на юг и за собой увели истребителей-блоки-ровщиков". </w:t>
      </w:r>
      <w:r w:rsidRPr="00D03F3E">
        <w:rPr>
          <w:rFonts w:ascii="Times New Roman" w:hAnsi="Times New Roman"/>
          <w:color w:val="000000" w:themeColor="text1"/>
          <w:sz w:val="16"/>
          <w:szCs w:val="16"/>
        </w:rPr>
        <w:t xml:space="preserve">Как следует из доклада экипажей 18-го </w:t>
      </w:r>
      <w:r w:rsidRPr="00D03F3E">
        <w:rPr>
          <w:rFonts w:ascii="Times New Roman" w:hAnsi="Times New Roman"/>
          <w:iCs/>
          <w:color w:val="000000" w:themeColor="text1"/>
          <w:sz w:val="16"/>
          <w:szCs w:val="16"/>
        </w:rPr>
        <w:t xml:space="preserve">гиап, </w:t>
      </w:r>
      <w:r w:rsidRPr="00D03F3E">
        <w:rPr>
          <w:rFonts w:ascii="Times New Roman" w:hAnsi="Times New Roman"/>
          <w:color w:val="000000" w:themeColor="text1"/>
          <w:sz w:val="16"/>
          <w:szCs w:val="16"/>
        </w:rPr>
        <w:t>бомбардировщи</w:t>
      </w:r>
      <w:r w:rsidRPr="00D03F3E">
        <w:rPr>
          <w:rFonts w:ascii="Times New Roman" w:hAnsi="Times New Roman"/>
          <w:color w:val="000000" w:themeColor="text1"/>
          <w:sz w:val="16"/>
          <w:szCs w:val="16"/>
        </w:rPr>
        <w:softHyphen/>
        <w:t xml:space="preserve">ки потеряли ориентировку и вместо Брянска вышли сначала на Сещу, а затем, пытаясь исправить ошибку, на Почеп, </w:t>
      </w:r>
      <w:r w:rsidRPr="00D03F3E">
        <w:rPr>
          <w:rFonts w:ascii="Times New Roman" w:hAnsi="Times New Roman"/>
          <w:iCs/>
          <w:color w:val="000000" w:themeColor="text1"/>
          <w:sz w:val="16"/>
          <w:szCs w:val="16"/>
        </w:rPr>
        <w:t>"где сбросили часть бомб, и только после этого вышли на аэродром Брянск".</w:t>
      </w:r>
    </w:p>
    <w:p w14:paraId="60B6CFF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Таким образом, находясь в районе Брянска 10-12 минут (отыскивая цель), "девятка" Пе-2 </w:t>
      </w:r>
      <w:r w:rsidRPr="00D03F3E">
        <w:rPr>
          <w:rFonts w:ascii="Times New Roman" w:hAnsi="Times New Roman"/>
          <w:iCs/>
          <w:color w:val="000000" w:themeColor="text1"/>
          <w:sz w:val="16"/>
          <w:szCs w:val="16"/>
        </w:rPr>
        <w:t>"всполошила противни</w:t>
      </w:r>
      <w:r w:rsidRPr="00D03F3E">
        <w:rPr>
          <w:rFonts w:ascii="Times New Roman" w:hAnsi="Times New Roman"/>
          <w:iCs/>
          <w:color w:val="000000" w:themeColor="text1"/>
          <w:sz w:val="16"/>
          <w:szCs w:val="16"/>
        </w:rPr>
        <w:softHyphen/>
        <w:t xml:space="preserve">ка" </w:t>
      </w:r>
      <w:r w:rsidRPr="00D03F3E">
        <w:rPr>
          <w:rFonts w:ascii="Times New Roman" w:hAnsi="Times New Roman"/>
          <w:color w:val="000000" w:themeColor="text1"/>
          <w:sz w:val="16"/>
          <w:szCs w:val="16"/>
        </w:rPr>
        <w:t xml:space="preserve">и </w:t>
      </w:r>
      <w:r w:rsidRPr="00D03F3E">
        <w:rPr>
          <w:rFonts w:ascii="Times New Roman" w:hAnsi="Times New Roman"/>
          <w:iCs/>
          <w:color w:val="000000" w:themeColor="text1"/>
          <w:sz w:val="16"/>
          <w:szCs w:val="16"/>
        </w:rPr>
        <w:t>"дала возможность поднять ис</w:t>
      </w:r>
      <w:r w:rsidRPr="00D03F3E">
        <w:rPr>
          <w:rFonts w:ascii="Times New Roman" w:hAnsi="Times New Roman"/>
          <w:iCs/>
          <w:color w:val="000000" w:themeColor="text1"/>
          <w:sz w:val="16"/>
          <w:szCs w:val="16"/>
        </w:rPr>
        <w:softHyphen/>
        <w:t xml:space="preserve">требители противника не только </w:t>
      </w:r>
      <w:r w:rsidRPr="00D03F3E">
        <w:rPr>
          <w:rFonts w:ascii="Times New Roman" w:hAnsi="Times New Roman"/>
          <w:color w:val="000000" w:themeColor="text1"/>
          <w:sz w:val="16"/>
          <w:szCs w:val="16"/>
        </w:rPr>
        <w:t xml:space="preserve">с </w:t>
      </w:r>
      <w:r w:rsidRPr="00D03F3E">
        <w:rPr>
          <w:rFonts w:ascii="Times New Roman" w:hAnsi="Times New Roman"/>
          <w:iCs/>
          <w:color w:val="000000" w:themeColor="text1"/>
          <w:sz w:val="16"/>
          <w:szCs w:val="16"/>
        </w:rPr>
        <w:t xml:space="preserve">аэродрома Брянск, но и с соседних площадок". </w:t>
      </w:r>
      <w:r w:rsidRPr="00D03F3E">
        <w:rPr>
          <w:rFonts w:ascii="Times New Roman" w:hAnsi="Times New Roman"/>
          <w:color w:val="000000" w:themeColor="text1"/>
          <w:sz w:val="16"/>
          <w:szCs w:val="16"/>
        </w:rPr>
        <w:t>По этой причине штурмо</w:t>
      </w:r>
      <w:r w:rsidRPr="00D03F3E">
        <w:rPr>
          <w:rFonts w:ascii="Times New Roman" w:hAnsi="Times New Roman"/>
          <w:color w:val="000000" w:themeColor="text1"/>
          <w:sz w:val="16"/>
          <w:szCs w:val="16"/>
        </w:rPr>
        <w:softHyphen/>
        <w:t>вики были обстреляны интенсивным зе</w:t>
      </w:r>
      <w:r w:rsidRPr="00D03F3E">
        <w:rPr>
          <w:rFonts w:ascii="Times New Roman" w:hAnsi="Times New Roman"/>
          <w:color w:val="000000" w:themeColor="text1"/>
          <w:sz w:val="16"/>
          <w:szCs w:val="16"/>
        </w:rPr>
        <w:softHyphen/>
        <w:t>нитным огнем и атакованы немецкими истребителями задолго до подхода к аэродрому.</w:t>
      </w:r>
    </w:p>
    <w:p w14:paraId="60544E4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Примерно в 40-50 км до аэродро</w:t>
      </w:r>
      <w:r w:rsidRPr="00D03F3E">
        <w:rPr>
          <w:rFonts w:ascii="Times New Roman" w:hAnsi="Times New Roman"/>
          <w:color w:val="000000" w:themeColor="text1"/>
          <w:sz w:val="16"/>
          <w:szCs w:val="16"/>
        </w:rPr>
        <w:softHyphen/>
        <w:t>ма часть истребителей прикрытия ввя</w:t>
      </w:r>
      <w:r w:rsidRPr="00D03F3E">
        <w:rPr>
          <w:rFonts w:ascii="Times New Roman" w:hAnsi="Times New Roman"/>
          <w:color w:val="000000" w:themeColor="text1"/>
          <w:sz w:val="16"/>
          <w:szCs w:val="16"/>
        </w:rPr>
        <w:softHyphen/>
        <w:t>залась в воздушный бой на высоте 1200-1800 м с одиночными истреби</w:t>
      </w:r>
      <w:r w:rsidRPr="00D03F3E">
        <w:rPr>
          <w:rFonts w:ascii="Times New Roman" w:hAnsi="Times New Roman"/>
          <w:color w:val="000000" w:themeColor="text1"/>
          <w:sz w:val="16"/>
          <w:szCs w:val="16"/>
        </w:rPr>
        <w:softHyphen/>
        <w:t>телями противника общим числом до 7-8 Ру/190. Одновременно штурмови</w:t>
      </w:r>
      <w:r w:rsidRPr="00D03F3E">
        <w:rPr>
          <w:rFonts w:ascii="Times New Roman" w:hAnsi="Times New Roman"/>
          <w:color w:val="000000" w:themeColor="text1"/>
          <w:sz w:val="16"/>
          <w:szCs w:val="16"/>
        </w:rPr>
        <w:softHyphen/>
        <w:t>ки были обстреляны зенитной артил</w:t>
      </w:r>
      <w:r w:rsidRPr="00D03F3E">
        <w:rPr>
          <w:rFonts w:ascii="Times New Roman" w:hAnsi="Times New Roman"/>
          <w:color w:val="000000" w:themeColor="text1"/>
          <w:sz w:val="16"/>
          <w:szCs w:val="16"/>
        </w:rPr>
        <w:softHyphen/>
        <w:t>лерией.</w:t>
      </w:r>
    </w:p>
    <w:p w14:paraId="1D4BF20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Дядьково на встречных курсах появились 4-6 истребителей противника ФВ190, которые стали за</w:t>
      </w:r>
      <w:r w:rsidRPr="00D03F3E">
        <w:rPr>
          <w:rFonts w:ascii="Times New Roman" w:hAnsi="Times New Roman"/>
          <w:color w:val="000000" w:themeColor="text1"/>
          <w:sz w:val="16"/>
          <w:szCs w:val="16"/>
        </w:rPr>
        <w:softHyphen/>
        <w:t>ходить в атаку на первую группу штур</w:t>
      </w:r>
      <w:r w:rsidRPr="00D03F3E">
        <w:rPr>
          <w:rFonts w:ascii="Times New Roman" w:hAnsi="Times New Roman"/>
          <w:color w:val="000000" w:themeColor="text1"/>
          <w:sz w:val="16"/>
          <w:szCs w:val="16"/>
        </w:rPr>
        <w:softHyphen/>
        <w:t>мовиков в колонне (ведущий к-н Выхор от 571-го шал). Ведущий группы истре</w:t>
      </w:r>
      <w:r w:rsidRPr="00D03F3E">
        <w:rPr>
          <w:rFonts w:ascii="Times New Roman" w:hAnsi="Times New Roman"/>
          <w:color w:val="000000" w:themeColor="text1"/>
          <w:sz w:val="16"/>
          <w:szCs w:val="16"/>
        </w:rPr>
        <w:softHyphen/>
        <w:t xml:space="preserve">бительного сопровождения от 18-го </w:t>
      </w:r>
      <w:r w:rsidRPr="00D03F3E">
        <w:rPr>
          <w:rFonts w:ascii="Times New Roman" w:hAnsi="Times New Roman"/>
          <w:iCs/>
          <w:color w:val="000000" w:themeColor="text1"/>
          <w:sz w:val="16"/>
          <w:szCs w:val="16"/>
        </w:rPr>
        <w:t xml:space="preserve">гиап </w:t>
      </w:r>
      <w:r w:rsidRPr="00D03F3E">
        <w:rPr>
          <w:rFonts w:ascii="Times New Roman" w:hAnsi="Times New Roman"/>
          <w:color w:val="000000" w:themeColor="text1"/>
          <w:sz w:val="16"/>
          <w:szCs w:val="16"/>
        </w:rPr>
        <w:t>командир эскадрильи ст. л-т Се</w:t>
      </w:r>
      <w:r w:rsidRPr="00D03F3E">
        <w:rPr>
          <w:rFonts w:ascii="Times New Roman" w:hAnsi="Times New Roman"/>
          <w:color w:val="000000" w:themeColor="text1"/>
          <w:sz w:val="16"/>
          <w:szCs w:val="16"/>
        </w:rPr>
        <w:softHyphen/>
        <w:t>менов и его ведомый мл. л-т Осипенко с доворотом влево и набором высоты вышли им в лоб. После первых очере</w:t>
      </w:r>
      <w:r w:rsidRPr="00D03F3E">
        <w:rPr>
          <w:rFonts w:ascii="Times New Roman" w:hAnsi="Times New Roman"/>
          <w:color w:val="000000" w:themeColor="text1"/>
          <w:sz w:val="16"/>
          <w:szCs w:val="16"/>
        </w:rPr>
        <w:softHyphen/>
        <w:t>дей наших истребителей пилоты люф</w:t>
      </w:r>
      <w:r w:rsidRPr="00D03F3E">
        <w:rPr>
          <w:rFonts w:ascii="Times New Roman" w:hAnsi="Times New Roman"/>
          <w:color w:val="000000" w:themeColor="text1"/>
          <w:sz w:val="16"/>
          <w:szCs w:val="16"/>
        </w:rPr>
        <w:softHyphen/>
        <w:t xml:space="preserve">тваффе, не принимая боя, </w:t>
      </w:r>
      <w:r w:rsidRPr="00D03F3E">
        <w:rPr>
          <w:rFonts w:ascii="Times New Roman" w:hAnsi="Times New Roman"/>
          <w:iCs/>
          <w:color w:val="000000" w:themeColor="text1"/>
          <w:sz w:val="16"/>
          <w:szCs w:val="16"/>
        </w:rPr>
        <w:t xml:space="preserve">"с пологим снижением ушли в глубь колонны". </w:t>
      </w:r>
      <w:r w:rsidRPr="00D03F3E">
        <w:rPr>
          <w:rFonts w:ascii="Times New Roman" w:hAnsi="Times New Roman"/>
          <w:color w:val="000000" w:themeColor="text1"/>
          <w:sz w:val="16"/>
          <w:szCs w:val="16"/>
        </w:rPr>
        <w:t>Вдо</w:t>
      </w:r>
      <w:r w:rsidRPr="00D03F3E">
        <w:rPr>
          <w:rFonts w:ascii="Times New Roman" w:hAnsi="Times New Roman"/>
          <w:color w:val="000000" w:themeColor="text1"/>
          <w:sz w:val="16"/>
          <w:szCs w:val="16"/>
        </w:rPr>
        <w:softHyphen/>
        <w:t>гонку за ними бросилась вся ударная четверка Як-76, оголив, тем самым, оборону штурмовиков. На развороте и в завязавшемся воздушном бою мо</w:t>
      </w:r>
      <w:r w:rsidRPr="00D03F3E">
        <w:rPr>
          <w:rFonts w:ascii="Times New Roman" w:hAnsi="Times New Roman"/>
          <w:color w:val="000000" w:themeColor="text1"/>
          <w:sz w:val="16"/>
          <w:szCs w:val="16"/>
        </w:rPr>
        <w:softHyphen/>
        <w:t>лодые ведомые мл. л-т Архипов и мл. л-т Бородавка оторвались от своих ве</w:t>
      </w:r>
      <w:r w:rsidRPr="00D03F3E">
        <w:rPr>
          <w:rFonts w:ascii="Times New Roman" w:hAnsi="Times New Roman"/>
          <w:color w:val="000000" w:themeColor="text1"/>
          <w:sz w:val="16"/>
          <w:szCs w:val="16"/>
        </w:rPr>
        <w:softHyphen/>
        <w:t>дущих. Оставшись одни и не найдя свои самолеты, Архипов и Бородавка вер</w:t>
      </w:r>
      <w:r w:rsidRPr="00D03F3E">
        <w:rPr>
          <w:rFonts w:ascii="Times New Roman" w:hAnsi="Times New Roman"/>
          <w:color w:val="000000" w:themeColor="text1"/>
          <w:sz w:val="16"/>
          <w:szCs w:val="16"/>
        </w:rPr>
        <w:softHyphen/>
        <w:t>нулись на свой аэродром. Судьба ве</w:t>
      </w:r>
      <w:r w:rsidRPr="00D03F3E">
        <w:rPr>
          <w:rFonts w:ascii="Times New Roman" w:hAnsi="Times New Roman"/>
          <w:color w:val="000000" w:themeColor="text1"/>
          <w:sz w:val="16"/>
          <w:szCs w:val="16"/>
        </w:rPr>
        <w:softHyphen/>
        <w:t>дущих - ст. лейтенанта С. Е. Соколо</w:t>
      </w:r>
      <w:r w:rsidRPr="00D03F3E">
        <w:rPr>
          <w:rFonts w:ascii="Times New Roman" w:hAnsi="Times New Roman"/>
          <w:color w:val="000000" w:themeColor="text1"/>
          <w:sz w:val="16"/>
          <w:szCs w:val="16"/>
        </w:rPr>
        <w:softHyphen/>
        <w:t>ва и мл. лейтенанта А. В. Шумского — осталась неизвестной, так как с бое</w:t>
      </w:r>
      <w:r w:rsidRPr="00D03F3E">
        <w:rPr>
          <w:rFonts w:ascii="Times New Roman" w:hAnsi="Times New Roman"/>
          <w:color w:val="000000" w:themeColor="text1"/>
          <w:sz w:val="16"/>
          <w:szCs w:val="16"/>
        </w:rPr>
        <w:softHyphen/>
        <w:t>вого задания они не вернулись.</w:t>
      </w:r>
    </w:p>
    <w:p w14:paraId="0591CB0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Шестерку Ил-2 капитана Выхора продолжала сопровождать только одна пара истребителей из группы непос</w:t>
      </w:r>
      <w:r w:rsidRPr="00D03F3E">
        <w:rPr>
          <w:rFonts w:ascii="Times New Roman" w:hAnsi="Times New Roman"/>
          <w:color w:val="000000" w:themeColor="text1"/>
          <w:sz w:val="16"/>
          <w:szCs w:val="16"/>
        </w:rPr>
        <w:softHyphen/>
        <w:t>редственного прикрытия в составе ка</w:t>
      </w:r>
      <w:r w:rsidRPr="00D03F3E">
        <w:rPr>
          <w:rFonts w:ascii="Times New Roman" w:hAnsi="Times New Roman"/>
          <w:color w:val="000000" w:themeColor="text1"/>
          <w:sz w:val="16"/>
          <w:szCs w:val="16"/>
        </w:rPr>
        <w:softHyphen/>
        <w:t>питана Терентьева и мл. лейтенанта Сироткина. Вскоре и этой паре при</w:t>
      </w:r>
      <w:r w:rsidRPr="00D03F3E">
        <w:rPr>
          <w:rFonts w:ascii="Times New Roman" w:hAnsi="Times New Roman"/>
          <w:color w:val="000000" w:themeColor="text1"/>
          <w:sz w:val="16"/>
          <w:szCs w:val="16"/>
        </w:rPr>
        <w:softHyphen/>
        <w:t>шлось вступить в бой. Группу Ил-2 пы</w:t>
      </w:r>
      <w:r w:rsidRPr="00D03F3E">
        <w:rPr>
          <w:rFonts w:ascii="Times New Roman" w:hAnsi="Times New Roman"/>
          <w:color w:val="000000" w:themeColor="text1"/>
          <w:sz w:val="16"/>
          <w:szCs w:val="16"/>
        </w:rPr>
        <w:softHyphen/>
        <w:t xml:space="preserve">тался атаковать одиночный "фоккер", но </w:t>
      </w:r>
      <w:r w:rsidRPr="00D03F3E">
        <w:rPr>
          <w:rFonts w:ascii="Times New Roman" w:hAnsi="Times New Roman"/>
          <w:iCs/>
          <w:color w:val="000000" w:themeColor="text1"/>
          <w:sz w:val="16"/>
          <w:szCs w:val="16"/>
        </w:rPr>
        <w:t>"после доворота на него наших "Яков" он боя не принял и ушел".</w:t>
      </w:r>
    </w:p>
    <w:p w14:paraId="452640A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Примерно в 15 км юго-западнее Дятьково командир звена 168-го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л-т М. А. Ануфриев провел скоротеч</w:t>
      </w:r>
      <w:r w:rsidRPr="00D03F3E">
        <w:rPr>
          <w:rFonts w:ascii="Times New Roman" w:hAnsi="Times New Roman"/>
          <w:color w:val="000000" w:themeColor="text1"/>
          <w:sz w:val="16"/>
          <w:szCs w:val="16"/>
        </w:rPr>
        <w:softHyphen/>
        <w:t>ный воздушный бой с парой ру/190, которые выходили в атаку на штурмо</w:t>
      </w:r>
      <w:r w:rsidRPr="00D03F3E">
        <w:rPr>
          <w:rFonts w:ascii="Times New Roman" w:hAnsi="Times New Roman"/>
          <w:color w:val="000000" w:themeColor="text1"/>
          <w:sz w:val="16"/>
          <w:szCs w:val="16"/>
        </w:rPr>
        <w:softHyphen/>
        <w:t>вики третьей группы от головы колон</w:t>
      </w:r>
      <w:r w:rsidRPr="00D03F3E">
        <w:rPr>
          <w:rFonts w:ascii="Times New Roman" w:hAnsi="Times New Roman"/>
          <w:color w:val="000000" w:themeColor="text1"/>
          <w:sz w:val="16"/>
          <w:szCs w:val="16"/>
        </w:rPr>
        <w:softHyphen/>
        <w:t>ны (ведущий ст. л-т Мачнев от 566-го шал). Быстро осознав, что на вираже им не одолеть советского пилота, не</w:t>
      </w:r>
      <w:r w:rsidRPr="00D03F3E">
        <w:rPr>
          <w:rFonts w:ascii="Times New Roman" w:hAnsi="Times New Roman"/>
          <w:color w:val="000000" w:themeColor="text1"/>
          <w:sz w:val="16"/>
          <w:szCs w:val="16"/>
        </w:rPr>
        <w:softHyphen/>
        <w:t>мецкие летчики вышли из боя, а Ануф</w:t>
      </w:r>
      <w:r w:rsidRPr="00D03F3E">
        <w:rPr>
          <w:rFonts w:ascii="Times New Roman" w:hAnsi="Times New Roman"/>
          <w:color w:val="000000" w:themeColor="text1"/>
          <w:sz w:val="16"/>
          <w:szCs w:val="16"/>
        </w:rPr>
        <w:softHyphen/>
        <w:t>риев вновь пристроился к штурмови</w:t>
      </w:r>
      <w:r w:rsidRPr="00D03F3E">
        <w:rPr>
          <w:rFonts w:ascii="Times New Roman" w:hAnsi="Times New Roman"/>
          <w:color w:val="000000" w:themeColor="text1"/>
          <w:sz w:val="16"/>
          <w:szCs w:val="16"/>
        </w:rPr>
        <w:softHyphen/>
        <w:t>кам.</w:t>
      </w:r>
    </w:p>
    <w:p w14:paraId="678C201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г. Старь была атакована замыкающая шестерка штурмовиков (ведущий ст. л-т Рябов от 566-го шал). Атаку четверки ру/190 отражали веду</w:t>
      </w:r>
      <w:r w:rsidRPr="00D03F3E">
        <w:rPr>
          <w:rFonts w:ascii="Times New Roman" w:hAnsi="Times New Roman"/>
          <w:color w:val="000000" w:themeColor="text1"/>
          <w:sz w:val="16"/>
          <w:szCs w:val="16"/>
        </w:rPr>
        <w:softHyphen/>
        <w:t>щий группы истребителей сопровож</w:t>
      </w:r>
      <w:r w:rsidRPr="00D03F3E">
        <w:rPr>
          <w:rFonts w:ascii="Times New Roman" w:hAnsi="Times New Roman"/>
          <w:color w:val="000000" w:themeColor="text1"/>
          <w:sz w:val="16"/>
          <w:szCs w:val="16"/>
        </w:rPr>
        <w:softHyphen/>
        <w:t xml:space="preserve">дения от 168-го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комэск-2 ст. л-т Яковлев и его ведомый мл. л-т Шага</w:t>
      </w:r>
      <w:r w:rsidRPr="00D03F3E">
        <w:rPr>
          <w:rFonts w:ascii="Times New Roman" w:hAnsi="Times New Roman"/>
          <w:color w:val="000000" w:themeColor="text1"/>
          <w:sz w:val="16"/>
          <w:szCs w:val="16"/>
        </w:rPr>
        <w:softHyphen/>
        <w:t>ев. В ходе воздушного боя Яковлеву удалось сбить один "фокке-вульф", ко</w:t>
      </w:r>
      <w:r w:rsidRPr="00D03F3E">
        <w:rPr>
          <w:rFonts w:ascii="Times New Roman" w:hAnsi="Times New Roman"/>
          <w:color w:val="000000" w:themeColor="text1"/>
          <w:sz w:val="16"/>
          <w:szCs w:val="16"/>
        </w:rPr>
        <w:softHyphen/>
        <w:t xml:space="preserve">торый </w:t>
      </w:r>
      <w:r w:rsidRPr="00D03F3E">
        <w:rPr>
          <w:rFonts w:ascii="Times New Roman" w:hAnsi="Times New Roman"/>
          <w:iCs/>
          <w:color w:val="000000" w:themeColor="text1"/>
          <w:sz w:val="16"/>
          <w:szCs w:val="16"/>
        </w:rPr>
        <w:t xml:space="preserve">"загорелся и стал падать". </w:t>
      </w:r>
      <w:r w:rsidRPr="00D03F3E">
        <w:rPr>
          <w:rFonts w:ascii="Times New Roman" w:hAnsi="Times New Roman"/>
          <w:color w:val="000000" w:themeColor="text1"/>
          <w:sz w:val="16"/>
          <w:szCs w:val="16"/>
        </w:rPr>
        <w:t>В этот момент от пулеметно-пушечнои очере</w:t>
      </w:r>
      <w:r w:rsidRPr="00D03F3E">
        <w:rPr>
          <w:rFonts w:ascii="Times New Roman" w:hAnsi="Times New Roman"/>
          <w:color w:val="000000" w:themeColor="text1"/>
          <w:sz w:val="16"/>
          <w:szCs w:val="16"/>
        </w:rPr>
        <w:softHyphen/>
        <w:t>ди другого "фоккера" на самолете Яковлева была повреждена система охлаждения мотора, который стал да</w:t>
      </w:r>
      <w:r w:rsidRPr="00D03F3E">
        <w:rPr>
          <w:rFonts w:ascii="Times New Roman" w:hAnsi="Times New Roman"/>
          <w:color w:val="000000" w:themeColor="text1"/>
          <w:sz w:val="16"/>
          <w:szCs w:val="16"/>
        </w:rPr>
        <w:softHyphen/>
        <w:t>вать перебои. Передав командование группой своему заместителю ст. лей</w:t>
      </w:r>
      <w:r w:rsidRPr="00D03F3E">
        <w:rPr>
          <w:rFonts w:ascii="Times New Roman" w:hAnsi="Times New Roman"/>
          <w:color w:val="000000" w:themeColor="text1"/>
          <w:sz w:val="16"/>
          <w:szCs w:val="16"/>
        </w:rPr>
        <w:softHyphen/>
        <w:t>тенанту Петрову, Яковлев под прикры</w:t>
      </w:r>
      <w:r w:rsidRPr="00D03F3E">
        <w:rPr>
          <w:rFonts w:ascii="Times New Roman" w:hAnsi="Times New Roman"/>
          <w:color w:val="000000" w:themeColor="text1"/>
          <w:sz w:val="16"/>
          <w:szCs w:val="16"/>
        </w:rPr>
        <w:softHyphen/>
        <w:t>тием Шагаева потянул на свою тер</w:t>
      </w:r>
      <w:r w:rsidRPr="00D03F3E">
        <w:rPr>
          <w:rFonts w:ascii="Times New Roman" w:hAnsi="Times New Roman"/>
          <w:color w:val="000000" w:themeColor="text1"/>
          <w:sz w:val="16"/>
          <w:szCs w:val="16"/>
        </w:rPr>
        <w:softHyphen/>
        <w:t>риторию.</w:t>
      </w:r>
    </w:p>
    <w:p w14:paraId="05B7D3C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Дорожево, в 8 км север</w:t>
      </w:r>
      <w:r w:rsidRPr="00D03F3E">
        <w:rPr>
          <w:rFonts w:ascii="Times New Roman" w:hAnsi="Times New Roman"/>
          <w:color w:val="000000" w:themeColor="text1"/>
          <w:sz w:val="16"/>
          <w:szCs w:val="16"/>
        </w:rPr>
        <w:softHyphen/>
        <w:t>нее ст. Сельцо (20-25 км от цели), ис</w:t>
      </w:r>
      <w:r w:rsidRPr="00D03F3E">
        <w:rPr>
          <w:rFonts w:ascii="Times New Roman" w:hAnsi="Times New Roman"/>
          <w:color w:val="000000" w:themeColor="text1"/>
          <w:sz w:val="16"/>
          <w:szCs w:val="16"/>
        </w:rPr>
        <w:softHyphen/>
        <w:t>требители прикрытия от 168-го шал начали последовательно уходить от прикрываемых групп штурмовиков в район ожидания (лесной массив запад</w:t>
      </w:r>
      <w:r w:rsidRPr="00D03F3E">
        <w:rPr>
          <w:rFonts w:ascii="Times New Roman" w:hAnsi="Times New Roman"/>
          <w:color w:val="000000" w:themeColor="text1"/>
          <w:sz w:val="16"/>
          <w:szCs w:val="16"/>
        </w:rPr>
        <w:softHyphen/>
        <w:t xml:space="preserve">нее ст. Батогово): </w:t>
      </w:r>
      <w:r w:rsidRPr="00D03F3E">
        <w:rPr>
          <w:rFonts w:ascii="Times New Roman" w:hAnsi="Times New Roman"/>
          <w:iCs/>
          <w:color w:val="000000" w:themeColor="text1"/>
          <w:sz w:val="16"/>
          <w:szCs w:val="16"/>
        </w:rPr>
        <w:t xml:space="preserve">"непосредственное сопровождение отвалило влево и с набором высоты ушло вверх, оставив, штурмовиков без всякого прикрытия". </w:t>
      </w:r>
      <w:r w:rsidRPr="00D03F3E">
        <w:rPr>
          <w:rFonts w:ascii="Times New Roman" w:hAnsi="Times New Roman"/>
          <w:color w:val="000000" w:themeColor="text1"/>
          <w:sz w:val="16"/>
          <w:szCs w:val="16"/>
        </w:rPr>
        <w:t>Штурмовики стали сокращать дистан</w:t>
      </w:r>
      <w:r w:rsidRPr="00D03F3E">
        <w:rPr>
          <w:rFonts w:ascii="Times New Roman" w:hAnsi="Times New Roman"/>
          <w:color w:val="000000" w:themeColor="text1"/>
          <w:sz w:val="16"/>
          <w:szCs w:val="16"/>
        </w:rPr>
        <w:softHyphen/>
        <w:t>ции между группами.</w:t>
      </w:r>
    </w:p>
    <w:p w14:paraId="7843F5F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Первыми без прикрытия остались экипажи группы ст. лейтенанта Рябо</w:t>
      </w:r>
      <w:r w:rsidRPr="00D03F3E">
        <w:rPr>
          <w:rFonts w:ascii="Times New Roman" w:hAnsi="Times New Roman"/>
          <w:color w:val="000000" w:themeColor="text1"/>
          <w:sz w:val="16"/>
          <w:szCs w:val="16"/>
        </w:rPr>
        <w:softHyphen/>
        <w:t>ва, которые замыкали общую колон</w:t>
      </w:r>
      <w:r w:rsidRPr="00D03F3E">
        <w:rPr>
          <w:rFonts w:ascii="Times New Roman" w:hAnsi="Times New Roman"/>
          <w:color w:val="000000" w:themeColor="text1"/>
          <w:sz w:val="16"/>
          <w:szCs w:val="16"/>
        </w:rPr>
        <w:softHyphen/>
        <w:t>ну. Экипажи этой группы начали наго</w:t>
      </w:r>
      <w:r w:rsidRPr="00D03F3E">
        <w:rPr>
          <w:rFonts w:ascii="Times New Roman" w:hAnsi="Times New Roman"/>
          <w:color w:val="000000" w:themeColor="text1"/>
          <w:sz w:val="16"/>
          <w:szCs w:val="16"/>
        </w:rPr>
        <w:softHyphen/>
        <w:t>нять группу ст. лейтенанта Мачнева, которую еще некоторое время прикры</w:t>
      </w:r>
      <w:r w:rsidRPr="00D03F3E">
        <w:rPr>
          <w:rFonts w:ascii="Times New Roman" w:hAnsi="Times New Roman"/>
          <w:color w:val="000000" w:themeColor="text1"/>
          <w:sz w:val="16"/>
          <w:szCs w:val="16"/>
        </w:rPr>
        <w:softHyphen/>
        <w:t>вали 8 Як-76 группы командира эскад</w:t>
      </w:r>
      <w:r w:rsidRPr="00D03F3E">
        <w:rPr>
          <w:rFonts w:ascii="Times New Roman" w:hAnsi="Times New Roman"/>
          <w:color w:val="000000" w:themeColor="text1"/>
          <w:sz w:val="16"/>
          <w:szCs w:val="16"/>
        </w:rPr>
        <w:softHyphen/>
        <w:t xml:space="preserve">рильи 168-го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капитана Бородича.</w:t>
      </w:r>
    </w:p>
    <w:p w14:paraId="624111C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Командир 168-го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п-п-к Пильщи</w:t>
      </w:r>
      <w:r w:rsidRPr="00D03F3E">
        <w:rPr>
          <w:rFonts w:ascii="Times New Roman" w:hAnsi="Times New Roman"/>
          <w:color w:val="000000" w:themeColor="text1"/>
          <w:sz w:val="16"/>
          <w:szCs w:val="16"/>
        </w:rPr>
        <w:softHyphen/>
        <w:t>ков, вылетавший на боевое задание в качестве рядового летчика в составе группы капитана Бородича, сделал попытку вернуть к штурмовикам истре</w:t>
      </w:r>
      <w:r w:rsidRPr="00D03F3E">
        <w:rPr>
          <w:rFonts w:ascii="Times New Roman" w:hAnsi="Times New Roman"/>
          <w:color w:val="000000" w:themeColor="text1"/>
          <w:sz w:val="16"/>
          <w:szCs w:val="16"/>
        </w:rPr>
        <w:softHyphen/>
        <w:t>бители группы вышедшего из боя ст. лейтенанта Яковлева, но она успехом не увенчалась. Пильщиков дал по ра</w:t>
      </w:r>
      <w:r w:rsidRPr="00D03F3E">
        <w:rPr>
          <w:rFonts w:ascii="Times New Roman" w:hAnsi="Times New Roman"/>
          <w:color w:val="000000" w:themeColor="text1"/>
          <w:sz w:val="16"/>
          <w:szCs w:val="16"/>
        </w:rPr>
        <w:softHyphen/>
        <w:t xml:space="preserve">дио приказание: </w:t>
      </w:r>
      <w:r w:rsidRPr="00D03F3E">
        <w:rPr>
          <w:rFonts w:ascii="Times New Roman" w:hAnsi="Times New Roman"/>
          <w:iCs/>
          <w:color w:val="000000" w:themeColor="text1"/>
          <w:sz w:val="16"/>
          <w:szCs w:val="16"/>
        </w:rPr>
        <w:t>"Истребителям вер</w:t>
      </w:r>
      <w:r w:rsidRPr="00D03F3E">
        <w:rPr>
          <w:rFonts w:ascii="Times New Roman" w:hAnsi="Times New Roman"/>
          <w:iCs/>
          <w:color w:val="000000" w:themeColor="text1"/>
          <w:sz w:val="16"/>
          <w:szCs w:val="16"/>
        </w:rPr>
        <w:softHyphen/>
        <w:t xml:space="preserve">нуться к штурмовикам", </w:t>
      </w:r>
      <w:r w:rsidRPr="00D03F3E">
        <w:rPr>
          <w:rFonts w:ascii="Times New Roman" w:hAnsi="Times New Roman"/>
          <w:color w:val="000000" w:themeColor="text1"/>
          <w:sz w:val="16"/>
          <w:szCs w:val="16"/>
        </w:rPr>
        <w:t>но никто этого приказа не выполнил. Тогда Пильщи</w:t>
      </w:r>
      <w:r w:rsidRPr="00D03F3E">
        <w:rPr>
          <w:rFonts w:ascii="Times New Roman" w:hAnsi="Times New Roman"/>
          <w:color w:val="000000" w:themeColor="text1"/>
          <w:sz w:val="16"/>
          <w:szCs w:val="16"/>
        </w:rPr>
        <w:softHyphen/>
        <w:t>ков сам стал снижаться за штурмови</w:t>
      </w:r>
      <w:r w:rsidRPr="00D03F3E">
        <w:rPr>
          <w:rFonts w:ascii="Times New Roman" w:hAnsi="Times New Roman"/>
          <w:color w:val="000000" w:themeColor="text1"/>
          <w:sz w:val="16"/>
          <w:szCs w:val="16"/>
        </w:rPr>
        <w:softHyphen/>
        <w:t>ками, считая, что своим примером он заставит своих подчиненных выполнить его приказ, но этому примеру никто не последовал. Более того, при выпол</w:t>
      </w:r>
      <w:r w:rsidRPr="00D03F3E">
        <w:rPr>
          <w:rFonts w:ascii="Times New Roman" w:hAnsi="Times New Roman"/>
          <w:color w:val="000000" w:themeColor="text1"/>
          <w:sz w:val="16"/>
          <w:szCs w:val="16"/>
        </w:rPr>
        <w:softHyphen/>
        <w:t>нении всех этих маневров Пильщиков сам остался без своего ведомого штур</w:t>
      </w:r>
      <w:r w:rsidRPr="00D03F3E">
        <w:rPr>
          <w:rFonts w:ascii="Times New Roman" w:hAnsi="Times New Roman"/>
          <w:color w:val="000000" w:themeColor="text1"/>
          <w:sz w:val="16"/>
          <w:szCs w:val="16"/>
        </w:rPr>
        <w:softHyphen/>
        <w:t>мана полка капитана Титарева, кото</w:t>
      </w:r>
      <w:r w:rsidRPr="00D03F3E">
        <w:rPr>
          <w:rFonts w:ascii="Times New Roman" w:hAnsi="Times New Roman"/>
          <w:color w:val="000000" w:themeColor="text1"/>
          <w:sz w:val="16"/>
          <w:szCs w:val="16"/>
        </w:rPr>
        <w:softHyphen/>
        <w:t>рый остался в боевом строю группы.</w:t>
      </w:r>
    </w:p>
    <w:p w14:paraId="7553C68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Оставшись один, п-п-к Пильщиков на высоте 1600 м был атакован 3 ФВ190, которые неожиданно выскочи</w:t>
      </w:r>
      <w:r w:rsidRPr="00D03F3E">
        <w:rPr>
          <w:rFonts w:ascii="Times New Roman" w:hAnsi="Times New Roman"/>
          <w:color w:val="000000" w:themeColor="text1"/>
          <w:sz w:val="16"/>
          <w:szCs w:val="16"/>
        </w:rPr>
        <w:softHyphen/>
        <w:t>ли из облаков. Пильщиков резким раз</w:t>
      </w:r>
      <w:r w:rsidRPr="00D03F3E">
        <w:rPr>
          <w:rFonts w:ascii="Times New Roman" w:hAnsi="Times New Roman"/>
          <w:color w:val="000000" w:themeColor="text1"/>
          <w:sz w:val="16"/>
          <w:szCs w:val="16"/>
        </w:rPr>
        <w:softHyphen/>
        <w:t xml:space="preserve">воротом влево </w:t>
      </w:r>
      <w:r w:rsidRPr="00D03F3E">
        <w:rPr>
          <w:rFonts w:ascii="Times New Roman" w:hAnsi="Times New Roman"/>
          <w:iCs/>
          <w:color w:val="000000" w:themeColor="text1"/>
          <w:sz w:val="16"/>
          <w:szCs w:val="16"/>
        </w:rPr>
        <w:t>"вышел из зоны обстре-</w:t>
      </w:r>
    </w:p>
    <w:p w14:paraId="29F4DF1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ла". </w:t>
      </w:r>
      <w:r w:rsidRPr="00D03F3E">
        <w:rPr>
          <w:rFonts w:ascii="Times New Roman" w:hAnsi="Times New Roman"/>
          <w:color w:val="000000" w:themeColor="text1"/>
          <w:sz w:val="16"/>
          <w:szCs w:val="16"/>
        </w:rPr>
        <w:t>Истребители противника проско</w:t>
      </w:r>
      <w:r w:rsidRPr="00D03F3E">
        <w:rPr>
          <w:rFonts w:ascii="Times New Roman" w:hAnsi="Times New Roman"/>
          <w:color w:val="000000" w:themeColor="text1"/>
          <w:sz w:val="16"/>
          <w:szCs w:val="16"/>
        </w:rPr>
        <w:softHyphen/>
        <w:t>чили мимо него и ушли. Пильщиков взял курс в район ожидания ст. Батогово и вошел в облачность. Выскочив из нее, он увидел воздушный бой двух Як-76 с парой ФВ190 на высоте 1500 м, а так</w:t>
      </w:r>
      <w:r w:rsidRPr="00D03F3E">
        <w:rPr>
          <w:rFonts w:ascii="Times New Roman" w:hAnsi="Times New Roman"/>
          <w:color w:val="000000" w:themeColor="text1"/>
          <w:sz w:val="16"/>
          <w:szCs w:val="16"/>
        </w:rPr>
        <w:softHyphen/>
        <w:t>же один горящий ФВ190, который шел со снижением. Имея превышение в высоте 200 м, Пильщиков, выполнив левый переворот, с пикирования ата</w:t>
      </w:r>
      <w:r w:rsidRPr="00D03F3E">
        <w:rPr>
          <w:rFonts w:ascii="Times New Roman" w:hAnsi="Times New Roman"/>
          <w:color w:val="000000" w:themeColor="text1"/>
          <w:sz w:val="16"/>
          <w:szCs w:val="16"/>
        </w:rPr>
        <w:softHyphen/>
        <w:t>ковал ФВ190, который "повис" на хво</w:t>
      </w:r>
      <w:r w:rsidRPr="00D03F3E">
        <w:rPr>
          <w:rFonts w:ascii="Times New Roman" w:hAnsi="Times New Roman"/>
          <w:color w:val="000000" w:themeColor="text1"/>
          <w:sz w:val="16"/>
          <w:szCs w:val="16"/>
        </w:rPr>
        <w:softHyphen/>
        <w:t>сте нашего "Яка". Попав под обстрел, "фоккер" вышел из атаки, а "Як" ушел в облачность. Пильщиков продолжал атаковать самолеты противника, кото</w:t>
      </w:r>
      <w:r w:rsidRPr="00D03F3E">
        <w:rPr>
          <w:rFonts w:ascii="Times New Roman" w:hAnsi="Times New Roman"/>
          <w:color w:val="000000" w:themeColor="text1"/>
          <w:sz w:val="16"/>
          <w:szCs w:val="16"/>
        </w:rPr>
        <w:softHyphen/>
        <w:t>рые встали в правый вираж. Ему уда</w:t>
      </w:r>
      <w:r w:rsidRPr="00D03F3E">
        <w:rPr>
          <w:rFonts w:ascii="Times New Roman" w:hAnsi="Times New Roman"/>
          <w:color w:val="000000" w:themeColor="text1"/>
          <w:sz w:val="16"/>
          <w:szCs w:val="16"/>
        </w:rPr>
        <w:softHyphen/>
        <w:t>лось зайти одному из них в хвост на дистанцию открытия огня, но в этот момент второй ФВ190, выполнив с ви</w:t>
      </w:r>
      <w:r w:rsidRPr="00D03F3E">
        <w:rPr>
          <w:rFonts w:ascii="Times New Roman" w:hAnsi="Times New Roman"/>
          <w:color w:val="000000" w:themeColor="text1"/>
          <w:sz w:val="16"/>
          <w:szCs w:val="16"/>
        </w:rPr>
        <w:softHyphen/>
        <w:t>ража переворот и оказавшись ниже и сзади Пильщикова, обстрелял его са</w:t>
      </w:r>
      <w:r w:rsidRPr="00D03F3E">
        <w:rPr>
          <w:rFonts w:ascii="Times New Roman" w:hAnsi="Times New Roman"/>
          <w:color w:val="000000" w:themeColor="text1"/>
          <w:sz w:val="16"/>
          <w:szCs w:val="16"/>
        </w:rPr>
        <w:softHyphen/>
        <w:t>молет с кабрирования. Уклонясь от пу</w:t>
      </w:r>
      <w:r w:rsidRPr="00D03F3E">
        <w:rPr>
          <w:rFonts w:ascii="Times New Roman" w:hAnsi="Times New Roman"/>
          <w:color w:val="000000" w:themeColor="text1"/>
          <w:sz w:val="16"/>
          <w:szCs w:val="16"/>
        </w:rPr>
        <w:softHyphen/>
        <w:t>леметно-пушечнои очереди, Пильщиков ушел в облачность. Выйдя из нее, он увидел, как пара "фокке-вульфов" ата</w:t>
      </w:r>
      <w:r w:rsidRPr="00D03F3E">
        <w:rPr>
          <w:rFonts w:ascii="Times New Roman" w:hAnsi="Times New Roman"/>
          <w:color w:val="000000" w:themeColor="text1"/>
          <w:sz w:val="16"/>
          <w:szCs w:val="16"/>
        </w:rPr>
        <w:softHyphen/>
        <w:t>кует одиночный "Як". Пильщиков имел высоту 2000 м и находился выше про</w:t>
      </w:r>
      <w:r w:rsidRPr="00D03F3E">
        <w:rPr>
          <w:rFonts w:ascii="Times New Roman" w:hAnsi="Times New Roman"/>
          <w:color w:val="000000" w:themeColor="text1"/>
          <w:sz w:val="16"/>
          <w:szCs w:val="16"/>
        </w:rPr>
        <w:softHyphen/>
        <w:t>тивника на 200 м и сзади. Идеальная позиция для атаки. Спикировав на бли</w:t>
      </w:r>
      <w:r w:rsidRPr="00D03F3E">
        <w:rPr>
          <w:rFonts w:ascii="Times New Roman" w:hAnsi="Times New Roman"/>
          <w:color w:val="000000" w:themeColor="text1"/>
          <w:sz w:val="16"/>
          <w:szCs w:val="16"/>
        </w:rPr>
        <w:softHyphen/>
        <w:t>жайший к нему ФВ190, Пильщиков с дистанции 50-60 м одной очередью сбил его и затем атаковал ведущего ФВ190, который вел огонь по манев</w:t>
      </w:r>
      <w:r w:rsidRPr="00D03F3E">
        <w:rPr>
          <w:rFonts w:ascii="Times New Roman" w:hAnsi="Times New Roman"/>
          <w:color w:val="000000" w:themeColor="text1"/>
          <w:sz w:val="16"/>
          <w:szCs w:val="16"/>
        </w:rPr>
        <w:softHyphen/>
        <w:t>рирующему "Яку". Попав под удар, "фокке-вульф" прекратил атаку и по</w:t>
      </w:r>
      <w:r w:rsidRPr="00D03F3E">
        <w:rPr>
          <w:rFonts w:ascii="Times New Roman" w:hAnsi="Times New Roman"/>
          <w:color w:val="000000" w:themeColor="text1"/>
          <w:sz w:val="16"/>
          <w:szCs w:val="16"/>
        </w:rPr>
        <w:softHyphen/>
        <w:t>пытался уйти из-под огня, но после шестой очереди загорелся и упал. Ата</w:t>
      </w:r>
      <w:r w:rsidRPr="00D03F3E">
        <w:rPr>
          <w:rFonts w:ascii="Times New Roman" w:hAnsi="Times New Roman"/>
          <w:color w:val="000000" w:themeColor="text1"/>
          <w:sz w:val="16"/>
          <w:szCs w:val="16"/>
        </w:rPr>
        <w:softHyphen/>
        <w:t>кованный противником "Як" был под</w:t>
      </w:r>
      <w:r w:rsidRPr="00D03F3E">
        <w:rPr>
          <w:rFonts w:ascii="Times New Roman" w:hAnsi="Times New Roman"/>
          <w:color w:val="000000" w:themeColor="text1"/>
          <w:sz w:val="16"/>
          <w:szCs w:val="16"/>
        </w:rPr>
        <w:softHyphen/>
        <w:t>бит и со снижением ушел в северном направлении. На фоне леса Пильщи</w:t>
      </w:r>
      <w:r w:rsidRPr="00D03F3E">
        <w:rPr>
          <w:rFonts w:ascii="Times New Roman" w:hAnsi="Times New Roman"/>
          <w:color w:val="000000" w:themeColor="text1"/>
          <w:sz w:val="16"/>
          <w:szCs w:val="16"/>
        </w:rPr>
        <w:softHyphen/>
        <w:t>ков потерял его из виду. Не обнару</w:t>
      </w:r>
      <w:r w:rsidRPr="00D03F3E">
        <w:rPr>
          <w:rFonts w:ascii="Times New Roman" w:hAnsi="Times New Roman"/>
          <w:color w:val="000000" w:themeColor="text1"/>
          <w:sz w:val="16"/>
          <w:szCs w:val="16"/>
        </w:rPr>
        <w:softHyphen/>
        <w:t>жив своих самолетов в районе боя, Пильщиков взял курс на свой аэро</w:t>
      </w:r>
      <w:r w:rsidRPr="00D03F3E">
        <w:rPr>
          <w:rFonts w:ascii="Times New Roman" w:hAnsi="Times New Roman"/>
          <w:color w:val="000000" w:themeColor="text1"/>
          <w:sz w:val="16"/>
          <w:szCs w:val="16"/>
        </w:rPr>
        <w:softHyphen/>
        <w:t>дром.</w:t>
      </w:r>
    </w:p>
    <w:p w14:paraId="321F8DD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подходе к ст. Сельцо штурмови</w:t>
      </w:r>
      <w:r w:rsidRPr="00D03F3E">
        <w:rPr>
          <w:rFonts w:ascii="Times New Roman" w:hAnsi="Times New Roman"/>
          <w:color w:val="000000" w:themeColor="text1"/>
          <w:sz w:val="16"/>
          <w:szCs w:val="16"/>
        </w:rPr>
        <w:softHyphen/>
        <w:t>ки были атакованы 7 ФВ190. Под удар попала группа ст. лейтенанта Ермоли</w:t>
      </w:r>
      <w:r w:rsidRPr="00D03F3E">
        <w:rPr>
          <w:rFonts w:ascii="Times New Roman" w:hAnsi="Times New Roman"/>
          <w:color w:val="000000" w:themeColor="text1"/>
          <w:sz w:val="16"/>
          <w:szCs w:val="16"/>
        </w:rPr>
        <w:softHyphen/>
        <w:t>на от 566-го шал, которая шла вто</w:t>
      </w:r>
      <w:r w:rsidRPr="00D03F3E">
        <w:rPr>
          <w:rFonts w:ascii="Times New Roman" w:hAnsi="Times New Roman"/>
          <w:color w:val="000000" w:themeColor="text1"/>
          <w:sz w:val="16"/>
          <w:szCs w:val="16"/>
        </w:rPr>
        <w:softHyphen/>
        <w:t xml:space="preserve">рой от головы колонны. Две пары "фок-керов" связали боем ударную группу 168-го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(3 Як-76), а три ру/190 пы</w:t>
      </w:r>
      <w:r w:rsidRPr="00D03F3E">
        <w:rPr>
          <w:rFonts w:ascii="Times New Roman" w:hAnsi="Times New Roman"/>
          <w:color w:val="000000" w:themeColor="text1"/>
          <w:sz w:val="16"/>
          <w:szCs w:val="16"/>
        </w:rPr>
        <w:softHyphen/>
        <w:t>тались атаковать группу Мачнева, но были отсечены парой из группы непос</w:t>
      </w:r>
      <w:r w:rsidRPr="00D03F3E">
        <w:rPr>
          <w:rFonts w:ascii="Times New Roman" w:hAnsi="Times New Roman"/>
          <w:color w:val="000000" w:themeColor="text1"/>
          <w:sz w:val="16"/>
          <w:szCs w:val="16"/>
        </w:rPr>
        <w:softHyphen/>
        <w:t>редственного сопровождения.</w:t>
      </w:r>
    </w:p>
    <w:p w14:paraId="7F9116B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Атаку трех "фокке-вульфов" отражал л-т А. Петров в паре с мл. лейтенан</w:t>
      </w:r>
      <w:r w:rsidRPr="00D03F3E">
        <w:rPr>
          <w:rFonts w:ascii="Times New Roman" w:hAnsi="Times New Roman"/>
          <w:color w:val="000000" w:themeColor="text1"/>
          <w:sz w:val="16"/>
          <w:szCs w:val="16"/>
        </w:rPr>
        <w:softHyphen/>
        <w:t>том Кочновым. В завязавшемся на вы</w:t>
      </w:r>
      <w:r w:rsidRPr="00D03F3E">
        <w:rPr>
          <w:rFonts w:ascii="Times New Roman" w:hAnsi="Times New Roman"/>
          <w:color w:val="000000" w:themeColor="text1"/>
          <w:sz w:val="16"/>
          <w:szCs w:val="16"/>
        </w:rPr>
        <w:softHyphen/>
        <w:t>соте 1600-1800 м воздушном бою двум пилотам люфтваффе удалось затянуть наших летчиков на виражи, в то время как третий "фоккер" незаметно "подо</w:t>
      </w:r>
      <w:r w:rsidRPr="00D03F3E">
        <w:rPr>
          <w:rFonts w:ascii="Times New Roman" w:hAnsi="Times New Roman"/>
          <w:color w:val="000000" w:themeColor="text1"/>
          <w:sz w:val="16"/>
          <w:szCs w:val="16"/>
        </w:rPr>
        <w:softHyphen/>
        <w:t>брался" к Кочнову на дистанцию стрельбы и сбил его. Однако его са</w:t>
      </w:r>
      <w:r w:rsidRPr="00D03F3E">
        <w:rPr>
          <w:rFonts w:ascii="Times New Roman" w:hAnsi="Times New Roman"/>
          <w:color w:val="000000" w:themeColor="text1"/>
          <w:sz w:val="16"/>
          <w:szCs w:val="16"/>
        </w:rPr>
        <w:softHyphen/>
        <w:t>мого атаковал А. Петров, очередь ко</w:t>
      </w:r>
      <w:r w:rsidRPr="00D03F3E">
        <w:rPr>
          <w:rFonts w:ascii="Times New Roman" w:hAnsi="Times New Roman"/>
          <w:color w:val="000000" w:themeColor="text1"/>
          <w:sz w:val="16"/>
          <w:szCs w:val="16"/>
        </w:rPr>
        <w:softHyphen/>
        <w:t>торого была точной - ру/190 перешел в беспорядочное падение и врезался в землю. Оставшись один, л-т А. Пет</w:t>
      </w:r>
      <w:r w:rsidRPr="00D03F3E">
        <w:rPr>
          <w:rFonts w:ascii="Times New Roman" w:hAnsi="Times New Roman"/>
          <w:color w:val="000000" w:themeColor="text1"/>
          <w:sz w:val="16"/>
          <w:szCs w:val="16"/>
        </w:rPr>
        <w:softHyphen/>
        <w:t>ров посчитал за благо уйти в облач</w:t>
      </w:r>
      <w:r w:rsidRPr="00D03F3E">
        <w:rPr>
          <w:rFonts w:ascii="Times New Roman" w:hAnsi="Times New Roman"/>
          <w:color w:val="000000" w:themeColor="text1"/>
          <w:sz w:val="16"/>
          <w:szCs w:val="16"/>
        </w:rPr>
        <w:softHyphen/>
        <w:t>ность. Выйдя из облачности и не найдя свои самолеты, он взял курс на свою территорию.</w:t>
      </w:r>
    </w:p>
    <w:p w14:paraId="7C2171B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капитана Серегина прове</w:t>
      </w:r>
      <w:r w:rsidRPr="00D03F3E">
        <w:rPr>
          <w:rFonts w:ascii="Times New Roman" w:hAnsi="Times New Roman"/>
          <w:color w:val="000000" w:themeColor="text1"/>
          <w:sz w:val="16"/>
          <w:szCs w:val="16"/>
        </w:rPr>
        <w:softHyphen/>
        <w:t>ла безрезультатный бой, но от штур</w:t>
      </w:r>
      <w:r w:rsidRPr="00D03F3E">
        <w:rPr>
          <w:rFonts w:ascii="Times New Roman" w:hAnsi="Times New Roman"/>
          <w:color w:val="000000" w:themeColor="text1"/>
          <w:sz w:val="16"/>
          <w:szCs w:val="16"/>
        </w:rPr>
        <w:softHyphen/>
        <w:t>мовиков благополучно оторвалась, потеряла их из виду и затем взяла курс на свою территорию.</w:t>
      </w:r>
    </w:p>
    <w:p w14:paraId="2A14C12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временем истребители противника атаковали группу ст. л-та Рябо</w:t>
      </w:r>
      <w:r w:rsidRPr="00D03F3E">
        <w:rPr>
          <w:rFonts w:ascii="Times New Roman" w:hAnsi="Times New Roman"/>
          <w:color w:val="000000" w:themeColor="text1"/>
          <w:sz w:val="16"/>
          <w:szCs w:val="16"/>
        </w:rPr>
        <w:softHyphen/>
        <w:t>ва, которая шла без прикрытия. В ре</w:t>
      </w:r>
      <w:r w:rsidRPr="00D03F3E">
        <w:rPr>
          <w:rFonts w:ascii="Times New Roman" w:hAnsi="Times New Roman"/>
          <w:color w:val="000000" w:themeColor="text1"/>
          <w:sz w:val="16"/>
          <w:szCs w:val="16"/>
        </w:rPr>
        <w:softHyphen/>
        <w:t xml:space="preserve">зультате </w:t>
      </w:r>
      <w:r w:rsidRPr="00D03F3E">
        <w:rPr>
          <w:rFonts w:ascii="Times New Roman" w:hAnsi="Times New Roman"/>
          <w:iCs/>
          <w:color w:val="000000" w:themeColor="text1"/>
          <w:sz w:val="16"/>
          <w:szCs w:val="16"/>
        </w:rPr>
        <w:t>"2 Ил-2 из этой группы были потеряны, не доходя до цели".</w:t>
      </w:r>
    </w:p>
    <w:p w14:paraId="794344F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моменту выхода штурмовиков в район р. Десна западнее Орджони-кидзеград (Бежица) штурмовиков при</w:t>
      </w:r>
      <w:r w:rsidRPr="00D03F3E">
        <w:rPr>
          <w:rFonts w:ascii="Times New Roman" w:hAnsi="Times New Roman"/>
          <w:color w:val="000000" w:themeColor="text1"/>
          <w:sz w:val="16"/>
          <w:szCs w:val="16"/>
        </w:rPr>
        <w:softHyphen/>
        <w:t xml:space="preserve">крывали только 4 Як-76 от 18-го </w:t>
      </w:r>
      <w:r w:rsidRPr="00D03F3E">
        <w:rPr>
          <w:rFonts w:ascii="Times New Roman" w:hAnsi="Times New Roman"/>
          <w:iCs/>
          <w:color w:val="000000" w:themeColor="text1"/>
          <w:sz w:val="16"/>
          <w:szCs w:val="16"/>
        </w:rPr>
        <w:t xml:space="preserve">гиап </w:t>
      </w:r>
      <w:r w:rsidRPr="00D03F3E">
        <w:rPr>
          <w:rFonts w:ascii="Times New Roman" w:hAnsi="Times New Roman"/>
          <w:color w:val="000000" w:themeColor="text1"/>
          <w:sz w:val="16"/>
          <w:szCs w:val="16"/>
        </w:rPr>
        <w:t>во главе с ведущим группы команди</w:t>
      </w:r>
      <w:r w:rsidRPr="00D03F3E">
        <w:rPr>
          <w:rFonts w:ascii="Times New Roman" w:hAnsi="Times New Roman"/>
          <w:color w:val="000000" w:themeColor="text1"/>
          <w:sz w:val="16"/>
          <w:szCs w:val="16"/>
        </w:rPr>
        <w:softHyphen/>
        <w:t>ром эскадрильи ст. лейтенантом Се</w:t>
      </w:r>
      <w:r w:rsidRPr="00D03F3E">
        <w:rPr>
          <w:rFonts w:ascii="Times New Roman" w:hAnsi="Times New Roman"/>
          <w:color w:val="000000" w:themeColor="text1"/>
          <w:sz w:val="16"/>
          <w:szCs w:val="16"/>
        </w:rPr>
        <w:softHyphen/>
        <w:t xml:space="preserve">меновым. Но и они вскоре </w:t>
      </w:r>
      <w:r w:rsidRPr="00D03F3E">
        <w:rPr>
          <w:rFonts w:ascii="Times New Roman" w:hAnsi="Times New Roman"/>
          <w:iCs/>
          <w:color w:val="000000" w:themeColor="text1"/>
          <w:sz w:val="16"/>
          <w:szCs w:val="16"/>
        </w:rPr>
        <w:t>"отвалили от штурмовиков ... и ушли на восток с набором высоты".</w:t>
      </w:r>
    </w:p>
    <w:p w14:paraId="24B8C5D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Оставшиеся без прикрытия две груп</w:t>
      </w:r>
      <w:r w:rsidRPr="00D03F3E">
        <w:rPr>
          <w:rFonts w:ascii="Times New Roman" w:hAnsi="Times New Roman"/>
          <w:color w:val="000000" w:themeColor="text1"/>
          <w:sz w:val="16"/>
          <w:szCs w:val="16"/>
        </w:rPr>
        <w:softHyphen/>
        <w:t xml:space="preserve">пы 571-го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подошли </w:t>
      </w:r>
      <w:r w:rsidRPr="00D03F3E">
        <w:rPr>
          <w:rFonts w:ascii="Times New Roman" w:hAnsi="Times New Roman"/>
          <w:iCs/>
          <w:color w:val="000000" w:themeColor="text1"/>
          <w:sz w:val="16"/>
          <w:szCs w:val="16"/>
        </w:rPr>
        <w:t>"к точке рас</w:t>
      </w:r>
      <w:r w:rsidRPr="00D03F3E">
        <w:rPr>
          <w:rFonts w:ascii="Times New Roman" w:hAnsi="Times New Roman"/>
          <w:iCs/>
          <w:color w:val="000000" w:themeColor="text1"/>
          <w:sz w:val="16"/>
          <w:szCs w:val="16"/>
        </w:rPr>
        <w:softHyphen/>
        <w:t xml:space="preserve">хождения Меркульево" </w:t>
      </w:r>
      <w:r w:rsidRPr="00D03F3E">
        <w:rPr>
          <w:rFonts w:ascii="Times New Roman" w:hAnsi="Times New Roman"/>
          <w:color w:val="000000" w:themeColor="text1"/>
          <w:sz w:val="16"/>
          <w:szCs w:val="16"/>
        </w:rPr>
        <w:t>вместе и, раз</w:t>
      </w:r>
      <w:r w:rsidRPr="00D03F3E">
        <w:rPr>
          <w:rFonts w:ascii="Times New Roman" w:hAnsi="Times New Roman"/>
          <w:color w:val="000000" w:themeColor="text1"/>
          <w:sz w:val="16"/>
          <w:szCs w:val="16"/>
        </w:rPr>
        <w:softHyphen/>
        <w:t>вернувшись влево на Елисевичи и за</w:t>
      </w:r>
      <w:r w:rsidRPr="00D03F3E">
        <w:rPr>
          <w:rFonts w:ascii="Times New Roman" w:hAnsi="Times New Roman"/>
          <w:color w:val="000000" w:themeColor="text1"/>
          <w:sz w:val="16"/>
          <w:szCs w:val="16"/>
        </w:rPr>
        <w:softHyphen/>
        <w:t>тем на Крыловка, вышли на аэродром общим строем правый клин 12 Ил-2. Группа Рябова нагнала шестерку Мач-нева уже на подходе к Меркульево, и на цель обе группы вышли общим стро</w:t>
      </w:r>
      <w:r w:rsidRPr="00D03F3E">
        <w:rPr>
          <w:rFonts w:ascii="Times New Roman" w:hAnsi="Times New Roman"/>
          <w:color w:val="000000" w:themeColor="text1"/>
          <w:sz w:val="16"/>
          <w:szCs w:val="16"/>
        </w:rPr>
        <w:softHyphen/>
        <w:t>ем правый пеленг 9 Ил-2. Первые две группы шли на высоте 100-150 м, а две замыкающие на высоте 450-500 м.</w:t>
      </w:r>
    </w:p>
    <w:p w14:paraId="5F8A9F5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20.20 экипажи первых групп уви</w:t>
      </w:r>
      <w:r w:rsidRPr="00D03F3E">
        <w:rPr>
          <w:rFonts w:ascii="Times New Roman" w:hAnsi="Times New Roman"/>
          <w:color w:val="000000" w:themeColor="text1"/>
          <w:sz w:val="16"/>
          <w:szCs w:val="16"/>
        </w:rPr>
        <w:softHyphen/>
        <w:t>дели аэродром и самолеты на нем. Зе</w:t>
      </w:r>
      <w:r w:rsidRPr="00D03F3E">
        <w:rPr>
          <w:rFonts w:ascii="Times New Roman" w:hAnsi="Times New Roman"/>
          <w:color w:val="000000" w:themeColor="text1"/>
          <w:sz w:val="16"/>
          <w:szCs w:val="16"/>
        </w:rPr>
        <w:softHyphen/>
        <w:t>нитная артиллерия открыла сильный заградительный огонь, причем наибо</w:t>
      </w:r>
      <w:r w:rsidRPr="00D03F3E">
        <w:rPr>
          <w:rFonts w:ascii="Times New Roman" w:hAnsi="Times New Roman"/>
          <w:color w:val="000000" w:themeColor="text1"/>
          <w:sz w:val="16"/>
          <w:szCs w:val="16"/>
        </w:rPr>
        <w:softHyphen/>
        <w:t>лее интенсивному обстрелу подверг</w:t>
      </w:r>
      <w:r w:rsidRPr="00D03F3E">
        <w:rPr>
          <w:rFonts w:ascii="Times New Roman" w:hAnsi="Times New Roman"/>
          <w:color w:val="000000" w:themeColor="text1"/>
          <w:sz w:val="16"/>
          <w:szCs w:val="16"/>
        </w:rPr>
        <w:softHyphen/>
        <w:t xml:space="preserve">лись группы 566-го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Характерно, что МЗА не применяла трассирующих снарядов, что затруднило их обнару</w:t>
      </w:r>
      <w:r w:rsidRPr="00D03F3E">
        <w:rPr>
          <w:rFonts w:ascii="Times New Roman" w:hAnsi="Times New Roman"/>
          <w:color w:val="000000" w:themeColor="text1"/>
          <w:sz w:val="16"/>
          <w:szCs w:val="16"/>
        </w:rPr>
        <w:softHyphen/>
        <w:t>жение экипажами. Атаки выполнялись с планирования.</w:t>
      </w:r>
    </w:p>
    <w:p w14:paraId="640FF5C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наблюдению экипажей на север</w:t>
      </w:r>
      <w:r w:rsidRPr="00D03F3E">
        <w:rPr>
          <w:rFonts w:ascii="Times New Roman" w:hAnsi="Times New Roman"/>
          <w:color w:val="000000" w:themeColor="text1"/>
          <w:sz w:val="16"/>
          <w:szCs w:val="16"/>
        </w:rPr>
        <w:softHyphen/>
        <w:t xml:space="preserve">ной окраине аэродрома </w:t>
      </w:r>
      <w:r w:rsidRPr="00D03F3E">
        <w:rPr>
          <w:rFonts w:ascii="Times New Roman" w:hAnsi="Times New Roman"/>
          <w:iCs/>
          <w:color w:val="000000" w:themeColor="text1"/>
          <w:sz w:val="16"/>
          <w:szCs w:val="16"/>
        </w:rPr>
        <w:t>"в 5рядах сто</w:t>
      </w:r>
      <w:r w:rsidRPr="00D03F3E">
        <w:rPr>
          <w:rFonts w:ascii="Times New Roman" w:hAnsi="Times New Roman"/>
          <w:iCs/>
          <w:color w:val="000000" w:themeColor="text1"/>
          <w:sz w:val="16"/>
          <w:szCs w:val="16"/>
        </w:rPr>
        <w:softHyphen/>
        <w:t xml:space="preserve">яли двухмоторные самолеты до 40 шт.", </w:t>
      </w:r>
      <w:r w:rsidRPr="00D03F3E">
        <w:rPr>
          <w:rFonts w:ascii="Times New Roman" w:hAnsi="Times New Roman"/>
          <w:color w:val="000000" w:themeColor="text1"/>
          <w:sz w:val="16"/>
          <w:szCs w:val="16"/>
        </w:rPr>
        <w:t xml:space="preserve">которые </w:t>
      </w:r>
      <w:r w:rsidRPr="00D03F3E">
        <w:rPr>
          <w:rFonts w:ascii="Times New Roman" w:hAnsi="Times New Roman"/>
          <w:iCs/>
          <w:color w:val="000000" w:themeColor="text1"/>
          <w:sz w:val="16"/>
          <w:szCs w:val="16"/>
        </w:rPr>
        <w:t>"были подготовлены к выле</w:t>
      </w:r>
      <w:r w:rsidRPr="00D03F3E">
        <w:rPr>
          <w:rFonts w:ascii="Times New Roman" w:hAnsi="Times New Roman"/>
          <w:iCs/>
          <w:color w:val="000000" w:themeColor="text1"/>
          <w:sz w:val="16"/>
          <w:szCs w:val="16"/>
        </w:rPr>
        <w:softHyphen/>
        <w:t xml:space="preserve">ту". </w:t>
      </w:r>
      <w:r w:rsidRPr="00D03F3E">
        <w:rPr>
          <w:rFonts w:ascii="Times New Roman" w:hAnsi="Times New Roman"/>
          <w:color w:val="000000" w:themeColor="text1"/>
          <w:sz w:val="16"/>
          <w:szCs w:val="16"/>
        </w:rPr>
        <w:t>Около самолетов находился тех</w:t>
      </w:r>
      <w:r w:rsidRPr="00D03F3E">
        <w:rPr>
          <w:rFonts w:ascii="Times New Roman" w:hAnsi="Times New Roman"/>
          <w:color w:val="000000" w:themeColor="text1"/>
          <w:sz w:val="16"/>
          <w:szCs w:val="16"/>
        </w:rPr>
        <w:softHyphen/>
        <w:t>нический состав и заправочные сред</w:t>
      </w:r>
      <w:r w:rsidRPr="00D03F3E">
        <w:rPr>
          <w:rFonts w:ascii="Times New Roman" w:hAnsi="Times New Roman"/>
          <w:color w:val="000000" w:themeColor="text1"/>
          <w:sz w:val="16"/>
          <w:szCs w:val="16"/>
        </w:rPr>
        <w:softHyphen/>
        <w:t>ства. На восточной окраине аэродро</w:t>
      </w:r>
      <w:r w:rsidRPr="00D03F3E">
        <w:rPr>
          <w:rFonts w:ascii="Times New Roman" w:hAnsi="Times New Roman"/>
          <w:color w:val="000000" w:themeColor="text1"/>
          <w:sz w:val="16"/>
          <w:szCs w:val="16"/>
        </w:rPr>
        <w:softHyphen/>
        <w:t>ма у ангаров стояли отдельные рас</w:t>
      </w:r>
      <w:r w:rsidRPr="00D03F3E">
        <w:rPr>
          <w:rFonts w:ascii="Times New Roman" w:hAnsi="Times New Roman"/>
          <w:color w:val="000000" w:themeColor="text1"/>
          <w:sz w:val="16"/>
          <w:szCs w:val="16"/>
        </w:rPr>
        <w:softHyphen/>
        <w:t xml:space="preserve">средоточенные самолеты различного типа </w:t>
      </w:r>
      <w:r w:rsidRPr="00D03F3E">
        <w:rPr>
          <w:rFonts w:ascii="Times New Roman" w:hAnsi="Times New Roman"/>
          <w:iCs/>
          <w:color w:val="000000" w:themeColor="text1"/>
          <w:sz w:val="16"/>
          <w:szCs w:val="16"/>
        </w:rPr>
        <w:t xml:space="preserve">"с общим количеством около 20 шт.". </w:t>
      </w:r>
      <w:r w:rsidRPr="00D03F3E">
        <w:rPr>
          <w:rFonts w:ascii="Times New Roman" w:hAnsi="Times New Roman"/>
          <w:color w:val="000000" w:themeColor="text1"/>
          <w:sz w:val="16"/>
          <w:szCs w:val="16"/>
        </w:rPr>
        <w:t>На южной окраине находилось до 30 бензозаправщиков.</w:t>
      </w:r>
    </w:p>
    <w:p w14:paraId="53554C2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первую очередь с дальних дистан</w:t>
      </w:r>
      <w:r w:rsidRPr="00D03F3E">
        <w:rPr>
          <w:rFonts w:ascii="Times New Roman" w:hAnsi="Times New Roman"/>
          <w:color w:val="000000" w:themeColor="text1"/>
          <w:sz w:val="16"/>
          <w:szCs w:val="16"/>
        </w:rPr>
        <w:softHyphen/>
        <w:t>ций был открыт огонь из РС и пушек по огневым точкам зенитных автома</w:t>
      </w:r>
      <w:r w:rsidRPr="00D03F3E">
        <w:rPr>
          <w:rFonts w:ascii="Times New Roman" w:hAnsi="Times New Roman"/>
          <w:color w:val="000000" w:themeColor="text1"/>
          <w:sz w:val="16"/>
          <w:szCs w:val="16"/>
        </w:rPr>
        <w:softHyphen/>
        <w:t xml:space="preserve">тов. Непосредственно по самолетам, </w:t>
      </w:r>
      <w:r w:rsidRPr="00D03F3E">
        <w:rPr>
          <w:rFonts w:ascii="Times New Roman" w:hAnsi="Times New Roman"/>
          <w:iCs/>
          <w:color w:val="000000" w:themeColor="text1"/>
          <w:sz w:val="16"/>
          <w:szCs w:val="16"/>
        </w:rPr>
        <w:t>"стоявшим плотной группой на север</w:t>
      </w:r>
      <w:r w:rsidRPr="00D03F3E">
        <w:rPr>
          <w:rFonts w:ascii="Times New Roman" w:hAnsi="Times New Roman"/>
          <w:iCs/>
          <w:color w:val="000000" w:themeColor="text1"/>
          <w:sz w:val="16"/>
          <w:szCs w:val="16"/>
        </w:rPr>
        <w:softHyphen/>
        <w:t xml:space="preserve">ной и восточной окраине аэродрома, были открыты кассеты и сброшены осколочные бомбы". </w:t>
      </w:r>
      <w:r w:rsidRPr="00D03F3E">
        <w:rPr>
          <w:rFonts w:ascii="Times New Roman" w:hAnsi="Times New Roman"/>
          <w:color w:val="000000" w:themeColor="text1"/>
          <w:sz w:val="16"/>
          <w:szCs w:val="16"/>
        </w:rPr>
        <w:t>Каждый экипаж прицеливался самостоятельно. После сброса бомб цели обстреливались из пушек и пулеметов.</w:t>
      </w:r>
    </w:p>
    <w:p w14:paraId="0A56709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Экипажи отметили </w:t>
      </w:r>
      <w:r w:rsidRPr="00D03F3E">
        <w:rPr>
          <w:rFonts w:ascii="Times New Roman" w:hAnsi="Times New Roman"/>
          <w:iCs/>
          <w:color w:val="000000" w:themeColor="text1"/>
          <w:sz w:val="16"/>
          <w:szCs w:val="16"/>
        </w:rPr>
        <w:t>"в районе груп</w:t>
      </w:r>
      <w:r w:rsidRPr="00D03F3E">
        <w:rPr>
          <w:rFonts w:ascii="Times New Roman" w:hAnsi="Times New Roman"/>
          <w:iCs/>
          <w:color w:val="000000" w:themeColor="text1"/>
          <w:sz w:val="16"/>
          <w:szCs w:val="16"/>
        </w:rPr>
        <w:softHyphen/>
        <w:t>пы самолетов на северной окраине аэродрома 4 громадных взрыва с пла</w:t>
      </w:r>
      <w:r w:rsidRPr="00D03F3E">
        <w:rPr>
          <w:rFonts w:ascii="Times New Roman" w:hAnsi="Times New Roman"/>
          <w:iCs/>
          <w:color w:val="000000" w:themeColor="text1"/>
          <w:sz w:val="16"/>
          <w:szCs w:val="16"/>
        </w:rPr>
        <w:softHyphen/>
        <w:t>менем, выброшенным на высоту до 200 м, и на восточной окраине 2 громад</w:t>
      </w:r>
      <w:r w:rsidRPr="00D03F3E">
        <w:rPr>
          <w:rFonts w:ascii="Times New Roman" w:hAnsi="Times New Roman"/>
          <w:iCs/>
          <w:color w:val="000000" w:themeColor="text1"/>
          <w:sz w:val="16"/>
          <w:szCs w:val="16"/>
        </w:rPr>
        <w:softHyphen/>
        <w:t>ных пожара в группе самолетов".</w:t>
      </w:r>
    </w:p>
    <w:p w14:paraId="312A528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После атаки экипажи перешли на бреющий полет с выходом под </w:t>
      </w:r>
      <w:r w:rsidRPr="00D03F3E">
        <w:rPr>
          <w:rFonts w:ascii="Times New Roman" w:hAnsi="Times New Roman"/>
          <w:iCs/>
          <w:color w:val="000000" w:themeColor="text1"/>
          <w:sz w:val="16"/>
          <w:szCs w:val="16"/>
        </w:rPr>
        <w:t>"обры</w:t>
      </w:r>
      <w:r w:rsidRPr="00D03F3E">
        <w:rPr>
          <w:rFonts w:ascii="Times New Roman" w:hAnsi="Times New Roman"/>
          <w:iCs/>
          <w:color w:val="000000" w:themeColor="text1"/>
          <w:sz w:val="16"/>
          <w:szCs w:val="16"/>
        </w:rPr>
        <w:softHyphen/>
        <w:t>вистый берег р. Десна на северо-вос</w:t>
      </w:r>
      <w:r w:rsidRPr="00D03F3E">
        <w:rPr>
          <w:rFonts w:ascii="Times New Roman" w:hAnsi="Times New Roman"/>
          <w:iCs/>
          <w:color w:val="000000" w:themeColor="text1"/>
          <w:sz w:val="16"/>
          <w:szCs w:val="16"/>
        </w:rPr>
        <w:softHyphen/>
        <w:t>точной окраине аэродрома Брянск для укрытия от огня МЗА".</w:t>
      </w:r>
    </w:p>
    <w:p w14:paraId="3FADFB8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отходе от аэродрома после пе</w:t>
      </w:r>
      <w:r w:rsidRPr="00D03F3E">
        <w:rPr>
          <w:rFonts w:ascii="Times New Roman" w:hAnsi="Times New Roman"/>
          <w:color w:val="000000" w:themeColor="text1"/>
          <w:sz w:val="16"/>
          <w:szCs w:val="16"/>
        </w:rPr>
        <w:softHyphen/>
        <w:t>ресечения р. Десна в районе Сама-ра-Радица - поселок им. Урицкого штурмовики в 20.21 были атакованы 15 ФВ190. На высоте 50-100 м завя</w:t>
      </w:r>
      <w:r w:rsidRPr="00D03F3E">
        <w:rPr>
          <w:rFonts w:ascii="Times New Roman" w:hAnsi="Times New Roman"/>
          <w:color w:val="000000" w:themeColor="text1"/>
          <w:sz w:val="16"/>
          <w:szCs w:val="16"/>
        </w:rPr>
        <w:softHyphen/>
        <w:t>зался ожесточенный воздушный бой.</w:t>
      </w:r>
    </w:p>
    <w:p w14:paraId="10978A7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Позже в оперативных документах штаба 224-й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количество немец-</w:t>
      </w:r>
    </w:p>
    <w:p w14:paraId="20A7CC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ких истребителей будет увеличено до 30-40 самолетов ФВ190 и Ме109. На</w:t>
      </w:r>
      <w:r w:rsidRPr="00D03F3E">
        <w:rPr>
          <w:rFonts w:ascii="Times New Roman" w:hAnsi="Times New Roman"/>
          <w:color w:val="000000" w:themeColor="text1"/>
          <w:sz w:val="16"/>
          <w:szCs w:val="16"/>
        </w:rPr>
        <w:softHyphen/>
        <w:t>чальник штаба дивизии п-к Корякин в отчете о боевых действиях частей ди</w:t>
      </w:r>
      <w:r w:rsidRPr="00D03F3E">
        <w:rPr>
          <w:rFonts w:ascii="Times New Roman" w:hAnsi="Times New Roman"/>
          <w:color w:val="000000" w:themeColor="text1"/>
          <w:sz w:val="16"/>
          <w:szCs w:val="16"/>
        </w:rPr>
        <w:softHyphen/>
        <w:t xml:space="preserve">визии в июне 1943 г. особо отмечал, что </w:t>
      </w:r>
      <w:r w:rsidRPr="00D03F3E">
        <w:rPr>
          <w:rFonts w:ascii="Times New Roman" w:hAnsi="Times New Roman"/>
          <w:iCs/>
          <w:color w:val="000000" w:themeColor="text1"/>
          <w:sz w:val="16"/>
          <w:szCs w:val="16"/>
        </w:rPr>
        <w:t>"...в ходе боя противник наращи</w:t>
      </w:r>
      <w:r w:rsidRPr="00D03F3E">
        <w:rPr>
          <w:rFonts w:ascii="Times New Roman" w:hAnsi="Times New Roman"/>
          <w:iCs/>
          <w:color w:val="000000" w:themeColor="text1"/>
          <w:sz w:val="16"/>
          <w:szCs w:val="16"/>
        </w:rPr>
        <w:softHyphen/>
        <w:t>вал силы истребителей, видимо, под</w:t>
      </w:r>
      <w:r w:rsidRPr="00D03F3E">
        <w:rPr>
          <w:rFonts w:ascii="Times New Roman" w:hAnsi="Times New Roman"/>
          <w:iCs/>
          <w:color w:val="000000" w:themeColor="text1"/>
          <w:sz w:val="16"/>
          <w:szCs w:val="16"/>
        </w:rPr>
        <w:softHyphen/>
        <w:t>нимая их с других аэродромов ".</w:t>
      </w:r>
    </w:p>
    <w:p w14:paraId="606E585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немецкие летчики, участво</w:t>
      </w:r>
      <w:r w:rsidRPr="00D03F3E">
        <w:rPr>
          <w:rFonts w:ascii="Times New Roman" w:hAnsi="Times New Roman"/>
          <w:color w:val="000000" w:themeColor="text1"/>
          <w:sz w:val="16"/>
          <w:szCs w:val="16"/>
        </w:rPr>
        <w:softHyphen/>
        <w:t>вавшие в этом бое и попавшие впос</w:t>
      </w:r>
      <w:r w:rsidRPr="00D03F3E">
        <w:rPr>
          <w:rFonts w:ascii="Times New Roman" w:hAnsi="Times New Roman"/>
          <w:color w:val="000000" w:themeColor="text1"/>
          <w:sz w:val="16"/>
          <w:szCs w:val="16"/>
        </w:rPr>
        <w:softHyphen/>
        <w:t>ледствии в плен, на допросах показа</w:t>
      </w:r>
      <w:r w:rsidRPr="00D03F3E">
        <w:rPr>
          <w:rFonts w:ascii="Times New Roman" w:hAnsi="Times New Roman"/>
          <w:color w:val="000000" w:themeColor="text1"/>
          <w:sz w:val="16"/>
          <w:szCs w:val="16"/>
        </w:rPr>
        <w:softHyphen/>
        <w:t>ли, что с их стороны против штурмо</w:t>
      </w:r>
      <w:r w:rsidRPr="00D03F3E">
        <w:rPr>
          <w:rFonts w:ascii="Times New Roman" w:hAnsi="Times New Roman"/>
          <w:color w:val="000000" w:themeColor="text1"/>
          <w:sz w:val="16"/>
          <w:szCs w:val="16"/>
        </w:rPr>
        <w:softHyphen/>
        <w:t>виков действовало только 15 истреби</w:t>
      </w:r>
      <w:r w:rsidRPr="00D03F3E">
        <w:rPr>
          <w:rFonts w:ascii="Times New Roman" w:hAnsi="Times New Roman"/>
          <w:color w:val="000000" w:themeColor="text1"/>
          <w:sz w:val="16"/>
          <w:szCs w:val="16"/>
        </w:rPr>
        <w:softHyphen/>
        <w:t>телей.</w:t>
      </w:r>
    </w:p>
    <w:p w14:paraId="043F3E0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"Растянутость боевого строя и от</w:t>
      </w:r>
      <w:r w:rsidRPr="00D03F3E">
        <w:rPr>
          <w:rFonts w:ascii="Times New Roman" w:hAnsi="Times New Roman"/>
          <w:iCs/>
          <w:color w:val="000000" w:themeColor="text1"/>
          <w:sz w:val="16"/>
          <w:szCs w:val="16"/>
        </w:rPr>
        <w:softHyphen/>
        <w:t>рыв отдельных Ил-2 не дали возмож</w:t>
      </w:r>
      <w:r w:rsidRPr="00D03F3E">
        <w:rPr>
          <w:rFonts w:ascii="Times New Roman" w:hAnsi="Times New Roman"/>
          <w:iCs/>
          <w:color w:val="000000" w:themeColor="text1"/>
          <w:sz w:val="16"/>
          <w:szCs w:val="16"/>
        </w:rPr>
        <w:softHyphen/>
        <w:t>ности штурмовикам организовать бо</w:t>
      </w:r>
      <w:r w:rsidRPr="00D03F3E">
        <w:rPr>
          <w:rFonts w:ascii="Times New Roman" w:hAnsi="Times New Roman"/>
          <w:iCs/>
          <w:color w:val="000000" w:themeColor="text1"/>
          <w:sz w:val="16"/>
          <w:szCs w:val="16"/>
        </w:rPr>
        <w:softHyphen/>
        <w:t xml:space="preserve">евой маневр в строю". </w:t>
      </w:r>
      <w:r w:rsidRPr="00D03F3E">
        <w:rPr>
          <w:rFonts w:ascii="Times New Roman" w:hAnsi="Times New Roman"/>
          <w:color w:val="000000" w:themeColor="text1"/>
          <w:sz w:val="16"/>
          <w:szCs w:val="16"/>
        </w:rPr>
        <w:t>Пилотам люф</w:t>
      </w:r>
      <w:r w:rsidRPr="00D03F3E">
        <w:rPr>
          <w:rFonts w:ascii="Times New Roman" w:hAnsi="Times New Roman"/>
          <w:color w:val="000000" w:themeColor="text1"/>
          <w:sz w:val="16"/>
          <w:szCs w:val="16"/>
        </w:rPr>
        <w:softHyphen/>
        <w:t>тваффе удалось "разбить" штурмови</w:t>
      </w:r>
      <w:r w:rsidRPr="00D03F3E">
        <w:rPr>
          <w:rFonts w:ascii="Times New Roman" w:hAnsi="Times New Roman"/>
          <w:color w:val="000000" w:themeColor="text1"/>
          <w:sz w:val="16"/>
          <w:szCs w:val="16"/>
        </w:rPr>
        <w:softHyphen/>
        <w:t>ки на небольшие группы, огневое вза</w:t>
      </w:r>
      <w:r w:rsidRPr="00D03F3E">
        <w:rPr>
          <w:rFonts w:ascii="Times New Roman" w:hAnsi="Times New Roman"/>
          <w:color w:val="000000" w:themeColor="text1"/>
          <w:sz w:val="16"/>
          <w:szCs w:val="16"/>
        </w:rPr>
        <w:softHyphen/>
        <w:t>имодействие между экипажами нару</w:t>
      </w:r>
      <w:r w:rsidRPr="00D03F3E">
        <w:rPr>
          <w:rFonts w:ascii="Times New Roman" w:hAnsi="Times New Roman"/>
          <w:color w:val="000000" w:themeColor="text1"/>
          <w:sz w:val="16"/>
          <w:szCs w:val="16"/>
        </w:rPr>
        <w:softHyphen/>
        <w:t>шилось. Организовать оборону штур</w:t>
      </w:r>
      <w:r w:rsidRPr="00D03F3E">
        <w:rPr>
          <w:rFonts w:ascii="Times New Roman" w:hAnsi="Times New Roman"/>
          <w:color w:val="000000" w:themeColor="text1"/>
          <w:sz w:val="16"/>
          <w:szCs w:val="16"/>
        </w:rPr>
        <w:softHyphen/>
        <w:t xml:space="preserve">мовики не сумели. Экипажи уходили, </w:t>
      </w:r>
      <w:r w:rsidRPr="00D03F3E">
        <w:rPr>
          <w:rFonts w:ascii="Times New Roman" w:hAnsi="Times New Roman"/>
          <w:iCs/>
          <w:color w:val="000000" w:themeColor="text1"/>
          <w:sz w:val="16"/>
          <w:szCs w:val="16"/>
        </w:rPr>
        <w:t>"прижимаясь к земле до высоты 100 м,</w:t>
      </w:r>
    </w:p>
    <w:p w14:paraId="093B25C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был атакован парой "фокке-вульфов" и дальнейшее наблюдение за группой вести не мог.</w:t>
      </w:r>
    </w:p>
    <w:p w14:paraId="3D25F71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"При отсутствии наших истребите</w:t>
      </w:r>
      <w:r w:rsidRPr="00D03F3E">
        <w:rPr>
          <w:rFonts w:ascii="Times New Roman" w:hAnsi="Times New Roman"/>
          <w:iCs/>
          <w:color w:val="000000" w:themeColor="text1"/>
          <w:sz w:val="16"/>
          <w:szCs w:val="16"/>
        </w:rPr>
        <w:softHyphen/>
        <w:t>лей немцы вели себя дерзко, настой</w:t>
      </w:r>
      <w:r w:rsidRPr="00D03F3E">
        <w:rPr>
          <w:rFonts w:ascii="Times New Roman" w:hAnsi="Times New Roman"/>
          <w:iCs/>
          <w:color w:val="000000" w:themeColor="text1"/>
          <w:sz w:val="16"/>
          <w:szCs w:val="16"/>
        </w:rPr>
        <w:softHyphen/>
        <w:t xml:space="preserve">чиво атаковали штурмовиков" »а </w:t>
      </w:r>
      <w:r w:rsidRPr="00D03F3E">
        <w:rPr>
          <w:rFonts w:ascii="Times New Roman" w:hAnsi="Times New Roman"/>
          <w:color w:val="000000" w:themeColor="text1"/>
          <w:sz w:val="16"/>
          <w:szCs w:val="16"/>
        </w:rPr>
        <w:t>про</w:t>
      </w:r>
      <w:r w:rsidRPr="00D03F3E">
        <w:rPr>
          <w:rFonts w:ascii="Times New Roman" w:hAnsi="Times New Roman"/>
          <w:color w:val="000000" w:themeColor="text1"/>
          <w:sz w:val="16"/>
          <w:szCs w:val="16"/>
        </w:rPr>
        <w:softHyphen/>
        <w:t xml:space="preserve">тяжении 20-30 км от аэродрома. </w:t>
      </w:r>
      <w:r w:rsidRPr="00D03F3E">
        <w:rPr>
          <w:rFonts w:ascii="Times New Roman" w:hAnsi="Times New Roman"/>
          <w:iCs/>
          <w:color w:val="000000" w:themeColor="text1"/>
          <w:sz w:val="16"/>
          <w:szCs w:val="16"/>
        </w:rPr>
        <w:t>"Ис</w:t>
      </w:r>
      <w:r w:rsidRPr="00D03F3E">
        <w:rPr>
          <w:rFonts w:ascii="Times New Roman" w:hAnsi="Times New Roman"/>
          <w:iCs/>
          <w:color w:val="000000" w:themeColor="text1"/>
          <w:sz w:val="16"/>
          <w:szCs w:val="16"/>
        </w:rPr>
        <w:softHyphen/>
        <w:t>требители противника принимали все возможные методы атаки: с двух сто</w:t>
      </w:r>
      <w:r w:rsidRPr="00D03F3E">
        <w:rPr>
          <w:rFonts w:ascii="Times New Roman" w:hAnsi="Times New Roman"/>
          <w:iCs/>
          <w:color w:val="000000" w:themeColor="text1"/>
          <w:sz w:val="16"/>
          <w:szCs w:val="16"/>
        </w:rPr>
        <w:softHyphen/>
        <w:t>рон, сверху, зажимая отдельные само</w:t>
      </w:r>
      <w:r w:rsidRPr="00D03F3E">
        <w:rPr>
          <w:rFonts w:ascii="Times New Roman" w:hAnsi="Times New Roman"/>
          <w:iCs/>
          <w:color w:val="000000" w:themeColor="text1"/>
          <w:sz w:val="16"/>
          <w:szCs w:val="16"/>
        </w:rPr>
        <w:softHyphen/>
        <w:t xml:space="preserve">леты в клещи", </w:t>
      </w:r>
      <w:r w:rsidRPr="00D03F3E">
        <w:rPr>
          <w:rFonts w:ascii="Times New Roman" w:hAnsi="Times New Roman"/>
          <w:color w:val="000000" w:themeColor="text1"/>
          <w:sz w:val="16"/>
          <w:szCs w:val="16"/>
        </w:rPr>
        <w:t>выпускали щитки для погашения скорости и расстреливали штурмовики почти в упор с дистанций 50-70 м и менее. Выход из атаки про</w:t>
      </w:r>
      <w:r w:rsidRPr="00D03F3E">
        <w:rPr>
          <w:rFonts w:ascii="Times New Roman" w:hAnsi="Times New Roman"/>
          <w:color w:val="000000" w:themeColor="text1"/>
          <w:sz w:val="16"/>
          <w:szCs w:val="16"/>
        </w:rPr>
        <w:softHyphen/>
        <w:t>изводился резким отворотом вверх с набором высоты над атакуемым само</w:t>
      </w:r>
      <w:r w:rsidRPr="00D03F3E">
        <w:rPr>
          <w:rFonts w:ascii="Times New Roman" w:hAnsi="Times New Roman"/>
          <w:color w:val="000000" w:themeColor="text1"/>
          <w:sz w:val="16"/>
          <w:szCs w:val="16"/>
        </w:rPr>
        <w:softHyphen/>
        <w:t>летом.</w:t>
      </w:r>
    </w:p>
    <w:p w14:paraId="74855AD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воздушном бою кинооператор к-н Шер, который вылетал на боевое задание в качестве воздушного стрел</w:t>
      </w:r>
      <w:r w:rsidRPr="00D03F3E">
        <w:rPr>
          <w:rFonts w:ascii="Times New Roman" w:hAnsi="Times New Roman"/>
          <w:color w:val="000000" w:themeColor="text1"/>
          <w:sz w:val="16"/>
          <w:szCs w:val="16"/>
        </w:rPr>
        <w:softHyphen/>
        <w:t>ка с мл. лейтенантом Старченковым, сбил один Ру^190. Истребитель упал в 3 км восточнее ст. Батогово. Второй оккер" на выходе из атаки короткой очередью из пушек завалил мл. л-т Рязанцев. Самолет упал в 1 2 км севе-ро-восточнее ст. Батогово. Воздушно</w:t>
      </w:r>
      <w:r w:rsidRPr="00D03F3E">
        <w:rPr>
          <w:rFonts w:ascii="Times New Roman" w:hAnsi="Times New Roman"/>
          <w:color w:val="000000" w:themeColor="text1"/>
          <w:sz w:val="16"/>
          <w:szCs w:val="16"/>
        </w:rPr>
        <w:softHyphen/>
        <w:t>му стрелку ст. сержанту Ворожейкину удалось "подловить" на выходе из ата</w:t>
      </w:r>
      <w:r w:rsidRPr="00D03F3E">
        <w:rPr>
          <w:rFonts w:ascii="Times New Roman" w:hAnsi="Times New Roman"/>
          <w:color w:val="000000" w:themeColor="text1"/>
          <w:sz w:val="16"/>
          <w:szCs w:val="16"/>
        </w:rPr>
        <w:softHyphen/>
        <w:t xml:space="preserve">ки еще один Ру/190: </w:t>
      </w:r>
      <w:r w:rsidRPr="00D03F3E">
        <w:rPr>
          <w:rFonts w:ascii="Times New Roman" w:hAnsi="Times New Roman"/>
          <w:iCs/>
          <w:color w:val="000000" w:themeColor="text1"/>
          <w:sz w:val="16"/>
          <w:szCs w:val="16"/>
        </w:rPr>
        <w:t>"самолет задымил и ушел со снижением в район Подбу-жье".</w:t>
      </w:r>
    </w:p>
    <w:p w14:paraId="3AF9CA8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Надо сказать, определенное влия</w:t>
      </w:r>
      <w:r w:rsidRPr="00D03F3E">
        <w:rPr>
          <w:rFonts w:ascii="Times New Roman" w:hAnsi="Times New Roman"/>
          <w:color w:val="000000" w:themeColor="text1"/>
          <w:sz w:val="16"/>
          <w:szCs w:val="16"/>
        </w:rPr>
        <w:softHyphen/>
        <w:t>ние на тактику боя штурмовиков с ис</w:t>
      </w:r>
      <w:r w:rsidRPr="00D03F3E">
        <w:rPr>
          <w:rFonts w:ascii="Times New Roman" w:hAnsi="Times New Roman"/>
          <w:color w:val="000000" w:themeColor="text1"/>
          <w:sz w:val="16"/>
          <w:szCs w:val="16"/>
        </w:rPr>
        <w:softHyphen/>
        <w:t xml:space="preserve">требителями противника оказали и такие факторы, как </w:t>
      </w:r>
      <w:r w:rsidRPr="00D03F3E">
        <w:rPr>
          <w:rFonts w:ascii="Times New Roman" w:hAnsi="Times New Roman"/>
          <w:iCs/>
          <w:color w:val="000000" w:themeColor="text1"/>
          <w:sz w:val="16"/>
          <w:szCs w:val="16"/>
        </w:rPr>
        <w:t>"малый остаток го</w:t>
      </w:r>
      <w:r w:rsidRPr="00D03F3E">
        <w:rPr>
          <w:rFonts w:ascii="Times New Roman" w:hAnsi="Times New Roman"/>
          <w:iCs/>
          <w:color w:val="000000" w:themeColor="text1"/>
          <w:sz w:val="16"/>
          <w:szCs w:val="16"/>
        </w:rPr>
        <w:softHyphen/>
        <w:t>рючего и ограничение светлого вре</w:t>
      </w:r>
      <w:r w:rsidRPr="00D03F3E">
        <w:rPr>
          <w:rFonts w:ascii="Times New Roman" w:hAnsi="Times New Roman"/>
          <w:iCs/>
          <w:color w:val="000000" w:themeColor="text1"/>
          <w:sz w:val="16"/>
          <w:szCs w:val="16"/>
        </w:rPr>
        <w:softHyphen/>
        <w:t xml:space="preserve">мени" - </w:t>
      </w:r>
      <w:r w:rsidRPr="00D03F3E">
        <w:rPr>
          <w:rFonts w:ascii="Times New Roman" w:hAnsi="Times New Roman"/>
          <w:color w:val="000000" w:themeColor="text1"/>
          <w:sz w:val="16"/>
          <w:szCs w:val="16"/>
        </w:rPr>
        <w:t>расстояние до аэродрома Брянск соответствовало почти предель</w:t>
      </w:r>
      <w:r w:rsidRPr="00D03F3E">
        <w:rPr>
          <w:rFonts w:ascii="Times New Roman" w:hAnsi="Times New Roman"/>
          <w:color w:val="000000" w:themeColor="text1"/>
          <w:sz w:val="16"/>
          <w:szCs w:val="16"/>
        </w:rPr>
        <w:softHyphen/>
        <w:t>ному радиусу действия Ил-2. Поэтому, как указывал в своем отчете коман</w:t>
      </w:r>
      <w:r w:rsidRPr="00D03F3E">
        <w:rPr>
          <w:rFonts w:ascii="Times New Roman" w:hAnsi="Times New Roman"/>
          <w:color w:val="000000" w:themeColor="text1"/>
          <w:sz w:val="16"/>
          <w:szCs w:val="16"/>
        </w:rPr>
        <w:softHyphen/>
        <w:t xml:space="preserve">дир 571-го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м-р Ф. П. Макаров, </w:t>
      </w:r>
      <w:r w:rsidRPr="00D03F3E">
        <w:rPr>
          <w:rFonts w:ascii="Times New Roman" w:hAnsi="Times New Roman"/>
          <w:iCs/>
          <w:color w:val="000000" w:themeColor="text1"/>
          <w:sz w:val="16"/>
          <w:szCs w:val="16"/>
        </w:rPr>
        <w:t>"встать в круг было невозможно..."</w:t>
      </w:r>
    </w:p>
    <w:p w14:paraId="1BDABB4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Преследование штурмовиков истре</w:t>
      </w:r>
      <w:r w:rsidRPr="00D03F3E">
        <w:rPr>
          <w:rFonts w:ascii="Times New Roman" w:hAnsi="Times New Roman"/>
          <w:color w:val="000000" w:themeColor="text1"/>
          <w:sz w:val="16"/>
          <w:szCs w:val="16"/>
        </w:rPr>
        <w:softHyphen/>
        <w:t>бителями противника продолжалось на протяжении 20-30 км от цели.</w:t>
      </w:r>
    </w:p>
    <w:p w14:paraId="314ED19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верить документам истреби</w:t>
      </w:r>
      <w:r w:rsidRPr="00D03F3E">
        <w:rPr>
          <w:rFonts w:ascii="Times New Roman" w:hAnsi="Times New Roman"/>
          <w:color w:val="000000" w:themeColor="text1"/>
          <w:sz w:val="16"/>
          <w:szCs w:val="16"/>
        </w:rPr>
        <w:softHyphen/>
        <w:t>тельных авиаполков, то получается, что под защиту своих истребителей в рай</w:t>
      </w:r>
      <w:r w:rsidRPr="00D03F3E">
        <w:rPr>
          <w:rFonts w:ascii="Times New Roman" w:hAnsi="Times New Roman"/>
          <w:color w:val="000000" w:themeColor="text1"/>
          <w:sz w:val="16"/>
          <w:szCs w:val="16"/>
        </w:rPr>
        <w:softHyphen/>
        <w:t xml:space="preserve">он ст. Батогово удалось прорваться </w:t>
      </w:r>
      <w:r w:rsidRPr="00D03F3E">
        <w:rPr>
          <w:rFonts w:ascii="Times New Roman" w:hAnsi="Times New Roman"/>
          <w:iCs/>
          <w:color w:val="000000" w:themeColor="text1"/>
          <w:sz w:val="16"/>
          <w:szCs w:val="16"/>
        </w:rPr>
        <w:t>...маневрируя змейкой и производя ответные атаки по самолетам против</w:t>
      </w:r>
      <w:r w:rsidRPr="00D03F3E">
        <w:rPr>
          <w:rFonts w:ascii="Times New Roman" w:hAnsi="Times New Roman"/>
          <w:iCs/>
          <w:color w:val="000000" w:themeColor="text1"/>
          <w:sz w:val="16"/>
          <w:szCs w:val="16"/>
        </w:rPr>
        <w:softHyphen/>
        <w:t>ника, выходящим из атаки".</w:t>
      </w:r>
    </w:p>
    <w:p w14:paraId="37CC001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Замыкающий второй группы 571-го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мл. л-т Старченков, который фо</w:t>
      </w:r>
      <w:r w:rsidRPr="00D03F3E">
        <w:rPr>
          <w:rFonts w:ascii="Times New Roman" w:hAnsi="Times New Roman"/>
          <w:color w:val="000000" w:themeColor="text1"/>
          <w:sz w:val="16"/>
          <w:szCs w:val="16"/>
        </w:rPr>
        <w:softHyphen/>
        <w:t>тографировал результаты удара, на</w:t>
      </w:r>
      <w:r w:rsidRPr="00D03F3E">
        <w:rPr>
          <w:rFonts w:ascii="Times New Roman" w:hAnsi="Times New Roman"/>
          <w:color w:val="000000" w:themeColor="text1"/>
          <w:sz w:val="16"/>
          <w:szCs w:val="16"/>
        </w:rPr>
        <w:softHyphen/>
        <w:t>блюдал, как после первой же атаки один Ил-2 загорелся и упал в 1 км севернее ст. Велья. Воздушный стре</w:t>
      </w:r>
      <w:r w:rsidRPr="00D03F3E">
        <w:rPr>
          <w:rFonts w:ascii="Times New Roman" w:hAnsi="Times New Roman"/>
          <w:color w:val="000000" w:themeColor="text1"/>
          <w:sz w:val="16"/>
          <w:szCs w:val="16"/>
        </w:rPr>
        <w:softHyphen/>
        <w:t>лок ст. сержант Ворожейкин из экипа</w:t>
      </w:r>
      <w:r w:rsidRPr="00D03F3E">
        <w:rPr>
          <w:rFonts w:ascii="Times New Roman" w:hAnsi="Times New Roman"/>
          <w:color w:val="000000" w:themeColor="text1"/>
          <w:sz w:val="16"/>
          <w:szCs w:val="16"/>
        </w:rPr>
        <w:softHyphen/>
        <w:t>жа заместителя ведущего первой груп</w:t>
      </w:r>
      <w:r w:rsidRPr="00D03F3E">
        <w:rPr>
          <w:rFonts w:ascii="Times New Roman" w:hAnsi="Times New Roman"/>
          <w:color w:val="000000" w:themeColor="text1"/>
          <w:sz w:val="16"/>
          <w:szCs w:val="16"/>
        </w:rPr>
        <w:softHyphen/>
        <w:t>пы лейтенанта Коломникова видел, как загорелся и упал в 3 км восточнее р. Десна в районе г. Брянск второй Ил-2.</w:t>
      </w:r>
    </w:p>
    <w:p w14:paraId="282CA24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Отбивая атаки истребителей про</w:t>
      </w:r>
      <w:r w:rsidRPr="00D03F3E">
        <w:rPr>
          <w:rFonts w:ascii="Times New Roman" w:hAnsi="Times New Roman"/>
          <w:color w:val="000000" w:themeColor="text1"/>
          <w:sz w:val="16"/>
          <w:szCs w:val="16"/>
        </w:rPr>
        <w:softHyphen/>
        <w:t>тивника, штурмовики стали отклонять</w:t>
      </w:r>
      <w:r w:rsidRPr="00D03F3E">
        <w:rPr>
          <w:rFonts w:ascii="Times New Roman" w:hAnsi="Times New Roman"/>
          <w:color w:val="000000" w:themeColor="text1"/>
          <w:sz w:val="16"/>
          <w:szCs w:val="16"/>
        </w:rPr>
        <w:softHyphen/>
        <w:t>ся к югу от утвержденного маршрута возвращения на свою территорию, который проходил через ст. Батогово - район встречи с истребителями при</w:t>
      </w:r>
      <w:r w:rsidRPr="00D03F3E">
        <w:rPr>
          <w:rFonts w:ascii="Times New Roman" w:hAnsi="Times New Roman"/>
          <w:color w:val="000000" w:themeColor="text1"/>
          <w:sz w:val="16"/>
          <w:szCs w:val="16"/>
        </w:rPr>
        <w:softHyphen/>
        <w:t>крытия. При этом одна из групп в со</w:t>
      </w:r>
      <w:r w:rsidRPr="00D03F3E">
        <w:rPr>
          <w:rFonts w:ascii="Times New Roman" w:hAnsi="Times New Roman"/>
          <w:color w:val="000000" w:themeColor="text1"/>
          <w:sz w:val="16"/>
          <w:szCs w:val="16"/>
        </w:rPr>
        <w:softHyphen/>
        <w:t>ставе 6 Ил-2 пошла курсом 60°. Млад</w:t>
      </w:r>
      <w:r w:rsidRPr="00D03F3E">
        <w:rPr>
          <w:rFonts w:ascii="Times New Roman" w:hAnsi="Times New Roman"/>
          <w:color w:val="000000" w:themeColor="text1"/>
          <w:sz w:val="16"/>
          <w:szCs w:val="16"/>
        </w:rPr>
        <w:softHyphen/>
        <w:t>ший лейтенант Старченков сделал по</w:t>
      </w:r>
      <w:r w:rsidRPr="00D03F3E">
        <w:rPr>
          <w:rFonts w:ascii="Times New Roman" w:hAnsi="Times New Roman"/>
          <w:color w:val="000000" w:themeColor="text1"/>
          <w:sz w:val="16"/>
          <w:szCs w:val="16"/>
        </w:rPr>
        <w:softHyphen/>
        <w:t>пытку вернуть их в общий боевой по</w:t>
      </w:r>
      <w:r w:rsidRPr="00D03F3E">
        <w:rPr>
          <w:rFonts w:ascii="Times New Roman" w:hAnsi="Times New Roman"/>
          <w:color w:val="000000" w:themeColor="text1"/>
          <w:sz w:val="16"/>
          <w:szCs w:val="16"/>
        </w:rPr>
        <w:softHyphen/>
        <w:t xml:space="preserve">рядок. Он передал по радио: </w:t>
      </w:r>
      <w:r w:rsidRPr="00D03F3E">
        <w:rPr>
          <w:rFonts w:ascii="Times New Roman" w:hAnsi="Times New Roman"/>
          <w:iCs/>
          <w:color w:val="000000" w:themeColor="text1"/>
          <w:sz w:val="16"/>
          <w:szCs w:val="16"/>
        </w:rPr>
        <w:t>"Горба</w:t>
      </w:r>
      <w:r w:rsidRPr="00D03F3E">
        <w:rPr>
          <w:rFonts w:ascii="Times New Roman" w:hAnsi="Times New Roman"/>
          <w:iCs/>
          <w:color w:val="000000" w:themeColor="text1"/>
          <w:sz w:val="16"/>
          <w:szCs w:val="16"/>
        </w:rPr>
        <w:softHyphen/>
        <w:t xml:space="preserve">тые, берите влево", </w:t>
      </w:r>
      <w:r w:rsidRPr="00D03F3E">
        <w:rPr>
          <w:rFonts w:ascii="Times New Roman" w:hAnsi="Times New Roman"/>
          <w:color w:val="000000" w:themeColor="text1"/>
          <w:sz w:val="16"/>
          <w:szCs w:val="16"/>
        </w:rPr>
        <w:t>но в это время сам</w:t>
      </w:r>
    </w:p>
    <w:p w14:paraId="535AB73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только 7 Ил-2.</w:t>
      </w:r>
    </w:p>
    <w:p w14:paraId="5A348E8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Штурмовиков ожидали 4 Як-76 от 1 8-го </w:t>
      </w:r>
      <w:r w:rsidRPr="00D03F3E">
        <w:rPr>
          <w:rFonts w:ascii="Times New Roman" w:hAnsi="Times New Roman"/>
          <w:iCs/>
          <w:color w:val="000000" w:themeColor="text1"/>
          <w:sz w:val="16"/>
          <w:szCs w:val="16"/>
        </w:rPr>
        <w:t xml:space="preserve">гиап </w:t>
      </w:r>
      <w:r w:rsidRPr="00D03F3E">
        <w:rPr>
          <w:rFonts w:ascii="Times New Roman" w:hAnsi="Times New Roman"/>
          <w:color w:val="000000" w:themeColor="text1"/>
          <w:sz w:val="16"/>
          <w:szCs w:val="16"/>
        </w:rPr>
        <w:t xml:space="preserve">и пара от 168-го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кото</w:t>
      </w:r>
      <w:r w:rsidRPr="00D03F3E">
        <w:rPr>
          <w:rFonts w:ascii="Times New Roman" w:hAnsi="Times New Roman"/>
          <w:color w:val="000000" w:themeColor="text1"/>
          <w:sz w:val="16"/>
          <w:szCs w:val="16"/>
        </w:rPr>
        <w:softHyphen/>
        <w:t>рые барражировали на высотах 800-1200 м. Остальные вели воздушные бои с небольшими группами истреби</w:t>
      </w:r>
      <w:r w:rsidRPr="00D03F3E">
        <w:rPr>
          <w:rFonts w:ascii="Times New Roman" w:hAnsi="Times New Roman"/>
          <w:color w:val="000000" w:themeColor="text1"/>
          <w:sz w:val="16"/>
          <w:szCs w:val="16"/>
        </w:rPr>
        <w:softHyphen/>
        <w:t>телей противника в других районах или уже "встали" на обратный маршрут.</w:t>
      </w:r>
    </w:p>
    <w:p w14:paraId="2D4BC18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момент выхода Ил-2 в зону ожи</w:t>
      </w:r>
      <w:r w:rsidRPr="00D03F3E">
        <w:rPr>
          <w:rFonts w:ascii="Times New Roman" w:hAnsi="Times New Roman"/>
          <w:color w:val="000000" w:themeColor="text1"/>
          <w:sz w:val="16"/>
          <w:szCs w:val="16"/>
        </w:rPr>
        <w:softHyphen/>
        <w:t xml:space="preserve">дания их пытался атаковать одиночный Ру/190. Ведущий группы от 18-го </w:t>
      </w:r>
      <w:r w:rsidRPr="00D03F3E">
        <w:rPr>
          <w:rFonts w:ascii="Times New Roman" w:hAnsi="Times New Roman"/>
          <w:iCs/>
          <w:color w:val="000000" w:themeColor="text1"/>
          <w:sz w:val="16"/>
          <w:szCs w:val="16"/>
        </w:rPr>
        <w:t xml:space="preserve">гиап ст. </w:t>
      </w:r>
      <w:r w:rsidRPr="00D03F3E">
        <w:rPr>
          <w:rFonts w:ascii="Times New Roman" w:hAnsi="Times New Roman"/>
          <w:color w:val="000000" w:themeColor="text1"/>
          <w:sz w:val="16"/>
          <w:szCs w:val="16"/>
        </w:rPr>
        <w:t>л-т Семенов и его ведомый мл. л-т Осипенко активными действиями со</w:t>
      </w:r>
      <w:r w:rsidRPr="00D03F3E">
        <w:rPr>
          <w:rFonts w:ascii="Times New Roman" w:hAnsi="Times New Roman"/>
          <w:color w:val="000000" w:themeColor="text1"/>
          <w:sz w:val="16"/>
          <w:szCs w:val="16"/>
        </w:rPr>
        <w:softHyphen/>
        <w:t>рвали атаку и попытались навязать пилоту люфтваффе бой, но тот вызов не принял и ушел в сторону Брянска.</w:t>
      </w:r>
    </w:p>
    <w:p w14:paraId="4E4D447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это время пара Як-76 от 168-го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в составе лейтенанта Проценко и мл. лейтенанта Куприенкова вступили в бой с 2 Ру/190, которые также пыта</w:t>
      </w:r>
      <w:r w:rsidRPr="00D03F3E">
        <w:rPr>
          <w:rFonts w:ascii="Times New Roman" w:hAnsi="Times New Roman"/>
          <w:color w:val="000000" w:themeColor="text1"/>
          <w:sz w:val="16"/>
          <w:szCs w:val="16"/>
        </w:rPr>
        <w:softHyphen/>
        <w:t>лись атаковать Ил-2. В завязавшемся воздушном бою на виражах Процен</w:t>
      </w:r>
      <w:r w:rsidRPr="00D03F3E">
        <w:rPr>
          <w:rFonts w:ascii="Times New Roman" w:hAnsi="Times New Roman"/>
          <w:color w:val="000000" w:themeColor="text1"/>
          <w:sz w:val="16"/>
          <w:szCs w:val="16"/>
        </w:rPr>
        <w:softHyphen/>
        <w:t xml:space="preserve">ко удалось зайти в хвост ведомому Ру/190 и сбить его. Однако второй "фоккер" зашел в хвост Куприенкову. </w:t>
      </w:r>
      <w:r w:rsidRPr="00D03F3E">
        <w:rPr>
          <w:rFonts w:ascii="Times New Roman" w:hAnsi="Times New Roman"/>
          <w:color w:val="000000" w:themeColor="text1"/>
          <w:sz w:val="16"/>
          <w:szCs w:val="16"/>
        </w:rPr>
        <w:lastRenderedPageBreak/>
        <w:t>Пытаясь оторваться от преследования, Куприенков вошел в облачность. Сле</w:t>
      </w:r>
      <w:r w:rsidRPr="00D03F3E">
        <w:rPr>
          <w:rFonts w:ascii="Times New Roman" w:hAnsi="Times New Roman"/>
          <w:color w:val="000000" w:themeColor="text1"/>
          <w:sz w:val="16"/>
          <w:szCs w:val="16"/>
        </w:rPr>
        <w:softHyphen/>
        <w:t>дом за ним в облака вошел и немец</w:t>
      </w:r>
      <w:r w:rsidRPr="00D03F3E">
        <w:rPr>
          <w:rFonts w:ascii="Times New Roman" w:hAnsi="Times New Roman"/>
          <w:color w:val="000000" w:themeColor="text1"/>
          <w:sz w:val="16"/>
          <w:szCs w:val="16"/>
        </w:rPr>
        <w:softHyphen/>
        <w:t>кий пилот. На свой аэродром мл. л-т Н. Я. Куприенков не вернулся, и судь</w:t>
      </w:r>
      <w:r w:rsidRPr="00D03F3E">
        <w:rPr>
          <w:rFonts w:ascii="Times New Roman" w:hAnsi="Times New Roman"/>
          <w:color w:val="000000" w:themeColor="text1"/>
          <w:sz w:val="16"/>
          <w:szCs w:val="16"/>
        </w:rPr>
        <w:softHyphen/>
        <w:t>ба его осталась неизвестной.</w:t>
      </w:r>
    </w:p>
    <w:p w14:paraId="054982C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Пока две пары "Яков" отбивали ата</w:t>
      </w:r>
      <w:r w:rsidRPr="00D03F3E">
        <w:rPr>
          <w:rFonts w:ascii="Times New Roman" w:hAnsi="Times New Roman"/>
          <w:color w:val="000000" w:themeColor="text1"/>
          <w:sz w:val="16"/>
          <w:szCs w:val="16"/>
        </w:rPr>
        <w:softHyphen/>
        <w:t xml:space="preserve">ки истребителей противника, вторая пара от 18-го </w:t>
      </w:r>
      <w:r w:rsidRPr="00D03F3E">
        <w:rPr>
          <w:rFonts w:ascii="Times New Roman" w:hAnsi="Times New Roman"/>
          <w:iCs/>
          <w:color w:val="000000" w:themeColor="text1"/>
          <w:sz w:val="16"/>
          <w:szCs w:val="16"/>
        </w:rPr>
        <w:t xml:space="preserve">гиап - </w:t>
      </w:r>
      <w:r w:rsidRPr="00D03F3E">
        <w:rPr>
          <w:rFonts w:ascii="Times New Roman" w:hAnsi="Times New Roman"/>
          <w:color w:val="000000" w:themeColor="text1"/>
          <w:sz w:val="16"/>
          <w:szCs w:val="16"/>
        </w:rPr>
        <w:t xml:space="preserve">к-н Терентьев и мл. л-т Сироткин - </w:t>
      </w:r>
      <w:r w:rsidRPr="00D03F3E">
        <w:rPr>
          <w:rFonts w:ascii="Times New Roman" w:hAnsi="Times New Roman"/>
          <w:iCs/>
          <w:color w:val="000000" w:themeColor="text1"/>
          <w:sz w:val="16"/>
          <w:szCs w:val="16"/>
        </w:rPr>
        <w:t>"подхватили ...чет</w:t>
      </w:r>
      <w:r w:rsidRPr="00D03F3E">
        <w:rPr>
          <w:rFonts w:ascii="Times New Roman" w:hAnsi="Times New Roman"/>
          <w:iCs/>
          <w:color w:val="000000" w:themeColor="text1"/>
          <w:sz w:val="16"/>
          <w:szCs w:val="16"/>
        </w:rPr>
        <w:softHyphen/>
        <w:t>верку Ил-2 с цели и привели на аэро</w:t>
      </w:r>
      <w:r w:rsidRPr="00D03F3E">
        <w:rPr>
          <w:rFonts w:ascii="Times New Roman" w:hAnsi="Times New Roman"/>
          <w:iCs/>
          <w:color w:val="000000" w:themeColor="text1"/>
          <w:sz w:val="16"/>
          <w:szCs w:val="16"/>
        </w:rPr>
        <w:softHyphen/>
        <w:t xml:space="preserve">дром". </w:t>
      </w:r>
      <w:r w:rsidRPr="00D03F3E">
        <w:rPr>
          <w:rFonts w:ascii="Times New Roman" w:hAnsi="Times New Roman"/>
          <w:color w:val="000000" w:themeColor="text1"/>
          <w:sz w:val="16"/>
          <w:szCs w:val="16"/>
        </w:rPr>
        <w:t xml:space="preserve">Остальные три Ил-2 взял под свою опеку и довел до аэродрома л-т Проценко от 168-го </w:t>
      </w:r>
      <w:r w:rsidRPr="00D03F3E">
        <w:rPr>
          <w:rFonts w:ascii="Times New Roman" w:hAnsi="Times New Roman"/>
          <w:iCs/>
          <w:color w:val="000000" w:themeColor="text1"/>
          <w:sz w:val="16"/>
          <w:szCs w:val="16"/>
        </w:rPr>
        <w:t>иап.</w:t>
      </w:r>
    </w:p>
    <w:p w14:paraId="702B8A9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Согласно документам штурмовых авиаполков 224-й </w:t>
      </w:r>
      <w:r w:rsidRPr="00D03F3E">
        <w:rPr>
          <w:rFonts w:ascii="Times New Roman" w:hAnsi="Times New Roman"/>
          <w:iCs/>
          <w:color w:val="000000" w:themeColor="text1"/>
          <w:sz w:val="16"/>
          <w:szCs w:val="16"/>
        </w:rPr>
        <w:t xml:space="preserve">шад, с </w:t>
      </w:r>
      <w:r w:rsidRPr="00D03F3E">
        <w:rPr>
          <w:rFonts w:ascii="Times New Roman" w:hAnsi="Times New Roman"/>
          <w:color w:val="000000" w:themeColor="text1"/>
          <w:sz w:val="16"/>
          <w:szCs w:val="16"/>
        </w:rPr>
        <w:t>боевого за</w:t>
      </w:r>
      <w:r w:rsidRPr="00D03F3E">
        <w:rPr>
          <w:rFonts w:ascii="Times New Roman" w:hAnsi="Times New Roman"/>
          <w:color w:val="000000" w:themeColor="text1"/>
          <w:sz w:val="16"/>
          <w:szCs w:val="16"/>
        </w:rPr>
        <w:softHyphen/>
        <w:t>дания вернулось только 5 экипажей: ка</w:t>
      </w:r>
      <w:r w:rsidRPr="00D03F3E">
        <w:rPr>
          <w:rFonts w:ascii="Times New Roman" w:hAnsi="Times New Roman"/>
          <w:color w:val="000000" w:themeColor="text1"/>
          <w:sz w:val="16"/>
          <w:szCs w:val="16"/>
        </w:rPr>
        <w:softHyphen/>
        <w:t>питана А. Г. Мачнева и мл. лейтенан</w:t>
      </w:r>
      <w:r w:rsidRPr="00D03F3E">
        <w:rPr>
          <w:rFonts w:ascii="Times New Roman" w:hAnsi="Times New Roman"/>
          <w:color w:val="000000" w:themeColor="text1"/>
          <w:sz w:val="16"/>
          <w:szCs w:val="16"/>
        </w:rPr>
        <w:softHyphen/>
        <w:t>та Л. П. Корчагина - от 566-го шал, а также лейтенанта А. С. Коломникова и мл. лейтенантов И. С. Старченкова и И. Я. Рязанцева - от 571-го шал. Все воины были целыми и невредимы</w:t>
      </w:r>
      <w:r w:rsidRPr="00D03F3E">
        <w:rPr>
          <w:rFonts w:ascii="Times New Roman" w:hAnsi="Times New Roman"/>
          <w:color w:val="000000" w:themeColor="text1"/>
          <w:sz w:val="16"/>
          <w:szCs w:val="16"/>
        </w:rPr>
        <w:softHyphen/>
        <w:t>ми, но их самолеты требовали серьез</w:t>
      </w:r>
      <w:r w:rsidRPr="00D03F3E">
        <w:rPr>
          <w:rFonts w:ascii="Times New Roman" w:hAnsi="Times New Roman"/>
          <w:color w:val="000000" w:themeColor="text1"/>
          <w:sz w:val="16"/>
          <w:szCs w:val="16"/>
        </w:rPr>
        <w:softHyphen/>
        <w:t>ного ремонта. При этом все возвра</w:t>
      </w:r>
      <w:r w:rsidRPr="00D03F3E">
        <w:rPr>
          <w:rFonts w:ascii="Times New Roman" w:hAnsi="Times New Roman"/>
          <w:color w:val="000000" w:themeColor="text1"/>
          <w:sz w:val="16"/>
          <w:szCs w:val="16"/>
        </w:rPr>
        <w:softHyphen/>
        <w:t>тившиеся экипажи в один голос утвер</w:t>
      </w:r>
      <w:r w:rsidRPr="00D03F3E">
        <w:rPr>
          <w:rFonts w:ascii="Times New Roman" w:hAnsi="Times New Roman"/>
          <w:color w:val="000000" w:themeColor="text1"/>
          <w:sz w:val="16"/>
          <w:szCs w:val="16"/>
        </w:rPr>
        <w:softHyphen/>
        <w:t>ждали, что на обратном маршруте от цели истребителей сопровождения око</w:t>
      </w:r>
      <w:r w:rsidRPr="00D03F3E">
        <w:rPr>
          <w:rFonts w:ascii="Times New Roman" w:hAnsi="Times New Roman"/>
          <w:color w:val="000000" w:themeColor="text1"/>
          <w:sz w:val="16"/>
          <w:szCs w:val="16"/>
        </w:rPr>
        <w:softHyphen/>
        <w:t>ло себя не наблюдали.</w:t>
      </w:r>
    </w:p>
    <w:p w14:paraId="5170FC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удалось установить по докумен</w:t>
      </w:r>
      <w:r w:rsidRPr="00D03F3E">
        <w:rPr>
          <w:rFonts w:ascii="Times New Roman" w:hAnsi="Times New Roman"/>
          <w:color w:val="000000" w:themeColor="text1"/>
          <w:sz w:val="16"/>
          <w:szCs w:val="16"/>
        </w:rPr>
        <w:softHyphen/>
        <w:t>там, ни один из возвратившихся эки</w:t>
      </w:r>
      <w:r w:rsidRPr="00D03F3E">
        <w:rPr>
          <w:rFonts w:ascii="Times New Roman" w:hAnsi="Times New Roman"/>
          <w:color w:val="000000" w:themeColor="text1"/>
          <w:sz w:val="16"/>
          <w:szCs w:val="16"/>
        </w:rPr>
        <w:softHyphen/>
        <w:t>пажей штурмовиков вообще не про</w:t>
      </w:r>
      <w:r w:rsidRPr="00D03F3E">
        <w:rPr>
          <w:rFonts w:ascii="Times New Roman" w:hAnsi="Times New Roman"/>
          <w:color w:val="000000" w:themeColor="text1"/>
          <w:sz w:val="16"/>
          <w:szCs w:val="16"/>
        </w:rPr>
        <w:softHyphen/>
        <w:t>ходил через район ст. Батогово. Зве</w:t>
      </w:r>
      <w:r w:rsidRPr="00D03F3E">
        <w:rPr>
          <w:rFonts w:ascii="Times New Roman" w:hAnsi="Times New Roman"/>
          <w:color w:val="000000" w:themeColor="text1"/>
          <w:sz w:val="16"/>
          <w:szCs w:val="16"/>
        </w:rPr>
        <w:softHyphen/>
        <w:t>но Ил-2 от 571-го шал прошло при</w:t>
      </w:r>
      <w:r w:rsidRPr="00D03F3E">
        <w:rPr>
          <w:rFonts w:ascii="Times New Roman" w:hAnsi="Times New Roman"/>
          <w:color w:val="000000" w:themeColor="text1"/>
          <w:sz w:val="16"/>
          <w:szCs w:val="16"/>
        </w:rPr>
        <w:softHyphen/>
        <w:t>мерно в 6-8 км южнее ст. Батогово в направлении населенных пунктов Рес-сета и Дуброва. Пара от 566-го шал уклонилась к югу от утвержденного маршрута еще дальше. В районе по</w:t>
      </w:r>
      <w:r w:rsidRPr="00D03F3E">
        <w:rPr>
          <w:rFonts w:ascii="Times New Roman" w:hAnsi="Times New Roman"/>
          <w:color w:val="000000" w:themeColor="text1"/>
          <w:sz w:val="16"/>
          <w:szCs w:val="16"/>
        </w:rPr>
        <w:softHyphen/>
        <w:t>селка им. Урицкого экипажи взяли курс на Бежань, а затем пошли в направ</w:t>
      </w:r>
      <w:r w:rsidRPr="00D03F3E">
        <w:rPr>
          <w:rFonts w:ascii="Times New Roman" w:hAnsi="Times New Roman"/>
          <w:color w:val="000000" w:themeColor="text1"/>
          <w:sz w:val="16"/>
          <w:szCs w:val="16"/>
        </w:rPr>
        <w:softHyphen/>
        <w:t>лении на Михайловку, Нехочи. При этом обе группы Ил-2 на всем марш</w:t>
      </w:r>
      <w:r w:rsidRPr="00D03F3E">
        <w:rPr>
          <w:rFonts w:ascii="Times New Roman" w:hAnsi="Times New Roman"/>
          <w:color w:val="000000" w:themeColor="text1"/>
          <w:sz w:val="16"/>
          <w:szCs w:val="16"/>
        </w:rPr>
        <w:softHyphen/>
        <w:t>руте полета подвергались почти непре</w:t>
      </w:r>
      <w:r w:rsidRPr="00D03F3E">
        <w:rPr>
          <w:rFonts w:ascii="Times New Roman" w:hAnsi="Times New Roman"/>
          <w:color w:val="000000" w:themeColor="text1"/>
          <w:sz w:val="16"/>
          <w:szCs w:val="16"/>
        </w:rPr>
        <w:softHyphen/>
        <w:t>рывным атакам истребителей люфтваф</w:t>
      </w:r>
      <w:r w:rsidRPr="00D03F3E">
        <w:rPr>
          <w:rFonts w:ascii="Times New Roman" w:hAnsi="Times New Roman"/>
          <w:color w:val="000000" w:themeColor="text1"/>
          <w:sz w:val="16"/>
          <w:szCs w:val="16"/>
        </w:rPr>
        <w:softHyphen/>
        <w:t>фе. Штурмовики 571-го шал отразили последнюю атаку противника в райо</w:t>
      </w:r>
      <w:r w:rsidRPr="00D03F3E">
        <w:rPr>
          <w:rFonts w:ascii="Times New Roman" w:hAnsi="Times New Roman"/>
          <w:color w:val="000000" w:themeColor="text1"/>
          <w:sz w:val="16"/>
          <w:szCs w:val="16"/>
        </w:rPr>
        <w:softHyphen/>
        <w:t>не Подбужье, а экипажи 566-го шал -в районе Шалымово.</w:t>
      </w:r>
    </w:p>
    <w:p w14:paraId="768645A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в результате бое</w:t>
      </w:r>
      <w:r w:rsidRPr="00D03F3E">
        <w:rPr>
          <w:rFonts w:ascii="Times New Roman" w:hAnsi="Times New Roman"/>
          <w:color w:val="000000" w:themeColor="text1"/>
          <w:sz w:val="16"/>
          <w:szCs w:val="16"/>
        </w:rPr>
        <w:softHyphen/>
        <w:t>вого вылета для удара по аэродрому Брянск на свои аэродромы не вернулось 18 летчиков и 13 воздушных стрел</w:t>
      </w:r>
      <w:r w:rsidRPr="00D03F3E">
        <w:rPr>
          <w:rFonts w:ascii="Times New Roman" w:hAnsi="Times New Roman"/>
          <w:color w:val="000000" w:themeColor="text1"/>
          <w:sz w:val="16"/>
          <w:szCs w:val="16"/>
        </w:rPr>
        <w:softHyphen/>
        <w:t>ков: от 571-го шал — комэск к-н И. Г. Выхор (воздушный стрелок сержант Е. Н. Ильин), мл. л-т В. И. Большаков (воз</w:t>
      </w:r>
      <w:r w:rsidRPr="00D03F3E">
        <w:rPr>
          <w:rFonts w:ascii="Times New Roman" w:hAnsi="Times New Roman"/>
          <w:color w:val="000000" w:themeColor="text1"/>
          <w:sz w:val="16"/>
          <w:szCs w:val="16"/>
        </w:rPr>
        <w:softHyphen/>
        <w:t>душный стрелок сержант Л. Ф. Бли</w:t>
      </w:r>
      <w:r w:rsidRPr="00D03F3E">
        <w:rPr>
          <w:rFonts w:ascii="Times New Roman" w:hAnsi="Times New Roman"/>
          <w:color w:val="000000" w:themeColor="text1"/>
          <w:sz w:val="16"/>
          <w:szCs w:val="16"/>
        </w:rPr>
        <w:softHyphen/>
        <w:t>нов), з/комэск ст. л-т И. Н. Бараненко (воздушный стрелок сержант А. И. Ха-нин), старший летчик л-т М. К. Бори-сюк (воздушный стрелок сержант Ф. Г. Павлов), з/комэск В. Д. Привалов (воз</w:t>
      </w:r>
      <w:r w:rsidRPr="00D03F3E">
        <w:rPr>
          <w:rFonts w:ascii="Times New Roman" w:hAnsi="Times New Roman"/>
          <w:color w:val="000000" w:themeColor="text1"/>
          <w:sz w:val="16"/>
          <w:szCs w:val="16"/>
        </w:rPr>
        <w:softHyphen/>
        <w:t>душный стрелок сержант П. Г. Маку-шенко), комэск ст. л-т Ф. Ф. Ермолин (воздушный стрелок сержант А. Т. Жда</w:t>
      </w:r>
      <w:r w:rsidRPr="00D03F3E">
        <w:rPr>
          <w:rFonts w:ascii="Times New Roman" w:hAnsi="Times New Roman"/>
          <w:color w:val="000000" w:themeColor="text1"/>
          <w:sz w:val="16"/>
          <w:szCs w:val="16"/>
        </w:rPr>
        <w:softHyphen/>
        <w:t>нов), старший летчик мл. л-т Н. Н. Скан</w:t>
      </w:r>
      <w:r w:rsidRPr="00D03F3E">
        <w:rPr>
          <w:rFonts w:ascii="Times New Roman" w:hAnsi="Times New Roman"/>
          <w:color w:val="000000" w:themeColor="text1"/>
          <w:sz w:val="16"/>
          <w:szCs w:val="16"/>
        </w:rPr>
        <w:softHyphen/>
        <w:t>цев (воздушный стрелок сержант М. И. Михайлов), старший летчик мл. л-т В. Ф. Муравьев (воздушный стрелок сер</w:t>
      </w:r>
      <w:r w:rsidRPr="00D03F3E">
        <w:rPr>
          <w:rFonts w:ascii="Times New Roman" w:hAnsi="Times New Roman"/>
          <w:color w:val="000000" w:themeColor="text1"/>
          <w:sz w:val="16"/>
          <w:szCs w:val="16"/>
        </w:rPr>
        <w:softHyphen/>
        <w:t>жант М. И. Лаптев), командир звена ст. л-т В. В. Бубнов (воздушный стре</w:t>
      </w:r>
      <w:r w:rsidRPr="00D03F3E">
        <w:rPr>
          <w:rFonts w:ascii="Times New Roman" w:hAnsi="Times New Roman"/>
          <w:color w:val="000000" w:themeColor="text1"/>
          <w:sz w:val="16"/>
          <w:szCs w:val="16"/>
        </w:rPr>
        <w:softHyphen/>
        <w:t>лок сержант И. Ф. Кулдышев); от 566-го шал - з/комэск ст. л-т Г, И. Пепеля-ев, комзвена мл. л-т В. Г. Сильченко, з/комэск ст. л-т В. А. Трофимов, летчик л-т Н. П. Засыпкин (воздушный стре</w:t>
      </w:r>
      <w:r w:rsidRPr="00D03F3E">
        <w:rPr>
          <w:rFonts w:ascii="Times New Roman" w:hAnsi="Times New Roman"/>
          <w:color w:val="000000" w:themeColor="text1"/>
          <w:sz w:val="16"/>
          <w:szCs w:val="16"/>
        </w:rPr>
        <w:softHyphen/>
        <w:t>лок сержант А. А. Базаркин), з/комэск ст. л-т Ф. И. Рябов (воздушный стре</w:t>
      </w:r>
      <w:r w:rsidRPr="00D03F3E">
        <w:rPr>
          <w:rFonts w:ascii="Times New Roman" w:hAnsi="Times New Roman"/>
          <w:color w:val="000000" w:themeColor="text1"/>
          <w:sz w:val="16"/>
          <w:szCs w:val="16"/>
        </w:rPr>
        <w:softHyphen/>
        <w:t>лок сержант Ф. М. Виноградов), ко</w:t>
      </w:r>
      <w:r w:rsidRPr="00D03F3E">
        <w:rPr>
          <w:rFonts w:ascii="Times New Roman" w:hAnsi="Times New Roman"/>
          <w:color w:val="000000" w:themeColor="text1"/>
          <w:sz w:val="16"/>
          <w:szCs w:val="16"/>
        </w:rPr>
        <w:softHyphen/>
        <w:t>мэск к-н И. М. Скаредное (воздушный стрелок сержант Т. Т. Воронин), лет</w:t>
      </w:r>
      <w:r w:rsidRPr="00D03F3E">
        <w:rPr>
          <w:rFonts w:ascii="Times New Roman" w:hAnsi="Times New Roman"/>
          <w:color w:val="000000" w:themeColor="text1"/>
          <w:sz w:val="16"/>
          <w:szCs w:val="16"/>
        </w:rPr>
        <w:softHyphen/>
        <w:t>чик сержант М. А. Никишин, летчик мл. л-т И. Г. Канаев (воздушный стрелок старшина К. И, Шульга), летчик ст. л-т Е. Н. Шулешко.</w:t>
      </w:r>
    </w:p>
    <w:p w14:paraId="182AD73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отчетных документах штаба 224-й шад указывается, что в воздушном бою летчики и воздушные стрелки сби</w:t>
      </w:r>
      <w:r w:rsidRPr="00D03F3E">
        <w:rPr>
          <w:rFonts w:ascii="Times New Roman" w:hAnsi="Times New Roman"/>
          <w:color w:val="000000" w:themeColor="text1"/>
          <w:sz w:val="16"/>
          <w:szCs w:val="16"/>
        </w:rPr>
        <w:softHyphen/>
        <w:t>ли три Ру/190 и один "фокке-вульф" подбили. Непосредственно на аэро</w:t>
      </w:r>
      <w:r w:rsidRPr="00D03F3E">
        <w:rPr>
          <w:rFonts w:ascii="Times New Roman" w:hAnsi="Times New Roman"/>
          <w:color w:val="000000" w:themeColor="text1"/>
          <w:sz w:val="16"/>
          <w:szCs w:val="16"/>
        </w:rPr>
        <w:softHyphen/>
        <w:t>дроме Брянск было уничтожено до 17 и повреждено до 12 самолетов про</w:t>
      </w:r>
      <w:r w:rsidRPr="00D03F3E">
        <w:rPr>
          <w:rFonts w:ascii="Times New Roman" w:hAnsi="Times New Roman"/>
          <w:color w:val="000000" w:themeColor="text1"/>
          <w:sz w:val="16"/>
          <w:szCs w:val="16"/>
        </w:rPr>
        <w:softHyphen/>
        <w:t xml:space="preserve">тивника, наблюдалось </w:t>
      </w:r>
      <w:r w:rsidRPr="00D03F3E">
        <w:rPr>
          <w:rFonts w:ascii="Times New Roman" w:hAnsi="Times New Roman"/>
          <w:iCs/>
          <w:color w:val="000000" w:themeColor="text1"/>
          <w:sz w:val="16"/>
          <w:szCs w:val="16"/>
        </w:rPr>
        <w:t>"...4 больших взрыва с пламенем высотой до 80-100 м (предположительно взорвано 4 ав</w:t>
      </w:r>
      <w:r w:rsidRPr="00D03F3E">
        <w:rPr>
          <w:rFonts w:ascii="Times New Roman" w:hAnsi="Times New Roman"/>
          <w:iCs/>
          <w:color w:val="000000" w:themeColor="text1"/>
          <w:sz w:val="16"/>
          <w:szCs w:val="16"/>
        </w:rPr>
        <w:softHyphen/>
        <w:t>тобензоцистерны или мелких бензохра</w:t>
      </w:r>
      <w:r w:rsidRPr="00D03F3E">
        <w:rPr>
          <w:rFonts w:ascii="Times New Roman" w:hAnsi="Times New Roman"/>
          <w:iCs/>
          <w:color w:val="000000" w:themeColor="text1"/>
          <w:sz w:val="16"/>
          <w:szCs w:val="16"/>
        </w:rPr>
        <w:softHyphen/>
        <w:t>нилища), РС-82 подавлен огонь одной батареи ЗА".</w:t>
      </w:r>
    </w:p>
    <w:p w14:paraId="3E8EE74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Что касается судьбы злосчастной девятки Пе-2 от 261-го </w:t>
      </w:r>
      <w:r w:rsidRPr="00D03F3E">
        <w:rPr>
          <w:rFonts w:ascii="Times New Roman" w:hAnsi="Times New Roman"/>
          <w:iCs/>
          <w:color w:val="000000" w:themeColor="text1"/>
          <w:sz w:val="16"/>
          <w:szCs w:val="16"/>
        </w:rPr>
        <w:t xml:space="preserve">бап, </w:t>
      </w:r>
      <w:r w:rsidRPr="00D03F3E">
        <w:rPr>
          <w:rFonts w:ascii="Times New Roman" w:hAnsi="Times New Roman"/>
          <w:color w:val="000000" w:themeColor="text1"/>
          <w:sz w:val="16"/>
          <w:szCs w:val="16"/>
        </w:rPr>
        <w:t>которую обвинили во всех бедах штурмовиков, то можно сказать следующее.</w:t>
      </w:r>
    </w:p>
    <w:p w14:paraId="0B4BF65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Обнаружив, наконец, аэродром Брянск, экипажи Пе-2 подошли к нему на приглушенных моторах и с высоты 3500 м нанесли бомбовый удар из-за облачности. Результатов бомбомета</w:t>
      </w:r>
      <w:r w:rsidRPr="00D03F3E">
        <w:rPr>
          <w:rFonts w:ascii="Times New Roman" w:hAnsi="Times New Roman"/>
          <w:color w:val="000000" w:themeColor="text1"/>
          <w:sz w:val="16"/>
          <w:szCs w:val="16"/>
        </w:rPr>
        <w:softHyphen/>
        <w:t>ния экипажи не наблюдали.</w:t>
      </w:r>
    </w:p>
    <w:p w14:paraId="7C358BF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отходе от цели на развороте три "фокке-вульфа" сделали попытку атаковать бомбардировщики, но истре</w:t>
      </w:r>
      <w:r w:rsidRPr="00D03F3E">
        <w:rPr>
          <w:rFonts w:ascii="Times New Roman" w:hAnsi="Times New Roman"/>
          <w:color w:val="000000" w:themeColor="text1"/>
          <w:sz w:val="16"/>
          <w:szCs w:val="16"/>
        </w:rPr>
        <w:softHyphen/>
        <w:t>бители 18-го гиал были начеку. Лейте</w:t>
      </w:r>
      <w:r w:rsidRPr="00D03F3E">
        <w:rPr>
          <w:rFonts w:ascii="Times New Roman" w:hAnsi="Times New Roman"/>
          <w:color w:val="000000" w:themeColor="text1"/>
          <w:sz w:val="16"/>
          <w:szCs w:val="16"/>
        </w:rPr>
        <w:softHyphen/>
        <w:t>нант Замковский сбил один ру/190, который упал в районе Бежица. Ос</w:t>
      </w:r>
      <w:r w:rsidRPr="00D03F3E">
        <w:rPr>
          <w:rFonts w:ascii="Times New Roman" w:hAnsi="Times New Roman"/>
          <w:color w:val="000000" w:themeColor="text1"/>
          <w:sz w:val="16"/>
          <w:szCs w:val="16"/>
        </w:rPr>
        <w:softHyphen/>
        <w:t xml:space="preserve">тальные "фоккеры" </w:t>
      </w:r>
      <w:r w:rsidRPr="00D03F3E">
        <w:rPr>
          <w:rFonts w:ascii="Times New Roman" w:hAnsi="Times New Roman"/>
          <w:iCs/>
          <w:color w:val="000000" w:themeColor="text1"/>
          <w:sz w:val="16"/>
          <w:szCs w:val="16"/>
        </w:rPr>
        <w:t>"...после непродол</w:t>
      </w:r>
      <w:r w:rsidRPr="00D03F3E">
        <w:rPr>
          <w:rFonts w:ascii="Times New Roman" w:hAnsi="Times New Roman"/>
          <w:iCs/>
          <w:color w:val="000000" w:themeColor="text1"/>
          <w:sz w:val="16"/>
          <w:szCs w:val="16"/>
        </w:rPr>
        <w:softHyphen/>
        <w:t>жительного боя ушли в южном направ</w:t>
      </w:r>
      <w:r w:rsidRPr="00D03F3E">
        <w:rPr>
          <w:rFonts w:ascii="Times New Roman" w:hAnsi="Times New Roman"/>
          <w:iCs/>
          <w:color w:val="000000" w:themeColor="text1"/>
          <w:sz w:val="16"/>
          <w:szCs w:val="16"/>
        </w:rPr>
        <w:softHyphen/>
        <w:t>лении ".</w:t>
      </w:r>
    </w:p>
    <w:p w14:paraId="2D477D5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Обходя грозовую облачность, Пе-2 вышли в район Жиздра-Зикеево, где были встречены интенсивным зенитным огнем. Первым же залпом был подбит ведущий группы к-н Гришин, который, </w:t>
      </w:r>
      <w:r w:rsidRPr="00D03F3E">
        <w:rPr>
          <w:rFonts w:ascii="Times New Roman" w:hAnsi="Times New Roman"/>
          <w:iCs/>
          <w:color w:val="000000" w:themeColor="text1"/>
          <w:sz w:val="16"/>
          <w:szCs w:val="16"/>
        </w:rPr>
        <w:t>"уходя со снижением в направлении нашей территории, был атакован ис</w:t>
      </w:r>
      <w:r w:rsidRPr="00D03F3E">
        <w:rPr>
          <w:rFonts w:ascii="Times New Roman" w:hAnsi="Times New Roman"/>
          <w:iCs/>
          <w:color w:val="000000" w:themeColor="text1"/>
          <w:sz w:val="16"/>
          <w:szCs w:val="16"/>
        </w:rPr>
        <w:softHyphen/>
        <w:t>требителями противника неустановлен</w:t>
      </w:r>
      <w:r w:rsidRPr="00D03F3E">
        <w:rPr>
          <w:rFonts w:ascii="Times New Roman" w:hAnsi="Times New Roman"/>
          <w:iCs/>
          <w:color w:val="000000" w:themeColor="text1"/>
          <w:sz w:val="16"/>
          <w:szCs w:val="16"/>
        </w:rPr>
        <w:softHyphen/>
        <w:t xml:space="preserve">ного типа". </w:t>
      </w:r>
      <w:r w:rsidRPr="00D03F3E">
        <w:rPr>
          <w:rFonts w:ascii="Times New Roman" w:hAnsi="Times New Roman"/>
          <w:color w:val="000000" w:themeColor="text1"/>
          <w:sz w:val="16"/>
          <w:szCs w:val="16"/>
        </w:rPr>
        <w:t>По наблюдению наших наземных войск, из горящего самоле</w:t>
      </w:r>
      <w:r w:rsidRPr="00D03F3E">
        <w:rPr>
          <w:rFonts w:ascii="Times New Roman" w:hAnsi="Times New Roman"/>
          <w:color w:val="000000" w:themeColor="text1"/>
          <w:sz w:val="16"/>
          <w:szCs w:val="16"/>
        </w:rPr>
        <w:softHyphen/>
        <w:t>та, идущего со снижением, выпрыгнул сначала стрелок-радист, который был убит огнем с земли, и затем на высоте примерно 100 м - к-н Гришин. Одна</w:t>
      </w:r>
      <w:r w:rsidRPr="00D03F3E">
        <w:rPr>
          <w:rFonts w:ascii="Times New Roman" w:hAnsi="Times New Roman"/>
          <w:color w:val="000000" w:themeColor="text1"/>
          <w:sz w:val="16"/>
          <w:szCs w:val="16"/>
        </w:rPr>
        <w:softHyphen/>
        <w:t>ко парашют не раскрылся, и Гришин разбился при ударе о землю. Штур</w:t>
      </w:r>
      <w:r w:rsidRPr="00D03F3E">
        <w:rPr>
          <w:rFonts w:ascii="Times New Roman" w:hAnsi="Times New Roman"/>
          <w:color w:val="000000" w:themeColor="text1"/>
          <w:sz w:val="16"/>
          <w:szCs w:val="16"/>
        </w:rPr>
        <w:softHyphen/>
        <w:t>ман погиб вместе с самолетом.</w:t>
      </w:r>
    </w:p>
    <w:p w14:paraId="2A9F463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Оставшаяся группа бомбардиров</w:t>
      </w:r>
      <w:r w:rsidRPr="00D03F3E">
        <w:rPr>
          <w:rFonts w:ascii="Times New Roman" w:hAnsi="Times New Roman"/>
          <w:color w:val="000000" w:themeColor="text1"/>
          <w:sz w:val="16"/>
          <w:szCs w:val="16"/>
        </w:rPr>
        <w:softHyphen/>
        <w:t>щиков в районе Жиздра была атако</w:t>
      </w:r>
      <w:r w:rsidRPr="00D03F3E">
        <w:rPr>
          <w:rFonts w:ascii="Times New Roman" w:hAnsi="Times New Roman"/>
          <w:color w:val="000000" w:themeColor="text1"/>
          <w:sz w:val="16"/>
          <w:szCs w:val="16"/>
        </w:rPr>
        <w:softHyphen/>
        <w:t>вана одной парой Ру/190. При отра</w:t>
      </w:r>
      <w:r w:rsidRPr="00D03F3E">
        <w:rPr>
          <w:rFonts w:ascii="Times New Roman" w:hAnsi="Times New Roman"/>
          <w:color w:val="000000" w:themeColor="text1"/>
          <w:sz w:val="16"/>
          <w:szCs w:val="16"/>
        </w:rPr>
        <w:softHyphen/>
        <w:t>жении атаки истребителей противни</w:t>
      </w:r>
      <w:r w:rsidRPr="00D03F3E">
        <w:rPr>
          <w:rFonts w:ascii="Times New Roman" w:hAnsi="Times New Roman"/>
          <w:color w:val="000000" w:themeColor="text1"/>
          <w:sz w:val="16"/>
          <w:szCs w:val="16"/>
        </w:rPr>
        <w:softHyphen/>
        <w:t>ка штурман к-н Шеремет сбил один "фокке-вульф".</w:t>
      </w:r>
    </w:p>
    <w:p w14:paraId="3B54C7B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дальнейшем командиру звена ка</w:t>
      </w:r>
      <w:r w:rsidRPr="00D03F3E">
        <w:rPr>
          <w:rFonts w:ascii="Times New Roman" w:hAnsi="Times New Roman"/>
          <w:color w:val="000000" w:themeColor="text1"/>
          <w:sz w:val="16"/>
          <w:szCs w:val="16"/>
        </w:rPr>
        <w:softHyphen/>
        <w:t>питану Мохину удалось вывести груп</w:t>
      </w:r>
      <w:r w:rsidRPr="00D03F3E">
        <w:rPr>
          <w:rFonts w:ascii="Times New Roman" w:hAnsi="Times New Roman"/>
          <w:color w:val="000000" w:themeColor="text1"/>
          <w:sz w:val="16"/>
          <w:szCs w:val="16"/>
        </w:rPr>
        <w:softHyphen/>
        <w:t xml:space="preserve">пу в район аэродромов Глодское и Пе-сочинский, где экипажи </w:t>
      </w:r>
      <w:r w:rsidRPr="00D03F3E">
        <w:rPr>
          <w:rFonts w:ascii="Times New Roman" w:hAnsi="Times New Roman"/>
          <w:iCs/>
          <w:color w:val="000000" w:themeColor="text1"/>
          <w:sz w:val="16"/>
          <w:szCs w:val="16"/>
        </w:rPr>
        <w:t>"из-за ограни</w:t>
      </w:r>
      <w:r w:rsidRPr="00D03F3E">
        <w:rPr>
          <w:rFonts w:ascii="Times New Roman" w:hAnsi="Times New Roman"/>
          <w:iCs/>
          <w:color w:val="000000" w:themeColor="text1"/>
          <w:sz w:val="16"/>
          <w:szCs w:val="16"/>
        </w:rPr>
        <w:softHyphen/>
        <w:t>ченности горючего произвели вынуж</w:t>
      </w:r>
      <w:r w:rsidRPr="00D03F3E">
        <w:rPr>
          <w:rFonts w:ascii="Times New Roman" w:hAnsi="Times New Roman"/>
          <w:iCs/>
          <w:color w:val="000000" w:themeColor="text1"/>
          <w:sz w:val="16"/>
          <w:szCs w:val="16"/>
        </w:rPr>
        <w:softHyphen/>
        <w:t>денные посадки".</w:t>
      </w:r>
    </w:p>
    <w:p w14:paraId="3E7F031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общей сложности из 233 самоле</w:t>
      </w:r>
      <w:r w:rsidRPr="00D03F3E">
        <w:rPr>
          <w:rFonts w:ascii="Times New Roman" w:hAnsi="Times New Roman"/>
          <w:color w:val="000000" w:themeColor="text1"/>
          <w:sz w:val="16"/>
          <w:szCs w:val="16"/>
        </w:rPr>
        <w:softHyphen/>
        <w:t>тов, участвовавших в ударах по аэро</w:t>
      </w:r>
      <w:r w:rsidRPr="00D03F3E">
        <w:rPr>
          <w:rFonts w:ascii="Times New Roman" w:hAnsi="Times New Roman"/>
          <w:color w:val="000000" w:themeColor="text1"/>
          <w:sz w:val="16"/>
          <w:szCs w:val="16"/>
        </w:rPr>
        <w:softHyphen/>
        <w:t xml:space="preserve">дромам Брянск и Сеща днем 10 июня, не вернулось 40 самолетов: 19 Ил-2, 11 Пе-2 от 204-й </w:t>
      </w:r>
      <w:r w:rsidRPr="00D03F3E">
        <w:rPr>
          <w:rFonts w:ascii="Times New Roman" w:hAnsi="Times New Roman"/>
          <w:iCs/>
          <w:color w:val="000000" w:themeColor="text1"/>
          <w:sz w:val="16"/>
          <w:szCs w:val="16"/>
        </w:rPr>
        <w:t xml:space="preserve">бад, </w:t>
      </w:r>
      <w:r w:rsidRPr="00D03F3E">
        <w:rPr>
          <w:rFonts w:ascii="Times New Roman" w:hAnsi="Times New Roman"/>
          <w:color w:val="000000" w:themeColor="text1"/>
          <w:sz w:val="16"/>
          <w:szCs w:val="16"/>
        </w:rPr>
        <w:t xml:space="preserve">три Ла-5 от 2-го </w:t>
      </w:r>
      <w:r w:rsidRPr="00D03F3E">
        <w:rPr>
          <w:rFonts w:ascii="Times New Roman" w:hAnsi="Times New Roman"/>
          <w:iCs/>
          <w:color w:val="000000" w:themeColor="text1"/>
          <w:sz w:val="16"/>
          <w:szCs w:val="16"/>
        </w:rPr>
        <w:t xml:space="preserve">иак, </w:t>
      </w:r>
      <w:r w:rsidRPr="00D03F3E">
        <w:rPr>
          <w:rFonts w:ascii="Times New Roman" w:hAnsi="Times New Roman"/>
          <w:color w:val="000000" w:themeColor="text1"/>
          <w:sz w:val="16"/>
          <w:szCs w:val="16"/>
        </w:rPr>
        <w:t xml:space="preserve">два Як-1 от 122-го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 xml:space="preserve">4 Як-7 от 303-й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 xml:space="preserve">и один Як-1 от 309-й </w:t>
      </w:r>
      <w:r w:rsidRPr="00D03F3E">
        <w:rPr>
          <w:rFonts w:ascii="Times New Roman" w:hAnsi="Times New Roman"/>
          <w:iCs/>
          <w:color w:val="000000" w:themeColor="text1"/>
          <w:sz w:val="16"/>
          <w:szCs w:val="16"/>
        </w:rPr>
        <w:t>над.</w:t>
      </w:r>
    </w:p>
    <w:p w14:paraId="29A5442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этом, несмотря на значитель</w:t>
      </w:r>
      <w:r w:rsidRPr="00D03F3E">
        <w:rPr>
          <w:rFonts w:ascii="Times New Roman" w:hAnsi="Times New Roman"/>
          <w:color w:val="000000" w:themeColor="text1"/>
          <w:sz w:val="16"/>
          <w:szCs w:val="16"/>
        </w:rPr>
        <w:softHyphen/>
        <w:t>ные силы истребительной авиации, вы</w:t>
      </w:r>
      <w:r w:rsidRPr="00D03F3E">
        <w:rPr>
          <w:rFonts w:ascii="Times New Roman" w:hAnsi="Times New Roman"/>
          <w:color w:val="000000" w:themeColor="text1"/>
          <w:sz w:val="16"/>
          <w:szCs w:val="16"/>
        </w:rPr>
        <w:softHyphen/>
        <w:t>деленные в обеспечение действий штурмовиков и бомбардировщиков, подавляющее большинство потерь воз</w:t>
      </w:r>
      <w:r w:rsidRPr="00D03F3E">
        <w:rPr>
          <w:rFonts w:ascii="Times New Roman" w:hAnsi="Times New Roman"/>
          <w:color w:val="000000" w:themeColor="text1"/>
          <w:sz w:val="16"/>
          <w:szCs w:val="16"/>
        </w:rPr>
        <w:softHyphen/>
        <w:t>душной армии - 95% всех потерь -пришлись на действия истребительной авиации люфтваффе. То есть истреби</w:t>
      </w:r>
      <w:r w:rsidRPr="00D03F3E">
        <w:rPr>
          <w:rFonts w:ascii="Times New Roman" w:hAnsi="Times New Roman"/>
          <w:color w:val="000000" w:themeColor="text1"/>
          <w:sz w:val="16"/>
          <w:szCs w:val="16"/>
        </w:rPr>
        <w:softHyphen/>
        <w:t>тели 1-й ВА своей задачи не выполнили.</w:t>
      </w:r>
    </w:p>
    <w:p w14:paraId="4434164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Расследование случившегося шта</w:t>
      </w:r>
      <w:r w:rsidRPr="00D03F3E">
        <w:rPr>
          <w:rFonts w:ascii="Times New Roman" w:hAnsi="Times New Roman"/>
          <w:color w:val="000000" w:themeColor="text1"/>
          <w:sz w:val="16"/>
          <w:szCs w:val="16"/>
        </w:rPr>
        <w:softHyphen/>
        <w:t>бом 1-й ВА показало, что столь боль</w:t>
      </w:r>
      <w:r w:rsidRPr="00D03F3E">
        <w:rPr>
          <w:rFonts w:ascii="Times New Roman" w:hAnsi="Times New Roman"/>
          <w:color w:val="000000" w:themeColor="text1"/>
          <w:sz w:val="16"/>
          <w:szCs w:val="16"/>
        </w:rPr>
        <w:softHyphen/>
        <w:t>шие потери частей армии обусловле</w:t>
      </w:r>
      <w:r w:rsidRPr="00D03F3E">
        <w:rPr>
          <w:rFonts w:ascii="Times New Roman" w:hAnsi="Times New Roman"/>
          <w:color w:val="000000" w:themeColor="text1"/>
          <w:sz w:val="16"/>
          <w:szCs w:val="16"/>
        </w:rPr>
        <w:softHyphen/>
        <w:t>ны главным образом ошибками, допу</w:t>
      </w:r>
      <w:r w:rsidRPr="00D03F3E">
        <w:rPr>
          <w:rFonts w:ascii="Times New Roman" w:hAnsi="Times New Roman"/>
          <w:color w:val="000000" w:themeColor="text1"/>
          <w:sz w:val="16"/>
          <w:szCs w:val="16"/>
        </w:rPr>
        <w:softHyphen/>
        <w:t>щенными при организации боевых вы</w:t>
      </w:r>
      <w:r w:rsidRPr="00D03F3E">
        <w:rPr>
          <w:rFonts w:ascii="Times New Roman" w:hAnsi="Times New Roman"/>
          <w:color w:val="000000" w:themeColor="text1"/>
          <w:sz w:val="16"/>
          <w:szCs w:val="16"/>
        </w:rPr>
        <w:softHyphen/>
        <w:t>летов и взаимодействия штурмовиков с прикрывающими их истребителями.</w:t>
      </w:r>
    </w:p>
    <w:p w14:paraId="1D47B60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Группы штурмовиков и истребителей прикрытия, взлетая с разных аэродро</w:t>
      </w:r>
      <w:r w:rsidRPr="00D03F3E">
        <w:rPr>
          <w:rFonts w:ascii="Times New Roman" w:hAnsi="Times New Roman"/>
          <w:color w:val="000000" w:themeColor="text1"/>
          <w:sz w:val="16"/>
          <w:szCs w:val="16"/>
        </w:rPr>
        <w:softHyphen/>
        <w:t>мов, не были собраны вместе и бое</w:t>
      </w:r>
      <w:r w:rsidRPr="00D03F3E">
        <w:rPr>
          <w:rFonts w:ascii="Times New Roman" w:hAnsi="Times New Roman"/>
          <w:color w:val="000000" w:themeColor="text1"/>
          <w:sz w:val="16"/>
          <w:szCs w:val="16"/>
        </w:rPr>
        <w:softHyphen/>
        <w:t>вую задачу выполняли фактически не</w:t>
      </w:r>
      <w:r w:rsidRPr="00D03F3E">
        <w:rPr>
          <w:rFonts w:ascii="Times New Roman" w:hAnsi="Times New Roman"/>
          <w:color w:val="000000" w:themeColor="text1"/>
          <w:sz w:val="16"/>
          <w:szCs w:val="16"/>
        </w:rPr>
        <w:softHyphen/>
        <w:t>зависимо друг от друга, хотя полет выполняли совместно.</w:t>
      </w:r>
    </w:p>
    <w:p w14:paraId="631E02C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Сопровождающие истребители ввя</w:t>
      </w:r>
      <w:r w:rsidRPr="00D03F3E">
        <w:rPr>
          <w:rFonts w:ascii="Times New Roman" w:hAnsi="Times New Roman"/>
          <w:color w:val="000000" w:themeColor="text1"/>
          <w:sz w:val="16"/>
          <w:szCs w:val="16"/>
        </w:rPr>
        <w:softHyphen/>
        <w:t>зывались в воздушные бои с первыми же попавшимися на пути небольшими группами и одиночными истребителя</w:t>
      </w:r>
      <w:r w:rsidRPr="00D03F3E">
        <w:rPr>
          <w:rFonts w:ascii="Times New Roman" w:hAnsi="Times New Roman"/>
          <w:color w:val="000000" w:themeColor="text1"/>
          <w:sz w:val="16"/>
          <w:szCs w:val="16"/>
        </w:rPr>
        <w:softHyphen/>
        <w:t xml:space="preserve">ми противника, </w:t>
      </w:r>
      <w:r w:rsidRPr="00D03F3E">
        <w:rPr>
          <w:rFonts w:ascii="Times New Roman" w:hAnsi="Times New Roman"/>
          <w:iCs/>
          <w:color w:val="000000" w:themeColor="text1"/>
          <w:sz w:val="16"/>
          <w:szCs w:val="16"/>
        </w:rPr>
        <w:t>"дали возможность ско</w:t>
      </w:r>
      <w:r w:rsidRPr="00D03F3E">
        <w:rPr>
          <w:rFonts w:ascii="Times New Roman" w:hAnsi="Times New Roman"/>
          <w:iCs/>
          <w:color w:val="000000" w:themeColor="text1"/>
          <w:sz w:val="16"/>
          <w:szCs w:val="16"/>
        </w:rPr>
        <w:softHyphen/>
        <w:t xml:space="preserve">вать себя" </w:t>
      </w:r>
      <w:r w:rsidRPr="00D03F3E">
        <w:rPr>
          <w:rFonts w:ascii="Times New Roman" w:hAnsi="Times New Roman"/>
          <w:color w:val="000000" w:themeColor="text1"/>
          <w:sz w:val="16"/>
          <w:szCs w:val="16"/>
        </w:rPr>
        <w:t>и оставили штурмовиков одних.</w:t>
      </w:r>
    </w:p>
    <w:p w14:paraId="115D71E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заданию истребители сопровож</w:t>
      </w:r>
      <w:r w:rsidRPr="00D03F3E">
        <w:rPr>
          <w:rFonts w:ascii="Times New Roman" w:hAnsi="Times New Roman"/>
          <w:color w:val="000000" w:themeColor="text1"/>
          <w:sz w:val="16"/>
          <w:szCs w:val="16"/>
        </w:rPr>
        <w:softHyphen/>
        <w:t>дения не должны были идти на цель вместе с Ил-2, а должны были встре</w:t>
      </w:r>
      <w:r w:rsidRPr="00D03F3E">
        <w:rPr>
          <w:rFonts w:ascii="Times New Roman" w:hAnsi="Times New Roman"/>
          <w:color w:val="000000" w:themeColor="text1"/>
          <w:sz w:val="16"/>
          <w:szCs w:val="16"/>
        </w:rPr>
        <w:softHyphen/>
        <w:t xml:space="preserve">чать их после атаки в районе сбора (лесной массив около ст. Батогово). Это </w:t>
      </w:r>
      <w:r w:rsidRPr="00D03F3E">
        <w:rPr>
          <w:rFonts w:ascii="Times New Roman" w:hAnsi="Times New Roman"/>
          <w:iCs/>
          <w:color w:val="000000" w:themeColor="text1"/>
          <w:sz w:val="16"/>
          <w:szCs w:val="16"/>
        </w:rPr>
        <w:t>"дало повод истребителям оторваться от штурмовиков и не искать с ними встречи после атаки аэродрома".</w:t>
      </w:r>
    </w:p>
    <w:p w14:paraId="48E743B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то же время командование 1-й воздушной армии считало, что цель на</w:t>
      </w:r>
      <w:r w:rsidRPr="00D03F3E">
        <w:rPr>
          <w:rFonts w:ascii="Times New Roman" w:hAnsi="Times New Roman"/>
          <w:color w:val="000000" w:themeColor="text1"/>
          <w:sz w:val="16"/>
          <w:szCs w:val="16"/>
        </w:rPr>
        <w:softHyphen/>
        <w:t>летов на аэродромы противника дос</w:t>
      </w:r>
      <w:r w:rsidRPr="00D03F3E">
        <w:rPr>
          <w:rFonts w:ascii="Times New Roman" w:hAnsi="Times New Roman"/>
          <w:color w:val="000000" w:themeColor="text1"/>
          <w:sz w:val="16"/>
          <w:szCs w:val="16"/>
        </w:rPr>
        <w:softHyphen/>
        <w:t>тигнута - авиация противника подав</w:t>
      </w:r>
      <w:r w:rsidRPr="00D03F3E">
        <w:rPr>
          <w:rFonts w:ascii="Times New Roman" w:hAnsi="Times New Roman"/>
          <w:color w:val="000000" w:themeColor="text1"/>
          <w:sz w:val="16"/>
          <w:szCs w:val="16"/>
        </w:rPr>
        <w:softHyphen/>
        <w:t>лена. По данным штаба армии на всех аэродромах было уничтожено и по</w:t>
      </w:r>
      <w:r w:rsidRPr="00D03F3E">
        <w:rPr>
          <w:rFonts w:ascii="Times New Roman" w:hAnsi="Times New Roman"/>
          <w:color w:val="000000" w:themeColor="text1"/>
          <w:sz w:val="16"/>
          <w:szCs w:val="16"/>
        </w:rPr>
        <w:softHyphen/>
        <w:t>вреждено до 76 самолетов противни</w:t>
      </w:r>
      <w:r w:rsidRPr="00D03F3E">
        <w:rPr>
          <w:rFonts w:ascii="Times New Roman" w:hAnsi="Times New Roman"/>
          <w:color w:val="000000" w:themeColor="text1"/>
          <w:sz w:val="16"/>
          <w:szCs w:val="16"/>
        </w:rPr>
        <w:softHyphen/>
        <w:t>ка, 8-9 точек МЗА, 4 точки ЗПУ, 4 бен</w:t>
      </w:r>
      <w:r w:rsidRPr="00D03F3E">
        <w:rPr>
          <w:rFonts w:ascii="Times New Roman" w:hAnsi="Times New Roman"/>
          <w:color w:val="000000" w:themeColor="text1"/>
          <w:sz w:val="16"/>
          <w:szCs w:val="16"/>
        </w:rPr>
        <w:softHyphen/>
        <w:t>зозаправщика и 14 самолетов сбито в воздушных боях. Из этого числа на аэродроме Сеща уничтожено и по</w:t>
      </w:r>
      <w:r w:rsidRPr="00D03F3E">
        <w:rPr>
          <w:rFonts w:ascii="Times New Roman" w:hAnsi="Times New Roman"/>
          <w:color w:val="000000" w:themeColor="text1"/>
          <w:sz w:val="16"/>
          <w:szCs w:val="16"/>
        </w:rPr>
        <w:softHyphen/>
        <w:t>вреждено до 30-37 самолетов, на аэродроме Брянск - 30-32 самолета и аэродроме Озерская - 10 самоле</w:t>
      </w:r>
      <w:r w:rsidRPr="00D03F3E">
        <w:rPr>
          <w:rFonts w:ascii="Times New Roman" w:hAnsi="Times New Roman"/>
          <w:color w:val="000000" w:themeColor="text1"/>
          <w:sz w:val="16"/>
          <w:szCs w:val="16"/>
        </w:rPr>
        <w:softHyphen/>
        <w:t>тов (11088).</w:t>
      </w:r>
    </w:p>
    <w:p w14:paraId="6B1DC86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95ED4A8"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8 июня 1943 в налете на аэродром Сеща должны были участвовать самолеты 198</w:t>
      </w:r>
      <w:r w:rsidRPr="00D03F3E">
        <w:rPr>
          <w:rFonts w:ascii="Times New Roman" w:hAnsi="Times New Roman"/>
          <w:color w:val="0070C0"/>
          <w:sz w:val="16"/>
          <w:szCs w:val="16"/>
        </w:rPr>
        <w:noBreakHyphen/>
        <w:t>го шап и двух других полков 233</w:t>
      </w:r>
      <w:r w:rsidRPr="00D03F3E">
        <w:rPr>
          <w:rFonts w:ascii="Times New Roman" w:hAnsi="Times New Roman"/>
          <w:color w:val="0070C0"/>
          <w:sz w:val="16"/>
          <w:szCs w:val="16"/>
        </w:rPr>
        <w:noBreakHyphen/>
        <w:t>й шад – 62</w:t>
      </w:r>
      <w:r w:rsidRPr="00D03F3E">
        <w:rPr>
          <w:rFonts w:ascii="Times New Roman" w:hAnsi="Times New Roman"/>
          <w:color w:val="0070C0"/>
          <w:sz w:val="16"/>
          <w:szCs w:val="16"/>
        </w:rPr>
        <w:noBreakHyphen/>
        <w:t>го и 312</w:t>
      </w:r>
      <w:r w:rsidRPr="00D03F3E">
        <w:rPr>
          <w:rFonts w:ascii="Times New Roman" w:hAnsi="Times New Roman"/>
          <w:color w:val="0070C0"/>
          <w:sz w:val="16"/>
          <w:szCs w:val="16"/>
        </w:rPr>
        <w:noBreakHyphen/>
        <w:t>го шап. В общей сложности для удара выделялись 36 Ил</w:t>
      </w:r>
      <w:r w:rsidRPr="00D03F3E">
        <w:rPr>
          <w:rFonts w:ascii="Times New Roman" w:hAnsi="Times New Roman"/>
          <w:color w:val="0070C0"/>
          <w:sz w:val="16"/>
          <w:szCs w:val="16"/>
        </w:rPr>
        <w:noBreakHyphen/>
        <w:t>2. После постановки задачи представитель 172</w:t>
      </w:r>
      <w:r w:rsidRPr="00D03F3E">
        <w:rPr>
          <w:rFonts w:ascii="Times New Roman" w:hAnsi="Times New Roman"/>
          <w:color w:val="0070C0"/>
          <w:sz w:val="16"/>
          <w:szCs w:val="16"/>
        </w:rPr>
        <w:noBreakHyphen/>
        <w:t>го иап рассказал летчикам</w:t>
      </w:r>
      <w:r w:rsidRPr="00D03F3E">
        <w:rPr>
          <w:rFonts w:ascii="Times New Roman" w:hAnsi="Times New Roman"/>
          <w:color w:val="0070C0"/>
          <w:sz w:val="16"/>
          <w:szCs w:val="16"/>
        </w:rPr>
        <w:noBreakHyphen/>
        <w:t>штурмовикам о порядке встречи с истребителями сопровождения, назвал фамилии их ведущих. Эскорт состоял из 27 истребителей Як</w:t>
      </w:r>
      <w:r w:rsidRPr="00D03F3E">
        <w:rPr>
          <w:rFonts w:ascii="Times New Roman" w:hAnsi="Times New Roman"/>
          <w:color w:val="0070C0"/>
          <w:sz w:val="16"/>
          <w:szCs w:val="16"/>
        </w:rPr>
        <w:noBreakHyphen/>
        <w:t>1 и Як</w:t>
      </w:r>
      <w:r w:rsidRPr="00D03F3E">
        <w:rPr>
          <w:rFonts w:ascii="Times New Roman" w:hAnsi="Times New Roman"/>
          <w:color w:val="0070C0"/>
          <w:sz w:val="16"/>
          <w:szCs w:val="16"/>
        </w:rPr>
        <w:noBreakHyphen/>
        <w:t>7 из 233</w:t>
      </w:r>
      <w:r w:rsidRPr="00D03F3E">
        <w:rPr>
          <w:rFonts w:ascii="Times New Roman" w:hAnsi="Times New Roman"/>
          <w:color w:val="0070C0"/>
          <w:sz w:val="16"/>
          <w:szCs w:val="16"/>
        </w:rPr>
        <w:noBreakHyphen/>
        <w:t>й и 309</w:t>
      </w:r>
      <w:r w:rsidRPr="00D03F3E">
        <w:rPr>
          <w:rFonts w:ascii="Times New Roman" w:hAnsi="Times New Roman"/>
          <w:color w:val="0070C0"/>
          <w:sz w:val="16"/>
          <w:szCs w:val="16"/>
        </w:rPr>
        <w:noBreakHyphen/>
        <w:t>й иад.</w:t>
      </w:r>
    </w:p>
    <w:p w14:paraId="261103E7"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Утро 8 июня выдалось пасмурным. Облака низко висели над летным полем, временами моросил дождь. У летчиков, живших на фронте одним днем, это вызвало надежду, что вылет отложится. Однако ближе к вечеру погода несколько разгулялась, и в 20.20 все же поступил приказ – атаковать Сещинскую.</w:t>
      </w:r>
    </w:p>
    <w:p w14:paraId="75CF8AB5"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Организованного налета, как это часто уже бывало, не вышло. Одни штурмовики не смогли встретиться с истребителями сопровождения, другие – заблудились, а некоторые совершили вынужденные посадки из</w:t>
      </w:r>
      <w:r w:rsidRPr="00D03F3E">
        <w:rPr>
          <w:rFonts w:ascii="Times New Roman" w:hAnsi="Times New Roman"/>
          <w:color w:val="0070C0"/>
          <w:sz w:val="16"/>
          <w:szCs w:val="16"/>
        </w:rPr>
        <w:noBreakHyphen/>
        <w:t>за технических неисправностей. В итоге вместо 36 «горбатых» к вражескому «осиному гнезду» приближались всего тринадцать. Их экипажи это обстоятельство, конечно, мало радовало, так как чем больше была группа, тем соответственно была меньше вероятность, что будут атаковать и собьют именно тебя.</w:t>
      </w:r>
    </w:p>
    <w:p w14:paraId="36094122"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очередной раз не удалось достичь и внезапности. Уже на подходе к Сещинской две группы Ил</w:t>
      </w:r>
      <w:r w:rsidRPr="00D03F3E">
        <w:rPr>
          <w:rFonts w:ascii="Times New Roman" w:hAnsi="Times New Roman"/>
          <w:color w:val="0070C0"/>
          <w:sz w:val="16"/>
          <w:szCs w:val="16"/>
        </w:rPr>
        <w:noBreakHyphen/>
        <w:t>2, возглавляемые майором Бондаренко и капитаном Малинкиным, натолкнулись на интенсивный заградительный огонь. Казалось, немецкие зенитки стоят повсюду, на каждой поляне. Одновременно в воздухе вспыхивало до сотни разрывов, сопровождаемых гулким грохотом. Затем в небе на разных высотах показались знакомые силуэты «Мессершмиттов». Когда же штурмовики стали заходить для атаки, зенитчики открыли огонь уже по конкретным самолетам.</w:t>
      </w:r>
    </w:p>
    <w:p w14:paraId="1C14871A"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итоге пилотам Илов пришлось сбрасывать бомбы с горизонтального полета с высоты 1200 метров. Ни о каком точном прицеливании при этом не могло быть и речи. Правда, потом некоторые летчики бодро доложили, что «били с бреющего по стоянкам самолетов».</w:t>
      </w:r>
    </w:p>
    <w:p w14:paraId="5A8FAA70"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Повернувшим обратно Илам предстоял самый опасный отрезок пути. Все знали, что атаки истребителей люфтваффе наиболее опасны как раз на отходе. Но штурмовикам на сей раз повезло, поскольку вслед за ними над Сещинской появились 26 Пе</w:t>
      </w:r>
      <w:r w:rsidRPr="00D03F3E">
        <w:rPr>
          <w:rFonts w:ascii="Times New Roman" w:hAnsi="Times New Roman"/>
          <w:color w:val="0070C0"/>
          <w:sz w:val="16"/>
          <w:szCs w:val="16"/>
        </w:rPr>
        <w:noBreakHyphen/>
        <w:t>2 из 204</w:t>
      </w:r>
      <w:r w:rsidRPr="00D03F3E">
        <w:rPr>
          <w:rFonts w:ascii="Times New Roman" w:hAnsi="Times New Roman"/>
          <w:color w:val="0070C0"/>
          <w:sz w:val="16"/>
          <w:szCs w:val="16"/>
        </w:rPr>
        <w:noBreakHyphen/>
        <w:t>й бад полковника С.П. Андреева и сопровождавшие их 42 истребителя Лa</w:t>
      </w:r>
      <w:r w:rsidRPr="00D03F3E">
        <w:rPr>
          <w:rFonts w:ascii="Times New Roman" w:hAnsi="Times New Roman"/>
          <w:color w:val="0070C0"/>
          <w:sz w:val="16"/>
          <w:szCs w:val="16"/>
        </w:rPr>
        <w:noBreakHyphen/>
        <w:t>5, которые и отвлекли на себя внимание немцев. И все же некоторые «Мессершмитты» и «Фокке</w:t>
      </w:r>
      <w:r w:rsidRPr="00D03F3E">
        <w:rPr>
          <w:rFonts w:ascii="Times New Roman" w:hAnsi="Times New Roman"/>
          <w:color w:val="0070C0"/>
          <w:sz w:val="16"/>
          <w:szCs w:val="16"/>
        </w:rPr>
        <w:noBreakHyphen/>
        <w:t>Вульфы» атаковали Ил</w:t>
      </w:r>
      <w:r w:rsidRPr="00D03F3E">
        <w:rPr>
          <w:rFonts w:ascii="Times New Roman" w:hAnsi="Times New Roman"/>
          <w:color w:val="0070C0"/>
          <w:sz w:val="16"/>
          <w:szCs w:val="16"/>
        </w:rPr>
        <w:noBreakHyphen/>
        <w:t>2, которые шли к линии фронта разрозненными мелкими группами и поодиночке.</w:t>
      </w:r>
    </w:p>
    <w:p w14:paraId="548A7B27"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Так, одноместный Ил</w:t>
      </w:r>
      <w:r w:rsidRPr="00D03F3E">
        <w:rPr>
          <w:rFonts w:ascii="Times New Roman" w:hAnsi="Times New Roman"/>
          <w:color w:val="0070C0"/>
          <w:sz w:val="16"/>
          <w:szCs w:val="16"/>
        </w:rPr>
        <w:noBreakHyphen/>
        <w:t>2 младшего лейтенанта С. Петрова был поврежден прямым попаданием 20</w:t>
      </w:r>
      <w:r w:rsidRPr="00D03F3E">
        <w:rPr>
          <w:rFonts w:ascii="Times New Roman" w:hAnsi="Times New Roman"/>
          <w:color w:val="0070C0"/>
          <w:sz w:val="16"/>
          <w:szCs w:val="16"/>
        </w:rPr>
        <w:noBreakHyphen/>
        <w:t>мм снаряда, однако пилоту все же удалось развернуть машину в сторону линии фронта и на небольшой скорости выйти из зоны зенитного огня. Из</w:t>
      </w:r>
      <w:r w:rsidRPr="00D03F3E">
        <w:rPr>
          <w:rFonts w:ascii="Times New Roman" w:hAnsi="Times New Roman"/>
          <w:color w:val="0070C0"/>
          <w:sz w:val="16"/>
          <w:szCs w:val="16"/>
        </w:rPr>
        <w:noBreakHyphen/>
        <w:t>за неполадок в двигателе Петров отстал от своей группы и возвращался на свой аэродром в одиночку. Однако недалеко от линии фронта его штурмовик все же был настигнут парой Bf</w:t>
      </w:r>
      <w:r w:rsidRPr="00D03F3E">
        <w:rPr>
          <w:rFonts w:ascii="Times New Roman" w:hAnsi="Times New Roman"/>
          <w:color w:val="0070C0"/>
          <w:sz w:val="16"/>
          <w:szCs w:val="16"/>
        </w:rPr>
        <w:noBreakHyphen/>
        <w:t>109. Первая пулеметная очередь прошла мимо, но вторая ударила по центроплану. Петров снизился до бреющего полета и смог перетянуть через линию фронта. Но и «Мессершмитты» не отставали. Пулеметная очередь вывела из строя руль поворота. В итоге самолет плашмя упал на краю луга, пробороздил загнутыми лопастями винта около пятидесяти метров и остановился. Пилот опасался, что на открытом месте немцы добьют его, поэтому сразу же выбрался из кабины и залез под крыло.</w:t>
      </w:r>
    </w:p>
    <w:p w14:paraId="5FA379A8"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Двухместный Ил</w:t>
      </w:r>
      <w:r w:rsidRPr="00D03F3E">
        <w:rPr>
          <w:rFonts w:ascii="Times New Roman" w:hAnsi="Times New Roman"/>
          <w:color w:val="0070C0"/>
          <w:sz w:val="16"/>
          <w:szCs w:val="16"/>
        </w:rPr>
        <w:noBreakHyphen/>
        <w:t>2 Героя Советского Союза майора Михаила Бондаренко вскоре после разворота на обратный курс был замечен одиночным мессером, который затем произвел в общей сложности семь атак. Зная о наличии бортстрелка, «подлый фашист» заходил только сзади снизу. На штурмовике был поврежден двигатель, перебиты тросы управления рулями, а пилот и бортстрелок были ранены, причем последний тяжело. Бондаренко с большим трудом перетянул через линию фронта, после чего сразу же совершил вынужденную посадку «на живот» [72] .</w:t>
      </w:r>
    </w:p>
    <w:p w14:paraId="1D7F10DA"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Также были сильно повреждены и совершили вынужденные посадки еще три «черные смерти». Из состава группы сопровождения было сбито три истребителя и еще три, получив повреждения, сели «на живот».</w:t>
      </w:r>
    </w:p>
    <w:p w14:paraId="2EB64779"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Что же касается результатов столь драматичного налета, то пилоты Илов отчитались о двадцати уничтоженных и пятнадцати поврежденных самолетах. А штаб 1</w:t>
      </w:r>
      <w:r w:rsidRPr="00D03F3E">
        <w:rPr>
          <w:rFonts w:ascii="Times New Roman" w:hAnsi="Times New Roman"/>
          <w:color w:val="0070C0"/>
          <w:sz w:val="16"/>
          <w:szCs w:val="16"/>
        </w:rPr>
        <w:noBreakHyphen/>
        <w:t>й воздушной армии с учетом донесений пешек и вовсе сообщил наверх, что «на аэродроме Сеща уничтожено и повреждено, и частично подтверждено фотоконтролем, до 35 самолетов противника из 60–70 находившихся на нем самолетов». Кроме того, в воздушных боях в районе цели якобы было сбито три Bf</w:t>
      </w:r>
      <w:r w:rsidRPr="00D03F3E">
        <w:rPr>
          <w:rFonts w:ascii="Times New Roman" w:hAnsi="Times New Roman"/>
          <w:color w:val="0070C0"/>
          <w:sz w:val="16"/>
          <w:szCs w:val="16"/>
        </w:rPr>
        <w:noBreakHyphen/>
        <w:t>109, два Bf</w:t>
      </w:r>
      <w:r w:rsidRPr="00D03F3E">
        <w:rPr>
          <w:rFonts w:ascii="Times New Roman" w:hAnsi="Times New Roman"/>
          <w:color w:val="0070C0"/>
          <w:sz w:val="16"/>
          <w:szCs w:val="16"/>
        </w:rPr>
        <w:noBreakHyphen/>
        <w:t>110 и два FW</w:t>
      </w:r>
      <w:r w:rsidRPr="00D03F3E">
        <w:rPr>
          <w:rFonts w:ascii="Times New Roman" w:hAnsi="Times New Roman"/>
          <w:color w:val="0070C0"/>
          <w:sz w:val="16"/>
          <w:szCs w:val="16"/>
        </w:rPr>
        <w:noBreakHyphen/>
        <w:t>190.</w:t>
      </w:r>
    </w:p>
    <w:p w14:paraId="21E0C35A"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Если учесть, что 8 июня на авиабазе Сещинская базировались только две группы: III./KG55 «Грайф» и III./KG1 «Гинденбург», то они обе должны были остаться вообще без бомбардировщиков. Фактически же в результате бомбежки и штурмовки самолеты и наземные сооружения вообще не пострадали. Был ранен только один германский зенитчик (23199).</w:t>
      </w:r>
    </w:p>
    <w:p w14:paraId="46B317BB" w14:textId="77777777" w:rsidR="00334572" w:rsidRPr="00D03F3E" w:rsidRDefault="00334572" w:rsidP="00D03F3E">
      <w:pPr>
        <w:spacing w:after="0" w:line="240" w:lineRule="auto"/>
        <w:jc w:val="both"/>
        <w:rPr>
          <w:rFonts w:ascii="Times New Roman" w:hAnsi="Times New Roman"/>
          <w:color w:val="0070C0"/>
          <w:sz w:val="16"/>
          <w:szCs w:val="16"/>
        </w:rPr>
      </w:pPr>
    </w:p>
    <w:p w14:paraId="5FA23813"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8 июня 1943 в налете на авиабазы люфтваффе в районе Орла, согласно замыслу штаба 15</w:t>
      </w:r>
      <w:r w:rsidRPr="00D03F3E">
        <w:rPr>
          <w:rFonts w:ascii="Times New Roman" w:hAnsi="Times New Roman"/>
          <w:color w:val="0070C0"/>
          <w:sz w:val="16"/>
          <w:szCs w:val="16"/>
        </w:rPr>
        <w:noBreakHyphen/>
        <w:t>й воздушной армии, должны были участвовать 42 Ил</w:t>
      </w:r>
      <w:r w:rsidRPr="00D03F3E">
        <w:rPr>
          <w:rFonts w:ascii="Times New Roman" w:hAnsi="Times New Roman"/>
          <w:color w:val="0070C0"/>
          <w:sz w:val="16"/>
          <w:szCs w:val="16"/>
        </w:rPr>
        <w:noBreakHyphen/>
        <w:t>2 в сопровождении 56 истребителей Як</w:t>
      </w:r>
      <w:r w:rsidRPr="00D03F3E">
        <w:rPr>
          <w:rFonts w:ascii="Times New Roman" w:hAnsi="Times New Roman"/>
          <w:color w:val="0070C0"/>
          <w:sz w:val="16"/>
          <w:szCs w:val="16"/>
        </w:rPr>
        <w:noBreakHyphen/>
        <w:t>1, Як</w:t>
      </w:r>
      <w:r w:rsidRPr="00D03F3E">
        <w:rPr>
          <w:rFonts w:ascii="Times New Roman" w:hAnsi="Times New Roman"/>
          <w:color w:val="0070C0"/>
          <w:sz w:val="16"/>
          <w:szCs w:val="16"/>
        </w:rPr>
        <w:noBreakHyphen/>
        <w:t>7 и Ла</w:t>
      </w:r>
      <w:r w:rsidRPr="00D03F3E">
        <w:rPr>
          <w:rFonts w:ascii="Times New Roman" w:hAnsi="Times New Roman"/>
          <w:color w:val="0070C0"/>
          <w:sz w:val="16"/>
          <w:szCs w:val="16"/>
        </w:rPr>
        <w:noBreakHyphen/>
        <w:t>5. Часть последних выделялась для блокировки аэродромов с целью недопущения взлета истребителей, а остальные – для непосредственного эскорта штурмовиков.</w:t>
      </w:r>
    </w:p>
    <w:p w14:paraId="6D4E1441"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19.30 с аэродрома Мценск взлетели 12 «горбатых» из 614</w:t>
      </w:r>
      <w:r w:rsidRPr="00D03F3E">
        <w:rPr>
          <w:rFonts w:ascii="Times New Roman" w:hAnsi="Times New Roman"/>
          <w:color w:val="0070C0"/>
          <w:sz w:val="16"/>
          <w:szCs w:val="16"/>
        </w:rPr>
        <w:noBreakHyphen/>
        <w:t>го шап. Их сопровождали 22 истребителя из 315</w:t>
      </w:r>
      <w:r w:rsidRPr="00D03F3E">
        <w:rPr>
          <w:rFonts w:ascii="Times New Roman" w:hAnsi="Times New Roman"/>
          <w:color w:val="0070C0"/>
          <w:sz w:val="16"/>
          <w:szCs w:val="16"/>
        </w:rPr>
        <w:noBreakHyphen/>
        <w:t>й иад полковника В.Я. Литвинова. Целью налета был аэродром Орел, где бомбардировщиков вообще не было, а базировались только истребители, транспортники и связные самолеты.</w:t>
      </w:r>
    </w:p>
    <w:p w14:paraId="676BFC45"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Тем временем в 19.58 шестерка Як</w:t>
      </w:r>
      <w:r w:rsidRPr="00D03F3E">
        <w:rPr>
          <w:rFonts w:ascii="Times New Roman" w:hAnsi="Times New Roman"/>
          <w:color w:val="0070C0"/>
          <w:sz w:val="16"/>
          <w:szCs w:val="16"/>
        </w:rPr>
        <w:noBreakHyphen/>
        <w:t>1 из 65</w:t>
      </w:r>
      <w:r w:rsidRPr="00D03F3E">
        <w:rPr>
          <w:rFonts w:ascii="Times New Roman" w:hAnsi="Times New Roman"/>
          <w:color w:val="0070C0"/>
          <w:sz w:val="16"/>
          <w:szCs w:val="16"/>
        </w:rPr>
        <w:noBreakHyphen/>
        <w:t>го гв. иап попыталась блокировать немецкий аэродром Мезенка. Пилоты потом доложили, что увидели на летном поле около тридцати двухмоторных бомбардировщиков и «пожгли» пять из них. Затем пара сержанта Божко и лейтенанта Ковенцова была атакована двумя FW</w:t>
      </w:r>
      <w:r w:rsidRPr="00D03F3E">
        <w:rPr>
          <w:rFonts w:ascii="Times New Roman" w:hAnsi="Times New Roman"/>
          <w:color w:val="0070C0"/>
          <w:sz w:val="16"/>
          <w:szCs w:val="16"/>
        </w:rPr>
        <w:noBreakHyphen/>
        <w:t>190, один из которых они сбили. В то же время один из Яков тоже был подбит и совершил вынужденную посадку.</w:t>
      </w:r>
    </w:p>
    <w:p w14:paraId="34B9CA3E"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Затем в окрестности Орла подтянулись гвардейцы 63</w:t>
      </w:r>
      <w:r w:rsidRPr="00D03F3E">
        <w:rPr>
          <w:rFonts w:ascii="Times New Roman" w:hAnsi="Times New Roman"/>
          <w:color w:val="0070C0"/>
          <w:sz w:val="16"/>
          <w:szCs w:val="16"/>
        </w:rPr>
        <w:noBreakHyphen/>
        <w:t>го и 64</w:t>
      </w:r>
      <w:r w:rsidRPr="00D03F3E">
        <w:rPr>
          <w:rFonts w:ascii="Times New Roman" w:hAnsi="Times New Roman"/>
          <w:color w:val="0070C0"/>
          <w:sz w:val="16"/>
          <w:szCs w:val="16"/>
        </w:rPr>
        <w:noBreakHyphen/>
        <w:t>го гв. иап. Немецкие посты наблюдения вовремя засекли приближение противника, и в воздух поднялись «Фокке</w:t>
      </w:r>
      <w:r w:rsidRPr="00D03F3E">
        <w:rPr>
          <w:rFonts w:ascii="Times New Roman" w:hAnsi="Times New Roman"/>
          <w:color w:val="0070C0"/>
          <w:sz w:val="16"/>
          <w:szCs w:val="16"/>
        </w:rPr>
        <w:noBreakHyphen/>
        <w:t>Вульфы». В итоге практически все советские истребители были связаны боем. Воздушное сражение из</w:t>
      </w:r>
      <w:r w:rsidRPr="00D03F3E">
        <w:rPr>
          <w:rFonts w:ascii="Times New Roman" w:hAnsi="Times New Roman"/>
          <w:color w:val="0070C0"/>
          <w:sz w:val="16"/>
          <w:szCs w:val="16"/>
        </w:rPr>
        <w:noBreakHyphen/>
        <w:t>за низкой облачности приняло характер скоротечных, разрозненных схваток. Истребители со звездами и крестами то вываливались из облаков, то снова уходили в них, небо в разных направлениях прорезали трассирующие очереди. Время от времени в воздухе проносились горящие машины и раскрывались купола парашютов…</w:t>
      </w:r>
    </w:p>
    <w:p w14:paraId="56908AEF"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Впоследствии советские летчики заявили о шести сбитых фоккерах, которые записали на счета капитана Кубарева, старших лейтенантов Маношина и Ковенцова, младших лейтенантов Алексеева и Попова, а также сержанта Судожкина. Собственные потери советской авиации в этом бою составили по одному Як</w:t>
      </w:r>
      <w:r w:rsidRPr="00D03F3E">
        <w:rPr>
          <w:rFonts w:ascii="Times New Roman" w:hAnsi="Times New Roman"/>
          <w:color w:val="0070C0"/>
          <w:sz w:val="16"/>
          <w:szCs w:val="16"/>
        </w:rPr>
        <w:noBreakHyphen/>
        <w:t>1, Як</w:t>
      </w:r>
      <w:r w:rsidRPr="00D03F3E">
        <w:rPr>
          <w:rFonts w:ascii="Times New Roman" w:hAnsi="Times New Roman"/>
          <w:color w:val="0070C0"/>
          <w:sz w:val="16"/>
          <w:szCs w:val="16"/>
        </w:rPr>
        <w:noBreakHyphen/>
        <w:t>7 и Лa</w:t>
      </w:r>
      <w:r w:rsidRPr="00D03F3E">
        <w:rPr>
          <w:rFonts w:ascii="Times New Roman" w:hAnsi="Times New Roman"/>
          <w:color w:val="0070C0"/>
          <w:sz w:val="16"/>
          <w:szCs w:val="16"/>
        </w:rPr>
        <w:noBreakHyphen/>
        <w:t>5. Но, так или иначе, немцы добились главного, вместо прикрытия штурмовиков истребители были полностью связаны боями и выработали почти все свое горючее.</w:t>
      </w:r>
    </w:p>
    <w:p w14:paraId="022EC792"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 этому времени к Орлу подходила дюжина Ил</w:t>
      </w:r>
      <w:r w:rsidRPr="00D03F3E">
        <w:rPr>
          <w:rFonts w:ascii="Times New Roman" w:hAnsi="Times New Roman"/>
          <w:color w:val="0070C0"/>
          <w:sz w:val="16"/>
          <w:szCs w:val="16"/>
        </w:rPr>
        <w:noBreakHyphen/>
        <w:t>2 из 614</w:t>
      </w:r>
      <w:r w:rsidRPr="00D03F3E">
        <w:rPr>
          <w:rFonts w:ascii="Times New Roman" w:hAnsi="Times New Roman"/>
          <w:color w:val="0070C0"/>
          <w:sz w:val="16"/>
          <w:szCs w:val="16"/>
        </w:rPr>
        <w:noBreakHyphen/>
        <w:t>го шап. Их экипажи напрасно всматривались в дождливое, свинцовое небо, надеясь увидеть силуэты своих истребителей. Однако тем было некогда, и пришлось выполнять задание без прикрытия. В итоге немецкая зенитная артиллерия и истребители JG51 сбили все двенадцать «цементбомберов», ни один из которых не смог даже дотянуть до линии фронта. Пропали без вести 24 летчика и бортстрелка, в том числе штурман полка и помощник командира полка по воздушно</w:t>
      </w:r>
      <w:r w:rsidRPr="00D03F3E">
        <w:rPr>
          <w:rFonts w:ascii="Times New Roman" w:hAnsi="Times New Roman"/>
          <w:color w:val="0070C0"/>
          <w:sz w:val="16"/>
          <w:szCs w:val="16"/>
        </w:rPr>
        <w:noBreakHyphen/>
        <w:t>стрелковой подготовке.</w:t>
      </w:r>
    </w:p>
    <w:p w14:paraId="57AAF039"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Ведущий группы истребителей 315</w:t>
      </w:r>
      <w:r w:rsidRPr="00D03F3E">
        <w:rPr>
          <w:rFonts w:ascii="Times New Roman" w:hAnsi="Times New Roman"/>
          <w:color w:val="0070C0"/>
          <w:sz w:val="16"/>
          <w:szCs w:val="16"/>
        </w:rPr>
        <w:noBreakHyphen/>
        <w:t>й иад затем сообщил, что от цели в сторону Мценска шли «только четыре Ил</w:t>
      </w:r>
      <w:r w:rsidRPr="00D03F3E">
        <w:rPr>
          <w:rFonts w:ascii="Times New Roman" w:hAnsi="Times New Roman"/>
          <w:color w:val="0070C0"/>
          <w:sz w:val="16"/>
          <w:szCs w:val="16"/>
        </w:rPr>
        <w:noBreakHyphen/>
        <w:t>2, один из которых был сбит зенитным огнем, а других больше потом никто не видел». Сами истребители тоже понесли большие потери: с задания не вернулись семь летчиков.</w:t>
      </w:r>
    </w:p>
    <w:p w14:paraId="53CE9FC9"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Потеряв в общей сложности 19 из 34 самолетов, а также 31 из 48 летчиков, ударная группа не добилась никаких результатов. Аэродром Орел не пострадал, а все бомбы по большей части взорвались на близлежащих городских улицах и пустырях. По данным люфтваффе, в тот вечер по два Ил</w:t>
      </w:r>
      <w:r w:rsidRPr="00D03F3E">
        <w:rPr>
          <w:rFonts w:ascii="Times New Roman" w:hAnsi="Times New Roman"/>
          <w:color w:val="0070C0"/>
          <w:sz w:val="16"/>
          <w:szCs w:val="16"/>
        </w:rPr>
        <w:noBreakHyphen/>
        <w:t>2 сбили командир 11</w:t>
      </w:r>
      <w:r w:rsidRPr="00D03F3E">
        <w:rPr>
          <w:rFonts w:ascii="Times New Roman" w:hAnsi="Times New Roman"/>
          <w:color w:val="0070C0"/>
          <w:sz w:val="16"/>
          <w:szCs w:val="16"/>
        </w:rPr>
        <w:noBreakHyphen/>
        <w:t>й эскадрильи обер</w:t>
      </w:r>
      <w:r w:rsidRPr="00D03F3E">
        <w:rPr>
          <w:rFonts w:ascii="Times New Roman" w:hAnsi="Times New Roman"/>
          <w:color w:val="0070C0"/>
          <w:sz w:val="16"/>
          <w:szCs w:val="16"/>
        </w:rPr>
        <w:noBreakHyphen/>
        <w:t>лейтенант Адольф Борхерс, лейтенант Йоахим Бренд ель из 1</w:t>
      </w:r>
      <w:r w:rsidRPr="00D03F3E">
        <w:rPr>
          <w:rFonts w:ascii="Times New Roman" w:hAnsi="Times New Roman"/>
          <w:color w:val="0070C0"/>
          <w:sz w:val="16"/>
          <w:szCs w:val="16"/>
        </w:rPr>
        <w:noBreakHyphen/>
        <w:t>й эскадрильи и фельдфебель Бернхард Фехтель из 10</w:t>
      </w:r>
      <w:r w:rsidRPr="00D03F3E">
        <w:rPr>
          <w:rFonts w:ascii="Times New Roman" w:hAnsi="Times New Roman"/>
          <w:color w:val="0070C0"/>
          <w:sz w:val="16"/>
          <w:szCs w:val="16"/>
        </w:rPr>
        <w:noBreakHyphen/>
        <w:t>й эскадрильи. По одному «цементбомберу» записали на свои счета испанцы из 15</w:t>
      </w:r>
      <w:r w:rsidRPr="00D03F3E">
        <w:rPr>
          <w:rFonts w:ascii="Times New Roman" w:hAnsi="Times New Roman"/>
          <w:color w:val="0070C0"/>
          <w:sz w:val="16"/>
          <w:szCs w:val="16"/>
        </w:rPr>
        <w:noBreakHyphen/>
        <w:t>й эскадрильи – тениенте Рамон Галиван и Луис Аскуэт</w:t>
      </w:r>
      <w:r w:rsidRPr="00D03F3E">
        <w:rPr>
          <w:rFonts w:ascii="Times New Roman" w:hAnsi="Times New Roman"/>
          <w:color w:val="0070C0"/>
          <w:sz w:val="16"/>
          <w:szCs w:val="16"/>
        </w:rPr>
        <w:noBreakHyphen/>
        <w:t>Брунет.</w:t>
      </w:r>
    </w:p>
    <w:p w14:paraId="38D4D423" w14:textId="77777777" w:rsidR="00334572" w:rsidRPr="00D03F3E" w:rsidRDefault="00334572"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Судьба оказалась более благосклонной к 12 Ил</w:t>
      </w:r>
      <w:r w:rsidRPr="00D03F3E">
        <w:rPr>
          <w:rFonts w:ascii="Times New Roman" w:hAnsi="Times New Roman"/>
          <w:color w:val="0070C0"/>
          <w:sz w:val="16"/>
          <w:szCs w:val="16"/>
        </w:rPr>
        <w:noBreakHyphen/>
        <w:t>2 из 948</w:t>
      </w:r>
      <w:r w:rsidRPr="00D03F3E">
        <w:rPr>
          <w:rFonts w:ascii="Times New Roman" w:hAnsi="Times New Roman"/>
          <w:color w:val="0070C0"/>
          <w:sz w:val="16"/>
          <w:szCs w:val="16"/>
        </w:rPr>
        <w:noBreakHyphen/>
        <w:t>го шап, целью которых должен был стать аэродром около поселка Хомуты, в 24 километрах юго</w:t>
      </w:r>
      <w:r w:rsidRPr="00D03F3E">
        <w:rPr>
          <w:rFonts w:ascii="Times New Roman" w:hAnsi="Times New Roman"/>
          <w:color w:val="0070C0"/>
          <w:sz w:val="16"/>
          <w:szCs w:val="16"/>
        </w:rPr>
        <w:noBreakHyphen/>
        <w:t>западнее Орла. Взлетев с полевого аэродрома Проходное и встретившись с истребителями, штурмовики направились к цели. Однако им «повезло», так как путь им преградила сплошная облачность. Командир полка майор Храбрых принял действительно храброе решение – прекратить выполнение задания и повернуть назад. Это спасло жизнь многим неопытным экипажам, которыми и был укомплектован полк (23192).</w:t>
      </w:r>
    </w:p>
    <w:p w14:paraId="57DB0EB1" w14:textId="77777777" w:rsidR="00334572" w:rsidRPr="00D03F3E" w:rsidRDefault="00334572" w:rsidP="00D03F3E">
      <w:pPr>
        <w:spacing w:after="0" w:line="240" w:lineRule="auto"/>
        <w:jc w:val="both"/>
        <w:rPr>
          <w:rFonts w:ascii="Times New Roman" w:hAnsi="Times New Roman"/>
          <w:color w:val="0070C0"/>
          <w:sz w:val="16"/>
          <w:szCs w:val="16"/>
        </w:rPr>
      </w:pPr>
    </w:p>
    <w:p w14:paraId="709DFA1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 июня 1943 группа штурмовиков под командованием ГСС м М.З.Бондаренко уничтожила и повредила 35 самолетов на аэродроме Сеща (341,176).</w:t>
      </w:r>
    </w:p>
    <w:p w14:paraId="77907376" w14:textId="77777777" w:rsidR="00531570" w:rsidRPr="00D03F3E" w:rsidRDefault="00531570" w:rsidP="00D03F3E">
      <w:pPr>
        <w:pStyle w:val="Iauiue"/>
        <w:jc w:val="both"/>
        <w:rPr>
          <w:color w:val="000000" w:themeColor="text1"/>
          <w:sz w:val="16"/>
          <w:szCs w:val="16"/>
        </w:rPr>
      </w:pPr>
    </w:p>
    <w:p w14:paraId="7BAA62B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июня 1943 г. при атаке аэродрома Сеща на самолете Ил-2 майора Бондаренко из 198-го шап 233-й шад огнем истребителей противника (всего было выполнено 11 атак) был поврежден мотор, выбит весь внутренний набор киля, перебиты тросы управления рулем поворота. Руль поворота держался на одном нижнем шарнире крепления и не менял своего вертикального положения только за счет набегавшего воздушного потока. Кроме того, между торцом левого внутреннего элерона и плоскостью прошел снаряд и заклинил элерон развороченным дюралем. Вылетавший за воздушного стрелка капитан Бессмертнов в воздушном бою сбил один Fw190, но сам получил тяжелые ранения в голову и в обе ноги. Несмотря на столь тяжелые повреждения самолета, майору Бондаренко удалось дотянуть до аэродрома Красный Гай и произвести вынужденную посадку с убранными шасси (11921).</w:t>
      </w:r>
    </w:p>
    <w:p w14:paraId="529AC3A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650B32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Днем 8 июня 1943 с аэродрома Мценск взлетели 12 штурмовиков Ил-2 из 614-го ШАП. Их сопровождали истребители из 315-й ИАД. Целью налета был аэродром Орел-Западный, где базировались Не-111 из KG4 «Генерал Вефер». Немецкие посты наблюдения своевременно засекли приближение «Илов», и в воздух поднялись «Мессершмитты» и «Фокке-Вульфы». В результате на подходе к Орлу истребители сопровождения были связаны боем, и штурмовикам пришлось выполнять задание без прикрытия. В итоге с этого задания не вернулся ни один экипаж. Ведущий группы истребителей видел, как от цели в сторону Мценска шли  «только четыре Ил-2, один из которых был сбит зенитным огнем, а других больше потом никто не видел» (11774).</w:t>
      </w:r>
    </w:p>
    <w:p w14:paraId="30F60F6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4128BDB" w14:textId="77777777" w:rsidR="003A3024" w:rsidRPr="00D03F3E" w:rsidRDefault="003A3024" w:rsidP="00D03F3E">
      <w:pPr>
        <w:pStyle w:val="Iauiue"/>
        <w:jc w:val="both"/>
        <w:rPr>
          <w:color w:val="000000" w:themeColor="text1"/>
          <w:sz w:val="16"/>
          <w:szCs w:val="16"/>
        </w:rPr>
      </w:pPr>
      <w:r w:rsidRPr="00D03F3E">
        <w:rPr>
          <w:color w:val="000000" w:themeColor="text1"/>
          <w:sz w:val="16"/>
          <w:szCs w:val="16"/>
        </w:rPr>
        <w:t>8 июня 1943 финны зенитным огнем сбили Ил-2 N 15 N 1871555 957 иап (ВВС 7 А) м С.Ф.Бамшина и машина села на брюхо в Макря (Олонец). Почему-то в экипаже был и к С.Войцеховский. Самолет не восстанавливался (2071,32).</w:t>
      </w:r>
    </w:p>
    <w:p w14:paraId="468C1B7D" w14:textId="77777777" w:rsidR="003A3024" w:rsidRPr="00D03F3E" w:rsidRDefault="003A3024" w:rsidP="00D03F3E">
      <w:pPr>
        <w:pStyle w:val="Iauiue"/>
        <w:jc w:val="both"/>
        <w:rPr>
          <w:color w:val="000000" w:themeColor="text1"/>
          <w:sz w:val="16"/>
          <w:szCs w:val="16"/>
        </w:rPr>
      </w:pPr>
    </w:p>
    <w:p w14:paraId="6AB99E4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Вечером 8 июня 1943 совершили массированные налеты фронтовые бомбардировщики, а затем ночью их уже атаковала авиация дальнего действия: 102 бомбардировщика – Сещинскую, 87 – Брянск и еще 75 – Орел. Из-за внезапно ухудшившихся метеорологических условий 38 самолетов сбросили бомбы на запасные цели, и поэтому удар по аэродромам фактически нанесли 244 машины. Хотя экипажи отчитались о больших успехах, реальный ущерб от налета снова оказался минимальным. На следующую ночь 160 бомбардировщиков В-25, Ил-4 и Ли-2 совершили очередные налеты на аэродромы Люфтваффе на Орловском выступе. Однако новая бомбежка по площадям не дала никаких результатов, в то же время на свои базы не вернулся 21 самолет (12,5% от участвовавших в налете) (11774).</w:t>
      </w:r>
    </w:p>
    <w:p w14:paraId="6DFA3560"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2DEA26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июня 1943 в связи с участившимися налетами Люфтваффе ситуацию в Горьком обсуждал Государственный комитет обороны. По итогам заседания было принято постановление № 3534сс «О противовоздушной обороне заводов Горьковского района», согласно которому было решено дополнительно выделить в общей сложности 100 зенитных орудий малого калибра, 250 крупнокалиберных пулеметов, 100 прожекторов и 75 аэростатов заграждения. На этом же заседании Сталин приказал немедленно снять с работы директора автозавода Лившица и назначить на его место ранее уволенного Лоскутова. На следующий день на ГАЗ пришел приказ наркома среднего машиностроения С. Акопова: «Во  исполнение постановления ГКО от 8.06.43 г. снять с поста директора горьковского автозавода им. Молотова тов. Лившиц, как несправившегося с работой, и вернуть в качестве директора на ГАЗ бывшего директора тов. Лоскутова И. К». Впрочем, Лившиц после разрушения колесного цеха уже находился в состоянии депрессии и фактически не исполнял свои обязанности. Командующий Горьковским корпусным районом ПВО генерал-майор Осипов по итогам первой серии налетов издал 9 июня приказ, в котором писал:  «Противник, пользуясь в некоторых случаях нашей неорганизованностью и отсутствием мастерства в ведении огня, продолжал методично разрушать ценнейший военный объект – автозавод… При каждом налете расходуются десятки тысяч дорогостоящих боеприпасов, и они не дают достаточного эффекта благодаря неумению организовывать бой с воздушным противником».</w:t>
      </w:r>
    </w:p>
    <w:p w14:paraId="220A27D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этот же день бюро Горьковского обкома ВКП(б) обсудило меры улучшения МПВО города. На совещание присутствовали члены комиссии ГКО Л. П. Берия, А. С. Щербаков, В. П. Пронин, М. С. Громадин и В. Н. Меркулов. Было принято постановление о реорганизации существовавших участковых формирований МПВО в пять отдельных городских батальонов. Последние было необходимо доукомплектовать личным составом и полностью перевести на казарменное положение. Кроме того, на 20 важнейших предприятиях (ГАЗ, «Красная Этна», «Красное Сормово», «Двигатель революции», «Нефтегаз», завод авиапрома № 21, заводы №№ 119, 466 и 469, заводы радиоаппаратуры им. Ленина и им. Фрунзе, артиллерийский завод № 92, завод боеприпасов № 558, станкозавод, Сормовская нефтебаза, речной порт, станция Горький и др.) было решено ввести должности помощников директоров по местной противовоздушной и противохимической обороне. В целях усиления противопожарной службы бюро постановило создать городское управление пожарной охраны. Помимо этого, в дополнение к уже имеющимся 11 военизированным пожарным командам требовалось сформировать еще пять, численностью 375 человек. Еще 10 военизированных команд было решено создать непосредственно на заводах. Все эти подразделения нужно было укомплектовать техникой, в т.ч. большим количеством автонасосов. Большие меры наметили и в области строительства пожарных водоемов. Помимо котлованов и ям, порешили также сделать запруды на внутригородских реках Левинка, Борзовка и Ржавка, т.е. создать целые пожарные </w:t>
      </w:r>
      <w:r w:rsidRPr="00D03F3E">
        <w:rPr>
          <w:rFonts w:ascii="Times New Roman" w:hAnsi="Times New Roman"/>
          <w:color w:val="000000" w:themeColor="text1"/>
          <w:sz w:val="16"/>
          <w:szCs w:val="16"/>
        </w:rPr>
        <w:lastRenderedPageBreak/>
        <w:t>водохранилища! Однако на все эти масштабные мероприятия требовалось много времени и ресурсов, поэтому осуществить их в ближайшие дни можно было лишь частично.</w:t>
      </w:r>
    </w:p>
    <w:p w14:paraId="7AA7EAD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временем в нижегородском Кремле, находящемся в нагорной части города, в 10 км к северо-востоку от автозавода, каждый день собирался Горьковский обком ВКП(б). В ходе длительных и нервных заседаний вновь и вновь обсуждались вопросы МПВО. Попал «под раздачу» директор Борского стеклозавода им. Горького. Ему указали на плохое состояние средств самозащиты и другие недостатки:  «На заводе одна пожарная машина, у гидрантов нет рукавов, техническая маскировка не проведена, нет КП. В поселке на 4500 жителей одно б/у на 300 чел. 5.6. по „ВТ“ явка медико-санитарной команды составила 4%, дегазационной – 17%, пожарной – 30%…»  Досталось и директору радиотелефонного завода им. Ленина Малахову. На одном из заседаний зачитали акт проведенной там проверки:  «Все плохо: территория завалена мусором, не хватает ведер и лопат, ящики с песком захламлены. В цехе № 4 на 16 бочек с водой имеется одно ведро, на 42 ящика с песком 14лопат. Некоторые члены дежурных команд во время „ВТ“ бросают посты и убегают с завода. В цехе № 20 на 10 бочек с водой нет ни одного ведра. Имеющиеся убежища вмещают 1900 человек (54% от числа рабочих в одной смене)…»  Первый секретарь обкома Родионов в резкой форме высказался по поводу Балахнинской ГРЭС:  «Техническая маскировка не проведена, станция демаскирована и представляет удобную мишень для бомбометания с воздуха. Крыши цехов и территория захламлена деревянными отходами, маскировочные щиты изготовлены из дерева. Имеются четыре автонасоса, в т.ч. один неисправен, не хватает песка».  В список нарушителей требований местной противовоздушной обороны попала и Горьковская железная дорога. Оказалось, что и здесь организация и подготовка людей к защите объектов, состояние маскировки, средства коллективной и индивидуальной защиты, состояние противопожарного инвентаря не отвечают самым элементарным требованиям. На предприятиях под давлением начальства действительно стали приниматься меры. Так, на авиамоторном заводе № 466 для ночных дежурств в цехах были организованы специальные команды по ликвидации пожаров и борьбы с зажигательными бомбами. Весь личный состав, без отрыва от производства, перевели на казарменное положение. В Речном порту ко всем причалам срочно пришвартовали пароходы с водоотливными средствами. В связи с острой нехваткой воды при тушении пожаров было принято решение срочно ввести в строй старый автозаводский водозабор. Он был давно выведен из эксплуатации, и выход к реке занесло песком. Команда землесоса «Волжский-15»  [165] в течение нескольких суток непрерывно проделывала в берегу канал к этой старой водокачке. А. И. Стариков, тогда 14-летний сын одного из членов команды, вспоминал:  «Левый берег Оки, за которым раскинулся один из первых гигантов индустрии автозавод им. Молотова, состоял из песчаной отмели шириной до ста метров и возвышался над водой не менее полутора метров. Несколько первых суток работа шла без налетов, и канал прорыли быстро. Очистили приемник и запустили водокачку. Завод без воды задыхался». После окончания работы землесос был переведен к правому берегу Оки. Команда судна вместе с семьями поселилась в каютах небольшой брандвахты, специально приданной судну (11774).</w:t>
      </w:r>
    </w:p>
    <w:p w14:paraId="16E9956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7F564A2" w14:textId="77777777" w:rsidR="003A3024" w:rsidRPr="00D03F3E" w:rsidRDefault="003A302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ночь с 9 на 10 июня 1943 г. авиация про</w:t>
      </w:r>
      <w:r w:rsidRPr="00D03F3E">
        <w:rPr>
          <w:rFonts w:ascii="Times New Roman" w:hAnsi="Times New Roman"/>
          <w:color w:val="0070C0"/>
          <w:sz w:val="16"/>
          <w:szCs w:val="16"/>
        </w:rPr>
        <w:softHyphen/>
        <w:t>тивника совершила массированный налёт на Ярославль. Из 65 бомбардировщиков к городу прорвалась незначительная их часть. Один из бомбардировщиков при пикировании столкнул</w:t>
      </w:r>
      <w:r w:rsidRPr="00D03F3E">
        <w:rPr>
          <w:rFonts w:ascii="Times New Roman" w:hAnsi="Times New Roman"/>
          <w:color w:val="0070C0"/>
          <w:sz w:val="16"/>
          <w:szCs w:val="16"/>
        </w:rPr>
        <w:softHyphen/>
        <w:t>ся с тросом аэростата и взорвался на мине воз</w:t>
      </w:r>
      <w:r w:rsidRPr="00D03F3E">
        <w:rPr>
          <w:rFonts w:ascii="Times New Roman" w:hAnsi="Times New Roman"/>
          <w:color w:val="0070C0"/>
          <w:sz w:val="16"/>
          <w:szCs w:val="16"/>
        </w:rPr>
        <w:softHyphen/>
        <w:t>душного заграждения. Однако от уже сброшен</w:t>
      </w:r>
      <w:r w:rsidRPr="00D03F3E">
        <w:rPr>
          <w:rFonts w:ascii="Times New Roman" w:hAnsi="Times New Roman"/>
          <w:color w:val="0070C0"/>
          <w:sz w:val="16"/>
          <w:szCs w:val="16"/>
        </w:rPr>
        <w:softHyphen/>
        <w:t>ных им бомб погибли девушки-аэростатчицы З.Ф. Илларионова, И.Т. Махонина и В.П. Зайцева и была тяжело ранена сержант М.С. Цинева — командир аэростатного поста.</w:t>
      </w:r>
    </w:p>
    <w:p w14:paraId="4C22845A" w14:textId="77777777" w:rsidR="003A3024" w:rsidRPr="00D03F3E" w:rsidRDefault="003A302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Оборо</w:t>
      </w:r>
      <w:r w:rsidRPr="00D03F3E">
        <w:rPr>
          <w:rFonts w:ascii="Times New Roman" w:hAnsi="Times New Roman"/>
          <w:color w:val="0070C0"/>
          <w:sz w:val="16"/>
          <w:szCs w:val="16"/>
        </w:rPr>
        <w:softHyphen/>
        <w:t>ну города с воздуха обеспечивал Ярославско-Рыбинский бригадный район ПВО. Из аэростатных частей в Ярославле находился только 1-й ООАЗ (командир — участник советско-финской войны и обороны Ленинграда капитан А.С. Кыласов), выставлявший 17 постов АЗ.</w:t>
      </w:r>
    </w:p>
    <w:p w14:paraId="633C40F1" w14:textId="77777777" w:rsidR="003A3024" w:rsidRPr="00D03F3E" w:rsidRDefault="003A302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 повторном налёте 21 июня, который так</w:t>
      </w:r>
      <w:r w:rsidRPr="00D03F3E">
        <w:rPr>
          <w:rFonts w:ascii="Times New Roman" w:hAnsi="Times New Roman"/>
          <w:color w:val="0070C0"/>
          <w:sz w:val="16"/>
          <w:szCs w:val="16"/>
        </w:rPr>
        <w:softHyphen/>
        <w:t>же был отражён, совершила подвиг аэростатчица 1-го ООАЗ В. Синицына. Когда на склад рядом с местом хранения баллонов с водородом упа</w:t>
      </w:r>
      <w:r w:rsidRPr="00D03F3E">
        <w:rPr>
          <w:rFonts w:ascii="Times New Roman" w:hAnsi="Times New Roman"/>
          <w:color w:val="0070C0"/>
          <w:sz w:val="16"/>
          <w:szCs w:val="16"/>
        </w:rPr>
        <w:softHyphen/>
        <w:t>ла зажигательная бомба, она бросилась тушить пожар. Ей удалось сбить пламя и предотвратить взрыв склада, но девушка получила обширные ожоги. Врачам не удалось её спасти. В. Синицы- ну посмертно наградили орденом Отечествен</w:t>
      </w:r>
      <w:r w:rsidRPr="00D03F3E">
        <w:rPr>
          <w:rFonts w:ascii="Times New Roman" w:hAnsi="Times New Roman"/>
          <w:color w:val="0070C0"/>
          <w:sz w:val="16"/>
          <w:szCs w:val="16"/>
        </w:rPr>
        <w:softHyphen/>
        <w:t>ной войны II степени. Погиб и моторист сержант В.П. Стрельцов, выводивший с позиции охвачен</w:t>
      </w:r>
      <w:r w:rsidRPr="00D03F3E">
        <w:rPr>
          <w:rFonts w:ascii="Times New Roman" w:hAnsi="Times New Roman"/>
          <w:color w:val="0070C0"/>
          <w:sz w:val="16"/>
          <w:szCs w:val="16"/>
        </w:rPr>
        <w:softHyphen/>
        <w:t>ную огнём аэростатную лебёдку (20120).</w:t>
      </w:r>
    </w:p>
    <w:p w14:paraId="19944BFF" w14:textId="77777777" w:rsidR="003A3024" w:rsidRPr="00D03F3E" w:rsidRDefault="003A3024" w:rsidP="00D03F3E">
      <w:pPr>
        <w:spacing w:after="0" w:line="240" w:lineRule="auto"/>
        <w:jc w:val="both"/>
        <w:rPr>
          <w:rFonts w:ascii="Times New Roman" w:hAnsi="Times New Roman"/>
          <w:color w:val="0070C0"/>
          <w:sz w:val="16"/>
          <w:szCs w:val="16"/>
        </w:rPr>
      </w:pPr>
    </w:p>
    <w:p w14:paraId="28EB8453" w14:textId="77777777" w:rsidR="00041C3A" w:rsidRPr="00D03F3E" w:rsidRDefault="00041C3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8 июня 1943 майор В.П. Кузьмин в 3.37 обнаружил юго</w:t>
      </w:r>
      <w:r w:rsidRPr="00D03F3E">
        <w:rPr>
          <w:rFonts w:ascii="Times New Roman" w:hAnsi="Times New Roman"/>
          <w:color w:val="0070C0"/>
          <w:sz w:val="16"/>
          <w:szCs w:val="16"/>
        </w:rPr>
        <w:noBreakHyphen/>
        <w:t>западнее острова Большой Тютерс три, как ему показалось, сторожевых катера, шедшие в кильватерной колонне. Зайдя с темной стороны горизонта, он атаковал их с планирования под углом 30°. Вначале Кузьмин выпустил два РС</w:t>
      </w:r>
      <w:r w:rsidRPr="00D03F3E">
        <w:rPr>
          <w:rFonts w:ascii="Times New Roman" w:hAnsi="Times New Roman"/>
          <w:color w:val="0070C0"/>
          <w:sz w:val="16"/>
          <w:szCs w:val="16"/>
        </w:rPr>
        <w:noBreakHyphen/>
        <w:t>82 и дал две пушечные очереди. Вспышки «эрэсов» и пушек, особенно яркие в сумерках, на время ослепили летчика, но тот все равно сбросил четыре свои бомбы ФАБ</w:t>
      </w:r>
      <w:r w:rsidRPr="00D03F3E">
        <w:rPr>
          <w:rFonts w:ascii="Times New Roman" w:hAnsi="Times New Roman"/>
          <w:color w:val="0070C0"/>
          <w:sz w:val="16"/>
          <w:szCs w:val="16"/>
        </w:rPr>
        <w:noBreakHyphen/>
        <w:t>100. Прозрев, он увидел, что взрывы раздались далеко в стороне от катеров.</w:t>
      </w:r>
    </w:p>
    <w:p w14:paraId="6E401A06" w14:textId="77777777" w:rsidR="00041C3A" w:rsidRPr="00D03F3E" w:rsidRDefault="00041C3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Кузьмин сделал второй заход, обстреляв катера из пушек и выпустив по ним оставшиеся «эрэсы». По возвращении он заявил о том, что все же повредил один катер. Однако это было утверждение из серии, которые практически нельзя было проверить (23199).</w:t>
      </w:r>
    </w:p>
    <w:p w14:paraId="2C334906" w14:textId="77777777" w:rsidR="00041C3A" w:rsidRPr="00D03F3E" w:rsidRDefault="00041C3A" w:rsidP="00D03F3E">
      <w:pPr>
        <w:spacing w:after="0" w:line="240" w:lineRule="auto"/>
        <w:jc w:val="both"/>
        <w:rPr>
          <w:rFonts w:ascii="Times New Roman" w:hAnsi="Times New Roman"/>
          <w:color w:val="0070C0"/>
          <w:sz w:val="16"/>
          <w:szCs w:val="16"/>
        </w:rPr>
      </w:pPr>
    </w:p>
    <w:p w14:paraId="5A29779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июня 1943 для крейсерства в просторах Балтики вылетела еще одна пара, из состава которой старший лейтенант П.А. Колесник доложил об успешной атаке небольшого судна в районе Аландских островов (9965).</w:t>
      </w:r>
    </w:p>
    <w:p w14:paraId="03DE031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72999BD"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11FBE8B1" w14:textId="77777777" w:rsidR="00531570" w:rsidRPr="00D03F3E" w:rsidRDefault="00531570" w:rsidP="00D03F3E">
      <w:pPr>
        <w:pStyle w:val="Iauiue"/>
        <w:jc w:val="both"/>
        <w:rPr>
          <w:iCs/>
          <w:color w:val="000000" w:themeColor="text1"/>
          <w:sz w:val="16"/>
          <w:szCs w:val="16"/>
        </w:rPr>
      </w:pPr>
    </w:p>
    <w:p w14:paraId="081A79B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июня 1943 вышло Постановление ГКО № 3535 О частичном изменении постановления ГОКО от 15 февраля 1943 г. № 2903сс "О взаимном обмене опытом между СССР и США по производству синтетических каучуков, их применению в автошинах и других резиновых изделиях".РГАНИР, Фонд ГКО, д. 125, лл. 25 (11012).</w:t>
      </w:r>
    </w:p>
    <w:p w14:paraId="7ABB0EE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538B0ED"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8 июня</w:t>
      </w:r>
      <w:r w:rsidRPr="00D03F3E">
        <w:rPr>
          <w:rFonts w:ascii="Times New Roman" w:hAnsi="Times New Roman"/>
          <w:color w:val="000000" w:themeColor="text1"/>
          <w:sz w:val="16"/>
          <w:szCs w:val="16"/>
        </w:rPr>
        <w:t xml:space="preserve"> в 1943 году официальный роспуск Коминтерна (14916).</w:t>
      </w:r>
    </w:p>
    <w:p w14:paraId="1AE866AA" w14:textId="77777777" w:rsidR="001E3FAF" w:rsidRPr="00D03F3E" w:rsidRDefault="001E3FAF" w:rsidP="00D03F3E">
      <w:pPr>
        <w:spacing w:after="0" w:line="240" w:lineRule="auto"/>
        <w:jc w:val="both"/>
        <w:rPr>
          <w:rFonts w:ascii="Times New Roman" w:hAnsi="Times New Roman"/>
          <w:color w:val="000000" w:themeColor="text1"/>
          <w:sz w:val="16"/>
          <w:szCs w:val="16"/>
        </w:rPr>
      </w:pPr>
    </w:p>
    <w:p w14:paraId="60B75741"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749B4E19" w14:textId="77777777" w:rsidR="00531570" w:rsidRPr="00D03F3E" w:rsidRDefault="00531570" w:rsidP="00D03F3E">
      <w:pPr>
        <w:pStyle w:val="Iauiue"/>
        <w:jc w:val="both"/>
        <w:rPr>
          <w:iCs/>
          <w:color w:val="000000" w:themeColor="text1"/>
          <w:sz w:val="16"/>
          <w:szCs w:val="16"/>
        </w:rPr>
      </w:pPr>
    </w:p>
    <w:p w14:paraId="05100E18"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8 июня</w:t>
      </w:r>
      <w:r w:rsidRPr="00D03F3E">
        <w:rPr>
          <w:rFonts w:ascii="Times New Roman" w:hAnsi="Times New Roman"/>
          <w:color w:val="000000" w:themeColor="text1"/>
          <w:sz w:val="16"/>
          <w:szCs w:val="16"/>
        </w:rPr>
        <w:t xml:space="preserve"> в 1943 году Адольф Гитлер выразил недовольство по поводу проводимой командованием вермахта на Восточном фронте операции «Серебряный рассвет» (массовой агитации советских солдат на фронте за переход на сторону вермахта, осуществляемую пропагандистами РОА) (14916).</w:t>
      </w:r>
    </w:p>
    <w:p w14:paraId="53F96FAE" w14:textId="77777777" w:rsidR="001E3FAF" w:rsidRPr="00D03F3E" w:rsidRDefault="001E3FAF" w:rsidP="00D03F3E">
      <w:pPr>
        <w:spacing w:after="0" w:line="240" w:lineRule="auto"/>
        <w:jc w:val="both"/>
        <w:rPr>
          <w:rFonts w:ascii="Times New Roman" w:hAnsi="Times New Roman"/>
          <w:color w:val="000000" w:themeColor="text1"/>
          <w:sz w:val="16"/>
          <w:szCs w:val="16"/>
        </w:rPr>
      </w:pPr>
    </w:p>
    <w:p w14:paraId="233E528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 июня 1943 вышел приказ об эвакуации японцев с Kiska, Алеутские острова (2262).</w:t>
      </w:r>
    </w:p>
    <w:p w14:paraId="28F20474" w14:textId="77777777" w:rsidR="00531570" w:rsidRPr="00D03F3E" w:rsidRDefault="00531570" w:rsidP="00D03F3E">
      <w:pPr>
        <w:pStyle w:val="Iauiue"/>
        <w:jc w:val="both"/>
        <w:rPr>
          <w:color w:val="000000" w:themeColor="text1"/>
          <w:sz w:val="16"/>
          <w:szCs w:val="16"/>
        </w:rPr>
      </w:pPr>
    </w:p>
    <w:p w14:paraId="67A19B1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 июня 1943 вышел приказ об эвакуации японцев с Kiska, Алеутские острова (2262).</w:t>
      </w:r>
    </w:p>
    <w:p w14:paraId="3DC705F0" w14:textId="77777777" w:rsidR="00531570" w:rsidRPr="00D03F3E" w:rsidRDefault="00531570" w:rsidP="00D03F3E">
      <w:pPr>
        <w:pStyle w:val="Iauiue"/>
        <w:jc w:val="both"/>
        <w:rPr>
          <w:color w:val="000000" w:themeColor="text1"/>
          <w:sz w:val="16"/>
          <w:szCs w:val="16"/>
        </w:rPr>
      </w:pPr>
    </w:p>
    <w:p w14:paraId="173BA075"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65875AEE" w14:textId="77777777" w:rsidR="00531570" w:rsidRPr="00D03F3E" w:rsidRDefault="00531570" w:rsidP="00D03F3E">
      <w:pPr>
        <w:pStyle w:val="Iauiue"/>
        <w:jc w:val="both"/>
        <w:rPr>
          <w:iCs/>
          <w:color w:val="000000" w:themeColor="text1"/>
          <w:sz w:val="16"/>
          <w:szCs w:val="16"/>
        </w:rPr>
      </w:pPr>
    </w:p>
    <w:p w14:paraId="14B83FA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 июня 1943 года командующий АДД генерал-полковник авиации Голованов писал письмо N 703177с Шахурину.</w:t>
      </w:r>
    </w:p>
    <w:p w14:paraId="7B6F497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В частях Авиации АДД в настоящее время 50 самолетов ИЛ-4 не имеют моторов М-88б. В силу отсутствия достаточного количества запасных деталей, количества оборотных моторов, а также недостаточной мощности мастерских по ремонту моторов М-88б, количество неисправных самолетов, по выработке моторного ресурса, с каждым днем увеличивается, чем ставится под угрозу срыва боевая работа АДД на самолетах ИЛ-4.</w:t>
      </w:r>
    </w:p>
    <w:p w14:paraId="7762BCA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течение 1942 г., согласно известного Вам распоряжения, Авиацией ДД отправлено в ремонт на завод N 29 НКАП 316 моторов М-88б. из ремонта заводом N 29 выдано АДД отремонтированных только 20 моторов.</w:t>
      </w:r>
    </w:p>
    <w:p w14:paraId="21EC9C9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Прошу вашего распоряжения о выдаче в течение июня и июля 1943 г. 300 моторов М-88б.</w:t>
      </w:r>
    </w:p>
    <w:p w14:paraId="0D40878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Частями Авиации ДД эксплуатируется 7 самолетов ПЕ-8 4 М-82 и завод N 22 НКАП ежемесячно сдает АДД три самолета. Запасных моторов М-82 АДД не имеет.</w:t>
      </w:r>
    </w:p>
    <w:p w14:paraId="7F9B253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силу того, что моторы М-82 имеют ресурс всего 100 часов, все самолеты ПЕ-8 4 М-82 к концу июня останутся без моторного ресурса.</w:t>
      </w:r>
    </w:p>
    <w:p w14:paraId="7DF0C35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Прошу Вашего распоряжения о возобновлении производства для АДД на заводе N 19 моторов М-82 с редукцией 9/16 и выдаче в июне 30 моторов и, начиная с июля, по 30 моторов в месяц, а также прошу производить ремонт всех выработавших ресурс моторов на заводе N 19 (1778).</w:t>
      </w:r>
    </w:p>
    <w:p w14:paraId="1883D321" w14:textId="77777777" w:rsidR="00531570" w:rsidRPr="00D03F3E" w:rsidRDefault="00531570" w:rsidP="00D03F3E">
      <w:pPr>
        <w:pStyle w:val="Iauiue"/>
        <w:jc w:val="both"/>
        <w:rPr>
          <w:color w:val="000000" w:themeColor="text1"/>
          <w:sz w:val="16"/>
          <w:szCs w:val="16"/>
        </w:rPr>
      </w:pPr>
    </w:p>
    <w:p w14:paraId="144754B6" w14:textId="77777777" w:rsidR="00C36D68" w:rsidRPr="00D03F3E" w:rsidRDefault="00C36D68"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9 июня 1943 г.</w:t>
      </w:r>
    </w:p>
    <w:p w14:paraId="0F8974AE" w14:textId="77777777" w:rsidR="00C36D68" w:rsidRPr="00D03F3E" w:rsidRDefault="00C36D68"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г. Красноярск 9 июня 1943 г.</w:t>
      </w:r>
    </w:p>
    <w:p w14:paraId="274DF148" w14:textId="77777777" w:rsidR="00C36D68" w:rsidRPr="00D03F3E" w:rsidRDefault="00C36D68"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Объявляю выписку из4 приказа народного комиссара авиационной промышленности за № 267/С от 3 мая 1943 г.</w:t>
      </w:r>
    </w:p>
    <w:p w14:paraId="742E283A" w14:textId="77777777" w:rsidR="00C36D68" w:rsidRPr="00D03F3E" w:rsidRDefault="00C36D68"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Перевести до 1 июня опытно-конструкторское бюро тов. Бериева с завода № 288 на завод № 477 со всем личным составом, имуществом, лабораторией статических испытаний, библиотекой.</w:t>
      </w:r>
    </w:p>
    <w:p w14:paraId="29CA2771" w14:textId="77777777" w:rsidR="00C36D68" w:rsidRPr="00D03F3E" w:rsidRDefault="00C36D68"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Выполнение плана и заданий ОКБ тов. Бериева по строительству опытных машин возложить на завод № 477 НКАП.</w:t>
      </w:r>
    </w:p>
    <w:p w14:paraId="4B57E2F5" w14:textId="77777777" w:rsidR="00C36D68" w:rsidRPr="00D03F3E" w:rsidRDefault="00C36D68"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Назначить тов. Бериева Г.М. главным конструктором завода № 477 НКАП.</w:t>
      </w:r>
    </w:p>
    <w:p w14:paraId="05AAA0BB" w14:textId="77777777" w:rsidR="00C36D68" w:rsidRPr="00D03F3E" w:rsidRDefault="00C36D68"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Народный комиссар авиационной промышленности А. Шахурин</w:t>
      </w:r>
    </w:p>
    <w:p w14:paraId="7DE4E399" w14:textId="77777777" w:rsidR="00C36D68" w:rsidRPr="00D03F3E" w:rsidRDefault="00C36D68"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Директор завода № 477 подпись Рехтман</w:t>
      </w:r>
    </w:p>
    <w:p w14:paraId="50FC513A" w14:textId="77777777" w:rsidR="00C36D68" w:rsidRPr="00D03F3E" w:rsidRDefault="00C36D68"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03F3E">
        <w:rPr>
          <w:rFonts w:ascii="Times New Roman" w:eastAsia="TimesNewRomanPSMT" w:hAnsi="Times New Roman"/>
          <w:iCs/>
          <w:color w:val="000000" w:themeColor="text1"/>
          <w:sz w:val="16"/>
          <w:szCs w:val="16"/>
        </w:rPr>
        <w:t>КГКУ «ГАКК». Ф.Р-1341. Оп. 1. Д. 31. Л. 267. Подлинник. Машинопись с рукописными вставками (19799).</w:t>
      </w:r>
    </w:p>
    <w:p w14:paraId="7AC50698" w14:textId="77777777" w:rsidR="00C36D68" w:rsidRPr="00D03F3E" w:rsidRDefault="00C36D68"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739ADDF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9 июня 1943 при полете на планере разбился Д.А.Кошиц (438,873).</w:t>
      </w:r>
    </w:p>
    <w:p w14:paraId="17424A8A" w14:textId="77777777" w:rsidR="00531570" w:rsidRPr="00D03F3E" w:rsidRDefault="00531570" w:rsidP="00D03F3E">
      <w:pPr>
        <w:pStyle w:val="Iauiue"/>
        <w:jc w:val="both"/>
        <w:rPr>
          <w:color w:val="000000" w:themeColor="text1"/>
          <w:sz w:val="16"/>
          <w:szCs w:val="16"/>
        </w:rPr>
      </w:pPr>
    </w:p>
    <w:p w14:paraId="653242B5"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54360AE5" w14:textId="77777777" w:rsidR="00531570" w:rsidRPr="00D03F3E" w:rsidRDefault="00531570" w:rsidP="00D03F3E">
      <w:pPr>
        <w:pStyle w:val="Iauiue"/>
        <w:jc w:val="both"/>
        <w:rPr>
          <w:iCs/>
          <w:color w:val="000000" w:themeColor="text1"/>
          <w:sz w:val="16"/>
          <w:szCs w:val="16"/>
        </w:rPr>
      </w:pPr>
    </w:p>
    <w:p w14:paraId="384CD7A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июня 1943г. вышел ПРИКАЗ КОМАНДУЮЩЕГО БТ и МВ КА ОБ ИЗУЧЕНИИ И ПРАВИЛЬНОМ ИСПОЛЬЗОВАНИИ ЭКРАНИРОВАННЫХ ТАНКОВ Т-34 В БОЕВЫХ УСЛОВИЯХ №064</w:t>
      </w:r>
    </w:p>
    <w:p w14:paraId="76FAAB3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изучения и правильного использования экранированных танков Т-34 в боевых условиях ПРИКАЗЫВАЮ:</w:t>
      </w:r>
    </w:p>
    <w:p w14:paraId="09872CA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Начальникам ГБТУ КА и ГУФ и БП БТ и МВ КА в 139-го и 198-го танковых полках организовать занятия с командирами танков, рот, взводов и экипажами по изучению боевых свойств экраниро</w:t>
      </w:r>
      <w:r w:rsidRPr="00D03F3E">
        <w:rPr>
          <w:rFonts w:ascii="Times New Roman" w:hAnsi="Times New Roman"/>
          <w:color w:val="000000" w:themeColor="text1"/>
          <w:sz w:val="16"/>
          <w:szCs w:val="16"/>
        </w:rPr>
        <w:softHyphen/>
        <w:t>ванных танков, способов их применения и наблюдения за ними в соответствии с памяткой прилага</w:t>
      </w:r>
      <w:r w:rsidRPr="00D03F3E">
        <w:rPr>
          <w:rFonts w:ascii="Times New Roman" w:hAnsi="Times New Roman"/>
          <w:color w:val="000000" w:themeColor="text1"/>
          <w:sz w:val="16"/>
          <w:szCs w:val="16"/>
        </w:rPr>
        <w:softHyphen/>
        <w:t>емой к настоящему приказу.</w:t>
      </w:r>
    </w:p>
    <w:p w14:paraId="21C7F9A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Для установления систематического наблюдения за правильностью использования экра</w:t>
      </w:r>
      <w:r w:rsidRPr="00D03F3E">
        <w:rPr>
          <w:rFonts w:ascii="Times New Roman" w:hAnsi="Times New Roman"/>
          <w:color w:val="000000" w:themeColor="text1"/>
          <w:sz w:val="16"/>
          <w:szCs w:val="16"/>
        </w:rPr>
        <w:softHyphen/>
        <w:t>нированных танков Т-34 в боевых условиях и на марше и установления соответствующего учета наблюдений начальникам ГБТУ КА и ГУФ и БП БТ и МВ КА прикомандировать к полкам по одному представителю на период использования этих танков в боевых условиях.</w:t>
      </w:r>
    </w:p>
    <w:p w14:paraId="0FC0408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Командирам 139-го и 198-го танковых полков под личную ответственность установить системати</w:t>
      </w:r>
      <w:r w:rsidRPr="00D03F3E">
        <w:rPr>
          <w:rFonts w:ascii="Times New Roman" w:hAnsi="Times New Roman"/>
          <w:color w:val="000000" w:themeColor="text1"/>
          <w:sz w:val="16"/>
          <w:szCs w:val="16"/>
        </w:rPr>
        <w:softHyphen/>
        <w:t>ческое наблюдение со стороны командиров танков, рот, взводов и экипажей за правильностью эксплуа</w:t>
      </w:r>
      <w:r w:rsidRPr="00D03F3E">
        <w:rPr>
          <w:rFonts w:ascii="Times New Roman" w:hAnsi="Times New Roman"/>
          <w:color w:val="000000" w:themeColor="text1"/>
          <w:sz w:val="16"/>
          <w:szCs w:val="16"/>
        </w:rPr>
        <w:softHyphen/>
        <w:t>тации этих танков на маршах и в боевых условиях и правильного учета наблюдения за их работой.</w:t>
      </w:r>
    </w:p>
    <w:p w14:paraId="5D772C0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Командующий БТ и МВ КА генерал-полковник танковых войск Федоренко</w:t>
      </w:r>
    </w:p>
    <w:p w14:paraId="3FE0742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ПАМЯТКА помощнику командира роты по технической части по экранированным танкам Т-34</w:t>
      </w:r>
    </w:p>
    <w:p w14:paraId="20D5398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Экранированные танки Т-34 являются опытными машинами, за которыми необходимо вести тщательное наблюдение как на маршах, так и в боевых условиях, чтобы в итоге (на базе записанных наблюдений) можно было бы обоснованно дать заключение о приемлимости или нецелесообразно</w:t>
      </w:r>
      <w:r w:rsidRPr="00D03F3E">
        <w:rPr>
          <w:rFonts w:ascii="Times New Roman" w:hAnsi="Times New Roman"/>
          <w:color w:val="000000" w:themeColor="text1"/>
          <w:sz w:val="16"/>
          <w:szCs w:val="16"/>
        </w:rPr>
        <w:softHyphen/>
        <w:t>сти экранирования танков Т-34, а также наметить (в случае приемлимости) те изменения в конструк</w:t>
      </w:r>
      <w:r w:rsidRPr="00D03F3E">
        <w:rPr>
          <w:rFonts w:ascii="Times New Roman" w:hAnsi="Times New Roman"/>
          <w:color w:val="000000" w:themeColor="text1"/>
          <w:sz w:val="16"/>
          <w:szCs w:val="16"/>
        </w:rPr>
        <w:softHyphen/>
        <w:t>ции, которые необходимо будет внести при их серийном изготовлении.</w:t>
      </w:r>
    </w:p>
    <w:p w14:paraId="2F0C30A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Обращается особое внимание на то, что все сведения по экранированным танкам являют</w:t>
      </w:r>
      <w:r w:rsidRPr="00D03F3E">
        <w:rPr>
          <w:rFonts w:ascii="Times New Roman" w:hAnsi="Times New Roman"/>
          <w:color w:val="000000" w:themeColor="text1"/>
          <w:sz w:val="16"/>
          <w:szCs w:val="16"/>
        </w:rPr>
        <w:softHyphen/>
        <w:t>ся секретными, поэтому необходимо обеспечить боевые действия этих танков так, чтобы они при любых условиях не попадали в руки противника.</w:t>
      </w:r>
    </w:p>
    <w:p w14:paraId="01B35D4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Запись всех аварий, поломок, дефектов, неполадок, поражений снарядами должна произво</w:t>
      </w:r>
      <w:r w:rsidRPr="00D03F3E">
        <w:rPr>
          <w:rFonts w:ascii="Times New Roman" w:hAnsi="Times New Roman"/>
          <w:color w:val="000000" w:themeColor="text1"/>
          <w:sz w:val="16"/>
          <w:szCs w:val="16"/>
        </w:rPr>
        <w:softHyphen/>
        <w:t>диться по каждой машине отдельно в специальный дневник, который ведется помощником коман</w:t>
      </w:r>
      <w:r w:rsidRPr="00D03F3E">
        <w:rPr>
          <w:rFonts w:ascii="Times New Roman" w:hAnsi="Times New Roman"/>
          <w:color w:val="000000" w:themeColor="text1"/>
          <w:sz w:val="16"/>
          <w:szCs w:val="16"/>
        </w:rPr>
        <w:softHyphen/>
        <w:t>дира роты по технической части на основе докладов командира танка и экипажа.</w:t>
      </w:r>
    </w:p>
    <w:p w14:paraId="590D06E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записи в дневник наблюдений необходимо фиксировать подробно не только сам факт (ава</w:t>
      </w:r>
      <w:r w:rsidRPr="00D03F3E">
        <w:rPr>
          <w:rFonts w:ascii="Times New Roman" w:hAnsi="Times New Roman"/>
          <w:color w:val="000000" w:themeColor="text1"/>
          <w:sz w:val="16"/>
          <w:szCs w:val="16"/>
        </w:rPr>
        <w:softHyphen/>
        <w:t>рии, дефекта), но и условия, при которых он совершился и причины, его вызвавшие. При пораже</w:t>
      </w:r>
      <w:r w:rsidRPr="00D03F3E">
        <w:rPr>
          <w:rFonts w:ascii="Times New Roman" w:hAnsi="Times New Roman"/>
          <w:color w:val="000000" w:themeColor="text1"/>
          <w:sz w:val="16"/>
          <w:szCs w:val="16"/>
        </w:rPr>
        <w:softHyphen/>
        <w:t>нии снарядом необходимо указать дистанцию от орудия, нанесшего поражение танку, до танка, угол встречи к нормали снаряда с броней, калибр и тип снаряда. Необходимо также отмечать и способы устранения результатов аварии, поражения снарядами и пр.</w:t>
      </w:r>
    </w:p>
    <w:p w14:paraId="63CF0E5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Форма дневника с инструкцией по ведению прилагается при настоящей памятке.</w:t>
      </w:r>
    </w:p>
    <w:p w14:paraId="1966B79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Правильность записей в дневнике должна быть заверена помощником командира полка по технической части, утверждена командиром полка и заверена представителем танкового управле</w:t>
      </w:r>
      <w:r w:rsidRPr="00D03F3E">
        <w:rPr>
          <w:rFonts w:ascii="Times New Roman" w:hAnsi="Times New Roman"/>
          <w:color w:val="000000" w:themeColor="text1"/>
          <w:sz w:val="16"/>
          <w:szCs w:val="16"/>
        </w:rPr>
        <w:softHyphen/>
        <w:t>ния ГБТУ КА в случае наличия его в в/части,</w:t>
      </w:r>
    </w:p>
    <w:p w14:paraId="149ED3D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При наличии в одном полку экранированных и неэкранированных машин дневники должны вестись по всем машинам, имея в виду в будущем дать сравнительную оценку надежности работы этих танков при эксплуатации в боевых условиях.</w:t>
      </w:r>
    </w:p>
    <w:p w14:paraId="2C325FE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Командиры полков ежедекадно должны представлять секретные донесения в танковое управ</w:t>
      </w:r>
      <w:r w:rsidRPr="00D03F3E">
        <w:rPr>
          <w:rFonts w:ascii="Times New Roman" w:hAnsi="Times New Roman"/>
          <w:color w:val="000000" w:themeColor="text1"/>
          <w:sz w:val="16"/>
          <w:szCs w:val="16"/>
        </w:rPr>
        <w:softHyphen/>
        <w:t>ление ГБТУ КА (г. Москва, Красная площадь, 2-й дом НКО) о поведении этих танков на маршах и в боевых условиях.</w:t>
      </w:r>
    </w:p>
    <w:p w14:paraId="23954D7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По окончании проверки экранированных танков в боевых условиях все материалы, касающи</w:t>
      </w:r>
      <w:r w:rsidRPr="00D03F3E">
        <w:rPr>
          <w:rFonts w:ascii="Times New Roman" w:hAnsi="Times New Roman"/>
          <w:color w:val="000000" w:themeColor="text1"/>
          <w:sz w:val="16"/>
          <w:szCs w:val="16"/>
        </w:rPr>
        <w:softHyphen/>
        <w:t>еся эксплуатации этих танков (дневники записей, копии формуляров и пр.), должны быть высланы с заключением командира полка о работе этих танков в танковое управление ГБТУ КА.</w:t>
      </w:r>
    </w:p>
    <w:p w14:paraId="31C9014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ГБТУ КА генерал-лейтенант танковых войск Вершинин</w:t>
      </w:r>
    </w:p>
    <w:p w14:paraId="0742EC1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ТУ ГБТУ КА инженер-полковник Афонин</w:t>
      </w:r>
    </w:p>
    <w:p w14:paraId="2D680C6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11351. Д. 136. Л. 419-420. Копия (11403).</w:t>
      </w:r>
    </w:p>
    <w:p w14:paraId="0BB0309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1451003" w14:textId="77777777" w:rsidR="001E3FAF" w:rsidRPr="00D03F3E" w:rsidRDefault="001E3FAF"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июня 1943 года по Горьковскому автозаводу был издан приказ о выдаче семьям погибших работников единовременного пособия в размере двухмесячного оклада, а 11 июня была создана общезаводская комиссия для оказания помощи семьям убитых, раненым и пострадавшим от пожара в связи с вражеским налетом в составе: Г.И. Максимов (председатель), Н.Н. Шахов (завком профсоюза), А.Н. Айзенштадт (ОРС), И.Н. Филатов (партком), Р.З. Бахтиярова (Завком ВЛКСМ) (15218).</w:t>
      </w:r>
    </w:p>
    <w:p w14:paraId="5183FFEE" w14:textId="77777777" w:rsidR="001E3FAF" w:rsidRPr="00D03F3E" w:rsidRDefault="001E3FAF" w:rsidP="00D03F3E">
      <w:pPr>
        <w:widowControl w:val="0"/>
        <w:spacing w:after="0" w:line="240" w:lineRule="auto"/>
        <w:jc w:val="both"/>
        <w:rPr>
          <w:rFonts w:ascii="Times New Roman" w:hAnsi="Times New Roman"/>
          <w:color w:val="000000" w:themeColor="text1"/>
          <w:sz w:val="16"/>
          <w:szCs w:val="16"/>
        </w:rPr>
      </w:pPr>
    </w:p>
    <w:p w14:paraId="4FFE3A2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июня 1943 вышло Распоряжение ГКО № 3536. О поставке 12 тыс. т гипсового камня заводу "Красный Октябрь" (Сталинград) в навигацию 1943 г.РГАНИР, Фонд ГКО, д. 125, лл. 26 (11012).</w:t>
      </w:r>
    </w:p>
    <w:p w14:paraId="670AF18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9E049F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июня 1943 вышло Постановление ГКО № 3537 О дополнительном учреждении 4 переходящих Красных знамен Государственного Комитета Обороны.РГАНИР, Фонд ГКО, д. 125, лл. 27 (11012).</w:t>
      </w:r>
    </w:p>
    <w:p w14:paraId="1C83647A"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7B24F9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июня 1943 вышло Постановление ГКО № 3538 Об обеспечении погрузки воинских грузов на дорогах Востока и импортных грузов во Владивостоке.РГАНИР, Фонд ГКО, д. 125, лл. 28-30 (11012).</w:t>
      </w:r>
    </w:p>
    <w:p w14:paraId="0EA3772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01F927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июня 1943 вышло Постановление ГКО № 3539 Об обеспечении погрузки воинских, импортных грузов и хлопка на Ашхабадской и Ташкентской железных дорогах.РГАНИР, Фонд ГКО, д. 125, лл. 31-32 (11012).</w:t>
      </w:r>
    </w:p>
    <w:p w14:paraId="464219D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0E66C0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июня 1943 вышло Постановление ГКО № 3540 Об обеспечении вывоза воинских, импортных и других грузов с Закавказской им. Л.П. Берия железной дороги.РГАНИР, Фонд ГКО, д. 125, лл. 33-34 (11012).</w:t>
      </w:r>
    </w:p>
    <w:p w14:paraId="52CB2C5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7712A1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июня 1943 вышло Постановление ГКО № 3541 Об отпуске продовольственных, госпитальных и фуражных пайков для Красной Армии, Военно-Морского Флота и войск НКВД в июне 1943 года.РГАНИР, Фонд ГКО, д. 125, лл. 35-36, 37-38 (11012).</w:t>
      </w:r>
    </w:p>
    <w:p w14:paraId="2B67E94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C6D227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июня 1943 вышло Постановление ГКО № 3542 О плане отпуска вещевого имущества для Красной Армии и Военно-Морского Флота в июне 1943 года.РГАНИР, Фонд ГКО, д. 125, лл. 39, 40-44 (11012).</w:t>
      </w:r>
    </w:p>
    <w:p w14:paraId="11D0B2C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E67844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июня 1943 вышло Постановление ГКО № 3543 Об изменении постановления Государственного Комитета Обороны № 300с от 31 июля 1941 года "Об Управлении Тылом Красной Армии".РГАНИР, Фонд ГКО, д. 125, лл. 45-50 (11012).</w:t>
      </w:r>
    </w:p>
    <w:p w14:paraId="344AD85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65B143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июня 1943 вышло Постановление ГКО № 3544 О реорганизации ГУ автотранспортной и дорожной службы КА в Главное дорожное управление и его функциях.РГАНИР, Фонд ГКО, д. 125, лл. 51-53, 54-57 (11012).</w:t>
      </w:r>
    </w:p>
    <w:p w14:paraId="5F23772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E9F89C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июня 1943 вышло Постановление ГКО № 3546 О плане снабжения горюче-смазочными материалами Красной Армии и Военно-Морского Флота на июнь 1943 года.РГАНИР, Фонд ГКО, д. 125, лл. 60-61, 62-92 (11012).</w:t>
      </w:r>
    </w:p>
    <w:p w14:paraId="7974A8D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B7E70DD"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0CBC94A5" w14:textId="77777777" w:rsidR="00531570" w:rsidRPr="00D03F3E" w:rsidRDefault="00531570" w:rsidP="00D03F3E">
      <w:pPr>
        <w:pStyle w:val="Iauiue"/>
        <w:jc w:val="both"/>
        <w:rPr>
          <w:iCs/>
          <w:color w:val="000000" w:themeColor="text1"/>
          <w:sz w:val="16"/>
          <w:szCs w:val="16"/>
        </w:rPr>
      </w:pPr>
    </w:p>
    <w:p w14:paraId="399F46EC"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9 июня</w:t>
      </w:r>
      <w:r w:rsidRPr="00D03F3E">
        <w:rPr>
          <w:rFonts w:ascii="Times New Roman" w:hAnsi="Times New Roman"/>
          <w:color w:val="000000" w:themeColor="text1"/>
          <w:sz w:val="16"/>
          <w:szCs w:val="16"/>
        </w:rPr>
        <w:t xml:space="preserve"> в 1943 году утреннее сообщение Совинформбюро:</w:t>
      </w:r>
    </w:p>
    <w:p w14:paraId="2E70A26E"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течение ночи на 9 июня на фронте ничего существенного не произошло.</w:t>
      </w:r>
    </w:p>
    <w:p w14:paraId="32140F82"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артиллеристы Н-ской части произвели огневой налёт на позиции немцев. Артиллерийским огнём уничтожено 2 орудия и взорван склад противника с боеприпасами. Красноармеец т. Гавостин, находясь в боевом охранении, несколькими очередями из ручного пулемёта уничтожил группу немецких разведчиков.</w:t>
      </w:r>
    </w:p>
    <w:p w14:paraId="46A3B4E2"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участке в районе Севска противник силою до двух батальонов пехоты при поддержке танков атаковал наши подразделения. Атака гитлеровцев была отбита нашими бойцами. В результате боя уничтожено до двух рот пехоты противника, подбит танк и огнём пехотного оружия сбит немецкий самолёт.</w:t>
      </w:r>
    </w:p>
    <w:p w14:paraId="115F26F5"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немецкие автоматчики пытались разведать передний край нашей обороны. Бойцы Н-ской части миномётным и пулемётным огнём рассеяли противника. На другом участке артиллерийским огнём разрушено 2 немецких блиндажа, уничтожено самоходное орудие и 4 пулемёта противника. Снайперы Н-ской части в течение вчерашнего дня истребили 38 гитлеровцев.</w:t>
      </w:r>
    </w:p>
    <w:p w14:paraId="0A664B37"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Западнее Ростова-на-Дону наши артиллеристы разрушили 4 дзота и 3 блиндажа, уничтожили артиллерийскую батарею и 6 пулемётов противника. Миномётчики подразделения, где командиром старший лейтенант т. Бутенко, за три дня уничтожили зенитное орудие, 4 миномёта и разрушили 5 вражеских дзотов и блиндажей.</w:t>
      </w:r>
    </w:p>
    <w:p w14:paraId="11603807"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Киевской области, ворвался в крупный населённый пункт. Советские патриоты взорвали немецкие авторемонтные мастерские, 3 гаража, уничтожили 44 тягача, 7 грузовых автомашин и сожгли склад с горючим. Другой отряд киевских партизан пустил под откос воинский эшелон противника, следовавший к линии фронта. При крушении уничтожены паровоз и 8 вагонов. Убито и ранено много гитлеровцев.</w:t>
      </w:r>
    </w:p>
    <w:p w14:paraId="33521D1D"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сторону Красной Армии перешли три солдата одного из подразделений 86немецкой пехотной дивизии. Перебежчик Пауль Л. рассказал: «Попав на фронт, я решил перейти к русским и начал подыскивать единомышленников. В тылу и в армии все страшно боятся доносчиков и агентов гестапо. Поэтому я действовал весьма осторожно. Познакомившись с солдатом Генрихом, я увидел, что ему можно довериться, и завёл с ним разговор. Я заявил Генриху, что для германской армии начался период поражений и недалёк тот час, когда она будет совершенно уничтожена. После нескольких встреч мы договорились перейти к русским. Нам удалось привлечь ещё солдата Иоганна. На днях мы трое сдались в плен».</w:t>
      </w:r>
    </w:p>
    <w:p w14:paraId="7033C0B1"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Чехословацкие патриоты самоотверженно борются против немецких оккупантов. В районе города Злина рабочие сожгли военный склад. Сгорело огромное количество обуви, заготовленной для немецкой армии. Недалеко от Праги патриоты обстреляли отряд эсэсовцев. В районе Брно железнодорожники пустили под откос поезд с зенитными орудиями.» (14917).</w:t>
      </w:r>
    </w:p>
    <w:p w14:paraId="0C743A5E" w14:textId="77777777" w:rsidR="001E3FAF" w:rsidRPr="00D03F3E" w:rsidRDefault="001E3FAF" w:rsidP="00D03F3E">
      <w:pPr>
        <w:spacing w:after="0" w:line="240" w:lineRule="auto"/>
        <w:jc w:val="both"/>
        <w:rPr>
          <w:rFonts w:ascii="Times New Roman" w:hAnsi="Times New Roman"/>
          <w:color w:val="000000" w:themeColor="text1"/>
          <w:sz w:val="16"/>
          <w:szCs w:val="16"/>
        </w:rPr>
      </w:pPr>
    </w:p>
    <w:p w14:paraId="61EFE98F"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9 июня</w:t>
      </w:r>
      <w:r w:rsidRPr="00D03F3E">
        <w:rPr>
          <w:rFonts w:ascii="Times New Roman" w:hAnsi="Times New Roman"/>
          <w:color w:val="000000" w:themeColor="text1"/>
          <w:sz w:val="16"/>
          <w:szCs w:val="16"/>
        </w:rPr>
        <w:t xml:space="preserve"> в 1943 году вечернее сообщение Совинформбюро:</w:t>
      </w:r>
    </w:p>
    <w:p w14:paraId="4BE002BE"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9 июня на фронте существенных изменений не произошло.</w:t>
      </w:r>
    </w:p>
    <w:p w14:paraId="6BD60D29"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Нашей авиацией в Баренцевом море потоплен немецкий транспорт, в Балтийскомморе потоплены транспорт и три сторожевых катера противника.</w:t>
      </w:r>
    </w:p>
    <w:p w14:paraId="0DC3CB71"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июня частями нашей авиации на различных участках фронта уничтожено или повреждено до 40 автомашин с войсками и грузами, разбит железнодорожный эшелон, взорвано несколько складов боеприпасов и горючего, подавлен огонь 2 артиллерийских батарей, рассеяно и частью уничтожено до роты пехоты противника.</w:t>
      </w:r>
    </w:p>
    <w:p w14:paraId="2B60771C"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истребили до 200 солдат и офицеров противника, уничтожили 3 орудия, 7 пулемётов, 6 наблюдательных пунктов и взорвали склад боеприпасов. Разведывательный отряд Н-ской части проник в тыл противника и напал на немцев, производивших оборонительные работы. Наши бойцы перебили до 30 гитлеровцев и, захватив пленных, вернулись в свою часть.</w:t>
      </w:r>
    </w:p>
    <w:p w14:paraId="2EC62478"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советские артиллеристы уничтожили 2 немецких орудия, разрушили 3 блиндажа, наблюдательный пункт и истребили до роты гитлеровцев. Наши лётчики в воздушных боях сбили 3 немецких самолёта.</w:t>
      </w:r>
    </w:p>
    <w:p w14:paraId="0271EB63"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происходила редкая перестрелка. Гвардейцы-миномётчики совершили огневой налёт на позиции противника, разрушили 7 дзотов и блиндажей и уничтожили более 70 немецких солдат и офицеров. Разведчики лейтенант т. Лях, красноармейцы тт. Рычков, Невердовский, Симейкин, Чевычелов и Манцуров напали на боевое охранение противника и убили 20 гитлеровцев.</w:t>
      </w:r>
    </w:p>
    <w:p w14:paraId="675FD5A2"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подразделения истребили до двух рот пехоты противника. Артиллерийским огнём разрушено 15 немецких дзотов и 6 блиндажей, взорвано 2 склада боеприпасов, уничтожено 8 автомашин и несколько повозок с грузами. Группа разведчиков под командованием сержанта т. Кривенкова заметила группу белофиннов, вооружённых автоматами и ручными пулемётами. Наши бойцы с близкого расстояния открыли огонь и истребили до 40 вражеских солдат. Захватив 4 пулемёта и несколько автоматов, разведчики благополучно вернулись в свою часть.</w:t>
      </w:r>
    </w:p>
    <w:p w14:paraId="6293892F"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белорусских партизан, действующий в одном из районов Витебской области, за несколько дней пустил под откос 3 немецких воинских эшелона с двойной тягой, следовавших к линии фронта. Разбито 6 паровозов, 35 вагонов с боеприпасами, 40 вагонов с продовольствием и 10 вагонов с различным военным имуществом. В одном населённом пункте советские патриоты сожгли крупные склады противника.</w:t>
      </w:r>
    </w:p>
    <w:p w14:paraId="5102BF0B"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Лётчик штабного отряда 51 немецкой истребительной эскадры унтер-офицер Франц Клюг, захваченный 5-го июня в плен, рассказал: «22 мая при налёте на Курск немецкая авиация потерпела поражение. Командование привлекло некоторых офицеров к ответственности за то, что они допустили чрезвычайно большие потери. Одного майора авиации, ранее награждённого рыцарским крестом, предали суду. Однако последующий налёт на Курок, совершенный 21 июня, повлёк за собою ещё более тяжёлые потери. Только орловская группировка потеряла в этот день 56 машин, а кроме того большие потери понесли и другие авиационные части».</w:t>
      </w:r>
    </w:p>
    <w:p w14:paraId="7167E335"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Бортовой стрелок ефрейтор Шорнштейн, взятый в плен 2-го июня, заявил: «Я 22 мая 1943 года прибыл из Франции в город Сталино в 55 бомбардировочную эскадру. Первый налёт на советский город Курск, в котором я участвовал, закончился катастрофой для экипажа. Русские сбили машину и захватили в плен лётчика, меня и радиста».</w:t>
      </w:r>
    </w:p>
    <w:p w14:paraId="39845CC5" w14:textId="77777777" w:rsidR="001E3FAF" w:rsidRPr="00D03F3E" w:rsidRDefault="001E3F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Греческие партизаны, действующие в районе Южного Эпира, атаковали итальянский отряд и в ожесточённой схватке истребили 76 итальянцев. В другом районе на линии железной дороги Афины—Салоники греческие патриоты устроили завал. Когда к месту завала подошёл итальянский воинский эшелон, машинист остановил поезд. Партизаны открыли из пулемётов огонь и уничтожили значительное количество вражеских солдат и офицеров.» (14917).</w:t>
      </w:r>
    </w:p>
    <w:p w14:paraId="25E7B66D" w14:textId="77777777" w:rsidR="001E3FAF" w:rsidRPr="00D03F3E" w:rsidRDefault="001E3FAF" w:rsidP="00D03F3E">
      <w:pPr>
        <w:spacing w:after="0" w:line="240" w:lineRule="auto"/>
        <w:jc w:val="both"/>
        <w:rPr>
          <w:rFonts w:ascii="Times New Roman" w:hAnsi="Times New Roman"/>
          <w:color w:val="000000" w:themeColor="text1"/>
          <w:sz w:val="16"/>
          <w:szCs w:val="16"/>
        </w:rPr>
      </w:pPr>
    </w:p>
    <w:p w14:paraId="454E4AA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июня в 18.27 по местному времени над Горьким «по расписанию» прошли два самолета-разведчика Ju-88D. На сделанных ими аэрофотоснимках было отчетливо видно, что горьковчане пытаются ввести в строй старую водозаборную станцию, и этот факт был учтен при планировании следующего налета.</w:t>
      </w:r>
    </w:p>
    <w:p w14:paraId="6793382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Зенитчики спешно готовились к отражению возможных новых налетов. Еще 6 июня в Автозаводский район был переброшен дивизион орудий малого калибра из 90-го запасного ЗенАП. Затем 8 и 9 июня сюда же прибыли отдельный дивизион среднего калибра, дивизион Горьковского училища зенитной артиллерии и дивизион Чкаловского училища зенитной артиллерии во главе с майором М. П. Бирюковым. Непосредственно на ГАЗ для прикрытия цехов перебросили зенитно-пулеметный полк, а также 1580-й ЗенАП, вооруженный 20-мм и 37-мм пушками. Последние предназначались для стрельбы по низколетящим и пикирующим самолетам. Попутно на позиции подвозились дополнительные запасы боеприпасов.</w:t>
      </w:r>
    </w:p>
    <w:p w14:paraId="15DDBBD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отражении первых трех налетов немецкой авиации выявилась полная несостоятельность принятой ранее схемы заградительного огня зенитной артиллерии среднего калибра. Вследствие недостаточного расстояния между линиями завес открытие огня по вторым и последующим эшелонам бомбардировщиков противника запаздывало. Командованию корпусного района ПВО пришлось изменить схему заградительного огня. Была произведена перегруппировка батарей, явно запоздалая, усилена оборона на основных направлениях действий немецкой авиации. Вместо трех линий завес подготовили две. Внутренняя линия завес была установлена на удалении два-три километра от границ объекта, а внешняя – на удалении шесть-семь километров от внутренней (11774).</w:t>
      </w:r>
    </w:p>
    <w:p w14:paraId="767CA74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1CA48C4" w14:textId="77777777" w:rsidR="00BC570C" w:rsidRPr="00D03F3E" w:rsidRDefault="00BC57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ночь на 9 июня 1943 г. еще 160 советских двухмоторных бомбардировщиков совершили новые налеты на аэродромы люфтваффе на Орловском выступе. Однако и эта бомбежка по площадям не принесла никаких ощутимых результатов. Так, на аэродроме Орел</w:t>
      </w:r>
      <w:r w:rsidRPr="00D03F3E">
        <w:rPr>
          <w:rFonts w:ascii="Times New Roman" w:hAnsi="Times New Roman"/>
          <w:color w:val="0070C0"/>
          <w:sz w:val="16"/>
          <w:szCs w:val="16"/>
        </w:rPr>
        <w:noBreakHyphen/>
        <w:t>Западный получили ранения лишь два человека из наземного персонала. В то же время на свои базы не вернулся 21 самолет, или 13 % от общего числа участвовавших в налете (23199).</w:t>
      </w:r>
    </w:p>
    <w:p w14:paraId="38564672" w14:textId="77777777" w:rsidR="00BC570C" w:rsidRPr="00D03F3E" w:rsidRDefault="00BC570C" w:rsidP="00D03F3E">
      <w:pPr>
        <w:spacing w:after="0" w:line="240" w:lineRule="auto"/>
        <w:jc w:val="both"/>
        <w:rPr>
          <w:rFonts w:ascii="Times New Roman" w:hAnsi="Times New Roman"/>
          <w:color w:val="0070C0"/>
          <w:sz w:val="16"/>
          <w:szCs w:val="16"/>
        </w:rPr>
      </w:pPr>
    </w:p>
    <w:p w14:paraId="272A767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июня 1943 ГКО принял постановление № 179 «О светомаскировке в городе Саратове», которое обязывало военного и областного прокуроров установить строгий контроль за соблюдением режима затемнения на заводах и транспорте. На предприятиях спешно приводились в порядок укрытия, запасались песок и вода. И все же до 12 июня саратовцы еще надеялись, что их минет участь Горького…(11774).</w:t>
      </w:r>
    </w:p>
    <w:p w14:paraId="23103A4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099923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Вечером 9 июня 1943 на аэродромах в Брянской и Орловской областях снова царило оживление. Наземный персонал готовил самолеты к вылету, баки доверху заливались горючим, под фюзеляжи подвешивались мощные фугасные бомбы. Пилоты проходили очередной инструктаж. На этот раз их цель – Ярославль, основной объект атаки – резиновый комбинат. Попутно решено было небольшими силами атаковать второстепенные цели в городах Углич, Константиновский и Комсомольск. Для участия в налете выделялись III./KG27 «Бельке» гауптмана Карла Майера, а также II./KG53 «Легион Кондор» майора Герберта Виттманна, присланная на подкрепление из 1-го воздушного флота. 4-й флот посылал на северный волжский город «Юнкерсы» и «Хейнкели» из II./KG3 «Блиц» и I./KG100 «Викинг». Взлет, как обычно, был назначен на восемь часов вечера по берлинскому времени. Согласно записям в летных книжках пилотов, Не-111H «1G+EL» взлетел в 20.10 с аэродрома Олсуфьево, Не-111Н «1G+AL» – в 20.15 оттуда же, Не-111H «1G+CA» – в 20.20 с аэродрома Брянск, Не-111H «1G+FS» – в 20.32 с аэродрома Олсуфьево и т.д. Но не всем экипажам удалось долететь до цели. Так, Не-111Н «1G+DP» поднялся в воздух в 20.15 из Олсуфьево, но во время полета выявились неполадки двигателя, и, пролетев около 400 км, экипаж повернул обратно. В итоге в первом массированном ударе по Ярославлю приняли участие 109 бомбардировщиков. Как только самолеты пересекли линию фронта и, обойдя Москву, полетели в северо-восточном направлении, сообщение об этом поступило в штаб Рыбинско-Ярославского диврайона ПВО. В 23.30 по московскому времени в городе завыли гудки воздушной тревоги, и вскоре послышался отрывистый грохот зенитных орудий. Через семнадцать минут, в 23.47, над городом появились первые бомбардировщики. Далее все происходило по знакомому сценарию, отработанному при налетах на Горький. Сначала осветительные ракеты, затем удар по водозабору и далее волна за волной атаки промышленных целей. Главным объектом бомбардировки был шинный завод № 736, расположенный в северо-западной части города. Несмотря на сильный и достаточно точный заградительный огонь зениток, «Хейнкели» и «Юнкерсы» упорно шли на цель, сбрасывая на нее фугасные и тяжелые зажигательные бомбы. Последние легко пробивали деревянную крышу и разрывались на верхних этажах или в гуще оборудования. Вязкая смесь практически не поддавалась тушению, и все попадавшееся на ее пути мгновенно вспыхивало. Затем с неба хлынули струи воспламеняющейся жидкости. Цеха и склады были битком набиты горючими материалами, которые дополнительно подпитывали огонь. Вскоре на завод прибыли пожарные авто-насосы, чьи расчеты вместе с цеховыми унитарными командами пытались что-то тушить, но воды в сети не оказалось, а проезд и проход к искусственным водоемам был повсюду заблокирован. Над заводом проходили новые группы бомбардировщиков, сбрасывавших свежие порции бомб. То </w:t>
      </w:r>
      <w:r w:rsidRPr="00D03F3E">
        <w:rPr>
          <w:rFonts w:ascii="Times New Roman" w:hAnsi="Times New Roman"/>
          <w:color w:val="000000" w:themeColor="text1"/>
          <w:sz w:val="16"/>
          <w:szCs w:val="16"/>
        </w:rPr>
        <w:lastRenderedPageBreak/>
        <w:t xml:space="preserve">тут, то там громыхали раскаты взрывов, вспыхивали новые языки пламени. В результате к 01.00 ночи большинство его корпусов превратились в огромные костры. Последняя волна самолетов сбросила бомбы на Ярославский автозавод, комбинат синтетического каучука СК-1, станцию Всполье и железнодорожный мост через Волгу. Последний, несмотря на близкие разрывы, не пострадал, а вот предприятиям был нанесен значительный ущерб. Несколько авиабомб упали на территорию Ярославской махорочной фабрики, где был разрушен и сгорел склад, в котором находились 140 т табака. Несколько бомб попали в ТЭЦ № 1. Сгорел старый механический цех, частично был разрушен новый механический цех, пострадало масляное хозяйство. Участник этих событий К. Н. Фурманов позднее вспоминал:  «В годы войны я был руководителем котельного цеха и одновременно начальником аварийно-восстановительной команды. За нашей командой была закреплена территория под котлами в зольном помещении. Оглушительные взрывы сотрясли здание… Мы поняли, что фугасные бомбы взорвались где-то совсем рядом. Поступило сообщение о том, что бомба попала в дымососную. Подниматься туда, на высоту более 30 метров, пришлось в темноте по лестнице, содрогавшейся от взрывов. Вид разрушенного помещения был ужасен. Казалось, горит здесь все: даже телефонная будка, бак с маслом. Из-за дыма не было видно, где стоят ящики с песком, где гидранты. Но тренировки в подразделениях не пропали даром: каждый делал именно то, что необходимо было в данный момент». </w:t>
      </w:r>
    </w:p>
    <w:p w14:paraId="5E8AED3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время бомбежки станции и тушения возникшего пожара погибли начальник отдела труда А. А. Митрошин, руководитель другого отдела Г. И. Вахнюк, монтер А. П. Морозов, кочегар М. Яхнин. Четыре человека получили ранения. На ТЭЦ-1 была разрушена бетонная эстакада, по которой в ее бункеры в хопперах подавалось топливо. Полностью была разрушена одна из четырех параллельных арок пролета, другие получили серьезные повреждения. Возникла опасность остановки станции из-за невозможности подавать топливо. Во время налета также сильно пострадали и предприятия связи Ярославля. И через несколько дней городской комитет обороны издал особое постановление «О восстановлении городской телефонной сети, разрушенной при налете вражеской авиации». Согласно ему, Кировский, Сталинский и Кагановичский районы на три дня, начиная с 19 июня, выделяли в распоряжение областного управления связи по сто человек с лопатами для рытья траншей и укладки кабелей. Всего в ходе первого массированного налета на Ярославль были сброшены 190 т бомб всех калибров. По подсчетам же службы МПВО, за полтора часа налета на город и прилегающие объекты упали около 1500 авиабомб.</w:t>
      </w:r>
    </w:p>
    <w:p w14:paraId="12BB61C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Войска Рыбинско-Ярославского диврайона ПВО, в отличие от своих горьковских коллег, встретили налет достаточно организованно. Решение о подъеме в воздух ночных истребителей и приведении наземных средств ПВО в боевую готовность было принято своевременно. В итоге во время налета на Ярославль 4-я эскадрилья KG27 «Бельке» потеряла сразу два бомбардировщика:</w:t>
      </w:r>
    </w:p>
    <w:p w14:paraId="39A1C58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 Не-111H-16 W.Nr. 160518 «1G+MM», весь экипаж которого – пилот фельдфебель Фритц Хауг, штурман унтер-офицер Алоиз Эбнер, бортрадист обер-ефрейтор Рудольф Кёхлер и бортмеханик унтер-офицер Георг Гейсслер – пропал без вести;</w:t>
      </w:r>
    </w:p>
    <w:p w14:paraId="0E23065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 Не-111H-16 WNr.160398 «1G+CA», его пилот – 27-летний фельдфебель Вилли Эббинхаус – попал в плен [167] , а остальные члены экипажа – штурман унтер-офицер Хейнц Шрётер, бортрадист унтер-офицер Альфонс Хоффманн и бортмеханик фельдфебель Герман Петерсен – пропали без вести.</w:t>
      </w:r>
    </w:p>
    <w:p w14:paraId="70B7D41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Также пропал без вести Не-111H W.Nr.7690 обер-лейтенанта О. Шуберта из 6-й эскадрильи KG4 «Генерал Вефер».</w:t>
      </w:r>
    </w:p>
    <w:p w14:paraId="5751041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большинство бомбардировщиков все же благополучно миновали зону зенитного огня и возвращались на свои базы. В соответствии с записями в сохранившихся летных книжках пилотов KG27, Не-111H «1G+FS» приземлился в Олсуфьево в 00.55, продолжительность вылета составила 263 минуты. Экипаж сообщил, что бомбометание произведено с высоты 3800 м, отмечены зенитный огонь, прожектора и ночные истребители. Не-111H «1G+EL» совершил посадку в 01.50, проведя в воздухе 340 минут, а Не-111H «1G+AL» – в 01.45, после 330 минут полета.</w:t>
      </w:r>
    </w:p>
    <w:p w14:paraId="5A17095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то же время, когда немецкие самолеты возвращались на свои аэродромы, к ним приближались советские бомбардировщики АДЦ. И получилось, что 75 В-25 и Ил-4 вышли в район Сещинской как раз в тот момент, когда там на посадку заходили «Хейнкели» из I. и II./KG55. Советские летчики отчетливо видели самолеты противника, которые с включенными навигационными огнями ходили по кругу над своей базой. Немецкая зенитная артиллерия, естественно, огня не открывала. В этих условиях советским ведущим было принято «умнейшее решение» – атаковать аэродром только после посадки всех немецких самолетов. Только когда все Не-111 приземлились, советские бомбардировщики нанесли удар по их «скоплениям». Но, как это бывало и раньше,  «эффективная бомбежка» осталась незамеченной для немцев.</w:t>
      </w:r>
    </w:p>
    <w:p w14:paraId="40CD919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Одновременно с налетом на Ярославль Ju-88 из опытной эскадрильи KGr. 101, базировавшиеся на аэродроме Псков, совершили налет на Рыбинск. Они использовали бомбы с ракетными ускорителями, сбрасывая их на цель с пикирования. В результате была повреждена силовая станция авиамоторного завода, сильно разрушен катерозавод, а также Северный поселок, где проживала большая часть рабочих. При этом зенитным огнем был поврежден «Юнкере» лейтенанта Хейнца Фроммхольда, однако ему удалось долететь до своего аэродрома на одном двигателе (11774).</w:t>
      </w:r>
    </w:p>
    <w:p w14:paraId="2958136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Наутро вид Ярославля был ужасен. Над волжским берегом стелился смрадный смог от горящей резины и каучука, заслоняющий июньское солнце, повсюду на улицах валялись осколки бомб и зенитных снарядов, над шинным заводом поднимались клубы дыма и пара. От взрывов и огня сильно пострадали все производственные корпуса, за исключением корпусов «3» и «Е». Основной корпус «А» был практически уничтожен, значительные повреждения получили корпуса «И», «Д», «В», «Б», «Г» и «Ж». Таким образом, германская авиация вывела из строя семь производственных цехов и заводскую лабораторию. Тяжелое оборудование цехов №№ 2,3 и 4 было сильно повреждено, требовало демонтажа и проведения капитального ремонта. Вышли из строя сооружения и коммуникации подачи пара, воздуха, воды и электроэнергии. От действия огня лопнули 16 валков агрегатов вальцов и каландров, расплавились тяжелые трансмиссионные подшипники у 40% машин, лопнули рамы фундаментов у двух тяжелых каландров (фрикционного и листовального). От сильного огня и прямого попадания бомб многие тяжелые агрегаты были разбиты, повреждены и деформированы. 19 из 23 электродвигателей привода тяжелого оборудования, вместе с шестикиловаттной пусковой аппаратурой, были разрушены настолько, что требовали разборки, капитального ремонта и замены, а остальные – мелкого ремонта. Из шести магнитных станций четыре полностью сгорели, а оставшиеся нуждались в капитальном ремонте. Кабельное хозяйство завода было уничтожено на 75%. Вышли из строя 220– и 500-вольтная силовые сети, а также все мелкие и средние двигатели пусковой аппаратуры. Когда корпуса шинного завода еще дымились, на место катастрофы прибыли нарком резиновой промышленности Т. Б. Митрохин, главный инженер Главшинпрома М. И. Иванов и др. ответственные работники. Им предстала страшная картина: повсюду виднелись обгоревшие остовы несущих колонн, рухнувшие перекрытия с обожженной, исковерканной арматурой, изуродованные электромоторы и другое оборудование. И все это было завалено обрушившимися конструкциями.</w:t>
      </w:r>
    </w:p>
    <w:p w14:paraId="32EDD27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Наутро 10 июня о налете на Ярославль было сообщено в ГКО и лично Сталину. Вскоре о бомбежке узнал и находившийся в Горьком командующий ПВО страны Михаил Громадин. Здесь это известие принесло некоторое облегчение, появилась надежда, что теперь немцы отстанут от Нижегородчины и возьмутся за другие города, и можно будет в спокойной обстановке заняться восстановлением автозавода и укреплением ПВО. Население страны узнало скупые сведения о новом налете из газет. Так, «Известия» в этот день написали:  «Б ночь на 10 июня группа немецких самолетов пыталась совершить налет на Ярославль. Через заградительный огонь к городу прорвалось несколько самолетов противника, беспорядочно сбросивших зажигательные и фугасные бомбы. Возникшие пожары жилых домов были быстро ликвидированы. Есть жертвы среди гражданского населения. Зенитная артиллерия сбила 6 бомбардировщиков». Командование диврайона составило донесение, в котором, в духе времени, было указано, что якобы из 65 бомбардировщиков на Ярославль  «прорвалось около 20». Фактически же посты ВНОС и операторы РЛС РУС-2 «обсчитались» даже при учете участвовавших в налете самолетов, занизив их число почти в два раза (11774).</w:t>
      </w:r>
    </w:p>
    <w:p w14:paraId="68B06DA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36BAFFB" w14:textId="77777777" w:rsidR="001A585A" w:rsidRPr="00D03F3E" w:rsidRDefault="001A585A"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9 июня 1943 годапо распоряжению командующего бронетанковыми и механизированными войсками Красной армии №064 экранированные машины Т-34 были отправлены на фронт для испытаний в боевых условиях. Части, оснащённые экранированными Т-34, попали в состав 41-й танковой бригады 5-го танкового корпуса и 111-й танковой бригады 25-го танкового корпуса. В 139-м танковом полку имелся 21 Т-34, экранированный по первому варианту, а также 11 Т-34 с экранировкой второго варианта. В 198-й танковый полк попало два танка с первым вариантом экранировки, 12 — со вторым, а также 18 Т-34 завода №112 безо всякой экранировки.</w:t>
      </w:r>
    </w:p>
    <w:p w14:paraId="654B03E0" w14:textId="77777777" w:rsidR="001A585A" w:rsidRPr="00D03F3E" w:rsidRDefault="001A585A"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На марше к месту сосредоточения был выявлен ряд дефектов ходовой части и моторно-трансмиссионной группы. Данные дефекты, впрочем, наблюдались и на Т-34 без экранировки. Более специфическим недостатком стало ухудшение манёвренности при движении по мягкому грунту. Связано это было с забиванием грязи между основной бронёй и экраном при разворотах. В целом же оказалось, что на проходимость и манёвренность экраны почти не влияют (18883).</w:t>
      </w:r>
    </w:p>
    <w:p w14:paraId="09E0A476" w14:textId="77777777" w:rsidR="001A585A" w:rsidRPr="00D03F3E" w:rsidRDefault="001A585A" w:rsidP="00D03F3E">
      <w:pPr>
        <w:spacing w:after="0" w:line="240" w:lineRule="auto"/>
        <w:jc w:val="both"/>
        <w:rPr>
          <w:rFonts w:ascii="Times New Roman" w:eastAsia="Times New Roman" w:hAnsi="Times New Roman"/>
          <w:color w:val="000000" w:themeColor="text1"/>
          <w:sz w:val="16"/>
          <w:szCs w:val="16"/>
          <w:lang w:eastAsia="ru-RU"/>
        </w:rPr>
      </w:pPr>
    </w:p>
    <w:p w14:paraId="0A11EE8E"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6CF96D17" w14:textId="77777777" w:rsidR="00531570" w:rsidRPr="00D03F3E" w:rsidRDefault="00531570" w:rsidP="00D03F3E">
      <w:pPr>
        <w:pStyle w:val="Iauiue"/>
        <w:jc w:val="both"/>
        <w:rPr>
          <w:iCs/>
          <w:color w:val="000000" w:themeColor="text1"/>
          <w:sz w:val="16"/>
          <w:szCs w:val="16"/>
        </w:rPr>
      </w:pPr>
    </w:p>
    <w:p w14:paraId="37DAEB5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июня 1943 вышло Постановление ГКО № 3545 Об утверждении заявки на поставки из Канады в СССР на годичный срок и о переговорах с Канадой по этому вопросу.РГАНИР, Фонд ГКО, д. 125, лл. 58, 59 (11012).</w:t>
      </w:r>
    </w:p>
    <w:p w14:paraId="6483364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8C7360A"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9 июня</w:t>
      </w:r>
      <w:r w:rsidRPr="00D03F3E">
        <w:rPr>
          <w:rFonts w:ascii="Times New Roman" w:hAnsi="Times New Roman"/>
          <w:color w:val="000000" w:themeColor="text1"/>
          <w:sz w:val="16"/>
          <w:szCs w:val="16"/>
        </w:rPr>
        <w:t xml:space="preserve"> в 1943 году визит в СССР президента Торговой Палаты США Э.Джонсона. Состоялись переговоры американского представителя со Сталиным и Молотовым (14917).</w:t>
      </w:r>
    </w:p>
    <w:p w14:paraId="2D70E018" w14:textId="77777777" w:rsidR="00A167DD" w:rsidRPr="00D03F3E" w:rsidRDefault="00A167DD" w:rsidP="00D03F3E">
      <w:pPr>
        <w:spacing w:after="0" w:line="240" w:lineRule="auto"/>
        <w:jc w:val="both"/>
        <w:rPr>
          <w:rFonts w:ascii="Times New Roman" w:hAnsi="Times New Roman"/>
          <w:color w:val="000000" w:themeColor="text1"/>
          <w:sz w:val="16"/>
          <w:szCs w:val="16"/>
        </w:rPr>
      </w:pPr>
    </w:p>
    <w:p w14:paraId="5E51D6FA"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04B121FF" w14:textId="77777777" w:rsidR="00531570" w:rsidRPr="00D03F3E" w:rsidRDefault="00531570" w:rsidP="00D03F3E">
      <w:pPr>
        <w:pStyle w:val="Iauiue"/>
        <w:jc w:val="both"/>
        <w:rPr>
          <w:iCs/>
          <w:color w:val="000000" w:themeColor="text1"/>
          <w:sz w:val="16"/>
          <w:szCs w:val="16"/>
        </w:rPr>
      </w:pPr>
    </w:p>
    <w:p w14:paraId="1A71D9B4"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9 июня 1943 Юлиус Фучик сделал последнюю запись в тюремном дневнике: “Люди, будьте бдительны ” (4962).</w:t>
      </w:r>
    </w:p>
    <w:p w14:paraId="1CB98C5C" w14:textId="77777777" w:rsidR="00531570" w:rsidRPr="00D03F3E" w:rsidRDefault="00531570" w:rsidP="00D03F3E">
      <w:pPr>
        <w:pStyle w:val="Iauiue"/>
        <w:tabs>
          <w:tab w:val="left" w:pos="11199"/>
        </w:tabs>
        <w:jc w:val="both"/>
        <w:rPr>
          <w:color w:val="000000" w:themeColor="text1"/>
          <w:sz w:val="16"/>
          <w:szCs w:val="16"/>
        </w:rPr>
      </w:pPr>
    </w:p>
    <w:p w14:paraId="154A613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 июня 1943 венгр Ласло Биро изобрел шариковую ручку - работал по заказу Британских ВВС, которым требовалась ручка, чтобы писать на больших высотах при низком давлении (3263,317).</w:t>
      </w:r>
    </w:p>
    <w:p w14:paraId="618052DF" w14:textId="77777777" w:rsidR="00531570" w:rsidRPr="00D03F3E" w:rsidRDefault="00531570" w:rsidP="00D03F3E">
      <w:pPr>
        <w:pStyle w:val="Iauiue"/>
        <w:jc w:val="both"/>
        <w:rPr>
          <w:color w:val="000000" w:themeColor="text1"/>
          <w:sz w:val="16"/>
          <w:szCs w:val="16"/>
        </w:rPr>
      </w:pPr>
    </w:p>
    <w:p w14:paraId="12F8115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 июня 1943 в США стали взимать налоги на текущей основе, а не ежегодно, а ставка подоходного налога за время войны выросла с 5% в 1939 до 74% в 1945 (3907,244).</w:t>
      </w:r>
    </w:p>
    <w:p w14:paraId="51BD6E99" w14:textId="77777777" w:rsidR="00531570" w:rsidRPr="00D03F3E" w:rsidRDefault="00531570" w:rsidP="00D03F3E">
      <w:pPr>
        <w:pStyle w:val="Iauiue"/>
        <w:jc w:val="both"/>
        <w:rPr>
          <w:color w:val="000000" w:themeColor="text1"/>
          <w:sz w:val="16"/>
          <w:szCs w:val="16"/>
        </w:rPr>
      </w:pPr>
    </w:p>
    <w:p w14:paraId="6B48CE6D"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9 июня</w:t>
      </w:r>
      <w:r w:rsidRPr="00D03F3E">
        <w:rPr>
          <w:rFonts w:ascii="Times New Roman" w:hAnsi="Times New Roman"/>
          <w:color w:val="000000" w:themeColor="text1"/>
          <w:sz w:val="16"/>
          <w:szCs w:val="16"/>
        </w:rPr>
        <w:t xml:space="preserve"> в 1943 году конгресс США одобряет схему "платы из текущих доходов", в соответствии с которой предприниматели должны платить подоходный налог, исходя из объемов реализации продукции и отчислений на заработную плату (14917).</w:t>
      </w:r>
    </w:p>
    <w:p w14:paraId="63242C8C" w14:textId="77777777" w:rsidR="00A167DD" w:rsidRPr="00D03F3E" w:rsidRDefault="00A167DD" w:rsidP="00D03F3E">
      <w:pPr>
        <w:spacing w:after="0" w:line="240" w:lineRule="auto"/>
        <w:jc w:val="both"/>
        <w:rPr>
          <w:rFonts w:ascii="Times New Roman" w:hAnsi="Times New Roman"/>
          <w:color w:val="000000" w:themeColor="text1"/>
          <w:sz w:val="16"/>
          <w:szCs w:val="16"/>
        </w:rPr>
      </w:pPr>
    </w:p>
    <w:p w14:paraId="7DCDE7EC" w14:textId="77777777" w:rsidR="00C46D50" w:rsidRPr="00D03F3E" w:rsidRDefault="00C46D50"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5F474C9B" w14:textId="77777777" w:rsidR="00C46D50" w:rsidRPr="00D03F3E" w:rsidRDefault="00C46D50" w:rsidP="00D03F3E">
      <w:pPr>
        <w:pStyle w:val="Iauiue"/>
        <w:jc w:val="both"/>
        <w:rPr>
          <w:iCs/>
          <w:color w:val="000000" w:themeColor="text1"/>
          <w:sz w:val="16"/>
          <w:szCs w:val="16"/>
        </w:rPr>
      </w:pPr>
    </w:p>
    <w:p w14:paraId="4D52CA86" w14:textId="77777777" w:rsidR="00C46D50" w:rsidRPr="00D03F3E" w:rsidRDefault="00C46D50" w:rsidP="00D03F3E">
      <w:pPr>
        <w:pStyle w:val="ae"/>
        <w:spacing w:before="0" w:after="0"/>
        <w:jc w:val="both"/>
        <w:textAlignment w:val="baseline"/>
        <w:rPr>
          <w:color w:val="000000" w:themeColor="text1"/>
          <w:sz w:val="16"/>
          <w:szCs w:val="16"/>
        </w:rPr>
      </w:pPr>
      <w:r w:rsidRPr="00D03F3E">
        <w:rPr>
          <w:color w:val="000000" w:themeColor="text1"/>
          <w:sz w:val="16"/>
          <w:szCs w:val="16"/>
        </w:rPr>
        <w:t>К 10-м числам июня 1943 на ЧКЗ были подготовлены и спущены в работу рабочие чертежи «1-го варианта с установкой башни ИС». На тот момент в качестве вооружения планировалось использовать систему Ф-85, она же С-31, поскольку работа по Д-5Т-85 задерживалась. Об отношении к работам по установке 85-мм пушки в КВ-1с красноречиво говорит этот отрывок из отчёта по опытным работам:</w:t>
      </w:r>
    </w:p>
    <w:p w14:paraId="7C3045F3" w14:textId="77777777" w:rsidR="00C46D50" w:rsidRPr="00D03F3E" w:rsidRDefault="00C46D50" w:rsidP="00D03F3E">
      <w:pPr>
        <w:pStyle w:val="ae"/>
        <w:spacing w:before="0" w:after="0"/>
        <w:jc w:val="both"/>
        <w:textAlignment w:val="baseline"/>
        <w:rPr>
          <w:iCs/>
          <w:color w:val="000000" w:themeColor="text1"/>
          <w:sz w:val="16"/>
          <w:szCs w:val="16"/>
        </w:rPr>
      </w:pPr>
      <w:r w:rsidRPr="00D03F3E">
        <w:rPr>
          <w:iCs/>
          <w:color w:val="000000" w:themeColor="text1"/>
          <w:sz w:val="16"/>
          <w:szCs w:val="16"/>
          <w:bdr w:val="none" w:sz="0" w:space="0" w:color="auto" w:frame="1"/>
        </w:rPr>
        <w:t>«Следует отметить, что как на Кировском, так и на заводе №100 работы по модернизации вооружения танка КВ-1с по очерёдности идут за танком ИС-2. После изготовления деталей и узлов для ИС-3, на что обращено всё внимание, будет уделено соответствующее внимание вышеуказанным работам».</w:t>
      </w:r>
    </w:p>
    <w:p w14:paraId="62F88239" w14:textId="77777777" w:rsidR="00C46D50" w:rsidRPr="00D03F3E" w:rsidRDefault="00C46D50" w:rsidP="00D03F3E">
      <w:pPr>
        <w:pStyle w:val="ae"/>
        <w:spacing w:before="0" w:after="0"/>
        <w:jc w:val="both"/>
        <w:textAlignment w:val="baseline"/>
        <w:rPr>
          <w:color w:val="000000" w:themeColor="text1"/>
          <w:sz w:val="16"/>
          <w:szCs w:val="16"/>
        </w:rPr>
      </w:pPr>
      <w:r w:rsidRPr="00D03F3E">
        <w:rPr>
          <w:color w:val="000000" w:themeColor="text1"/>
          <w:sz w:val="16"/>
          <w:szCs w:val="16"/>
        </w:rPr>
        <w:t xml:space="preserve">В реальности заводчанам не удалось вложиться в сроки не только по Объекту 239, но и по основной работе — ИС-3, он же </w:t>
      </w:r>
      <w:hyperlink r:id="rId195" w:history="1">
        <w:r w:rsidRPr="00D03F3E">
          <w:rPr>
            <w:rStyle w:val="a5"/>
            <w:bCs/>
            <w:iCs/>
            <w:color w:val="000000" w:themeColor="text1"/>
            <w:sz w:val="16"/>
            <w:szCs w:val="16"/>
            <w:bdr w:val="none" w:sz="0" w:space="0" w:color="auto" w:frame="1"/>
          </w:rPr>
          <w:t>Объект 237</w:t>
        </w:r>
      </w:hyperlink>
      <w:r w:rsidRPr="00D03F3E">
        <w:rPr>
          <w:color w:val="000000" w:themeColor="text1"/>
          <w:sz w:val="16"/>
          <w:szCs w:val="16"/>
        </w:rPr>
        <w:t>. По вине Кировского завода (ЧКЗ), который, по словам старшего военпреда завода №100, самоустранился от работы, ни для одного из танков так и не была закончена башня. Что же касается шасси, то к 30 июня был закончен первый Объект 237.</w:t>
      </w:r>
    </w:p>
    <w:p w14:paraId="72A8A3CA" w14:textId="77777777" w:rsidR="00C46D50" w:rsidRPr="00D03F3E" w:rsidRDefault="00C46D50" w:rsidP="00D03F3E">
      <w:pPr>
        <w:pStyle w:val="ae"/>
        <w:spacing w:before="0" w:after="0"/>
        <w:jc w:val="both"/>
        <w:textAlignment w:val="baseline"/>
        <w:rPr>
          <w:color w:val="000000" w:themeColor="text1"/>
          <w:sz w:val="16"/>
          <w:szCs w:val="16"/>
        </w:rPr>
      </w:pPr>
      <w:r w:rsidRPr="00D03F3E">
        <w:rPr>
          <w:color w:val="000000" w:themeColor="text1"/>
          <w:sz w:val="16"/>
          <w:szCs w:val="16"/>
        </w:rPr>
        <w:t>Параллельно завод №200 закончил переделку корпуса КВ-1с 15002. Метаморфозы оказались не очень большими. Как и планировалось, от стрелка-радиста на этом танке отказались, поскольку отделение управления пришлось перекомпоновать. Шаровую установку курсового пулемёта заварили, а сам пулемёт перенесли в неподвижную установку справа от механика-водителя. Из-за увеличения диаметра погона до 1800 мм пришлось переделывать подбашенную коробку. По бортам появились характерные выступы. Также для защиты погона в носовой части появился отбойник. Наконец, пришлось переделывать крышу над механиком-водителем. Поскольку башня увеличилась, механик-водитель лишился люка: вылезать и попадать внутрь ему теперь приходилось через башню. В качестве компенсации механик-водитель получил перископические приборы MK-IV, что улучшило обзорность (17710).</w:t>
      </w:r>
    </w:p>
    <w:p w14:paraId="4AA0697A" w14:textId="77777777" w:rsidR="00C46D50" w:rsidRPr="00D03F3E" w:rsidRDefault="00C46D50" w:rsidP="00D03F3E">
      <w:pPr>
        <w:pStyle w:val="12a"/>
        <w:shd w:val="clear" w:color="auto" w:fill="auto"/>
        <w:spacing w:after="0" w:line="240" w:lineRule="auto"/>
        <w:jc w:val="both"/>
        <w:rPr>
          <w:color w:val="000000" w:themeColor="text1"/>
          <w:sz w:val="16"/>
          <w:szCs w:val="16"/>
        </w:rPr>
      </w:pPr>
    </w:p>
    <w:p w14:paraId="06FB5925"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7397A286" w14:textId="77777777" w:rsidR="00531570" w:rsidRPr="00D03F3E" w:rsidRDefault="00531570" w:rsidP="00D03F3E">
      <w:pPr>
        <w:pStyle w:val="Iauiue"/>
        <w:jc w:val="both"/>
        <w:rPr>
          <w:iCs/>
          <w:color w:val="000000" w:themeColor="text1"/>
          <w:sz w:val="16"/>
          <w:szCs w:val="16"/>
        </w:rPr>
      </w:pPr>
    </w:p>
    <w:p w14:paraId="1B42F6D4" w14:textId="77777777" w:rsidR="00C46D50" w:rsidRPr="00D03F3E" w:rsidRDefault="00C46D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10 июня 1943 на Ил-2 АМ-42 "следопыт" было выполнено четыре полета по программе заводских испытаний. Летал В. К. Коккинаки. Винтомоторная группа и мотор работали на земле и в воздухе нормально. При крайнем полете самолета на километраж «из-за недоброкачественного изготовления деревянного крыла заводом № 30 произошло отставание обшивки крыла». После оценки «размеров бедствия» Ильюшин принял решение силами завода № 240 изготовить новые консоли и установить их на машину. Полеты приостановили, а самолет 15 июня возвратили на завод № 240. По расчетам, ремонт самолета предполагалось завершить не позже 1 июля.</w:t>
      </w:r>
    </w:p>
    <w:p w14:paraId="7303D823" w14:textId="77777777" w:rsidR="00C46D50" w:rsidRPr="00D03F3E" w:rsidRDefault="00C46D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Старший военпред ГУ ИАС на заводе № 240 инженер-майор В. П. Григорьев докладывал начальнику 1-го отдела ГУ ИАС генерал-майору А. И. Гребеневу, что по состоянию на 20 июля на самолете еще продолжаются работы по стыковке нового крыла (также смешанной конструкции), закончены столярные работы по крылу, остались шпаклевка, обтяжка и покраска. Смонтирована система заполнения бензобаков нейтральными газами от выхлопа мотора. Завершается установка вооружения, а также рамы второй фотоустановки в задней части фюзеляжа за стрелком. Увеличена осевая компенсация руля высоты. Установлен легкосъемный кок винта, выполненный «по типу конструкции Мессершмитт». Для проведения наземных испытаний на выработку топлива из подвесных бензобаков завершен монтаж системы бензопроводки для одного подвесного топливного бака на 150 л горючего (ПЛБГ-150). Кроме этого, предполагалось установить новый всасывающий патрубок с управляемой внутренней заслонкой, связанной с кинематикой шасси: на земле (шасси выпущено) забор воздуха производится из подкапотного пространства, а при полете в воздухе (шасси убрано) – снаружи.</w:t>
      </w:r>
    </w:p>
    <w:p w14:paraId="7587AE99" w14:textId="77777777" w:rsidR="00C46D50" w:rsidRPr="00D03F3E" w:rsidRDefault="00C46D5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24 июля «следопыт» привели в летное состояние и передали на ЛИС завода. Однако уже действовал запрет главного конструктора мотора АМ-42 А. А. Микулина на полеты с винтом диаметром 4,0 м («из-за имевших место поломок демпферных пружин муфты сцепления нагнетателя с валом мотора») (17490).</w:t>
      </w:r>
    </w:p>
    <w:p w14:paraId="71421565" w14:textId="77777777" w:rsidR="00C46D50" w:rsidRPr="00D03F3E" w:rsidRDefault="00C46D50" w:rsidP="00D03F3E">
      <w:pPr>
        <w:spacing w:after="0" w:line="240" w:lineRule="auto"/>
        <w:jc w:val="both"/>
        <w:rPr>
          <w:rFonts w:ascii="Times New Roman" w:hAnsi="Times New Roman"/>
          <w:color w:val="000000" w:themeColor="text1"/>
          <w:sz w:val="16"/>
          <w:szCs w:val="16"/>
        </w:rPr>
      </w:pPr>
    </w:p>
    <w:p w14:paraId="0F3BC09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 июня 1943 вышел приказ НКАП N 346с:</w:t>
      </w:r>
    </w:p>
    <w:p w14:paraId="02587FA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целях обеспечения обороноспособности самолета Ил-2 установить на него турельную установку, которая по сравнению с установкой ВУБ-3 резко увеличивает защиту задней полусферы и имеет следующие углы обстрела: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tblGrid>
      <w:tr w:rsidR="00860B4B" w:rsidRPr="00D03F3E" w14:paraId="33B21FFB" w14:textId="77777777">
        <w:tc>
          <w:tcPr>
            <w:tcW w:w="1610" w:type="dxa"/>
          </w:tcPr>
          <w:p w14:paraId="1825195C" w14:textId="77777777" w:rsidR="00531570" w:rsidRPr="00D03F3E" w:rsidRDefault="00531570" w:rsidP="00D03F3E">
            <w:pPr>
              <w:pStyle w:val="Iauiue"/>
              <w:jc w:val="both"/>
              <w:rPr>
                <w:color w:val="000000" w:themeColor="text1"/>
                <w:sz w:val="16"/>
                <w:szCs w:val="16"/>
              </w:rPr>
            </w:pPr>
          </w:p>
        </w:tc>
        <w:tc>
          <w:tcPr>
            <w:tcW w:w="1610" w:type="dxa"/>
          </w:tcPr>
          <w:p w14:paraId="624A980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вправо</w:t>
            </w:r>
          </w:p>
        </w:tc>
        <w:tc>
          <w:tcPr>
            <w:tcW w:w="1610" w:type="dxa"/>
          </w:tcPr>
          <w:p w14:paraId="62B7C29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влево</w:t>
            </w:r>
          </w:p>
        </w:tc>
        <w:tc>
          <w:tcPr>
            <w:tcW w:w="1610" w:type="dxa"/>
          </w:tcPr>
          <w:p w14:paraId="3EB24BC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вверх</w:t>
            </w:r>
          </w:p>
        </w:tc>
        <w:tc>
          <w:tcPr>
            <w:tcW w:w="1610" w:type="dxa"/>
          </w:tcPr>
          <w:p w14:paraId="5912722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вниз</w:t>
            </w:r>
          </w:p>
        </w:tc>
      </w:tr>
      <w:tr w:rsidR="00860B4B" w:rsidRPr="00D03F3E" w14:paraId="0F4F2CA1" w14:textId="77777777">
        <w:tc>
          <w:tcPr>
            <w:tcW w:w="1610" w:type="dxa"/>
          </w:tcPr>
          <w:p w14:paraId="5381A38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турель</w:t>
            </w:r>
          </w:p>
        </w:tc>
        <w:tc>
          <w:tcPr>
            <w:tcW w:w="1610" w:type="dxa"/>
          </w:tcPr>
          <w:p w14:paraId="2F6BF0A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120</w:t>
            </w:r>
          </w:p>
        </w:tc>
        <w:tc>
          <w:tcPr>
            <w:tcW w:w="1610" w:type="dxa"/>
          </w:tcPr>
          <w:p w14:paraId="5AFBF26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120</w:t>
            </w:r>
          </w:p>
        </w:tc>
        <w:tc>
          <w:tcPr>
            <w:tcW w:w="1610" w:type="dxa"/>
          </w:tcPr>
          <w:p w14:paraId="0E8E90E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45</w:t>
            </w:r>
          </w:p>
        </w:tc>
        <w:tc>
          <w:tcPr>
            <w:tcW w:w="1610" w:type="dxa"/>
          </w:tcPr>
          <w:p w14:paraId="0E5934E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w:t>
            </w:r>
          </w:p>
        </w:tc>
      </w:tr>
      <w:tr w:rsidR="00860B4B" w:rsidRPr="00D03F3E" w14:paraId="7EEE7D09" w14:textId="77777777">
        <w:tc>
          <w:tcPr>
            <w:tcW w:w="1610" w:type="dxa"/>
          </w:tcPr>
          <w:p w14:paraId="6B6FE47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ВУБ-3</w:t>
            </w:r>
          </w:p>
        </w:tc>
        <w:tc>
          <w:tcPr>
            <w:tcW w:w="1610" w:type="dxa"/>
          </w:tcPr>
          <w:p w14:paraId="3E9DA4F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w:t>
            </w:r>
          </w:p>
        </w:tc>
        <w:tc>
          <w:tcPr>
            <w:tcW w:w="1610" w:type="dxa"/>
          </w:tcPr>
          <w:p w14:paraId="40CE86D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45</w:t>
            </w:r>
          </w:p>
        </w:tc>
        <w:tc>
          <w:tcPr>
            <w:tcW w:w="1610" w:type="dxa"/>
          </w:tcPr>
          <w:p w14:paraId="4E181AF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w:t>
            </w:r>
          </w:p>
        </w:tc>
        <w:tc>
          <w:tcPr>
            <w:tcW w:w="1610" w:type="dxa"/>
          </w:tcPr>
          <w:p w14:paraId="0DCFFB7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w:t>
            </w:r>
          </w:p>
        </w:tc>
      </w:tr>
    </w:tbl>
    <w:p w14:paraId="1E3FB1B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Директору завода 18 Белянскому произвести установку турели на одном самолете Ил-2 с улучшенной центровкой и передать на гос. испытания НИИ 1 июля 1943 (1713,44).</w:t>
      </w:r>
    </w:p>
    <w:p w14:paraId="0C908AAD" w14:textId="77777777" w:rsidR="00531570" w:rsidRPr="00D03F3E" w:rsidRDefault="00531570" w:rsidP="00D03F3E">
      <w:pPr>
        <w:pStyle w:val="Iauiue"/>
        <w:jc w:val="both"/>
        <w:rPr>
          <w:color w:val="000000" w:themeColor="text1"/>
          <w:sz w:val="16"/>
          <w:szCs w:val="16"/>
        </w:rPr>
      </w:pPr>
    </w:p>
    <w:p w14:paraId="2024CB3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 июня 1943 П.Дементьев писал Репину письмо N Н-34/2307:</w:t>
      </w:r>
    </w:p>
    <w:p w14:paraId="3E95CC6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"Направляю Вам акт о катастрофе самолета Ил-2 N 3857. Комиссией установлено, что л пикировал с высоты 700-800 м под углом 60 град. до высоты 150-200 м.</w:t>
      </w:r>
    </w:p>
    <w:p w14:paraId="13D0A00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Разрушение самолета произошло от недопустимых перегрузок, вследствие нарушения указаний о режиме планирования, т.к. самолет Ил-2 не рассчитывался для полетов с пикированием в 60 град.</w:t>
      </w:r>
    </w:p>
    <w:p w14:paraId="4598275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Прошу дать соответствующие указания по эксплуатации самолетов" (1778,66).</w:t>
      </w:r>
    </w:p>
    <w:p w14:paraId="792A765E" w14:textId="77777777" w:rsidR="00531570" w:rsidRPr="00D03F3E" w:rsidRDefault="00531570" w:rsidP="00D03F3E">
      <w:pPr>
        <w:pStyle w:val="Iauiue"/>
        <w:jc w:val="both"/>
        <w:rPr>
          <w:color w:val="000000" w:themeColor="text1"/>
          <w:sz w:val="16"/>
          <w:szCs w:val="16"/>
        </w:rPr>
      </w:pPr>
    </w:p>
    <w:p w14:paraId="6D0BE9B5" w14:textId="77777777" w:rsidR="00267D1F" w:rsidRPr="00D03F3E" w:rsidRDefault="00267D1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период с 10 июня по 30 августа 1943 г. в НИИ ВВС с успехом прошел государственные испытания бронированный штурмовик Су-6 М-71ф конструкции ОКБ П.О. Сухого с пушка</w:t>
      </w:r>
      <w:r w:rsidRPr="00D03F3E">
        <w:rPr>
          <w:rFonts w:ascii="Times New Roman" w:cs="Times New Roman"/>
          <w:color w:val="000000" w:themeColor="text1"/>
          <w:spacing w:val="0"/>
        </w:rPr>
        <w:softHyphen/>
        <w:t>ми НС-37 калибра 37 мм.</w:t>
      </w:r>
    </w:p>
    <w:p w14:paraId="7D11C4CE" w14:textId="77777777" w:rsidR="00267D1F" w:rsidRPr="00D03F3E" w:rsidRDefault="00267D1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По максимальным скоростям, скороподъ</w:t>
      </w:r>
      <w:r w:rsidRPr="00D03F3E">
        <w:rPr>
          <w:rFonts w:ascii="Times New Roman" w:cs="Times New Roman"/>
          <w:color w:val="000000" w:themeColor="text1"/>
          <w:spacing w:val="0"/>
        </w:rPr>
        <w:softHyphen/>
        <w:t>емности, маневренности, потолку, дальнос</w:t>
      </w:r>
      <w:r w:rsidRPr="00D03F3E">
        <w:rPr>
          <w:rFonts w:ascii="Times New Roman" w:cs="Times New Roman"/>
          <w:color w:val="000000" w:themeColor="text1"/>
          <w:spacing w:val="0"/>
        </w:rPr>
        <w:softHyphen/>
        <w:t>ти, вооружению и бронированию «сухой» зна</w:t>
      </w:r>
      <w:r w:rsidRPr="00D03F3E">
        <w:rPr>
          <w:rFonts w:ascii="Times New Roman" w:cs="Times New Roman"/>
          <w:color w:val="000000" w:themeColor="text1"/>
          <w:spacing w:val="0"/>
        </w:rPr>
        <w:softHyphen/>
        <w:t>чительно превосходил двухместный Ил-2 АМ-38ф. Кроме того, Су-6 обладал прекрасны</w:t>
      </w:r>
      <w:r w:rsidRPr="00D03F3E">
        <w:rPr>
          <w:rFonts w:ascii="Times New Roman" w:cs="Times New Roman"/>
          <w:color w:val="000000" w:themeColor="text1"/>
          <w:spacing w:val="0"/>
        </w:rPr>
        <w:softHyphen/>
        <w:t>ми характеристиками устойчивости и управля</w:t>
      </w:r>
      <w:r w:rsidRPr="00D03F3E">
        <w:rPr>
          <w:rFonts w:ascii="Times New Roman" w:cs="Times New Roman"/>
          <w:color w:val="000000" w:themeColor="text1"/>
          <w:spacing w:val="0"/>
        </w:rPr>
        <w:softHyphen/>
        <w:t>емости, был прост и приятен в пилотировании.</w:t>
      </w:r>
    </w:p>
    <w:p w14:paraId="2DB7FD03" w14:textId="77777777" w:rsidR="00267D1F" w:rsidRPr="00D03F3E" w:rsidRDefault="00267D1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Значительное улучшение летных данных Су-6 по сравнению с Ил-2 АМ-38ф без ухуд</w:t>
      </w:r>
      <w:r w:rsidRPr="00D03F3E">
        <w:rPr>
          <w:rFonts w:ascii="Times New Roman" w:cs="Times New Roman"/>
          <w:color w:val="000000" w:themeColor="text1"/>
          <w:spacing w:val="0"/>
        </w:rPr>
        <w:softHyphen/>
        <w:t>шения маневренных качеств в вертикальной плоскости обеспечивалось за счет меньшей нагрузки на мощность мотора, которая, собст</w:t>
      </w:r>
      <w:r w:rsidRPr="00D03F3E">
        <w:rPr>
          <w:rFonts w:ascii="Times New Roman" w:cs="Times New Roman"/>
          <w:color w:val="000000" w:themeColor="text1"/>
          <w:spacing w:val="0"/>
        </w:rPr>
        <w:softHyphen/>
        <w:t>венно, и определяла вертикальную маневрен</w:t>
      </w:r>
      <w:r w:rsidRPr="00D03F3E">
        <w:rPr>
          <w:rFonts w:ascii="Times New Roman" w:cs="Times New Roman"/>
          <w:color w:val="000000" w:themeColor="text1"/>
          <w:spacing w:val="0"/>
        </w:rPr>
        <w:softHyphen/>
        <w:t>ность самолета.</w:t>
      </w:r>
    </w:p>
    <w:p w14:paraId="06721E68" w14:textId="77777777" w:rsidR="00267D1F" w:rsidRPr="00D03F3E" w:rsidRDefault="00267D1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«Сухой» также имел мощную механизацию крыла (автоматические предкрылки и щитки типа «Шренк»), что позволяло ему устойчиво выполнять маневры на больших углах атаки. Последнее обстоятельство являлось весьма важным для самолета поля боя, действую</w:t>
      </w:r>
      <w:r w:rsidRPr="00D03F3E">
        <w:rPr>
          <w:rFonts w:ascii="Times New Roman" w:cs="Times New Roman"/>
          <w:color w:val="000000" w:themeColor="text1"/>
          <w:spacing w:val="0"/>
        </w:rPr>
        <w:softHyphen/>
        <w:t>щего на небольшой высоте, так как летчику необходимо было выполнять энергичное бо</w:t>
      </w:r>
      <w:r w:rsidRPr="00D03F3E">
        <w:rPr>
          <w:rFonts w:ascii="Times New Roman" w:cs="Times New Roman"/>
          <w:color w:val="000000" w:themeColor="text1"/>
          <w:spacing w:val="0"/>
        </w:rPr>
        <w:softHyphen/>
        <w:t>евое маневрирование для выхода в атаку в ограниченном пространстве над целью и пре</w:t>
      </w:r>
      <w:r w:rsidRPr="00D03F3E">
        <w:rPr>
          <w:rFonts w:ascii="Times New Roman" w:cs="Times New Roman"/>
          <w:color w:val="000000" w:themeColor="text1"/>
          <w:spacing w:val="0"/>
        </w:rPr>
        <w:softHyphen/>
        <w:t>имущественно в вертикальной плоскости.</w:t>
      </w:r>
    </w:p>
    <w:p w14:paraId="630525BD" w14:textId="77777777" w:rsidR="00267D1F" w:rsidRPr="00D03F3E" w:rsidRDefault="00267D1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отличие от Ил-2 с пушками НС-37, на Су-6 они размещались ближе к оси самолета, что в совокупности с более высоким запасом устойчивости штурмовика обеспечивало более высокую эффективность стрельбы из пушек по малоразмерным наземным целям. Во вре</w:t>
      </w:r>
      <w:r w:rsidRPr="00D03F3E">
        <w:rPr>
          <w:rFonts w:ascii="Times New Roman" w:cs="Times New Roman"/>
          <w:color w:val="000000" w:themeColor="text1"/>
          <w:spacing w:val="0"/>
        </w:rPr>
        <w:softHyphen/>
        <w:t xml:space="preserve">мя испытаний Су-6 М-71ф никаких нареканий, </w:t>
      </w:r>
      <w:r w:rsidRPr="00D03F3E">
        <w:rPr>
          <w:rStyle w:val="4f0"/>
          <w:rFonts w:ascii="Times New Roman" w:hAnsi="Times New Roman" w:cs="Times New Roman"/>
          <w:i w:val="0"/>
          <w:color w:val="000000" w:themeColor="text1"/>
          <w:spacing w:val="0"/>
          <w:sz w:val="16"/>
          <w:szCs w:val="16"/>
        </w:rPr>
        <w:t>связанных с влиянием силы отдачи пушек на самолет при стрельбе, летчики не высказы</w:t>
      </w:r>
      <w:r w:rsidRPr="00D03F3E">
        <w:rPr>
          <w:rStyle w:val="4f0"/>
          <w:rFonts w:ascii="Times New Roman" w:hAnsi="Times New Roman" w:cs="Times New Roman"/>
          <w:i w:val="0"/>
          <w:color w:val="000000" w:themeColor="text1"/>
          <w:spacing w:val="0"/>
          <w:sz w:val="16"/>
          <w:szCs w:val="16"/>
        </w:rPr>
        <w:softHyphen/>
        <w:t>вали:</w:t>
      </w:r>
      <w:r w:rsidRPr="00D03F3E">
        <w:rPr>
          <w:rFonts w:ascii="Times New Roman" w:cs="Times New Roman"/>
          <w:color w:val="000000" w:themeColor="text1"/>
          <w:spacing w:val="0"/>
        </w:rPr>
        <w:t xml:space="preserve"> «На пикировании при стрельбе самолет </w:t>
      </w:r>
      <w:r w:rsidRPr="00D03F3E">
        <w:rPr>
          <w:rStyle w:val="4f0"/>
          <w:rFonts w:ascii="Times New Roman" w:hAnsi="Times New Roman" w:cs="Times New Roman"/>
          <w:i w:val="0"/>
          <w:color w:val="000000" w:themeColor="text1"/>
          <w:spacing w:val="0"/>
          <w:sz w:val="16"/>
          <w:szCs w:val="16"/>
        </w:rPr>
        <w:t>устойчив, отдача даже</w:t>
      </w:r>
      <w:r w:rsidRPr="00D03F3E">
        <w:rPr>
          <w:rFonts w:ascii="Times New Roman" w:cs="Times New Roman"/>
          <w:color w:val="000000" w:themeColor="text1"/>
          <w:spacing w:val="0"/>
        </w:rPr>
        <w:t xml:space="preserve"> при стрельбе</w:t>
      </w:r>
      <w:r w:rsidRPr="00D03F3E">
        <w:rPr>
          <w:rStyle w:val="4f0"/>
          <w:rFonts w:ascii="Times New Roman" w:hAnsi="Times New Roman" w:cs="Times New Roman"/>
          <w:i w:val="0"/>
          <w:color w:val="000000" w:themeColor="text1"/>
          <w:spacing w:val="0"/>
          <w:sz w:val="16"/>
          <w:szCs w:val="16"/>
        </w:rPr>
        <w:t xml:space="preserve"> из</w:t>
      </w:r>
      <w:r w:rsidRPr="00D03F3E">
        <w:rPr>
          <w:rFonts w:ascii="Times New Roman" w:cs="Times New Roman"/>
          <w:color w:val="000000" w:themeColor="text1"/>
          <w:spacing w:val="0"/>
        </w:rPr>
        <w:t xml:space="preserve"> всех точек незначительна. Стрельба из одной пуш</w:t>
      </w:r>
      <w:r w:rsidRPr="00D03F3E">
        <w:rPr>
          <w:rFonts w:ascii="Times New Roman" w:cs="Times New Roman"/>
          <w:color w:val="000000" w:themeColor="text1"/>
          <w:spacing w:val="0"/>
        </w:rPr>
        <w:softHyphen/>
        <w:t>ки возможна, явление разворачивания наблю</w:t>
      </w:r>
      <w:r w:rsidRPr="00D03F3E">
        <w:rPr>
          <w:rFonts w:ascii="Times New Roman" w:cs="Times New Roman"/>
          <w:color w:val="000000" w:themeColor="text1"/>
          <w:spacing w:val="0"/>
        </w:rPr>
        <w:softHyphen/>
        <w:t>дается, но в меньшей степени, чем на Ил-2».</w:t>
      </w:r>
    </w:p>
    <w:p w14:paraId="5785B912" w14:textId="77777777" w:rsidR="00267D1F" w:rsidRPr="00D03F3E" w:rsidRDefault="00267D1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Бронирование Су-6 было выполнено зна</w:t>
      </w:r>
      <w:r w:rsidRPr="00D03F3E">
        <w:rPr>
          <w:rFonts w:ascii="Times New Roman" w:cs="Times New Roman"/>
          <w:color w:val="000000" w:themeColor="text1"/>
          <w:spacing w:val="0"/>
        </w:rPr>
        <w:softHyphen/>
        <w:t>чительно лучше, чем на Ил-2. При этом благо</w:t>
      </w:r>
      <w:r w:rsidRPr="00D03F3E">
        <w:rPr>
          <w:rFonts w:ascii="Times New Roman" w:cs="Times New Roman"/>
          <w:color w:val="000000" w:themeColor="text1"/>
          <w:spacing w:val="0"/>
        </w:rPr>
        <w:softHyphen/>
        <w:t>даря более рациональной схеме бронирования и распределению толщин бронелистов (от 2 до 12 мм) общий вес брони составил всего 642,6 кг (15,6% веса пустого самолета) вместо 957 кг на двухместном Ил-2 АМ-38ф.</w:t>
      </w:r>
    </w:p>
    <w:p w14:paraId="4019D995" w14:textId="77777777" w:rsidR="00267D1F" w:rsidRPr="00D03F3E" w:rsidRDefault="00267D1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Передняя часть фюзеляжа «сухого», вклю</w:t>
      </w:r>
      <w:r w:rsidRPr="00D03F3E">
        <w:rPr>
          <w:rFonts w:ascii="Times New Roman" w:cs="Times New Roman"/>
          <w:color w:val="000000" w:themeColor="text1"/>
          <w:spacing w:val="0"/>
        </w:rPr>
        <w:softHyphen/>
        <w:t>чая кабину летчика, представляла собой сплош</w:t>
      </w:r>
      <w:r w:rsidRPr="00D03F3E">
        <w:rPr>
          <w:rFonts w:ascii="Times New Roman" w:cs="Times New Roman"/>
          <w:color w:val="000000" w:themeColor="text1"/>
          <w:spacing w:val="0"/>
        </w:rPr>
        <w:softHyphen/>
        <w:t>ной бронекорпус, который защищал летчика, бензо- и маслобаки. Нижний и верхний броне</w:t>
      </w:r>
      <w:r w:rsidRPr="00D03F3E">
        <w:rPr>
          <w:rFonts w:ascii="Times New Roman" w:cs="Times New Roman"/>
          <w:color w:val="000000" w:themeColor="text1"/>
          <w:spacing w:val="0"/>
        </w:rPr>
        <w:softHyphen/>
        <w:t>вые пояса имели переменную толщину по дли</w:t>
      </w:r>
      <w:r w:rsidRPr="00D03F3E">
        <w:rPr>
          <w:rFonts w:ascii="Times New Roman" w:cs="Times New Roman"/>
          <w:color w:val="000000" w:themeColor="text1"/>
          <w:spacing w:val="0"/>
        </w:rPr>
        <w:softHyphen/>
        <w:t>не: верхний - 4 мм в передней средней части, 6 мм - в передней верхней части и 6 мм - в зад</w:t>
      </w:r>
      <w:r w:rsidRPr="00D03F3E">
        <w:rPr>
          <w:rFonts w:ascii="Times New Roman" w:cs="Times New Roman"/>
          <w:color w:val="000000" w:themeColor="text1"/>
          <w:spacing w:val="0"/>
        </w:rPr>
        <w:softHyphen/>
        <w:t>ней части, а нижний - 2 мм в передней и 4 мм в задней части. Пол кабины летчика был выпол</w:t>
      </w:r>
      <w:r w:rsidRPr="00D03F3E">
        <w:rPr>
          <w:rFonts w:ascii="Times New Roman" w:cs="Times New Roman"/>
          <w:color w:val="000000" w:themeColor="text1"/>
          <w:spacing w:val="0"/>
        </w:rPr>
        <w:softHyphen/>
        <w:t>нен из бронелистов толщиной 6 мм. Со стороны задней полусферы летчика прикрывали броне- заголовник и задняя бронестенка толщиной по 12 мм, а также 6-мм поперечные боковые зад</w:t>
      </w:r>
      <w:r w:rsidRPr="00D03F3E">
        <w:rPr>
          <w:rFonts w:ascii="Times New Roman" w:cs="Times New Roman"/>
          <w:color w:val="000000" w:themeColor="text1"/>
          <w:spacing w:val="0"/>
        </w:rPr>
        <w:softHyphen/>
        <w:t>ние стенки. На фонаре кабины (сверху и по бо</w:t>
      </w:r>
      <w:r w:rsidRPr="00D03F3E">
        <w:rPr>
          <w:rFonts w:ascii="Times New Roman" w:cs="Times New Roman"/>
          <w:color w:val="000000" w:themeColor="text1"/>
          <w:spacing w:val="0"/>
        </w:rPr>
        <w:softHyphen/>
        <w:t>кам) устанавливались 6-мм бронеплиты. В пе</w:t>
      </w:r>
      <w:r w:rsidRPr="00D03F3E">
        <w:rPr>
          <w:rFonts w:ascii="Times New Roman" w:cs="Times New Roman"/>
          <w:color w:val="000000" w:themeColor="text1"/>
          <w:spacing w:val="0"/>
        </w:rPr>
        <w:softHyphen/>
        <w:t>редних стеклах фонаря кабины летчика имелась прозрачная броня толщиной 55 мм (лобовое стекло) и 50 мм (боковины).</w:t>
      </w:r>
    </w:p>
    <w:p w14:paraId="3ABCEE23" w14:textId="77777777" w:rsidR="00267D1F" w:rsidRPr="00D03F3E" w:rsidRDefault="00267D1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Кабина стрелка выполнялась в виде бро- неотсека с толщиной стенок 4 мм (нижний и средний боковой пояс) и 12 мм (верхний боко</w:t>
      </w:r>
      <w:r w:rsidRPr="00D03F3E">
        <w:rPr>
          <w:rFonts w:ascii="Times New Roman" w:cs="Times New Roman"/>
          <w:color w:val="000000" w:themeColor="text1"/>
          <w:spacing w:val="0"/>
        </w:rPr>
        <w:softHyphen/>
        <w:t>вой пояс и задняя бронестенка), расположен</w:t>
      </w:r>
      <w:r w:rsidRPr="00D03F3E">
        <w:rPr>
          <w:rFonts w:ascii="Times New Roman" w:cs="Times New Roman"/>
          <w:color w:val="000000" w:themeColor="text1"/>
          <w:spacing w:val="0"/>
        </w:rPr>
        <w:softHyphen/>
        <w:t>ного внутри фюзеляжа между бомболюками. Толщина брони пола кабины равнялась 4 мм. На фонаре кабины (с боков и сверху) имелись 6-мм бронещитки. Дополнительную защиту стрелка со стороны задней полусферы обес</w:t>
      </w:r>
      <w:r w:rsidRPr="00D03F3E">
        <w:rPr>
          <w:rFonts w:ascii="Times New Roman" w:cs="Times New Roman"/>
          <w:color w:val="000000" w:themeColor="text1"/>
          <w:spacing w:val="0"/>
        </w:rPr>
        <w:softHyphen/>
        <w:t>печивали 65-мм бронестекло в блистере пуле</w:t>
      </w:r>
      <w:r w:rsidRPr="00D03F3E">
        <w:rPr>
          <w:rFonts w:ascii="Times New Roman" w:cs="Times New Roman"/>
          <w:color w:val="000000" w:themeColor="text1"/>
          <w:spacing w:val="0"/>
        </w:rPr>
        <w:softHyphen/>
        <w:t>метной установки, и 12-мм гнутые бронепли</w:t>
      </w:r>
      <w:r w:rsidRPr="00D03F3E">
        <w:rPr>
          <w:rFonts w:ascii="Times New Roman" w:cs="Times New Roman"/>
          <w:color w:val="000000" w:themeColor="text1"/>
          <w:spacing w:val="0"/>
        </w:rPr>
        <w:softHyphen/>
        <w:t>ты.</w:t>
      </w:r>
    </w:p>
    <w:p w14:paraId="7D0899B7" w14:textId="77777777" w:rsidR="00267D1F" w:rsidRPr="00D03F3E" w:rsidRDefault="00267D1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Агрегаты мотора защищались внутренним бронированным капотом (4 мм) и специальным бронированным разъемным кольцом (верхний пояс - 2 мм, нижний пояс - 4 мм). Радиаторы и трубопроводы прикрывались снизу и сзади гнутым бронелистом толщиной 6 мм. Система управления винтом защищалась спереди 6-мм бронедиском. Все бронелисты крепились к каркасу на заклепках и болтах.</w:t>
      </w:r>
    </w:p>
    <w:p w14:paraId="4DFDFBFD" w14:textId="77777777" w:rsidR="00267D1F" w:rsidRPr="00D03F3E" w:rsidRDefault="00267D1F" w:rsidP="00D03F3E">
      <w:pPr>
        <w:pStyle w:val="45"/>
        <w:shd w:val="clear" w:color="auto" w:fill="auto"/>
        <w:spacing w:before="0" w:line="240" w:lineRule="auto"/>
        <w:jc w:val="both"/>
        <w:rPr>
          <w:rFonts w:ascii="Times New Roman" w:cs="Times New Roman"/>
          <w:color w:val="000000" w:themeColor="text1"/>
          <w:sz w:val="16"/>
          <w:szCs w:val="16"/>
        </w:rPr>
      </w:pPr>
      <w:r w:rsidRPr="00D03F3E">
        <w:rPr>
          <w:rStyle w:val="4f0"/>
          <w:rFonts w:ascii="Times New Roman" w:hAnsi="Times New Roman" w:cs="Times New Roman"/>
          <w:i w:val="0"/>
          <w:color w:val="000000" w:themeColor="text1"/>
          <w:sz w:val="16"/>
          <w:szCs w:val="16"/>
        </w:rPr>
        <w:t>Специалисты НИИ ВВС отмечали, что стрелок на самолете Су-6 защищен лучше, чем на серийном Ил-2 и опытных штурмо</w:t>
      </w:r>
      <w:r w:rsidRPr="00D03F3E">
        <w:rPr>
          <w:rStyle w:val="4f0"/>
          <w:rFonts w:ascii="Times New Roman" w:hAnsi="Times New Roman" w:cs="Times New Roman"/>
          <w:i w:val="0"/>
          <w:color w:val="000000" w:themeColor="text1"/>
          <w:sz w:val="16"/>
          <w:szCs w:val="16"/>
        </w:rPr>
        <w:softHyphen/>
        <w:t>вых самолетах ОКБ Ильюшина, благодаря наличию надголовника и прозрачной</w:t>
      </w:r>
      <w:r w:rsidRPr="00D03F3E">
        <w:rPr>
          <w:rStyle w:val="40pt"/>
          <w:rFonts w:ascii="Times New Roman" w:hAnsi="Times New Roman" w:cs="Times New Roman"/>
          <w:b w:val="0"/>
          <w:i w:val="0"/>
          <w:color w:val="000000" w:themeColor="text1"/>
          <w:spacing w:val="0"/>
          <w:sz w:val="16"/>
          <w:szCs w:val="16"/>
        </w:rPr>
        <w:t xml:space="preserve"> брони </w:t>
      </w:r>
      <w:r w:rsidRPr="00D03F3E">
        <w:rPr>
          <w:rStyle w:val="4f0"/>
          <w:rFonts w:ascii="Times New Roman" w:hAnsi="Times New Roman" w:cs="Times New Roman"/>
          <w:i w:val="0"/>
          <w:color w:val="000000" w:themeColor="text1"/>
          <w:sz w:val="16"/>
          <w:szCs w:val="16"/>
        </w:rPr>
        <w:t>на блистерной установке:</w:t>
      </w:r>
      <w:r w:rsidRPr="00D03F3E">
        <w:rPr>
          <w:rFonts w:ascii="Times New Roman" w:cs="Times New Roman"/>
          <w:color w:val="000000" w:themeColor="text1"/>
          <w:sz w:val="16"/>
          <w:szCs w:val="16"/>
        </w:rPr>
        <w:t xml:space="preserve"> «Наличие</w:t>
      </w:r>
      <w:r w:rsidRPr="00D03F3E">
        <w:rPr>
          <w:rStyle w:val="40pt"/>
          <w:rFonts w:ascii="Times New Roman" w:hAnsi="Times New Roman" w:cs="Times New Roman"/>
          <w:b w:val="0"/>
          <w:i w:val="0"/>
          <w:color w:val="000000" w:themeColor="text1"/>
          <w:spacing w:val="0"/>
          <w:sz w:val="16"/>
          <w:szCs w:val="16"/>
        </w:rPr>
        <w:t xml:space="preserve"> хорошей </w:t>
      </w:r>
      <w:r w:rsidRPr="00D03F3E">
        <w:rPr>
          <w:rFonts w:ascii="Times New Roman" w:cs="Times New Roman"/>
          <w:color w:val="000000" w:themeColor="text1"/>
          <w:sz w:val="16"/>
          <w:szCs w:val="16"/>
        </w:rPr>
        <w:t>броневой защиты стрелка является</w:t>
      </w:r>
      <w:r w:rsidRPr="00D03F3E">
        <w:rPr>
          <w:rStyle w:val="4f4"/>
          <w:rFonts w:ascii="Times New Roman" w:hAnsi="Times New Roman" w:cs="Times New Roman"/>
          <w:b w:val="0"/>
          <w:color w:val="000000" w:themeColor="text1"/>
          <w:sz w:val="16"/>
          <w:szCs w:val="16"/>
        </w:rPr>
        <w:t xml:space="preserve"> значи</w:t>
      </w:r>
      <w:r w:rsidRPr="00D03F3E">
        <w:rPr>
          <w:rStyle w:val="4f4"/>
          <w:rFonts w:ascii="Times New Roman" w:hAnsi="Times New Roman" w:cs="Times New Roman"/>
          <w:b w:val="0"/>
          <w:color w:val="000000" w:themeColor="text1"/>
          <w:sz w:val="16"/>
          <w:szCs w:val="16"/>
        </w:rPr>
        <w:softHyphen/>
      </w:r>
      <w:r w:rsidRPr="00D03F3E">
        <w:rPr>
          <w:rFonts w:ascii="Times New Roman" w:cs="Times New Roman"/>
          <w:color w:val="000000" w:themeColor="text1"/>
          <w:sz w:val="16"/>
          <w:szCs w:val="16"/>
        </w:rPr>
        <w:t xml:space="preserve">тельным фактором живучести </w:t>
      </w:r>
      <w:r w:rsidRPr="00D03F3E">
        <w:rPr>
          <w:rFonts w:ascii="Times New Roman" w:cs="Times New Roman"/>
          <w:color w:val="000000" w:themeColor="text1"/>
          <w:sz w:val="16"/>
          <w:szCs w:val="16"/>
        </w:rPr>
        <w:lastRenderedPageBreak/>
        <w:t>самолета</w:t>
      </w:r>
      <w:r w:rsidRPr="00D03F3E">
        <w:rPr>
          <w:rStyle w:val="4f4"/>
          <w:rFonts w:ascii="Times New Roman" w:hAnsi="Times New Roman" w:cs="Times New Roman"/>
          <w:b w:val="0"/>
          <w:color w:val="000000" w:themeColor="text1"/>
          <w:sz w:val="16"/>
          <w:szCs w:val="16"/>
        </w:rPr>
        <w:t xml:space="preserve"> в</w:t>
      </w:r>
      <w:r w:rsidRPr="00D03F3E">
        <w:rPr>
          <w:rFonts w:ascii="Times New Roman" w:cs="Times New Roman"/>
          <w:color w:val="000000" w:themeColor="text1"/>
          <w:sz w:val="16"/>
          <w:szCs w:val="16"/>
        </w:rPr>
        <w:t xml:space="preserve"> це</w:t>
      </w:r>
      <w:r w:rsidRPr="00D03F3E">
        <w:rPr>
          <w:rFonts w:ascii="Times New Roman" w:cs="Times New Roman"/>
          <w:color w:val="000000" w:themeColor="text1"/>
          <w:sz w:val="16"/>
          <w:szCs w:val="16"/>
        </w:rPr>
        <w:softHyphen/>
        <w:t>лом. Стрелок менее уязвим, чем на самолете Ил-2. Установка броневого экрана на пулеме</w:t>
      </w:r>
      <w:r w:rsidRPr="00D03F3E">
        <w:rPr>
          <w:rFonts w:ascii="Times New Roman" w:cs="Times New Roman"/>
          <w:color w:val="000000" w:themeColor="text1"/>
          <w:sz w:val="16"/>
          <w:szCs w:val="16"/>
        </w:rPr>
        <w:softHyphen/>
        <w:t>те стрелка является весьма целесообразным мероприятием, которое не только обеспечи</w:t>
      </w:r>
      <w:r w:rsidRPr="00D03F3E">
        <w:rPr>
          <w:rFonts w:ascii="Times New Roman" w:cs="Times New Roman"/>
          <w:color w:val="000000" w:themeColor="text1"/>
          <w:sz w:val="16"/>
          <w:szCs w:val="16"/>
        </w:rPr>
        <w:softHyphen/>
        <w:t>вает безопасность стрелка, но дает возмож</w:t>
      </w:r>
      <w:r w:rsidRPr="00D03F3E">
        <w:rPr>
          <w:rFonts w:ascii="Times New Roman" w:cs="Times New Roman"/>
          <w:color w:val="000000" w:themeColor="text1"/>
          <w:sz w:val="16"/>
          <w:szCs w:val="16"/>
        </w:rPr>
        <w:softHyphen/>
        <w:t>ность более решительно и уверенно отражать атаки противника».</w:t>
      </w:r>
    </w:p>
    <w:p w14:paraId="23B8F227" w14:textId="77777777" w:rsidR="00267D1F" w:rsidRPr="00D03F3E" w:rsidRDefault="00267D1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Анализ схемы бронирования Су-6 М-71ф показывает, что при ее разработке, несом</w:t>
      </w:r>
      <w:r w:rsidRPr="00D03F3E">
        <w:rPr>
          <w:rFonts w:ascii="Times New Roman" w:cs="Times New Roman"/>
          <w:color w:val="000000" w:themeColor="text1"/>
          <w:spacing w:val="0"/>
        </w:rPr>
        <w:softHyphen/>
        <w:t>ненно, учитывался опыт боевого применения самолета Ил-2, хотя и недостаточно полно, а также использовались результаты испытаний, проведенных в НИИ ВВС по анализу стойкости брони с учетом экранирующего эффекта эле</w:t>
      </w:r>
      <w:r w:rsidRPr="00D03F3E">
        <w:rPr>
          <w:rFonts w:ascii="Times New Roman" w:cs="Times New Roman"/>
          <w:color w:val="000000" w:themeColor="text1"/>
          <w:spacing w:val="0"/>
        </w:rPr>
        <w:softHyphen/>
        <w:t>ментов конструкции самолета.</w:t>
      </w:r>
    </w:p>
    <w:p w14:paraId="092E8276" w14:textId="77777777" w:rsidR="00267D1F" w:rsidRPr="00D03F3E" w:rsidRDefault="00267D1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Так, толщины бронелистов кабины стрел</w:t>
      </w:r>
      <w:r w:rsidRPr="00D03F3E">
        <w:rPr>
          <w:rFonts w:ascii="Times New Roman" w:cs="Times New Roman"/>
          <w:color w:val="000000" w:themeColor="text1"/>
          <w:spacing w:val="0"/>
        </w:rPr>
        <w:softHyphen/>
        <w:t>ка и винтомоторной группы Су-6 М-71ф вы</w:t>
      </w:r>
      <w:r w:rsidRPr="00D03F3E">
        <w:rPr>
          <w:rFonts w:ascii="Times New Roman" w:cs="Times New Roman"/>
          <w:color w:val="000000" w:themeColor="text1"/>
          <w:spacing w:val="0"/>
        </w:rPr>
        <w:softHyphen/>
        <w:t>бирались явно с учетом влияния элементов конструкции самолета (обшивка фюзеляжа, бомбоотсеки т.д.) на геометрию соударения снаряда с броней с наиболее вероятных направ</w:t>
      </w:r>
      <w:r w:rsidRPr="00D03F3E">
        <w:rPr>
          <w:rFonts w:ascii="Times New Roman" w:cs="Times New Roman"/>
          <w:color w:val="000000" w:themeColor="text1"/>
          <w:spacing w:val="0"/>
        </w:rPr>
        <w:softHyphen/>
        <w:t>лений обстрела в реальном воздушном бою.</w:t>
      </w:r>
    </w:p>
    <w:p w14:paraId="584F967F" w14:textId="77777777" w:rsidR="00267D1F" w:rsidRPr="00D03F3E" w:rsidRDefault="00267D1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Такой подход позволил заметно уменьшить вес брони при значительно лучшей защищен</w:t>
      </w:r>
      <w:r w:rsidRPr="00D03F3E">
        <w:rPr>
          <w:rFonts w:ascii="Times New Roman" w:cs="Times New Roman"/>
          <w:color w:val="000000" w:themeColor="text1"/>
          <w:spacing w:val="0"/>
        </w:rPr>
        <w:softHyphen/>
        <w:t>ности экипажа и жизненно важных элементов конструкции самолета, чем на Ил-2, у которого при суммарном весе брони 957 кг воздушный стрелок практически не имел бронезащиты, а бронедетали, наиболее уязвимые к огню про</w:t>
      </w:r>
      <w:r w:rsidRPr="00D03F3E">
        <w:rPr>
          <w:rFonts w:ascii="Times New Roman" w:cs="Times New Roman"/>
          <w:color w:val="000000" w:themeColor="text1"/>
          <w:spacing w:val="0"/>
        </w:rPr>
        <w:softHyphen/>
        <w:t>тивника, оказались недостаточной толщины.</w:t>
      </w:r>
    </w:p>
    <w:p w14:paraId="004D77BB" w14:textId="77777777" w:rsidR="00267D1F" w:rsidRPr="00D03F3E" w:rsidRDefault="00267D1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целом же бронирование Су-6 М-71ф обеспечивало эффективную защиту от пуль ка</w:t>
      </w:r>
      <w:r w:rsidRPr="00D03F3E">
        <w:rPr>
          <w:rFonts w:ascii="Times New Roman" w:cs="Times New Roman"/>
          <w:color w:val="000000" w:themeColor="text1"/>
          <w:spacing w:val="0"/>
        </w:rPr>
        <w:softHyphen/>
        <w:t>либра 12,7 мм и осколков зенитных снарядов. Помимо этого, живучесть штурмовика повыша</w:t>
      </w:r>
      <w:r w:rsidRPr="00D03F3E">
        <w:rPr>
          <w:rFonts w:ascii="Times New Roman" w:cs="Times New Roman"/>
          <w:color w:val="000000" w:themeColor="text1"/>
          <w:spacing w:val="0"/>
        </w:rPr>
        <w:softHyphen/>
        <w:t>лась за счет применения мотора воздушного охлаждения, более стойкого к боевым повре</w:t>
      </w:r>
      <w:r w:rsidRPr="00D03F3E">
        <w:rPr>
          <w:rFonts w:ascii="Times New Roman" w:cs="Times New Roman"/>
          <w:color w:val="000000" w:themeColor="text1"/>
          <w:spacing w:val="0"/>
        </w:rPr>
        <w:softHyphen/>
        <w:t>ждениям, чем моторы с жидкостным охлажде</w:t>
      </w:r>
      <w:r w:rsidRPr="00D03F3E">
        <w:rPr>
          <w:rFonts w:ascii="Times New Roman" w:cs="Times New Roman"/>
          <w:color w:val="000000" w:themeColor="text1"/>
          <w:spacing w:val="0"/>
        </w:rPr>
        <w:softHyphen/>
        <w:t>нием, а также наддува бензобака выхлопными газами от мотора и дублированием в системе управления рулем высоты и направления.</w:t>
      </w:r>
    </w:p>
    <w:p w14:paraId="36F7027F" w14:textId="77777777" w:rsidR="00267D1F" w:rsidRPr="00D03F3E" w:rsidRDefault="00267D1F" w:rsidP="00D03F3E">
      <w:pPr>
        <w:pStyle w:val="45"/>
        <w:shd w:val="clear" w:color="auto" w:fill="auto"/>
        <w:spacing w:before="0" w:line="240" w:lineRule="auto"/>
        <w:jc w:val="both"/>
        <w:rPr>
          <w:rFonts w:ascii="Times New Roman" w:cs="Times New Roman"/>
          <w:color w:val="000000" w:themeColor="text1"/>
          <w:sz w:val="16"/>
          <w:szCs w:val="16"/>
        </w:rPr>
      </w:pPr>
      <w:r w:rsidRPr="00D03F3E">
        <w:rPr>
          <w:rStyle w:val="4f0"/>
          <w:rFonts w:ascii="Times New Roman" w:hAnsi="Times New Roman" w:cs="Times New Roman"/>
          <w:i w:val="0"/>
          <w:color w:val="000000" w:themeColor="text1"/>
          <w:sz w:val="16"/>
          <w:szCs w:val="16"/>
        </w:rPr>
        <w:t>В заключении Акта по результатам госу</w:t>
      </w:r>
      <w:r w:rsidRPr="00D03F3E">
        <w:rPr>
          <w:rStyle w:val="4f0"/>
          <w:rFonts w:ascii="Times New Roman" w:hAnsi="Times New Roman" w:cs="Times New Roman"/>
          <w:i w:val="0"/>
          <w:color w:val="000000" w:themeColor="text1"/>
          <w:sz w:val="16"/>
          <w:szCs w:val="16"/>
        </w:rPr>
        <w:softHyphen/>
        <w:t>дарственных испытаний отмечалось:</w:t>
      </w:r>
      <w:r w:rsidRPr="00D03F3E">
        <w:rPr>
          <w:rFonts w:ascii="Times New Roman" w:cs="Times New Roman"/>
          <w:color w:val="000000" w:themeColor="text1"/>
          <w:sz w:val="16"/>
          <w:szCs w:val="16"/>
        </w:rPr>
        <w:t xml:space="preserve"> «Опыт</w:t>
      </w:r>
      <w:r w:rsidRPr="00D03F3E">
        <w:rPr>
          <w:rFonts w:ascii="Times New Roman" w:cs="Times New Roman"/>
          <w:color w:val="000000" w:themeColor="text1"/>
          <w:sz w:val="16"/>
          <w:szCs w:val="16"/>
        </w:rPr>
        <w:softHyphen/>
        <w:t>ный двухместный самолет Су-6 с мотором М-71Ф и опытным 4-х лопастным винтом АВ-9-4А, конструкции т.Сухого/.../государст</w:t>
      </w:r>
      <w:r w:rsidRPr="00D03F3E">
        <w:rPr>
          <w:rFonts w:ascii="Times New Roman" w:cs="Times New Roman"/>
          <w:color w:val="000000" w:themeColor="text1"/>
          <w:sz w:val="16"/>
          <w:szCs w:val="16"/>
        </w:rPr>
        <w:softHyphen/>
        <w:t>венные испытания выдержал, показав хорошие летно-тактические данные. Рекомендовать са</w:t>
      </w:r>
      <w:r w:rsidRPr="00D03F3E">
        <w:rPr>
          <w:rFonts w:ascii="Times New Roman" w:cs="Times New Roman"/>
          <w:color w:val="000000" w:themeColor="text1"/>
          <w:sz w:val="16"/>
          <w:szCs w:val="16"/>
        </w:rPr>
        <w:softHyphen/>
        <w:t>молет Су-6 с мотором М-71Ф и 4-х лопастным винтом АВ-9-4А в серийное производство с обязательным устранением всех недостатков».</w:t>
      </w:r>
    </w:p>
    <w:p w14:paraId="3D279981" w14:textId="77777777" w:rsidR="00267D1F" w:rsidRPr="00D03F3E" w:rsidRDefault="00267D1F"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Военные планировали снять с серийно</w:t>
      </w:r>
      <w:r w:rsidRPr="00D03F3E">
        <w:rPr>
          <w:rFonts w:ascii="Times New Roman" w:cs="Times New Roman"/>
          <w:color w:val="000000" w:themeColor="text1"/>
          <w:spacing w:val="0"/>
        </w:rPr>
        <w:softHyphen/>
        <w:t>го производства на московской заводе №30 противотанковый вариант штурмовика Ил-2 с пушками калибра 37 мм НС-37, как не оправ</w:t>
      </w:r>
      <w:r w:rsidRPr="00D03F3E">
        <w:rPr>
          <w:rFonts w:ascii="Times New Roman" w:cs="Times New Roman"/>
          <w:color w:val="000000" w:themeColor="text1"/>
          <w:spacing w:val="0"/>
        </w:rPr>
        <w:softHyphen/>
        <w:t>давший надежд, запустив вместо него в серию Су-6 М-71ф. При этом некоторое снижение темпов поступления самолетов Ил-2 в стро</w:t>
      </w:r>
      <w:r w:rsidRPr="00D03F3E">
        <w:rPr>
          <w:rFonts w:ascii="Times New Roman" w:cs="Times New Roman"/>
          <w:color w:val="000000" w:themeColor="text1"/>
          <w:spacing w:val="0"/>
        </w:rPr>
        <w:softHyphen/>
        <w:t>евые части командование ВВС КА нисколько не пугало, так как к этому времени в резерве и на базах хранения накопили столько Ил-2, что ими можно было восполнить любые возмож</w:t>
      </w:r>
      <w:r w:rsidRPr="00D03F3E">
        <w:rPr>
          <w:rFonts w:ascii="Times New Roman" w:cs="Times New Roman"/>
          <w:color w:val="000000" w:themeColor="text1"/>
          <w:spacing w:val="0"/>
        </w:rPr>
        <w:softHyphen/>
        <w:t>ные потери штурмовиков на фронте (17478).</w:t>
      </w:r>
    </w:p>
    <w:p w14:paraId="3338CA26" w14:textId="77777777" w:rsidR="00267D1F" w:rsidRPr="00D03F3E" w:rsidRDefault="00267D1F" w:rsidP="00D03F3E">
      <w:pPr>
        <w:spacing w:after="0" w:line="240" w:lineRule="auto"/>
        <w:jc w:val="both"/>
        <w:rPr>
          <w:rFonts w:ascii="Times New Roman" w:hAnsi="Times New Roman"/>
          <w:color w:val="000000" w:themeColor="text1"/>
          <w:sz w:val="16"/>
          <w:szCs w:val="16"/>
        </w:rPr>
      </w:pPr>
    </w:p>
    <w:p w14:paraId="24AFD6F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 июня 1943 года.</w:t>
      </w:r>
    </w:p>
    <w:p w14:paraId="08D5ABC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Инструкция по отстрелу стрелковых установок на заводах 2-го гл. управления НКАП</w:t>
      </w:r>
    </w:p>
    <w:p w14:paraId="082C9F8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Нормы расхода патронов при отстреле серийных установок (согласно ТУ, утвержденных на 1943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763"/>
        <w:gridCol w:w="1320"/>
        <w:gridCol w:w="1373"/>
      </w:tblGrid>
      <w:tr w:rsidR="00860B4B" w:rsidRPr="00D03F3E" w14:paraId="7740DE8F" w14:textId="77777777">
        <w:tc>
          <w:tcPr>
            <w:tcW w:w="7763" w:type="dxa"/>
          </w:tcPr>
          <w:p w14:paraId="32F1DA6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Наименование установки</w:t>
            </w:r>
          </w:p>
        </w:tc>
        <w:tc>
          <w:tcPr>
            <w:tcW w:w="1320" w:type="dxa"/>
          </w:tcPr>
          <w:p w14:paraId="0353CC9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отстреливаемых</w:t>
            </w:r>
          </w:p>
        </w:tc>
        <w:tc>
          <w:tcPr>
            <w:tcW w:w="1373" w:type="dxa"/>
          </w:tcPr>
          <w:p w14:paraId="40DCF21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Кол-во</w:t>
            </w:r>
          </w:p>
        </w:tc>
      </w:tr>
      <w:tr w:rsidR="00860B4B" w:rsidRPr="00D03F3E" w14:paraId="031537E8" w14:textId="77777777">
        <w:tc>
          <w:tcPr>
            <w:tcW w:w="7763" w:type="dxa"/>
          </w:tcPr>
          <w:p w14:paraId="0EA7023F" w14:textId="77777777" w:rsidR="00531570" w:rsidRPr="00D03F3E" w:rsidRDefault="00531570" w:rsidP="00D03F3E">
            <w:pPr>
              <w:pStyle w:val="Iauiue"/>
              <w:jc w:val="both"/>
              <w:rPr>
                <w:color w:val="000000" w:themeColor="text1"/>
                <w:sz w:val="16"/>
                <w:szCs w:val="16"/>
              </w:rPr>
            </w:pPr>
          </w:p>
        </w:tc>
        <w:tc>
          <w:tcPr>
            <w:tcW w:w="1320" w:type="dxa"/>
          </w:tcPr>
          <w:p w14:paraId="380DECC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установок</w:t>
            </w:r>
          </w:p>
        </w:tc>
        <w:tc>
          <w:tcPr>
            <w:tcW w:w="1373" w:type="dxa"/>
          </w:tcPr>
          <w:p w14:paraId="09404EA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патронов</w:t>
            </w:r>
          </w:p>
        </w:tc>
      </w:tr>
      <w:tr w:rsidR="00860B4B" w:rsidRPr="00D03F3E" w14:paraId="5F2CE547" w14:textId="77777777">
        <w:tc>
          <w:tcPr>
            <w:tcW w:w="7763" w:type="dxa"/>
          </w:tcPr>
          <w:p w14:paraId="600E6259" w14:textId="77777777" w:rsidR="00531570" w:rsidRPr="00D03F3E" w:rsidRDefault="00531570" w:rsidP="00D03F3E">
            <w:pPr>
              <w:pStyle w:val="Iauiue"/>
              <w:jc w:val="both"/>
              <w:rPr>
                <w:color w:val="000000" w:themeColor="text1"/>
                <w:sz w:val="16"/>
                <w:szCs w:val="16"/>
              </w:rPr>
            </w:pPr>
          </w:p>
        </w:tc>
        <w:tc>
          <w:tcPr>
            <w:tcW w:w="1320" w:type="dxa"/>
          </w:tcPr>
          <w:p w14:paraId="22DFCA7A" w14:textId="77777777" w:rsidR="00531570" w:rsidRPr="00D03F3E" w:rsidRDefault="00531570" w:rsidP="00D03F3E">
            <w:pPr>
              <w:pStyle w:val="Iauiue"/>
              <w:jc w:val="both"/>
              <w:rPr>
                <w:color w:val="000000" w:themeColor="text1"/>
                <w:sz w:val="16"/>
                <w:szCs w:val="16"/>
              </w:rPr>
            </w:pPr>
          </w:p>
        </w:tc>
        <w:tc>
          <w:tcPr>
            <w:tcW w:w="1373" w:type="dxa"/>
          </w:tcPr>
          <w:p w14:paraId="7E67622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одну</w:t>
            </w:r>
          </w:p>
        </w:tc>
      </w:tr>
      <w:tr w:rsidR="00860B4B" w:rsidRPr="00D03F3E" w14:paraId="3FC2C370" w14:textId="77777777">
        <w:tc>
          <w:tcPr>
            <w:tcW w:w="7763" w:type="dxa"/>
          </w:tcPr>
          <w:p w14:paraId="5864CBB4" w14:textId="77777777" w:rsidR="00531570" w:rsidRPr="00D03F3E" w:rsidRDefault="00531570" w:rsidP="00D03F3E">
            <w:pPr>
              <w:pStyle w:val="Iauiue"/>
              <w:jc w:val="both"/>
              <w:rPr>
                <w:color w:val="000000" w:themeColor="text1"/>
                <w:sz w:val="16"/>
                <w:szCs w:val="16"/>
              </w:rPr>
            </w:pPr>
          </w:p>
        </w:tc>
        <w:tc>
          <w:tcPr>
            <w:tcW w:w="1320" w:type="dxa"/>
          </w:tcPr>
          <w:p w14:paraId="2DE79C59" w14:textId="77777777" w:rsidR="00531570" w:rsidRPr="00D03F3E" w:rsidRDefault="00531570" w:rsidP="00D03F3E">
            <w:pPr>
              <w:pStyle w:val="Iauiue"/>
              <w:jc w:val="both"/>
              <w:rPr>
                <w:color w:val="000000" w:themeColor="text1"/>
                <w:sz w:val="16"/>
                <w:szCs w:val="16"/>
              </w:rPr>
            </w:pPr>
          </w:p>
        </w:tc>
        <w:tc>
          <w:tcPr>
            <w:tcW w:w="1373" w:type="dxa"/>
          </w:tcPr>
          <w:p w14:paraId="2965C1A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устан.</w:t>
            </w:r>
          </w:p>
        </w:tc>
      </w:tr>
      <w:tr w:rsidR="00860B4B" w:rsidRPr="00D03F3E" w14:paraId="32D894DC" w14:textId="77777777">
        <w:tc>
          <w:tcPr>
            <w:tcW w:w="7763" w:type="dxa"/>
          </w:tcPr>
          <w:p w14:paraId="2DD07A2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НУ Пе-2 под УБК</w:t>
            </w:r>
          </w:p>
        </w:tc>
        <w:tc>
          <w:tcPr>
            <w:tcW w:w="1320" w:type="dxa"/>
          </w:tcPr>
          <w:p w14:paraId="31EA00A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w:t>
            </w:r>
          </w:p>
        </w:tc>
        <w:tc>
          <w:tcPr>
            <w:tcW w:w="1373" w:type="dxa"/>
          </w:tcPr>
          <w:p w14:paraId="7928F1F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w:t>
            </w:r>
          </w:p>
        </w:tc>
      </w:tr>
      <w:tr w:rsidR="00860B4B" w:rsidRPr="00D03F3E" w14:paraId="2C8835DE" w14:textId="77777777">
        <w:tc>
          <w:tcPr>
            <w:tcW w:w="7763" w:type="dxa"/>
          </w:tcPr>
          <w:p w14:paraId="39D391D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НУ Ли-2 под ШКАС</w:t>
            </w:r>
          </w:p>
        </w:tc>
        <w:tc>
          <w:tcPr>
            <w:tcW w:w="1320" w:type="dxa"/>
          </w:tcPr>
          <w:p w14:paraId="048FB23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w:t>
            </w:r>
          </w:p>
        </w:tc>
        <w:tc>
          <w:tcPr>
            <w:tcW w:w="1373" w:type="dxa"/>
          </w:tcPr>
          <w:p w14:paraId="17B597A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w:t>
            </w:r>
          </w:p>
        </w:tc>
      </w:tr>
      <w:tr w:rsidR="00860B4B" w:rsidRPr="00D03F3E" w14:paraId="40D38EDD" w14:textId="77777777">
        <w:tc>
          <w:tcPr>
            <w:tcW w:w="7763" w:type="dxa"/>
          </w:tcPr>
          <w:p w14:paraId="008748B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НУ Ил-4 под ШКАС</w:t>
            </w:r>
          </w:p>
        </w:tc>
        <w:tc>
          <w:tcPr>
            <w:tcW w:w="1320" w:type="dxa"/>
          </w:tcPr>
          <w:p w14:paraId="60FD376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w:t>
            </w:r>
          </w:p>
        </w:tc>
        <w:tc>
          <w:tcPr>
            <w:tcW w:w="1373" w:type="dxa"/>
          </w:tcPr>
          <w:p w14:paraId="6D43104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w:t>
            </w:r>
          </w:p>
        </w:tc>
      </w:tr>
      <w:tr w:rsidR="00860B4B" w:rsidRPr="00D03F3E" w14:paraId="45D244B2" w14:textId="77777777">
        <w:tc>
          <w:tcPr>
            <w:tcW w:w="7763" w:type="dxa"/>
          </w:tcPr>
          <w:p w14:paraId="0F1C9AD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ВУБ-1 под УБТ</w:t>
            </w:r>
          </w:p>
        </w:tc>
        <w:tc>
          <w:tcPr>
            <w:tcW w:w="1320" w:type="dxa"/>
          </w:tcPr>
          <w:p w14:paraId="576DDD4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1373" w:type="dxa"/>
          </w:tcPr>
          <w:p w14:paraId="2CD0156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w:t>
            </w:r>
          </w:p>
        </w:tc>
      </w:tr>
      <w:tr w:rsidR="00860B4B" w:rsidRPr="00D03F3E" w14:paraId="6F8C8AF5" w14:textId="77777777">
        <w:tc>
          <w:tcPr>
            <w:tcW w:w="7763" w:type="dxa"/>
          </w:tcPr>
          <w:p w14:paraId="2EA23B8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УТК-1 под УБТ</w:t>
            </w:r>
          </w:p>
        </w:tc>
        <w:tc>
          <w:tcPr>
            <w:tcW w:w="1320" w:type="dxa"/>
          </w:tcPr>
          <w:p w14:paraId="20D376B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w:t>
            </w:r>
          </w:p>
        </w:tc>
        <w:tc>
          <w:tcPr>
            <w:tcW w:w="1373" w:type="dxa"/>
          </w:tcPr>
          <w:p w14:paraId="6B7E83A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w:t>
            </w:r>
          </w:p>
        </w:tc>
      </w:tr>
      <w:tr w:rsidR="00860B4B" w:rsidRPr="00D03F3E" w14:paraId="368A2814" w14:textId="77777777">
        <w:tc>
          <w:tcPr>
            <w:tcW w:w="7763" w:type="dxa"/>
          </w:tcPr>
          <w:p w14:paraId="7DBBC05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Кр. Ил-2 под ШКАС</w:t>
            </w:r>
          </w:p>
        </w:tc>
        <w:tc>
          <w:tcPr>
            <w:tcW w:w="1320" w:type="dxa"/>
          </w:tcPr>
          <w:p w14:paraId="26CE42F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w:t>
            </w:r>
          </w:p>
        </w:tc>
        <w:tc>
          <w:tcPr>
            <w:tcW w:w="1373" w:type="dxa"/>
          </w:tcPr>
          <w:p w14:paraId="51EAC4B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w:t>
            </w:r>
          </w:p>
        </w:tc>
      </w:tr>
      <w:tr w:rsidR="00860B4B" w:rsidRPr="00D03F3E" w14:paraId="25071A6C" w14:textId="77777777">
        <w:tc>
          <w:tcPr>
            <w:tcW w:w="7763" w:type="dxa"/>
          </w:tcPr>
          <w:p w14:paraId="6D30618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ЛУ Ил-4 под ШКАС</w:t>
            </w:r>
          </w:p>
        </w:tc>
        <w:tc>
          <w:tcPr>
            <w:tcW w:w="1320" w:type="dxa"/>
          </w:tcPr>
          <w:p w14:paraId="741B59B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w:t>
            </w:r>
          </w:p>
        </w:tc>
        <w:tc>
          <w:tcPr>
            <w:tcW w:w="1373" w:type="dxa"/>
          </w:tcPr>
          <w:p w14:paraId="584D356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w:t>
            </w:r>
          </w:p>
        </w:tc>
      </w:tr>
      <w:tr w:rsidR="00860B4B" w:rsidRPr="00D03F3E" w14:paraId="665E5E87" w14:textId="77777777">
        <w:tc>
          <w:tcPr>
            <w:tcW w:w="7763" w:type="dxa"/>
          </w:tcPr>
          <w:p w14:paraId="1C8D5ED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ЛУ Пе-2 под УБТ</w:t>
            </w:r>
          </w:p>
        </w:tc>
        <w:tc>
          <w:tcPr>
            <w:tcW w:w="1320" w:type="dxa"/>
          </w:tcPr>
          <w:p w14:paraId="767BAA5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w:t>
            </w:r>
          </w:p>
        </w:tc>
        <w:tc>
          <w:tcPr>
            <w:tcW w:w="1373" w:type="dxa"/>
          </w:tcPr>
          <w:p w14:paraId="0142450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w:t>
            </w:r>
          </w:p>
        </w:tc>
      </w:tr>
      <w:tr w:rsidR="00860B4B" w:rsidRPr="00D03F3E" w14:paraId="4D05C43A" w14:textId="77777777">
        <w:tc>
          <w:tcPr>
            <w:tcW w:w="7763" w:type="dxa"/>
          </w:tcPr>
          <w:p w14:paraId="4D5D441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БУ Ли-2 под ШКАС</w:t>
            </w:r>
          </w:p>
        </w:tc>
        <w:tc>
          <w:tcPr>
            <w:tcW w:w="1320" w:type="dxa"/>
          </w:tcPr>
          <w:p w14:paraId="0E0A5D5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w:t>
            </w:r>
          </w:p>
        </w:tc>
        <w:tc>
          <w:tcPr>
            <w:tcW w:w="1373" w:type="dxa"/>
          </w:tcPr>
          <w:p w14:paraId="3EAB4F1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w:t>
            </w:r>
          </w:p>
        </w:tc>
      </w:tr>
      <w:tr w:rsidR="00860B4B" w:rsidRPr="00D03F3E" w14:paraId="3AB66CDC" w14:textId="77777777">
        <w:tc>
          <w:tcPr>
            <w:tcW w:w="7763" w:type="dxa"/>
          </w:tcPr>
          <w:p w14:paraId="7145B89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ВУБ-3 под УБТ</w:t>
            </w:r>
          </w:p>
        </w:tc>
        <w:tc>
          <w:tcPr>
            <w:tcW w:w="1320" w:type="dxa"/>
          </w:tcPr>
          <w:p w14:paraId="1AC84D2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1373" w:type="dxa"/>
          </w:tcPr>
          <w:p w14:paraId="1145B82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w:t>
            </w:r>
          </w:p>
        </w:tc>
      </w:tr>
      <w:tr w:rsidR="00860B4B" w:rsidRPr="00D03F3E" w14:paraId="5FBA85CA" w14:textId="77777777">
        <w:tc>
          <w:tcPr>
            <w:tcW w:w="7763" w:type="dxa"/>
          </w:tcPr>
          <w:p w14:paraId="037B12B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ТАТ под ШВАК</w:t>
            </w:r>
          </w:p>
        </w:tc>
        <w:tc>
          <w:tcPr>
            <w:tcW w:w="1320" w:type="dxa"/>
          </w:tcPr>
          <w:p w14:paraId="23897AF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1373" w:type="dxa"/>
          </w:tcPr>
          <w:p w14:paraId="6C3F9EC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r>
      <w:tr w:rsidR="00860B4B" w:rsidRPr="00D03F3E" w14:paraId="196AB0CF" w14:textId="77777777">
        <w:tc>
          <w:tcPr>
            <w:tcW w:w="7763" w:type="dxa"/>
          </w:tcPr>
          <w:p w14:paraId="11AB866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КЭБ под ШВАК</w:t>
            </w:r>
          </w:p>
        </w:tc>
        <w:tc>
          <w:tcPr>
            <w:tcW w:w="1320" w:type="dxa"/>
          </w:tcPr>
          <w:p w14:paraId="7C4FE61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1373" w:type="dxa"/>
          </w:tcPr>
          <w:p w14:paraId="203B2E4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r>
      <w:tr w:rsidR="00860B4B" w:rsidRPr="00D03F3E" w14:paraId="42E2C1B0" w14:textId="77777777">
        <w:tc>
          <w:tcPr>
            <w:tcW w:w="7763" w:type="dxa"/>
          </w:tcPr>
          <w:p w14:paraId="2D0DC15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НЭБ под ШКАС</w:t>
            </w:r>
          </w:p>
        </w:tc>
        <w:tc>
          <w:tcPr>
            <w:tcW w:w="1320" w:type="dxa"/>
          </w:tcPr>
          <w:p w14:paraId="03BE7BF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1373" w:type="dxa"/>
          </w:tcPr>
          <w:p w14:paraId="3DA6CBB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200</w:t>
            </w:r>
          </w:p>
        </w:tc>
      </w:tr>
      <w:tr w:rsidR="00860B4B" w:rsidRPr="00D03F3E" w14:paraId="45C1A24C" w14:textId="77777777">
        <w:tc>
          <w:tcPr>
            <w:tcW w:w="7763" w:type="dxa"/>
          </w:tcPr>
          <w:p w14:paraId="102D675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ШАУ под УБТ</w:t>
            </w:r>
          </w:p>
        </w:tc>
        <w:tc>
          <w:tcPr>
            <w:tcW w:w="1320" w:type="dxa"/>
          </w:tcPr>
          <w:p w14:paraId="38E2256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1373" w:type="dxa"/>
          </w:tcPr>
          <w:p w14:paraId="56C103F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r>
      <w:tr w:rsidR="00860B4B" w:rsidRPr="00D03F3E" w14:paraId="3A77FCBD" w14:textId="77777777">
        <w:tc>
          <w:tcPr>
            <w:tcW w:w="7763" w:type="dxa"/>
          </w:tcPr>
          <w:p w14:paraId="307C24B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II. Нормы расхода патронов при отстреле серийных стрелковых установок на живучесть:</w:t>
            </w:r>
          </w:p>
        </w:tc>
        <w:tc>
          <w:tcPr>
            <w:tcW w:w="1320" w:type="dxa"/>
          </w:tcPr>
          <w:p w14:paraId="2599318F" w14:textId="77777777" w:rsidR="00531570" w:rsidRPr="00D03F3E" w:rsidRDefault="00531570" w:rsidP="00D03F3E">
            <w:pPr>
              <w:pStyle w:val="Iauiue"/>
              <w:jc w:val="both"/>
              <w:rPr>
                <w:color w:val="000000" w:themeColor="text1"/>
                <w:sz w:val="16"/>
                <w:szCs w:val="16"/>
              </w:rPr>
            </w:pPr>
          </w:p>
        </w:tc>
        <w:tc>
          <w:tcPr>
            <w:tcW w:w="1373" w:type="dxa"/>
          </w:tcPr>
          <w:p w14:paraId="010F13D1" w14:textId="77777777" w:rsidR="00531570" w:rsidRPr="00D03F3E" w:rsidRDefault="00531570" w:rsidP="00D03F3E">
            <w:pPr>
              <w:pStyle w:val="Iauiue"/>
              <w:jc w:val="both"/>
              <w:rPr>
                <w:color w:val="000000" w:themeColor="text1"/>
                <w:sz w:val="16"/>
                <w:szCs w:val="16"/>
              </w:rPr>
            </w:pPr>
          </w:p>
        </w:tc>
      </w:tr>
      <w:tr w:rsidR="00860B4B" w:rsidRPr="00D03F3E" w14:paraId="11C66F81" w14:textId="77777777">
        <w:tc>
          <w:tcPr>
            <w:tcW w:w="7763" w:type="dxa"/>
          </w:tcPr>
          <w:p w14:paraId="2827A0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Установка под ШКАС</w:t>
            </w:r>
          </w:p>
        </w:tc>
        <w:tc>
          <w:tcPr>
            <w:tcW w:w="1320" w:type="dxa"/>
          </w:tcPr>
          <w:p w14:paraId="13546C60" w14:textId="77777777" w:rsidR="00531570" w:rsidRPr="00D03F3E" w:rsidRDefault="00531570" w:rsidP="00D03F3E">
            <w:pPr>
              <w:pStyle w:val="Iauiue"/>
              <w:jc w:val="both"/>
              <w:rPr>
                <w:color w:val="000000" w:themeColor="text1"/>
                <w:sz w:val="16"/>
                <w:szCs w:val="16"/>
              </w:rPr>
            </w:pPr>
          </w:p>
        </w:tc>
        <w:tc>
          <w:tcPr>
            <w:tcW w:w="1373" w:type="dxa"/>
          </w:tcPr>
          <w:p w14:paraId="28CE6A0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50000 патронов</w:t>
            </w:r>
          </w:p>
        </w:tc>
      </w:tr>
      <w:tr w:rsidR="00860B4B" w:rsidRPr="00D03F3E" w14:paraId="5A3EE0D5" w14:textId="77777777">
        <w:tc>
          <w:tcPr>
            <w:tcW w:w="7763" w:type="dxa"/>
          </w:tcPr>
          <w:p w14:paraId="04B05CF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Установка под УБ</w:t>
            </w:r>
          </w:p>
        </w:tc>
        <w:tc>
          <w:tcPr>
            <w:tcW w:w="1320" w:type="dxa"/>
          </w:tcPr>
          <w:p w14:paraId="7CEC276E" w14:textId="77777777" w:rsidR="00531570" w:rsidRPr="00D03F3E" w:rsidRDefault="00531570" w:rsidP="00D03F3E">
            <w:pPr>
              <w:pStyle w:val="Iauiue"/>
              <w:jc w:val="both"/>
              <w:rPr>
                <w:color w:val="000000" w:themeColor="text1"/>
                <w:sz w:val="16"/>
                <w:szCs w:val="16"/>
              </w:rPr>
            </w:pPr>
          </w:p>
        </w:tc>
        <w:tc>
          <w:tcPr>
            <w:tcW w:w="1373" w:type="dxa"/>
          </w:tcPr>
          <w:p w14:paraId="0AB198C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15000 патронов</w:t>
            </w:r>
          </w:p>
        </w:tc>
      </w:tr>
      <w:tr w:rsidR="00860B4B" w:rsidRPr="00D03F3E" w14:paraId="3D113838" w14:textId="77777777">
        <w:tc>
          <w:tcPr>
            <w:tcW w:w="7763" w:type="dxa"/>
          </w:tcPr>
          <w:p w14:paraId="394443B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Установка под ШВАК</w:t>
            </w:r>
          </w:p>
        </w:tc>
        <w:tc>
          <w:tcPr>
            <w:tcW w:w="1320" w:type="dxa"/>
          </w:tcPr>
          <w:p w14:paraId="0AE69262" w14:textId="77777777" w:rsidR="00531570" w:rsidRPr="00D03F3E" w:rsidRDefault="00531570" w:rsidP="00D03F3E">
            <w:pPr>
              <w:pStyle w:val="Iauiue"/>
              <w:jc w:val="both"/>
              <w:rPr>
                <w:color w:val="000000" w:themeColor="text1"/>
                <w:sz w:val="16"/>
                <w:szCs w:val="16"/>
              </w:rPr>
            </w:pPr>
          </w:p>
        </w:tc>
        <w:tc>
          <w:tcPr>
            <w:tcW w:w="1373" w:type="dxa"/>
          </w:tcPr>
          <w:p w14:paraId="4A8A775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10000 патронов</w:t>
            </w:r>
          </w:p>
        </w:tc>
      </w:tr>
      <w:tr w:rsidR="00860B4B" w:rsidRPr="00D03F3E" w14:paraId="7DEF6EB3" w14:textId="77777777">
        <w:tc>
          <w:tcPr>
            <w:tcW w:w="7763" w:type="dxa"/>
          </w:tcPr>
          <w:p w14:paraId="58A6A09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живучесть отстреливается каждая из серийных установок, согласно ТУ на них, два раза в год по одному экземпляру.</w:t>
            </w:r>
          </w:p>
        </w:tc>
        <w:tc>
          <w:tcPr>
            <w:tcW w:w="1320" w:type="dxa"/>
          </w:tcPr>
          <w:p w14:paraId="0B6BE8C6" w14:textId="77777777" w:rsidR="00531570" w:rsidRPr="00D03F3E" w:rsidRDefault="00531570" w:rsidP="00D03F3E">
            <w:pPr>
              <w:pStyle w:val="Iauiue"/>
              <w:jc w:val="both"/>
              <w:rPr>
                <w:color w:val="000000" w:themeColor="text1"/>
                <w:sz w:val="16"/>
                <w:szCs w:val="16"/>
              </w:rPr>
            </w:pPr>
          </w:p>
        </w:tc>
        <w:tc>
          <w:tcPr>
            <w:tcW w:w="1373" w:type="dxa"/>
          </w:tcPr>
          <w:p w14:paraId="45CDA994" w14:textId="77777777" w:rsidR="00531570" w:rsidRPr="00D03F3E" w:rsidRDefault="00531570" w:rsidP="00D03F3E">
            <w:pPr>
              <w:pStyle w:val="Iauiue"/>
              <w:jc w:val="both"/>
              <w:rPr>
                <w:color w:val="000000" w:themeColor="text1"/>
                <w:sz w:val="16"/>
                <w:szCs w:val="16"/>
              </w:rPr>
            </w:pPr>
          </w:p>
        </w:tc>
      </w:tr>
      <w:tr w:rsidR="00860B4B" w:rsidRPr="00D03F3E" w14:paraId="4482B85B" w14:textId="77777777">
        <w:tc>
          <w:tcPr>
            <w:tcW w:w="7763" w:type="dxa"/>
          </w:tcPr>
          <w:p w14:paraId="6576C45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III. Нормы расхода патронов на вновь осваиваемые изделия:</w:t>
            </w:r>
          </w:p>
        </w:tc>
        <w:tc>
          <w:tcPr>
            <w:tcW w:w="1320" w:type="dxa"/>
          </w:tcPr>
          <w:p w14:paraId="1857D6AA" w14:textId="77777777" w:rsidR="00531570" w:rsidRPr="00D03F3E" w:rsidRDefault="00531570" w:rsidP="00D03F3E">
            <w:pPr>
              <w:pStyle w:val="Iauiue"/>
              <w:jc w:val="both"/>
              <w:rPr>
                <w:color w:val="000000" w:themeColor="text1"/>
                <w:sz w:val="16"/>
                <w:szCs w:val="16"/>
              </w:rPr>
            </w:pPr>
          </w:p>
        </w:tc>
        <w:tc>
          <w:tcPr>
            <w:tcW w:w="1373" w:type="dxa"/>
          </w:tcPr>
          <w:p w14:paraId="7CD2F80B" w14:textId="77777777" w:rsidR="00531570" w:rsidRPr="00D03F3E" w:rsidRDefault="00531570" w:rsidP="00D03F3E">
            <w:pPr>
              <w:pStyle w:val="Iauiue"/>
              <w:jc w:val="both"/>
              <w:rPr>
                <w:color w:val="000000" w:themeColor="text1"/>
                <w:sz w:val="16"/>
                <w:szCs w:val="16"/>
              </w:rPr>
            </w:pPr>
          </w:p>
        </w:tc>
      </w:tr>
      <w:tr w:rsidR="00860B4B" w:rsidRPr="00D03F3E" w14:paraId="4FC2CCD4" w14:textId="77777777">
        <w:tc>
          <w:tcPr>
            <w:tcW w:w="7763" w:type="dxa"/>
          </w:tcPr>
          <w:p w14:paraId="65E7465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Одна установка на головной партии отстреливается на живучесть по нормам раздела II данной Инструкции.</w:t>
            </w:r>
          </w:p>
        </w:tc>
        <w:tc>
          <w:tcPr>
            <w:tcW w:w="1320" w:type="dxa"/>
          </w:tcPr>
          <w:p w14:paraId="74832650" w14:textId="77777777" w:rsidR="00531570" w:rsidRPr="00D03F3E" w:rsidRDefault="00531570" w:rsidP="00D03F3E">
            <w:pPr>
              <w:pStyle w:val="Iauiue"/>
              <w:jc w:val="both"/>
              <w:rPr>
                <w:color w:val="000000" w:themeColor="text1"/>
                <w:sz w:val="16"/>
                <w:szCs w:val="16"/>
              </w:rPr>
            </w:pPr>
          </w:p>
        </w:tc>
        <w:tc>
          <w:tcPr>
            <w:tcW w:w="1373" w:type="dxa"/>
          </w:tcPr>
          <w:p w14:paraId="6661C4AB" w14:textId="77777777" w:rsidR="00531570" w:rsidRPr="00D03F3E" w:rsidRDefault="00531570" w:rsidP="00D03F3E">
            <w:pPr>
              <w:pStyle w:val="Iauiue"/>
              <w:jc w:val="both"/>
              <w:rPr>
                <w:color w:val="000000" w:themeColor="text1"/>
                <w:sz w:val="16"/>
                <w:szCs w:val="16"/>
              </w:rPr>
            </w:pPr>
          </w:p>
        </w:tc>
      </w:tr>
      <w:tr w:rsidR="00860B4B" w:rsidRPr="00D03F3E" w14:paraId="06DFCA6F" w14:textId="77777777">
        <w:tc>
          <w:tcPr>
            <w:tcW w:w="7763" w:type="dxa"/>
          </w:tcPr>
          <w:p w14:paraId="7F38D2C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Отстрелу подвергаются все установки с повышенной нормой расхода патронов:</w:t>
            </w:r>
          </w:p>
        </w:tc>
        <w:tc>
          <w:tcPr>
            <w:tcW w:w="1320" w:type="dxa"/>
          </w:tcPr>
          <w:p w14:paraId="41FA2BFA" w14:textId="77777777" w:rsidR="00531570" w:rsidRPr="00D03F3E" w:rsidRDefault="00531570" w:rsidP="00D03F3E">
            <w:pPr>
              <w:pStyle w:val="Iauiue"/>
              <w:jc w:val="both"/>
              <w:rPr>
                <w:color w:val="000000" w:themeColor="text1"/>
                <w:sz w:val="16"/>
                <w:szCs w:val="16"/>
              </w:rPr>
            </w:pPr>
          </w:p>
        </w:tc>
        <w:tc>
          <w:tcPr>
            <w:tcW w:w="1373" w:type="dxa"/>
          </w:tcPr>
          <w:p w14:paraId="3575E505" w14:textId="77777777" w:rsidR="00531570" w:rsidRPr="00D03F3E" w:rsidRDefault="00531570" w:rsidP="00D03F3E">
            <w:pPr>
              <w:pStyle w:val="Iauiue"/>
              <w:jc w:val="both"/>
              <w:rPr>
                <w:color w:val="000000" w:themeColor="text1"/>
                <w:sz w:val="16"/>
                <w:szCs w:val="16"/>
              </w:rPr>
            </w:pPr>
          </w:p>
        </w:tc>
      </w:tr>
      <w:tr w:rsidR="00860B4B" w:rsidRPr="00D03F3E" w14:paraId="1CAFD3C0" w14:textId="77777777">
        <w:tc>
          <w:tcPr>
            <w:tcW w:w="7763" w:type="dxa"/>
          </w:tcPr>
          <w:p w14:paraId="5265C11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Установка под ШКАС</w:t>
            </w:r>
          </w:p>
        </w:tc>
        <w:tc>
          <w:tcPr>
            <w:tcW w:w="1320" w:type="dxa"/>
          </w:tcPr>
          <w:p w14:paraId="24AD751C" w14:textId="77777777" w:rsidR="00531570" w:rsidRPr="00D03F3E" w:rsidRDefault="00531570" w:rsidP="00D03F3E">
            <w:pPr>
              <w:pStyle w:val="Iauiue"/>
              <w:jc w:val="both"/>
              <w:rPr>
                <w:color w:val="000000" w:themeColor="text1"/>
                <w:sz w:val="16"/>
                <w:szCs w:val="16"/>
              </w:rPr>
            </w:pPr>
          </w:p>
        </w:tc>
        <w:tc>
          <w:tcPr>
            <w:tcW w:w="1373" w:type="dxa"/>
          </w:tcPr>
          <w:p w14:paraId="2D72804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 патронов</w:t>
            </w:r>
          </w:p>
        </w:tc>
      </w:tr>
      <w:tr w:rsidR="00860B4B" w:rsidRPr="00D03F3E" w14:paraId="171846B1" w14:textId="77777777">
        <w:tc>
          <w:tcPr>
            <w:tcW w:w="7763" w:type="dxa"/>
          </w:tcPr>
          <w:p w14:paraId="205B29D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Установка под УБ</w:t>
            </w:r>
          </w:p>
        </w:tc>
        <w:tc>
          <w:tcPr>
            <w:tcW w:w="1320" w:type="dxa"/>
          </w:tcPr>
          <w:p w14:paraId="64601230" w14:textId="77777777" w:rsidR="00531570" w:rsidRPr="00D03F3E" w:rsidRDefault="00531570" w:rsidP="00D03F3E">
            <w:pPr>
              <w:pStyle w:val="Iauiue"/>
              <w:jc w:val="both"/>
              <w:rPr>
                <w:color w:val="000000" w:themeColor="text1"/>
                <w:sz w:val="16"/>
                <w:szCs w:val="16"/>
              </w:rPr>
            </w:pPr>
          </w:p>
        </w:tc>
        <w:tc>
          <w:tcPr>
            <w:tcW w:w="1373" w:type="dxa"/>
          </w:tcPr>
          <w:p w14:paraId="54A69E6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 патронов</w:t>
            </w:r>
          </w:p>
        </w:tc>
      </w:tr>
      <w:tr w:rsidR="00860B4B" w:rsidRPr="00D03F3E" w14:paraId="0F322E53" w14:textId="77777777">
        <w:tc>
          <w:tcPr>
            <w:tcW w:w="7763" w:type="dxa"/>
          </w:tcPr>
          <w:p w14:paraId="195CA34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Установка под ШВАК</w:t>
            </w:r>
          </w:p>
        </w:tc>
        <w:tc>
          <w:tcPr>
            <w:tcW w:w="1320" w:type="dxa"/>
          </w:tcPr>
          <w:p w14:paraId="11F0D6BA" w14:textId="77777777" w:rsidR="00531570" w:rsidRPr="00D03F3E" w:rsidRDefault="00531570" w:rsidP="00D03F3E">
            <w:pPr>
              <w:pStyle w:val="Iauiue"/>
              <w:jc w:val="both"/>
              <w:rPr>
                <w:color w:val="000000" w:themeColor="text1"/>
                <w:sz w:val="16"/>
                <w:szCs w:val="16"/>
              </w:rPr>
            </w:pPr>
          </w:p>
        </w:tc>
        <w:tc>
          <w:tcPr>
            <w:tcW w:w="1373" w:type="dxa"/>
          </w:tcPr>
          <w:p w14:paraId="5F6A61A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 патронов</w:t>
            </w:r>
          </w:p>
        </w:tc>
      </w:tr>
    </w:tbl>
    <w:p w14:paraId="1327DF0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Эта норма распространяется на головную партию установок в количестве 100-150 штук. В дальнейшем отстрел производится по нормам однотипных серийных установок.</w:t>
      </w:r>
    </w:p>
    <w:p w14:paraId="7BA3BDD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IV. Отклоненные военным представителем ГУЗ ВВС стрелковые установки отстреливаются вновь по их предъявлении после исправления, по нормам расхода патронов, предусмотренных данной инструкцией (1778).</w:t>
      </w:r>
    </w:p>
    <w:p w14:paraId="53B71169" w14:textId="77777777" w:rsidR="00531570" w:rsidRPr="00D03F3E" w:rsidRDefault="00531570" w:rsidP="00D03F3E">
      <w:pPr>
        <w:pStyle w:val="Iauiue"/>
        <w:jc w:val="both"/>
        <w:rPr>
          <w:color w:val="000000" w:themeColor="text1"/>
          <w:sz w:val="16"/>
          <w:szCs w:val="16"/>
        </w:rPr>
      </w:pPr>
    </w:p>
    <w:p w14:paraId="3123D26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 июня 1943 А.С.Я. утвердил отчет о заводских испытаниях Як-1 М с М-105ПФ, которые проходили в мае и решили представить на гос. испытания (814,1).</w:t>
      </w:r>
    </w:p>
    <w:p w14:paraId="464C349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Вед. л Кокин</w:t>
      </w:r>
    </w:p>
    <w:p w14:paraId="7489E63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Вед. и Мкртчан</w:t>
      </w:r>
    </w:p>
    <w:p w14:paraId="6951744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С-т прошел ЗИ при полетном весе 2625 кг, Рк 1050 и 2550 об. на 1 гр. и 2700 об. на 2-й гр. высотности</w:t>
      </w:r>
    </w:p>
    <w:p w14:paraId="74E730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у земли - 560 км/час, Рк 1030, 2520 оборотов</w:t>
      </w:r>
    </w:p>
    <w:p w14:paraId="64401EC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на 1 гр. 2300 м 614 км/час Рк 1050, 2700 оборотов</w:t>
      </w:r>
    </w:p>
    <w:p w14:paraId="0AE9469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на 2-й гр. - 4000 м 638 км/час, Рк 1090, 2700 оборотов</w:t>
      </w:r>
    </w:p>
    <w:p w14:paraId="3246766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Отверстие водорадиатора было установлено в положение, наилучшим образом обеспечивающее нормальный температурный режим мотора</w:t>
      </w:r>
    </w:p>
    <w:p w14:paraId="543871C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Время подъема на 5000 м - 4,7 при 2550 об.</w:t>
      </w:r>
    </w:p>
    <w:p w14:paraId="1471D9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Геометрические данные:</w:t>
      </w:r>
    </w:p>
    <w:p w14:paraId="6EC0468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Размах 9,2</w:t>
      </w:r>
    </w:p>
    <w:p w14:paraId="615DC4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Длина 8,5</w:t>
      </w:r>
    </w:p>
    <w:p w14:paraId="6553520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Высота в линии полета 3,336</w:t>
      </w:r>
    </w:p>
    <w:p w14:paraId="487E857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Колея шасси 3,22</w:t>
      </w:r>
    </w:p>
    <w:p w14:paraId="38D25B6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 пустого 2173</w:t>
      </w:r>
    </w:p>
    <w:p w14:paraId="7908607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 полной нагрузки 452 кг</w:t>
      </w:r>
    </w:p>
    <w:p w14:paraId="5169B95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 бензина 270 кг</w:t>
      </w:r>
    </w:p>
    <w:p w14:paraId="5FF7AE5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 масла 30</w:t>
      </w:r>
    </w:p>
    <w:p w14:paraId="3BE8563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Патроны МП-20 27</w:t>
      </w:r>
    </w:p>
    <w:p w14:paraId="5B40333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Патроны УБ 35</w:t>
      </w:r>
    </w:p>
    <w:p w14:paraId="48F926B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 с парашютом 90</w:t>
      </w:r>
    </w:p>
    <w:p w14:paraId="194EDF4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САХ 1785, ц/т 26% при 2655</w:t>
      </w:r>
    </w:p>
    <w:p w14:paraId="01D83B0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Крыо по своей конструкции аналогично крылу серийного Як-9 и отличается от него уменьшенными плдощадью и размахом</w:t>
      </w:r>
    </w:p>
    <w:p w14:paraId="5F5D30A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Профиль Кларк УН, толщина у корня 14% и на концах 7%</w:t>
      </w:r>
    </w:p>
    <w:p w14:paraId="1520E1A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Поперечное У 5Ж57</w:t>
      </w:r>
    </w:p>
    <w:p w14:paraId="297D596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Плошадь 14,7</w:t>
      </w:r>
    </w:p>
    <w:p w14:paraId="48DB6B7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Угол установки 0</w:t>
      </w:r>
    </w:p>
    <w:p w14:paraId="24B6335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Площадь элеронов 1,06 м2</w:t>
      </w:r>
    </w:p>
    <w:p w14:paraId="7CDC16D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Площадь щитков 1,820 м2</w:t>
      </w:r>
    </w:p>
    <w:p w14:paraId="2264796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Колеса 600х180</w:t>
      </w:r>
    </w:p>
    <w:p w14:paraId="0392AC8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Ход аммртизатора 180 мм</w:t>
      </w:r>
    </w:p>
    <w:p w14:paraId="2CF27D4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ВМГ как на Як-1</w:t>
      </w:r>
    </w:p>
    <w:p w14:paraId="6DBD07B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Вооружение как на серийном Як-1 (МПШ-20 (120) и УБС-12,7 (200).</w:t>
      </w:r>
    </w:p>
    <w:p w14:paraId="07DF2D5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Заключение:</w:t>
      </w:r>
    </w:p>
    <w:p w14:paraId="17DC0FB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С-т Як-1М с мотором М-105ПФ прошел заводские испытания удовлетворительно. С-т может быть предъявлен в НИИ ВВС для проведения госиспытаний</w:t>
      </w:r>
    </w:p>
    <w:p w14:paraId="7054C66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Отпечатан 7 мая 1943, ис. Мкртчан (814,1).</w:t>
      </w:r>
    </w:p>
    <w:p w14:paraId="7F4BA00C" w14:textId="77777777" w:rsidR="00531570" w:rsidRPr="00D03F3E" w:rsidRDefault="00531570" w:rsidP="00D03F3E">
      <w:pPr>
        <w:pStyle w:val="Iauiue"/>
        <w:jc w:val="both"/>
        <w:rPr>
          <w:color w:val="000000" w:themeColor="text1"/>
          <w:sz w:val="16"/>
          <w:szCs w:val="16"/>
        </w:rPr>
      </w:pPr>
    </w:p>
    <w:p w14:paraId="1347F5B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 июня 1943 Чесалов и С.И.Агаджанов, а также ГК з-да № 21 С.А.Л. утвердили Отчет о летных испытаниях Ла-5 с М-71 N 710041.</w:t>
      </w:r>
    </w:p>
    <w:p w14:paraId="4AA9D24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Отв. Исп. Ви з-да № 21 Мосолов 10 июня</w:t>
      </w:r>
    </w:p>
    <w:p w14:paraId="6FF4F07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Вед. Исп. ЛИИ Миронов</w:t>
      </w:r>
    </w:p>
    <w:p w14:paraId="22B9FD0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Вед. Л з-да № 21 Мищенко (739,2).</w:t>
      </w:r>
    </w:p>
    <w:p w14:paraId="542D538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Вместо М-81 уствновлен звездообразный 18 цилиндровый мотор воздушного охлаждения М-71 № 710041 с мощностью у земли 2200 л.с. при 2400 оборотах и Рк 1050.</w:t>
      </w:r>
    </w:p>
    <w:p w14:paraId="69EB502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Винт диаметром 3,2 м с лопастями № 119А</w:t>
      </w:r>
    </w:p>
    <w:p w14:paraId="036E61F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Выхлопные патрубки перенесены в нижнюю часть капота. Вместо выхлопного коллектора установлены сдвоенные и строенные патрубки (по 4 с каждой стороны между боковыми створками капота и внутренним капотом мотора.</w:t>
      </w:r>
    </w:p>
    <w:p w14:paraId="3CB07E3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Маслорадиатор для более задней центровки перенесен назад и расположен между 3 и 5 шпангоутами в нижней части фюзеляжа.</w:t>
      </w:r>
    </w:p>
    <w:p w14:paraId="59E6129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Шасси полностью убираемое и закрываемое в убранном положении (до полнительными лопухами и обтекателями).</w:t>
      </w:r>
    </w:p>
    <w:p w14:paraId="6A64F1B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Моторама укорочена на 200 мм.</w:t>
      </w:r>
    </w:p>
    <w:p w14:paraId="3D98F94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связи с кведличением миделя мотора установлена ложная обшивка на силовую обшивку фюзеляжа. От 2 до 5 шпангоутов.</w:t>
      </w:r>
    </w:p>
    <w:p w14:paraId="309FFAC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Вооружение - аналогично серийному.</w:t>
      </w:r>
    </w:p>
    <w:p w14:paraId="0465546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Горючее 340, масло - 50, 2хСП-20 - 80, боезапас - 75 кг (340 шт). Экипаж - 90, всего 686</w:t>
      </w:r>
    </w:p>
    <w:p w14:paraId="3E64BE2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Полетный вес 3526, цт 19,3 САХ. Посадочный векс - 3106</w:t>
      </w:r>
    </w:p>
    <w:p w14:paraId="39DFAED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у земли - 610 на форсаже Зк 1050 и 2400 оборотов, на 5000 - 676, на 5500 - 685 км/час</w:t>
      </w:r>
    </w:p>
    <w:p w14:paraId="5544462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Испытания прекращены из-за выхода из строя мотора</w:t>
      </w:r>
    </w:p>
    <w:p w14:paraId="374509C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Звключение по облету Ла-5 Н-2 с М-71 (Галлай):</w:t>
      </w:r>
    </w:p>
    <w:p w14:paraId="6E952A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Резкое ухудшение продольной устойчивости - точнее - появление неустойчивости. Следует увеличить угол установки стабилизатора.</w:t>
      </w:r>
    </w:p>
    <w:p w14:paraId="6B9BB35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p w14:paraId="4F3AE45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Как и у с-та Ла-5 остается недостаточной устойчивость пути. Желательно увеличить площадь киля</w:t>
      </w:r>
    </w:p>
    <w:p w14:paraId="2156ED8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Акт от 7 июня 1943 г. Горький</w:t>
      </w:r>
    </w:p>
    <w:p w14:paraId="1EE3C4B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Составлен вед. И ОКБ Мосоловым П.В., дежурным механиком ЛЭС з-да № 21 С.Н.Рыбаковым, представителем ОКБ з-да № 19 вед. И П.Т.Кулик</w:t>
      </w:r>
    </w:p>
    <w:p w14:paraId="22FE647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 нижеследующем</w:t>
      </w:r>
    </w:p>
    <w:p w14:paraId="1460133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моторе № 710041 обнаружены следующие дефекты:</w:t>
      </w:r>
    </w:p>
    <w:p w14:paraId="44CE592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Ослабление футеровки задних свечей цилиндра № 3</w:t>
      </w:r>
    </w:p>
    <w:p w14:paraId="3B4033F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Ослабление футеровки задних свечей цилиндра № 18</w:t>
      </w:r>
    </w:p>
    <w:p w14:paraId="291781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Поломка двух пружин клапана всасывания цилиндра № 7, вызывающая надир в клапанной коробке, забоины на тарелке клапана и ролике рычага клапана</w:t>
      </w:r>
    </w:p>
    <w:p w14:paraId="05DF1A3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Перегрев цилиндра № 9</w:t>
      </w:r>
    </w:p>
    <w:p w14:paraId="5AFE6D2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Трение на втулке кожуха тяги толкателя выхлопа в головке цилиндра № 9 и отрыв шпильки крепления фланца этого же кожуха к картеру, что вызвало течб масла из указанных соединений</w:t>
      </w:r>
    </w:p>
    <w:p w14:paraId="6DAE469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Разрегулировка зазора между штоками клапанов и роликами рычагов (в сторону уыеличения)</w:t>
      </w:r>
    </w:p>
    <w:p w14:paraId="51D6C50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 Перегорела резиновая изоляция проводников задней свечи цилиндра № 11</w:t>
      </w:r>
    </w:p>
    <w:p w14:paraId="375183F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 В процессе испытаний наблюдалась периодическая тряска мотора из-за неудовлетворительной работы свечей</w:t>
      </w:r>
    </w:p>
    <w:p w14:paraId="4D40A68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Заключение:</w:t>
      </w:r>
    </w:p>
    <w:p w14:paraId="4442207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Ввиду оставшегося малого ресурса работы мотора М-71 № 710041 (6:47) до регламентированных заводом № 19 50 часов работы считать нецелесообразным производить замену дефектных узлов и устранение дефектов мотора. Мотор с самолета снять.</w:t>
      </w:r>
    </w:p>
    <w:p w14:paraId="37E3C29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Отометить, что возможную причину недоработки мотора устойчивого ресурса: плохая термоэлектроизоляция проводников к свечам передней и задней звезд и частичная эксплуатация мотора на американском топливе Б-95, пригодность которого для мотора М-71 не проверялась длительными госиспытаниями</w:t>
      </w:r>
    </w:p>
    <w:p w14:paraId="37AC89B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21 июня по 10 июля прошли дополнительные испытания. Проведено 13 полетов с налетом 5:32</w:t>
      </w:r>
    </w:p>
    <w:p w14:paraId="712B5B0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Время набора 5000 м - 4,4 при весе 3520. При наборе высоты на номинальном режиме темпаратура доходила до макс. (739,2).</w:t>
      </w:r>
    </w:p>
    <w:p w14:paraId="274F6AC4" w14:textId="77777777" w:rsidR="00531570" w:rsidRPr="00D03F3E" w:rsidRDefault="00531570" w:rsidP="00D03F3E">
      <w:pPr>
        <w:pStyle w:val="Iauiue"/>
        <w:jc w:val="both"/>
        <w:rPr>
          <w:color w:val="000000" w:themeColor="text1"/>
          <w:sz w:val="16"/>
          <w:szCs w:val="16"/>
        </w:rPr>
      </w:pPr>
    </w:p>
    <w:p w14:paraId="2CBFB19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 июня 1943 была шестая рулежка Гу-1 с подлетом до 0.2 м с щитками, опущенными на 10 гр. Произвели 30 подъемов и выпусков шасси. Ви был Фоменко (1458,152).</w:t>
      </w:r>
    </w:p>
    <w:p w14:paraId="510D36F6" w14:textId="77777777" w:rsidR="00531570" w:rsidRPr="00D03F3E" w:rsidRDefault="00531570" w:rsidP="00D03F3E">
      <w:pPr>
        <w:pStyle w:val="Iauiue"/>
        <w:jc w:val="both"/>
        <w:rPr>
          <w:color w:val="000000" w:themeColor="text1"/>
          <w:sz w:val="16"/>
          <w:szCs w:val="16"/>
        </w:rPr>
      </w:pPr>
    </w:p>
    <w:p w14:paraId="030269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10/11 июня 1943 Зам. Командующего ВВС и НКАП утвердили акт N 837 и отчет о совместных гос. и заводских испытаниях БИ конструкции Болховитинова производства завода 293 с ЖРД Д-1-А-1100 конструкции НИИ-3. Этот акт касался испытаний БИ-2 и БИ-3, которые летали 11 и 12 января и 11 и 14 марта (БИ-2) и 21 и 27 марта (БИ-3). Формально испытания начались 2 августа 1942 (2928,16).</w:t>
      </w:r>
    </w:p>
    <w:p w14:paraId="0E8E01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Заключение:</w:t>
      </w:r>
    </w:p>
    <w:p w14:paraId="78D36F2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 время испытаний ракетного самолета получены следующие данные: верт. скорость 82 м/чек., скорость на траектории 675 км/час, время набора 3000 м - 57 сек., потолок 4000 м, продолжительность работы двигателя 84 сек., дальность планирования 46.5 км., Наряду с этим выявлено, что испытанный экз. не является еще машиной, пригодной для боевого использования." (2928,21).</w:t>
      </w:r>
    </w:p>
    <w:p w14:paraId="625D5AFA" w14:textId="77777777" w:rsidR="00531570" w:rsidRPr="00D03F3E" w:rsidRDefault="00531570" w:rsidP="00D03F3E">
      <w:pPr>
        <w:pStyle w:val="Iauiue"/>
        <w:jc w:val="both"/>
        <w:rPr>
          <w:color w:val="000000" w:themeColor="text1"/>
          <w:sz w:val="16"/>
          <w:szCs w:val="16"/>
        </w:rPr>
      </w:pPr>
    </w:p>
    <w:p w14:paraId="3278213B"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459FAA4D" w14:textId="77777777" w:rsidR="00531570" w:rsidRPr="00D03F3E" w:rsidRDefault="00531570" w:rsidP="00D03F3E">
      <w:pPr>
        <w:pStyle w:val="Iauiue"/>
        <w:jc w:val="both"/>
        <w:rPr>
          <w:iCs/>
          <w:color w:val="000000" w:themeColor="text1"/>
          <w:sz w:val="16"/>
          <w:szCs w:val="16"/>
        </w:rPr>
      </w:pPr>
    </w:p>
    <w:p w14:paraId="19552BF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июня 1943 г. во исполнение решения об изготовлении 76-мм броне</w:t>
      </w:r>
      <w:r w:rsidRPr="00D03F3E">
        <w:rPr>
          <w:rFonts w:ascii="Times New Roman" w:hAnsi="Times New Roman"/>
          <w:color w:val="000000" w:themeColor="text1"/>
          <w:sz w:val="16"/>
          <w:szCs w:val="16"/>
        </w:rPr>
        <w:softHyphen/>
        <w:t>бойного снаряда, способного пробить 82-мм броню танка «Тигр» с 600 м, пленум техуправления НКВ с представителя</w:t>
      </w:r>
      <w:r w:rsidRPr="00D03F3E">
        <w:rPr>
          <w:rFonts w:ascii="Times New Roman" w:hAnsi="Times New Roman"/>
          <w:color w:val="000000" w:themeColor="text1"/>
          <w:sz w:val="16"/>
          <w:szCs w:val="16"/>
        </w:rPr>
        <w:softHyphen/>
        <w:t>ми НКБ от, отмечал следующее:</w:t>
      </w:r>
    </w:p>
    <w:p w14:paraId="738423A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настоящее время для вооружения 76-мм дивизионных и танковых пушек в производстве состоит бронебойный снаряд «с подрезами» БР-350Б. Снаряд прежнего типа, БР-350А с производства снят в виду недостаточной прочности корпуса и высокой сложности изготовления...</w:t>
      </w:r>
    </w:p>
    <w:p w14:paraId="2F57B83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БР-350Б в инертном снаряжении с усиленным пороховым зарядом позволяют достичь при стрельбе из танко</w:t>
      </w:r>
      <w:r w:rsidRPr="00D03F3E">
        <w:rPr>
          <w:rFonts w:ascii="Times New Roman" w:hAnsi="Times New Roman"/>
          <w:color w:val="000000" w:themeColor="text1"/>
          <w:sz w:val="16"/>
          <w:szCs w:val="16"/>
        </w:rPr>
        <w:softHyphen/>
        <w:t>вой пушки обр. 1941 г. нач. скорости в 700- 710 м/сек, что со</w:t>
      </w:r>
      <w:r w:rsidRPr="00D03F3E">
        <w:rPr>
          <w:rFonts w:ascii="Times New Roman" w:hAnsi="Times New Roman"/>
          <w:color w:val="000000" w:themeColor="text1"/>
          <w:sz w:val="16"/>
          <w:szCs w:val="16"/>
        </w:rPr>
        <w:softHyphen/>
        <w:t>ответствует увеличению бронепробиваемости на 7—11 мм на дистанции 400м. Однако рекомендовать широкий выпуск бое</w:t>
      </w:r>
      <w:r w:rsidRPr="00D03F3E">
        <w:rPr>
          <w:rFonts w:ascii="Times New Roman" w:hAnsi="Times New Roman"/>
          <w:color w:val="000000" w:themeColor="text1"/>
          <w:sz w:val="16"/>
          <w:szCs w:val="16"/>
        </w:rPr>
        <w:softHyphen/>
        <w:t>припасов указанного типа, управление не может. Это связано с тем, что применение выстрела указанного типа из дивизион</w:t>
      </w:r>
      <w:r w:rsidRPr="00D03F3E">
        <w:rPr>
          <w:rFonts w:ascii="Times New Roman" w:hAnsi="Times New Roman"/>
          <w:color w:val="000000" w:themeColor="text1"/>
          <w:sz w:val="16"/>
          <w:szCs w:val="16"/>
        </w:rPr>
        <w:softHyphen/>
        <w:t>ной пушки обр. 42, а также танкового орудия обр. 40/43 кате</w:t>
      </w:r>
      <w:r w:rsidRPr="00D03F3E">
        <w:rPr>
          <w:rFonts w:ascii="Times New Roman" w:hAnsi="Times New Roman"/>
          <w:color w:val="000000" w:themeColor="text1"/>
          <w:sz w:val="16"/>
          <w:szCs w:val="16"/>
        </w:rPr>
        <w:softHyphen/>
        <w:t>горически запрещено, т.к. может привести к порче матчасти и ранениям номеров расчета и экипажа танка...</w:t>
      </w:r>
    </w:p>
    <w:p w14:paraId="5343295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тем даже существующий и поступающий в войска выстрел УБР-354Б, укомплектованный снарядом БР-350БСП (сплошным) при благоприятных условиях способен пробить бор</w:t>
      </w:r>
      <w:r w:rsidRPr="00D03F3E">
        <w:rPr>
          <w:rFonts w:ascii="Times New Roman" w:hAnsi="Times New Roman"/>
          <w:color w:val="000000" w:themeColor="text1"/>
          <w:sz w:val="16"/>
          <w:szCs w:val="16"/>
        </w:rPr>
        <w:softHyphen/>
        <w:t>товую броню танка «Тигр» на дистанции до 100-200м...»</w:t>
      </w:r>
    </w:p>
    <w:p w14:paraId="5296B9A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широкий выпуск 76-мм бронебойных снарядов типа БР-350Б, осваиваемых с лета 1942 г., начался де-факто лишь в марте 1943 г. Причем, ввиду недостатка взрывчатых веществ для снаряжения его каморы, первые партии выпускались с «нейтральным снаряжением (вместо ВВ заполненные ме</w:t>
      </w:r>
      <w:r w:rsidRPr="00D03F3E">
        <w:rPr>
          <w:rFonts w:ascii="Times New Roman" w:hAnsi="Times New Roman"/>
          <w:color w:val="000000" w:themeColor="text1"/>
          <w:sz w:val="16"/>
          <w:szCs w:val="16"/>
        </w:rPr>
        <w:softHyphen/>
        <w:t>лом) или же в «сплошном» исполнении (БР-350БСП) (11135).</w:t>
      </w:r>
    </w:p>
    <w:p w14:paraId="7B5C8EC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28DE966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10 июня 1943г. была подготовлена ДОКЛАДНАЯ ЗАПИСКА И.В. СТАЛИНУ О ПОСТАВКЕ АМЕРИКАНСКОЙ САМОХОДНОЙ АРТИЛЛЕРИИ С ЕГО РЕЗОЛЮЦИЕЙ</w:t>
      </w:r>
    </w:p>
    <w:p w14:paraId="7E3DB28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 Микояну</w:t>
      </w:r>
    </w:p>
    <w:p w14:paraId="1FF6EA9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Согласен с предложениями Воронова и Федоренко, а также с предложением Яковлева о закупке 57-мм противотанковых пушек на полугусеничном автомобиле.</w:t>
      </w:r>
    </w:p>
    <w:p w14:paraId="5E918A8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Закупи!</w:t>
      </w:r>
    </w:p>
    <w:p w14:paraId="107C2C5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Сталин</w:t>
      </w:r>
    </w:p>
    <w:p w14:paraId="06BD000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сообщению наших представителей в США, американцы изготовляют в больших количествах самоходную артиллерию следующих калибров:</w:t>
      </w:r>
    </w:p>
    <w:p w14:paraId="1BB62BB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37-мм противотанковые пушки на автомашинах;</w:t>
      </w:r>
    </w:p>
    <w:p w14:paraId="36B8B16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37-мм зенитные пушки М2А1 на полугусеничных автомашинах;</w:t>
      </w:r>
    </w:p>
    <w:p w14:paraId="667B6C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57-мм противотанковые пушки на полугусеничных автомашинах, предложенные к поставке американцами в количестве 50 шт.;</w:t>
      </w:r>
    </w:p>
    <w:p w14:paraId="27F1E26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75-мм пушки на полугусеничных машинах (пушки французские);</w:t>
      </w:r>
    </w:p>
    <w:p w14:paraId="05882E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пушки (новые) на шасси среднего танка (М-10);</w:t>
      </w:r>
    </w:p>
    <w:p w14:paraId="546E2DC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105-мм гаубицы на шасси среднего танка (М-7);</w:t>
      </w:r>
    </w:p>
    <w:p w14:paraId="21DF671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90-мм зенитные пушки на шасси среднего танка (как противотанковая пушка);</w:t>
      </w:r>
    </w:p>
    <w:p w14:paraId="1281B1F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155-мм пушки на шасси среднего танка;</w:t>
      </w:r>
    </w:p>
    <w:p w14:paraId="14964DA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Пулеметы спаренные и счетверенные 50 калибра на автомашинах.</w:t>
      </w:r>
    </w:p>
    <w:p w14:paraId="652E5E4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ГАУ КАт. Яковлев считает целесообразным закупить 50 шт. 57-мм противотанковых пушек на полугусеничном автомобиле, а остальные типы самоходной артиллерии только в качестве образцов.</w:t>
      </w:r>
    </w:p>
    <w:p w14:paraId="3EE3BCB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Товарищ Федоренко просит закупить в первую очередь 90-мм зенитных пушек и 155-мм пушек, установленных на шасси среднего танка, счетверенные пулеметы 50 калибра на автомашинах в количествах до 1000 шт. каждой системы с 10-15 комплектами боеприпасов, а также 50 шт. противо</w:t>
      </w:r>
      <w:r w:rsidRPr="00D03F3E">
        <w:rPr>
          <w:rFonts w:ascii="Times New Roman" w:hAnsi="Times New Roman"/>
          <w:color w:val="000000" w:themeColor="text1"/>
          <w:sz w:val="16"/>
          <w:szCs w:val="16"/>
        </w:rPr>
        <w:softHyphen/>
        <w:t>танковых 57-мм пушек на полугусеничном автомобиле, при условии поставки их в дальнейшем не менее 500 установок.</w:t>
      </w:r>
    </w:p>
    <w:p w14:paraId="41CC443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Товарищ Воронов считает интересными для нас американские самоходные артустановки и предлагает закупить:</w:t>
      </w:r>
    </w:p>
    <w:p w14:paraId="5461327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100шт. 37-мм зенитных пушек;</w:t>
      </w:r>
    </w:p>
    <w:p w14:paraId="2FD8F1B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 шт. 57-мм противотанковых пушек (на полугусеничном автомобиле);</w:t>
      </w:r>
    </w:p>
    <w:p w14:paraId="30BCE89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 шт. 3-дюймовых пушек на шасси среднего танка М-10;</w:t>
      </w:r>
    </w:p>
    <w:p w14:paraId="5A32F7A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 шт. 90-мм зенитных пушек на шасси среднего танк;</w:t>
      </w:r>
    </w:p>
    <w:p w14:paraId="705316C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шт. 155-мм пушек на шасси среднего танка.</w:t>
      </w:r>
    </w:p>
    <w:p w14:paraId="3E9EE0E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Ваших указаний.</w:t>
      </w:r>
    </w:p>
    <w:p w14:paraId="702813A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Микоян</w:t>
      </w:r>
    </w:p>
    <w:p w14:paraId="4C86DDE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11369. Д. 68. Л. 26, 26 с об. Копия (11403).</w:t>
      </w:r>
    </w:p>
    <w:p w14:paraId="6CFC116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D3398F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июня 1943 вышло Распоряжение ГКО № 3548. О поставках материалов и литья заводам НКТМ для выполнения задания по производству горно-шахтного оборудования для угольной промышленности.РГАНИР, Фонд ГКО, д. 125, лл. 94-95, 96-98 (11012).</w:t>
      </w:r>
    </w:p>
    <w:p w14:paraId="5F8131B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A5C694E"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4640C7E7" w14:textId="77777777" w:rsidR="00531570" w:rsidRPr="00D03F3E" w:rsidRDefault="00531570" w:rsidP="00D03F3E">
      <w:pPr>
        <w:pStyle w:val="Iauiue"/>
        <w:jc w:val="both"/>
        <w:rPr>
          <w:iCs/>
          <w:color w:val="000000" w:themeColor="text1"/>
          <w:sz w:val="16"/>
          <w:szCs w:val="16"/>
        </w:rPr>
      </w:pPr>
    </w:p>
    <w:p w14:paraId="3E41B86B"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10 июня</w:t>
      </w:r>
      <w:r w:rsidRPr="00D03F3E">
        <w:rPr>
          <w:rFonts w:ascii="Times New Roman" w:hAnsi="Times New Roman"/>
          <w:color w:val="000000" w:themeColor="text1"/>
          <w:sz w:val="16"/>
          <w:szCs w:val="16"/>
        </w:rPr>
        <w:t xml:space="preserve"> в 1943 году утреннее сообщение Совинформбюро:</w:t>
      </w:r>
    </w:p>
    <w:p w14:paraId="7A4CAFFE"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течение ночи на 10 июня на фронте ничего существенного не произошло.</w:t>
      </w:r>
    </w:p>
    <w:p w14:paraId="6B089C48"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разведывательные отряды уничтожили до роты немецкой пехоты и разрушили 8 дзотов и блиндажей противника. Огнём зенитной артиллерии сбит вражеский самолёт-разведчик.</w:t>
      </w:r>
    </w:p>
    <w:p w14:paraId="44605D7C"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участке Калининского фронта подразделениями Н-ской части уничтоженоодно орудие, разрушено 6 вражеских дзотов и истреблено более 50 немецких солдат и офицеров. На нашу сторону перешли несколько солдат поляков, насильно мобилизованных гитлеровцами в немецкую армию.</w:t>
      </w:r>
    </w:p>
    <w:p w14:paraId="3FEF241B"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пехота противника при поддержке 4 танков пыталась атаковать позиции, обороняемые Н-ской частью. Артиллерийско-миномётным иружейно-пулемётным огнём гитлеровцы с большими для них потерями были отброшены на исходные позиции. Огнём из пехотного оружия наши бойцы подбили немецкий самолёт. Самолёт противника приземлился в расположении наших войск.</w:t>
      </w:r>
    </w:p>
    <w:p w14:paraId="5448F347"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Балаклеи наши артиллеристы уничтожили немецкое самоходное орудие, 4 станковых пулемёта и истребили взвод пехоты противника. Снайперы Н-ской части в течение суток уничтожили 75 гитлеровцев.</w:t>
      </w:r>
    </w:p>
    <w:p w14:paraId="0DA9D1F9"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группа разведчиков во главе с тов. Носыровым устроила засаду в тылу противника. По дороге, около которой замаскировались наши бойцы, проходил немецкий отряд. Разведчики огнём из автоматов и гранатам иистребили несколько десятков гитлеровцев и, захватив пленных, вернулись в свою часть.</w:t>
      </w:r>
    </w:p>
    <w:p w14:paraId="46E8F581"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«Смерть немецким оккупантам», действующий в Орловскойобласти, в течение нескольких дней вёл ожесточённые бои с противником. Гитлеровцы бросили против партизан крупные силы пехоты, артиллерию, танки и бронемашины. Все попытки немецких оккупантов окружить и уничтожить партизан провалились. Советские патриоты наносили противнику внезапные удары и умело уходили от преследования. В результате боёв убито и ранено свыше батальона гитлеровцев. Партизанские отряды имени Молотова и «За власть Советов» в конце маямесяца разгромили немецкие гарнизоны в двух крупных населённых пунктах. Уничтожено более 100 гитлеровцев. Взято в плен несколько солдат и два немецких офицера. Партизанами захвачено 4 пулемёта, противотанковое ружьё, миномёт и 15 тысяч патронов.</w:t>
      </w:r>
    </w:p>
    <w:p w14:paraId="721F2A9B"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Стрелок-радист 3 группы 4 немецкой эскадры бомбардировщиков Отто Зайслер, захваченный в плен в районе Новороссийска, рассказал: «Во второй половине мая нам зачитали приказ, в котором говорилось, что в некоторых авиационных соединениях лётчики, уклоняясь от выполнения боевых заданий, умышленно портили свои самолёты. Лётчики, уличенные в саботаже, приговорены к расстрелу. Гнетущее впечатление производят на лётчиков письма родных о бомбардировках англичанами западных районов Германии».</w:t>
      </w:r>
    </w:p>
    <w:p w14:paraId="30B266DC"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Близ Седлеца польские патриоты обстреляли бронебойными пулями железно-дорожный эшелон с бензином. В окрестностях Лодзи патриоты окружили немецкий карательный отряд и истребили 27 гитлеровцев. Близ Кракова партизаны совершили нападение на авторемонтные мастерские, поломали всё оборудование и сожгли свыше 40 автомашин. В этом же районе ружейным огнём сбит немецкий пассажирский самолёт.» (14918).</w:t>
      </w:r>
    </w:p>
    <w:p w14:paraId="4720C4C9" w14:textId="77777777" w:rsidR="00A167DD" w:rsidRPr="00D03F3E" w:rsidRDefault="00A167DD" w:rsidP="00D03F3E">
      <w:pPr>
        <w:spacing w:after="0" w:line="240" w:lineRule="auto"/>
        <w:jc w:val="both"/>
        <w:rPr>
          <w:rFonts w:ascii="Times New Roman" w:hAnsi="Times New Roman"/>
          <w:color w:val="000000" w:themeColor="text1"/>
          <w:sz w:val="16"/>
          <w:szCs w:val="16"/>
        </w:rPr>
      </w:pPr>
    </w:p>
    <w:p w14:paraId="4F2A3C12"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10 июня</w:t>
      </w:r>
      <w:r w:rsidRPr="00D03F3E">
        <w:rPr>
          <w:rFonts w:ascii="Times New Roman" w:hAnsi="Times New Roman"/>
          <w:color w:val="000000" w:themeColor="text1"/>
          <w:sz w:val="16"/>
          <w:szCs w:val="16"/>
        </w:rPr>
        <w:t xml:space="preserve"> в 1943 году вечернее сообщение Совинформбюро:</w:t>
      </w:r>
    </w:p>
    <w:p w14:paraId="224F4B58"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10 июня на фронте существенных изменений не произошло.</w:t>
      </w:r>
    </w:p>
    <w:p w14:paraId="570A2969"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июня частями нашей авиации на различных участках фронта уничтожено или повреждено не менее 20 автомашин с войсками и грузами, взорвано 7 складов боеприпасов, подавлен огонь 3 артиллерийских батарей, потоплены торпедный и два сторожевых катера противника.</w:t>
      </w:r>
    </w:p>
    <w:p w14:paraId="3BE3950F"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истребили более роты немецкой пехоты, разбили 6 пулемётов и уничтожили 2 артиллерийские батареи противника. На одном участке наши подразделения при поддержке артиллерийского и миномётного огня боем разведали немецкие позиции. Уничтожено до 50 вражеских солдат и офицеров, взяты пленные.</w:t>
      </w:r>
    </w:p>
    <w:p w14:paraId="24DA3A37"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в воздушных боях сбили 8 немецких истребителей.</w:t>
      </w:r>
    </w:p>
    <w:p w14:paraId="62F81AAF"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противник силою до полка пехоты при поддержке танков атаковал наши позиции. Вначале гитлеровцам удалось несколько потеснить наши передовые подразделения. Контрударом наших бойцов немцы были отброшены. В результате боя противник потерял убитыми до 300 солдат и офицеров. Подбито 5 немецких танков.</w:t>
      </w:r>
    </w:p>
    <w:p w14:paraId="63248915"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Лётчики-истребители Н-ской части посадили на советской территории вражеский самолёт. Немецкие лётчики взяты в плен.</w:t>
      </w:r>
    </w:p>
    <w:p w14:paraId="0BABDED9"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районе Севска наша разведка обнаружила у переднего края противника большую группу немецких офицеров. Артиллеристы Н-ской части открыли огонь и несколькими залпами рассеяли и частью уничтожили эту группу офицеров противника. На другом участке артиллерийским огнём взорван склад боеприпасов, подбито 2 танка и рассеяно до двух рот немецкой пехоты.</w:t>
      </w:r>
    </w:p>
    <w:p w14:paraId="5B90D3BE"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подразделения уничтожили до 150 вражеских солдат и офицеров. Огнём артиллерии и миномётов разрушено 14 дзотов, 10 пулемётных точек, 8 блиндажей и землянок, взорвано 2 склада боеприпасов и уничтожено 17 автомашин противника.</w:t>
      </w:r>
    </w:p>
    <w:p w14:paraId="5E18009B"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из участков Карельского фронта тремя группами пехоты противник атаковал позиции Н-ской части. Контратакой наших подразделений вражеская пехота была отброшена на исходные позиции. В результате боя уничтожено до 200 солдат и офицеров противника.</w:t>
      </w:r>
    </w:p>
    <w:p w14:paraId="59DC1951"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Группа партизан отряда, действующего в Минской области, напала на немецкую колонну и уничтожила 47 гитлеровцев. Партизанами захвачено 3 станковых пулемёта, 39 винтовок и много патронов. Партизаны отряда «Смерть фашизму» сожгли 2 немецких танка и истребили 70 гитлеровцев. Партизанский отряд «Красное знамя» за </w:t>
      </w:r>
      <w:r w:rsidRPr="00D03F3E">
        <w:rPr>
          <w:rFonts w:ascii="Times New Roman" w:hAnsi="Times New Roman"/>
          <w:color w:val="000000" w:themeColor="text1"/>
          <w:sz w:val="16"/>
          <w:szCs w:val="16"/>
        </w:rPr>
        <w:lastRenderedPageBreak/>
        <w:t>один день пустил под откос 2 немецких воинских поезда. Разбито 2 паровоза и 47 вагонов и платформ. В крупном населённом пункте партизаны сожгли 12 складов с сеном и зерном, заготовленными гитлеровцами для отправки в Германию.</w:t>
      </w:r>
    </w:p>
    <w:p w14:paraId="6BC41E8D"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партизан немецкий солдат из 102 резервного батальона Курт В. рассказал: «Резервный батальон находился в тылу и в боях не участвовал. Он укомплектован пожилыми солдатами, которым война уже давно надоела. Солдаты боятся, что если война затянется, то и наш батальон пошлют на передовые позиции. Год назад мы были твёрдо убеждены, что Германия победит. Теперь такой уверенности ни у кого нет. После долгого раздумья я решил перейти к русским. До линии фронта было далеко. Этот путь мне казался рискованным, я пошёл к партизанам и сдался в плен. Три недели я ходил вместе с партизанами и убедился, что в этом районе они являются полными хозяевами положения. Вскоре партизаны переправили меня в штаб советской воинской части» (14918).</w:t>
      </w:r>
    </w:p>
    <w:p w14:paraId="5DD4F72A" w14:textId="77777777" w:rsidR="00A167DD" w:rsidRPr="00D03F3E" w:rsidRDefault="00A167DD" w:rsidP="00D03F3E">
      <w:pPr>
        <w:spacing w:after="0" w:line="240" w:lineRule="auto"/>
        <w:jc w:val="both"/>
        <w:rPr>
          <w:rFonts w:ascii="Times New Roman" w:hAnsi="Times New Roman"/>
          <w:color w:val="000000" w:themeColor="text1"/>
          <w:sz w:val="16"/>
          <w:szCs w:val="16"/>
        </w:rPr>
      </w:pPr>
    </w:p>
    <w:p w14:paraId="4E1AEE7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июня 1943 значительные потери штурмовиков и бомбардировщиков объяс</w:t>
      </w:r>
      <w:r w:rsidRPr="00D03F3E">
        <w:rPr>
          <w:rFonts w:ascii="Times New Roman" w:hAnsi="Times New Roman"/>
          <w:color w:val="000000" w:themeColor="text1"/>
          <w:sz w:val="16"/>
          <w:szCs w:val="16"/>
        </w:rPr>
        <w:softHyphen/>
        <w:t>нялись не только ошибками истреби</w:t>
      </w:r>
      <w:r w:rsidRPr="00D03F3E">
        <w:rPr>
          <w:rFonts w:ascii="Times New Roman" w:hAnsi="Times New Roman"/>
          <w:color w:val="000000" w:themeColor="text1"/>
          <w:sz w:val="16"/>
          <w:szCs w:val="16"/>
        </w:rPr>
        <w:softHyphen/>
        <w:t>телей сопровождения. Истребители-блокировщики проявили недисциплини</w:t>
      </w:r>
      <w:r w:rsidRPr="00D03F3E">
        <w:rPr>
          <w:rFonts w:ascii="Times New Roman" w:hAnsi="Times New Roman"/>
          <w:color w:val="000000" w:themeColor="text1"/>
          <w:sz w:val="16"/>
          <w:szCs w:val="16"/>
        </w:rPr>
        <w:softHyphen/>
        <w:t>рованность, не выполнив поставленную задачу - прикрыть район действия штурмовиков. Они устремились за груп</w:t>
      </w:r>
      <w:r w:rsidRPr="00D03F3E">
        <w:rPr>
          <w:rFonts w:ascii="Times New Roman" w:hAnsi="Times New Roman"/>
          <w:color w:val="000000" w:themeColor="text1"/>
          <w:sz w:val="16"/>
          <w:szCs w:val="16"/>
        </w:rPr>
        <w:softHyphen/>
        <w:t>пой Пе-2, которая должна была нане</w:t>
      </w:r>
      <w:r w:rsidRPr="00D03F3E">
        <w:rPr>
          <w:rFonts w:ascii="Times New Roman" w:hAnsi="Times New Roman"/>
          <w:color w:val="000000" w:themeColor="text1"/>
          <w:sz w:val="16"/>
          <w:szCs w:val="16"/>
        </w:rPr>
        <w:softHyphen/>
        <w:t>сти упреждающий удар по аэродрому, но на цель не вышла, а лишь всполо</w:t>
      </w:r>
      <w:r w:rsidRPr="00D03F3E">
        <w:rPr>
          <w:rFonts w:ascii="Times New Roman" w:hAnsi="Times New Roman"/>
          <w:color w:val="000000" w:themeColor="text1"/>
          <w:sz w:val="16"/>
          <w:szCs w:val="16"/>
        </w:rPr>
        <w:softHyphen/>
        <w:t>шила противника, и он привел в пол</w:t>
      </w:r>
      <w:r w:rsidRPr="00D03F3E">
        <w:rPr>
          <w:rFonts w:ascii="Times New Roman" w:hAnsi="Times New Roman"/>
          <w:color w:val="000000" w:themeColor="text1"/>
          <w:sz w:val="16"/>
          <w:szCs w:val="16"/>
        </w:rPr>
        <w:softHyphen/>
        <w:t>ную готовность все силы ПВО.</w:t>
      </w:r>
    </w:p>
    <w:p w14:paraId="7A3BD7E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Сами же штурмовики в момент пер</w:t>
      </w:r>
      <w:r w:rsidRPr="00D03F3E">
        <w:rPr>
          <w:rFonts w:ascii="Times New Roman" w:hAnsi="Times New Roman"/>
          <w:color w:val="000000" w:themeColor="text1"/>
          <w:sz w:val="16"/>
          <w:szCs w:val="16"/>
        </w:rPr>
        <w:softHyphen/>
        <w:t>вой атаки немецких истребителей на отходе от аэродрома не сумели органи</w:t>
      </w:r>
      <w:r w:rsidRPr="00D03F3E">
        <w:rPr>
          <w:rFonts w:ascii="Times New Roman" w:hAnsi="Times New Roman"/>
          <w:color w:val="000000" w:themeColor="text1"/>
          <w:sz w:val="16"/>
          <w:szCs w:val="16"/>
        </w:rPr>
        <w:softHyphen/>
        <w:t>зовать групповой оборонительный бой.</w:t>
      </w:r>
    </w:p>
    <w:p w14:paraId="64D7608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полноты картины остается толь</w:t>
      </w:r>
      <w:r w:rsidRPr="00D03F3E">
        <w:rPr>
          <w:rFonts w:ascii="Times New Roman" w:hAnsi="Times New Roman"/>
          <w:color w:val="000000" w:themeColor="text1"/>
          <w:sz w:val="16"/>
          <w:szCs w:val="16"/>
        </w:rPr>
        <w:softHyphen/>
        <w:t>ко добавить, что радиосвязь в полете между группами штурмовиков и истре</w:t>
      </w:r>
      <w:r w:rsidRPr="00D03F3E">
        <w:rPr>
          <w:rFonts w:ascii="Times New Roman" w:hAnsi="Times New Roman"/>
          <w:color w:val="000000" w:themeColor="text1"/>
          <w:sz w:val="16"/>
          <w:szCs w:val="16"/>
        </w:rPr>
        <w:softHyphen/>
        <w:t>бителей налажена не была.</w:t>
      </w:r>
    </w:p>
    <w:p w14:paraId="359E4B1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Были найдены и виновники. Если в отношении потери 9 Пе-2 от 6-го </w:t>
      </w:r>
      <w:r w:rsidRPr="00D03F3E">
        <w:rPr>
          <w:rFonts w:ascii="Times New Roman" w:hAnsi="Times New Roman"/>
          <w:iCs/>
          <w:color w:val="000000" w:themeColor="text1"/>
          <w:sz w:val="16"/>
          <w:szCs w:val="16"/>
        </w:rPr>
        <w:t xml:space="preserve">бап </w:t>
      </w:r>
      <w:r w:rsidRPr="00D03F3E">
        <w:rPr>
          <w:rFonts w:ascii="Times New Roman" w:hAnsi="Times New Roman"/>
          <w:color w:val="000000" w:themeColor="text1"/>
          <w:sz w:val="16"/>
          <w:szCs w:val="16"/>
        </w:rPr>
        <w:t>штаб 1-й ВА, наряду с "плохим" со</w:t>
      </w:r>
      <w:r w:rsidRPr="00D03F3E">
        <w:rPr>
          <w:rFonts w:ascii="Times New Roman" w:hAnsi="Times New Roman"/>
          <w:color w:val="000000" w:themeColor="text1"/>
          <w:sz w:val="16"/>
          <w:szCs w:val="16"/>
        </w:rPr>
        <w:softHyphen/>
        <w:t>провождением прикрывающих истреби</w:t>
      </w:r>
      <w:r w:rsidRPr="00D03F3E">
        <w:rPr>
          <w:rFonts w:ascii="Times New Roman" w:hAnsi="Times New Roman"/>
          <w:color w:val="000000" w:themeColor="text1"/>
          <w:sz w:val="16"/>
          <w:szCs w:val="16"/>
        </w:rPr>
        <w:softHyphen/>
        <w:t xml:space="preserve">телей, допускал </w:t>
      </w:r>
      <w:r w:rsidRPr="00D03F3E">
        <w:rPr>
          <w:rFonts w:ascii="Times New Roman" w:hAnsi="Times New Roman"/>
          <w:iCs/>
          <w:color w:val="000000" w:themeColor="text1"/>
          <w:sz w:val="16"/>
          <w:szCs w:val="16"/>
        </w:rPr>
        <w:t xml:space="preserve">"тактическую ошибку" </w:t>
      </w:r>
      <w:r w:rsidRPr="00D03F3E">
        <w:rPr>
          <w:rFonts w:ascii="Times New Roman" w:hAnsi="Times New Roman"/>
          <w:color w:val="000000" w:themeColor="text1"/>
          <w:sz w:val="16"/>
          <w:szCs w:val="16"/>
        </w:rPr>
        <w:t xml:space="preserve">ведущего группы бомбардировщиков майора Агеева, который </w:t>
      </w:r>
      <w:r w:rsidRPr="00D03F3E">
        <w:rPr>
          <w:rFonts w:ascii="Times New Roman" w:hAnsi="Times New Roman"/>
          <w:iCs/>
          <w:color w:val="000000" w:themeColor="text1"/>
          <w:sz w:val="16"/>
          <w:szCs w:val="16"/>
        </w:rPr>
        <w:t>"после бом</w:t>
      </w:r>
      <w:r w:rsidRPr="00D03F3E">
        <w:rPr>
          <w:rFonts w:ascii="Times New Roman" w:hAnsi="Times New Roman"/>
          <w:iCs/>
          <w:color w:val="000000" w:themeColor="text1"/>
          <w:sz w:val="16"/>
          <w:szCs w:val="16"/>
        </w:rPr>
        <w:softHyphen/>
        <w:t xml:space="preserve">бометания уклонился от маршрута и вышел из зоны общего прикрытия", </w:t>
      </w:r>
      <w:r w:rsidRPr="00D03F3E">
        <w:rPr>
          <w:rFonts w:ascii="Times New Roman" w:hAnsi="Times New Roman"/>
          <w:color w:val="000000" w:themeColor="text1"/>
          <w:sz w:val="16"/>
          <w:szCs w:val="16"/>
        </w:rPr>
        <w:t xml:space="preserve">то в отношении гибели штурмовиков 224-й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 xml:space="preserve">мнение было однозначным. Штаб 1-й ВА считал, что: </w:t>
      </w:r>
      <w:r w:rsidRPr="00D03F3E">
        <w:rPr>
          <w:rFonts w:ascii="Times New Roman" w:hAnsi="Times New Roman"/>
          <w:iCs/>
          <w:color w:val="000000" w:themeColor="text1"/>
          <w:sz w:val="16"/>
          <w:szCs w:val="16"/>
        </w:rPr>
        <w:t>"...Невозвра</w:t>
      </w:r>
      <w:r w:rsidRPr="00D03F3E">
        <w:rPr>
          <w:rFonts w:ascii="Times New Roman" w:hAnsi="Times New Roman"/>
          <w:iCs/>
          <w:color w:val="000000" w:themeColor="text1"/>
          <w:sz w:val="16"/>
          <w:szCs w:val="16"/>
        </w:rPr>
        <w:softHyphen/>
        <w:t>щение 18 Ил-2 является прямым след</w:t>
      </w:r>
      <w:r w:rsidRPr="00D03F3E">
        <w:rPr>
          <w:rFonts w:ascii="Times New Roman" w:hAnsi="Times New Roman"/>
          <w:iCs/>
          <w:color w:val="000000" w:themeColor="text1"/>
          <w:sz w:val="16"/>
          <w:szCs w:val="16"/>
        </w:rPr>
        <w:softHyphen/>
        <w:t>ствием преступных действий истреби</w:t>
      </w:r>
      <w:r w:rsidRPr="00D03F3E">
        <w:rPr>
          <w:rFonts w:ascii="Times New Roman" w:hAnsi="Times New Roman"/>
          <w:iCs/>
          <w:color w:val="000000" w:themeColor="text1"/>
          <w:sz w:val="16"/>
          <w:szCs w:val="16"/>
        </w:rPr>
        <w:softHyphen/>
        <w:t>телей прикрытия. Ввязавшись в воздуш</w:t>
      </w:r>
      <w:r w:rsidRPr="00D03F3E">
        <w:rPr>
          <w:rFonts w:ascii="Times New Roman" w:hAnsi="Times New Roman"/>
          <w:iCs/>
          <w:color w:val="000000" w:themeColor="text1"/>
          <w:sz w:val="16"/>
          <w:szCs w:val="16"/>
        </w:rPr>
        <w:softHyphen/>
        <w:t>ный бой с одиночными истребителями противника, наши истребители попро</w:t>
      </w:r>
      <w:r w:rsidRPr="00D03F3E">
        <w:rPr>
          <w:rFonts w:ascii="Times New Roman" w:hAnsi="Times New Roman"/>
          <w:iCs/>
          <w:color w:val="000000" w:themeColor="text1"/>
          <w:sz w:val="16"/>
          <w:szCs w:val="16"/>
        </w:rPr>
        <w:softHyphen/>
        <w:t>сту бросили штурмовиков, а потом потеряли их из виду и не встретили на обратном маршруте в указанном мес</w:t>
      </w:r>
      <w:r w:rsidRPr="00D03F3E">
        <w:rPr>
          <w:rFonts w:ascii="Times New Roman" w:hAnsi="Times New Roman"/>
          <w:iCs/>
          <w:color w:val="000000" w:themeColor="text1"/>
          <w:sz w:val="16"/>
          <w:szCs w:val="16"/>
        </w:rPr>
        <w:softHyphen/>
        <w:t xml:space="preserve">те сбора". </w:t>
      </w:r>
      <w:r w:rsidRPr="00D03F3E">
        <w:rPr>
          <w:rFonts w:ascii="Times New Roman" w:hAnsi="Times New Roman"/>
          <w:color w:val="000000" w:themeColor="text1"/>
          <w:sz w:val="16"/>
          <w:szCs w:val="16"/>
        </w:rPr>
        <w:t>Исходя из этого, главным виновником произошедшего был "на</w:t>
      </w:r>
      <w:r w:rsidRPr="00D03F3E">
        <w:rPr>
          <w:rFonts w:ascii="Times New Roman" w:hAnsi="Times New Roman"/>
          <w:color w:val="000000" w:themeColor="text1"/>
          <w:sz w:val="16"/>
          <w:szCs w:val="16"/>
        </w:rPr>
        <w:softHyphen/>
        <w:t xml:space="preserve">значен" командир 168-го </w:t>
      </w:r>
      <w:r w:rsidRPr="00D03F3E">
        <w:rPr>
          <w:rFonts w:ascii="Times New Roman" w:hAnsi="Times New Roman"/>
          <w:iCs/>
          <w:color w:val="000000" w:themeColor="text1"/>
          <w:sz w:val="16"/>
          <w:szCs w:val="16"/>
        </w:rPr>
        <w:t>иап: "...Под</w:t>
      </w:r>
      <w:r w:rsidRPr="00D03F3E">
        <w:rPr>
          <w:rFonts w:ascii="Times New Roman" w:hAnsi="Times New Roman"/>
          <w:iCs/>
          <w:color w:val="000000" w:themeColor="text1"/>
          <w:sz w:val="16"/>
          <w:szCs w:val="16"/>
        </w:rPr>
        <w:softHyphen/>
        <w:t>полковник Пильщиков не проявил на</w:t>
      </w:r>
      <w:r w:rsidRPr="00D03F3E">
        <w:rPr>
          <w:rFonts w:ascii="Times New Roman" w:hAnsi="Times New Roman"/>
          <w:iCs/>
          <w:color w:val="000000" w:themeColor="text1"/>
          <w:sz w:val="16"/>
          <w:szCs w:val="16"/>
        </w:rPr>
        <w:softHyphen/>
        <w:t>стойчивости и командирской воли, не заставил подчиненных выполнить бое</w:t>
      </w:r>
      <w:r w:rsidRPr="00D03F3E">
        <w:rPr>
          <w:rFonts w:ascii="Times New Roman" w:hAnsi="Times New Roman"/>
          <w:iCs/>
          <w:color w:val="000000" w:themeColor="text1"/>
          <w:sz w:val="16"/>
          <w:szCs w:val="16"/>
        </w:rPr>
        <w:softHyphen/>
        <w:t>вой приказ, а вместо этого сам ушел к своей группе и вернулся- на аэродром, не интересуясь судьбой штурмовиков ".</w:t>
      </w:r>
    </w:p>
    <w:p w14:paraId="14B3B8D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Мнение специальной комиссии ВВС КА, которая также расследовала про</w:t>
      </w:r>
      <w:r w:rsidRPr="00D03F3E">
        <w:rPr>
          <w:rFonts w:ascii="Times New Roman" w:hAnsi="Times New Roman"/>
          <w:color w:val="000000" w:themeColor="text1"/>
          <w:sz w:val="16"/>
          <w:szCs w:val="16"/>
        </w:rPr>
        <w:softHyphen/>
        <w:t>изошедшее, было совершенно иным.</w:t>
      </w:r>
    </w:p>
    <w:p w14:paraId="4DC6601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свидетельству участвовавшего в работе комиссии генерала Б. В. Стер</w:t>
      </w:r>
      <w:r w:rsidRPr="00D03F3E">
        <w:rPr>
          <w:rFonts w:ascii="Times New Roman" w:hAnsi="Times New Roman"/>
          <w:color w:val="000000" w:themeColor="text1"/>
          <w:sz w:val="16"/>
          <w:szCs w:val="16"/>
        </w:rPr>
        <w:softHyphen/>
        <w:t>лигова (в то время главный штурман ВВС КА) большие потери штурмовиков и бомбардировщиков частей 1-й ВА произошли по вине штаба 1-й ВА, не сумевшего обеспечить правильное в ос</w:t>
      </w:r>
      <w:r w:rsidRPr="00D03F3E">
        <w:rPr>
          <w:rFonts w:ascii="Times New Roman" w:hAnsi="Times New Roman"/>
          <w:color w:val="000000" w:themeColor="text1"/>
          <w:sz w:val="16"/>
          <w:szCs w:val="16"/>
        </w:rPr>
        <w:softHyphen/>
        <w:t>новном решение командующего арми</w:t>
      </w:r>
      <w:r w:rsidRPr="00D03F3E">
        <w:rPr>
          <w:rFonts w:ascii="Times New Roman" w:hAnsi="Times New Roman"/>
          <w:color w:val="000000" w:themeColor="text1"/>
          <w:sz w:val="16"/>
          <w:szCs w:val="16"/>
        </w:rPr>
        <w:softHyphen/>
        <w:t>ей генерала М.М. Громова. Началь</w:t>
      </w:r>
      <w:r w:rsidRPr="00D03F3E">
        <w:rPr>
          <w:rFonts w:ascii="Times New Roman" w:hAnsi="Times New Roman"/>
          <w:color w:val="000000" w:themeColor="text1"/>
          <w:sz w:val="16"/>
          <w:szCs w:val="16"/>
        </w:rPr>
        <w:softHyphen/>
        <w:t>ник штаба 1-й воздушной армии гене</w:t>
      </w:r>
      <w:r w:rsidRPr="00D03F3E">
        <w:rPr>
          <w:rFonts w:ascii="Times New Roman" w:hAnsi="Times New Roman"/>
          <w:color w:val="000000" w:themeColor="text1"/>
          <w:sz w:val="16"/>
          <w:szCs w:val="16"/>
        </w:rPr>
        <w:softHyphen/>
        <w:t>рал-майор А.С. Пронин не только не поставил задачу по штурманской под</w:t>
      </w:r>
      <w:r w:rsidRPr="00D03F3E">
        <w:rPr>
          <w:rFonts w:ascii="Times New Roman" w:hAnsi="Times New Roman"/>
          <w:color w:val="000000" w:themeColor="text1"/>
          <w:sz w:val="16"/>
          <w:szCs w:val="16"/>
        </w:rPr>
        <w:softHyphen/>
        <w:t>готовке операции главному штурману армии полковнику К. Ф. Олехновичу, но даже не известил его о ней. В результате никакого штурманского рас</w:t>
      </w:r>
      <w:r w:rsidRPr="00D03F3E">
        <w:rPr>
          <w:rFonts w:ascii="Times New Roman" w:hAnsi="Times New Roman"/>
          <w:color w:val="000000" w:themeColor="text1"/>
          <w:sz w:val="16"/>
          <w:szCs w:val="16"/>
        </w:rPr>
        <w:softHyphen/>
        <w:t>чета операции проведено не было. Ди</w:t>
      </w:r>
      <w:r w:rsidRPr="00D03F3E">
        <w:rPr>
          <w:rFonts w:ascii="Times New Roman" w:hAnsi="Times New Roman"/>
          <w:color w:val="000000" w:themeColor="text1"/>
          <w:sz w:val="16"/>
          <w:szCs w:val="16"/>
        </w:rPr>
        <w:softHyphen/>
        <w:t>ректива и плановая таблица взаимо</w:t>
      </w:r>
      <w:r w:rsidRPr="00D03F3E">
        <w:rPr>
          <w:rFonts w:ascii="Times New Roman" w:hAnsi="Times New Roman"/>
          <w:color w:val="000000" w:themeColor="text1"/>
          <w:sz w:val="16"/>
          <w:szCs w:val="16"/>
        </w:rPr>
        <w:softHyphen/>
        <w:t>действия, подготовленные оперативным отделом штаба армии, не содержали четких данных о порядке взаимодей</w:t>
      </w:r>
      <w:r w:rsidRPr="00D03F3E">
        <w:rPr>
          <w:rFonts w:ascii="Times New Roman" w:hAnsi="Times New Roman"/>
          <w:color w:val="000000" w:themeColor="text1"/>
          <w:sz w:val="16"/>
          <w:szCs w:val="16"/>
        </w:rPr>
        <w:softHyphen/>
        <w:t>ствия и сборе бомбардировщиков и штурмовиков в группы после удара и о встрече со своими истребителями.</w:t>
      </w:r>
    </w:p>
    <w:p w14:paraId="4E60A88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Например, в приказах истребитель</w:t>
      </w:r>
      <w:r w:rsidRPr="00D03F3E">
        <w:rPr>
          <w:rFonts w:ascii="Times New Roman" w:hAnsi="Times New Roman"/>
          <w:color w:val="000000" w:themeColor="text1"/>
          <w:sz w:val="16"/>
          <w:szCs w:val="16"/>
        </w:rPr>
        <w:softHyphen/>
        <w:t xml:space="preserve">ных авиаполков 303-й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на выпол</w:t>
      </w:r>
      <w:r w:rsidRPr="00D03F3E">
        <w:rPr>
          <w:rFonts w:ascii="Times New Roman" w:hAnsi="Times New Roman"/>
          <w:color w:val="000000" w:themeColor="text1"/>
          <w:sz w:val="16"/>
          <w:szCs w:val="16"/>
        </w:rPr>
        <w:softHyphen/>
        <w:t>нение боевой задачи по сопровожде</w:t>
      </w:r>
      <w:r w:rsidRPr="00D03F3E">
        <w:rPr>
          <w:rFonts w:ascii="Times New Roman" w:hAnsi="Times New Roman"/>
          <w:color w:val="000000" w:themeColor="text1"/>
          <w:sz w:val="16"/>
          <w:szCs w:val="16"/>
        </w:rPr>
        <w:softHyphen/>
        <w:t xml:space="preserve">нию штурмовиков 224-й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10 июня четко указаны маршруты полета к цели и обратно: Сухиничи-Старь-Меркуль-ево-Цель и Цель-Козельск. Личной до</w:t>
      </w:r>
      <w:r w:rsidRPr="00D03F3E">
        <w:rPr>
          <w:rFonts w:ascii="Times New Roman" w:hAnsi="Times New Roman"/>
          <w:color w:val="000000" w:themeColor="text1"/>
          <w:sz w:val="16"/>
          <w:szCs w:val="16"/>
        </w:rPr>
        <w:softHyphen/>
        <w:t>говоренностью ведущих групп истре</w:t>
      </w:r>
      <w:r w:rsidRPr="00D03F3E">
        <w:rPr>
          <w:rFonts w:ascii="Times New Roman" w:hAnsi="Times New Roman"/>
          <w:color w:val="000000" w:themeColor="text1"/>
          <w:sz w:val="16"/>
          <w:szCs w:val="16"/>
        </w:rPr>
        <w:softHyphen/>
        <w:t>бителей и штурмовиков разрешалось определить порядок взлета и сбора, боевой порядок на маршруте и взаи</w:t>
      </w:r>
      <w:r w:rsidRPr="00D03F3E">
        <w:rPr>
          <w:rFonts w:ascii="Times New Roman" w:hAnsi="Times New Roman"/>
          <w:color w:val="000000" w:themeColor="text1"/>
          <w:sz w:val="16"/>
          <w:szCs w:val="16"/>
        </w:rPr>
        <w:softHyphen/>
        <w:t xml:space="preserve">модействие групп при отражении атак истребителей противника. То есть иской командира 303-й </w:t>
      </w:r>
      <w:r w:rsidRPr="00D03F3E">
        <w:rPr>
          <w:rFonts w:ascii="Times New Roman" w:hAnsi="Times New Roman"/>
          <w:iCs/>
          <w:color w:val="000000" w:themeColor="text1"/>
          <w:sz w:val="16"/>
          <w:szCs w:val="16"/>
        </w:rPr>
        <w:t xml:space="preserve">иад </w:t>
      </w:r>
      <w:r w:rsidRPr="00D03F3E">
        <w:rPr>
          <w:rFonts w:ascii="Times New Roman" w:hAnsi="Times New Roman"/>
          <w:color w:val="000000" w:themeColor="text1"/>
          <w:sz w:val="16"/>
          <w:szCs w:val="16"/>
        </w:rPr>
        <w:t>генерал-май</w:t>
      </w:r>
      <w:r w:rsidRPr="00D03F3E">
        <w:rPr>
          <w:rFonts w:ascii="Times New Roman" w:hAnsi="Times New Roman"/>
          <w:color w:val="000000" w:themeColor="text1"/>
          <w:sz w:val="16"/>
          <w:szCs w:val="16"/>
        </w:rPr>
        <w:softHyphen/>
        <w:t>ора Г. Н. Захарова и его штаба, по</w:t>
      </w:r>
      <w:r w:rsidRPr="00D03F3E">
        <w:rPr>
          <w:rFonts w:ascii="Times New Roman" w:hAnsi="Times New Roman"/>
          <w:color w:val="000000" w:themeColor="text1"/>
          <w:sz w:val="16"/>
          <w:szCs w:val="16"/>
        </w:rPr>
        <w:softHyphen/>
        <w:t xml:space="preserve">скольку именно командир 303-й </w:t>
      </w:r>
      <w:r w:rsidRPr="00D03F3E">
        <w:rPr>
          <w:rFonts w:ascii="Times New Roman" w:hAnsi="Times New Roman"/>
          <w:iCs/>
          <w:color w:val="000000" w:themeColor="text1"/>
          <w:sz w:val="16"/>
          <w:szCs w:val="16"/>
        </w:rPr>
        <w:t xml:space="preserve">иад </w:t>
      </w:r>
      <w:r w:rsidRPr="00D03F3E">
        <w:rPr>
          <w:rFonts w:ascii="Times New Roman" w:hAnsi="Times New Roman"/>
          <w:color w:val="000000" w:themeColor="text1"/>
          <w:sz w:val="16"/>
          <w:szCs w:val="16"/>
        </w:rPr>
        <w:t>лично отвечал за организацию взаи</w:t>
      </w:r>
      <w:r w:rsidRPr="00D03F3E">
        <w:rPr>
          <w:rFonts w:ascii="Times New Roman" w:hAnsi="Times New Roman"/>
          <w:color w:val="000000" w:themeColor="text1"/>
          <w:sz w:val="16"/>
          <w:szCs w:val="16"/>
        </w:rPr>
        <w:softHyphen/>
        <w:t>модействия истребителей и штурмови</w:t>
      </w:r>
      <w:r w:rsidRPr="00D03F3E">
        <w:rPr>
          <w:rFonts w:ascii="Times New Roman" w:hAnsi="Times New Roman"/>
          <w:color w:val="000000" w:themeColor="text1"/>
          <w:sz w:val="16"/>
          <w:szCs w:val="16"/>
        </w:rPr>
        <w:softHyphen/>
        <w:t>ков. Частично вину необходимо воз</w:t>
      </w:r>
      <w:r w:rsidRPr="00D03F3E">
        <w:rPr>
          <w:rFonts w:ascii="Times New Roman" w:hAnsi="Times New Roman"/>
          <w:color w:val="000000" w:themeColor="text1"/>
          <w:sz w:val="16"/>
          <w:szCs w:val="16"/>
        </w:rPr>
        <w:softHyphen/>
        <w:t xml:space="preserve">ложить и на командира 224-й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пол</w:t>
      </w:r>
      <w:r w:rsidRPr="00D03F3E">
        <w:rPr>
          <w:rFonts w:ascii="Times New Roman" w:hAnsi="Times New Roman"/>
          <w:color w:val="000000" w:themeColor="text1"/>
          <w:sz w:val="16"/>
          <w:szCs w:val="16"/>
        </w:rPr>
        <w:softHyphen/>
        <w:t>ковника М. В. Котельникова и его штаб. Причастна к этому и оперативная груп</w:t>
      </w:r>
      <w:r w:rsidRPr="00D03F3E">
        <w:rPr>
          <w:rFonts w:ascii="Times New Roman" w:hAnsi="Times New Roman"/>
          <w:color w:val="000000" w:themeColor="text1"/>
          <w:sz w:val="16"/>
          <w:szCs w:val="16"/>
        </w:rPr>
        <w:softHyphen/>
        <w:t>па штаба 1-й ВА во главе с замести</w:t>
      </w:r>
      <w:r w:rsidRPr="00D03F3E">
        <w:rPr>
          <w:rFonts w:ascii="Times New Roman" w:hAnsi="Times New Roman"/>
          <w:color w:val="000000" w:themeColor="text1"/>
          <w:sz w:val="16"/>
          <w:szCs w:val="16"/>
        </w:rPr>
        <w:softHyphen/>
        <w:t>телем командующего армией генера</w:t>
      </w:r>
      <w:r w:rsidRPr="00D03F3E">
        <w:rPr>
          <w:rFonts w:ascii="Times New Roman" w:hAnsi="Times New Roman"/>
          <w:color w:val="000000" w:themeColor="text1"/>
          <w:sz w:val="16"/>
          <w:szCs w:val="16"/>
        </w:rPr>
        <w:softHyphen/>
        <w:t>лом А. Г. Богородецким, которая при</w:t>
      </w:r>
      <w:r w:rsidRPr="00D03F3E">
        <w:rPr>
          <w:rFonts w:ascii="Times New Roman" w:hAnsi="Times New Roman"/>
          <w:color w:val="000000" w:themeColor="text1"/>
          <w:sz w:val="16"/>
          <w:szCs w:val="16"/>
        </w:rPr>
        <w:softHyphen/>
        <w:t>нимала непосредственное участие в организации боевого вылета.</w:t>
      </w:r>
    </w:p>
    <w:p w14:paraId="6D2ECF0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Именно эти выводы легли в основу доклада комиссии штаба ВВС КА при</w:t>
      </w:r>
      <w:r w:rsidRPr="00D03F3E">
        <w:rPr>
          <w:rFonts w:ascii="Times New Roman" w:hAnsi="Times New Roman"/>
          <w:color w:val="000000" w:themeColor="text1"/>
          <w:sz w:val="16"/>
          <w:szCs w:val="16"/>
        </w:rPr>
        <w:softHyphen/>
        <w:t>бывшему в армию для разбора поле</w:t>
      </w:r>
      <w:r w:rsidRPr="00D03F3E">
        <w:rPr>
          <w:rFonts w:ascii="Times New Roman" w:hAnsi="Times New Roman"/>
          <w:color w:val="000000" w:themeColor="text1"/>
          <w:sz w:val="16"/>
          <w:szCs w:val="16"/>
        </w:rPr>
        <w:softHyphen/>
        <w:t>тов заместителю командующего ВВС генералу Г. А. Ворожейкину.</w:t>
      </w:r>
    </w:p>
    <w:p w14:paraId="37CA683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 воспоминаниям командира 303-й </w:t>
      </w:r>
      <w:r w:rsidRPr="00D03F3E">
        <w:rPr>
          <w:rFonts w:ascii="Times New Roman" w:hAnsi="Times New Roman"/>
          <w:iCs/>
          <w:color w:val="000000" w:themeColor="text1"/>
          <w:sz w:val="16"/>
          <w:szCs w:val="16"/>
        </w:rPr>
        <w:t xml:space="preserve">иад </w:t>
      </w:r>
      <w:r w:rsidRPr="00D03F3E">
        <w:rPr>
          <w:rFonts w:ascii="Times New Roman" w:hAnsi="Times New Roman"/>
          <w:color w:val="000000" w:themeColor="text1"/>
          <w:sz w:val="16"/>
          <w:szCs w:val="16"/>
        </w:rPr>
        <w:t>генерала Г. Н. Захарова пона</w:t>
      </w:r>
      <w:r w:rsidRPr="00D03F3E">
        <w:rPr>
          <w:rFonts w:ascii="Times New Roman" w:hAnsi="Times New Roman"/>
          <w:color w:val="000000" w:themeColor="text1"/>
          <w:sz w:val="16"/>
          <w:szCs w:val="16"/>
        </w:rPr>
        <w:softHyphen/>
        <w:t>чалу всю вину за общую неудачу операции комиссия ВВС КА хотела возложить на него лично. Но после того как в штабе 1-й ВА вспомнили, что на</w:t>
      </w:r>
      <w:r w:rsidRPr="00D03F3E">
        <w:rPr>
          <w:rFonts w:ascii="Times New Roman" w:hAnsi="Times New Roman"/>
          <w:color w:val="000000" w:themeColor="text1"/>
          <w:sz w:val="16"/>
          <w:szCs w:val="16"/>
        </w:rPr>
        <w:softHyphen/>
        <w:t>кануне от Захарова поступила теле</w:t>
      </w:r>
      <w:r w:rsidRPr="00D03F3E">
        <w:rPr>
          <w:rFonts w:ascii="Times New Roman" w:hAnsi="Times New Roman"/>
          <w:color w:val="000000" w:themeColor="text1"/>
          <w:sz w:val="16"/>
          <w:szCs w:val="16"/>
        </w:rPr>
        <w:softHyphen/>
        <w:t>грамма, в которой он предлагал отло</w:t>
      </w:r>
      <w:r w:rsidRPr="00D03F3E">
        <w:rPr>
          <w:rFonts w:ascii="Times New Roman" w:hAnsi="Times New Roman"/>
          <w:color w:val="000000" w:themeColor="text1"/>
          <w:sz w:val="16"/>
          <w:szCs w:val="16"/>
        </w:rPr>
        <w:softHyphen/>
        <w:t>жить налет на немецкие аэродромы ввиду сложившейся крайне неблагоп</w:t>
      </w:r>
      <w:r w:rsidRPr="00D03F3E">
        <w:rPr>
          <w:rFonts w:ascii="Times New Roman" w:hAnsi="Times New Roman"/>
          <w:color w:val="000000" w:themeColor="text1"/>
          <w:sz w:val="16"/>
          <w:szCs w:val="16"/>
        </w:rPr>
        <w:softHyphen/>
        <w:t>риятной обстановки (перенос сроков, потеря разведчиков, размокшие аэро</w:t>
      </w:r>
      <w:r w:rsidRPr="00D03F3E">
        <w:rPr>
          <w:rFonts w:ascii="Times New Roman" w:hAnsi="Times New Roman"/>
          <w:color w:val="000000" w:themeColor="text1"/>
          <w:sz w:val="16"/>
          <w:szCs w:val="16"/>
        </w:rPr>
        <w:softHyphen/>
        <w:t>дромы и т.д.), вина с него была снята.</w:t>
      </w:r>
    </w:p>
    <w:p w14:paraId="6B0DB45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прикрытие четырех групп штурмовиков отдельными груп</w:t>
      </w:r>
      <w:r w:rsidRPr="00D03F3E">
        <w:rPr>
          <w:rFonts w:ascii="Times New Roman" w:hAnsi="Times New Roman"/>
          <w:color w:val="000000" w:themeColor="text1"/>
          <w:sz w:val="16"/>
          <w:szCs w:val="16"/>
        </w:rPr>
        <w:softHyphen/>
        <w:t>пами истребителей, которые не имели единого управления и в бою могли дей</w:t>
      </w:r>
      <w:r w:rsidRPr="00D03F3E">
        <w:rPr>
          <w:rFonts w:ascii="Times New Roman" w:hAnsi="Times New Roman"/>
          <w:color w:val="000000" w:themeColor="text1"/>
          <w:sz w:val="16"/>
          <w:szCs w:val="16"/>
        </w:rPr>
        <w:softHyphen/>
        <w:t>ствовать лишь обособленно друг от друга, только усугубило ситуацию. Не</w:t>
      </w:r>
      <w:r w:rsidRPr="00D03F3E">
        <w:rPr>
          <w:rFonts w:ascii="Times New Roman" w:hAnsi="Times New Roman"/>
          <w:color w:val="000000" w:themeColor="text1"/>
          <w:sz w:val="16"/>
          <w:szCs w:val="16"/>
        </w:rPr>
        <w:softHyphen/>
        <w:t>сомненно, выбор подобного способа сопровождения Ил-2 в сложившейся обстановке является серьезной ошибкой: требители должны были сопровождать штурмовиков до цели и обратно. Од</w:t>
      </w:r>
      <w:r w:rsidRPr="00D03F3E">
        <w:rPr>
          <w:rFonts w:ascii="Times New Roman" w:hAnsi="Times New Roman"/>
          <w:color w:val="000000" w:themeColor="text1"/>
          <w:sz w:val="16"/>
          <w:szCs w:val="16"/>
        </w:rPr>
        <w:softHyphen/>
        <w:t>нако, как следует из отчетов истреби</w:t>
      </w:r>
      <w:r w:rsidRPr="00D03F3E">
        <w:rPr>
          <w:rFonts w:ascii="Times New Roman" w:hAnsi="Times New Roman"/>
          <w:color w:val="000000" w:themeColor="text1"/>
          <w:sz w:val="16"/>
          <w:szCs w:val="16"/>
        </w:rPr>
        <w:softHyphen/>
        <w:t>тельных авиаполков, у ведущих групп штурмовиков и истребителей перед вылетом имелась договоренность о том, что истребители доводят штурмо</w:t>
      </w:r>
      <w:r w:rsidRPr="00D03F3E">
        <w:rPr>
          <w:rFonts w:ascii="Times New Roman" w:hAnsi="Times New Roman"/>
          <w:color w:val="000000" w:themeColor="text1"/>
          <w:sz w:val="16"/>
          <w:szCs w:val="16"/>
        </w:rPr>
        <w:softHyphen/>
        <w:t>виков до р.Десна западнее Орджони-кидзеград, а затем уходят в район ст. Батогово для встречи Ил-2 после ата</w:t>
      </w:r>
      <w:r w:rsidRPr="00D03F3E">
        <w:rPr>
          <w:rFonts w:ascii="Times New Roman" w:hAnsi="Times New Roman"/>
          <w:color w:val="000000" w:themeColor="text1"/>
          <w:sz w:val="16"/>
          <w:szCs w:val="16"/>
        </w:rPr>
        <w:softHyphen/>
        <w:t>ки. При этом отчетными документами 571-го и 566-го штурмовых авиапол</w:t>
      </w:r>
      <w:r w:rsidRPr="00D03F3E">
        <w:rPr>
          <w:rFonts w:ascii="Times New Roman" w:hAnsi="Times New Roman"/>
          <w:color w:val="000000" w:themeColor="text1"/>
          <w:sz w:val="16"/>
          <w:szCs w:val="16"/>
        </w:rPr>
        <w:softHyphen/>
        <w:t xml:space="preserve">ков и штаба 224-й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эта информа</w:t>
      </w:r>
      <w:r w:rsidRPr="00D03F3E">
        <w:rPr>
          <w:rFonts w:ascii="Times New Roman" w:hAnsi="Times New Roman"/>
          <w:color w:val="000000" w:themeColor="text1"/>
          <w:sz w:val="16"/>
          <w:szCs w:val="16"/>
        </w:rPr>
        <w:softHyphen/>
        <w:t>ция не подтверждается.</w:t>
      </w:r>
    </w:p>
    <w:p w14:paraId="07CB5E3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то же время наказывать недавно назначенного на должность команду</w:t>
      </w:r>
      <w:r w:rsidRPr="00D03F3E">
        <w:rPr>
          <w:rFonts w:ascii="Times New Roman" w:hAnsi="Times New Roman"/>
          <w:color w:val="000000" w:themeColor="text1"/>
          <w:sz w:val="16"/>
          <w:szCs w:val="16"/>
        </w:rPr>
        <w:softHyphen/>
        <w:t>ющего армией генерал-лейтенанта М.М. Громова и начальника штаба армии генерал-майора А. С. Пронина было не с руки.</w:t>
      </w:r>
    </w:p>
    <w:p w14:paraId="1FE964D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Возможно по этим причинам, а так</w:t>
      </w:r>
      <w:r w:rsidRPr="00D03F3E">
        <w:rPr>
          <w:rFonts w:ascii="Times New Roman" w:hAnsi="Times New Roman"/>
          <w:color w:val="000000" w:themeColor="text1"/>
          <w:sz w:val="16"/>
          <w:szCs w:val="16"/>
        </w:rPr>
        <w:softHyphen/>
        <w:t>же и в воспитательных целях (в нази</w:t>
      </w:r>
      <w:r w:rsidRPr="00D03F3E">
        <w:rPr>
          <w:rFonts w:ascii="Times New Roman" w:hAnsi="Times New Roman"/>
          <w:color w:val="000000" w:themeColor="text1"/>
          <w:sz w:val="16"/>
          <w:szCs w:val="16"/>
        </w:rPr>
        <w:softHyphen/>
        <w:t>дание другим командирам и всему лет</w:t>
      </w:r>
      <w:r w:rsidRPr="00D03F3E">
        <w:rPr>
          <w:rFonts w:ascii="Times New Roman" w:hAnsi="Times New Roman"/>
          <w:color w:val="000000" w:themeColor="text1"/>
          <w:sz w:val="16"/>
          <w:szCs w:val="16"/>
        </w:rPr>
        <w:softHyphen/>
        <w:t>ному составу) виновным был "опреде</w:t>
      </w:r>
      <w:r w:rsidRPr="00D03F3E">
        <w:rPr>
          <w:rFonts w:ascii="Times New Roman" w:hAnsi="Times New Roman"/>
          <w:color w:val="000000" w:themeColor="text1"/>
          <w:sz w:val="16"/>
          <w:szCs w:val="16"/>
        </w:rPr>
        <w:softHyphen/>
        <w:t xml:space="preserve">лен" командир 168-го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 xml:space="preserve">п-п-к К.А. Пильщиков, который </w:t>
      </w:r>
      <w:r w:rsidRPr="00D03F3E">
        <w:rPr>
          <w:rFonts w:ascii="Times New Roman" w:hAnsi="Times New Roman"/>
          <w:iCs/>
          <w:color w:val="000000" w:themeColor="text1"/>
          <w:sz w:val="16"/>
          <w:szCs w:val="16"/>
        </w:rPr>
        <w:t xml:space="preserve">"...за отсутствие воли командира в воздухе" и </w:t>
      </w:r>
      <w:r w:rsidRPr="00D03F3E">
        <w:rPr>
          <w:rFonts w:ascii="Times New Roman" w:hAnsi="Times New Roman"/>
          <w:color w:val="000000" w:themeColor="text1"/>
          <w:sz w:val="16"/>
          <w:szCs w:val="16"/>
        </w:rPr>
        <w:t>оставление прикрывающих штурмовиков при</w:t>
      </w:r>
      <w:r w:rsidRPr="00D03F3E">
        <w:rPr>
          <w:rFonts w:ascii="Times New Roman" w:hAnsi="Times New Roman"/>
          <w:color w:val="000000" w:themeColor="text1"/>
          <w:sz w:val="16"/>
          <w:szCs w:val="16"/>
        </w:rPr>
        <w:softHyphen/>
        <w:t>казом генерала Громова был предан суду Военного трибунала.</w:t>
      </w:r>
    </w:p>
    <w:p w14:paraId="57CDE97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Как следует из документов 168-го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п/п-к Пильщиков “</w:t>
      </w:r>
      <w:r w:rsidRPr="00D03F3E">
        <w:rPr>
          <w:rFonts w:ascii="Times New Roman" w:hAnsi="Times New Roman"/>
          <w:iCs/>
          <w:color w:val="000000" w:themeColor="text1"/>
          <w:sz w:val="16"/>
          <w:szCs w:val="16"/>
        </w:rPr>
        <w:t>1.07.43 ко</w:t>
      </w:r>
      <w:r w:rsidRPr="00D03F3E">
        <w:rPr>
          <w:rFonts w:ascii="Times New Roman" w:hAnsi="Times New Roman"/>
          <w:iCs/>
          <w:color w:val="000000" w:themeColor="text1"/>
          <w:sz w:val="16"/>
          <w:szCs w:val="16"/>
        </w:rPr>
        <w:softHyphen/>
        <w:t>мандование полком сдал и убыл в рас</w:t>
      </w:r>
      <w:r w:rsidRPr="00D03F3E">
        <w:rPr>
          <w:rFonts w:ascii="Times New Roman" w:hAnsi="Times New Roman"/>
          <w:iCs/>
          <w:color w:val="000000" w:themeColor="text1"/>
          <w:sz w:val="16"/>
          <w:szCs w:val="16"/>
        </w:rPr>
        <w:softHyphen/>
        <w:t xml:space="preserve">поряжение командира 303-й иод". </w:t>
      </w:r>
      <w:r w:rsidRPr="00D03F3E">
        <w:rPr>
          <w:rFonts w:ascii="Times New Roman" w:hAnsi="Times New Roman"/>
          <w:color w:val="000000" w:themeColor="text1"/>
          <w:sz w:val="16"/>
          <w:szCs w:val="16"/>
        </w:rPr>
        <w:t>Вме</w:t>
      </w:r>
      <w:r w:rsidRPr="00D03F3E">
        <w:rPr>
          <w:rFonts w:ascii="Times New Roman" w:hAnsi="Times New Roman"/>
          <w:color w:val="000000" w:themeColor="text1"/>
          <w:sz w:val="16"/>
          <w:szCs w:val="16"/>
        </w:rPr>
        <w:softHyphen/>
        <w:t>сто него приказом командующего 1-й ВА № 0366 от 6.07.43г. командиром полка был назначен п/п-к А. С. Данилов.</w:t>
      </w:r>
    </w:p>
    <w:p w14:paraId="11833D6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"Ходил" ли п/п-к Пильщиков в штраф</w:t>
      </w:r>
      <w:r w:rsidRPr="00D03F3E">
        <w:rPr>
          <w:rFonts w:ascii="Times New Roman" w:hAnsi="Times New Roman"/>
          <w:color w:val="000000" w:themeColor="text1"/>
          <w:sz w:val="16"/>
          <w:szCs w:val="16"/>
        </w:rPr>
        <w:softHyphen/>
        <w:t>никах, из документов не ясно. Однако достоверно известно, что Пильщиков в последующие три месяца без рабо</w:t>
      </w:r>
      <w:r w:rsidRPr="00D03F3E">
        <w:rPr>
          <w:rFonts w:ascii="Times New Roman" w:hAnsi="Times New Roman"/>
          <w:color w:val="000000" w:themeColor="text1"/>
          <w:sz w:val="16"/>
          <w:szCs w:val="16"/>
        </w:rPr>
        <w:softHyphen/>
        <w:t>ты не сидел и водил группы истребите</w:t>
      </w:r>
      <w:r w:rsidRPr="00D03F3E">
        <w:rPr>
          <w:rFonts w:ascii="Times New Roman" w:hAnsi="Times New Roman"/>
          <w:color w:val="000000" w:themeColor="text1"/>
          <w:sz w:val="16"/>
          <w:szCs w:val="16"/>
        </w:rPr>
        <w:softHyphen/>
        <w:t xml:space="preserve">лей на боевые задания. В частности, 14 сентября он в качестве ведущего ударной группы Ла-5 от 523-го </w:t>
      </w:r>
      <w:r w:rsidRPr="00D03F3E">
        <w:rPr>
          <w:rFonts w:ascii="Times New Roman" w:hAnsi="Times New Roman"/>
          <w:iCs/>
          <w:color w:val="000000" w:themeColor="text1"/>
          <w:sz w:val="16"/>
          <w:szCs w:val="16"/>
        </w:rPr>
        <w:t xml:space="preserve">иап </w:t>
      </w:r>
      <w:r w:rsidRPr="00D03F3E">
        <w:rPr>
          <w:rFonts w:ascii="Times New Roman" w:hAnsi="Times New Roman"/>
          <w:color w:val="000000" w:themeColor="text1"/>
          <w:sz w:val="16"/>
          <w:szCs w:val="16"/>
        </w:rPr>
        <w:t xml:space="preserve">303-й </w:t>
      </w:r>
      <w:r w:rsidRPr="00D03F3E">
        <w:rPr>
          <w:rFonts w:ascii="Times New Roman" w:hAnsi="Times New Roman"/>
          <w:iCs/>
          <w:color w:val="000000" w:themeColor="text1"/>
          <w:sz w:val="16"/>
          <w:szCs w:val="16"/>
        </w:rPr>
        <w:t xml:space="preserve">иод </w:t>
      </w:r>
      <w:r w:rsidRPr="00D03F3E">
        <w:rPr>
          <w:rFonts w:ascii="Times New Roman" w:hAnsi="Times New Roman"/>
          <w:color w:val="000000" w:themeColor="text1"/>
          <w:sz w:val="16"/>
          <w:szCs w:val="16"/>
        </w:rPr>
        <w:t>выполнял задачу по блоки</w:t>
      </w:r>
      <w:r w:rsidRPr="00D03F3E">
        <w:rPr>
          <w:rFonts w:ascii="Times New Roman" w:hAnsi="Times New Roman"/>
          <w:color w:val="000000" w:themeColor="text1"/>
          <w:sz w:val="16"/>
          <w:szCs w:val="16"/>
        </w:rPr>
        <w:softHyphen/>
        <w:t xml:space="preserve">рованию аэродромов Шаталово и Боровское и в воздушном бою сбил один "фокке-вульф". В дальнейшем, 19 ноября 1943 г., п/п-к Пильщиков был назначен на должность командира 523-го </w:t>
      </w:r>
      <w:r w:rsidRPr="00D03F3E">
        <w:rPr>
          <w:rFonts w:ascii="Times New Roman" w:hAnsi="Times New Roman"/>
          <w:iCs/>
          <w:color w:val="000000" w:themeColor="text1"/>
          <w:sz w:val="16"/>
          <w:szCs w:val="16"/>
        </w:rPr>
        <w:t>иап.</w:t>
      </w:r>
    </w:p>
    <w:p w14:paraId="72D7357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Конечно же, п/п-к Пильщиков со своим штабом защищался, объясняя случившееся большим количеством не</w:t>
      </w:r>
      <w:r w:rsidRPr="00D03F3E">
        <w:rPr>
          <w:rFonts w:ascii="Times New Roman" w:hAnsi="Times New Roman"/>
          <w:color w:val="000000" w:themeColor="text1"/>
          <w:sz w:val="16"/>
          <w:szCs w:val="16"/>
        </w:rPr>
        <w:softHyphen/>
        <w:t>мецких истребителей, с которыми лет</w:t>
      </w:r>
      <w:r w:rsidRPr="00D03F3E">
        <w:rPr>
          <w:rFonts w:ascii="Times New Roman" w:hAnsi="Times New Roman"/>
          <w:color w:val="000000" w:themeColor="text1"/>
          <w:sz w:val="16"/>
          <w:szCs w:val="16"/>
        </w:rPr>
        <w:softHyphen/>
        <w:t>чикам полка пришлось вести воздуш</w:t>
      </w:r>
      <w:r w:rsidRPr="00D03F3E">
        <w:rPr>
          <w:rFonts w:ascii="Times New Roman" w:hAnsi="Times New Roman"/>
          <w:color w:val="000000" w:themeColor="text1"/>
          <w:sz w:val="16"/>
          <w:szCs w:val="16"/>
        </w:rPr>
        <w:softHyphen/>
        <w:t xml:space="preserve">ный бой: </w:t>
      </w:r>
      <w:r w:rsidRPr="00D03F3E">
        <w:rPr>
          <w:rFonts w:ascii="Times New Roman" w:hAnsi="Times New Roman"/>
          <w:iCs/>
          <w:color w:val="000000" w:themeColor="text1"/>
          <w:sz w:val="16"/>
          <w:szCs w:val="16"/>
        </w:rPr>
        <w:t xml:space="preserve">"...истребителей противника было до 27, только тех, с которыми вели воздушный бой летчики 168 иап". </w:t>
      </w:r>
      <w:r w:rsidRPr="00D03F3E">
        <w:rPr>
          <w:rFonts w:ascii="Times New Roman" w:hAnsi="Times New Roman"/>
          <w:color w:val="000000" w:themeColor="text1"/>
          <w:sz w:val="16"/>
          <w:szCs w:val="16"/>
        </w:rPr>
        <w:t>По их мнению, печальный исход воз</w:t>
      </w:r>
      <w:r w:rsidRPr="00D03F3E">
        <w:rPr>
          <w:rFonts w:ascii="Times New Roman" w:hAnsi="Times New Roman"/>
          <w:color w:val="000000" w:themeColor="text1"/>
          <w:sz w:val="16"/>
          <w:szCs w:val="16"/>
        </w:rPr>
        <w:softHyphen/>
        <w:t>душного боя был предопределен имев</w:t>
      </w:r>
      <w:r w:rsidRPr="00D03F3E">
        <w:rPr>
          <w:rFonts w:ascii="Times New Roman" w:hAnsi="Times New Roman"/>
          <w:color w:val="000000" w:themeColor="text1"/>
          <w:sz w:val="16"/>
          <w:szCs w:val="16"/>
        </w:rPr>
        <w:softHyphen/>
        <w:t>шими место серьезными недостатками боевого порядка групп штурмовиков, в чем были виноваты как ведущие групп штурмовиков, так и ведущие групп ис</w:t>
      </w:r>
      <w:r w:rsidRPr="00D03F3E">
        <w:rPr>
          <w:rFonts w:ascii="Times New Roman" w:hAnsi="Times New Roman"/>
          <w:color w:val="000000" w:themeColor="text1"/>
          <w:sz w:val="16"/>
          <w:szCs w:val="16"/>
        </w:rPr>
        <w:softHyphen/>
        <w:t>требителей. У пилотов люфтваффе в этом бою было одно главное преиму</w:t>
      </w:r>
      <w:r w:rsidRPr="00D03F3E">
        <w:rPr>
          <w:rFonts w:ascii="Times New Roman" w:hAnsi="Times New Roman"/>
          <w:color w:val="000000" w:themeColor="text1"/>
          <w:sz w:val="16"/>
          <w:szCs w:val="16"/>
        </w:rPr>
        <w:softHyphen/>
        <w:t xml:space="preserve">щество </w:t>
      </w:r>
      <w:r w:rsidRPr="00D03F3E">
        <w:rPr>
          <w:rFonts w:ascii="Times New Roman" w:hAnsi="Times New Roman"/>
          <w:iCs/>
          <w:color w:val="000000" w:themeColor="text1"/>
          <w:sz w:val="16"/>
          <w:szCs w:val="16"/>
        </w:rPr>
        <w:t xml:space="preserve">"свободный маневр ...и то, что противник вступил в бой четверками против наших изолированных пар". </w:t>
      </w:r>
      <w:r w:rsidRPr="00D03F3E">
        <w:rPr>
          <w:rFonts w:ascii="Times New Roman" w:hAnsi="Times New Roman"/>
          <w:color w:val="000000" w:themeColor="text1"/>
          <w:sz w:val="16"/>
          <w:szCs w:val="16"/>
        </w:rPr>
        <w:t>Именно по этим причинам почти всем истребителям прикрытия - группам сопровождения и ударной группе -пришлось вступить в воздушный бой, оставив штурмовиков одних.</w:t>
      </w:r>
    </w:p>
    <w:p w14:paraId="452BE88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Командир 18-го </w:t>
      </w:r>
      <w:r w:rsidRPr="00D03F3E">
        <w:rPr>
          <w:rFonts w:ascii="Times New Roman" w:hAnsi="Times New Roman"/>
          <w:iCs/>
          <w:color w:val="000000" w:themeColor="text1"/>
          <w:sz w:val="16"/>
          <w:szCs w:val="16"/>
        </w:rPr>
        <w:t xml:space="preserve">гиап </w:t>
      </w:r>
      <w:r w:rsidRPr="00D03F3E">
        <w:rPr>
          <w:rFonts w:ascii="Times New Roman" w:hAnsi="Times New Roman"/>
          <w:color w:val="000000" w:themeColor="text1"/>
          <w:sz w:val="16"/>
          <w:szCs w:val="16"/>
        </w:rPr>
        <w:t xml:space="preserve">п/п-к А. Е. Го-лубов обосновывал неудачные действия своих подчиненных несколько иначе, четко перекладывая большую часть вины на штаб 1-й ВА: </w:t>
      </w:r>
      <w:r w:rsidRPr="00D03F3E">
        <w:rPr>
          <w:rFonts w:ascii="Times New Roman" w:hAnsi="Times New Roman"/>
          <w:iCs/>
          <w:color w:val="000000" w:themeColor="text1"/>
          <w:sz w:val="16"/>
          <w:szCs w:val="16"/>
        </w:rPr>
        <w:t>"...отсутствие боевой работы и систематической тре</w:t>
      </w:r>
      <w:r w:rsidRPr="00D03F3E">
        <w:rPr>
          <w:rFonts w:ascii="Times New Roman" w:hAnsi="Times New Roman"/>
          <w:iCs/>
          <w:color w:val="000000" w:themeColor="text1"/>
          <w:sz w:val="16"/>
          <w:szCs w:val="16"/>
        </w:rPr>
        <w:softHyphen/>
        <w:t>нировки вследствие отсутствия горю</w:t>
      </w:r>
      <w:r w:rsidRPr="00D03F3E">
        <w:rPr>
          <w:rFonts w:ascii="Times New Roman" w:hAnsi="Times New Roman"/>
          <w:iCs/>
          <w:color w:val="000000" w:themeColor="text1"/>
          <w:sz w:val="16"/>
          <w:szCs w:val="16"/>
        </w:rPr>
        <w:softHyphen/>
        <w:t>чего приводит к тому, что летный со</w:t>
      </w:r>
      <w:r w:rsidRPr="00D03F3E">
        <w:rPr>
          <w:rFonts w:ascii="Times New Roman" w:hAnsi="Times New Roman"/>
          <w:iCs/>
          <w:color w:val="000000" w:themeColor="text1"/>
          <w:sz w:val="16"/>
          <w:szCs w:val="16"/>
        </w:rPr>
        <w:softHyphen/>
        <w:t>став не только не совершенствует свою выучку, но даже несколько деквалифи</w:t>
      </w:r>
      <w:r w:rsidRPr="00D03F3E">
        <w:rPr>
          <w:rFonts w:ascii="Times New Roman" w:hAnsi="Times New Roman"/>
          <w:iCs/>
          <w:color w:val="000000" w:themeColor="text1"/>
          <w:sz w:val="16"/>
          <w:szCs w:val="16"/>
        </w:rPr>
        <w:softHyphen/>
        <w:t xml:space="preserve">цируется. Поэтому необходимо дать такой лимит, чтобы хотя через два дня на третий, но давать тренировочный полет". </w:t>
      </w:r>
      <w:r w:rsidRPr="00D03F3E">
        <w:rPr>
          <w:rFonts w:ascii="Times New Roman" w:hAnsi="Times New Roman"/>
          <w:color w:val="000000" w:themeColor="text1"/>
          <w:sz w:val="16"/>
          <w:szCs w:val="16"/>
        </w:rPr>
        <w:t>При этом Голубое особо ука</w:t>
      </w:r>
      <w:r w:rsidRPr="00D03F3E">
        <w:rPr>
          <w:rFonts w:ascii="Times New Roman" w:hAnsi="Times New Roman"/>
          <w:color w:val="000000" w:themeColor="text1"/>
          <w:sz w:val="16"/>
          <w:szCs w:val="16"/>
        </w:rPr>
        <w:softHyphen/>
        <w:t xml:space="preserve">зывал, что </w:t>
      </w:r>
      <w:r w:rsidRPr="00D03F3E">
        <w:rPr>
          <w:rFonts w:ascii="Times New Roman" w:hAnsi="Times New Roman"/>
          <w:iCs/>
          <w:color w:val="000000" w:themeColor="text1"/>
          <w:sz w:val="16"/>
          <w:szCs w:val="16"/>
        </w:rPr>
        <w:t>"...при подготовке непосред</w:t>
      </w:r>
      <w:r w:rsidRPr="00D03F3E">
        <w:rPr>
          <w:rFonts w:ascii="Times New Roman" w:hAnsi="Times New Roman"/>
          <w:iCs/>
          <w:color w:val="000000" w:themeColor="text1"/>
          <w:sz w:val="16"/>
          <w:szCs w:val="16"/>
        </w:rPr>
        <w:softHyphen/>
        <w:t>ственных налетов на тот или иной объект нужно строго хранить военную тайну, все делать без шума, строго выдерживать указанное время в пла</w:t>
      </w:r>
      <w:r w:rsidRPr="00D03F3E">
        <w:rPr>
          <w:rFonts w:ascii="Times New Roman" w:hAnsi="Times New Roman"/>
          <w:iCs/>
          <w:color w:val="000000" w:themeColor="text1"/>
          <w:sz w:val="16"/>
          <w:szCs w:val="16"/>
        </w:rPr>
        <w:softHyphen/>
        <w:t>новой таблице".</w:t>
      </w:r>
    </w:p>
    <w:p w14:paraId="4084877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Мнение командира 303-й </w:t>
      </w:r>
      <w:r w:rsidRPr="00D03F3E">
        <w:rPr>
          <w:rFonts w:ascii="Times New Roman" w:hAnsi="Times New Roman"/>
          <w:iCs/>
          <w:color w:val="000000" w:themeColor="text1"/>
          <w:sz w:val="16"/>
          <w:szCs w:val="16"/>
        </w:rPr>
        <w:t xml:space="preserve">над </w:t>
      </w:r>
      <w:r w:rsidRPr="00D03F3E">
        <w:rPr>
          <w:rFonts w:ascii="Times New Roman" w:hAnsi="Times New Roman"/>
          <w:color w:val="000000" w:themeColor="text1"/>
          <w:sz w:val="16"/>
          <w:szCs w:val="16"/>
        </w:rPr>
        <w:t>гене</w:t>
      </w:r>
      <w:r w:rsidRPr="00D03F3E">
        <w:rPr>
          <w:rFonts w:ascii="Times New Roman" w:hAnsi="Times New Roman"/>
          <w:color w:val="000000" w:themeColor="text1"/>
          <w:sz w:val="16"/>
          <w:szCs w:val="16"/>
        </w:rPr>
        <w:softHyphen/>
        <w:t>рал-майора Г. Н. Захарова и штаба дивизии было ближе к официальной точке зрения штаба 1-й ВА. В каче</w:t>
      </w:r>
      <w:r w:rsidRPr="00D03F3E">
        <w:rPr>
          <w:rFonts w:ascii="Times New Roman" w:hAnsi="Times New Roman"/>
          <w:color w:val="000000" w:themeColor="text1"/>
          <w:sz w:val="16"/>
          <w:szCs w:val="16"/>
        </w:rPr>
        <w:softHyphen/>
        <w:t xml:space="preserve">стве основных причин больших потерь штурмовиков при сопровождении их истребителями дивизии в директиве генерала Захарова от 18 июня 1943 г. указывались следующие: </w:t>
      </w:r>
      <w:r w:rsidRPr="00D03F3E">
        <w:rPr>
          <w:rFonts w:ascii="Times New Roman" w:hAnsi="Times New Roman"/>
          <w:iCs/>
          <w:color w:val="000000" w:themeColor="text1"/>
          <w:sz w:val="16"/>
          <w:szCs w:val="16"/>
        </w:rPr>
        <w:t>"...невнима</w:t>
      </w:r>
      <w:r w:rsidRPr="00D03F3E">
        <w:rPr>
          <w:rFonts w:ascii="Times New Roman" w:hAnsi="Times New Roman"/>
          <w:iCs/>
          <w:color w:val="000000" w:themeColor="text1"/>
          <w:sz w:val="16"/>
          <w:szCs w:val="16"/>
        </w:rPr>
        <w:softHyphen/>
        <w:t>тельность и слабая осмотрительность истребителей в воздухе, пассивность и ротозейство при отражении атак ис</w:t>
      </w:r>
      <w:r w:rsidRPr="00D03F3E">
        <w:rPr>
          <w:rFonts w:ascii="Times New Roman" w:hAnsi="Times New Roman"/>
          <w:iCs/>
          <w:color w:val="000000" w:themeColor="text1"/>
          <w:sz w:val="16"/>
          <w:szCs w:val="16"/>
        </w:rPr>
        <w:softHyphen/>
        <w:t>требителей противника. ...Зная, что штурмовики после атаки цели будут возвращаться на малой высоте, нахо</w:t>
      </w:r>
      <w:r w:rsidRPr="00D03F3E">
        <w:rPr>
          <w:rFonts w:ascii="Times New Roman" w:hAnsi="Times New Roman"/>
          <w:iCs/>
          <w:color w:val="000000" w:themeColor="text1"/>
          <w:sz w:val="16"/>
          <w:szCs w:val="16"/>
        </w:rPr>
        <w:softHyphen/>
        <w:t>дясь в зоне ожидания, патрулировали на высоте 1000-1500 м и не могли видеть возвращавшиеся штурмовики. ...Командиры групп при встрече с про</w:t>
      </w:r>
      <w:r w:rsidRPr="00D03F3E">
        <w:rPr>
          <w:rFonts w:ascii="Times New Roman" w:hAnsi="Times New Roman"/>
          <w:iCs/>
          <w:color w:val="000000" w:themeColor="text1"/>
          <w:sz w:val="16"/>
          <w:szCs w:val="16"/>
        </w:rPr>
        <w:softHyphen/>
        <w:t>тивником, как правило, не руководят боем и своими подчиненными, воздуш</w:t>
      </w:r>
      <w:r w:rsidRPr="00D03F3E">
        <w:rPr>
          <w:rFonts w:ascii="Times New Roman" w:hAnsi="Times New Roman"/>
          <w:iCs/>
          <w:color w:val="000000" w:themeColor="text1"/>
          <w:sz w:val="16"/>
          <w:szCs w:val="16"/>
        </w:rPr>
        <w:softHyphen/>
        <w:t>ная обстановка не учитывается, и в бой иногда вступают все группы истреби</w:t>
      </w:r>
      <w:r w:rsidRPr="00D03F3E">
        <w:rPr>
          <w:rFonts w:ascii="Times New Roman" w:hAnsi="Times New Roman"/>
          <w:iCs/>
          <w:color w:val="000000" w:themeColor="text1"/>
          <w:sz w:val="16"/>
          <w:szCs w:val="16"/>
        </w:rPr>
        <w:softHyphen/>
        <w:t>телей, оставляя без прикрытия штур</w:t>
      </w:r>
      <w:r w:rsidRPr="00D03F3E">
        <w:rPr>
          <w:rFonts w:ascii="Times New Roman" w:hAnsi="Times New Roman"/>
          <w:iCs/>
          <w:color w:val="000000" w:themeColor="text1"/>
          <w:sz w:val="16"/>
          <w:szCs w:val="16"/>
        </w:rPr>
        <w:softHyphen/>
        <w:t>мовики и бомбардировщики. ...Летчи</w:t>
      </w:r>
      <w:r w:rsidRPr="00D03F3E">
        <w:rPr>
          <w:rFonts w:ascii="Times New Roman" w:hAnsi="Times New Roman"/>
          <w:iCs/>
          <w:color w:val="000000" w:themeColor="text1"/>
          <w:sz w:val="16"/>
          <w:szCs w:val="16"/>
        </w:rPr>
        <w:softHyphen/>
        <w:t>ки, допустившие при сопровождении потери бомбардировщиков и штурмо</w:t>
      </w:r>
      <w:r w:rsidRPr="00D03F3E">
        <w:rPr>
          <w:rFonts w:ascii="Times New Roman" w:hAnsi="Times New Roman"/>
          <w:iCs/>
          <w:color w:val="000000" w:themeColor="text1"/>
          <w:sz w:val="16"/>
          <w:szCs w:val="16"/>
        </w:rPr>
        <w:softHyphen/>
        <w:t>виков от истребителей противника, не наказываются, привыкли к этому, ос</w:t>
      </w:r>
      <w:r w:rsidRPr="00D03F3E">
        <w:rPr>
          <w:rFonts w:ascii="Times New Roman" w:hAnsi="Times New Roman"/>
          <w:iCs/>
          <w:color w:val="000000" w:themeColor="text1"/>
          <w:sz w:val="16"/>
          <w:szCs w:val="16"/>
        </w:rPr>
        <w:softHyphen/>
        <w:t>лабили дисциплину и не болеют душой за сохранение прикрываемых ими групп".</w:t>
      </w:r>
    </w:p>
    <w:p w14:paraId="374CD25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Генерал Захаров потребовал от ко</w:t>
      </w:r>
      <w:r w:rsidRPr="00D03F3E">
        <w:rPr>
          <w:rFonts w:ascii="Times New Roman" w:hAnsi="Times New Roman"/>
          <w:color w:val="000000" w:themeColor="text1"/>
          <w:sz w:val="16"/>
          <w:szCs w:val="16"/>
        </w:rPr>
        <w:softHyphen/>
        <w:t xml:space="preserve">мандного состава полков </w:t>
      </w:r>
      <w:r w:rsidRPr="00D03F3E">
        <w:rPr>
          <w:rFonts w:ascii="Times New Roman" w:hAnsi="Times New Roman"/>
          <w:iCs/>
          <w:color w:val="000000" w:themeColor="text1"/>
          <w:sz w:val="16"/>
          <w:szCs w:val="16"/>
        </w:rPr>
        <w:t>"все случаи невыполнения боевой задачи (потеря штурмовиков или бомбардировщиков, отрыв ведомого от ведущего, возвра</w:t>
      </w:r>
      <w:r w:rsidRPr="00D03F3E">
        <w:rPr>
          <w:rFonts w:ascii="Times New Roman" w:hAnsi="Times New Roman"/>
          <w:iCs/>
          <w:color w:val="000000" w:themeColor="text1"/>
          <w:sz w:val="16"/>
          <w:szCs w:val="16"/>
        </w:rPr>
        <w:softHyphen/>
        <w:t xml:space="preserve">щение по одиночке и т.д.) тщательно разбирать со всем летным составом, а виновных строго наказывать вплоть до отдачи под суд". </w:t>
      </w:r>
      <w:r w:rsidRPr="00D03F3E">
        <w:rPr>
          <w:rFonts w:ascii="Times New Roman" w:hAnsi="Times New Roman"/>
          <w:color w:val="000000" w:themeColor="text1"/>
          <w:sz w:val="16"/>
          <w:szCs w:val="16"/>
        </w:rPr>
        <w:t>В тех случаях, ког</w:t>
      </w:r>
      <w:r w:rsidRPr="00D03F3E">
        <w:rPr>
          <w:rFonts w:ascii="Times New Roman" w:hAnsi="Times New Roman"/>
          <w:color w:val="000000" w:themeColor="text1"/>
          <w:sz w:val="16"/>
          <w:szCs w:val="16"/>
        </w:rPr>
        <w:softHyphen/>
        <w:t>да на выполнение боевой задачи вы</w:t>
      </w:r>
      <w:r w:rsidRPr="00D03F3E">
        <w:rPr>
          <w:rFonts w:ascii="Times New Roman" w:hAnsi="Times New Roman"/>
          <w:color w:val="000000" w:themeColor="text1"/>
          <w:sz w:val="16"/>
          <w:szCs w:val="16"/>
        </w:rPr>
        <w:softHyphen/>
        <w:t>летала основная масса полка, коман</w:t>
      </w:r>
      <w:r w:rsidRPr="00D03F3E">
        <w:rPr>
          <w:rFonts w:ascii="Times New Roman" w:hAnsi="Times New Roman"/>
          <w:color w:val="000000" w:themeColor="text1"/>
          <w:sz w:val="16"/>
          <w:szCs w:val="16"/>
        </w:rPr>
        <w:softHyphen/>
        <w:t>диры полков обязывались вылетать в качестве ведущего одной из групп, а своим заместителем назначать одно</w:t>
      </w:r>
      <w:r w:rsidRPr="00D03F3E">
        <w:rPr>
          <w:rFonts w:ascii="Times New Roman" w:hAnsi="Times New Roman"/>
          <w:color w:val="000000" w:themeColor="text1"/>
          <w:sz w:val="16"/>
          <w:szCs w:val="16"/>
        </w:rPr>
        <w:softHyphen/>
        <w:t>го из командиров эскадрильи (11127).</w:t>
      </w:r>
    </w:p>
    <w:p w14:paraId="192D463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8EB8F2F" w14:textId="77777777" w:rsidR="00C36D68" w:rsidRPr="00D03F3E" w:rsidRDefault="00C36D68" w:rsidP="00D03F3E">
      <w:pPr>
        <w:pStyle w:val="ae"/>
        <w:spacing w:before="0" w:after="0"/>
        <w:jc w:val="both"/>
        <w:textAlignment w:val="baseline"/>
        <w:rPr>
          <w:color w:val="000000" w:themeColor="text1"/>
          <w:sz w:val="16"/>
          <w:szCs w:val="16"/>
        </w:rPr>
      </w:pPr>
      <w:r w:rsidRPr="00D03F3E">
        <w:rPr>
          <w:color w:val="000000" w:themeColor="text1"/>
          <w:sz w:val="16"/>
          <w:szCs w:val="16"/>
        </w:rPr>
        <w:t>10 июня 1943 удары по авиабазам продолжились. Уже в 4.15 по московскому времени над аэродромом Харьков-Сокольники послышался натужный рев моторов. Надо заметить, что в тот момент на нем никаких бомбардировщиков не базировалось, а пилоты находившихся там «Штук» и слыхом не слыхивали про Горьковский автозавод. Наземный персонал и летчики уже по звуку поняли, кем были эти непрошеные гости.</w:t>
      </w:r>
    </w:p>
    <w:p w14:paraId="7FE0EACB" w14:textId="77777777" w:rsidR="00C36D68" w:rsidRPr="00D03F3E" w:rsidRDefault="00C36D68" w:rsidP="00D03F3E">
      <w:pPr>
        <w:pStyle w:val="ae"/>
        <w:spacing w:before="0" w:after="0"/>
        <w:jc w:val="both"/>
        <w:textAlignment w:val="baseline"/>
        <w:rPr>
          <w:color w:val="000000" w:themeColor="text1"/>
          <w:sz w:val="16"/>
          <w:szCs w:val="16"/>
        </w:rPr>
      </w:pPr>
      <w:r w:rsidRPr="00D03F3E">
        <w:rPr>
          <w:color w:val="000000" w:themeColor="text1"/>
          <w:sz w:val="16"/>
          <w:szCs w:val="16"/>
        </w:rPr>
        <w:t xml:space="preserve">Вместе с восходом солнца с востока двумя группами приближались 24 Ил-2 из 66-го и 673-го шап. Впрочем, налетов «цементбомберов» могла испугаться только необстрелянная молодежь, все, кто поопытнее, знали, что самый верный способ уцелеть — это оставаться на месте и продолжать спать либо вообще пойти и лечь под </w:t>
      </w:r>
      <w:r w:rsidRPr="00D03F3E">
        <w:rPr>
          <w:color w:val="000000" w:themeColor="text1"/>
          <w:sz w:val="16"/>
          <w:szCs w:val="16"/>
        </w:rPr>
        <w:lastRenderedPageBreak/>
        <w:t>самолет. Бомбы попадут куда угодно, но не в него!</w:t>
      </w:r>
    </w:p>
    <w:p w14:paraId="729C5D29" w14:textId="77777777" w:rsidR="00C36D68" w:rsidRPr="00D03F3E" w:rsidRDefault="00C36D68" w:rsidP="00D03F3E">
      <w:pPr>
        <w:pStyle w:val="ae"/>
        <w:spacing w:before="0" w:after="0"/>
        <w:jc w:val="both"/>
        <w:textAlignment w:val="baseline"/>
        <w:rPr>
          <w:color w:val="000000" w:themeColor="text1"/>
          <w:sz w:val="16"/>
          <w:szCs w:val="16"/>
        </w:rPr>
      </w:pPr>
      <w:r w:rsidRPr="00D03F3E">
        <w:rPr>
          <w:color w:val="000000" w:themeColor="text1"/>
          <w:sz w:val="16"/>
          <w:szCs w:val="16"/>
        </w:rPr>
        <w:t>Так оно и получилось. Пилоты «горбатых» потом, как всегда красочно, расписали свой удар:</w:t>
      </w:r>
    </w:p>
    <w:p w14:paraId="73AEF1FE" w14:textId="77777777" w:rsidR="00C36D68" w:rsidRPr="00D03F3E" w:rsidRDefault="00C36D68"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«10 взрывов, сопровождавшихся большим пламенем, подавлено несколько зениток, 35 уничтоженных самолетов».</w:t>
      </w:r>
    </w:p>
    <w:p w14:paraId="1986801B" w14:textId="77777777" w:rsidR="00C36D68" w:rsidRPr="00D03F3E" w:rsidRDefault="00C36D68" w:rsidP="00D03F3E">
      <w:pPr>
        <w:pStyle w:val="ae"/>
        <w:spacing w:before="0" w:after="0"/>
        <w:jc w:val="both"/>
        <w:textAlignment w:val="baseline"/>
        <w:rPr>
          <w:color w:val="000000" w:themeColor="text1"/>
          <w:sz w:val="16"/>
          <w:szCs w:val="16"/>
        </w:rPr>
      </w:pPr>
      <w:r w:rsidRPr="00D03F3E">
        <w:rPr>
          <w:color w:val="000000" w:themeColor="text1"/>
          <w:sz w:val="16"/>
          <w:szCs w:val="16"/>
        </w:rPr>
        <w:t>Согласно же немецким данным, осколками бомб был легко поврежден лишь один Ju-87D из 3-й эскадрильи StG77. При этом Илы не сумели уйти без потерь, с задания не вернулись машины младших лейтенантов Левченко и Киндарьяна.</w:t>
      </w:r>
    </w:p>
    <w:p w14:paraId="57ED55C3" w14:textId="77777777" w:rsidR="00C36D68" w:rsidRPr="00D03F3E" w:rsidRDefault="00C36D68" w:rsidP="00D03F3E">
      <w:pPr>
        <w:pStyle w:val="ae"/>
        <w:spacing w:before="0" w:after="0"/>
        <w:jc w:val="both"/>
        <w:textAlignment w:val="baseline"/>
        <w:rPr>
          <w:color w:val="000000" w:themeColor="text1"/>
          <w:sz w:val="16"/>
          <w:szCs w:val="16"/>
        </w:rPr>
      </w:pPr>
      <w:r w:rsidRPr="00D03F3E">
        <w:rPr>
          <w:color w:val="000000" w:themeColor="text1"/>
          <w:sz w:val="16"/>
          <w:szCs w:val="16"/>
        </w:rPr>
        <w:t>С ударом 800-го и 820-го шап по аэродрому Микояновка получилось то же самое. После безуспешной атаки штурмовики на отходе были атакованы «Мессершмиттами», видимо взлетевшими с «блокированного» истребителями 4-го иак аэродрома Рогань. В результате были один за другим сбиты два Ил-2.</w:t>
      </w:r>
    </w:p>
    <w:p w14:paraId="46FFFE65" w14:textId="77777777" w:rsidR="00C36D68" w:rsidRPr="00D03F3E" w:rsidRDefault="00C36D68" w:rsidP="00D03F3E">
      <w:pPr>
        <w:pStyle w:val="ae"/>
        <w:spacing w:before="0" w:after="0"/>
        <w:jc w:val="both"/>
        <w:textAlignment w:val="baseline"/>
        <w:rPr>
          <w:color w:val="000000" w:themeColor="text1"/>
          <w:sz w:val="16"/>
          <w:szCs w:val="16"/>
        </w:rPr>
      </w:pPr>
      <w:r w:rsidRPr="00D03F3E">
        <w:rPr>
          <w:color w:val="000000" w:themeColor="text1"/>
          <w:sz w:val="16"/>
          <w:szCs w:val="16"/>
        </w:rPr>
        <w:t>Из состава 1-й воздушной армии для участия в налетах было выделено 44 двухмоторных бомбардировщика, 54 штурмовика и 135 истребителей. Часть последних предназначалась для сопровождения, а остальные — для отсечения истребителей противника и блокировки аэродромов. Однако для всех этих сил продолжение воздушной операция против «осиного гнезда» люфтваффе снова закончилось полным фиаско.</w:t>
      </w:r>
    </w:p>
    <w:p w14:paraId="65CF3963" w14:textId="77777777" w:rsidR="00C36D68" w:rsidRPr="00D03F3E" w:rsidRDefault="00C36D68" w:rsidP="00D03F3E">
      <w:pPr>
        <w:pStyle w:val="ae"/>
        <w:spacing w:before="0" w:after="0"/>
        <w:jc w:val="both"/>
        <w:textAlignment w:val="baseline"/>
        <w:rPr>
          <w:color w:val="000000" w:themeColor="text1"/>
          <w:sz w:val="16"/>
          <w:szCs w:val="16"/>
        </w:rPr>
      </w:pPr>
      <w:r w:rsidRPr="00D03F3E">
        <w:rPr>
          <w:color w:val="000000" w:themeColor="text1"/>
          <w:sz w:val="16"/>
          <w:szCs w:val="16"/>
        </w:rPr>
        <w:t>Так, 23 Ил-2 из 571-го и 566-го шап, которых должны были прикрывать истребители из 18-го гв. иап и 168-го иап, вечером 10 июня совершили налет на аэродром Брянск. Последние уже на подходе к цели были встречены немецкими истребителями и ввязались в воздушный бой. Штурмовики же, невзирая на сильный зенитный огонь, сбросили бомбы, правда, непонятно куда, а затем в момент разворота на обратный курс были атакованы сразу 15 Bf-109 и FW-190 из JG51 «Мёльдерс». В итоге на землю рухнуло 18 «горбатых», и только пятерым экипажам удалось довести изрешеченные машины до своих аэродромов.</w:t>
      </w:r>
    </w:p>
    <w:p w14:paraId="59D97CDB" w14:textId="77777777" w:rsidR="00C36D68" w:rsidRPr="00D03F3E" w:rsidRDefault="00C36D68" w:rsidP="00D03F3E">
      <w:pPr>
        <w:pStyle w:val="ae"/>
        <w:spacing w:before="0" w:after="0"/>
        <w:jc w:val="both"/>
        <w:textAlignment w:val="baseline"/>
        <w:rPr>
          <w:color w:val="000000" w:themeColor="text1"/>
          <w:sz w:val="16"/>
          <w:szCs w:val="16"/>
        </w:rPr>
      </w:pPr>
      <w:r w:rsidRPr="00D03F3E">
        <w:rPr>
          <w:color w:val="000000" w:themeColor="text1"/>
          <w:sz w:val="16"/>
          <w:szCs w:val="16"/>
        </w:rPr>
        <w:t>В провале удара был обвинен командир 168-го иап, которого отдали под суд военного трибунала. Но, самое главное, самопожертвование штурмовиков в стиле камикадзе оказалось совершенно бессмысленным.</w:t>
      </w:r>
    </w:p>
    <w:p w14:paraId="0797BAFF" w14:textId="77777777" w:rsidR="00C36D68" w:rsidRPr="00D03F3E" w:rsidRDefault="00C36D68" w:rsidP="00D03F3E">
      <w:pPr>
        <w:pStyle w:val="ae"/>
        <w:spacing w:before="0" w:after="0"/>
        <w:jc w:val="both"/>
        <w:textAlignment w:val="baseline"/>
        <w:rPr>
          <w:color w:val="000000" w:themeColor="text1"/>
          <w:sz w:val="16"/>
          <w:szCs w:val="16"/>
        </w:rPr>
      </w:pPr>
      <w:r w:rsidRPr="00D03F3E">
        <w:rPr>
          <w:color w:val="000000" w:themeColor="text1"/>
          <w:sz w:val="16"/>
          <w:szCs w:val="16"/>
        </w:rPr>
        <w:t>10 июня на аэродроме Брянск находились бомбардировщики Ju-88A из II. и III./KG51 «Эдельвейс», но ни один из них не пострадал.</w:t>
      </w:r>
    </w:p>
    <w:p w14:paraId="62ED8F84" w14:textId="77777777" w:rsidR="00C36D68" w:rsidRPr="00D03F3E" w:rsidRDefault="00C36D68" w:rsidP="00D03F3E">
      <w:pPr>
        <w:pStyle w:val="ae"/>
        <w:spacing w:before="0" w:after="0"/>
        <w:jc w:val="both"/>
        <w:textAlignment w:val="baseline"/>
        <w:rPr>
          <w:color w:val="000000" w:themeColor="text1"/>
          <w:sz w:val="16"/>
          <w:szCs w:val="16"/>
        </w:rPr>
      </w:pPr>
      <w:r w:rsidRPr="00D03F3E">
        <w:rPr>
          <w:color w:val="000000" w:themeColor="text1"/>
          <w:sz w:val="16"/>
          <w:szCs w:val="16"/>
        </w:rPr>
        <w:t>Двадцати трем экипажам 62-го и 312-го шап поручили снова атаковать Сещинскую. К ней самолеты подошли в 20.20, когда экипажи «Хейнкелей» ужинали, готовясь к очередному налету на промышленные центры Поволжья. Прием оказался «радушным». По приближающимся «черным смертям» палили десятки зенитных орудий разных калибров и крупнокалиберных пулеметов, в том числе расположенные на станции Сещинская и в одноименном поселке. Сотни разрывов искромсали вечернее небо. Огонь велся тремя ярусами, а вокруг аэродрома вообще встал сплошной колышущийся конус разрывов на всех высотах! Такого приветственного «салюта» пилоты штурмовиков еще не видели. Понятно, что ни о каком выборе конкретных целей для атаки не могло быть и речи. Пилоты просто на глазок целились по району аэродрома и, сбросив залпом весь боезапас, сразу отворачивали в сторону.</w:t>
      </w:r>
    </w:p>
    <w:p w14:paraId="4EA7B4B6" w14:textId="77777777" w:rsidR="00C36D68" w:rsidRPr="00D03F3E" w:rsidRDefault="00C36D68" w:rsidP="00D03F3E">
      <w:pPr>
        <w:pStyle w:val="ae"/>
        <w:spacing w:before="0" w:after="0"/>
        <w:jc w:val="both"/>
        <w:textAlignment w:val="baseline"/>
        <w:rPr>
          <w:color w:val="000000" w:themeColor="text1"/>
          <w:sz w:val="16"/>
          <w:szCs w:val="16"/>
        </w:rPr>
      </w:pPr>
      <w:r w:rsidRPr="00D03F3E">
        <w:rPr>
          <w:color w:val="000000" w:themeColor="text1"/>
          <w:sz w:val="16"/>
          <w:szCs w:val="16"/>
        </w:rPr>
        <w:t>Тем не менее прямым попаданием у Ил-2 младшего лейтенанта А. Г. Кузнецова оторвало правую плоскость, и он камнем пошел к земле. Еще два штурмовика получили повреждения. На отходе от цели группу попытались атаковать несколько «Фокке-Вульфов», но им помешали истребители сопровождения, имевшие большое численное превосходство. Немцы предпочли уклониться от боя и уйти в облака. И все же до этого они успели подбить два «цементбомбера», которые совершили вынужденные посадки «на живот».</w:t>
      </w:r>
    </w:p>
    <w:p w14:paraId="12CC8A54" w14:textId="77777777" w:rsidR="00C36D68" w:rsidRPr="00D03F3E" w:rsidRDefault="00C36D68" w:rsidP="00D03F3E">
      <w:pPr>
        <w:pStyle w:val="ae"/>
        <w:spacing w:before="0" w:after="0"/>
        <w:jc w:val="both"/>
        <w:textAlignment w:val="baseline"/>
        <w:rPr>
          <w:color w:val="000000" w:themeColor="text1"/>
          <w:sz w:val="16"/>
          <w:szCs w:val="16"/>
        </w:rPr>
      </w:pPr>
      <w:r w:rsidRPr="00D03F3E">
        <w:rPr>
          <w:color w:val="000000" w:themeColor="text1"/>
          <w:sz w:val="16"/>
          <w:szCs w:val="16"/>
        </w:rPr>
        <w:t>Основная же масса истребителей IV./JG51 в это время была занята уничтожением штурмовиков 224-й шад и подошедших бомбардировщиков Пе-2. В результате, пока в страхе озиравшиеся по сторонам пилоты Илов мчались на свои базы, позади них один за другим гибли пешки 204-й бад. Девятка во главе с командиром эскадрильи майором И. Г. Агеевым была сбита в полном составе. Погибли и попали в плен 27 членов их экипажей. Это был полный разгром.</w:t>
      </w:r>
    </w:p>
    <w:p w14:paraId="4BE374AF" w14:textId="77777777" w:rsidR="00C36D68" w:rsidRPr="00D03F3E" w:rsidRDefault="00C36D68" w:rsidP="00D03F3E">
      <w:pPr>
        <w:pStyle w:val="ae"/>
        <w:spacing w:before="0" w:after="0"/>
        <w:jc w:val="both"/>
        <w:textAlignment w:val="baseline"/>
        <w:rPr>
          <w:color w:val="000000" w:themeColor="text1"/>
          <w:sz w:val="16"/>
          <w:szCs w:val="16"/>
        </w:rPr>
      </w:pPr>
      <w:r w:rsidRPr="00D03F3E">
        <w:rPr>
          <w:color w:val="000000" w:themeColor="text1"/>
          <w:sz w:val="16"/>
          <w:szCs w:val="16"/>
        </w:rPr>
        <w:t>На следующий день самолеты-разведчики попытались сфотографировать результаты удара, но в районе цели увидели лишь облака и дымку. Между тем, по немецким данным, 10 июня аэродром Сещинская не пострадал, так же как и Брянск. Зато советские безвозвратные потери в ходе налетов на них в течение дня составили 41 самолет, в том числе 19 Ил-2, 11 Пе-2, по четыре Ла-5 и Як-7, а также три Як-1.</w:t>
      </w:r>
    </w:p>
    <w:p w14:paraId="700031F1" w14:textId="77777777" w:rsidR="00C36D68" w:rsidRPr="00D03F3E" w:rsidRDefault="00C36D68" w:rsidP="00D03F3E">
      <w:pPr>
        <w:pStyle w:val="ae"/>
        <w:spacing w:before="0" w:after="0"/>
        <w:jc w:val="both"/>
        <w:textAlignment w:val="baseline"/>
        <w:rPr>
          <w:color w:val="000000" w:themeColor="text1"/>
          <w:sz w:val="16"/>
          <w:szCs w:val="16"/>
        </w:rPr>
      </w:pPr>
      <w:r w:rsidRPr="00D03F3E">
        <w:rPr>
          <w:color w:val="000000" w:themeColor="text1"/>
          <w:sz w:val="16"/>
          <w:szCs w:val="16"/>
        </w:rPr>
        <w:t>В очередной раз отличились пилоты JG51 «Мёльдерс». Обер-фельдфебель Ханс Пфэлер из 12-й эскадрильи в течение четырнадцати минут сбил четыре пешки и один «Лавочкин», а командир 10-й эскадрильи обер-лейтенант Гюнтер фон Фассонг в течение девяти минут — три Пе-2. Кавалер Рыцарского креста лейтенант Генрих Хофемейер из 3-й эскадрильи за восемь минут отправил на землю три Ил-2, а обер-фельдфебель Гюнтер Коззатц и унтер-офицер Гюнтер Йостен из 1-й эскадрильи соответственно за шесть и девять минут — еще по три «цементбомбера» (19522).</w:t>
      </w:r>
    </w:p>
    <w:p w14:paraId="5288D89F" w14:textId="77777777" w:rsidR="00C36D68" w:rsidRPr="00D03F3E" w:rsidRDefault="00C36D68" w:rsidP="00D03F3E">
      <w:pPr>
        <w:pStyle w:val="ae"/>
        <w:spacing w:before="0" w:after="0"/>
        <w:jc w:val="both"/>
        <w:textAlignment w:val="baseline"/>
        <w:rPr>
          <w:color w:val="000000" w:themeColor="text1"/>
          <w:sz w:val="16"/>
          <w:szCs w:val="16"/>
        </w:rPr>
      </w:pPr>
    </w:p>
    <w:p w14:paraId="28F3A14C" w14:textId="77777777" w:rsidR="00BC570C" w:rsidRPr="00D03F3E" w:rsidRDefault="00BC57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10 июня 1943 удары по авиабазам продолжились. Уже в 4.15 по московскому времени над аэродромом Харьков</w:t>
      </w:r>
      <w:r w:rsidRPr="00D03F3E">
        <w:rPr>
          <w:rFonts w:ascii="Times New Roman" w:hAnsi="Times New Roman"/>
          <w:color w:val="0070C0"/>
          <w:sz w:val="16"/>
          <w:szCs w:val="16"/>
        </w:rPr>
        <w:noBreakHyphen/>
        <w:t>Сокольники послышался натужный рев моторов. Надо заметить, что в тот момент на нем никаких бомбардировщиков не базировалось, а пилоты находившихся там «Штук» и слыхом не слыхивали про Горьковский автозавод. Наземный персонал и летчики уже по звуку поняли, кем были эти непрошеные гости.</w:t>
      </w:r>
    </w:p>
    <w:p w14:paraId="257FAF70" w14:textId="77777777" w:rsidR="00BC570C" w:rsidRPr="00D03F3E" w:rsidRDefault="00BC57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Вместе с восходом солнца с востока двумя группами приближались 24 Ил</w:t>
      </w:r>
      <w:r w:rsidRPr="00D03F3E">
        <w:rPr>
          <w:rFonts w:ascii="Times New Roman" w:hAnsi="Times New Roman"/>
          <w:color w:val="0070C0"/>
          <w:sz w:val="16"/>
          <w:szCs w:val="16"/>
        </w:rPr>
        <w:noBreakHyphen/>
        <w:t>2 из 66</w:t>
      </w:r>
      <w:r w:rsidRPr="00D03F3E">
        <w:rPr>
          <w:rFonts w:ascii="Times New Roman" w:hAnsi="Times New Roman"/>
          <w:color w:val="0070C0"/>
          <w:sz w:val="16"/>
          <w:szCs w:val="16"/>
        </w:rPr>
        <w:noBreakHyphen/>
        <w:t>го и 673</w:t>
      </w:r>
      <w:r w:rsidRPr="00D03F3E">
        <w:rPr>
          <w:rFonts w:ascii="Times New Roman" w:hAnsi="Times New Roman"/>
          <w:color w:val="0070C0"/>
          <w:sz w:val="16"/>
          <w:szCs w:val="16"/>
        </w:rPr>
        <w:noBreakHyphen/>
        <w:t>го шап. Впрочем, налетов «цементбомберов» могла испугаться только необстрелянная молодежь, все, кто поопытнее, знали, что самый верный способ уцелеть – это оставаться на месте и продолжать спать либо вообще пойти и лечь под самолет. Бомбы попадут куда угодно, но не в него!</w:t>
      </w:r>
    </w:p>
    <w:p w14:paraId="2E7A1276" w14:textId="77777777" w:rsidR="00BC570C" w:rsidRPr="00D03F3E" w:rsidRDefault="00BC57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Так оно и получилось. Пилоты «горбатых» потом, как всегда красочно, расписали свой удар: «10 взрывов, сопровождавшихся большим пламенем, подавлено несколько зениток, 35 уничтоженных самолетов» [74] . Согласно же немецким данным, осколками бомб был легко поврежден лишь один Ju</w:t>
      </w:r>
      <w:r w:rsidRPr="00D03F3E">
        <w:rPr>
          <w:rFonts w:ascii="Times New Roman" w:hAnsi="Times New Roman"/>
          <w:color w:val="0070C0"/>
          <w:sz w:val="16"/>
          <w:szCs w:val="16"/>
        </w:rPr>
        <w:noBreakHyphen/>
        <w:t>87D из 3</w:t>
      </w:r>
      <w:r w:rsidRPr="00D03F3E">
        <w:rPr>
          <w:rFonts w:ascii="Times New Roman" w:hAnsi="Times New Roman"/>
          <w:color w:val="0070C0"/>
          <w:sz w:val="16"/>
          <w:szCs w:val="16"/>
        </w:rPr>
        <w:noBreakHyphen/>
        <w:t>й эскадрильи StG77. При этом Илы не сумели уйти без потерь, с задания не вернулись машины младших лейтенантов Левченко и Киндарьяна.</w:t>
      </w:r>
    </w:p>
    <w:p w14:paraId="1C230A3E" w14:textId="77777777" w:rsidR="00BC570C" w:rsidRPr="00D03F3E" w:rsidRDefault="00BC57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 ударом 800</w:t>
      </w:r>
      <w:r w:rsidRPr="00D03F3E">
        <w:rPr>
          <w:rFonts w:ascii="Times New Roman" w:hAnsi="Times New Roman"/>
          <w:color w:val="0070C0"/>
          <w:sz w:val="16"/>
          <w:szCs w:val="16"/>
        </w:rPr>
        <w:noBreakHyphen/>
        <w:t>го и 820</w:t>
      </w:r>
      <w:r w:rsidRPr="00D03F3E">
        <w:rPr>
          <w:rFonts w:ascii="Times New Roman" w:hAnsi="Times New Roman"/>
          <w:color w:val="0070C0"/>
          <w:sz w:val="16"/>
          <w:szCs w:val="16"/>
        </w:rPr>
        <w:noBreakHyphen/>
        <w:t>го шап по аэродрому Микояновка получилось то же самое. После безуспешной атаки штурмовики на отходе были атакованы «Мессершмиттами», видимо взлетевшими с «блокированного» истребителями 4</w:t>
      </w:r>
      <w:r w:rsidRPr="00D03F3E">
        <w:rPr>
          <w:rFonts w:ascii="Times New Roman" w:hAnsi="Times New Roman"/>
          <w:color w:val="0070C0"/>
          <w:sz w:val="16"/>
          <w:szCs w:val="16"/>
        </w:rPr>
        <w:noBreakHyphen/>
        <w:t>го иак аэродрома Рогань. В результате были один за другим сбиты два Ил</w:t>
      </w:r>
      <w:r w:rsidRPr="00D03F3E">
        <w:rPr>
          <w:rFonts w:ascii="Times New Roman" w:hAnsi="Times New Roman"/>
          <w:color w:val="0070C0"/>
          <w:sz w:val="16"/>
          <w:szCs w:val="16"/>
        </w:rPr>
        <w:noBreakHyphen/>
        <w:t>2.</w:t>
      </w:r>
    </w:p>
    <w:p w14:paraId="074CAA0B" w14:textId="77777777" w:rsidR="00BC570C" w:rsidRPr="00D03F3E" w:rsidRDefault="00BC57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Из состава 1</w:t>
      </w:r>
      <w:r w:rsidRPr="00D03F3E">
        <w:rPr>
          <w:rFonts w:ascii="Times New Roman" w:hAnsi="Times New Roman"/>
          <w:color w:val="0070C0"/>
          <w:sz w:val="16"/>
          <w:szCs w:val="16"/>
        </w:rPr>
        <w:noBreakHyphen/>
        <w:t>й воздушной армии для участия в налетах было выделено 44 двухмоторных бомбардировщика, 54 штурмовика и 135 истребителей. Часть последних предназначалась для сопровождения, а остальные – для отсечения истребителей противника и блокировки аэродромов. Однако для всех этих сил продолжение воздушной операция против «осиного гнезда» люфтваффе снова закончилось полным фиаско.</w:t>
      </w:r>
    </w:p>
    <w:p w14:paraId="23242058" w14:textId="77777777" w:rsidR="00BC570C" w:rsidRPr="00D03F3E" w:rsidRDefault="00BC57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Так, 23 Ил</w:t>
      </w:r>
      <w:r w:rsidRPr="00D03F3E">
        <w:rPr>
          <w:rFonts w:ascii="Times New Roman" w:hAnsi="Times New Roman"/>
          <w:color w:val="0070C0"/>
          <w:sz w:val="16"/>
          <w:szCs w:val="16"/>
        </w:rPr>
        <w:noBreakHyphen/>
        <w:t>2 из 571</w:t>
      </w:r>
      <w:r w:rsidRPr="00D03F3E">
        <w:rPr>
          <w:rFonts w:ascii="Times New Roman" w:hAnsi="Times New Roman"/>
          <w:color w:val="0070C0"/>
          <w:sz w:val="16"/>
          <w:szCs w:val="16"/>
        </w:rPr>
        <w:noBreakHyphen/>
        <w:t>го и 566</w:t>
      </w:r>
      <w:r w:rsidRPr="00D03F3E">
        <w:rPr>
          <w:rFonts w:ascii="Times New Roman" w:hAnsi="Times New Roman"/>
          <w:color w:val="0070C0"/>
          <w:sz w:val="16"/>
          <w:szCs w:val="16"/>
        </w:rPr>
        <w:noBreakHyphen/>
        <w:t>го шап, которых должны были прикрывать истребители из 18</w:t>
      </w:r>
      <w:r w:rsidRPr="00D03F3E">
        <w:rPr>
          <w:rFonts w:ascii="Times New Roman" w:hAnsi="Times New Roman"/>
          <w:color w:val="0070C0"/>
          <w:sz w:val="16"/>
          <w:szCs w:val="16"/>
        </w:rPr>
        <w:noBreakHyphen/>
        <w:t>го гв. иап и 168</w:t>
      </w:r>
      <w:r w:rsidRPr="00D03F3E">
        <w:rPr>
          <w:rFonts w:ascii="Times New Roman" w:hAnsi="Times New Roman"/>
          <w:color w:val="0070C0"/>
          <w:sz w:val="16"/>
          <w:szCs w:val="16"/>
        </w:rPr>
        <w:noBreakHyphen/>
        <w:t>го иап, вечером 10 июня совершили налет на аэродром Брянск. Последние уже на подходе к цели были встречены немецкими истребителями и ввязались в воздушный бой. Штурмовики же, невзирая на сильный зенитный огонь, сбросили бомбы, правда, непонятно куда, а затем в момент разворота на обратный курс были атакованы сразу 15 Bf</w:t>
      </w:r>
      <w:r w:rsidRPr="00D03F3E">
        <w:rPr>
          <w:rFonts w:ascii="Times New Roman" w:hAnsi="Times New Roman"/>
          <w:color w:val="0070C0"/>
          <w:sz w:val="16"/>
          <w:szCs w:val="16"/>
        </w:rPr>
        <w:noBreakHyphen/>
        <w:t>109 и FW</w:t>
      </w:r>
      <w:r w:rsidRPr="00D03F3E">
        <w:rPr>
          <w:rFonts w:ascii="Times New Roman" w:hAnsi="Times New Roman"/>
          <w:color w:val="0070C0"/>
          <w:sz w:val="16"/>
          <w:szCs w:val="16"/>
        </w:rPr>
        <w:noBreakHyphen/>
        <w:t>190 из JG51 «Мёльдерс». В итоге на землю рухнуло 18 «горбатых», и только пятерым экипажам удалось довести изрешеченные машины до своих аэродромов.</w:t>
      </w:r>
    </w:p>
    <w:p w14:paraId="3BF99A39" w14:textId="77777777" w:rsidR="00BC570C" w:rsidRPr="00D03F3E" w:rsidRDefault="00BC57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10 июня на аэродроме Брянск находились бомбардировщики Ju</w:t>
      </w:r>
      <w:r w:rsidRPr="00D03F3E">
        <w:rPr>
          <w:rFonts w:ascii="Times New Roman" w:hAnsi="Times New Roman"/>
          <w:color w:val="0070C0"/>
          <w:sz w:val="16"/>
          <w:szCs w:val="16"/>
        </w:rPr>
        <w:noBreakHyphen/>
        <w:t>88A из II. и III./KG51 «Эдельвейс», но ни один из них не пострадал.</w:t>
      </w:r>
    </w:p>
    <w:p w14:paraId="719E56C5" w14:textId="77777777" w:rsidR="00BC570C" w:rsidRPr="00D03F3E" w:rsidRDefault="00BC57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Двадцати трем экипажам 62</w:t>
      </w:r>
      <w:r w:rsidRPr="00D03F3E">
        <w:rPr>
          <w:rFonts w:ascii="Times New Roman" w:hAnsi="Times New Roman"/>
          <w:color w:val="0070C0"/>
          <w:sz w:val="16"/>
          <w:szCs w:val="16"/>
        </w:rPr>
        <w:noBreakHyphen/>
        <w:t>го и 312</w:t>
      </w:r>
      <w:r w:rsidRPr="00D03F3E">
        <w:rPr>
          <w:rFonts w:ascii="Times New Roman" w:hAnsi="Times New Roman"/>
          <w:color w:val="0070C0"/>
          <w:sz w:val="16"/>
          <w:szCs w:val="16"/>
        </w:rPr>
        <w:noBreakHyphen/>
        <w:t>го шап поручили снова атаковать Сещинскую. К ней самолеты подошли в 20.20, когда экипажи «Хейнкелей» ужинали, готовясь к очередному налету на промышленные центры Поволжья. Прием оказался «радушным». По приближающимся «черным смертям» палили десятки зенитных орудий разных калибров и крупнокалиберных пулеметов, в том числе расположенные на станции Сещинская и в одноименном поселке. Сотни разрывов искромсали вечернее небо. Огонь велся тремя ярусами, а вокруг аэродрома вообще встал сплошной колышущийся конус разрывов на всех высотах! Такого приветственного «салюта» пилоты штурмовиков еще не видели. Понятно, что ни о каком выборе конкретных целей для атаки не могло быть и речи. Пилоты просто на глазок целились по району аэродрома и, сбросив залпом весь боезапас, сразу отворачивали в сторону.</w:t>
      </w:r>
    </w:p>
    <w:p w14:paraId="6273AA24" w14:textId="77777777" w:rsidR="00BC570C" w:rsidRPr="00D03F3E" w:rsidRDefault="00BC57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Тем не менее прямым попаданием у Ил</w:t>
      </w:r>
      <w:r w:rsidRPr="00D03F3E">
        <w:rPr>
          <w:rFonts w:ascii="Times New Roman" w:hAnsi="Times New Roman"/>
          <w:color w:val="0070C0"/>
          <w:sz w:val="16"/>
          <w:szCs w:val="16"/>
        </w:rPr>
        <w:noBreakHyphen/>
        <w:t>2 младшего лейтенанта А.Г. Кузнецова оторвало правую плоскость, и он камнем пошел к земле. Еще два штурмовика получили повреждения. На отходе от цели группу попытались атаковать несколько «Фокке</w:t>
      </w:r>
      <w:r w:rsidRPr="00D03F3E">
        <w:rPr>
          <w:rFonts w:ascii="Times New Roman" w:hAnsi="Times New Roman"/>
          <w:color w:val="0070C0"/>
          <w:sz w:val="16"/>
          <w:szCs w:val="16"/>
        </w:rPr>
        <w:noBreakHyphen/>
        <w:t>Вульфов», но им помешали истребители сопровождения, имевшие большое численное превосходство. Немцы предпочли уклониться от боя и уйти в облака. И все же до этого они успели подбить два «цементбомбера», которые совершили вынужденные посадки «на живот».</w:t>
      </w:r>
    </w:p>
    <w:p w14:paraId="0A531A8C" w14:textId="77777777" w:rsidR="00BC570C" w:rsidRPr="00D03F3E" w:rsidRDefault="00BC57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Основная же масса истребителей IV./JG51 в это время была занята уничтожением штурмовиков 224</w:t>
      </w:r>
      <w:r w:rsidRPr="00D03F3E">
        <w:rPr>
          <w:rFonts w:ascii="Times New Roman" w:hAnsi="Times New Roman"/>
          <w:color w:val="0070C0"/>
          <w:sz w:val="16"/>
          <w:szCs w:val="16"/>
        </w:rPr>
        <w:noBreakHyphen/>
        <w:t>й шад и подошедших бомбардировщиков Пе</w:t>
      </w:r>
      <w:r w:rsidRPr="00D03F3E">
        <w:rPr>
          <w:rFonts w:ascii="Times New Roman" w:hAnsi="Times New Roman"/>
          <w:color w:val="0070C0"/>
          <w:sz w:val="16"/>
          <w:szCs w:val="16"/>
        </w:rPr>
        <w:noBreakHyphen/>
        <w:t>2. В результате, пока в страхе озиравшиеся по сторонам пилоты И лов мчались на свои базы, позади них один за другим гибли пешки 204</w:t>
      </w:r>
      <w:r w:rsidRPr="00D03F3E">
        <w:rPr>
          <w:rFonts w:ascii="Times New Roman" w:hAnsi="Times New Roman"/>
          <w:color w:val="0070C0"/>
          <w:sz w:val="16"/>
          <w:szCs w:val="16"/>
        </w:rPr>
        <w:noBreakHyphen/>
        <w:t>й бад. Девятка во главе с командиром эскадрильи майором И.Г. Агеевым была сбита в полном составе. Погибли и попали в плен 27 членов их экипажей. Это был полный разгром [76] .</w:t>
      </w:r>
    </w:p>
    <w:p w14:paraId="312E1CD1" w14:textId="77777777" w:rsidR="00BC570C" w:rsidRPr="00D03F3E" w:rsidRDefault="00BC570C"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следующий день самолеты</w:t>
      </w:r>
      <w:r w:rsidRPr="00D03F3E">
        <w:rPr>
          <w:rFonts w:ascii="Times New Roman" w:hAnsi="Times New Roman"/>
          <w:color w:val="0070C0"/>
          <w:sz w:val="16"/>
          <w:szCs w:val="16"/>
        </w:rPr>
        <w:noBreakHyphen/>
        <w:t>разведчики попытались сфотографировать результаты удара, но в районе цели увидели лишь облака и дымку. Между тем, по немецким данным, 10 июня аэродром Сещинская не пострадал, так же как и Брянск. Зато советские безвозвратные потери в ходе налетов на них в течение дня составили 41 самолет, в том числе 19 Ил</w:t>
      </w:r>
      <w:r w:rsidRPr="00D03F3E">
        <w:rPr>
          <w:rFonts w:ascii="Times New Roman" w:hAnsi="Times New Roman"/>
          <w:color w:val="0070C0"/>
          <w:sz w:val="16"/>
          <w:szCs w:val="16"/>
        </w:rPr>
        <w:noBreakHyphen/>
        <w:t>2, 11 Пе</w:t>
      </w:r>
      <w:r w:rsidRPr="00D03F3E">
        <w:rPr>
          <w:rFonts w:ascii="Times New Roman" w:hAnsi="Times New Roman"/>
          <w:color w:val="0070C0"/>
          <w:sz w:val="16"/>
          <w:szCs w:val="16"/>
        </w:rPr>
        <w:noBreakHyphen/>
        <w:t>2, по четыре Ла</w:t>
      </w:r>
      <w:r w:rsidRPr="00D03F3E">
        <w:rPr>
          <w:rFonts w:ascii="Times New Roman" w:hAnsi="Times New Roman"/>
          <w:color w:val="0070C0"/>
          <w:sz w:val="16"/>
          <w:szCs w:val="16"/>
        </w:rPr>
        <w:noBreakHyphen/>
        <w:t>5 и Як</w:t>
      </w:r>
      <w:r w:rsidRPr="00D03F3E">
        <w:rPr>
          <w:rFonts w:ascii="Times New Roman" w:hAnsi="Times New Roman"/>
          <w:color w:val="0070C0"/>
          <w:sz w:val="16"/>
          <w:szCs w:val="16"/>
        </w:rPr>
        <w:noBreakHyphen/>
        <w:t>7, а также три Як</w:t>
      </w:r>
      <w:r w:rsidRPr="00D03F3E">
        <w:rPr>
          <w:rFonts w:ascii="Times New Roman" w:hAnsi="Times New Roman"/>
          <w:color w:val="0070C0"/>
          <w:sz w:val="16"/>
          <w:szCs w:val="16"/>
        </w:rPr>
        <w:noBreakHyphen/>
        <w:t>1 (23199).</w:t>
      </w:r>
    </w:p>
    <w:p w14:paraId="51143AFE" w14:textId="77777777" w:rsidR="00BC570C" w:rsidRPr="00D03F3E" w:rsidRDefault="00BC570C" w:rsidP="00D03F3E">
      <w:pPr>
        <w:spacing w:after="0" w:line="240" w:lineRule="auto"/>
        <w:jc w:val="both"/>
        <w:rPr>
          <w:rFonts w:ascii="Times New Roman" w:hAnsi="Times New Roman"/>
          <w:color w:val="0070C0"/>
          <w:sz w:val="16"/>
          <w:szCs w:val="16"/>
        </w:rPr>
      </w:pPr>
    </w:p>
    <w:p w14:paraId="66EB1F28" w14:textId="77777777" w:rsidR="00C36D68" w:rsidRPr="00D03F3E" w:rsidRDefault="00C36D68" w:rsidP="00D03F3E">
      <w:pPr>
        <w:pStyle w:val="ae"/>
        <w:spacing w:before="0" w:after="0"/>
        <w:jc w:val="both"/>
        <w:textAlignment w:val="baseline"/>
        <w:rPr>
          <w:color w:val="000000" w:themeColor="text1"/>
          <w:sz w:val="16"/>
          <w:szCs w:val="16"/>
        </w:rPr>
      </w:pPr>
      <w:r w:rsidRPr="00D03F3E">
        <w:rPr>
          <w:color w:val="000000" w:themeColor="text1"/>
          <w:sz w:val="16"/>
          <w:szCs w:val="16"/>
        </w:rPr>
        <w:t>По 10 июня 1943 с 5 по официальным советским данным, авиация совершила 3360 самолето-вылетов для нанесения ударов по аэродромам люфтваффе, якобы уничтожив от 140 до 170 самолетов. На самом деле за все это время люфтваффе потеряли на земле только один Ju-88, еще две машины получили легкие повреждения. При этом собственные потери атаковавших составили 106 машин! По данным оперативного управления ВВС Красной армии, боевая живучесть Ил-2 при налетах на аэродромы противника в операциях воздушных армий в мае — июне 1943 г. в среднем составляла 15,2 самолето-вылета на одну потерю (19522).</w:t>
      </w:r>
    </w:p>
    <w:p w14:paraId="651721BD" w14:textId="77777777" w:rsidR="00C36D68" w:rsidRPr="00D03F3E" w:rsidRDefault="00C36D68" w:rsidP="00D03F3E">
      <w:pPr>
        <w:pStyle w:val="ae"/>
        <w:spacing w:before="0" w:after="0"/>
        <w:jc w:val="both"/>
        <w:textAlignment w:val="baseline"/>
        <w:rPr>
          <w:color w:val="000000" w:themeColor="text1"/>
          <w:sz w:val="16"/>
          <w:szCs w:val="16"/>
        </w:rPr>
      </w:pPr>
    </w:p>
    <w:p w14:paraId="4376323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июня 1943 днем 1-я воздушная армия бросила на них 45 двухмоторных бомбардировщиков и 56 штурмовиков, а также 172 истребителя, из которых 104 предназначались для сопровождения, 28 – для «отсечения» истребителей противника и 40 – для блокировки аэродромов. Однако операция снова закончилась полным фиаско.</w:t>
      </w:r>
    </w:p>
    <w:p w14:paraId="2870562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Так, 23 Ил-2из 571-го и 566-го ШАП совершили налет на аэродром Брянск. Сопровождавшие их истребители из 18-го Гв.ИАП и 168 -го ИАП уже на подходе к цели столкнулись с немецкими истребителями и ввязались в воздушный бой. Штурмовики же, невзирая на сильный зенитный огонь, сбросили бомбы, но в момент разворота на обратный курс были атакованы пятнадцатью Bf-109 и FW-190. В результате были сбиты 18 «Илов» и лишь пятерым экипажам удалось довести </w:t>
      </w:r>
      <w:r w:rsidRPr="00D03F3E">
        <w:rPr>
          <w:rFonts w:ascii="Times New Roman" w:hAnsi="Times New Roman"/>
          <w:color w:val="000000" w:themeColor="text1"/>
          <w:sz w:val="16"/>
          <w:szCs w:val="16"/>
        </w:rPr>
        <w:lastRenderedPageBreak/>
        <w:t>изрешеченные пулями машины до своих аэродромов. В провале операции обвинили командира 168-го ИАП, которого отдали под суд военного трибунала. Советская авиация дальнего действия в прошедшую ночь тоже не бездействовала. Вечером 10 июня и в ночь на 11 июня ее самолеты вновь попытались совершить массированные налеты на немецкие аэродромы в Брянской и Орловской областях. Всего в двух атаках участвовали около 700 бомбардировщиков, экипажи которых доложили об уничтожении ими 150 самолетов противника. При этом собственные потери, в т.ч. от огня зенитной артиллерии, составили 19 машин! Фактически же никаких серьезных повреждений немецкие аэродромы не получили. В ночь на 12 июня 468 самолетов совершили очередной налет на Сещинскую, Брянск, Орел и Боровск. Параллельно немецкие аэродромы каждую ночь атаковали еще и легкие бомбардировщики У-2 (11774).</w:t>
      </w:r>
    </w:p>
    <w:p w14:paraId="78A69DB0"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AFC629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июня 1943 немецкие самолеты над Горьким в 18.30, как в предыдущие дни, не пролетали, и очередной летний вечер в штабе корпусного района ПВО прошел оптимистически. Во-первых, все ждали, что немцы опять будут бомбить Ярославль, во-вторых, налет на последний показал, что горьковские зенитчики отнюдь не самые плохие в стране. И все же напряжение чувствовалось. Когда стрелка часов приблизилась к 22 часам, все стали заметно нервничать. Ощущалось напряжение и на улицах Горького. Многие жители судорожно курили, с опаской поглядывая на темнеющее небо. На юго-западе автозаводцы угрюмыми колоннами тянулись за город с котомками и тележками. Зенитчики поудобнее раскладывали ящики со снарядами, проверяли механизмы орудий. Ближе к ночи похолодало до + 16°С, дул слабый северо-восточный ветер. И вот после 22.30 посты ВНОС зафиксировали несколько десятков самолетов, пролетевших над линией фронта. Поначалу еще была надежда, что они повернут на север, но вскоре стало ясно, что бомбардировщики все же идут в направлении Горького. Через сорок минут сомнений не осталось, наблюдатели из района Мурома докладывали:  «Слышен гул авиационных моторов». В 23.24 генерал Осипов вновь приказал подать сигнал «Воздушная тревога». Городской сигнал «ВТ» был принят районами города и продублирован средствами оповещения в течение семи минут. По сообщениям наблюдателей, на город шли 50 немецких бомбардировщиков Не-111 и Ju-88. Всего были зафиксированы 18 групповых и одиночных целей летевших по маршруту Муром – Павлово – Горький на высоте 4000– 6000 м.</w:t>
      </w:r>
    </w:p>
    <w:p w14:paraId="2F60470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полуночи над Ворошиловским, Ленинским и Автозаводским районами были сброшены свыше ста осветительных ракет. Объектами атаки стали водозаборы на Оке и автозавод им. Молотова. А. И. Стариков, сын одного из членов команды землесоса «Волжский-15», стоявшего у высокого берега Оки, потом рассказывал:  «Я, как потенциальный работник, имел в трюме  (брандвахты. –  Прим. авт.) свою каюту, там я спал в ту жуткую ночь крепким сном. Сквозь сон слышу невероятной силы грозу. Непрерывный гул грома и яркие вспышки молнии постепенно придали какое-то беспокойство, и я стал приходить в себя. Очнувшись ото сна, я понял – творится что-то страшное».  Выбежав на палубу, подросток увидел страшное зрелище. Со стороны автозавода доносился сотрясающий воздух грохот взрывающихся бомб, сверху рвались зенитные снаряды. То тут, то там возникали кратковременные яркие вспышки. А в небе горели, словно подвешенные, громадные люстры, ярко освещавшие все вокруг.  «На высоком берегу через нас била зенитная батарея. То ли снаряды не достигали высоты полета, то ли маршрут был в другом направлении, только рвались они над нами и осыпали осколками палубу, а сбитых самолетов не появлялось. Во многих местах города видны были взрывы бомб. Затем с неприятным воем обрушился поток бомб на прорытый канал, очищенную водокачку, и два фугаса взорвались у землесоса елевого борта. Отец мой был там на вахте, и я переживал за него. К счастью, судно не пострадало, но лодки под бортом были оборваны и унесены по течению вниз», — вспоминал Стариков. «Хейнкели» и «Юнкерсы» нанесли новый удар по территории и корпусам автозавода им. Молотова. Поданным службы МПВО, на него были сброшены свыше 130 фугасных и 23 тяжелых зажигательных бомбы. В результате прямого попадания двух SD70 и одной Brand C250A возник сильный пожар в полуразрушенном моторном цехе № 2. При этом обрушились конструкции кровли и выгорели 200 кв. м утеплительного покрытия. В литейном цехе серого чугуна мощными взрывами при прямых попаданиях семи бомб разрушило охладительный конвейер и стержневое отделение, сильно повредило фермы крыши склада моделей и конвейера № 3, возник сильный пожар. Двумя бомбами SC50 была разрушена казарма одного из подразделений полка НКВД по охране завода, погиб один человек. В механосборочном цехе № 4 фугасная бомба пробила три перекрытия и разрушила столовую технического сектора. Сильный пожар возник также на складе импортных автомобилей, где сгорели около 30 машин. Мощный взрыв, прогремевший около ТЭЦ, разрушил линию электропередач, идущую в направлении гавани. Множество бомб разного калибра взорвались в ранее разрушенных цехах, где уточнение повреждений не представлялось возможным. Несколько бомб упали и на авиамоторный завод № 466.</w:t>
      </w:r>
    </w:p>
    <w:p w14:paraId="1B90B1A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жилой сектор, гавань и старую водозаборную станцию немецкие самолеты, по данным службы МПВО, сбросили 215 фугасных и около 100 зажигательных бомб. Только на поселок Зеленый упали 70 бомб Brand С50Аи Brand C50B, а также 70 килограммовых «зажигалок». Здесь возникли большие пожары, охватившие целые улицы. В результате были разрушены и сгорели 12 каркасно-засыпных бараков, школа № 24 и 300 деревянных сараев. Уцелевшие здания получили большие повреждения. По официальным данным, погибли семь человек, еще четыре получили ранения. В гавани ГАЗа была уничтожена контора порта, шесть складов, в т.ч. три с цементом, а также четыре транспортера для грузов и центробежный насос. На мелководье бомбами была потоплена баржа в 125 брт. В Северном и Западном поселках сгорели по одному жилому бараку. На поселок Монастырка были сброшены 25 фугасных бомб. Две разорвались возле райисполкома, остальные упали среди домов. Сгорел барак на распаковочной площадке автомашин, из перебитой водопроводной магистрали хлынул фонтан воды. На одной из улиц в щели оказались засыпанными сразу 80 жителей. И хотя местный отряд МПВО немедленно приступил к раскопкам, трое из них все же задохнулись и умерли. На ликвидации пожаров на автозаводе им. Молотова и в жилом секторе работали 18 автонасосов и два пожарных поезда, с пожарами в гавани боролись пожарный пароход и катер. Мелкие загорания и зажигательные бомбы тушились группами самозащиты. Дольше всего горел моторный цех № 2, где очаг удалось локализовать и ликвидировать только к 04.00. Несколько самолетов отбомбились по Ленинскому району, причем объектами атаки стали как предприятия, так и жилой сектор. В завод пищеконцентратов, расположенный в 600 м севернее станкозавода, попали одна фугасная и семь тяжелых зажигательных бомб. Там были сильно разрушены главный корпус, линии электропередач и водопровод. Сильной бомбежке подвергся также берег Оки около судоремонтного завода им. 25 октября. Здесь упали 36 зажигательных 50-кг бомб, шесть угодили в Молитовский причал, остальные – в район склада льна. Возникшие очаги пожаров были затушены песком охраной склада. Рабочие завода № 718 «Двигатель революции» отделались легким испугом. На территории предприятия взорвались 14 фугасных бомб, большинство из них на открытых площадках между цехами. Взрывной волной в корпусах вышибло стекла фонарей и переплеты. Одной 250-кг бомбой была частично разрушена проходная завода и контора гаража. Еще восемь фугасок упали на рабочий поселок. При этом сильно пострадал пятиэтажный дом № 9 на ул. Перекопской, проходящей в 100—200 м от завода. В нем полностью обрушились 1-й и 4-й подъезды. Были уничтожены 18 квартир, в которых проживали 35 семей рабочих и служащих завода. Остальная часть здания устояла, но в квартирах попадали перегородки, частично обвалились потолки, рухнули лестничные пролеты. Здесь погибли пять человек, еще три получили ранения. Водопровод на ул. Перекопской оказался разрушенным на протяжении 35 м. В трехстах метрах отсюда, на ул. Каширской, фугасная бомба взорвалась около барака № 49 в непосредственной близости от щели, в которой отсиживались его жильцы. В итоге 10 человек оказались заваленными землей.</w:t>
      </w:r>
    </w:p>
    <w:p w14:paraId="18FC27A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Аварийно-восстановительная команда станкозавода, конторы Союзстанкостроя, а также формирования МПВО Ленинского района сразу приступили к ликвидации последствий. На ул. Архитектурной, проходящей рядом с заводом пищеконцентратов, около барака № 7 была найдена неразорвавшаяся осколочная бомба весом 70 кг. Вскоре неподалеку на пустыре, около аэростата заграждения, обнаружили еще одну отказавшую фугаску. В ходе раскапывания щели у барака № 49 были извлечены шесть раненых и четыре трупа. Позже на огороде частного дома № 156 на ул. Баумана бойцы МПВО обнаружили отверстие, из которого торчал еще один зловещий стабилизатор бомбы.</w:t>
      </w:r>
    </w:p>
    <w:p w14:paraId="1C8A6FF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Пострадал и расположенный в нагорной части города Ворошиловский район и его окрестности. Здесь немецкие самолеты, по подсчетам бойцов МПВО, сбросили 65 термитных зажигательных бомб В1. Двенадцать из них упали на аэродром Мыза, где были затушены охраной, еще десять – на деревню Ляхово. Там вспыхнул скотный двор, который до утра тушила деревенская пожарная дружина. 33 зажигалки попали на территорию Ляховской колонии для душевнобольных, часть угодила в крышу основного корпуса, остальные – в хозяйственные постройки, школу и деревянный барак. Пациенты колонии справились с последствиями бомбежки на редкость успешно, противопожарные звенья и группы действовали слаженно, своевременно обнаружив все очаги возгораний, доставили туда ведра с песком и затушили все бомбы. Сгорели дотла лишь семь курятников. Еще двадцать зажигалок упали в овраг за забором колонии, создав там эффектное светопреставление. На их тушение были посланы несколько человек. На расположенную у окраины города деревню Щербинка [169] были сброшены 19 фугасных бомб и одна BrandC50A. Мощнейшие взрывы один за другим сотрясли окрестности. Во всех домах вылетели стекла и оконные рамы, попадали заборы и деревья, обрушились сараи. Воздух заполнил запах пыли и гари. Каждый житель в тот момент, наверное, подумал, что все вокруг, кроме него, погибли. Однако вскоре оказалось, что щербинковцы родились в рубашках. Все бомбы взорвались на огородах и картофельных полях, и ни один дом не разрушился. Более того, погиб всего один человек, да и тот от осколков зенитного снаряда. Два человека получили контузии. Впоследствии были обнаружены 16 воронок, в т.ч. две от 250-кг бомб! Три фугаски не сработали.</w:t>
      </w:r>
    </w:p>
    <w:p w14:paraId="05F6FE7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за время пятого налета на Горький германские бомбардировщики, по приблизительным подсчетам службы МПВО, сбросили 330 фугасных и более 200 тяжелых зажигательных бомб, а также 135 однокилограммовых В1. Зенитная артиллерия корпусного района ПВО на этот раз выпустила 23 033 снаряда среднего и 3943 малого калибра, а 12,7-мм пулеметы расстреляли 2722 патрона. При этом зенитчики заявили о десяти сбитых самолетах!</w:t>
      </w:r>
    </w:p>
    <w:p w14:paraId="6F8D3F5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Истребители 142-й ИАД тоже активно участвовали в отражении налета, однако лишь одному летчику удалось осуществить перехват. По приказу с командного пункта дивизии в 23.29 капитан Воронович вылетел на самолете Ла-5 на патрулирование в район юго-западнее Горького. Вскоре он обнаружил на светлой части горизонта одиночный Не-111, идущий встречным курсом. Летчик решил атаковать «Хейнкель» с фронта, но бомбардировщик быстро проскочил мимо, и Воронович не успел открыть огонь. Тогда, быстро развернувшись на 180°, он зашел в хвост противнику. В своем рапорте он потом написал:  «Провел атаку слева, сзади под ракурсом 4/4 с дистанции 50– 70 метров с последующим выходом для атаки справа, снизу под ракурсом 1/4. Огонь вел с дистанции 30 – 40метров, затем, выйдя на левую сторону, произвел 3-ю атаку уже с дистанции 20 – 30 метров. С третьей атаки загорелся левый мотор самолета противника. Четвертую атаку произвел справа, сзади под ракурсом 1/4 на той же высоте». Сближаясь с «Хейнкелем», Воронович открыл огонь с дистанции 20—30 м, но почти одновременно сам был обстрелян из верхней огневой точки «Хейнкеля». Затем, когда дистанция между истребителем и бомбардировщиком сократилась до минимума, немецкий пилот отвернул вправо и, сбросив скорость, пропустил Ла-5 вперед. Когда самолеты поравнялись, немецкий бортстрелок обстрелял преследователя из бокового пулемета, добившись нескольких </w:t>
      </w:r>
      <w:r w:rsidRPr="00D03F3E">
        <w:rPr>
          <w:rFonts w:ascii="Times New Roman" w:hAnsi="Times New Roman"/>
          <w:color w:val="000000" w:themeColor="text1"/>
          <w:sz w:val="16"/>
          <w:szCs w:val="16"/>
        </w:rPr>
        <w:lastRenderedPageBreak/>
        <w:t>попаданий. Это вынудило советского летчика резко изменить курс и прекратить атаку, а Не-111 тем временем ушел со снижением. Позднее, вернувшись на аэродром, капитан Воронович заявил, что видел, как «Хейнкель» врезался в землю, и ему была засчитана победа. По немецким данным, в ту ночь во время налета на Горький пропал без вести Не-111H WNr.7681 гауптмана П. Кромера из 5-й эскадрильи KG4 «Генерал Вефер».</w:t>
      </w:r>
    </w:p>
    <w:p w14:paraId="18C3250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01.00, по берлинскому времени, усталые немецкие экипажи, согласно полетным планам, возвращались на свои базы. Так, Не-111H «IG+АГ» из 3./KG27 «Бельке» совершил посадку в Олсуфьево в 01.10, пробыв в воздухе ровно пять часов. Через пять минут приземлился Не-111H «1G+DP» из 6-й эскадрильи, продолжительность его вылета также составила пять часов, за которые самолет преодолел расстояние в 1600 км. Не-111H «1G+FS»H3 8./КС27сел в 01.31, проведя в воздухе 305 минут. Не-111H «Ю+БГ»из 3./KG27 несколько запоздал, приземлившись в Олсуфьево уже в 02.00, и его полетное время составило почти шесть часов (11774).</w:t>
      </w:r>
    </w:p>
    <w:p w14:paraId="11712BB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DA76DC4"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10 июня 1943 вышло Постановление ГКО № 3547 Об усилении местной противовоздушной обороны гор. Горького. (7114, 93).</w:t>
      </w:r>
    </w:p>
    <w:p w14:paraId="5B2AC0F5" w14:textId="77777777" w:rsidR="00531570" w:rsidRPr="00D03F3E" w:rsidRDefault="00531570" w:rsidP="00D03F3E">
      <w:pPr>
        <w:pStyle w:val="Iauiue"/>
        <w:tabs>
          <w:tab w:val="left" w:pos="11199"/>
        </w:tabs>
        <w:jc w:val="both"/>
        <w:rPr>
          <w:color w:val="000000" w:themeColor="text1"/>
          <w:sz w:val="16"/>
          <w:szCs w:val="16"/>
        </w:rPr>
      </w:pPr>
    </w:p>
    <w:p w14:paraId="12395F2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 июня 1943 на базе Управления связи ГУ ВВ было организовано самостоятельное У войск правительственной связи НКВД (3398,208).</w:t>
      </w:r>
    </w:p>
    <w:p w14:paraId="3E044771" w14:textId="77777777" w:rsidR="00531570" w:rsidRPr="00D03F3E" w:rsidRDefault="00531570" w:rsidP="00D03F3E">
      <w:pPr>
        <w:pStyle w:val="Iauiue"/>
        <w:jc w:val="both"/>
        <w:rPr>
          <w:color w:val="000000" w:themeColor="text1"/>
          <w:sz w:val="16"/>
          <w:szCs w:val="16"/>
        </w:rPr>
      </w:pPr>
    </w:p>
    <w:p w14:paraId="45357F96"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10 июня</w:t>
      </w:r>
      <w:r w:rsidRPr="00D03F3E">
        <w:rPr>
          <w:rFonts w:ascii="Times New Roman" w:hAnsi="Times New Roman"/>
          <w:color w:val="000000" w:themeColor="text1"/>
          <w:sz w:val="16"/>
          <w:szCs w:val="16"/>
        </w:rPr>
        <w:t xml:space="preserve"> в 1943 году на базе Управления связи ГУ внутренних войск организовано самостоятельное Управление войск правительственной связи НКВД (14918).</w:t>
      </w:r>
    </w:p>
    <w:p w14:paraId="306C668C" w14:textId="77777777" w:rsidR="00A167DD" w:rsidRPr="00D03F3E" w:rsidRDefault="00A167DD" w:rsidP="00D03F3E">
      <w:pPr>
        <w:spacing w:after="0" w:line="240" w:lineRule="auto"/>
        <w:jc w:val="both"/>
        <w:rPr>
          <w:rFonts w:ascii="Times New Roman" w:hAnsi="Times New Roman"/>
          <w:color w:val="000000" w:themeColor="text1"/>
          <w:sz w:val="16"/>
          <w:szCs w:val="16"/>
        </w:rPr>
      </w:pPr>
    </w:p>
    <w:p w14:paraId="49A6E68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 июня 1943 г. три “ракетоносца” (№86, 96 и 106) выпустили 55 “эрэсов” по целям в районе Южной Озерейки, подавив вражескую батарею и вызвав несколько взрывов и пожар (6002).</w:t>
      </w:r>
    </w:p>
    <w:p w14:paraId="22E6581B" w14:textId="77777777" w:rsidR="00531570" w:rsidRPr="00D03F3E" w:rsidRDefault="00531570" w:rsidP="00D03F3E">
      <w:pPr>
        <w:pStyle w:val="Iauiue"/>
        <w:jc w:val="both"/>
        <w:rPr>
          <w:color w:val="000000" w:themeColor="text1"/>
          <w:sz w:val="16"/>
          <w:szCs w:val="16"/>
        </w:rPr>
      </w:pPr>
    </w:p>
    <w:p w14:paraId="79CECAD6" w14:textId="77777777" w:rsidR="00A167DD"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0D487B71" w14:textId="77777777" w:rsidR="00A167DD" w:rsidRPr="00D03F3E" w:rsidRDefault="00A167DD" w:rsidP="00D03F3E">
      <w:pPr>
        <w:pStyle w:val="Iauiue"/>
        <w:jc w:val="both"/>
        <w:rPr>
          <w:iCs/>
          <w:color w:val="000000" w:themeColor="text1"/>
          <w:sz w:val="16"/>
          <w:szCs w:val="16"/>
        </w:rPr>
      </w:pPr>
    </w:p>
    <w:p w14:paraId="30B44FBB" w14:textId="77777777" w:rsidR="00A167DD" w:rsidRPr="00D03F3E" w:rsidRDefault="00A167D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10 июня</w:t>
      </w:r>
      <w:r w:rsidRPr="00D03F3E">
        <w:rPr>
          <w:rFonts w:ascii="Times New Roman" w:hAnsi="Times New Roman"/>
          <w:color w:val="000000" w:themeColor="text1"/>
          <w:sz w:val="16"/>
          <w:szCs w:val="16"/>
        </w:rPr>
        <w:t xml:space="preserve"> в 1943 году роспуск по решению Президиума Исполкома Коминтерна всех органов Коммунистического Интернационала (14918).</w:t>
      </w:r>
    </w:p>
    <w:p w14:paraId="10637CD2" w14:textId="77777777" w:rsidR="00A167DD" w:rsidRPr="00D03F3E" w:rsidRDefault="00A167DD" w:rsidP="00D03F3E">
      <w:pPr>
        <w:spacing w:after="0" w:line="240" w:lineRule="auto"/>
        <w:jc w:val="both"/>
        <w:rPr>
          <w:rFonts w:ascii="Times New Roman" w:hAnsi="Times New Roman"/>
          <w:color w:val="000000" w:themeColor="text1"/>
          <w:sz w:val="16"/>
          <w:szCs w:val="16"/>
        </w:rPr>
      </w:pPr>
    </w:p>
    <w:p w14:paraId="53B84D7E" w14:textId="77777777" w:rsidR="00531570" w:rsidRPr="00D03F3E" w:rsidRDefault="00C81444" w:rsidP="00D03F3E">
      <w:pPr>
        <w:pStyle w:val="Iauiue"/>
        <w:jc w:val="both"/>
        <w:rPr>
          <w:iCs/>
          <w:color w:val="000000" w:themeColor="text1"/>
          <w:sz w:val="16"/>
          <w:szCs w:val="16"/>
          <w:lang w:val="en-US"/>
        </w:rPr>
      </w:pPr>
      <w:r w:rsidRPr="00D03F3E">
        <w:rPr>
          <w:i/>
          <w:iCs/>
          <w:color w:val="000000" w:themeColor="text1"/>
          <w:sz w:val="16"/>
          <w:szCs w:val="16"/>
        </w:rPr>
        <w:t>За</w:t>
      </w:r>
      <w:r w:rsidRPr="00D03F3E">
        <w:rPr>
          <w:i/>
          <w:iCs/>
          <w:color w:val="000000" w:themeColor="text1"/>
          <w:sz w:val="16"/>
          <w:szCs w:val="16"/>
          <w:lang w:val="en-US"/>
        </w:rPr>
        <w:t xml:space="preserve"> </w:t>
      </w:r>
      <w:r w:rsidRPr="00D03F3E">
        <w:rPr>
          <w:i/>
          <w:iCs/>
          <w:color w:val="000000" w:themeColor="text1"/>
          <w:sz w:val="16"/>
          <w:szCs w:val="16"/>
        </w:rPr>
        <w:t>рубежом</w:t>
      </w:r>
      <w:r w:rsidRPr="00D03F3E">
        <w:rPr>
          <w:i/>
          <w:iCs/>
          <w:color w:val="000000" w:themeColor="text1"/>
          <w:sz w:val="16"/>
          <w:szCs w:val="16"/>
          <w:lang w:val="en-US"/>
        </w:rPr>
        <w:t>:</w:t>
      </w:r>
    </w:p>
    <w:p w14:paraId="6081C65E" w14:textId="77777777" w:rsidR="00531570" w:rsidRPr="00D03F3E" w:rsidRDefault="00531570" w:rsidP="00D03F3E">
      <w:pPr>
        <w:pStyle w:val="Iauiue"/>
        <w:jc w:val="both"/>
        <w:rPr>
          <w:iCs/>
          <w:color w:val="000000" w:themeColor="text1"/>
          <w:sz w:val="16"/>
          <w:szCs w:val="16"/>
          <w:lang w:val="en-US"/>
        </w:rPr>
      </w:pPr>
    </w:p>
    <w:p w14:paraId="6DA3FE0E"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June 10 1943 'Pointblank' directive to improve Allied bombing strategy issued (1050).</w:t>
      </w:r>
    </w:p>
    <w:p w14:paraId="47564D3B" w14:textId="77777777" w:rsidR="00531570" w:rsidRPr="00D03F3E" w:rsidRDefault="00531570" w:rsidP="00D03F3E">
      <w:pPr>
        <w:pStyle w:val="Iauiue"/>
        <w:jc w:val="both"/>
        <w:rPr>
          <w:color w:val="000000" w:themeColor="text1"/>
          <w:sz w:val="16"/>
          <w:szCs w:val="16"/>
          <w:lang w:val="en-US"/>
        </w:rPr>
      </w:pPr>
    </w:p>
    <w:p w14:paraId="56863C75" w14:textId="77777777" w:rsidR="003A3024" w:rsidRPr="00D03F3E" w:rsidRDefault="003A302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10 июня 1943 в ходе одной из самых тяжелых и наиболее концентрированных воздушных атак на данный момент во Второй мировой войне самолеты союзников сбросили на Пантеллерию 1 571 тонну (1 425 202 кг) бомб (20376).</w:t>
      </w:r>
    </w:p>
    <w:p w14:paraId="76CA3EF9" w14:textId="77777777" w:rsidR="003A3024" w:rsidRPr="00D03F3E" w:rsidRDefault="003A3024" w:rsidP="00D03F3E">
      <w:pPr>
        <w:spacing w:after="0" w:line="240" w:lineRule="auto"/>
        <w:jc w:val="both"/>
        <w:rPr>
          <w:rFonts w:ascii="Times New Roman" w:hAnsi="Times New Roman"/>
          <w:color w:val="0070C0"/>
          <w:sz w:val="16"/>
          <w:szCs w:val="16"/>
        </w:rPr>
      </w:pPr>
    </w:p>
    <w:p w14:paraId="47DEDAEE" w14:textId="77777777" w:rsidR="003A3024" w:rsidRPr="00D03F3E" w:rsidRDefault="003A302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10 июня 1943 директива Pointblank изменяет приоритеты, установленные в феврале в директиве Касабланки, и поднимает атаки на немецкую истребительную авиацию до самого высокого приоритета для Королевских ВВС и ВВС армии Соединенных Штатов (20376).</w:t>
      </w:r>
    </w:p>
    <w:p w14:paraId="4B81BBB2" w14:textId="77777777" w:rsidR="003A3024" w:rsidRPr="00D03F3E" w:rsidRDefault="003A3024" w:rsidP="00D03F3E">
      <w:pPr>
        <w:spacing w:after="0" w:line="240" w:lineRule="auto"/>
        <w:jc w:val="both"/>
        <w:rPr>
          <w:rFonts w:ascii="Times New Roman" w:hAnsi="Times New Roman"/>
          <w:color w:val="0070C0"/>
          <w:sz w:val="16"/>
          <w:szCs w:val="16"/>
        </w:rPr>
      </w:pPr>
    </w:p>
    <w:p w14:paraId="54DDAADF"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June 10th, 1943: Beginning of a coordinated air offensive by the US 8th Air Force (Doolittle), flying precision bombing missions by day, and RAF Bomber Command (Harris), flying area saturation missions by night, against major German cities (3819).</w:t>
      </w:r>
    </w:p>
    <w:p w14:paraId="56F11011" w14:textId="77777777" w:rsidR="00531570" w:rsidRPr="00D03F3E" w:rsidRDefault="00531570" w:rsidP="00D03F3E">
      <w:pPr>
        <w:pStyle w:val="Iauiue"/>
        <w:jc w:val="both"/>
        <w:rPr>
          <w:color w:val="000000" w:themeColor="text1"/>
          <w:sz w:val="16"/>
          <w:szCs w:val="16"/>
          <w:lang w:val="en-US"/>
        </w:rPr>
      </w:pPr>
    </w:p>
    <w:p w14:paraId="79023AF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 июня 1943 было принято решение об усилении стратегических бомбардировок (1050). Решили бомбить круглосуточно (2100).</w:t>
      </w:r>
    </w:p>
    <w:p w14:paraId="659CC096" w14:textId="77777777" w:rsidR="00531570" w:rsidRPr="00D03F3E" w:rsidRDefault="00531570" w:rsidP="00D03F3E">
      <w:pPr>
        <w:pStyle w:val="Iauiue"/>
        <w:jc w:val="both"/>
        <w:rPr>
          <w:color w:val="000000" w:themeColor="text1"/>
          <w:sz w:val="16"/>
          <w:szCs w:val="16"/>
        </w:rPr>
      </w:pPr>
    </w:p>
    <w:p w14:paraId="499536CC"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10 июня 1943 венгр Л. Биро, работая на английские ВВС, изобрел шариковую ручку (4962).</w:t>
      </w:r>
    </w:p>
    <w:p w14:paraId="7C64170F" w14:textId="77777777" w:rsidR="00531570" w:rsidRPr="00D03F3E" w:rsidRDefault="00531570" w:rsidP="00D03F3E">
      <w:pPr>
        <w:pStyle w:val="Iauiue"/>
        <w:tabs>
          <w:tab w:val="left" w:pos="11199"/>
        </w:tabs>
        <w:jc w:val="both"/>
        <w:rPr>
          <w:color w:val="000000" w:themeColor="text1"/>
          <w:sz w:val="16"/>
          <w:szCs w:val="16"/>
        </w:rPr>
      </w:pPr>
    </w:p>
    <w:p w14:paraId="26D58A52"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6928269B" w14:textId="77777777" w:rsidR="00531570" w:rsidRPr="00D03F3E" w:rsidRDefault="00531570" w:rsidP="00D03F3E">
      <w:pPr>
        <w:pStyle w:val="Iauiue"/>
        <w:jc w:val="both"/>
        <w:rPr>
          <w:iCs/>
          <w:color w:val="000000" w:themeColor="text1"/>
          <w:sz w:val="16"/>
          <w:szCs w:val="16"/>
        </w:rPr>
      </w:pPr>
    </w:p>
    <w:p w14:paraId="445DF8B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первой декаде июня 1943 на заведе № 45 на сборку поступил первый АЧ-30Б. Но первый дизель выявил немало слабых мест в технологическом процессе. Конструк</w:t>
      </w:r>
      <w:r w:rsidRPr="00D03F3E">
        <w:rPr>
          <w:rFonts w:ascii="Times New Roman" w:hAnsi="Times New Roman"/>
          <w:color w:val="000000" w:themeColor="text1"/>
          <w:sz w:val="16"/>
          <w:szCs w:val="16"/>
        </w:rPr>
        <w:softHyphen/>
        <w:t>торы СКБ и технологи завода в содру</w:t>
      </w:r>
      <w:r w:rsidRPr="00D03F3E">
        <w:rPr>
          <w:rFonts w:ascii="Times New Roman" w:hAnsi="Times New Roman"/>
          <w:color w:val="000000" w:themeColor="text1"/>
          <w:sz w:val="16"/>
          <w:szCs w:val="16"/>
        </w:rPr>
        <w:softHyphen/>
        <w:t>жестве с главным конструктором А.Д. Чаромским прилагали огромныеусилия для того, чтобы устранить «детские бо</w:t>
      </w:r>
      <w:r w:rsidRPr="00D03F3E">
        <w:rPr>
          <w:rFonts w:ascii="Times New Roman" w:hAnsi="Times New Roman"/>
          <w:color w:val="000000" w:themeColor="text1"/>
          <w:sz w:val="16"/>
          <w:szCs w:val="16"/>
        </w:rPr>
        <w:softHyphen/>
        <w:t>лезни» дизеля и сделать его по-настоя</w:t>
      </w:r>
      <w:r w:rsidRPr="00D03F3E">
        <w:rPr>
          <w:rFonts w:ascii="Times New Roman" w:hAnsi="Times New Roman"/>
          <w:color w:val="000000" w:themeColor="text1"/>
          <w:sz w:val="16"/>
          <w:szCs w:val="16"/>
        </w:rPr>
        <w:softHyphen/>
        <w:t>щему надежным. Эта работа вскоре при</w:t>
      </w:r>
      <w:r w:rsidRPr="00D03F3E">
        <w:rPr>
          <w:rFonts w:ascii="Times New Roman" w:hAnsi="Times New Roman"/>
          <w:color w:val="000000" w:themeColor="text1"/>
          <w:sz w:val="16"/>
          <w:szCs w:val="16"/>
        </w:rPr>
        <w:softHyphen/>
        <w:t>несла плоды: седьмой собранный на заводе дизель успешно прошел длительные 100-часовые испытания (11159).</w:t>
      </w:r>
    </w:p>
    <w:p w14:paraId="641AD68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4A5ABCC"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12BCA361" w14:textId="77777777" w:rsidR="00531570" w:rsidRPr="00D03F3E" w:rsidRDefault="00531570" w:rsidP="00D03F3E">
      <w:pPr>
        <w:pStyle w:val="Iauiue"/>
        <w:jc w:val="both"/>
        <w:rPr>
          <w:iCs/>
          <w:color w:val="000000" w:themeColor="text1"/>
          <w:sz w:val="16"/>
          <w:szCs w:val="16"/>
        </w:rPr>
      </w:pPr>
    </w:p>
    <w:p w14:paraId="69D473D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первой декаде июня 1943 была утверждена к се</w:t>
      </w:r>
      <w:r w:rsidRPr="00D03F3E">
        <w:rPr>
          <w:rFonts w:ascii="Times New Roman" w:hAnsi="Times New Roman"/>
          <w:color w:val="000000" w:themeColor="text1"/>
          <w:sz w:val="16"/>
          <w:szCs w:val="16"/>
        </w:rPr>
        <w:softHyphen/>
        <w:t>рийному производству командирская башенка с установкой смотрового прибора, созданного по типу прибора, используемого на британском тя</w:t>
      </w:r>
      <w:r w:rsidRPr="00D03F3E">
        <w:rPr>
          <w:rFonts w:ascii="Times New Roman" w:hAnsi="Times New Roman"/>
          <w:color w:val="000000" w:themeColor="text1"/>
          <w:sz w:val="16"/>
          <w:szCs w:val="16"/>
        </w:rPr>
        <w:softHyphen/>
        <w:t>желом танке Мк IV "Черчилль" на заводе № 183. Командирская башенка была установ</w:t>
      </w:r>
      <w:r w:rsidRPr="00D03F3E">
        <w:rPr>
          <w:rFonts w:ascii="Times New Roman" w:hAnsi="Times New Roman"/>
          <w:color w:val="000000" w:themeColor="text1"/>
          <w:sz w:val="16"/>
          <w:szCs w:val="16"/>
        </w:rPr>
        <w:softHyphen/>
        <w:t>лена с левой стороны по ходу танка на крыше башни шестигранной формы. С 15 июня 1943 г. по 15 марта 1944 г. (т.е. до начала выпуска тан</w:t>
      </w:r>
      <w:r w:rsidRPr="00D03F3E">
        <w:rPr>
          <w:rFonts w:ascii="Times New Roman" w:hAnsi="Times New Roman"/>
          <w:color w:val="000000" w:themeColor="text1"/>
          <w:sz w:val="16"/>
          <w:szCs w:val="16"/>
        </w:rPr>
        <w:softHyphen/>
        <w:t>ка Т-34-85) Уралвагонзаводом было изготовлено 6139 танков Т-34 с ко</w:t>
      </w:r>
      <w:r w:rsidRPr="00D03F3E">
        <w:rPr>
          <w:rFonts w:ascii="Times New Roman" w:hAnsi="Times New Roman"/>
          <w:color w:val="000000" w:themeColor="text1"/>
          <w:sz w:val="16"/>
          <w:szCs w:val="16"/>
        </w:rPr>
        <w:softHyphen/>
        <w:t>мандирской башенкой (10703).</w:t>
      </w:r>
    </w:p>
    <w:p w14:paraId="166DC4E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0C27565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первой декаде июля 1943 г., когда в цехах опытного за</w:t>
      </w:r>
      <w:r w:rsidRPr="00D03F3E">
        <w:rPr>
          <w:rFonts w:ascii="Times New Roman" w:hAnsi="Times New Roman"/>
          <w:color w:val="000000" w:themeColor="text1"/>
          <w:sz w:val="16"/>
          <w:szCs w:val="16"/>
        </w:rPr>
        <w:softHyphen/>
        <w:t>вода № 100 шло изготовление опытных образцов танка ИС («Объект 23?»), параллельно им на ЧКЗ заводчане колдова</w:t>
      </w:r>
      <w:r w:rsidRPr="00D03F3E">
        <w:rPr>
          <w:rFonts w:ascii="Times New Roman" w:hAnsi="Times New Roman"/>
          <w:color w:val="000000" w:themeColor="text1"/>
          <w:sz w:val="16"/>
          <w:szCs w:val="16"/>
        </w:rPr>
        <w:softHyphen/>
        <w:t>ли над двумя танками КВ-1С, готовя их к перевооружению (11135).</w:t>
      </w:r>
    </w:p>
    <w:p w14:paraId="5C28169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08F716D8"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0A33FF3D" w14:textId="77777777" w:rsidR="00531570" w:rsidRPr="00D03F3E" w:rsidRDefault="00531570" w:rsidP="00D03F3E">
      <w:pPr>
        <w:pStyle w:val="Iauiue"/>
        <w:jc w:val="both"/>
        <w:rPr>
          <w:iCs/>
          <w:color w:val="000000" w:themeColor="text1"/>
          <w:sz w:val="16"/>
          <w:szCs w:val="16"/>
        </w:rPr>
      </w:pPr>
    </w:p>
    <w:p w14:paraId="07D3856E"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11 июня 1943 после того, как 2 июня 1943 еще до завершения государственных контрольных ис</w:t>
      </w:r>
      <w:r w:rsidRPr="00D03F3E">
        <w:rPr>
          <w:color w:val="000000" w:themeColor="text1"/>
          <w:sz w:val="16"/>
          <w:szCs w:val="16"/>
        </w:rPr>
        <w:softHyphen/>
        <w:t>пытаний поступил головной серийный Ил-2 зав. № 302349 с пушками 11П, помощник на</w:t>
      </w:r>
      <w:r w:rsidRPr="00D03F3E">
        <w:rPr>
          <w:color w:val="000000" w:themeColor="text1"/>
          <w:sz w:val="16"/>
          <w:szCs w:val="16"/>
        </w:rPr>
        <w:softHyphen/>
        <w:t>чальника 1-го отдела НИИ ВВС ин</w:t>
      </w:r>
      <w:r w:rsidRPr="00D03F3E">
        <w:rPr>
          <w:color w:val="000000" w:themeColor="text1"/>
          <w:sz w:val="16"/>
          <w:szCs w:val="16"/>
        </w:rPr>
        <w:softHyphen/>
        <w:t>женер-капитан Бобровский внео</w:t>
      </w:r>
      <w:r w:rsidRPr="00D03F3E">
        <w:rPr>
          <w:color w:val="000000" w:themeColor="text1"/>
          <w:sz w:val="16"/>
          <w:szCs w:val="16"/>
        </w:rPr>
        <w:softHyphen/>
        <w:t>чередным донесением доложил начальнику 1-го отдела ГУ ИАС ВВС генерал-майору Гребневу об обнаруженных дефектах Ил-2 с 11П, а также о том, что «институ</w:t>
      </w:r>
      <w:r w:rsidRPr="00D03F3E">
        <w:rPr>
          <w:color w:val="000000" w:themeColor="text1"/>
          <w:sz w:val="16"/>
          <w:szCs w:val="16"/>
        </w:rPr>
        <w:softHyphen/>
        <w:t>том написано письмо Репину, Шахурину, Шиманову, Селезневу» с тре</w:t>
      </w:r>
      <w:r w:rsidRPr="00D03F3E">
        <w:rPr>
          <w:color w:val="000000" w:themeColor="text1"/>
          <w:sz w:val="16"/>
          <w:szCs w:val="16"/>
        </w:rPr>
        <w:softHyphen/>
        <w:t>бованием устранить выявленные недостатки вооружения в серии, за под</w:t>
      </w:r>
      <w:r w:rsidRPr="00D03F3E">
        <w:rPr>
          <w:color w:val="000000" w:themeColor="text1"/>
          <w:sz w:val="16"/>
          <w:szCs w:val="16"/>
        </w:rPr>
        <w:softHyphen/>
        <w:t>писью начальника НИИ ВВС гене</w:t>
      </w:r>
      <w:r w:rsidRPr="00D03F3E">
        <w:rPr>
          <w:color w:val="000000" w:themeColor="text1"/>
          <w:sz w:val="16"/>
          <w:szCs w:val="16"/>
        </w:rPr>
        <w:softHyphen/>
        <w:t>рал-лейтенанта Лосюкова и началь</w:t>
      </w:r>
      <w:r w:rsidRPr="00D03F3E">
        <w:rPr>
          <w:color w:val="000000" w:themeColor="text1"/>
          <w:sz w:val="16"/>
          <w:szCs w:val="16"/>
        </w:rPr>
        <w:softHyphen/>
        <w:t>ника 3-го отдела института инже</w:t>
      </w:r>
      <w:r w:rsidRPr="00D03F3E">
        <w:rPr>
          <w:color w:val="000000" w:themeColor="text1"/>
          <w:sz w:val="16"/>
          <w:szCs w:val="16"/>
        </w:rPr>
        <w:softHyphen/>
        <w:t>нер-полковника Сафронова ушло письмо «Главному инженеру ВВС КА генерал-полковнику ИАС тов. Репину, в ЦК ВКП(б) генерал-лей</w:t>
      </w:r>
      <w:r w:rsidRPr="00D03F3E">
        <w:rPr>
          <w:color w:val="000000" w:themeColor="text1"/>
          <w:sz w:val="16"/>
          <w:szCs w:val="16"/>
        </w:rPr>
        <w:softHyphen/>
        <w:t>тенанту тов. Шиманову, народному комиссару авиационной промыш</w:t>
      </w:r>
      <w:r w:rsidRPr="00D03F3E">
        <w:rPr>
          <w:color w:val="000000" w:themeColor="text1"/>
          <w:sz w:val="16"/>
          <w:szCs w:val="16"/>
        </w:rPr>
        <w:softHyphen/>
        <w:t>ленности генерал-лейтенанту тов. Шахурину, народному комиссару вооружения Союза ССР тов. Усти</w:t>
      </w:r>
      <w:r w:rsidRPr="00D03F3E">
        <w:rPr>
          <w:color w:val="000000" w:themeColor="text1"/>
          <w:sz w:val="16"/>
          <w:szCs w:val="16"/>
        </w:rPr>
        <w:softHyphen/>
        <w:t>нову, начальнику ГУЗ ВВС КА ге</w:t>
      </w:r>
      <w:r w:rsidRPr="00D03F3E">
        <w:rPr>
          <w:color w:val="000000" w:themeColor="text1"/>
          <w:sz w:val="16"/>
          <w:szCs w:val="16"/>
        </w:rPr>
        <w:softHyphen/>
        <w:t>нерал-лейтенанту тов. Селезневу, главному конструктору самолета генерал-майо</w:t>
      </w:r>
      <w:r w:rsidRPr="00D03F3E">
        <w:rPr>
          <w:color w:val="000000" w:themeColor="text1"/>
          <w:sz w:val="16"/>
          <w:szCs w:val="16"/>
        </w:rPr>
        <w:softHyphen/>
        <w:t>ру тов. Ильюшину». В нем обобщались основные результаты испытаний вооружения Ил-2 с 11П и предлагалось принять срочные меры «к устра</w:t>
      </w:r>
      <w:r w:rsidRPr="00D03F3E">
        <w:rPr>
          <w:color w:val="000000" w:themeColor="text1"/>
          <w:sz w:val="16"/>
          <w:szCs w:val="16"/>
        </w:rPr>
        <w:softHyphen/>
        <w:t>нению указанных недостатков как в производстве, так и в частях, имеющих самолеты Ил-2 с 37-мм пушками ОКБ-16».</w:t>
      </w:r>
    </w:p>
    <w:p w14:paraId="58B27E43"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Уже через три дня главный инженер ОКБ-16 инженер-полковник Юшин и «конструктор 37-мм пушки ОКБ-16» Нудельман направили главному инженеру ВВС генерал-лейтенанту Репину письмо, в котором указывали, что «проведенные в НИИ АВ ВВС и НИИ ВВС в течение месяца отстрелы са</w:t>
      </w:r>
      <w:r w:rsidRPr="00D03F3E">
        <w:rPr>
          <w:color w:val="000000" w:themeColor="text1"/>
          <w:sz w:val="16"/>
          <w:szCs w:val="16"/>
        </w:rPr>
        <w:softHyphen/>
        <w:t>молетов Ил-2 с 37-мм пушками ОКБ-16 показали срочную необходимость конструктивных измене</w:t>
      </w:r>
      <w:r w:rsidRPr="00D03F3E">
        <w:rPr>
          <w:color w:val="000000" w:themeColor="text1"/>
          <w:sz w:val="16"/>
          <w:szCs w:val="16"/>
        </w:rPr>
        <w:softHyphen/>
        <w:t>ний рукавов питания. Установленные на Ил-2, пе</w:t>
      </w:r>
      <w:r w:rsidRPr="00D03F3E">
        <w:rPr>
          <w:color w:val="000000" w:themeColor="text1"/>
          <w:sz w:val="16"/>
          <w:szCs w:val="16"/>
        </w:rPr>
        <w:softHyphen/>
        <w:t>реданные в 208-й и 637-й шап, рукава питания не обеспечивают надежной работы автоматики пуш</w:t>
      </w:r>
      <w:r w:rsidRPr="00D03F3E">
        <w:rPr>
          <w:color w:val="000000" w:themeColor="text1"/>
          <w:sz w:val="16"/>
          <w:szCs w:val="16"/>
        </w:rPr>
        <w:softHyphen/>
        <w:t>ки. Перед заводом № 30 нами неоднократно ста</w:t>
      </w:r>
      <w:r w:rsidRPr="00D03F3E">
        <w:rPr>
          <w:color w:val="000000" w:themeColor="text1"/>
          <w:sz w:val="16"/>
          <w:szCs w:val="16"/>
        </w:rPr>
        <w:softHyphen/>
        <w:t>вился вопрос о необходимости переделки рукавов питания /.../».</w:t>
      </w:r>
    </w:p>
    <w:p w14:paraId="52A2BE1C"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связи с тем, что «главный конструктор Ил-2 т. Ильюшин на днях принял решение о конструк</w:t>
      </w:r>
      <w:r w:rsidRPr="00D03F3E">
        <w:rPr>
          <w:color w:val="000000" w:themeColor="text1"/>
          <w:sz w:val="16"/>
          <w:szCs w:val="16"/>
        </w:rPr>
        <w:softHyphen/>
        <w:t>тивной переделке рукавов питания пушек», Юшин и Нудельман просили Репина в случае положитель</w:t>
      </w:r>
      <w:r w:rsidRPr="00D03F3E">
        <w:rPr>
          <w:color w:val="000000" w:themeColor="text1"/>
          <w:sz w:val="16"/>
          <w:szCs w:val="16"/>
        </w:rPr>
        <w:softHyphen/>
        <w:t>ных результатов испытаний дать указания «о за</w:t>
      </w:r>
      <w:r w:rsidRPr="00D03F3E">
        <w:rPr>
          <w:color w:val="000000" w:themeColor="text1"/>
          <w:sz w:val="16"/>
          <w:szCs w:val="16"/>
        </w:rPr>
        <w:softHyphen/>
        <w:t>мене рукавов питания прежней конструкции на новые в указанных полках».</w:t>
      </w:r>
    </w:p>
    <w:p w14:paraId="486415FB"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результатам первого этапа государственных испытаний был составлен акт от 22 июня 1943 г., который был утвержден главным инженером ВВС генералом А. К. Репиным 8 июля с замечанием: «По постановлению ГКО № 3144 Ил-2 с пушками 37 мм ОКБ-15 должен иметь боекомплект 100 патронов и 100 кг бомб. При такой нагрузке и надо было ис</w:t>
      </w:r>
      <w:r w:rsidRPr="00D03F3E">
        <w:rPr>
          <w:color w:val="000000" w:themeColor="text1"/>
          <w:sz w:val="16"/>
          <w:szCs w:val="16"/>
        </w:rPr>
        <w:softHyphen/>
        <w:t>пытывать».</w:t>
      </w:r>
    </w:p>
    <w:p w14:paraId="42AC27E8"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доводки пушечного вооружения на Ил-2 зав. № 302349 был изменен профиль горловины патронного рукава с добавлением к двум направляю</w:t>
      </w:r>
      <w:r w:rsidRPr="00D03F3E">
        <w:rPr>
          <w:color w:val="000000" w:themeColor="text1"/>
          <w:sz w:val="16"/>
          <w:szCs w:val="16"/>
        </w:rPr>
        <w:softHyphen/>
        <w:t>щим роликам еще двух таких же роликов, а также устранены производственные дефекты патронных ящиков.</w:t>
      </w:r>
    </w:p>
    <w:p w14:paraId="6183D46F"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После доработок было выполнено 7 полетов со стрельбой в воздухе на режимах горизонтального полета и кабрирования, а также с планирования и пикирования до угла 30° по наземным мишеням. Расход снарядов составил 739 снарядов.</w:t>
      </w:r>
    </w:p>
    <w:p w14:paraId="19798868"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Отстрел пушек 11П производился с целью вы</w:t>
      </w:r>
      <w:r w:rsidRPr="00D03F3E">
        <w:rPr>
          <w:color w:val="000000" w:themeColor="text1"/>
          <w:sz w:val="16"/>
          <w:szCs w:val="16"/>
        </w:rPr>
        <w:softHyphen/>
        <w:t>явления особенностей поведения самолета Ил-2 при стрельбе, определения удобства прицеливания, возможности пораже</w:t>
      </w:r>
      <w:r w:rsidRPr="00D03F3E">
        <w:rPr>
          <w:color w:val="000000" w:themeColor="text1"/>
          <w:sz w:val="16"/>
          <w:szCs w:val="16"/>
        </w:rPr>
        <w:softHyphen/>
        <w:t>ния точечных целей. Пушки пристре</w:t>
      </w:r>
      <w:r w:rsidRPr="00D03F3E">
        <w:rPr>
          <w:color w:val="000000" w:themeColor="text1"/>
          <w:sz w:val="16"/>
          <w:szCs w:val="16"/>
        </w:rPr>
        <w:softHyphen/>
        <w:t>ливались на дистанцию 800 м.</w:t>
      </w:r>
    </w:p>
    <w:p w14:paraId="6672CEB4"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стрельбах выяснилось, что правая пушечная установка (пушка зав. № АГ-191) работала удовлетво</w:t>
      </w:r>
      <w:r w:rsidRPr="00D03F3E">
        <w:rPr>
          <w:color w:val="000000" w:themeColor="text1"/>
          <w:sz w:val="16"/>
          <w:szCs w:val="16"/>
        </w:rPr>
        <w:softHyphen/>
        <w:t>рительно, а в левой установке (пушка зав. № АГ-242) «остались неустраненными выпадения патронов из лен</w:t>
      </w:r>
      <w:r w:rsidRPr="00D03F3E">
        <w:rPr>
          <w:color w:val="000000" w:themeColor="text1"/>
          <w:sz w:val="16"/>
          <w:szCs w:val="16"/>
        </w:rPr>
        <w:softHyphen/>
        <w:t>ты при расстреле последних 4—15 патронов боекомплекта, приводя</w:t>
      </w:r>
      <w:r w:rsidRPr="00D03F3E">
        <w:rPr>
          <w:color w:val="000000" w:themeColor="text1"/>
          <w:sz w:val="16"/>
          <w:szCs w:val="16"/>
        </w:rPr>
        <w:softHyphen/>
        <w:t>щие к рассоединению ленты» (всего 4 случая).</w:t>
      </w:r>
    </w:p>
    <w:p w14:paraId="5D70AFD2"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В то же время сами пушки, уста</w:t>
      </w:r>
      <w:r w:rsidRPr="00D03F3E">
        <w:rPr>
          <w:color w:val="000000" w:themeColor="text1"/>
          <w:sz w:val="16"/>
          <w:szCs w:val="16"/>
        </w:rPr>
        <w:softHyphen/>
        <w:t>новленные на самолете, работали хорошо. За все время испытаний по вине пушек имела место всего одна задержка — «неотброс затвора».</w:t>
      </w:r>
    </w:p>
    <w:p w14:paraId="471602BA"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Максимальная емкость патрон</w:t>
      </w:r>
      <w:r w:rsidRPr="00D03F3E">
        <w:rPr>
          <w:color w:val="000000" w:themeColor="text1"/>
          <w:sz w:val="16"/>
          <w:szCs w:val="16"/>
        </w:rPr>
        <w:softHyphen/>
        <w:t>ных ящиков пушек 11П равнялась 60 снарядам, при испытаниях в них загружали не более 50—55 снаря</w:t>
      </w:r>
      <w:r w:rsidRPr="00D03F3E">
        <w:rPr>
          <w:color w:val="000000" w:themeColor="text1"/>
          <w:sz w:val="16"/>
          <w:szCs w:val="16"/>
        </w:rPr>
        <w:softHyphen/>
        <w:t>дов. При этом наиболее благоприят</w:t>
      </w:r>
      <w:r w:rsidRPr="00D03F3E">
        <w:rPr>
          <w:color w:val="000000" w:themeColor="text1"/>
          <w:sz w:val="16"/>
          <w:szCs w:val="16"/>
        </w:rPr>
        <w:softHyphen/>
        <w:t>ной укладкой ленты, для исключения задевания звеньев съемниками, яв</w:t>
      </w:r>
      <w:r w:rsidRPr="00D03F3E">
        <w:rPr>
          <w:color w:val="000000" w:themeColor="text1"/>
          <w:sz w:val="16"/>
          <w:szCs w:val="16"/>
        </w:rPr>
        <w:softHyphen/>
        <w:t>ляется укладка нижнего горизонталь</w:t>
      </w:r>
      <w:r w:rsidRPr="00D03F3E">
        <w:rPr>
          <w:color w:val="000000" w:themeColor="text1"/>
          <w:sz w:val="16"/>
          <w:szCs w:val="16"/>
        </w:rPr>
        <w:softHyphen/>
        <w:t>ного ряда и последующей вертикаль</w:t>
      </w:r>
      <w:r w:rsidRPr="00D03F3E">
        <w:rPr>
          <w:color w:val="000000" w:themeColor="text1"/>
          <w:sz w:val="16"/>
          <w:szCs w:val="16"/>
        </w:rPr>
        <w:softHyphen/>
        <w:t>ной змейкой (укладка начинается от пушки).</w:t>
      </w:r>
    </w:p>
    <w:p w14:paraId="32736194"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Стрельба в горизонтальном по</w:t>
      </w:r>
      <w:r w:rsidRPr="00D03F3E">
        <w:rPr>
          <w:color w:val="000000" w:themeColor="text1"/>
          <w:sz w:val="16"/>
          <w:szCs w:val="16"/>
        </w:rPr>
        <w:softHyphen/>
        <w:t>лете и на кабрировании произво</w:t>
      </w:r>
      <w:r w:rsidRPr="00D03F3E">
        <w:rPr>
          <w:color w:val="000000" w:themeColor="text1"/>
          <w:sz w:val="16"/>
          <w:szCs w:val="16"/>
        </w:rPr>
        <w:softHyphen/>
        <w:t>дилась на скоростях 320, 300, 270, 250 и 230 км/ч по прибору одновре</w:t>
      </w:r>
      <w:r w:rsidRPr="00D03F3E">
        <w:rPr>
          <w:color w:val="000000" w:themeColor="text1"/>
          <w:sz w:val="16"/>
          <w:szCs w:val="16"/>
        </w:rPr>
        <w:softHyphen/>
        <w:t>менно из обеих пушек и раздельно из правой и левой пушек. При этом «при стрельбе из обеих пушек самолет испытыва</w:t>
      </w:r>
      <w:r w:rsidRPr="00D03F3E">
        <w:rPr>
          <w:color w:val="000000" w:themeColor="text1"/>
          <w:sz w:val="16"/>
          <w:szCs w:val="16"/>
        </w:rPr>
        <w:softHyphen/>
        <w:t>ет значительные толчки, причем чем меньше ско</w:t>
      </w:r>
      <w:r w:rsidRPr="00D03F3E">
        <w:rPr>
          <w:color w:val="000000" w:themeColor="text1"/>
          <w:sz w:val="16"/>
          <w:szCs w:val="16"/>
        </w:rPr>
        <w:softHyphen/>
        <w:t>рость, тем сильнее толчки». При стрельбе из одной пушки «самолет резко разворачивает в сторону стреляющей пушки, и если его не парировать, то разворот достигает 30° и более».</w:t>
      </w:r>
    </w:p>
    <w:p w14:paraId="0F733399"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Стрельба по наземным мишеням проводи</w:t>
      </w:r>
      <w:r w:rsidRPr="00D03F3E">
        <w:rPr>
          <w:color w:val="000000" w:themeColor="text1"/>
          <w:sz w:val="16"/>
          <w:szCs w:val="16"/>
        </w:rPr>
        <w:softHyphen/>
        <w:t>лась с планирования и пикирования под углами 10° и 30°. Было установлено, что наиболее выгод</w:t>
      </w:r>
      <w:r w:rsidRPr="00D03F3E">
        <w:rPr>
          <w:color w:val="000000" w:themeColor="text1"/>
          <w:sz w:val="16"/>
          <w:szCs w:val="16"/>
        </w:rPr>
        <w:softHyphen/>
        <w:t>ным является угол 30°, «так как при меньших углах благодаря плохой продольной устойчивости само лет сильнее колеблется в продольной плоскости и прицеливание затруднено».</w:t>
      </w:r>
    </w:p>
    <w:p w14:paraId="518F3D56"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Выход на цель лучше производить с разворота под 45° к плоскости пикирования с высоты 500 м, «так как цель в этом случае все время находит</w:t>
      </w:r>
      <w:r w:rsidRPr="00D03F3E">
        <w:rPr>
          <w:color w:val="000000" w:themeColor="text1"/>
          <w:sz w:val="16"/>
          <w:szCs w:val="16"/>
        </w:rPr>
        <w:softHyphen/>
        <w:t>ся в поле зрения летчика и получаются меньшие ошибки в наводке по направлению». Ввод в пики</w:t>
      </w:r>
      <w:r w:rsidRPr="00D03F3E">
        <w:rPr>
          <w:color w:val="000000" w:themeColor="text1"/>
          <w:sz w:val="16"/>
          <w:szCs w:val="16"/>
        </w:rPr>
        <w:softHyphen/>
        <w:t>рование выполняется при скорости 260—270 км/ч по прибору. Дистанция стрельбы при указанных условиях получается порядка 900—400 м. Вывод из пикирования «необходимо было начинать с таким расчетом, чтобы при выходе на горизонтальном по</w:t>
      </w:r>
      <w:r w:rsidRPr="00D03F3E">
        <w:rPr>
          <w:color w:val="000000" w:themeColor="text1"/>
          <w:sz w:val="16"/>
          <w:szCs w:val="16"/>
        </w:rPr>
        <w:softHyphen/>
        <w:t>лете иметь высоту не менее 100 м». То есть с высо</w:t>
      </w:r>
      <w:r w:rsidRPr="00D03F3E">
        <w:rPr>
          <w:color w:val="000000" w:themeColor="text1"/>
          <w:sz w:val="16"/>
          <w:szCs w:val="16"/>
        </w:rPr>
        <w:softHyphen/>
        <w:t>ты 200 м при перегрузке на выводе 2,5—3 единицы.</w:t>
      </w:r>
    </w:p>
    <w:p w14:paraId="7F30F464"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стрельбе из 2 пушек «чувствуется значи</w:t>
      </w:r>
      <w:r w:rsidRPr="00D03F3E">
        <w:rPr>
          <w:color w:val="000000" w:themeColor="text1"/>
          <w:sz w:val="16"/>
          <w:szCs w:val="16"/>
        </w:rPr>
        <w:softHyphen/>
        <w:t>тельная отдача назад». Вследствие плохой про</w:t>
      </w:r>
      <w:r w:rsidRPr="00D03F3E">
        <w:rPr>
          <w:color w:val="000000" w:themeColor="text1"/>
          <w:sz w:val="16"/>
          <w:szCs w:val="16"/>
        </w:rPr>
        <w:softHyphen/>
        <w:t>дольной устойчивости самолета прицеливание нарушается после первых же выстрелов и «получа</w:t>
      </w:r>
      <w:r w:rsidRPr="00D03F3E">
        <w:rPr>
          <w:color w:val="000000" w:themeColor="text1"/>
          <w:sz w:val="16"/>
          <w:szCs w:val="16"/>
        </w:rPr>
        <w:softHyphen/>
        <w:t>ется разброс снарядов, особенно при асинхронной работе пушек». Поэтому «прицельное поражение точечной цели (одиночный танк) возможно только из первой очереди, а возможно, даже и только из первых выстрелов». По этой причине стрельбу не</w:t>
      </w:r>
      <w:r w:rsidRPr="00D03F3E">
        <w:rPr>
          <w:color w:val="000000" w:themeColor="text1"/>
          <w:sz w:val="16"/>
          <w:szCs w:val="16"/>
        </w:rPr>
        <w:softHyphen/>
        <w:t>обходимо было вести только короткими очередями по 2—3 выстрела. Внесение поправок в прицелива</w:t>
      </w:r>
      <w:r w:rsidRPr="00D03F3E">
        <w:rPr>
          <w:color w:val="000000" w:themeColor="text1"/>
          <w:sz w:val="16"/>
          <w:szCs w:val="16"/>
        </w:rPr>
        <w:softHyphen/>
        <w:t>ние было возможным, но требует от летчиков опре</w:t>
      </w:r>
      <w:r w:rsidRPr="00D03F3E">
        <w:rPr>
          <w:color w:val="000000" w:themeColor="text1"/>
          <w:sz w:val="16"/>
          <w:szCs w:val="16"/>
        </w:rPr>
        <w:softHyphen/>
        <w:t>деленного навыка. При этом максимальная длина очереди ограничивалась 3—4 выстрелами. За один заход с высоты 500 м при соответствующей трени</w:t>
      </w:r>
      <w:r w:rsidRPr="00D03F3E">
        <w:rPr>
          <w:color w:val="000000" w:themeColor="text1"/>
          <w:sz w:val="16"/>
          <w:szCs w:val="16"/>
        </w:rPr>
        <w:softHyphen/>
        <w:t>ровке можно было выполнить 3—4 прицельные очереди.</w:t>
      </w:r>
    </w:p>
    <w:p w14:paraId="141C8C9A"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стрельбе из одной пушки самолет силь</w:t>
      </w:r>
      <w:r w:rsidRPr="00D03F3E">
        <w:rPr>
          <w:color w:val="000000" w:themeColor="text1"/>
          <w:sz w:val="16"/>
          <w:szCs w:val="16"/>
        </w:rPr>
        <w:softHyphen/>
        <w:t>но разворачивает в сторону стреляющей пушки, «стрельба становится неприцельной, и удержать самолет в заданном направлении невозможно». Даже при парировании разворота «в момент стрельбы разрывы ложатся в сторону стреляющей пушки». В этом случае требовалось «стрелять еще более короткой очередью с небольшим боковым упреждением».</w:t>
      </w:r>
    </w:p>
    <w:p w14:paraId="264AB58E"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Прицел ВВ-1 не отвечает требованиям прицель</w:t>
      </w:r>
      <w:r w:rsidRPr="00D03F3E">
        <w:rPr>
          <w:color w:val="000000" w:themeColor="text1"/>
          <w:sz w:val="16"/>
          <w:szCs w:val="16"/>
        </w:rPr>
        <w:softHyphen/>
        <w:t>ной стрельбы из пушек 11П по точечным целям с самолета Ил-2. Получалось так, что цель разме</w:t>
      </w:r>
      <w:r w:rsidRPr="00D03F3E">
        <w:rPr>
          <w:color w:val="000000" w:themeColor="text1"/>
          <w:sz w:val="16"/>
          <w:szCs w:val="16"/>
        </w:rPr>
        <w:softHyphen/>
        <w:t>рами 6x6 м с дистанции 900—800 м закрывается мушкой, а «совмещение перекрестия на козырь</w:t>
      </w:r>
      <w:r w:rsidRPr="00D03F3E">
        <w:rPr>
          <w:color w:val="000000" w:themeColor="text1"/>
          <w:sz w:val="16"/>
          <w:szCs w:val="16"/>
        </w:rPr>
        <w:softHyphen/>
        <w:t>ке с мушкой после первого выстрела нарушается и впоследствии трудно возобновляется». К тому же «наводка затрудняется также плохим качеством прозрачной брони (искажает)».</w:t>
      </w:r>
    </w:p>
    <w:p w14:paraId="1B23D89D"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Средний процент попаданий в круг диаметром 60 м составил 33,3% (диапазон — от 22,3 до 71,5%), а в цель размерами 6x6 м — всего 2,65% (диапа</w:t>
      </w:r>
      <w:r w:rsidRPr="00D03F3E">
        <w:rPr>
          <w:color w:val="000000" w:themeColor="text1"/>
          <w:sz w:val="16"/>
          <w:szCs w:val="16"/>
        </w:rPr>
        <w:softHyphen/>
        <w:t>зон — от 2,13 до 4,76%).</w:t>
      </w:r>
    </w:p>
    <w:p w14:paraId="4939B236"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 числу основных выводов по результатам ис</w:t>
      </w:r>
      <w:r w:rsidRPr="00D03F3E">
        <w:rPr>
          <w:color w:val="000000" w:themeColor="text1"/>
          <w:sz w:val="16"/>
          <w:szCs w:val="16"/>
        </w:rPr>
        <w:softHyphen/>
        <w:t>пытаний относили следующее. Во всем диапазоне эксплуатационных центровок двухместный самолет Ил-2 не имеет продольной устойчивости. С уста</w:t>
      </w:r>
      <w:r w:rsidRPr="00D03F3E">
        <w:rPr>
          <w:color w:val="000000" w:themeColor="text1"/>
          <w:sz w:val="16"/>
          <w:szCs w:val="16"/>
        </w:rPr>
        <w:softHyphen/>
        <w:t>новленными 37-мм пушками самолет инертен, на</w:t>
      </w:r>
      <w:r w:rsidRPr="00D03F3E">
        <w:rPr>
          <w:color w:val="000000" w:themeColor="text1"/>
          <w:sz w:val="16"/>
          <w:szCs w:val="16"/>
        </w:rPr>
        <w:softHyphen/>
        <w:t>грузки на рули большие. Самолет сложен в технике пилотирования на виражах, боевых разворотах, при полете на низких высотах. Отсутствие у само</w:t>
      </w:r>
      <w:r w:rsidRPr="00D03F3E">
        <w:rPr>
          <w:color w:val="000000" w:themeColor="text1"/>
          <w:sz w:val="16"/>
          <w:szCs w:val="16"/>
        </w:rPr>
        <w:softHyphen/>
        <w:t>лета продольной устойчивости «снижает качество стрельбы, особенно из пушек калибра 37 мм».</w:t>
      </w:r>
    </w:p>
    <w:p w14:paraId="45769DC7"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то же время отмечалось, что самолет Ил-2 с пушками 11П «может быть применен для пораже</w:t>
      </w:r>
      <w:r w:rsidRPr="00D03F3E">
        <w:rPr>
          <w:color w:val="000000" w:themeColor="text1"/>
          <w:sz w:val="16"/>
          <w:szCs w:val="16"/>
        </w:rPr>
        <w:softHyphen/>
        <w:t>ния железнодорожных эшелонов, паровозов, тан</w:t>
      </w:r>
      <w:r w:rsidRPr="00D03F3E">
        <w:rPr>
          <w:color w:val="000000" w:themeColor="text1"/>
          <w:sz w:val="16"/>
          <w:szCs w:val="16"/>
        </w:rPr>
        <w:softHyphen/>
        <w:t>ков, автоколонн и других целей» при соответствую</w:t>
      </w:r>
      <w:r w:rsidRPr="00D03F3E">
        <w:rPr>
          <w:color w:val="000000" w:themeColor="text1"/>
          <w:sz w:val="16"/>
          <w:szCs w:val="16"/>
        </w:rPr>
        <w:softHyphen/>
        <w:t>щей тренировке летного состава и нормальной ра</w:t>
      </w:r>
      <w:r w:rsidRPr="00D03F3E">
        <w:rPr>
          <w:color w:val="000000" w:themeColor="text1"/>
          <w:sz w:val="16"/>
          <w:szCs w:val="16"/>
        </w:rPr>
        <w:softHyphen/>
        <w:t>боте самих пушек. При этом стрельбу необходимо производить только короткими очередями не бо</w:t>
      </w:r>
      <w:r w:rsidRPr="00D03F3E">
        <w:rPr>
          <w:color w:val="000000" w:themeColor="text1"/>
          <w:sz w:val="16"/>
          <w:szCs w:val="16"/>
        </w:rPr>
        <w:softHyphen/>
        <w:t>лее 3—4 выстрелов, «помня, что первые выстрелы наиболее прицельные».</w:t>
      </w:r>
    </w:p>
    <w:p w14:paraId="728FC52A"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Производственное исполнение Ил-2 зав. № 302349 неудовлетворительное. Большинство производственных дефектов, отмеченных в актах по испытаниям самолетов Ил-2 производства заво</w:t>
      </w:r>
      <w:r w:rsidRPr="00D03F3E">
        <w:rPr>
          <w:color w:val="000000" w:themeColor="text1"/>
          <w:sz w:val="16"/>
          <w:szCs w:val="16"/>
        </w:rPr>
        <w:softHyphen/>
        <w:t>да № 30 зав. № 2067, 1140 и 1122, «повторено и на испытанном самолете».</w:t>
      </w:r>
    </w:p>
    <w:p w14:paraId="108BCF5A"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Требовалось немедленно устранить заклинение патронной ленты в горловине патронного рукава, для чего «доработать патронные рукава по типу доводок, произведенных при испытаниях». Исклю</w:t>
      </w:r>
      <w:r w:rsidRPr="00D03F3E">
        <w:rPr>
          <w:color w:val="000000" w:themeColor="text1"/>
          <w:sz w:val="16"/>
          <w:szCs w:val="16"/>
        </w:rPr>
        <w:softHyphen/>
        <w:t>чить выпадение патронов из ленты. Устранить во внутренней части патронного ящика выступающие предметы — «профиля и шурупы», а саму внутрен</w:t>
      </w:r>
      <w:r w:rsidRPr="00D03F3E">
        <w:rPr>
          <w:color w:val="000000" w:themeColor="text1"/>
          <w:sz w:val="16"/>
          <w:szCs w:val="16"/>
        </w:rPr>
        <w:softHyphen/>
        <w:t>нюю поверхность стенок ящика сделать лучшего качества. Кроме этого, необходимо было удлинить троса спусков пушек, поскольку «тендеры разъема нельзя довернуть до конца и при каждом рассоеди</w:t>
      </w:r>
      <w:r w:rsidRPr="00D03F3E">
        <w:rPr>
          <w:color w:val="000000" w:themeColor="text1"/>
          <w:sz w:val="16"/>
          <w:szCs w:val="16"/>
        </w:rPr>
        <w:softHyphen/>
        <w:t>нении тендеров нарушается регулировка спуска». Предлагалось установить «предохранительные листы против звеньеотводов на правой плоскости и люке патронного отсека левого пулемета ШКАС», возвратные пружины рычагов спусков на заднем креплении пушек, контргайки на горизонтальных болтах переднего крепления пушек.</w:t>
      </w:r>
    </w:p>
    <w:p w14:paraId="5E9E632B"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следствие выявленных в ходе испытаний дефектов и недостатков, в заключении отчета НИИ ВВС констатировалось: «Головной серийный Ил-2 с 37-мм пушками (зав. № 302349 з-д 30) в предъяв</w:t>
      </w:r>
      <w:r w:rsidRPr="00D03F3E">
        <w:rPr>
          <w:color w:val="000000" w:themeColor="text1"/>
          <w:sz w:val="16"/>
          <w:szCs w:val="16"/>
        </w:rPr>
        <w:softHyphen/>
        <w:t>ленном виде испытаний не выдержал по причинам недоведенности системы питания пушек калибра 37 мм и неудовлетворительного производственно</w:t>
      </w:r>
      <w:r w:rsidRPr="00D03F3E">
        <w:rPr>
          <w:color w:val="000000" w:themeColor="text1"/>
          <w:sz w:val="16"/>
          <w:szCs w:val="16"/>
        </w:rPr>
        <w:softHyphen/>
        <w:t>го исполнения».</w:t>
      </w:r>
    </w:p>
    <w:p w14:paraId="7D4F60A7"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Предлагалось «самолет Ил-2 с 37-мм пушками со всеми устраненными дефектами, отмеченными на самолетах зав. № 302067 и № 302349 и доведен</w:t>
      </w:r>
      <w:r w:rsidRPr="00D03F3E">
        <w:rPr>
          <w:color w:val="000000" w:themeColor="text1"/>
          <w:sz w:val="16"/>
          <w:szCs w:val="16"/>
        </w:rPr>
        <w:softHyphen/>
        <w:t>ной системой питания, предъявить в НИИ ВВС на повторные испытания».</w:t>
      </w:r>
    </w:p>
    <w:p w14:paraId="693BE66B"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Акт по результатам испытаний Ил-2 зав. № 302349 главный инженер ВВС генерал-полков</w:t>
      </w:r>
      <w:r w:rsidRPr="00D03F3E">
        <w:rPr>
          <w:color w:val="000000" w:themeColor="text1"/>
          <w:sz w:val="16"/>
          <w:szCs w:val="16"/>
        </w:rPr>
        <w:softHyphen/>
        <w:t>ник А. К. Репин утвердил 14 августа 1943 г. (17500).</w:t>
      </w:r>
    </w:p>
    <w:p w14:paraId="3A038B89" w14:textId="77777777" w:rsidR="00F00EF9" w:rsidRPr="00D03F3E" w:rsidRDefault="00F00EF9" w:rsidP="00D03F3E">
      <w:pPr>
        <w:spacing w:after="0" w:line="240" w:lineRule="auto"/>
        <w:jc w:val="both"/>
        <w:rPr>
          <w:rFonts w:ascii="Times New Roman" w:eastAsia="Times New Roman" w:hAnsi="Times New Roman"/>
          <w:color w:val="000000" w:themeColor="text1"/>
          <w:sz w:val="16"/>
          <w:szCs w:val="16"/>
          <w:lang w:eastAsia="ru-RU"/>
        </w:rPr>
      </w:pPr>
    </w:p>
    <w:p w14:paraId="350CD97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июня 1943 С.В.И. писал А.И.Ш. письмо N 1/648сс:</w:t>
      </w:r>
    </w:p>
    <w:p w14:paraId="49007EA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"Согласно Вашего приказа от 21 мая 1943 N 305сс пар. 1 п. в завод 1 должен построить два самолета Ил-2 с АМ-42 с улучшенной аэродинамикой к 1 августа 1943 со след. осн. данными:</w:t>
      </w:r>
    </w:p>
    <w:p w14:paraId="3306C7B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макс. скорость у земли - 445 км/час</w:t>
      </w:r>
    </w:p>
    <w:p w14:paraId="2629BB6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макс. скорость на высоте 1500 м - 460 км/час</w:t>
      </w:r>
    </w:p>
    <w:p w14:paraId="2A06860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Базируясь в основном на самолете Ил-2 представляется возможность сделать бронированный истребитель с высокими ЛД, вооруженный пушками ВЯ. Проект такого самолета разработан и имеет след. основные данные:</w:t>
      </w:r>
    </w:p>
    <w:p w14:paraId="574FA15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макс. скорость у земли - 480-490 км/час</w:t>
      </w:r>
    </w:p>
    <w:p w14:paraId="24EC68C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макс. скорость на высоте - 500-510 км/час</w:t>
      </w:r>
    </w:p>
    <w:p w14:paraId="1C7D928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Пушки ВЯ - 2 с 300 снарядами</w:t>
      </w:r>
    </w:p>
    <w:p w14:paraId="186A5FB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Усиливается задняя бронированная стенка. Вместо существующей 12 мм ставится экранированная стенка 17 мм. Существующая сегодня у немцев 20 мм пушка и 15 мм снаряды не будут в состоянии пробить эту стенку.</w:t>
      </w:r>
    </w:p>
    <w:p w14:paraId="43E7BFA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Все жизненные части самолета: мотор, маслосистема, бензосистема, масловодоохладительная система и летчик забронированы. Запас горючего 500 кг.</w:t>
      </w:r>
    </w:p>
    <w:p w14:paraId="2CB1773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 Время виража - 22.7 сек.</w:t>
      </w:r>
    </w:p>
    <w:p w14:paraId="2F3830C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 Радиус виража на высоте 100 м - 23.7 сек.</w:t>
      </w:r>
    </w:p>
    <w:p w14:paraId="19B354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Было бы желательно дать задание директору завода 1 построить один такой самолет вместо самолета Ил-2 с улучшенной аэродинамикой с АМ-42.</w:t>
      </w:r>
    </w:p>
    <w:p w14:paraId="0FCCCDE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Прошу Вашего распоряжения об этом директору завода 1 Третьякову.</w:t>
      </w:r>
    </w:p>
    <w:p w14:paraId="3F03E24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Приложение: проект приказа (1775,78).</w:t>
      </w:r>
    </w:p>
    <w:p w14:paraId="130D4D1D" w14:textId="77777777" w:rsidR="00531570" w:rsidRPr="00D03F3E" w:rsidRDefault="00531570" w:rsidP="00D03F3E">
      <w:pPr>
        <w:pStyle w:val="Iauiue"/>
        <w:jc w:val="both"/>
        <w:rPr>
          <w:color w:val="000000" w:themeColor="text1"/>
          <w:sz w:val="16"/>
          <w:szCs w:val="16"/>
        </w:rPr>
      </w:pPr>
    </w:p>
    <w:p w14:paraId="586B17A1" w14:textId="77777777" w:rsidR="003A3024" w:rsidRPr="00D03F3E" w:rsidRDefault="003A302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11 июня 1943 г. С.В. Ильюшин направил А.И. Шахурину письмо № 1/648сс: «Согласно Вашего приказа от 21 мая 1943 г. № 305сс … завод № 1 должен построить два самолета Ил-2 с АМ-42 с улучшенной аэродинамикой к 1 августа 1943 года… Базируясь в основном на самолете Ил-2 представляется возможность сделать бронированный истребитель с высокими летными данными, вооруженный пушками ВЯ. Было бы желательно дать задание директору завода 1 построить один такой самолет вместо самолета Ил-2 с улучшенной аэродинамикой с АМ-42… Прошу Вашего распоряжения об этом директору завода № 1 Третьякову» (21005).</w:t>
      </w:r>
    </w:p>
    <w:p w14:paraId="1F7650D5" w14:textId="77777777" w:rsidR="003A3024" w:rsidRPr="00D03F3E" w:rsidRDefault="003A3024" w:rsidP="00D03F3E">
      <w:pPr>
        <w:spacing w:after="0" w:line="240" w:lineRule="auto"/>
        <w:jc w:val="both"/>
        <w:rPr>
          <w:rFonts w:ascii="Times New Roman" w:hAnsi="Times New Roman"/>
          <w:color w:val="0070C0"/>
          <w:sz w:val="16"/>
          <w:szCs w:val="16"/>
        </w:rPr>
      </w:pPr>
    </w:p>
    <w:p w14:paraId="0053FA4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июня 1943 был подготовлен доклад заместителя старшего военпреда ГУЗ ВВС на заводе № 1 инженер-майора Коннинского, в котором содержался перечень невзаимозаменяемых более мелких агрегатов и дета</w:t>
      </w:r>
      <w:r w:rsidRPr="00D03F3E">
        <w:rPr>
          <w:rFonts w:ascii="Times New Roman" w:hAnsi="Times New Roman"/>
          <w:color w:val="000000" w:themeColor="text1"/>
          <w:sz w:val="16"/>
          <w:szCs w:val="16"/>
        </w:rPr>
        <w:softHyphen/>
        <w:t>лей включал еще два десятка позиций.</w:t>
      </w:r>
    </w:p>
    <w:p w14:paraId="30B6084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апреле — мае 1943 г. была проведена проверка на взаимоза</w:t>
      </w:r>
      <w:r w:rsidRPr="00D03F3E">
        <w:rPr>
          <w:rFonts w:ascii="Times New Roman" w:hAnsi="Times New Roman"/>
          <w:color w:val="000000" w:themeColor="text1"/>
          <w:sz w:val="16"/>
          <w:szCs w:val="16"/>
        </w:rPr>
        <w:softHyphen/>
        <w:t>меняемость агрегатов самолетов Ил-2 производства заводов № 18 и № 1 показала, что использовать некоторые агрегаты с самолета одного из заводов для ремонта и восстановления са</w:t>
      </w:r>
      <w:r w:rsidRPr="00D03F3E">
        <w:rPr>
          <w:rFonts w:ascii="Times New Roman" w:hAnsi="Times New Roman"/>
          <w:color w:val="000000" w:themeColor="text1"/>
          <w:sz w:val="16"/>
          <w:szCs w:val="16"/>
        </w:rPr>
        <w:softHyphen/>
        <w:t>молетов другого завода нельзя. Из числа крупных агрегатов не</w:t>
      </w:r>
      <w:r w:rsidRPr="00D03F3E">
        <w:rPr>
          <w:rFonts w:ascii="Times New Roman" w:hAnsi="Times New Roman"/>
          <w:color w:val="000000" w:themeColor="text1"/>
          <w:sz w:val="16"/>
          <w:szCs w:val="16"/>
        </w:rPr>
        <w:softHyphen/>
        <w:t>взаимозаменяемыми оказались: плоскости (разные стыковоч</w:t>
      </w:r>
      <w:r w:rsidRPr="00D03F3E">
        <w:rPr>
          <w:rFonts w:ascii="Times New Roman" w:hAnsi="Times New Roman"/>
          <w:color w:val="000000" w:themeColor="text1"/>
          <w:sz w:val="16"/>
          <w:szCs w:val="16"/>
        </w:rPr>
        <w:softHyphen/>
        <w:t>ные болты — конические и цилиндрические), ферма костыля, верхний и задний бензобаки, щитки крыла, основной масло</w:t>
      </w:r>
      <w:r w:rsidRPr="00D03F3E">
        <w:rPr>
          <w:rFonts w:ascii="Times New Roman" w:hAnsi="Times New Roman"/>
          <w:color w:val="000000" w:themeColor="text1"/>
          <w:sz w:val="16"/>
          <w:szCs w:val="16"/>
        </w:rPr>
        <w:softHyphen/>
        <w:t>бак, руль высоты, комплект элеронов, складывающийся под</w:t>
      </w:r>
      <w:r w:rsidRPr="00D03F3E">
        <w:rPr>
          <w:rFonts w:ascii="Times New Roman" w:hAnsi="Times New Roman"/>
          <w:color w:val="000000" w:themeColor="text1"/>
          <w:sz w:val="16"/>
          <w:szCs w:val="16"/>
        </w:rPr>
        <w:softHyphen/>
        <w:t>кос.</w:t>
      </w:r>
    </w:p>
    <w:p w14:paraId="52678CD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Отличия самолетов производства заводов №№ 1 и 18 от штурмовиков завода № 30 были еще значительнее. Невзаимо</w:t>
      </w:r>
      <w:r w:rsidRPr="00D03F3E">
        <w:rPr>
          <w:rFonts w:ascii="Times New Roman" w:hAnsi="Times New Roman"/>
          <w:color w:val="000000" w:themeColor="text1"/>
          <w:sz w:val="16"/>
          <w:szCs w:val="16"/>
        </w:rPr>
        <w:softHyphen/>
        <w:t>заменяемыми оказались бронелюки капота мотора и фонари кабины стрелка из-за различной конструкции подвески их и конструкции замка. У бронекорзин маслорадиаторов не совпа</w:t>
      </w:r>
      <w:r w:rsidRPr="00D03F3E">
        <w:rPr>
          <w:rFonts w:ascii="Times New Roman" w:hAnsi="Times New Roman"/>
          <w:color w:val="000000" w:themeColor="text1"/>
          <w:sz w:val="16"/>
          <w:szCs w:val="16"/>
        </w:rPr>
        <w:softHyphen/>
        <w:t>дали отверстия под бронешурупы. На самолеты завода № 30 нельзя было поставить плоскости заводов № 18 и № 1 в силу несовпадения стыковочных отверстий. Нельзя было заменить и подмоторные рамы, «так как рамы изготавливаются не по стандарту и требуют индивидуальной подгонки на заводе».</w:t>
      </w:r>
    </w:p>
    <w:p w14:paraId="6993EE0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Многочисленные детали ВМГ — штуцеры, угольники, на</w:t>
      </w:r>
      <w:r w:rsidRPr="00D03F3E">
        <w:rPr>
          <w:rFonts w:ascii="Times New Roman" w:hAnsi="Times New Roman"/>
          <w:color w:val="000000" w:themeColor="text1"/>
          <w:sz w:val="16"/>
          <w:szCs w:val="16"/>
        </w:rPr>
        <w:softHyphen/>
        <w:t>кидные гайки, ниппели «различны по конструкции и размерам как у разных заводов, так и у различных серий самолетов».</w:t>
      </w:r>
    </w:p>
    <w:p w14:paraId="6B20348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Поступающие в части в качестве запчастей пирамиды под</w:t>
      </w:r>
      <w:r w:rsidRPr="00D03F3E">
        <w:rPr>
          <w:rFonts w:ascii="Times New Roman" w:hAnsi="Times New Roman"/>
          <w:color w:val="000000" w:themeColor="text1"/>
          <w:sz w:val="16"/>
          <w:szCs w:val="16"/>
        </w:rPr>
        <w:softHyphen/>
        <w:t>вески амортизационных стоек не имели просверленных по стандарту отверстий для болтов крепления. Их подгонка по месту в частях «требовала больших трудовых затрат».</w:t>
      </w:r>
    </w:p>
    <w:p w14:paraId="4D8CD82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Руль высоты изготавливался на заводах «комплектно с ин</w:t>
      </w:r>
      <w:r w:rsidRPr="00D03F3E">
        <w:rPr>
          <w:rFonts w:ascii="Times New Roman" w:hAnsi="Times New Roman"/>
          <w:color w:val="000000" w:themeColor="text1"/>
          <w:sz w:val="16"/>
          <w:szCs w:val="16"/>
        </w:rPr>
        <w:softHyphen/>
        <w:t>дивидуальной подгонкой двух половин». Поэтому при замене одной половинки руля высоты приходилось менять весь ком</w:t>
      </w:r>
      <w:r w:rsidRPr="00D03F3E">
        <w:rPr>
          <w:rFonts w:ascii="Times New Roman" w:hAnsi="Times New Roman"/>
          <w:color w:val="000000" w:themeColor="text1"/>
          <w:sz w:val="16"/>
          <w:szCs w:val="16"/>
        </w:rPr>
        <w:softHyphen/>
        <w:t>плект или «переклепывать фланец-звездочку со старой поло</w:t>
      </w:r>
      <w:r w:rsidRPr="00D03F3E">
        <w:rPr>
          <w:rFonts w:ascii="Times New Roman" w:hAnsi="Times New Roman"/>
          <w:color w:val="000000" w:themeColor="text1"/>
          <w:sz w:val="16"/>
          <w:szCs w:val="16"/>
        </w:rPr>
        <w:softHyphen/>
        <w:t>вины руля на новую».</w:t>
      </w:r>
    </w:p>
    <w:p w14:paraId="2F4DC67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Вследствие несовпадения отверстий в броне и бронекарка-се под бронешурупы монтаж верхних бронекрышек капота мо</w:t>
      </w:r>
      <w:r w:rsidRPr="00D03F3E">
        <w:rPr>
          <w:rFonts w:ascii="Times New Roman" w:hAnsi="Times New Roman"/>
          <w:color w:val="000000" w:themeColor="text1"/>
          <w:sz w:val="16"/>
          <w:szCs w:val="16"/>
        </w:rPr>
        <w:softHyphen/>
        <w:t>тора требовал значительных физических усилий 2—3 человек. Монтаж брони, «особенно при первых регламентных работах, забирает больше времени, чем выполнение самих регламент</w:t>
      </w:r>
      <w:r w:rsidRPr="00D03F3E">
        <w:rPr>
          <w:rFonts w:ascii="Times New Roman" w:hAnsi="Times New Roman"/>
          <w:color w:val="000000" w:themeColor="text1"/>
          <w:sz w:val="16"/>
          <w:szCs w:val="16"/>
        </w:rPr>
        <w:softHyphen/>
        <w:t>ных работ на моторе» (11474,278).</w:t>
      </w:r>
    </w:p>
    <w:p w14:paraId="55C3525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13BAE2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июня 1943 был доклада заместителя старшего военпреда ГУЗ ВВС на заводе № 1 инженер-майора Коннинского, согласно которому перечень невзаимозаменяемых более мелких агрегатов и деталей включал еще два десятка позиций (12020).</w:t>
      </w:r>
    </w:p>
    <w:p w14:paraId="2994C50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B5702CB"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11 ию</w:t>
      </w:r>
      <w:r w:rsidRPr="00D03F3E">
        <w:rPr>
          <w:color w:val="000000" w:themeColor="text1"/>
          <w:sz w:val="16"/>
          <w:szCs w:val="16"/>
        </w:rPr>
        <w:softHyphen/>
        <w:t>ня 1943 г. заключение по испытаниям самолета «Пегас» № 01 подписали начальник НИИ ВВС ге</w:t>
      </w:r>
      <w:r w:rsidRPr="00D03F3E">
        <w:rPr>
          <w:color w:val="000000" w:themeColor="text1"/>
          <w:sz w:val="16"/>
          <w:szCs w:val="16"/>
        </w:rPr>
        <w:softHyphen/>
        <w:t>нерал-лейтенант П. А. Лосюков и начальник 3-го отдела института полковник С. И. Сафронов. Акт по результатам испытаний самолета «Пегас» главный инженер ВВС генерал-полковник Репин утвердил через 3 дня — 14 июня.</w:t>
      </w:r>
    </w:p>
    <w:p w14:paraId="64130581"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16 мая 1943 испытания самолета «Пегас» № 01 пришлось прекратить.</w:t>
      </w:r>
    </w:p>
    <w:p w14:paraId="48C704F2"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Летную программу испытаний, возобновленных 9 апреля 1943, в полном объеме завершить не удалось, так как самолет после 36 ч 30 мин налета (96 полетов, включая заводские испытания) пришел в полную негодность.</w:t>
      </w:r>
    </w:p>
    <w:p w14:paraId="1615A503"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Основные изменения в ходе доработки самоле</w:t>
      </w:r>
      <w:r w:rsidRPr="00D03F3E">
        <w:rPr>
          <w:color w:val="000000" w:themeColor="text1"/>
          <w:sz w:val="16"/>
          <w:szCs w:val="16"/>
        </w:rPr>
        <w:softHyphen/>
        <w:t>та сводились к следующему. Отработана подвеска под фюзеляжем легкосъемного лафета с двумя пуш</w:t>
      </w:r>
      <w:r w:rsidRPr="00D03F3E">
        <w:rPr>
          <w:color w:val="000000" w:themeColor="text1"/>
          <w:sz w:val="16"/>
          <w:szCs w:val="16"/>
        </w:rPr>
        <w:softHyphen/>
        <w:t>ками ВЯ с боекомплектом по 80 снарядов на ствол. Доведена носовая пулеметная установка в части обеспечения сбора гильз и звеньев в носовой ча</w:t>
      </w:r>
      <w:r w:rsidRPr="00D03F3E">
        <w:rPr>
          <w:color w:val="000000" w:themeColor="text1"/>
          <w:sz w:val="16"/>
          <w:szCs w:val="16"/>
        </w:rPr>
        <w:softHyphen/>
        <w:t>сти фюзеляжа. Боекомплект к пулемету сократил</w:t>
      </w:r>
      <w:r w:rsidRPr="00D03F3E">
        <w:rPr>
          <w:color w:val="000000" w:themeColor="text1"/>
          <w:sz w:val="16"/>
          <w:szCs w:val="16"/>
        </w:rPr>
        <w:softHyphen/>
        <w:t>ся до 140 патронов. Доработали бомбовый мост. Вместо 3 на него смонтировали 5 замков МДЗ-40. Теперь на него допускалась подвеска бомбовой нагрузки в 500 кг, в том числе одной ФАБ-500. При этом подвеска бомб на 2 крайних замка осущест</w:t>
      </w:r>
      <w:r w:rsidRPr="00D03F3E">
        <w:rPr>
          <w:color w:val="000000" w:themeColor="text1"/>
          <w:sz w:val="16"/>
          <w:szCs w:val="16"/>
        </w:rPr>
        <w:softHyphen/>
        <w:t>влялась вручную, а на 3 средних — при помощи лебедки. Как и прежде, бомбометание обеспечива</w:t>
      </w:r>
      <w:r w:rsidRPr="00D03F3E">
        <w:rPr>
          <w:color w:val="000000" w:themeColor="text1"/>
          <w:sz w:val="16"/>
          <w:szCs w:val="16"/>
        </w:rPr>
        <w:softHyphen/>
        <w:t>лось только с горизонтального полета. Прицел для бомбометания не устанавливался. Емкость бро</w:t>
      </w:r>
      <w:r w:rsidRPr="00D03F3E">
        <w:rPr>
          <w:color w:val="000000" w:themeColor="text1"/>
          <w:sz w:val="16"/>
          <w:szCs w:val="16"/>
        </w:rPr>
        <w:softHyphen/>
        <w:t>нированных бензиновых бачков в мотогондолах и основных бензобаков немного увеличили — до 20 и 153 л каждый соответственно.</w:t>
      </w:r>
    </w:p>
    <w:p w14:paraId="5768298C"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Вес пустого самолета возрос до 1450 кг. Полет</w:t>
      </w:r>
      <w:r w:rsidRPr="00D03F3E">
        <w:rPr>
          <w:color w:val="000000" w:themeColor="text1"/>
          <w:sz w:val="16"/>
          <w:szCs w:val="16"/>
        </w:rPr>
        <w:softHyphen/>
        <w:t>ный вес самолета в варианте штурмовика с пушка</w:t>
      </w:r>
      <w:r w:rsidRPr="00D03F3E">
        <w:rPr>
          <w:color w:val="000000" w:themeColor="text1"/>
          <w:sz w:val="16"/>
          <w:szCs w:val="16"/>
        </w:rPr>
        <w:softHyphen/>
        <w:t>ми ВЯ достигал 2150 кг, а в варианте легкого бом</w:t>
      </w:r>
      <w:r w:rsidRPr="00D03F3E">
        <w:rPr>
          <w:color w:val="000000" w:themeColor="text1"/>
          <w:sz w:val="16"/>
          <w:szCs w:val="16"/>
        </w:rPr>
        <w:softHyphen/>
        <w:t>бардировщика с 500 кг бомб — 2320 кг. Центровка самолета при всех вариантах нагрузки находилась в диапазоне от 29,45% САХ (пустой самолет) до 30,2% САХ (с ВЯ).</w:t>
      </w:r>
    </w:p>
    <w:p w14:paraId="520EC84F"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варианте штурмовика максимальная скорость у земли составила 172 км/ч. Вертикальная скорость у земли — 2,7 м/с. На высоту 1000 м самолет за</w:t>
      </w:r>
      <w:r w:rsidRPr="00D03F3E">
        <w:rPr>
          <w:color w:val="000000" w:themeColor="text1"/>
          <w:sz w:val="16"/>
          <w:szCs w:val="16"/>
        </w:rPr>
        <w:softHyphen/>
        <w:t>бирался за 7,7 мин. Вираж на 1000 м выполнялся за 39—41 с. Практический потолок не превышал 2620 м.</w:t>
      </w:r>
    </w:p>
    <w:p w14:paraId="1C27607C"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варианте бомбардировщика (500 кг бомб) летные данные ухудшались: скорость у земли — 167 км/ч, вертикальная скорость — 1,6 м/с, время подъема на 1000 м — 12,6 мин, практический по</w:t>
      </w:r>
      <w:r w:rsidRPr="00D03F3E">
        <w:rPr>
          <w:color w:val="000000" w:themeColor="text1"/>
          <w:sz w:val="16"/>
          <w:szCs w:val="16"/>
        </w:rPr>
        <w:softHyphen/>
        <w:t>толок — 1900 м.</w:t>
      </w:r>
    </w:p>
    <w:p w14:paraId="2DAD2A19"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полетном весе 1868 кг (без бомб) разбег не превышал 230 м, пробег (50% горючего) — 440 м. При увеличении полетного веса до 2068 кг разбег возрастал до 345 м.</w:t>
      </w:r>
    </w:p>
    <w:p w14:paraId="6734CBA2"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Дальность полета в варианте штурмовика на скорости 0,85 максимальной (150 км/ч — мини</w:t>
      </w:r>
      <w:r w:rsidRPr="00D03F3E">
        <w:rPr>
          <w:color w:val="000000" w:themeColor="text1"/>
          <w:sz w:val="16"/>
          <w:szCs w:val="16"/>
        </w:rPr>
        <w:softHyphen/>
        <w:t>мальная скорость из условий безопасности полета) достигала 410 км.</w:t>
      </w:r>
    </w:p>
    <w:p w14:paraId="6F74FBC9"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Модернизированный «Пегас» оказался не столь простым в управлении, как ожидалось. В полете наблюдались раскачивание при подвешенном во</w:t>
      </w:r>
      <w:r w:rsidRPr="00D03F3E">
        <w:rPr>
          <w:color w:val="000000" w:themeColor="text1"/>
          <w:sz w:val="16"/>
          <w:szCs w:val="16"/>
        </w:rPr>
        <w:softHyphen/>
        <w:t>оружении (особенно с бомбами) и тряска хвоста на некоторых режимах полета.</w:t>
      </w:r>
    </w:p>
    <w:p w14:paraId="75EC4A79"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Летчики отмечали, что из-за отсутствия управля</w:t>
      </w:r>
      <w:r w:rsidRPr="00D03F3E">
        <w:rPr>
          <w:color w:val="000000" w:themeColor="text1"/>
          <w:sz w:val="16"/>
          <w:szCs w:val="16"/>
        </w:rPr>
        <w:softHyphen/>
        <w:t>емого триммера самолет балансируется только на определенных режимах и центровках: при наборе высоты — на скорости 155—160 км/ч, на планиро</w:t>
      </w:r>
      <w:r w:rsidRPr="00D03F3E">
        <w:rPr>
          <w:color w:val="000000" w:themeColor="text1"/>
          <w:sz w:val="16"/>
          <w:szCs w:val="16"/>
        </w:rPr>
        <w:softHyphen/>
        <w:t>вании — на скорости 180—190 км/ч и в горизон</w:t>
      </w:r>
      <w:r w:rsidRPr="00D03F3E">
        <w:rPr>
          <w:color w:val="000000" w:themeColor="text1"/>
          <w:sz w:val="16"/>
          <w:szCs w:val="16"/>
        </w:rPr>
        <w:softHyphen/>
        <w:t>тальном полете — на скорости 160—170 км/ч.</w:t>
      </w:r>
    </w:p>
    <w:p w14:paraId="04F1F8ED"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Самолет характеризовался недостаточной путе</w:t>
      </w:r>
      <w:r w:rsidRPr="00D03F3E">
        <w:rPr>
          <w:color w:val="000000" w:themeColor="text1"/>
          <w:sz w:val="16"/>
          <w:szCs w:val="16"/>
        </w:rPr>
        <w:softHyphen/>
        <w:t>вой и близкой к нейтральной поперечной устойчи</w:t>
      </w:r>
      <w:r w:rsidRPr="00D03F3E">
        <w:rPr>
          <w:color w:val="000000" w:themeColor="text1"/>
          <w:sz w:val="16"/>
          <w:szCs w:val="16"/>
        </w:rPr>
        <w:softHyphen/>
        <w:t>востью. Руля высоты для трехточечной посадки при предельно передней центровке 26,7% САХ хватает, но запас мал. Вводить самолет в пикирование с га</w:t>
      </w:r>
      <w:r w:rsidRPr="00D03F3E">
        <w:rPr>
          <w:color w:val="000000" w:themeColor="text1"/>
          <w:sz w:val="16"/>
          <w:szCs w:val="16"/>
        </w:rPr>
        <w:softHyphen/>
        <w:t>зом очень тяжело.</w:t>
      </w:r>
    </w:p>
    <w:p w14:paraId="51E73E0A"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полете сильно задувает в кабину с пола. В го</w:t>
      </w:r>
      <w:r w:rsidRPr="00D03F3E">
        <w:rPr>
          <w:color w:val="000000" w:themeColor="text1"/>
          <w:sz w:val="16"/>
          <w:szCs w:val="16"/>
        </w:rPr>
        <w:softHyphen/>
        <w:t>ризонтальном полете и на пикировании «винты дают раскрутку, поэтому полностью использовать мощность моторов невозможно».</w:t>
      </w:r>
    </w:p>
    <w:p w14:paraId="2F43EA56"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Диапазон возможных скоростей полета («при большой минимальной скорости») сочли совершен</w:t>
      </w:r>
      <w:r w:rsidRPr="00D03F3E">
        <w:rPr>
          <w:color w:val="000000" w:themeColor="text1"/>
          <w:sz w:val="16"/>
          <w:szCs w:val="16"/>
        </w:rPr>
        <w:softHyphen/>
        <w:t>но недостаточным для выполнения маневров при построении захода на цель и ухода от нее и при по</w:t>
      </w:r>
      <w:r w:rsidRPr="00D03F3E">
        <w:rPr>
          <w:color w:val="000000" w:themeColor="text1"/>
          <w:sz w:val="16"/>
          <w:szCs w:val="16"/>
        </w:rPr>
        <w:softHyphen/>
        <w:t>летах в строю, особенно большими группами.</w:t>
      </w:r>
    </w:p>
    <w:p w14:paraId="5B81C3E0"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Стрелковое и пушечное вооружение в ходе ис</w:t>
      </w:r>
      <w:r w:rsidRPr="00D03F3E">
        <w:rPr>
          <w:color w:val="000000" w:themeColor="text1"/>
          <w:sz w:val="16"/>
          <w:szCs w:val="16"/>
        </w:rPr>
        <w:softHyphen/>
        <w:t>пытаний постоянно доводилось силами специали</w:t>
      </w:r>
      <w:r w:rsidRPr="00D03F3E">
        <w:rPr>
          <w:color w:val="000000" w:themeColor="text1"/>
          <w:sz w:val="16"/>
          <w:szCs w:val="16"/>
        </w:rPr>
        <w:softHyphen/>
        <w:t>стов НИИ ВВС. На отработку оружия было выпол</w:t>
      </w:r>
      <w:r w:rsidRPr="00D03F3E">
        <w:rPr>
          <w:color w:val="000000" w:themeColor="text1"/>
          <w:sz w:val="16"/>
          <w:szCs w:val="16"/>
        </w:rPr>
        <w:softHyphen/>
        <w:t>нено 11 полетов. Стрельба велась в горизонталь ном полете и с пикирования. Из пушек всего было выполнено 1842 выстрела, в том числе 454 — на земле, 1388 — в воздухе. Получено 6,8% задержек в стрельбе и 3 поломки. Из пулемета УБК отстреля</w:t>
      </w:r>
      <w:r w:rsidRPr="00D03F3E">
        <w:rPr>
          <w:color w:val="000000" w:themeColor="text1"/>
          <w:sz w:val="16"/>
          <w:szCs w:val="16"/>
        </w:rPr>
        <w:softHyphen/>
        <w:t>ли в воздухе 875 и на земле 475 патронов. Было за</w:t>
      </w:r>
      <w:r w:rsidRPr="00D03F3E">
        <w:rPr>
          <w:color w:val="000000" w:themeColor="text1"/>
          <w:sz w:val="16"/>
          <w:szCs w:val="16"/>
        </w:rPr>
        <w:softHyphen/>
        <w:t>фиксировано 10% задержек и 4 поломки.</w:t>
      </w:r>
    </w:p>
    <w:p w14:paraId="1C445207"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Рассеивание определялось стрельбой в воздухе по щитам (12x12 м). Стрельба велась с пикирова</w:t>
      </w:r>
      <w:r w:rsidRPr="00D03F3E">
        <w:rPr>
          <w:color w:val="000000" w:themeColor="text1"/>
          <w:sz w:val="16"/>
          <w:szCs w:val="16"/>
        </w:rPr>
        <w:softHyphen/>
        <w:t>ния под углом 25—30° с дистанции 800—900 м оче</w:t>
      </w:r>
      <w:r w:rsidRPr="00D03F3E">
        <w:rPr>
          <w:color w:val="000000" w:themeColor="text1"/>
          <w:sz w:val="16"/>
          <w:szCs w:val="16"/>
        </w:rPr>
        <w:softHyphen/>
        <w:t>редями по 2—10 снарядов.</w:t>
      </w:r>
    </w:p>
    <w:p w14:paraId="040B8E5E"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Выяснилось, что при стрельбе из пулемета УБК на скорости 150—160 км/ч самолет стремился ка- брировать, а при стрельбе из пушек, наоборот — пикировать. При стрельбе из всех 3 точек — из пушек и пулемета — «моменты кабрирования и пикирования уравновешиваются, но самолет раска</w:t>
      </w:r>
      <w:r w:rsidRPr="00D03F3E">
        <w:rPr>
          <w:color w:val="000000" w:themeColor="text1"/>
          <w:sz w:val="16"/>
          <w:szCs w:val="16"/>
        </w:rPr>
        <w:softHyphen/>
        <w:t>чивается, и продолжительное время вести стрель</w:t>
      </w:r>
      <w:r w:rsidRPr="00D03F3E">
        <w:rPr>
          <w:color w:val="000000" w:themeColor="text1"/>
          <w:sz w:val="16"/>
          <w:szCs w:val="16"/>
        </w:rPr>
        <w:softHyphen/>
        <w:t>бу невозможно».</w:t>
      </w:r>
    </w:p>
    <w:p w14:paraId="4A616BFD"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стрельбе из пушек в горизонтальном по</w:t>
      </w:r>
      <w:r w:rsidRPr="00D03F3E">
        <w:rPr>
          <w:color w:val="000000" w:themeColor="text1"/>
          <w:sz w:val="16"/>
          <w:szCs w:val="16"/>
        </w:rPr>
        <w:softHyphen/>
        <w:t>лете длинными очередями до 10 снарядов само</w:t>
      </w:r>
      <w:r w:rsidRPr="00D03F3E">
        <w:rPr>
          <w:color w:val="000000" w:themeColor="text1"/>
          <w:sz w:val="16"/>
          <w:szCs w:val="16"/>
        </w:rPr>
        <w:softHyphen/>
        <w:t>лет терял в скорости полета до 15 км/ч (примерно 9% от максимальной скорости). При этом самолет испытывал значительную тряску и летчик не в со</w:t>
      </w:r>
      <w:r w:rsidRPr="00D03F3E">
        <w:rPr>
          <w:color w:val="000000" w:themeColor="text1"/>
          <w:sz w:val="16"/>
          <w:szCs w:val="16"/>
        </w:rPr>
        <w:softHyphen/>
        <w:t>стоянии при стрельбе удерживать линию визиро</w:t>
      </w:r>
      <w:r w:rsidRPr="00D03F3E">
        <w:rPr>
          <w:color w:val="000000" w:themeColor="text1"/>
          <w:sz w:val="16"/>
          <w:szCs w:val="16"/>
        </w:rPr>
        <w:softHyphen/>
        <w:t>вания на цели. Прицельность стрельбы из пушек нарушалась уже после первых 1—2 выстрелов. Кроме того, из-за слишком длинных пламегасите</w:t>
      </w:r>
      <w:r w:rsidRPr="00D03F3E">
        <w:rPr>
          <w:color w:val="000000" w:themeColor="text1"/>
          <w:sz w:val="16"/>
          <w:szCs w:val="16"/>
        </w:rPr>
        <w:softHyphen/>
        <w:t>лей стволы пушек при стрельбе сильно вибрирова</w:t>
      </w:r>
      <w:r w:rsidRPr="00D03F3E">
        <w:rPr>
          <w:color w:val="000000" w:themeColor="text1"/>
          <w:sz w:val="16"/>
          <w:szCs w:val="16"/>
        </w:rPr>
        <w:softHyphen/>
        <w:t>ли. Все это, вместе взятое, вызывало большое рас</w:t>
      </w:r>
      <w:r w:rsidRPr="00D03F3E">
        <w:rPr>
          <w:color w:val="000000" w:themeColor="text1"/>
          <w:sz w:val="16"/>
          <w:szCs w:val="16"/>
        </w:rPr>
        <w:softHyphen/>
        <w:t>сеивание снарядов. Так, при стрельбе короткими очередями (2—4 выстрела) боковое отклонение и отклонение по дальности достигало 7,2 и 13,2 м соответственно. Прицеливаться, используя кольцо и мушку, было крайне неудобно. После первой оче</w:t>
      </w:r>
      <w:r w:rsidRPr="00D03F3E">
        <w:rPr>
          <w:color w:val="000000" w:themeColor="text1"/>
          <w:sz w:val="16"/>
          <w:szCs w:val="16"/>
        </w:rPr>
        <w:softHyphen/>
        <w:t>реди поймать цель снова в прицел трудно, поэтому прицельно вести стрельбу по одной и той же цели невозможно. Не обеспечена перезарядка пулемета в воздухе. Обзор летчику вперед-вниз на 15° при</w:t>
      </w:r>
      <w:r w:rsidRPr="00D03F3E">
        <w:rPr>
          <w:color w:val="000000" w:themeColor="text1"/>
          <w:sz w:val="16"/>
          <w:szCs w:val="16"/>
        </w:rPr>
        <w:softHyphen/>
        <w:t>знавался недостаточным.</w:t>
      </w:r>
    </w:p>
    <w:p w14:paraId="16789976"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Бомбовое вооружение в воздухе не испытыва- лось ввиду отсутствия прицела для бомбометания и изношенности шасси. Дело в том, что после по</w:t>
      </w:r>
      <w:r w:rsidRPr="00D03F3E">
        <w:rPr>
          <w:color w:val="000000" w:themeColor="text1"/>
          <w:sz w:val="16"/>
          <w:szCs w:val="16"/>
        </w:rPr>
        <w:softHyphen/>
        <w:t>летов на определение летных данных и испытание стрелково-пушечного вооружения «Пегас» № 01 пришел в негодность. Летать на нем было нельзя. Самолету требовался капитальный ремонт.</w:t>
      </w:r>
    </w:p>
    <w:p w14:paraId="2BA40176"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Мнение летчиков-испытателей было неутеши</w:t>
      </w:r>
      <w:r w:rsidRPr="00D03F3E">
        <w:rPr>
          <w:color w:val="000000" w:themeColor="text1"/>
          <w:sz w:val="16"/>
          <w:szCs w:val="16"/>
        </w:rPr>
        <w:softHyphen/>
        <w:t>тельным. Основной вывод сводился к тому, что полученные при испытании летно-боевые данные «не обеспечивают для самолета «Пегас» успешного выполнения боевых задач» в качестве штурмовика и легкого бомбардировщика.</w:t>
      </w:r>
    </w:p>
    <w:p w14:paraId="4DD8CB2E"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Боевую живучесть машины сочли совершенно недостаточной: «Бронирование летчика обеспечи</w:t>
      </w:r>
      <w:r w:rsidRPr="00D03F3E">
        <w:rPr>
          <w:color w:val="000000" w:themeColor="text1"/>
          <w:sz w:val="16"/>
          <w:szCs w:val="16"/>
        </w:rPr>
        <w:softHyphen/>
        <w:t>вает защиту только от пуль калибра 7,62 мм с дис</w:t>
      </w:r>
      <w:r w:rsidRPr="00D03F3E">
        <w:rPr>
          <w:color w:val="000000" w:themeColor="text1"/>
          <w:sz w:val="16"/>
          <w:szCs w:val="16"/>
        </w:rPr>
        <w:softHyphen/>
        <w:t>танции 700—1000 м. Недостаточная угловая защита головы летчика спереди (малая площадь прозрач</w:t>
      </w:r>
      <w:r w:rsidRPr="00D03F3E">
        <w:rPr>
          <w:color w:val="000000" w:themeColor="text1"/>
          <w:sz w:val="16"/>
          <w:szCs w:val="16"/>
        </w:rPr>
        <w:softHyphen/>
        <w:t>ной брони) на козырьке. Недостаточная броня сза</w:t>
      </w:r>
      <w:r w:rsidRPr="00D03F3E">
        <w:rPr>
          <w:color w:val="000000" w:themeColor="text1"/>
          <w:sz w:val="16"/>
          <w:szCs w:val="16"/>
        </w:rPr>
        <w:softHyphen/>
        <w:t>ди от пуль калибра 12,7 мм и выше. /.../ Нет брони моторов, основные бензобаки не защищены, нет протектора и нет системы нейтральных газов. /.../ Сброс бензобаков не исключает пожара, так как летчик может не засечь его начало, противопо</w:t>
      </w:r>
      <w:r w:rsidRPr="00D03F3E">
        <w:rPr>
          <w:color w:val="000000" w:themeColor="text1"/>
          <w:sz w:val="16"/>
          <w:szCs w:val="16"/>
        </w:rPr>
        <w:softHyphen/>
        <w:t>жарная перегородка отсутствует. /. / При малых горизонтальных скоростях легко уязвим от назем</w:t>
      </w:r>
      <w:r w:rsidRPr="00D03F3E">
        <w:rPr>
          <w:color w:val="000000" w:themeColor="text1"/>
          <w:sz w:val="16"/>
          <w:szCs w:val="16"/>
        </w:rPr>
        <w:softHyphen/>
        <w:t>ного огня, плохая маневренность (время виража на 1000 м — 40 сек) делает его беззащитным перед ис</w:t>
      </w:r>
      <w:r w:rsidRPr="00D03F3E">
        <w:rPr>
          <w:color w:val="000000" w:themeColor="text1"/>
          <w:sz w:val="16"/>
          <w:szCs w:val="16"/>
        </w:rPr>
        <w:softHyphen/>
        <w:t>требительной авиацией противника, что приведет к большим потерям летчиков и матчасти».</w:t>
      </w:r>
    </w:p>
    <w:p w14:paraId="10F79036"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Констатировалось, что по технике пилотирова</w:t>
      </w:r>
      <w:r w:rsidRPr="00D03F3E">
        <w:rPr>
          <w:color w:val="000000" w:themeColor="text1"/>
          <w:sz w:val="16"/>
          <w:szCs w:val="16"/>
        </w:rPr>
        <w:softHyphen/>
        <w:t>ния самолет недоступен «массовому летному соста</w:t>
      </w:r>
      <w:r w:rsidRPr="00D03F3E">
        <w:rPr>
          <w:color w:val="000000" w:themeColor="text1"/>
          <w:sz w:val="16"/>
          <w:szCs w:val="16"/>
        </w:rPr>
        <w:softHyphen/>
        <w:t>ву, из-за малого диапазона скорости (20—25 км/ч) между максимальной и эволютивной», недоста</w:t>
      </w:r>
      <w:r w:rsidRPr="00D03F3E">
        <w:rPr>
          <w:color w:val="000000" w:themeColor="text1"/>
          <w:sz w:val="16"/>
          <w:szCs w:val="16"/>
        </w:rPr>
        <w:softHyphen/>
        <w:t>точной боковой устойчивости и крутой глиссады планирования. К полетам на «Пегасе» допускались только летчики с летной подготовкой не ниже средней и лишь днем в простых метеоусловиях.</w:t>
      </w:r>
    </w:p>
    <w:p w14:paraId="04641BB2"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Боевое применение имело смысл в перегру</w:t>
      </w:r>
      <w:r w:rsidRPr="00D03F3E">
        <w:rPr>
          <w:color w:val="000000" w:themeColor="text1"/>
          <w:sz w:val="16"/>
          <w:szCs w:val="16"/>
        </w:rPr>
        <w:softHyphen/>
        <w:t>зочном варианте нагрузки, «но в этом случае проч</w:t>
      </w:r>
      <w:r w:rsidRPr="00D03F3E">
        <w:rPr>
          <w:color w:val="000000" w:themeColor="text1"/>
          <w:sz w:val="16"/>
          <w:szCs w:val="16"/>
        </w:rPr>
        <w:softHyphen/>
        <w:t>ность шасси не обеспечивает длительной эксплуа</w:t>
      </w:r>
      <w:r w:rsidRPr="00D03F3E">
        <w:rPr>
          <w:color w:val="000000" w:themeColor="text1"/>
          <w:sz w:val="16"/>
          <w:szCs w:val="16"/>
        </w:rPr>
        <w:softHyphen/>
        <w:t>тации самолета».</w:t>
      </w:r>
    </w:p>
    <w:p w14:paraId="0F87385C"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Прицельная стрельба из пушек возможна толь</w:t>
      </w:r>
      <w:r w:rsidRPr="00D03F3E">
        <w:rPr>
          <w:color w:val="000000" w:themeColor="text1"/>
          <w:sz w:val="16"/>
          <w:szCs w:val="16"/>
        </w:rPr>
        <w:softHyphen/>
        <w:t>ко очередями по 2—4 снаряда с восстановлением прицеливания после каждой очереди. Установка пушек калибра 23 и 37 мм нецелесообразна из-за большой силы отдачи.</w:t>
      </w:r>
    </w:p>
    <w:p w14:paraId="5189D9D8"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существующей конструкции носовой части, расположения брони и летчика установка прицель</w:t>
      </w:r>
      <w:r w:rsidRPr="00D03F3E">
        <w:rPr>
          <w:color w:val="000000" w:themeColor="text1"/>
          <w:sz w:val="16"/>
          <w:szCs w:val="16"/>
        </w:rPr>
        <w:softHyphen/>
        <w:t>ных приспособлений для бомбометания невозмож</w:t>
      </w:r>
      <w:r w:rsidRPr="00D03F3E">
        <w:rPr>
          <w:color w:val="000000" w:themeColor="text1"/>
          <w:sz w:val="16"/>
          <w:szCs w:val="16"/>
        </w:rPr>
        <w:softHyphen/>
        <w:t>на. Это исключает возможность бомбометания по целям ограниченных размеров.</w:t>
      </w:r>
    </w:p>
    <w:p w14:paraId="307704B1"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Применение второсортных материалов в зна</w:t>
      </w:r>
      <w:r w:rsidRPr="00D03F3E">
        <w:rPr>
          <w:color w:val="000000" w:themeColor="text1"/>
          <w:sz w:val="16"/>
          <w:szCs w:val="16"/>
        </w:rPr>
        <w:softHyphen/>
        <w:t>чительной мере удешевило производство самоле</w:t>
      </w:r>
      <w:r w:rsidRPr="00D03F3E">
        <w:rPr>
          <w:color w:val="000000" w:themeColor="text1"/>
          <w:sz w:val="16"/>
          <w:szCs w:val="16"/>
        </w:rPr>
        <w:softHyphen/>
        <w:t>та, но вместе с этим этот же факт сделал самолет недолговечным и одновременно привел к много</w:t>
      </w:r>
      <w:r w:rsidRPr="00D03F3E">
        <w:rPr>
          <w:color w:val="000000" w:themeColor="text1"/>
          <w:sz w:val="16"/>
          <w:szCs w:val="16"/>
        </w:rPr>
        <w:softHyphen/>
        <w:t>численным дефектам и поломкам в ходе эксплуа</w:t>
      </w:r>
      <w:r w:rsidRPr="00D03F3E">
        <w:rPr>
          <w:color w:val="000000" w:themeColor="text1"/>
          <w:sz w:val="16"/>
          <w:szCs w:val="16"/>
        </w:rPr>
        <w:softHyphen/>
        <w:t>тации.</w:t>
      </w:r>
    </w:p>
    <w:p w14:paraId="60FBD03E"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Так, «в основных бензобаках, изготовленных из низкосортного листового материала, образует</w:t>
      </w:r>
      <w:r w:rsidRPr="00D03F3E">
        <w:rPr>
          <w:color w:val="000000" w:themeColor="text1"/>
          <w:sz w:val="16"/>
          <w:szCs w:val="16"/>
        </w:rPr>
        <w:softHyphen/>
        <w:t>ся постоянная течь по швам и заклепкам». Ленты крепления маслобаков быстро приходили в негод</w:t>
      </w:r>
      <w:r w:rsidRPr="00D03F3E">
        <w:rPr>
          <w:color w:val="000000" w:themeColor="text1"/>
          <w:sz w:val="16"/>
          <w:szCs w:val="16"/>
        </w:rPr>
        <w:softHyphen/>
        <w:t>ность и разрушались. Маслобаки начинали вибри</w:t>
      </w:r>
      <w:r w:rsidRPr="00D03F3E">
        <w:rPr>
          <w:color w:val="000000" w:themeColor="text1"/>
          <w:sz w:val="16"/>
          <w:szCs w:val="16"/>
        </w:rPr>
        <w:softHyphen/>
        <w:t>ровать, что приводило к течи по швам и в местах пайки. Прочность обшивки центроплана не обе</w:t>
      </w:r>
      <w:r w:rsidRPr="00D03F3E">
        <w:rPr>
          <w:color w:val="000000" w:themeColor="text1"/>
          <w:sz w:val="16"/>
          <w:szCs w:val="16"/>
        </w:rPr>
        <w:softHyphen/>
        <w:t>спечивала свободный проход к горловинам бен- зо- и маслобаков при заправке, обшивка дефор</w:t>
      </w:r>
      <w:r w:rsidRPr="00D03F3E">
        <w:rPr>
          <w:color w:val="000000" w:themeColor="text1"/>
          <w:sz w:val="16"/>
          <w:szCs w:val="16"/>
        </w:rPr>
        <w:softHyphen/>
        <w:t>мировалась и проламывалась. Фанерная обшивка самолета везде покрывалась трещинами и шелуши</w:t>
      </w:r>
      <w:r w:rsidRPr="00D03F3E">
        <w:rPr>
          <w:color w:val="000000" w:themeColor="text1"/>
          <w:sz w:val="16"/>
          <w:szCs w:val="16"/>
        </w:rPr>
        <w:softHyphen/>
        <w:t>лась.</w:t>
      </w:r>
    </w:p>
    <w:p w14:paraId="3770C17A"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Кроме того, низкое располо</w:t>
      </w:r>
      <w:r w:rsidRPr="00D03F3E">
        <w:rPr>
          <w:color w:val="000000" w:themeColor="text1"/>
          <w:sz w:val="16"/>
          <w:szCs w:val="16"/>
        </w:rPr>
        <w:softHyphen/>
        <w:t>жение моторов (под крылом) не позволяло запускать моторы при помощи автостартера и не обеспе</w:t>
      </w:r>
      <w:r w:rsidRPr="00D03F3E">
        <w:rPr>
          <w:color w:val="000000" w:themeColor="text1"/>
          <w:sz w:val="16"/>
          <w:szCs w:val="16"/>
        </w:rPr>
        <w:softHyphen/>
        <w:t>чивало необходимого расстояния между концами лопастей винтов и землей в линии полета.</w:t>
      </w:r>
    </w:p>
    <w:p w14:paraId="7BBB2ED2"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Помимо летчиков НИИ ВВС, «Пе</w:t>
      </w:r>
      <w:r w:rsidRPr="00D03F3E">
        <w:rPr>
          <w:color w:val="000000" w:themeColor="text1"/>
          <w:sz w:val="16"/>
          <w:szCs w:val="16"/>
        </w:rPr>
        <w:softHyphen/>
        <w:t>гас» облетал инспектор Управления боевой подготовки ВВС КА гвардии подполковник К. Н. Холобаев, кото</w:t>
      </w:r>
      <w:r w:rsidRPr="00D03F3E">
        <w:rPr>
          <w:color w:val="000000" w:themeColor="text1"/>
          <w:sz w:val="16"/>
          <w:szCs w:val="16"/>
        </w:rPr>
        <w:softHyphen/>
        <w:t>рый в составе 4-го шап (с 7.3.42 г. — 7-й гшап) был одним из первых, кто применил бронированный штурмо</w:t>
      </w:r>
      <w:r w:rsidRPr="00D03F3E">
        <w:rPr>
          <w:color w:val="000000" w:themeColor="text1"/>
          <w:sz w:val="16"/>
          <w:szCs w:val="16"/>
        </w:rPr>
        <w:softHyphen/>
        <w:t>вик Ил-2 на фронтах войны.</w:t>
      </w:r>
    </w:p>
    <w:p w14:paraId="570035C2" w14:textId="77777777" w:rsidR="00F00EF9" w:rsidRPr="00D03F3E" w:rsidRDefault="00F00EF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заключении отчета констатировалось, что са</w:t>
      </w:r>
      <w:r w:rsidRPr="00D03F3E">
        <w:rPr>
          <w:rFonts w:ascii="Times New Roman" w:hAnsi="Times New Roman"/>
          <w:color w:val="000000" w:themeColor="text1"/>
          <w:sz w:val="16"/>
          <w:szCs w:val="16"/>
        </w:rPr>
        <w:softHyphen/>
        <w:t>молет «Пегас» «государственные испытания не вы</w:t>
      </w:r>
      <w:r w:rsidRPr="00D03F3E">
        <w:rPr>
          <w:rFonts w:ascii="Times New Roman" w:hAnsi="Times New Roman"/>
          <w:color w:val="000000" w:themeColor="text1"/>
          <w:sz w:val="16"/>
          <w:szCs w:val="16"/>
        </w:rPr>
        <w:softHyphen/>
        <w:t>держал; дальнейшие работы по доводке самолета «Пегас» считать нецелесообразными».</w:t>
      </w:r>
    </w:p>
    <w:p w14:paraId="3E1B3CE7" w14:textId="77777777" w:rsidR="00F00EF9" w:rsidRPr="00D03F3E" w:rsidRDefault="00F00E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НИИ ВВС и использовать как макет для полиго</w:t>
      </w:r>
      <w:r w:rsidRPr="00D03F3E">
        <w:rPr>
          <w:color w:val="000000" w:themeColor="text1"/>
          <w:sz w:val="16"/>
          <w:szCs w:val="16"/>
        </w:rPr>
        <w:softHyphen/>
        <w:t>на», а оставшиеся 4 опытных самолета, «заканчи</w:t>
      </w:r>
      <w:r w:rsidRPr="00D03F3E">
        <w:rPr>
          <w:color w:val="000000" w:themeColor="text1"/>
          <w:sz w:val="16"/>
          <w:szCs w:val="16"/>
        </w:rPr>
        <w:softHyphen/>
        <w:t>вающихся постройкой на заводе № 288, передать в один из запасных авиаполков для использования в качестве мишеней в целях тренировок в стрельбе по наземным целям» (17500).</w:t>
      </w:r>
    </w:p>
    <w:p w14:paraId="35FC3333" w14:textId="77777777" w:rsidR="00F00EF9" w:rsidRPr="00D03F3E" w:rsidRDefault="00F00EF9" w:rsidP="00D03F3E">
      <w:pPr>
        <w:spacing w:after="0" w:line="240" w:lineRule="auto"/>
        <w:jc w:val="both"/>
        <w:rPr>
          <w:rFonts w:ascii="Times New Roman" w:hAnsi="Times New Roman"/>
          <w:color w:val="000000" w:themeColor="text1"/>
          <w:sz w:val="16"/>
          <w:szCs w:val="16"/>
        </w:rPr>
      </w:pPr>
    </w:p>
    <w:p w14:paraId="4F7C942E" w14:textId="77777777" w:rsidR="003A3024" w:rsidRPr="00D03F3E" w:rsidRDefault="003A302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11 июня 1943 г. начальник НИИ ВВС генерал-лейтенант Лосюков и начальник 3-го отдела института полков</w:t>
      </w:r>
      <w:r w:rsidRPr="00D03F3E">
        <w:rPr>
          <w:rFonts w:ascii="Times New Roman" w:hAnsi="Times New Roman"/>
          <w:color w:val="0070C0"/>
          <w:sz w:val="16"/>
          <w:szCs w:val="16"/>
        </w:rPr>
        <w:softHyphen/>
        <w:t>ник Сафронов подписали Заключение по результатам госиспытаний самолета Пегас №01. Акт по ре</w:t>
      </w:r>
      <w:r w:rsidRPr="00D03F3E">
        <w:rPr>
          <w:rFonts w:ascii="Times New Roman" w:hAnsi="Times New Roman"/>
          <w:color w:val="0070C0"/>
          <w:sz w:val="16"/>
          <w:szCs w:val="16"/>
        </w:rPr>
        <w:softHyphen/>
        <w:t>зультатам испытаний самолета «Пегас» главный инженер ВВС генерал-полковник Репин утвердил через три дня - 14 июня.</w:t>
      </w:r>
    </w:p>
    <w:p w14:paraId="794D91E8" w14:textId="77777777" w:rsidR="003A3024" w:rsidRPr="00D03F3E" w:rsidRDefault="003A302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Как следует из доклада инженер-май</w:t>
      </w:r>
      <w:r w:rsidRPr="00D03F3E">
        <w:rPr>
          <w:rFonts w:ascii="Times New Roman" w:hAnsi="Times New Roman"/>
          <w:color w:val="0070C0"/>
          <w:sz w:val="16"/>
          <w:szCs w:val="16"/>
        </w:rPr>
        <w:softHyphen/>
        <w:t>ора Рототаева от 21 мая 1943 г., из пяти запланированных к постройке самоле</w:t>
      </w:r>
      <w:r w:rsidRPr="00D03F3E">
        <w:rPr>
          <w:rFonts w:ascii="Times New Roman" w:hAnsi="Times New Roman"/>
          <w:color w:val="0070C0"/>
          <w:sz w:val="16"/>
          <w:szCs w:val="16"/>
        </w:rPr>
        <w:softHyphen/>
        <w:t>тов «Пегас» один экземпляр (№01) нахо</w:t>
      </w:r>
      <w:r w:rsidRPr="00D03F3E">
        <w:rPr>
          <w:rFonts w:ascii="Times New Roman" w:hAnsi="Times New Roman"/>
          <w:color w:val="0070C0"/>
          <w:sz w:val="16"/>
          <w:szCs w:val="16"/>
        </w:rPr>
        <w:softHyphen/>
        <w:t>дится в НИИ ВВС, три экземпляра (№№02, 03,04) - собраны и переданы на ЛИС за</w:t>
      </w:r>
      <w:r w:rsidRPr="00D03F3E">
        <w:rPr>
          <w:rFonts w:ascii="Times New Roman" w:hAnsi="Times New Roman"/>
          <w:color w:val="0070C0"/>
          <w:sz w:val="16"/>
          <w:szCs w:val="16"/>
        </w:rPr>
        <w:softHyphen/>
        <w:t>вода для производства заводских лет</w:t>
      </w:r>
      <w:r w:rsidRPr="00D03F3E">
        <w:rPr>
          <w:rFonts w:ascii="Times New Roman" w:hAnsi="Times New Roman"/>
          <w:color w:val="0070C0"/>
          <w:sz w:val="16"/>
          <w:szCs w:val="16"/>
        </w:rPr>
        <w:softHyphen/>
        <w:t>ных испытаний, еще один экземпляр (№05) - закачивается сборкой. При этом ни один из них не был принят и оплачен военной приемкой, «из-за отсутствия ТТТ или каких-либо иных указаний» со сто</w:t>
      </w:r>
      <w:r w:rsidRPr="00D03F3E">
        <w:rPr>
          <w:rFonts w:ascii="Times New Roman" w:hAnsi="Times New Roman"/>
          <w:color w:val="0070C0"/>
          <w:sz w:val="16"/>
          <w:szCs w:val="16"/>
        </w:rPr>
        <w:softHyphen/>
        <w:t>роны Управления опытного строительст</w:t>
      </w:r>
      <w:r w:rsidRPr="00D03F3E">
        <w:rPr>
          <w:rFonts w:ascii="Times New Roman" w:hAnsi="Times New Roman"/>
          <w:color w:val="0070C0"/>
          <w:sz w:val="16"/>
          <w:szCs w:val="16"/>
        </w:rPr>
        <w:softHyphen/>
        <w:t>ва ГУ ИАС (23181).</w:t>
      </w:r>
    </w:p>
    <w:p w14:paraId="2FE37262" w14:textId="77777777" w:rsidR="003A3024" w:rsidRPr="00D03F3E" w:rsidRDefault="003A3024" w:rsidP="00D03F3E">
      <w:pPr>
        <w:spacing w:after="0" w:line="240" w:lineRule="auto"/>
        <w:jc w:val="both"/>
        <w:rPr>
          <w:rFonts w:ascii="Times New Roman" w:hAnsi="Times New Roman"/>
          <w:color w:val="0070C0"/>
          <w:sz w:val="16"/>
          <w:szCs w:val="16"/>
        </w:rPr>
      </w:pPr>
    </w:p>
    <w:p w14:paraId="2744F7BB" w14:textId="77777777" w:rsidR="00FF1916" w:rsidRPr="00D03F3E" w:rsidRDefault="00FF1916" w:rsidP="00D03F3E">
      <w:pPr>
        <w:pStyle w:val="36"/>
        <w:shd w:val="clear" w:color="auto" w:fill="auto"/>
        <w:spacing w:after="0" w:line="240" w:lineRule="auto"/>
        <w:jc w:val="both"/>
        <w:rPr>
          <w:rStyle w:val="aff6"/>
          <w:rFonts w:ascii="Times New Roman" w:eastAsia="Arial Narrow" w:hAnsi="Times New Roman" w:cs="Times New Roman"/>
          <w:i w:val="0"/>
          <w:color w:val="000000" w:themeColor="text1"/>
          <w:spacing w:val="0"/>
        </w:rPr>
      </w:pPr>
      <w:r w:rsidRPr="00D03F3E">
        <w:rPr>
          <w:rFonts w:ascii="Times New Roman" w:cs="Times New Roman"/>
          <w:color w:val="000000" w:themeColor="text1"/>
          <w:spacing w:val="0"/>
          <w:sz w:val="16"/>
          <w:szCs w:val="16"/>
        </w:rPr>
        <w:t xml:space="preserve">11 июня 1943 г. было утверждено заключение НИИ ВВС, в котором говорилось: </w:t>
      </w:r>
      <w:r w:rsidRPr="00D03F3E">
        <w:rPr>
          <w:rStyle w:val="aff6"/>
          <w:rFonts w:ascii="Times New Roman" w:eastAsia="Arial Narrow" w:hAnsi="Times New Roman" w:cs="Times New Roman"/>
          <w:i w:val="0"/>
          <w:color w:val="000000" w:themeColor="text1"/>
          <w:spacing w:val="0"/>
        </w:rPr>
        <w:t>«Конструктивная броня, разработанная ЛФТИ, представляет собой один из возможных вари</w:t>
      </w:r>
      <w:r w:rsidRPr="00D03F3E">
        <w:rPr>
          <w:rStyle w:val="aff6"/>
          <w:rFonts w:ascii="Times New Roman" w:eastAsia="Arial Narrow" w:hAnsi="Times New Roman" w:cs="Times New Roman"/>
          <w:i w:val="0"/>
          <w:color w:val="000000" w:themeColor="text1"/>
          <w:spacing w:val="0"/>
        </w:rPr>
        <w:softHyphen/>
        <w:t>антов в этой области и с точки зрения ее бро</w:t>
      </w:r>
      <w:r w:rsidRPr="00D03F3E">
        <w:rPr>
          <w:rStyle w:val="aff6"/>
          <w:rFonts w:ascii="Times New Roman" w:eastAsia="Arial Narrow" w:hAnsi="Times New Roman" w:cs="Times New Roman"/>
          <w:i w:val="0"/>
          <w:color w:val="000000" w:themeColor="text1"/>
          <w:spacing w:val="0"/>
        </w:rPr>
        <w:softHyphen/>
        <w:t>нестойкости заслуживает самого серьезного внимания».</w:t>
      </w:r>
    </w:p>
    <w:p w14:paraId="1BE0905C" w14:textId="77777777" w:rsidR="00FF1916" w:rsidRPr="00D03F3E" w:rsidRDefault="00FF1916"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К лету 1943 в Ленинградском физико- техническом институте АН СССР разработали так называемую «конструкционную экранную броню», у которой в качестве экрана применя</w:t>
      </w:r>
      <w:r w:rsidRPr="00D03F3E">
        <w:rPr>
          <w:rFonts w:ascii="Times New Roman" w:cs="Times New Roman"/>
          <w:color w:val="000000" w:themeColor="text1"/>
          <w:spacing w:val="0"/>
          <w:sz w:val="16"/>
          <w:szCs w:val="16"/>
        </w:rPr>
        <w:softHyphen/>
        <w:t>лась</w:t>
      </w:r>
      <w:r w:rsidRPr="00D03F3E">
        <w:rPr>
          <w:rStyle w:val="aff6"/>
          <w:rFonts w:ascii="Times New Roman" w:eastAsia="Arial Narrow" w:hAnsi="Times New Roman" w:cs="Times New Roman"/>
          <w:i w:val="0"/>
          <w:color w:val="000000" w:themeColor="text1"/>
          <w:spacing w:val="0"/>
        </w:rPr>
        <w:t xml:space="preserve"> «решетка из стальных прутьев с рассто</w:t>
      </w:r>
      <w:r w:rsidRPr="00D03F3E">
        <w:rPr>
          <w:rStyle w:val="aff6"/>
          <w:rFonts w:ascii="Times New Roman" w:eastAsia="Arial Narrow" w:hAnsi="Times New Roman" w:cs="Times New Roman"/>
          <w:i w:val="0"/>
          <w:color w:val="000000" w:themeColor="text1"/>
          <w:spacing w:val="0"/>
        </w:rPr>
        <w:softHyphen/>
        <w:t>янием между ними меньше калибра пули или снаряда».</w:t>
      </w:r>
      <w:r w:rsidRPr="00D03F3E">
        <w:rPr>
          <w:rFonts w:ascii="Times New Roman" w:cs="Times New Roman"/>
          <w:color w:val="000000" w:themeColor="text1"/>
          <w:spacing w:val="0"/>
          <w:sz w:val="16"/>
          <w:szCs w:val="16"/>
        </w:rPr>
        <w:t xml:space="preserve"> При прохождении боеприпаса через решетчатый экран он частично разрушался и терял устойчивость полета. Таким образом, на основную броню падали осколки пуль и снаря</w:t>
      </w:r>
      <w:r w:rsidRPr="00D03F3E">
        <w:rPr>
          <w:rFonts w:ascii="Times New Roman" w:cs="Times New Roman"/>
          <w:color w:val="000000" w:themeColor="text1"/>
          <w:spacing w:val="0"/>
          <w:sz w:val="16"/>
          <w:szCs w:val="16"/>
        </w:rPr>
        <w:softHyphen/>
        <w:t>дов, которые</w:t>
      </w:r>
      <w:r w:rsidRPr="00D03F3E">
        <w:rPr>
          <w:rStyle w:val="aff6"/>
          <w:rFonts w:ascii="Times New Roman" w:eastAsia="Arial Narrow" w:hAnsi="Times New Roman" w:cs="Times New Roman"/>
          <w:i w:val="0"/>
          <w:color w:val="000000" w:themeColor="text1"/>
          <w:spacing w:val="0"/>
        </w:rPr>
        <w:t xml:space="preserve"> «благодаря рассредоточенному их действию и меньшей массы отдельных ку</w:t>
      </w:r>
      <w:r w:rsidRPr="00D03F3E">
        <w:rPr>
          <w:rStyle w:val="aff6"/>
          <w:rFonts w:ascii="Times New Roman" w:eastAsia="Arial Narrow" w:hAnsi="Times New Roman" w:cs="Times New Roman"/>
          <w:i w:val="0"/>
          <w:color w:val="000000" w:themeColor="text1"/>
          <w:spacing w:val="0"/>
        </w:rPr>
        <w:softHyphen/>
        <w:t>сков»</w:t>
      </w:r>
      <w:r w:rsidRPr="00D03F3E">
        <w:rPr>
          <w:rFonts w:ascii="Times New Roman" w:cs="Times New Roman"/>
          <w:color w:val="000000" w:themeColor="text1"/>
          <w:spacing w:val="0"/>
          <w:sz w:val="16"/>
          <w:szCs w:val="16"/>
        </w:rPr>
        <w:t xml:space="preserve"> обладали значительно меньшей пробив</w:t>
      </w:r>
      <w:r w:rsidRPr="00D03F3E">
        <w:rPr>
          <w:rFonts w:ascii="Times New Roman" w:cs="Times New Roman"/>
          <w:color w:val="000000" w:themeColor="text1"/>
          <w:spacing w:val="0"/>
          <w:sz w:val="16"/>
          <w:szCs w:val="16"/>
        </w:rPr>
        <w:softHyphen/>
        <w:t>ной способностью.</w:t>
      </w:r>
    </w:p>
    <w:p w14:paraId="110EE195" w14:textId="77777777" w:rsidR="00FF1916" w:rsidRPr="00D03F3E" w:rsidRDefault="00FF1916"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Как показали полигонные испытания, конструктивная броня с решетчатой прегра</w:t>
      </w:r>
      <w:r w:rsidRPr="00D03F3E">
        <w:rPr>
          <w:rFonts w:ascii="Times New Roman" w:cs="Times New Roman"/>
          <w:color w:val="000000" w:themeColor="text1"/>
          <w:spacing w:val="0"/>
          <w:sz w:val="16"/>
          <w:szCs w:val="16"/>
        </w:rPr>
        <w:softHyphen/>
        <w:t>дой толщиной 15-16 обеспечивала пол</w:t>
      </w:r>
      <w:r w:rsidRPr="00D03F3E">
        <w:rPr>
          <w:rFonts w:ascii="Times New Roman" w:cs="Times New Roman"/>
          <w:color w:val="000000" w:themeColor="text1"/>
          <w:spacing w:val="0"/>
          <w:sz w:val="16"/>
          <w:szCs w:val="16"/>
        </w:rPr>
        <w:softHyphen/>
        <w:t>ную защиту от бронебойных пуль калибра 12,7 мм при любых дистанциях обстрела и в этом смысле была равноценна «экранирован</w:t>
      </w:r>
      <w:r w:rsidRPr="00D03F3E">
        <w:rPr>
          <w:rFonts w:ascii="Times New Roman" w:cs="Times New Roman"/>
          <w:color w:val="000000" w:themeColor="text1"/>
          <w:spacing w:val="0"/>
          <w:sz w:val="16"/>
          <w:szCs w:val="16"/>
        </w:rPr>
        <w:softHyphen/>
        <w:t>ной двухслойной» броне толщиной 17-18 мм или цементованной авиационной броне тол</w:t>
      </w:r>
      <w:r w:rsidRPr="00D03F3E">
        <w:rPr>
          <w:rFonts w:ascii="Times New Roman" w:cs="Times New Roman"/>
          <w:color w:val="000000" w:themeColor="text1"/>
          <w:spacing w:val="0"/>
          <w:sz w:val="16"/>
          <w:szCs w:val="16"/>
        </w:rPr>
        <w:softHyphen/>
        <w:t>щиной 18-20 мм. При этом она оказалась за</w:t>
      </w:r>
      <w:r w:rsidRPr="00D03F3E">
        <w:rPr>
          <w:rFonts w:ascii="Times New Roman" w:cs="Times New Roman"/>
          <w:color w:val="000000" w:themeColor="text1"/>
          <w:spacing w:val="0"/>
          <w:sz w:val="16"/>
          <w:szCs w:val="16"/>
        </w:rPr>
        <w:softHyphen/>
        <w:t>метно легче.</w:t>
      </w:r>
    </w:p>
    <w:p w14:paraId="02F0C189" w14:textId="77777777" w:rsidR="00FF1916" w:rsidRPr="00D03F3E" w:rsidRDefault="00FF1916"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Но имелся у нее и серьезный недостаток. Высокая бронестойкость конструктивной бро</w:t>
      </w:r>
      <w:r w:rsidRPr="00D03F3E">
        <w:rPr>
          <w:rFonts w:ascii="Times New Roman" w:cs="Times New Roman"/>
          <w:color w:val="000000" w:themeColor="text1"/>
          <w:spacing w:val="0"/>
          <w:sz w:val="16"/>
          <w:szCs w:val="16"/>
        </w:rPr>
        <w:softHyphen/>
        <w:t>ни обеспечивалась при расстояниях между решетчатым экраном и основной броней око</w:t>
      </w:r>
      <w:r w:rsidRPr="00D03F3E">
        <w:rPr>
          <w:rFonts w:ascii="Times New Roman" w:cs="Times New Roman"/>
          <w:color w:val="000000" w:themeColor="text1"/>
          <w:spacing w:val="0"/>
          <w:sz w:val="16"/>
          <w:szCs w:val="16"/>
        </w:rPr>
        <w:softHyphen/>
        <w:t>ло 200-300 мм. В противном случае стойкость системы значительно снижалась. Учитывая, что пространство внутри фюзеляжа было до предела насыщено различными агрегатами, использовать данную систему для поперечно</w:t>
      </w:r>
      <w:r w:rsidRPr="00D03F3E">
        <w:rPr>
          <w:rFonts w:ascii="Times New Roman" w:cs="Times New Roman"/>
          <w:color w:val="000000" w:themeColor="text1"/>
          <w:spacing w:val="0"/>
          <w:sz w:val="16"/>
          <w:szCs w:val="16"/>
        </w:rPr>
        <w:softHyphen/>
        <w:t>го бронирования уже построенных самолетов не всегда представлялось возможным. Кроме этого, удаление решетчатого экрана на 200- 300 мм от бронеспинки значительно сокра</w:t>
      </w:r>
      <w:r w:rsidRPr="00D03F3E">
        <w:rPr>
          <w:rFonts w:ascii="Times New Roman" w:cs="Times New Roman"/>
          <w:color w:val="000000" w:themeColor="text1"/>
          <w:spacing w:val="0"/>
          <w:sz w:val="16"/>
          <w:szCs w:val="16"/>
        </w:rPr>
        <w:softHyphen/>
        <w:t>щало</w:t>
      </w:r>
      <w:r w:rsidRPr="00D03F3E">
        <w:rPr>
          <w:rStyle w:val="aff6"/>
          <w:rFonts w:ascii="Times New Roman" w:eastAsia="Arial Narrow" w:hAnsi="Times New Roman" w:cs="Times New Roman"/>
          <w:i w:val="0"/>
          <w:color w:val="000000" w:themeColor="text1"/>
          <w:spacing w:val="0"/>
        </w:rPr>
        <w:t xml:space="preserve"> «защищаемую площадь последней при угловых атаках, или же потребует установки этой решетки несколько больших по габари</w:t>
      </w:r>
      <w:r w:rsidRPr="00D03F3E">
        <w:rPr>
          <w:rStyle w:val="aff6"/>
          <w:rFonts w:ascii="Times New Roman" w:eastAsia="Arial Narrow" w:hAnsi="Times New Roman" w:cs="Times New Roman"/>
          <w:i w:val="0"/>
          <w:color w:val="000000" w:themeColor="text1"/>
          <w:spacing w:val="0"/>
        </w:rPr>
        <w:softHyphen/>
        <w:t>там размеров, чем сама спинка».</w:t>
      </w:r>
    </w:p>
    <w:p w14:paraId="693D6548" w14:textId="77777777" w:rsidR="00FF1916" w:rsidRPr="00D03F3E" w:rsidRDefault="00FF1916" w:rsidP="00D03F3E">
      <w:pPr>
        <w:pStyle w:val="36"/>
        <w:shd w:val="clear" w:color="auto" w:fill="auto"/>
        <w:spacing w:after="0" w:line="240" w:lineRule="auto"/>
        <w:jc w:val="both"/>
        <w:rPr>
          <w:rStyle w:val="aff6"/>
          <w:rFonts w:ascii="Times New Roman" w:eastAsia="Arial Narrow" w:hAnsi="Times New Roman" w:cs="Times New Roman"/>
          <w:i w:val="0"/>
          <w:color w:val="000000" w:themeColor="text1"/>
          <w:spacing w:val="0"/>
        </w:rPr>
      </w:pPr>
      <w:r w:rsidRPr="00D03F3E">
        <w:rPr>
          <w:rStyle w:val="4f0"/>
          <w:rFonts w:ascii="Times New Roman" w:hAnsi="Times New Roman" w:cs="Times New Roman"/>
          <w:i w:val="0"/>
          <w:color w:val="000000" w:themeColor="text1"/>
          <w:spacing w:val="0"/>
          <w:sz w:val="16"/>
          <w:szCs w:val="16"/>
        </w:rPr>
        <w:t>Отмечалось, что</w:t>
      </w:r>
      <w:r w:rsidRPr="00D03F3E">
        <w:rPr>
          <w:rFonts w:ascii="Times New Roman" w:cs="Times New Roman"/>
          <w:color w:val="000000" w:themeColor="text1"/>
          <w:spacing w:val="0"/>
          <w:sz w:val="16"/>
          <w:szCs w:val="16"/>
        </w:rPr>
        <w:t xml:space="preserve"> «...для продольного бро</w:t>
      </w:r>
      <w:r w:rsidRPr="00D03F3E">
        <w:rPr>
          <w:rFonts w:ascii="Times New Roman" w:cs="Times New Roman"/>
          <w:color w:val="000000" w:themeColor="text1"/>
          <w:spacing w:val="0"/>
          <w:sz w:val="16"/>
          <w:szCs w:val="16"/>
        </w:rPr>
        <w:softHyphen/>
        <w:t>нирования предлагаемый вариант конструк</w:t>
      </w:r>
      <w:r w:rsidRPr="00D03F3E">
        <w:rPr>
          <w:rFonts w:ascii="Times New Roman" w:cs="Times New Roman"/>
          <w:color w:val="000000" w:themeColor="text1"/>
          <w:spacing w:val="0"/>
          <w:sz w:val="16"/>
          <w:szCs w:val="16"/>
        </w:rPr>
        <w:softHyphen/>
        <w:t>тивной брони тем более не может быть ис</w:t>
      </w:r>
      <w:r w:rsidRPr="00D03F3E">
        <w:rPr>
          <w:rFonts w:ascii="Times New Roman" w:cs="Times New Roman"/>
          <w:color w:val="000000" w:themeColor="text1"/>
          <w:spacing w:val="0"/>
          <w:sz w:val="16"/>
          <w:szCs w:val="16"/>
        </w:rPr>
        <w:softHyphen/>
        <w:t>пользован по тем же соображениям отсутствия свободных пространств».</w:t>
      </w:r>
      <w:r w:rsidRPr="00D03F3E">
        <w:rPr>
          <w:rStyle w:val="4f0"/>
          <w:rFonts w:ascii="Times New Roman" w:hAnsi="Times New Roman" w:cs="Times New Roman"/>
          <w:i w:val="0"/>
          <w:color w:val="000000" w:themeColor="text1"/>
          <w:spacing w:val="0"/>
          <w:sz w:val="16"/>
          <w:szCs w:val="16"/>
        </w:rPr>
        <w:t xml:space="preserve"> То есть, применение этого варианта экранированной брони на се</w:t>
      </w:r>
      <w:r w:rsidRPr="00D03F3E">
        <w:rPr>
          <w:rStyle w:val="4f0"/>
          <w:rFonts w:ascii="Times New Roman" w:hAnsi="Times New Roman" w:cs="Times New Roman"/>
          <w:i w:val="0"/>
          <w:color w:val="000000" w:themeColor="text1"/>
          <w:spacing w:val="0"/>
          <w:sz w:val="16"/>
          <w:szCs w:val="16"/>
        </w:rPr>
        <w:softHyphen/>
        <w:t>рийных самолетах было весьма ограниченным или совсем невозможным</w:t>
      </w:r>
      <w:r w:rsidRPr="00D03F3E">
        <w:rPr>
          <w:rStyle w:val="aff6"/>
          <w:rFonts w:ascii="Times New Roman" w:eastAsia="Arial Narrow" w:hAnsi="Times New Roman" w:cs="Times New Roman"/>
          <w:i w:val="0"/>
          <w:color w:val="000000" w:themeColor="text1"/>
          <w:spacing w:val="0"/>
        </w:rPr>
        <w:t xml:space="preserve"> (15778).</w:t>
      </w:r>
    </w:p>
    <w:p w14:paraId="7363640E" w14:textId="77777777" w:rsidR="00FF1916" w:rsidRPr="00D03F3E" w:rsidRDefault="00FF1916" w:rsidP="00D03F3E">
      <w:pPr>
        <w:pStyle w:val="36"/>
        <w:shd w:val="clear" w:color="auto" w:fill="auto"/>
        <w:spacing w:after="0" w:line="240" w:lineRule="auto"/>
        <w:jc w:val="both"/>
        <w:rPr>
          <w:rFonts w:ascii="Times New Roman" w:cs="Times New Roman"/>
          <w:color w:val="000000" w:themeColor="text1"/>
          <w:spacing w:val="0"/>
          <w:sz w:val="16"/>
          <w:szCs w:val="16"/>
        </w:rPr>
      </w:pPr>
    </w:p>
    <w:p w14:paraId="4702695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июня 1943 С.В.И. писал А.И.Ш.:</w:t>
      </w:r>
    </w:p>
    <w:p w14:paraId="428F288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"Наиболее подходящим мотором из американских типов для установки на самолет Ил-4 является мотор Райт R-2600-13. Но установка этого мотора требует больших переделок самолета, а именно:</w:t>
      </w:r>
    </w:p>
    <w:p w14:paraId="0913D18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Новая конструкция моторного отсека</w:t>
      </w:r>
    </w:p>
    <w:p w14:paraId="5859671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Усиление лонжеронов и каркаса крыла</w:t>
      </w:r>
    </w:p>
    <w:p w14:paraId="78D457F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Новые колеса 1100х400</w:t>
      </w:r>
    </w:p>
    <w:p w14:paraId="053F4F3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Меняется полностью вся ВМГ</w:t>
      </w:r>
    </w:p>
    <w:p w14:paraId="68CE922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Кроме того Ил-4 с мотором Райт будет весить на 800 кг больше, чем Ил-4 с М-88. А т.к. начиная с 6000 м и выше мощность мотора Райт и М-88 почти одинакова, то скорость самолета Ил-4 на 6000 м и выше будет меньше на 10 км/час, а потолок на 600-800 м меньше. Дальность уменьшится на 700 км</w:t>
      </w:r>
    </w:p>
    <w:p w14:paraId="57CA8DB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Что же касается мотора Райт 1800-30 Пратт Уитней, то с этим мотором машина будет неизмеримо хуже, чем с М-88.</w:t>
      </w:r>
    </w:p>
    <w:p w14:paraId="10AC206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АДД основными факторами является надежность матчасти и дальность.</w:t>
      </w:r>
    </w:p>
    <w:p w14:paraId="3664686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Самолет Ил-4 с М-88 отвечает условиям надежности. Этот самолет отрабатывался и в производстве и в эксплуатации годами. И только такие надежные самолеты могут составлять основу дальней авиации.</w:t>
      </w:r>
    </w:p>
    <w:p w14:paraId="45065F2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того, чтобы темной ночью улетать в тыл врага на 1500 км нужно очень сильно верить в надежность мат. части: самолет и мотор. А уверенность создается только на опыте.</w:t>
      </w:r>
    </w:p>
    <w:p w14:paraId="207E5C2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Что же касается второго условия дальности самолета Ил-4, то пока что нет другого самолета с большей дальностью.</w:t>
      </w:r>
    </w:p>
    <w:p w14:paraId="2AA201F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Поэтому самолет Ил-4 необходимо в основном оставить на моторах М-88. Если же этих моторов не хватает, то часть их можно сбазировать на М-82.</w:t>
      </w:r>
    </w:p>
    <w:p w14:paraId="2432F4C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М-82 установлен на Ил-4 и в данный момент проходит заводские испытания.</w:t>
      </w:r>
    </w:p>
    <w:p w14:paraId="51E4E35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Внедрение М-82 на Ил-4 облегчается тем, что: не требуются большие переделки самолета (переделки сводятся к замене ВМГ, к постановке колес 1100х400).</w:t>
      </w:r>
    </w:p>
    <w:p w14:paraId="54F235C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 этих условиях численность самолетов дальней авиации: Ил-4 с М-88 и Ил-4 М-82 будет все время нарастать, а это значит, будет нарастать и сила наших ударов по врагу.</w:t>
      </w:r>
    </w:p>
    <w:p w14:paraId="6B06F85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Т.к. за последнее время снова поднимается вопрос о постановке на серию на заводе 23 самолета Ту-2 М-82, а на заводе 39 самолета Пе-2 М-82, то я считаю долгом высказать свою точку зрения по этому вопросу, т.к. считаю, что эти предложения ничего кроме вреда не могут принести.</w:t>
      </w:r>
    </w:p>
    <w:p w14:paraId="057175D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того, чтобы менять тип самолета дальней авиации на другой, нужно иметь весьма серьезные к этому основания. В данном случае предлагается замена Ил-4 М-88 на Ту-2 М-82.</w:t>
      </w:r>
    </w:p>
    <w:p w14:paraId="6CC2DCA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Во-первых, Ил-4 М-88 самолет проверен и надежен.</w:t>
      </w:r>
    </w:p>
    <w:p w14:paraId="0A98A05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Ту-2 с М-82 самолет не проверен и не отработан.</w:t>
      </w:r>
    </w:p>
    <w:p w14:paraId="1C4B9B7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Достаточно небольшого числа раз не возвратиться по несколько самолетов с боевого задания, чтобы было потеряно всякое доверие к самолету, а это равносильно смерти. Следовательно, Ту-2 М-82 не усиливает дальнебомбардировочную авиацию, а ослабляет ее, т.к. понижает ее надежность.</w:t>
      </w:r>
    </w:p>
    <w:p w14:paraId="1B9731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Во-вторых. Самолет Ту-2 М-82 имеет значительно меньшую дальность, чем самолет Ил-4, Ту-2 М-82 с тонной бомб имеет дальность до полной выработки горючего 2020 км, а следовательно практическая дальность будет 1500-1600 км. т.е. вдвое меньше, чем дальность Ил-4. Можно на словах обещать какую угодно дальность самолета, но нельзя принимать это всерьез, т.к. ведь речь идет о таких серьезных вещах, как война. Следовательно, ту-2 М-82 и в этом случае не усиливает нашей дальнебомбардировочной авиации, а наоборот, ослабляет ее, т.к. уменьшает ее дальность.</w:t>
      </w:r>
    </w:p>
    <w:p w14:paraId="12564B2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Ту-2 как и Ил-4 М-88 должен будет вести боевую работу только ночью, т.к. скорость и вооружение Ту-2 не обеспечивают ему самостоятельных операций.</w:t>
      </w:r>
    </w:p>
    <w:p w14:paraId="138D836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Из этого краткого анализа следует, что Ту-2 имеет вдвое меньшую дальность, чем Ил-4 и не имеет той надежности, какую имеет Ил-4 с М-88.</w:t>
      </w:r>
    </w:p>
    <w:p w14:paraId="36F6489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Поэтому нет никаких оснований заменять Ил-4 М-88 на Ту-2 М-82. Но может быть Ту-2 М-82 может вести боевую работу как дневной бомбардировщик без прикрытия истребителей?</w:t>
      </w:r>
    </w:p>
    <w:p w14:paraId="214C1B6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Не думаю, чтобы командование ВВС взяло на себя такую ответственность. На этот вопрос поставленный прямо, защитниками Ту-2 стараются не отвечать, полагая, что потом, когда противник начнет сбивать Ту-2, то можно будет как ни будь объяснить необходимость прикрытия Ту-2 истребителями.</w:t>
      </w:r>
    </w:p>
    <w:p w14:paraId="7FC427F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Ту-2 не может работать днем без прикрытия истребителей. Это очевидно. Но под прикрытием истребителей, как показал опыт, хорошо работают и Ил-4 М-88. Ни дальность 1200-1500 км они берут 2000-2500 кг бомб. А Ту-2 на эту дальность берет только 1000 кг.</w:t>
      </w:r>
    </w:p>
    <w:p w14:paraId="233F127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Но если на Ил-4 установить М-82, то его можно очень сильно вооружить и сделать его мало дружественным для атак истребителей.</w:t>
      </w:r>
    </w:p>
    <w:p w14:paraId="45B52FB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Такой самолет Ил-4 с М-82 с 5 тяжелыми пулеметами Березина и с сильно забранированным экипажем - вышел на заводские испытания на заводе 23.</w:t>
      </w:r>
    </w:p>
    <w:p w14:paraId="52F50F7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Вот данные Ил-4 М-88 и Ил-4 М-82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860B4B" w:rsidRPr="00D03F3E" w14:paraId="1E5E62AD" w14:textId="77777777">
        <w:tc>
          <w:tcPr>
            <w:tcW w:w="1878" w:type="dxa"/>
          </w:tcPr>
          <w:p w14:paraId="1E5F561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Данные</w:t>
            </w:r>
          </w:p>
        </w:tc>
        <w:tc>
          <w:tcPr>
            <w:tcW w:w="1878" w:type="dxa"/>
          </w:tcPr>
          <w:p w14:paraId="4A75C47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Ил-4 М-88</w:t>
            </w:r>
          </w:p>
        </w:tc>
        <w:tc>
          <w:tcPr>
            <w:tcW w:w="1878" w:type="dxa"/>
          </w:tcPr>
          <w:p w14:paraId="22FEA72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Ил-4 М-82</w:t>
            </w:r>
          </w:p>
        </w:tc>
      </w:tr>
      <w:tr w:rsidR="00860B4B" w:rsidRPr="00D03F3E" w14:paraId="1AC04F85" w14:textId="77777777">
        <w:tc>
          <w:tcPr>
            <w:tcW w:w="1878" w:type="dxa"/>
          </w:tcPr>
          <w:p w14:paraId="25FC377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Макс. скорость</w:t>
            </w:r>
          </w:p>
        </w:tc>
        <w:tc>
          <w:tcPr>
            <w:tcW w:w="1878" w:type="dxa"/>
          </w:tcPr>
          <w:p w14:paraId="57E918B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425/6000</w:t>
            </w:r>
          </w:p>
        </w:tc>
        <w:tc>
          <w:tcPr>
            <w:tcW w:w="1878" w:type="dxa"/>
          </w:tcPr>
          <w:p w14:paraId="2466E73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455/600</w:t>
            </w:r>
          </w:p>
        </w:tc>
      </w:tr>
      <w:tr w:rsidR="00860B4B" w:rsidRPr="00D03F3E" w14:paraId="1DCCE824" w14:textId="77777777">
        <w:tc>
          <w:tcPr>
            <w:tcW w:w="1878" w:type="dxa"/>
          </w:tcPr>
          <w:p w14:paraId="5EB7597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Потолок</w:t>
            </w:r>
          </w:p>
        </w:tc>
        <w:tc>
          <w:tcPr>
            <w:tcW w:w="1878" w:type="dxa"/>
          </w:tcPr>
          <w:p w14:paraId="3AEEF96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8500</w:t>
            </w:r>
          </w:p>
        </w:tc>
        <w:tc>
          <w:tcPr>
            <w:tcW w:w="1878" w:type="dxa"/>
          </w:tcPr>
          <w:p w14:paraId="7CE2A47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9000</w:t>
            </w:r>
          </w:p>
        </w:tc>
      </w:tr>
      <w:tr w:rsidR="00860B4B" w:rsidRPr="00D03F3E" w14:paraId="4F0948B2" w14:textId="77777777">
        <w:tc>
          <w:tcPr>
            <w:tcW w:w="1878" w:type="dxa"/>
          </w:tcPr>
          <w:p w14:paraId="58F25E7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Дальность с 1000</w:t>
            </w:r>
          </w:p>
        </w:tc>
        <w:tc>
          <w:tcPr>
            <w:tcW w:w="1878" w:type="dxa"/>
          </w:tcPr>
          <w:p w14:paraId="651E7C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3000</w:t>
            </w:r>
          </w:p>
        </w:tc>
        <w:tc>
          <w:tcPr>
            <w:tcW w:w="1878" w:type="dxa"/>
          </w:tcPr>
          <w:p w14:paraId="5DA99D6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3000</w:t>
            </w:r>
          </w:p>
        </w:tc>
      </w:tr>
      <w:tr w:rsidR="00860B4B" w:rsidRPr="00D03F3E" w14:paraId="40E70148" w14:textId="77777777">
        <w:tc>
          <w:tcPr>
            <w:tcW w:w="1878" w:type="dxa"/>
          </w:tcPr>
          <w:p w14:paraId="3236B64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Макс. бомб. Нагрузка</w:t>
            </w:r>
          </w:p>
        </w:tc>
        <w:tc>
          <w:tcPr>
            <w:tcW w:w="1878" w:type="dxa"/>
          </w:tcPr>
          <w:p w14:paraId="77FC4F1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2500</w:t>
            </w:r>
          </w:p>
        </w:tc>
        <w:tc>
          <w:tcPr>
            <w:tcW w:w="1878" w:type="dxa"/>
          </w:tcPr>
          <w:p w14:paraId="2572D1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2500</w:t>
            </w:r>
          </w:p>
        </w:tc>
      </w:tr>
    </w:tbl>
    <w:p w14:paraId="79290B4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Ил-4 с М-82 вооруженный 5 тяжелыми пулеметами Березина, будет более эффективно вести боевые операции днем, чем Ту-2 М-82, как с прикрытием, так и без прикрытия истребителей.</w:t>
      </w:r>
    </w:p>
    <w:p w14:paraId="36A1D6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Еще меньше оснований имеет замена Ил-4 самолетом Пе-2 с М-82 на заводе 39, т.к. Пе-2 также требует прикрытия истребителей и по своей бомбовой нагрузке и дальности не идет ни в какое сравнение с Ил-4.</w:t>
      </w:r>
    </w:p>
    <w:p w14:paraId="79B2432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Внедрение Ту-2 М-82 на заводе 23 приведет к следующему:</w:t>
      </w:r>
    </w:p>
    <w:p w14:paraId="46C8443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Завод в течение года со дня внедрения выпустить 100 самолетов Ил-4 и 100 самолетов Ту-2 М-82. Тогда как Ил-4 он может дать в течение года 700. На этой операции будет потеряно минимум 500 самолетов.</w:t>
      </w:r>
    </w:p>
    <w:p w14:paraId="0BEE637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Такая потеря не имела бы под собой никаких оснований.</w:t>
      </w:r>
    </w:p>
    <w:p w14:paraId="536B033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Выводы:</w:t>
      </w:r>
    </w:p>
    <w:p w14:paraId="4B66D17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Нет никаких оснований заменять Ил-4 самолетом Ту-2 М-82 или Пе-2 М-82.ъ</w:t>
      </w:r>
    </w:p>
    <w:p w14:paraId="427E611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Необходимо всемерно увеличивать выпуск самолетов Ил-4 с М-88 на заводах 126, 39 и 23.</w:t>
      </w:r>
    </w:p>
    <w:p w14:paraId="055FF5F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Внедрить на самолете Ил-4 мотор М-82 и часть выпуска этих моторов оставить на Ил-4</w:t>
      </w:r>
    </w:p>
    <w:p w14:paraId="4D6CD90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Форсировать летные испытания на заводе 23 самолета Ил-4 с М-82 (1775,74).</w:t>
      </w:r>
    </w:p>
    <w:p w14:paraId="63CFC85F" w14:textId="77777777" w:rsidR="00531570" w:rsidRPr="00D03F3E" w:rsidRDefault="00531570" w:rsidP="00D03F3E">
      <w:pPr>
        <w:pStyle w:val="Iauiue"/>
        <w:jc w:val="both"/>
        <w:rPr>
          <w:color w:val="000000" w:themeColor="text1"/>
          <w:sz w:val="16"/>
          <w:szCs w:val="16"/>
        </w:rPr>
      </w:pPr>
    </w:p>
    <w:p w14:paraId="3546DFF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июня 1943 Нач. УЗМС ГУЗ ВВС КА Алексеев писал Зам. НКАП П.А.Воронину письмо N 555768 о том, что в последнее время участились случаи задира и срыва полотняной обшивки крыльев, фюзеляжа и стабилизатора Ла-5 завода 21 (1778,74).</w:t>
      </w:r>
    </w:p>
    <w:p w14:paraId="7B0BFA4C" w14:textId="77777777" w:rsidR="00531570" w:rsidRPr="00D03F3E" w:rsidRDefault="00531570" w:rsidP="00D03F3E">
      <w:pPr>
        <w:pStyle w:val="Iauiue"/>
        <w:jc w:val="both"/>
        <w:rPr>
          <w:color w:val="000000" w:themeColor="text1"/>
          <w:sz w:val="16"/>
          <w:szCs w:val="16"/>
        </w:rPr>
      </w:pPr>
    </w:p>
    <w:p w14:paraId="158E2C7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июня 1943 Зам. НКАП Дементьев писал ГИ ВВС Репину письмо N Н-34/2323:</w:t>
      </w:r>
    </w:p>
    <w:p w14:paraId="0A4BEE8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"Прошу дать указание Нач. НИИ ВВС самолет Пе-2 N 19131 с М-82 и передать ГК завода 22 Путилову для доводки и устранения дефектов в соответствии с заключением НИИ ВВС (1778,69).</w:t>
      </w:r>
    </w:p>
    <w:p w14:paraId="1E0B6899" w14:textId="77777777" w:rsidR="00531570" w:rsidRPr="00D03F3E" w:rsidRDefault="00531570" w:rsidP="00D03F3E">
      <w:pPr>
        <w:pStyle w:val="Iauiue"/>
        <w:jc w:val="both"/>
        <w:rPr>
          <w:color w:val="000000" w:themeColor="text1"/>
          <w:sz w:val="16"/>
          <w:szCs w:val="16"/>
        </w:rPr>
      </w:pPr>
    </w:p>
    <w:p w14:paraId="36B8731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июня 1943 года С.Шишкин подготовил Справку по установке иностранных моторов на отечественных серийных самолетах.</w:t>
      </w:r>
    </w:p>
    <w:p w14:paraId="5D2464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Проведенный ЦАГИ анализ изменения летных данных самолетов Як-1 и Пе-2 при установке на них моторов Мерлин-20 и Аллисон-V1710, самолета Ла-5 при установке моторов Райт R-2600 и Пратт Уитни-2800 "Дабл-Уосп", самолета Ил-4 при установке Райт R 2600 и Пратт-Уитни R 1830-33 и самолета Ли-2 при установке мотора Райт Циклон R 1820-71 позволяет сделать следующие выводы:</w:t>
      </w:r>
    </w:p>
    <w:p w14:paraId="583B8A0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По самолету Як-1.</w:t>
      </w:r>
    </w:p>
    <w:p w14:paraId="7F29FC0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Сравнительные данные самолета с различными моторами получаются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060"/>
        <w:gridCol w:w="1060"/>
        <w:gridCol w:w="4685"/>
      </w:tblGrid>
      <w:tr w:rsidR="00860B4B" w:rsidRPr="00D03F3E" w14:paraId="0BCD17F9" w14:textId="77777777">
        <w:tc>
          <w:tcPr>
            <w:tcW w:w="3652" w:type="dxa"/>
          </w:tcPr>
          <w:p w14:paraId="08B7D86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Мотор</w:t>
            </w:r>
          </w:p>
        </w:tc>
        <w:tc>
          <w:tcPr>
            <w:tcW w:w="1060" w:type="dxa"/>
          </w:tcPr>
          <w:p w14:paraId="0FF5416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М-105ПФ</w:t>
            </w:r>
          </w:p>
        </w:tc>
        <w:tc>
          <w:tcPr>
            <w:tcW w:w="1060" w:type="dxa"/>
          </w:tcPr>
          <w:p w14:paraId="4EDBEF4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Мерлин-20</w:t>
            </w:r>
          </w:p>
        </w:tc>
        <w:tc>
          <w:tcPr>
            <w:tcW w:w="4685" w:type="dxa"/>
          </w:tcPr>
          <w:p w14:paraId="66775A3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Аллисон V-1710</w:t>
            </w:r>
          </w:p>
        </w:tc>
      </w:tr>
      <w:tr w:rsidR="00860B4B" w:rsidRPr="00D03F3E" w14:paraId="25879BD7" w14:textId="77777777">
        <w:tc>
          <w:tcPr>
            <w:tcW w:w="3652" w:type="dxa"/>
          </w:tcPr>
          <w:p w14:paraId="561D681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 сухого мотора</w:t>
            </w:r>
          </w:p>
        </w:tc>
        <w:tc>
          <w:tcPr>
            <w:tcW w:w="1060" w:type="dxa"/>
          </w:tcPr>
          <w:p w14:paraId="412E78B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600</w:t>
            </w:r>
          </w:p>
        </w:tc>
        <w:tc>
          <w:tcPr>
            <w:tcW w:w="1060" w:type="dxa"/>
          </w:tcPr>
          <w:p w14:paraId="2EDA003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650</w:t>
            </w:r>
          </w:p>
        </w:tc>
        <w:tc>
          <w:tcPr>
            <w:tcW w:w="4685" w:type="dxa"/>
          </w:tcPr>
          <w:p w14:paraId="7C46070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635</w:t>
            </w:r>
          </w:p>
        </w:tc>
      </w:tr>
      <w:tr w:rsidR="00860B4B" w:rsidRPr="00D03F3E" w14:paraId="46B8E0E5" w14:textId="77777777">
        <w:tc>
          <w:tcPr>
            <w:tcW w:w="3652" w:type="dxa"/>
          </w:tcPr>
          <w:p w14:paraId="5E723EE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Мидель мотора</w:t>
            </w:r>
          </w:p>
        </w:tc>
        <w:tc>
          <w:tcPr>
            <w:tcW w:w="1060" w:type="dxa"/>
          </w:tcPr>
          <w:p w14:paraId="5FE4F04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0,74</w:t>
            </w:r>
          </w:p>
        </w:tc>
        <w:tc>
          <w:tcPr>
            <w:tcW w:w="1060" w:type="dxa"/>
          </w:tcPr>
          <w:p w14:paraId="6CE38A8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0,79</w:t>
            </w:r>
          </w:p>
        </w:tc>
        <w:tc>
          <w:tcPr>
            <w:tcW w:w="4685" w:type="dxa"/>
          </w:tcPr>
          <w:p w14:paraId="7045F4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0,68</w:t>
            </w:r>
          </w:p>
        </w:tc>
      </w:tr>
      <w:tr w:rsidR="00860B4B" w:rsidRPr="00D03F3E" w14:paraId="770E182F" w14:textId="77777777">
        <w:tc>
          <w:tcPr>
            <w:tcW w:w="3652" w:type="dxa"/>
          </w:tcPr>
          <w:p w14:paraId="3D98855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Мощность на 2-границе</w:t>
            </w:r>
          </w:p>
        </w:tc>
        <w:tc>
          <w:tcPr>
            <w:tcW w:w="1060" w:type="dxa"/>
          </w:tcPr>
          <w:p w14:paraId="1F400D69" w14:textId="77777777" w:rsidR="00531570" w:rsidRPr="00D03F3E" w:rsidRDefault="00531570" w:rsidP="00D03F3E">
            <w:pPr>
              <w:pStyle w:val="Iauiue"/>
              <w:jc w:val="both"/>
              <w:rPr>
                <w:color w:val="000000" w:themeColor="text1"/>
                <w:sz w:val="16"/>
                <w:szCs w:val="16"/>
              </w:rPr>
            </w:pPr>
          </w:p>
        </w:tc>
        <w:tc>
          <w:tcPr>
            <w:tcW w:w="1060" w:type="dxa"/>
          </w:tcPr>
          <w:p w14:paraId="774F2E76" w14:textId="77777777" w:rsidR="00531570" w:rsidRPr="00D03F3E" w:rsidRDefault="00531570" w:rsidP="00D03F3E">
            <w:pPr>
              <w:pStyle w:val="Iauiue"/>
              <w:jc w:val="both"/>
              <w:rPr>
                <w:color w:val="000000" w:themeColor="text1"/>
                <w:sz w:val="16"/>
                <w:szCs w:val="16"/>
              </w:rPr>
            </w:pPr>
          </w:p>
        </w:tc>
        <w:tc>
          <w:tcPr>
            <w:tcW w:w="4685" w:type="dxa"/>
          </w:tcPr>
          <w:p w14:paraId="33B66359" w14:textId="77777777" w:rsidR="00531570" w:rsidRPr="00D03F3E" w:rsidRDefault="00531570" w:rsidP="00D03F3E">
            <w:pPr>
              <w:pStyle w:val="Iauiue"/>
              <w:jc w:val="both"/>
              <w:rPr>
                <w:color w:val="000000" w:themeColor="text1"/>
                <w:sz w:val="16"/>
                <w:szCs w:val="16"/>
              </w:rPr>
            </w:pPr>
          </w:p>
        </w:tc>
      </w:tr>
      <w:tr w:rsidR="00860B4B" w:rsidRPr="00D03F3E" w14:paraId="2B1D4DE6" w14:textId="77777777">
        <w:tc>
          <w:tcPr>
            <w:tcW w:w="3652" w:type="dxa"/>
          </w:tcPr>
          <w:p w14:paraId="72C2AE8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высотности</w:t>
            </w:r>
          </w:p>
        </w:tc>
        <w:tc>
          <w:tcPr>
            <w:tcW w:w="1060" w:type="dxa"/>
          </w:tcPr>
          <w:p w14:paraId="31AE107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1180</w:t>
            </w:r>
          </w:p>
        </w:tc>
        <w:tc>
          <w:tcPr>
            <w:tcW w:w="1060" w:type="dxa"/>
          </w:tcPr>
          <w:p w14:paraId="7DB976B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1200</w:t>
            </w:r>
          </w:p>
        </w:tc>
        <w:tc>
          <w:tcPr>
            <w:tcW w:w="4685" w:type="dxa"/>
          </w:tcPr>
          <w:p w14:paraId="4F0C6F7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1150</w:t>
            </w:r>
          </w:p>
        </w:tc>
      </w:tr>
      <w:tr w:rsidR="00860B4B" w:rsidRPr="00D03F3E" w14:paraId="43389510" w14:textId="77777777">
        <w:tc>
          <w:tcPr>
            <w:tcW w:w="3652" w:type="dxa"/>
          </w:tcPr>
          <w:p w14:paraId="1E423B5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Расчетная высота</w:t>
            </w:r>
          </w:p>
        </w:tc>
        <w:tc>
          <w:tcPr>
            <w:tcW w:w="1060" w:type="dxa"/>
          </w:tcPr>
          <w:p w14:paraId="6DEB105B" w14:textId="77777777" w:rsidR="00531570" w:rsidRPr="00D03F3E" w:rsidRDefault="00531570" w:rsidP="00D03F3E">
            <w:pPr>
              <w:pStyle w:val="Iauiue"/>
              <w:jc w:val="both"/>
              <w:rPr>
                <w:color w:val="000000" w:themeColor="text1"/>
                <w:sz w:val="16"/>
                <w:szCs w:val="16"/>
              </w:rPr>
            </w:pPr>
          </w:p>
        </w:tc>
        <w:tc>
          <w:tcPr>
            <w:tcW w:w="1060" w:type="dxa"/>
          </w:tcPr>
          <w:p w14:paraId="6DDF6326" w14:textId="77777777" w:rsidR="00531570" w:rsidRPr="00D03F3E" w:rsidRDefault="00531570" w:rsidP="00D03F3E">
            <w:pPr>
              <w:pStyle w:val="Iauiue"/>
              <w:jc w:val="both"/>
              <w:rPr>
                <w:color w:val="000000" w:themeColor="text1"/>
                <w:sz w:val="16"/>
                <w:szCs w:val="16"/>
              </w:rPr>
            </w:pPr>
          </w:p>
        </w:tc>
        <w:tc>
          <w:tcPr>
            <w:tcW w:w="4685" w:type="dxa"/>
          </w:tcPr>
          <w:p w14:paraId="2DEB9ED1" w14:textId="77777777" w:rsidR="00531570" w:rsidRPr="00D03F3E" w:rsidRDefault="00531570" w:rsidP="00D03F3E">
            <w:pPr>
              <w:pStyle w:val="Iauiue"/>
              <w:jc w:val="both"/>
              <w:rPr>
                <w:color w:val="000000" w:themeColor="text1"/>
                <w:sz w:val="16"/>
                <w:szCs w:val="16"/>
              </w:rPr>
            </w:pPr>
          </w:p>
        </w:tc>
      </w:tr>
      <w:tr w:rsidR="00860B4B" w:rsidRPr="00D03F3E" w14:paraId="5AD8C13B" w14:textId="77777777">
        <w:tc>
          <w:tcPr>
            <w:tcW w:w="3652" w:type="dxa"/>
          </w:tcPr>
          <w:p w14:paraId="6CBB582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учетом скоростн.</w:t>
            </w:r>
          </w:p>
        </w:tc>
        <w:tc>
          <w:tcPr>
            <w:tcW w:w="1060" w:type="dxa"/>
          </w:tcPr>
          <w:p w14:paraId="6A32E6F4" w14:textId="77777777" w:rsidR="00531570" w:rsidRPr="00D03F3E" w:rsidRDefault="00531570" w:rsidP="00D03F3E">
            <w:pPr>
              <w:pStyle w:val="Iauiue"/>
              <w:jc w:val="both"/>
              <w:rPr>
                <w:color w:val="000000" w:themeColor="text1"/>
                <w:sz w:val="16"/>
                <w:szCs w:val="16"/>
              </w:rPr>
            </w:pPr>
          </w:p>
        </w:tc>
        <w:tc>
          <w:tcPr>
            <w:tcW w:w="1060" w:type="dxa"/>
          </w:tcPr>
          <w:p w14:paraId="3DD2FD6D" w14:textId="77777777" w:rsidR="00531570" w:rsidRPr="00D03F3E" w:rsidRDefault="00531570" w:rsidP="00D03F3E">
            <w:pPr>
              <w:pStyle w:val="Iauiue"/>
              <w:jc w:val="both"/>
              <w:rPr>
                <w:color w:val="000000" w:themeColor="text1"/>
                <w:sz w:val="16"/>
                <w:szCs w:val="16"/>
              </w:rPr>
            </w:pPr>
          </w:p>
        </w:tc>
        <w:tc>
          <w:tcPr>
            <w:tcW w:w="4685" w:type="dxa"/>
          </w:tcPr>
          <w:p w14:paraId="62510FD1" w14:textId="77777777" w:rsidR="00531570" w:rsidRPr="00D03F3E" w:rsidRDefault="00531570" w:rsidP="00D03F3E">
            <w:pPr>
              <w:pStyle w:val="Iauiue"/>
              <w:jc w:val="both"/>
              <w:rPr>
                <w:color w:val="000000" w:themeColor="text1"/>
                <w:sz w:val="16"/>
                <w:szCs w:val="16"/>
              </w:rPr>
            </w:pPr>
          </w:p>
        </w:tc>
      </w:tr>
      <w:tr w:rsidR="00860B4B" w:rsidRPr="00D03F3E" w14:paraId="5177196B" w14:textId="77777777">
        <w:tc>
          <w:tcPr>
            <w:tcW w:w="3652" w:type="dxa"/>
          </w:tcPr>
          <w:p w14:paraId="4879DB6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наддува)</w:t>
            </w:r>
          </w:p>
        </w:tc>
        <w:tc>
          <w:tcPr>
            <w:tcW w:w="1060" w:type="dxa"/>
          </w:tcPr>
          <w:p w14:paraId="05E22E7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3700</w:t>
            </w:r>
          </w:p>
        </w:tc>
        <w:tc>
          <w:tcPr>
            <w:tcW w:w="1060" w:type="dxa"/>
          </w:tcPr>
          <w:p w14:paraId="511D92B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6800</w:t>
            </w:r>
          </w:p>
        </w:tc>
        <w:tc>
          <w:tcPr>
            <w:tcW w:w="4685" w:type="dxa"/>
          </w:tcPr>
          <w:p w14:paraId="7691C67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4850</w:t>
            </w:r>
          </w:p>
        </w:tc>
      </w:tr>
      <w:tr w:rsidR="00860B4B" w:rsidRPr="00D03F3E" w14:paraId="1C1612CB" w14:textId="77777777">
        <w:tc>
          <w:tcPr>
            <w:tcW w:w="3652" w:type="dxa"/>
          </w:tcPr>
          <w:p w14:paraId="6117109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Мощность у земли</w:t>
            </w:r>
          </w:p>
        </w:tc>
        <w:tc>
          <w:tcPr>
            <w:tcW w:w="1060" w:type="dxa"/>
          </w:tcPr>
          <w:p w14:paraId="4CE427DA" w14:textId="77777777" w:rsidR="00531570" w:rsidRPr="00D03F3E" w:rsidRDefault="00531570" w:rsidP="00D03F3E">
            <w:pPr>
              <w:pStyle w:val="Iauiue"/>
              <w:jc w:val="both"/>
              <w:rPr>
                <w:color w:val="000000" w:themeColor="text1"/>
                <w:sz w:val="16"/>
                <w:szCs w:val="16"/>
              </w:rPr>
            </w:pPr>
          </w:p>
        </w:tc>
        <w:tc>
          <w:tcPr>
            <w:tcW w:w="1060" w:type="dxa"/>
          </w:tcPr>
          <w:p w14:paraId="67D9BC78" w14:textId="77777777" w:rsidR="00531570" w:rsidRPr="00D03F3E" w:rsidRDefault="00531570" w:rsidP="00D03F3E">
            <w:pPr>
              <w:pStyle w:val="Iauiue"/>
              <w:jc w:val="both"/>
              <w:rPr>
                <w:color w:val="000000" w:themeColor="text1"/>
                <w:sz w:val="16"/>
                <w:szCs w:val="16"/>
              </w:rPr>
            </w:pPr>
          </w:p>
        </w:tc>
        <w:tc>
          <w:tcPr>
            <w:tcW w:w="4685" w:type="dxa"/>
          </w:tcPr>
          <w:p w14:paraId="2720457A" w14:textId="77777777" w:rsidR="00531570" w:rsidRPr="00D03F3E" w:rsidRDefault="00531570" w:rsidP="00D03F3E">
            <w:pPr>
              <w:pStyle w:val="Iauiue"/>
              <w:jc w:val="both"/>
              <w:rPr>
                <w:color w:val="000000" w:themeColor="text1"/>
                <w:sz w:val="16"/>
                <w:szCs w:val="16"/>
              </w:rPr>
            </w:pPr>
          </w:p>
        </w:tc>
      </w:tr>
      <w:tr w:rsidR="00860B4B" w:rsidRPr="00D03F3E" w14:paraId="2DC88661" w14:textId="77777777">
        <w:tc>
          <w:tcPr>
            <w:tcW w:w="3652" w:type="dxa"/>
          </w:tcPr>
          <w:p w14:paraId="15DBB57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номинал.</w:t>
            </w:r>
          </w:p>
        </w:tc>
        <w:tc>
          <w:tcPr>
            <w:tcW w:w="1060" w:type="dxa"/>
          </w:tcPr>
          <w:p w14:paraId="28CC4C4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1210</w:t>
            </w:r>
          </w:p>
        </w:tc>
        <w:tc>
          <w:tcPr>
            <w:tcW w:w="1060" w:type="dxa"/>
          </w:tcPr>
          <w:p w14:paraId="4097EBC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1135</w:t>
            </w:r>
          </w:p>
        </w:tc>
        <w:tc>
          <w:tcPr>
            <w:tcW w:w="4685" w:type="dxa"/>
          </w:tcPr>
          <w:p w14:paraId="1F3E22C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900</w:t>
            </w:r>
          </w:p>
        </w:tc>
      </w:tr>
      <w:tr w:rsidR="00860B4B" w:rsidRPr="00D03F3E" w14:paraId="7EBD8B07" w14:textId="77777777">
        <w:tc>
          <w:tcPr>
            <w:tcW w:w="3652" w:type="dxa"/>
          </w:tcPr>
          <w:p w14:paraId="00D8148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То же при 3-х мин.</w:t>
            </w:r>
          </w:p>
        </w:tc>
        <w:tc>
          <w:tcPr>
            <w:tcW w:w="1060" w:type="dxa"/>
          </w:tcPr>
          <w:p w14:paraId="7C9837FC" w14:textId="77777777" w:rsidR="00531570" w:rsidRPr="00D03F3E" w:rsidRDefault="00531570" w:rsidP="00D03F3E">
            <w:pPr>
              <w:pStyle w:val="Iauiue"/>
              <w:jc w:val="both"/>
              <w:rPr>
                <w:color w:val="000000" w:themeColor="text1"/>
                <w:sz w:val="16"/>
                <w:szCs w:val="16"/>
              </w:rPr>
            </w:pPr>
          </w:p>
        </w:tc>
        <w:tc>
          <w:tcPr>
            <w:tcW w:w="1060" w:type="dxa"/>
          </w:tcPr>
          <w:p w14:paraId="76A8C08C" w14:textId="77777777" w:rsidR="00531570" w:rsidRPr="00D03F3E" w:rsidRDefault="00531570" w:rsidP="00D03F3E">
            <w:pPr>
              <w:pStyle w:val="Iauiue"/>
              <w:jc w:val="both"/>
              <w:rPr>
                <w:color w:val="000000" w:themeColor="text1"/>
                <w:sz w:val="16"/>
                <w:szCs w:val="16"/>
              </w:rPr>
            </w:pPr>
          </w:p>
        </w:tc>
        <w:tc>
          <w:tcPr>
            <w:tcW w:w="4685" w:type="dxa"/>
          </w:tcPr>
          <w:p w14:paraId="42EFA5EF" w14:textId="77777777" w:rsidR="00531570" w:rsidRPr="00D03F3E" w:rsidRDefault="00531570" w:rsidP="00D03F3E">
            <w:pPr>
              <w:pStyle w:val="Iauiue"/>
              <w:jc w:val="both"/>
              <w:rPr>
                <w:color w:val="000000" w:themeColor="text1"/>
                <w:sz w:val="16"/>
                <w:szCs w:val="16"/>
              </w:rPr>
            </w:pPr>
          </w:p>
        </w:tc>
      </w:tr>
      <w:tr w:rsidR="00860B4B" w:rsidRPr="00D03F3E" w14:paraId="2013E429" w14:textId="77777777">
        <w:tc>
          <w:tcPr>
            <w:tcW w:w="3652" w:type="dxa"/>
          </w:tcPr>
          <w:p w14:paraId="488B772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форсаже</w:t>
            </w:r>
          </w:p>
        </w:tc>
        <w:tc>
          <w:tcPr>
            <w:tcW w:w="1060" w:type="dxa"/>
          </w:tcPr>
          <w:p w14:paraId="296673A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1060" w:type="dxa"/>
          </w:tcPr>
          <w:p w14:paraId="5A6E88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1300</w:t>
            </w:r>
          </w:p>
        </w:tc>
        <w:tc>
          <w:tcPr>
            <w:tcW w:w="4685" w:type="dxa"/>
          </w:tcPr>
          <w:p w14:paraId="5D87069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1135</w:t>
            </w:r>
          </w:p>
        </w:tc>
      </w:tr>
      <w:tr w:rsidR="00860B4B" w:rsidRPr="00D03F3E" w14:paraId="47935233" w14:textId="77777777">
        <w:tc>
          <w:tcPr>
            <w:tcW w:w="3652" w:type="dxa"/>
          </w:tcPr>
          <w:p w14:paraId="3624B98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 у земли</w:t>
            </w:r>
          </w:p>
        </w:tc>
        <w:tc>
          <w:tcPr>
            <w:tcW w:w="1060" w:type="dxa"/>
          </w:tcPr>
          <w:p w14:paraId="39EF736C" w14:textId="77777777" w:rsidR="00531570" w:rsidRPr="00D03F3E" w:rsidRDefault="00531570" w:rsidP="00D03F3E">
            <w:pPr>
              <w:pStyle w:val="Iauiue"/>
              <w:jc w:val="both"/>
              <w:rPr>
                <w:color w:val="000000" w:themeColor="text1"/>
                <w:sz w:val="16"/>
                <w:szCs w:val="16"/>
              </w:rPr>
            </w:pPr>
          </w:p>
        </w:tc>
        <w:tc>
          <w:tcPr>
            <w:tcW w:w="1060" w:type="dxa"/>
          </w:tcPr>
          <w:p w14:paraId="322BD339" w14:textId="77777777" w:rsidR="00531570" w:rsidRPr="00D03F3E" w:rsidRDefault="00531570" w:rsidP="00D03F3E">
            <w:pPr>
              <w:pStyle w:val="Iauiue"/>
              <w:jc w:val="both"/>
              <w:rPr>
                <w:color w:val="000000" w:themeColor="text1"/>
                <w:sz w:val="16"/>
                <w:szCs w:val="16"/>
              </w:rPr>
            </w:pPr>
          </w:p>
        </w:tc>
        <w:tc>
          <w:tcPr>
            <w:tcW w:w="4685" w:type="dxa"/>
          </w:tcPr>
          <w:p w14:paraId="5652F524" w14:textId="77777777" w:rsidR="00531570" w:rsidRPr="00D03F3E" w:rsidRDefault="00531570" w:rsidP="00D03F3E">
            <w:pPr>
              <w:pStyle w:val="Iauiue"/>
              <w:jc w:val="both"/>
              <w:rPr>
                <w:color w:val="000000" w:themeColor="text1"/>
                <w:sz w:val="16"/>
                <w:szCs w:val="16"/>
              </w:rPr>
            </w:pPr>
          </w:p>
        </w:tc>
      </w:tr>
      <w:tr w:rsidR="00860B4B" w:rsidRPr="00D03F3E" w14:paraId="5016E4A0" w14:textId="77777777">
        <w:tc>
          <w:tcPr>
            <w:tcW w:w="3652" w:type="dxa"/>
          </w:tcPr>
          <w:p w14:paraId="79C54C7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(номин)</w:t>
            </w:r>
          </w:p>
        </w:tc>
        <w:tc>
          <w:tcPr>
            <w:tcW w:w="1060" w:type="dxa"/>
          </w:tcPr>
          <w:p w14:paraId="211428B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530</w:t>
            </w:r>
          </w:p>
        </w:tc>
        <w:tc>
          <w:tcPr>
            <w:tcW w:w="1060" w:type="dxa"/>
          </w:tcPr>
          <w:p w14:paraId="1D6A84B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515</w:t>
            </w:r>
          </w:p>
        </w:tc>
        <w:tc>
          <w:tcPr>
            <w:tcW w:w="4685" w:type="dxa"/>
          </w:tcPr>
          <w:p w14:paraId="1A73307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480</w:t>
            </w:r>
          </w:p>
        </w:tc>
      </w:tr>
      <w:tr w:rsidR="00860B4B" w:rsidRPr="00D03F3E" w14:paraId="163D15A6" w14:textId="77777777">
        <w:tc>
          <w:tcPr>
            <w:tcW w:w="3652" w:type="dxa"/>
          </w:tcPr>
          <w:p w14:paraId="194DAC1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 у земли</w:t>
            </w:r>
          </w:p>
        </w:tc>
        <w:tc>
          <w:tcPr>
            <w:tcW w:w="1060" w:type="dxa"/>
          </w:tcPr>
          <w:p w14:paraId="53CF994A" w14:textId="77777777" w:rsidR="00531570" w:rsidRPr="00D03F3E" w:rsidRDefault="00531570" w:rsidP="00D03F3E">
            <w:pPr>
              <w:pStyle w:val="Iauiue"/>
              <w:jc w:val="both"/>
              <w:rPr>
                <w:color w:val="000000" w:themeColor="text1"/>
                <w:sz w:val="16"/>
                <w:szCs w:val="16"/>
              </w:rPr>
            </w:pPr>
          </w:p>
        </w:tc>
        <w:tc>
          <w:tcPr>
            <w:tcW w:w="1060" w:type="dxa"/>
          </w:tcPr>
          <w:p w14:paraId="5E3888CB" w14:textId="77777777" w:rsidR="00531570" w:rsidRPr="00D03F3E" w:rsidRDefault="00531570" w:rsidP="00D03F3E">
            <w:pPr>
              <w:pStyle w:val="Iauiue"/>
              <w:jc w:val="both"/>
              <w:rPr>
                <w:color w:val="000000" w:themeColor="text1"/>
                <w:sz w:val="16"/>
                <w:szCs w:val="16"/>
              </w:rPr>
            </w:pPr>
          </w:p>
        </w:tc>
        <w:tc>
          <w:tcPr>
            <w:tcW w:w="4685" w:type="dxa"/>
          </w:tcPr>
          <w:p w14:paraId="39E4B694" w14:textId="77777777" w:rsidR="00531570" w:rsidRPr="00D03F3E" w:rsidRDefault="00531570" w:rsidP="00D03F3E">
            <w:pPr>
              <w:pStyle w:val="Iauiue"/>
              <w:jc w:val="both"/>
              <w:rPr>
                <w:color w:val="000000" w:themeColor="text1"/>
                <w:sz w:val="16"/>
                <w:szCs w:val="16"/>
              </w:rPr>
            </w:pPr>
          </w:p>
        </w:tc>
      </w:tr>
      <w:tr w:rsidR="00860B4B" w:rsidRPr="00D03F3E" w14:paraId="08D9EE6F" w14:textId="77777777">
        <w:tc>
          <w:tcPr>
            <w:tcW w:w="3652" w:type="dxa"/>
          </w:tcPr>
          <w:p w14:paraId="4074388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(форс.)</w:t>
            </w:r>
          </w:p>
        </w:tc>
        <w:tc>
          <w:tcPr>
            <w:tcW w:w="1060" w:type="dxa"/>
          </w:tcPr>
          <w:p w14:paraId="45A967D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1060" w:type="dxa"/>
          </w:tcPr>
          <w:p w14:paraId="0F02547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540</w:t>
            </w:r>
          </w:p>
        </w:tc>
        <w:tc>
          <w:tcPr>
            <w:tcW w:w="4685" w:type="dxa"/>
          </w:tcPr>
          <w:p w14:paraId="676E2DA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520</w:t>
            </w:r>
          </w:p>
        </w:tc>
      </w:tr>
      <w:tr w:rsidR="00860B4B" w:rsidRPr="00D03F3E" w14:paraId="09B8CA1B" w14:textId="77777777">
        <w:tc>
          <w:tcPr>
            <w:tcW w:w="3652" w:type="dxa"/>
          </w:tcPr>
          <w:p w14:paraId="2B9CC37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 у земли</w:t>
            </w:r>
          </w:p>
        </w:tc>
        <w:tc>
          <w:tcPr>
            <w:tcW w:w="1060" w:type="dxa"/>
          </w:tcPr>
          <w:p w14:paraId="38043780" w14:textId="77777777" w:rsidR="00531570" w:rsidRPr="00D03F3E" w:rsidRDefault="00531570" w:rsidP="00D03F3E">
            <w:pPr>
              <w:pStyle w:val="Iauiue"/>
              <w:jc w:val="both"/>
              <w:rPr>
                <w:color w:val="000000" w:themeColor="text1"/>
                <w:sz w:val="16"/>
                <w:szCs w:val="16"/>
              </w:rPr>
            </w:pPr>
          </w:p>
        </w:tc>
        <w:tc>
          <w:tcPr>
            <w:tcW w:w="1060" w:type="dxa"/>
          </w:tcPr>
          <w:p w14:paraId="14D1FFF8" w14:textId="77777777" w:rsidR="00531570" w:rsidRPr="00D03F3E" w:rsidRDefault="00531570" w:rsidP="00D03F3E">
            <w:pPr>
              <w:pStyle w:val="Iauiue"/>
              <w:jc w:val="both"/>
              <w:rPr>
                <w:color w:val="000000" w:themeColor="text1"/>
                <w:sz w:val="16"/>
                <w:szCs w:val="16"/>
              </w:rPr>
            </w:pPr>
          </w:p>
        </w:tc>
        <w:tc>
          <w:tcPr>
            <w:tcW w:w="4685" w:type="dxa"/>
          </w:tcPr>
          <w:p w14:paraId="57559819" w14:textId="77777777" w:rsidR="00531570" w:rsidRPr="00D03F3E" w:rsidRDefault="00531570" w:rsidP="00D03F3E">
            <w:pPr>
              <w:pStyle w:val="Iauiue"/>
              <w:jc w:val="both"/>
              <w:rPr>
                <w:color w:val="000000" w:themeColor="text1"/>
                <w:sz w:val="16"/>
                <w:szCs w:val="16"/>
              </w:rPr>
            </w:pPr>
          </w:p>
        </w:tc>
      </w:tr>
      <w:tr w:rsidR="00860B4B" w:rsidRPr="00D03F3E" w14:paraId="46F0E701" w14:textId="77777777">
        <w:tc>
          <w:tcPr>
            <w:tcW w:w="3652" w:type="dxa"/>
          </w:tcPr>
          <w:p w14:paraId="112E2B2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расчетн. высоте</w:t>
            </w:r>
          </w:p>
        </w:tc>
        <w:tc>
          <w:tcPr>
            <w:tcW w:w="1060" w:type="dxa"/>
          </w:tcPr>
          <w:p w14:paraId="333B2E1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597</w:t>
            </w:r>
          </w:p>
        </w:tc>
        <w:tc>
          <w:tcPr>
            <w:tcW w:w="1060" w:type="dxa"/>
          </w:tcPr>
          <w:p w14:paraId="00652DC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665</w:t>
            </w:r>
          </w:p>
        </w:tc>
        <w:tc>
          <w:tcPr>
            <w:tcW w:w="4685" w:type="dxa"/>
          </w:tcPr>
          <w:p w14:paraId="449944C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615</w:t>
            </w:r>
          </w:p>
        </w:tc>
      </w:tr>
      <w:tr w:rsidR="00860B4B" w:rsidRPr="00D03F3E" w14:paraId="1141E2ED" w14:textId="77777777">
        <w:tc>
          <w:tcPr>
            <w:tcW w:w="3652" w:type="dxa"/>
          </w:tcPr>
          <w:p w14:paraId="22DAEFA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Дальность на 0,9</w:t>
            </w:r>
          </w:p>
        </w:tc>
        <w:tc>
          <w:tcPr>
            <w:tcW w:w="1060" w:type="dxa"/>
          </w:tcPr>
          <w:p w14:paraId="442793EF" w14:textId="77777777" w:rsidR="00531570" w:rsidRPr="00D03F3E" w:rsidRDefault="00531570" w:rsidP="00D03F3E">
            <w:pPr>
              <w:pStyle w:val="Iauiue"/>
              <w:jc w:val="both"/>
              <w:rPr>
                <w:color w:val="000000" w:themeColor="text1"/>
                <w:sz w:val="16"/>
                <w:szCs w:val="16"/>
              </w:rPr>
            </w:pPr>
          </w:p>
        </w:tc>
        <w:tc>
          <w:tcPr>
            <w:tcW w:w="1060" w:type="dxa"/>
          </w:tcPr>
          <w:p w14:paraId="3D630440" w14:textId="77777777" w:rsidR="00531570" w:rsidRPr="00D03F3E" w:rsidRDefault="00531570" w:rsidP="00D03F3E">
            <w:pPr>
              <w:pStyle w:val="Iauiue"/>
              <w:jc w:val="both"/>
              <w:rPr>
                <w:color w:val="000000" w:themeColor="text1"/>
                <w:sz w:val="16"/>
                <w:szCs w:val="16"/>
              </w:rPr>
            </w:pPr>
          </w:p>
        </w:tc>
        <w:tc>
          <w:tcPr>
            <w:tcW w:w="4685" w:type="dxa"/>
          </w:tcPr>
          <w:p w14:paraId="1AA6EF95" w14:textId="77777777" w:rsidR="00531570" w:rsidRPr="00D03F3E" w:rsidRDefault="00531570" w:rsidP="00D03F3E">
            <w:pPr>
              <w:pStyle w:val="Iauiue"/>
              <w:jc w:val="both"/>
              <w:rPr>
                <w:color w:val="000000" w:themeColor="text1"/>
                <w:sz w:val="16"/>
                <w:szCs w:val="16"/>
              </w:rPr>
            </w:pPr>
          </w:p>
        </w:tc>
      </w:tr>
      <w:tr w:rsidR="00860B4B" w:rsidRPr="00D03F3E" w14:paraId="08910D11" w14:textId="77777777">
        <w:tc>
          <w:tcPr>
            <w:tcW w:w="3652" w:type="dxa"/>
          </w:tcPr>
          <w:p w14:paraId="27AB4FA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V макс.</w:t>
            </w:r>
          </w:p>
        </w:tc>
        <w:tc>
          <w:tcPr>
            <w:tcW w:w="1060" w:type="dxa"/>
          </w:tcPr>
          <w:p w14:paraId="721A896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650</w:t>
            </w:r>
          </w:p>
        </w:tc>
        <w:tc>
          <w:tcPr>
            <w:tcW w:w="1060" w:type="dxa"/>
          </w:tcPr>
          <w:p w14:paraId="7F175F2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720</w:t>
            </w:r>
          </w:p>
        </w:tc>
        <w:tc>
          <w:tcPr>
            <w:tcW w:w="4685" w:type="dxa"/>
          </w:tcPr>
          <w:p w14:paraId="3EA9864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780</w:t>
            </w:r>
          </w:p>
        </w:tc>
      </w:tr>
      <w:tr w:rsidR="00860B4B" w:rsidRPr="00D03F3E" w14:paraId="4EEDB027" w14:textId="77777777">
        <w:tc>
          <w:tcPr>
            <w:tcW w:w="3652" w:type="dxa"/>
          </w:tcPr>
          <w:p w14:paraId="3FAEEC4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Диаметр винта*</w:t>
            </w:r>
          </w:p>
        </w:tc>
        <w:tc>
          <w:tcPr>
            <w:tcW w:w="1060" w:type="dxa"/>
          </w:tcPr>
          <w:p w14:paraId="34ABA5A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w:t>
            </w:r>
          </w:p>
        </w:tc>
        <w:tc>
          <w:tcPr>
            <w:tcW w:w="1060" w:type="dxa"/>
          </w:tcPr>
          <w:p w14:paraId="37FFD30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3,1/3,25</w:t>
            </w:r>
          </w:p>
        </w:tc>
        <w:tc>
          <w:tcPr>
            <w:tcW w:w="4685" w:type="dxa"/>
          </w:tcPr>
          <w:p w14:paraId="6C4FDD6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w:t>
            </w:r>
          </w:p>
        </w:tc>
      </w:tr>
      <w:tr w:rsidR="00860B4B" w:rsidRPr="00D03F3E" w14:paraId="7637AA62" w14:textId="77777777">
        <w:tc>
          <w:tcPr>
            <w:tcW w:w="3652" w:type="dxa"/>
          </w:tcPr>
          <w:p w14:paraId="0F8BAC3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Число оборотов винта</w:t>
            </w:r>
          </w:p>
        </w:tc>
        <w:tc>
          <w:tcPr>
            <w:tcW w:w="1060" w:type="dxa"/>
          </w:tcPr>
          <w:p w14:paraId="7C59E6CF" w14:textId="77777777" w:rsidR="00531570" w:rsidRPr="00D03F3E" w:rsidRDefault="00531570" w:rsidP="00D03F3E">
            <w:pPr>
              <w:pStyle w:val="Iauiue"/>
              <w:jc w:val="both"/>
              <w:rPr>
                <w:color w:val="000000" w:themeColor="text1"/>
                <w:sz w:val="16"/>
                <w:szCs w:val="16"/>
              </w:rPr>
            </w:pPr>
          </w:p>
        </w:tc>
        <w:tc>
          <w:tcPr>
            <w:tcW w:w="1060" w:type="dxa"/>
          </w:tcPr>
          <w:p w14:paraId="1FF87B94" w14:textId="77777777" w:rsidR="00531570" w:rsidRPr="00D03F3E" w:rsidRDefault="00531570" w:rsidP="00D03F3E">
            <w:pPr>
              <w:pStyle w:val="Iauiue"/>
              <w:jc w:val="both"/>
              <w:rPr>
                <w:color w:val="000000" w:themeColor="text1"/>
                <w:sz w:val="16"/>
                <w:szCs w:val="16"/>
              </w:rPr>
            </w:pPr>
          </w:p>
        </w:tc>
        <w:tc>
          <w:tcPr>
            <w:tcW w:w="4685" w:type="dxa"/>
          </w:tcPr>
          <w:p w14:paraId="1AA9914B" w14:textId="77777777" w:rsidR="00531570" w:rsidRPr="00D03F3E" w:rsidRDefault="00531570" w:rsidP="00D03F3E">
            <w:pPr>
              <w:pStyle w:val="Iauiue"/>
              <w:jc w:val="both"/>
              <w:rPr>
                <w:color w:val="000000" w:themeColor="text1"/>
                <w:sz w:val="16"/>
                <w:szCs w:val="16"/>
              </w:rPr>
            </w:pPr>
          </w:p>
        </w:tc>
      </w:tr>
      <w:tr w:rsidR="00860B4B" w:rsidRPr="00D03F3E" w14:paraId="223950BE" w14:textId="77777777">
        <w:tc>
          <w:tcPr>
            <w:tcW w:w="3652" w:type="dxa"/>
          </w:tcPr>
          <w:p w14:paraId="50905E0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 взлете</w:t>
            </w:r>
          </w:p>
        </w:tc>
        <w:tc>
          <w:tcPr>
            <w:tcW w:w="1060" w:type="dxa"/>
          </w:tcPr>
          <w:p w14:paraId="4D73DF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1800</w:t>
            </w:r>
          </w:p>
        </w:tc>
        <w:tc>
          <w:tcPr>
            <w:tcW w:w="1060" w:type="dxa"/>
          </w:tcPr>
          <w:p w14:paraId="715AAA5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1260</w:t>
            </w:r>
          </w:p>
        </w:tc>
        <w:tc>
          <w:tcPr>
            <w:tcW w:w="4685" w:type="dxa"/>
          </w:tcPr>
          <w:p w14:paraId="3E4618F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1550</w:t>
            </w:r>
          </w:p>
        </w:tc>
      </w:tr>
      <w:tr w:rsidR="00860B4B" w:rsidRPr="00D03F3E" w14:paraId="4AB04133" w14:textId="77777777">
        <w:tc>
          <w:tcPr>
            <w:tcW w:w="3652" w:type="dxa"/>
          </w:tcPr>
          <w:p w14:paraId="0BDB50A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Длина разбега*</w:t>
            </w:r>
          </w:p>
        </w:tc>
        <w:tc>
          <w:tcPr>
            <w:tcW w:w="1060" w:type="dxa"/>
          </w:tcPr>
          <w:p w14:paraId="77B2096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320</w:t>
            </w:r>
          </w:p>
        </w:tc>
        <w:tc>
          <w:tcPr>
            <w:tcW w:w="1060" w:type="dxa"/>
          </w:tcPr>
          <w:p w14:paraId="041ED1F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450/400</w:t>
            </w:r>
          </w:p>
        </w:tc>
        <w:tc>
          <w:tcPr>
            <w:tcW w:w="4685" w:type="dxa"/>
          </w:tcPr>
          <w:p w14:paraId="2D69B0C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410</w:t>
            </w:r>
          </w:p>
        </w:tc>
      </w:tr>
      <w:tr w:rsidR="00860B4B" w:rsidRPr="00D03F3E" w14:paraId="41B63B5F" w14:textId="77777777">
        <w:tc>
          <w:tcPr>
            <w:tcW w:w="3652" w:type="dxa"/>
          </w:tcPr>
          <w:p w14:paraId="66C2191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Время набора высоты</w:t>
            </w:r>
          </w:p>
        </w:tc>
        <w:tc>
          <w:tcPr>
            <w:tcW w:w="1060" w:type="dxa"/>
          </w:tcPr>
          <w:p w14:paraId="3F4A7AB3" w14:textId="77777777" w:rsidR="00531570" w:rsidRPr="00D03F3E" w:rsidRDefault="00531570" w:rsidP="00D03F3E">
            <w:pPr>
              <w:pStyle w:val="Iauiue"/>
              <w:jc w:val="both"/>
              <w:rPr>
                <w:color w:val="000000" w:themeColor="text1"/>
                <w:sz w:val="16"/>
                <w:szCs w:val="16"/>
              </w:rPr>
            </w:pPr>
          </w:p>
        </w:tc>
        <w:tc>
          <w:tcPr>
            <w:tcW w:w="1060" w:type="dxa"/>
          </w:tcPr>
          <w:p w14:paraId="275206F6" w14:textId="77777777" w:rsidR="00531570" w:rsidRPr="00D03F3E" w:rsidRDefault="00531570" w:rsidP="00D03F3E">
            <w:pPr>
              <w:pStyle w:val="Iauiue"/>
              <w:jc w:val="both"/>
              <w:rPr>
                <w:color w:val="000000" w:themeColor="text1"/>
                <w:sz w:val="16"/>
                <w:szCs w:val="16"/>
              </w:rPr>
            </w:pPr>
          </w:p>
        </w:tc>
        <w:tc>
          <w:tcPr>
            <w:tcW w:w="4685" w:type="dxa"/>
          </w:tcPr>
          <w:p w14:paraId="10E1CE5B" w14:textId="77777777" w:rsidR="00531570" w:rsidRPr="00D03F3E" w:rsidRDefault="00531570" w:rsidP="00D03F3E">
            <w:pPr>
              <w:pStyle w:val="Iauiue"/>
              <w:jc w:val="both"/>
              <w:rPr>
                <w:color w:val="000000" w:themeColor="text1"/>
                <w:sz w:val="16"/>
                <w:szCs w:val="16"/>
              </w:rPr>
            </w:pPr>
          </w:p>
        </w:tc>
      </w:tr>
      <w:tr w:rsidR="00860B4B" w:rsidRPr="00D03F3E" w14:paraId="08ED8B51" w14:textId="77777777">
        <w:tc>
          <w:tcPr>
            <w:tcW w:w="3652" w:type="dxa"/>
          </w:tcPr>
          <w:p w14:paraId="07107BD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5000 м</w:t>
            </w:r>
          </w:p>
        </w:tc>
        <w:tc>
          <w:tcPr>
            <w:tcW w:w="1060" w:type="dxa"/>
          </w:tcPr>
          <w:p w14:paraId="1E6B8FC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5,4</w:t>
            </w:r>
          </w:p>
        </w:tc>
        <w:tc>
          <w:tcPr>
            <w:tcW w:w="1060" w:type="dxa"/>
          </w:tcPr>
          <w:p w14:paraId="1F782A6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5,1</w:t>
            </w:r>
          </w:p>
        </w:tc>
        <w:tc>
          <w:tcPr>
            <w:tcW w:w="4685" w:type="dxa"/>
          </w:tcPr>
          <w:p w14:paraId="60005C9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5,3</w:t>
            </w:r>
          </w:p>
        </w:tc>
      </w:tr>
    </w:tbl>
    <w:p w14:paraId="1C06503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В числителе показаны данные при D=3,1 м, в знаменателе при D=3,25 м.</w:t>
      </w:r>
    </w:p>
    <w:p w14:paraId="393FDA6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Как видно из таблицы, установка на Як-1 мотора Мерлин-20 резко повысит скорость на 2-й границе высотности, доведя ее до ~665 км/час. Однако, такой результат получится лишь на высотах 6000-7000 м. На малых высотах скорости получатся худшими: скорость при Н=0 уменьшится на 15 км/час и лишь при 3-х минутном форсаже примерно остается на существующем уровне.</w:t>
      </w:r>
    </w:p>
    <w:p w14:paraId="61AB1A8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Дальность полета на 0,9 V макс. возрастает на ~ 70 км.</w:t>
      </w:r>
    </w:p>
    <w:p w14:paraId="7C2691B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 ограничении диаметра винта величиной D=3,1 м длина разбега резко возрастет на 130 м вследствие низкого числа оборотов винта; при таких оборотах винта требуются гораздо большие диаметры винтов (на Харрикейне установлен винт с D=3,45 м).</w:t>
      </w:r>
    </w:p>
    <w:p w14:paraId="6EB0713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Если диаметр винта увеличить до 3,25 м, то ухудшение разбега окажется не столь большим (на 80 м).</w:t>
      </w:r>
    </w:p>
    <w:p w14:paraId="01F5430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 установке на Як-1 мотора Аллисон V-1710, скорость у земли снизится на ~ 50 км/час и при форсаже - на 10 км/час; на 2-й границе высотности скорость возрастет на ~15 км/час. Дальность на 0,9 V макс. увеличится на 130 км/час, время набора высоты 5000 практически остается прежним.</w:t>
      </w:r>
    </w:p>
    <w:p w14:paraId="3919F00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Длина разбега ухудшится на 90 м.</w:t>
      </w:r>
    </w:p>
    <w:p w14:paraId="331975F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По самолету Ла-5.</w:t>
      </w:r>
    </w:p>
    <w:p w14:paraId="72CF4B2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Сравнительные данные самолета с моторами М-82ФН6 Райт-2600 и Пратт-Уитни 2800 "Дабл-Уосп" приведены в таблице: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4822"/>
      </w:tblGrid>
      <w:tr w:rsidR="00860B4B" w:rsidRPr="00D03F3E" w14:paraId="0DE21959" w14:textId="77777777">
        <w:tc>
          <w:tcPr>
            <w:tcW w:w="1878" w:type="dxa"/>
          </w:tcPr>
          <w:p w14:paraId="15835A3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Мотор</w:t>
            </w:r>
          </w:p>
        </w:tc>
        <w:tc>
          <w:tcPr>
            <w:tcW w:w="1878" w:type="dxa"/>
          </w:tcPr>
          <w:p w14:paraId="6B2875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М-82ФН</w:t>
            </w:r>
          </w:p>
        </w:tc>
        <w:tc>
          <w:tcPr>
            <w:tcW w:w="1878" w:type="dxa"/>
          </w:tcPr>
          <w:p w14:paraId="0A3FDFC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Райт</w:t>
            </w:r>
          </w:p>
        </w:tc>
        <w:tc>
          <w:tcPr>
            <w:tcW w:w="4822" w:type="dxa"/>
          </w:tcPr>
          <w:p w14:paraId="4F79C75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Пратт-Уитни</w:t>
            </w:r>
          </w:p>
        </w:tc>
      </w:tr>
      <w:tr w:rsidR="00860B4B" w:rsidRPr="00D03F3E" w14:paraId="34B9043D" w14:textId="77777777">
        <w:tc>
          <w:tcPr>
            <w:tcW w:w="1878" w:type="dxa"/>
          </w:tcPr>
          <w:p w14:paraId="35F327A6" w14:textId="77777777" w:rsidR="00531570" w:rsidRPr="00D03F3E" w:rsidRDefault="00531570" w:rsidP="00D03F3E">
            <w:pPr>
              <w:pStyle w:val="Iauiue"/>
              <w:jc w:val="both"/>
              <w:rPr>
                <w:color w:val="000000" w:themeColor="text1"/>
                <w:sz w:val="16"/>
                <w:szCs w:val="16"/>
              </w:rPr>
            </w:pPr>
          </w:p>
        </w:tc>
        <w:tc>
          <w:tcPr>
            <w:tcW w:w="1878" w:type="dxa"/>
          </w:tcPr>
          <w:p w14:paraId="4C44ED9C" w14:textId="77777777" w:rsidR="00531570" w:rsidRPr="00D03F3E" w:rsidRDefault="00531570" w:rsidP="00D03F3E">
            <w:pPr>
              <w:pStyle w:val="Iauiue"/>
              <w:jc w:val="both"/>
              <w:rPr>
                <w:color w:val="000000" w:themeColor="text1"/>
                <w:sz w:val="16"/>
                <w:szCs w:val="16"/>
              </w:rPr>
            </w:pPr>
          </w:p>
        </w:tc>
        <w:tc>
          <w:tcPr>
            <w:tcW w:w="1878" w:type="dxa"/>
          </w:tcPr>
          <w:p w14:paraId="0B5C5F8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R-2600</w:t>
            </w:r>
          </w:p>
        </w:tc>
        <w:tc>
          <w:tcPr>
            <w:tcW w:w="4822" w:type="dxa"/>
          </w:tcPr>
          <w:p w14:paraId="71C8859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2800</w:t>
            </w:r>
          </w:p>
        </w:tc>
      </w:tr>
      <w:tr w:rsidR="00860B4B" w:rsidRPr="00D03F3E" w14:paraId="73355F37" w14:textId="77777777">
        <w:tc>
          <w:tcPr>
            <w:tcW w:w="1878" w:type="dxa"/>
          </w:tcPr>
          <w:p w14:paraId="38E455A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 сухого мотора</w:t>
            </w:r>
          </w:p>
        </w:tc>
        <w:tc>
          <w:tcPr>
            <w:tcW w:w="1878" w:type="dxa"/>
          </w:tcPr>
          <w:p w14:paraId="2AB7AC8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850</w:t>
            </w:r>
          </w:p>
        </w:tc>
        <w:tc>
          <w:tcPr>
            <w:tcW w:w="1878" w:type="dxa"/>
          </w:tcPr>
          <w:p w14:paraId="6363B43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900</w:t>
            </w:r>
          </w:p>
        </w:tc>
        <w:tc>
          <w:tcPr>
            <w:tcW w:w="4822" w:type="dxa"/>
          </w:tcPr>
          <w:p w14:paraId="030508F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1030</w:t>
            </w:r>
          </w:p>
        </w:tc>
      </w:tr>
      <w:tr w:rsidR="00860B4B" w:rsidRPr="00D03F3E" w14:paraId="049E916D" w14:textId="77777777">
        <w:tc>
          <w:tcPr>
            <w:tcW w:w="1878" w:type="dxa"/>
          </w:tcPr>
          <w:p w14:paraId="6192B45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Мидель мотора</w:t>
            </w:r>
          </w:p>
        </w:tc>
        <w:tc>
          <w:tcPr>
            <w:tcW w:w="1878" w:type="dxa"/>
          </w:tcPr>
          <w:p w14:paraId="541E86F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1,25</w:t>
            </w:r>
          </w:p>
        </w:tc>
        <w:tc>
          <w:tcPr>
            <w:tcW w:w="1878" w:type="dxa"/>
          </w:tcPr>
          <w:p w14:paraId="322B8AA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1,50</w:t>
            </w:r>
          </w:p>
        </w:tc>
        <w:tc>
          <w:tcPr>
            <w:tcW w:w="4822" w:type="dxa"/>
          </w:tcPr>
          <w:p w14:paraId="4B728D2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1,40</w:t>
            </w:r>
          </w:p>
        </w:tc>
      </w:tr>
      <w:tr w:rsidR="00860B4B" w:rsidRPr="00D03F3E" w14:paraId="78B2750F" w14:textId="77777777">
        <w:tc>
          <w:tcPr>
            <w:tcW w:w="1878" w:type="dxa"/>
          </w:tcPr>
          <w:p w14:paraId="523DBE2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Мощность на 2-й</w:t>
            </w:r>
          </w:p>
        </w:tc>
        <w:tc>
          <w:tcPr>
            <w:tcW w:w="1878" w:type="dxa"/>
          </w:tcPr>
          <w:p w14:paraId="25B53A9C" w14:textId="77777777" w:rsidR="00531570" w:rsidRPr="00D03F3E" w:rsidRDefault="00531570" w:rsidP="00D03F3E">
            <w:pPr>
              <w:pStyle w:val="Iauiue"/>
              <w:jc w:val="both"/>
              <w:rPr>
                <w:color w:val="000000" w:themeColor="text1"/>
                <w:sz w:val="16"/>
                <w:szCs w:val="16"/>
              </w:rPr>
            </w:pPr>
          </w:p>
        </w:tc>
        <w:tc>
          <w:tcPr>
            <w:tcW w:w="1878" w:type="dxa"/>
          </w:tcPr>
          <w:p w14:paraId="349634FC" w14:textId="77777777" w:rsidR="00531570" w:rsidRPr="00D03F3E" w:rsidRDefault="00531570" w:rsidP="00D03F3E">
            <w:pPr>
              <w:pStyle w:val="Iauiue"/>
              <w:jc w:val="both"/>
              <w:rPr>
                <w:color w:val="000000" w:themeColor="text1"/>
                <w:sz w:val="16"/>
                <w:szCs w:val="16"/>
              </w:rPr>
            </w:pPr>
          </w:p>
        </w:tc>
        <w:tc>
          <w:tcPr>
            <w:tcW w:w="4822" w:type="dxa"/>
          </w:tcPr>
          <w:p w14:paraId="017B77E0" w14:textId="77777777" w:rsidR="00531570" w:rsidRPr="00D03F3E" w:rsidRDefault="00531570" w:rsidP="00D03F3E">
            <w:pPr>
              <w:pStyle w:val="Iauiue"/>
              <w:jc w:val="both"/>
              <w:rPr>
                <w:color w:val="000000" w:themeColor="text1"/>
                <w:sz w:val="16"/>
                <w:szCs w:val="16"/>
              </w:rPr>
            </w:pPr>
          </w:p>
        </w:tc>
      </w:tr>
      <w:tr w:rsidR="00860B4B" w:rsidRPr="00D03F3E" w14:paraId="21557ECD" w14:textId="77777777">
        <w:tc>
          <w:tcPr>
            <w:tcW w:w="1878" w:type="dxa"/>
          </w:tcPr>
          <w:p w14:paraId="7141B27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границе высотности</w:t>
            </w:r>
          </w:p>
        </w:tc>
        <w:tc>
          <w:tcPr>
            <w:tcW w:w="1878" w:type="dxa"/>
          </w:tcPr>
          <w:p w14:paraId="00695C5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1450</w:t>
            </w:r>
          </w:p>
        </w:tc>
        <w:tc>
          <w:tcPr>
            <w:tcW w:w="1878" w:type="dxa"/>
          </w:tcPr>
          <w:p w14:paraId="650799D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1450</w:t>
            </w:r>
          </w:p>
        </w:tc>
        <w:tc>
          <w:tcPr>
            <w:tcW w:w="4822" w:type="dxa"/>
          </w:tcPr>
          <w:p w14:paraId="6FA4D39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1500</w:t>
            </w:r>
          </w:p>
        </w:tc>
      </w:tr>
      <w:tr w:rsidR="00860B4B" w:rsidRPr="00D03F3E" w14:paraId="4608878F" w14:textId="77777777">
        <w:tc>
          <w:tcPr>
            <w:tcW w:w="1878" w:type="dxa"/>
          </w:tcPr>
          <w:p w14:paraId="67EE549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Расчетная высота</w:t>
            </w:r>
          </w:p>
        </w:tc>
        <w:tc>
          <w:tcPr>
            <w:tcW w:w="1878" w:type="dxa"/>
          </w:tcPr>
          <w:p w14:paraId="3D2F0D33" w14:textId="77777777" w:rsidR="00531570" w:rsidRPr="00D03F3E" w:rsidRDefault="00531570" w:rsidP="00D03F3E">
            <w:pPr>
              <w:pStyle w:val="Iauiue"/>
              <w:jc w:val="both"/>
              <w:rPr>
                <w:color w:val="000000" w:themeColor="text1"/>
                <w:sz w:val="16"/>
                <w:szCs w:val="16"/>
              </w:rPr>
            </w:pPr>
          </w:p>
        </w:tc>
        <w:tc>
          <w:tcPr>
            <w:tcW w:w="1878" w:type="dxa"/>
          </w:tcPr>
          <w:p w14:paraId="511A4527" w14:textId="77777777" w:rsidR="00531570" w:rsidRPr="00D03F3E" w:rsidRDefault="00531570" w:rsidP="00D03F3E">
            <w:pPr>
              <w:pStyle w:val="Iauiue"/>
              <w:jc w:val="both"/>
              <w:rPr>
                <w:color w:val="000000" w:themeColor="text1"/>
                <w:sz w:val="16"/>
                <w:szCs w:val="16"/>
              </w:rPr>
            </w:pPr>
          </w:p>
        </w:tc>
        <w:tc>
          <w:tcPr>
            <w:tcW w:w="4822" w:type="dxa"/>
          </w:tcPr>
          <w:p w14:paraId="77DBCB05" w14:textId="77777777" w:rsidR="00531570" w:rsidRPr="00D03F3E" w:rsidRDefault="00531570" w:rsidP="00D03F3E">
            <w:pPr>
              <w:pStyle w:val="Iauiue"/>
              <w:jc w:val="both"/>
              <w:rPr>
                <w:color w:val="000000" w:themeColor="text1"/>
                <w:sz w:val="16"/>
                <w:szCs w:val="16"/>
              </w:rPr>
            </w:pPr>
          </w:p>
        </w:tc>
      </w:tr>
      <w:tr w:rsidR="00860B4B" w:rsidRPr="00D03F3E" w14:paraId="4F11DB56" w14:textId="77777777">
        <w:tc>
          <w:tcPr>
            <w:tcW w:w="1878" w:type="dxa"/>
          </w:tcPr>
          <w:p w14:paraId="504565D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учетом скорост.</w:t>
            </w:r>
          </w:p>
        </w:tc>
        <w:tc>
          <w:tcPr>
            <w:tcW w:w="1878" w:type="dxa"/>
          </w:tcPr>
          <w:p w14:paraId="11600036" w14:textId="77777777" w:rsidR="00531570" w:rsidRPr="00D03F3E" w:rsidRDefault="00531570" w:rsidP="00D03F3E">
            <w:pPr>
              <w:pStyle w:val="Iauiue"/>
              <w:jc w:val="both"/>
              <w:rPr>
                <w:color w:val="000000" w:themeColor="text1"/>
                <w:sz w:val="16"/>
                <w:szCs w:val="16"/>
              </w:rPr>
            </w:pPr>
          </w:p>
        </w:tc>
        <w:tc>
          <w:tcPr>
            <w:tcW w:w="1878" w:type="dxa"/>
          </w:tcPr>
          <w:p w14:paraId="2AF4BFB5" w14:textId="77777777" w:rsidR="00531570" w:rsidRPr="00D03F3E" w:rsidRDefault="00531570" w:rsidP="00D03F3E">
            <w:pPr>
              <w:pStyle w:val="Iauiue"/>
              <w:jc w:val="both"/>
              <w:rPr>
                <w:color w:val="000000" w:themeColor="text1"/>
                <w:sz w:val="16"/>
                <w:szCs w:val="16"/>
              </w:rPr>
            </w:pPr>
          </w:p>
        </w:tc>
        <w:tc>
          <w:tcPr>
            <w:tcW w:w="4822" w:type="dxa"/>
          </w:tcPr>
          <w:p w14:paraId="0A6B3D0D" w14:textId="77777777" w:rsidR="00531570" w:rsidRPr="00D03F3E" w:rsidRDefault="00531570" w:rsidP="00D03F3E">
            <w:pPr>
              <w:pStyle w:val="Iauiue"/>
              <w:jc w:val="both"/>
              <w:rPr>
                <w:color w:val="000000" w:themeColor="text1"/>
                <w:sz w:val="16"/>
                <w:szCs w:val="16"/>
              </w:rPr>
            </w:pPr>
          </w:p>
        </w:tc>
      </w:tr>
      <w:tr w:rsidR="00860B4B" w:rsidRPr="00D03F3E" w14:paraId="2BABDBD3" w14:textId="77777777">
        <w:tc>
          <w:tcPr>
            <w:tcW w:w="1878" w:type="dxa"/>
          </w:tcPr>
          <w:p w14:paraId="7B18543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наддува)</w:t>
            </w:r>
          </w:p>
        </w:tc>
        <w:tc>
          <w:tcPr>
            <w:tcW w:w="1878" w:type="dxa"/>
          </w:tcPr>
          <w:p w14:paraId="6F64E53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6100</w:t>
            </w:r>
          </w:p>
        </w:tc>
        <w:tc>
          <w:tcPr>
            <w:tcW w:w="1878" w:type="dxa"/>
          </w:tcPr>
          <w:p w14:paraId="0CB9E08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4800</w:t>
            </w:r>
          </w:p>
        </w:tc>
        <w:tc>
          <w:tcPr>
            <w:tcW w:w="4822" w:type="dxa"/>
          </w:tcPr>
          <w:p w14:paraId="51E7260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7800</w:t>
            </w:r>
          </w:p>
        </w:tc>
      </w:tr>
      <w:tr w:rsidR="00860B4B" w:rsidRPr="00D03F3E" w14:paraId="42896FD4" w14:textId="77777777">
        <w:tc>
          <w:tcPr>
            <w:tcW w:w="1878" w:type="dxa"/>
          </w:tcPr>
          <w:p w14:paraId="7B1D075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Мощность у земли</w:t>
            </w:r>
          </w:p>
        </w:tc>
        <w:tc>
          <w:tcPr>
            <w:tcW w:w="1878" w:type="dxa"/>
          </w:tcPr>
          <w:p w14:paraId="23AF7EB5" w14:textId="77777777" w:rsidR="00531570" w:rsidRPr="00D03F3E" w:rsidRDefault="00531570" w:rsidP="00D03F3E">
            <w:pPr>
              <w:pStyle w:val="Iauiue"/>
              <w:jc w:val="both"/>
              <w:rPr>
                <w:color w:val="000000" w:themeColor="text1"/>
                <w:sz w:val="16"/>
                <w:szCs w:val="16"/>
              </w:rPr>
            </w:pPr>
          </w:p>
        </w:tc>
        <w:tc>
          <w:tcPr>
            <w:tcW w:w="1878" w:type="dxa"/>
          </w:tcPr>
          <w:p w14:paraId="1E9CA106" w14:textId="77777777" w:rsidR="00531570" w:rsidRPr="00D03F3E" w:rsidRDefault="00531570" w:rsidP="00D03F3E">
            <w:pPr>
              <w:pStyle w:val="Iauiue"/>
              <w:jc w:val="both"/>
              <w:rPr>
                <w:color w:val="000000" w:themeColor="text1"/>
                <w:sz w:val="16"/>
                <w:szCs w:val="16"/>
              </w:rPr>
            </w:pPr>
          </w:p>
        </w:tc>
        <w:tc>
          <w:tcPr>
            <w:tcW w:w="4822" w:type="dxa"/>
          </w:tcPr>
          <w:p w14:paraId="79DA30A7" w14:textId="77777777" w:rsidR="00531570" w:rsidRPr="00D03F3E" w:rsidRDefault="00531570" w:rsidP="00D03F3E">
            <w:pPr>
              <w:pStyle w:val="Iauiue"/>
              <w:jc w:val="both"/>
              <w:rPr>
                <w:color w:val="000000" w:themeColor="text1"/>
                <w:sz w:val="16"/>
                <w:szCs w:val="16"/>
              </w:rPr>
            </w:pPr>
          </w:p>
        </w:tc>
      </w:tr>
      <w:tr w:rsidR="00860B4B" w:rsidRPr="00D03F3E" w14:paraId="45910B9E" w14:textId="77777777">
        <w:tc>
          <w:tcPr>
            <w:tcW w:w="1878" w:type="dxa"/>
          </w:tcPr>
          <w:p w14:paraId="2D93E6E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номинал.</w:t>
            </w:r>
          </w:p>
        </w:tc>
        <w:tc>
          <w:tcPr>
            <w:tcW w:w="1878" w:type="dxa"/>
          </w:tcPr>
          <w:p w14:paraId="1E0E831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1850</w:t>
            </w:r>
          </w:p>
        </w:tc>
        <w:tc>
          <w:tcPr>
            <w:tcW w:w="1878" w:type="dxa"/>
          </w:tcPr>
          <w:p w14:paraId="2DC8BC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1500</w:t>
            </w:r>
          </w:p>
        </w:tc>
        <w:tc>
          <w:tcPr>
            <w:tcW w:w="4822" w:type="dxa"/>
          </w:tcPr>
          <w:p w14:paraId="08FF4F4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r>
      <w:tr w:rsidR="00860B4B" w:rsidRPr="00D03F3E" w14:paraId="5F43D746" w14:textId="77777777">
        <w:tc>
          <w:tcPr>
            <w:tcW w:w="1878" w:type="dxa"/>
          </w:tcPr>
          <w:p w14:paraId="6877886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То же при 3-х мин.</w:t>
            </w:r>
          </w:p>
        </w:tc>
        <w:tc>
          <w:tcPr>
            <w:tcW w:w="1878" w:type="dxa"/>
          </w:tcPr>
          <w:p w14:paraId="4CB90015" w14:textId="77777777" w:rsidR="00531570" w:rsidRPr="00D03F3E" w:rsidRDefault="00531570" w:rsidP="00D03F3E">
            <w:pPr>
              <w:pStyle w:val="Iauiue"/>
              <w:jc w:val="both"/>
              <w:rPr>
                <w:color w:val="000000" w:themeColor="text1"/>
                <w:sz w:val="16"/>
                <w:szCs w:val="16"/>
              </w:rPr>
            </w:pPr>
          </w:p>
        </w:tc>
        <w:tc>
          <w:tcPr>
            <w:tcW w:w="1878" w:type="dxa"/>
          </w:tcPr>
          <w:p w14:paraId="7044FA98" w14:textId="77777777" w:rsidR="00531570" w:rsidRPr="00D03F3E" w:rsidRDefault="00531570" w:rsidP="00D03F3E">
            <w:pPr>
              <w:pStyle w:val="Iauiue"/>
              <w:jc w:val="both"/>
              <w:rPr>
                <w:color w:val="000000" w:themeColor="text1"/>
                <w:sz w:val="16"/>
                <w:szCs w:val="16"/>
              </w:rPr>
            </w:pPr>
          </w:p>
        </w:tc>
        <w:tc>
          <w:tcPr>
            <w:tcW w:w="4822" w:type="dxa"/>
          </w:tcPr>
          <w:p w14:paraId="214E98AD" w14:textId="77777777" w:rsidR="00531570" w:rsidRPr="00D03F3E" w:rsidRDefault="00531570" w:rsidP="00D03F3E">
            <w:pPr>
              <w:pStyle w:val="Iauiue"/>
              <w:jc w:val="both"/>
              <w:rPr>
                <w:color w:val="000000" w:themeColor="text1"/>
                <w:sz w:val="16"/>
                <w:szCs w:val="16"/>
              </w:rPr>
            </w:pPr>
          </w:p>
        </w:tc>
      </w:tr>
      <w:tr w:rsidR="00860B4B" w:rsidRPr="00D03F3E" w14:paraId="07DA8528" w14:textId="77777777">
        <w:tc>
          <w:tcPr>
            <w:tcW w:w="1878" w:type="dxa"/>
          </w:tcPr>
          <w:p w14:paraId="48A67BA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Форсаже</w:t>
            </w:r>
          </w:p>
        </w:tc>
        <w:tc>
          <w:tcPr>
            <w:tcW w:w="1878" w:type="dxa"/>
          </w:tcPr>
          <w:p w14:paraId="35E1E29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1878" w:type="dxa"/>
          </w:tcPr>
          <w:p w14:paraId="35BDEA6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4822" w:type="dxa"/>
          </w:tcPr>
          <w:p w14:paraId="51D588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2000</w:t>
            </w:r>
          </w:p>
        </w:tc>
      </w:tr>
      <w:tr w:rsidR="00860B4B" w:rsidRPr="00D03F3E" w14:paraId="7749CFAA" w14:textId="77777777">
        <w:tc>
          <w:tcPr>
            <w:tcW w:w="1878" w:type="dxa"/>
          </w:tcPr>
          <w:p w14:paraId="6533163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у</w:t>
            </w:r>
          </w:p>
        </w:tc>
        <w:tc>
          <w:tcPr>
            <w:tcW w:w="1878" w:type="dxa"/>
          </w:tcPr>
          <w:p w14:paraId="73E7144A" w14:textId="77777777" w:rsidR="00531570" w:rsidRPr="00D03F3E" w:rsidRDefault="00531570" w:rsidP="00D03F3E">
            <w:pPr>
              <w:pStyle w:val="Iauiue"/>
              <w:jc w:val="both"/>
              <w:rPr>
                <w:color w:val="000000" w:themeColor="text1"/>
                <w:sz w:val="16"/>
                <w:szCs w:val="16"/>
              </w:rPr>
            </w:pPr>
          </w:p>
        </w:tc>
        <w:tc>
          <w:tcPr>
            <w:tcW w:w="1878" w:type="dxa"/>
          </w:tcPr>
          <w:p w14:paraId="03024775" w14:textId="77777777" w:rsidR="00531570" w:rsidRPr="00D03F3E" w:rsidRDefault="00531570" w:rsidP="00D03F3E">
            <w:pPr>
              <w:pStyle w:val="Iauiue"/>
              <w:jc w:val="both"/>
              <w:rPr>
                <w:color w:val="000000" w:themeColor="text1"/>
                <w:sz w:val="16"/>
                <w:szCs w:val="16"/>
              </w:rPr>
            </w:pPr>
          </w:p>
        </w:tc>
        <w:tc>
          <w:tcPr>
            <w:tcW w:w="4822" w:type="dxa"/>
          </w:tcPr>
          <w:p w14:paraId="097C0EA0" w14:textId="77777777" w:rsidR="00531570" w:rsidRPr="00D03F3E" w:rsidRDefault="00531570" w:rsidP="00D03F3E">
            <w:pPr>
              <w:pStyle w:val="Iauiue"/>
              <w:jc w:val="both"/>
              <w:rPr>
                <w:color w:val="000000" w:themeColor="text1"/>
                <w:sz w:val="16"/>
                <w:szCs w:val="16"/>
              </w:rPr>
            </w:pPr>
          </w:p>
        </w:tc>
      </w:tr>
      <w:tr w:rsidR="00860B4B" w:rsidRPr="00D03F3E" w14:paraId="34B16447" w14:textId="77777777">
        <w:tc>
          <w:tcPr>
            <w:tcW w:w="1878" w:type="dxa"/>
          </w:tcPr>
          <w:p w14:paraId="65B09E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земли (номин.)</w:t>
            </w:r>
          </w:p>
        </w:tc>
        <w:tc>
          <w:tcPr>
            <w:tcW w:w="1878" w:type="dxa"/>
          </w:tcPr>
          <w:p w14:paraId="43C8879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605</w:t>
            </w:r>
          </w:p>
        </w:tc>
        <w:tc>
          <w:tcPr>
            <w:tcW w:w="1878" w:type="dxa"/>
          </w:tcPr>
          <w:p w14:paraId="7F07A93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550</w:t>
            </w:r>
          </w:p>
        </w:tc>
        <w:tc>
          <w:tcPr>
            <w:tcW w:w="4822" w:type="dxa"/>
          </w:tcPr>
          <w:p w14:paraId="63F4782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r>
      <w:tr w:rsidR="00860B4B" w:rsidRPr="00D03F3E" w14:paraId="4B62A1B5" w14:textId="77777777">
        <w:tc>
          <w:tcPr>
            <w:tcW w:w="1878" w:type="dxa"/>
          </w:tcPr>
          <w:p w14:paraId="1460CCE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у</w:t>
            </w:r>
          </w:p>
        </w:tc>
        <w:tc>
          <w:tcPr>
            <w:tcW w:w="1878" w:type="dxa"/>
          </w:tcPr>
          <w:p w14:paraId="60A1EDAB" w14:textId="77777777" w:rsidR="00531570" w:rsidRPr="00D03F3E" w:rsidRDefault="00531570" w:rsidP="00D03F3E">
            <w:pPr>
              <w:pStyle w:val="Iauiue"/>
              <w:jc w:val="both"/>
              <w:rPr>
                <w:color w:val="000000" w:themeColor="text1"/>
                <w:sz w:val="16"/>
                <w:szCs w:val="16"/>
              </w:rPr>
            </w:pPr>
          </w:p>
        </w:tc>
        <w:tc>
          <w:tcPr>
            <w:tcW w:w="1878" w:type="dxa"/>
          </w:tcPr>
          <w:p w14:paraId="3F27AFF5" w14:textId="77777777" w:rsidR="00531570" w:rsidRPr="00D03F3E" w:rsidRDefault="00531570" w:rsidP="00D03F3E">
            <w:pPr>
              <w:pStyle w:val="Iauiue"/>
              <w:jc w:val="both"/>
              <w:rPr>
                <w:color w:val="000000" w:themeColor="text1"/>
                <w:sz w:val="16"/>
                <w:szCs w:val="16"/>
              </w:rPr>
            </w:pPr>
          </w:p>
        </w:tc>
        <w:tc>
          <w:tcPr>
            <w:tcW w:w="4822" w:type="dxa"/>
          </w:tcPr>
          <w:p w14:paraId="709626FD" w14:textId="77777777" w:rsidR="00531570" w:rsidRPr="00D03F3E" w:rsidRDefault="00531570" w:rsidP="00D03F3E">
            <w:pPr>
              <w:pStyle w:val="Iauiue"/>
              <w:jc w:val="both"/>
              <w:rPr>
                <w:color w:val="000000" w:themeColor="text1"/>
                <w:sz w:val="16"/>
                <w:szCs w:val="16"/>
              </w:rPr>
            </w:pPr>
          </w:p>
        </w:tc>
      </w:tr>
      <w:tr w:rsidR="00860B4B" w:rsidRPr="00D03F3E" w14:paraId="183B8ED4" w14:textId="77777777">
        <w:tc>
          <w:tcPr>
            <w:tcW w:w="1878" w:type="dxa"/>
          </w:tcPr>
          <w:p w14:paraId="21E288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земли (форс.)</w:t>
            </w:r>
          </w:p>
        </w:tc>
        <w:tc>
          <w:tcPr>
            <w:tcW w:w="1878" w:type="dxa"/>
          </w:tcPr>
          <w:p w14:paraId="0AA9D75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1878" w:type="dxa"/>
          </w:tcPr>
          <w:p w14:paraId="30B6CF8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575</w:t>
            </w:r>
          </w:p>
        </w:tc>
        <w:tc>
          <w:tcPr>
            <w:tcW w:w="4822" w:type="dxa"/>
          </w:tcPr>
          <w:p w14:paraId="7044BE0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610</w:t>
            </w:r>
          </w:p>
        </w:tc>
      </w:tr>
      <w:tr w:rsidR="00860B4B" w:rsidRPr="00D03F3E" w14:paraId="46C43843" w14:textId="77777777">
        <w:tc>
          <w:tcPr>
            <w:tcW w:w="1878" w:type="dxa"/>
          </w:tcPr>
          <w:p w14:paraId="3FE324F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Макс. Скорость</w:t>
            </w:r>
          </w:p>
        </w:tc>
        <w:tc>
          <w:tcPr>
            <w:tcW w:w="1878" w:type="dxa"/>
          </w:tcPr>
          <w:p w14:paraId="080E22A7" w14:textId="77777777" w:rsidR="00531570" w:rsidRPr="00D03F3E" w:rsidRDefault="00531570" w:rsidP="00D03F3E">
            <w:pPr>
              <w:pStyle w:val="Iauiue"/>
              <w:jc w:val="both"/>
              <w:rPr>
                <w:color w:val="000000" w:themeColor="text1"/>
                <w:sz w:val="16"/>
                <w:szCs w:val="16"/>
              </w:rPr>
            </w:pPr>
          </w:p>
        </w:tc>
        <w:tc>
          <w:tcPr>
            <w:tcW w:w="1878" w:type="dxa"/>
          </w:tcPr>
          <w:p w14:paraId="21540B01" w14:textId="77777777" w:rsidR="00531570" w:rsidRPr="00D03F3E" w:rsidRDefault="00531570" w:rsidP="00D03F3E">
            <w:pPr>
              <w:pStyle w:val="Iauiue"/>
              <w:jc w:val="both"/>
              <w:rPr>
                <w:color w:val="000000" w:themeColor="text1"/>
                <w:sz w:val="16"/>
                <w:szCs w:val="16"/>
              </w:rPr>
            </w:pPr>
          </w:p>
        </w:tc>
        <w:tc>
          <w:tcPr>
            <w:tcW w:w="4822" w:type="dxa"/>
          </w:tcPr>
          <w:p w14:paraId="3036F0E4" w14:textId="77777777" w:rsidR="00531570" w:rsidRPr="00D03F3E" w:rsidRDefault="00531570" w:rsidP="00D03F3E">
            <w:pPr>
              <w:pStyle w:val="Iauiue"/>
              <w:jc w:val="both"/>
              <w:rPr>
                <w:color w:val="000000" w:themeColor="text1"/>
                <w:sz w:val="16"/>
                <w:szCs w:val="16"/>
              </w:rPr>
            </w:pPr>
          </w:p>
        </w:tc>
      </w:tr>
      <w:tr w:rsidR="00860B4B" w:rsidRPr="00D03F3E" w14:paraId="305B40B7" w14:textId="77777777">
        <w:tc>
          <w:tcPr>
            <w:tcW w:w="1878" w:type="dxa"/>
          </w:tcPr>
          <w:p w14:paraId="70AF4F9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расч. Высоте</w:t>
            </w:r>
          </w:p>
        </w:tc>
        <w:tc>
          <w:tcPr>
            <w:tcW w:w="1878" w:type="dxa"/>
          </w:tcPr>
          <w:p w14:paraId="108D00E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650</w:t>
            </w:r>
          </w:p>
        </w:tc>
        <w:tc>
          <w:tcPr>
            <w:tcW w:w="1878" w:type="dxa"/>
          </w:tcPr>
          <w:p w14:paraId="0C67E4C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620</w:t>
            </w:r>
          </w:p>
        </w:tc>
        <w:tc>
          <w:tcPr>
            <w:tcW w:w="4822" w:type="dxa"/>
          </w:tcPr>
          <w:p w14:paraId="08BF5CE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685</w:t>
            </w:r>
          </w:p>
        </w:tc>
      </w:tr>
      <w:tr w:rsidR="00860B4B" w:rsidRPr="00D03F3E" w14:paraId="48539331" w14:textId="77777777">
        <w:tc>
          <w:tcPr>
            <w:tcW w:w="1878" w:type="dxa"/>
          </w:tcPr>
          <w:p w14:paraId="37CE749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Дальность на 0,9</w:t>
            </w:r>
          </w:p>
        </w:tc>
        <w:tc>
          <w:tcPr>
            <w:tcW w:w="1878" w:type="dxa"/>
          </w:tcPr>
          <w:p w14:paraId="065A881D" w14:textId="77777777" w:rsidR="00531570" w:rsidRPr="00D03F3E" w:rsidRDefault="00531570" w:rsidP="00D03F3E">
            <w:pPr>
              <w:pStyle w:val="Iauiue"/>
              <w:jc w:val="both"/>
              <w:rPr>
                <w:color w:val="000000" w:themeColor="text1"/>
                <w:sz w:val="16"/>
                <w:szCs w:val="16"/>
              </w:rPr>
            </w:pPr>
          </w:p>
        </w:tc>
        <w:tc>
          <w:tcPr>
            <w:tcW w:w="1878" w:type="dxa"/>
          </w:tcPr>
          <w:p w14:paraId="5A24852B" w14:textId="77777777" w:rsidR="00531570" w:rsidRPr="00D03F3E" w:rsidRDefault="00531570" w:rsidP="00D03F3E">
            <w:pPr>
              <w:pStyle w:val="Iauiue"/>
              <w:jc w:val="both"/>
              <w:rPr>
                <w:color w:val="000000" w:themeColor="text1"/>
                <w:sz w:val="16"/>
                <w:szCs w:val="16"/>
              </w:rPr>
            </w:pPr>
          </w:p>
        </w:tc>
        <w:tc>
          <w:tcPr>
            <w:tcW w:w="4822" w:type="dxa"/>
          </w:tcPr>
          <w:p w14:paraId="4615AB25" w14:textId="77777777" w:rsidR="00531570" w:rsidRPr="00D03F3E" w:rsidRDefault="00531570" w:rsidP="00D03F3E">
            <w:pPr>
              <w:pStyle w:val="Iauiue"/>
              <w:jc w:val="both"/>
              <w:rPr>
                <w:color w:val="000000" w:themeColor="text1"/>
                <w:sz w:val="16"/>
                <w:szCs w:val="16"/>
              </w:rPr>
            </w:pPr>
          </w:p>
        </w:tc>
      </w:tr>
      <w:tr w:rsidR="00860B4B" w:rsidRPr="00D03F3E" w14:paraId="20404E32" w14:textId="77777777">
        <w:tc>
          <w:tcPr>
            <w:tcW w:w="1878" w:type="dxa"/>
          </w:tcPr>
          <w:p w14:paraId="4942961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V макс.</w:t>
            </w:r>
          </w:p>
        </w:tc>
        <w:tc>
          <w:tcPr>
            <w:tcW w:w="1878" w:type="dxa"/>
          </w:tcPr>
          <w:p w14:paraId="1A84E1A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590</w:t>
            </w:r>
          </w:p>
        </w:tc>
        <w:tc>
          <w:tcPr>
            <w:tcW w:w="1878" w:type="dxa"/>
          </w:tcPr>
          <w:p w14:paraId="76D1695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610</w:t>
            </w:r>
          </w:p>
        </w:tc>
        <w:tc>
          <w:tcPr>
            <w:tcW w:w="4822" w:type="dxa"/>
          </w:tcPr>
          <w:p w14:paraId="5AC3AF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610</w:t>
            </w:r>
          </w:p>
        </w:tc>
      </w:tr>
      <w:tr w:rsidR="00860B4B" w:rsidRPr="00D03F3E" w14:paraId="59EB9A67" w14:textId="77777777">
        <w:tc>
          <w:tcPr>
            <w:tcW w:w="1878" w:type="dxa"/>
          </w:tcPr>
          <w:p w14:paraId="5E0491C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Диаметр винта</w:t>
            </w:r>
          </w:p>
        </w:tc>
        <w:tc>
          <w:tcPr>
            <w:tcW w:w="1878" w:type="dxa"/>
          </w:tcPr>
          <w:p w14:paraId="70587E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w:t>
            </w:r>
          </w:p>
        </w:tc>
        <w:tc>
          <w:tcPr>
            <w:tcW w:w="1878" w:type="dxa"/>
          </w:tcPr>
          <w:p w14:paraId="0E04F7E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w:t>
            </w:r>
          </w:p>
        </w:tc>
        <w:tc>
          <w:tcPr>
            <w:tcW w:w="4822" w:type="dxa"/>
          </w:tcPr>
          <w:p w14:paraId="6FA64D2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w:t>
            </w:r>
          </w:p>
        </w:tc>
      </w:tr>
      <w:tr w:rsidR="00860B4B" w:rsidRPr="00D03F3E" w14:paraId="501472AC" w14:textId="77777777">
        <w:tc>
          <w:tcPr>
            <w:tcW w:w="1878" w:type="dxa"/>
          </w:tcPr>
          <w:p w14:paraId="3E8F405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Число оборотов</w:t>
            </w:r>
          </w:p>
        </w:tc>
        <w:tc>
          <w:tcPr>
            <w:tcW w:w="1878" w:type="dxa"/>
          </w:tcPr>
          <w:p w14:paraId="18A49BDB" w14:textId="77777777" w:rsidR="00531570" w:rsidRPr="00D03F3E" w:rsidRDefault="00531570" w:rsidP="00D03F3E">
            <w:pPr>
              <w:pStyle w:val="Iauiue"/>
              <w:jc w:val="both"/>
              <w:rPr>
                <w:color w:val="000000" w:themeColor="text1"/>
                <w:sz w:val="16"/>
                <w:szCs w:val="16"/>
              </w:rPr>
            </w:pPr>
          </w:p>
        </w:tc>
        <w:tc>
          <w:tcPr>
            <w:tcW w:w="1878" w:type="dxa"/>
          </w:tcPr>
          <w:p w14:paraId="7DFBEE41" w14:textId="77777777" w:rsidR="00531570" w:rsidRPr="00D03F3E" w:rsidRDefault="00531570" w:rsidP="00D03F3E">
            <w:pPr>
              <w:pStyle w:val="Iauiue"/>
              <w:jc w:val="both"/>
              <w:rPr>
                <w:color w:val="000000" w:themeColor="text1"/>
                <w:sz w:val="16"/>
                <w:szCs w:val="16"/>
              </w:rPr>
            </w:pPr>
          </w:p>
        </w:tc>
        <w:tc>
          <w:tcPr>
            <w:tcW w:w="4822" w:type="dxa"/>
          </w:tcPr>
          <w:p w14:paraId="44F041AD" w14:textId="77777777" w:rsidR="00531570" w:rsidRPr="00D03F3E" w:rsidRDefault="00531570" w:rsidP="00D03F3E">
            <w:pPr>
              <w:pStyle w:val="Iauiue"/>
              <w:jc w:val="both"/>
              <w:rPr>
                <w:color w:val="000000" w:themeColor="text1"/>
                <w:sz w:val="16"/>
                <w:szCs w:val="16"/>
              </w:rPr>
            </w:pPr>
          </w:p>
        </w:tc>
      </w:tr>
      <w:tr w:rsidR="00860B4B" w:rsidRPr="00D03F3E" w14:paraId="7AF5C43A" w14:textId="77777777">
        <w:tc>
          <w:tcPr>
            <w:tcW w:w="1878" w:type="dxa"/>
          </w:tcPr>
          <w:p w14:paraId="3B800EB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винта при взлете</w:t>
            </w:r>
          </w:p>
        </w:tc>
        <w:tc>
          <w:tcPr>
            <w:tcW w:w="1878" w:type="dxa"/>
          </w:tcPr>
          <w:p w14:paraId="3AC27C3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1650</w:t>
            </w:r>
          </w:p>
        </w:tc>
        <w:tc>
          <w:tcPr>
            <w:tcW w:w="1878" w:type="dxa"/>
          </w:tcPr>
          <w:p w14:paraId="5223569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1350</w:t>
            </w:r>
          </w:p>
        </w:tc>
        <w:tc>
          <w:tcPr>
            <w:tcW w:w="4822" w:type="dxa"/>
          </w:tcPr>
          <w:p w14:paraId="30BDC33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1350</w:t>
            </w:r>
          </w:p>
        </w:tc>
      </w:tr>
      <w:tr w:rsidR="00860B4B" w:rsidRPr="00D03F3E" w14:paraId="338A1788" w14:textId="77777777">
        <w:tc>
          <w:tcPr>
            <w:tcW w:w="1878" w:type="dxa"/>
          </w:tcPr>
          <w:p w14:paraId="4175E35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Длина разбега</w:t>
            </w:r>
          </w:p>
        </w:tc>
        <w:tc>
          <w:tcPr>
            <w:tcW w:w="1878" w:type="dxa"/>
          </w:tcPr>
          <w:p w14:paraId="629EC38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310</w:t>
            </w:r>
          </w:p>
        </w:tc>
        <w:tc>
          <w:tcPr>
            <w:tcW w:w="1878" w:type="dxa"/>
          </w:tcPr>
          <w:p w14:paraId="7FC05D8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360</w:t>
            </w:r>
          </w:p>
        </w:tc>
        <w:tc>
          <w:tcPr>
            <w:tcW w:w="4822" w:type="dxa"/>
          </w:tcPr>
          <w:p w14:paraId="11D1AA9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340</w:t>
            </w:r>
          </w:p>
        </w:tc>
      </w:tr>
      <w:tr w:rsidR="00860B4B" w:rsidRPr="00D03F3E" w14:paraId="45C33C33" w14:textId="77777777">
        <w:tc>
          <w:tcPr>
            <w:tcW w:w="1878" w:type="dxa"/>
          </w:tcPr>
          <w:p w14:paraId="53B58A7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Время набора высоты</w:t>
            </w:r>
          </w:p>
        </w:tc>
        <w:tc>
          <w:tcPr>
            <w:tcW w:w="1878" w:type="dxa"/>
          </w:tcPr>
          <w:p w14:paraId="768E74DC" w14:textId="77777777" w:rsidR="00531570" w:rsidRPr="00D03F3E" w:rsidRDefault="00531570" w:rsidP="00D03F3E">
            <w:pPr>
              <w:pStyle w:val="Iauiue"/>
              <w:jc w:val="both"/>
              <w:rPr>
                <w:color w:val="000000" w:themeColor="text1"/>
                <w:sz w:val="16"/>
                <w:szCs w:val="16"/>
              </w:rPr>
            </w:pPr>
          </w:p>
        </w:tc>
        <w:tc>
          <w:tcPr>
            <w:tcW w:w="1878" w:type="dxa"/>
          </w:tcPr>
          <w:p w14:paraId="52261681" w14:textId="77777777" w:rsidR="00531570" w:rsidRPr="00D03F3E" w:rsidRDefault="00531570" w:rsidP="00D03F3E">
            <w:pPr>
              <w:pStyle w:val="Iauiue"/>
              <w:jc w:val="both"/>
              <w:rPr>
                <w:color w:val="000000" w:themeColor="text1"/>
                <w:sz w:val="16"/>
                <w:szCs w:val="16"/>
              </w:rPr>
            </w:pPr>
          </w:p>
        </w:tc>
        <w:tc>
          <w:tcPr>
            <w:tcW w:w="4822" w:type="dxa"/>
          </w:tcPr>
          <w:p w14:paraId="1A3A3300" w14:textId="77777777" w:rsidR="00531570" w:rsidRPr="00D03F3E" w:rsidRDefault="00531570" w:rsidP="00D03F3E">
            <w:pPr>
              <w:pStyle w:val="Iauiue"/>
              <w:jc w:val="both"/>
              <w:rPr>
                <w:color w:val="000000" w:themeColor="text1"/>
                <w:sz w:val="16"/>
                <w:szCs w:val="16"/>
              </w:rPr>
            </w:pPr>
          </w:p>
        </w:tc>
      </w:tr>
      <w:tr w:rsidR="00860B4B" w:rsidRPr="00D03F3E" w14:paraId="0C26B2F4" w14:textId="77777777">
        <w:tc>
          <w:tcPr>
            <w:tcW w:w="1878" w:type="dxa"/>
          </w:tcPr>
          <w:p w14:paraId="6DE9490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5000 м</w:t>
            </w:r>
          </w:p>
        </w:tc>
        <w:tc>
          <w:tcPr>
            <w:tcW w:w="1878" w:type="dxa"/>
          </w:tcPr>
          <w:p w14:paraId="29A30C2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w:t>
            </w:r>
          </w:p>
        </w:tc>
        <w:tc>
          <w:tcPr>
            <w:tcW w:w="1878" w:type="dxa"/>
          </w:tcPr>
          <w:p w14:paraId="6F15E4A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5,4</w:t>
            </w:r>
          </w:p>
        </w:tc>
        <w:tc>
          <w:tcPr>
            <w:tcW w:w="4822" w:type="dxa"/>
          </w:tcPr>
          <w:p w14:paraId="35F17B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4,7</w:t>
            </w:r>
          </w:p>
        </w:tc>
      </w:tr>
    </w:tbl>
    <w:p w14:paraId="43ABE17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Замена мотора на самолете Ла-5 на Райт R-2600 снижает скорости полета на всем диапазоне высот: у земли на 55 км/час (номинал) - 30 км/час (форсаж), на 2-й границе высотности на 30 км/час. Дальность полета на 0,9 макс. и время набора высоты 5000 м практически не меняются. Длина разбега увеличивается на 50 м.</w:t>
      </w:r>
    </w:p>
    <w:p w14:paraId="33F4FC6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Данные самолета Ла-5 с мотором Пратт-Уитни 2800 оказываются близкими к данным варианта этого самолета с М-71. Максимальная скорость на 2-й границе высотности увеличивается до 685 км/час, скорость у земли - до 610 км/час. Время набора высоты немного снижается (до 4,7 мин.0, дальность полета на 0,9 V макс. практически не изменяется.</w:t>
      </w:r>
    </w:p>
    <w:p w14:paraId="5884C0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Длина разбега оказывается на 30 м больше, чем при моторе М-82ФН.</w:t>
      </w:r>
    </w:p>
    <w:p w14:paraId="77E95FE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По самолету Пе-2.</w:t>
      </w:r>
    </w:p>
    <w:p w14:paraId="4F1199D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Сравнительные данные приведены в таблице: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1417"/>
        <w:gridCol w:w="1701"/>
        <w:gridCol w:w="3544"/>
      </w:tblGrid>
      <w:tr w:rsidR="00860B4B" w:rsidRPr="00D03F3E" w14:paraId="0BF1EF81" w14:textId="77777777">
        <w:tc>
          <w:tcPr>
            <w:tcW w:w="3794" w:type="dxa"/>
          </w:tcPr>
          <w:p w14:paraId="714743B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Мотор</w:t>
            </w:r>
          </w:p>
        </w:tc>
        <w:tc>
          <w:tcPr>
            <w:tcW w:w="1417" w:type="dxa"/>
          </w:tcPr>
          <w:p w14:paraId="55FE8ED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М-105ПФ</w:t>
            </w:r>
          </w:p>
        </w:tc>
        <w:tc>
          <w:tcPr>
            <w:tcW w:w="1701" w:type="dxa"/>
          </w:tcPr>
          <w:p w14:paraId="21B9A3C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Мерлин-20</w:t>
            </w:r>
          </w:p>
        </w:tc>
        <w:tc>
          <w:tcPr>
            <w:tcW w:w="3544" w:type="dxa"/>
          </w:tcPr>
          <w:p w14:paraId="69CD819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Аллисон 1710</w:t>
            </w:r>
          </w:p>
        </w:tc>
      </w:tr>
      <w:tr w:rsidR="00860B4B" w:rsidRPr="00D03F3E" w14:paraId="6E7A5D3D" w14:textId="77777777">
        <w:tc>
          <w:tcPr>
            <w:tcW w:w="3794" w:type="dxa"/>
          </w:tcPr>
          <w:p w14:paraId="5B7DD35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 сухого мотора</w:t>
            </w:r>
          </w:p>
        </w:tc>
        <w:tc>
          <w:tcPr>
            <w:tcW w:w="1417" w:type="dxa"/>
          </w:tcPr>
          <w:p w14:paraId="0520D81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600</w:t>
            </w:r>
          </w:p>
        </w:tc>
        <w:tc>
          <w:tcPr>
            <w:tcW w:w="1701" w:type="dxa"/>
          </w:tcPr>
          <w:p w14:paraId="580FBC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650</w:t>
            </w:r>
          </w:p>
        </w:tc>
        <w:tc>
          <w:tcPr>
            <w:tcW w:w="3544" w:type="dxa"/>
          </w:tcPr>
          <w:p w14:paraId="6ECDF69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635</w:t>
            </w:r>
          </w:p>
        </w:tc>
      </w:tr>
      <w:tr w:rsidR="00860B4B" w:rsidRPr="00D03F3E" w14:paraId="6838EF90" w14:textId="77777777">
        <w:tc>
          <w:tcPr>
            <w:tcW w:w="3794" w:type="dxa"/>
          </w:tcPr>
          <w:p w14:paraId="6757F18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Мидель мотора</w:t>
            </w:r>
          </w:p>
        </w:tc>
        <w:tc>
          <w:tcPr>
            <w:tcW w:w="1417" w:type="dxa"/>
          </w:tcPr>
          <w:p w14:paraId="33DAD34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0,74</w:t>
            </w:r>
          </w:p>
        </w:tc>
        <w:tc>
          <w:tcPr>
            <w:tcW w:w="1701" w:type="dxa"/>
          </w:tcPr>
          <w:p w14:paraId="6CE89DA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0,79</w:t>
            </w:r>
          </w:p>
        </w:tc>
        <w:tc>
          <w:tcPr>
            <w:tcW w:w="3544" w:type="dxa"/>
          </w:tcPr>
          <w:p w14:paraId="32F47BA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0,68</w:t>
            </w:r>
          </w:p>
        </w:tc>
      </w:tr>
      <w:tr w:rsidR="00860B4B" w:rsidRPr="00D03F3E" w14:paraId="6DD9C074" w14:textId="77777777">
        <w:tc>
          <w:tcPr>
            <w:tcW w:w="3794" w:type="dxa"/>
          </w:tcPr>
          <w:p w14:paraId="6B4B5A1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Мощность на 2-й</w:t>
            </w:r>
          </w:p>
        </w:tc>
        <w:tc>
          <w:tcPr>
            <w:tcW w:w="1417" w:type="dxa"/>
          </w:tcPr>
          <w:p w14:paraId="44CC7BC6" w14:textId="77777777" w:rsidR="00531570" w:rsidRPr="00D03F3E" w:rsidRDefault="00531570" w:rsidP="00D03F3E">
            <w:pPr>
              <w:pStyle w:val="Iauiue"/>
              <w:jc w:val="both"/>
              <w:rPr>
                <w:color w:val="000000" w:themeColor="text1"/>
                <w:sz w:val="16"/>
                <w:szCs w:val="16"/>
              </w:rPr>
            </w:pPr>
          </w:p>
        </w:tc>
        <w:tc>
          <w:tcPr>
            <w:tcW w:w="1701" w:type="dxa"/>
          </w:tcPr>
          <w:p w14:paraId="73B53D28" w14:textId="77777777" w:rsidR="00531570" w:rsidRPr="00D03F3E" w:rsidRDefault="00531570" w:rsidP="00D03F3E">
            <w:pPr>
              <w:pStyle w:val="Iauiue"/>
              <w:jc w:val="both"/>
              <w:rPr>
                <w:color w:val="000000" w:themeColor="text1"/>
                <w:sz w:val="16"/>
                <w:szCs w:val="16"/>
              </w:rPr>
            </w:pPr>
          </w:p>
        </w:tc>
        <w:tc>
          <w:tcPr>
            <w:tcW w:w="3544" w:type="dxa"/>
          </w:tcPr>
          <w:p w14:paraId="0AF82CC2" w14:textId="77777777" w:rsidR="00531570" w:rsidRPr="00D03F3E" w:rsidRDefault="00531570" w:rsidP="00D03F3E">
            <w:pPr>
              <w:pStyle w:val="Iauiue"/>
              <w:jc w:val="both"/>
              <w:rPr>
                <w:color w:val="000000" w:themeColor="text1"/>
                <w:sz w:val="16"/>
                <w:szCs w:val="16"/>
              </w:rPr>
            </w:pPr>
          </w:p>
        </w:tc>
      </w:tr>
      <w:tr w:rsidR="00860B4B" w:rsidRPr="00D03F3E" w14:paraId="20D71A2D" w14:textId="77777777">
        <w:tc>
          <w:tcPr>
            <w:tcW w:w="3794" w:type="dxa"/>
          </w:tcPr>
          <w:p w14:paraId="55B901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границе высотности</w:t>
            </w:r>
          </w:p>
        </w:tc>
        <w:tc>
          <w:tcPr>
            <w:tcW w:w="1417" w:type="dxa"/>
          </w:tcPr>
          <w:p w14:paraId="358AB3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1180</w:t>
            </w:r>
          </w:p>
        </w:tc>
        <w:tc>
          <w:tcPr>
            <w:tcW w:w="1701" w:type="dxa"/>
          </w:tcPr>
          <w:p w14:paraId="2520210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1200</w:t>
            </w:r>
          </w:p>
        </w:tc>
        <w:tc>
          <w:tcPr>
            <w:tcW w:w="3544" w:type="dxa"/>
          </w:tcPr>
          <w:p w14:paraId="5CA0D34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1150</w:t>
            </w:r>
          </w:p>
        </w:tc>
      </w:tr>
      <w:tr w:rsidR="00860B4B" w:rsidRPr="00D03F3E" w14:paraId="30321F2C" w14:textId="77777777">
        <w:tc>
          <w:tcPr>
            <w:tcW w:w="3794" w:type="dxa"/>
          </w:tcPr>
          <w:p w14:paraId="7713E4B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Расчетная высота</w:t>
            </w:r>
          </w:p>
        </w:tc>
        <w:tc>
          <w:tcPr>
            <w:tcW w:w="1417" w:type="dxa"/>
          </w:tcPr>
          <w:p w14:paraId="513A65C6" w14:textId="77777777" w:rsidR="00531570" w:rsidRPr="00D03F3E" w:rsidRDefault="00531570" w:rsidP="00D03F3E">
            <w:pPr>
              <w:pStyle w:val="Iauiue"/>
              <w:jc w:val="both"/>
              <w:rPr>
                <w:color w:val="000000" w:themeColor="text1"/>
                <w:sz w:val="16"/>
                <w:szCs w:val="16"/>
              </w:rPr>
            </w:pPr>
          </w:p>
        </w:tc>
        <w:tc>
          <w:tcPr>
            <w:tcW w:w="1701" w:type="dxa"/>
          </w:tcPr>
          <w:p w14:paraId="485F2B61" w14:textId="77777777" w:rsidR="00531570" w:rsidRPr="00D03F3E" w:rsidRDefault="00531570" w:rsidP="00D03F3E">
            <w:pPr>
              <w:pStyle w:val="Iauiue"/>
              <w:jc w:val="both"/>
              <w:rPr>
                <w:color w:val="000000" w:themeColor="text1"/>
                <w:sz w:val="16"/>
                <w:szCs w:val="16"/>
              </w:rPr>
            </w:pPr>
          </w:p>
        </w:tc>
        <w:tc>
          <w:tcPr>
            <w:tcW w:w="3544" w:type="dxa"/>
          </w:tcPr>
          <w:p w14:paraId="061008E6" w14:textId="77777777" w:rsidR="00531570" w:rsidRPr="00D03F3E" w:rsidRDefault="00531570" w:rsidP="00D03F3E">
            <w:pPr>
              <w:pStyle w:val="Iauiue"/>
              <w:jc w:val="both"/>
              <w:rPr>
                <w:color w:val="000000" w:themeColor="text1"/>
                <w:sz w:val="16"/>
                <w:szCs w:val="16"/>
              </w:rPr>
            </w:pPr>
          </w:p>
        </w:tc>
      </w:tr>
      <w:tr w:rsidR="00860B4B" w:rsidRPr="00D03F3E" w14:paraId="09D7CA42" w14:textId="77777777">
        <w:tc>
          <w:tcPr>
            <w:tcW w:w="3794" w:type="dxa"/>
          </w:tcPr>
          <w:p w14:paraId="0DE296A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учетом скорост.</w:t>
            </w:r>
          </w:p>
        </w:tc>
        <w:tc>
          <w:tcPr>
            <w:tcW w:w="1417" w:type="dxa"/>
          </w:tcPr>
          <w:p w14:paraId="48B96871" w14:textId="77777777" w:rsidR="00531570" w:rsidRPr="00D03F3E" w:rsidRDefault="00531570" w:rsidP="00D03F3E">
            <w:pPr>
              <w:pStyle w:val="Iauiue"/>
              <w:jc w:val="both"/>
              <w:rPr>
                <w:color w:val="000000" w:themeColor="text1"/>
                <w:sz w:val="16"/>
                <w:szCs w:val="16"/>
              </w:rPr>
            </w:pPr>
          </w:p>
        </w:tc>
        <w:tc>
          <w:tcPr>
            <w:tcW w:w="1701" w:type="dxa"/>
          </w:tcPr>
          <w:p w14:paraId="0BE89B9C" w14:textId="77777777" w:rsidR="00531570" w:rsidRPr="00D03F3E" w:rsidRDefault="00531570" w:rsidP="00D03F3E">
            <w:pPr>
              <w:pStyle w:val="Iauiue"/>
              <w:jc w:val="both"/>
              <w:rPr>
                <w:color w:val="000000" w:themeColor="text1"/>
                <w:sz w:val="16"/>
                <w:szCs w:val="16"/>
              </w:rPr>
            </w:pPr>
          </w:p>
        </w:tc>
        <w:tc>
          <w:tcPr>
            <w:tcW w:w="3544" w:type="dxa"/>
          </w:tcPr>
          <w:p w14:paraId="75A65A01" w14:textId="77777777" w:rsidR="00531570" w:rsidRPr="00D03F3E" w:rsidRDefault="00531570" w:rsidP="00D03F3E">
            <w:pPr>
              <w:pStyle w:val="Iauiue"/>
              <w:jc w:val="both"/>
              <w:rPr>
                <w:color w:val="000000" w:themeColor="text1"/>
                <w:sz w:val="16"/>
                <w:szCs w:val="16"/>
              </w:rPr>
            </w:pPr>
          </w:p>
        </w:tc>
      </w:tr>
      <w:tr w:rsidR="00860B4B" w:rsidRPr="00D03F3E" w14:paraId="7C7C041C" w14:textId="77777777">
        <w:tc>
          <w:tcPr>
            <w:tcW w:w="3794" w:type="dxa"/>
          </w:tcPr>
          <w:p w14:paraId="3676FD0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наддува)</w:t>
            </w:r>
          </w:p>
        </w:tc>
        <w:tc>
          <w:tcPr>
            <w:tcW w:w="1417" w:type="dxa"/>
          </w:tcPr>
          <w:p w14:paraId="0DD6A29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3600</w:t>
            </w:r>
          </w:p>
        </w:tc>
        <w:tc>
          <w:tcPr>
            <w:tcW w:w="1701" w:type="dxa"/>
          </w:tcPr>
          <w:p w14:paraId="7E28E7B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6500</w:t>
            </w:r>
          </w:p>
        </w:tc>
        <w:tc>
          <w:tcPr>
            <w:tcW w:w="3544" w:type="dxa"/>
          </w:tcPr>
          <w:p w14:paraId="024DC49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4850</w:t>
            </w:r>
          </w:p>
        </w:tc>
      </w:tr>
      <w:tr w:rsidR="00860B4B" w:rsidRPr="00D03F3E" w14:paraId="3E55D7AA" w14:textId="77777777">
        <w:tc>
          <w:tcPr>
            <w:tcW w:w="3794" w:type="dxa"/>
          </w:tcPr>
          <w:p w14:paraId="3CB6A0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Мощность у земли</w:t>
            </w:r>
          </w:p>
        </w:tc>
        <w:tc>
          <w:tcPr>
            <w:tcW w:w="1417" w:type="dxa"/>
          </w:tcPr>
          <w:p w14:paraId="4547C311" w14:textId="77777777" w:rsidR="00531570" w:rsidRPr="00D03F3E" w:rsidRDefault="00531570" w:rsidP="00D03F3E">
            <w:pPr>
              <w:pStyle w:val="Iauiue"/>
              <w:jc w:val="both"/>
              <w:rPr>
                <w:color w:val="000000" w:themeColor="text1"/>
                <w:sz w:val="16"/>
                <w:szCs w:val="16"/>
              </w:rPr>
            </w:pPr>
          </w:p>
        </w:tc>
        <w:tc>
          <w:tcPr>
            <w:tcW w:w="1701" w:type="dxa"/>
          </w:tcPr>
          <w:p w14:paraId="6D133465" w14:textId="77777777" w:rsidR="00531570" w:rsidRPr="00D03F3E" w:rsidRDefault="00531570" w:rsidP="00D03F3E">
            <w:pPr>
              <w:pStyle w:val="Iauiue"/>
              <w:jc w:val="both"/>
              <w:rPr>
                <w:color w:val="000000" w:themeColor="text1"/>
                <w:sz w:val="16"/>
                <w:szCs w:val="16"/>
              </w:rPr>
            </w:pPr>
          </w:p>
        </w:tc>
        <w:tc>
          <w:tcPr>
            <w:tcW w:w="3544" w:type="dxa"/>
          </w:tcPr>
          <w:p w14:paraId="14CE0300" w14:textId="77777777" w:rsidR="00531570" w:rsidRPr="00D03F3E" w:rsidRDefault="00531570" w:rsidP="00D03F3E">
            <w:pPr>
              <w:pStyle w:val="Iauiue"/>
              <w:jc w:val="both"/>
              <w:rPr>
                <w:color w:val="000000" w:themeColor="text1"/>
                <w:sz w:val="16"/>
                <w:szCs w:val="16"/>
              </w:rPr>
            </w:pPr>
          </w:p>
        </w:tc>
      </w:tr>
      <w:tr w:rsidR="00860B4B" w:rsidRPr="00D03F3E" w14:paraId="60FA695F" w14:textId="77777777">
        <w:tc>
          <w:tcPr>
            <w:tcW w:w="3794" w:type="dxa"/>
          </w:tcPr>
          <w:p w14:paraId="7E3F653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номин.</w:t>
            </w:r>
          </w:p>
        </w:tc>
        <w:tc>
          <w:tcPr>
            <w:tcW w:w="1417" w:type="dxa"/>
          </w:tcPr>
          <w:p w14:paraId="611B656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1210</w:t>
            </w:r>
          </w:p>
        </w:tc>
        <w:tc>
          <w:tcPr>
            <w:tcW w:w="1701" w:type="dxa"/>
          </w:tcPr>
          <w:p w14:paraId="730EA3B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1135</w:t>
            </w:r>
          </w:p>
        </w:tc>
        <w:tc>
          <w:tcPr>
            <w:tcW w:w="3544" w:type="dxa"/>
          </w:tcPr>
          <w:p w14:paraId="13ACA31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900</w:t>
            </w:r>
          </w:p>
        </w:tc>
      </w:tr>
      <w:tr w:rsidR="00860B4B" w:rsidRPr="00D03F3E" w14:paraId="0B89CF19" w14:textId="77777777">
        <w:tc>
          <w:tcPr>
            <w:tcW w:w="3794" w:type="dxa"/>
          </w:tcPr>
          <w:p w14:paraId="01A9598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То же при 3-х мин.</w:t>
            </w:r>
          </w:p>
        </w:tc>
        <w:tc>
          <w:tcPr>
            <w:tcW w:w="1417" w:type="dxa"/>
          </w:tcPr>
          <w:p w14:paraId="58DD293F" w14:textId="77777777" w:rsidR="00531570" w:rsidRPr="00D03F3E" w:rsidRDefault="00531570" w:rsidP="00D03F3E">
            <w:pPr>
              <w:pStyle w:val="Iauiue"/>
              <w:jc w:val="both"/>
              <w:rPr>
                <w:color w:val="000000" w:themeColor="text1"/>
                <w:sz w:val="16"/>
                <w:szCs w:val="16"/>
              </w:rPr>
            </w:pPr>
          </w:p>
        </w:tc>
        <w:tc>
          <w:tcPr>
            <w:tcW w:w="1701" w:type="dxa"/>
          </w:tcPr>
          <w:p w14:paraId="37844A7A" w14:textId="77777777" w:rsidR="00531570" w:rsidRPr="00D03F3E" w:rsidRDefault="00531570" w:rsidP="00D03F3E">
            <w:pPr>
              <w:pStyle w:val="Iauiue"/>
              <w:jc w:val="both"/>
              <w:rPr>
                <w:color w:val="000000" w:themeColor="text1"/>
                <w:sz w:val="16"/>
                <w:szCs w:val="16"/>
              </w:rPr>
            </w:pPr>
          </w:p>
        </w:tc>
        <w:tc>
          <w:tcPr>
            <w:tcW w:w="3544" w:type="dxa"/>
          </w:tcPr>
          <w:p w14:paraId="692A0189" w14:textId="77777777" w:rsidR="00531570" w:rsidRPr="00D03F3E" w:rsidRDefault="00531570" w:rsidP="00D03F3E">
            <w:pPr>
              <w:pStyle w:val="Iauiue"/>
              <w:jc w:val="both"/>
              <w:rPr>
                <w:color w:val="000000" w:themeColor="text1"/>
                <w:sz w:val="16"/>
                <w:szCs w:val="16"/>
              </w:rPr>
            </w:pPr>
          </w:p>
        </w:tc>
      </w:tr>
      <w:tr w:rsidR="00860B4B" w:rsidRPr="00D03F3E" w14:paraId="15C57AEC" w14:textId="77777777">
        <w:tc>
          <w:tcPr>
            <w:tcW w:w="3794" w:type="dxa"/>
          </w:tcPr>
          <w:p w14:paraId="40DA9BE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Форсаже</w:t>
            </w:r>
          </w:p>
        </w:tc>
        <w:tc>
          <w:tcPr>
            <w:tcW w:w="1417" w:type="dxa"/>
          </w:tcPr>
          <w:p w14:paraId="1D9B614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1701" w:type="dxa"/>
          </w:tcPr>
          <w:p w14:paraId="6CF0C14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1300</w:t>
            </w:r>
          </w:p>
        </w:tc>
        <w:tc>
          <w:tcPr>
            <w:tcW w:w="3544" w:type="dxa"/>
          </w:tcPr>
          <w:p w14:paraId="6B32C53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1135</w:t>
            </w:r>
          </w:p>
        </w:tc>
      </w:tr>
      <w:tr w:rsidR="00860B4B" w:rsidRPr="00D03F3E" w14:paraId="07D82474" w14:textId="77777777">
        <w:tc>
          <w:tcPr>
            <w:tcW w:w="3794" w:type="dxa"/>
          </w:tcPr>
          <w:p w14:paraId="5409676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у</w:t>
            </w:r>
          </w:p>
        </w:tc>
        <w:tc>
          <w:tcPr>
            <w:tcW w:w="1417" w:type="dxa"/>
          </w:tcPr>
          <w:p w14:paraId="07D0D90D" w14:textId="77777777" w:rsidR="00531570" w:rsidRPr="00D03F3E" w:rsidRDefault="00531570" w:rsidP="00D03F3E">
            <w:pPr>
              <w:pStyle w:val="Iauiue"/>
              <w:jc w:val="both"/>
              <w:rPr>
                <w:color w:val="000000" w:themeColor="text1"/>
                <w:sz w:val="16"/>
                <w:szCs w:val="16"/>
              </w:rPr>
            </w:pPr>
          </w:p>
        </w:tc>
        <w:tc>
          <w:tcPr>
            <w:tcW w:w="1701" w:type="dxa"/>
          </w:tcPr>
          <w:p w14:paraId="72237A26" w14:textId="77777777" w:rsidR="00531570" w:rsidRPr="00D03F3E" w:rsidRDefault="00531570" w:rsidP="00D03F3E">
            <w:pPr>
              <w:pStyle w:val="Iauiue"/>
              <w:jc w:val="both"/>
              <w:rPr>
                <w:color w:val="000000" w:themeColor="text1"/>
                <w:sz w:val="16"/>
                <w:szCs w:val="16"/>
              </w:rPr>
            </w:pPr>
          </w:p>
        </w:tc>
        <w:tc>
          <w:tcPr>
            <w:tcW w:w="3544" w:type="dxa"/>
          </w:tcPr>
          <w:p w14:paraId="5611E702" w14:textId="77777777" w:rsidR="00531570" w:rsidRPr="00D03F3E" w:rsidRDefault="00531570" w:rsidP="00D03F3E">
            <w:pPr>
              <w:pStyle w:val="Iauiue"/>
              <w:jc w:val="both"/>
              <w:rPr>
                <w:color w:val="000000" w:themeColor="text1"/>
                <w:sz w:val="16"/>
                <w:szCs w:val="16"/>
              </w:rPr>
            </w:pPr>
          </w:p>
        </w:tc>
      </w:tr>
      <w:tr w:rsidR="00860B4B" w:rsidRPr="00D03F3E" w14:paraId="53829C21" w14:textId="77777777">
        <w:tc>
          <w:tcPr>
            <w:tcW w:w="3794" w:type="dxa"/>
          </w:tcPr>
          <w:p w14:paraId="09FB18C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земли (номин.)</w:t>
            </w:r>
          </w:p>
        </w:tc>
        <w:tc>
          <w:tcPr>
            <w:tcW w:w="1417" w:type="dxa"/>
          </w:tcPr>
          <w:p w14:paraId="00F1A12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449</w:t>
            </w:r>
          </w:p>
        </w:tc>
        <w:tc>
          <w:tcPr>
            <w:tcW w:w="1701" w:type="dxa"/>
          </w:tcPr>
          <w:p w14:paraId="50C0CE8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438</w:t>
            </w:r>
          </w:p>
        </w:tc>
        <w:tc>
          <w:tcPr>
            <w:tcW w:w="3544" w:type="dxa"/>
          </w:tcPr>
          <w:p w14:paraId="0FBFFE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410</w:t>
            </w:r>
          </w:p>
        </w:tc>
      </w:tr>
      <w:tr w:rsidR="00860B4B" w:rsidRPr="00D03F3E" w14:paraId="1DB0BC8B" w14:textId="77777777">
        <w:tc>
          <w:tcPr>
            <w:tcW w:w="3794" w:type="dxa"/>
          </w:tcPr>
          <w:p w14:paraId="54AC828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у</w:t>
            </w:r>
          </w:p>
        </w:tc>
        <w:tc>
          <w:tcPr>
            <w:tcW w:w="1417" w:type="dxa"/>
          </w:tcPr>
          <w:p w14:paraId="7918DF31" w14:textId="77777777" w:rsidR="00531570" w:rsidRPr="00D03F3E" w:rsidRDefault="00531570" w:rsidP="00D03F3E">
            <w:pPr>
              <w:pStyle w:val="Iauiue"/>
              <w:jc w:val="both"/>
              <w:rPr>
                <w:color w:val="000000" w:themeColor="text1"/>
                <w:sz w:val="16"/>
                <w:szCs w:val="16"/>
              </w:rPr>
            </w:pPr>
          </w:p>
        </w:tc>
        <w:tc>
          <w:tcPr>
            <w:tcW w:w="1701" w:type="dxa"/>
          </w:tcPr>
          <w:p w14:paraId="4A374CB1" w14:textId="77777777" w:rsidR="00531570" w:rsidRPr="00D03F3E" w:rsidRDefault="00531570" w:rsidP="00D03F3E">
            <w:pPr>
              <w:pStyle w:val="Iauiue"/>
              <w:jc w:val="both"/>
              <w:rPr>
                <w:color w:val="000000" w:themeColor="text1"/>
                <w:sz w:val="16"/>
                <w:szCs w:val="16"/>
              </w:rPr>
            </w:pPr>
          </w:p>
        </w:tc>
        <w:tc>
          <w:tcPr>
            <w:tcW w:w="3544" w:type="dxa"/>
          </w:tcPr>
          <w:p w14:paraId="4685FFBC" w14:textId="77777777" w:rsidR="00531570" w:rsidRPr="00D03F3E" w:rsidRDefault="00531570" w:rsidP="00D03F3E">
            <w:pPr>
              <w:pStyle w:val="Iauiue"/>
              <w:jc w:val="both"/>
              <w:rPr>
                <w:color w:val="000000" w:themeColor="text1"/>
                <w:sz w:val="16"/>
                <w:szCs w:val="16"/>
              </w:rPr>
            </w:pPr>
          </w:p>
        </w:tc>
      </w:tr>
      <w:tr w:rsidR="00860B4B" w:rsidRPr="00D03F3E" w14:paraId="2E5DEF2D" w14:textId="77777777">
        <w:tc>
          <w:tcPr>
            <w:tcW w:w="3794" w:type="dxa"/>
          </w:tcPr>
          <w:p w14:paraId="203DF3E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земли (форс.)</w:t>
            </w:r>
          </w:p>
        </w:tc>
        <w:tc>
          <w:tcPr>
            <w:tcW w:w="1417" w:type="dxa"/>
          </w:tcPr>
          <w:p w14:paraId="03C2520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1701" w:type="dxa"/>
          </w:tcPr>
          <w:p w14:paraId="50D205C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460</w:t>
            </w:r>
          </w:p>
        </w:tc>
        <w:tc>
          <w:tcPr>
            <w:tcW w:w="3544" w:type="dxa"/>
          </w:tcPr>
          <w:p w14:paraId="24355DD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440</w:t>
            </w:r>
          </w:p>
        </w:tc>
      </w:tr>
      <w:tr w:rsidR="00860B4B" w:rsidRPr="00D03F3E" w14:paraId="5565AF86" w14:textId="77777777">
        <w:tc>
          <w:tcPr>
            <w:tcW w:w="3794" w:type="dxa"/>
          </w:tcPr>
          <w:p w14:paraId="64AD64A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на</w:t>
            </w:r>
          </w:p>
        </w:tc>
        <w:tc>
          <w:tcPr>
            <w:tcW w:w="1417" w:type="dxa"/>
          </w:tcPr>
          <w:p w14:paraId="6AFBCD5C" w14:textId="77777777" w:rsidR="00531570" w:rsidRPr="00D03F3E" w:rsidRDefault="00531570" w:rsidP="00D03F3E">
            <w:pPr>
              <w:pStyle w:val="Iauiue"/>
              <w:jc w:val="both"/>
              <w:rPr>
                <w:color w:val="000000" w:themeColor="text1"/>
                <w:sz w:val="16"/>
                <w:szCs w:val="16"/>
              </w:rPr>
            </w:pPr>
          </w:p>
        </w:tc>
        <w:tc>
          <w:tcPr>
            <w:tcW w:w="1701" w:type="dxa"/>
          </w:tcPr>
          <w:p w14:paraId="59022913" w14:textId="77777777" w:rsidR="00531570" w:rsidRPr="00D03F3E" w:rsidRDefault="00531570" w:rsidP="00D03F3E">
            <w:pPr>
              <w:pStyle w:val="Iauiue"/>
              <w:jc w:val="both"/>
              <w:rPr>
                <w:color w:val="000000" w:themeColor="text1"/>
                <w:sz w:val="16"/>
                <w:szCs w:val="16"/>
              </w:rPr>
            </w:pPr>
          </w:p>
        </w:tc>
        <w:tc>
          <w:tcPr>
            <w:tcW w:w="3544" w:type="dxa"/>
          </w:tcPr>
          <w:p w14:paraId="42EE920C" w14:textId="77777777" w:rsidR="00531570" w:rsidRPr="00D03F3E" w:rsidRDefault="00531570" w:rsidP="00D03F3E">
            <w:pPr>
              <w:pStyle w:val="Iauiue"/>
              <w:jc w:val="both"/>
              <w:rPr>
                <w:color w:val="000000" w:themeColor="text1"/>
                <w:sz w:val="16"/>
                <w:szCs w:val="16"/>
              </w:rPr>
            </w:pPr>
          </w:p>
        </w:tc>
      </w:tr>
      <w:tr w:rsidR="00860B4B" w:rsidRPr="00D03F3E" w14:paraId="43F72E36" w14:textId="77777777">
        <w:tc>
          <w:tcPr>
            <w:tcW w:w="3794" w:type="dxa"/>
          </w:tcPr>
          <w:p w14:paraId="390B875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расчетной высоте</w:t>
            </w:r>
          </w:p>
        </w:tc>
        <w:tc>
          <w:tcPr>
            <w:tcW w:w="1417" w:type="dxa"/>
          </w:tcPr>
          <w:p w14:paraId="0A54D2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528</w:t>
            </w:r>
          </w:p>
        </w:tc>
        <w:tc>
          <w:tcPr>
            <w:tcW w:w="1701" w:type="dxa"/>
          </w:tcPr>
          <w:p w14:paraId="732BB2C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585</w:t>
            </w:r>
          </w:p>
        </w:tc>
        <w:tc>
          <w:tcPr>
            <w:tcW w:w="3544" w:type="dxa"/>
          </w:tcPr>
          <w:p w14:paraId="6E761B0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540</w:t>
            </w:r>
          </w:p>
        </w:tc>
      </w:tr>
      <w:tr w:rsidR="00860B4B" w:rsidRPr="00D03F3E" w14:paraId="100D08D1" w14:textId="77777777">
        <w:tc>
          <w:tcPr>
            <w:tcW w:w="3794" w:type="dxa"/>
          </w:tcPr>
          <w:p w14:paraId="7CB4ABA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Дальность на 0,8</w:t>
            </w:r>
          </w:p>
        </w:tc>
        <w:tc>
          <w:tcPr>
            <w:tcW w:w="1417" w:type="dxa"/>
          </w:tcPr>
          <w:p w14:paraId="3A29FDEF" w14:textId="77777777" w:rsidR="00531570" w:rsidRPr="00D03F3E" w:rsidRDefault="00531570" w:rsidP="00D03F3E">
            <w:pPr>
              <w:pStyle w:val="Iauiue"/>
              <w:jc w:val="both"/>
              <w:rPr>
                <w:color w:val="000000" w:themeColor="text1"/>
                <w:sz w:val="16"/>
                <w:szCs w:val="16"/>
              </w:rPr>
            </w:pPr>
          </w:p>
        </w:tc>
        <w:tc>
          <w:tcPr>
            <w:tcW w:w="1701" w:type="dxa"/>
          </w:tcPr>
          <w:p w14:paraId="77FF92C3" w14:textId="77777777" w:rsidR="00531570" w:rsidRPr="00D03F3E" w:rsidRDefault="00531570" w:rsidP="00D03F3E">
            <w:pPr>
              <w:pStyle w:val="Iauiue"/>
              <w:jc w:val="both"/>
              <w:rPr>
                <w:color w:val="000000" w:themeColor="text1"/>
                <w:sz w:val="16"/>
                <w:szCs w:val="16"/>
              </w:rPr>
            </w:pPr>
          </w:p>
        </w:tc>
        <w:tc>
          <w:tcPr>
            <w:tcW w:w="3544" w:type="dxa"/>
          </w:tcPr>
          <w:p w14:paraId="22AE33FC" w14:textId="77777777" w:rsidR="00531570" w:rsidRPr="00D03F3E" w:rsidRDefault="00531570" w:rsidP="00D03F3E">
            <w:pPr>
              <w:pStyle w:val="Iauiue"/>
              <w:jc w:val="both"/>
              <w:rPr>
                <w:color w:val="000000" w:themeColor="text1"/>
                <w:sz w:val="16"/>
                <w:szCs w:val="16"/>
              </w:rPr>
            </w:pPr>
          </w:p>
        </w:tc>
      </w:tr>
      <w:tr w:rsidR="00860B4B" w:rsidRPr="00D03F3E" w14:paraId="2B892B17" w14:textId="77777777">
        <w:tc>
          <w:tcPr>
            <w:tcW w:w="3794" w:type="dxa"/>
          </w:tcPr>
          <w:p w14:paraId="5F17EB3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V макс.</w:t>
            </w:r>
          </w:p>
        </w:tc>
        <w:tc>
          <w:tcPr>
            <w:tcW w:w="1417" w:type="dxa"/>
          </w:tcPr>
          <w:p w14:paraId="33A7FDD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w:t>
            </w:r>
          </w:p>
        </w:tc>
        <w:tc>
          <w:tcPr>
            <w:tcW w:w="1701" w:type="dxa"/>
          </w:tcPr>
          <w:p w14:paraId="4EC1FEE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1070</w:t>
            </w:r>
          </w:p>
        </w:tc>
        <w:tc>
          <w:tcPr>
            <w:tcW w:w="3544" w:type="dxa"/>
          </w:tcPr>
          <w:p w14:paraId="035D40B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1200</w:t>
            </w:r>
          </w:p>
        </w:tc>
      </w:tr>
      <w:tr w:rsidR="00860B4B" w:rsidRPr="00D03F3E" w14:paraId="71893E2E" w14:textId="77777777">
        <w:tc>
          <w:tcPr>
            <w:tcW w:w="3794" w:type="dxa"/>
          </w:tcPr>
          <w:p w14:paraId="4846CD1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Диаметр винта</w:t>
            </w:r>
          </w:p>
        </w:tc>
        <w:tc>
          <w:tcPr>
            <w:tcW w:w="1417" w:type="dxa"/>
          </w:tcPr>
          <w:p w14:paraId="5F3622D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w:t>
            </w:r>
          </w:p>
        </w:tc>
        <w:tc>
          <w:tcPr>
            <w:tcW w:w="1701" w:type="dxa"/>
          </w:tcPr>
          <w:p w14:paraId="3AE2D91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3,3</w:t>
            </w:r>
          </w:p>
        </w:tc>
        <w:tc>
          <w:tcPr>
            <w:tcW w:w="3544" w:type="dxa"/>
          </w:tcPr>
          <w:p w14:paraId="2BAEF2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3,3</w:t>
            </w:r>
          </w:p>
        </w:tc>
      </w:tr>
      <w:tr w:rsidR="00860B4B" w:rsidRPr="00D03F3E" w14:paraId="67E3C4F9" w14:textId="77777777">
        <w:tc>
          <w:tcPr>
            <w:tcW w:w="3794" w:type="dxa"/>
          </w:tcPr>
          <w:p w14:paraId="392359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Число оборотов при</w:t>
            </w:r>
          </w:p>
        </w:tc>
        <w:tc>
          <w:tcPr>
            <w:tcW w:w="1417" w:type="dxa"/>
          </w:tcPr>
          <w:p w14:paraId="1C3CE20A" w14:textId="77777777" w:rsidR="00531570" w:rsidRPr="00D03F3E" w:rsidRDefault="00531570" w:rsidP="00D03F3E">
            <w:pPr>
              <w:pStyle w:val="Iauiue"/>
              <w:jc w:val="both"/>
              <w:rPr>
                <w:color w:val="000000" w:themeColor="text1"/>
                <w:sz w:val="16"/>
                <w:szCs w:val="16"/>
              </w:rPr>
            </w:pPr>
          </w:p>
        </w:tc>
        <w:tc>
          <w:tcPr>
            <w:tcW w:w="1701" w:type="dxa"/>
          </w:tcPr>
          <w:p w14:paraId="66B85B6B" w14:textId="77777777" w:rsidR="00531570" w:rsidRPr="00D03F3E" w:rsidRDefault="00531570" w:rsidP="00D03F3E">
            <w:pPr>
              <w:pStyle w:val="Iauiue"/>
              <w:jc w:val="both"/>
              <w:rPr>
                <w:color w:val="000000" w:themeColor="text1"/>
                <w:sz w:val="16"/>
                <w:szCs w:val="16"/>
              </w:rPr>
            </w:pPr>
          </w:p>
        </w:tc>
        <w:tc>
          <w:tcPr>
            <w:tcW w:w="3544" w:type="dxa"/>
          </w:tcPr>
          <w:p w14:paraId="49980424" w14:textId="77777777" w:rsidR="00531570" w:rsidRPr="00D03F3E" w:rsidRDefault="00531570" w:rsidP="00D03F3E">
            <w:pPr>
              <w:pStyle w:val="Iauiue"/>
              <w:jc w:val="both"/>
              <w:rPr>
                <w:color w:val="000000" w:themeColor="text1"/>
                <w:sz w:val="16"/>
                <w:szCs w:val="16"/>
              </w:rPr>
            </w:pPr>
          </w:p>
        </w:tc>
      </w:tr>
      <w:tr w:rsidR="00860B4B" w:rsidRPr="00D03F3E" w14:paraId="318C2904" w14:textId="77777777">
        <w:tc>
          <w:tcPr>
            <w:tcW w:w="3794" w:type="dxa"/>
          </w:tcPr>
          <w:p w14:paraId="280873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взлете</w:t>
            </w:r>
          </w:p>
        </w:tc>
        <w:tc>
          <w:tcPr>
            <w:tcW w:w="1417" w:type="dxa"/>
          </w:tcPr>
          <w:p w14:paraId="6752360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1800</w:t>
            </w:r>
          </w:p>
        </w:tc>
        <w:tc>
          <w:tcPr>
            <w:tcW w:w="1701" w:type="dxa"/>
          </w:tcPr>
          <w:p w14:paraId="57EFD30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1260</w:t>
            </w:r>
          </w:p>
        </w:tc>
        <w:tc>
          <w:tcPr>
            <w:tcW w:w="3544" w:type="dxa"/>
          </w:tcPr>
          <w:p w14:paraId="2680AD7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1550</w:t>
            </w:r>
          </w:p>
        </w:tc>
      </w:tr>
      <w:tr w:rsidR="00860B4B" w:rsidRPr="00D03F3E" w14:paraId="3BBB88C7" w14:textId="77777777">
        <w:tc>
          <w:tcPr>
            <w:tcW w:w="3794" w:type="dxa"/>
          </w:tcPr>
          <w:p w14:paraId="690E566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Длина разбега</w:t>
            </w:r>
          </w:p>
        </w:tc>
        <w:tc>
          <w:tcPr>
            <w:tcW w:w="1417" w:type="dxa"/>
          </w:tcPr>
          <w:p w14:paraId="66162A2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540</w:t>
            </w:r>
          </w:p>
        </w:tc>
        <w:tc>
          <w:tcPr>
            <w:tcW w:w="1701" w:type="dxa"/>
          </w:tcPr>
          <w:p w14:paraId="7B5BE77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690</w:t>
            </w:r>
          </w:p>
        </w:tc>
        <w:tc>
          <w:tcPr>
            <w:tcW w:w="3544" w:type="dxa"/>
          </w:tcPr>
          <w:p w14:paraId="0FCCB80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635</w:t>
            </w:r>
          </w:p>
        </w:tc>
      </w:tr>
      <w:tr w:rsidR="00860B4B" w:rsidRPr="00D03F3E" w14:paraId="7CF44451" w14:textId="77777777">
        <w:tc>
          <w:tcPr>
            <w:tcW w:w="3794" w:type="dxa"/>
          </w:tcPr>
          <w:p w14:paraId="247B1DA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Время набора высоты</w:t>
            </w:r>
          </w:p>
        </w:tc>
        <w:tc>
          <w:tcPr>
            <w:tcW w:w="1417" w:type="dxa"/>
          </w:tcPr>
          <w:p w14:paraId="222D3D9A" w14:textId="77777777" w:rsidR="00531570" w:rsidRPr="00D03F3E" w:rsidRDefault="00531570" w:rsidP="00D03F3E">
            <w:pPr>
              <w:pStyle w:val="Iauiue"/>
              <w:jc w:val="both"/>
              <w:rPr>
                <w:color w:val="000000" w:themeColor="text1"/>
                <w:sz w:val="16"/>
                <w:szCs w:val="16"/>
              </w:rPr>
            </w:pPr>
          </w:p>
        </w:tc>
        <w:tc>
          <w:tcPr>
            <w:tcW w:w="1701" w:type="dxa"/>
          </w:tcPr>
          <w:p w14:paraId="3CA0FDAF" w14:textId="77777777" w:rsidR="00531570" w:rsidRPr="00D03F3E" w:rsidRDefault="00531570" w:rsidP="00D03F3E">
            <w:pPr>
              <w:pStyle w:val="Iauiue"/>
              <w:jc w:val="both"/>
              <w:rPr>
                <w:color w:val="000000" w:themeColor="text1"/>
                <w:sz w:val="16"/>
                <w:szCs w:val="16"/>
              </w:rPr>
            </w:pPr>
          </w:p>
        </w:tc>
        <w:tc>
          <w:tcPr>
            <w:tcW w:w="3544" w:type="dxa"/>
          </w:tcPr>
          <w:p w14:paraId="0730FA05" w14:textId="77777777" w:rsidR="00531570" w:rsidRPr="00D03F3E" w:rsidRDefault="00531570" w:rsidP="00D03F3E">
            <w:pPr>
              <w:pStyle w:val="Iauiue"/>
              <w:jc w:val="both"/>
              <w:rPr>
                <w:color w:val="000000" w:themeColor="text1"/>
                <w:sz w:val="16"/>
                <w:szCs w:val="16"/>
              </w:rPr>
            </w:pPr>
          </w:p>
        </w:tc>
      </w:tr>
      <w:tr w:rsidR="00860B4B" w:rsidRPr="00D03F3E" w14:paraId="687819DB" w14:textId="77777777">
        <w:tc>
          <w:tcPr>
            <w:tcW w:w="3794" w:type="dxa"/>
          </w:tcPr>
          <w:p w14:paraId="41EDC19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5000 м</w:t>
            </w:r>
          </w:p>
        </w:tc>
        <w:tc>
          <w:tcPr>
            <w:tcW w:w="1417" w:type="dxa"/>
          </w:tcPr>
          <w:p w14:paraId="5928F34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8,4</w:t>
            </w:r>
          </w:p>
        </w:tc>
        <w:tc>
          <w:tcPr>
            <w:tcW w:w="1701" w:type="dxa"/>
          </w:tcPr>
          <w:p w14:paraId="1308FB4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7,6</w:t>
            </w:r>
          </w:p>
        </w:tc>
        <w:tc>
          <w:tcPr>
            <w:tcW w:w="3544" w:type="dxa"/>
          </w:tcPr>
          <w:p w14:paraId="5A9D880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8,3</w:t>
            </w:r>
          </w:p>
        </w:tc>
      </w:tr>
    </w:tbl>
    <w:p w14:paraId="6284D1E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Изменение летных данных самолета Пе-2 при постановке на него моторов Мерлин-20 и Аллисон V-1710 аналогично тому, что имело место на самолете Як-1. С мотором Мерлин-20 V макс. у земли близка к существующей, а на 2-й границе высотности возрастает до 585 км/час при значительном увеличении высоты полета - до 6500 м. Дальность полета при 0,8 V макс. увеличивается на 70 км, время набора высота 5000 м снижается на ~0,8 мин.</w:t>
      </w:r>
    </w:p>
    <w:p w14:paraId="1C767C7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Длина разбега возрастает на 150 м.</w:t>
      </w:r>
    </w:p>
    <w:p w14:paraId="0891B56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Летные данные с моторами Аллисон мало отличаются от летных данных с М-105ПФ.</w:t>
      </w:r>
    </w:p>
    <w:p w14:paraId="58E7FD0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По самолету Ил-4.</w:t>
      </w:r>
    </w:p>
    <w:p w14:paraId="56E3485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таблице приведены сравнительные данные самолета с моторами М-88Б, Райт R-2600 и Пратт-Уитни R-1820-33.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1417"/>
        <w:gridCol w:w="1701"/>
        <w:gridCol w:w="3544"/>
      </w:tblGrid>
      <w:tr w:rsidR="00860B4B" w:rsidRPr="00D03F3E" w14:paraId="28F7BDBA" w14:textId="77777777">
        <w:tc>
          <w:tcPr>
            <w:tcW w:w="3794" w:type="dxa"/>
          </w:tcPr>
          <w:p w14:paraId="685A238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Мотор</w:t>
            </w:r>
          </w:p>
        </w:tc>
        <w:tc>
          <w:tcPr>
            <w:tcW w:w="1417" w:type="dxa"/>
          </w:tcPr>
          <w:p w14:paraId="6512565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М-88Б</w:t>
            </w:r>
          </w:p>
        </w:tc>
        <w:tc>
          <w:tcPr>
            <w:tcW w:w="1701" w:type="dxa"/>
          </w:tcPr>
          <w:p w14:paraId="0B877FC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Райт 2600</w:t>
            </w:r>
          </w:p>
        </w:tc>
        <w:tc>
          <w:tcPr>
            <w:tcW w:w="3544" w:type="dxa"/>
          </w:tcPr>
          <w:p w14:paraId="683DE14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Пратт-Уитни</w:t>
            </w:r>
          </w:p>
        </w:tc>
      </w:tr>
      <w:tr w:rsidR="00860B4B" w:rsidRPr="00D03F3E" w14:paraId="206F87F3" w14:textId="77777777">
        <w:tc>
          <w:tcPr>
            <w:tcW w:w="3794" w:type="dxa"/>
          </w:tcPr>
          <w:p w14:paraId="4336621C" w14:textId="77777777" w:rsidR="00531570" w:rsidRPr="00D03F3E" w:rsidRDefault="00531570" w:rsidP="00D03F3E">
            <w:pPr>
              <w:pStyle w:val="Iauiue"/>
              <w:jc w:val="both"/>
              <w:rPr>
                <w:color w:val="000000" w:themeColor="text1"/>
                <w:sz w:val="16"/>
                <w:szCs w:val="16"/>
              </w:rPr>
            </w:pPr>
          </w:p>
        </w:tc>
        <w:tc>
          <w:tcPr>
            <w:tcW w:w="1417" w:type="dxa"/>
          </w:tcPr>
          <w:p w14:paraId="185EA856" w14:textId="77777777" w:rsidR="00531570" w:rsidRPr="00D03F3E" w:rsidRDefault="00531570" w:rsidP="00D03F3E">
            <w:pPr>
              <w:pStyle w:val="Iauiue"/>
              <w:jc w:val="both"/>
              <w:rPr>
                <w:color w:val="000000" w:themeColor="text1"/>
                <w:sz w:val="16"/>
                <w:szCs w:val="16"/>
              </w:rPr>
            </w:pPr>
          </w:p>
        </w:tc>
        <w:tc>
          <w:tcPr>
            <w:tcW w:w="1701" w:type="dxa"/>
          </w:tcPr>
          <w:p w14:paraId="026CAEC2" w14:textId="77777777" w:rsidR="00531570" w:rsidRPr="00D03F3E" w:rsidRDefault="00531570" w:rsidP="00D03F3E">
            <w:pPr>
              <w:pStyle w:val="Iauiue"/>
              <w:jc w:val="both"/>
              <w:rPr>
                <w:color w:val="000000" w:themeColor="text1"/>
                <w:sz w:val="16"/>
                <w:szCs w:val="16"/>
              </w:rPr>
            </w:pPr>
          </w:p>
        </w:tc>
        <w:tc>
          <w:tcPr>
            <w:tcW w:w="3544" w:type="dxa"/>
          </w:tcPr>
          <w:p w14:paraId="1E78EED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R-1830-33</w:t>
            </w:r>
          </w:p>
        </w:tc>
      </w:tr>
      <w:tr w:rsidR="00860B4B" w:rsidRPr="00D03F3E" w14:paraId="17D0CE54" w14:textId="77777777">
        <w:tc>
          <w:tcPr>
            <w:tcW w:w="3794" w:type="dxa"/>
          </w:tcPr>
          <w:p w14:paraId="71BF3796" w14:textId="77777777" w:rsidR="00531570" w:rsidRPr="00D03F3E" w:rsidRDefault="00531570" w:rsidP="00D03F3E">
            <w:pPr>
              <w:pStyle w:val="Iauiue"/>
              <w:jc w:val="both"/>
              <w:rPr>
                <w:color w:val="000000" w:themeColor="text1"/>
                <w:sz w:val="16"/>
                <w:szCs w:val="16"/>
              </w:rPr>
            </w:pPr>
          </w:p>
        </w:tc>
        <w:tc>
          <w:tcPr>
            <w:tcW w:w="1417" w:type="dxa"/>
          </w:tcPr>
          <w:p w14:paraId="4FC46C2E" w14:textId="77777777" w:rsidR="00531570" w:rsidRPr="00D03F3E" w:rsidRDefault="00531570" w:rsidP="00D03F3E">
            <w:pPr>
              <w:pStyle w:val="Iauiue"/>
              <w:jc w:val="both"/>
              <w:rPr>
                <w:color w:val="000000" w:themeColor="text1"/>
                <w:sz w:val="16"/>
                <w:szCs w:val="16"/>
              </w:rPr>
            </w:pPr>
          </w:p>
        </w:tc>
        <w:tc>
          <w:tcPr>
            <w:tcW w:w="1701" w:type="dxa"/>
          </w:tcPr>
          <w:p w14:paraId="3D76EFC3" w14:textId="77777777" w:rsidR="00531570" w:rsidRPr="00D03F3E" w:rsidRDefault="00531570" w:rsidP="00D03F3E">
            <w:pPr>
              <w:pStyle w:val="Iauiue"/>
              <w:jc w:val="both"/>
              <w:rPr>
                <w:color w:val="000000" w:themeColor="text1"/>
                <w:sz w:val="16"/>
                <w:szCs w:val="16"/>
              </w:rPr>
            </w:pPr>
          </w:p>
        </w:tc>
        <w:tc>
          <w:tcPr>
            <w:tcW w:w="3544" w:type="dxa"/>
          </w:tcPr>
          <w:p w14:paraId="16D8D78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т.К.)</w:t>
            </w:r>
          </w:p>
        </w:tc>
      </w:tr>
      <w:tr w:rsidR="00860B4B" w:rsidRPr="00D03F3E" w14:paraId="3EB2F90C" w14:textId="77777777">
        <w:tc>
          <w:tcPr>
            <w:tcW w:w="3794" w:type="dxa"/>
          </w:tcPr>
          <w:p w14:paraId="40882B2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 сухого мотора</w:t>
            </w:r>
          </w:p>
        </w:tc>
        <w:tc>
          <w:tcPr>
            <w:tcW w:w="1417" w:type="dxa"/>
          </w:tcPr>
          <w:p w14:paraId="42EC71A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684</w:t>
            </w:r>
          </w:p>
        </w:tc>
        <w:tc>
          <w:tcPr>
            <w:tcW w:w="1701" w:type="dxa"/>
          </w:tcPr>
          <w:p w14:paraId="03D1D30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900</w:t>
            </w:r>
          </w:p>
        </w:tc>
        <w:tc>
          <w:tcPr>
            <w:tcW w:w="3544" w:type="dxa"/>
          </w:tcPr>
          <w:p w14:paraId="2398F9C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720</w:t>
            </w:r>
          </w:p>
        </w:tc>
      </w:tr>
      <w:tr w:rsidR="00860B4B" w:rsidRPr="00D03F3E" w14:paraId="2B799A51" w14:textId="77777777">
        <w:tc>
          <w:tcPr>
            <w:tcW w:w="3794" w:type="dxa"/>
          </w:tcPr>
          <w:p w14:paraId="73090C3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Мидель мотора</w:t>
            </w:r>
          </w:p>
        </w:tc>
        <w:tc>
          <w:tcPr>
            <w:tcW w:w="1417" w:type="dxa"/>
          </w:tcPr>
          <w:p w14:paraId="3D265F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1,32</w:t>
            </w:r>
          </w:p>
        </w:tc>
        <w:tc>
          <w:tcPr>
            <w:tcW w:w="1701" w:type="dxa"/>
          </w:tcPr>
          <w:p w14:paraId="0419D4F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1,50</w:t>
            </w:r>
          </w:p>
        </w:tc>
        <w:tc>
          <w:tcPr>
            <w:tcW w:w="3544" w:type="dxa"/>
          </w:tcPr>
          <w:p w14:paraId="6E0AB2C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1,37</w:t>
            </w:r>
          </w:p>
        </w:tc>
      </w:tr>
      <w:tr w:rsidR="00860B4B" w:rsidRPr="00D03F3E" w14:paraId="47333695" w14:textId="77777777">
        <w:tc>
          <w:tcPr>
            <w:tcW w:w="3794" w:type="dxa"/>
          </w:tcPr>
          <w:p w14:paraId="7321F26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Мощность на 2-й</w:t>
            </w:r>
          </w:p>
        </w:tc>
        <w:tc>
          <w:tcPr>
            <w:tcW w:w="1417" w:type="dxa"/>
          </w:tcPr>
          <w:p w14:paraId="785D8FF1" w14:textId="77777777" w:rsidR="00531570" w:rsidRPr="00D03F3E" w:rsidRDefault="00531570" w:rsidP="00D03F3E">
            <w:pPr>
              <w:pStyle w:val="Iauiue"/>
              <w:jc w:val="both"/>
              <w:rPr>
                <w:color w:val="000000" w:themeColor="text1"/>
                <w:sz w:val="16"/>
                <w:szCs w:val="16"/>
              </w:rPr>
            </w:pPr>
          </w:p>
        </w:tc>
        <w:tc>
          <w:tcPr>
            <w:tcW w:w="1701" w:type="dxa"/>
          </w:tcPr>
          <w:p w14:paraId="3867FCAC" w14:textId="77777777" w:rsidR="00531570" w:rsidRPr="00D03F3E" w:rsidRDefault="00531570" w:rsidP="00D03F3E">
            <w:pPr>
              <w:pStyle w:val="Iauiue"/>
              <w:jc w:val="both"/>
              <w:rPr>
                <w:color w:val="000000" w:themeColor="text1"/>
                <w:sz w:val="16"/>
                <w:szCs w:val="16"/>
              </w:rPr>
            </w:pPr>
          </w:p>
        </w:tc>
        <w:tc>
          <w:tcPr>
            <w:tcW w:w="3544" w:type="dxa"/>
          </w:tcPr>
          <w:p w14:paraId="08553086" w14:textId="77777777" w:rsidR="00531570" w:rsidRPr="00D03F3E" w:rsidRDefault="00531570" w:rsidP="00D03F3E">
            <w:pPr>
              <w:pStyle w:val="Iauiue"/>
              <w:jc w:val="both"/>
              <w:rPr>
                <w:color w:val="000000" w:themeColor="text1"/>
                <w:sz w:val="16"/>
                <w:szCs w:val="16"/>
              </w:rPr>
            </w:pPr>
          </w:p>
        </w:tc>
      </w:tr>
      <w:tr w:rsidR="00860B4B" w:rsidRPr="00D03F3E" w14:paraId="47D0D500" w14:textId="77777777">
        <w:tc>
          <w:tcPr>
            <w:tcW w:w="3794" w:type="dxa"/>
          </w:tcPr>
          <w:p w14:paraId="12C1CAE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границе высотности</w:t>
            </w:r>
          </w:p>
        </w:tc>
        <w:tc>
          <w:tcPr>
            <w:tcW w:w="1417" w:type="dxa"/>
          </w:tcPr>
          <w:p w14:paraId="2F927C9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w:t>
            </w:r>
          </w:p>
        </w:tc>
        <w:tc>
          <w:tcPr>
            <w:tcW w:w="1701" w:type="dxa"/>
          </w:tcPr>
          <w:p w14:paraId="21C2002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1450</w:t>
            </w:r>
          </w:p>
        </w:tc>
        <w:tc>
          <w:tcPr>
            <w:tcW w:w="3544" w:type="dxa"/>
          </w:tcPr>
          <w:p w14:paraId="2A8B949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850 (с ТК)</w:t>
            </w:r>
          </w:p>
        </w:tc>
      </w:tr>
      <w:tr w:rsidR="00860B4B" w:rsidRPr="00D03F3E" w14:paraId="677CFE1D" w14:textId="77777777">
        <w:tc>
          <w:tcPr>
            <w:tcW w:w="3794" w:type="dxa"/>
          </w:tcPr>
          <w:p w14:paraId="318840E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Расчетная высота</w:t>
            </w:r>
          </w:p>
        </w:tc>
        <w:tc>
          <w:tcPr>
            <w:tcW w:w="1417" w:type="dxa"/>
          </w:tcPr>
          <w:p w14:paraId="532EF14D" w14:textId="77777777" w:rsidR="00531570" w:rsidRPr="00D03F3E" w:rsidRDefault="00531570" w:rsidP="00D03F3E">
            <w:pPr>
              <w:pStyle w:val="Iauiue"/>
              <w:jc w:val="both"/>
              <w:rPr>
                <w:color w:val="000000" w:themeColor="text1"/>
                <w:sz w:val="16"/>
                <w:szCs w:val="16"/>
              </w:rPr>
            </w:pPr>
          </w:p>
        </w:tc>
        <w:tc>
          <w:tcPr>
            <w:tcW w:w="1701" w:type="dxa"/>
          </w:tcPr>
          <w:p w14:paraId="4AEBFBD3" w14:textId="77777777" w:rsidR="00531570" w:rsidRPr="00D03F3E" w:rsidRDefault="00531570" w:rsidP="00D03F3E">
            <w:pPr>
              <w:pStyle w:val="Iauiue"/>
              <w:jc w:val="both"/>
              <w:rPr>
                <w:color w:val="000000" w:themeColor="text1"/>
                <w:sz w:val="16"/>
                <w:szCs w:val="16"/>
              </w:rPr>
            </w:pPr>
          </w:p>
        </w:tc>
        <w:tc>
          <w:tcPr>
            <w:tcW w:w="3544" w:type="dxa"/>
          </w:tcPr>
          <w:p w14:paraId="5A28BA39" w14:textId="77777777" w:rsidR="00531570" w:rsidRPr="00D03F3E" w:rsidRDefault="00531570" w:rsidP="00D03F3E">
            <w:pPr>
              <w:pStyle w:val="Iauiue"/>
              <w:jc w:val="both"/>
              <w:rPr>
                <w:color w:val="000000" w:themeColor="text1"/>
                <w:sz w:val="16"/>
                <w:szCs w:val="16"/>
              </w:rPr>
            </w:pPr>
          </w:p>
        </w:tc>
      </w:tr>
      <w:tr w:rsidR="00860B4B" w:rsidRPr="00D03F3E" w14:paraId="209B6A2B" w14:textId="77777777">
        <w:tc>
          <w:tcPr>
            <w:tcW w:w="3794" w:type="dxa"/>
          </w:tcPr>
          <w:p w14:paraId="412D7D7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учетом скорост.</w:t>
            </w:r>
          </w:p>
        </w:tc>
        <w:tc>
          <w:tcPr>
            <w:tcW w:w="1417" w:type="dxa"/>
          </w:tcPr>
          <w:p w14:paraId="093343C2" w14:textId="77777777" w:rsidR="00531570" w:rsidRPr="00D03F3E" w:rsidRDefault="00531570" w:rsidP="00D03F3E">
            <w:pPr>
              <w:pStyle w:val="Iauiue"/>
              <w:jc w:val="both"/>
              <w:rPr>
                <w:color w:val="000000" w:themeColor="text1"/>
                <w:sz w:val="16"/>
                <w:szCs w:val="16"/>
              </w:rPr>
            </w:pPr>
          </w:p>
        </w:tc>
        <w:tc>
          <w:tcPr>
            <w:tcW w:w="1701" w:type="dxa"/>
          </w:tcPr>
          <w:p w14:paraId="0EBB10D1" w14:textId="77777777" w:rsidR="00531570" w:rsidRPr="00D03F3E" w:rsidRDefault="00531570" w:rsidP="00D03F3E">
            <w:pPr>
              <w:pStyle w:val="Iauiue"/>
              <w:jc w:val="both"/>
              <w:rPr>
                <w:color w:val="000000" w:themeColor="text1"/>
                <w:sz w:val="16"/>
                <w:szCs w:val="16"/>
              </w:rPr>
            </w:pPr>
          </w:p>
        </w:tc>
        <w:tc>
          <w:tcPr>
            <w:tcW w:w="3544" w:type="dxa"/>
          </w:tcPr>
          <w:p w14:paraId="3980E344" w14:textId="77777777" w:rsidR="00531570" w:rsidRPr="00D03F3E" w:rsidRDefault="00531570" w:rsidP="00D03F3E">
            <w:pPr>
              <w:pStyle w:val="Iauiue"/>
              <w:jc w:val="both"/>
              <w:rPr>
                <w:color w:val="000000" w:themeColor="text1"/>
                <w:sz w:val="16"/>
                <w:szCs w:val="16"/>
              </w:rPr>
            </w:pPr>
          </w:p>
        </w:tc>
      </w:tr>
      <w:tr w:rsidR="00860B4B" w:rsidRPr="00D03F3E" w14:paraId="5B4D6BE1" w14:textId="77777777">
        <w:tc>
          <w:tcPr>
            <w:tcW w:w="3794" w:type="dxa"/>
          </w:tcPr>
          <w:p w14:paraId="0544AB8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наддува)</w:t>
            </w:r>
          </w:p>
        </w:tc>
        <w:tc>
          <w:tcPr>
            <w:tcW w:w="1417" w:type="dxa"/>
          </w:tcPr>
          <w:p w14:paraId="3674D42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6600</w:t>
            </w:r>
          </w:p>
        </w:tc>
        <w:tc>
          <w:tcPr>
            <w:tcW w:w="1701" w:type="dxa"/>
          </w:tcPr>
          <w:p w14:paraId="3AFA9C0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4400</w:t>
            </w:r>
          </w:p>
        </w:tc>
        <w:tc>
          <w:tcPr>
            <w:tcW w:w="3544" w:type="dxa"/>
          </w:tcPr>
          <w:p w14:paraId="3B41830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8300</w:t>
            </w:r>
          </w:p>
        </w:tc>
      </w:tr>
      <w:tr w:rsidR="00860B4B" w:rsidRPr="00D03F3E" w14:paraId="5955E3EE" w14:textId="77777777">
        <w:tc>
          <w:tcPr>
            <w:tcW w:w="3794" w:type="dxa"/>
          </w:tcPr>
          <w:p w14:paraId="44306EA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Мощность у земли</w:t>
            </w:r>
          </w:p>
        </w:tc>
        <w:tc>
          <w:tcPr>
            <w:tcW w:w="1417" w:type="dxa"/>
          </w:tcPr>
          <w:p w14:paraId="1110F2CE" w14:textId="77777777" w:rsidR="00531570" w:rsidRPr="00D03F3E" w:rsidRDefault="00531570" w:rsidP="00D03F3E">
            <w:pPr>
              <w:pStyle w:val="Iauiue"/>
              <w:jc w:val="both"/>
              <w:rPr>
                <w:color w:val="000000" w:themeColor="text1"/>
                <w:sz w:val="16"/>
                <w:szCs w:val="16"/>
              </w:rPr>
            </w:pPr>
          </w:p>
        </w:tc>
        <w:tc>
          <w:tcPr>
            <w:tcW w:w="1701" w:type="dxa"/>
          </w:tcPr>
          <w:p w14:paraId="523F73EB" w14:textId="77777777" w:rsidR="00531570" w:rsidRPr="00D03F3E" w:rsidRDefault="00531570" w:rsidP="00D03F3E">
            <w:pPr>
              <w:pStyle w:val="Iauiue"/>
              <w:jc w:val="both"/>
              <w:rPr>
                <w:color w:val="000000" w:themeColor="text1"/>
                <w:sz w:val="16"/>
                <w:szCs w:val="16"/>
              </w:rPr>
            </w:pPr>
          </w:p>
        </w:tc>
        <w:tc>
          <w:tcPr>
            <w:tcW w:w="3544" w:type="dxa"/>
          </w:tcPr>
          <w:p w14:paraId="674EE937" w14:textId="77777777" w:rsidR="00531570" w:rsidRPr="00D03F3E" w:rsidRDefault="00531570" w:rsidP="00D03F3E">
            <w:pPr>
              <w:pStyle w:val="Iauiue"/>
              <w:jc w:val="both"/>
              <w:rPr>
                <w:color w:val="000000" w:themeColor="text1"/>
                <w:sz w:val="16"/>
                <w:szCs w:val="16"/>
              </w:rPr>
            </w:pPr>
          </w:p>
        </w:tc>
      </w:tr>
      <w:tr w:rsidR="00860B4B" w:rsidRPr="00D03F3E" w14:paraId="51A66894" w14:textId="77777777">
        <w:tc>
          <w:tcPr>
            <w:tcW w:w="3794" w:type="dxa"/>
          </w:tcPr>
          <w:p w14:paraId="4F16127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номинальная</w:t>
            </w:r>
          </w:p>
        </w:tc>
        <w:tc>
          <w:tcPr>
            <w:tcW w:w="1417" w:type="dxa"/>
          </w:tcPr>
          <w:p w14:paraId="1CCEC2A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950</w:t>
            </w:r>
          </w:p>
        </w:tc>
        <w:tc>
          <w:tcPr>
            <w:tcW w:w="1701" w:type="dxa"/>
          </w:tcPr>
          <w:p w14:paraId="430F858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1500</w:t>
            </w:r>
          </w:p>
        </w:tc>
        <w:tc>
          <w:tcPr>
            <w:tcW w:w="3544" w:type="dxa"/>
          </w:tcPr>
          <w:p w14:paraId="45831AC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1060</w:t>
            </w:r>
          </w:p>
        </w:tc>
      </w:tr>
      <w:tr w:rsidR="00860B4B" w:rsidRPr="00D03F3E" w14:paraId="68F963F4" w14:textId="77777777">
        <w:tc>
          <w:tcPr>
            <w:tcW w:w="3794" w:type="dxa"/>
          </w:tcPr>
          <w:p w14:paraId="7806E96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То же при 3-х мин.</w:t>
            </w:r>
          </w:p>
        </w:tc>
        <w:tc>
          <w:tcPr>
            <w:tcW w:w="1417" w:type="dxa"/>
          </w:tcPr>
          <w:p w14:paraId="3C34127E" w14:textId="77777777" w:rsidR="00531570" w:rsidRPr="00D03F3E" w:rsidRDefault="00531570" w:rsidP="00D03F3E">
            <w:pPr>
              <w:pStyle w:val="Iauiue"/>
              <w:jc w:val="both"/>
              <w:rPr>
                <w:color w:val="000000" w:themeColor="text1"/>
                <w:sz w:val="16"/>
                <w:szCs w:val="16"/>
              </w:rPr>
            </w:pPr>
          </w:p>
        </w:tc>
        <w:tc>
          <w:tcPr>
            <w:tcW w:w="1701" w:type="dxa"/>
          </w:tcPr>
          <w:p w14:paraId="34B6471D" w14:textId="77777777" w:rsidR="00531570" w:rsidRPr="00D03F3E" w:rsidRDefault="00531570" w:rsidP="00D03F3E">
            <w:pPr>
              <w:pStyle w:val="Iauiue"/>
              <w:jc w:val="both"/>
              <w:rPr>
                <w:color w:val="000000" w:themeColor="text1"/>
                <w:sz w:val="16"/>
                <w:szCs w:val="16"/>
              </w:rPr>
            </w:pPr>
          </w:p>
        </w:tc>
        <w:tc>
          <w:tcPr>
            <w:tcW w:w="3544" w:type="dxa"/>
          </w:tcPr>
          <w:p w14:paraId="4FD2E71F" w14:textId="77777777" w:rsidR="00531570" w:rsidRPr="00D03F3E" w:rsidRDefault="00531570" w:rsidP="00D03F3E">
            <w:pPr>
              <w:pStyle w:val="Iauiue"/>
              <w:jc w:val="both"/>
              <w:rPr>
                <w:color w:val="000000" w:themeColor="text1"/>
                <w:sz w:val="16"/>
                <w:szCs w:val="16"/>
              </w:rPr>
            </w:pPr>
          </w:p>
        </w:tc>
      </w:tr>
      <w:tr w:rsidR="00860B4B" w:rsidRPr="00D03F3E" w14:paraId="3D18D8BF" w14:textId="77777777">
        <w:tc>
          <w:tcPr>
            <w:tcW w:w="3794" w:type="dxa"/>
          </w:tcPr>
          <w:p w14:paraId="427C83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форсаже</w:t>
            </w:r>
          </w:p>
        </w:tc>
        <w:tc>
          <w:tcPr>
            <w:tcW w:w="1417" w:type="dxa"/>
          </w:tcPr>
          <w:p w14:paraId="3DD6224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1100</w:t>
            </w:r>
          </w:p>
        </w:tc>
        <w:tc>
          <w:tcPr>
            <w:tcW w:w="1701" w:type="dxa"/>
          </w:tcPr>
          <w:p w14:paraId="5AECED7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3544" w:type="dxa"/>
          </w:tcPr>
          <w:p w14:paraId="4E5F67A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1200</w:t>
            </w:r>
          </w:p>
        </w:tc>
      </w:tr>
      <w:tr w:rsidR="00860B4B" w:rsidRPr="00D03F3E" w14:paraId="0E30CEC8" w14:textId="77777777">
        <w:tc>
          <w:tcPr>
            <w:tcW w:w="3794" w:type="dxa"/>
          </w:tcPr>
          <w:p w14:paraId="7D3FF81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скорость на</w:t>
            </w:r>
          </w:p>
        </w:tc>
        <w:tc>
          <w:tcPr>
            <w:tcW w:w="1417" w:type="dxa"/>
          </w:tcPr>
          <w:p w14:paraId="1A1E83D9" w14:textId="77777777" w:rsidR="00531570" w:rsidRPr="00D03F3E" w:rsidRDefault="00531570" w:rsidP="00D03F3E">
            <w:pPr>
              <w:pStyle w:val="Iauiue"/>
              <w:jc w:val="both"/>
              <w:rPr>
                <w:color w:val="000000" w:themeColor="text1"/>
                <w:sz w:val="16"/>
                <w:szCs w:val="16"/>
              </w:rPr>
            </w:pPr>
          </w:p>
        </w:tc>
        <w:tc>
          <w:tcPr>
            <w:tcW w:w="1701" w:type="dxa"/>
          </w:tcPr>
          <w:p w14:paraId="1FB4D382" w14:textId="77777777" w:rsidR="00531570" w:rsidRPr="00D03F3E" w:rsidRDefault="00531570" w:rsidP="00D03F3E">
            <w:pPr>
              <w:pStyle w:val="Iauiue"/>
              <w:jc w:val="both"/>
              <w:rPr>
                <w:color w:val="000000" w:themeColor="text1"/>
                <w:sz w:val="16"/>
                <w:szCs w:val="16"/>
              </w:rPr>
            </w:pPr>
          </w:p>
        </w:tc>
        <w:tc>
          <w:tcPr>
            <w:tcW w:w="3544" w:type="dxa"/>
          </w:tcPr>
          <w:p w14:paraId="7722D420" w14:textId="77777777" w:rsidR="00531570" w:rsidRPr="00D03F3E" w:rsidRDefault="00531570" w:rsidP="00D03F3E">
            <w:pPr>
              <w:pStyle w:val="Iauiue"/>
              <w:jc w:val="both"/>
              <w:rPr>
                <w:color w:val="000000" w:themeColor="text1"/>
                <w:sz w:val="16"/>
                <w:szCs w:val="16"/>
              </w:rPr>
            </w:pPr>
          </w:p>
        </w:tc>
      </w:tr>
      <w:tr w:rsidR="00860B4B" w:rsidRPr="00D03F3E" w14:paraId="02067710" w14:textId="77777777">
        <w:tc>
          <w:tcPr>
            <w:tcW w:w="3794" w:type="dxa"/>
          </w:tcPr>
          <w:p w14:paraId="01798B9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расчетной высоте</w:t>
            </w:r>
          </w:p>
        </w:tc>
        <w:tc>
          <w:tcPr>
            <w:tcW w:w="1417" w:type="dxa"/>
          </w:tcPr>
          <w:p w14:paraId="2EEC53B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410</w:t>
            </w:r>
          </w:p>
        </w:tc>
        <w:tc>
          <w:tcPr>
            <w:tcW w:w="1701" w:type="dxa"/>
          </w:tcPr>
          <w:p w14:paraId="3B54F1C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428</w:t>
            </w:r>
          </w:p>
        </w:tc>
        <w:tc>
          <w:tcPr>
            <w:tcW w:w="3544" w:type="dxa"/>
          </w:tcPr>
          <w:p w14:paraId="44CCDB5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415</w:t>
            </w:r>
          </w:p>
        </w:tc>
      </w:tr>
      <w:tr w:rsidR="00860B4B" w:rsidRPr="00D03F3E" w14:paraId="5C0AC5DE" w14:textId="77777777">
        <w:tc>
          <w:tcPr>
            <w:tcW w:w="3794" w:type="dxa"/>
          </w:tcPr>
          <w:p w14:paraId="4D1262F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Дальность на 0,8</w:t>
            </w:r>
          </w:p>
        </w:tc>
        <w:tc>
          <w:tcPr>
            <w:tcW w:w="1417" w:type="dxa"/>
          </w:tcPr>
          <w:p w14:paraId="556BD335" w14:textId="77777777" w:rsidR="00531570" w:rsidRPr="00D03F3E" w:rsidRDefault="00531570" w:rsidP="00D03F3E">
            <w:pPr>
              <w:pStyle w:val="Iauiue"/>
              <w:jc w:val="both"/>
              <w:rPr>
                <w:color w:val="000000" w:themeColor="text1"/>
                <w:sz w:val="16"/>
                <w:szCs w:val="16"/>
              </w:rPr>
            </w:pPr>
          </w:p>
        </w:tc>
        <w:tc>
          <w:tcPr>
            <w:tcW w:w="1701" w:type="dxa"/>
          </w:tcPr>
          <w:p w14:paraId="2492868D" w14:textId="77777777" w:rsidR="00531570" w:rsidRPr="00D03F3E" w:rsidRDefault="00531570" w:rsidP="00D03F3E">
            <w:pPr>
              <w:pStyle w:val="Iauiue"/>
              <w:jc w:val="both"/>
              <w:rPr>
                <w:color w:val="000000" w:themeColor="text1"/>
                <w:sz w:val="16"/>
                <w:szCs w:val="16"/>
              </w:rPr>
            </w:pPr>
          </w:p>
        </w:tc>
        <w:tc>
          <w:tcPr>
            <w:tcW w:w="3544" w:type="dxa"/>
          </w:tcPr>
          <w:p w14:paraId="24409116" w14:textId="77777777" w:rsidR="00531570" w:rsidRPr="00D03F3E" w:rsidRDefault="00531570" w:rsidP="00D03F3E">
            <w:pPr>
              <w:pStyle w:val="Iauiue"/>
              <w:jc w:val="both"/>
              <w:rPr>
                <w:color w:val="000000" w:themeColor="text1"/>
                <w:sz w:val="16"/>
                <w:szCs w:val="16"/>
              </w:rPr>
            </w:pPr>
          </w:p>
        </w:tc>
      </w:tr>
      <w:tr w:rsidR="00860B4B" w:rsidRPr="00D03F3E" w14:paraId="7AE05961" w14:textId="77777777">
        <w:tc>
          <w:tcPr>
            <w:tcW w:w="3794" w:type="dxa"/>
          </w:tcPr>
          <w:p w14:paraId="2455BD6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V макс.</w:t>
            </w:r>
          </w:p>
        </w:tc>
        <w:tc>
          <w:tcPr>
            <w:tcW w:w="1417" w:type="dxa"/>
          </w:tcPr>
          <w:p w14:paraId="0850C80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3000</w:t>
            </w:r>
          </w:p>
        </w:tc>
        <w:tc>
          <w:tcPr>
            <w:tcW w:w="1701" w:type="dxa"/>
          </w:tcPr>
          <w:p w14:paraId="1E168EA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2300</w:t>
            </w:r>
          </w:p>
        </w:tc>
        <w:tc>
          <w:tcPr>
            <w:tcW w:w="3544" w:type="dxa"/>
          </w:tcPr>
          <w:p w14:paraId="626C96C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3300</w:t>
            </w:r>
          </w:p>
        </w:tc>
      </w:tr>
      <w:tr w:rsidR="00860B4B" w:rsidRPr="00D03F3E" w14:paraId="56F8CD23" w14:textId="77777777">
        <w:tc>
          <w:tcPr>
            <w:tcW w:w="3794" w:type="dxa"/>
          </w:tcPr>
          <w:p w14:paraId="0BD1D45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Диаметр винтов</w:t>
            </w:r>
          </w:p>
        </w:tc>
        <w:tc>
          <w:tcPr>
            <w:tcW w:w="1417" w:type="dxa"/>
          </w:tcPr>
          <w:p w14:paraId="0BCB582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3,25</w:t>
            </w:r>
          </w:p>
        </w:tc>
        <w:tc>
          <w:tcPr>
            <w:tcW w:w="1701" w:type="dxa"/>
          </w:tcPr>
          <w:p w14:paraId="1302C95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3,6</w:t>
            </w:r>
          </w:p>
        </w:tc>
        <w:tc>
          <w:tcPr>
            <w:tcW w:w="3544" w:type="dxa"/>
          </w:tcPr>
          <w:p w14:paraId="6CF3906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3,5</w:t>
            </w:r>
          </w:p>
        </w:tc>
      </w:tr>
      <w:tr w:rsidR="00860B4B" w:rsidRPr="00D03F3E" w14:paraId="335D35AC" w14:textId="77777777">
        <w:tc>
          <w:tcPr>
            <w:tcW w:w="3794" w:type="dxa"/>
          </w:tcPr>
          <w:p w14:paraId="21E2974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Число оборотов</w:t>
            </w:r>
          </w:p>
        </w:tc>
        <w:tc>
          <w:tcPr>
            <w:tcW w:w="1417" w:type="dxa"/>
          </w:tcPr>
          <w:p w14:paraId="0CD13C6F" w14:textId="77777777" w:rsidR="00531570" w:rsidRPr="00D03F3E" w:rsidRDefault="00531570" w:rsidP="00D03F3E">
            <w:pPr>
              <w:pStyle w:val="Iauiue"/>
              <w:jc w:val="both"/>
              <w:rPr>
                <w:color w:val="000000" w:themeColor="text1"/>
                <w:sz w:val="16"/>
                <w:szCs w:val="16"/>
              </w:rPr>
            </w:pPr>
          </w:p>
        </w:tc>
        <w:tc>
          <w:tcPr>
            <w:tcW w:w="1701" w:type="dxa"/>
          </w:tcPr>
          <w:p w14:paraId="52081B0E" w14:textId="77777777" w:rsidR="00531570" w:rsidRPr="00D03F3E" w:rsidRDefault="00531570" w:rsidP="00D03F3E">
            <w:pPr>
              <w:pStyle w:val="Iauiue"/>
              <w:jc w:val="both"/>
              <w:rPr>
                <w:color w:val="000000" w:themeColor="text1"/>
                <w:sz w:val="16"/>
                <w:szCs w:val="16"/>
              </w:rPr>
            </w:pPr>
          </w:p>
        </w:tc>
        <w:tc>
          <w:tcPr>
            <w:tcW w:w="3544" w:type="dxa"/>
          </w:tcPr>
          <w:p w14:paraId="1C02D2C9" w14:textId="77777777" w:rsidR="00531570" w:rsidRPr="00D03F3E" w:rsidRDefault="00531570" w:rsidP="00D03F3E">
            <w:pPr>
              <w:pStyle w:val="Iauiue"/>
              <w:jc w:val="both"/>
              <w:rPr>
                <w:color w:val="000000" w:themeColor="text1"/>
                <w:sz w:val="16"/>
                <w:szCs w:val="16"/>
              </w:rPr>
            </w:pPr>
          </w:p>
        </w:tc>
      </w:tr>
      <w:tr w:rsidR="00860B4B" w:rsidRPr="00D03F3E" w14:paraId="6F066B24" w14:textId="77777777">
        <w:tc>
          <w:tcPr>
            <w:tcW w:w="3794" w:type="dxa"/>
          </w:tcPr>
          <w:p w14:paraId="19E0DA5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винта при взлете</w:t>
            </w:r>
          </w:p>
        </w:tc>
        <w:tc>
          <w:tcPr>
            <w:tcW w:w="1417" w:type="dxa"/>
          </w:tcPr>
          <w:p w14:paraId="6225AAD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1530</w:t>
            </w:r>
          </w:p>
        </w:tc>
        <w:tc>
          <w:tcPr>
            <w:tcW w:w="1701" w:type="dxa"/>
          </w:tcPr>
          <w:p w14:paraId="5A18463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1460</w:t>
            </w:r>
          </w:p>
        </w:tc>
        <w:tc>
          <w:tcPr>
            <w:tcW w:w="3544" w:type="dxa"/>
          </w:tcPr>
          <w:p w14:paraId="704A575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1510</w:t>
            </w:r>
          </w:p>
        </w:tc>
      </w:tr>
      <w:tr w:rsidR="00860B4B" w:rsidRPr="00D03F3E" w14:paraId="083B5902" w14:textId="77777777">
        <w:tc>
          <w:tcPr>
            <w:tcW w:w="3794" w:type="dxa"/>
          </w:tcPr>
          <w:p w14:paraId="644934B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Длина разбега (при</w:t>
            </w:r>
          </w:p>
        </w:tc>
        <w:tc>
          <w:tcPr>
            <w:tcW w:w="1417" w:type="dxa"/>
          </w:tcPr>
          <w:p w14:paraId="67776ACD" w14:textId="77777777" w:rsidR="00531570" w:rsidRPr="00D03F3E" w:rsidRDefault="00531570" w:rsidP="00D03F3E">
            <w:pPr>
              <w:pStyle w:val="Iauiue"/>
              <w:jc w:val="both"/>
              <w:rPr>
                <w:color w:val="000000" w:themeColor="text1"/>
                <w:sz w:val="16"/>
                <w:szCs w:val="16"/>
              </w:rPr>
            </w:pPr>
          </w:p>
        </w:tc>
        <w:tc>
          <w:tcPr>
            <w:tcW w:w="1701" w:type="dxa"/>
          </w:tcPr>
          <w:p w14:paraId="6B492804" w14:textId="77777777" w:rsidR="00531570" w:rsidRPr="00D03F3E" w:rsidRDefault="00531570" w:rsidP="00D03F3E">
            <w:pPr>
              <w:pStyle w:val="Iauiue"/>
              <w:jc w:val="both"/>
              <w:rPr>
                <w:color w:val="000000" w:themeColor="text1"/>
                <w:sz w:val="16"/>
                <w:szCs w:val="16"/>
              </w:rPr>
            </w:pPr>
          </w:p>
        </w:tc>
        <w:tc>
          <w:tcPr>
            <w:tcW w:w="3544" w:type="dxa"/>
          </w:tcPr>
          <w:p w14:paraId="709110B8" w14:textId="77777777" w:rsidR="00531570" w:rsidRPr="00D03F3E" w:rsidRDefault="00531570" w:rsidP="00D03F3E">
            <w:pPr>
              <w:pStyle w:val="Iauiue"/>
              <w:jc w:val="both"/>
              <w:rPr>
                <w:color w:val="000000" w:themeColor="text1"/>
                <w:sz w:val="16"/>
                <w:szCs w:val="16"/>
              </w:rPr>
            </w:pPr>
          </w:p>
        </w:tc>
      </w:tr>
      <w:tr w:rsidR="00860B4B" w:rsidRPr="00D03F3E" w14:paraId="18554906" w14:textId="77777777">
        <w:tc>
          <w:tcPr>
            <w:tcW w:w="3794" w:type="dxa"/>
          </w:tcPr>
          <w:p w14:paraId="67D2666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весе с М-88Б </w:t>
            </w:r>
          </w:p>
        </w:tc>
        <w:tc>
          <w:tcPr>
            <w:tcW w:w="1417" w:type="dxa"/>
          </w:tcPr>
          <w:p w14:paraId="0DB09FD2" w14:textId="77777777" w:rsidR="00531570" w:rsidRPr="00D03F3E" w:rsidRDefault="00531570" w:rsidP="00D03F3E">
            <w:pPr>
              <w:pStyle w:val="Iauiue"/>
              <w:jc w:val="both"/>
              <w:rPr>
                <w:color w:val="000000" w:themeColor="text1"/>
                <w:sz w:val="16"/>
                <w:szCs w:val="16"/>
              </w:rPr>
            </w:pPr>
          </w:p>
        </w:tc>
        <w:tc>
          <w:tcPr>
            <w:tcW w:w="1701" w:type="dxa"/>
          </w:tcPr>
          <w:p w14:paraId="4BEFF98E" w14:textId="77777777" w:rsidR="00531570" w:rsidRPr="00D03F3E" w:rsidRDefault="00531570" w:rsidP="00D03F3E">
            <w:pPr>
              <w:pStyle w:val="Iauiue"/>
              <w:jc w:val="both"/>
              <w:rPr>
                <w:color w:val="000000" w:themeColor="text1"/>
                <w:sz w:val="16"/>
                <w:szCs w:val="16"/>
              </w:rPr>
            </w:pPr>
          </w:p>
        </w:tc>
        <w:tc>
          <w:tcPr>
            <w:tcW w:w="3544" w:type="dxa"/>
          </w:tcPr>
          <w:p w14:paraId="50459440" w14:textId="77777777" w:rsidR="00531570" w:rsidRPr="00D03F3E" w:rsidRDefault="00531570" w:rsidP="00D03F3E">
            <w:pPr>
              <w:pStyle w:val="Iauiue"/>
              <w:jc w:val="both"/>
              <w:rPr>
                <w:color w:val="000000" w:themeColor="text1"/>
                <w:sz w:val="16"/>
                <w:szCs w:val="16"/>
              </w:rPr>
            </w:pPr>
          </w:p>
        </w:tc>
      </w:tr>
      <w:tr w:rsidR="00860B4B" w:rsidRPr="00D03F3E" w14:paraId="1E244428" w14:textId="77777777">
        <w:tc>
          <w:tcPr>
            <w:tcW w:w="3794" w:type="dxa"/>
          </w:tcPr>
          <w:p w14:paraId="1ADF22A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G=11300 кг)</w:t>
            </w:r>
          </w:p>
        </w:tc>
        <w:tc>
          <w:tcPr>
            <w:tcW w:w="1417" w:type="dxa"/>
          </w:tcPr>
          <w:p w14:paraId="7D403DD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900</w:t>
            </w:r>
          </w:p>
        </w:tc>
        <w:tc>
          <w:tcPr>
            <w:tcW w:w="1701" w:type="dxa"/>
          </w:tcPr>
          <w:p w14:paraId="249192F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520</w:t>
            </w:r>
          </w:p>
        </w:tc>
        <w:tc>
          <w:tcPr>
            <w:tcW w:w="3544" w:type="dxa"/>
          </w:tcPr>
          <w:p w14:paraId="7FC0AFC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900</w:t>
            </w:r>
          </w:p>
        </w:tc>
      </w:tr>
    </w:tbl>
    <w:p w14:paraId="7057648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Дальность самолета Ил-4 при установке на него моторов Райт R-2600 ухудшается: при небольшом возрастании скорости на 2-й границе высотности на 428 км/час, дальность полета снижается до 2300 км. Установка этих моторов потребует примерно тех же конструктивных изменений, как и установка моторов М-82.</w:t>
      </w:r>
    </w:p>
    <w:p w14:paraId="63B7AEF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Мотор Пратт-Уитни "Дабл-Уосп" тяжел для самолета Ил-4, значительно снижает его дальность и поэтому не может быть установлен на Ил-4.</w:t>
      </w:r>
    </w:p>
    <w:p w14:paraId="18C0D8C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Мотор Пратт-Уитни R-1830-33, не изменяя практически скоростных и взлетных свойств самолета Ил-4, повышает дальность этого самолета приблизительно на 300 км, вследствие большей высотности мотора Пратт-Уитни с ТК.</w:t>
      </w:r>
    </w:p>
    <w:p w14:paraId="3949455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Общий вывод из приведенного анализа следующий:</w:t>
      </w:r>
    </w:p>
    <w:p w14:paraId="4AF564B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самолетах Як и Пе-2 наиболее целесообразной является постановка моторов Мерлин-20 или более новых модификаций (Мерлин-45, Мерлин-61). Следует отметить, что этот мотор не пушечный, что вызовет необходимость на самолетах Як изменения оружия: крыльевые пушки и пулеметы, вместо пушки и пулеметов на моторе. Ввиду того, что число оборотов винта на моторе Мерлин-20 значительно ниже, чем на М-105ПФ, а диаметр винтов на наших самолетах Як не может быть без изменения высоты шасси доведен до размера диаметра английских винтов, желательно при установке мотора Мерлин на наших самолетах, изменить его редукцию в сторону увеличения оборотов винта.</w:t>
      </w:r>
    </w:p>
    <w:p w14:paraId="4326432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самолете Ла-5 целесообразна установка мотора Пратт-Уитни 2800 "Дабл-Уосп", пока еще не эксплуатирующегося в Советском Союзе. К этому мотору относятся замечания по редуктору, сделанные для мотора Мерлин-20.</w:t>
      </w:r>
    </w:p>
    <w:p w14:paraId="2DEA4A1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самолете Ил-4 наиболее целесообразна установка моторов Пратт Уитни R-1830-ТК. Что касается самолета Ли-2, то установка на нем моторов Райт-Циклон R1820-71, весьма близких к моторам М-62ИР, не вызовет никаких затруднений и практически не повлияет на летные данные этого самолета.</w:t>
      </w:r>
    </w:p>
    <w:p w14:paraId="10292CE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Постановка моторов Райт 2600 и Аллисон V-1710 ни на одном из рассмотренных самолетов не представляет интереса с точки зрения улучшения летных данных (1458,326).</w:t>
      </w:r>
    </w:p>
    <w:p w14:paraId="16AD280A" w14:textId="77777777" w:rsidR="00531570" w:rsidRPr="00D03F3E" w:rsidRDefault="00531570" w:rsidP="00D03F3E">
      <w:pPr>
        <w:pStyle w:val="Iauiue"/>
        <w:jc w:val="both"/>
        <w:rPr>
          <w:color w:val="000000" w:themeColor="text1"/>
          <w:sz w:val="16"/>
          <w:szCs w:val="16"/>
        </w:rPr>
      </w:pPr>
    </w:p>
    <w:p w14:paraId="0BE5B3F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июня 1943 А.И.Ш. писал И.В.С. письмо N 2881</w:t>
      </w:r>
    </w:p>
    <w:p w14:paraId="0636DF2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результате проработки по Вашему заданию, вопроса о возможности установки на наших серийных самолетах импортных моторов, докладываю:</w:t>
      </w:r>
    </w:p>
    <w:p w14:paraId="021AD64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По Як-1</w:t>
      </w:r>
    </w:p>
    <w:p w14:paraId="5A99FFE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Рассмотрены варианты замены мотора М-105ПФ на лучшие аналогичные иностранные моторы Мерлин-20 и Аллисон-V-1710.</w:t>
      </w:r>
    </w:p>
    <w:p w14:paraId="60FA688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 установке на самолете Як-1 мотора Мерлин-20 максимальная скорость самолета уменьшится на 15 км/час (без форсажа) и сохраняется прежней при 3-х минутном форсаже у земли. На больших высотах 6000-7000 м скорость резко увеличивается и доходит до 665 км/час.</w:t>
      </w:r>
    </w:p>
    <w:p w14:paraId="018800D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Дальность полета на 0,9 максимальной скорости возрастет на 70 км.</w:t>
      </w:r>
    </w:p>
    <w:p w14:paraId="5994379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Вследствие низкого числа оборотов винта, длина разбега самолета увеличится на 130 м (37%).</w:t>
      </w:r>
    </w:p>
    <w:p w14:paraId="2625FB7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случае покупки мотора Мерлин-20 для самолета Як-1, желательно просить изменения редукции этого мотора в сторону увеличения числа оборотов винта.</w:t>
      </w:r>
    </w:p>
    <w:p w14:paraId="1A2C03F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Мотор Мерлин - не пушечный и не имеет синхронизаторов. Пушку и пулемет потребуется перенести в крыло7</w:t>
      </w:r>
    </w:p>
    <w:p w14:paraId="25A082A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 установке на самолете Як-1 мотора Аллисон-V-1710 все летные данные самолета ухудшатся, за исключением незначительного прироста максимальной скорости на расчетной высоте на 15 км/час и увеличения дальности самолета на 130 км (на 20%).</w:t>
      </w:r>
    </w:p>
    <w:p w14:paraId="19C21B4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Сказанное выше в равной мере относится к самолетам Лагг-3, Як-7 и Як-9.</w:t>
      </w:r>
    </w:p>
    <w:p w14:paraId="469DA3B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По Ла-5</w:t>
      </w:r>
    </w:p>
    <w:p w14:paraId="289DDE4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Рассмотрены варианты замены мотора М-82ФН на моторы Райт R-2600 и Пратт-Уитни 2800, имеющие данные, наиболее близкие к данным мотора М-82ФН.</w:t>
      </w:r>
    </w:p>
    <w:p w14:paraId="4B63F70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Замена мотора М-82ФН на мотор Райт R-2600 снижает все летные данные самолета Ла-5, за исключением дальности и времени набора высоты, которые практически остаются без изменений. В частности, максимальная скорость у земли хуже на 55 км/час и на высоте - на 30 км/час.</w:t>
      </w:r>
    </w:p>
    <w:p w14:paraId="5508566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Установка мотора Пратт-Уитни 2800 на самолет Ла-5 вместо мотора М-82ФН улучшает все летные данные, кроме разбега, увеличивающегося на 30 м (на 10%). Скорость у земли возрастает на 5 км/час и на высоте - на 35 км/час.</w:t>
      </w:r>
    </w:p>
    <w:p w14:paraId="3BE69FB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Рассмотрены варианты замены мотора М-82ФН на моторы Райт R-2600 и Пратт-Уитни 2800, имеющие данные, наиболее близкие к данным мотора М-82ФН.</w:t>
      </w:r>
    </w:p>
    <w:p w14:paraId="198A90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Замена мотора М-82ФН на мотор Райт R-2600 снижает все летные данные самолета Ла-5, за исключением дальности и времени набора высоты, которые практически остаются без изменений. В частности, максимальная скорость у земли хуже на 55 км/час и на высоте - на 30 км/час.</w:t>
      </w:r>
    </w:p>
    <w:p w14:paraId="73CD578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Установка мотора Пратт-Уитни 2800 на самолет Ла-5 вместо мотора М-82ФН улучшает все летные данные, кроме разбега, увеличивающегося на 30 м (на 10%). Скорость у земли возрастает на 5 км/час и на высоте - на 35 км/час.</w:t>
      </w:r>
    </w:p>
    <w:p w14:paraId="27A45D5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Рассмотрены варианты замены мотора М-82ФН на моторы Райт R-2600 и Пратт-Уитни 2800, имеющие данные, наиболее близкие к данным мотора М-82ФН.</w:t>
      </w:r>
    </w:p>
    <w:p w14:paraId="679DB78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Замена мотора М-82ФН на мотор Райт R-2600 снижает все летные данные самолета Ла-5, за исключением дальности и времени набора высоты, которые практически остаются без изменений. В частности, максимальная скорость у земли хуже на 55 км/час и на высоте - на 30 км/час.</w:t>
      </w:r>
    </w:p>
    <w:p w14:paraId="2896CFF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Установка мотора Пратт-Уитни 2800 на самолет Ла-5 вместо мотора М-82ФН улучшает все летные данные, кроме разбега, увеличивающегося на 30 м (на 10%). Скорость у земли возрастает на 5 км/час и на высоте - на 35 км/час.</w:t>
      </w:r>
    </w:p>
    <w:p w14:paraId="3CB4543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Рассмотрены варианты замены мотора М-82ФН на моторы Райт R-2600 и Пратт-Уитни 2800, имеющие данные, наиболее близкие к данным мотора М-82ФН.</w:t>
      </w:r>
    </w:p>
    <w:p w14:paraId="6D0F07D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Замена мотора М-82ФН на мотор Райт R-2600 снижает все летные данные самолета Ла-5, за исключением дальности и времени набора высоты, которые практически остаются без изменений. В частности, максимальная скорость у земли хуже на 55 км/час и на высоте - на 30 км/час.</w:t>
      </w:r>
    </w:p>
    <w:p w14:paraId="74AC786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Установка мотора Пратт-Уитни 2800 на самолет Ла-5 вместо мотора М-82ФН улучшает все летные данные, кроме разбега, увеличивающегося на 30 м (на 10%). Скорость у земли возрастает на 5 км/час и на высоте - на 35 км/час.</w:t>
      </w:r>
    </w:p>
    <w:p w14:paraId="179300C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Рассмотрены варианты замены мотора М-82ФН на моторы Райт R-2600 и Пратт-Уитни 2800, имеющие данные, наиболее близкие к данным мотора М-82ФН.</w:t>
      </w:r>
    </w:p>
    <w:p w14:paraId="7D91762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Замена мотора М-82ФН на мотор Райт R-2600 снижает все летные данные самолета Ла-5, за исключением дальности и времени набора высоты, которые практически остаются без изменений. В частности, максимальная скорость у земли хуже на 55 км/час и на высоте - на 30 км/час.</w:t>
      </w:r>
    </w:p>
    <w:p w14:paraId="506FC32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Установка мотора Пратт-Уитни 2800 на самолет Ла-5 вместо мотора М-82ФН улучшает все летные данные, кроме разбега, увеличивающегося на 30 м (на 10%). Скорость у земли возрастает на 5 км/час и на высоте - на 35 км/час.</w:t>
      </w:r>
    </w:p>
    <w:p w14:paraId="6A9DFC7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Рассмотрены варианты замены мотора М-82ФН на моторы Райт R-2600 и Пратт-Уитни 2800, имеющие данные, наиболее близкие к данным мотора М-82ФН.</w:t>
      </w:r>
    </w:p>
    <w:p w14:paraId="49EA560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Замена мотора М-82ФН на мотор Райт R-2600 снижает все летные данные самолета Ла-5, за исключением дальности и времени набора высоты, которые практически остаются без изменений. В частности, максимальная скорость у земли хуже на 55 км/час и на высоте - на 30 км/час.</w:t>
      </w:r>
    </w:p>
    <w:p w14:paraId="3DF29E8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Установка мотора Пратт-Уитни 2800 на самолет Ла-5 вместо мотора М-82ФН улучшает все летные данные, кроме разбега, увеличивающегося на 30 м (на 10%). Скорость у земли возрастает на 5 км/час и на высоте - на 35 км/час.</w:t>
      </w:r>
    </w:p>
    <w:p w14:paraId="1FB9BC4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Рассмотрены варианты замены мотора М-82ФН на моторы Райт R-2600 и Пратт-Уитни 2800, имеющие данные, наиболее близкие к данным мотора М-82ФН.</w:t>
      </w:r>
    </w:p>
    <w:p w14:paraId="3377B71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Замена мотора М-82ФН на мотор Райт R-2600 снижает все летные данные самолета Ла-5, за исключением дальности и времени набора высоты, которые практически остаются без изменений. В частности, максимальная скорость у земли хуже на 55 км/час и на высоте - на 30 км/час.</w:t>
      </w:r>
    </w:p>
    <w:p w14:paraId="12B7F76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Установка мотора Пратт-Уитни 2800 на самолет Ла-5 вместо мотора М-82ФН улучшает все летные данные, кроме разбега, увеличивающегося на 30 м (на 10%). Скорость у земли возрастает на 5 км/час и на высоте - на 35 км/час.</w:t>
      </w:r>
    </w:p>
    <w:p w14:paraId="3699E7A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По Пе-2</w:t>
      </w:r>
    </w:p>
    <w:p w14:paraId="4959D4D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Летные данные самолета Пе-2 в случае установки моторов Мерлин-20 заметно улучшаются, за исключением разбега.</w:t>
      </w:r>
    </w:p>
    <w:p w14:paraId="1646A1F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Максимальная скорость самолета Пе-2 на высоте возрастает до 585 км/час, дальность полета увеличивается на 70 км; длина разбега возрастает на 150 м.</w:t>
      </w:r>
    </w:p>
    <w:p w14:paraId="2EBFFEC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Мотор Аллисон также, как и для самолетов Як, ухудшит скорость у земли и разбег самолета Пе-2.</w:t>
      </w:r>
    </w:p>
    <w:p w14:paraId="169E232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По Ил-4</w:t>
      </w:r>
    </w:p>
    <w:p w14:paraId="4BB6BF7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 замене моторов М-88Б на мотор Райт 2600 дальность самолета уменьшится на 700 км при незначительном увеличении макс. скорости на 2 границе высотности.</w:t>
      </w:r>
    </w:p>
    <w:p w14:paraId="3CDB481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Мотор Пратт-Уитни Дабл-Уосп тяжел для самолета Ил-4, значительно снизит его дальность и потому не может быть установлен на самолет Ил-4</w:t>
      </w:r>
    </w:p>
    <w:p w14:paraId="43686AE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Установка моторов Пратт-Уитни R-1830-33 с ТК не изменяя практически скорости и взлетные свойства самолета Ил-4, повышает дальность этого самолета на 300 км, вследствие большей высотности моторов. Однако, этот мотор требует установки ТК, плохо компонующихся на данном самолете и понижающих его эксплуатационную надежность.</w:t>
      </w:r>
    </w:p>
    <w:p w14:paraId="17D8DDC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По Ил-2</w:t>
      </w:r>
    </w:p>
    <w:p w14:paraId="75C1034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Мотора, равного АМ-38Ф среди известных нам моторов союзных стран не имеется.</w:t>
      </w:r>
    </w:p>
    <w:p w14:paraId="08A8329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По Ли-2</w:t>
      </w:r>
    </w:p>
    <w:p w14:paraId="37A94BF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Замена мотора М-62ИР на моторы Райт-Циклон R-1820-71 не вызовет затруднений и практически не повлияет на летные данные самолета Ли-2.</w:t>
      </w:r>
    </w:p>
    <w:p w14:paraId="74D4AB7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основании указанного считаю:</w:t>
      </w:r>
    </w:p>
    <w:p w14:paraId="1DC2881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На самолетах Як-1, Як-7, Як-9 и Пе-2 возможна замена моторов М-105ПФ на импортные моторы Мерлин-20 или его дальнейшие модификации Мерлин-45 и Мерлин-61, причем желательно изменение редукции мотора в сторону увеличения числа оборотов винта.</w:t>
      </w:r>
    </w:p>
    <w:p w14:paraId="4AEB931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Вооружение истребителей при этом потребуется перенести в крыло. В остальном переделка всех перечисленных самолетов коснется только моторной установки и капотов.</w:t>
      </w:r>
    </w:p>
    <w:p w14:paraId="4A762CF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На самолете Ла-5 возможна установка мотора Пратт-Уитни 2800 "Дабл-Уосп" с общим улучшением летных данных самолета.</w:t>
      </w:r>
    </w:p>
    <w:p w14:paraId="32A91E7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На самолете Ил-4 возможна установка либо моторов Райт R-2600, либо Пратт-Уитни R-1830-33 с ТК. Каждый из моторов имеет свои недостатки. Райт снижает дальность самолета, несколько улучшая остальные ЛТД. Пратт-Уитни требует ТК, еще плохо освоенных в производстве</w:t>
      </w:r>
    </w:p>
    <w:p w14:paraId="1D0256F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Учитывая трудности компоновки на самолете мотора Пратт-Уитни R-1830-33 с ТК, целесообразно произвести предварительное опробование установки этого мотора </w:t>
      </w:r>
      <w:r w:rsidRPr="00D03F3E">
        <w:rPr>
          <w:color w:val="000000" w:themeColor="text1"/>
          <w:sz w:val="16"/>
          <w:szCs w:val="16"/>
        </w:rPr>
        <w:lastRenderedPageBreak/>
        <w:t>на самолете Ил-4, закупив для этой цели 5-6 моторов Пратт-Уитни R-1830-33 с ТК.</w:t>
      </w:r>
    </w:p>
    <w:p w14:paraId="7DCEB06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На самолете Ли-2 возможна замена моторов М-62 на моторы Райт-Циклон R-1820-71 без изменения летных данных самолета.</w:t>
      </w:r>
    </w:p>
    <w:p w14:paraId="7D52FAA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Постановка моторов Райт-2600 и АллисонV-1710 ни на одном из рассмотренных самолетов с точки зрения улучшения их летных данных - нецелесообразна.</w:t>
      </w:r>
    </w:p>
    <w:p w14:paraId="73667CD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Для детальной конструктивной проработки вопроса об установке импортных моторов на серийных самолетах необходимо выдать Главным конструкторам самолетов соответствующие задания (1458,310).</w:t>
      </w:r>
    </w:p>
    <w:p w14:paraId="3DD0D39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Потом 14 июня 1943 А.И.Ш. снова писал И.В.С. по вопросу о возможности установки иностранных моторов на серийном самолете Ил-4 (1458,313).</w:t>
      </w:r>
    </w:p>
    <w:p w14:paraId="0F51652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"ЦАГИ рассмотрена возможность установки на самолете Ил-4 иностранных моторов, наиболее близких по своим осн. данным к мотору М-88Б: Райт R-2600, Пратт-Уитни "Дабл-Уосп" и Пратт-Уитни R-1830-33 с ТК.</w:t>
      </w:r>
    </w:p>
    <w:p w14:paraId="40A340B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Мотор Пратт-Уитни "Дабл-Уосп" значительно превосходит по весу мотор М-88Б, его установка вызовет крупные переделки в самолете из-за увеличения веса винтомоторной группы и значительно снизит дальность самолета, почему этот мотор был исключен из дальнейшего рассмотрения.</w:t>
      </w:r>
    </w:p>
    <w:p w14:paraId="51F6B6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проводимой таблице указаны сравнительные данные самолета с моторами М-88Б, Райт R-2600 и Пратт-Уитни R-1830-33.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570"/>
        <w:gridCol w:w="1570"/>
        <w:gridCol w:w="1570"/>
      </w:tblGrid>
      <w:tr w:rsidR="00860B4B" w:rsidRPr="00D03F3E" w14:paraId="1ABB28B2" w14:textId="77777777">
        <w:tc>
          <w:tcPr>
            <w:tcW w:w="2802" w:type="dxa"/>
          </w:tcPr>
          <w:p w14:paraId="00CCB5EC" w14:textId="77777777" w:rsidR="00531570" w:rsidRPr="00D03F3E" w:rsidRDefault="00531570" w:rsidP="00D03F3E">
            <w:pPr>
              <w:pStyle w:val="Iauiue"/>
              <w:jc w:val="both"/>
              <w:rPr>
                <w:color w:val="000000" w:themeColor="text1"/>
                <w:sz w:val="16"/>
                <w:szCs w:val="16"/>
              </w:rPr>
            </w:pPr>
          </w:p>
        </w:tc>
        <w:tc>
          <w:tcPr>
            <w:tcW w:w="1570" w:type="dxa"/>
          </w:tcPr>
          <w:p w14:paraId="486BC2A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М-88Б</w:t>
            </w:r>
          </w:p>
        </w:tc>
        <w:tc>
          <w:tcPr>
            <w:tcW w:w="1570" w:type="dxa"/>
          </w:tcPr>
          <w:p w14:paraId="69164E3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Райт</w:t>
            </w:r>
          </w:p>
        </w:tc>
        <w:tc>
          <w:tcPr>
            <w:tcW w:w="1570" w:type="dxa"/>
          </w:tcPr>
          <w:p w14:paraId="17C2797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Пратт-Уитни</w:t>
            </w:r>
          </w:p>
        </w:tc>
      </w:tr>
      <w:tr w:rsidR="00860B4B" w:rsidRPr="00D03F3E" w14:paraId="55E9AA11" w14:textId="77777777">
        <w:tc>
          <w:tcPr>
            <w:tcW w:w="2802" w:type="dxa"/>
          </w:tcPr>
          <w:p w14:paraId="1914F34F" w14:textId="77777777" w:rsidR="00531570" w:rsidRPr="00D03F3E" w:rsidRDefault="00531570" w:rsidP="00D03F3E">
            <w:pPr>
              <w:pStyle w:val="Iauiue"/>
              <w:jc w:val="both"/>
              <w:rPr>
                <w:color w:val="000000" w:themeColor="text1"/>
                <w:sz w:val="16"/>
                <w:szCs w:val="16"/>
              </w:rPr>
            </w:pPr>
          </w:p>
        </w:tc>
        <w:tc>
          <w:tcPr>
            <w:tcW w:w="1570" w:type="dxa"/>
          </w:tcPr>
          <w:p w14:paraId="53C6CB7B" w14:textId="77777777" w:rsidR="00531570" w:rsidRPr="00D03F3E" w:rsidRDefault="00531570" w:rsidP="00D03F3E">
            <w:pPr>
              <w:pStyle w:val="Iauiue"/>
              <w:jc w:val="both"/>
              <w:rPr>
                <w:color w:val="000000" w:themeColor="text1"/>
                <w:sz w:val="16"/>
                <w:szCs w:val="16"/>
              </w:rPr>
            </w:pPr>
          </w:p>
        </w:tc>
        <w:tc>
          <w:tcPr>
            <w:tcW w:w="1570" w:type="dxa"/>
          </w:tcPr>
          <w:p w14:paraId="0C7906D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R2600</w:t>
            </w:r>
          </w:p>
        </w:tc>
        <w:tc>
          <w:tcPr>
            <w:tcW w:w="1570" w:type="dxa"/>
          </w:tcPr>
          <w:p w14:paraId="1A08928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R-1830-33</w:t>
            </w:r>
          </w:p>
        </w:tc>
      </w:tr>
      <w:tr w:rsidR="00860B4B" w:rsidRPr="00D03F3E" w14:paraId="50CA9C3F" w14:textId="77777777">
        <w:tc>
          <w:tcPr>
            <w:tcW w:w="2802" w:type="dxa"/>
          </w:tcPr>
          <w:p w14:paraId="002E3F6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 сухого мотора</w:t>
            </w:r>
          </w:p>
        </w:tc>
        <w:tc>
          <w:tcPr>
            <w:tcW w:w="1570" w:type="dxa"/>
          </w:tcPr>
          <w:p w14:paraId="0942CAC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684</w:t>
            </w:r>
          </w:p>
        </w:tc>
        <w:tc>
          <w:tcPr>
            <w:tcW w:w="1570" w:type="dxa"/>
          </w:tcPr>
          <w:p w14:paraId="6269F9E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900</w:t>
            </w:r>
          </w:p>
        </w:tc>
        <w:tc>
          <w:tcPr>
            <w:tcW w:w="1570" w:type="dxa"/>
          </w:tcPr>
          <w:p w14:paraId="16A4F15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720</w:t>
            </w:r>
          </w:p>
        </w:tc>
      </w:tr>
      <w:tr w:rsidR="00860B4B" w:rsidRPr="00D03F3E" w14:paraId="047E9F82" w14:textId="77777777">
        <w:tc>
          <w:tcPr>
            <w:tcW w:w="2802" w:type="dxa"/>
          </w:tcPr>
          <w:p w14:paraId="07D9055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Мидель мотора</w:t>
            </w:r>
          </w:p>
        </w:tc>
        <w:tc>
          <w:tcPr>
            <w:tcW w:w="1570" w:type="dxa"/>
          </w:tcPr>
          <w:p w14:paraId="2BAE960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1,32</w:t>
            </w:r>
          </w:p>
        </w:tc>
        <w:tc>
          <w:tcPr>
            <w:tcW w:w="1570" w:type="dxa"/>
          </w:tcPr>
          <w:p w14:paraId="63BE3F9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1,50</w:t>
            </w:r>
          </w:p>
        </w:tc>
        <w:tc>
          <w:tcPr>
            <w:tcW w:w="1570" w:type="dxa"/>
          </w:tcPr>
          <w:p w14:paraId="149A74C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1,37</w:t>
            </w:r>
          </w:p>
        </w:tc>
      </w:tr>
      <w:tr w:rsidR="00860B4B" w:rsidRPr="00D03F3E" w14:paraId="3577FE34" w14:textId="77777777">
        <w:tc>
          <w:tcPr>
            <w:tcW w:w="2802" w:type="dxa"/>
          </w:tcPr>
          <w:p w14:paraId="08B9EDF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Мощность на 2-й</w:t>
            </w:r>
          </w:p>
        </w:tc>
        <w:tc>
          <w:tcPr>
            <w:tcW w:w="1570" w:type="dxa"/>
          </w:tcPr>
          <w:p w14:paraId="5FEA9E8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w:t>
            </w:r>
          </w:p>
        </w:tc>
        <w:tc>
          <w:tcPr>
            <w:tcW w:w="1570" w:type="dxa"/>
          </w:tcPr>
          <w:p w14:paraId="46D088A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1450</w:t>
            </w:r>
          </w:p>
        </w:tc>
        <w:tc>
          <w:tcPr>
            <w:tcW w:w="1570" w:type="dxa"/>
          </w:tcPr>
          <w:p w14:paraId="4917E9F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850 (с ТК)</w:t>
            </w:r>
          </w:p>
        </w:tc>
      </w:tr>
      <w:tr w:rsidR="00860B4B" w:rsidRPr="00D03F3E" w14:paraId="153A49E0" w14:textId="77777777">
        <w:tc>
          <w:tcPr>
            <w:tcW w:w="2802" w:type="dxa"/>
          </w:tcPr>
          <w:p w14:paraId="575FD75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границе высотности</w:t>
            </w:r>
          </w:p>
        </w:tc>
        <w:tc>
          <w:tcPr>
            <w:tcW w:w="1570" w:type="dxa"/>
          </w:tcPr>
          <w:p w14:paraId="12D45B1B" w14:textId="77777777" w:rsidR="00531570" w:rsidRPr="00D03F3E" w:rsidRDefault="00531570" w:rsidP="00D03F3E">
            <w:pPr>
              <w:pStyle w:val="Iauiue"/>
              <w:jc w:val="both"/>
              <w:rPr>
                <w:color w:val="000000" w:themeColor="text1"/>
                <w:sz w:val="16"/>
                <w:szCs w:val="16"/>
              </w:rPr>
            </w:pPr>
          </w:p>
        </w:tc>
        <w:tc>
          <w:tcPr>
            <w:tcW w:w="1570" w:type="dxa"/>
          </w:tcPr>
          <w:p w14:paraId="77B7C703" w14:textId="77777777" w:rsidR="00531570" w:rsidRPr="00D03F3E" w:rsidRDefault="00531570" w:rsidP="00D03F3E">
            <w:pPr>
              <w:pStyle w:val="Iauiue"/>
              <w:jc w:val="both"/>
              <w:rPr>
                <w:color w:val="000000" w:themeColor="text1"/>
                <w:sz w:val="16"/>
                <w:szCs w:val="16"/>
              </w:rPr>
            </w:pPr>
          </w:p>
        </w:tc>
        <w:tc>
          <w:tcPr>
            <w:tcW w:w="1570" w:type="dxa"/>
          </w:tcPr>
          <w:p w14:paraId="605AC4BC" w14:textId="77777777" w:rsidR="00531570" w:rsidRPr="00D03F3E" w:rsidRDefault="00531570" w:rsidP="00D03F3E">
            <w:pPr>
              <w:pStyle w:val="Iauiue"/>
              <w:jc w:val="both"/>
              <w:rPr>
                <w:color w:val="000000" w:themeColor="text1"/>
                <w:sz w:val="16"/>
                <w:szCs w:val="16"/>
              </w:rPr>
            </w:pPr>
          </w:p>
        </w:tc>
      </w:tr>
      <w:tr w:rsidR="00860B4B" w:rsidRPr="00D03F3E" w14:paraId="7FE8DEA5" w14:textId="77777777">
        <w:tc>
          <w:tcPr>
            <w:tcW w:w="2802" w:type="dxa"/>
          </w:tcPr>
          <w:p w14:paraId="7830C73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Расчетная высота (с</w:t>
            </w:r>
          </w:p>
        </w:tc>
        <w:tc>
          <w:tcPr>
            <w:tcW w:w="1570" w:type="dxa"/>
          </w:tcPr>
          <w:p w14:paraId="0257E66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6600</w:t>
            </w:r>
          </w:p>
        </w:tc>
        <w:tc>
          <w:tcPr>
            <w:tcW w:w="1570" w:type="dxa"/>
          </w:tcPr>
          <w:p w14:paraId="012E80F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4400</w:t>
            </w:r>
          </w:p>
        </w:tc>
        <w:tc>
          <w:tcPr>
            <w:tcW w:w="1570" w:type="dxa"/>
          </w:tcPr>
          <w:p w14:paraId="701565A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8300</w:t>
            </w:r>
          </w:p>
        </w:tc>
      </w:tr>
      <w:tr w:rsidR="00860B4B" w:rsidRPr="00D03F3E" w14:paraId="54552C3C" w14:textId="77777777">
        <w:tc>
          <w:tcPr>
            <w:tcW w:w="2802" w:type="dxa"/>
          </w:tcPr>
          <w:p w14:paraId="23B2553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учетом скоростного</w:t>
            </w:r>
          </w:p>
        </w:tc>
        <w:tc>
          <w:tcPr>
            <w:tcW w:w="1570" w:type="dxa"/>
          </w:tcPr>
          <w:p w14:paraId="0B7B9013" w14:textId="77777777" w:rsidR="00531570" w:rsidRPr="00D03F3E" w:rsidRDefault="00531570" w:rsidP="00D03F3E">
            <w:pPr>
              <w:pStyle w:val="Iauiue"/>
              <w:jc w:val="both"/>
              <w:rPr>
                <w:color w:val="000000" w:themeColor="text1"/>
                <w:sz w:val="16"/>
                <w:szCs w:val="16"/>
              </w:rPr>
            </w:pPr>
          </w:p>
        </w:tc>
        <w:tc>
          <w:tcPr>
            <w:tcW w:w="1570" w:type="dxa"/>
          </w:tcPr>
          <w:p w14:paraId="1E52D6C3" w14:textId="77777777" w:rsidR="00531570" w:rsidRPr="00D03F3E" w:rsidRDefault="00531570" w:rsidP="00D03F3E">
            <w:pPr>
              <w:pStyle w:val="Iauiue"/>
              <w:jc w:val="both"/>
              <w:rPr>
                <w:color w:val="000000" w:themeColor="text1"/>
                <w:sz w:val="16"/>
                <w:szCs w:val="16"/>
              </w:rPr>
            </w:pPr>
          </w:p>
        </w:tc>
        <w:tc>
          <w:tcPr>
            <w:tcW w:w="1570" w:type="dxa"/>
          </w:tcPr>
          <w:p w14:paraId="6B05B09B" w14:textId="77777777" w:rsidR="00531570" w:rsidRPr="00D03F3E" w:rsidRDefault="00531570" w:rsidP="00D03F3E">
            <w:pPr>
              <w:pStyle w:val="Iauiue"/>
              <w:jc w:val="both"/>
              <w:rPr>
                <w:color w:val="000000" w:themeColor="text1"/>
                <w:sz w:val="16"/>
                <w:szCs w:val="16"/>
              </w:rPr>
            </w:pPr>
          </w:p>
        </w:tc>
      </w:tr>
      <w:tr w:rsidR="00860B4B" w:rsidRPr="00D03F3E" w14:paraId="31E835DF" w14:textId="77777777">
        <w:tc>
          <w:tcPr>
            <w:tcW w:w="2802" w:type="dxa"/>
          </w:tcPr>
          <w:p w14:paraId="628ED26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наддува)</w:t>
            </w:r>
          </w:p>
        </w:tc>
        <w:tc>
          <w:tcPr>
            <w:tcW w:w="1570" w:type="dxa"/>
          </w:tcPr>
          <w:p w14:paraId="1C2BE7F5" w14:textId="77777777" w:rsidR="00531570" w:rsidRPr="00D03F3E" w:rsidRDefault="00531570" w:rsidP="00D03F3E">
            <w:pPr>
              <w:pStyle w:val="Iauiue"/>
              <w:jc w:val="both"/>
              <w:rPr>
                <w:color w:val="000000" w:themeColor="text1"/>
                <w:sz w:val="16"/>
                <w:szCs w:val="16"/>
              </w:rPr>
            </w:pPr>
          </w:p>
        </w:tc>
        <w:tc>
          <w:tcPr>
            <w:tcW w:w="1570" w:type="dxa"/>
          </w:tcPr>
          <w:p w14:paraId="5B6E709A" w14:textId="77777777" w:rsidR="00531570" w:rsidRPr="00D03F3E" w:rsidRDefault="00531570" w:rsidP="00D03F3E">
            <w:pPr>
              <w:pStyle w:val="Iauiue"/>
              <w:jc w:val="both"/>
              <w:rPr>
                <w:color w:val="000000" w:themeColor="text1"/>
                <w:sz w:val="16"/>
                <w:szCs w:val="16"/>
              </w:rPr>
            </w:pPr>
          </w:p>
        </w:tc>
        <w:tc>
          <w:tcPr>
            <w:tcW w:w="1570" w:type="dxa"/>
          </w:tcPr>
          <w:p w14:paraId="36E2B28A" w14:textId="77777777" w:rsidR="00531570" w:rsidRPr="00D03F3E" w:rsidRDefault="00531570" w:rsidP="00D03F3E">
            <w:pPr>
              <w:pStyle w:val="Iauiue"/>
              <w:jc w:val="both"/>
              <w:rPr>
                <w:color w:val="000000" w:themeColor="text1"/>
                <w:sz w:val="16"/>
                <w:szCs w:val="16"/>
              </w:rPr>
            </w:pPr>
          </w:p>
        </w:tc>
      </w:tr>
      <w:tr w:rsidR="00860B4B" w:rsidRPr="00D03F3E" w14:paraId="7B08ABA8" w14:textId="77777777">
        <w:tc>
          <w:tcPr>
            <w:tcW w:w="2802" w:type="dxa"/>
          </w:tcPr>
          <w:p w14:paraId="3467686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Мощность у земли</w:t>
            </w:r>
          </w:p>
        </w:tc>
        <w:tc>
          <w:tcPr>
            <w:tcW w:w="1570" w:type="dxa"/>
          </w:tcPr>
          <w:p w14:paraId="7E1D20B0" w14:textId="77777777" w:rsidR="00531570" w:rsidRPr="00D03F3E" w:rsidRDefault="00531570" w:rsidP="00D03F3E">
            <w:pPr>
              <w:pStyle w:val="Iauiue"/>
              <w:jc w:val="both"/>
              <w:rPr>
                <w:color w:val="000000" w:themeColor="text1"/>
                <w:sz w:val="16"/>
                <w:szCs w:val="16"/>
              </w:rPr>
            </w:pPr>
          </w:p>
        </w:tc>
        <w:tc>
          <w:tcPr>
            <w:tcW w:w="1570" w:type="dxa"/>
          </w:tcPr>
          <w:p w14:paraId="3E7C0802" w14:textId="77777777" w:rsidR="00531570" w:rsidRPr="00D03F3E" w:rsidRDefault="00531570" w:rsidP="00D03F3E">
            <w:pPr>
              <w:pStyle w:val="Iauiue"/>
              <w:jc w:val="both"/>
              <w:rPr>
                <w:color w:val="000000" w:themeColor="text1"/>
                <w:sz w:val="16"/>
                <w:szCs w:val="16"/>
              </w:rPr>
            </w:pPr>
          </w:p>
        </w:tc>
        <w:tc>
          <w:tcPr>
            <w:tcW w:w="1570" w:type="dxa"/>
          </w:tcPr>
          <w:p w14:paraId="374C092C" w14:textId="77777777" w:rsidR="00531570" w:rsidRPr="00D03F3E" w:rsidRDefault="00531570" w:rsidP="00D03F3E">
            <w:pPr>
              <w:pStyle w:val="Iauiue"/>
              <w:jc w:val="both"/>
              <w:rPr>
                <w:color w:val="000000" w:themeColor="text1"/>
                <w:sz w:val="16"/>
                <w:szCs w:val="16"/>
              </w:rPr>
            </w:pPr>
          </w:p>
        </w:tc>
      </w:tr>
      <w:tr w:rsidR="00860B4B" w:rsidRPr="00D03F3E" w14:paraId="60E1897C" w14:textId="77777777">
        <w:tc>
          <w:tcPr>
            <w:tcW w:w="2802" w:type="dxa"/>
          </w:tcPr>
          <w:p w14:paraId="16AE419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номинальная</w:t>
            </w:r>
          </w:p>
        </w:tc>
        <w:tc>
          <w:tcPr>
            <w:tcW w:w="1570" w:type="dxa"/>
          </w:tcPr>
          <w:p w14:paraId="36173DE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950</w:t>
            </w:r>
          </w:p>
        </w:tc>
        <w:tc>
          <w:tcPr>
            <w:tcW w:w="1570" w:type="dxa"/>
          </w:tcPr>
          <w:p w14:paraId="34AED76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1500</w:t>
            </w:r>
          </w:p>
        </w:tc>
        <w:tc>
          <w:tcPr>
            <w:tcW w:w="1570" w:type="dxa"/>
          </w:tcPr>
          <w:p w14:paraId="328985D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1060</w:t>
            </w:r>
          </w:p>
        </w:tc>
      </w:tr>
      <w:tr w:rsidR="00860B4B" w:rsidRPr="00D03F3E" w14:paraId="42858822" w14:textId="77777777">
        <w:tc>
          <w:tcPr>
            <w:tcW w:w="2802" w:type="dxa"/>
          </w:tcPr>
          <w:p w14:paraId="4764533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То же при 3-х мин.</w:t>
            </w:r>
          </w:p>
        </w:tc>
        <w:tc>
          <w:tcPr>
            <w:tcW w:w="1570" w:type="dxa"/>
          </w:tcPr>
          <w:p w14:paraId="6ED8E71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1100</w:t>
            </w:r>
          </w:p>
        </w:tc>
        <w:tc>
          <w:tcPr>
            <w:tcW w:w="1570" w:type="dxa"/>
          </w:tcPr>
          <w:p w14:paraId="1225C76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1700</w:t>
            </w:r>
          </w:p>
        </w:tc>
        <w:tc>
          <w:tcPr>
            <w:tcW w:w="1570" w:type="dxa"/>
          </w:tcPr>
          <w:p w14:paraId="4E5F8BD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1200</w:t>
            </w:r>
          </w:p>
        </w:tc>
      </w:tr>
      <w:tr w:rsidR="00860B4B" w:rsidRPr="00D03F3E" w14:paraId="40D41164" w14:textId="77777777">
        <w:tc>
          <w:tcPr>
            <w:tcW w:w="2802" w:type="dxa"/>
          </w:tcPr>
          <w:p w14:paraId="17C45AF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форсаже</w:t>
            </w:r>
          </w:p>
        </w:tc>
        <w:tc>
          <w:tcPr>
            <w:tcW w:w="1570" w:type="dxa"/>
          </w:tcPr>
          <w:p w14:paraId="62E19A2D" w14:textId="77777777" w:rsidR="00531570" w:rsidRPr="00D03F3E" w:rsidRDefault="00531570" w:rsidP="00D03F3E">
            <w:pPr>
              <w:pStyle w:val="Iauiue"/>
              <w:jc w:val="both"/>
              <w:rPr>
                <w:color w:val="000000" w:themeColor="text1"/>
                <w:sz w:val="16"/>
                <w:szCs w:val="16"/>
              </w:rPr>
            </w:pPr>
          </w:p>
        </w:tc>
        <w:tc>
          <w:tcPr>
            <w:tcW w:w="1570" w:type="dxa"/>
          </w:tcPr>
          <w:p w14:paraId="03E4AD42" w14:textId="77777777" w:rsidR="00531570" w:rsidRPr="00D03F3E" w:rsidRDefault="00531570" w:rsidP="00D03F3E">
            <w:pPr>
              <w:pStyle w:val="Iauiue"/>
              <w:jc w:val="both"/>
              <w:rPr>
                <w:color w:val="000000" w:themeColor="text1"/>
                <w:sz w:val="16"/>
                <w:szCs w:val="16"/>
              </w:rPr>
            </w:pPr>
          </w:p>
        </w:tc>
        <w:tc>
          <w:tcPr>
            <w:tcW w:w="1570" w:type="dxa"/>
          </w:tcPr>
          <w:p w14:paraId="76D76895" w14:textId="77777777" w:rsidR="00531570" w:rsidRPr="00D03F3E" w:rsidRDefault="00531570" w:rsidP="00D03F3E">
            <w:pPr>
              <w:pStyle w:val="Iauiue"/>
              <w:jc w:val="both"/>
              <w:rPr>
                <w:color w:val="000000" w:themeColor="text1"/>
                <w:sz w:val="16"/>
                <w:szCs w:val="16"/>
              </w:rPr>
            </w:pPr>
          </w:p>
        </w:tc>
      </w:tr>
      <w:tr w:rsidR="00860B4B" w:rsidRPr="00D03F3E" w14:paraId="399D4ABA" w14:textId="77777777">
        <w:tc>
          <w:tcPr>
            <w:tcW w:w="2802" w:type="dxa"/>
          </w:tcPr>
          <w:p w14:paraId="22AC0D8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Максимальная скор.</w:t>
            </w:r>
          </w:p>
        </w:tc>
        <w:tc>
          <w:tcPr>
            <w:tcW w:w="1570" w:type="dxa"/>
          </w:tcPr>
          <w:p w14:paraId="3D8F087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410</w:t>
            </w:r>
          </w:p>
        </w:tc>
        <w:tc>
          <w:tcPr>
            <w:tcW w:w="1570" w:type="dxa"/>
          </w:tcPr>
          <w:p w14:paraId="3343DD8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428</w:t>
            </w:r>
          </w:p>
        </w:tc>
        <w:tc>
          <w:tcPr>
            <w:tcW w:w="1570" w:type="dxa"/>
          </w:tcPr>
          <w:p w14:paraId="4D971F6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415</w:t>
            </w:r>
          </w:p>
        </w:tc>
      </w:tr>
      <w:tr w:rsidR="00860B4B" w:rsidRPr="00D03F3E" w14:paraId="2892A248" w14:textId="77777777">
        <w:tc>
          <w:tcPr>
            <w:tcW w:w="2802" w:type="dxa"/>
          </w:tcPr>
          <w:p w14:paraId="624888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расчетн. высоте</w:t>
            </w:r>
          </w:p>
        </w:tc>
        <w:tc>
          <w:tcPr>
            <w:tcW w:w="1570" w:type="dxa"/>
          </w:tcPr>
          <w:p w14:paraId="13B8DCC3" w14:textId="77777777" w:rsidR="00531570" w:rsidRPr="00D03F3E" w:rsidRDefault="00531570" w:rsidP="00D03F3E">
            <w:pPr>
              <w:pStyle w:val="Iauiue"/>
              <w:jc w:val="both"/>
              <w:rPr>
                <w:color w:val="000000" w:themeColor="text1"/>
                <w:sz w:val="16"/>
                <w:szCs w:val="16"/>
              </w:rPr>
            </w:pPr>
          </w:p>
        </w:tc>
        <w:tc>
          <w:tcPr>
            <w:tcW w:w="1570" w:type="dxa"/>
          </w:tcPr>
          <w:p w14:paraId="35F9EC53" w14:textId="77777777" w:rsidR="00531570" w:rsidRPr="00D03F3E" w:rsidRDefault="00531570" w:rsidP="00D03F3E">
            <w:pPr>
              <w:pStyle w:val="Iauiue"/>
              <w:jc w:val="both"/>
              <w:rPr>
                <w:color w:val="000000" w:themeColor="text1"/>
                <w:sz w:val="16"/>
                <w:szCs w:val="16"/>
              </w:rPr>
            </w:pPr>
          </w:p>
        </w:tc>
        <w:tc>
          <w:tcPr>
            <w:tcW w:w="1570" w:type="dxa"/>
          </w:tcPr>
          <w:p w14:paraId="4FEBEA91" w14:textId="77777777" w:rsidR="00531570" w:rsidRPr="00D03F3E" w:rsidRDefault="00531570" w:rsidP="00D03F3E">
            <w:pPr>
              <w:pStyle w:val="Iauiue"/>
              <w:jc w:val="both"/>
              <w:rPr>
                <w:color w:val="000000" w:themeColor="text1"/>
                <w:sz w:val="16"/>
                <w:szCs w:val="16"/>
              </w:rPr>
            </w:pPr>
          </w:p>
        </w:tc>
      </w:tr>
      <w:tr w:rsidR="00860B4B" w:rsidRPr="00D03F3E" w14:paraId="4C0C2577" w14:textId="77777777">
        <w:tc>
          <w:tcPr>
            <w:tcW w:w="2802" w:type="dxa"/>
          </w:tcPr>
          <w:p w14:paraId="1C68635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Дальность на 0,8 V макс.</w:t>
            </w:r>
          </w:p>
        </w:tc>
        <w:tc>
          <w:tcPr>
            <w:tcW w:w="1570" w:type="dxa"/>
          </w:tcPr>
          <w:p w14:paraId="6BB71F5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3000</w:t>
            </w:r>
          </w:p>
        </w:tc>
        <w:tc>
          <w:tcPr>
            <w:tcW w:w="1570" w:type="dxa"/>
          </w:tcPr>
          <w:p w14:paraId="6B3A7C0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2300</w:t>
            </w:r>
          </w:p>
        </w:tc>
        <w:tc>
          <w:tcPr>
            <w:tcW w:w="1570" w:type="dxa"/>
          </w:tcPr>
          <w:p w14:paraId="3DB4617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3300</w:t>
            </w:r>
          </w:p>
        </w:tc>
      </w:tr>
      <w:tr w:rsidR="00860B4B" w:rsidRPr="00D03F3E" w14:paraId="2DFAEC14" w14:textId="77777777">
        <w:tc>
          <w:tcPr>
            <w:tcW w:w="2802" w:type="dxa"/>
          </w:tcPr>
          <w:p w14:paraId="09061D2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Диаметр винтов</w:t>
            </w:r>
          </w:p>
        </w:tc>
        <w:tc>
          <w:tcPr>
            <w:tcW w:w="1570" w:type="dxa"/>
          </w:tcPr>
          <w:p w14:paraId="4A99094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3,25</w:t>
            </w:r>
          </w:p>
        </w:tc>
        <w:tc>
          <w:tcPr>
            <w:tcW w:w="1570" w:type="dxa"/>
          </w:tcPr>
          <w:p w14:paraId="6C04E3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3,6</w:t>
            </w:r>
          </w:p>
        </w:tc>
        <w:tc>
          <w:tcPr>
            <w:tcW w:w="1570" w:type="dxa"/>
          </w:tcPr>
          <w:p w14:paraId="128FB40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3,5</w:t>
            </w:r>
          </w:p>
        </w:tc>
      </w:tr>
      <w:tr w:rsidR="00860B4B" w:rsidRPr="00D03F3E" w14:paraId="7B56C9E7" w14:textId="77777777">
        <w:tc>
          <w:tcPr>
            <w:tcW w:w="2802" w:type="dxa"/>
          </w:tcPr>
          <w:p w14:paraId="0E3F8C3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Число оборотов винта</w:t>
            </w:r>
          </w:p>
        </w:tc>
        <w:tc>
          <w:tcPr>
            <w:tcW w:w="1570" w:type="dxa"/>
          </w:tcPr>
          <w:p w14:paraId="36F1EDD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1530</w:t>
            </w:r>
          </w:p>
        </w:tc>
        <w:tc>
          <w:tcPr>
            <w:tcW w:w="1570" w:type="dxa"/>
          </w:tcPr>
          <w:p w14:paraId="7A3F551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1460</w:t>
            </w:r>
          </w:p>
        </w:tc>
        <w:tc>
          <w:tcPr>
            <w:tcW w:w="1570" w:type="dxa"/>
          </w:tcPr>
          <w:p w14:paraId="6AAFF4F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1510</w:t>
            </w:r>
          </w:p>
        </w:tc>
      </w:tr>
      <w:tr w:rsidR="00860B4B" w:rsidRPr="00D03F3E" w14:paraId="405B20EF" w14:textId="77777777">
        <w:tc>
          <w:tcPr>
            <w:tcW w:w="2802" w:type="dxa"/>
          </w:tcPr>
          <w:p w14:paraId="4B8C990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 взлете</w:t>
            </w:r>
          </w:p>
        </w:tc>
        <w:tc>
          <w:tcPr>
            <w:tcW w:w="1570" w:type="dxa"/>
          </w:tcPr>
          <w:p w14:paraId="6BD69F64" w14:textId="77777777" w:rsidR="00531570" w:rsidRPr="00D03F3E" w:rsidRDefault="00531570" w:rsidP="00D03F3E">
            <w:pPr>
              <w:pStyle w:val="Iauiue"/>
              <w:jc w:val="both"/>
              <w:rPr>
                <w:color w:val="000000" w:themeColor="text1"/>
                <w:sz w:val="16"/>
                <w:szCs w:val="16"/>
              </w:rPr>
            </w:pPr>
          </w:p>
        </w:tc>
        <w:tc>
          <w:tcPr>
            <w:tcW w:w="1570" w:type="dxa"/>
          </w:tcPr>
          <w:p w14:paraId="23ADABFA" w14:textId="77777777" w:rsidR="00531570" w:rsidRPr="00D03F3E" w:rsidRDefault="00531570" w:rsidP="00D03F3E">
            <w:pPr>
              <w:pStyle w:val="Iauiue"/>
              <w:jc w:val="both"/>
              <w:rPr>
                <w:color w:val="000000" w:themeColor="text1"/>
                <w:sz w:val="16"/>
                <w:szCs w:val="16"/>
              </w:rPr>
            </w:pPr>
          </w:p>
        </w:tc>
        <w:tc>
          <w:tcPr>
            <w:tcW w:w="1570" w:type="dxa"/>
          </w:tcPr>
          <w:p w14:paraId="58AB57FB" w14:textId="77777777" w:rsidR="00531570" w:rsidRPr="00D03F3E" w:rsidRDefault="00531570" w:rsidP="00D03F3E">
            <w:pPr>
              <w:pStyle w:val="Iauiue"/>
              <w:jc w:val="both"/>
              <w:rPr>
                <w:color w:val="000000" w:themeColor="text1"/>
                <w:sz w:val="16"/>
                <w:szCs w:val="16"/>
              </w:rPr>
            </w:pPr>
          </w:p>
        </w:tc>
      </w:tr>
      <w:tr w:rsidR="00860B4B" w:rsidRPr="00D03F3E" w14:paraId="63EC8750" w14:textId="77777777">
        <w:tc>
          <w:tcPr>
            <w:tcW w:w="2802" w:type="dxa"/>
          </w:tcPr>
          <w:p w14:paraId="030B481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Длина разбега (при</w:t>
            </w:r>
          </w:p>
        </w:tc>
        <w:tc>
          <w:tcPr>
            <w:tcW w:w="1570" w:type="dxa"/>
          </w:tcPr>
          <w:p w14:paraId="62DA71D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900</w:t>
            </w:r>
          </w:p>
        </w:tc>
        <w:tc>
          <w:tcPr>
            <w:tcW w:w="1570" w:type="dxa"/>
          </w:tcPr>
          <w:p w14:paraId="714D9E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520</w:t>
            </w:r>
          </w:p>
        </w:tc>
        <w:tc>
          <w:tcPr>
            <w:tcW w:w="1570" w:type="dxa"/>
          </w:tcPr>
          <w:p w14:paraId="49B5F10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900</w:t>
            </w:r>
          </w:p>
        </w:tc>
      </w:tr>
      <w:tr w:rsidR="00860B4B" w:rsidRPr="00D03F3E" w14:paraId="0CE20397" w14:textId="77777777">
        <w:tc>
          <w:tcPr>
            <w:tcW w:w="2802" w:type="dxa"/>
          </w:tcPr>
          <w:p w14:paraId="040FE5E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весе с М-88Б G=11300 кг)</w:t>
            </w:r>
          </w:p>
        </w:tc>
        <w:tc>
          <w:tcPr>
            <w:tcW w:w="1570" w:type="dxa"/>
          </w:tcPr>
          <w:p w14:paraId="70F285BC" w14:textId="77777777" w:rsidR="00531570" w:rsidRPr="00D03F3E" w:rsidRDefault="00531570" w:rsidP="00D03F3E">
            <w:pPr>
              <w:pStyle w:val="Iauiue"/>
              <w:jc w:val="both"/>
              <w:rPr>
                <w:color w:val="000000" w:themeColor="text1"/>
                <w:sz w:val="16"/>
                <w:szCs w:val="16"/>
              </w:rPr>
            </w:pPr>
          </w:p>
        </w:tc>
        <w:tc>
          <w:tcPr>
            <w:tcW w:w="1570" w:type="dxa"/>
          </w:tcPr>
          <w:p w14:paraId="23016274" w14:textId="77777777" w:rsidR="00531570" w:rsidRPr="00D03F3E" w:rsidRDefault="00531570" w:rsidP="00D03F3E">
            <w:pPr>
              <w:pStyle w:val="Iauiue"/>
              <w:jc w:val="both"/>
              <w:rPr>
                <w:color w:val="000000" w:themeColor="text1"/>
                <w:sz w:val="16"/>
                <w:szCs w:val="16"/>
              </w:rPr>
            </w:pPr>
          </w:p>
        </w:tc>
        <w:tc>
          <w:tcPr>
            <w:tcW w:w="1570" w:type="dxa"/>
          </w:tcPr>
          <w:p w14:paraId="072AB803" w14:textId="77777777" w:rsidR="00531570" w:rsidRPr="00D03F3E" w:rsidRDefault="00531570" w:rsidP="00D03F3E">
            <w:pPr>
              <w:pStyle w:val="Iauiue"/>
              <w:jc w:val="both"/>
              <w:rPr>
                <w:color w:val="000000" w:themeColor="text1"/>
                <w:sz w:val="16"/>
                <w:szCs w:val="16"/>
              </w:rPr>
            </w:pPr>
          </w:p>
        </w:tc>
      </w:tr>
    </w:tbl>
    <w:p w14:paraId="55B069A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Дальность самолета Ил-4 при установке на него моторов Райт R-2600 ухудшается: при небольшом возрастании скорости на 2-й границе высотности до 428 км/час, дальность полета снижается до 2300 км. С конструктивной стороны установка этих моторов потребует примерно тех же изменений, что и установка моторов М-82.</w:t>
      </w:r>
    </w:p>
    <w:p w14:paraId="6BD3306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Мотор Пратт-Уитни R-1830-33, не изменяя практически скоростных и взлетных свойств самолета Ил-4, повышает дальность этого самолета приблизительно на 300 км, вследствие большей высотности мотора Пратт-Уитни с ТК.</w:t>
      </w:r>
    </w:p>
    <w:p w14:paraId="1FF47A0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Установка моторов Пратт-Уитни R-1830-33 требует турбокомпрессоров, еще плохо освоенных у нас в эксплуатации и связана с трудностями в компоновке и их размещении на самолете. и надежности работы ТК из-за длинных коммуникаций в случае установки моторов Пратт-Уитни R1830-33 с ТК для предварительного опробования и проверки эксплуатационных свойств.</w:t>
      </w:r>
    </w:p>
    <w:p w14:paraId="00F9D7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Вопрос о закупке крупных партий этих моторов для самолетов Ил-4 возможно будет решить только в случае получения положительных результатов предварительных испытаний.</w:t>
      </w:r>
    </w:p>
    <w:p w14:paraId="0BDB7FD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Таким образом, из иностранных моторов Райт R-2600 и Пратт-Уитни R-1830-33 возможно остановиться только на моторе Пратт-Уитни R-1830-33, т.к. мотор R-2600 значительно ухудшает дальность самолета Ил-4 и увеличивает его вес.</w:t>
      </w:r>
    </w:p>
    <w:p w14:paraId="7EC468A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Учитывая, что ГК С.В.И. проводится работа по установке ТК-3 на самолете Ил-4 с М-88Б и что им высказаны опасения в трудности размещения ТК на самолете и надежности работы ТК из-за длинных коммуникаций в случае установки моторов Пратт-Уитни R-1830-33, целесообразно закупить 5-6 шт. этих моторов с ТК для предварительного опробования и проверки эксплуатационных свойств.</w:t>
      </w:r>
    </w:p>
    <w:p w14:paraId="4FEF6BD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Вопрос о закупке крупных партий этих моторов для самолетов Ил-4 возможно будет решить только в случае получения положительных результатов предварительных испытаний (1458,313).</w:t>
      </w:r>
    </w:p>
    <w:p w14:paraId="2F096DA0" w14:textId="77777777" w:rsidR="00531570" w:rsidRPr="00D03F3E" w:rsidRDefault="00531570" w:rsidP="00D03F3E">
      <w:pPr>
        <w:pStyle w:val="Iauiue"/>
        <w:jc w:val="both"/>
        <w:rPr>
          <w:color w:val="000000" w:themeColor="text1"/>
          <w:sz w:val="16"/>
          <w:szCs w:val="16"/>
        </w:rPr>
      </w:pPr>
    </w:p>
    <w:p w14:paraId="17BF6E6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июня 1943 вышел приказ НКАП N 348сс "О создании инспекций по качеству НКАП (886,64).</w:t>
      </w:r>
    </w:p>
    <w:p w14:paraId="25FAAEF2" w14:textId="77777777" w:rsidR="00531570" w:rsidRPr="00D03F3E" w:rsidRDefault="00531570" w:rsidP="00D03F3E">
      <w:pPr>
        <w:pStyle w:val="Iauiue"/>
        <w:jc w:val="both"/>
        <w:rPr>
          <w:color w:val="000000" w:themeColor="text1"/>
          <w:sz w:val="16"/>
          <w:szCs w:val="16"/>
        </w:rPr>
      </w:pPr>
    </w:p>
    <w:p w14:paraId="1D1651BC"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11 июня 1943 г. в Перми было образовано авиаагрегатное КБ (ныне АО "Стар") (6395).</w:t>
      </w:r>
    </w:p>
    <w:p w14:paraId="7C4A4846" w14:textId="77777777" w:rsidR="00531570" w:rsidRPr="00D03F3E" w:rsidRDefault="00531570" w:rsidP="00D03F3E">
      <w:pPr>
        <w:pStyle w:val="Iauiue"/>
        <w:tabs>
          <w:tab w:val="left" w:pos="11199"/>
        </w:tabs>
        <w:jc w:val="both"/>
        <w:rPr>
          <w:color w:val="000000" w:themeColor="text1"/>
          <w:sz w:val="16"/>
          <w:szCs w:val="16"/>
        </w:rPr>
      </w:pPr>
    </w:p>
    <w:p w14:paraId="48C3A15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июня 1943 года вышел приказ № 242 НКАП</w:t>
      </w:r>
    </w:p>
    <w:p w14:paraId="1412310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Переданную Постановлением ГОКО № 3218/с от 21 апреля 1943 года из системы Наркомместпрома РСФСР в систему НКАП Экспериментальную фабрику грампластинок Ростокинского района Москвы, включить в состав завода № 118 5 гл. управления НКАП специально для производства пластмасс (8922).</w:t>
      </w:r>
    </w:p>
    <w:p w14:paraId="18F05F0C" w14:textId="77777777" w:rsidR="00531570" w:rsidRPr="00D03F3E" w:rsidRDefault="00531570" w:rsidP="00D03F3E">
      <w:pPr>
        <w:pStyle w:val="Iauiue"/>
        <w:jc w:val="both"/>
        <w:rPr>
          <w:color w:val="000000" w:themeColor="text1"/>
          <w:sz w:val="16"/>
          <w:szCs w:val="16"/>
        </w:rPr>
      </w:pPr>
    </w:p>
    <w:p w14:paraId="587AFFF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июня 1943 го</w:t>
      </w:r>
      <w:r w:rsidRPr="00D03F3E">
        <w:rPr>
          <w:rFonts w:ascii="Times New Roman" w:hAnsi="Times New Roman"/>
          <w:color w:val="000000" w:themeColor="text1"/>
          <w:sz w:val="16"/>
          <w:szCs w:val="16"/>
        </w:rPr>
        <w:softHyphen/>
        <w:t>да Камов был принят на завод № 456 НКАП на должность инспектора при директоре и начальника конструкторской группы. Кроме Камова в группе работали П.С.Серков и М.Н.Лебедева (10224,56).</w:t>
      </w:r>
    </w:p>
    <w:p w14:paraId="01BB625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0CB80D0E" w14:textId="77777777" w:rsidR="00ED4EED" w:rsidRPr="00D03F3E" w:rsidRDefault="00ED4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июня 1943 г. в структуре НКАП была создана главная инспекция по качеству, которой предоставлялись широкие полномочия по проверке соответствия выпускавшихся изделий на всех этапах их производства и эксплуатации нормативным требованиям. Примечательно, что начальником этой службы назначили знаменитого летчика-испытателя Героя Советского Союза В.К. Коккинаки. Одновременно на всех крупных заводах вводилась должность главного контролера качества, входившая в номенклатуру ЦК партии.</w:t>
      </w:r>
    </w:p>
    <w:p w14:paraId="0BD99215" w14:textId="77777777" w:rsidR="00ED4EED" w:rsidRPr="00D03F3E" w:rsidRDefault="00ED4EE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Свою лепту в повышение качества боевой авиатехники внесли и функционировавшие при авиазаводах военные представительства заказчика, административно независимые от менеджмента предприятий и сформированные в основном из квалифицированных инженеров. Тем не менее, поскольку изначально в основе народнохозяйственной модели страны лежал приоритет количества продукции над ее качеством (что усугубилось в чрезвычайных условиях военного времени), объемы производственного брака в авиастроении сколько-нибудь существенно снизить так и не удалось. В 1944 г. серьезные и массовые производственные дефекты были выявлены в ходе боевой эксплуатации нового истребителя Як-9У (при полетных перегрузках отваливались крылья). Уже после войны «козлами отпущения» за эти пороки системы Сталин сделал некоторых руководителей авиастроения и ВВС (18305).</w:t>
      </w:r>
    </w:p>
    <w:p w14:paraId="34C5D862" w14:textId="77777777" w:rsidR="00ED4EED" w:rsidRPr="00D03F3E" w:rsidRDefault="00ED4EED" w:rsidP="00D03F3E">
      <w:pPr>
        <w:spacing w:after="0" w:line="240" w:lineRule="auto"/>
        <w:jc w:val="both"/>
        <w:rPr>
          <w:rFonts w:ascii="Times New Roman" w:hAnsi="Times New Roman"/>
          <w:color w:val="000000" w:themeColor="text1"/>
          <w:sz w:val="16"/>
          <w:szCs w:val="16"/>
        </w:rPr>
      </w:pPr>
    </w:p>
    <w:p w14:paraId="250AEAFE"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2EE5D87C" w14:textId="77777777" w:rsidR="00531570" w:rsidRPr="00D03F3E" w:rsidRDefault="00531570" w:rsidP="00D03F3E">
      <w:pPr>
        <w:pStyle w:val="Iauiue"/>
        <w:jc w:val="both"/>
        <w:rPr>
          <w:iCs/>
          <w:color w:val="000000" w:themeColor="text1"/>
          <w:sz w:val="16"/>
          <w:szCs w:val="16"/>
        </w:rPr>
      </w:pPr>
    </w:p>
    <w:p w14:paraId="42AEC817"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11 июня 1943 года вышел Приказ 2-го Главное управление Наркомата минометного вооружения № 6 (6840):</w:t>
      </w:r>
    </w:p>
    <w:p w14:paraId="463EF94A"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Директор завода № 764 Дроздков</w:t>
      </w:r>
    </w:p>
    <w:p w14:paraId="78EE6B0A"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Директор завода № 774 Тумаркин</w:t>
      </w:r>
    </w:p>
    <w:p w14:paraId="6D8D52B2"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Директор завода № 731 Салтанов</w:t>
      </w:r>
    </w:p>
    <w:p w14:paraId="61AA5E70"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Директор завода № 770 Исаков</w:t>
      </w:r>
    </w:p>
    <w:p w14:paraId="5FF5DE8E"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Директор завода № 716 Рудов</w:t>
      </w:r>
    </w:p>
    <w:p w14:paraId="7667CEB1"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Директор завода № 723 Иванов (6840).</w:t>
      </w:r>
    </w:p>
    <w:p w14:paraId="077145BB" w14:textId="77777777" w:rsidR="00531570" w:rsidRPr="00D03F3E" w:rsidRDefault="00531570" w:rsidP="00D03F3E">
      <w:pPr>
        <w:pStyle w:val="Iauiue"/>
        <w:tabs>
          <w:tab w:val="left" w:pos="11199"/>
        </w:tabs>
        <w:jc w:val="both"/>
        <w:rPr>
          <w:color w:val="000000" w:themeColor="text1"/>
          <w:sz w:val="16"/>
          <w:szCs w:val="16"/>
        </w:rPr>
      </w:pPr>
    </w:p>
    <w:p w14:paraId="1F8CB9ED" w14:textId="77777777" w:rsidR="00A167DD" w:rsidRPr="00D03F3E" w:rsidRDefault="00A167DD"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11 июня 1943 года Горьковский городской комитет обороны (ГГКО) обязал директора авиазавода №21 С.И. Агаджанова переключить управление коммунальных служб завода на выполнение работ по восстановлению цехов и жилых домов завода №466, закончив работы по производственным цехам к 1 июля </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1943 г</w:t>
        </w:r>
      </w:smartTag>
      <w:r w:rsidRPr="00D03F3E">
        <w:rPr>
          <w:rFonts w:ascii="Times New Roman" w:hAnsi="Times New Roman"/>
          <w:color w:val="000000" w:themeColor="text1"/>
          <w:sz w:val="16"/>
          <w:szCs w:val="16"/>
        </w:rPr>
        <w:t xml:space="preserve">., по жилым </w:t>
      </w:r>
      <w:r w:rsidRPr="00D03F3E">
        <w:rPr>
          <w:rFonts w:ascii="Times New Roman" w:hAnsi="Times New Roman"/>
          <w:color w:val="000000" w:themeColor="text1"/>
          <w:sz w:val="16"/>
          <w:szCs w:val="16"/>
        </w:rPr>
        <w:lastRenderedPageBreak/>
        <w:t>домам – к 15 июля 1943 года (15218).</w:t>
      </w:r>
    </w:p>
    <w:p w14:paraId="74C58C44" w14:textId="77777777" w:rsidR="00A167DD" w:rsidRPr="00D03F3E" w:rsidRDefault="00A167DD" w:rsidP="00D03F3E">
      <w:pPr>
        <w:widowControl w:val="0"/>
        <w:spacing w:after="0" w:line="240" w:lineRule="auto"/>
        <w:jc w:val="both"/>
        <w:rPr>
          <w:rFonts w:ascii="Times New Roman" w:hAnsi="Times New Roman"/>
          <w:color w:val="000000" w:themeColor="text1"/>
          <w:sz w:val="16"/>
          <w:szCs w:val="16"/>
        </w:rPr>
      </w:pPr>
    </w:p>
    <w:p w14:paraId="59A2FE5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июня 1943 вышло Постановление ГКО № 3549 О плане производства и распределения уксусной кислоты в системе Наркомлеса СССР на июнь 1943 года.РГАНИР, Фонд ГКО, д. 125, лл. 99 (11012).</w:t>
      </w:r>
    </w:p>
    <w:p w14:paraId="5D054B1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F1F981D"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11 июня 1943 вышло Распоряжение ГКО № 3550 [О распространении действия 3,4,7-го пунктов постановления ГКО № 2774 от 20 января 1943 г. на городские коммунальные электростанции и электросети в освобожденных районах.] (7114, 100,101).</w:t>
      </w:r>
    </w:p>
    <w:p w14:paraId="6A1B5EAF" w14:textId="77777777" w:rsidR="00531570" w:rsidRPr="00D03F3E" w:rsidRDefault="00531570" w:rsidP="00D03F3E">
      <w:pPr>
        <w:pStyle w:val="Iauiue"/>
        <w:tabs>
          <w:tab w:val="left" w:pos="11199"/>
        </w:tabs>
        <w:jc w:val="both"/>
        <w:rPr>
          <w:color w:val="000000" w:themeColor="text1"/>
          <w:sz w:val="16"/>
          <w:szCs w:val="16"/>
        </w:rPr>
      </w:pPr>
    </w:p>
    <w:p w14:paraId="370C4AB9"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11 июня 1943 вышло Постановление ГКО № 3552 [Об утверждении мощности Вилухинской гидростанции на р. Усьве 11 тыс. квт.] (7114, 104).</w:t>
      </w:r>
    </w:p>
    <w:p w14:paraId="6D9B6B4E" w14:textId="77777777" w:rsidR="00531570" w:rsidRPr="00D03F3E" w:rsidRDefault="00531570" w:rsidP="00D03F3E">
      <w:pPr>
        <w:pStyle w:val="Iauiue"/>
        <w:tabs>
          <w:tab w:val="left" w:pos="11199"/>
        </w:tabs>
        <w:jc w:val="both"/>
        <w:rPr>
          <w:color w:val="000000" w:themeColor="text1"/>
          <w:sz w:val="16"/>
          <w:szCs w:val="16"/>
        </w:rPr>
      </w:pPr>
    </w:p>
    <w:p w14:paraId="7E706FD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июня 1943 вышло Постановление ГКО № 3553 О производстве ручной противотанковой гранаты направленного кумулятивного действия конструкции КБ-30 НКБ.РГАНИР, Фонд ГКО, д. 125, лл. 105-108, 109-114 (11012).</w:t>
      </w:r>
    </w:p>
    <w:p w14:paraId="3A7F898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9CB2A8D"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122C3366" w14:textId="77777777" w:rsidR="00531570" w:rsidRPr="00D03F3E" w:rsidRDefault="00531570" w:rsidP="00D03F3E">
      <w:pPr>
        <w:pStyle w:val="Iauiue"/>
        <w:jc w:val="both"/>
        <w:rPr>
          <w:iCs/>
          <w:color w:val="000000" w:themeColor="text1"/>
          <w:sz w:val="16"/>
          <w:szCs w:val="16"/>
        </w:rPr>
      </w:pPr>
    </w:p>
    <w:p w14:paraId="44BC912B"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11 июня</w:t>
      </w:r>
      <w:r w:rsidRPr="00D03F3E">
        <w:rPr>
          <w:rFonts w:ascii="Times New Roman" w:hAnsi="Times New Roman"/>
          <w:color w:val="000000" w:themeColor="text1"/>
          <w:sz w:val="16"/>
          <w:szCs w:val="16"/>
        </w:rPr>
        <w:t xml:space="preserve"> в 1943 году утреннее сообщение Совинформбюро:</w:t>
      </w:r>
    </w:p>
    <w:p w14:paraId="1119F28B"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на 11 июня на фронте ничего существенного не произошло.</w:t>
      </w:r>
    </w:p>
    <w:p w14:paraId="2B7A82C2"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разведывательный отряд Н-ской части ночью совершил вылазку в расположение противника. Наши бойцы уничтожили 70 гитлеровцев, взорвали 2 дзота и 5 блиндажей. Захватив 3 пулемёта и пленных, разведчики вернулись в свою часть.</w:t>
      </w:r>
    </w:p>
    <w:p w14:paraId="15F7122A"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рота пехоты и несколько танков противника пытались атаковать наши позиции. Огнём артиллерии и пехотного оружия гитлеровцы были рассеяны и частью уничтожены. Подбит один немецкий танк.</w:t>
      </w:r>
    </w:p>
    <w:p w14:paraId="428085E3"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Советские бомбардировщики ночью наносили удары по железнодорожным эшелонам и складам противника. B результате бомбардировки возникло много пожаров и отмечены сильные взрывы.</w:t>
      </w:r>
    </w:p>
    <w:p w14:paraId="579D2AE2"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артиллеристы Н-ской части совершили огневой налёт на железнодорожную станцию и взорвали немецкий эшелон с боеприпасами. На другом участке огнём артиллерии рассеяна автоколонна противника. Разбито 6 автомашин с грузами.</w:t>
      </w:r>
    </w:p>
    <w:p w14:paraId="4382FCA3"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снайперы Н-ской части за месяц истребили до 400 немецких солдат и офицеров. Красноармеец т. Сухенко и сержант т. Южанин уничтожили по 45 гитлеровцев каждый, снайпер т. Чингаев — 35, снайпер т. Меньшиков истребил 33 немца.</w:t>
      </w:r>
    </w:p>
    <w:p w14:paraId="1322DF92"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житомирских партизан вёл бой против немецкой карательной экспедиции. Партизаны истребили 48 вражеских солдат, уничтожили бронемашину, 2 станковых пулемёта и грузовую автомашину с прицепом. Группа партизан другого отряда потопила две немецких моторных лодки и уничтожила 12 гитлеровцев.</w:t>
      </w:r>
    </w:p>
    <w:p w14:paraId="3BE79C29"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убитого немецкого обер-ефрейтора найдено письмо от владельца литейного и машиностроительного завода в Оснабрюке — Карла Веймана. B письме говорится: «...На Оснабрюк был совершён весьма сильный воздушный налёт. Фугасная бомба совершенно разрушила наш дом. Вскоре Оснабрюк пережил ещё один, но уже более интенсивный налёт. На этот раз завод лишился машинного отделения, модельной, литейного цеха, склада между конторой и мастерской и ещё двух складов. После этого Оснабрюк много раз подвергался воздушным налётам. Почти каждый раз фирма несла большой ущерб. Население очень сильно возбуждено этими бомбардировками».</w:t>
      </w:r>
    </w:p>
    <w:p w14:paraId="3F5EAC9B"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Норвежские патриоты продолжают героическую борьбу против немецких поработителей. Близ Ставангера группа вооружённых норвежцев взорвала радиостанцию. Немецкая охрана и обслуживающий персонал станции в количестве 18 человек уничтожены. В районе Осло патриоты организовали крушение железнодорожного эшелона с немецкими войсками. Убито и ранено большое число гитлеровцев. В окрестностях Бергена сожжены немецкие военные склады.» (14919).</w:t>
      </w:r>
    </w:p>
    <w:p w14:paraId="2E109CBD" w14:textId="77777777" w:rsidR="00FF1916" w:rsidRPr="00D03F3E" w:rsidRDefault="00FF1916" w:rsidP="00D03F3E">
      <w:pPr>
        <w:spacing w:after="0" w:line="240" w:lineRule="auto"/>
        <w:jc w:val="both"/>
        <w:rPr>
          <w:rFonts w:ascii="Times New Roman" w:hAnsi="Times New Roman"/>
          <w:color w:val="000000" w:themeColor="text1"/>
          <w:sz w:val="16"/>
          <w:szCs w:val="16"/>
        </w:rPr>
      </w:pPr>
    </w:p>
    <w:p w14:paraId="4E59BDC0"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11 июня</w:t>
      </w:r>
      <w:r w:rsidRPr="00D03F3E">
        <w:rPr>
          <w:rFonts w:ascii="Times New Roman" w:hAnsi="Times New Roman"/>
          <w:color w:val="000000" w:themeColor="text1"/>
          <w:sz w:val="16"/>
          <w:szCs w:val="16"/>
        </w:rPr>
        <w:t xml:space="preserve"> в 1943 году вечернее сообщение Совинформбюро:</w:t>
      </w:r>
    </w:p>
    <w:p w14:paraId="63D14657"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11 июня на фронте существенных изменений не произошло.</w:t>
      </w:r>
    </w:p>
    <w:p w14:paraId="6E845E68"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Нашей авиацией в Финском заливе потоплены сторожевой катер и транспорт противника.</w:t>
      </w:r>
    </w:p>
    <w:p w14:paraId="67269DB6"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июня частями нашей авиации на различных участках фронта уничтожено или повреждено до 60 автомашин с войсками и грузами, взорван ряд складов боеприпасов и горючего, разбито два железнодорожных эшелона, рассеяно и частью уничтожено до двух рот пехоты противника.</w:t>
      </w:r>
    </w:p>
    <w:p w14:paraId="4F7D388A"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уничтожили более роты немецких солдат, разбили 13 дзотов и блиндажей, подавили огонь нескольких артиллерийских и миномётных батарей противника. На отдельных участках гитлеровцы пытались вести разведку боем, но были отброшены в исходное положение.</w:t>
      </w:r>
    </w:p>
    <w:p w14:paraId="11EEF5C7"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Калининском фронте танкисты подразделения части, где командиром тов.Чупров, в разведывательных целях атаковали противника. Танкисты уничтожили 13 пулемётов, противотанковую пушку, разбили 10 дзотов и истребили до 150 гитлеровцев. Группа бойцов Н-ской части обнаружила и полностью уничтожила засаду противника.</w:t>
      </w:r>
    </w:p>
    <w:p w14:paraId="17579F7F"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 одном участке немцы снова пытались захватить выгодные позиции, но не добились никакого успеха. Наши бойцы за два дня истребили до 400 гитлеровцев, сожгли 8 и подбили 6 немецких танков, уничтожили артиллерийскую и миномётную батареи противника. На других участках огнём нашей артиллерии рассеяно и частью уничтожено до батальона немецкой пехоты, разгромлен обоз и взорван склад противника с боеприпасами.</w:t>
      </w:r>
    </w:p>
    <w:p w14:paraId="178E9A90"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наша разведка обнаружила скопление танков и пехоты противника. Советская авиация произвела бомбардировочно-штурмовой налёт на это скопление танков и немецкой пехоты. Бомбардировкой, огнём из пушек и пулемётов противнику нанесены тяжёлые потери.</w:t>
      </w:r>
    </w:p>
    <w:p w14:paraId="54CC4E78"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подразделения истребили до 200 немецких солдат и офицеров, разрушили 17 дзотов, 5 наблюдательных пунктов и 8 огневых точек противника.</w:t>
      </w:r>
    </w:p>
    <w:p w14:paraId="3CEB285C"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воздушных боях на подступах к Ленинграду наши лётчики сбили 8 немецких самолётов.</w:t>
      </w:r>
    </w:p>
    <w:p w14:paraId="2478384D"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черниговских партизан 3-го июня внезапно напал на вражеский гарнизон, расположенный в крупном населённом пункте. Партизаны бросили в казарму несколько десятков гранат и истребили большое количество гитлеровцев. Через несколько дней партизаны совершили налёт на железнодорожную станцию. Часть немцев, оказавшая сопротивление, была уничтожена. Партизаны сожгли склад горючего, несколько трёхтонных автомашин, взорвали пути, разрушили водокачку и телефонно-телеграфную станцию.</w:t>
      </w:r>
    </w:p>
    <w:p w14:paraId="3314A483"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солдат 3 немецкого полевого штрафного батальона Эрих Андрем рассказал: «В штрафном батальоне очень пёстрый состав. Тут отбывают наказание солдаты, моряки, лётчики, а также офицеры различных родов войск. Например, во второй роте служит немецкий полковник Лунд. Солдаты доведены до крайней степени истощения. Самовольная отлучка из расположения части карается смертной казнью. За последние четыре месяца казнено 46 солдат. Осуждённых расстреливает специальная команда из шести человек, которую возглавляет унтер-офицер Вилли Гарц».</w:t>
      </w:r>
    </w:p>
    <w:p w14:paraId="39F7F475"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отбивают многочисленные атаки немецко-итальянских оккупантов и наносят им большие потери. На участке Горански Вольник—Тьентиште партизаны в ожесточённых боях вынудили немцев к отступлению. На склонах горы Вучево патриоты истребили немецкую колонну. В Словении партизаны разгромили итальянский отряд. Убито и ранено 29 итальянских солдат. В Белой Краине патриоты пустили под откос итальянский воинский эшелон. При крушении погибло более 50 итальянских солдат и офицеров.» (14919).</w:t>
      </w:r>
    </w:p>
    <w:p w14:paraId="7869EF30" w14:textId="77777777" w:rsidR="00FF1916" w:rsidRPr="00D03F3E" w:rsidRDefault="00FF1916" w:rsidP="00D03F3E">
      <w:pPr>
        <w:spacing w:after="0" w:line="240" w:lineRule="auto"/>
        <w:jc w:val="both"/>
        <w:rPr>
          <w:rFonts w:ascii="Times New Roman" w:hAnsi="Times New Roman"/>
          <w:color w:val="000000" w:themeColor="text1"/>
          <w:sz w:val="16"/>
          <w:szCs w:val="16"/>
        </w:rPr>
      </w:pPr>
    </w:p>
    <w:p w14:paraId="1309F79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ночь на 11 июня 1943 советские самолеты нанесли удар по 5 аэродромам и уничтожили и повредили много матчасти и боеприпасов. Вместе с б действовали и ш и особенно успешно действовали Ил-2 под командованием гм М.Степанова и гк Н.Носкова, которые действовали по белгородско-харьковскому аэродромному узлу. За один вылет уничтожили и повредили около 50 б и и (430,160).</w:t>
      </w:r>
    </w:p>
    <w:p w14:paraId="006CAFD5" w14:textId="77777777" w:rsidR="00531570" w:rsidRPr="00D03F3E" w:rsidRDefault="00531570" w:rsidP="00D03F3E">
      <w:pPr>
        <w:pStyle w:val="Iauiue"/>
        <w:jc w:val="both"/>
        <w:rPr>
          <w:color w:val="000000" w:themeColor="text1"/>
          <w:sz w:val="16"/>
          <w:szCs w:val="16"/>
        </w:rPr>
      </w:pPr>
    </w:p>
    <w:p w14:paraId="6F0DD378" w14:textId="77777777" w:rsidR="00041C3A" w:rsidRPr="00D03F3E" w:rsidRDefault="00041C3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ночь на 11 июня 1943 бомбардировщики АДД вновь совершили массированные налеты на Брянский и Орловский аэроузлы. Всего было выполнено 700 самолето</w:t>
      </w:r>
      <w:r w:rsidRPr="00D03F3E">
        <w:rPr>
          <w:rFonts w:ascii="Times New Roman" w:hAnsi="Times New Roman"/>
          <w:color w:val="0070C0"/>
          <w:sz w:val="16"/>
          <w:szCs w:val="16"/>
        </w:rPr>
        <w:noBreakHyphen/>
        <w:t>вылетов, и при этом экипажи доложили об уничтожении 150 самолетов противника! Собственные потери, в том числе от огня немецкой зенитной артиллерии, составили 19 машин. Фактически же никаких серьезных повреждений немецкие аэродромы вновь не получили.</w:t>
      </w:r>
    </w:p>
    <w:p w14:paraId="0076964A" w14:textId="77777777" w:rsidR="00041C3A" w:rsidRPr="00D03F3E" w:rsidRDefault="00041C3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 том, что очередная масштабная операция потерпела фиаско, говорит тот факт, что бомбежки городов Поволжья продолжались. Уже в ночь на 11 июня 109 Не</w:t>
      </w:r>
      <w:r w:rsidRPr="00D03F3E">
        <w:rPr>
          <w:rFonts w:ascii="Times New Roman" w:hAnsi="Times New Roman"/>
          <w:color w:val="0070C0"/>
          <w:sz w:val="16"/>
          <w:szCs w:val="16"/>
        </w:rPr>
        <w:noBreakHyphen/>
        <w:t>111 и Ju</w:t>
      </w:r>
      <w:r w:rsidRPr="00D03F3E">
        <w:rPr>
          <w:rFonts w:ascii="Times New Roman" w:hAnsi="Times New Roman"/>
          <w:color w:val="0070C0"/>
          <w:sz w:val="16"/>
          <w:szCs w:val="16"/>
        </w:rPr>
        <w:noBreakHyphen/>
        <w:t>88 совершили массированный налет на Ярославль, сбросив на него 190 тонн бомб всех калибров. В результате был полностью разрушен крупнейший в стране шинный завод. На следующую ночь люфтваффе снова атаковали Горький, а в последующие дни начались налеты на Саратов и Камышин. И это в то время, когда штабы 1</w:t>
      </w:r>
      <w:r w:rsidRPr="00D03F3E">
        <w:rPr>
          <w:rFonts w:ascii="Times New Roman" w:hAnsi="Times New Roman"/>
          <w:color w:val="0070C0"/>
          <w:sz w:val="16"/>
          <w:szCs w:val="16"/>
        </w:rPr>
        <w:noBreakHyphen/>
        <w:t>й и 15</w:t>
      </w:r>
      <w:r w:rsidRPr="00D03F3E">
        <w:rPr>
          <w:rFonts w:ascii="Times New Roman" w:hAnsi="Times New Roman"/>
          <w:color w:val="0070C0"/>
          <w:sz w:val="16"/>
          <w:szCs w:val="16"/>
        </w:rPr>
        <w:noBreakHyphen/>
        <w:t>й воздушных армий и АДД отчитывались о сотнях сожженных на земле машин и перепаханных бомбами взлетных полосах аэродромов.</w:t>
      </w:r>
    </w:p>
    <w:p w14:paraId="60703361" w14:textId="77777777" w:rsidR="00041C3A" w:rsidRPr="00D03F3E" w:rsidRDefault="00041C3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Поэтому авиация дальнего действия получила приказ продолжать бомбить немецкие аэродромы. В ночь на 12 июня бомбардировщики Пе</w:t>
      </w:r>
      <w:r w:rsidRPr="00D03F3E">
        <w:rPr>
          <w:rFonts w:ascii="Times New Roman" w:hAnsi="Times New Roman"/>
          <w:color w:val="0070C0"/>
          <w:sz w:val="16"/>
          <w:szCs w:val="16"/>
        </w:rPr>
        <w:noBreakHyphen/>
        <w:t>8, Ил</w:t>
      </w:r>
      <w:r w:rsidRPr="00D03F3E">
        <w:rPr>
          <w:rFonts w:ascii="Times New Roman" w:hAnsi="Times New Roman"/>
          <w:color w:val="0070C0"/>
          <w:sz w:val="16"/>
          <w:szCs w:val="16"/>
        </w:rPr>
        <w:noBreakHyphen/>
        <w:t>4 (ДБ</w:t>
      </w:r>
      <w:r w:rsidRPr="00D03F3E">
        <w:rPr>
          <w:rFonts w:ascii="Times New Roman" w:hAnsi="Times New Roman"/>
          <w:color w:val="0070C0"/>
          <w:sz w:val="16"/>
          <w:szCs w:val="16"/>
        </w:rPr>
        <w:noBreakHyphen/>
        <w:t>3), В</w:t>
      </w:r>
      <w:r w:rsidRPr="00D03F3E">
        <w:rPr>
          <w:rFonts w:ascii="Times New Roman" w:hAnsi="Times New Roman"/>
          <w:color w:val="0070C0"/>
          <w:sz w:val="16"/>
          <w:szCs w:val="16"/>
        </w:rPr>
        <w:noBreakHyphen/>
        <w:t>25 и Ли</w:t>
      </w:r>
      <w:r w:rsidRPr="00D03F3E">
        <w:rPr>
          <w:rFonts w:ascii="Times New Roman" w:hAnsi="Times New Roman"/>
          <w:color w:val="0070C0"/>
          <w:sz w:val="16"/>
          <w:szCs w:val="16"/>
        </w:rPr>
        <w:noBreakHyphen/>
        <w:t>2, а также допотопные ТБ</w:t>
      </w:r>
      <w:r w:rsidRPr="00D03F3E">
        <w:rPr>
          <w:rFonts w:ascii="Times New Roman" w:hAnsi="Times New Roman"/>
          <w:color w:val="0070C0"/>
          <w:sz w:val="16"/>
          <w:szCs w:val="16"/>
        </w:rPr>
        <w:noBreakHyphen/>
        <w:t>3 выполнили 486 самолето</w:t>
      </w:r>
      <w:r w:rsidRPr="00D03F3E">
        <w:rPr>
          <w:rFonts w:ascii="Times New Roman" w:hAnsi="Times New Roman"/>
          <w:color w:val="0070C0"/>
          <w:sz w:val="16"/>
          <w:szCs w:val="16"/>
        </w:rPr>
        <w:noBreakHyphen/>
        <w:t>вылетов на Шаталово, Сещинскую, Брянск, Орел и Боровск. Одновременно аэродромы атаковали еще и бипланы У</w:t>
      </w:r>
      <w:r w:rsidRPr="00D03F3E">
        <w:rPr>
          <w:rFonts w:ascii="Times New Roman" w:hAnsi="Times New Roman"/>
          <w:color w:val="0070C0"/>
          <w:sz w:val="16"/>
          <w:szCs w:val="16"/>
        </w:rPr>
        <w:noBreakHyphen/>
        <w:t>2, использовавшиеся как легкие ночные бомбардировщики.</w:t>
      </w:r>
    </w:p>
    <w:p w14:paraId="4B6FE74E" w14:textId="77777777" w:rsidR="00041C3A" w:rsidRPr="00D03F3E" w:rsidRDefault="00041C3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Наиболее успешным оказался налет на Шаталово. На аэродроме было уничтожено сразу три самолета</w:t>
      </w:r>
      <w:r w:rsidRPr="00D03F3E">
        <w:rPr>
          <w:rFonts w:ascii="Times New Roman" w:hAnsi="Times New Roman"/>
          <w:color w:val="0070C0"/>
          <w:sz w:val="16"/>
          <w:szCs w:val="16"/>
        </w:rPr>
        <w:noBreakHyphen/>
        <w:t>разведчика Fi</w:t>
      </w:r>
      <w:r w:rsidRPr="00D03F3E">
        <w:rPr>
          <w:rFonts w:ascii="Times New Roman" w:hAnsi="Times New Roman"/>
          <w:color w:val="0070C0"/>
          <w:sz w:val="16"/>
          <w:szCs w:val="16"/>
        </w:rPr>
        <w:noBreakHyphen/>
        <w:t>156 «Шторьх» из NAGr.5. Еще три «Хеншеля» Hs</w:t>
      </w:r>
      <w:r w:rsidRPr="00D03F3E">
        <w:rPr>
          <w:rFonts w:ascii="Times New Roman" w:hAnsi="Times New Roman"/>
          <w:color w:val="0070C0"/>
          <w:sz w:val="16"/>
          <w:szCs w:val="16"/>
        </w:rPr>
        <w:noBreakHyphen/>
        <w:t>126 из этой же группы получили повреждения от 15 до 40 %. Также были серьезно повреждены два Bf</w:t>
      </w:r>
      <w:r w:rsidRPr="00D03F3E">
        <w:rPr>
          <w:rFonts w:ascii="Times New Roman" w:hAnsi="Times New Roman"/>
          <w:color w:val="0070C0"/>
          <w:sz w:val="16"/>
          <w:szCs w:val="16"/>
        </w:rPr>
        <w:noBreakHyphen/>
        <w:t>110G</w:t>
      </w:r>
      <w:r w:rsidRPr="00D03F3E">
        <w:rPr>
          <w:rFonts w:ascii="Times New Roman" w:hAnsi="Times New Roman"/>
          <w:color w:val="0070C0"/>
          <w:sz w:val="16"/>
          <w:szCs w:val="16"/>
        </w:rPr>
        <w:noBreakHyphen/>
        <w:t>3 из 1</w:t>
      </w:r>
      <w:r w:rsidRPr="00D03F3E">
        <w:rPr>
          <w:rFonts w:ascii="Times New Roman" w:hAnsi="Times New Roman"/>
          <w:color w:val="0070C0"/>
          <w:sz w:val="16"/>
          <w:szCs w:val="16"/>
        </w:rPr>
        <w:noBreakHyphen/>
        <w:t xml:space="preserve">й эскадрильи ближней разведки Aufkl.Grl6. Из </w:t>
      </w:r>
      <w:r w:rsidRPr="00D03F3E">
        <w:rPr>
          <w:rFonts w:ascii="Times New Roman" w:hAnsi="Times New Roman"/>
          <w:color w:val="0070C0"/>
          <w:sz w:val="16"/>
          <w:szCs w:val="16"/>
        </w:rPr>
        <w:lastRenderedPageBreak/>
        <w:t>наземного персонала погибли восемь человек, а еще 17 получили ранения [77] . Впрочем, все эти самолеты не имели никакого отношения к продолжавшимся налетам на тыловые города Советского Союза.</w:t>
      </w:r>
    </w:p>
    <w:p w14:paraId="1F098330" w14:textId="77777777" w:rsidR="00041C3A" w:rsidRPr="00D03F3E" w:rsidRDefault="00041C3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Затем 18 июня на аэродроме Сещинская все</w:t>
      </w:r>
      <w:r w:rsidRPr="00D03F3E">
        <w:rPr>
          <w:rFonts w:ascii="Times New Roman" w:hAnsi="Times New Roman"/>
          <w:color w:val="0070C0"/>
          <w:sz w:val="16"/>
          <w:szCs w:val="16"/>
        </w:rPr>
        <w:noBreakHyphen/>
        <w:t>таки удалось прямым попаданием уничтожить на стоянке один Не</w:t>
      </w:r>
      <w:r w:rsidRPr="00D03F3E">
        <w:rPr>
          <w:rFonts w:ascii="Times New Roman" w:hAnsi="Times New Roman"/>
          <w:color w:val="0070C0"/>
          <w:sz w:val="16"/>
          <w:szCs w:val="16"/>
        </w:rPr>
        <w:noBreakHyphen/>
        <w:t>111Н из 5</w:t>
      </w:r>
      <w:r w:rsidRPr="00D03F3E">
        <w:rPr>
          <w:rFonts w:ascii="Times New Roman" w:hAnsi="Times New Roman"/>
          <w:color w:val="0070C0"/>
          <w:sz w:val="16"/>
          <w:szCs w:val="16"/>
        </w:rPr>
        <w:noBreakHyphen/>
        <w:t>й эскадрильи KG4 «Генерал Вефер». Все последующие ночные налеты, продолжавшиеся вплоть до 26 июня, закончились безуспешно.</w:t>
      </w:r>
    </w:p>
    <w:p w14:paraId="4AFA98D6" w14:textId="77777777" w:rsidR="00041C3A" w:rsidRPr="00D03F3E" w:rsidRDefault="00041C3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целом массированные налеты на немецкие аэродромы на Орловском выступе, проводившиеся с 5 по 26 июня 1943 г., не дали практически никаких результатов. Советской авиации удалось уничтожить на аэродромах пять немецких самолетов: три Fi</w:t>
      </w:r>
      <w:r w:rsidRPr="00D03F3E">
        <w:rPr>
          <w:rFonts w:ascii="Times New Roman" w:hAnsi="Times New Roman"/>
          <w:color w:val="0070C0"/>
          <w:sz w:val="16"/>
          <w:szCs w:val="16"/>
        </w:rPr>
        <w:noBreakHyphen/>
        <w:t>156 и по одному Ju</w:t>
      </w:r>
      <w:r w:rsidRPr="00D03F3E">
        <w:rPr>
          <w:rFonts w:ascii="Times New Roman" w:hAnsi="Times New Roman"/>
          <w:color w:val="0070C0"/>
          <w:sz w:val="16"/>
          <w:szCs w:val="16"/>
        </w:rPr>
        <w:noBreakHyphen/>
        <w:t>88 и Не</w:t>
      </w:r>
      <w:r w:rsidRPr="00D03F3E">
        <w:rPr>
          <w:rFonts w:ascii="Times New Roman" w:hAnsi="Times New Roman"/>
          <w:color w:val="0070C0"/>
          <w:sz w:val="16"/>
          <w:szCs w:val="16"/>
        </w:rPr>
        <w:noBreakHyphen/>
        <w:t>111, еще шесть</w:t>
      </w:r>
      <w:r w:rsidRPr="00D03F3E">
        <w:rPr>
          <w:rFonts w:ascii="Times New Roman" w:hAnsi="Times New Roman"/>
          <w:color w:val="0070C0"/>
          <w:sz w:val="16"/>
          <w:szCs w:val="16"/>
        </w:rPr>
        <w:noBreakHyphen/>
        <w:t>семь машин получили различные повреждения. Все эти достижения пришлись на ночные двух– и четырехмоторные бомбардировщики и, возможно, на «кукурузники» У</w:t>
      </w:r>
      <w:r w:rsidRPr="00D03F3E">
        <w:rPr>
          <w:rFonts w:ascii="Times New Roman" w:hAnsi="Times New Roman"/>
          <w:color w:val="0070C0"/>
          <w:sz w:val="16"/>
          <w:szCs w:val="16"/>
        </w:rPr>
        <w:noBreakHyphen/>
        <w:t>2 (23199).</w:t>
      </w:r>
    </w:p>
    <w:p w14:paraId="0AC61FC3" w14:textId="77777777" w:rsidR="00041C3A" w:rsidRPr="00D03F3E" w:rsidRDefault="00041C3A" w:rsidP="00D03F3E">
      <w:pPr>
        <w:spacing w:after="0" w:line="240" w:lineRule="auto"/>
        <w:jc w:val="both"/>
        <w:rPr>
          <w:rFonts w:ascii="Times New Roman" w:hAnsi="Times New Roman"/>
          <w:color w:val="0070C0"/>
          <w:sz w:val="16"/>
          <w:szCs w:val="16"/>
        </w:rPr>
      </w:pPr>
    </w:p>
    <w:p w14:paraId="64A22C88" w14:textId="77777777" w:rsidR="00ED4EED" w:rsidRPr="00D03F3E" w:rsidRDefault="00ED4EED" w:rsidP="00D03F3E">
      <w:pPr>
        <w:pStyle w:val="ae"/>
        <w:spacing w:before="0" w:after="0"/>
        <w:jc w:val="both"/>
        <w:textAlignment w:val="baseline"/>
        <w:rPr>
          <w:color w:val="000000" w:themeColor="text1"/>
          <w:sz w:val="16"/>
          <w:szCs w:val="16"/>
        </w:rPr>
      </w:pPr>
      <w:r w:rsidRPr="00D03F3E">
        <w:rPr>
          <w:color w:val="000000" w:themeColor="text1"/>
          <w:sz w:val="16"/>
          <w:szCs w:val="16"/>
        </w:rPr>
        <w:t>В ночь на 11 июня 1943 бомбардировщики АДД вновь совершили массированные налеты на Брянский и Орловский аэроузлы. Всего было выполнено 700 самолето-вылетов, и при этом экипажи доложили об уничтожении 150 самолетов противника! Собственные потери, в том числе от огня немецкой зенитной артиллерии, составили 19 машин. Фактически же никаких серьезных повреждений немецкие аэродромы вновь не получили (19522).</w:t>
      </w:r>
    </w:p>
    <w:p w14:paraId="3C93596A" w14:textId="77777777" w:rsidR="00ED4EED" w:rsidRPr="00D03F3E" w:rsidRDefault="00ED4EED" w:rsidP="00D03F3E">
      <w:pPr>
        <w:pStyle w:val="ae"/>
        <w:spacing w:before="0" w:after="0"/>
        <w:jc w:val="both"/>
        <w:textAlignment w:val="baseline"/>
        <w:rPr>
          <w:color w:val="000000" w:themeColor="text1"/>
          <w:sz w:val="16"/>
          <w:szCs w:val="16"/>
        </w:rPr>
      </w:pPr>
    </w:p>
    <w:p w14:paraId="7BDA0E0C" w14:textId="77777777" w:rsidR="00ED4EED" w:rsidRPr="00D03F3E" w:rsidRDefault="00ED4EED" w:rsidP="00D03F3E">
      <w:pPr>
        <w:pStyle w:val="ae"/>
        <w:spacing w:before="0" w:after="0"/>
        <w:jc w:val="both"/>
        <w:textAlignment w:val="baseline"/>
        <w:rPr>
          <w:color w:val="000000" w:themeColor="text1"/>
          <w:sz w:val="16"/>
          <w:szCs w:val="16"/>
        </w:rPr>
      </w:pPr>
      <w:r w:rsidRPr="00D03F3E">
        <w:rPr>
          <w:color w:val="000000" w:themeColor="text1"/>
          <w:sz w:val="16"/>
          <w:szCs w:val="16"/>
        </w:rPr>
        <w:t>В ночь на 11 июня 1943 109 Не-111 и Ju-88 совершили массированный налет на Ярославль, сбросив на него 190 тонн бомб всех калибров. В результате был полностью разрушен крупнейший в стране шинный завод. На следующую ночь люфтваффе снова атаковали Горький, а в последующие дни начались налеты на Саратов и Камышин. И это в то время, когда штабы 1-й и 15-й воздушных армий и АДД отчитывались о сотнях сожженных на земле машин и перепаханных бомбами взлетных полосах аэродромов (19522).</w:t>
      </w:r>
    </w:p>
    <w:p w14:paraId="7759DAB1" w14:textId="77777777" w:rsidR="00ED4EED" w:rsidRPr="00D03F3E" w:rsidRDefault="00ED4EED" w:rsidP="00D03F3E">
      <w:pPr>
        <w:pStyle w:val="ae"/>
        <w:spacing w:before="0" w:after="0"/>
        <w:jc w:val="both"/>
        <w:textAlignment w:val="baseline"/>
        <w:rPr>
          <w:color w:val="000000" w:themeColor="text1"/>
          <w:sz w:val="16"/>
          <w:szCs w:val="16"/>
        </w:rPr>
      </w:pPr>
    </w:p>
    <w:p w14:paraId="4D27ADB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Ночь с 11 на 12 июня 1943 в Поволжье прошла спокойно. Зато советская АДЦ продолжила массированные налеты на Брянскую и Орловскую области, сбросив на этот раз в общей сложности 600 т фугасных и зажигательных бомб. Ее потери, по официальным данным, составили два бомбардировщика. Однако все эти удары не дали практически никаких результатов. Получалась странная картина: днем аэродромы, расположенные не где-нибудь в тылу, а вблизи линии фронта, атакуют сотни советских штурмовиков, бомбардировщиков и истребителей, ночью туда же вываливают бомбы ночные бомбардировщики и «кукурузники», а во всех германских источниках упоминаются лишь беспокоящие налеты «Рус-фанер», словно  остальных «массированных атак» немцы просто не замечали, продолжая мирно отсыпаться перед своим очередным вылетом. Всего, по официальным советским данным, с 5 по 10 июня 1943 г. авиация совершила 3360 самолето-вылетов на атаки аэродромов Люфтваффе, якобы уничтожив от 140 до 170 вражеских самолетов. При этом ее собственные потери составили 106 машин (11774).</w:t>
      </w:r>
    </w:p>
    <w:p w14:paraId="0640113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2E1F6C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июня 1943 была телеграмма Генерал-лейтенанта М. С. Громадина из Горького Сталину, в которой по горячим следам изложил устрашающие подробности очередного налета:  «В ночь с 10 на 11 июня 1943 г. противник произвел налет на г. Горький. В налете участвовало 135– 140самолетов, из них35четырехмоторныхФБ-200, остальные Ю-88 и Хе-111. Налет производился с аэродромов: Орел-69, Брянск-30 Карачев-24, Сенда-17. По данным радиопеленгаторов, бомбардировка производилась с высоты 4000—5500 метров. Пеленгаторы пикирования не обнаружили. Сбрасывание светящихся бомб с высоты 5500– 6000м. Бомбардировка велась при непрерывном массовом сбрасывании осветительных бомб, которые успешно уничтожались: на больших высотах артиллерией среднего калибра, на малых высотах МЗА и пулеметами». Далее, чтобы показать «эффективность» противовоздушной обороны, Громадин отчитался о небольших повреждениях двух цехов автозавода, а также семи домов в жилом секторе. Далее он приписал зенитной артиллерии аж 10 сбитых самолетов, четыре из которых якобы уже нашли на момент дачи сигнала «Отбой ВТ». Впрочем, на следующее утро и другие ответственные лица тоже написали самые противоречивые донесения и отчеты о последствиях налета. Так, начальник отдела МПВО УНКВД по Горьковской области полковник Горянский доложил первому секретарю обкома М. Родионову, что  «…из 140 самолетов Ю-88 и Хе-111 к городу прорвалось три-четыре, сбросив 52 САБ, 82 ФАБ и 40 ЗАБ». Причиненные разрушения характеризовались, как  «незначительные». Начштаба МПВО майор Антропов написал в своей справке, что немцы сбросили 100 осветительных, 50 фугасных и 58 зажигательных бомб. Однако в подписанной тем же Антроповым оперативной сводке МПВО уже называются цифры в 265 фугасных бомб весом 50—500 кг и 455 зажигательных бомб весом 1—50 кг. И лишь начальник управления НКВД по Горьковской области Зверев в боевом донесении начальнику ГУ МПВО НКВД СССР Осокину честно написал, что над городом было не менее 30—40 самолетов, сбросивших 328 ФАБ весом 50-1500 кг, 190 ЗАБ весом 50-270 кг и 135 килограммовых ЗАБ, и что основными объектами атаки были водозаборы на Оке и автозавод. Тем временем аварийно-восстановительные команды и саперы по всему городу устраняли последствия бомбежки, пожарные ликвидировали последние очаги огня. Повсюду поднимались клубы дыма, перемежающиеся с паром. То тут, то там находили все новые и новые неразорвавшиеся авиабомбы. В Автозаводском районе были обнаружены 34 фугаски, в т.ч. 24 SC250. Еще 17 «адских машин» нашли на улицах поселка Монастырка и 27 – на территории ГАЗа. Всего наутро 11 июня в штаб МПВО Горького поступили данные о 73 подобных находках. Бойцам 22-го инженерного батальона НКВД все это время пришлось работать поистине по-стахановски. За неделю, с 5 по 12 июня, ими уже были обезврежены 134 авиабомбы разных калибров. Кроме того, в разных районах города оставались еще 146 найденных входных отверстий, в основном от крупных зажигательных бомб. Число погибших на сей раз было определено в 15 человек, что тоже походило на явную попытку всячески преуменьшить потери от очередной бомбежки. Берега Оки после налета приобрели серебристый цвет от огромного количества глушеной рыбы. Целые безжизненные косяки кверху брюхом проплывали под Окским мостом, уносимые течением в сторону Казани (11774).</w:t>
      </w:r>
    </w:p>
    <w:p w14:paraId="11C4EAD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A710215"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11 июня 1943 вышло Постановление ГКО № 3551 О воздушной трассе Москва - Красноярск - Уэлькаль. (7114, 102-103).</w:t>
      </w:r>
    </w:p>
    <w:p w14:paraId="6C69B545" w14:textId="77777777" w:rsidR="00531570" w:rsidRPr="00D03F3E" w:rsidRDefault="00531570" w:rsidP="00D03F3E">
      <w:pPr>
        <w:pStyle w:val="Iauiue"/>
        <w:tabs>
          <w:tab w:val="left" w:pos="11199"/>
        </w:tabs>
        <w:jc w:val="both"/>
        <w:rPr>
          <w:color w:val="000000" w:themeColor="text1"/>
          <w:sz w:val="16"/>
          <w:szCs w:val="16"/>
        </w:rPr>
      </w:pPr>
    </w:p>
    <w:p w14:paraId="2E5C0982" w14:textId="77777777" w:rsidR="00BE3EAC" w:rsidRPr="00D03F3E" w:rsidRDefault="00BE3EA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июня 1943 вышло Постановление ГКО № 3551 О воздушной трассе Москва - Красноярск - Уэлькаль</w:t>
      </w:r>
    </w:p>
    <w:p w14:paraId="1BE59A5E" w14:textId="77777777" w:rsidR="00BE3EAC" w:rsidRPr="00D03F3E" w:rsidRDefault="00BE3EAC"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целях улучшения работы воздушной трассы Москва- Красноярск-Уэлькаль и приведения в надлежащий порядок аэро</w:t>
      </w:r>
      <w:r w:rsidRPr="00D03F3E">
        <w:rPr>
          <w:rFonts w:ascii="Times New Roman" w:cs="Times New Roman"/>
          <w:color w:val="000000" w:themeColor="text1"/>
          <w:spacing w:val="0"/>
        </w:rPr>
        <w:softHyphen/>
        <w:t>дромного хозяйства этой трассы, Государственный Комитет Обороны постановляет:</w:t>
      </w:r>
    </w:p>
    <w:p w14:paraId="525FCF54" w14:textId="77777777" w:rsidR="00BE3EAC" w:rsidRPr="00D03F3E" w:rsidRDefault="00BE3EAC" w:rsidP="00D03F3E">
      <w:pPr>
        <w:pStyle w:val="27"/>
        <w:shd w:val="clear" w:color="auto" w:fill="auto"/>
        <w:tabs>
          <w:tab w:val="left" w:pos="128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1. Организовать при ГУГВФ Управление воздушной маги</w:t>
      </w:r>
      <w:r w:rsidRPr="00D03F3E">
        <w:rPr>
          <w:rFonts w:ascii="Times New Roman" w:cs="Times New Roman"/>
          <w:color w:val="000000" w:themeColor="text1"/>
          <w:spacing w:val="0"/>
        </w:rPr>
        <w:softHyphen/>
        <w:t>страли Москва-Уэлькаль в составе следующих отделов: экспло- атационный, связи и радионавигации, материально-техническо</w:t>
      </w:r>
      <w:r w:rsidRPr="00D03F3E">
        <w:rPr>
          <w:rFonts w:ascii="Times New Roman" w:cs="Times New Roman"/>
          <w:color w:val="000000" w:themeColor="text1"/>
          <w:spacing w:val="0"/>
        </w:rPr>
        <w:softHyphen/>
        <w:t>го и продовольственного снабжения, капитального строитель</w:t>
      </w:r>
      <w:r w:rsidRPr="00D03F3E">
        <w:rPr>
          <w:rFonts w:ascii="Times New Roman" w:cs="Times New Roman"/>
          <w:color w:val="000000" w:themeColor="text1"/>
          <w:spacing w:val="0"/>
        </w:rPr>
        <w:softHyphen/>
        <w:t>ства, ремонта материальной части, планово-финансовый, об</w:t>
      </w:r>
      <w:r w:rsidRPr="00D03F3E">
        <w:rPr>
          <w:rFonts w:ascii="Times New Roman" w:cs="Times New Roman"/>
          <w:color w:val="000000" w:themeColor="text1"/>
          <w:spacing w:val="0"/>
        </w:rPr>
        <w:softHyphen/>
        <w:t>служивания и - диспетчерское отделение.</w:t>
      </w:r>
    </w:p>
    <w:p w14:paraId="40A1B8C9" w14:textId="77777777" w:rsidR="00BE3EAC" w:rsidRPr="00D03F3E" w:rsidRDefault="00BE3EAC" w:rsidP="00D03F3E">
      <w:pPr>
        <w:pStyle w:val="27"/>
        <w:shd w:val="clear" w:color="auto" w:fill="auto"/>
        <w:tabs>
          <w:tab w:val="left" w:pos="1290"/>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2. Возложить на Управление воздушной магистрали Москва- Уэлькаль следующие задачи:</w:t>
      </w:r>
    </w:p>
    <w:p w14:paraId="173AC6BF" w14:textId="77777777" w:rsidR="00BE3EAC" w:rsidRPr="00D03F3E" w:rsidRDefault="00BE3EAC" w:rsidP="00D03F3E">
      <w:pPr>
        <w:pStyle w:val="27"/>
        <w:shd w:val="clear" w:color="auto" w:fill="auto"/>
        <w:tabs>
          <w:tab w:val="left" w:pos="128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а) установление на всех аэродромах и в аэродромном хозяйстве магистрали порядка, обеспечивающего нормальные условия для бесперебойной перегонки самолетов и пассажир</w:t>
      </w:r>
      <w:r w:rsidRPr="00D03F3E">
        <w:rPr>
          <w:rFonts w:ascii="Times New Roman" w:cs="Times New Roman"/>
          <w:color w:val="000000" w:themeColor="text1"/>
          <w:spacing w:val="0"/>
        </w:rPr>
        <w:softHyphen/>
        <w:t>ского движения в течение круглого года;</w:t>
      </w:r>
    </w:p>
    <w:p w14:paraId="44E74B0D" w14:textId="77777777" w:rsidR="00BE3EAC" w:rsidRPr="00D03F3E" w:rsidRDefault="00BE3EAC" w:rsidP="00D03F3E">
      <w:pPr>
        <w:pStyle w:val="27"/>
        <w:shd w:val="clear" w:color="auto" w:fill="auto"/>
        <w:tabs>
          <w:tab w:val="left" w:pos="128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б) проведение необходимых строительных работ по расши</w:t>
      </w:r>
      <w:r w:rsidRPr="00D03F3E">
        <w:rPr>
          <w:rFonts w:ascii="Times New Roman" w:cs="Times New Roman"/>
          <w:color w:val="000000" w:themeColor="text1"/>
          <w:spacing w:val="0"/>
        </w:rPr>
        <w:softHyphen/>
        <w:t>рению и оборудованию существующих*, а также строительству новых аэродромов;</w:t>
      </w:r>
    </w:p>
    <w:p w14:paraId="78371E5E" w14:textId="77777777" w:rsidR="00BE3EAC" w:rsidRPr="00D03F3E" w:rsidRDefault="00BE3EAC" w:rsidP="00D03F3E">
      <w:pPr>
        <w:pStyle w:val="27"/>
        <w:shd w:val="clear" w:color="auto" w:fill="auto"/>
        <w:tabs>
          <w:tab w:val="left" w:pos="1290"/>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обеспечение всей аэродромной сети магистрали сред</w:t>
      </w:r>
      <w:r w:rsidRPr="00D03F3E">
        <w:rPr>
          <w:rFonts w:ascii="Times New Roman" w:cs="Times New Roman"/>
          <w:color w:val="000000" w:themeColor="text1"/>
          <w:spacing w:val="0"/>
        </w:rPr>
        <w:softHyphen/>
        <w:t>ствами связи, механизации, автотранспортом и горючим;</w:t>
      </w:r>
    </w:p>
    <w:p w14:paraId="7594E485" w14:textId="77777777" w:rsidR="00BE3EAC" w:rsidRPr="00D03F3E" w:rsidRDefault="00BE3EAC" w:rsidP="00D03F3E">
      <w:pPr>
        <w:pStyle w:val="27"/>
        <w:shd w:val="clear" w:color="auto" w:fill="auto"/>
        <w:tabs>
          <w:tab w:val="left" w:pos="1278"/>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г) перегонка самолетов иэ США в СССР - до Красноярска.</w:t>
      </w:r>
    </w:p>
    <w:p w14:paraId="6C0FC391" w14:textId="77777777" w:rsidR="00BE3EAC" w:rsidRPr="00D03F3E" w:rsidRDefault="00BE3EAC" w:rsidP="00D03F3E">
      <w:pPr>
        <w:pStyle w:val="27"/>
        <w:shd w:val="clear" w:color="auto" w:fill="auto"/>
        <w:tabs>
          <w:tab w:val="left" w:pos="128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3. Переименовать Красноярскую воздушную трассу ВВС КА в воздушную трассу Красноярск-Уэлькаль и подчинить ее Уп</w:t>
      </w:r>
      <w:r w:rsidRPr="00D03F3E">
        <w:rPr>
          <w:rFonts w:ascii="Times New Roman" w:cs="Times New Roman"/>
          <w:color w:val="000000" w:themeColor="text1"/>
          <w:spacing w:val="0"/>
        </w:rPr>
        <w:softHyphen/>
        <w:t>равлению воздушной магистрали Москва-Уэлькаль.</w:t>
      </w:r>
    </w:p>
    <w:p w14:paraId="33CE7841" w14:textId="77777777" w:rsidR="00BE3EAC" w:rsidRPr="00D03F3E" w:rsidRDefault="00BE3EAC" w:rsidP="00D03F3E">
      <w:pPr>
        <w:pStyle w:val="27"/>
        <w:shd w:val="clear" w:color="auto" w:fill="auto"/>
        <w:tabs>
          <w:tab w:val="left" w:pos="1290"/>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4. Выделить из Управления воздушной трассы Красноярск- Уэлькаль существующие перегоночные авиаполки и сформировать авиационную дивизию в составе 6-ти полков, с непосредствен</w:t>
      </w:r>
      <w:r w:rsidRPr="00D03F3E">
        <w:rPr>
          <w:rFonts w:ascii="Times New Roman" w:cs="Times New Roman"/>
          <w:color w:val="000000" w:themeColor="text1"/>
          <w:spacing w:val="0"/>
        </w:rPr>
        <w:softHyphen/>
        <w:t>ным подчинением дивизии начальнику Управления воздушной ма</w:t>
      </w:r>
      <w:r w:rsidRPr="00D03F3E">
        <w:rPr>
          <w:rFonts w:ascii="Times New Roman" w:cs="Times New Roman"/>
          <w:color w:val="000000" w:themeColor="text1"/>
          <w:spacing w:val="0"/>
        </w:rPr>
        <w:softHyphen/>
        <w:t>гистрали Москва-Уэлькаль.</w:t>
      </w:r>
    </w:p>
    <w:p w14:paraId="12E822B8" w14:textId="77777777" w:rsidR="00BE3EAC" w:rsidRPr="00D03F3E" w:rsidRDefault="00BE3EAC"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Командующему ВВС КА т.Новикову и начальнику ГУГВФ т.Астахову представить на утверждение Наркомата Обороны шта</w:t>
      </w:r>
      <w:r w:rsidRPr="00D03F3E">
        <w:rPr>
          <w:rFonts w:ascii="Times New Roman" w:cs="Times New Roman"/>
          <w:color w:val="000000" w:themeColor="text1"/>
          <w:spacing w:val="0"/>
        </w:rPr>
        <w:softHyphen/>
        <w:t>ты и расстановку личного состава авиационной дививии.</w:t>
      </w:r>
    </w:p>
    <w:p w14:paraId="6E889CCC" w14:textId="77777777" w:rsidR="00BE3EAC" w:rsidRPr="00D03F3E" w:rsidRDefault="00BE3EAC" w:rsidP="00D03F3E">
      <w:pPr>
        <w:pStyle w:val="27"/>
        <w:shd w:val="clear" w:color="auto" w:fill="auto"/>
        <w:tabs>
          <w:tab w:val="left" w:pos="1270"/>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5. Утвердить:</w:t>
      </w:r>
    </w:p>
    <w:p w14:paraId="09F4218B" w14:textId="77777777" w:rsidR="00BE3EAC" w:rsidRPr="00D03F3E" w:rsidRDefault="00BE3EAC" w:rsidP="00D03F3E">
      <w:pPr>
        <w:pStyle w:val="27"/>
        <w:shd w:val="clear" w:color="auto" w:fill="auto"/>
        <w:tabs>
          <w:tab w:val="left" w:pos="128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а) начальником Управления воздушной магистрали Москва- Уэлькаль и заместителем начальника Главного Управления ГВ£ генерал-майора т.Авсеевича </w:t>
      </w:r>
      <w:r w:rsidRPr="00D03F3E">
        <w:rPr>
          <w:rStyle w:val="0pt"/>
          <w:rFonts w:ascii="Times New Roman" w:cs="Times New Roman"/>
          <w:color w:val="000000" w:themeColor="text1"/>
          <w:spacing w:val="0"/>
          <w:sz w:val="16"/>
          <w:szCs w:val="16"/>
        </w:rPr>
        <w:t>А«А«;</w:t>
      </w:r>
    </w:p>
    <w:p w14:paraId="75B78678" w14:textId="77777777" w:rsidR="00BE3EAC" w:rsidRPr="00D03F3E" w:rsidRDefault="00BE3EAC" w:rsidP="00D03F3E">
      <w:pPr>
        <w:pStyle w:val="27"/>
        <w:shd w:val="clear" w:color="auto" w:fill="auto"/>
        <w:tabs>
          <w:tab w:val="left" w:pos="1290"/>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б) командиром авиационной дивизии полковника Маэурук И.П., освободив его от должности начальника Управления Красноярской воздушной трассы;</w:t>
      </w:r>
    </w:p>
    <w:p w14:paraId="1CAE938B" w14:textId="77777777" w:rsidR="00BE3EAC" w:rsidRPr="00D03F3E" w:rsidRDefault="00BE3EAC" w:rsidP="00D03F3E">
      <w:pPr>
        <w:pStyle w:val="27"/>
        <w:shd w:val="clear" w:color="auto" w:fill="auto"/>
        <w:tabs>
          <w:tab w:val="left" w:pos="958"/>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начальником</w:t>
      </w:r>
      <w:r w:rsidRPr="00D03F3E">
        <w:rPr>
          <w:rStyle w:val="9pt1pt"/>
          <w:rFonts w:ascii="Times New Roman" w:hAnsi="Times New Roman" w:cs="Times New Roman"/>
          <w:color w:val="000000" w:themeColor="text1"/>
          <w:spacing w:val="0"/>
          <w:sz w:val="16"/>
          <w:szCs w:val="16"/>
          <w:lang w:val="ru-RU"/>
        </w:rPr>
        <w:t xml:space="preserve"> воздушной трассы Красноярск - Уэлькаль назначить</w:t>
      </w:r>
      <w:r w:rsidRPr="00D03F3E">
        <w:rPr>
          <w:rFonts w:ascii="Times New Roman" w:cs="Times New Roman"/>
          <w:color w:val="000000" w:themeColor="text1"/>
          <w:spacing w:val="0"/>
        </w:rPr>
        <w:t>заместителя начальника ГУГВФ генерал-майора Авиации т. Семенова И.С,;</w:t>
      </w:r>
    </w:p>
    <w:p w14:paraId="705F0F57" w14:textId="77777777" w:rsidR="00BE3EAC" w:rsidRPr="00D03F3E" w:rsidRDefault="00BE3EAC" w:rsidP="00D03F3E">
      <w:pPr>
        <w:pStyle w:val="27"/>
        <w:shd w:val="clear" w:color="auto" w:fill="auto"/>
        <w:tabs>
          <w:tab w:val="left" w:pos="97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г) заместителем начальника воздушной трассы Красно</w:t>
      </w:r>
      <w:r w:rsidRPr="00D03F3E">
        <w:rPr>
          <w:rFonts w:ascii="Times New Roman" w:cs="Times New Roman"/>
          <w:color w:val="000000" w:themeColor="text1"/>
          <w:spacing w:val="0"/>
        </w:rPr>
        <w:softHyphen/>
        <w:t>ярск-Уэлькаль полковника государственной безопасности т.Поташова А.И.</w:t>
      </w:r>
    </w:p>
    <w:p w14:paraId="09DC6044" w14:textId="77777777" w:rsidR="00BE3EAC" w:rsidRPr="00D03F3E" w:rsidRDefault="00BE3EAC" w:rsidP="00D03F3E">
      <w:pPr>
        <w:pStyle w:val="27"/>
        <w:shd w:val="clear" w:color="auto" w:fill="auto"/>
        <w:tabs>
          <w:tab w:val="left" w:pos="945"/>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6. Обязать ВВС Красной Армии (т„Новикова) передать Управлению воздушной магистрали Москва-Уэлькаль аэродромы ВВС: уром (Саваслейка), Свердловск (Кольцово), Омск, Новосибирск (Толмачево) со всеми аэродромными сооружениями на них,</w:t>
      </w:r>
    </w:p>
    <w:p w14:paraId="6665B44B" w14:textId="77777777" w:rsidR="00BE3EAC" w:rsidRPr="00D03F3E" w:rsidRDefault="00BE3EAC" w:rsidP="00D03F3E">
      <w:pPr>
        <w:pStyle w:val="27"/>
        <w:shd w:val="clear" w:color="auto" w:fill="auto"/>
        <w:tabs>
          <w:tab w:val="left" w:pos="958"/>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7. Во изменение существующей структуры, реорганизовать авиабазы на воздушной трассе Красноярск-Уэлькаль в аэропор</w:t>
      </w:r>
      <w:r w:rsidRPr="00D03F3E">
        <w:rPr>
          <w:rFonts w:ascii="Times New Roman" w:cs="Times New Roman"/>
          <w:color w:val="000000" w:themeColor="text1"/>
          <w:spacing w:val="0"/>
        </w:rPr>
        <w:softHyphen/>
        <w:t>ты с непосредственным подчинением их начальнику Управления воздушной трассы Красноярск-Уэлькаль.</w:t>
      </w:r>
    </w:p>
    <w:p w14:paraId="66C285CC" w14:textId="77777777" w:rsidR="00BE3EAC" w:rsidRPr="00D03F3E" w:rsidRDefault="00BE3EAC"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Аэропорты на трассе Москва-Красноярск подчинить непо</w:t>
      </w:r>
      <w:r w:rsidRPr="00D03F3E">
        <w:rPr>
          <w:rFonts w:ascii="Times New Roman" w:cs="Times New Roman"/>
          <w:color w:val="000000" w:themeColor="text1"/>
          <w:spacing w:val="0"/>
        </w:rPr>
        <w:softHyphen/>
        <w:t>средственно начальнику Управления воздушной магистрали Москва-Уэлькаль.</w:t>
      </w:r>
    </w:p>
    <w:p w14:paraId="4F93DA2B" w14:textId="77777777" w:rsidR="00BE3EAC" w:rsidRPr="00D03F3E" w:rsidRDefault="00BE3EAC"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Весь личный состав воздушной магистрали Москва-Уэль- каль считать находящимся на действительной военной службе.</w:t>
      </w:r>
    </w:p>
    <w:p w14:paraId="76259582" w14:textId="77777777" w:rsidR="00BE3EAC" w:rsidRPr="00D03F3E" w:rsidRDefault="00BE3EAC"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8. Для укрепления аппарата аэропортов воздушной маги</w:t>
      </w:r>
      <w:r w:rsidRPr="00D03F3E">
        <w:rPr>
          <w:rFonts w:ascii="Times New Roman" w:cs="Times New Roman"/>
          <w:color w:val="000000" w:themeColor="text1"/>
          <w:spacing w:val="0"/>
        </w:rPr>
        <w:softHyphen/>
        <w:t>страли аосква-Уэлькаль приравнять начальников основных аэро</w:t>
      </w:r>
      <w:r w:rsidRPr="00D03F3E">
        <w:rPr>
          <w:rFonts w:ascii="Times New Roman" w:cs="Times New Roman"/>
          <w:color w:val="000000" w:themeColor="text1"/>
          <w:spacing w:val="0"/>
        </w:rPr>
        <w:softHyphen/>
        <w:t>портов магистрали к командирам авиаполков, ввести во всех аэропортах должность заместителей начальников аэропортов,вы</w:t>
      </w:r>
      <w:r w:rsidRPr="00D03F3E">
        <w:rPr>
          <w:rFonts w:ascii="Times New Roman" w:cs="Times New Roman"/>
          <w:color w:val="000000" w:themeColor="text1"/>
          <w:spacing w:val="0"/>
        </w:rPr>
        <w:softHyphen/>
        <w:t>делив в их распоряжение группы оперативных работников.</w:t>
      </w:r>
    </w:p>
    <w:p w14:paraId="1AE5A007" w14:textId="77777777" w:rsidR="00BE3EAC" w:rsidRPr="00D03F3E" w:rsidRDefault="00BE3EAC"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Тов.Берия и тов.Астахову пересмотреть и утвердить ру</w:t>
      </w:r>
      <w:r w:rsidRPr="00D03F3E">
        <w:rPr>
          <w:rFonts w:ascii="Times New Roman" w:cs="Times New Roman"/>
          <w:color w:val="000000" w:themeColor="text1"/>
          <w:spacing w:val="0"/>
        </w:rPr>
        <w:softHyphen/>
        <w:t>ководящий состав аэропортов магистрали.</w:t>
      </w:r>
    </w:p>
    <w:p w14:paraId="7638F37F" w14:textId="77777777" w:rsidR="00BE3EAC" w:rsidRPr="00D03F3E" w:rsidRDefault="00BE3EAC" w:rsidP="00D03F3E">
      <w:pPr>
        <w:pStyle w:val="27"/>
        <w:shd w:val="clear" w:color="auto" w:fill="auto"/>
        <w:tabs>
          <w:tab w:val="left" w:pos="960"/>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9. Обязать НКВД СССР (т.Берия):</w:t>
      </w:r>
    </w:p>
    <w:p w14:paraId="01E24FDE" w14:textId="77777777" w:rsidR="00BE3EAC" w:rsidRPr="00D03F3E" w:rsidRDefault="00BE3EAC" w:rsidP="00D03F3E">
      <w:pPr>
        <w:pStyle w:val="27"/>
        <w:shd w:val="clear" w:color="auto" w:fill="auto"/>
        <w:tabs>
          <w:tab w:val="left" w:pos="97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а) обеспечить постройку дополнительно промежуточного аэродрома на участке трассы между Марково и Сеимчаном,ре- йЩ</w:t>
      </w:r>
      <w:r w:rsidRPr="00D03F3E">
        <w:rPr>
          <w:rFonts w:ascii="Times New Roman" w:cs="Times New Roman"/>
          <w:color w:val="000000" w:themeColor="text1"/>
          <w:spacing w:val="0"/>
          <w:vertAlign w:val="superscript"/>
        </w:rPr>
        <w:t>НЫе</w:t>
      </w:r>
      <w:r w:rsidRPr="00D03F3E">
        <w:rPr>
          <w:rFonts w:ascii="Times New Roman" w:cs="Times New Roman"/>
          <w:color w:val="000000" w:themeColor="text1"/>
          <w:spacing w:val="0"/>
        </w:rPr>
        <w:t>Ж</w:t>
      </w:r>
      <w:r w:rsidRPr="00D03F3E">
        <w:rPr>
          <w:rFonts w:ascii="Times New Roman" w:cs="Times New Roman"/>
          <w:color w:val="000000" w:themeColor="text1"/>
          <w:spacing w:val="0"/>
          <w:vertAlign w:val="superscript"/>
        </w:rPr>
        <w:t>РСКИв И анга</w:t>
      </w:r>
      <w:r w:rsidRPr="00D03F3E">
        <w:rPr>
          <w:rFonts w:ascii="Times New Roman" w:cs="Times New Roman"/>
          <w:color w:val="000000" w:themeColor="text1"/>
          <w:spacing w:val="0"/>
        </w:rPr>
        <w:t>*</w:t>
      </w:r>
      <w:r w:rsidRPr="00D03F3E">
        <w:rPr>
          <w:rFonts w:ascii="Times New Roman" w:cs="Times New Roman"/>
          <w:color w:val="000000" w:themeColor="text1"/>
          <w:spacing w:val="0"/>
          <w:vertAlign w:val="superscript"/>
        </w:rPr>
        <w:t>&gt; в</w:t>
      </w:r>
      <w:r w:rsidRPr="00D03F3E">
        <w:rPr>
          <w:rFonts w:ascii="Times New Roman" w:cs="Times New Roman"/>
          <w:color w:val="000000" w:themeColor="text1"/>
          <w:spacing w:val="0"/>
        </w:rPr>
        <w:t xml:space="preserve"> Сеимчане,- силами Дальстроя</w:t>
      </w:r>
    </w:p>
    <w:p w14:paraId="621EAD85" w14:textId="77777777" w:rsidR="00BE3EAC" w:rsidRPr="00D03F3E" w:rsidRDefault="00BE3EAC" w:rsidP="00D03F3E">
      <w:pPr>
        <w:pStyle w:val="27"/>
        <w:shd w:val="clear" w:color="auto" w:fill="auto"/>
        <w:tabs>
          <w:tab w:val="left" w:pos="97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lastRenderedPageBreak/>
        <w:t xml:space="preserve">б) обеспечить равгрувку, хранение и переотправку в аэропорты воздушной магистрали на Колыме горюче-смазочных материалов, продовольствия и других грузов, прибывающих за время навигации </w:t>
      </w:r>
      <w:r w:rsidRPr="00D03F3E">
        <w:rPr>
          <w:rStyle w:val="0pt"/>
          <w:rFonts w:ascii="Times New Roman" w:cs="Times New Roman"/>
          <w:color w:val="000000" w:themeColor="text1"/>
          <w:spacing w:val="0"/>
          <w:sz w:val="16"/>
          <w:szCs w:val="16"/>
        </w:rPr>
        <w:t>1943</w:t>
      </w:r>
      <w:r w:rsidRPr="00D03F3E">
        <w:rPr>
          <w:rFonts w:ascii="Times New Roman" w:cs="Times New Roman"/>
          <w:color w:val="000000" w:themeColor="text1"/>
          <w:spacing w:val="0"/>
        </w:rPr>
        <w:t xml:space="preserve"> года в бухты Ногаево и Амбарчик в ад</w:t>
      </w:r>
      <w:r w:rsidRPr="00D03F3E">
        <w:rPr>
          <w:rFonts w:ascii="Times New Roman" w:cs="Times New Roman"/>
          <w:color w:val="000000" w:themeColor="text1"/>
          <w:spacing w:val="0"/>
        </w:rPr>
        <w:softHyphen/>
        <w:t>рес вовдушной трассы Красноярск-Уэлькаль.</w:t>
      </w:r>
    </w:p>
    <w:p w14:paraId="4DF3B829" w14:textId="77777777" w:rsidR="00BE3EAC" w:rsidRPr="00D03F3E" w:rsidRDefault="00BE3EAC" w:rsidP="00D03F3E">
      <w:pPr>
        <w:pStyle w:val="27"/>
        <w:shd w:val="clear" w:color="auto" w:fill="auto"/>
        <w:tabs>
          <w:tab w:val="left" w:pos="1078"/>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10. Обяэать Наркомвнешторг (т.Микояна) дополнительно закупить в США необходимое оборудование и средства механи</w:t>
      </w:r>
      <w:r w:rsidRPr="00D03F3E">
        <w:rPr>
          <w:rFonts w:ascii="Times New Roman" w:cs="Times New Roman"/>
          <w:color w:val="000000" w:themeColor="text1"/>
          <w:spacing w:val="0"/>
        </w:rPr>
        <w:softHyphen/>
        <w:t xml:space="preserve">зации для строительства и эксплоатации аэродромов воздушной магистрали Москва-Уэлькаль по заявке ГУГВФ и НКВД </w:t>
      </w:r>
      <w:r w:rsidRPr="00D03F3E">
        <w:rPr>
          <w:rStyle w:val="0pt"/>
          <w:rFonts w:ascii="Times New Roman" w:cs="Times New Roman"/>
          <w:color w:val="000000" w:themeColor="text1"/>
          <w:spacing w:val="0"/>
          <w:sz w:val="16"/>
          <w:szCs w:val="16"/>
          <w:lang w:val="en-US"/>
        </w:rPr>
        <w:t>CCCF</w:t>
      </w:r>
      <w:r w:rsidRPr="00D03F3E">
        <w:rPr>
          <w:rStyle w:val="0pt"/>
          <w:rFonts w:ascii="Times New Roman" w:cs="Times New Roman"/>
          <w:color w:val="000000" w:themeColor="text1"/>
          <w:spacing w:val="0"/>
          <w:sz w:val="16"/>
          <w:szCs w:val="16"/>
        </w:rPr>
        <w:t xml:space="preserve"> и </w:t>
      </w:r>
      <w:r w:rsidRPr="00D03F3E">
        <w:rPr>
          <w:rFonts w:ascii="Times New Roman" w:cs="Times New Roman"/>
          <w:color w:val="000000" w:themeColor="text1"/>
          <w:spacing w:val="0"/>
        </w:rPr>
        <w:t>вавевти в Ногаево для Дальстроя не поэже июля с.г. 50 им</w:t>
      </w:r>
      <w:r w:rsidRPr="00D03F3E">
        <w:rPr>
          <w:rFonts w:ascii="Times New Roman" w:cs="Times New Roman"/>
          <w:color w:val="000000" w:themeColor="text1"/>
          <w:spacing w:val="0"/>
        </w:rPr>
        <w:softHyphen/>
        <w:t>портных грувовых автомашин, в том числе 10 автоцистерн.</w:t>
      </w:r>
    </w:p>
    <w:p w14:paraId="19ECDC81" w14:textId="77777777" w:rsidR="00BE3EAC" w:rsidRPr="00D03F3E" w:rsidRDefault="00BE3EAC" w:rsidP="00D03F3E">
      <w:pPr>
        <w:pStyle w:val="27"/>
        <w:shd w:val="clear" w:color="auto" w:fill="auto"/>
        <w:tabs>
          <w:tab w:val="left" w:pos="1078"/>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11. Командующему Авиацией Дальнего Действия т.Голова</w:t>
      </w:r>
      <w:r w:rsidRPr="00D03F3E">
        <w:rPr>
          <w:rFonts w:ascii="Times New Roman" w:cs="Times New Roman"/>
          <w:color w:val="000000" w:themeColor="text1"/>
          <w:spacing w:val="0"/>
        </w:rPr>
        <w:softHyphen/>
        <w:t>нову в течение июня месяца т.г. произвести освоение маги</w:t>
      </w:r>
      <w:r w:rsidRPr="00D03F3E">
        <w:rPr>
          <w:rFonts w:ascii="Times New Roman" w:cs="Times New Roman"/>
          <w:color w:val="000000" w:themeColor="text1"/>
          <w:spacing w:val="0"/>
        </w:rPr>
        <w:softHyphen/>
        <w:t>страли Москва-Уэлькаль самолетами и летным составом АДД.</w:t>
      </w:r>
    </w:p>
    <w:p w14:paraId="2ED41203" w14:textId="77777777" w:rsidR="00BE3EAC" w:rsidRPr="00D03F3E" w:rsidRDefault="00BE3EAC" w:rsidP="00D03F3E">
      <w:pPr>
        <w:pStyle w:val="27"/>
        <w:shd w:val="clear" w:color="auto" w:fill="auto"/>
        <w:spacing w:after="0" w:line="240" w:lineRule="auto"/>
        <w:ind w:firstLine="0"/>
        <w:rPr>
          <w:rFonts w:ascii="Times New Roman" w:cs="Times New Roman"/>
          <w:color w:val="000000" w:themeColor="text1"/>
          <w:spacing w:val="0"/>
        </w:rPr>
      </w:pPr>
      <w:r w:rsidRPr="00D03F3E">
        <w:rPr>
          <w:rStyle w:val="0pt"/>
          <w:rFonts w:ascii="Times New Roman" w:cs="Times New Roman"/>
          <w:color w:val="000000" w:themeColor="text1"/>
          <w:spacing w:val="0"/>
          <w:sz w:val="16"/>
          <w:szCs w:val="16"/>
        </w:rPr>
        <w:t>12.</w:t>
      </w:r>
      <w:r w:rsidRPr="00D03F3E">
        <w:rPr>
          <w:rFonts w:ascii="Times New Roman" w:cs="Times New Roman"/>
          <w:color w:val="000000" w:themeColor="text1"/>
          <w:spacing w:val="0"/>
        </w:rPr>
        <w:t xml:space="preserve"> Поручить товарищу Берия наблюдение за выполнением настоящего постановления и оказание необходимой помощи ГУГВА в улучшении работы вовдушной магистрали Москва-Уэлькаль.</w:t>
      </w:r>
    </w:p>
    <w:p w14:paraId="18C3CC11" w14:textId="77777777" w:rsidR="00BE3EAC" w:rsidRPr="00D03F3E" w:rsidRDefault="00BE3EAC"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Для проверки состояния аэропортов на трассе Красноярск- Уэлькаль, оказания аэропортам на местах практической помощи, командировать на трассу с правом перелета в Ном и Фербенкс заместителя Наркома Внутренних Дел СССР т.Серова и начальни</w:t>
      </w:r>
      <w:r w:rsidRPr="00D03F3E">
        <w:rPr>
          <w:rFonts w:ascii="Times New Roman" w:cs="Times New Roman"/>
          <w:color w:val="000000" w:themeColor="text1"/>
          <w:spacing w:val="0"/>
        </w:rPr>
        <w:softHyphen/>
        <w:t>ка 3 Управления НКГБ СССР т.Мильштейна с группой оператив</w:t>
      </w:r>
      <w:r w:rsidRPr="00D03F3E">
        <w:rPr>
          <w:rFonts w:ascii="Times New Roman" w:cs="Times New Roman"/>
          <w:color w:val="000000" w:themeColor="text1"/>
          <w:spacing w:val="0"/>
        </w:rPr>
        <w:softHyphen/>
        <w:t>ных работников (19402).</w:t>
      </w:r>
    </w:p>
    <w:p w14:paraId="2A786CE3" w14:textId="77777777" w:rsidR="003A3AC0" w:rsidRPr="00D03F3E" w:rsidRDefault="003A3AC0" w:rsidP="00D03F3E">
      <w:pPr>
        <w:pStyle w:val="Iauiue"/>
        <w:tabs>
          <w:tab w:val="left" w:pos="11199"/>
        </w:tabs>
        <w:jc w:val="both"/>
        <w:rPr>
          <w:color w:val="000000" w:themeColor="text1"/>
          <w:sz w:val="16"/>
          <w:szCs w:val="16"/>
        </w:rPr>
      </w:pPr>
    </w:p>
    <w:p w14:paraId="68F609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июня 1943 Указ Президиума Верховного Совета СССР утвердил и 16 июня 1943 приказ НКО СССР №232 объявил Гвардейские знамена для корпусов и армий.</w:t>
      </w:r>
    </w:p>
    <w:p w14:paraId="41DAF0D9" w14:textId="77777777" w:rsidR="00531570" w:rsidRPr="00D03F3E" w:rsidRDefault="00531570" w:rsidP="00D03F3E">
      <w:pPr>
        <w:pStyle w:val="Iauiue"/>
        <w:jc w:val="both"/>
        <w:rPr>
          <w:color w:val="000000" w:themeColor="text1"/>
          <w:sz w:val="16"/>
          <w:szCs w:val="16"/>
        </w:rPr>
      </w:pPr>
    </w:p>
    <w:p w14:paraId="07568C8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июня 1943 года была переброшена румынская группа (5 чел.) (8983).</w:t>
      </w:r>
    </w:p>
    <w:p w14:paraId="1E58D1E9" w14:textId="77777777" w:rsidR="00531570" w:rsidRPr="00D03F3E" w:rsidRDefault="00531570" w:rsidP="00D03F3E">
      <w:pPr>
        <w:pStyle w:val="Iauiue"/>
        <w:jc w:val="both"/>
        <w:rPr>
          <w:color w:val="000000" w:themeColor="text1"/>
          <w:sz w:val="16"/>
          <w:szCs w:val="16"/>
        </w:rPr>
      </w:pPr>
    </w:p>
    <w:p w14:paraId="50798F1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июня 1943 в 23:45 86-й и 96-й (в сопровождении ТКА №125) выпустили по Анапе 40 реактивных снарядов. Направившись после этого в Геленджик, наш отряд столкнулся с двумя “шнелльботами”. В ходе последовавшей 29-минутной схватки было израсходовано 30 PC, а по приходе в базу доложено о повреждении одного “фашиста” (6002).</w:t>
      </w:r>
    </w:p>
    <w:p w14:paraId="62734F14" w14:textId="77777777" w:rsidR="00531570" w:rsidRPr="00D03F3E" w:rsidRDefault="00531570" w:rsidP="00D03F3E">
      <w:pPr>
        <w:pStyle w:val="Iauiue"/>
        <w:jc w:val="both"/>
        <w:rPr>
          <w:color w:val="000000" w:themeColor="text1"/>
          <w:sz w:val="16"/>
          <w:szCs w:val="16"/>
        </w:rPr>
      </w:pPr>
    </w:p>
    <w:p w14:paraId="7CAD976A"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2A96C5F4" w14:textId="77777777" w:rsidR="00531570" w:rsidRPr="00D03F3E" w:rsidRDefault="00531570" w:rsidP="00D03F3E">
      <w:pPr>
        <w:pStyle w:val="Iauiue"/>
        <w:jc w:val="both"/>
        <w:rPr>
          <w:iCs/>
          <w:color w:val="000000" w:themeColor="text1"/>
          <w:sz w:val="16"/>
          <w:szCs w:val="16"/>
        </w:rPr>
      </w:pPr>
    </w:p>
    <w:p w14:paraId="7534F2A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июня 1943 года было отправлено:</w:t>
      </w:r>
    </w:p>
    <w:p w14:paraId="0B4D3E9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ЛИЧНОЕ И СЕКРЕТНОЕ ПОСЛАНИЕ ПРЕМЬЕРА И. В. СТАЛИНА ПРЕЗИДЕНТУ г. РУЗВЕЛЬТУ</w:t>
      </w:r>
    </w:p>
    <w:p w14:paraId="2D68005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Ваше послание, в котором Вы сообщаете о принятых Вами и г. Черчиллем некоторых решениях по вопросам стратегии, получил 4 июня. Благодарю за сообщение.</w:t>
      </w:r>
    </w:p>
    <w:p w14:paraId="09E2451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Как видно из Вашего сообщения, эти решения находятся в противоречии с теми решениями, которые были приняты Вами и г. Черчиллем в начале этого года, о сроках открытия второго фронта в Западной Европе.</w:t>
      </w:r>
    </w:p>
    <w:p w14:paraId="4880D59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 конечно, помните, что в Вашем совместном с г. Черчиллем послании от 26 января сего года сообщалось о принятом тогда решении отвлечь значительные германские сухопутные и военно-воздушные силы с русского фронта и заставить Германию встать на колени в 1943 году.</w:t>
      </w:r>
    </w:p>
    <w:p w14:paraId="118E42E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После этого г. Черчилль от своего и Вашего имени сообщил 12 февраля уточненные сроки англо-американской операции в Тунисе и Средиземном море, а также на западном берегу Европы. В этом сообщении говорилось, что Великобританией и Соединенными Штатами энергично ведутся приготовления к операции форсирования Канала в августе 1943 года и что если этому помешает погода или другие причины, то эта операция будет подготовлена с участием более крупных сил на сентябрь 1943 года</w:t>
      </w:r>
    </w:p>
    <w:p w14:paraId="19A9F50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Теперь, в мае 1943 года, Вами вместе с г. Черчиллем принимается решение, откладывающее англо-американское вторжение в Западную Европу на весну 1944 года. То есть — открытие второго фронта в Западной Европе, уже отложенное с 1942 года на 1943 год, вновь откладывается, на этот раз на весну 1944 года</w:t>
      </w:r>
    </w:p>
    <w:p w14:paraId="282A0E9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Это Ваше решение создает исключительные трудности для Советского Союза, уже два года ведущего войну с главными силами Германии и ее сателлитов с крайним напряжением всех своих сил, и предоставляет советскую армию, сражающуюся не только за свою страну, но и за своих союзников, своим собственным силам, почти в единоборстве с еще очень сильным и опасным врагом.</w:t>
      </w:r>
    </w:p>
    <w:p w14:paraId="707DC8A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Нужно ли говорить о том, какое тяжелое и отрицательное впечатление в Советском Союзе — в народе и в армии — произведет это новое откладывание второго фронта и оставление нашей армии, принесшей столько жертв, без ожидавшейся серьезной поддержки со стороны англо-американских армий.</w:t>
      </w:r>
    </w:p>
    <w:p w14:paraId="2486E7A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Что касается Советского Правительства, то оно не находит возможным присоединиться к такому решению, принятому к тому же без его участия и без попытки совместно обсудить этот важнейший вопрос и могущему иметь тяжелые последствия для дальнейшего хода войны (7430).</w:t>
      </w:r>
    </w:p>
    <w:p w14:paraId="66712A8F" w14:textId="77777777" w:rsidR="00531570" w:rsidRPr="00D03F3E" w:rsidRDefault="00531570" w:rsidP="00D03F3E">
      <w:pPr>
        <w:pStyle w:val="Iauiue"/>
        <w:jc w:val="both"/>
        <w:rPr>
          <w:color w:val="000000" w:themeColor="text1"/>
          <w:sz w:val="16"/>
          <w:szCs w:val="16"/>
        </w:rPr>
      </w:pPr>
    </w:p>
    <w:p w14:paraId="1E7AA1B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июня 1943 года было отправлено:</w:t>
      </w:r>
    </w:p>
    <w:p w14:paraId="6199D2C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ЛИЧНОЕ И СЕКРЕТНОЕ ПОСЛАНИЕ ПРЕМЬЕРА И. В. СТАЛИНА ПРЕМЬЕР-МИНИСТРУ г. ЧЕРЧИЛЛЮ</w:t>
      </w:r>
    </w:p>
    <w:p w14:paraId="6538D1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Посылаю Вам текст моего личного послания в ответ на послание г. Президента о решениях, принятых Вами и г. Рузвельтом в мае сего года по вопросам стратегии.</w:t>
      </w:r>
    </w:p>
    <w:p w14:paraId="4FCDAD3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ЛИЧНОЕ И СЕКРЕТНОЕ ПОСЛАНИЕ ПРЕМЬЕРА И. В. СТАЛИНА ПРЕЗИДЕНТУ г. РУЗВЕЛЬТУ</w:t>
      </w:r>
    </w:p>
    <w:p w14:paraId="207B715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Ваше послание, в котором Вы сообщаете о принятых Вами и г. Черчиллем некоторых решениях по вопросам стратегии, получил 4 июня. Благодарю за сообщение.</w:t>
      </w:r>
    </w:p>
    <w:p w14:paraId="3AB73C2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Как видно из Вашего сообщения, эти решения находятся в противоречии с теми решениями, которые были приняты Вами и г. Черчиллем в начале этого года, о сроках открытия второго фронта в Западной Европе.</w:t>
      </w:r>
    </w:p>
    <w:p w14:paraId="228C0E3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 конечно, помните, что в Вашем совместном с г. Черчиллем послании от 26 января сего года сообщалось о принятом тогда решении отвлечь значительные германские сухопутные и военно-воздушные силы с русского фронта и заставить Германию встать на колени в 1943 году.</w:t>
      </w:r>
    </w:p>
    <w:p w14:paraId="720B4B7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После этого г. Черчилль от своего и Вашего имени сообщил 12 февраля уточненные сроки англо-американской операции в Тунисе и Средиземном море, а также на западном берегу Европы. В этом сообщении говорилось, что Великобританией и Соединенными Штатами энергично ведутся приготовления к операции форсирования Канала36 в августе 1943 года и что если этому помешает погода или другие причины, то эта операция будет подготовлена с участием более крупных сил на сентябрь 1943 года</w:t>
      </w:r>
    </w:p>
    <w:p w14:paraId="365A35F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Теперь, в мае 1943 года, Вами вместе с г. Черчиллем принимается решение, откладывающее англо-американское вторжение в Западную Европу на весну 1944 года. То есть — открытие второго фронта в Западной Европе, уже отложенное с 1942 года на 1943 год, вновь откладывается, на этот раз на весну 1944 года</w:t>
      </w:r>
    </w:p>
    <w:p w14:paraId="3DD5581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Это Ваше решение создает исключительные трудности для Советского Союза, уже два года ведущего войну с главными силами Германии и ее сателлитов с крайним напряжением всех своих сил, и предоставляет советскую армию, сражающуюся не только за свою страну, но и за своих союзников, своим собственным силам, почти в единоборстве с еще очень сильным и опасным врагом.</w:t>
      </w:r>
    </w:p>
    <w:p w14:paraId="3CA2356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Нужно ли говорить о том, какое тяжелое и отрицательное впечатление в Советском Союзе — в народе и в армии — произведет это новое откладывание второго фронта и оставление нашей армии, принесшей столько жертв, без ожидавшейся серьезной поддержки со стороны англо-американских армий.</w:t>
      </w:r>
    </w:p>
    <w:p w14:paraId="35E7038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Что касается Советского Правительства, то оно не находит возможным присоединиться к такому решению, принятому к тому же без его участия и без попытки совместно обсудить этот важнейший вопрос и могущему иметь тяжелые последствия для дальнейшего хода войны (7430).</w:t>
      </w:r>
    </w:p>
    <w:p w14:paraId="7A7F802C" w14:textId="77777777" w:rsidR="00531570" w:rsidRPr="00D03F3E" w:rsidRDefault="00531570" w:rsidP="00D03F3E">
      <w:pPr>
        <w:pStyle w:val="Iauiue"/>
        <w:jc w:val="both"/>
        <w:rPr>
          <w:color w:val="000000" w:themeColor="text1"/>
          <w:sz w:val="16"/>
          <w:szCs w:val="16"/>
        </w:rPr>
      </w:pPr>
    </w:p>
    <w:p w14:paraId="08651D49"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2A213264" w14:textId="77777777" w:rsidR="00531570" w:rsidRPr="00D03F3E" w:rsidRDefault="00531570" w:rsidP="00D03F3E">
      <w:pPr>
        <w:pStyle w:val="Iauiue"/>
        <w:jc w:val="both"/>
        <w:rPr>
          <w:iCs/>
          <w:color w:val="000000" w:themeColor="text1"/>
          <w:sz w:val="16"/>
          <w:szCs w:val="16"/>
        </w:rPr>
      </w:pPr>
    </w:p>
    <w:p w14:paraId="38C551C9" w14:textId="77777777" w:rsidR="003A3024" w:rsidRPr="00D03F3E" w:rsidRDefault="003A302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11 июня 1943 -  Первый полёт HP 75 Manx.</w:t>
      </w:r>
    </w:p>
    <w:p w14:paraId="04DF58E6" w14:textId="77777777" w:rsidR="003A3024" w:rsidRPr="00D03F3E" w:rsidRDefault="003A302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1942 году инженер Густав Ланчман представил проект экспериментального самолёта, предназначенного для отработки новых (а также хорошо забытых старых) конструктивных решений. Дизайн "бесхвостки" был разработан ещё в 1936 году, но до войны реализовать эту смелую идею не удалось. По схеме самолёт представлял собой моноплан с крылом среднего расположения и неубираемым трехстоечным шасси с носовым колесом. Фюзеляж веретенообразной формы оснащался раздельными кабинами для пилота и инженера-испытателя. В хвостовой части фюзеляжа устанавливался небольшой киль. Два двигателя de Havilland Gipsy Major II мощностью 140 л.с. каждый, оснащенные толкающими двухлопастными винтами, устанавливались в крыле. На законцовках крыла крепились дополнительные шайбы, выполнявшими функции вертикального оперения.</w:t>
      </w:r>
    </w:p>
    <w:p w14:paraId="076230F9" w14:textId="77777777" w:rsidR="003A3024" w:rsidRPr="00D03F3E" w:rsidRDefault="003A302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Несмотря на то, что работы проводились под общим руководством фирмы Handley Page, постройка единственного прототипа была передана фирме Dart Aircraft. В 1942 году планер самолёта был перевезён в Радлетт, где его оснастили силовой установкой и оборудованием. Параллельно самолёту было присвоено название Manx (22464).</w:t>
      </w:r>
    </w:p>
    <w:p w14:paraId="5CFD6386" w14:textId="77777777" w:rsidR="003A3024" w:rsidRPr="00D03F3E" w:rsidRDefault="003A3024" w:rsidP="00D03F3E">
      <w:pPr>
        <w:spacing w:after="0" w:line="240" w:lineRule="auto"/>
        <w:jc w:val="both"/>
        <w:rPr>
          <w:rFonts w:ascii="Times New Roman" w:hAnsi="Times New Roman"/>
          <w:color w:val="0070C0"/>
          <w:sz w:val="16"/>
          <w:szCs w:val="16"/>
        </w:rPr>
      </w:pPr>
    </w:p>
    <w:p w14:paraId="7FDFE5D1" w14:textId="77777777" w:rsidR="003A3024" w:rsidRPr="00D03F3E" w:rsidRDefault="003A302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11 июня 1943 года — первый полёт экспериментального самолёта Handley Page H.P. 75 Manx. /Великобритания/</w:t>
      </w:r>
    </w:p>
    <w:p w14:paraId="4B807078" w14:textId="77777777" w:rsidR="003A3024" w:rsidRPr="00D03F3E" w:rsidRDefault="003A302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начале 1940-х годов британская авиационная промышленность активно занялась экспериментальными, но перспективными проектами. Инженер компании Handley Page Густав Лахманн (Gustav Lachmann) в 1942 году разработал самолёт H.P. 75 Manx, предназначенный для тестирования схемы «бесхвостка». Прототип построила компания Dart Aircraft.</w:t>
      </w:r>
    </w:p>
    <w:p w14:paraId="19679B04" w14:textId="77777777" w:rsidR="003A3024" w:rsidRPr="00D03F3E" w:rsidRDefault="003A302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H.P. 75 представлял собой среднеплан с тремя вертикальными килями в задней части фюзеляжа и на концах крыла, толкающими винтами и неубираемым шасси. Оснащался 2 × двигателями de Havilland Gipsy Major (140 л.с.) Максимальная скорость — 240 км/ч. Экипаж — 2 человека.</w:t>
      </w:r>
    </w:p>
    <w:p w14:paraId="36B29FC0" w14:textId="77777777" w:rsidR="003A3024" w:rsidRPr="00D03F3E" w:rsidRDefault="003A302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связи с загруженностью Handley Page военными заказами, тестирование нового самолёта шло медленно. До 1945 года Manx выполнит всего 31 полёт (17 часов 31 минута лётного времени). В декабре 1946 года проект H.P. 75 Manx закрыли, а единственный прототип утилизировали спустя 6 лет (22300).</w:t>
      </w:r>
    </w:p>
    <w:p w14:paraId="7DA76489" w14:textId="77777777" w:rsidR="003A3024" w:rsidRPr="00D03F3E" w:rsidRDefault="003A3024" w:rsidP="00D03F3E">
      <w:pPr>
        <w:spacing w:after="0" w:line="240" w:lineRule="auto"/>
        <w:jc w:val="both"/>
        <w:rPr>
          <w:rFonts w:ascii="Times New Roman" w:hAnsi="Times New Roman"/>
          <w:color w:val="0070C0"/>
          <w:sz w:val="16"/>
          <w:szCs w:val="16"/>
        </w:rPr>
      </w:pPr>
    </w:p>
    <w:p w14:paraId="19C8C92B" w14:textId="77777777" w:rsidR="003A3024" w:rsidRPr="00D03F3E" w:rsidRDefault="003A302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11 июня 1943 итальянский гарнизон на Пантелларии, деморализованный тяжелыми воздушными и наземными бомбардировками, сдается почти сразу после высадки на остров сухопутных войск союзников. Пантеллерия, возможно, первая земля, захваченная почти единственной авиацией. С момента начала операций против Пантеллерии в мае авиация союзников также сбила 57 самолетов Оси , потеряв 14 самолетов (20376).</w:t>
      </w:r>
    </w:p>
    <w:p w14:paraId="46DA3197" w14:textId="77777777" w:rsidR="003A3024" w:rsidRPr="00D03F3E" w:rsidRDefault="003A3024" w:rsidP="00D03F3E">
      <w:pPr>
        <w:spacing w:after="0" w:line="240" w:lineRule="auto"/>
        <w:jc w:val="both"/>
        <w:rPr>
          <w:rFonts w:ascii="Times New Roman" w:hAnsi="Times New Roman"/>
          <w:color w:val="0070C0"/>
          <w:sz w:val="16"/>
          <w:szCs w:val="16"/>
        </w:rPr>
      </w:pPr>
    </w:p>
    <w:p w14:paraId="3BAD45D2" w14:textId="77777777" w:rsidR="003A3024" w:rsidRPr="00D03F3E" w:rsidRDefault="003A302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11–12 июня (ночь) 1943 783 британских бомбардировщика атакуют Дюссельдорф , в результате чего 1326 человек погибли, 2600 были ранены, 13 человек пропали без вести и 140 000 остались без крова. Пожары сжигают 25 квадратных миль (65 квадратных километров) города и обрушиваются 180 крупных зданий. Во время налета немецкий ночной истребитель Heinkel He 219 Uhu (« Филин ») совершает боевой дебют ранним утром 12 июня в экспериментальном полете, пилотируемом майором Вернером Штрейбом . Стрейб сбивает пять британских бомбардировщиков - « Ланкастер» и четыре « Галифакса» - за один вылет, но его He 219 терпит крушение при приземлении, когда он возвращается на базу (20376).</w:t>
      </w:r>
    </w:p>
    <w:p w14:paraId="015C6C93" w14:textId="77777777" w:rsidR="003A3024" w:rsidRPr="00D03F3E" w:rsidRDefault="003A3024" w:rsidP="00D03F3E">
      <w:pPr>
        <w:spacing w:after="0" w:line="240" w:lineRule="auto"/>
        <w:jc w:val="both"/>
        <w:rPr>
          <w:rFonts w:ascii="Times New Roman" w:hAnsi="Times New Roman"/>
          <w:color w:val="0070C0"/>
          <w:sz w:val="16"/>
          <w:szCs w:val="16"/>
        </w:rPr>
      </w:pPr>
    </w:p>
    <w:p w14:paraId="5696FAFF"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11 июня 1943 глава югославских партизан И. Тито чудесным образом сбежал из осажденного нацистами дома в Боснии (4962).</w:t>
      </w:r>
    </w:p>
    <w:p w14:paraId="7927EC37" w14:textId="77777777" w:rsidR="00531570" w:rsidRPr="00D03F3E" w:rsidRDefault="00531570" w:rsidP="00D03F3E">
      <w:pPr>
        <w:pStyle w:val="Iauiue"/>
        <w:tabs>
          <w:tab w:val="left" w:pos="11199"/>
        </w:tabs>
        <w:jc w:val="both"/>
        <w:rPr>
          <w:color w:val="000000" w:themeColor="text1"/>
          <w:sz w:val="16"/>
          <w:szCs w:val="16"/>
        </w:rPr>
      </w:pPr>
    </w:p>
    <w:p w14:paraId="0B9DE32F"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11 июня 1943 президент США Ф. Рузвельт призвал народ Италии свергнуть режим Муссолини (4962).</w:t>
      </w:r>
    </w:p>
    <w:p w14:paraId="43213673" w14:textId="77777777" w:rsidR="00531570" w:rsidRPr="00D03F3E" w:rsidRDefault="00531570" w:rsidP="00D03F3E">
      <w:pPr>
        <w:pStyle w:val="Iauiue"/>
        <w:tabs>
          <w:tab w:val="left" w:pos="11199"/>
        </w:tabs>
        <w:jc w:val="both"/>
        <w:rPr>
          <w:color w:val="000000" w:themeColor="text1"/>
          <w:sz w:val="16"/>
          <w:szCs w:val="16"/>
        </w:rPr>
      </w:pPr>
    </w:p>
    <w:p w14:paraId="6C32B257"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June 11th, 1943: The US 8th Air Force raids the German naval base at Wilhelmshaven (200 B-17s), while the RAF attacks Munster and Dusseldorf (3819).</w:t>
      </w:r>
    </w:p>
    <w:p w14:paraId="6FF0A844" w14:textId="77777777" w:rsidR="00531570" w:rsidRPr="00D03F3E" w:rsidRDefault="00531570" w:rsidP="00D03F3E">
      <w:pPr>
        <w:pStyle w:val="Iauiue"/>
        <w:jc w:val="both"/>
        <w:rPr>
          <w:color w:val="000000" w:themeColor="text1"/>
          <w:sz w:val="16"/>
          <w:szCs w:val="16"/>
          <w:lang w:val="en-US"/>
        </w:rPr>
      </w:pPr>
    </w:p>
    <w:p w14:paraId="7E7431D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июня 1943 8ВА США силами 200 В-17 бомбили Вильгельмсхаффен, а королевские ВВС атаковали Мюнстер и Дюссельдорф (3819).</w:t>
      </w:r>
    </w:p>
    <w:p w14:paraId="4AA9BA2F" w14:textId="77777777" w:rsidR="00531570" w:rsidRPr="00D03F3E" w:rsidRDefault="00531570" w:rsidP="00D03F3E">
      <w:pPr>
        <w:pStyle w:val="Iauiue"/>
        <w:jc w:val="both"/>
        <w:rPr>
          <w:color w:val="000000" w:themeColor="text1"/>
          <w:sz w:val="16"/>
          <w:szCs w:val="16"/>
        </w:rPr>
      </w:pPr>
    </w:p>
    <w:p w14:paraId="6C588140"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June 11 1943 Himmler orders liquidation of all Polish ghettos (1050).</w:t>
      </w:r>
    </w:p>
    <w:p w14:paraId="1A636ED6" w14:textId="77777777" w:rsidR="00531570" w:rsidRPr="00D03F3E" w:rsidRDefault="00531570" w:rsidP="00D03F3E">
      <w:pPr>
        <w:pStyle w:val="Iauiue"/>
        <w:jc w:val="both"/>
        <w:rPr>
          <w:color w:val="000000" w:themeColor="text1"/>
          <w:sz w:val="16"/>
          <w:szCs w:val="16"/>
          <w:lang w:val="en-US"/>
        </w:rPr>
      </w:pPr>
    </w:p>
    <w:p w14:paraId="739FC18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июня 1943 Гимлер приказал ликвидировать все гетто в Польше (1050).</w:t>
      </w:r>
    </w:p>
    <w:p w14:paraId="52CF9A27" w14:textId="77777777" w:rsidR="00531570" w:rsidRPr="00D03F3E" w:rsidRDefault="00531570" w:rsidP="00D03F3E">
      <w:pPr>
        <w:pStyle w:val="Iauiue"/>
        <w:jc w:val="both"/>
        <w:rPr>
          <w:color w:val="000000" w:themeColor="text1"/>
          <w:sz w:val="16"/>
          <w:szCs w:val="16"/>
        </w:rPr>
      </w:pPr>
    </w:p>
    <w:p w14:paraId="0159A2D0"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11 июня 1943 глава СС Гиммлер приказал уничтожить все еврейские гетто в Польше (4962).</w:t>
      </w:r>
    </w:p>
    <w:p w14:paraId="66C7B477" w14:textId="77777777" w:rsidR="00531570" w:rsidRPr="00D03F3E" w:rsidRDefault="00531570" w:rsidP="00D03F3E">
      <w:pPr>
        <w:pStyle w:val="Iauiue"/>
        <w:tabs>
          <w:tab w:val="left" w:pos="11199"/>
        </w:tabs>
        <w:jc w:val="both"/>
        <w:rPr>
          <w:color w:val="000000" w:themeColor="text1"/>
          <w:sz w:val="16"/>
          <w:szCs w:val="16"/>
        </w:rPr>
      </w:pPr>
    </w:p>
    <w:p w14:paraId="16632E33"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11 июня 1943 Уругвай стал первой страной, признавшей французское правительство Шарля де Голля (4962).</w:t>
      </w:r>
    </w:p>
    <w:p w14:paraId="75F007DB" w14:textId="77777777" w:rsidR="00531570" w:rsidRPr="00D03F3E" w:rsidRDefault="00531570" w:rsidP="00D03F3E">
      <w:pPr>
        <w:pStyle w:val="Iauiue"/>
        <w:tabs>
          <w:tab w:val="left" w:pos="11199"/>
        </w:tabs>
        <w:jc w:val="both"/>
        <w:rPr>
          <w:color w:val="000000" w:themeColor="text1"/>
          <w:sz w:val="16"/>
          <w:szCs w:val="16"/>
        </w:rPr>
      </w:pPr>
    </w:p>
    <w:p w14:paraId="146A58A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июня 1943 в рамках операции Husk союзники захватили острова Pantellaria и Lampedusa перед вторжением на Сицилию (2245,3) - в результате массовых налетов бомбардировщиков (3907,242).</w:t>
      </w:r>
    </w:p>
    <w:p w14:paraId="4ED75DA0" w14:textId="77777777" w:rsidR="00531570" w:rsidRPr="00D03F3E" w:rsidRDefault="00531570" w:rsidP="00D03F3E">
      <w:pPr>
        <w:pStyle w:val="Iauiue"/>
        <w:jc w:val="both"/>
        <w:rPr>
          <w:color w:val="000000" w:themeColor="text1"/>
          <w:sz w:val="16"/>
          <w:szCs w:val="16"/>
        </w:rPr>
      </w:pPr>
    </w:p>
    <w:p w14:paraId="372F98FE"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11 июня</w:t>
      </w:r>
      <w:r w:rsidRPr="00D03F3E">
        <w:rPr>
          <w:rFonts w:ascii="Times New Roman" w:hAnsi="Times New Roman"/>
          <w:color w:val="000000" w:themeColor="text1"/>
          <w:sz w:val="16"/>
          <w:szCs w:val="16"/>
        </w:rPr>
        <w:t xml:space="preserve"> в 1943 году на итальянский остров Пантеллерия в Тунисском проливе высадились части 1-й английской дивизии; итальянский гарнизон острова капитулировал (14919).</w:t>
      </w:r>
    </w:p>
    <w:p w14:paraId="380D2842" w14:textId="77777777" w:rsidR="00FF1916" w:rsidRPr="00D03F3E" w:rsidRDefault="00FF1916" w:rsidP="00D03F3E">
      <w:pPr>
        <w:spacing w:after="0" w:line="240" w:lineRule="auto"/>
        <w:jc w:val="both"/>
        <w:rPr>
          <w:rFonts w:ascii="Times New Roman" w:hAnsi="Times New Roman"/>
          <w:color w:val="000000" w:themeColor="text1"/>
          <w:sz w:val="16"/>
          <w:szCs w:val="16"/>
        </w:rPr>
      </w:pPr>
    </w:p>
    <w:p w14:paraId="6BCE399A"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11 июня</w:t>
      </w:r>
      <w:r w:rsidRPr="00D03F3E">
        <w:rPr>
          <w:rFonts w:ascii="Times New Roman" w:hAnsi="Times New Roman"/>
          <w:color w:val="000000" w:themeColor="text1"/>
          <w:sz w:val="16"/>
          <w:szCs w:val="16"/>
        </w:rPr>
        <w:t xml:space="preserve"> в 1943 году налеты бомбардировочной авиации союзников принуждают к капитуляции защитников острова Пантеллерия, расположенного в Средиземном море между Тунисом и Сицилией (14919).</w:t>
      </w:r>
    </w:p>
    <w:p w14:paraId="6184A9AD" w14:textId="77777777" w:rsidR="00FF1916" w:rsidRPr="00D03F3E" w:rsidRDefault="00FF1916" w:rsidP="00D03F3E">
      <w:pPr>
        <w:spacing w:after="0" w:line="240" w:lineRule="auto"/>
        <w:jc w:val="both"/>
        <w:rPr>
          <w:rFonts w:ascii="Times New Roman" w:hAnsi="Times New Roman"/>
          <w:color w:val="000000" w:themeColor="text1"/>
          <w:sz w:val="16"/>
          <w:szCs w:val="16"/>
        </w:rPr>
      </w:pPr>
    </w:p>
    <w:p w14:paraId="396E3ED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 июня 1943 в Хот-Спрингсе было подписано соглашение о послевоенной помощи, в котором приняло участие 44 страны (3907,242).</w:t>
      </w:r>
    </w:p>
    <w:p w14:paraId="556EAF80" w14:textId="77777777" w:rsidR="00531570" w:rsidRPr="00D03F3E" w:rsidRDefault="00531570" w:rsidP="00D03F3E">
      <w:pPr>
        <w:pStyle w:val="Iauiue"/>
        <w:jc w:val="both"/>
        <w:rPr>
          <w:color w:val="000000" w:themeColor="text1"/>
          <w:sz w:val="16"/>
          <w:szCs w:val="16"/>
        </w:rPr>
      </w:pPr>
    </w:p>
    <w:p w14:paraId="124FAE13"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11 июня</w:t>
      </w:r>
      <w:r w:rsidRPr="00D03F3E">
        <w:rPr>
          <w:rFonts w:ascii="Times New Roman" w:hAnsi="Times New Roman"/>
          <w:color w:val="000000" w:themeColor="text1"/>
          <w:sz w:val="16"/>
          <w:szCs w:val="16"/>
        </w:rPr>
        <w:t xml:space="preserve"> в 1943 году соглашение о послевоенной помощи подписывается на заключительном этапе конференции в Хот-Спрингсе, США, в которой принимают участие 44 страны (14919).</w:t>
      </w:r>
    </w:p>
    <w:p w14:paraId="15D5C9F3" w14:textId="77777777" w:rsidR="00FF1916" w:rsidRPr="00D03F3E" w:rsidRDefault="00FF1916" w:rsidP="00D03F3E">
      <w:pPr>
        <w:spacing w:after="0" w:line="240" w:lineRule="auto"/>
        <w:jc w:val="both"/>
        <w:rPr>
          <w:rFonts w:ascii="Times New Roman" w:hAnsi="Times New Roman"/>
          <w:color w:val="000000" w:themeColor="text1"/>
          <w:sz w:val="16"/>
          <w:szCs w:val="16"/>
        </w:rPr>
      </w:pPr>
    </w:p>
    <w:p w14:paraId="45B127D9" w14:textId="77777777" w:rsidR="00FF1916" w:rsidRPr="00D03F3E" w:rsidRDefault="00FF19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11 июня</w:t>
      </w:r>
      <w:r w:rsidRPr="00D03F3E">
        <w:rPr>
          <w:rFonts w:ascii="Times New Roman" w:hAnsi="Times New Roman"/>
          <w:color w:val="000000" w:themeColor="text1"/>
          <w:sz w:val="16"/>
          <w:szCs w:val="16"/>
        </w:rPr>
        <w:t xml:space="preserve"> в 1943 году Уругвай стал первой страной, признавшей французское правительство Шарля де Голля (14919).</w:t>
      </w:r>
    </w:p>
    <w:p w14:paraId="38528EFE" w14:textId="77777777" w:rsidR="00FF1916" w:rsidRPr="00D03F3E" w:rsidRDefault="00FF1916" w:rsidP="00D03F3E">
      <w:pPr>
        <w:spacing w:after="0" w:line="240" w:lineRule="auto"/>
        <w:jc w:val="both"/>
        <w:rPr>
          <w:rFonts w:ascii="Times New Roman" w:hAnsi="Times New Roman"/>
          <w:color w:val="000000" w:themeColor="text1"/>
          <w:sz w:val="16"/>
          <w:szCs w:val="16"/>
        </w:rPr>
      </w:pPr>
    </w:p>
    <w:p w14:paraId="524473F9"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2721FF29" w14:textId="77777777" w:rsidR="00531570" w:rsidRPr="00D03F3E" w:rsidRDefault="00531570" w:rsidP="00D03F3E">
      <w:pPr>
        <w:pStyle w:val="Iauiue"/>
        <w:jc w:val="both"/>
        <w:rPr>
          <w:iCs/>
          <w:color w:val="000000" w:themeColor="text1"/>
          <w:sz w:val="16"/>
          <w:szCs w:val="16"/>
        </w:rPr>
      </w:pPr>
    </w:p>
    <w:p w14:paraId="5E468A5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июня 1943 Дементьев писал письмо N Н-25/2336 директору завода 30 Шапиро и нач. 10 ГУ Тарасевичу:</w:t>
      </w:r>
    </w:p>
    <w:p w14:paraId="5336A35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"Предлагаю с 15 июля с.г. выпускать самолеты Ил-2, оборудованные под подвесные бензобаки, в количестве 50% всех выпускаемых самолетов.</w:t>
      </w:r>
    </w:p>
    <w:p w14:paraId="722447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1 августа 1943 выпускать все самолеты Ил-2, оборудованные под подвесные бензобаки (1768,156).</w:t>
      </w:r>
    </w:p>
    <w:p w14:paraId="74DB8502" w14:textId="77777777" w:rsidR="00531570" w:rsidRPr="00D03F3E" w:rsidRDefault="00531570" w:rsidP="00D03F3E">
      <w:pPr>
        <w:pStyle w:val="Iauiue"/>
        <w:jc w:val="both"/>
        <w:rPr>
          <w:color w:val="000000" w:themeColor="text1"/>
          <w:sz w:val="16"/>
          <w:szCs w:val="16"/>
        </w:rPr>
      </w:pPr>
    </w:p>
    <w:p w14:paraId="248A820F" w14:textId="77777777" w:rsidR="00531570" w:rsidRPr="00D03F3E" w:rsidRDefault="00531570" w:rsidP="00D03F3E">
      <w:pPr>
        <w:pStyle w:val="Iauiue"/>
        <w:jc w:val="both"/>
        <w:rPr>
          <w:color w:val="000000" w:themeColor="text1"/>
          <w:sz w:val="16"/>
          <w:szCs w:val="16"/>
        </w:rPr>
      </w:pPr>
      <w:bookmarkStart w:id="17" w:name="_Hlk102292798"/>
      <w:r w:rsidRPr="00D03F3E">
        <w:rPr>
          <w:color w:val="000000" w:themeColor="text1"/>
          <w:sz w:val="16"/>
          <w:szCs w:val="16"/>
        </w:rPr>
        <w:t>12 июня 1943 было подготовлено донесение в/преда завода 1:</w:t>
      </w:r>
    </w:p>
    <w:p w14:paraId="70AC355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Решением ГКО N 3386сс от 17.5.43 завод 1 был обязан:</w:t>
      </w:r>
    </w:p>
    <w:p w14:paraId="1986434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построить в июне 1943_50 самолетов Ил-2 АМ-38Ф в истребительном одноместном варианте..., сняв с него бомбовое вооружение, РС и пулеметы, оставив только две пушки ВЯ с запасом в 700 патронов. Требуемые характеристики: Максимальная скорость у земли - 400_км/час; Максимальная скорость на высоте 1000-1500_м - 410_км/час; Полетный вес - 5300_кг;</w:t>
      </w:r>
    </w:p>
    <w:p w14:paraId="4ED01FD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построить два Ил-2 АМ-38ф с улучшенной аэродинамикой к 15 июля 1943 со следующими данными: максимальная скорость у земли - 425_км/час; максимальная скорость на высоте 1000-1500 м - 440_км/час;</w:t>
      </w:r>
    </w:p>
    <w:p w14:paraId="21631AA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провести заводские испытания Ил-2 АМ-38Ф с улучшенной аэродинамикой и представить его на гос. испытания к 1 августа 1943 (462,41).</w:t>
      </w:r>
    </w:p>
    <w:p w14:paraId="7203644B" w14:textId="77777777" w:rsidR="00531570" w:rsidRPr="00D03F3E" w:rsidRDefault="00531570" w:rsidP="00D03F3E">
      <w:pPr>
        <w:pStyle w:val="Iauiue"/>
        <w:jc w:val="both"/>
        <w:rPr>
          <w:color w:val="000000" w:themeColor="text1"/>
          <w:sz w:val="16"/>
          <w:szCs w:val="16"/>
        </w:rPr>
      </w:pPr>
    </w:p>
    <w:bookmarkEnd w:id="17"/>
    <w:p w14:paraId="072B7E5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г в НИИ ВВС КА закончились государственные испытания учебно-тренировочный Ил-2У АМ-38с (зав. №1876152) производства завода №18, которые проходилим с 5 мая. Испытания проводили ведущий инженер м-р В.С.Холопов и летчик-испытатель м-р А.К. Долгов. На самолете устанавливался винт АВ-5л-158. Вес пустого самолета составил 4160 кг, нормальный полетный вес в «вывозном» вар 4926 кг, а в варианте</w:t>
      </w:r>
      <w:r w:rsidRPr="00D03F3E">
        <w:rPr>
          <w:rFonts w:ascii="Times New Roman" w:hAnsi="Times New Roman"/>
          <w:iCs/>
          <w:color w:val="000000" w:themeColor="text1"/>
          <w:sz w:val="16"/>
          <w:szCs w:val="16"/>
        </w:rPr>
        <w:t xml:space="preserve"> «для отработки боевогоприменения» - </w:t>
      </w:r>
      <w:r w:rsidRPr="00D03F3E">
        <w:rPr>
          <w:rFonts w:ascii="Times New Roman" w:hAnsi="Times New Roman"/>
          <w:color w:val="000000" w:themeColor="text1"/>
          <w:sz w:val="16"/>
          <w:szCs w:val="16"/>
        </w:rPr>
        <w:t>5195 кг. Центровка машины! но-боевом варианте равнялась 26,5% САХ, вследствие чего Ил-2У АМ-38ф имел лучшую продольную устойчивость и по технике пилотирования оказался проще Ил-2 АМ-38ф. При полетном весе 5195 кг максималь скорость полета Ил-2У АМ-38ф у земли 390 км/ч, а на высоте 1125м - 403 км/часю Время подъема на высоту 1000 м - 2 мин, на 3000 м - 7 мин. (9981,178).</w:t>
      </w:r>
    </w:p>
    <w:p w14:paraId="2A9ABB6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0D152D0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июня 1943 года начальник ГУЗ ВВС генерал-лейтенант ИАС Селезнев писал письмо N 555840 Шахурину.</w:t>
      </w:r>
    </w:p>
    <w:p w14:paraId="006E072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вопросу: неудовлетворительного качества самолетов.</w:t>
      </w:r>
    </w:p>
    <w:p w14:paraId="1814CB7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 последнее время, в связи с ослаблением внимания к качеству, ряд самолетов проходят гос. контрольные испытания в НИИ ВВС неудовлетворительно:</w:t>
      </w:r>
    </w:p>
    <w:p w14:paraId="70CF6B5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Самолет ЯК-1 N 07127 производства завода N 292 прошел испытание с 9.IV по 17.IV неудовлетворительно по причине:</w:t>
      </w:r>
    </w:p>
    <w:p w14:paraId="6055509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высоких температурных режимов,</w:t>
      </w:r>
    </w:p>
    <w:p w14:paraId="440195A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неравномерной выработки горючего,</w:t>
      </w:r>
    </w:p>
    <w:p w14:paraId="0BD64D7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забрызгивание маслом козырька пилота,</w:t>
      </w:r>
    </w:p>
    <w:p w14:paraId="376640A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 тяжелое управление самолетом.</w:t>
      </w:r>
    </w:p>
    <w:p w14:paraId="68CBBEA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Самолеты ЯК-7 NN 3920, 3979, 4097, 4114, 4123, 4103 и 4055 производства завода N 153 прошли испытания в период с 13.IV по 26.IV неудовлетворительно по причине:</w:t>
      </w:r>
    </w:p>
    <w:p w14:paraId="6B5EFBE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заниженных скоростей,</w:t>
      </w:r>
    </w:p>
    <w:p w14:paraId="35F23C2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наличия дефектов опасных для полетов.</w:t>
      </w:r>
    </w:p>
    <w:p w14:paraId="28F9CA2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Самолет Лагг-3 N 6066 производства завода N 31 прошел испытание в период с 12.IV по 4.V неудовлетворительно по причине:</w:t>
      </w:r>
    </w:p>
    <w:p w14:paraId="11CE1AC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недобора скоростей на 10-15 км/час,</w:t>
      </w:r>
    </w:p>
    <w:p w14:paraId="2AE63CD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выбора масла из суфлера,</w:t>
      </w:r>
    </w:p>
    <w:p w14:paraId="5DB95B0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высоких температурных режимов,</w:t>
      </w:r>
    </w:p>
    <w:p w14:paraId="2AE4E6B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г) перетяжеления на 73 кг,</w:t>
      </w:r>
    </w:p>
    <w:p w14:paraId="2A74D56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 не достаточная дальность радиосвязи,</w:t>
      </w:r>
    </w:p>
    <w:p w14:paraId="5F2B83B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е) заниженной дальности полета по запасу горючего.</w:t>
      </w:r>
    </w:p>
    <w:p w14:paraId="2369FA2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Самолет ИЛ-2 N 2067 производства завода N 30 прошел испытание в период с 7.5.43 г. по 21.5.43 г. неудовлетворительно по причине:</w:t>
      </w:r>
    </w:p>
    <w:p w14:paraId="33AD58E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потери скоростей на 12-19 км,</w:t>
      </w:r>
    </w:p>
    <w:p w14:paraId="1C3816A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большого количества дефектов усложняющих эксплуатацию и снижающих боевые качества.</w:t>
      </w:r>
    </w:p>
    <w:p w14:paraId="2ECA70E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Самолет ПЕ-2 N 7/187 производства завода N 22 прошел испытание в период с 25.5.43 по 5.6.43 неудовлетворительно по причине:</w:t>
      </w:r>
    </w:p>
    <w:p w14:paraId="275AB63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 потери скоростей,</w:t>
      </w:r>
    </w:p>
    <w:p w14:paraId="5E0C794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 плохого производственного выполнения.</w:t>
      </w:r>
    </w:p>
    <w:p w14:paraId="1F96505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Самолет ЯК-6 производства завода N 471 прошел испытание в период апрель, май неудовлетворительно по причине плохой производственной отделки и наличия дефектов, требующих немедленного устранения.</w:t>
      </w:r>
    </w:p>
    <w:p w14:paraId="649523D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Самолеты же прошедшие испытание удовлетворительно имеют большое количество дефектов, снижающие боевые качества самолетов, основная масса которых требует немедленного устранения.</w:t>
      </w:r>
    </w:p>
    <w:p w14:paraId="488D1A8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Акты по результатам испытаний НИИ ВВС разосланы: Вам, гл. конструктору, директорам заводов.</w:t>
      </w:r>
    </w:p>
    <w:p w14:paraId="684010B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Несмотря на такую оценку заводы слабо занимаются вопросами доводки самолетов и продолжают отправлять фронту неудовлетворительную продукцию, подрывая уверенность летного состава в надежности машин.</w:t>
      </w:r>
    </w:p>
    <w:p w14:paraId="7CCF6FC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основании изложенного прошу Ваших указаний заводам о срочном устранении дефектов выявленных испытаниями, как в серии так и на ранее выпущенных самолетах и немедленного реагирования в дальнейшем на выводы и заключения НИИ ВВС по результатам испытаний (1778,271).</w:t>
      </w:r>
    </w:p>
    <w:p w14:paraId="3D016524" w14:textId="77777777" w:rsidR="00531570" w:rsidRPr="00D03F3E" w:rsidRDefault="00531570" w:rsidP="00D03F3E">
      <w:pPr>
        <w:pStyle w:val="Iauiue"/>
        <w:jc w:val="both"/>
        <w:rPr>
          <w:color w:val="000000" w:themeColor="text1"/>
          <w:sz w:val="16"/>
          <w:szCs w:val="16"/>
        </w:rPr>
      </w:pPr>
    </w:p>
    <w:p w14:paraId="7991E32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июня 1943 была подготовлена Сравнительная таблица дальности полета истребителей.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089"/>
        <w:gridCol w:w="739"/>
        <w:gridCol w:w="739"/>
        <w:gridCol w:w="739"/>
        <w:gridCol w:w="947"/>
        <w:gridCol w:w="850"/>
        <w:gridCol w:w="851"/>
        <w:gridCol w:w="1227"/>
        <w:gridCol w:w="1465"/>
      </w:tblGrid>
      <w:tr w:rsidR="00860B4B" w:rsidRPr="00D03F3E" w14:paraId="28058720" w14:textId="77777777">
        <w:tc>
          <w:tcPr>
            <w:tcW w:w="1951" w:type="dxa"/>
          </w:tcPr>
          <w:p w14:paraId="6CC5320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Самолет</w:t>
            </w:r>
          </w:p>
        </w:tc>
        <w:tc>
          <w:tcPr>
            <w:tcW w:w="1089" w:type="dxa"/>
          </w:tcPr>
          <w:p w14:paraId="641D19F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Мотор</w:t>
            </w:r>
          </w:p>
        </w:tc>
        <w:tc>
          <w:tcPr>
            <w:tcW w:w="739" w:type="dxa"/>
          </w:tcPr>
          <w:p w14:paraId="4B7A40C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Полетн.</w:t>
            </w:r>
          </w:p>
        </w:tc>
        <w:tc>
          <w:tcPr>
            <w:tcW w:w="739" w:type="dxa"/>
          </w:tcPr>
          <w:p w14:paraId="2C1495B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Запас горючего</w:t>
            </w:r>
          </w:p>
        </w:tc>
        <w:tc>
          <w:tcPr>
            <w:tcW w:w="739" w:type="dxa"/>
          </w:tcPr>
          <w:p w14:paraId="2CBFA15C" w14:textId="77777777" w:rsidR="00531570" w:rsidRPr="00D03F3E" w:rsidRDefault="00531570" w:rsidP="00D03F3E">
            <w:pPr>
              <w:pStyle w:val="Iauiue"/>
              <w:jc w:val="both"/>
              <w:rPr>
                <w:color w:val="000000" w:themeColor="text1"/>
                <w:sz w:val="16"/>
                <w:szCs w:val="16"/>
              </w:rPr>
            </w:pPr>
          </w:p>
        </w:tc>
        <w:tc>
          <w:tcPr>
            <w:tcW w:w="947" w:type="dxa"/>
          </w:tcPr>
          <w:p w14:paraId="4E9E1C2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Дальность на 0,9</w:t>
            </w:r>
          </w:p>
        </w:tc>
        <w:tc>
          <w:tcPr>
            <w:tcW w:w="850" w:type="dxa"/>
          </w:tcPr>
          <w:p w14:paraId="22AA632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Наибольш.</w:t>
            </w:r>
          </w:p>
        </w:tc>
        <w:tc>
          <w:tcPr>
            <w:tcW w:w="851" w:type="dxa"/>
          </w:tcPr>
          <w:p w14:paraId="7DA9987D" w14:textId="77777777" w:rsidR="00531570" w:rsidRPr="00D03F3E" w:rsidRDefault="00531570" w:rsidP="00D03F3E">
            <w:pPr>
              <w:pStyle w:val="Iauiue"/>
              <w:jc w:val="both"/>
              <w:rPr>
                <w:color w:val="000000" w:themeColor="text1"/>
                <w:sz w:val="16"/>
                <w:szCs w:val="16"/>
              </w:rPr>
            </w:pPr>
          </w:p>
        </w:tc>
        <w:tc>
          <w:tcPr>
            <w:tcW w:w="1227" w:type="dxa"/>
          </w:tcPr>
          <w:p w14:paraId="6E4BF9C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Наибольш.</w:t>
            </w:r>
          </w:p>
        </w:tc>
        <w:tc>
          <w:tcPr>
            <w:tcW w:w="1465" w:type="dxa"/>
          </w:tcPr>
          <w:p w14:paraId="73B9552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Примечание</w:t>
            </w:r>
          </w:p>
        </w:tc>
      </w:tr>
      <w:tr w:rsidR="00860B4B" w:rsidRPr="00D03F3E" w14:paraId="5F8C2582" w14:textId="77777777">
        <w:tc>
          <w:tcPr>
            <w:tcW w:w="1951" w:type="dxa"/>
          </w:tcPr>
          <w:p w14:paraId="771DA020" w14:textId="77777777" w:rsidR="00531570" w:rsidRPr="00D03F3E" w:rsidRDefault="00531570" w:rsidP="00D03F3E">
            <w:pPr>
              <w:pStyle w:val="Iauiue"/>
              <w:jc w:val="both"/>
              <w:rPr>
                <w:color w:val="000000" w:themeColor="text1"/>
                <w:sz w:val="16"/>
                <w:szCs w:val="16"/>
              </w:rPr>
            </w:pPr>
          </w:p>
        </w:tc>
        <w:tc>
          <w:tcPr>
            <w:tcW w:w="1089" w:type="dxa"/>
          </w:tcPr>
          <w:p w14:paraId="4694F318" w14:textId="77777777" w:rsidR="00531570" w:rsidRPr="00D03F3E" w:rsidRDefault="00531570" w:rsidP="00D03F3E">
            <w:pPr>
              <w:pStyle w:val="Iauiue"/>
              <w:jc w:val="both"/>
              <w:rPr>
                <w:color w:val="000000" w:themeColor="text1"/>
                <w:sz w:val="16"/>
                <w:szCs w:val="16"/>
              </w:rPr>
            </w:pPr>
          </w:p>
        </w:tc>
        <w:tc>
          <w:tcPr>
            <w:tcW w:w="739" w:type="dxa"/>
          </w:tcPr>
          <w:p w14:paraId="5B3EC92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вес кг</w:t>
            </w:r>
          </w:p>
        </w:tc>
        <w:tc>
          <w:tcPr>
            <w:tcW w:w="739" w:type="dxa"/>
          </w:tcPr>
          <w:p w14:paraId="12B759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норм.</w:t>
            </w:r>
          </w:p>
        </w:tc>
        <w:tc>
          <w:tcPr>
            <w:tcW w:w="739" w:type="dxa"/>
          </w:tcPr>
          <w:p w14:paraId="1EF9DA6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предел.</w:t>
            </w:r>
          </w:p>
        </w:tc>
        <w:tc>
          <w:tcPr>
            <w:tcW w:w="947" w:type="dxa"/>
          </w:tcPr>
          <w:p w14:paraId="723CBD9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максимал. скор.</w:t>
            </w:r>
          </w:p>
        </w:tc>
        <w:tc>
          <w:tcPr>
            <w:tcW w:w="850" w:type="dxa"/>
          </w:tcPr>
          <w:p w14:paraId="1F41523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дальность</w:t>
            </w:r>
          </w:p>
        </w:tc>
        <w:tc>
          <w:tcPr>
            <w:tcW w:w="851" w:type="dxa"/>
          </w:tcPr>
          <w:p w14:paraId="27FB1F02" w14:textId="77777777" w:rsidR="00531570" w:rsidRPr="00D03F3E" w:rsidRDefault="00531570" w:rsidP="00D03F3E">
            <w:pPr>
              <w:pStyle w:val="Iauiue"/>
              <w:jc w:val="both"/>
              <w:rPr>
                <w:color w:val="000000" w:themeColor="text1"/>
                <w:sz w:val="16"/>
                <w:szCs w:val="16"/>
              </w:rPr>
            </w:pPr>
          </w:p>
        </w:tc>
        <w:tc>
          <w:tcPr>
            <w:tcW w:w="1227" w:type="dxa"/>
          </w:tcPr>
          <w:p w14:paraId="67E1573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продолжит.</w:t>
            </w:r>
          </w:p>
        </w:tc>
        <w:tc>
          <w:tcPr>
            <w:tcW w:w="1465" w:type="dxa"/>
          </w:tcPr>
          <w:p w14:paraId="4ADB7108" w14:textId="77777777" w:rsidR="00531570" w:rsidRPr="00D03F3E" w:rsidRDefault="00531570" w:rsidP="00D03F3E">
            <w:pPr>
              <w:pStyle w:val="Iauiue"/>
              <w:jc w:val="both"/>
              <w:rPr>
                <w:color w:val="000000" w:themeColor="text1"/>
                <w:sz w:val="16"/>
                <w:szCs w:val="16"/>
              </w:rPr>
            </w:pPr>
          </w:p>
        </w:tc>
      </w:tr>
      <w:tr w:rsidR="00860B4B" w:rsidRPr="00D03F3E" w14:paraId="67B7E7EA" w14:textId="77777777">
        <w:tc>
          <w:tcPr>
            <w:tcW w:w="1951" w:type="dxa"/>
          </w:tcPr>
          <w:p w14:paraId="1E87D1C2" w14:textId="77777777" w:rsidR="00531570" w:rsidRPr="00D03F3E" w:rsidRDefault="00531570" w:rsidP="00D03F3E">
            <w:pPr>
              <w:pStyle w:val="Iauiue"/>
              <w:jc w:val="both"/>
              <w:rPr>
                <w:color w:val="000000" w:themeColor="text1"/>
                <w:sz w:val="16"/>
                <w:szCs w:val="16"/>
              </w:rPr>
            </w:pPr>
          </w:p>
        </w:tc>
        <w:tc>
          <w:tcPr>
            <w:tcW w:w="1089" w:type="dxa"/>
          </w:tcPr>
          <w:p w14:paraId="5B86B7AC" w14:textId="77777777" w:rsidR="00531570" w:rsidRPr="00D03F3E" w:rsidRDefault="00531570" w:rsidP="00D03F3E">
            <w:pPr>
              <w:pStyle w:val="Iauiue"/>
              <w:jc w:val="both"/>
              <w:rPr>
                <w:color w:val="000000" w:themeColor="text1"/>
                <w:sz w:val="16"/>
                <w:szCs w:val="16"/>
              </w:rPr>
            </w:pPr>
          </w:p>
        </w:tc>
        <w:tc>
          <w:tcPr>
            <w:tcW w:w="739" w:type="dxa"/>
          </w:tcPr>
          <w:p w14:paraId="5A41242A" w14:textId="77777777" w:rsidR="00531570" w:rsidRPr="00D03F3E" w:rsidRDefault="00531570" w:rsidP="00D03F3E">
            <w:pPr>
              <w:pStyle w:val="Iauiue"/>
              <w:jc w:val="both"/>
              <w:rPr>
                <w:color w:val="000000" w:themeColor="text1"/>
                <w:sz w:val="16"/>
                <w:szCs w:val="16"/>
              </w:rPr>
            </w:pPr>
          </w:p>
        </w:tc>
        <w:tc>
          <w:tcPr>
            <w:tcW w:w="739" w:type="dxa"/>
          </w:tcPr>
          <w:p w14:paraId="1015419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Запас</w:t>
            </w:r>
          </w:p>
        </w:tc>
        <w:tc>
          <w:tcPr>
            <w:tcW w:w="739" w:type="dxa"/>
          </w:tcPr>
          <w:p w14:paraId="1A81172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запас</w:t>
            </w:r>
          </w:p>
        </w:tc>
        <w:tc>
          <w:tcPr>
            <w:tcW w:w="947" w:type="dxa"/>
          </w:tcPr>
          <w:p w14:paraId="6561942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 высоте км</w:t>
            </w:r>
          </w:p>
        </w:tc>
        <w:tc>
          <w:tcPr>
            <w:tcW w:w="850" w:type="dxa"/>
          </w:tcPr>
          <w:p w14:paraId="6B7D480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полета на</w:t>
            </w:r>
          </w:p>
        </w:tc>
        <w:tc>
          <w:tcPr>
            <w:tcW w:w="851" w:type="dxa"/>
          </w:tcPr>
          <w:p w14:paraId="40400BCE" w14:textId="77777777" w:rsidR="00531570" w:rsidRPr="00D03F3E" w:rsidRDefault="00531570" w:rsidP="00D03F3E">
            <w:pPr>
              <w:pStyle w:val="Iauiue"/>
              <w:jc w:val="both"/>
              <w:rPr>
                <w:color w:val="000000" w:themeColor="text1"/>
                <w:sz w:val="16"/>
                <w:szCs w:val="16"/>
              </w:rPr>
            </w:pPr>
          </w:p>
        </w:tc>
        <w:tc>
          <w:tcPr>
            <w:tcW w:w="1227" w:type="dxa"/>
          </w:tcPr>
          <w:p w14:paraId="7411B59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полета на</w:t>
            </w:r>
          </w:p>
        </w:tc>
        <w:tc>
          <w:tcPr>
            <w:tcW w:w="1465" w:type="dxa"/>
          </w:tcPr>
          <w:p w14:paraId="666FBD23" w14:textId="77777777" w:rsidR="00531570" w:rsidRPr="00D03F3E" w:rsidRDefault="00531570" w:rsidP="00D03F3E">
            <w:pPr>
              <w:pStyle w:val="Iauiue"/>
              <w:jc w:val="both"/>
              <w:rPr>
                <w:color w:val="000000" w:themeColor="text1"/>
                <w:sz w:val="16"/>
                <w:szCs w:val="16"/>
              </w:rPr>
            </w:pPr>
          </w:p>
        </w:tc>
      </w:tr>
      <w:tr w:rsidR="00860B4B" w:rsidRPr="00D03F3E" w14:paraId="082D1952" w14:textId="77777777">
        <w:tc>
          <w:tcPr>
            <w:tcW w:w="1951" w:type="dxa"/>
          </w:tcPr>
          <w:p w14:paraId="1548F40C" w14:textId="77777777" w:rsidR="00531570" w:rsidRPr="00D03F3E" w:rsidRDefault="00531570" w:rsidP="00D03F3E">
            <w:pPr>
              <w:pStyle w:val="Iauiue"/>
              <w:jc w:val="both"/>
              <w:rPr>
                <w:color w:val="000000" w:themeColor="text1"/>
                <w:sz w:val="16"/>
                <w:szCs w:val="16"/>
              </w:rPr>
            </w:pPr>
          </w:p>
        </w:tc>
        <w:tc>
          <w:tcPr>
            <w:tcW w:w="1089" w:type="dxa"/>
          </w:tcPr>
          <w:p w14:paraId="2AC72363" w14:textId="77777777" w:rsidR="00531570" w:rsidRPr="00D03F3E" w:rsidRDefault="00531570" w:rsidP="00D03F3E">
            <w:pPr>
              <w:pStyle w:val="Iauiue"/>
              <w:jc w:val="both"/>
              <w:rPr>
                <w:color w:val="000000" w:themeColor="text1"/>
                <w:sz w:val="16"/>
                <w:szCs w:val="16"/>
              </w:rPr>
            </w:pPr>
          </w:p>
        </w:tc>
        <w:tc>
          <w:tcPr>
            <w:tcW w:w="739" w:type="dxa"/>
          </w:tcPr>
          <w:p w14:paraId="34A55B31" w14:textId="77777777" w:rsidR="00531570" w:rsidRPr="00D03F3E" w:rsidRDefault="00531570" w:rsidP="00D03F3E">
            <w:pPr>
              <w:pStyle w:val="Iauiue"/>
              <w:jc w:val="both"/>
              <w:rPr>
                <w:color w:val="000000" w:themeColor="text1"/>
                <w:sz w:val="16"/>
                <w:szCs w:val="16"/>
              </w:rPr>
            </w:pPr>
          </w:p>
        </w:tc>
        <w:tc>
          <w:tcPr>
            <w:tcW w:w="739" w:type="dxa"/>
          </w:tcPr>
          <w:p w14:paraId="46A8328E" w14:textId="77777777" w:rsidR="00531570" w:rsidRPr="00D03F3E" w:rsidRDefault="00531570" w:rsidP="00D03F3E">
            <w:pPr>
              <w:pStyle w:val="Iauiue"/>
              <w:jc w:val="both"/>
              <w:rPr>
                <w:color w:val="000000" w:themeColor="text1"/>
                <w:sz w:val="16"/>
                <w:szCs w:val="16"/>
              </w:rPr>
            </w:pPr>
          </w:p>
        </w:tc>
        <w:tc>
          <w:tcPr>
            <w:tcW w:w="739" w:type="dxa"/>
          </w:tcPr>
          <w:p w14:paraId="3DA83D90" w14:textId="77777777" w:rsidR="00531570" w:rsidRPr="00D03F3E" w:rsidRDefault="00531570" w:rsidP="00D03F3E">
            <w:pPr>
              <w:pStyle w:val="Iauiue"/>
              <w:jc w:val="both"/>
              <w:rPr>
                <w:color w:val="000000" w:themeColor="text1"/>
                <w:sz w:val="16"/>
                <w:szCs w:val="16"/>
              </w:rPr>
            </w:pPr>
          </w:p>
        </w:tc>
        <w:tc>
          <w:tcPr>
            <w:tcW w:w="947" w:type="dxa"/>
          </w:tcPr>
          <w:p w14:paraId="7A4E9E3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3000 м</w:t>
            </w:r>
          </w:p>
        </w:tc>
        <w:tc>
          <w:tcPr>
            <w:tcW w:w="850" w:type="dxa"/>
          </w:tcPr>
          <w:p w14:paraId="3517B8A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5000 м</w:t>
            </w:r>
          </w:p>
        </w:tc>
        <w:tc>
          <w:tcPr>
            <w:tcW w:w="851" w:type="dxa"/>
          </w:tcPr>
          <w:p w14:paraId="6A14E73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 м</w:t>
            </w:r>
          </w:p>
        </w:tc>
        <w:tc>
          <w:tcPr>
            <w:tcW w:w="1227" w:type="dxa"/>
          </w:tcPr>
          <w:p w14:paraId="3EF71A6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высоте 1000 м</w:t>
            </w:r>
          </w:p>
        </w:tc>
        <w:tc>
          <w:tcPr>
            <w:tcW w:w="1465" w:type="dxa"/>
          </w:tcPr>
          <w:p w14:paraId="28BD7B3A" w14:textId="77777777" w:rsidR="00531570" w:rsidRPr="00D03F3E" w:rsidRDefault="00531570" w:rsidP="00D03F3E">
            <w:pPr>
              <w:pStyle w:val="Iauiue"/>
              <w:jc w:val="both"/>
              <w:rPr>
                <w:color w:val="000000" w:themeColor="text1"/>
                <w:sz w:val="16"/>
                <w:szCs w:val="16"/>
              </w:rPr>
            </w:pPr>
          </w:p>
        </w:tc>
      </w:tr>
      <w:tr w:rsidR="00860B4B" w:rsidRPr="00D03F3E" w14:paraId="03360005" w14:textId="77777777">
        <w:tc>
          <w:tcPr>
            <w:tcW w:w="1951" w:type="dxa"/>
          </w:tcPr>
          <w:p w14:paraId="45310993" w14:textId="77777777" w:rsidR="00531570" w:rsidRPr="00D03F3E" w:rsidRDefault="00531570" w:rsidP="00D03F3E">
            <w:pPr>
              <w:pStyle w:val="Iauiue"/>
              <w:jc w:val="both"/>
              <w:rPr>
                <w:color w:val="000000" w:themeColor="text1"/>
                <w:sz w:val="16"/>
                <w:szCs w:val="16"/>
              </w:rPr>
            </w:pPr>
          </w:p>
        </w:tc>
        <w:tc>
          <w:tcPr>
            <w:tcW w:w="1089" w:type="dxa"/>
          </w:tcPr>
          <w:p w14:paraId="05491B61" w14:textId="77777777" w:rsidR="00531570" w:rsidRPr="00D03F3E" w:rsidRDefault="00531570" w:rsidP="00D03F3E">
            <w:pPr>
              <w:pStyle w:val="Iauiue"/>
              <w:jc w:val="both"/>
              <w:rPr>
                <w:color w:val="000000" w:themeColor="text1"/>
                <w:sz w:val="16"/>
                <w:szCs w:val="16"/>
              </w:rPr>
            </w:pPr>
          </w:p>
        </w:tc>
        <w:tc>
          <w:tcPr>
            <w:tcW w:w="739" w:type="dxa"/>
          </w:tcPr>
          <w:p w14:paraId="60AC1CF2" w14:textId="77777777" w:rsidR="00531570" w:rsidRPr="00D03F3E" w:rsidRDefault="00531570" w:rsidP="00D03F3E">
            <w:pPr>
              <w:pStyle w:val="Iauiue"/>
              <w:jc w:val="both"/>
              <w:rPr>
                <w:color w:val="000000" w:themeColor="text1"/>
                <w:sz w:val="16"/>
                <w:szCs w:val="16"/>
              </w:rPr>
            </w:pPr>
          </w:p>
        </w:tc>
        <w:tc>
          <w:tcPr>
            <w:tcW w:w="739" w:type="dxa"/>
          </w:tcPr>
          <w:p w14:paraId="45DF5F68" w14:textId="77777777" w:rsidR="00531570" w:rsidRPr="00D03F3E" w:rsidRDefault="00531570" w:rsidP="00D03F3E">
            <w:pPr>
              <w:pStyle w:val="Iauiue"/>
              <w:jc w:val="both"/>
              <w:rPr>
                <w:color w:val="000000" w:themeColor="text1"/>
                <w:sz w:val="16"/>
                <w:szCs w:val="16"/>
              </w:rPr>
            </w:pPr>
          </w:p>
        </w:tc>
        <w:tc>
          <w:tcPr>
            <w:tcW w:w="739" w:type="dxa"/>
          </w:tcPr>
          <w:p w14:paraId="255BFD69" w14:textId="77777777" w:rsidR="00531570" w:rsidRPr="00D03F3E" w:rsidRDefault="00531570" w:rsidP="00D03F3E">
            <w:pPr>
              <w:pStyle w:val="Iauiue"/>
              <w:jc w:val="both"/>
              <w:rPr>
                <w:color w:val="000000" w:themeColor="text1"/>
                <w:sz w:val="16"/>
                <w:szCs w:val="16"/>
              </w:rPr>
            </w:pPr>
          </w:p>
        </w:tc>
        <w:tc>
          <w:tcPr>
            <w:tcW w:w="947" w:type="dxa"/>
          </w:tcPr>
          <w:p w14:paraId="55157CCF" w14:textId="77777777" w:rsidR="00531570" w:rsidRPr="00D03F3E" w:rsidRDefault="00531570" w:rsidP="00D03F3E">
            <w:pPr>
              <w:pStyle w:val="Iauiue"/>
              <w:jc w:val="both"/>
              <w:rPr>
                <w:color w:val="000000" w:themeColor="text1"/>
                <w:sz w:val="16"/>
                <w:szCs w:val="16"/>
              </w:rPr>
            </w:pPr>
          </w:p>
        </w:tc>
        <w:tc>
          <w:tcPr>
            <w:tcW w:w="850" w:type="dxa"/>
          </w:tcPr>
          <w:p w14:paraId="3461FEF8" w14:textId="77777777" w:rsidR="00531570" w:rsidRPr="00D03F3E" w:rsidRDefault="00531570" w:rsidP="00D03F3E">
            <w:pPr>
              <w:pStyle w:val="Iauiue"/>
              <w:jc w:val="both"/>
              <w:rPr>
                <w:color w:val="000000" w:themeColor="text1"/>
                <w:sz w:val="16"/>
                <w:szCs w:val="16"/>
              </w:rPr>
            </w:pPr>
          </w:p>
        </w:tc>
        <w:tc>
          <w:tcPr>
            <w:tcW w:w="851" w:type="dxa"/>
          </w:tcPr>
          <w:p w14:paraId="2E7F4D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км</w:t>
            </w:r>
          </w:p>
        </w:tc>
        <w:tc>
          <w:tcPr>
            <w:tcW w:w="1227" w:type="dxa"/>
          </w:tcPr>
          <w:p w14:paraId="64DC80A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час.</w:t>
            </w:r>
          </w:p>
        </w:tc>
        <w:tc>
          <w:tcPr>
            <w:tcW w:w="1465" w:type="dxa"/>
          </w:tcPr>
          <w:p w14:paraId="7A3FF8BA" w14:textId="77777777" w:rsidR="00531570" w:rsidRPr="00D03F3E" w:rsidRDefault="00531570" w:rsidP="00D03F3E">
            <w:pPr>
              <w:pStyle w:val="Iauiue"/>
              <w:jc w:val="both"/>
              <w:rPr>
                <w:color w:val="000000" w:themeColor="text1"/>
                <w:sz w:val="16"/>
                <w:szCs w:val="16"/>
              </w:rPr>
            </w:pPr>
          </w:p>
        </w:tc>
      </w:tr>
      <w:tr w:rsidR="00860B4B" w:rsidRPr="00D03F3E" w14:paraId="1042F34A" w14:textId="77777777">
        <w:tc>
          <w:tcPr>
            <w:tcW w:w="1951" w:type="dxa"/>
          </w:tcPr>
          <w:p w14:paraId="49AB6A7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Як-1</w:t>
            </w:r>
          </w:p>
        </w:tc>
        <w:tc>
          <w:tcPr>
            <w:tcW w:w="1089" w:type="dxa"/>
          </w:tcPr>
          <w:p w14:paraId="501FA52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М-105ПФ</w:t>
            </w:r>
          </w:p>
        </w:tc>
        <w:tc>
          <w:tcPr>
            <w:tcW w:w="739" w:type="dxa"/>
          </w:tcPr>
          <w:p w14:paraId="6910B9A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2890</w:t>
            </w:r>
          </w:p>
        </w:tc>
        <w:tc>
          <w:tcPr>
            <w:tcW w:w="739" w:type="dxa"/>
          </w:tcPr>
          <w:p w14:paraId="41AF947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305</w:t>
            </w:r>
          </w:p>
        </w:tc>
        <w:tc>
          <w:tcPr>
            <w:tcW w:w="739" w:type="dxa"/>
          </w:tcPr>
          <w:p w14:paraId="07DE52D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305</w:t>
            </w:r>
          </w:p>
        </w:tc>
        <w:tc>
          <w:tcPr>
            <w:tcW w:w="947" w:type="dxa"/>
          </w:tcPr>
          <w:p w14:paraId="771C1C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700</w:t>
            </w:r>
          </w:p>
        </w:tc>
        <w:tc>
          <w:tcPr>
            <w:tcW w:w="850" w:type="dxa"/>
          </w:tcPr>
          <w:p w14:paraId="0C86EEA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680</w:t>
            </w:r>
          </w:p>
        </w:tc>
        <w:tc>
          <w:tcPr>
            <w:tcW w:w="851" w:type="dxa"/>
          </w:tcPr>
          <w:p w14:paraId="2F7D4F0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930</w:t>
            </w:r>
          </w:p>
        </w:tc>
        <w:tc>
          <w:tcPr>
            <w:tcW w:w="1227" w:type="dxa"/>
          </w:tcPr>
          <w:p w14:paraId="754ED19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w:t>
            </w:r>
          </w:p>
        </w:tc>
        <w:tc>
          <w:tcPr>
            <w:tcW w:w="1465" w:type="dxa"/>
          </w:tcPr>
          <w:p w14:paraId="6BCC1B5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Цифры</w:t>
            </w:r>
          </w:p>
        </w:tc>
      </w:tr>
      <w:tr w:rsidR="00860B4B" w:rsidRPr="00D03F3E" w14:paraId="2523A55D" w14:textId="77777777">
        <w:tc>
          <w:tcPr>
            <w:tcW w:w="1951" w:type="dxa"/>
          </w:tcPr>
          <w:p w14:paraId="737C2762" w14:textId="77777777" w:rsidR="00531570" w:rsidRPr="00D03F3E" w:rsidRDefault="00531570" w:rsidP="00D03F3E">
            <w:pPr>
              <w:pStyle w:val="Iauiue"/>
              <w:jc w:val="both"/>
              <w:rPr>
                <w:color w:val="000000" w:themeColor="text1"/>
                <w:sz w:val="16"/>
                <w:szCs w:val="16"/>
              </w:rPr>
            </w:pPr>
          </w:p>
        </w:tc>
        <w:tc>
          <w:tcPr>
            <w:tcW w:w="1089" w:type="dxa"/>
          </w:tcPr>
          <w:p w14:paraId="7CFFE212" w14:textId="77777777" w:rsidR="00531570" w:rsidRPr="00D03F3E" w:rsidRDefault="00531570" w:rsidP="00D03F3E">
            <w:pPr>
              <w:pStyle w:val="Iauiue"/>
              <w:jc w:val="both"/>
              <w:rPr>
                <w:color w:val="000000" w:themeColor="text1"/>
                <w:sz w:val="16"/>
                <w:szCs w:val="16"/>
              </w:rPr>
            </w:pPr>
          </w:p>
        </w:tc>
        <w:tc>
          <w:tcPr>
            <w:tcW w:w="739" w:type="dxa"/>
          </w:tcPr>
          <w:p w14:paraId="7F90B5F6" w14:textId="77777777" w:rsidR="00531570" w:rsidRPr="00D03F3E" w:rsidRDefault="00531570" w:rsidP="00D03F3E">
            <w:pPr>
              <w:pStyle w:val="Iauiue"/>
              <w:jc w:val="both"/>
              <w:rPr>
                <w:color w:val="000000" w:themeColor="text1"/>
                <w:sz w:val="16"/>
                <w:szCs w:val="16"/>
              </w:rPr>
            </w:pPr>
          </w:p>
        </w:tc>
        <w:tc>
          <w:tcPr>
            <w:tcW w:w="739" w:type="dxa"/>
          </w:tcPr>
          <w:p w14:paraId="6DA18E15" w14:textId="77777777" w:rsidR="00531570" w:rsidRPr="00D03F3E" w:rsidRDefault="00531570" w:rsidP="00D03F3E">
            <w:pPr>
              <w:pStyle w:val="Iauiue"/>
              <w:jc w:val="both"/>
              <w:rPr>
                <w:color w:val="000000" w:themeColor="text1"/>
                <w:sz w:val="16"/>
                <w:szCs w:val="16"/>
              </w:rPr>
            </w:pPr>
          </w:p>
        </w:tc>
        <w:tc>
          <w:tcPr>
            <w:tcW w:w="739" w:type="dxa"/>
          </w:tcPr>
          <w:p w14:paraId="69D4B53C" w14:textId="77777777" w:rsidR="00531570" w:rsidRPr="00D03F3E" w:rsidRDefault="00531570" w:rsidP="00D03F3E">
            <w:pPr>
              <w:pStyle w:val="Iauiue"/>
              <w:jc w:val="both"/>
              <w:rPr>
                <w:color w:val="000000" w:themeColor="text1"/>
                <w:sz w:val="16"/>
                <w:szCs w:val="16"/>
              </w:rPr>
            </w:pPr>
          </w:p>
        </w:tc>
        <w:tc>
          <w:tcPr>
            <w:tcW w:w="947" w:type="dxa"/>
          </w:tcPr>
          <w:p w14:paraId="2039B782" w14:textId="77777777" w:rsidR="00531570" w:rsidRPr="00D03F3E" w:rsidRDefault="00531570" w:rsidP="00D03F3E">
            <w:pPr>
              <w:pStyle w:val="Iauiue"/>
              <w:jc w:val="both"/>
              <w:rPr>
                <w:color w:val="000000" w:themeColor="text1"/>
                <w:sz w:val="16"/>
                <w:szCs w:val="16"/>
              </w:rPr>
            </w:pPr>
          </w:p>
        </w:tc>
        <w:tc>
          <w:tcPr>
            <w:tcW w:w="850" w:type="dxa"/>
          </w:tcPr>
          <w:p w14:paraId="6141C19A" w14:textId="77777777" w:rsidR="00531570" w:rsidRPr="00D03F3E" w:rsidRDefault="00531570" w:rsidP="00D03F3E">
            <w:pPr>
              <w:pStyle w:val="Iauiue"/>
              <w:jc w:val="both"/>
              <w:rPr>
                <w:color w:val="000000" w:themeColor="text1"/>
                <w:sz w:val="16"/>
                <w:szCs w:val="16"/>
              </w:rPr>
            </w:pPr>
          </w:p>
        </w:tc>
        <w:tc>
          <w:tcPr>
            <w:tcW w:w="851" w:type="dxa"/>
          </w:tcPr>
          <w:p w14:paraId="32AD26CF" w14:textId="77777777" w:rsidR="00531570" w:rsidRPr="00D03F3E" w:rsidRDefault="00531570" w:rsidP="00D03F3E">
            <w:pPr>
              <w:pStyle w:val="Iauiue"/>
              <w:jc w:val="both"/>
              <w:rPr>
                <w:color w:val="000000" w:themeColor="text1"/>
                <w:sz w:val="16"/>
                <w:szCs w:val="16"/>
              </w:rPr>
            </w:pPr>
          </w:p>
        </w:tc>
        <w:tc>
          <w:tcPr>
            <w:tcW w:w="1227" w:type="dxa"/>
          </w:tcPr>
          <w:p w14:paraId="37B6A253" w14:textId="77777777" w:rsidR="00531570" w:rsidRPr="00D03F3E" w:rsidRDefault="00531570" w:rsidP="00D03F3E">
            <w:pPr>
              <w:pStyle w:val="Iauiue"/>
              <w:jc w:val="both"/>
              <w:rPr>
                <w:color w:val="000000" w:themeColor="text1"/>
                <w:sz w:val="16"/>
                <w:szCs w:val="16"/>
              </w:rPr>
            </w:pPr>
          </w:p>
        </w:tc>
        <w:tc>
          <w:tcPr>
            <w:tcW w:w="1465" w:type="dxa"/>
          </w:tcPr>
          <w:p w14:paraId="747E1CC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дальности</w:t>
            </w:r>
          </w:p>
        </w:tc>
      </w:tr>
      <w:tr w:rsidR="00860B4B" w:rsidRPr="00D03F3E" w14:paraId="49C09D33" w14:textId="77777777">
        <w:tc>
          <w:tcPr>
            <w:tcW w:w="1951" w:type="dxa"/>
          </w:tcPr>
          <w:p w14:paraId="638B9FF3" w14:textId="77777777" w:rsidR="00531570" w:rsidRPr="00D03F3E" w:rsidRDefault="00531570" w:rsidP="00D03F3E">
            <w:pPr>
              <w:pStyle w:val="Iauiue"/>
              <w:jc w:val="both"/>
              <w:rPr>
                <w:color w:val="000000" w:themeColor="text1"/>
                <w:sz w:val="16"/>
                <w:szCs w:val="16"/>
              </w:rPr>
            </w:pPr>
          </w:p>
        </w:tc>
        <w:tc>
          <w:tcPr>
            <w:tcW w:w="1089" w:type="dxa"/>
          </w:tcPr>
          <w:p w14:paraId="7E840BD5" w14:textId="77777777" w:rsidR="00531570" w:rsidRPr="00D03F3E" w:rsidRDefault="00531570" w:rsidP="00D03F3E">
            <w:pPr>
              <w:pStyle w:val="Iauiue"/>
              <w:jc w:val="both"/>
              <w:rPr>
                <w:color w:val="000000" w:themeColor="text1"/>
                <w:sz w:val="16"/>
                <w:szCs w:val="16"/>
              </w:rPr>
            </w:pPr>
          </w:p>
        </w:tc>
        <w:tc>
          <w:tcPr>
            <w:tcW w:w="739" w:type="dxa"/>
          </w:tcPr>
          <w:p w14:paraId="2AC6F36D" w14:textId="77777777" w:rsidR="00531570" w:rsidRPr="00D03F3E" w:rsidRDefault="00531570" w:rsidP="00D03F3E">
            <w:pPr>
              <w:pStyle w:val="Iauiue"/>
              <w:jc w:val="both"/>
              <w:rPr>
                <w:color w:val="000000" w:themeColor="text1"/>
                <w:sz w:val="16"/>
                <w:szCs w:val="16"/>
              </w:rPr>
            </w:pPr>
          </w:p>
        </w:tc>
        <w:tc>
          <w:tcPr>
            <w:tcW w:w="739" w:type="dxa"/>
          </w:tcPr>
          <w:p w14:paraId="2D75589E" w14:textId="77777777" w:rsidR="00531570" w:rsidRPr="00D03F3E" w:rsidRDefault="00531570" w:rsidP="00D03F3E">
            <w:pPr>
              <w:pStyle w:val="Iauiue"/>
              <w:jc w:val="both"/>
              <w:rPr>
                <w:color w:val="000000" w:themeColor="text1"/>
                <w:sz w:val="16"/>
                <w:szCs w:val="16"/>
              </w:rPr>
            </w:pPr>
          </w:p>
        </w:tc>
        <w:tc>
          <w:tcPr>
            <w:tcW w:w="739" w:type="dxa"/>
          </w:tcPr>
          <w:p w14:paraId="09D56BD6" w14:textId="77777777" w:rsidR="00531570" w:rsidRPr="00D03F3E" w:rsidRDefault="00531570" w:rsidP="00D03F3E">
            <w:pPr>
              <w:pStyle w:val="Iauiue"/>
              <w:jc w:val="both"/>
              <w:rPr>
                <w:color w:val="000000" w:themeColor="text1"/>
                <w:sz w:val="16"/>
                <w:szCs w:val="16"/>
              </w:rPr>
            </w:pPr>
          </w:p>
        </w:tc>
        <w:tc>
          <w:tcPr>
            <w:tcW w:w="947" w:type="dxa"/>
          </w:tcPr>
          <w:p w14:paraId="5B969A53" w14:textId="77777777" w:rsidR="00531570" w:rsidRPr="00D03F3E" w:rsidRDefault="00531570" w:rsidP="00D03F3E">
            <w:pPr>
              <w:pStyle w:val="Iauiue"/>
              <w:jc w:val="both"/>
              <w:rPr>
                <w:color w:val="000000" w:themeColor="text1"/>
                <w:sz w:val="16"/>
                <w:szCs w:val="16"/>
              </w:rPr>
            </w:pPr>
          </w:p>
        </w:tc>
        <w:tc>
          <w:tcPr>
            <w:tcW w:w="850" w:type="dxa"/>
          </w:tcPr>
          <w:p w14:paraId="3BAB5B16" w14:textId="77777777" w:rsidR="00531570" w:rsidRPr="00D03F3E" w:rsidRDefault="00531570" w:rsidP="00D03F3E">
            <w:pPr>
              <w:pStyle w:val="Iauiue"/>
              <w:jc w:val="both"/>
              <w:rPr>
                <w:color w:val="000000" w:themeColor="text1"/>
                <w:sz w:val="16"/>
                <w:szCs w:val="16"/>
              </w:rPr>
            </w:pPr>
          </w:p>
        </w:tc>
        <w:tc>
          <w:tcPr>
            <w:tcW w:w="851" w:type="dxa"/>
          </w:tcPr>
          <w:p w14:paraId="37D23B47" w14:textId="77777777" w:rsidR="00531570" w:rsidRPr="00D03F3E" w:rsidRDefault="00531570" w:rsidP="00D03F3E">
            <w:pPr>
              <w:pStyle w:val="Iauiue"/>
              <w:jc w:val="both"/>
              <w:rPr>
                <w:color w:val="000000" w:themeColor="text1"/>
                <w:sz w:val="16"/>
                <w:szCs w:val="16"/>
              </w:rPr>
            </w:pPr>
          </w:p>
        </w:tc>
        <w:tc>
          <w:tcPr>
            <w:tcW w:w="1227" w:type="dxa"/>
          </w:tcPr>
          <w:p w14:paraId="1738D5EE" w14:textId="77777777" w:rsidR="00531570" w:rsidRPr="00D03F3E" w:rsidRDefault="00531570" w:rsidP="00D03F3E">
            <w:pPr>
              <w:pStyle w:val="Iauiue"/>
              <w:jc w:val="both"/>
              <w:rPr>
                <w:color w:val="000000" w:themeColor="text1"/>
                <w:sz w:val="16"/>
                <w:szCs w:val="16"/>
              </w:rPr>
            </w:pPr>
          </w:p>
        </w:tc>
        <w:tc>
          <w:tcPr>
            <w:tcW w:w="1465" w:type="dxa"/>
          </w:tcPr>
          <w:p w14:paraId="7A73DBB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получены</w:t>
            </w:r>
          </w:p>
        </w:tc>
      </w:tr>
      <w:tr w:rsidR="00860B4B" w:rsidRPr="00D03F3E" w14:paraId="34BED10C" w14:textId="77777777">
        <w:tc>
          <w:tcPr>
            <w:tcW w:w="1951" w:type="dxa"/>
          </w:tcPr>
          <w:p w14:paraId="7D5B7D79" w14:textId="77777777" w:rsidR="00531570" w:rsidRPr="00D03F3E" w:rsidRDefault="00531570" w:rsidP="00D03F3E">
            <w:pPr>
              <w:pStyle w:val="Iauiue"/>
              <w:jc w:val="both"/>
              <w:rPr>
                <w:color w:val="000000" w:themeColor="text1"/>
                <w:sz w:val="16"/>
                <w:szCs w:val="16"/>
              </w:rPr>
            </w:pPr>
          </w:p>
        </w:tc>
        <w:tc>
          <w:tcPr>
            <w:tcW w:w="1089" w:type="dxa"/>
          </w:tcPr>
          <w:p w14:paraId="39E983E4" w14:textId="77777777" w:rsidR="00531570" w:rsidRPr="00D03F3E" w:rsidRDefault="00531570" w:rsidP="00D03F3E">
            <w:pPr>
              <w:pStyle w:val="Iauiue"/>
              <w:jc w:val="both"/>
              <w:rPr>
                <w:color w:val="000000" w:themeColor="text1"/>
                <w:sz w:val="16"/>
                <w:szCs w:val="16"/>
              </w:rPr>
            </w:pPr>
          </w:p>
        </w:tc>
        <w:tc>
          <w:tcPr>
            <w:tcW w:w="739" w:type="dxa"/>
          </w:tcPr>
          <w:p w14:paraId="4E75A243" w14:textId="77777777" w:rsidR="00531570" w:rsidRPr="00D03F3E" w:rsidRDefault="00531570" w:rsidP="00D03F3E">
            <w:pPr>
              <w:pStyle w:val="Iauiue"/>
              <w:jc w:val="both"/>
              <w:rPr>
                <w:color w:val="000000" w:themeColor="text1"/>
                <w:sz w:val="16"/>
                <w:szCs w:val="16"/>
              </w:rPr>
            </w:pPr>
          </w:p>
        </w:tc>
        <w:tc>
          <w:tcPr>
            <w:tcW w:w="739" w:type="dxa"/>
          </w:tcPr>
          <w:p w14:paraId="11DEB56A" w14:textId="77777777" w:rsidR="00531570" w:rsidRPr="00D03F3E" w:rsidRDefault="00531570" w:rsidP="00D03F3E">
            <w:pPr>
              <w:pStyle w:val="Iauiue"/>
              <w:jc w:val="both"/>
              <w:rPr>
                <w:color w:val="000000" w:themeColor="text1"/>
                <w:sz w:val="16"/>
                <w:szCs w:val="16"/>
              </w:rPr>
            </w:pPr>
          </w:p>
        </w:tc>
        <w:tc>
          <w:tcPr>
            <w:tcW w:w="739" w:type="dxa"/>
          </w:tcPr>
          <w:p w14:paraId="27E26B84" w14:textId="77777777" w:rsidR="00531570" w:rsidRPr="00D03F3E" w:rsidRDefault="00531570" w:rsidP="00D03F3E">
            <w:pPr>
              <w:pStyle w:val="Iauiue"/>
              <w:jc w:val="both"/>
              <w:rPr>
                <w:color w:val="000000" w:themeColor="text1"/>
                <w:sz w:val="16"/>
                <w:szCs w:val="16"/>
              </w:rPr>
            </w:pPr>
          </w:p>
        </w:tc>
        <w:tc>
          <w:tcPr>
            <w:tcW w:w="947" w:type="dxa"/>
          </w:tcPr>
          <w:p w14:paraId="34436FC9" w14:textId="77777777" w:rsidR="00531570" w:rsidRPr="00D03F3E" w:rsidRDefault="00531570" w:rsidP="00D03F3E">
            <w:pPr>
              <w:pStyle w:val="Iauiue"/>
              <w:jc w:val="both"/>
              <w:rPr>
                <w:color w:val="000000" w:themeColor="text1"/>
                <w:sz w:val="16"/>
                <w:szCs w:val="16"/>
              </w:rPr>
            </w:pPr>
          </w:p>
        </w:tc>
        <w:tc>
          <w:tcPr>
            <w:tcW w:w="850" w:type="dxa"/>
          </w:tcPr>
          <w:p w14:paraId="1A243AC7" w14:textId="77777777" w:rsidR="00531570" w:rsidRPr="00D03F3E" w:rsidRDefault="00531570" w:rsidP="00D03F3E">
            <w:pPr>
              <w:pStyle w:val="Iauiue"/>
              <w:jc w:val="both"/>
              <w:rPr>
                <w:color w:val="000000" w:themeColor="text1"/>
                <w:sz w:val="16"/>
                <w:szCs w:val="16"/>
              </w:rPr>
            </w:pPr>
          </w:p>
        </w:tc>
        <w:tc>
          <w:tcPr>
            <w:tcW w:w="851" w:type="dxa"/>
          </w:tcPr>
          <w:p w14:paraId="7AEFA614" w14:textId="77777777" w:rsidR="00531570" w:rsidRPr="00D03F3E" w:rsidRDefault="00531570" w:rsidP="00D03F3E">
            <w:pPr>
              <w:pStyle w:val="Iauiue"/>
              <w:jc w:val="both"/>
              <w:rPr>
                <w:color w:val="000000" w:themeColor="text1"/>
                <w:sz w:val="16"/>
                <w:szCs w:val="16"/>
              </w:rPr>
            </w:pPr>
          </w:p>
        </w:tc>
        <w:tc>
          <w:tcPr>
            <w:tcW w:w="1227" w:type="dxa"/>
          </w:tcPr>
          <w:p w14:paraId="56C33989" w14:textId="77777777" w:rsidR="00531570" w:rsidRPr="00D03F3E" w:rsidRDefault="00531570" w:rsidP="00D03F3E">
            <w:pPr>
              <w:pStyle w:val="Iauiue"/>
              <w:jc w:val="both"/>
              <w:rPr>
                <w:color w:val="000000" w:themeColor="text1"/>
                <w:sz w:val="16"/>
                <w:szCs w:val="16"/>
              </w:rPr>
            </w:pPr>
          </w:p>
        </w:tc>
        <w:tc>
          <w:tcPr>
            <w:tcW w:w="1465" w:type="dxa"/>
          </w:tcPr>
          <w:p w14:paraId="1A8328B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путем</w:t>
            </w:r>
          </w:p>
        </w:tc>
      </w:tr>
      <w:tr w:rsidR="00860B4B" w:rsidRPr="00D03F3E" w14:paraId="11E9AFBC" w14:textId="77777777">
        <w:tc>
          <w:tcPr>
            <w:tcW w:w="1951" w:type="dxa"/>
          </w:tcPr>
          <w:p w14:paraId="176692E7" w14:textId="77777777" w:rsidR="00531570" w:rsidRPr="00D03F3E" w:rsidRDefault="00531570" w:rsidP="00D03F3E">
            <w:pPr>
              <w:pStyle w:val="Iauiue"/>
              <w:jc w:val="both"/>
              <w:rPr>
                <w:color w:val="000000" w:themeColor="text1"/>
                <w:sz w:val="16"/>
                <w:szCs w:val="16"/>
              </w:rPr>
            </w:pPr>
          </w:p>
        </w:tc>
        <w:tc>
          <w:tcPr>
            <w:tcW w:w="1089" w:type="dxa"/>
          </w:tcPr>
          <w:p w14:paraId="551E5DB7" w14:textId="77777777" w:rsidR="00531570" w:rsidRPr="00D03F3E" w:rsidRDefault="00531570" w:rsidP="00D03F3E">
            <w:pPr>
              <w:pStyle w:val="Iauiue"/>
              <w:jc w:val="both"/>
              <w:rPr>
                <w:color w:val="000000" w:themeColor="text1"/>
                <w:sz w:val="16"/>
                <w:szCs w:val="16"/>
              </w:rPr>
            </w:pPr>
          </w:p>
        </w:tc>
        <w:tc>
          <w:tcPr>
            <w:tcW w:w="739" w:type="dxa"/>
          </w:tcPr>
          <w:p w14:paraId="08FE1F5C" w14:textId="77777777" w:rsidR="00531570" w:rsidRPr="00D03F3E" w:rsidRDefault="00531570" w:rsidP="00D03F3E">
            <w:pPr>
              <w:pStyle w:val="Iauiue"/>
              <w:jc w:val="both"/>
              <w:rPr>
                <w:color w:val="000000" w:themeColor="text1"/>
                <w:sz w:val="16"/>
                <w:szCs w:val="16"/>
              </w:rPr>
            </w:pPr>
          </w:p>
        </w:tc>
        <w:tc>
          <w:tcPr>
            <w:tcW w:w="739" w:type="dxa"/>
          </w:tcPr>
          <w:p w14:paraId="1805B2CA" w14:textId="77777777" w:rsidR="00531570" w:rsidRPr="00D03F3E" w:rsidRDefault="00531570" w:rsidP="00D03F3E">
            <w:pPr>
              <w:pStyle w:val="Iauiue"/>
              <w:jc w:val="both"/>
              <w:rPr>
                <w:color w:val="000000" w:themeColor="text1"/>
                <w:sz w:val="16"/>
                <w:szCs w:val="16"/>
              </w:rPr>
            </w:pPr>
          </w:p>
        </w:tc>
        <w:tc>
          <w:tcPr>
            <w:tcW w:w="739" w:type="dxa"/>
          </w:tcPr>
          <w:p w14:paraId="2DA8A2DC" w14:textId="77777777" w:rsidR="00531570" w:rsidRPr="00D03F3E" w:rsidRDefault="00531570" w:rsidP="00D03F3E">
            <w:pPr>
              <w:pStyle w:val="Iauiue"/>
              <w:jc w:val="both"/>
              <w:rPr>
                <w:color w:val="000000" w:themeColor="text1"/>
                <w:sz w:val="16"/>
                <w:szCs w:val="16"/>
              </w:rPr>
            </w:pPr>
          </w:p>
        </w:tc>
        <w:tc>
          <w:tcPr>
            <w:tcW w:w="947" w:type="dxa"/>
          </w:tcPr>
          <w:p w14:paraId="397CA398" w14:textId="77777777" w:rsidR="00531570" w:rsidRPr="00D03F3E" w:rsidRDefault="00531570" w:rsidP="00D03F3E">
            <w:pPr>
              <w:pStyle w:val="Iauiue"/>
              <w:jc w:val="both"/>
              <w:rPr>
                <w:color w:val="000000" w:themeColor="text1"/>
                <w:sz w:val="16"/>
                <w:szCs w:val="16"/>
              </w:rPr>
            </w:pPr>
          </w:p>
        </w:tc>
        <w:tc>
          <w:tcPr>
            <w:tcW w:w="850" w:type="dxa"/>
          </w:tcPr>
          <w:p w14:paraId="7D9CD79B" w14:textId="77777777" w:rsidR="00531570" w:rsidRPr="00D03F3E" w:rsidRDefault="00531570" w:rsidP="00D03F3E">
            <w:pPr>
              <w:pStyle w:val="Iauiue"/>
              <w:jc w:val="both"/>
              <w:rPr>
                <w:color w:val="000000" w:themeColor="text1"/>
                <w:sz w:val="16"/>
                <w:szCs w:val="16"/>
              </w:rPr>
            </w:pPr>
          </w:p>
        </w:tc>
        <w:tc>
          <w:tcPr>
            <w:tcW w:w="851" w:type="dxa"/>
          </w:tcPr>
          <w:p w14:paraId="050849E7" w14:textId="77777777" w:rsidR="00531570" w:rsidRPr="00D03F3E" w:rsidRDefault="00531570" w:rsidP="00D03F3E">
            <w:pPr>
              <w:pStyle w:val="Iauiue"/>
              <w:jc w:val="both"/>
              <w:rPr>
                <w:color w:val="000000" w:themeColor="text1"/>
                <w:sz w:val="16"/>
                <w:szCs w:val="16"/>
              </w:rPr>
            </w:pPr>
          </w:p>
        </w:tc>
        <w:tc>
          <w:tcPr>
            <w:tcW w:w="1227" w:type="dxa"/>
          </w:tcPr>
          <w:p w14:paraId="2A07C84F" w14:textId="77777777" w:rsidR="00531570" w:rsidRPr="00D03F3E" w:rsidRDefault="00531570" w:rsidP="00D03F3E">
            <w:pPr>
              <w:pStyle w:val="Iauiue"/>
              <w:jc w:val="both"/>
              <w:rPr>
                <w:color w:val="000000" w:themeColor="text1"/>
                <w:sz w:val="16"/>
                <w:szCs w:val="16"/>
              </w:rPr>
            </w:pPr>
          </w:p>
        </w:tc>
        <w:tc>
          <w:tcPr>
            <w:tcW w:w="1465" w:type="dxa"/>
          </w:tcPr>
          <w:p w14:paraId="079C4AA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пересчета</w:t>
            </w:r>
          </w:p>
        </w:tc>
      </w:tr>
      <w:tr w:rsidR="00860B4B" w:rsidRPr="00D03F3E" w14:paraId="5D9677FB" w14:textId="77777777">
        <w:tc>
          <w:tcPr>
            <w:tcW w:w="1951" w:type="dxa"/>
          </w:tcPr>
          <w:p w14:paraId="4D076D74" w14:textId="77777777" w:rsidR="00531570" w:rsidRPr="00D03F3E" w:rsidRDefault="00531570" w:rsidP="00D03F3E">
            <w:pPr>
              <w:pStyle w:val="Iauiue"/>
              <w:jc w:val="both"/>
              <w:rPr>
                <w:color w:val="000000" w:themeColor="text1"/>
                <w:sz w:val="16"/>
                <w:szCs w:val="16"/>
              </w:rPr>
            </w:pPr>
          </w:p>
        </w:tc>
        <w:tc>
          <w:tcPr>
            <w:tcW w:w="1089" w:type="dxa"/>
          </w:tcPr>
          <w:p w14:paraId="30FED0C9" w14:textId="77777777" w:rsidR="00531570" w:rsidRPr="00D03F3E" w:rsidRDefault="00531570" w:rsidP="00D03F3E">
            <w:pPr>
              <w:pStyle w:val="Iauiue"/>
              <w:jc w:val="both"/>
              <w:rPr>
                <w:color w:val="000000" w:themeColor="text1"/>
                <w:sz w:val="16"/>
                <w:szCs w:val="16"/>
              </w:rPr>
            </w:pPr>
          </w:p>
        </w:tc>
        <w:tc>
          <w:tcPr>
            <w:tcW w:w="739" w:type="dxa"/>
          </w:tcPr>
          <w:p w14:paraId="3A9C7A19" w14:textId="77777777" w:rsidR="00531570" w:rsidRPr="00D03F3E" w:rsidRDefault="00531570" w:rsidP="00D03F3E">
            <w:pPr>
              <w:pStyle w:val="Iauiue"/>
              <w:jc w:val="both"/>
              <w:rPr>
                <w:color w:val="000000" w:themeColor="text1"/>
                <w:sz w:val="16"/>
                <w:szCs w:val="16"/>
              </w:rPr>
            </w:pPr>
          </w:p>
        </w:tc>
        <w:tc>
          <w:tcPr>
            <w:tcW w:w="739" w:type="dxa"/>
          </w:tcPr>
          <w:p w14:paraId="2004EB13" w14:textId="77777777" w:rsidR="00531570" w:rsidRPr="00D03F3E" w:rsidRDefault="00531570" w:rsidP="00D03F3E">
            <w:pPr>
              <w:pStyle w:val="Iauiue"/>
              <w:jc w:val="both"/>
              <w:rPr>
                <w:color w:val="000000" w:themeColor="text1"/>
                <w:sz w:val="16"/>
                <w:szCs w:val="16"/>
              </w:rPr>
            </w:pPr>
          </w:p>
        </w:tc>
        <w:tc>
          <w:tcPr>
            <w:tcW w:w="739" w:type="dxa"/>
          </w:tcPr>
          <w:p w14:paraId="77BAF125" w14:textId="77777777" w:rsidR="00531570" w:rsidRPr="00D03F3E" w:rsidRDefault="00531570" w:rsidP="00D03F3E">
            <w:pPr>
              <w:pStyle w:val="Iauiue"/>
              <w:jc w:val="both"/>
              <w:rPr>
                <w:color w:val="000000" w:themeColor="text1"/>
                <w:sz w:val="16"/>
                <w:szCs w:val="16"/>
              </w:rPr>
            </w:pPr>
          </w:p>
        </w:tc>
        <w:tc>
          <w:tcPr>
            <w:tcW w:w="947" w:type="dxa"/>
          </w:tcPr>
          <w:p w14:paraId="59C20FF3" w14:textId="77777777" w:rsidR="00531570" w:rsidRPr="00D03F3E" w:rsidRDefault="00531570" w:rsidP="00D03F3E">
            <w:pPr>
              <w:pStyle w:val="Iauiue"/>
              <w:jc w:val="both"/>
              <w:rPr>
                <w:color w:val="000000" w:themeColor="text1"/>
                <w:sz w:val="16"/>
                <w:szCs w:val="16"/>
              </w:rPr>
            </w:pPr>
          </w:p>
        </w:tc>
        <w:tc>
          <w:tcPr>
            <w:tcW w:w="850" w:type="dxa"/>
          </w:tcPr>
          <w:p w14:paraId="04EAD2B2" w14:textId="77777777" w:rsidR="00531570" w:rsidRPr="00D03F3E" w:rsidRDefault="00531570" w:rsidP="00D03F3E">
            <w:pPr>
              <w:pStyle w:val="Iauiue"/>
              <w:jc w:val="both"/>
              <w:rPr>
                <w:color w:val="000000" w:themeColor="text1"/>
                <w:sz w:val="16"/>
                <w:szCs w:val="16"/>
              </w:rPr>
            </w:pPr>
          </w:p>
        </w:tc>
        <w:tc>
          <w:tcPr>
            <w:tcW w:w="851" w:type="dxa"/>
          </w:tcPr>
          <w:p w14:paraId="3FA19BFB" w14:textId="77777777" w:rsidR="00531570" w:rsidRPr="00D03F3E" w:rsidRDefault="00531570" w:rsidP="00D03F3E">
            <w:pPr>
              <w:pStyle w:val="Iauiue"/>
              <w:jc w:val="both"/>
              <w:rPr>
                <w:color w:val="000000" w:themeColor="text1"/>
                <w:sz w:val="16"/>
                <w:szCs w:val="16"/>
              </w:rPr>
            </w:pPr>
          </w:p>
        </w:tc>
        <w:tc>
          <w:tcPr>
            <w:tcW w:w="1227" w:type="dxa"/>
          </w:tcPr>
          <w:p w14:paraId="35E9B132" w14:textId="77777777" w:rsidR="00531570" w:rsidRPr="00D03F3E" w:rsidRDefault="00531570" w:rsidP="00D03F3E">
            <w:pPr>
              <w:pStyle w:val="Iauiue"/>
              <w:jc w:val="both"/>
              <w:rPr>
                <w:color w:val="000000" w:themeColor="text1"/>
                <w:sz w:val="16"/>
                <w:szCs w:val="16"/>
              </w:rPr>
            </w:pPr>
          </w:p>
        </w:tc>
        <w:tc>
          <w:tcPr>
            <w:tcW w:w="1465" w:type="dxa"/>
          </w:tcPr>
          <w:p w14:paraId="613F89C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результатов</w:t>
            </w:r>
          </w:p>
        </w:tc>
      </w:tr>
      <w:tr w:rsidR="00860B4B" w:rsidRPr="00D03F3E" w14:paraId="2096A5EA" w14:textId="77777777">
        <w:tc>
          <w:tcPr>
            <w:tcW w:w="1951" w:type="dxa"/>
          </w:tcPr>
          <w:p w14:paraId="7085B158" w14:textId="77777777" w:rsidR="00531570" w:rsidRPr="00D03F3E" w:rsidRDefault="00531570" w:rsidP="00D03F3E">
            <w:pPr>
              <w:pStyle w:val="Iauiue"/>
              <w:jc w:val="both"/>
              <w:rPr>
                <w:color w:val="000000" w:themeColor="text1"/>
                <w:sz w:val="16"/>
                <w:szCs w:val="16"/>
              </w:rPr>
            </w:pPr>
          </w:p>
        </w:tc>
        <w:tc>
          <w:tcPr>
            <w:tcW w:w="1089" w:type="dxa"/>
          </w:tcPr>
          <w:p w14:paraId="53F18304" w14:textId="77777777" w:rsidR="00531570" w:rsidRPr="00D03F3E" w:rsidRDefault="00531570" w:rsidP="00D03F3E">
            <w:pPr>
              <w:pStyle w:val="Iauiue"/>
              <w:jc w:val="both"/>
              <w:rPr>
                <w:color w:val="000000" w:themeColor="text1"/>
                <w:sz w:val="16"/>
                <w:szCs w:val="16"/>
              </w:rPr>
            </w:pPr>
          </w:p>
        </w:tc>
        <w:tc>
          <w:tcPr>
            <w:tcW w:w="739" w:type="dxa"/>
          </w:tcPr>
          <w:p w14:paraId="733C08A4" w14:textId="77777777" w:rsidR="00531570" w:rsidRPr="00D03F3E" w:rsidRDefault="00531570" w:rsidP="00D03F3E">
            <w:pPr>
              <w:pStyle w:val="Iauiue"/>
              <w:jc w:val="both"/>
              <w:rPr>
                <w:color w:val="000000" w:themeColor="text1"/>
                <w:sz w:val="16"/>
                <w:szCs w:val="16"/>
              </w:rPr>
            </w:pPr>
          </w:p>
        </w:tc>
        <w:tc>
          <w:tcPr>
            <w:tcW w:w="739" w:type="dxa"/>
          </w:tcPr>
          <w:p w14:paraId="612473C3" w14:textId="77777777" w:rsidR="00531570" w:rsidRPr="00D03F3E" w:rsidRDefault="00531570" w:rsidP="00D03F3E">
            <w:pPr>
              <w:pStyle w:val="Iauiue"/>
              <w:jc w:val="both"/>
              <w:rPr>
                <w:color w:val="000000" w:themeColor="text1"/>
                <w:sz w:val="16"/>
                <w:szCs w:val="16"/>
              </w:rPr>
            </w:pPr>
          </w:p>
        </w:tc>
        <w:tc>
          <w:tcPr>
            <w:tcW w:w="739" w:type="dxa"/>
          </w:tcPr>
          <w:p w14:paraId="4E79E72A" w14:textId="77777777" w:rsidR="00531570" w:rsidRPr="00D03F3E" w:rsidRDefault="00531570" w:rsidP="00D03F3E">
            <w:pPr>
              <w:pStyle w:val="Iauiue"/>
              <w:jc w:val="both"/>
              <w:rPr>
                <w:color w:val="000000" w:themeColor="text1"/>
                <w:sz w:val="16"/>
                <w:szCs w:val="16"/>
              </w:rPr>
            </w:pPr>
          </w:p>
        </w:tc>
        <w:tc>
          <w:tcPr>
            <w:tcW w:w="947" w:type="dxa"/>
          </w:tcPr>
          <w:p w14:paraId="35A6229B" w14:textId="77777777" w:rsidR="00531570" w:rsidRPr="00D03F3E" w:rsidRDefault="00531570" w:rsidP="00D03F3E">
            <w:pPr>
              <w:pStyle w:val="Iauiue"/>
              <w:jc w:val="both"/>
              <w:rPr>
                <w:color w:val="000000" w:themeColor="text1"/>
                <w:sz w:val="16"/>
                <w:szCs w:val="16"/>
              </w:rPr>
            </w:pPr>
          </w:p>
        </w:tc>
        <w:tc>
          <w:tcPr>
            <w:tcW w:w="850" w:type="dxa"/>
          </w:tcPr>
          <w:p w14:paraId="418A60D0" w14:textId="77777777" w:rsidR="00531570" w:rsidRPr="00D03F3E" w:rsidRDefault="00531570" w:rsidP="00D03F3E">
            <w:pPr>
              <w:pStyle w:val="Iauiue"/>
              <w:jc w:val="both"/>
              <w:rPr>
                <w:color w:val="000000" w:themeColor="text1"/>
                <w:sz w:val="16"/>
                <w:szCs w:val="16"/>
              </w:rPr>
            </w:pPr>
          </w:p>
        </w:tc>
        <w:tc>
          <w:tcPr>
            <w:tcW w:w="851" w:type="dxa"/>
          </w:tcPr>
          <w:p w14:paraId="74B0D07E" w14:textId="77777777" w:rsidR="00531570" w:rsidRPr="00D03F3E" w:rsidRDefault="00531570" w:rsidP="00D03F3E">
            <w:pPr>
              <w:pStyle w:val="Iauiue"/>
              <w:jc w:val="both"/>
              <w:rPr>
                <w:color w:val="000000" w:themeColor="text1"/>
                <w:sz w:val="16"/>
                <w:szCs w:val="16"/>
              </w:rPr>
            </w:pPr>
          </w:p>
        </w:tc>
        <w:tc>
          <w:tcPr>
            <w:tcW w:w="1227" w:type="dxa"/>
          </w:tcPr>
          <w:p w14:paraId="3E3B762C" w14:textId="77777777" w:rsidR="00531570" w:rsidRPr="00D03F3E" w:rsidRDefault="00531570" w:rsidP="00D03F3E">
            <w:pPr>
              <w:pStyle w:val="Iauiue"/>
              <w:jc w:val="both"/>
              <w:rPr>
                <w:color w:val="000000" w:themeColor="text1"/>
                <w:sz w:val="16"/>
                <w:szCs w:val="16"/>
              </w:rPr>
            </w:pPr>
          </w:p>
        </w:tc>
        <w:tc>
          <w:tcPr>
            <w:tcW w:w="1465" w:type="dxa"/>
          </w:tcPr>
          <w:p w14:paraId="0A314E5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летных</w:t>
            </w:r>
          </w:p>
        </w:tc>
      </w:tr>
      <w:tr w:rsidR="00860B4B" w:rsidRPr="00D03F3E" w14:paraId="5A431213" w14:textId="77777777">
        <w:tc>
          <w:tcPr>
            <w:tcW w:w="1951" w:type="dxa"/>
          </w:tcPr>
          <w:p w14:paraId="4E67BABA" w14:textId="77777777" w:rsidR="00531570" w:rsidRPr="00D03F3E" w:rsidRDefault="00531570" w:rsidP="00D03F3E">
            <w:pPr>
              <w:pStyle w:val="Iauiue"/>
              <w:jc w:val="both"/>
              <w:rPr>
                <w:color w:val="000000" w:themeColor="text1"/>
                <w:sz w:val="16"/>
                <w:szCs w:val="16"/>
              </w:rPr>
            </w:pPr>
          </w:p>
        </w:tc>
        <w:tc>
          <w:tcPr>
            <w:tcW w:w="1089" w:type="dxa"/>
          </w:tcPr>
          <w:p w14:paraId="7C735EAA" w14:textId="77777777" w:rsidR="00531570" w:rsidRPr="00D03F3E" w:rsidRDefault="00531570" w:rsidP="00D03F3E">
            <w:pPr>
              <w:pStyle w:val="Iauiue"/>
              <w:jc w:val="both"/>
              <w:rPr>
                <w:color w:val="000000" w:themeColor="text1"/>
                <w:sz w:val="16"/>
                <w:szCs w:val="16"/>
              </w:rPr>
            </w:pPr>
          </w:p>
        </w:tc>
        <w:tc>
          <w:tcPr>
            <w:tcW w:w="739" w:type="dxa"/>
          </w:tcPr>
          <w:p w14:paraId="71038B94" w14:textId="77777777" w:rsidR="00531570" w:rsidRPr="00D03F3E" w:rsidRDefault="00531570" w:rsidP="00D03F3E">
            <w:pPr>
              <w:pStyle w:val="Iauiue"/>
              <w:jc w:val="both"/>
              <w:rPr>
                <w:color w:val="000000" w:themeColor="text1"/>
                <w:sz w:val="16"/>
                <w:szCs w:val="16"/>
              </w:rPr>
            </w:pPr>
          </w:p>
        </w:tc>
        <w:tc>
          <w:tcPr>
            <w:tcW w:w="739" w:type="dxa"/>
          </w:tcPr>
          <w:p w14:paraId="300E954B" w14:textId="77777777" w:rsidR="00531570" w:rsidRPr="00D03F3E" w:rsidRDefault="00531570" w:rsidP="00D03F3E">
            <w:pPr>
              <w:pStyle w:val="Iauiue"/>
              <w:jc w:val="both"/>
              <w:rPr>
                <w:color w:val="000000" w:themeColor="text1"/>
                <w:sz w:val="16"/>
                <w:szCs w:val="16"/>
              </w:rPr>
            </w:pPr>
          </w:p>
        </w:tc>
        <w:tc>
          <w:tcPr>
            <w:tcW w:w="739" w:type="dxa"/>
          </w:tcPr>
          <w:p w14:paraId="3A8220B5" w14:textId="77777777" w:rsidR="00531570" w:rsidRPr="00D03F3E" w:rsidRDefault="00531570" w:rsidP="00D03F3E">
            <w:pPr>
              <w:pStyle w:val="Iauiue"/>
              <w:jc w:val="both"/>
              <w:rPr>
                <w:color w:val="000000" w:themeColor="text1"/>
                <w:sz w:val="16"/>
                <w:szCs w:val="16"/>
              </w:rPr>
            </w:pPr>
          </w:p>
        </w:tc>
        <w:tc>
          <w:tcPr>
            <w:tcW w:w="947" w:type="dxa"/>
          </w:tcPr>
          <w:p w14:paraId="2D2D9E04" w14:textId="77777777" w:rsidR="00531570" w:rsidRPr="00D03F3E" w:rsidRDefault="00531570" w:rsidP="00D03F3E">
            <w:pPr>
              <w:pStyle w:val="Iauiue"/>
              <w:jc w:val="both"/>
              <w:rPr>
                <w:color w:val="000000" w:themeColor="text1"/>
                <w:sz w:val="16"/>
                <w:szCs w:val="16"/>
              </w:rPr>
            </w:pPr>
          </w:p>
        </w:tc>
        <w:tc>
          <w:tcPr>
            <w:tcW w:w="850" w:type="dxa"/>
          </w:tcPr>
          <w:p w14:paraId="4A13C643" w14:textId="77777777" w:rsidR="00531570" w:rsidRPr="00D03F3E" w:rsidRDefault="00531570" w:rsidP="00D03F3E">
            <w:pPr>
              <w:pStyle w:val="Iauiue"/>
              <w:jc w:val="both"/>
              <w:rPr>
                <w:color w:val="000000" w:themeColor="text1"/>
                <w:sz w:val="16"/>
                <w:szCs w:val="16"/>
              </w:rPr>
            </w:pPr>
          </w:p>
        </w:tc>
        <w:tc>
          <w:tcPr>
            <w:tcW w:w="851" w:type="dxa"/>
          </w:tcPr>
          <w:p w14:paraId="73A9C4C4" w14:textId="77777777" w:rsidR="00531570" w:rsidRPr="00D03F3E" w:rsidRDefault="00531570" w:rsidP="00D03F3E">
            <w:pPr>
              <w:pStyle w:val="Iauiue"/>
              <w:jc w:val="both"/>
              <w:rPr>
                <w:color w:val="000000" w:themeColor="text1"/>
                <w:sz w:val="16"/>
                <w:szCs w:val="16"/>
              </w:rPr>
            </w:pPr>
          </w:p>
        </w:tc>
        <w:tc>
          <w:tcPr>
            <w:tcW w:w="1227" w:type="dxa"/>
          </w:tcPr>
          <w:p w14:paraId="52EE7788" w14:textId="77777777" w:rsidR="00531570" w:rsidRPr="00D03F3E" w:rsidRDefault="00531570" w:rsidP="00D03F3E">
            <w:pPr>
              <w:pStyle w:val="Iauiue"/>
              <w:jc w:val="both"/>
              <w:rPr>
                <w:color w:val="000000" w:themeColor="text1"/>
                <w:sz w:val="16"/>
                <w:szCs w:val="16"/>
              </w:rPr>
            </w:pPr>
          </w:p>
        </w:tc>
        <w:tc>
          <w:tcPr>
            <w:tcW w:w="1465" w:type="dxa"/>
          </w:tcPr>
          <w:p w14:paraId="216C7EA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испытаний</w:t>
            </w:r>
          </w:p>
        </w:tc>
      </w:tr>
      <w:tr w:rsidR="00860B4B" w:rsidRPr="00D03F3E" w14:paraId="69661387" w14:textId="77777777">
        <w:tc>
          <w:tcPr>
            <w:tcW w:w="1951" w:type="dxa"/>
          </w:tcPr>
          <w:p w14:paraId="5A193B1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Як-7</w:t>
            </w:r>
          </w:p>
        </w:tc>
        <w:tc>
          <w:tcPr>
            <w:tcW w:w="1089" w:type="dxa"/>
          </w:tcPr>
          <w:p w14:paraId="14FCD98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М-105ПФ</w:t>
            </w:r>
          </w:p>
        </w:tc>
        <w:tc>
          <w:tcPr>
            <w:tcW w:w="739" w:type="dxa"/>
          </w:tcPr>
          <w:p w14:paraId="43326A7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2990</w:t>
            </w:r>
          </w:p>
        </w:tc>
        <w:tc>
          <w:tcPr>
            <w:tcW w:w="739" w:type="dxa"/>
          </w:tcPr>
          <w:p w14:paraId="002AF6D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305</w:t>
            </w:r>
          </w:p>
        </w:tc>
        <w:tc>
          <w:tcPr>
            <w:tcW w:w="739" w:type="dxa"/>
          </w:tcPr>
          <w:p w14:paraId="0B4CD5B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305</w:t>
            </w:r>
          </w:p>
        </w:tc>
        <w:tc>
          <w:tcPr>
            <w:tcW w:w="947" w:type="dxa"/>
          </w:tcPr>
          <w:p w14:paraId="1DAEF8F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650</w:t>
            </w:r>
          </w:p>
        </w:tc>
        <w:tc>
          <w:tcPr>
            <w:tcW w:w="850" w:type="dxa"/>
          </w:tcPr>
          <w:p w14:paraId="5C91E1C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700</w:t>
            </w:r>
          </w:p>
        </w:tc>
        <w:tc>
          <w:tcPr>
            <w:tcW w:w="851" w:type="dxa"/>
          </w:tcPr>
          <w:p w14:paraId="638F79E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870</w:t>
            </w:r>
          </w:p>
        </w:tc>
        <w:tc>
          <w:tcPr>
            <w:tcW w:w="1227" w:type="dxa"/>
          </w:tcPr>
          <w:p w14:paraId="1243822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2,9</w:t>
            </w:r>
          </w:p>
        </w:tc>
        <w:tc>
          <w:tcPr>
            <w:tcW w:w="1465" w:type="dxa"/>
          </w:tcPr>
          <w:p w14:paraId="42E515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То же</w:t>
            </w:r>
          </w:p>
        </w:tc>
      </w:tr>
      <w:tr w:rsidR="00860B4B" w:rsidRPr="00D03F3E" w14:paraId="7DECFF1D" w14:textId="77777777">
        <w:tc>
          <w:tcPr>
            <w:tcW w:w="1951" w:type="dxa"/>
          </w:tcPr>
          <w:p w14:paraId="0C08008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Як-9</w:t>
            </w:r>
          </w:p>
        </w:tc>
        <w:tc>
          <w:tcPr>
            <w:tcW w:w="1089" w:type="dxa"/>
          </w:tcPr>
          <w:p w14:paraId="2A0916C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М-105ПФ</w:t>
            </w:r>
          </w:p>
        </w:tc>
        <w:tc>
          <w:tcPr>
            <w:tcW w:w="739" w:type="dxa"/>
          </w:tcPr>
          <w:p w14:paraId="39BAD08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2985</w:t>
            </w:r>
          </w:p>
        </w:tc>
        <w:tc>
          <w:tcPr>
            <w:tcW w:w="739" w:type="dxa"/>
          </w:tcPr>
          <w:p w14:paraId="4EDF239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w:t>
            </w:r>
          </w:p>
        </w:tc>
        <w:tc>
          <w:tcPr>
            <w:tcW w:w="739" w:type="dxa"/>
          </w:tcPr>
          <w:p w14:paraId="6165091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500</w:t>
            </w:r>
          </w:p>
        </w:tc>
        <w:tc>
          <w:tcPr>
            <w:tcW w:w="947" w:type="dxa"/>
          </w:tcPr>
          <w:p w14:paraId="7C1A516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1100</w:t>
            </w:r>
          </w:p>
        </w:tc>
        <w:tc>
          <w:tcPr>
            <w:tcW w:w="850" w:type="dxa"/>
          </w:tcPr>
          <w:p w14:paraId="18B2CAE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1100</w:t>
            </w:r>
          </w:p>
        </w:tc>
        <w:tc>
          <w:tcPr>
            <w:tcW w:w="851" w:type="dxa"/>
          </w:tcPr>
          <w:p w14:paraId="1E1E764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1400</w:t>
            </w:r>
          </w:p>
        </w:tc>
        <w:tc>
          <w:tcPr>
            <w:tcW w:w="1227" w:type="dxa"/>
          </w:tcPr>
          <w:p w14:paraId="11AB64E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4,7</w:t>
            </w:r>
          </w:p>
        </w:tc>
        <w:tc>
          <w:tcPr>
            <w:tcW w:w="1465" w:type="dxa"/>
          </w:tcPr>
          <w:p w14:paraId="774A716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То же</w:t>
            </w:r>
          </w:p>
        </w:tc>
      </w:tr>
      <w:tr w:rsidR="00860B4B" w:rsidRPr="00D03F3E" w14:paraId="7D0C7188" w14:textId="77777777">
        <w:tc>
          <w:tcPr>
            <w:tcW w:w="1951" w:type="dxa"/>
          </w:tcPr>
          <w:p w14:paraId="0803EA0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Як-9</w:t>
            </w:r>
          </w:p>
        </w:tc>
        <w:tc>
          <w:tcPr>
            <w:tcW w:w="1089" w:type="dxa"/>
          </w:tcPr>
          <w:p w14:paraId="1936F1E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М-107А</w:t>
            </w:r>
          </w:p>
        </w:tc>
        <w:tc>
          <w:tcPr>
            <w:tcW w:w="739" w:type="dxa"/>
          </w:tcPr>
          <w:p w14:paraId="6BEBFEF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3125/</w:t>
            </w:r>
          </w:p>
        </w:tc>
        <w:tc>
          <w:tcPr>
            <w:tcW w:w="739" w:type="dxa"/>
          </w:tcPr>
          <w:p w14:paraId="57A0485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375</w:t>
            </w:r>
          </w:p>
        </w:tc>
        <w:tc>
          <w:tcPr>
            <w:tcW w:w="739" w:type="dxa"/>
          </w:tcPr>
          <w:p w14:paraId="3B03A43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475</w:t>
            </w:r>
          </w:p>
        </w:tc>
        <w:tc>
          <w:tcPr>
            <w:tcW w:w="947" w:type="dxa"/>
          </w:tcPr>
          <w:p w14:paraId="15BED84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620/780</w:t>
            </w:r>
          </w:p>
        </w:tc>
        <w:tc>
          <w:tcPr>
            <w:tcW w:w="850" w:type="dxa"/>
          </w:tcPr>
          <w:p w14:paraId="557CB60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650/820</w:t>
            </w:r>
          </w:p>
        </w:tc>
        <w:tc>
          <w:tcPr>
            <w:tcW w:w="851" w:type="dxa"/>
          </w:tcPr>
          <w:p w14:paraId="2C60CD6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960/1200</w:t>
            </w:r>
          </w:p>
        </w:tc>
        <w:tc>
          <w:tcPr>
            <w:tcW w:w="1227" w:type="dxa"/>
          </w:tcPr>
          <w:p w14:paraId="18B53A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3,2/4,0</w:t>
            </w:r>
          </w:p>
        </w:tc>
        <w:tc>
          <w:tcPr>
            <w:tcW w:w="1465" w:type="dxa"/>
          </w:tcPr>
          <w:p w14:paraId="7B8A207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Цифры</w:t>
            </w:r>
          </w:p>
        </w:tc>
      </w:tr>
      <w:tr w:rsidR="00860B4B" w:rsidRPr="00D03F3E" w14:paraId="752A2444" w14:textId="77777777">
        <w:tc>
          <w:tcPr>
            <w:tcW w:w="1951" w:type="dxa"/>
          </w:tcPr>
          <w:p w14:paraId="616C7BCB" w14:textId="77777777" w:rsidR="00531570" w:rsidRPr="00D03F3E" w:rsidRDefault="00531570" w:rsidP="00D03F3E">
            <w:pPr>
              <w:pStyle w:val="Iauiue"/>
              <w:jc w:val="both"/>
              <w:rPr>
                <w:color w:val="000000" w:themeColor="text1"/>
                <w:sz w:val="16"/>
                <w:szCs w:val="16"/>
              </w:rPr>
            </w:pPr>
          </w:p>
        </w:tc>
        <w:tc>
          <w:tcPr>
            <w:tcW w:w="1089" w:type="dxa"/>
          </w:tcPr>
          <w:p w14:paraId="19D611A9" w14:textId="77777777" w:rsidR="00531570" w:rsidRPr="00D03F3E" w:rsidRDefault="00531570" w:rsidP="00D03F3E">
            <w:pPr>
              <w:pStyle w:val="Iauiue"/>
              <w:jc w:val="both"/>
              <w:rPr>
                <w:color w:val="000000" w:themeColor="text1"/>
                <w:sz w:val="16"/>
                <w:szCs w:val="16"/>
              </w:rPr>
            </w:pPr>
          </w:p>
        </w:tc>
        <w:tc>
          <w:tcPr>
            <w:tcW w:w="739" w:type="dxa"/>
          </w:tcPr>
          <w:p w14:paraId="44703DF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3225(5)</w:t>
            </w:r>
          </w:p>
        </w:tc>
        <w:tc>
          <w:tcPr>
            <w:tcW w:w="739" w:type="dxa"/>
          </w:tcPr>
          <w:p w14:paraId="2106D23A" w14:textId="77777777" w:rsidR="00531570" w:rsidRPr="00D03F3E" w:rsidRDefault="00531570" w:rsidP="00D03F3E">
            <w:pPr>
              <w:pStyle w:val="Iauiue"/>
              <w:jc w:val="both"/>
              <w:rPr>
                <w:color w:val="000000" w:themeColor="text1"/>
                <w:sz w:val="16"/>
                <w:szCs w:val="16"/>
              </w:rPr>
            </w:pPr>
          </w:p>
        </w:tc>
        <w:tc>
          <w:tcPr>
            <w:tcW w:w="739" w:type="dxa"/>
          </w:tcPr>
          <w:p w14:paraId="1DBBC135" w14:textId="77777777" w:rsidR="00531570" w:rsidRPr="00D03F3E" w:rsidRDefault="00531570" w:rsidP="00D03F3E">
            <w:pPr>
              <w:pStyle w:val="Iauiue"/>
              <w:jc w:val="both"/>
              <w:rPr>
                <w:color w:val="000000" w:themeColor="text1"/>
                <w:sz w:val="16"/>
                <w:szCs w:val="16"/>
              </w:rPr>
            </w:pPr>
          </w:p>
        </w:tc>
        <w:tc>
          <w:tcPr>
            <w:tcW w:w="947" w:type="dxa"/>
          </w:tcPr>
          <w:p w14:paraId="46EFC254" w14:textId="77777777" w:rsidR="00531570" w:rsidRPr="00D03F3E" w:rsidRDefault="00531570" w:rsidP="00D03F3E">
            <w:pPr>
              <w:pStyle w:val="Iauiue"/>
              <w:jc w:val="both"/>
              <w:rPr>
                <w:color w:val="000000" w:themeColor="text1"/>
                <w:sz w:val="16"/>
                <w:szCs w:val="16"/>
              </w:rPr>
            </w:pPr>
          </w:p>
        </w:tc>
        <w:tc>
          <w:tcPr>
            <w:tcW w:w="850" w:type="dxa"/>
          </w:tcPr>
          <w:p w14:paraId="76FEF391" w14:textId="77777777" w:rsidR="00531570" w:rsidRPr="00D03F3E" w:rsidRDefault="00531570" w:rsidP="00D03F3E">
            <w:pPr>
              <w:pStyle w:val="Iauiue"/>
              <w:jc w:val="both"/>
              <w:rPr>
                <w:color w:val="000000" w:themeColor="text1"/>
                <w:sz w:val="16"/>
                <w:szCs w:val="16"/>
              </w:rPr>
            </w:pPr>
          </w:p>
        </w:tc>
        <w:tc>
          <w:tcPr>
            <w:tcW w:w="851" w:type="dxa"/>
          </w:tcPr>
          <w:p w14:paraId="2DD306D3" w14:textId="77777777" w:rsidR="00531570" w:rsidRPr="00D03F3E" w:rsidRDefault="00531570" w:rsidP="00D03F3E">
            <w:pPr>
              <w:pStyle w:val="Iauiue"/>
              <w:jc w:val="both"/>
              <w:rPr>
                <w:color w:val="000000" w:themeColor="text1"/>
                <w:sz w:val="16"/>
                <w:szCs w:val="16"/>
              </w:rPr>
            </w:pPr>
          </w:p>
        </w:tc>
        <w:tc>
          <w:tcPr>
            <w:tcW w:w="1227" w:type="dxa"/>
          </w:tcPr>
          <w:p w14:paraId="13B99DF4" w14:textId="77777777" w:rsidR="00531570" w:rsidRPr="00D03F3E" w:rsidRDefault="00531570" w:rsidP="00D03F3E">
            <w:pPr>
              <w:pStyle w:val="Iauiue"/>
              <w:jc w:val="both"/>
              <w:rPr>
                <w:color w:val="000000" w:themeColor="text1"/>
                <w:sz w:val="16"/>
                <w:szCs w:val="16"/>
              </w:rPr>
            </w:pPr>
          </w:p>
        </w:tc>
        <w:tc>
          <w:tcPr>
            <w:tcW w:w="1465" w:type="dxa"/>
          </w:tcPr>
          <w:p w14:paraId="52ED503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дальности -</w:t>
            </w:r>
          </w:p>
        </w:tc>
      </w:tr>
      <w:tr w:rsidR="00860B4B" w:rsidRPr="00D03F3E" w14:paraId="16313670" w14:textId="77777777">
        <w:tc>
          <w:tcPr>
            <w:tcW w:w="1951" w:type="dxa"/>
          </w:tcPr>
          <w:p w14:paraId="6CBE34F1" w14:textId="77777777" w:rsidR="00531570" w:rsidRPr="00D03F3E" w:rsidRDefault="00531570" w:rsidP="00D03F3E">
            <w:pPr>
              <w:pStyle w:val="Iauiue"/>
              <w:jc w:val="both"/>
              <w:rPr>
                <w:color w:val="000000" w:themeColor="text1"/>
                <w:sz w:val="16"/>
                <w:szCs w:val="16"/>
              </w:rPr>
            </w:pPr>
          </w:p>
        </w:tc>
        <w:tc>
          <w:tcPr>
            <w:tcW w:w="1089" w:type="dxa"/>
          </w:tcPr>
          <w:p w14:paraId="580205A6" w14:textId="77777777" w:rsidR="00531570" w:rsidRPr="00D03F3E" w:rsidRDefault="00531570" w:rsidP="00D03F3E">
            <w:pPr>
              <w:pStyle w:val="Iauiue"/>
              <w:jc w:val="both"/>
              <w:rPr>
                <w:color w:val="000000" w:themeColor="text1"/>
                <w:sz w:val="16"/>
                <w:szCs w:val="16"/>
              </w:rPr>
            </w:pPr>
          </w:p>
        </w:tc>
        <w:tc>
          <w:tcPr>
            <w:tcW w:w="739" w:type="dxa"/>
          </w:tcPr>
          <w:p w14:paraId="609F9422" w14:textId="77777777" w:rsidR="00531570" w:rsidRPr="00D03F3E" w:rsidRDefault="00531570" w:rsidP="00D03F3E">
            <w:pPr>
              <w:pStyle w:val="Iauiue"/>
              <w:jc w:val="both"/>
              <w:rPr>
                <w:color w:val="000000" w:themeColor="text1"/>
                <w:sz w:val="16"/>
                <w:szCs w:val="16"/>
              </w:rPr>
            </w:pPr>
          </w:p>
        </w:tc>
        <w:tc>
          <w:tcPr>
            <w:tcW w:w="739" w:type="dxa"/>
          </w:tcPr>
          <w:p w14:paraId="6502CC98" w14:textId="77777777" w:rsidR="00531570" w:rsidRPr="00D03F3E" w:rsidRDefault="00531570" w:rsidP="00D03F3E">
            <w:pPr>
              <w:pStyle w:val="Iauiue"/>
              <w:jc w:val="both"/>
              <w:rPr>
                <w:color w:val="000000" w:themeColor="text1"/>
                <w:sz w:val="16"/>
                <w:szCs w:val="16"/>
              </w:rPr>
            </w:pPr>
          </w:p>
        </w:tc>
        <w:tc>
          <w:tcPr>
            <w:tcW w:w="739" w:type="dxa"/>
          </w:tcPr>
          <w:p w14:paraId="376FC0CE" w14:textId="77777777" w:rsidR="00531570" w:rsidRPr="00D03F3E" w:rsidRDefault="00531570" w:rsidP="00D03F3E">
            <w:pPr>
              <w:pStyle w:val="Iauiue"/>
              <w:jc w:val="both"/>
              <w:rPr>
                <w:color w:val="000000" w:themeColor="text1"/>
                <w:sz w:val="16"/>
                <w:szCs w:val="16"/>
              </w:rPr>
            </w:pPr>
          </w:p>
        </w:tc>
        <w:tc>
          <w:tcPr>
            <w:tcW w:w="947" w:type="dxa"/>
          </w:tcPr>
          <w:p w14:paraId="554473A7" w14:textId="77777777" w:rsidR="00531570" w:rsidRPr="00D03F3E" w:rsidRDefault="00531570" w:rsidP="00D03F3E">
            <w:pPr>
              <w:pStyle w:val="Iauiue"/>
              <w:jc w:val="both"/>
              <w:rPr>
                <w:color w:val="000000" w:themeColor="text1"/>
                <w:sz w:val="16"/>
                <w:szCs w:val="16"/>
              </w:rPr>
            </w:pPr>
          </w:p>
        </w:tc>
        <w:tc>
          <w:tcPr>
            <w:tcW w:w="850" w:type="dxa"/>
          </w:tcPr>
          <w:p w14:paraId="3E15BF2F" w14:textId="77777777" w:rsidR="00531570" w:rsidRPr="00D03F3E" w:rsidRDefault="00531570" w:rsidP="00D03F3E">
            <w:pPr>
              <w:pStyle w:val="Iauiue"/>
              <w:jc w:val="both"/>
              <w:rPr>
                <w:color w:val="000000" w:themeColor="text1"/>
                <w:sz w:val="16"/>
                <w:szCs w:val="16"/>
              </w:rPr>
            </w:pPr>
          </w:p>
        </w:tc>
        <w:tc>
          <w:tcPr>
            <w:tcW w:w="851" w:type="dxa"/>
          </w:tcPr>
          <w:p w14:paraId="63544F08" w14:textId="77777777" w:rsidR="00531570" w:rsidRPr="00D03F3E" w:rsidRDefault="00531570" w:rsidP="00D03F3E">
            <w:pPr>
              <w:pStyle w:val="Iauiue"/>
              <w:jc w:val="both"/>
              <w:rPr>
                <w:color w:val="000000" w:themeColor="text1"/>
                <w:sz w:val="16"/>
                <w:szCs w:val="16"/>
              </w:rPr>
            </w:pPr>
          </w:p>
        </w:tc>
        <w:tc>
          <w:tcPr>
            <w:tcW w:w="1227" w:type="dxa"/>
          </w:tcPr>
          <w:p w14:paraId="3468C165" w14:textId="77777777" w:rsidR="00531570" w:rsidRPr="00D03F3E" w:rsidRDefault="00531570" w:rsidP="00D03F3E">
            <w:pPr>
              <w:pStyle w:val="Iauiue"/>
              <w:jc w:val="both"/>
              <w:rPr>
                <w:color w:val="000000" w:themeColor="text1"/>
                <w:sz w:val="16"/>
                <w:szCs w:val="16"/>
              </w:rPr>
            </w:pPr>
          </w:p>
        </w:tc>
        <w:tc>
          <w:tcPr>
            <w:tcW w:w="1465" w:type="dxa"/>
          </w:tcPr>
          <w:p w14:paraId="31D0113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расчетные</w:t>
            </w:r>
          </w:p>
        </w:tc>
      </w:tr>
      <w:tr w:rsidR="00860B4B" w:rsidRPr="00D03F3E" w14:paraId="409C2496" w14:textId="77777777">
        <w:tc>
          <w:tcPr>
            <w:tcW w:w="1951" w:type="dxa"/>
          </w:tcPr>
          <w:p w14:paraId="790216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Лагг-3</w:t>
            </w:r>
          </w:p>
        </w:tc>
        <w:tc>
          <w:tcPr>
            <w:tcW w:w="1089" w:type="dxa"/>
          </w:tcPr>
          <w:p w14:paraId="603134B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М-105ПФ</w:t>
            </w:r>
          </w:p>
        </w:tc>
        <w:tc>
          <w:tcPr>
            <w:tcW w:w="739" w:type="dxa"/>
          </w:tcPr>
          <w:p w14:paraId="5AC17CD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3010</w:t>
            </w:r>
          </w:p>
        </w:tc>
        <w:tc>
          <w:tcPr>
            <w:tcW w:w="739" w:type="dxa"/>
          </w:tcPr>
          <w:p w14:paraId="4BDF552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305</w:t>
            </w:r>
          </w:p>
        </w:tc>
        <w:tc>
          <w:tcPr>
            <w:tcW w:w="739" w:type="dxa"/>
          </w:tcPr>
          <w:p w14:paraId="51D31F4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305</w:t>
            </w:r>
          </w:p>
        </w:tc>
        <w:tc>
          <w:tcPr>
            <w:tcW w:w="947" w:type="dxa"/>
          </w:tcPr>
          <w:p w14:paraId="2B63934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650</w:t>
            </w:r>
          </w:p>
        </w:tc>
        <w:tc>
          <w:tcPr>
            <w:tcW w:w="850" w:type="dxa"/>
          </w:tcPr>
          <w:p w14:paraId="2616C6C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700</w:t>
            </w:r>
          </w:p>
        </w:tc>
        <w:tc>
          <w:tcPr>
            <w:tcW w:w="851" w:type="dxa"/>
          </w:tcPr>
          <w:p w14:paraId="52D4263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860</w:t>
            </w:r>
          </w:p>
        </w:tc>
        <w:tc>
          <w:tcPr>
            <w:tcW w:w="1227" w:type="dxa"/>
          </w:tcPr>
          <w:p w14:paraId="2FCB041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2,9</w:t>
            </w:r>
          </w:p>
        </w:tc>
        <w:tc>
          <w:tcPr>
            <w:tcW w:w="1465" w:type="dxa"/>
          </w:tcPr>
          <w:p w14:paraId="1A68C6B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Цифры</w:t>
            </w:r>
          </w:p>
        </w:tc>
      </w:tr>
      <w:tr w:rsidR="00860B4B" w:rsidRPr="00D03F3E" w14:paraId="108C84BA" w14:textId="77777777">
        <w:tc>
          <w:tcPr>
            <w:tcW w:w="1951" w:type="dxa"/>
          </w:tcPr>
          <w:p w14:paraId="41345A9F" w14:textId="77777777" w:rsidR="00531570" w:rsidRPr="00D03F3E" w:rsidRDefault="00531570" w:rsidP="00D03F3E">
            <w:pPr>
              <w:pStyle w:val="Iauiue"/>
              <w:jc w:val="both"/>
              <w:rPr>
                <w:color w:val="000000" w:themeColor="text1"/>
                <w:sz w:val="16"/>
                <w:szCs w:val="16"/>
              </w:rPr>
            </w:pPr>
          </w:p>
        </w:tc>
        <w:tc>
          <w:tcPr>
            <w:tcW w:w="1089" w:type="dxa"/>
          </w:tcPr>
          <w:p w14:paraId="10854E38" w14:textId="77777777" w:rsidR="00531570" w:rsidRPr="00D03F3E" w:rsidRDefault="00531570" w:rsidP="00D03F3E">
            <w:pPr>
              <w:pStyle w:val="Iauiue"/>
              <w:jc w:val="both"/>
              <w:rPr>
                <w:color w:val="000000" w:themeColor="text1"/>
                <w:sz w:val="16"/>
                <w:szCs w:val="16"/>
              </w:rPr>
            </w:pPr>
          </w:p>
        </w:tc>
        <w:tc>
          <w:tcPr>
            <w:tcW w:w="739" w:type="dxa"/>
          </w:tcPr>
          <w:p w14:paraId="6516869E" w14:textId="77777777" w:rsidR="00531570" w:rsidRPr="00D03F3E" w:rsidRDefault="00531570" w:rsidP="00D03F3E">
            <w:pPr>
              <w:pStyle w:val="Iauiue"/>
              <w:jc w:val="both"/>
              <w:rPr>
                <w:color w:val="000000" w:themeColor="text1"/>
                <w:sz w:val="16"/>
                <w:szCs w:val="16"/>
              </w:rPr>
            </w:pPr>
          </w:p>
        </w:tc>
        <w:tc>
          <w:tcPr>
            <w:tcW w:w="739" w:type="dxa"/>
          </w:tcPr>
          <w:p w14:paraId="2C375828" w14:textId="77777777" w:rsidR="00531570" w:rsidRPr="00D03F3E" w:rsidRDefault="00531570" w:rsidP="00D03F3E">
            <w:pPr>
              <w:pStyle w:val="Iauiue"/>
              <w:jc w:val="both"/>
              <w:rPr>
                <w:color w:val="000000" w:themeColor="text1"/>
                <w:sz w:val="16"/>
                <w:szCs w:val="16"/>
              </w:rPr>
            </w:pPr>
          </w:p>
        </w:tc>
        <w:tc>
          <w:tcPr>
            <w:tcW w:w="739" w:type="dxa"/>
          </w:tcPr>
          <w:p w14:paraId="623DBA90" w14:textId="77777777" w:rsidR="00531570" w:rsidRPr="00D03F3E" w:rsidRDefault="00531570" w:rsidP="00D03F3E">
            <w:pPr>
              <w:pStyle w:val="Iauiue"/>
              <w:jc w:val="both"/>
              <w:rPr>
                <w:color w:val="000000" w:themeColor="text1"/>
                <w:sz w:val="16"/>
                <w:szCs w:val="16"/>
              </w:rPr>
            </w:pPr>
          </w:p>
        </w:tc>
        <w:tc>
          <w:tcPr>
            <w:tcW w:w="947" w:type="dxa"/>
          </w:tcPr>
          <w:p w14:paraId="752B23D1" w14:textId="77777777" w:rsidR="00531570" w:rsidRPr="00D03F3E" w:rsidRDefault="00531570" w:rsidP="00D03F3E">
            <w:pPr>
              <w:pStyle w:val="Iauiue"/>
              <w:jc w:val="both"/>
              <w:rPr>
                <w:color w:val="000000" w:themeColor="text1"/>
                <w:sz w:val="16"/>
                <w:szCs w:val="16"/>
              </w:rPr>
            </w:pPr>
          </w:p>
        </w:tc>
        <w:tc>
          <w:tcPr>
            <w:tcW w:w="850" w:type="dxa"/>
          </w:tcPr>
          <w:p w14:paraId="1309EC49" w14:textId="77777777" w:rsidR="00531570" w:rsidRPr="00D03F3E" w:rsidRDefault="00531570" w:rsidP="00D03F3E">
            <w:pPr>
              <w:pStyle w:val="Iauiue"/>
              <w:jc w:val="both"/>
              <w:rPr>
                <w:color w:val="000000" w:themeColor="text1"/>
                <w:sz w:val="16"/>
                <w:szCs w:val="16"/>
              </w:rPr>
            </w:pPr>
          </w:p>
        </w:tc>
        <w:tc>
          <w:tcPr>
            <w:tcW w:w="851" w:type="dxa"/>
          </w:tcPr>
          <w:p w14:paraId="7EBA5A99" w14:textId="77777777" w:rsidR="00531570" w:rsidRPr="00D03F3E" w:rsidRDefault="00531570" w:rsidP="00D03F3E">
            <w:pPr>
              <w:pStyle w:val="Iauiue"/>
              <w:jc w:val="both"/>
              <w:rPr>
                <w:color w:val="000000" w:themeColor="text1"/>
                <w:sz w:val="16"/>
                <w:szCs w:val="16"/>
              </w:rPr>
            </w:pPr>
          </w:p>
        </w:tc>
        <w:tc>
          <w:tcPr>
            <w:tcW w:w="1227" w:type="dxa"/>
          </w:tcPr>
          <w:p w14:paraId="4E32949F" w14:textId="77777777" w:rsidR="00531570" w:rsidRPr="00D03F3E" w:rsidRDefault="00531570" w:rsidP="00D03F3E">
            <w:pPr>
              <w:pStyle w:val="Iauiue"/>
              <w:jc w:val="both"/>
              <w:rPr>
                <w:color w:val="000000" w:themeColor="text1"/>
                <w:sz w:val="16"/>
                <w:szCs w:val="16"/>
              </w:rPr>
            </w:pPr>
          </w:p>
        </w:tc>
        <w:tc>
          <w:tcPr>
            <w:tcW w:w="1465" w:type="dxa"/>
          </w:tcPr>
          <w:p w14:paraId="057C671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дальности</w:t>
            </w:r>
          </w:p>
        </w:tc>
      </w:tr>
      <w:tr w:rsidR="00860B4B" w:rsidRPr="00D03F3E" w14:paraId="53CF7127" w14:textId="77777777">
        <w:tc>
          <w:tcPr>
            <w:tcW w:w="1951" w:type="dxa"/>
          </w:tcPr>
          <w:p w14:paraId="79CC8818" w14:textId="77777777" w:rsidR="00531570" w:rsidRPr="00D03F3E" w:rsidRDefault="00531570" w:rsidP="00D03F3E">
            <w:pPr>
              <w:pStyle w:val="Iauiue"/>
              <w:jc w:val="both"/>
              <w:rPr>
                <w:color w:val="000000" w:themeColor="text1"/>
                <w:sz w:val="16"/>
                <w:szCs w:val="16"/>
              </w:rPr>
            </w:pPr>
          </w:p>
        </w:tc>
        <w:tc>
          <w:tcPr>
            <w:tcW w:w="1089" w:type="dxa"/>
          </w:tcPr>
          <w:p w14:paraId="368DE739" w14:textId="77777777" w:rsidR="00531570" w:rsidRPr="00D03F3E" w:rsidRDefault="00531570" w:rsidP="00D03F3E">
            <w:pPr>
              <w:pStyle w:val="Iauiue"/>
              <w:jc w:val="both"/>
              <w:rPr>
                <w:color w:val="000000" w:themeColor="text1"/>
                <w:sz w:val="16"/>
                <w:szCs w:val="16"/>
              </w:rPr>
            </w:pPr>
          </w:p>
        </w:tc>
        <w:tc>
          <w:tcPr>
            <w:tcW w:w="739" w:type="dxa"/>
          </w:tcPr>
          <w:p w14:paraId="7CEC3BC3" w14:textId="77777777" w:rsidR="00531570" w:rsidRPr="00D03F3E" w:rsidRDefault="00531570" w:rsidP="00D03F3E">
            <w:pPr>
              <w:pStyle w:val="Iauiue"/>
              <w:jc w:val="both"/>
              <w:rPr>
                <w:color w:val="000000" w:themeColor="text1"/>
                <w:sz w:val="16"/>
                <w:szCs w:val="16"/>
              </w:rPr>
            </w:pPr>
          </w:p>
        </w:tc>
        <w:tc>
          <w:tcPr>
            <w:tcW w:w="739" w:type="dxa"/>
          </w:tcPr>
          <w:p w14:paraId="0DBDA1AD" w14:textId="77777777" w:rsidR="00531570" w:rsidRPr="00D03F3E" w:rsidRDefault="00531570" w:rsidP="00D03F3E">
            <w:pPr>
              <w:pStyle w:val="Iauiue"/>
              <w:jc w:val="both"/>
              <w:rPr>
                <w:color w:val="000000" w:themeColor="text1"/>
                <w:sz w:val="16"/>
                <w:szCs w:val="16"/>
              </w:rPr>
            </w:pPr>
          </w:p>
        </w:tc>
        <w:tc>
          <w:tcPr>
            <w:tcW w:w="739" w:type="dxa"/>
          </w:tcPr>
          <w:p w14:paraId="3EF02AD0" w14:textId="77777777" w:rsidR="00531570" w:rsidRPr="00D03F3E" w:rsidRDefault="00531570" w:rsidP="00D03F3E">
            <w:pPr>
              <w:pStyle w:val="Iauiue"/>
              <w:jc w:val="both"/>
              <w:rPr>
                <w:color w:val="000000" w:themeColor="text1"/>
                <w:sz w:val="16"/>
                <w:szCs w:val="16"/>
              </w:rPr>
            </w:pPr>
          </w:p>
        </w:tc>
        <w:tc>
          <w:tcPr>
            <w:tcW w:w="947" w:type="dxa"/>
          </w:tcPr>
          <w:p w14:paraId="1EA7338C" w14:textId="77777777" w:rsidR="00531570" w:rsidRPr="00D03F3E" w:rsidRDefault="00531570" w:rsidP="00D03F3E">
            <w:pPr>
              <w:pStyle w:val="Iauiue"/>
              <w:jc w:val="both"/>
              <w:rPr>
                <w:color w:val="000000" w:themeColor="text1"/>
                <w:sz w:val="16"/>
                <w:szCs w:val="16"/>
              </w:rPr>
            </w:pPr>
          </w:p>
        </w:tc>
        <w:tc>
          <w:tcPr>
            <w:tcW w:w="850" w:type="dxa"/>
          </w:tcPr>
          <w:p w14:paraId="0F714E5D" w14:textId="77777777" w:rsidR="00531570" w:rsidRPr="00D03F3E" w:rsidRDefault="00531570" w:rsidP="00D03F3E">
            <w:pPr>
              <w:pStyle w:val="Iauiue"/>
              <w:jc w:val="both"/>
              <w:rPr>
                <w:color w:val="000000" w:themeColor="text1"/>
                <w:sz w:val="16"/>
                <w:szCs w:val="16"/>
              </w:rPr>
            </w:pPr>
          </w:p>
        </w:tc>
        <w:tc>
          <w:tcPr>
            <w:tcW w:w="851" w:type="dxa"/>
          </w:tcPr>
          <w:p w14:paraId="08D80AB9" w14:textId="77777777" w:rsidR="00531570" w:rsidRPr="00D03F3E" w:rsidRDefault="00531570" w:rsidP="00D03F3E">
            <w:pPr>
              <w:pStyle w:val="Iauiue"/>
              <w:jc w:val="both"/>
              <w:rPr>
                <w:color w:val="000000" w:themeColor="text1"/>
                <w:sz w:val="16"/>
                <w:szCs w:val="16"/>
              </w:rPr>
            </w:pPr>
          </w:p>
        </w:tc>
        <w:tc>
          <w:tcPr>
            <w:tcW w:w="1227" w:type="dxa"/>
          </w:tcPr>
          <w:p w14:paraId="632012E0" w14:textId="77777777" w:rsidR="00531570" w:rsidRPr="00D03F3E" w:rsidRDefault="00531570" w:rsidP="00D03F3E">
            <w:pPr>
              <w:pStyle w:val="Iauiue"/>
              <w:jc w:val="both"/>
              <w:rPr>
                <w:color w:val="000000" w:themeColor="text1"/>
                <w:sz w:val="16"/>
                <w:szCs w:val="16"/>
              </w:rPr>
            </w:pPr>
          </w:p>
        </w:tc>
        <w:tc>
          <w:tcPr>
            <w:tcW w:w="1465" w:type="dxa"/>
          </w:tcPr>
          <w:p w14:paraId="60811A0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получены</w:t>
            </w:r>
          </w:p>
        </w:tc>
      </w:tr>
      <w:tr w:rsidR="00860B4B" w:rsidRPr="00D03F3E" w14:paraId="280B186D" w14:textId="77777777">
        <w:tc>
          <w:tcPr>
            <w:tcW w:w="1951" w:type="dxa"/>
          </w:tcPr>
          <w:p w14:paraId="5834C85F" w14:textId="77777777" w:rsidR="00531570" w:rsidRPr="00D03F3E" w:rsidRDefault="00531570" w:rsidP="00D03F3E">
            <w:pPr>
              <w:pStyle w:val="Iauiue"/>
              <w:jc w:val="both"/>
              <w:rPr>
                <w:color w:val="000000" w:themeColor="text1"/>
                <w:sz w:val="16"/>
                <w:szCs w:val="16"/>
              </w:rPr>
            </w:pPr>
          </w:p>
        </w:tc>
        <w:tc>
          <w:tcPr>
            <w:tcW w:w="1089" w:type="dxa"/>
          </w:tcPr>
          <w:p w14:paraId="7BF7D13B" w14:textId="77777777" w:rsidR="00531570" w:rsidRPr="00D03F3E" w:rsidRDefault="00531570" w:rsidP="00D03F3E">
            <w:pPr>
              <w:pStyle w:val="Iauiue"/>
              <w:jc w:val="both"/>
              <w:rPr>
                <w:color w:val="000000" w:themeColor="text1"/>
                <w:sz w:val="16"/>
                <w:szCs w:val="16"/>
              </w:rPr>
            </w:pPr>
          </w:p>
        </w:tc>
        <w:tc>
          <w:tcPr>
            <w:tcW w:w="739" w:type="dxa"/>
          </w:tcPr>
          <w:p w14:paraId="6D22B3C6" w14:textId="77777777" w:rsidR="00531570" w:rsidRPr="00D03F3E" w:rsidRDefault="00531570" w:rsidP="00D03F3E">
            <w:pPr>
              <w:pStyle w:val="Iauiue"/>
              <w:jc w:val="both"/>
              <w:rPr>
                <w:color w:val="000000" w:themeColor="text1"/>
                <w:sz w:val="16"/>
                <w:szCs w:val="16"/>
              </w:rPr>
            </w:pPr>
          </w:p>
        </w:tc>
        <w:tc>
          <w:tcPr>
            <w:tcW w:w="739" w:type="dxa"/>
          </w:tcPr>
          <w:p w14:paraId="6757B022" w14:textId="77777777" w:rsidR="00531570" w:rsidRPr="00D03F3E" w:rsidRDefault="00531570" w:rsidP="00D03F3E">
            <w:pPr>
              <w:pStyle w:val="Iauiue"/>
              <w:jc w:val="both"/>
              <w:rPr>
                <w:color w:val="000000" w:themeColor="text1"/>
                <w:sz w:val="16"/>
                <w:szCs w:val="16"/>
              </w:rPr>
            </w:pPr>
          </w:p>
        </w:tc>
        <w:tc>
          <w:tcPr>
            <w:tcW w:w="739" w:type="dxa"/>
          </w:tcPr>
          <w:p w14:paraId="2A0CF646" w14:textId="77777777" w:rsidR="00531570" w:rsidRPr="00D03F3E" w:rsidRDefault="00531570" w:rsidP="00D03F3E">
            <w:pPr>
              <w:pStyle w:val="Iauiue"/>
              <w:jc w:val="both"/>
              <w:rPr>
                <w:color w:val="000000" w:themeColor="text1"/>
                <w:sz w:val="16"/>
                <w:szCs w:val="16"/>
              </w:rPr>
            </w:pPr>
          </w:p>
        </w:tc>
        <w:tc>
          <w:tcPr>
            <w:tcW w:w="947" w:type="dxa"/>
          </w:tcPr>
          <w:p w14:paraId="4E50A0D0" w14:textId="77777777" w:rsidR="00531570" w:rsidRPr="00D03F3E" w:rsidRDefault="00531570" w:rsidP="00D03F3E">
            <w:pPr>
              <w:pStyle w:val="Iauiue"/>
              <w:jc w:val="both"/>
              <w:rPr>
                <w:color w:val="000000" w:themeColor="text1"/>
                <w:sz w:val="16"/>
                <w:szCs w:val="16"/>
              </w:rPr>
            </w:pPr>
          </w:p>
        </w:tc>
        <w:tc>
          <w:tcPr>
            <w:tcW w:w="850" w:type="dxa"/>
          </w:tcPr>
          <w:p w14:paraId="06362D0C" w14:textId="77777777" w:rsidR="00531570" w:rsidRPr="00D03F3E" w:rsidRDefault="00531570" w:rsidP="00D03F3E">
            <w:pPr>
              <w:pStyle w:val="Iauiue"/>
              <w:jc w:val="both"/>
              <w:rPr>
                <w:color w:val="000000" w:themeColor="text1"/>
                <w:sz w:val="16"/>
                <w:szCs w:val="16"/>
              </w:rPr>
            </w:pPr>
          </w:p>
        </w:tc>
        <w:tc>
          <w:tcPr>
            <w:tcW w:w="851" w:type="dxa"/>
          </w:tcPr>
          <w:p w14:paraId="676AE4E6" w14:textId="77777777" w:rsidR="00531570" w:rsidRPr="00D03F3E" w:rsidRDefault="00531570" w:rsidP="00D03F3E">
            <w:pPr>
              <w:pStyle w:val="Iauiue"/>
              <w:jc w:val="both"/>
              <w:rPr>
                <w:color w:val="000000" w:themeColor="text1"/>
                <w:sz w:val="16"/>
                <w:szCs w:val="16"/>
              </w:rPr>
            </w:pPr>
          </w:p>
        </w:tc>
        <w:tc>
          <w:tcPr>
            <w:tcW w:w="1227" w:type="dxa"/>
          </w:tcPr>
          <w:p w14:paraId="0ADC2699" w14:textId="77777777" w:rsidR="00531570" w:rsidRPr="00D03F3E" w:rsidRDefault="00531570" w:rsidP="00D03F3E">
            <w:pPr>
              <w:pStyle w:val="Iauiue"/>
              <w:jc w:val="both"/>
              <w:rPr>
                <w:color w:val="000000" w:themeColor="text1"/>
                <w:sz w:val="16"/>
                <w:szCs w:val="16"/>
              </w:rPr>
            </w:pPr>
          </w:p>
        </w:tc>
        <w:tc>
          <w:tcPr>
            <w:tcW w:w="1465" w:type="dxa"/>
          </w:tcPr>
          <w:p w14:paraId="3AC163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путем</w:t>
            </w:r>
          </w:p>
        </w:tc>
      </w:tr>
      <w:tr w:rsidR="00860B4B" w:rsidRPr="00D03F3E" w14:paraId="08FA7451" w14:textId="77777777">
        <w:tc>
          <w:tcPr>
            <w:tcW w:w="1951" w:type="dxa"/>
          </w:tcPr>
          <w:p w14:paraId="4CB4E1D1" w14:textId="77777777" w:rsidR="00531570" w:rsidRPr="00D03F3E" w:rsidRDefault="00531570" w:rsidP="00D03F3E">
            <w:pPr>
              <w:pStyle w:val="Iauiue"/>
              <w:jc w:val="both"/>
              <w:rPr>
                <w:color w:val="000000" w:themeColor="text1"/>
                <w:sz w:val="16"/>
                <w:szCs w:val="16"/>
              </w:rPr>
            </w:pPr>
          </w:p>
        </w:tc>
        <w:tc>
          <w:tcPr>
            <w:tcW w:w="1089" w:type="dxa"/>
          </w:tcPr>
          <w:p w14:paraId="5247EF0F" w14:textId="77777777" w:rsidR="00531570" w:rsidRPr="00D03F3E" w:rsidRDefault="00531570" w:rsidP="00D03F3E">
            <w:pPr>
              <w:pStyle w:val="Iauiue"/>
              <w:jc w:val="both"/>
              <w:rPr>
                <w:color w:val="000000" w:themeColor="text1"/>
                <w:sz w:val="16"/>
                <w:szCs w:val="16"/>
              </w:rPr>
            </w:pPr>
          </w:p>
        </w:tc>
        <w:tc>
          <w:tcPr>
            <w:tcW w:w="739" w:type="dxa"/>
          </w:tcPr>
          <w:p w14:paraId="2CAAEE03" w14:textId="77777777" w:rsidR="00531570" w:rsidRPr="00D03F3E" w:rsidRDefault="00531570" w:rsidP="00D03F3E">
            <w:pPr>
              <w:pStyle w:val="Iauiue"/>
              <w:jc w:val="both"/>
              <w:rPr>
                <w:color w:val="000000" w:themeColor="text1"/>
                <w:sz w:val="16"/>
                <w:szCs w:val="16"/>
              </w:rPr>
            </w:pPr>
          </w:p>
        </w:tc>
        <w:tc>
          <w:tcPr>
            <w:tcW w:w="739" w:type="dxa"/>
          </w:tcPr>
          <w:p w14:paraId="3479C195" w14:textId="77777777" w:rsidR="00531570" w:rsidRPr="00D03F3E" w:rsidRDefault="00531570" w:rsidP="00D03F3E">
            <w:pPr>
              <w:pStyle w:val="Iauiue"/>
              <w:jc w:val="both"/>
              <w:rPr>
                <w:color w:val="000000" w:themeColor="text1"/>
                <w:sz w:val="16"/>
                <w:szCs w:val="16"/>
              </w:rPr>
            </w:pPr>
          </w:p>
        </w:tc>
        <w:tc>
          <w:tcPr>
            <w:tcW w:w="739" w:type="dxa"/>
          </w:tcPr>
          <w:p w14:paraId="3E043876" w14:textId="77777777" w:rsidR="00531570" w:rsidRPr="00D03F3E" w:rsidRDefault="00531570" w:rsidP="00D03F3E">
            <w:pPr>
              <w:pStyle w:val="Iauiue"/>
              <w:jc w:val="both"/>
              <w:rPr>
                <w:color w:val="000000" w:themeColor="text1"/>
                <w:sz w:val="16"/>
                <w:szCs w:val="16"/>
              </w:rPr>
            </w:pPr>
          </w:p>
        </w:tc>
        <w:tc>
          <w:tcPr>
            <w:tcW w:w="947" w:type="dxa"/>
          </w:tcPr>
          <w:p w14:paraId="42F6DDB6" w14:textId="77777777" w:rsidR="00531570" w:rsidRPr="00D03F3E" w:rsidRDefault="00531570" w:rsidP="00D03F3E">
            <w:pPr>
              <w:pStyle w:val="Iauiue"/>
              <w:jc w:val="both"/>
              <w:rPr>
                <w:color w:val="000000" w:themeColor="text1"/>
                <w:sz w:val="16"/>
                <w:szCs w:val="16"/>
              </w:rPr>
            </w:pPr>
          </w:p>
        </w:tc>
        <w:tc>
          <w:tcPr>
            <w:tcW w:w="850" w:type="dxa"/>
          </w:tcPr>
          <w:p w14:paraId="13A4569A" w14:textId="77777777" w:rsidR="00531570" w:rsidRPr="00D03F3E" w:rsidRDefault="00531570" w:rsidP="00D03F3E">
            <w:pPr>
              <w:pStyle w:val="Iauiue"/>
              <w:jc w:val="both"/>
              <w:rPr>
                <w:color w:val="000000" w:themeColor="text1"/>
                <w:sz w:val="16"/>
                <w:szCs w:val="16"/>
              </w:rPr>
            </w:pPr>
          </w:p>
        </w:tc>
        <w:tc>
          <w:tcPr>
            <w:tcW w:w="851" w:type="dxa"/>
          </w:tcPr>
          <w:p w14:paraId="229B105D" w14:textId="77777777" w:rsidR="00531570" w:rsidRPr="00D03F3E" w:rsidRDefault="00531570" w:rsidP="00D03F3E">
            <w:pPr>
              <w:pStyle w:val="Iauiue"/>
              <w:jc w:val="both"/>
              <w:rPr>
                <w:color w:val="000000" w:themeColor="text1"/>
                <w:sz w:val="16"/>
                <w:szCs w:val="16"/>
              </w:rPr>
            </w:pPr>
          </w:p>
        </w:tc>
        <w:tc>
          <w:tcPr>
            <w:tcW w:w="1227" w:type="dxa"/>
          </w:tcPr>
          <w:p w14:paraId="31CF7F07" w14:textId="77777777" w:rsidR="00531570" w:rsidRPr="00D03F3E" w:rsidRDefault="00531570" w:rsidP="00D03F3E">
            <w:pPr>
              <w:pStyle w:val="Iauiue"/>
              <w:jc w:val="both"/>
              <w:rPr>
                <w:color w:val="000000" w:themeColor="text1"/>
                <w:sz w:val="16"/>
                <w:szCs w:val="16"/>
              </w:rPr>
            </w:pPr>
          </w:p>
        </w:tc>
        <w:tc>
          <w:tcPr>
            <w:tcW w:w="1465" w:type="dxa"/>
          </w:tcPr>
          <w:p w14:paraId="0048EEB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пересчета</w:t>
            </w:r>
          </w:p>
        </w:tc>
      </w:tr>
      <w:tr w:rsidR="00860B4B" w:rsidRPr="00D03F3E" w14:paraId="1B7964C4" w14:textId="77777777">
        <w:tc>
          <w:tcPr>
            <w:tcW w:w="1951" w:type="dxa"/>
          </w:tcPr>
          <w:p w14:paraId="0B4D03C0" w14:textId="77777777" w:rsidR="00531570" w:rsidRPr="00D03F3E" w:rsidRDefault="00531570" w:rsidP="00D03F3E">
            <w:pPr>
              <w:pStyle w:val="Iauiue"/>
              <w:jc w:val="both"/>
              <w:rPr>
                <w:color w:val="000000" w:themeColor="text1"/>
                <w:sz w:val="16"/>
                <w:szCs w:val="16"/>
              </w:rPr>
            </w:pPr>
          </w:p>
        </w:tc>
        <w:tc>
          <w:tcPr>
            <w:tcW w:w="1089" w:type="dxa"/>
          </w:tcPr>
          <w:p w14:paraId="249580B5" w14:textId="77777777" w:rsidR="00531570" w:rsidRPr="00D03F3E" w:rsidRDefault="00531570" w:rsidP="00D03F3E">
            <w:pPr>
              <w:pStyle w:val="Iauiue"/>
              <w:jc w:val="both"/>
              <w:rPr>
                <w:color w:val="000000" w:themeColor="text1"/>
                <w:sz w:val="16"/>
                <w:szCs w:val="16"/>
              </w:rPr>
            </w:pPr>
          </w:p>
        </w:tc>
        <w:tc>
          <w:tcPr>
            <w:tcW w:w="739" w:type="dxa"/>
          </w:tcPr>
          <w:p w14:paraId="16777188" w14:textId="77777777" w:rsidR="00531570" w:rsidRPr="00D03F3E" w:rsidRDefault="00531570" w:rsidP="00D03F3E">
            <w:pPr>
              <w:pStyle w:val="Iauiue"/>
              <w:jc w:val="both"/>
              <w:rPr>
                <w:color w:val="000000" w:themeColor="text1"/>
                <w:sz w:val="16"/>
                <w:szCs w:val="16"/>
              </w:rPr>
            </w:pPr>
          </w:p>
        </w:tc>
        <w:tc>
          <w:tcPr>
            <w:tcW w:w="739" w:type="dxa"/>
          </w:tcPr>
          <w:p w14:paraId="7F4B2FD1" w14:textId="77777777" w:rsidR="00531570" w:rsidRPr="00D03F3E" w:rsidRDefault="00531570" w:rsidP="00D03F3E">
            <w:pPr>
              <w:pStyle w:val="Iauiue"/>
              <w:jc w:val="both"/>
              <w:rPr>
                <w:color w:val="000000" w:themeColor="text1"/>
                <w:sz w:val="16"/>
                <w:szCs w:val="16"/>
              </w:rPr>
            </w:pPr>
          </w:p>
        </w:tc>
        <w:tc>
          <w:tcPr>
            <w:tcW w:w="739" w:type="dxa"/>
          </w:tcPr>
          <w:p w14:paraId="027654B9" w14:textId="77777777" w:rsidR="00531570" w:rsidRPr="00D03F3E" w:rsidRDefault="00531570" w:rsidP="00D03F3E">
            <w:pPr>
              <w:pStyle w:val="Iauiue"/>
              <w:jc w:val="both"/>
              <w:rPr>
                <w:color w:val="000000" w:themeColor="text1"/>
                <w:sz w:val="16"/>
                <w:szCs w:val="16"/>
              </w:rPr>
            </w:pPr>
          </w:p>
        </w:tc>
        <w:tc>
          <w:tcPr>
            <w:tcW w:w="947" w:type="dxa"/>
          </w:tcPr>
          <w:p w14:paraId="109CF0FC" w14:textId="77777777" w:rsidR="00531570" w:rsidRPr="00D03F3E" w:rsidRDefault="00531570" w:rsidP="00D03F3E">
            <w:pPr>
              <w:pStyle w:val="Iauiue"/>
              <w:jc w:val="both"/>
              <w:rPr>
                <w:color w:val="000000" w:themeColor="text1"/>
                <w:sz w:val="16"/>
                <w:szCs w:val="16"/>
              </w:rPr>
            </w:pPr>
          </w:p>
        </w:tc>
        <w:tc>
          <w:tcPr>
            <w:tcW w:w="850" w:type="dxa"/>
          </w:tcPr>
          <w:p w14:paraId="6FD5BABA" w14:textId="77777777" w:rsidR="00531570" w:rsidRPr="00D03F3E" w:rsidRDefault="00531570" w:rsidP="00D03F3E">
            <w:pPr>
              <w:pStyle w:val="Iauiue"/>
              <w:jc w:val="both"/>
              <w:rPr>
                <w:color w:val="000000" w:themeColor="text1"/>
                <w:sz w:val="16"/>
                <w:szCs w:val="16"/>
              </w:rPr>
            </w:pPr>
          </w:p>
        </w:tc>
        <w:tc>
          <w:tcPr>
            <w:tcW w:w="851" w:type="dxa"/>
          </w:tcPr>
          <w:p w14:paraId="756977D7" w14:textId="77777777" w:rsidR="00531570" w:rsidRPr="00D03F3E" w:rsidRDefault="00531570" w:rsidP="00D03F3E">
            <w:pPr>
              <w:pStyle w:val="Iauiue"/>
              <w:jc w:val="both"/>
              <w:rPr>
                <w:color w:val="000000" w:themeColor="text1"/>
                <w:sz w:val="16"/>
                <w:szCs w:val="16"/>
              </w:rPr>
            </w:pPr>
          </w:p>
        </w:tc>
        <w:tc>
          <w:tcPr>
            <w:tcW w:w="1227" w:type="dxa"/>
          </w:tcPr>
          <w:p w14:paraId="6A276020" w14:textId="77777777" w:rsidR="00531570" w:rsidRPr="00D03F3E" w:rsidRDefault="00531570" w:rsidP="00D03F3E">
            <w:pPr>
              <w:pStyle w:val="Iauiue"/>
              <w:jc w:val="both"/>
              <w:rPr>
                <w:color w:val="000000" w:themeColor="text1"/>
                <w:sz w:val="16"/>
                <w:szCs w:val="16"/>
              </w:rPr>
            </w:pPr>
          </w:p>
        </w:tc>
        <w:tc>
          <w:tcPr>
            <w:tcW w:w="1465" w:type="dxa"/>
          </w:tcPr>
          <w:p w14:paraId="039F908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результатов</w:t>
            </w:r>
          </w:p>
        </w:tc>
      </w:tr>
      <w:tr w:rsidR="00860B4B" w:rsidRPr="00D03F3E" w14:paraId="61E1907C" w14:textId="77777777">
        <w:tc>
          <w:tcPr>
            <w:tcW w:w="1951" w:type="dxa"/>
          </w:tcPr>
          <w:p w14:paraId="1B1B6A21" w14:textId="77777777" w:rsidR="00531570" w:rsidRPr="00D03F3E" w:rsidRDefault="00531570" w:rsidP="00D03F3E">
            <w:pPr>
              <w:pStyle w:val="Iauiue"/>
              <w:jc w:val="both"/>
              <w:rPr>
                <w:color w:val="000000" w:themeColor="text1"/>
                <w:sz w:val="16"/>
                <w:szCs w:val="16"/>
              </w:rPr>
            </w:pPr>
          </w:p>
        </w:tc>
        <w:tc>
          <w:tcPr>
            <w:tcW w:w="1089" w:type="dxa"/>
          </w:tcPr>
          <w:p w14:paraId="05C32CF0" w14:textId="77777777" w:rsidR="00531570" w:rsidRPr="00D03F3E" w:rsidRDefault="00531570" w:rsidP="00D03F3E">
            <w:pPr>
              <w:pStyle w:val="Iauiue"/>
              <w:jc w:val="both"/>
              <w:rPr>
                <w:color w:val="000000" w:themeColor="text1"/>
                <w:sz w:val="16"/>
                <w:szCs w:val="16"/>
              </w:rPr>
            </w:pPr>
          </w:p>
        </w:tc>
        <w:tc>
          <w:tcPr>
            <w:tcW w:w="739" w:type="dxa"/>
          </w:tcPr>
          <w:p w14:paraId="2B9FA877" w14:textId="77777777" w:rsidR="00531570" w:rsidRPr="00D03F3E" w:rsidRDefault="00531570" w:rsidP="00D03F3E">
            <w:pPr>
              <w:pStyle w:val="Iauiue"/>
              <w:jc w:val="both"/>
              <w:rPr>
                <w:color w:val="000000" w:themeColor="text1"/>
                <w:sz w:val="16"/>
                <w:szCs w:val="16"/>
              </w:rPr>
            </w:pPr>
          </w:p>
        </w:tc>
        <w:tc>
          <w:tcPr>
            <w:tcW w:w="739" w:type="dxa"/>
          </w:tcPr>
          <w:p w14:paraId="270E9654" w14:textId="77777777" w:rsidR="00531570" w:rsidRPr="00D03F3E" w:rsidRDefault="00531570" w:rsidP="00D03F3E">
            <w:pPr>
              <w:pStyle w:val="Iauiue"/>
              <w:jc w:val="both"/>
              <w:rPr>
                <w:color w:val="000000" w:themeColor="text1"/>
                <w:sz w:val="16"/>
                <w:szCs w:val="16"/>
              </w:rPr>
            </w:pPr>
          </w:p>
        </w:tc>
        <w:tc>
          <w:tcPr>
            <w:tcW w:w="739" w:type="dxa"/>
          </w:tcPr>
          <w:p w14:paraId="75A9D7B9" w14:textId="77777777" w:rsidR="00531570" w:rsidRPr="00D03F3E" w:rsidRDefault="00531570" w:rsidP="00D03F3E">
            <w:pPr>
              <w:pStyle w:val="Iauiue"/>
              <w:jc w:val="both"/>
              <w:rPr>
                <w:color w:val="000000" w:themeColor="text1"/>
                <w:sz w:val="16"/>
                <w:szCs w:val="16"/>
              </w:rPr>
            </w:pPr>
          </w:p>
        </w:tc>
        <w:tc>
          <w:tcPr>
            <w:tcW w:w="947" w:type="dxa"/>
          </w:tcPr>
          <w:p w14:paraId="0FC5D1CA" w14:textId="77777777" w:rsidR="00531570" w:rsidRPr="00D03F3E" w:rsidRDefault="00531570" w:rsidP="00D03F3E">
            <w:pPr>
              <w:pStyle w:val="Iauiue"/>
              <w:jc w:val="both"/>
              <w:rPr>
                <w:color w:val="000000" w:themeColor="text1"/>
                <w:sz w:val="16"/>
                <w:szCs w:val="16"/>
              </w:rPr>
            </w:pPr>
          </w:p>
        </w:tc>
        <w:tc>
          <w:tcPr>
            <w:tcW w:w="850" w:type="dxa"/>
          </w:tcPr>
          <w:p w14:paraId="330DF658" w14:textId="77777777" w:rsidR="00531570" w:rsidRPr="00D03F3E" w:rsidRDefault="00531570" w:rsidP="00D03F3E">
            <w:pPr>
              <w:pStyle w:val="Iauiue"/>
              <w:jc w:val="both"/>
              <w:rPr>
                <w:color w:val="000000" w:themeColor="text1"/>
                <w:sz w:val="16"/>
                <w:szCs w:val="16"/>
              </w:rPr>
            </w:pPr>
          </w:p>
        </w:tc>
        <w:tc>
          <w:tcPr>
            <w:tcW w:w="851" w:type="dxa"/>
          </w:tcPr>
          <w:p w14:paraId="39B05E25" w14:textId="77777777" w:rsidR="00531570" w:rsidRPr="00D03F3E" w:rsidRDefault="00531570" w:rsidP="00D03F3E">
            <w:pPr>
              <w:pStyle w:val="Iauiue"/>
              <w:jc w:val="both"/>
              <w:rPr>
                <w:color w:val="000000" w:themeColor="text1"/>
                <w:sz w:val="16"/>
                <w:szCs w:val="16"/>
              </w:rPr>
            </w:pPr>
          </w:p>
        </w:tc>
        <w:tc>
          <w:tcPr>
            <w:tcW w:w="1227" w:type="dxa"/>
          </w:tcPr>
          <w:p w14:paraId="3E18728E" w14:textId="77777777" w:rsidR="00531570" w:rsidRPr="00D03F3E" w:rsidRDefault="00531570" w:rsidP="00D03F3E">
            <w:pPr>
              <w:pStyle w:val="Iauiue"/>
              <w:jc w:val="both"/>
              <w:rPr>
                <w:color w:val="000000" w:themeColor="text1"/>
                <w:sz w:val="16"/>
                <w:szCs w:val="16"/>
              </w:rPr>
            </w:pPr>
          </w:p>
        </w:tc>
        <w:tc>
          <w:tcPr>
            <w:tcW w:w="1465" w:type="dxa"/>
          </w:tcPr>
          <w:p w14:paraId="4AEF858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летных</w:t>
            </w:r>
          </w:p>
        </w:tc>
      </w:tr>
      <w:tr w:rsidR="00860B4B" w:rsidRPr="00D03F3E" w14:paraId="1A3B4A9B" w14:textId="77777777">
        <w:tc>
          <w:tcPr>
            <w:tcW w:w="1951" w:type="dxa"/>
          </w:tcPr>
          <w:p w14:paraId="2570D118" w14:textId="77777777" w:rsidR="00531570" w:rsidRPr="00D03F3E" w:rsidRDefault="00531570" w:rsidP="00D03F3E">
            <w:pPr>
              <w:pStyle w:val="Iauiue"/>
              <w:jc w:val="both"/>
              <w:rPr>
                <w:color w:val="000000" w:themeColor="text1"/>
                <w:sz w:val="16"/>
                <w:szCs w:val="16"/>
              </w:rPr>
            </w:pPr>
          </w:p>
        </w:tc>
        <w:tc>
          <w:tcPr>
            <w:tcW w:w="1089" w:type="dxa"/>
          </w:tcPr>
          <w:p w14:paraId="74125CB5" w14:textId="77777777" w:rsidR="00531570" w:rsidRPr="00D03F3E" w:rsidRDefault="00531570" w:rsidP="00D03F3E">
            <w:pPr>
              <w:pStyle w:val="Iauiue"/>
              <w:jc w:val="both"/>
              <w:rPr>
                <w:color w:val="000000" w:themeColor="text1"/>
                <w:sz w:val="16"/>
                <w:szCs w:val="16"/>
              </w:rPr>
            </w:pPr>
          </w:p>
        </w:tc>
        <w:tc>
          <w:tcPr>
            <w:tcW w:w="739" w:type="dxa"/>
          </w:tcPr>
          <w:p w14:paraId="7F7B8788" w14:textId="77777777" w:rsidR="00531570" w:rsidRPr="00D03F3E" w:rsidRDefault="00531570" w:rsidP="00D03F3E">
            <w:pPr>
              <w:pStyle w:val="Iauiue"/>
              <w:jc w:val="both"/>
              <w:rPr>
                <w:color w:val="000000" w:themeColor="text1"/>
                <w:sz w:val="16"/>
                <w:szCs w:val="16"/>
              </w:rPr>
            </w:pPr>
          </w:p>
        </w:tc>
        <w:tc>
          <w:tcPr>
            <w:tcW w:w="739" w:type="dxa"/>
          </w:tcPr>
          <w:p w14:paraId="410B6F4E" w14:textId="77777777" w:rsidR="00531570" w:rsidRPr="00D03F3E" w:rsidRDefault="00531570" w:rsidP="00D03F3E">
            <w:pPr>
              <w:pStyle w:val="Iauiue"/>
              <w:jc w:val="both"/>
              <w:rPr>
                <w:color w:val="000000" w:themeColor="text1"/>
                <w:sz w:val="16"/>
                <w:szCs w:val="16"/>
              </w:rPr>
            </w:pPr>
          </w:p>
        </w:tc>
        <w:tc>
          <w:tcPr>
            <w:tcW w:w="739" w:type="dxa"/>
          </w:tcPr>
          <w:p w14:paraId="6EB9E9C3" w14:textId="77777777" w:rsidR="00531570" w:rsidRPr="00D03F3E" w:rsidRDefault="00531570" w:rsidP="00D03F3E">
            <w:pPr>
              <w:pStyle w:val="Iauiue"/>
              <w:jc w:val="both"/>
              <w:rPr>
                <w:color w:val="000000" w:themeColor="text1"/>
                <w:sz w:val="16"/>
                <w:szCs w:val="16"/>
              </w:rPr>
            </w:pPr>
          </w:p>
        </w:tc>
        <w:tc>
          <w:tcPr>
            <w:tcW w:w="947" w:type="dxa"/>
          </w:tcPr>
          <w:p w14:paraId="6D49C34A" w14:textId="77777777" w:rsidR="00531570" w:rsidRPr="00D03F3E" w:rsidRDefault="00531570" w:rsidP="00D03F3E">
            <w:pPr>
              <w:pStyle w:val="Iauiue"/>
              <w:jc w:val="both"/>
              <w:rPr>
                <w:color w:val="000000" w:themeColor="text1"/>
                <w:sz w:val="16"/>
                <w:szCs w:val="16"/>
              </w:rPr>
            </w:pPr>
          </w:p>
        </w:tc>
        <w:tc>
          <w:tcPr>
            <w:tcW w:w="850" w:type="dxa"/>
          </w:tcPr>
          <w:p w14:paraId="41D5EBFD" w14:textId="77777777" w:rsidR="00531570" w:rsidRPr="00D03F3E" w:rsidRDefault="00531570" w:rsidP="00D03F3E">
            <w:pPr>
              <w:pStyle w:val="Iauiue"/>
              <w:jc w:val="both"/>
              <w:rPr>
                <w:color w:val="000000" w:themeColor="text1"/>
                <w:sz w:val="16"/>
                <w:szCs w:val="16"/>
              </w:rPr>
            </w:pPr>
          </w:p>
        </w:tc>
        <w:tc>
          <w:tcPr>
            <w:tcW w:w="851" w:type="dxa"/>
          </w:tcPr>
          <w:p w14:paraId="46CB175C" w14:textId="77777777" w:rsidR="00531570" w:rsidRPr="00D03F3E" w:rsidRDefault="00531570" w:rsidP="00D03F3E">
            <w:pPr>
              <w:pStyle w:val="Iauiue"/>
              <w:jc w:val="both"/>
              <w:rPr>
                <w:color w:val="000000" w:themeColor="text1"/>
                <w:sz w:val="16"/>
                <w:szCs w:val="16"/>
              </w:rPr>
            </w:pPr>
          </w:p>
        </w:tc>
        <w:tc>
          <w:tcPr>
            <w:tcW w:w="1227" w:type="dxa"/>
          </w:tcPr>
          <w:p w14:paraId="784C0514" w14:textId="77777777" w:rsidR="00531570" w:rsidRPr="00D03F3E" w:rsidRDefault="00531570" w:rsidP="00D03F3E">
            <w:pPr>
              <w:pStyle w:val="Iauiue"/>
              <w:jc w:val="both"/>
              <w:rPr>
                <w:color w:val="000000" w:themeColor="text1"/>
                <w:sz w:val="16"/>
                <w:szCs w:val="16"/>
              </w:rPr>
            </w:pPr>
          </w:p>
        </w:tc>
        <w:tc>
          <w:tcPr>
            <w:tcW w:w="1465" w:type="dxa"/>
          </w:tcPr>
          <w:p w14:paraId="176BB63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испытаний</w:t>
            </w:r>
          </w:p>
        </w:tc>
      </w:tr>
      <w:tr w:rsidR="00860B4B" w:rsidRPr="00D03F3E" w14:paraId="7D17D2A2" w14:textId="77777777">
        <w:tc>
          <w:tcPr>
            <w:tcW w:w="1951" w:type="dxa"/>
          </w:tcPr>
          <w:p w14:paraId="6FA9ED3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Ла-5</w:t>
            </w:r>
          </w:p>
        </w:tc>
        <w:tc>
          <w:tcPr>
            <w:tcW w:w="1089" w:type="dxa"/>
          </w:tcPr>
          <w:p w14:paraId="64FED0D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М-82</w:t>
            </w:r>
          </w:p>
        </w:tc>
        <w:tc>
          <w:tcPr>
            <w:tcW w:w="739" w:type="dxa"/>
          </w:tcPr>
          <w:p w14:paraId="1E9FA5C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3220</w:t>
            </w:r>
          </w:p>
        </w:tc>
        <w:tc>
          <w:tcPr>
            <w:tcW w:w="739" w:type="dxa"/>
          </w:tcPr>
          <w:p w14:paraId="6DA8521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345</w:t>
            </w:r>
          </w:p>
        </w:tc>
        <w:tc>
          <w:tcPr>
            <w:tcW w:w="739" w:type="dxa"/>
          </w:tcPr>
          <w:p w14:paraId="6D61DAB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345</w:t>
            </w:r>
          </w:p>
        </w:tc>
        <w:tc>
          <w:tcPr>
            <w:tcW w:w="947" w:type="dxa"/>
          </w:tcPr>
          <w:p w14:paraId="5E0FF4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550</w:t>
            </w:r>
          </w:p>
        </w:tc>
        <w:tc>
          <w:tcPr>
            <w:tcW w:w="850" w:type="dxa"/>
          </w:tcPr>
          <w:p w14:paraId="252756E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590</w:t>
            </w:r>
          </w:p>
        </w:tc>
        <w:tc>
          <w:tcPr>
            <w:tcW w:w="851" w:type="dxa"/>
          </w:tcPr>
          <w:p w14:paraId="713D435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930</w:t>
            </w:r>
          </w:p>
        </w:tc>
        <w:tc>
          <w:tcPr>
            <w:tcW w:w="1227" w:type="dxa"/>
          </w:tcPr>
          <w:p w14:paraId="564D4AA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w:t>
            </w:r>
          </w:p>
        </w:tc>
        <w:tc>
          <w:tcPr>
            <w:tcW w:w="1465" w:type="dxa"/>
          </w:tcPr>
          <w:p w14:paraId="6E34DD3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То же</w:t>
            </w:r>
          </w:p>
        </w:tc>
      </w:tr>
      <w:tr w:rsidR="00860B4B" w:rsidRPr="00D03F3E" w14:paraId="6715610A" w14:textId="77777777">
        <w:tc>
          <w:tcPr>
            <w:tcW w:w="1951" w:type="dxa"/>
          </w:tcPr>
          <w:p w14:paraId="15F885A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Ла-5</w:t>
            </w:r>
          </w:p>
        </w:tc>
        <w:tc>
          <w:tcPr>
            <w:tcW w:w="1089" w:type="dxa"/>
          </w:tcPr>
          <w:p w14:paraId="7A2CAB7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М-82ФН</w:t>
            </w:r>
          </w:p>
        </w:tc>
        <w:tc>
          <w:tcPr>
            <w:tcW w:w="739" w:type="dxa"/>
          </w:tcPr>
          <w:p w14:paraId="1EBBC75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3250</w:t>
            </w:r>
          </w:p>
        </w:tc>
        <w:tc>
          <w:tcPr>
            <w:tcW w:w="739" w:type="dxa"/>
          </w:tcPr>
          <w:p w14:paraId="24DBCC1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345</w:t>
            </w:r>
          </w:p>
        </w:tc>
        <w:tc>
          <w:tcPr>
            <w:tcW w:w="739" w:type="dxa"/>
          </w:tcPr>
          <w:p w14:paraId="1F318CF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345</w:t>
            </w:r>
          </w:p>
        </w:tc>
        <w:tc>
          <w:tcPr>
            <w:tcW w:w="947" w:type="dxa"/>
          </w:tcPr>
          <w:p w14:paraId="4AFA785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550</w:t>
            </w:r>
          </w:p>
        </w:tc>
        <w:tc>
          <w:tcPr>
            <w:tcW w:w="850" w:type="dxa"/>
          </w:tcPr>
          <w:p w14:paraId="05E75E7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590</w:t>
            </w:r>
          </w:p>
        </w:tc>
        <w:tc>
          <w:tcPr>
            <w:tcW w:w="851" w:type="dxa"/>
          </w:tcPr>
          <w:p w14:paraId="181F282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930</w:t>
            </w:r>
          </w:p>
        </w:tc>
        <w:tc>
          <w:tcPr>
            <w:tcW w:w="1227" w:type="dxa"/>
          </w:tcPr>
          <w:p w14:paraId="7E538FB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2,6</w:t>
            </w:r>
          </w:p>
        </w:tc>
        <w:tc>
          <w:tcPr>
            <w:tcW w:w="1465" w:type="dxa"/>
          </w:tcPr>
          <w:p w14:paraId="66BC765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Цифры</w:t>
            </w:r>
          </w:p>
        </w:tc>
      </w:tr>
      <w:tr w:rsidR="00860B4B" w:rsidRPr="00D03F3E" w14:paraId="3C8634AF" w14:textId="77777777">
        <w:tc>
          <w:tcPr>
            <w:tcW w:w="1951" w:type="dxa"/>
          </w:tcPr>
          <w:p w14:paraId="3A38B09F" w14:textId="77777777" w:rsidR="00531570" w:rsidRPr="00D03F3E" w:rsidRDefault="00531570" w:rsidP="00D03F3E">
            <w:pPr>
              <w:pStyle w:val="Iauiue"/>
              <w:jc w:val="both"/>
              <w:rPr>
                <w:color w:val="000000" w:themeColor="text1"/>
                <w:sz w:val="16"/>
                <w:szCs w:val="16"/>
              </w:rPr>
            </w:pPr>
          </w:p>
        </w:tc>
        <w:tc>
          <w:tcPr>
            <w:tcW w:w="1089" w:type="dxa"/>
          </w:tcPr>
          <w:p w14:paraId="2BDCA47F" w14:textId="77777777" w:rsidR="00531570" w:rsidRPr="00D03F3E" w:rsidRDefault="00531570" w:rsidP="00D03F3E">
            <w:pPr>
              <w:pStyle w:val="Iauiue"/>
              <w:jc w:val="both"/>
              <w:rPr>
                <w:color w:val="000000" w:themeColor="text1"/>
                <w:sz w:val="16"/>
                <w:szCs w:val="16"/>
              </w:rPr>
            </w:pPr>
          </w:p>
        </w:tc>
        <w:tc>
          <w:tcPr>
            <w:tcW w:w="739" w:type="dxa"/>
          </w:tcPr>
          <w:p w14:paraId="4A9F62B8" w14:textId="77777777" w:rsidR="00531570" w:rsidRPr="00D03F3E" w:rsidRDefault="00531570" w:rsidP="00D03F3E">
            <w:pPr>
              <w:pStyle w:val="Iauiue"/>
              <w:jc w:val="both"/>
              <w:rPr>
                <w:color w:val="000000" w:themeColor="text1"/>
                <w:sz w:val="16"/>
                <w:szCs w:val="16"/>
              </w:rPr>
            </w:pPr>
          </w:p>
        </w:tc>
        <w:tc>
          <w:tcPr>
            <w:tcW w:w="739" w:type="dxa"/>
          </w:tcPr>
          <w:p w14:paraId="5F9B0ABA" w14:textId="77777777" w:rsidR="00531570" w:rsidRPr="00D03F3E" w:rsidRDefault="00531570" w:rsidP="00D03F3E">
            <w:pPr>
              <w:pStyle w:val="Iauiue"/>
              <w:jc w:val="both"/>
              <w:rPr>
                <w:color w:val="000000" w:themeColor="text1"/>
                <w:sz w:val="16"/>
                <w:szCs w:val="16"/>
              </w:rPr>
            </w:pPr>
          </w:p>
        </w:tc>
        <w:tc>
          <w:tcPr>
            <w:tcW w:w="739" w:type="dxa"/>
          </w:tcPr>
          <w:p w14:paraId="59F77243" w14:textId="77777777" w:rsidR="00531570" w:rsidRPr="00D03F3E" w:rsidRDefault="00531570" w:rsidP="00D03F3E">
            <w:pPr>
              <w:pStyle w:val="Iauiue"/>
              <w:jc w:val="both"/>
              <w:rPr>
                <w:color w:val="000000" w:themeColor="text1"/>
                <w:sz w:val="16"/>
                <w:szCs w:val="16"/>
              </w:rPr>
            </w:pPr>
          </w:p>
        </w:tc>
        <w:tc>
          <w:tcPr>
            <w:tcW w:w="947" w:type="dxa"/>
          </w:tcPr>
          <w:p w14:paraId="04E75560" w14:textId="77777777" w:rsidR="00531570" w:rsidRPr="00D03F3E" w:rsidRDefault="00531570" w:rsidP="00D03F3E">
            <w:pPr>
              <w:pStyle w:val="Iauiue"/>
              <w:jc w:val="both"/>
              <w:rPr>
                <w:color w:val="000000" w:themeColor="text1"/>
                <w:sz w:val="16"/>
                <w:szCs w:val="16"/>
              </w:rPr>
            </w:pPr>
          </w:p>
        </w:tc>
        <w:tc>
          <w:tcPr>
            <w:tcW w:w="850" w:type="dxa"/>
          </w:tcPr>
          <w:p w14:paraId="39C2FFF8" w14:textId="77777777" w:rsidR="00531570" w:rsidRPr="00D03F3E" w:rsidRDefault="00531570" w:rsidP="00D03F3E">
            <w:pPr>
              <w:pStyle w:val="Iauiue"/>
              <w:jc w:val="both"/>
              <w:rPr>
                <w:color w:val="000000" w:themeColor="text1"/>
                <w:sz w:val="16"/>
                <w:szCs w:val="16"/>
              </w:rPr>
            </w:pPr>
          </w:p>
        </w:tc>
        <w:tc>
          <w:tcPr>
            <w:tcW w:w="851" w:type="dxa"/>
          </w:tcPr>
          <w:p w14:paraId="08E29A80" w14:textId="77777777" w:rsidR="00531570" w:rsidRPr="00D03F3E" w:rsidRDefault="00531570" w:rsidP="00D03F3E">
            <w:pPr>
              <w:pStyle w:val="Iauiue"/>
              <w:jc w:val="both"/>
              <w:rPr>
                <w:color w:val="000000" w:themeColor="text1"/>
                <w:sz w:val="16"/>
                <w:szCs w:val="16"/>
              </w:rPr>
            </w:pPr>
          </w:p>
        </w:tc>
        <w:tc>
          <w:tcPr>
            <w:tcW w:w="1227" w:type="dxa"/>
          </w:tcPr>
          <w:p w14:paraId="784DC5F6" w14:textId="77777777" w:rsidR="00531570" w:rsidRPr="00D03F3E" w:rsidRDefault="00531570" w:rsidP="00D03F3E">
            <w:pPr>
              <w:pStyle w:val="Iauiue"/>
              <w:jc w:val="both"/>
              <w:rPr>
                <w:color w:val="000000" w:themeColor="text1"/>
                <w:sz w:val="16"/>
                <w:szCs w:val="16"/>
              </w:rPr>
            </w:pPr>
          </w:p>
        </w:tc>
        <w:tc>
          <w:tcPr>
            <w:tcW w:w="1465" w:type="dxa"/>
          </w:tcPr>
          <w:p w14:paraId="5AB067A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дальности -</w:t>
            </w:r>
          </w:p>
        </w:tc>
      </w:tr>
      <w:tr w:rsidR="00860B4B" w:rsidRPr="00D03F3E" w14:paraId="6EBA305E" w14:textId="77777777">
        <w:tc>
          <w:tcPr>
            <w:tcW w:w="1951" w:type="dxa"/>
          </w:tcPr>
          <w:p w14:paraId="039FF971" w14:textId="77777777" w:rsidR="00531570" w:rsidRPr="00D03F3E" w:rsidRDefault="00531570" w:rsidP="00D03F3E">
            <w:pPr>
              <w:pStyle w:val="Iauiue"/>
              <w:jc w:val="both"/>
              <w:rPr>
                <w:color w:val="000000" w:themeColor="text1"/>
                <w:sz w:val="16"/>
                <w:szCs w:val="16"/>
              </w:rPr>
            </w:pPr>
          </w:p>
        </w:tc>
        <w:tc>
          <w:tcPr>
            <w:tcW w:w="1089" w:type="dxa"/>
          </w:tcPr>
          <w:p w14:paraId="2B310BB0" w14:textId="77777777" w:rsidR="00531570" w:rsidRPr="00D03F3E" w:rsidRDefault="00531570" w:rsidP="00D03F3E">
            <w:pPr>
              <w:pStyle w:val="Iauiue"/>
              <w:jc w:val="both"/>
              <w:rPr>
                <w:color w:val="000000" w:themeColor="text1"/>
                <w:sz w:val="16"/>
                <w:szCs w:val="16"/>
              </w:rPr>
            </w:pPr>
          </w:p>
        </w:tc>
        <w:tc>
          <w:tcPr>
            <w:tcW w:w="739" w:type="dxa"/>
          </w:tcPr>
          <w:p w14:paraId="139A3C27" w14:textId="77777777" w:rsidR="00531570" w:rsidRPr="00D03F3E" w:rsidRDefault="00531570" w:rsidP="00D03F3E">
            <w:pPr>
              <w:pStyle w:val="Iauiue"/>
              <w:jc w:val="both"/>
              <w:rPr>
                <w:color w:val="000000" w:themeColor="text1"/>
                <w:sz w:val="16"/>
                <w:szCs w:val="16"/>
              </w:rPr>
            </w:pPr>
          </w:p>
        </w:tc>
        <w:tc>
          <w:tcPr>
            <w:tcW w:w="739" w:type="dxa"/>
          </w:tcPr>
          <w:p w14:paraId="1F025626" w14:textId="77777777" w:rsidR="00531570" w:rsidRPr="00D03F3E" w:rsidRDefault="00531570" w:rsidP="00D03F3E">
            <w:pPr>
              <w:pStyle w:val="Iauiue"/>
              <w:jc w:val="both"/>
              <w:rPr>
                <w:color w:val="000000" w:themeColor="text1"/>
                <w:sz w:val="16"/>
                <w:szCs w:val="16"/>
              </w:rPr>
            </w:pPr>
          </w:p>
        </w:tc>
        <w:tc>
          <w:tcPr>
            <w:tcW w:w="739" w:type="dxa"/>
          </w:tcPr>
          <w:p w14:paraId="37AFA933" w14:textId="77777777" w:rsidR="00531570" w:rsidRPr="00D03F3E" w:rsidRDefault="00531570" w:rsidP="00D03F3E">
            <w:pPr>
              <w:pStyle w:val="Iauiue"/>
              <w:jc w:val="both"/>
              <w:rPr>
                <w:color w:val="000000" w:themeColor="text1"/>
                <w:sz w:val="16"/>
                <w:szCs w:val="16"/>
              </w:rPr>
            </w:pPr>
          </w:p>
        </w:tc>
        <w:tc>
          <w:tcPr>
            <w:tcW w:w="947" w:type="dxa"/>
          </w:tcPr>
          <w:p w14:paraId="68FAE89C" w14:textId="77777777" w:rsidR="00531570" w:rsidRPr="00D03F3E" w:rsidRDefault="00531570" w:rsidP="00D03F3E">
            <w:pPr>
              <w:pStyle w:val="Iauiue"/>
              <w:jc w:val="both"/>
              <w:rPr>
                <w:color w:val="000000" w:themeColor="text1"/>
                <w:sz w:val="16"/>
                <w:szCs w:val="16"/>
              </w:rPr>
            </w:pPr>
          </w:p>
        </w:tc>
        <w:tc>
          <w:tcPr>
            <w:tcW w:w="850" w:type="dxa"/>
          </w:tcPr>
          <w:p w14:paraId="7CBA95C4" w14:textId="77777777" w:rsidR="00531570" w:rsidRPr="00D03F3E" w:rsidRDefault="00531570" w:rsidP="00D03F3E">
            <w:pPr>
              <w:pStyle w:val="Iauiue"/>
              <w:jc w:val="both"/>
              <w:rPr>
                <w:color w:val="000000" w:themeColor="text1"/>
                <w:sz w:val="16"/>
                <w:szCs w:val="16"/>
              </w:rPr>
            </w:pPr>
          </w:p>
        </w:tc>
        <w:tc>
          <w:tcPr>
            <w:tcW w:w="851" w:type="dxa"/>
          </w:tcPr>
          <w:p w14:paraId="1D106C07" w14:textId="77777777" w:rsidR="00531570" w:rsidRPr="00D03F3E" w:rsidRDefault="00531570" w:rsidP="00D03F3E">
            <w:pPr>
              <w:pStyle w:val="Iauiue"/>
              <w:jc w:val="both"/>
              <w:rPr>
                <w:color w:val="000000" w:themeColor="text1"/>
                <w:sz w:val="16"/>
                <w:szCs w:val="16"/>
              </w:rPr>
            </w:pPr>
          </w:p>
        </w:tc>
        <w:tc>
          <w:tcPr>
            <w:tcW w:w="1227" w:type="dxa"/>
          </w:tcPr>
          <w:p w14:paraId="1A0D0AB5" w14:textId="77777777" w:rsidR="00531570" w:rsidRPr="00D03F3E" w:rsidRDefault="00531570" w:rsidP="00D03F3E">
            <w:pPr>
              <w:pStyle w:val="Iauiue"/>
              <w:jc w:val="both"/>
              <w:rPr>
                <w:color w:val="000000" w:themeColor="text1"/>
                <w:sz w:val="16"/>
                <w:szCs w:val="16"/>
              </w:rPr>
            </w:pPr>
          </w:p>
        </w:tc>
        <w:tc>
          <w:tcPr>
            <w:tcW w:w="1465" w:type="dxa"/>
          </w:tcPr>
          <w:p w14:paraId="0160842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расчетные</w:t>
            </w:r>
          </w:p>
        </w:tc>
      </w:tr>
      <w:tr w:rsidR="00860B4B" w:rsidRPr="00D03F3E" w14:paraId="0D8E6A6A" w14:textId="77777777">
        <w:tc>
          <w:tcPr>
            <w:tcW w:w="1951" w:type="dxa"/>
          </w:tcPr>
          <w:p w14:paraId="77DE777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Ла-5</w:t>
            </w:r>
          </w:p>
        </w:tc>
        <w:tc>
          <w:tcPr>
            <w:tcW w:w="1089" w:type="dxa"/>
          </w:tcPr>
          <w:p w14:paraId="2C9901A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М-71</w:t>
            </w:r>
          </w:p>
        </w:tc>
        <w:tc>
          <w:tcPr>
            <w:tcW w:w="739" w:type="dxa"/>
          </w:tcPr>
          <w:p w14:paraId="04E0D77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3550</w:t>
            </w:r>
          </w:p>
        </w:tc>
        <w:tc>
          <w:tcPr>
            <w:tcW w:w="739" w:type="dxa"/>
          </w:tcPr>
          <w:p w14:paraId="40B6660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345</w:t>
            </w:r>
          </w:p>
        </w:tc>
        <w:tc>
          <w:tcPr>
            <w:tcW w:w="739" w:type="dxa"/>
          </w:tcPr>
          <w:p w14:paraId="307572D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345</w:t>
            </w:r>
          </w:p>
        </w:tc>
        <w:tc>
          <w:tcPr>
            <w:tcW w:w="947" w:type="dxa"/>
          </w:tcPr>
          <w:p w14:paraId="24C44AF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590</w:t>
            </w:r>
          </w:p>
        </w:tc>
        <w:tc>
          <w:tcPr>
            <w:tcW w:w="850" w:type="dxa"/>
          </w:tcPr>
          <w:p w14:paraId="197CFF4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510</w:t>
            </w:r>
          </w:p>
        </w:tc>
        <w:tc>
          <w:tcPr>
            <w:tcW w:w="851" w:type="dxa"/>
          </w:tcPr>
          <w:p w14:paraId="6B5967C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870</w:t>
            </w:r>
          </w:p>
        </w:tc>
        <w:tc>
          <w:tcPr>
            <w:tcW w:w="1227" w:type="dxa"/>
          </w:tcPr>
          <w:p w14:paraId="5FEF579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w:t>
            </w:r>
          </w:p>
        </w:tc>
        <w:tc>
          <w:tcPr>
            <w:tcW w:w="1465" w:type="dxa"/>
          </w:tcPr>
          <w:p w14:paraId="7BFF55E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То же</w:t>
            </w:r>
          </w:p>
        </w:tc>
      </w:tr>
      <w:tr w:rsidR="00860B4B" w:rsidRPr="00D03F3E" w14:paraId="0760F12D" w14:textId="77777777">
        <w:tc>
          <w:tcPr>
            <w:tcW w:w="1951" w:type="dxa"/>
          </w:tcPr>
          <w:p w14:paraId="2B9517A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Фокке</w:t>
            </w:r>
          </w:p>
        </w:tc>
        <w:tc>
          <w:tcPr>
            <w:tcW w:w="1089" w:type="dxa"/>
          </w:tcPr>
          <w:p w14:paraId="11BA70B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BMW-801</w:t>
            </w:r>
          </w:p>
        </w:tc>
        <w:tc>
          <w:tcPr>
            <w:tcW w:w="739" w:type="dxa"/>
          </w:tcPr>
          <w:p w14:paraId="3883C62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3900</w:t>
            </w:r>
          </w:p>
        </w:tc>
        <w:tc>
          <w:tcPr>
            <w:tcW w:w="739" w:type="dxa"/>
          </w:tcPr>
          <w:p w14:paraId="325652B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394</w:t>
            </w:r>
          </w:p>
        </w:tc>
        <w:tc>
          <w:tcPr>
            <w:tcW w:w="739" w:type="dxa"/>
          </w:tcPr>
          <w:p w14:paraId="34AFE9F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378</w:t>
            </w:r>
          </w:p>
        </w:tc>
        <w:tc>
          <w:tcPr>
            <w:tcW w:w="947" w:type="dxa"/>
          </w:tcPr>
          <w:p w14:paraId="5BAF2DA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850" w:type="dxa"/>
          </w:tcPr>
          <w:p w14:paraId="6A781F3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552</w:t>
            </w:r>
          </w:p>
        </w:tc>
        <w:tc>
          <w:tcPr>
            <w:tcW w:w="851" w:type="dxa"/>
          </w:tcPr>
          <w:p w14:paraId="1D53356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930</w:t>
            </w:r>
          </w:p>
        </w:tc>
        <w:tc>
          <w:tcPr>
            <w:tcW w:w="1227" w:type="dxa"/>
          </w:tcPr>
          <w:p w14:paraId="1C33E2B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2,5</w:t>
            </w:r>
          </w:p>
        </w:tc>
        <w:tc>
          <w:tcPr>
            <w:tcW w:w="1465" w:type="dxa"/>
          </w:tcPr>
          <w:p w14:paraId="0D8D78D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То же</w:t>
            </w:r>
          </w:p>
        </w:tc>
      </w:tr>
      <w:tr w:rsidR="00860B4B" w:rsidRPr="00D03F3E" w14:paraId="475E09CB" w14:textId="77777777">
        <w:tc>
          <w:tcPr>
            <w:tcW w:w="1951" w:type="dxa"/>
          </w:tcPr>
          <w:p w14:paraId="2D10F98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Вульф 190</w:t>
            </w:r>
          </w:p>
        </w:tc>
        <w:tc>
          <w:tcPr>
            <w:tcW w:w="1089" w:type="dxa"/>
          </w:tcPr>
          <w:p w14:paraId="7F409F81" w14:textId="77777777" w:rsidR="00531570" w:rsidRPr="00D03F3E" w:rsidRDefault="00531570" w:rsidP="00D03F3E">
            <w:pPr>
              <w:pStyle w:val="Iauiue"/>
              <w:jc w:val="both"/>
              <w:rPr>
                <w:color w:val="000000" w:themeColor="text1"/>
                <w:sz w:val="16"/>
                <w:szCs w:val="16"/>
              </w:rPr>
            </w:pPr>
          </w:p>
        </w:tc>
        <w:tc>
          <w:tcPr>
            <w:tcW w:w="739" w:type="dxa"/>
          </w:tcPr>
          <w:p w14:paraId="6D34094D" w14:textId="77777777" w:rsidR="00531570" w:rsidRPr="00D03F3E" w:rsidRDefault="00531570" w:rsidP="00D03F3E">
            <w:pPr>
              <w:pStyle w:val="Iauiue"/>
              <w:jc w:val="both"/>
              <w:rPr>
                <w:color w:val="000000" w:themeColor="text1"/>
                <w:sz w:val="16"/>
                <w:szCs w:val="16"/>
              </w:rPr>
            </w:pPr>
          </w:p>
        </w:tc>
        <w:tc>
          <w:tcPr>
            <w:tcW w:w="739" w:type="dxa"/>
          </w:tcPr>
          <w:p w14:paraId="0055CF7B" w14:textId="77777777" w:rsidR="00531570" w:rsidRPr="00D03F3E" w:rsidRDefault="00531570" w:rsidP="00D03F3E">
            <w:pPr>
              <w:pStyle w:val="Iauiue"/>
              <w:jc w:val="both"/>
              <w:rPr>
                <w:color w:val="000000" w:themeColor="text1"/>
                <w:sz w:val="16"/>
                <w:szCs w:val="16"/>
              </w:rPr>
            </w:pPr>
          </w:p>
        </w:tc>
        <w:tc>
          <w:tcPr>
            <w:tcW w:w="739" w:type="dxa"/>
          </w:tcPr>
          <w:p w14:paraId="77054293" w14:textId="77777777" w:rsidR="00531570" w:rsidRPr="00D03F3E" w:rsidRDefault="00531570" w:rsidP="00D03F3E">
            <w:pPr>
              <w:pStyle w:val="Iauiue"/>
              <w:jc w:val="both"/>
              <w:rPr>
                <w:color w:val="000000" w:themeColor="text1"/>
                <w:sz w:val="16"/>
                <w:szCs w:val="16"/>
              </w:rPr>
            </w:pPr>
          </w:p>
        </w:tc>
        <w:tc>
          <w:tcPr>
            <w:tcW w:w="947" w:type="dxa"/>
          </w:tcPr>
          <w:p w14:paraId="1FD7F7A5" w14:textId="77777777" w:rsidR="00531570" w:rsidRPr="00D03F3E" w:rsidRDefault="00531570" w:rsidP="00D03F3E">
            <w:pPr>
              <w:pStyle w:val="Iauiue"/>
              <w:jc w:val="both"/>
              <w:rPr>
                <w:color w:val="000000" w:themeColor="text1"/>
                <w:sz w:val="16"/>
                <w:szCs w:val="16"/>
              </w:rPr>
            </w:pPr>
          </w:p>
        </w:tc>
        <w:tc>
          <w:tcPr>
            <w:tcW w:w="850" w:type="dxa"/>
          </w:tcPr>
          <w:p w14:paraId="3B442891" w14:textId="77777777" w:rsidR="00531570" w:rsidRPr="00D03F3E" w:rsidRDefault="00531570" w:rsidP="00D03F3E">
            <w:pPr>
              <w:pStyle w:val="Iauiue"/>
              <w:jc w:val="both"/>
              <w:rPr>
                <w:color w:val="000000" w:themeColor="text1"/>
                <w:sz w:val="16"/>
                <w:szCs w:val="16"/>
              </w:rPr>
            </w:pPr>
          </w:p>
        </w:tc>
        <w:tc>
          <w:tcPr>
            <w:tcW w:w="851" w:type="dxa"/>
          </w:tcPr>
          <w:p w14:paraId="40D52249" w14:textId="77777777" w:rsidR="00531570" w:rsidRPr="00D03F3E" w:rsidRDefault="00531570" w:rsidP="00D03F3E">
            <w:pPr>
              <w:pStyle w:val="Iauiue"/>
              <w:jc w:val="both"/>
              <w:rPr>
                <w:color w:val="000000" w:themeColor="text1"/>
                <w:sz w:val="16"/>
                <w:szCs w:val="16"/>
              </w:rPr>
            </w:pPr>
          </w:p>
        </w:tc>
        <w:tc>
          <w:tcPr>
            <w:tcW w:w="1227" w:type="dxa"/>
          </w:tcPr>
          <w:p w14:paraId="4B911BAB" w14:textId="77777777" w:rsidR="00531570" w:rsidRPr="00D03F3E" w:rsidRDefault="00531570" w:rsidP="00D03F3E">
            <w:pPr>
              <w:pStyle w:val="Iauiue"/>
              <w:jc w:val="both"/>
              <w:rPr>
                <w:color w:val="000000" w:themeColor="text1"/>
                <w:sz w:val="16"/>
                <w:szCs w:val="16"/>
              </w:rPr>
            </w:pPr>
          </w:p>
        </w:tc>
        <w:tc>
          <w:tcPr>
            <w:tcW w:w="1465" w:type="dxa"/>
          </w:tcPr>
          <w:p w14:paraId="18DF3E19" w14:textId="77777777" w:rsidR="00531570" w:rsidRPr="00D03F3E" w:rsidRDefault="00531570" w:rsidP="00D03F3E">
            <w:pPr>
              <w:pStyle w:val="Iauiue"/>
              <w:jc w:val="both"/>
              <w:rPr>
                <w:color w:val="000000" w:themeColor="text1"/>
                <w:sz w:val="16"/>
                <w:szCs w:val="16"/>
              </w:rPr>
            </w:pPr>
          </w:p>
        </w:tc>
      </w:tr>
      <w:tr w:rsidR="00860B4B" w:rsidRPr="00D03F3E" w14:paraId="3ED4ED54" w14:textId="77777777">
        <w:tc>
          <w:tcPr>
            <w:tcW w:w="1951" w:type="dxa"/>
          </w:tcPr>
          <w:p w14:paraId="7DAA79D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Мессер.</w:t>
            </w:r>
          </w:p>
        </w:tc>
        <w:tc>
          <w:tcPr>
            <w:tcW w:w="1089" w:type="dxa"/>
          </w:tcPr>
          <w:p w14:paraId="10126B0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ДВ 605А1</w:t>
            </w:r>
          </w:p>
        </w:tc>
        <w:tc>
          <w:tcPr>
            <w:tcW w:w="739" w:type="dxa"/>
          </w:tcPr>
          <w:p w14:paraId="2D9FDD1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3235</w:t>
            </w:r>
          </w:p>
        </w:tc>
        <w:tc>
          <w:tcPr>
            <w:tcW w:w="739" w:type="dxa"/>
          </w:tcPr>
          <w:p w14:paraId="68F2232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w:t>
            </w:r>
          </w:p>
        </w:tc>
        <w:tc>
          <w:tcPr>
            <w:tcW w:w="739" w:type="dxa"/>
          </w:tcPr>
          <w:p w14:paraId="2C3C9BC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300</w:t>
            </w:r>
          </w:p>
        </w:tc>
        <w:tc>
          <w:tcPr>
            <w:tcW w:w="947" w:type="dxa"/>
          </w:tcPr>
          <w:p w14:paraId="2C3071F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570</w:t>
            </w:r>
          </w:p>
        </w:tc>
        <w:tc>
          <w:tcPr>
            <w:tcW w:w="850" w:type="dxa"/>
          </w:tcPr>
          <w:p w14:paraId="598FE5D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851" w:type="dxa"/>
          </w:tcPr>
          <w:p w14:paraId="007076C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780</w:t>
            </w:r>
          </w:p>
        </w:tc>
        <w:tc>
          <w:tcPr>
            <w:tcW w:w="1227" w:type="dxa"/>
          </w:tcPr>
          <w:p w14:paraId="75890FF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2,15</w:t>
            </w:r>
          </w:p>
        </w:tc>
        <w:tc>
          <w:tcPr>
            <w:tcW w:w="1465" w:type="dxa"/>
          </w:tcPr>
          <w:p w14:paraId="26379ED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То же</w:t>
            </w:r>
          </w:p>
        </w:tc>
      </w:tr>
      <w:tr w:rsidR="00860B4B" w:rsidRPr="00D03F3E" w14:paraId="546D8666" w14:textId="77777777">
        <w:tc>
          <w:tcPr>
            <w:tcW w:w="1951" w:type="dxa"/>
          </w:tcPr>
          <w:p w14:paraId="09A17FD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109G-2</w:t>
            </w:r>
          </w:p>
        </w:tc>
        <w:tc>
          <w:tcPr>
            <w:tcW w:w="1089" w:type="dxa"/>
          </w:tcPr>
          <w:p w14:paraId="13B22A28" w14:textId="77777777" w:rsidR="00531570" w:rsidRPr="00D03F3E" w:rsidRDefault="00531570" w:rsidP="00D03F3E">
            <w:pPr>
              <w:pStyle w:val="Iauiue"/>
              <w:jc w:val="both"/>
              <w:rPr>
                <w:color w:val="000000" w:themeColor="text1"/>
                <w:sz w:val="16"/>
                <w:szCs w:val="16"/>
              </w:rPr>
            </w:pPr>
          </w:p>
        </w:tc>
        <w:tc>
          <w:tcPr>
            <w:tcW w:w="739" w:type="dxa"/>
          </w:tcPr>
          <w:p w14:paraId="35080C36" w14:textId="77777777" w:rsidR="00531570" w:rsidRPr="00D03F3E" w:rsidRDefault="00531570" w:rsidP="00D03F3E">
            <w:pPr>
              <w:pStyle w:val="Iauiue"/>
              <w:jc w:val="both"/>
              <w:rPr>
                <w:color w:val="000000" w:themeColor="text1"/>
                <w:sz w:val="16"/>
                <w:szCs w:val="16"/>
              </w:rPr>
            </w:pPr>
          </w:p>
        </w:tc>
        <w:tc>
          <w:tcPr>
            <w:tcW w:w="739" w:type="dxa"/>
          </w:tcPr>
          <w:p w14:paraId="10C938A1" w14:textId="77777777" w:rsidR="00531570" w:rsidRPr="00D03F3E" w:rsidRDefault="00531570" w:rsidP="00D03F3E">
            <w:pPr>
              <w:pStyle w:val="Iauiue"/>
              <w:jc w:val="both"/>
              <w:rPr>
                <w:color w:val="000000" w:themeColor="text1"/>
                <w:sz w:val="16"/>
                <w:szCs w:val="16"/>
              </w:rPr>
            </w:pPr>
          </w:p>
        </w:tc>
        <w:tc>
          <w:tcPr>
            <w:tcW w:w="739" w:type="dxa"/>
          </w:tcPr>
          <w:p w14:paraId="128E3722" w14:textId="77777777" w:rsidR="00531570" w:rsidRPr="00D03F3E" w:rsidRDefault="00531570" w:rsidP="00D03F3E">
            <w:pPr>
              <w:pStyle w:val="Iauiue"/>
              <w:jc w:val="both"/>
              <w:rPr>
                <w:color w:val="000000" w:themeColor="text1"/>
                <w:sz w:val="16"/>
                <w:szCs w:val="16"/>
              </w:rPr>
            </w:pPr>
          </w:p>
        </w:tc>
        <w:tc>
          <w:tcPr>
            <w:tcW w:w="947" w:type="dxa"/>
          </w:tcPr>
          <w:p w14:paraId="74E5C121" w14:textId="77777777" w:rsidR="00531570" w:rsidRPr="00D03F3E" w:rsidRDefault="00531570" w:rsidP="00D03F3E">
            <w:pPr>
              <w:pStyle w:val="Iauiue"/>
              <w:jc w:val="both"/>
              <w:rPr>
                <w:color w:val="000000" w:themeColor="text1"/>
                <w:sz w:val="16"/>
                <w:szCs w:val="16"/>
              </w:rPr>
            </w:pPr>
          </w:p>
        </w:tc>
        <w:tc>
          <w:tcPr>
            <w:tcW w:w="850" w:type="dxa"/>
          </w:tcPr>
          <w:p w14:paraId="2D2F0E85" w14:textId="77777777" w:rsidR="00531570" w:rsidRPr="00D03F3E" w:rsidRDefault="00531570" w:rsidP="00D03F3E">
            <w:pPr>
              <w:pStyle w:val="Iauiue"/>
              <w:jc w:val="both"/>
              <w:rPr>
                <w:color w:val="000000" w:themeColor="text1"/>
                <w:sz w:val="16"/>
                <w:szCs w:val="16"/>
              </w:rPr>
            </w:pPr>
          </w:p>
        </w:tc>
        <w:tc>
          <w:tcPr>
            <w:tcW w:w="851" w:type="dxa"/>
          </w:tcPr>
          <w:p w14:paraId="014CBDCA" w14:textId="77777777" w:rsidR="00531570" w:rsidRPr="00D03F3E" w:rsidRDefault="00531570" w:rsidP="00D03F3E">
            <w:pPr>
              <w:pStyle w:val="Iauiue"/>
              <w:jc w:val="both"/>
              <w:rPr>
                <w:color w:val="000000" w:themeColor="text1"/>
                <w:sz w:val="16"/>
                <w:szCs w:val="16"/>
              </w:rPr>
            </w:pPr>
          </w:p>
        </w:tc>
        <w:tc>
          <w:tcPr>
            <w:tcW w:w="1227" w:type="dxa"/>
          </w:tcPr>
          <w:p w14:paraId="7819AE12" w14:textId="77777777" w:rsidR="00531570" w:rsidRPr="00D03F3E" w:rsidRDefault="00531570" w:rsidP="00D03F3E">
            <w:pPr>
              <w:pStyle w:val="Iauiue"/>
              <w:jc w:val="both"/>
              <w:rPr>
                <w:color w:val="000000" w:themeColor="text1"/>
                <w:sz w:val="16"/>
                <w:szCs w:val="16"/>
              </w:rPr>
            </w:pPr>
          </w:p>
        </w:tc>
        <w:tc>
          <w:tcPr>
            <w:tcW w:w="1465" w:type="dxa"/>
          </w:tcPr>
          <w:p w14:paraId="0C37D185" w14:textId="77777777" w:rsidR="00531570" w:rsidRPr="00D03F3E" w:rsidRDefault="00531570" w:rsidP="00D03F3E">
            <w:pPr>
              <w:pStyle w:val="Iauiue"/>
              <w:jc w:val="both"/>
              <w:rPr>
                <w:color w:val="000000" w:themeColor="text1"/>
                <w:sz w:val="16"/>
                <w:szCs w:val="16"/>
              </w:rPr>
            </w:pPr>
          </w:p>
        </w:tc>
      </w:tr>
      <w:tr w:rsidR="00860B4B" w:rsidRPr="00D03F3E" w14:paraId="79158A6F" w14:textId="77777777">
        <w:tc>
          <w:tcPr>
            <w:tcW w:w="1951" w:type="dxa"/>
          </w:tcPr>
          <w:p w14:paraId="08C9E1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Спитфайр Мерлин-45</w:t>
            </w:r>
          </w:p>
        </w:tc>
        <w:tc>
          <w:tcPr>
            <w:tcW w:w="1089" w:type="dxa"/>
          </w:tcPr>
          <w:p w14:paraId="43EC3582" w14:textId="77777777" w:rsidR="00531570" w:rsidRPr="00D03F3E" w:rsidRDefault="00531570" w:rsidP="00D03F3E">
            <w:pPr>
              <w:pStyle w:val="Iauiue"/>
              <w:jc w:val="both"/>
              <w:rPr>
                <w:color w:val="000000" w:themeColor="text1"/>
                <w:sz w:val="16"/>
                <w:szCs w:val="16"/>
              </w:rPr>
            </w:pPr>
          </w:p>
        </w:tc>
        <w:tc>
          <w:tcPr>
            <w:tcW w:w="739" w:type="dxa"/>
          </w:tcPr>
          <w:p w14:paraId="57CD86D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2900</w:t>
            </w:r>
          </w:p>
        </w:tc>
        <w:tc>
          <w:tcPr>
            <w:tcW w:w="739" w:type="dxa"/>
          </w:tcPr>
          <w:p w14:paraId="02BB561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292</w:t>
            </w:r>
          </w:p>
        </w:tc>
        <w:tc>
          <w:tcPr>
            <w:tcW w:w="739" w:type="dxa"/>
          </w:tcPr>
          <w:p w14:paraId="67E2F56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292</w:t>
            </w:r>
          </w:p>
        </w:tc>
        <w:tc>
          <w:tcPr>
            <w:tcW w:w="947" w:type="dxa"/>
          </w:tcPr>
          <w:p w14:paraId="08EDD8C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850" w:type="dxa"/>
          </w:tcPr>
          <w:p w14:paraId="27A1F8A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600</w:t>
            </w:r>
          </w:p>
        </w:tc>
        <w:tc>
          <w:tcPr>
            <w:tcW w:w="851" w:type="dxa"/>
          </w:tcPr>
          <w:p w14:paraId="0BCDC90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750</w:t>
            </w:r>
          </w:p>
        </w:tc>
        <w:tc>
          <w:tcPr>
            <w:tcW w:w="1227" w:type="dxa"/>
          </w:tcPr>
          <w:p w14:paraId="70A61CF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2,9</w:t>
            </w:r>
          </w:p>
        </w:tc>
        <w:tc>
          <w:tcPr>
            <w:tcW w:w="1465" w:type="dxa"/>
          </w:tcPr>
          <w:p w14:paraId="2FB2CAA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То же</w:t>
            </w:r>
          </w:p>
        </w:tc>
      </w:tr>
      <w:tr w:rsidR="00860B4B" w:rsidRPr="00D03F3E" w14:paraId="22FF0AE8" w14:textId="77777777">
        <w:tc>
          <w:tcPr>
            <w:tcW w:w="1951" w:type="dxa"/>
          </w:tcPr>
          <w:p w14:paraId="4A6CCAB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Харрикейн II Мерлин-20</w:t>
            </w:r>
          </w:p>
        </w:tc>
        <w:tc>
          <w:tcPr>
            <w:tcW w:w="1089" w:type="dxa"/>
          </w:tcPr>
          <w:p w14:paraId="4AAAD621" w14:textId="77777777" w:rsidR="00531570" w:rsidRPr="00D03F3E" w:rsidRDefault="00531570" w:rsidP="00D03F3E">
            <w:pPr>
              <w:pStyle w:val="Iauiue"/>
              <w:jc w:val="both"/>
              <w:rPr>
                <w:color w:val="000000" w:themeColor="text1"/>
                <w:sz w:val="16"/>
                <w:szCs w:val="16"/>
              </w:rPr>
            </w:pPr>
          </w:p>
        </w:tc>
        <w:tc>
          <w:tcPr>
            <w:tcW w:w="739" w:type="dxa"/>
          </w:tcPr>
          <w:p w14:paraId="16E59A8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3170</w:t>
            </w:r>
          </w:p>
        </w:tc>
        <w:tc>
          <w:tcPr>
            <w:tcW w:w="739" w:type="dxa"/>
          </w:tcPr>
          <w:p w14:paraId="01665ED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307</w:t>
            </w:r>
          </w:p>
        </w:tc>
        <w:tc>
          <w:tcPr>
            <w:tcW w:w="739" w:type="dxa"/>
          </w:tcPr>
          <w:p w14:paraId="4F5185F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307</w:t>
            </w:r>
          </w:p>
        </w:tc>
        <w:tc>
          <w:tcPr>
            <w:tcW w:w="947" w:type="dxa"/>
          </w:tcPr>
          <w:p w14:paraId="058C69F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580</w:t>
            </w:r>
          </w:p>
        </w:tc>
        <w:tc>
          <w:tcPr>
            <w:tcW w:w="850" w:type="dxa"/>
          </w:tcPr>
          <w:p w14:paraId="76C9C78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680</w:t>
            </w:r>
          </w:p>
        </w:tc>
        <w:tc>
          <w:tcPr>
            <w:tcW w:w="851" w:type="dxa"/>
          </w:tcPr>
          <w:p w14:paraId="35F8529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870</w:t>
            </w:r>
          </w:p>
        </w:tc>
        <w:tc>
          <w:tcPr>
            <w:tcW w:w="1227" w:type="dxa"/>
          </w:tcPr>
          <w:p w14:paraId="128669D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3,5</w:t>
            </w:r>
          </w:p>
        </w:tc>
        <w:tc>
          <w:tcPr>
            <w:tcW w:w="1465" w:type="dxa"/>
          </w:tcPr>
          <w:p w14:paraId="4996386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Цифры</w:t>
            </w:r>
          </w:p>
        </w:tc>
      </w:tr>
      <w:tr w:rsidR="00860B4B" w:rsidRPr="00D03F3E" w14:paraId="60B0B321" w14:textId="77777777">
        <w:tc>
          <w:tcPr>
            <w:tcW w:w="1951" w:type="dxa"/>
          </w:tcPr>
          <w:p w14:paraId="2D523C4D" w14:textId="77777777" w:rsidR="00531570" w:rsidRPr="00D03F3E" w:rsidRDefault="00531570" w:rsidP="00D03F3E">
            <w:pPr>
              <w:pStyle w:val="Iauiue"/>
              <w:jc w:val="both"/>
              <w:rPr>
                <w:color w:val="000000" w:themeColor="text1"/>
                <w:sz w:val="16"/>
                <w:szCs w:val="16"/>
              </w:rPr>
            </w:pPr>
          </w:p>
        </w:tc>
        <w:tc>
          <w:tcPr>
            <w:tcW w:w="1089" w:type="dxa"/>
          </w:tcPr>
          <w:p w14:paraId="46E01D87" w14:textId="77777777" w:rsidR="00531570" w:rsidRPr="00D03F3E" w:rsidRDefault="00531570" w:rsidP="00D03F3E">
            <w:pPr>
              <w:pStyle w:val="Iauiue"/>
              <w:jc w:val="both"/>
              <w:rPr>
                <w:color w:val="000000" w:themeColor="text1"/>
                <w:sz w:val="16"/>
                <w:szCs w:val="16"/>
              </w:rPr>
            </w:pPr>
          </w:p>
        </w:tc>
        <w:tc>
          <w:tcPr>
            <w:tcW w:w="739" w:type="dxa"/>
          </w:tcPr>
          <w:p w14:paraId="1ED9AFCB" w14:textId="77777777" w:rsidR="00531570" w:rsidRPr="00D03F3E" w:rsidRDefault="00531570" w:rsidP="00D03F3E">
            <w:pPr>
              <w:pStyle w:val="Iauiue"/>
              <w:jc w:val="both"/>
              <w:rPr>
                <w:color w:val="000000" w:themeColor="text1"/>
                <w:sz w:val="16"/>
                <w:szCs w:val="16"/>
              </w:rPr>
            </w:pPr>
          </w:p>
        </w:tc>
        <w:tc>
          <w:tcPr>
            <w:tcW w:w="739" w:type="dxa"/>
          </w:tcPr>
          <w:p w14:paraId="2039B9DE" w14:textId="77777777" w:rsidR="00531570" w:rsidRPr="00D03F3E" w:rsidRDefault="00531570" w:rsidP="00D03F3E">
            <w:pPr>
              <w:pStyle w:val="Iauiue"/>
              <w:jc w:val="both"/>
              <w:rPr>
                <w:color w:val="000000" w:themeColor="text1"/>
                <w:sz w:val="16"/>
                <w:szCs w:val="16"/>
              </w:rPr>
            </w:pPr>
          </w:p>
        </w:tc>
        <w:tc>
          <w:tcPr>
            <w:tcW w:w="739" w:type="dxa"/>
          </w:tcPr>
          <w:p w14:paraId="619C3930" w14:textId="77777777" w:rsidR="00531570" w:rsidRPr="00D03F3E" w:rsidRDefault="00531570" w:rsidP="00D03F3E">
            <w:pPr>
              <w:pStyle w:val="Iauiue"/>
              <w:jc w:val="both"/>
              <w:rPr>
                <w:color w:val="000000" w:themeColor="text1"/>
                <w:sz w:val="16"/>
                <w:szCs w:val="16"/>
              </w:rPr>
            </w:pPr>
          </w:p>
        </w:tc>
        <w:tc>
          <w:tcPr>
            <w:tcW w:w="947" w:type="dxa"/>
          </w:tcPr>
          <w:p w14:paraId="414AC17A" w14:textId="77777777" w:rsidR="00531570" w:rsidRPr="00D03F3E" w:rsidRDefault="00531570" w:rsidP="00D03F3E">
            <w:pPr>
              <w:pStyle w:val="Iauiue"/>
              <w:jc w:val="both"/>
              <w:rPr>
                <w:color w:val="000000" w:themeColor="text1"/>
                <w:sz w:val="16"/>
                <w:szCs w:val="16"/>
              </w:rPr>
            </w:pPr>
          </w:p>
        </w:tc>
        <w:tc>
          <w:tcPr>
            <w:tcW w:w="850" w:type="dxa"/>
          </w:tcPr>
          <w:p w14:paraId="6BED3365" w14:textId="77777777" w:rsidR="00531570" w:rsidRPr="00D03F3E" w:rsidRDefault="00531570" w:rsidP="00D03F3E">
            <w:pPr>
              <w:pStyle w:val="Iauiue"/>
              <w:jc w:val="both"/>
              <w:rPr>
                <w:color w:val="000000" w:themeColor="text1"/>
                <w:sz w:val="16"/>
                <w:szCs w:val="16"/>
              </w:rPr>
            </w:pPr>
          </w:p>
        </w:tc>
        <w:tc>
          <w:tcPr>
            <w:tcW w:w="851" w:type="dxa"/>
          </w:tcPr>
          <w:p w14:paraId="05D98DE0" w14:textId="77777777" w:rsidR="00531570" w:rsidRPr="00D03F3E" w:rsidRDefault="00531570" w:rsidP="00D03F3E">
            <w:pPr>
              <w:pStyle w:val="Iauiue"/>
              <w:jc w:val="both"/>
              <w:rPr>
                <w:color w:val="000000" w:themeColor="text1"/>
                <w:sz w:val="16"/>
                <w:szCs w:val="16"/>
              </w:rPr>
            </w:pPr>
          </w:p>
        </w:tc>
        <w:tc>
          <w:tcPr>
            <w:tcW w:w="1227" w:type="dxa"/>
          </w:tcPr>
          <w:p w14:paraId="0624784F" w14:textId="77777777" w:rsidR="00531570" w:rsidRPr="00D03F3E" w:rsidRDefault="00531570" w:rsidP="00D03F3E">
            <w:pPr>
              <w:pStyle w:val="Iauiue"/>
              <w:jc w:val="both"/>
              <w:rPr>
                <w:color w:val="000000" w:themeColor="text1"/>
                <w:sz w:val="16"/>
                <w:szCs w:val="16"/>
              </w:rPr>
            </w:pPr>
          </w:p>
        </w:tc>
        <w:tc>
          <w:tcPr>
            <w:tcW w:w="1465" w:type="dxa"/>
          </w:tcPr>
          <w:p w14:paraId="40282F7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дальности </w:t>
            </w:r>
          </w:p>
        </w:tc>
      </w:tr>
      <w:tr w:rsidR="00860B4B" w:rsidRPr="00D03F3E" w14:paraId="1915439B" w14:textId="77777777">
        <w:tc>
          <w:tcPr>
            <w:tcW w:w="1951" w:type="dxa"/>
          </w:tcPr>
          <w:p w14:paraId="75D4D1DA" w14:textId="77777777" w:rsidR="00531570" w:rsidRPr="00D03F3E" w:rsidRDefault="00531570" w:rsidP="00D03F3E">
            <w:pPr>
              <w:pStyle w:val="Iauiue"/>
              <w:jc w:val="both"/>
              <w:rPr>
                <w:color w:val="000000" w:themeColor="text1"/>
                <w:sz w:val="16"/>
                <w:szCs w:val="16"/>
              </w:rPr>
            </w:pPr>
          </w:p>
        </w:tc>
        <w:tc>
          <w:tcPr>
            <w:tcW w:w="1089" w:type="dxa"/>
          </w:tcPr>
          <w:p w14:paraId="0083825F" w14:textId="77777777" w:rsidR="00531570" w:rsidRPr="00D03F3E" w:rsidRDefault="00531570" w:rsidP="00D03F3E">
            <w:pPr>
              <w:pStyle w:val="Iauiue"/>
              <w:jc w:val="both"/>
              <w:rPr>
                <w:color w:val="000000" w:themeColor="text1"/>
                <w:sz w:val="16"/>
                <w:szCs w:val="16"/>
              </w:rPr>
            </w:pPr>
          </w:p>
        </w:tc>
        <w:tc>
          <w:tcPr>
            <w:tcW w:w="739" w:type="dxa"/>
          </w:tcPr>
          <w:p w14:paraId="502D38D3" w14:textId="77777777" w:rsidR="00531570" w:rsidRPr="00D03F3E" w:rsidRDefault="00531570" w:rsidP="00D03F3E">
            <w:pPr>
              <w:pStyle w:val="Iauiue"/>
              <w:jc w:val="both"/>
              <w:rPr>
                <w:color w:val="000000" w:themeColor="text1"/>
                <w:sz w:val="16"/>
                <w:szCs w:val="16"/>
              </w:rPr>
            </w:pPr>
          </w:p>
        </w:tc>
        <w:tc>
          <w:tcPr>
            <w:tcW w:w="739" w:type="dxa"/>
          </w:tcPr>
          <w:p w14:paraId="71E9C6F9" w14:textId="77777777" w:rsidR="00531570" w:rsidRPr="00D03F3E" w:rsidRDefault="00531570" w:rsidP="00D03F3E">
            <w:pPr>
              <w:pStyle w:val="Iauiue"/>
              <w:jc w:val="both"/>
              <w:rPr>
                <w:color w:val="000000" w:themeColor="text1"/>
                <w:sz w:val="16"/>
                <w:szCs w:val="16"/>
              </w:rPr>
            </w:pPr>
          </w:p>
        </w:tc>
        <w:tc>
          <w:tcPr>
            <w:tcW w:w="739" w:type="dxa"/>
          </w:tcPr>
          <w:p w14:paraId="30833F56" w14:textId="77777777" w:rsidR="00531570" w:rsidRPr="00D03F3E" w:rsidRDefault="00531570" w:rsidP="00D03F3E">
            <w:pPr>
              <w:pStyle w:val="Iauiue"/>
              <w:jc w:val="both"/>
              <w:rPr>
                <w:color w:val="000000" w:themeColor="text1"/>
                <w:sz w:val="16"/>
                <w:szCs w:val="16"/>
              </w:rPr>
            </w:pPr>
          </w:p>
        </w:tc>
        <w:tc>
          <w:tcPr>
            <w:tcW w:w="947" w:type="dxa"/>
          </w:tcPr>
          <w:p w14:paraId="362189E7" w14:textId="77777777" w:rsidR="00531570" w:rsidRPr="00D03F3E" w:rsidRDefault="00531570" w:rsidP="00D03F3E">
            <w:pPr>
              <w:pStyle w:val="Iauiue"/>
              <w:jc w:val="both"/>
              <w:rPr>
                <w:color w:val="000000" w:themeColor="text1"/>
                <w:sz w:val="16"/>
                <w:szCs w:val="16"/>
              </w:rPr>
            </w:pPr>
          </w:p>
        </w:tc>
        <w:tc>
          <w:tcPr>
            <w:tcW w:w="850" w:type="dxa"/>
          </w:tcPr>
          <w:p w14:paraId="3FB43D95" w14:textId="77777777" w:rsidR="00531570" w:rsidRPr="00D03F3E" w:rsidRDefault="00531570" w:rsidP="00D03F3E">
            <w:pPr>
              <w:pStyle w:val="Iauiue"/>
              <w:jc w:val="both"/>
              <w:rPr>
                <w:color w:val="000000" w:themeColor="text1"/>
                <w:sz w:val="16"/>
                <w:szCs w:val="16"/>
              </w:rPr>
            </w:pPr>
          </w:p>
        </w:tc>
        <w:tc>
          <w:tcPr>
            <w:tcW w:w="851" w:type="dxa"/>
          </w:tcPr>
          <w:p w14:paraId="00AB4EBB" w14:textId="77777777" w:rsidR="00531570" w:rsidRPr="00D03F3E" w:rsidRDefault="00531570" w:rsidP="00D03F3E">
            <w:pPr>
              <w:pStyle w:val="Iauiue"/>
              <w:jc w:val="both"/>
              <w:rPr>
                <w:color w:val="000000" w:themeColor="text1"/>
                <w:sz w:val="16"/>
                <w:szCs w:val="16"/>
              </w:rPr>
            </w:pPr>
          </w:p>
        </w:tc>
        <w:tc>
          <w:tcPr>
            <w:tcW w:w="1227" w:type="dxa"/>
          </w:tcPr>
          <w:p w14:paraId="46F807FE" w14:textId="77777777" w:rsidR="00531570" w:rsidRPr="00D03F3E" w:rsidRDefault="00531570" w:rsidP="00D03F3E">
            <w:pPr>
              <w:pStyle w:val="Iauiue"/>
              <w:jc w:val="both"/>
              <w:rPr>
                <w:color w:val="000000" w:themeColor="text1"/>
                <w:sz w:val="16"/>
                <w:szCs w:val="16"/>
              </w:rPr>
            </w:pPr>
          </w:p>
        </w:tc>
        <w:tc>
          <w:tcPr>
            <w:tcW w:w="1465" w:type="dxa"/>
          </w:tcPr>
          <w:p w14:paraId="34576D9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взяты из</w:t>
            </w:r>
          </w:p>
        </w:tc>
      </w:tr>
      <w:tr w:rsidR="00860B4B" w:rsidRPr="00D03F3E" w14:paraId="5677F849" w14:textId="77777777">
        <w:tc>
          <w:tcPr>
            <w:tcW w:w="1951" w:type="dxa"/>
          </w:tcPr>
          <w:p w14:paraId="5FCF58CA" w14:textId="77777777" w:rsidR="00531570" w:rsidRPr="00D03F3E" w:rsidRDefault="00531570" w:rsidP="00D03F3E">
            <w:pPr>
              <w:pStyle w:val="Iauiue"/>
              <w:jc w:val="both"/>
              <w:rPr>
                <w:color w:val="000000" w:themeColor="text1"/>
                <w:sz w:val="16"/>
                <w:szCs w:val="16"/>
              </w:rPr>
            </w:pPr>
          </w:p>
        </w:tc>
        <w:tc>
          <w:tcPr>
            <w:tcW w:w="1089" w:type="dxa"/>
          </w:tcPr>
          <w:p w14:paraId="308E222A" w14:textId="77777777" w:rsidR="00531570" w:rsidRPr="00D03F3E" w:rsidRDefault="00531570" w:rsidP="00D03F3E">
            <w:pPr>
              <w:pStyle w:val="Iauiue"/>
              <w:jc w:val="both"/>
              <w:rPr>
                <w:color w:val="000000" w:themeColor="text1"/>
                <w:sz w:val="16"/>
                <w:szCs w:val="16"/>
              </w:rPr>
            </w:pPr>
          </w:p>
        </w:tc>
        <w:tc>
          <w:tcPr>
            <w:tcW w:w="739" w:type="dxa"/>
          </w:tcPr>
          <w:p w14:paraId="57C1647F" w14:textId="77777777" w:rsidR="00531570" w:rsidRPr="00D03F3E" w:rsidRDefault="00531570" w:rsidP="00D03F3E">
            <w:pPr>
              <w:pStyle w:val="Iauiue"/>
              <w:jc w:val="both"/>
              <w:rPr>
                <w:color w:val="000000" w:themeColor="text1"/>
                <w:sz w:val="16"/>
                <w:szCs w:val="16"/>
              </w:rPr>
            </w:pPr>
          </w:p>
        </w:tc>
        <w:tc>
          <w:tcPr>
            <w:tcW w:w="739" w:type="dxa"/>
          </w:tcPr>
          <w:p w14:paraId="313941AA" w14:textId="77777777" w:rsidR="00531570" w:rsidRPr="00D03F3E" w:rsidRDefault="00531570" w:rsidP="00D03F3E">
            <w:pPr>
              <w:pStyle w:val="Iauiue"/>
              <w:jc w:val="both"/>
              <w:rPr>
                <w:color w:val="000000" w:themeColor="text1"/>
                <w:sz w:val="16"/>
                <w:szCs w:val="16"/>
              </w:rPr>
            </w:pPr>
          </w:p>
        </w:tc>
        <w:tc>
          <w:tcPr>
            <w:tcW w:w="739" w:type="dxa"/>
          </w:tcPr>
          <w:p w14:paraId="7C98F550" w14:textId="77777777" w:rsidR="00531570" w:rsidRPr="00D03F3E" w:rsidRDefault="00531570" w:rsidP="00D03F3E">
            <w:pPr>
              <w:pStyle w:val="Iauiue"/>
              <w:jc w:val="both"/>
              <w:rPr>
                <w:color w:val="000000" w:themeColor="text1"/>
                <w:sz w:val="16"/>
                <w:szCs w:val="16"/>
              </w:rPr>
            </w:pPr>
          </w:p>
        </w:tc>
        <w:tc>
          <w:tcPr>
            <w:tcW w:w="947" w:type="dxa"/>
          </w:tcPr>
          <w:p w14:paraId="1308071C" w14:textId="77777777" w:rsidR="00531570" w:rsidRPr="00D03F3E" w:rsidRDefault="00531570" w:rsidP="00D03F3E">
            <w:pPr>
              <w:pStyle w:val="Iauiue"/>
              <w:jc w:val="both"/>
              <w:rPr>
                <w:color w:val="000000" w:themeColor="text1"/>
                <w:sz w:val="16"/>
                <w:szCs w:val="16"/>
              </w:rPr>
            </w:pPr>
          </w:p>
        </w:tc>
        <w:tc>
          <w:tcPr>
            <w:tcW w:w="850" w:type="dxa"/>
          </w:tcPr>
          <w:p w14:paraId="36057931" w14:textId="77777777" w:rsidR="00531570" w:rsidRPr="00D03F3E" w:rsidRDefault="00531570" w:rsidP="00D03F3E">
            <w:pPr>
              <w:pStyle w:val="Iauiue"/>
              <w:jc w:val="both"/>
              <w:rPr>
                <w:color w:val="000000" w:themeColor="text1"/>
                <w:sz w:val="16"/>
                <w:szCs w:val="16"/>
              </w:rPr>
            </w:pPr>
          </w:p>
        </w:tc>
        <w:tc>
          <w:tcPr>
            <w:tcW w:w="851" w:type="dxa"/>
          </w:tcPr>
          <w:p w14:paraId="0B07133D" w14:textId="77777777" w:rsidR="00531570" w:rsidRPr="00D03F3E" w:rsidRDefault="00531570" w:rsidP="00D03F3E">
            <w:pPr>
              <w:pStyle w:val="Iauiue"/>
              <w:jc w:val="both"/>
              <w:rPr>
                <w:color w:val="000000" w:themeColor="text1"/>
                <w:sz w:val="16"/>
                <w:szCs w:val="16"/>
              </w:rPr>
            </w:pPr>
          </w:p>
        </w:tc>
        <w:tc>
          <w:tcPr>
            <w:tcW w:w="1227" w:type="dxa"/>
          </w:tcPr>
          <w:p w14:paraId="2979B4BF" w14:textId="77777777" w:rsidR="00531570" w:rsidRPr="00D03F3E" w:rsidRDefault="00531570" w:rsidP="00D03F3E">
            <w:pPr>
              <w:pStyle w:val="Iauiue"/>
              <w:jc w:val="both"/>
              <w:rPr>
                <w:color w:val="000000" w:themeColor="text1"/>
                <w:sz w:val="16"/>
                <w:szCs w:val="16"/>
              </w:rPr>
            </w:pPr>
          </w:p>
        </w:tc>
        <w:tc>
          <w:tcPr>
            <w:tcW w:w="1465" w:type="dxa"/>
          </w:tcPr>
          <w:p w14:paraId="3D17D5F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"Инструкции</w:t>
            </w:r>
          </w:p>
        </w:tc>
      </w:tr>
      <w:tr w:rsidR="00860B4B" w:rsidRPr="00D03F3E" w14:paraId="676A3A71" w14:textId="77777777">
        <w:tc>
          <w:tcPr>
            <w:tcW w:w="1951" w:type="dxa"/>
          </w:tcPr>
          <w:p w14:paraId="537CF205" w14:textId="77777777" w:rsidR="00531570" w:rsidRPr="00D03F3E" w:rsidRDefault="00531570" w:rsidP="00D03F3E">
            <w:pPr>
              <w:pStyle w:val="Iauiue"/>
              <w:jc w:val="both"/>
              <w:rPr>
                <w:color w:val="000000" w:themeColor="text1"/>
                <w:sz w:val="16"/>
                <w:szCs w:val="16"/>
              </w:rPr>
            </w:pPr>
          </w:p>
        </w:tc>
        <w:tc>
          <w:tcPr>
            <w:tcW w:w="1089" w:type="dxa"/>
          </w:tcPr>
          <w:p w14:paraId="7B5D7A10" w14:textId="77777777" w:rsidR="00531570" w:rsidRPr="00D03F3E" w:rsidRDefault="00531570" w:rsidP="00D03F3E">
            <w:pPr>
              <w:pStyle w:val="Iauiue"/>
              <w:jc w:val="both"/>
              <w:rPr>
                <w:color w:val="000000" w:themeColor="text1"/>
                <w:sz w:val="16"/>
                <w:szCs w:val="16"/>
              </w:rPr>
            </w:pPr>
          </w:p>
        </w:tc>
        <w:tc>
          <w:tcPr>
            <w:tcW w:w="739" w:type="dxa"/>
          </w:tcPr>
          <w:p w14:paraId="4C20A642" w14:textId="77777777" w:rsidR="00531570" w:rsidRPr="00D03F3E" w:rsidRDefault="00531570" w:rsidP="00D03F3E">
            <w:pPr>
              <w:pStyle w:val="Iauiue"/>
              <w:jc w:val="both"/>
              <w:rPr>
                <w:color w:val="000000" w:themeColor="text1"/>
                <w:sz w:val="16"/>
                <w:szCs w:val="16"/>
              </w:rPr>
            </w:pPr>
          </w:p>
        </w:tc>
        <w:tc>
          <w:tcPr>
            <w:tcW w:w="739" w:type="dxa"/>
          </w:tcPr>
          <w:p w14:paraId="1B9701ED" w14:textId="77777777" w:rsidR="00531570" w:rsidRPr="00D03F3E" w:rsidRDefault="00531570" w:rsidP="00D03F3E">
            <w:pPr>
              <w:pStyle w:val="Iauiue"/>
              <w:jc w:val="both"/>
              <w:rPr>
                <w:color w:val="000000" w:themeColor="text1"/>
                <w:sz w:val="16"/>
                <w:szCs w:val="16"/>
              </w:rPr>
            </w:pPr>
          </w:p>
        </w:tc>
        <w:tc>
          <w:tcPr>
            <w:tcW w:w="739" w:type="dxa"/>
          </w:tcPr>
          <w:p w14:paraId="0B31B3AC" w14:textId="77777777" w:rsidR="00531570" w:rsidRPr="00D03F3E" w:rsidRDefault="00531570" w:rsidP="00D03F3E">
            <w:pPr>
              <w:pStyle w:val="Iauiue"/>
              <w:jc w:val="both"/>
              <w:rPr>
                <w:color w:val="000000" w:themeColor="text1"/>
                <w:sz w:val="16"/>
                <w:szCs w:val="16"/>
              </w:rPr>
            </w:pPr>
          </w:p>
        </w:tc>
        <w:tc>
          <w:tcPr>
            <w:tcW w:w="947" w:type="dxa"/>
          </w:tcPr>
          <w:p w14:paraId="0CC68768" w14:textId="77777777" w:rsidR="00531570" w:rsidRPr="00D03F3E" w:rsidRDefault="00531570" w:rsidP="00D03F3E">
            <w:pPr>
              <w:pStyle w:val="Iauiue"/>
              <w:jc w:val="both"/>
              <w:rPr>
                <w:color w:val="000000" w:themeColor="text1"/>
                <w:sz w:val="16"/>
                <w:szCs w:val="16"/>
              </w:rPr>
            </w:pPr>
          </w:p>
        </w:tc>
        <w:tc>
          <w:tcPr>
            <w:tcW w:w="850" w:type="dxa"/>
          </w:tcPr>
          <w:p w14:paraId="374563EB" w14:textId="77777777" w:rsidR="00531570" w:rsidRPr="00D03F3E" w:rsidRDefault="00531570" w:rsidP="00D03F3E">
            <w:pPr>
              <w:pStyle w:val="Iauiue"/>
              <w:jc w:val="both"/>
              <w:rPr>
                <w:color w:val="000000" w:themeColor="text1"/>
                <w:sz w:val="16"/>
                <w:szCs w:val="16"/>
              </w:rPr>
            </w:pPr>
          </w:p>
        </w:tc>
        <w:tc>
          <w:tcPr>
            <w:tcW w:w="851" w:type="dxa"/>
          </w:tcPr>
          <w:p w14:paraId="7C16FE9E" w14:textId="77777777" w:rsidR="00531570" w:rsidRPr="00D03F3E" w:rsidRDefault="00531570" w:rsidP="00D03F3E">
            <w:pPr>
              <w:pStyle w:val="Iauiue"/>
              <w:jc w:val="both"/>
              <w:rPr>
                <w:color w:val="000000" w:themeColor="text1"/>
                <w:sz w:val="16"/>
                <w:szCs w:val="16"/>
              </w:rPr>
            </w:pPr>
          </w:p>
        </w:tc>
        <w:tc>
          <w:tcPr>
            <w:tcW w:w="1227" w:type="dxa"/>
          </w:tcPr>
          <w:p w14:paraId="1932E1D8" w14:textId="77777777" w:rsidR="00531570" w:rsidRPr="00D03F3E" w:rsidRDefault="00531570" w:rsidP="00D03F3E">
            <w:pPr>
              <w:pStyle w:val="Iauiue"/>
              <w:jc w:val="both"/>
              <w:rPr>
                <w:color w:val="000000" w:themeColor="text1"/>
                <w:sz w:val="16"/>
                <w:szCs w:val="16"/>
              </w:rPr>
            </w:pPr>
          </w:p>
        </w:tc>
        <w:tc>
          <w:tcPr>
            <w:tcW w:w="1465" w:type="dxa"/>
          </w:tcPr>
          <w:p w14:paraId="500EEB6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расчету</w:t>
            </w:r>
          </w:p>
        </w:tc>
      </w:tr>
      <w:tr w:rsidR="00860B4B" w:rsidRPr="00D03F3E" w14:paraId="7D99A7C9" w14:textId="77777777">
        <w:tc>
          <w:tcPr>
            <w:tcW w:w="1951" w:type="dxa"/>
          </w:tcPr>
          <w:p w14:paraId="7150E155" w14:textId="77777777" w:rsidR="00531570" w:rsidRPr="00D03F3E" w:rsidRDefault="00531570" w:rsidP="00D03F3E">
            <w:pPr>
              <w:pStyle w:val="Iauiue"/>
              <w:jc w:val="both"/>
              <w:rPr>
                <w:color w:val="000000" w:themeColor="text1"/>
                <w:sz w:val="16"/>
                <w:szCs w:val="16"/>
              </w:rPr>
            </w:pPr>
          </w:p>
        </w:tc>
        <w:tc>
          <w:tcPr>
            <w:tcW w:w="1089" w:type="dxa"/>
          </w:tcPr>
          <w:p w14:paraId="46E16361" w14:textId="77777777" w:rsidR="00531570" w:rsidRPr="00D03F3E" w:rsidRDefault="00531570" w:rsidP="00D03F3E">
            <w:pPr>
              <w:pStyle w:val="Iauiue"/>
              <w:jc w:val="both"/>
              <w:rPr>
                <w:color w:val="000000" w:themeColor="text1"/>
                <w:sz w:val="16"/>
                <w:szCs w:val="16"/>
              </w:rPr>
            </w:pPr>
          </w:p>
        </w:tc>
        <w:tc>
          <w:tcPr>
            <w:tcW w:w="739" w:type="dxa"/>
          </w:tcPr>
          <w:p w14:paraId="4FAE507C" w14:textId="77777777" w:rsidR="00531570" w:rsidRPr="00D03F3E" w:rsidRDefault="00531570" w:rsidP="00D03F3E">
            <w:pPr>
              <w:pStyle w:val="Iauiue"/>
              <w:jc w:val="both"/>
              <w:rPr>
                <w:color w:val="000000" w:themeColor="text1"/>
                <w:sz w:val="16"/>
                <w:szCs w:val="16"/>
              </w:rPr>
            </w:pPr>
          </w:p>
        </w:tc>
        <w:tc>
          <w:tcPr>
            <w:tcW w:w="739" w:type="dxa"/>
          </w:tcPr>
          <w:p w14:paraId="6D52937D" w14:textId="77777777" w:rsidR="00531570" w:rsidRPr="00D03F3E" w:rsidRDefault="00531570" w:rsidP="00D03F3E">
            <w:pPr>
              <w:pStyle w:val="Iauiue"/>
              <w:jc w:val="both"/>
              <w:rPr>
                <w:color w:val="000000" w:themeColor="text1"/>
                <w:sz w:val="16"/>
                <w:szCs w:val="16"/>
              </w:rPr>
            </w:pPr>
          </w:p>
        </w:tc>
        <w:tc>
          <w:tcPr>
            <w:tcW w:w="739" w:type="dxa"/>
          </w:tcPr>
          <w:p w14:paraId="13F11893" w14:textId="77777777" w:rsidR="00531570" w:rsidRPr="00D03F3E" w:rsidRDefault="00531570" w:rsidP="00D03F3E">
            <w:pPr>
              <w:pStyle w:val="Iauiue"/>
              <w:jc w:val="both"/>
              <w:rPr>
                <w:color w:val="000000" w:themeColor="text1"/>
                <w:sz w:val="16"/>
                <w:szCs w:val="16"/>
              </w:rPr>
            </w:pPr>
          </w:p>
        </w:tc>
        <w:tc>
          <w:tcPr>
            <w:tcW w:w="947" w:type="dxa"/>
          </w:tcPr>
          <w:p w14:paraId="2348841D" w14:textId="77777777" w:rsidR="00531570" w:rsidRPr="00D03F3E" w:rsidRDefault="00531570" w:rsidP="00D03F3E">
            <w:pPr>
              <w:pStyle w:val="Iauiue"/>
              <w:jc w:val="both"/>
              <w:rPr>
                <w:color w:val="000000" w:themeColor="text1"/>
                <w:sz w:val="16"/>
                <w:szCs w:val="16"/>
              </w:rPr>
            </w:pPr>
          </w:p>
        </w:tc>
        <w:tc>
          <w:tcPr>
            <w:tcW w:w="850" w:type="dxa"/>
          </w:tcPr>
          <w:p w14:paraId="300115AB" w14:textId="77777777" w:rsidR="00531570" w:rsidRPr="00D03F3E" w:rsidRDefault="00531570" w:rsidP="00D03F3E">
            <w:pPr>
              <w:pStyle w:val="Iauiue"/>
              <w:jc w:val="both"/>
              <w:rPr>
                <w:color w:val="000000" w:themeColor="text1"/>
                <w:sz w:val="16"/>
                <w:szCs w:val="16"/>
              </w:rPr>
            </w:pPr>
          </w:p>
        </w:tc>
        <w:tc>
          <w:tcPr>
            <w:tcW w:w="851" w:type="dxa"/>
          </w:tcPr>
          <w:p w14:paraId="34A8FF63" w14:textId="77777777" w:rsidR="00531570" w:rsidRPr="00D03F3E" w:rsidRDefault="00531570" w:rsidP="00D03F3E">
            <w:pPr>
              <w:pStyle w:val="Iauiue"/>
              <w:jc w:val="both"/>
              <w:rPr>
                <w:color w:val="000000" w:themeColor="text1"/>
                <w:sz w:val="16"/>
                <w:szCs w:val="16"/>
              </w:rPr>
            </w:pPr>
          </w:p>
        </w:tc>
        <w:tc>
          <w:tcPr>
            <w:tcW w:w="1227" w:type="dxa"/>
          </w:tcPr>
          <w:p w14:paraId="525A50A1" w14:textId="77777777" w:rsidR="00531570" w:rsidRPr="00D03F3E" w:rsidRDefault="00531570" w:rsidP="00D03F3E">
            <w:pPr>
              <w:pStyle w:val="Iauiue"/>
              <w:jc w:val="both"/>
              <w:rPr>
                <w:color w:val="000000" w:themeColor="text1"/>
                <w:sz w:val="16"/>
                <w:szCs w:val="16"/>
              </w:rPr>
            </w:pPr>
          </w:p>
        </w:tc>
        <w:tc>
          <w:tcPr>
            <w:tcW w:w="1465" w:type="dxa"/>
          </w:tcPr>
          <w:p w14:paraId="6DD41E4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дальности"</w:t>
            </w:r>
          </w:p>
        </w:tc>
      </w:tr>
      <w:tr w:rsidR="00860B4B" w:rsidRPr="00D03F3E" w14:paraId="05407642" w14:textId="77777777">
        <w:tc>
          <w:tcPr>
            <w:tcW w:w="1951" w:type="dxa"/>
          </w:tcPr>
          <w:p w14:paraId="0AC6B3BF" w14:textId="77777777" w:rsidR="00531570" w:rsidRPr="00D03F3E" w:rsidRDefault="00531570" w:rsidP="00D03F3E">
            <w:pPr>
              <w:pStyle w:val="Iauiue"/>
              <w:jc w:val="both"/>
              <w:rPr>
                <w:color w:val="000000" w:themeColor="text1"/>
                <w:sz w:val="16"/>
                <w:szCs w:val="16"/>
              </w:rPr>
            </w:pPr>
          </w:p>
        </w:tc>
        <w:tc>
          <w:tcPr>
            <w:tcW w:w="1089" w:type="dxa"/>
          </w:tcPr>
          <w:p w14:paraId="03EA6541" w14:textId="77777777" w:rsidR="00531570" w:rsidRPr="00D03F3E" w:rsidRDefault="00531570" w:rsidP="00D03F3E">
            <w:pPr>
              <w:pStyle w:val="Iauiue"/>
              <w:jc w:val="both"/>
              <w:rPr>
                <w:color w:val="000000" w:themeColor="text1"/>
                <w:sz w:val="16"/>
                <w:szCs w:val="16"/>
              </w:rPr>
            </w:pPr>
          </w:p>
        </w:tc>
        <w:tc>
          <w:tcPr>
            <w:tcW w:w="739" w:type="dxa"/>
          </w:tcPr>
          <w:p w14:paraId="523B314C" w14:textId="77777777" w:rsidR="00531570" w:rsidRPr="00D03F3E" w:rsidRDefault="00531570" w:rsidP="00D03F3E">
            <w:pPr>
              <w:pStyle w:val="Iauiue"/>
              <w:jc w:val="both"/>
              <w:rPr>
                <w:color w:val="000000" w:themeColor="text1"/>
                <w:sz w:val="16"/>
                <w:szCs w:val="16"/>
              </w:rPr>
            </w:pPr>
          </w:p>
        </w:tc>
        <w:tc>
          <w:tcPr>
            <w:tcW w:w="739" w:type="dxa"/>
          </w:tcPr>
          <w:p w14:paraId="43DF23C6" w14:textId="77777777" w:rsidR="00531570" w:rsidRPr="00D03F3E" w:rsidRDefault="00531570" w:rsidP="00D03F3E">
            <w:pPr>
              <w:pStyle w:val="Iauiue"/>
              <w:jc w:val="both"/>
              <w:rPr>
                <w:color w:val="000000" w:themeColor="text1"/>
                <w:sz w:val="16"/>
                <w:szCs w:val="16"/>
              </w:rPr>
            </w:pPr>
          </w:p>
        </w:tc>
        <w:tc>
          <w:tcPr>
            <w:tcW w:w="739" w:type="dxa"/>
          </w:tcPr>
          <w:p w14:paraId="626C43BC" w14:textId="77777777" w:rsidR="00531570" w:rsidRPr="00D03F3E" w:rsidRDefault="00531570" w:rsidP="00D03F3E">
            <w:pPr>
              <w:pStyle w:val="Iauiue"/>
              <w:jc w:val="both"/>
              <w:rPr>
                <w:color w:val="000000" w:themeColor="text1"/>
                <w:sz w:val="16"/>
                <w:szCs w:val="16"/>
              </w:rPr>
            </w:pPr>
          </w:p>
        </w:tc>
        <w:tc>
          <w:tcPr>
            <w:tcW w:w="947" w:type="dxa"/>
          </w:tcPr>
          <w:p w14:paraId="6E6F7735" w14:textId="77777777" w:rsidR="00531570" w:rsidRPr="00D03F3E" w:rsidRDefault="00531570" w:rsidP="00D03F3E">
            <w:pPr>
              <w:pStyle w:val="Iauiue"/>
              <w:jc w:val="both"/>
              <w:rPr>
                <w:color w:val="000000" w:themeColor="text1"/>
                <w:sz w:val="16"/>
                <w:szCs w:val="16"/>
              </w:rPr>
            </w:pPr>
          </w:p>
        </w:tc>
        <w:tc>
          <w:tcPr>
            <w:tcW w:w="850" w:type="dxa"/>
          </w:tcPr>
          <w:p w14:paraId="453D2C62" w14:textId="77777777" w:rsidR="00531570" w:rsidRPr="00D03F3E" w:rsidRDefault="00531570" w:rsidP="00D03F3E">
            <w:pPr>
              <w:pStyle w:val="Iauiue"/>
              <w:jc w:val="both"/>
              <w:rPr>
                <w:color w:val="000000" w:themeColor="text1"/>
                <w:sz w:val="16"/>
                <w:szCs w:val="16"/>
              </w:rPr>
            </w:pPr>
          </w:p>
        </w:tc>
        <w:tc>
          <w:tcPr>
            <w:tcW w:w="851" w:type="dxa"/>
          </w:tcPr>
          <w:p w14:paraId="56DC7674" w14:textId="77777777" w:rsidR="00531570" w:rsidRPr="00D03F3E" w:rsidRDefault="00531570" w:rsidP="00D03F3E">
            <w:pPr>
              <w:pStyle w:val="Iauiue"/>
              <w:jc w:val="both"/>
              <w:rPr>
                <w:color w:val="000000" w:themeColor="text1"/>
                <w:sz w:val="16"/>
                <w:szCs w:val="16"/>
              </w:rPr>
            </w:pPr>
          </w:p>
        </w:tc>
        <w:tc>
          <w:tcPr>
            <w:tcW w:w="1227" w:type="dxa"/>
          </w:tcPr>
          <w:p w14:paraId="62B92B96" w14:textId="77777777" w:rsidR="00531570" w:rsidRPr="00D03F3E" w:rsidRDefault="00531570" w:rsidP="00D03F3E">
            <w:pPr>
              <w:pStyle w:val="Iauiue"/>
              <w:jc w:val="both"/>
              <w:rPr>
                <w:color w:val="000000" w:themeColor="text1"/>
                <w:sz w:val="16"/>
                <w:szCs w:val="16"/>
              </w:rPr>
            </w:pPr>
          </w:p>
        </w:tc>
        <w:tc>
          <w:tcPr>
            <w:tcW w:w="1465" w:type="dxa"/>
          </w:tcPr>
          <w:p w14:paraId="74CA057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УВВС КА</w:t>
            </w:r>
          </w:p>
        </w:tc>
      </w:tr>
      <w:tr w:rsidR="00860B4B" w:rsidRPr="00D03F3E" w14:paraId="39BC7F98" w14:textId="77777777">
        <w:tc>
          <w:tcPr>
            <w:tcW w:w="1951" w:type="dxa"/>
          </w:tcPr>
          <w:p w14:paraId="1505752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Аэрокобра Аллисон</w:t>
            </w:r>
          </w:p>
        </w:tc>
        <w:tc>
          <w:tcPr>
            <w:tcW w:w="1089" w:type="dxa"/>
          </w:tcPr>
          <w:p w14:paraId="0D6C3555" w14:textId="77777777" w:rsidR="00531570" w:rsidRPr="00D03F3E" w:rsidRDefault="00531570" w:rsidP="00D03F3E">
            <w:pPr>
              <w:pStyle w:val="Iauiue"/>
              <w:jc w:val="both"/>
              <w:rPr>
                <w:color w:val="000000" w:themeColor="text1"/>
                <w:sz w:val="16"/>
                <w:szCs w:val="16"/>
              </w:rPr>
            </w:pPr>
          </w:p>
        </w:tc>
        <w:tc>
          <w:tcPr>
            <w:tcW w:w="739" w:type="dxa"/>
          </w:tcPr>
          <w:p w14:paraId="0B46C16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3520</w:t>
            </w:r>
          </w:p>
        </w:tc>
        <w:tc>
          <w:tcPr>
            <w:tcW w:w="739" w:type="dxa"/>
          </w:tcPr>
          <w:p w14:paraId="3475E60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335</w:t>
            </w:r>
          </w:p>
        </w:tc>
        <w:tc>
          <w:tcPr>
            <w:tcW w:w="739" w:type="dxa"/>
          </w:tcPr>
          <w:p w14:paraId="2A0780E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335</w:t>
            </w:r>
          </w:p>
        </w:tc>
        <w:tc>
          <w:tcPr>
            <w:tcW w:w="947" w:type="dxa"/>
          </w:tcPr>
          <w:p w14:paraId="7CE9D5C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640</w:t>
            </w:r>
          </w:p>
        </w:tc>
        <w:tc>
          <w:tcPr>
            <w:tcW w:w="850" w:type="dxa"/>
          </w:tcPr>
          <w:p w14:paraId="31BABFF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760</w:t>
            </w:r>
          </w:p>
        </w:tc>
        <w:tc>
          <w:tcPr>
            <w:tcW w:w="851" w:type="dxa"/>
          </w:tcPr>
          <w:p w14:paraId="6462E84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1100(6)</w:t>
            </w:r>
          </w:p>
        </w:tc>
        <w:tc>
          <w:tcPr>
            <w:tcW w:w="1227" w:type="dxa"/>
          </w:tcPr>
          <w:p w14:paraId="4176CB0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3,8</w:t>
            </w:r>
          </w:p>
        </w:tc>
        <w:tc>
          <w:tcPr>
            <w:tcW w:w="1465" w:type="dxa"/>
          </w:tcPr>
          <w:p w14:paraId="0558C64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То же</w:t>
            </w:r>
          </w:p>
        </w:tc>
      </w:tr>
      <w:tr w:rsidR="00860B4B" w:rsidRPr="00D03F3E" w14:paraId="4FF61E00" w14:textId="77777777">
        <w:tc>
          <w:tcPr>
            <w:tcW w:w="1951" w:type="dxa"/>
          </w:tcPr>
          <w:p w14:paraId="0F77BB3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V-1710-Е4</w:t>
            </w:r>
          </w:p>
        </w:tc>
        <w:tc>
          <w:tcPr>
            <w:tcW w:w="1089" w:type="dxa"/>
          </w:tcPr>
          <w:p w14:paraId="7F561461" w14:textId="77777777" w:rsidR="00531570" w:rsidRPr="00D03F3E" w:rsidRDefault="00531570" w:rsidP="00D03F3E">
            <w:pPr>
              <w:pStyle w:val="Iauiue"/>
              <w:jc w:val="both"/>
              <w:rPr>
                <w:color w:val="000000" w:themeColor="text1"/>
                <w:sz w:val="16"/>
                <w:szCs w:val="16"/>
              </w:rPr>
            </w:pPr>
          </w:p>
        </w:tc>
        <w:tc>
          <w:tcPr>
            <w:tcW w:w="739" w:type="dxa"/>
          </w:tcPr>
          <w:p w14:paraId="2458C08E" w14:textId="77777777" w:rsidR="00531570" w:rsidRPr="00D03F3E" w:rsidRDefault="00531570" w:rsidP="00D03F3E">
            <w:pPr>
              <w:pStyle w:val="Iauiue"/>
              <w:jc w:val="both"/>
              <w:rPr>
                <w:color w:val="000000" w:themeColor="text1"/>
                <w:sz w:val="16"/>
                <w:szCs w:val="16"/>
              </w:rPr>
            </w:pPr>
          </w:p>
        </w:tc>
        <w:tc>
          <w:tcPr>
            <w:tcW w:w="739" w:type="dxa"/>
          </w:tcPr>
          <w:p w14:paraId="7BDFD00A" w14:textId="77777777" w:rsidR="00531570" w:rsidRPr="00D03F3E" w:rsidRDefault="00531570" w:rsidP="00D03F3E">
            <w:pPr>
              <w:pStyle w:val="Iauiue"/>
              <w:jc w:val="both"/>
              <w:rPr>
                <w:color w:val="000000" w:themeColor="text1"/>
                <w:sz w:val="16"/>
                <w:szCs w:val="16"/>
              </w:rPr>
            </w:pPr>
          </w:p>
        </w:tc>
        <w:tc>
          <w:tcPr>
            <w:tcW w:w="739" w:type="dxa"/>
          </w:tcPr>
          <w:p w14:paraId="543D0246" w14:textId="77777777" w:rsidR="00531570" w:rsidRPr="00D03F3E" w:rsidRDefault="00531570" w:rsidP="00D03F3E">
            <w:pPr>
              <w:pStyle w:val="Iauiue"/>
              <w:jc w:val="both"/>
              <w:rPr>
                <w:color w:val="000000" w:themeColor="text1"/>
                <w:sz w:val="16"/>
                <w:szCs w:val="16"/>
              </w:rPr>
            </w:pPr>
          </w:p>
        </w:tc>
        <w:tc>
          <w:tcPr>
            <w:tcW w:w="947" w:type="dxa"/>
          </w:tcPr>
          <w:p w14:paraId="438D0DF9" w14:textId="77777777" w:rsidR="00531570" w:rsidRPr="00D03F3E" w:rsidRDefault="00531570" w:rsidP="00D03F3E">
            <w:pPr>
              <w:pStyle w:val="Iauiue"/>
              <w:jc w:val="both"/>
              <w:rPr>
                <w:color w:val="000000" w:themeColor="text1"/>
                <w:sz w:val="16"/>
                <w:szCs w:val="16"/>
              </w:rPr>
            </w:pPr>
          </w:p>
        </w:tc>
        <w:tc>
          <w:tcPr>
            <w:tcW w:w="850" w:type="dxa"/>
          </w:tcPr>
          <w:p w14:paraId="155DDB6E" w14:textId="77777777" w:rsidR="00531570" w:rsidRPr="00D03F3E" w:rsidRDefault="00531570" w:rsidP="00D03F3E">
            <w:pPr>
              <w:pStyle w:val="Iauiue"/>
              <w:jc w:val="both"/>
              <w:rPr>
                <w:color w:val="000000" w:themeColor="text1"/>
                <w:sz w:val="16"/>
                <w:szCs w:val="16"/>
              </w:rPr>
            </w:pPr>
          </w:p>
        </w:tc>
        <w:tc>
          <w:tcPr>
            <w:tcW w:w="851" w:type="dxa"/>
          </w:tcPr>
          <w:p w14:paraId="4CB7D9DC" w14:textId="77777777" w:rsidR="00531570" w:rsidRPr="00D03F3E" w:rsidRDefault="00531570" w:rsidP="00D03F3E">
            <w:pPr>
              <w:pStyle w:val="Iauiue"/>
              <w:jc w:val="both"/>
              <w:rPr>
                <w:color w:val="000000" w:themeColor="text1"/>
                <w:sz w:val="16"/>
                <w:szCs w:val="16"/>
              </w:rPr>
            </w:pPr>
          </w:p>
        </w:tc>
        <w:tc>
          <w:tcPr>
            <w:tcW w:w="1227" w:type="dxa"/>
          </w:tcPr>
          <w:p w14:paraId="442DB107" w14:textId="77777777" w:rsidR="00531570" w:rsidRPr="00D03F3E" w:rsidRDefault="00531570" w:rsidP="00D03F3E">
            <w:pPr>
              <w:pStyle w:val="Iauiue"/>
              <w:jc w:val="both"/>
              <w:rPr>
                <w:color w:val="000000" w:themeColor="text1"/>
                <w:sz w:val="16"/>
                <w:szCs w:val="16"/>
              </w:rPr>
            </w:pPr>
          </w:p>
        </w:tc>
        <w:tc>
          <w:tcPr>
            <w:tcW w:w="1465" w:type="dxa"/>
          </w:tcPr>
          <w:p w14:paraId="27ED26CC" w14:textId="77777777" w:rsidR="00531570" w:rsidRPr="00D03F3E" w:rsidRDefault="00531570" w:rsidP="00D03F3E">
            <w:pPr>
              <w:pStyle w:val="Iauiue"/>
              <w:jc w:val="both"/>
              <w:rPr>
                <w:color w:val="000000" w:themeColor="text1"/>
                <w:sz w:val="16"/>
                <w:szCs w:val="16"/>
              </w:rPr>
            </w:pPr>
          </w:p>
        </w:tc>
      </w:tr>
      <w:tr w:rsidR="00860B4B" w:rsidRPr="00D03F3E" w14:paraId="30730B3A" w14:textId="77777777">
        <w:tc>
          <w:tcPr>
            <w:tcW w:w="1951" w:type="dxa"/>
          </w:tcPr>
          <w:p w14:paraId="2FE9C13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Томагаук</w:t>
            </w:r>
          </w:p>
        </w:tc>
        <w:tc>
          <w:tcPr>
            <w:tcW w:w="1089" w:type="dxa"/>
          </w:tcPr>
          <w:p w14:paraId="35A52A7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Аллисон</w:t>
            </w:r>
          </w:p>
        </w:tc>
        <w:tc>
          <w:tcPr>
            <w:tcW w:w="739" w:type="dxa"/>
          </w:tcPr>
          <w:p w14:paraId="1C5A59B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3390</w:t>
            </w:r>
          </w:p>
        </w:tc>
        <w:tc>
          <w:tcPr>
            <w:tcW w:w="739" w:type="dxa"/>
          </w:tcPr>
          <w:p w14:paraId="5130967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426</w:t>
            </w:r>
          </w:p>
        </w:tc>
        <w:tc>
          <w:tcPr>
            <w:tcW w:w="739" w:type="dxa"/>
          </w:tcPr>
          <w:p w14:paraId="500892D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426</w:t>
            </w:r>
          </w:p>
        </w:tc>
        <w:tc>
          <w:tcPr>
            <w:tcW w:w="947" w:type="dxa"/>
          </w:tcPr>
          <w:p w14:paraId="73F7275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840</w:t>
            </w:r>
          </w:p>
        </w:tc>
        <w:tc>
          <w:tcPr>
            <w:tcW w:w="850" w:type="dxa"/>
          </w:tcPr>
          <w:p w14:paraId="6BADF70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1010</w:t>
            </w:r>
          </w:p>
        </w:tc>
        <w:tc>
          <w:tcPr>
            <w:tcW w:w="851" w:type="dxa"/>
          </w:tcPr>
          <w:p w14:paraId="0BEA6BB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1360(6)</w:t>
            </w:r>
          </w:p>
        </w:tc>
        <w:tc>
          <w:tcPr>
            <w:tcW w:w="1227" w:type="dxa"/>
          </w:tcPr>
          <w:p w14:paraId="3B33DAF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5,1</w:t>
            </w:r>
          </w:p>
        </w:tc>
        <w:tc>
          <w:tcPr>
            <w:tcW w:w="1465" w:type="dxa"/>
          </w:tcPr>
          <w:p w14:paraId="4F6352F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То же</w:t>
            </w:r>
          </w:p>
        </w:tc>
      </w:tr>
      <w:tr w:rsidR="00860B4B" w:rsidRPr="00D03F3E" w14:paraId="79B97992" w14:textId="77777777">
        <w:tc>
          <w:tcPr>
            <w:tcW w:w="1951" w:type="dxa"/>
          </w:tcPr>
          <w:p w14:paraId="488271B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V-1710-С15</w:t>
            </w:r>
          </w:p>
        </w:tc>
        <w:tc>
          <w:tcPr>
            <w:tcW w:w="1089" w:type="dxa"/>
          </w:tcPr>
          <w:p w14:paraId="4F510B17" w14:textId="77777777" w:rsidR="00531570" w:rsidRPr="00D03F3E" w:rsidRDefault="00531570" w:rsidP="00D03F3E">
            <w:pPr>
              <w:pStyle w:val="Iauiue"/>
              <w:jc w:val="both"/>
              <w:rPr>
                <w:color w:val="000000" w:themeColor="text1"/>
                <w:sz w:val="16"/>
                <w:szCs w:val="16"/>
              </w:rPr>
            </w:pPr>
          </w:p>
        </w:tc>
        <w:tc>
          <w:tcPr>
            <w:tcW w:w="739" w:type="dxa"/>
          </w:tcPr>
          <w:p w14:paraId="73233F21" w14:textId="77777777" w:rsidR="00531570" w:rsidRPr="00D03F3E" w:rsidRDefault="00531570" w:rsidP="00D03F3E">
            <w:pPr>
              <w:pStyle w:val="Iauiue"/>
              <w:jc w:val="both"/>
              <w:rPr>
                <w:color w:val="000000" w:themeColor="text1"/>
                <w:sz w:val="16"/>
                <w:szCs w:val="16"/>
              </w:rPr>
            </w:pPr>
          </w:p>
        </w:tc>
        <w:tc>
          <w:tcPr>
            <w:tcW w:w="739" w:type="dxa"/>
          </w:tcPr>
          <w:p w14:paraId="2A39C3A9" w14:textId="77777777" w:rsidR="00531570" w:rsidRPr="00D03F3E" w:rsidRDefault="00531570" w:rsidP="00D03F3E">
            <w:pPr>
              <w:pStyle w:val="Iauiue"/>
              <w:jc w:val="both"/>
              <w:rPr>
                <w:color w:val="000000" w:themeColor="text1"/>
                <w:sz w:val="16"/>
                <w:szCs w:val="16"/>
              </w:rPr>
            </w:pPr>
          </w:p>
        </w:tc>
        <w:tc>
          <w:tcPr>
            <w:tcW w:w="739" w:type="dxa"/>
          </w:tcPr>
          <w:p w14:paraId="0513E8D0" w14:textId="77777777" w:rsidR="00531570" w:rsidRPr="00D03F3E" w:rsidRDefault="00531570" w:rsidP="00D03F3E">
            <w:pPr>
              <w:pStyle w:val="Iauiue"/>
              <w:jc w:val="both"/>
              <w:rPr>
                <w:color w:val="000000" w:themeColor="text1"/>
                <w:sz w:val="16"/>
                <w:szCs w:val="16"/>
              </w:rPr>
            </w:pPr>
          </w:p>
        </w:tc>
        <w:tc>
          <w:tcPr>
            <w:tcW w:w="947" w:type="dxa"/>
          </w:tcPr>
          <w:p w14:paraId="67D732CD" w14:textId="77777777" w:rsidR="00531570" w:rsidRPr="00D03F3E" w:rsidRDefault="00531570" w:rsidP="00D03F3E">
            <w:pPr>
              <w:pStyle w:val="Iauiue"/>
              <w:jc w:val="both"/>
              <w:rPr>
                <w:color w:val="000000" w:themeColor="text1"/>
                <w:sz w:val="16"/>
                <w:szCs w:val="16"/>
              </w:rPr>
            </w:pPr>
          </w:p>
        </w:tc>
        <w:tc>
          <w:tcPr>
            <w:tcW w:w="850" w:type="dxa"/>
          </w:tcPr>
          <w:p w14:paraId="45C4C800" w14:textId="77777777" w:rsidR="00531570" w:rsidRPr="00D03F3E" w:rsidRDefault="00531570" w:rsidP="00D03F3E">
            <w:pPr>
              <w:pStyle w:val="Iauiue"/>
              <w:jc w:val="both"/>
              <w:rPr>
                <w:color w:val="000000" w:themeColor="text1"/>
                <w:sz w:val="16"/>
                <w:szCs w:val="16"/>
              </w:rPr>
            </w:pPr>
          </w:p>
        </w:tc>
        <w:tc>
          <w:tcPr>
            <w:tcW w:w="851" w:type="dxa"/>
          </w:tcPr>
          <w:p w14:paraId="29398690" w14:textId="77777777" w:rsidR="00531570" w:rsidRPr="00D03F3E" w:rsidRDefault="00531570" w:rsidP="00D03F3E">
            <w:pPr>
              <w:pStyle w:val="Iauiue"/>
              <w:jc w:val="both"/>
              <w:rPr>
                <w:color w:val="000000" w:themeColor="text1"/>
                <w:sz w:val="16"/>
                <w:szCs w:val="16"/>
              </w:rPr>
            </w:pPr>
          </w:p>
        </w:tc>
        <w:tc>
          <w:tcPr>
            <w:tcW w:w="1227" w:type="dxa"/>
          </w:tcPr>
          <w:p w14:paraId="1EEBFEA2" w14:textId="77777777" w:rsidR="00531570" w:rsidRPr="00D03F3E" w:rsidRDefault="00531570" w:rsidP="00D03F3E">
            <w:pPr>
              <w:pStyle w:val="Iauiue"/>
              <w:jc w:val="both"/>
              <w:rPr>
                <w:color w:val="000000" w:themeColor="text1"/>
                <w:sz w:val="16"/>
                <w:szCs w:val="16"/>
              </w:rPr>
            </w:pPr>
          </w:p>
        </w:tc>
        <w:tc>
          <w:tcPr>
            <w:tcW w:w="1465" w:type="dxa"/>
          </w:tcPr>
          <w:p w14:paraId="5E9448CB" w14:textId="77777777" w:rsidR="00531570" w:rsidRPr="00D03F3E" w:rsidRDefault="00531570" w:rsidP="00D03F3E">
            <w:pPr>
              <w:pStyle w:val="Iauiue"/>
              <w:jc w:val="both"/>
              <w:rPr>
                <w:color w:val="000000" w:themeColor="text1"/>
                <w:sz w:val="16"/>
                <w:szCs w:val="16"/>
              </w:rPr>
            </w:pPr>
          </w:p>
        </w:tc>
      </w:tr>
      <w:tr w:rsidR="00860B4B" w:rsidRPr="00D03F3E" w14:paraId="1D45D19E" w14:textId="77777777">
        <w:tc>
          <w:tcPr>
            <w:tcW w:w="1951" w:type="dxa"/>
          </w:tcPr>
          <w:p w14:paraId="5B79D07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Мустанг</w:t>
            </w:r>
          </w:p>
        </w:tc>
        <w:tc>
          <w:tcPr>
            <w:tcW w:w="1089" w:type="dxa"/>
          </w:tcPr>
          <w:p w14:paraId="6B3F844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Аллисон</w:t>
            </w:r>
          </w:p>
        </w:tc>
        <w:tc>
          <w:tcPr>
            <w:tcW w:w="739" w:type="dxa"/>
          </w:tcPr>
          <w:p w14:paraId="7EC36FB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3884</w:t>
            </w:r>
          </w:p>
        </w:tc>
        <w:tc>
          <w:tcPr>
            <w:tcW w:w="739" w:type="dxa"/>
          </w:tcPr>
          <w:p w14:paraId="2AA18F2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477</w:t>
            </w:r>
          </w:p>
        </w:tc>
        <w:tc>
          <w:tcPr>
            <w:tcW w:w="739" w:type="dxa"/>
          </w:tcPr>
          <w:p w14:paraId="12FCC22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477</w:t>
            </w:r>
          </w:p>
        </w:tc>
        <w:tc>
          <w:tcPr>
            <w:tcW w:w="947" w:type="dxa"/>
          </w:tcPr>
          <w:p w14:paraId="05B0170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1000</w:t>
            </w:r>
          </w:p>
        </w:tc>
        <w:tc>
          <w:tcPr>
            <w:tcW w:w="850" w:type="dxa"/>
          </w:tcPr>
          <w:p w14:paraId="4F6F188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1200</w:t>
            </w:r>
          </w:p>
        </w:tc>
        <w:tc>
          <w:tcPr>
            <w:tcW w:w="851" w:type="dxa"/>
          </w:tcPr>
          <w:p w14:paraId="740C5EA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1620(6)</w:t>
            </w:r>
          </w:p>
        </w:tc>
        <w:tc>
          <w:tcPr>
            <w:tcW w:w="1227" w:type="dxa"/>
          </w:tcPr>
          <w:p w14:paraId="19986A0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5,4</w:t>
            </w:r>
          </w:p>
        </w:tc>
        <w:tc>
          <w:tcPr>
            <w:tcW w:w="1465" w:type="dxa"/>
          </w:tcPr>
          <w:p w14:paraId="0727CF3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Цифры</w:t>
            </w:r>
          </w:p>
        </w:tc>
      </w:tr>
      <w:tr w:rsidR="00860B4B" w:rsidRPr="00D03F3E" w14:paraId="1DD18E60" w14:textId="77777777">
        <w:tc>
          <w:tcPr>
            <w:tcW w:w="1951" w:type="dxa"/>
          </w:tcPr>
          <w:p w14:paraId="1A87634E" w14:textId="77777777" w:rsidR="00531570" w:rsidRPr="00D03F3E" w:rsidRDefault="00531570" w:rsidP="00D03F3E">
            <w:pPr>
              <w:pStyle w:val="Iauiue"/>
              <w:jc w:val="both"/>
              <w:rPr>
                <w:color w:val="000000" w:themeColor="text1"/>
                <w:sz w:val="16"/>
                <w:szCs w:val="16"/>
              </w:rPr>
            </w:pPr>
          </w:p>
        </w:tc>
        <w:tc>
          <w:tcPr>
            <w:tcW w:w="1089" w:type="dxa"/>
          </w:tcPr>
          <w:p w14:paraId="56F9770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V-1710-F3R</w:t>
            </w:r>
          </w:p>
        </w:tc>
        <w:tc>
          <w:tcPr>
            <w:tcW w:w="739" w:type="dxa"/>
          </w:tcPr>
          <w:p w14:paraId="3B595E7B" w14:textId="77777777" w:rsidR="00531570" w:rsidRPr="00D03F3E" w:rsidRDefault="00531570" w:rsidP="00D03F3E">
            <w:pPr>
              <w:pStyle w:val="Iauiue"/>
              <w:jc w:val="both"/>
              <w:rPr>
                <w:color w:val="000000" w:themeColor="text1"/>
                <w:sz w:val="16"/>
                <w:szCs w:val="16"/>
              </w:rPr>
            </w:pPr>
          </w:p>
        </w:tc>
        <w:tc>
          <w:tcPr>
            <w:tcW w:w="739" w:type="dxa"/>
          </w:tcPr>
          <w:p w14:paraId="6E8A5AF7" w14:textId="77777777" w:rsidR="00531570" w:rsidRPr="00D03F3E" w:rsidRDefault="00531570" w:rsidP="00D03F3E">
            <w:pPr>
              <w:pStyle w:val="Iauiue"/>
              <w:jc w:val="both"/>
              <w:rPr>
                <w:color w:val="000000" w:themeColor="text1"/>
                <w:sz w:val="16"/>
                <w:szCs w:val="16"/>
              </w:rPr>
            </w:pPr>
          </w:p>
        </w:tc>
        <w:tc>
          <w:tcPr>
            <w:tcW w:w="739" w:type="dxa"/>
          </w:tcPr>
          <w:p w14:paraId="4CD09E1B" w14:textId="77777777" w:rsidR="00531570" w:rsidRPr="00D03F3E" w:rsidRDefault="00531570" w:rsidP="00D03F3E">
            <w:pPr>
              <w:pStyle w:val="Iauiue"/>
              <w:jc w:val="both"/>
              <w:rPr>
                <w:color w:val="000000" w:themeColor="text1"/>
                <w:sz w:val="16"/>
                <w:szCs w:val="16"/>
              </w:rPr>
            </w:pPr>
          </w:p>
        </w:tc>
        <w:tc>
          <w:tcPr>
            <w:tcW w:w="947" w:type="dxa"/>
          </w:tcPr>
          <w:p w14:paraId="7A4E4CB2" w14:textId="77777777" w:rsidR="00531570" w:rsidRPr="00D03F3E" w:rsidRDefault="00531570" w:rsidP="00D03F3E">
            <w:pPr>
              <w:pStyle w:val="Iauiue"/>
              <w:jc w:val="both"/>
              <w:rPr>
                <w:color w:val="000000" w:themeColor="text1"/>
                <w:sz w:val="16"/>
                <w:szCs w:val="16"/>
              </w:rPr>
            </w:pPr>
          </w:p>
        </w:tc>
        <w:tc>
          <w:tcPr>
            <w:tcW w:w="850" w:type="dxa"/>
          </w:tcPr>
          <w:p w14:paraId="28E12F2B" w14:textId="77777777" w:rsidR="00531570" w:rsidRPr="00D03F3E" w:rsidRDefault="00531570" w:rsidP="00D03F3E">
            <w:pPr>
              <w:pStyle w:val="Iauiue"/>
              <w:jc w:val="both"/>
              <w:rPr>
                <w:color w:val="000000" w:themeColor="text1"/>
                <w:sz w:val="16"/>
                <w:szCs w:val="16"/>
              </w:rPr>
            </w:pPr>
          </w:p>
        </w:tc>
        <w:tc>
          <w:tcPr>
            <w:tcW w:w="851" w:type="dxa"/>
          </w:tcPr>
          <w:p w14:paraId="61DB4AAD" w14:textId="77777777" w:rsidR="00531570" w:rsidRPr="00D03F3E" w:rsidRDefault="00531570" w:rsidP="00D03F3E">
            <w:pPr>
              <w:pStyle w:val="Iauiue"/>
              <w:jc w:val="both"/>
              <w:rPr>
                <w:color w:val="000000" w:themeColor="text1"/>
                <w:sz w:val="16"/>
                <w:szCs w:val="16"/>
              </w:rPr>
            </w:pPr>
          </w:p>
        </w:tc>
        <w:tc>
          <w:tcPr>
            <w:tcW w:w="1227" w:type="dxa"/>
          </w:tcPr>
          <w:p w14:paraId="34CCC8AF" w14:textId="77777777" w:rsidR="00531570" w:rsidRPr="00D03F3E" w:rsidRDefault="00531570" w:rsidP="00D03F3E">
            <w:pPr>
              <w:pStyle w:val="Iauiue"/>
              <w:jc w:val="both"/>
              <w:rPr>
                <w:color w:val="000000" w:themeColor="text1"/>
                <w:sz w:val="16"/>
                <w:szCs w:val="16"/>
              </w:rPr>
            </w:pPr>
          </w:p>
        </w:tc>
        <w:tc>
          <w:tcPr>
            <w:tcW w:w="1465" w:type="dxa"/>
          </w:tcPr>
          <w:p w14:paraId="2F3BA263" w14:textId="77777777" w:rsidR="00531570" w:rsidRPr="00D03F3E" w:rsidRDefault="00531570" w:rsidP="00D03F3E">
            <w:pPr>
              <w:pStyle w:val="Iauiue"/>
              <w:jc w:val="both"/>
              <w:rPr>
                <w:color w:val="000000" w:themeColor="text1"/>
                <w:sz w:val="16"/>
                <w:szCs w:val="16"/>
              </w:rPr>
            </w:pPr>
          </w:p>
        </w:tc>
      </w:tr>
      <w:tr w:rsidR="00860B4B" w:rsidRPr="00D03F3E" w14:paraId="4968C87A" w14:textId="77777777">
        <w:tc>
          <w:tcPr>
            <w:tcW w:w="1951" w:type="dxa"/>
          </w:tcPr>
          <w:p w14:paraId="0B4FCD9F" w14:textId="77777777" w:rsidR="00531570" w:rsidRPr="00D03F3E" w:rsidRDefault="00531570" w:rsidP="00D03F3E">
            <w:pPr>
              <w:pStyle w:val="Iauiue"/>
              <w:jc w:val="both"/>
              <w:rPr>
                <w:color w:val="000000" w:themeColor="text1"/>
                <w:sz w:val="16"/>
                <w:szCs w:val="16"/>
              </w:rPr>
            </w:pPr>
          </w:p>
        </w:tc>
        <w:tc>
          <w:tcPr>
            <w:tcW w:w="1089" w:type="dxa"/>
          </w:tcPr>
          <w:p w14:paraId="0F9010F3" w14:textId="77777777" w:rsidR="00531570" w:rsidRPr="00D03F3E" w:rsidRDefault="00531570" w:rsidP="00D03F3E">
            <w:pPr>
              <w:pStyle w:val="Iauiue"/>
              <w:jc w:val="both"/>
              <w:rPr>
                <w:color w:val="000000" w:themeColor="text1"/>
                <w:sz w:val="16"/>
                <w:szCs w:val="16"/>
              </w:rPr>
            </w:pPr>
          </w:p>
        </w:tc>
        <w:tc>
          <w:tcPr>
            <w:tcW w:w="739" w:type="dxa"/>
          </w:tcPr>
          <w:p w14:paraId="24E6F8FF" w14:textId="77777777" w:rsidR="00531570" w:rsidRPr="00D03F3E" w:rsidRDefault="00531570" w:rsidP="00D03F3E">
            <w:pPr>
              <w:pStyle w:val="Iauiue"/>
              <w:jc w:val="both"/>
              <w:rPr>
                <w:color w:val="000000" w:themeColor="text1"/>
                <w:sz w:val="16"/>
                <w:szCs w:val="16"/>
              </w:rPr>
            </w:pPr>
          </w:p>
        </w:tc>
        <w:tc>
          <w:tcPr>
            <w:tcW w:w="739" w:type="dxa"/>
          </w:tcPr>
          <w:p w14:paraId="4BEB0363" w14:textId="77777777" w:rsidR="00531570" w:rsidRPr="00D03F3E" w:rsidRDefault="00531570" w:rsidP="00D03F3E">
            <w:pPr>
              <w:pStyle w:val="Iauiue"/>
              <w:jc w:val="both"/>
              <w:rPr>
                <w:color w:val="000000" w:themeColor="text1"/>
                <w:sz w:val="16"/>
                <w:szCs w:val="16"/>
              </w:rPr>
            </w:pPr>
          </w:p>
        </w:tc>
        <w:tc>
          <w:tcPr>
            <w:tcW w:w="739" w:type="dxa"/>
          </w:tcPr>
          <w:p w14:paraId="11EDC203" w14:textId="77777777" w:rsidR="00531570" w:rsidRPr="00D03F3E" w:rsidRDefault="00531570" w:rsidP="00D03F3E">
            <w:pPr>
              <w:pStyle w:val="Iauiue"/>
              <w:jc w:val="both"/>
              <w:rPr>
                <w:color w:val="000000" w:themeColor="text1"/>
                <w:sz w:val="16"/>
                <w:szCs w:val="16"/>
              </w:rPr>
            </w:pPr>
          </w:p>
        </w:tc>
        <w:tc>
          <w:tcPr>
            <w:tcW w:w="947" w:type="dxa"/>
          </w:tcPr>
          <w:p w14:paraId="6938A6C8" w14:textId="77777777" w:rsidR="00531570" w:rsidRPr="00D03F3E" w:rsidRDefault="00531570" w:rsidP="00D03F3E">
            <w:pPr>
              <w:pStyle w:val="Iauiue"/>
              <w:jc w:val="both"/>
              <w:rPr>
                <w:color w:val="000000" w:themeColor="text1"/>
                <w:sz w:val="16"/>
                <w:szCs w:val="16"/>
              </w:rPr>
            </w:pPr>
          </w:p>
        </w:tc>
        <w:tc>
          <w:tcPr>
            <w:tcW w:w="850" w:type="dxa"/>
          </w:tcPr>
          <w:p w14:paraId="3D63419D" w14:textId="77777777" w:rsidR="00531570" w:rsidRPr="00D03F3E" w:rsidRDefault="00531570" w:rsidP="00D03F3E">
            <w:pPr>
              <w:pStyle w:val="Iauiue"/>
              <w:jc w:val="both"/>
              <w:rPr>
                <w:color w:val="000000" w:themeColor="text1"/>
                <w:sz w:val="16"/>
                <w:szCs w:val="16"/>
              </w:rPr>
            </w:pPr>
          </w:p>
        </w:tc>
        <w:tc>
          <w:tcPr>
            <w:tcW w:w="851" w:type="dxa"/>
          </w:tcPr>
          <w:p w14:paraId="23D900A6" w14:textId="77777777" w:rsidR="00531570" w:rsidRPr="00D03F3E" w:rsidRDefault="00531570" w:rsidP="00D03F3E">
            <w:pPr>
              <w:pStyle w:val="Iauiue"/>
              <w:jc w:val="both"/>
              <w:rPr>
                <w:color w:val="000000" w:themeColor="text1"/>
                <w:sz w:val="16"/>
                <w:szCs w:val="16"/>
              </w:rPr>
            </w:pPr>
          </w:p>
        </w:tc>
        <w:tc>
          <w:tcPr>
            <w:tcW w:w="1227" w:type="dxa"/>
          </w:tcPr>
          <w:p w14:paraId="56FAA743" w14:textId="77777777" w:rsidR="00531570" w:rsidRPr="00D03F3E" w:rsidRDefault="00531570" w:rsidP="00D03F3E">
            <w:pPr>
              <w:pStyle w:val="Iauiue"/>
              <w:jc w:val="both"/>
              <w:rPr>
                <w:color w:val="000000" w:themeColor="text1"/>
                <w:sz w:val="16"/>
                <w:szCs w:val="16"/>
              </w:rPr>
            </w:pPr>
          </w:p>
        </w:tc>
        <w:tc>
          <w:tcPr>
            <w:tcW w:w="1465" w:type="dxa"/>
          </w:tcPr>
          <w:p w14:paraId="68EF8FB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получены</w:t>
            </w:r>
          </w:p>
        </w:tc>
      </w:tr>
      <w:tr w:rsidR="00860B4B" w:rsidRPr="00D03F3E" w14:paraId="159009C5" w14:textId="77777777">
        <w:tc>
          <w:tcPr>
            <w:tcW w:w="1951" w:type="dxa"/>
          </w:tcPr>
          <w:p w14:paraId="53DFD33A" w14:textId="77777777" w:rsidR="00531570" w:rsidRPr="00D03F3E" w:rsidRDefault="00531570" w:rsidP="00D03F3E">
            <w:pPr>
              <w:pStyle w:val="Iauiue"/>
              <w:jc w:val="both"/>
              <w:rPr>
                <w:color w:val="000000" w:themeColor="text1"/>
                <w:sz w:val="16"/>
                <w:szCs w:val="16"/>
              </w:rPr>
            </w:pPr>
          </w:p>
        </w:tc>
        <w:tc>
          <w:tcPr>
            <w:tcW w:w="1089" w:type="dxa"/>
          </w:tcPr>
          <w:p w14:paraId="4CB728EB" w14:textId="77777777" w:rsidR="00531570" w:rsidRPr="00D03F3E" w:rsidRDefault="00531570" w:rsidP="00D03F3E">
            <w:pPr>
              <w:pStyle w:val="Iauiue"/>
              <w:jc w:val="both"/>
              <w:rPr>
                <w:color w:val="000000" w:themeColor="text1"/>
                <w:sz w:val="16"/>
                <w:szCs w:val="16"/>
              </w:rPr>
            </w:pPr>
          </w:p>
        </w:tc>
        <w:tc>
          <w:tcPr>
            <w:tcW w:w="739" w:type="dxa"/>
          </w:tcPr>
          <w:p w14:paraId="29A998D6" w14:textId="77777777" w:rsidR="00531570" w:rsidRPr="00D03F3E" w:rsidRDefault="00531570" w:rsidP="00D03F3E">
            <w:pPr>
              <w:pStyle w:val="Iauiue"/>
              <w:jc w:val="both"/>
              <w:rPr>
                <w:color w:val="000000" w:themeColor="text1"/>
                <w:sz w:val="16"/>
                <w:szCs w:val="16"/>
              </w:rPr>
            </w:pPr>
          </w:p>
        </w:tc>
        <w:tc>
          <w:tcPr>
            <w:tcW w:w="739" w:type="dxa"/>
          </w:tcPr>
          <w:p w14:paraId="6A591EEF" w14:textId="77777777" w:rsidR="00531570" w:rsidRPr="00D03F3E" w:rsidRDefault="00531570" w:rsidP="00D03F3E">
            <w:pPr>
              <w:pStyle w:val="Iauiue"/>
              <w:jc w:val="both"/>
              <w:rPr>
                <w:color w:val="000000" w:themeColor="text1"/>
                <w:sz w:val="16"/>
                <w:szCs w:val="16"/>
              </w:rPr>
            </w:pPr>
          </w:p>
        </w:tc>
        <w:tc>
          <w:tcPr>
            <w:tcW w:w="739" w:type="dxa"/>
          </w:tcPr>
          <w:p w14:paraId="7804A4D1" w14:textId="77777777" w:rsidR="00531570" w:rsidRPr="00D03F3E" w:rsidRDefault="00531570" w:rsidP="00D03F3E">
            <w:pPr>
              <w:pStyle w:val="Iauiue"/>
              <w:jc w:val="both"/>
              <w:rPr>
                <w:color w:val="000000" w:themeColor="text1"/>
                <w:sz w:val="16"/>
                <w:szCs w:val="16"/>
              </w:rPr>
            </w:pPr>
          </w:p>
        </w:tc>
        <w:tc>
          <w:tcPr>
            <w:tcW w:w="947" w:type="dxa"/>
          </w:tcPr>
          <w:p w14:paraId="6533D8A4" w14:textId="77777777" w:rsidR="00531570" w:rsidRPr="00D03F3E" w:rsidRDefault="00531570" w:rsidP="00D03F3E">
            <w:pPr>
              <w:pStyle w:val="Iauiue"/>
              <w:jc w:val="both"/>
              <w:rPr>
                <w:color w:val="000000" w:themeColor="text1"/>
                <w:sz w:val="16"/>
                <w:szCs w:val="16"/>
              </w:rPr>
            </w:pPr>
          </w:p>
        </w:tc>
        <w:tc>
          <w:tcPr>
            <w:tcW w:w="850" w:type="dxa"/>
          </w:tcPr>
          <w:p w14:paraId="110AE904" w14:textId="77777777" w:rsidR="00531570" w:rsidRPr="00D03F3E" w:rsidRDefault="00531570" w:rsidP="00D03F3E">
            <w:pPr>
              <w:pStyle w:val="Iauiue"/>
              <w:jc w:val="both"/>
              <w:rPr>
                <w:color w:val="000000" w:themeColor="text1"/>
                <w:sz w:val="16"/>
                <w:szCs w:val="16"/>
              </w:rPr>
            </w:pPr>
          </w:p>
        </w:tc>
        <w:tc>
          <w:tcPr>
            <w:tcW w:w="851" w:type="dxa"/>
          </w:tcPr>
          <w:p w14:paraId="6A9A0555" w14:textId="77777777" w:rsidR="00531570" w:rsidRPr="00D03F3E" w:rsidRDefault="00531570" w:rsidP="00D03F3E">
            <w:pPr>
              <w:pStyle w:val="Iauiue"/>
              <w:jc w:val="both"/>
              <w:rPr>
                <w:color w:val="000000" w:themeColor="text1"/>
                <w:sz w:val="16"/>
                <w:szCs w:val="16"/>
              </w:rPr>
            </w:pPr>
          </w:p>
        </w:tc>
        <w:tc>
          <w:tcPr>
            <w:tcW w:w="1227" w:type="dxa"/>
          </w:tcPr>
          <w:p w14:paraId="31CB87A3" w14:textId="77777777" w:rsidR="00531570" w:rsidRPr="00D03F3E" w:rsidRDefault="00531570" w:rsidP="00D03F3E">
            <w:pPr>
              <w:pStyle w:val="Iauiue"/>
              <w:jc w:val="both"/>
              <w:rPr>
                <w:color w:val="000000" w:themeColor="text1"/>
                <w:sz w:val="16"/>
                <w:szCs w:val="16"/>
              </w:rPr>
            </w:pPr>
          </w:p>
        </w:tc>
        <w:tc>
          <w:tcPr>
            <w:tcW w:w="1465" w:type="dxa"/>
          </w:tcPr>
          <w:p w14:paraId="681F586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путем</w:t>
            </w:r>
          </w:p>
        </w:tc>
      </w:tr>
      <w:tr w:rsidR="00860B4B" w:rsidRPr="00D03F3E" w14:paraId="398AE46B" w14:textId="77777777">
        <w:tc>
          <w:tcPr>
            <w:tcW w:w="1951" w:type="dxa"/>
          </w:tcPr>
          <w:p w14:paraId="51D37892" w14:textId="77777777" w:rsidR="00531570" w:rsidRPr="00D03F3E" w:rsidRDefault="00531570" w:rsidP="00D03F3E">
            <w:pPr>
              <w:pStyle w:val="Iauiue"/>
              <w:jc w:val="both"/>
              <w:rPr>
                <w:color w:val="000000" w:themeColor="text1"/>
                <w:sz w:val="16"/>
                <w:szCs w:val="16"/>
              </w:rPr>
            </w:pPr>
          </w:p>
        </w:tc>
        <w:tc>
          <w:tcPr>
            <w:tcW w:w="1089" w:type="dxa"/>
          </w:tcPr>
          <w:p w14:paraId="38C5671C" w14:textId="77777777" w:rsidR="00531570" w:rsidRPr="00D03F3E" w:rsidRDefault="00531570" w:rsidP="00D03F3E">
            <w:pPr>
              <w:pStyle w:val="Iauiue"/>
              <w:jc w:val="both"/>
              <w:rPr>
                <w:color w:val="000000" w:themeColor="text1"/>
                <w:sz w:val="16"/>
                <w:szCs w:val="16"/>
              </w:rPr>
            </w:pPr>
          </w:p>
        </w:tc>
        <w:tc>
          <w:tcPr>
            <w:tcW w:w="739" w:type="dxa"/>
          </w:tcPr>
          <w:p w14:paraId="0811707F" w14:textId="77777777" w:rsidR="00531570" w:rsidRPr="00D03F3E" w:rsidRDefault="00531570" w:rsidP="00D03F3E">
            <w:pPr>
              <w:pStyle w:val="Iauiue"/>
              <w:jc w:val="both"/>
              <w:rPr>
                <w:color w:val="000000" w:themeColor="text1"/>
                <w:sz w:val="16"/>
                <w:szCs w:val="16"/>
              </w:rPr>
            </w:pPr>
          </w:p>
        </w:tc>
        <w:tc>
          <w:tcPr>
            <w:tcW w:w="739" w:type="dxa"/>
          </w:tcPr>
          <w:p w14:paraId="20156B04" w14:textId="77777777" w:rsidR="00531570" w:rsidRPr="00D03F3E" w:rsidRDefault="00531570" w:rsidP="00D03F3E">
            <w:pPr>
              <w:pStyle w:val="Iauiue"/>
              <w:jc w:val="both"/>
              <w:rPr>
                <w:color w:val="000000" w:themeColor="text1"/>
                <w:sz w:val="16"/>
                <w:szCs w:val="16"/>
              </w:rPr>
            </w:pPr>
          </w:p>
        </w:tc>
        <w:tc>
          <w:tcPr>
            <w:tcW w:w="739" w:type="dxa"/>
          </w:tcPr>
          <w:p w14:paraId="70B738BD" w14:textId="77777777" w:rsidR="00531570" w:rsidRPr="00D03F3E" w:rsidRDefault="00531570" w:rsidP="00D03F3E">
            <w:pPr>
              <w:pStyle w:val="Iauiue"/>
              <w:jc w:val="both"/>
              <w:rPr>
                <w:color w:val="000000" w:themeColor="text1"/>
                <w:sz w:val="16"/>
                <w:szCs w:val="16"/>
              </w:rPr>
            </w:pPr>
          </w:p>
        </w:tc>
        <w:tc>
          <w:tcPr>
            <w:tcW w:w="947" w:type="dxa"/>
          </w:tcPr>
          <w:p w14:paraId="4008A505" w14:textId="77777777" w:rsidR="00531570" w:rsidRPr="00D03F3E" w:rsidRDefault="00531570" w:rsidP="00D03F3E">
            <w:pPr>
              <w:pStyle w:val="Iauiue"/>
              <w:jc w:val="both"/>
              <w:rPr>
                <w:color w:val="000000" w:themeColor="text1"/>
                <w:sz w:val="16"/>
                <w:szCs w:val="16"/>
              </w:rPr>
            </w:pPr>
          </w:p>
        </w:tc>
        <w:tc>
          <w:tcPr>
            <w:tcW w:w="850" w:type="dxa"/>
          </w:tcPr>
          <w:p w14:paraId="26AF7C1F" w14:textId="77777777" w:rsidR="00531570" w:rsidRPr="00D03F3E" w:rsidRDefault="00531570" w:rsidP="00D03F3E">
            <w:pPr>
              <w:pStyle w:val="Iauiue"/>
              <w:jc w:val="both"/>
              <w:rPr>
                <w:color w:val="000000" w:themeColor="text1"/>
                <w:sz w:val="16"/>
                <w:szCs w:val="16"/>
              </w:rPr>
            </w:pPr>
          </w:p>
        </w:tc>
        <w:tc>
          <w:tcPr>
            <w:tcW w:w="851" w:type="dxa"/>
          </w:tcPr>
          <w:p w14:paraId="353979CB" w14:textId="77777777" w:rsidR="00531570" w:rsidRPr="00D03F3E" w:rsidRDefault="00531570" w:rsidP="00D03F3E">
            <w:pPr>
              <w:pStyle w:val="Iauiue"/>
              <w:jc w:val="both"/>
              <w:rPr>
                <w:color w:val="000000" w:themeColor="text1"/>
                <w:sz w:val="16"/>
                <w:szCs w:val="16"/>
              </w:rPr>
            </w:pPr>
          </w:p>
        </w:tc>
        <w:tc>
          <w:tcPr>
            <w:tcW w:w="1227" w:type="dxa"/>
          </w:tcPr>
          <w:p w14:paraId="790233FD" w14:textId="77777777" w:rsidR="00531570" w:rsidRPr="00D03F3E" w:rsidRDefault="00531570" w:rsidP="00D03F3E">
            <w:pPr>
              <w:pStyle w:val="Iauiue"/>
              <w:jc w:val="both"/>
              <w:rPr>
                <w:color w:val="000000" w:themeColor="text1"/>
                <w:sz w:val="16"/>
                <w:szCs w:val="16"/>
              </w:rPr>
            </w:pPr>
          </w:p>
        </w:tc>
        <w:tc>
          <w:tcPr>
            <w:tcW w:w="1465" w:type="dxa"/>
          </w:tcPr>
          <w:p w14:paraId="6491698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пересчета</w:t>
            </w:r>
          </w:p>
        </w:tc>
      </w:tr>
      <w:tr w:rsidR="00860B4B" w:rsidRPr="00D03F3E" w14:paraId="7BFDC5B6" w14:textId="77777777">
        <w:tc>
          <w:tcPr>
            <w:tcW w:w="1951" w:type="dxa"/>
          </w:tcPr>
          <w:p w14:paraId="2069BE6E" w14:textId="77777777" w:rsidR="00531570" w:rsidRPr="00D03F3E" w:rsidRDefault="00531570" w:rsidP="00D03F3E">
            <w:pPr>
              <w:pStyle w:val="Iauiue"/>
              <w:jc w:val="both"/>
              <w:rPr>
                <w:color w:val="000000" w:themeColor="text1"/>
                <w:sz w:val="16"/>
                <w:szCs w:val="16"/>
              </w:rPr>
            </w:pPr>
          </w:p>
        </w:tc>
        <w:tc>
          <w:tcPr>
            <w:tcW w:w="1089" w:type="dxa"/>
          </w:tcPr>
          <w:p w14:paraId="13BB4879" w14:textId="77777777" w:rsidR="00531570" w:rsidRPr="00D03F3E" w:rsidRDefault="00531570" w:rsidP="00D03F3E">
            <w:pPr>
              <w:pStyle w:val="Iauiue"/>
              <w:jc w:val="both"/>
              <w:rPr>
                <w:color w:val="000000" w:themeColor="text1"/>
                <w:sz w:val="16"/>
                <w:szCs w:val="16"/>
              </w:rPr>
            </w:pPr>
          </w:p>
        </w:tc>
        <w:tc>
          <w:tcPr>
            <w:tcW w:w="739" w:type="dxa"/>
          </w:tcPr>
          <w:p w14:paraId="12D7FA83" w14:textId="77777777" w:rsidR="00531570" w:rsidRPr="00D03F3E" w:rsidRDefault="00531570" w:rsidP="00D03F3E">
            <w:pPr>
              <w:pStyle w:val="Iauiue"/>
              <w:jc w:val="both"/>
              <w:rPr>
                <w:color w:val="000000" w:themeColor="text1"/>
                <w:sz w:val="16"/>
                <w:szCs w:val="16"/>
              </w:rPr>
            </w:pPr>
          </w:p>
        </w:tc>
        <w:tc>
          <w:tcPr>
            <w:tcW w:w="739" w:type="dxa"/>
          </w:tcPr>
          <w:p w14:paraId="02B2420B" w14:textId="77777777" w:rsidR="00531570" w:rsidRPr="00D03F3E" w:rsidRDefault="00531570" w:rsidP="00D03F3E">
            <w:pPr>
              <w:pStyle w:val="Iauiue"/>
              <w:jc w:val="both"/>
              <w:rPr>
                <w:color w:val="000000" w:themeColor="text1"/>
                <w:sz w:val="16"/>
                <w:szCs w:val="16"/>
              </w:rPr>
            </w:pPr>
          </w:p>
        </w:tc>
        <w:tc>
          <w:tcPr>
            <w:tcW w:w="739" w:type="dxa"/>
          </w:tcPr>
          <w:p w14:paraId="0B9C5A4B" w14:textId="77777777" w:rsidR="00531570" w:rsidRPr="00D03F3E" w:rsidRDefault="00531570" w:rsidP="00D03F3E">
            <w:pPr>
              <w:pStyle w:val="Iauiue"/>
              <w:jc w:val="both"/>
              <w:rPr>
                <w:color w:val="000000" w:themeColor="text1"/>
                <w:sz w:val="16"/>
                <w:szCs w:val="16"/>
              </w:rPr>
            </w:pPr>
          </w:p>
        </w:tc>
        <w:tc>
          <w:tcPr>
            <w:tcW w:w="947" w:type="dxa"/>
          </w:tcPr>
          <w:p w14:paraId="0840AEDE" w14:textId="77777777" w:rsidR="00531570" w:rsidRPr="00D03F3E" w:rsidRDefault="00531570" w:rsidP="00D03F3E">
            <w:pPr>
              <w:pStyle w:val="Iauiue"/>
              <w:jc w:val="both"/>
              <w:rPr>
                <w:color w:val="000000" w:themeColor="text1"/>
                <w:sz w:val="16"/>
                <w:szCs w:val="16"/>
              </w:rPr>
            </w:pPr>
          </w:p>
        </w:tc>
        <w:tc>
          <w:tcPr>
            <w:tcW w:w="850" w:type="dxa"/>
          </w:tcPr>
          <w:p w14:paraId="348126EC" w14:textId="77777777" w:rsidR="00531570" w:rsidRPr="00D03F3E" w:rsidRDefault="00531570" w:rsidP="00D03F3E">
            <w:pPr>
              <w:pStyle w:val="Iauiue"/>
              <w:jc w:val="both"/>
              <w:rPr>
                <w:color w:val="000000" w:themeColor="text1"/>
                <w:sz w:val="16"/>
                <w:szCs w:val="16"/>
              </w:rPr>
            </w:pPr>
          </w:p>
        </w:tc>
        <w:tc>
          <w:tcPr>
            <w:tcW w:w="851" w:type="dxa"/>
          </w:tcPr>
          <w:p w14:paraId="59BF03BA" w14:textId="77777777" w:rsidR="00531570" w:rsidRPr="00D03F3E" w:rsidRDefault="00531570" w:rsidP="00D03F3E">
            <w:pPr>
              <w:pStyle w:val="Iauiue"/>
              <w:jc w:val="both"/>
              <w:rPr>
                <w:color w:val="000000" w:themeColor="text1"/>
                <w:sz w:val="16"/>
                <w:szCs w:val="16"/>
              </w:rPr>
            </w:pPr>
          </w:p>
        </w:tc>
        <w:tc>
          <w:tcPr>
            <w:tcW w:w="1227" w:type="dxa"/>
          </w:tcPr>
          <w:p w14:paraId="0FFEE145" w14:textId="77777777" w:rsidR="00531570" w:rsidRPr="00D03F3E" w:rsidRDefault="00531570" w:rsidP="00D03F3E">
            <w:pPr>
              <w:pStyle w:val="Iauiue"/>
              <w:jc w:val="both"/>
              <w:rPr>
                <w:color w:val="000000" w:themeColor="text1"/>
                <w:sz w:val="16"/>
                <w:szCs w:val="16"/>
              </w:rPr>
            </w:pPr>
          </w:p>
        </w:tc>
        <w:tc>
          <w:tcPr>
            <w:tcW w:w="1465" w:type="dxa"/>
          </w:tcPr>
          <w:p w14:paraId="4014E0B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результатов,</w:t>
            </w:r>
          </w:p>
        </w:tc>
      </w:tr>
      <w:tr w:rsidR="00860B4B" w:rsidRPr="00D03F3E" w14:paraId="579B77B0" w14:textId="77777777">
        <w:tc>
          <w:tcPr>
            <w:tcW w:w="1951" w:type="dxa"/>
          </w:tcPr>
          <w:p w14:paraId="5196D346" w14:textId="77777777" w:rsidR="00531570" w:rsidRPr="00D03F3E" w:rsidRDefault="00531570" w:rsidP="00D03F3E">
            <w:pPr>
              <w:pStyle w:val="Iauiue"/>
              <w:jc w:val="both"/>
              <w:rPr>
                <w:color w:val="000000" w:themeColor="text1"/>
                <w:sz w:val="16"/>
                <w:szCs w:val="16"/>
              </w:rPr>
            </w:pPr>
          </w:p>
        </w:tc>
        <w:tc>
          <w:tcPr>
            <w:tcW w:w="1089" w:type="dxa"/>
          </w:tcPr>
          <w:p w14:paraId="2233FD86" w14:textId="77777777" w:rsidR="00531570" w:rsidRPr="00D03F3E" w:rsidRDefault="00531570" w:rsidP="00D03F3E">
            <w:pPr>
              <w:pStyle w:val="Iauiue"/>
              <w:jc w:val="both"/>
              <w:rPr>
                <w:color w:val="000000" w:themeColor="text1"/>
                <w:sz w:val="16"/>
                <w:szCs w:val="16"/>
              </w:rPr>
            </w:pPr>
          </w:p>
        </w:tc>
        <w:tc>
          <w:tcPr>
            <w:tcW w:w="739" w:type="dxa"/>
          </w:tcPr>
          <w:p w14:paraId="3F91B008" w14:textId="77777777" w:rsidR="00531570" w:rsidRPr="00D03F3E" w:rsidRDefault="00531570" w:rsidP="00D03F3E">
            <w:pPr>
              <w:pStyle w:val="Iauiue"/>
              <w:jc w:val="both"/>
              <w:rPr>
                <w:color w:val="000000" w:themeColor="text1"/>
                <w:sz w:val="16"/>
                <w:szCs w:val="16"/>
              </w:rPr>
            </w:pPr>
          </w:p>
        </w:tc>
        <w:tc>
          <w:tcPr>
            <w:tcW w:w="739" w:type="dxa"/>
          </w:tcPr>
          <w:p w14:paraId="531AFF24" w14:textId="77777777" w:rsidR="00531570" w:rsidRPr="00D03F3E" w:rsidRDefault="00531570" w:rsidP="00D03F3E">
            <w:pPr>
              <w:pStyle w:val="Iauiue"/>
              <w:jc w:val="both"/>
              <w:rPr>
                <w:color w:val="000000" w:themeColor="text1"/>
                <w:sz w:val="16"/>
                <w:szCs w:val="16"/>
              </w:rPr>
            </w:pPr>
          </w:p>
        </w:tc>
        <w:tc>
          <w:tcPr>
            <w:tcW w:w="739" w:type="dxa"/>
          </w:tcPr>
          <w:p w14:paraId="4DBAF8EB" w14:textId="77777777" w:rsidR="00531570" w:rsidRPr="00D03F3E" w:rsidRDefault="00531570" w:rsidP="00D03F3E">
            <w:pPr>
              <w:pStyle w:val="Iauiue"/>
              <w:jc w:val="both"/>
              <w:rPr>
                <w:color w:val="000000" w:themeColor="text1"/>
                <w:sz w:val="16"/>
                <w:szCs w:val="16"/>
              </w:rPr>
            </w:pPr>
          </w:p>
        </w:tc>
        <w:tc>
          <w:tcPr>
            <w:tcW w:w="947" w:type="dxa"/>
          </w:tcPr>
          <w:p w14:paraId="18EC3E58" w14:textId="77777777" w:rsidR="00531570" w:rsidRPr="00D03F3E" w:rsidRDefault="00531570" w:rsidP="00D03F3E">
            <w:pPr>
              <w:pStyle w:val="Iauiue"/>
              <w:jc w:val="both"/>
              <w:rPr>
                <w:color w:val="000000" w:themeColor="text1"/>
                <w:sz w:val="16"/>
                <w:szCs w:val="16"/>
              </w:rPr>
            </w:pPr>
          </w:p>
        </w:tc>
        <w:tc>
          <w:tcPr>
            <w:tcW w:w="850" w:type="dxa"/>
          </w:tcPr>
          <w:p w14:paraId="3A2069D2" w14:textId="77777777" w:rsidR="00531570" w:rsidRPr="00D03F3E" w:rsidRDefault="00531570" w:rsidP="00D03F3E">
            <w:pPr>
              <w:pStyle w:val="Iauiue"/>
              <w:jc w:val="both"/>
              <w:rPr>
                <w:color w:val="000000" w:themeColor="text1"/>
                <w:sz w:val="16"/>
                <w:szCs w:val="16"/>
              </w:rPr>
            </w:pPr>
          </w:p>
        </w:tc>
        <w:tc>
          <w:tcPr>
            <w:tcW w:w="851" w:type="dxa"/>
          </w:tcPr>
          <w:p w14:paraId="08886B71" w14:textId="77777777" w:rsidR="00531570" w:rsidRPr="00D03F3E" w:rsidRDefault="00531570" w:rsidP="00D03F3E">
            <w:pPr>
              <w:pStyle w:val="Iauiue"/>
              <w:jc w:val="both"/>
              <w:rPr>
                <w:color w:val="000000" w:themeColor="text1"/>
                <w:sz w:val="16"/>
                <w:szCs w:val="16"/>
              </w:rPr>
            </w:pPr>
          </w:p>
        </w:tc>
        <w:tc>
          <w:tcPr>
            <w:tcW w:w="1227" w:type="dxa"/>
          </w:tcPr>
          <w:p w14:paraId="748E92D5" w14:textId="77777777" w:rsidR="00531570" w:rsidRPr="00D03F3E" w:rsidRDefault="00531570" w:rsidP="00D03F3E">
            <w:pPr>
              <w:pStyle w:val="Iauiue"/>
              <w:jc w:val="both"/>
              <w:rPr>
                <w:color w:val="000000" w:themeColor="text1"/>
                <w:sz w:val="16"/>
                <w:szCs w:val="16"/>
              </w:rPr>
            </w:pPr>
          </w:p>
        </w:tc>
        <w:tc>
          <w:tcPr>
            <w:tcW w:w="1465" w:type="dxa"/>
          </w:tcPr>
          <w:p w14:paraId="1CA3EBD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летных</w:t>
            </w:r>
          </w:p>
        </w:tc>
      </w:tr>
      <w:tr w:rsidR="00860B4B" w:rsidRPr="00D03F3E" w14:paraId="193A7247" w14:textId="77777777">
        <w:tc>
          <w:tcPr>
            <w:tcW w:w="1951" w:type="dxa"/>
          </w:tcPr>
          <w:p w14:paraId="024B79F3" w14:textId="77777777" w:rsidR="00531570" w:rsidRPr="00D03F3E" w:rsidRDefault="00531570" w:rsidP="00D03F3E">
            <w:pPr>
              <w:pStyle w:val="Iauiue"/>
              <w:jc w:val="both"/>
              <w:rPr>
                <w:color w:val="000000" w:themeColor="text1"/>
                <w:sz w:val="16"/>
                <w:szCs w:val="16"/>
              </w:rPr>
            </w:pPr>
          </w:p>
        </w:tc>
        <w:tc>
          <w:tcPr>
            <w:tcW w:w="1089" w:type="dxa"/>
          </w:tcPr>
          <w:p w14:paraId="24921F0B" w14:textId="77777777" w:rsidR="00531570" w:rsidRPr="00D03F3E" w:rsidRDefault="00531570" w:rsidP="00D03F3E">
            <w:pPr>
              <w:pStyle w:val="Iauiue"/>
              <w:jc w:val="both"/>
              <w:rPr>
                <w:color w:val="000000" w:themeColor="text1"/>
                <w:sz w:val="16"/>
                <w:szCs w:val="16"/>
              </w:rPr>
            </w:pPr>
          </w:p>
        </w:tc>
        <w:tc>
          <w:tcPr>
            <w:tcW w:w="739" w:type="dxa"/>
          </w:tcPr>
          <w:p w14:paraId="14BDB295" w14:textId="77777777" w:rsidR="00531570" w:rsidRPr="00D03F3E" w:rsidRDefault="00531570" w:rsidP="00D03F3E">
            <w:pPr>
              <w:pStyle w:val="Iauiue"/>
              <w:jc w:val="both"/>
              <w:rPr>
                <w:color w:val="000000" w:themeColor="text1"/>
                <w:sz w:val="16"/>
                <w:szCs w:val="16"/>
              </w:rPr>
            </w:pPr>
          </w:p>
        </w:tc>
        <w:tc>
          <w:tcPr>
            <w:tcW w:w="739" w:type="dxa"/>
          </w:tcPr>
          <w:p w14:paraId="4C78B07B" w14:textId="77777777" w:rsidR="00531570" w:rsidRPr="00D03F3E" w:rsidRDefault="00531570" w:rsidP="00D03F3E">
            <w:pPr>
              <w:pStyle w:val="Iauiue"/>
              <w:jc w:val="both"/>
              <w:rPr>
                <w:color w:val="000000" w:themeColor="text1"/>
                <w:sz w:val="16"/>
                <w:szCs w:val="16"/>
              </w:rPr>
            </w:pPr>
          </w:p>
        </w:tc>
        <w:tc>
          <w:tcPr>
            <w:tcW w:w="739" w:type="dxa"/>
          </w:tcPr>
          <w:p w14:paraId="4D173AEB" w14:textId="77777777" w:rsidR="00531570" w:rsidRPr="00D03F3E" w:rsidRDefault="00531570" w:rsidP="00D03F3E">
            <w:pPr>
              <w:pStyle w:val="Iauiue"/>
              <w:jc w:val="both"/>
              <w:rPr>
                <w:color w:val="000000" w:themeColor="text1"/>
                <w:sz w:val="16"/>
                <w:szCs w:val="16"/>
              </w:rPr>
            </w:pPr>
          </w:p>
        </w:tc>
        <w:tc>
          <w:tcPr>
            <w:tcW w:w="947" w:type="dxa"/>
          </w:tcPr>
          <w:p w14:paraId="0F3C3A37" w14:textId="77777777" w:rsidR="00531570" w:rsidRPr="00D03F3E" w:rsidRDefault="00531570" w:rsidP="00D03F3E">
            <w:pPr>
              <w:pStyle w:val="Iauiue"/>
              <w:jc w:val="both"/>
              <w:rPr>
                <w:color w:val="000000" w:themeColor="text1"/>
                <w:sz w:val="16"/>
                <w:szCs w:val="16"/>
              </w:rPr>
            </w:pPr>
          </w:p>
        </w:tc>
        <w:tc>
          <w:tcPr>
            <w:tcW w:w="850" w:type="dxa"/>
          </w:tcPr>
          <w:p w14:paraId="14921897" w14:textId="77777777" w:rsidR="00531570" w:rsidRPr="00D03F3E" w:rsidRDefault="00531570" w:rsidP="00D03F3E">
            <w:pPr>
              <w:pStyle w:val="Iauiue"/>
              <w:jc w:val="both"/>
              <w:rPr>
                <w:color w:val="000000" w:themeColor="text1"/>
                <w:sz w:val="16"/>
                <w:szCs w:val="16"/>
              </w:rPr>
            </w:pPr>
          </w:p>
        </w:tc>
        <w:tc>
          <w:tcPr>
            <w:tcW w:w="851" w:type="dxa"/>
          </w:tcPr>
          <w:p w14:paraId="43C60CB5" w14:textId="77777777" w:rsidR="00531570" w:rsidRPr="00D03F3E" w:rsidRDefault="00531570" w:rsidP="00D03F3E">
            <w:pPr>
              <w:pStyle w:val="Iauiue"/>
              <w:jc w:val="both"/>
              <w:rPr>
                <w:color w:val="000000" w:themeColor="text1"/>
                <w:sz w:val="16"/>
                <w:szCs w:val="16"/>
              </w:rPr>
            </w:pPr>
          </w:p>
        </w:tc>
        <w:tc>
          <w:tcPr>
            <w:tcW w:w="1227" w:type="dxa"/>
          </w:tcPr>
          <w:p w14:paraId="1FE249E8" w14:textId="77777777" w:rsidR="00531570" w:rsidRPr="00D03F3E" w:rsidRDefault="00531570" w:rsidP="00D03F3E">
            <w:pPr>
              <w:pStyle w:val="Iauiue"/>
              <w:jc w:val="both"/>
              <w:rPr>
                <w:color w:val="000000" w:themeColor="text1"/>
                <w:sz w:val="16"/>
                <w:szCs w:val="16"/>
              </w:rPr>
            </w:pPr>
          </w:p>
        </w:tc>
        <w:tc>
          <w:tcPr>
            <w:tcW w:w="1465" w:type="dxa"/>
          </w:tcPr>
          <w:p w14:paraId="473A0E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испытаний</w:t>
            </w:r>
          </w:p>
        </w:tc>
      </w:tr>
    </w:tbl>
    <w:p w14:paraId="723EC7E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Примечания:</w:t>
      </w:r>
    </w:p>
    <w:p w14:paraId="6D891A3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1. Материалы, послужившие исходными при составлении настоящей таблицы, не были увязаны между собой в отношении скорости и высоты полета, оборотов мотора и степени обеднения смеси. С целью облегчить сравнение данных по дальности истребителей, результаты полетных испытаний проводились расчетным путем к одинаковым условиям в отношении высоты и относительной скорости.</w:t>
      </w:r>
    </w:p>
    <w:p w14:paraId="3FC00D6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Предельный запас горючего имеет в виду использование лишь основных бензобаков самолета, без баков подвесных.</w:t>
      </w:r>
    </w:p>
    <w:p w14:paraId="45CEABF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Во всех случаях указывается техническая дальность, т.е. дальность до полного выгорания горючего.</w:t>
      </w:r>
    </w:p>
    <w:p w14:paraId="24A704A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В тех случаях, когда дальность была определена пересчетом полетных испытаний, точность приведенных в таблице данных по дальности составляет +(-)5%. Для самолетов, величина дальности которых была определена только расчетным путем, точность приведенных данных составляет +(-)10%.</w:t>
      </w:r>
    </w:p>
    <w:p w14:paraId="36698AA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 Данные при предельном запасе горючего - 475 кг указаны в знаменателе.</w:t>
      </w:r>
    </w:p>
    <w:p w14:paraId="09F8ED4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 Мотор Аллисон имеет специальное приспособление по предельному обеднению смеси для полета на режиме наивыгоднейшей дальности (1458,322).</w:t>
      </w:r>
    </w:p>
    <w:p w14:paraId="2DB48B80" w14:textId="77777777" w:rsidR="00531570" w:rsidRPr="00D03F3E" w:rsidRDefault="00531570" w:rsidP="00D03F3E">
      <w:pPr>
        <w:pStyle w:val="Iauiue"/>
        <w:jc w:val="both"/>
        <w:rPr>
          <w:color w:val="000000" w:themeColor="text1"/>
          <w:sz w:val="16"/>
          <w:szCs w:val="16"/>
        </w:rPr>
      </w:pPr>
    </w:p>
    <w:p w14:paraId="6998D3D3" w14:textId="77777777" w:rsidR="00BF7BB8" w:rsidRPr="00D03F3E" w:rsidRDefault="00BF7BB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12 июня 1943 года Начальник ГУЗ ВВС генерал-лейтенант ИАС Селезнев в письме № 555840 А.И. Шахурину отмечал, что ЛаГГ-3 № 6066 перетяжелен на 73 кг, имеет недобор скоростей на 10-15 км/час и недостаточную дальность радиосвязи. Помимо этого, военных совершенно не устраивали высокие температурные режимы, выброс масла из суфлера и заниженная дальность полета по запасу горючего. Возможно, 6066 сам по себе имел какие-то индивидуальные недостатки, но вот претензии по недобору скорости выглядят как-то неубедительно. Дело в том, что по постановлению ГКО № 2604сс от 9 декабря 42 года «Об улучшении самолетов-истребителей Як-1, Як-7 и Ла-5», от НКАП требовалось организовать ежемесячную проверку летных данных серийных истребителей и ежеквартальные испытания на выносливость, поэтому с начала 1943 года в ЛИИ стали проводить контрольные испытания всех типов серийных машин. Как можно видеть максимальный «перевес» по сравнению с величиной, заданной постановлением ГКО № 2467сс, составлял 42 кг, а самый значительный недобор скорости – 9 км/ч. Вместе с тем, специалисты ЛИИ отмечали в качестве основных дефектов ЛаГГ-3 недостаточное охлаждение масла, недопустимо высокий уровень помех радиоприему, неудовлетворительное крепление всасывающих патрубков, отставания обшивки центроплана, разрушение гибких шлангов гидросистемы самолета, а также плохую окраску крыльев и лопастей винтов (23197).</w:t>
      </w:r>
    </w:p>
    <w:p w14:paraId="27034735" w14:textId="77777777" w:rsidR="00BF7BB8" w:rsidRPr="00D03F3E" w:rsidRDefault="00BF7BB8" w:rsidP="00D03F3E">
      <w:pPr>
        <w:spacing w:after="0" w:line="240" w:lineRule="auto"/>
        <w:jc w:val="both"/>
        <w:rPr>
          <w:rFonts w:ascii="Times New Roman" w:hAnsi="Times New Roman"/>
          <w:color w:val="0070C0"/>
          <w:sz w:val="16"/>
          <w:szCs w:val="16"/>
        </w:rPr>
      </w:pPr>
    </w:p>
    <w:p w14:paraId="02586FE4" w14:textId="77777777" w:rsidR="006D4911" w:rsidRPr="00D03F3E" w:rsidRDefault="00531570" w:rsidP="00D03F3E">
      <w:pPr>
        <w:pStyle w:val="Iauiue"/>
        <w:jc w:val="both"/>
        <w:rPr>
          <w:color w:val="000000" w:themeColor="text1"/>
          <w:sz w:val="16"/>
          <w:szCs w:val="16"/>
        </w:rPr>
      </w:pPr>
      <w:r w:rsidRPr="00D03F3E">
        <w:rPr>
          <w:color w:val="000000" w:themeColor="text1"/>
          <w:sz w:val="16"/>
          <w:szCs w:val="16"/>
        </w:rPr>
        <w:t>12 июня 1943 вышло постановление Правительства N 3561 "Об истребителях перехватчиках" (886,170). А.С.Я. поручили до 1 августа 1943 провести работы по увеличению боевой высотности Як-9ПД М-105ПД до 13000 м и сделать гермокабину (65,123).</w:t>
      </w:r>
    </w:p>
    <w:p w14:paraId="15C92EC2" w14:textId="77777777" w:rsidR="006D4911" w:rsidRPr="00D03F3E" w:rsidRDefault="006D4911" w:rsidP="00D03F3E">
      <w:pPr>
        <w:pStyle w:val="Iauiue"/>
        <w:jc w:val="both"/>
        <w:rPr>
          <w:color w:val="000000" w:themeColor="text1"/>
          <w:sz w:val="16"/>
          <w:szCs w:val="16"/>
        </w:rPr>
      </w:pPr>
    </w:p>
    <w:p w14:paraId="62139368" w14:textId="77777777" w:rsidR="006D4911" w:rsidRPr="00D03F3E" w:rsidRDefault="00531570" w:rsidP="00D03F3E">
      <w:pPr>
        <w:pStyle w:val="Iauiue"/>
        <w:jc w:val="both"/>
        <w:rPr>
          <w:bCs/>
          <w:color w:val="000000" w:themeColor="text1"/>
          <w:sz w:val="16"/>
          <w:szCs w:val="16"/>
        </w:rPr>
      </w:pPr>
      <w:r w:rsidRPr="00D03F3E">
        <w:rPr>
          <w:bCs/>
          <w:color w:val="000000" w:themeColor="text1"/>
          <w:sz w:val="16"/>
          <w:szCs w:val="16"/>
        </w:rPr>
        <w:t>12 июня 1943 вышло:</w:t>
      </w:r>
    </w:p>
    <w:p w14:paraId="240ADFD7" w14:textId="77777777" w:rsidR="006D4911" w:rsidRPr="00D03F3E" w:rsidRDefault="00531570" w:rsidP="00D03F3E">
      <w:pPr>
        <w:pStyle w:val="Iauiue"/>
        <w:jc w:val="both"/>
        <w:rPr>
          <w:bCs/>
          <w:color w:val="000000" w:themeColor="text1"/>
          <w:sz w:val="16"/>
          <w:szCs w:val="16"/>
        </w:rPr>
      </w:pPr>
      <w:r w:rsidRPr="00D03F3E">
        <w:rPr>
          <w:bCs/>
          <w:color w:val="000000" w:themeColor="text1"/>
          <w:sz w:val="16"/>
          <w:szCs w:val="16"/>
        </w:rPr>
        <w:t>ПОСТАНОВЛЕНИЕ ГОСУДАРСТВЕННОГО КОМИТЕТА ОБОРОНЫ 12 июня 1943 г. № 3560сс</w:t>
      </w:r>
    </w:p>
    <w:p w14:paraId="5039F387" w14:textId="77777777" w:rsidR="00531570" w:rsidRPr="00D03F3E" w:rsidRDefault="00531570" w:rsidP="00D03F3E">
      <w:pPr>
        <w:pStyle w:val="Iauiue"/>
        <w:jc w:val="both"/>
        <w:rPr>
          <w:bCs/>
          <w:color w:val="000000" w:themeColor="text1"/>
          <w:sz w:val="16"/>
          <w:szCs w:val="16"/>
        </w:rPr>
      </w:pPr>
      <w:r w:rsidRPr="00D03F3E">
        <w:rPr>
          <w:bCs/>
          <w:color w:val="000000" w:themeColor="text1"/>
          <w:sz w:val="16"/>
          <w:szCs w:val="16"/>
        </w:rPr>
        <w:t>О выпуске дальних истребителей Як-9 для целей воздушной разведки.</w:t>
      </w:r>
    </w:p>
    <w:p w14:paraId="5A40534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организации воздушной разведки на самолётах истребителях Як-9 М-105ПФ Государственный Комитет Обороны ПОСТАНОВЛЯЕТ:</w:t>
      </w:r>
    </w:p>
    <w:p w14:paraId="70C72DA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Наркомавиапром : - т. Шахурина, т. Яковлева и директора завода № 166 - т. Соколова отработать и оборудовать на заводе № 166 к 1 августа 1943 года в количестве 30 штук, самолёты Як-9 с фотоустановкой АФА-ЗС, радиостанцией РСИ-4, радиополукомпасом РПК-10, вооружённые одной пушкой "МП-20".</w:t>
      </w:r>
    </w:p>
    <w:p w14:paraId="242EF9E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Самолёт должен иметь следующие лётные данные:</w:t>
      </w:r>
    </w:p>
    <w:p w14:paraId="39358FD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Скорость на высоте 4000 метров - 610 км/час</w:t>
      </w:r>
    </w:p>
    <w:p w14:paraId="56DC408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Скорость у земли - 540 км/час</w:t>
      </w:r>
    </w:p>
    <w:p w14:paraId="5AA3C2C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Дальность полета максимальная при скорости 320 км/час на высоте 3000 метров - 1400 км.</w:t>
      </w:r>
    </w:p>
    <w:p w14:paraId="5773EFF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Дальность полета при скорости 480 км/час на высоте 3000 метров - 1100 км.</w:t>
      </w:r>
    </w:p>
    <w:p w14:paraId="15C9758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ПРЕДСЕДАТЕЛЬ ГОСУДАРСТВЕННОГО КОМИТЕТА ОБОРОНЫ И.СТАЛИН </w:t>
      </w:r>
    </w:p>
    <w:p w14:paraId="6CAE889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Секретно</w:t>
      </w:r>
    </w:p>
    <w:p w14:paraId="7EBC07A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Народный Комиссар Авиационной Промышленности Союза ССР</w:t>
      </w:r>
    </w:p>
    <w:p w14:paraId="0E7EDEC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г.</w:t>
      </w:r>
    </w:p>
    <w:p w14:paraId="3434251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Н-33/2329</w:t>
      </w:r>
    </w:p>
    <w:p w14:paraId="4F7EFBA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w:t>
      </w:r>
    </w:p>
    <w:p w14:paraId="558926E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ПРЕДСЕДАТЕЛЮ ГОСУДАРСТВЕННОГО КОМИТЕТА ОБОРОНЫ товарищу СТАЛИНУ И.В.</w:t>
      </w:r>
    </w:p>
    <w:p w14:paraId="09A5978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Представляю на рассмотрение проекты постановлений ГОКО:</w:t>
      </w:r>
    </w:p>
    <w:p w14:paraId="30B3C1D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 истребителях-перехватчиках.</w:t>
      </w:r>
    </w:p>
    <w:p w14:paraId="7B1FD86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 выпуске дальних истребителей Як-9 для целей воздушной разведки.</w:t>
      </w:r>
    </w:p>
    <w:p w14:paraId="0FBDC0F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 введении нового камуфляжа для самолетов истребителей.</w:t>
      </w:r>
    </w:p>
    <w:p w14:paraId="7DA0533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А.Яковлев </w:t>
      </w:r>
    </w:p>
    <w:p w14:paraId="0AA63C0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658BB1F" w14:textId="77777777" w:rsidR="006D4911"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вышло:</w:t>
      </w:r>
    </w:p>
    <w:p w14:paraId="350F560D" w14:textId="77777777" w:rsidR="006D4911" w:rsidRPr="00D03F3E" w:rsidRDefault="00531570"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bCs/>
          <w:color w:val="000000" w:themeColor="text1"/>
          <w:sz w:val="16"/>
          <w:szCs w:val="16"/>
        </w:rPr>
        <w:t>ПОСТАНОВЛЕНИЕ ГОСУДАРСТВЕННОГО КОМИТЕТА ОБОРОНЫ 12 июня 1943 г. № 3561сс</w:t>
      </w:r>
    </w:p>
    <w:p w14:paraId="2864F6A2" w14:textId="77777777" w:rsidR="00531570" w:rsidRPr="00D03F3E" w:rsidRDefault="00531570"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bCs/>
          <w:color w:val="000000" w:themeColor="text1"/>
          <w:sz w:val="16"/>
          <w:szCs w:val="16"/>
        </w:rPr>
        <w:t>Об истребителях-перехватчиках</w:t>
      </w:r>
    </w:p>
    <w:p w14:paraId="44566A6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Достигнутая за последнее время на наших высотных истребителях Як-9 с мотором М-105ПД, боевая высота 12.000 метров является недостаточной для борьбы с высотными разведчиками противника. Для повышения боевой высоты истребителей до 13.000-14.000 метров, Государственный Комитет Обороны ПОСТАНОВЛЯЕТ:</w:t>
      </w:r>
    </w:p>
    <w:p w14:paraId="423C210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Наркомавиапром - т.Шахурина и т.Яковлева провести работы по увеличению боевой высоты истребителя Як-9 с мотором М-105ПД до 13.000 метров; выпустить образец такого самолета к 1 августа 1943 года, переоборудовав для этой цели один из самолетов, находящихся в боевой эксплуатации в частях ПВО.</w:t>
      </w:r>
    </w:p>
    <w:p w14:paraId="17CB9A7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Обязать Наркомавиапром - т.Шахурина и т.Лавочкина построить самолет Ла-5 с мотором М-82ФН с турбокомпрессором с боевой высотой 13.000 метров и предъявить на летные испытания к 15 июля 1943 года.</w:t>
      </w:r>
    </w:p>
    <w:p w14:paraId="78F2161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Обязать Наркомавиапром - т.Шахурина, т.Микояна и т.Гуревича увеличить до 14.000 метров боевую высоту самолета Миг с мотором АМ-39 путем установки на мотор турбокомпрессора и предъявить на летные испытания к 1 сентября 1943 года.</w:t>
      </w:r>
    </w:p>
    <w:p w14:paraId="7A46F73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Отметить, что ЦИАМ ведет недостаточную работу по поднятию высотности моторов и их агрегатов.</w:t>
      </w:r>
    </w:p>
    <w:p w14:paraId="0F86673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Начальника ЦИАМ - т.Поликовского работу по повышению высотности моторной группы перечисленных в п.п. 1, 2 и 3 самолетов считать первоочередной задачей.</w:t>
      </w:r>
    </w:p>
    <w:p w14:paraId="3232CDC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ГОСУДАРСТВЕННОГО КОМИТЕТА ОБОРОНЫ (И.Сталин) (11813).</w:t>
      </w:r>
    </w:p>
    <w:p w14:paraId="620C02A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1CDF06D"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12 июня</w:t>
      </w:r>
      <w:r w:rsidRPr="00D03F3E">
        <w:rPr>
          <w:rFonts w:ascii="Times New Roman" w:hAnsi="Times New Roman"/>
          <w:color w:val="000000" w:themeColor="text1"/>
          <w:sz w:val="16"/>
          <w:szCs w:val="16"/>
        </w:rPr>
        <w:t xml:space="preserve"> в 1943 году Государственный Комитет Обороны в Постановлении №3561 отметил, что достигнутая на высотных истребителях «Як-9» с моторами «М-105ПД» боевая высота 12000 м недостаточна для борьбы с высотными разведчиками противника и обязал НКАП провести работу по увеличению боевой высоты истребителей до 13000-14000 м. В исполнение этого Постановления, а также в соответствии с последовавшим 14 июня 1943 года приказом НКАП №355 коллективу ОКБ-155 надлежало построить истребитель-перехватчик с высотой боевого применения 14000 м путем установки на мотор турбокомпрессора. Для ускорения работ было принято решение строить самолет на базе истребителя «И-220». К разработке проекта истребителя, получившего название </w:t>
      </w:r>
      <w:hyperlink r:id="rId196" w:tgtFrame="_blank" w:history="1">
        <w:r w:rsidRPr="00D03F3E">
          <w:rPr>
            <w:rFonts w:ascii="Times New Roman" w:hAnsi="Times New Roman"/>
            <w:color w:val="000000" w:themeColor="text1"/>
            <w:sz w:val="16"/>
            <w:szCs w:val="16"/>
          </w:rPr>
          <w:t xml:space="preserve">«И-221» </w:t>
        </w:r>
      </w:hyperlink>
      <w:r w:rsidRPr="00D03F3E">
        <w:rPr>
          <w:rFonts w:ascii="Times New Roman" w:hAnsi="Times New Roman"/>
          <w:color w:val="000000" w:themeColor="text1"/>
          <w:sz w:val="16"/>
          <w:szCs w:val="16"/>
        </w:rPr>
        <w:t>и шифр "2А", приступили в середине июня 1943 года, а через два месяца начали сборку новой машины. Однако из-за несвоевременной поставки двигателя самолет был закончен в производстве только 28 октября. По внешнему виду самолет представлял собой тот же тип И-220, но с увеличенным до 13 м размахом крыла. Для работы гермокабины вентиляционного типа под ней был устроен широкий воздуховоздушный радиатор, включенный в систему вентиляции по последовательному циклу. Первый полет летчика П.А.Журавлева был 2 декабря 1943 года. Но заводские испытания завершены не были из-за аварии (14920).</w:t>
      </w:r>
    </w:p>
    <w:p w14:paraId="548D2478" w14:textId="77777777" w:rsidR="006D4911" w:rsidRPr="00D03F3E" w:rsidRDefault="006D4911" w:rsidP="00D03F3E">
      <w:pPr>
        <w:spacing w:after="0" w:line="240" w:lineRule="auto"/>
        <w:jc w:val="both"/>
        <w:rPr>
          <w:rFonts w:ascii="Times New Roman" w:hAnsi="Times New Roman"/>
          <w:color w:val="000000" w:themeColor="text1"/>
          <w:sz w:val="16"/>
          <w:szCs w:val="16"/>
        </w:rPr>
      </w:pPr>
    </w:p>
    <w:p w14:paraId="45BCE32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июня 1943 г. Государственный Комитет Обороны в Постановлении №3561 в связи с продолжавшимися полетами над Москвой немецких самолетов-разведчиков отметил, что достигнутая на высотных истребителях Як-9 с моторами М-105ПД боевая высота 12000 м недостаточна для борьбы с высотными разведчиками противника и обязал НКАП провести работу по увеличению боевой высоты истребителей до 13000-14000 м (5852,38).</w:t>
      </w:r>
    </w:p>
    <w:p w14:paraId="7A62BADC" w14:textId="77777777" w:rsidR="00531570" w:rsidRPr="00D03F3E" w:rsidRDefault="00531570" w:rsidP="00D03F3E">
      <w:pPr>
        <w:pStyle w:val="Iauiue"/>
        <w:jc w:val="both"/>
        <w:rPr>
          <w:color w:val="000000" w:themeColor="text1"/>
          <w:sz w:val="16"/>
          <w:szCs w:val="16"/>
        </w:rPr>
      </w:pPr>
    </w:p>
    <w:p w14:paraId="38A7818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июня 1943 вышло постановление ГКО N 3560сс о выпуске дальнего Як-9 (1713,177).</w:t>
      </w:r>
    </w:p>
    <w:p w14:paraId="0D202E2C" w14:textId="77777777" w:rsidR="00531570" w:rsidRPr="00D03F3E" w:rsidRDefault="00531570" w:rsidP="00D03F3E">
      <w:pPr>
        <w:pStyle w:val="Iauiue"/>
        <w:jc w:val="both"/>
        <w:rPr>
          <w:color w:val="000000" w:themeColor="text1"/>
          <w:sz w:val="16"/>
          <w:szCs w:val="16"/>
        </w:rPr>
      </w:pPr>
    </w:p>
    <w:p w14:paraId="26980E9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г. вышло постановление, в котором Государ</w:t>
      </w:r>
      <w:r w:rsidRPr="00D03F3E">
        <w:rPr>
          <w:rFonts w:ascii="Times New Roman" w:hAnsi="Times New Roman"/>
          <w:color w:val="000000" w:themeColor="text1"/>
          <w:sz w:val="16"/>
          <w:szCs w:val="16"/>
        </w:rPr>
        <w:softHyphen/>
        <w:t>ственный Комитет Обороны отметил, что достигну</w:t>
      </w:r>
      <w:r w:rsidRPr="00D03F3E">
        <w:rPr>
          <w:rFonts w:ascii="Times New Roman" w:hAnsi="Times New Roman"/>
          <w:color w:val="000000" w:themeColor="text1"/>
          <w:sz w:val="16"/>
          <w:szCs w:val="16"/>
        </w:rPr>
        <w:softHyphen/>
        <w:t>тая на высотных истребителях Як—9 с моторами М—105ПД боевая высота 12000 м недостаточна для борьбы с высотными разведчиками противника и обязал наркомат авиапромышленности увеличить боевую высоту истребителей до 13000—14000 м (9984).</w:t>
      </w:r>
    </w:p>
    <w:p w14:paraId="3273E6E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236E336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июня 1943 А.С.Я. поручили до 1 августа увеличить высотность Як-9ПД с М-105ПД до 13000 м и установить гермокабину (65,124).</w:t>
      </w:r>
    </w:p>
    <w:p w14:paraId="55B64663" w14:textId="77777777" w:rsidR="00531570" w:rsidRPr="00D03F3E" w:rsidRDefault="00531570" w:rsidP="00D03F3E">
      <w:pPr>
        <w:pStyle w:val="Iauiue"/>
        <w:jc w:val="both"/>
        <w:rPr>
          <w:color w:val="000000" w:themeColor="text1"/>
          <w:sz w:val="16"/>
          <w:szCs w:val="16"/>
        </w:rPr>
      </w:pPr>
    </w:p>
    <w:p w14:paraId="4CB7339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вышло Постановление ГКО № 3560 О выпуске дальних истребителей Як-9 для целей воздушной разведки.РГАНИР, Фонд ГКО, д. 125, лл. 141 (11012).</w:t>
      </w:r>
    </w:p>
    <w:p w14:paraId="2B43B3E0" w14:textId="77777777" w:rsidR="00531570" w:rsidRPr="00D03F3E" w:rsidRDefault="00531570" w:rsidP="00D03F3E">
      <w:pPr>
        <w:pStyle w:val="Iauiue"/>
        <w:jc w:val="both"/>
        <w:rPr>
          <w:color w:val="000000" w:themeColor="text1"/>
          <w:sz w:val="16"/>
          <w:szCs w:val="16"/>
        </w:rPr>
      </w:pPr>
    </w:p>
    <w:p w14:paraId="5F5867CC" w14:textId="77777777" w:rsidR="00ED34EA" w:rsidRPr="00D03F3E" w:rsidRDefault="00ED34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вышло Постановление ГКО № 3560 О выпуске дальних истребителей Як-9 для целей воздушной разведки</w:t>
      </w:r>
    </w:p>
    <w:p w14:paraId="5D92EBA1" w14:textId="77777777" w:rsidR="00ED34EA" w:rsidRPr="00D03F3E" w:rsidRDefault="00ED34EA"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Для организации воздушной разведки на самолетах истребителях Як-9 М-105ПФ Государственный Комитет Обо</w:t>
      </w:r>
      <w:r w:rsidRPr="00D03F3E">
        <w:rPr>
          <w:rFonts w:ascii="Times New Roman" w:hAnsi="Times New Roman" w:cs="Times New Roman"/>
          <w:color w:val="000000" w:themeColor="text1"/>
          <w:sz w:val="16"/>
          <w:szCs w:val="16"/>
        </w:rPr>
        <w:softHyphen/>
        <w:t>роны постановляет:</w:t>
      </w:r>
    </w:p>
    <w:p w14:paraId="68665641" w14:textId="77777777" w:rsidR="00ED34EA" w:rsidRPr="00D03F3E" w:rsidRDefault="00ED34EA"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Обязать Наркомавиапром т.Шахурина, т.Яковлева и директора вавода № 166 - т.Соколова отработать и обору</w:t>
      </w:r>
      <w:r w:rsidRPr="00D03F3E">
        <w:rPr>
          <w:rFonts w:ascii="Times New Roman" w:hAnsi="Times New Roman" w:cs="Times New Roman"/>
          <w:color w:val="000000" w:themeColor="text1"/>
          <w:sz w:val="16"/>
          <w:szCs w:val="16"/>
        </w:rPr>
        <w:softHyphen/>
        <w:t>довать на заводе № 166 к 1 августа 1943 года в количест</w:t>
      </w:r>
      <w:r w:rsidRPr="00D03F3E">
        <w:rPr>
          <w:rFonts w:ascii="Times New Roman" w:hAnsi="Times New Roman" w:cs="Times New Roman"/>
          <w:color w:val="000000" w:themeColor="text1"/>
          <w:sz w:val="16"/>
          <w:szCs w:val="16"/>
        </w:rPr>
        <w:softHyphen/>
        <w:t>ве 30 штук самолеты Як-9 с фотоустановкой АФА-ЗС, радио</w:t>
      </w:r>
      <w:r w:rsidRPr="00D03F3E">
        <w:rPr>
          <w:rFonts w:ascii="Times New Roman" w:hAnsi="Times New Roman" w:cs="Times New Roman"/>
          <w:color w:val="000000" w:themeColor="text1"/>
          <w:sz w:val="16"/>
          <w:szCs w:val="16"/>
        </w:rPr>
        <w:softHyphen/>
        <w:t>станцией РСИ-4, радиополукомпасом РПК-10, вооруженные одной пушкой МП-20.</w:t>
      </w:r>
    </w:p>
    <w:p w14:paraId="3907E27E" w14:textId="77777777" w:rsidR="00ED34EA" w:rsidRPr="00D03F3E" w:rsidRDefault="00ED34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должен иметь следующие летные данные:</w:t>
      </w:r>
    </w:p>
    <w:p w14:paraId="7E88BE4E" w14:textId="77777777" w:rsidR="00ED34EA" w:rsidRPr="00D03F3E" w:rsidRDefault="00ED34EA" w:rsidP="00D03F3E">
      <w:pPr>
        <w:pStyle w:val="47"/>
        <w:shd w:val="clear" w:color="auto" w:fill="auto"/>
        <w:tabs>
          <w:tab w:val="left" w:pos="2808"/>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1. Скорость на высоте 4000 метров - 610 км/час</w:t>
      </w:r>
    </w:p>
    <w:p w14:paraId="5EF9C1ED" w14:textId="77777777" w:rsidR="00ED34EA" w:rsidRPr="00D03F3E" w:rsidRDefault="00ED34EA" w:rsidP="00D03F3E">
      <w:pPr>
        <w:pStyle w:val="47"/>
        <w:shd w:val="clear" w:color="auto" w:fill="auto"/>
        <w:tabs>
          <w:tab w:val="left" w:pos="2830"/>
          <w:tab w:val="left" w:pos="5485"/>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2. Скорость у земли - 540 км/час</w:t>
      </w:r>
    </w:p>
    <w:p w14:paraId="2E918A39" w14:textId="77777777" w:rsidR="00ED34EA" w:rsidRPr="00D03F3E" w:rsidRDefault="00ED34EA" w:rsidP="00D03F3E">
      <w:pPr>
        <w:tabs>
          <w:tab w:val="left" w:pos="2928"/>
          <w:tab w:val="left" w:pos="559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Дальность полета максимальная при.скорости 320 км/час на вы</w:t>
      </w:r>
      <w:r w:rsidRPr="00D03F3E">
        <w:rPr>
          <w:rFonts w:ascii="Times New Roman" w:hAnsi="Times New Roman"/>
          <w:color w:val="000000" w:themeColor="text1"/>
          <w:sz w:val="16"/>
          <w:szCs w:val="16"/>
        </w:rPr>
        <w:softHyphen/>
        <w:t>соте 3000 метров - 1400 км</w:t>
      </w:r>
    </w:p>
    <w:p w14:paraId="2070807B" w14:textId="77777777" w:rsidR="00ED34EA" w:rsidRPr="00D03F3E" w:rsidRDefault="00ED34EA" w:rsidP="00D03F3E">
      <w:pPr>
        <w:pStyle w:val="47"/>
        <w:shd w:val="clear" w:color="auto" w:fill="auto"/>
        <w:tabs>
          <w:tab w:val="left" w:pos="2935"/>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4. Дальность полета при скорости 480 км/час на высоте 3000 метров - 1100 км (19403).</w:t>
      </w:r>
    </w:p>
    <w:p w14:paraId="16FDA502" w14:textId="77777777" w:rsidR="00BE3EAC" w:rsidRPr="00D03F3E" w:rsidRDefault="00BE3EAC" w:rsidP="00D03F3E">
      <w:pPr>
        <w:pStyle w:val="Iauiue"/>
        <w:jc w:val="both"/>
        <w:rPr>
          <w:color w:val="000000" w:themeColor="text1"/>
          <w:sz w:val="16"/>
          <w:szCs w:val="16"/>
        </w:rPr>
      </w:pPr>
    </w:p>
    <w:p w14:paraId="1BB00BA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ГКО постановлением отметил, что достигнутая на истребителях Як-9 с мотором М-105ПД боевая высота 12 000 м недостаточна для борьбы с высотными разведчиками противника, и обязал НКАП увеличить ее до 13 000 - 14 000 м (12046).</w:t>
      </w:r>
    </w:p>
    <w:p w14:paraId="4BBBDBE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0F0561C" w14:textId="77777777" w:rsidR="00E909C1" w:rsidRPr="00D03F3E" w:rsidRDefault="00E909C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12 июня 1943 ГКО в своем постановлении отметил, что достигнутая на Як-9ПД вы</w:t>
      </w:r>
      <w:r w:rsidRPr="00D03F3E">
        <w:rPr>
          <w:rFonts w:ascii="Times New Roman" w:cs="Times New Roman"/>
          <w:color w:val="000000" w:themeColor="text1"/>
          <w:spacing w:val="0"/>
        </w:rPr>
        <w:softHyphen/>
        <w:t>сота 12 000 м недостаточна для борьбы с разведчиками противника, и обязал НКАП увеличить её до 13 000 - 14 000 м.</w:t>
      </w:r>
    </w:p>
    <w:p w14:paraId="1F242932" w14:textId="77777777" w:rsidR="00E909C1" w:rsidRPr="00D03F3E" w:rsidRDefault="00E909C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На основании приказа НКАП, подписан</w:t>
      </w:r>
      <w:r w:rsidRPr="00D03F3E">
        <w:rPr>
          <w:rFonts w:ascii="Times New Roman" w:cs="Times New Roman"/>
          <w:color w:val="000000" w:themeColor="text1"/>
          <w:spacing w:val="0"/>
        </w:rPr>
        <w:softHyphen/>
        <w:t>ного двумя днями позже, А.С. Яковлеву предписывалось увеличить боевую высоту Як-9ПД до 13 000 м, выпустив доработанную машину к 1 августа 1943 г. Для переделки выделялся один из самолётов, находивших</w:t>
      </w:r>
      <w:r w:rsidRPr="00D03F3E">
        <w:rPr>
          <w:rFonts w:ascii="Times New Roman" w:cs="Times New Roman"/>
          <w:color w:val="000000" w:themeColor="text1"/>
          <w:spacing w:val="0"/>
        </w:rPr>
        <w:softHyphen/>
        <w:t>ся на боевом дежурстве в авиации ПВО.</w:t>
      </w:r>
    </w:p>
    <w:p w14:paraId="494D1F68" w14:textId="77777777" w:rsidR="00E909C1" w:rsidRPr="00D03F3E" w:rsidRDefault="00E909C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Быстро решить поставленную задачу не удалось, и немцы продолжали безнаказанно летать над столицей (19103).</w:t>
      </w:r>
    </w:p>
    <w:p w14:paraId="2EBABF9F" w14:textId="77777777" w:rsidR="00E909C1" w:rsidRPr="00D03F3E" w:rsidRDefault="00E909C1" w:rsidP="00D03F3E">
      <w:pPr>
        <w:pStyle w:val="27"/>
        <w:shd w:val="clear" w:color="auto" w:fill="auto"/>
        <w:spacing w:after="0" w:line="240" w:lineRule="auto"/>
        <w:ind w:firstLine="0"/>
        <w:rPr>
          <w:rFonts w:ascii="Times New Roman" w:cs="Times New Roman"/>
          <w:color w:val="000000" w:themeColor="text1"/>
          <w:spacing w:val="0"/>
        </w:rPr>
      </w:pPr>
    </w:p>
    <w:p w14:paraId="4D560908"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г. вышло Постановление ГКО, в соответствии с которым был создан Як-9Д № 01-29 с мотором М-105ПД. Чтобы получить требуемую по Постановлению ГКО боевую высотность — 13000 м, Яков</w:t>
      </w:r>
      <w:r w:rsidRPr="00D03F3E">
        <w:rPr>
          <w:rFonts w:ascii="Times New Roman" w:hAnsi="Times New Roman"/>
          <w:color w:val="000000" w:themeColor="text1"/>
          <w:sz w:val="16"/>
          <w:szCs w:val="16"/>
        </w:rPr>
        <w:softHyphen/>
        <w:t>лев, помимо установки нового мотора М-105ПД с повышенной с 6300 до 8500 м высот</w:t>
      </w:r>
      <w:r w:rsidRPr="00D03F3E">
        <w:rPr>
          <w:rFonts w:ascii="Times New Roman" w:hAnsi="Times New Roman"/>
          <w:color w:val="000000" w:themeColor="text1"/>
          <w:sz w:val="16"/>
          <w:szCs w:val="16"/>
        </w:rPr>
        <w:softHyphen/>
        <w:t>ностью, за счёт изменения передаточного числа ПЦН с 8,48 на 9,72, увеличил размах крыла самолёта на 1 м и на 0,65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xml:space="preserve"> его площадь, заодно провёл ряд мероприятий по снижению веса самолёта: боекомплект ШВАК сократился со 120 до 110 снарядов, сня</w:t>
      </w:r>
      <w:r w:rsidRPr="00D03F3E">
        <w:rPr>
          <w:rFonts w:ascii="Times New Roman" w:hAnsi="Times New Roman"/>
          <w:color w:val="000000" w:themeColor="text1"/>
          <w:sz w:val="16"/>
          <w:szCs w:val="16"/>
        </w:rPr>
        <w:softHyphen/>
        <w:t>ли протекторы бензобаков, храповик кока винта, весовую компенсацию элеронов и т.д.. В итоге полётная масса высотного Як-9, по сравнению с Як-9Д, уменьшилась на 272 кг, и теперь составляла 2845 кг, соответственно уменьшилась нагрузка на площадь крыла с 182,2 кг/м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xml:space="preserve"> до 159 кг/м</w:t>
      </w:r>
      <w:r w:rsidRPr="00D03F3E">
        <w:rPr>
          <w:rFonts w:ascii="Times New Roman" w:hAnsi="Times New Roman"/>
          <w:color w:val="000000" w:themeColor="text1"/>
          <w:sz w:val="16"/>
          <w:szCs w:val="16"/>
          <w:vertAlign w:val="superscript"/>
        </w:rPr>
        <w:t xml:space="preserve">2 </w:t>
      </w:r>
      <w:r w:rsidRPr="00D03F3E">
        <w:rPr>
          <w:rFonts w:ascii="Times New Roman" w:hAnsi="Times New Roman"/>
          <w:color w:val="000000" w:themeColor="text1"/>
          <w:sz w:val="16"/>
          <w:szCs w:val="16"/>
        </w:rPr>
        <w:t>(15830).</w:t>
      </w:r>
    </w:p>
    <w:p w14:paraId="78A562AD" w14:textId="77777777" w:rsidR="006D4911" w:rsidRPr="00D03F3E" w:rsidRDefault="006D4911" w:rsidP="00D03F3E">
      <w:pPr>
        <w:spacing w:after="0" w:line="240" w:lineRule="auto"/>
        <w:jc w:val="both"/>
        <w:rPr>
          <w:rFonts w:ascii="Times New Roman" w:hAnsi="Times New Roman"/>
          <w:color w:val="000000" w:themeColor="text1"/>
          <w:sz w:val="16"/>
          <w:szCs w:val="16"/>
        </w:rPr>
      </w:pPr>
    </w:p>
    <w:p w14:paraId="7BC780D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г. вышло постановление ГКО № 3561, в частности, обязывавшее Микояна продолжить работу над высотным истребителем. Ему предлагалось на ос</w:t>
      </w:r>
      <w:r w:rsidRPr="00D03F3E">
        <w:rPr>
          <w:rFonts w:ascii="Times New Roman" w:hAnsi="Times New Roman"/>
          <w:color w:val="000000" w:themeColor="text1"/>
          <w:sz w:val="16"/>
          <w:szCs w:val="16"/>
        </w:rPr>
        <w:softHyphen/>
        <w:t>нове МиГ—3 построить опытную машину с мотором АМ—39, снабженным турбокомпрессором, способную достигнуть практического потолка 14000 м. Такие тре</w:t>
      </w:r>
      <w:r w:rsidRPr="00D03F3E">
        <w:rPr>
          <w:rFonts w:ascii="Times New Roman" w:hAnsi="Times New Roman"/>
          <w:color w:val="000000" w:themeColor="text1"/>
          <w:sz w:val="16"/>
          <w:szCs w:val="16"/>
        </w:rPr>
        <w:softHyphen/>
        <w:t>бования не являлись чрезмерными, поскольку немцы, модернизировав высотные «юнкерсы» (1и 86К), действовали уже на высотах более 13500 м. Однако на опытных МиГ—3 «улучшенных», один из которых практически одновременно с предыду</w:t>
      </w:r>
      <w:r w:rsidRPr="00D03F3E">
        <w:rPr>
          <w:rFonts w:ascii="Times New Roman" w:hAnsi="Times New Roman"/>
          <w:color w:val="000000" w:themeColor="text1"/>
          <w:sz w:val="16"/>
          <w:szCs w:val="16"/>
        </w:rPr>
        <w:softHyphen/>
        <w:t>щей машиной проходил заводские испытания, все рекомендаций НИИ ВВС выполнить не успели. По мнению заместителя главного конструктора М.И.Гуревича, за счет перекомпоновки системы ох</w:t>
      </w:r>
      <w:r w:rsidRPr="00D03F3E">
        <w:rPr>
          <w:rFonts w:ascii="Times New Roman" w:hAnsi="Times New Roman"/>
          <w:color w:val="000000" w:themeColor="text1"/>
          <w:sz w:val="16"/>
          <w:szCs w:val="16"/>
        </w:rPr>
        <w:softHyphen/>
        <w:t>лаждения удалось улучшить аэродинамику самолета, что обеспечивало увеличение скорости на 30—40 км/ч на расчетной высоте. Хотя мотор АМ—35А вы</w:t>
      </w:r>
      <w:r w:rsidRPr="00D03F3E">
        <w:rPr>
          <w:rFonts w:ascii="Times New Roman" w:hAnsi="Times New Roman"/>
          <w:color w:val="000000" w:themeColor="text1"/>
          <w:sz w:val="16"/>
          <w:szCs w:val="16"/>
        </w:rPr>
        <w:softHyphen/>
        <w:t>пуска 1943 г. был тяжелее аналогичного, построенно</w:t>
      </w:r>
      <w:r w:rsidRPr="00D03F3E">
        <w:rPr>
          <w:rFonts w:ascii="Times New Roman" w:hAnsi="Times New Roman"/>
          <w:color w:val="000000" w:themeColor="text1"/>
          <w:sz w:val="16"/>
          <w:szCs w:val="16"/>
        </w:rPr>
        <w:softHyphen/>
        <w:t>го двумя годами ранее, винтомоторная группа весила меньше на 150 кг. Передняя центровка «улучшенной» машины улучшала продольную устойчивость истребителя, маневренность, управляемость, а также способст</w:t>
      </w:r>
      <w:r w:rsidRPr="00D03F3E">
        <w:rPr>
          <w:rFonts w:ascii="Times New Roman" w:hAnsi="Times New Roman"/>
          <w:color w:val="000000" w:themeColor="text1"/>
          <w:sz w:val="16"/>
          <w:szCs w:val="16"/>
        </w:rPr>
        <w:softHyphen/>
        <w:t>вовала сокращению длины разбега. Главный конст</w:t>
      </w:r>
      <w:r w:rsidRPr="00D03F3E">
        <w:rPr>
          <w:rFonts w:ascii="Times New Roman" w:hAnsi="Times New Roman"/>
          <w:color w:val="000000" w:themeColor="text1"/>
          <w:sz w:val="16"/>
          <w:szCs w:val="16"/>
        </w:rPr>
        <w:softHyphen/>
        <w:t>руктор А.И.Микоян отметил, что возможно дальней</w:t>
      </w:r>
      <w:r w:rsidRPr="00D03F3E">
        <w:rPr>
          <w:rFonts w:ascii="Times New Roman" w:hAnsi="Times New Roman"/>
          <w:color w:val="000000" w:themeColor="text1"/>
          <w:sz w:val="16"/>
          <w:szCs w:val="16"/>
        </w:rPr>
        <w:softHyphen/>
        <w:t>шее развитие конструкции с двигателем АМ—39, при котором вполне реально получить скорость 700—710 км/ч на расчетной высоте.-При внешней схожести с МиГ—3, «улучшен</w:t>
      </w:r>
      <w:r w:rsidRPr="00D03F3E">
        <w:rPr>
          <w:rFonts w:ascii="Times New Roman" w:hAnsi="Times New Roman"/>
          <w:color w:val="000000" w:themeColor="text1"/>
          <w:sz w:val="16"/>
          <w:szCs w:val="16"/>
        </w:rPr>
        <w:softHyphen/>
        <w:t>ный» истребитель имел много новшеств. Так, фю</w:t>
      </w:r>
      <w:r w:rsidRPr="00D03F3E">
        <w:rPr>
          <w:rFonts w:ascii="Times New Roman" w:hAnsi="Times New Roman"/>
          <w:color w:val="000000" w:themeColor="text1"/>
          <w:sz w:val="16"/>
          <w:szCs w:val="16"/>
        </w:rPr>
        <w:softHyphen/>
        <w:t>зеляж представлял собой цельнодеревянный моно-кок со съемным килем (вместо смешанной конструкции, состоявшей из сварной фермы и де</w:t>
      </w:r>
      <w:r w:rsidRPr="00D03F3E">
        <w:rPr>
          <w:rFonts w:ascii="Times New Roman" w:hAnsi="Times New Roman"/>
          <w:color w:val="000000" w:themeColor="text1"/>
          <w:sz w:val="16"/>
          <w:szCs w:val="16"/>
        </w:rPr>
        <w:softHyphen/>
        <w:t>ревянной хвостовой части). Расширение фюзеляжа в районе кабины позволило разместить летчика бо</w:t>
      </w:r>
      <w:r w:rsidRPr="00D03F3E">
        <w:rPr>
          <w:rFonts w:ascii="Times New Roman" w:hAnsi="Times New Roman"/>
          <w:color w:val="000000" w:themeColor="text1"/>
          <w:sz w:val="16"/>
          <w:szCs w:val="16"/>
        </w:rPr>
        <w:softHyphen/>
        <w:t>лее комфортно, улучшило обзор из кабины. Кроме того, фонарь легко открывался в полете. Главные лонжероны выполнялись из хромансилевых про</w:t>
      </w:r>
      <w:r w:rsidRPr="00D03F3E">
        <w:rPr>
          <w:rFonts w:ascii="Times New Roman" w:hAnsi="Times New Roman"/>
          <w:color w:val="000000" w:themeColor="text1"/>
          <w:sz w:val="16"/>
          <w:szCs w:val="16"/>
        </w:rPr>
        <w:softHyphen/>
        <w:t>филей — взамен сосны и дельта-древесины. Вместо двух круглых маслорадиаторов устанавливался один под центропланом. А вместо прежних четырех металлических бензиновых баков (емкостью 500 л), конструкторы установили перед кабиной летчика один мягкий бак на 440 л. Всего опытный завод № 155 построил, как уже от</w:t>
      </w:r>
      <w:r w:rsidRPr="00D03F3E">
        <w:rPr>
          <w:rFonts w:ascii="Times New Roman" w:hAnsi="Times New Roman"/>
          <w:color w:val="000000" w:themeColor="text1"/>
          <w:sz w:val="16"/>
          <w:szCs w:val="16"/>
        </w:rPr>
        <w:softHyphen/>
        <w:t>мечалось, шесть «улучшенных» истребителей, полу</w:t>
      </w:r>
      <w:r w:rsidRPr="00D03F3E">
        <w:rPr>
          <w:rFonts w:ascii="Times New Roman" w:hAnsi="Times New Roman"/>
          <w:color w:val="000000" w:themeColor="text1"/>
          <w:sz w:val="16"/>
          <w:szCs w:val="16"/>
        </w:rPr>
        <w:softHyphen/>
        <w:t>чивших заводские обозначения от МиГ—ЗД1 до МиГ—ЗД6. Ведущим инженером по испытаниям Ми</w:t>
      </w:r>
      <w:r w:rsidRPr="00D03F3E">
        <w:rPr>
          <w:rFonts w:ascii="Times New Roman" w:hAnsi="Times New Roman"/>
          <w:color w:val="000000" w:themeColor="text1"/>
          <w:sz w:val="16"/>
          <w:szCs w:val="16"/>
        </w:rPr>
        <w:softHyphen/>
        <w:t>коян назначил Б.А.Князева, а от НИИ ВВС контроль осуществляли ведущий инженер Розанов, инженер по винтомоторной группе Иванов, инженер по во</w:t>
      </w:r>
      <w:r w:rsidRPr="00D03F3E">
        <w:rPr>
          <w:rFonts w:ascii="Times New Roman" w:hAnsi="Times New Roman"/>
          <w:color w:val="000000" w:themeColor="text1"/>
          <w:sz w:val="16"/>
          <w:szCs w:val="16"/>
        </w:rPr>
        <w:softHyphen/>
        <w:t>оружению Березин, инженер по спецоборудованию Денисов и ведущий летчик Стефановский (9984).</w:t>
      </w:r>
    </w:p>
    <w:p w14:paraId="2FA63A2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710DA3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нюня 1943 г. вышло постановление ГОКО № 3561, в соответствии с которым строился самолет И-222 (изд. ЗА) — высотный истребитель с гермокабнной. Он оснащался мотором АМ-39Б с двумя турбоком</w:t>
      </w:r>
      <w:r w:rsidRPr="00D03F3E">
        <w:rPr>
          <w:rFonts w:ascii="Times New Roman" w:hAnsi="Times New Roman"/>
          <w:color w:val="000000" w:themeColor="text1"/>
          <w:sz w:val="16"/>
          <w:szCs w:val="16"/>
        </w:rPr>
        <w:softHyphen/>
        <w:t>прессорами ТК-2Б конструкции ЦИАМ. На заводских испытаниях была достигнута высота 12000 м. Получили максимальную ско рость около 700 км/ч. На заводских испытаниях, начатых в 1944г., И-222 совершил 36 полетов. Мотор выработал ресурс и в феврале 1945 г. был снят для переборки. В отчете завода за 1944 г. отмечалось, что одной из основных причин выхода из строя моторов АМ-39 на самолетах ОКБ А.И. Микояна было разруше</w:t>
      </w:r>
      <w:r w:rsidRPr="00D03F3E">
        <w:rPr>
          <w:rFonts w:ascii="Times New Roman" w:hAnsi="Times New Roman"/>
          <w:color w:val="000000" w:themeColor="text1"/>
          <w:sz w:val="16"/>
          <w:szCs w:val="16"/>
        </w:rPr>
        <w:softHyphen/>
        <w:t>ние трущихся поверхностей мотора из-за несовершенства самолетных маслосистем (10781).</w:t>
      </w:r>
    </w:p>
    <w:p w14:paraId="7C90E5E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DD0619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июня 1943 в первом полете произошла катастрофа Гу-1 (Гу-37) и погиб А.И.Никашин - один из первых ли с высшим инженерным образованием (172,204). Самолет был красного цвета. Проектирование началось в 1940 и в 1942 ОКБ А.А.М. изготовило длинный вал (4,241).</w:t>
      </w:r>
    </w:p>
    <w:p w14:paraId="1E3C2716" w14:textId="77777777" w:rsidR="00531570" w:rsidRPr="00D03F3E" w:rsidRDefault="00531570" w:rsidP="00D03F3E">
      <w:pPr>
        <w:pStyle w:val="Iauiue"/>
        <w:jc w:val="both"/>
        <w:rPr>
          <w:color w:val="000000" w:themeColor="text1"/>
          <w:sz w:val="16"/>
          <w:szCs w:val="16"/>
        </w:rPr>
      </w:pPr>
    </w:p>
    <w:p w14:paraId="04B432F0"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года подполковник Никашин прогрел мотор и в 14 ч 15 мин. Гу-1 отправился в свой первый и последний полет с Центрального аэродрома Москвы. В тот день вместо праздника произошла катастрофа. Ответа на вопрос, почему это произошло, нет и по сей день, но тогда мнения многих специалистов, оставивших свои подписи под ранними заключениями по машине, были категоричны: "Виноват конструктор" (15558).</w:t>
      </w:r>
    </w:p>
    <w:p w14:paraId="1012E0A8" w14:textId="77777777" w:rsidR="006D4911" w:rsidRPr="00D03F3E" w:rsidRDefault="006D4911" w:rsidP="00D03F3E">
      <w:pPr>
        <w:spacing w:after="0" w:line="240" w:lineRule="auto"/>
        <w:jc w:val="both"/>
        <w:rPr>
          <w:rFonts w:ascii="Times New Roman" w:hAnsi="Times New Roman"/>
          <w:color w:val="000000" w:themeColor="text1"/>
          <w:sz w:val="16"/>
          <w:szCs w:val="16"/>
        </w:rPr>
      </w:pPr>
    </w:p>
    <w:p w14:paraId="3F413ABD"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12 июня</w:t>
      </w:r>
      <w:r w:rsidRPr="00D03F3E">
        <w:rPr>
          <w:rFonts w:ascii="Times New Roman" w:hAnsi="Times New Roman"/>
          <w:color w:val="000000" w:themeColor="text1"/>
          <w:sz w:val="16"/>
          <w:szCs w:val="16"/>
        </w:rPr>
        <w:t xml:space="preserve"> в 1943 году катастрофа истребителя «Гу-1» М.И.Гудкова, лётчик-испытатель, подполковник </w:t>
      </w:r>
      <w:hyperlink r:id="rId197" w:tgtFrame="_blank" w:history="1">
        <w:r w:rsidRPr="00D03F3E">
          <w:rPr>
            <w:rFonts w:ascii="Times New Roman" w:hAnsi="Times New Roman"/>
            <w:color w:val="000000" w:themeColor="text1"/>
            <w:sz w:val="16"/>
            <w:szCs w:val="16"/>
          </w:rPr>
          <w:t xml:space="preserve">Никашин А.И. </w:t>
        </w:r>
      </w:hyperlink>
      <w:r w:rsidRPr="00D03F3E">
        <w:rPr>
          <w:rFonts w:ascii="Times New Roman" w:hAnsi="Times New Roman"/>
          <w:color w:val="000000" w:themeColor="text1"/>
          <w:sz w:val="16"/>
          <w:szCs w:val="16"/>
        </w:rPr>
        <w:t>погиб при испытании (14920).</w:t>
      </w:r>
    </w:p>
    <w:p w14:paraId="447736DB" w14:textId="77777777" w:rsidR="006D4911" w:rsidRPr="00D03F3E" w:rsidRDefault="006D4911" w:rsidP="00D03F3E">
      <w:pPr>
        <w:spacing w:after="0" w:line="240" w:lineRule="auto"/>
        <w:jc w:val="both"/>
        <w:rPr>
          <w:rFonts w:ascii="Times New Roman" w:hAnsi="Times New Roman"/>
          <w:color w:val="000000" w:themeColor="text1"/>
          <w:sz w:val="16"/>
          <w:szCs w:val="16"/>
        </w:rPr>
      </w:pPr>
    </w:p>
    <w:p w14:paraId="2C80535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июня 1943 вышел приказ НКАП N 353, назначивший комиссию для выяснения причин катастрофы самолета типа Аэрокобра конструкции М.И.Гудкова, которая произошла 12 июня (886,152).</w:t>
      </w:r>
    </w:p>
    <w:p w14:paraId="520AEE87" w14:textId="77777777" w:rsidR="00531570" w:rsidRPr="00D03F3E" w:rsidRDefault="00531570" w:rsidP="00D03F3E">
      <w:pPr>
        <w:pStyle w:val="Iauiue"/>
        <w:jc w:val="both"/>
        <w:rPr>
          <w:color w:val="000000" w:themeColor="text1"/>
          <w:sz w:val="16"/>
          <w:szCs w:val="16"/>
        </w:rPr>
      </w:pPr>
    </w:p>
    <w:p w14:paraId="086D7F6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июня 1943 в Троице-Лыковом в 10 км от ЦА разбился А.И.Никашин на Гу-1 в первом полете в 14:20 (1458,145).</w:t>
      </w:r>
    </w:p>
    <w:p w14:paraId="6BBE058F" w14:textId="77777777" w:rsidR="00531570" w:rsidRPr="00D03F3E" w:rsidRDefault="00531570" w:rsidP="00D03F3E">
      <w:pPr>
        <w:pStyle w:val="Iauiue"/>
        <w:jc w:val="both"/>
        <w:rPr>
          <w:color w:val="000000" w:themeColor="text1"/>
          <w:sz w:val="16"/>
          <w:szCs w:val="16"/>
        </w:rPr>
      </w:pPr>
    </w:p>
    <w:p w14:paraId="73E8290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июня 1943 года подполковник Никашин прогрел мотор и в 14ч 15 мин. Гу-1 отправился в свой первый и последний полет с Центрального аэродрома Москвы. В тот день вместо праздника произошла катастрофа (7686,4).</w:t>
      </w:r>
    </w:p>
    <w:p w14:paraId="2C7B92FE" w14:textId="77777777" w:rsidR="00531570" w:rsidRPr="00D03F3E" w:rsidRDefault="00531570" w:rsidP="00D03F3E">
      <w:pPr>
        <w:pStyle w:val="Iauiue"/>
        <w:jc w:val="both"/>
        <w:rPr>
          <w:color w:val="000000" w:themeColor="text1"/>
          <w:sz w:val="16"/>
          <w:szCs w:val="16"/>
        </w:rPr>
      </w:pPr>
    </w:p>
    <w:p w14:paraId="1BC2E7D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июня 1943 г. в первом же вылете самолет Гудкова потерпел катастрофу, погиб летчик А.И.Никашин.</w:t>
      </w:r>
    </w:p>
    <w:p w14:paraId="1F44636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Вывод аварийной комиссии свелся к “испорченной” многочисленными вырезами в передней кромке крыла (для различных каналов радиаторов, всасывающего патрубка и т. п.) аэродинамике самолета. Однако он был далеко не бесспорным.</w:t>
      </w:r>
    </w:p>
    <w:p w14:paraId="1DA6CA9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 сожалению, на просьбу М.И.Гудкова продуть в аэродинамической трубе ЦАГИ второй экземпляр самолета, чтобы проверить влияние этих каналов, последовал категорический отказ.</w:t>
      </w:r>
    </w:p>
    <w:p w14:paraId="22B646E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Судя по показаниям очевидцев происшествия, вероятной причиной катастрофы могла быть раскрутка винта, но эта версия комиссией совершенно не рассматривалась (9649).</w:t>
      </w:r>
    </w:p>
    <w:p w14:paraId="45CB4CDC" w14:textId="77777777" w:rsidR="00531570" w:rsidRPr="00D03F3E" w:rsidRDefault="00531570" w:rsidP="00D03F3E">
      <w:pPr>
        <w:pStyle w:val="Iauiue"/>
        <w:jc w:val="both"/>
        <w:rPr>
          <w:color w:val="000000" w:themeColor="text1"/>
          <w:sz w:val="16"/>
          <w:szCs w:val="16"/>
        </w:rPr>
      </w:pPr>
    </w:p>
    <w:p w14:paraId="23506333" w14:textId="77777777" w:rsidR="00DA71F1" w:rsidRPr="00D03F3E" w:rsidRDefault="00DA71F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12 июня 1943 г. тяжелый пушечный истреби</w:t>
      </w:r>
      <w:r w:rsidRPr="00D03F3E">
        <w:rPr>
          <w:color w:val="000000" w:themeColor="text1"/>
          <w:sz w:val="16"/>
          <w:szCs w:val="16"/>
        </w:rPr>
        <w:softHyphen/>
        <w:t>тель Гу-1 конструкции М. И. Гудкова при первом же испытательном полете потерпел ка</w:t>
      </w:r>
      <w:r w:rsidRPr="00D03F3E">
        <w:rPr>
          <w:color w:val="000000" w:themeColor="text1"/>
          <w:sz w:val="16"/>
          <w:szCs w:val="16"/>
        </w:rPr>
        <w:softHyphen/>
        <w:t>тастрофу. Погиб летчик-испытатель подполковник А. И. Никашин.</w:t>
      </w:r>
    </w:p>
    <w:p w14:paraId="5DFA55BF" w14:textId="77777777" w:rsidR="00DA71F1" w:rsidRPr="00D03F3E" w:rsidRDefault="00DA71F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Аварийная комиссия под председательством заместителя начальника ЦАГИ И. В. Остославско- го сочла, что «катастрофа произошла из-за низких летных качеств самолета, получившихся вследствие плохой компоновки и ряда конструкторских оши</w:t>
      </w:r>
      <w:r w:rsidRPr="00D03F3E">
        <w:rPr>
          <w:color w:val="000000" w:themeColor="text1"/>
          <w:sz w:val="16"/>
          <w:szCs w:val="16"/>
        </w:rPr>
        <w:softHyphen/>
        <w:t>бок». Приказом НКАП от 6 июля Гудкова лишили звания главного конструктора 2-й степени, запре</w:t>
      </w:r>
      <w:r w:rsidRPr="00D03F3E">
        <w:rPr>
          <w:color w:val="000000" w:themeColor="text1"/>
          <w:sz w:val="16"/>
          <w:szCs w:val="16"/>
        </w:rPr>
        <w:softHyphen/>
        <w:t>тили заниматься самостоятельной конструкторской работой и направили в Ташкент работать замести</w:t>
      </w:r>
      <w:r w:rsidRPr="00D03F3E">
        <w:rPr>
          <w:color w:val="000000" w:themeColor="text1"/>
          <w:sz w:val="16"/>
          <w:szCs w:val="16"/>
        </w:rPr>
        <w:softHyphen/>
        <w:t>телем начальника ОТК завода № 84.</w:t>
      </w:r>
    </w:p>
    <w:p w14:paraId="67B85F65" w14:textId="77777777" w:rsidR="00DA71F1" w:rsidRPr="00D03F3E" w:rsidRDefault="00DA71F1"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Вскоре ЛИИ НКАП в лице начальника института профессора А. В. Чесалова выдало отрицательное заключение по самолету Гу-1: «Самолет-истреби</w:t>
      </w:r>
      <w:r w:rsidRPr="00D03F3E">
        <w:rPr>
          <w:color w:val="000000" w:themeColor="text1"/>
          <w:sz w:val="16"/>
          <w:szCs w:val="16"/>
        </w:rPr>
        <w:softHyphen/>
        <w:t>тель конструкции тов. Гудкова типа «Аэрокобра» никакого практического интереса для нашей авиа</w:t>
      </w:r>
      <w:r w:rsidRPr="00D03F3E">
        <w:rPr>
          <w:color w:val="000000" w:themeColor="text1"/>
          <w:sz w:val="16"/>
          <w:szCs w:val="16"/>
        </w:rPr>
        <w:softHyphen/>
        <w:t>ции не представляет».</w:t>
      </w:r>
    </w:p>
    <w:p w14:paraId="27308BD2" w14:textId="77777777" w:rsidR="00DA71F1" w:rsidRPr="00D03F3E" w:rsidRDefault="00DA71F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Следствием всех этих событий стало прекраще</w:t>
      </w:r>
      <w:r w:rsidRPr="00D03F3E">
        <w:rPr>
          <w:rFonts w:ascii="Times New Roman" w:hAnsi="Times New Roman"/>
          <w:color w:val="000000" w:themeColor="text1"/>
          <w:sz w:val="16"/>
          <w:szCs w:val="16"/>
        </w:rPr>
        <w:softHyphen/>
        <w:t>ние всех работ как по Гу-1, так и по самолету Гу-2 (17500).</w:t>
      </w:r>
    </w:p>
    <w:p w14:paraId="0C70C0DF" w14:textId="77777777" w:rsidR="00DA71F1" w:rsidRPr="00D03F3E" w:rsidRDefault="00DA71F1" w:rsidP="00D03F3E">
      <w:pPr>
        <w:spacing w:after="0" w:line="240" w:lineRule="auto"/>
        <w:jc w:val="both"/>
        <w:rPr>
          <w:rFonts w:ascii="Times New Roman" w:hAnsi="Times New Roman"/>
          <w:color w:val="000000" w:themeColor="text1"/>
          <w:sz w:val="16"/>
          <w:szCs w:val="16"/>
        </w:rPr>
      </w:pPr>
    </w:p>
    <w:p w14:paraId="5CA3ECB9"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вышло Постановление ГКО № 3562 О введении нового камуфляжа для самолетов-истребителей.РГАНИР, Фонд ГКО, д. 125, лл. 143 (11012).</w:t>
      </w:r>
    </w:p>
    <w:p w14:paraId="17BD5A83" w14:textId="77777777" w:rsidR="006D4911" w:rsidRPr="00D03F3E" w:rsidRDefault="006D4911" w:rsidP="00D03F3E">
      <w:pPr>
        <w:spacing w:after="0" w:line="240" w:lineRule="auto"/>
        <w:jc w:val="both"/>
        <w:rPr>
          <w:rFonts w:ascii="Times New Roman" w:hAnsi="Times New Roman"/>
          <w:color w:val="000000" w:themeColor="text1"/>
          <w:sz w:val="16"/>
          <w:szCs w:val="16"/>
        </w:rPr>
      </w:pPr>
    </w:p>
    <w:p w14:paraId="56461D3E" w14:textId="77777777" w:rsidR="00ED34EA" w:rsidRPr="00D03F3E" w:rsidRDefault="00ED34EA"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вышло Постановление ГКО № 3562 О введении нового камуфляжа для самолетов-истребителей</w:t>
      </w:r>
    </w:p>
    <w:p w14:paraId="5ADCC291" w14:textId="77777777" w:rsidR="00ED34EA" w:rsidRPr="00D03F3E" w:rsidRDefault="00ED34EA" w:rsidP="00D03F3E">
      <w:pPr>
        <w:spacing w:after="0" w:line="240" w:lineRule="auto"/>
        <w:jc w:val="both"/>
        <w:rPr>
          <w:rFonts w:ascii="Times New Roman" w:hAnsi="Times New Roman"/>
          <w:color w:val="000000" w:themeColor="text1"/>
          <w:sz w:val="16"/>
          <w:szCs w:val="16"/>
        </w:rPr>
      </w:pPr>
      <w:r w:rsidRPr="00D03F3E">
        <w:rPr>
          <w:rFonts w:ascii="Times New Roman" w:eastAsia="Batang" w:hAnsi="Times New Roman"/>
          <w:color w:val="000000" w:themeColor="text1"/>
          <w:sz w:val="16"/>
          <w:szCs w:val="16"/>
          <w:lang w:eastAsia="ru-RU"/>
        </w:rPr>
        <w:t>С целью улучшения камуфлирующих свойств окраски истре</w:t>
      </w:r>
      <w:r w:rsidRPr="00D03F3E">
        <w:rPr>
          <w:rFonts w:ascii="Times New Roman" w:eastAsia="Batang" w:hAnsi="Times New Roman"/>
          <w:color w:val="000000" w:themeColor="text1"/>
          <w:sz w:val="16"/>
          <w:szCs w:val="16"/>
          <w:lang w:eastAsia="ru-RU"/>
        </w:rPr>
        <w:softHyphen/>
        <w:t>бительных самолетов Государственный Комитет Оборовн разреша</w:t>
      </w:r>
      <w:r w:rsidRPr="00D03F3E">
        <w:rPr>
          <w:rFonts w:ascii="Times New Roman" w:eastAsia="Batang" w:hAnsi="Times New Roman"/>
          <w:color w:val="000000" w:themeColor="text1"/>
          <w:sz w:val="16"/>
          <w:szCs w:val="16"/>
          <w:lang w:eastAsia="ru-RU"/>
        </w:rPr>
        <w:softHyphen/>
        <w:t>ет Наркомавиапрому - т.Шахурину и командующему ВВС КА т.Нови</w:t>
      </w:r>
      <w:r w:rsidRPr="00D03F3E">
        <w:rPr>
          <w:rFonts w:ascii="Times New Roman" w:eastAsia="Batang" w:hAnsi="Times New Roman"/>
          <w:color w:val="000000" w:themeColor="text1"/>
          <w:sz w:val="16"/>
          <w:szCs w:val="16"/>
          <w:lang w:eastAsia="ru-RU"/>
        </w:rPr>
        <w:softHyphen/>
        <w:t>кову ввести камуфляж истребительных самолетов в соответствии с представленными образцами - сероголубой вместо черно-зелено</w:t>
      </w:r>
      <w:r w:rsidRPr="00D03F3E">
        <w:rPr>
          <w:rFonts w:ascii="Times New Roman" w:eastAsia="Batang" w:hAnsi="Times New Roman"/>
          <w:color w:val="000000" w:themeColor="text1"/>
          <w:sz w:val="16"/>
          <w:szCs w:val="16"/>
          <w:lang w:eastAsia="ru-RU"/>
        </w:rPr>
        <w:softHyphen/>
        <w:t xml:space="preserve">го </w:t>
      </w:r>
      <w:r w:rsidRPr="00D03F3E">
        <w:rPr>
          <w:rFonts w:ascii="Times New Roman" w:hAnsi="Times New Roman"/>
          <w:color w:val="000000" w:themeColor="text1"/>
          <w:sz w:val="16"/>
          <w:szCs w:val="16"/>
        </w:rPr>
        <w:t>(19404).</w:t>
      </w:r>
    </w:p>
    <w:p w14:paraId="622115DB" w14:textId="77777777" w:rsidR="00ED34EA" w:rsidRPr="00D03F3E" w:rsidRDefault="00ED34EA" w:rsidP="00D03F3E">
      <w:pPr>
        <w:spacing w:after="0" w:line="240" w:lineRule="auto"/>
        <w:jc w:val="both"/>
        <w:rPr>
          <w:rFonts w:ascii="Times New Roman" w:hAnsi="Times New Roman"/>
          <w:color w:val="000000" w:themeColor="text1"/>
          <w:sz w:val="16"/>
          <w:szCs w:val="16"/>
        </w:rPr>
      </w:pPr>
    </w:p>
    <w:p w14:paraId="2A5062F4"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68F0EFCC" w14:textId="77777777" w:rsidR="00531570" w:rsidRPr="00D03F3E" w:rsidRDefault="00531570" w:rsidP="00D03F3E">
      <w:pPr>
        <w:pStyle w:val="Iauiue"/>
        <w:jc w:val="both"/>
        <w:rPr>
          <w:iCs/>
          <w:color w:val="000000" w:themeColor="text1"/>
          <w:sz w:val="16"/>
          <w:szCs w:val="16"/>
        </w:rPr>
      </w:pPr>
    </w:p>
    <w:p w14:paraId="7E2C580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вышло Распоряжение ГКО № 3554. О распространении постановления ГКО № 2971 от 5 марта 1943 г. в части премирования на поставку древесины, заготовляемой на экспорт.РГАНИР, Фонд ГКО, д. 125, лл. 115 (11012).</w:t>
      </w:r>
    </w:p>
    <w:p w14:paraId="063AB6A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57CF21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вышло Распоряжение ГКО № 3555. О снижении плана производства передвижных электростанций на II кв. 1943 г. ввиду необеспеченности оборудованием.РГАНИР, Фонд ГКО, д. 125, лл. 116 (11012).</w:t>
      </w:r>
    </w:p>
    <w:p w14:paraId="7561222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A67B69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вышло Распоряжение ГКО № 3556. О сокращении числа разведочных скважин, обеспечении Челекенского завода HКХП йодно-бромной водой и завода № 749 (Молотовская обл.) - нефтяным газом.РГАНИР, Фонд ГКО, д. 125, лл. 117 (11012).</w:t>
      </w:r>
    </w:p>
    <w:p w14:paraId="67D48DE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054C8F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вышло Постановление ГКО № 3557 О мероприятиях по обеспечению строительства и ввода в действие Омского сажевого завода Наркомрезинпрома.РГАНИР, Фонд ГКО, д. 125, лл. 118-121, 122-127 (11012).</w:t>
      </w:r>
    </w:p>
    <w:p w14:paraId="2FAE4A6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C6829E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вышло Постановление ГКО № 3558 О мероприятиях по обеспечению окончания строительства и ввода в действие заводов № 507а (г. Кустанай) и № 508 (г. Арамиль) Hаркомтекстиля СССР.РГАНИР, Фонд ГКО, д. 125, лл. 128-131, 132-134 (11012).</w:t>
      </w:r>
    </w:p>
    <w:p w14:paraId="531B70E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EC6674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вышло Постановление ГКО № 3559 Об обеспечении нефтяной промышленности асбоцементными трубами в 1943 году.РГАНИР, Фонд ГКО, д. 125, лл. 135-140 (11012).</w:t>
      </w:r>
    </w:p>
    <w:p w14:paraId="7C747B6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BAE5D1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вышло Постановление ГКО № 3563 Об изготовлении и испытании 152 мм гаубицы образца 1943 г. Д-1.РГАНИР, Фонд ГКО, д. 125, лл. 144 (11012).</w:t>
      </w:r>
    </w:p>
    <w:p w14:paraId="0B35B97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7198F22" w14:textId="77777777" w:rsidR="00DF692E"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вышло:</w:t>
      </w:r>
    </w:p>
    <w:p w14:paraId="1A94D0F6" w14:textId="77777777" w:rsidR="00DF692E" w:rsidRPr="00D03F3E" w:rsidRDefault="00531570"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bCs/>
          <w:color w:val="000000" w:themeColor="text1"/>
          <w:sz w:val="16"/>
          <w:szCs w:val="16"/>
        </w:rPr>
        <w:t>ПОСТАНОВЛЕНИЕ ГОСУДАРСТВЕННОГО КОМИТЕТА ОБОРОНЫ 12 июня 1943 г. № 3563сс</w:t>
      </w:r>
    </w:p>
    <w:p w14:paraId="5A213D64" w14:textId="77777777" w:rsidR="00531570" w:rsidRPr="00D03F3E" w:rsidRDefault="00531570"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bCs/>
          <w:color w:val="000000" w:themeColor="text1"/>
          <w:sz w:val="16"/>
          <w:szCs w:val="16"/>
        </w:rPr>
        <w:t>Об изготовлении и испытании 152 мм гаубицы образца 1943 г.</w:t>
      </w:r>
    </w:p>
    <w:p w14:paraId="483CFED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Государственный Комитет Обороны ПОСТАНОВЛЯЕТ:</w:t>
      </w:r>
    </w:p>
    <w:p w14:paraId="670A66C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Наркомвооружения т.Устинова и директора завода № 9 т.Гонор к 20 июня 1943 г. доработать изготовленные заводом четыре образца 152 мм гаубиц обр. 1943 г. "Д-1", устранив все недостатки гаубицы, выявленные на полигонных испытаниях.</w:t>
      </w:r>
    </w:p>
    <w:p w14:paraId="1516FD1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Обязать директора завода № 9 т.Гонор - к 20 июня 1943 г. отработать и сдать ГАУ КА чертежи для серийного производства.</w:t>
      </w:r>
    </w:p>
    <w:p w14:paraId="2DF78EA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Командующему артиллерией Красной Армии т.Воронову и начальнику ГАУ КА т.Яковлеву - провести войсковые испытания доработанных гаубиц "Д-1" в 15-ти-дневный срок по их поступлении к месту испытаний. Результаты испытаний доложить ГОКО.</w:t>
      </w:r>
    </w:p>
    <w:p w14:paraId="0D27905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Обязать Наркомвооружения т.Устинова и директора завода № 9 т.Гонор - начать подготовку к серийному производству 152 мм гаубиц обр.1943 г. "Д-1" с тем, чтобы после войсковых испытаний выпустить в июле установочную серию в количестве 20 систем.</w:t>
      </w:r>
    </w:p>
    <w:p w14:paraId="41D8B83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Обязать Наркомтанкопром т.Зальцмана и директора Уралмашзавода т.Музрукова - подать заводу № 9 в июне 30 комплектов заготовок для 152 мм гаубицы обр.1943 г. "Д-1".</w:t>
      </w:r>
    </w:p>
    <w:p w14:paraId="321EE2D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Государственного Комитета Обороны И.Сталин (11813).</w:t>
      </w:r>
    </w:p>
    <w:p w14:paraId="65F0AD3D" w14:textId="77777777" w:rsidR="00DF692E" w:rsidRPr="00D03F3E" w:rsidRDefault="00DF692E" w:rsidP="00D03F3E">
      <w:pPr>
        <w:spacing w:after="0" w:line="240" w:lineRule="auto"/>
        <w:jc w:val="both"/>
        <w:rPr>
          <w:rFonts w:ascii="Times New Roman" w:hAnsi="Times New Roman"/>
          <w:color w:val="000000" w:themeColor="text1"/>
          <w:sz w:val="16"/>
          <w:szCs w:val="16"/>
        </w:rPr>
      </w:pPr>
    </w:p>
    <w:p w14:paraId="5D32EF4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вышло Постановление ГКО № 3564 О подготовке производства 203 мм мортир М-4.РГАНИР, Фонд ГКО, д. 125, лл. 145 (11012).</w:t>
      </w:r>
    </w:p>
    <w:p w14:paraId="061242C6"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5986074" w14:textId="77777777" w:rsidR="00267D1F" w:rsidRPr="00D03F3E" w:rsidRDefault="00267D1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года Сталиным было подписано постановление ГКО №3564сс «О подготовке производства 203-мм мортир М-4». Согласно ему, к 1 сентября 1943 года завод № 172 должен был изготовить партию из четырех мортир для войсковых испытаний. В течение сентября- октября указанная в постановлении серия из четырех мортир была из</w:t>
      </w:r>
      <w:r w:rsidRPr="00D03F3E">
        <w:rPr>
          <w:rFonts w:ascii="Times New Roman" w:hAnsi="Times New Roman"/>
          <w:color w:val="000000" w:themeColor="text1"/>
          <w:sz w:val="16"/>
          <w:szCs w:val="16"/>
        </w:rPr>
        <w:softHyphen/>
        <w:t>готовлена заводом № 172, одна из них с 30 октября по 10 ноября прошла большие контрольные испытания (17484).</w:t>
      </w:r>
    </w:p>
    <w:p w14:paraId="41B8F04C" w14:textId="77777777" w:rsidR="00267D1F" w:rsidRPr="00D03F3E" w:rsidRDefault="00267D1F" w:rsidP="00D03F3E">
      <w:pPr>
        <w:spacing w:after="0" w:line="240" w:lineRule="auto"/>
        <w:jc w:val="both"/>
        <w:rPr>
          <w:rFonts w:ascii="Times New Roman" w:hAnsi="Times New Roman"/>
          <w:color w:val="000000" w:themeColor="text1"/>
          <w:sz w:val="16"/>
          <w:szCs w:val="16"/>
        </w:rPr>
      </w:pPr>
    </w:p>
    <w:p w14:paraId="6EE7694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вышло Распоряжение ГКО № 3565. Об организации производства пластмассовых переходных втулок к авиабомбам ПТАБ-1,5.РГАНИР, Фонд ГКО, д. 125, лл. 146-147 (11012).</w:t>
      </w:r>
    </w:p>
    <w:p w14:paraId="3EBDADB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DBD397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вышло Распоряжение ГКО № 3566. О мобилизации в Москве 500 пишущих машинок для нужд ДА.РГАНИР, Фонд ГКО, д. 125, лл. 148, 149-150 (11012).</w:t>
      </w:r>
    </w:p>
    <w:p w14:paraId="2F516B3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18BA5B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вышло Распоряжение ГКО № 3567. О поставке НКВМФ 200 т нефтебитума № 3.РГАНИР, Фонд ГКО, д. 125, лл. 151 (11012).</w:t>
      </w:r>
    </w:p>
    <w:p w14:paraId="4560BA1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AD0CE9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вышло Постановление ГКО № 3569 О т.т. Коновалове П.Г., Шемионко И.И., Королеве И.Н. и Комарове Г.А.РГАНИР, Фонд ГКО, д. 125, лл. 153 (11012).</w:t>
      </w:r>
    </w:p>
    <w:p w14:paraId="279156F6"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DC1DD62"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12 июня 1943 вышло Постановление ГКО № 3570 Об освобождении от призыва в Красную Армию призывников, работающих на предприятиях и стройках Наркомцветмета. (7114, 154).</w:t>
      </w:r>
    </w:p>
    <w:p w14:paraId="6156AD0D" w14:textId="77777777" w:rsidR="00531570" w:rsidRPr="00D03F3E" w:rsidRDefault="00531570" w:rsidP="00D03F3E">
      <w:pPr>
        <w:pStyle w:val="Iauiue"/>
        <w:tabs>
          <w:tab w:val="left" w:pos="11199"/>
        </w:tabs>
        <w:jc w:val="both"/>
        <w:rPr>
          <w:color w:val="000000" w:themeColor="text1"/>
          <w:sz w:val="16"/>
          <w:szCs w:val="16"/>
        </w:rPr>
      </w:pPr>
    </w:p>
    <w:p w14:paraId="5539AB4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вышло Постановление ГКО № 3571 Об увеличении производства минных, сигнальных гильз и пиротехнических средств.РГАНИР, Фонд ГКО, д. 125, лл. 155-163, 164-181 (11012).</w:t>
      </w:r>
    </w:p>
    <w:p w14:paraId="206BCD2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2AA4AA0"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г. из ПОСТАНОВЛЕНИЯ БЮРО НОВОСИБИРСКОГО ОБКОМА ВКП(б) «О ВЫПОЛНЕНИИ ПОСТАНОВЛЕНИЯ ГОКО ОТ 30 АПРЕЛЯ 1943 г. ПО РАСШИРЕНИЮ ПРОИЗВОДСТВЕННЫХ МОЩНОСТЕЙ ЗАВОДОВ НАРКОМЭЛЕКТРОПРОМА № 590, 617, 631»</w:t>
      </w:r>
    </w:p>
    <w:p w14:paraId="39FDC6D3"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Бюро обкома ВКП(б) устанавливает, что строительство заводов № 590, 617 и 631 проходит с большим отставанием и ставит под угрозу срыва выполнение постановления ГОКО по расширению производственных мощностей и резкому увеличению выпуска продукции этими заводами во II полугодии 1943 года.</w:t>
      </w:r>
    </w:p>
    <w:p w14:paraId="57C1594E"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быстрейшего окончания строительных и монтажных работ и выполнения постановления ГОКО от 30 апреля 1943 года бюро обкома ВКП(б) ПОСТАНОВЛЯЕТ:</w:t>
      </w:r>
    </w:p>
    <w:p w14:paraId="2F8BD835"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начальника ОСМЧ «Севкавтяжстрой» т. Обухова и начальника ОСМУ-5 т. Романова — по заводу Л? 590, управляющего строительно-монтажным трестом № 1 НКБ т. Рябченко и начальника 5-го монтажного управления треста т. Сиротинина — по заводу № 617 резко ускорить ход строительства заводов и закончить строительно-монтажные работы в сроки, согласно приложения № 1.</w:t>
      </w:r>
    </w:p>
    <w:p w14:paraId="22F23F0D"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Обязать начальника ОСМЧ «Севкавтяжстрой» т. Обухова, управляющего строительно-монтажным трестом № 1 НКБ т. Рябченко и начальника СибОВСУ увеличить на строительстве количество рабочей силы, своевременно реализовать выделенные фонды на строительные материалы и немедля доставить их на строительную площадку в количествах, обеспечивающих окончание строительно-монтажных работ в установленные сроки.</w:t>
      </w:r>
    </w:p>
    <w:p w14:paraId="42698860"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Просить начальника Томской железной дороги т. Оборотова оказать всяческую помощь заводам № 590 и № 617 в выделении порожняка для перевозки строительных материалов ...</w:t>
      </w:r>
    </w:p>
    <w:p w14:paraId="65A19C9F"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Обязать директоров заводов № 590 — т. Проскурина, № 617 — т. Жука... в месячный срок обеспечить получение фондов на недостающее количество материалов для окончания строительных и монтажных работ, указанных в приложении № 2.</w:t>
      </w:r>
    </w:p>
    <w:p w14:paraId="04026020"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Потребовать от начальников ОМУ-26 - т. Гарневич, 101[-я] часть — т. Евтушенко и Сибэнергомонтаж — т. Тендитникова, производящих на заводе № 590 работы по электромонтажу, вентиляции, водопроводу, канализации, оборудованию котельной и отопительной системы,- решительно ускорить выполнение своих работ и закончить их в установленные с заводами сроки.</w:t>
      </w:r>
    </w:p>
    <w:p w14:paraId="6A2E4F5D"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13. Запретить управляющему Запсибэнерго т. Дубинскому производить отключения заводов №Мз 590, 617 ... обеспечив бесперебойный отпуск электроэнергии в размерах лимитов, установленных этим заводам.</w:t>
      </w:r>
    </w:p>
    <w:p w14:paraId="0DA79547"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Обязать начальника Томской железной дороги т. Оборотова в соответствии с решением ГОКО производить погрузку и перевозку материалов и готовых изделий заводов №№ 590, 617 в первоочередном порядке, производя прицепку вагонов с грузами к прямым и воинским поездам.</w:t>
      </w:r>
    </w:p>
    <w:p w14:paraId="71168D3F"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В связи с тем, что на территории заводов № 590 и № 644 НКЭП находятся дома индивидуальных застройщиков, просить Совнарком РСФСР разрешить заводам произвести индивидуальным застройщикам оплату стоимости домов, подлежащих сносу, одновременно предоставив им жилплощадь во вновь построенных домах этих заводов.</w:t>
      </w:r>
    </w:p>
    <w:p w14:paraId="09359C88"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Секретарь Новосибирского обкома ВКП(б) М. Кулагин</w:t>
      </w:r>
    </w:p>
    <w:p w14:paraId="68C2BD95" w14:textId="77777777" w:rsidR="00DF692E"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ГАНО. Ф. П-4. On. 33. Д. 736»а». Л. 79. 80. 82. Подлинник. Подпись-автограф (12193).</w:t>
      </w:r>
    </w:p>
    <w:p w14:paraId="11EFF578" w14:textId="77777777" w:rsidR="00DF692E" w:rsidRPr="00D03F3E" w:rsidRDefault="00DF692E" w:rsidP="00D03F3E">
      <w:pPr>
        <w:spacing w:after="0" w:line="240" w:lineRule="auto"/>
        <w:jc w:val="both"/>
        <w:rPr>
          <w:rFonts w:ascii="Times New Roman" w:hAnsi="Times New Roman"/>
          <w:color w:val="000000" w:themeColor="text1"/>
          <w:sz w:val="16"/>
          <w:szCs w:val="16"/>
        </w:rPr>
      </w:pPr>
    </w:p>
    <w:p w14:paraId="3DA8A521" w14:textId="77777777" w:rsidR="00DF692E" w:rsidRPr="00D03F3E" w:rsidRDefault="00531570"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bCs/>
          <w:color w:val="000000" w:themeColor="text1"/>
          <w:sz w:val="16"/>
          <w:szCs w:val="16"/>
        </w:rPr>
        <w:t>12 июня 1943 г.</w:t>
      </w:r>
    </w:p>
    <w:p w14:paraId="09D3C719" w14:textId="77777777" w:rsidR="00531570" w:rsidRPr="00D03F3E" w:rsidRDefault="00531570"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bCs/>
          <w:color w:val="000000" w:themeColor="text1"/>
          <w:sz w:val="16"/>
          <w:szCs w:val="16"/>
        </w:rPr>
        <w:t>О работе предприятий местной, кооперативной и легкой промышленности края</w:t>
      </w:r>
    </w:p>
    <w:p w14:paraId="1C89B0F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докладной записки Красноярского крайкома ВКП (б) в ЦК ВКП (б)</w:t>
      </w:r>
    </w:p>
    <w:p w14:paraId="6956FE5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Красноярск 12 июня 1943 г.</w:t>
      </w:r>
    </w:p>
    <w:p w14:paraId="4968778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Исх.№375</w:t>
      </w:r>
    </w:p>
    <w:p w14:paraId="47BE055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Секретарю Центрального комитета ВКП (б) Товарищу Маленкову Г.М.</w:t>
      </w:r>
    </w:p>
    <w:p w14:paraId="5FDF437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Промышленный отдел крайкома ВКП (б) осуществляет руководство предприятиями пяти промышленных трестов: Росглавмясо, Росглавмаслопром, Главмука, Водликертрест, Росглавхлеб, крайпищепром и 10-ю такими крупнейшими предприятиями союзно-республиканского подчинения, как паровозостроительный завод «Красный профинтерн» Наркомтяжмаша СССР, завод комбайностроения (бывший «Коммунар») Наркомата минометного вооружения, а также предприятиями местной кооперативной и легкой промышленности.</w:t>
      </w:r>
    </w:p>
    <w:p w14:paraId="132B8E1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Суммарный выпуск товарной продукции всех вышеперечисленных отраслей промышленности составил в 1942 году в денежном выражении около 500 млн. руб. Удельный же вес валовой продукции местной и легкой промышленности, примерно 25 % этой суммы.</w:t>
      </w:r>
    </w:p>
    <w:p w14:paraId="08F7A14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Предприятия местной и легкой промышленности края, промышленность управления промкооперации инвалидов за истекший 1942 год дали товарной продукции на сумму 120 млн. 929 тыс[яч] руб., а общее количество рабочих, занятых в этих отраслях на 1-е января 1943 года, составило 21714 человек.</w:t>
      </w:r>
    </w:p>
    <w:p w14:paraId="1EF2600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этом надо сказать, что местная промышленность края имеет 56 городских и районных промкомбинатов и 2 предприятия краевого подчинения – Баритовый рудник и Весорембану. Охватывает местная промышленность 56 районов края (кроме Хакасской области) и насчитывает 439 предприятий, на которых занято 2316 чел[овек]. В 1942 году предприятия местной промышленности выпустили продукцию на сумму 9 млн. 440 тыс[яч] руб.</w:t>
      </w:r>
    </w:p>
    <w:p w14:paraId="535BD55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Промышленность управления промкооперации насчитывает 287 артелей, в том числе: многопромысловых – 155, лесопромысловых – 132, из них 52 промколхоза, руководство которыми осуществляют 11 межрайонных промысловых союзов. </w:t>
      </w:r>
    </w:p>
    <w:p w14:paraId="05139BA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предприятиях этой промышленности по состоянию на 1-е января 1943 года было занято 13534 рабочих, продукции выпущено на сумму 90 млн. 121 тыс[яч] руб.</w:t>
      </w:r>
    </w:p>
    <w:p w14:paraId="5C465E7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Легкая промышленность края объединяет 10 предприятий – шорную фабрику, фабрику кожаных изделий, 4 швейных фабрики, одну – валяльно-войлочную, стеклозавод и 2 обувных мастерских.</w:t>
      </w:r>
    </w:p>
    <w:p w14:paraId="12A288B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Занято на указанных предприятиях 1877 рабочих, продукции выпущено в 1943 году на 17 млн. 818 тыс[яч] руб.</w:t>
      </w:r>
    </w:p>
    <w:p w14:paraId="0063C90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Промышленность кооперации инвалидов объединяет 50 артелей с 269 различными цехами, в которых занято 3988 рабочих. В 1942 году предприятиями коопинсоюза произведено продукции на 9 млн. 550 тыс[яч] руб.</w:t>
      </w:r>
    </w:p>
    <w:p w14:paraId="0F22A36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1943 году по местной, кооперативной и легкой промышленности намечено организовать чугунолитейный и глазурный завод, 2 райпромкомбината, 106 ремонтно-починочных мастерских, пустить в эксплуатацию 2 содовых завода и провести расширение и механизацию имеющихся предприятий с общей затратой средств около 10 млн. руб. и привлечением дополнительно 9600 рабочих.</w:t>
      </w:r>
    </w:p>
    <w:p w14:paraId="3EE4365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Красноярский край располагает богатейшими сырьевыми ресурсами, на базе которых местная, кооперативная и легкая промышленность может и должна развиваться более быстро и широко.</w:t>
      </w:r>
    </w:p>
    <w:p w14:paraId="540549C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Наличие больших местных массивов открывает широкие возможности для быстрого и широкого производства по выработке масел, смолы и других видов продукции. </w:t>
      </w:r>
    </w:p>
    <w:p w14:paraId="69EB4C3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Развитие животноводства позволяет организовать в значительно больших, чем в данное время, размерах овчинно-кожевенную, шорно-сапожную и валяльно-войлочную отрасли производств.</w:t>
      </w:r>
    </w:p>
    <w:p w14:paraId="02D8221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увеличивающиеся в крае посевы технических культур создают предпосылки к резкому увеличению выработки веревочных изделий, рыболовных снастей и развитию производств по выработке различных масел.</w:t>
      </w:r>
    </w:p>
    <w:p w14:paraId="38A1929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Большое количество нерудноископаемых богатств дает возможность увеличить производство строительных материалов, охры, сурика, каустической соды, жидкого топлива, а также осуществить мероприятия по дальнейшему развитию фарфоровой промышленности.</w:t>
      </w:r>
    </w:p>
    <w:p w14:paraId="2981A5D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Наличие эвакуированных предприятий металлообрабатывающей и других отраслей промышленности позволяет, на базе отходов этих предприятий, значительно расширить выпуск товаров широкого потребления для удовлетворения нужд населения. </w:t>
      </w:r>
    </w:p>
    <w:p w14:paraId="6DC3102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эти приведенные данные характеризуют местную, кооперативную и легкую промышленность, ее удельный вес в промышленности края и перспективы дальнейшего развития этих отраслей промышленности.</w:t>
      </w:r>
    </w:p>
    <w:p w14:paraId="6F50729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усиления партийного контроля и руководства работой предприятий и дальнейшего развития местной, кооперативной и легкой промышленности прошу Вас разрешить организовать в Красноярском крае ВКП (б) отдел местной, кооперативной и легкой промышленности. […]</w:t>
      </w:r>
    </w:p>
    <w:p w14:paraId="7C49594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Секретарь Красноярского крайкома ВКП (б) подпись И. Голубев</w:t>
      </w:r>
    </w:p>
    <w:p w14:paraId="24F3092F" w14:textId="77777777" w:rsidR="00531570" w:rsidRPr="00D03F3E" w:rsidRDefault="00531570" w:rsidP="00D03F3E">
      <w:pPr>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ГАКК. Ф.П-26. Оп.4. Д.1. Л.112,113. Подлинник. Машинопись (11836).</w:t>
      </w:r>
    </w:p>
    <w:p w14:paraId="1AB40474" w14:textId="77777777" w:rsidR="00531570" w:rsidRPr="00D03F3E" w:rsidRDefault="00531570" w:rsidP="00D03F3E">
      <w:pPr>
        <w:tabs>
          <w:tab w:val="left" w:pos="2640"/>
        </w:tabs>
        <w:spacing w:after="0" w:line="240" w:lineRule="auto"/>
        <w:jc w:val="both"/>
        <w:rPr>
          <w:rFonts w:ascii="Times New Roman" w:hAnsi="Times New Roman"/>
          <w:color w:val="000000" w:themeColor="text1"/>
          <w:sz w:val="16"/>
          <w:szCs w:val="16"/>
        </w:rPr>
      </w:pPr>
    </w:p>
    <w:p w14:paraId="071B885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июня 1943 на заводе 189 были заложены два первых малых тральщика, или "стотонника", как их стали полуофициально называть, ориентиру</w:t>
      </w:r>
      <w:r w:rsidRPr="00D03F3E">
        <w:rPr>
          <w:color w:val="000000" w:themeColor="text1"/>
          <w:sz w:val="16"/>
          <w:szCs w:val="16"/>
        </w:rPr>
        <w:softHyphen/>
        <w:t>ясь на проектное водоизмещение (108 т нормальное, в пр. 253 — 91,2 т, по заданию на катер-тральщик — около 60 т) (3898).</w:t>
      </w:r>
    </w:p>
    <w:p w14:paraId="464A6645" w14:textId="77777777" w:rsidR="00531570" w:rsidRPr="00D03F3E" w:rsidRDefault="00531570" w:rsidP="00D03F3E">
      <w:pPr>
        <w:pStyle w:val="Iauiue"/>
        <w:jc w:val="both"/>
        <w:rPr>
          <w:color w:val="000000" w:themeColor="text1"/>
          <w:sz w:val="16"/>
          <w:szCs w:val="16"/>
        </w:rPr>
      </w:pPr>
    </w:p>
    <w:p w14:paraId="2F4237C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На стапеле Балтийского завода заложены первые два ТЩ типа МТ-1 (10671).</w:t>
      </w:r>
    </w:p>
    <w:p w14:paraId="1A63083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43FED6A"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0383F2DF" w14:textId="77777777" w:rsidR="00531570" w:rsidRPr="00D03F3E" w:rsidRDefault="00531570" w:rsidP="00D03F3E">
      <w:pPr>
        <w:pStyle w:val="Iauiue"/>
        <w:jc w:val="both"/>
        <w:rPr>
          <w:iCs/>
          <w:color w:val="000000" w:themeColor="text1"/>
          <w:sz w:val="16"/>
          <w:szCs w:val="16"/>
        </w:rPr>
      </w:pPr>
    </w:p>
    <w:p w14:paraId="7809160C"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12 июня</w:t>
      </w:r>
      <w:r w:rsidRPr="00D03F3E">
        <w:rPr>
          <w:rFonts w:ascii="Times New Roman" w:hAnsi="Times New Roman"/>
          <w:color w:val="000000" w:themeColor="text1"/>
          <w:sz w:val="16"/>
          <w:szCs w:val="16"/>
        </w:rPr>
        <w:t xml:space="preserve"> в 1943 году утреннее сообщение Совинформбюро:</w:t>
      </w:r>
    </w:p>
    <w:p w14:paraId="0F9FBDAD"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12 июня на фронте ничего существенного не произошло.</w:t>
      </w:r>
    </w:p>
    <w:p w14:paraId="7E3C5E4D"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артиллеристы подразделения, где командиром младший лейтенант Афанасьев, рассеяли и частью уничтожили до роты пехоты противника. Снайперы Н-ской части за сутки уничтожили 80 немецких солдат и офицеров. Снайперы тт. Клевцов, Петров и Теникашвили истребили по два гитлеровца каждый.</w:t>
      </w:r>
    </w:p>
    <w:p w14:paraId="6CFAA29C"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наши разведчики обнаружили колонну немецкой пехоты, накапливавшейся в одной балке. Артиллеристы Н-ской части открыли огонь и рассеяли гитлеровцев.</w:t>
      </w:r>
    </w:p>
    <w:p w14:paraId="663D3793"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Советские лётчики в воздушных боях сбили 3 самолёта противника.</w:t>
      </w:r>
    </w:p>
    <w:p w14:paraId="5589FAD0"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разведывательный отряд Н-ской части, действуя под прикрытием артиллерийского огня, выбил немцев из небольшого населённого пункта. Разрушено 2 вражеских дзота и уничтожено до 40 солдат противника.</w:t>
      </w:r>
    </w:p>
    <w:p w14:paraId="2967D36F"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Двадцать снайперов под командованием Героя Советского Союза гвардии старшины Николая Ильина за четыре дня убили 123 гитлеровца.</w:t>
      </w:r>
    </w:p>
    <w:p w14:paraId="0F2702F3"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наши подразделения истребили более 100 немецких солдат иофицеров. Огнём артиллерии разрушено 13 вражеских дзотов и 9 блиндажей, взорвано два склада с боеприпасами, уничтожено 8 автомашин и несколько повозок с грузами. Группа разведчиков Н-ской части ночью подожгла оборонительные сооружения противника и захватила в плен несколько гитлеровцев.</w:t>
      </w:r>
    </w:p>
    <w:p w14:paraId="66A8CB8A"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Западной Украины, за последние дни подорвал на минах 5 немецких автомашин с военным грузом, разгромил заправочный пункт и сжёг 15 тонн горючего. Партизаны захватили несколько складов противника с зерном и роздали населению 16.700 центнеров хлеба. Группа партизан другого отряда 31 мая проникла на территорию крупной нефтебазы в городе Новоград-Волынский. Уничтожив охрану, партизаны сожгли 26 тонн бензина, 5 тонн нефти и 3 тонны смазочных материалов.</w:t>
      </w:r>
    </w:p>
    <w:p w14:paraId="74954DDD"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солдат 93 немецкой дивизии Франц Г.рассказал: «В городе Косьцежине немецкие оккупанты расстреляли многих польских учителей, ксендзов и служащих. Сотни семейств насильно увезены в Германию на принудительные работы, а их имущество разграблено. Бургомистром города Косьцежина был немец Фрик. Этот человеконенавистник издевался над населением, грабил и убивал поляков. В 1939 году в Косьцежине было около 9 тысяч поляков. Теперь ихосталось не больше двух-трёх тысяч. Остальные расстреляны, гниют в концлагерях, либо угнаны на непосильные работы».</w:t>
      </w:r>
    </w:p>
    <w:p w14:paraId="1ED9043C"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Бельгийские патриоты разгромили немецкий отряд полевой жандармерии. В Брюсселе вольные стрелки казнили 4 предателей. На участке железной дорогиТирлемон—Лувен железнодорожники пустили под откос немецкий эшелон с войсками.Район крушения эшелона в течение дня был оцеплен гитлеровцами. В Боорт-Меербеке бельгийцы сожгли склад фуража немецких оккупантов. Огнём уничтожено большое количество овса и сена.» (14920).</w:t>
      </w:r>
    </w:p>
    <w:p w14:paraId="06842979" w14:textId="77777777" w:rsidR="006D4911" w:rsidRPr="00D03F3E" w:rsidRDefault="006D4911" w:rsidP="00D03F3E">
      <w:pPr>
        <w:spacing w:after="0" w:line="240" w:lineRule="auto"/>
        <w:jc w:val="both"/>
        <w:rPr>
          <w:rFonts w:ascii="Times New Roman" w:hAnsi="Times New Roman"/>
          <w:color w:val="000000" w:themeColor="text1"/>
          <w:sz w:val="16"/>
          <w:szCs w:val="16"/>
        </w:rPr>
      </w:pPr>
    </w:p>
    <w:p w14:paraId="1737B8DD"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12 июня</w:t>
      </w:r>
      <w:r w:rsidRPr="00D03F3E">
        <w:rPr>
          <w:rFonts w:ascii="Times New Roman" w:hAnsi="Times New Roman"/>
          <w:color w:val="000000" w:themeColor="text1"/>
          <w:sz w:val="16"/>
          <w:szCs w:val="16"/>
        </w:rPr>
        <w:t xml:space="preserve"> в 1943 году вечернее сообщение Совинформбюро:</w:t>
      </w:r>
    </w:p>
    <w:p w14:paraId="4FBBA8B6"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12 июня на фронте существенных изменений не произошло.</w:t>
      </w:r>
    </w:p>
    <w:p w14:paraId="6D443152"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июня частями нашей авиации на различных участках фронта уничтожено или повреждено не менее 5 немецких танков, до 60 автомашин с войсками и грузами, 6 автоцистерн, взорвано и сожжено несколько складов боеприпасов и горючего, разбито 3 железнодорожных эшелона, подавлен огонь 13 артиллерийских и миномётных батарей, потоплена одна и повреждено три самоходные баржи противника.</w:t>
      </w:r>
    </w:p>
    <w:p w14:paraId="6C250382"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уничтожили до 200 немецких солдат и офицеров, разбили 10 пулемётов, разрушили 7 блиндажей и 2 дзота противника. На одном участке разведчики Н-ской части проникли в расположение вражеской обороны и в рукопашной схватке уничтожили 40 гитлеровцев. Захватив пленных, наши бойцы вернулись в свою часть.</w:t>
      </w:r>
    </w:p>
    <w:p w14:paraId="630481A5"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в воздушных боях сбили 9 немецких самолётов.</w:t>
      </w:r>
    </w:p>
    <w:p w14:paraId="3EEE74AD"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 одном участке противник силами двух батальонов пехоты предпринял одну за другой несколько атак. Советские бойцы метким огнём и контрударами отбросили немцев на исходные позиции. На поле боя осталось много вражеских трупов. Огнём артиллерии сожжено 2 немецких танка. На другом участке наши разведчики взорвали 2 дзота и 2 склада противника с боеприпасами.</w:t>
      </w:r>
    </w:p>
    <w:p w14:paraId="5CFEF39A"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немцы пытались боем разведать передний край нашей обороны. Бойцы Н-ской части открыли пулемётный огонь и вынудили противника отступить на исходные позиции. Огнём наших подразделений уничтожено несколько десятков немецких солдат. На другом участке противник под прикрытием дымовой завесы пытался переправиться через реку Северный Донец. Встреченные ружейно-пулемётным огнём, гитлеровцы в большей своей части убиты или утоплены в реке.</w:t>
      </w:r>
    </w:p>
    <w:p w14:paraId="3BD44438"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подразделения истребили до 150 солдат и офицеров противника. Из этого числа 80 гитлеровцев уничтожены снайперами. Артиллерийскими миномётным огнём разрушено и повреждено 15 дзотов, 11 землянок, уничтожено 5 пулемётов, 2 миномёта и 11 автомашин противника.</w:t>
      </w:r>
    </w:p>
    <w:p w14:paraId="5949FA0D"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действующего в Ровенской области отряда имени Котовского заминировали железнодорожное полотно. На расставленных партизанами минах взорвался немецкий воинский эшелон. При крушении разбито 3 классных вагона с солдатами противника и 3 платформы с легковыми автомашинами. Другая группа партизан пустила под откос вражеский поезд. Уничтожено 5 платформ с автомашинами и 12 вагонов с разным военным имуществом.</w:t>
      </w:r>
    </w:p>
    <w:p w14:paraId="060A992C"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публикуются выдержки из дневника обер-ефрейтора 15 роты 6 немецкой авиапехотной дивизии Детеринта, убитого 25 мая на советско-немецком фронте:</w:t>
      </w:r>
    </w:p>
    <w:p w14:paraId="5FA2D54B"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февраля 1943 года. Конец 6 армии под Сталинградом. Пали Великие Луки. Немецкие войска ведут ожесточённые оборонительные бои на Дону, на Кавказе и на остальных участках Южного фронта. Высадка американских войск в Северной Африке.</w:t>
      </w:r>
    </w:p>
    <w:p w14:paraId="04DD93D0"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апреля. Война уже стоила нам огромных жертв. Отборные танковые и пехотные дивизии и авиационные части, лучшие лётчики и офицеры погибли. Если мы и в дальнейшем будем нести такие потери, то Германия скоро окажется в таком же положении, в каком она очутилась в 1918 году. Количество симулянтов и трусов возрастает. Энтузиазм, порождённый прежними успехами, постепенно переходит в апатию.</w:t>
      </w:r>
    </w:p>
    <w:p w14:paraId="437C45D0"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мая. Где же оперативные и тактические перспективы на весну и слишком короткое лето? Третью зиму в России надо во что бы то ни стало избежать. У нас всё на краю пропасти».</w:t>
      </w:r>
    </w:p>
    <w:p w14:paraId="118F1FB2" w14:textId="77777777" w:rsidR="006D4911" w:rsidRPr="00D03F3E" w:rsidRDefault="006D491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Французский народ усиливает борьбу против немецких оккупантов. Недавно около Парижа железнодорожники пустили под откос немецкий воинский эшелон. Под обломками вагонов погибло 30 гитлеровцев и тяжело ранено свыше 100 немецких солдат. В Сен-Клоде вольные стрелки подожгли караульное помещение гитлеровцев. На железнодорожном участке Амьен — Абвиль патриоты за последнее время вывели из строя 33 паровоза. В Париже молодая француженка бросила бомбу в гостиницу, населённую немецкими оккупантами. Убито и ранено несколько немецких офицеров и чиновников.» (14920).</w:t>
      </w:r>
    </w:p>
    <w:p w14:paraId="3ABFAF0E" w14:textId="77777777" w:rsidR="006D4911" w:rsidRPr="00D03F3E" w:rsidRDefault="006D4911" w:rsidP="00D03F3E">
      <w:pPr>
        <w:spacing w:after="0" w:line="240" w:lineRule="auto"/>
        <w:jc w:val="both"/>
        <w:rPr>
          <w:rFonts w:ascii="Times New Roman" w:hAnsi="Times New Roman"/>
          <w:color w:val="000000" w:themeColor="text1"/>
          <w:sz w:val="16"/>
          <w:szCs w:val="16"/>
        </w:rPr>
      </w:pPr>
    </w:p>
    <w:p w14:paraId="66AB792F" w14:textId="77777777" w:rsidR="00E909C1" w:rsidRPr="00D03F3E" w:rsidRDefault="00E909C1" w:rsidP="00D03F3E">
      <w:pPr>
        <w:pStyle w:val="ae"/>
        <w:spacing w:before="0" w:after="0"/>
        <w:jc w:val="both"/>
        <w:textAlignment w:val="baseline"/>
        <w:rPr>
          <w:color w:val="000000" w:themeColor="text1"/>
          <w:sz w:val="16"/>
          <w:szCs w:val="16"/>
        </w:rPr>
      </w:pPr>
      <w:r w:rsidRPr="00D03F3E">
        <w:rPr>
          <w:color w:val="000000" w:themeColor="text1"/>
          <w:sz w:val="16"/>
          <w:szCs w:val="16"/>
        </w:rPr>
        <w:t>В ночь на 12 июня 1943 бомбардировщики Пе-8, Ил-4 (ДБ-3), В-25 и Ли-2, а также допотопные ТБ-3 выполнили 486 самолето-вылетов на Шаталово, Сещинскую, Брянск, Орел и Боровск. Одновременно аэродромы атаковали еще и бипланы У-2, использовавшиеся как легкие ночные бомбардировщики.</w:t>
      </w:r>
    </w:p>
    <w:p w14:paraId="5B54FCC1" w14:textId="77777777" w:rsidR="00E909C1" w:rsidRPr="00D03F3E" w:rsidRDefault="00E909C1" w:rsidP="00D03F3E">
      <w:pPr>
        <w:pStyle w:val="ae"/>
        <w:spacing w:before="0" w:after="0"/>
        <w:jc w:val="both"/>
        <w:textAlignment w:val="baseline"/>
        <w:rPr>
          <w:color w:val="000000" w:themeColor="text1"/>
          <w:sz w:val="16"/>
          <w:szCs w:val="16"/>
        </w:rPr>
      </w:pPr>
      <w:r w:rsidRPr="00D03F3E">
        <w:rPr>
          <w:color w:val="000000" w:themeColor="text1"/>
          <w:sz w:val="16"/>
          <w:szCs w:val="16"/>
        </w:rPr>
        <w:t>Наиболее успешным оказался налет на Шаталово. На аэродроме было уничтожено сразу три самолета-разведчика Fi-156 «Шторьх» из NAGr.5. Еще три «Хеншеля» Hs-126 из этой же группы получили повреждения от 15 до 40 %. Также были серьезно повреждены два Bf-110G-3 из 1-й эскадрильи ближней разведки Aufkl.Grl6. Из наземного персонала погибли восемь человек, а еще 17 получили ранения. Впрочем, все эти самолеты не имели никакого отношения к продолжавшимся налетам на тыловые города Советского Союза.</w:t>
      </w:r>
    </w:p>
    <w:p w14:paraId="66715B8B" w14:textId="77777777" w:rsidR="00E909C1" w:rsidRPr="00D03F3E" w:rsidRDefault="00E909C1" w:rsidP="00D03F3E">
      <w:pPr>
        <w:pStyle w:val="ae"/>
        <w:spacing w:before="0" w:after="0"/>
        <w:jc w:val="both"/>
        <w:textAlignment w:val="baseline"/>
        <w:rPr>
          <w:color w:val="000000" w:themeColor="text1"/>
          <w:sz w:val="16"/>
          <w:szCs w:val="16"/>
        </w:rPr>
      </w:pPr>
    </w:p>
    <w:p w14:paraId="25D1BEC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12 по 27 июня 1943 при отражении ночных налетов на Саратов и прилегающие объекты летчики 144-й ИАД ПВО выполнили 179 самолето-вылетов и заявили о 22 воздушных боях и трех сбитых самолетах. Части зенитной артиллерии претендовали на 12 машин противника. Фактически Люфтваффе потеряли два самолета, в т.ч. один разведчик, еще три бомбардировщика получили повреждения. Зенитные прожекторы произвели 188 поисков группами прожекторов и осветили 29 целей. Однако освещение длилось кратковременно, зенитная артиллерия не успевала перейти от заградительного огня к стрельбе основным способом, в итоге за все налеты зенитчики обстреляли только пять освещенных целей, но безуспешно. На Саратов и прилегающие объекты в течение июня 1943 г., по данным службы МПВО, были сброшены около 1000 фугасных и 5000 различных зажигательных бомб. В ходе налетов были разрушены крекинг-завод им. Кирова, авиационный завод № 292,Улешовская и Увекская нефтебазы, сильно пострадал шарикоподшипниковый завод ГПЗ-3. Кроме Сталинского района, бомбежки причинили ущерб поселкам Князевка, Юриш, Красная слобода и Мочиновка. Всего в Саратове были разрушены 306 жилых домов и бараков. Разрушение крекинг-завода им. Кирова и прилегающих нефтебаз создало критическую обстановку с поставками горюче-смазочных материалов и бензина на фронт. В результате налетов сгорела 31 тыс. т ГСМ, а вследствие остановки нефтеперегонки армия недополучила накануне Курской битвы 22 тыс. т топлива. Это чуть меньше, чем имелось на 5 июля на пяти фронтах – Западном, Брянском, Центральном, Воронежском и Степном – 28 491 т, из них отечественного производства всего 13 975 т. Чтобы выйти из создавшегося положения, командованию пришлось урезать фронтам лимиты расхода горючего, ограничив их подвижность. В дальнейшем, поскольку Саратовский крекинг-завод по-прежнему не работал, нехватку горючего пришлось компенсировать за счет неприкосновенных запасов и поставок по ленд-лизу. Ущерб, причиненный Ярославскому шинному заводу, составил 50,7 млн рублей, в т.ч. только за счет разрушения основных средств – 18,7 млн рублей. Общая картина разрушения была здесь настолько ужасной, что первое время вызвала в коллективе завода некоторую неуверенность в успешном завершении восстановления. Ярославский диврайон ПВО заявил о 12 сбитых самолетах, в т.ч. семь были отнесены на счет зенитной артиллерии, четыре – на счет ночных истребителей и один – на аэростаты заграждения. В действительности потери немцев составили восемь бомбардировщиков, включая сбитые на маршруте полета к цели. Кроме того, два самолета были повреждены, при этом один затем сгорел после вынужденной посадки в расположении немецких войск. Учитывая, что в отличие от Саратова и Горького на этот северный волжский город было предпринято всего два налета, следует признать, что ПВО Ярославля оказалась самой эффективной из городов Поволжья. Опыт ярославских зенитчиков, летчиков и аэростатчиков показал, что даже при наличии весьма ограниченных сил и средств при правильной их расстановке и надлежащей боевой готовности (а возможно, и борьбе с пьянством) можно было добиться определенных успехов, создав значительные трудности при атаке объектов для нападавших. На фоне достижений ярославцев итоги борьбы Горьковского корпусного района ПВО с Люфтваффе выглядят весьма печально. Его зенитная артиллерия выпустила в общей сложности 170 тыс. снарядов всех калибров и претендовала на 24 сбитых бомбардировщика, т.е. израсходовала более чем по семь тысяч снарядов на каждый сбитый самолет! Летчики 142-й ИАД произвели 201 боевой вылет и заявили о восьми сбитых бомбардировщиках, в то же время собственные потери дивизии составили четыре истребителя. Таким образом, получается, что, согласно официальным сводкам, в ходе отражения налетов на Горький в июне 1943 г. удалось сбить 14 немецких самолетов. Фактически же противник потерял семь бомбардировщиков, включая сбитые на пути к Горькому. При этом немецкие данные подтверждают, что три машины стали жертвами истребителей 142-й ИАД. Прожектористы отчитались о 90 освещенных ими целях, однако толку от этой кропотливой работы оказалось мало. Во-первых, июньские ночи очень светлые и бомбардировщики и без световых лучей были хорошо различимы на фоне небосвода. Во-вторых, не удалось наладить четкого взаимодействия между прожекторами-искателями и прожекторами-сопроводителями, в результате чего последние пропустили 36 целей, освещенных первыми. Подкачала и зенитная артиллерия, обстрелявшая всего три освещенных самолета. Таким образом, части ПВО, оборонявшие Поволжье, заявили, что с 4 по 27 июня ими были сбиты 59 немецких самолетов. На самом же деле Люфтваффе, по имеющимся сведениям, в ходе операции по разрушению русских промышленных центров потеряли 16 бомбардировщиков и один самолет-разведчик, еще восемь машин получили различные повреждения. Кроме того, один «Хейнкель» был уничтожен на аэродроме Сещинская в ходе авианалета. Наибольшие потери понесла эскадра KG27 «Бельке», безвозвратно потерявшая восемь бомбардировщиков. 3-я эскадрилья лишилась трех самолетов вместе с экипажами, в т.ч. своего командира обер-лейтенанта Хельмута Путца. Впрочем, это можно объяснить тем, что эскадра принимала участие в операции в полном составе. KG1 «Гинденбург» потеряла четыре «Юнкерса», еще один сгорел на земле после вынужденной посадки. В то же время эскадры KG3 «Блиц» и KG55 «Грайф», участвовавшие почти во всех налетах (пилоты П. и III./KG55 совершили с 4 по 25 июня 300 самолетовылетов), утратили над Волгой всего по одной машине, a I./KG100 «Викинг» вообще закончила операцию без потерь. Советские ночные истребители традиционно являлись самым слабым звеном в системе ПВО. Прежде всего в очередной раз выявилось полное отсутствие взаимодействия авиации с зенитной артиллерией. Зачастую получалось так, что истребители обстреливались своими же зенитками либо последние вынуждены были прекращать огонь во избежание поражения своих самолетов. Плохо осуществлялось наведение с наземных РЛС, в силу чего летчики вынуждены были полагаться на удачу да на зоркий взгляд. 50% </w:t>
      </w:r>
      <w:r w:rsidRPr="00D03F3E">
        <w:rPr>
          <w:rFonts w:ascii="Times New Roman" w:hAnsi="Times New Roman"/>
          <w:color w:val="000000" w:themeColor="text1"/>
          <w:sz w:val="16"/>
          <w:szCs w:val="16"/>
        </w:rPr>
        <w:lastRenderedPageBreak/>
        <w:t>пилотов вели поиск бомбардировщиков, находясь на светлой части горизонта, подставляясь под обстрел бортстрелков «Хейнкелей» и «Юнкерсов». Выявилось также полное неумение пилотов определять расстояние до обнаруженных самолетов, вследствие чего огонь обычно открывался с больших дистанций и не приносил никакого эффекта. «Сталинские соколы» стремились безо всякой необходимости таранить бомбардировщики, даже не израсходовав боезапас. Однако лишь две попытки тарана оказались успешными, при этом был сбит всего один самолет. Немецкие летчики из эскадры KG55 «Грайф» потом отмечали, что советские ночные истребители, несмотря на благоприятные для действий условия, создаваемые светлыми ночами, были не в состоянии сдержать нападавших. Многие экипажи докладывали о визуальном контакте с «ночниками», но без видимых атак с их стороны. Подобная картина в первую очередь объяснялась тем, что в русских ВВС, в отличие от Германии и Англии, вообще не было каких-либо специальных программ и школ по обучению летчиков-ночников. У немцев на подготовку профессионала такой специальности уходило минимум два года! В курс обучения входили «слепые» полеты, изучение РЛС, отработка взлета-посадки в ночных условиях и многое другое. В СССР же летчик-ночник фактически отличался от «дневника» лишь тем, что вылетал по тревоге ночью, а днем спал. На вооружении ночных эскадрилий Люфтваффе и RAF состояли двухмоторные самолеты, специально оснащенные для действий в темное время суток, у русских же «ночники» летали на обычных МиГ-ЗиЛа-5… Отдельно можно подвести итоги минных постановок Люфтваффе, осуществлявшихся авиагруппой I./KG100 «Викинг». По данным постов наблюдения, с 29 апреля по 26 июня 1943 г. в Волгу были сброшены 409 донных мин, из которых 84 упали на берег и взорвались при ударе о землю. Все это серьезно затруднило движение судов, особенно нефтекараванов. Буксиры и баржи вынуждены были двигаться по фарватеру только в светлое время суток, на небольшой скорости, старательно избегая опасных участков. В итоге в июне по участку Астрахань – Саратов удалось перевезти 751 000 т нефтепродуктов, т.е. меньше, чем в мае (11774).</w:t>
      </w:r>
    </w:p>
    <w:p w14:paraId="7A8FFB7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0AE8F5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над Москвой опять появился немецкий самолет-разведчик. Это был Ju-88D из 4-й эскадрильи дальней разведки Aufkl.Gr . 121. «Юнкере» был оснащен устройством впрыска закиси азота, позволявшим, в случае необходимости, увеличить потолок полета на полторы-две тысячи метров. Это помогло немецкому экипажу пройти над столицей на высоте 11 500 м, оставшись недосягаемым для истребителей ПВО. В результате его попытался перехватить только МиГ-3 младшего лейтенанта Ионцева из 34-го ИАП. Пилоту с большим трудом удалось подняться почти на 11 400 м, но этого оказалось недостаточно. К тому же двигатель истребителя перегрелся, и в кабине вспыхнуло пламя. Ионцев вынужден был прямо на этой огромной высоте выпрыгнуть с парашютом, после чего сразу потерял сознание из-за нехватки кислорода. Летчик пришел в себя только на следующий день в госпитале (11774).</w:t>
      </w:r>
    </w:p>
    <w:p w14:paraId="43BD122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76D77E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Вечером 12 июня 1943 линию фронта на реке Донец пересекли 50 самолетов из II./KG3 «Блиц» и I./KG100 «Викинг». Первыми пролет большой группы бомбардировщиков зафиксировали посты ВНОС Воронежско-Борисоглебского района ПВО. Самолеты прошли над Доном и направились дальше на северо-восток. Данные об этом поступили в штаб Саратовского диврайона ПВО. Поначалу еще была надежда, что противник, как и в прошлые ночи, повернет на Горький, но вскоре стало окончательно ясно, что на сей раз Люфтваффе нацелились на Южное Поволжье. Выйдя к Волге, самолеты свернули на север – к Саратову. Одновременно с северо-запада к городу подходили «Юнкерсы» из KG51. В 23.50, по местному времени, в городе завыли гудки воздушной тревоги, и через 12 минут первые бомбардировщики приблизились к зоне огня зенитной артиллерии. Полковник Антоненко приказал полкам начать заградительный огонь, а летчикам-ночникам – произвести взлет. С реки начали стрелять и десять кораблей Волжской военной флотилии, защищавших железнодорожный мост. В небо бесшумно поднимались аэростаты. В 01.20 операторы РЛС РУС-2 сообщили, что противник уже над городом. И почти одновременно высоко в небе вспыхнули белые «люстры», выхватившие из мрака многочисленные корпуса заводов, жилые дома, нефтяные баки и силуэты кораблей на рейде. На минуту все саратовцы замерли в напряжении, прислушиваясь к грохоту зениток и глухим разрывам снарядов. И вот воздух прорезал знакомый вой и свист падающих бомб. В южной части города вспыхнули яркие языки пламени… Основной удар наносился по крекинг-заводу им. Кирова и Увекской нефтебазе. «Хейнкели» сбрасывали бомбы с высоты 3000– 4000 м, а «Юнкерсы» – с пикирования. В результате налета крекинг-завод получил серьезные повреждения и был снова выведен из строя. Среди бойцов пожарной, военизированной охраны и гражданского населения, по официальным данным, были убиты и ранены 36 человек. Действия частей ПВО оказались неэффективными. Прожекторные части произвели 24 групповых поиска, но из-за низкой облачности осветили лишь одну цель, да и ту зенитчики обстрелять не успели. Последние заявили о двух сбитых самолетах, однако фактически все бомбардировщики вернулись на свои аэродромы. Правда, при посадке на аэродроме Брянск потерпел аварию и разбился один «Юнкере» из II./KG51 «Эдельвейс», но никто из членов его экипажа не пострадал. Вылеты ночных истребителей тоже оказались безрезультатными. Команды на взлет отдавались несвоевременно, а распределение самолетов по зонам не соответствовало воздушной обстановке. Система же управления не обеспечивала их перевода из одних зон в другие. Основные силы ночных истребителей сосредоточились в зонах № 1 и № 4, а противник в основном проходил через зоны № 2 и № 5. Взаимодействие с зенитной артиллерией и прожекторами также было организовано плохо. Это привело к тому, что свои истребители часто освещались прожекторами и были обстреляны зенитной артиллерией. Выяснилось, что и летный состав 144-й ИАД слабо подготовлен для действий в ночных условиях (11774).</w:t>
      </w:r>
    </w:p>
    <w:p w14:paraId="4D9E684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11474C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Командование советских ВВС в отчаянии продолжало раз за разом бросать свои бомбардировщики на атаки немецких аэродромов. Днем налеты совершали штурмовики под прикрытием истребителей, а ночью – двухмоторные бомбардировщики АДД. В ночь на 12 июня 468 Ил-4, В-25, Ли-2 и ТБ-3 бомбили аэродромы Брянск, Сещинская и Орел, а также Боровск в районе Смоленска. На следующую ночь авиация дальнего действия снова нещадно бомбила Брянск и Карачев, потеряв при этом два самолета, а днем 13 июня был совершен дневной налет на Орел. На этот раз немецкая зенитная артиллерия и истребители сбили три бомбардировщика. Однако на активности Люфтваффе эти усилия советской авиации никак не сказывались (11774).</w:t>
      </w:r>
    </w:p>
    <w:p w14:paraId="18D15E46"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31A64B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оценив уровень боеготовности соединения 1-го бак как низкий, маршал А.А. Новиков в приказе отмечал: "В ходе боевой подготовки летный состав не обучается бомбометанию с пикирования. Совершенно игнорируется радионавигация, ни в одном из полетов не использовался радиополукомпас РПК-10. Не уделяется внимание проверке техники пилотирования летчиков. Отсутствует обучение офицеров штаба, в результате чего не налажен систематический контроль за выполнением приказов, боевых распоряжений".</w:t>
      </w:r>
    </w:p>
    <w:p w14:paraId="1695BC2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Командующий потребовал исключить в будущем случаи потери ориентировки, наладить фотоконтроль результатов бомбометаний, устранить другие недостатки. Он объявил выговор командирам обеих дивизий, штурману 1-й гв. бад капитану Личенко, а за бомбометание по своим войскам 6 мая 1943 г. были сняты с должности командир 82-го гв. бап майор Анискин, штурманы 293-й бад капитан Аксенов и 1-го бак подполковник Савченко (12042).</w:t>
      </w:r>
    </w:p>
    <w:p w14:paraId="09602CEA"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9A7D371"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12 июня 1943 вышло Постановление ГКО № 3568 [О назначении Олейника З.Ф., Щербака Ф.К., Соломко П.М. Чл. ВС 38, 7 гв. и 56 А и освобождении Воронина Ф.Н. и Гольденштейна Я.В. от должности чл. ВС 38 и 56 А.] (7114, 152).</w:t>
      </w:r>
    </w:p>
    <w:p w14:paraId="46676600" w14:textId="77777777" w:rsidR="00531570" w:rsidRPr="00D03F3E" w:rsidRDefault="00531570" w:rsidP="00D03F3E">
      <w:pPr>
        <w:pStyle w:val="Iauiue"/>
        <w:tabs>
          <w:tab w:val="left" w:pos="11199"/>
        </w:tabs>
        <w:jc w:val="both"/>
        <w:rPr>
          <w:color w:val="000000" w:themeColor="text1"/>
          <w:sz w:val="16"/>
          <w:szCs w:val="16"/>
        </w:rPr>
      </w:pPr>
    </w:p>
    <w:p w14:paraId="07C0E093"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12 июня 1943 начался Карпатский рейд партизанских отрядов С. Ковпака (4962).</w:t>
      </w:r>
    </w:p>
    <w:p w14:paraId="0D742153" w14:textId="77777777" w:rsidR="00531570" w:rsidRPr="00D03F3E" w:rsidRDefault="00531570" w:rsidP="00D03F3E">
      <w:pPr>
        <w:pStyle w:val="Iauiue"/>
        <w:tabs>
          <w:tab w:val="left" w:pos="11199"/>
        </w:tabs>
        <w:jc w:val="both"/>
        <w:rPr>
          <w:color w:val="000000" w:themeColor="text1"/>
          <w:sz w:val="16"/>
          <w:szCs w:val="16"/>
        </w:rPr>
      </w:pPr>
    </w:p>
    <w:p w14:paraId="3B2F304A"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12 июня</w:t>
      </w:r>
      <w:r w:rsidRPr="00D03F3E">
        <w:rPr>
          <w:rFonts w:ascii="Times New Roman" w:hAnsi="Times New Roman"/>
          <w:color w:val="000000" w:themeColor="text1"/>
          <w:sz w:val="16"/>
          <w:szCs w:val="16"/>
        </w:rPr>
        <w:t xml:space="preserve"> в 1943 году в канун Курской битвы, Сумское соединение Сидора Ковпака по приказу Центрального штаба партизанского движения начало свой знаменитый Карпатский рейд по самым глубоким тылам противника. В ходе рейда ковпаковцы разгромили немецкие гарнизоны и бендеровские отряды в сорока населенных пунктах Западной Украины. Уничтожая транспортные коммуникации, партизаны сумели на длительное время блокировать важные направления подвоза гитлеровских войск и боевой техники к фронтам Курской дуги (14920).</w:t>
      </w:r>
    </w:p>
    <w:p w14:paraId="1C5C5722" w14:textId="77777777" w:rsidR="00C0041B" w:rsidRPr="00D03F3E" w:rsidRDefault="00C0041B" w:rsidP="00D03F3E">
      <w:pPr>
        <w:spacing w:after="0" w:line="240" w:lineRule="auto"/>
        <w:jc w:val="both"/>
        <w:rPr>
          <w:rFonts w:ascii="Times New Roman" w:hAnsi="Times New Roman"/>
          <w:color w:val="000000" w:themeColor="text1"/>
          <w:sz w:val="16"/>
          <w:szCs w:val="16"/>
        </w:rPr>
      </w:pPr>
    </w:p>
    <w:p w14:paraId="1D877B6F" w14:textId="77777777" w:rsidR="00C0041B" w:rsidRPr="00D03F3E" w:rsidRDefault="00C81444" w:rsidP="00D03F3E">
      <w:pPr>
        <w:pStyle w:val="Iauiue"/>
        <w:jc w:val="both"/>
        <w:rPr>
          <w:iCs/>
          <w:color w:val="000000" w:themeColor="text1"/>
          <w:sz w:val="16"/>
          <w:szCs w:val="16"/>
        </w:rPr>
      </w:pPr>
      <w:r w:rsidRPr="00D03F3E">
        <w:rPr>
          <w:i/>
          <w:iCs/>
          <w:color w:val="000000" w:themeColor="text1"/>
          <w:sz w:val="16"/>
          <w:szCs w:val="16"/>
        </w:rPr>
        <w:t>Жизнь и внутренняя политика:</w:t>
      </w:r>
    </w:p>
    <w:p w14:paraId="7197211F" w14:textId="77777777" w:rsidR="00C0041B" w:rsidRPr="00D03F3E" w:rsidRDefault="00C0041B" w:rsidP="00D03F3E">
      <w:pPr>
        <w:pStyle w:val="Iauiue"/>
        <w:jc w:val="both"/>
        <w:rPr>
          <w:iCs/>
          <w:color w:val="000000" w:themeColor="text1"/>
          <w:sz w:val="16"/>
          <w:szCs w:val="16"/>
        </w:rPr>
      </w:pPr>
    </w:p>
    <w:p w14:paraId="4DDE8D42" w14:textId="77777777" w:rsidR="00531570" w:rsidRPr="00D03F3E" w:rsidRDefault="00531570" w:rsidP="00D03F3E">
      <w:pPr>
        <w:pStyle w:val="Iauiue"/>
        <w:jc w:val="both"/>
        <w:rPr>
          <w:bCs/>
          <w:color w:val="000000" w:themeColor="text1"/>
          <w:sz w:val="16"/>
          <w:szCs w:val="16"/>
        </w:rPr>
      </w:pPr>
      <w:r w:rsidRPr="00D03F3E">
        <w:rPr>
          <w:bCs/>
          <w:color w:val="000000" w:themeColor="text1"/>
          <w:sz w:val="16"/>
          <w:szCs w:val="16"/>
        </w:rPr>
        <w:t>12 июня 1943 г. О работе предприятий местной, кооперативной и легкой промышленности края</w:t>
      </w:r>
    </w:p>
    <w:p w14:paraId="6DDE058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докладной записки Красноярского крайкома ВКП (б) в ЦК ВКП (б)</w:t>
      </w:r>
    </w:p>
    <w:p w14:paraId="7985E83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Красноярск 12 июня 1943 г.</w:t>
      </w:r>
    </w:p>
    <w:p w14:paraId="212BB6B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Исх.№375</w:t>
      </w:r>
    </w:p>
    <w:p w14:paraId="250C7D3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Секретарю Центрального комитета ВКП (б) Товарищу Маленкову Г.М.</w:t>
      </w:r>
    </w:p>
    <w:p w14:paraId="6B2D7E4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Промышленный отдел крайкома ВКП (б) осуществляет руководство предприятиями пяти промышленных трестов: Росглавмясо, Росглавмаслопром, Главмука, Водликертрест, Росглавхлеб, крайпищепром и 10-ю такими крупнейшими предприятиями союзно-республиканского подчинения, как паровозостроительный завод «Красный профинтерн» Наркомтяжмаша СССР, завод комбайностроения (бывший «Коммунар») Наркомата минометного вооружения, а также предприятиями местной кооперативной и легкой промышленности.</w:t>
      </w:r>
    </w:p>
    <w:p w14:paraId="4B53347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Суммарный выпуск товарной продукции всех вышеперечисленных отраслей промышленности составил в 1942 году в денежном выражении около 500 млн. руб. Удельный же вес валовой продукции местной и легкой промышленности, примерно 25 % этой суммы.</w:t>
      </w:r>
    </w:p>
    <w:p w14:paraId="52100FF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Предприятия местной и легкой промышленности края, промышленность управления промкооперации инвалидов за истекший 1942 год дали товарной продукции на сумму 120 млн. 929 тыс[яч] руб., а общее количество рабочих, занятых в этих отраслях на 1-е января 1943 года, составило 21714 человек.</w:t>
      </w:r>
    </w:p>
    <w:p w14:paraId="4D408D8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этом надо сказать, что местная промышленность края имеет 56 городских и районных промкомбинатов и 2 предприятия краевого подчинения – Баритовый рудник и Весорембану. Охватывает местная промышленность 56 районов края (кроме Хакасской области) и насчитывает 439 предприятий, на которых занято 2316 чел[овек]. В 1942 году предприятия местной промышленности выпустили продукцию на сумму 9 млн. 440 тыс[яч] руб.</w:t>
      </w:r>
    </w:p>
    <w:p w14:paraId="4082735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xml:space="preserve">Промышленность управления промкооперации насчитывает 287 артелей, в том числе: многопромысловых – 155, лесопромысловых – 132, из них 52 промколхоза, руководство которыми осуществляют 11 межрайонных промысловых союзов. </w:t>
      </w:r>
    </w:p>
    <w:p w14:paraId="678FE81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предприятиях этой промышленности по состоянию на 1-е января 1943 года было занято 13534 рабочих, продукции выпущено на сумму 90 млн. 121 тыс[яч] руб.</w:t>
      </w:r>
    </w:p>
    <w:p w14:paraId="16C85EA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Легкая промышленность края объединяет 10 предприятий – шорную фабрику, фабрику кожаных изделий, 4 швейных фабрики, одну – валяльно-войлочную, стеклозавод и 2 обувных мастерских.</w:t>
      </w:r>
    </w:p>
    <w:p w14:paraId="1FE3F66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Занято на указанных предприятиях 1877 рабочих, продукции выпущено в 1943 году на 17 млн. 818 тыс[яч] руб.</w:t>
      </w:r>
    </w:p>
    <w:p w14:paraId="077076B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Промышленность кооперации инвалидов объединяет 50 артелей с 269 различными цехами, в которых занято 3988 рабочих. В 1942 году предприятиями коопинсоюза произведено продукции на 9 млн. 550 тыс[яч] руб.</w:t>
      </w:r>
    </w:p>
    <w:p w14:paraId="0086B47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1943 году по местной, кооперативной и легкой промышленности намечено организовать чугунолитейный и глазурный завод, 2 райпромкомбината, 106 ремонтно-починочных мастерских, пустить в эксплуатацию 2 содовых завода и провести расширение и механизацию имеющихся предприятий с общей затратой средств около 10 млн. руб. и привлечением дополнительно 9600 рабочих.</w:t>
      </w:r>
    </w:p>
    <w:p w14:paraId="4AC5908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Красноярский край располагает богатейшими сырьевыми ресурсами, на базе которых местная, кооперативная и легкая промышленность может и должна развиваться более быстро и широко.</w:t>
      </w:r>
    </w:p>
    <w:p w14:paraId="18470C8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Наличие больших местных массивов открывает широкие возможности для быстрого и широкого производства по выработке масел, смолы и других видов продукции. </w:t>
      </w:r>
    </w:p>
    <w:p w14:paraId="78B74DE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Развитие животноводства позволяет организовать в значительно больших, чем в данное время, размерах овчинно-кожевенную, шорно-сапожную и валяльно-войлочную отрасли производств.</w:t>
      </w:r>
    </w:p>
    <w:p w14:paraId="2B35B5F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увеличивающиеся в крае посевы технических культур создают предпосылки к резкому увеличению выработки веревочных изделий, рыболовных снастей и развитию производств по выработке различных масел.</w:t>
      </w:r>
    </w:p>
    <w:p w14:paraId="4691E2F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Большое количество нерудноископаемых богатств дает возможность увеличить производство строительных материалов, охры, сурика, каустической соды, жидкого топлива, а также осуществить мероприятия по дальнейшему развитию фарфоровой промышленности.</w:t>
      </w:r>
    </w:p>
    <w:p w14:paraId="65BC5C8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Наличие эвакуированных предприятий металлообрабатывающей и других отраслей промышленности позволяет, на базе отходов этих предприятий, значительно расширить выпуск товаров широкого потребления для удовлетворения нужд населения. </w:t>
      </w:r>
    </w:p>
    <w:p w14:paraId="0637194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эти приведенные данные характеризуют местную, кооперативную и легкую промышленность, ее удельный вес в промышленности края и перспективы дальнейшего развития этих отраслей промышленности.</w:t>
      </w:r>
    </w:p>
    <w:p w14:paraId="0AD1E8B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усиления партийного контроля и руководства работой предприятий и дальнейшего развития местной, кооперативной и легкой промышленности прошу Вас разрешить организовать в Красноярском крае ВКП (б) отдел местной, кооперативной и легкой промышленности. […]</w:t>
      </w:r>
    </w:p>
    <w:p w14:paraId="31D9EDE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Секретарь Красноярского крайкома ВКП (б) подпись И. Голубев</w:t>
      </w:r>
    </w:p>
    <w:p w14:paraId="10898C72" w14:textId="77777777" w:rsidR="00531570" w:rsidRPr="00D03F3E" w:rsidRDefault="00531570" w:rsidP="00D03F3E">
      <w:pPr>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ГАКК. Ф.П-26. Оп.4. Д.1. Л.112,113. Подлинник. Машинопись (11804).</w:t>
      </w:r>
    </w:p>
    <w:p w14:paraId="07DDA1BF" w14:textId="77777777" w:rsidR="00531570" w:rsidRPr="00D03F3E" w:rsidRDefault="00531570" w:rsidP="00D03F3E">
      <w:pPr>
        <w:tabs>
          <w:tab w:val="left" w:pos="2640"/>
        </w:tabs>
        <w:spacing w:after="0" w:line="240" w:lineRule="auto"/>
        <w:jc w:val="both"/>
        <w:rPr>
          <w:rFonts w:ascii="Times New Roman" w:hAnsi="Times New Roman"/>
          <w:bCs/>
          <w:color w:val="000000" w:themeColor="text1"/>
          <w:sz w:val="16"/>
          <w:szCs w:val="16"/>
        </w:rPr>
      </w:pPr>
    </w:p>
    <w:p w14:paraId="5C92D5EE"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0825F87C" w14:textId="77777777" w:rsidR="00531570" w:rsidRPr="00D03F3E" w:rsidRDefault="00531570" w:rsidP="00D03F3E">
      <w:pPr>
        <w:pStyle w:val="Iauiue"/>
        <w:jc w:val="both"/>
        <w:rPr>
          <w:iCs/>
          <w:color w:val="000000" w:themeColor="text1"/>
          <w:sz w:val="16"/>
          <w:szCs w:val="16"/>
        </w:rPr>
      </w:pPr>
    </w:p>
    <w:p w14:paraId="33BA6B8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июня 1943 г. НИИ-99 НКВД (такое наименование имела комиссия по работе с военнопленными. Вначале она была в ведении Исполкома Коминтерна, а после его роспуска-</w:t>
      </w:r>
      <w:r w:rsidRPr="00D03F3E">
        <w:rPr>
          <w:rFonts w:ascii="Times New Roman" w:hAnsi="Times New Roman"/>
          <w:iCs/>
          <w:color w:val="000000" w:themeColor="text1"/>
          <w:sz w:val="16"/>
          <w:szCs w:val="16"/>
        </w:rPr>
        <w:t xml:space="preserve"> в</w:t>
      </w:r>
      <w:r w:rsidRPr="00D03F3E">
        <w:rPr>
          <w:rFonts w:ascii="Times New Roman" w:hAnsi="Times New Roman"/>
          <w:color w:val="000000" w:themeColor="text1"/>
          <w:sz w:val="16"/>
          <w:szCs w:val="16"/>
        </w:rPr>
        <w:t xml:space="preserve"> подчинении ЦК ВКП (б), ГУ по делам военнопленных и интернированных (ГУПВИ) НКВД и ГлавПУРа РККА) был создан антифашистский «Национальный комитет «Свободная Германия» (НКСГ), который должен был заниматься разложением армии врага. В него вошло вначале 38 пленных немецких офицеров, позже- фельдмаршал Паулюс. 11.09.1943 г. был создан «Союз немецких офицеров» (СНО) с аналогичными целями, его возглавил генрал Зайдлиц. Решением политбюро ЦК ВКП(б) НКСГ и СНО были упразднены (11982).</w:t>
      </w:r>
    </w:p>
    <w:p w14:paraId="11BC535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0D61204"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2F7DDC06" w14:textId="77777777" w:rsidR="00531570" w:rsidRPr="00D03F3E" w:rsidRDefault="00531570" w:rsidP="00D03F3E">
      <w:pPr>
        <w:pStyle w:val="Iauiue"/>
        <w:jc w:val="both"/>
        <w:rPr>
          <w:iCs/>
          <w:color w:val="000000" w:themeColor="text1"/>
          <w:sz w:val="16"/>
          <w:szCs w:val="16"/>
        </w:rPr>
      </w:pPr>
    </w:p>
    <w:p w14:paraId="0A6EB158"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12 июня 1943 английский король Георг VI прибыл в Северную Африку для произведения американского генерала Дуайта Эйзенхауэра в рыцари (4962).</w:t>
      </w:r>
    </w:p>
    <w:p w14:paraId="53962FCF" w14:textId="77777777" w:rsidR="00531570" w:rsidRPr="00D03F3E" w:rsidRDefault="00531570" w:rsidP="00D03F3E">
      <w:pPr>
        <w:pStyle w:val="Iauiue"/>
        <w:tabs>
          <w:tab w:val="left" w:pos="11199"/>
        </w:tabs>
        <w:jc w:val="both"/>
        <w:rPr>
          <w:color w:val="000000" w:themeColor="text1"/>
          <w:sz w:val="16"/>
          <w:szCs w:val="16"/>
        </w:rPr>
      </w:pPr>
    </w:p>
    <w:p w14:paraId="43B4E82F"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June 12th, 1943: The RAF launches a heavy raid on Bochum in the Ruhr, while the Luftwaffe carries out a night attack against Plymouth (3819).</w:t>
      </w:r>
    </w:p>
    <w:p w14:paraId="0E3C3C47" w14:textId="77777777" w:rsidR="00531570" w:rsidRPr="00D03F3E" w:rsidRDefault="00531570" w:rsidP="00D03F3E">
      <w:pPr>
        <w:pStyle w:val="Iauiue"/>
        <w:jc w:val="both"/>
        <w:rPr>
          <w:color w:val="000000" w:themeColor="text1"/>
          <w:sz w:val="16"/>
          <w:szCs w:val="16"/>
          <w:lang w:val="en-US"/>
        </w:rPr>
      </w:pPr>
    </w:p>
    <w:p w14:paraId="37E1242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 июня 1943 Королевские ВВС бомбили Бохум в Руре, а Люфтваффе совершала ночной налет на Плимут (3819).</w:t>
      </w:r>
    </w:p>
    <w:p w14:paraId="53355E2F" w14:textId="77777777" w:rsidR="00531570" w:rsidRPr="00D03F3E" w:rsidRDefault="00531570" w:rsidP="00D03F3E">
      <w:pPr>
        <w:pStyle w:val="Iauiue"/>
        <w:jc w:val="both"/>
        <w:rPr>
          <w:color w:val="000000" w:themeColor="text1"/>
          <w:sz w:val="16"/>
          <w:szCs w:val="16"/>
        </w:rPr>
      </w:pPr>
    </w:p>
    <w:p w14:paraId="0C4AA343" w14:textId="77777777" w:rsidR="001F7B35" w:rsidRPr="00D03F3E" w:rsidRDefault="001F7B3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12 июня 1943 еще один крупный воздушный бой между японскими и союзными самолетами над островами Рассела дает почти те же результаты, что и 5 июня (20376).</w:t>
      </w:r>
    </w:p>
    <w:p w14:paraId="2665F903" w14:textId="77777777" w:rsidR="001F7B35" w:rsidRPr="00D03F3E" w:rsidRDefault="001F7B35" w:rsidP="00D03F3E">
      <w:pPr>
        <w:spacing w:after="0" w:line="240" w:lineRule="auto"/>
        <w:jc w:val="both"/>
        <w:rPr>
          <w:rFonts w:ascii="Times New Roman" w:hAnsi="Times New Roman"/>
          <w:color w:val="0070C0"/>
          <w:sz w:val="16"/>
          <w:szCs w:val="16"/>
        </w:rPr>
      </w:pPr>
    </w:p>
    <w:p w14:paraId="416B25BD"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46939662" w14:textId="77777777" w:rsidR="00531570" w:rsidRPr="00D03F3E" w:rsidRDefault="00531570" w:rsidP="00D03F3E">
      <w:pPr>
        <w:pStyle w:val="Iauiue"/>
        <w:jc w:val="both"/>
        <w:rPr>
          <w:iCs/>
          <w:color w:val="000000" w:themeColor="text1"/>
          <w:sz w:val="16"/>
          <w:szCs w:val="16"/>
        </w:rPr>
      </w:pPr>
    </w:p>
    <w:p w14:paraId="26FCF57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 июня 1943 года Воронин писал письмо N Н-34/2362 в воздушную армию г. Воронеж для директора завода N 68, зам. гл. инженера ВВС Лапину.</w:t>
      </w:r>
    </w:p>
    <w:p w14:paraId="51616AC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Немедленно приступайте в 5 ВА средствами и силами бригад, находящихся в Вашем распоряжении к осмотру, если нужно к ремонту крыльев самолетов Ил-2 с деревянным крылом.</w:t>
      </w:r>
    </w:p>
    <w:p w14:paraId="21498BD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Свяжитесь с находящейся в 5 ВА рабочей бригадой Первого завода, бригадир Супрун - у него имеется инструкция 30 завода N 17/Э от мая 1943 г. по осмотру и ремонту деревянных крыльев самолетов Ил-2.</w:t>
      </w:r>
    </w:p>
    <w:p w14:paraId="1D86782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помощь послан инструктор 30 завода.</w:t>
      </w:r>
    </w:p>
    <w:p w14:paraId="4ABBF06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 проделанной работе докладывайте. Два экз. бюллетеней при этом высылаю (1778).</w:t>
      </w:r>
    </w:p>
    <w:p w14:paraId="27021B13" w14:textId="77777777" w:rsidR="00531570" w:rsidRPr="00D03F3E" w:rsidRDefault="00531570" w:rsidP="00D03F3E">
      <w:pPr>
        <w:pStyle w:val="Iauiue"/>
        <w:jc w:val="both"/>
        <w:rPr>
          <w:color w:val="000000" w:themeColor="text1"/>
          <w:sz w:val="16"/>
          <w:szCs w:val="16"/>
        </w:rPr>
      </w:pPr>
    </w:p>
    <w:p w14:paraId="16D56D3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 июня П. Воронин писал письмо N Н-34/2363 в ВА г. Плавск уполномоченному НКАП Воронину В.П., зам. гл. инженера ВВС Лапину.</w:t>
      </w:r>
    </w:p>
    <w:p w14:paraId="14CB8B2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Немедленно приступите силами, средствами рабочих бригад, находящихся в Вашем распоряжении к осмотру, если нужно, ремонту крыльев самолетов Ил-2 с деревянным крылом, имеющихся в 15 ВА.</w:t>
      </w:r>
    </w:p>
    <w:p w14:paraId="5FA55B0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Свяжитесь с находящимися в 15 ВА рабочими бригадами:</w:t>
      </w:r>
    </w:p>
    <w:p w14:paraId="65A15CC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завода N 1 бригадир Блинович</w:t>
      </w:r>
    </w:p>
    <w:p w14:paraId="7A7029B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завода N 18 бригадир Полтавцев</w:t>
      </w:r>
    </w:p>
    <w:p w14:paraId="3BFCFD8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завода N 30 бригадир Стренгин</w:t>
      </w:r>
    </w:p>
    <w:p w14:paraId="7397697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 них имеются инструкции 30 завода N 17/Э от мая 1943 года, по осмотру и ремонту деревянных крыльев самолетов Ил-2.</w:t>
      </w:r>
    </w:p>
    <w:p w14:paraId="12B65F1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 результатах осмотра, ремонта докладывайте.</w:t>
      </w:r>
    </w:p>
    <w:p w14:paraId="7969B87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Посылаю 2 экз. инструкции N 17/Э (1778).</w:t>
      </w:r>
    </w:p>
    <w:p w14:paraId="67D663ED" w14:textId="77777777" w:rsidR="00531570" w:rsidRPr="00D03F3E" w:rsidRDefault="00531570" w:rsidP="00D03F3E">
      <w:pPr>
        <w:pStyle w:val="Iauiue"/>
        <w:jc w:val="both"/>
        <w:rPr>
          <w:color w:val="000000" w:themeColor="text1"/>
          <w:sz w:val="16"/>
          <w:szCs w:val="16"/>
        </w:rPr>
      </w:pPr>
    </w:p>
    <w:p w14:paraId="26C46C0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 июня 1943 года П. Воронин писал письмо N Н-34/2366 в ВА Мытлево для директора завода N 471 Мартынова, зам. гл. инженера ВВС Лапину.</w:t>
      </w:r>
    </w:p>
    <w:p w14:paraId="5870A50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окончании ремонта самолетов Як-7 немедленно приступите средствами и силами бригад, находящихся в Вашем распоряжении к осмотру, если нужно к ремонту крыльев самолетов Ил-2 с деревянным крылом.</w:t>
      </w:r>
    </w:p>
    <w:p w14:paraId="7477D3A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Свяжитесь с находящейся в 1 ВА бригадой завода N 1 - бригадир Пещерский. У него имеется инструкция 30 завода N 17/Э от мая 1943 года по осмотру и ремонту деревянных крыльев самолетов Ил-2.</w:t>
      </w:r>
    </w:p>
    <w:p w14:paraId="33FEE2B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Результаты осмотра, ремонта докладывайте.</w:t>
      </w:r>
    </w:p>
    <w:p w14:paraId="544D544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Два экземпляра бюллетеня N 17/Э при этом высылаю (1778).</w:t>
      </w:r>
    </w:p>
    <w:p w14:paraId="35A75660" w14:textId="77777777" w:rsidR="00531570" w:rsidRPr="00D03F3E" w:rsidRDefault="00531570" w:rsidP="00D03F3E">
      <w:pPr>
        <w:pStyle w:val="Iauiue"/>
        <w:jc w:val="both"/>
        <w:rPr>
          <w:color w:val="000000" w:themeColor="text1"/>
          <w:sz w:val="16"/>
          <w:szCs w:val="16"/>
        </w:rPr>
      </w:pPr>
    </w:p>
    <w:p w14:paraId="6FA98341" w14:textId="77777777" w:rsidR="00435CF7" w:rsidRPr="00D03F3E" w:rsidRDefault="00435C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июня 1943 года главный конструктор завода № 289 П.О. Сухой доложил Наркому: «Согласно Вашего указания докладываю свои соображения о дальнейшем развитии самолета Пе-2, изготовляемого на заводе № 22.</w:t>
      </w:r>
    </w:p>
    <w:p w14:paraId="551D4168" w14:textId="77777777" w:rsidR="00435CF7" w:rsidRPr="00D03F3E" w:rsidRDefault="00435C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модифицированного самолета № 2 серии 187 замерена 530 клм/ч. На этом самолете проведены все рекомендации ЦАГИ за исключением нового входа и выхода водяного радиатора. За счет дополнительных мелких конструктивных улучшений и в основном за счет улучшения выполнения и отделки поверхности самолета завод имеет возможность добиться максимальной скорости самолета 540 клм/ч. Необходима только упорная работа цехов по повышению качества производства; эта работа на заводе еще не развернута.</w:t>
      </w:r>
    </w:p>
    <w:p w14:paraId="5E632917" w14:textId="77777777" w:rsidR="00435CF7" w:rsidRPr="00D03F3E" w:rsidRDefault="00435C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дальнейших модификаций самолета Пе-2, намеченных главным конструктором завода, должна быть проведена установка моторов М-107А, обеспечивающих скорость самолета 570 клм/ч (исходя из скорости самолета с моторами М-105, равной 540 клм/ч).</w:t>
      </w:r>
    </w:p>
    <w:p w14:paraId="1D2C504B" w14:textId="77777777" w:rsidR="00435CF7" w:rsidRPr="00D03F3E" w:rsidRDefault="00435C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Внедрением в серию варианта опущенного фюзеляжа емкость бомбового отсека будет доведена до 1000 клг. Дальность самолета может быть обеспечена не более 1100-1200 клм. Остальные модификации, намеченные заводом, а именно: высотные варианты истребителя, бомбардировщика и разведчика с моторами М-82 с турбокомпрессорами, – не являются массовыми машинами и в связи с этим большого интереса для загрузки завода – не представляют.</w:t>
      </w:r>
    </w:p>
    <w:p w14:paraId="4811072A" w14:textId="77777777" w:rsidR="00435CF7" w:rsidRPr="00D03F3E" w:rsidRDefault="00435C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наличии свободных мощностей после проведения основной модификации с моторами М-107А – желательно выполнить хотя бы один из высотных вариантов самолета. В связи с появлением английского одноместного бомбардировщика «Москито», заслуживает внимания модификация самолета Пе-2 в одноместном варианте с моторами М-107А. Максимальная скорость самолета будет равна 600 клм/ч, емкость бомбового отсека – 1000 клг, дальность – 2000- 2500 клм. Цифра дальности будет уточнена по окончании начатой заводом проработки эскизного проекта.» (19769).</w:t>
      </w:r>
    </w:p>
    <w:p w14:paraId="504CBFC2" w14:textId="77777777" w:rsidR="00435CF7" w:rsidRPr="00D03F3E" w:rsidRDefault="00435CF7" w:rsidP="00D03F3E">
      <w:pPr>
        <w:spacing w:after="0" w:line="240" w:lineRule="auto"/>
        <w:jc w:val="both"/>
        <w:rPr>
          <w:rFonts w:ascii="Times New Roman" w:hAnsi="Times New Roman"/>
          <w:color w:val="000000" w:themeColor="text1"/>
          <w:sz w:val="16"/>
          <w:szCs w:val="16"/>
        </w:rPr>
      </w:pPr>
    </w:p>
    <w:p w14:paraId="2B6545BA"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6730B8A6" w14:textId="77777777" w:rsidR="00531570" w:rsidRPr="00D03F3E" w:rsidRDefault="00531570" w:rsidP="00D03F3E">
      <w:pPr>
        <w:pStyle w:val="Iauiue"/>
        <w:jc w:val="both"/>
        <w:rPr>
          <w:iCs/>
          <w:color w:val="000000" w:themeColor="text1"/>
          <w:sz w:val="16"/>
          <w:szCs w:val="16"/>
        </w:rPr>
      </w:pPr>
    </w:p>
    <w:p w14:paraId="5328AE77" w14:textId="77777777" w:rsidR="00027215" w:rsidRPr="00D03F3E" w:rsidRDefault="0002721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13 июня 1943 начались испытания СУ-122М и продолжались до 13 июля. Проходили они на территории Уральского полигона. Испытания пробегом оказались осложнены тем, что дожди размыли дороги. В целом ходовые испытания машина выдержала, обнаруженные дефекты оказались равнозначными таковым у Т-34. Правда, отмечалась увеличившаяся нагрузка на вторую и третью пары опорных катков. Вполне успешными оказались испытания стрельбой. Неудачей закончились попытки стрельбы с хода, но на подобные задачи СУ-122М и не рассчитывалась. Не все оказалось гладко и с наведением орудия влево: как уже отмечал Соломонов, затвор на определенных углах наводки задевал ноги командира. Что же касается замечаний по обзорности, то ее признали лучшей, чем у СУ-122.</w:t>
      </w:r>
    </w:p>
    <w:p w14:paraId="5AB9F63A" w14:textId="77777777" w:rsidR="00027215" w:rsidRPr="00D03F3E" w:rsidRDefault="0002721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Несмотря на некоторые обнаруженные недочеты, СУ-122М признали выдержавшей испытания. Комиссия дала добро на запуск серийного производства модернизированной самоходной установки и системы Д-11. Вопрос в том, что к тому моменту ситуация со средними самоходными установками изменилась. В результате СУ-122М оказалась за бортом, а в конце июля на испытания вышла уже другая машина (17689).</w:t>
      </w:r>
    </w:p>
    <w:p w14:paraId="2B27F799" w14:textId="77777777" w:rsidR="00027215" w:rsidRPr="00D03F3E" w:rsidRDefault="00027215" w:rsidP="00D03F3E">
      <w:pPr>
        <w:spacing w:after="0" w:line="240" w:lineRule="auto"/>
        <w:jc w:val="both"/>
        <w:rPr>
          <w:rFonts w:ascii="Times New Roman" w:eastAsia="Times New Roman" w:hAnsi="Times New Roman"/>
          <w:color w:val="000000" w:themeColor="text1"/>
          <w:sz w:val="16"/>
          <w:szCs w:val="16"/>
          <w:lang w:eastAsia="ru-RU"/>
        </w:rPr>
      </w:pPr>
    </w:p>
    <w:p w14:paraId="37526AF8"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13 июня 1943 вышло Распоряжение ГКО № 3572 [О передаче НКУП и НКПС части трофейного подвижного состава узкой колеи.] (7115, 1).</w:t>
      </w:r>
    </w:p>
    <w:p w14:paraId="6FDE8362" w14:textId="77777777" w:rsidR="00531570" w:rsidRPr="00D03F3E" w:rsidRDefault="00531570" w:rsidP="00D03F3E">
      <w:pPr>
        <w:pStyle w:val="Iauiue"/>
        <w:tabs>
          <w:tab w:val="left" w:pos="11199"/>
        </w:tabs>
        <w:jc w:val="both"/>
        <w:rPr>
          <w:color w:val="000000" w:themeColor="text1"/>
          <w:sz w:val="16"/>
          <w:szCs w:val="16"/>
        </w:rPr>
      </w:pPr>
    </w:p>
    <w:p w14:paraId="466337E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июня 1943 вышло Распоряжение ГКО№ 3573. Об утверждении плана поставки HКЧМ кузнецких углей в июне 1943 г.РГАНИР, Фонд ГКО, д. 126, лл. 2 (11012).</w:t>
      </w:r>
    </w:p>
    <w:p w14:paraId="6764183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602EA6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июня 1943 На Адмиралтейском заводе сдан флоту очередной ТК типа Г-5, завершены швартовные испытания на втором МБК. Подписан приемный акт на второй БМО (10671).</w:t>
      </w:r>
    </w:p>
    <w:p w14:paraId="38E63546"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2969472"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15C9C756" w14:textId="77777777" w:rsidR="00531570" w:rsidRPr="00D03F3E" w:rsidRDefault="00531570" w:rsidP="00D03F3E">
      <w:pPr>
        <w:pStyle w:val="Iauiue"/>
        <w:jc w:val="both"/>
        <w:rPr>
          <w:iCs/>
          <w:color w:val="000000" w:themeColor="text1"/>
          <w:sz w:val="16"/>
          <w:szCs w:val="16"/>
        </w:rPr>
      </w:pPr>
    </w:p>
    <w:p w14:paraId="78F0F3B3"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13 июня</w:t>
      </w:r>
      <w:r w:rsidRPr="00D03F3E">
        <w:rPr>
          <w:rFonts w:ascii="Times New Roman" w:hAnsi="Times New Roman"/>
          <w:color w:val="000000" w:themeColor="text1"/>
          <w:sz w:val="16"/>
          <w:szCs w:val="16"/>
        </w:rPr>
        <w:t xml:space="preserve"> в 1943 году утреннее сообщение Совинформбюро:</w:t>
      </w:r>
    </w:p>
    <w:p w14:paraId="4EC2027A"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13 июня на фронте ничего существенного не произошло.</w:t>
      </w:r>
    </w:p>
    <w:p w14:paraId="03E5E441"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разведывательный отряд Н-ской части ворвался в траншеи противника. Наши бойцы уничтожили 40 гитлеровцев и, захватив пленных, вернулись в свою часть. Группа разведчиков под командованием старшего сержанта Бруева ночью проникла в расположение противника. Разведчики забросали гранатами вражеские блиндажи и уничтожили находившихся в них гитлеровцев.</w:t>
      </w:r>
    </w:p>
    <w:p w14:paraId="2572549A"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батальон немецкой пехоты под прикрытием артиллерийско-миномётного огня на одном участоке атаковал наши позиции. После непродолжительной схватки наши подразделения отбросили противника. На поле боя осталось 120 вражеских трупов и много оружия, брошенного гитлеровцами.</w:t>
      </w:r>
    </w:p>
    <w:p w14:paraId="2E245A42"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артиллеристы Н-ской части за последние дни истребили более роты немецкой пехоты, разрушили 18 блиндажей и подавили огонь 3 артиллерийских батарей противника.</w:t>
      </w:r>
    </w:p>
    <w:p w14:paraId="43A7664D"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наши артиллеристы произвели огневой налёт на немецкую колонну и уничтожили до 100 вражеских солдат. На другом участке наши подразделения подбили танк, уничтожили 2 миномёта и 7 пулемётов противника.</w:t>
      </w:r>
    </w:p>
    <w:p w14:paraId="080C6707"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группа снайперов под командованием сержанта Александра Говорухина, находившаяся несколько дней в засаде, уничтожила до 60 гитлеровцев. Старший сержант Николай Кашицын истребил 7 немцев, красноармеец Иван Михайлов — 5, снайпер Говорухин уничтожил 8 гитлеровцев.</w:t>
      </w:r>
    </w:p>
    <w:p w14:paraId="5ED91CDB"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имени Чкалова, действующий в Брестской области, пустил под откос немецкий эшелон с войсками, следовавший на фронт. Партизанская разведка установила, что гитлеровцы извлекли из-под обломков вагонов до 150 убитых и тяжело раненных. Партизаны другого отряда в конце мая месяца подорвали на минах немецкий эшелон. Разбиты паровоз и 14 платформ с автомашинами.</w:t>
      </w:r>
    </w:p>
    <w:p w14:paraId="4A34E8EE"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обер-ефрейтор 339 немецкой пехотной дивизии Мартин Вагенкнехт рассказал: «В немецком тылу действует большое количество русских партизан. Они нападают на опорные пункты, а также на гарнизоны, находящиеся далеко позади фронта. Недавно партизаны уничтожили большой отряд наших сапёров». Перешедший на сторону Красной Армии солдат 296 немецкой пехотной дивизии Вернер Г. заявил: «Эшелон, в котором наш маршевый батальон ехал на фронт, три раза останавливался из-за того, что путь был взорван и повреждён партизанами. Перед Брянском я видел взорванные партизанами пролёты крупного железнодорожного моста. Поезд, шедший впереди нашего эшелона, сошёл с рельсов и полетел под откос».</w:t>
      </w:r>
    </w:p>
    <w:p w14:paraId="6AD8D776"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участке Карельского фронта немцам удалось захватить в плен двух раненых советских бойцов. Вскоре наше подразделение выбило противника из укреплённой позиции. У одного блиндажа были обнаружены истерзанные трупы бойцов, попавших в фашистский плен. Выяснилось, что немцы зверски замучили красноармейцев Козлова Романа Петровича и Фатеева Якова Игнатьевича. Бойцы Н-ской части поклялись отомстить фашистским мерзавцам за смерть своих товарищей.» (14921).</w:t>
      </w:r>
    </w:p>
    <w:p w14:paraId="1BCEC461" w14:textId="77777777" w:rsidR="00C0041B" w:rsidRPr="00D03F3E" w:rsidRDefault="00C0041B" w:rsidP="00D03F3E">
      <w:pPr>
        <w:spacing w:after="0" w:line="240" w:lineRule="auto"/>
        <w:jc w:val="both"/>
        <w:rPr>
          <w:rFonts w:ascii="Times New Roman" w:hAnsi="Times New Roman"/>
          <w:color w:val="000000" w:themeColor="text1"/>
          <w:sz w:val="16"/>
          <w:szCs w:val="16"/>
        </w:rPr>
      </w:pPr>
    </w:p>
    <w:p w14:paraId="6650701D"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13 июня</w:t>
      </w:r>
      <w:r w:rsidRPr="00D03F3E">
        <w:rPr>
          <w:rFonts w:ascii="Times New Roman" w:hAnsi="Times New Roman"/>
          <w:color w:val="000000" w:themeColor="text1"/>
          <w:sz w:val="16"/>
          <w:szCs w:val="16"/>
        </w:rPr>
        <w:t xml:space="preserve"> в 1943 году вечернее сообщение Совинформбюро:</w:t>
      </w:r>
    </w:p>
    <w:p w14:paraId="36E9EF30"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13 июня на фронте существенных изменений не произошло.</w:t>
      </w:r>
    </w:p>
    <w:p w14:paraId="4789D86F"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Нашей авиацией в Баренцевом море потоплены немецкий транспорт и два сторожевых катера, в Чёрном норе потоплен транспорт противника.</w:t>
      </w:r>
    </w:p>
    <w:p w14:paraId="0E40E58E"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6 по 12 июня включительно, в воздушных боях, на аэродромах противника, огнём зенитной артиллерии и войск уничтожено 498 немецких самолётов. Кроме того, большое количество вражеских самолётов уничтожено и повреждено в результате налётов крупных сил советской авиации на аэродромы противника в ночь на 8, 10 и 12 июня. Наши потери за это же время — 153 самолёта.</w:t>
      </w:r>
    </w:p>
    <w:p w14:paraId="6AB33A25"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войска истребили до 200 немецких солдат и офицеров, подавили огонь четырёх артиллерийских и миномётных батарей противника. На одном участке разведывательный отряд Н-ской части атаковал немецкие траншеи и в рукопашной схватке уничтожил группу гитлеровцев. Захватив пулемёт, винтовки и автоматы, разведчики вернулись в свою часть.</w:t>
      </w:r>
    </w:p>
    <w:p w14:paraId="78CA9B2B"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 одном участке противник несколько раз пытался атаковать наши позиции. Под губительным пулемётным и миномётным огнём наших подразделений гитлеровцы каждый раз были вынуждены поспешно отступать, устилая поле боя трупами своих солдат. На другом участке противник, предприняв атаку, несколько потеснил наше передовое подразделение. Контрударом бойцы Н-ской части отбросили немцев и полностью восстановили положение.</w:t>
      </w:r>
    </w:p>
    <w:p w14:paraId="0FAFB8E2"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наши артиллеристы уничтожили немецкое орудие, 6 пулемётов, подавили огонь 2 артиллерийских батарей и истребили до роты гитлеровцев. На другом участке противник пытался переправиться через реку Северный Донец, но был рассеян огнём наших подразделений. Убито несколько десятков немецких солдат и офицеров.</w:t>
      </w:r>
    </w:p>
    <w:p w14:paraId="63547E1B"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Восемь немецких бомбардировщиков под прикрытием девяти истребителей пытались бомбить один из наших аэродромов. Наша истребительная авиация не допустила вражеских самолётов к аэродрому. В воздушных боях сбито 5 немецких самолётов. Остальные самолёты противника беспорядочно сбросили бомбы и быстро скрылись.</w:t>
      </w:r>
    </w:p>
    <w:p w14:paraId="3B76C101"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подразделения уничтожили 11 немецких пулемётов, взорвали склад боеприпасов, разрушили 13 дзотов, 10 землянок и 4 наблюдательных пункта противника. Истреблено до 120 вражеских солдат и офицеров.</w:t>
      </w:r>
    </w:p>
    <w:p w14:paraId="55D70C1E"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воздушном бою на подступах к Ленинграду лётчики Н-ской авиачасти сбили один и подбили 3 немецких самолёта. Кроме того, один немецкий самолёт сбит огнём зенитной артиллерии.</w:t>
      </w:r>
    </w:p>
    <w:p w14:paraId="35F8C30D"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Гомельской области, неделю тому назад вёл бой с немецкими оккупантами на реке Сож. Партизаны потопили пароход с гитлеровцами и две баржи с разными военными грузами. Группа гомельских партизан из отряда имени Чапаева пустила под откос 3 немецких воинских эшелона. Разбито 3 паровоза. Уничтожено 28 платформ с легкими танками, 14 платформ с автомашинами и 9 вагонов с военным снаряжением.</w:t>
      </w:r>
    </w:p>
    <w:p w14:paraId="235F8FA2"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обер-ефрейтор 7 роты 580 полка 306 немецкой пехотной дивизии Франц Фишер рассказал: «Я нахожусь на фронте с февраля этого года. В роте я не застал ни одного солдата из тех, кто несколько месяцев назад прибыл из Франции. Большинство солдат было убито и ранено в зимних боях. Оставшуюся кучку распихали по другим подразделениям. Пробыв неделю в полку, я встретился с «ветеранами», которые сообщили мне жуткие подробности разгрома 306 дивизии. Только под Морозовской дивизия потеряла две трети личного состава. Начиная с февраля офицеры ежедневно говорили солдатам, что весной немецкая армия перейдёт в наступление. Вопреки всей этой шумихе, затишье продолжается и поныне. Старые солдаты в один голос твердят: «Русские — страшный противник, его нельзя победить. Если третья зима застанет нас в России, то Германия, безусловно, проиграет войну, а мы все погибнем».</w:t>
      </w:r>
    </w:p>
    <w:p w14:paraId="2415FF63" w14:textId="77777777" w:rsidR="00C0041B" w:rsidRPr="00D03F3E" w:rsidRDefault="00C0041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Польские патриоты совершили смелый налёт на тюрьму в городе Зволень. Партизаны перебили немецких тюремщиков и освободили заключённых в тюрьме поляков. В районе Гнешова, Радомского уезда, партизаны сожгли немецкий самолёт, сделавший вынужденную посадку. В Яновском уезде патриоты убили немецкого генерала Вильгельма Либертау. В Варшаве убито три чиновника гестапо.» (14921).</w:t>
      </w:r>
    </w:p>
    <w:p w14:paraId="7AF34204" w14:textId="77777777" w:rsidR="00C0041B" w:rsidRPr="00D03F3E" w:rsidRDefault="00C0041B" w:rsidP="00D03F3E">
      <w:pPr>
        <w:spacing w:after="0" w:line="240" w:lineRule="auto"/>
        <w:jc w:val="both"/>
        <w:rPr>
          <w:rFonts w:ascii="Times New Roman" w:hAnsi="Times New Roman"/>
          <w:color w:val="000000" w:themeColor="text1"/>
          <w:sz w:val="16"/>
          <w:szCs w:val="16"/>
        </w:rPr>
      </w:pPr>
    </w:p>
    <w:p w14:paraId="6138977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Вечером 13 июня 1943 над Горьким в очередной раз пролетел самолет-разведчик. В погоню вновь были посланы полтора десятка истребителей, но никто уже и не надеялся на какой-либо результат. Командование ПВО гораздо больше беспокоило, будет ли новый налет. Вечером в области установилась облачная погода при влажности воздуха 51%, но осадков не было, со скоростью 13 м/с дул северо-восточный ветер. До полуночи в городе было спокойно, и многие жители уже надеялись, что налета опять не будет, однако в 00.05 во всех районах все же завыли привычные гудки воздушной тревоги. В штабе Горьковского корпусного района ПВО на Почтовом съезде напряженно следили за поступающими сообщениями с постов ВНОС и РЛС. Бомбардировщики шли по маршруту Рязань – Муром – Павлово – Горький. Основная масса летела мелкими группами на высоте 3000—5000 м. Цельфиндеры шли к цели поодиночке, периодически сбрасывая осветительные ракеты. Когда первые самолеты приблизились к Дзержинску, оборонявший его 1291-й ЗенАП открыл заградительный огонь, затем начали стрелять зенитки 748-го и др. полков. Но «Хейнкели» и «Юнкерсы», невзирая на разрывы снарядов, продолжали идти к цели. Дальше все пошло по старому сценарию: сначала повисли «люстры», затем началась бомбежка. Основной удар в этот раз наносился по Ленинскому району города, прежде всего по минометному заводу «Двигатель революции». Первым делом «Юнкерсы» разбомбили водозаборную станцию Ленинского района (Первомайскую водокачку), полностью прервав подачу воды в жилые поселки и на предприятия. Затем в 01.07 на завод «Двигатель революции» были сброшены 16 фугасных и 20 тяжелых зажигательных бомб. Четверо бойцов унитарной команды цеха № 12 – Кукушкин, Аракчеев, Батьянов, Петрушенко – находились на своих постах, напряженно вслушиваясь в происходящее на улице. После первой серии взрывов последовала вторая, и тут сверху раздался резкий хруст, а затем гулкий удар и хлопок. После этого все помещение на мгновение озарила яркая вспышка. На секунду зажмурившись, бойцы открыли глаза и увидели, как в радиусе нескольких десятков метров полыхает разбрызганная горючая жидкость. Кукушкин и Аракчеев тут же схватили ведра с песком и стали забрасывать им огонь, Батьянов и Петрушенко пытались поливать жидкость водой, но этого оказалось мало. Очагов огня было слишком много, а песок быстро закончился. Однако бойцы не растерялись и стали забрасывать пламя землей, листами железа и прочим негорючим материалом. В итоге пожар удалось предотвратить. Одновременно на крыше этого же здания бойцы Щеглов, Разживин, Зверев, Кудряшов, Петров под руководством начальника цеха Батурина отчаянно боролись с последствиями попадания второй зажигательной бомбы, упавшей на крышу соседнего цеха, соединенную под наклоном с цехом № 12. Горючая жидкость накатывалась то тут, то там, подобно лаве, сразу несколькими потоками. Бойцы засыпали ее песком, сбивали пламя лопатами, но огонь прорывался с другой стороны. Когда люди бросались туда, опять вспыхивал ранее потушенный участок. Этот бой с огнем продолжался около часа, при этом Разживин и Кудряшов регулярно подносили по пожарной лестнице новый песок. В итоге цех № 12 удалось отстоять. Героизм проявили и бойцы объектовой команды управления Назаров, Рякин и Журавлев, которые, находясь на наблюдательной вышке, несмотря на близкие взрывы, до конца налета продолжали наблюдение и четко передавали обстановку на командный пункт МПВО. Начальник команды управления Отдельнов от взрыва фугасной бомбы получил контузию, но, придя в себя, продолжал выполнять обязанности. Когда взрыв оборвал телефонный провод между КП и вышковым постом, он совместно с заведующим имуществом объектовой команды Фроловым восстановил связь. В то же время многие работники проявили трусость и поддались панике. Во время бомбежки сбежали группа бойцов ВОХРа, спецформирований МПВО цеха № 2, его начальник Федоров и др.</w:t>
      </w:r>
    </w:p>
    <w:p w14:paraId="5317FF4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налета завод «Двигатель революции» получил большие повреждения. В цехе № 1 от прямого попадания бомбы SC500 обрушились стены, вышибло все двери и остекление. Кроме того, были разрушены все служебные помещения и туалеты. Вторая 500-кг бомба попала в цех № 11, разрушив все стены и тамбуры. Деревянное здание модельного цеха после попадания зажигалок, начиненных смесью нефти с бензином, было мгновенно объято огнем и полностью сгорело. При этом погибло большое количество оборудования: моторный кран, пилы и станки. Пламя полностью уничтожило и соседний цех № 13. В литейном цехе, являвшемся важнейшим поставщиком артиллерийского завода № 92 и др. предприятий, были разбиты два крана, железнодорожные ворота, повреждены металлические переплеты фонарей и оконные проемы, в цехе № 15 частично обрушились стены, сместились подкрановые пути, вышла из строя вся электросеть. В заводском гараже тоже возник сильнейший пожар, уничтоживший стены, электропечь, ремонтную мастерскую, несколько автомобилей и весь запас автодеталей и резины, имевшихся на заводе [170] . Сильно пострадала и столовая. Здесь был разрушен нефтебак емкостью 1100 куб. м, сгорели ящики с готовыми деталями для реактивных снарядов М-13, которые почему-то хранилась там. Различные повреждения также получили цех № 2, обрезной цех, детсад, еще в семи цехах вьшетели стекла и оконные рамы. Число жертв оказалось небольшим: пострадали 30 человек, из них три погибли, а 27 получили ранения различной степени тяжести. В рабочем поселке в ходе бомбежки была разрушена школа № 105, сгорели баня и барак № 3 на ул. Шоссейной. На станкостроительный завод № 113, невзирая на бессмысленный и отчаянный винтовочный «заградительный огонь» вохровцев товарища Галкина, были сброшены 22 фугасных и 50 тяжелых зажигательных бомб. В итоге были полностью разрушены шесть зданий и одно – частично. В основном цехе № 6 взрывами и пожарами были уничтожены 20% кровли, половина перегородок и проемов, 40% отопительной и вентиляционной системы, выведены из строя водопровод и освещение, вьшетели все стекла и оконные переплеты. От многочисленных прямых попаданий бомб, начиненных горючей жидкостью, модельный и центральный материальный склады, механическая мастерская, склад оборудования, главный магазин смежных деталей и овощехранилище были полностью объяты пламенем и выгорели дотла. В них были уничтожены три газогенераторных двигателя, один электрогенератор, 876 электромоторов, 22 станка, 13 вентиляторов, семь мостовых кранов, пять грузовых подъемников, две печные машины, все оборудование, материалы и документация газеты «Станкогигант». Кроме того, сгорело большое количество электроаппаратуры, измерительных приборов, запчастей к электромоторам, а также мотовоз широкой колеи. Огнем были приведены в негодность свыше 20 т цветных металлов. Бомба SC250, упавшая на цех № 4, не сработала, вторая фугаска взорвалась на улице рядом со зданием и вырвала большой участок водопровода. В цеха №№ 2, 5, 9, 10, 12 и 26 попало множество зажигательных бомб, но очаги возгораний были героически затушены группами самозащиты, которые в эту ночь действовали сразу на многих участках. Так, боец команды управления Цыбульский, невзирая на близкие разрывы бомб, до последнего момента оставался на наблюдательной вышке и передавал обстановку на КП, пока его не сшибло взрывной волной от очередной упавшей на завод бомбы. Врач Сняжицкая и командир медико-санитарного взвода Кукушкина прямо во время бомбежки оказывали помощь раненым в жилом доме № 9а на ул. Памирской, проходящей вдоль предприятия. Бойцы аварийно-восстановительной команды Татаев и Дмитриев проявили бесстрашие при откапывании пострадавших из земли. Но и тут не обошлось без паники. Начальник цеха Шамин в момент тревоги исчез, начальник дегазационной роты Мутовкин, вопреки штатному расписанию, не явился на завод и отсиживался в бомбоубежище. Бомбежке подвергся и судоремонтный завод им. 25 Октября, находящийся на берегу Оки. Несколько взрывов прогремело в затоне, в результате затонула одна баржа, вторая была разбита на мелководье. На завод «Красный кожевенник» упали 45 фугасных бомб, был полностью разрушен цех ширпотреба, в котором завалило двенадцать рабочих. Раскопка завала продолжалась в течение 40 минут, и пострадавшие в тяжелом состоянии были отправлены в больницу.</w:t>
      </w:r>
    </w:p>
    <w:p w14:paraId="5AA85BF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Сильно пострадал и жилой сектор Ленинского района. На ул. Композиторской, проходящей между заводами, взорвались восемь 250-кг бомб, разрушивших два жилых дома. Здесь же сгорел барак кирпичного завода, была выведена из строя телефонная связь и канализация. На поселок Карповка, по данным службы МПВО, упали 50 фугасных и 12 тяжелых зажигательных бомб. Пожары охватили целые улицы, перекидываясь с постройки на постройку, с сарая на сарай, полыхали заборы и деревья. В итоге взрывами и огнем были уничтожены 56 частных домов. Одна бомба SC250 попала прямо в Карповскую церковь, сильно повредив основное здание. На рабочий поселок судоремонтного завода немецкие самолеты сбросили 30 фугасных бомб и три зажигалки. В итоге на ул. Микояна, Баумана, Диксона и Заводской были разрушены шесть жилых домов, многие другие получили повреждения. Всего было зафиксировано падение на Ленинский район свыше 250 фугасных и около 400 зажигательных бомб всех калибров. При этом только в жилом секторе, по официальным данным, погибли 27 человек, еще 52 получили ранения и контузии. Автозаводский район в этот раз отделался небольшими повреждениями. Основной удар пришелся по жилым кварталам восточнее ГАЗа, на которые немецкие самолеты сбросили 40 фугасных и несколько сотен зажигательных бомб. Весь берег Оки был охвачен пламенем, столбы взрывов подняли в небо тучи песка, грязи и пыли, смешав все это с едкой гарью. Грохот и треск горящего дерева перемежался с душераздирающими воплями коз, чьи загоны охватило пламя. В Восточном поселке на 3-й линии сгорели два барака, контора, склад и сарай ЖКО ГАЗа. Сильно пострадала 6-я линия. Здесь взорвались около 15 фугасных бомб крупного калибра, разрушивших семь жилых бараков. Меньше всех пострадала 7-я линия поселка, где сгорели только три сарая. В Американском поселке прогремела серия мощных взрывов, разрушивших засыпной склад и столовую № 7. Кроме того, сгорел штабель досок завода промвентиляции. На культбазе «Баржестроя» сгорели восемь одноэтажных домов, при этом в хозпостройках погибло 11 часов мелкого рогатого скота. В очагах поражения работали семь носилочных звеньев медико-санитарного взвода МПВО района, аварийно-восстановительный отряд, два отряда «скорой помощи», три носилочных звена сандружины, а также два пожарных автонасоса.</w:t>
      </w:r>
    </w:p>
    <w:p w14:paraId="07DC2C0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Еще свыше двухсот термитных «зажигалок» попали в арматурно-радиаторный цех ГАЗа и в пространство между ним и КЭО. Для пожарных звеньев эти бомбы не представляли сложности, и все они вскоре были затушены. Потребовалось всего два автонасоса. Однако все-таки сгорели несколько ящиков с комплектами американских автомобилей и заправочная колонка с бутаном. В Кировском районе также прогремел мощнейший взрыв, во многих частных домах повылетали стекла. Около Инструментального поселка упала тяжелая зажигательная бомба, пламя от нее несколько минут ярко освещало окрестности. По счастливой случайности, в районе никто не пострадал. Тем временем к городу подходили последние группы бомбардировщиков, в частности «Хейнкели» из KG27 «Бельке». Командир эскадры барон Ханс-Хеннинг фон Бёст лично руководил действиями летчиков, барражируя на одном из самолетов над Горьким. Каждый экипаж, выполнив бомбометание, немедленно отчитывался перед ним по радио. В. Хартл из 8-й эскадрильи вспоминал:  «Спокойствие, которое излучал фон Бёст, было неповторимым! Когда над Горьким зенитный снаряд разорвался непосредственно рядом с нашим Не-111, он совершенно спокойно приказал мне, как бортрадисту: „Хартл, запишите точное время“. Дав указание штурману, рассчитать обратный полет, поскольку осколки повредили топливнуюсистему, он лишь сказал: „Мы остаемся здесь до тех пор, пока не появится последняя машина эскадры и Хартл не получит сообщение о сбросе бомб“».  </w:t>
      </w:r>
    </w:p>
    <w:p w14:paraId="2490FB1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Ворошиловском районе в течение всего налета обстановка оставалась относительно спокойной. Заводы продолжали работу, хотя рабочие настороженно прислушивались к доносящейся с улицы стрельбе зениток и грохоту взрывов. Группы самозащиты и пожарные формирования находились в состоянии боевой готовности. Свободные от работы жители района притаились в щелях, кто посмелее наблюдали за происходящим с высокого окского откоса. Бомбежка шла всего в трех километрах отсюда, и было отчетливо видно, как в Карповке, за Станкозаводом и дальше на берегу горят дома, пылают цеха завода «Двигатель революции». Огромные клубы дыма уносились ветром на юго-запад, закрывая вид на автозавод и его окрестности. Время было 01.45. Казалось, что налет закончился, но в небе над Щербинками вновь послышался гул самолетов. А затем воздух пронзил ужасающий вой падающих бомб. Еще мгновение, и по всему Ворошиловскому району прокатилась серия мощных взрывов, затем на откосе, у железной дороги и в жилом секторе в небо взметнулись ослепительные языки пламени. На заводе № 326 им. Фрунзе рабочие ночной смены вдруг услышали гулкий удар, затем хруст, перемежающийся с грохотом. В цехах и мастерских осыпалась штукатурка, зазвенели стекла. У каждого, кто слышал это, похолодело внутри. Борис Увяткин, преподаватель Горьковской школы радиоспециалистов, и сержанты А. Нужин и С. Меркушев находились в подвале возле 19-й будки, расположенной недалеко от заводской столовой. Они тоже ощутили сильнейший удар, чуть не сваливший их с ног. Все поняли, что на завод упало нечто огромное. Впоследствии оказалось, что в одноэтажное здание столовой попала бомба SC1800. Пробив все перекрытия, «адская машина» ушла на несколько метров в грунт, но не взорвалась. Тем не менее лишь одного попадания почти двухтонной махины оказалось достаточно, чтобы сильно повредить здание. Пострадали и другие объекты на территории района. Мощный взрыв разрушил барак № 7 на ул. Крутояровской и восемь сараев. Четыре зажигательных бомбы BrandC50A упали на территорию радиотелефонного завода им. Ленина и еще одна угодила в дом № 18 на ул. Азовской. К счастью, на место быстро прибыли заводские унитарные команды и пожарные автонасосы. В течение 30 минут пожары удалось потушить. Серия взрывов прогремела и на станции Мыза. Здесь были сильно разрушены пути и станционные постройки. Всего, по данным службы МПВО, на территорию Ворошиловского района были сброшены 10 фугасных и 50 зажигательных бомб разных калибров. В результате пострадали 36 человек, в т.ч. пятеро погибли, 11 получили тяжелые ранения и травмы.</w:t>
      </w:r>
    </w:p>
    <w:p w14:paraId="68FD0A8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Бомбардировке подвергся и Ждановский район, расположенный на восточной окраине нагорной части Горького. Л. Дмитриева, работавшая тогда операционной сестрой на станции переливания крови, вспоминала:  «Я находилась в это время на СПК. В окна третьего этажа, обращенные в сторону автозавода, мы словно завороженные наблюдали за тем, как падали зажигалки, сброшенные немцами. К нам зашел главный врач Е. Н. Нечаев и с тревогой сказал: – Девочки, все спускайтесь вниз, что-то у меня неспокойно на душе, что-то произойдет. Мы не послушались его совета и продолжали оставаться на своих местах. Через несколько минут он снова зашел и снова отругал нас. И только после этого мы бросились вниз. Едва успев добежать до второго этажа, почувствовали, что наше здание зашаталось, посыпались стекла».  В районе сада им. Пушкина прогремела серия взрывов. Бомбы разорвались на ул. Белинского, Костина и Воровского, а также на Средном рынке. Несколько фугасок попали в чулочную фабрику № 5 им. Клары Цеткин, разрушив один из ее корпусов. По роковому стечению обстоятельств в момент бомбежки по улице строем проходила воинская часть, и десятки бойцов были убиты и ранены. Первыми на место трагедии прибыли медсестры со станции переливания крови. Дмитриева рассказывала:  «Когда мы выбежали из помещения станции, то увидели такую картину: кругом все горело, трещало. Добежав до места, куда были сброшены бомбы, мы увидели воронки и лежавших на земле убитых красноармейцев. Мы переносили раненых солдат. Врачи перевязывали их, а потом отправляли в госпиталь». </w:t>
      </w:r>
    </w:p>
    <w:p w14:paraId="4E88C15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01.30 к Среднему рынку прибыли три пожарных автонасоса с боевыми расчетами, а также три звена медико-санитарной службы МПВО Ждановского района. К 05.30 утра основные очаги пожаров удалось потушить, затем началась очистка ул. Белинского от обломков. Когда бойцы разведали все очаги поражений, были обнаружены в общей сложности 25 воронок от фугасных бомб. Наиболее сильно пострадали чулочная фабрика и Средной рынок, на котором взрывами и огнем были разрушены все шесть павильонов, а также десять киосков. На протяжении трех кварталов по ул. Костина, Воровского и Белинского в жилых домах вышибло стекла, косяки, и рамы, поломало внутренние переборки внутри квартир. Наиболее сильные разрушения получили дома № 26 и 7а по ул. Костина. Всего в результате бомбежки в Ждановском районе пострадали 73 человека, из них 14 погибли и 34 получили тяжелые ранения. Кроме того, на частных подворьях были убиты лошадь и две козы.</w:t>
      </w:r>
    </w:p>
    <w:p w14:paraId="6F6E159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временем немецкие самолеты один за другим возвращались на свои базы. Так, в 01.25, по берлинскому времени, т.е. когда в Горьком было уже 04.25, в Олсуфьево после 305 минут полета приземлился Не-111H «1G+AL» из 3-й эскадрильи KG27. В 01.40, проведя в воздухе 319 минут, садится He-Ill «1G+EL» из той же эскадрильи. В. Хартл из 8-й эскадрильи вспоминал:  «Уже час спустя после посадки мы услышали, как русская радиостанция, мешавшая нашим передачам, передавала: „Кровавые собаки во главе с фон Вестом убили тысячи беззащитных людей и т.д.“».</w:t>
      </w:r>
    </w:p>
    <w:p w14:paraId="6D3E829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Горьком наступило утро, однако по всему городу продолжались тушение пожаров и разборка завалов. В общей сложности в пяти районах работали 33 автонасоса и четыре пожарных поезда. В Ждановском районе работы по оказанию помощи раненым, уборке трупов и очистке улиц от обломков продолжались до 08.00, после чего удалось восстановить движение трамвая № 2. На станции Мыза авральными темпами шли восстановительные работы. Одновременно на Казанском вокзале, а также на перегоне Мыза – Кудьма скопилось множество эшелонов, ожидавших проезда. Движение оказалось полностью нарушенным, и его удалось возобновить лишь в 15.00. Бойцы же вездесущего 22-го инженерного противохимического батальона НКВД приступили к обезвреживанию многочисленных неразорвавшихся авиабомб. Больше всего их оказалось на территории Ленинского района. Здесь к полудню 14 июня удалось обнаружить 79 несработавших фугасок, в т.ч. две SC500,35 SC50 и 42 SC250. Это составило примерно четверть бомбовой нагрузки, сброшенной Люфтваффе на территорию района. Своеобразный рекорд поставил завод «Красный кожевенник», на котором саперы обнаружили аж 30 невзорвавшихся бомб! В районе ул. Баумана пришлось обезвреживать 12 таких «подарков с неба». Но самые большие трудности, естественно, возникли с 1800-кг бомбой, находившейся под столовой радиозавода им. Фрунзе. Под утро жители Кировского района обнаружили на станции Маяковская детской железной дороги воронку диаметром 12 м и глубиной 3,5 м. Недалеко от нее был найден 50-литровый бак, на полметра ушедший в почву. Сбоку к нему была прикреплена мелкая зажигательная бомба. Все вокруг в радиусе 30 м было забрызгано смесью керосина и нефти.</w:t>
      </w:r>
    </w:p>
    <w:p w14:paraId="1225B58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Руководство МПВО по горячим следам подводило итоги очередного налета. Полковник Антропов указал в своей сводке, что якобы из общего числа 80 бомбардировщиков  «на город прорвались 5—10 самолетов», но потом, видимо, посчитав, что в эту цифру никто не поверит, от руки подписал  «15—20 самолетов». Потери населения в ходе бомбежки оценили в 253 человека, из которых 55 погибли. Конечно же, и эта цифра является весьма сомнительной. Различные повреждения получили пять предприятий, но больше всех пострадал минометный завод «Двигатель революции». Значительный ущерб был нанесен жилому сектору города. Всего в результате налета были разрушены и сгорели 90 жилых домов и бараков, в т.ч. 67 – в Ленинском, 18 – в Автозаводском и по два – в Ворошиловском и Ждановском районах. Десятки жилых зданий получили повреждения. Штаб Горьковского корпусного района ПВО на сей раз заявил о пяти сбитых самолетах, из которых три были на счету зенитной артиллерии. По донесениям командиров батарей и полков цели были поражены над центром города, станцией Мыза и г. Бор. Истребительная авиация совершила в эту ночь 33 самолето-вылета с общим налетом 41 час. При этом пилоты сообщили, что в районе Павлове и Богородска ими были сбиты два бомбардировщика, в т.ч. один из них тараном. С задания не вернулся один Ла-5. Фактически же потери Люфтваффе составили лишь два самолета. He-lllH-16WNr.l60291 «1G+BM» командира 4-й эскадрильи KG27 «Бельке» гауптмана Хельмута Путца, поднявшийся в воздух в 20.30, по берлинскому времени, не долетел до цели и через два часа полета, в 22.30, по какой-то причине упал около Тулы. Два члена его экипажа – пилот 28-летний Путц и бортрадист 25-летний обер-фельдфебель Евгений Шорн – попали в плен. Остальные два члена экипажа – штурман унтер-офицер Рольф Хофманн и бортмеханик обер-фельдфебель Георг Котцихик – пропали без вести. Еще один «Хейнкель» юго-западнее Горького был сбит ночным истребителем. Один из пилотов 6-й эскадрильи KG27 потом вспоминал:  «Мы летели на правом фланге правого звена. Внезапно между нами и самолетом на левом фланге почти вертикально пролетел одиночный русский ночной истребитель, который затем атаковал нашу машину справа. Я сразу же передал по радио: „Внимание, рядом ночной истребитель!“ Мы отразили атаку прицельным огнем. Ночной истребитель предпринял новую атаку, на этот раз сзади. Я сманеврировал, чтобы дать бортстрелкам лучшую возможность для огня, и мы смогли прицельными очередями снова отразить атаку. Вскоре после этого я заметил, что самолет палевом фланге перешел в крутое пикирование. Его экипаж: был объявлен пропавшим без вести».  Сбитым самолетом оказался Не-1 ПН-16 W.Nr.7554 «1G+HH» фельдфебеля Герхарда Рихтера из 1-й эскадрильи KG27, вылетевший в 23.00 с аэродрома Олсуфьеве Все пять членов его экипажа – пилот 25-летний Рихтер, штурман 28-летний фельдфебель Вилли Хоффманн, бортрадист 25-летний фельдфебель Рудольф Кёппер, бортмеханик 30-летний обер-фельдфебель Ханс Хагенмайстер и бортстрелок 23-летний обер-ефрейтор Хельмут Беккенбах – считаются пропавшими без вести. Атаке ночного истребителя подвергся также «Хейнкель» обер-фельдфебеля Людвига Хафигхорста из 5./KG27. Вскоре после сброса бомб бортстрелок и бортрадист одновременно заметили советский самолет. Пилот Людвиг Денц сразу отвернул влево, в результате истребитель проскочил мимо, после чего по нему открыл огонь борт-стрелок унтер-офицер Бласс.  «Подбитый самолет повернул в сторону. Откуда-то снизу у него вырвалась струя пламени, и, упав на землю, он взорвался», — вспоминал Хафигхорст. Сбитым истребителем, вероятно, был Ла-5 старшего лейтенанта Михаила Белоусова. Увидев перед собой немецкий бомбардировщик, летчик передал по рации, что идет на таран, после чего связь с ним оборвалась (11774).</w:t>
      </w:r>
    </w:p>
    <w:p w14:paraId="4BB2A71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FC0A7B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13 июня 1943 в ночь одновременно с налетом на Горький около 80 бомбардировщиков 6-го воздушного флота совершили второй налет на Саратов. Выйдя к Волге севернее города, они пересекли ее с запада на восток, а затем, ориентируясь по руслу реки, зашли на цель. Основной удар вновь пришелся по нефтеперегонному заводу им. Кирова и поселку Князевка, расположенному рядом, на берегу Волги. В результате попаданий фугасных и тяжелых зажигательных бомб возникли крупные очаги пожаров. В общей сложности сгорели 37 тыс. т нефтепродуктов. В поселке Князевка также возник большой пожар, охвативший сразу несколько улиц. В итоге были уничтожены 100 жилых домов, погибли 15 человек. Большую выдержку и самоотверженность проявили мастера цехов завода Ильин и Чернов, начальники караулов военизированной пожарной охраны А. Сергеев и В. Денисов, бойцы Панфилов и Захаров (оба погибли при ликвидации очагов пожаров). Летчики 144-й ИАД ПВО доложили о семи воздушных боях и двух сбитых самолетах. Старший лейтенант А. Гончаренко по прибытии на аэродром сообщил, что в районе деревня Квасниковка он перехватил один «Хейнкель» и сбил его пушечно-пулеметным огнем. Однако эти данные не подтвердились. На самом деле во время налета огнем зенитной артиллерии был подбит Не-111H WNr. 110071 унтер– офицера Герхарда Крюгера из 7-й эскадрильи KG55 «Грайф». Экипаж передал по рации, что продолжает полет на одном двигателе, однако самолет так и не вернулся на свой аэродром. Следует заметить, что расстояние от Саратова до линии фронта составляло </w:t>
      </w:r>
      <w:r w:rsidRPr="00D03F3E">
        <w:rPr>
          <w:rFonts w:ascii="Times New Roman" w:hAnsi="Times New Roman"/>
          <w:color w:val="000000" w:themeColor="text1"/>
          <w:sz w:val="16"/>
          <w:szCs w:val="16"/>
        </w:rPr>
        <w:lastRenderedPageBreak/>
        <w:t xml:space="preserve">около 670 км и дотянуть до нее на одном моторе было довольно сложно. Таким образом, бомбардировщики Люфтваффе продолжали каждую ночь летать в Поволжье, выводя из строя завод за заводом. Советские же ВВС по-прежнему утюжили Брянск, Карачев и Орел. Многочисленные же немецкие аэродромы в основном подвергались атакам ночных легких бомбардировщиков У-2. Порой немецкие самолеты, возвращавшиеся с очередного налета, в сумерках встречались с ними при заходе на посадку. П. Мёбиус из 9./KG27 вспоминал:  «Иногда в утренних сумерках мы встречали тихоходные вражеские машины. Это были „беспокоящие“ самолеты», которые бомбили аэродром. Хотя мы все говорили о том, чтобы организовать ночную охоту на эти «ящики», я полагаю, что обер-лейтенант Вальтер Грасеманн  [174]  был единственным, кто оставался над аэродромом и на своем Не-111 сбил несколько машин» (11774). </w:t>
      </w:r>
    </w:p>
    <w:p w14:paraId="3CEE340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94FAF24"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20FEB872" w14:textId="77777777" w:rsidR="00531570" w:rsidRPr="00D03F3E" w:rsidRDefault="00531570" w:rsidP="00D03F3E">
      <w:pPr>
        <w:pStyle w:val="Iauiue"/>
        <w:jc w:val="both"/>
        <w:rPr>
          <w:iCs/>
          <w:color w:val="000000" w:themeColor="text1"/>
          <w:sz w:val="16"/>
          <w:szCs w:val="16"/>
        </w:rPr>
      </w:pPr>
    </w:p>
    <w:p w14:paraId="66F6A203"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13 июня</w:t>
      </w:r>
      <w:r w:rsidRPr="00D03F3E">
        <w:rPr>
          <w:rFonts w:ascii="Times New Roman" w:hAnsi="Times New Roman"/>
          <w:color w:val="000000" w:themeColor="text1"/>
          <w:sz w:val="16"/>
          <w:szCs w:val="16"/>
        </w:rPr>
        <w:t xml:space="preserve"> в 1943 году впервые полетел, управляемый летчиком Нелло Вальцанья, первый прототип итальянского радиоуправляемого бомбардировщика </w:t>
      </w:r>
      <w:hyperlink r:id="rId198" w:tgtFrame="_blank" w:history="1">
        <w:r w:rsidRPr="00D03F3E">
          <w:rPr>
            <w:rFonts w:ascii="Times New Roman" w:hAnsi="Times New Roman"/>
            <w:color w:val="000000" w:themeColor="text1"/>
            <w:sz w:val="16"/>
            <w:szCs w:val="16"/>
          </w:rPr>
          <w:t xml:space="preserve">«Aeronautica Lombarda» «A.R.» </w:t>
        </w:r>
      </w:hyperlink>
      <w:r w:rsidRPr="00D03F3E">
        <w:rPr>
          <w:rFonts w:ascii="Times New Roman" w:hAnsi="Times New Roman"/>
          <w:color w:val="000000" w:themeColor="text1"/>
          <w:sz w:val="16"/>
          <w:szCs w:val="16"/>
        </w:rPr>
        <w:t>с двухместной кабиной пилотов. Испытания проводились на заводском аэродроме Веноньо и в целом подтвердили правильность конструкторских работ, проводимых фирмой. Исключение составила только система радиоуправления, которая на прототипе не устанавливалась. Предполагалось, что её удастся довести до требуемого уровня к концу года. В августе был готов к полётам первый образец из предсерийной партии с предполагаемым вводом в строй остальных заложенных самолётов, но быстрая капитуляция Италии в сентябре 1943 года привела к тому, что программу «A.R.» пришлось закрыть. Построенные образцы радиоуправляемых бомбардировщиков «A.R.» были оставлены на аэродроме и впоследствии уничтожены, так и не успев принять участия в войне (14921).</w:t>
      </w:r>
    </w:p>
    <w:p w14:paraId="1EB23A90" w14:textId="77777777" w:rsidR="0000301D" w:rsidRPr="00D03F3E" w:rsidRDefault="0000301D" w:rsidP="00D03F3E">
      <w:pPr>
        <w:spacing w:after="0" w:line="240" w:lineRule="auto"/>
        <w:jc w:val="both"/>
        <w:rPr>
          <w:rFonts w:ascii="Times New Roman" w:hAnsi="Times New Roman"/>
          <w:color w:val="000000" w:themeColor="text1"/>
          <w:sz w:val="16"/>
          <w:szCs w:val="16"/>
        </w:rPr>
      </w:pPr>
    </w:p>
    <w:p w14:paraId="7A12B159" w14:textId="77777777" w:rsidR="001F7B35" w:rsidRPr="00D03F3E" w:rsidRDefault="001F7B3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13 июня 1944 года удалось запустить первые 10 ракет по Лондону. Пять разбились сразу после запуска, одна упала в море, три упали на пути к цели, и только одна ракета попала в Лондон. Примерно за десять дней до этого события Геббельс выступил по радио и мир впервые услышал термин Vergeltungs waffee — «Оружие возмездия». Fi-103 стало первым Vergeltungs waffee — сокращенно V-1. Началась совершенно новая война, которую немецкая пропаганда назвала «Robot blitz» — «Война роботов» (22878).</w:t>
      </w:r>
    </w:p>
    <w:p w14:paraId="3A2A8FE7" w14:textId="77777777" w:rsidR="001F7B35" w:rsidRPr="00D03F3E" w:rsidRDefault="001F7B35" w:rsidP="00D03F3E">
      <w:pPr>
        <w:spacing w:after="0" w:line="240" w:lineRule="auto"/>
        <w:jc w:val="both"/>
        <w:rPr>
          <w:rFonts w:ascii="Times New Roman" w:hAnsi="Times New Roman"/>
          <w:color w:val="0070C0"/>
          <w:sz w:val="16"/>
          <w:szCs w:val="16"/>
        </w:rPr>
      </w:pPr>
    </w:p>
    <w:p w14:paraId="367D684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 июня 1943 на Лонг Айленд в Нью Йорке поймали немецких шпионов, высадившихся с подводной лодки (2100).</w:t>
      </w:r>
    </w:p>
    <w:p w14:paraId="04153319" w14:textId="77777777" w:rsidR="00531570" w:rsidRPr="00D03F3E" w:rsidRDefault="00531570" w:rsidP="00D03F3E">
      <w:pPr>
        <w:pStyle w:val="Iauiue"/>
        <w:jc w:val="both"/>
        <w:rPr>
          <w:color w:val="000000" w:themeColor="text1"/>
          <w:sz w:val="16"/>
          <w:szCs w:val="16"/>
        </w:rPr>
      </w:pPr>
    </w:p>
    <w:p w14:paraId="3C560360"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4ACC43AE" w14:textId="77777777" w:rsidR="00531570" w:rsidRPr="00D03F3E" w:rsidRDefault="00531570" w:rsidP="00D03F3E">
      <w:pPr>
        <w:pStyle w:val="Iauiue"/>
        <w:jc w:val="both"/>
        <w:rPr>
          <w:iCs/>
          <w:color w:val="000000" w:themeColor="text1"/>
          <w:sz w:val="16"/>
          <w:szCs w:val="16"/>
        </w:rPr>
      </w:pPr>
    </w:p>
    <w:p w14:paraId="194D40D5"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14 июня 1943 еще до завершения государственных контрольных ис</w:t>
      </w:r>
      <w:r w:rsidRPr="00D03F3E">
        <w:rPr>
          <w:color w:val="000000" w:themeColor="text1"/>
          <w:sz w:val="16"/>
          <w:szCs w:val="16"/>
        </w:rPr>
        <w:softHyphen/>
        <w:t>пытаний поступил головной серийный Ил-2 зав. № 302349 с пушками 11П, главный инженер ОКБ-16 инженер-полковник Юшин и «конструктор 37-мм пушки ОКБ-16» Нудельман направили главному инженеру ВВС генерал-лейтенанту Репину письмо, в котором указывали, что «проведенные в НИИ АВ ВВС и НИИ ВВС в течение месяца отстрелы са</w:t>
      </w:r>
      <w:r w:rsidRPr="00D03F3E">
        <w:rPr>
          <w:color w:val="000000" w:themeColor="text1"/>
          <w:sz w:val="16"/>
          <w:szCs w:val="16"/>
        </w:rPr>
        <w:softHyphen/>
        <w:t>молетов Ил-2 с 37-мм пушками ОКБ-16 показали срочную необходимость конструктивных измене</w:t>
      </w:r>
      <w:r w:rsidRPr="00D03F3E">
        <w:rPr>
          <w:color w:val="000000" w:themeColor="text1"/>
          <w:sz w:val="16"/>
          <w:szCs w:val="16"/>
        </w:rPr>
        <w:softHyphen/>
        <w:t>ний рукавов питания. Установленные на Ил-2, пе</w:t>
      </w:r>
      <w:r w:rsidRPr="00D03F3E">
        <w:rPr>
          <w:color w:val="000000" w:themeColor="text1"/>
          <w:sz w:val="16"/>
          <w:szCs w:val="16"/>
        </w:rPr>
        <w:softHyphen/>
        <w:t>реданные в 208-й и 637-й шап, рукава питания не обеспечивают надежной работы автоматики пуш</w:t>
      </w:r>
      <w:r w:rsidRPr="00D03F3E">
        <w:rPr>
          <w:color w:val="000000" w:themeColor="text1"/>
          <w:sz w:val="16"/>
          <w:szCs w:val="16"/>
        </w:rPr>
        <w:softHyphen/>
        <w:t>ки. Перед заводом № 30 нами неоднократно ста</w:t>
      </w:r>
      <w:r w:rsidRPr="00D03F3E">
        <w:rPr>
          <w:color w:val="000000" w:themeColor="text1"/>
          <w:sz w:val="16"/>
          <w:szCs w:val="16"/>
        </w:rPr>
        <w:softHyphen/>
        <w:t>вился вопрос о необходимости переделки рукавов питания /.../».</w:t>
      </w:r>
    </w:p>
    <w:p w14:paraId="43BCDDF5"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связи с тем, что «главный конструктор Ил-2 т. Ильюшин на днях принял решение о конструк</w:t>
      </w:r>
      <w:r w:rsidRPr="00D03F3E">
        <w:rPr>
          <w:color w:val="000000" w:themeColor="text1"/>
          <w:sz w:val="16"/>
          <w:szCs w:val="16"/>
        </w:rPr>
        <w:softHyphen/>
        <w:t>тивной переделке рукавов питания пушек», Юшин и Нудельман просили Репина в случае положитель</w:t>
      </w:r>
      <w:r w:rsidRPr="00D03F3E">
        <w:rPr>
          <w:color w:val="000000" w:themeColor="text1"/>
          <w:sz w:val="16"/>
          <w:szCs w:val="16"/>
        </w:rPr>
        <w:softHyphen/>
        <w:t>ных результатов испытаний дать указания «о за</w:t>
      </w:r>
      <w:r w:rsidRPr="00D03F3E">
        <w:rPr>
          <w:color w:val="000000" w:themeColor="text1"/>
          <w:sz w:val="16"/>
          <w:szCs w:val="16"/>
        </w:rPr>
        <w:softHyphen/>
        <w:t>мене рукавов питания прежней конструкции на новые в указанных полках».</w:t>
      </w:r>
    </w:p>
    <w:p w14:paraId="3F9BCAC8"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результатам первого этапа государственных испытаний был составлен акт от 22 июня 1943 г., который был утвержден главным инженером ВВС генералом А. К. Репиным 8 июля с замечанием: «По постановлению ГКО № 3144 Ил-2 с пушками 37 мм ОКБ-15 должен иметь боекомплект 100 патронов и 100 кг бомб. При такой нагрузке и надо было ис</w:t>
      </w:r>
      <w:r w:rsidRPr="00D03F3E">
        <w:rPr>
          <w:color w:val="000000" w:themeColor="text1"/>
          <w:sz w:val="16"/>
          <w:szCs w:val="16"/>
        </w:rPr>
        <w:softHyphen/>
        <w:t>пытывать».</w:t>
      </w:r>
    </w:p>
    <w:p w14:paraId="56BF3F22"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доводки пушечного вооружения на Ил-2 зав. № 302349 был изменен профиль горловины патронного рукава с добавлением к двум направляю</w:t>
      </w:r>
      <w:r w:rsidRPr="00D03F3E">
        <w:rPr>
          <w:color w:val="000000" w:themeColor="text1"/>
          <w:sz w:val="16"/>
          <w:szCs w:val="16"/>
        </w:rPr>
        <w:softHyphen/>
        <w:t>щим роликам еще двух таких же роликов, а также устранены производственные дефекты патронных ящиков.</w:t>
      </w:r>
    </w:p>
    <w:p w14:paraId="01E5EB73"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После доработок было выполнено 7 полетов со стрельбой в воздухе на режимах горизонтального полета и кабрирования, а также с планирования и пикирования до угла 30° по наземным мишеням. Расход снарядов составил 739 снарядов.</w:t>
      </w:r>
    </w:p>
    <w:p w14:paraId="6C86440F"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Отстрел пушек 11П производился с целью вы</w:t>
      </w:r>
      <w:r w:rsidRPr="00D03F3E">
        <w:rPr>
          <w:color w:val="000000" w:themeColor="text1"/>
          <w:sz w:val="16"/>
          <w:szCs w:val="16"/>
        </w:rPr>
        <w:softHyphen/>
        <w:t>явления особенностей поведения самолета Ил-2 при стрельбе, определения удобства прицеливания, возможности пораже</w:t>
      </w:r>
      <w:r w:rsidRPr="00D03F3E">
        <w:rPr>
          <w:color w:val="000000" w:themeColor="text1"/>
          <w:sz w:val="16"/>
          <w:szCs w:val="16"/>
        </w:rPr>
        <w:softHyphen/>
        <w:t>ния точечных целей. Пушки пристре</w:t>
      </w:r>
      <w:r w:rsidRPr="00D03F3E">
        <w:rPr>
          <w:color w:val="000000" w:themeColor="text1"/>
          <w:sz w:val="16"/>
          <w:szCs w:val="16"/>
        </w:rPr>
        <w:softHyphen/>
        <w:t>ливались на дистанцию 800 м.</w:t>
      </w:r>
    </w:p>
    <w:p w14:paraId="75EDF6DF"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стрельбах выяснилось, что правая пушечная установка (пушка зав. № АГ-191) работала удовлетво</w:t>
      </w:r>
      <w:r w:rsidRPr="00D03F3E">
        <w:rPr>
          <w:color w:val="000000" w:themeColor="text1"/>
          <w:sz w:val="16"/>
          <w:szCs w:val="16"/>
        </w:rPr>
        <w:softHyphen/>
        <w:t>рительно, а в левой установке (пушка зав. № АГ-242) «остались неустраненными выпадения патронов из лен</w:t>
      </w:r>
      <w:r w:rsidRPr="00D03F3E">
        <w:rPr>
          <w:color w:val="000000" w:themeColor="text1"/>
          <w:sz w:val="16"/>
          <w:szCs w:val="16"/>
        </w:rPr>
        <w:softHyphen/>
        <w:t>ты при расстреле последних 4—15 патронов боекомплекта, приводя</w:t>
      </w:r>
      <w:r w:rsidRPr="00D03F3E">
        <w:rPr>
          <w:color w:val="000000" w:themeColor="text1"/>
          <w:sz w:val="16"/>
          <w:szCs w:val="16"/>
        </w:rPr>
        <w:softHyphen/>
        <w:t>щие к рассоединению ленты» (всего 4 случая).</w:t>
      </w:r>
    </w:p>
    <w:p w14:paraId="4524D0DB"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то же время сами пушки, уста</w:t>
      </w:r>
      <w:r w:rsidRPr="00D03F3E">
        <w:rPr>
          <w:color w:val="000000" w:themeColor="text1"/>
          <w:sz w:val="16"/>
          <w:szCs w:val="16"/>
        </w:rPr>
        <w:softHyphen/>
        <w:t>новленные на самолете, работали хорошо. За все время испытаний по вине пушек имела место всего одна задержка — «неотброс затвора».</w:t>
      </w:r>
    </w:p>
    <w:p w14:paraId="306D478A"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Максимальная емкость патрон</w:t>
      </w:r>
      <w:r w:rsidRPr="00D03F3E">
        <w:rPr>
          <w:color w:val="000000" w:themeColor="text1"/>
          <w:sz w:val="16"/>
          <w:szCs w:val="16"/>
        </w:rPr>
        <w:softHyphen/>
        <w:t>ных ящиков пушек 11П равнялась 60 снарядам, при испытаниях в них загружали не более 50—55 снаря</w:t>
      </w:r>
      <w:r w:rsidRPr="00D03F3E">
        <w:rPr>
          <w:color w:val="000000" w:themeColor="text1"/>
          <w:sz w:val="16"/>
          <w:szCs w:val="16"/>
        </w:rPr>
        <w:softHyphen/>
        <w:t>дов. При этом наиболее благоприят</w:t>
      </w:r>
      <w:r w:rsidRPr="00D03F3E">
        <w:rPr>
          <w:color w:val="000000" w:themeColor="text1"/>
          <w:sz w:val="16"/>
          <w:szCs w:val="16"/>
        </w:rPr>
        <w:softHyphen/>
        <w:t>ной укладкой ленты, для исключения задевания звеньев съемниками, яв</w:t>
      </w:r>
      <w:r w:rsidRPr="00D03F3E">
        <w:rPr>
          <w:color w:val="000000" w:themeColor="text1"/>
          <w:sz w:val="16"/>
          <w:szCs w:val="16"/>
        </w:rPr>
        <w:softHyphen/>
        <w:t>ляется укладка нижнего горизонталь</w:t>
      </w:r>
      <w:r w:rsidRPr="00D03F3E">
        <w:rPr>
          <w:color w:val="000000" w:themeColor="text1"/>
          <w:sz w:val="16"/>
          <w:szCs w:val="16"/>
        </w:rPr>
        <w:softHyphen/>
        <w:t>ного ряда и последующей вертикаль</w:t>
      </w:r>
      <w:r w:rsidRPr="00D03F3E">
        <w:rPr>
          <w:color w:val="000000" w:themeColor="text1"/>
          <w:sz w:val="16"/>
          <w:szCs w:val="16"/>
        </w:rPr>
        <w:softHyphen/>
        <w:t>ной змейкой (укладка начинается от пушки).</w:t>
      </w:r>
    </w:p>
    <w:p w14:paraId="6B5E34C6"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Стрельба в горизонтальном по</w:t>
      </w:r>
      <w:r w:rsidRPr="00D03F3E">
        <w:rPr>
          <w:color w:val="000000" w:themeColor="text1"/>
          <w:sz w:val="16"/>
          <w:szCs w:val="16"/>
        </w:rPr>
        <w:softHyphen/>
        <w:t>лете и на кабрировании произво</w:t>
      </w:r>
      <w:r w:rsidRPr="00D03F3E">
        <w:rPr>
          <w:color w:val="000000" w:themeColor="text1"/>
          <w:sz w:val="16"/>
          <w:szCs w:val="16"/>
        </w:rPr>
        <w:softHyphen/>
        <w:t>дилась на скоростях 320, 300, 270, 250 и 230 км/ч по прибору одновре</w:t>
      </w:r>
      <w:r w:rsidRPr="00D03F3E">
        <w:rPr>
          <w:color w:val="000000" w:themeColor="text1"/>
          <w:sz w:val="16"/>
          <w:szCs w:val="16"/>
        </w:rPr>
        <w:softHyphen/>
        <w:t>менно из обеих пушек и раздельно из правой и левой пушек. При этом «при стрельбе из обеих пушек самолет испытыва</w:t>
      </w:r>
      <w:r w:rsidRPr="00D03F3E">
        <w:rPr>
          <w:color w:val="000000" w:themeColor="text1"/>
          <w:sz w:val="16"/>
          <w:szCs w:val="16"/>
        </w:rPr>
        <w:softHyphen/>
        <w:t>ет значительные толчки, причем чем меньше ско</w:t>
      </w:r>
      <w:r w:rsidRPr="00D03F3E">
        <w:rPr>
          <w:color w:val="000000" w:themeColor="text1"/>
          <w:sz w:val="16"/>
          <w:szCs w:val="16"/>
        </w:rPr>
        <w:softHyphen/>
        <w:t>рость, тем сильнее толчки». При стрельбе из одной пушки «самолет резко разворачивает в сторону стреляющей пушки, и если его не парировать, то разворот достигает 30° и более».</w:t>
      </w:r>
    </w:p>
    <w:p w14:paraId="181B8040"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Стрельба по наземным мишеням проводи</w:t>
      </w:r>
      <w:r w:rsidRPr="00D03F3E">
        <w:rPr>
          <w:color w:val="000000" w:themeColor="text1"/>
          <w:sz w:val="16"/>
          <w:szCs w:val="16"/>
        </w:rPr>
        <w:softHyphen/>
        <w:t>лась с планирования и пикирования под углами 10° и 30°. Было установлено, что наиболее выгод</w:t>
      </w:r>
      <w:r w:rsidRPr="00D03F3E">
        <w:rPr>
          <w:color w:val="000000" w:themeColor="text1"/>
          <w:sz w:val="16"/>
          <w:szCs w:val="16"/>
        </w:rPr>
        <w:softHyphen/>
        <w:t>ным является угол 30°, «так как при меньших углах благодаря плохой продольной устойчивости само лет сильнее колеблется в продольной плоскости и прицеливание затруднено».</w:t>
      </w:r>
    </w:p>
    <w:p w14:paraId="7213D583"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Выход на цель лучше производить с разворота под 45° к плоскости пикирования с высоты 500 м, «так как цель в этом случае все время находит</w:t>
      </w:r>
      <w:r w:rsidRPr="00D03F3E">
        <w:rPr>
          <w:color w:val="000000" w:themeColor="text1"/>
          <w:sz w:val="16"/>
          <w:szCs w:val="16"/>
        </w:rPr>
        <w:softHyphen/>
        <w:t>ся в поле зрения летчика и получаются меньшие ошибки в наводке по направлению». Ввод в пики</w:t>
      </w:r>
      <w:r w:rsidRPr="00D03F3E">
        <w:rPr>
          <w:color w:val="000000" w:themeColor="text1"/>
          <w:sz w:val="16"/>
          <w:szCs w:val="16"/>
        </w:rPr>
        <w:softHyphen/>
        <w:t>рование выполняется при скорости 260—270 км/ч по прибору. Дистанция стрельбы при указанных условиях получается порядка 900—400 м. Вывод из пикирования «необходимо было начинать с таким расчетом, чтобы при выходе на горизонтальном по</w:t>
      </w:r>
      <w:r w:rsidRPr="00D03F3E">
        <w:rPr>
          <w:color w:val="000000" w:themeColor="text1"/>
          <w:sz w:val="16"/>
          <w:szCs w:val="16"/>
        </w:rPr>
        <w:softHyphen/>
        <w:t>лете иметь высоту не менее 100 м». То есть с высо</w:t>
      </w:r>
      <w:r w:rsidRPr="00D03F3E">
        <w:rPr>
          <w:color w:val="000000" w:themeColor="text1"/>
          <w:sz w:val="16"/>
          <w:szCs w:val="16"/>
        </w:rPr>
        <w:softHyphen/>
        <w:t>ты 200 м при перегрузке на выводе 2,5—3 единицы.</w:t>
      </w:r>
    </w:p>
    <w:p w14:paraId="7DF3009E"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стрельбе из 2 пушек «чувствуется значи</w:t>
      </w:r>
      <w:r w:rsidRPr="00D03F3E">
        <w:rPr>
          <w:color w:val="000000" w:themeColor="text1"/>
          <w:sz w:val="16"/>
          <w:szCs w:val="16"/>
        </w:rPr>
        <w:softHyphen/>
        <w:t>тельная отдача назад». Вследствие плохой про</w:t>
      </w:r>
      <w:r w:rsidRPr="00D03F3E">
        <w:rPr>
          <w:color w:val="000000" w:themeColor="text1"/>
          <w:sz w:val="16"/>
          <w:szCs w:val="16"/>
        </w:rPr>
        <w:softHyphen/>
        <w:t>дольной устойчивости самолета прицеливание нарушается после первых же выстрелов и «получа</w:t>
      </w:r>
      <w:r w:rsidRPr="00D03F3E">
        <w:rPr>
          <w:color w:val="000000" w:themeColor="text1"/>
          <w:sz w:val="16"/>
          <w:szCs w:val="16"/>
        </w:rPr>
        <w:softHyphen/>
        <w:t>ется разброс снарядов, особенно при асинхронной работе пушек». Поэтому «прицельное поражение точечной цели (одиночный танк) возможно только из первой очереди, а возможно, даже и только из первых выстрелов». По этой причине стрельбу не</w:t>
      </w:r>
      <w:r w:rsidRPr="00D03F3E">
        <w:rPr>
          <w:color w:val="000000" w:themeColor="text1"/>
          <w:sz w:val="16"/>
          <w:szCs w:val="16"/>
        </w:rPr>
        <w:softHyphen/>
        <w:t>обходимо было вести только короткими очередями по 2—3 выстрела. Внесение поправок в прицелива</w:t>
      </w:r>
      <w:r w:rsidRPr="00D03F3E">
        <w:rPr>
          <w:color w:val="000000" w:themeColor="text1"/>
          <w:sz w:val="16"/>
          <w:szCs w:val="16"/>
        </w:rPr>
        <w:softHyphen/>
        <w:t>ние было возможным, но требует от летчиков опре</w:t>
      </w:r>
      <w:r w:rsidRPr="00D03F3E">
        <w:rPr>
          <w:color w:val="000000" w:themeColor="text1"/>
          <w:sz w:val="16"/>
          <w:szCs w:val="16"/>
        </w:rPr>
        <w:softHyphen/>
        <w:t>деленного навыка. При этом максимальная длина очереди ограничивалась 3—4 выстрелами. За один заход с высоты 500 м при соответствующей трени</w:t>
      </w:r>
      <w:r w:rsidRPr="00D03F3E">
        <w:rPr>
          <w:color w:val="000000" w:themeColor="text1"/>
          <w:sz w:val="16"/>
          <w:szCs w:val="16"/>
        </w:rPr>
        <w:softHyphen/>
        <w:t>ровке можно было выполнить 3—4 прицельные очереди.</w:t>
      </w:r>
    </w:p>
    <w:p w14:paraId="6E6B9B51"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стрельбе из одной пушки самолет силь</w:t>
      </w:r>
      <w:r w:rsidRPr="00D03F3E">
        <w:rPr>
          <w:color w:val="000000" w:themeColor="text1"/>
          <w:sz w:val="16"/>
          <w:szCs w:val="16"/>
        </w:rPr>
        <w:softHyphen/>
        <w:t>но разворачивает в сторону стреляющей пушки, «стрельба становится неприцельной, и удержать самолет в заданном направлении невозможно». Даже при парировании разворота «в момент стрельбы разрывы ложатся в сторону стреляющей пушки». В этом случае требовалось «стрелять еще более короткой очередью с небольшим боковым упреждением».</w:t>
      </w:r>
    </w:p>
    <w:p w14:paraId="31325E40"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Прицел ВВ-1 не отвечает требованиям прицель</w:t>
      </w:r>
      <w:r w:rsidRPr="00D03F3E">
        <w:rPr>
          <w:color w:val="000000" w:themeColor="text1"/>
          <w:sz w:val="16"/>
          <w:szCs w:val="16"/>
        </w:rPr>
        <w:softHyphen/>
        <w:t>ной стрельбы из пушек 11П по точечным целям с самолета Ил-2. Получалось так, что цель разме</w:t>
      </w:r>
      <w:r w:rsidRPr="00D03F3E">
        <w:rPr>
          <w:color w:val="000000" w:themeColor="text1"/>
          <w:sz w:val="16"/>
          <w:szCs w:val="16"/>
        </w:rPr>
        <w:softHyphen/>
        <w:t>рами 6x6 м с дистанции 900—800 м закрывается мушкой, а «совмещение перекрестия на козырь</w:t>
      </w:r>
      <w:r w:rsidRPr="00D03F3E">
        <w:rPr>
          <w:color w:val="000000" w:themeColor="text1"/>
          <w:sz w:val="16"/>
          <w:szCs w:val="16"/>
        </w:rPr>
        <w:softHyphen/>
        <w:t>ке с мушкой после первого выстрела нарушается и впоследствии трудно возобновляется». К тому же «наводка затрудняется также плохим качеством прозрачной брони (искажает)».</w:t>
      </w:r>
    </w:p>
    <w:p w14:paraId="74567F69"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Средний процент попаданий в круг диаметром 60 м составил 33,3% (диапазон — от 22,3 до 71,5%), а в цель размерами 6x6 м — всего 2,65% (диапа</w:t>
      </w:r>
      <w:r w:rsidRPr="00D03F3E">
        <w:rPr>
          <w:color w:val="000000" w:themeColor="text1"/>
          <w:sz w:val="16"/>
          <w:szCs w:val="16"/>
        </w:rPr>
        <w:softHyphen/>
        <w:t>зон — от 2,13 до 4,76%).</w:t>
      </w:r>
    </w:p>
    <w:p w14:paraId="3562C7E5"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 числу основных выводов по результатам ис</w:t>
      </w:r>
      <w:r w:rsidRPr="00D03F3E">
        <w:rPr>
          <w:color w:val="000000" w:themeColor="text1"/>
          <w:sz w:val="16"/>
          <w:szCs w:val="16"/>
        </w:rPr>
        <w:softHyphen/>
        <w:t>пытаний относили следующее. Во всем диапазоне эксплуатационных центровок двухместный самолет Ил-2 не имеет продольной устойчивости. С уста</w:t>
      </w:r>
      <w:r w:rsidRPr="00D03F3E">
        <w:rPr>
          <w:color w:val="000000" w:themeColor="text1"/>
          <w:sz w:val="16"/>
          <w:szCs w:val="16"/>
        </w:rPr>
        <w:softHyphen/>
        <w:t>новленными 37-мм пушками самолет инертен, на</w:t>
      </w:r>
      <w:r w:rsidRPr="00D03F3E">
        <w:rPr>
          <w:color w:val="000000" w:themeColor="text1"/>
          <w:sz w:val="16"/>
          <w:szCs w:val="16"/>
        </w:rPr>
        <w:softHyphen/>
        <w:t>грузки на рули большие. Самолет сложен в технике пилотирования на виражах, боевых разворотах, при полете на низких высотах. Отсутствие у само</w:t>
      </w:r>
      <w:r w:rsidRPr="00D03F3E">
        <w:rPr>
          <w:color w:val="000000" w:themeColor="text1"/>
          <w:sz w:val="16"/>
          <w:szCs w:val="16"/>
        </w:rPr>
        <w:softHyphen/>
        <w:t>лета продольной устойчивости «снижает качество стрельбы, особенно из пушек калибра 37 мм».</w:t>
      </w:r>
    </w:p>
    <w:p w14:paraId="299B73A2"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то же время отмечалось, что самолет Ил-2 с пушками 11П «может быть применен для пораже</w:t>
      </w:r>
      <w:r w:rsidRPr="00D03F3E">
        <w:rPr>
          <w:color w:val="000000" w:themeColor="text1"/>
          <w:sz w:val="16"/>
          <w:szCs w:val="16"/>
        </w:rPr>
        <w:softHyphen/>
        <w:t>ния железнодорожных эшелонов, паровозов, тан</w:t>
      </w:r>
      <w:r w:rsidRPr="00D03F3E">
        <w:rPr>
          <w:color w:val="000000" w:themeColor="text1"/>
          <w:sz w:val="16"/>
          <w:szCs w:val="16"/>
        </w:rPr>
        <w:softHyphen/>
        <w:t>ков, автоколонн и других целей» при соответствую</w:t>
      </w:r>
      <w:r w:rsidRPr="00D03F3E">
        <w:rPr>
          <w:color w:val="000000" w:themeColor="text1"/>
          <w:sz w:val="16"/>
          <w:szCs w:val="16"/>
        </w:rPr>
        <w:softHyphen/>
        <w:t>щей тренировке летного состава и нормальной ра</w:t>
      </w:r>
      <w:r w:rsidRPr="00D03F3E">
        <w:rPr>
          <w:color w:val="000000" w:themeColor="text1"/>
          <w:sz w:val="16"/>
          <w:szCs w:val="16"/>
        </w:rPr>
        <w:softHyphen/>
        <w:t>боте самих пушек. При этом стрельбу необходимо производить только короткими очередями не бо</w:t>
      </w:r>
      <w:r w:rsidRPr="00D03F3E">
        <w:rPr>
          <w:color w:val="000000" w:themeColor="text1"/>
          <w:sz w:val="16"/>
          <w:szCs w:val="16"/>
        </w:rPr>
        <w:softHyphen/>
        <w:t>лее 3—4 выстрелов, «помня, что первые выстрелы наиболее прицельные».</w:t>
      </w:r>
    </w:p>
    <w:p w14:paraId="4BAFE6B7"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Производственное исполнение Ил-2 зав. № 302349 неудовлетворительное. Большинство производственных дефектов, отмеченных в актах по испытаниям самолетов Ил-2 производства заво</w:t>
      </w:r>
      <w:r w:rsidRPr="00D03F3E">
        <w:rPr>
          <w:color w:val="000000" w:themeColor="text1"/>
          <w:sz w:val="16"/>
          <w:szCs w:val="16"/>
        </w:rPr>
        <w:softHyphen/>
        <w:t>да № 30 зав. № 2067, 1140 и 1122, «повторено и на испытанном самолете».</w:t>
      </w:r>
    </w:p>
    <w:p w14:paraId="3632E4A8"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Требовалось немедленно устранить заклинение патронной ленты в горловине патронного рукава, для чего «доработать патронные рукава по типу доводок, произведенных при испытаниях». Исклю</w:t>
      </w:r>
      <w:r w:rsidRPr="00D03F3E">
        <w:rPr>
          <w:color w:val="000000" w:themeColor="text1"/>
          <w:sz w:val="16"/>
          <w:szCs w:val="16"/>
        </w:rPr>
        <w:softHyphen/>
        <w:t>чить выпадение патронов из ленты. Устранить во внутренней части патронного ящика выступающие предметы — «профиля и шурупы», а саму внутрен</w:t>
      </w:r>
      <w:r w:rsidRPr="00D03F3E">
        <w:rPr>
          <w:color w:val="000000" w:themeColor="text1"/>
          <w:sz w:val="16"/>
          <w:szCs w:val="16"/>
        </w:rPr>
        <w:softHyphen/>
        <w:t>нюю поверхность стенок ящика сделать лучшего качества. Кроме этого, необходимо было удлинить троса спусков пушек, поскольку «тендеры разъема нельзя довернуть до конца и при каждом рассоеди</w:t>
      </w:r>
      <w:r w:rsidRPr="00D03F3E">
        <w:rPr>
          <w:color w:val="000000" w:themeColor="text1"/>
          <w:sz w:val="16"/>
          <w:szCs w:val="16"/>
        </w:rPr>
        <w:softHyphen/>
        <w:t>нении тендеров нарушается регулировка спуска». Предлагалось установить «предохранительные листы против звеньеотводов на правой плоскости и люке патронного отсека левого пулемета ШКАС», возвратные пружины рычагов спусков на заднем креплении пушек, контргайки на горизонтальных болтах переднего крепления пушек.</w:t>
      </w:r>
    </w:p>
    <w:p w14:paraId="597AC344"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Как следствие выявленных в ходе испытаний дефектов и недостатков, в заключении отчета НИИ ВВС констатировалось: «Головной серийный Ил-2 с 37-мм пушками (зав. № 302349 з-д 30) в предъяв</w:t>
      </w:r>
      <w:r w:rsidRPr="00D03F3E">
        <w:rPr>
          <w:color w:val="000000" w:themeColor="text1"/>
          <w:sz w:val="16"/>
          <w:szCs w:val="16"/>
        </w:rPr>
        <w:softHyphen/>
        <w:t>ленном виде испытаний не выдержал по причинам недоведенности системы питания пушек калибра 37 мм и неудовлетворительного производственно</w:t>
      </w:r>
      <w:r w:rsidRPr="00D03F3E">
        <w:rPr>
          <w:color w:val="000000" w:themeColor="text1"/>
          <w:sz w:val="16"/>
          <w:szCs w:val="16"/>
        </w:rPr>
        <w:softHyphen/>
        <w:t>го исполнения».</w:t>
      </w:r>
    </w:p>
    <w:p w14:paraId="55A1F76C"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Предлагалось «самолет Ил-2 с 37-мм пушками со всеми устраненными дефектами, отмеченными на самолетах зав. № 302067 и № 302349 и доведен</w:t>
      </w:r>
      <w:r w:rsidRPr="00D03F3E">
        <w:rPr>
          <w:color w:val="000000" w:themeColor="text1"/>
          <w:sz w:val="16"/>
          <w:szCs w:val="16"/>
        </w:rPr>
        <w:softHyphen/>
        <w:t>ной системой питания, предъявить в НИИ ВВС на повторные испытания».</w:t>
      </w:r>
    </w:p>
    <w:p w14:paraId="419DBD68"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Акт по результатам испытаний Ил-2 зав. № 302349 главный инженер ВВС генерал-полков</w:t>
      </w:r>
      <w:r w:rsidRPr="00D03F3E">
        <w:rPr>
          <w:color w:val="000000" w:themeColor="text1"/>
          <w:sz w:val="16"/>
          <w:szCs w:val="16"/>
        </w:rPr>
        <w:softHyphen/>
        <w:t>ник А. К. Репин утвердил 14 августа 1943 г. (17500).</w:t>
      </w:r>
    </w:p>
    <w:p w14:paraId="5B780A15" w14:textId="77777777" w:rsidR="00027215" w:rsidRPr="00D03F3E" w:rsidRDefault="00027215" w:rsidP="00D03F3E">
      <w:pPr>
        <w:spacing w:after="0" w:line="240" w:lineRule="auto"/>
        <w:jc w:val="both"/>
        <w:rPr>
          <w:rFonts w:ascii="Times New Roman" w:eastAsia="Times New Roman" w:hAnsi="Times New Roman"/>
          <w:color w:val="000000" w:themeColor="text1"/>
          <w:sz w:val="16"/>
          <w:szCs w:val="16"/>
          <w:lang w:eastAsia="ru-RU"/>
        </w:rPr>
      </w:pPr>
    </w:p>
    <w:p w14:paraId="2727B68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 июня 1943 Дементьев писал Нач. ГУ заказов и вооружения ВВС Селезневу письмо N Н-34/2380:</w:t>
      </w:r>
    </w:p>
    <w:p w14:paraId="399205E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соответствии с решением ГОКО заводы 1 и 18 начали выпуск самолетов Ил-2, оборудованных под подвесные бензобаки по чертежам ГК С.В.И.</w:t>
      </w:r>
    </w:p>
    <w:p w14:paraId="31FA275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ГК передана заводам спец. инструкция, регламентирующая работу бензосистемы подвесных баков и все выпускаемые самолеты сдаются заводами строго в соответствии с этой инструкцией.</w:t>
      </w:r>
    </w:p>
    <w:p w14:paraId="64C52BE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Других данных по выработке горючего из подвесных бензобаков заводы обеспечить не могут.</w:t>
      </w:r>
    </w:p>
    <w:p w14:paraId="7B32D05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договоренности с нач. НИИ ВВС Лосюковым на завод 18 посланы 2 представителя института с целью проверки на заводах 1 и 18 выработки горючего в соответствии с инструкцией ГК С.В.И. с тем, чтобы на основе анализа массового облета, производимого заводами, сделать окончательное заключение по бензосистеме подвесных баков самолета Ил-2" (1778,81).</w:t>
      </w:r>
    </w:p>
    <w:p w14:paraId="677001CE" w14:textId="77777777" w:rsidR="00531570" w:rsidRPr="00D03F3E" w:rsidRDefault="00531570" w:rsidP="00D03F3E">
      <w:pPr>
        <w:pStyle w:val="Iauiue"/>
        <w:jc w:val="both"/>
        <w:rPr>
          <w:color w:val="000000" w:themeColor="text1"/>
          <w:sz w:val="16"/>
          <w:szCs w:val="16"/>
        </w:rPr>
      </w:pPr>
    </w:p>
    <w:p w14:paraId="4F02387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 июня 1943 года гл. инженер ВВС генерал-полковник ИАС Репин писал письмо N 596868 сс Шахурину.</w:t>
      </w:r>
    </w:p>
    <w:p w14:paraId="233C238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Направляю для Вашего ознакомления справку о состоянии работ по осмотру и ремонту крыльев самолетов Як и Ил-2 в частях ВВС по состоянию на 14.6.43 года.</w:t>
      </w:r>
    </w:p>
    <w:p w14:paraId="552B37F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Из справки видно, что при существующих темпах эти работы затянутся на продолжительное время, особенно по самолетам Ил-2.</w:t>
      </w:r>
    </w:p>
    <w:p w14:paraId="760F2E0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Данные Вашим заместителем Ворониным распоряжения уполномоченным НКАП, находящимся в Воздушных армиях, ВВС фронтов и округов об использовании заводских бригад работающих на самолетах Як и для осмотра и ремонта крыльев самолетов Ил-2, выправить создавшееся положение в части сокращения сроков без дополнительного направления рабочих бригад, не смогут.</w:t>
      </w:r>
    </w:p>
    <w:p w14:paraId="3F66F72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Необходимо срочное принятие более решительных и эффективных мер, на что и прошу Ваших распоряжений по НКАП.</w:t>
      </w:r>
    </w:p>
    <w:p w14:paraId="6C2456D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Приложение: справка на 1 листе.</w:t>
      </w:r>
    </w:p>
    <w:p w14:paraId="4923DDA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Справка</w:t>
      </w:r>
    </w:p>
    <w:p w14:paraId="7FFC2DF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 состоянии работ по осмотру и ремонту обшивки крыльев</w:t>
      </w:r>
    </w:p>
    <w:p w14:paraId="087BF05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самолетов Як и Ил-2 в частях ВВС по состоянию на 14 июня 1943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835"/>
        <w:gridCol w:w="1284"/>
        <w:gridCol w:w="3110"/>
      </w:tblGrid>
      <w:tr w:rsidR="00860B4B" w:rsidRPr="00D03F3E" w14:paraId="45C148BE" w14:textId="77777777">
        <w:tc>
          <w:tcPr>
            <w:tcW w:w="1409" w:type="dxa"/>
          </w:tcPr>
          <w:p w14:paraId="15C0EA0B" w14:textId="77777777" w:rsidR="00531570" w:rsidRPr="00D03F3E" w:rsidRDefault="00531570" w:rsidP="00D03F3E">
            <w:pPr>
              <w:pStyle w:val="Iauiue"/>
              <w:jc w:val="both"/>
              <w:rPr>
                <w:color w:val="000000" w:themeColor="text1"/>
                <w:sz w:val="16"/>
                <w:szCs w:val="16"/>
              </w:rPr>
            </w:pPr>
          </w:p>
        </w:tc>
        <w:tc>
          <w:tcPr>
            <w:tcW w:w="1409" w:type="dxa"/>
          </w:tcPr>
          <w:p w14:paraId="24DF5BB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осмотренных</w:t>
            </w:r>
          </w:p>
        </w:tc>
        <w:tc>
          <w:tcPr>
            <w:tcW w:w="1409" w:type="dxa"/>
          </w:tcPr>
          <w:p w14:paraId="27CDA23E" w14:textId="77777777" w:rsidR="00531570" w:rsidRPr="00D03F3E" w:rsidRDefault="00531570" w:rsidP="00D03F3E">
            <w:pPr>
              <w:pStyle w:val="Iauiue"/>
              <w:jc w:val="both"/>
              <w:rPr>
                <w:color w:val="000000" w:themeColor="text1"/>
                <w:sz w:val="16"/>
                <w:szCs w:val="16"/>
              </w:rPr>
            </w:pPr>
          </w:p>
        </w:tc>
        <w:tc>
          <w:tcPr>
            <w:tcW w:w="1835" w:type="dxa"/>
          </w:tcPr>
          <w:p w14:paraId="16D5F18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отремонтированных</w:t>
            </w:r>
          </w:p>
        </w:tc>
        <w:tc>
          <w:tcPr>
            <w:tcW w:w="1284" w:type="dxa"/>
          </w:tcPr>
          <w:p w14:paraId="28A07D93" w14:textId="77777777" w:rsidR="00531570" w:rsidRPr="00D03F3E" w:rsidRDefault="00531570" w:rsidP="00D03F3E">
            <w:pPr>
              <w:pStyle w:val="Iauiue"/>
              <w:jc w:val="both"/>
              <w:rPr>
                <w:color w:val="000000" w:themeColor="text1"/>
                <w:sz w:val="16"/>
                <w:szCs w:val="16"/>
              </w:rPr>
            </w:pPr>
          </w:p>
        </w:tc>
        <w:tc>
          <w:tcPr>
            <w:tcW w:w="3110" w:type="dxa"/>
          </w:tcPr>
          <w:p w14:paraId="2FFE319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Примечание</w:t>
            </w:r>
          </w:p>
        </w:tc>
      </w:tr>
      <w:tr w:rsidR="00860B4B" w:rsidRPr="00D03F3E" w14:paraId="2DC671EF" w14:textId="77777777">
        <w:tc>
          <w:tcPr>
            <w:tcW w:w="1409" w:type="dxa"/>
          </w:tcPr>
          <w:p w14:paraId="23108787" w14:textId="77777777" w:rsidR="00531570" w:rsidRPr="00D03F3E" w:rsidRDefault="00531570" w:rsidP="00D03F3E">
            <w:pPr>
              <w:pStyle w:val="Iauiue"/>
              <w:jc w:val="both"/>
              <w:rPr>
                <w:color w:val="000000" w:themeColor="text1"/>
                <w:sz w:val="16"/>
                <w:szCs w:val="16"/>
              </w:rPr>
            </w:pPr>
          </w:p>
        </w:tc>
        <w:tc>
          <w:tcPr>
            <w:tcW w:w="1409" w:type="dxa"/>
          </w:tcPr>
          <w:p w14:paraId="4C2C0C1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самолетов от</w:t>
            </w:r>
          </w:p>
        </w:tc>
        <w:tc>
          <w:tcPr>
            <w:tcW w:w="1409" w:type="dxa"/>
          </w:tcPr>
          <w:p w14:paraId="50D914EA" w14:textId="77777777" w:rsidR="00531570" w:rsidRPr="00D03F3E" w:rsidRDefault="00531570" w:rsidP="00D03F3E">
            <w:pPr>
              <w:pStyle w:val="Iauiue"/>
              <w:jc w:val="both"/>
              <w:rPr>
                <w:color w:val="000000" w:themeColor="text1"/>
                <w:sz w:val="16"/>
                <w:szCs w:val="16"/>
              </w:rPr>
            </w:pPr>
          </w:p>
        </w:tc>
        <w:tc>
          <w:tcPr>
            <w:tcW w:w="1835" w:type="dxa"/>
          </w:tcPr>
          <w:p w14:paraId="33043C2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самолетов из числа</w:t>
            </w:r>
          </w:p>
        </w:tc>
        <w:tc>
          <w:tcPr>
            <w:tcW w:w="1284" w:type="dxa"/>
          </w:tcPr>
          <w:p w14:paraId="4485B57C" w14:textId="77777777" w:rsidR="00531570" w:rsidRPr="00D03F3E" w:rsidRDefault="00531570" w:rsidP="00D03F3E">
            <w:pPr>
              <w:pStyle w:val="Iauiue"/>
              <w:jc w:val="both"/>
              <w:rPr>
                <w:color w:val="000000" w:themeColor="text1"/>
                <w:sz w:val="16"/>
                <w:szCs w:val="16"/>
              </w:rPr>
            </w:pPr>
          </w:p>
        </w:tc>
        <w:tc>
          <w:tcPr>
            <w:tcW w:w="3110" w:type="dxa"/>
          </w:tcPr>
          <w:p w14:paraId="58902ACA" w14:textId="77777777" w:rsidR="00531570" w:rsidRPr="00D03F3E" w:rsidRDefault="00531570" w:rsidP="00D03F3E">
            <w:pPr>
              <w:pStyle w:val="Iauiue"/>
              <w:jc w:val="both"/>
              <w:rPr>
                <w:color w:val="000000" w:themeColor="text1"/>
                <w:sz w:val="16"/>
                <w:szCs w:val="16"/>
              </w:rPr>
            </w:pPr>
          </w:p>
        </w:tc>
      </w:tr>
      <w:tr w:rsidR="00860B4B" w:rsidRPr="00D03F3E" w14:paraId="76AAB022" w14:textId="77777777">
        <w:tc>
          <w:tcPr>
            <w:tcW w:w="1409" w:type="dxa"/>
          </w:tcPr>
          <w:p w14:paraId="310D9C8A" w14:textId="77777777" w:rsidR="00531570" w:rsidRPr="00D03F3E" w:rsidRDefault="00531570" w:rsidP="00D03F3E">
            <w:pPr>
              <w:pStyle w:val="Iauiue"/>
              <w:jc w:val="both"/>
              <w:rPr>
                <w:color w:val="000000" w:themeColor="text1"/>
                <w:sz w:val="16"/>
                <w:szCs w:val="16"/>
              </w:rPr>
            </w:pPr>
          </w:p>
        </w:tc>
        <w:tc>
          <w:tcPr>
            <w:tcW w:w="1409" w:type="dxa"/>
          </w:tcPr>
          <w:p w14:paraId="723B353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наличного парка</w:t>
            </w:r>
          </w:p>
        </w:tc>
        <w:tc>
          <w:tcPr>
            <w:tcW w:w="1409" w:type="dxa"/>
          </w:tcPr>
          <w:p w14:paraId="647686EE" w14:textId="77777777" w:rsidR="00531570" w:rsidRPr="00D03F3E" w:rsidRDefault="00531570" w:rsidP="00D03F3E">
            <w:pPr>
              <w:pStyle w:val="Iauiue"/>
              <w:jc w:val="both"/>
              <w:rPr>
                <w:color w:val="000000" w:themeColor="text1"/>
                <w:sz w:val="16"/>
                <w:szCs w:val="16"/>
              </w:rPr>
            </w:pPr>
          </w:p>
        </w:tc>
        <w:tc>
          <w:tcPr>
            <w:tcW w:w="1835" w:type="dxa"/>
          </w:tcPr>
          <w:p w14:paraId="322338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просмотренных и</w:t>
            </w:r>
          </w:p>
        </w:tc>
        <w:tc>
          <w:tcPr>
            <w:tcW w:w="1284" w:type="dxa"/>
          </w:tcPr>
          <w:p w14:paraId="0C3EFAC9" w14:textId="77777777" w:rsidR="00531570" w:rsidRPr="00D03F3E" w:rsidRDefault="00531570" w:rsidP="00D03F3E">
            <w:pPr>
              <w:pStyle w:val="Iauiue"/>
              <w:jc w:val="both"/>
              <w:rPr>
                <w:color w:val="000000" w:themeColor="text1"/>
                <w:sz w:val="16"/>
                <w:szCs w:val="16"/>
              </w:rPr>
            </w:pPr>
          </w:p>
        </w:tc>
        <w:tc>
          <w:tcPr>
            <w:tcW w:w="3110" w:type="dxa"/>
          </w:tcPr>
          <w:p w14:paraId="6727A325" w14:textId="77777777" w:rsidR="00531570" w:rsidRPr="00D03F3E" w:rsidRDefault="00531570" w:rsidP="00D03F3E">
            <w:pPr>
              <w:pStyle w:val="Iauiue"/>
              <w:jc w:val="both"/>
              <w:rPr>
                <w:color w:val="000000" w:themeColor="text1"/>
                <w:sz w:val="16"/>
                <w:szCs w:val="16"/>
              </w:rPr>
            </w:pPr>
          </w:p>
        </w:tc>
      </w:tr>
      <w:tr w:rsidR="00860B4B" w:rsidRPr="00D03F3E" w14:paraId="63C97AEA" w14:textId="77777777">
        <w:tc>
          <w:tcPr>
            <w:tcW w:w="1409" w:type="dxa"/>
          </w:tcPr>
          <w:p w14:paraId="0D34058F" w14:textId="77777777" w:rsidR="00531570" w:rsidRPr="00D03F3E" w:rsidRDefault="00531570" w:rsidP="00D03F3E">
            <w:pPr>
              <w:pStyle w:val="Iauiue"/>
              <w:jc w:val="both"/>
              <w:rPr>
                <w:color w:val="000000" w:themeColor="text1"/>
                <w:sz w:val="16"/>
                <w:szCs w:val="16"/>
              </w:rPr>
            </w:pPr>
          </w:p>
        </w:tc>
        <w:tc>
          <w:tcPr>
            <w:tcW w:w="1409" w:type="dxa"/>
          </w:tcPr>
          <w:p w14:paraId="1FC60682" w14:textId="77777777" w:rsidR="00531570" w:rsidRPr="00D03F3E" w:rsidRDefault="00531570" w:rsidP="00D03F3E">
            <w:pPr>
              <w:pStyle w:val="Iauiue"/>
              <w:jc w:val="both"/>
              <w:rPr>
                <w:color w:val="000000" w:themeColor="text1"/>
                <w:sz w:val="16"/>
                <w:szCs w:val="16"/>
              </w:rPr>
            </w:pPr>
          </w:p>
        </w:tc>
        <w:tc>
          <w:tcPr>
            <w:tcW w:w="1409" w:type="dxa"/>
          </w:tcPr>
          <w:p w14:paraId="0AF46E9D" w14:textId="77777777" w:rsidR="00531570" w:rsidRPr="00D03F3E" w:rsidRDefault="00531570" w:rsidP="00D03F3E">
            <w:pPr>
              <w:pStyle w:val="Iauiue"/>
              <w:jc w:val="both"/>
              <w:rPr>
                <w:color w:val="000000" w:themeColor="text1"/>
                <w:sz w:val="16"/>
                <w:szCs w:val="16"/>
              </w:rPr>
            </w:pPr>
          </w:p>
        </w:tc>
        <w:tc>
          <w:tcPr>
            <w:tcW w:w="1835" w:type="dxa"/>
          </w:tcPr>
          <w:p w14:paraId="5E44382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подлежащих ремонту</w:t>
            </w:r>
          </w:p>
        </w:tc>
        <w:tc>
          <w:tcPr>
            <w:tcW w:w="1284" w:type="dxa"/>
          </w:tcPr>
          <w:p w14:paraId="7A2B1611" w14:textId="77777777" w:rsidR="00531570" w:rsidRPr="00D03F3E" w:rsidRDefault="00531570" w:rsidP="00D03F3E">
            <w:pPr>
              <w:pStyle w:val="Iauiue"/>
              <w:jc w:val="both"/>
              <w:rPr>
                <w:color w:val="000000" w:themeColor="text1"/>
                <w:sz w:val="16"/>
                <w:szCs w:val="16"/>
              </w:rPr>
            </w:pPr>
          </w:p>
        </w:tc>
        <w:tc>
          <w:tcPr>
            <w:tcW w:w="3110" w:type="dxa"/>
          </w:tcPr>
          <w:p w14:paraId="61FA8B93" w14:textId="77777777" w:rsidR="00531570" w:rsidRPr="00D03F3E" w:rsidRDefault="00531570" w:rsidP="00D03F3E">
            <w:pPr>
              <w:pStyle w:val="Iauiue"/>
              <w:jc w:val="both"/>
              <w:rPr>
                <w:color w:val="000000" w:themeColor="text1"/>
                <w:sz w:val="16"/>
                <w:szCs w:val="16"/>
              </w:rPr>
            </w:pPr>
          </w:p>
        </w:tc>
      </w:tr>
      <w:tr w:rsidR="00860B4B" w:rsidRPr="00D03F3E" w14:paraId="0B3B1729" w14:textId="77777777">
        <w:tc>
          <w:tcPr>
            <w:tcW w:w="1409" w:type="dxa"/>
          </w:tcPr>
          <w:p w14:paraId="437D4E28" w14:textId="77777777" w:rsidR="00531570" w:rsidRPr="00D03F3E" w:rsidRDefault="00531570" w:rsidP="00D03F3E">
            <w:pPr>
              <w:pStyle w:val="Iauiue"/>
              <w:jc w:val="both"/>
              <w:rPr>
                <w:color w:val="000000" w:themeColor="text1"/>
                <w:sz w:val="16"/>
                <w:szCs w:val="16"/>
              </w:rPr>
            </w:pPr>
          </w:p>
        </w:tc>
        <w:tc>
          <w:tcPr>
            <w:tcW w:w="1409" w:type="dxa"/>
          </w:tcPr>
          <w:p w14:paraId="392C24A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Як</w:t>
            </w:r>
          </w:p>
        </w:tc>
        <w:tc>
          <w:tcPr>
            <w:tcW w:w="1409" w:type="dxa"/>
          </w:tcPr>
          <w:p w14:paraId="6D8614F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Ил-2</w:t>
            </w:r>
          </w:p>
        </w:tc>
        <w:tc>
          <w:tcPr>
            <w:tcW w:w="1835" w:type="dxa"/>
          </w:tcPr>
          <w:p w14:paraId="4BE052A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Як</w:t>
            </w:r>
          </w:p>
        </w:tc>
        <w:tc>
          <w:tcPr>
            <w:tcW w:w="1284" w:type="dxa"/>
          </w:tcPr>
          <w:p w14:paraId="77D0A12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Ил-2</w:t>
            </w:r>
          </w:p>
        </w:tc>
        <w:tc>
          <w:tcPr>
            <w:tcW w:w="3110" w:type="dxa"/>
          </w:tcPr>
          <w:p w14:paraId="19C3E529" w14:textId="77777777" w:rsidR="00531570" w:rsidRPr="00D03F3E" w:rsidRDefault="00531570" w:rsidP="00D03F3E">
            <w:pPr>
              <w:pStyle w:val="Iauiue"/>
              <w:jc w:val="both"/>
              <w:rPr>
                <w:color w:val="000000" w:themeColor="text1"/>
                <w:sz w:val="16"/>
                <w:szCs w:val="16"/>
              </w:rPr>
            </w:pPr>
          </w:p>
        </w:tc>
      </w:tr>
      <w:tr w:rsidR="00860B4B" w:rsidRPr="00D03F3E" w14:paraId="5E11646B" w14:textId="77777777">
        <w:tc>
          <w:tcPr>
            <w:tcW w:w="1409" w:type="dxa"/>
          </w:tcPr>
          <w:p w14:paraId="74F43B62" w14:textId="77777777" w:rsidR="00531570" w:rsidRPr="00D03F3E" w:rsidRDefault="00531570" w:rsidP="00D03F3E">
            <w:pPr>
              <w:pStyle w:val="Iauiue"/>
              <w:jc w:val="both"/>
              <w:rPr>
                <w:color w:val="000000" w:themeColor="text1"/>
                <w:sz w:val="16"/>
                <w:szCs w:val="16"/>
              </w:rPr>
            </w:pPr>
          </w:p>
        </w:tc>
        <w:tc>
          <w:tcPr>
            <w:tcW w:w="1409" w:type="dxa"/>
          </w:tcPr>
          <w:p w14:paraId="5897275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1409" w:type="dxa"/>
          </w:tcPr>
          <w:p w14:paraId="39CD47D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1835" w:type="dxa"/>
          </w:tcPr>
          <w:p w14:paraId="1349DA0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31,9</w:t>
            </w:r>
          </w:p>
        </w:tc>
        <w:tc>
          <w:tcPr>
            <w:tcW w:w="1284" w:type="dxa"/>
          </w:tcPr>
          <w:p w14:paraId="133DE6A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58,4</w:t>
            </w:r>
          </w:p>
        </w:tc>
        <w:tc>
          <w:tcPr>
            <w:tcW w:w="3110" w:type="dxa"/>
          </w:tcPr>
          <w:p w14:paraId="48C58F25" w14:textId="77777777" w:rsidR="00531570" w:rsidRPr="00D03F3E" w:rsidRDefault="00531570" w:rsidP="00D03F3E">
            <w:pPr>
              <w:pStyle w:val="Iauiue"/>
              <w:jc w:val="both"/>
              <w:rPr>
                <w:color w:val="000000" w:themeColor="text1"/>
                <w:sz w:val="16"/>
                <w:szCs w:val="16"/>
              </w:rPr>
            </w:pPr>
          </w:p>
        </w:tc>
      </w:tr>
      <w:tr w:rsidR="00860B4B" w:rsidRPr="00D03F3E" w14:paraId="05CC7AC0" w14:textId="77777777">
        <w:tc>
          <w:tcPr>
            <w:tcW w:w="1409" w:type="dxa"/>
          </w:tcPr>
          <w:p w14:paraId="5C463EE0" w14:textId="77777777" w:rsidR="00531570" w:rsidRPr="00D03F3E" w:rsidRDefault="00531570" w:rsidP="00D03F3E">
            <w:pPr>
              <w:pStyle w:val="Iauiue"/>
              <w:jc w:val="both"/>
              <w:rPr>
                <w:color w:val="000000" w:themeColor="text1"/>
                <w:sz w:val="16"/>
                <w:szCs w:val="16"/>
              </w:rPr>
            </w:pPr>
          </w:p>
        </w:tc>
        <w:tc>
          <w:tcPr>
            <w:tcW w:w="1409" w:type="dxa"/>
          </w:tcPr>
          <w:p w14:paraId="0DE707B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58,2</w:t>
            </w:r>
          </w:p>
        </w:tc>
        <w:tc>
          <w:tcPr>
            <w:tcW w:w="1409" w:type="dxa"/>
          </w:tcPr>
          <w:p w14:paraId="731EF5D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69,4</w:t>
            </w:r>
          </w:p>
        </w:tc>
        <w:tc>
          <w:tcPr>
            <w:tcW w:w="1835" w:type="dxa"/>
          </w:tcPr>
          <w:p w14:paraId="05CAA34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48,5</w:t>
            </w:r>
          </w:p>
        </w:tc>
        <w:tc>
          <w:tcPr>
            <w:tcW w:w="1284" w:type="dxa"/>
          </w:tcPr>
          <w:p w14:paraId="49E5E69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44,5</w:t>
            </w:r>
          </w:p>
        </w:tc>
        <w:tc>
          <w:tcPr>
            <w:tcW w:w="3110" w:type="dxa"/>
          </w:tcPr>
          <w:p w14:paraId="13CBA02C" w14:textId="77777777" w:rsidR="00531570" w:rsidRPr="00D03F3E" w:rsidRDefault="00531570" w:rsidP="00D03F3E">
            <w:pPr>
              <w:pStyle w:val="Iauiue"/>
              <w:jc w:val="both"/>
              <w:rPr>
                <w:color w:val="000000" w:themeColor="text1"/>
                <w:sz w:val="16"/>
                <w:szCs w:val="16"/>
              </w:rPr>
            </w:pPr>
          </w:p>
        </w:tc>
      </w:tr>
      <w:tr w:rsidR="00860B4B" w:rsidRPr="00D03F3E" w14:paraId="5A5C3466" w14:textId="77777777">
        <w:tc>
          <w:tcPr>
            <w:tcW w:w="1409" w:type="dxa"/>
          </w:tcPr>
          <w:p w14:paraId="108DC529" w14:textId="77777777" w:rsidR="00531570" w:rsidRPr="00D03F3E" w:rsidRDefault="00531570" w:rsidP="00D03F3E">
            <w:pPr>
              <w:pStyle w:val="Iauiue"/>
              <w:jc w:val="both"/>
              <w:rPr>
                <w:color w:val="000000" w:themeColor="text1"/>
                <w:sz w:val="16"/>
                <w:szCs w:val="16"/>
              </w:rPr>
            </w:pPr>
          </w:p>
        </w:tc>
        <w:tc>
          <w:tcPr>
            <w:tcW w:w="1409" w:type="dxa"/>
          </w:tcPr>
          <w:p w14:paraId="29D16C3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1409" w:type="dxa"/>
          </w:tcPr>
          <w:p w14:paraId="62316E4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95,0</w:t>
            </w:r>
          </w:p>
        </w:tc>
        <w:tc>
          <w:tcPr>
            <w:tcW w:w="1835" w:type="dxa"/>
          </w:tcPr>
          <w:p w14:paraId="1D60235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1284" w:type="dxa"/>
          </w:tcPr>
          <w:p w14:paraId="0C376A2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57,8</w:t>
            </w:r>
          </w:p>
        </w:tc>
        <w:tc>
          <w:tcPr>
            <w:tcW w:w="3110" w:type="dxa"/>
          </w:tcPr>
          <w:p w14:paraId="44F08647" w14:textId="77777777" w:rsidR="00531570" w:rsidRPr="00D03F3E" w:rsidRDefault="00531570" w:rsidP="00D03F3E">
            <w:pPr>
              <w:pStyle w:val="Iauiue"/>
              <w:jc w:val="both"/>
              <w:rPr>
                <w:color w:val="000000" w:themeColor="text1"/>
                <w:sz w:val="16"/>
                <w:szCs w:val="16"/>
              </w:rPr>
            </w:pPr>
          </w:p>
        </w:tc>
      </w:tr>
      <w:tr w:rsidR="00860B4B" w:rsidRPr="00D03F3E" w14:paraId="496D17E7" w14:textId="77777777">
        <w:tc>
          <w:tcPr>
            <w:tcW w:w="1409" w:type="dxa"/>
          </w:tcPr>
          <w:p w14:paraId="1E530865" w14:textId="77777777" w:rsidR="00531570" w:rsidRPr="00D03F3E" w:rsidRDefault="00531570" w:rsidP="00D03F3E">
            <w:pPr>
              <w:pStyle w:val="Iauiue"/>
              <w:jc w:val="both"/>
              <w:rPr>
                <w:color w:val="000000" w:themeColor="text1"/>
                <w:sz w:val="16"/>
                <w:szCs w:val="16"/>
              </w:rPr>
            </w:pPr>
          </w:p>
        </w:tc>
        <w:tc>
          <w:tcPr>
            <w:tcW w:w="1409" w:type="dxa"/>
          </w:tcPr>
          <w:p w14:paraId="7275CE4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47,0</w:t>
            </w:r>
          </w:p>
        </w:tc>
        <w:tc>
          <w:tcPr>
            <w:tcW w:w="1409" w:type="dxa"/>
          </w:tcPr>
          <w:p w14:paraId="2C774D7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30,8</w:t>
            </w:r>
          </w:p>
        </w:tc>
        <w:tc>
          <w:tcPr>
            <w:tcW w:w="1835" w:type="dxa"/>
          </w:tcPr>
          <w:p w14:paraId="77E48A3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1284" w:type="dxa"/>
          </w:tcPr>
          <w:p w14:paraId="1596C5E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64,5</w:t>
            </w:r>
          </w:p>
        </w:tc>
        <w:tc>
          <w:tcPr>
            <w:tcW w:w="3110" w:type="dxa"/>
          </w:tcPr>
          <w:p w14:paraId="54332707" w14:textId="77777777" w:rsidR="00531570" w:rsidRPr="00D03F3E" w:rsidRDefault="00531570" w:rsidP="00D03F3E">
            <w:pPr>
              <w:pStyle w:val="Iauiue"/>
              <w:jc w:val="both"/>
              <w:rPr>
                <w:color w:val="000000" w:themeColor="text1"/>
                <w:sz w:val="16"/>
                <w:szCs w:val="16"/>
              </w:rPr>
            </w:pPr>
          </w:p>
        </w:tc>
      </w:tr>
      <w:tr w:rsidR="00860B4B" w:rsidRPr="00D03F3E" w14:paraId="6D939CC1" w14:textId="77777777">
        <w:tc>
          <w:tcPr>
            <w:tcW w:w="1409" w:type="dxa"/>
          </w:tcPr>
          <w:p w14:paraId="793AC305" w14:textId="77777777" w:rsidR="00531570" w:rsidRPr="00D03F3E" w:rsidRDefault="00531570" w:rsidP="00D03F3E">
            <w:pPr>
              <w:pStyle w:val="Iauiue"/>
              <w:jc w:val="both"/>
              <w:rPr>
                <w:color w:val="000000" w:themeColor="text1"/>
                <w:sz w:val="16"/>
                <w:szCs w:val="16"/>
              </w:rPr>
            </w:pPr>
          </w:p>
        </w:tc>
        <w:tc>
          <w:tcPr>
            <w:tcW w:w="1409" w:type="dxa"/>
          </w:tcPr>
          <w:p w14:paraId="5E58894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47,7</w:t>
            </w:r>
          </w:p>
        </w:tc>
        <w:tc>
          <w:tcPr>
            <w:tcW w:w="1409" w:type="dxa"/>
          </w:tcPr>
          <w:p w14:paraId="0598642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13,9</w:t>
            </w:r>
          </w:p>
        </w:tc>
        <w:tc>
          <w:tcPr>
            <w:tcW w:w="1835" w:type="dxa"/>
          </w:tcPr>
          <w:p w14:paraId="42471EC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56,0</w:t>
            </w:r>
          </w:p>
        </w:tc>
        <w:tc>
          <w:tcPr>
            <w:tcW w:w="1284" w:type="dxa"/>
          </w:tcPr>
          <w:p w14:paraId="3D75C1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46,2</w:t>
            </w:r>
          </w:p>
        </w:tc>
        <w:tc>
          <w:tcPr>
            <w:tcW w:w="3110" w:type="dxa"/>
          </w:tcPr>
          <w:p w14:paraId="6990A840" w14:textId="77777777" w:rsidR="00531570" w:rsidRPr="00D03F3E" w:rsidRDefault="00531570" w:rsidP="00D03F3E">
            <w:pPr>
              <w:pStyle w:val="Iauiue"/>
              <w:jc w:val="both"/>
              <w:rPr>
                <w:color w:val="000000" w:themeColor="text1"/>
                <w:sz w:val="16"/>
                <w:szCs w:val="16"/>
              </w:rPr>
            </w:pPr>
          </w:p>
        </w:tc>
      </w:tr>
      <w:tr w:rsidR="00860B4B" w:rsidRPr="00D03F3E" w14:paraId="35D94281" w14:textId="77777777">
        <w:tc>
          <w:tcPr>
            <w:tcW w:w="1409" w:type="dxa"/>
          </w:tcPr>
          <w:p w14:paraId="52F17B78" w14:textId="77777777" w:rsidR="00531570" w:rsidRPr="00D03F3E" w:rsidRDefault="00531570" w:rsidP="00D03F3E">
            <w:pPr>
              <w:pStyle w:val="Iauiue"/>
              <w:jc w:val="both"/>
              <w:rPr>
                <w:color w:val="000000" w:themeColor="text1"/>
                <w:sz w:val="16"/>
                <w:szCs w:val="16"/>
              </w:rPr>
            </w:pPr>
          </w:p>
        </w:tc>
        <w:tc>
          <w:tcPr>
            <w:tcW w:w="1409" w:type="dxa"/>
          </w:tcPr>
          <w:p w14:paraId="151A7F0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1409" w:type="dxa"/>
          </w:tcPr>
          <w:p w14:paraId="3488714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49,3</w:t>
            </w:r>
          </w:p>
        </w:tc>
        <w:tc>
          <w:tcPr>
            <w:tcW w:w="1835" w:type="dxa"/>
          </w:tcPr>
          <w:p w14:paraId="716FB2E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1284" w:type="dxa"/>
          </w:tcPr>
          <w:p w14:paraId="652EFB2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3110" w:type="dxa"/>
          </w:tcPr>
          <w:p w14:paraId="566683C0" w14:textId="77777777" w:rsidR="00531570" w:rsidRPr="00D03F3E" w:rsidRDefault="00531570" w:rsidP="00D03F3E">
            <w:pPr>
              <w:pStyle w:val="Iauiue"/>
              <w:jc w:val="both"/>
              <w:rPr>
                <w:color w:val="000000" w:themeColor="text1"/>
                <w:sz w:val="16"/>
                <w:szCs w:val="16"/>
              </w:rPr>
            </w:pPr>
          </w:p>
        </w:tc>
      </w:tr>
      <w:tr w:rsidR="00860B4B" w:rsidRPr="00D03F3E" w14:paraId="65D6A790" w14:textId="77777777">
        <w:tc>
          <w:tcPr>
            <w:tcW w:w="1409" w:type="dxa"/>
          </w:tcPr>
          <w:p w14:paraId="6AD91BF6" w14:textId="77777777" w:rsidR="00531570" w:rsidRPr="00D03F3E" w:rsidRDefault="00531570" w:rsidP="00D03F3E">
            <w:pPr>
              <w:pStyle w:val="Iauiue"/>
              <w:jc w:val="both"/>
              <w:rPr>
                <w:color w:val="000000" w:themeColor="text1"/>
                <w:sz w:val="16"/>
                <w:szCs w:val="16"/>
              </w:rPr>
            </w:pPr>
          </w:p>
        </w:tc>
        <w:tc>
          <w:tcPr>
            <w:tcW w:w="1409" w:type="dxa"/>
          </w:tcPr>
          <w:p w14:paraId="2612A90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1409" w:type="dxa"/>
          </w:tcPr>
          <w:p w14:paraId="34EC14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36,3</w:t>
            </w:r>
          </w:p>
        </w:tc>
        <w:tc>
          <w:tcPr>
            <w:tcW w:w="1835" w:type="dxa"/>
          </w:tcPr>
          <w:p w14:paraId="5FE664A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46,2</w:t>
            </w:r>
          </w:p>
        </w:tc>
        <w:tc>
          <w:tcPr>
            <w:tcW w:w="1284" w:type="dxa"/>
          </w:tcPr>
          <w:p w14:paraId="24AFF0E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3110" w:type="dxa"/>
          </w:tcPr>
          <w:p w14:paraId="0CBA658E" w14:textId="77777777" w:rsidR="00531570" w:rsidRPr="00D03F3E" w:rsidRDefault="00531570" w:rsidP="00D03F3E">
            <w:pPr>
              <w:pStyle w:val="Iauiue"/>
              <w:jc w:val="both"/>
              <w:rPr>
                <w:color w:val="000000" w:themeColor="text1"/>
                <w:sz w:val="16"/>
                <w:szCs w:val="16"/>
              </w:rPr>
            </w:pPr>
          </w:p>
        </w:tc>
      </w:tr>
      <w:tr w:rsidR="00860B4B" w:rsidRPr="00D03F3E" w14:paraId="7A998AB3" w14:textId="77777777">
        <w:tc>
          <w:tcPr>
            <w:tcW w:w="1409" w:type="dxa"/>
          </w:tcPr>
          <w:p w14:paraId="76E73B3E" w14:textId="77777777" w:rsidR="00531570" w:rsidRPr="00D03F3E" w:rsidRDefault="00531570" w:rsidP="00D03F3E">
            <w:pPr>
              <w:pStyle w:val="Iauiue"/>
              <w:jc w:val="both"/>
              <w:rPr>
                <w:color w:val="000000" w:themeColor="text1"/>
                <w:sz w:val="16"/>
                <w:szCs w:val="16"/>
              </w:rPr>
            </w:pPr>
          </w:p>
        </w:tc>
        <w:tc>
          <w:tcPr>
            <w:tcW w:w="1409" w:type="dxa"/>
          </w:tcPr>
          <w:p w14:paraId="1FD8A40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64,4</w:t>
            </w:r>
          </w:p>
        </w:tc>
        <w:tc>
          <w:tcPr>
            <w:tcW w:w="1409" w:type="dxa"/>
          </w:tcPr>
          <w:p w14:paraId="55184BD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х/</w:t>
            </w:r>
          </w:p>
        </w:tc>
        <w:tc>
          <w:tcPr>
            <w:tcW w:w="1835" w:type="dxa"/>
          </w:tcPr>
          <w:p w14:paraId="20219D7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37,5</w:t>
            </w:r>
          </w:p>
        </w:tc>
        <w:tc>
          <w:tcPr>
            <w:tcW w:w="1284" w:type="dxa"/>
          </w:tcPr>
          <w:p w14:paraId="44A3BB5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w:t>
            </w:r>
          </w:p>
        </w:tc>
        <w:tc>
          <w:tcPr>
            <w:tcW w:w="3110" w:type="dxa"/>
          </w:tcPr>
          <w:p w14:paraId="58561CB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х/ подлежит осмотру</w:t>
            </w:r>
          </w:p>
        </w:tc>
      </w:tr>
      <w:tr w:rsidR="00860B4B" w:rsidRPr="00D03F3E" w14:paraId="77C7A9F4" w14:textId="77777777">
        <w:tc>
          <w:tcPr>
            <w:tcW w:w="1409" w:type="dxa"/>
          </w:tcPr>
          <w:p w14:paraId="6F6AE185" w14:textId="77777777" w:rsidR="00531570" w:rsidRPr="00D03F3E" w:rsidRDefault="00531570" w:rsidP="00D03F3E">
            <w:pPr>
              <w:pStyle w:val="Iauiue"/>
              <w:jc w:val="both"/>
              <w:rPr>
                <w:color w:val="000000" w:themeColor="text1"/>
                <w:sz w:val="16"/>
                <w:szCs w:val="16"/>
              </w:rPr>
            </w:pPr>
          </w:p>
        </w:tc>
        <w:tc>
          <w:tcPr>
            <w:tcW w:w="1409" w:type="dxa"/>
          </w:tcPr>
          <w:p w14:paraId="725AAC1E" w14:textId="77777777" w:rsidR="00531570" w:rsidRPr="00D03F3E" w:rsidRDefault="00531570" w:rsidP="00D03F3E">
            <w:pPr>
              <w:pStyle w:val="Iauiue"/>
              <w:jc w:val="both"/>
              <w:rPr>
                <w:color w:val="000000" w:themeColor="text1"/>
                <w:sz w:val="16"/>
                <w:szCs w:val="16"/>
              </w:rPr>
            </w:pPr>
          </w:p>
        </w:tc>
        <w:tc>
          <w:tcPr>
            <w:tcW w:w="1409" w:type="dxa"/>
          </w:tcPr>
          <w:p w14:paraId="1B89DE08" w14:textId="77777777" w:rsidR="00531570" w:rsidRPr="00D03F3E" w:rsidRDefault="00531570" w:rsidP="00D03F3E">
            <w:pPr>
              <w:pStyle w:val="Iauiue"/>
              <w:jc w:val="both"/>
              <w:rPr>
                <w:color w:val="000000" w:themeColor="text1"/>
                <w:sz w:val="16"/>
                <w:szCs w:val="16"/>
              </w:rPr>
            </w:pPr>
          </w:p>
        </w:tc>
        <w:tc>
          <w:tcPr>
            <w:tcW w:w="1835" w:type="dxa"/>
          </w:tcPr>
          <w:p w14:paraId="13179860" w14:textId="77777777" w:rsidR="00531570" w:rsidRPr="00D03F3E" w:rsidRDefault="00531570" w:rsidP="00D03F3E">
            <w:pPr>
              <w:pStyle w:val="Iauiue"/>
              <w:jc w:val="both"/>
              <w:rPr>
                <w:color w:val="000000" w:themeColor="text1"/>
                <w:sz w:val="16"/>
                <w:szCs w:val="16"/>
              </w:rPr>
            </w:pPr>
          </w:p>
        </w:tc>
        <w:tc>
          <w:tcPr>
            <w:tcW w:w="1284" w:type="dxa"/>
          </w:tcPr>
          <w:p w14:paraId="0B3D4896" w14:textId="77777777" w:rsidR="00531570" w:rsidRPr="00D03F3E" w:rsidRDefault="00531570" w:rsidP="00D03F3E">
            <w:pPr>
              <w:pStyle w:val="Iauiue"/>
              <w:jc w:val="both"/>
              <w:rPr>
                <w:color w:val="000000" w:themeColor="text1"/>
                <w:sz w:val="16"/>
                <w:szCs w:val="16"/>
              </w:rPr>
            </w:pPr>
          </w:p>
        </w:tc>
        <w:tc>
          <w:tcPr>
            <w:tcW w:w="3110" w:type="dxa"/>
          </w:tcPr>
          <w:p w14:paraId="49164E5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90 самолетов</w:t>
            </w:r>
          </w:p>
        </w:tc>
      </w:tr>
      <w:tr w:rsidR="00860B4B" w:rsidRPr="00D03F3E" w14:paraId="3C3AC8EC" w14:textId="77777777">
        <w:tc>
          <w:tcPr>
            <w:tcW w:w="1409" w:type="dxa"/>
          </w:tcPr>
          <w:p w14:paraId="41CFF3BF" w14:textId="77777777" w:rsidR="00531570" w:rsidRPr="00D03F3E" w:rsidRDefault="00531570" w:rsidP="00D03F3E">
            <w:pPr>
              <w:pStyle w:val="Iauiue"/>
              <w:jc w:val="both"/>
              <w:rPr>
                <w:color w:val="000000" w:themeColor="text1"/>
                <w:sz w:val="16"/>
                <w:szCs w:val="16"/>
              </w:rPr>
            </w:pPr>
          </w:p>
        </w:tc>
        <w:tc>
          <w:tcPr>
            <w:tcW w:w="1409" w:type="dxa"/>
          </w:tcPr>
          <w:p w14:paraId="61C6B4D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1409" w:type="dxa"/>
          </w:tcPr>
          <w:p w14:paraId="1F14566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77,7</w:t>
            </w:r>
          </w:p>
        </w:tc>
        <w:tc>
          <w:tcPr>
            <w:tcW w:w="1835" w:type="dxa"/>
          </w:tcPr>
          <w:p w14:paraId="6A436D0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41,0</w:t>
            </w:r>
          </w:p>
        </w:tc>
        <w:tc>
          <w:tcPr>
            <w:tcW w:w="1284" w:type="dxa"/>
          </w:tcPr>
          <w:p w14:paraId="37BAADE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7,9</w:t>
            </w:r>
          </w:p>
        </w:tc>
        <w:tc>
          <w:tcPr>
            <w:tcW w:w="3110" w:type="dxa"/>
          </w:tcPr>
          <w:p w14:paraId="0FAEB3F7" w14:textId="77777777" w:rsidR="00531570" w:rsidRPr="00D03F3E" w:rsidRDefault="00531570" w:rsidP="00D03F3E">
            <w:pPr>
              <w:pStyle w:val="Iauiue"/>
              <w:jc w:val="both"/>
              <w:rPr>
                <w:color w:val="000000" w:themeColor="text1"/>
                <w:sz w:val="16"/>
                <w:szCs w:val="16"/>
              </w:rPr>
            </w:pPr>
          </w:p>
        </w:tc>
      </w:tr>
      <w:tr w:rsidR="00860B4B" w:rsidRPr="00D03F3E" w14:paraId="727346C9" w14:textId="77777777">
        <w:tc>
          <w:tcPr>
            <w:tcW w:w="1409" w:type="dxa"/>
          </w:tcPr>
          <w:p w14:paraId="363AD66F" w14:textId="77777777" w:rsidR="00531570" w:rsidRPr="00D03F3E" w:rsidRDefault="00531570" w:rsidP="00D03F3E">
            <w:pPr>
              <w:pStyle w:val="Iauiue"/>
              <w:jc w:val="both"/>
              <w:rPr>
                <w:color w:val="000000" w:themeColor="text1"/>
                <w:sz w:val="16"/>
                <w:szCs w:val="16"/>
              </w:rPr>
            </w:pPr>
          </w:p>
        </w:tc>
        <w:tc>
          <w:tcPr>
            <w:tcW w:w="1409" w:type="dxa"/>
          </w:tcPr>
          <w:p w14:paraId="0A412BD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1409" w:type="dxa"/>
          </w:tcPr>
          <w:p w14:paraId="013C27A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71,1</w:t>
            </w:r>
          </w:p>
        </w:tc>
        <w:tc>
          <w:tcPr>
            <w:tcW w:w="1835" w:type="dxa"/>
          </w:tcPr>
          <w:p w14:paraId="7BC938B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89,5</w:t>
            </w:r>
          </w:p>
        </w:tc>
        <w:tc>
          <w:tcPr>
            <w:tcW w:w="1284" w:type="dxa"/>
          </w:tcPr>
          <w:p w14:paraId="719257B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3110" w:type="dxa"/>
          </w:tcPr>
          <w:p w14:paraId="163B0D20" w14:textId="77777777" w:rsidR="00531570" w:rsidRPr="00D03F3E" w:rsidRDefault="00531570" w:rsidP="00D03F3E">
            <w:pPr>
              <w:pStyle w:val="Iauiue"/>
              <w:jc w:val="both"/>
              <w:rPr>
                <w:color w:val="000000" w:themeColor="text1"/>
                <w:sz w:val="16"/>
                <w:szCs w:val="16"/>
              </w:rPr>
            </w:pPr>
          </w:p>
        </w:tc>
      </w:tr>
      <w:tr w:rsidR="00860B4B" w:rsidRPr="00D03F3E" w14:paraId="0B80B849" w14:textId="77777777">
        <w:tc>
          <w:tcPr>
            <w:tcW w:w="1409" w:type="dxa"/>
          </w:tcPr>
          <w:p w14:paraId="4B6F75C5" w14:textId="77777777" w:rsidR="00531570" w:rsidRPr="00D03F3E" w:rsidRDefault="00531570" w:rsidP="00D03F3E">
            <w:pPr>
              <w:pStyle w:val="Iauiue"/>
              <w:jc w:val="both"/>
              <w:rPr>
                <w:color w:val="000000" w:themeColor="text1"/>
                <w:sz w:val="16"/>
                <w:szCs w:val="16"/>
              </w:rPr>
            </w:pPr>
          </w:p>
        </w:tc>
        <w:tc>
          <w:tcPr>
            <w:tcW w:w="1409" w:type="dxa"/>
          </w:tcPr>
          <w:p w14:paraId="0E05DE0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1409" w:type="dxa"/>
          </w:tcPr>
          <w:p w14:paraId="1222CB9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27,0</w:t>
            </w:r>
          </w:p>
        </w:tc>
        <w:tc>
          <w:tcPr>
            <w:tcW w:w="1835" w:type="dxa"/>
          </w:tcPr>
          <w:p w14:paraId="5BE94A0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44,8</w:t>
            </w:r>
          </w:p>
        </w:tc>
        <w:tc>
          <w:tcPr>
            <w:tcW w:w="1284" w:type="dxa"/>
          </w:tcPr>
          <w:p w14:paraId="1FC9D72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38,0</w:t>
            </w:r>
          </w:p>
        </w:tc>
        <w:tc>
          <w:tcPr>
            <w:tcW w:w="3110" w:type="dxa"/>
          </w:tcPr>
          <w:p w14:paraId="1D4F6FCC" w14:textId="77777777" w:rsidR="00531570" w:rsidRPr="00D03F3E" w:rsidRDefault="00531570" w:rsidP="00D03F3E">
            <w:pPr>
              <w:pStyle w:val="Iauiue"/>
              <w:jc w:val="both"/>
              <w:rPr>
                <w:color w:val="000000" w:themeColor="text1"/>
                <w:sz w:val="16"/>
                <w:szCs w:val="16"/>
              </w:rPr>
            </w:pPr>
          </w:p>
        </w:tc>
      </w:tr>
      <w:tr w:rsidR="00860B4B" w:rsidRPr="00D03F3E" w14:paraId="5279B62F" w14:textId="77777777">
        <w:tc>
          <w:tcPr>
            <w:tcW w:w="1409" w:type="dxa"/>
          </w:tcPr>
          <w:p w14:paraId="642A6D75" w14:textId="77777777" w:rsidR="00531570" w:rsidRPr="00D03F3E" w:rsidRDefault="00531570" w:rsidP="00D03F3E">
            <w:pPr>
              <w:pStyle w:val="Iauiue"/>
              <w:jc w:val="both"/>
              <w:rPr>
                <w:color w:val="000000" w:themeColor="text1"/>
                <w:sz w:val="16"/>
                <w:szCs w:val="16"/>
              </w:rPr>
            </w:pPr>
          </w:p>
        </w:tc>
        <w:tc>
          <w:tcPr>
            <w:tcW w:w="1409" w:type="dxa"/>
          </w:tcPr>
          <w:p w14:paraId="4AB6106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57,1</w:t>
            </w:r>
          </w:p>
        </w:tc>
        <w:tc>
          <w:tcPr>
            <w:tcW w:w="1409" w:type="dxa"/>
          </w:tcPr>
          <w:p w14:paraId="459FEC4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9,0</w:t>
            </w:r>
          </w:p>
        </w:tc>
        <w:tc>
          <w:tcPr>
            <w:tcW w:w="1835" w:type="dxa"/>
          </w:tcPr>
          <w:p w14:paraId="2339183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32,5</w:t>
            </w:r>
          </w:p>
        </w:tc>
        <w:tc>
          <w:tcPr>
            <w:tcW w:w="1284" w:type="dxa"/>
          </w:tcPr>
          <w:p w14:paraId="6063ED4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3110" w:type="dxa"/>
          </w:tcPr>
          <w:p w14:paraId="7493503A" w14:textId="77777777" w:rsidR="00531570" w:rsidRPr="00D03F3E" w:rsidRDefault="00531570" w:rsidP="00D03F3E">
            <w:pPr>
              <w:pStyle w:val="Iauiue"/>
              <w:jc w:val="both"/>
              <w:rPr>
                <w:color w:val="000000" w:themeColor="text1"/>
                <w:sz w:val="16"/>
                <w:szCs w:val="16"/>
              </w:rPr>
            </w:pPr>
          </w:p>
        </w:tc>
      </w:tr>
      <w:tr w:rsidR="00860B4B" w:rsidRPr="00D03F3E" w14:paraId="1F9949A2" w14:textId="77777777">
        <w:tc>
          <w:tcPr>
            <w:tcW w:w="1409" w:type="dxa"/>
          </w:tcPr>
          <w:p w14:paraId="224EFF52" w14:textId="77777777" w:rsidR="00531570" w:rsidRPr="00D03F3E" w:rsidRDefault="00531570" w:rsidP="00D03F3E">
            <w:pPr>
              <w:pStyle w:val="Iauiue"/>
              <w:jc w:val="both"/>
              <w:rPr>
                <w:color w:val="000000" w:themeColor="text1"/>
                <w:sz w:val="16"/>
                <w:szCs w:val="16"/>
              </w:rPr>
            </w:pPr>
          </w:p>
        </w:tc>
        <w:tc>
          <w:tcPr>
            <w:tcW w:w="1409" w:type="dxa"/>
          </w:tcPr>
          <w:p w14:paraId="4BA5A2E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55,6</w:t>
            </w:r>
          </w:p>
        </w:tc>
        <w:tc>
          <w:tcPr>
            <w:tcW w:w="1409" w:type="dxa"/>
          </w:tcPr>
          <w:p w14:paraId="2C66BDD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67,9</w:t>
            </w:r>
          </w:p>
        </w:tc>
        <w:tc>
          <w:tcPr>
            <w:tcW w:w="1835" w:type="dxa"/>
          </w:tcPr>
          <w:p w14:paraId="7C8E106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1284" w:type="dxa"/>
          </w:tcPr>
          <w:p w14:paraId="7119740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3110" w:type="dxa"/>
          </w:tcPr>
          <w:p w14:paraId="7884F433" w14:textId="77777777" w:rsidR="00531570" w:rsidRPr="00D03F3E" w:rsidRDefault="00531570" w:rsidP="00D03F3E">
            <w:pPr>
              <w:pStyle w:val="Iauiue"/>
              <w:jc w:val="both"/>
              <w:rPr>
                <w:color w:val="000000" w:themeColor="text1"/>
                <w:sz w:val="16"/>
                <w:szCs w:val="16"/>
              </w:rPr>
            </w:pPr>
          </w:p>
        </w:tc>
      </w:tr>
      <w:tr w:rsidR="00860B4B" w:rsidRPr="00D03F3E" w14:paraId="10FD8132" w14:textId="77777777">
        <w:tc>
          <w:tcPr>
            <w:tcW w:w="1409" w:type="dxa"/>
          </w:tcPr>
          <w:p w14:paraId="56AA7E21" w14:textId="77777777" w:rsidR="00531570" w:rsidRPr="00D03F3E" w:rsidRDefault="00531570" w:rsidP="00D03F3E">
            <w:pPr>
              <w:pStyle w:val="Iauiue"/>
              <w:jc w:val="both"/>
              <w:rPr>
                <w:color w:val="000000" w:themeColor="text1"/>
                <w:sz w:val="16"/>
                <w:szCs w:val="16"/>
              </w:rPr>
            </w:pPr>
          </w:p>
        </w:tc>
        <w:tc>
          <w:tcPr>
            <w:tcW w:w="1409" w:type="dxa"/>
          </w:tcPr>
          <w:p w14:paraId="65B58D4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92,3</w:t>
            </w:r>
          </w:p>
        </w:tc>
        <w:tc>
          <w:tcPr>
            <w:tcW w:w="1409" w:type="dxa"/>
          </w:tcPr>
          <w:p w14:paraId="00F8EB9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75,3</w:t>
            </w:r>
          </w:p>
        </w:tc>
        <w:tc>
          <w:tcPr>
            <w:tcW w:w="1835" w:type="dxa"/>
          </w:tcPr>
          <w:p w14:paraId="687254F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92,3</w:t>
            </w:r>
          </w:p>
        </w:tc>
        <w:tc>
          <w:tcPr>
            <w:tcW w:w="1284" w:type="dxa"/>
          </w:tcPr>
          <w:p w14:paraId="0533986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3110" w:type="dxa"/>
          </w:tcPr>
          <w:p w14:paraId="276962BC" w14:textId="77777777" w:rsidR="00531570" w:rsidRPr="00D03F3E" w:rsidRDefault="00531570" w:rsidP="00D03F3E">
            <w:pPr>
              <w:pStyle w:val="Iauiue"/>
              <w:jc w:val="both"/>
              <w:rPr>
                <w:color w:val="000000" w:themeColor="text1"/>
                <w:sz w:val="16"/>
                <w:szCs w:val="16"/>
              </w:rPr>
            </w:pPr>
          </w:p>
        </w:tc>
      </w:tr>
      <w:tr w:rsidR="00860B4B" w:rsidRPr="00D03F3E" w14:paraId="175F240A" w14:textId="77777777">
        <w:tc>
          <w:tcPr>
            <w:tcW w:w="1409" w:type="dxa"/>
          </w:tcPr>
          <w:p w14:paraId="685205CC" w14:textId="77777777" w:rsidR="00531570" w:rsidRPr="00D03F3E" w:rsidRDefault="00531570" w:rsidP="00D03F3E">
            <w:pPr>
              <w:pStyle w:val="Iauiue"/>
              <w:jc w:val="both"/>
              <w:rPr>
                <w:color w:val="000000" w:themeColor="text1"/>
                <w:sz w:val="16"/>
                <w:szCs w:val="16"/>
              </w:rPr>
            </w:pPr>
          </w:p>
        </w:tc>
        <w:tc>
          <w:tcPr>
            <w:tcW w:w="1409" w:type="dxa"/>
          </w:tcPr>
          <w:p w14:paraId="2DB54A8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1409" w:type="dxa"/>
          </w:tcPr>
          <w:p w14:paraId="1EF8508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39,9</w:t>
            </w:r>
          </w:p>
        </w:tc>
        <w:tc>
          <w:tcPr>
            <w:tcW w:w="1835" w:type="dxa"/>
          </w:tcPr>
          <w:p w14:paraId="3736AC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хх/3,3</w:t>
            </w:r>
          </w:p>
        </w:tc>
        <w:tc>
          <w:tcPr>
            <w:tcW w:w="1284" w:type="dxa"/>
          </w:tcPr>
          <w:p w14:paraId="4792F90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29,6</w:t>
            </w:r>
          </w:p>
        </w:tc>
        <w:tc>
          <w:tcPr>
            <w:tcW w:w="3110" w:type="dxa"/>
          </w:tcPr>
          <w:p w14:paraId="6C691BD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хх/ подлежит ремонту</w:t>
            </w:r>
          </w:p>
        </w:tc>
      </w:tr>
      <w:tr w:rsidR="00860B4B" w:rsidRPr="00D03F3E" w14:paraId="46780C09" w14:textId="77777777">
        <w:tc>
          <w:tcPr>
            <w:tcW w:w="1409" w:type="dxa"/>
          </w:tcPr>
          <w:p w14:paraId="37F64802" w14:textId="77777777" w:rsidR="00531570" w:rsidRPr="00D03F3E" w:rsidRDefault="00531570" w:rsidP="00D03F3E">
            <w:pPr>
              <w:pStyle w:val="Iauiue"/>
              <w:jc w:val="both"/>
              <w:rPr>
                <w:color w:val="000000" w:themeColor="text1"/>
                <w:sz w:val="16"/>
                <w:szCs w:val="16"/>
              </w:rPr>
            </w:pPr>
          </w:p>
        </w:tc>
        <w:tc>
          <w:tcPr>
            <w:tcW w:w="1409" w:type="dxa"/>
          </w:tcPr>
          <w:p w14:paraId="7E354D4A" w14:textId="77777777" w:rsidR="00531570" w:rsidRPr="00D03F3E" w:rsidRDefault="00531570" w:rsidP="00D03F3E">
            <w:pPr>
              <w:pStyle w:val="Iauiue"/>
              <w:jc w:val="both"/>
              <w:rPr>
                <w:color w:val="000000" w:themeColor="text1"/>
                <w:sz w:val="16"/>
                <w:szCs w:val="16"/>
              </w:rPr>
            </w:pPr>
          </w:p>
        </w:tc>
        <w:tc>
          <w:tcPr>
            <w:tcW w:w="1409" w:type="dxa"/>
          </w:tcPr>
          <w:p w14:paraId="5DE3048B" w14:textId="77777777" w:rsidR="00531570" w:rsidRPr="00D03F3E" w:rsidRDefault="00531570" w:rsidP="00D03F3E">
            <w:pPr>
              <w:pStyle w:val="Iauiue"/>
              <w:jc w:val="both"/>
              <w:rPr>
                <w:color w:val="000000" w:themeColor="text1"/>
                <w:sz w:val="16"/>
                <w:szCs w:val="16"/>
              </w:rPr>
            </w:pPr>
          </w:p>
        </w:tc>
        <w:tc>
          <w:tcPr>
            <w:tcW w:w="1835" w:type="dxa"/>
          </w:tcPr>
          <w:p w14:paraId="693241A7" w14:textId="77777777" w:rsidR="00531570" w:rsidRPr="00D03F3E" w:rsidRDefault="00531570" w:rsidP="00D03F3E">
            <w:pPr>
              <w:pStyle w:val="Iauiue"/>
              <w:jc w:val="both"/>
              <w:rPr>
                <w:color w:val="000000" w:themeColor="text1"/>
                <w:sz w:val="16"/>
                <w:szCs w:val="16"/>
              </w:rPr>
            </w:pPr>
          </w:p>
        </w:tc>
        <w:tc>
          <w:tcPr>
            <w:tcW w:w="1284" w:type="dxa"/>
          </w:tcPr>
          <w:p w14:paraId="480D98DB" w14:textId="77777777" w:rsidR="00531570" w:rsidRPr="00D03F3E" w:rsidRDefault="00531570" w:rsidP="00D03F3E">
            <w:pPr>
              <w:pStyle w:val="Iauiue"/>
              <w:jc w:val="both"/>
              <w:rPr>
                <w:color w:val="000000" w:themeColor="text1"/>
                <w:sz w:val="16"/>
                <w:szCs w:val="16"/>
              </w:rPr>
            </w:pPr>
          </w:p>
        </w:tc>
        <w:tc>
          <w:tcPr>
            <w:tcW w:w="3110" w:type="dxa"/>
          </w:tcPr>
          <w:p w14:paraId="4CADE6B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231 самолет</w:t>
            </w:r>
          </w:p>
        </w:tc>
      </w:tr>
      <w:tr w:rsidR="00860B4B" w:rsidRPr="00D03F3E" w14:paraId="7B04669E" w14:textId="77777777">
        <w:tc>
          <w:tcPr>
            <w:tcW w:w="1409" w:type="dxa"/>
          </w:tcPr>
          <w:p w14:paraId="06729927" w14:textId="77777777" w:rsidR="00531570" w:rsidRPr="00D03F3E" w:rsidRDefault="00531570" w:rsidP="00D03F3E">
            <w:pPr>
              <w:pStyle w:val="Iauiue"/>
              <w:jc w:val="both"/>
              <w:rPr>
                <w:color w:val="000000" w:themeColor="text1"/>
                <w:sz w:val="16"/>
                <w:szCs w:val="16"/>
              </w:rPr>
            </w:pPr>
          </w:p>
        </w:tc>
        <w:tc>
          <w:tcPr>
            <w:tcW w:w="1409" w:type="dxa"/>
          </w:tcPr>
          <w:p w14:paraId="756A258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29,1</w:t>
            </w:r>
          </w:p>
        </w:tc>
        <w:tc>
          <w:tcPr>
            <w:tcW w:w="1409" w:type="dxa"/>
          </w:tcPr>
          <w:p w14:paraId="042E033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58,2</w:t>
            </w:r>
          </w:p>
        </w:tc>
        <w:tc>
          <w:tcPr>
            <w:tcW w:w="1835" w:type="dxa"/>
          </w:tcPr>
          <w:p w14:paraId="743DE26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74,6</w:t>
            </w:r>
          </w:p>
        </w:tc>
        <w:tc>
          <w:tcPr>
            <w:tcW w:w="1284" w:type="dxa"/>
          </w:tcPr>
          <w:p w14:paraId="052303E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w:t>
            </w:r>
          </w:p>
        </w:tc>
        <w:tc>
          <w:tcPr>
            <w:tcW w:w="3110" w:type="dxa"/>
          </w:tcPr>
          <w:p w14:paraId="2B58716F" w14:textId="77777777" w:rsidR="00531570" w:rsidRPr="00D03F3E" w:rsidRDefault="00531570" w:rsidP="00D03F3E">
            <w:pPr>
              <w:pStyle w:val="Iauiue"/>
              <w:jc w:val="both"/>
              <w:rPr>
                <w:color w:val="000000" w:themeColor="text1"/>
                <w:sz w:val="16"/>
                <w:szCs w:val="16"/>
              </w:rPr>
            </w:pPr>
          </w:p>
        </w:tc>
      </w:tr>
      <w:tr w:rsidR="00860B4B" w:rsidRPr="00D03F3E" w14:paraId="4A701893" w14:textId="77777777">
        <w:tc>
          <w:tcPr>
            <w:tcW w:w="1409" w:type="dxa"/>
          </w:tcPr>
          <w:p w14:paraId="72E1BD8C" w14:textId="77777777" w:rsidR="00531570" w:rsidRPr="00D03F3E" w:rsidRDefault="00531570" w:rsidP="00D03F3E">
            <w:pPr>
              <w:pStyle w:val="Iauiue"/>
              <w:jc w:val="both"/>
              <w:rPr>
                <w:color w:val="000000" w:themeColor="text1"/>
                <w:sz w:val="16"/>
                <w:szCs w:val="16"/>
              </w:rPr>
            </w:pPr>
          </w:p>
        </w:tc>
        <w:tc>
          <w:tcPr>
            <w:tcW w:w="1409" w:type="dxa"/>
          </w:tcPr>
          <w:p w14:paraId="5931915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68,2</w:t>
            </w:r>
          </w:p>
        </w:tc>
        <w:tc>
          <w:tcPr>
            <w:tcW w:w="1409" w:type="dxa"/>
          </w:tcPr>
          <w:p w14:paraId="5DA12BE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w:t>
            </w:r>
          </w:p>
        </w:tc>
        <w:tc>
          <w:tcPr>
            <w:tcW w:w="1835" w:type="dxa"/>
          </w:tcPr>
          <w:p w14:paraId="0B1DA4A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96,0</w:t>
            </w:r>
          </w:p>
        </w:tc>
        <w:tc>
          <w:tcPr>
            <w:tcW w:w="1284" w:type="dxa"/>
          </w:tcPr>
          <w:p w14:paraId="0B42071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w:t>
            </w:r>
          </w:p>
        </w:tc>
        <w:tc>
          <w:tcPr>
            <w:tcW w:w="3110" w:type="dxa"/>
          </w:tcPr>
          <w:p w14:paraId="7F17ADB6" w14:textId="77777777" w:rsidR="00531570" w:rsidRPr="00D03F3E" w:rsidRDefault="00531570" w:rsidP="00D03F3E">
            <w:pPr>
              <w:pStyle w:val="Iauiue"/>
              <w:jc w:val="both"/>
              <w:rPr>
                <w:color w:val="000000" w:themeColor="text1"/>
                <w:sz w:val="16"/>
                <w:szCs w:val="16"/>
              </w:rPr>
            </w:pPr>
          </w:p>
        </w:tc>
      </w:tr>
      <w:tr w:rsidR="00860B4B" w:rsidRPr="00D03F3E" w14:paraId="7161E213" w14:textId="77777777">
        <w:tc>
          <w:tcPr>
            <w:tcW w:w="1409" w:type="dxa"/>
          </w:tcPr>
          <w:p w14:paraId="496BAA2D" w14:textId="77777777" w:rsidR="00531570" w:rsidRPr="00D03F3E" w:rsidRDefault="00531570" w:rsidP="00D03F3E">
            <w:pPr>
              <w:pStyle w:val="Iauiue"/>
              <w:jc w:val="both"/>
              <w:rPr>
                <w:color w:val="000000" w:themeColor="text1"/>
                <w:sz w:val="16"/>
                <w:szCs w:val="16"/>
              </w:rPr>
            </w:pPr>
          </w:p>
        </w:tc>
        <w:tc>
          <w:tcPr>
            <w:tcW w:w="1409" w:type="dxa"/>
          </w:tcPr>
          <w:p w14:paraId="426C53F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ххх/</w:t>
            </w:r>
          </w:p>
        </w:tc>
        <w:tc>
          <w:tcPr>
            <w:tcW w:w="1409" w:type="dxa"/>
          </w:tcPr>
          <w:p w14:paraId="50DE1FD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1835" w:type="dxa"/>
          </w:tcPr>
          <w:p w14:paraId="747877A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w:t>
            </w:r>
          </w:p>
        </w:tc>
        <w:tc>
          <w:tcPr>
            <w:tcW w:w="1284" w:type="dxa"/>
          </w:tcPr>
          <w:p w14:paraId="4C927DB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3110" w:type="dxa"/>
          </w:tcPr>
          <w:p w14:paraId="2AED6C5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ххх/ подлежит осмотру</w:t>
            </w:r>
          </w:p>
        </w:tc>
      </w:tr>
      <w:tr w:rsidR="00860B4B" w:rsidRPr="00D03F3E" w14:paraId="7D376488" w14:textId="77777777">
        <w:tc>
          <w:tcPr>
            <w:tcW w:w="1409" w:type="dxa"/>
          </w:tcPr>
          <w:p w14:paraId="532AF401" w14:textId="77777777" w:rsidR="00531570" w:rsidRPr="00D03F3E" w:rsidRDefault="00531570" w:rsidP="00D03F3E">
            <w:pPr>
              <w:pStyle w:val="Iauiue"/>
              <w:jc w:val="both"/>
              <w:rPr>
                <w:color w:val="000000" w:themeColor="text1"/>
                <w:sz w:val="16"/>
                <w:szCs w:val="16"/>
              </w:rPr>
            </w:pPr>
          </w:p>
        </w:tc>
        <w:tc>
          <w:tcPr>
            <w:tcW w:w="1409" w:type="dxa"/>
          </w:tcPr>
          <w:p w14:paraId="31DFA301" w14:textId="77777777" w:rsidR="00531570" w:rsidRPr="00D03F3E" w:rsidRDefault="00531570" w:rsidP="00D03F3E">
            <w:pPr>
              <w:pStyle w:val="Iauiue"/>
              <w:jc w:val="both"/>
              <w:rPr>
                <w:color w:val="000000" w:themeColor="text1"/>
                <w:sz w:val="16"/>
                <w:szCs w:val="16"/>
              </w:rPr>
            </w:pPr>
          </w:p>
        </w:tc>
        <w:tc>
          <w:tcPr>
            <w:tcW w:w="1409" w:type="dxa"/>
          </w:tcPr>
          <w:p w14:paraId="6B7D32A1" w14:textId="77777777" w:rsidR="00531570" w:rsidRPr="00D03F3E" w:rsidRDefault="00531570" w:rsidP="00D03F3E">
            <w:pPr>
              <w:pStyle w:val="Iauiue"/>
              <w:jc w:val="both"/>
              <w:rPr>
                <w:color w:val="000000" w:themeColor="text1"/>
                <w:sz w:val="16"/>
                <w:szCs w:val="16"/>
              </w:rPr>
            </w:pPr>
          </w:p>
        </w:tc>
        <w:tc>
          <w:tcPr>
            <w:tcW w:w="1835" w:type="dxa"/>
          </w:tcPr>
          <w:p w14:paraId="3D0C3F74" w14:textId="77777777" w:rsidR="00531570" w:rsidRPr="00D03F3E" w:rsidRDefault="00531570" w:rsidP="00D03F3E">
            <w:pPr>
              <w:pStyle w:val="Iauiue"/>
              <w:jc w:val="both"/>
              <w:rPr>
                <w:color w:val="000000" w:themeColor="text1"/>
                <w:sz w:val="16"/>
                <w:szCs w:val="16"/>
              </w:rPr>
            </w:pPr>
          </w:p>
        </w:tc>
        <w:tc>
          <w:tcPr>
            <w:tcW w:w="1284" w:type="dxa"/>
          </w:tcPr>
          <w:p w14:paraId="19EB0D73" w14:textId="77777777" w:rsidR="00531570" w:rsidRPr="00D03F3E" w:rsidRDefault="00531570" w:rsidP="00D03F3E">
            <w:pPr>
              <w:pStyle w:val="Iauiue"/>
              <w:jc w:val="both"/>
              <w:rPr>
                <w:color w:val="000000" w:themeColor="text1"/>
                <w:sz w:val="16"/>
                <w:szCs w:val="16"/>
              </w:rPr>
            </w:pPr>
          </w:p>
        </w:tc>
        <w:tc>
          <w:tcPr>
            <w:tcW w:w="3110" w:type="dxa"/>
          </w:tcPr>
          <w:p w14:paraId="696FB31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147 самолет</w:t>
            </w:r>
          </w:p>
        </w:tc>
      </w:tr>
      <w:tr w:rsidR="00860B4B" w:rsidRPr="00D03F3E" w14:paraId="2E3E1BCD" w14:textId="77777777">
        <w:tc>
          <w:tcPr>
            <w:tcW w:w="1409" w:type="dxa"/>
          </w:tcPr>
          <w:p w14:paraId="51189F0E" w14:textId="77777777" w:rsidR="00531570" w:rsidRPr="00D03F3E" w:rsidRDefault="00531570" w:rsidP="00D03F3E">
            <w:pPr>
              <w:pStyle w:val="Iauiue"/>
              <w:jc w:val="both"/>
              <w:rPr>
                <w:color w:val="000000" w:themeColor="text1"/>
                <w:sz w:val="16"/>
                <w:szCs w:val="16"/>
              </w:rPr>
            </w:pPr>
          </w:p>
        </w:tc>
        <w:tc>
          <w:tcPr>
            <w:tcW w:w="1409" w:type="dxa"/>
          </w:tcPr>
          <w:p w14:paraId="389ABA6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1409" w:type="dxa"/>
          </w:tcPr>
          <w:p w14:paraId="22EE8F0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15,3</w:t>
            </w:r>
          </w:p>
        </w:tc>
        <w:tc>
          <w:tcPr>
            <w:tcW w:w="1835" w:type="dxa"/>
          </w:tcPr>
          <w:p w14:paraId="34F12E6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w:t>
            </w:r>
          </w:p>
        </w:tc>
        <w:tc>
          <w:tcPr>
            <w:tcW w:w="1284" w:type="dxa"/>
          </w:tcPr>
          <w:p w14:paraId="238DBD6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3110" w:type="dxa"/>
          </w:tcPr>
          <w:p w14:paraId="0FA7AA54" w14:textId="77777777" w:rsidR="00531570" w:rsidRPr="00D03F3E" w:rsidRDefault="00531570" w:rsidP="00D03F3E">
            <w:pPr>
              <w:pStyle w:val="Iauiue"/>
              <w:jc w:val="both"/>
              <w:rPr>
                <w:color w:val="000000" w:themeColor="text1"/>
                <w:sz w:val="16"/>
                <w:szCs w:val="16"/>
              </w:rPr>
            </w:pPr>
          </w:p>
        </w:tc>
      </w:tr>
      <w:tr w:rsidR="00860B4B" w:rsidRPr="00D03F3E" w14:paraId="55A61204" w14:textId="77777777">
        <w:tc>
          <w:tcPr>
            <w:tcW w:w="1409" w:type="dxa"/>
          </w:tcPr>
          <w:p w14:paraId="1FBD65A9" w14:textId="77777777" w:rsidR="00531570" w:rsidRPr="00D03F3E" w:rsidRDefault="00531570" w:rsidP="00D03F3E">
            <w:pPr>
              <w:pStyle w:val="Iauiue"/>
              <w:jc w:val="both"/>
              <w:rPr>
                <w:color w:val="000000" w:themeColor="text1"/>
                <w:sz w:val="16"/>
                <w:szCs w:val="16"/>
              </w:rPr>
            </w:pPr>
          </w:p>
        </w:tc>
        <w:tc>
          <w:tcPr>
            <w:tcW w:w="1409" w:type="dxa"/>
          </w:tcPr>
          <w:p w14:paraId="3FF1C43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1409" w:type="dxa"/>
          </w:tcPr>
          <w:p w14:paraId="3902025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2,8</w:t>
            </w:r>
          </w:p>
        </w:tc>
        <w:tc>
          <w:tcPr>
            <w:tcW w:w="1835" w:type="dxa"/>
          </w:tcPr>
          <w:p w14:paraId="1D20CDE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13,2</w:t>
            </w:r>
          </w:p>
        </w:tc>
        <w:tc>
          <w:tcPr>
            <w:tcW w:w="1284" w:type="dxa"/>
          </w:tcPr>
          <w:p w14:paraId="0E88BC6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100</w:t>
            </w:r>
          </w:p>
        </w:tc>
        <w:tc>
          <w:tcPr>
            <w:tcW w:w="3110" w:type="dxa"/>
          </w:tcPr>
          <w:p w14:paraId="2EB0F4A4" w14:textId="77777777" w:rsidR="00531570" w:rsidRPr="00D03F3E" w:rsidRDefault="00531570" w:rsidP="00D03F3E">
            <w:pPr>
              <w:pStyle w:val="Iauiue"/>
              <w:jc w:val="both"/>
              <w:rPr>
                <w:color w:val="000000" w:themeColor="text1"/>
                <w:sz w:val="16"/>
                <w:szCs w:val="16"/>
              </w:rPr>
            </w:pPr>
          </w:p>
        </w:tc>
      </w:tr>
      <w:tr w:rsidR="00860B4B" w:rsidRPr="00D03F3E" w14:paraId="50F2C74F" w14:textId="77777777">
        <w:tc>
          <w:tcPr>
            <w:tcW w:w="1409" w:type="dxa"/>
          </w:tcPr>
          <w:p w14:paraId="5F0E0682" w14:textId="77777777" w:rsidR="00531570" w:rsidRPr="00D03F3E" w:rsidRDefault="00531570" w:rsidP="00D03F3E">
            <w:pPr>
              <w:pStyle w:val="Iauiue"/>
              <w:jc w:val="both"/>
              <w:rPr>
                <w:color w:val="000000" w:themeColor="text1"/>
                <w:sz w:val="16"/>
                <w:szCs w:val="16"/>
              </w:rPr>
            </w:pPr>
          </w:p>
        </w:tc>
        <w:tc>
          <w:tcPr>
            <w:tcW w:w="1409" w:type="dxa"/>
          </w:tcPr>
          <w:p w14:paraId="381C880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31,9</w:t>
            </w:r>
          </w:p>
        </w:tc>
        <w:tc>
          <w:tcPr>
            <w:tcW w:w="1409" w:type="dxa"/>
          </w:tcPr>
          <w:p w14:paraId="399AAC5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w:t>
            </w:r>
          </w:p>
        </w:tc>
        <w:tc>
          <w:tcPr>
            <w:tcW w:w="1835" w:type="dxa"/>
          </w:tcPr>
          <w:p w14:paraId="7DD14F0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w:t>
            </w:r>
          </w:p>
        </w:tc>
        <w:tc>
          <w:tcPr>
            <w:tcW w:w="1284" w:type="dxa"/>
          </w:tcPr>
          <w:p w14:paraId="61D0C05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w:t>
            </w:r>
          </w:p>
        </w:tc>
        <w:tc>
          <w:tcPr>
            <w:tcW w:w="3110" w:type="dxa"/>
          </w:tcPr>
          <w:p w14:paraId="206EAD15" w14:textId="77777777" w:rsidR="00531570" w:rsidRPr="00D03F3E" w:rsidRDefault="00531570" w:rsidP="00D03F3E">
            <w:pPr>
              <w:pStyle w:val="Iauiue"/>
              <w:jc w:val="both"/>
              <w:rPr>
                <w:color w:val="000000" w:themeColor="text1"/>
                <w:sz w:val="16"/>
                <w:szCs w:val="16"/>
              </w:rPr>
            </w:pPr>
          </w:p>
        </w:tc>
      </w:tr>
      <w:tr w:rsidR="00860B4B" w:rsidRPr="00D03F3E" w14:paraId="3DA347DC" w14:textId="77777777">
        <w:tc>
          <w:tcPr>
            <w:tcW w:w="1409" w:type="dxa"/>
          </w:tcPr>
          <w:p w14:paraId="0CD502E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Итого:</w:t>
            </w:r>
          </w:p>
        </w:tc>
        <w:tc>
          <w:tcPr>
            <w:tcW w:w="1409" w:type="dxa"/>
          </w:tcPr>
          <w:p w14:paraId="62DC622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71,5</w:t>
            </w:r>
          </w:p>
        </w:tc>
        <w:tc>
          <w:tcPr>
            <w:tcW w:w="1409" w:type="dxa"/>
          </w:tcPr>
          <w:p w14:paraId="3BAD778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41,5</w:t>
            </w:r>
          </w:p>
        </w:tc>
        <w:tc>
          <w:tcPr>
            <w:tcW w:w="1835" w:type="dxa"/>
          </w:tcPr>
          <w:p w14:paraId="08CEA92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49,0</w:t>
            </w:r>
          </w:p>
        </w:tc>
        <w:tc>
          <w:tcPr>
            <w:tcW w:w="1284" w:type="dxa"/>
          </w:tcPr>
          <w:p w14:paraId="7B3CA28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61,0 (1778)</w:t>
            </w:r>
          </w:p>
        </w:tc>
        <w:tc>
          <w:tcPr>
            <w:tcW w:w="3110" w:type="dxa"/>
          </w:tcPr>
          <w:p w14:paraId="6033C898" w14:textId="77777777" w:rsidR="00531570" w:rsidRPr="00D03F3E" w:rsidRDefault="00531570" w:rsidP="00D03F3E">
            <w:pPr>
              <w:pStyle w:val="Iauiue"/>
              <w:jc w:val="both"/>
              <w:rPr>
                <w:color w:val="000000" w:themeColor="text1"/>
                <w:sz w:val="16"/>
                <w:szCs w:val="16"/>
              </w:rPr>
            </w:pPr>
          </w:p>
        </w:tc>
      </w:tr>
    </w:tbl>
    <w:p w14:paraId="3C089831" w14:textId="77777777" w:rsidR="00531570" w:rsidRPr="00D03F3E" w:rsidRDefault="00531570" w:rsidP="00D03F3E">
      <w:pPr>
        <w:pStyle w:val="Iauiue"/>
        <w:jc w:val="both"/>
        <w:rPr>
          <w:color w:val="000000" w:themeColor="text1"/>
          <w:sz w:val="16"/>
          <w:szCs w:val="16"/>
        </w:rPr>
      </w:pPr>
    </w:p>
    <w:p w14:paraId="30C35E67"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14 июня 1943 г. главный инженер ВВС генерал-полковник Репин утвердил Акт по результатам испытаний самолета «Пегас»</w:t>
      </w:r>
    </w:p>
    <w:p w14:paraId="52095DA6"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11 ию</w:t>
      </w:r>
      <w:r w:rsidRPr="00D03F3E">
        <w:rPr>
          <w:color w:val="000000" w:themeColor="text1"/>
          <w:sz w:val="16"/>
          <w:szCs w:val="16"/>
        </w:rPr>
        <w:softHyphen/>
        <w:t>ня 1943 г. заключение по испытаниям самолета «Пегас» № 01 подписали начальник НИИ ВВС ге</w:t>
      </w:r>
      <w:r w:rsidRPr="00D03F3E">
        <w:rPr>
          <w:color w:val="000000" w:themeColor="text1"/>
          <w:sz w:val="16"/>
          <w:szCs w:val="16"/>
        </w:rPr>
        <w:softHyphen/>
        <w:t>нерал-лейтенант П. А. Лосюков и начальник 3-го отдела института полковник С. И. Сафронов.</w:t>
      </w:r>
    </w:p>
    <w:p w14:paraId="4C5A870A"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16 мая 1943 испытания самолета «Пегас» № 01 пришлось прекратить.</w:t>
      </w:r>
    </w:p>
    <w:p w14:paraId="47FB6D63"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Летную программу испытаний, возобновленных 9 апреля 1943, в полном объеме завершить не удалось, так как самолет после 36 ч 30 мин налета (96 полетов, включая заводские испытания) пришел в полную негодность.</w:t>
      </w:r>
    </w:p>
    <w:p w14:paraId="13A0583E"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Основные изменения в ходе доработки самоле</w:t>
      </w:r>
      <w:r w:rsidRPr="00D03F3E">
        <w:rPr>
          <w:color w:val="000000" w:themeColor="text1"/>
          <w:sz w:val="16"/>
          <w:szCs w:val="16"/>
        </w:rPr>
        <w:softHyphen/>
        <w:t>та сводились к следующему. Отработана подвеска под фюзеляжем легкосъемного лафета с двумя пуш</w:t>
      </w:r>
      <w:r w:rsidRPr="00D03F3E">
        <w:rPr>
          <w:color w:val="000000" w:themeColor="text1"/>
          <w:sz w:val="16"/>
          <w:szCs w:val="16"/>
        </w:rPr>
        <w:softHyphen/>
        <w:t>ками ВЯ с боекомплектом по 80 снарядов на ствол. Доведена носовая пулеметная установка в части обеспечения сбора гильз и звеньев в носовой ча</w:t>
      </w:r>
      <w:r w:rsidRPr="00D03F3E">
        <w:rPr>
          <w:color w:val="000000" w:themeColor="text1"/>
          <w:sz w:val="16"/>
          <w:szCs w:val="16"/>
        </w:rPr>
        <w:softHyphen/>
        <w:t>сти фюзеляжа. Боекомплект к пулемету сократил</w:t>
      </w:r>
      <w:r w:rsidRPr="00D03F3E">
        <w:rPr>
          <w:color w:val="000000" w:themeColor="text1"/>
          <w:sz w:val="16"/>
          <w:szCs w:val="16"/>
        </w:rPr>
        <w:softHyphen/>
        <w:t>ся до 140 патронов. Доработали бомбовый мост. Вместо 3 на него смонтировали 5 замков МДЗ-40. Теперь на него допускалась подвеска бомбовой нагрузки в 500 кг, в том числе одной ФАБ-500. При этом подвеска бомб на 2 крайних замка осущест</w:t>
      </w:r>
      <w:r w:rsidRPr="00D03F3E">
        <w:rPr>
          <w:color w:val="000000" w:themeColor="text1"/>
          <w:sz w:val="16"/>
          <w:szCs w:val="16"/>
        </w:rPr>
        <w:softHyphen/>
        <w:t>влялась вручную, а на 3 средних — при помощи лебедки. Как и прежде, бомбометание обеспечива</w:t>
      </w:r>
      <w:r w:rsidRPr="00D03F3E">
        <w:rPr>
          <w:color w:val="000000" w:themeColor="text1"/>
          <w:sz w:val="16"/>
          <w:szCs w:val="16"/>
        </w:rPr>
        <w:softHyphen/>
        <w:t>лось только с горизонтального полета. Прицел для бомбометания не устанавливался. Емкость бро</w:t>
      </w:r>
      <w:r w:rsidRPr="00D03F3E">
        <w:rPr>
          <w:color w:val="000000" w:themeColor="text1"/>
          <w:sz w:val="16"/>
          <w:szCs w:val="16"/>
        </w:rPr>
        <w:softHyphen/>
        <w:t>нированных бензиновых бачков в мотогондолах и основных бензобаков немного увеличили — до 20 и 153 л каждый соответственно.</w:t>
      </w:r>
    </w:p>
    <w:p w14:paraId="0965FDDF"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Вес пустого самолета возрос до 1450 кг. Полет</w:t>
      </w:r>
      <w:r w:rsidRPr="00D03F3E">
        <w:rPr>
          <w:color w:val="000000" w:themeColor="text1"/>
          <w:sz w:val="16"/>
          <w:szCs w:val="16"/>
        </w:rPr>
        <w:softHyphen/>
        <w:t>ный вес самолета в варианте штурмовика с пушка</w:t>
      </w:r>
      <w:r w:rsidRPr="00D03F3E">
        <w:rPr>
          <w:color w:val="000000" w:themeColor="text1"/>
          <w:sz w:val="16"/>
          <w:szCs w:val="16"/>
        </w:rPr>
        <w:softHyphen/>
        <w:t>ми ВЯ достигал 2150 кг, а в варианте легкого бом</w:t>
      </w:r>
      <w:r w:rsidRPr="00D03F3E">
        <w:rPr>
          <w:color w:val="000000" w:themeColor="text1"/>
          <w:sz w:val="16"/>
          <w:szCs w:val="16"/>
        </w:rPr>
        <w:softHyphen/>
        <w:t>бардировщика с 500 кг бомб — 2320 кг. Центровка самолета при всех вариантах нагрузки находилась в диапазоне от 29,45% САХ (пустой самолет) до 30,2% САХ (с ВЯ).</w:t>
      </w:r>
    </w:p>
    <w:p w14:paraId="28C90218"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варианте штурмовика максимальная скорость у земли составила 172 км/ч. Вертикальная скорость у земли — 2,7 м/с. На высоту 1000 м самолет за</w:t>
      </w:r>
      <w:r w:rsidRPr="00D03F3E">
        <w:rPr>
          <w:color w:val="000000" w:themeColor="text1"/>
          <w:sz w:val="16"/>
          <w:szCs w:val="16"/>
        </w:rPr>
        <w:softHyphen/>
        <w:t>бирался за 7,7 мин. Вираж на 1000 м выполнялся за 39—41 с. Практический потолок не превышал 2620 м.</w:t>
      </w:r>
    </w:p>
    <w:p w14:paraId="42622165"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варианте бомбардировщика (500 кг бомб) летные данные ухудшались: скорость у земли — 167 км/ч, вертикальная скорость — 1,6 м/с, время подъема на 1000 м — 12,6 мин, практический по</w:t>
      </w:r>
      <w:r w:rsidRPr="00D03F3E">
        <w:rPr>
          <w:color w:val="000000" w:themeColor="text1"/>
          <w:sz w:val="16"/>
          <w:szCs w:val="16"/>
        </w:rPr>
        <w:softHyphen/>
        <w:t>толок — 1900 м.</w:t>
      </w:r>
    </w:p>
    <w:p w14:paraId="49A7EEE4"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полетном весе 1868 кг (без бомб) разбег не превышал 230 м, пробег (50% горючего) — 440 м. При увеличении полетного веса до 2068 кг разбег возрастал до 345 м.</w:t>
      </w:r>
    </w:p>
    <w:p w14:paraId="4A847A71"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Дальность полета в варианте штурмовика на скорости 0,85 максимальной (150 км/ч — мини</w:t>
      </w:r>
      <w:r w:rsidRPr="00D03F3E">
        <w:rPr>
          <w:color w:val="000000" w:themeColor="text1"/>
          <w:sz w:val="16"/>
          <w:szCs w:val="16"/>
        </w:rPr>
        <w:softHyphen/>
        <w:t>мальная скорость из условий безопасности полета) достигала 410 км.</w:t>
      </w:r>
    </w:p>
    <w:p w14:paraId="575A242E"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Модернизированный «Пегас» оказался не столь простым в управлении, как ожидалось. В полете наблюдались раскачивание при подвешенном во</w:t>
      </w:r>
      <w:r w:rsidRPr="00D03F3E">
        <w:rPr>
          <w:color w:val="000000" w:themeColor="text1"/>
          <w:sz w:val="16"/>
          <w:szCs w:val="16"/>
        </w:rPr>
        <w:softHyphen/>
        <w:t>оружении (особенно с бомбами) и тряска хвоста на некоторых режимах полета.</w:t>
      </w:r>
    </w:p>
    <w:p w14:paraId="382ADE77"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Летчики отмечали, что из-за отсутствия управля</w:t>
      </w:r>
      <w:r w:rsidRPr="00D03F3E">
        <w:rPr>
          <w:color w:val="000000" w:themeColor="text1"/>
          <w:sz w:val="16"/>
          <w:szCs w:val="16"/>
        </w:rPr>
        <w:softHyphen/>
        <w:t>емого триммера самолет балансируется только на определенных режимах и центровках: при наборе высоты — на скорости 155—160 км/ч, на планиро</w:t>
      </w:r>
      <w:r w:rsidRPr="00D03F3E">
        <w:rPr>
          <w:color w:val="000000" w:themeColor="text1"/>
          <w:sz w:val="16"/>
          <w:szCs w:val="16"/>
        </w:rPr>
        <w:softHyphen/>
        <w:t>вании — на скорости 180—190 км/ч и в горизон</w:t>
      </w:r>
      <w:r w:rsidRPr="00D03F3E">
        <w:rPr>
          <w:color w:val="000000" w:themeColor="text1"/>
          <w:sz w:val="16"/>
          <w:szCs w:val="16"/>
        </w:rPr>
        <w:softHyphen/>
        <w:t>тальном полете — на скорости 160—170 км/ч.</w:t>
      </w:r>
    </w:p>
    <w:p w14:paraId="5FA54854"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Самолет характеризовался недостаточной путе</w:t>
      </w:r>
      <w:r w:rsidRPr="00D03F3E">
        <w:rPr>
          <w:color w:val="000000" w:themeColor="text1"/>
          <w:sz w:val="16"/>
          <w:szCs w:val="16"/>
        </w:rPr>
        <w:softHyphen/>
        <w:t>вой и близкой к нейтральной поперечной устойчи</w:t>
      </w:r>
      <w:r w:rsidRPr="00D03F3E">
        <w:rPr>
          <w:color w:val="000000" w:themeColor="text1"/>
          <w:sz w:val="16"/>
          <w:szCs w:val="16"/>
        </w:rPr>
        <w:softHyphen/>
        <w:t>востью. Руля высоты для трехточечной посадки при предельно передней центровке 26,7% САХ хватает, но запас мал. Вводить самолет в пикирование с га</w:t>
      </w:r>
      <w:r w:rsidRPr="00D03F3E">
        <w:rPr>
          <w:color w:val="000000" w:themeColor="text1"/>
          <w:sz w:val="16"/>
          <w:szCs w:val="16"/>
        </w:rPr>
        <w:softHyphen/>
        <w:t>зом очень тяжело.</w:t>
      </w:r>
    </w:p>
    <w:p w14:paraId="62D4BB32"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полете сильно задувает в кабину с пола. В го</w:t>
      </w:r>
      <w:r w:rsidRPr="00D03F3E">
        <w:rPr>
          <w:color w:val="000000" w:themeColor="text1"/>
          <w:sz w:val="16"/>
          <w:szCs w:val="16"/>
        </w:rPr>
        <w:softHyphen/>
        <w:t>ризонтальном полете и на пикировании «винты дают раскрутку, поэтому полностью использовать мощность моторов невозможно».</w:t>
      </w:r>
    </w:p>
    <w:p w14:paraId="161E5099"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Диапазон возможных скоростей полета («при большой минимальной скорости») сочли совершен</w:t>
      </w:r>
      <w:r w:rsidRPr="00D03F3E">
        <w:rPr>
          <w:color w:val="000000" w:themeColor="text1"/>
          <w:sz w:val="16"/>
          <w:szCs w:val="16"/>
        </w:rPr>
        <w:softHyphen/>
        <w:t>но недостаточным для выполнения маневров при построении захода на цель и ухода от нее и при по</w:t>
      </w:r>
      <w:r w:rsidRPr="00D03F3E">
        <w:rPr>
          <w:color w:val="000000" w:themeColor="text1"/>
          <w:sz w:val="16"/>
          <w:szCs w:val="16"/>
        </w:rPr>
        <w:softHyphen/>
        <w:t>летах в строю, особенно большими группами.</w:t>
      </w:r>
    </w:p>
    <w:p w14:paraId="2406B27C"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Стрелковое и пушечное вооружение в ходе ис</w:t>
      </w:r>
      <w:r w:rsidRPr="00D03F3E">
        <w:rPr>
          <w:color w:val="000000" w:themeColor="text1"/>
          <w:sz w:val="16"/>
          <w:szCs w:val="16"/>
        </w:rPr>
        <w:softHyphen/>
        <w:t>пытаний постоянно доводилось силами специали</w:t>
      </w:r>
      <w:r w:rsidRPr="00D03F3E">
        <w:rPr>
          <w:color w:val="000000" w:themeColor="text1"/>
          <w:sz w:val="16"/>
          <w:szCs w:val="16"/>
        </w:rPr>
        <w:softHyphen/>
        <w:t>стов НИИ ВВС. На отработку оружия было выпол</w:t>
      </w:r>
      <w:r w:rsidRPr="00D03F3E">
        <w:rPr>
          <w:color w:val="000000" w:themeColor="text1"/>
          <w:sz w:val="16"/>
          <w:szCs w:val="16"/>
        </w:rPr>
        <w:softHyphen/>
        <w:t>нено 11 полетов. Стрельба велась в горизонталь ном полете и с пикирования. Из пушек всего было выполнено 1842 выстрела, в том числе 454 — на земле, 1388 — в воздухе. Получено 6,8% задержек в стрельбе и 3 поломки. Из пулемета УБК отстреля</w:t>
      </w:r>
      <w:r w:rsidRPr="00D03F3E">
        <w:rPr>
          <w:color w:val="000000" w:themeColor="text1"/>
          <w:sz w:val="16"/>
          <w:szCs w:val="16"/>
        </w:rPr>
        <w:softHyphen/>
        <w:t>ли в воздухе 875 и на земле 475 патронов. Было за</w:t>
      </w:r>
      <w:r w:rsidRPr="00D03F3E">
        <w:rPr>
          <w:color w:val="000000" w:themeColor="text1"/>
          <w:sz w:val="16"/>
          <w:szCs w:val="16"/>
        </w:rPr>
        <w:softHyphen/>
        <w:t>фиксировано 10% задержек и 4 поломки.</w:t>
      </w:r>
    </w:p>
    <w:p w14:paraId="2FF9FBAA"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Рассеивание определялось стрельбой в воздухе по щитам (12x12 м). Стрельба велась с пикирова</w:t>
      </w:r>
      <w:r w:rsidRPr="00D03F3E">
        <w:rPr>
          <w:color w:val="000000" w:themeColor="text1"/>
          <w:sz w:val="16"/>
          <w:szCs w:val="16"/>
        </w:rPr>
        <w:softHyphen/>
        <w:t>ния под углом 25—30° с дистанции 800—900 м оче</w:t>
      </w:r>
      <w:r w:rsidRPr="00D03F3E">
        <w:rPr>
          <w:color w:val="000000" w:themeColor="text1"/>
          <w:sz w:val="16"/>
          <w:szCs w:val="16"/>
        </w:rPr>
        <w:softHyphen/>
        <w:t>редями по 2—10 снарядов.</w:t>
      </w:r>
    </w:p>
    <w:p w14:paraId="24388093"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Выяснилось, что при стрельбе из пулемета УБК на скорости 150—160 км/ч самолет стремился ка- брировать, а при стрельбе из пушек, наоборот — пикировать. При стрельбе из всех 3 точек — из пушек и пулемета — «моменты кабрирования и пикирования уравновешиваются, но самолет раска</w:t>
      </w:r>
      <w:r w:rsidRPr="00D03F3E">
        <w:rPr>
          <w:color w:val="000000" w:themeColor="text1"/>
          <w:sz w:val="16"/>
          <w:szCs w:val="16"/>
        </w:rPr>
        <w:softHyphen/>
        <w:t>чивается, и продолжительное время вести стрель</w:t>
      </w:r>
      <w:r w:rsidRPr="00D03F3E">
        <w:rPr>
          <w:color w:val="000000" w:themeColor="text1"/>
          <w:sz w:val="16"/>
          <w:szCs w:val="16"/>
        </w:rPr>
        <w:softHyphen/>
        <w:t>бу невозможно».</w:t>
      </w:r>
    </w:p>
    <w:p w14:paraId="26A95CBF"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стрельбе из пушек в горизонтальном по</w:t>
      </w:r>
      <w:r w:rsidRPr="00D03F3E">
        <w:rPr>
          <w:color w:val="000000" w:themeColor="text1"/>
          <w:sz w:val="16"/>
          <w:szCs w:val="16"/>
        </w:rPr>
        <w:softHyphen/>
        <w:t>лете длинными очередями до 10 снарядов само</w:t>
      </w:r>
      <w:r w:rsidRPr="00D03F3E">
        <w:rPr>
          <w:color w:val="000000" w:themeColor="text1"/>
          <w:sz w:val="16"/>
          <w:szCs w:val="16"/>
        </w:rPr>
        <w:softHyphen/>
        <w:t>лет терял в скорости полета до 15 км/ч (примерно 9% от максимальной скорости). При этом самолет испытывал значительную тряску и летчик не в со</w:t>
      </w:r>
      <w:r w:rsidRPr="00D03F3E">
        <w:rPr>
          <w:color w:val="000000" w:themeColor="text1"/>
          <w:sz w:val="16"/>
          <w:szCs w:val="16"/>
        </w:rPr>
        <w:softHyphen/>
        <w:t>стоянии при стрельбе удерживать линию визиро</w:t>
      </w:r>
      <w:r w:rsidRPr="00D03F3E">
        <w:rPr>
          <w:color w:val="000000" w:themeColor="text1"/>
          <w:sz w:val="16"/>
          <w:szCs w:val="16"/>
        </w:rPr>
        <w:softHyphen/>
        <w:t>вания на цели. Прицельность стрельбы из пушек нарушалась уже после первых 1—2 выстрелов. Кроме того, из-за слишком длинных пламегасите</w:t>
      </w:r>
      <w:r w:rsidRPr="00D03F3E">
        <w:rPr>
          <w:color w:val="000000" w:themeColor="text1"/>
          <w:sz w:val="16"/>
          <w:szCs w:val="16"/>
        </w:rPr>
        <w:softHyphen/>
        <w:t>лей стволы пушек при стрельбе сильно вибрирова</w:t>
      </w:r>
      <w:r w:rsidRPr="00D03F3E">
        <w:rPr>
          <w:color w:val="000000" w:themeColor="text1"/>
          <w:sz w:val="16"/>
          <w:szCs w:val="16"/>
        </w:rPr>
        <w:softHyphen/>
        <w:t>ли. Все это, вместе взятое, вызывало большое рас</w:t>
      </w:r>
      <w:r w:rsidRPr="00D03F3E">
        <w:rPr>
          <w:color w:val="000000" w:themeColor="text1"/>
          <w:sz w:val="16"/>
          <w:szCs w:val="16"/>
        </w:rPr>
        <w:softHyphen/>
        <w:t>сеивание снарядов. Так, при стрельбе короткими очередями (2—4 выстрела) боковое отклонение и отклонение по дальности достигало 7,2 и 13,2 м соответственно. Прицеливаться, используя кольцо и мушку, было крайне неудобно. После первой оче</w:t>
      </w:r>
      <w:r w:rsidRPr="00D03F3E">
        <w:rPr>
          <w:color w:val="000000" w:themeColor="text1"/>
          <w:sz w:val="16"/>
          <w:szCs w:val="16"/>
        </w:rPr>
        <w:softHyphen/>
        <w:t>реди поймать цель снова в прицел трудно, поэтому прицельно вести стрельбу по одной и той же цели невозможно. Не обеспечена перезарядка пулемета в воздухе. Обзор летчику вперед-вниз на 15° при</w:t>
      </w:r>
      <w:r w:rsidRPr="00D03F3E">
        <w:rPr>
          <w:color w:val="000000" w:themeColor="text1"/>
          <w:sz w:val="16"/>
          <w:szCs w:val="16"/>
        </w:rPr>
        <w:softHyphen/>
        <w:t>знавался недостаточным.</w:t>
      </w:r>
    </w:p>
    <w:p w14:paraId="4A57E0F4"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Бомбовое вооружение в воздухе не испытыва- лось ввиду отсутствия прицела для бомбометания и изношенности шасси. Дело в том, что после по</w:t>
      </w:r>
      <w:r w:rsidRPr="00D03F3E">
        <w:rPr>
          <w:color w:val="000000" w:themeColor="text1"/>
          <w:sz w:val="16"/>
          <w:szCs w:val="16"/>
        </w:rPr>
        <w:softHyphen/>
        <w:t>летов на определение летных данных и испытание стрелково-пушечного вооружения «Пегас» № 01 пришел в негодность. Летать на нем было нельзя. Самолету требовался капитальный ремонт.</w:t>
      </w:r>
    </w:p>
    <w:p w14:paraId="285DDB1E"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Мнение летчиков-испытателей было неутеши</w:t>
      </w:r>
      <w:r w:rsidRPr="00D03F3E">
        <w:rPr>
          <w:color w:val="000000" w:themeColor="text1"/>
          <w:sz w:val="16"/>
          <w:szCs w:val="16"/>
        </w:rPr>
        <w:softHyphen/>
        <w:t>тельным. Основной вывод сводился к тому, что полученные при испытании летно-боевые данные «не обеспечивают для самолета «Пегас» успешного выполнения боевых задач» в качестве штурмовика и легкого бомбардировщика.</w:t>
      </w:r>
    </w:p>
    <w:p w14:paraId="33ABC5A5"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Боевую живучесть машины сочли совершенно недостаточной: «Бронирование летчика обеспечи</w:t>
      </w:r>
      <w:r w:rsidRPr="00D03F3E">
        <w:rPr>
          <w:color w:val="000000" w:themeColor="text1"/>
          <w:sz w:val="16"/>
          <w:szCs w:val="16"/>
        </w:rPr>
        <w:softHyphen/>
        <w:t>вает защиту только от пуль калибра 7,62 мм с дис</w:t>
      </w:r>
      <w:r w:rsidRPr="00D03F3E">
        <w:rPr>
          <w:color w:val="000000" w:themeColor="text1"/>
          <w:sz w:val="16"/>
          <w:szCs w:val="16"/>
        </w:rPr>
        <w:softHyphen/>
        <w:t>танции 700—1000 м. Недостаточная угловая защита головы летчика спереди (малая площадь прозрач</w:t>
      </w:r>
      <w:r w:rsidRPr="00D03F3E">
        <w:rPr>
          <w:color w:val="000000" w:themeColor="text1"/>
          <w:sz w:val="16"/>
          <w:szCs w:val="16"/>
        </w:rPr>
        <w:softHyphen/>
        <w:t>ной брони) на козырьке. Недостаточная броня сза</w:t>
      </w:r>
      <w:r w:rsidRPr="00D03F3E">
        <w:rPr>
          <w:color w:val="000000" w:themeColor="text1"/>
          <w:sz w:val="16"/>
          <w:szCs w:val="16"/>
        </w:rPr>
        <w:softHyphen/>
        <w:t>ди от пуль калибра 12,7 мм и выше. /.../ Нет брони моторов, основные бензобаки не защищены, нет протектора и нет системы нейтральных газов. /.../ Сброс бензобаков не исключает пожара, так как летчик может не засечь его начало, противопо</w:t>
      </w:r>
      <w:r w:rsidRPr="00D03F3E">
        <w:rPr>
          <w:color w:val="000000" w:themeColor="text1"/>
          <w:sz w:val="16"/>
          <w:szCs w:val="16"/>
        </w:rPr>
        <w:softHyphen/>
        <w:t>жарная перегородка отсутствует. /. / При малых горизонтальных скоростях легко уязвим от назем</w:t>
      </w:r>
      <w:r w:rsidRPr="00D03F3E">
        <w:rPr>
          <w:color w:val="000000" w:themeColor="text1"/>
          <w:sz w:val="16"/>
          <w:szCs w:val="16"/>
        </w:rPr>
        <w:softHyphen/>
        <w:t>ного огня, плохая маневренность (время виража на 1000 м — 40 сек) делает его беззащитным перед ис</w:t>
      </w:r>
      <w:r w:rsidRPr="00D03F3E">
        <w:rPr>
          <w:color w:val="000000" w:themeColor="text1"/>
          <w:sz w:val="16"/>
          <w:szCs w:val="16"/>
        </w:rPr>
        <w:softHyphen/>
        <w:t>требительной авиацией противника, что приведет к большим потерям летчиков и матчасти».</w:t>
      </w:r>
    </w:p>
    <w:p w14:paraId="5FCA2A2C"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Констатировалось, что по технике пилотирова</w:t>
      </w:r>
      <w:r w:rsidRPr="00D03F3E">
        <w:rPr>
          <w:color w:val="000000" w:themeColor="text1"/>
          <w:sz w:val="16"/>
          <w:szCs w:val="16"/>
        </w:rPr>
        <w:softHyphen/>
        <w:t>ния самолет недоступен «массовому летному соста</w:t>
      </w:r>
      <w:r w:rsidRPr="00D03F3E">
        <w:rPr>
          <w:color w:val="000000" w:themeColor="text1"/>
          <w:sz w:val="16"/>
          <w:szCs w:val="16"/>
        </w:rPr>
        <w:softHyphen/>
        <w:t>ву, из-за малого диапазона скорости (20—25 км/ч) между максимальной и эволютивной», недоста</w:t>
      </w:r>
      <w:r w:rsidRPr="00D03F3E">
        <w:rPr>
          <w:color w:val="000000" w:themeColor="text1"/>
          <w:sz w:val="16"/>
          <w:szCs w:val="16"/>
        </w:rPr>
        <w:softHyphen/>
        <w:t>точной боковой устойчивости и крутой глиссады планирования. К полетам на «Пегасе» допускались только летчики с летной подготовкой не ниже средней и лишь днем в простых метеоусловиях.</w:t>
      </w:r>
    </w:p>
    <w:p w14:paraId="69C0D504"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Боевое применение имело смысл в перегру</w:t>
      </w:r>
      <w:r w:rsidRPr="00D03F3E">
        <w:rPr>
          <w:color w:val="000000" w:themeColor="text1"/>
          <w:sz w:val="16"/>
          <w:szCs w:val="16"/>
        </w:rPr>
        <w:softHyphen/>
        <w:t>зочном варианте нагрузки, «но в этом случае проч</w:t>
      </w:r>
      <w:r w:rsidRPr="00D03F3E">
        <w:rPr>
          <w:color w:val="000000" w:themeColor="text1"/>
          <w:sz w:val="16"/>
          <w:szCs w:val="16"/>
        </w:rPr>
        <w:softHyphen/>
        <w:t>ность шасси не обеспечивает длительной эксплуа</w:t>
      </w:r>
      <w:r w:rsidRPr="00D03F3E">
        <w:rPr>
          <w:color w:val="000000" w:themeColor="text1"/>
          <w:sz w:val="16"/>
          <w:szCs w:val="16"/>
        </w:rPr>
        <w:softHyphen/>
        <w:t>тации самолета».</w:t>
      </w:r>
    </w:p>
    <w:p w14:paraId="25B8DE09"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Прицельная стрельба из пушек возможна толь</w:t>
      </w:r>
      <w:r w:rsidRPr="00D03F3E">
        <w:rPr>
          <w:color w:val="000000" w:themeColor="text1"/>
          <w:sz w:val="16"/>
          <w:szCs w:val="16"/>
        </w:rPr>
        <w:softHyphen/>
        <w:t>ко очередями по 2—4 снаряда с восстановлением прицеливания после каждой очереди. Установка пушек калибра 23 и 37 мм нецелесообразна из-за большой силы отдачи.</w:t>
      </w:r>
    </w:p>
    <w:p w14:paraId="402AC21B"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существующей конструкции носовой части, расположения брони и летчика установка прицель</w:t>
      </w:r>
      <w:r w:rsidRPr="00D03F3E">
        <w:rPr>
          <w:color w:val="000000" w:themeColor="text1"/>
          <w:sz w:val="16"/>
          <w:szCs w:val="16"/>
        </w:rPr>
        <w:softHyphen/>
        <w:t>ных приспособлений для бомбометания невозмож</w:t>
      </w:r>
      <w:r w:rsidRPr="00D03F3E">
        <w:rPr>
          <w:color w:val="000000" w:themeColor="text1"/>
          <w:sz w:val="16"/>
          <w:szCs w:val="16"/>
        </w:rPr>
        <w:softHyphen/>
        <w:t>на. Это исключает возможность бомбометания по целям ограниченных размеров.</w:t>
      </w:r>
    </w:p>
    <w:p w14:paraId="4365608C"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Применение второсортных материалов в зна</w:t>
      </w:r>
      <w:r w:rsidRPr="00D03F3E">
        <w:rPr>
          <w:color w:val="000000" w:themeColor="text1"/>
          <w:sz w:val="16"/>
          <w:szCs w:val="16"/>
        </w:rPr>
        <w:softHyphen/>
        <w:t>чительной мере удешевило производство самоле</w:t>
      </w:r>
      <w:r w:rsidRPr="00D03F3E">
        <w:rPr>
          <w:color w:val="000000" w:themeColor="text1"/>
          <w:sz w:val="16"/>
          <w:szCs w:val="16"/>
        </w:rPr>
        <w:softHyphen/>
        <w:t>та, но вместе с этим этот же факт сделал самолет недолговечным и одновременно привел к много</w:t>
      </w:r>
      <w:r w:rsidRPr="00D03F3E">
        <w:rPr>
          <w:color w:val="000000" w:themeColor="text1"/>
          <w:sz w:val="16"/>
          <w:szCs w:val="16"/>
        </w:rPr>
        <w:softHyphen/>
        <w:t>численным дефектам и поломкам в ходе эксплуа</w:t>
      </w:r>
      <w:r w:rsidRPr="00D03F3E">
        <w:rPr>
          <w:color w:val="000000" w:themeColor="text1"/>
          <w:sz w:val="16"/>
          <w:szCs w:val="16"/>
        </w:rPr>
        <w:softHyphen/>
        <w:t>тации.</w:t>
      </w:r>
    </w:p>
    <w:p w14:paraId="2335B36D"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Так, «в основных бензобаках, изготовленных из низкосортного листового материала, образует</w:t>
      </w:r>
      <w:r w:rsidRPr="00D03F3E">
        <w:rPr>
          <w:color w:val="000000" w:themeColor="text1"/>
          <w:sz w:val="16"/>
          <w:szCs w:val="16"/>
        </w:rPr>
        <w:softHyphen/>
        <w:t>ся постоянная течь по швам и заклепкам». Ленты крепления маслобаков быстро приходили в негод</w:t>
      </w:r>
      <w:r w:rsidRPr="00D03F3E">
        <w:rPr>
          <w:color w:val="000000" w:themeColor="text1"/>
          <w:sz w:val="16"/>
          <w:szCs w:val="16"/>
        </w:rPr>
        <w:softHyphen/>
        <w:t>ность и разрушались. Маслобаки начинали вибри</w:t>
      </w:r>
      <w:r w:rsidRPr="00D03F3E">
        <w:rPr>
          <w:color w:val="000000" w:themeColor="text1"/>
          <w:sz w:val="16"/>
          <w:szCs w:val="16"/>
        </w:rPr>
        <w:softHyphen/>
        <w:t>ровать, что приводило к течи по швам и в местах пайки. Прочность обшивки центроплана не обе</w:t>
      </w:r>
      <w:r w:rsidRPr="00D03F3E">
        <w:rPr>
          <w:color w:val="000000" w:themeColor="text1"/>
          <w:sz w:val="16"/>
          <w:szCs w:val="16"/>
        </w:rPr>
        <w:softHyphen/>
        <w:t>спечивала свободный проход к горловинам бен- зо- и маслобаков при заправке, обшивка дефор</w:t>
      </w:r>
      <w:r w:rsidRPr="00D03F3E">
        <w:rPr>
          <w:color w:val="000000" w:themeColor="text1"/>
          <w:sz w:val="16"/>
          <w:szCs w:val="16"/>
        </w:rPr>
        <w:softHyphen/>
        <w:t>мировалась и проламывалась. Фанерная обшивка самолета везде покрывалась трещинами и шелуши</w:t>
      </w:r>
      <w:r w:rsidRPr="00D03F3E">
        <w:rPr>
          <w:color w:val="000000" w:themeColor="text1"/>
          <w:sz w:val="16"/>
          <w:szCs w:val="16"/>
        </w:rPr>
        <w:softHyphen/>
        <w:t>лась.</w:t>
      </w:r>
    </w:p>
    <w:p w14:paraId="5E312AE5"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Кроме того, низкое располо</w:t>
      </w:r>
      <w:r w:rsidRPr="00D03F3E">
        <w:rPr>
          <w:color w:val="000000" w:themeColor="text1"/>
          <w:sz w:val="16"/>
          <w:szCs w:val="16"/>
        </w:rPr>
        <w:softHyphen/>
        <w:t>жение моторов (под крылом) не позволяло запускать моторы при помощи автостартера и не обеспе</w:t>
      </w:r>
      <w:r w:rsidRPr="00D03F3E">
        <w:rPr>
          <w:color w:val="000000" w:themeColor="text1"/>
          <w:sz w:val="16"/>
          <w:szCs w:val="16"/>
        </w:rPr>
        <w:softHyphen/>
        <w:t>чивало необходимого расстояния между концами лопастей винтов и землей в линии полета.</w:t>
      </w:r>
    </w:p>
    <w:p w14:paraId="1F478C47"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Помимо летчиков НИИ ВВС, «Пе</w:t>
      </w:r>
      <w:r w:rsidRPr="00D03F3E">
        <w:rPr>
          <w:color w:val="000000" w:themeColor="text1"/>
          <w:sz w:val="16"/>
          <w:szCs w:val="16"/>
        </w:rPr>
        <w:softHyphen/>
        <w:t>гас» облетал инспектор Управления боевой подготовки ВВС КА гвардии подполковник К. Н. Холобаев, кото</w:t>
      </w:r>
      <w:r w:rsidRPr="00D03F3E">
        <w:rPr>
          <w:color w:val="000000" w:themeColor="text1"/>
          <w:sz w:val="16"/>
          <w:szCs w:val="16"/>
        </w:rPr>
        <w:softHyphen/>
        <w:t>рый в составе 4-го шап (с 7.3.42 г. — 7-й гшап) был одним из первых, кто применил бронированный штурмо</w:t>
      </w:r>
      <w:r w:rsidRPr="00D03F3E">
        <w:rPr>
          <w:color w:val="000000" w:themeColor="text1"/>
          <w:sz w:val="16"/>
          <w:szCs w:val="16"/>
        </w:rPr>
        <w:softHyphen/>
        <w:t>вик Ил-2 на фронтах войны.</w:t>
      </w:r>
    </w:p>
    <w:p w14:paraId="16DD47A7" w14:textId="77777777" w:rsidR="00027215" w:rsidRPr="00D03F3E" w:rsidRDefault="000272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заключении отчета констатировалось, что са</w:t>
      </w:r>
      <w:r w:rsidRPr="00D03F3E">
        <w:rPr>
          <w:rFonts w:ascii="Times New Roman" w:hAnsi="Times New Roman"/>
          <w:color w:val="000000" w:themeColor="text1"/>
          <w:sz w:val="16"/>
          <w:szCs w:val="16"/>
        </w:rPr>
        <w:softHyphen/>
        <w:t>молет «Пегас» «государственные испытания не вы</w:t>
      </w:r>
      <w:r w:rsidRPr="00D03F3E">
        <w:rPr>
          <w:rFonts w:ascii="Times New Roman" w:hAnsi="Times New Roman"/>
          <w:color w:val="000000" w:themeColor="text1"/>
          <w:sz w:val="16"/>
          <w:szCs w:val="16"/>
        </w:rPr>
        <w:softHyphen/>
        <w:t>держал; дальнейшие работы по доводке самолета «Пегас» считать нецелесообразными».</w:t>
      </w:r>
    </w:p>
    <w:p w14:paraId="42128C90" w14:textId="77777777" w:rsidR="00027215" w:rsidRPr="00D03F3E" w:rsidRDefault="00027215"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НИИ ВВС и использовать как макет для полиго</w:t>
      </w:r>
      <w:r w:rsidRPr="00D03F3E">
        <w:rPr>
          <w:color w:val="000000" w:themeColor="text1"/>
          <w:sz w:val="16"/>
          <w:szCs w:val="16"/>
        </w:rPr>
        <w:softHyphen/>
        <w:t>на», а оставшиеся 4 опытных самолета, «заканчи</w:t>
      </w:r>
      <w:r w:rsidRPr="00D03F3E">
        <w:rPr>
          <w:color w:val="000000" w:themeColor="text1"/>
          <w:sz w:val="16"/>
          <w:szCs w:val="16"/>
        </w:rPr>
        <w:softHyphen/>
        <w:t>вающихся постройкой на заводе № 288, передать в один из запасных авиаполков для использования в качестве мишеней в целях тренировок в стрельбе по наземным целям» (17500).</w:t>
      </w:r>
    </w:p>
    <w:p w14:paraId="5CA7414F" w14:textId="77777777" w:rsidR="00027215" w:rsidRPr="00D03F3E" w:rsidRDefault="00027215" w:rsidP="00D03F3E">
      <w:pPr>
        <w:spacing w:after="0" w:line="240" w:lineRule="auto"/>
        <w:jc w:val="both"/>
        <w:rPr>
          <w:rFonts w:ascii="Times New Roman" w:hAnsi="Times New Roman"/>
          <w:color w:val="000000" w:themeColor="text1"/>
          <w:sz w:val="16"/>
          <w:szCs w:val="16"/>
        </w:rPr>
      </w:pPr>
    </w:p>
    <w:p w14:paraId="17815B1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ию</w:t>
      </w:r>
      <w:r w:rsidRPr="00D03F3E">
        <w:rPr>
          <w:rFonts w:ascii="Times New Roman" w:hAnsi="Times New Roman"/>
          <w:color w:val="000000" w:themeColor="text1"/>
          <w:sz w:val="16"/>
          <w:szCs w:val="16"/>
        </w:rPr>
        <w:softHyphen/>
        <w:t>ня и 16 ноября 1943 года вышли приказы НКАП, в соответствии с которыми на самолете № 14/226 с августа проводились испытания моторов ВК-105ПФ со впрыском воды в цилиндры. Испытания завершились в ноябре с отри</w:t>
      </w:r>
      <w:r w:rsidRPr="00D03F3E">
        <w:rPr>
          <w:rFonts w:ascii="Times New Roman" w:hAnsi="Times New Roman"/>
          <w:color w:val="000000" w:themeColor="text1"/>
          <w:sz w:val="16"/>
          <w:szCs w:val="16"/>
        </w:rPr>
        <w:softHyphen/>
        <w:t>цательным результатом, и работы в этом направлении приостановили (11446).</w:t>
      </w:r>
    </w:p>
    <w:p w14:paraId="5890C16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4582E6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 июня 1943 вышел приказ НКАП N 355 "Об истребителях перехватчиках" в исполнение постановления N 3561 от 12 июня 1943. Согласно приказу Як-9 М-105ПД боевая высота 12000 недостаточна и надо 13000-14000 и к 1 августа поручили сделать Як-9 к 1 августа, а также Ла-5 до 13000 к 15 июля и А.И.Микояна до 14000 МиГ с АМ-39 к 1 сентября 1943 (886,170).</w:t>
      </w:r>
    </w:p>
    <w:p w14:paraId="05FA440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ГКО постановлением от 12 июня 1943 № 3561 отметил, что достигнутая за пследнее время на наших высотных истребителях Як-9 с М-105ПД боевая высота 12000 м является недостаточнойдля борьбы с самолетами-разведчиками противника и обязал НКАП провести работы по увеличению боевой высоты истебителей до 13000 - 14000 м.</w:t>
      </w:r>
    </w:p>
    <w:p w14:paraId="6D0F682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исполнение этого постановления ГКО приказываю:</w:t>
      </w:r>
    </w:p>
    <w:p w14:paraId="031B63D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 Зам НКАП т. Яковлеву провести работы по увеличению боевой высоты истребителя Як-9 с мотором М-105ПД до 13000 м, выпустить образец такого с-та к 1 августа с.г., переоборудовав для этой цели один из самолетов, находящихся в боевой эксплуатации в войсках ПВО </w:t>
      </w:r>
    </w:p>
    <w:p w14:paraId="4CD196C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ГК т. Лавочкину построить с-т Ла-5 с М-82ФН с ТК с боевой высотой 13000 м и передать на летные испытания к 15 июля 1943</w:t>
      </w:r>
    </w:p>
    <w:p w14:paraId="1F9142A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ГК т. А.И.М. и Зам ГК Гуревичу увеличить до 14000 м боевую высоту с-та МиГ с АМ-39 путем установки на него ТК и предъявить на летные испытания к 1 сентяюря 1943.</w:t>
      </w:r>
    </w:p>
    <w:p w14:paraId="22B7F28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Отметить, что ЦИАМ ведет недостаточную работу по поднятию высотности моторов и их агрегатов. Нач-ку ЦИАМ т. Поликовскому работу по повышению высотности моторной группы перечисленных в пп. 1, 2 и 3 самолетов считать первоочередной задачей.</w:t>
      </w:r>
    </w:p>
    <w:p w14:paraId="05DF7B9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Подписал НКАП (886,170).</w:t>
      </w:r>
    </w:p>
    <w:p w14:paraId="6995D85A"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499D5E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июня 1943 основании приказа НКАП, подписанного двумя днями позже, предписывалось, в частности, А.С. Яковлеву увеличить боевую высоту Як-9 с двигателем М-105ПД до 13 000 м, выпустив машину к 1 августа 1943 г. Для этого выделялся один из самолетов, находившихся на боевом дежурстве в авиации ПВО. Аналогичное задание получили ОКБ С.А. Лавочкина и А.И. Микояна.</w:t>
      </w:r>
    </w:p>
    <w:p w14:paraId="0CAEE2C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уложиться в заданный срок, а главное - быстро решить поставленную задачу не удалось, и немецкие разведчики продолжали безнаказанно летать над столицей.</w:t>
      </w:r>
    </w:p>
    <w:p w14:paraId="2C3E64B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Подтверждением тому является донесение командования Западного фронта командующему артиллерией Красной армии Н.Н. Воронову и наркому А.И. Шахурину где, в частности, отмечалось:</w:t>
      </w:r>
    </w:p>
    <w:p w14:paraId="70AB002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августа 1943 г. с 08.40 до 10.10 противник произвел разведку г. Москва и окрестностей одним высотным разведчиком (...) Ю-86Р1 на высоте 12 000-13 ООО м... Для перехвата противника разновременно было поднято 15 истребителей &lt;...&gt;, из них: три Як-9 и два "Спитфайра"...</w:t>
      </w:r>
    </w:p>
    <w:p w14:paraId="6B317DB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Из всех поднятых истребителей только один - старший лейтенант 16-го иап Семенов на "Спитфайре" (невысотном) поднялся до 11 500 м и вел огонь по противнику с кабрирования, находясь ниже противника на 500 м и сзади на 200 м.</w:t>
      </w:r>
    </w:p>
    <w:p w14:paraId="64B062B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Летчик Семенов израсходовал 30 снарядов и 450 пуль патронов, после чего пушка и пулеметы отказали из-за обледенения. Противник вел ответный огонь с правого борта и снизу трассирующими пулями.</w:t>
      </w:r>
    </w:p>
    <w:p w14:paraId="5DC8F2B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Москвы и на обратном пути &lt;...&gt; противника преследовали летчики 12-го гвардейского иап - младший лейтенант Наливайко (Як-9), набравший только 11 000 м ..." (12046).</w:t>
      </w:r>
    </w:p>
    <w:p w14:paraId="0113E1E0"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2CCF2D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 июня 1943 вышел приказ НКАП N 356 "О выпуске дальних истребителей Як-9 для целей воздушной разведки"</w:t>
      </w:r>
    </w:p>
    <w:p w14:paraId="3B8DF3B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исполнение постановления ГКО N 3560сс от 12 июня 1943 для организации воздушной разведки на самолетах-истребителях Як-9 М-105ПФ:</w:t>
      </w:r>
    </w:p>
    <w:p w14:paraId="4FCC447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Зам. наркома ГК А.С.Я. и директору завода 166 Соколову отработать и оборудовать на заводе 166 к а 1августа 1943 в количестве 30 шт. самолеты Як-9 с фотоустановкой АФА-3С, радиостанцией РСИ-4, РПК-10, вооруженные одной пушкой МП-20.</w:t>
      </w:r>
    </w:p>
    <w:p w14:paraId="6A6A986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Самолет должен иметь следующие летные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860B4B" w:rsidRPr="00D03F3E" w14:paraId="7626C677" w14:textId="77777777">
        <w:tc>
          <w:tcPr>
            <w:tcW w:w="3757" w:type="dxa"/>
          </w:tcPr>
          <w:p w14:paraId="1664F90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Ск. на 4000 м</w:t>
            </w:r>
          </w:p>
        </w:tc>
        <w:tc>
          <w:tcPr>
            <w:tcW w:w="3757" w:type="dxa"/>
          </w:tcPr>
          <w:p w14:paraId="3AB2BDC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610 км/час</w:t>
            </w:r>
          </w:p>
        </w:tc>
      </w:tr>
      <w:tr w:rsidR="00860B4B" w:rsidRPr="00D03F3E" w14:paraId="1AEBB2F1" w14:textId="77777777">
        <w:tc>
          <w:tcPr>
            <w:tcW w:w="3757" w:type="dxa"/>
          </w:tcPr>
          <w:p w14:paraId="4898C14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Ск. у земли</w:t>
            </w:r>
          </w:p>
        </w:tc>
        <w:tc>
          <w:tcPr>
            <w:tcW w:w="3757" w:type="dxa"/>
          </w:tcPr>
          <w:p w14:paraId="273AEEE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540 км/час</w:t>
            </w:r>
          </w:p>
        </w:tc>
      </w:tr>
      <w:tr w:rsidR="00860B4B" w:rsidRPr="00D03F3E" w14:paraId="206C8138" w14:textId="77777777">
        <w:tc>
          <w:tcPr>
            <w:tcW w:w="3757" w:type="dxa"/>
          </w:tcPr>
          <w:p w14:paraId="5F3C82A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Дальность на 320 км/час</w:t>
            </w:r>
          </w:p>
        </w:tc>
        <w:tc>
          <w:tcPr>
            <w:tcW w:w="3757" w:type="dxa"/>
          </w:tcPr>
          <w:p w14:paraId="2F6DC00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1400 км</w:t>
            </w:r>
          </w:p>
        </w:tc>
      </w:tr>
      <w:tr w:rsidR="00860B4B" w:rsidRPr="00D03F3E" w14:paraId="3133A705" w14:textId="77777777">
        <w:tc>
          <w:tcPr>
            <w:tcW w:w="3757" w:type="dxa"/>
          </w:tcPr>
          <w:p w14:paraId="7DA60F6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4. Дальность на 480 км/час</w:t>
            </w:r>
          </w:p>
        </w:tc>
        <w:tc>
          <w:tcPr>
            <w:tcW w:w="3757" w:type="dxa"/>
          </w:tcPr>
          <w:p w14:paraId="66AA600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1100 км (1713,177)</w:t>
            </w:r>
          </w:p>
        </w:tc>
      </w:tr>
    </w:tbl>
    <w:p w14:paraId="259B2B8E" w14:textId="77777777" w:rsidR="00531570" w:rsidRPr="00D03F3E" w:rsidRDefault="00531570" w:rsidP="00D03F3E">
      <w:pPr>
        <w:pStyle w:val="Iauiue"/>
        <w:jc w:val="both"/>
        <w:rPr>
          <w:color w:val="000000" w:themeColor="text1"/>
          <w:sz w:val="16"/>
          <w:szCs w:val="16"/>
        </w:rPr>
      </w:pPr>
    </w:p>
    <w:p w14:paraId="4CE2BE0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июня 1943 г. в соответствии с приказом наркомата коллективу ОКБ-155 поручалось к 1 сентября построить истребитель-перехватчик с высотой боевого применения 14 000 м. Для ускорения работ в качестве прототипа приняли И-220.</w:t>
      </w:r>
    </w:p>
    <w:p w14:paraId="31A0EB6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отличия истребителя И-221 (шифр "2А") от И-220 заключались в использовании двигателя АМ-39А с двумя турбокомпрессорами ТК-2Б и четырехлопа- стного винта серии АВ-9 диаметром 3,5 м. Кроме того, размах крыла машины увеличили до 13 м, а площадь крыла - на 2 м2. Стремясь уменьшить взлетную массу, вооружение сократили до двух 20-мм синхронных пушек ШВАК с боезапасом по 100 патронов. По расчетам, самолет И-221 должен был иметь максимальную скорость 685 км/ч на высоте 12 500 м и потолок 15 000 м. Рабочую высоту 14 000 м предполагалось набирать за 22 мин. 5 ноября 1943 г. истребитель И-221 передали на заводские испытания, Опытный истребитель которые проводил прикомандированный из 12 гв. иап летчик П.А. Журавлев (12045).</w:t>
      </w:r>
    </w:p>
    <w:p w14:paraId="0573DEF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93D1F3E"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14 июня</w:t>
      </w:r>
      <w:r w:rsidRPr="00D03F3E">
        <w:rPr>
          <w:rFonts w:ascii="Times New Roman" w:hAnsi="Times New Roman"/>
          <w:color w:val="000000" w:themeColor="text1"/>
          <w:sz w:val="16"/>
          <w:szCs w:val="16"/>
        </w:rPr>
        <w:t xml:space="preserve"> в 1943 году приказ НКАП №355 - коллективу ОКБ-155 построить к 1 сентября истребитель-перехватчик с высотой боевого применения 14000 м путем установки на мотор турбокомпрессора. Для ускорения работ было принято решение строить самолет на базе истребителя «И-220». К разработке проекта истребителя, получившего название «И-221» и шифр "2А", приступили в середине июня 1943 г., а через два месяца начали сборку новой машины. Однако из-за несвоевременной поставки двигателя самолет был закончен в производстве только 28 октября (14922).</w:t>
      </w:r>
    </w:p>
    <w:p w14:paraId="48E456E1" w14:textId="77777777" w:rsidR="003552A9" w:rsidRPr="00D03F3E" w:rsidRDefault="003552A9" w:rsidP="00D03F3E">
      <w:pPr>
        <w:spacing w:after="0" w:line="240" w:lineRule="auto"/>
        <w:jc w:val="both"/>
        <w:rPr>
          <w:rFonts w:ascii="Times New Roman" w:hAnsi="Times New Roman"/>
          <w:color w:val="000000" w:themeColor="text1"/>
          <w:sz w:val="16"/>
          <w:szCs w:val="16"/>
        </w:rPr>
      </w:pPr>
    </w:p>
    <w:p w14:paraId="7AE5C8E8" w14:textId="77777777" w:rsidR="003552A9" w:rsidRPr="00D03F3E" w:rsidRDefault="003552A9"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июня 1943 г. вышел приказ наркомата авиапромышленности, которым коллективу ОКБ—155 поручалось к 1 сентября пост</w:t>
      </w:r>
      <w:r w:rsidRPr="00D03F3E">
        <w:rPr>
          <w:rFonts w:ascii="Times New Roman" w:hAnsi="Times New Roman"/>
          <w:color w:val="000000" w:themeColor="text1"/>
          <w:sz w:val="16"/>
          <w:szCs w:val="16"/>
        </w:rPr>
        <w:softHyphen/>
        <w:t>роить истребитель-перехватчик с высотой боевого применения 14000 м. Для ускорения работ в качестве прототипа приняли истребитель И—220, а мотор по предложению АА.Микулина решили оснастить тур</w:t>
      </w:r>
      <w:r w:rsidRPr="00D03F3E">
        <w:rPr>
          <w:rFonts w:ascii="Times New Roman" w:hAnsi="Times New Roman"/>
          <w:color w:val="000000" w:themeColor="text1"/>
          <w:sz w:val="16"/>
          <w:szCs w:val="16"/>
        </w:rPr>
        <w:softHyphen/>
        <w:t>бокомпрессором. Основные отличия истребителя И—221 (шифр «2А») от И—220 заключались в использовании двига</w:t>
      </w:r>
      <w:r w:rsidRPr="00D03F3E">
        <w:rPr>
          <w:rFonts w:ascii="Times New Roman" w:hAnsi="Times New Roman"/>
          <w:color w:val="000000" w:themeColor="text1"/>
          <w:sz w:val="16"/>
          <w:szCs w:val="16"/>
        </w:rPr>
        <w:softHyphen/>
        <w:t>теля АМ—39А с двумя турбокомпрессорами ТК—2Б еще довоенной разработки и четырехлопастного винта серии АВ—9 диаметром 3,5 м. Кроме того, размах крыла машины увеличили на 2 м, а площадь крыла — на 2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Стремясь уменьшить взлетную мас</w:t>
      </w:r>
      <w:r w:rsidRPr="00D03F3E">
        <w:rPr>
          <w:rFonts w:ascii="Times New Roman" w:hAnsi="Times New Roman"/>
          <w:color w:val="000000" w:themeColor="text1"/>
          <w:sz w:val="16"/>
          <w:szCs w:val="16"/>
        </w:rPr>
        <w:softHyphen/>
        <w:t xml:space="preserve">су, вооружение сократили до двух 20-мм синхронных пушек ШВАК с боезапасом по 100 патронов (одна пушка устанавливалась в перегрузку). По расчетам, самолет </w:t>
      </w:r>
      <w:r w:rsidRPr="00D03F3E">
        <w:rPr>
          <w:rFonts w:ascii="Times New Roman" w:hAnsi="Times New Roman"/>
          <w:iCs/>
          <w:color w:val="000000" w:themeColor="text1"/>
          <w:sz w:val="16"/>
          <w:szCs w:val="16"/>
        </w:rPr>
        <w:t xml:space="preserve">И—221 </w:t>
      </w:r>
      <w:r w:rsidRPr="00D03F3E">
        <w:rPr>
          <w:rFonts w:ascii="Times New Roman" w:hAnsi="Times New Roman"/>
          <w:color w:val="000000" w:themeColor="text1"/>
          <w:sz w:val="16"/>
          <w:szCs w:val="16"/>
        </w:rPr>
        <w:t>должен был иметь максимальную скорость 685 км/ч на высоте 12500 м и потолок 15000 м. Рабочую высоту 14000 м предполагалось набирать за 22 мин. 5 ноября 1943 г. истребитель И—221 пере</w:t>
      </w:r>
      <w:r w:rsidRPr="00D03F3E">
        <w:rPr>
          <w:rFonts w:ascii="Times New Roman" w:hAnsi="Times New Roman"/>
          <w:color w:val="000000" w:themeColor="text1"/>
          <w:sz w:val="16"/>
          <w:szCs w:val="16"/>
        </w:rPr>
        <w:softHyphen/>
        <w:t>дали на заводские испытания, которые проводил прикомандированный из 12 гв. иап летчик П.А.Жу-равлев (9984).</w:t>
      </w:r>
    </w:p>
    <w:p w14:paraId="5C595DF2" w14:textId="77777777" w:rsidR="003552A9" w:rsidRPr="00D03F3E" w:rsidRDefault="003552A9" w:rsidP="00D03F3E">
      <w:pPr>
        <w:shd w:val="clear" w:color="auto" w:fill="FFFFFF"/>
        <w:spacing w:after="0" w:line="240" w:lineRule="auto"/>
        <w:jc w:val="both"/>
        <w:rPr>
          <w:rFonts w:ascii="Times New Roman" w:hAnsi="Times New Roman"/>
          <w:color w:val="000000" w:themeColor="text1"/>
          <w:sz w:val="16"/>
          <w:szCs w:val="16"/>
        </w:rPr>
      </w:pPr>
    </w:p>
    <w:p w14:paraId="6B75FBE1" w14:textId="77777777" w:rsidR="003552A9" w:rsidRPr="00D03F3E" w:rsidRDefault="003552A9" w:rsidP="00D03F3E">
      <w:pPr>
        <w:pStyle w:val="Iauiue"/>
        <w:jc w:val="both"/>
        <w:rPr>
          <w:color w:val="000000" w:themeColor="text1"/>
          <w:sz w:val="16"/>
          <w:szCs w:val="16"/>
        </w:rPr>
      </w:pPr>
      <w:r w:rsidRPr="00D03F3E">
        <w:rPr>
          <w:color w:val="000000" w:themeColor="text1"/>
          <w:sz w:val="16"/>
          <w:szCs w:val="16"/>
        </w:rPr>
        <w:t>14 июня 1943 г. в исполнение Постановления ГОКО №3561 от 12 июгя вышел приказ НКАП №355, в соответствиии с которым коллективу ОКБ-155 надлежало построить к 1 сентября истребитель-перехватчик с высотой боевого применения 14000 м путем установки на мотор турбокомпрессора. Для ускорения работ было принято решение строить самолет на базе истребителя И-220 (5852,38).</w:t>
      </w:r>
    </w:p>
    <w:p w14:paraId="284CE751" w14:textId="77777777" w:rsidR="003552A9" w:rsidRPr="00D03F3E" w:rsidRDefault="003552A9" w:rsidP="00D03F3E">
      <w:pPr>
        <w:pStyle w:val="Iauiue"/>
        <w:jc w:val="both"/>
        <w:rPr>
          <w:color w:val="000000" w:themeColor="text1"/>
          <w:sz w:val="16"/>
          <w:szCs w:val="16"/>
        </w:rPr>
      </w:pPr>
    </w:p>
    <w:p w14:paraId="2952DC94"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июня 1943 согласно журнала наблюдения за проектированием, постройкой и испытаниями высотного истребителя МиГ-1 начата подготовка компоновочных чертежей и постройка макета МиГ-11 (991,7).</w:t>
      </w:r>
    </w:p>
    <w:p w14:paraId="6AE4DE8C" w14:textId="77777777" w:rsidR="003552A9" w:rsidRPr="00D03F3E" w:rsidRDefault="003552A9" w:rsidP="00D03F3E">
      <w:pPr>
        <w:spacing w:after="0" w:line="240" w:lineRule="auto"/>
        <w:jc w:val="both"/>
        <w:rPr>
          <w:rFonts w:ascii="Times New Roman" w:hAnsi="Times New Roman"/>
          <w:color w:val="000000" w:themeColor="text1"/>
          <w:sz w:val="16"/>
          <w:szCs w:val="16"/>
        </w:rPr>
      </w:pPr>
    </w:p>
    <w:p w14:paraId="693A975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 июня 1943 был составлен авиарийный акт по Аэрокобре М.И.Гудкова.</w:t>
      </w:r>
    </w:p>
    <w:p w14:paraId="07CC056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Место проишествия - село Троице-Люково в 10 км от Центю аэродрома ВВС КА</w:t>
      </w:r>
    </w:p>
    <w:p w14:paraId="38F6EC8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Комиссия на основании приказа НКАП № 353с от 12 июня 1943 в составе председателя И.В.ОСТОСЛАВСКОГО и членов: В.К.КОККИНАКИ, П.Я.ФЕДРОВИ, А.И. КАБАНОВА, М.А.ТАЙЦ произведя расследование происшествия, установила следующее:</w:t>
      </w:r>
    </w:p>
    <w:p w14:paraId="73DC907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Время происшествия: 14 час. 20 мин. 12.У1 .43 г.</w:t>
      </w:r>
    </w:p>
    <w:p w14:paraId="6F9E2EF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Наименование происшествия: катастрофа.</w:t>
      </w:r>
    </w:p>
    <w:p w14:paraId="227DAE8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Организация, котарой принадлежит самолет: НКАП</w:t>
      </w:r>
    </w:p>
    <w:p w14:paraId="4A9C317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Фамилия, имя и отчество пилота: НИКАШИН Алексей Иванович</w:t>
      </w:r>
    </w:p>
    <w:p w14:paraId="6521F78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Год рождения пилота и его стаж самостоятельной работы: 1905 г.р., в 1927 г. окончил Качинскую Летную школу.</w:t>
      </w:r>
    </w:p>
    <w:p w14:paraId="632194F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Партийная прыиадлежность пилота: Член ВКП/б/</w:t>
      </w:r>
    </w:p>
    <w:p w14:paraId="1A5D886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Тип самолета, заводской № и дата выпуска: ГУ-1</w:t>
      </w:r>
    </w:p>
    <w:p w14:paraId="1147814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Сколько часов налетал самолет: Первый полет</w:t>
      </w:r>
    </w:p>
    <w:p w14:paraId="7F369BA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Какие отклонения от технических норм самолет имел: Не бьли полностью установлены купола шасся, отсутствовали створки люка переднего колеса, предкрылки были плохо пригнаны</w:t>
      </w:r>
    </w:p>
    <w:p w14:paraId="6CFDB42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Фактическая нагрузка и размещение груза на самолете:</w:t>
      </w:r>
    </w:p>
    <w:p w14:paraId="5BF5F4D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Горючее - 300 кг.</w:t>
      </w:r>
    </w:p>
    <w:p w14:paraId="05BEDBD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Смазочное - 69</w:t>
      </w:r>
    </w:p>
    <w:p w14:paraId="060555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 - 70</w:t>
      </w:r>
    </w:p>
    <w:p w14:paraId="15A05E8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Груз на редукторе - 53</w:t>
      </w:r>
    </w:p>
    <w:p w14:paraId="44585FE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Полетный вес 4330 кг</w:t>
      </w:r>
    </w:p>
    <w:p w14:paraId="0D64E7F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ЦТ - 25,59% СА</w:t>
      </w:r>
    </w:p>
    <w:p w14:paraId="73245CB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Тип мотора, заводской № и дата выпуска: М-37</w:t>
      </w:r>
    </w:p>
    <w:p w14:paraId="55053B0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Тип винта: ВИШ-61ШН д=3м</w:t>
      </w:r>
    </w:p>
    <w:p w14:paraId="44B6936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Сколько часов наработал мотор на земле и в воздухе: в воздухе 2-3 мин.</w:t>
      </w:r>
    </w:p>
    <w:p w14:paraId="2B42773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Цель полета, во время которого случлось происшествие: Первый полет по кругу с целью ознакомления с самолетом.</w:t>
      </w:r>
    </w:p>
    <w:p w14:paraId="2FE36E4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Чьим распоряжением производился полет: ГК самолета т. Гудков М.И.</w:t>
      </w:r>
    </w:p>
    <w:p w14:paraId="430ADE6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Соответствующее лицо, выпускающее самолет в полет: ГК т. Гудков М.И.</w:t>
      </w:r>
    </w:p>
    <w:p w14:paraId="1303073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Описание происшествия: 12 июня в 14:15 самолет конструкции М.И.Гудкова типа Аэрокобра, пилотируемый л и-пп А.И.Никашиным взлетел с ЦА в Москве. Разбег был произведен по бетонированной дорожке в направлении от завода № 81 на северо-запад.</w:t>
      </w:r>
    </w:p>
    <w:p w14:paraId="76395F4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Сила ветра при взлете была 5-6 м/сек.</w:t>
      </w:r>
    </w:p>
    <w:p w14:paraId="12087EB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Разбег протекал тяжело и произ</w:t>
      </w:r>
      <w:r w:rsidRPr="00D03F3E">
        <w:rPr>
          <w:rFonts w:ascii="Times New Roman" w:hAnsi="Times New Roman"/>
          <w:color w:val="000000" w:themeColor="text1"/>
          <w:sz w:val="16"/>
          <w:szCs w:val="16"/>
        </w:rPr>
        <w:softHyphen/>
        <w:t>водился с форсажем мотора и щитками, отклоненными на 10-12 гр. После разбега длиною около 800 м летчик, достигнув пересечения взлетных полос, начал подрывать самолет. После взлета самолет несколько просел, а затем начался медленный набор высоты.</w:t>
      </w:r>
    </w:p>
    <w:p w14:paraId="6AF1B8D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Перетянув над лесом на границе аэродрома, летчик продолжал наби</w:t>
      </w:r>
      <w:r w:rsidRPr="00D03F3E">
        <w:rPr>
          <w:rFonts w:ascii="Times New Roman" w:hAnsi="Times New Roman"/>
          <w:color w:val="000000" w:themeColor="text1"/>
          <w:sz w:val="16"/>
          <w:szCs w:val="16"/>
        </w:rPr>
        <w:softHyphen/>
        <w:t>рать высоту, однако, не смог ее набрать.</w:t>
      </w:r>
    </w:p>
    <w:p w14:paraId="564D478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Через 2-3 минуты, будучи на тра</w:t>
      </w:r>
      <w:r w:rsidRPr="00D03F3E">
        <w:rPr>
          <w:rFonts w:ascii="Times New Roman" w:hAnsi="Times New Roman"/>
          <w:color w:val="000000" w:themeColor="text1"/>
          <w:sz w:val="16"/>
          <w:szCs w:val="16"/>
        </w:rPr>
        <w:softHyphen/>
        <w:t>верзе центра Тушинского аэродрома, летчик начал с малым креном разворачиваться налево. До момента раз</w:t>
      </w:r>
      <w:r w:rsidRPr="00D03F3E">
        <w:rPr>
          <w:rFonts w:ascii="Times New Roman" w:hAnsi="Times New Roman"/>
          <w:color w:val="000000" w:themeColor="text1"/>
          <w:sz w:val="16"/>
          <w:szCs w:val="16"/>
        </w:rPr>
        <w:softHyphen/>
        <w:t>ворота высота полета была, по свидетельеклм показаниям 50-150 м. мотор работал нормально. Весь по</w:t>
      </w:r>
      <w:r w:rsidRPr="00D03F3E">
        <w:rPr>
          <w:rFonts w:ascii="Times New Roman" w:hAnsi="Times New Roman"/>
          <w:color w:val="000000" w:themeColor="text1"/>
          <w:sz w:val="16"/>
          <w:szCs w:val="16"/>
        </w:rPr>
        <w:softHyphen/>
        <w:t>лет происходил при выпущенаом шасси и отклоненных щитках. При раозвороте самолет свалился на црыло. Летчик дал форсаж, пытаясь вырвать самолет, однако самолет, сделав около 1/2 витка што</w:t>
      </w:r>
      <w:r w:rsidRPr="00D03F3E">
        <w:rPr>
          <w:rFonts w:ascii="Times New Roman" w:hAnsi="Times New Roman"/>
          <w:color w:val="000000" w:themeColor="text1"/>
          <w:sz w:val="16"/>
          <w:szCs w:val="16"/>
        </w:rPr>
        <w:softHyphen/>
        <w:t>пора, врезался в землю. Летчик при ударе самолета о землю был убит, а самолет - полностью разрушен.</w:t>
      </w:r>
    </w:p>
    <w:p w14:paraId="6DBDF90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Какого ремонта требует самолет: Самолет и мотор разбиты полностью и подлежат списанию.</w:t>
      </w:r>
    </w:p>
    <w:p w14:paraId="2C08875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19. Причины происшествия: Все протекание полета (длинный разбег, тяжелый набор высоты, разворот без крена) свидетельствует о низких летных качествах самолета конструкции т.Гудкова.</w:t>
      </w:r>
    </w:p>
    <w:p w14:paraId="5E3C2AB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Анализ материалов по самолету конструкции Гудкова показал следую</w:t>
      </w:r>
      <w:r w:rsidRPr="00D03F3E">
        <w:rPr>
          <w:rFonts w:ascii="Times New Roman" w:hAnsi="Times New Roman"/>
          <w:color w:val="000000" w:themeColor="text1"/>
          <w:sz w:val="16"/>
          <w:szCs w:val="16"/>
        </w:rPr>
        <w:softHyphen/>
        <w:t>щее:</w:t>
      </w:r>
    </w:p>
    <w:p w14:paraId="45402EE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Сравнительные данные самолета конструкции т.Гудкова и самолета "Аэрокобра" таковы: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40"/>
        <w:gridCol w:w="2840"/>
        <w:gridCol w:w="2840"/>
      </w:tblGrid>
      <w:tr w:rsidR="00860B4B" w:rsidRPr="00D03F3E" w14:paraId="2AF9C4EC" w14:textId="77777777">
        <w:tc>
          <w:tcPr>
            <w:tcW w:w="2840" w:type="dxa"/>
          </w:tcPr>
          <w:p w14:paraId="4A5383F8" w14:textId="77777777" w:rsidR="00531570" w:rsidRPr="00D03F3E" w:rsidRDefault="00531570" w:rsidP="00D03F3E">
            <w:pPr>
              <w:pStyle w:val="Iauiue"/>
              <w:jc w:val="both"/>
              <w:rPr>
                <w:color w:val="000000" w:themeColor="text1"/>
                <w:sz w:val="16"/>
                <w:szCs w:val="16"/>
              </w:rPr>
            </w:pPr>
          </w:p>
        </w:tc>
        <w:tc>
          <w:tcPr>
            <w:tcW w:w="2840" w:type="dxa"/>
          </w:tcPr>
          <w:p w14:paraId="00FAA23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Гу-1</w:t>
            </w:r>
          </w:p>
        </w:tc>
        <w:tc>
          <w:tcPr>
            <w:tcW w:w="2840" w:type="dxa"/>
          </w:tcPr>
          <w:p w14:paraId="2A2D67F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Аэрокобра</w:t>
            </w:r>
          </w:p>
        </w:tc>
      </w:tr>
      <w:tr w:rsidR="00860B4B" w:rsidRPr="00D03F3E" w14:paraId="3176CFC3" w14:textId="77777777">
        <w:tc>
          <w:tcPr>
            <w:tcW w:w="2840" w:type="dxa"/>
          </w:tcPr>
          <w:p w14:paraId="4B04697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Нагрузка на 1 м кв.</w:t>
            </w:r>
          </w:p>
        </w:tc>
        <w:tc>
          <w:tcPr>
            <w:tcW w:w="2840" w:type="dxa"/>
          </w:tcPr>
          <w:p w14:paraId="034DCBC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203</w:t>
            </w:r>
          </w:p>
        </w:tc>
        <w:tc>
          <w:tcPr>
            <w:tcW w:w="2840" w:type="dxa"/>
          </w:tcPr>
          <w:p w14:paraId="5A8EC05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180</w:t>
            </w:r>
          </w:p>
        </w:tc>
      </w:tr>
      <w:tr w:rsidR="00860B4B" w:rsidRPr="00D03F3E" w14:paraId="6811A9F3" w14:textId="77777777">
        <w:tc>
          <w:tcPr>
            <w:tcW w:w="2840" w:type="dxa"/>
          </w:tcPr>
          <w:p w14:paraId="360D2EC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Нагрузка на 1 нр</w:t>
            </w:r>
          </w:p>
        </w:tc>
        <w:tc>
          <w:tcPr>
            <w:tcW w:w="2840" w:type="dxa"/>
          </w:tcPr>
          <w:p w14:paraId="32C75D7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3.21</w:t>
            </w:r>
          </w:p>
        </w:tc>
        <w:tc>
          <w:tcPr>
            <w:tcW w:w="2840" w:type="dxa"/>
          </w:tcPr>
          <w:p w14:paraId="255925F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3.09</w:t>
            </w:r>
          </w:p>
        </w:tc>
      </w:tr>
      <w:tr w:rsidR="00860B4B" w:rsidRPr="00D03F3E" w14:paraId="5DCAE435" w14:textId="77777777">
        <w:tc>
          <w:tcPr>
            <w:tcW w:w="2840" w:type="dxa"/>
          </w:tcPr>
          <w:p w14:paraId="08B1C4D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Макс. Коэффициент подъемной силы</w:t>
            </w:r>
          </w:p>
        </w:tc>
        <w:tc>
          <w:tcPr>
            <w:tcW w:w="2840" w:type="dxa"/>
          </w:tcPr>
          <w:p w14:paraId="26D945B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0.95</w:t>
            </w:r>
          </w:p>
        </w:tc>
        <w:tc>
          <w:tcPr>
            <w:tcW w:w="2840" w:type="dxa"/>
          </w:tcPr>
          <w:p w14:paraId="785486F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w:t>
            </w:r>
          </w:p>
        </w:tc>
      </w:tr>
    </w:tbl>
    <w:p w14:paraId="4BA1B8D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(7682,4)</w:t>
      </w:r>
    </w:p>
    <w:p w14:paraId="163E00E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Таким образом, самолет конструкции Гудкова гораздо более напряжен аэродинамически, чем "Аэрокобра": при значительно меньшем коэффициенте подъемной силы самолет конструкции Гудкова имеет большую нагрузку на крыло и несколько большую нагрузку на мощность двигателя.</w:t>
      </w:r>
    </w:p>
    <w:p w14:paraId="63B5791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 этому надо добавить, что в отличие от "Аэрокобры" на самолете конструкции Гудкова маслорадиатор расположен в борту фюзеляжа над крылом и вход в во-дорадиатор развит в длину и занимает весь центроплан, а выход расположен на верхней поверхности крыла вблизи стенки фюзеляжа.</w:t>
      </w:r>
    </w:p>
    <w:p w14:paraId="43F3DCD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Входное отверстие туннеля водоради-атора, расположенное в передней кромке центроплана и начинающееся непосредственно от стенки фюзеляжа, искажало форму носка всей средней части крыла. Зализ между фюзеляжем и крылом был недостаточен и не устранял вредный диффузорный дефект.</w:t>
      </w:r>
    </w:p>
    <w:p w14:paraId="7D6B403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Отсутствие части куполов шасси и замена их полотняным чехлом точно так же могли явиться причиной дополнительного ухудшения аэродинамики, так как в полете полотно могло оторваться.</w:t>
      </w:r>
    </w:p>
    <w:p w14:paraId="168BC60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Каждая из этих особенностей, достаточно неприятная, но не опасная в отдельности, складываясь с остальными особенностями, в сумме и привела к катастрофе.</w:t>
      </w:r>
    </w:p>
    <w:p w14:paraId="0B3946E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Крыло самолета оказалось как бы аэродинамически разрезанным пополам, в результате чего удлинение крыла уменьшилось примерно вдвое и резко возросло лобовое сопротивление...</w:t>
      </w:r>
    </w:p>
    <w:p w14:paraId="2F60BFA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Таким образом, на основании изучения обстановки полета и анализа материалов можно констатировать:</w:t>
      </w:r>
    </w:p>
    <w:p w14:paraId="2DA5B0C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 Катастрофа явилась результатом потери скорости при попытке разворота с малым креном на малой высоте.</w:t>
      </w:r>
    </w:p>
    <w:p w14:paraId="487AA75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2. Причиной катастрофы явились низкие летные данные самолета, в результате чего весь полет протекал на больших углах атаки, близких к критическому.</w:t>
      </w:r>
    </w:p>
    <w:p w14:paraId="24729C8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3. Низкие летные данные самолета были, по-видимому, обусловлены большой вредной интерференцией крыла, фюзеляжа, входных и выходных отверстий туннелей водо- и маслорадиаторов;</w:t>
      </w:r>
    </w:p>
    <w:p w14:paraId="5BEBE4C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большим полетным весом самолета и большой нагрузкой на крыло в сочетании с малым коэффициентом подъемной силы крыла и чувствительностью его профиля к надстройкам.</w:t>
      </w:r>
    </w:p>
    <w:p w14:paraId="03B451D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Главный конструктор самолета тов. Гудков недостаточно внимательно отнесся к аэродинамической компоновке самолета и допустил при этом ошибки.</w:t>
      </w:r>
    </w:p>
    <w:p w14:paraId="37B3F9F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Модель самолета, предъявленная тов. Гудковым ЦАГИ, не имела туннелей радиаторов: профиль центральной части, таким образом, не был искажен и поэтому на основании продувок катастрофический характер поляры не мог быть обнаружен....</w:t>
      </w:r>
    </w:p>
    <w:p w14:paraId="0E88A12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Так как подобные дефекты не могут быть оценены в результате осмотра самолета даже опытными специалистами, то для предотвращения аналогичных катастроф в будущем необходимо новые самолеты, имеющие отклонения от общепринятой аэродинамической схемы, до первого полета подвергать всестороннему исследованию в натурной аэродинамической трубе ЦАГИ."</w:t>
      </w:r>
    </w:p>
    <w:p w14:paraId="2A9AAEF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ЗАКЛЮЧЕНИЕ КОМИССИИ ПО ДАННОМУ ПРОИСШЕСТВИЮ</w:t>
      </w:r>
    </w:p>
    <w:p w14:paraId="0B36AE6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Причиной катастрофы явилась потеря скорости при попытке разворота на малой высоте, вызванная сочетанием ряда неблагоприятных особенностей: значительным перетяжелением самолета против проектного веса, большой нагрузкой на крыло, вредной интерференцией входных и выходных от</w:t>
      </w:r>
      <w:r w:rsidRPr="00D03F3E">
        <w:rPr>
          <w:rFonts w:ascii="Times New Roman" w:hAnsi="Times New Roman"/>
          <w:color w:val="000000" w:themeColor="text1"/>
          <w:sz w:val="16"/>
          <w:szCs w:val="16"/>
        </w:rPr>
        <w:softHyphen/>
        <w:t>верстий туннелей водо и маслорадиатора, недостаточным ^зализом между крылом и фюзелаяем, низким Су макс. крыла самолета. Каждая из этих особенностей в отдельности не могла явиться причиной катастрофы, сумма же их привела к гибели летчика и самолета в первом полете.</w:t>
      </w:r>
    </w:p>
    <w:p w14:paraId="4BCE084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 результате плохой аэродинамики самолета даже такой опытный летчик как тов.Никашин, не смог удержать машину от потери скорости и сваливания на крыло.</w:t>
      </w:r>
    </w:p>
    <w:p w14:paraId="3A214C1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Ввиду исключительной кратковременности полета (2-3 мин.) у летчика не было времени принять решение для облегчения дальнейшего полета (например, убрать шасси и садить</w:t>
      </w:r>
      <w:r w:rsidRPr="00D03F3E">
        <w:rPr>
          <w:rFonts w:ascii="Times New Roman" w:hAnsi="Times New Roman"/>
          <w:color w:val="000000" w:themeColor="text1"/>
          <w:sz w:val="16"/>
          <w:szCs w:val="16"/>
        </w:rPr>
        <w:softHyphen/>
        <w:t>ся на живот).</w:t>
      </w:r>
    </w:p>
    <w:p w14:paraId="2A71BBB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Так как подобные дефекты не могут быть оценены в результате осмотра самолета, даже опытными специалиста</w:t>
      </w:r>
      <w:r w:rsidRPr="00D03F3E">
        <w:rPr>
          <w:rFonts w:ascii="Times New Roman" w:hAnsi="Times New Roman"/>
          <w:color w:val="000000" w:themeColor="text1"/>
          <w:sz w:val="16"/>
          <w:szCs w:val="16"/>
        </w:rPr>
        <w:softHyphen/>
        <w:t>ми, то для предотвращения аналогичных катастроф в будущем необходимо новые самолеты, имеющие отклонения от обще</w:t>
      </w:r>
      <w:r w:rsidRPr="00D03F3E">
        <w:rPr>
          <w:rFonts w:ascii="Times New Roman" w:hAnsi="Times New Roman"/>
          <w:color w:val="000000" w:themeColor="text1"/>
          <w:sz w:val="16"/>
          <w:szCs w:val="16"/>
        </w:rPr>
        <w:softHyphen/>
        <w:t>принятой аэродинамической схемы, до первого полета подвер</w:t>
      </w:r>
      <w:r w:rsidRPr="00D03F3E">
        <w:rPr>
          <w:rFonts w:ascii="Times New Roman" w:hAnsi="Times New Roman"/>
          <w:color w:val="000000" w:themeColor="text1"/>
          <w:sz w:val="16"/>
          <w:szCs w:val="16"/>
        </w:rPr>
        <w:softHyphen/>
        <w:t>гать всестороннему исследованию в натурной аэродинамической трубе ЦАГИ.</w:t>
      </w:r>
    </w:p>
    <w:p w14:paraId="683B4AB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Среди подписавшихся под документом были, в частности, председатель аварийной комиссии заместитель начальника ЦАГИ, профессор Остославский, летчик-испытатель В.К.Коккинаки и начальник лаборатории ЛИИ М.Тайц (7686,5).</w:t>
      </w:r>
    </w:p>
    <w:p w14:paraId="45AF7779" w14:textId="77777777" w:rsidR="00531570" w:rsidRPr="00D03F3E" w:rsidRDefault="00531570" w:rsidP="00D03F3E">
      <w:pPr>
        <w:pStyle w:val="Iauiue"/>
        <w:jc w:val="both"/>
        <w:rPr>
          <w:color w:val="000000" w:themeColor="text1"/>
          <w:sz w:val="16"/>
          <w:szCs w:val="16"/>
        </w:rPr>
      </w:pPr>
    </w:p>
    <w:p w14:paraId="778740FC"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июня 1943 был составлен аварийный акт по Гу-1.</w:t>
      </w:r>
    </w:p>
    <w:p w14:paraId="1AD4F032"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него следует, что разбег происходил по бетонной дорожке в направлении от завода № 81 на северо-запад при силе 5-6 м/с.</w:t>
      </w:r>
    </w:p>
    <w:p w14:paraId="760F7053"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"Разбег протекал тяжело и производился с форсажем мотора и щитками, отклоненными на 10-12°. Пробежав около 800 м, летчик, достигнув пересечения взлетных полос, начал подрывать самолет. После взлета самолет несколько просел, а затем начал медленный набор высоты. Перетянув над лесом на границе аэродрома, летчик продолжал набирать высоту, однако не смог ее набрать.</w:t>
      </w:r>
    </w:p>
    <w:p w14:paraId="495508E7"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Через 2-3 минуты, будучи на траверзе центра Тушинского аэродрома, летчик начал с малым креном разворачиваться влево.</w:t>
      </w:r>
    </w:p>
    <w:p w14:paraId="5E435D5C"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 момента разворота высота полета была, по свидетельским показаниям, 50-150 м. Мотор работал нормально. Весь полет происходил при выпущенном шасси и отклоненных щитках.</w:t>
      </w:r>
    </w:p>
    <w:p w14:paraId="59616B49"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развороте самолет свалился на крыло. Летчик включил форсаж, пытаясь вырвать машину, однако она, сделав около витка штопора, врезалась в землю. Летчик при ударе самолета о землю был убит, а самолет полностью разрушен. Причина происшествия: все протекание полета (длинный разбег, тяжелый набор высоты, разворот без крена) свидетельствуют о низких летных качествах самолета.</w:t>
      </w:r>
    </w:p>
    <w:p w14:paraId="095DB9B2"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Анализ материалов по самолету конструкции Гудкова показал следующее: сравнительные данные самолетов Гудкова и "Аэрокобры" (фирмы "Белл") таковы:</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6518"/>
        <w:gridCol w:w="2402"/>
        <w:gridCol w:w="2402"/>
      </w:tblGrid>
      <w:tr w:rsidR="00860B4B" w:rsidRPr="00D03F3E" w14:paraId="1369DD1F" w14:textId="77777777" w:rsidTr="00807FA7">
        <w:trPr>
          <w:tblCellSpacing w:w="0" w:type="dxa"/>
        </w:trPr>
        <w:tc>
          <w:tcPr>
            <w:tcW w:w="285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6BA9A3E6"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w:t>
            </w:r>
          </w:p>
        </w:tc>
        <w:tc>
          <w:tcPr>
            <w:tcW w:w="105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66019E45"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Гу-1</w:t>
            </w:r>
          </w:p>
        </w:tc>
        <w:tc>
          <w:tcPr>
            <w:tcW w:w="1050" w:type="pct"/>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6721B6AC"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"Аэрокобра"</w:t>
            </w:r>
          </w:p>
        </w:tc>
      </w:tr>
      <w:tr w:rsidR="00860B4B" w:rsidRPr="00D03F3E" w14:paraId="6555DA1D" w14:textId="77777777" w:rsidTr="00807FA7">
        <w:trPr>
          <w:tblCellSpacing w:w="0" w:type="dxa"/>
        </w:trPr>
        <w:tc>
          <w:tcPr>
            <w:tcW w:w="28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F54B2AB"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Нагрузка на крыло, кг/м²</w:t>
            </w:r>
          </w:p>
        </w:tc>
        <w:tc>
          <w:tcPr>
            <w:tcW w:w="10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F57441B"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203</w:t>
            </w:r>
          </w:p>
        </w:tc>
        <w:tc>
          <w:tcPr>
            <w:tcW w:w="10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1DC8E8E"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w:t>
            </w:r>
          </w:p>
        </w:tc>
      </w:tr>
      <w:tr w:rsidR="00860B4B" w:rsidRPr="00D03F3E" w14:paraId="31216D88" w14:textId="77777777" w:rsidTr="00807FA7">
        <w:trPr>
          <w:tblCellSpacing w:w="0" w:type="dxa"/>
        </w:trPr>
        <w:tc>
          <w:tcPr>
            <w:tcW w:w="28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99D8665"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Нагрузка на мощность (на форсаже), кг/л.с.</w:t>
            </w:r>
          </w:p>
        </w:tc>
        <w:tc>
          <w:tcPr>
            <w:tcW w:w="10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B398DD6"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3,21</w:t>
            </w:r>
          </w:p>
        </w:tc>
        <w:tc>
          <w:tcPr>
            <w:tcW w:w="10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A03069D"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3,09</w:t>
            </w:r>
          </w:p>
        </w:tc>
      </w:tr>
      <w:tr w:rsidR="00860B4B" w:rsidRPr="00D03F3E" w14:paraId="039FB473" w14:textId="77777777" w:rsidTr="00807FA7">
        <w:trPr>
          <w:tblCellSpacing w:w="0" w:type="dxa"/>
        </w:trPr>
        <w:tc>
          <w:tcPr>
            <w:tcW w:w="28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A73D298"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коэффициент подъемной силы</w:t>
            </w:r>
          </w:p>
        </w:tc>
        <w:tc>
          <w:tcPr>
            <w:tcW w:w="10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8630967"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0,95</w:t>
            </w:r>
          </w:p>
        </w:tc>
        <w:tc>
          <w:tcPr>
            <w:tcW w:w="10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A6C9BBF"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r>
    </w:tbl>
    <w:p w14:paraId="20DA4CE3"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самолет конструкции Гудкова гораздо более напряжен аэродинамически, чем "Аэрокобра": при значительно меньшем коэффициенте подъемной силы самолет конструкции Гудкова имеет большую нагрузку на крыло и несколько большую нагрузку на мощность двигателя.</w:t>
      </w:r>
    </w:p>
    <w:p w14:paraId="71C46146"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этому надо добавить, что в отличие от "Аэрокобры" на самолете конструкции Гудкова маслорадиатор расположен в борту фюзеляжа над крылом и вход в водорадиатор развит в длину и занимает весь центроплан, а выход расположен на верхней поверхности крыла вблизи стенки фюзеляжа.</w:t>
      </w:r>
    </w:p>
    <w:p w14:paraId="15D4BF35"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Входное отверстие туннеля водорадиатора, расположенное в передней кромке центроплана и начинающееся непосредственно от стенки фюзеляжа, искажало форму носка всей средней части крыла. Зализ между фюзеляжем и крылом был недостаточен и не устранял вредный диффузорный дефект.</w:t>
      </w:r>
    </w:p>
    <w:p w14:paraId="1DB802A3"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Отсутствие части куполов шасси и замена их полотняным чехлом точно также могли явиться причиной дополнительного ухудшения аэродинамики, так как в полете полотно могло оторваться.</w:t>
      </w:r>
    </w:p>
    <w:p w14:paraId="3749EB67"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Каждая из этих особенностей, достаточно неприятная, но не опасная в отдельности, складываясь с остальными особенностями, в сумме и привела к катастрофе.</w:t>
      </w:r>
    </w:p>
    <w:p w14:paraId="29D88D22"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Крыло самолета оказалось как бы аэродинамически разрезанным пополам, в результате чего удлинение крыла уменьшилось примерно вдвое и резко возросло лобовое сопротивление...</w:t>
      </w:r>
    </w:p>
    <w:p w14:paraId="73AB2C76"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на основании изучения обстановки полета и анализа материалов можно констатировать:</w:t>
      </w:r>
    </w:p>
    <w:p w14:paraId="08D5A647"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Катастрофа явилась результатом потери скорости при попытке разворота с малым креном на малой высоте.</w:t>
      </w:r>
    </w:p>
    <w:p w14:paraId="0758AB91"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Причиной катастрофы явились низкие летные данные самолета, в результате чего весь полет протекал на больших углах атаки, близких к критическому.</w:t>
      </w:r>
    </w:p>
    <w:p w14:paraId="6FBA8EDF"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Низкие летные данные самолета были, по-видимому, обусловлены большой вредной интерференцией крыла, фюзеляжа, входных и выходных отверстий туннелей водо- и маслорадиаторов; большим полетным весом самолета и большой нагрузкой на крыло в сочетании с малым коэффициентом подъемной силы крыла и чувствительностью его профиля к надстройкам.</w:t>
      </w:r>
    </w:p>
    <w:p w14:paraId="6307FFDD"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Главный конструктор самолета тов. Гудков недостаточно внимательно отнесся к аэродинамической компоновке самолета и допустил при этом ошибки.</w:t>
      </w:r>
    </w:p>
    <w:p w14:paraId="44EFAF0E"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Модель самолета, предъявленная тов. Гудковым ЦАГИ, не имела туннелей радиаторов; профиль центральной части, таким образом, не был искажен и поэтому на основании продувок катастрофический характер поляры не мог быть обнаружен...</w:t>
      </w:r>
    </w:p>
    <w:p w14:paraId="3A1B89E6"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 как подобные дефекты не могут быть оценены в результате осмотра самолета даже опытными специалистами, то для предотвращения аналогичных катастроф в будущем необходимо новые самолеты, имеющие отклонения от общепринятой аэродинамической схемы, до первого полета подвергать всестороннему исследованию в натурной аэродинамической трубе ЦАГИ."</w:t>
      </w:r>
    </w:p>
    <w:p w14:paraId="4D85FFEA"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Среди подписавшихся под документом были, в частности, председатель аварийной комиссии заместитель начальника ЦАГИ, профессор Остославский, летчик-испытатель В.К.Коккинаки и начальник лаборатории ЛИИ М.Тайц.</w:t>
      </w:r>
    </w:p>
    <w:p w14:paraId="28B7992A"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этого документа следует, что во время подлетов для отрыва машины от ВПП требовалоссь около 500 м, а в день полета - 800 м. Разница солидная. Учитывая неизменный вес машины, можно предположить, что силовая установка развивала недостаточную тягу. А это могло произойти лишь из-за малого угла установки лопастей винта. В противном случае снизить тягу могла лишь "африканская жара", но не настолько, чтобы удлинить разбег в полтора раза (15558).</w:t>
      </w:r>
    </w:p>
    <w:p w14:paraId="267B9BFA"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гибели Никашина нарком Шахурин сообщил Сталину о происшествии и предложил лишить Гудкова звания "Главного конструктора второй степени", запретить ему заниматься конструкторской деятельностью, а личный состав его КБ передать Лавочкину. Получив "добро" генсека, Шахурин в последовавшем приказе НКАП, в частности, отмечал:</w:t>
      </w:r>
    </w:p>
    <w:p w14:paraId="6F1B96BE"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заключению аварийной комиссии, катастрофа произошла из-за низких летных качеств самолета, получившихся вследствие плохой компоновки и ряда конструкторских ошибок, например, перетяжеления на 1000 кг, которое свидетельствует о низкой квалификации конструктора.</w:t>
      </w:r>
    </w:p>
    <w:p w14:paraId="1072D776"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Считая, что т. Гудков М.И. этой работой выявил свою несостоятельность, как конструктор, ПРИКАЗЫВАЮ:</w:t>
      </w:r>
    </w:p>
    <w:p w14:paraId="20C074A7"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Лишить Гудкова М.И. звания Главного конструктора 2-й степени и запретить ему заниматься самостоятельной конструкторской работой.</w:t>
      </w:r>
    </w:p>
    <w:p w14:paraId="1247F9A5"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Личный состав ОКБ т. Гудкова М.И. перевести в ОКБ Лавочкина.</w:t>
      </w:r>
    </w:p>
    <w:p w14:paraId="6E40F3A6"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Назначить т. Гудкова М.И. заместителем начальника ОТК завода № 84."</w:t>
      </w:r>
    </w:p>
    <w:p w14:paraId="4CD016CC"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Уже после "суда" над Гудковым, Шахурин поручил начальнику ЛИИ дать оценку самолету Гу-1. В своем докладе Чесалов сообщал:</w:t>
      </w:r>
    </w:p>
    <w:p w14:paraId="660774BC"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...Рассмотрение материалов (расчетных, результатов продувок моделей и результатов работы аварийной комиссии. - Прим. авт.) позволяет отметить два основных крупных дефекта конструкции этого самолета:</w:t>
      </w:r>
    </w:p>
    <w:p w14:paraId="47164E53"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Неудачная в аэродинамическом отношении компоновка моторного оборудования вызвала сильную вредную интерференцию, из-за чего резко ухудшились летные свойства самолета по сравнению с проектными наметками по результатам испытаний гладкой модели.</w:t>
      </w:r>
    </w:p>
    <w:p w14:paraId="3DC7B3EC"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Исключительно большое перетяжеление истребителя (около тонны) против запроектированного конструктором веса. Дефекты конструктивной компоновки выразились в следующем: значительная часть центроплана вблизи фюзеляжа испорчена большими вырезами в передней части профиля для туннеля водорадиатора; выход из туннеля водорадиатора осуществлен на верхней поверхности крыла вблизи фюзеляжа; заборник туннеля маслорадиатора размещен вблизи сопряжения центроплана с фюзеляжем; зализ в сопряжении задней верхней части центроплана с фюзеляжем, по-видимому, недостаточен для такой компоновки охлаждения.</w:t>
      </w:r>
    </w:p>
    <w:p w14:paraId="314E428C"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Вышеуказанные дефекты в несколько иной форме и масштабе встречаются и на ряде других самолетов, но на них ухудшение летных свойств почти не заметно. Например, вырезы в передней кромке профиля и выход воздуха из радиатора по верхней поверхности крыла осуществлены на самолетах Пе-2, "103", Су-2, Су-3 и новом истребителе т.Микояна.</w:t>
      </w:r>
    </w:p>
    <w:p w14:paraId="225BB839"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Конструктивная компоновка охлаждения в указанных случаях не вызвала вредной интерференции. Этого удалось достичь, благодаря большому опыту и квалификации конструкторов, а в ряде случаев, благодаря специальной отработке этих вопросов в лабораторных условиях (Пе-2 и самолет "103").</w:t>
      </w:r>
    </w:p>
    <w:p w14:paraId="33B7217F"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Помимо относительных вырезов в крыле в таких случаях необходимо учитывать и свойства профиля крыла. Скоростной профиль (..) 1-В-10, выбранный т.Гудковым, по-видимому, особенно чувствителен к разного рода надстройкам и вырезам и требует осторожного подхода. Несмотря на это, при другой конструктивной компоновке охладительных устройств даже при этом профиле можно было бы избежать столь сильной вредной интерференции и сохранить аэродинамические свойства самолета т.Гудкова на уровне полученных при продувке гладкой (без вырезов) модели.</w:t>
      </w:r>
    </w:p>
    <w:p w14:paraId="138CE739"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если учесть перетяжеление самолета и в расчетные данные конструктора, опирающиеся на продувки гладкой (...) модели и, следовательно, являющиеся идеализированными, внести поправки только на вес, то летные характеристики этого самолета, как опытного, следует признать далеко не блестящими.</w:t>
      </w:r>
    </w:p>
    <w:p w14:paraId="1F8F2045"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нижеследующей таблице приведены основные расчетные характеристики самолета по данным КБ тов. Гудкова для веса 4200 кг и те же характеристики, пересчитанные на вес 4600 кг (реальный вес этого самолета более 4600 кг).</w:t>
      </w:r>
    </w:p>
    <w:p w14:paraId="50D5B123"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ХАРАКТЕРИСТИКИ САМОЛЕТА</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5195"/>
        <w:gridCol w:w="2938"/>
        <w:gridCol w:w="3189"/>
      </w:tblGrid>
      <w:tr w:rsidR="00860B4B" w:rsidRPr="00D03F3E" w14:paraId="7C8C7FA6" w14:textId="77777777" w:rsidTr="00807FA7">
        <w:trPr>
          <w:tblCellSpacing w:w="0" w:type="dxa"/>
        </w:trPr>
        <w:tc>
          <w:tcPr>
            <w:tcW w:w="4350" w:type="dxa"/>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30F95CCA"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w:t>
            </w:r>
          </w:p>
        </w:tc>
        <w:tc>
          <w:tcPr>
            <w:tcW w:w="2460" w:type="dxa"/>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69697963"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данным КБ Вес 4600 кг</w:t>
            </w:r>
          </w:p>
        </w:tc>
        <w:tc>
          <w:tcPr>
            <w:tcW w:w="2445" w:type="dxa"/>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0E62BA29"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4200 кг)</w:t>
            </w:r>
          </w:p>
        </w:tc>
      </w:tr>
      <w:tr w:rsidR="00860B4B" w:rsidRPr="00D03F3E" w14:paraId="589AAD90" w14:textId="77777777" w:rsidTr="00807FA7">
        <w:trPr>
          <w:tblCellSpacing w:w="0" w:type="dxa"/>
        </w:trPr>
        <w:tc>
          <w:tcPr>
            <w:tcW w:w="9480" w:type="dxa"/>
            <w:gridSpan w:val="3"/>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509EB75"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скорость, км/ч</w:t>
            </w:r>
          </w:p>
        </w:tc>
      </w:tr>
      <w:tr w:rsidR="00860B4B" w:rsidRPr="00D03F3E" w14:paraId="7B987620" w14:textId="77777777" w:rsidTr="00807FA7">
        <w:trPr>
          <w:tblCellSpacing w:w="0" w:type="dxa"/>
        </w:trPr>
        <w:tc>
          <w:tcPr>
            <w:tcW w:w="4350" w:type="dxa"/>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10140C8"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земли</w:t>
            </w:r>
          </w:p>
        </w:tc>
        <w:tc>
          <w:tcPr>
            <w:tcW w:w="2460" w:type="dxa"/>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81F1FD5"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524</w:t>
            </w:r>
          </w:p>
        </w:tc>
        <w:tc>
          <w:tcPr>
            <w:tcW w:w="2445" w:type="dxa"/>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D150CCB"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518</w:t>
            </w:r>
          </w:p>
        </w:tc>
      </w:tr>
      <w:tr w:rsidR="00860B4B" w:rsidRPr="00D03F3E" w14:paraId="56D875EC" w14:textId="77777777" w:rsidTr="00807FA7">
        <w:trPr>
          <w:tblCellSpacing w:w="0" w:type="dxa"/>
        </w:trPr>
        <w:tc>
          <w:tcPr>
            <w:tcW w:w="4350" w:type="dxa"/>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2F8942D"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высоте 7500 м</w:t>
            </w:r>
          </w:p>
        </w:tc>
        <w:tc>
          <w:tcPr>
            <w:tcW w:w="2460" w:type="dxa"/>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5594137"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680</w:t>
            </w:r>
          </w:p>
        </w:tc>
        <w:tc>
          <w:tcPr>
            <w:tcW w:w="2445" w:type="dxa"/>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C279DAB"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674</w:t>
            </w:r>
          </w:p>
        </w:tc>
      </w:tr>
      <w:tr w:rsidR="00860B4B" w:rsidRPr="00D03F3E" w14:paraId="0C35D17B" w14:textId="77777777" w:rsidTr="00807FA7">
        <w:trPr>
          <w:tblCellSpacing w:w="0" w:type="dxa"/>
        </w:trPr>
        <w:tc>
          <w:tcPr>
            <w:tcW w:w="4350" w:type="dxa"/>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930BF8B"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высоты 5000 м, мин.</w:t>
            </w:r>
          </w:p>
        </w:tc>
        <w:tc>
          <w:tcPr>
            <w:tcW w:w="2460" w:type="dxa"/>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E31050B"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w:t>
            </w:r>
          </w:p>
        </w:tc>
        <w:tc>
          <w:tcPr>
            <w:tcW w:w="2445" w:type="dxa"/>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99B771F"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w:t>
            </w:r>
          </w:p>
        </w:tc>
      </w:tr>
      <w:tr w:rsidR="00860B4B" w:rsidRPr="00D03F3E" w14:paraId="0A582F0E" w14:textId="77777777" w:rsidTr="00807FA7">
        <w:trPr>
          <w:tblCellSpacing w:w="0" w:type="dxa"/>
        </w:trPr>
        <w:tc>
          <w:tcPr>
            <w:tcW w:w="4350" w:type="dxa"/>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7B220C5"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виража, с</w:t>
            </w:r>
          </w:p>
        </w:tc>
        <w:tc>
          <w:tcPr>
            <w:tcW w:w="2460" w:type="dxa"/>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79FEB2C"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tc>
        <w:tc>
          <w:tcPr>
            <w:tcW w:w="2445" w:type="dxa"/>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D0DED5F"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tc>
      </w:tr>
      <w:tr w:rsidR="00860B4B" w:rsidRPr="00D03F3E" w14:paraId="7B1FAFA4" w14:textId="77777777" w:rsidTr="00807FA7">
        <w:trPr>
          <w:tblCellSpacing w:w="0" w:type="dxa"/>
        </w:trPr>
        <w:tc>
          <w:tcPr>
            <w:tcW w:w="4350" w:type="dxa"/>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411E1E2"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разбега, м</w:t>
            </w:r>
          </w:p>
        </w:tc>
        <w:tc>
          <w:tcPr>
            <w:tcW w:w="2460" w:type="dxa"/>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D1384F9"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2445" w:type="dxa"/>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0E137A0"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&gt;850</w:t>
            </w:r>
          </w:p>
        </w:tc>
      </w:tr>
    </w:tbl>
    <w:p w14:paraId="09A22177"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Таблица показывает, что в части максимальной скорости у земли, времени виража, времени подъема на 5000 м и длины разбега самолет тов. Гудкова уступает нашим серийным истребителям. Снижение полетного веса этого самолета весьма затруднительно, так как ряд основных частей самолета (например, крыло) не имеют нужного запаса прочности даже при весе 4200 кг.</w:t>
      </w:r>
    </w:p>
    <w:p w14:paraId="2BEA8183" w14:textId="77777777" w:rsidR="0000301D" w:rsidRPr="00D03F3E" w:rsidRDefault="0000301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Принимая во внимание вышеизложенное, считаю, что самолет-истребитель конструкции тов.Гудкова типа "Аэрокобра" никакого практического интереса для нашей авиации не представляет." (15558).</w:t>
      </w:r>
    </w:p>
    <w:p w14:paraId="5E7749AB" w14:textId="77777777" w:rsidR="0000301D" w:rsidRPr="00D03F3E" w:rsidRDefault="0000301D" w:rsidP="00D03F3E">
      <w:pPr>
        <w:spacing w:after="0" w:line="240" w:lineRule="auto"/>
        <w:jc w:val="both"/>
        <w:rPr>
          <w:rFonts w:ascii="Times New Roman" w:hAnsi="Times New Roman"/>
          <w:color w:val="000000" w:themeColor="text1"/>
          <w:sz w:val="16"/>
          <w:szCs w:val="16"/>
        </w:rPr>
      </w:pPr>
    </w:p>
    <w:p w14:paraId="2151FF1D" w14:textId="77777777" w:rsidR="003552A9" w:rsidRPr="00D03F3E" w:rsidRDefault="003552A9"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июня 1943 Ви по самолету Фоменко писал справку:</w:t>
      </w:r>
    </w:p>
    <w:p w14:paraId="61B4B4C7" w14:textId="77777777" w:rsidR="003552A9" w:rsidRPr="00D03F3E" w:rsidRDefault="003552A9"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Назначение испытаний самолета Гу-1</w:t>
      </w:r>
    </w:p>
    <w:p w14:paraId="6C882DCD" w14:textId="77777777" w:rsidR="003552A9" w:rsidRPr="00D03F3E" w:rsidRDefault="003552A9"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18.Ш.43 г. Первая рулежка и общее ознакомление с самолетом, до скоро</w:t>
      </w:r>
      <w:r w:rsidRPr="00D03F3E">
        <w:rPr>
          <w:rFonts w:ascii="Times New Roman" w:hAnsi="Times New Roman"/>
          <w:color w:val="000000" w:themeColor="text1"/>
          <w:sz w:val="16"/>
          <w:szCs w:val="16"/>
        </w:rPr>
        <w:softHyphen/>
        <w:t>сти 120-140 км/час.</w:t>
      </w:r>
    </w:p>
    <w:p w14:paraId="3F5206D0" w14:textId="77777777" w:rsidR="003552A9" w:rsidRPr="00D03F3E" w:rsidRDefault="003552A9"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Замечания летчика:</w:t>
      </w:r>
    </w:p>
    <w:p w14:paraId="48DC1E6C" w14:textId="77777777" w:rsidR="003552A9" w:rsidRPr="00D03F3E" w:rsidRDefault="003552A9"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Машин на разбеже уводит вправо, но достаточного легкого торможения левого колеса и отклонения руля направления на 12-15° влево, что бы самолет шел по прямой.</w:t>
      </w:r>
    </w:p>
    <w:p w14:paraId="3F87EC4D" w14:textId="77777777" w:rsidR="003552A9" w:rsidRPr="00D03F3E" w:rsidRDefault="003552A9"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Некоторое давление на ручку.</w:t>
      </w:r>
    </w:p>
    <w:p w14:paraId="5C81225C" w14:textId="77777777" w:rsidR="003552A9" w:rsidRPr="00D03F3E" w:rsidRDefault="003552A9"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8.Ш.43 г. повторная рулежака. Замечания по самолету те же. Замечаний по работе винто-моторнойгруппы нет. Те:мпературные режимы мотора нормальные.</w:t>
      </w:r>
    </w:p>
    <w:p w14:paraId="610FFBD6" w14:textId="77777777" w:rsidR="003552A9" w:rsidRPr="00D03F3E" w:rsidRDefault="003552A9"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13.1У.43 г. третья рулежка. Демпфером передней ноги смещено стояночное положение переднего колеса - влево на 10-12 гр. Замечания летчика теже - самолет уводит влево.</w:t>
      </w:r>
    </w:p>
    <w:p w14:paraId="3D3D2778" w14:textId="77777777" w:rsidR="003552A9" w:rsidRPr="00D03F3E" w:rsidRDefault="003552A9"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21.1У.43 г. рулежка с подлетом до взлетной скорости 220 км./час на Н-0,1. - 0,12. Определение дистанции разбега до отрьва от земли. Дистанция установлена 550-570 мт. Вес самолета 4350 кг. Работа винто-моторной группы нормальная. Температурные режимы мотора нормальные. Масло до 95° вода до 110°.</w:t>
      </w:r>
    </w:p>
    <w:p w14:paraId="6E20018E" w14:textId="77777777" w:rsidR="003552A9" w:rsidRPr="00D03F3E" w:rsidRDefault="003552A9"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Летчиком подобрано положение триммера рулей глубины на 5-6 гр.</w:t>
      </w:r>
    </w:p>
    <w:p w14:paraId="5CE8920E" w14:textId="77777777" w:rsidR="003552A9" w:rsidRPr="00D03F3E" w:rsidRDefault="003552A9"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29.У.43 г. рулежка пятая. Рулежка с опущенными щитками на 15 гр. Подлет до 0,2 мт. с заклеенными полотном местами колес, взамен металжического купола.</w:t>
      </w:r>
    </w:p>
    <w:p w14:paraId="61380B76" w14:textId="77777777" w:rsidR="003552A9" w:rsidRPr="00D03F3E" w:rsidRDefault="003552A9"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10.У1.43 г. рулежка шестая. Рулежка с подлетом до 0,2 мт. с опущенными щитками 10°. Вес самолета 4330 кг. Триммер рулей глубины 4.5-5°. Замечаний лет</w:t>
      </w:r>
      <w:r w:rsidRPr="00D03F3E">
        <w:rPr>
          <w:rFonts w:ascii="Times New Roman" w:hAnsi="Times New Roman"/>
          <w:color w:val="000000" w:themeColor="text1"/>
          <w:sz w:val="16"/>
          <w:szCs w:val="16"/>
        </w:rPr>
        <w:softHyphen/>
        <w:t>чика по работе винто-моторной группе нет. Шасси полностью отработано на уборку. Произведено 30 под"емов и выпусков шасси. Щитки отработаны на синхронность работы. Машина признана летчиком совершенно подготовленной к первому вылету.</w:t>
      </w:r>
    </w:p>
    <w:p w14:paraId="3E1C88AE" w14:textId="77777777" w:rsidR="003552A9" w:rsidRPr="00D03F3E" w:rsidRDefault="003552A9"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12.У1.43 г. Первый полет. В 14 час. 15 мин. на старте летчиком опробован мотор на форсаж. По его просьбе увеличено давление бзнзина на форсаже с 0,27 до 0,31. Повторное опробования мотора - претензий со стороны летчика по винто-моторной группе не было.</w:t>
      </w:r>
    </w:p>
    <w:p w14:paraId="67B45ABE" w14:textId="77777777" w:rsidR="003552A9" w:rsidRPr="00D03F3E" w:rsidRDefault="003552A9"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выпущен в первый полет, при весе 4530 кг. с центровкой 25,59% САХ. Щитки выпущены на 10°, предкрылки незаклинены, совки водорадиаторов открыты на 12°, совки масло-радиатора открыты на 12 гр. (1458,152).</w:t>
      </w:r>
    </w:p>
    <w:p w14:paraId="0D0A1B92" w14:textId="77777777" w:rsidR="003552A9" w:rsidRPr="00D03F3E" w:rsidRDefault="003552A9" w:rsidP="00D03F3E">
      <w:pPr>
        <w:shd w:val="clear" w:color="auto" w:fill="FFFFFF"/>
        <w:spacing w:after="0" w:line="240" w:lineRule="auto"/>
        <w:jc w:val="both"/>
        <w:rPr>
          <w:rFonts w:ascii="Times New Roman" w:hAnsi="Times New Roman"/>
          <w:color w:val="000000" w:themeColor="text1"/>
          <w:sz w:val="16"/>
          <w:szCs w:val="16"/>
        </w:rPr>
      </w:pPr>
    </w:p>
    <w:p w14:paraId="57D05CC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14 по 28 июня 1943 проходили статиспытания самолета Костикова и не были закончены из-за преждевременного разрушения носовой части фюзеляжа (1783,107).</w:t>
      </w:r>
    </w:p>
    <w:p w14:paraId="6F83DC43" w14:textId="77777777" w:rsidR="00531570" w:rsidRPr="00D03F3E" w:rsidRDefault="00531570" w:rsidP="00D03F3E">
      <w:pPr>
        <w:pStyle w:val="Iauiue"/>
        <w:jc w:val="both"/>
        <w:rPr>
          <w:color w:val="000000" w:themeColor="text1"/>
          <w:sz w:val="16"/>
          <w:szCs w:val="16"/>
        </w:rPr>
      </w:pPr>
    </w:p>
    <w:p w14:paraId="30A5E95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C 14 июня по 6 июля 1943 Ю.А.Антипов испытывал в НИИ ВВС Fw 190F-4, захваченный 13 января 1943 на Ладоге (2466,148).</w:t>
      </w:r>
    </w:p>
    <w:p w14:paraId="67F61B01" w14:textId="77777777" w:rsidR="00531570" w:rsidRPr="00D03F3E" w:rsidRDefault="00531570" w:rsidP="00D03F3E">
      <w:pPr>
        <w:pStyle w:val="Iauiue"/>
        <w:jc w:val="both"/>
        <w:rPr>
          <w:color w:val="000000" w:themeColor="text1"/>
          <w:sz w:val="16"/>
          <w:szCs w:val="16"/>
        </w:rPr>
      </w:pPr>
    </w:p>
    <w:p w14:paraId="6776D21F"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5467EA85" w14:textId="77777777" w:rsidR="00531570" w:rsidRPr="00D03F3E" w:rsidRDefault="00531570" w:rsidP="00D03F3E">
      <w:pPr>
        <w:pStyle w:val="Iauiue"/>
        <w:jc w:val="both"/>
        <w:rPr>
          <w:iCs/>
          <w:color w:val="000000" w:themeColor="text1"/>
          <w:sz w:val="16"/>
          <w:szCs w:val="16"/>
        </w:rPr>
      </w:pPr>
    </w:p>
    <w:p w14:paraId="319CC27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июня 1943 вышло Распоряжение ГКО № 3574. Об изготовлении и испытании прибора управления торпедной стрельбой "Трап" для подводных лодок.РГАНИР, Фонд ГКО, д. 126, лл. 3 (11012).</w:t>
      </w:r>
    </w:p>
    <w:p w14:paraId="65DC1F86"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8B2338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июня 1943 вышло Постановление ГКО № 3575 Об организации производства 7,62 мм станкового пулемета Горюнова на заводе № 2 Наркомвооружения.РГАНИР, Фонд ГКО, д. 126, лл. 4-7, 8-12 (11012).</w:t>
      </w:r>
    </w:p>
    <w:p w14:paraId="7770297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4F4CA5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14 июня 1943 г. в соответствии с пост. ГКО № 3575 на заводе ИНЗ-2 (Инструментальный завод № 2 (ИНЗ-2) им. К.О. Киркиж ВСНХ, НКТП, Ковровский пулеметный завод ГУВП ВСНХ, ГС завод № 2 им. К.О. Киркиж НКОП, ГС Ордена Ленина и ордена Трудового Красного Знамени завод № 2 им. К.О. Киркижа НКВ, Завод № 2 им. В.А. Дегтярева </w:t>
      </w:r>
      <w:r w:rsidRPr="00D03F3E">
        <w:rPr>
          <w:rFonts w:ascii="Times New Roman" w:hAnsi="Times New Roman"/>
          <w:color w:val="000000" w:themeColor="text1"/>
          <w:sz w:val="16"/>
          <w:szCs w:val="16"/>
          <w:lang w:val="en-US"/>
        </w:rPr>
        <w:t>MB</w:t>
      </w:r>
      <w:r w:rsidRPr="00D03F3E">
        <w:rPr>
          <w:rFonts w:ascii="Times New Roman" w:hAnsi="Times New Roman"/>
          <w:color w:val="000000" w:themeColor="text1"/>
          <w:sz w:val="16"/>
          <w:szCs w:val="16"/>
        </w:rPr>
        <w:t>, А-7393, ПО, ГП, АООТ, ОАО «Завод им. В.А. Дегтярева» (ЗиД) /г. Ковров Нижегородской ж/д/ /601900 г. Ковров Владимирской обл. ул. Труда, 4 тел. 303-89, 326-90) организовано производство станкового пулемета Горюнова (11982).</w:t>
      </w:r>
    </w:p>
    <w:p w14:paraId="5E0390A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9D1F63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июня 1943г. была подготовлена ВЕДОМОСТЬ НАЛИЧИЯ И ТЕХНИЧЕСКОГО СОСТОЯНИЯ ТАНКОВ РЕЗЕРВА ГБТУ КА ПО СОСТОЯНИЮ НА 1 ИЮНЯ 1943 г. № 1152066</w:t>
      </w:r>
    </w:p>
    <w:tbl>
      <w:tblPr>
        <w:tblW w:w="0" w:type="auto"/>
        <w:tblInd w:w="40" w:type="dxa"/>
        <w:tblLayout w:type="fixed"/>
        <w:tblCellMar>
          <w:left w:w="40" w:type="dxa"/>
          <w:right w:w="40" w:type="dxa"/>
        </w:tblCellMar>
        <w:tblLook w:val="0000" w:firstRow="0" w:lastRow="0" w:firstColumn="0" w:lastColumn="0" w:noHBand="0" w:noVBand="0"/>
      </w:tblPr>
      <w:tblGrid>
        <w:gridCol w:w="851"/>
        <w:gridCol w:w="2835"/>
        <w:gridCol w:w="850"/>
        <w:gridCol w:w="993"/>
        <w:gridCol w:w="1134"/>
        <w:gridCol w:w="1275"/>
        <w:gridCol w:w="1418"/>
      </w:tblGrid>
      <w:tr w:rsidR="00860B4B" w:rsidRPr="00D03F3E" w14:paraId="7DF9EEA1" w14:textId="77777777">
        <w:trPr>
          <w:trHeight w:val="221"/>
        </w:trPr>
        <w:tc>
          <w:tcPr>
            <w:tcW w:w="851" w:type="dxa"/>
            <w:tcBorders>
              <w:top w:val="single" w:sz="6" w:space="0" w:color="auto"/>
              <w:left w:val="single" w:sz="6" w:space="0" w:color="auto"/>
              <w:bottom w:val="nil"/>
              <w:right w:val="single" w:sz="6" w:space="0" w:color="auto"/>
            </w:tcBorders>
          </w:tcPr>
          <w:p w14:paraId="16E0879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EBF326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nil"/>
              <w:right w:val="single" w:sz="6" w:space="0" w:color="auto"/>
            </w:tcBorders>
          </w:tcPr>
          <w:p w14:paraId="47FD853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Наименование танков и их состояние</w:t>
            </w:r>
          </w:p>
          <w:p w14:paraId="63ED5D9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nil"/>
              <w:right w:val="single" w:sz="6" w:space="0" w:color="auto"/>
            </w:tcBorders>
          </w:tcPr>
          <w:p w14:paraId="242D0B7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Состоит и учтено на 1 июня 1943 г.</w:t>
            </w:r>
          </w:p>
          <w:p w14:paraId="6F1D3C8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4820" w:type="dxa"/>
            <w:gridSpan w:val="4"/>
            <w:tcBorders>
              <w:top w:val="single" w:sz="6" w:space="0" w:color="auto"/>
              <w:left w:val="single" w:sz="6" w:space="0" w:color="auto"/>
              <w:bottom w:val="single" w:sz="6" w:space="0" w:color="auto"/>
              <w:right w:val="single" w:sz="6" w:space="0" w:color="auto"/>
            </w:tcBorders>
          </w:tcPr>
          <w:p w14:paraId="4FA8DE2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Соединения, отдельные части учреждения и заведения</w:t>
            </w:r>
          </w:p>
          <w:p w14:paraId="1C5EDAB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64395E78" w14:textId="77777777">
        <w:trPr>
          <w:trHeight w:val="374"/>
        </w:trPr>
        <w:tc>
          <w:tcPr>
            <w:tcW w:w="851" w:type="dxa"/>
            <w:tcBorders>
              <w:top w:val="nil"/>
              <w:left w:val="single" w:sz="6" w:space="0" w:color="auto"/>
              <w:bottom w:val="single" w:sz="6" w:space="0" w:color="auto"/>
              <w:right w:val="single" w:sz="6" w:space="0" w:color="auto"/>
            </w:tcBorders>
          </w:tcPr>
          <w:p w14:paraId="78448741"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805B0B0"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nil"/>
              <w:left w:val="single" w:sz="6" w:space="0" w:color="auto"/>
              <w:bottom w:val="single" w:sz="6" w:space="0" w:color="auto"/>
              <w:right w:val="single" w:sz="6" w:space="0" w:color="auto"/>
            </w:tcBorders>
          </w:tcPr>
          <w:p w14:paraId="0D58355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C023521"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850" w:type="dxa"/>
            <w:tcBorders>
              <w:top w:val="nil"/>
              <w:left w:val="single" w:sz="6" w:space="0" w:color="auto"/>
              <w:bottom w:val="single" w:sz="6" w:space="0" w:color="auto"/>
              <w:right w:val="single" w:sz="6" w:space="0" w:color="auto"/>
            </w:tcBorders>
          </w:tcPr>
          <w:p w14:paraId="4BBCD82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6BD2D9B"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28B5A3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Горьковск. отдел в/приемки</w:t>
            </w:r>
          </w:p>
          <w:p w14:paraId="770FDD3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6A5A75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Бакинский отдел в/приемки</w:t>
            </w:r>
          </w:p>
          <w:p w14:paraId="0C12CA0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47DDDC5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отд. уч. тан</w:t>
            </w:r>
            <w:r w:rsidRPr="00D03F3E">
              <w:rPr>
                <w:rFonts w:ascii="Times New Roman" w:hAnsi="Times New Roman"/>
                <w:color w:val="000000" w:themeColor="text1"/>
                <w:sz w:val="16"/>
                <w:szCs w:val="16"/>
              </w:rPr>
              <w:softHyphen/>
              <w:t>ков, полк</w:t>
            </w:r>
          </w:p>
          <w:p w14:paraId="255BC9D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D5BA9E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рем. завод №12</w:t>
            </w:r>
          </w:p>
          <w:p w14:paraId="5090F5F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551ED9D1" w14:textId="77777777">
        <w:trPr>
          <w:trHeight w:val="230"/>
        </w:trPr>
        <w:tc>
          <w:tcPr>
            <w:tcW w:w="851" w:type="dxa"/>
            <w:tcBorders>
              <w:top w:val="single" w:sz="6" w:space="0" w:color="auto"/>
              <w:left w:val="single" w:sz="6" w:space="0" w:color="auto"/>
              <w:bottom w:val="nil"/>
              <w:right w:val="single" w:sz="6" w:space="0" w:color="auto"/>
            </w:tcBorders>
          </w:tcPr>
          <w:p w14:paraId="07EA1BF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Танки Черчилль</w:t>
            </w:r>
          </w:p>
          <w:p w14:paraId="3B3F2AD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015C6E9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штату</w:t>
            </w:r>
          </w:p>
          <w:p w14:paraId="520AD4C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04915B7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76EB7A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D87555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BE1806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508108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16E5FA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1258A9C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E768A9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4AFA56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1689B6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0C8244BC" w14:textId="77777777">
        <w:trPr>
          <w:trHeight w:val="230"/>
        </w:trPr>
        <w:tc>
          <w:tcPr>
            <w:tcW w:w="851" w:type="dxa"/>
            <w:tcBorders>
              <w:top w:val="nil"/>
              <w:left w:val="single" w:sz="6" w:space="0" w:color="auto"/>
              <w:bottom w:val="nil"/>
              <w:right w:val="single" w:sz="6" w:space="0" w:color="auto"/>
            </w:tcBorders>
          </w:tcPr>
          <w:p w14:paraId="1B971CA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F3280C5"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1F82BA1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списку</w:t>
            </w:r>
          </w:p>
          <w:p w14:paraId="7529EAD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423BFF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4A88D3B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7E2F74B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7D9D6AC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B15DCC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0C2EC8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40F98A2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036DF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43A53E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CB2A57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24A48BF5" w14:textId="77777777">
        <w:trPr>
          <w:trHeight w:val="230"/>
        </w:trPr>
        <w:tc>
          <w:tcPr>
            <w:tcW w:w="851" w:type="dxa"/>
            <w:tcBorders>
              <w:top w:val="nil"/>
              <w:left w:val="single" w:sz="6" w:space="0" w:color="auto"/>
              <w:bottom w:val="nil"/>
              <w:right w:val="single" w:sz="6" w:space="0" w:color="auto"/>
            </w:tcBorders>
          </w:tcPr>
          <w:p w14:paraId="7C93A1D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6B54C4A"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343C84E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них</w:t>
            </w:r>
          </w:p>
          <w:p w14:paraId="10C4745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BAF9A7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AC6EE1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3CAA225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65F4EA1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FC4E61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FBCF97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4FBB521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604888C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9B521D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4E15C7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507DF3BD" w14:textId="77777777">
        <w:trPr>
          <w:trHeight w:val="422"/>
        </w:trPr>
        <w:tc>
          <w:tcPr>
            <w:tcW w:w="851" w:type="dxa"/>
            <w:tcBorders>
              <w:top w:val="nil"/>
              <w:left w:val="single" w:sz="6" w:space="0" w:color="auto"/>
              <w:bottom w:val="nil"/>
              <w:right w:val="single" w:sz="6" w:space="0" w:color="auto"/>
            </w:tcBorders>
          </w:tcPr>
          <w:p w14:paraId="579A0A3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B870CD7"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17046FA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исправных ( в том числе и требую</w:t>
            </w:r>
            <w:r w:rsidRPr="00D03F3E">
              <w:rPr>
                <w:rFonts w:ascii="Times New Roman" w:hAnsi="Times New Roman"/>
                <w:color w:val="000000" w:themeColor="text1"/>
                <w:sz w:val="16"/>
                <w:szCs w:val="16"/>
              </w:rPr>
              <w:softHyphen/>
              <w:t>щих текущ. ремонта)</w:t>
            </w:r>
          </w:p>
          <w:p w14:paraId="203CCB9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75C0D5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0179A5F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32E1C8C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p w14:paraId="1ADF78E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A2DB3F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65CA5A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7B4B3D2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07729E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68F3B7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FEA099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3BAD03BF" w14:textId="77777777">
        <w:trPr>
          <w:trHeight w:val="230"/>
        </w:trPr>
        <w:tc>
          <w:tcPr>
            <w:tcW w:w="851" w:type="dxa"/>
            <w:tcBorders>
              <w:top w:val="nil"/>
              <w:left w:val="single" w:sz="6" w:space="0" w:color="auto"/>
              <w:bottom w:val="single" w:sz="6" w:space="0" w:color="auto"/>
              <w:right w:val="single" w:sz="6" w:space="0" w:color="auto"/>
            </w:tcBorders>
          </w:tcPr>
          <w:p w14:paraId="0AFC8170"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3FE6F1F"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22F9AC0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Требующих средн. ремонта</w:t>
            </w:r>
          </w:p>
          <w:p w14:paraId="5F49C2D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BC394D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9317F1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AE5EC7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1ADCA9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3425E5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4294AA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0F22B55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19403C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660D69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C14F94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0F094086" w14:textId="77777777">
        <w:trPr>
          <w:trHeight w:val="230"/>
        </w:trPr>
        <w:tc>
          <w:tcPr>
            <w:tcW w:w="851" w:type="dxa"/>
            <w:tcBorders>
              <w:top w:val="single" w:sz="6" w:space="0" w:color="auto"/>
              <w:left w:val="single" w:sz="6" w:space="0" w:color="auto"/>
              <w:bottom w:val="nil"/>
              <w:right w:val="single" w:sz="6" w:space="0" w:color="auto"/>
            </w:tcBorders>
          </w:tcPr>
          <w:p w14:paraId="77758B2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Танки КВ</w:t>
            </w:r>
          </w:p>
          <w:p w14:paraId="73675B8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5F2F7BF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штату</w:t>
            </w:r>
          </w:p>
          <w:p w14:paraId="3BB4CEC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26CE29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63E575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60AA325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C5A569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0B821D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2F7FAD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1E5E147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A4412B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08DD4A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C233DD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46ACD1FD" w14:textId="77777777">
        <w:trPr>
          <w:trHeight w:val="230"/>
        </w:trPr>
        <w:tc>
          <w:tcPr>
            <w:tcW w:w="851" w:type="dxa"/>
            <w:tcBorders>
              <w:top w:val="nil"/>
              <w:left w:val="single" w:sz="6" w:space="0" w:color="auto"/>
              <w:bottom w:val="nil"/>
              <w:right w:val="single" w:sz="6" w:space="0" w:color="auto"/>
            </w:tcBorders>
          </w:tcPr>
          <w:p w14:paraId="70FD041B"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5937F30"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7683262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списку</w:t>
            </w:r>
          </w:p>
          <w:p w14:paraId="205CB96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042A19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p w14:paraId="373D84D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E1D9F9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X</w:t>
            </w:r>
          </w:p>
          <w:p w14:paraId="6180573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39FDB3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76AA745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043E553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6582BE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F99C9C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29DE0D3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189379FA" w14:textId="77777777">
        <w:trPr>
          <w:trHeight w:val="221"/>
        </w:trPr>
        <w:tc>
          <w:tcPr>
            <w:tcW w:w="851" w:type="dxa"/>
            <w:tcBorders>
              <w:top w:val="nil"/>
              <w:left w:val="single" w:sz="6" w:space="0" w:color="auto"/>
              <w:bottom w:val="nil"/>
              <w:right w:val="single" w:sz="6" w:space="0" w:color="auto"/>
            </w:tcBorders>
          </w:tcPr>
          <w:p w14:paraId="6F00B1C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8B1C59D"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26F6DE1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них</w:t>
            </w:r>
          </w:p>
          <w:p w14:paraId="67B3123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BCDA29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AE43F7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162CD2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666562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A735E3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6F23AF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65CD37E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0CE568E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7F698F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2A584D1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21647146" w14:textId="77777777">
        <w:trPr>
          <w:trHeight w:val="422"/>
        </w:trPr>
        <w:tc>
          <w:tcPr>
            <w:tcW w:w="851" w:type="dxa"/>
            <w:tcBorders>
              <w:top w:val="nil"/>
              <w:left w:val="single" w:sz="6" w:space="0" w:color="auto"/>
              <w:bottom w:val="nil"/>
              <w:right w:val="single" w:sz="6" w:space="0" w:color="auto"/>
            </w:tcBorders>
          </w:tcPr>
          <w:p w14:paraId="6CBB2BE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38F628D"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0EC4B95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Исправных (в том числе и требую</w:t>
            </w:r>
            <w:r w:rsidRPr="00D03F3E">
              <w:rPr>
                <w:rFonts w:ascii="Times New Roman" w:hAnsi="Times New Roman"/>
                <w:color w:val="000000" w:themeColor="text1"/>
                <w:sz w:val="16"/>
                <w:szCs w:val="16"/>
              </w:rPr>
              <w:softHyphen/>
              <w:t>щих текущ. ремонта)</w:t>
            </w:r>
          </w:p>
          <w:p w14:paraId="2C0699E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44A998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0CF0470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78E29F5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2908338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AADE1B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p w14:paraId="3BB9063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44314D6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273D3F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098941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876D20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37DD4336" w14:textId="77777777">
        <w:trPr>
          <w:trHeight w:val="240"/>
        </w:trPr>
        <w:tc>
          <w:tcPr>
            <w:tcW w:w="851" w:type="dxa"/>
            <w:tcBorders>
              <w:top w:val="nil"/>
              <w:left w:val="single" w:sz="6" w:space="0" w:color="auto"/>
              <w:bottom w:val="single" w:sz="6" w:space="0" w:color="auto"/>
              <w:right w:val="single" w:sz="6" w:space="0" w:color="auto"/>
            </w:tcBorders>
          </w:tcPr>
          <w:p w14:paraId="255A414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2871923"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63DC0D1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Требующих сред. Ремонта</w:t>
            </w:r>
          </w:p>
          <w:p w14:paraId="0BEFCA4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092F0CB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0/2</w:t>
            </w:r>
          </w:p>
          <w:p w14:paraId="6D07679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501D5AD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1333F2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60997F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918142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5BC92CC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FC697C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0B9282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0/2</w:t>
            </w:r>
          </w:p>
          <w:p w14:paraId="2A45190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2E006C04" w14:textId="77777777">
        <w:trPr>
          <w:trHeight w:val="221"/>
        </w:trPr>
        <w:tc>
          <w:tcPr>
            <w:tcW w:w="851" w:type="dxa"/>
            <w:tcBorders>
              <w:top w:val="single" w:sz="6" w:space="0" w:color="auto"/>
              <w:left w:val="single" w:sz="6" w:space="0" w:color="auto"/>
              <w:bottom w:val="nil"/>
              <w:right w:val="single" w:sz="6" w:space="0" w:color="auto"/>
            </w:tcBorders>
          </w:tcPr>
          <w:p w14:paraId="3E682E2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Танки М4А2</w:t>
            </w:r>
          </w:p>
          <w:p w14:paraId="3DBF8F9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78F3A21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штату</w:t>
            </w:r>
          </w:p>
          <w:p w14:paraId="359F16B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33373EC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970190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0C7D1F5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728723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5B1D25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1DF15D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5655C8D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40619D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9197EF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228458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434CEE66" w14:textId="77777777">
        <w:trPr>
          <w:trHeight w:val="230"/>
        </w:trPr>
        <w:tc>
          <w:tcPr>
            <w:tcW w:w="851" w:type="dxa"/>
            <w:tcBorders>
              <w:top w:val="nil"/>
              <w:left w:val="single" w:sz="6" w:space="0" w:color="auto"/>
              <w:bottom w:val="nil"/>
              <w:right w:val="single" w:sz="6" w:space="0" w:color="auto"/>
            </w:tcBorders>
          </w:tcPr>
          <w:p w14:paraId="613CA7B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EFB4EFA"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3A11C6C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списку</w:t>
            </w:r>
          </w:p>
          <w:p w14:paraId="57049B9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6D19FA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w:t>
            </w:r>
          </w:p>
          <w:p w14:paraId="12E6EBE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3FF446F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19537A5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288A10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3E95C84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133143F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w:t>
            </w:r>
          </w:p>
          <w:p w14:paraId="6409B52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37738C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p w14:paraId="6FCA69E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4A05E9E3" w14:textId="77777777">
        <w:trPr>
          <w:trHeight w:val="432"/>
        </w:trPr>
        <w:tc>
          <w:tcPr>
            <w:tcW w:w="851" w:type="dxa"/>
            <w:tcBorders>
              <w:top w:val="nil"/>
              <w:left w:val="single" w:sz="6" w:space="0" w:color="auto"/>
              <w:bottom w:val="nil"/>
              <w:right w:val="single" w:sz="6" w:space="0" w:color="auto"/>
            </w:tcBorders>
          </w:tcPr>
          <w:p w14:paraId="79629D16"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731539F"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1A61D3B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Исправных (в том числе и требую</w:t>
            </w:r>
            <w:r w:rsidRPr="00D03F3E">
              <w:rPr>
                <w:rFonts w:ascii="Times New Roman" w:hAnsi="Times New Roman"/>
                <w:color w:val="000000" w:themeColor="text1"/>
                <w:sz w:val="16"/>
                <w:szCs w:val="16"/>
              </w:rPr>
              <w:softHyphen/>
              <w:t>щих текущего ремонта).</w:t>
            </w:r>
          </w:p>
          <w:p w14:paraId="36036B2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3C33351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w:t>
            </w:r>
          </w:p>
          <w:p w14:paraId="1388F02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0772BE0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7EFBCB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326E96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26D608F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7C22A3B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w:t>
            </w:r>
          </w:p>
          <w:p w14:paraId="57EEFE2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699801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9D34B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2402D053" w14:textId="77777777">
        <w:trPr>
          <w:trHeight w:val="221"/>
        </w:trPr>
        <w:tc>
          <w:tcPr>
            <w:tcW w:w="851" w:type="dxa"/>
            <w:tcBorders>
              <w:top w:val="nil"/>
              <w:left w:val="single" w:sz="6" w:space="0" w:color="auto"/>
              <w:bottom w:val="single" w:sz="6" w:space="0" w:color="auto"/>
              <w:right w:val="single" w:sz="6" w:space="0" w:color="auto"/>
            </w:tcBorders>
          </w:tcPr>
          <w:p w14:paraId="5FEA93D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5375C6D"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77E1A4F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Требующих среднего ремонта</w:t>
            </w:r>
          </w:p>
          <w:p w14:paraId="2681F8F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337D00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0/8</w:t>
            </w:r>
          </w:p>
          <w:p w14:paraId="6F336E6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31F86E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B869D1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645410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9DCF39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5C7B16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91CAF0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C73AC4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0/8</w:t>
            </w:r>
          </w:p>
          <w:p w14:paraId="5CA43E9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48C9EB9C" w14:textId="77777777">
        <w:trPr>
          <w:trHeight w:val="230"/>
        </w:trPr>
        <w:tc>
          <w:tcPr>
            <w:tcW w:w="851" w:type="dxa"/>
            <w:tcBorders>
              <w:top w:val="single" w:sz="6" w:space="0" w:color="auto"/>
              <w:left w:val="single" w:sz="6" w:space="0" w:color="auto"/>
              <w:bottom w:val="nil"/>
              <w:right w:val="single" w:sz="6" w:space="0" w:color="auto"/>
            </w:tcBorders>
          </w:tcPr>
          <w:p w14:paraId="1AFEB7F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Танки МЗ средн.</w:t>
            </w:r>
          </w:p>
          <w:p w14:paraId="38E4B1A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388070F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штату</w:t>
            </w:r>
          </w:p>
          <w:p w14:paraId="3279B18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019B878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6ABA5A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1FDEBE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550D19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886712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8B03F2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4C72E44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EAB507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D3B415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547A67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6EE845EA" w14:textId="77777777">
        <w:trPr>
          <w:trHeight w:val="221"/>
        </w:trPr>
        <w:tc>
          <w:tcPr>
            <w:tcW w:w="851" w:type="dxa"/>
            <w:tcBorders>
              <w:top w:val="nil"/>
              <w:left w:val="single" w:sz="6" w:space="0" w:color="auto"/>
              <w:bottom w:val="nil"/>
              <w:right w:val="single" w:sz="6" w:space="0" w:color="auto"/>
            </w:tcBorders>
          </w:tcPr>
          <w:p w14:paraId="0560AB59"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89A297B"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7D363DB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списку</w:t>
            </w:r>
          </w:p>
          <w:p w14:paraId="24EA236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455D919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p w14:paraId="31A83AC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DE2EE9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5E7964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07C2A6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7674B09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75A7DA5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436FFFB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AB1EDA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p w14:paraId="56F778F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2084C6E8" w14:textId="77777777">
        <w:trPr>
          <w:trHeight w:val="230"/>
        </w:trPr>
        <w:tc>
          <w:tcPr>
            <w:tcW w:w="851" w:type="dxa"/>
            <w:tcBorders>
              <w:top w:val="nil"/>
              <w:left w:val="single" w:sz="6" w:space="0" w:color="auto"/>
              <w:bottom w:val="nil"/>
              <w:right w:val="single" w:sz="6" w:space="0" w:color="auto"/>
            </w:tcBorders>
          </w:tcPr>
          <w:p w14:paraId="5FCF05F6"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4249432"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2A56163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них</w:t>
            </w:r>
          </w:p>
          <w:p w14:paraId="439FCDF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4AE6D1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29B700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7024CB1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E907E2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843C88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7B70A54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2B81848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22C568D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A53AC0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6FAD9D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40ECA0EF" w14:textId="77777777">
        <w:trPr>
          <w:trHeight w:val="432"/>
        </w:trPr>
        <w:tc>
          <w:tcPr>
            <w:tcW w:w="851" w:type="dxa"/>
            <w:tcBorders>
              <w:top w:val="nil"/>
              <w:left w:val="single" w:sz="6" w:space="0" w:color="auto"/>
              <w:bottom w:val="nil"/>
              <w:right w:val="single" w:sz="6" w:space="0" w:color="auto"/>
            </w:tcBorders>
          </w:tcPr>
          <w:p w14:paraId="20CF8108"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395E613"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38A83C6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Исправных (в том числе и требую</w:t>
            </w:r>
            <w:r w:rsidRPr="00D03F3E">
              <w:rPr>
                <w:rFonts w:ascii="Times New Roman" w:hAnsi="Times New Roman"/>
                <w:color w:val="000000" w:themeColor="text1"/>
                <w:sz w:val="16"/>
                <w:szCs w:val="16"/>
              </w:rPr>
              <w:softHyphen/>
              <w:t>щих текущего ремонта)</w:t>
            </w:r>
          </w:p>
          <w:p w14:paraId="2921D23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189AA6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695AC38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5A0CD06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8A4445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0DE31D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72AF17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057DBBA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p w14:paraId="43946DE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048086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6777C6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4CE6540A" w14:textId="77777777">
        <w:trPr>
          <w:trHeight w:val="250"/>
        </w:trPr>
        <w:tc>
          <w:tcPr>
            <w:tcW w:w="851" w:type="dxa"/>
            <w:tcBorders>
              <w:top w:val="nil"/>
              <w:left w:val="single" w:sz="6" w:space="0" w:color="auto"/>
              <w:bottom w:val="single" w:sz="6" w:space="0" w:color="auto"/>
              <w:right w:val="single" w:sz="6" w:space="0" w:color="auto"/>
            </w:tcBorders>
          </w:tcPr>
          <w:p w14:paraId="50E6D40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260FD44"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1DE0E2B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Требующих среднего ремонта</w:t>
            </w:r>
          </w:p>
          <w:p w14:paraId="57652A4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F13529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0/2</w:t>
            </w:r>
          </w:p>
          <w:p w14:paraId="035517B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727AC6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B10B2B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AA5F51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BB7897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5B221AB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667889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CEFE5D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0/2</w:t>
            </w:r>
          </w:p>
          <w:p w14:paraId="6A5152E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4BF7BA6B" w14:textId="77777777">
        <w:trPr>
          <w:trHeight w:val="230"/>
        </w:trPr>
        <w:tc>
          <w:tcPr>
            <w:tcW w:w="851" w:type="dxa"/>
            <w:tcBorders>
              <w:top w:val="single" w:sz="6" w:space="0" w:color="auto"/>
              <w:left w:val="single" w:sz="6" w:space="0" w:color="auto"/>
              <w:bottom w:val="nil"/>
              <w:right w:val="single" w:sz="6" w:space="0" w:color="auto"/>
            </w:tcBorders>
          </w:tcPr>
          <w:p w14:paraId="3B32E19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Танки МЗ легк.</w:t>
            </w:r>
          </w:p>
          <w:p w14:paraId="2A05558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29AE85D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штату</w:t>
            </w:r>
          </w:p>
          <w:p w14:paraId="2752521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C2512C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54E39E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350F418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552D61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5EC846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DA03EE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579A1BE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E2C592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6654C3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72AB1E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1AA259A3" w14:textId="77777777">
        <w:trPr>
          <w:trHeight w:val="230"/>
        </w:trPr>
        <w:tc>
          <w:tcPr>
            <w:tcW w:w="851" w:type="dxa"/>
            <w:tcBorders>
              <w:top w:val="nil"/>
              <w:left w:val="single" w:sz="6" w:space="0" w:color="auto"/>
              <w:bottom w:val="nil"/>
              <w:right w:val="single" w:sz="6" w:space="0" w:color="auto"/>
            </w:tcBorders>
          </w:tcPr>
          <w:p w14:paraId="79B769F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C6A2E49"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607E677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списку</w:t>
            </w:r>
          </w:p>
          <w:p w14:paraId="6C54C60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0B3DED6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r w:rsidRPr="00D03F3E">
              <w:rPr>
                <w:rFonts w:ascii="Times New Roman" w:hAnsi="Times New Roman"/>
                <w:color w:val="000000" w:themeColor="text1"/>
                <w:sz w:val="16"/>
                <w:szCs w:val="16"/>
                <w:vertAlign w:val="superscript"/>
              </w:rPr>
              <w:t>1</w:t>
            </w:r>
          </w:p>
          <w:p w14:paraId="61C99A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0E2BAF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CEBFF2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4A76E2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639ADD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4DCF5C4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p w14:paraId="271533E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375837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p w14:paraId="7E40E51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59B9B9BC" w14:textId="77777777">
        <w:trPr>
          <w:trHeight w:val="230"/>
        </w:trPr>
        <w:tc>
          <w:tcPr>
            <w:tcW w:w="851" w:type="dxa"/>
            <w:tcBorders>
              <w:top w:val="nil"/>
              <w:left w:val="single" w:sz="6" w:space="0" w:color="auto"/>
              <w:bottom w:val="nil"/>
              <w:right w:val="single" w:sz="6" w:space="0" w:color="auto"/>
            </w:tcBorders>
          </w:tcPr>
          <w:p w14:paraId="61557C6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7938D56"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62A1DC0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них</w:t>
            </w:r>
          </w:p>
          <w:p w14:paraId="7682024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749F526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F296B8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30EC46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389088C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BDBA4A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447EE7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6693F84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55A8028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976976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59AABB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6F259799" w14:textId="77777777">
        <w:trPr>
          <w:trHeight w:val="422"/>
        </w:trPr>
        <w:tc>
          <w:tcPr>
            <w:tcW w:w="851" w:type="dxa"/>
            <w:tcBorders>
              <w:top w:val="nil"/>
              <w:left w:val="single" w:sz="6" w:space="0" w:color="auto"/>
              <w:bottom w:val="nil"/>
              <w:right w:val="single" w:sz="6" w:space="0" w:color="auto"/>
            </w:tcBorders>
          </w:tcPr>
          <w:p w14:paraId="4517349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64A6AA4"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0FE9D5D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Исправных (в том числе и требую</w:t>
            </w:r>
            <w:r w:rsidRPr="00D03F3E">
              <w:rPr>
                <w:rFonts w:ascii="Times New Roman" w:hAnsi="Times New Roman"/>
                <w:color w:val="000000" w:themeColor="text1"/>
                <w:sz w:val="16"/>
                <w:szCs w:val="16"/>
              </w:rPr>
              <w:softHyphen/>
              <w:t>щих ремонта)</w:t>
            </w:r>
          </w:p>
          <w:p w14:paraId="18BE79A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E4D7A2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p w14:paraId="5D54AB8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445F13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A440FF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025650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35A17F6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0FA185A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p w14:paraId="4291743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12366C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262B88A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860B4B" w:rsidRPr="00D03F3E" w14:paraId="58AF2C71" w14:textId="77777777">
        <w:trPr>
          <w:trHeight w:val="250"/>
        </w:trPr>
        <w:tc>
          <w:tcPr>
            <w:tcW w:w="851" w:type="dxa"/>
            <w:tcBorders>
              <w:top w:val="nil"/>
              <w:left w:val="single" w:sz="6" w:space="0" w:color="auto"/>
              <w:bottom w:val="single" w:sz="6" w:space="0" w:color="auto"/>
              <w:right w:val="single" w:sz="6" w:space="0" w:color="auto"/>
            </w:tcBorders>
          </w:tcPr>
          <w:p w14:paraId="1035C63D"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A02DD29"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5AEB674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Требующих среднего ремонта</w:t>
            </w:r>
          </w:p>
          <w:p w14:paraId="13E5F28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7795CF7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0/5</w:t>
            </w:r>
          </w:p>
          <w:p w14:paraId="494467A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6048B19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FD2558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328348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5873C4A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6C4C41E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4489828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A614AA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0/5</w:t>
            </w:r>
          </w:p>
          <w:p w14:paraId="317B0D0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tc>
      </w:tr>
    </w:tbl>
    <w:p w14:paraId="5348CAA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 П Из числа 26 танков МЗ легк. — 9 танков из числа обезличенных, полученных из капитального ремонта.</w:t>
      </w:r>
    </w:p>
    <w:p w14:paraId="2A93868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Танки резерва ГБТУ КА, исчисляющиеся в 5-м и 6-м учебных танковых брига</w:t>
      </w:r>
      <w:r w:rsidRPr="00D03F3E">
        <w:rPr>
          <w:rFonts w:ascii="Times New Roman" w:hAnsi="Times New Roman"/>
          <w:color w:val="000000" w:themeColor="text1"/>
          <w:sz w:val="16"/>
          <w:szCs w:val="16"/>
        </w:rPr>
        <w:softHyphen/>
        <w:t>дах и на рем. базах 97 и 1 ОУРВЗ показаны, как переучтенные МВО.</w:t>
      </w:r>
    </w:p>
    <w:p w14:paraId="789D517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И.о. начальника 5 отд. ТУ ГБТУ КА подполковник административной службы Ткачев</w:t>
      </w:r>
    </w:p>
    <w:p w14:paraId="464B53A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ЦАМО. Ф. 38. Оп. 11355. Д. 1677. Л. 156. Подлинник (11403).</w:t>
      </w:r>
    </w:p>
    <w:p w14:paraId="52D5905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60EABBF" w14:textId="77777777" w:rsidR="00267D1F" w:rsidRPr="00D03F3E" w:rsidRDefault="00267D1F" w:rsidP="00D03F3E">
      <w:pPr>
        <w:pStyle w:val="a3"/>
        <w:rPr>
          <w:color w:val="000000" w:themeColor="text1"/>
          <w:lang w:val="ru-RU"/>
        </w:rPr>
      </w:pPr>
      <w:r w:rsidRPr="00D03F3E">
        <w:rPr>
          <w:color w:val="000000" w:themeColor="text1"/>
          <w:lang w:val="ru-RU"/>
        </w:rPr>
        <w:t>14 июня 1943 года председатель Арткома ГАУ КА Хохлов в своем письме сообщал в ГАБТУ о вводе ново</w:t>
      </w:r>
      <w:r w:rsidRPr="00D03F3E">
        <w:rPr>
          <w:color w:val="000000" w:themeColor="text1"/>
          <w:lang w:val="ru-RU"/>
        </w:rPr>
        <w:softHyphen/>
        <w:t>го боеприпаса:</w:t>
      </w:r>
    </w:p>
    <w:p w14:paraId="5BDFB84B" w14:textId="77777777" w:rsidR="00267D1F" w:rsidRPr="00D03F3E" w:rsidRDefault="00267D1F"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«В связи с введением в боекомплект 152-мм самоходной гаубицы-пушки СУ-152 бронебойно-трассирующего снаряда, Артиллерийский Комитет ГАУ Красной Армии считает необходимым довести до сведения команди</w:t>
      </w:r>
      <w:r w:rsidRPr="00D03F3E">
        <w:rPr>
          <w:rStyle w:val="Bodytext145"/>
          <w:i w:val="0"/>
          <w:iCs w:val="0"/>
          <w:color w:val="000000" w:themeColor="text1"/>
          <w:sz w:val="16"/>
          <w:szCs w:val="16"/>
        </w:rPr>
        <w:softHyphen/>
        <w:t>ров полков следующее:</w:t>
      </w:r>
    </w:p>
    <w:p w14:paraId="30AE0364" w14:textId="77777777" w:rsidR="00267D1F" w:rsidRPr="00D03F3E" w:rsidRDefault="00267D1F" w:rsidP="00D03F3E">
      <w:pPr>
        <w:pStyle w:val="Bodytext141"/>
        <w:shd w:val="clear" w:color="auto" w:fill="auto"/>
        <w:tabs>
          <w:tab w:val="left" w:pos="558"/>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1. Бронебойно-трассирующий снаряд имеет на цилиндрической части корпуса маркировку, нанесенную черной краской: «БР-540».</w:t>
      </w:r>
    </w:p>
    <w:p w14:paraId="1EC4ED9E" w14:textId="77777777" w:rsidR="00267D1F" w:rsidRPr="00D03F3E" w:rsidRDefault="00267D1F" w:rsidP="00D03F3E">
      <w:pPr>
        <w:spacing w:after="0" w:line="240" w:lineRule="auto"/>
        <w:jc w:val="both"/>
        <w:rPr>
          <w:rFonts w:ascii="Times New Roman" w:hAnsi="Times New Roman"/>
          <w:color w:val="000000" w:themeColor="text1"/>
          <w:sz w:val="16"/>
          <w:szCs w:val="16"/>
        </w:rPr>
      </w:pPr>
      <w:r w:rsidRPr="00D03F3E">
        <w:rPr>
          <w:rStyle w:val="Bodytext145"/>
          <w:rFonts w:ascii="Times New Roman" w:hAnsi="Times New Roman"/>
          <w:iCs/>
          <w:color w:val="000000" w:themeColor="text1"/>
          <w:sz w:val="16"/>
          <w:szCs w:val="16"/>
        </w:rPr>
        <w:t>2. По внешнему виду бронебойно-трассирующий снаряд отличается от бетонобойного гаубичного снаряда, помимо маркировки, меньшей длиной головной части.</w:t>
      </w:r>
    </w:p>
    <w:p w14:paraId="03DC9B85" w14:textId="77777777" w:rsidR="00267D1F" w:rsidRPr="00D03F3E" w:rsidRDefault="00267D1F" w:rsidP="00D03F3E">
      <w:pPr>
        <w:pStyle w:val="Bodytext141"/>
        <w:shd w:val="clear" w:color="auto" w:fill="auto"/>
        <w:tabs>
          <w:tab w:val="left" w:pos="562"/>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3. Стрельба бронебойно-трассирующим снарядом разрешается только специальным зарядом, помещенным в гильзу, на которой нанесена марки</w:t>
      </w:r>
      <w:r w:rsidRPr="00D03F3E">
        <w:rPr>
          <w:rStyle w:val="Bodytext145"/>
          <w:i w:val="0"/>
          <w:iCs w:val="0"/>
          <w:color w:val="000000" w:themeColor="text1"/>
          <w:sz w:val="16"/>
          <w:szCs w:val="16"/>
        </w:rPr>
        <w:softHyphen/>
        <w:t>ровка: «Заряд специальный БР V0=600 м/сек».</w:t>
      </w:r>
    </w:p>
    <w:p w14:paraId="4146FDFB" w14:textId="77777777" w:rsidR="00267D1F" w:rsidRPr="00D03F3E" w:rsidRDefault="00267D1F" w:rsidP="00D03F3E">
      <w:pPr>
        <w:pStyle w:val="Bodytext141"/>
        <w:shd w:val="clear" w:color="auto" w:fill="auto"/>
        <w:tabs>
          <w:tab w:val="left" w:pos="481"/>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4. Категорически запрещается стрельба полным переменным зарядом.</w:t>
      </w:r>
    </w:p>
    <w:p w14:paraId="5B8A56A8" w14:textId="77777777" w:rsidR="00267D1F" w:rsidRPr="00D03F3E" w:rsidRDefault="00267D1F" w:rsidP="00D03F3E">
      <w:pPr>
        <w:pStyle w:val="Bodytext141"/>
        <w:shd w:val="clear" w:color="auto" w:fill="auto"/>
        <w:tabs>
          <w:tab w:val="left" w:pos="529"/>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5. При отсутствии специального заряда разрешается стрельба на пол</w:t>
      </w:r>
      <w:r w:rsidRPr="00D03F3E">
        <w:rPr>
          <w:rStyle w:val="Bodytext145"/>
          <w:i w:val="0"/>
          <w:iCs w:val="0"/>
          <w:color w:val="000000" w:themeColor="text1"/>
          <w:sz w:val="16"/>
          <w:szCs w:val="16"/>
        </w:rPr>
        <w:softHyphen/>
        <w:t>ном штатном заряде нового устройства без одного равновесного пучка (основной пакет +7равновесных пучков).</w:t>
      </w:r>
    </w:p>
    <w:p w14:paraId="652B4804" w14:textId="77777777" w:rsidR="00267D1F" w:rsidRPr="00D03F3E" w:rsidRDefault="00267D1F" w:rsidP="00D03F3E">
      <w:pPr>
        <w:pStyle w:val="Bodytext141"/>
        <w:shd w:val="clear" w:color="auto" w:fill="auto"/>
        <w:tabs>
          <w:tab w:val="left" w:pos="529"/>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6. Наводка при стрельбе бронебойно-трассирующим снарядом по теле</w:t>
      </w:r>
      <w:r w:rsidRPr="00D03F3E">
        <w:rPr>
          <w:rStyle w:val="Bodytext145"/>
          <w:i w:val="0"/>
          <w:iCs w:val="0"/>
          <w:color w:val="000000" w:themeColor="text1"/>
          <w:sz w:val="16"/>
          <w:szCs w:val="16"/>
        </w:rPr>
        <w:softHyphen/>
        <w:t>скопическому прицелу СТ-10 должна производиться по шкале, нанесенной в левой половине поля зрения и обозначенной надписью:</w:t>
      </w:r>
    </w:p>
    <w:p w14:paraId="4876AB40" w14:textId="77777777" w:rsidR="00267D1F" w:rsidRPr="00D03F3E" w:rsidRDefault="00267D1F"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«ДГ</w:t>
      </w:r>
    </w:p>
    <w:p w14:paraId="0B94A260" w14:textId="77777777" w:rsidR="00267D1F" w:rsidRPr="00D03F3E" w:rsidRDefault="00267D1F" w:rsidP="00D03F3E">
      <w:pPr>
        <w:pStyle w:val="Bodytext141"/>
        <w:shd w:val="clear" w:color="auto" w:fill="auto"/>
        <w:spacing w:line="240" w:lineRule="auto"/>
        <w:ind w:firstLine="0"/>
        <w:jc w:val="both"/>
        <w:rPr>
          <w:rStyle w:val="Bodytext145"/>
          <w:i w:val="0"/>
          <w:iCs w:val="0"/>
          <w:color w:val="000000" w:themeColor="text1"/>
          <w:sz w:val="16"/>
          <w:szCs w:val="16"/>
        </w:rPr>
      </w:pPr>
      <w:r w:rsidRPr="00D03F3E">
        <w:rPr>
          <w:rStyle w:val="Bodytext145"/>
          <w:i w:val="0"/>
          <w:iCs w:val="0"/>
          <w:color w:val="000000" w:themeColor="text1"/>
          <w:sz w:val="16"/>
          <w:szCs w:val="16"/>
        </w:rPr>
        <w:t>ПУШ</w:t>
      </w:r>
      <w:bookmarkStart w:id="18" w:name="bookmark14"/>
    </w:p>
    <w:p w14:paraId="6025F478" w14:textId="77777777" w:rsidR="00267D1F" w:rsidRPr="00D03F3E" w:rsidRDefault="00267D1F" w:rsidP="00D03F3E">
      <w:pPr>
        <w:pStyle w:val="Bodytext141"/>
        <w:shd w:val="clear" w:color="auto" w:fill="auto"/>
        <w:spacing w:line="240" w:lineRule="auto"/>
        <w:ind w:firstLine="0"/>
        <w:jc w:val="both"/>
        <w:rPr>
          <w:i w:val="0"/>
          <w:color w:val="000000" w:themeColor="text1"/>
          <w:sz w:val="16"/>
          <w:szCs w:val="16"/>
        </w:rPr>
      </w:pPr>
      <w:r w:rsidRPr="00D03F3E">
        <w:rPr>
          <w:rStyle w:val="Heading33"/>
          <w:i w:val="0"/>
          <w:iCs w:val="0"/>
          <w:color w:val="000000" w:themeColor="text1"/>
          <w:sz w:val="16"/>
          <w:szCs w:val="16"/>
        </w:rPr>
        <w:t>ПЕРВ».</w:t>
      </w:r>
      <w:bookmarkEnd w:id="18"/>
    </w:p>
    <w:p w14:paraId="2B209741" w14:textId="77777777" w:rsidR="00267D1F" w:rsidRPr="00D03F3E" w:rsidRDefault="00267D1F" w:rsidP="00D03F3E">
      <w:pPr>
        <w:pStyle w:val="Bodytext141"/>
        <w:shd w:val="clear" w:color="auto" w:fill="auto"/>
        <w:tabs>
          <w:tab w:val="left" w:pos="562"/>
        </w:tabs>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7. Стрельба осколочно-фугасной дальнобойной гранатой уменьшенным переменным зарядом может производиться только при наводке по пано</w:t>
      </w:r>
      <w:r w:rsidRPr="00D03F3E">
        <w:rPr>
          <w:rStyle w:val="Bodytext145"/>
          <w:i w:val="0"/>
          <w:iCs w:val="0"/>
          <w:color w:val="000000" w:themeColor="text1"/>
          <w:sz w:val="16"/>
          <w:szCs w:val="16"/>
        </w:rPr>
        <w:softHyphen/>
        <w:t>рамному прицелу».</w:t>
      </w:r>
    </w:p>
    <w:p w14:paraId="1C577587" w14:textId="77777777" w:rsidR="00267D1F" w:rsidRPr="00D03F3E" w:rsidRDefault="00267D1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Вместе с тем поставки бронебойных снарядов БР-540 задержались. Первые боестолкновения СУ-152 встретили со штатными боеком</w:t>
      </w:r>
      <w:r w:rsidRPr="00D03F3E">
        <w:rPr>
          <w:rFonts w:ascii="Times New Roman" w:hAnsi="Times New Roman"/>
          <w:color w:val="000000" w:themeColor="text1"/>
          <w:sz w:val="16"/>
          <w:szCs w:val="16"/>
        </w:rPr>
        <w:softHyphen/>
        <w:t>плектами, а бронебойные снаряды пошли в войска только в августе 1943 года (17484).</w:t>
      </w:r>
    </w:p>
    <w:p w14:paraId="62447882" w14:textId="77777777" w:rsidR="00267D1F" w:rsidRPr="00D03F3E" w:rsidRDefault="00267D1F" w:rsidP="00D03F3E">
      <w:pPr>
        <w:spacing w:after="0" w:line="240" w:lineRule="auto"/>
        <w:jc w:val="both"/>
        <w:rPr>
          <w:rFonts w:ascii="Times New Roman" w:hAnsi="Times New Roman"/>
          <w:color w:val="000000" w:themeColor="text1"/>
          <w:sz w:val="16"/>
          <w:szCs w:val="16"/>
        </w:rPr>
      </w:pPr>
    </w:p>
    <w:p w14:paraId="77D00377"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14 июня</w:t>
      </w:r>
      <w:r w:rsidRPr="00D03F3E">
        <w:rPr>
          <w:rFonts w:ascii="Times New Roman" w:hAnsi="Times New Roman"/>
          <w:color w:val="000000" w:themeColor="text1"/>
          <w:sz w:val="16"/>
          <w:szCs w:val="16"/>
        </w:rPr>
        <w:t xml:space="preserve"> в 1943 году приказом Главного управления Гидрометслужбы Красной Армии в соответствии с постановлением СНК СССР от 4 июня 1941 г. был создан Государственный океанографический институт (ГОИН, город Москва) — головное научно-методическое учреждение Федеральной службы России по гидрометеорологии и мониторингу окружающей среды в области океанографии, морской метеорологии, гидрологии и гидрохимии морских устьев рек. Имеет отделение в Санкт-Петербурге (СПО ГОИН) (14922).</w:t>
      </w:r>
    </w:p>
    <w:p w14:paraId="0221F02F" w14:textId="77777777" w:rsidR="003552A9" w:rsidRPr="00D03F3E" w:rsidRDefault="003552A9" w:rsidP="00D03F3E">
      <w:pPr>
        <w:spacing w:after="0" w:line="240" w:lineRule="auto"/>
        <w:jc w:val="both"/>
        <w:rPr>
          <w:rFonts w:ascii="Times New Roman" w:hAnsi="Times New Roman"/>
          <w:color w:val="000000" w:themeColor="text1"/>
          <w:sz w:val="16"/>
          <w:szCs w:val="16"/>
        </w:rPr>
      </w:pPr>
    </w:p>
    <w:p w14:paraId="6B07E99A" w14:textId="77777777" w:rsidR="003552A9"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2999B16F" w14:textId="77777777" w:rsidR="003552A9" w:rsidRPr="00D03F3E" w:rsidRDefault="003552A9" w:rsidP="00D03F3E">
      <w:pPr>
        <w:pStyle w:val="Iauiue"/>
        <w:jc w:val="both"/>
        <w:rPr>
          <w:iCs/>
          <w:color w:val="000000" w:themeColor="text1"/>
          <w:sz w:val="16"/>
          <w:szCs w:val="16"/>
        </w:rPr>
      </w:pPr>
    </w:p>
    <w:p w14:paraId="0838BCE1"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14 июня</w:t>
      </w:r>
      <w:r w:rsidRPr="00D03F3E">
        <w:rPr>
          <w:rFonts w:ascii="Times New Roman" w:hAnsi="Times New Roman"/>
          <w:color w:val="000000" w:themeColor="text1"/>
          <w:sz w:val="16"/>
          <w:szCs w:val="16"/>
        </w:rPr>
        <w:t xml:space="preserve"> в 1943 году утреннее сообщение Совинформбюро:</w:t>
      </w:r>
    </w:p>
    <w:p w14:paraId="03B2B725"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14 июня на фронте ничего существенного не произошло.</w:t>
      </w:r>
    </w:p>
    <w:p w14:paraId="7A28AAC7"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миномётчики Н-ской части уничтожили 3 пулемёта, 4 миномётаи подожгли склад противника с военным имуществом. Снайперы Н-ской части уничтожили 68 немецких солдат и офицеров. Группа снайперов под командованием старшего сержанта т. Сопова за два дня истребила 11 гитлеровцев.</w:t>
      </w:r>
    </w:p>
    <w:p w14:paraId="052C982C"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Мценска наши разведывательные отряды внезапным ударом выбили противника из четырёх населённых пунктов. Немцы, пытаясь восстановить положение, предприняли несколько ожесточённых контратак, но каждый раз отбрасывалисьобратно. Наши подразделения удерживают занятые населённые пункты. В результате боёв на этом участке уничтожено 9 артиллерийских и миномётных батарей, подбито и сожжено 8 танков и убито до 300 немецких солдат и офицеров. Кроме того, огнём из пехотного оружия сбито 3 вражеских самолёта. Нашими бойцами захвачены у немцев 20 пулемётов, два склада боеприпасов и продовольственный склад. Взяты пленные.</w:t>
      </w:r>
    </w:p>
    <w:p w14:paraId="1AD67779"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артиллеристы Н-ской части обстреляли позиции и ближайшие тылы противника. Разрушено 3 немецких дзота и 5 блиндажей. Уничтожено 9 автомашин, и взорван склад боеприпасов. Наша разведывательная группа пробралась врасположение врага и навязала ему бой. Разведчики истребили 25 немцев, захватили пулемёт, важные документы и без потерь вернулись в своё подразделение.</w:t>
      </w:r>
    </w:p>
    <w:p w14:paraId="30B22C3C"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наши снайперы истребили 46 гитлеровцев. Огнём артиллерии разрушены 5 немецких дзотов, 3 блиндажа и наблюдательный пункт противника.</w:t>
      </w:r>
    </w:p>
    <w:p w14:paraId="3E57B404"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подразделения вели активные боевые действия и уничтожили до 150 немецких солдат и офицеров. Н-ское гвардейское миномётное подразделение произвело огневой налёт на скопление пехоты противника и истребило свыше взвода гитлеровцев.</w:t>
      </w:r>
    </w:p>
    <w:p w14:paraId="45A1DC76"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Полесской области, втечение двух дней вёл бои с карательной экспедицией немцев. Партизаны нанесли врагу тяжёлый урон и вынудили его отступить. Убито 60 и ранено до 120 гитлеровцев. Другой отряд полесских партизан разгромил немецкий гарнизон в одном населённом пункте, разрушил 3 километра железнодорожного пути и взорвал два моста. Партизаны освободили 400 советских граждан, которых немцы насильно угоняли на каторгу в Германию.</w:t>
      </w:r>
    </w:p>
    <w:p w14:paraId="6D9380FE"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Получено сообщение о чудовищных злодеяниях немецко-фашистских мерзавцев. 16 мая отряд гитлеровцев ворвался в деревню Рудня, Гомельской области. Немцы выгнали всех крестьян, в том числе и детей, из домов и заперли их в двух сараях. Затем гитлеровцы погрузили на подводы всё имущество крестьян, а деревню подожгли со всех концов. 86 стариков, женщин и детей, запертых фашистскими палачами в сараях, погибли в огне.</w:t>
      </w:r>
    </w:p>
    <w:p w14:paraId="4EC88037"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Черногории, Герцеговине и Санджаке продолжаются ожесточённые бои между партизанами и немецко-итальянскими оккупантами. Близ города Фоча партизаны окружили и полностью истребили роту немцев, отказавшихся сложить оружие и сдаться в плен. Словенские партизаны у населённого пункта Постойне уничтожили несколько десятков итальянцев. В числе убитых 3 офицера. Партизаны захватили склад боеприпасов. У Сент-Вида партизаны в течение нескольких часов вели бои с итальянскими оккупантами. Противник потерял 86 человек убитыми. Много солдат и офицеров ранено. Партизаны захватили оружие и различное военное имущество.» (14922).</w:t>
      </w:r>
    </w:p>
    <w:p w14:paraId="7CEBA634" w14:textId="77777777" w:rsidR="003552A9" w:rsidRPr="00D03F3E" w:rsidRDefault="003552A9" w:rsidP="00D03F3E">
      <w:pPr>
        <w:spacing w:after="0" w:line="240" w:lineRule="auto"/>
        <w:jc w:val="both"/>
        <w:rPr>
          <w:rFonts w:ascii="Times New Roman" w:hAnsi="Times New Roman"/>
          <w:color w:val="000000" w:themeColor="text1"/>
          <w:sz w:val="16"/>
          <w:szCs w:val="16"/>
        </w:rPr>
      </w:pPr>
    </w:p>
    <w:p w14:paraId="77540C21"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14 июня</w:t>
      </w:r>
      <w:r w:rsidRPr="00D03F3E">
        <w:rPr>
          <w:rFonts w:ascii="Times New Roman" w:hAnsi="Times New Roman"/>
          <w:color w:val="000000" w:themeColor="text1"/>
          <w:sz w:val="16"/>
          <w:szCs w:val="16"/>
        </w:rPr>
        <w:t xml:space="preserve"> в 1943 году вечернее сообщение Совинформбюро:</w:t>
      </w:r>
    </w:p>
    <w:p w14:paraId="6E6235E9"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14 июня на фронте существенных изменений не произошло.</w:t>
      </w:r>
    </w:p>
    <w:p w14:paraId="48BB2973"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июня частями нашей авиации на различных участках фронта уничтожено или повреждено не менее 20 автомашин с войсками и грузами, взорван склад боеприпасов, подавлен огонь 3 артиллерийских батареи, разбито несколько железнодорожных эшелонов противника.</w:t>
      </w:r>
    </w:p>
    <w:p w14:paraId="4F31F9B7"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уничтожили до роты немецкой пехоты, артиллерийскую батарею и 6 пулемётов. На отдельных участках группы пехоты противника пытались вести разведку переднего края нашей обороны. Ружейно-пулемётным огнём вражеские разведчики были рассеяны.</w:t>
      </w:r>
    </w:p>
    <w:p w14:paraId="4B45D29F"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Мценска наши подразделения вели бои местного значения. Уничтожены 3 артиллерийские и 2 миномётные батареи, истреблено свыше 100 немецких солдат и офицеров. В воздушных боях наши лётчики уничтожили 2 самолёта противника. Кроме того, один немецкий бомбардировщик сбит огнём зенитной артиллерии. Два немецких лётчика взяты в плен.</w:t>
      </w:r>
    </w:p>
    <w:p w14:paraId="50AE023D"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отряд автоматчиков противника пытался переправиться на левый берег реки Северный Донец. Огнем боевого охранения уничтожено несколько десятков гитлеровцев. Много вражеских солдат утонуло в реке. Артиллеристы Н-скойчасти рассеяли и частью уничтожили до роты гитлеровцев.</w:t>
      </w:r>
    </w:p>
    <w:p w14:paraId="3E98CE41"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бомбили вражескую танковую колонну. Отмечены прямые попадания в немецкие танки. В воздушном бою сбито 2 самолёта противника.</w:t>
      </w:r>
    </w:p>
    <w:p w14:paraId="072D6344"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Сум разведывательная группа Н-ской части ворвалась в населённыйпункт, занятый противником. В рукопашной схватке наши бойцы уничтожили 20 гитлеровцев, захватили пулемёт и несколько винтовок. Снайперы Н-ского соединения истребили 88 гитлеровцев.</w:t>
      </w:r>
    </w:p>
    <w:p w14:paraId="7345DE66"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наши подразделения истребили более роты немецких солдат. Огнём артиллерии разрушено 10 дзотов, 9 блиндажей и 2 наблюдательных пункта, уничтожено 11 пулемётов и 6 миномётов противника.</w:t>
      </w:r>
    </w:p>
    <w:p w14:paraId="5A71DFD2"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Отряд калининских партизан совершил внезапный налёт на немецкий гарнизон, расположенный в крупном населённом пункте. Советские патриоты истребили свыше 60 гитлеровцев, уничтожили танк, автомашину и несколько станковых пулемётов. Кроме того, партизаны сожгли мост через реку и склад противника с продовольствием.</w:t>
      </w:r>
    </w:p>
    <w:p w14:paraId="5DA4635D"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Старший лейтенант Фролов, вернувшийся с группой разведчиков из тыла противника (Карельский фронт), рассказал о злодейской расправе немецко-фашистских мерзавцев над пленными советскими бойцами. На одной из сопок Заполярья нашим разведчикам представилось жуткое зрелище. Около заброшенной немецкой землянки среди камней лежало 9 трупов красноармейцев, истерзанных гитлеровцами. Неподалеку, возле потухшего костра, лежал обугленный труп бойца, в рот которого фашистские мерзавцы вбили толстый шест. У трупов советских воинов, замученных фашистами, наши разведчики поклялись безжалостно мстить подлым немецко-фашистским бандитам.</w:t>
      </w:r>
    </w:p>
    <w:p w14:paraId="0684CC18" w14:textId="77777777" w:rsidR="003552A9" w:rsidRPr="00D03F3E" w:rsidRDefault="003552A9"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Албании против итальянских оккупантов действует много крупных партизанских отрядов. Албанские патриоты блокировали ряд вражеских гарнизонов. Недавно партизаны освободили от оккупантов 30 сёл близ албано-черногорской границы. В результате боёв, которые вели партизаны, уничтожено много фашистских солдат.» (14922).</w:t>
      </w:r>
    </w:p>
    <w:p w14:paraId="2F965803" w14:textId="77777777" w:rsidR="003552A9" w:rsidRPr="00D03F3E" w:rsidRDefault="003552A9" w:rsidP="00D03F3E">
      <w:pPr>
        <w:spacing w:after="0" w:line="240" w:lineRule="auto"/>
        <w:jc w:val="both"/>
        <w:rPr>
          <w:rFonts w:ascii="Times New Roman" w:hAnsi="Times New Roman"/>
          <w:color w:val="000000" w:themeColor="text1"/>
          <w:sz w:val="16"/>
          <w:szCs w:val="16"/>
        </w:rPr>
      </w:pPr>
    </w:p>
    <w:p w14:paraId="35BB33C5"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69BDEDBF" w14:textId="77777777" w:rsidR="00531570" w:rsidRPr="00D03F3E" w:rsidRDefault="00531570" w:rsidP="00D03F3E">
      <w:pPr>
        <w:pStyle w:val="Iauiue"/>
        <w:jc w:val="both"/>
        <w:rPr>
          <w:iCs/>
          <w:color w:val="000000" w:themeColor="text1"/>
          <w:sz w:val="16"/>
          <w:szCs w:val="16"/>
        </w:rPr>
      </w:pPr>
    </w:p>
    <w:p w14:paraId="2670A4F3" w14:textId="77777777" w:rsidR="001F7B35" w:rsidRPr="00D03F3E" w:rsidRDefault="001F7B3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14 июня 1943 B-17C Flying Fortress Miss Every Morning Fixin (40–2072) терпит крушение в Бейкерс-Крик, Квинсленд, Австралия , в результате чего 40 из 41 военнослужащего на борту погибают. Это по-прежнему самая страшная авиакатастрофа в истории Австралии и самая страшная авиакатастрофа на юго-западе Тихоокеанского театра военных действий во время Второй мировой войны (20376).</w:t>
      </w:r>
    </w:p>
    <w:p w14:paraId="4A74B38D" w14:textId="77777777" w:rsidR="001F7B35" w:rsidRPr="00D03F3E" w:rsidRDefault="001F7B35" w:rsidP="00D03F3E">
      <w:pPr>
        <w:spacing w:after="0" w:line="240" w:lineRule="auto"/>
        <w:jc w:val="both"/>
        <w:rPr>
          <w:rFonts w:ascii="Times New Roman" w:hAnsi="Times New Roman"/>
          <w:color w:val="0070C0"/>
          <w:sz w:val="16"/>
          <w:szCs w:val="16"/>
        </w:rPr>
      </w:pPr>
    </w:p>
    <w:p w14:paraId="7A1907AE" w14:textId="77777777" w:rsidR="001F7B35" w:rsidRPr="00D03F3E" w:rsidRDefault="001F7B35"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14–15 июня (ночь) 1943 сопровождая налет 197 британских бомбардировщиков Lancaster на Оберхаузен, Германия, пять британских ночных истребителей Beaufighter впервые оперативно используют Serrate, радар-детектор и устройство самонаведения, которое позволяет им атаковать немецкие ночные истребители. используя бортовой радар Лихтенштейна на расстоянии до 80 км (50 миль) и перехватить их. Однако во время налета «Бофайтеры» не перехватывают ни одного немецкого самолета, и 17 британских бомбардировщиков потеряны (29376).</w:t>
      </w:r>
    </w:p>
    <w:p w14:paraId="2D4887C9" w14:textId="77777777" w:rsidR="001F7B35" w:rsidRPr="00D03F3E" w:rsidRDefault="001F7B35" w:rsidP="00D03F3E">
      <w:pPr>
        <w:spacing w:after="0" w:line="240" w:lineRule="auto"/>
        <w:jc w:val="both"/>
        <w:rPr>
          <w:rFonts w:ascii="Times New Roman" w:hAnsi="Times New Roman"/>
          <w:color w:val="0070C0"/>
          <w:sz w:val="16"/>
          <w:szCs w:val="16"/>
        </w:rPr>
      </w:pPr>
    </w:p>
    <w:p w14:paraId="3656A8C8"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14 июня 1943 в Англии создано тактическое соединение объединенных военно-воздушных сил союзников (4962).</w:t>
      </w:r>
    </w:p>
    <w:p w14:paraId="3595C5D1" w14:textId="77777777" w:rsidR="00531570" w:rsidRPr="00D03F3E" w:rsidRDefault="00531570" w:rsidP="00D03F3E">
      <w:pPr>
        <w:pStyle w:val="Iauiue"/>
        <w:tabs>
          <w:tab w:val="left" w:pos="11199"/>
        </w:tabs>
        <w:jc w:val="both"/>
        <w:rPr>
          <w:color w:val="000000" w:themeColor="text1"/>
          <w:sz w:val="16"/>
          <w:szCs w:val="16"/>
        </w:rPr>
      </w:pPr>
    </w:p>
    <w:p w14:paraId="4DD2AF81"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June 14th, 1943: RAF Coastal Command begins daily patrols over the Bay of Biscay by aircraft equipped with new detection devices to locate and destroy German U-boats leaving and entering their bases on the French coast (3819).</w:t>
      </w:r>
    </w:p>
    <w:p w14:paraId="26A3B3C4" w14:textId="77777777" w:rsidR="00531570" w:rsidRPr="00D03F3E" w:rsidRDefault="00531570" w:rsidP="00D03F3E">
      <w:pPr>
        <w:pStyle w:val="Iauiue"/>
        <w:jc w:val="both"/>
        <w:rPr>
          <w:color w:val="000000" w:themeColor="text1"/>
          <w:sz w:val="16"/>
          <w:szCs w:val="16"/>
          <w:lang w:val="en-US"/>
        </w:rPr>
      </w:pPr>
    </w:p>
    <w:p w14:paraId="7134401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 июня 1943 командование береговой обороны Королевских ВВС начали патрулирование Бискайского залива с использованием нового оборудования и могли уничтожать лодки на подходах к базам во Франции (3819).</w:t>
      </w:r>
    </w:p>
    <w:p w14:paraId="7C8C9789" w14:textId="77777777" w:rsidR="00531570" w:rsidRPr="00D03F3E" w:rsidRDefault="00531570" w:rsidP="00D03F3E">
      <w:pPr>
        <w:pStyle w:val="Iauiue"/>
        <w:jc w:val="both"/>
        <w:rPr>
          <w:color w:val="000000" w:themeColor="text1"/>
          <w:sz w:val="16"/>
          <w:szCs w:val="16"/>
        </w:rPr>
      </w:pPr>
    </w:p>
    <w:p w14:paraId="389E5E7A"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Авиапромышленность:</w:t>
      </w:r>
    </w:p>
    <w:p w14:paraId="2E9B43F7" w14:textId="77777777" w:rsidR="00531570" w:rsidRPr="00D03F3E" w:rsidRDefault="00531570" w:rsidP="00D03F3E">
      <w:pPr>
        <w:pStyle w:val="Iauiue"/>
        <w:jc w:val="both"/>
        <w:rPr>
          <w:iCs/>
          <w:color w:val="000000" w:themeColor="text1"/>
          <w:sz w:val="16"/>
          <w:szCs w:val="16"/>
        </w:rPr>
      </w:pPr>
    </w:p>
    <w:p w14:paraId="158B25D0" w14:textId="77777777" w:rsidR="009212F4" w:rsidRPr="00D03F3E" w:rsidRDefault="009212F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15 июня 1943 Ил-2 АМ-42 "следопыт", на котором было выполнено четыре полета по программе заводских испытаний и при крайнем полете самолета на километраж «из-за недоброкачественного изготовления деревянного крыла заводом № 30 произошло отставание обшивки крыла», возвратили на завод № 240. По расчетам, ремонт самолета предполагалось завершить не позже 1 июля.</w:t>
      </w:r>
    </w:p>
    <w:p w14:paraId="16365031" w14:textId="77777777" w:rsidR="009212F4" w:rsidRPr="00D03F3E" w:rsidRDefault="009212F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Старший военпред ГУ ИАС на заводе № 240 инженер-майор В. П. Григорьев докладывал начальнику 1-го отдела ГУ ИАС генерал-майору А. И. Гребеневу, что по состоянию на 20 июля на самолете еще продолжаются работы по стыковке нового крыла (также смешанной конструкции), закончены столярные работы по крылу, остались шпаклевка, обтяжка и покраска. Смонтирована система заполнения бензобаков нейтральными газами от выхлопа мотора. Завершается установка вооружения, а также рамы второй фотоустановки в задней части фюзеляжа за стрелком. Увеличена осевая компенсация руля высоты. Установлен легкосъемный кок винта, выполненный «по типу конструкции Мессершмитт». Для проведения наземных испытаний на выработку топлива из подвесных бензобаков завершен монтаж системы бензопроводки для одного подвесного топливного бака на 150 л горючего (ПЛБГ-150). Кроме этого, предполагалось установить новый всасывающий патрубок с управляемой внутренней заслонкой, связанной с кинематикой шасси: на земле (шасси выпущено) забор воздуха производится из подкапотного пространства, а при полете в воздухе (шасси убрано) – снаружи.</w:t>
      </w:r>
    </w:p>
    <w:p w14:paraId="3CAF210C" w14:textId="77777777" w:rsidR="009212F4" w:rsidRPr="00D03F3E" w:rsidRDefault="009212F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24 июля «следопыт» привели в летное состояние и передали на ЛИС завода. Однако уже действовал запрет главного конструктора мотора АМ-42 А. А. Микулина на полеты с винтом диаметром 4,0 м («из-за имевших место поломок демпферных пружин муфты сцепления нагнетателя с валом мотора») (17490).</w:t>
      </w:r>
    </w:p>
    <w:p w14:paraId="25939A82" w14:textId="77777777" w:rsidR="009212F4" w:rsidRPr="00D03F3E" w:rsidRDefault="009212F4" w:rsidP="00D03F3E">
      <w:pPr>
        <w:spacing w:after="0" w:line="240" w:lineRule="auto"/>
        <w:jc w:val="both"/>
        <w:rPr>
          <w:rFonts w:ascii="Times New Roman" w:hAnsi="Times New Roman"/>
          <w:color w:val="000000" w:themeColor="text1"/>
          <w:sz w:val="16"/>
          <w:szCs w:val="16"/>
        </w:rPr>
      </w:pPr>
    </w:p>
    <w:p w14:paraId="2A9B3C3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 июня 1943 года А.И.Шахурин писал И.В.Сталину.</w:t>
      </w:r>
    </w:p>
    <w:p w14:paraId="20615B9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Об увеличении дальности полета истребителей.</w:t>
      </w:r>
    </w:p>
    <w:p w14:paraId="5203EC1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 Вашему поручению докладываю:</w:t>
      </w:r>
    </w:p>
    <w:p w14:paraId="7B84798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Выпускаемые в настоящее время серийные истребители и их модификации имеют следующую дальность, полученную на летных испытаниях и пересчетом приведенную к одинаковым условиям: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860B4B" w:rsidRPr="00D03F3E" w14:paraId="5DC722E1" w14:textId="77777777">
        <w:tc>
          <w:tcPr>
            <w:tcW w:w="2254" w:type="dxa"/>
          </w:tcPr>
          <w:p w14:paraId="24372E1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Самолет</w:t>
            </w:r>
          </w:p>
        </w:tc>
        <w:tc>
          <w:tcPr>
            <w:tcW w:w="2254" w:type="dxa"/>
          </w:tcPr>
          <w:p w14:paraId="73EF567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Мотор</w:t>
            </w:r>
          </w:p>
        </w:tc>
        <w:tc>
          <w:tcPr>
            <w:tcW w:w="2254" w:type="dxa"/>
          </w:tcPr>
          <w:p w14:paraId="3FD4B24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Дальность на</w:t>
            </w:r>
          </w:p>
        </w:tc>
      </w:tr>
      <w:tr w:rsidR="00860B4B" w:rsidRPr="00D03F3E" w14:paraId="137F2BDB" w14:textId="77777777">
        <w:tc>
          <w:tcPr>
            <w:tcW w:w="2254" w:type="dxa"/>
          </w:tcPr>
          <w:p w14:paraId="3B920594" w14:textId="77777777" w:rsidR="00531570" w:rsidRPr="00D03F3E" w:rsidRDefault="00531570" w:rsidP="00D03F3E">
            <w:pPr>
              <w:pStyle w:val="Iauiue"/>
              <w:jc w:val="both"/>
              <w:rPr>
                <w:color w:val="000000" w:themeColor="text1"/>
                <w:sz w:val="16"/>
                <w:szCs w:val="16"/>
              </w:rPr>
            </w:pPr>
          </w:p>
        </w:tc>
        <w:tc>
          <w:tcPr>
            <w:tcW w:w="2254" w:type="dxa"/>
          </w:tcPr>
          <w:p w14:paraId="6BECD18F" w14:textId="77777777" w:rsidR="00531570" w:rsidRPr="00D03F3E" w:rsidRDefault="00531570" w:rsidP="00D03F3E">
            <w:pPr>
              <w:pStyle w:val="Iauiue"/>
              <w:jc w:val="both"/>
              <w:rPr>
                <w:color w:val="000000" w:themeColor="text1"/>
                <w:sz w:val="16"/>
                <w:szCs w:val="16"/>
              </w:rPr>
            </w:pPr>
          </w:p>
        </w:tc>
        <w:tc>
          <w:tcPr>
            <w:tcW w:w="2254" w:type="dxa"/>
          </w:tcPr>
          <w:p w14:paraId="7730502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наивыгоднейшем</w:t>
            </w:r>
          </w:p>
        </w:tc>
      </w:tr>
      <w:tr w:rsidR="00860B4B" w:rsidRPr="00D03F3E" w14:paraId="0426E113" w14:textId="77777777">
        <w:tc>
          <w:tcPr>
            <w:tcW w:w="2254" w:type="dxa"/>
          </w:tcPr>
          <w:p w14:paraId="10C21BA5" w14:textId="77777777" w:rsidR="00531570" w:rsidRPr="00D03F3E" w:rsidRDefault="00531570" w:rsidP="00D03F3E">
            <w:pPr>
              <w:pStyle w:val="Iauiue"/>
              <w:jc w:val="both"/>
              <w:rPr>
                <w:color w:val="000000" w:themeColor="text1"/>
                <w:sz w:val="16"/>
                <w:szCs w:val="16"/>
              </w:rPr>
            </w:pPr>
          </w:p>
        </w:tc>
        <w:tc>
          <w:tcPr>
            <w:tcW w:w="2254" w:type="dxa"/>
          </w:tcPr>
          <w:p w14:paraId="01AB4D6E" w14:textId="77777777" w:rsidR="00531570" w:rsidRPr="00D03F3E" w:rsidRDefault="00531570" w:rsidP="00D03F3E">
            <w:pPr>
              <w:pStyle w:val="Iauiue"/>
              <w:jc w:val="both"/>
              <w:rPr>
                <w:color w:val="000000" w:themeColor="text1"/>
                <w:sz w:val="16"/>
                <w:szCs w:val="16"/>
              </w:rPr>
            </w:pPr>
          </w:p>
        </w:tc>
        <w:tc>
          <w:tcPr>
            <w:tcW w:w="2254" w:type="dxa"/>
          </w:tcPr>
          <w:p w14:paraId="23C6293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режиме, на</w:t>
            </w:r>
          </w:p>
        </w:tc>
      </w:tr>
      <w:tr w:rsidR="00860B4B" w:rsidRPr="00D03F3E" w14:paraId="36247002" w14:textId="77777777">
        <w:tc>
          <w:tcPr>
            <w:tcW w:w="2254" w:type="dxa"/>
          </w:tcPr>
          <w:p w14:paraId="629536B8" w14:textId="77777777" w:rsidR="00531570" w:rsidRPr="00D03F3E" w:rsidRDefault="00531570" w:rsidP="00D03F3E">
            <w:pPr>
              <w:pStyle w:val="Iauiue"/>
              <w:jc w:val="both"/>
              <w:rPr>
                <w:color w:val="000000" w:themeColor="text1"/>
                <w:sz w:val="16"/>
                <w:szCs w:val="16"/>
              </w:rPr>
            </w:pPr>
          </w:p>
        </w:tc>
        <w:tc>
          <w:tcPr>
            <w:tcW w:w="2254" w:type="dxa"/>
          </w:tcPr>
          <w:p w14:paraId="1161201E" w14:textId="77777777" w:rsidR="00531570" w:rsidRPr="00D03F3E" w:rsidRDefault="00531570" w:rsidP="00D03F3E">
            <w:pPr>
              <w:pStyle w:val="Iauiue"/>
              <w:jc w:val="both"/>
              <w:rPr>
                <w:color w:val="000000" w:themeColor="text1"/>
                <w:sz w:val="16"/>
                <w:szCs w:val="16"/>
              </w:rPr>
            </w:pPr>
          </w:p>
        </w:tc>
        <w:tc>
          <w:tcPr>
            <w:tcW w:w="2254" w:type="dxa"/>
          </w:tcPr>
          <w:p w14:paraId="5619C84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высоте 1000 м</w:t>
            </w:r>
          </w:p>
        </w:tc>
      </w:tr>
      <w:tr w:rsidR="00860B4B" w:rsidRPr="00D03F3E" w14:paraId="3914EF83" w14:textId="77777777">
        <w:tc>
          <w:tcPr>
            <w:tcW w:w="2254" w:type="dxa"/>
          </w:tcPr>
          <w:p w14:paraId="2EE9C303" w14:textId="77777777" w:rsidR="00531570" w:rsidRPr="00D03F3E" w:rsidRDefault="00531570" w:rsidP="00D03F3E">
            <w:pPr>
              <w:pStyle w:val="Iauiue"/>
              <w:jc w:val="both"/>
              <w:rPr>
                <w:color w:val="000000" w:themeColor="text1"/>
                <w:sz w:val="16"/>
                <w:szCs w:val="16"/>
              </w:rPr>
            </w:pPr>
          </w:p>
        </w:tc>
        <w:tc>
          <w:tcPr>
            <w:tcW w:w="2254" w:type="dxa"/>
          </w:tcPr>
          <w:p w14:paraId="58EB0C1A" w14:textId="77777777" w:rsidR="00531570" w:rsidRPr="00D03F3E" w:rsidRDefault="00531570" w:rsidP="00D03F3E">
            <w:pPr>
              <w:pStyle w:val="Iauiue"/>
              <w:jc w:val="both"/>
              <w:rPr>
                <w:color w:val="000000" w:themeColor="text1"/>
                <w:sz w:val="16"/>
                <w:szCs w:val="16"/>
              </w:rPr>
            </w:pPr>
          </w:p>
        </w:tc>
        <w:tc>
          <w:tcPr>
            <w:tcW w:w="2254" w:type="dxa"/>
          </w:tcPr>
          <w:p w14:paraId="4C3C1C4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км</w:t>
            </w:r>
          </w:p>
        </w:tc>
      </w:tr>
      <w:tr w:rsidR="00860B4B" w:rsidRPr="00D03F3E" w14:paraId="56DD193D" w14:textId="77777777">
        <w:tc>
          <w:tcPr>
            <w:tcW w:w="2254" w:type="dxa"/>
          </w:tcPr>
          <w:p w14:paraId="73353EC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Лагг-3 </w:t>
            </w:r>
          </w:p>
        </w:tc>
        <w:tc>
          <w:tcPr>
            <w:tcW w:w="2254" w:type="dxa"/>
          </w:tcPr>
          <w:p w14:paraId="5CB5DEA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М-105 ПФ</w:t>
            </w:r>
          </w:p>
        </w:tc>
        <w:tc>
          <w:tcPr>
            <w:tcW w:w="2254" w:type="dxa"/>
          </w:tcPr>
          <w:p w14:paraId="482BE42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860</w:t>
            </w:r>
          </w:p>
        </w:tc>
      </w:tr>
      <w:tr w:rsidR="00860B4B" w:rsidRPr="00D03F3E" w14:paraId="16236427" w14:textId="77777777">
        <w:tc>
          <w:tcPr>
            <w:tcW w:w="2254" w:type="dxa"/>
          </w:tcPr>
          <w:p w14:paraId="7B1E2E4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Ла-5</w:t>
            </w:r>
          </w:p>
        </w:tc>
        <w:tc>
          <w:tcPr>
            <w:tcW w:w="2254" w:type="dxa"/>
          </w:tcPr>
          <w:p w14:paraId="4FE2099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М-82 и с М-82ФН</w:t>
            </w:r>
          </w:p>
        </w:tc>
        <w:tc>
          <w:tcPr>
            <w:tcW w:w="2254" w:type="dxa"/>
          </w:tcPr>
          <w:p w14:paraId="2D97083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900</w:t>
            </w:r>
          </w:p>
        </w:tc>
      </w:tr>
      <w:tr w:rsidR="00860B4B" w:rsidRPr="00D03F3E" w14:paraId="065B223B" w14:textId="77777777">
        <w:tc>
          <w:tcPr>
            <w:tcW w:w="2254" w:type="dxa"/>
          </w:tcPr>
          <w:p w14:paraId="66C5DFC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Ла-5</w:t>
            </w:r>
          </w:p>
        </w:tc>
        <w:tc>
          <w:tcPr>
            <w:tcW w:w="2254" w:type="dxa"/>
          </w:tcPr>
          <w:p w14:paraId="50274E5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М-71</w:t>
            </w:r>
          </w:p>
        </w:tc>
        <w:tc>
          <w:tcPr>
            <w:tcW w:w="2254" w:type="dxa"/>
          </w:tcPr>
          <w:p w14:paraId="0EF5CA3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870</w:t>
            </w:r>
          </w:p>
        </w:tc>
      </w:tr>
      <w:tr w:rsidR="00860B4B" w:rsidRPr="00D03F3E" w14:paraId="2DCECACA" w14:textId="77777777">
        <w:tc>
          <w:tcPr>
            <w:tcW w:w="2254" w:type="dxa"/>
          </w:tcPr>
          <w:p w14:paraId="713CF624"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Як-1</w:t>
            </w:r>
          </w:p>
        </w:tc>
        <w:tc>
          <w:tcPr>
            <w:tcW w:w="2254" w:type="dxa"/>
          </w:tcPr>
          <w:p w14:paraId="4ABBB29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М-105ПФ</w:t>
            </w:r>
          </w:p>
        </w:tc>
        <w:tc>
          <w:tcPr>
            <w:tcW w:w="2254" w:type="dxa"/>
          </w:tcPr>
          <w:p w14:paraId="1DBE6FA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900</w:t>
            </w:r>
          </w:p>
        </w:tc>
      </w:tr>
      <w:tr w:rsidR="00860B4B" w:rsidRPr="00D03F3E" w14:paraId="242837D6" w14:textId="77777777">
        <w:tc>
          <w:tcPr>
            <w:tcW w:w="2254" w:type="dxa"/>
          </w:tcPr>
          <w:p w14:paraId="71466EC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Як-7</w:t>
            </w:r>
          </w:p>
        </w:tc>
        <w:tc>
          <w:tcPr>
            <w:tcW w:w="2254" w:type="dxa"/>
          </w:tcPr>
          <w:p w14:paraId="3615193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М-105ПФ</w:t>
            </w:r>
          </w:p>
        </w:tc>
        <w:tc>
          <w:tcPr>
            <w:tcW w:w="2254" w:type="dxa"/>
          </w:tcPr>
          <w:p w14:paraId="6274568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870</w:t>
            </w:r>
          </w:p>
        </w:tc>
      </w:tr>
      <w:tr w:rsidR="00860B4B" w:rsidRPr="00D03F3E" w14:paraId="03093301" w14:textId="77777777">
        <w:tc>
          <w:tcPr>
            <w:tcW w:w="2254" w:type="dxa"/>
          </w:tcPr>
          <w:p w14:paraId="35F2C87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Як-9</w:t>
            </w:r>
          </w:p>
        </w:tc>
        <w:tc>
          <w:tcPr>
            <w:tcW w:w="2254" w:type="dxa"/>
          </w:tcPr>
          <w:p w14:paraId="3E0127C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М-105ПФ</w:t>
            </w:r>
          </w:p>
        </w:tc>
        <w:tc>
          <w:tcPr>
            <w:tcW w:w="2254" w:type="dxa"/>
          </w:tcPr>
          <w:p w14:paraId="4D6050D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1400</w:t>
            </w:r>
          </w:p>
        </w:tc>
      </w:tr>
      <w:tr w:rsidR="00860B4B" w:rsidRPr="00D03F3E" w14:paraId="0859FFD7" w14:textId="77777777">
        <w:tc>
          <w:tcPr>
            <w:tcW w:w="2254" w:type="dxa"/>
          </w:tcPr>
          <w:p w14:paraId="12F64F0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Як-9</w:t>
            </w:r>
          </w:p>
        </w:tc>
        <w:tc>
          <w:tcPr>
            <w:tcW w:w="2254" w:type="dxa"/>
          </w:tcPr>
          <w:p w14:paraId="0E41C89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М-107А</w:t>
            </w:r>
          </w:p>
        </w:tc>
        <w:tc>
          <w:tcPr>
            <w:tcW w:w="2254" w:type="dxa"/>
          </w:tcPr>
          <w:p w14:paraId="0CB7F5B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1200</w:t>
            </w:r>
          </w:p>
        </w:tc>
      </w:tr>
    </w:tbl>
    <w:p w14:paraId="7FB8A1D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Как видно из указанных данных на наивыгоднейшем режиме полета, самолет Як-9 с М-105ПФ имеет дальность 1400 км, самолет Як-9 М-107А - 1200 км и самолеты Лагг-3, Ла-5, Як-1 и Як-7, уступая самолету Як-9, обладают дальностью в пределах 860-900 км.</w:t>
      </w:r>
    </w:p>
    <w:p w14:paraId="69257A9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Сравнение по дальности наших и иностранных истребителей показывает, что наибольшая дальность последних образцов серийных германских истребителей Фокке-Вульф 190 и Мессершмитт 109-G2, составляющая соответственно - 850 км и 800 км, несколько меньше, чем у наших истребителей Лагг-3, Ла-5, Як-1 и Як-7 и значительно уступает дальности истребителя Як-9; только отдельные образцы американских истребителей, как например, Р-51 Норт-Америкен "Мустанг", обладают большей дальностью, но это - самолеты другого класса, большего веса и габаритов по сравнению с нашими и немецкими истребителями.</w:t>
      </w:r>
    </w:p>
    <w:p w14:paraId="5DDBCED6"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результате проработки вопроса об увеличении дальности наших истребителей выявлено, что для самолетов Лагг-3, Ла-5, Як-1 и Як-7 увеличение дальности до 1200 км потребует увеличить на 35-40% имеющийся запас горючего.</w:t>
      </w:r>
    </w:p>
    <w:p w14:paraId="549AD07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Добавление горючего, масла и установка дополнительного бензинового бака вызовут возрастание полетного веса у этих самолетов в среднем на 190 кг, что значительно ухудшит их маневренные свойства и взлетные качества. Утяжеление истребителя на 190 кг повлечет за собою удлинение его разбега на 12-13%.</w:t>
      </w:r>
    </w:p>
    <w:p w14:paraId="523D491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Указанное ухудшение маневренных и взлетных качеств из-за увеличения веса самолета - недопустимо для фронтовых истребителей, почему при увеличении дальности необходимо сохранить полетный вес самолета, что может быть достигнуто только путем облегчения веса конструкции.</w:t>
      </w:r>
    </w:p>
    <w:p w14:paraId="1428DC1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Эта задача в настоящее время решена для серийного самолета Як-9 путем перехода на металлические лонжероны крыльев7</w:t>
      </w:r>
    </w:p>
    <w:p w14:paraId="7E90C3D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самолета Ла-5 испытан опытный образец с металлическими лонжеронами, имеющий вес, облегченный на 120 кг. Для этого варианта самолета поэтому также возможно увеличить дальность без ухудшения летных свойств до 1100 км, путем установки добавочного бака в фюзеляже.</w:t>
      </w:r>
    </w:p>
    <w:p w14:paraId="12B6B6C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Таким образом, в первую очередь целесообразно обеспечить дальность 1100-1200 км на истребителях Ла-5 с металлическими лонжеронами, сохранив прежнюю дальность на самолетах Як-1, Лагг-3 и Як-7, из которых последний постепенно заменяется самолетом Як-9, имеющим дальность - 1400 км.</w:t>
      </w:r>
    </w:p>
    <w:p w14:paraId="068E9A7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Прилагаю проект постановления (1458,315).</w:t>
      </w:r>
    </w:p>
    <w:p w14:paraId="27C91E47" w14:textId="77777777" w:rsidR="00531570" w:rsidRPr="00D03F3E" w:rsidRDefault="00531570" w:rsidP="00D03F3E">
      <w:pPr>
        <w:pStyle w:val="Iauiue"/>
        <w:jc w:val="both"/>
        <w:rPr>
          <w:color w:val="000000" w:themeColor="text1"/>
          <w:sz w:val="16"/>
          <w:szCs w:val="16"/>
        </w:rPr>
      </w:pPr>
    </w:p>
    <w:p w14:paraId="699B491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 июня 1943 Нач. УЗСМ ГУЗ ВВС КА г-м ИАС Алексеев направил письмо N 555831 Зам. НКАП Воронину о том, что по при испытании 7 Як-1, проведенных в 3 ИАК л НИИ ВВС м Прошаковым, выявлено много дефектов (1778,180).</w:t>
      </w:r>
    </w:p>
    <w:p w14:paraId="05507D4F" w14:textId="77777777" w:rsidR="00531570" w:rsidRPr="00D03F3E" w:rsidRDefault="00531570" w:rsidP="00D03F3E">
      <w:pPr>
        <w:pStyle w:val="Iauiue"/>
        <w:jc w:val="both"/>
        <w:rPr>
          <w:color w:val="000000" w:themeColor="text1"/>
          <w:sz w:val="16"/>
          <w:szCs w:val="16"/>
        </w:rPr>
      </w:pPr>
    </w:p>
    <w:p w14:paraId="7BE3F3C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 июня 1943 Нач. УЗСМ ГУЗ ВВС КА Алексеев писал письмо N 555831 Зам. НКАП Воронину по вопросу дефектов Як-1, выявленных при испытаниях 7 машин в 3ИАК л НИИ ВВС КА Прошаковым (1784).</w:t>
      </w:r>
    </w:p>
    <w:p w14:paraId="730BD5FB" w14:textId="77777777" w:rsidR="00531570" w:rsidRPr="00D03F3E" w:rsidRDefault="00531570" w:rsidP="00D03F3E">
      <w:pPr>
        <w:pStyle w:val="Iauiue"/>
        <w:jc w:val="both"/>
        <w:rPr>
          <w:color w:val="000000" w:themeColor="text1"/>
          <w:sz w:val="16"/>
          <w:szCs w:val="16"/>
        </w:rPr>
      </w:pPr>
    </w:p>
    <w:p w14:paraId="281D037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15 июня 1943 </w:t>
      </w:r>
      <w:r w:rsidRPr="00D03F3E">
        <w:rPr>
          <w:rFonts w:ascii="Times New Roman" w:hAnsi="Times New Roman"/>
          <w:iCs/>
          <w:color w:val="000000" w:themeColor="text1"/>
          <w:sz w:val="16"/>
          <w:szCs w:val="16"/>
        </w:rPr>
        <w:t xml:space="preserve">г. </w:t>
      </w:r>
      <w:r w:rsidRPr="00D03F3E">
        <w:rPr>
          <w:rFonts w:ascii="Times New Roman" w:hAnsi="Times New Roman"/>
          <w:color w:val="000000" w:themeColor="text1"/>
          <w:sz w:val="16"/>
          <w:szCs w:val="16"/>
        </w:rPr>
        <w:t>Шахурин доложил Сталину об испытаниях Ла-5 с металлическими лонжеронами, полки которых были выполнены из дюраля. Самолет удалось облегчить на 120 кг. Но внедрить в произ</w:t>
      </w:r>
      <w:r w:rsidRPr="00D03F3E">
        <w:rPr>
          <w:rFonts w:ascii="Times New Roman" w:hAnsi="Times New Roman"/>
          <w:color w:val="000000" w:themeColor="text1"/>
          <w:sz w:val="16"/>
          <w:szCs w:val="16"/>
        </w:rPr>
        <w:softHyphen/>
        <w:t>водство такое крыло для Ла-5ФН удалось лишь к концу 1943 г (11123).</w:t>
      </w:r>
    </w:p>
    <w:p w14:paraId="7C1B64E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41FB600A"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 июня 1943 года М.Гудков писал А.И.Ш..</w:t>
      </w:r>
    </w:p>
    <w:p w14:paraId="63A0435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Дорогой Алексей Иванович!</w:t>
      </w:r>
    </w:p>
    <w:p w14:paraId="1645179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Как Вам известно, меня постигло большое несчастье. Все мои надежды и будущее, как конструктора, подверглись ужасному удару.</w:t>
      </w:r>
    </w:p>
    <w:p w14:paraId="73A59B7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Вся труднейшая работа в течении 3-х лет долгого и упорного труда - прошла бесполезно.</w:t>
      </w:r>
    </w:p>
    <w:p w14:paraId="33493DB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 xml:space="preserve">Для меня это непоправимое горе, я потерял в лице Никишина друга, товарища с которым был связан дружбой еще с 1925 года по Качинской авиационной школе, где </w:t>
      </w:r>
      <w:r w:rsidRPr="00D03F3E">
        <w:rPr>
          <w:color w:val="000000" w:themeColor="text1"/>
          <w:sz w:val="16"/>
          <w:szCs w:val="16"/>
        </w:rPr>
        <w:lastRenderedPageBreak/>
        <w:t>мы вместе учились летать и к тому же я потерял свое детище - самолет, в который вкладывал всю свою жизнь.</w:t>
      </w:r>
    </w:p>
    <w:p w14:paraId="1BD1F63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Но такая ужасная потеря и друга и самолета была бы менее тяжела, если бы я знал, почему и по какой причине произошла катастрофа. Эта неизвестность и неведение заставляет меня все время находиться в состоянии поисков причин, приведших к столь ужасному результату.</w:t>
      </w:r>
    </w:p>
    <w:p w14:paraId="60DE85A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Причина катастрофы мне непонятна, я ее не понимаю и не могу понять, т.к. по всем моим расчетам получается, что все сделано правильно и ни в коем случае не должно было привести к катастрофе.</w:t>
      </w:r>
    </w:p>
    <w:p w14:paraId="53BB097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Поэтому обращаюсь к Вам, Алексей Иванович, за помощью и поддержкой и прошу Вас разрешить провести продувки в натуральной аэродинамической трубе - моего самолета, где я смогу всесторонне провести аэродинамическое исследование и после этого убедиться, что мои расчеты правильны и аэродинамика самолета так же сделана правильно. Либо продувки покажут, что я ошибся и аэродинамика самолета, сделанная мною, неправильна. Только после проведения этих аэродинамических исследований - будет ясна причина приведшая к катастрофе. Тогда будет ясно и мне и всем.</w:t>
      </w:r>
    </w:p>
    <w:p w14:paraId="4966652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Почему я прошу Вас разрешить мне сделать это. Только потому, что эта работа поможет снять с меня то тяжелое бремя, которое столь неожиданно свалилось на меня, а это бремя очень тяжело, т.к. помимо того, что я потерял друга и самолет - я не оправдал самого главного - доверия товарища Сталина.</w:t>
      </w:r>
    </w:p>
    <w:p w14:paraId="78447ED5"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Выводы аварийной комиссии построенные только на предположениях, а предположение это очень отвлеченное понятие, и рассуждения которые приведены в акте аварийной комиссии не очень убедительны.</w:t>
      </w:r>
    </w:p>
    <w:p w14:paraId="76C2AB82"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Убедительно прошу Вас пойти мне навстречу и удовлетворить мою просьбу (1458,187).</w:t>
      </w:r>
    </w:p>
    <w:p w14:paraId="253A9D6E" w14:textId="77777777" w:rsidR="00531570" w:rsidRPr="00D03F3E" w:rsidRDefault="00531570" w:rsidP="00D03F3E">
      <w:pPr>
        <w:pStyle w:val="Iauiue"/>
        <w:jc w:val="both"/>
        <w:rPr>
          <w:color w:val="000000" w:themeColor="text1"/>
          <w:sz w:val="16"/>
          <w:szCs w:val="16"/>
        </w:rPr>
      </w:pPr>
    </w:p>
    <w:p w14:paraId="54B63A8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 июня 1943 года Постановлением ГКО за № 3587 завод № 29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6DF06EBC"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3BD521C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7A7C9B8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Адрес: Омск, Б. Хмельницкого – 281, п/я 64</w:t>
      </w:r>
    </w:p>
    <w:p w14:paraId="1967E05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41162FF7" w14:textId="77777777" w:rsidR="00531570" w:rsidRPr="00D03F3E" w:rsidRDefault="00531570" w:rsidP="00D03F3E">
      <w:pPr>
        <w:pStyle w:val="Iauiue"/>
        <w:jc w:val="both"/>
        <w:rPr>
          <w:color w:val="000000" w:themeColor="text1"/>
          <w:sz w:val="16"/>
          <w:szCs w:val="16"/>
        </w:rPr>
      </w:pPr>
    </w:p>
    <w:p w14:paraId="0B3ADFB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 года вышло Постановление ГКО №3586 «Об увеличе</w:t>
      </w:r>
      <w:r w:rsidRPr="00D03F3E">
        <w:rPr>
          <w:rFonts w:ascii="Times New Roman" w:hAnsi="Times New Roman"/>
          <w:color w:val="000000" w:themeColor="text1"/>
          <w:sz w:val="16"/>
          <w:szCs w:val="16"/>
        </w:rPr>
        <w:softHyphen/>
        <w:t>нии выпуска авиамоторов М-82ФН и насосов непосредственного впрыска НБЗ-У», которое обязывало завод №19 довести выпуск моторов М-82ФН к концу III квартала 1943 года до 24 шт. и к концу IV квартала 1943 года - до 30 шт. в сутки, завод №296 довести вы</w:t>
      </w:r>
      <w:r w:rsidRPr="00D03F3E">
        <w:rPr>
          <w:rFonts w:ascii="Times New Roman" w:hAnsi="Times New Roman"/>
          <w:color w:val="000000" w:themeColor="text1"/>
          <w:sz w:val="16"/>
          <w:szCs w:val="16"/>
        </w:rPr>
        <w:softHyphen/>
        <w:t>пуск насосов НБЗ-У к концу 1943 года до 600 шт. в месяц. Кроме того, пред</w:t>
      </w:r>
      <w:r w:rsidRPr="00D03F3E">
        <w:rPr>
          <w:rFonts w:ascii="Times New Roman" w:hAnsi="Times New Roman"/>
          <w:color w:val="000000" w:themeColor="text1"/>
          <w:sz w:val="16"/>
          <w:szCs w:val="16"/>
        </w:rPr>
        <w:softHyphen/>
        <w:t>писывалось производство насосов НБЗ-У на заводе №20, где обеспе</w:t>
      </w:r>
      <w:r w:rsidRPr="00D03F3E">
        <w:rPr>
          <w:rFonts w:ascii="Times New Roman" w:hAnsi="Times New Roman"/>
          <w:color w:val="000000" w:themeColor="text1"/>
          <w:sz w:val="16"/>
          <w:szCs w:val="16"/>
        </w:rPr>
        <w:softHyphen/>
        <w:t>чить их выпуск к концу 1943 года до 300 шт. в месяц. Наркомат внешней торговли должен был поставить в III и IV кварталах 1943 года заводам №№19 и 20 444 металлорежущих станка, а наркоматы станкостроения, боеприпасов и вооружения - поста</w:t>
      </w:r>
      <w:r w:rsidRPr="00D03F3E">
        <w:rPr>
          <w:rFonts w:ascii="Times New Roman" w:hAnsi="Times New Roman"/>
          <w:color w:val="000000" w:themeColor="text1"/>
          <w:sz w:val="16"/>
          <w:szCs w:val="16"/>
        </w:rPr>
        <w:softHyphen/>
        <w:t>вить заводам №№19, 20 и 296 - 298 металлорежущих станков (10723).</w:t>
      </w:r>
    </w:p>
    <w:p w14:paraId="6CA51FC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5C2281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 года вышло постановление ГКО №3587 от «О производстве моторов М-82ФН на заводе №29 НКАП в г. Омске», которое пред</w:t>
      </w:r>
      <w:r w:rsidRPr="00D03F3E">
        <w:rPr>
          <w:rFonts w:ascii="Times New Roman" w:hAnsi="Times New Roman"/>
          <w:color w:val="000000" w:themeColor="text1"/>
          <w:sz w:val="16"/>
          <w:szCs w:val="16"/>
        </w:rPr>
        <w:softHyphen/>
        <w:t>писывало снова организовать произ</w:t>
      </w:r>
      <w:r w:rsidRPr="00D03F3E">
        <w:rPr>
          <w:rFonts w:ascii="Times New Roman" w:hAnsi="Times New Roman"/>
          <w:color w:val="000000" w:themeColor="text1"/>
          <w:sz w:val="16"/>
          <w:szCs w:val="16"/>
        </w:rPr>
        <w:softHyphen/>
        <w:t>водство и выпустить там в 1943 году 250 моторов М-82ФН, в том числе в июле в августе - 10, в сентябре -15, в октябре - 50, в ноябре - 75, в декабре - 100. Правда, в сентябре постановлением №4164 задание за</w:t>
      </w:r>
      <w:r w:rsidRPr="00D03F3E">
        <w:rPr>
          <w:rFonts w:ascii="Times New Roman" w:hAnsi="Times New Roman"/>
          <w:color w:val="000000" w:themeColor="text1"/>
          <w:sz w:val="16"/>
          <w:szCs w:val="16"/>
        </w:rPr>
        <w:softHyphen/>
        <w:t>воду №29 по мотору М-82ФН было уменьшено: на октябрь - 25, ноябрь - 50 и декабрь - 75 моторов М-82ФН (10723).</w:t>
      </w:r>
    </w:p>
    <w:p w14:paraId="548980D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1761835A" w14:textId="77777777" w:rsidR="001F7B35" w:rsidRPr="00D03F3E" w:rsidRDefault="001F7B35" w:rsidP="00D03F3E">
      <w:pPr>
        <w:pStyle w:val="ae"/>
        <w:spacing w:before="0" w:after="0"/>
        <w:jc w:val="both"/>
        <w:textAlignment w:val="baseline"/>
        <w:rPr>
          <w:color w:val="0070C0"/>
          <w:sz w:val="16"/>
          <w:szCs w:val="16"/>
        </w:rPr>
      </w:pPr>
      <w:r w:rsidRPr="00D03F3E">
        <w:rPr>
          <w:color w:val="0070C0"/>
          <w:sz w:val="16"/>
          <w:szCs w:val="16"/>
          <w:bdr w:val="none" w:sz="0" w:space="0" w:color="auto" w:frame="1"/>
        </w:rPr>
        <w:t>15 июня 1943 ГКО постановил закупить в США 2000 моторов </w:t>
      </w:r>
      <w:r w:rsidRPr="00D03F3E">
        <w:rPr>
          <w:color w:val="0070C0"/>
          <w:sz w:val="16"/>
          <w:szCs w:val="16"/>
          <w:bdr w:val="none" w:sz="0" w:space="0" w:color="auto" w:frame="1"/>
          <w:lang w:val="en-US"/>
        </w:rPr>
        <w:t>R</w:t>
      </w:r>
      <w:r w:rsidRPr="00D03F3E">
        <w:rPr>
          <w:color w:val="0070C0"/>
          <w:sz w:val="16"/>
          <w:szCs w:val="16"/>
          <w:bdr w:val="none" w:sz="0" w:space="0" w:color="auto" w:frame="1"/>
        </w:rPr>
        <w:t>-1820-</w:t>
      </w:r>
      <w:r w:rsidRPr="00D03F3E">
        <w:rPr>
          <w:color w:val="0070C0"/>
          <w:sz w:val="16"/>
          <w:szCs w:val="16"/>
          <w:bdr w:val="none" w:sz="0" w:space="0" w:color="auto" w:frame="1"/>
          <w:lang w:val="en-US"/>
        </w:rPr>
        <w:t>G</w:t>
      </w:r>
      <w:r w:rsidRPr="00D03F3E">
        <w:rPr>
          <w:color w:val="0070C0"/>
          <w:sz w:val="16"/>
          <w:szCs w:val="16"/>
          <w:bdr w:val="none" w:sz="0" w:space="0" w:color="auto" w:frame="1"/>
        </w:rPr>
        <w:t>2</w:t>
      </w:r>
      <w:r w:rsidRPr="00D03F3E">
        <w:rPr>
          <w:color w:val="0070C0"/>
          <w:sz w:val="16"/>
          <w:szCs w:val="16"/>
          <w:bdr w:val="none" w:sz="0" w:space="0" w:color="auto" w:frame="1"/>
          <w:lang w:val="en-US"/>
        </w:rPr>
        <w:t> </w:t>
      </w:r>
      <w:r w:rsidRPr="00D03F3E">
        <w:rPr>
          <w:color w:val="0070C0"/>
          <w:sz w:val="16"/>
          <w:szCs w:val="16"/>
          <w:bdr w:val="none" w:sz="0" w:space="0" w:color="auto" w:frame="1"/>
        </w:rPr>
        <w:t>для монтажа на этот самолет. Тип </w:t>
      </w:r>
      <w:r w:rsidRPr="00D03F3E">
        <w:rPr>
          <w:color w:val="0070C0"/>
          <w:sz w:val="16"/>
          <w:szCs w:val="16"/>
          <w:bdr w:val="none" w:sz="0" w:space="0" w:color="auto" w:frame="1"/>
          <w:lang w:val="en-US"/>
        </w:rPr>
        <w:t>G</w:t>
      </w:r>
      <w:r w:rsidRPr="00D03F3E">
        <w:rPr>
          <w:color w:val="0070C0"/>
          <w:sz w:val="16"/>
          <w:szCs w:val="16"/>
          <w:bdr w:val="none" w:sz="0" w:space="0" w:color="auto" w:frame="1"/>
        </w:rPr>
        <w:t>2</w:t>
      </w:r>
      <w:r w:rsidRPr="00D03F3E">
        <w:rPr>
          <w:color w:val="0070C0"/>
          <w:sz w:val="16"/>
          <w:szCs w:val="16"/>
          <w:bdr w:val="none" w:sz="0" w:space="0" w:color="auto" w:frame="1"/>
          <w:lang w:val="en-US"/>
        </w:rPr>
        <w:t> </w:t>
      </w:r>
      <w:r w:rsidRPr="00D03F3E">
        <w:rPr>
          <w:color w:val="0070C0"/>
          <w:sz w:val="16"/>
          <w:szCs w:val="16"/>
          <w:bdr w:val="none" w:sz="0" w:space="0" w:color="auto" w:frame="1"/>
        </w:rPr>
        <w:t>примерно соответствовал М-62ИР, который ему предстояло заменить. Именно </w:t>
      </w:r>
      <w:r w:rsidRPr="00D03F3E">
        <w:rPr>
          <w:color w:val="0070C0"/>
          <w:sz w:val="16"/>
          <w:szCs w:val="16"/>
          <w:bdr w:val="none" w:sz="0" w:space="0" w:color="auto" w:frame="1"/>
          <w:lang w:val="en-US"/>
        </w:rPr>
        <w:t>R</w:t>
      </w:r>
      <w:r w:rsidRPr="00D03F3E">
        <w:rPr>
          <w:color w:val="0070C0"/>
          <w:sz w:val="16"/>
          <w:szCs w:val="16"/>
          <w:bdr w:val="none" w:sz="0" w:space="0" w:color="auto" w:frame="1"/>
        </w:rPr>
        <w:t>-1820-</w:t>
      </w:r>
      <w:r w:rsidRPr="00D03F3E">
        <w:rPr>
          <w:color w:val="0070C0"/>
          <w:sz w:val="16"/>
          <w:szCs w:val="16"/>
          <w:bdr w:val="none" w:sz="0" w:space="0" w:color="auto" w:frame="1"/>
          <w:lang w:val="en-US"/>
        </w:rPr>
        <w:t>G</w:t>
      </w:r>
      <w:r w:rsidRPr="00D03F3E">
        <w:rPr>
          <w:color w:val="0070C0"/>
          <w:sz w:val="16"/>
          <w:szCs w:val="16"/>
          <w:bdr w:val="none" w:sz="0" w:space="0" w:color="auto" w:frame="1"/>
        </w:rPr>
        <w:t>2</w:t>
      </w:r>
      <w:r w:rsidRPr="00D03F3E">
        <w:rPr>
          <w:color w:val="0070C0"/>
          <w:sz w:val="16"/>
          <w:szCs w:val="16"/>
          <w:bdr w:val="none" w:sz="0" w:space="0" w:color="auto" w:frame="1"/>
          <w:lang w:val="en-US"/>
        </w:rPr>
        <w:t> </w:t>
      </w:r>
      <w:r w:rsidRPr="00D03F3E">
        <w:rPr>
          <w:color w:val="0070C0"/>
          <w:sz w:val="16"/>
          <w:szCs w:val="16"/>
          <w:bdr w:val="none" w:sz="0" w:space="0" w:color="auto" w:frame="1"/>
        </w:rPr>
        <w:t>стояли на закупленных до войны партиях </w:t>
      </w:r>
      <w:r w:rsidRPr="00D03F3E">
        <w:rPr>
          <w:color w:val="0070C0"/>
          <w:sz w:val="16"/>
          <w:szCs w:val="16"/>
          <w:bdr w:val="none" w:sz="0" w:space="0" w:color="auto" w:frame="1"/>
          <w:lang w:val="en-US"/>
        </w:rPr>
        <w:t>DC</w:t>
      </w:r>
      <w:r w:rsidRPr="00D03F3E">
        <w:rPr>
          <w:color w:val="0070C0"/>
          <w:sz w:val="16"/>
          <w:szCs w:val="16"/>
          <w:bdr w:val="none" w:sz="0" w:space="0" w:color="auto" w:frame="1"/>
        </w:rPr>
        <w:t>-3.</w:t>
      </w:r>
    </w:p>
    <w:p w14:paraId="12F8D4F6" w14:textId="77777777" w:rsidR="001F7B35" w:rsidRPr="00D03F3E" w:rsidRDefault="001F7B35" w:rsidP="00D03F3E">
      <w:pPr>
        <w:pStyle w:val="ae"/>
        <w:spacing w:before="0" w:after="0"/>
        <w:jc w:val="both"/>
        <w:textAlignment w:val="baseline"/>
        <w:rPr>
          <w:color w:val="0070C0"/>
          <w:sz w:val="16"/>
          <w:szCs w:val="16"/>
        </w:rPr>
      </w:pPr>
      <w:r w:rsidRPr="00D03F3E">
        <w:rPr>
          <w:color w:val="0070C0"/>
          <w:sz w:val="16"/>
          <w:szCs w:val="16"/>
          <w:bdr w:val="none" w:sz="0" w:space="0" w:color="auto" w:frame="1"/>
        </w:rPr>
        <w:t>Советская миссия в США обратилась с просьбой поставить 2000 </w:t>
      </w:r>
      <w:r w:rsidRPr="00D03F3E">
        <w:rPr>
          <w:color w:val="0070C0"/>
          <w:sz w:val="16"/>
          <w:szCs w:val="16"/>
          <w:bdr w:val="none" w:sz="0" w:space="0" w:color="auto" w:frame="1"/>
          <w:lang w:val="en-US"/>
        </w:rPr>
        <w:t>G</w:t>
      </w:r>
      <w:r w:rsidRPr="00D03F3E">
        <w:rPr>
          <w:color w:val="0070C0"/>
          <w:sz w:val="16"/>
          <w:szCs w:val="16"/>
          <w:bdr w:val="none" w:sz="0" w:space="0" w:color="auto" w:frame="1"/>
        </w:rPr>
        <w:t>2,</w:t>
      </w:r>
      <w:r w:rsidRPr="00D03F3E">
        <w:rPr>
          <w:color w:val="0070C0"/>
          <w:sz w:val="16"/>
          <w:szCs w:val="16"/>
          <w:bdr w:val="none" w:sz="0" w:space="0" w:color="auto" w:frame="1"/>
          <w:lang w:val="en-US"/>
        </w:rPr>
        <w:t> </w:t>
      </w:r>
      <w:r w:rsidRPr="00D03F3E">
        <w:rPr>
          <w:color w:val="0070C0"/>
          <w:sz w:val="16"/>
          <w:szCs w:val="16"/>
          <w:bdr w:val="none" w:sz="0" w:space="0" w:color="auto" w:frame="1"/>
        </w:rPr>
        <w:t>но получила отказ. Не потому, что американцы имели другие планы их использования, а потому, что эту модель сняли с производства в начале 1942 г. На складах «Райт» нашлись 120 залежавшихся двигателей этого типа, которые предъявили советским представителям. Из них отобрали 52 штуки и отправили морем в СССР. По дороге один пароход потопили, и с ним ушли на дно 10 моторов. По-видимому, остальные </w:t>
      </w:r>
      <w:r w:rsidRPr="00D03F3E">
        <w:rPr>
          <w:color w:val="0070C0"/>
          <w:sz w:val="16"/>
          <w:szCs w:val="16"/>
          <w:bdr w:val="none" w:sz="0" w:space="0" w:color="auto" w:frame="1"/>
          <w:lang w:val="en-US"/>
        </w:rPr>
        <w:t>G</w:t>
      </w:r>
      <w:r w:rsidRPr="00D03F3E">
        <w:rPr>
          <w:color w:val="0070C0"/>
          <w:sz w:val="16"/>
          <w:szCs w:val="16"/>
          <w:bdr w:val="none" w:sz="0" w:space="0" w:color="auto" w:frame="1"/>
        </w:rPr>
        <w:t>2</w:t>
      </w:r>
      <w:r w:rsidRPr="00D03F3E">
        <w:rPr>
          <w:color w:val="0070C0"/>
          <w:sz w:val="16"/>
          <w:szCs w:val="16"/>
          <w:bdr w:val="none" w:sz="0" w:space="0" w:color="auto" w:frame="1"/>
          <w:lang w:val="en-US"/>
        </w:rPr>
        <w:t> </w:t>
      </w:r>
      <w:r w:rsidRPr="00D03F3E">
        <w:rPr>
          <w:color w:val="0070C0"/>
          <w:sz w:val="16"/>
          <w:szCs w:val="16"/>
          <w:bdr w:val="none" w:sz="0" w:space="0" w:color="auto" w:frame="1"/>
        </w:rPr>
        <w:t>использовали как запасные к еще эксплуатировавшимся у нас </w:t>
      </w:r>
      <w:r w:rsidRPr="00D03F3E">
        <w:rPr>
          <w:color w:val="0070C0"/>
          <w:sz w:val="16"/>
          <w:szCs w:val="16"/>
          <w:bdr w:val="none" w:sz="0" w:space="0" w:color="auto" w:frame="1"/>
          <w:lang w:val="en-US"/>
        </w:rPr>
        <w:t>DC</w:t>
      </w:r>
      <w:r w:rsidRPr="00D03F3E">
        <w:rPr>
          <w:color w:val="0070C0"/>
          <w:sz w:val="16"/>
          <w:szCs w:val="16"/>
          <w:bdr w:val="none" w:sz="0" w:space="0" w:color="auto" w:frame="1"/>
        </w:rPr>
        <w:t>-3.</w:t>
      </w:r>
    </w:p>
    <w:p w14:paraId="6F0E9CDC" w14:textId="77777777" w:rsidR="001F7B35" w:rsidRPr="00D03F3E" w:rsidRDefault="001F7B35" w:rsidP="00D03F3E">
      <w:pPr>
        <w:pStyle w:val="ae"/>
        <w:spacing w:before="0" w:after="0"/>
        <w:jc w:val="both"/>
        <w:textAlignment w:val="baseline"/>
        <w:rPr>
          <w:color w:val="0070C0"/>
          <w:sz w:val="16"/>
          <w:szCs w:val="16"/>
        </w:rPr>
      </w:pPr>
      <w:r w:rsidRPr="00D03F3E">
        <w:rPr>
          <w:color w:val="0070C0"/>
          <w:sz w:val="16"/>
          <w:szCs w:val="16"/>
          <w:bdr w:val="none" w:sz="0" w:space="0" w:color="auto" w:frame="1"/>
        </w:rPr>
        <w:t>Стали рассматривать возможность установки на Ли-2 двигателя типа </w:t>
      </w:r>
      <w:r w:rsidRPr="00D03F3E">
        <w:rPr>
          <w:color w:val="0070C0"/>
          <w:sz w:val="16"/>
          <w:szCs w:val="16"/>
          <w:bdr w:val="none" w:sz="0" w:space="0" w:color="auto" w:frame="1"/>
          <w:lang w:val="en-US"/>
        </w:rPr>
        <w:t>G</w:t>
      </w:r>
      <w:r w:rsidRPr="00D03F3E">
        <w:rPr>
          <w:color w:val="0070C0"/>
          <w:sz w:val="16"/>
          <w:szCs w:val="16"/>
          <w:bdr w:val="none" w:sz="0" w:space="0" w:color="auto" w:frame="1"/>
        </w:rPr>
        <w:t>100,</w:t>
      </w:r>
      <w:r w:rsidRPr="00D03F3E">
        <w:rPr>
          <w:color w:val="0070C0"/>
          <w:sz w:val="16"/>
          <w:szCs w:val="16"/>
          <w:bdr w:val="none" w:sz="0" w:space="0" w:color="auto" w:frame="1"/>
          <w:lang w:val="en-US"/>
        </w:rPr>
        <w:t> </w:t>
      </w:r>
      <w:r w:rsidRPr="00D03F3E">
        <w:rPr>
          <w:color w:val="0070C0"/>
          <w:sz w:val="16"/>
          <w:szCs w:val="16"/>
          <w:bdr w:val="none" w:sz="0" w:space="0" w:color="auto" w:frame="1"/>
        </w:rPr>
        <w:t>но и эту модификацию прекратили выпускать в начале 1943 г. Американцы предложили усовершенствованный </w:t>
      </w:r>
      <w:r w:rsidRPr="00D03F3E">
        <w:rPr>
          <w:color w:val="0070C0"/>
          <w:sz w:val="16"/>
          <w:szCs w:val="16"/>
          <w:bdr w:val="none" w:sz="0" w:space="0" w:color="auto" w:frame="1"/>
          <w:lang w:val="en-US"/>
        </w:rPr>
        <w:t>G</w:t>
      </w:r>
      <w:r w:rsidRPr="00D03F3E">
        <w:rPr>
          <w:color w:val="0070C0"/>
          <w:sz w:val="16"/>
          <w:szCs w:val="16"/>
          <w:bdr w:val="none" w:sz="0" w:space="0" w:color="auto" w:frame="1"/>
        </w:rPr>
        <w:t>202,</w:t>
      </w:r>
      <w:r w:rsidRPr="00D03F3E">
        <w:rPr>
          <w:color w:val="0070C0"/>
          <w:sz w:val="16"/>
          <w:szCs w:val="16"/>
          <w:bdr w:val="none" w:sz="0" w:space="0" w:color="auto" w:frame="1"/>
          <w:lang w:val="en-US"/>
        </w:rPr>
        <w:t> </w:t>
      </w:r>
      <w:r w:rsidRPr="00D03F3E">
        <w:rPr>
          <w:color w:val="0070C0"/>
          <w:sz w:val="16"/>
          <w:szCs w:val="16"/>
          <w:bdr w:val="none" w:sz="0" w:space="0" w:color="auto" w:frame="1"/>
        </w:rPr>
        <w:t>но его установка требовала слишком много изменений в самолете. В результате 7 октября 1943</w:t>
      </w:r>
      <w:r w:rsidRPr="00D03F3E">
        <w:rPr>
          <w:color w:val="0070C0"/>
          <w:sz w:val="16"/>
          <w:szCs w:val="16"/>
          <w:bdr w:val="none" w:sz="0" w:space="0" w:color="auto" w:frame="1"/>
          <w:lang w:val="en-US"/>
        </w:rPr>
        <w:t> </w:t>
      </w:r>
      <w:r w:rsidRPr="00D03F3E">
        <w:rPr>
          <w:color w:val="0070C0"/>
          <w:sz w:val="16"/>
          <w:szCs w:val="16"/>
          <w:bdr w:val="none" w:sz="0" w:space="0" w:color="auto" w:frame="1"/>
        </w:rPr>
        <w:t>г. уже утвержденный заказ на </w:t>
      </w:r>
      <w:r w:rsidRPr="00D03F3E">
        <w:rPr>
          <w:color w:val="0070C0"/>
          <w:sz w:val="16"/>
          <w:szCs w:val="16"/>
          <w:bdr w:val="none" w:sz="0" w:space="0" w:color="auto" w:frame="1"/>
          <w:lang w:val="en-US"/>
        </w:rPr>
        <w:t>G</w:t>
      </w:r>
      <w:r w:rsidRPr="00D03F3E">
        <w:rPr>
          <w:color w:val="0070C0"/>
          <w:sz w:val="16"/>
          <w:szCs w:val="16"/>
          <w:bdr w:val="none" w:sz="0" w:space="0" w:color="auto" w:frame="1"/>
        </w:rPr>
        <w:t>202</w:t>
      </w:r>
      <w:r w:rsidRPr="00D03F3E">
        <w:rPr>
          <w:color w:val="0070C0"/>
          <w:sz w:val="16"/>
          <w:szCs w:val="16"/>
          <w:bdr w:val="none" w:sz="0" w:space="0" w:color="auto" w:frame="1"/>
          <w:lang w:val="en-US"/>
        </w:rPr>
        <w:t> </w:t>
      </w:r>
      <w:r w:rsidRPr="00D03F3E">
        <w:rPr>
          <w:color w:val="0070C0"/>
          <w:sz w:val="16"/>
          <w:szCs w:val="16"/>
          <w:bdr w:val="none" w:sz="0" w:space="0" w:color="auto" w:frame="1"/>
        </w:rPr>
        <w:t>аннулировали. Взамен представители ВВС армии США предложили 2000 моторов </w:t>
      </w:r>
      <w:r w:rsidRPr="00D03F3E">
        <w:rPr>
          <w:color w:val="0070C0"/>
          <w:sz w:val="16"/>
          <w:szCs w:val="16"/>
          <w:bdr w:val="none" w:sz="0" w:space="0" w:color="auto" w:frame="1"/>
          <w:lang w:val="en-US"/>
        </w:rPr>
        <w:t>R</w:t>
      </w:r>
      <w:r w:rsidRPr="00D03F3E">
        <w:rPr>
          <w:color w:val="0070C0"/>
          <w:sz w:val="16"/>
          <w:szCs w:val="16"/>
          <w:bdr w:val="none" w:sz="0" w:space="0" w:color="auto" w:frame="1"/>
        </w:rPr>
        <w:t>-1830-92,</w:t>
      </w:r>
      <w:r w:rsidRPr="00D03F3E">
        <w:rPr>
          <w:color w:val="0070C0"/>
          <w:sz w:val="16"/>
          <w:szCs w:val="16"/>
          <w:bdr w:val="none" w:sz="0" w:space="0" w:color="auto" w:frame="1"/>
          <w:lang w:val="en-US"/>
        </w:rPr>
        <w:t> </w:t>
      </w:r>
      <w:r w:rsidRPr="00D03F3E">
        <w:rPr>
          <w:color w:val="0070C0"/>
          <w:sz w:val="16"/>
          <w:szCs w:val="16"/>
          <w:bdr w:val="none" w:sz="0" w:space="0" w:color="auto" w:frame="1"/>
        </w:rPr>
        <w:t>которые ставились на С-47. Но этот мотор был не только более чем на 100 кг тяжелее, но и требовал существенного усиления крыла, фюзеляжа и шасси. Так Ли-2 остался до конца «жизни» с теми же М-62ИР (АШ-62ИР). От получения </w:t>
      </w:r>
      <w:r w:rsidRPr="00D03F3E">
        <w:rPr>
          <w:color w:val="0070C0"/>
          <w:sz w:val="16"/>
          <w:szCs w:val="16"/>
          <w:bdr w:val="none" w:sz="0" w:space="0" w:color="auto" w:frame="1"/>
          <w:lang w:val="en-US"/>
        </w:rPr>
        <w:t>R</w:t>
      </w:r>
      <w:r w:rsidRPr="00D03F3E">
        <w:rPr>
          <w:color w:val="0070C0"/>
          <w:sz w:val="16"/>
          <w:szCs w:val="16"/>
          <w:bdr w:val="none" w:sz="0" w:space="0" w:color="auto" w:frame="1"/>
        </w:rPr>
        <w:t>-1830-92</w:t>
      </w:r>
      <w:r w:rsidRPr="00D03F3E">
        <w:rPr>
          <w:color w:val="0070C0"/>
          <w:sz w:val="16"/>
          <w:szCs w:val="16"/>
          <w:bdr w:val="none" w:sz="0" w:space="0" w:color="auto" w:frame="1"/>
          <w:lang w:val="en-US"/>
        </w:rPr>
        <w:t> </w:t>
      </w:r>
      <w:r w:rsidRPr="00D03F3E">
        <w:rPr>
          <w:color w:val="0070C0"/>
          <w:sz w:val="16"/>
          <w:szCs w:val="16"/>
          <w:bdr w:val="none" w:sz="0" w:space="0" w:color="auto" w:frame="1"/>
        </w:rPr>
        <w:t>сначала отказались, но уже через несколько дней спохватились, что нужны запасные двигатели к С-47, и запросили 300 штук. Теперь отказали американцы — двигатели уже занарядили в другое место. В конечном итоге удалось оформить заказ на 120 моторов, которые и были отгружены в СССР (20442).</w:t>
      </w:r>
    </w:p>
    <w:p w14:paraId="1EA4864E" w14:textId="77777777" w:rsidR="001F7B35" w:rsidRPr="00D03F3E" w:rsidRDefault="001F7B35" w:rsidP="00D03F3E">
      <w:pPr>
        <w:spacing w:after="0" w:line="240" w:lineRule="auto"/>
        <w:jc w:val="both"/>
        <w:rPr>
          <w:rFonts w:ascii="Times New Roman" w:hAnsi="Times New Roman"/>
          <w:color w:val="0070C0"/>
          <w:sz w:val="16"/>
          <w:szCs w:val="16"/>
        </w:rPr>
      </w:pPr>
    </w:p>
    <w:p w14:paraId="3A2029D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 вышло Постановление ГКО № 3576 О производстве авиационных лакокрасочных материалов.РГАНИР, Фонд ГКО, д. 126, лл. 13-18, 19-65 (11012).</w:t>
      </w:r>
    </w:p>
    <w:p w14:paraId="7EF31637"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EA843C0" w14:textId="77777777" w:rsidR="00E922D7" w:rsidRPr="00D03F3E" w:rsidRDefault="00E922D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 вышло Постановление ГКО № 3576 О производстве авиационных лакокрасочных материалов</w:t>
      </w:r>
    </w:p>
    <w:p w14:paraId="283BFBB0" w14:textId="77777777" w:rsidR="00E922D7" w:rsidRPr="00D03F3E" w:rsidRDefault="00E922D7"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Государственный Комитет Обороны отмечает, что Наркомхимпром (т.т.Первухин,Новиков) совершенно неудовлетвори</w:t>
      </w:r>
      <w:r w:rsidRPr="00D03F3E">
        <w:rPr>
          <w:rFonts w:ascii="Times New Roman" w:cs="Times New Roman"/>
          <w:color w:val="000000" w:themeColor="text1"/>
          <w:spacing w:val="0"/>
        </w:rPr>
        <w:softHyphen/>
        <w:t>тельно руководят работой заводов, вырабатывающих лакокра</w:t>
      </w:r>
      <w:r w:rsidRPr="00D03F3E">
        <w:rPr>
          <w:rFonts w:ascii="Times New Roman" w:cs="Times New Roman"/>
          <w:color w:val="000000" w:themeColor="text1"/>
          <w:spacing w:val="0"/>
        </w:rPr>
        <w:softHyphen/>
        <w:t>сочные материалы для авиационной промышленности. На лако</w:t>
      </w:r>
      <w:r w:rsidRPr="00D03F3E">
        <w:rPr>
          <w:rFonts w:ascii="Times New Roman" w:cs="Times New Roman"/>
          <w:color w:val="000000" w:themeColor="text1"/>
          <w:spacing w:val="0"/>
        </w:rPr>
        <w:softHyphen/>
        <w:t>красочных заводах не соблюдается технология производства лакокрасочных материалов. Особенно плохо обстоит дело на заводе № 34 Наркомхимпрома (директор Пустовитов, главный инженер Титов), который вследствие грубого нарушения техно</w:t>
      </w:r>
      <w:r w:rsidRPr="00D03F3E">
        <w:rPr>
          <w:rFonts w:ascii="Times New Roman" w:cs="Times New Roman"/>
          <w:color w:val="000000" w:themeColor="text1"/>
          <w:spacing w:val="0"/>
        </w:rPr>
        <w:softHyphen/>
        <w:t>логической дисциплины производства поставлял авиационной промышленности лакокрасочные материалы плохого качества, в результате чего боевые самолеты, окрашенные этими недоб</w:t>
      </w:r>
      <w:r w:rsidRPr="00D03F3E">
        <w:rPr>
          <w:rFonts w:ascii="Times New Roman" w:cs="Times New Roman"/>
          <w:color w:val="000000" w:themeColor="text1"/>
          <w:spacing w:val="0"/>
        </w:rPr>
        <w:softHyphen/>
        <w:t>рокачественными материалами, не могут быть использованы на фронте без перекраски заново.</w:t>
      </w:r>
    </w:p>
    <w:p w14:paraId="203347BC" w14:textId="77777777" w:rsidR="00E922D7" w:rsidRPr="00D03F3E" w:rsidRDefault="00E922D7"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Контроль за качеством поставляемых авиационной промыш</w:t>
      </w:r>
      <w:r w:rsidRPr="00D03F3E">
        <w:rPr>
          <w:rFonts w:ascii="Times New Roman" w:cs="Times New Roman"/>
          <w:color w:val="000000" w:themeColor="text1"/>
          <w:spacing w:val="0"/>
        </w:rPr>
        <w:softHyphen/>
        <w:t>ленности лакокрасочных материалов со стороны Нархомавиапрома поставлен плохо.</w:t>
      </w:r>
    </w:p>
    <w:p w14:paraId="6A53C4FF" w14:textId="77777777" w:rsidR="00E922D7" w:rsidRPr="00D03F3E" w:rsidRDefault="00E922D7"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целях наведения должного порядка на лакокрасочных заводах и обеспечения выработки на этих зазодах вполне доброкачественных лакокрасочных материалов для авиапромыш</w:t>
      </w:r>
      <w:r w:rsidRPr="00D03F3E">
        <w:rPr>
          <w:rFonts w:ascii="Times New Roman" w:cs="Times New Roman"/>
          <w:color w:val="000000" w:themeColor="text1"/>
          <w:spacing w:val="0"/>
        </w:rPr>
        <w:softHyphen/>
        <w:t>ленности, Государственный Комитет Обороны постановляет:</w:t>
      </w:r>
    </w:p>
    <w:p w14:paraId="2AB95257" w14:textId="77777777" w:rsidR="00E922D7" w:rsidRPr="00D03F3E" w:rsidRDefault="00E922D7"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1. Выпуск недоброкачественных авиационных лакокра</w:t>
      </w:r>
      <w:r w:rsidRPr="00D03F3E">
        <w:rPr>
          <w:rFonts w:ascii="Times New Roman" w:cs="Times New Roman"/>
          <w:color w:val="000000" w:themeColor="text1"/>
          <w:spacing w:val="0"/>
        </w:rPr>
        <w:softHyphen/>
        <w:t xml:space="preserve">сочных материалов отдать под суд директора завода № 34 </w:t>
      </w:r>
      <w:r w:rsidRPr="00D03F3E">
        <w:rPr>
          <w:rStyle w:val="-1pt"/>
          <w:rFonts w:ascii="Times New Roman" w:hAnsi="Times New Roman" w:cs="Times New Roman"/>
          <w:color w:val="000000" w:themeColor="text1"/>
          <w:spacing w:val="0"/>
          <w:sz w:val="16"/>
          <w:szCs w:val="16"/>
        </w:rPr>
        <w:t>НКХП</w:t>
      </w:r>
      <w:r w:rsidRPr="00D03F3E">
        <w:rPr>
          <w:rFonts w:ascii="Times New Roman" w:cs="Times New Roman"/>
          <w:color w:val="000000" w:themeColor="text1"/>
          <w:spacing w:val="0"/>
        </w:rPr>
        <w:t xml:space="preserve"> Пустовитова, главного.инленера завода Титова, началь</w:t>
      </w:r>
      <w:r w:rsidRPr="00D03F3E">
        <w:rPr>
          <w:rFonts w:ascii="Times New Roman" w:cs="Times New Roman"/>
          <w:color w:val="000000" w:themeColor="text1"/>
          <w:spacing w:val="0"/>
        </w:rPr>
        <w:softHyphen/>
        <w:t xml:space="preserve">ника цеха завода № </w:t>
      </w:r>
      <w:r w:rsidRPr="00D03F3E">
        <w:rPr>
          <w:rStyle w:val="-1pt"/>
          <w:rFonts w:ascii="Times New Roman" w:hAnsi="Times New Roman" w:cs="Times New Roman"/>
          <w:color w:val="000000" w:themeColor="text1"/>
          <w:spacing w:val="0"/>
          <w:sz w:val="16"/>
          <w:szCs w:val="16"/>
        </w:rPr>
        <w:t>34</w:t>
      </w:r>
      <w:r w:rsidRPr="00D03F3E">
        <w:rPr>
          <w:rFonts w:ascii="Times New Roman" w:cs="Times New Roman"/>
          <w:color w:val="000000" w:themeColor="text1"/>
          <w:spacing w:val="0"/>
        </w:rPr>
        <w:t xml:space="preserve"> Тюрина, начальника отдела техническо</w:t>
      </w:r>
      <w:r w:rsidRPr="00D03F3E">
        <w:rPr>
          <w:rFonts w:ascii="Times New Roman" w:cs="Times New Roman"/>
          <w:color w:val="000000" w:themeColor="text1"/>
          <w:spacing w:val="0"/>
        </w:rPr>
        <w:softHyphen/>
        <w:t>го контроля этого завода Самоловова и технического прием</w:t>
      </w:r>
      <w:r w:rsidRPr="00D03F3E">
        <w:rPr>
          <w:rFonts w:ascii="Times New Roman" w:cs="Times New Roman"/>
          <w:color w:val="000000" w:themeColor="text1"/>
          <w:spacing w:val="0"/>
        </w:rPr>
        <w:softHyphen/>
        <w:t xml:space="preserve">щика </w:t>
      </w:r>
      <w:r w:rsidRPr="00D03F3E">
        <w:rPr>
          <w:rStyle w:val="-1pt"/>
          <w:rFonts w:ascii="Times New Roman" w:hAnsi="Times New Roman" w:cs="Times New Roman"/>
          <w:color w:val="000000" w:themeColor="text1"/>
          <w:spacing w:val="0"/>
          <w:sz w:val="16"/>
          <w:szCs w:val="16"/>
        </w:rPr>
        <w:t>НКАП</w:t>
      </w:r>
      <w:r w:rsidRPr="00D03F3E">
        <w:rPr>
          <w:rFonts w:ascii="Times New Roman" w:cs="Times New Roman"/>
          <w:color w:val="000000" w:themeColor="text1"/>
          <w:spacing w:val="0"/>
        </w:rPr>
        <w:t xml:space="preserve"> на этом заводе Сливко.</w:t>
      </w:r>
    </w:p>
    <w:p w14:paraId="22989612" w14:textId="77777777" w:rsidR="00E922D7" w:rsidRPr="00D03F3E" w:rsidRDefault="00E922D7" w:rsidP="00D03F3E">
      <w:pPr>
        <w:pStyle w:val="6c"/>
        <w:shd w:val="clear" w:color="auto" w:fill="auto"/>
        <w:spacing w:before="0" w:line="240" w:lineRule="auto"/>
        <w:jc w:val="both"/>
        <w:rPr>
          <w:rFonts w:ascii="Times New Roman" w:hAnsi="Times New Roman" w:cs="Times New Roman"/>
          <w:color w:val="000000" w:themeColor="text1"/>
        </w:rPr>
      </w:pPr>
      <w:r w:rsidRPr="00D03F3E">
        <w:rPr>
          <w:rFonts w:ascii="Times New Roman" w:hAnsi="Times New Roman" w:cs="Times New Roman"/>
          <w:color w:val="000000" w:themeColor="text1"/>
        </w:rPr>
        <w:t>Обязать прокурора СССР т.Бочкова произвести следствие по делу поставки для авиапромышленности заводом Ш 34 не</w:t>
      </w:r>
      <w:r w:rsidRPr="00D03F3E">
        <w:rPr>
          <w:rFonts w:ascii="Times New Roman" w:hAnsi="Times New Roman" w:cs="Times New Roman"/>
          <w:color w:val="000000" w:themeColor="text1"/>
        </w:rPr>
        <w:softHyphen/>
        <w:t>доброкачественных лакокрасочных материалов и в соответст</w:t>
      </w:r>
      <w:r w:rsidRPr="00D03F3E">
        <w:rPr>
          <w:rFonts w:ascii="Times New Roman" w:hAnsi="Times New Roman" w:cs="Times New Roman"/>
          <w:color w:val="000000" w:themeColor="text1"/>
        </w:rPr>
        <w:softHyphen/>
        <w:t>вии с результатами следствия определить меру наказания для лиц, виновных в поставке лакокрасочных материалов плохого качества.</w:t>
      </w:r>
    </w:p>
    <w:p w14:paraId="52C1E86F" w14:textId="77777777" w:rsidR="00E922D7" w:rsidRPr="00D03F3E" w:rsidRDefault="00E922D7" w:rsidP="00D03F3E">
      <w:pPr>
        <w:pStyle w:val="6c"/>
        <w:shd w:val="clear" w:color="auto" w:fill="auto"/>
        <w:spacing w:before="0" w:line="240" w:lineRule="auto"/>
        <w:jc w:val="both"/>
        <w:rPr>
          <w:rFonts w:ascii="Times New Roman" w:hAnsi="Times New Roman" w:cs="Times New Roman"/>
          <w:color w:val="000000" w:themeColor="text1"/>
        </w:rPr>
      </w:pPr>
      <w:r w:rsidRPr="00D03F3E">
        <w:rPr>
          <w:rFonts w:ascii="Times New Roman" w:hAnsi="Times New Roman" w:cs="Times New Roman"/>
          <w:color w:val="000000" w:themeColor="text1"/>
        </w:rPr>
        <w:t>Назначить директором завода № 34 НКХП т.Храмова М.Г.</w:t>
      </w:r>
    </w:p>
    <w:p w14:paraId="73FED77E" w14:textId="77777777" w:rsidR="00E922D7" w:rsidRPr="00D03F3E" w:rsidRDefault="00E922D7" w:rsidP="00D03F3E">
      <w:pPr>
        <w:pStyle w:val="6c"/>
        <w:shd w:val="clear" w:color="auto" w:fill="auto"/>
        <w:tabs>
          <w:tab w:val="left" w:pos="978"/>
        </w:tabs>
        <w:spacing w:before="0" w:line="240" w:lineRule="auto"/>
        <w:jc w:val="both"/>
        <w:rPr>
          <w:rFonts w:ascii="Times New Roman" w:hAnsi="Times New Roman" w:cs="Times New Roman"/>
          <w:color w:val="000000" w:themeColor="text1"/>
        </w:rPr>
      </w:pPr>
      <w:r w:rsidRPr="00D03F3E">
        <w:rPr>
          <w:rFonts w:ascii="Times New Roman" w:hAnsi="Times New Roman" w:cs="Times New Roman"/>
          <w:color w:val="000000" w:themeColor="text1"/>
        </w:rPr>
        <w:t>2. Объявить строгий выговор заместителю народного ко</w:t>
      </w:r>
      <w:r w:rsidRPr="00D03F3E">
        <w:rPr>
          <w:rFonts w:ascii="Times New Roman" w:hAnsi="Times New Roman" w:cs="Times New Roman"/>
          <w:color w:val="000000" w:themeColor="text1"/>
        </w:rPr>
        <w:softHyphen/>
        <w:t>миссара химической промышленности т.Новикову, непосредствен</w:t>
      </w:r>
      <w:r w:rsidRPr="00D03F3E">
        <w:rPr>
          <w:rFonts w:ascii="Times New Roman" w:hAnsi="Times New Roman" w:cs="Times New Roman"/>
          <w:color w:val="000000" w:themeColor="text1"/>
        </w:rPr>
        <w:softHyphen/>
        <w:t>но отвечающему за работу лакокрасочных заводов, и предупре</w:t>
      </w:r>
      <w:r w:rsidRPr="00D03F3E">
        <w:rPr>
          <w:rFonts w:ascii="Times New Roman" w:hAnsi="Times New Roman" w:cs="Times New Roman"/>
          <w:color w:val="000000" w:themeColor="text1"/>
        </w:rPr>
        <w:softHyphen/>
        <w:t>дить его, что если он в кратчайший срок решительно не улуч</w:t>
      </w:r>
      <w:r w:rsidRPr="00D03F3E">
        <w:rPr>
          <w:rFonts w:ascii="Times New Roman" w:hAnsi="Times New Roman" w:cs="Times New Roman"/>
          <w:color w:val="000000" w:themeColor="text1"/>
        </w:rPr>
        <w:softHyphen/>
        <w:t>шит положения дел на лакокрасочных заводах и не обеспечит поставку вполне доброкачественных авиационных лакокрасочных материалов, то он будет привлечен к строжайшей ответствен</w:t>
      </w:r>
      <w:r w:rsidRPr="00D03F3E">
        <w:rPr>
          <w:rFonts w:ascii="Times New Roman" w:hAnsi="Times New Roman" w:cs="Times New Roman"/>
          <w:color w:val="000000" w:themeColor="text1"/>
        </w:rPr>
        <w:softHyphen/>
        <w:t>ности.</w:t>
      </w:r>
    </w:p>
    <w:p w14:paraId="129DEF91" w14:textId="77777777" w:rsidR="00E922D7" w:rsidRPr="00D03F3E" w:rsidRDefault="00E922D7" w:rsidP="00D03F3E">
      <w:pPr>
        <w:pStyle w:val="6c"/>
        <w:shd w:val="clear" w:color="auto" w:fill="auto"/>
        <w:tabs>
          <w:tab w:val="left" w:pos="978"/>
        </w:tabs>
        <w:spacing w:before="0" w:line="240" w:lineRule="auto"/>
        <w:jc w:val="both"/>
        <w:rPr>
          <w:rFonts w:ascii="Times New Roman" w:hAnsi="Times New Roman" w:cs="Times New Roman"/>
          <w:color w:val="000000" w:themeColor="text1"/>
        </w:rPr>
      </w:pPr>
      <w:r w:rsidRPr="00D03F3E">
        <w:rPr>
          <w:rFonts w:ascii="Times New Roman" w:hAnsi="Times New Roman" w:cs="Times New Roman"/>
          <w:color w:val="000000" w:themeColor="text1"/>
        </w:rPr>
        <w:t>3. Обязать т.т.Первухина и Новикова навести порядок на лакокрасочных заводах, немедля принять меры по улучшению ра</w:t>
      </w:r>
      <w:r w:rsidRPr="00D03F3E">
        <w:rPr>
          <w:rFonts w:ascii="Times New Roman" w:hAnsi="Times New Roman" w:cs="Times New Roman"/>
          <w:color w:val="000000" w:themeColor="text1"/>
        </w:rPr>
        <w:softHyphen/>
        <w:t>боты этих заводов и в первую счередь завода № 34.</w:t>
      </w:r>
    </w:p>
    <w:p w14:paraId="4FFC4BA4" w14:textId="77777777" w:rsidR="00E922D7" w:rsidRPr="00D03F3E" w:rsidRDefault="00E922D7" w:rsidP="00D03F3E">
      <w:pPr>
        <w:pStyle w:val="6c"/>
        <w:shd w:val="clear" w:color="auto" w:fill="auto"/>
        <w:tabs>
          <w:tab w:val="left" w:pos="978"/>
        </w:tabs>
        <w:spacing w:before="0" w:line="240" w:lineRule="auto"/>
        <w:jc w:val="both"/>
        <w:rPr>
          <w:rFonts w:ascii="Times New Roman" w:hAnsi="Times New Roman" w:cs="Times New Roman"/>
          <w:color w:val="000000" w:themeColor="text1"/>
        </w:rPr>
      </w:pPr>
      <w:r w:rsidRPr="00D03F3E">
        <w:rPr>
          <w:rFonts w:ascii="Times New Roman" w:hAnsi="Times New Roman" w:cs="Times New Roman"/>
          <w:color w:val="000000" w:themeColor="text1"/>
        </w:rPr>
        <w:t>4. Обязать Наркомхимпром (т.Первухина) прекратить произ</w:t>
      </w:r>
      <w:r w:rsidRPr="00D03F3E">
        <w:rPr>
          <w:rFonts w:ascii="Times New Roman" w:hAnsi="Times New Roman" w:cs="Times New Roman"/>
          <w:color w:val="000000" w:themeColor="text1"/>
        </w:rPr>
        <w:softHyphen/>
        <w:t>водство лакокрасочных материалов для авиационной промышленно</w:t>
      </w:r>
      <w:r w:rsidRPr="00D03F3E">
        <w:rPr>
          <w:rFonts w:ascii="Times New Roman" w:hAnsi="Times New Roman" w:cs="Times New Roman"/>
          <w:color w:val="000000" w:themeColor="text1"/>
        </w:rPr>
        <w:softHyphen/>
        <w:t>сти по ныне действующим ухудшенным рецептура:.', и немедленно перейти на выпуск этой лакокрасочной продукции по новым ре</w:t>
      </w:r>
      <w:r w:rsidRPr="00D03F3E">
        <w:rPr>
          <w:rFonts w:ascii="Times New Roman" w:hAnsi="Times New Roman" w:cs="Times New Roman"/>
          <w:color w:val="000000" w:themeColor="text1"/>
        </w:rPr>
        <w:softHyphen/>
        <w:t>цептура;/., утвержденные совместно Наркомавиапромом т.Шахуриным и Наркомхимпромом т.Первухиным.</w:t>
      </w:r>
    </w:p>
    <w:p w14:paraId="1CEEB4BD" w14:textId="77777777" w:rsidR="00E922D7" w:rsidRPr="00D03F3E" w:rsidRDefault="00E922D7" w:rsidP="00D03F3E">
      <w:pPr>
        <w:pStyle w:val="6c"/>
        <w:shd w:val="clear" w:color="auto" w:fill="auto"/>
        <w:tabs>
          <w:tab w:val="left" w:pos="985"/>
        </w:tabs>
        <w:spacing w:before="0" w:line="240" w:lineRule="auto"/>
        <w:jc w:val="both"/>
        <w:rPr>
          <w:rFonts w:ascii="Times New Roman" w:hAnsi="Times New Roman" w:cs="Times New Roman"/>
          <w:color w:val="000000" w:themeColor="text1"/>
        </w:rPr>
      </w:pPr>
      <w:r w:rsidRPr="00D03F3E">
        <w:rPr>
          <w:rFonts w:ascii="Times New Roman" w:hAnsi="Times New Roman" w:cs="Times New Roman"/>
          <w:color w:val="000000" w:themeColor="text1"/>
        </w:rPr>
        <w:t xml:space="preserve">5. Обязатв Наркомхимпром (т.Первухина) поставить Нар- комавиапрому в июне-сентябре </w:t>
      </w:r>
      <w:r w:rsidRPr="00D03F3E">
        <w:rPr>
          <w:rStyle w:val="0pt"/>
          <w:rFonts w:ascii="Times New Roman" w:hAnsi="Times New Roman" w:cs="Times New Roman"/>
          <w:color w:val="000000" w:themeColor="text1"/>
          <w:spacing w:val="0"/>
          <w:sz w:val="16"/>
          <w:szCs w:val="16"/>
        </w:rPr>
        <w:t>1943</w:t>
      </w:r>
      <w:r w:rsidRPr="00D03F3E">
        <w:rPr>
          <w:rFonts w:ascii="Times New Roman" w:hAnsi="Times New Roman" w:cs="Times New Roman"/>
          <w:color w:val="000000" w:themeColor="text1"/>
        </w:rPr>
        <w:t xml:space="preserve"> года следующие основные лакокрасочные материалы:</w:t>
      </w:r>
    </w:p>
    <w:p w14:paraId="0C986831" w14:textId="77777777" w:rsidR="00E922D7" w:rsidRPr="00D03F3E" w:rsidRDefault="00E922D7" w:rsidP="00D03F3E">
      <w:pPr>
        <w:pStyle w:val="6c"/>
        <w:shd w:val="clear" w:color="auto" w:fill="auto"/>
        <w:tabs>
          <w:tab w:val="left" w:pos="985"/>
        </w:tabs>
        <w:spacing w:before="0" w:line="240" w:lineRule="auto"/>
        <w:jc w:val="both"/>
        <w:rPr>
          <w:rFonts w:ascii="Times New Roman" w:hAnsi="Times New Roman" w:cs="Times New Roman"/>
          <w:color w:val="000000" w:themeColor="text1"/>
        </w:rPr>
      </w:pPr>
      <w:r w:rsidRPr="00D03F3E">
        <w:rPr>
          <w:rFonts w:ascii="Times New Roman" w:hAnsi="Times New Roman" w:cs="Times New Roman"/>
          <w:color w:val="000000" w:themeColor="text1"/>
        </w:rPr>
        <w:tab/>
      </w:r>
      <w:r w:rsidRPr="00D03F3E">
        <w:rPr>
          <w:rFonts w:ascii="Times New Roman" w:hAnsi="Times New Roman" w:cs="Times New Roman"/>
          <w:color w:val="000000" w:themeColor="text1"/>
        </w:rPr>
        <w:tab/>
        <w:t>в июне</w:t>
      </w:r>
      <w:r w:rsidRPr="00D03F3E">
        <w:rPr>
          <w:rFonts w:ascii="Times New Roman" w:hAnsi="Times New Roman" w:cs="Times New Roman"/>
          <w:color w:val="000000" w:themeColor="text1"/>
        </w:rPr>
        <w:tab/>
        <w:t>в Ш квартале</w:t>
      </w:r>
    </w:p>
    <w:p w14:paraId="4DE1D5C0" w14:textId="77777777" w:rsidR="00E922D7" w:rsidRPr="00D03F3E" w:rsidRDefault="00E922D7" w:rsidP="00D03F3E">
      <w:pPr>
        <w:pStyle w:val="6c"/>
        <w:shd w:val="clear" w:color="auto" w:fill="auto"/>
        <w:tabs>
          <w:tab w:val="left" w:pos="985"/>
        </w:tabs>
        <w:spacing w:before="0" w:line="240" w:lineRule="auto"/>
        <w:jc w:val="both"/>
        <w:rPr>
          <w:rFonts w:ascii="Times New Roman" w:hAnsi="Times New Roman" w:cs="Times New Roman"/>
          <w:color w:val="000000" w:themeColor="text1"/>
        </w:rPr>
      </w:pPr>
      <w:r w:rsidRPr="00D03F3E">
        <w:rPr>
          <w:rFonts w:ascii="Times New Roman" w:hAnsi="Times New Roman" w:cs="Times New Roman"/>
          <w:color w:val="000000" w:themeColor="text1"/>
        </w:rPr>
        <w:t>С завода № 36</w:t>
      </w:r>
    </w:p>
    <w:p w14:paraId="6BD1F832" w14:textId="77777777" w:rsidR="00E922D7" w:rsidRPr="00D03F3E" w:rsidRDefault="00E922D7" w:rsidP="00D03F3E">
      <w:pPr>
        <w:pStyle w:val="6c"/>
        <w:shd w:val="clear" w:color="auto" w:fill="auto"/>
        <w:tabs>
          <w:tab w:val="left" w:pos="985"/>
        </w:tabs>
        <w:spacing w:before="0" w:line="240" w:lineRule="auto"/>
        <w:jc w:val="both"/>
        <w:rPr>
          <w:rFonts w:ascii="Times New Roman" w:hAnsi="Times New Roman" w:cs="Times New Roman"/>
          <w:color w:val="000000" w:themeColor="text1"/>
        </w:rPr>
      </w:pPr>
      <w:r w:rsidRPr="00D03F3E">
        <w:rPr>
          <w:rFonts w:ascii="Times New Roman" w:hAnsi="Times New Roman" w:cs="Times New Roman"/>
          <w:color w:val="000000" w:themeColor="text1"/>
        </w:rPr>
        <w:t>нитродаков</w:t>
      </w:r>
      <w:r w:rsidRPr="00D03F3E">
        <w:rPr>
          <w:rFonts w:ascii="Times New Roman" w:hAnsi="Times New Roman" w:cs="Times New Roman"/>
          <w:color w:val="000000" w:themeColor="text1"/>
        </w:rPr>
        <w:tab/>
        <w:t>390</w:t>
      </w:r>
      <w:r w:rsidRPr="00D03F3E">
        <w:rPr>
          <w:rFonts w:ascii="Times New Roman" w:hAnsi="Times New Roman" w:cs="Times New Roman"/>
          <w:color w:val="000000" w:themeColor="text1"/>
        </w:rPr>
        <w:tab/>
        <w:t>900</w:t>
      </w:r>
    </w:p>
    <w:p w14:paraId="712B8102" w14:textId="77777777" w:rsidR="00E922D7" w:rsidRPr="00D03F3E" w:rsidRDefault="00E922D7" w:rsidP="00D03F3E">
      <w:pPr>
        <w:pStyle w:val="6c"/>
        <w:shd w:val="clear" w:color="auto" w:fill="auto"/>
        <w:tabs>
          <w:tab w:val="left" w:pos="985"/>
        </w:tabs>
        <w:spacing w:before="0" w:line="240" w:lineRule="auto"/>
        <w:jc w:val="both"/>
        <w:rPr>
          <w:rFonts w:ascii="Times New Roman" w:hAnsi="Times New Roman" w:cs="Times New Roman"/>
          <w:color w:val="000000" w:themeColor="text1"/>
        </w:rPr>
      </w:pPr>
      <w:r w:rsidRPr="00D03F3E">
        <w:rPr>
          <w:rFonts w:ascii="Times New Roman" w:hAnsi="Times New Roman" w:cs="Times New Roman"/>
          <w:color w:val="000000" w:themeColor="text1"/>
        </w:rPr>
        <w:t>растворителей и смывок</w:t>
      </w:r>
      <w:r w:rsidRPr="00D03F3E">
        <w:rPr>
          <w:rFonts w:ascii="Times New Roman" w:hAnsi="Times New Roman" w:cs="Times New Roman"/>
          <w:color w:val="000000" w:themeColor="text1"/>
        </w:rPr>
        <w:tab/>
        <w:t>90</w:t>
      </w:r>
      <w:r w:rsidRPr="00D03F3E">
        <w:rPr>
          <w:rFonts w:ascii="Times New Roman" w:hAnsi="Times New Roman" w:cs="Times New Roman"/>
          <w:color w:val="000000" w:themeColor="text1"/>
        </w:rPr>
        <w:tab/>
        <w:t>150</w:t>
      </w:r>
    </w:p>
    <w:p w14:paraId="2D012AD4" w14:textId="77777777" w:rsidR="00E922D7" w:rsidRPr="00D03F3E" w:rsidRDefault="00E922D7" w:rsidP="00D03F3E">
      <w:pPr>
        <w:pStyle w:val="6c"/>
        <w:shd w:val="clear" w:color="auto" w:fill="auto"/>
        <w:tabs>
          <w:tab w:val="left" w:pos="985"/>
        </w:tabs>
        <w:spacing w:before="0" w:line="240" w:lineRule="auto"/>
        <w:jc w:val="both"/>
        <w:rPr>
          <w:rFonts w:ascii="Times New Roman" w:hAnsi="Times New Roman" w:cs="Times New Roman"/>
          <w:color w:val="000000" w:themeColor="text1"/>
        </w:rPr>
      </w:pPr>
      <w:r w:rsidRPr="00D03F3E">
        <w:rPr>
          <w:rFonts w:ascii="Times New Roman" w:hAnsi="Times New Roman" w:cs="Times New Roman"/>
          <w:color w:val="000000" w:themeColor="text1"/>
        </w:rPr>
        <w:t>клея козеинового</w:t>
      </w:r>
      <w:r w:rsidRPr="00D03F3E">
        <w:rPr>
          <w:rFonts w:ascii="Times New Roman" w:hAnsi="Times New Roman" w:cs="Times New Roman"/>
          <w:color w:val="000000" w:themeColor="text1"/>
        </w:rPr>
        <w:tab/>
        <w:t>125</w:t>
      </w:r>
      <w:r w:rsidRPr="00D03F3E">
        <w:rPr>
          <w:rFonts w:ascii="Times New Roman" w:hAnsi="Times New Roman" w:cs="Times New Roman"/>
          <w:color w:val="000000" w:themeColor="text1"/>
        </w:rPr>
        <w:tab/>
        <w:t>300</w:t>
      </w:r>
    </w:p>
    <w:p w14:paraId="20D4DFA8" w14:textId="77777777" w:rsidR="00E922D7" w:rsidRPr="00D03F3E" w:rsidRDefault="00E922D7" w:rsidP="00D03F3E">
      <w:pPr>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с завод</w:t>
      </w:r>
      <w:r w:rsidRPr="00D03F3E">
        <w:rPr>
          <w:rFonts w:ascii="Times New Roman" w:hAnsi="Times New Roman"/>
          <w:color w:val="000000" w:themeColor="text1"/>
          <w:sz w:val="16"/>
          <w:szCs w:val="16"/>
        </w:rPr>
        <w:t xml:space="preserve">а </w:t>
      </w:r>
      <w:r w:rsidRPr="00D03F3E">
        <w:rPr>
          <w:rStyle w:val="16"/>
          <w:rFonts w:ascii="Times New Roman" w:hAnsi="Times New Roman" w:cs="Times New Roman"/>
          <w:color w:val="000000" w:themeColor="text1"/>
          <w:spacing w:val="0"/>
          <w:u w:val="none"/>
        </w:rPr>
        <w:t>№ 34</w:t>
      </w:r>
    </w:p>
    <w:p w14:paraId="2195054D" w14:textId="77777777" w:rsidR="00E922D7" w:rsidRPr="00D03F3E" w:rsidRDefault="00E922D7" w:rsidP="00D03F3E">
      <w:pPr>
        <w:tabs>
          <w:tab w:val="left" w:leader="dot" w:pos="1443"/>
          <w:tab w:val="left" w:leader="dot" w:pos="1548"/>
          <w:tab w:val="left" w:leader="dot" w:pos="1675"/>
          <w:tab w:val="left" w:leader="dot" w:pos="1795"/>
          <w:tab w:val="left" w:leader="dot" w:pos="284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нитролаков</w:t>
      </w:r>
      <w:r w:rsidRPr="00D03F3E">
        <w:rPr>
          <w:rFonts w:ascii="Times New Roman" w:hAnsi="Times New Roman"/>
          <w:color w:val="000000" w:themeColor="text1"/>
          <w:sz w:val="16"/>
          <w:szCs w:val="16"/>
        </w:rPr>
        <w:tab/>
        <w:t>70</w:t>
      </w:r>
      <w:r w:rsidRPr="00D03F3E">
        <w:rPr>
          <w:rFonts w:ascii="Times New Roman" w:hAnsi="Times New Roman"/>
          <w:color w:val="000000" w:themeColor="text1"/>
          <w:sz w:val="16"/>
          <w:szCs w:val="16"/>
        </w:rPr>
        <w:tab/>
        <w:t>500</w:t>
      </w:r>
    </w:p>
    <w:p w14:paraId="6CF92992" w14:textId="77777777" w:rsidR="00E922D7" w:rsidRPr="00D03F3E" w:rsidRDefault="00E922D7" w:rsidP="00D03F3E">
      <w:pPr>
        <w:tabs>
          <w:tab w:val="left" w:leader="dot" w:pos="1443"/>
          <w:tab w:val="left" w:leader="dot" w:pos="1548"/>
          <w:tab w:val="left" w:leader="dot" w:pos="1675"/>
          <w:tab w:val="left" w:leader="dot" w:pos="1795"/>
          <w:tab w:val="left" w:leader="dot" w:pos="284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растворителей и смывок</w:t>
      </w:r>
      <w:r w:rsidRPr="00D03F3E">
        <w:rPr>
          <w:rFonts w:ascii="Times New Roman" w:hAnsi="Times New Roman"/>
          <w:color w:val="000000" w:themeColor="text1"/>
          <w:sz w:val="16"/>
          <w:szCs w:val="16"/>
        </w:rPr>
        <w:tab/>
        <w:t>30</w:t>
      </w:r>
      <w:r w:rsidRPr="00D03F3E">
        <w:rPr>
          <w:rFonts w:ascii="Times New Roman" w:hAnsi="Times New Roman"/>
          <w:color w:val="000000" w:themeColor="text1"/>
          <w:sz w:val="16"/>
          <w:szCs w:val="16"/>
        </w:rPr>
        <w:tab/>
        <w:t>100</w:t>
      </w:r>
    </w:p>
    <w:p w14:paraId="2DBCB4A2" w14:textId="77777777" w:rsidR="00E922D7" w:rsidRPr="00D03F3E" w:rsidRDefault="00E922D7" w:rsidP="00D03F3E">
      <w:pPr>
        <w:tabs>
          <w:tab w:val="left" w:leader="dot" w:pos="283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 м а л е й</w:t>
      </w:r>
      <w:r w:rsidRPr="00D03F3E">
        <w:rPr>
          <w:rFonts w:ascii="Times New Roman" w:hAnsi="Times New Roman"/>
          <w:color w:val="000000" w:themeColor="text1"/>
          <w:sz w:val="16"/>
          <w:szCs w:val="16"/>
        </w:rPr>
        <w:tab/>
        <w:t>100</w:t>
      </w:r>
      <w:r w:rsidRPr="00D03F3E">
        <w:rPr>
          <w:rFonts w:ascii="Times New Roman" w:hAnsi="Times New Roman"/>
          <w:color w:val="000000" w:themeColor="text1"/>
          <w:sz w:val="16"/>
          <w:szCs w:val="16"/>
        </w:rPr>
        <w:tab/>
        <w:t>75</w:t>
      </w:r>
    </w:p>
    <w:p w14:paraId="3B6A8896" w14:textId="77777777" w:rsidR="00E922D7" w:rsidRPr="00D03F3E" w:rsidRDefault="00E922D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крепителей и масла "С"</w:t>
      </w:r>
      <w:r w:rsidRPr="00D03F3E">
        <w:rPr>
          <w:rFonts w:ascii="Times New Roman" w:hAnsi="Times New Roman"/>
          <w:color w:val="000000" w:themeColor="text1"/>
          <w:sz w:val="16"/>
          <w:szCs w:val="16"/>
        </w:rPr>
        <w:tab/>
        <w:t>50</w:t>
      </w:r>
      <w:r w:rsidRPr="00D03F3E">
        <w:rPr>
          <w:rFonts w:ascii="Times New Roman" w:hAnsi="Times New Roman"/>
          <w:color w:val="000000" w:themeColor="text1"/>
          <w:sz w:val="16"/>
          <w:szCs w:val="16"/>
        </w:rPr>
        <w:tab/>
        <w:t>200</w:t>
      </w:r>
    </w:p>
    <w:p w14:paraId="0106C540" w14:textId="77777777" w:rsidR="00E922D7" w:rsidRPr="00D03F3E" w:rsidRDefault="00E922D7" w:rsidP="00D03F3E">
      <w:pPr>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с завод</w:t>
      </w:r>
      <w:r w:rsidRPr="00D03F3E">
        <w:rPr>
          <w:rFonts w:ascii="Times New Roman" w:hAnsi="Times New Roman"/>
          <w:color w:val="000000" w:themeColor="text1"/>
          <w:sz w:val="16"/>
          <w:szCs w:val="16"/>
        </w:rPr>
        <w:t xml:space="preserve">а </w:t>
      </w:r>
      <w:r w:rsidRPr="00D03F3E">
        <w:rPr>
          <w:rStyle w:val="16"/>
          <w:rFonts w:ascii="Times New Roman" w:hAnsi="Times New Roman" w:cs="Times New Roman"/>
          <w:color w:val="000000" w:themeColor="text1"/>
          <w:spacing w:val="0"/>
          <w:u w:val="none"/>
        </w:rPr>
        <w:t>"Побед</w:t>
      </w:r>
      <w:r w:rsidRPr="00D03F3E">
        <w:rPr>
          <w:rFonts w:ascii="Times New Roman" w:hAnsi="Times New Roman"/>
          <w:color w:val="000000" w:themeColor="text1"/>
          <w:sz w:val="16"/>
          <w:szCs w:val="16"/>
        </w:rPr>
        <w:t xml:space="preserve">а </w:t>
      </w:r>
      <w:r w:rsidRPr="00D03F3E">
        <w:rPr>
          <w:rStyle w:val="16"/>
          <w:rFonts w:ascii="Times New Roman" w:hAnsi="Times New Roman" w:cs="Times New Roman"/>
          <w:color w:val="000000" w:themeColor="text1"/>
          <w:spacing w:val="0"/>
          <w:u w:val="none"/>
        </w:rPr>
        <w:t>рабочих"</w:t>
      </w:r>
    </w:p>
    <w:p w14:paraId="7BC9EB28" w14:textId="77777777" w:rsidR="00E922D7" w:rsidRPr="00D03F3E" w:rsidRDefault="00E922D7" w:rsidP="00D03F3E">
      <w:pPr>
        <w:tabs>
          <w:tab w:val="left" w:leader="dot" w:pos="285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нитролаков </w:t>
      </w:r>
      <w:r w:rsidRPr="00D03F3E">
        <w:rPr>
          <w:rFonts w:ascii="Times New Roman" w:hAnsi="Times New Roman"/>
          <w:color w:val="000000" w:themeColor="text1"/>
          <w:sz w:val="16"/>
          <w:szCs w:val="16"/>
        </w:rPr>
        <w:tab/>
        <w:t>280</w:t>
      </w:r>
      <w:r w:rsidRPr="00D03F3E">
        <w:rPr>
          <w:rFonts w:ascii="Times New Roman" w:hAnsi="Times New Roman"/>
          <w:color w:val="000000" w:themeColor="text1"/>
          <w:sz w:val="16"/>
          <w:szCs w:val="16"/>
        </w:rPr>
        <w:tab/>
        <w:t>800</w:t>
      </w:r>
    </w:p>
    <w:p w14:paraId="0C4F659B" w14:textId="77777777" w:rsidR="00E922D7" w:rsidRPr="00D03F3E" w:rsidRDefault="00E922D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растворителей и смывок</w:t>
      </w:r>
      <w:r w:rsidRPr="00D03F3E">
        <w:rPr>
          <w:rFonts w:ascii="Times New Roman" w:hAnsi="Times New Roman"/>
          <w:color w:val="000000" w:themeColor="text1"/>
          <w:sz w:val="16"/>
          <w:szCs w:val="16"/>
        </w:rPr>
        <w:tab/>
        <w:t>25</w:t>
      </w:r>
      <w:r w:rsidRPr="00D03F3E">
        <w:rPr>
          <w:rFonts w:ascii="Times New Roman" w:hAnsi="Times New Roman"/>
          <w:color w:val="000000" w:themeColor="text1"/>
          <w:sz w:val="16"/>
          <w:szCs w:val="16"/>
        </w:rPr>
        <w:tab/>
        <w:t>100</w:t>
      </w:r>
    </w:p>
    <w:p w14:paraId="5CF9A4ED" w14:textId="77777777" w:rsidR="00E922D7" w:rsidRPr="00D03F3E" w:rsidRDefault="00E922D7" w:rsidP="00D03F3E">
      <w:pPr>
        <w:tabs>
          <w:tab w:val="left" w:leader="dot" w:pos="284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э м а л е й </w:t>
      </w:r>
      <w:r w:rsidRPr="00D03F3E">
        <w:rPr>
          <w:rFonts w:ascii="Times New Roman" w:hAnsi="Times New Roman"/>
          <w:color w:val="000000" w:themeColor="text1"/>
          <w:sz w:val="16"/>
          <w:szCs w:val="16"/>
        </w:rPr>
        <w:tab/>
        <w:t>100</w:t>
      </w:r>
      <w:r w:rsidRPr="00D03F3E">
        <w:rPr>
          <w:rFonts w:ascii="Times New Roman" w:hAnsi="Times New Roman"/>
          <w:color w:val="000000" w:themeColor="text1"/>
          <w:sz w:val="16"/>
          <w:szCs w:val="16"/>
        </w:rPr>
        <w:tab/>
        <w:t>74</w:t>
      </w:r>
    </w:p>
    <w:p w14:paraId="70390C16" w14:textId="77777777" w:rsidR="00E922D7" w:rsidRPr="00D03F3E" w:rsidRDefault="00E922D7" w:rsidP="00D03F3E">
      <w:pPr>
        <w:tabs>
          <w:tab w:val="left" w:leader="dot" w:pos="2853"/>
        </w:tabs>
        <w:spacing w:after="0" w:line="240" w:lineRule="auto"/>
        <w:jc w:val="both"/>
        <w:rPr>
          <w:rFonts w:ascii="Times New Roman" w:hAnsi="Times New Roman"/>
          <w:color w:val="000000" w:themeColor="text1"/>
          <w:sz w:val="16"/>
          <w:szCs w:val="16"/>
        </w:rPr>
      </w:pPr>
      <w:r w:rsidRPr="00D03F3E">
        <w:rPr>
          <w:rStyle w:val="6pt"/>
          <w:rFonts w:ascii="Times New Roman" w:hAnsi="Times New Roman" w:cs="Times New Roman"/>
          <w:color w:val="000000" w:themeColor="text1"/>
          <w:spacing w:val="0"/>
          <w:sz w:val="16"/>
          <w:szCs w:val="16"/>
        </w:rPr>
        <w:t xml:space="preserve">грунтов </w:t>
      </w:r>
      <w:r w:rsidRPr="00D03F3E">
        <w:rPr>
          <w:rStyle w:val="6pt"/>
          <w:rFonts w:ascii="Times New Roman" w:hAnsi="Times New Roman" w:cs="Times New Roman"/>
          <w:color w:val="000000" w:themeColor="text1"/>
          <w:spacing w:val="0"/>
          <w:sz w:val="16"/>
          <w:szCs w:val="16"/>
        </w:rPr>
        <w:tab/>
        <w:t>75</w:t>
      </w:r>
      <w:r w:rsidRPr="00D03F3E">
        <w:rPr>
          <w:rStyle w:val="6pt"/>
          <w:rFonts w:ascii="Times New Roman" w:hAnsi="Times New Roman" w:cs="Times New Roman"/>
          <w:color w:val="000000" w:themeColor="text1"/>
          <w:spacing w:val="0"/>
          <w:sz w:val="16"/>
          <w:szCs w:val="16"/>
        </w:rPr>
        <w:tab/>
        <w:t>280</w:t>
      </w:r>
    </w:p>
    <w:p w14:paraId="579188B9" w14:textId="77777777" w:rsidR="00E922D7" w:rsidRPr="00D03F3E" w:rsidRDefault="00E922D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масляных лаков разных</w:t>
      </w:r>
      <w:r w:rsidRPr="00D03F3E">
        <w:rPr>
          <w:rFonts w:ascii="Times New Roman" w:hAnsi="Times New Roman"/>
          <w:color w:val="000000" w:themeColor="text1"/>
          <w:sz w:val="16"/>
          <w:szCs w:val="16"/>
        </w:rPr>
        <w:tab/>
        <w:t>30</w:t>
      </w:r>
      <w:r w:rsidRPr="00D03F3E">
        <w:rPr>
          <w:rFonts w:ascii="Times New Roman" w:hAnsi="Times New Roman"/>
          <w:color w:val="000000" w:themeColor="text1"/>
          <w:sz w:val="16"/>
          <w:szCs w:val="16"/>
        </w:rPr>
        <w:tab/>
        <w:t>110</w:t>
      </w:r>
    </w:p>
    <w:p w14:paraId="05370E3B" w14:textId="77777777" w:rsidR="00E922D7" w:rsidRPr="00D03F3E" w:rsidRDefault="00E922D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крепителей и масла "С"</w:t>
      </w:r>
      <w:r w:rsidRPr="00D03F3E">
        <w:rPr>
          <w:rFonts w:ascii="Times New Roman" w:hAnsi="Times New Roman"/>
          <w:color w:val="000000" w:themeColor="text1"/>
          <w:sz w:val="16"/>
          <w:szCs w:val="16"/>
        </w:rPr>
        <w:tab/>
        <w:t>30</w:t>
      </w:r>
      <w:r w:rsidRPr="00D03F3E">
        <w:rPr>
          <w:rFonts w:ascii="Times New Roman" w:hAnsi="Times New Roman"/>
          <w:color w:val="000000" w:themeColor="text1"/>
          <w:sz w:val="16"/>
          <w:szCs w:val="16"/>
        </w:rPr>
        <w:tab/>
        <w:t>250</w:t>
      </w:r>
    </w:p>
    <w:p w14:paraId="2C29ABED" w14:textId="77777777" w:rsidR="00E922D7" w:rsidRPr="00D03F3E" w:rsidRDefault="00E922D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w:t>
      </w:r>
      <w:r w:rsidRPr="00D03F3E">
        <w:rPr>
          <w:rStyle w:val="16"/>
          <w:rFonts w:ascii="Times New Roman" w:hAnsi="Times New Roman" w:cs="Times New Roman"/>
          <w:color w:val="000000" w:themeColor="text1"/>
          <w:spacing w:val="0"/>
          <w:u w:val="none"/>
        </w:rPr>
        <w:t>Кра</w:t>
      </w:r>
      <w:r w:rsidRPr="00D03F3E">
        <w:rPr>
          <w:rFonts w:ascii="Times New Roman" w:hAnsi="Times New Roman"/>
          <w:color w:val="000000" w:themeColor="text1"/>
          <w:sz w:val="16"/>
          <w:szCs w:val="16"/>
        </w:rPr>
        <w:t>сноп</w:t>
      </w:r>
      <w:r w:rsidRPr="00D03F3E">
        <w:rPr>
          <w:rStyle w:val="16"/>
          <w:rFonts w:ascii="Times New Roman" w:hAnsi="Times New Roman" w:cs="Times New Roman"/>
          <w:color w:val="000000" w:themeColor="text1"/>
          <w:spacing w:val="0"/>
          <w:u w:val="none"/>
        </w:rPr>
        <w:t>ресненского з-да</w:t>
      </w:r>
    </w:p>
    <w:p w14:paraId="55B5694E" w14:textId="77777777" w:rsidR="00E922D7" w:rsidRPr="00D03F3E" w:rsidRDefault="00E922D7" w:rsidP="00D03F3E">
      <w:pPr>
        <w:tabs>
          <w:tab w:val="left" w:leader="dot" w:pos="284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эмалей и грунтов </w:t>
      </w:r>
      <w:r w:rsidRPr="00D03F3E">
        <w:rPr>
          <w:rFonts w:ascii="Times New Roman" w:hAnsi="Times New Roman"/>
          <w:color w:val="000000" w:themeColor="text1"/>
          <w:sz w:val="16"/>
          <w:szCs w:val="16"/>
        </w:rPr>
        <w:tab/>
        <w:t>33</w:t>
      </w:r>
      <w:r w:rsidRPr="00D03F3E">
        <w:rPr>
          <w:rFonts w:ascii="Times New Roman" w:hAnsi="Times New Roman"/>
          <w:color w:val="000000" w:themeColor="text1"/>
          <w:sz w:val="16"/>
          <w:szCs w:val="16"/>
        </w:rPr>
        <w:tab/>
        <w:t>200</w:t>
      </w:r>
    </w:p>
    <w:p w14:paraId="2B95B6BF" w14:textId="77777777" w:rsidR="00E922D7" w:rsidRPr="00D03F3E" w:rsidRDefault="00E922D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масляных лаков разных</w:t>
      </w:r>
      <w:r w:rsidRPr="00D03F3E">
        <w:rPr>
          <w:rFonts w:ascii="Times New Roman" w:hAnsi="Times New Roman"/>
          <w:color w:val="000000" w:themeColor="text1"/>
          <w:sz w:val="16"/>
          <w:szCs w:val="16"/>
        </w:rPr>
        <w:tab/>
        <w:t>17</w:t>
      </w:r>
      <w:r w:rsidRPr="00D03F3E">
        <w:rPr>
          <w:rFonts w:ascii="Times New Roman" w:hAnsi="Times New Roman"/>
          <w:color w:val="000000" w:themeColor="text1"/>
          <w:sz w:val="16"/>
          <w:szCs w:val="16"/>
        </w:rPr>
        <w:tab/>
        <w:t>46</w:t>
      </w:r>
    </w:p>
    <w:p w14:paraId="299075F6" w14:textId="77777777" w:rsidR="00E922D7" w:rsidRPr="00D03F3E" w:rsidRDefault="00E922D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крепителей и масла "С"</w:t>
      </w:r>
      <w:r w:rsidRPr="00D03F3E">
        <w:rPr>
          <w:rFonts w:ascii="Times New Roman" w:hAnsi="Times New Roman"/>
          <w:color w:val="000000" w:themeColor="text1"/>
          <w:sz w:val="16"/>
          <w:szCs w:val="16"/>
        </w:rPr>
        <w:tab/>
        <w:t>245</w:t>
      </w:r>
      <w:r w:rsidRPr="00D03F3E">
        <w:rPr>
          <w:rFonts w:ascii="Times New Roman" w:hAnsi="Times New Roman"/>
          <w:color w:val="000000" w:themeColor="text1"/>
          <w:sz w:val="16"/>
          <w:szCs w:val="16"/>
        </w:rPr>
        <w:tab/>
        <w:t>510</w:t>
      </w:r>
    </w:p>
    <w:p w14:paraId="260A172A" w14:textId="77777777" w:rsidR="00E922D7" w:rsidRPr="00D03F3E" w:rsidRDefault="00E922D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Поставку остальных лакокрасочных материалов для Нарком- авиапрома производить согласно приложению № 1.</w:t>
      </w:r>
    </w:p>
    <w:p w14:paraId="6C2773F5" w14:textId="77777777" w:rsidR="00E922D7" w:rsidRPr="00D03F3E" w:rsidRDefault="00E922D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Отгрузить в июне с.г. лакокрасочные материалы важнейшим заводам НКАП в строгом соответствии с прилагаемым графиком поставки (см.приложение № 2).</w:t>
      </w:r>
    </w:p>
    <w:p w14:paraId="409865B4" w14:textId="77777777" w:rsidR="00E922D7" w:rsidRPr="00D03F3E" w:rsidRDefault="00E922D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Обязать Нарксмпищепром СССР (т.Пронина) поставить в июне-сентябре 1943 г.:</w:t>
      </w:r>
    </w:p>
    <w:p w14:paraId="31829337" w14:textId="77777777" w:rsidR="00E922D7" w:rsidRPr="00D03F3E" w:rsidRDefault="00E922D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лакокрасочным заводам Наркомхимпрома бутанола 470 тонн, спирта этилового 680 тонн, глицерина 120 тонн, ацетона б00 тн., стеаратцинка 20 тонн, амил-бутилацетата 120 тонн, масел рас</w:t>
      </w:r>
      <w:r w:rsidRPr="00D03F3E">
        <w:rPr>
          <w:rFonts w:ascii="Times New Roman" w:hAnsi="Times New Roman"/>
          <w:color w:val="000000" w:themeColor="text1"/>
          <w:sz w:val="16"/>
          <w:szCs w:val="16"/>
        </w:rPr>
        <w:softHyphen/>
        <w:t>тительных 4020 тонн, из них льняного масла 2070 тонн и касто- розого масла 25С тонн с отгрузкой по месяцам,согласно прило</w:t>
      </w:r>
      <w:r w:rsidRPr="00D03F3E">
        <w:rPr>
          <w:rFonts w:ascii="Times New Roman" w:hAnsi="Times New Roman"/>
          <w:color w:val="000000" w:themeColor="text1"/>
          <w:sz w:val="16"/>
          <w:szCs w:val="16"/>
        </w:rPr>
        <w:softHyphen/>
        <w:t>жению № 3;</w:t>
      </w:r>
    </w:p>
    <w:p w14:paraId="7956833D" w14:textId="77777777" w:rsidR="00E922D7" w:rsidRPr="00D03F3E" w:rsidRDefault="00E922D7" w:rsidP="00D03F3E">
      <w:pPr>
        <w:tabs>
          <w:tab w:val="left" w:pos="102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заводам Главлесхима Наркомлеса СССР бутанола 710 тонн и этилового спирта 60 тыс.декалитров;</w:t>
      </w:r>
    </w:p>
    <w:p w14:paraId="06F5A856" w14:textId="77777777" w:rsidR="00E922D7" w:rsidRPr="00D03F3E" w:rsidRDefault="00E922D7" w:rsidP="00D03F3E">
      <w:pPr>
        <w:tabs>
          <w:tab w:val="left" w:pos="102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Нижнемальцевскому химзаводу Наркомместпрома </w:t>
      </w:r>
      <w:r w:rsidRPr="00D03F3E">
        <w:rPr>
          <w:rFonts w:ascii="Times New Roman" w:hAnsi="Times New Roman"/>
          <w:color w:val="000000" w:themeColor="text1"/>
          <w:sz w:val="16"/>
          <w:szCs w:val="16"/>
          <w:lang w:val="en-US"/>
        </w:rPr>
        <w:t>PC</w:t>
      </w:r>
      <w:r w:rsidRPr="00D03F3E">
        <w:rPr>
          <w:rFonts w:ascii="Times New Roman" w:hAnsi="Times New Roman"/>
          <w:color w:val="000000" w:themeColor="text1"/>
          <w:sz w:val="16"/>
          <w:szCs w:val="16"/>
        </w:rPr>
        <w:t>ФСР бу</w:t>
      </w:r>
      <w:r w:rsidRPr="00D03F3E">
        <w:rPr>
          <w:rFonts w:ascii="Times New Roman" w:hAnsi="Times New Roman"/>
          <w:color w:val="000000" w:themeColor="text1"/>
          <w:sz w:val="16"/>
          <w:szCs w:val="16"/>
        </w:rPr>
        <w:softHyphen/>
        <w:t xml:space="preserve">танола 43 тонны, ацетона 45 тонн, спирта этилового 13 тыс. декалитров и масла растительного </w:t>
      </w:r>
      <w:r w:rsidRPr="00D03F3E">
        <w:rPr>
          <w:rStyle w:val="-1pt"/>
          <w:rFonts w:ascii="Times New Roman" w:hAnsi="Times New Roman" w:cs="Times New Roman"/>
          <w:color w:val="000000" w:themeColor="text1"/>
          <w:spacing w:val="0"/>
          <w:sz w:val="16"/>
          <w:szCs w:val="16"/>
        </w:rPr>
        <w:t>160</w:t>
      </w:r>
      <w:r w:rsidRPr="00D03F3E">
        <w:rPr>
          <w:rFonts w:ascii="Times New Roman" w:hAnsi="Times New Roman"/>
          <w:color w:val="000000" w:themeColor="text1"/>
          <w:sz w:val="16"/>
          <w:szCs w:val="16"/>
        </w:rPr>
        <w:t xml:space="preserve"> тонн.</w:t>
      </w:r>
    </w:p>
    <w:p w14:paraId="19479162" w14:textId="77777777" w:rsidR="00E922D7" w:rsidRPr="00D03F3E" w:rsidRDefault="00E922D7" w:rsidP="00D03F3E">
      <w:pPr>
        <w:pStyle w:val="6c"/>
        <w:shd w:val="clear" w:color="auto" w:fill="auto"/>
        <w:tabs>
          <w:tab w:val="left" w:pos="965"/>
        </w:tabs>
        <w:spacing w:before="0" w:line="240" w:lineRule="auto"/>
        <w:jc w:val="both"/>
        <w:rPr>
          <w:rFonts w:ascii="Times New Roman" w:hAnsi="Times New Roman" w:cs="Times New Roman"/>
          <w:color w:val="000000" w:themeColor="text1"/>
        </w:rPr>
      </w:pPr>
      <w:r w:rsidRPr="00D03F3E">
        <w:rPr>
          <w:rStyle w:val="16"/>
          <w:rFonts w:ascii="Times New Roman" w:hAnsi="Times New Roman" w:cs="Times New Roman"/>
          <w:color w:val="000000" w:themeColor="text1"/>
          <w:spacing w:val="0"/>
          <w:u w:val="none"/>
        </w:rPr>
        <w:t xml:space="preserve">7. Обязать </w:t>
      </w:r>
      <w:r w:rsidRPr="00D03F3E">
        <w:rPr>
          <w:rFonts w:ascii="Times New Roman" w:hAnsi="Times New Roman" w:cs="Times New Roman"/>
          <w:color w:val="000000" w:themeColor="text1"/>
        </w:rPr>
        <w:t>Наркомлес СССР (т.</w:t>
      </w:r>
      <w:r w:rsidRPr="00D03F3E">
        <w:rPr>
          <w:rStyle w:val="16"/>
          <w:rFonts w:ascii="Times New Roman" w:hAnsi="Times New Roman" w:cs="Times New Roman"/>
          <w:color w:val="000000" w:themeColor="text1"/>
          <w:spacing w:val="0"/>
          <w:u w:val="none"/>
        </w:rPr>
        <w:t>Салтыкова) поставить в</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 xml:space="preserve">июне-сентябре 1943 </w:t>
      </w:r>
      <w:r w:rsidRPr="00D03F3E">
        <w:rPr>
          <w:rFonts w:ascii="Times New Roman" w:hAnsi="Times New Roman" w:cs="Times New Roman"/>
          <w:color w:val="000000" w:themeColor="text1"/>
        </w:rPr>
        <w:t>года:</w:t>
      </w:r>
    </w:p>
    <w:p w14:paraId="69A12189" w14:textId="77777777" w:rsidR="00E922D7" w:rsidRPr="00D03F3E" w:rsidRDefault="00E922D7" w:rsidP="00D03F3E">
      <w:pPr>
        <w:pStyle w:val="6c"/>
        <w:shd w:val="clear" w:color="auto" w:fill="auto"/>
        <w:tabs>
          <w:tab w:val="left" w:pos="973"/>
        </w:tabs>
        <w:spacing w:before="0" w:line="240" w:lineRule="auto"/>
        <w:jc w:val="both"/>
        <w:rPr>
          <w:rFonts w:ascii="Times New Roman" w:hAnsi="Times New Roman" w:cs="Times New Roman"/>
          <w:color w:val="000000" w:themeColor="text1"/>
        </w:rPr>
      </w:pPr>
      <w:r w:rsidRPr="00D03F3E">
        <w:rPr>
          <w:rStyle w:val="16"/>
          <w:rFonts w:ascii="Times New Roman" w:hAnsi="Times New Roman" w:cs="Times New Roman"/>
          <w:color w:val="000000" w:themeColor="text1"/>
          <w:spacing w:val="0"/>
          <w:u w:val="none"/>
        </w:rPr>
        <w:t>а) лакокрасочным заводам Наркомхимпрома бутилацетата</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830 тонн, этилацетата 750 тонн, уксусной кислоты ЮС—Про</w:t>
      </w:r>
      <w:r w:rsidRPr="00D03F3E">
        <w:rPr>
          <w:rStyle w:val="16"/>
          <w:rFonts w:ascii="Times New Roman" w:hAnsi="Times New Roman" w:cs="Times New Roman"/>
          <w:color w:val="000000" w:themeColor="text1"/>
          <w:spacing w:val="0"/>
          <w:u w:val="none"/>
        </w:rPr>
        <w:softHyphen/>
        <w:t xml:space="preserve">центной 56 тонн, винсола 65 </w:t>
      </w:r>
      <w:r w:rsidRPr="00D03F3E">
        <w:rPr>
          <w:rFonts w:ascii="Times New Roman" w:hAnsi="Times New Roman" w:cs="Times New Roman"/>
          <w:color w:val="000000" w:themeColor="text1"/>
        </w:rPr>
        <w:t xml:space="preserve">тонн, </w:t>
      </w:r>
      <w:r w:rsidRPr="00D03F3E">
        <w:rPr>
          <w:rStyle w:val="16"/>
          <w:rFonts w:ascii="Times New Roman" w:hAnsi="Times New Roman" w:cs="Times New Roman"/>
          <w:color w:val="000000" w:themeColor="text1"/>
          <w:spacing w:val="0"/>
          <w:u w:val="none"/>
        </w:rPr>
        <w:t xml:space="preserve">скипидара 525 тонн </w:t>
      </w:r>
      <w:r w:rsidRPr="00D03F3E">
        <w:rPr>
          <w:rFonts w:ascii="Times New Roman" w:hAnsi="Times New Roman" w:cs="Times New Roman"/>
          <w:color w:val="000000" w:themeColor="text1"/>
        </w:rPr>
        <w:t xml:space="preserve">и </w:t>
      </w:r>
      <w:r w:rsidRPr="00D03F3E">
        <w:rPr>
          <w:rStyle w:val="16"/>
          <w:rFonts w:ascii="Times New Roman" w:hAnsi="Times New Roman" w:cs="Times New Roman"/>
          <w:color w:val="000000" w:themeColor="text1"/>
          <w:spacing w:val="0"/>
          <w:u w:val="none"/>
        </w:rPr>
        <w:t>кани</w:t>
      </w:r>
      <w:r w:rsidRPr="00D03F3E">
        <w:rPr>
          <w:rStyle w:val="16"/>
          <w:rFonts w:ascii="Times New Roman" w:hAnsi="Times New Roman" w:cs="Times New Roman"/>
          <w:color w:val="000000" w:themeColor="text1"/>
          <w:spacing w:val="0"/>
          <w:u w:val="none"/>
        </w:rPr>
        <w:softHyphen/>
      </w:r>
      <w:r w:rsidRPr="00D03F3E">
        <w:rPr>
          <w:rFonts w:ascii="Times New Roman" w:hAnsi="Times New Roman" w:cs="Times New Roman"/>
          <w:color w:val="000000" w:themeColor="text1"/>
        </w:rPr>
        <w:t xml:space="preserve">фоли </w:t>
      </w:r>
      <w:r w:rsidRPr="00D03F3E">
        <w:rPr>
          <w:rStyle w:val="16"/>
          <w:rFonts w:ascii="Times New Roman" w:hAnsi="Times New Roman" w:cs="Times New Roman"/>
          <w:color w:val="000000" w:themeColor="text1"/>
          <w:spacing w:val="0"/>
          <w:u w:val="none"/>
        </w:rPr>
        <w:t>1500 тонн с отгрузкой по месяцам,согласно приложению № 3</w:t>
      </w:r>
    </w:p>
    <w:p w14:paraId="659062CD" w14:textId="77777777" w:rsidR="00E922D7" w:rsidRPr="00D03F3E" w:rsidRDefault="00E922D7" w:rsidP="00D03F3E">
      <w:pPr>
        <w:pStyle w:val="6c"/>
        <w:shd w:val="clear" w:color="auto" w:fill="auto"/>
        <w:tabs>
          <w:tab w:val="left" w:pos="973"/>
        </w:tabs>
        <w:spacing w:before="0" w:line="240" w:lineRule="auto"/>
        <w:jc w:val="both"/>
        <w:rPr>
          <w:rFonts w:ascii="Times New Roman" w:hAnsi="Times New Roman" w:cs="Times New Roman"/>
          <w:color w:val="000000" w:themeColor="text1"/>
        </w:rPr>
      </w:pPr>
      <w:r w:rsidRPr="00D03F3E">
        <w:rPr>
          <w:rStyle w:val="16"/>
          <w:rFonts w:ascii="Times New Roman" w:hAnsi="Times New Roman" w:cs="Times New Roman"/>
          <w:color w:val="000000" w:themeColor="text1"/>
          <w:spacing w:val="0"/>
          <w:u w:val="none"/>
        </w:rPr>
        <w:t>б) Нижнемальцевскому химзаводу Наркомместпрома ГС^СР</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 xml:space="preserve">уксусной кислоты 90 тонн </w:t>
      </w:r>
      <w:r w:rsidRPr="00D03F3E">
        <w:rPr>
          <w:rFonts w:ascii="Times New Roman" w:hAnsi="Times New Roman" w:cs="Times New Roman"/>
          <w:color w:val="000000" w:themeColor="text1"/>
        </w:rPr>
        <w:t xml:space="preserve">и </w:t>
      </w:r>
      <w:r w:rsidRPr="00D03F3E">
        <w:rPr>
          <w:rStyle w:val="16"/>
          <w:rFonts w:ascii="Times New Roman" w:hAnsi="Times New Roman" w:cs="Times New Roman"/>
          <w:color w:val="000000" w:themeColor="text1"/>
          <w:spacing w:val="0"/>
          <w:u w:val="none"/>
        </w:rPr>
        <w:t>этилацетата 20 тонн.</w:t>
      </w:r>
    </w:p>
    <w:p w14:paraId="6F2B5119" w14:textId="77777777" w:rsidR="00E922D7" w:rsidRPr="00D03F3E" w:rsidRDefault="00E922D7" w:rsidP="00D03F3E">
      <w:pPr>
        <w:pStyle w:val="6c"/>
        <w:shd w:val="clear" w:color="auto" w:fill="auto"/>
        <w:tabs>
          <w:tab w:val="left" w:pos="980"/>
        </w:tabs>
        <w:spacing w:before="0" w:line="240" w:lineRule="auto"/>
        <w:jc w:val="both"/>
        <w:rPr>
          <w:rFonts w:ascii="Times New Roman" w:hAnsi="Times New Roman" w:cs="Times New Roman"/>
          <w:color w:val="000000" w:themeColor="text1"/>
        </w:rPr>
      </w:pPr>
      <w:r w:rsidRPr="00D03F3E">
        <w:rPr>
          <w:rStyle w:val="16"/>
          <w:rFonts w:ascii="Times New Roman" w:hAnsi="Times New Roman" w:cs="Times New Roman"/>
          <w:color w:val="000000" w:themeColor="text1"/>
          <w:spacing w:val="0"/>
          <w:u w:val="none"/>
        </w:rPr>
        <w:t>8. Обязать Наркомрезинпром (т.Митрохина) при зсех ус</w:t>
      </w:r>
      <w:r w:rsidRPr="00D03F3E">
        <w:rPr>
          <w:rStyle w:val="16"/>
          <w:rFonts w:ascii="Times New Roman" w:hAnsi="Times New Roman" w:cs="Times New Roman"/>
          <w:color w:val="000000" w:themeColor="text1"/>
          <w:spacing w:val="0"/>
          <w:u w:val="none"/>
        </w:rPr>
        <w:softHyphen/>
        <w:t>ловиях поставить заводам Наркомхимпрома в июне-сентябре</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 xml:space="preserve">1943 </w:t>
      </w:r>
      <w:r w:rsidRPr="00D03F3E">
        <w:rPr>
          <w:rFonts w:ascii="Times New Roman" w:hAnsi="Times New Roman" w:cs="Times New Roman"/>
          <w:color w:val="000000" w:themeColor="text1"/>
        </w:rPr>
        <w:t xml:space="preserve">г. </w:t>
      </w:r>
      <w:r w:rsidRPr="00D03F3E">
        <w:rPr>
          <w:rStyle w:val="16"/>
          <w:rFonts w:ascii="Times New Roman" w:hAnsi="Times New Roman" w:cs="Times New Roman"/>
          <w:color w:val="000000" w:themeColor="text1"/>
          <w:spacing w:val="0"/>
          <w:u w:val="none"/>
        </w:rPr>
        <w:t xml:space="preserve">200 тонн бутанола, в том числе в июне </w:t>
      </w:r>
      <w:r w:rsidRPr="00D03F3E">
        <w:rPr>
          <w:rStyle w:val="1pt"/>
          <w:rFonts w:ascii="Times New Roman" w:hAnsi="Times New Roman" w:cs="Times New Roman"/>
          <w:color w:val="000000" w:themeColor="text1"/>
          <w:spacing w:val="0"/>
          <w:sz w:val="16"/>
          <w:szCs w:val="16"/>
        </w:rPr>
        <w:t>с.г.</w:t>
      </w:r>
      <w:r w:rsidRPr="00D03F3E">
        <w:rPr>
          <w:rStyle w:val="16"/>
          <w:rFonts w:ascii="Times New Roman" w:hAnsi="Times New Roman" w:cs="Times New Roman"/>
          <w:color w:val="000000" w:themeColor="text1"/>
          <w:spacing w:val="0"/>
          <w:u w:val="none"/>
        </w:rPr>
        <w:t xml:space="preserve"> 40 тонн,</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 xml:space="preserve">с отгрузкой по месяцам,согласно приложению № </w:t>
      </w:r>
      <w:r w:rsidRPr="00D03F3E">
        <w:rPr>
          <w:rStyle w:val="1pt"/>
          <w:rFonts w:ascii="Times New Roman" w:hAnsi="Times New Roman" w:cs="Times New Roman"/>
          <w:color w:val="000000" w:themeColor="text1"/>
          <w:spacing w:val="0"/>
          <w:sz w:val="16"/>
          <w:szCs w:val="16"/>
        </w:rPr>
        <w:t>3..,</w:t>
      </w:r>
    </w:p>
    <w:p w14:paraId="6BD32B3C" w14:textId="77777777" w:rsidR="00E922D7" w:rsidRPr="00D03F3E" w:rsidRDefault="00E922D7" w:rsidP="00D03F3E">
      <w:pPr>
        <w:pStyle w:val="6c"/>
        <w:shd w:val="clear" w:color="auto" w:fill="auto"/>
        <w:tabs>
          <w:tab w:val="left" w:pos="980"/>
        </w:tabs>
        <w:spacing w:before="0" w:line="240" w:lineRule="auto"/>
        <w:jc w:val="both"/>
        <w:rPr>
          <w:rFonts w:ascii="Times New Roman" w:hAnsi="Times New Roman" w:cs="Times New Roman"/>
          <w:color w:val="000000" w:themeColor="text1"/>
        </w:rPr>
      </w:pPr>
      <w:r w:rsidRPr="00D03F3E">
        <w:rPr>
          <w:rStyle w:val="16"/>
          <w:rFonts w:ascii="Times New Roman" w:hAnsi="Times New Roman" w:cs="Times New Roman"/>
          <w:color w:val="000000" w:themeColor="text1"/>
          <w:spacing w:val="0"/>
          <w:u w:val="none"/>
        </w:rPr>
        <w:t xml:space="preserve">9. Обязать Наркомбоеприпасов (т.Ванникова) поставить в июне-сентябре 1943 </w:t>
      </w:r>
      <w:r w:rsidRPr="00D03F3E">
        <w:rPr>
          <w:rFonts w:ascii="Times New Roman" w:hAnsi="Times New Roman" w:cs="Times New Roman"/>
          <w:color w:val="000000" w:themeColor="text1"/>
        </w:rPr>
        <w:t xml:space="preserve">г. </w:t>
      </w:r>
      <w:r w:rsidRPr="00D03F3E">
        <w:rPr>
          <w:rStyle w:val="16"/>
          <w:rFonts w:ascii="Times New Roman" w:hAnsi="Times New Roman" w:cs="Times New Roman"/>
          <w:color w:val="000000" w:themeColor="text1"/>
          <w:spacing w:val="0"/>
          <w:u w:val="none"/>
        </w:rPr>
        <w:t>заводам Наркомхимпрома обезволенно</w:t>
      </w:r>
      <w:r w:rsidRPr="00D03F3E">
        <w:rPr>
          <w:rStyle w:val="16"/>
          <w:rFonts w:ascii="Times New Roman" w:hAnsi="Times New Roman" w:cs="Times New Roman"/>
          <w:color w:val="000000" w:themeColor="text1"/>
          <w:spacing w:val="0"/>
          <w:u w:val="none"/>
        </w:rPr>
        <w:softHyphen/>
        <w:t xml:space="preserve">го коллоксилина марки К-8 156 тонн </w:t>
      </w:r>
      <w:r w:rsidRPr="00D03F3E">
        <w:rPr>
          <w:rFonts w:ascii="Times New Roman" w:hAnsi="Times New Roman" w:cs="Times New Roman"/>
          <w:color w:val="000000" w:themeColor="text1"/>
        </w:rPr>
        <w:t xml:space="preserve">и </w:t>
      </w:r>
      <w:r w:rsidRPr="00D03F3E">
        <w:rPr>
          <w:rStyle w:val="16"/>
          <w:rFonts w:ascii="Times New Roman" w:hAnsi="Times New Roman" w:cs="Times New Roman"/>
          <w:color w:val="000000" w:themeColor="text1"/>
          <w:spacing w:val="0"/>
          <w:u w:val="none"/>
        </w:rPr>
        <w:t xml:space="preserve">марки К-1 </w:t>
      </w:r>
      <w:r w:rsidRPr="00D03F3E">
        <w:rPr>
          <w:rStyle w:val="1pt"/>
          <w:rFonts w:ascii="Times New Roman" w:hAnsi="Times New Roman" w:cs="Times New Roman"/>
          <w:color w:val="000000" w:themeColor="text1"/>
          <w:spacing w:val="0"/>
          <w:sz w:val="16"/>
          <w:szCs w:val="16"/>
        </w:rPr>
        <w:t xml:space="preserve">вяз.1,2 - </w:t>
      </w:r>
      <w:r w:rsidRPr="00D03F3E">
        <w:rPr>
          <w:rStyle w:val="16"/>
          <w:rFonts w:ascii="Times New Roman" w:hAnsi="Times New Roman" w:cs="Times New Roman"/>
          <w:color w:val="000000" w:themeColor="text1"/>
          <w:spacing w:val="0"/>
          <w:u w:val="none"/>
        </w:rPr>
        <w:t>_,4°Э 156 тонн для производства авиационных лакокрасочных</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 xml:space="preserve">материалов </w:t>
      </w:r>
      <w:r w:rsidRPr="00D03F3E">
        <w:rPr>
          <w:rFonts w:ascii="Times New Roman" w:hAnsi="Times New Roman" w:cs="Times New Roman"/>
          <w:color w:val="000000" w:themeColor="text1"/>
        </w:rPr>
        <w:t xml:space="preserve">с </w:t>
      </w:r>
      <w:r w:rsidRPr="00D03F3E">
        <w:rPr>
          <w:rStyle w:val="16"/>
          <w:rFonts w:ascii="Times New Roman" w:hAnsi="Times New Roman" w:cs="Times New Roman"/>
          <w:color w:val="000000" w:themeColor="text1"/>
          <w:spacing w:val="0"/>
          <w:u w:val="none"/>
        </w:rPr>
        <w:t xml:space="preserve">отгрузкой по </w:t>
      </w:r>
      <w:r w:rsidRPr="00D03F3E">
        <w:rPr>
          <w:rFonts w:ascii="Times New Roman" w:hAnsi="Times New Roman" w:cs="Times New Roman"/>
          <w:color w:val="000000" w:themeColor="text1"/>
        </w:rPr>
        <w:t>месяцам,</w:t>
      </w:r>
      <w:r w:rsidRPr="00D03F3E">
        <w:rPr>
          <w:rStyle w:val="16"/>
          <w:rFonts w:ascii="Times New Roman" w:hAnsi="Times New Roman" w:cs="Times New Roman"/>
          <w:color w:val="000000" w:themeColor="text1"/>
          <w:spacing w:val="0"/>
          <w:u w:val="none"/>
        </w:rPr>
        <w:t>согласно приложению № 3.</w:t>
      </w:r>
    </w:p>
    <w:p w14:paraId="1F2E8014" w14:textId="77777777" w:rsidR="00E922D7" w:rsidRPr="00D03F3E" w:rsidRDefault="00E922D7" w:rsidP="00D03F3E">
      <w:pPr>
        <w:pStyle w:val="6c"/>
        <w:shd w:val="clear" w:color="auto" w:fill="auto"/>
        <w:tabs>
          <w:tab w:val="left" w:pos="1093"/>
        </w:tabs>
        <w:spacing w:before="0" w:line="240" w:lineRule="auto"/>
        <w:jc w:val="both"/>
        <w:rPr>
          <w:rFonts w:ascii="Times New Roman" w:hAnsi="Times New Roman" w:cs="Times New Roman"/>
          <w:color w:val="000000" w:themeColor="text1"/>
        </w:rPr>
      </w:pPr>
      <w:r w:rsidRPr="00D03F3E">
        <w:rPr>
          <w:rStyle w:val="16"/>
          <w:rFonts w:ascii="Times New Roman" w:hAnsi="Times New Roman" w:cs="Times New Roman"/>
          <w:color w:val="000000" w:themeColor="text1"/>
          <w:spacing w:val="0"/>
          <w:u w:val="none"/>
        </w:rPr>
        <w:t>10. Обязать Главнефтеснаб при СНК СССР (т.Широкова)</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поставить лакокрасочным заводам Наркомхимпрома уайт-спирита</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 xml:space="preserve">в июне </w:t>
      </w:r>
      <w:r w:rsidRPr="00D03F3E">
        <w:rPr>
          <w:rStyle w:val="1pt"/>
          <w:rFonts w:ascii="Times New Roman" w:hAnsi="Times New Roman" w:cs="Times New Roman"/>
          <w:color w:val="000000" w:themeColor="text1"/>
          <w:spacing w:val="0"/>
          <w:sz w:val="16"/>
          <w:szCs w:val="16"/>
        </w:rPr>
        <w:t>с.г.</w:t>
      </w:r>
      <w:r w:rsidRPr="00D03F3E">
        <w:rPr>
          <w:rStyle w:val="16"/>
          <w:rFonts w:ascii="Times New Roman" w:hAnsi="Times New Roman" w:cs="Times New Roman"/>
          <w:color w:val="000000" w:themeColor="text1"/>
          <w:spacing w:val="0"/>
          <w:u w:val="none"/>
        </w:rPr>
        <w:t xml:space="preserve"> 1200 тонн </w:t>
      </w:r>
      <w:r w:rsidRPr="00D03F3E">
        <w:rPr>
          <w:rFonts w:ascii="Times New Roman" w:hAnsi="Times New Roman" w:cs="Times New Roman"/>
          <w:color w:val="000000" w:themeColor="text1"/>
        </w:rPr>
        <w:t xml:space="preserve">и </w:t>
      </w:r>
      <w:r w:rsidRPr="00D03F3E">
        <w:rPr>
          <w:rStyle w:val="16"/>
          <w:rFonts w:ascii="Times New Roman" w:hAnsi="Times New Roman" w:cs="Times New Roman"/>
          <w:color w:val="000000" w:themeColor="text1"/>
          <w:spacing w:val="0"/>
          <w:u w:val="none"/>
        </w:rPr>
        <w:t xml:space="preserve">з Ш квартале </w:t>
      </w:r>
      <w:r w:rsidRPr="00D03F3E">
        <w:rPr>
          <w:rStyle w:val="1pt"/>
          <w:rFonts w:ascii="Times New Roman" w:hAnsi="Times New Roman" w:cs="Times New Roman"/>
          <w:color w:val="000000" w:themeColor="text1"/>
          <w:spacing w:val="0"/>
          <w:sz w:val="16"/>
          <w:szCs w:val="16"/>
        </w:rPr>
        <w:t>с.г.</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1800 тонн с разно</w:t>
      </w:r>
      <w:r w:rsidRPr="00D03F3E">
        <w:rPr>
          <w:rStyle w:val="16"/>
          <w:rFonts w:ascii="Times New Roman" w:hAnsi="Times New Roman" w:cs="Times New Roman"/>
          <w:color w:val="000000" w:themeColor="text1"/>
          <w:spacing w:val="0"/>
          <w:u w:val="none"/>
        </w:rPr>
        <w:softHyphen/>
        <w:t>мерной отгрузкой по месяцам.</w:t>
      </w:r>
    </w:p>
    <w:p w14:paraId="55F44CAA" w14:textId="77777777" w:rsidR="00E922D7" w:rsidRPr="00D03F3E" w:rsidRDefault="00E922D7" w:rsidP="00D03F3E">
      <w:pPr>
        <w:pStyle w:val="6c"/>
        <w:shd w:val="clear" w:color="auto" w:fill="auto"/>
        <w:tabs>
          <w:tab w:val="left" w:pos="1070"/>
        </w:tabs>
        <w:spacing w:before="0" w:line="240" w:lineRule="auto"/>
        <w:jc w:val="both"/>
        <w:rPr>
          <w:rFonts w:ascii="Times New Roman" w:hAnsi="Times New Roman" w:cs="Times New Roman"/>
          <w:color w:val="000000" w:themeColor="text1"/>
        </w:rPr>
      </w:pPr>
      <w:r w:rsidRPr="00D03F3E">
        <w:rPr>
          <w:rStyle w:val="16"/>
          <w:rFonts w:ascii="Times New Roman" w:hAnsi="Times New Roman" w:cs="Times New Roman"/>
          <w:color w:val="000000" w:themeColor="text1"/>
          <w:spacing w:val="0"/>
          <w:u w:val="none"/>
        </w:rPr>
        <w:t>11. Для создания запасов основного сырья для лакокра</w:t>
      </w:r>
      <w:r w:rsidRPr="00D03F3E">
        <w:rPr>
          <w:rStyle w:val="16"/>
          <w:rFonts w:ascii="Times New Roman" w:hAnsi="Times New Roman" w:cs="Times New Roman"/>
          <w:color w:val="000000" w:themeColor="text1"/>
          <w:spacing w:val="0"/>
          <w:u w:val="none"/>
        </w:rPr>
        <w:softHyphen/>
        <w:t>сочной продукции обязать Наркомвнешторг (т.Микояна) обеспе</w:t>
      </w:r>
      <w:r w:rsidRPr="00D03F3E">
        <w:rPr>
          <w:rStyle w:val="16"/>
          <w:rFonts w:ascii="Times New Roman" w:hAnsi="Times New Roman" w:cs="Times New Roman"/>
          <w:color w:val="000000" w:themeColor="text1"/>
          <w:spacing w:val="0"/>
          <w:u w:val="none"/>
        </w:rPr>
        <w:softHyphen/>
        <w:t>чить поставку лакокрасочным заводам Наркомхимпрома в Ш квар</w:t>
      </w:r>
      <w:r w:rsidRPr="00D03F3E">
        <w:rPr>
          <w:rStyle w:val="16"/>
          <w:rFonts w:ascii="Times New Roman" w:hAnsi="Times New Roman" w:cs="Times New Roman"/>
          <w:color w:val="000000" w:themeColor="text1"/>
          <w:spacing w:val="0"/>
          <w:u w:val="none"/>
        </w:rPr>
        <w:softHyphen/>
        <w:t xml:space="preserve">тале 1943 </w:t>
      </w:r>
      <w:r w:rsidRPr="00D03F3E">
        <w:rPr>
          <w:rFonts w:ascii="Times New Roman" w:hAnsi="Times New Roman" w:cs="Times New Roman"/>
          <w:color w:val="000000" w:themeColor="text1"/>
        </w:rPr>
        <w:t xml:space="preserve">г. </w:t>
      </w:r>
      <w:r w:rsidRPr="00D03F3E">
        <w:rPr>
          <w:rStyle w:val="16"/>
          <w:rFonts w:ascii="Times New Roman" w:hAnsi="Times New Roman" w:cs="Times New Roman"/>
          <w:color w:val="000000" w:themeColor="text1"/>
          <w:spacing w:val="0"/>
          <w:u w:val="none"/>
        </w:rPr>
        <w:t>ацетона 500 тонн, глицерина 200 тонн, масла льня</w:t>
      </w:r>
      <w:r w:rsidRPr="00D03F3E">
        <w:rPr>
          <w:rStyle w:val="16"/>
          <w:rFonts w:ascii="Times New Roman" w:hAnsi="Times New Roman" w:cs="Times New Roman"/>
          <w:color w:val="000000" w:themeColor="text1"/>
          <w:spacing w:val="0"/>
          <w:u w:val="none"/>
        </w:rPr>
        <w:softHyphen/>
      </w:r>
      <w:r w:rsidRPr="00D03F3E">
        <w:rPr>
          <w:rFonts w:ascii="Times New Roman" w:hAnsi="Times New Roman" w:cs="Times New Roman"/>
          <w:color w:val="000000" w:themeColor="text1"/>
        </w:rPr>
        <w:t xml:space="preserve">ного 1500 </w:t>
      </w:r>
      <w:r w:rsidRPr="00D03F3E">
        <w:rPr>
          <w:rStyle w:val="16"/>
          <w:rFonts w:ascii="Times New Roman" w:hAnsi="Times New Roman" w:cs="Times New Roman"/>
          <w:color w:val="000000" w:themeColor="text1"/>
          <w:spacing w:val="0"/>
          <w:u w:val="none"/>
        </w:rPr>
        <w:t xml:space="preserve">тонн </w:t>
      </w:r>
      <w:r w:rsidRPr="00D03F3E">
        <w:rPr>
          <w:rFonts w:ascii="Times New Roman" w:hAnsi="Times New Roman" w:cs="Times New Roman"/>
          <w:color w:val="000000" w:themeColor="text1"/>
        </w:rPr>
        <w:t xml:space="preserve">и </w:t>
      </w:r>
      <w:r w:rsidRPr="00D03F3E">
        <w:rPr>
          <w:rStyle w:val="16"/>
          <w:rFonts w:ascii="Times New Roman" w:hAnsi="Times New Roman" w:cs="Times New Roman"/>
          <w:color w:val="000000" w:themeColor="text1"/>
          <w:spacing w:val="0"/>
          <w:u w:val="none"/>
        </w:rPr>
        <w:t xml:space="preserve">дибутилфтслата </w:t>
      </w:r>
      <w:r w:rsidRPr="00D03F3E">
        <w:rPr>
          <w:rFonts w:ascii="Times New Roman" w:hAnsi="Times New Roman" w:cs="Times New Roman"/>
          <w:color w:val="000000" w:themeColor="text1"/>
        </w:rPr>
        <w:t>200</w:t>
      </w:r>
      <w:r w:rsidRPr="00D03F3E">
        <w:rPr>
          <w:rStyle w:val="16"/>
          <w:rFonts w:ascii="Times New Roman" w:hAnsi="Times New Roman" w:cs="Times New Roman"/>
          <w:color w:val="000000" w:themeColor="text1"/>
          <w:spacing w:val="0"/>
          <w:u w:val="none"/>
        </w:rPr>
        <w:t xml:space="preserve"> тонн.</w:t>
      </w:r>
    </w:p>
    <w:p w14:paraId="182E07F4" w14:textId="77777777" w:rsidR="00E922D7" w:rsidRPr="00D03F3E" w:rsidRDefault="00E922D7" w:rsidP="00D03F3E">
      <w:pPr>
        <w:pStyle w:val="6c"/>
        <w:shd w:val="clear" w:color="auto" w:fill="auto"/>
        <w:tabs>
          <w:tab w:val="left" w:pos="1100"/>
        </w:tabs>
        <w:spacing w:before="0" w:line="240" w:lineRule="auto"/>
        <w:jc w:val="both"/>
        <w:rPr>
          <w:rFonts w:ascii="Times New Roman" w:hAnsi="Times New Roman" w:cs="Times New Roman"/>
          <w:color w:val="000000" w:themeColor="text1"/>
        </w:rPr>
      </w:pPr>
      <w:r w:rsidRPr="00D03F3E">
        <w:rPr>
          <w:rStyle w:val="16"/>
          <w:rFonts w:ascii="Times New Roman" w:hAnsi="Times New Roman" w:cs="Times New Roman"/>
          <w:color w:val="000000" w:themeColor="text1"/>
          <w:spacing w:val="0"/>
          <w:u w:val="none"/>
        </w:rPr>
        <w:t>12. Обязать Госплан при СНК СССР (т.Вознесенского)</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 xml:space="preserve">предусмотреть выделение в Ш квартале </w:t>
      </w:r>
      <w:r w:rsidRPr="00D03F3E">
        <w:rPr>
          <w:rStyle w:val="1pt"/>
          <w:rFonts w:ascii="Times New Roman" w:hAnsi="Times New Roman" w:cs="Times New Roman"/>
          <w:color w:val="000000" w:themeColor="text1"/>
          <w:spacing w:val="0"/>
          <w:sz w:val="16"/>
          <w:szCs w:val="16"/>
        </w:rPr>
        <w:t>с.г.</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Наркомхимпрпму,</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 xml:space="preserve">Наркомпищепрому СССР, Наркомлесу СССР </w:t>
      </w:r>
      <w:r w:rsidRPr="00D03F3E">
        <w:rPr>
          <w:rFonts w:ascii="Times New Roman" w:hAnsi="Times New Roman" w:cs="Times New Roman"/>
          <w:color w:val="000000" w:themeColor="text1"/>
        </w:rPr>
        <w:t xml:space="preserve">и </w:t>
      </w:r>
      <w:r w:rsidRPr="00D03F3E">
        <w:rPr>
          <w:rStyle w:val="16"/>
          <w:rFonts w:ascii="Times New Roman" w:hAnsi="Times New Roman" w:cs="Times New Roman"/>
          <w:color w:val="000000" w:themeColor="text1"/>
          <w:spacing w:val="0"/>
          <w:u w:val="none"/>
        </w:rPr>
        <w:t>Наркомместпрому</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РСЗСГ целевым назначением фондируемого сырья и материалов,</w:t>
      </w:r>
      <w:r w:rsidRPr="00D03F3E">
        <w:rPr>
          <w:rFonts w:ascii="Times New Roman" w:hAnsi="Times New Roman" w:cs="Times New Roman"/>
          <w:color w:val="000000" w:themeColor="text1"/>
        </w:rPr>
        <w:t xml:space="preserve"> идущих </w:t>
      </w:r>
      <w:r w:rsidRPr="00D03F3E">
        <w:rPr>
          <w:rStyle w:val="16"/>
          <w:rFonts w:ascii="Times New Roman" w:hAnsi="Times New Roman" w:cs="Times New Roman"/>
          <w:color w:val="000000" w:themeColor="text1"/>
          <w:spacing w:val="0"/>
          <w:u w:val="none"/>
        </w:rPr>
        <w:t>для производства лакокрасочной продукции, а именно,</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 xml:space="preserve">растительных масел, этилового спирта, глицерина </w:t>
      </w:r>
      <w:r w:rsidRPr="00D03F3E">
        <w:rPr>
          <w:rFonts w:ascii="Times New Roman" w:hAnsi="Times New Roman" w:cs="Times New Roman"/>
          <w:color w:val="000000" w:themeColor="text1"/>
        </w:rPr>
        <w:t xml:space="preserve">и </w:t>
      </w:r>
      <w:r w:rsidRPr="00D03F3E">
        <w:rPr>
          <w:rStyle w:val="16"/>
          <w:rFonts w:ascii="Times New Roman" w:hAnsi="Times New Roman" w:cs="Times New Roman"/>
          <w:color w:val="000000" w:themeColor="text1"/>
          <w:spacing w:val="0"/>
          <w:u w:val="none"/>
        </w:rPr>
        <w:t>других ма</w:t>
      </w:r>
      <w:r w:rsidRPr="00D03F3E">
        <w:rPr>
          <w:rStyle w:val="16"/>
          <w:rFonts w:ascii="Times New Roman" w:hAnsi="Times New Roman" w:cs="Times New Roman"/>
          <w:color w:val="000000" w:themeColor="text1"/>
          <w:spacing w:val="0"/>
          <w:u w:val="none"/>
        </w:rPr>
        <w:softHyphen/>
        <w:t>териалов в количествах, установленных настоящим постановле</w:t>
      </w:r>
      <w:r w:rsidRPr="00D03F3E">
        <w:rPr>
          <w:rStyle w:val="16"/>
          <w:rFonts w:ascii="Times New Roman" w:hAnsi="Times New Roman" w:cs="Times New Roman"/>
          <w:color w:val="000000" w:themeColor="text1"/>
          <w:spacing w:val="0"/>
          <w:u w:val="none"/>
        </w:rPr>
        <w:softHyphen/>
      </w:r>
      <w:r w:rsidRPr="00D03F3E">
        <w:rPr>
          <w:rFonts w:ascii="Times New Roman" w:hAnsi="Times New Roman" w:cs="Times New Roman"/>
          <w:color w:val="000000" w:themeColor="text1"/>
        </w:rPr>
        <w:t>нием.</w:t>
      </w:r>
    </w:p>
    <w:p w14:paraId="38F3C839" w14:textId="77777777" w:rsidR="00E922D7" w:rsidRPr="00D03F3E" w:rsidRDefault="00E922D7" w:rsidP="00D03F3E">
      <w:pPr>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Запретить кому бы то ни было изменять и сокращать без</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специального разрешения ГОКО фонды на материалы и скрье,вы</w:t>
      </w:r>
      <w:r w:rsidRPr="00D03F3E">
        <w:rPr>
          <w:rStyle w:val="16"/>
          <w:rFonts w:ascii="Times New Roman" w:hAnsi="Times New Roman" w:cs="Times New Roman"/>
          <w:color w:val="000000" w:themeColor="text1"/>
          <w:spacing w:val="0"/>
          <w:u w:val="none"/>
        </w:rPr>
        <w:softHyphen/>
        <w:t>деляемые для предприятий, связанных с производством авиа</w:t>
      </w:r>
      <w:r w:rsidRPr="00D03F3E">
        <w:rPr>
          <w:rStyle w:val="16"/>
          <w:rFonts w:ascii="Times New Roman" w:hAnsi="Times New Roman" w:cs="Times New Roman"/>
          <w:color w:val="000000" w:themeColor="text1"/>
          <w:spacing w:val="0"/>
          <w:u w:val="none"/>
        </w:rPr>
        <w:softHyphen/>
        <w:t>ционной лакокрасочной продукции.</w:t>
      </w:r>
    </w:p>
    <w:p w14:paraId="7B550F77" w14:textId="77777777" w:rsidR="00E922D7" w:rsidRPr="00D03F3E" w:rsidRDefault="00E922D7" w:rsidP="00D03F3E">
      <w:pPr>
        <w:tabs>
          <w:tab w:val="left" w:pos="1120"/>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14. Обязать УГМР при СНК СССР (т.Данченко) разброниро</w:t>
      </w:r>
      <w:r w:rsidRPr="00D03F3E">
        <w:rPr>
          <w:rStyle w:val="16"/>
          <w:rFonts w:ascii="Times New Roman" w:hAnsi="Times New Roman" w:cs="Times New Roman"/>
          <w:color w:val="000000" w:themeColor="text1"/>
          <w:spacing w:val="0"/>
          <w:u w:val="none"/>
        </w:rPr>
        <w:softHyphen/>
        <w:t>вать в июне с.г. для лакокрасочных заводов НКХП 150 тонн</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тунгового масла.</w:t>
      </w:r>
    </w:p>
    <w:p w14:paraId="093F437E" w14:textId="77777777" w:rsidR="00E922D7" w:rsidRPr="00D03F3E" w:rsidRDefault="00E922D7" w:rsidP="00D03F3E">
      <w:pPr>
        <w:tabs>
          <w:tab w:val="left" w:pos="1098"/>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15. Отменить все ранее вынесенные постановления и рас</w:t>
      </w:r>
      <w:r w:rsidRPr="00D03F3E">
        <w:rPr>
          <w:rStyle w:val="16"/>
          <w:rFonts w:ascii="Times New Roman" w:hAnsi="Times New Roman" w:cs="Times New Roman"/>
          <w:color w:val="000000" w:themeColor="text1"/>
          <w:spacing w:val="0"/>
          <w:u w:val="none"/>
        </w:rPr>
        <w:softHyphen/>
        <w:t>поряжения ГОКО и СНК СССР по производству и распределению</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авиационных лакокрасочных материалов, а также сырья для</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них, идущие в разреэ настоящего постановления.</w:t>
      </w:r>
    </w:p>
    <w:p w14:paraId="5B0CE49B" w14:textId="77777777" w:rsidR="00E922D7" w:rsidRPr="00D03F3E" w:rsidRDefault="00E922D7" w:rsidP="00D03F3E">
      <w:pPr>
        <w:tabs>
          <w:tab w:val="left" w:pos="1075"/>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16. Утвердить следующие мероприятия:</w:t>
      </w:r>
    </w:p>
    <w:p w14:paraId="18AAF21E" w14:textId="77777777" w:rsidR="00E922D7" w:rsidRPr="00D03F3E" w:rsidRDefault="00E922D7" w:rsidP="00D03F3E">
      <w:pPr>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а) по улучшению работы лакокрасочных заводов Нарком-</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химпрома (см.приложение № </w:t>
      </w:r>
      <w:r w:rsidRPr="00D03F3E">
        <w:rPr>
          <w:rStyle w:val="2pt0"/>
          <w:rFonts w:ascii="Times New Roman" w:hAnsi="Times New Roman" w:cs="Times New Roman"/>
          <w:color w:val="000000" w:themeColor="text1"/>
          <w:spacing w:val="0"/>
          <w:sz w:val="16"/>
          <w:szCs w:val="16"/>
        </w:rPr>
        <w:t>4);</w:t>
      </w:r>
    </w:p>
    <w:p w14:paraId="71171A46" w14:textId="77777777" w:rsidR="00E922D7" w:rsidRPr="00D03F3E" w:rsidRDefault="00E922D7" w:rsidP="00D03F3E">
      <w:pPr>
        <w:tabs>
          <w:tab w:val="left" w:pos="993"/>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б) по восстановлению ацетоно-бутанолсвых заводов Нарком</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пищепрома СССР и увеличению выработки бутанола (см.приложе</w:t>
      </w:r>
      <w:r w:rsidRPr="00D03F3E">
        <w:rPr>
          <w:rStyle w:val="16"/>
          <w:rFonts w:ascii="Times New Roman" w:hAnsi="Times New Roman" w:cs="Times New Roman"/>
          <w:color w:val="000000" w:themeColor="text1"/>
          <w:spacing w:val="0"/>
          <w:u w:val="none"/>
        </w:rPr>
        <w:softHyphen/>
        <w:t xml:space="preserve">ние № 5) </w:t>
      </w:r>
      <w:r w:rsidRPr="00D03F3E">
        <w:rPr>
          <w:rStyle w:val="16"/>
          <w:rFonts w:ascii="Times New Roman" w:hAnsi="Times New Roman" w:cs="Times New Roman"/>
          <w:color w:val="000000" w:themeColor="text1"/>
          <w:spacing w:val="0"/>
          <w:u w:val="none"/>
          <w:lang w:val="en-US"/>
        </w:rPr>
        <w:t>j</w:t>
      </w:r>
    </w:p>
    <w:p w14:paraId="1E57E42C" w14:textId="77777777" w:rsidR="00E922D7" w:rsidRPr="00D03F3E" w:rsidRDefault="00E922D7" w:rsidP="00D03F3E">
      <w:pPr>
        <w:tabs>
          <w:tab w:val="left" w:pos="985"/>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в) по обеспечению поставки лакокрасочных материалов для</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авиационной промышленности в июне 1943 г.(см.-приложение № 6</w:t>
      </w:r>
    </w:p>
    <w:p w14:paraId="2CD91F76" w14:textId="77777777" w:rsidR="00E922D7" w:rsidRPr="00D03F3E" w:rsidRDefault="00E922D7" w:rsidP="00D03F3E">
      <w:pPr>
        <w:tabs>
          <w:tab w:val="left" w:pos="1083"/>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17. Обязать Наркомавиапром (т.Шахурина)</w:t>
      </w:r>
      <w:r w:rsidRPr="00D03F3E">
        <w:rPr>
          <w:rFonts w:ascii="Times New Roman" w:hAnsi="Times New Roman"/>
          <w:color w:val="000000" w:themeColor="text1"/>
          <w:sz w:val="16"/>
          <w:szCs w:val="16"/>
        </w:rPr>
        <w:t>:</w:t>
      </w:r>
    </w:p>
    <w:p w14:paraId="2098C38B" w14:textId="77777777" w:rsidR="00E922D7" w:rsidRPr="00D03F3E" w:rsidRDefault="00E922D7" w:rsidP="00D03F3E">
      <w:pPr>
        <w:tabs>
          <w:tab w:val="left" w:pos="985"/>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а) усилить контроль за качеством лакокрасочных материа</w:t>
      </w:r>
      <w:r w:rsidRPr="00D03F3E">
        <w:rPr>
          <w:rStyle w:val="16"/>
          <w:rFonts w:ascii="Times New Roman" w:hAnsi="Times New Roman" w:cs="Times New Roman"/>
          <w:color w:val="000000" w:themeColor="text1"/>
          <w:spacing w:val="0"/>
          <w:u w:val="none"/>
        </w:rPr>
        <w:softHyphen/>
        <w:t>лов, поставляемых заводами Наркомхимпрома: 2 34, "Победа ра</w:t>
      </w:r>
      <w:r w:rsidRPr="00D03F3E">
        <w:rPr>
          <w:rStyle w:val="16"/>
          <w:rFonts w:ascii="Times New Roman" w:hAnsi="Times New Roman" w:cs="Times New Roman"/>
          <w:color w:val="000000" w:themeColor="text1"/>
          <w:spacing w:val="0"/>
          <w:u w:val="none"/>
        </w:rPr>
        <w:softHyphen/>
        <w:t>бочих", № 36 и Краснопресненским заводом лаков и красок;</w:t>
      </w:r>
    </w:p>
    <w:p w14:paraId="1F925E86" w14:textId="77777777" w:rsidR="00E922D7" w:rsidRPr="00D03F3E" w:rsidRDefault="00E922D7" w:rsidP="00D03F3E">
      <w:pPr>
        <w:tabs>
          <w:tab w:val="left" w:pos="993"/>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б) пересмотреть в 5-дневный срок состав технических</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приемщиков НКАП на этих заводах, подобран на эту работу зн&amp;ю</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щих дело, требовательных и добросовестных работников.</w:t>
      </w:r>
    </w:p>
    <w:p w14:paraId="4D4108E8" w14:textId="77777777" w:rsidR="00E922D7" w:rsidRPr="00D03F3E" w:rsidRDefault="00E922D7" w:rsidP="00D03F3E">
      <w:pPr>
        <w:tabs>
          <w:tab w:val="left" w:pos="1113"/>
        </w:tabs>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18. Обязать Наркомхимпрсм (т.Первухина) организовать к</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составе Наркомхимпрома Главное управление лакокрасочной про</w:t>
      </w:r>
      <w:r w:rsidRPr="00D03F3E">
        <w:rPr>
          <w:rStyle w:val="16"/>
          <w:rFonts w:ascii="Times New Roman" w:hAnsi="Times New Roman" w:cs="Times New Roman"/>
          <w:color w:val="000000" w:themeColor="text1"/>
          <w:spacing w:val="0"/>
          <w:u w:val="none"/>
        </w:rPr>
        <w:softHyphen/>
        <w:t>мышленности, выделив эту отрасль промышленности иэ состава</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Главанилкраски.</w:t>
      </w:r>
    </w:p>
    <w:p w14:paraId="52FF7808" w14:textId="77777777" w:rsidR="00E922D7" w:rsidRPr="00D03F3E" w:rsidRDefault="00E922D7" w:rsidP="00D03F3E">
      <w:pPr>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Штатной комиссии при СНК СССР в 5-дневный срок утвер</w:t>
      </w:r>
      <w:r w:rsidRPr="00D03F3E">
        <w:rPr>
          <w:rStyle w:val="16"/>
          <w:rFonts w:ascii="Times New Roman" w:hAnsi="Times New Roman" w:cs="Times New Roman"/>
          <w:color w:val="000000" w:themeColor="text1"/>
          <w:spacing w:val="0"/>
          <w:u w:val="none"/>
        </w:rPr>
        <w:softHyphen/>
        <w:t>дить штаты Главлакокраски, увеличив соответственно штаты</w:t>
      </w:r>
      <w:r w:rsidRPr="00D03F3E">
        <w:rPr>
          <w:rFonts w:ascii="Times New Roman" w:hAnsi="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Наркомхимпрома</w:t>
      </w:r>
      <w:r w:rsidRPr="00D03F3E">
        <w:rPr>
          <w:rFonts w:ascii="Times New Roman" w:hAnsi="Times New Roman"/>
          <w:color w:val="000000" w:themeColor="text1"/>
          <w:sz w:val="16"/>
          <w:szCs w:val="16"/>
        </w:rPr>
        <w:t>.</w:t>
      </w:r>
    </w:p>
    <w:p w14:paraId="2DACBD40" w14:textId="77777777" w:rsidR="00E922D7" w:rsidRPr="00D03F3E" w:rsidRDefault="00E922D7" w:rsidP="00D03F3E">
      <w:pPr>
        <w:spacing w:after="0" w:line="240" w:lineRule="auto"/>
        <w:jc w:val="both"/>
        <w:rPr>
          <w:rFonts w:ascii="Times New Roman" w:hAnsi="Times New Roman"/>
          <w:color w:val="000000" w:themeColor="text1"/>
          <w:sz w:val="16"/>
          <w:szCs w:val="16"/>
        </w:rPr>
      </w:pPr>
      <w:r w:rsidRPr="00D03F3E">
        <w:rPr>
          <w:rStyle w:val="16"/>
          <w:rFonts w:ascii="Times New Roman" w:hAnsi="Times New Roman" w:cs="Times New Roman"/>
          <w:color w:val="000000" w:themeColor="text1"/>
          <w:spacing w:val="0"/>
          <w:u w:val="none"/>
        </w:rPr>
        <w:t xml:space="preserve">18. </w:t>
      </w:r>
      <w:r w:rsidRPr="00D03F3E">
        <w:rPr>
          <w:rFonts w:ascii="Times New Roman" w:hAnsi="Times New Roman"/>
          <w:color w:val="000000" w:themeColor="text1"/>
          <w:sz w:val="16"/>
          <w:szCs w:val="16"/>
        </w:rPr>
        <w:t>Обязать первых секретарей обкомов ВКП(б): Ярослав</w:t>
      </w:r>
      <w:r w:rsidRPr="00D03F3E">
        <w:rPr>
          <w:rFonts w:ascii="Times New Roman" w:hAnsi="Times New Roman"/>
          <w:color w:val="000000" w:themeColor="text1"/>
          <w:sz w:val="16"/>
          <w:szCs w:val="16"/>
        </w:rPr>
        <w:softHyphen/>
        <w:t xml:space="preserve">ского - </w:t>
      </w:r>
      <w:r w:rsidRPr="00D03F3E">
        <w:rPr>
          <w:rStyle w:val="16"/>
          <w:rFonts w:ascii="Times New Roman" w:hAnsi="Times New Roman" w:cs="Times New Roman"/>
          <w:color w:val="000000" w:themeColor="text1"/>
          <w:spacing w:val="0"/>
          <w:u w:val="none"/>
        </w:rPr>
        <w:t>т.</w:t>
      </w:r>
      <w:r w:rsidRPr="00D03F3E">
        <w:rPr>
          <w:rFonts w:ascii="Times New Roman" w:hAnsi="Times New Roman"/>
          <w:color w:val="000000" w:themeColor="text1"/>
          <w:sz w:val="16"/>
          <w:szCs w:val="16"/>
        </w:rPr>
        <w:t xml:space="preserve">Ларионова, Челябинского </w:t>
      </w:r>
      <w:r w:rsidRPr="00D03F3E">
        <w:rPr>
          <w:rStyle w:val="16"/>
          <w:rFonts w:ascii="Times New Roman" w:hAnsi="Times New Roman" w:cs="Times New Roman"/>
          <w:color w:val="000000" w:themeColor="text1"/>
          <w:spacing w:val="0"/>
          <w:u w:val="none"/>
        </w:rPr>
        <w:t xml:space="preserve">- </w:t>
      </w:r>
      <w:r w:rsidRPr="00D03F3E">
        <w:rPr>
          <w:rFonts w:ascii="Times New Roman" w:hAnsi="Times New Roman"/>
          <w:color w:val="000000" w:themeColor="text1"/>
          <w:sz w:val="16"/>
          <w:szCs w:val="16"/>
        </w:rPr>
        <w:t>т.Патоличева, Сверд</w:t>
      </w:r>
      <w:r w:rsidRPr="00D03F3E">
        <w:rPr>
          <w:rFonts w:ascii="Times New Roman" w:hAnsi="Times New Roman"/>
          <w:color w:val="000000" w:themeColor="text1"/>
          <w:sz w:val="16"/>
          <w:szCs w:val="16"/>
        </w:rPr>
        <w:softHyphen/>
        <w:t xml:space="preserve">ловского - т.Андрианова, Ивановского </w:t>
      </w:r>
      <w:r w:rsidRPr="00D03F3E">
        <w:rPr>
          <w:rStyle w:val="16"/>
          <w:rFonts w:ascii="Times New Roman" w:hAnsi="Times New Roman" w:cs="Times New Roman"/>
          <w:color w:val="000000" w:themeColor="text1"/>
          <w:spacing w:val="0"/>
          <w:u w:val="none"/>
        </w:rPr>
        <w:t xml:space="preserve">- </w:t>
      </w:r>
      <w:r w:rsidRPr="00D03F3E">
        <w:rPr>
          <w:rFonts w:ascii="Times New Roman" w:hAnsi="Times New Roman"/>
          <w:color w:val="000000" w:themeColor="text1"/>
          <w:sz w:val="16"/>
          <w:szCs w:val="16"/>
        </w:rPr>
        <w:t xml:space="preserve">т.Пальцева и Рязанского </w:t>
      </w:r>
      <w:r w:rsidRPr="00D03F3E">
        <w:rPr>
          <w:rStyle w:val="16"/>
          <w:rFonts w:ascii="Times New Roman" w:hAnsi="Times New Roman" w:cs="Times New Roman"/>
          <w:color w:val="000000" w:themeColor="text1"/>
          <w:spacing w:val="0"/>
          <w:u w:val="none"/>
        </w:rPr>
        <w:t xml:space="preserve">- </w:t>
      </w:r>
      <w:r w:rsidRPr="00D03F3E">
        <w:rPr>
          <w:rFonts w:ascii="Times New Roman" w:hAnsi="Times New Roman"/>
          <w:color w:val="000000" w:themeColor="text1"/>
          <w:sz w:val="16"/>
          <w:szCs w:val="16"/>
        </w:rPr>
        <w:t xml:space="preserve">т.Тарасова взять под личный контроль работу эаводов, производящих авиационные лакокрасочные материалы,оказывая </w:t>
      </w:r>
      <w:r w:rsidRPr="00D03F3E">
        <w:rPr>
          <w:rStyle w:val="16"/>
          <w:rFonts w:ascii="Times New Roman" w:hAnsi="Times New Roman" w:cs="Times New Roman"/>
          <w:color w:val="000000" w:themeColor="text1"/>
          <w:spacing w:val="0"/>
          <w:u w:val="none"/>
        </w:rPr>
        <w:t xml:space="preserve">ш </w:t>
      </w:r>
      <w:r w:rsidRPr="00D03F3E">
        <w:rPr>
          <w:rFonts w:ascii="Times New Roman" w:hAnsi="Times New Roman"/>
          <w:color w:val="000000" w:themeColor="text1"/>
          <w:sz w:val="16"/>
          <w:szCs w:val="16"/>
        </w:rPr>
        <w:t>всемерную помощь в выполнении установленной производст</w:t>
      </w:r>
      <w:r w:rsidRPr="00D03F3E">
        <w:rPr>
          <w:rFonts w:ascii="Times New Roman" w:hAnsi="Times New Roman"/>
          <w:color w:val="000000" w:themeColor="text1"/>
          <w:sz w:val="16"/>
          <w:szCs w:val="16"/>
        </w:rPr>
        <w:softHyphen/>
        <w:t>венной программы (19405).</w:t>
      </w:r>
    </w:p>
    <w:p w14:paraId="56E4FAC5" w14:textId="77777777" w:rsidR="00ED34EA" w:rsidRPr="00D03F3E" w:rsidRDefault="00ED34EA" w:rsidP="00D03F3E">
      <w:pPr>
        <w:spacing w:after="0" w:line="240" w:lineRule="auto"/>
        <w:jc w:val="both"/>
        <w:rPr>
          <w:rFonts w:ascii="Times New Roman" w:hAnsi="Times New Roman"/>
          <w:color w:val="000000" w:themeColor="text1"/>
          <w:sz w:val="16"/>
          <w:szCs w:val="16"/>
        </w:rPr>
      </w:pPr>
    </w:p>
    <w:p w14:paraId="29752C1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 вышло Постановление ГКО № 3586 Об увеличении выпуска авиационных моторов М-82ФН и насосов непосредственного впрыска НБЗ-У. РГАНИР, Фонд ГКО, д. 126, лл. 168-171, 172-194 (11012).</w:t>
      </w:r>
    </w:p>
    <w:p w14:paraId="0F291DA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762C14B" w14:textId="77777777" w:rsidR="00E922D7" w:rsidRPr="00D03F3E" w:rsidRDefault="00E922D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 вышло Постановление ГКО № 3586 Об увеличении выпуска авиационных моторов М-82ФН и насосов непосредственного впрыска НБЗ-У</w:t>
      </w:r>
    </w:p>
    <w:p w14:paraId="629E343C" w14:textId="77777777" w:rsidR="00E922D7" w:rsidRPr="00D03F3E" w:rsidRDefault="00E922D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увеличения выпуска авиационных моторов М-82ФН и насосов непосредственного впрыска НБЗ-У, Го</w:t>
      </w:r>
      <w:r w:rsidRPr="00D03F3E">
        <w:rPr>
          <w:rFonts w:ascii="Times New Roman" w:hAnsi="Times New Roman"/>
          <w:color w:val="000000" w:themeColor="text1"/>
          <w:sz w:val="16"/>
          <w:szCs w:val="16"/>
        </w:rPr>
        <w:softHyphen/>
        <w:t>сударственный Комитет Обороны постановляет:</w:t>
      </w:r>
    </w:p>
    <w:p w14:paraId="6A46C167" w14:textId="77777777" w:rsidR="00E922D7" w:rsidRPr="00D03F3E" w:rsidRDefault="00E922D7" w:rsidP="00D03F3E">
      <w:pPr>
        <w:tabs>
          <w:tab w:val="left" w:pos="162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Наркомавиапром - т.Шахурина и директо</w:t>
      </w:r>
      <w:r w:rsidRPr="00D03F3E">
        <w:rPr>
          <w:rFonts w:ascii="Times New Roman" w:hAnsi="Times New Roman"/>
          <w:color w:val="000000" w:themeColor="text1"/>
          <w:sz w:val="16"/>
          <w:szCs w:val="16"/>
        </w:rPr>
        <w:softHyphen/>
        <w:t>ре завода 19 НКАП - т.Солдатова довести выпуск мото</w:t>
      </w:r>
      <w:r w:rsidRPr="00D03F3E">
        <w:rPr>
          <w:rFonts w:ascii="Times New Roman" w:hAnsi="Times New Roman"/>
          <w:color w:val="000000" w:themeColor="text1"/>
          <w:sz w:val="16"/>
          <w:szCs w:val="16"/>
        </w:rPr>
        <w:softHyphen/>
        <w:t xml:space="preserve">ров М-82ФК к концу </w:t>
      </w:r>
      <w:r w:rsidRPr="00D03F3E">
        <w:rPr>
          <w:rFonts w:ascii="Times New Roman" w:hAnsi="Times New Roman"/>
          <w:color w:val="000000" w:themeColor="text1"/>
          <w:sz w:val="16"/>
          <w:szCs w:val="16"/>
          <w:lang w:val="en-US"/>
        </w:rPr>
        <w:t>III</w:t>
      </w:r>
      <w:r w:rsidRPr="00D03F3E">
        <w:rPr>
          <w:rFonts w:ascii="Times New Roman" w:hAnsi="Times New Roman"/>
          <w:color w:val="000000" w:themeColor="text1"/>
          <w:sz w:val="16"/>
          <w:szCs w:val="16"/>
        </w:rPr>
        <w:t xml:space="preserve"> квартала 1943 года до 24 штук и</w:t>
      </w:r>
    </w:p>
    <w:p w14:paraId="377683EE" w14:textId="77777777" w:rsidR="00E922D7" w:rsidRPr="00D03F3E" w:rsidRDefault="00E922D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концу 1У квартала 1943 года - до 30 штук в сутки. Выпуск моторов М-62ИР оставить на уровне 5 штук в сут</w:t>
      </w:r>
      <w:r w:rsidRPr="00D03F3E">
        <w:rPr>
          <w:rFonts w:ascii="Times New Roman" w:hAnsi="Times New Roman"/>
          <w:color w:val="000000" w:themeColor="text1"/>
          <w:sz w:val="16"/>
          <w:szCs w:val="16"/>
        </w:rPr>
        <w:softHyphen/>
        <w:t>ки.</w:t>
      </w:r>
    </w:p>
    <w:p w14:paraId="58B0106F" w14:textId="77777777" w:rsidR="00E922D7" w:rsidRPr="00D03F3E" w:rsidRDefault="00E922D7" w:rsidP="00D03F3E">
      <w:pPr>
        <w:tabs>
          <w:tab w:val="left" w:pos="162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Обязать директора завода № 296 НКАП - т.Берман довести выпуск насосов непосредственного впрыска НБЗ-У к концу 1943 года до 600 штук в месяц.</w:t>
      </w:r>
    </w:p>
    <w:p w14:paraId="75735D65" w14:textId="77777777" w:rsidR="00E922D7" w:rsidRPr="00D03F3E" w:rsidRDefault="00E922D7" w:rsidP="00D03F3E">
      <w:pPr>
        <w:tabs>
          <w:tab w:val="left" w:pos="161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Обязать директора завода 20 НКАП - т.Ивайкина организовать производство насосов непосредственного впрыска НБЗ-У на заводе</w:t>
      </w:r>
      <w:r w:rsidRPr="00D03F3E">
        <w:rPr>
          <w:rStyle w:val="95pt60"/>
          <w:rFonts w:ascii="Times New Roman" w:hAnsi="Times New Roman" w:cs="Times New Roman"/>
          <w:color w:val="000000" w:themeColor="text1"/>
          <w:w w:val="100"/>
          <w:sz w:val="16"/>
          <w:szCs w:val="16"/>
        </w:rPr>
        <w:t xml:space="preserve"> №</w:t>
      </w:r>
      <w:r w:rsidRPr="00D03F3E">
        <w:rPr>
          <w:rFonts w:ascii="Times New Roman" w:hAnsi="Times New Roman"/>
          <w:color w:val="000000" w:themeColor="text1"/>
          <w:sz w:val="16"/>
          <w:szCs w:val="16"/>
        </w:rPr>
        <w:t xml:space="preserve"> 20 НКАП и обеспечить их вы</w:t>
      </w:r>
      <w:r w:rsidRPr="00D03F3E">
        <w:rPr>
          <w:rFonts w:ascii="Times New Roman" w:hAnsi="Times New Roman"/>
          <w:color w:val="000000" w:themeColor="text1"/>
          <w:sz w:val="16"/>
          <w:szCs w:val="16"/>
        </w:rPr>
        <w:softHyphen/>
        <w:t>пуск к концу 1943 года до 300 штук в месяц.</w:t>
      </w:r>
    </w:p>
    <w:p w14:paraId="65D2DB2F" w14:textId="77777777" w:rsidR="00E922D7" w:rsidRPr="00D03F3E" w:rsidRDefault="00E922D7" w:rsidP="00D03F3E">
      <w:pPr>
        <w:tabs>
          <w:tab w:val="left" w:pos="161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Директору завода № 296 НКАП - т.Берман оказать заводу № 20 НКАП техническую помощь в организации про</w:t>
      </w:r>
      <w:r w:rsidRPr="00D03F3E">
        <w:rPr>
          <w:rFonts w:ascii="Times New Roman" w:hAnsi="Times New Roman"/>
          <w:color w:val="000000" w:themeColor="text1"/>
          <w:sz w:val="16"/>
          <w:szCs w:val="16"/>
        </w:rPr>
        <w:softHyphen/>
        <w:t>изводства этих насосов.</w:t>
      </w:r>
    </w:p>
    <w:p w14:paraId="652F7EB3" w14:textId="77777777" w:rsidR="00E922D7" w:rsidRPr="00D03F3E" w:rsidRDefault="00E922D7" w:rsidP="00D03F3E">
      <w:pPr>
        <w:tabs>
          <w:tab w:val="left" w:pos="165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Обязвть Наркомвнешторг - т.Микояна поставить 3 Ш и 1У кварталах 1943 года:</w:t>
      </w:r>
    </w:p>
    <w:p w14:paraId="6A1C970E" w14:textId="77777777" w:rsidR="00E922D7" w:rsidRPr="00D03F3E" w:rsidRDefault="00E922D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заводам № 19 и 20 НКАП дополнительно к преду</w:t>
      </w:r>
      <w:r w:rsidRPr="00D03F3E">
        <w:rPr>
          <w:rFonts w:ascii="Times New Roman" w:hAnsi="Times New Roman"/>
          <w:color w:val="000000" w:themeColor="text1"/>
          <w:sz w:val="16"/>
          <w:szCs w:val="16"/>
        </w:rPr>
        <w:softHyphen/>
        <w:t>смотренным ранее постановлением ГСКО</w:t>
      </w:r>
      <w:r w:rsidRPr="00D03F3E">
        <w:rPr>
          <w:rStyle w:val="10pt0"/>
          <w:rFonts w:ascii="Times New Roman" w:hAnsi="Times New Roman" w:cs="Times New Roman"/>
          <w:color w:val="000000" w:themeColor="text1"/>
          <w:sz w:val="16"/>
          <w:szCs w:val="16"/>
        </w:rPr>
        <w:t xml:space="preserve"> №</w:t>
      </w:r>
      <w:r w:rsidRPr="00D03F3E">
        <w:rPr>
          <w:rFonts w:ascii="Times New Roman" w:hAnsi="Times New Roman"/>
          <w:color w:val="000000" w:themeColor="text1"/>
          <w:sz w:val="16"/>
          <w:szCs w:val="16"/>
        </w:rPr>
        <w:t xml:space="preserve"> 3101 от 31 мар</w:t>
      </w:r>
      <w:r w:rsidRPr="00D03F3E">
        <w:rPr>
          <w:rFonts w:ascii="Times New Roman" w:hAnsi="Times New Roman"/>
          <w:color w:val="000000" w:themeColor="text1"/>
          <w:sz w:val="16"/>
          <w:szCs w:val="16"/>
        </w:rPr>
        <w:softHyphen/>
        <w:t>та 1943 года - 444 металлорежущих станков,. 18 единиц оборудования для горячих цехов и запасными частями к станкам, согласно приложениям Ш 1,2 и 3;</w:t>
      </w:r>
    </w:p>
    <w:p w14:paraId="65DBE1DB" w14:textId="77777777" w:rsidR="00E922D7" w:rsidRPr="00D03F3E" w:rsidRDefault="00E922D7" w:rsidP="00D03F3E">
      <w:pPr>
        <w:pStyle w:val="27"/>
        <w:shd w:val="clear" w:color="auto" w:fill="auto"/>
        <w:tabs>
          <w:tab w:val="left" w:pos="1000"/>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б) заводу № 19 НКАП два компрессора производи</w:t>
      </w:r>
      <w:r w:rsidRPr="00D03F3E">
        <w:rPr>
          <w:rFonts w:ascii="Times New Roman" w:cs="Times New Roman"/>
          <w:color w:val="000000" w:themeColor="text1"/>
          <w:spacing w:val="0"/>
        </w:rPr>
        <w:softHyphen/>
        <w:t>тельность» по 100 куб.метров в минуту каждый, при давлении 8 АТА, с электрооборудованием и пусковой аппаратурой;</w:t>
      </w:r>
    </w:p>
    <w:p w14:paraId="3F746C5F" w14:textId="77777777" w:rsidR="00E922D7" w:rsidRPr="00D03F3E" w:rsidRDefault="00E922D7" w:rsidP="00D03F3E">
      <w:pPr>
        <w:pStyle w:val="27"/>
        <w:shd w:val="clear" w:color="auto" w:fill="auto"/>
        <w:tabs>
          <w:tab w:val="left" w:pos="985"/>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абразивных изделий заводу № 19 НКАП на сум</w:t>
      </w:r>
      <w:r w:rsidRPr="00D03F3E">
        <w:rPr>
          <w:rFonts w:ascii="Times New Roman" w:cs="Times New Roman"/>
          <w:color w:val="000000" w:themeColor="text1"/>
          <w:spacing w:val="0"/>
        </w:rPr>
        <w:softHyphen/>
        <w:t>му 700 тыс.рублей, заводу № 256 НКАП на сумму 120тыс. рублей, заводу № 20 НКАП на сумму 80 тыс.рублей, по спецификации Нэркомавиапрома;</w:t>
      </w:r>
    </w:p>
    <w:p w14:paraId="706E3BDF" w14:textId="77777777" w:rsidR="00E922D7" w:rsidRPr="00D03F3E" w:rsidRDefault="00E922D7" w:rsidP="00D03F3E">
      <w:pPr>
        <w:pStyle w:val="27"/>
        <w:shd w:val="clear" w:color="auto" w:fill="auto"/>
        <w:tabs>
          <w:tab w:val="left" w:pos="985"/>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г) заводам № 19 и 296 НКАП - лабораторного и электрооборудования, согласно приложениям №№ 4 и 5;</w:t>
      </w:r>
    </w:p>
    <w:p w14:paraId="4FFBBF2A" w14:textId="77777777" w:rsidR="00E922D7" w:rsidRPr="00D03F3E" w:rsidRDefault="00E922D7" w:rsidP="00D03F3E">
      <w:pPr>
        <w:pStyle w:val="27"/>
        <w:shd w:val="clear" w:color="auto" w:fill="auto"/>
        <w:tabs>
          <w:tab w:val="left" w:pos="978"/>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д) принять необходимые меры к закупке и завозу в Союз в 1943 году 2000 штук авиамоторов для самоле</w:t>
      </w:r>
      <w:r w:rsidRPr="00D03F3E">
        <w:rPr>
          <w:rFonts w:ascii="Times New Roman" w:cs="Times New Roman"/>
          <w:color w:val="000000" w:themeColor="text1"/>
          <w:spacing w:val="0"/>
        </w:rPr>
        <w:softHyphen/>
        <w:t>тов Ли-2.</w:t>
      </w:r>
    </w:p>
    <w:p w14:paraId="07E1907E" w14:textId="77777777" w:rsidR="00E922D7" w:rsidRPr="00D03F3E" w:rsidRDefault="00E922D7" w:rsidP="00D03F3E">
      <w:pPr>
        <w:pStyle w:val="27"/>
        <w:shd w:val="clear" w:color="auto" w:fill="auto"/>
        <w:tabs>
          <w:tab w:val="left" w:pos="985"/>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6. Обязать Нэркомстанкостроения - т.Ефремова, Наркомбоеприпасов - т.Ванникова, Нэркомвсоружения - т.Устинова поставить Наркомавивпрому в Ш и 1У кварта</w:t>
      </w:r>
      <w:r w:rsidRPr="00D03F3E">
        <w:rPr>
          <w:rFonts w:ascii="Times New Roman" w:cs="Times New Roman"/>
          <w:color w:val="000000" w:themeColor="text1"/>
          <w:spacing w:val="0"/>
        </w:rPr>
        <w:softHyphen/>
        <w:t>лах 1943 года 298 металлорежущих станков, в том числе заводу № 19 - 200 единиц, заводу № 20 - 72 единицы и заведу № 296 - 26 единиц, согласно приложениям №№ 6,7 и 8.</w:t>
      </w:r>
    </w:p>
    <w:p w14:paraId="7370EA44" w14:textId="77777777" w:rsidR="00E922D7" w:rsidRPr="00D03F3E" w:rsidRDefault="00E922D7" w:rsidP="00D03F3E">
      <w:pPr>
        <w:pStyle w:val="27"/>
        <w:shd w:val="clear" w:color="auto" w:fill="auto"/>
        <w:tabs>
          <w:tab w:val="left" w:pos="985"/>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7. Обязать Наркомчермет - т.Тевосяна, Нвркомстан- костроения - т.Ефремова, Наркомцветмет - т.Ломако и Нэркомлегпром</w:t>
      </w:r>
      <w:r w:rsidRPr="00D03F3E">
        <w:rPr>
          <w:rStyle w:val="0pt3"/>
          <w:rFonts w:ascii="Times New Roman" w:hAnsi="Times New Roman" w:cs="Times New Roman"/>
          <w:color w:val="000000" w:themeColor="text1"/>
          <w:spacing w:val="0"/>
        </w:rPr>
        <w:t xml:space="preserve"> РСФСР</w:t>
      </w:r>
      <w:r w:rsidRPr="00D03F3E">
        <w:rPr>
          <w:rFonts w:ascii="Times New Roman" w:cs="Times New Roman"/>
          <w:color w:val="000000" w:themeColor="text1"/>
          <w:spacing w:val="0"/>
        </w:rPr>
        <w:t xml:space="preserve"> - т.Зеноза поставить в</w:t>
      </w:r>
      <w:r w:rsidRPr="00D03F3E">
        <w:rPr>
          <w:rStyle w:val="0pt3"/>
          <w:rFonts w:ascii="Times New Roman" w:hAnsi="Times New Roman" w:cs="Times New Roman"/>
          <w:color w:val="000000" w:themeColor="text1"/>
          <w:spacing w:val="0"/>
        </w:rPr>
        <w:t xml:space="preserve"> Ш</w:t>
      </w:r>
      <w:r w:rsidRPr="00D03F3E">
        <w:rPr>
          <w:rFonts w:ascii="Times New Roman" w:cs="Times New Roman"/>
          <w:color w:val="000000" w:themeColor="text1"/>
          <w:spacing w:val="0"/>
        </w:rPr>
        <w:t xml:space="preserve"> квартале 1943 года целевым назначением завод № 19 НКАП мате</w:t>
      </w:r>
      <w:r w:rsidRPr="00D03F3E">
        <w:rPr>
          <w:rFonts w:ascii="Times New Roman" w:cs="Times New Roman"/>
          <w:color w:val="000000" w:themeColor="text1"/>
          <w:spacing w:val="0"/>
        </w:rPr>
        <w:softHyphen/>
        <w:t>риалы, согласно приложению 9.</w:t>
      </w:r>
    </w:p>
    <w:p w14:paraId="4DD83142" w14:textId="77777777" w:rsidR="00E922D7" w:rsidRPr="00D03F3E" w:rsidRDefault="00E922D7" w:rsidP="00D03F3E">
      <w:pPr>
        <w:pStyle w:val="27"/>
        <w:shd w:val="clear" w:color="auto" w:fill="auto"/>
        <w:tabs>
          <w:tab w:val="left" w:pos="985"/>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lastRenderedPageBreak/>
        <w:t>8. Обязать Наркомсредмаш - т.Акопова поставить в июне - июле 1943 года, за счет поставок НКО:</w:t>
      </w:r>
    </w:p>
    <w:p w14:paraId="79E682DF" w14:textId="77777777" w:rsidR="00E922D7" w:rsidRPr="00D03F3E" w:rsidRDefault="00E922D7" w:rsidP="00D03F3E">
      <w:pPr>
        <w:pStyle w:val="27"/>
        <w:shd w:val="clear" w:color="auto" w:fill="auto"/>
        <w:tabs>
          <w:tab w:val="left" w:pos="1000"/>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а) заводу № 19 НКАП - автомашин трехтонных - З0 штук, гусеничных тракторов - 5 штук и запасных дета</w:t>
      </w:r>
      <w:r w:rsidRPr="00D03F3E">
        <w:rPr>
          <w:rFonts w:ascii="Times New Roman" w:cs="Times New Roman"/>
          <w:color w:val="000000" w:themeColor="text1"/>
          <w:spacing w:val="0"/>
        </w:rPr>
        <w:softHyphen/>
        <w:t xml:space="preserve">лей для автомобилей на сумму </w:t>
      </w:r>
      <w:r w:rsidRPr="00D03F3E">
        <w:rPr>
          <w:rStyle w:val="16"/>
          <w:rFonts w:ascii="Times New Roman" w:cs="Times New Roman"/>
          <w:color w:val="000000" w:themeColor="text1"/>
          <w:spacing w:val="0"/>
        </w:rPr>
        <w:t>100</w:t>
      </w:r>
      <w:r w:rsidRPr="00D03F3E">
        <w:rPr>
          <w:rFonts w:ascii="Times New Roman" w:cs="Times New Roman"/>
          <w:color w:val="000000" w:themeColor="text1"/>
          <w:spacing w:val="0"/>
        </w:rPr>
        <w:t xml:space="preserve"> тыс.рублей;</w:t>
      </w:r>
    </w:p>
    <w:p w14:paraId="1B37934F" w14:textId="77777777" w:rsidR="00E922D7" w:rsidRPr="00D03F3E" w:rsidRDefault="00E922D7" w:rsidP="00D03F3E">
      <w:pPr>
        <w:pStyle w:val="27"/>
        <w:shd w:val="clear" w:color="auto" w:fill="auto"/>
        <w:tabs>
          <w:tab w:val="left" w:pos="99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б) заводу № 296 </w:t>
      </w:r>
      <w:r w:rsidRPr="00D03F3E">
        <w:rPr>
          <w:rStyle w:val="-1pt"/>
          <w:rFonts w:ascii="Times New Roman" w:hAnsi="Times New Roman" w:cs="Times New Roman"/>
          <w:color w:val="000000" w:themeColor="text1"/>
          <w:spacing w:val="0"/>
          <w:sz w:val="16"/>
          <w:szCs w:val="16"/>
        </w:rPr>
        <w:t>НКАП -</w:t>
      </w:r>
      <w:r w:rsidRPr="00D03F3E">
        <w:rPr>
          <w:rFonts w:ascii="Times New Roman" w:cs="Times New Roman"/>
          <w:color w:val="000000" w:themeColor="text1"/>
          <w:spacing w:val="0"/>
        </w:rPr>
        <w:t xml:space="preserve"> трехтонных автомашин - 10 штук, тракторов на гусеничном ходу - 2 штуки, за</w:t>
      </w:r>
      <w:r w:rsidRPr="00D03F3E">
        <w:rPr>
          <w:rFonts w:ascii="Times New Roman" w:cs="Times New Roman"/>
          <w:color w:val="000000" w:themeColor="text1"/>
          <w:spacing w:val="0"/>
        </w:rPr>
        <w:softHyphen/>
        <w:t>пасных деталей для автомобилей на сумму 25 тыс.рублей;</w:t>
      </w:r>
    </w:p>
    <w:p w14:paraId="3E1AFF90" w14:textId="77777777" w:rsidR="00E922D7" w:rsidRPr="00D03F3E" w:rsidRDefault="00E922D7" w:rsidP="00D03F3E">
      <w:pPr>
        <w:pStyle w:val="27"/>
        <w:shd w:val="clear" w:color="auto" w:fill="auto"/>
        <w:tabs>
          <w:tab w:val="left" w:pos="1000"/>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в) заводу № 33 </w:t>
      </w:r>
      <w:r w:rsidRPr="00D03F3E">
        <w:rPr>
          <w:rStyle w:val="-1pt"/>
          <w:rFonts w:ascii="Times New Roman" w:hAnsi="Times New Roman" w:cs="Times New Roman"/>
          <w:color w:val="000000" w:themeColor="text1"/>
          <w:spacing w:val="0"/>
          <w:sz w:val="16"/>
          <w:szCs w:val="16"/>
        </w:rPr>
        <w:t>НКАП -</w:t>
      </w:r>
      <w:r w:rsidRPr="00D03F3E">
        <w:rPr>
          <w:rFonts w:ascii="Times New Roman" w:cs="Times New Roman"/>
          <w:color w:val="000000" w:themeColor="text1"/>
          <w:spacing w:val="0"/>
        </w:rPr>
        <w:t xml:space="preserve"> трехтонных автомашин - 10 штук, гусеничных тракторов - 2 штуки и запасных де</w:t>
      </w:r>
      <w:r w:rsidRPr="00D03F3E">
        <w:rPr>
          <w:rFonts w:ascii="Times New Roman" w:cs="Times New Roman"/>
          <w:color w:val="000000" w:themeColor="text1"/>
          <w:spacing w:val="0"/>
        </w:rPr>
        <w:softHyphen/>
        <w:t>талей к автомашинам на сумму 30 тысяч рублей;</w:t>
      </w:r>
    </w:p>
    <w:p w14:paraId="2CCB0431" w14:textId="77777777" w:rsidR="00E922D7" w:rsidRPr="00D03F3E" w:rsidRDefault="00E922D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Стройтресту № 12 НКАП - трехтонных автомашин - 20 штук, гусеничных тракторов -</w:t>
      </w:r>
      <w:r w:rsidRPr="00D03F3E">
        <w:rPr>
          <w:rStyle w:val="TrebuchetMS95pt-1pt"/>
          <w:rFonts w:ascii="Times New Roman" w:hAnsi="Times New Roman" w:cs="Times New Roman"/>
          <w:color w:val="000000" w:themeColor="text1"/>
          <w:spacing w:val="0"/>
          <w:sz w:val="16"/>
          <w:szCs w:val="16"/>
        </w:rPr>
        <w:t xml:space="preserve"> 2</w:t>
      </w:r>
      <w:r w:rsidRPr="00D03F3E">
        <w:rPr>
          <w:rFonts w:ascii="Times New Roman" w:hAnsi="Times New Roman"/>
          <w:color w:val="000000" w:themeColor="text1"/>
          <w:sz w:val="16"/>
          <w:szCs w:val="16"/>
        </w:rPr>
        <w:t xml:space="preserve"> птуки.</w:t>
      </w:r>
    </w:p>
    <w:p w14:paraId="036C8D38" w14:textId="77777777" w:rsidR="00E922D7" w:rsidRPr="00D03F3E" w:rsidRDefault="00E922D7" w:rsidP="00D03F3E">
      <w:pPr>
        <w:tabs>
          <w:tab w:val="left" w:pos="97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Обязэть Нвркомрезинпроу. - т. Митрохина поста</w:t>
      </w:r>
      <w:r w:rsidRPr="00D03F3E">
        <w:rPr>
          <w:rFonts w:ascii="Times New Roman" w:hAnsi="Times New Roman"/>
          <w:color w:val="000000" w:themeColor="text1"/>
          <w:sz w:val="16"/>
          <w:szCs w:val="16"/>
        </w:rPr>
        <w:softHyphen/>
        <w:t>вить в июне-июле 1943 года, за счет поставок НКО:</w:t>
      </w:r>
    </w:p>
    <w:p w14:paraId="76724068" w14:textId="77777777" w:rsidR="00E922D7" w:rsidRPr="00D03F3E" w:rsidRDefault="00E922D7" w:rsidP="00D03F3E">
      <w:pPr>
        <w:tabs>
          <w:tab w:val="left" w:pos="99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заводу № 19 НКАП - автореэины для ЯЗ - 9С комп</w:t>
      </w:r>
      <w:r w:rsidRPr="00D03F3E">
        <w:rPr>
          <w:rFonts w:ascii="Times New Roman" w:hAnsi="Times New Roman"/>
          <w:color w:val="000000" w:themeColor="text1"/>
          <w:sz w:val="16"/>
          <w:szCs w:val="16"/>
        </w:rPr>
        <w:softHyphen/>
        <w:t>лектов, для ЗИС-5- 100 комплектов, для ЗИС-8 - 100 комплектов и для ГАЗ-АА - 150 комплектов;</w:t>
      </w:r>
    </w:p>
    <w:p w14:paraId="181DD649" w14:textId="77777777" w:rsidR="00E922D7" w:rsidRPr="00D03F3E" w:rsidRDefault="00E922D7" w:rsidP="00D03F3E">
      <w:pPr>
        <w:tabs>
          <w:tab w:val="left" w:pos="98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заводу № 20 НКАП автореэины для ЗИС-5 - 50 комплектов, для ГАЗ-АА - 30 комплектов;</w:t>
      </w:r>
    </w:p>
    <w:p w14:paraId="4BB275C7" w14:textId="77777777" w:rsidR="00E922D7" w:rsidRPr="00D03F3E" w:rsidRDefault="00E922D7" w:rsidP="00D03F3E">
      <w:pPr>
        <w:tabs>
          <w:tab w:val="left" w:pos="98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заводу № 296 НКАП авторезины для ЗИС-5 - 50 комплектов, для ГАЗ-АА - 30 комплектов;</w:t>
      </w:r>
    </w:p>
    <w:p w14:paraId="185D232B" w14:textId="77777777" w:rsidR="00E922D7" w:rsidRPr="00D03F3E" w:rsidRDefault="00E922D7" w:rsidP="00D03F3E">
      <w:pPr>
        <w:tabs>
          <w:tab w:val="left" w:pos="98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заводу № 33 НКАП - авторезины - 150 комплектов.</w:t>
      </w:r>
    </w:p>
    <w:p w14:paraId="481AF439" w14:textId="77777777" w:rsidR="00E922D7" w:rsidRPr="00D03F3E" w:rsidRDefault="00E922D7" w:rsidP="00D03F3E">
      <w:pPr>
        <w:tabs>
          <w:tab w:val="left" w:pos="110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Обязать НКПС - т.Кагановича передать заводу № 19 НКАП в Ш квартале 1943 года:</w:t>
      </w:r>
    </w:p>
    <w:p w14:paraId="4D18131C" w14:textId="77777777" w:rsidR="00E922D7" w:rsidRPr="00D03F3E" w:rsidRDefault="00E922D7" w:rsidP="00D03F3E">
      <w:pPr>
        <w:tabs>
          <w:tab w:val="left" w:pos="97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паровозов серии "СБ" - 2 штуки, годных к экаплоатации для маневровой работы;</w:t>
      </w:r>
    </w:p>
    <w:p w14:paraId="2FA2024C" w14:textId="77777777" w:rsidR="00E922D7" w:rsidRPr="00D03F3E" w:rsidRDefault="00E922D7" w:rsidP="00D03F3E">
      <w:pPr>
        <w:tabs>
          <w:tab w:val="left" w:pos="97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железнодорожный кран, грузопод"емностью до 5 тонн;</w:t>
      </w:r>
    </w:p>
    <w:p w14:paraId="753EF160" w14:textId="77777777" w:rsidR="00E922D7" w:rsidRPr="00D03F3E" w:rsidRDefault="00E922D7" w:rsidP="00D03F3E">
      <w:pPr>
        <w:tabs>
          <w:tab w:val="left" w:pos="98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старогодних рельс - 450 тонн, с соответствующим количеством сцеплений и стрелочных переводов 8 штук.</w:t>
      </w:r>
    </w:p>
    <w:p w14:paraId="0ABEF2EE" w14:textId="77777777" w:rsidR="00E922D7" w:rsidRPr="00D03F3E" w:rsidRDefault="00E922D7" w:rsidP="00D03F3E">
      <w:pPr>
        <w:tabs>
          <w:tab w:val="left" w:pos="109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Обязать Наркомречфлот - т.Шэшксва передать за</w:t>
      </w:r>
      <w:r w:rsidRPr="00D03F3E">
        <w:rPr>
          <w:rFonts w:ascii="Times New Roman" w:hAnsi="Times New Roman"/>
          <w:color w:val="000000" w:themeColor="text1"/>
          <w:sz w:val="16"/>
          <w:szCs w:val="16"/>
        </w:rPr>
        <w:softHyphen/>
        <w:t>воду № 19 НКАП в июле 1943 года один буксирный пароход с дзигателем, мощностью в 200-300 лошадиных сил и 3 баржи грузопод"емностьк в 400--500 тонн.</w:t>
      </w:r>
    </w:p>
    <w:p w14:paraId="5A7A3C19" w14:textId="77777777" w:rsidR="00E922D7" w:rsidRPr="00D03F3E" w:rsidRDefault="00E922D7" w:rsidP="00D03F3E">
      <w:pPr>
        <w:tabs>
          <w:tab w:val="left" w:pos="109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Обязать Наркомчермет - т.Тевосяна и директоре Магнитогорского металлургического комбината - т.Коробо</w:t>
      </w:r>
      <w:r w:rsidRPr="00D03F3E">
        <w:rPr>
          <w:rFonts w:ascii="Times New Roman" w:hAnsi="Times New Roman"/>
          <w:color w:val="000000" w:themeColor="text1"/>
          <w:sz w:val="16"/>
          <w:szCs w:val="16"/>
        </w:rPr>
        <w:softHyphen/>
        <w:t>ве, Косогорского металлургического завода - т.Попова. Кемеровского коксохимического завода - т.Максимова, Боровического завода огнеупоров - т.Трофимова поставлять заводу № 19 НКАП для производства поршневых колец мото</w:t>
      </w:r>
      <w:r w:rsidRPr="00D03F3E">
        <w:rPr>
          <w:rFonts w:ascii="Times New Roman" w:hAnsi="Times New Roman"/>
          <w:color w:val="000000" w:themeColor="text1"/>
          <w:sz w:val="16"/>
          <w:szCs w:val="16"/>
        </w:rPr>
        <w:softHyphen/>
        <w:t>ров по техническим условиям завода № 19 ежемесячно:</w:t>
      </w:r>
    </w:p>
    <w:p w14:paraId="1E60684C" w14:textId="77777777" w:rsidR="00E922D7" w:rsidRPr="00D03F3E" w:rsidRDefault="00E922D7" w:rsidP="00D03F3E">
      <w:pPr>
        <w:tabs>
          <w:tab w:val="left" w:pos="98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высокоуглеродистый: чугун в количестве 400 тонн;</w:t>
      </w:r>
    </w:p>
    <w:p w14:paraId="738DDD95" w14:textId="77777777" w:rsidR="00E922D7" w:rsidRPr="00D03F3E" w:rsidRDefault="00E922D7" w:rsidP="00D03F3E">
      <w:pPr>
        <w:tabs>
          <w:tab w:val="left" w:pos="965"/>
          <w:tab w:val="left" w:pos="518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w:t>
      </w:r>
      <w:r w:rsidRPr="00D03F3E">
        <w:rPr>
          <w:rFonts w:ascii="Times New Roman" w:hAnsi="Times New Roman"/>
          <w:color w:val="000000" w:themeColor="text1"/>
          <w:sz w:val="16"/>
          <w:szCs w:val="16"/>
        </w:rPr>
        <w:tab/>
        <w:t>высокофосфористый чугун</w:t>
      </w:r>
      <w:r w:rsidRPr="00D03F3E">
        <w:rPr>
          <w:rFonts w:ascii="Times New Roman" w:hAnsi="Times New Roman"/>
          <w:color w:val="000000" w:themeColor="text1"/>
          <w:sz w:val="16"/>
          <w:szCs w:val="16"/>
        </w:rPr>
        <w:tab/>
        <w:t>- 250 -"-</w:t>
      </w:r>
    </w:p>
    <w:p w14:paraId="247AA341" w14:textId="77777777" w:rsidR="00E922D7" w:rsidRPr="00D03F3E" w:rsidRDefault="00E922D7" w:rsidP="00D03F3E">
      <w:pPr>
        <w:tabs>
          <w:tab w:val="left" w:pos="973"/>
          <w:tab w:val="left" w:pos="519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w:t>
      </w:r>
      <w:r w:rsidRPr="00D03F3E">
        <w:rPr>
          <w:rFonts w:ascii="Times New Roman" w:hAnsi="Times New Roman"/>
          <w:color w:val="000000" w:themeColor="text1"/>
          <w:sz w:val="16"/>
          <w:szCs w:val="16"/>
        </w:rPr>
        <w:tab/>
        <w:t>специальный литейный кокс</w:t>
      </w:r>
      <w:r w:rsidRPr="00D03F3E">
        <w:rPr>
          <w:rFonts w:ascii="Times New Roman" w:hAnsi="Times New Roman"/>
          <w:color w:val="000000" w:themeColor="text1"/>
          <w:sz w:val="16"/>
          <w:szCs w:val="16"/>
        </w:rPr>
        <w:tab/>
        <w:t>- 500 -"-</w:t>
      </w:r>
    </w:p>
    <w:p w14:paraId="0FD5AD7D" w14:textId="77777777" w:rsidR="00E922D7" w:rsidRPr="00D03F3E" w:rsidRDefault="00E922D7" w:rsidP="00D03F3E">
      <w:pPr>
        <w:tabs>
          <w:tab w:val="left" w:pos="973"/>
          <w:tab w:val="left" w:pos="571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w:t>
      </w:r>
      <w:r w:rsidRPr="00D03F3E">
        <w:rPr>
          <w:rFonts w:ascii="Times New Roman" w:hAnsi="Times New Roman"/>
          <w:color w:val="000000" w:themeColor="text1"/>
          <w:sz w:val="16"/>
          <w:szCs w:val="16"/>
        </w:rPr>
        <w:tab/>
        <w:t>огнеупорный кирпич 1-й сорт</w:t>
      </w:r>
      <w:r w:rsidRPr="00D03F3E">
        <w:rPr>
          <w:rFonts w:ascii="Times New Roman" w:hAnsi="Times New Roman"/>
          <w:color w:val="000000" w:themeColor="text1"/>
          <w:sz w:val="16"/>
          <w:szCs w:val="16"/>
        </w:rPr>
        <w:tab/>
        <w:t>. класса *А"(Г0СТ 380-Ш) в количестве - 80 - -</w:t>
      </w:r>
    </w:p>
    <w:p w14:paraId="136D42B8" w14:textId="77777777" w:rsidR="00E922D7" w:rsidRPr="00D03F3E" w:rsidRDefault="00E922D7" w:rsidP="00D03F3E">
      <w:pPr>
        <w:tabs>
          <w:tab w:val="left" w:pos="113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Обязать Госплан СССР - т.Вознесенского вы</w:t>
      </w:r>
      <w:r w:rsidRPr="00D03F3E">
        <w:rPr>
          <w:rFonts w:ascii="Times New Roman" w:hAnsi="Times New Roman"/>
          <w:color w:val="000000" w:themeColor="text1"/>
          <w:sz w:val="16"/>
          <w:szCs w:val="16"/>
        </w:rPr>
        <w:softHyphen/>
        <w:t>делить Наркома виапрому в Ш и 1У кварталах 1943 года целевым назначением фонды на оборцлоывемк и материалы, предусмотренные настоящим постановлением.</w:t>
      </w:r>
    </w:p>
    <w:p w14:paraId="61A54A0F" w14:textId="77777777" w:rsidR="00E922D7" w:rsidRPr="00D03F3E" w:rsidRDefault="00E922D7" w:rsidP="00D03F3E">
      <w:pPr>
        <w:tabs>
          <w:tab w:val="left" w:pos="114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Обявать Начальника Главного Управления Граж</w:t>
      </w:r>
      <w:r w:rsidRPr="00D03F3E">
        <w:rPr>
          <w:rFonts w:ascii="Times New Roman" w:hAnsi="Times New Roman"/>
          <w:color w:val="000000" w:themeColor="text1"/>
          <w:sz w:val="16"/>
          <w:szCs w:val="16"/>
        </w:rPr>
        <w:softHyphen/>
        <w:t>данского Воздушного Флота - т.Астахова передать заво</w:t>
      </w:r>
      <w:r w:rsidRPr="00D03F3E">
        <w:rPr>
          <w:rFonts w:ascii="Times New Roman" w:hAnsi="Times New Roman"/>
          <w:color w:val="000000" w:themeColor="text1"/>
          <w:sz w:val="16"/>
          <w:szCs w:val="16"/>
        </w:rPr>
        <w:softHyphen/>
        <w:t>ду 19 НКАП в июле 1943 года один трофейный самолет Ю-52.</w:t>
      </w:r>
    </w:p>
    <w:p w14:paraId="1D170AA7" w14:textId="77777777" w:rsidR="00E922D7" w:rsidRPr="00D03F3E" w:rsidRDefault="00E922D7" w:rsidP="00D03F3E">
      <w:pPr>
        <w:tabs>
          <w:tab w:val="left" w:pos="112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Утвердить мероприятия по оказанию помощи за</w:t>
      </w:r>
      <w:r w:rsidRPr="00D03F3E">
        <w:rPr>
          <w:rFonts w:ascii="Times New Roman" w:hAnsi="Times New Roman"/>
          <w:color w:val="000000" w:themeColor="text1"/>
          <w:sz w:val="16"/>
          <w:szCs w:val="16"/>
        </w:rPr>
        <w:softHyphen/>
        <w:t>водам №№ 19,20,296 и стройтресту № 12 НКАП (см.приложение) (19406).</w:t>
      </w:r>
    </w:p>
    <w:p w14:paraId="18005D0C" w14:textId="77777777" w:rsidR="00E922D7" w:rsidRPr="00D03F3E" w:rsidRDefault="00E922D7" w:rsidP="00D03F3E">
      <w:pPr>
        <w:spacing w:after="0" w:line="240" w:lineRule="auto"/>
        <w:jc w:val="both"/>
        <w:rPr>
          <w:rFonts w:ascii="Times New Roman" w:hAnsi="Times New Roman"/>
          <w:color w:val="000000" w:themeColor="text1"/>
          <w:sz w:val="16"/>
          <w:szCs w:val="16"/>
        </w:rPr>
      </w:pPr>
    </w:p>
    <w:p w14:paraId="60FE478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 вышло Постановление ГКО № 3587 О производстве моторов М-82ФН на заводе N29 НКАП в гор. Омске.РГАНИР, Фонд ГКО, д. 126, лл. 195-199, 200-204 (11012).</w:t>
      </w:r>
    </w:p>
    <w:p w14:paraId="160C2D9E"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C3EB2C1" w14:textId="77777777" w:rsidR="00BF0974" w:rsidRPr="00D03F3E" w:rsidRDefault="00BF097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 вышло Постановление ГКО № 3587 О производстве моторов М-82ФН на заводе N29 НКАП в гор. Омске</w:t>
      </w:r>
    </w:p>
    <w:p w14:paraId="3C5C8455" w14:textId="77777777" w:rsidR="00BF0974" w:rsidRPr="00D03F3E" w:rsidRDefault="00BF097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Государственный Комитет Обороны постановляет:</w:t>
      </w:r>
    </w:p>
    <w:p w14:paraId="444D9236" w14:textId="77777777" w:rsidR="00BF0974" w:rsidRPr="00D03F3E" w:rsidRDefault="00BF0974" w:rsidP="00D03F3E">
      <w:pPr>
        <w:tabs>
          <w:tab w:val="left" w:pos="99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Наркомавиапром - т.Шахурина и директо</w:t>
      </w:r>
      <w:r w:rsidRPr="00D03F3E">
        <w:rPr>
          <w:rFonts w:ascii="Times New Roman" w:hAnsi="Times New Roman"/>
          <w:color w:val="000000" w:themeColor="text1"/>
          <w:sz w:val="16"/>
          <w:szCs w:val="16"/>
        </w:rPr>
        <w:softHyphen/>
        <w:t>ра завода № 29 т.Борисова:</w:t>
      </w:r>
    </w:p>
    <w:p w14:paraId="6EEEF995" w14:textId="77777777" w:rsidR="00BF0974" w:rsidRPr="00D03F3E" w:rsidRDefault="00BF0974" w:rsidP="00D03F3E">
      <w:pPr>
        <w:tabs>
          <w:tab w:val="left" w:pos="101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организовать производство моторов М-82ФН на за</w:t>
      </w:r>
      <w:r w:rsidRPr="00D03F3E">
        <w:rPr>
          <w:rFonts w:ascii="Times New Roman" w:hAnsi="Times New Roman"/>
          <w:color w:val="000000" w:themeColor="text1"/>
          <w:sz w:val="16"/>
          <w:szCs w:val="16"/>
        </w:rPr>
        <w:softHyphen/>
        <w:t>воде К. 29, сохранив одновременно производство моторов М-88;</w:t>
      </w:r>
    </w:p>
    <w:p w14:paraId="60E9AC68" w14:textId="77777777" w:rsidR="00BF0974" w:rsidRPr="00D03F3E" w:rsidRDefault="00BF0974" w:rsidP="00D03F3E">
      <w:pPr>
        <w:tabs>
          <w:tab w:val="left" w:pos="98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установить заводу № 29 программу выпуска в 1943 году моторов М-82ФН в количестве 250 штук к моторов М-88 на второе полугодие 1943 года в количестве 1530 штук,</w:t>
      </w:r>
      <w:r w:rsidRPr="00D03F3E">
        <w:rPr>
          <w:rStyle w:val="Garamond10pt"/>
          <w:rFonts w:ascii="Times New Roman" w:hAnsi="Times New Roman" w:cs="Times New Roman"/>
          <w:color w:val="000000" w:themeColor="text1"/>
          <w:sz w:val="16"/>
          <w:szCs w:val="16"/>
        </w:rPr>
        <w:t xml:space="preserve"> е</w:t>
      </w:r>
      <w:r w:rsidRPr="00D03F3E">
        <w:rPr>
          <w:rFonts w:ascii="Times New Roman" w:hAnsi="Times New Roman"/>
          <w:color w:val="000000" w:themeColor="text1"/>
          <w:sz w:val="16"/>
          <w:szCs w:val="16"/>
        </w:rPr>
        <w:t xml:space="preserve"> том числе:</w:t>
      </w:r>
    </w:p>
    <w:p w14:paraId="7F88058B" w14:textId="77777777" w:rsidR="00BF0974" w:rsidRPr="00D03F3E" w:rsidRDefault="00BF097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М-82ФН М-88</w:t>
      </w:r>
    </w:p>
    <w:p w14:paraId="204997B0" w14:textId="77777777" w:rsidR="00BF0974" w:rsidRPr="00D03F3E" w:rsidRDefault="00E319F0" w:rsidP="00D03F3E">
      <w:pPr>
        <w:tabs>
          <w:tab w:val="left" w:pos="1590"/>
          <w:tab w:val="left" w:pos="4530"/>
          <w:tab w:val="left" w:pos="566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fldChar w:fldCharType="begin"/>
      </w:r>
      <w:r w:rsidR="00BF0974" w:rsidRPr="00D03F3E">
        <w:rPr>
          <w:rFonts w:ascii="Times New Roman" w:hAnsi="Times New Roman"/>
          <w:color w:val="000000" w:themeColor="text1"/>
          <w:sz w:val="16"/>
          <w:szCs w:val="16"/>
        </w:rPr>
        <w:instrText xml:space="preserve"> TOC \o "1-3" \h \z </w:instrText>
      </w:r>
      <w:r w:rsidRPr="00D03F3E">
        <w:rPr>
          <w:rFonts w:ascii="Times New Roman" w:hAnsi="Times New Roman"/>
          <w:color w:val="000000" w:themeColor="text1"/>
          <w:sz w:val="16"/>
          <w:szCs w:val="16"/>
        </w:rPr>
        <w:fldChar w:fldCharType="separate"/>
      </w:r>
      <w:r w:rsidR="00BF0974" w:rsidRPr="00D03F3E">
        <w:rPr>
          <w:rFonts w:ascii="Times New Roman" w:hAnsi="Times New Roman"/>
          <w:color w:val="000000" w:themeColor="text1"/>
          <w:sz w:val="16"/>
          <w:szCs w:val="16"/>
        </w:rPr>
        <w:t>в</w:t>
      </w:r>
      <w:r w:rsidR="00BF0974" w:rsidRPr="00D03F3E">
        <w:rPr>
          <w:rFonts w:ascii="Times New Roman" w:hAnsi="Times New Roman"/>
          <w:color w:val="000000" w:themeColor="text1"/>
          <w:sz w:val="16"/>
          <w:szCs w:val="16"/>
        </w:rPr>
        <w:tab/>
        <w:t>икле</w:t>
      </w:r>
      <w:r w:rsidR="00BF0974" w:rsidRPr="00D03F3E">
        <w:rPr>
          <w:rFonts w:ascii="Times New Roman" w:hAnsi="Times New Roman"/>
          <w:color w:val="000000" w:themeColor="text1"/>
          <w:sz w:val="16"/>
          <w:szCs w:val="16"/>
        </w:rPr>
        <w:tab/>
        <w:t>-</w:t>
      </w:r>
      <w:r w:rsidR="00BF0974" w:rsidRPr="00D03F3E">
        <w:rPr>
          <w:rFonts w:ascii="Times New Roman" w:hAnsi="Times New Roman"/>
          <w:color w:val="000000" w:themeColor="text1"/>
          <w:sz w:val="16"/>
          <w:szCs w:val="16"/>
        </w:rPr>
        <w:tab/>
        <w:t>380</w:t>
      </w:r>
    </w:p>
    <w:p w14:paraId="424D0DE2" w14:textId="77777777" w:rsidR="00BF0974" w:rsidRPr="00D03F3E" w:rsidRDefault="00BF0974" w:rsidP="00D03F3E">
      <w:pPr>
        <w:tabs>
          <w:tab w:val="left" w:pos="1590"/>
          <w:tab w:val="left" w:pos="4530"/>
          <w:tab w:val="left" w:pos="566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w:t>
      </w:r>
      <w:r w:rsidRPr="00D03F3E">
        <w:rPr>
          <w:rFonts w:ascii="Times New Roman" w:hAnsi="Times New Roman"/>
          <w:color w:val="000000" w:themeColor="text1"/>
          <w:sz w:val="16"/>
          <w:szCs w:val="16"/>
        </w:rPr>
        <w:tab/>
        <w:t>августе</w:t>
      </w:r>
      <w:r w:rsidRPr="00D03F3E">
        <w:rPr>
          <w:rFonts w:ascii="Times New Roman" w:hAnsi="Times New Roman"/>
          <w:color w:val="000000" w:themeColor="text1"/>
          <w:sz w:val="16"/>
          <w:szCs w:val="16"/>
        </w:rPr>
        <w:tab/>
        <w:t>10</w:t>
      </w:r>
      <w:r w:rsidRPr="00D03F3E">
        <w:rPr>
          <w:rFonts w:ascii="Times New Roman" w:hAnsi="Times New Roman"/>
          <w:color w:val="000000" w:themeColor="text1"/>
          <w:sz w:val="16"/>
          <w:szCs w:val="16"/>
        </w:rPr>
        <w:tab/>
        <w:t>З00</w:t>
      </w:r>
    </w:p>
    <w:p w14:paraId="211A73DD" w14:textId="77777777" w:rsidR="00BF0974" w:rsidRPr="00D03F3E" w:rsidRDefault="00BF0974" w:rsidP="00D03F3E">
      <w:pPr>
        <w:tabs>
          <w:tab w:val="left" w:pos="1583"/>
          <w:tab w:val="left" w:pos="4523"/>
          <w:tab w:val="left" w:pos="565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w:t>
      </w:r>
      <w:r w:rsidRPr="00D03F3E">
        <w:rPr>
          <w:rFonts w:ascii="Times New Roman" w:hAnsi="Times New Roman"/>
          <w:color w:val="000000" w:themeColor="text1"/>
          <w:sz w:val="16"/>
          <w:szCs w:val="16"/>
        </w:rPr>
        <w:tab/>
        <w:t>сентябре</w:t>
      </w:r>
      <w:r w:rsidRPr="00D03F3E">
        <w:rPr>
          <w:rFonts w:ascii="Times New Roman" w:hAnsi="Times New Roman"/>
          <w:color w:val="000000" w:themeColor="text1"/>
          <w:sz w:val="16"/>
          <w:szCs w:val="16"/>
        </w:rPr>
        <w:tab/>
      </w:r>
      <w:r w:rsidRPr="00D03F3E">
        <w:rPr>
          <w:rFonts w:ascii="Times New Roman" w:hAnsi="Times New Roman"/>
          <w:color w:val="000000" w:themeColor="text1"/>
          <w:sz w:val="16"/>
          <w:szCs w:val="16"/>
          <w:lang w:val="en-US"/>
        </w:rPr>
        <w:t>l</w:t>
      </w:r>
      <w:r w:rsidRPr="00D03F3E">
        <w:rPr>
          <w:rFonts w:ascii="Times New Roman" w:hAnsi="Times New Roman"/>
          <w:color w:val="000000" w:themeColor="text1"/>
          <w:sz w:val="16"/>
          <w:szCs w:val="16"/>
        </w:rPr>
        <w:t>5</w:t>
      </w:r>
      <w:r w:rsidRPr="00D03F3E">
        <w:rPr>
          <w:rFonts w:ascii="Times New Roman" w:hAnsi="Times New Roman"/>
          <w:color w:val="000000" w:themeColor="text1"/>
          <w:sz w:val="16"/>
          <w:szCs w:val="16"/>
        </w:rPr>
        <w:tab/>
        <w:t>200</w:t>
      </w:r>
    </w:p>
    <w:p w14:paraId="0EDBBA2F" w14:textId="77777777" w:rsidR="00BF0974" w:rsidRPr="00D03F3E" w:rsidRDefault="00BF0974" w:rsidP="00D03F3E">
      <w:pPr>
        <w:tabs>
          <w:tab w:val="left" w:pos="1575"/>
          <w:tab w:val="left" w:pos="4508"/>
          <w:tab w:val="left" w:pos="564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w:t>
      </w:r>
      <w:r w:rsidRPr="00D03F3E">
        <w:rPr>
          <w:rFonts w:ascii="Times New Roman" w:hAnsi="Times New Roman"/>
          <w:color w:val="000000" w:themeColor="text1"/>
          <w:sz w:val="16"/>
          <w:szCs w:val="16"/>
        </w:rPr>
        <w:tab/>
        <w:t>октябре</w:t>
      </w:r>
      <w:r w:rsidRPr="00D03F3E">
        <w:rPr>
          <w:rFonts w:ascii="Times New Roman" w:hAnsi="Times New Roman"/>
          <w:color w:val="000000" w:themeColor="text1"/>
          <w:sz w:val="16"/>
          <w:szCs w:val="16"/>
        </w:rPr>
        <w:tab/>
        <w:t>50</w:t>
      </w:r>
      <w:r w:rsidRPr="00D03F3E">
        <w:rPr>
          <w:rFonts w:ascii="Times New Roman" w:hAnsi="Times New Roman"/>
          <w:color w:val="000000" w:themeColor="text1"/>
          <w:sz w:val="16"/>
          <w:szCs w:val="16"/>
        </w:rPr>
        <w:tab/>
        <w:t>200</w:t>
      </w:r>
    </w:p>
    <w:p w14:paraId="1E8248D6" w14:textId="77777777" w:rsidR="00BF0974" w:rsidRPr="00D03F3E" w:rsidRDefault="00BF0974" w:rsidP="00D03F3E">
      <w:pPr>
        <w:tabs>
          <w:tab w:val="left" w:pos="1583"/>
          <w:tab w:val="left" w:pos="4508"/>
          <w:tab w:val="left" w:pos="565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w:t>
      </w:r>
      <w:r w:rsidRPr="00D03F3E">
        <w:rPr>
          <w:rFonts w:ascii="Times New Roman" w:hAnsi="Times New Roman"/>
          <w:color w:val="000000" w:themeColor="text1"/>
          <w:sz w:val="16"/>
          <w:szCs w:val="16"/>
        </w:rPr>
        <w:tab/>
        <w:t>ноябре</w:t>
      </w:r>
      <w:r w:rsidRPr="00D03F3E">
        <w:rPr>
          <w:rFonts w:ascii="Times New Roman" w:hAnsi="Times New Roman"/>
          <w:color w:val="000000" w:themeColor="text1"/>
          <w:sz w:val="16"/>
          <w:szCs w:val="16"/>
        </w:rPr>
        <w:tab/>
        <w:t>75</w:t>
      </w:r>
      <w:r w:rsidRPr="00D03F3E">
        <w:rPr>
          <w:rFonts w:ascii="Times New Roman" w:hAnsi="Times New Roman"/>
          <w:color w:val="000000" w:themeColor="text1"/>
          <w:sz w:val="16"/>
          <w:szCs w:val="16"/>
        </w:rPr>
        <w:tab/>
        <w:t>200</w:t>
      </w:r>
    </w:p>
    <w:p w14:paraId="0730F038" w14:textId="77777777" w:rsidR="00BF0974" w:rsidRPr="00D03F3E" w:rsidRDefault="00BF0974" w:rsidP="00D03F3E">
      <w:pPr>
        <w:tabs>
          <w:tab w:val="left" w:pos="1583"/>
          <w:tab w:val="left" w:pos="4335"/>
          <w:tab w:val="left" w:pos="565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w:t>
      </w:r>
      <w:r w:rsidRPr="00D03F3E">
        <w:rPr>
          <w:rFonts w:ascii="Times New Roman" w:hAnsi="Times New Roman"/>
          <w:color w:val="000000" w:themeColor="text1"/>
          <w:sz w:val="16"/>
          <w:szCs w:val="16"/>
        </w:rPr>
        <w:tab/>
        <w:t>дзка'бре</w:t>
      </w:r>
      <w:r w:rsidRPr="00D03F3E">
        <w:rPr>
          <w:rFonts w:ascii="Times New Roman" w:hAnsi="Times New Roman"/>
          <w:color w:val="000000" w:themeColor="text1"/>
          <w:sz w:val="16"/>
          <w:szCs w:val="16"/>
        </w:rPr>
        <w:tab/>
        <w:t>100</w:t>
      </w:r>
      <w:r w:rsidRPr="00D03F3E">
        <w:rPr>
          <w:rFonts w:ascii="Times New Roman" w:hAnsi="Times New Roman"/>
          <w:color w:val="000000" w:themeColor="text1"/>
          <w:sz w:val="16"/>
          <w:szCs w:val="16"/>
        </w:rPr>
        <w:tab/>
        <w:t>200</w:t>
      </w:r>
      <w:r w:rsidR="00E319F0" w:rsidRPr="00D03F3E">
        <w:rPr>
          <w:rFonts w:ascii="Times New Roman" w:hAnsi="Times New Roman"/>
          <w:color w:val="000000" w:themeColor="text1"/>
          <w:sz w:val="16"/>
          <w:szCs w:val="16"/>
        </w:rPr>
        <w:fldChar w:fldCharType="end"/>
      </w:r>
    </w:p>
    <w:p w14:paraId="7B7C49D7" w14:textId="77777777" w:rsidR="00BF0974" w:rsidRPr="00D03F3E" w:rsidRDefault="00BF0974" w:rsidP="00D03F3E">
      <w:pPr>
        <w:tabs>
          <w:tab w:val="left" w:pos="100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Обязать директора завода 19 т.Солдатова:</w:t>
      </w:r>
    </w:p>
    <w:p w14:paraId="6A29B178" w14:textId="77777777" w:rsidR="00BF0974" w:rsidRPr="00D03F3E" w:rsidRDefault="00BF0974" w:rsidP="00D03F3E">
      <w:pPr>
        <w:tabs>
          <w:tab w:val="left" w:pos="100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оказать заводу № 29 техническую помощь по произ</w:t>
      </w:r>
      <w:r w:rsidRPr="00D03F3E">
        <w:rPr>
          <w:rFonts w:ascii="Times New Roman" w:hAnsi="Times New Roman"/>
          <w:color w:val="000000" w:themeColor="text1"/>
          <w:sz w:val="16"/>
          <w:szCs w:val="16"/>
        </w:rPr>
        <w:softHyphen/>
        <w:t>водству моторов М-82ФН;</w:t>
      </w:r>
    </w:p>
    <w:p w14:paraId="5C8A25E1" w14:textId="77777777" w:rsidR="00BF0974" w:rsidRPr="00D03F3E" w:rsidRDefault="00BF0974" w:rsidP="00D03F3E">
      <w:pPr>
        <w:tabs>
          <w:tab w:val="left" w:pos="100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поставить заводу № 29 в третьем квартале с.г. 300 комплектов литья моторов М-82ФЕ и в четвертом квар</w:t>
      </w:r>
      <w:r w:rsidRPr="00D03F3E">
        <w:rPr>
          <w:rFonts w:ascii="Times New Roman" w:hAnsi="Times New Roman"/>
          <w:color w:val="000000" w:themeColor="text1"/>
          <w:sz w:val="16"/>
          <w:szCs w:val="16"/>
        </w:rPr>
        <w:softHyphen/>
        <w:t>тале с.г. - 500 комплектов;</w:t>
      </w:r>
    </w:p>
    <w:p w14:paraId="3ADC080C" w14:textId="77777777" w:rsidR="00BF0974" w:rsidRPr="00D03F3E" w:rsidRDefault="00BF097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поставить заводу V 29 клапаны, поршневые кольца и синхронизаторы в готовое виде в количествах, обеспе</w:t>
      </w:r>
      <w:r w:rsidRPr="00D03F3E">
        <w:rPr>
          <w:rFonts w:ascii="Times New Roman" w:hAnsi="Times New Roman"/>
          <w:color w:val="000000" w:themeColor="text1"/>
          <w:sz w:val="16"/>
          <w:szCs w:val="16"/>
        </w:rPr>
        <w:softHyphen/>
        <w:t>чивающих программу выпуска моторов М-82ФН в 1943 г.</w:t>
      </w:r>
    </w:p>
    <w:p w14:paraId="262D9000" w14:textId="77777777" w:rsidR="00BF0974" w:rsidRPr="00D03F3E" w:rsidRDefault="00BF0974" w:rsidP="00D03F3E">
      <w:pPr>
        <w:tabs>
          <w:tab w:val="left" w:pos="98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Обязать директора завода № 29 и главного конст</w:t>
      </w:r>
      <w:r w:rsidRPr="00D03F3E">
        <w:rPr>
          <w:rFonts w:ascii="Times New Roman" w:hAnsi="Times New Roman"/>
          <w:color w:val="000000" w:themeColor="text1"/>
          <w:sz w:val="16"/>
          <w:szCs w:val="16"/>
        </w:rPr>
        <w:softHyphen/>
        <w:t>руктора т.Урмина, временно на три месяца, переключить все мощности ОКЦ на подготовку производства моторов М-82ФН</w:t>
      </w:r>
    </w:p>
    <w:p w14:paraId="3CFA0919" w14:textId="77777777" w:rsidR="00BF0974" w:rsidRPr="00D03F3E" w:rsidRDefault="00BF0974" w:rsidP="00D03F3E">
      <w:pPr>
        <w:tabs>
          <w:tab w:val="left" w:pos="99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Обязать Наркомчермет - т.Тевссяна обеспечить в третьем квартале с.г. поставку заводу</w:t>
      </w:r>
      <w:r w:rsidRPr="00D03F3E">
        <w:rPr>
          <w:rStyle w:val="75pt-1pt50"/>
          <w:rFonts w:ascii="Times New Roman" w:hAnsi="Times New Roman" w:cs="Times New Roman"/>
          <w:color w:val="000000" w:themeColor="text1"/>
          <w:spacing w:val="0"/>
          <w:w w:val="100"/>
          <w:sz w:val="16"/>
          <w:szCs w:val="16"/>
        </w:rPr>
        <w:t xml:space="preserve"> Г.-</w:t>
      </w:r>
      <w:r w:rsidRPr="00D03F3E">
        <w:rPr>
          <w:rFonts w:ascii="Times New Roman" w:hAnsi="Times New Roman"/>
          <w:color w:val="000000" w:themeColor="text1"/>
          <w:sz w:val="16"/>
          <w:szCs w:val="16"/>
        </w:rPr>
        <w:t xml:space="preserve"> 29 - 60 наимено</w:t>
      </w:r>
      <w:r w:rsidRPr="00D03F3E">
        <w:rPr>
          <w:rFonts w:ascii="Times New Roman" w:hAnsi="Times New Roman"/>
          <w:color w:val="000000" w:themeColor="text1"/>
          <w:sz w:val="16"/>
          <w:szCs w:val="16"/>
        </w:rPr>
        <w:softHyphen/>
        <w:t>ваний стальных поковок для моторов М-82ФН с Чебаркуль ского завода 701 по спецификации Наркомавиапрома в количестве 500 комплектов.</w:t>
      </w:r>
    </w:p>
    <w:p w14:paraId="5F3BC74B" w14:textId="77777777" w:rsidR="00BF0974" w:rsidRPr="00D03F3E" w:rsidRDefault="00BF0974" w:rsidP="00D03F3E">
      <w:pPr>
        <w:tabs>
          <w:tab w:val="left" w:pos="99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Обязать Наркомвооружения - т.Устинова и директо</w:t>
      </w:r>
      <w:r w:rsidRPr="00D03F3E">
        <w:rPr>
          <w:rFonts w:ascii="Times New Roman" w:hAnsi="Times New Roman"/>
          <w:color w:val="000000" w:themeColor="text1"/>
          <w:sz w:val="16"/>
          <w:szCs w:val="16"/>
        </w:rPr>
        <w:softHyphen/>
        <w:t xml:space="preserve">ра завода № 172 - т.Веховского поставить заводу №- 29 НКАП в третьем квартале </w:t>
      </w:r>
      <w:r w:rsidRPr="00D03F3E">
        <w:rPr>
          <w:rStyle w:val="1pt"/>
          <w:rFonts w:ascii="Times New Roman" w:hAnsi="Times New Roman" w:cs="Times New Roman"/>
          <w:color w:val="000000" w:themeColor="text1"/>
          <w:spacing w:val="0"/>
          <w:sz w:val="16"/>
          <w:szCs w:val="16"/>
        </w:rPr>
        <w:t>с.г.</w:t>
      </w:r>
      <w:r w:rsidRPr="00D03F3E">
        <w:rPr>
          <w:rFonts w:ascii="Times New Roman" w:hAnsi="Times New Roman"/>
          <w:color w:val="000000" w:themeColor="text1"/>
          <w:sz w:val="16"/>
          <w:szCs w:val="16"/>
        </w:rPr>
        <w:t xml:space="preserve"> 500 комплектов стальных штамповок для моторов М-82ФН, по номенклатуре завода № 19</w:t>
      </w:r>
    </w:p>
    <w:p w14:paraId="13595F77" w14:textId="77777777" w:rsidR="00BF0974" w:rsidRPr="00D03F3E" w:rsidRDefault="00BF0974" w:rsidP="00D03F3E">
      <w:pPr>
        <w:tabs>
          <w:tab w:val="left" w:pos="98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Обязать Наркомвнешторг - т.Микояна поставить за</w:t>
      </w:r>
      <w:r w:rsidRPr="00D03F3E">
        <w:rPr>
          <w:rFonts w:ascii="Times New Roman" w:hAnsi="Times New Roman"/>
          <w:color w:val="000000" w:themeColor="text1"/>
          <w:sz w:val="16"/>
          <w:szCs w:val="16"/>
        </w:rPr>
        <w:softHyphen/>
        <w:t>воду № 29 НКАП в третьем и четвертом кварталах 1945г.:</w:t>
      </w:r>
    </w:p>
    <w:p w14:paraId="66B01C30" w14:textId="77777777" w:rsidR="00BF0974" w:rsidRPr="00D03F3E" w:rsidRDefault="00BF0974" w:rsidP="00D03F3E">
      <w:pPr>
        <w:tabs>
          <w:tab w:val="left" w:pos="98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маталлорежущих станков - 200 единиц</w:t>
      </w:r>
    </w:p>
    <w:p w14:paraId="0D3653FA" w14:textId="77777777" w:rsidR="00BF0974" w:rsidRPr="00D03F3E" w:rsidRDefault="00BF0974" w:rsidP="00D03F3E">
      <w:pPr>
        <w:tabs>
          <w:tab w:val="left" w:pos="98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кузнечно-прессового оборудования - 15 единиц</w:t>
      </w:r>
    </w:p>
    <w:p w14:paraId="78405EEE" w14:textId="77777777" w:rsidR="00BF0974" w:rsidRPr="00D03F3E" w:rsidRDefault="00BF097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компрессоров производительностью 100 м в час - 2 штуки</w:t>
      </w:r>
    </w:p>
    <w:p w14:paraId="5886CABE" w14:textId="77777777" w:rsidR="00BF0974" w:rsidRPr="00D03F3E" w:rsidRDefault="00BF097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лабораторного оборудования и инструмента на сумму 1 млн.руб. </w:t>
      </w:r>
    </w:p>
    <w:p w14:paraId="461CC5A5" w14:textId="77777777" w:rsidR="00BF0974" w:rsidRPr="00D03F3E" w:rsidRDefault="00BF097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абразивов на сумму 700 тыс.руб. по спецификации НКАП.</w:t>
      </w:r>
    </w:p>
    <w:p w14:paraId="58D736FD" w14:textId="77777777" w:rsidR="00BF0974" w:rsidRPr="00D03F3E" w:rsidRDefault="00BF0974" w:rsidP="00D03F3E">
      <w:pPr>
        <w:tabs>
          <w:tab w:val="left" w:pos="98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Обязать Госплан СССР - т.Вознесенского:</w:t>
      </w:r>
    </w:p>
    <w:p w14:paraId="53655EE7" w14:textId="77777777" w:rsidR="00BF0974" w:rsidRPr="00D03F3E" w:rsidRDefault="00BF0974" w:rsidP="00D03F3E">
      <w:pPr>
        <w:tabs>
          <w:tab w:val="left" w:pos="99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выделить целевым назначением заводу 29 НКАП в третьем и четвертом кварталах 1943 года 300 металлорежу</w:t>
      </w:r>
      <w:r w:rsidRPr="00D03F3E">
        <w:rPr>
          <w:rFonts w:ascii="Times New Roman" w:hAnsi="Times New Roman"/>
          <w:color w:val="000000" w:themeColor="text1"/>
          <w:sz w:val="16"/>
          <w:szCs w:val="16"/>
        </w:rPr>
        <w:softHyphen/>
        <w:t>щих станков;</w:t>
      </w:r>
    </w:p>
    <w:p w14:paraId="72F69955" w14:textId="77777777" w:rsidR="00BF0974" w:rsidRPr="00D03F3E" w:rsidRDefault="00BF0974" w:rsidP="00D03F3E">
      <w:pPr>
        <w:tabs>
          <w:tab w:val="left" w:pos="98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выделить целевым назначение:.: заводу № 29 в третьем квартале 1943 года быстрорежущей стали 15 тонн и заменителей быстрореза 25 тонн.</w:t>
      </w:r>
    </w:p>
    <w:p w14:paraId="796554C7" w14:textId="77777777" w:rsidR="00BF0974" w:rsidRPr="00D03F3E" w:rsidRDefault="00D84C68" w:rsidP="00D03F3E">
      <w:pPr>
        <w:pStyle w:val="27"/>
        <w:shd w:val="clear" w:color="auto" w:fill="auto"/>
        <w:tabs>
          <w:tab w:val="left" w:pos="985"/>
        </w:tabs>
        <w:autoSpaceDE/>
        <w:autoSpaceDN/>
        <w:adjustRightInd/>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8. </w:t>
      </w:r>
      <w:r w:rsidR="00BF0974" w:rsidRPr="00D03F3E">
        <w:rPr>
          <w:rFonts w:ascii="Times New Roman" w:cs="Times New Roman"/>
          <w:color w:val="000000" w:themeColor="text1"/>
          <w:spacing w:val="0"/>
        </w:rPr>
        <w:t>Осязать Наркомстанкостроения - т.Ефремова изго</w:t>
      </w:r>
      <w:r w:rsidR="00BF0974" w:rsidRPr="00D03F3E">
        <w:rPr>
          <w:rFonts w:ascii="Times New Roman" w:cs="Times New Roman"/>
          <w:color w:val="000000" w:themeColor="text1"/>
          <w:spacing w:val="0"/>
        </w:rPr>
        <w:softHyphen/>
        <w:t>товить целевым назначением для завода</w:t>
      </w:r>
      <w:r w:rsidRPr="00D03F3E">
        <w:rPr>
          <w:rFonts w:ascii="Times New Roman" w:cs="Times New Roman"/>
          <w:color w:val="000000" w:themeColor="text1"/>
          <w:spacing w:val="0"/>
        </w:rPr>
        <w:t xml:space="preserve"> №</w:t>
      </w:r>
      <w:r w:rsidR="00BF0974" w:rsidRPr="00D03F3E">
        <w:rPr>
          <w:rFonts w:ascii="Times New Roman" w:cs="Times New Roman"/>
          <w:color w:val="000000" w:themeColor="text1"/>
          <w:spacing w:val="0"/>
        </w:rPr>
        <w:t xml:space="preserve"> 29 в третьем квартале с.г. нормального и специального инструмента на сумму I млн.</w:t>
      </w:r>
      <w:r w:rsidRPr="00D03F3E">
        <w:rPr>
          <w:rFonts w:ascii="Times New Roman" w:cs="Times New Roman"/>
          <w:color w:val="000000" w:themeColor="text1"/>
          <w:spacing w:val="0"/>
        </w:rPr>
        <w:t xml:space="preserve"> </w:t>
      </w:r>
      <w:r w:rsidR="00BF0974" w:rsidRPr="00D03F3E">
        <w:rPr>
          <w:rFonts w:ascii="Times New Roman" w:cs="Times New Roman"/>
          <w:color w:val="000000" w:themeColor="text1"/>
          <w:spacing w:val="0"/>
        </w:rPr>
        <w:t>рублей, по спецификации завода № 29.</w:t>
      </w:r>
    </w:p>
    <w:p w14:paraId="3F723CB8" w14:textId="77777777" w:rsidR="00BF0974" w:rsidRPr="00D03F3E" w:rsidRDefault="00D84C68" w:rsidP="00D03F3E">
      <w:pPr>
        <w:pStyle w:val="27"/>
        <w:shd w:val="clear" w:color="auto" w:fill="auto"/>
        <w:tabs>
          <w:tab w:val="left" w:pos="1000"/>
        </w:tabs>
        <w:autoSpaceDE/>
        <w:autoSpaceDN/>
        <w:adjustRightInd/>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9. </w:t>
      </w:r>
      <w:r w:rsidR="00BF0974" w:rsidRPr="00D03F3E">
        <w:rPr>
          <w:rFonts w:ascii="Times New Roman" w:cs="Times New Roman"/>
          <w:color w:val="000000" w:themeColor="text1"/>
          <w:spacing w:val="0"/>
        </w:rPr>
        <w:t xml:space="preserve">Обязать НКО - т.Щаденко направить на завод </w:t>
      </w:r>
      <w:r w:rsidRPr="00D03F3E">
        <w:rPr>
          <w:rFonts w:ascii="Times New Roman" w:cs="Times New Roman"/>
          <w:color w:val="000000" w:themeColor="text1"/>
          <w:spacing w:val="0"/>
        </w:rPr>
        <w:t>№</w:t>
      </w:r>
      <w:r w:rsidR="00BF0974" w:rsidRPr="00D03F3E">
        <w:rPr>
          <w:rFonts w:ascii="Times New Roman" w:cs="Times New Roman"/>
          <w:color w:val="000000" w:themeColor="text1"/>
          <w:spacing w:val="0"/>
        </w:rPr>
        <w:t xml:space="preserve"> 29 </w:t>
      </w:r>
      <w:r w:rsidR="00BF0974" w:rsidRPr="00D03F3E">
        <w:rPr>
          <w:rStyle w:val="95pt0pt0"/>
          <w:rFonts w:ascii="Times New Roman" w:hAnsi="Times New Roman" w:cs="Times New Roman"/>
          <w:color w:val="000000" w:themeColor="text1"/>
          <w:sz w:val="16"/>
          <w:szCs w:val="16"/>
        </w:rPr>
        <w:t>Ш</w:t>
      </w:r>
      <w:r w:rsidRPr="00D03F3E">
        <w:rPr>
          <w:rStyle w:val="95pt0pt0"/>
          <w:rFonts w:ascii="Times New Roman" w:hAnsi="Times New Roman" w:cs="Times New Roman"/>
          <w:color w:val="000000" w:themeColor="text1"/>
          <w:sz w:val="16"/>
          <w:szCs w:val="16"/>
        </w:rPr>
        <w:t>КАП</w:t>
      </w:r>
      <w:r w:rsidR="00BF0974" w:rsidRPr="00D03F3E">
        <w:rPr>
          <w:rFonts w:ascii="Times New Roman" w:cs="Times New Roman"/>
          <w:color w:val="000000" w:themeColor="text1"/>
          <w:spacing w:val="0"/>
        </w:rPr>
        <w:t xml:space="preserve"> в третьей квартале с.</w:t>
      </w:r>
      <w:r w:rsidR="00BF0974" w:rsidRPr="00D03F3E">
        <w:rPr>
          <w:rStyle w:val="95pt0pt0"/>
          <w:rFonts w:ascii="Times New Roman" w:hAnsi="Times New Roman" w:cs="Times New Roman"/>
          <w:color w:val="000000" w:themeColor="text1"/>
          <w:sz w:val="16"/>
          <w:szCs w:val="16"/>
        </w:rPr>
        <w:t>г.</w:t>
      </w:r>
      <w:r w:rsidR="00BF0974" w:rsidRPr="00D03F3E">
        <w:rPr>
          <w:rFonts w:ascii="Times New Roman" w:cs="Times New Roman"/>
          <w:color w:val="000000" w:themeColor="text1"/>
          <w:spacing w:val="0"/>
        </w:rPr>
        <w:t xml:space="preserve"> 2000 человек из числа моби</w:t>
      </w:r>
      <w:r w:rsidR="00BF0974" w:rsidRPr="00D03F3E">
        <w:rPr>
          <w:rFonts w:ascii="Times New Roman" w:cs="Times New Roman"/>
          <w:color w:val="000000" w:themeColor="text1"/>
          <w:spacing w:val="0"/>
        </w:rPr>
        <w:softHyphen/>
        <w:t>лизованной но ограниченно годных к строевой службе.</w:t>
      </w:r>
    </w:p>
    <w:p w14:paraId="1C904460" w14:textId="77777777" w:rsidR="00BF0974" w:rsidRPr="00D03F3E" w:rsidRDefault="00D84C68" w:rsidP="00D03F3E">
      <w:pPr>
        <w:pStyle w:val="27"/>
        <w:shd w:val="clear" w:color="auto" w:fill="auto"/>
        <w:tabs>
          <w:tab w:val="left" w:pos="1128"/>
        </w:tabs>
        <w:autoSpaceDE/>
        <w:autoSpaceDN/>
        <w:adjustRightInd/>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10. </w:t>
      </w:r>
      <w:r w:rsidR="00BF0974" w:rsidRPr="00D03F3E">
        <w:rPr>
          <w:rFonts w:ascii="Times New Roman" w:cs="Times New Roman"/>
          <w:color w:val="000000" w:themeColor="text1"/>
          <w:spacing w:val="0"/>
        </w:rPr>
        <w:t>Обязать Управление Тру</w:t>
      </w:r>
      <w:r w:rsidRPr="00D03F3E">
        <w:rPr>
          <w:rFonts w:ascii="Times New Roman" w:cs="Times New Roman"/>
          <w:color w:val="000000" w:themeColor="text1"/>
          <w:spacing w:val="0"/>
        </w:rPr>
        <w:t>д</w:t>
      </w:r>
      <w:r w:rsidR="00BF0974" w:rsidRPr="00D03F3E">
        <w:rPr>
          <w:rFonts w:ascii="Times New Roman" w:cs="Times New Roman"/>
          <w:color w:val="000000" w:themeColor="text1"/>
          <w:spacing w:val="0"/>
        </w:rPr>
        <w:t>ов</w:t>
      </w:r>
      <w:r w:rsidRPr="00D03F3E">
        <w:rPr>
          <w:rFonts w:ascii="Times New Roman" w:cs="Times New Roman"/>
          <w:color w:val="000000" w:themeColor="text1"/>
          <w:spacing w:val="0"/>
        </w:rPr>
        <w:t>ы</w:t>
      </w:r>
      <w:r w:rsidR="00BF0974" w:rsidRPr="00D03F3E">
        <w:rPr>
          <w:rFonts w:ascii="Times New Roman" w:cs="Times New Roman"/>
          <w:color w:val="000000" w:themeColor="text1"/>
          <w:spacing w:val="0"/>
        </w:rPr>
        <w:t>х Резервов при СНК СССР - т.</w:t>
      </w:r>
      <w:r w:rsidRPr="00D03F3E">
        <w:rPr>
          <w:rFonts w:ascii="Times New Roman" w:cs="Times New Roman"/>
          <w:color w:val="000000" w:themeColor="text1"/>
          <w:spacing w:val="0"/>
        </w:rPr>
        <w:t xml:space="preserve"> М</w:t>
      </w:r>
      <w:r w:rsidR="00BF0974" w:rsidRPr="00D03F3E">
        <w:rPr>
          <w:rFonts w:ascii="Times New Roman" w:cs="Times New Roman"/>
          <w:color w:val="000000" w:themeColor="text1"/>
          <w:spacing w:val="0"/>
        </w:rPr>
        <w:t xml:space="preserve">оскатова направить на завод </w:t>
      </w:r>
      <w:r w:rsidRPr="00D03F3E">
        <w:rPr>
          <w:rFonts w:ascii="Times New Roman" w:cs="Times New Roman"/>
          <w:color w:val="000000" w:themeColor="text1"/>
          <w:spacing w:val="0"/>
        </w:rPr>
        <w:t>№</w:t>
      </w:r>
      <w:r w:rsidR="00BF0974" w:rsidRPr="00D03F3E">
        <w:rPr>
          <w:rFonts w:ascii="Times New Roman" w:cs="Times New Roman"/>
          <w:color w:val="000000" w:themeColor="text1"/>
          <w:spacing w:val="0"/>
        </w:rPr>
        <w:t xml:space="preserve"> 29 </w:t>
      </w:r>
      <w:r w:rsidR="00BF0974" w:rsidRPr="00D03F3E">
        <w:rPr>
          <w:rStyle w:val="16"/>
          <w:rFonts w:ascii="Times New Roman" w:cs="Times New Roman"/>
          <w:color w:val="000000" w:themeColor="text1"/>
          <w:spacing w:val="0"/>
          <w:u w:val="none"/>
        </w:rPr>
        <w:t>НКАП</w:t>
      </w:r>
      <w:r w:rsidR="00BF0974" w:rsidRPr="00D03F3E">
        <w:rPr>
          <w:rFonts w:ascii="Times New Roman" w:cs="Times New Roman"/>
          <w:color w:val="000000" w:themeColor="text1"/>
          <w:spacing w:val="0"/>
        </w:rPr>
        <w:t xml:space="preserve"> в третье</w:t>
      </w:r>
      <w:r w:rsidRPr="00D03F3E">
        <w:rPr>
          <w:rFonts w:ascii="Times New Roman" w:cs="Times New Roman"/>
          <w:color w:val="000000" w:themeColor="text1"/>
          <w:spacing w:val="0"/>
        </w:rPr>
        <w:t>м</w:t>
      </w:r>
      <w:r w:rsidR="00BF0974" w:rsidRPr="00D03F3E">
        <w:rPr>
          <w:rFonts w:ascii="Times New Roman" w:cs="Times New Roman"/>
          <w:color w:val="000000" w:themeColor="text1"/>
          <w:spacing w:val="0"/>
        </w:rPr>
        <w:t xml:space="preserve"> квартале </w:t>
      </w:r>
      <w:r w:rsidR="00BF0974" w:rsidRPr="00D03F3E">
        <w:rPr>
          <w:rStyle w:val="1pt"/>
          <w:rFonts w:ascii="Times New Roman" w:cs="Times New Roman"/>
          <w:color w:val="000000" w:themeColor="text1"/>
          <w:spacing w:val="0"/>
          <w:sz w:val="16"/>
          <w:szCs w:val="16"/>
        </w:rPr>
        <w:t>с.г.</w:t>
      </w:r>
      <w:r w:rsidR="00BF0974" w:rsidRPr="00D03F3E">
        <w:rPr>
          <w:rStyle w:val="75pt0pt"/>
          <w:rFonts w:ascii="Times New Roman" w:hAnsi="Times New Roman" w:cs="Times New Roman"/>
          <w:color w:val="000000" w:themeColor="text1"/>
          <w:sz w:val="16"/>
          <w:szCs w:val="16"/>
        </w:rPr>
        <w:t xml:space="preserve"> 1500</w:t>
      </w:r>
      <w:r w:rsidR="00BF0974" w:rsidRPr="00D03F3E">
        <w:rPr>
          <w:rFonts w:ascii="Times New Roman" w:cs="Times New Roman"/>
          <w:color w:val="000000" w:themeColor="text1"/>
          <w:spacing w:val="0"/>
        </w:rPr>
        <w:t xml:space="preserve"> человек из числа окончивших</w:t>
      </w:r>
      <w:r w:rsidR="00BF0974" w:rsidRPr="00D03F3E">
        <w:rPr>
          <w:rStyle w:val="75pt0pt"/>
          <w:rFonts w:ascii="Times New Roman" w:hAnsi="Times New Roman" w:cs="Times New Roman"/>
          <w:color w:val="000000" w:themeColor="text1"/>
          <w:sz w:val="16"/>
          <w:szCs w:val="16"/>
        </w:rPr>
        <w:t xml:space="preserve"> </w:t>
      </w:r>
      <w:r w:rsidRPr="00D03F3E">
        <w:rPr>
          <w:rStyle w:val="75pt0pt"/>
          <w:rFonts w:ascii="Times New Roman" w:hAnsi="Times New Roman" w:cs="Times New Roman"/>
          <w:color w:val="000000" w:themeColor="text1"/>
          <w:sz w:val="16"/>
          <w:szCs w:val="16"/>
        </w:rPr>
        <w:t>Ф</w:t>
      </w:r>
      <w:r w:rsidR="00BF0974" w:rsidRPr="00D03F3E">
        <w:rPr>
          <w:rStyle w:val="95pt0pt0"/>
          <w:rFonts w:ascii="Times New Roman" w:hAnsi="Times New Roman" w:cs="Times New Roman"/>
          <w:color w:val="000000" w:themeColor="text1"/>
          <w:sz w:val="16"/>
          <w:szCs w:val="16"/>
        </w:rPr>
        <w:t>ЗО</w:t>
      </w:r>
      <w:r w:rsidR="00BF0974" w:rsidRPr="00D03F3E">
        <w:rPr>
          <w:rStyle w:val="75pt0pt"/>
          <w:rFonts w:ascii="Times New Roman" w:hAnsi="Times New Roman" w:cs="Times New Roman"/>
          <w:color w:val="000000" w:themeColor="text1"/>
          <w:sz w:val="16"/>
          <w:szCs w:val="16"/>
        </w:rPr>
        <w:t xml:space="preserve"> и </w:t>
      </w:r>
      <w:r w:rsidR="00BF0974" w:rsidRPr="00D03F3E">
        <w:rPr>
          <w:rFonts w:ascii="Times New Roman" w:cs="Times New Roman"/>
          <w:color w:val="000000" w:themeColor="text1"/>
          <w:spacing w:val="0"/>
        </w:rPr>
        <w:t>РУ.</w:t>
      </w:r>
    </w:p>
    <w:p w14:paraId="659BCF12" w14:textId="77777777" w:rsidR="00BF0974" w:rsidRPr="00D03F3E" w:rsidRDefault="00D84C68" w:rsidP="00D03F3E">
      <w:pPr>
        <w:pStyle w:val="27"/>
        <w:shd w:val="clear" w:color="auto" w:fill="auto"/>
        <w:tabs>
          <w:tab w:val="left" w:pos="1113"/>
        </w:tabs>
        <w:autoSpaceDE/>
        <w:autoSpaceDN/>
        <w:adjustRightInd/>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11. </w:t>
      </w:r>
      <w:r w:rsidR="00BF0974" w:rsidRPr="00D03F3E">
        <w:rPr>
          <w:rFonts w:ascii="Times New Roman" w:cs="Times New Roman"/>
          <w:color w:val="000000" w:themeColor="text1"/>
          <w:spacing w:val="0"/>
        </w:rPr>
        <w:t>Обязать Наркомавиапром - т.Ризиряна и Управляю</w:t>
      </w:r>
      <w:r w:rsidR="00BF0974" w:rsidRPr="00D03F3E">
        <w:rPr>
          <w:rFonts w:ascii="Times New Roman" w:cs="Times New Roman"/>
          <w:color w:val="000000" w:themeColor="text1"/>
          <w:spacing w:val="0"/>
        </w:rPr>
        <w:softHyphen/>
        <w:t xml:space="preserve">щего трестом </w:t>
      </w:r>
      <w:r w:rsidRPr="00D03F3E">
        <w:rPr>
          <w:rFonts w:ascii="Times New Roman" w:cs="Times New Roman"/>
          <w:color w:val="000000" w:themeColor="text1"/>
          <w:spacing w:val="0"/>
        </w:rPr>
        <w:t>№</w:t>
      </w:r>
      <w:r w:rsidR="00BF0974" w:rsidRPr="00D03F3E">
        <w:rPr>
          <w:rFonts w:ascii="Times New Roman" w:cs="Times New Roman"/>
          <w:color w:val="000000" w:themeColor="text1"/>
          <w:spacing w:val="0"/>
        </w:rPr>
        <w:t xml:space="preserve"> 2 т.Рудакова закончить строительством и сдать в эксплоатацик на заводе </w:t>
      </w:r>
      <w:r w:rsidRPr="00D03F3E">
        <w:rPr>
          <w:rFonts w:ascii="Times New Roman" w:cs="Times New Roman"/>
          <w:color w:val="000000" w:themeColor="text1"/>
          <w:spacing w:val="0"/>
        </w:rPr>
        <w:t>№</w:t>
      </w:r>
      <w:r w:rsidR="00BF0974" w:rsidRPr="00D03F3E">
        <w:rPr>
          <w:rFonts w:ascii="Times New Roman" w:cs="Times New Roman"/>
          <w:color w:val="000000" w:themeColor="text1"/>
          <w:spacing w:val="0"/>
        </w:rPr>
        <w:t xml:space="preserve"> 29 следующие об"екты:</w:t>
      </w:r>
    </w:p>
    <w:p w14:paraId="2563C839" w14:textId="77777777" w:rsidR="00BF0974" w:rsidRPr="00D03F3E" w:rsidRDefault="00BF0974" w:rsidP="00D03F3E">
      <w:pPr>
        <w:pStyle w:val="27"/>
        <w:shd w:val="clear" w:color="auto" w:fill="auto"/>
        <w:tabs>
          <w:tab w:val="left" w:pos="3498"/>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корпус К 3</w:t>
      </w:r>
      <w:r w:rsidRPr="00D03F3E">
        <w:rPr>
          <w:rFonts w:ascii="Times New Roman" w:cs="Times New Roman"/>
          <w:color w:val="000000" w:themeColor="text1"/>
          <w:spacing w:val="0"/>
        </w:rPr>
        <w:tab/>
        <w:t xml:space="preserve">- к 1 октября </w:t>
      </w:r>
      <w:r w:rsidRPr="00D03F3E">
        <w:rPr>
          <w:rStyle w:val="16"/>
          <w:rFonts w:ascii="Times New Roman" w:cs="Times New Roman"/>
          <w:color w:val="000000" w:themeColor="text1"/>
          <w:spacing w:val="0"/>
          <w:u w:val="none"/>
        </w:rPr>
        <w:t>1943</w:t>
      </w:r>
      <w:r w:rsidRPr="00D03F3E">
        <w:rPr>
          <w:rFonts w:ascii="Times New Roman" w:cs="Times New Roman"/>
          <w:color w:val="000000" w:themeColor="text1"/>
          <w:spacing w:val="0"/>
        </w:rPr>
        <w:t xml:space="preserve"> года</w:t>
      </w:r>
    </w:p>
    <w:p w14:paraId="0004EEA7" w14:textId="77777777" w:rsidR="00BF0974" w:rsidRPr="00D03F3E" w:rsidRDefault="00BF0974" w:rsidP="00D03F3E">
      <w:pPr>
        <w:pStyle w:val="27"/>
        <w:shd w:val="clear" w:color="auto" w:fill="auto"/>
        <w:tabs>
          <w:tab w:val="left" w:pos="3490"/>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корпус</w:t>
      </w:r>
      <w:r w:rsidRPr="00D03F3E">
        <w:rPr>
          <w:rStyle w:val="75pt0pt"/>
          <w:rFonts w:ascii="Times New Roman" w:hAnsi="Times New Roman" w:cs="Times New Roman"/>
          <w:color w:val="000000" w:themeColor="text1"/>
          <w:sz w:val="16"/>
          <w:szCs w:val="16"/>
        </w:rPr>
        <w:t xml:space="preserve"> к. 4</w:t>
      </w:r>
      <w:r w:rsidRPr="00D03F3E">
        <w:rPr>
          <w:rFonts w:ascii="Times New Roman" w:cs="Times New Roman"/>
          <w:color w:val="000000" w:themeColor="text1"/>
          <w:spacing w:val="0"/>
        </w:rPr>
        <w:tab/>
        <w:t xml:space="preserve">- к 1 января </w:t>
      </w:r>
      <w:r w:rsidRPr="00D03F3E">
        <w:rPr>
          <w:rStyle w:val="16"/>
          <w:rFonts w:ascii="Times New Roman" w:cs="Times New Roman"/>
          <w:color w:val="000000" w:themeColor="text1"/>
          <w:spacing w:val="0"/>
          <w:u w:val="none"/>
        </w:rPr>
        <w:t>19Ф*'</w:t>
      </w:r>
      <w:r w:rsidRPr="00D03F3E">
        <w:rPr>
          <w:rFonts w:ascii="Times New Roman" w:cs="Times New Roman"/>
          <w:color w:val="000000" w:themeColor="text1"/>
          <w:spacing w:val="0"/>
        </w:rPr>
        <w:t xml:space="preserve"> года</w:t>
      </w:r>
    </w:p>
    <w:p w14:paraId="58443C22" w14:textId="77777777" w:rsidR="00BF0974" w:rsidRPr="00D03F3E" w:rsidRDefault="00BF097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и 10.000 мт</w:t>
      </w:r>
      <w:r w:rsidRPr="00D03F3E">
        <w:rPr>
          <w:rFonts w:ascii="Times New Roman" w:cs="Times New Roman"/>
          <w:color w:val="000000" w:themeColor="text1"/>
          <w:spacing w:val="0"/>
          <w:vertAlign w:val="superscript"/>
        </w:rPr>
        <w:t>5</w:t>
      </w:r>
      <w:r w:rsidRPr="00D03F3E">
        <w:rPr>
          <w:rFonts w:ascii="Times New Roman" w:cs="Times New Roman"/>
          <w:color w:val="000000" w:themeColor="text1"/>
          <w:spacing w:val="0"/>
        </w:rPr>
        <w:t xml:space="preserve"> жилплощади в 3 и 4 кварталах </w:t>
      </w:r>
      <w:r w:rsidRPr="00D03F3E">
        <w:rPr>
          <w:rStyle w:val="16"/>
          <w:rFonts w:ascii="Times New Roman" w:cs="Times New Roman"/>
          <w:color w:val="000000" w:themeColor="text1"/>
          <w:spacing w:val="0"/>
          <w:u w:val="none"/>
        </w:rPr>
        <w:t>1943</w:t>
      </w:r>
      <w:r w:rsidRPr="00D03F3E">
        <w:rPr>
          <w:rFonts w:ascii="Times New Roman" w:cs="Times New Roman"/>
          <w:color w:val="000000" w:themeColor="text1"/>
          <w:spacing w:val="0"/>
        </w:rPr>
        <w:t xml:space="preserve"> года.</w:t>
      </w:r>
    </w:p>
    <w:p w14:paraId="4CC3B86C" w14:textId="77777777" w:rsidR="00BF0974" w:rsidRPr="00D03F3E" w:rsidRDefault="00BF097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Для обеспечения указанного строительства утвердить мероприятия, согласно приложению.</w:t>
      </w:r>
    </w:p>
    <w:p w14:paraId="0B86E74C" w14:textId="77777777" w:rsidR="00BF0974" w:rsidRPr="00D03F3E" w:rsidRDefault="00BF0974" w:rsidP="00D03F3E">
      <w:pPr>
        <w:pStyle w:val="27"/>
        <w:shd w:val="clear" w:color="auto" w:fill="auto"/>
        <w:spacing w:after="0" w:line="240" w:lineRule="auto"/>
        <w:ind w:firstLine="0"/>
        <w:rPr>
          <w:rFonts w:ascii="Times New Roman" w:cs="Times New Roman"/>
          <w:color w:val="000000" w:themeColor="text1"/>
          <w:spacing w:val="0"/>
        </w:rPr>
      </w:pPr>
      <w:r w:rsidRPr="00D03F3E">
        <w:rPr>
          <w:rStyle w:val="16"/>
          <w:rFonts w:ascii="Times New Roman" w:cs="Times New Roman"/>
          <w:color w:val="000000" w:themeColor="text1"/>
          <w:spacing w:val="0"/>
          <w:u w:val="none"/>
        </w:rPr>
        <w:t>12.</w:t>
      </w:r>
      <w:r w:rsidRPr="00D03F3E">
        <w:rPr>
          <w:rFonts w:ascii="Times New Roman" w:cs="Times New Roman"/>
          <w:color w:val="000000" w:themeColor="text1"/>
          <w:spacing w:val="0"/>
        </w:rPr>
        <w:t xml:space="preserve"> Обязать Наркомсредмаш - т.Акспова поставить за</w:t>
      </w:r>
      <w:r w:rsidRPr="00D03F3E">
        <w:rPr>
          <w:rFonts w:ascii="Times New Roman" w:cs="Times New Roman"/>
          <w:color w:val="000000" w:themeColor="text1"/>
          <w:spacing w:val="0"/>
        </w:rPr>
        <w:softHyphen/>
        <w:t xml:space="preserve">воду №-29 </w:t>
      </w:r>
      <w:r w:rsidRPr="00D03F3E">
        <w:rPr>
          <w:rStyle w:val="16"/>
          <w:rFonts w:ascii="Times New Roman" w:cs="Times New Roman"/>
          <w:color w:val="000000" w:themeColor="text1"/>
          <w:spacing w:val="0"/>
          <w:u w:val="none"/>
        </w:rPr>
        <w:t>НКАП</w:t>
      </w:r>
      <w:r w:rsidRPr="00D03F3E">
        <w:rPr>
          <w:rFonts w:ascii="Times New Roman" w:cs="Times New Roman"/>
          <w:color w:val="000000" w:themeColor="text1"/>
          <w:spacing w:val="0"/>
        </w:rPr>
        <w:t xml:space="preserve"> в июле </w:t>
      </w:r>
      <w:r w:rsidRPr="00D03F3E">
        <w:rPr>
          <w:rStyle w:val="1pt"/>
          <w:rFonts w:ascii="Times New Roman" w:cs="Times New Roman"/>
          <w:color w:val="000000" w:themeColor="text1"/>
          <w:spacing w:val="0"/>
          <w:sz w:val="16"/>
          <w:szCs w:val="16"/>
        </w:rPr>
        <w:t>с.г.</w:t>
      </w:r>
      <w:r w:rsidRPr="00D03F3E">
        <w:rPr>
          <w:rFonts w:ascii="Times New Roman" w:cs="Times New Roman"/>
          <w:color w:val="000000" w:themeColor="text1"/>
          <w:spacing w:val="0"/>
        </w:rPr>
        <w:t xml:space="preserve"> в счет поставок </w:t>
      </w:r>
      <w:r w:rsidRPr="00D03F3E">
        <w:rPr>
          <w:rStyle w:val="16"/>
          <w:rFonts w:ascii="Times New Roman" w:cs="Times New Roman"/>
          <w:color w:val="000000" w:themeColor="text1"/>
          <w:spacing w:val="0"/>
          <w:u w:val="none"/>
        </w:rPr>
        <w:t>НКО</w:t>
      </w:r>
      <w:r w:rsidRPr="00D03F3E">
        <w:rPr>
          <w:rFonts w:ascii="Times New Roman" w:cs="Times New Roman"/>
          <w:color w:val="000000" w:themeColor="text1"/>
          <w:spacing w:val="0"/>
        </w:rPr>
        <w:t xml:space="preserve"> </w:t>
      </w:r>
      <w:r w:rsidRPr="00D03F3E">
        <w:rPr>
          <w:rStyle w:val="16"/>
          <w:rFonts w:ascii="Times New Roman" w:cs="Times New Roman"/>
          <w:color w:val="000000" w:themeColor="text1"/>
          <w:spacing w:val="0"/>
          <w:u w:val="none"/>
        </w:rPr>
        <w:t>50</w:t>
      </w:r>
      <w:r w:rsidRPr="00D03F3E">
        <w:rPr>
          <w:rFonts w:ascii="Times New Roman" w:cs="Times New Roman"/>
          <w:color w:val="000000" w:themeColor="text1"/>
          <w:spacing w:val="0"/>
        </w:rPr>
        <w:t xml:space="preserve"> трех</w:t>
      </w:r>
      <w:r w:rsidRPr="00D03F3E">
        <w:rPr>
          <w:rFonts w:ascii="Times New Roman" w:cs="Times New Roman"/>
          <w:color w:val="000000" w:themeColor="text1"/>
          <w:spacing w:val="0"/>
        </w:rPr>
        <w:softHyphen/>
        <w:t>тонных автогашик, 5 гусеничных тракторов и запасных ча</w:t>
      </w:r>
      <w:r w:rsidRPr="00D03F3E">
        <w:rPr>
          <w:rFonts w:ascii="Times New Roman" w:cs="Times New Roman"/>
          <w:color w:val="000000" w:themeColor="text1"/>
          <w:spacing w:val="0"/>
        </w:rPr>
        <w:softHyphen/>
        <w:t xml:space="preserve">стей к автомашинам на сумму </w:t>
      </w:r>
      <w:r w:rsidRPr="00D03F3E">
        <w:rPr>
          <w:rStyle w:val="16"/>
          <w:rFonts w:ascii="Times New Roman" w:cs="Times New Roman"/>
          <w:color w:val="000000" w:themeColor="text1"/>
          <w:spacing w:val="0"/>
          <w:u w:val="none"/>
        </w:rPr>
        <w:t>100</w:t>
      </w:r>
      <w:r w:rsidRPr="00D03F3E">
        <w:rPr>
          <w:rFonts w:ascii="Times New Roman" w:cs="Times New Roman"/>
          <w:color w:val="000000" w:themeColor="text1"/>
          <w:spacing w:val="0"/>
        </w:rPr>
        <w:t xml:space="preserve"> тыс.рублей, тресту </w:t>
      </w:r>
      <w:r w:rsidR="00D84C68" w:rsidRPr="00D03F3E">
        <w:rPr>
          <w:rFonts w:ascii="Times New Roman" w:cs="Times New Roman"/>
          <w:color w:val="000000" w:themeColor="text1"/>
          <w:spacing w:val="0"/>
        </w:rPr>
        <w:t>№</w:t>
      </w:r>
      <w:r w:rsidRPr="00D03F3E">
        <w:rPr>
          <w:rFonts w:ascii="Times New Roman" w:cs="Times New Roman"/>
          <w:color w:val="000000" w:themeColor="text1"/>
          <w:spacing w:val="0"/>
        </w:rPr>
        <w:t xml:space="preserve"> 2 </w:t>
      </w:r>
      <w:r w:rsidRPr="00D03F3E">
        <w:rPr>
          <w:rStyle w:val="16"/>
          <w:rFonts w:ascii="Times New Roman" w:cs="Times New Roman"/>
          <w:color w:val="000000" w:themeColor="text1"/>
          <w:spacing w:val="0"/>
          <w:u w:val="none"/>
        </w:rPr>
        <w:t>НКАП -</w:t>
      </w:r>
      <w:r w:rsidRPr="00D03F3E">
        <w:rPr>
          <w:rFonts w:ascii="Times New Roman" w:cs="Times New Roman"/>
          <w:color w:val="000000" w:themeColor="text1"/>
          <w:spacing w:val="0"/>
        </w:rPr>
        <w:t xml:space="preserve"> </w:t>
      </w:r>
      <w:r w:rsidRPr="00D03F3E">
        <w:rPr>
          <w:rStyle w:val="16"/>
          <w:rFonts w:ascii="Times New Roman" w:cs="Times New Roman"/>
          <w:color w:val="000000" w:themeColor="text1"/>
          <w:spacing w:val="0"/>
          <w:u w:val="none"/>
        </w:rPr>
        <w:t>30</w:t>
      </w:r>
      <w:r w:rsidRPr="00D03F3E">
        <w:rPr>
          <w:rFonts w:ascii="Times New Roman" w:cs="Times New Roman"/>
          <w:color w:val="000000" w:themeColor="text1"/>
          <w:spacing w:val="0"/>
        </w:rPr>
        <w:t xml:space="preserve"> автомашин.</w:t>
      </w:r>
    </w:p>
    <w:p w14:paraId="5163FCD7" w14:textId="77777777" w:rsidR="00BF0974" w:rsidRPr="00D03F3E" w:rsidRDefault="0094264A" w:rsidP="00D03F3E">
      <w:pPr>
        <w:pStyle w:val="27"/>
        <w:shd w:val="clear" w:color="auto" w:fill="auto"/>
        <w:tabs>
          <w:tab w:val="left" w:pos="1105"/>
        </w:tabs>
        <w:autoSpaceDE/>
        <w:autoSpaceDN/>
        <w:adjustRightInd/>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13. </w:t>
      </w:r>
      <w:r w:rsidR="00BF0974" w:rsidRPr="00D03F3E">
        <w:rPr>
          <w:rFonts w:ascii="Times New Roman" w:cs="Times New Roman"/>
          <w:color w:val="000000" w:themeColor="text1"/>
          <w:spacing w:val="0"/>
        </w:rPr>
        <w:t>Обязать Н</w:t>
      </w:r>
      <w:r w:rsidRPr="00D03F3E">
        <w:rPr>
          <w:rFonts w:ascii="Times New Roman" w:cs="Times New Roman"/>
          <w:color w:val="000000" w:themeColor="text1"/>
          <w:spacing w:val="0"/>
        </w:rPr>
        <w:t>К</w:t>
      </w:r>
      <w:r w:rsidR="00BF0974" w:rsidRPr="00D03F3E">
        <w:rPr>
          <w:rFonts w:ascii="Times New Roman" w:cs="Times New Roman"/>
          <w:color w:val="000000" w:themeColor="text1"/>
          <w:spacing w:val="0"/>
        </w:rPr>
        <w:t>ПС - т.Кагановича:</w:t>
      </w:r>
    </w:p>
    <w:p w14:paraId="03E7A0B9" w14:textId="77777777" w:rsidR="00BF0974" w:rsidRPr="00D03F3E" w:rsidRDefault="00BF0974" w:rsidP="00D03F3E">
      <w:pPr>
        <w:pStyle w:val="27"/>
        <w:shd w:val="clear" w:color="auto" w:fill="auto"/>
        <w:tabs>
          <w:tab w:val="left" w:pos="99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а)</w:t>
      </w:r>
      <w:r w:rsidR="0094264A" w:rsidRPr="00D03F3E">
        <w:rPr>
          <w:rFonts w:ascii="Times New Roman" w:cs="Times New Roman"/>
          <w:color w:val="000000" w:themeColor="text1"/>
          <w:spacing w:val="0"/>
        </w:rPr>
        <w:t xml:space="preserve"> </w:t>
      </w:r>
      <w:r w:rsidRPr="00D03F3E">
        <w:rPr>
          <w:rFonts w:ascii="Times New Roman" w:cs="Times New Roman"/>
          <w:color w:val="000000" w:themeColor="text1"/>
          <w:spacing w:val="0"/>
        </w:rPr>
        <w:t xml:space="preserve">организовать для завода </w:t>
      </w:r>
      <w:r w:rsidR="0094264A" w:rsidRPr="00D03F3E">
        <w:rPr>
          <w:rFonts w:ascii="Times New Roman" w:cs="Times New Roman"/>
          <w:color w:val="000000" w:themeColor="text1"/>
          <w:spacing w:val="0"/>
        </w:rPr>
        <w:t>№</w:t>
      </w:r>
      <w:r w:rsidRPr="00D03F3E">
        <w:rPr>
          <w:rFonts w:ascii="Times New Roman" w:cs="Times New Roman"/>
          <w:color w:val="000000" w:themeColor="text1"/>
          <w:spacing w:val="0"/>
        </w:rPr>
        <w:t xml:space="preserve"> 29 </w:t>
      </w:r>
      <w:r w:rsidRPr="00D03F3E">
        <w:rPr>
          <w:rStyle w:val="16"/>
          <w:rFonts w:ascii="Times New Roman" w:cs="Times New Roman"/>
          <w:color w:val="000000" w:themeColor="text1"/>
          <w:spacing w:val="0"/>
          <w:u w:val="none"/>
        </w:rPr>
        <w:t>НКАП</w:t>
      </w:r>
      <w:r w:rsidRPr="00D03F3E">
        <w:rPr>
          <w:rFonts w:ascii="Times New Roman" w:cs="Times New Roman"/>
          <w:color w:val="000000" w:themeColor="text1"/>
          <w:spacing w:val="0"/>
        </w:rPr>
        <w:t xml:space="preserve"> в июле </w:t>
      </w:r>
      <w:r w:rsidRPr="00D03F3E">
        <w:rPr>
          <w:rStyle w:val="1pt"/>
          <w:rFonts w:ascii="Times New Roman" w:cs="Times New Roman"/>
          <w:color w:val="000000" w:themeColor="text1"/>
          <w:spacing w:val="0"/>
          <w:sz w:val="16"/>
          <w:szCs w:val="16"/>
        </w:rPr>
        <w:t xml:space="preserve">с.г. </w:t>
      </w:r>
      <w:r w:rsidRPr="00D03F3E">
        <w:rPr>
          <w:rFonts w:ascii="Times New Roman" w:cs="Times New Roman"/>
          <w:color w:val="000000" w:themeColor="text1"/>
          <w:spacing w:val="0"/>
        </w:rPr>
        <w:t xml:space="preserve">одну вертушку для перевозки формовочных песков и </w:t>
      </w:r>
      <w:r w:rsidRPr="00D03F3E">
        <w:rPr>
          <w:rStyle w:val="16"/>
          <w:rFonts w:ascii="Times New Roman" w:cs="Times New Roman"/>
          <w:color w:val="000000" w:themeColor="text1"/>
          <w:spacing w:val="0"/>
          <w:u w:val="none"/>
        </w:rPr>
        <w:t xml:space="preserve">леса </w:t>
      </w:r>
      <w:r w:rsidR="0094264A" w:rsidRPr="00D03F3E">
        <w:rPr>
          <w:rStyle w:val="16"/>
          <w:rFonts w:ascii="Times New Roman" w:cs="Times New Roman"/>
          <w:color w:val="000000" w:themeColor="text1"/>
          <w:spacing w:val="0"/>
          <w:u w:val="none"/>
        </w:rPr>
        <w:t xml:space="preserve"> </w:t>
      </w:r>
      <w:r w:rsidRPr="00D03F3E">
        <w:rPr>
          <w:rStyle w:val="16"/>
          <w:rFonts w:ascii="Times New Roman" w:cs="Times New Roman"/>
          <w:color w:val="000000" w:themeColor="text1"/>
          <w:spacing w:val="0"/>
          <w:u w:val="none"/>
        </w:rPr>
        <w:t xml:space="preserve">со </w:t>
      </w:r>
      <w:r w:rsidRPr="00D03F3E">
        <w:rPr>
          <w:rFonts w:ascii="Times New Roman" w:cs="Times New Roman"/>
          <w:color w:val="000000" w:themeColor="text1"/>
          <w:spacing w:val="0"/>
        </w:rPr>
        <w:t>ст.Зав одоуковка;</w:t>
      </w:r>
    </w:p>
    <w:p w14:paraId="680D79CC" w14:textId="77777777" w:rsidR="00BF0974" w:rsidRPr="00D03F3E" w:rsidRDefault="00BF0974" w:rsidP="00D03F3E">
      <w:pPr>
        <w:pStyle w:val="27"/>
        <w:shd w:val="clear" w:color="auto" w:fill="auto"/>
        <w:tabs>
          <w:tab w:val="left" w:pos="99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б)</w:t>
      </w:r>
      <w:r w:rsidR="0094264A" w:rsidRPr="00D03F3E">
        <w:rPr>
          <w:rFonts w:ascii="Times New Roman" w:cs="Times New Roman"/>
          <w:color w:val="000000" w:themeColor="text1"/>
          <w:spacing w:val="0"/>
        </w:rPr>
        <w:t xml:space="preserve"> </w:t>
      </w:r>
      <w:r w:rsidRPr="00D03F3E">
        <w:rPr>
          <w:rFonts w:ascii="Times New Roman" w:cs="Times New Roman"/>
          <w:color w:val="000000" w:themeColor="text1"/>
          <w:spacing w:val="0"/>
        </w:rPr>
        <w:t>передать заводу</w:t>
      </w:r>
      <w:r w:rsidR="0094264A" w:rsidRPr="00D03F3E">
        <w:rPr>
          <w:rFonts w:ascii="Times New Roman" w:cs="Times New Roman"/>
          <w:color w:val="000000" w:themeColor="text1"/>
          <w:spacing w:val="0"/>
        </w:rPr>
        <w:t xml:space="preserve"> №</w:t>
      </w:r>
      <w:r w:rsidRPr="00D03F3E">
        <w:rPr>
          <w:rStyle w:val="16"/>
          <w:rFonts w:ascii="Times New Roman" w:cs="Times New Roman"/>
          <w:color w:val="000000" w:themeColor="text1"/>
          <w:spacing w:val="0"/>
          <w:u w:val="none"/>
        </w:rPr>
        <w:t>.</w:t>
      </w:r>
      <w:r w:rsidRPr="00D03F3E">
        <w:rPr>
          <w:rFonts w:ascii="Times New Roman" w:cs="Times New Roman"/>
          <w:color w:val="000000" w:themeColor="text1"/>
          <w:spacing w:val="0"/>
        </w:rPr>
        <w:t xml:space="preserve"> </w:t>
      </w:r>
      <w:r w:rsidRPr="00D03F3E">
        <w:rPr>
          <w:rStyle w:val="16"/>
          <w:rFonts w:ascii="Times New Roman" w:cs="Times New Roman"/>
          <w:color w:val="000000" w:themeColor="text1"/>
          <w:spacing w:val="0"/>
          <w:u w:val="none"/>
        </w:rPr>
        <w:t>29</w:t>
      </w:r>
      <w:r w:rsidRPr="00D03F3E">
        <w:rPr>
          <w:rFonts w:ascii="Times New Roman" w:cs="Times New Roman"/>
          <w:color w:val="000000" w:themeColor="text1"/>
          <w:spacing w:val="0"/>
        </w:rPr>
        <w:t xml:space="preserve"> три у.елезнодоро :ных цистер</w:t>
      </w:r>
      <w:r w:rsidRPr="00D03F3E">
        <w:rPr>
          <w:rFonts w:ascii="Times New Roman" w:cs="Times New Roman"/>
          <w:color w:val="000000" w:themeColor="text1"/>
          <w:spacing w:val="0"/>
        </w:rPr>
        <w:softHyphen/>
        <w:t>ны для внутризаводских перевозок бензина.</w:t>
      </w:r>
    </w:p>
    <w:p w14:paraId="680687D6" w14:textId="77777777" w:rsidR="00BF0974" w:rsidRPr="00D03F3E" w:rsidRDefault="0094264A" w:rsidP="00D03F3E">
      <w:pPr>
        <w:pStyle w:val="27"/>
        <w:shd w:val="clear" w:color="auto" w:fill="auto"/>
        <w:tabs>
          <w:tab w:val="left" w:pos="1120"/>
        </w:tabs>
        <w:autoSpaceDE/>
        <w:autoSpaceDN/>
        <w:adjustRightInd/>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14. </w:t>
      </w:r>
      <w:r w:rsidR="00BF0974" w:rsidRPr="00D03F3E">
        <w:rPr>
          <w:rFonts w:ascii="Times New Roman" w:cs="Times New Roman"/>
          <w:color w:val="000000" w:themeColor="text1"/>
          <w:spacing w:val="0"/>
        </w:rPr>
        <w:t xml:space="preserve">Обязать </w:t>
      </w:r>
      <w:r w:rsidR="00BF0974" w:rsidRPr="00D03F3E">
        <w:rPr>
          <w:rStyle w:val="16"/>
          <w:rFonts w:ascii="Times New Roman" w:cs="Times New Roman"/>
          <w:color w:val="000000" w:themeColor="text1"/>
          <w:spacing w:val="0"/>
          <w:u w:val="none"/>
        </w:rPr>
        <w:t>Наркомре зинпр</w:t>
      </w:r>
      <w:r w:rsidR="00BF0974" w:rsidRPr="00D03F3E">
        <w:rPr>
          <w:rFonts w:ascii="Times New Roman" w:cs="Times New Roman"/>
          <w:color w:val="000000" w:themeColor="text1"/>
          <w:spacing w:val="0"/>
        </w:rPr>
        <w:t xml:space="preserve">ом - т.Митрохина поставить в июле </w:t>
      </w:r>
      <w:r w:rsidR="00BF0974" w:rsidRPr="00D03F3E">
        <w:rPr>
          <w:rStyle w:val="1pt"/>
          <w:rFonts w:ascii="Times New Roman" w:cs="Times New Roman"/>
          <w:color w:val="000000" w:themeColor="text1"/>
          <w:spacing w:val="0"/>
          <w:sz w:val="16"/>
          <w:szCs w:val="16"/>
        </w:rPr>
        <w:t>с.г.</w:t>
      </w:r>
      <w:r w:rsidR="00BF0974" w:rsidRPr="00D03F3E">
        <w:rPr>
          <w:rFonts w:ascii="Times New Roman" w:cs="Times New Roman"/>
          <w:color w:val="000000" w:themeColor="text1"/>
          <w:spacing w:val="0"/>
        </w:rPr>
        <w:t xml:space="preserve"> </w:t>
      </w:r>
      <w:r w:rsidR="00BF0974" w:rsidRPr="00D03F3E">
        <w:rPr>
          <w:rStyle w:val="16"/>
          <w:rFonts w:ascii="Times New Roman" w:cs="Times New Roman"/>
          <w:color w:val="000000" w:themeColor="text1"/>
          <w:spacing w:val="0"/>
          <w:u w:val="none"/>
        </w:rPr>
        <w:t xml:space="preserve">заводу </w:t>
      </w:r>
      <w:r w:rsidRPr="00D03F3E">
        <w:rPr>
          <w:rStyle w:val="16"/>
          <w:rFonts w:ascii="Times New Roman" w:cs="Times New Roman"/>
          <w:color w:val="000000" w:themeColor="text1"/>
          <w:spacing w:val="0"/>
          <w:u w:val="none"/>
        </w:rPr>
        <w:t xml:space="preserve">№ </w:t>
      </w:r>
      <w:r w:rsidR="00BF0974" w:rsidRPr="00D03F3E">
        <w:rPr>
          <w:rStyle w:val="16"/>
          <w:rFonts w:ascii="Times New Roman" w:cs="Times New Roman"/>
          <w:color w:val="000000" w:themeColor="text1"/>
          <w:spacing w:val="0"/>
          <w:u w:val="none"/>
        </w:rPr>
        <w:t xml:space="preserve"> 29 - 300</w:t>
      </w:r>
      <w:r w:rsidR="00BF0974" w:rsidRPr="00D03F3E">
        <w:rPr>
          <w:rFonts w:ascii="Times New Roman" w:cs="Times New Roman"/>
          <w:color w:val="000000" w:themeColor="text1"/>
          <w:spacing w:val="0"/>
        </w:rPr>
        <w:t xml:space="preserve"> комплектов авторезины, по специфи каци и НКАП.</w:t>
      </w:r>
    </w:p>
    <w:p w14:paraId="5D95F8D4" w14:textId="77777777" w:rsidR="00BF0974" w:rsidRPr="00D03F3E" w:rsidRDefault="0094264A" w:rsidP="00D03F3E">
      <w:pPr>
        <w:tabs>
          <w:tab w:val="left" w:pos="111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15. </w:t>
      </w:r>
      <w:r w:rsidR="00BF0974" w:rsidRPr="00D03F3E">
        <w:rPr>
          <w:rFonts w:ascii="Times New Roman" w:hAnsi="Times New Roman"/>
          <w:color w:val="000000" w:themeColor="text1"/>
          <w:sz w:val="16"/>
          <w:szCs w:val="16"/>
        </w:rPr>
        <w:t>Обязать Наркомречфлот - т.Шашкова передать</w:t>
      </w:r>
      <w:r w:rsidRPr="00D03F3E">
        <w:rPr>
          <w:rFonts w:ascii="Times New Roman" w:hAnsi="Times New Roman"/>
          <w:color w:val="000000" w:themeColor="text1"/>
          <w:sz w:val="16"/>
          <w:szCs w:val="16"/>
        </w:rPr>
        <w:t xml:space="preserve"> в</w:t>
      </w:r>
      <w:r w:rsidR="00BF0974" w:rsidRPr="00D03F3E">
        <w:rPr>
          <w:rStyle w:val="8pt0pt"/>
          <w:rFonts w:ascii="Times New Roman" w:hAnsi="Times New Roman" w:cs="Times New Roman"/>
          <w:color w:val="000000" w:themeColor="text1"/>
          <w:spacing w:val="0"/>
        </w:rPr>
        <w:t xml:space="preserve"> </w:t>
      </w:r>
      <w:r w:rsidR="00BF0974" w:rsidRPr="00D03F3E">
        <w:rPr>
          <w:rFonts w:ascii="Times New Roman" w:hAnsi="Times New Roman"/>
          <w:color w:val="000000" w:themeColor="text1"/>
          <w:sz w:val="16"/>
          <w:szCs w:val="16"/>
        </w:rPr>
        <w:t xml:space="preserve">июне-июле с. г. заводу </w:t>
      </w:r>
      <w:r w:rsidRPr="00D03F3E">
        <w:rPr>
          <w:rFonts w:ascii="Times New Roman" w:hAnsi="Times New Roman"/>
          <w:color w:val="000000" w:themeColor="text1"/>
          <w:sz w:val="16"/>
          <w:szCs w:val="16"/>
        </w:rPr>
        <w:t>№</w:t>
      </w:r>
      <w:r w:rsidR="00BF0974" w:rsidRPr="00D03F3E">
        <w:rPr>
          <w:rFonts w:ascii="Times New Roman" w:hAnsi="Times New Roman"/>
          <w:color w:val="000000" w:themeColor="text1"/>
          <w:sz w:val="16"/>
          <w:szCs w:val="16"/>
        </w:rPr>
        <w:t xml:space="preserve"> 29 один буксирн</w:t>
      </w:r>
      <w:r w:rsidRPr="00D03F3E">
        <w:rPr>
          <w:rFonts w:ascii="Times New Roman" w:hAnsi="Times New Roman"/>
          <w:color w:val="000000" w:themeColor="text1"/>
          <w:sz w:val="16"/>
          <w:szCs w:val="16"/>
        </w:rPr>
        <w:t>ы</w:t>
      </w:r>
      <w:r w:rsidR="00BF0974" w:rsidRPr="00D03F3E">
        <w:rPr>
          <w:rFonts w:ascii="Times New Roman" w:hAnsi="Times New Roman"/>
          <w:color w:val="000000" w:themeColor="text1"/>
          <w:sz w:val="16"/>
          <w:szCs w:val="16"/>
        </w:rPr>
        <w:t>й парсход с двигателем 200-300 л.</w:t>
      </w:r>
      <w:r w:rsidRPr="00D03F3E">
        <w:rPr>
          <w:rFonts w:ascii="Times New Roman" w:hAnsi="Times New Roman"/>
          <w:color w:val="000000" w:themeColor="text1"/>
          <w:sz w:val="16"/>
          <w:szCs w:val="16"/>
        </w:rPr>
        <w:t>с</w:t>
      </w:r>
      <w:r w:rsidR="00BF0974"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rPr>
        <w:t xml:space="preserve"> и 3</w:t>
      </w:r>
      <w:r w:rsidR="00BF0974" w:rsidRPr="00D03F3E">
        <w:rPr>
          <w:rFonts w:ascii="Times New Roman" w:hAnsi="Times New Roman"/>
          <w:color w:val="000000" w:themeColor="text1"/>
          <w:sz w:val="16"/>
          <w:szCs w:val="16"/>
        </w:rPr>
        <w:t xml:space="preserve"> бар</w:t>
      </w:r>
      <w:r w:rsidRPr="00D03F3E">
        <w:rPr>
          <w:rFonts w:ascii="Times New Roman" w:hAnsi="Times New Roman"/>
          <w:color w:val="000000" w:themeColor="text1"/>
          <w:sz w:val="16"/>
          <w:szCs w:val="16"/>
        </w:rPr>
        <w:t>ж</w:t>
      </w:r>
      <w:r w:rsidR="00BF0974" w:rsidRPr="00D03F3E">
        <w:rPr>
          <w:rFonts w:ascii="Times New Roman" w:hAnsi="Times New Roman"/>
          <w:color w:val="000000" w:themeColor="text1"/>
          <w:sz w:val="16"/>
          <w:szCs w:val="16"/>
        </w:rPr>
        <w:t>и грузоподъемностью 400-500 тонн.</w:t>
      </w:r>
    </w:p>
    <w:p w14:paraId="5D77BFEB" w14:textId="77777777" w:rsidR="00BF0974" w:rsidRPr="00D03F3E" w:rsidRDefault="0094264A" w:rsidP="00D03F3E">
      <w:pPr>
        <w:tabs>
          <w:tab w:val="left" w:pos="110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xml:space="preserve">16. </w:t>
      </w:r>
      <w:r w:rsidR="00BF0974" w:rsidRPr="00D03F3E">
        <w:rPr>
          <w:rFonts w:ascii="Times New Roman" w:hAnsi="Times New Roman"/>
          <w:color w:val="000000" w:themeColor="text1"/>
          <w:sz w:val="16"/>
          <w:szCs w:val="16"/>
        </w:rPr>
        <w:t>Обязать Наркотекстиль - т.Акимова отпустить</w:t>
      </w:r>
      <w:r w:rsidRPr="00D03F3E">
        <w:rPr>
          <w:rFonts w:ascii="Times New Roman" w:hAnsi="Times New Roman"/>
          <w:color w:val="000000" w:themeColor="text1"/>
          <w:sz w:val="16"/>
          <w:szCs w:val="16"/>
        </w:rPr>
        <w:t xml:space="preserve"> </w:t>
      </w:r>
      <w:r w:rsidR="00BF0974" w:rsidRPr="00D03F3E">
        <w:rPr>
          <w:rFonts w:ascii="Times New Roman" w:hAnsi="Times New Roman"/>
          <w:color w:val="000000" w:themeColor="text1"/>
          <w:sz w:val="16"/>
          <w:szCs w:val="16"/>
        </w:rPr>
        <w:t>в июле с.г. за счет переходящих остатков промышленности П квартала с.г. заводу 29: одеял 3 тыс.штук, хлопчато</w:t>
      </w:r>
      <w:r w:rsidR="00BF0974" w:rsidRPr="00D03F3E">
        <w:rPr>
          <w:rFonts w:ascii="Times New Roman" w:hAnsi="Times New Roman"/>
          <w:color w:val="000000" w:themeColor="text1"/>
          <w:sz w:val="16"/>
          <w:szCs w:val="16"/>
        </w:rPr>
        <w:softHyphen/>
        <w:t>бумажной ткани для матрацев и наволочек 60 тыс.метров и для пошивки белья и одезды рабочим 60 тыс.метров; тре</w:t>
      </w:r>
      <w:r w:rsidR="00BF0974" w:rsidRPr="00D03F3E">
        <w:rPr>
          <w:rFonts w:ascii="Times New Roman" w:hAnsi="Times New Roman"/>
          <w:color w:val="000000" w:themeColor="text1"/>
          <w:sz w:val="16"/>
          <w:szCs w:val="16"/>
        </w:rPr>
        <w:softHyphen/>
        <w:t xml:space="preserve">сту 2 </w:t>
      </w:r>
      <w:r w:rsidR="00BF0974" w:rsidRPr="00D03F3E">
        <w:rPr>
          <w:rStyle w:val="-1pt"/>
          <w:rFonts w:ascii="Times New Roman" w:hAnsi="Times New Roman" w:cs="Times New Roman"/>
          <w:color w:val="000000" w:themeColor="text1"/>
          <w:spacing w:val="0"/>
          <w:sz w:val="16"/>
          <w:szCs w:val="16"/>
        </w:rPr>
        <w:t>НКАП -</w:t>
      </w:r>
      <w:r w:rsidR="00BF0974" w:rsidRPr="00D03F3E">
        <w:rPr>
          <w:rFonts w:ascii="Times New Roman" w:hAnsi="Times New Roman"/>
          <w:color w:val="000000" w:themeColor="text1"/>
          <w:sz w:val="16"/>
          <w:szCs w:val="16"/>
        </w:rPr>
        <w:t xml:space="preserve"> 20 тыс.метров хлопчатобумажной ткани для п</w:t>
      </w:r>
      <w:r w:rsidR="00BF0974" w:rsidRPr="00D03F3E">
        <w:rPr>
          <w:rStyle w:val="8pt0pt"/>
          <w:rFonts w:ascii="Times New Roman" w:hAnsi="Times New Roman" w:cs="Times New Roman"/>
          <w:color w:val="000000" w:themeColor="text1"/>
          <w:spacing w:val="0"/>
        </w:rPr>
        <w:t>ошибки</w:t>
      </w:r>
      <w:r w:rsidR="00BF0974" w:rsidRPr="00D03F3E">
        <w:rPr>
          <w:rFonts w:ascii="Times New Roman" w:hAnsi="Times New Roman"/>
          <w:color w:val="000000" w:themeColor="text1"/>
          <w:sz w:val="16"/>
          <w:szCs w:val="16"/>
        </w:rPr>
        <w:t xml:space="preserve"> белья и одежды рабочим</w:t>
      </w:r>
      <w:r w:rsidRPr="00D03F3E">
        <w:rPr>
          <w:rFonts w:ascii="Times New Roman" w:hAnsi="Times New Roman"/>
          <w:color w:val="000000" w:themeColor="text1"/>
          <w:sz w:val="16"/>
          <w:szCs w:val="16"/>
        </w:rPr>
        <w:t>.</w:t>
      </w:r>
    </w:p>
    <w:p w14:paraId="560A9195" w14:textId="77777777" w:rsidR="00BF0974" w:rsidRPr="00D03F3E" w:rsidRDefault="0094264A" w:rsidP="00D03F3E">
      <w:pPr>
        <w:tabs>
          <w:tab w:val="left" w:pos="111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17. </w:t>
      </w:r>
      <w:r w:rsidR="00BF0974" w:rsidRPr="00D03F3E">
        <w:rPr>
          <w:rFonts w:ascii="Times New Roman" w:hAnsi="Times New Roman"/>
          <w:color w:val="000000" w:themeColor="text1"/>
          <w:sz w:val="16"/>
          <w:szCs w:val="16"/>
        </w:rPr>
        <w:t>Обязать Наркомлегпроы - т.Лукина отпустить в июне с.г. за счет переходящих остатков промышленности</w:t>
      </w:r>
      <w:r w:rsidRPr="00D03F3E">
        <w:rPr>
          <w:rFonts w:ascii="Times New Roman" w:hAnsi="Times New Roman"/>
          <w:color w:val="000000" w:themeColor="text1"/>
          <w:sz w:val="16"/>
          <w:szCs w:val="16"/>
        </w:rPr>
        <w:t xml:space="preserve"> </w:t>
      </w:r>
      <w:r w:rsidR="00BF0974" w:rsidRPr="00D03F3E">
        <w:rPr>
          <w:rFonts w:ascii="Times New Roman" w:hAnsi="Times New Roman"/>
          <w:color w:val="000000" w:themeColor="text1"/>
          <w:sz w:val="16"/>
          <w:szCs w:val="16"/>
        </w:rPr>
        <w:t xml:space="preserve">П квартала: рабочей обуви заводу </w:t>
      </w:r>
      <w:r w:rsidRPr="00D03F3E">
        <w:rPr>
          <w:rFonts w:ascii="Times New Roman" w:hAnsi="Times New Roman"/>
          <w:color w:val="000000" w:themeColor="text1"/>
          <w:sz w:val="16"/>
          <w:szCs w:val="16"/>
        </w:rPr>
        <w:t>№</w:t>
      </w:r>
      <w:r w:rsidR="00BF0974" w:rsidRPr="00D03F3E">
        <w:rPr>
          <w:rFonts w:ascii="Times New Roman" w:hAnsi="Times New Roman"/>
          <w:color w:val="000000" w:themeColor="text1"/>
          <w:sz w:val="16"/>
          <w:szCs w:val="16"/>
        </w:rPr>
        <w:t xml:space="preserve"> </w:t>
      </w:r>
      <w:r w:rsidR="00BF0974" w:rsidRPr="00D03F3E">
        <w:rPr>
          <w:rStyle w:val="3pt"/>
          <w:rFonts w:ascii="Times New Roman" w:hAnsi="Times New Roman" w:cs="Times New Roman"/>
          <w:color w:val="000000" w:themeColor="text1"/>
          <w:spacing w:val="0"/>
          <w:sz w:val="16"/>
          <w:szCs w:val="16"/>
        </w:rPr>
        <w:t>29-8</w:t>
      </w:r>
      <w:r w:rsidR="00BF0974" w:rsidRPr="00D03F3E">
        <w:rPr>
          <w:rFonts w:ascii="Times New Roman" w:hAnsi="Times New Roman"/>
          <w:color w:val="000000" w:themeColor="text1"/>
          <w:sz w:val="16"/>
          <w:szCs w:val="16"/>
        </w:rPr>
        <w:t xml:space="preserve"> т</w:t>
      </w:r>
      <w:r w:rsidRPr="00D03F3E">
        <w:rPr>
          <w:rFonts w:ascii="Times New Roman" w:hAnsi="Times New Roman"/>
          <w:color w:val="000000" w:themeColor="text1"/>
          <w:sz w:val="16"/>
          <w:szCs w:val="16"/>
        </w:rPr>
        <w:t>ы</w:t>
      </w:r>
      <w:r w:rsidR="00BF0974" w:rsidRPr="00D03F3E">
        <w:rPr>
          <w:rFonts w:ascii="Times New Roman" w:hAnsi="Times New Roman"/>
          <w:color w:val="000000" w:themeColor="text1"/>
          <w:sz w:val="16"/>
          <w:szCs w:val="16"/>
        </w:rPr>
        <w:t>с.пар; тре</w:t>
      </w:r>
      <w:r w:rsidR="00BF0974" w:rsidRPr="00D03F3E">
        <w:rPr>
          <w:rFonts w:ascii="Times New Roman" w:hAnsi="Times New Roman"/>
          <w:color w:val="000000" w:themeColor="text1"/>
          <w:sz w:val="16"/>
          <w:szCs w:val="16"/>
        </w:rPr>
        <w:softHyphen/>
        <w:t xml:space="preserve">сту 2 </w:t>
      </w:r>
      <w:r w:rsidR="00BF0974" w:rsidRPr="00D03F3E">
        <w:rPr>
          <w:rStyle w:val="-1pt"/>
          <w:rFonts w:ascii="Times New Roman" w:hAnsi="Times New Roman" w:cs="Times New Roman"/>
          <w:color w:val="000000" w:themeColor="text1"/>
          <w:spacing w:val="0"/>
          <w:sz w:val="16"/>
          <w:szCs w:val="16"/>
        </w:rPr>
        <w:t>НКАП -</w:t>
      </w:r>
      <w:r w:rsidR="00BF0974" w:rsidRPr="00D03F3E">
        <w:rPr>
          <w:rStyle w:val="TrebuchetMS10pt"/>
          <w:rFonts w:ascii="Times New Roman" w:hAnsi="Times New Roman" w:cs="Times New Roman"/>
          <w:color w:val="000000" w:themeColor="text1"/>
          <w:sz w:val="16"/>
          <w:szCs w:val="16"/>
        </w:rPr>
        <w:t xml:space="preserve"> 2</w:t>
      </w:r>
      <w:r w:rsidR="00BF0974" w:rsidRPr="00D03F3E">
        <w:rPr>
          <w:rFonts w:ascii="Times New Roman" w:hAnsi="Times New Roman"/>
          <w:color w:val="000000" w:themeColor="text1"/>
          <w:sz w:val="16"/>
          <w:szCs w:val="16"/>
        </w:rPr>
        <w:t xml:space="preserve"> тыс.пар.</w:t>
      </w:r>
    </w:p>
    <w:p w14:paraId="6E7FDA97" w14:textId="77777777" w:rsidR="00BF0974" w:rsidRPr="00D03F3E" w:rsidRDefault="0094264A" w:rsidP="00D03F3E">
      <w:pPr>
        <w:tabs>
          <w:tab w:val="left" w:pos="112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18. </w:t>
      </w:r>
      <w:r w:rsidR="00BF0974" w:rsidRPr="00D03F3E">
        <w:rPr>
          <w:rFonts w:ascii="Times New Roman" w:hAnsi="Times New Roman"/>
          <w:color w:val="000000" w:themeColor="text1"/>
          <w:sz w:val="16"/>
          <w:szCs w:val="16"/>
        </w:rPr>
        <w:t xml:space="preserve">Обязать Наркомпищепром - т.Пронина отпустить, заводу </w:t>
      </w:r>
      <w:r w:rsidRPr="00D03F3E">
        <w:rPr>
          <w:rFonts w:ascii="Times New Roman" w:hAnsi="Times New Roman"/>
          <w:color w:val="000000" w:themeColor="text1"/>
          <w:sz w:val="16"/>
          <w:szCs w:val="16"/>
        </w:rPr>
        <w:t>№</w:t>
      </w:r>
      <w:r w:rsidR="00BF0974" w:rsidRPr="00D03F3E">
        <w:rPr>
          <w:rFonts w:ascii="Times New Roman" w:hAnsi="Times New Roman"/>
          <w:color w:val="000000" w:themeColor="text1"/>
          <w:sz w:val="16"/>
          <w:szCs w:val="16"/>
        </w:rPr>
        <w:t xml:space="preserve"> 29 в июле с.г. мыла хозяйственного 50 тонн, мыла туалетного на 100 тыс.рублей и табачных изделий - 3 тонны; тресту </w:t>
      </w:r>
      <w:r w:rsidRPr="00D03F3E">
        <w:rPr>
          <w:rFonts w:ascii="Times New Roman" w:hAnsi="Times New Roman"/>
          <w:color w:val="000000" w:themeColor="text1"/>
          <w:sz w:val="16"/>
          <w:szCs w:val="16"/>
        </w:rPr>
        <w:t>№</w:t>
      </w:r>
      <w:r w:rsidR="00BF0974" w:rsidRPr="00D03F3E">
        <w:rPr>
          <w:rFonts w:ascii="Times New Roman" w:hAnsi="Times New Roman"/>
          <w:color w:val="000000" w:themeColor="text1"/>
          <w:sz w:val="16"/>
          <w:szCs w:val="16"/>
        </w:rPr>
        <w:t xml:space="preserve"> 2 НКАП - 2 тонны табачных изделий.</w:t>
      </w:r>
    </w:p>
    <w:p w14:paraId="39F1CE6A" w14:textId="77777777" w:rsidR="00BF0974" w:rsidRPr="00D03F3E" w:rsidRDefault="0094264A" w:rsidP="00D03F3E">
      <w:pPr>
        <w:tabs>
          <w:tab w:val="left" w:pos="111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19. </w:t>
      </w:r>
      <w:r w:rsidR="00BF0974" w:rsidRPr="00D03F3E">
        <w:rPr>
          <w:rFonts w:ascii="Times New Roman" w:hAnsi="Times New Roman"/>
          <w:color w:val="000000" w:themeColor="text1"/>
          <w:sz w:val="16"/>
          <w:szCs w:val="16"/>
        </w:rPr>
        <w:t>Разрешить Наркоиавиапрому - т</w:t>
      </w:r>
      <w:r w:rsidRPr="00D03F3E">
        <w:rPr>
          <w:rFonts w:ascii="Times New Roman" w:hAnsi="Times New Roman"/>
          <w:color w:val="000000" w:themeColor="text1"/>
          <w:sz w:val="16"/>
          <w:szCs w:val="16"/>
        </w:rPr>
        <w:t>Ш</w:t>
      </w:r>
      <w:r w:rsidR="00BF0974" w:rsidRPr="00D03F3E">
        <w:rPr>
          <w:rFonts w:ascii="Times New Roman" w:hAnsi="Times New Roman"/>
          <w:color w:val="000000" w:themeColor="text1"/>
          <w:sz w:val="16"/>
          <w:szCs w:val="16"/>
        </w:rPr>
        <w:t>ахурину организо</w:t>
      </w:r>
      <w:r w:rsidR="00BF0974" w:rsidRPr="00D03F3E">
        <w:rPr>
          <w:rFonts w:ascii="Times New Roman" w:hAnsi="Times New Roman"/>
          <w:color w:val="000000" w:themeColor="text1"/>
          <w:sz w:val="16"/>
          <w:szCs w:val="16"/>
        </w:rPr>
        <w:softHyphen/>
        <w:t xml:space="preserve">вать на заводе </w:t>
      </w:r>
      <w:r w:rsidRPr="00D03F3E">
        <w:rPr>
          <w:rFonts w:ascii="Times New Roman" w:hAnsi="Times New Roman"/>
          <w:color w:val="000000" w:themeColor="text1"/>
          <w:sz w:val="16"/>
          <w:szCs w:val="16"/>
        </w:rPr>
        <w:t>№</w:t>
      </w:r>
      <w:r w:rsidR="00BF0974" w:rsidRPr="00D03F3E">
        <w:rPr>
          <w:rFonts w:ascii="Times New Roman" w:hAnsi="Times New Roman"/>
          <w:color w:val="000000" w:themeColor="text1"/>
          <w:sz w:val="16"/>
          <w:szCs w:val="16"/>
        </w:rPr>
        <w:t xml:space="preserve"> 29 дополнительно второе горячее питание рабочим на 5.000 человек и для руководящих работников и ИТР завода выдачу 150 пайков по нормам особого списка.</w:t>
      </w:r>
    </w:p>
    <w:p w14:paraId="0C888038" w14:textId="77777777" w:rsidR="00BF0974" w:rsidRPr="00D03F3E" w:rsidRDefault="00BF097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Наркомторгу - т.Любимову выделить заводу № 29 НКАП для этого дополнительные фондк продовольствия и разре</w:t>
      </w:r>
      <w:r w:rsidRPr="00D03F3E">
        <w:rPr>
          <w:rFonts w:ascii="Times New Roman" w:hAnsi="Times New Roman"/>
          <w:color w:val="000000" w:themeColor="text1"/>
          <w:sz w:val="16"/>
          <w:szCs w:val="16"/>
        </w:rPr>
        <w:softHyphen/>
        <w:t>шить дополнительно продавать заводу 700 кгр. хлеба в день по повышенной цене.</w:t>
      </w:r>
    </w:p>
    <w:p w14:paraId="6BAB914C" w14:textId="77777777" w:rsidR="00BF0974" w:rsidRPr="00D03F3E" w:rsidRDefault="0094264A" w:rsidP="00D03F3E">
      <w:pPr>
        <w:tabs>
          <w:tab w:val="left" w:pos="110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20. </w:t>
      </w:r>
      <w:r w:rsidR="00BF0974" w:rsidRPr="00D03F3E">
        <w:rPr>
          <w:rFonts w:ascii="Times New Roman" w:hAnsi="Times New Roman"/>
          <w:color w:val="000000" w:themeColor="text1"/>
          <w:sz w:val="16"/>
          <w:szCs w:val="16"/>
        </w:rPr>
        <w:t>Разрешить Наркомавиапрому передать заводу 29 из выпуска июня месяца с.г. - 1 самолет Ли-2 и 1 самолет У-2.</w:t>
      </w:r>
    </w:p>
    <w:p w14:paraId="2FF21037" w14:textId="77777777" w:rsidR="00BF0974" w:rsidRPr="00D03F3E" w:rsidRDefault="00BF097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21. Обязать Наркомфин - т. </w:t>
      </w:r>
      <w:r w:rsidR="0094264A" w:rsidRPr="00D03F3E">
        <w:rPr>
          <w:rFonts w:ascii="Times New Roman" w:hAnsi="Times New Roman"/>
          <w:color w:val="000000" w:themeColor="text1"/>
          <w:sz w:val="16"/>
          <w:szCs w:val="16"/>
        </w:rPr>
        <w:t>Зверева выделитт</w:t>
      </w:r>
      <w:r w:rsidRPr="00D03F3E">
        <w:rPr>
          <w:rFonts w:ascii="Times New Roman" w:hAnsi="Times New Roman"/>
          <w:color w:val="000000" w:themeColor="text1"/>
          <w:sz w:val="16"/>
          <w:szCs w:val="16"/>
        </w:rPr>
        <w:t xml:space="preserve"> </w:t>
      </w:r>
      <w:r w:rsidR="0094264A" w:rsidRPr="00D03F3E">
        <w:rPr>
          <w:rFonts w:ascii="Times New Roman" w:hAnsi="Times New Roman"/>
          <w:color w:val="000000" w:themeColor="text1"/>
          <w:sz w:val="16"/>
          <w:szCs w:val="16"/>
        </w:rPr>
        <w:t>Н</w:t>
      </w:r>
      <w:r w:rsidRPr="00D03F3E">
        <w:rPr>
          <w:rFonts w:ascii="Times New Roman" w:hAnsi="Times New Roman"/>
          <w:color w:val="000000" w:themeColor="text1"/>
          <w:sz w:val="16"/>
          <w:szCs w:val="16"/>
        </w:rPr>
        <w:t>ар</w:t>
      </w:r>
      <w:r w:rsidR="0094264A" w:rsidRPr="00D03F3E">
        <w:rPr>
          <w:rFonts w:ascii="Times New Roman" w:hAnsi="Times New Roman"/>
          <w:color w:val="000000" w:themeColor="text1"/>
          <w:sz w:val="16"/>
          <w:szCs w:val="16"/>
        </w:rPr>
        <w:t>к</w:t>
      </w:r>
      <w:r w:rsidRPr="00D03F3E">
        <w:rPr>
          <w:rFonts w:ascii="Times New Roman" w:hAnsi="Times New Roman"/>
          <w:color w:val="000000" w:themeColor="text1"/>
          <w:sz w:val="16"/>
          <w:szCs w:val="16"/>
        </w:rPr>
        <w:t>о</w:t>
      </w:r>
      <w:r w:rsidR="0094264A" w:rsidRPr="00D03F3E">
        <w:rPr>
          <w:rFonts w:ascii="Times New Roman" w:hAnsi="Times New Roman"/>
          <w:color w:val="000000" w:themeColor="text1"/>
          <w:sz w:val="16"/>
          <w:szCs w:val="16"/>
        </w:rPr>
        <w:t>м</w:t>
      </w:r>
      <w:r w:rsidRPr="00D03F3E">
        <w:rPr>
          <w:rFonts w:ascii="Times New Roman" w:hAnsi="Times New Roman"/>
          <w:color w:val="000000" w:themeColor="text1"/>
          <w:sz w:val="16"/>
          <w:szCs w:val="16"/>
        </w:rPr>
        <w:t xml:space="preserve">авиапрому из резервного фонда СНК </w:t>
      </w:r>
      <w:r w:rsidRPr="00D03F3E">
        <w:rPr>
          <w:rFonts w:ascii="Times New Roman" w:hAnsi="Times New Roman"/>
          <w:color w:val="000000" w:themeColor="text1"/>
          <w:sz w:val="16"/>
          <w:szCs w:val="16"/>
          <w:lang w:val="en-US"/>
        </w:rPr>
        <w:t>CCCP</w:t>
      </w:r>
      <w:r w:rsidR="0094264A" w:rsidRPr="00D03F3E">
        <w:rPr>
          <w:rFonts w:ascii="Times New Roman" w:hAnsi="Times New Roman"/>
          <w:color w:val="000000" w:themeColor="text1"/>
          <w:sz w:val="16"/>
          <w:szCs w:val="16"/>
        </w:rPr>
        <w:t xml:space="preserve"> 10</w:t>
      </w:r>
      <w:r w:rsidRPr="00D03F3E">
        <w:rPr>
          <w:rFonts w:ascii="Times New Roman" w:hAnsi="Times New Roman"/>
          <w:color w:val="000000" w:themeColor="text1"/>
          <w:sz w:val="16"/>
          <w:szCs w:val="16"/>
        </w:rPr>
        <w:t xml:space="preserve"> млн.рублей для завода </w:t>
      </w:r>
      <w:r w:rsidR="0094264A" w:rsidRPr="00D03F3E">
        <w:rPr>
          <w:rFonts w:ascii="Times New Roman" w:hAnsi="Times New Roman"/>
          <w:color w:val="000000" w:themeColor="text1"/>
          <w:sz w:val="16"/>
          <w:szCs w:val="16"/>
        </w:rPr>
        <w:t>№ 39</w:t>
      </w:r>
      <w:r w:rsidRPr="00D03F3E">
        <w:rPr>
          <w:rFonts w:ascii="Times New Roman" w:hAnsi="Times New Roman"/>
          <w:color w:val="000000" w:themeColor="text1"/>
          <w:sz w:val="16"/>
          <w:szCs w:val="16"/>
        </w:rPr>
        <w:t xml:space="preserve"> НКАП на постановку производства моторов </w:t>
      </w:r>
      <w:r w:rsidR="0094264A" w:rsidRPr="00D03F3E">
        <w:rPr>
          <w:rFonts w:ascii="Times New Roman" w:hAnsi="Times New Roman"/>
          <w:color w:val="000000" w:themeColor="text1"/>
          <w:sz w:val="16"/>
          <w:szCs w:val="16"/>
        </w:rPr>
        <w:t>Ф</w:t>
      </w:r>
      <w:r w:rsidRPr="00D03F3E">
        <w:rPr>
          <w:rFonts w:ascii="Times New Roman" w:hAnsi="Times New Roman"/>
          <w:color w:val="000000" w:themeColor="text1"/>
          <w:sz w:val="16"/>
          <w:szCs w:val="16"/>
        </w:rPr>
        <w:t>-</w:t>
      </w:r>
      <w:r w:rsidR="0094264A" w:rsidRPr="00D03F3E">
        <w:rPr>
          <w:rFonts w:ascii="Times New Roman" w:hAnsi="Times New Roman"/>
          <w:color w:val="000000" w:themeColor="text1"/>
          <w:sz w:val="16"/>
          <w:szCs w:val="16"/>
        </w:rPr>
        <w:t>82ФН</w:t>
      </w:r>
      <w:r w:rsidRPr="00D03F3E">
        <w:rPr>
          <w:rFonts w:ascii="Times New Roman" w:hAnsi="Times New Roman"/>
          <w:color w:val="000000" w:themeColor="text1"/>
          <w:sz w:val="16"/>
          <w:szCs w:val="16"/>
        </w:rPr>
        <w:t xml:space="preserve"> без отнесения этих расходов на себестоимость, в том числе 1 млн.рублей для премирования рабочих, ИТ</w:t>
      </w:r>
      <w:r w:rsidR="0094264A" w:rsidRPr="00D03F3E">
        <w:rPr>
          <w:rFonts w:ascii="Times New Roman" w:hAnsi="Times New Roman"/>
          <w:color w:val="000000" w:themeColor="text1"/>
          <w:sz w:val="16"/>
          <w:szCs w:val="16"/>
        </w:rPr>
        <w:t>Р</w:t>
      </w:r>
      <w:r w:rsidRPr="00D03F3E">
        <w:rPr>
          <w:rFonts w:ascii="Times New Roman" w:hAnsi="Times New Roman"/>
          <w:color w:val="000000" w:themeColor="text1"/>
          <w:sz w:val="16"/>
          <w:szCs w:val="16"/>
        </w:rPr>
        <w:t xml:space="preserve"> и служащих, особо отличизшихся</w:t>
      </w:r>
      <w:r w:rsidRPr="00D03F3E">
        <w:rPr>
          <w:rStyle w:val="16"/>
          <w:rFonts w:ascii="Times New Roman" w:hAnsi="Times New Roman" w:cs="Times New Roman"/>
          <w:color w:val="000000" w:themeColor="text1"/>
          <w:spacing w:val="0"/>
          <w:u w:val="none"/>
        </w:rPr>
        <w:t xml:space="preserve"> в</w:t>
      </w:r>
      <w:r w:rsidRPr="00D03F3E">
        <w:rPr>
          <w:rFonts w:ascii="Times New Roman" w:hAnsi="Times New Roman"/>
          <w:color w:val="000000" w:themeColor="text1"/>
          <w:sz w:val="16"/>
          <w:szCs w:val="16"/>
        </w:rPr>
        <w:t xml:space="preserve"> освоении производства </w:t>
      </w:r>
      <w:r w:rsidRPr="00D03F3E">
        <w:rPr>
          <w:rStyle w:val="105pt0pt0"/>
          <w:rFonts w:ascii="Times New Roman" w:hAnsi="Times New Roman" w:cs="Times New Roman"/>
          <w:color w:val="000000" w:themeColor="text1"/>
          <w:spacing w:val="0"/>
          <w:sz w:val="16"/>
          <w:szCs w:val="16"/>
        </w:rPr>
        <w:t>М-82</w:t>
      </w:r>
      <w:r w:rsidR="00D84C68" w:rsidRPr="00D03F3E">
        <w:rPr>
          <w:rStyle w:val="105pt0pt0"/>
          <w:rFonts w:ascii="Times New Roman" w:hAnsi="Times New Roman" w:cs="Times New Roman"/>
          <w:color w:val="000000" w:themeColor="text1"/>
          <w:spacing w:val="0"/>
          <w:sz w:val="16"/>
          <w:szCs w:val="16"/>
        </w:rPr>
        <w:t xml:space="preserve">ФН </w:t>
      </w:r>
      <w:r w:rsidRPr="00D03F3E">
        <w:rPr>
          <w:rFonts w:ascii="Times New Roman" w:hAnsi="Times New Roman"/>
          <w:color w:val="000000" w:themeColor="text1"/>
          <w:sz w:val="16"/>
          <w:szCs w:val="16"/>
        </w:rPr>
        <w:t>(19407).</w:t>
      </w:r>
    </w:p>
    <w:p w14:paraId="7464CE57" w14:textId="77777777" w:rsidR="00BF0974" w:rsidRPr="00D03F3E" w:rsidRDefault="00BF0974" w:rsidP="00D03F3E">
      <w:pPr>
        <w:spacing w:after="0" w:line="240" w:lineRule="auto"/>
        <w:jc w:val="both"/>
        <w:rPr>
          <w:rFonts w:ascii="Times New Roman" w:hAnsi="Times New Roman"/>
          <w:color w:val="000000" w:themeColor="text1"/>
          <w:sz w:val="16"/>
          <w:szCs w:val="16"/>
        </w:rPr>
      </w:pPr>
    </w:p>
    <w:p w14:paraId="5A4CE0EE"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 г. Поста</w:t>
      </w:r>
      <w:r w:rsidRPr="00D03F3E">
        <w:rPr>
          <w:rFonts w:ascii="Times New Roman" w:hAnsi="Times New Roman"/>
          <w:color w:val="000000" w:themeColor="text1"/>
          <w:sz w:val="16"/>
          <w:szCs w:val="16"/>
        </w:rPr>
        <w:softHyphen/>
        <w:t xml:space="preserve">новление ГКО № 3586 «Об увеличении выпуска авиамоторов М-82ФН и насосов непосредственного впрыска НБЗ-У» обязывало завод № 19 довести выпуск моторов М-82ФН к концу </w:t>
      </w:r>
      <w:r w:rsidRPr="00D03F3E">
        <w:rPr>
          <w:rFonts w:ascii="Times New Roman" w:hAnsi="Times New Roman"/>
          <w:color w:val="000000" w:themeColor="text1"/>
          <w:sz w:val="16"/>
          <w:szCs w:val="16"/>
          <w:lang w:val="en-US"/>
        </w:rPr>
        <w:t>III</w:t>
      </w:r>
      <w:r w:rsidRPr="00D03F3E">
        <w:rPr>
          <w:rFonts w:ascii="Times New Roman" w:hAnsi="Times New Roman"/>
          <w:color w:val="000000" w:themeColor="text1"/>
          <w:sz w:val="16"/>
          <w:szCs w:val="16"/>
        </w:rPr>
        <w:t xml:space="preserve"> кв. 1943 г. до 24 шт. и к концу IV кв. 1943 г. — до 30 шт. в сутки, завод № 296 — довести выпуск насосов НБЗ-У к концу 1943 г. до 600 шт. в ме</w:t>
      </w:r>
      <w:r w:rsidRPr="00D03F3E">
        <w:rPr>
          <w:rFonts w:ascii="Times New Roman" w:hAnsi="Times New Roman"/>
          <w:color w:val="000000" w:themeColor="text1"/>
          <w:sz w:val="16"/>
          <w:szCs w:val="16"/>
        </w:rPr>
        <w:softHyphen/>
        <w:t>сяц. Кроме того, предписывалось организовать производство насосов НБЗ-У на заво</w:t>
      </w:r>
      <w:r w:rsidRPr="00D03F3E">
        <w:rPr>
          <w:rFonts w:ascii="Times New Roman" w:hAnsi="Times New Roman"/>
          <w:color w:val="000000" w:themeColor="text1"/>
          <w:sz w:val="16"/>
          <w:szCs w:val="16"/>
        </w:rPr>
        <w:softHyphen/>
        <w:t xml:space="preserve">де № 20, где обеспечить их выпуск к концу 1943 г. до 300 шт. в месяц. Наркомат внешней торговли должен был поставить в </w:t>
      </w:r>
      <w:r w:rsidRPr="00D03F3E">
        <w:rPr>
          <w:rFonts w:ascii="Times New Roman" w:hAnsi="Times New Roman"/>
          <w:color w:val="000000" w:themeColor="text1"/>
          <w:sz w:val="16"/>
          <w:szCs w:val="16"/>
          <w:lang w:val="en-US"/>
        </w:rPr>
        <w:t>III</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IV</w:t>
      </w:r>
      <w:r w:rsidRPr="00D03F3E">
        <w:rPr>
          <w:rFonts w:ascii="Times New Roman" w:hAnsi="Times New Roman"/>
          <w:color w:val="000000" w:themeColor="text1"/>
          <w:sz w:val="16"/>
          <w:szCs w:val="16"/>
        </w:rPr>
        <w:t xml:space="preserve"> кв. 1943 г. заводам №№ 19 и 20 444 металлорежущих станка, а наркоматы станкостроения, боеприпасов и вооружения — по</w:t>
      </w:r>
      <w:r w:rsidRPr="00D03F3E">
        <w:rPr>
          <w:rFonts w:ascii="Times New Roman" w:hAnsi="Times New Roman"/>
          <w:color w:val="000000" w:themeColor="text1"/>
          <w:sz w:val="16"/>
          <w:szCs w:val="16"/>
        </w:rPr>
        <w:softHyphen/>
        <w:t>ставить заводам №№ 19, 20 и 296 — 298 металлорежущих станков (15829).</w:t>
      </w:r>
    </w:p>
    <w:p w14:paraId="525DF815" w14:textId="77777777" w:rsidR="00292C7B" w:rsidRPr="00D03F3E" w:rsidRDefault="00292C7B" w:rsidP="00D03F3E">
      <w:pPr>
        <w:tabs>
          <w:tab w:val="left" w:pos="7652"/>
        </w:tabs>
        <w:spacing w:after="0" w:line="240" w:lineRule="auto"/>
        <w:jc w:val="both"/>
        <w:rPr>
          <w:rFonts w:ascii="Times New Roman" w:hAnsi="Times New Roman"/>
          <w:color w:val="000000" w:themeColor="text1"/>
          <w:sz w:val="16"/>
          <w:szCs w:val="16"/>
        </w:rPr>
      </w:pPr>
    </w:p>
    <w:p w14:paraId="7A030D80"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 г. постановление ГКО № 3587 от «О производстве мото</w:t>
      </w:r>
      <w:r w:rsidRPr="00D03F3E">
        <w:rPr>
          <w:rFonts w:ascii="Times New Roman" w:hAnsi="Times New Roman"/>
          <w:color w:val="000000" w:themeColor="text1"/>
          <w:sz w:val="16"/>
          <w:szCs w:val="16"/>
        </w:rPr>
        <w:softHyphen/>
        <w:t>ров М-82ФН на заводе № 29 НКАП в г. Омске» предписывало снова организовать про</w:t>
      </w:r>
      <w:r w:rsidRPr="00D03F3E">
        <w:rPr>
          <w:rFonts w:ascii="Times New Roman" w:hAnsi="Times New Roman"/>
          <w:color w:val="000000" w:themeColor="text1"/>
          <w:sz w:val="16"/>
          <w:szCs w:val="16"/>
        </w:rPr>
        <w:softHyphen/>
        <w:t>изводство и выпустить там в 1943 г. 250 моторов М-82ФН, в том числе в июле [и]</w:t>
      </w:r>
      <w:r w:rsidRPr="00D03F3E">
        <w:rPr>
          <w:rStyle w:val="aff6"/>
          <w:rFonts w:ascii="Times New Roman" w:eastAsia="Arial Unicode MS" w:hAnsi="Times New Roman" w:cs="Times New Roman"/>
          <w:i w:val="0"/>
          <w:color w:val="000000" w:themeColor="text1"/>
        </w:rPr>
        <w:t xml:space="preserve"> в </w:t>
      </w:r>
      <w:r w:rsidRPr="00D03F3E">
        <w:rPr>
          <w:rFonts w:ascii="Times New Roman" w:hAnsi="Times New Roman"/>
          <w:color w:val="000000" w:themeColor="text1"/>
          <w:sz w:val="16"/>
          <w:szCs w:val="16"/>
        </w:rPr>
        <w:t>августе — 10, в сентябре — 15, в октябре — 50, в ноябре — 75, в декабре — 100. Прав</w:t>
      </w:r>
      <w:r w:rsidRPr="00D03F3E">
        <w:rPr>
          <w:rFonts w:ascii="Times New Roman" w:hAnsi="Times New Roman"/>
          <w:color w:val="000000" w:themeColor="text1"/>
          <w:sz w:val="16"/>
          <w:szCs w:val="16"/>
        </w:rPr>
        <w:softHyphen/>
        <w:t>да, в сентябре постановлением № 4164 задание заводу № 29 по мотору М-82ФН уменьшили: на октябрь — 25, ноябрь — 50 и декабрь — 75 моторов М-82ФН (15829).</w:t>
      </w:r>
    </w:p>
    <w:p w14:paraId="6229D977" w14:textId="77777777" w:rsidR="00292C7B" w:rsidRPr="00D03F3E" w:rsidRDefault="00292C7B" w:rsidP="00D03F3E">
      <w:pPr>
        <w:spacing w:after="0" w:line="240" w:lineRule="auto"/>
        <w:jc w:val="both"/>
        <w:rPr>
          <w:rFonts w:ascii="Times New Roman" w:hAnsi="Times New Roman"/>
          <w:color w:val="000000" w:themeColor="text1"/>
          <w:sz w:val="16"/>
          <w:szCs w:val="16"/>
        </w:rPr>
      </w:pPr>
    </w:p>
    <w:p w14:paraId="7A888EB5"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Другие оборонные отрасли:</w:t>
      </w:r>
    </w:p>
    <w:p w14:paraId="63D7A5D8" w14:textId="77777777" w:rsidR="00531570" w:rsidRPr="00D03F3E" w:rsidRDefault="00531570" w:rsidP="00D03F3E">
      <w:pPr>
        <w:pStyle w:val="Iauiue"/>
        <w:jc w:val="both"/>
        <w:rPr>
          <w:iCs/>
          <w:color w:val="000000" w:themeColor="text1"/>
          <w:sz w:val="16"/>
          <w:szCs w:val="16"/>
        </w:rPr>
      </w:pPr>
    </w:p>
    <w:p w14:paraId="6302457B"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 июня 1943 года пушка ЗИС-2 была вновь принята на вооружение, но уже под названием "57-мм противотанковая пушка обр. 1943 г.". Через несколько недель пушки начали поступать в войска.</w:t>
      </w:r>
    </w:p>
    <w:p w14:paraId="69305CBE"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В 1950 -1951 годах завод № 235 изготавливал только стволы пушек ЗИС-2. В 1957 году на заводе № 235 началась переделка пушке ЗИС-2 в ЗИС-2Н. В 1948 году на заводе № 235 была сделана попытка модернизации ЗИС-2. Новая ПТП получила заводской индекс В-22. Опытный образец В-22 был изготовлен заводом № 235 в 1948 году. После проведения заводских испытаний в объеме 315 выстрелов и пробега 1000 км пушка была допущена к полигонным испытаниям. Летом 1949 года пушка В-22 была испытана на АНИОПе. Согласно отчету полигона В-22 нуждалась в доработке противооткатных устройств и увеличении клиренса по сошникам. По поводу финансирования доработки В-22 между заводом и ГАУ возникла перебранка, и в начале 1950 года В-22 была исключена из плана ОКР.</w:t>
      </w:r>
    </w:p>
    <w:p w14:paraId="7F62D5C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Стволы, изготовленные в 1941 году, были двух типов - моноблок и со свободной трубой. С 1943 года изготавливались только моноблоки.</w:t>
      </w:r>
    </w:p>
    <w:p w14:paraId="0DB08E6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Затвор вертикальный клиновой с полуавтоматикой механического (копирного) типа.</w:t>
      </w:r>
    </w:p>
    <w:p w14:paraId="495323F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Тормоз отката гидравлический, накатник гидропневматический. При выстреле противооткатные устройства откатываются со стволом.</w:t>
      </w:r>
    </w:p>
    <w:p w14:paraId="15967BF7"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Подъемный механизм имел два сектора. Поворотный механизм винтовой толкающего типа.</w:t>
      </w:r>
    </w:p>
    <w:p w14:paraId="491E7B0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Уравновешивающий механизм пружинный, тянущего типа, состоял из двух колонок, расположенных в патрубках верхнего станка.</w:t>
      </w:r>
    </w:p>
    <w:p w14:paraId="3162ECF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Станины в ЗИС-2 обр. 1941 г. были в большинстве коробчатые, хотя имелись и трубчатые станины. С 1943 года изготавливались только трубчатые станины.</w:t>
      </w:r>
    </w:p>
    <w:p w14:paraId="3B29EB18"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Боевая ось прямая. Подрессоривание пружинное в двух колонках. Колеса от автомобиля ГАЗ-АА.</w:t>
      </w:r>
    </w:p>
    <w:p w14:paraId="522CBB01"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Для 57-мм пушек обр. 1943 г. применялся унифицированный передок обр. 1942 г. от 76-мм дивизионных и полевых пушек. В коробе передка 6 лотков (24 патрона). Вес системы с передком около 1800 кг.</w:t>
      </w:r>
    </w:p>
    <w:p w14:paraId="190EF38D"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57-мм пушка ЗИС-2 имела оптический прицел ПП1-2 или ОП2-55, ОП4-55 и ОП4М-55.</w:t>
      </w:r>
    </w:p>
    <w:p w14:paraId="6DA2280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57-мм пушка ЗИС-2Н помимо одного из оптических прицелов ОП2-55, ОП4-55 или ОП4М-55 имела один из ночных прицелов АПН-57 или АПНЗ-55 (3861).</w:t>
      </w:r>
    </w:p>
    <w:p w14:paraId="00E7BE5D" w14:textId="77777777" w:rsidR="00531570" w:rsidRPr="00D03F3E" w:rsidRDefault="00531570" w:rsidP="00D03F3E">
      <w:pPr>
        <w:pStyle w:val="Iauiue"/>
        <w:jc w:val="both"/>
        <w:rPr>
          <w:color w:val="000000" w:themeColor="text1"/>
          <w:sz w:val="16"/>
          <w:szCs w:val="16"/>
        </w:rPr>
      </w:pPr>
    </w:p>
    <w:p w14:paraId="7F99F968" w14:textId="77777777" w:rsidR="001F7B35" w:rsidRPr="00D03F3E" w:rsidRDefault="001F7B35"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15 июня 1943 года Сталин подписал постановление ГКО №3578сс "О принятии на вооружение Красной Армии 57 мм противотанковой пушки обр. 1943 г. ЗИС-2". Таким образом, орудию дали зеленый свет в том виде, как есть. То же самое касалось и гильз к орудию.</w:t>
      </w:r>
    </w:p>
    <w:p w14:paraId="5101FA20" w14:textId="77777777" w:rsidR="001F7B35" w:rsidRPr="00D03F3E" w:rsidRDefault="001F7B35"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Стоит отметить, что в первый год производства ЗИС-2 выпуск данных орудий оказался сравнительно небольшим. Ни о каких 500 орудий ежемесячно не шло и речи: за весь 1943 год сдали 1855 орудий данного типа. Еще одним тонким моментом являлись противотанковые возможности данного орудия. Испытания, проведенные в апреле 1943 года, показали, что уверенно (на дистанции до километра) поражение шло в бортовые листы "Тигра". В лоб же ЗИС-2 могла поражать бронебойными снарядами немецкий танк на дистанции не более 200-300 метров. Между тем, на Курской Дуге появилась "Пантера", которая поражалась в лоб только в определенные места. Предвидя такой вариант, еще 5 мая 1943 года инициировали работы по орудиям калибра 100 мм, что привело к созданию 100-мм полевой пушки С-3. Ее доработанную версию приняли на вооружение Красной Армии как БС-3. Вот только случилось это в 1944 году, а фронтовой дебют БС-3 состоялся и вовсе в январе 1945 года.</w:t>
      </w:r>
    </w:p>
    <w:p w14:paraId="53E57477" w14:textId="77777777" w:rsidR="001F7B35" w:rsidRPr="00D03F3E" w:rsidRDefault="001F7B35"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Дополнительная проблема заключалась в том, что ЗИС-2 отъедала часть объема производства у ЗИС-3. Этим объясняется столь небольшой объем выпуска, который и в 1944 году оказался не особо впечатляющим - 2525 штук. Самое интересное, что ЗИС-3 при этом даже в 1943 году шла преимущественно не в дивизионную, а в противотанковую артиллерию. Лишь в 1944 году ситуация изменилась, но не то, чтобы сильно. По большому счету, поток ЗИС-3 в противотанковые подразделения уменьшился не сильно, попросту общий объем производства вырос. Лишь к 1945 году ЗИС-3 стала поступать только в дивизионную артиллерию, одновременно удвоился и выпуск ЗИС-2 (21143).</w:t>
      </w:r>
    </w:p>
    <w:p w14:paraId="24B1E714" w14:textId="77777777" w:rsidR="001F7B35" w:rsidRPr="00D03F3E" w:rsidRDefault="001F7B35" w:rsidP="00D03F3E">
      <w:pPr>
        <w:spacing w:after="0" w:line="240" w:lineRule="auto"/>
        <w:jc w:val="both"/>
        <w:rPr>
          <w:rFonts w:ascii="Times New Roman" w:hAnsi="Times New Roman"/>
          <w:color w:val="0070C0"/>
          <w:sz w:val="16"/>
          <w:szCs w:val="16"/>
        </w:rPr>
      </w:pPr>
    </w:p>
    <w:p w14:paraId="24E4374D" w14:textId="77777777" w:rsidR="00F26123" w:rsidRPr="00D03F3E" w:rsidRDefault="00F26123"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15 июня 1943 ЦАКБ еще раз срочно запросило чертежи по ЗИС-3, включая и изменения. Пока шла эта переписка, завод внес ряд исправления сам. Выяснилось, что переделка затвора существенного улучшения не дала. Очень похожая ситуация была и по другим пунктам изменений. Между тем, завод №92 продолжил выпуск орудий, поскольку постановление ГКО №3187сс никто не отменял. В мае 1943 года завод изготовил еще 120 орудий, имеющих ряд недостатков, но, в принципе, пригодных к боевому использованию. На июнь запланировали выпуск еще 200 орудий. В такой ситуации орудие было официально принято на вооружение Красной Армии как 57-мм противотанковая пушка обр.1943 года (21143).</w:t>
      </w:r>
    </w:p>
    <w:p w14:paraId="622A3DEB" w14:textId="77777777" w:rsidR="00F26123" w:rsidRPr="00D03F3E" w:rsidRDefault="00F26123" w:rsidP="00D03F3E">
      <w:pPr>
        <w:shd w:val="clear" w:color="auto" w:fill="FFFFFF"/>
        <w:spacing w:after="0" w:line="240" w:lineRule="auto"/>
        <w:jc w:val="both"/>
        <w:rPr>
          <w:rFonts w:ascii="Times New Roman" w:eastAsia="Times New Roman" w:hAnsi="Times New Roman"/>
          <w:color w:val="0070C0"/>
          <w:sz w:val="16"/>
          <w:szCs w:val="16"/>
          <w:lang w:eastAsia="ru-RU"/>
        </w:rPr>
      </w:pPr>
    </w:p>
    <w:p w14:paraId="557EB37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15 июня 1943 г. по 15 марта 1944 г. (т.е. до начала выпуска тан</w:t>
      </w:r>
      <w:r w:rsidRPr="00D03F3E">
        <w:rPr>
          <w:rFonts w:ascii="Times New Roman" w:hAnsi="Times New Roman"/>
          <w:color w:val="000000" w:themeColor="text1"/>
          <w:sz w:val="16"/>
          <w:szCs w:val="16"/>
        </w:rPr>
        <w:softHyphen/>
        <w:t>ка Т-34-85) Уралвагонзаводом было изготовлено 6139 танков Т-34 с ко</w:t>
      </w:r>
      <w:r w:rsidRPr="00D03F3E">
        <w:rPr>
          <w:rFonts w:ascii="Times New Roman" w:hAnsi="Times New Roman"/>
          <w:color w:val="000000" w:themeColor="text1"/>
          <w:sz w:val="16"/>
          <w:szCs w:val="16"/>
        </w:rPr>
        <w:softHyphen/>
        <w:t>мандирской башенкой (10703).</w:t>
      </w:r>
    </w:p>
    <w:p w14:paraId="78B72F6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26A3361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 июня 1943 вышло постановление ГКО о принятии на вооружение 57-мм противотанковой пушки ЗИС-2 (1073,73).</w:t>
      </w:r>
    </w:p>
    <w:p w14:paraId="5E5E49D9" w14:textId="77777777" w:rsidR="00531570" w:rsidRPr="00D03F3E" w:rsidRDefault="00531570" w:rsidP="00D03F3E">
      <w:pPr>
        <w:pStyle w:val="Iauiue"/>
        <w:jc w:val="both"/>
        <w:rPr>
          <w:color w:val="000000" w:themeColor="text1"/>
          <w:sz w:val="16"/>
          <w:szCs w:val="16"/>
        </w:rPr>
      </w:pPr>
    </w:p>
    <w:p w14:paraId="6243E69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 вышло Постановление ГКО № 3578 О принятии на вооружение Красной Армии 57 мм противотанковой пушки обр. 1943 г. ЗИС-2.РГАНИР, Фонд ГКО, д. 126, лл. 68 (11012).</w:t>
      </w:r>
    </w:p>
    <w:p w14:paraId="61F22A1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2466CA9" w14:textId="77777777" w:rsidR="00292C7B"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 вышло:</w:t>
      </w:r>
    </w:p>
    <w:p w14:paraId="02C345DF" w14:textId="77777777" w:rsidR="00292C7B" w:rsidRPr="00D03F3E" w:rsidRDefault="00531570"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bCs/>
          <w:color w:val="000000" w:themeColor="text1"/>
          <w:sz w:val="16"/>
          <w:szCs w:val="16"/>
        </w:rPr>
        <w:t>ПОСТАНОВЛЕНИЕ ГОСУДАРСТВЕННОГО КОМИТЕТА ОБОРОНЫ</w:t>
      </w:r>
    </w:p>
    <w:p w14:paraId="185C3183" w14:textId="77777777" w:rsidR="00292C7B" w:rsidRPr="00D03F3E" w:rsidRDefault="00531570"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bCs/>
          <w:color w:val="000000" w:themeColor="text1"/>
          <w:sz w:val="16"/>
          <w:szCs w:val="16"/>
        </w:rPr>
        <w:t>15 июня 1943 г. № 3578сс</w:t>
      </w:r>
    </w:p>
    <w:p w14:paraId="23E43C98" w14:textId="77777777" w:rsidR="00531570" w:rsidRPr="00D03F3E" w:rsidRDefault="00531570"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bCs/>
          <w:color w:val="000000" w:themeColor="text1"/>
          <w:sz w:val="16"/>
          <w:szCs w:val="16"/>
        </w:rPr>
        <w:t>О принятии на вооружение Красной Армии 57 мм противотанковой пушки обр. 1943 г. "ЗИС-2".</w:t>
      </w:r>
    </w:p>
    <w:p w14:paraId="05F5611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Государственный Комитет Обороны ПОСТАНОВЛЯЕТ:</w:t>
      </w:r>
    </w:p>
    <w:p w14:paraId="3199BED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Принять на вооружение Красной Армии 57 мм противотанковую пушку, изготовляемую заводом № 92 НКВ, присвоив ей наименование: 57 мм противотанковая пушка образца 1943 года "ЗИС-2".</w:t>
      </w:r>
    </w:p>
    <w:p w14:paraId="723A122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Обязать Наркомвооружения - тов.УСТИНОВА и директора завода №92 - тов. ЕЛЯН, до 20 июня 1943 года устранить все выявленные на испытаниях недостатки в работе 57 мм противотанковых пушек образца 1943 года "3ИС-2".</w:t>
      </w:r>
    </w:p>
    <w:p w14:paraId="38D6F47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 Обязать Наркомбоенрипасов - тов.ВАННИКОВА не позднее июля месяца текущего года упрочнить гильзу к 57 мм противотанковой пушке образца 1943 года "ЗИС-2", повысив механические качества металла и отработать трассер к бронебойному снаряду.</w:t>
      </w:r>
    </w:p>
    <w:p w14:paraId="296CC5E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ГОСУДАРСТВЕННОГО КОМИТЕТА ОБОРОНЫ И.СТАЛИН (11813).</w:t>
      </w:r>
    </w:p>
    <w:p w14:paraId="4CF11ED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 секретно</w:t>
      </w:r>
    </w:p>
    <w:p w14:paraId="5939C5F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ПРЕДСЕДАТЕЛЮ ГОСУДАРСТВЕННОГО КОМИТЕТА ОБОРОНЫ - товарищу СТАЛИНУ И.В.</w:t>
      </w:r>
    </w:p>
    <w:p w14:paraId="186DACF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Представляем Вам проект постановления Государственного Комитета Обороны "О принятии на вооружение Красной Армии 57 мм. противотанковых пушек обр.1943 года "ЗИС-2".</w:t>
      </w:r>
    </w:p>
    <w:p w14:paraId="4290633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Полигонные и войсковые испытания указанных пушек, проведенные в период с 25 апреля по 12 мая, дали положительные результаты.</w:t>
      </w:r>
    </w:p>
    <w:p w14:paraId="383AB0E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Испытаниями установлено, что кучность и скорострельность этой пушки обеспечивают надежное поражение движущихся танков на дистанциях действительного огня (800-400 метров), а высокие бронебойные свойства пушки позволяют эффективно применять ее в борьбе с тяжелыми немецкими танками "Т-6".</w:t>
      </w:r>
    </w:p>
    <w:p w14:paraId="3EA2A20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Стрельбой по броне подкалиберными снарядами установлено, что этот снаряд пробивает 150 мм составную гомогенную броню, при стрельбе по нормали, с дистанции 400 метров и 130 мм. броню под углом 30° к нормали с дистанции 150 метров.</w:t>
      </w:r>
    </w:p>
    <w:p w14:paraId="002DF0C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постановлением ГОКО № 3187сс от 15.4.43 г; заводом № 92 уже изготовлено: в мае месяце 120 шт., в июне месяце будет произведено 200 шт. и начиная с августа 1943 г. будет производится по 500 шт. ежемесячно. Из указанного количества 20% предусматривается выпуск 57мм танковых пушек "ЗИС-4".</w:t>
      </w:r>
    </w:p>
    <w:p w14:paraId="7D7A07A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Просим рассмотреть и утвердить прилагаемый проект постановления ГОКО.</w:t>
      </w:r>
    </w:p>
    <w:p w14:paraId="4D83C4C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Л.Берия</w:t>
      </w:r>
    </w:p>
    <w:p w14:paraId="53217A0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Н.Воронов</w:t>
      </w:r>
    </w:p>
    <w:p w14:paraId="4653806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В.Рябиков</w:t>
      </w:r>
    </w:p>
    <w:p w14:paraId="0C713CF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Б.Ванников</w:t>
      </w:r>
    </w:p>
    <w:p w14:paraId="6F3DACB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И.Волкотрубенко (11813).</w:t>
      </w:r>
    </w:p>
    <w:p w14:paraId="2C18F860" w14:textId="77777777" w:rsidR="00292C7B" w:rsidRPr="00D03F3E" w:rsidRDefault="00292C7B" w:rsidP="00D03F3E">
      <w:pPr>
        <w:spacing w:after="0" w:line="240" w:lineRule="auto"/>
        <w:jc w:val="both"/>
        <w:rPr>
          <w:rFonts w:ascii="Times New Roman" w:hAnsi="Times New Roman"/>
          <w:color w:val="000000" w:themeColor="text1"/>
          <w:sz w:val="16"/>
          <w:szCs w:val="16"/>
        </w:rPr>
      </w:pPr>
    </w:p>
    <w:p w14:paraId="54FD3E6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 вышло Постановление ГКО № 3579 Об установлении дополнительных семи переходящих Красных знамен ЦК ВКП(б) и пятнадцати премий для заводов НКВ и НКБ, участников во Всесоюзном социалистическом соревновании.РГАНИР, Фонд ГКО, д. 126, лл. 69 (11012).</w:t>
      </w:r>
    </w:p>
    <w:p w14:paraId="124F28B2"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01D8E82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 вышло Постановление ГКО № 3580 Об увеличении выпуска оптического стекла для производства военных оптических приборов.РГАНИР, Фонд ГКО, д. 126, лл. 70-72 (11012).</w:t>
      </w:r>
    </w:p>
    <w:p w14:paraId="794E7EB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3616524" w14:textId="77777777" w:rsidR="00267D1F" w:rsidRPr="00D03F3E" w:rsidRDefault="00267D1F" w:rsidP="00D03F3E">
      <w:pPr>
        <w:pStyle w:val="a3"/>
        <w:rPr>
          <w:color w:val="000000" w:themeColor="text1"/>
          <w:lang w:val="ru-RU"/>
        </w:rPr>
      </w:pPr>
      <w:r w:rsidRPr="00D03F3E">
        <w:rPr>
          <w:color w:val="000000" w:themeColor="text1"/>
          <w:lang w:val="ru-RU"/>
        </w:rPr>
        <w:t>15 июня 1943 года главный инженер завода №69 Скаржинский отправил в НКВ письмо с идеей замены СТ-10 на перспективную разработку:</w:t>
      </w:r>
    </w:p>
    <w:p w14:paraId="5A71FB4E" w14:textId="77777777" w:rsidR="00267D1F" w:rsidRPr="00D03F3E" w:rsidRDefault="00267D1F"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«Для самоходной установки в настоящее время применяется прицел СТ-10 (бывший КТ-1).</w:t>
      </w:r>
    </w:p>
    <w:p w14:paraId="61C2C862" w14:textId="77777777" w:rsidR="00267D1F" w:rsidRPr="00D03F3E" w:rsidRDefault="00267D1F"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По имеющимся у нас сведениям, прицел СТ-10 был выбран для дан</w:t>
      </w:r>
      <w:r w:rsidRPr="00D03F3E">
        <w:rPr>
          <w:rStyle w:val="Bodytext145"/>
          <w:i w:val="0"/>
          <w:iCs w:val="0"/>
          <w:color w:val="000000" w:themeColor="text1"/>
          <w:sz w:val="16"/>
          <w:szCs w:val="16"/>
        </w:rPr>
        <w:softHyphen/>
        <w:t>ной установки только потому, что по своим характеристикам и длине он оказался единственным из имеющихся в наличии прицелов, годным для этой цели.</w:t>
      </w:r>
    </w:p>
    <w:p w14:paraId="088E4AC5" w14:textId="77777777" w:rsidR="00267D1F" w:rsidRPr="00D03F3E" w:rsidRDefault="00267D1F"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Между тем, с точки зрения качества прицела и его производственной сложности, завод мог бы предложить более простую и лучшую конструк</w:t>
      </w:r>
      <w:r w:rsidRPr="00D03F3E">
        <w:rPr>
          <w:rStyle w:val="Bodytext145"/>
          <w:i w:val="0"/>
          <w:iCs w:val="0"/>
          <w:color w:val="000000" w:themeColor="text1"/>
          <w:sz w:val="16"/>
          <w:szCs w:val="16"/>
        </w:rPr>
        <w:softHyphen/>
        <w:t>цию. В самом деле: наличие в этом прицеле колена, внутри которого за</w:t>
      </w:r>
      <w:r w:rsidRPr="00D03F3E">
        <w:rPr>
          <w:rStyle w:val="Bodytext145"/>
          <w:i w:val="0"/>
          <w:iCs w:val="0"/>
          <w:color w:val="000000" w:themeColor="text1"/>
          <w:sz w:val="16"/>
          <w:szCs w:val="16"/>
        </w:rPr>
        <w:softHyphen/>
        <w:t>ключены две призмы и оборачивающая линза, создают в прицеле лишние узлы соединения, которые при всей их надежности могут быть источни</w:t>
      </w:r>
      <w:r w:rsidRPr="00D03F3E">
        <w:rPr>
          <w:rStyle w:val="Bodytext145"/>
          <w:i w:val="0"/>
          <w:iCs w:val="0"/>
          <w:color w:val="000000" w:themeColor="text1"/>
          <w:sz w:val="16"/>
          <w:szCs w:val="16"/>
        </w:rPr>
        <w:softHyphen/>
        <w:t>ком расстройства оптической системы и работы прицела. Кроме того, они понижают качество изображения системы, так как при всей тща</w:t>
      </w:r>
      <w:r w:rsidRPr="00D03F3E">
        <w:rPr>
          <w:rStyle w:val="Bodytext145"/>
          <w:i w:val="0"/>
          <w:iCs w:val="0"/>
          <w:color w:val="000000" w:themeColor="text1"/>
          <w:sz w:val="16"/>
          <w:szCs w:val="16"/>
        </w:rPr>
        <w:softHyphen/>
        <w:t>тельности сборки и юстировки невозможно правильно центрировать си</w:t>
      </w:r>
      <w:r w:rsidRPr="00D03F3E">
        <w:rPr>
          <w:rStyle w:val="Bodytext145"/>
          <w:i w:val="0"/>
          <w:iCs w:val="0"/>
          <w:color w:val="000000" w:themeColor="text1"/>
          <w:sz w:val="16"/>
          <w:szCs w:val="16"/>
        </w:rPr>
        <w:softHyphen/>
        <w:t>стему, тем более что одна призма помещается не в параллельном пучке лучей. Производственно же это колено, безусловно, требует лишней тра</w:t>
      </w:r>
      <w:r w:rsidRPr="00D03F3E">
        <w:rPr>
          <w:rStyle w:val="Bodytext145"/>
          <w:i w:val="0"/>
          <w:iCs w:val="0"/>
          <w:color w:val="000000" w:themeColor="text1"/>
          <w:sz w:val="16"/>
          <w:szCs w:val="16"/>
        </w:rPr>
        <w:softHyphen/>
        <w:t>ты рабсилы, станков, цветных и других дефицитных материалов.</w:t>
      </w:r>
    </w:p>
    <w:p w14:paraId="55D72202" w14:textId="77777777" w:rsidR="00267D1F" w:rsidRPr="00D03F3E" w:rsidRDefault="00267D1F" w:rsidP="00D03F3E">
      <w:pPr>
        <w:spacing w:after="0" w:line="240" w:lineRule="auto"/>
        <w:jc w:val="both"/>
        <w:rPr>
          <w:rStyle w:val="Bodytext145"/>
          <w:rFonts w:ascii="Times New Roman" w:hAnsi="Times New Roman"/>
          <w:iCs/>
          <w:color w:val="000000" w:themeColor="text1"/>
          <w:sz w:val="16"/>
          <w:szCs w:val="16"/>
        </w:rPr>
      </w:pPr>
      <w:r w:rsidRPr="00D03F3E">
        <w:rPr>
          <w:rStyle w:val="Bodytext145"/>
          <w:rFonts w:ascii="Times New Roman" w:hAnsi="Times New Roman"/>
          <w:iCs/>
          <w:color w:val="000000" w:themeColor="text1"/>
          <w:sz w:val="16"/>
          <w:szCs w:val="16"/>
        </w:rPr>
        <w:t>Нами на базе оптической схемы СТ-10 разработан новый прицел (без колена), длина которого может быть изменена по Вашему требованию надежность, качество и простота которого намного превосходит суще</w:t>
      </w:r>
      <w:r w:rsidRPr="00D03F3E">
        <w:rPr>
          <w:rStyle w:val="Bodytext145"/>
          <w:rFonts w:ascii="Times New Roman" w:hAnsi="Times New Roman"/>
          <w:iCs/>
          <w:color w:val="000000" w:themeColor="text1"/>
          <w:sz w:val="16"/>
          <w:szCs w:val="16"/>
        </w:rPr>
        <w:softHyphen/>
        <w:t>ствующие.</w:t>
      </w:r>
    </w:p>
    <w:p w14:paraId="39409AA4" w14:textId="77777777" w:rsidR="00267D1F" w:rsidRPr="00D03F3E" w:rsidRDefault="00267D1F" w:rsidP="00D03F3E">
      <w:pPr>
        <w:pStyle w:val="Bodytext141"/>
        <w:shd w:val="clear" w:color="auto" w:fill="auto"/>
        <w:spacing w:line="240" w:lineRule="auto"/>
        <w:ind w:firstLine="0"/>
        <w:jc w:val="both"/>
        <w:rPr>
          <w:i w:val="0"/>
          <w:color w:val="000000" w:themeColor="text1"/>
          <w:sz w:val="16"/>
          <w:szCs w:val="16"/>
        </w:rPr>
      </w:pPr>
      <w:r w:rsidRPr="00D03F3E">
        <w:rPr>
          <w:rStyle w:val="Bodytext145"/>
          <w:i w:val="0"/>
          <w:iCs w:val="0"/>
          <w:color w:val="000000" w:themeColor="text1"/>
          <w:sz w:val="16"/>
          <w:szCs w:val="16"/>
        </w:rPr>
        <w:t>Прилагая при сем габаритный чертеж данного прицела, прошу дать распоряжение Кировскому Заводу разработать к нему новое крепление, соответственно перенеся отверстие в маске. Переход завода на выпуск данных прицелов может быть произведен немедленно по получению Ваше</w:t>
      </w:r>
      <w:r w:rsidRPr="00D03F3E">
        <w:rPr>
          <w:rStyle w:val="Bodytext145"/>
          <w:i w:val="0"/>
          <w:iCs w:val="0"/>
          <w:color w:val="000000" w:themeColor="text1"/>
          <w:sz w:val="16"/>
          <w:szCs w:val="16"/>
        </w:rPr>
        <w:softHyphen/>
        <w:t>го согласия»</w:t>
      </w:r>
    </w:p>
    <w:p w14:paraId="7E795F57" w14:textId="77777777" w:rsidR="00267D1F" w:rsidRPr="00D03F3E" w:rsidRDefault="00267D1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Идеей завода №69 в НКВ и ГАУ заинтересовались, предложение о проведении опытных работ было отправлено в Управление само</w:t>
      </w:r>
      <w:r w:rsidRPr="00D03F3E">
        <w:rPr>
          <w:rFonts w:ascii="Times New Roman" w:hAnsi="Times New Roman"/>
          <w:color w:val="000000" w:themeColor="text1"/>
          <w:sz w:val="16"/>
          <w:szCs w:val="16"/>
        </w:rPr>
        <w:softHyphen/>
        <w:t>ходной артиллерии (УСА ГАБТУ). На этом, впрочем, история упро</w:t>
      </w:r>
      <w:r w:rsidRPr="00D03F3E">
        <w:rPr>
          <w:rFonts w:ascii="Times New Roman" w:hAnsi="Times New Roman"/>
          <w:color w:val="000000" w:themeColor="text1"/>
          <w:sz w:val="16"/>
          <w:szCs w:val="16"/>
        </w:rPr>
        <w:softHyphen/>
        <w:t>щенного варианта СТ-10 заканчивается. Кировскому заводу в тот момент было совсем не до переделок орудийных масок и креплений прицела. Таким образом временное решение в виде СТ-10 так и оста</w:t>
      </w:r>
      <w:r w:rsidRPr="00D03F3E">
        <w:rPr>
          <w:rFonts w:ascii="Times New Roman" w:hAnsi="Times New Roman"/>
          <w:color w:val="000000" w:themeColor="text1"/>
          <w:sz w:val="16"/>
          <w:szCs w:val="16"/>
        </w:rPr>
        <w:softHyphen/>
        <w:t>лось постоянным, более того, на последующих самоходных установ</w:t>
      </w:r>
      <w:r w:rsidRPr="00D03F3E">
        <w:rPr>
          <w:rFonts w:ascii="Times New Roman" w:hAnsi="Times New Roman"/>
          <w:color w:val="000000" w:themeColor="text1"/>
          <w:sz w:val="16"/>
          <w:szCs w:val="16"/>
        </w:rPr>
        <w:softHyphen/>
        <w:t>ках ИСУ-152 и ИСУ-122 остался тот же прицел (17484).</w:t>
      </w:r>
    </w:p>
    <w:p w14:paraId="114B7DAD" w14:textId="77777777" w:rsidR="00267D1F" w:rsidRPr="00D03F3E" w:rsidRDefault="00267D1F" w:rsidP="00D03F3E">
      <w:pPr>
        <w:spacing w:after="0" w:line="240" w:lineRule="auto"/>
        <w:jc w:val="both"/>
        <w:rPr>
          <w:rFonts w:ascii="Times New Roman" w:hAnsi="Times New Roman"/>
          <w:color w:val="000000" w:themeColor="text1"/>
          <w:sz w:val="16"/>
          <w:szCs w:val="16"/>
        </w:rPr>
      </w:pPr>
    </w:p>
    <w:p w14:paraId="18210D1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 вышло Постановление ГКО № 3582 О восстановлении в гор. Сталинграде завода № 221 Наркомата вооружения.РГАНИР, Фонд ГКО, д. 126, лл. 122-132, 133-139 (11012).</w:t>
      </w:r>
    </w:p>
    <w:p w14:paraId="46FF405C"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4954D49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15 июня 1943 г. в соответствии с пост. ГКО № 3582 начато восстановление завода (Завод № 221 НКОП, </w:t>
      </w:r>
      <w:r w:rsidRPr="00D03F3E">
        <w:rPr>
          <w:rFonts w:ascii="Times New Roman" w:hAnsi="Times New Roman"/>
          <w:color w:val="000000" w:themeColor="text1"/>
          <w:sz w:val="16"/>
          <w:szCs w:val="16"/>
          <w:lang w:val="en-US"/>
        </w:rPr>
        <w:t>HKB</w:t>
      </w:r>
      <w:r w:rsidRPr="00D03F3E">
        <w:rPr>
          <w:rFonts w:ascii="Times New Roman" w:hAnsi="Times New Roman"/>
          <w:color w:val="000000" w:themeColor="text1"/>
          <w:sz w:val="16"/>
          <w:szCs w:val="16"/>
        </w:rPr>
        <w:t>, МОП , Царицынский орудийный завод, Сталинградский орудийный завод ВСНХ, ГС завод «Баррикады» ВСНХ, НКТП, НКОП, п/я 113, ПО «Баррикады» Сталинградского СНХ, ГП, ФГУП «ПО «Баррикады» /г. Царицын, Сталинград п/я 113 «Баррикады» (1937 г.)/ /400071  г. Волгоград пр. Ленина тел. 78-19-00, 75-85-16/) на прежнем месте. 27.12.1944 г. вышло постановление ГКО № 7213 о мероприятиях по оказанию помощи заводу.</w:t>
      </w:r>
    </w:p>
    <w:p w14:paraId="566BEC5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ГКО № 7849 от 16.03.1945 г. начато серийное производство морской артустановки МУ-1.</w:t>
      </w:r>
    </w:p>
    <w:p w14:paraId="055760E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1944 г. завод № 221 - в ведении НКВ, в 1953 г. - МОП. Имел наименование «п/я 113» (1937-53 г.).</w:t>
      </w:r>
    </w:p>
    <w:p w14:paraId="042D9C2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1950-х  г. разработаны и изготовлены винтовые насосы объемного действия для транспортирования ртути для завода № 12.</w:t>
      </w:r>
    </w:p>
    <w:p w14:paraId="64CCE91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1991 г. начата подготовка к производству ПУ доя РК «Курьер».</w:t>
      </w:r>
    </w:p>
    <w:p w14:paraId="2416545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Производство (2002 г.): мобильных артиллерийских и ракетных систем; ядерных силовых установок; турбогенераторов. Работы (2005 г.): подготовка к производству мобильного БРК «Тополь-М», освоение выпуска ОТРК «Искандер»; организация производства прогрессивных ствольных заготовок.</w:t>
      </w:r>
    </w:p>
    <w:p w14:paraId="07AF8B8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В 2006 г. предотвращено банкротство предприятия, оно было продано. По указу № 526 от 11.05.2009 г. предприятие исключено из перечня стратегических.</w:t>
      </w:r>
    </w:p>
    <w:p w14:paraId="748819F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Имело собственное металлургическое производство, которое в 2007 г. дложно было войти в холдинг «Русспецсталь». В рамках конверсии создан производственный комплекс площадью 9 тыс.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xml:space="preserve"> по выпуску крупногабаритных модульных металлоконструкций.</w:t>
      </w:r>
    </w:p>
    <w:p w14:paraId="2459493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(1936 г.)- 11267 чел., (1937 г.)- 12504 чел.</w:t>
      </w:r>
      <w:r w:rsidRPr="00D03F3E">
        <w:rPr>
          <w:rFonts w:ascii="Times New Roman" w:hAnsi="Times New Roman"/>
          <w:color w:val="000000" w:themeColor="text1"/>
          <w:sz w:val="16"/>
          <w:szCs w:val="16"/>
          <w:vertAlign w:val="superscript"/>
        </w:rPr>
        <w:t>145</w:t>
      </w:r>
    </w:p>
    <w:p w14:paraId="1059874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(-02-23.07.1937 г.)- Д.Ф. Будняк (снят); и.о. (23.07-29.08.1937 г.)-  Г. Г. Слободчиков; (29.08.1937- 17.12.1938 г.)- П.В. Быстров, (17.12.1938-42 г.-&gt; Л.Р. Гонор. Управляющий (2002 г.)- Н.И. Аксенов. Гендиректор (2000-е)- Е.А. Майданов, Ю. Валов (осужден).</w:t>
      </w:r>
    </w:p>
    <w:p w14:paraId="55A7D4F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1-й зам. гендиректора (2000-е)- А.И. Патер. Зам. директора, гендиректора (3.11.1937 г.-)- П.Ф. Цуриков, (2009 г.)- Ю. Горбатков.</w:t>
      </w:r>
    </w:p>
    <w:p w14:paraId="22A29CB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(07.1937 г.)- Слободчиков, (3.11.1937-11.09.1938 г.)- П.Ф. Цуриков.</w:t>
      </w:r>
    </w:p>
    <w:p w14:paraId="5363ECA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гл. инженера (05.1937 г.)-  Г. Г. Слободчиков.</w:t>
      </w:r>
    </w:p>
    <w:p w14:paraId="3B7AB56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металлург (-27.05.1937 г.)- С.П. Моисеев, (27.05-25.09.1937 г.)- В.Д. Гурьянов (снят), (-10.1938-01.1939 г.-)- Струсельба. Гл. энергетик (06.1938 г.)- Антонов. Диспетчер (06.1938 г.)- Афанасьев.</w:t>
      </w:r>
    </w:p>
    <w:p w14:paraId="6D8D4DF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управления: договоров и маркетинга (2000-е)- В.В. Коновалов; кадров (2000-е)- С.А. Чаркин.</w:t>
      </w:r>
    </w:p>
    <w:p w14:paraId="60F4BCA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директора управления по договорам: гражданской продукции и маркетингу (2000-е)- К.В. Сусленков; экспортной продукции и сбыту (2000-е)- В.В. Княжеченко; государственного оборонного заказа- И.О. (2000-е)- Р.В. Лежнев.</w:t>
      </w:r>
    </w:p>
    <w:p w14:paraId="27F5DD8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цехов: № 9 (29.05.1937 г.-)- А.П. Решетников; № 11 (-5.03.1938 г.)- А.И. Михалев (снят); № 12 (- 29.05.1937 г.)- Р.И. Максимов, (29.05.1937 г.-)- М.В. Смирнов.</w:t>
      </w:r>
    </w:p>
    <w:p w14:paraId="1E40913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Начальники отделов: 5-го и.о. (07.1937 г.)- Сокольский; планового (1930-е)- Яковлев; ОСП (1938 г.)- Молоканов; ОКС- Микшун, (12.1937 г.)- Клапер-Казовский; сбыта (12.1937 г.)- Селезнев; ОТК (-02.1937 г.)-  Г. Г. Слабодчиков, и.о. (02.1937 г.-)- Хохлов. Начальник службы маркетинга (2000-е)- А.А. Резников.</w:t>
      </w:r>
    </w:p>
    <w:p w14:paraId="2E0F803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 артиллерийские орудия:</w:t>
      </w:r>
      <w:r w:rsidRPr="00D03F3E">
        <w:rPr>
          <w:rFonts w:ascii="Times New Roman" w:hAnsi="Times New Roman"/>
          <w:color w:val="000000" w:themeColor="text1"/>
          <w:sz w:val="16"/>
          <w:szCs w:val="16"/>
        </w:rPr>
        <w:t xml:space="preserve"> 152-мм, 305-мм (1937-), 406-мм Б-37 для линкоров пр. 23 (1939-41)- 12 стволов;</w:t>
      </w:r>
      <w:r w:rsidRPr="00D03F3E">
        <w:rPr>
          <w:rFonts w:ascii="Times New Roman" w:hAnsi="Times New Roman"/>
          <w:iCs/>
          <w:color w:val="000000" w:themeColor="text1"/>
          <w:sz w:val="16"/>
          <w:szCs w:val="16"/>
        </w:rPr>
        <w:t xml:space="preserve"> пушки:</w:t>
      </w:r>
      <w:r w:rsidRPr="00D03F3E">
        <w:rPr>
          <w:rFonts w:ascii="Times New Roman" w:hAnsi="Times New Roman"/>
          <w:color w:val="000000" w:themeColor="text1"/>
          <w:sz w:val="16"/>
          <w:szCs w:val="16"/>
        </w:rPr>
        <w:t xml:space="preserve"> буксируемые: УСВ (1942), 57-мм противотанковая ЗИС-2 (-1942); 122-мм корпусная А-19 (1937), 152-мм пушка БР-2 (1937-), 152-мм пушка-гаубица Д-20 (1950-е), пушка С-23 (1960-е); танковые (ВОВ), 2АЗЗ для САУ «Акация», 2А46 для танков Т-72, Т-80; СМ-54 (2АЗ) на самоходном шасси для стрельбы ядерными боеприпасами «Конденсатор» (1957)- 4 шт.;</w:t>
      </w:r>
      <w:r w:rsidRPr="00D03F3E">
        <w:rPr>
          <w:rFonts w:ascii="Times New Roman" w:hAnsi="Times New Roman"/>
          <w:iCs/>
          <w:color w:val="000000" w:themeColor="text1"/>
          <w:sz w:val="16"/>
          <w:szCs w:val="16"/>
        </w:rPr>
        <w:t xml:space="preserve"> гаубицы:</w:t>
      </w:r>
      <w:r w:rsidRPr="00D03F3E">
        <w:rPr>
          <w:rFonts w:ascii="Times New Roman" w:hAnsi="Times New Roman"/>
          <w:color w:val="000000" w:themeColor="text1"/>
          <w:sz w:val="16"/>
          <w:szCs w:val="16"/>
        </w:rPr>
        <w:t xml:space="preserve"> 203-мм Б-4 (1937-); качающиеся части: железнодорожных установок ТП-1 и ТГ-1 (1939)- 2, морской 180-мм артустановки МУ-1 (1947)- 12, баллистический ствол 220-мм СМ-Э77 для СМ-40 (1953)- 1, морской 305-мм пушки СМ-33 (1951-53)- 12; СУ-122 (1955-61); башенная корабельная артиллерийская установка ЗИФ-67;</w:t>
      </w:r>
      <w:r w:rsidRPr="00D03F3E">
        <w:rPr>
          <w:rFonts w:ascii="Times New Roman" w:hAnsi="Times New Roman"/>
          <w:iCs/>
          <w:color w:val="000000" w:themeColor="text1"/>
          <w:sz w:val="16"/>
          <w:szCs w:val="16"/>
        </w:rPr>
        <w:t xml:space="preserve"> самоходные ПУ:</w:t>
      </w:r>
      <w:r w:rsidRPr="00D03F3E">
        <w:rPr>
          <w:rFonts w:ascii="Times New Roman" w:hAnsi="Times New Roman"/>
          <w:color w:val="000000" w:themeColor="text1"/>
          <w:sz w:val="16"/>
          <w:szCs w:val="16"/>
        </w:rPr>
        <w:t xml:space="preserve"> для ОТРК: 2П2 (1957-58)- 25 и транспортно- заряжаютцая машина 2ПЗ для «Марс» (1957-58)- 25, 2П16 для «Луна» (1959-64)- 432, «Темп-С», «Точка», «Точка- У», «Пионер», «Пионер-2», «Пионер-3», «Пионер УТТХ», для МБР: «Темп-2С», «Тополь», «Тополь-М», «Искандер»; железнодорожная ПУ для </w:t>
      </w:r>
      <w:r w:rsidRPr="00D03F3E">
        <w:rPr>
          <w:rFonts w:ascii="Times New Roman" w:hAnsi="Times New Roman"/>
          <w:color w:val="000000" w:themeColor="text1"/>
          <w:sz w:val="16"/>
          <w:szCs w:val="16"/>
        </w:rPr>
        <w:lastRenderedPageBreak/>
        <w:t>МБР РТ-23УТТХ (1980-е);</w:t>
      </w:r>
      <w:r w:rsidRPr="00D03F3E">
        <w:rPr>
          <w:rFonts w:ascii="Times New Roman" w:hAnsi="Times New Roman"/>
          <w:color w:val="000000" w:themeColor="text1"/>
          <w:sz w:val="16"/>
          <w:szCs w:val="16"/>
          <w:vertAlign w:val="superscript"/>
        </w:rPr>
        <w:t>58</w:t>
      </w:r>
      <w:r w:rsidRPr="00D03F3E">
        <w:rPr>
          <w:rFonts w:ascii="Times New Roman" w:hAnsi="Times New Roman"/>
          <w:color w:val="000000" w:themeColor="text1"/>
          <w:sz w:val="16"/>
          <w:szCs w:val="16"/>
        </w:rPr>
        <w:t xml:space="preserve"> палубная ПУ для ЗРК «Волна-М» (1970-е-80- е), установка ЗС90 для ЗРК «Ураган» (1980-2000-);</w:t>
      </w:r>
      <w:r w:rsidRPr="00D03F3E">
        <w:rPr>
          <w:rFonts w:ascii="Times New Roman" w:hAnsi="Times New Roman"/>
          <w:color w:val="000000" w:themeColor="text1"/>
          <w:sz w:val="16"/>
          <w:szCs w:val="16"/>
          <w:vertAlign w:val="superscript"/>
        </w:rPr>
        <w:t>101</w:t>
      </w:r>
      <w:r w:rsidRPr="00D03F3E">
        <w:rPr>
          <w:rFonts w:ascii="Times New Roman" w:hAnsi="Times New Roman"/>
          <w:color w:val="000000" w:themeColor="text1"/>
          <w:sz w:val="16"/>
          <w:szCs w:val="16"/>
        </w:rPr>
        <w:t xml:space="preserve"> корабельный ЗРК «Штиль» (2000-е); детали для минометов (1942);</w:t>
      </w:r>
    </w:p>
    <w:p w14:paraId="23B5746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буровые установки для нефтегазовой промышленности (1960-е);</w:t>
      </w:r>
      <w:r w:rsidRPr="00D03F3E">
        <w:rPr>
          <w:rFonts w:ascii="Times New Roman" w:hAnsi="Times New Roman"/>
          <w:color w:val="000000" w:themeColor="text1"/>
          <w:sz w:val="16"/>
          <w:szCs w:val="16"/>
          <w:vertAlign w:val="superscript"/>
        </w:rPr>
        <w:t>69</w:t>
      </w:r>
      <w:r w:rsidRPr="00D03F3E">
        <w:rPr>
          <w:rFonts w:ascii="Times New Roman" w:hAnsi="Times New Roman"/>
          <w:color w:val="000000" w:themeColor="text1"/>
          <w:sz w:val="16"/>
          <w:szCs w:val="16"/>
        </w:rPr>
        <w:t xml:space="preserve"> плашечные превенторы ППР-180, ППГ-180, ППР2-180, ППГ2-180 (2000-е); передвижные автомобильные газозаправщики ПАГЗ-2000/25, ПАГЗ-ЗООО/25 на шасси КамАЗ (2000-</w:t>
      </w:r>
      <w:r w:rsidRPr="00D03F3E">
        <w:rPr>
          <w:rFonts w:ascii="Times New Roman" w:hAnsi="Times New Roman"/>
          <w:color w:val="000000" w:themeColor="text1"/>
          <w:sz w:val="16"/>
          <w:szCs w:val="16"/>
          <w:lang w:val="en-US"/>
        </w:rPr>
        <w:t>c</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vertAlign w:val="superscript"/>
          <w:lang w:val="en-US"/>
        </w:rPr>
        <w:t>wwwbarncadyru</w:t>
      </w:r>
      <w:r w:rsidRPr="00D03F3E">
        <w:rPr>
          <w:rFonts w:ascii="Times New Roman" w:hAnsi="Times New Roman"/>
          <w:color w:val="000000" w:themeColor="text1"/>
          <w:sz w:val="16"/>
          <w:szCs w:val="16"/>
        </w:rPr>
        <w:t xml:space="preserve"> горно-шахтное и гидравлическое оборудование; агрегаты для атомной энергетики (11982).</w:t>
      </w:r>
    </w:p>
    <w:p w14:paraId="03403BEA"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24729F8" w14:textId="77777777" w:rsidR="00292C7B"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 вышло Постановление ГКО № 3583 О восстановлении производства морской артиллерии на заводе № 232 "Большевик" Наркомвооружения в гор. Ленинграде.РГАНИР, Фонд ГКО, д. 126, лл. 140-143, 144 (11012).</w:t>
      </w:r>
    </w:p>
    <w:p w14:paraId="0F21DE26" w14:textId="77777777" w:rsidR="00292C7B" w:rsidRPr="00D03F3E" w:rsidRDefault="00292C7B" w:rsidP="00D03F3E">
      <w:pPr>
        <w:spacing w:after="0" w:line="240" w:lineRule="auto"/>
        <w:jc w:val="both"/>
        <w:rPr>
          <w:rFonts w:ascii="Times New Roman" w:hAnsi="Times New Roman"/>
          <w:color w:val="000000" w:themeColor="text1"/>
          <w:sz w:val="16"/>
          <w:szCs w:val="16"/>
        </w:rPr>
      </w:pPr>
    </w:p>
    <w:p w14:paraId="21541420" w14:textId="77777777" w:rsidR="00292C7B" w:rsidRPr="00D03F3E" w:rsidRDefault="00531570"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bCs/>
          <w:color w:val="000000" w:themeColor="text1"/>
          <w:sz w:val="16"/>
          <w:szCs w:val="16"/>
        </w:rPr>
        <w:t>15 июня 1943 г. вышло:</w:t>
      </w:r>
    </w:p>
    <w:p w14:paraId="3194CB92" w14:textId="77777777" w:rsidR="00292C7B" w:rsidRPr="00D03F3E" w:rsidRDefault="00531570"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bCs/>
          <w:color w:val="000000" w:themeColor="text1"/>
          <w:sz w:val="16"/>
          <w:szCs w:val="16"/>
        </w:rPr>
        <w:t>ПОСТАНОВЛЕНИЕ ГОСУДАРСТВЕННОГО КОМИТЕТА ОБОРОНЫ № 3583сс</w:t>
      </w:r>
    </w:p>
    <w:p w14:paraId="34525F81" w14:textId="77777777" w:rsidR="00531570" w:rsidRPr="00D03F3E" w:rsidRDefault="00531570"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bCs/>
          <w:color w:val="000000" w:themeColor="text1"/>
          <w:sz w:val="16"/>
          <w:szCs w:val="16"/>
        </w:rPr>
        <w:t>О восстановлении производства морской артиллерии на заводе №232 "Большевик" Наркомвооружения в г. Ленинграде</w:t>
      </w:r>
    </w:p>
    <w:p w14:paraId="5726ABE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Государственный Комитет Обороны ПОСТАНОВЛЯЕТ:</w:t>
      </w:r>
    </w:p>
    <w:p w14:paraId="019EC20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Наркомвооружения - т.УСТИНОВА и директора завода №232 т.ЗАХАРЬИНА - восстановить производство морского артиллерийского вооружения и сдать в 1943 г. Наркомвоенморфлоту следующие изделия:</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080"/>
        <w:gridCol w:w="1980"/>
        <w:gridCol w:w="1275"/>
        <w:gridCol w:w="1140"/>
        <w:gridCol w:w="1140"/>
      </w:tblGrid>
      <w:tr w:rsidR="00860B4B" w:rsidRPr="00D03F3E" w14:paraId="2DFC5510" w14:textId="77777777" w:rsidTr="00531570">
        <w:trPr>
          <w:jc w:val="center"/>
        </w:trPr>
        <w:tc>
          <w:tcPr>
            <w:tcW w:w="4080" w:type="dxa"/>
            <w:tcBorders>
              <w:top w:val="single" w:sz="12" w:space="0" w:color="auto"/>
            </w:tcBorders>
          </w:tcPr>
          <w:p w14:paraId="42861D9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Наименование вооружения</w:t>
            </w:r>
          </w:p>
        </w:tc>
        <w:tc>
          <w:tcPr>
            <w:tcW w:w="1980" w:type="dxa"/>
            <w:tcBorders>
              <w:top w:val="single" w:sz="12" w:space="0" w:color="auto"/>
            </w:tcBorders>
          </w:tcPr>
          <w:p w14:paraId="2E2B348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 на 1943г.</w:t>
            </w:r>
          </w:p>
        </w:tc>
        <w:tc>
          <w:tcPr>
            <w:tcW w:w="1275" w:type="dxa"/>
            <w:gridSpan w:val="3"/>
            <w:tcBorders>
              <w:top w:val="single" w:sz="12" w:space="0" w:color="auto"/>
            </w:tcBorders>
          </w:tcPr>
          <w:p w14:paraId="4A8A12B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том числе</w:t>
            </w:r>
          </w:p>
        </w:tc>
      </w:tr>
      <w:tr w:rsidR="00860B4B" w:rsidRPr="00D03F3E" w14:paraId="4109422C" w14:textId="77777777">
        <w:trPr>
          <w:jc w:val="center"/>
        </w:trPr>
        <w:tc>
          <w:tcPr>
            <w:tcW w:w="4080" w:type="dxa"/>
          </w:tcPr>
          <w:p w14:paraId="44582034"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980" w:type="dxa"/>
          </w:tcPr>
          <w:p w14:paraId="03D8391F"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275" w:type="dxa"/>
          </w:tcPr>
          <w:p w14:paraId="1913FFA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кв.</w:t>
            </w:r>
          </w:p>
        </w:tc>
        <w:tc>
          <w:tcPr>
            <w:tcW w:w="1140" w:type="dxa"/>
          </w:tcPr>
          <w:p w14:paraId="2F4375A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III кв.</w:t>
            </w:r>
          </w:p>
        </w:tc>
        <w:tc>
          <w:tcPr>
            <w:tcW w:w="1140" w:type="dxa"/>
          </w:tcPr>
          <w:p w14:paraId="4A051BD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IV кв.</w:t>
            </w:r>
          </w:p>
        </w:tc>
      </w:tr>
      <w:tr w:rsidR="00860B4B" w:rsidRPr="00D03F3E" w14:paraId="67CC8279" w14:textId="77777777">
        <w:trPr>
          <w:jc w:val="center"/>
        </w:trPr>
        <w:tc>
          <w:tcPr>
            <w:tcW w:w="4080" w:type="dxa"/>
          </w:tcPr>
          <w:p w14:paraId="1B3C67A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 мм палубные артустановки Б-13 II серии</w:t>
            </w:r>
          </w:p>
        </w:tc>
        <w:tc>
          <w:tcPr>
            <w:tcW w:w="1980" w:type="dxa"/>
          </w:tcPr>
          <w:p w14:paraId="7760569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w:t>
            </w:r>
          </w:p>
        </w:tc>
        <w:tc>
          <w:tcPr>
            <w:tcW w:w="1275" w:type="dxa"/>
          </w:tcPr>
          <w:p w14:paraId="45E5D2A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1140" w:type="dxa"/>
          </w:tcPr>
          <w:p w14:paraId="1CCFA37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tc>
        <w:tc>
          <w:tcPr>
            <w:tcW w:w="1140" w:type="dxa"/>
          </w:tcPr>
          <w:p w14:paraId="64BDFE2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w:t>
            </w:r>
          </w:p>
        </w:tc>
      </w:tr>
      <w:tr w:rsidR="00860B4B" w:rsidRPr="00D03F3E" w14:paraId="7714FE06" w14:textId="77777777">
        <w:trPr>
          <w:jc w:val="center"/>
        </w:trPr>
        <w:tc>
          <w:tcPr>
            <w:tcW w:w="4080" w:type="dxa"/>
          </w:tcPr>
          <w:p w14:paraId="2BB6476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 мм палубные артустановки Б-24 II серии</w:t>
            </w:r>
          </w:p>
        </w:tc>
        <w:tc>
          <w:tcPr>
            <w:tcW w:w="1980" w:type="dxa"/>
          </w:tcPr>
          <w:p w14:paraId="0ADE266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1275" w:type="dxa"/>
          </w:tcPr>
          <w:p w14:paraId="07739A5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140" w:type="dxa"/>
          </w:tcPr>
          <w:p w14:paraId="78F5483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140" w:type="dxa"/>
          </w:tcPr>
          <w:p w14:paraId="74E101F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r>
      <w:tr w:rsidR="00860B4B" w:rsidRPr="00D03F3E" w14:paraId="2CE31A65" w14:textId="77777777">
        <w:trPr>
          <w:jc w:val="center"/>
        </w:trPr>
        <w:tc>
          <w:tcPr>
            <w:tcW w:w="4080" w:type="dxa"/>
          </w:tcPr>
          <w:p w14:paraId="7B622D4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152 мм артустановки Б-59А для транспортеров Б-64</w:t>
            </w:r>
          </w:p>
        </w:tc>
        <w:tc>
          <w:tcPr>
            <w:tcW w:w="1980" w:type="dxa"/>
          </w:tcPr>
          <w:p w14:paraId="006FFBC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1275" w:type="dxa"/>
          </w:tcPr>
          <w:p w14:paraId="631B967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1140" w:type="dxa"/>
          </w:tcPr>
          <w:p w14:paraId="3467B5B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140" w:type="dxa"/>
          </w:tcPr>
          <w:p w14:paraId="09B2D6B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6524B209" w14:textId="77777777">
        <w:trPr>
          <w:jc w:val="center"/>
        </w:trPr>
        <w:tc>
          <w:tcPr>
            <w:tcW w:w="4080" w:type="dxa"/>
          </w:tcPr>
          <w:p w14:paraId="1F78633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 мм, 152 мм и 130 мм лейнера для атрсистем Б-1-II и Б-13. II серия</w:t>
            </w:r>
          </w:p>
        </w:tc>
        <w:tc>
          <w:tcPr>
            <w:tcW w:w="1980" w:type="dxa"/>
          </w:tcPr>
          <w:p w14:paraId="68831C9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c>
          <w:tcPr>
            <w:tcW w:w="1275" w:type="dxa"/>
          </w:tcPr>
          <w:p w14:paraId="08ED482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tc>
        <w:tc>
          <w:tcPr>
            <w:tcW w:w="1140" w:type="dxa"/>
          </w:tcPr>
          <w:p w14:paraId="11F655A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tc>
        <w:tc>
          <w:tcPr>
            <w:tcW w:w="1140" w:type="dxa"/>
          </w:tcPr>
          <w:p w14:paraId="32403B0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tc>
      </w:tr>
      <w:tr w:rsidR="00860B4B" w:rsidRPr="00D03F3E" w14:paraId="390DAE1A" w14:textId="77777777">
        <w:trPr>
          <w:jc w:val="center"/>
        </w:trPr>
        <w:tc>
          <w:tcPr>
            <w:tcW w:w="4080" w:type="dxa"/>
          </w:tcPr>
          <w:p w14:paraId="4BCEFC3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Стреляющие приспособления для атрсистем Б-1-II и Б-13 II серия</w:t>
            </w:r>
          </w:p>
        </w:tc>
        <w:tc>
          <w:tcPr>
            <w:tcW w:w="1980" w:type="dxa"/>
          </w:tcPr>
          <w:p w14:paraId="5EAE372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c>
          <w:tcPr>
            <w:tcW w:w="1275" w:type="dxa"/>
          </w:tcPr>
          <w:p w14:paraId="5C877C7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tc>
        <w:tc>
          <w:tcPr>
            <w:tcW w:w="1140" w:type="dxa"/>
          </w:tcPr>
          <w:p w14:paraId="54BF714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tc>
        <w:tc>
          <w:tcPr>
            <w:tcW w:w="1140" w:type="dxa"/>
          </w:tcPr>
          <w:p w14:paraId="4F6A38B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tc>
      </w:tr>
      <w:tr w:rsidR="00860B4B" w:rsidRPr="00D03F3E" w14:paraId="519EAF10" w14:textId="77777777">
        <w:trPr>
          <w:jc w:val="center"/>
        </w:trPr>
        <w:tc>
          <w:tcPr>
            <w:tcW w:w="4080" w:type="dxa"/>
          </w:tcPr>
          <w:p w14:paraId="5CDCE01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Обтюрация для Б-1 и Б-13 II серия</w:t>
            </w:r>
          </w:p>
        </w:tc>
        <w:tc>
          <w:tcPr>
            <w:tcW w:w="1980" w:type="dxa"/>
          </w:tcPr>
          <w:p w14:paraId="208D47C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550</w:t>
            </w:r>
          </w:p>
        </w:tc>
        <w:tc>
          <w:tcPr>
            <w:tcW w:w="1275" w:type="dxa"/>
          </w:tcPr>
          <w:p w14:paraId="6707F92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c>
          <w:tcPr>
            <w:tcW w:w="1140" w:type="dxa"/>
          </w:tcPr>
          <w:p w14:paraId="37ED64A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w:t>
            </w:r>
          </w:p>
        </w:tc>
        <w:tc>
          <w:tcPr>
            <w:tcW w:w="1140" w:type="dxa"/>
          </w:tcPr>
          <w:p w14:paraId="293AD8D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w:t>
            </w:r>
          </w:p>
        </w:tc>
      </w:tr>
      <w:tr w:rsidR="00860B4B" w:rsidRPr="00D03F3E" w14:paraId="7F8EF568" w14:textId="77777777">
        <w:trPr>
          <w:jc w:val="center"/>
        </w:trPr>
        <w:tc>
          <w:tcPr>
            <w:tcW w:w="4080" w:type="dxa"/>
          </w:tcPr>
          <w:p w14:paraId="4FAEE0A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Перестволение 120 мм пушек </w:t>
            </w:r>
          </w:p>
        </w:tc>
        <w:tc>
          <w:tcPr>
            <w:tcW w:w="1980" w:type="dxa"/>
          </w:tcPr>
          <w:p w14:paraId="02EDAA2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tc>
        <w:tc>
          <w:tcPr>
            <w:tcW w:w="1275" w:type="dxa"/>
          </w:tcPr>
          <w:p w14:paraId="72A5968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140" w:type="dxa"/>
          </w:tcPr>
          <w:p w14:paraId="558D66C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1140" w:type="dxa"/>
          </w:tcPr>
          <w:p w14:paraId="2CACE30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r>
      <w:tr w:rsidR="00860B4B" w:rsidRPr="00D03F3E" w14:paraId="729B9793" w14:textId="77777777">
        <w:trPr>
          <w:jc w:val="center"/>
        </w:trPr>
        <w:tc>
          <w:tcPr>
            <w:tcW w:w="4080" w:type="dxa"/>
          </w:tcPr>
          <w:p w14:paraId="2A69A3D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Установки пулемета ДШК и пушки Швак</w:t>
            </w:r>
          </w:p>
        </w:tc>
        <w:tc>
          <w:tcPr>
            <w:tcW w:w="1980" w:type="dxa"/>
          </w:tcPr>
          <w:p w14:paraId="31C07D0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450</w:t>
            </w:r>
          </w:p>
        </w:tc>
        <w:tc>
          <w:tcPr>
            <w:tcW w:w="1275" w:type="dxa"/>
          </w:tcPr>
          <w:p w14:paraId="408A29C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w:t>
            </w:r>
          </w:p>
        </w:tc>
        <w:tc>
          <w:tcPr>
            <w:tcW w:w="1140" w:type="dxa"/>
          </w:tcPr>
          <w:p w14:paraId="0F725B4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w:t>
            </w:r>
          </w:p>
        </w:tc>
        <w:tc>
          <w:tcPr>
            <w:tcW w:w="1140" w:type="dxa"/>
          </w:tcPr>
          <w:p w14:paraId="3124FA1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w:t>
            </w:r>
          </w:p>
        </w:tc>
      </w:tr>
      <w:tr w:rsidR="00860B4B" w:rsidRPr="00D03F3E" w14:paraId="5A0D4416" w14:textId="77777777">
        <w:trPr>
          <w:jc w:val="center"/>
        </w:trPr>
        <w:tc>
          <w:tcPr>
            <w:tcW w:w="4080" w:type="dxa"/>
            <w:tcBorders>
              <w:bottom w:val="single" w:sz="12" w:space="0" w:color="auto"/>
            </w:tcBorders>
          </w:tcPr>
          <w:p w14:paraId="5612E45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Ремонтные и монтажные работы морских артустановок и артиллерии КБФ</w:t>
            </w:r>
          </w:p>
        </w:tc>
        <w:tc>
          <w:tcPr>
            <w:tcW w:w="1980" w:type="dxa"/>
            <w:tcBorders>
              <w:bottom w:val="single" w:sz="12" w:space="0" w:color="auto"/>
            </w:tcBorders>
          </w:tcPr>
          <w:p w14:paraId="2DCE432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млн.рб.</w:t>
            </w:r>
          </w:p>
        </w:tc>
        <w:tc>
          <w:tcPr>
            <w:tcW w:w="1275" w:type="dxa"/>
            <w:tcBorders>
              <w:bottom w:val="single" w:sz="12" w:space="0" w:color="auto"/>
            </w:tcBorders>
          </w:tcPr>
          <w:p w14:paraId="5CF32AC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 т.р.</w:t>
            </w:r>
          </w:p>
        </w:tc>
        <w:tc>
          <w:tcPr>
            <w:tcW w:w="1140" w:type="dxa"/>
            <w:tcBorders>
              <w:bottom w:val="single" w:sz="12" w:space="0" w:color="auto"/>
            </w:tcBorders>
          </w:tcPr>
          <w:p w14:paraId="77BDC91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700 т.р.</w:t>
            </w:r>
          </w:p>
        </w:tc>
        <w:tc>
          <w:tcPr>
            <w:tcW w:w="1140" w:type="dxa"/>
            <w:tcBorders>
              <w:bottom w:val="single" w:sz="12" w:space="0" w:color="auto"/>
            </w:tcBorders>
          </w:tcPr>
          <w:p w14:paraId="46D7A62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900 т.р.</w:t>
            </w:r>
          </w:p>
        </w:tc>
      </w:tr>
    </w:tbl>
    <w:p w14:paraId="49F9E2B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Для обеспечения выполнения задания установленного настоящим постановлением обязать Наркомвооружения т .УСТИНОВА и директора завода № 232 т .ЗАХАРЬИНА - провести следующие мероприятия:</w:t>
      </w:r>
    </w:p>
    <w:p w14:paraId="127CA2A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пустить во 2-м квартале 1943 года две мартеновских печи в старомартеновском цехе, с обеспечением выпуска 1000 тн. жидкой кислой и основной стали ежемесячно;</w:t>
      </w:r>
    </w:p>
    <w:p w14:paraId="52790F1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восстановить здание кузнечно-прессового цеха и пустить во 2-м квартале 1943 г. 3000 тн. парогидравлический ковочный пресс, с обеспечением выпуска по 130 тн. поковок в месяц;</w:t>
      </w:r>
    </w:p>
    <w:p w14:paraId="09452CE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восстановить здание термического цеха и пустить в эксплуатацию в июле 1943 г. вертикальную термическую печь и печь с выдвижной подиной;</w:t>
      </w:r>
    </w:p>
    <w:p w14:paraId="3DD7F58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закончить в III квартале 1943 г. строительство подземного мазуто-хранилища, емкостью на 3000 тн.</w:t>
      </w:r>
    </w:p>
    <w:p w14:paraId="20F2251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Обязать Наркомвооружения т.УСТИНОВА и директора завода №371 т .КОЖАРИНОВА - организовать производство узлов и деталей артсистем перечисленных в пункте первом настоящего постановления, а также ремонт морских башенных установок.</w:t>
      </w:r>
    </w:p>
    <w:p w14:paraId="0484B06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Номенклатуру изделий по заводу № 371 установить т.УСТИНОВУ.</w:t>
      </w:r>
    </w:p>
    <w:p w14:paraId="717128B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Обязать Наркомтанкопром т.ЗАЛЬЦМАНА поставить заводу № 232 HКВ по его чертежам щиты для артсистем Б-13. II сер.: в июне 1943 г. - 6 штук, в 3 квартале - 17 штук и в IV квартале - 18 штук.</w:t>
      </w:r>
    </w:p>
    <w:p w14:paraId="1D344D5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Обязать Ленинградский Горком ВКП(б) т.КУЗНЕЦОВА и Исполнительный Комитет - т. ПОПКОВА:</w:t>
      </w:r>
    </w:p>
    <w:p w14:paraId="7A87366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направить до 25 июня -1943т. на завод № 232 пятьсот человек рабочих и ИТР с других предприятий г. Ленинграда и в том числе сталеваров и рабочих мартеновских печей;</w:t>
      </w:r>
    </w:p>
    <w:p w14:paraId="303EF1A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выделить заводу № 232 семьдесят единиц станочного оборудования с законсервированных предприятий г.Ленинграда по спецификации завода;</w:t>
      </w:r>
    </w:p>
    <w:p w14:paraId="79CA2ED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обеспечить бесперебойный отпуск заводу № 232 электроэнергии на полную потребность;</w:t>
      </w:r>
    </w:p>
    <w:p w14:paraId="5C73183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освободить рабочих, ИТР и служащих заводов №№ 232 и 371 от мобилизации на трудовые работы по городу;</w:t>
      </w:r>
    </w:p>
    <w:p w14:paraId="4675B00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обеспечить заводы №№ 232 и 371 местными стройматериалами в количествах, необходимых для выполнения программы.</w:t>
      </w:r>
    </w:p>
    <w:p w14:paraId="2BEDFA0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Обязать Главное Управление Государственных Трудовых Резервов при СНК СССР - т.МОСКАТОВА увеличить в течение июня-июля 1943 г. контингент учеников в ремесленном училище № 7 при заводе № 232 до 800 человек, организовав обучение их по специальностям завода № 232, направляя всех оканчивающих училище только на этот завод.</w:t>
      </w:r>
    </w:p>
    <w:p w14:paraId="639D5B9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Обязать Начальника Управления НКВД по Ленинградской области -т .ШИКТОРОВА направить в июне на завод №232 300 человек заключенных для использования на заводе, а директору завода № 232 Т.ЗАХАРВИНУ подготовить для заключенных общежития с обеспечением необходимого режима и охраны.</w:t>
      </w:r>
    </w:p>
    <w:p w14:paraId="26D0B96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Обязать Промбанк СССР - т.ГРОССМАН финансировать строительные работы по восстановлению завода № 232 без проектов и смет.</w:t>
      </w:r>
    </w:p>
    <w:p w14:paraId="3064972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Обязать Наркомчермет - т.ТЕВОСЯН, Главснабуголь при СНК СССР - Т.ЛУКИНА, Наркомтекстиль - т. АКИМОВА, Наркомлегпром - т.ЛУКИНА, Наркомтекстиль - т. АКИМОВА, Наркомрезинпром - т.МИТРОХИНА и Главнефтеснаб при СНК СССР - т.ШИРОКОВА, поставить заводу № 232 НКВ материалы и топливо в количествах и сроки, согласно приложению.</w:t>
      </w:r>
    </w:p>
    <w:p w14:paraId="1E088A7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Госплан СССР - тов.ВОЗНЕСЕНСКОМУ включить в план III квартала 1943г. затраты на восстановительные работы по заводу № 232 НКВ - 1.800.000 рублей и по заводу № 371 НКВ - 1.000.000 рублей.</w:t>
      </w:r>
    </w:p>
    <w:p w14:paraId="48B5C1E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Обязать Наркомторг т. ЛЮБИМОВА выделять ежедневно с июня 1943 года дополнительных обедов без карточек Ленинградским заводам НКВ: №232 - 2000 и №371 - 1500 обедов.</w:t>
      </w:r>
    </w:p>
    <w:p w14:paraId="7FDC118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Обязать Ленинградский горком ВКИ(б) тов. КУЗНЕЦОВА оказать помощь заводам №№ 232 и 371 НКВ в организации производства морского вооружения и взять под контроль выполнение настоящего постановления.</w:t>
      </w:r>
    </w:p>
    <w:p w14:paraId="389A6A9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ГОСУДАРСТВЕННОГО КОМИТЕТА ОБОРОНЫ И.СТАЛИН (11813).</w:t>
      </w:r>
    </w:p>
    <w:p w14:paraId="16F84CB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Приложение </w:t>
      </w:r>
    </w:p>
    <w:p w14:paraId="4EA4003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постановлению ГОКО № 3583 сс от "15" июня 1943 г.</w:t>
      </w:r>
    </w:p>
    <w:p w14:paraId="04A921D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ВЕДОМОСТЬ материалов, выделяемых целевым назначением заводу №232 НКВ для выполнения производственной программы.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50"/>
        <w:gridCol w:w="2441"/>
        <w:gridCol w:w="1076"/>
        <w:gridCol w:w="1076"/>
        <w:gridCol w:w="1011"/>
        <w:gridCol w:w="1076"/>
        <w:gridCol w:w="1076"/>
        <w:gridCol w:w="1439"/>
        <w:gridCol w:w="1116"/>
      </w:tblGrid>
      <w:tr w:rsidR="00860B4B" w:rsidRPr="00D03F3E" w14:paraId="0FD25F71" w14:textId="77777777" w:rsidTr="00531570">
        <w:trPr>
          <w:jc w:val="center"/>
        </w:trPr>
        <w:tc>
          <w:tcPr>
            <w:tcW w:w="650" w:type="dxa"/>
            <w:tcBorders>
              <w:top w:val="single" w:sz="12" w:space="0" w:color="auto"/>
            </w:tcBorders>
          </w:tcPr>
          <w:p w14:paraId="6784D3A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п/п</w:t>
            </w:r>
          </w:p>
        </w:tc>
        <w:tc>
          <w:tcPr>
            <w:tcW w:w="2441" w:type="dxa"/>
            <w:tcBorders>
              <w:top w:val="single" w:sz="12" w:space="0" w:color="auto"/>
            </w:tcBorders>
          </w:tcPr>
          <w:p w14:paraId="6DB7B81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Наименование материалов</w:t>
            </w:r>
          </w:p>
        </w:tc>
        <w:tc>
          <w:tcPr>
            <w:tcW w:w="1076" w:type="dxa"/>
            <w:tcBorders>
              <w:top w:val="single" w:sz="12" w:space="0" w:color="auto"/>
            </w:tcBorders>
          </w:tcPr>
          <w:p w14:paraId="3C1EBDD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Един. изм.</w:t>
            </w:r>
          </w:p>
        </w:tc>
        <w:tc>
          <w:tcPr>
            <w:tcW w:w="1076" w:type="dxa"/>
            <w:gridSpan w:val="3"/>
            <w:tcBorders>
              <w:top w:val="single" w:sz="12" w:space="0" w:color="auto"/>
            </w:tcBorders>
          </w:tcPr>
          <w:p w14:paraId="0266FAB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Потребность</w:t>
            </w:r>
          </w:p>
        </w:tc>
        <w:tc>
          <w:tcPr>
            <w:tcW w:w="1076" w:type="dxa"/>
            <w:tcBorders>
              <w:top w:val="single" w:sz="12" w:space="0" w:color="auto"/>
            </w:tcBorders>
          </w:tcPr>
          <w:p w14:paraId="43ADFFA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на год</w:t>
            </w:r>
          </w:p>
        </w:tc>
        <w:tc>
          <w:tcPr>
            <w:tcW w:w="1439" w:type="dxa"/>
            <w:tcBorders>
              <w:top w:val="single" w:sz="12" w:space="0" w:color="auto"/>
            </w:tcBorders>
          </w:tcPr>
          <w:p w14:paraId="0534643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Источник покрытия </w:t>
            </w:r>
          </w:p>
        </w:tc>
        <w:tc>
          <w:tcPr>
            <w:tcW w:w="1116" w:type="dxa"/>
            <w:tcBorders>
              <w:top w:val="single" w:sz="12" w:space="0" w:color="auto"/>
            </w:tcBorders>
          </w:tcPr>
          <w:p w14:paraId="45F62AB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Поставщик</w:t>
            </w:r>
          </w:p>
        </w:tc>
      </w:tr>
      <w:tr w:rsidR="00860B4B" w:rsidRPr="00D03F3E" w14:paraId="6899FB41" w14:textId="77777777">
        <w:trPr>
          <w:jc w:val="center"/>
        </w:trPr>
        <w:tc>
          <w:tcPr>
            <w:tcW w:w="650" w:type="dxa"/>
          </w:tcPr>
          <w:p w14:paraId="14A4302B"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2441" w:type="dxa"/>
          </w:tcPr>
          <w:p w14:paraId="79D8AB59"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076" w:type="dxa"/>
          </w:tcPr>
          <w:p w14:paraId="08326B59"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076" w:type="dxa"/>
          </w:tcPr>
          <w:p w14:paraId="114CEC1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 квар-тал</w:t>
            </w:r>
          </w:p>
        </w:tc>
        <w:tc>
          <w:tcPr>
            <w:tcW w:w="1011" w:type="dxa"/>
          </w:tcPr>
          <w:p w14:paraId="4F0A992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III квар-тал</w:t>
            </w:r>
          </w:p>
        </w:tc>
        <w:tc>
          <w:tcPr>
            <w:tcW w:w="1076" w:type="dxa"/>
          </w:tcPr>
          <w:p w14:paraId="64A35D9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IV квар-тал</w:t>
            </w:r>
          </w:p>
        </w:tc>
        <w:tc>
          <w:tcPr>
            <w:tcW w:w="1076" w:type="dxa"/>
          </w:tcPr>
          <w:p w14:paraId="6A4A4890"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439" w:type="dxa"/>
          </w:tcPr>
          <w:p w14:paraId="3ECEACEE"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116" w:type="dxa"/>
          </w:tcPr>
          <w:p w14:paraId="19CD0087"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r>
      <w:tr w:rsidR="00860B4B" w:rsidRPr="00D03F3E" w14:paraId="7DF93BC7" w14:textId="77777777">
        <w:trPr>
          <w:jc w:val="center"/>
        </w:trPr>
        <w:tc>
          <w:tcPr>
            <w:tcW w:w="650" w:type="dxa"/>
          </w:tcPr>
          <w:p w14:paraId="7648E00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2441" w:type="dxa"/>
          </w:tcPr>
          <w:p w14:paraId="64C655B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Шамотных изделий</w:t>
            </w:r>
          </w:p>
        </w:tc>
        <w:tc>
          <w:tcPr>
            <w:tcW w:w="1076" w:type="dxa"/>
          </w:tcPr>
          <w:p w14:paraId="27D30EB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тн</w:t>
            </w:r>
          </w:p>
        </w:tc>
        <w:tc>
          <w:tcPr>
            <w:tcW w:w="1076" w:type="dxa"/>
          </w:tcPr>
          <w:p w14:paraId="66E970E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w:t>
            </w:r>
          </w:p>
        </w:tc>
        <w:tc>
          <w:tcPr>
            <w:tcW w:w="1011" w:type="dxa"/>
          </w:tcPr>
          <w:p w14:paraId="249C4A1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tc>
        <w:tc>
          <w:tcPr>
            <w:tcW w:w="1076" w:type="dxa"/>
          </w:tcPr>
          <w:p w14:paraId="1AD44DB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tc>
        <w:tc>
          <w:tcPr>
            <w:tcW w:w="1076" w:type="dxa"/>
          </w:tcPr>
          <w:p w14:paraId="5DB5759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775</w:t>
            </w:r>
          </w:p>
        </w:tc>
        <w:tc>
          <w:tcPr>
            <w:tcW w:w="1439" w:type="dxa"/>
          </w:tcPr>
          <w:p w14:paraId="156DDA9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втором квартале сверх фондов, выделенных НКВ на II кв. 1943 г.</w:t>
            </w:r>
          </w:p>
        </w:tc>
        <w:tc>
          <w:tcPr>
            <w:tcW w:w="1116" w:type="dxa"/>
          </w:tcPr>
          <w:p w14:paraId="32684C9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НКЧМ</w:t>
            </w:r>
          </w:p>
          <w:p w14:paraId="664F265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057F415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r w:rsidR="00860B4B" w:rsidRPr="00D03F3E" w14:paraId="37834485" w14:textId="77777777">
        <w:trPr>
          <w:jc w:val="center"/>
        </w:trPr>
        <w:tc>
          <w:tcPr>
            <w:tcW w:w="650" w:type="dxa"/>
          </w:tcPr>
          <w:p w14:paraId="5D77377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 </w:t>
            </w:r>
          </w:p>
        </w:tc>
        <w:tc>
          <w:tcPr>
            <w:tcW w:w="2441" w:type="dxa"/>
          </w:tcPr>
          <w:p w14:paraId="4197483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Динас</w:t>
            </w:r>
          </w:p>
        </w:tc>
        <w:tc>
          <w:tcPr>
            <w:tcW w:w="1076" w:type="dxa"/>
          </w:tcPr>
          <w:p w14:paraId="63BA2F1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076" w:type="dxa"/>
          </w:tcPr>
          <w:p w14:paraId="78AE29C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w:t>
            </w:r>
          </w:p>
        </w:tc>
        <w:tc>
          <w:tcPr>
            <w:tcW w:w="1011" w:type="dxa"/>
          </w:tcPr>
          <w:p w14:paraId="4C86752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tc>
        <w:tc>
          <w:tcPr>
            <w:tcW w:w="1076" w:type="dxa"/>
          </w:tcPr>
          <w:p w14:paraId="5D48ADA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w:t>
            </w:r>
          </w:p>
        </w:tc>
        <w:tc>
          <w:tcPr>
            <w:tcW w:w="1076" w:type="dxa"/>
          </w:tcPr>
          <w:p w14:paraId="483A0B9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625</w:t>
            </w:r>
          </w:p>
        </w:tc>
        <w:tc>
          <w:tcPr>
            <w:tcW w:w="1439" w:type="dxa"/>
          </w:tcPr>
          <w:p w14:paraId="75DBCE10"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116" w:type="dxa"/>
          </w:tcPr>
          <w:p w14:paraId="0C7D21B8"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r>
      <w:tr w:rsidR="00860B4B" w:rsidRPr="00D03F3E" w14:paraId="3DC96B38" w14:textId="77777777">
        <w:trPr>
          <w:jc w:val="center"/>
        </w:trPr>
        <w:tc>
          <w:tcPr>
            <w:tcW w:w="650" w:type="dxa"/>
          </w:tcPr>
          <w:p w14:paraId="41E8706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3. </w:t>
            </w:r>
          </w:p>
        </w:tc>
        <w:tc>
          <w:tcPr>
            <w:tcW w:w="2441" w:type="dxa"/>
          </w:tcPr>
          <w:p w14:paraId="0D2C908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Магнезит</w:t>
            </w:r>
          </w:p>
        </w:tc>
        <w:tc>
          <w:tcPr>
            <w:tcW w:w="1076" w:type="dxa"/>
          </w:tcPr>
          <w:p w14:paraId="01B09F7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076" w:type="dxa"/>
          </w:tcPr>
          <w:p w14:paraId="6FE1B88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tc>
        <w:tc>
          <w:tcPr>
            <w:tcW w:w="1011" w:type="dxa"/>
          </w:tcPr>
          <w:p w14:paraId="4171AE6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w:t>
            </w:r>
          </w:p>
        </w:tc>
        <w:tc>
          <w:tcPr>
            <w:tcW w:w="1076" w:type="dxa"/>
          </w:tcPr>
          <w:p w14:paraId="413D54C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tc>
        <w:tc>
          <w:tcPr>
            <w:tcW w:w="1076" w:type="dxa"/>
          </w:tcPr>
          <w:p w14:paraId="68EB281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w:t>
            </w:r>
          </w:p>
        </w:tc>
        <w:tc>
          <w:tcPr>
            <w:tcW w:w="1439" w:type="dxa"/>
          </w:tcPr>
          <w:p w14:paraId="206D0E16"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116" w:type="dxa"/>
          </w:tcPr>
          <w:p w14:paraId="12C229C7"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r>
      <w:tr w:rsidR="00860B4B" w:rsidRPr="00D03F3E" w14:paraId="5975AF1D" w14:textId="77777777">
        <w:trPr>
          <w:jc w:val="center"/>
        </w:trPr>
        <w:tc>
          <w:tcPr>
            <w:tcW w:w="650" w:type="dxa"/>
          </w:tcPr>
          <w:p w14:paraId="7323187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2441" w:type="dxa"/>
          </w:tcPr>
          <w:p w14:paraId="246E4DE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Уголь</w:t>
            </w:r>
          </w:p>
        </w:tc>
        <w:tc>
          <w:tcPr>
            <w:tcW w:w="1076" w:type="dxa"/>
          </w:tcPr>
          <w:p w14:paraId="36AF1AB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076" w:type="dxa"/>
          </w:tcPr>
          <w:p w14:paraId="76A1A89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3000</w:t>
            </w:r>
          </w:p>
        </w:tc>
        <w:tc>
          <w:tcPr>
            <w:tcW w:w="1011" w:type="dxa"/>
          </w:tcPr>
          <w:p w14:paraId="32CE74B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11000</w:t>
            </w:r>
          </w:p>
        </w:tc>
        <w:tc>
          <w:tcPr>
            <w:tcW w:w="1076" w:type="dxa"/>
          </w:tcPr>
          <w:p w14:paraId="356056B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11000</w:t>
            </w:r>
          </w:p>
        </w:tc>
        <w:tc>
          <w:tcPr>
            <w:tcW w:w="1076" w:type="dxa"/>
          </w:tcPr>
          <w:p w14:paraId="4BEA7F5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25000</w:t>
            </w:r>
            <w:r w:rsidRPr="00D03F3E">
              <w:rPr>
                <w:rFonts w:ascii="Times New Roman" w:hAnsi="Times New Roman"/>
                <w:color w:val="000000" w:themeColor="text1"/>
                <w:sz w:val="16"/>
                <w:szCs w:val="16"/>
                <w:vertAlign w:val="superscript"/>
              </w:rPr>
              <w:t>х)</w:t>
            </w:r>
          </w:p>
        </w:tc>
        <w:tc>
          <w:tcPr>
            <w:tcW w:w="1439" w:type="dxa"/>
          </w:tcPr>
          <w:p w14:paraId="7E2431E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III и IV кв. за счет фондов НКВ</w:t>
            </w:r>
          </w:p>
        </w:tc>
        <w:tc>
          <w:tcPr>
            <w:tcW w:w="1116" w:type="dxa"/>
          </w:tcPr>
          <w:p w14:paraId="4D9B4A1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Главснабуголь при СНК СССР</w:t>
            </w:r>
          </w:p>
        </w:tc>
      </w:tr>
      <w:tr w:rsidR="00860B4B" w:rsidRPr="00D03F3E" w14:paraId="0276EC3F" w14:textId="77777777">
        <w:trPr>
          <w:jc w:val="center"/>
        </w:trPr>
        <w:tc>
          <w:tcPr>
            <w:tcW w:w="650" w:type="dxa"/>
          </w:tcPr>
          <w:p w14:paraId="12CBE12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5. </w:t>
            </w:r>
          </w:p>
        </w:tc>
        <w:tc>
          <w:tcPr>
            <w:tcW w:w="2441" w:type="dxa"/>
          </w:tcPr>
          <w:p w14:paraId="328A359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Доменный уголь </w:t>
            </w:r>
          </w:p>
        </w:tc>
        <w:tc>
          <w:tcPr>
            <w:tcW w:w="1076" w:type="dxa"/>
          </w:tcPr>
          <w:p w14:paraId="7B35DAA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076" w:type="dxa"/>
          </w:tcPr>
          <w:p w14:paraId="5C1351B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tc>
        <w:tc>
          <w:tcPr>
            <w:tcW w:w="1011" w:type="dxa"/>
          </w:tcPr>
          <w:p w14:paraId="6C32300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w:t>
            </w:r>
          </w:p>
        </w:tc>
        <w:tc>
          <w:tcPr>
            <w:tcW w:w="1076" w:type="dxa"/>
          </w:tcPr>
          <w:p w14:paraId="5C6A050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w:t>
            </w:r>
          </w:p>
        </w:tc>
        <w:tc>
          <w:tcPr>
            <w:tcW w:w="1076" w:type="dxa"/>
          </w:tcPr>
          <w:p w14:paraId="6A5031F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350</w:t>
            </w:r>
          </w:p>
        </w:tc>
        <w:tc>
          <w:tcPr>
            <w:tcW w:w="1439" w:type="dxa"/>
          </w:tcPr>
          <w:p w14:paraId="2199A8B3"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116" w:type="dxa"/>
          </w:tcPr>
          <w:p w14:paraId="1EE997F2"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r>
      <w:tr w:rsidR="00860B4B" w:rsidRPr="00D03F3E" w14:paraId="6873D45D" w14:textId="77777777">
        <w:trPr>
          <w:jc w:val="center"/>
        </w:trPr>
        <w:tc>
          <w:tcPr>
            <w:tcW w:w="650" w:type="dxa"/>
          </w:tcPr>
          <w:p w14:paraId="2751CB6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6. </w:t>
            </w:r>
          </w:p>
        </w:tc>
        <w:tc>
          <w:tcPr>
            <w:tcW w:w="2441" w:type="dxa"/>
          </w:tcPr>
          <w:p w14:paraId="07F445A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Кокс</w:t>
            </w:r>
          </w:p>
        </w:tc>
        <w:tc>
          <w:tcPr>
            <w:tcW w:w="1076" w:type="dxa"/>
          </w:tcPr>
          <w:p w14:paraId="4121A48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076" w:type="dxa"/>
          </w:tcPr>
          <w:p w14:paraId="42B104F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tc>
        <w:tc>
          <w:tcPr>
            <w:tcW w:w="1011" w:type="dxa"/>
          </w:tcPr>
          <w:p w14:paraId="1C1752B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w:t>
            </w:r>
          </w:p>
        </w:tc>
        <w:tc>
          <w:tcPr>
            <w:tcW w:w="1076" w:type="dxa"/>
          </w:tcPr>
          <w:p w14:paraId="45CDF78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w:t>
            </w:r>
          </w:p>
        </w:tc>
        <w:tc>
          <w:tcPr>
            <w:tcW w:w="1076" w:type="dxa"/>
          </w:tcPr>
          <w:p w14:paraId="099E9C5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350</w:t>
            </w:r>
          </w:p>
        </w:tc>
        <w:tc>
          <w:tcPr>
            <w:tcW w:w="1439" w:type="dxa"/>
          </w:tcPr>
          <w:p w14:paraId="24E161D8"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116" w:type="dxa"/>
          </w:tcPr>
          <w:p w14:paraId="75736EF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НКЧМ</w:t>
            </w:r>
          </w:p>
        </w:tc>
      </w:tr>
      <w:tr w:rsidR="00860B4B" w:rsidRPr="00D03F3E" w14:paraId="7C00C385" w14:textId="77777777">
        <w:trPr>
          <w:jc w:val="center"/>
        </w:trPr>
        <w:tc>
          <w:tcPr>
            <w:tcW w:w="650" w:type="dxa"/>
          </w:tcPr>
          <w:p w14:paraId="3EA6D24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c>
          <w:tcPr>
            <w:tcW w:w="2441" w:type="dxa"/>
          </w:tcPr>
          <w:p w14:paraId="20DD7CC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Толь</w:t>
            </w:r>
          </w:p>
        </w:tc>
        <w:tc>
          <w:tcPr>
            <w:tcW w:w="1076" w:type="dxa"/>
          </w:tcPr>
          <w:p w14:paraId="6C08C4B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рул.</w:t>
            </w:r>
          </w:p>
        </w:tc>
        <w:tc>
          <w:tcPr>
            <w:tcW w:w="1076" w:type="dxa"/>
          </w:tcPr>
          <w:p w14:paraId="276FAC4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w:t>
            </w:r>
          </w:p>
        </w:tc>
        <w:tc>
          <w:tcPr>
            <w:tcW w:w="1011" w:type="dxa"/>
          </w:tcPr>
          <w:p w14:paraId="0231B75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w:t>
            </w:r>
          </w:p>
        </w:tc>
        <w:tc>
          <w:tcPr>
            <w:tcW w:w="1076" w:type="dxa"/>
          </w:tcPr>
          <w:p w14:paraId="4853C61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tc>
        <w:tc>
          <w:tcPr>
            <w:tcW w:w="1076" w:type="dxa"/>
          </w:tcPr>
          <w:p w14:paraId="50E27A3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3000</w:t>
            </w:r>
          </w:p>
        </w:tc>
        <w:tc>
          <w:tcPr>
            <w:tcW w:w="1439" w:type="dxa"/>
          </w:tcPr>
          <w:p w14:paraId="1B78042D"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116" w:type="dxa"/>
          </w:tcPr>
          <w:p w14:paraId="6644E48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НКПСМ</w:t>
            </w:r>
          </w:p>
        </w:tc>
      </w:tr>
      <w:tr w:rsidR="00860B4B" w:rsidRPr="00D03F3E" w14:paraId="323626BA" w14:textId="77777777">
        <w:trPr>
          <w:jc w:val="center"/>
        </w:trPr>
        <w:tc>
          <w:tcPr>
            <w:tcW w:w="650" w:type="dxa"/>
          </w:tcPr>
          <w:p w14:paraId="4459BE6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8. </w:t>
            </w:r>
          </w:p>
        </w:tc>
        <w:tc>
          <w:tcPr>
            <w:tcW w:w="2441" w:type="dxa"/>
          </w:tcPr>
          <w:p w14:paraId="41EA3D4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Руберойд</w:t>
            </w:r>
          </w:p>
        </w:tc>
        <w:tc>
          <w:tcPr>
            <w:tcW w:w="1076" w:type="dxa"/>
          </w:tcPr>
          <w:p w14:paraId="523D87B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076" w:type="dxa"/>
          </w:tcPr>
          <w:p w14:paraId="1D8B3BF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w:t>
            </w:r>
          </w:p>
        </w:tc>
        <w:tc>
          <w:tcPr>
            <w:tcW w:w="1011" w:type="dxa"/>
          </w:tcPr>
          <w:p w14:paraId="0187273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tc>
        <w:tc>
          <w:tcPr>
            <w:tcW w:w="1076" w:type="dxa"/>
          </w:tcPr>
          <w:p w14:paraId="38F8A90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tc>
        <w:tc>
          <w:tcPr>
            <w:tcW w:w="1076" w:type="dxa"/>
          </w:tcPr>
          <w:p w14:paraId="3679139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w:t>
            </w:r>
          </w:p>
        </w:tc>
        <w:tc>
          <w:tcPr>
            <w:tcW w:w="1439" w:type="dxa"/>
          </w:tcPr>
          <w:p w14:paraId="5DF04C15"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116" w:type="dxa"/>
          </w:tcPr>
          <w:p w14:paraId="66A3BA7C"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r>
      <w:tr w:rsidR="00860B4B" w:rsidRPr="00D03F3E" w14:paraId="57B3C0A8" w14:textId="77777777">
        <w:trPr>
          <w:jc w:val="center"/>
        </w:trPr>
        <w:tc>
          <w:tcPr>
            <w:tcW w:w="650" w:type="dxa"/>
          </w:tcPr>
          <w:p w14:paraId="627874D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tc>
        <w:tc>
          <w:tcPr>
            <w:tcW w:w="2441" w:type="dxa"/>
          </w:tcPr>
          <w:p w14:paraId="4226B8E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Пергамин</w:t>
            </w:r>
          </w:p>
        </w:tc>
        <w:tc>
          <w:tcPr>
            <w:tcW w:w="1076" w:type="dxa"/>
          </w:tcPr>
          <w:p w14:paraId="628FCE6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076" w:type="dxa"/>
          </w:tcPr>
          <w:p w14:paraId="41EF365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w:t>
            </w:r>
          </w:p>
        </w:tc>
        <w:tc>
          <w:tcPr>
            <w:tcW w:w="1011" w:type="dxa"/>
          </w:tcPr>
          <w:p w14:paraId="110576E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tc>
        <w:tc>
          <w:tcPr>
            <w:tcW w:w="1076" w:type="dxa"/>
          </w:tcPr>
          <w:p w14:paraId="19AF9C6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w:t>
            </w:r>
          </w:p>
        </w:tc>
        <w:tc>
          <w:tcPr>
            <w:tcW w:w="1076" w:type="dxa"/>
          </w:tcPr>
          <w:p w14:paraId="01106B3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700</w:t>
            </w:r>
          </w:p>
        </w:tc>
        <w:tc>
          <w:tcPr>
            <w:tcW w:w="1439" w:type="dxa"/>
          </w:tcPr>
          <w:p w14:paraId="6DED2B16"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116" w:type="dxa"/>
          </w:tcPr>
          <w:p w14:paraId="3E9AE799"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r>
      <w:tr w:rsidR="00860B4B" w:rsidRPr="00D03F3E" w14:paraId="0CFBD2E5" w14:textId="77777777">
        <w:trPr>
          <w:jc w:val="center"/>
        </w:trPr>
        <w:tc>
          <w:tcPr>
            <w:tcW w:w="650" w:type="dxa"/>
          </w:tcPr>
          <w:p w14:paraId="25F2D25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10.</w:t>
            </w:r>
          </w:p>
        </w:tc>
        <w:tc>
          <w:tcPr>
            <w:tcW w:w="2441" w:type="dxa"/>
          </w:tcPr>
          <w:p w14:paraId="6F7BF6E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Стекло оконное</w:t>
            </w:r>
          </w:p>
        </w:tc>
        <w:tc>
          <w:tcPr>
            <w:tcW w:w="1076" w:type="dxa"/>
          </w:tcPr>
          <w:p w14:paraId="01BB9E3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М.2</w:t>
            </w:r>
          </w:p>
        </w:tc>
        <w:tc>
          <w:tcPr>
            <w:tcW w:w="1076" w:type="dxa"/>
          </w:tcPr>
          <w:p w14:paraId="15B2452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5000</w:t>
            </w:r>
          </w:p>
        </w:tc>
        <w:tc>
          <w:tcPr>
            <w:tcW w:w="1011" w:type="dxa"/>
          </w:tcPr>
          <w:p w14:paraId="7312DAF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7500</w:t>
            </w:r>
          </w:p>
        </w:tc>
        <w:tc>
          <w:tcPr>
            <w:tcW w:w="1076" w:type="dxa"/>
          </w:tcPr>
          <w:p w14:paraId="3566BCE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7500</w:t>
            </w:r>
          </w:p>
        </w:tc>
        <w:tc>
          <w:tcPr>
            <w:tcW w:w="1076" w:type="dxa"/>
          </w:tcPr>
          <w:p w14:paraId="416A945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20000</w:t>
            </w:r>
          </w:p>
        </w:tc>
        <w:tc>
          <w:tcPr>
            <w:tcW w:w="1439" w:type="dxa"/>
          </w:tcPr>
          <w:p w14:paraId="30CA531B"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116" w:type="dxa"/>
          </w:tcPr>
          <w:p w14:paraId="5CE309CD"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r>
      <w:tr w:rsidR="00860B4B" w:rsidRPr="00D03F3E" w14:paraId="3BFA074A" w14:textId="77777777">
        <w:trPr>
          <w:jc w:val="center"/>
        </w:trPr>
        <w:tc>
          <w:tcPr>
            <w:tcW w:w="650" w:type="dxa"/>
          </w:tcPr>
          <w:p w14:paraId="33D6515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tc>
        <w:tc>
          <w:tcPr>
            <w:tcW w:w="2441" w:type="dxa"/>
          </w:tcPr>
          <w:p w14:paraId="3FFC432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Кожа хром чепрак д/воротников</w:t>
            </w:r>
          </w:p>
        </w:tc>
        <w:tc>
          <w:tcPr>
            <w:tcW w:w="1076" w:type="dxa"/>
          </w:tcPr>
          <w:p w14:paraId="4BA8743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тн.</w:t>
            </w:r>
          </w:p>
        </w:tc>
        <w:tc>
          <w:tcPr>
            <w:tcW w:w="1076" w:type="dxa"/>
          </w:tcPr>
          <w:p w14:paraId="187EA43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0,5</w:t>
            </w:r>
          </w:p>
        </w:tc>
        <w:tc>
          <w:tcPr>
            <w:tcW w:w="1011" w:type="dxa"/>
          </w:tcPr>
          <w:p w14:paraId="4D6F9E9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c>
          <w:tcPr>
            <w:tcW w:w="1076" w:type="dxa"/>
          </w:tcPr>
          <w:p w14:paraId="4E23C5F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c>
          <w:tcPr>
            <w:tcW w:w="1076" w:type="dxa"/>
          </w:tcPr>
          <w:p w14:paraId="4D6DAC8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w:t>
            </w:r>
          </w:p>
        </w:tc>
        <w:tc>
          <w:tcPr>
            <w:tcW w:w="1439" w:type="dxa"/>
          </w:tcPr>
          <w:p w14:paraId="037FB7AB"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116" w:type="dxa"/>
          </w:tcPr>
          <w:p w14:paraId="55B5D6B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НКЛП</w:t>
            </w:r>
          </w:p>
        </w:tc>
      </w:tr>
      <w:tr w:rsidR="00860B4B" w:rsidRPr="00D03F3E" w14:paraId="6B37886C" w14:textId="77777777">
        <w:trPr>
          <w:jc w:val="center"/>
        </w:trPr>
        <w:tc>
          <w:tcPr>
            <w:tcW w:w="650" w:type="dxa"/>
          </w:tcPr>
          <w:p w14:paraId="01F6643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tc>
        <w:tc>
          <w:tcPr>
            <w:tcW w:w="2441" w:type="dxa"/>
          </w:tcPr>
          <w:p w14:paraId="646EA27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Пеньковые канаты диаметром 40-70 мм</w:t>
            </w:r>
          </w:p>
        </w:tc>
        <w:tc>
          <w:tcPr>
            <w:tcW w:w="1076" w:type="dxa"/>
          </w:tcPr>
          <w:p w14:paraId="035C647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076" w:type="dxa"/>
          </w:tcPr>
          <w:p w14:paraId="0A86E58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c>
          <w:tcPr>
            <w:tcW w:w="1011" w:type="dxa"/>
          </w:tcPr>
          <w:p w14:paraId="74210E2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tc>
        <w:tc>
          <w:tcPr>
            <w:tcW w:w="1076" w:type="dxa"/>
          </w:tcPr>
          <w:p w14:paraId="3329471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tc>
        <w:tc>
          <w:tcPr>
            <w:tcW w:w="1076" w:type="dxa"/>
          </w:tcPr>
          <w:p w14:paraId="5198EB2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c>
          <w:tcPr>
            <w:tcW w:w="1439" w:type="dxa"/>
          </w:tcPr>
          <w:p w14:paraId="728176E0"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116" w:type="dxa"/>
          </w:tcPr>
          <w:p w14:paraId="6BBA756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Наркомтекстильпром</w:t>
            </w:r>
          </w:p>
        </w:tc>
      </w:tr>
      <w:tr w:rsidR="00860B4B" w:rsidRPr="00D03F3E" w14:paraId="09D3B082" w14:textId="77777777">
        <w:trPr>
          <w:jc w:val="center"/>
        </w:trPr>
        <w:tc>
          <w:tcPr>
            <w:tcW w:w="650" w:type="dxa"/>
          </w:tcPr>
          <w:p w14:paraId="4C798F7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w:t>
            </w:r>
          </w:p>
        </w:tc>
        <w:tc>
          <w:tcPr>
            <w:tcW w:w="2441" w:type="dxa"/>
          </w:tcPr>
          <w:p w14:paraId="6E82C32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Мазут</w:t>
            </w:r>
          </w:p>
        </w:tc>
        <w:tc>
          <w:tcPr>
            <w:tcW w:w="1076" w:type="dxa"/>
          </w:tcPr>
          <w:p w14:paraId="29852B4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076" w:type="dxa"/>
          </w:tcPr>
          <w:p w14:paraId="74D9E52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tc>
        <w:tc>
          <w:tcPr>
            <w:tcW w:w="1011" w:type="dxa"/>
          </w:tcPr>
          <w:p w14:paraId="663A243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3000</w:t>
            </w:r>
          </w:p>
        </w:tc>
        <w:tc>
          <w:tcPr>
            <w:tcW w:w="1076" w:type="dxa"/>
          </w:tcPr>
          <w:p w14:paraId="5F8C8B2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3000</w:t>
            </w:r>
          </w:p>
        </w:tc>
        <w:tc>
          <w:tcPr>
            <w:tcW w:w="1076" w:type="dxa"/>
          </w:tcPr>
          <w:p w14:paraId="2DC2447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7000</w:t>
            </w:r>
          </w:p>
        </w:tc>
        <w:tc>
          <w:tcPr>
            <w:tcW w:w="1439" w:type="dxa"/>
          </w:tcPr>
          <w:p w14:paraId="10C923A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IIIи II кв. за счет фондов НКВ</w:t>
            </w:r>
          </w:p>
        </w:tc>
        <w:tc>
          <w:tcPr>
            <w:tcW w:w="1116" w:type="dxa"/>
          </w:tcPr>
          <w:p w14:paraId="0F6AA8A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Главнефтесбыт при СНК СССР</w:t>
            </w:r>
          </w:p>
        </w:tc>
      </w:tr>
      <w:tr w:rsidR="00860B4B" w:rsidRPr="00D03F3E" w14:paraId="1693A19D" w14:textId="77777777">
        <w:trPr>
          <w:jc w:val="center"/>
        </w:trPr>
        <w:tc>
          <w:tcPr>
            <w:tcW w:w="650" w:type="dxa"/>
            <w:tcBorders>
              <w:bottom w:val="single" w:sz="12" w:space="0" w:color="auto"/>
            </w:tcBorders>
          </w:tcPr>
          <w:p w14:paraId="19272F6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w:t>
            </w:r>
          </w:p>
        </w:tc>
        <w:tc>
          <w:tcPr>
            <w:tcW w:w="2441" w:type="dxa"/>
            <w:tcBorders>
              <w:bottom w:val="single" w:sz="12" w:space="0" w:color="auto"/>
            </w:tcBorders>
          </w:tcPr>
          <w:p w14:paraId="0F52B43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Лойон диаметр 15-30 и 1,0-1,5 мт (набивка)</w:t>
            </w:r>
          </w:p>
        </w:tc>
        <w:tc>
          <w:tcPr>
            <w:tcW w:w="1076" w:type="dxa"/>
            <w:tcBorders>
              <w:bottom w:val="single" w:sz="12" w:space="0" w:color="auto"/>
            </w:tcBorders>
          </w:tcPr>
          <w:p w14:paraId="72D8C9D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шт.</w:t>
            </w:r>
          </w:p>
        </w:tc>
        <w:tc>
          <w:tcPr>
            <w:tcW w:w="1076" w:type="dxa"/>
            <w:tcBorders>
              <w:bottom w:val="single" w:sz="12" w:space="0" w:color="auto"/>
            </w:tcBorders>
          </w:tcPr>
          <w:p w14:paraId="01C3525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tc>
        <w:tc>
          <w:tcPr>
            <w:tcW w:w="1011" w:type="dxa"/>
            <w:tcBorders>
              <w:bottom w:val="single" w:sz="12" w:space="0" w:color="auto"/>
            </w:tcBorders>
          </w:tcPr>
          <w:p w14:paraId="3D3A670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w:t>
            </w:r>
          </w:p>
        </w:tc>
        <w:tc>
          <w:tcPr>
            <w:tcW w:w="1076" w:type="dxa"/>
            <w:tcBorders>
              <w:bottom w:val="single" w:sz="12" w:space="0" w:color="auto"/>
            </w:tcBorders>
          </w:tcPr>
          <w:p w14:paraId="048EB9A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w:t>
            </w:r>
          </w:p>
        </w:tc>
        <w:tc>
          <w:tcPr>
            <w:tcW w:w="1076" w:type="dxa"/>
            <w:tcBorders>
              <w:bottom w:val="single" w:sz="12" w:space="0" w:color="auto"/>
            </w:tcBorders>
          </w:tcPr>
          <w:p w14:paraId="72752B2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350</w:t>
            </w:r>
          </w:p>
        </w:tc>
        <w:tc>
          <w:tcPr>
            <w:tcW w:w="1439" w:type="dxa"/>
            <w:tcBorders>
              <w:bottom w:val="single" w:sz="12" w:space="0" w:color="auto"/>
            </w:tcBorders>
          </w:tcPr>
          <w:p w14:paraId="1405A887" w14:textId="77777777" w:rsidR="00531570" w:rsidRPr="00D03F3E" w:rsidRDefault="00531570" w:rsidP="00D03F3E">
            <w:pPr>
              <w:spacing w:after="0" w:line="240" w:lineRule="auto"/>
              <w:jc w:val="both"/>
              <w:rPr>
                <w:rFonts w:ascii="Times New Roman" w:hAnsi="Times New Roman"/>
                <w:color w:val="000000" w:themeColor="text1"/>
                <w:sz w:val="16"/>
                <w:szCs w:val="16"/>
              </w:rPr>
            </w:pPr>
          </w:p>
        </w:tc>
        <w:tc>
          <w:tcPr>
            <w:tcW w:w="1116" w:type="dxa"/>
            <w:tcBorders>
              <w:bottom w:val="single" w:sz="12" w:space="0" w:color="auto"/>
            </w:tcBorders>
          </w:tcPr>
          <w:p w14:paraId="381EF46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Наркомрезинпром</w:t>
            </w:r>
          </w:p>
        </w:tc>
      </w:tr>
    </w:tbl>
    <w:p w14:paraId="38ABB75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(11813).</w:t>
      </w:r>
    </w:p>
    <w:p w14:paraId="2EA62E86"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85385F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 вышло Постановление ГКО № 3584 Об аппаратуре для правительственной ВЧ связи.РГАНИР, Фонд ГКО, д. 126, лл. 145-151, 152-158 (11012).</w:t>
      </w:r>
    </w:p>
    <w:p w14:paraId="774688C0"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67F926E8" w14:textId="77777777" w:rsidR="00435CF7" w:rsidRPr="00D03F3E" w:rsidRDefault="00435C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 г. постановлением ГКО № 3584сс «Об аппаратуре для правительственной ВЧ связи» наряду с рядом заводов и учреждений НКЭП завод № 209 был приравнен к оборонным предприятиям. Их рабочие и ИТР освобождались от мобилизации в РККА, а из ее рядов подлежали демобилизации квалифицированные рабочие, трудившиеся ранее на «Красной заре», с целью их использования по специальности на этих предприятиях. Поставку материалов предписывалось осуществлять в первоочередном порядке наравне с авиационной и танковой промышленностью, они подлежали бесперебойному снабжению электроэнергией, водой с включением их в список неотключаемых предприятий. Для рабочих выделялось дополнительное питание, для выпускников ремесленных училищ – обувь и одежда. Выделялся автотранспорт, оборудование, станки и материалы (18297).</w:t>
      </w:r>
    </w:p>
    <w:p w14:paraId="5C56878B" w14:textId="77777777" w:rsidR="00435CF7" w:rsidRPr="00D03F3E" w:rsidRDefault="00435CF7" w:rsidP="00D03F3E">
      <w:pPr>
        <w:spacing w:after="0" w:line="240" w:lineRule="auto"/>
        <w:jc w:val="both"/>
        <w:rPr>
          <w:rFonts w:ascii="Times New Roman" w:hAnsi="Times New Roman"/>
          <w:color w:val="000000" w:themeColor="text1"/>
          <w:sz w:val="16"/>
          <w:szCs w:val="16"/>
        </w:rPr>
      </w:pPr>
    </w:p>
    <w:p w14:paraId="7E9AC399"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 вышло Постановление ГКО № 3585 О мероприятиях по обеспечению ввода в эксплуатацию колесного цеха Челябинского кузнечно-прессового завода им. Сталина Наркомсредмаша.РГАНИР, Фонд ГКО, д. 126, лл. 159-161, 162-167 (11012).</w:t>
      </w:r>
    </w:p>
    <w:p w14:paraId="124EB833"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70FD3A7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 г. вышло постановление ГКО № 3585 о мероприятиях по вводу в эксплуатацию колесного цеха завода (Челябинский кузнечно-прессовый завод им. Сталина НКСМ); 28.08.1943 г. - постановление ГКО № 3989 о сроке пуска в эксплуатацию колесного цеха. 12.12.1944 г. вышло постановление ГКО № 7122 о увеличении производственных мощностей завода.</w:t>
      </w:r>
    </w:p>
    <w:p w14:paraId="3DB9D5E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1976 г. Челябинский кузнечно-прессовый завод вошел в состав Уральского объединения по производству грузовых автомобилей (11982).</w:t>
      </w:r>
    </w:p>
    <w:p w14:paraId="1D50E381" w14:textId="77777777" w:rsidR="00292C7B" w:rsidRPr="00D03F3E" w:rsidRDefault="00292C7B" w:rsidP="00D03F3E">
      <w:pPr>
        <w:pStyle w:val="Iauiue"/>
        <w:jc w:val="both"/>
        <w:rPr>
          <w:color w:val="000000" w:themeColor="text1"/>
          <w:sz w:val="16"/>
          <w:szCs w:val="16"/>
        </w:rPr>
      </w:pPr>
    </w:p>
    <w:p w14:paraId="43348FC0"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 июня 1943 был создан первый в КА радиолокационный полк (2989). Полк был образован на базе 337 отдельного радиобатальона ВНОС МФ ПВО (3398,211).</w:t>
      </w:r>
    </w:p>
    <w:p w14:paraId="527B81F4" w14:textId="77777777" w:rsidR="00531570" w:rsidRPr="00D03F3E" w:rsidRDefault="00531570" w:rsidP="00D03F3E">
      <w:pPr>
        <w:pStyle w:val="Iauiue"/>
        <w:jc w:val="both"/>
        <w:rPr>
          <w:color w:val="000000" w:themeColor="text1"/>
          <w:sz w:val="16"/>
          <w:szCs w:val="16"/>
        </w:rPr>
      </w:pPr>
    </w:p>
    <w:p w14:paraId="6735593C"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15 июня 1943 вышло Постановление ГКО № 3581 О мерах неотложной помощи шахтам Кузнецкого бассейна по увеличению добычи и улучшению качества коксующихся углей. (7115, 73-97,98-121).</w:t>
      </w:r>
    </w:p>
    <w:p w14:paraId="04AD4CB6" w14:textId="77777777" w:rsidR="00531570" w:rsidRPr="00D03F3E" w:rsidRDefault="00531570" w:rsidP="00D03F3E">
      <w:pPr>
        <w:pStyle w:val="Iauiue"/>
        <w:tabs>
          <w:tab w:val="left" w:pos="11199"/>
        </w:tabs>
        <w:jc w:val="both"/>
        <w:rPr>
          <w:color w:val="000000" w:themeColor="text1"/>
          <w:sz w:val="16"/>
          <w:szCs w:val="16"/>
        </w:rPr>
      </w:pPr>
    </w:p>
    <w:p w14:paraId="0764838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 В разных стадиях постройки находилось 16 БМО; передан флоту третий БМО (10671).</w:t>
      </w:r>
    </w:p>
    <w:p w14:paraId="3616F90F"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2A5D8992"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Армия:</w:t>
      </w:r>
    </w:p>
    <w:p w14:paraId="617366B3" w14:textId="77777777" w:rsidR="00531570" w:rsidRPr="00D03F3E" w:rsidRDefault="00531570" w:rsidP="00D03F3E">
      <w:pPr>
        <w:pStyle w:val="Iauiue"/>
        <w:jc w:val="both"/>
        <w:rPr>
          <w:iCs/>
          <w:color w:val="000000" w:themeColor="text1"/>
          <w:sz w:val="16"/>
          <w:szCs w:val="16"/>
        </w:rPr>
      </w:pPr>
    </w:p>
    <w:p w14:paraId="2337D7DE"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15 июня</w:t>
      </w:r>
      <w:r w:rsidRPr="00D03F3E">
        <w:rPr>
          <w:rFonts w:ascii="Times New Roman" w:hAnsi="Times New Roman"/>
          <w:color w:val="000000" w:themeColor="text1"/>
          <w:sz w:val="16"/>
          <w:szCs w:val="16"/>
        </w:rPr>
        <w:t xml:space="preserve"> в 1943 году утреннее сообщение Совинформбюро:</w:t>
      </w:r>
    </w:p>
    <w:p w14:paraId="30611646"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15 июня на фронте ничего существенного не произошло.</w:t>
      </w:r>
    </w:p>
    <w:p w14:paraId="17A03EDE"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артиллеристы Н-ской части разрушили 7 немецких дзотов и блиндажей, уничтожили орудие и несколько пулемётов противника. Девять снайперов под командованием младшего лейтенанта т. Хазова за последние дни уничтожили 93 немецких солдата и офицера.</w:t>
      </w:r>
    </w:p>
    <w:p w14:paraId="79989067"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Мценска противник силами пехоты, действовавшей при поддержке танков и авиации, предпринял несколько контратак, пытаясь вернуть потерянные импозиции. Все атаки гитлеровцев отбиты с большими для противника потерями. Только на одном участке наши подразделения уничтожили до 200 немецких солдат и офицеров. Огнём зенитной артиллерии сбито 3 немецких самолёта.</w:t>
      </w:r>
    </w:p>
    <w:p w14:paraId="6CE8C3BD"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наши бойцы ночью заметили большую группу немецких разведчиков, пробиравшихся к советским позициям. Выбрав удобный момент, гвардии красноармеец Кабасин Абдурахманов бросился на немецкого офицера, возглавлявшего разведку, и захватил его в плен. В это время другие бойцы атаковали остальных гитлеровцев и большую часть из них уничтожили. Тов. Абдурахманов доставил захваченного им в плен немецкого офицера в штаб своей части.</w:t>
      </w:r>
    </w:p>
    <w:p w14:paraId="38AA2179"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миномётчики разрушили 5 немецких блиндажей, уничтожили батарею шестиствольных миномётов и 4 пулемётные точки противника. На одном участке отряд немцев предпринял разведку боем. Не достигнув переднего края нашей обороны, гитлеровцы были рассеяны. На поле боя осталось несколько десятков вражеских трупов.</w:t>
      </w:r>
    </w:p>
    <w:p w14:paraId="71D2E384"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наши части вели огневой бой. Разрушено 10 немецких дзотов и 8 блиндажей, взорван склад боеприпасов, рассеяно и частью уничтожено до роты гитлеровцев.</w:t>
      </w:r>
    </w:p>
    <w:p w14:paraId="426F2083"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Житомирской области, обстреляли из засады легковую автомашину и убили двух офицеров и начальника немецкой полиции города Коростень. Другая группа партизан взорвала мост через реку. Пять партизан из отряда имени Боженко пустили под откос немецкий воинский поезд. Разбито 6 вагонов, в которых ехали немецко-фашистские оккупанты.</w:t>
      </w:r>
    </w:p>
    <w:p w14:paraId="3C3F083F"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старший капрал испанской дивизии Франциско Б. рассказал: «В феврале дивизия понесла тяжёлые потери. С тех пор все солдаты живут в постоянной тревоге. Они считают, что военное положение Германии резко ухудшилось, и стремятся, пока не поздно, вырваться из России. Недавно в состав дивизии влился 22 маршевый батальон. Прибывшие офицеры открыто возмущались тем, что их против воли послали в Россию. Один лейтенант еще в Германии отбился от эшелона и где-то застрял. Группа солдат дезертировала по дороге на фронт. Около 30 человек из этого батальона были признаны неблагонадёжными и отправлены обратно в Испанию».</w:t>
      </w:r>
    </w:p>
    <w:p w14:paraId="592C3DBD"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Бельгии патриоты взорвали шлюз и дамбу на канале Дандр. Прибывший к месту происшествия отряд гестаповцев был встречен ружейно-пулемётным огнём. В Шарлеруа рабочие одного крупного предприятия вывели из строя два подъёмных крана. Близ Мехельна вольные стрелки в нескольких местах повредили железнодорожный путь.» (14923).</w:t>
      </w:r>
    </w:p>
    <w:p w14:paraId="1149683C" w14:textId="77777777" w:rsidR="00292C7B" w:rsidRPr="00D03F3E" w:rsidRDefault="00292C7B" w:rsidP="00D03F3E">
      <w:pPr>
        <w:spacing w:after="0" w:line="240" w:lineRule="auto"/>
        <w:jc w:val="both"/>
        <w:rPr>
          <w:rFonts w:ascii="Times New Roman" w:hAnsi="Times New Roman"/>
          <w:color w:val="000000" w:themeColor="text1"/>
          <w:sz w:val="16"/>
          <w:szCs w:val="16"/>
        </w:rPr>
      </w:pPr>
    </w:p>
    <w:p w14:paraId="483080D7"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15 июня</w:t>
      </w:r>
      <w:r w:rsidRPr="00D03F3E">
        <w:rPr>
          <w:rFonts w:ascii="Times New Roman" w:hAnsi="Times New Roman"/>
          <w:color w:val="000000" w:themeColor="text1"/>
          <w:sz w:val="16"/>
          <w:szCs w:val="16"/>
        </w:rPr>
        <w:t xml:space="preserve"> в 1943 году вечернее сообщение Совинформбюро:</w:t>
      </w:r>
    </w:p>
    <w:p w14:paraId="07CB970B"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15 июня на фронте существенных изменений не произошло.</w:t>
      </w:r>
    </w:p>
    <w:p w14:paraId="286E39CB"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частями нашей авиации на различных участках фронта уничтожено или повреждено до 40 автомашин с войсками и грузами, подавлен огонь 4 артиллерийских и 3 миномётных батарей, разбито несколько железнодорожных эшелонов, рассеяно и частью уничтожено до роты пехоты противника.</w:t>
      </w:r>
    </w:p>
    <w:p w14:paraId="27ABEE73"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уничтожили до 200 немецких солдат и офицеров. Подавлен огонь 4 артиллерийских и 2 миномётных батарей противника. На одном участке наш разведывательный отряд атаковал вражеские позиции и в рукопашной схватке уничтожил 40 гитлеровцев. Разведчики взорвали два дзота, захватили у противника гранатомёт, пулемёт, несколько автоматов и благополучно вернулись в свою часть.</w:t>
      </w:r>
    </w:p>
    <w:p w14:paraId="09E7731E"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Немецкий самолёт, подбитый огнём зенитной артиллерии, совершил вынужденную посадку в расположении наших войск. Экипаж самолёта взят в плен.</w:t>
      </w:r>
    </w:p>
    <w:p w14:paraId="0F38085D"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Мценска бойцы Н-ской части вновь отбили четыре контратаки немецкой пехоты. В одном случае противнику под прикрытием дымовой завесы удалось ворваться на окраину населённого пункта, на днях занятого нашими подразделениями. Контрударом наши бойцы отбросили гитлеровцев. К исходу дня немцы выдохлись и прекратили атаки. В течение дня уничтожено до 400 солдат и офицеров противника, подбито и сожжено 5 немецких танков. Захвачены трофеи.</w:t>
      </w:r>
    </w:p>
    <w:p w14:paraId="73A58FAE"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рота пехоты противника пыталась атаковать боевое охранение Н-ской части. Наши бойцы ружейно-пулемётным огнём истребили до 60 гитлеровцев.</w:t>
      </w:r>
    </w:p>
    <w:p w14:paraId="3185F362"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произвели налёты на тылы противника и нанесли удары по железнодорожным станциям, эшелонам и складам немцев. B районах бомбардировки возникли большие пожары. Отмечено несколько сильных взрывов.</w:t>
      </w:r>
    </w:p>
    <w:p w14:paraId="7AD6C31A"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артиллеристы совершили несколько огневых налётов на оборонительные сооружения немцев. В результате артиллерийского огняу ничтожено 3 орудия, миномётная батарея, 7 пулемётов, разрушено 3 дзота, 6 блиндажей и 3 наблюдательных пункта, рассеяно и частью уничтожено до двух рот пехоты противника.</w:t>
      </w:r>
    </w:p>
    <w:p w14:paraId="1C07A7BF"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артиллеристы Н-ской части уничтожили артиллерийскую батарею и разгромили обоз противника. На другом участке артиллерийским огнём разбито два вражеских дзота, уничтожены шестиствольный миномёт и до 80 гитлеровцев.</w:t>
      </w:r>
    </w:p>
    <w:p w14:paraId="6CBB020E"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Партизанский отряд, действующий в одном из районов Брестской области, заминировал железнодорожное полотно. Проходивший по этому пути немецкий воинский поезд подорвался на минах и полетел под откос. Разбиты паровоз, 14 вагонов с солдатами и офицерами и 2 платформы с автомашинами. На участке железной дороги </w:t>
      </w:r>
      <w:r w:rsidRPr="00D03F3E">
        <w:rPr>
          <w:rFonts w:ascii="Times New Roman" w:hAnsi="Times New Roman"/>
          <w:color w:val="000000" w:themeColor="text1"/>
          <w:sz w:val="16"/>
          <w:szCs w:val="16"/>
        </w:rPr>
        <w:lastRenderedPageBreak/>
        <w:t>Брест—Минск партизаны отряда имени Кирова пустили под откос воинский эшелон с автомашинами. Паровоз и платформы разбиты, автомашины приведены в негодность. В конце мая группа брестских партизан из отряда имени Котовского внезапно ворвалась в имение фашистского помещика, уничтожила охрану, сожгла дом и другие постройки. Партизаны захватили в имении и роздали населению 250 коров.</w:t>
      </w:r>
    </w:p>
    <w:p w14:paraId="5D4AD1B7"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солдат 12 немецкой пехотной дивизии Франц Н. рассказал: «Из немецких военных тюрем и штрафных лагерей каждый день досрочно выпускают группы приговорённых к долголетнему заключению и отправляют их в штрафные батальоны на фронт. На их место прибывают другие провинившиеся солдаты.Я просидел несколько месяцев в тюрьме в Торгау на Эльбе. В подвальном этаже, в неимоверно тесных камерах содержались закованные в цепи солдаты, отказавшиеся воевать. Осуждённых к смертной казни расстреливали за стенами крепости. За время моего пребывания в тюрьме было казнено 38 человек».</w:t>
      </w:r>
    </w:p>
    <w:p w14:paraId="1A5C326C" w14:textId="77777777" w:rsidR="00292C7B" w:rsidRPr="00D03F3E" w:rsidRDefault="00292C7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Лансе и его окрестностях французские вольные стрелки из засад убили 8 немецких офицеров и унтер-офицеров. В Исси патриоты сожгли немецкий военный гараж. Близ Реймса вольные стрелки совершили нападение на немецкую автоколонну и уничтожили несколько десятков грузовых автомашин. В департаменте Луары патриоты пустили под откос воинский эшелон немецких оккупантов.» (14923).</w:t>
      </w:r>
    </w:p>
    <w:p w14:paraId="5E072403" w14:textId="77777777" w:rsidR="00292C7B" w:rsidRPr="00D03F3E" w:rsidRDefault="00292C7B" w:rsidP="00D03F3E">
      <w:pPr>
        <w:spacing w:after="0" w:line="240" w:lineRule="auto"/>
        <w:jc w:val="both"/>
        <w:rPr>
          <w:rFonts w:ascii="Times New Roman" w:hAnsi="Times New Roman"/>
          <w:color w:val="000000" w:themeColor="text1"/>
          <w:sz w:val="16"/>
          <w:szCs w:val="16"/>
        </w:rPr>
      </w:pPr>
    </w:p>
    <w:p w14:paraId="52FD6B9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 г. ПРИКАЗ О СОЗДАНИИ ВОЗДУШНОЙ МАГИСТРАЛИ МОСКВА — УЭЛЬКАЛЬ</w:t>
      </w:r>
    </w:p>
    <w:p w14:paraId="5F1489C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0092 </w:t>
      </w:r>
    </w:p>
    <w:p w14:paraId="31F61A37"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постановления Государственного Комитета Обороны № ГОКО-3551сс от 11.6.1943 г. приказываю:</w:t>
      </w:r>
    </w:p>
    <w:p w14:paraId="49588D0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Сформировать при ГУГВФ Управление воздушной магистрали Москва — Уэлькаль по утвержденному мною дополнению к штату № 01/200.</w:t>
      </w:r>
    </w:p>
    <w:p w14:paraId="6527A96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Управление воздушной магистрали возложить:</w:t>
      </w:r>
    </w:p>
    <w:p w14:paraId="3D9A960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установление на всех аэродромах и в аэродромном хозяйстве магистрали порядка, обеспечивающего нормальные условия для бесперебойной перегонки самолетов и пассажирского движения в течение круглого года;</w:t>
      </w:r>
    </w:p>
    <w:p w14:paraId="6E7B756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проведение необходимых строительных работ по расширению и оборудованию существующих, а также строительству новых аэродромов;</w:t>
      </w:r>
    </w:p>
    <w:p w14:paraId="11547E0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обеспечение всей аэродромной сети магистрали средствами связи, механизации, автотранспортом и горючим;</w:t>
      </w:r>
    </w:p>
    <w:p w14:paraId="7173018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перегонку самолетов из США в СССР до Красноярска.</w:t>
      </w:r>
    </w:p>
    <w:p w14:paraId="640F242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Переименовать Красноярскую воздушную трассу ВВС КА* в воздушную трассу Красноярск — Уэлькаль и подчинить ее Управлению воздушной магистрали Москва — Уэлькаль.</w:t>
      </w:r>
    </w:p>
    <w:p w14:paraId="33EA294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Управление трасры перевести со штата № 015/272 на штат № 020/375.</w:t>
      </w:r>
    </w:p>
    <w:p w14:paraId="393D9AF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Командующему ВВС Красной Армии передать в состав магистрали Москва — Уэлькаль аэродромы ВВС Муром (Савослейка), Свердловск (Кольцове), Омск, Новосибирск (Толмачево) со всеми аэродромными сооружениями на них.</w:t>
      </w:r>
    </w:p>
    <w:p w14:paraId="0B6E2B2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Сформировать:</w:t>
      </w:r>
    </w:p>
    <w:p w14:paraId="1C7B417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1-ю перегоночную авиационную дивизию и иметь ее в составе:</w:t>
      </w:r>
    </w:p>
    <w:p w14:paraId="3F8ACC6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Управление авиадивизии по штату № 020/374;</w:t>
      </w:r>
    </w:p>
    <w:p w14:paraId="4ACFFC9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2, 3, 4, 5-й перегоночные авиаполки по штату № 015/273;</w:t>
      </w:r>
    </w:p>
    <w:p w14:paraId="2819BB5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8-й транспортный авиаполк по штату № 015/326.</w:t>
      </w:r>
    </w:p>
    <w:p w14:paraId="7E33EE6F"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Аэропорты 1-го класса Казань, Свердловск (Кольцове), Омск, Новосибирск (Толмачево), Красноярск, Киренск, Якутск, Сеймчан, Марково, Уэлькаль и содержать их по штату № 020/376;</w:t>
      </w:r>
    </w:p>
    <w:p w14:paraId="294F1AA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Аэропорты 2-го класса Муром (Савослейка), Янаул, Курган, Олекминск, Оймякон, Берелех и содержать их по штату № 020/377.</w:t>
      </w:r>
    </w:p>
    <w:p w14:paraId="5ABD412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1, 2, 3, 4, 6, 7 и 8-ю авиабазы Красноярской воздушной трассы, штат № 029/227 расформировать и обратить на укомплектование формируемых аэропортов.</w:t>
      </w:r>
    </w:p>
    <w:p w14:paraId="2979EEA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1-ю перегоночную авиационную дивизию и аэропорты Муром (Савос-</w:t>
      </w:r>
    </w:p>
    <w:p w14:paraId="45C65DC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См. также док. № 59, 133.</w:t>
      </w:r>
    </w:p>
    <w:p w14:paraId="66098472"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175</w:t>
      </w:r>
    </w:p>
    <w:p w14:paraId="162AF6BD"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лейка), Казань, Янаул, Свердловск (Кольцове), Курган, Омск, Новосибирск (Толмачево), Красноярск иметь в непосредственном подчинении начальника Управления воздушной магистрали Москва — Уэлькаль.</w:t>
      </w:r>
    </w:p>
    <w:p w14:paraId="094864AA"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Аэропорты Киренск, Олекминск, Якутск, Оймякон, Берелех, Сеймчан, Мар-ково, Уэлькаль подчинить начальнику Управления воздушной трассы Красноярск — Уэлькаль.</w:t>
      </w:r>
    </w:p>
    <w:p w14:paraId="394A837B"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Установить, что начальник аэропорта является одновременно начальником соответствующего гарнизона.</w:t>
      </w:r>
    </w:p>
    <w:p w14:paraId="7AA2E89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Начальников аэропортов 1-го класса приравнять в правовом и материальном отношениях к командирам авиаполков.</w:t>
      </w:r>
    </w:p>
    <w:p w14:paraId="56C1B9B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Командующему ВВС КА призвать на действительную военную службу личный состав, состоящий на службе в авиаполках, аэропортах и управлениях магистрали Москва — Уэлькаль.</w:t>
      </w:r>
    </w:p>
    <w:p w14:paraId="60FE07EE"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Начальникам главных управлений НКО обеспечить создаваемую магистраль Москва — Уэлькаль всеми видами довольствия через военные округа по заявкам Управления магистрали.</w:t>
      </w:r>
    </w:p>
    <w:p w14:paraId="0C8311A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К формированию управлений, авиадивизии и аэропортов приступить немедленно и закончить к 1 июля 1943 г.</w:t>
      </w:r>
    </w:p>
    <w:p w14:paraId="1B47EAA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Назначить:</w:t>
      </w:r>
    </w:p>
    <w:p w14:paraId="31013BF1"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начальником Управления воздушной магистрали Москва — Уэлькаль и заместителем начальника Главного управления ГВФ генерал-майора Авсеевича А. А.;</w:t>
      </w:r>
    </w:p>
    <w:p w14:paraId="1765666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командиром 1-й перегоночной авиадивизии полковника Мазурук И. П., освободив его от должности начальника Управления Красноярской воздушной трассы;</w:t>
      </w:r>
    </w:p>
    <w:p w14:paraId="2815DC00"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начальником Управления воздушной трассы Красноярск — Уэлькаль заместителя начальника ГУ ГВФ генерал-майора авиации Семенова И. С.;</w:t>
      </w:r>
    </w:p>
    <w:p w14:paraId="69A5C563"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заместителем начальника Управления воздушной трассы Красноярск — Уэлькаль полковника государственной безопасности Поташова А. И.</w:t>
      </w:r>
    </w:p>
    <w:p w14:paraId="17925B8E" w14:textId="77777777" w:rsidR="00531570" w:rsidRPr="00D03F3E" w:rsidRDefault="00531570" w:rsidP="00D03F3E">
      <w:pPr>
        <w:spacing w:after="0" w:line="240" w:lineRule="auto"/>
        <w:jc w:val="both"/>
        <w:rPr>
          <w:rStyle w:val="af0"/>
          <w:rFonts w:ascii="Times New Roman" w:hAnsi="Times New Roman"/>
          <w:i w:val="0"/>
          <w:iCs w:val="0"/>
          <w:color w:val="000000" w:themeColor="text1"/>
          <w:sz w:val="16"/>
          <w:szCs w:val="16"/>
        </w:rPr>
      </w:pPr>
      <w:r w:rsidRPr="00D03F3E">
        <w:rPr>
          <w:rStyle w:val="af0"/>
          <w:rFonts w:ascii="Times New Roman" w:hAnsi="Times New Roman"/>
          <w:i w:val="0"/>
          <w:iCs w:val="0"/>
          <w:color w:val="000000" w:themeColor="text1"/>
          <w:sz w:val="16"/>
          <w:szCs w:val="16"/>
        </w:rPr>
        <w:t>Заместитель Народного комиссара обороны СССР Маршал Советского Союза А. ВАСИЛЕВСКИЙ</w:t>
      </w:r>
    </w:p>
    <w:p w14:paraId="64CF225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 4, оп. 11. д. 74, л. 206—208. Подлинник. (11690).</w:t>
      </w:r>
    </w:p>
    <w:p w14:paraId="79652F9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39DF480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1943г. вышел ОТЧЕТ НАЧАЛЬНИКА ШТАБА БТ и МВ ЦФ В УК БТ и МВ КА ПО ОБОБЩЕНИЮ ОПЫТА ИСПОЛЬЗОВАНИЯ ТАНКОВОГО ОРУЖИЯ В ОТЕЧЕСТВЕННОЙ ВОЙНЕ №01812</w:t>
      </w:r>
    </w:p>
    <w:p w14:paraId="45DA6FA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Образцы артиллерийского вооружения, установленные на танках, которыми оснащена Красная Армия, отличаются высокими баллистическими данными, позволяющими вести эффективную стрельбу на различные дистанции, по самым различным целям.</w:t>
      </w:r>
    </w:p>
    <w:p w14:paraId="67FB692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условия боевой обстановки требуют применения вооружения в зависимости от харак</w:t>
      </w:r>
      <w:r w:rsidRPr="00D03F3E">
        <w:rPr>
          <w:rFonts w:ascii="Times New Roman" w:hAnsi="Times New Roman"/>
          <w:color w:val="000000" w:themeColor="text1"/>
          <w:sz w:val="16"/>
          <w:szCs w:val="16"/>
        </w:rPr>
        <w:softHyphen/>
        <w:t>тера выполняемой задачи. Опыт боевых действий многочисленными примерами подтверждает целесообразность открытия огня в обороне с дистанции: для танков КВ и Т-34 — 1100-1400 м; для Т-70 — 1100 м; для Т-60 — 700-800 м (короткими очередями); по скоплениям живой силы необходимо вести огонь осколочно-фугасной гранатой без колпачка с дистанции до 2000 м; по танкам противни</w:t>
      </w:r>
      <w:r w:rsidRPr="00D03F3E">
        <w:rPr>
          <w:rFonts w:ascii="Times New Roman" w:hAnsi="Times New Roman"/>
          <w:color w:val="000000" w:themeColor="text1"/>
          <w:sz w:val="16"/>
          <w:szCs w:val="16"/>
        </w:rPr>
        <w:softHyphen/>
        <w:t>ка на дистанции прямого выстрела, однако прицельная стрельба и с более дальних дистанций при</w:t>
      </w:r>
      <w:r w:rsidRPr="00D03F3E">
        <w:rPr>
          <w:rFonts w:ascii="Times New Roman" w:hAnsi="Times New Roman"/>
          <w:color w:val="000000" w:themeColor="text1"/>
          <w:sz w:val="16"/>
          <w:szCs w:val="16"/>
        </w:rPr>
        <w:softHyphen/>
        <w:t>водит к хорошим результатам, так, например, из танка Т-34 (251 ТП) 20.03.1943 года при отражении атаки танков противника тремя выстрелами с дистанции 2500 м был подбит танк Т-3.</w:t>
      </w:r>
    </w:p>
    <w:p w14:paraId="32FF1D6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Экипажи танков должны проявлять выдержку и стремиться открыть внезапный огонь с мини</w:t>
      </w:r>
      <w:r w:rsidRPr="00D03F3E">
        <w:rPr>
          <w:rFonts w:ascii="Times New Roman" w:hAnsi="Times New Roman"/>
          <w:color w:val="000000" w:themeColor="text1"/>
          <w:sz w:val="16"/>
          <w:szCs w:val="16"/>
        </w:rPr>
        <w:softHyphen/>
        <w:t>мальной дистанции для поражения противника наверняка, однако при определении момента откры</w:t>
      </w:r>
      <w:r w:rsidRPr="00D03F3E">
        <w:rPr>
          <w:rFonts w:ascii="Times New Roman" w:hAnsi="Times New Roman"/>
          <w:color w:val="000000" w:themeColor="text1"/>
          <w:sz w:val="16"/>
          <w:szCs w:val="16"/>
        </w:rPr>
        <w:softHyphen/>
        <w:t>тия огня необходимо трезво оценивать количество целей (особенно танков противника) и скорость их движения, чтобы по времени успеть нанести противнику поражение. Известен случай (в 1942 году у Ольховатка — район Харьков), когда группа наших танков КВ и Т-34, атакованная большим количеством немецких танков, подпустила их на 400 м и, открыв огонь с явным опозданием, сдер</w:t>
      </w:r>
      <w:r w:rsidRPr="00D03F3E">
        <w:rPr>
          <w:rFonts w:ascii="Times New Roman" w:hAnsi="Times New Roman"/>
          <w:color w:val="000000" w:themeColor="text1"/>
          <w:sz w:val="16"/>
          <w:szCs w:val="16"/>
        </w:rPr>
        <w:softHyphen/>
        <w:t>жать натиск врага не сумела и сама очутилась в тяжелом положении. Враг, хотя и понес значитель</w:t>
      </w:r>
      <w:r w:rsidRPr="00D03F3E">
        <w:rPr>
          <w:rFonts w:ascii="Times New Roman" w:hAnsi="Times New Roman"/>
          <w:color w:val="000000" w:themeColor="text1"/>
          <w:sz w:val="16"/>
          <w:szCs w:val="16"/>
        </w:rPr>
        <w:softHyphen/>
        <w:t>ные потери, все же сумел прорваться в глубину нашей обороны. Отсюда следует вывод: массиро</w:t>
      </w:r>
      <w:r w:rsidRPr="00D03F3E">
        <w:rPr>
          <w:rFonts w:ascii="Times New Roman" w:hAnsi="Times New Roman"/>
          <w:color w:val="000000" w:themeColor="text1"/>
          <w:sz w:val="16"/>
          <w:szCs w:val="16"/>
        </w:rPr>
        <w:softHyphen/>
        <w:t>ванные танковые атаки врага встречать огнем с места с дальних дистанций, если, разумеется, в силу сложившихся обстоятельств задача отражения их возложена на наши танки, а не на артиллерию. При стрельбе из засад внезапный и меткий огонь из всех видов танкового оружия дает наилучший результат с дистанции 300-600 м. При стрельбе с хода,у в наступлении выходной дистанцией для ведения огня являются: для танков КВ и Т-34 — до 800 м, для Т-70 — до 600 м, для Т-60 — до 500 м (короткими очередями). Практическая скорострельность, достигаемая натренированными экипа</w:t>
      </w:r>
      <w:r w:rsidRPr="00D03F3E">
        <w:rPr>
          <w:rFonts w:ascii="Times New Roman" w:hAnsi="Times New Roman"/>
          <w:color w:val="000000" w:themeColor="text1"/>
          <w:sz w:val="16"/>
          <w:szCs w:val="16"/>
        </w:rPr>
        <w:softHyphen/>
        <w:t>жами при стрельбе: с места из танка КВ и Т-34 — 10-12 прицельных выстрелов в мин., из Т-70 — 4-5 выстрелов в мин., с ходу: из КВ, Т-34 5-6, Т-70 — 2-3 выстрела в минуту.</w:t>
      </w:r>
    </w:p>
    <w:p w14:paraId="0017860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уничтожения различных целей, расходуется следующее примерное количество боеприпа</w:t>
      </w:r>
      <w:r w:rsidRPr="00D03F3E">
        <w:rPr>
          <w:rFonts w:ascii="Times New Roman" w:hAnsi="Times New Roman"/>
          <w:color w:val="000000" w:themeColor="text1"/>
          <w:sz w:val="16"/>
          <w:szCs w:val="16"/>
        </w:rPr>
        <w:softHyphen/>
        <w:t>сов: по танку с места, на дистанцию прямого выстрела — 2-3 бронебойных снаряда, с ходу — 6-8 снарядов. По дзот с места — 3-5 ОФ гранат, с ходу — 10-16. По ПТОР — на дистанцию до 1200 м — с места — 2-3 ОФ гранат, с ходу на диет, до 500-700 м — 6-9 гранат.</w:t>
      </w:r>
    </w:p>
    <w:p w14:paraId="217EA32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 обороне при стрельбе с места необходимым условием является внезапное открытие огня и наличие запасных танковых капониров для быстрой и скрытной смены огневых позиций. В насту</w:t>
      </w:r>
      <w:r w:rsidRPr="00D03F3E">
        <w:rPr>
          <w:rFonts w:ascii="Times New Roman" w:hAnsi="Times New Roman"/>
          <w:color w:val="000000" w:themeColor="text1"/>
          <w:sz w:val="16"/>
          <w:szCs w:val="16"/>
        </w:rPr>
        <w:softHyphen/>
        <w:t>плении на обороняющегося противника основными видами огня является стрельба с ходу и с корот</w:t>
      </w:r>
      <w:r w:rsidRPr="00D03F3E">
        <w:rPr>
          <w:rFonts w:ascii="Times New Roman" w:hAnsi="Times New Roman"/>
          <w:color w:val="000000" w:themeColor="text1"/>
          <w:sz w:val="16"/>
          <w:szCs w:val="16"/>
        </w:rPr>
        <w:softHyphen/>
        <w:t xml:space="preserve">ких остановок. При атаке переднего края обороны противника танки открывают мощный огонь из всех видов оружия по известным огневым точкам, а также по местам вероятного их нахождения, в момент прохождения боевых порядков пехоты, изготовившейся к атаке. Стрельба с ходу, несмотря на то, что меткость ее значительно падает, оказывает на противника ошеломляющее воздействие. 4 июня 1943 года, после артналета, танки 240 ТП совместно со стрелковыми батальонами атаковали противника на вые. 253,0, ведя </w:t>
      </w:r>
      <w:r w:rsidRPr="00D03F3E">
        <w:rPr>
          <w:rFonts w:ascii="Times New Roman" w:hAnsi="Times New Roman"/>
          <w:color w:val="000000" w:themeColor="text1"/>
          <w:sz w:val="16"/>
          <w:szCs w:val="16"/>
        </w:rPr>
        <w:lastRenderedPageBreak/>
        <w:t>интенсивный огонь с ходу. Противник, потеряв до 150 человек убитыми, 6 ПТОР, 17 пулеметов и другое вооружение в беспорядке отошел. В бою под Богуславка расчеты ПТОР противника, деморализованные огнем с ходу танков КВ 29 гв. ТПП, в панике бежали с поля боя, побросав свое вооружение.</w:t>
      </w:r>
    </w:p>
    <w:p w14:paraId="1246B1E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Помимо морального воздействия на противника, стрельба с ходу значительно снижает собствен</w:t>
      </w:r>
      <w:r w:rsidRPr="00D03F3E">
        <w:rPr>
          <w:rFonts w:ascii="Times New Roman" w:hAnsi="Times New Roman"/>
          <w:color w:val="000000" w:themeColor="text1"/>
          <w:sz w:val="16"/>
          <w:szCs w:val="16"/>
        </w:rPr>
        <w:softHyphen/>
        <w:t>ные потери, т.к. маневрирующие на поле боя танки менее уязвимы от огня противника. Типичной скоростью для стрельбы с ходу является скорость 14-18 км/ч. На дистанции до 800 м стрельба с ходу эффективна. По живым групповым целям на диет, до 400-500 м, а также для «прочесывания» кустар</w:t>
      </w:r>
      <w:r w:rsidRPr="00D03F3E">
        <w:rPr>
          <w:rFonts w:ascii="Times New Roman" w:hAnsi="Times New Roman"/>
          <w:color w:val="000000" w:themeColor="text1"/>
          <w:sz w:val="16"/>
          <w:szCs w:val="16"/>
        </w:rPr>
        <w:softHyphen/>
        <w:t>ников, опушек леса, необходимо вести интенсивный огонь из пулеметов и обстрел осколочной грана</w:t>
      </w:r>
      <w:r w:rsidRPr="00D03F3E">
        <w:rPr>
          <w:rFonts w:ascii="Times New Roman" w:hAnsi="Times New Roman"/>
          <w:color w:val="000000" w:themeColor="text1"/>
          <w:sz w:val="16"/>
          <w:szCs w:val="16"/>
        </w:rPr>
        <w:softHyphen/>
        <w:t>той с установкой «на картечь» и на диет, как шрапнель. Если в результате успешной атаки противник начал отход, то необходимо преследовать его на максимальных скоростях, стремиться выйти на пути отхода и огнем с коротких остановок и из засад уничтожать его живую силу и технику, расходуя бое</w:t>
      </w:r>
      <w:r w:rsidRPr="00D03F3E">
        <w:rPr>
          <w:rFonts w:ascii="Times New Roman" w:hAnsi="Times New Roman"/>
          <w:color w:val="000000" w:themeColor="text1"/>
          <w:sz w:val="16"/>
          <w:szCs w:val="16"/>
        </w:rPr>
        <w:softHyphen/>
        <w:t>припасы более экономично, чем при атаке переднего края, в силу трудностей пополнения их.</w:t>
      </w:r>
    </w:p>
    <w:p w14:paraId="3D23565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Стрельба с коротких остановок по обнаруженным целям эффективна при слаженности всего экипажа и подготовке исходных данных для открытия огня заблаговременно до остановки танка. Коротких остановок необходимо избегать на открытой местности, а также при наличии у против</w:t>
      </w:r>
      <w:r w:rsidRPr="00D03F3E">
        <w:rPr>
          <w:rFonts w:ascii="Times New Roman" w:hAnsi="Times New Roman"/>
          <w:color w:val="000000" w:themeColor="text1"/>
          <w:sz w:val="16"/>
          <w:szCs w:val="16"/>
        </w:rPr>
        <w:softHyphen/>
        <w:t>ника большого количества противотанковых средств, которые сразу обрушат свой огонь на оста</w:t>
      </w:r>
      <w:r w:rsidRPr="00D03F3E">
        <w:rPr>
          <w:rFonts w:ascii="Times New Roman" w:hAnsi="Times New Roman"/>
          <w:color w:val="000000" w:themeColor="text1"/>
          <w:sz w:val="16"/>
          <w:szCs w:val="16"/>
        </w:rPr>
        <w:softHyphen/>
        <w:t>новившийся танк. Еще одним обязательным условием для стрельбы с коротких остановок является слаженность действий целых подразделений. Ни в коем случае не допускать остановок, хотя и коротких, для целого подразделения.</w:t>
      </w:r>
    </w:p>
    <w:p w14:paraId="0FB316C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Короткие остановки отдельных танков и групп в 2-3 машины должны сочетаться со стремитель</w:t>
      </w:r>
      <w:r w:rsidRPr="00D03F3E">
        <w:rPr>
          <w:rFonts w:ascii="Times New Roman" w:hAnsi="Times New Roman"/>
          <w:color w:val="000000" w:themeColor="text1"/>
          <w:sz w:val="16"/>
          <w:szCs w:val="16"/>
        </w:rPr>
        <w:softHyphen/>
        <w:t>ным движением и огнем остальных танков подразделения.</w:t>
      </w:r>
    </w:p>
    <w:p w14:paraId="647D905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Разведка целей противника производится непрерывно. До боя данные о расположении огне</w:t>
      </w:r>
      <w:r w:rsidRPr="00D03F3E">
        <w:rPr>
          <w:rFonts w:ascii="Times New Roman" w:hAnsi="Times New Roman"/>
          <w:color w:val="000000" w:themeColor="text1"/>
          <w:sz w:val="16"/>
          <w:szCs w:val="16"/>
        </w:rPr>
        <w:softHyphen/>
        <w:t>вых точек получаются из штабов общевойсковых соединений и уточняются личным наблюдением на местности экипажами танков. В бою разведка целей ведется наблюдением членами экипажа в заданных секторах. Обнаружение целей по демаскирующим признакам: вспышка, взлет пыли при стрельбе, блеск оптических приборов и т. д.</w:t>
      </w:r>
    </w:p>
    <w:p w14:paraId="4017D88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своевременного обнаружения замаскированных ОТ и особенно противотанковых ору</w:t>
      </w:r>
      <w:r w:rsidRPr="00D03F3E">
        <w:rPr>
          <w:rFonts w:ascii="Times New Roman" w:hAnsi="Times New Roman"/>
          <w:color w:val="000000" w:themeColor="text1"/>
          <w:sz w:val="16"/>
          <w:szCs w:val="16"/>
        </w:rPr>
        <w:softHyphen/>
        <w:t>дий обязательно обстреливать места вероятного их нахождения: строения, рощи, стога сена и т.д. Кроме этого обязательно вести наблюдение с передовых НП, расположенных в боевых порядках пехоты или непосредственно за ними. Данные об обнаруженных ОТ противника сообщать коман</w:t>
      </w:r>
      <w:r w:rsidRPr="00D03F3E">
        <w:rPr>
          <w:rFonts w:ascii="Times New Roman" w:hAnsi="Times New Roman"/>
          <w:color w:val="000000" w:themeColor="text1"/>
          <w:sz w:val="16"/>
          <w:szCs w:val="16"/>
        </w:rPr>
        <w:softHyphen/>
        <w:t>дирам подразделений по радио.</w:t>
      </w:r>
    </w:p>
    <w:p w14:paraId="6DD9F12E"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Управление огнем из танков достигается распределением уже известных огневых точек против</w:t>
      </w:r>
      <w:r w:rsidRPr="00D03F3E">
        <w:rPr>
          <w:rFonts w:ascii="Times New Roman" w:hAnsi="Times New Roman"/>
          <w:color w:val="000000" w:themeColor="text1"/>
          <w:sz w:val="16"/>
          <w:szCs w:val="16"/>
        </w:rPr>
        <w:softHyphen/>
        <w:t>ника еще до атаки между подразделениями и отдельными танками. Сосредоточение огня по рубежам и по обнаруженным в динамике боя целям производится по командам командира батальона (роты), подаваемым по радио. Командир роты подает команду командирам взводов по радио или одним из способов целеуказания по разработанному плану. Командир взвода руководит огнем своего взвода по заранее разработанному плану. Командир взвода руководит огнем своего взвода личным при</w:t>
      </w:r>
      <w:r w:rsidRPr="00D03F3E">
        <w:rPr>
          <w:rFonts w:ascii="Times New Roman" w:hAnsi="Times New Roman"/>
          <w:color w:val="000000" w:themeColor="text1"/>
          <w:sz w:val="16"/>
          <w:szCs w:val="16"/>
        </w:rPr>
        <w:softHyphen/>
        <w:t>мером. Выстрел из танка командира взвода является сигналом сосредоточения огня всего взвода по данной цели. Способы целеуказания: радио, трассирующие снаряды, трассирующие пули, ракеты. Внутри танка через ТПУ.</w:t>
      </w:r>
    </w:p>
    <w:p w14:paraId="5D06588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Основным способом корректирования огня, который оправдал себя в бою, является способ отметки по разрыву. При стрельбе по движущимся целям в основном применяется способ выноса точки прицеливания.</w:t>
      </w:r>
    </w:p>
    <w:p w14:paraId="577E7B85"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Расход боеприпасов зависит от напряженности боя. Практика боев дает самые различные данные о количестве израсходованных боеприпасов в том или ином виде боя. Как правило, наиболь</w:t>
      </w:r>
      <w:r w:rsidRPr="00D03F3E">
        <w:rPr>
          <w:rFonts w:ascii="Times New Roman" w:hAnsi="Times New Roman"/>
          <w:color w:val="000000" w:themeColor="text1"/>
          <w:sz w:val="16"/>
          <w:szCs w:val="16"/>
        </w:rPr>
        <w:softHyphen/>
        <w:t>ший расход боеприпасов бывает при прорыве укрепленной полосы обороны противника. Известно, что в бою средней интенсивности боекомплект расходуется за 5-6 часов, однако бывают случаи (150 ТБр. в районе Ольховатка, 1942 год), когда за день боя расходовалось до 3 б/к. В описанном выше бою за вые. 253,0 танки 240 ТП в течение полутора часов израсходовали до 2 боекомплектов, однако такой высокий расход боеприпасов вполне оправдывается достигнутыми результатами. В резуль</w:t>
      </w:r>
      <w:r w:rsidRPr="00D03F3E">
        <w:rPr>
          <w:rFonts w:ascii="Times New Roman" w:hAnsi="Times New Roman"/>
          <w:color w:val="000000" w:themeColor="text1"/>
          <w:sz w:val="16"/>
          <w:szCs w:val="16"/>
        </w:rPr>
        <w:softHyphen/>
        <w:t>тате стремительной атаки и мощного огня противнику нанесен крупный урон, в то время как наши танки потерь не понесли.</w:t>
      </w:r>
    </w:p>
    <w:p w14:paraId="2A5586A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255 ТП в бою за Холчи, Березовка в течение 8 часов израсходовал 2 б/к. Необходимо отметить, что экипажи наших танков очень недостаточно применяют огонь.</w:t>
      </w:r>
    </w:p>
    <w:p w14:paraId="2E1C106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правило, танки выхолят из боя с израсходованным боекомплектом снарядов и почти нетро</w:t>
      </w:r>
      <w:r w:rsidRPr="00D03F3E">
        <w:rPr>
          <w:rFonts w:ascii="Times New Roman" w:hAnsi="Times New Roman"/>
          <w:color w:val="000000" w:themeColor="text1"/>
          <w:sz w:val="16"/>
          <w:szCs w:val="16"/>
        </w:rPr>
        <w:softHyphen/>
        <w:t>нутым боекомплектом пулеметных патронов. Очень часто это вытекает из недооценки эффектив</w:t>
      </w:r>
      <w:r w:rsidRPr="00D03F3E">
        <w:rPr>
          <w:rFonts w:ascii="Times New Roman" w:hAnsi="Times New Roman"/>
          <w:color w:val="000000" w:themeColor="text1"/>
          <w:sz w:val="16"/>
          <w:szCs w:val="16"/>
        </w:rPr>
        <w:softHyphen/>
        <w:t>ности пулеметного огня. Это мнение глубоко ошибочно и с ним необходимо вести борьбу всеми мера.ми. Пополнение боеприпасов в бою производится различными способами. Если подразделе</w:t>
      </w:r>
      <w:r w:rsidRPr="00D03F3E">
        <w:rPr>
          <w:rFonts w:ascii="Times New Roman" w:hAnsi="Times New Roman"/>
          <w:color w:val="000000" w:themeColor="text1"/>
          <w:sz w:val="16"/>
          <w:szCs w:val="16"/>
        </w:rPr>
        <w:softHyphen/>
        <w:t>ние то выполнении задачи сосредоточивается в районе сбора, то немедленно организуется подвоз боеприпасов на транспортных машинах, а если огонь противника препятствует этому, то на танках (чаще всего Т-60 и Т-70).</w:t>
      </w:r>
    </w:p>
    <w:p w14:paraId="05AF42A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боекомплект израсходуется в ходе боя, то танки поочередно отводятся в укрытия за боевые порядки своей пехоты, куда и подаются боеприпасы. В зимних условиях, когда снежный покров не позволяет подвозить боеприпасы на транспортных машинах, с успехом применяются сани («воло</w:t>
      </w:r>
      <w:r w:rsidRPr="00D03F3E">
        <w:rPr>
          <w:rFonts w:ascii="Times New Roman" w:hAnsi="Times New Roman"/>
          <w:color w:val="000000" w:themeColor="text1"/>
          <w:sz w:val="16"/>
          <w:szCs w:val="16"/>
        </w:rPr>
        <w:softHyphen/>
        <w:t>куши») на буксире за танками.</w:t>
      </w:r>
    </w:p>
    <w:p w14:paraId="2F9CA95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Практика выработала следующий способ пополнения боеприпасов в случае угрозы внезапного нападения противника: командир танка находится на своем месте и ведет наблюдение в готовности к немедленному открытию огня; радист-пулеметчик находится вне танка и подает снаряды через передний люк механику-водителю, который находится на своем месте; башенный стрелок принима</w:t>
      </w:r>
      <w:r w:rsidRPr="00D03F3E">
        <w:rPr>
          <w:rFonts w:ascii="Times New Roman" w:hAnsi="Times New Roman"/>
          <w:color w:val="000000" w:themeColor="text1"/>
          <w:sz w:val="16"/>
          <w:szCs w:val="16"/>
        </w:rPr>
        <w:softHyphen/>
        <w:t>ет снаряды от мех. водителя и производит укладку их. Таким образом, три члена экипажа находятся на своих местах, обеспечивая тем самым постоянную боеготовность танка.</w:t>
      </w:r>
    </w:p>
    <w:p w14:paraId="2819D3B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Вооружение танков при внимательном уходе и тщательной подготовке к бою безотказно. У пушки Ф-34 и ЗИС-5 иногда не закрывается затвор (клин не доходит) вследствие образования нагара в патроннике и недосылания снаряда. Для устранения промыть патронник газойлем или бензином. При несвоевременном контроле за количеством жидкости и давлением воздуха в противооткатных приспособлениях бывает недокат подвижных частей или наоборот, резкий откат сопровождаемый сильным стуком. Если применяются снаряды с помятыми гильзами, а также при очень интенсивной стрельбе, влекущей за собой перегрев ствола пушки, случается неэкстрактирование гильзы. У пуле</w:t>
      </w:r>
      <w:r w:rsidRPr="00D03F3E">
        <w:rPr>
          <w:rFonts w:ascii="Times New Roman" w:hAnsi="Times New Roman"/>
          <w:color w:val="000000" w:themeColor="text1"/>
          <w:sz w:val="16"/>
          <w:szCs w:val="16"/>
        </w:rPr>
        <w:softHyphen/>
        <w:t>мета ДТ чаще всего случается загрязнение подвижных частей, кроме этого он сильно перегревается даже при стрельбе короткими очередями.</w:t>
      </w:r>
    </w:p>
    <w:p w14:paraId="01DCBEA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плохом уходе за магазинами и слабых пружинах их случается утыкание патрона. В зимнее время чаще всего бывает отказ пулемета в автоматической стрельбе вследствие загустения смазки и неэнергичного отхода подвижных частей в заднее крайнее положение.</w:t>
      </w:r>
    </w:p>
    <w:p w14:paraId="0C8B8B2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Командир танка Т-34 очень перегружен самыми различными обязанностями: наблюдает за полем боя, ведет огонь и управляет экипажем, а если он является командиром подразделения, то управляет и подразделением.</w:t>
      </w:r>
    </w:p>
    <w:p w14:paraId="60651EC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Башенный стрелок занят заряжением, причем он не всегда успевает заряжать, если снаряды надо доставать из дальних ящиков укладки и накопились отстрелянные гильзы, которые необходимо разложить по ящикам. Вследствие вышеизложенного стрелок, как правило, в наблюдении за полем боя не участвует.</w:t>
      </w:r>
    </w:p>
    <w:p w14:paraId="225A5BB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Механик-водитель сосредоточивает свое внимание на рельефе местности в пределах направле</w:t>
      </w:r>
      <w:r w:rsidRPr="00D03F3E">
        <w:rPr>
          <w:rFonts w:ascii="Times New Roman" w:hAnsi="Times New Roman"/>
          <w:color w:val="000000" w:themeColor="text1"/>
          <w:sz w:val="16"/>
          <w:szCs w:val="16"/>
        </w:rPr>
        <w:softHyphen/>
        <w:t>ния атаки и оказывает помощь командиру танка только в корректировании огня докладом через ТПУ — «перелет» и т.д. Стрелок-радист занят работой на рации и непрерывного наблюдения за полем боя вести не может, тем более он ограничен средствами наблюдения.</w:t>
      </w:r>
    </w:p>
    <w:p w14:paraId="7F7DB5E6"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Вывод из вышеизложенного следующий: при существующих на танке Т-34 средствах наблюде</w:t>
      </w:r>
      <w:r w:rsidRPr="00D03F3E">
        <w:rPr>
          <w:rFonts w:ascii="Times New Roman" w:hAnsi="Times New Roman"/>
          <w:color w:val="000000" w:themeColor="text1"/>
          <w:sz w:val="16"/>
          <w:szCs w:val="16"/>
        </w:rPr>
        <w:softHyphen/>
        <w:t>ния и составе экипажа особо необходима систематическая тренировка в наблюдении за полем боя, иначе танк будет «слепым». Для удобства заряжания заряжающий Т-34 должен откидывать свое сидение. Экипаж танка Т-70 находится в еще более затруднительном положении, поскольку коман</w:t>
      </w:r>
      <w:r w:rsidRPr="00D03F3E">
        <w:rPr>
          <w:rFonts w:ascii="Times New Roman" w:hAnsi="Times New Roman"/>
          <w:color w:val="000000" w:themeColor="text1"/>
          <w:sz w:val="16"/>
          <w:szCs w:val="16"/>
        </w:rPr>
        <w:softHyphen/>
        <w:t>дир танка выполняет обязанности и стреляющего, и заряжающего. Лучшие условия для наблюдения имеет танк КВ вследствие наличия большего количества приборов и наличия в экипаже специаль</w:t>
      </w:r>
      <w:r w:rsidRPr="00D03F3E">
        <w:rPr>
          <w:rFonts w:ascii="Times New Roman" w:hAnsi="Times New Roman"/>
          <w:color w:val="000000" w:themeColor="text1"/>
          <w:sz w:val="16"/>
          <w:szCs w:val="16"/>
        </w:rPr>
        <w:softHyphen/>
        <w:t>ного командира орудия. Командир танка все внимание уделяет наблюдению за полем боя и управле</w:t>
      </w:r>
      <w:r w:rsidRPr="00D03F3E">
        <w:rPr>
          <w:rFonts w:ascii="Times New Roman" w:hAnsi="Times New Roman"/>
          <w:color w:val="000000" w:themeColor="text1"/>
          <w:sz w:val="16"/>
          <w:szCs w:val="16"/>
        </w:rPr>
        <w:softHyphen/>
        <w:t>нию экипажем. Лучшим танком по условиям наблюдения является танк МК-2 «Матильда».</w:t>
      </w:r>
    </w:p>
    <w:p w14:paraId="14B835C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Стреляющего заменяет: у танка Т-34 — заряжающий, у танка КВ и «Матильда» — командир танка. 8. Основными недостатками в огневой подготовке прибывающего пополнения из учебных и запасных полков являются:</w:t>
      </w:r>
    </w:p>
    <w:p w14:paraId="79F3416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Слабо знают материальную часть оружия, особенно устранение неисправностей и регулиров</w:t>
      </w:r>
      <w:r w:rsidRPr="00D03F3E">
        <w:rPr>
          <w:rFonts w:ascii="Times New Roman" w:hAnsi="Times New Roman"/>
          <w:color w:val="000000" w:themeColor="text1"/>
          <w:sz w:val="16"/>
          <w:szCs w:val="16"/>
        </w:rPr>
        <w:softHyphen/>
        <w:t>ки механизмов. Мало практических навыков.</w:t>
      </w:r>
    </w:p>
    <w:p w14:paraId="0420AB7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Не натренированы в отыскании целей и наблюдении за полем боя. Не отработан доклад об обнаруженных целях и подача четких команд для открытия огня.</w:t>
      </w:r>
    </w:p>
    <w:p w14:paraId="745DC95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Как правило, совершенно не умеют пользоваться ПТК, механизмом кругового обзора и шка</w:t>
      </w:r>
      <w:r w:rsidRPr="00D03F3E">
        <w:rPr>
          <w:rFonts w:ascii="Times New Roman" w:hAnsi="Times New Roman"/>
          <w:color w:val="000000" w:themeColor="text1"/>
          <w:sz w:val="16"/>
          <w:szCs w:val="16"/>
        </w:rPr>
        <w:softHyphen/>
        <w:t>лой горизонтальных углов ПТ-4-7 и ПТ-4 для целеуказания.</w:t>
      </w:r>
    </w:p>
    <w:p w14:paraId="4D011C4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Слабо отработаны приемы действий у танкового оружия: действия поворотным и подъемными механизмами, установка прицела и целеуказания, наводка, заряжение, производство меткого выстрела.</w:t>
      </w:r>
    </w:p>
    <w:p w14:paraId="3EA62FA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Абсолютно не знают теорию стрельбы, не умеют выбирать боеприпасы для поражения тех или иных целей, плохо знают маркировку снарядов.</w:t>
      </w:r>
    </w:p>
    <w:p w14:paraId="087ED01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Необходимо в учебных частях обратить особое внимание на привитие практических навыков и выработку автоматичности в действиях у танкового оружия.</w:t>
      </w:r>
    </w:p>
    <w:p w14:paraId="0400F11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Необходимо резко улучшить условия наблюдения из танка установкой командирских башен (по типу танка МК-2) и увеличением количества и размера приборов наблюдения. Увеличенные три-плексы можно оборудовать броневыми заслонками.</w:t>
      </w:r>
    </w:p>
    <w:p w14:paraId="332D11A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танка КВ: в крыше башни сделать два люка, люк стрелка-радиста устроить так, чтобы не мешал открыванию его.</w:t>
      </w:r>
    </w:p>
    <w:p w14:paraId="630B5D3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танке Т-34 Тагильского завода (в отличие от танков Горьковского завода) очень затруднен доступ к мотору поворота башни. В танке Т-70 необходимо увеличить боекомплект за счет установки ящика на 30 снарядов — левее механика-водителя.</w:t>
      </w:r>
    </w:p>
    <w:p w14:paraId="46047C4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Запасные части и инструменты разместить в ящиках на крыльях.</w:t>
      </w:r>
    </w:p>
    <w:p w14:paraId="35213D9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Необходимо обеспечивать танки дымовыми ракетами для целеуказания днем, так как цветные наблюдаются из танка плохо.</w:t>
      </w:r>
    </w:p>
    <w:p w14:paraId="574566E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штаба БТ и МВ ЦФ полковник Короткое</w:t>
      </w:r>
    </w:p>
    <w:p w14:paraId="1C88C47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оперативного отдела штаба БТ и МВ ЦФ гвардии подполковник Люсин</w:t>
      </w:r>
    </w:p>
    <w:p w14:paraId="45E502C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11351. Д. 169. Л. 51-53. Подлинник (11403).</w:t>
      </w:r>
    </w:p>
    <w:p w14:paraId="7DA99E4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p>
    <w:p w14:paraId="6F2A1D4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1943г. была подготовлена ОЦЕНКА ОПЕРАТИВНОЙ ОБСТАНОВКИ И ГРУППИРОВКИ ТАНКОВЫХ ВОЙСК НА СОВЕТСКО-ГЕРМАНСКОМ ФРОНТЕ НА 15 ИЮНЯ 1943 г.</w:t>
      </w:r>
    </w:p>
    <w:p w14:paraId="3DB10C13"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Краткая характеристика действий противника, основные его группировки танковых</w:t>
      </w:r>
    </w:p>
    <w:p w14:paraId="4C28F71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войск и вероятные направления их действия</w:t>
      </w:r>
    </w:p>
    <w:p w14:paraId="5A9B099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После поражений, понесенных германско-фашистской армией в зимней кампании 1942-1943 гг. на Восточном фронте, немецкое командование активных боевых действий с решительной целью не вело, а ограничивалось ведением боя местного значения с целью улучшения тактического положения на некоторых участках фронта. Период апрель-май месяцы характеризуется действиями силовой разведки противника на участках Западного, Брянского, Воронежского, Юго-Западного и Южных фронтов.</w:t>
      </w:r>
    </w:p>
    <w:p w14:paraId="08CAB09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Северо-Кавказском фронте противник в течение апреля, мая и половины июня месяцев продол</w:t>
      </w:r>
      <w:r w:rsidRPr="00D03F3E">
        <w:rPr>
          <w:rFonts w:ascii="Times New Roman" w:hAnsi="Times New Roman"/>
          <w:color w:val="000000" w:themeColor="text1"/>
          <w:sz w:val="16"/>
          <w:szCs w:val="16"/>
        </w:rPr>
        <w:softHyphen/>
        <w:t>жает вести оборонительные бои, стремясь удержать за собой плацдарм на Таманском полуострове.</w:t>
      </w:r>
    </w:p>
    <w:p w14:paraId="62E5F53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Уроки зимнего наступления Красной Армии на Юге, по-видимому, заставили немецкое коман</w:t>
      </w:r>
      <w:r w:rsidRPr="00D03F3E">
        <w:rPr>
          <w:rFonts w:ascii="Times New Roman" w:hAnsi="Times New Roman"/>
          <w:color w:val="000000" w:themeColor="text1"/>
          <w:sz w:val="16"/>
          <w:szCs w:val="16"/>
        </w:rPr>
        <w:softHyphen/>
        <w:t>дование серьезно готовиться к летней кампании 1943 г. Подготовку к летней кампании немцы нача</w:t>
      </w:r>
      <w:r w:rsidRPr="00D03F3E">
        <w:rPr>
          <w:rFonts w:ascii="Times New Roman" w:hAnsi="Times New Roman"/>
          <w:color w:val="000000" w:themeColor="text1"/>
          <w:sz w:val="16"/>
          <w:szCs w:val="16"/>
        </w:rPr>
        <w:softHyphen/>
        <w:t>ли с конца марта месяца, отведя большинство своих танковых соединений на доукомплектование во второй эшелон.</w:t>
      </w:r>
    </w:p>
    <w:p w14:paraId="2AFDF13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большие потери в танках, понесенные немцами в войне, и особенно в период зим</w:t>
      </w:r>
      <w:r w:rsidRPr="00D03F3E">
        <w:rPr>
          <w:rFonts w:ascii="Times New Roman" w:hAnsi="Times New Roman"/>
          <w:color w:val="000000" w:themeColor="text1"/>
          <w:sz w:val="16"/>
          <w:szCs w:val="16"/>
        </w:rPr>
        <w:softHyphen/>
        <w:t>ней кампании 1942-1943 гг., общее количество танковых дивизий германской армии к настоящему моменту возросло с двадцати трех до двадцати девяти.</w:t>
      </w:r>
    </w:p>
    <w:p w14:paraId="6B1B8C7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Поданным РО штаба БТМВ КА, на 15.06.1943г. на советско-германском фронте действует двад</w:t>
      </w:r>
      <w:r w:rsidRPr="00D03F3E">
        <w:rPr>
          <w:rFonts w:ascii="Times New Roman" w:hAnsi="Times New Roman"/>
          <w:color w:val="000000" w:themeColor="text1"/>
          <w:sz w:val="16"/>
          <w:szCs w:val="16"/>
        </w:rPr>
        <w:softHyphen/>
        <w:t>цать три танковых дивизии и восемь моторизированных с общим количеством танков до 5200, в том числе до 300 танков тяжелого типа Т-6. Кроме того, в переброске на Восточный фронт находятся 1-я и 26-я танковые дивизии, дислоцировавшиеся во Франции.</w:t>
      </w:r>
    </w:p>
    <w:p w14:paraId="1AE8A7F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Проведенная модернизация танков Т-3 и Т-4, поступление на вооружение нового танка типа Т-6 зна</w:t>
      </w:r>
      <w:r w:rsidRPr="00D03F3E">
        <w:rPr>
          <w:rFonts w:ascii="Times New Roman" w:hAnsi="Times New Roman"/>
          <w:color w:val="000000" w:themeColor="text1"/>
          <w:sz w:val="16"/>
          <w:szCs w:val="16"/>
        </w:rPr>
        <w:softHyphen/>
        <w:t>чительно улучшили качественное состояние танкового парка противника по сравнению с летом 1942 г.</w:t>
      </w:r>
    </w:p>
    <w:p w14:paraId="6A81915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Большинство танковых войск противника на 15.06.1943 г. находится перед Западным, Брянским, Центральным, Воронежским, Юго-Западным и Южным фронтами Красной Армии в сле</w:t>
      </w:r>
      <w:r w:rsidRPr="00D03F3E">
        <w:rPr>
          <w:rFonts w:ascii="Times New Roman" w:hAnsi="Times New Roman"/>
          <w:color w:val="000000" w:themeColor="text1"/>
          <w:sz w:val="16"/>
          <w:szCs w:val="16"/>
        </w:rPr>
        <w:softHyphen/>
        <w:t>дующих ударных группировках:</w:t>
      </w:r>
    </w:p>
    <w:p w14:paraId="07B291A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в районе Брянск-Орел-Кромы сосредоточено шесть танковых дивизий (5, 9, 2, 12, 18 и 20 тд) с общим количеством танков до 1600.</w:t>
      </w:r>
    </w:p>
    <w:p w14:paraId="688B5B1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Эта группировка может действовать в направлениях:</w:t>
      </w:r>
    </w:p>
    <w:p w14:paraId="45332307"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Калуга-Москва, нанося удар в стыке наших двух фронтов (Западного и Брянского), взаимо</w:t>
      </w:r>
      <w:r w:rsidRPr="00D03F3E">
        <w:rPr>
          <w:rFonts w:ascii="Times New Roman" w:hAnsi="Times New Roman"/>
          <w:color w:val="000000" w:themeColor="text1"/>
          <w:sz w:val="16"/>
          <w:szCs w:val="16"/>
        </w:rPr>
        <w:softHyphen/>
        <w:t>действуя с вспомогательным ударом вдоль Минского и Варшавского шоссе.</w:t>
      </w:r>
    </w:p>
    <w:p w14:paraId="55D3A5E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Щигры-Старый Оскол, оперативно взаимодействуя с Белгородско-Харьковской группиров</w:t>
      </w:r>
      <w:r w:rsidRPr="00D03F3E">
        <w:rPr>
          <w:rFonts w:ascii="Times New Roman" w:hAnsi="Times New Roman"/>
          <w:color w:val="000000" w:themeColor="text1"/>
          <w:sz w:val="16"/>
          <w:szCs w:val="16"/>
        </w:rPr>
        <w:softHyphen/>
        <w:t>кой с целью окружения наших войск Центрального и Воронежского фронтов с одновременным нанесением вспомогательного удара от Орла на Восток с выходом на фронт Ефремов-Елец.</w:t>
      </w:r>
    </w:p>
    <w:p w14:paraId="33913B88"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В районе Белгород-Харьков-Богодухов сосредоточено семь-восемь танковых дивизий (6, 7,11 «Адольф Гитлер», «Райх», «Тотенкопф», «В. Германия» и предположительно 4 тд) с общим количе</w:t>
      </w:r>
      <w:r w:rsidRPr="00D03F3E">
        <w:rPr>
          <w:rFonts w:ascii="Times New Roman" w:hAnsi="Times New Roman"/>
          <w:color w:val="000000" w:themeColor="text1"/>
          <w:sz w:val="16"/>
          <w:szCs w:val="16"/>
        </w:rPr>
        <w:softHyphen/>
        <w:t>ством танков до 1100-1200.</w:t>
      </w:r>
    </w:p>
    <w:p w14:paraId="65A5A05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Эта группировка может действовать в направлениях:</w:t>
      </w:r>
    </w:p>
    <w:p w14:paraId="1E0595A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Белгород-Тим, оперативно взаимодействуя с Орловско-Кромской группировкой и одновре</w:t>
      </w:r>
      <w:r w:rsidRPr="00D03F3E">
        <w:rPr>
          <w:rFonts w:ascii="Times New Roman" w:hAnsi="Times New Roman"/>
          <w:color w:val="000000" w:themeColor="text1"/>
          <w:sz w:val="16"/>
          <w:szCs w:val="16"/>
        </w:rPr>
        <w:softHyphen/>
        <w:t>менно нанося вспомогательный удар на фронт Нов. Оскол-Валуйки.</w:t>
      </w:r>
    </w:p>
    <w:p w14:paraId="574A21C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Валуйка-Россошь, оперативно взаимодействуя с Донбасской группировкой, нанося одновре</w:t>
      </w:r>
      <w:r w:rsidRPr="00D03F3E">
        <w:rPr>
          <w:rFonts w:ascii="Times New Roman" w:hAnsi="Times New Roman"/>
          <w:color w:val="000000" w:themeColor="text1"/>
          <w:sz w:val="16"/>
          <w:szCs w:val="16"/>
        </w:rPr>
        <w:softHyphen/>
        <w:t>менно вспомогательный удар в направлении Нов. Оскол-Острогожск.</w:t>
      </w:r>
    </w:p>
    <w:p w14:paraId="51FE6C1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 районе Донбасс сосредоточено четыре-пять танковых дивизий (3, 19, 27, 22 и предположи</w:t>
      </w:r>
      <w:r w:rsidRPr="00D03F3E">
        <w:rPr>
          <w:rFonts w:ascii="Times New Roman" w:hAnsi="Times New Roman"/>
          <w:color w:val="000000" w:themeColor="text1"/>
          <w:sz w:val="16"/>
          <w:szCs w:val="16"/>
        </w:rPr>
        <w:softHyphen/>
        <w:t>тельно 23 тд) с общим количеством танков до 1000.</w:t>
      </w:r>
    </w:p>
    <w:p w14:paraId="2884986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Вероятными направлениями действий этой группировки можно считать:</w:t>
      </w:r>
    </w:p>
    <w:p w14:paraId="01D855AF"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Славянск-Россошь в оперативном взаимодействии с Харьковской группировкой и с одно</w:t>
      </w:r>
      <w:r w:rsidRPr="00D03F3E">
        <w:rPr>
          <w:rFonts w:ascii="Times New Roman" w:hAnsi="Times New Roman"/>
          <w:color w:val="000000" w:themeColor="text1"/>
          <w:sz w:val="16"/>
          <w:szCs w:val="16"/>
        </w:rPr>
        <w:softHyphen/>
        <w:t>временным нанесением вспомогательного удара на Ворошиловград-Миллерово.</w:t>
      </w:r>
    </w:p>
    <w:p w14:paraId="635BC402"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Ворошиловград-Лихая в оперативном взаимодействии с ударом на Шахты и вспомогательным ударом на Ростов.</w:t>
      </w:r>
    </w:p>
    <w:p w14:paraId="527B6BBA"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К менее значительным танковым группировкам можно отнести следующее:</w:t>
      </w:r>
    </w:p>
    <w:p w14:paraId="63E097B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до 250 танков перед Ленинградским фронтом; возможны действия их в направлении: Мга-Шлиссельбург с целью восстановления полной блокады Ленинграда.</w:t>
      </w:r>
    </w:p>
    <w:p w14:paraId="3A29E6F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Свыше 200 танков в районах Невель, Полоцк, Витебск, очевидно, предназначаются для вспо</w:t>
      </w:r>
      <w:r w:rsidRPr="00D03F3E">
        <w:rPr>
          <w:rFonts w:ascii="Times New Roman" w:hAnsi="Times New Roman"/>
          <w:color w:val="000000" w:themeColor="text1"/>
          <w:sz w:val="16"/>
          <w:szCs w:val="16"/>
        </w:rPr>
        <w:softHyphen/>
        <w:t>могательного удара в Восточном направлении с целью отвлечения сил Красной Армии при нанесе</w:t>
      </w:r>
      <w:r w:rsidRPr="00D03F3E">
        <w:rPr>
          <w:rFonts w:ascii="Times New Roman" w:hAnsi="Times New Roman"/>
          <w:color w:val="000000" w:themeColor="text1"/>
          <w:sz w:val="16"/>
          <w:szCs w:val="16"/>
        </w:rPr>
        <w:softHyphen/>
        <w:t>нии основного удара Орловско-Брянской группировкой.</w:t>
      </w:r>
    </w:p>
    <w:p w14:paraId="748F034C"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До 100 танков в направлении Минского шоссе и до 200 танков в направлении Варшавского шоссе также могут быть использованы для вспомогательного удара по войскам Западного фронта во взаимодействии с Орловско-Брянской группировкой.</w:t>
      </w:r>
    </w:p>
    <w:p w14:paraId="2D7E6BD4"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До 250 танков на Таманском п-ве, вероятно, имеют задачей удерживание за собой плацдарма для надежного обеспечения правого фланга южного крыла Восточного фронта.</w:t>
      </w:r>
    </w:p>
    <w:p w14:paraId="65FB692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Вывод</w:t>
      </w:r>
    </w:p>
    <w:p w14:paraId="78FEAFE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Немецкое командование закончило сосредоточение своих ударных группировок и готово начать наступательные действия.</w:t>
      </w:r>
    </w:p>
    <w:p w14:paraId="5DAFE300"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задачи летней кампании Германское командование, по-видимому, будет решать двумя основными группировками — Орловско-Брянской и Белгородско-Харьковской с попыткой окружить наши войска Центрального и Воронежского фронтов с выходом на фронт Елец-Воронеж-Острогожск.</w:t>
      </w:r>
    </w:p>
    <w:p w14:paraId="3FA450FD"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несмотря на готовность к наступательным действиям, немецкое командование зани</w:t>
      </w:r>
      <w:r w:rsidRPr="00D03F3E">
        <w:rPr>
          <w:rFonts w:ascii="Times New Roman" w:hAnsi="Times New Roman"/>
          <w:color w:val="000000" w:themeColor="text1"/>
          <w:sz w:val="16"/>
          <w:szCs w:val="16"/>
        </w:rPr>
        <w:softHyphen/>
        <w:t>мает выжидательную позицию, вероятно, с надеждой на переход Красной Армии в наступление с тем, чтобы в оборонительных боях нанести наибольший урон нашим войскам, после чего пере</w:t>
      </w:r>
      <w:r w:rsidRPr="00D03F3E">
        <w:rPr>
          <w:rFonts w:ascii="Times New Roman" w:hAnsi="Times New Roman"/>
          <w:color w:val="000000" w:themeColor="text1"/>
          <w:sz w:val="16"/>
          <w:szCs w:val="16"/>
        </w:rPr>
        <w:softHyphen/>
        <w:t>йти в решительное наступление, и в связи с увеличившейся угрозой открытия второго фронта на Европейском континенте, благодаря возросшим возможностям наших союзников.</w:t>
      </w:r>
    </w:p>
    <w:p w14:paraId="1DC3D98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 Группировка танковых войск Красной Армии по фронтам</w:t>
      </w:r>
    </w:p>
    <w:p w14:paraId="7D7C9476"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Общий вывод</w:t>
      </w:r>
    </w:p>
    <w:p w14:paraId="2F586835"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Группировка танковых войск по фронтам обеспечивает предстоящие боевые действия, за исключением Калининского, Западного, Юго-Западного и Южного фронтов, где необходимо иметь в резерве фронта по одному танковому или механизированному корпусу.</w:t>
      </w:r>
    </w:p>
    <w:p w14:paraId="6DA27E1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Два тк или мк для Калининского и Западного фронтов могут быть даны за счет резерва Ставки, а для Юго-Западного и Южного фронтов за счет Степного военного округа (1 МК, 3 гв. МК).</w:t>
      </w:r>
    </w:p>
    <w:p w14:paraId="0DCCF59B"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Все танковые и механизированные корпуса резерва фронтов полностью укомплектованы танками, обеспечены всеми видами довольствия. Некомплект имеют по личному составу до 15-20% и автомобильному транспорту до 50% (особенно 5 МК, 16, 19 ТК, 2 гв. ТТК, 5 гв. СТК, 4 гв. МК).</w:t>
      </w:r>
    </w:p>
    <w:p w14:paraId="0AF6F17C"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Необходимо в первую очередь обеспечить за счет резерва Ставки: Приморскую оперативную группу минимум двумя танковыми батальонами; Огнеметными танками — три огнеметных танковых батальона Волховского фронта; Тремя-четырьмя полками самоходной артиллерии — Южный фронт и танками — танковые войска Северо-Кавказского фронта.</w:t>
      </w:r>
    </w:p>
    <w:p w14:paraId="3E9AE209"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штаба БТ и МВ Красной Армии генерал-майор танковых войск Салминов</w:t>
      </w:r>
    </w:p>
    <w:p w14:paraId="56DE51C1" w14:textId="77777777" w:rsidR="00531570" w:rsidRPr="00D03F3E" w:rsidRDefault="00531570"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оперативного отдела БТ и МВ КА гвардии полковник Кульвинский</w:t>
      </w:r>
    </w:p>
    <w:p w14:paraId="29F334D4"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11353. Д. 199. Л. 247-265. Подлинник (11403).</w:t>
      </w:r>
    </w:p>
    <w:p w14:paraId="723E6914"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5F5209B8" w14:textId="77777777" w:rsidR="00531570" w:rsidRPr="00D03F3E" w:rsidRDefault="005315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с 14 на 15 июня 1943 был совершен третий подряд налет на Саратов. Крекинг-завод им. Кирова получил новые повреждения, сгорели еще около 4000 т нефтепродуктов. В донесении Саратовского областного управления НКВД сообщалось, что  «авиация противника из-за отсутствия средств ПВО действовала безнаказанно». Зенитная артиллерия Саратовского диврайона продолжала вести преимущественно заградительный огонь, расходуя тысячи снарядов. Вскоре после начала налетов на Саратов в город прибыл генерал М.С. Громадин, который принял участие в заседании Саратовского обкома ВКП(б). В ходе проведенных на месте проверок выяснилось, что боевой порядок зенитной артиллерии был построен неправильно, расчет завес заградительного огня велся неточно. Имеющиеся в наличии станции орудийной наводки использовались очень мало, т.к. были недостаточно освоены расчетами. Были обсуждены меры по улучшению взаимодействия между частями ПВО и формированиями МПВО, снабжению водой путем подвоза ее по железной дороге, трамваями и пароходами. Отдельно был рассмотрен вопрос о вылавливании ракетчиков и борьбе с распространителями ложных и панических слухов (11774).</w:t>
      </w:r>
    </w:p>
    <w:p w14:paraId="694BAF95" w14:textId="77777777" w:rsidR="00531570" w:rsidRPr="00D03F3E" w:rsidRDefault="00531570" w:rsidP="00D03F3E">
      <w:pPr>
        <w:spacing w:after="0" w:line="240" w:lineRule="auto"/>
        <w:jc w:val="both"/>
        <w:rPr>
          <w:rFonts w:ascii="Times New Roman" w:hAnsi="Times New Roman"/>
          <w:color w:val="000000" w:themeColor="text1"/>
          <w:sz w:val="16"/>
          <w:szCs w:val="16"/>
        </w:rPr>
      </w:pPr>
    </w:p>
    <w:p w14:paraId="179BDBDF"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15 июня 1943 вышло Постановление ГКО № 3577 О переводе на казарменное размещение состава команд МПВО жел.-дор. транспорта. (7115, 66,67).</w:t>
      </w:r>
    </w:p>
    <w:p w14:paraId="514EAD56" w14:textId="77777777" w:rsidR="00531570" w:rsidRPr="00D03F3E" w:rsidRDefault="00531570" w:rsidP="00D03F3E">
      <w:pPr>
        <w:pStyle w:val="Iauiue"/>
        <w:tabs>
          <w:tab w:val="left" w:pos="11199"/>
        </w:tabs>
        <w:jc w:val="both"/>
        <w:rPr>
          <w:color w:val="000000" w:themeColor="text1"/>
          <w:sz w:val="16"/>
          <w:szCs w:val="16"/>
        </w:rPr>
      </w:pPr>
    </w:p>
    <w:p w14:paraId="525CA657"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15 июня 1943 вышло Постановление ГКО № 3588 Об усилении ПВО важнейших промышленных центров, мостов и электростанций. (7115, 205-208).</w:t>
      </w:r>
    </w:p>
    <w:p w14:paraId="4766393D" w14:textId="77777777" w:rsidR="00531570" w:rsidRPr="00D03F3E" w:rsidRDefault="00531570" w:rsidP="00D03F3E">
      <w:pPr>
        <w:pStyle w:val="Iauiue"/>
        <w:tabs>
          <w:tab w:val="left" w:pos="11199"/>
        </w:tabs>
        <w:jc w:val="both"/>
        <w:rPr>
          <w:color w:val="000000" w:themeColor="text1"/>
          <w:sz w:val="16"/>
          <w:szCs w:val="16"/>
        </w:rPr>
      </w:pPr>
    </w:p>
    <w:p w14:paraId="37AEA6A3"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 июня 1943 близ Рязани в день Грюнвальдской битвы присягнула 1 польская дивизия им. Т.Костюшко (3398,173).</w:t>
      </w:r>
    </w:p>
    <w:p w14:paraId="423B8E03" w14:textId="77777777" w:rsidR="00531570" w:rsidRPr="00D03F3E" w:rsidRDefault="00531570" w:rsidP="00D03F3E">
      <w:pPr>
        <w:pStyle w:val="Iauiue"/>
        <w:jc w:val="both"/>
        <w:rPr>
          <w:color w:val="000000" w:themeColor="text1"/>
          <w:sz w:val="16"/>
          <w:szCs w:val="16"/>
        </w:rPr>
      </w:pPr>
    </w:p>
    <w:p w14:paraId="01C3D7EB"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Жизнь и внутренняя политика:</w:t>
      </w:r>
    </w:p>
    <w:p w14:paraId="513F0925" w14:textId="77777777" w:rsidR="00531570" w:rsidRPr="00D03F3E" w:rsidRDefault="00531570" w:rsidP="00D03F3E">
      <w:pPr>
        <w:pStyle w:val="Iauiue"/>
        <w:jc w:val="both"/>
        <w:rPr>
          <w:iCs/>
          <w:color w:val="000000" w:themeColor="text1"/>
          <w:sz w:val="16"/>
          <w:szCs w:val="16"/>
        </w:rPr>
      </w:pPr>
    </w:p>
    <w:p w14:paraId="7A4EA1D0" w14:textId="77777777" w:rsidR="00435CF7" w:rsidRPr="00D03F3E" w:rsidRDefault="00435CF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июня 1943. Директор школы О. Леонова направляет Сталину письмо: "Дорогой Иосиф Виссарионович] Коллектив школы - 175 Свердловского района г. Москвы поздравляет Вас с окончанием Вашей дочерью Светланой курса средней школы с аттестатом отличника и выражает уверенность, что и в дальнейшем она будет работать всегда и везде со свойственной ей глубиной и настойчивостью" (18693).</w:t>
      </w:r>
    </w:p>
    <w:p w14:paraId="35A2A372" w14:textId="77777777" w:rsidR="00435CF7" w:rsidRPr="00D03F3E" w:rsidRDefault="00435CF7" w:rsidP="00D03F3E">
      <w:pPr>
        <w:spacing w:after="0" w:line="240" w:lineRule="auto"/>
        <w:jc w:val="both"/>
        <w:rPr>
          <w:rFonts w:ascii="Times New Roman" w:hAnsi="Times New Roman"/>
          <w:color w:val="000000" w:themeColor="text1"/>
          <w:sz w:val="16"/>
          <w:szCs w:val="16"/>
        </w:rPr>
      </w:pPr>
    </w:p>
    <w:p w14:paraId="3B65220F"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lastRenderedPageBreak/>
        <w:t>15 июня 1943 Сталин подписал постановление СНК СССР № 659 “Об усилении мер борьбы с детской беспризорностью, безнадзорностью и хулиганством”, которым НКВД предписывалось “в дополнение к трудовым колониям, существующим для содержания детей и подростков, осужденных судами, организовать в 1943 году трудовые воспитательные колонии для содержания в них беспризорных и безнадзорных детей, а также детей и подростков, неоднократно замеченных в мелком хулиганстве и других незначительных преступлениях, доведя в 1943 году общее число мест во всех колониях НКВД СССР для несовершеннолетних до 50.000”. Направлению в детские трудовые воспитательные колонии НКВД СССР подлежали следующие категории подростков в возрасте от 11 до 16 лет: а) беспризорные дети, вовсе не имеющие родителей или длительное время живущие без родителей и не имеющие определенного местожительства; б) задержанные за хулиганство, мелкие кражи и другие незначительные преступления в случаях, если возбуждение уголовного дела признавалось “нецелесообразным”; в) воспитанники детских домов, систематически нарушающие внутренний распорядок и дезорганизующие “нормальную постановку учебы и воспитания в детском доме” (7560).</w:t>
      </w:r>
    </w:p>
    <w:p w14:paraId="31D86487" w14:textId="77777777" w:rsidR="00531570" w:rsidRPr="00D03F3E" w:rsidRDefault="00531570" w:rsidP="00D03F3E">
      <w:pPr>
        <w:pStyle w:val="Iauiue"/>
        <w:jc w:val="both"/>
        <w:rPr>
          <w:color w:val="000000" w:themeColor="text1"/>
          <w:sz w:val="16"/>
          <w:szCs w:val="16"/>
        </w:rPr>
      </w:pPr>
    </w:p>
    <w:p w14:paraId="55956908"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Внешняя политика:</w:t>
      </w:r>
    </w:p>
    <w:p w14:paraId="5FEB3783" w14:textId="77777777" w:rsidR="00531570" w:rsidRPr="00D03F3E" w:rsidRDefault="00531570" w:rsidP="00D03F3E">
      <w:pPr>
        <w:pStyle w:val="Iauiue"/>
        <w:jc w:val="both"/>
        <w:rPr>
          <w:iCs/>
          <w:color w:val="000000" w:themeColor="text1"/>
          <w:sz w:val="16"/>
          <w:szCs w:val="16"/>
        </w:rPr>
      </w:pPr>
    </w:p>
    <w:p w14:paraId="5DBD9419"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15 июня 1943 Турция подтвердила свои пакты о ненападении с СССР и Германией (4962).</w:t>
      </w:r>
    </w:p>
    <w:p w14:paraId="4CE7786B" w14:textId="77777777" w:rsidR="00531570" w:rsidRPr="00D03F3E" w:rsidRDefault="00531570" w:rsidP="00D03F3E">
      <w:pPr>
        <w:pStyle w:val="Iauiue"/>
        <w:tabs>
          <w:tab w:val="left" w:pos="11199"/>
        </w:tabs>
        <w:jc w:val="both"/>
        <w:rPr>
          <w:color w:val="000000" w:themeColor="text1"/>
          <w:sz w:val="16"/>
          <w:szCs w:val="16"/>
        </w:rPr>
      </w:pPr>
    </w:p>
    <w:p w14:paraId="67038BF1" w14:textId="77777777" w:rsidR="00531570" w:rsidRPr="00D03F3E" w:rsidRDefault="00C81444" w:rsidP="00D03F3E">
      <w:pPr>
        <w:pStyle w:val="Iauiue"/>
        <w:jc w:val="both"/>
        <w:rPr>
          <w:iCs/>
          <w:color w:val="000000" w:themeColor="text1"/>
          <w:sz w:val="16"/>
          <w:szCs w:val="16"/>
        </w:rPr>
      </w:pPr>
      <w:r w:rsidRPr="00D03F3E">
        <w:rPr>
          <w:i/>
          <w:iCs/>
          <w:color w:val="000000" w:themeColor="text1"/>
          <w:sz w:val="16"/>
          <w:szCs w:val="16"/>
        </w:rPr>
        <w:t>За рубежом:</w:t>
      </w:r>
    </w:p>
    <w:p w14:paraId="0E1C8C0C" w14:textId="77777777" w:rsidR="00531570" w:rsidRPr="00D03F3E" w:rsidRDefault="00531570" w:rsidP="00D03F3E">
      <w:pPr>
        <w:pStyle w:val="Iauiue"/>
        <w:jc w:val="both"/>
        <w:rPr>
          <w:iCs/>
          <w:color w:val="000000" w:themeColor="text1"/>
          <w:sz w:val="16"/>
          <w:szCs w:val="16"/>
        </w:rPr>
      </w:pPr>
    </w:p>
    <w:p w14:paraId="7835669F" w14:textId="77777777" w:rsidR="00612BAF" w:rsidRPr="00D03F3E" w:rsidRDefault="00612BA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15 июня</w:t>
      </w:r>
      <w:r w:rsidRPr="00D03F3E">
        <w:rPr>
          <w:rFonts w:ascii="Times New Roman" w:hAnsi="Times New Roman"/>
          <w:color w:val="000000" w:themeColor="text1"/>
          <w:sz w:val="16"/>
          <w:szCs w:val="16"/>
        </w:rPr>
        <w:t xml:space="preserve"> в 1943 году первый полет самолета </w:t>
      </w:r>
      <w:hyperlink r:id="rId199" w:tgtFrame="_blank" w:history="1">
        <w:r w:rsidRPr="00D03F3E">
          <w:rPr>
            <w:rFonts w:ascii="Times New Roman" w:hAnsi="Times New Roman"/>
            <w:color w:val="000000" w:themeColor="text1"/>
            <w:sz w:val="16"/>
            <w:szCs w:val="16"/>
          </w:rPr>
          <w:t xml:space="preserve">«Арадо» «Ar-234В-2» «Блиц». </w:t>
        </w:r>
      </w:hyperlink>
      <w:r w:rsidRPr="00D03F3E">
        <w:rPr>
          <w:rFonts w:ascii="Times New Roman" w:hAnsi="Times New Roman"/>
          <w:color w:val="000000" w:themeColor="text1"/>
          <w:sz w:val="16"/>
          <w:szCs w:val="16"/>
        </w:rPr>
        <w:t>Самолет «Арадо» «234В» был первым серийным реактивным самолетом, спроектированным как штурмовик-бомбардировщик. На этом самолете, так же как и на последующих семи опытных образцах, для взлета использовалась сбрасываемая стартовая тележка, а для посадки убирающаяся лыжа. Однако последующие опытные образцы и все серийные самолеты были оборудованы обычным трехколесным шасси с носовой опорой. Максимальная скорость самолета составляла 750 км/час при полете на высоте 6000 м. Практический потолок самолета 11 700 м, взлетный вес 8400 кг, бомбовая нагрузка 1500 кг. Размеры: размах крыла 14,4 м, длина самолета 12,7 м (14923).</w:t>
      </w:r>
    </w:p>
    <w:p w14:paraId="33AEDFCB" w14:textId="77777777" w:rsidR="00612BAF" w:rsidRPr="00D03F3E" w:rsidRDefault="00612BAF" w:rsidP="00D03F3E">
      <w:pPr>
        <w:spacing w:after="0" w:line="240" w:lineRule="auto"/>
        <w:jc w:val="both"/>
        <w:rPr>
          <w:rFonts w:ascii="Times New Roman" w:hAnsi="Times New Roman"/>
          <w:color w:val="000000" w:themeColor="text1"/>
          <w:sz w:val="16"/>
          <w:szCs w:val="16"/>
        </w:rPr>
      </w:pPr>
    </w:p>
    <w:p w14:paraId="56CC364D" w14:textId="77777777" w:rsidR="00612BAF" w:rsidRPr="00D03F3E" w:rsidRDefault="00612BAF" w:rsidP="00D03F3E">
      <w:pPr>
        <w:pStyle w:val="Iauiue"/>
        <w:jc w:val="both"/>
        <w:rPr>
          <w:color w:val="000000" w:themeColor="text1"/>
          <w:sz w:val="16"/>
          <w:szCs w:val="16"/>
        </w:rPr>
      </w:pPr>
      <w:r w:rsidRPr="00D03F3E">
        <w:rPr>
          <w:color w:val="000000" w:themeColor="text1"/>
          <w:sz w:val="16"/>
          <w:szCs w:val="16"/>
        </w:rPr>
        <w:t>15 июня 1943 первый полет выполнил бомбардировщик Arado Ar-234V-1 Blitz (1089).</w:t>
      </w:r>
    </w:p>
    <w:p w14:paraId="734C13B7" w14:textId="77777777" w:rsidR="00612BAF" w:rsidRPr="00D03F3E" w:rsidRDefault="00612BAF" w:rsidP="00D03F3E">
      <w:pPr>
        <w:pStyle w:val="Iauiue"/>
        <w:jc w:val="both"/>
        <w:rPr>
          <w:color w:val="000000" w:themeColor="text1"/>
          <w:sz w:val="16"/>
          <w:szCs w:val="16"/>
        </w:rPr>
      </w:pPr>
    </w:p>
    <w:p w14:paraId="49B793BB" w14:textId="77777777" w:rsidR="00F26123" w:rsidRPr="00D03F3E" w:rsidRDefault="00F2612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15 июня 1943 - Первый полет самолета Арадо Ar-234В-2 "Блиц". Самолет Арадо 234В был первым серийным реактивным самолетом, спроектированным как штурмовик-бомбардировщик. На этом самолете, так же как и на последующих семи опытных образцах, для взлета использовалась сбрасываемая стартовая тележка, а для посадки убирающаяся лыжа. Однако последующие опытные образцы и все серийные самолеты были оборудованы обычным трехколесным шасси с носовой опорой.</w:t>
      </w:r>
    </w:p>
    <w:p w14:paraId="22AB4F77" w14:textId="77777777" w:rsidR="00F26123" w:rsidRPr="00D03F3E" w:rsidRDefault="00F2612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Максимальная скорость самолета составляла 750 км/час при полете на высоте 6000 м. Практический потолок самолета 11 700 м, взлетный вес 8400 кг, бомбовая нагрузка 1500 кг. Размеры: размах крыла 14,4 м, длина самолета 12,7 м (22460).</w:t>
      </w:r>
    </w:p>
    <w:p w14:paraId="21145C9A" w14:textId="77777777" w:rsidR="00F26123" w:rsidRPr="00D03F3E" w:rsidRDefault="00F26123" w:rsidP="00D03F3E">
      <w:pPr>
        <w:spacing w:after="0" w:line="240" w:lineRule="auto"/>
        <w:jc w:val="both"/>
        <w:rPr>
          <w:rFonts w:ascii="Times New Roman" w:hAnsi="Times New Roman"/>
          <w:color w:val="0070C0"/>
          <w:sz w:val="16"/>
          <w:szCs w:val="16"/>
        </w:rPr>
      </w:pPr>
    </w:p>
    <w:p w14:paraId="253147A7" w14:textId="77777777" w:rsidR="00F26123" w:rsidRPr="00D03F3E" w:rsidRDefault="00F2612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15 июня 1943 первый полет Arado Ar 234 V1 GK + IV (20376).</w:t>
      </w:r>
    </w:p>
    <w:p w14:paraId="6E96A4FC" w14:textId="77777777" w:rsidR="00F26123" w:rsidRPr="00D03F3E" w:rsidRDefault="00F26123" w:rsidP="00D03F3E">
      <w:pPr>
        <w:spacing w:after="0" w:line="240" w:lineRule="auto"/>
        <w:jc w:val="both"/>
        <w:rPr>
          <w:rFonts w:ascii="Times New Roman" w:hAnsi="Times New Roman"/>
          <w:color w:val="0070C0"/>
          <w:sz w:val="16"/>
          <w:szCs w:val="16"/>
        </w:rPr>
      </w:pPr>
    </w:p>
    <w:p w14:paraId="489D5B53" w14:textId="77777777" w:rsidR="00612BAF" w:rsidRPr="00D03F3E" w:rsidRDefault="00612BAF" w:rsidP="00D03F3E">
      <w:pPr>
        <w:pStyle w:val="Iauiue"/>
        <w:jc w:val="both"/>
        <w:rPr>
          <w:color w:val="000000" w:themeColor="text1"/>
          <w:sz w:val="16"/>
          <w:szCs w:val="16"/>
        </w:rPr>
      </w:pPr>
      <w:r w:rsidRPr="00D03F3E">
        <w:rPr>
          <w:color w:val="000000" w:themeColor="text1"/>
          <w:sz w:val="16"/>
          <w:szCs w:val="16"/>
        </w:rPr>
        <w:t>15 июня 1943 было образовано первое подразделение, вооруженное В-29 (1089).</w:t>
      </w:r>
    </w:p>
    <w:p w14:paraId="57C56521" w14:textId="77777777" w:rsidR="00612BAF" w:rsidRPr="00D03F3E" w:rsidRDefault="00612BAF" w:rsidP="00D03F3E">
      <w:pPr>
        <w:pStyle w:val="Iauiue"/>
        <w:jc w:val="both"/>
        <w:rPr>
          <w:color w:val="000000" w:themeColor="text1"/>
          <w:sz w:val="16"/>
          <w:szCs w:val="16"/>
        </w:rPr>
      </w:pPr>
    </w:p>
    <w:p w14:paraId="4AE47C12" w14:textId="77777777" w:rsidR="00F26123" w:rsidRPr="00D03F3E" w:rsidRDefault="00F26123"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hAnsi="Times New Roman"/>
          <w:color w:val="0070C0"/>
          <w:sz w:val="16"/>
          <w:szCs w:val="16"/>
        </w:rPr>
        <w:t>15 июня 1943 состоялся второй налет Fi-103. Стартовало 244 ракеты по Лондону и 50 — по Саутгемптону. 144 Fi-103 пересекли Ла-Манш. 73 попало в Лондон и несколько ракет упало в Саутгемптоне. Ракеты летели на высоте от 500 до 800 метров со скоростью 500-600 км/ч. С каждым последующим налетом количество крылатых ракет, достигших своей цели, возрастало. Население британской столицы, уже отвыкшее от войны, находилось на грани паники. Заслышав звук летящей ракеты, жители немедленно бросались в убежища. Работающий ПуВРД издавал характерный звук, похожий на звук мотоциклетного двухтактного мотора, и обыватели прозвали ракеты «buzz bomb» — жужжащие бомбы. Но прижилось другое название, которое дали ракете летчики из Новой Зеландии. Они назвали их «doodlebugs» — головастики, заметив, что звук ракеты похож на звуки, проистекающие из новозеландских болот (22878).</w:t>
      </w:r>
    </w:p>
    <w:p w14:paraId="3A78A7AA" w14:textId="77777777" w:rsidR="00F26123" w:rsidRPr="00D03F3E" w:rsidRDefault="00F26123" w:rsidP="00D03F3E">
      <w:pPr>
        <w:shd w:val="clear" w:color="auto" w:fill="FFFFFF"/>
        <w:spacing w:after="0" w:line="240" w:lineRule="auto"/>
        <w:jc w:val="both"/>
        <w:rPr>
          <w:rFonts w:ascii="Times New Roman" w:eastAsia="Times New Roman" w:hAnsi="Times New Roman"/>
          <w:color w:val="0070C0"/>
          <w:sz w:val="16"/>
          <w:szCs w:val="16"/>
          <w:lang w:eastAsia="ru-RU"/>
        </w:rPr>
      </w:pPr>
    </w:p>
    <w:p w14:paraId="4AC584FF" w14:textId="77777777" w:rsidR="00531570" w:rsidRPr="00D03F3E" w:rsidRDefault="00531570" w:rsidP="00D03F3E">
      <w:pPr>
        <w:pStyle w:val="Iauiue"/>
        <w:tabs>
          <w:tab w:val="left" w:pos="11199"/>
        </w:tabs>
        <w:jc w:val="both"/>
        <w:rPr>
          <w:color w:val="000000" w:themeColor="text1"/>
          <w:sz w:val="16"/>
          <w:szCs w:val="16"/>
        </w:rPr>
      </w:pPr>
      <w:r w:rsidRPr="00D03F3E">
        <w:rPr>
          <w:color w:val="000000" w:themeColor="text1"/>
          <w:sz w:val="16"/>
          <w:szCs w:val="16"/>
        </w:rPr>
        <w:t>15 июня 1943 под Львовом нацисты начали вырывать могилы евреев, расстрелянных в марте, для собирания с трупов золотых зубов и колец (4962).</w:t>
      </w:r>
    </w:p>
    <w:p w14:paraId="168BF498" w14:textId="77777777" w:rsidR="00531570" w:rsidRPr="00D03F3E" w:rsidRDefault="00531570" w:rsidP="00D03F3E">
      <w:pPr>
        <w:pStyle w:val="Iauiue"/>
        <w:tabs>
          <w:tab w:val="left" w:pos="11199"/>
        </w:tabs>
        <w:jc w:val="both"/>
        <w:rPr>
          <w:color w:val="000000" w:themeColor="text1"/>
          <w:sz w:val="16"/>
          <w:szCs w:val="16"/>
        </w:rPr>
      </w:pPr>
    </w:p>
    <w:p w14:paraId="1233296A"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June 15, 1943. The 58th Bombardment Wing, the Army Air Forces' first B-29 unit, is established at Marietta, Ga. Also on this day, the world's first operational jet bomber, the German Arado Ar-234V-1 Blitz, makes its first flight (1089).</w:t>
      </w:r>
    </w:p>
    <w:p w14:paraId="4FC871D7" w14:textId="77777777" w:rsidR="00531570" w:rsidRPr="00D03F3E" w:rsidRDefault="00531570" w:rsidP="00D03F3E">
      <w:pPr>
        <w:pStyle w:val="Iauiue"/>
        <w:jc w:val="both"/>
        <w:rPr>
          <w:color w:val="000000" w:themeColor="text1"/>
          <w:sz w:val="16"/>
          <w:szCs w:val="16"/>
          <w:lang w:val="en-US"/>
        </w:rPr>
      </w:pPr>
    </w:p>
    <w:p w14:paraId="57C436FF" w14:textId="77777777" w:rsidR="00531570" w:rsidRPr="00D03F3E" w:rsidRDefault="00531570" w:rsidP="00D03F3E">
      <w:pPr>
        <w:pStyle w:val="Iauiue"/>
        <w:jc w:val="both"/>
        <w:rPr>
          <w:color w:val="000000" w:themeColor="text1"/>
          <w:sz w:val="16"/>
          <w:szCs w:val="16"/>
          <w:lang w:val="en-US"/>
        </w:rPr>
      </w:pPr>
      <w:r w:rsidRPr="00D03F3E">
        <w:rPr>
          <w:color w:val="000000" w:themeColor="text1"/>
          <w:sz w:val="16"/>
          <w:szCs w:val="16"/>
          <w:lang w:val="en-US"/>
        </w:rPr>
        <w:t>June 15th, 1943: The German raider Michel sinks 2 ships off the west coast of Australia (3819).</w:t>
      </w:r>
    </w:p>
    <w:p w14:paraId="1D7EB213" w14:textId="77777777" w:rsidR="00531570" w:rsidRPr="00D03F3E" w:rsidRDefault="00531570" w:rsidP="00D03F3E">
      <w:pPr>
        <w:pStyle w:val="Iauiue"/>
        <w:jc w:val="both"/>
        <w:rPr>
          <w:color w:val="000000" w:themeColor="text1"/>
          <w:sz w:val="16"/>
          <w:szCs w:val="16"/>
          <w:lang w:val="en-US"/>
        </w:rPr>
      </w:pPr>
    </w:p>
    <w:p w14:paraId="208249C9" w14:textId="77777777" w:rsidR="00531570" w:rsidRPr="00D03F3E" w:rsidRDefault="00531570" w:rsidP="00D03F3E">
      <w:pPr>
        <w:pStyle w:val="Iauiue"/>
        <w:jc w:val="both"/>
        <w:rPr>
          <w:color w:val="000000" w:themeColor="text1"/>
          <w:sz w:val="16"/>
          <w:szCs w:val="16"/>
        </w:rPr>
      </w:pPr>
      <w:r w:rsidRPr="00D03F3E">
        <w:rPr>
          <w:color w:val="000000" w:themeColor="text1"/>
          <w:sz w:val="16"/>
          <w:szCs w:val="16"/>
        </w:rPr>
        <w:t>15 июня 1943 германский рейдер Мишел потопил 2 судна у побережья Австралии (3819).</w:t>
      </w:r>
    </w:p>
    <w:p w14:paraId="4155776A" w14:textId="77777777" w:rsidR="00531570" w:rsidRPr="00D03F3E" w:rsidRDefault="00531570" w:rsidP="00D03F3E">
      <w:pPr>
        <w:pStyle w:val="Iauiue"/>
        <w:jc w:val="both"/>
        <w:rPr>
          <w:color w:val="000000" w:themeColor="text1"/>
          <w:sz w:val="16"/>
          <w:szCs w:val="16"/>
        </w:rPr>
      </w:pPr>
    </w:p>
    <w:p w14:paraId="06D2FDB8"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75C380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DD9F7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июня 1943 удалось доработать Ил-2 АМ-38ф по рекомендациям ЦАГИ на за</w:t>
      </w:r>
      <w:r w:rsidRPr="00D03F3E">
        <w:rPr>
          <w:rFonts w:ascii="Times New Roman" w:hAnsi="Times New Roman"/>
          <w:color w:val="000000" w:themeColor="text1"/>
          <w:sz w:val="16"/>
          <w:szCs w:val="16"/>
        </w:rPr>
        <w:softHyphen/>
        <w:t>воде № 30. На испытаниях об</w:t>
      </w:r>
      <w:r w:rsidRPr="00D03F3E">
        <w:rPr>
          <w:rFonts w:ascii="Times New Roman" w:hAnsi="Times New Roman"/>
          <w:color w:val="000000" w:themeColor="text1"/>
          <w:sz w:val="16"/>
          <w:szCs w:val="16"/>
        </w:rPr>
        <w:softHyphen/>
        <w:t>лагороженный штурмовик показал максимальную скорость на 30 км/ч выше в сравнении с серийными образцами. В начале 1943 г. продувка Ил-2 (зав. № 0202) производства заво</w:t>
      </w:r>
      <w:r w:rsidRPr="00D03F3E">
        <w:rPr>
          <w:rFonts w:ascii="Times New Roman" w:hAnsi="Times New Roman"/>
          <w:color w:val="000000" w:themeColor="text1"/>
          <w:sz w:val="16"/>
          <w:szCs w:val="16"/>
        </w:rPr>
        <w:softHyphen/>
        <w:t>да № 18 в аэродинамической трубе Т-104 ЦАГИ показала, что у самолета имеется резерв в 45—50 км/ч повышения максимальной скорости полета. Это достигалось за счет облагораживания фонаря кабины пилота, применения патрубков с реактивным выхлопом, устранения отсоса створок бомболюков, размещения маслорадиатора в об</w:t>
      </w:r>
      <w:r w:rsidRPr="00D03F3E">
        <w:rPr>
          <w:rFonts w:ascii="Times New Roman" w:hAnsi="Times New Roman"/>
          <w:color w:val="000000" w:themeColor="text1"/>
          <w:sz w:val="16"/>
          <w:szCs w:val="16"/>
        </w:rPr>
        <w:softHyphen/>
        <w:t>щем тоннеле с водорадиатором, более тщательной внутренней герметизации тоннелей радиаторов и противопожарной пере</w:t>
      </w:r>
      <w:r w:rsidRPr="00D03F3E">
        <w:rPr>
          <w:rFonts w:ascii="Times New Roman" w:hAnsi="Times New Roman"/>
          <w:color w:val="000000" w:themeColor="text1"/>
          <w:sz w:val="16"/>
          <w:szCs w:val="16"/>
        </w:rPr>
        <w:softHyphen/>
        <w:t>городки, установки обтекателей на реактивные орудия и хво</w:t>
      </w:r>
      <w:r w:rsidRPr="00D03F3E">
        <w:rPr>
          <w:rFonts w:ascii="Times New Roman" w:hAnsi="Times New Roman"/>
          <w:color w:val="000000" w:themeColor="text1"/>
          <w:sz w:val="16"/>
          <w:szCs w:val="16"/>
        </w:rPr>
        <w:softHyphen/>
        <w:t>стовое колесо и т.д. Так, отсос створок бомболюков в полете уменьшал макси</w:t>
      </w:r>
      <w:r w:rsidRPr="00D03F3E">
        <w:rPr>
          <w:rFonts w:ascii="Times New Roman" w:hAnsi="Times New Roman"/>
          <w:color w:val="000000" w:themeColor="text1"/>
          <w:sz w:val="16"/>
          <w:szCs w:val="16"/>
        </w:rPr>
        <w:softHyphen/>
        <w:t>мальную скорость Ил-2 на 12—15 км/ч, отсутствие обтекателей ракетных орудий и над хвостовым колесом — на 11 км/ч, а плохая внутренняя герметизация бронеспинки и противопо</w:t>
      </w:r>
      <w:r w:rsidRPr="00D03F3E">
        <w:rPr>
          <w:rFonts w:ascii="Times New Roman" w:hAnsi="Times New Roman"/>
          <w:color w:val="000000" w:themeColor="text1"/>
          <w:sz w:val="16"/>
          <w:szCs w:val="16"/>
        </w:rPr>
        <w:softHyphen/>
        <w:t>жарной перегородки — на 5,5 км/ч (11474,362).</w:t>
      </w:r>
    </w:p>
    <w:p w14:paraId="6C3B399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1C8FB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июня 1943 на заводе №30 удалось доработать Ил-2 АМ-38 по рекомендациям ЦАГИ. На испытаниях облагороженный штурмовик показал максимальную скорость на 30 км/ч выше в сравнении с серийными образцами.</w:t>
      </w:r>
    </w:p>
    <w:p w14:paraId="5DC2857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Продувка Ил-2 (зав. № 0202) производства завода № 18 в аэродинамической трубе Т-104 ЦАГИ, проведенная в начале 1943 г., показала, что у самолета имеется резерв в 45-50 км/ч повышения максимальной скорости полета. Это достигалось за счет облагораживания фонаря кабины пилота, применения патрубков с реактивным выхлопом, устранения отсоса створок бомболюков, размещения масло- радиатора в общем тоннеле с водорадиа- тором, более тщательной внутренней герметизации тоннелей радиаторов и противопожарной перегородки, установки обтекателей на реактивные орудия и хвостовое колесо и т.д.</w:t>
      </w:r>
    </w:p>
    <w:p w14:paraId="0A864D1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 отсос створок бомболюков в полете уменьшал максимальную скорость Ил-2 на 12-15 км/ч, отсутствие обтекателей ракетных орудий и над хвостовым колесом - на 11 км/ч, а плохая внутренняя герметизация бронеспинки и противопожарной перегородки - на 5,5 км/ч.</w:t>
      </w:r>
    </w:p>
    <w:p w14:paraId="5D47592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этому поводу Ильюшин в письме Шахурину от 2 июля писал: "...Самолет Ил-2 при внедрении в серию имел максимальную скорость у земли без PC равную 419 км/ч. В данное время серийные самолеты Ил-2 имеют скорость 376 км/ч. Уменьшение максимальной скорости произошло частично за счет увеличения полетного веса и главным образом за счет ухудшения качества внешней отделки...</w:t>
      </w:r>
    </w:p>
    <w:p w14:paraId="1534B83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Вас дать указание заводам, строящих самолет Ил-2, о немедленном создании эталонов самолетов с целью отработать на них внешнюю поверхность и другие элементы с тем, чтобы достичь максимальной скорости у земли 410-419 км/ч.</w:t>
      </w:r>
    </w:p>
    <w:p w14:paraId="228BD78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необходимо дать задание винтовому комбинату о соответствующей подготовке лопастей винта и этим самым создать эталон винта с лучшим К.П.Д.".</w:t>
      </w:r>
    </w:p>
    <w:p w14:paraId="69D8C6D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Ввиду важности этого вопроса приказ НКАП был подписан Шахуриным уже на следующий день. Нарком обязал директоров заводов №№ I, 18 и 30 создать к 15 июля 1943 г. "эталоны" самолета Ил-2. На них требовалось тщательно отработать внешнюю поверхность и внести улучшения по образцу Ил-2 завода № 30 с целью доведения максимальной скорости у земли до 410-425 км/ч.</w:t>
      </w:r>
    </w:p>
    <w:p w14:paraId="3C51DE2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в условиях массового производства поставленную Наркомом задачу авиазаводы так и не смогли решить - максимальные скорости серийных Ил-2 удалось поднять лишь до 391 км/чу земли и 405 км/ч на высоте.</w:t>
      </w:r>
    </w:p>
    <w:p w14:paraId="2BC5790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следует из материалов Н И И ВВС, несмотря на большое количество проведенных статиспытаний агрегатов серийных самолетов Ил-2 и доработок, их прочность осталась на прежнем уровне. Слабым местом оставались стыковочные узлы отъемной части крыла. Это подтверждалось и эксплуатацией самолетов в строевых частях. Однако никаких работ в этом направлении на заводах не проводилось. Серьезным недостатком являлось то обстоятельство, что все статиспыта- ния проводились на заводах при полетных весах, которые на 2-3% ниже фактических весов серийных самолетов.</w:t>
      </w:r>
    </w:p>
    <w:p w14:paraId="51C0039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Качество производственного исполнения серийных самолетов по спецоборудованию в течение 1943 г. не только не улучшилось, но даже значительно ухудшилось. Количество дефектов, отмеченных в актах НИИ ВВС по испытаниям, возросло почти в 4-5 раз. В частности, завод № 1 в течение 1943 г. не провел в жизнь ни одного </w:t>
      </w:r>
      <w:r w:rsidRPr="00D03F3E">
        <w:rPr>
          <w:rFonts w:ascii="Times New Roman" w:hAnsi="Times New Roman"/>
          <w:color w:val="000000" w:themeColor="text1"/>
          <w:sz w:val="16"/>
          <w:szCs w:val="16"/>
        </w:rPr>
        <w:lastRenderedPageBreak/>
        <w:t>изменения, предложенного НИИ ВВС по улучшению работы радио и спецоборудования.</w:t>
      </w:r>
    </w:p>
    <w:p w14:paraId="4E5684B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Заводы постоянно стремились занизить вес пустого самолета, объясняя имеющиеся колебания весов серийных самолетов "только за счет допусков на вес мотора (±17,6 кг) и брони (±25 кг)". В действительности же вес пустого самолета неуклонно возрастал за счет веса конструкции крыла (на 43 кг), центроплана - 22 кг, складывающихся подкосов - 8 кг, маслобака и т.д. Как удалось установить специалистам НИИ ВВС, вес пустого Ил-2 должен был увеличиться на 75 кг (12020).</w:t>
      </w:r>
    </w:p>
    <w:p w14:paraId="682EE1B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95CC8B" w14:textId="77777777" w:rsidR="00027215" w:rsidRPr="00D03F3E" w:rsidRDefault="000272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середине июня 1943 на самолет Ил-2М было установлено новое увеличенное хвостовое оперение. С ним самолет к 1 июля сделал 5 полетов. Как и прежде, «во всех полетах отмечается винтовая тряска, винт не подобран».</w:t>
      </w:r>
    </w:p>
    <w:p w14:paraId="32D4F100" w14:textId="77777777" w:rsidR="00027215" w:rsidRPr="00D03F3E" w:rsidRDefault="0002721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первой декаде июля заводом № 35 был подготовлен еще один экземпляр винта АВ-5л-18А с улучшенной аэродинамической балансировкой и передан в Куйбышев на 18-й завод для производства летных испытаний. При полетах с этим винтом тряска уменьшилась, но окончательно ликвидировать тряску все же не удалось. Теперь тряска появлялась при несколько меньших оборотах – 2200 об/мин. Мотористы считали, что при соответствующей доводке винта тряска прекратится. Однако в ходе совместных 100-часовых испытаний на заводе № 24 моторов АМ-42 и опытного флюгерного винта АВ-7л-18А (лопасти винта выполнялись по одному чертежу с АВ-5л-18А) в июле произошли аварии двух моторов (зав. № 4226 и № 4229). В обоих случаях разрушились демпферные пружины муфты сцепления приводного центробежного нагнетателя с коленчатым валом. Ни один из этих моторов не наработал 25 режимных часов на стенде. На «разборе полетов» специалистам завода № 35 пришлось напомнить членам комиссии, что еще в июле 1941 года первый образец винта серии АВ-5л прошел заводские 100-часовые испытания на опытном моторе М-90. Никакой тряски не наблюдалось. На Ил-2М срочно установили серийный винт АВ-5л-158 диаметром 3,6 м. Тряска исчезла. Стало ясно, что ссылки на недоработанность винтов справедливы лишь отчасти. Главный конструктор мотора А. А. Микулин запретил полеты с АМ-42 с винтами диаметром 4,0 м. Было решено определить частоты собственных колебаний воздушного винта и системы коленчатого вала мотора (17490).</w:t>
      </w:r>
    </w:p>
    <w:p w14:paraId="2E2E542F" w14:textId="77777777" w:rsidR="00027215" w:rsidRPr="00D03F3E" w:rsidRDefault="00027215" w:rsidP="00D03F3E">
      <w:pPr>
        <w:spacing w:after="0" w:line="240" w:lineRule="auto"/>
        <w:jc w:val="both"/>
        <w:rPr>
          <w:rFonts w:ascii="Times New Roman" w:hAnsi="Times New Roman"/>
          <w:color w:val="000000" w:themeColor="text1"/>
          <w:sz w:val="16"/>
          <w:szCs w:val="16"/>
        </w:rPr>
      </w:pPr>
    </w:p>
    <w:p w14:paraId="426057F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середине июня 1943 завод № 23 подготовил ма</w:t>
      </w:r>
      <w:r w:rsidRPr="00D03F3E">
        <w:rPr>
          <w:rFonts w:ascii="Times New Roman" w:hAnsi="Times New Roman"/>
          <w:color w:val="000000" w:themeColor="text1"/>
          <w:sz w:val="16"/>
          <w:szCs w:val="16"/>
        </w:rPr>
        <w:softHyphen/>
        <w:t>шину Ил-4 с крылом со стрелкой, заводы № 39 и 126 — в июле. Но практически нововве</w:t>
      </w:r>
      <w:r w:rsidRPr="00D03F3E">
        <w:rPr>
          <w:rFonts w:ascii="Times New Roman" w:hAnsi="Times New Roman"/>
          <w:color w:val="000000" w:themeColor="text1"/>
          <w:sz w:val="16"/>
          <w:szCs w:val="16"/>
        </w:rPr>
        <w:softHyphen/>
        <w:t>дения появлялись на серийных машинах не одновременно, а последовательно. Завод № 126 ввел костыльное колесо 470x210 мм с удлиненной стойкой на 121-й серии, а крыло «со стрелкой» — на 128-й. На последней тогда появи</w:t>
      </w:r>
      <w:r w:rsidRPr="00D03F3E">
        <w:rPr>
          <w:rFonts w:ascii="Times New Roman" w:hAnsi="Times New Roman"/>
          <w:color w:val="000000" w:themeColor="text1"/>
          <w:sz w:val="16"/>
          <w:szCs w:val="16"/>
        </w:rPr>
        <w:softHyphen/>
        <w:t>лись еще и элероны, обшитые полотном вместо дюралевого листа и увеличен</w:t>
      </w:r>
      <w:r w:rsidRPr="00D03F3E">
        <w:rPr>
          <w:rFonts w:ascii="Times New Roman" w:hAnsi="Times New Roman"/>
          <w:color w:val="000000" w:themeColor="text1"/>
          <w:sz w:val="16"/>
          <w:szCs w:val="16"/>
        </w:rPr>
        <w:softHyphen/>
        <w:t>ные по хорде, а также рули высоты с аэ</w:t>
      </w:r>
      <w:r w:rsidRPr="00D03F3E">
        <w:rPr>
          <w:rFonts w:ascii="Times New Roman" w:hAnsi="Times New Roman"/>
          <w:color w:val="000000" w:themeColor="text1"/>
          <w:sz w:val="16"/>
          <w:szCs w:val="16"/>
        </w:rPr>
        <w:softHyphen/>
        <w:t>родинамической компенсацией. Поскольку «стрелка» сдвинула центр тя</w:t>
      </w:r>
      <w:r w:rsidRPr="00D03F3E">
        <w:rPr>
          <w:rFonts w:ascii="Times New Roman" w:hAnsi="Times New Roman"/>
          <w:color w:val="000000" w:themeColor="text1"/>
          <w:sz w:val="16"/>
          <w:szCs w:val="16"/>
        </w:rPr>
        <w:softHyphen/>
        <w:t>жести, то вынос шасси одновременно уменьшили на 120 мм. (10734,78).</w:t>
      </w:r>
    </w:p>
    <w:p w14:paraId="051C07E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683350" w14:textId="77777777" w:rsidR="005F634D" w:rsidRPr="00D03F3E" w:rsidRDefault="005F63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июня 1943 года НКАП подготовил проект распоряжения ГОКО о переводе ОКБ-289 с опытным заводом из г. Молотова в г. Калининград Московской обл. на завод № 380 НКАП, объединив оба завода под № 289. По-видимому, это и был вопрос, рассматриваемый на приеме у И.В. Сталина 14 июня 1943 года, и на который был приглашен П.О. Сухой. Однако приказом НКАП от 14 июля 1943 года территория завода №380 со всеми производственными зданиями и сооружениями отошла к ГУ ИАС ВВС КА для организации Центральной авиаремонтной базы ВВС (164 ЦАРБ). В связи с этим местом дислокации реэвакуированного завода №289 была определена территория бывшего завода №464 в г. Тушино (19769).</w:t>
      </w:r>
    </w:p>
    <w:p w14:paraId="7B854A58" w14:textId="77777777" w:rsidR="005F634D" w:rsidRPr="00D03F3E" w:rsidRDefault="005F634D" w:rsidP="00D03F3E">
      <w:pPr>
        <w:spacing w:after="0" w:line="240" w:lineRule="auto"/>
        <w:jc w:val="both"/>
        <w:rPr>
          <w:rFonts w:ascii="Times New Roman" w:hAnsi="Times New Roman"/>
          <w:color w:val="000000" w:themeColor="text1"/>
          <w:sz w:val="16"/>
          <w:szCs w:val="16"/>
        </w:rPr>
      </w:pPr>
    </w:p>
    <w:p w14:paraId="4381FA5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июня 1943 г. приступили к разработке проекта истребителя, получившего название И-221 и шифр "2А", а через два месяца начали сборку новой машины. Однако из-за несвоевременной поставки двигателя самолет был закончен в производстве только 28 октября. Основными отличиями истребителя И-221 от И-220 были: двигатель АМ-39А с редукцией 0.59 (вместо 0,732), два турбокомпрессора ТК-2Б, четырехлопастный винт серии АВ-9 диаметром 3,5 м, а также увеличенный до 13 м размах крыла. Вооружение состояло из двух 20-мм синхронных пушек ШВАК (СП-20) с боезапасом по 100 патронов (одна пушка устанавливалась в перегрузку). По расчетам самолет И-221 должен был иметь максимальную скорость 685 км/ч на высоте 12500 м и потолок 15000 м. Заданную высоту 14000 м предполагалось набирать за 22 мин (5852,38).</w:t>
      </w:r>
    </w:p>
    <w:p w14:paraId="6C6DDCD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BEA40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ию</w:t>
      </w:r>
      <w:r w:rsidRPr="00D03F3E">
        <w:rPr>
          <w:rFonts w:ascii="Times New Roman" w:hAnsi="Times New Roman"/>
          <w:color w:val="000000" w:themeColor="text1"/>
          <w:sz w:val="16"/>
          <w:szCs w:val="16"/>
        </w:rPr>
        <w:softHyphen/>
        <w:t>ня 1943 г. в заключении НИИ ВВС, направленном главному конструктору А.И.Микояну, ко</w:t>
      </w:r>
      <w:r w:rsidRPr="00D03F3E">
        <w:rPr>
          <w:rFonts w:ascii="Times New Roman" w:hAnsi="Times New Roman"/>
          <w:color w:val="000000" w:themeColor="text1"/>
          <w:sz w:val="16"/>
          <w:szCs w:val="16"/>
        </w:rPr>
        <w:softHyphen/>
        <w:t>мандующему истребительной авиации ПВО генералу А.С.Осипенко, главному инженеру ВВС КА генералу А.К.Репину и другим заинтересованным сторонам, начальник института генерал П.А.Лосюков написал:</w:t>
      </w:r>
    </w:p>
    <w:p w14:paraId="25A8BFD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Практический потолок МиГ—3 АМ—35А при максимально возможном облегчении на 187 кг (по</w:t>
      </w:r>
      <w:r w:rsidRPr="00D03F3E">
        <w:rPr>
          <w:rFonts w:ascii="Times New Roman" w:hAnsi="Times New Roman"/>
          <w:color w:val="000000" w:themeColor="text1"/>
          <w:sz w:val="16"/>
          <w:szCs w:val="16"/>
        </w:rPr>
        <w:softHyphen/>
        <w:t>летный вес составлял 3098 кг) равнялся 11750 м. По современным требованиям практический потолок истребителя ПВО должен быть 13000—14000 м. Таким образом, задача создания высотного истребителя МиГ—3 АМ—35А, отвечающего этим требованиям, при данных весе конструкции и винтомоторной группе не решена.</w:t>
      </w:r>
    </w:p>
    <w:p w14:paraId="55D5A17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Для создания специального высотного истре</w:t>
      </w:r>
      <w:r w:rsidRPr="00D03F3E">
        <w:rPr>
          <w:rFonts w:ascii="Times New Roman" w:hAnsi="Times New Roman"/>
          <w:color w:val="000000" w:themeColor="text1"/>
          <w:sz w:val="16"/>
          <w:szCs w:val="16"/>
        </w:rPr>
        <w:softHyphen/>
        <w:t>бителя целесообразно на МиГ—3:</w:t>
      </w:r>
    </w:p>
    <w:p w14:paraId="7FA0D2D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облегчить конструкцию самолета;</w:t>
      </w:r>
    </w:p>
    <w:p w14:paraId="57C6205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установить турбокомпрессор с автоматическим управлением;</w:t>
      </w:r>
    </w:p>
    <w:p w14:paraId="66D3319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увеличить размах и площадь крыла;</w:t>
      </w:r>
    </w:p>
    <w:p w14:paraId="4F238B4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подобрать и установить специальный высотный винт, повышающий скороподъемность и практичес</w:t>
      </w:r>
      <w:r w:rsidRPr="00D03F3E">
        <w:rPr>
          <w:rFonts w:ascii="Times New Roman" w:hAnsi="Times New Roman"/>
          <w:color w:val="000000" w:themeColor="text1"/>
          <w:sz w:val="16"/>
          <w:szCs w:val="16"/>
        </w:rPr>
        <w:softHyphen/>
        <w:t>кий потолок» (9984).</w:t>
      </w:r>
    </w:p>
    <w:p w14:paraId="21A43AC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6FBF68" w14:textId="77777777" w:rsidR="00BB5582" w:rsidRPr="00D03F3E" w:rsidRDefault="00BB558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 середине июня 1943 самолет ТИС (2А), который переделывался в ТИС (МА), уже был в столице.</w:t>
      </w:r>
    </w:p>
    <w:p w14:paraId="3E0ECDD3" w14:textId="77777777" w:rsidR="00BB5582" w:rsidRPr="00D03F3E" w:rsidRDefault="00BB558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Предусматривалась установка в центроплане двух пушек 11П калибра 37</w:t>
      </w:r>
      <w:r w:rsidRPr="00D03F3E">
        <w:rPr>
          <w:rStyle w:val="aff8"/>
          <w:rFonts w:ascii="Times New Roman" w:cs="Times New Roman"/>
          <w:b w:val="0"/>
          <w:color w:val="000000" w:themeColor="text1"/>
          <w:spacing w:val="0"/>
          <w:sz w:val="16"/>
          <w:szCs w:val="16"/>
        </w:rPr>
        <w:t xml:space="preserve"> мм</w:t>
      </w:r>
      <w:r w:rsidRPr="00D03F3E">
        <w:rPr>
          <w:rFonts w:ascii="Times New Roman" w:cs="Times New Roman"/>
          <w:color w:val="000000" w:themeColor="text1"/>
          <w:spacing w:val="0"/>
        </w:rPr>
        <w:t xml:space="preserve"> конструкции ОКБ-16 (в серии НС-37) с боекомплектом по 75 снарядов </w:t>
      </w:r>
      <w:r w:rsidRPr="00D03F3E">
        <w:rPr>
          <w:rStyle w:val="aff8"/>
          <w:rFonts w:ascii="Times New Roman" w:cs="Times New Roman"/>
          <w:b w:val="0"/>
          <w:color w:val="000000" w:themeColor="text1"/>
          <w:spacing w:val="0"/>
          <w:sz w:val="16"/>
          <w:szCs w:val="16"/>
        </w:rPr>
        <w:t>на ствол</w:t>
      </w:r>
      <w:r w:rsidRPr="00D03F3E">
        <w:rPr>
          <w:rFonts w:ascii="Times New Roman" w:cs="Times New Roman"/>
          <w:color w:val="000000" w:themeColor="text1"/>
          <w:spacing w:val="0"/>
        </w:rPr>
        <w:t xml:space="preserve"> и в носовом отсеке двух пушек </w:t>
      </w:r>
      <w:r w:rsidRPr="00D03F3E">
        <w:rPr>
          <w:rStyle w:val="aff8"/>
          <w:rFonts w:ascii="Times New Roman" w:cs="Times New Roman"/>
          <w:b w:val="0"/>
          <w:color w:val="000000" w:themeColor="text1"/>
          <w:spacing w:val="0"/>
          <w:sz w:val="16"/>
          <w:szCs w:val="16"/>
        </w:rPr>
        <w:t>ШВАК с</w:t>
      </w:r>
      <w:r w:rsidRPr="00D03F3E">
        <w:rPr>
          <w:rFonts w:ascii="Times New Roman" w:cs="Times New Roman"/>
          <w:color w:val="000000" w:themeColor="text1"/>
          <w:spacing w:val="0"/>
        </w:rPr>
        <w:t xml:space="preserve"> боезапасом по 150 снарядов на </w:t>
      </w:r>
      <w:r w:rsidRPr="00D03F3E">
        <w:rPr>
          <w:rStyle w:val="aff8"/>
          <w:rFonts w:ascii="Times New Roman" w:cs="Times New Roman"/>
          <w:b w:val="0"/>
          <w:color w:val="000000" w:themeColor="text1"/>
          <w:spacing w:val="0"/>
          <w:sz w:val="16"/>
          <w:szCs w:val="16"/>
        </w:rPr>
        <w:t>пушку. Вес</w:t>
      </w:r>
      <w:r w:rsidRPr="00D03F3E">
        <w:rPr>
          <w:rFonts w:ascii="Times New Roman" w:cs="Times New Roman"/>
          <w:color w:val="000000" w:themeColor="text1"/>
          <w:spacing w:val="0"/>
        </w:rPr>
        <w:t xml:space="preserve"> секундного залпа увеличил</w:t>
      </w:r>
      <w:r w:rsidRPr="00D03F3E">
        <w:rPr>
          <w:rFonts w:ascii="Times New Roman" w:cs="Times New Roman"/>
          <w:color w:val="000000" w:themeColor="text1"/>
          <w:spacing w:val="0"/>
        </w:rPr>
        <w:softHyphen/>
      </w:r>
      <w:r w:rsidRPr="00D03F3E">
        <w:rPr>
          <w:rStyle w:val="aff8"/>
          <w:rFonts w:ascii="Times New Roman" w:cs="Times New Roman"/>
          <w:b w:val="0"/>
          <w:color w:val="000000" w:themeColor="text1"/>
          <w:spacing w:val="0"/>
          <w:sz w:val="16"/>
          <w:szCs w:val="16"/>
        </w:rPr>
        <w:t>ся до 8,8</w:t>
      </w:r>
      <w:r w:rsidRPr="00D03F3E">
        <w:rPr>
          <w:rFonts w:ascii="Times New Roman" w:cs="Times New Roman"/>
          <w:color w:val="000000" w:themeColor="text1"/>
          <w:spacing w:val="0"/>
        </w:rPr>
        <w:t xml:space="preserve"> кг.</w:t>
      </w:r>
    </w:p>
    <w:p w14:paraId="58FAF7B6" w14:textId="77777777" w:rsidR="00BB5582" w:rsidRPr="00D03F3E" w:rsidRDefault="00BB558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Верхний пулемет ШКАС заменялся крупнокалиберным пулеметом БТ с бо</w:t>
      </w:r>
      <w:r w:rsidRPr="00D03F3E">
        <w:rPr>
          <w:rFonts w:ascii="Times New Roman" w:cs="Times New Roman"/>
          <w:color w:val="000000" w:themeColor="text1"/>
          <w:spacing w:val="0"/>
        </w:rPr>
        <w:softHyphen/>
        <w:t>екомплектом 200 патронов на установке ВУБ-1. Люковая установка с пулеметом ШКАС сохранялась.</w:t>
      </w:r>
    </w:p>
    <w:p w14:paraId="2EFDD5B6" w14:textId="77777777" w:rsidR="00BB5582" w:rsidRPr="00D03F3E" w:rsidRDefault="00BB558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Бомбовая нагрузка по весу остава</w:t>
      </w:r>
      <w:r w:rsidRPr="00D03F3E">
        <w:rPr>
          <w:rFonts w:ascii="Times New Roman" w:cs="Times New Roman"/>
          <w:color w:val="000000" w:themeColor="text1"/>
          <w:spacing w:val="0"/>
        </w:rPr>
        <w:softHyphen/>
        <w:t>лась в целом прежней - ЮОбкг, но с не</w:t>
      </w:r>
      <w:r w:rsidRPr="00D03F3E">
        <w:rPr>
          <w:rFonts w:ascii="Times New Roman" w:cs="Times New Roman"/>
          <w:color w:val="000000" w:themeColor="text1"/>
          <w:spacing w:val="0"/>
        </w:rPr>
        <w:softHyphen/>
        <w:t>которым изменением. В дополнение к двум подфюзеляжным бомбодержате</w:t>
      </w:r>
      <w:r w:rsidRPr="00D03F3E">
        <w:rPr>
          <w:rFonts w:ascii="Times New Roman" w:cs="Times New Roman"/>
          <w:color w:val="000000" w:themeColor="text1"/>
          <w:spacing w:val="0"/>
        </w:rPr>
        <w:softHyphen/>
        <w:t>лям по 500 кг каждый, внутри фюзеляжа оборудовался небольшой бомбоотсек с двумя держателями емкостью по 100 кг каждый. Это позволяло увеличить бом</w:t>
      </w:r>
      <w:r w:rsidRPr="00D03F3E">
        <w:rPr>
          <w:rFonts w:ascii="Times New Roman" w:cs="Times New Roman"/>
          <w:color w:val="000000" w:themeColor="text1"/>
          <w:spacing w:val="0"/>
        </w:rPr>
        <w:softHyphen/>
        <w:t>бовую нагрузку до 1200 кг, но при усло</w:t>
      </w:r>
      <w:r w:rsidRPr="00D03F3E">
        <w:rPr>
          <w:rFonts w:ascii="Times New Roman" w:cs="Times New Roman"/>
          <w:color w:val="000000" w:themeColor="text1"/>
          <w:spacing w:val="0"/>
        </w:rPr>
        <w:softHyphen/>
        <w:t>вии снятия центропланных пушек.</w:t>
      </w:r>
    </w:p>
    <w:p w14:paraId="5AFC83BA" w14:textId="77777777" w:rsidR="00BB5582" w:rsidRPr="00D03F3E" w:rsidRDefault="00BB558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Кроме того, под консолями кры</w:t>
      </w:r>
      <w:r w:rsidRPr="00D03F3E">
        <w:rPr>
          <w:rFonts w:ascii="Times New Roman" w:cs="Times New Roman"/>
          <w:color w:val="000000" w:themeColor="text1"/>
          <w:spacing w:val="0"/>
        </w:rPr>
        <w:softHyphen/>
        <w:t>ла предусматривалась установка вось</w:t>
      </w:r>
      <w:r w:rsidRPr="00D03F3E">
        <w:rPr>
          <w:rFonts w:ascii="Times New Roman" w:cs="Times New Roman"/>
          <w:color w:val="000000" w:themeColor="text1"/>
          <w:spacing w:val="0"/>
        </w:rPr>
        <w:softHyphen/>
        <w:t>ми ракетных орудий РО-132 калибра 132 мм, что заметно повышало боевую эффективность самолета за счет приме</w:t>
      </w:r>
      <w:r w:rsidRPr="00D03F3E">
        <w:rPr>
          <w:rFonts w:ascii="Times New Roman" w:cs="Times New Roman"/>
          <w:color w:val="000000" w:themeColor="text1"/>
          <w:spacing w:val="0"/>
        </w:rPr>
        <w:softHyphen/>
        <w:t>нения осколочно-фугасных и бронебой</w:t>
      </w:r>
      <w:r w:rsidRPr="00D03F3E">
        <w:rPr>
          <w:rFonts w:ascii="Times New Roman" w:cs="Times New Roman"/>
          <w:color w:val="000000" w:themeColor="text1"/>
          <w:spacing w:val="0"/>
        </w:rPr>
        <w:softHyphen/>
        <w:t>ных ракетных снарядов типа РОФС-132, М-13, РБС-132.</w:t>
      </w:r>
    </w:p>
    <w:p w14:paraId="245663E5" w14:textId="77777777" w:rsidR="00BB5582" w:rsidRPr="00D03F3E" w:rsidRDefault="00BB558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По оценкам, при полетном весе 8000 кг максимальная скорость ожида</w:t>
      </w:r>
      <w:r w:rsidRPr="00D03F3E">
        <w:rPr>
          <w:rFonts w:ascii="Times New Roman" w:cs="Times New Roman"/>
          <w:color w:val="000000" w:themeColor="text1"/>
          <w:spacing w:val="0"/>
        </w:rPr>
        <w:softHyphen/>
        <w:t>лась около 650 км/ч на высоте 7000 м и 505 км/ч - у земли. Скоростная даль</w:t>
      </w:r>
      <w:r w:rsidRPr="00D03F3E">
        <w:rPr>
          <w:rFonts w:ascii="Times New Roman" w:cs="Times New Roman"/>
          <w:color w:val="000000" w:themeColor="text1"/>
          <w:spacing w:val="0"/>
        </w:rPr>
        <w:softHyphen/>
        <w:t>ность полета - 2000 км.</w:t>
      </w:r>
    </w:p>
    <w:p w14:paraId="2142FC32" w14:textId="77777777" w:rsidR="00BB5582" w:rsidRPr="00D03F3E" w:rsidRDefault="00BB558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После согласования некоторых тех</w:t>
      </w:r>
      <w:r w:rsidRPr="00D03F3E">
        <w:rPr>
          <w:rFonts w:ascii="Times New Roman" w:cs="Times New Roman"/>
          <w:color w:val="000000" w:themeColor="text1"/>
          <w:spacing w:val="0"/>
        </w:rPr>
        <w:softHyphen/>
        <w:t>нических и организационных вопросов НКАП дал официальное разрешение на переделку самолета со сроком оконча</w:t>
      </w:r>
      <w:r w:rsidRPr="00D03F3E">
        <w:rPr>
          <w:rFonts w:ascii="Times New Roman" w:cs="Times New Roman"/>
          <w:color w:val="000000" w:themeColor="text1"/>
          <w:spacing w:val="0"/>
        </w:rPr>
        <w:softHyphen/>
        <w:t>ния всех работ 15 октября. Одновремен</w:t>
      </w:r>
      <w:r w:rsidRPr="00D03F3E">
        <w:rPr>
          <w:rFonts w:ascii="Times New Roman" w:cs="Times New Roman"/>
          <w:color w:val="000000" w:themeColor="text1"/>
          <w:spacing w:val="0"/>
        </w:rPr>
        <w:softHyphen/>
        <w:t>но директор завода №300 Г.А. Тихомиров получил приказ поставить заводу №51 один мотор АМ-39Б с ТК с редукци</w:t>
      </w:r>
      <w:r w:rsidRPr="00D03F3E">
        <w:rPr>
          <w:rFonts w:ascii="Times New Roman" w:cs="Times New Roman"/>
          <w:color w:val="000000" w:themeColor="text1"/>
          <w:spacing w:val="0"/>
        </w:rPr>
        <w:softHyphen/>
        <w:t>ей 0,59 в срок не позже 1 июля и еще два таких же мотора - к 15 сентября 1943 г. Почти сразу же начались ра</w:t>
      </w:r>
      <w:r w:rsidRPr="00D03F3E">
        <w:rPr>
          <w:rFonts w:ascii="Times New Roman" w:cs="Times New Roman"/>
          <w:color w:val="000000" w:themeColor="text1"/>
          <w:spacing w:val="0"/>
        </w:rPr>
        <w:softHyphen/>
        <w:t>боты по его модернизации. На 21 июля 1943 г. общая готовность ТИС (МА) оце</w:t>
      </w:r>
      <w:r w:rsidRPr="00D03F3E">
        <w:rPr>
          <w:rFonts w:ascii="Times New Roman" w:cs="Times New Roman"/>
          <w:color w:val="000000" w:themeColor="text1"/>
          <w:spacing w:val="0"/>
        </w:rPr>
        <w:softHyphen/>
        <w:t>нивалась в 25% (15758).</w:t>
      </w:r>
    </w:p>
    <w:p w14:paraId="21D1BFE4" w14:textId="77777777" w:rsidR="00BB5582" w:rsidRPr="00D03F3E" w:rsidRDefault="00BB5582" w:rsidP="00D03F3E">
      <w:pPr>
        <w:pStyle w:val="27"/>
        <w:shd w:val="clear" w:color="auto" w:fill="auto"/>
        <w:spacing w:after="0" w:line="240" w:lineRule="auto"/>
        <w:ind w:firstLine="0"/>
        <w:rPr>
          <w:rFonts w:ascii="Times New Roman" w:cs="Times New Roman"/>
          <w:color w:val="000000" w:themeColor="text1"/>
          <w:spacing w:val="0"/>
        </w:rPr>
      </w:pPr>
    </w:p>
    <w:p w14:paraId="06BB4A60" w14:textId="77777777" w:rsidR="009212F4" w:rsidRPr="00D03F3E" w:rsidRDefault="009212F4"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 середине июня 1943 самолет ТИС (МА) уже был в столице. Почти сразу же начались работы по его модерниза</w:t>
      </w:r>
      <w:r w:rsidRPr="00D03F3E">
        <w:rPr>
          <w:color w:val="000000" w:themeColor="text1"/>
          <w:sz w:val="16"/>
          <w:szCs w:val="16"/>
        </w:rPr>
        <w:softHyphen/>
        <w:t>ции. На 21 июля 1943 г. общая готовность ТИС (МА) оценивалась в 25% (17500).</w:t>
      </w:r>
    </w:p>
    <w:p w14:paraId="5A20EF5C" w14:textId="77777777" w:rsidR="009212F4" w:rsidRPr="00D03F3E" w:rsidRDefault="009212F4" w:rsidP="00D03F3E">
      <w:pPr>
        <w:spacing w:after="0" w:line="240" w:lineRule="auto"/>
        <w:jc w:val="both"/>
        <w:rPr>
          <w:rFonts w:ascii="Times New Roman" w:eastAsia="Times New Roman" w:hAnsi="Times New Roman"/>
          <w:color w:val="000000" w:themeColor="text1"/>
          <w:sz w:val="16"/>
          <w:szCs w:val="16"/>
          <w:lang w:eastAsia="ru-RU"/>
        </w:rPr>
      </w:pPr>
    </w:p>
    <w:p w14:paraId="3C8B75E3" w14:textId="77777777" w:rsidR="009A3824"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D365AA8" w14:textId="77777777" w:rsidR="009A3824" w:rsidRPr="00D03F3E" w:rsidRDefault="009A382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40CD07" w14:textId="77777777" w:rsidR="009A3824" w:rsidRPr="00D03F3E" w:rsidRDefault="009A382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середине июня 1943 на сборке Ярославского автомобильного завода (ЯАЗ) уже стояли с десяток рам арттягачей Я-11 из заложенных пятидесяти. Но именно в период с 4 по 22 июня ожесточенные бомбежки ГАЗа, накануне немецкого наступления на Курской дуге надолго вывели из строя его моторный корпус №1, производивший двигатели ГАЗ-М. В результате тягач Я-11 остался без силовой установки. Других, подходящих по мощности, в наличии не было. Складывалось, казалось, безвыходное положение...</w:t>
      </w:r>
    </w:p>
    <w:p w14:paraId="060651E6" w14:textId="77777777" w:rsidR="009A3824" w:rsidRPr="00D03F3E" w:rsidRDefault="009A382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ускорения освоения производства новых грузовых автомобилей (ЯГ-9, Я-14 и Я-17) в США решили заказать 1500 силовых агрегатов GМС-4-71. С такой просьбой к И.В.Сталину обратился в декабре 1941 года директор ЯГАЗ А.А.Никаноров. Сталин решил вопрос положительно. В связи с освоением новых видов военной продукции и трудностями их производства, ярославцы о заказе забыли. Вспомнили только в начале июля 1943-го, когда на ЯГАЗ начали поступать вагоны с силовыми агрегатами GМС-4-71 и запчастями к ним. До этого как невоенный груз они задерживались во Владивостоке, И тут выяснилось, что силовой агрегат GМС (дизель 4-71, главный фрикцион "Лонг-32", 5-ступенчатая КП "Спайсер-5553") по своим энергетическим и массо-габаритным показателям как нельзя лучше подходил под установку на тягач Я-11. Быстро, в течение двух недель, сделали компоновку тягача с новым двигателем и выпустили основные рабочие чертежи по его установке, оборудованию вспомогательными системами и по неизбежным переделкам трансмиссии.</w:t>
      </w:r>
    </w:p>
    <w:p w14:paraId="3B809B8D" w14:textId="77777777" w:rsidR="009A3824" w:rsidRPr="00D03F3E" w:rsidRDefault="009A382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Силовой агрегат GМС удачно разместили со сдвигом от центра вправо на 100 мм и с наклоном назад на 4°. Впереди смонтировали новый большой радиатор пластинчатого типа с диффузором (подобный ставился на грузовики ЯГ-6), а водомаслорадиатор уже входил в состав двигателя, что было тогда большой редкостью. На щитке приборов появился отсутствовавший ранее аэротермометр. Питание двигателя теперь происходило из двух баков: основного (124 л) и резервного (176 л). Топливо подвергалось двойной фильтрации (и еще сверхтонкой - в насос-форсунках) - иначе двигатель GМС не мог работать. Вместе с ним поставлялись и два более эффективных пылеемких воздушных фильтра, обеспечивающих почти 100% очистку.</w:t>
      </w:r>
    </w:p>
    <w:p w14:paraId="4FDC5680" w14:textId="77777777" w:rsidR="009A3824" w:rsidRPr="00D03F3E" w:rsidRDefault="009A382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задней части шасси установили одну главную передачу с двумя механизмами поворота и тормозами, теперь полностью унифицированную с Т-70М и СУ-76М, кроме передаточного числа. Его пришлось уменьшить до 1,000 - по сравнению с Я-11, частота вращения коленчатого вала двигателя СМС также уменьшилась на 40%, зато момент на выходе из КП возрос на 36%.</w:t>
      </w:r>
    </w:p>
    <w:p w14:paraId="52EF4404" w14:textId="77777777" w:rsidR="009A3824" w:rsidRPr="00D03F3E" w:rsidRDefault="009A382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из-за возросшей полной массы нового тягача (более, чем на тонну) клиренс его уменьшился на 53 мм. Заднее буксирное приспособление было поднято на 25 мм для приведения его в соответствие с новыми прицепными системами. Размеры деревянной с металлической окантовкой грузовой платформы пришлось уменьшить - площадь пола теперь составляла 3,37 м2, а объем кузова - 2,02 м3. Ящики для ЗИПа вынесли наружу за пределы платформы, что и заставило значительно уменьшить ее внутреннюю ширину. На количестве перевозимого груза и численности орудийного расчета это не отразилось - те же ящики с боекомплектом и 8 - 10 бойцов.</w:t>
      </w:r>
    </w:p>
    <w:p w14:paraId="40112D49" w14:textId="77777777" w:rsidR="009A3824" w:rsidRPr="00D03F3E" w:rsidRDefault="009A382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Ввиду значительно возросшей мощности двигателя (и удельной мощности - на 13%) максимальная скорость движения (на пятой передаче) без прицепа на дорогах с твердым покрытием увеличилась до 37 м/ч, но максимальное расчетное тяговое усилие уменьшилось на 12%. Так как на Я-11 тяговое усилие было излишним и не реализовывалось полностью по сцеплению с грунтом, то и на новой машине его оказалось достаточно для буксирования 8-тонных арт- систем (15646).</w:t>
      </w:r>
    </w:p>
    <w:p w14:paraId="6E032F92" w14:textId="77777777" w:rsidR="009A3824" w:rsidRPr="00D03F3E" w:rsidRDefault="009A3824" w:rsidP="00D03F3E">
      <w:pPr>
        <w:spacing w:after="0" w:line="240" w:lineRule="auto"/>
        <w:jc w:val="both"/>
        <w:rPr>
          <w:rFonts w:ascii="Times New Roman" w:hAnsi="Times New Roman"/>
          <w:color w:val="000000" w:themeColor="text1"/>
          <w:sz w:val="16"/>
          <w:szCs w:val="16"/>
        </w:rPr>
      </w:pPr>
    </w:p>
    <w:p w14:paraId="0B44DD04"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6BDFA85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4ABD5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июня 1943 г. офицер Генерального штаба Красной Армии при штабе 2-й ВА майор Кузьмичев докладывал маршалу Василевскому, что при существующей системе управления и организации боевых действий "оперативность управления авиацией при ведении боевой работы не будет сохраняться, это особенно почувствуется в период массированных ударов и маневренных действий".</w:t>
      </w:r>
    </w:p>
    <w:p w14:paraId="144DBBD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Надо полагать, при планировании операции "Цитадель" немцы, несомненно, принимали в расчет громоздкость системы управления и связи ВВС КА и наземных войск, а также тот факт, что "...наземная организация русских ВВС... будучи однажды нарушена, не может быть быстро восстановлена".</w:t>
      </w:r>
    </w:p>
    <w:p w14:paraId="052C2B3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свою очередь, нарушение управления и организации взаимодействия наземных войск и авиации на поле боя резко снижает устойчивость обороны даже при значительном количественном превосходстве в силах и дает дополнительные преимущества наступающим войскам противника.</w:t>
      </w:r>
    </w:p>
    <w:p w14:paraId="0A824CA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Собственно говоря, это и произошло. С началом боевых действий в районе Курского выступа, когда немцы реализовали совместное и чрезвычайно массированное применение авиации, войсковой ПВО, танковых и мотомеханизированных войск на узком участке фронта в сочетании с высокой динамикой боя, советское командование не смогло адекватно реагировать на быстроменяющуюся обстановку. Как следствие, противнику удалось захватить инициативу боя.</w:t>
      </w:r>
    </w:p>
    <w:p w14:paraId="43C33F3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Планы воздушных армий оказались не вполне отвечавшими сложившейся обстановке. Боевые действия Ил-2 эскадрильски- ми группами не дали ожидаемых результатов в борьбе с крупными ударными группировками немецких войск, поскольку плотность бомбоштурмовых ударов была незначительной. Действия малочисленных групп советских самолетов легко отражались крупными силами истребителей Люфтваффе и сильным огнем немецких зенитчиков. Действия же советских истребителей были не всегда тактически грамотными. Как и прежде, краснозвездные ястребки охотно ввязывались в воздушные бои с истребителями Люфтваффе, оставляя без прикрытия сопровождаемых штурмовиков.</w:t>
      </w:r>
    </w:p>
    <w:p w14:paraId="345D02B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Ил-2 несли большие потери, а наземные войска - не получали необходимой авиационной поддержки.</w:t>
      </w:r>
    </w:p>
    <w:p w14:paraId="6F3CEE6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Например, безвозвратная убыль матчасти 9-го смешанного авиакорпуса 17-й ВА, который в период с 5 по 7 июля включительно в основном работал по переправам через р.Северский Донец, составила около 55% первоначального состава: 672-й шап - 23, 995-й шап - 18, 991-й шап - 14, 237-й шап - 18, 175-й шап - 13 и 955-й шап - 17 самолетов Ил-2. На одну потерю Ил-2 пришлось всего 2,8 (!) боевых самолето-вылетов. При этом первая немецкая переправа через Северский Донец была разрушена экипажами 9-го сак только вечером 6 июля, когда группу 6 Ил-2 от 955-го шап повел командир полка подполковник Буланов.</w:t>
      </w:r>
    </w:p>
    <w:p w14:paraId="0F91F44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Расследование офицерами Генерального штаба столь больших потерь 9 сак показало, что: "...Не была организована борьба с зенитной артиллерией у цели. Выделялись только отдельные замыкающие в группе, что мало. Одновременно в районе цели появлялись 3-4 группы - большая скученность у цели. ...В указанных местах сбора экипажи не собирались, в других случаях не было ясно указано командованием частей и ведущих групп порядок и места сбора. ...Часть летного состава не знала действующих аэродромов и посадочных площадок по ходу цели и обратно, не было указано, куда садиться подбитым самолетам при уходе от цели".</w:t>
      </w:r>
    </w:p>
    <w:p w14:paraId="6D55172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полноты картины необходимо добавить, что "истребители прикрытия с 5 по 8 июля своей работы полностью не выполняли": "Если до цели сопровождение хорошее, то в районе цели брали большое превышение, вследствие чего отрывались от группы и теряли ее из виду. Штурмовики после атаки цели попадали под удар истребительной авиации противника и не получали помощи от своих истребителей".</w:t>
      </w:r>
    </w:p>
    <w:p w14:paraId="7465A7A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Критически оценивая сложившуюся ситуацию, командование ВВС КА, командующие воздушными армиями внесли серьезные коррективы в организацию боевых действий авиации в районе Курского выступа.</w:t>
      </w:r>
    </w:p>
    <w:p w14:paraId="7ADCA68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Авиационная поддержка войск стала выполняться преимущественно в форме сосредоточенных ударов бомбардировщиков и штурмовиков под прикрытием большого количества истребителей в сочетании с эшелонированными действиями небольших групп штурмовиков между ними.</w:t>
      </w:r>
    </w:p>
    <w:p w14:paraId="7DED573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Штабам 15 и 1-й воздушных армий впервые удалось детально спланировать и достаточно хорошо выполнить авиационное наступление в тесной увязке с действиями войск Брянского и Западного фронтов. Авиация каждой воздушной армии использовалась на направлении главного удара своего фронта на участке прорыва шириной 10-12 км, глубиной 5-6 км. При этом удары штурмовиков распределялись не по всем целям равномерно, а сосредоточивались преимущественно на главных из них, имевших в данный момент решающее значение для продвижения наземных войск.</w:t>
      </w:r>
    </w:p>
    <w:p w14:paraId="1536DE0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сожалению, командованию воздушных армий все же не удалось действительно целеустремленно использовать авиацию на протяжении всей наступательной операции - усилия штурмовиков были распылены. Воздушные армии взаимодействовали с наземными войсками главным образом тактически и слишком мало оперативно. Авиации не удалось в должной мере обеспечить действия танковых корпусов в глубине 50-75 км от контрудара подошедшими резервами противника.</w:t>
      </w:r>
    </w:p>
    <w:p w14:paraId="74F0635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еще оставались до конца не решенными вопросы эффективного управления штурмовой авиацией над полем боя. Штурмовики, действовавшие в тактической связи с наземными войсками, непосредственно с поля боя зачастую не управлялись, так как пункты управления ими не везде были развернуты. Даже при наличии на передовой станции наведения взаимодействие штурмовиков и авианаводчиков в ряде случаев было откровенно плохим. Ведущие групп не всегда устанавливали связь со станцией наведения, "не запрашивали обозначение переднего края и указанных целей". Соответственно, выполняли задачу "по своему разумению". В свою очередь, служба обозначения войск была организована слабо. Ощущался недостаток полотнищ обозначения и сигнальных ракет, особенно после нескольких дней боев. В итоге имели место случаи нанесения штурмовиками ударов по своим войскам.</w:t>
      </w:r>
    </w:p>
    <w:p w14:paraId="451F242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 12 июля в ходе контрудара войск Воронежского фронта под Прохоровкой штурмовики в течение дня как минимум пять раз били по своим войскам. Под удар Ил-2 попали части 32 и 170-й танковых бригад, 92 и 95-й гвардейских стрелковых дивизий, 4-й гвардейской мотострелковой бригады. В этот же день ударами по своим "отметились" штурмовики 1-й ВА, обеспечивавшие наступление войск Западного фронта. Группа 13 Ил-2 от 233-й шад "произвела 2-й заход не по противнику, а по своим войскам в районе Ожигово". Штурмовики 15-й ВА, действовавшие в полосе наступления войск Брянского фронта, до конца месяца не менее восьми раз бомбили и штурмовали свои войска. Войска Центрального фронта в период с 9 июля по 9 августа подвергались ударам штурмовиков 16-й ВА в общей сложности 11 раз.</w:t>
      </w:r>
    </w:p>
    <w:p w14:paraId="56BA73E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тем многочисленные архивные документы показывают, что "в том случае, когда штурмовики действовали согласно обстановке" достигался большой эффект и войска быстро "выдвигались на новые рубежи" (12020).</w:t>
      </w:r>
    </w:p>
    <w:p w14:paraId="49FC9A2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B22646"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F734B6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20B7E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первой половине июня 1943 все четыре новых танковых пушки - две С-31 ЦАКБ и две Д-5Т завода № 9 были готовы. С-31 разработали путем наложения 85-мм ствола на люльку 76,2-мм серийной танковой пушки ЗИС-5, что могло существенно облегчить ее производство. Что касается Д-5Т, то она представляла собой вариант пушки Д-5С, разработанной для самоходно-артиллерийской установки СУ-85, и отличалась малой массой и небольшой длиной отката. (3862).</w:t>
      </w:r>
    </w:p>
    <w:p w14:paraId="733C4B6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255527"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1240B5E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90093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Нач. ГУЗ ВВС Селезнев писал А.И.Ш. письмо N 555840:</w:t>
      </w:r>
    </w:p>
    <w:p w14:paraId="4BBE145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последнее время в связи с ослаблением внимания к качеству, ряд самолетов проходят гос. контрольные испытания в НИИ ВВС неудовлетворительно:</w:t>
      </w:r>
    </w:p>
    <w:p w14:paraId="5620130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Самолет Ил-2 N 2067 производства завода 30 прошел испытания в период с 7 мая 1943 по 21 мая 1943 неудовлетворительно по причине:</w:t>
      </w:r>
    </w:p>
    <w:p w14:paraId="27867B7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потери скоростей на 12-19 км/час.</w:t>
      </w:r>
    </w:p>
    <w:p w14:paraId="6D3C27A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большого количества дефектов, усложняющих эксплуатацию и снижающих боевые качества" (1778,271).</w:t>
      </w:r>
    </w:p>
    <w:p w14:paraId="37C90E5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3760E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вышел приказ НКАП о постройке опытного экземпляра бронированного ш Ил-10 (3846,19).</w:t>
      </w:r>
    </w:p>
    <w:p w14:paraId="628CE36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 ясно, м.б. все же истребителя Ил-1.</w:t>
      </w:r>
    </w:p>
    <w:p w14:paraId="51FC67F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вышел приказ НКАП N 364сс:</w:t>
      </w:r>
    </w:p>
    <w:p w14:paraId="5B2E4DF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директора завода 1 Третьякова построить 1 экз. бронированного истребителя с АМ-42 (модернизированный) к 1 сентября 1943</w:t>
      </w:r>
    </w:p>
    <w:p w14:paraId="1A72F77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ГК С.В.И. сдать чертежи у 1 июля 1943</w:t>
      </w:r>
    </w:p>
    <w:p w14:paraId="478D7E0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 Во изменение приказа НКАП N 305сс от 21 мая 1943 (пар. 1 п. в) директору завода 1 построить не 2 самолета Ил-2 с АМ-42 с улучшенной аэродинамикой, а только 1 самолет Ил-2 с АМ-42 с улучшенной аэродинамикой (1714,49).</w:t>
      </w:r>
    </w:p>
    <w:p w14:paraId="1A28C9E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D68A5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вышел приказ НКАП N 364сс:</w:t>
      </w:r>
    </w:p>
    <w:p w14:paraId="268538B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директора завода 1 Третьякова построить 1 экз. бронированного истребителя с АМ-42 (модернизированный) к 1 сентября 1943</w:t>
      </w:r>
    </w:p>
    <w:p w14:paraId="5FDE996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ГК С.В.И. сдать чертежи у 1 июля 1943</w:t>
      </w:r>
    </w:p>
    <w:p w14:paraId="79AFF01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Во изменение приказа НКАП N 305сс от 21 мая 1943 (пар. 1 п. в) директору завода 1 построить не 2 самолета Ил-2 с АМ-42 с улучшенной аэродинамикой, а только 1 самолет Ил-2 с АМ-42 с улучшенной аэродинамикой (1714,49).</w:t>
      </w:r>
    </w:p>
    <w:p w14:paraId="6D9A7CD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A7CDB5" w14:textId="77777777" w:rsidR="003B41F0" w:rsidRPr="00D03F3E" w:rsidRDefault="003B41F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16 июня 1943 года вышел приказ НКАП № 364сс, обязывающий директора завода №1 А.Т. Третьякова построить к 1 сентября один экземпляр бронированного истребителя с АМ-42 (модернизированного), при этом, во изменение приказа НКАП № 305сс от 21 мая, надлежало построить не два самолета Ил-2 с АМ-42 с улучшенной аэродинамикой, а только один самолет Ил-2 с АМ-42 с улучшенной аэродинамикой (21005).</w:t>
      </w:r>
    </w:p>
    <w:p w14:paraId="208B8C26" w14:textId="77777777" w:rsidR="003B41F0" w:rsidRPr="00D03F3E" w:rsidRDefault="003B41F0" w:rsidP="00D03F3E">
      <w:pPr>
        <w:spacing w:after="0" w:line="240" w:lineRule="auto"/>
        <w:jc w:val="both"/>
        <w:rPr>
          <w:rFonts w:ascii="Times New Roman" w:hAnsi="Times New Roman"/>
          <w:color w:val="0070C0"/>
          <w:sz w:val="16"/>
          <w:szCs w:val="16"/>
        </w:rPr>
      </w:pPr>
    </w:p>
    <w:p w14:paraId="0746AA73"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16 июня 1943 после доклада наркому Шахурину и его заместителю А.С. Яковлеву о но</w:t>
      </w:r>
      <w:r w:rsidRPr="00D03F3E">
        <w:rPr>
          <w:rFonts w:ascii="Times New Roman" w:hAnsi="Times New Roman" w:cs="Times New Roman"/>
          <w:color w:val="0070C0"/>
          <w:sz w:val="16"/>
          <w:szCs w:val="16"/>
        </w:rPr>
        <w:softHyphen/>
        <w:t>вом самолете приказом по НКАП №364сс от завод №1 вместо двух эк</w:t>
      </w:r>
      <w:r w:rsidRPr="00D03F3E">
        <w:rPr>
          <w:rFonts w:ascii="Times New Roman" w:hAnsi="Times New Roman" w:cs="Times New Roman"/>
          <w:color w:val="0070C0"/>
          <w:sz w:val="16"/>
          <w:szCs w:val="16"/>
        </w:rPr>
        <w:softHyphen/>
        <w:t>земпляров бронированного истребителя Ил-2-2И должен был построить по од</w:t>
      </w:r>
      <w:r w:rsidRPr="00D03F3E">
        <w:rPr>
          <w:rFonts w:ascii="Times New Roman" w:hAnsi="Times New Roman" w:cs="Times New Roman"/>
          <w:color w:val="0070C0"/>
          <w:sz w:val="16"/>
          <w:szCs w:val="16"/>
        </w:rPr>
        <w:softHyphen/>
        <w:t>ному экземпляру самолета Ил-2-2И и бронированного истребителя Ил-1 АМ-42 со сроком предъявления на испытания 1 сентября 1943 г.</w:t>
      </w:r>
    </w:p>
    <w:p w14:paraId="3D05AA49"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Тогда же Ильюшин предложил на строящиеся опытные самолеты Ил-2 с АМ-42 в вариантах штурмовика и разведчика-корректировщика установить по две пушки 11П, повысив тем самым их огневую мощь до уровня двухместного варианта Су-6 М-71ф. Пушки предпола</w:t>
      </w:r>
      <w:r w:rsidRPr="00D03F3E">
        <w:rPr>
          <w:rFonts w:ascii="Times New Roman" w:hAnsi="Times New Roman" w:cs="Times New Roman"/>
          <w:color w:val="0070C0"/>
          <w:sz w:val="16"/>
          <w:szCs w:val="16"/>
        </w:rPr>
        <w:softHyphen/>
        <w:t>галось разместить под крылом, как это было выполнено ранее на Ил-2 АМ-38ф. Считалось, что снижение скорости по</w:t>
      </w:r>
      <w:r w:rsidRPr="00D03F3E">
        <w:rPr>
          <w:rFonts w:ascii="Times New Roman" w:hAnsi="Times New Roman" w:cs="Times New Roman"/>
          <w:color w:val="0070C0"/>
          <w:sz w:val="16"/>
          <w:szCs w:val="16"/>
        </w:rPr>
        <w:softHyphen/>
        <w:t>лета при такой установке пушек (около 4 км/ч) с лихвой окупится значитель</w:t>
      </w:r>
      <w:r w:rsidRPr="00D03F3E">
        <w:rPr>
          <w:rFonts w:ascii="Times New Roman" w:hAnsi="Times New Roman" w:cs="Times New Roman"/>
          <w:color w:val="0070C0"/>
          <w:sz w:val="16"/>
          <w:szCs w:val="16"/>
        </w:rPr>
        <w:softHyphen/>
        <w:t>ными эксплуатационными преимущест</w:t>
      </w:r>
      <w:r w:rsidRPr="00D03F3E">
        <w:rPr>
          <w:rFonts w:ascii="Times New Roman" w:hAnsi="Times New Roman" w:cs="Times New Roman"/>
          <w:color w:val="0070C0"/>
          <w:sz w:val="16"/>
          <w:szCs w:val="16"/>
        </w:rPr>
        <w:softHyphen/>
        <w:t>вами. Однако до декабря 1943 г. ника</w:t>
      </w:r>
      <w:r w:rsidRPr="00D03F3E">
        <w:rPr>
          <w:rFonts w:ascii="Times New Roman" w:hAnsi="Times New Roman" w:cs="Times New Roman"/>
          <w:color w:val="0070C0"/>
          <w:sz w:val="16"/>
          <w:szCs w:val="16"/>
        </w:rPr>
        <w:softHyphen/>
        <w:t>ких реальных шагов в этом направлении сделано не было(19846).</w:t>
      </w:r>
    </w:p>
    <w:p w14:paraId="1D628851"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p>
    <w:p w14:paraId="5AB53AAC" w14:textId="77777777" w:rsidR="00B92AF5" w:rsidRPr="00D03F3E" w:rsidRDefault="00B92A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после доклада наркому Шахурину материалов по новому самолету приказом по НКАП № 364сс вместо двух истребителей 2И-Ил-2 АМ-42 с улучшенной аэродинамикой завод № 1 должен был построить один такой самолет и одноместный бронированный истребитель Ил-1 с АМ-42 со сроком предъявления на испытания 1 сентября 1943 года.</w:t>
      </w:r>
    </w:p>
    <w:p w14:paraId="7598B338" w14:textId="77777777" w:rsidR="00B92AF5" w:rsidRPr="00D03F3E" w:rsidRDefault="00B92AF5"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Примерно в это же время С. В. Ильюшин предложил на строящиеся опытные самолеты Ил-2 с мотором АМ-42 в вариантах штурмовика и «следопыта» установить по две пушки 11П, повысив тем самым их огневую мощь до уровня двухместного варианта штурмовика Су-6 М-71ф. Пушки предполагалось разместить под крылом, как это было выполнено ранее на Ил-2 АМ-38ф. Считалось, что снижение скорости полета при такой установке пушек (около 4 км/ч) с лихвой окупится значительными эксплуатационными преимуществами. Однако до декабря 1943 года никаких реальных шагов в этом направлении сделано не было (17490).</w:t>
      </w:r>
    </w:p>
    <w:p w14:paraId="7E206A45" w14:textId="77777777" w:rsidR="00B92AF5" w:rsidRPr="00D03F3E" w:rsidRDefault="00B92AF5" w:rsidP="00D03F3E">
      <w:pPr>
        <w:spacing w:after="0" w:line="240" w:lineRule="auto"/>
        <w:jc w:val="both"/>
        <w:rPr>
          <w:rFonts w:ascii="Times New Roman" w:hAnsi="Times New Roman"/>
          <w:color w:val="000000" w:themeColor="text1"/>
          <w:sz w:val="16"/>
          <w:szCs w:val="16"/>
        </w:rPr>
      </w:pPr>
    </w:p>
    <w:p w14:paraId="3C99CDE1" w14:textId="77777777" w:rsidR="00B92AF5" w:rsidRPr="00D03F3E" w:rsidRDefault="00B92AF5" w:rsidP="00D03F3E">
      <w:pPr>
        <w:spacing w:after="0" w:line="240" w:lineRule="auto"/>
        <w:jc w:val="both"/>
        <w:rPr>
          <w:rFonts w:ascii="Times New Roman" w:hAnsi="Times New Roman"/>
          <w:color w:val="000000" w:themeColor="text1"/>
          <w:sz w:val="16"/>
          <w:szCs w:val="16"/>
        </w:rPr>
      </w:pPr>
      <w:r w:rsidRPr="00D03F3E">
        <w:rPr>
          <w:rStyle w:val="5f1"/>
          <w:rFonts w:eastAsiaTheme="minorHAnsi"/>
          <w:color w:val="000000" w:themeColor="text1"/>
          <w:sz w:val="16"/>
          <w:szCs w:val="16"/>
        </w:rPr>
        <w:t>16 июня 1943 г. после выхода приказа НКАП № 364сс на заводе № 1 официально начались работы по самолету Ил-1 с АМ-42 в варианте одноместного истребителя начались По заданию опытный экземпляр истребителя требовалось предъявить на испытания не позже 1 сентября.</w:t>
      </w:r>
    </w:p>
    <w:p w14:paraId="737C1178" w14:textId="77777777" w:rsidR="00B92AF5" w:rsidRPr="00D03F3E" w:rsidRDefault="00B92AF5" w:rsidP="00D03F3E">
      <w:pPr>
        <w:spacing w:after="0" w:line="240" w:lineRule="auto"/>
        <w:jc w:val="both"/>
        <w:rPr>
          <w:rFonts w:ascii="Times New Roman" w:hAnsi="Times New Roman"/>
          <w:color w:val="000000" w:themeColor="text1"/>
          <w:sz w:val="16"/>
          <w:szCs w:val="16"/>
        </w:rPr>
      </w:pPr>
      <w:r w:rsidRPr="00D03F3E">
        <w:rPr>
          <w:rStyle w:val="5f1"/>
          <w:rFonts w:eastAsiaTheme="minorHAnsi"/>
          <w:color w:val="000000" w:themeColor="text1"/>
          <w:sz w:val="16"/>
          <w:szCs w:val="16"/>
        </w:rPr>
        <w:t>Одновременно уже с июля по инициативе Ильюшина и без приказа наркомата авиапромышленности к работам по постройке второго экземпляра самолета Ил-1 приступил завод № 18 (17490).</w:t>
      </w:r>
    </w:p>
    <w:p w14:paraId="79B71589" w14:textId="77777777" w:rsidR="00B92AF5" w:rsidRPr="00D03F3E" w:rsidRDefault="00B92AF5" w:rsidP="00D03F3E">
      <w:pPr>
        <w:spacing w:after="0" w:line="240" w:lineRule="auto"/>
        <w:jc w:val="both"/>
        <w:rPr>
          <w:rFonts w:ascii="Times New Roman" w:hAnsi="Times New Roman"/>
          <w:color w:val="000000" w:themeColor="text1"/>
          <w:sz w:val="16"/>
          <w:szCs w:val="16"/>
        </w:rPr>
      </w:pPr>
    </w:p>
    <w:p w14:paraId="7FC22D2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был готов головной Як-9Р м АФА-ИМ Т 05-017 на 166 заводе в Омске (65,128).</w:t>
      </w:r>
    </w:p>
    <w:p w14:paraId="574BA2F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B79734" w14:textId="77777777" w:rsidR="00691A58" w:rsidRPr="00D03F3E" w:rsidRDefault="00691A5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16 июня</w:t>
      </w:r>
      <w:r w:rsidRPr="00D03F3E">
        <w:rPr>
          <w:rFonts w:ascii="Times New Roman" w:hAnsi="Times New Roman"/>
          <w:color w:val="000000" w:themeColor="text1"/>
          <w:sz w:val="16"/>
          <w:szCs w:val="16"/>
        </w:rPr>
        <w:t xml:space="preserve"> в 1943 году на Омском заводе N166, на основании приказа НКАП от 5 июня 1943 года, изготовлен головной образец </w:t>
      </w:r>
      <w:hyperlink r:id="rId200" w:tgtFrame="_blank" w:history="1">
        <w:r w:rsidRPr="00D03F3E">
          <w:rPr>
            <w:rFonts w:ascii="Times New Roman" w:hAnsi="Times New Roman"/>
            <w:color w:val="000000" w:themeColor="text1"/>
            <w:sz w:val="16"/>
            <w:szCs w:val="16"/>
          </w:rPr>
          <w:t xml:space="preserve">«Як-9Р» </w:t>
        </w:r>
      </w:hyperlink>
      <w:r w:rsidRPr="00D03F3E">
        <w:rPr>
          <w:rFonts w:ascii="Times New Roman" w:hAnsi="Times New Roman"/>
          <w:color w:val="000000" w:themeColor="text1"/>
          <w:sz w:val="16"/>
          <w:szCs w:val="16"/>
        </w:rPr>
        <w:t>«№05-017» в варианте ближнего разведчика с АФА-ИМ (14924).</w:t>
      </w:r>
    </w:p>
    <w:p w14:paraId="1D306595" w14:textId="77777777" w:rsidR="00691A58" w:rsidRPr="00D03F3E" w:rsidRDefault="00691A58" w:rsidP="00D03F3E">
      <w:pPr>
        <w:spacing w:after="0" w:line="240" w:lineRule="auto"/>
        <w:jc w:val="both"/>
        <w:rPr>
          <w:rFonts w:ascii="Times New Roman" w:hAnsi="Times New Roman"/>
          <w:color w:val="000000" w:themeColor="text1"/>
          <w:sz w:val="16"/>
          <w:szCs w:val="16"/>
        </w:rPr>
      </w:pPr>
    </w:p>
    <w:p w14:paraId="64B5C7BD" w14:textId="77777777" w:rsidR="005D428E" w:rsidRPr="00D03F3E" w:rsidRDefault="005D428E"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вышло Постановление ГКО № 3594 О самолетном радиолокаторе "Гнейс-2" и приборе СЧ-1.РГАНИР, Фонд ГКО, д. 127, лл. 53-55, 56-82 (11012).</w:t>
      </w:r>
    </w:p>
    <w:p w14:paraId="2CBC89DC" w14:textId="77777777" w:rsidR="005D428E" w:rsidRPr="00D03F3E" w:rsidRDefault="005D428E"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17B7C" w14:textId="77777777" w:rsidR="005D428E" w:rsidRPr="00D03F3E" w:rsidRDefault="005D428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вышло Постановление ГКО № 3594 О самолетном радиолокаторе "Гнейс-2" и приборе СЧ-1</w:t>
      </w:r>
    </w:p>
    <w:p w14:paraId="4BEB3796" w14:textId="77777777" w:rsidR="005D428E" w:rsidRPr="00D03F3E" w:rsidRDefault="005D428E"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Государственный Комитет Оборони постановляет:</w:t>
      </w:r>
    </w:p>
    <w:p w14:paraId="19C052C8" w14:textId="77777777" w:rsidR="005D428E" w:rsidRPr="00D03F3E" w:rsidRDefault="005D428E"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1. Обязать Наркомэлектропром т.Кабанова и директора НИИ-20 т.Литарева:</w:t>
      </w:r>
    </w:p>
    <w:p w14:paraId="02347B9B" w14:textId="77777777" w:rsidR="005D428E" w:rsidRPr="00D03F3E" w:rsidRDefault="005D428E" w:rsidP="00D03F3E">
      <w:pPr>
        <w:pStyle w:val="7f"/>
        <w:shd w:val="clear" w:color="auto" w:fill="auto"/>
        <w:tabs>
          <w:tab w:val="left" w:pos="1183"/>
        </w:tabs>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а) до25 июня 1943 года полностью закончить изготовление и сдать НИИ Спецслужб ВВС КА 26 комплектов прибора "ГНЕЙС-2" для установки этих приборов на самолетах "Дуглас-А-20-Ж" и произвести регулировку "ГНЕйС-2" на самолетах;</w:t>
      </w:r>
    </w:p>
    <w:p w14:paraId="32769E95" w14:textId="77777777" w:rsidR="005D428E" w:rsidRPr="00D03F3E" w:rsidRDefault="005D428E" w:rsidP="00D03F3E">
      <w:pPr>
        <w:pStyle w:val="7f"/>
        <w:shd w:val="clear" w:color="auto" w:fill="auto"/>
        <w:tabs>
          <w:tab w:val="left" w:pos="2113"/>
        </w:tabs>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б) изготовить в июле 50 комплектов радиолокаторов "ГНЕЙС-2", в августе - 75 комплектов и в сентябре - 75 комплектов.</w:t>
      </w:r>
    </w:p>
    <w:p w14:paraId="0BAE9998" w14:textId="77777777" w:rsidR="005D428E" w:rsidRPr="00D03F3E" w:rsidRDefault="005D428E"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2. Обязать командующего ВВС КА - т.Новикова:</w:t>
      </w:r>
    </w:p>
    <w:p w14:paraId="44471012" w14:textId="77777777" w:rsidR="005D428E" w:rsidRPr="00D03F3E" w:rsidRDefault="005D428E" w:rsidP="00D03F3E">
      <w:pPr>
        <w:pStyle w:val="7f"/>
        <w:shd w:val="clear" w:color="auto" w:fill="auto"/>
        <w:tabs>
          <w:tab w:val="left" w:pos="1873"/>
        </w:tabs>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а) выделить до 25 июня с.г. 32 самолета "Дуглас А-20-Ж" для установки на них радиолокаторов "ГНЕЙС-2";</w:t>
      </w:r>
    </w:p>
    <w:p w14:paraId="754050B0" w14:textId="77777777" w:rsidR="005D428E" w:rsidRPr="00D03F3E" w:rsidRDefault="005D428E" w:rsidP="00D03F3E">
      <w:pPr>
        <w:pStyle w:val="7f"/>
        <w:shd w:val="clear" w:color="auto" w:fill="auto"/>
        <w:tabs>
          <w:tab w:val="left" w:pos="1985"/>
        </w:tabs>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б) установку радиолокаторов "ГНЕйС-2" на самолетах "Дуглас А-20-Ж" производить силами НИИ ВВС КА (т.Лосю- ков) и НИИ Спецслужб ВВС КА (т.Данилин);</w:t>
      </w:r>
    </w:p>
    <w:p w14:paraId="3F645B16" w14:textId="77777777" w:rsidR="005D428E" w:rsidRPr="00D03F3E" w:rsidRDefault="005D428E" w:rsidP="00D03F3E">
      <w:pPr>
        <w:pStyle w:val="7f"/>
        <w:shd w:val="clear" w:color="auto" w:fill="auto"/>
        <w:tabs>
          <w:tab w:val="left" w:pos="1295"/>
        </w:tabs>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 все самолеты с радиолокаторами ГНЕЙС-2</w:t>
      </w:r>
      <w:r w:rsidRPr="00D03F3E">
        <w:rPr>
          <w:rFonts w:ascii="Times New Roman" w:hAnsi="Times New Roman" w:cs="Times New Roman"/>
          <w:color w:val="000000" w:themeColor="text1"/>
          <w:sz w:val="16"/>
          <w:szCs w:val="16"/>
          <w:vertAlign w:val="superscript"/>
        </w:rPr>
        <w:t>,:</w:t>
      </w:r>
      <w:r w:rsidRPr="00D03F3E">
        <w:rPr>
          <w:rFonts w:ascii="Times New Roman" w:hAnsi="Times New Roman" w:cs="Times New Roman"/>
          <w:color w:val="000000" w:themeColor="text1"/>
          <w:sz w:val="16"/>
          <w:szCs w:val="16"/>
        </w:rPr>
        <w:t xml:space="preserve"> передавать в распоряжение командующего ПВО ТС;</w:t>
      </w:r>
    </w:p>
    <w:p w14:paraId="08072B3E" w14:textId="77777777" w:rsidR="005D428E" w:rsidRPr="00D03F3E" w:rsidRDefault="005D428E" w:rsidP="00D03F3E">
      <w:pPr>
        <w:pStyle w:val="7f"/>
        <w:shd w:val="clear" w:color="auto" w:fill="auto"/>
        <w:tabs>
          <w:tab w:val="left" w:pos="1760"/>
        </w:tabs>
        <w:spacing w:before="0" w:line="240" w:lineRule="auto"/>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г) немедля передать в распоряжение командующего ПВО ТС т.Громадина 651 авиаполк для обучения и тренировки летного состава этого полка на самолетах с аппаратурой "ГНЕЙС-2".</w:t>
      </w:r>
    </w:p>
    <w:p w14:paraId="1612B19B" w14:textId="77777777" w:rsidR="005D428E" w:rsidRPr="00D03F3E" w:rsidRDefault="005D428E" w:rsidP="00D03F3E">
      <w:pPr>
        <w:framePr w:h="91" w:wrap="around" w:hAnchor="margin" w:x="-972" w:y="3279"/>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w:t>
      </w:r>
    </w:p>
    <w:p w14:paraId="6634571B" w14:textId="77777777" w:rsidR="005D428E" w:rsidRPr="00D03F3E" w:rsidRDefault="005D428E"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 xml:space="preserve">3. Считать радиолокаторы "ГНБЛС-2" приборами особой секретности. Самолеты, оборудованные этими приборами </w:t>
      </w:r>
      <w:r w:rsidRPr="00D03F3E">
        <w:rPr>
          <w:rStyle w:val="16"/>
          <w:rFonts w:ascii="Times New Roman" w:hAnsi="Times New Roman" w:cs="Times New Roman"/>
          <w:color w:val="000000" w:themeColor="text1"/>
          <w:spacing w:val="0"/>
          <w:u w:val="none"/>
        </w:rPr>
        <w:t xml:space="preserve">должны </w:t>
      </w:r>
      <w:r w:rsidRPr="00D03F3E">
        <w:rPr>
          <w:rFonts w:ascii="Times New Roman" w:hAnsi="Times New Roman" w:cs="Times New Roman"/>
          <w:color w:val="000000" w:themeColor="text1"/>
          <w:sz w:val="16"/>
          <w:szCs w:val="16"/>
        </w:rPr>
        <w:t xml:space="preserve">летать только </w:t>
      </w:r>
      <w:r w:rsidRPr="00D03F3E">
        <w:rPr>
          <w:rStyle w:val="16"/>
          <w:rFonts w:ascii="Times New Roman" w:hAnsi="Times New Roman" w:cs="Times New Roman"/>
          <w:color w:val="000000" w:themeColor="text1"/>
          <w:spacing w:val="0"/>
          <w:u w:val="none"/>
        </w:rPr>
        <w:t xml:space="preserve">над нашей территорией </w:t>
      </w:r>
      <w:r w:rsidRPr="00D03F3E">
        <w:rPr>
          <w:rFonts w:ascii="Times New Roman" w:hAnsi="Times New Roman" w:cs="Times New Roman"/>
          <w:color w:val="000000" w:themeColor="text1"/>
          <w:sz w:val="16"/>
          <w:szCs w:val="16"/>
        </w:rPr>
        <w:t xml:space="preserve">и </w:t>
      </w:r>
      <w:r w:rsidRPr="00D03F3E">
        <w:rPr>
          <w:rStyle w:val="16"/>
          <w:rFonts w:ascii="Times New Roman" w:hAnsi="Times New Roman" w:cs="Times New Roman"/>
          <w:color w:val="000000" w:themeColor="text1"/>
          <w:spacing w:val="0"/>
          <w:u w:val="none"/>
        </w:rPr>
        <w:t>использо-</w:t>
      </w:r>
      <w:r w:rsidRPr="00D03F3E">
        <w:rPr>
          <w:rFonts w:ascii="Times New Roman" w:hAnsi="Times New Roman" w:cs="Times New Roman"/>
          <w:color w:val="000000" w:themeColor="text1"/>
          <w:sz w:val="16"/>
          <w:szCs w:val="16"/>
        </w:rPr>
        <w:t xml:space="preserve"> вываться в системе </w:t>
      </w:r>
      <w:r w:rsidRPr="00D03F3E">
        <w:rPr>
          <w:rStyle w:val="16"/>
          <w:rFonts w:ascii="Times New Roman" w:hAnsi="Times New Roman" w:cs="Times New Roman"/>
          <w:color w:val="000000" w:themeColor="text1"/>
          <w:spacing w:val="0"/>
          <w:u w:val="none"/>
        </w:rPr>
        <w:t>ПВО для защиты от ночных налетов бом</w:t>
      </w:r>
      <w:r w:rsidRPr="00D03F3E">
        <w:rPr>
          <w:rStyle w:val="16"/>
          <w:rFonts w:ascii="Times New Roman" w:hAnsi="Times New Roman" w:cs="Times New Roman"/>
          <w:color w:val="000000" w:themeColor="text1"/>
          <w:spacing w:val="0"/>
          <w:u w:val="none"/>
        </w:rPr>
        <w:softHyphen/>
        <w:t>бардировщиков противника.</w:t>
      </w:r>
    </w:p>
    <w:p w14:paraId="00FE91CF" w14:textId="77777777" w:rsidR="005D428E" w:rsidRPr="00D03F3E" w:rsidRDefault="005D428E"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 xml:space="preserve">4. Обязать </w:t>
      </w:r>
      <w:r w:rsidRPr="00D03F3E">
        <w:rPr>
          <w:rStyle w:val="16"/>
          <w:rFonts w:ascii="Times New Roman" w:hAnsi="Times New Roman" w:cs="Times New Roman"/>
          <w:color w:val="000000" w:themeColor="text1"/>
          <w:spacing w:val="0"/>
          <w:u w:val="none"/>
        </w:rPr>
        <w:t xml:space="preserve">командующего войсками ПВО ТС </w:t>
      </w:r>
      <w:r w:rsidRPr="00D03F3E">
        <w:rPr>
          <w:rFonts w:ascii="Times New Roman" w:hAnsi="Times New Roman" w:cs="Times New Roman"/>
          <w:color w:val="000000" w:themeColor="text1"/>
          <w:sz w:val="16"/>
          <w:szCs w:val="16"/>
        </w:rPr>
        <w:t>- т.</w:t>
      </w:r>
      <w:r w:rsidRPr="00D03F3E">
        <w:rPr>
          <w:rStyle w:val="16"/>
          <w:rFonts w:ascii="Times New Roman" w:hAnsi="Times New Roman" w:cs="Times New Roman"/>
          <w:color w:val="000000" w:themeColor="text1"/>
          <w:spacing w:val="0"/>
          <w:u w:val="none"/>
        </w:rPr>
        <w:t>Грома</w:t>
      </w:r>
      <w:r w:rsidRPr="00D03F3E">
        <w:rPr>
          <w:rStyle w:val="16"/>
          <w:rFonts w:ascii="Times New Roman" w:hAnsi="Times New Roman" w:cs="Times New Roman"/>
          <w:color w:val="000000" w:themeColor="text1"/>
          <w:spacing w:val="0"/>
          <w:u w:val="none"/>
        </w:rPr>
        <w:softHyphen/>
      </w:r>
      <w:r w:rsidRPr="00D03F3E">
        <w:rPr>
          <w:rFonts w:ascii="Times New Roman" w:hAnsi="Times New Roman" w:cs="Times New Roman"/>
          <w:color w:val="000000" w:themeColor="text1"/>
          <w:sz w:val="16"/>
          <w:szCs w:val="16"/>
        </w:rPr>
        <w:t>дина:</w:t>
      </w:r>
    </w:p>
    <w:p w14:paraId="412C745C" w14:textId="77777777" w:rsidR="005D428E" w:rsidRPr="00D03F3E" w:rsidRDefault="005D428E" w:rsidP="00D03F3E">
      <w:pPr>
        <w:pStyle w:val="47"/>
        <w:shd w:val="clear" w:color="auto" w:fill="auto"/>
        <w:tabs>
          <w:tab w:val="left" w:pos="1105"/>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 xml:space="preserve">а) к 15 июля с.г. </w:t>
      </w:r>
      <w:r w:rsidRPr="00D03F3E">
        <w:rPr>
          <w:rStyle w:val="16"/>
          <w:rFonts w:ascii="Times New Roman" w:hAnsi="Times New Roman" w:cs="Times New Roman"/>
          <w:color w:val="000000" w:themeColor="text1"/>
          <w:spacing w:val="0"/>
          <w:u w:val="none"/>
        </w:rPr>
        <w:t>закончить обучение и тренировку</w:t>
      </w:r>
      <w:r w:rsidRPr="00D03F3E">
        <w:rPr>
          <w:rFonts w:ascii="Times New Roman" w:hAnsi="Times New Roman" w:cs="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летнего состава 6</w:t>
      </w:r>
      <w:r w:rsidRPr="00D03F3E">
        <w:rPr>
          <w:rStyle w:val="0pt"/>
          <w:rFonts w:ascii="Times New Roman" w:hAnsi="Times New Roman" w:cs="Times New Roman"/>
          <w:color w:val="000000" w:themeColor="text1"/>
          <w:spacing w:val="0"/>
          <w:sz w:val="16"/>
          <w:szCs w:val="16"/>
        </w:rPr>
        <w:t>51</w:t>
      </w:r>
      <w:r w:rsidRPr="00D03F3E">
        <w:rPr>
          <w:rFonts w:ascii="Times New Roman" w:hAnsi="Times New Roman" w:cs="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авиаполка на самолетах ".Дуглас</w:t>
      </w:r>
      <w:r w:rsidRPr="00D03F3E">
        <w:rPr>
          <w:rFonts w:ascii="Times New Roman" w:hAnsi="Times New Roman" w:cs="Times New Roman"/>
          <w:color w:val="000000" w:themeColor="text1"/>
          <w:sz w:val="16"/>
          <w:szCs w:val="16"/>
        </w:rPr>
        <w:t xml:space="preserve"> </w:t>
      </w:r>
      <w:r w:rsidRPr="00D03F3E">
        <w:rPr>
          <w:rStyle w:val="0pt"/>
          <w:rFonts w:ascii="Times New Roman" w:hAnsi="Times New Roman" w:cs="Times New Roman"/>
          <w:color w:val="000000" w:themeColor="text1"/>
          <w:spacing w:val="0"/>
          <w:sz w:val="16"/>
          <w:szCs w:val="16"/>
          <w:lang w:val="en-US"/>
        </w:rPr>
        <w:t>A</w:t>
      </w:r>
      <w:r w:rsidRPr="00D03F3E">
        <w:rPr>
          <w:rStyle w:val="0pt"/>
          <w:rFonts w:ascii="Times New Roman" w:hAnsi="Times New Roman" w:cs="Times New Roman"/>
          <w:color w:val="000000" w:themeColor="text1"/>
          <w:spacing w:val="0"/>
          <w:sz w:val="16"/>
          <w:szCs w:val="16"/>
        </w:rPr>
        <w:t>-20-Ж",</w:t>
      </w:r>
      <w:r w:rsidRPr="00D03F3E">
        <w:rPr>
          <w:rFonts w:ascii="Times New Roman" w:hAnsi="Times New Roman" w:cs="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оборудованных радиолокаторами ГНЕЙС-2";</w:t>
      </w:r>
    </w:p>
    <w:p w14:paraId="6178D62C" w14:textId="77777777" w:rsidR="005D428E" w:rsidRPr="00D03F3E" w:rsidRDefault="005D428E" w:rsidP="00D03F3E">
      <w:pPr>
        <w:pStyle w:val="47"/>
        <w:shd w:val="clear" w:color="auto" w:fill="auto"/>
        <w:tabs>
          <w:tab w:val="left" w:pos="1083"/>
        </w:tabs>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 xml:space="preserve">б) к 20 икня с.г. </w:t>
      </w:r>
      <w:r w:rsidRPr="00D03F3E">
        <w:rPr>
          <w:rStyle w:val="16"/>
          <w:rFonts w:ascii="Times New Roman" w:hAnsi="Times New Roman" w:cs="Times New Roman"/>
          <w:color w:val="000000" w:themeColor="text1"/>
          <w:spacing w:val="0"/>
          <w:u w:val="none"/>
        </w:rPr>
        <w:t>иметь в своем распоряжении 10 со</w:t>
      </w:r>
      <w:r w:rsidRPr="00D03F3E">
        <w:rPr>
          <w:rStyle w:val="16"/>
          <w:rFonts w:ascii="Times New Roman" w:hAnsi="Times New Roman" w:cs="Times New Roman"/>
          <w:color w:val="000000" w:themeColor="text1"/>
          <w:spacing w:val="0"/>
          <w:u w:val="none"/>
        </w:rPr>
        <w:softHyphen/>
        <w:t xml:space="preserve">вершенно </w:t>
      </w:r>
      <w:r w:rsidRPr="00D03F3E">
        <w:rPr>
          <w:rFonts w:ascii="Times New Roman" w:hAnsi="Times New Roman" w:cs="Times New Roman"/>
          <w:color w:val="000000" w:themeColor="text1"/>
          <w:sz w:val="16"/>
          <w:szCs w:val="16"/>
        </w:rPr>
        <w:t xml:space="preserve">готовых </w:t>
      </w:r>
      <w:r w:rsidRPr="00D03F3E">
        <w:rPr>
          <w:rStyle w:val="16"/>
          <w:rFonts w:ascii="Times New Roman" w:hAnsi="Times New Roman" w:cs="Times New Roman"/>
          <w:color w:val="000000" w:themeColor="text1"/>
          <w:spacing w:val="0"/>
          <w:u w:val="none"/>
        </w:rPr>
        <w:t>самолетоз "Дуглас А-20-с с аппарату</w:t>
      </w:r>
      <w:r w:rsidRPr="00D03F3E">
        <w:rPr>
          <w:rStyle w:val="16"/>
          <w:rFonts w:ascii="Times New Roman" w:hAnsi="Times New Roman" w:cs="Times New Roman"/>
          <w:color w:val="000000" w:themeColor="text1"/>
          <w:spacing w:val="0"/>
          <w:u w:val="none"/>
        </w:rPr>
        <w:softHyphen/>
        <w:t xml:space="preserve">рой </w:t>
      </w:r>
      <w:r w:rsidRPr="00D03F3E">
        <w:rPr>
          <w:rFonts w:ascii="Times New Roman" w:hAnsi="Times New Roman" w:cs="Times New Roman"/>
          <w:color w:val="000000" w:themeColor="text1"/>
          <w:sz w:val="16"/>
          <w:szCs w:val="16"/>
        </w:rPr>
        <w:t xml:space="preserve">"ГКЕЙС-2" и </w:t>
      </w:r>
      <w:r w:rsidRPr="00D03F3E">
        <w:rPr>
          <w:rStyle w:val="16"/>
          <w:rFonts w:ascii="Times New Roman" w:hAnsi="Times New Roman" w:cs="Times New Roman"/>
          <w:color w:val="000000" w:themeColor="text1"/>
          <w:spacing w:val="0"/>
          <w:u w:val="none"/>
        </w:rPr>
        <w:t>к этому же времени закончить обучение</w:t>
      </w:r>
    </w:p>
    <w:p w14:paraId="73BD38BD" w14:textId="77777777" w:rsidR="005D428E" w:rsidRPr="00D03F3E" w:rsidRDefault="005D428E"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 xml:space="preserve">и </w:t>
      </w:r>
      <w:r w:rsidRPr="00D03F3E">
        <w:rPr>
          <w:rStyle w:val="16"/>
          <w:rFonts w:ascii="Times New Roman" w:hAnsi="Times New Roman" w:cs="Times New Roman"/>
          <w:color w:val="000000" w:themeColor="text1"/>
          <w:spacing w:val="0"/>
          <w:u w:val="none"/>
        </w:rPr>
        <w:t xml:space="preserve">тренировку летного состава эскадрильи </w:t>
      </w:r>
      <w:r w:rsidRPr="00D03F3E">
        <w:rPr>
          <w:rStyle w:val="0pt"/>
          <w:rFonts w:ascii="Times New Roman" w:hAnsi="Times New Roman" w:cs="Times New Roman"/>
          <w:color w:val="000000" w:themeColor="text1"/>
          <w:spacing w:val="0"/>
          <w:sz w:val="16"/>
          <w:szCs w:val="16"/>
        </w:rPr>
        <w:t>651</w:t>
      </w:r>
      <w:r w:rsidRPr="00D03F3E">
        <w:rPr>
          <w:rStyle w:val="16"/>
          <w:rFonts w:ascii="Times New Roman" w:hAnsi="Times New Roman" w:cs="Times New Roman"/>
          <w:color w:val="000000" w:themeColor="text1"/>
          <w:spacing w:val="0"/>
          <w:u w:val="none"/>
        </w:rPr>
        <w:t xml:space="preserve"> авиаполка в</w:t>
      </w:r>
      <w:r w:rsidRPr="00D03F3E">
        <w:rPr>
          <w:rFonts w:ascii="Times New Roman" w:hAnsi="Times New Roman" w:cs="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количестве </w:t>
      </w:r>
      <w:r w:rsidRPr="00D03F3E">
        <w:rPr>
          <w:rFonts w:ascii="Times New Roman" w:hAnsi="Times New Roman" w:cs="Times New Roman"/>
          <w:color w:val="000000" w:themeColor="text1"/>
          <w:sz w:val="16"/>
          <w:szCs w:val="16"/>
        </w:rPr>
        <w:t xml:space="preserve">10 </w:t>
      </w:r>
      <w:r w:rsidRPr="00D03F3E">
        <w:rPr>
          <w:rStyle w:val="16"/>
          <w:rFonts w:ascii="Times New Roman" w:hAnsi="Times New Roman" w:cs="Times New Roman"/>
          <w:color w:val="000000" w:themeColor="text1"/>
          <w:spacing w:val="0"/>
          <w:u w:val="none"/>
        </w:rPr>
        <w:t>экипажей для работы по перехвату бомбар</w:t>
      </w:r>
      <w:r w:rsidRPr="00D03F3E">
        <w:rPr>
          <w:rStyle w:val="16"/>
          <w:rFonts w:ascii="Times New Roman" w:hAnsi="Times New Roman" w:cs="Times New Roman"/>
          <w:color w:val="000000" w:themeColor="text1"/>
          <w:spacing w:val="0"/>
          <w:u w:val="none"/>
        </w:rPr>
        <w:softHyphen/>
      </w:r>
      <w:r w:rsidRPr="00D03F3E">
        <w:rPr>
          <w:rFonts w:ascii="Times New Roman" w:hAnsi="Times New Roman" w:cs="Times New Roman"/>
          <w:color w:val="000000" w:themeColor="text1"/>
          <w:sz w:val="16"/>
          <w:szCs w:val="16"/>
        </w:rPr>
        <w:t xml:space="preserve">дировщиков </w:t>
      </w:r>
      <w:r w:rsidRPr="00D03F3E">
        <w:rPr>
          <w:rStyle w:val="16"/>
          <w:rFonts w:ascii="Times New Roman" w:hAnsi="Times New Roman" w:cs="Times New Roman"/>
          <w:color w:val="000000" w:themeColor="text1"/>
          <w:spacing w:val="0"/>
          <w:u w:val="none"/>
        </w:rPr>
        <w:t>противника в ночных условиях.</w:t>
      </w:r>
    </w:p>
    <w:p w14:paraId="3D3693EF" w14:textId="77777777" w:rsidR="005D428E" w:rsidRPr="00D03F3E" w:rsidRDefault="005D428E"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D03F3E">
        <w:rPr>
          <w:rStyle w:val="0pt"/>
          <w:rFonts w:ascii="Times New Roman" w:hAnsi="Times New Roman" w:cs="Times New Roman"/>
          <w:color w:val="000000" w:themeColor="text1"/>
          <w:spacing w:val="0"/>
          <w:sz w:val="16"/>
          <w:szCs w:val="16"/>
        </w:rPr>
        <w:t>5. В</w:t>
      </w:r>
      <w:r w:rsidRPr="00D03F3E">
        <w:rPr>
          <w:rFonts w:ascii="Times New Roman" w:hAnsi="Times New Roman" w:cs="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частичное изменение постановления Г0К0 № ЗС81сс</w:t>
      </w:r>
      <w:r w:rsidRPr="00D03F3E">
        <w:rPr>
          <w:rFonts w:ascii="Times New Roman" w:hAnsi="Times New Roman" w:cs="Times New Roman"/>
          <w:color w:val="000000" w:themeColor="text1"/>
          <w:sz w:val="16"/>
          <w:szCs w:val="16"/>
        </w:rPr>
        <w:t xml:space="preserve"> от </w:t>
      </w:r>
      <w:r w:rsidRPr="00D03F3E">
        <w:rPr>
          <w:rStyle w:val="16"/>
          <w:rFonts w:ascii="Times New Roman" w:hAnsi="Times New Roman" w:cs="Times New Roman"/>
          <w:color w:val="000000" w:themeColor="text1"/>
          <w:spacing w:val="0"/>
          <w:u w:val="none"/>
        </w:rPr>
        <w:t xml:space="preserve">26 марта </w:t>
      </w:r>
      <w:r w:rsidRPr="00D03F3E">
        <w:rPr>
          <w:rStyle w:val="0pt"/>
          <w:rFonts w:ascii="Times New Roman" w:hAnsi="Times New Roman" w:cs="Times New Roman"/>
          <w:color w:val="000000" w:themeColor="text1"/>
          <w:spacing w:val="0"/>
          <w:sz w:val="16"/>
          <w:szCs w:val="16"/>
        </w:rPr>
        <w:t>1943</w:t>
      </w:r>
      <w:r w:rsidRPr="00D03F3E">
        <w:rPr>
          <w:rStyle w:val="16"/>
          <w:rFonts w:ascii="Times New Roman" w:hAnsi="Times New Roman" w:cs="Times New Roman"/>
          <w:color w:val="000000" w:themeColor="text1"/>
          <w:spacing w:val="0"/>
          <w:u w:val="none"/>
        </w:rPr>
        <w:t xml:space="preserve"> года "Об обеспечении АДД радионавига</w:t>
      </w:r>
      <w:r w:rsidRPr="00D03F3E">
        <w:rPr>
          <w:rStyle w:val="16"/>
          <w:rFonts w:ascii="Times New Roman" w:hAnsi="Times New Roman" w:cs="Times New Roman"/>
          <w:color w:val="000000" w:themeColor="text1"/>
          <w:spacing w:val="0"/>
          <w:u w:val="none"/>
        </w:rPr>
        <w:softHyphen/>
        <w:t xml:space="preserve">ционной аппаратурой </w:t>
      </w:r>
      <w:r w:rsidRPr="00D03F3E">
        <w:rPr>
          <w:rFonts w:ascii="Times New Roman" w:hAnsi="Times New Roman" w:cs="Times New Roman"/>
          <w:color w:val="000000" w:themeColor="text1"/>
          <w:sz w:val="16"/>
          <w:szCs w:val="16"/>
        </w:rPr>
        <w:t xml:space="preserve">и </w:t>
      </w:r>
      <w:r w:rsidRPr="00D03F3E">
        <w:rPr>
          <w:rStyle w:val="16"/>
          <w:rFonts w:ascii="Times New Roman" w:hAnsi="Times New Roman" w:cs="Times New Roman"/>
          <w:color w:val="000000" w:themeColor="text1"/>
          <w:spacing w:val="0"/>
          <w:u w:val="none"/>
        </w:rPr>
        <w:t>радиоаппаратурой для наведении на</w:t>
      </w:r>
      <w:r w:rsidRPr="00D03F3E">
        <w:rPr>
          <w:rFonts w:ascii="Times New Roman" w:hAnsi="Times New Roman" w:cs="Times New Roman"/>
          <w:color w:val="000000" w:themeColor="text1"/>
          <w:sz w:val="16"/>
          <w:szCs w:val="16"/>
        </w:rPr>
        <w:t xml:space="preserve"> цель </w:t>
      </w:r>
      <w:r w:rsidRPr="00D03F3E">
        <w:rPr>
          <w:rStyle w:val="16"/>
          <w:rFonts w:ascii="Times New Roman" w:hAnsi="Times New Roman" w:cs="Times New Roman"/>
          <w:color w:val="000000" w:themeColor="text1"/>
          <w:spacing w:val="0"/>
          <w:u w:val="none"/>
        </w:rPr>
        <w:t xml:space="preserve">в </w:t>
      </w:r>
      <w:r w:rsidRPr="00D03F3E">
        <w:rPr>
          <w:rStyle w:val="0pt"/>
          <w:rFonts w:ascii="Times New Roman" w:hAnsi="Times New Roman" w:cs="Times New Roman"/>
          <w:color w:val="000000" w:themeColor="text1"/>
          <w:spacing w:val="0"/>
          <w:sz w:val="16"/>
          <w:szCs w:val="16"/>
        </w:rPr>
        <w:t>1943</w:t>
      </w:r>
      <w:r w:rsidRPr="00D03F3E">
        <w:rPr>
          <w:rStyle w:val="16"/>
          <w:rFonts w:ascii="Times New Roman" w:hAnsi="Times New Roman" w:cs="Times New Roman"/>
          <w:color w:val="000000" w:themeColor="text1"/>
          <w:spacing w:val="0"/>
          <w:u w:val="none"/>
        </w:rPr>
        <w:t xml:space="preserve"> году" </w:t>
      </w:r>
      <w:r w:rsidRPr="00D03F3E">
        <w:rPr>
          <w:rFonts w:ascii="Times New Roman" w:hAnsi="Times New Roman" w:cs="Times New Roman"/>
          <w:color w:val="000000" w:themeColor="text1"/>
          <w:sz w:val="16"/>
          <w:szCs w:val="16"/>
        </w:rPr>
        <w:t xml:space="preserve">и </w:t>
      </w:r>
      <w:r w:rsidRPr="00D03F3E">
        <w:rPr>
          <w:rStyle w:val="16"/>
          <w:rFonts w:ascii="Times New Roman" w:hAnsi="Times New Roman" w:cs="Times New Roman"/>
          <w:color w:val="000000" w:themeColor="text1"/>
          <w:spacing w:val="0"/>
          <w:u w:val="none"/>
        </w:rPr>
        <w:t>распоряжения Г0К</w:t>
      </w:r>
      <w:r w:rsidR="007B43FC" w:rsidRPr="00D03F3E">
        <w:rPr>
          <w:rStyle w:val="16"/>
          <w:rFonts w:ascii="Times New Roman" w:hAnsi="Times New Roman" w:cs="Times New Roman"/>
          <w:color w:val="000000" w:themeColor="text1"/>
          <w:spacing w:val="0"/>
          <w:u w:val="none"/>
        </w:rPr>
        <w:t>О</w:t>
      </w:r>
      <w:r w:rsidRPr="00D03F3E">
        <w:rPr>
          <w:rStyle w:val="16"/>
          <w:rFonts w:ascii="Times New Roman" w:hAnsi="Times New Roman" w:cs="Times New Roman"/>
          <w:color w:val="000000" w:themeColor="text1"/>
          <w:spacing w:val="0"/>
          <w:u w:val="none"/>
        </w:rPr>
        <w:t xml:space="preserve"> № </w:t>
      </w:r>
      <w:r w:rsidRPr="00D03F3E">
        <w:rPr>
          <w:rStyle w:val="0pt"/>
          <w:rFonts w:ascii="Times New Roman" w:hAnsi="Times New Roman" w:cs="Times New Roman"/>
          <w:color w:val="000000" w:themeColor="text1"/>
          <w:spacing w:val="0"/>
          <w:sz w:val="16"/>
          <w:szCs w:val="16"/>
        </w:rPr>
        <w:t>3283с</w:t>
      </w:r>
      <w:r w:rsidRPr="00D03F3E">
        <w:rPr>
          <w:rStyle w:val="16"/>
          <w:rFonts w:ascii="Times New Roman" w:hAnsi="Times New Roman" w:cs="Times New Roman"/>
          <w:color w:val="000000" w:themeColor="text1"/>
          <w:spacing w:val="0"/>
          <w:u w:val="none"/>
        </w:rPr>
        <w:t xml:space="preserve"> от 3 мая</w:t>
      </w:r>
      <w:r w:rsidRPr="00D03F3E">
        <w:rPr>
          <w:rFonts w:ascii="Times New Roman" w:hAnsi="Times New Roman" w:cs="Times New Roman"/>
          <w:color w:val="000000" w:themeColor="text1"/>
          <w:sz w:val="16"/>
          <w:szCs w:val="16"/>
        </w:rPr>
        <w:t xml:space="preserve"> </w:t>
      </w:r>
      <w:r w:rsidRPr="00D03F3E">
        <w:rPr>
          <w:rStyle w:val="0pt"/>
          <w:rFonts w:ascii="Times New Roman" w:hAnsi="Times New Roman" w:cs="Times New Roman"/>
          <w:color w:val="000000" w:themeColor="text1"/>
          <w:spacing w:val="0"/>
          <w:sz w:val="16"/>
          <w:szCs w:val="16"/>
        </w:rPr>
        <w:t>1943</w:t>
      </w:r>
      <w:r w:rsidRPr="00D03F3E">
        <w:rPr>
          <w:rFonts w:ascii="Times New Roman" w:hAnsi="Times New Roman" w:cs="Times New Roman"/>
          <w:color w:val="000000" w:themeColor="text1"/>
          <w:sz w:val="16"/>
          <w:szCs w:val="16"/>
        </w:rPr>
        <w:t xml:space="preserve"> г. "Об </w:t>
      </w:r>
      <w:r w:rsidRPr="00D03F3E">
        <w:rPr>
          <w:rStyle w:val="16"/>
          <w:rFonts w:ascii="Times New Roman" w:hAnsi="Times New Roman" w:cs="Times New Roman"/>
          <w:color w:val="000000" w:themeColor="text1"/>
          <w:spacing w:val="0"/>
          <w:u w:val="none"/>
        </w:rPr>
        <w:t>изготовлении радиолокационной аппаратуры для</w:t>
      </w:r>
      <w:r w:rsidRPr="00D03F3E">
        <w:rPr>
          <w:rFonts w:ascii="Times New Roman" w:hAnsi="Times New Roman" w:cs="Times New Roman"/>
          <w:color w:val="000000" w:themeColor="text1"/>
          <w:sz w:val="16"/>
          <w:szCs w:val="16"/>
        </w:rPr>
        <w:t xml:space="preserve"> ВВС</w:t>
      </w:r>
      <w:r w:rsidRPr="00D03F3E">
        <w:rPr>
          <w:rStyle w:val="0pt"/>
          <w:rFonts w:ascii="Times New Roman" w:hAnsi="Times New Roman" w:cs="Times New Roman"/>
          <w:color w:val="000000" w:themeColor="text1"/>
          <w:spacing w:val="0"/>
          <w:sz w:val="16"/>
          <w:szCs w:val="16"/>
        </w:rPr>
        <w:t>"</w:t>
      </w:r>
      <w:r w:rsidRPr="00D03F3E">
        <w:rPr>
          <w:rStyle w:val="16"/>
          <w:rFonts w:ascii="Times New Roman" w:hAnsi="Times New Roman" w:cs="Times New Roman"/>
          <w:color w:val="000000" w:themeColor="text1"/>
          <w:spacing w:val="0"/>
          <w:u w:val="none"/>
        </w:rPr>
        <w:t xml:space="preserve"> передать все радиолокаторы "ГНЕЙС-2", предназначен</w:t>
      </w:r>
      <w:r w:rsidRPr="00D03F3E">
        <w:rPr>
          <w:rStyle w:val="16"/>
          <w:rFonts w:ascii="Times New Roman" w:hAnsi="Times New Roman" w:cs="Times New Roman"/>
          <w:color w:val="000000" w:themeColor="text1"/>
          <w:spacing w:val="0"/>
          <w:u w:val="none"/>
        </w:rPr>
        <w:softHyphen/>
        <w:t xml:space="preserve">ные для </w:t>
      </w:r>
      <w:r w:rsidRPr="00D03F3E">
        <w:rPr>
          <w:rFonts w:ascii="Times New Roman" w:hAnsi="Times New Roman" w:cs="Times New Roman"/>
          <w:color w:val="000000" w:themeColor="text1"/>
          <w:sz w:val="16"/>
          <w:szCs w:val="16"/>
        </w:rPr>
        <w:t>АДД и ВМФ</w:t>
      </w:r>
      <w:r w:rsidRPr="00D03F3E">
        <w:rPr>
          <w:rStyle w:val="16"/>
          <w:rFonts w:ascii="Times New Roman" w:hAnsi="Times New Roman" w:cs="Times New Roman"/>
          <w:color w:val="000000" w:themeColor="text1"/>
          <w:spacing w:val="0"/>
          <w:u w:val="none"/>
        </w:rPr>
        <w:t>, в распоряжение командующего войсками</w:t>
      </w:r>
      <w:r w:rsidRPr="00D03F3E">
        <w:rPr>
          <w:rFonts w:ascii="Times New Roman" w:hAnsi="Times New Roman" w:cs="Times New Roman"/>
          <w:color w:val="000000" w:themeColor="text1"/>
          <w:sz w:val="16"/>
          <w:szCs w:val="16"/>
        </w:rPr>
        <w:t xml:space="preserve"> ПВО ТС.</w:t>
      </w:r>
    </w:p>
    <w:p w14:paraId="71D6199A" w14:textId="77777777" w:rsidR="005D428E" w:rsidRPr="00D03F3E" w:rsidRDefault="005D428E"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D03F3E">
        <w:rPr>
          <w:rStyle w:val="16"/>
          <w:rFonts w:ascii="Times New Roman" w:hAnsi="Times New Roman" w:cs="Times New Roman"/>
          <w:color w:val="000000" w:themeColor="text1"/>
          <w:spacing w:val="0"/>
          <w:u w:val="none"/>
        </w:rPr>
        <w:t>6. Обязать Наркоыэлектропром т.Кабаноэа изготовить</w:t>
      </w:r>
      <w:r w:rsidRPr="00D03F3E">
        <w:rPr>
          <w:rFonts w:ascii="Times New Roman" w:hAnsi="Times New Roman" w:cs="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на заводах №№ </w:t>
      </w:r>
      <w:r w:rsidRPr="00D03F3E">
        <w:rPr>
          <w:rStyle w:val="0pt"/>
          <w:rFonts w:ascii="Times New Roman" w:hAnsi="Times New Roman" w:cs="Times New Roman"/>
          <w:color w:val="000000" w:themeColor="text1"/>
          <w:spacing w:val="0"/>
          <w:sz w:val="16"/>
          <w:szCs w:val="16"/>
        </w:rPr>
        <w:t>465 и 528</w:t>
      </w:r>
      <w:r w:rsidRPr="00D03F3E">
        <w:rPr>
          <w:rStyle w:val="16"/>
          <w:rFonts w:ascii="Times New Roman" w:hAnsi="Times New Roman" w:cs="Times New Roman"/>
          <w:color w:val="000000" w:themeColor="text1"/>
          <w:spacing w:val="0"/>
          <w:u w:val="none"/>
        </w:rPr>
        <w:t xml:space="preserve"> приборы "СЧ-</w:t>
      </w:r>
      <w:r w:rsidR="007B43FC" w:rsidRPr="00D03F3E">
        <w:rPr>
          <w:rStyle w:val="16"/>
          <w:rFonts w:ascii="Times New Roman" w:hAnsi="Times New Roman" w:cs="Times New Roman"/>
          <w:color w:val="000000" w:themeColor="text1"/>
          <w:spacing w:val="0"/>
          <w:u w:val="none"/>
        </w:rPr>
        <w:t>1</w:t>
      </w:r>
      <w:r w:rsidRPr="00D03F3E">
        <w:rPr>
          <w:rStyle w:val="16"/>
          <w:rFonts w:ascii="Times New Roman" w:hAnsi="Times New Roman" w:cs="Times New Roman"/>
          <w:color w:val="000000" w:themeColor="text1"/>
          <w:spacing w:val="0"/>
          <w:u w:val="none"/>
        </w:rPr>
        <w:t>": в июне 10 штук,</w:t>
      </w:r>
      <w:r w:rsidRPr="00D03F3E">
        <w:rPr>
          <w:rFonts w:ascii="Times New Roman" w:hAnsi="Times New Roman" w:cs="Times New Roman"/>
          <w:color w:val="000000" w:themeColor="text1"/>
          <w:sz w:val="16"/>
          <w:szCs w:val="16"/>
        </w:rPr>
        <w:t xml:space="preserve"> в июле - 60 штук, </w:t>
      </w:r>
      <w:r w:rsidRPr="00D03F3E">
        <w:rPr>
          <w:rStyle w:val="16"/>
          <w:rFonts w:ascii="Times New Roman" w:hAnsi="Times New Roman" w:cs="Times New Roman"/>
          <w:color w:val="000000" w:themeColor="text1"/>
          <w:spacing w:val="0"/>
          <w:u w:val="none"/>
        </w:rPr>
        <w:t xml:space="preserve">в августе </w:t>
      </w:r>
      <w:r w:rsidRPr="00D03F3E">
        <w:rPr>
          <w:rFonts w:ascii="Times New Roman" w:hAnsi="Times New Roman" w:cs="Times New Roman"/>
          <w:color w:val="000000" w:themeColor="text1"/>
          <w:sz w:val="16"/>
          <w:szCs w:val="16"/>
        </w:rPr>
        <w:t>-</w:t>
      </w:r>
      <w:r w:rsidRPr="00D03F3E">
        <w:rPr>
          <w:rStyle w:val="105pt0pt0"/>
          <w:rFonts w:ascii="Times New Roman" w:hAnsi="Times New Roman" w:cs="Times New Roman"/>
          <w:color w:val="000000" w:themeColor="text1"/>
          <w:spacing w:val="0"/>
          <w:sz w:val="16"/>
          <w:szCs w:val="16"/>
        </w:rPr>
        <w:t xml:space="preserve"> 100</w:t>
      </w:r>
      <w:r w:rsidRPr="00D03F3E">
        <w:rPr>
          <w:rStyle w:val="16"/>
          <w:rFonts w:ascii="Times New Roman" w:hAnsi="Times New Roman" w:cs="Times New Roman"/>
          <w:color w:val="000000" w:themeColor="text1"/>
          <w:spacing w:val="0"/>
          <w:u w:val="none"/>
        </w:rPr>
        <w:t xml:space="preserve"> штук </w:t>
      </w:r>
      <w:r w:rsidRPr="00D03F3E">
        <w:rPr>
          <w:rFonts w:ascii="Times New Roman" w:hAnsi="Times New Roman" w:cs="Times New Roman"/>
          <w:color w:val="000000" w:themeColor="text1"/>
          <w:sz w:val="16"/>
          <w:szCs w:val="16"/>
        </w:rPr>
        <w:t xml:space="preserve">и </w:t>
      </w:r>
      <w:r w:rsidRPr="00D03F3E">
        <w:rPr>
          <w:rStyle w:val="16"/>
          <w:rFonts w:ascii="Times New Roman" w:hAnsi="Times New Roman" w:cs="Times New Roman"/>
          <w:color w:val="000000" w:themeColor="text1"/>
          <w:spacing w:val="0"/>
          <w:u w:val="none"/>
        </w:rPr>
        <w:t xml:space="preserve">в сентябре </w:t>
      </w:r>
      <w:r w:rsidRPr="00D03F3E">
        <w:rPr>
          <w:rFonts w:ascii="Times New Roman" w:hAnsi="Times New Roman" w:cs="Times New Roman"/>
          <w:color w:val="000000" w:themeColor="text1"/>
          <w:sz w:val="16"/>
          <w:szCs w:val="16"/>
        </w:rPr>
        <w:t xml:space="preserve">- </w:t>
      </w:r>
      <w:r w:rsidRPr="00D03F3E">
        <w:rPr>
          <w:rStyle w:val="0pt"/>
          <w:rFonts w:ascii="Times New Roman" w:hAnsi="Times New Roman" w:cs="Times New Roman"/>
          <w:color w:val="000000" w:themeColor="text1"/>
          <w:spacing w:val="0"/>
          <w:sz w:val="16"/>
          <w:szCs w:val="16"/>
        </w:rPr>
        <w:t>150</w:t>
      </w:r>
      <w:r w:rsidRPr="00D03F3E">
        <w:rPr>
          <w:rFonts w:ascii="Times New Roman" w:hAnsi="Times New Roman" w:cs="Times New Roman"/>
          <w:color w:val="000000" w:themeColor="text1"/>
          <w:sz w:val="16"/>
          <w:szCs w:val="16"/>
        </w:rPr>
        <w:t xml:space="preserve"> штук,</w:t>
      </w:r>
    </w:p>
    <w:p w14:paraId="3DA12AB9" w14:textId="77777777" w:rsidR="005D428E" w:rsidRPr="00D03F3E" w:rsidRDefault="005D428E"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 xml:space="preserve">7. </w:t>
      </w:r>
      <w:r w:rsidRPr="00D03F3E">
        <w:rPr>
          <w:rStyle w:val="16"/>
          <w:rFonts w:ascii="Times New Roman" w:hAnsi="Times New Roman" w:cs="Times New Roman"/>
          <w:color w:val="000000" w:themeColor="text1"/>
          <w:spacing w:val="0"/>
          <w:u w:val="none"/>
        </w:rPr>
        <w:t>Передать в двухдневный срок НИИ-20 Наркомэлектро</w:t>
      </w:r>
      <w:r w:rsidRPr="00D03F3E">
        <w:rPr>
          <w:rFonts w:ascii="Times New Roman" w:hAnsi="Times New Roman" w:cs="Times New Roman"/>
          <w:color w:val="000000" w:themeColor="text1"/>
          <w:sz w:val="16"/>
          <w:szCs w:val="16"/>
        </w:rPr>
        <w:t xml:space="preserve">прома здание </w:t>
      </w:r>
      <w:r w:rsidRPr="00D03F3E">
        <w:rPr>
          <w:rStyle w:val="16"/>
          <w:rFonts w:ascii="Times New Roman" w:hAnsi="Times New Roman" w:cs="Times New Roman"/>
          <w:color w:val="000000" w:themeColor="text1"/>
          <w:spacing w:val="0"/>
          <w:u w:val="none"/>
        </w:rPr>
        <w:t>бывшей Промышленной академии железнодорож</w:t>
      </w:r>
      <w:r w:rsidRPr="00D03F3E">
        <w:rPr>
          <w:rStyle w:val="16"/>
          <w:rFonts w:ascii="Times New Roman" w:hAnsi="Times New Roman" w:cs="Times New Roman"/>
          <w:color w:val="000000" w:themeColor="text1"/>
          <w:spacing w:val="0"/>
          <w:u w:val="none"/>
        </w:rPr>
        <w:softHyphen/>
      </w:r>
      <w:r w:rsidRPr="00D03F3E">
        <w:rPr>
          <w:rFonts w:ascii="Times New Roman" w:hAnsi="Times New Roman" w:cs="Times New Roman"/>
          <w:color w:val="000000" w:themeColor="text1"/>
          <w:sz w:val="16"/>
          <w:szCs w:val="16"/>
        </w:rPr>
        <w:t xml:space="preserve">ного транспорта </w:t>
      </w:r>
      <w:r w:rsidRPr="00D03F3E">
        <w:rPr>
          <w:rStyle w:val="16"/>
          <w:rFonts w:ascii="Times New Roman" w:hAnsi="Times New Roman" w:cs="Times New Roman"/>
          <w:color w:val="000000" w:themeColor="text1"/>
          <w:spacing w:val="0"/>
          <w:u w:val="none"/>
        </w:rPr>
        <w:t xml:space="preserve">в </w:t>
      </w:r>
      <w:r w:rsidRPr="00D03F3E">
        <w:rPr>
          <w:rFonts w:ascii="Times New Roman" w:hAnsi="Times New Roman" w:cs="Times New Roman"/>
          <w:color w:val="000000" w:themeColor="text1"/>
          <w:sz w:val="16"/>
          <w:szCs w:val="16"/>
        </w:rPr>
        <w:t>г.</w:t>
      </w:r>
      <w:r w:rsidRPr="00D03F3E">
        <w:rPr>
          <w:rStyle w:val="16"/>
          <w:rFonts w:ascii="Times New Roman" w:hAnsi="Times New Roman" w:cs="Times New Roman"/>
          <w:color w:val="000000" w:themeColor="text1"/>
          <w:spacing w:val="0"/>
          <w:u w:val="none"/>
        </w:rPr>
        <w:t>Москве со всеми подсобными помеще</w:t>
      </w:r>
      <w:r w:rsidRPr="00D03F3E">
        <w:rPr>
          <w:rStyle w:val="16"/>
          <w:rFonts w:ascii="Times New Roman" w:hAnsi="Times New Roman" w:cs="Times New Roman"/>
          <w:color w:val="000000" w:themeColor="text1"/>
          <w:spacing w:val="0"/>
          <w:u w:val="none"/>
        </w:rPr>
        <w:softHyphen/>
      </w:r>
      <w:r w:rsidRPr="00D03F3E">
        <w:rPr>
          <w:rFonts w:ascii="Times New Roman" w:hAnsi="Times New Roman" w:cs="Times New Roman"/>
          <w:color w:val="000000" w:themeColor="text1"/>
          <w:sz w:val="16"/>
          <w:szCs w:val="16"/>
        </w:rPr>
        <w:t xml:space="preserve">ниями, </w:t>
      </w:r>
      <w:r w:rsidRPr="00D03F3E">
        <w:rPr>
          <w:rStyle w:val="16"/>
          <w:rFonts w:ascii="Times New Roman" w:hAnsi="Times New Roman" w:cs="Times New Roman"/>
          <w:color w:val="000000" w:themeColor="text1"/>
          <w:spacing w:val="0"/>
          <w:u w:val="none"/>
        </w:rPr>
        <w:t xml:space="preserve">инвентарем </w:t>
      </w:r>
      <w:r w:rsidRPr="00D03F3E">
        <w:rPr>
          <w:rFonts w:ascii="Times New Roman" w:hAnsi="Times New Roman" w:cs="Times New Roman"/>
          <w:color w:val="000000" w:themeColor="text1"/>
          <w:sz w:val="16"/>
          <w:szCs w:val="16"/>
        </w:rPr>
        <w:t xml:space="preserve">и </w:t>
      </w:r>
      <w:r w:rsidRPr="00D03F3E">
        <w:rPr>
          <w:rStyle w:val="16"/>
          <w:rFonts w:ascii="Times New Roman" w:hAnsi="Times New Roman" w:cs="Times New Roman"/>
          <w:color w:val="000000" w:themeColor="text1"/>
          <w:spacing w:val="0"/>
          <w:u w:val="none"/>
        </w:rPr>
        <w:t>жилым корпусом.</w:t>
      </w:r>
    </w:p>
    <w:p w14:paraId="6AF0C5C2" w14:textId="77777777" w:rsidR="005D428E" w:rsidRPr="00D03F3E" w:rsidRDefault="005D428E"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 xml:space="preserve">8. Обязать </w:t>
      </w:r>
      <w:r w:rsidRPr="00D03F3E">
        <w:rPr>
          <w:rStyle w:val="16"/>
          <w:rFonts w:ascii="Times New Roman" w:hAnsi="Times New Roman" w:cs="Times New Roman"/>
          <w:color w:val="000000" w:themeColor="text1"/>
          <w:spacing w:val="0"/>
          <w:u w:val="none"/>
        </w:rPr>
        <w:t>начальника Административно-хозяйственного</w:t>
      </w:r>
      <w:r w:rsidRPr="00D03F3E">
        <w:rPr>
          <w:rFonts w:ascii="Times New Roman" w:hAnsi="Times New Roman" w:cs="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 xml:space="preserve">управления </w:t>
      </w:r>
      <w:r w:rsidRPr="00D03F3E">
        <w:rPr>
          <w:rStyle w:val="0pt"/>
          <w:rFonts w:ascii="Times New Roman" w:hAnsi="Times New Roman" w:cs="Times New Roman"/>
          <w:color w:val="000000" w:themeColor="text1"/>
          <w:spacing w:val="0"/>
          <w:sz w:val="16"/>
          <w:szCs w:val="16"/>
          <w:lang w:val="en-US"/>
        </w:rPr>
        <w:t>HK</w:t>
      </w:r>
      <w:r w:rsidRPr="00D03F3E">
        <w:rPr>
          <w:rStyle w:val="0pt"/>
          <w:rFonts w:ascii="Times New Roman" w:hAnsi="Times New Roman" w:cs="Times New Roman"/>
          <w:color w:val="000000" w:themeColor="text1"/>
          <w:spacing w:val="0"/>
          <w:sz w:val="16"/>
          <w:szCs w:val="16"/>
        </w:rPr>
        <w:t>О -</w:t>
      </w:r>
      <w:r w:rsidRPr="00D03F3E">
        <w:rPr>
          <w:rFonts w:ascii="Times New Roman" w:hAnsi="Times New Roman" w:cs="Times New Roman"/>
          <w:color w:val="000000" w:themeColor="text1"/>
          <w:sz w:val="16"/>
          <w:szCs w:val="16"/>
        </w:rPr>
        <w:t xml:space="preserve"> </w:t>
      </w:r>
      <w:r w:rsidRPr="00D03F3E">
        <w:rPr>
          <w:rStyle w:val="16"/>
          <w:rFonts w:ascii="Times New Roman" w:hAnsi="Times New Roman" w:cs="Times New Roman"/>
          <w:color w:val="000000" w:themeColor="text1"/>
          <w:spacing w:val="0"/>
          <w:u w:val="none"/>
        </w:rPr>
        <w:t>т.Кутузова в пятидневный срок пересе</w:t>
      </w:r>
      <w:r w:rsidRPr="00D03F3E">
        <w:rPr>
          <w:rStyle w:val="16"/>
          <w:rFonts w:ascii="Times New Roman" w:hAnsi="Times New Roman" w:cs="Times New Roman"/>
          <w:color w:val="000000" w:themeColor="text1"/>
          <w:spacing w:val="0"/>
          <w:u w:val="none"/>
        </w:rPr>
        <w:softHyphen/>
      </w:r>
      <w:r w:rsidRPr="00D03F3E">
        <w:rPr>
          <w:rFonts w:ascii="Times New Roman" w:hAnsi="Times New Roman" w:cs="Times New Roman"/>
          <w:color w:val="000000" w:themeColor="text1"/>
          <w:sz w:val="16"/>
          <w:szCs w:val="16"/>
        </w:rPr>
        <w:t xml:space="preserve">лить семьи, </w:t>
      </w:r>
      <w:r w:rsidRPr="00D03F3E">
        <w:rPr>
          <w:rStyle w:val="16"/>
          <w:rFonts w:ascii="Times New Roman" w:hAnsi="Times New Roman" w:cs="Times New Roman"/>
          <w:color w:val="000000" w:themeColor="text1"/>
          <w:spacing w:val="0"/>
          <w:u w:val="none"/>
        </w:rPr>
        <w:t>проживающие в жилом корпусе указанной ака</w:t>
      </w:r>
      <w:r w:rsidRPr="00D03F3E">
        <w:rPr>
          <w:rStyle w:val="16"/>
          <w:rFonts w:ascii="Times New Roman" w:hAnsi="Times New Roman" w:cs="Times New Roman"/>
          <w:color w:val="000000" w:themeColor="text1"/>
          <w:spacing w:val="0"/>
          <w:u w:val="none"/>
        </w:rPr>
        <w:softHyphen/>
      </w:r>
      <w:r w:rsidRPr="00D03F3E">
        <w:rPr>
          <w:rFonts w:ascii="Times New Roman" w:hAnsi="Times New Roman" w:cs="Times New Roman"/>
          <w:color w:val="000000" w:themeColor="text1"/>
          <w:sz w:val="16"/>
          <w:szCs w:val="16"/>
        </w:rPr>
        <w:t>демии.</w:t>
      </w:r>
    </w:p>
    <w:p w14:paraId="31DF996A" w14:textId="77777777" w:rsidR="005D428E" w:rsidRPr="00D03F3E" w:rsidRDefault="005D428E" w:rsidP="00D03F3E">
      <w:pPr>
        <w:pStyle w:val="6c"/>
        <w:shd w:val="clear" w:color="auto" w:fill="auto"/>
        <w:spacing w:before="0" w:line="240" w:lineRule="auto"/>
        <w:jc w:val="both"/>
        <w:rPr>
          <w:rFonts w:ascii="Times New Roman" w:hAnsi="Times New Roman" w:cs="Times New Roman"/>
          <w:color w:val="000000" w:themeColor="text1"/>
        </w:rPr>
      </w:pPr>
      <w:r w:rsidRPr="00D03F3E">
        <w:rPr>
          <w:rFonts w:ascii="Times New Roman" w:hAnsi="Times New Roman" w:cs="Times New Roman"/>
          <w:color w:val="000000" w:themeColor="text1"/>
        </w:rPr>
        <w:t>9.</w:t>
      </w:r>
      <w:r w:rsidRPr="00D03F3E">
        <w:rPr>
          <w:rStyle w:val="16"/>
          <w:rFonts w:ascii="Times New Roman" w:hAnsi="Times New Roman" w:cs="Times New Roman"/>
          <w:color w:val="000000" w:themeColor="text1"/>
          <w:spacing w:val="0"/>
          <w:u w:val="none"/>
        </w:rPr>
        <w:t>Обязать Наркомминвооружения т.Паршина передать</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НИИ-20 Наркомэлектропрома завод № 830 Наркомминвоору-</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 xml:space="preserve">жения со всеми производственными, подсобными </w:t>
      </w:r>
      <w:r w:rsidRPr="00D03F3E">
        <w:rPr>
          <w:rFonts w:ascii="Times New Roman" w:hAnsi="Times New Roman" w:cs="Times New Roman"/>
          <w:color w:val="000000" w:themeColor="text1"/>
        </w:rPr>
        <w:t xml:space="preserve">и </w:t>
      </w:r>
      <w:r w:rsidRPr="00D03F3E">
        <w:rPr>
          <w:rStyle w:val="16"/>
          <w:rFonts w:ascii="Times New Roman" w:hAnsi="Times New Roman" w:cs="Times New Roman"/>
          <w:color w:val="000000" w:themeColor="text1"/>
          <w:spacing w:val="0"/>
          <w:u w:val="none"/>
        </w:rPr>
        <w:t>жилыми</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помещениями, оборудованием, наличным составом рабочих</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и ИТР по балансу на 1 июня 1943 года для размещения</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опытного завода НИИ-20.</w:t>
      </w:r>
    </w:p>
    <w:p w14:paraId="6A0D4DBF" w14:textId="77777777" w:rsidR="005D428E" w:rsidRPr="00D03F3E" w:rsidRDefault="005D428E" w:rsidP="00D03F3E">
      <w:pPr>
        <w:pStyle w:val="6c"/>
        <w:shd w:val="clear" w:color="auto" w:fill="auto"/>
        <w:spacing w:before="0" w:line="240" w:lineRule="auto"/>
        <w:jc w:val="both"/>
        <w:rPr>
          <w:rFonts w:ascii="Times New Roman" w:hAnsi="Times New Roman" w:cs="Times New Roman"/>
          <w:color w:val="000000" w:themeColor="text1"/>
        </w:rPr>
      </w:pPr>
      <w:r w:rsidRPr="00D03F3E">
        <w:rPr>
          <w:rStyle w:val="16"/>
          <w:rFonts w:ascii="Times New Roman" w:hAnsi="Times New Roman" w:cs="Times New Roman"/>
          <w:color w:val="000000" w:themeColor="text1"/>
          <w:spacing w:val="0"/>
          <w:u w:val="none"/>
        </w:rPr>
        <w:t>Обязать т.Паршина разместить изделия этого завода</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на других заводах Наркомминвооружения.</w:t>
      </w:r>
    </w:p>
    <w:p w14:paraId="1B6C9B37" w14:textId="77777777" w:rsidR="005D428E" w:rsidRPr="00D03F3E" w:rsidRDefault="005D428E" w:rsidP="00D03F3E">
      <w:pPr>
        <w:pStyle w:val="6c"/>
        <w:shd w:val="clear" w:color="auto" w:fill="auto"/>
        <w:spacing w:before="0" w:line="240" w:lineRule="auto"/>
        <w:jc w:val="both"/>
        <w:rPr>
          <w:rFonts w:ascii="Times New Roman" w:hAnsi="Times New Roman" w:cs="Times New Roman"/>
          <w:color w:val="000000" w:themeColor="text1"/>
        </w:rPr>
      </w:pPr>
      <w:r w:rsidRPr="00D03F3E">
        <w:rPr>
          <w:rFonts w:ascii="Times New Roman" w:hAnsi="Times New Roman" w:cs="Times New Roman"/>
          <w:color w:val="000000" w:themeColor="text1"/>
        </w:rPr>
        <w:t xml:space="preserve">10. </w:t>
      </w:r>
      <w:r w:rsidRPr="00D03F3E">
        <w:rPr>
          <w:rStyle w:val="16"/>
          <w:rFonts w:ascii="Times New Roman" w:hAnsi="Times New Roman" w:cs="Times New Roman"/>
          <w:color w:val="000000" w:themeColor="text1"/>
          <w:spacing w:val="0"/>
          <w:u w:val="none"/>
        </w:rPr>
        <w:t>Обязать Моссовет - т.Пронина в 10-дневный срок</w:t>
      </w:r>
      <w:r w:rsidRPr="00D03F3E">
        <w:rPr>
          <w:rFonts w:ascii="Times New Roman" w:hAnsi="Times New Roman" w:cs="Times New Roman"/>
          <w:color w:val="000000" w:themeColor="text1"/>
        </w:rPr>
        <w:t xml:space="preserve"> </w:t>
      </w:r>
      <w:r w:rsidRPr="00D03F3E">
        <w:rPr>
          <w:rStyle w:val="16"/>
          <w:rFonts w:ascii="Times New Roman" w:hAnsi="Times New Roman" w:cs="Times New Roman"/>
          <w:color w:val="000000" w:themeColor="text1"/>
          <w:spacing w:val="0"/>
          <w:u w:val="none"/>
        </w:rPr>
        <w:t>переселить всех жильцов, проживающих на территории за</w:t>
      </w:r>
      <w:r w:rsidRPr="00D03F3E">
        <w:rPr>
          <w:rStyle w:val="16"/>
          <w:rFonts w:ascii="Times New Roman" w:hAnsi="Times New Roman" w:cs="Times New Roman"/>
          <w:color w:val="000000" w:themeColor="text1"/>
          <w:spacing w:val="0"/>
          <w:u w:val="none"/>
        </w:rPr>
        <w:softHyphen/>
        <w:t xml:space="preserve">вода № </w:t>
      </w:r>
      <w:r w:rsidRPr="00D03F3E">
        <w:rPr>
          <w:rFonts w:ascii="Times New Roman" w:hAnsi="Times New Roman" w:cs="Times New Roman"/>
          <w:color w:val="000000" w:themeColor="text1"/>
        </w:rPr>
        <w:t>830,</w:t>
      </w:r>
      <w:r w:rsidRPr="00D03F3E">
        <w:rPr>
          <w:rStyle w:val="16"/>
          <w:rFonts w:ascii="Times New Roman" w:hAnsi="Times New Roman" w:cs="Times New Roman"/>
          <w:color w:val="000000" w:themeColor="text1"/>
          <w:spacing w:val="0"/>
          <w:u w:val="none"/>
        </w:rPr>
        <w:t>предоставив им необходимую жилую площадь.</w:t>
      </w:r>
    </w:p>
    <w:p w14:paraId="308B4601" w14:textId="77777777" w:rsidR="005D428E" w:rsidRPr="00D03F3E" w:rsidRDefault="005D428E" w:rsidP="00D03F3E">
      <w:pPr>
        <w:pStyle w:val="6c"/>
        <w:shd w:val="clear" w:color="auto" w:fill="auto"/>
        <w:spacing w:before="0" w:line="240" w:lineRule="auto"/>
        <w:jc w:val="both"/>
        <w:rPr>
          <w:rFonts w:ascii="Times New Roman" w:hAnsi="Times New Roman" w:cs="Times New Roman"/>
          <w:color w:val="000000" w:themeColor="text1"/>
        </w:rPr>
      </w:pPr>
      <w:r w:rsidRPr="00D03F3E">
        <w:rPr>
          <w:rFonts w:ascii="Times New Roman" w:hAnsi="Times New Roman" w:cs="Times New Roman"/>
          <w:color w:val="000000" w:themeColor="text1"/>
        </w:rPr>
        <w:t>11.</w:t>
      </w:r>
      <w:r w:rsidRPr="00D03F3E">
        <w:rPr>
          <w:rStyle w:val="16"/>
          <w:rFonts w:ascii="Times New Roman" w:hAnsi="Times New Roman" w:cs="Times New Roman"/>
          <w:color w:val="000000" w:themeColor="text1"/>
          <w:spacing w:val="0"/>
          <w:u w:val="none"/>
        </w:rPr>
        <w:t>Утвердить мероприятия по материально-техничес</w:t>
      </w:r>
      <w:r w:rsidRPr="00D03F3E">
        <w:rPr>
          <w:rStyle w:val="16"/>
          <w:rFonts w:ascii="Times New Roman" w:hAnsi="Times New Roman" w:cs="Times New Roman"/>
          <w:color w:val="000000" w:themeColor="text1"/>
          <w:spacing w:val="0"/>
          <w:u w:val="none"/>
        </w:rPr>
        <w:softHyphen/>
        <w:t>кому обеспечению производства радиолокаторов "ГНЕЙС-2"</w:t>
      </w:r>
      <w:r w:rsidRPr="00D03F3E">
        <w:rPr>
          <w:rFonts w:ascii="Times New Roman" w:hAnsi="Times New Roman" w:cs="Times New Roman"/>
          <w:color w:val="000000" w:themeColor="text1"/>
          <w:vertAlign w:val="superscript"/>
        </w:rPr>
        <w:t xml:space="preserve"> </w:t>
      </w:r>
      <w:r w:rsidRPr="00D03F3E">
        <w:rPr>
          <w:rFonts w:ascii="Times New Roman" w:hAnsi="Times New Roman" w:cs="Times New Roman"/>
          <w:color w:val="000000" w:themeColor="text1"/>
        </w:rPr>
        <w:t xml:space="preserve">и </w:t>
      </w:r>
      <w:r w:rsidRPr="00D03F3E">
        <w:rPr>
          <w:rStyle w:val="16"/>
          <w:rFonts w:ascii="Times New Roman" w:hAnsi="Times New Roman" w:cs="Times New Roman"/>
          <w:color w:val="000000" w:themeColor="text1"/>
          <w:spacing w:val="0"/>
          <w:u w:val="none"/>
        </w:rPr>
        <w:t xml:space="preserve">приборов </w:t>
      </w:r>
      <w:r w:rsidRPr="00D03F3E">
        <w:rPr>
          <w:rFonts w:ascii="Times New Roman" w:hAnsi="Times New Roman" w:cs="Times New Roman"/>
          <w:color w:val="000000" w:themeColor="text1"/>
        </w:rPr>
        <w:t>"СЧ-1"</w:t>
      </w:r>
      <w:r w:rsidRPr="00D03F3E">
        <w:rPr>
          <w:rStyle w:val="16"/>
          <w:rFonts w:ascii="Times New Roman" w:hAnsi="Times New Roman" w:cs="Times New Roman"/>
          <w:color w:val="000000" w:themeColor="text1"/>
          <w:spacing w:val="0"/>
          <w:u w:val="none"/>
        </w:rPr>
        <w:t xml:space="preserve">согласно приложениям №№ 1 и 2. </w:t>
      </w:r>
      <w:r w:rsidRPr="00D03F3E">
        <w:rPr>
          <w:rFonts w:ascii="Times New Roman" w:hAnsi="Times New Roman" w:cs="Times New Roman"/>
          <w:color w:val="000000" w:themeColor="text1"/>
        </w:rPr>
        <w:t>(19409).</w:t>
      </w:r>
    </w:p>
    <w:p w14:paraId="6A09509A" w14:textId="77777777" w:rsidR="005D428E" w:rsidRPr="00D03F3E" w:rsidRDefault="005D428E"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6625A6" w14:textId="77777777" w:rsidR="005D428E" w:rsidRPr="00D03F3E" w:rsidRDefault="005D428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16 июня 1943 г. в Постановлении ГКО № 3594 были сформулированы Мероприятия по развертыванию производства РЛС «Гнейс-2» и приборов опознавания СЧ-1 («свой-чужой», система опознавания). Для оснащения радиолокационными станциями самолетов еще перед войной в НИИ-20 НКЭП шла разработка аппаратуры «Гнейс» на клистронах с длиной волны в диапазоне 15-см, разрабатывавшихся и изготовлявшихся в НИИ-9 (Н.Д. Девятков). После окончания Финской войны в период подчинения Главрадиопрома Наркомату авиапромышленности в НИИ-20 по инициативе заместителя начальника НИИ ВВС С.А. Данилина были начаты работы по созданию бортовой радиолокационной станции «Гнейс» для истребителей на базе клистронов с длиной волны 15-см. Выпуск клистронов для станции, разработка и изготовление образцов которых велись в НИИ-9 (Н.Д. Девятков), планировалось организовывать на заводе «Радиолампа». Но война и эвакуация нарушили все эти планы. По изложенным выше причинам эту разработку закончить не удалось, но НИИ-20, эвакуированный в Барнаул, продолжил разработку под шифром «Гнейс-2» уже в 1,5 метровом диапазоне, аналогично станциям РУС-2. Постановление № 3594 состояло из 11 пунктов и имело приложение на 7 страницах из еще 26 пунктов с мероприятиями по материально-техническому обеспечению производства радиолокаторов «Гнейс-2 и приборов «СЧ-1». Кстати, пункт 3 </w:t>
      </w:r>
      <w:r w:rsidRPr="00D03F3E">
        <w:rPr>
          <w:rFonts w:ascii="Times New Roman" w:hAnsi="Times New Roman"/>
          <w:color w:val="000000" w:themeColor="text1"/>
          <w:sz w:val="16"/>
          <w:szCs w:val="16"/>
        </w:rPr>
        <w:lastRenderedPageBreak/>
        <w:t>основного документа обязывал «считать радиолокаторы «Гнейс-2» приборами особой секретности и обязывал самолеты с этой аппаратурой летать только над нашей территорией и использоваться в системе ПВО для защиты от ночных налетов бомбардировщиков противника. По всей вероятности, подготовка этого постановления прошла с большими трудностями из-за многих проблем, решение которых и пришлось прописывать в столь объемном приложении (15736).</w:t>
      </w:r>
    </w:p>
    <w:p w14:paraId="23BF14E4" w14:textId="77777777" w:rsidR="005D428E" w:rsidRPr="00D03F3E" w:rsidRDefault="005D428E" w:rsidP="00D03F3E">
      <w:pPr>
        <w:spacing w:after="0" w:line="240" w:lineRule="auto"/>
        <w:jc w:val="both"/>
        <w:rPr>
          <w:rFonts w:ascii="Times New Roman" w:hAnsi="Times New Roman"/>
          <w:color w:val="000000" w:themeColor="text1"/>
          <w:sz w:val="16"/>
          <w:szCs w:val="16"/>
        </w:rPr>
      </w:pPr>
    </w:p>
    <w:p w14:paraId="74914286" w14:textId="77777777" w:rsidR="005D428E" w:rsidRPr="00D03F3E" w:rsidRDefault="005D428E"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г. Постановлением ГКО станцию "Гнейс-2" приняли на вооружение, а НИИ радиопромышленности поручали изготовить большую партию РЛС. Для этого институт со всем заделом аппаратуры возвратили из эвакуации, а на базе НИИ ВВС бригада специалистов под руководством В.В. Тихомирова начала сборку и настройку станций. Заметим, что примерно в то же время В.В. Мигулин и П.Н. Куксенко создали и другую самолетную РЛС типа ПНБ (прибор ночного боя). Она имела сходные с "Гнейс-2" характеристики, однако уступала последней в технологичности и не передавалась в серийное производство (12042).</w:t>
      </w:r>
    </w:p>
    <w:p w14:paraId="03B1FB68" w14:textId="77777777" w:rsidR="005D428E" w:rsidRPr="00D03F3E" w:rsidRDefault="005D428E"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066779" w14:textId="77777777" w:rsidR="005D428E" w:rsidRPr="00D03F3E" w:rsidRDefault="005D428E"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16 июня</w:t>
      </w:r>
      <w:r w:rsidRPr="00D03F3E">
        <w:rPr>
          <w:rFonts w:ascii="Times New Roman" w:hAnsi="Times New Roman"/>
          <w:color w:val="000000" w:themeColor="text1"/>
          <w:sz w:val="16"/>
          <w:szCs w:val="16"/>
        </w:rPr>
        <w:t xml:space="preserve"> в 1943 году на вооружение советских истребителей-перехватчиков была принята первая отечественная бортовая радиолокационная станция </w:t>
      </w:r>
      <w:hyperlink r:id="rId201" w:anchor="it4" w:tgtFrame="_blank" w:history="1">
        <w:r w:rsidRPr="00D03F3E">
          <w:rPr>
            <w:rFonts w:ascii="Times New Roman" w:hAnsi="Times New Roman"/>
            <w:color w:val="000000" w:themeColor="text1"/>
            <w:sz w:val="16"/>
            <w:szCs w:val="16"/>
          </w:rPr>
          <w:t xml:space="preserve">«Гнейс-2» </w:t>
        </w:r>
      </w:hyperlink>
      <w:r w:rsidRPr="00D03F3E">
        <w:rPr>
          <w:rFonts w:ascii="Times New Roman" w:hAnsi="Times New Roman"/>
          <w:color w:val="000000" w:themeColor="text1"/>
          <w:sz w:val="16"/>
          <w:szCs w:val="16"/>
        </w:rPr>
        <w:t>(для обнаружения бомбардировщиков противника в условиях плохой видимости). Первоначально станция должна была использовать клистроны, работавшие на волне 15 - 16 см, которые собирали вручную. Во время войны их изготовление прекратилось и пришлось переходить в метровый диапазон. На истребителе станция не помещалась, поэтому была сформирована авиационная дивизия ночных перехватчиков на самолетах «Пе-2». К концу 1944 г. ею были оснащены более 230 самолетов (14924).</w:t>
      </w:r>
    </w:p>
    <w:p w14:paraId="36BC6A9E" w14:textId="77777777" w:rsidR="005D428E" w:rsidRPr="00D03F3E" w:rsidRDefault="005D428E" w:rsidP="00D03F3E">
      <w:pPr>
        <w:spacing w:after="0" w:line="240" w:lineRule="auto"/>
        <w:jc w:val="both"/>
        <w:rPr>
          <w:rFonts w:ascii="Times New Roman" w:hAnsi="Times New Roman"/>
          <w:color w:val="000000" w:themeColor="text1"/>
          <w:sz w:val="16"/>
          <w:szCs w:val="16"/>
        </w:rPr>
      </w:pPr>
    </w:p>
    <w:p w14:paraId="75530B2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г. постановлением ГКО станцию “Гнейс-2” приняли на вооружение, а НИИ радиопромышленности поручали изготовить большую партию РЛС. Для этого институт со всем заделом аппаратуры был возвращен из эвакуации, а на базе НИИ ВВС бригада специалистов под руководством В.В. Тихомирова начала сборку и настройку станций.</w:t>
      </w:r>
    </w:p>
    <w:p w14:paraId="0DE0F77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Примерно в то же время В.В. Мигулиным и П.Н. Куксенко была создана и другая самолетная РЛС типа ПНБ (прибор ночного боя). Она имела сходные с “Гнейс-2” характеристики, однако, уступала ей в технологичности и не передавалась в серийное производство (4476).</w:t>
      </w:r>
    </w:p>
    <w:p w14:paraId="0A8297E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0B3710"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года Постановлением ГКО самолетная станция "Гнейс-2" (метрового диапазона) была принята на вооружение. Впоследствии ею оснащались некоторые самолеты типа Пе-2, а также из ленд-лизовских. Из-за большого веса ее можно было размещать только на бомбардировщиках. Производственных площадей и мощностей для того, чтобы в полной мере удовлетворить потребности армии в станциях СОН-2от, у московского предприятия не было, поэтому было принято решение использовать СОН-2от прежде всего в территориальных формированиях войск ПВО, прикрывавших важнейшие объекты страны (9921).</w:t>
      </w:r>
    </w:p>
    <w:p w14:paraId="7C4C4417"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p>
    <w:p w14:paraId="22EC603F" w14:textId="77777777" w:rsidR="003B41F0" w:rsidRPr="00D03F3E" w:rsidRDefault="003B41F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16 июня 1943 – Принята на вооружение авиации первая отечественная бортовая РЛС «Гнейс-2». Конструктор Виктор Васильевич Тихомиров. Устанавливалась на Пе-2 (22459).</w:t>
      </w:r>
    </w:p>
    <w:p w14:paraId="61350F9A" w14:textId="77777777" w:rsidR="003B41F0" w:rsidRPr="00D03F3E" w:rsidRDefault="003B41F0" w:rsidP="00D03F3E">
      <w:pPr>
        <w:spacing w:after="0" w:line="240" w:lineRule="auto"/>
        <w:jc w:val="both"/>
        <w:rPr>
          <w:rFonts w:ascii="Times New Roman" w:hAnsi="Times New Roman"/>
          <w:color w:val="0070C0"/>
          <w:sz w:val="16"/>
          <w:szCs w:val="16"/>
        </w:rPr>
      </w:pPr>
    </w:p>
    <w:p w14:paraId="14DD1A0C"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года Постановлением ГКО радиолокатор "Гнейс-2" был принят на вооружение. НИИ-20 изготовило для ВВС в 1943 году 227 комплектов "Гнейс-2". Разработка первого самолетного радиолокатора "Гнейс-2" проводилась НИИ-20 в эвакуации. О зарубежных аналогах сведений у института, в виду особой секретности этой техники, не было. Учитывая настоятельные требования истребительной авиации в самолетной радиолокационной аппаратуре, разработка РЛС "Гнейс-2" институтом была завершена в рекордно короткие сроки. В виду отсутствия технических возможностей РЛС "Гнейс-2" была разработана в полутораметровом диапазоне радиоволн. Импульсный генератор УКВ развивал мощность в антенне до 10 кВт при длительности импульса 2 — 2,5 с и частоте посылок 900 Гц. Создание радиолокатора "Гнейс-2" было исключительно трудной задачей. Требования к минимально возможным массе габаритам; необходима была нейтрализация воздействия плоскостей, фюзеляжа, пропеллера, аэродинамических воздействий и т.п. В дальнейшем институтом была выполнена модификация радиолокатора и он был известен как "Гнейс-2м". В годы войны с радиолокаторами "Гнейс-2" было сформировано два полка особого назначения в составе 56-й авиадивизии АДД. Эффективно использовались радиолокаторы "Гнейс-2" и в морской авиации. Эта станция авлялась первым в Советском Союзе радиолокатором, принятым на вооружение авиационных частей ВМФ. Разработка "Гнейе-2", "Гнейс-2м" велась под руководством В.В.Тихомирова и А.А.Фина. Наиболее активное участие в разработке принимали П.М.Белов, Б.Н.Берсонев, Р.С.Буданов, Н.А.Викторов, И.И.Вольман, А.Р.Вольперт, А.А.Ганеев, В.А.Говядинов, А.П.Земнорей, Г.А.Зонненштраль, АА.Крюков, Н.НЛихвинцев, М.З.Мальцев, Э.М.Манукян, Л.В.Петлис, Р.И.Перец, П.В.Подгор-нов, А.И.Потехин» А.И.Узков, К.В.Филатов. Авторам РЛС "Гнейс-2" Тихомирову, Буданову, Вольперту, Викторову в 1946 году была присуждена Государственная премия. РЛС института "Гнейс-5" и "Гнейс-5м" обладали исключительно высокими характеристиками. Например, дальность действия этих РЛС в два раза превышала дальность действия РЛС "Гнейс-2". В 1945 году 86 комплектов РЛС "Гнейс-5м" было изготовлено опытным заводам НИИ-20 и направлено непосредственно в части морской авиации...Для сухопутных войск была разработана РЛС " Гнейс -5с", серийное производство которой осуществлял завод № 339. Разработка РЛС "Гнейс-5" проводилась под руководством В.В.Тихомирова и Г.А.Зонненштраля, "Гнейс-5м" — под руководством Р.И.Переца. В разработках участвовали: Ю.К. Адель, С.С.Андриевский, В.И.Бобков, Е.Я.Богуславский, Р.С.Буданов, И.И.Вольман, В.А.Говядинов, А.П.Земнорей, Н.Н.Лихвинцев, М.З.Махлин, Э.М.Манукян, П.В.Подгорнов, А.И.Потехин и В.Ф.Шумских (10737).</w:t>
      </w:r>
    </w:p>
    <w:p w14:paraId="013D033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B1526A"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59B3628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D7DF53"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ГГКО издал постановление №383-с «О мерах быстрейшего восстановления Горьковского автозавода им. Молотова». В постановлении говорилось:</w:t>
      </w:r>
    </w:p>
    <w:p w14:paraId="619F4220"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«Одобряя инициативу, проявленную заводом №92, и согласие директоров заводов об оказании помощи в быстрейшем восстановлении Горьковского автозавода им. Молотова, Горьковский Комитет Обороны постановляет:</w:t>
      </w:r>
    </w:p>
    <w:p w14:paraId="35B8B0B3"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Обязать директоров всех промышленных предприятий, управляющих снабов и контор передать в трехдневный срок автозаводу им. Молотова из наличия электрокабельную продукцию, материалы и изделия для материально-технического обеспечения восстановительных работ Автозавода по заявкам и спецификациям ГАЗа.</w:t>
      </w:r>
    </w:p>
    <w:p w14:paraId="095F8C29"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Принять к сведению заявление директора завода №92 т. Елян, что он силами своего завода до 15 июля 1943 года восстановит производственные корпуса кузницы №3 и паровой кузницы Автозавода и произведет ремонт кранов и подкрановых путей этих цехов.</w:t>
      </w:r>
    </w:p>
    <w:p w14:paraId="3190BF29"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 целях быстрейшего восстановления других объектов Автозавода и оборудования обязать директоров предприятий:</w:t>
      </w:r>
    </w:p>
    <w:p w14:paraId="19025F90"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Директора завода №112 т. Рубинчика – изготовить силами своего завода для колесного цеха автозавода им. Молотова 105 шт. металлоконструкций, пролетами 12-18 и </w:t>
      </w:r>
      <w:smartTag w:uri="urn:schemas-microsoft-com:office:smarttags" w:element="metricconverter">
        <w:smartTagPr>
          <w:attr w:name="ProductID" w:val="1945 г"/>
        </w:smartTagPr>
        <w:smartTag w:uri="urn:schemas-microsoft-com:office:smarttags" w:element="metricconverter">
          <w:smartTagPr>
            <w:attr w:name="ProductID" w:val="1945 г"/>
          </w:smartTagPr>
          <w:r w:rsidRPr="00D03F3E">
            <w:rPr>
              <w:rFonts w:ascii="Times New Roman" w:hAnsi="Times New Roman"/>
              <w:color w:val="000000" w:themeColor="text1"/>
              <w:sz w:val="16"/>
              <w:szCs w:val="16"/>
            </w:rPr>
            <w:t>24 метр</w:t>
          </w:r>
        </w:smartTag>
        <w:r w:rsidRPr="00D03F3E">
          <w:rPr>
            <w:rFonts w:ascii="Times New Roman" w:hAnsi="Times New Roman"/>
            <w:color w:val="000000" w:themeColor="text1"/>
            <w:sz w:val="16"/>
            <w:szCs w:val="16"/>
          </w:rPr>
          <w:t>а</w:t>
        </w:r>
      </w:smartTag>
      <w:r w:rsidRPr="00D03F3E">
        <w:rPr>
          <w:rFonts w:ascii="Times New Roman" w:hAnsi="Times New Roman"/>
          <w:color w:val="000000" w:themeColor="text1"/>
          <w:sz w:val="16"/>
          <w:szCs w:val="16"/>
        </w:rPr>
        <w:t>, а также восстановить краны колесного цеха в количестве 5 шт. и прессового цеха в количестве 3 шт. Передать автозаводу один железнодорожный кран.</w:t>
      </w:r>
    </w:p>
    <w:p w14:paraId="0B18DEB9"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Директора завода №113 т. Рябова – передать Автозаводу имеющиеся в наличии металлоконструкции и отремонтировать 200 единиц металлорежущих станков с выдачей – в июне 50 станков, в июле 50 станков и в августе 10 станков. На период производства ремонта оборудования в помощь заводу №113 направить с Автозавода 200 чел. рабочей силы.</w:t>
      </w:r>
    </w:p>
    <w:p w14:paraId="542516A7"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Директора Горьковского металлургического завода т. Молькова – передать все наличие металлоконструкций (фермы, прогоны, переплеты), находящееся на законсервированном строительном цехе.</w:t>
      </w:r>
    </w:p>
    <w:p w14:paraId="2DE2EE65"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Директора завода им. Ленина т. Беляева – отремонтировать пусковую электроаппаратуру для станков по спецификации ГАЗа. Проложить из своего материала кабель, питающий фидер завода им. Ленина – Автозавод.</w:t>
      </w:r>
    </w:p>
    <w:p w14:paraId="75E0577A"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Обязать директоров заводов: №92 – т. Еляна, №112 – т. Рубинчика, им. Ленина – т. Беляева, №80 – т. Смирнова, Чернореченского химзавода – т. Климахина, №113 – т. Рябова произвести ремонт электромоторов для автозавода им. Молотова в количестве и в сроки согласно приложению №….</w:t>
      </w:r>
    </w:p>
    <w:p w14:paraId="3A88EBC4"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Обязать директоров заводов: Выксунского металлургического – т. Соболева, Кулебакского металлургического – т. Скиба, Горьковского металлургического – т. Молькова, завода №112 – т. Рубинчика поставить автозаводу им. Молотова сортовой и листовой металл в количествах и в сроки согласно приложению №2.</w:t>
      </w:r>
    </w:p>
    <w:p w14:paraId="31C98F34"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Предложить директору стеклозавода им. Горького т. Артемьеву немедленно выдать ГАЗу весь наличный запас оконного и фонарного стекла, а также изготовить вновь стекла для Автозавода: в июне – 3-х мм</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50 000 м²</w:t>
        </w:r>
      </w:smartTag>
      <w:r w:rsidRPr="00D03F3E">
        <w:rPr>
          <w:rFonts w:ascii="Times New Roman" w:hAnsi="Times New Roman"/>
          <w:color w:val="000000" w:themeColor="text1"/>
          <w:sz w:val="16"/>
          <w:szCs w:val="16"/>
        </w:rPr>
        <w:t xml:space="preserve">, </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5 мм</w:t>
        </w:r>
      </w:smartTag>
      <w:smartTag w:uri="urn:schemas-microsoft-com:office:smarttags" w:element="metricconverter">
        <w:smartTagPr>
          <w:attr w:name="ProductID" w:val="1945 г"/>
        </w:smartTagPr>
        <w:r w:rsidRPr="00D03F3E">
          <w:rPr>
            <w:rFonts w:ascii="Times New Roman" w:hAnsi="Times New Roman"/>
            <w:color w:val="000000" w:themeColor="text1"/>
            <w:sz w:val="16"/>
            <w:szCs w:val="16"/>
          </w:rPr>
          <w:t>-30 000 м²</w:t>
        </w:r>
      </w:smartTag>
      <w:r w:rsidRPr="00D03F3E">
        <w:rPr>
          <w:rFonts w:ascii="Times New Roman" w:hAnsi="Times New Roman"/>
          <w:color w:val="000000" w:themeColor="text1"/>
          <w:sz w:val="16"/>
          <w:szCs w:val="16"/>
        </w:rPr>
        <w:t xml:space="preserve">; в июле соответственно – </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80 000 м²</w:t>
        </w:r>
      </w:smartTag>
      <w:r w:rsidRPr="00D03F3E">
        <w:rPr>
          <w:rFonts w:ascii="Times New Roman" w:hAnsi="Times New Roman"/>
          <w:color w:val="000000" w:themeColor="text1"/>
          <w:sz w:val="16"/>
          <w:szCs w:val="16"/>
        </w:rPr>
        <w:t xml:space="preserve"> и </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40 000 м²</w:t>
        </w:r>
      </w:smartTag>
      <w:r w:rsidRPr="00D03F3E">
        <w:rPr>
          <w:rFonts w:ascii="Times New Roman" w:hAnsi="Times New Roman"/>
          <w:color w:val="000000" w:themeColor="text1"/>
          <w:sz w:val="16"/>
          <w:szCs w:val="16"/>
        </w:rPr>
        <w:t xml:space="preserve">; в августе – </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30 000 м²</w:t>
        </w:r>
      </w:smartTag>
      <w:r w:rsidRPr="00D03F3E">
        <w:rPr>
          <w:rFonts w:ascii="Times New Roman" w:hAnsi="Times New Roman"/>
          <w:color w:val="000000" w:themeColor="text1"/>
          <w:sz w:val="16"/>
          <w:szCs w:val="16"/>
        </w:rPr>
        <w:t xml:space="preserve"> и </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50 000 м²</w:t>
        </w:r>
      </w:smartTag>
      <w:r w:rsidRPr="00D03F3E">
        <w:rPr>
          <w:rFonts w:ascii="Times New Roman" w:hAnsi="Times New Roman"/>
          <w:color w:val="000000" w:themeColor="text1"/>
          <w:sz w:val="16"/>
          <w:szCs w:val="16"/>
        </w:rPr>
        <w:t>.</w:t>
      </w:r>
    </w:p>
    <w:p w14:paraId="1C877EEE"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Предложить директору ЧХЗ им Калинина т. Климахину на период восстановительных работ ежедневно выделять ГАЗу по 2 тонны карбида.</w:t>
      </w:r>
    </w:p>
    <w:p w14:paraId="151D3D6A"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Обязать директоров заводов: Муромского фанерного – т. Гурова, Мантуровского фанерного – т. Михайлова выделить для ГАЗа по 75 кбм некондиционной фанеры.</w:t>
      </w:r>
    </w:p>
    <w:p w14:paraId="1DC9D3E4"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Обязать начальника Горьковской конторы Главлесснаб т. Сигалевича и начальника Унжлага НКВД т. Автономова отгрузить ГАЗу строительные материалы в сроки и количествах, согласно приложению №3.</w:t>
      </w:r>
    </w:p>
    <w:p w14:paraId="62D29723"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Обязать управляющего Горьковской областной конторой Главнефтеснаба т. Тупицына и директора завода №18 т. Спиридонова выдать Автозаводу нефтебитума в сухом виде 200 тонн до 1 июля и 100 тонн до 10 июля 1943 года.</w:t>
      </w:r>
    </w:p>
    <w:p w14:paraId="43FCF43A"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Обязать директора завода асфальтово-кровельных материалов т. Ларина срочно организовать производство и снабжение восстановительных работ на ГАЗе кровельными плитами и изоляционным картоном согласно заявок и спецификаций Автозавода.</w:t>
      </w:r>
    </w:p>
    <w:p w14:paraId="5A323F18"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Предложить начальнику облуправления трудовых резервов т. Андрееву загрузить мастерские РУ и школ ФЗО заказами Автозавода и организовать производственную практику учащихся на объектах восстановления Автозавода и Соцгорода.</w:t>
      </w:r>
    </w:p>
    <w:p w14:paraId="54AB5662"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13. Обязать директоров заводов: №92 – т. Еляна, №112 – т. Рубинчика, №96 – т. Кагановича, №718 – т. Никулина, ЧХЗ – т. Климахина срочно выделить Автозаводу </w:t>
      </w:r>
      <w:r w:rsidRPr="00D03F3E">
        <w:rPr>
          <w:rFonts w:ascii="Times New Roman" w:hAnsi="Times New Roman"/>
          <w:color w:val="000000" w:themeColor="text1"/>
          <w:sz w:val="16"/>
          <w:szCs w:val="16"/>
        </w:rPr>
        <w:lastRenderedPageBreak/>
        <w:t>максимально возможное количество кислородных и ацетиленовых баллонов.</w:t>
      </w:r>
    </w:p>
    <w:p w14:paraId="4C1DBF33"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Поручить председателю исполкома Горьковского горсовета т. Шульпину обязать городские тресты (Гордорстрой, трест водоканал, Горстройтрест и др.) оказать практическую помощь Автозаводу в ремонтно-восстановительных работах по Соцгороду и поселкам по согласованию с Автозаводом и исполкомом Автозаводского райсовета.</w:t>
      </w:r>
    </w:p>
    <w:p w14:paraId="2C3CD9F3"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Обязать облплан – т. Николаева и управление местных стройматериалов – т. Сальцева для выполнения аварийных строительных работ обеспечить ОСМЧ «Стройгаз №2» и Автозавод необходимыми строительными материалами в количествах и в сроки согласно приложению №4.</w:t>
      </w:r>
    </w:p>
    <w:p w14:paraId="358211A0"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Обязать Горместпром – т. Переугомонова, обллегпром – т. Лупачека, уполномоченного управления промкооперации – т. Петрушева, трест «Росинструмент» – т. Купач, директора Горьковского металлургического завода – т. Молькова изготовить и поставить ОСМЧ «Стройгаз №2» и Автозаводу в течение июня и июля месяцев хозинвентарь, пошивочные изделия и прочие вспомогательные материалы в количествах согласно приложению №5.</w:t>
      </w:r>
    </w:p>
    <w:p w14:paraId="59EAF280"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Обязать начальника Верхне-Волжского речного пароходства т. Вахтурова:</w:t>
      </w:r>
    </w:p>
    <w:p w14:paraId="25660E5D"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Предоставить паротягу и тоннаж, а также обеспечить внеочередную перевозку всех грузов и строительных материалов, направляемых в адрес ГАЗа и ОСМЧ «Стройгаз №2».</w:t>
      </w:r>
    </w:p>
    <w:p w14:paraId="5741D4E9"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Организовать в Автозаводском порту участок порта ВВРП по всем видам грузовых операций с доставкой всех грузов, поступающих в адрес Автозавода и «Стройгаз №2», непосредственно в порт ГАЗа.</w:t>
      </w:r>
    </w:p>
    <w:p w14:paraId="1391C14B"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Обязать начальника Горьковской железной дороги т. Соколинского:</w:t>
      </w:r>
    </w:p>
    <w:p w14:paraId="59B11B22"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На период восстановительных работ закрепить за Автозаводом и ОСМЧ «Стройгаз №2» две постоянно действующие вертушки по 60 вагонов каждая с курсированием по 2-му и 3-му отделениям Горьковской железной дороги;</w:t>
      </w:r>
    </w:p>
    <w:p w14:paraId="7A6ACCBA"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Оказать техническую помощь Автозаводу в ремонте ж.д. путей и подвижного состава, а также внеочередным выделением подвижного состава для грузов, идущих в адрес ГАЗа и ОСМЧ «Стройгаз №2».</w:t>
      </w:r>
    </w:p>
    <w:p w14:paraId="6E3CF28E"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19. В связи с переадресовкой следовавшего в адрес Автозавода хвойного пиловочника в количестве </w:t>
      </w:r>
      <w:smartTag w:uri="urn:schemas-microsoft-com:office:smarttags" w:element="metricconverter">
        <w:smartTagPr>
          <w:attr w:name="ProductID" w:val="1945 г"/>
        </w:smartTagPr>
        <w:r w:rsidRPr="00D03F3E">
          <w:rPr>
            <w:rFonts w:ascii="Times New Roman" w:hAnsi="Times New Roman"/>
            <w:color w:val="000000" w:themeColor="text1"/>
            <w:sz w:val="16"/>
            <w:szCs w:val="16"/>
          </w:rPr>
          <w:t>5000 м³</w:t>
        </w:r>
      </w:smartTag>
      <w:r w:rsidRPr="00D03F3E">
        <w:rPr>
          <w:rFonts w:ascii="Times New Roman" w:hAnsi="Times New Roman"/>
          <w:color w:val="000000" w:themeColor="text1"/>
          <w:sz w:val="16"/>
          <w:szCs w:val="16"/>
        </w:rPr>
        <w:t xml:space="preserve"> Бумкомбинату, предложить директору Бумкомбината т. Извекову передать на восстановительные работы для ГАЗа плот с древесиной в количестве 1,8 тысяч кубометров, находящийся на реке Оке в районе Мызы.</w:t>
      </w:r>
    </w:p>
    <w:p w14:paraId="33321C82"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Обязать управляющего Горэнерго т. Захарова обеспечить электроэнергией предприятия, получившие задания по восстановительным работам для ГАЗа, согласно настоящему постановлению.</w:t>
      </w:r>
    </w:p>
    <w:p w14:paraId="247C88DC"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Просить СНК СССР санкционировать мероприятия по восстановлению автозавода им. Молотова.</w:t>
      </w:r>
    </w:p>
    <w:p w14:paraId="589B2D66"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Председатель Горьковского</w:t>
      </w:r>
    </w:p>
    <w:p w14:paraId="542974D9"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Комитета Обороны (М. Родионов)» (15218).</w:t>
      </w:r>
    </w:p>
    <w:p w14:paraId="55749E05" w14:textId="77777777" w:rsidR="00080912" w:rsidRPr="00D03F3E" w:rsidRDefault="00080912" w:rsidP="00D03F3E">
      <w:pPr>
        <w:widowControl w:val="0"/>
        <w:spacing w:after="0" w:line="240" w:lineRule="auto"/>
        <w:jc w:val="both"/>
        <w:rPr>
          <w:rFonts w:ascii="Times New Roman" w:hAnsi="Times New Roman"/>
          <w:color w:val="000000" w:themeColor="text1"/>
          <w:sz w:val="16"/>
          <w:szCs w:val="16"/>
        </w:rPr>
      </w:pPr>
    </w:p>
    <w:p w14:paraId="75DF02F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16 июня 1943 завод № 9 отчитался о сдаче трех орудий С-31. На первом орудии при пробном отстреле вы</w:t>
      </w:r>
      <w:r w:rsidRPr="00D03F3E">
        <w:rPr>
          <w:rFonts w:ascii="Times New Roman" w:hAnsi="Times New Roman"/>
          <w:color w:val="000000" w:themeColor="text1"/>
          <w:sz w:val="16"/>
          <w:szCs w:val="16"/>
        </w:rPr>
        <w:softHyphen/>
        <w:t>шел из строя накатник. Орудие было отправлено на ремонт, накатники же двух других пушек были усилены (11135).</w:t>
      </w:r>
    </w:p>
    <w:p w14:paraId="07811C0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1C831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вышло Распоряжение ГКО № 3589. Об изменении параметров хромистых заготовок для НКБ и перевозке кислорода.РГАНИР, Фонд ГКО, д. 127, лл. 1 (11012).</w:t>
      </w:r>
    </w:p>
    <w:p w14:paraId="03DF028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71770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вышло Постановление ГКО № 3590 О перевозках соли для снабжения населения и создания необходимых запасов.РГАНИР, Фонд ГКО, д. 127, лл. 2-3 (11012).</w:t>
      </w:r>
    </w:p>
    <w:p w14:paraId="24EFE39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FA08F8"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вышло Постановление ГКО № 3591 О мероприятиях по обеспечению перевозок импортных грузов, следующих через Иран в СССР. (7116, 4-8,9-25).</w:t>
      </w:r>
    </w:p>
    <w:p w14:paraId="1036DD06"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C9FB3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вышло Постановление ГКО № 3592 О местной противовоздушной обороне.РГАНИР, Фонд ГКО, д. 127, лл. 26-31, 32 (11012).</w:t>
      </w:r>
    </w:p>
    <w:p w14:paraId="16B7EE4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3D36EB"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вышло Постановление ГКО № 3593 О развитии прямоточного котлостроения в СССР. (7116, 33-35,36-52).</w:t>
      </w:r>
    </w:p>
    <w:p w14:paraId="2C70AB64"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6BE2E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вышло Постановление ГКО № 3595 О мерах первоочередной помощи по восстановлению цехов на Горьковском автозаводе Наркомсредмаша.РГАНИР, Фонд ГКО, д. 127, лл. 83-85, 86-99 (11012).</w:t>
      </w:r>
    </w:p>
    <w:p w14:paraId="3AEBE3D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90DD78"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вышло Постановление ГКО № 3596 О мероприятиях по увеличению выпуска телеграфных аппаратов СТ-35 и организации производства шифровальных машин К-37. (7116, 100-101,102).</w:t>
      </w:r>
    </w:p>
    <w:p w14:paraId="7E8CEBB4"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3B518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вышло Распоряжение ГКО № 3597. О выплате подъемных рабочим и служащим завода "Красный Октябрь", реэвакуируемым в СталинграРГАНИР, Фонд ГКО, д. РГАНИР, Фонд ГКО, д. 127, лл. 103 (11012).</w:t>
      </w:r>
    </w:p>
    <w:p w14:paraId="21B45D2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655271" w14:textId="77777777" w:rsidR="005F634D" w:rsidRPr="00D03F3E" w:rsidRDefault="005F63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акт о передаче Т-34 и КВ подписали и.о. уполномоченного Наркомвнешторга Б.Н. Повалишин с советской стороны и и.о. коменданта базы №126 майор А. Дж. Рийс с британской.</w:t>
      </w:r>
    </w:p>
    <w:p w14:paraId="0D188D46" w14:textId="77777777" w:rsidR="005F634D" w:rsidRPr="00D03F3E" w:rsidRDefault="005F63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Дорога была длинной: Т-34 прибыл в Школу танковых технологий в Военном научном колледже в Чертси 22 ноября 1943 года. Руководство по эксплуатации для танка прибыло несколько раньше, и у англичан был время его перевести. Британские танкисты изучили танк, насколько это можно было сделать без разборки крупных агрегатов (за исключением двигателя), и к февралю 1944 года подготовили довольно внушительный предварительный доклад о танке. Тем временем ошибочная информация о танке всё ещё находилась в обороте. Например, разведывательный отдел 8-й армии уже в декабре 1943 года получил информацию из немецких источников о том, что лобовая броня имеет толщину 55 мм и установлена под углом 70° от вертикали.</w:t>
      </w:r>
    </w:p>
    <w:p w14:paraId="01F07034" w14:textId="77777777" w:rsidR="005F634D" w:rsidRPr="00D03F3E" w:rsidRDefault="005F634D"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отчёте из Чертси отмечалось, что танк эволюционировал из машин Кристи, но советская ветка развития пошла в другую сторону. По словам британцев, в основу концепции Т-34 легли «простота конструкции, большая универсальная пушка, крепкая броня и, самое главное, возможность массового выпуска в условиях дефицита ресурсов, оборудования и высококвалифицированной рабочей силы». По словам британских специалистов, некоторые детали танка не получили должного внимания по сравнению с британскими машинами, но советские конструкторы трезво оценили самые важные качества машины (18249).</w:t>
      </w:r>
    </w:p>
    <w:p w14:paraId="000D3018" w14:textId="77777777" w:rsidR="005F634D" w:rsidRPr="00D03F3E" w:rsidRDefault="005F634D" w:rsidP="00D03F3E">
      <w:pPr>
        <w:spacing w:after="0" w:line="240" w:lineRule="auto"/>
        <w:jc w:val="both"/>
        <w:rPr>
          <w:rFonts w:ascii="Times New Roman" w:hAnsi="Times New Roman"/>
          <w:color w:val="000000" w:themeColor="text1"/>
          <w:sz w:val="16"/>
          <w:szCs w:val="16"/>
        </w:rPr>
      </w:pPr>
    </w:p>
    <w:p w14:paraId="14FABADA"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71DEF52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700911"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16 июня</w:t>
      </w:r>
      <w:r w:rsidRPr="00D03F3E">
        <w:rPr>
          <w:rFonts w:ascii="Times New Roman" w:hAnsi="Times New Roman"/>
          <w:color w:val="000000" w:themeColor="text1"/>
          <w:sz w:val="16"/>
          <w:szCs w:val="16"/>
        </w:rPr>
        <w:t xml:space="preserve"> в 1943 году утреннее сообщение Совинформбюро:</w:t>
      </w:r>
    </w:p>
    <w:p w14:paraId="121880E9"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16 июня на фронте ничего существенного не произошло.</w:t>
      </w:r>
    </w:p>
    <w:p w14:paraId="511612CE"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участке Западного фронта разведывательный отряд противника пытался атаковать наши позиции. Пулемётные расчёты тт. Шумнова, Климочкина, Азимова и Заводного встретили гитлеровцев сосредоточенным огнём. Потеряв несколько десятков солдат убитыми, немцы откатились на исходные рубежи.</w:t>
      </w:r>
    </w:p>
    <w:p w14:paraId="56DC5076"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Мценска наши лётчики в воздушных боях сбили 3 немецких самолёта. Кроме того, ещё один самолёт противника уничтожен огнём зенитной артиллерии.</w:t>
      </w:r>
    </w:p>
    <w:p w14:paraId="5D07A0B9"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пехота противника пыталась боем разведать наши позиции. Не достигнув переднего края советской обороны, гитлеровцы были рассеяны. Уничтожено до 80 немецких солдат и офицеров.</w:t>
      </w:r>
    </w:p>
    <w:p w14:paraId="08ADBB97"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гвардейцы-миномётчики Н-ской части разрушили 5 немецких блиндажей и уничтожили миномётную батарею. Группа разведчиков пробралась в тыл врага, уничтожила охрану и взорвала артиллерийский склад противника.</w:t>
      </w:r>
    </w:p>
    <w:p w14:paraId="0C02564B"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отряд разведчиков под командованием капитана т. Караваева проник в расположение противника и забросал ручными гранатами немецкие блиндажи. Истребив несколько десятков гитлеровцев и захватив пленных, разведчики без потерь вернулись в свою часть. Лётчики Н-ской части ночью атаковали скопление танков противника. Отмечены прямые попадания. B воздушных боях сбито 4 немецких самолёта.</w:t>
      </w:r>
    </w:p>
    <w:p w14:paraId="50B524D5"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Каменец-Подольской области, разгромил немецкий гарнизон. Партизаны убили 30 гитлеровцев, взорвали два моста и разрушили телефонно-телеграфную связь. Группа партизан-подрывников пустила под откос немецкий воинский эшелон, следовавший на фронт. Другая группа партизан захватила две немецких автомашины с военными грузами.</w:t>
      </w:r>
    </w:p>
    <w:p w14:paraId="5052D1F3"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Немецко-фашистские мерзавцы разорили города и рабочие посёлки Донбасса, замучили и убили тысячи мирных жителей. Фашистские разбойники дочиста ограбили посёлок Петровку (район города Сталино). Многих жителей этого посёлка немцы насильно угнали на каторгу в Германию. Недавно в Петровку вернулись из Германии 7 девушек. Даже родные и близкие не узнали их. Год назад эти девушки, здоровые и цветущие, были насильно увезены в Германию и водворены в публичные дома. Немецкие рабовладельцы изуродовали и замучили советских девушек, растоптали и погубили их молодость. Все вернувшиеся тяжело больны. Одна из них — </w:t>
      </w:r>
      <w:r w:rsidRPr="00D03F3E">
        <w:rPr>
          <w:rFonts w:ascii="Times New Roman" w:hAnsi="Times New Roman"/>
          <w:color w:val="000000" w:themeColor="text1"/>
          <w:sz w:val="16"/>
          <w:szCs w:val="16"/>
        </w:rPr>
        <w:lastRenderedPageBreak/>
        <w:t>Екатерина П., 23 лет от роду, до войны была учительницей в начальной школе. Фашистские мерзавцы увезли её в публичный дом во Франкфурт-на-Майне. Больную и искалеченную учительницу гитлеровцы теперь отправили на родину умирать. Одновременно с девушками приехала группа подростков, которые, пробыв несколько месяцев в Германии, превратились в инвалидов и были выброшены фашистскими рабовладельцами за ненадобностью. Советский народ никогда не забудет всех этих злодеяний немцев и отомстит за все страдания и мученья, пережитые нашими людьми.</w:t>
      </w:r>
    </w:p>
    <w:p w14:paraId="144D3790"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Польские патриоты на участке Пиотркув—Колюшки взорвали железнодорожный мост и пустили под откос немецкий поезд. Отряд партизан совершил налёт на станцию Пулавы и разрушил все станционные сооружения. Патриоты громят и уничтожают немецкие бюро труда, занимающиеся насильственной отправкой поляков в фашистскую неволю. В Любартове группа поляков сожгла все списки бюро труда и убила несколько немецких жандармов. В Островецком районе убито несколько гитлеровских чиновников и агентов гестапо.» (14924).</w:t>
      </w:r>
    </w:p>
    <w:p w14:paraId="71595272" w14:textId="77777777" w:rsidR="00080912" w:rsidRPr="00D03F3E" w:rsidRDefault="00080912" w:rsidP="00D03F3E">
      <w:pPr>
        <w:spacing w:after="0" w:line="240" w:lineRule="auto"/>
        <w:jc w:val="both"/>
        <w:rPr>
          <w:rFonts w:ascii="Times New Roman" w:hAnsi="Times New Roman"/>
          <w:color w:val="000000" w:themeColor="text1"/>
          <w:sz w:val="16"/>
          <w:szCs w:val="16"/>
        </w:rPr>
      </w:pPr>
    </w:p>
    <w:p w14:paraId="0ABCD607"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16 июня</w:t>
      </w:r>
      <w:r w:rsidRPr="00D03F3E">
        <w:rPr>
          <w:rFonts w:ascii="Times New Roman" w:hAnsi="Times New Roman"/>
          <w:color w:val="000000" w:themeColor="text1"/>
          <w:sz w:val="16"/>
          <w:szCs w:val="16"/>
        </w:rPr>
        <w:t xml:space="preserve"> в 1943 году вечернее сообщение Совинформбюро:</w:t>
      </w:r>
    </w:p>
    <w:p w14:paraId="096B92B4"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16 июня на фронте существенных изменений не произошло.</w:t>
      </w:r>
    </w:p>
    <w:p w14:paraId="7EE7B3CA"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Нашей авиацией в Чёрном море потоплена немецкая подводная лодка, в Баренцевом море потоплены танкер и транспорт противника.</w:t>
      </w:r>
    </w:p>
    <w:p w14:paraId="19E959A0"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истребили до 400 немецких солдат и офицеров. Огнём артиллерии уничтожены 3 орудия, миномётная батарея, 5 пулемётов и огнемёт противника. На одном участке разведывательный отряд Н-ской части ворвался во вражеские траншеи и уничтожил до 70 гитлеровцев. Захватив пленных, разведчики вернулись в свою часть.</w:t>
      </w:r>
    </w:p>
    <w:p w14:paraId="282011BD"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воздушном бою наши лётчики сбили 3 немецких самолёта.</w:t>
      </w:r>
    </w:p>
    <w:p w14:paraId="7155457E"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Жиздры противник силою до батальона пехоты пытался вести разведку боем. Вначале гитлеровцам удалось потеснить наше боевое охранение и ворваться в передовые траншеи. Бойцы Н-ской части контрударом вышибли немцев из траншей и полностью восстановили положение. В этом бою уничтожено до 160 солдат и офицеров противника.</w:t>
      </w:r>
    </w:p>
    <w:p w14:paraId="6F57D7B3"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Мценска с утра противник вновь возобновил атаки, пытаясь вернуть потерянные им населённые пункты. Захваченные в плен немецкие солдаты показывают, что им была поставлена задача любой ценой восстановить положение. Наши бойцы в течение всего дня отбивали ожесточённые атаки гитлеровцев и прочно удерживали занятые позиции. Нанесены серьёзные потери в живой силе и технике трём батальонам противника. Огнём нашей полевой и зенитной артиллерии уничтожено 5 танков и сбито 4 немецких самолёта.</w:t>
      </w:r>
    </w:p>
    <w:p w14:paraId="17FAE1A5"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наша артиллерия обстреливала скопления войск и обозы противника. На одном участке истреблено два взвода гитлеровцев, уничтожено орудие, 5 пулемётных точек, большое число автомашин и повозок с грузами.</w:t>
      </w:r>
    </w:p>
    <w:p w14:paraId="0EAF34E9"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наши разведывательные группы и снайперы истребили более 100 немецких солдат и офицеров. Огнём артиллерии уничтожено 2 орудия, 4 пулемёта, разрушено два дзота, рассеяно и частью уничтожено до роты пехоты противника.</w:t>
      </w:r>
    </w:p>
    <w:p w14:paraId="728D8A6F"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лётчиками и огнём зенитной артиллерии сбито 3 немецких самолёта.</w:t>
      </w:r>
    </w:p>
    <w:p w14:paraId="3B04C294"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подразделения истребили до 120 немецких солдат и офицеров. Артиллерийским огнём разрушено 12 дзотов, подавлено 7 артиллерийско-миномётных батарей и 11 отдельных орудий противника. Снайпер т. Столярова за день истребила четырёх гитлеровцев, снайпер т. Сухова уничтожила трёх немцев.</w:t>
      </w:r>
    </w:p>
    <w:p w14:paraId="40A98427"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Украины, внезапно напал на немецкий гарнизон в крупном населённом пункте. Партизаны истребили до 60 гитлеровцев и захватили пленных. В этом бою партизан Семён убил трёх немцев, партизаны Антон и Сидор уничтожили по 5 гитлеровцев каждый. Взорван склад боеприпасов и военного имущества противника. Группа партизан-подрывников этого же отряда пустила под откос два немецких железнодорожных эшелона. Уничтожено 2 паровоза, 14 вагонов и 9 платформ с военными грузами.</w:t>
      </w:r>
    </w:p>
    <w:p w14:paraId="423FA495"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солдат 21 немецкой авиаполевой дивизии Вальтер З. рассказал: «Положение в Германии резко ухудшилось. Поражения немецких войск на Восточном фронте и в Северной Африке породили у многих немцев неверие в победу Германии. Немецкие газеты усердно расписывают укрепления, возведённые Германией в оккупированных странах. Однако никто не верит в эту шумиху, и все стревогой ждут надвигающихся событий. В связи с участившимися воздушными налётами англо-американской авиации на германские города население начинает выражать недовольство войной. В Эссене после одного налёта произошли волнения. Многолюдная толпа разгромила помещение бюро труда. Уничтожены все списки, карточки и документы. Тем самым была сорвана мобилизация нескольких тысяч жителей на работу в военной промышленности. В апреле и мае гестапо произвело в Берлине, Эссене и других городах массовые аресты».</w:t>
      </w:r>
    </w:p>
    <w:p w14:paraId="1E99CEDC" w14:textId="77777777" w:rsidR="00080912" w:rsidRPr="00D03F3E" w:rsidRDefault="0008091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Парнаса (Греция) греческие партизаны вели ожесточённые бои против крупных итальянских частей. Оккупанты разбиты и обращены в бегство. 580 итальянских солдат с полным вооружением сдались в плен партизанам. На остров еКрит греческие патриоты убили трёх фашистских чиновников.» (14924).</w:t>
      </w:r>
    </w:p>
    <w:p w14:paraId="0DA18286" w14:textId="77777777" w:rsidR="00080912" w:rsidRPr="00D03F3E" w:rsidRDefault="00080912" w:rsidP="00D03F3E">
      <w:pPr>
        <w:spacing w:after="0" w:line="240" w:lineRule="auto"/>
        <w:jc w:val="both"/>
        <w:rPr>
          <w:rFonts w:ascii="Times New Roman" w:hAnsi="Times New Roman"/>
          <w:color w:val="000000" w:themeColor="text1"/>
          <w:sz w:val="16"/>
          <w:szCs w:val="16"/>
        </w:rPr>
      </w:pPr>
    </w:p>
    <w:p w14:paraId="081915C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с 16 по 23 июня 1943 была проведенная проверка 266-й шад 1-го шак, которая показала, что командный состав штаба дивизии "не знает навыков в выполнении своих функциональных обязанностей, ...мало уделяет внимания наставлениям по полевой службе штабов Красной Армии и по боевым действиям штурмовой авиации, ...регулярные занятия командиров штабов частей отсутствуют".</w:t>
      </w:r>
    </w:p>
    <w:p w14:paraId="4565A85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это приводило к "низкому качеству организации занятий с офицерским и сержантским составом, неумению совместить боевую подготовку параллельно с боевыми действиями в сложных условиях боевой обстановки".</w:t>
      </w:r>
    </w:p>
    <w:p w14:paraId="67F725A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следствие, шаблон в тактике боевого применения штурмовой авиации, "при котором командиры не ищут новых тактических форм борьбы с противником, а действуют по раз установленной форме ...независимо от воздушной и наземной обстановки, без учета характера цели, системы П ВО противника, условий местности и погоды". Отсюда и те огромные потери в летном составе и самолетах, которые понесли штурмовые авиадивизии и корпуса в операциях летней кампании.</w:t>
      </w:r>
    </w:p>
    <w:p w14:paraId="0F6B9B8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Анализ боевых потерь штурмовой авиации в период май-июль 1943 г., показывает, что свыше 69% потерь понесли молодые летчики, имеющие малый боевой опыт. "Молодым" летчиком в штурмовой авиации ВВС КА считался тот, кто выполнил до 10 боевых вылетов включительно, а "стариком" - 30 боевых вылетов. При этом 25% молодых летчиков погибли при выполнении своего первого боевого вылета. Потери летчиков, имеющих боевой налет до 60 вылетов включительно, в процентном отношении были меньше примерно в 2,5 раза.</w:t>
      </w:r>
    </w:p>
    <w:p w14:paraId="2E39940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неполным данным убыль воздушных стрелков в период июльских боев примерно в 1,5-2 раза превышала убыль летного состава. При этом если среди категории погибших количество воздушных стрелков и летчиков было примерно одинаковым, то среди категории раненых воздушных стрелков было в 2-2,5 раза больше, чем летчиков (12020).</w:t>
      </w:r>
    </w:p>
    <w:p w14:paraId="71F0CD8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09669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директиве от 16 июня 1943 Командующий ВВС КА требовал от командующих ВА: "В период затишья на фронте прекращать бесцельные боевые полеты, кроме разведки и отражения налетов врага на нашу территорию... В случае проведения наземными войсками к-л операций с участием а командующими ВА немедленно доносить мне об этом для доклада НКО. К действиям приступать лишь после разрешения. Воздушным армиям сохранять силы, усиленно вести подготовку штабов и поддерживать летную квалификацию экипажей." В среднем летали 0.1-0.2 вылета на самолет (518,121).</w:t>
      </w:r>
    </w:p>
    <w:p w14:paraId="09B2AC9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94EE7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вышло постановление ГКО о Местной противовоздушной обороне (3398,213).</w:t>
      </w:r>
    </w:p>
    <w:p w14:paraId="3A8DD0A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A8D0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16 июня 1943 ГКО вновь собрался для обсуждения вопросов противовоздушной обороны Поволжья. Было принято постановление № 3 588сс «Об усилении ПВО важнейших промышленных центров, мостов и электростанций», согласно которому для означенных целей предписывалось дополнительно выделить: 390 зенитных орудий калибра 85-мм, 655 пушек калибра 37-мм и 20-мм, а также целых 14 тыс. зенитных пулеметов ДШК! Но самое интересное, что больше всего из этого арсенала должен был получить г. Ижевск, расположенный в 600 км восточнее Горького и ни разу не подвергавшийся налетам авиации. Этому промышленному центру средней важности отписали аж 100 зениток среднего калибра! По 48 орудий всех типов должны были получить также Уфа и Молотов (Пермь). Этот факт говорит о том, что руководство страны было сильно напугано размахом налетов Люфтваффе и опасалось даже за судьбу городов глубокого тыла. Куда более важному Ярославлю отписали всего 36 зениток, другие города Поволжья – Горький, Казань, Куйбышев и Саратов – должны были вскоре получить по шестьдесят 85-мм орудий. Небольшое количество зениток выделялось также для ПВО Ульяновска, Сызрани и Коврова. Одновременно с проблемами восстановления заводов и укрепления противовоздушной обороны неизбежно встал вопрос о замене проштрафившихся командиров, и в первую очередь о генерале Осипове. При этом на фоне множества выявленных недостатков и провалов удивляет мягкость, проявленная Ставкой ВГК в лице товарища Сталина в отношении командующего Горьковским корпусным районом ПВО. По меркам военного времени, с учетом результатов налетов немецких бомбардировщиков, нанесших громадный ущерб автозаводу и др. объектам, его «деяния» явно тянули на рассмотрение дела в военном трибунале с вполне предсказуемым приговором. Однако серьезное наказание почему-то миновало генерала. По свидетельству генерал-полковника Журавлева, командовавшего в 1943 г. противовоздушной обороной Москвы, на этом заседании ГКО обсуждались итоги проверки результатов отражения налетов на города Поволжья. Сталин напрямую спросил у командующего ПВО страны М. Громадина:  «Что представляет собой командир Горъковского корпусного района ПВО?» Уже в самой форме вопроса содержалась скрытая угроза для незадачливого командира. Понятно, что характеристика Громадина могла решающим образом повлиять на судьбу старого и заслуженного, по мнению Журавлева, А. Осипова. Обычно весьма осторожный в высказываниях на столь высоком уровне, на этот раз Громадин внезапно очень твердо выступил на защиту своего провинившегося подчиненного. Он заверил Сталина, </w:t>
      </w:r>
      <w:r w:rsidRPr="00D03F3E">
        <w:rPr>
          <w:rFonts w:ascii="Times New Roman" w:hAnsi="Times New Roman"/>
          <w:color w:val="000000" w:themeColor="text1"/>
          <w:sz w:val="16"/>
          <w:szCs w:val="16"/>
        </w:rPr>
        <w:lastRenderedPageBreak/>
        <w:t>что генерал-майор Осипов  «очень честный и знающий дело командир, один из старейших зенитчиков страны». Командующий ПВО СССР вынужден был признать, что генерал  «безусловно, допустил ошибки, но ему можно полностью доверять…». Представляется вполне вероятным, что обвинительное выступление Громадина в адрес Осипова могло повлечь и вполне логичный вопрос: кто назначил на столь ответственный пост неподходящего по деловым качествам генерала? Дальнейший «перевод стрелок» с Осипова на самого Громадина в таком случае был бы вполне вероятен. После этого к вопросу о наказании руководителей ПВО Горького участники совещания больше не возвращались. На дворе был уже 1943 г., а случись подобное в 1941—1942гг., когда само будущее нашей страны висело на волоске, думается, что участники драмы не отделались бы легким испугом. После заседания ГКО генерал-майор А. А. Осипов был отстранен от занимаемой должности. Командующим Горьковским корпусным районом ПВО был назначен генерал-майор артиллерии Николай Васильевич Марков, который ранее, осенью 1941 г., непродолжительное время уже служил в Горьком. Это был один из самых опытных и заслуженных командиров ПВО, и неудивительно, что в этот критический момент именно ему поручили оборону Горького. С мая 1942 г. Марков руководил Ростовским диврайоном, а затем с октября – Грозненским диврайоном ПВО. Его части осуществляли противовоздушную оборону нефтяных промыслов и нефтеперерабатывающих заводов в этом прифронтовом районе до весны 1943 г. В апреле Марков был снова назначен командиром вновь сформированного Ростовского дивизионного района ПВО. Его соединения обороняли от налетов германской авиации тыловые коммуникации Южного и Северо-Кавказского фронтов, а так же промзону Северного Кавказа. Весной здесь разгорелись ожесточенные воздушные бои, бывшие отголоском воздушного сражения на Кубани. В марте над территорией диврайона были зафиксированы 1056 самолето-пролетов противника, в апреле – 463, в мае – 1158. Наиболее массированным налетам подвергался железнодорожный узел Батайск, а также мост в Ростове и переправы через Дон. В развернувшихся боях большую роль сыграла находившаяся в подчинении Маркова 105-я ИАД ПВО. Ее истребители впервые стали проводить силами полков групповые атаки на боевые порядки немецких бомбардировщиков, имея целью разрушить их плотный строй и затем атаковать разрозненные группы Не-111 и Ju-88. Так, 16 мая в ходе налета на станцию Армавир был сбит Не-111 обер-фельдфебеля Йоханна Бооса из 9./KG55 «Грайф», весь экипаж которого попал в плен. Наиболее успешно истребители действовали при отражении налета на Батайск 24 мая. Действия Ростовского диврайона ПВО, в командовании которым явно чувствовалась твердая рука опытного боевого генерала, не чуравшегося внедрения новых методов борьбы, затем в историографии оценивались исключительно с положительной стороны. Так что теперь в Горький прибыл опытный (и непьющий) командир с большим боевым опытом. Неизвестно, как бы развивались события, будь Марков назначен на эту должность несколькими месяцами раньше. Что касается командира 142-й ИАД ПВО полковника В. П. Иванова, то наказание за гибель автозавода им. Молотова и колесного цеха его миновало. Он не был признан виновником неудач и остался на своем посту. Однако его дальнейшая карьера сложилась неудачно. В конце войны Иванова настигла очередная крупная неприятность. Он ослабил контроль за деятельностью подчиненных, и в дивизии произошло «ЧП» – его заместитель по хоздеятельности оказался нечист на руку и разворовал большую сумму денег. Состоялся суд, рикошетом попало и по Иванову. 10 мая 1945 г., через день после Дня Победы, его также осудили – «просмотрел!». Правда, через несколько месяцев он был оправдан, но бывшего боевого офицера понизили в должности до командира полка, а впоследствии, после 1949 г., вообще уволили из армии. После перенесенных испытаний, по свидетельству современников, Иванов страшно изменился, постарел и осунулся, сильно поредела его шевелюра. Незаслуженное наказание буквально придавило его, и Виктор Петрович стоял на грани самоубийства. Но в этот критический момент ему на помощь пришел его старый фронтовой друг А. И. Покрышкин, военная карьера которого, наоборот, развивалась по восходящей. Трижды Герой Советского Союза помог своему бывшему командиру не только морально, но и материально. После того как в 1951 г. Покрышкин был назначен командиром 88-го корпуса ПВО в г. Ржев, он взял к себе Иванова заместителем по боевой подготовке, добившись его восстановления в кадрах армии. Так фронтовая дружба позволила вернуть в авиацию попавшего в тяжелую ситуацию старого заслуженного летчика. Иванов прослужил в Ржеве еще около шести лет, расправил плечи и даже был награжден орденом. После демобилизации он проживал в Волгограде и скончался в начале 1980-х гг. (11774).</w:t>
      </w:r>
    </w:p>
    <w:p w14:paraId="77522B9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60755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на заседании ГКО кто-то из партийных бюрократов предложил создать координационный комитет по противовоздушной обороне. Предложение мгновенно приняли. Председателем комитета был назначен начальник Генштаба А. М. Василевский, а членами этого бесполезного новообразования – главком ВВС А. А. Новиков, командующий АДЦ А. Е. Голованов, а также М. С. Громадин и Д. А. Журавлев, и без того обремененные множеством обязанностей. Комитет оказался мертворожденным органом, созданным с помощью бюрократических уверток партийного руководства, и просуществовал недолго. Он не смог в короткие сроки оказать какое-либо влияние на улучшение боевой деятельности ПВО. Фактически комитет во время продолжающихся воздушных налетов лишь заседал, регистрируя многочисленные недостатки, теряя время в пустых словопрениях. Журавлев впоследствии вообще утверждал, что данный «комитет» провел лишь одно-единственное заседание 26 июня, т.е. в момент, когда Люфтваффе уже сворачивали свою операцию против Поволжья. После этого его функции перешли к Управлению ПВО. На следующий день после нового назначения в кабинет Воронова прибыли Громадин, теперь его первый зам по ПВО, и начштаба ПВО Н. Н. Нагорный. Сразу же всплыло множество организационных и оперативных проблем. Пришлось срочно решать вопросы по оснащению войск противовоздушной обороны боевой техникой и укреплению их кадрового состава. Воронов отмечал, что они втроем работали согласованно. Понятно, что ему крупно повезло с заместителями, и в дальнейшем он твердо полагался на них. На основе боевого опыта были срочно разработаны важные мероприятия по улучшению системы противовоздушной обороны и организации четкого взаимодействия истребительной авиации с зенитной артиллерией, что являлось больным вопросом на протяжении двух лет войны. Воронову пришлось сильно поволноваться, потому что продолжавшиеся неудачи войск ПВО приносили множество огорчений и неприятностей из-за конфликтов с Генштабом и Наркоматом путей сообщений. На тот момент казалось, что создание фронтов существенно улучшило руководство боевой деятельностью войск в условиях развернувшегося наступления Красной Армии. Западный фронт, в который входили все прифронтовые соединения противовоздушной обороны, обеспечивал наращивание системы ПВО и отвечал за организацию тесного взаимодействия своего первого оперативного эшелона с войсковой ПВО. Во всей этой реорганизации просматривался явный акцент на улучшение защиты от ударов с воздуха сухопутных войск. Тем не менее многим уже тогда было ясно, что эта «реформа», по сути, стала шагом назад. Во-первых, был нарушен принцип централизованного управления войсками, во-вторых, Восточный фронт ПВО практически бездействовал во время наступления Красной Армии на запад. В-третьих, у командующего артиллерией хватало дел и по своим прямым обязанностям, и к тому же он был еще и представителем Ставки. Воронов просто был не в состоянии «по совместительству» руководить еще и многочисленными войсками противовоздушной обороны, и ему оставалось лишь полагаться на заместителей. Так что упразднение должности командующего войсками ПВО территории страны было явной ошибкой, принятой под воздействием внезапных массированных ударов Люфтваффе. Позднее, к концу 1943 г. руководству страны стало ясно, что распределение задач между фронтами ПВО по глубине не оправдало себя и не обеспечивало эффективности противовоздушной обороны страны. Выяснилось, что, во-первых, командование Западным фронтом ПВО оказалось не в состоянии управлять боевой деятельностью войск, разбросанных на огромной территории от Мурманска до Керчи. Во-вторых, установленные границы между фронтами ПВО параллельно линии советско-германского фронта в значительной мере ограничивали возможности маневра силами и средствами ПВО по глубине, который был крайне необходим. В-третьих, при таком характере распределения задач между фронтами войска Западного фронта обороняли объекты в прифронтовой полосе с большим напряжением, в то время как соединения Восточного фронта практически бездействовали. Таким образом, опять вышло, что «хотели как лучше, а получилось как всегда» (11774).</w:t>
      </w:r>
    </w:p>
    <w:p w14:paraId="5D833B5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88482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на 16 июня 1943 противник нанес очередной удар по Саратову. После нескольких дней непрерывных налетов в Сталинском и Октябрьском районах вышли из строя водопровод, освещение и телефонная сеть. 16 июня городской комитет обороны вынужден был принять постановление «О выделении материалов для городских телефонных сетей», согласно которому «Главметаллсбыту» и заводу им. Ленина поручалось выделить ГТС проволоку для восстановления разрушенных во многих местах линий связи (11774).</w:t>
      </w:r>
    </w:p>
    <w:p w14:paraId="1D45E2C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1AC75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Горьковский комитет обороны рассмотрел вопросы о мероприятиях по ликвидации последствий налета на минометный завод № 718 «Двигатель революции», а также по быстрейшему восстановлению автозавода. Генеральным подрядчиком был выбран трест «Стройгаз» № 2 во главе с товарищем Хвацким. Для восстановительных работ были выделены 200 человек из треста «Союзпроммеханизация», два батальона красноармейцев, и принято решение о мобилизации 3000 человек из числа городского трудоспособного населения. Параллельно эти же вопросы обсуждались и в Москве на самом высшем уровне. 14 июня нарком иностранных дел и Председатель Совнаркома В. М. Молотов подписал приказ о передаче с московских баз Наркомату среднего машиностроения, специально для ГАЗа, 500 штук электромоторов мощностью 4—10 кВт. 16 июня ГКО обязал наркома путей сообщения Л. М. Кагановича производить перевозку всех грузов, идущих в адрес Горьковского автозавода и треста «Стройгаз» № 2, военными транспортами, в течение июня – июля и августа 1943 г. беспрепятственно принимать багаж в адрес ГАЗа. Наркомат речфлота во главе с Шагновым должен был также беспрепятственно принимать и обеспечивать срочную перевозку всех грузов и багажа, предназначенных для восстановления автозавода в Горьком. Начальник ГУ Гражданского воздушного флота Астахов получил приказ принять в июне – июле к доставке транспортными самолетами 150 т наиболее необходимых грузов для ГАЗа. Кроме того, ГКО принял постановление о размещении в Горьком полка, а в Дзержинске и Балахне – батальонов войск МПВО НКВД. Эти формирования предполагалось использовать для изъятия и обезвреживания неразорвавшихся авиабомб, снарядов и мин, проведения аварийно-восстановительных работ на важных узлах городского коммунального хозяйства (мостах, электростанциях, водопроводе, линиях связи). Войска МПВО должны были находиться на казарменном положении. Личный состав общей численностью 2000 человек считался мобилизованным в Красную Армию и подчинялся городскому штабу МПВО. Согласно постановлению госкомитета, аварийно-восстановительные отряды МПВО  «комплектуются из смелых, физически крепких людей, способных выполнять сложную работу в условиях воздушного нападения противника, и проходят специальную подготовку по программам, разработанным ГУ МПВО НКВД СССР» (11774).</w:t>
      </w:r>
    </w:p>
    <w:p w14:paraId="275EFC0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F83A38"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2ADE325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3EE03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года</w:t>
      </w:r>
    </w:p>
    <w:p w14:paraId="6C2CAB4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СЕКРЕТНОЕ И ЛИЧНОЕ ПОСЛАНИЕ ОТ ПРЕЗИДЕНТА РУЗВЕЛЬТА ПРЕМЬЕРУ СТАЛИНУ</w:t>
      </w:r>
    </w:p>
    <w:p w14:paraId="08B44C1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Настоящим я хочу ответить на Вашу особую просьбу в связи с поставками алюминия.</w:t>
      </w:r>
    </w:p>
    <w:p w14:paraId="07D8D5B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июле, августе и сентябре Союз Советских Социалистических Республик получит из Канады и Соединенных Штатов следующие поставки (в длинных тоннах</w:t>
      </w:r>
      <w:r w:rsidRPr="00D03F3E">
        <w:rPr>
          <w:rFonts w:ascii="Times New Roman" w:hAnsi="Times New Roman"/>
          <w:color w:val="000000" w:themeColor="text1"/>
          <w:sz w:val="16"/>
          <w:szCs w:val="16"/>
          <w:vertAlign w:val="superscript"/>
        </w:rPr>
        <w:t>27</w:t>
      </w:r>
      <w:r w:rsidRPr="00D03F3E">
        <w:rPr>
          <w:rFonts w:ascii="Times New Roman" w:hAnsi="Times New Roman"/>
          <w:color w:val="000000" w:themeColor="text1"/>
          <w:sz w:val="16"/>
          <w:szCs w:val="16"/>
        </w:rPr>
        <w:t>): первичного алюминия — 5000 тонн в месяц; вторичного алюминия — 1000 тонн в месяц.</w:t>
      </w:r>
    </w:p>
    <w:p w14:paraId="248BBDE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Вторичный алюминий обладает высоким качеством, и мы применяем его при строительстве самолетов.</w:t>
      </w:r>
    </w:p>
    <w:p w14:paraId="1FFFFF8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 как ежемесячные поставки первичного алюминия превышают на 1000 тонн предусмотренные в Протоколе13 4000 тонн, то, возможно, после сентября будет необходимо сократить в порядке компенсации последующие поставки. Надеюсь, что в этом не будет необходимости. Сожалею, что вследствие недостатка первичного алюминия мы сочли невозможным увеличить количество, предусмотренное протокольным соглашением. Однако поставки вторичного алюминия предлагаются в качестве дополнительных. В течение ближайших двух месяцев мы снова сообщим Вам о плане поставок на октябрь, ноябрь и декабрь. Мы также постараемся сообщить Вам одновременно о поставках на остающийся период протокольного года (7430).</w:t>
      </w:r>
    </w:p>
    <w:p w14:paraId="3AFAF75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EFDD3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года</w:t>
      </w:r>
    </w:p>
    <w:p w14:paraId="350720B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СЕКРЕТНОЕ И ЛИЧНОЕ ПОСЛАНИЕ ОТ ПРЕЗИДЕНТА РУЗВЕЛЬТА ПРЕМЬЕРУ СТАЛИНУ</w:t>
      </w:r>
    </w:p>
    <w:p w14:paraId="6D7EBEC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 дал указания, чтобы Вам было отправлено в течение остающегося периода 1943 года дополнительно следующее количество самолетов, помимо нового протокольного соглашения</w:t>
      </w:r>
      <w:r w:rsidRPr="00D03F3E">
        <w:rPr>
          <w:rFonts w:ascii="Times New Roman" w:hAnsi="Times New Roman"/>
          <w:color w:val="000000" w:themeColor="text1"/>
          <w:sz w:val="16"/>
          <w:szCs w:val="16"/>
          <w:vertAlign w:val="superscript"/>
        </w:rPr>
        <w:t>28</w:t>
      </w:r>
      <w:r w:rsidRPr="00D03F3E">
        <w:rPr>
          <w:rFonts w:ascii="Times New Roman" w:hAnsi="Times New Roman"/>
          <w:color w:val="000000" w:themeColor="text1"/>
          <w:sz w:val="16"/>
          <w:szCs w:val="16"/>
        </w:rPr>
        <w:t>:</w:t>
      </w:r>
    </w:p>
    <w:p w14:paraId="3268EDB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78 бомбардировщиков Б-25,</w:t>
      </w:r>
    </w:p>
    <w:p w14:paraId="7E75872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600 истребителей П-40-Н.</w:t>
      </w:r>
    </w:p>
    <w:p w14:paraId="7DCE1FE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нас нет более маневренных истребителей, чем истребители типа П-40-Н, которые с прекрасными результатами использовались во время последних боев в Тунисе. Этот самолет показал себя нашим лучшим средством защиты от пикирующих бомбардировщиков. Он также показал себя весьма эффективным для прикрытия совершаемых самолетом П-39 штурмовых атак.</w:t>
      </w:r>
    </w:p>
    <w:p w14:paraId="67A9F6B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Мы сможем представить Вам в ноябре план поставок на вторую половину протокольного года, так как к этому времени мы снова пересмотрим положение с самолетами (7430).</w:t>
      </w:r>
    </w:p>
    <w:p w14:paraId="7E6BC88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F9371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в шведских газетах появилось сообщение о контактах между советскими и германскими представителями и 18 июня 1943 в советской прессе было опровержение (3304,151).</w:t>
      </w:r>
    </w:p>
    <w:p w14:paraId="7EC348F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D417BC"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779F4AA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FFF42F" w14:textId="77777777" w:rsidR="00691A58" w:rsidRPr="00D03F3E" w:rsidRDefault="00691A5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16 июня</w:t>
      </w:r>
      <w:r w:rsidRPr="00D03F3E">
        <w:rPr>
          <w:rFonts w:ascii="Times New Roman" w:hAnsi="Times New Roman"/>
          <w:color w:val="000000" w:themeColor="text1"/>
          <w:sz w:val="16"/>
          <w:szCs w:val="16"/>
        </w:rPr>
        <w:t xml:space="preserve"> в 1943 году на взлете, разбился опытный японский истребитель-перехватчик J2M1 Raiden и пилот. Через месяц в такой же ситуации оказался десятый J2M2, но пилот сумел сохранить самообладание и машину, быстро выпустив шасси. Осмотр самолета показал, что хвостовое колесо после уборки вывернуло подкос, зажав проводку управления. Органы управления были тут же доработаны, чтобы исключить такую ситуацию (14924).</w:t>
      </w:r>
    </w:p>
    <w:p w14:paraId="5A47914E" w14:textId="77777777" w:rsidR="00691A58" w:rsidRPr="00D03F3E" w:rsidRDefault="00691A58" w:rsidP="00D03F3E">
      <w:pPr>
        <w:spacing w:after="0" w:line="240" w:lineRule="auto"/>
        <w:jc w:val="both"/>
        <w:rPr>
          <w:rFonts w:ascii="Times New Roman" w:hAnsi="Times New Roman"/>
          <w:color w:val="000000" w:themeColor="text1"/>
          <w:sz w:val="16"/>
          <w:szCs w:val="16"/>
        </w:rPr>
      </w:pPr>
    </w:p>
    <w:p w14:paraId="069E3C33" w14:textId="77777777" w:rsidR="00691A58" w:rsidRPr="00D03F3E" w:rsidRDefault="00691A5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16 июня</w:t>
      </w:r>
      <w:r w:rsidRPr="00D03F3E">
        <w:rPr>
          <w:rFonts w:ascii="Times New Roman" w:hAnsi="Times New Roman"/>
          <w:color w:val="000000" w:themeColor="text1"/>
          <w:sz w:val="16"/>
          <w:szCs w:val="16"/>
        </w:rPr>
        <w:t xml:space="preserve"> в 1943 году в ходе девятого полета в воздухе загорелся правый (№ 3 по спецификации) внутренний двигатель. Летчики-испытатели не смогли сбить пламя и покинули самолет. «XB-38» рухнул на землю и был полностью разрушен. В любом случае, улучшение характеристик самолета было не впечатляющим, а двигатели жидкостного охлаждения Allison требовались в большом количестве для оснащения истребителей «P-38» «Lightning» и «P-40» «Warhawk». Вследствие этих причин USAAF отказались от дальнейших работ над «XB-38». Заказ еще на два «XB-38» был аннулирован 12 августа 1943 года (14924).</w:t>
      </w:r>
    </w:p>
    <w:p w14:paraId="7F78225A" w14:textId="77777777" w:rsidR="00691A58" w:rsidRPr="00D03F3E" w:rsidRDefault="00691A58" w:rsidP="00D03F3E">
      <w:pPr>
        <w:spacing w:after="0" w:line="240" w:lineRule="auto"/>
        <w:jc w:val="both"/>
        <w:rPr>
          <w:rFonts w:ascii="Times New Roman" w:hAnsi="Times New Roman"/>
          <w:color w:val="000000" w:themeColor="text1"/>
          <w:sz w:val="16"/>
          <w:szCs w:val="16"/>
        </w:rPr>
      </w:pPr>
    </w:p>
    <w:p w14:paraId="4ACC3ECF" w14:textId="77777777" w:rsidR="003B41F0" w:rsidRPr="00D03F3E" w:rsidRDefault="003B41F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16 июня 1943 рейд 94 японских самолетов - 24 пикирующих бомбардировщиков Aichi D3A (союзническое название «Вал») и 70 истребителей Zero - атакуют американские суда в проливе Айронботтом у побережья Гуадалканала. Они повредили грузовой корабль и танкерный десант и сбили шесть американских истребителей, но почти все японские самолеты потеряны (20376).</w:t>
      </w:r>
    </w:p>
    <w:p w14:paraId="18927048" w14:textId="77777777" w:rsidR="003B41F0" w:rsidRPr="00D03F3E" w:rsidRDefault="003B41F0" w:rsidP="00D03F3E">
      <w:pPr>
        <w:spacing w:after="0" w:line="240" w:lineRule="auto"/>
        <w:jc w:val="both"/>
        <w:rPr>
          <w:rFonts w:ascii="Times New Roman" w:hAnsi="Times New Roman"/>
          <w:color w:val="0070C0"/>
          <w:sz w:val="16"/>
          <w:szCs w:val="16"/>
        </w:rPr>
      </w:pPr>
    </w:p>
    <w:p w14:paraId="3ECACEE1" w14:textId="77777777" w:rsidR="00691A58" w:rsidRPr="00D03F3E" w:rsidRDefault="00691A5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16 июня</w:t>
      </w:r>
      <w:r w:rsidRPr="00D03F3E">
        <w:rPr>
          <w:rFonts w:ascii="Times New Roman" w:hAnsi="Times New Roman"/>
          <w:color w:val="000000" w:themeColor="text1"/>
          <w:sz w:val="16"/>
          <w:szCs w:val="16"/>
        </w:rPr>
        <w:t xml:space="preserve"> в 1943 году британское правительство подтвердило свою принципиальную позицию по поддержке эмигрантского королевского правительства Югославии и несотрудничества с партизанами Тито, хотя ее военную целесообразность оспаривал комитет начальник штабов (14924).</w:t>
      </w:r>
    </w:p>
    <w:p w14:paraId="056F7511" w14:textId="77777777" w:rsidR="00691A58" w:rsidRPr="00D03F3E" w:rsidRDefault="00691A58" w:rsidP="00D03F3E">
      <w:pPr>
        <w:spacing w:after="0" w:line="240" w:lineRule="auto"/>
        <w:jc w:val="both"/>
        <w:rPr>
          <w:rFonts w:ascii="Times New Roman" w:hAnsi="Times New Roman"/>
          <w:color w:val="000000" w:themeColor="text1"/>
          <w:sz w:val="16"/>
          <w:szCs w:val="16"/>
        </w:rPr>
      </w:pPr>
    </w:p>
    <w:p w14:paraId="1FEAD32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Tojo проинформировал японское правительство о том, что положение на фронтах напряженное (2262).</w:t>
      </w:r>
    </w:p>
    <w:p w14:paraId="0EB3986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EA45FE"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54-летний Чарли Чаплин женился в четвертый раз - на 18-летней Уне О'Нил (4962).</w:t>
      </w:r>
    </w:p>
    <w:p w14:paraId="288BD8F2"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0E942F"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257818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0FEEB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17 июня 1943 20 моторов АМ-38Ф, стоящие на самолетах Ил-2 в 208 шап, находились в полной готовности к эксплуатации (1690,45).</w:t>
      </w:r>
    </w:p>
    <w:p w14:paraId="68455C1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EBA48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июня 1943 Зам. ГК завода 24 Флимским была подготовлена справка о состоянии моторов АМ-42, отправленных в Москву. Мотор N 4214 прошел 50 час. режимное испытание и после переборки вновь имеет 50 час. ресурс. N 4213 имеет 26 час. режимной наработки. Также после переборки может работать 50 час. Мотор N 4227 прошел контрольно-сдаточные испытания и собран по ТУ на 50 час. Все моторы годны для экспериментальной работы в течение 50 час." (2519,225).</w:t>
      </w:r>
    </w:p>
    <w:p w14:paraId="36134FF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EEB14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июня 1943 Зам. командующего ВВС Никитин писал А.И.Ш. письмо N 530194:</w:t>
      </w:r>
    </w:p>
    <w:p w14:paraId="6914041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15 июня 1943 208 шап получено 22 самолета Ил-2 с 37 мм пушками. Из этого количества на 15 июня было исправных только 9 самолетов. Состояние остальных 13 самолетов следующее:</w:t>
      </w:r>
    </w:p>
    <w:p w14:paraId="3FEE375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самолетов: силами завода 24 и техсостава полка производится переделка контровки промежуточной шестерни кулачковых валиков. эта работа начата 6 июня и еще не закончена.</w:t>
      </w:r>
    </w:p>
    <w:p w14:paraId="30CD823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самолет: сорвана обшивка верхней плоскости в полете</w:t>
      </w:r>
    </w:p>
    <w:p w14:paraId="57090C4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самолет: после перелета с завода обнаружен прогар возвратного клапана (продолжительность полета - 18 мин.).</w:t>
      </w:r>
    </w:p>
    <w:p w14:paraId="11292EF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самолет: обнаружен обрыв шпильки, часть которой возможно попала в картер (заключение представителя завода).</w:t>
      </w:r>
    </w:p>
    <w:p w14:paraId="73FBFA3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самолет: не эксплуатируется, т.к. на нем установлен АМ-38 (не форсированный), что значительно увеличило длину разбега и уменьшило скорость в воздухе</w:t>
      </w:r>
    </w:p>
    <w:p w14:paraId="24BB288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самолета: разбиты вследствие полного отказа моторов над лесом. Отказ мотора произошел из-за разрушения "рогатого" подшипника. По этой же причине разбит еще один самолет л перегоночной эскадрильи при перегонке с завода</w:t>
      </w:r>
    </w:p>
    <w:p w14:paraId="3B0EE2B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самолет: поломка по вине л 208 шап (1779,114).</w:t>
      </w:r>
    </w:p>
    <w:p w14:paraId="451C633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18166A"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5020D8F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31651D" w14:textId="77777777" w:rsidR="00513B54" w:rsidRPr="00D03F3E" w:rsidRDefault="00513B54" w:rsidP="00D03F3E">
      <w:pPr>
        <w:pStyle w:val="Bodytext21"/>
        <w:shd w:val="clear" w:color="auto" w:fill="auto"/>
        <w:spacing w:line="240" w:lineRule="auto"/>
        <w:ind w:firstLine="0"/>
        <w:rPr>
          <w:color w:val="000000" w:themeColor="text1"/>
          <w:sz w:val="16"/>
          <w:szCs w:val="16"/>
        </w:rPr>
      </w:pPr>
      <w:r w:rsidRPr="00D03F3E">
        <w:rPr>
          <w:rStyle w:val="Bodytext2NotItalic2"/>
          <w:rFonts w:ascii="Times New Roman" w:hAnsi="Times New Roman" w:cs="Times New Roman"/>
          <w:i w:val="0"/>
          <w:color w:val="000000" w:themeColor="text1"/>
          <w:sz w:val="16"/>
          <w:szCs w:val="16"/>
        </w:rPr>
        <w:t>17 июня 1943 г. командо</w:t>
      </w:r>
      <w:r w:rsidRPr="00D03F3E">
        <w:rPr>
          <w:rStyle w:val="Bodytext2NotItalic2"/>
          <w:rFonts w:ascii="Times New Roman" w:hAnsi="Times New Roman" w:cs="Times New Roman"/>
          <w:i w:val="0"/>
          <w:color w:val="000000" w:themeColor="text1"/>
          <w:sz w:val="16"/>
          <w:szCs w:val="16"/>
        </w:rPr>
        <w:softHyphen/>
        <w:t>вание ГАУ КА отношением №828999 довело до сведения уполномоченного ГАУ КА по Ле</w:t>
      </w:r>
      <w:r w:rsidRPr="00D03F3E">
        <w:rPr>
          <w:rStyle w:val="Bodytext2NotItalic2"/>
          <w:rFonts w:ascii="Times New Roman" w:hAnsi="Times New Roman" w:cs="Times New Roman"/>
          <w:i w:val="0"/>
          <w:color w:val="000000" w:themeColor="text1"/>
          <w:sz w:val="16"/>
          <w:szCs w:val="16"/>
        </w:rPr>
        <w:softHyphen/>
        <w:t>нинграду и руководства завода свою точку зрения:</w:t>
      </w:r>
      <w:r w:rsidRPr="00D03F3E">
        <w:rPr>
          <w:i/>
          <w:color w:val="000000" w:themeColor="text1"/>
          <w:sz w:val="16"/>
          <w:szCs w:val="16"/>
        </w:rPr>
        <w:t xml:space="preserve"> </w:t>
      </w:r>
      <w:r w:rsidRPr="00D03F3E">
        <w:rPr>
          <w:color w:val="000000" w:themeColor="text1"/>
          <w:sz w:val="16"/>
          <w:szCs w:val="16"/>
        </w:rPr>
        <w:t>«С учетом принятия в 1942 г. на во</w:t>
      </w:r>
      <w:r w:rsidRPr="00D03F3E">
        <w:rPr>
          <w:color w:val="000000" w:themeColor="text1"/>
          <w:sz w:val="16"/>
          <w:szCs w:val="16"/>
        </w:rPr>
        <w:softHyphen/>
        <w:t>оружение РККА и организации массового про</w:t>
      </w:r>
      <w:r w:rsidRPr="00D03F3E">
        <w:rPr>
          <w:color w:val="000000" w:themeColor="text1"/>
          <w:sz w:val="16"/>
          <w:szCs w:val="16"/>
        </w:rPr>
        <w:softHyphen/>
        <w:t>изводства стального нагрудника СН-42, пре</w:t>
      </w:r>
      <w:r w:rsidRPr="00D03F3E">
        <w:rPr>
          <w:color w:val="000000" w:themeColor="text1"/>
          <w:sz w:val="16"/>
          <w:szCs w:val="16"/>
        </w:rPr>
        <w:softHyphen/>
        <w:t>восходящего по своим тактическим и техни</w:t>
      </w:r>
      <w:r w:rsidRPr="00D03F3E">
        <w:rPr>
          <w:color w:val="000000" w:themeColor="text1"/>
          <w:sz w:val="16"/>
          <w:szCs w:val="16"/>
        </w:rPr>
        <w:softHyphen/>
        <w:t>ческим характеристикам панцирную защиту ПЗ-ЗИФ-20, проведение войсковых испытаний и организация серийного производства панци</w:t>
      </w:r>
      <w:r w:rsidRPr="00D03F3E">
        <w:rPr>
          <w:color w:val="000000" w:themeColor="text1"/>
          <w:sz w:val="16"/>
          <w:szCs w:val="16"/>
        </w:rPr>
        <w:softHyphen/>
        <w:t>рей на заводе №7 нецелесообразно».</w:t>
      </w:r>
    </w:p>
    <w:p w14:paraId="5D00BF08" w14:textId="77777777" w:rsidR="00513B54" w:rsidRPr="00D03F3E" w:rsidRDefault="00513B54" w:rsidP="00D03F3E">
      <w:pPr>
        <w:pStyle w:val="Bodytext1"/>
        <w:shd w:val="clear" w:color="auto" w:fill="auto"/>
        <w:spacing w:line="240" w:lineRule="auto"/>
        <w:ind w:firstLine="0"/>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Вместо панцирей ПЗ-ЗИФ-20 предлага</w:t>
      </w:r>
      <w:r w:rsidRPr="00D03F3E">
        <w:rPr>
          <w:rFonts w:ascii="Times New Roman" w:hAnsi="Times New Roman" w:cs="Times New Roman"/>
          <w:color w:val="000000" w:themeColor="text1"/>
          <w:sz w:val="16"/>
          <w:szCs w:val="16"/>
        </w:rPr>
        <w:softHyphen/>
        <w:t>лось начать поставку нагрудников СН-42 че</w:t>
      </w:r>
      <w:r w:rsidRPr="00D03F3E">
        <w:rPr>
          <w:rFonts w:ascii="Times New Roman" w:hAnsi="Times New Roman" w:cs="Times New Roman"/>
          <w:color w:val="000000" w:themeColor="text1"/>
          <w:sz w:val="16"/>
          <w:szCs w:val="16"/>
        </w:rPr>
        <w:softHyphen/>
        <w:t>рез начальника снабжения Ленинградского фронта. Однако поступление нагрудников за</w:t>
      </w:r>
      <w:r w:rsidRPr="00D03F3E">
        <w:rPr>
          <w:rFonts w:ascii="Times New Roman" w:hAnsi="Times New Roman" w:cs="Times New Roman"/>
          <w:color w:val="000000" w:themeColor="text1"/>
          <w:sz w:val="16"/>
          <w:szCs w:val="16"/>
        </w:rPr>
        <w:softHyphen/>
        <w:t>держивалось, поэтому горком ВКП(б) принял решение продолжить изготовление панцирей на заводе №7 (17746).</w:t>
      </w:r>
    </w:p>
    <w:p w14:paraId="00AD8A46" w14:textId="77777777" w:rsidR="00513B54" w:rsidRPr="00D03F3E" w:rsidRDefault="00513B54" w:rsidP="00D03F3E">
      <w:pPr>
        <w:pStyle w:val="Bodytext1"/>
        <w:shd w:val="clear" w:color="auto" w:fill="auto"/>
        <w:spacing w:line="240" w:lineRule="auto"/>
        <w:ind w:firstLine="0"/>
        <w:rPr>
          <w:rFonts w:ascii="Times New Roman" w:hAnsi="Times New Roman" w:cs="Times New Roman"/>
          <w:color w:val="000000" w:themeColor="text1"/>
          <w:sz w:val="16"/>
          <w:szCs w:val="16"/>
        </w:rPr>
      </w:pPr>
    </w:p>
    <w:p w14:paraId="1C9E5648"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17 июня</w:t>
      </w:r>
      <w:r w:rsidRPr="00D03F3E">
        <w:rPr>
          <w:rFonts w:ascii="Times New Roman" w:hAnsi="Times New Roman"/>
          <w:color w:val="000000" w:themeColor="text1"/>
          <w:sz w:val="16"/>
          <w:szCs w:val="16"/>
        </w:rPr>
        <w:t xml:space="preserve"> в 1943 году выпустил первую продукцию – гидроксид алюминия – Богословский алюминиевый завод (город Краснотурьинск, Свердловская область; с 1994 г. – ОАО «БАЗ»). Первая партия металла была выдана 9 мая 1945 года (14925).</w:t>
      </w:r>
    </w:p>
    <w:p w14:paraId="0160BA24" w14:textId="77777777" w:rsidR="00775138" w:rsidRPr="00D03F3E" w:rsidRDefault="00775138" w:rsidP="00D03F3E">
      <w:pPr>
        <w:spacing w:after="0" w:line="240" w:lineRule="auto"/>
        <w:jc w:val="both"/>
        <w:rPr>
          <w:rFonts w:ascii="Times New Roman" w:hAnsi="Times New Roman"/>
          <w:color w:val="000000" w:themeColor="text1"/>
          <w:sz w:val="16"/>
          <w:szCs w:val="16"/>
        </w:rPr>
      </w:pPr>
    </w:p>
    <w:p w14:paraId="76D1959C"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июня 1943 вышло Постановление ГКО № 3598 О снабжении заводов Наркомтанкопрома обрезиненными катками для танков Т-34 и самоходных установок. (7116, 104-106).</w:t>
      </w:r>
    </w:p>
    <w:p w14:paraId="61656F67"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6FBB6E"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июня 1943 вышло Постановление ГКО № 3599 О строительстве железнодорожной линии Кривандино - Радовицы. (7116, 107-112,113-115).</w:t>
      </w:r>
    </w:p>
    <w:p w14:paraId="58762BD9"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7D0936"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7FD72D3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EF6814"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17 июня</w:t>
      </w:r>
      <w:r w:rsidRPr="00D03F3E">
        <w:rPr>
          <w:rFonts w:ascii="Times New Roman" w:hAnsi="Times New Roman"/>
          <w:color w:val="000000" w:themeColor="text1"/>
          <w:sz w:val="16"/>
          <w:szCs w:val="16"/>
        </w:rPr>
        <w:t xml:space="preserve"> в 1943 году оперативная сводка Совинформбюро:</w:t>
      </w:r>
    </w:p>
    <w:p w14:paraId="0778CF44"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наши артиллеристы и миномётчики разрушили 9 вражеских дзотов, 5 блиндажей, взорвали склад боеприпасов, уничтожили 3 орудия и потопили 5 лодок с немецкими солдатами. Снайперы Н-ского соединения истребили до 100 гитлеровцев.» (14925).</w:t>
      </w:r>
    </w:p>
    <w:p w14:paraId="40B40AE4" w14:textId="77777777" w:rsidR="00775138" w:rsidRPr="00D03F3E" w:rsidRDefault="00775138" w:rsidP="00D03F3E">
      <w:pPr>
        <w:spacing w:after="0" w:line="240" w:lineRule="auto"/>
        <w:jc w:val="both"/>
        <w:rPr>
          <w:rFonts w:ascii="Times New Roman" w:hAnsi="Times New Roman"/>
          <w:color w:val="000000" w:themeColor="text1"/>
          <w:sz w:val="16"/>
          <w:szCs w:val="16"/>
        </w:rPr>
      </w:pPr>
    </w:p>
    <w:p w14:paraId="5612A69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июня 1943 из полета не вернулся «Ильюшин» старшего лейтенанта Евгения Белова. По воспоминаниям сослуживцев, перед гибелью Евгений успел передать по радио, что его «над Финляндией атакует истребитель». Очевидно, при возвращении летчику не удалось найти спасительную облачность, и при длительном полете над вражеской территорией его перехватила система ПВО (9965).</w:t>
      </w:r>
    </w:p>
    <w:p w14:paraId="248DDFE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D43E3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июня 1943 ли Н.Котлов, вылетев с напарником Грачевым на перехват, встретил 50 и и 15 и. Расстроил ряды, напарник был сбит. Сбил 5 и сам был сбит. Выбросился на парашюте и подобрали пехотинцы, на руках которых и умер (438,873).</w:t>
      </w:r>
    </w:p>
    <w:p w14:paraId="7664C4B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DC560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июня 1943 прошло заседание бюро Горьковского обкома ВКП(б). Основным вопросом снова были немецкие налеты. Первый секретарь М. И. Родионов, в частности, отметил успехи, достигнутые формированиями МПВО при отражении последнего удара Люфтваффе:  «Как показала борьба с пожарами на станкозаводе и Д. Революциитам все дело спасли искусственные водоемы, которые были сделаны за день до бомбежки. Там водоводы, как и на ГАЗе, сразу вышли из строя, и если бы не искусственные водоемы, заводы сгорели бы». Одновременно рассматривался вопрос о боеготовности частей ПВО. По этому поводу Родионов сказал:  «Недавно мыс тов. Громадиным и Герасимовым были в Правдинске. Там второй полк. Со связью там плохо: стоят два дежурных самолета в боеготовности, но чтобы им подняться в воздух, должен прибежать вестовой и сказать им об этом. Нет проводов. Летчиков плохо кормят, мало практики, мало учений. Мы посмотрели, они так садятся, с такими „козлами“, что как только машины терпят, причем даже днем». Аналогичные вопросы рассматривались и в других городах Поволжья. В частности, Саратовский городской комитет обороны 19 июня принял постановление № 182 «О борьбе с пожарами, возникающими от зажигательных авиабомб противника». Массированное применение немцами тяжелых зажигательных бомб стало, в силу известного головотяпства, для советского командования и руководителей предприятий неожиданностью. Начальник Главного управления МПВО НКВД генерал-лейтенант Осокин в своем приказе № 32/7692 писал:  «При последних налетах авиации противника на промышленные объекты и города применялись новые типы зажигательных авиабомб с жидким воспламеняющимся составом, что увеличивает площадь одновременного возгорания не только горизонтальных, но и вертикальных поверхностей сооружений… На отдельных объектах, благодаря неправильно осуществленным мероприятиям по закрытию световых проемов (сплошная забивка больших проемов досками наглухо), создавались серьезные затруднения по разборке и удалению затемняющих устройств во время тушения пожаров… При утеплении образуется наслаивание горючих материалов».  Это «своевременное открытие» было сделано почти через год после бомбардировки Ростова-на-Дону, когда было зафиксировано первое массовое применение тяжелых «зажигалок». И словно после этого не было огненных смерчей в Сталинграде, страшных пожаров на Саратовском крекинг-заводе в сентябре 1942 г.?! И только теперь, в июне 1943 г., встал вопрос о создании новых средств пожаротушения. Причем инициативу здесь проявили не те, кому это было положено, т.е. ведомство МПВО НКВД, а руководители заводов. Так, директор Горьковского жиркомбината им. Кирова Андреянов писал председателю горкомитета обороны М. Родионову:  «Последние налеты вражеской авиации показали, что производственные цеха пострадали больше от зажигательных бомб новой конструкции… Тушение этих ЗАБ существующими средствами огнетушения несколько затруднено. Предлагаю организовать производство пекогонов емкостью 15—20 литров со шлангом и распылителем». Впрочем, на все это требовались как минимум месяцы, а к тому времени немцы вполне могли выжечь все города Поволжья.</w:t>
      </w:r>
    </w:p>
    <w:p w14:paraId="29DC725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1BC88E"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09E9AB9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691FBD"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17 июня</w:t>
      </w:r>
      <w:r w:rsidRPr="00D03F3E">
        <w:rPr>
          <w:rFonts w:ascii="Times New Roman" w:hAnsi="Times New Roman"/>
          <w:color w:val="000000" w:themeColor="text1"/>
          <w:sz w:val="16"/>
          <w:szCs w:val="16"/>
        </w:rPr>
        <w:t xml:space="preserve"> в 1943 году впервые поднялся в воздух прототип «DG 205/ G» истребителя </w:t>
      </w:r>
      <w:hyperlink r:id="rId202" w:tgtFrame="_blank" w:history="1">
        <w:r w:rsidRPr="00D03F3E">
          <w:rPr>
            <w:rFonts w:ascii="Times New Roman" w:hAnsi="Times New Roman"/>
            <w:color w:val="000000" w:themeColor="text1"/>
            <w:sz w:val="16"/>
            <w:szCs w:val="16"/>
          </w:rPr>
          <w:t xml:space="preserve">«Метеор» </w:t>
        </w:r>
      </w:hyperlink>
      <w:r w:rsidRPr="00D03F3E">
        <w:rPr>
          <w:rFonts w:ascii="Times New Roman" w:hAnsi="Times New Roman"/>
          <w:color w:val="000000" w:themeColor="text1"/>
          <w:sz w:val="16"/>
          <w:szCs w:val="16"/>
        </w:rPr>
        <w:t>фирмы «Глостер» и использовался для определения основных лётных характеристик «Метеора». 27 апреля 1944 года, при поле с аэродрома Моретон Валенс, этот самолёт потерпел аварию и был списан (14925).</w:t>
      </w:r>
    </w:p>
    <w:p w14:paraId="2FF38BF9" w14:textId="77777777" w:rsidR="00775138" w:rsidRPr="00D03F3E" w:rsidRDefault="00775138" w:rsidP="00D03F3E">
      <w:pPr>
        <w:spacing w:after="0" w:line="240" w:lineRule="auto"/>
        <w:jc w:val="both"/>
        <w:rPr>
          <w:rFonts w:ascii="Times New Roman" w:hAnsi="Times New Roman"/>
          <w:color w:val="000000" w:themeColor="text1"/>
          <w:sz w:val="16"/>
          <w:szCs w:val="16"/>
        </w:rPr>
      </w:pPr>
    </w:p>
    <w:p w14:paraId="2D4DA208"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17 июня</w:t>
      </w:r>
      <w:r w:rsidRPr="00D03F3E">
        <w:rPr>
          <w:rFonts w:ascii="Times New Roman" w:hAnsi="Times New Roman"/>
          <w:color w:val="000000" w:themeColor="text1"/>
          <w:sz w:val="16"/>
          <w:szCs w:val="16"/>
        </w:rPr>
        <w:t xml:space="preserve"> в 1943 году, штаб-квартира ВВС США и техническая служба в лице бригадного генерала Фрэнклина О.Кэрролла - главы армейского авиационно-инженерного отдела, одобрили проект «L-140» (истребитель под двигатель «Н.1 В», закупленный в Англии), a 24 июня был официально заключен контракт. Проект получил обозначение </w:t>
      </w:r>
      <w:hyperlink r:id="rId203" w:tgtFrame="_blank" w:history="1">
        <w:r w:rsidRPr="00D03F3E">
          <w:rPr>
            <w:rFonts w:ascii="Times New Roman" w:hAnsi="Times New Roman"/>
            <w:color w:val="000000" w:themeColor="text1"/>
            <w:sz w:val="16"/>
            <w:szCs w:val="16"/>
          </w:rPr>
          <w:t xml:space="preserve">«ХР-80». </w:t>
        </w:r>
      </w:hyperlink>
      <w:r w:rsidRPr="00D03F3E">
        <w:rPr>
          <w:rFonts w:ascii="Times New Roman" w:hAnsi="Times New Roman"/>
          <w:color w:val="000000" w:themeColor="text1"/>
          <w:sz w:val="16"/>
          <w:szCs w:val="16"/>
        </w:rPr>
        <w:t>Одним из главных условий контракта была поставка «Локхидом» первого самолета уже через 180 дней после заключения договора, начиная с 23 числа (14925).</w:t>
      </w:r>
    </w:p>
    <w:p w14:paraId="164DC6D4" w14:textId="77777777" w:rsidR="00775138" w:rsidRPr="00D03F3E" w:rsidRDefault="00775138" w:rsidP="00D03F3E">
      <w:pPr>
        <w:spacing w:after="0" w:line="240" w:lineRule="auto"/>
        <w:jc w:val="both"/>
        <w:rPr>
          <w:rFonts w:ascii="Times New Roman" w:hAnsi="Times New Roman"/>
          <w:color w:val="000000" w:themeColor="text1"/>
          <w:sz w:val="16"/>
          <w:szCs w:val="16"/>
        </w:rPr>
      </w:pPr>
    </w:p>
    <w:p w14:paraId="40D1762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June 17th, 1943: The British battleships Valiant and Warspite are transferred from Scapa Flow to Oran and Alexandria in North Africa in preparation for Operation Husky, the Allied invasion of Sicily (3819).</w:t>
      </w:r>
    </w:p>
    <w:p w14:paraId="3EAE866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8677EF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июня 1943 английские линкоры Валиант и Ворспайт были переведены из Скапа Флоу в Оран и Александрию для подготовки операции Хаски, вторжения в Сицилию (3819).</w:t>
      </w:r>
    </w:p>
    <w:p w14:paraId="457E267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9581B0"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99CFF1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F34AD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июня 1943 А.И.Ш. писал И.В.С. письмо N 3056:</w:t>
      </w:r>
    </w:p>
    <w:p w14:paraId="7E8AA4A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выяснения состояния моторов АМ-38Ф на самолетах Ил-2, вооруженных пушками 37 мм, в 208 шап, 17 июня с.г. в Дядьково, на место расположения полка, мною были командированы мотористы - работники НКАП, которыми на месте было установлено следующее:</w:t>
      </w:r>
    </w:p>
    <w:p w14:paraId="27DC256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процессе обучения и перегонки самолетов, на 2-х самолетах Ил-2 были произведены вынужденные посадки по причине отказа моторов, приведшие к поломке этих самолетов.</w:t>
      </w:r>
    </w:p>
    <w:p w14:paraId="43941F8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Отказ в работе одного мотора в полете, как было выяснено, произошел по причине расконтровки гайки хвостовика конической шестеренки распредвала.</w:t>
      </w:r>
    </w:p>
    <w:p w14:paraId="248B98C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всех моторах АМ-38Ф, стоящих на самолетах Ил-2 в 208 шап был произведен профилактический осмотр узла распредвала и произведена дополнительная контровка гайки хвостовой конической шестерни.</w:t>
      </w:r>
    </w:p>
    <w:p w14:paraId="1A71C0E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июня 1943 вышло постановление ГОКО № 3601 и 22 июня 1943 г. приказ НКАП, в соответствии с которым ОКБ В.М.М. перебазировали из Омска c завода № 288 на территорию московского завода № 482. При этом часть коллектива КБ В.М.Мясищева, вместе с главным конструктором, перевели на завод № 22 в Казань, а часть - на организованный в Москве филиал (3337).</w:t>
      </w:r>
    </w:p>
    <w:p w14:paraId="1901010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91577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июня 1943 года завершились завод</w:t>
      </w:r>
      <w:r w:rsidRPr="00D03F3E">
        <w:rPr>
          <w:rFonts w:ascii="Times New Roman" w:hAnsi="Times New Roman"/>
          <w:color w:val="000000" w:themeColor="text1"/>
          <w:sz w:val="16"/>
          <w:szCs w:val="16"/>
        </w:rPr>
        <w:softHyphen/>
        <w:t>ские испытания двухместного варианта Су-6 М-71Ф («2Ас»), которые начались 10 марта 1943 (летчик ис</w:t>
      </w:r>
      <w:r w:rsidRPr="00D03F3E">
        <w:rPr>
          <w:rFonts w:ascii="Times New Roman" w:hAnsi="Times New Roman"/>
          <w:color w:val="000000" w:themeColor="text1"/>
          <w:sz w:val="16"/>
          <w:szCs w:val="16"/>
        </w:rPr>
        <w:softHyphen/>
        <w:t>пытатель завода №289 Н.Д.Фиксон поднял Су-6 («2Ас») в воздух) (11845).</w:t>
      </w:r>
    </w:p>
    <w:p w14:paraId="20D5359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76A98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июня 1943 вышло постановление ГКО и потом приказ НКАП, которыми завод № 288 переба</w:t>
      </w:r>
      <w:r w:rsidRPr="00D03F3E">
        <w:rPr>
          <w:rFonts w:ascii="Times New Roman" w:hAnsi="Times New Roman"/>
          <w:color w:val="000000" w:themeColor="text1"/>
          <w:sz w:val="16"/>
          <w:szCs w:val="16"/>
        </w:rPr>
        <w:softHyphen/>
        <w:t>зировали из Омска в Москву, и в августе того же года эки</w:t>
      </w:r>
      <w:r w:rsidRPr="00D03F3E">
        <w:rPr>
          <w:rFonts w:ascii="Times New Roman" w:hAnsi="Times New Roman"/>
          <w:color w:val="000000" w:themeColor="text1"/>
          <w:sz w:val="16"/>
          <w:szCs w:val="16"/>
        </w:rPr>
        <w:softHyphen/>
        <w:t>паж В.И. Жданова выполнил на ДВБ-102 первый дальний (перегоночный) перелет по маршруту Омск — Казань — Москва. Вслед за этим на опытном заводе НИИ ВВС на са</w:t>
      </w:r>
      <w:r w:rsidRPr="00D03F3E">
        <w:rPr>
          <w:rFonts w:ascii="Times New Roman" w:hAnsi="Times New Roman"/>
          <w:color w:val="000000" w:themeColor="text1"/>
          <w:sz w:val="16"/>
          <w:szCs w:val="16"/>
        </w:rPr>
        <w:softHyphen/>
        <w:t>молете начали подготовку по установке форсированных дви</w:t>
      </w:r>
      <w:r w:rsidRPr="00D03F3E">
        <w:rPr>
          <w:rFonts w:ascii="Times New Roman" w:hAnsi="Times New Roman"/>
          <w:color w:val="000000" w:themeColor="text1"/>
          <w:sz w:val="16"/>
          <w:szCs w:val="16"/>
        </w:rPr>
        <w:softHyphen/>
        <w:t>гателей АШ-71Ф с турбокомпрессорами ТК-3, которые уда</w:t>
      </w:r>
      <w:r w:rsidRPr="00D03F3E">
        <w:rPr>
          <w:rFonts w:ascii="Times New Roman" w:hAnsi="Times New Roman"/>
          <w:color w:val="000000" w:themeColor="text1"/>
          <w:sz w:val="16"/>
          <w:szCs w:val="16"/>
        </w:rPr>
        <w:softHyphen/>
        <w:t>лось получить лишь в 1944 г. Одновременно с этим в соот</w:t>
      </w:r>
      <w:r w:rsidRPr="00D03F3E">
        <w:rPr>
          <w:rFonts w:ascii="Times New Roman" w:hAnsi="Times New Roman"/>
          <w:color w:val="000000" w:themeColor="text1"/>
          <w:sz w:val="16"/>
          <w:szCs w:val="16"/>
        </w:rPr>
        <w:softHyphen/>
        <w:t>ветствии с макетом «Дублера» переделали носовую кабину, заменив каплевидный фонарь летчика новым, занявшим практически всю ширину фюзеляжа. Это улучшило обзор и дало возможность штурману подменять летчика в длитель</w:t>
      </w:r>
      <w:r w:rsidRPr="00D03F3E">
        <w:rPr>
          <w:rFonts w:ascii="Times New Roman" w:hAnsi="Times New Roman"/>
          <w:color w:val="000000" w:themeColor="text1"/>
          <w:sz w:val="16"/>
          <w:szCs w:val="16"/>
        </w:rPr>
        <w:softHyphen/>
        <w:t>ном полете. В таком окончательном виде с мая 1944-го по 25 июля 1945 года самолет проходил летные испытания. Несмотря на то, что двигатель М-71Ф, развивавший взлетную мощность 2250 л.с., прошел 50-часовые стендовые испытания, его надежность оставляла желать лучшего. В и-тоге почти четырехлетней работы на ДВБ-102 получили мак</w:t>
      </w:r>
      <w:r w:rsidRPr="00D03F3E">
        <w:rPr>
          <w:rFonts w:ascii="Times New Roman" w:hAnsi="Times New Roman"/>
          <w:color w:val="000000" w:themeColor="text1"/>
          <w:sz w:val="16"/>
          <w:szCs w:val="16"/>
        </w:rPr>
        <w:softHyphen/>
        <w:t>симальную скорость 570 км/ч, практический потолок 10 750 метров и дальность 3740 км. К этому времени пол</w:t>
      </w:r>
      <w:r w:rsidRPr="00D03F3E">
        <w:rPr>
          <w:rFonts w:ascii="Times New Roman" w:hAnsi="Times New Roman"/>
          <w:color w:val="000000" w:themeColor="text1"/>
          <w:sz w:val="16"/>
          <w:szCs w:val="16"/>
        </w:rPr>
        <w:softHyphen/>
        <w:t>ным ходом шли работы по четырехмоторным дальним бом</w:t>
      </w:r>
      <w:r w:rsidRPr="00D03F3E">
        <w:rPr>
          <w:rFonts w:ascii="Times New Roman" w:hAnsi="Times New Roman"/>
          <w:color w:val="000000" w:themeColor="text1"/>
          <w:sz w:val="16"/>
          <w:szCs w:val="16"/>
        </w:rPr>
        <w:softHyphen/>
        <w:t>бардировщикам «64» Туполева и ДВБ-202/302 Мясищевас двигателями жидкостного охлаждения АМ-43 ТК и АМ-46ТК, расчетные параметры которых превосходили ДВБ-102 и наиболее полно отвечали требованиям ВВС конца 1940-х годов. Параллельно с доводками первой опытной машины в 1941 году велись работы по проектированию и постройке дублера, первоначально рассчитывавшегося под двигатель МБ-100. Однако после эвакуации завода № 156 в соответ</w:t>
      </w:r>
      <w:r w:rsidRPr="00D03F3E">
        <w:rPr>
          <w:rFonts w:ascii="Times New Roman" w:hAnsi="Times New Roman"/>
          <w:color w:val="000000" w:themeColor="text1"/>
          <w:sz w:val="16"/>
          <w:szCs w:val="16"/>
        </w:rPr>
        <w:softHyphen/>
        <w:t>ствии с июньским 1942 года приказом НКАП работы по дуб</w:t>
      </w:r>
      <w:r w:rsidRPr="00D03F3E">
        <w:rPr>
          <w:rFonts w:ascii="Times New Roman" w:hAnsi="Times New Roman"/>
          <w:color w:val="000000" w:themeColor="text1"/>
          <w:sz w:val="16"/>
          <w:szCs w:val="16"/>
        </w:rPr>
        <w:softHyphen/>
        <w:t>леру временно прекратились. Уже в Москве его пытались приспособить под двигатели АМ-46ТК, но в окончательном виде построили с двигателями М-71Ф с учетом установки АШ-72. Вследствие возможного выхода из строя потом его законсервировали вместе с другими самолетами на аэродро</w:t>
      </w:r>
      <w:r w:rsidRPr="00D03F3E">
        <w:rPr>
          <w:rFonts w:ascii="Times New Roman" w:hAnsi="Times New Roman"/>
          <w:color w:val="000000" w:themeColor="text1"/>
          <w:sz w:val="16"/>
          <w:szCs w:val="16"/>
        </w:rPr>
        <w:softHyphen/>
        <w:t>ме имени Фрунзе, а после списали (10745,238).</w:t>
      </w:r>
    </w:p>
    <w:p w14:paraId="195212D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AA369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18 июня 1943 вышло постановление ГОКО № 3601 а 22 июня 1943 года и приказ НКАП, в соответствии с которыми завод № 288 перебазировали из Омска на территорию мос</w:t>
      </w:r>
      <w:r w:rsidRPr="00D03F3E">
        <w:rPr>
          <w:rFonts w:ascii="Times New Roman" w:hAnsi="Times New Roman"/>
          <w:color w:val="000000" w:themeColor="text1"/>
          <w:sz w:val="16"/>
          <w:szCs w:val="16"/>
        </w:rPr>
        <w:softHyphen/>
        <w:t>ковского завода № 482. При этом часть коллектива КБ В.М. Мясищева вместе с главным конструктором пе</w:t>
      </w:r>
      <w:r w:rsidRPr="00D03F3E">
        <w:rPr>
          <w:rFonts w:ascii="Times New Roman" w:hAnsi="Times New Roman"/>
          <w:color w:val="000000" w:themeColor="text1"/>
          <w:sz w:val="16"/>
          <w:szCs w:val="16"/>
        </w:rPr>
        <w:softHyphen/>
        <w:t>ревели на завод № 22 в Казань, а часть — на организо</w:t>
      </w:r>
      <w:r w:rsidRPr="00D03F3E">
        <w:rPr>
          <w:rFonts w:ascii="Times New Roman" w:hAnsi="Times New Roman"/>
          <w:color w:val="000000" w:themeColor="text1"/>
          <w:sz w:val="16"/>
          <w:szCs w:val="16"/>
        </w:rPr>
        <w:softHyphen/>
        <w:t>ванный в Москве филиал (11446).</w:t>
      </w:r>
    </w:p>
    <w:p w14:paraId="28FD59A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65665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июня 1943 вышло Постановление ГКО № 3601 О главном конструкторе завода № 22 НКАП.РГАНИР, Фонд ГКО, д. 127, лл. 129-129об (11012).</w:t>
      </w:r>
    </w:p>
    <w:p w14:paraId="3F14B99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203AA9" w14:textId="77777777" w:rsidR="005D428E" w:rsidRPr="00D03F3E" w:rsidRDefault="005D428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июня 1943 вышло Постановление ГКО № 3601 О главном конструкторе завода № 22 НКАП</w:t>
      </w:r>
    </w:p>
    <w:p w14:paraId="04771B59" w14:textId="77777777" w:rsidR="005D428E" w:rsidRPr="00D03F3E" w:rsidRDefault="005D428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улучшения саботы конструкторского бюро завода '5</w:t>
      </w:r>
      <w:r w:rsidRPr="00D03F3E">
        <w:rPr>
          <w:rStyle w:val="CenturyGothic95pt0pt"/>
          <w:rFonts w:ascii="Times New Roman" w:hAnsi="Times New Roman" w:cs="Times New Roman"/>
          <w:color w:val="000000" w:themeColor="text1"/>
          <w:sz w:val="16"/>
          <w:szCs w:val="16"/>
        </w:rPr>
        <w:t xml:space="preserve"> 22</w:t>
      </w:r>
      <w:r w:rsidRPr="00D03F3E">
        <w:rPr>
          <w:rFonts w:ascii="Times New Roman" w:hAnsi="Times New Roman"/>
          <w:color w:val="000000" w:themeColor="text1"/>
          <w:sz w:val="16"/>
          <w:szCs w:val="16"/>
        </w:rPr>
        <w:t xml:space="preserve"> НКАП по самслету ГГе-2 и обеспечения скорейшего выпу</w:t>
      </w:r>
      <w:r w:rsidRPr="00D03F3E">
        <w:rPr>
          <w:rFonts w:ascii="Times New Roman" w:hAnsi="Times New Roman"/>
          <w:color w:val="000000" w:themeColor="text1"/>
          <w:sz w:val="16"/>
          <w:szCs w:val="16"/>
        </w:rPr>
        <w:softHyphen/>
        <w:t>ска модификаций этого самолета с улучшенными летно-техни- ческими характеристиками, Государственный Комитет Оборонк постановляет:</w:t>
      </w:r>
    </w:p>
    <w:p w14:paraId="6860D06A" w14:textId="77777777" w:rsidR="005D428E" w:rsidRPr="00D03F3E" w:rsidRDefault="005D428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Утвердить главным конструктором завода №</w:t>
      </w:r>
      <w:r w:rsidRPr="00D03F3E">
        <w:rPr>
          <w:rStyle w:val="CenturyGothic95pt0pt"/>
          <w:rFonts w:ascii="Times New Roman" w:hAnsi="Times New Roman" w:cs="Times New Roman"/>
          <w:color w:val="000000" w:themeColor="text1"/>
          <w:sz w:val="16"/>
          <w:szCs w:val="16"/>
        </w:rPr>
        <w:t xml:space="preserve"> 22 - </w:t>
      </w:r>
      <w:r w:rsidRPr="00D03F3E">
        <w:rPr>
          <w:rFonts w:ascii="Times New Roman" w:hAnsi="Times New Roman"/>
          <w:color w:val="000000" w:themeColor="text1"/>
          <w:sz w:val="16"/>
          <w:szCs w:val="16"/>
        </w:rPr>
        <w:t>тов.Мясищева В.М.</w:t>
      </w:r>
    </w:p>
    <w:p w14:paraId="65285D5B" w14:textId="77777777" w:rsidR="005D428E" w:rsidRPr="00D03F3E" w:rsidRDefault="005D428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Тов.Путилова А.И. от обязанностей главного конструкто</w:t>
      </w:r>
      <w:r w:rsidRPr="00D03F3E">
        <w:rPr>
          <w:rFonts w:ascii="Times New Roman" w:hAnsi="Times New Roman"/>
          <w:color w:val="000000" w:themeColor="text1"/>
          <w:sz w:val="16"/>
          <w:szCs w:val="16"/>
        </w:rPr>
        <w:softHyphen/>
        <w:t>ра зазода</w:t>
      </w:r>
      <w:r w:rsidRPr="00D03F3E">
        <w:rPr>
          <w:rStyle w:val="CenturyGothic95pt0pt"/>
          <w:rFonts w:ascii="Times New Roman" w:hAnsi="Times New Roman" w:cs="Times New Roman"/>
          <w:color w:val="000000" w:themeColor="text1"/>
          <w:sz w:val="16"/>
          <w:szCs w:val="16"/>
        </w:rPr>
        <w:t xml:space="preserve"> 22 -</w:t>
      </w:r>
      <w:r w:rsidRPr="00D03F3E">
        <w:rPr>
          <w:rFonts w:ascii="Times New Roman" w:hAnsi="Times New Roman"/>
          <w:color w:val="000000" w:themeColor="text1"/>
          <w:sz w:val="16"/>
          <w:szCs w:val="16"/>
        </w:rPr>
        <w:t xml:space="preserve"> освободить.</w:t>
      </w:r>
    </w:p>
    <w:p w14:paraId="589246A5" w14:textId="77777777" w:rsidR="005D428E" w:rsidRPr="00D03F3E" w:rsidRDefault="005D428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Обязать Наокомавиапром - тов.Шахурина и главного конструктора - тов.Мясищеза представить ка утверждение в Государственный Комитет Обороны к 15 июля 1943 года план работы по внедрению модификаций самолета Пе-2 на заводе № 22 с мотором М-107А и по увеличению скорости самолетов Пе-2 с М-105ПФ.</w:t>
      </w:r>
    </w:p>
    <w:p w14:paraId="7EAD18EE" w14:textId="77777777" w:rsidR="005D428E" w:rsidRPr="00D03F3E" w:rsidRDefault="005D428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Обязать Наркомавиапром - тов.Шахурина:</w:t>
      </w:r>
    </w:p>
    <w:p w14:paraId="51A25F5E" w14:textId="77777777" w:rsidR="005D428E" w:rsidRPr="00D03F3E" w:rsidRDefault="005D428E" w:rsidP="00D03F3E">
      <w:pPr>
        <w:tabs>
          <w:tab w:val="left" w:pos="95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перевести в ОКБ завода №</w:t>
      </w:r>
      <w:r w:rsidRPr="00D03F3E">
        <w:rPr>
          <w:rStyle w:val="CenturyGothic95pt0pt"/>
          <w:rFonts w:ascii="Times New Roman" w:hAnsi="Times New Roman" w:cs="Times New Roman"/>
          <w:color w:val="000000" w:themeColor="text1"/>
          <w:sz w:val="16"/>
          <w:szCs w:val="16"/>
        </w:rPr>
        <w:t xml:space="preserve"> 22</w:t>
      </w:r>
      <w:r w:rsidRPr="00D03F3E">
        <w:rPr>
          <w:rFonts w:ascii="Times New Roman" w:hAnsi="Times New Roman"/>
          <w:color w:val="000000" w:themeColor="text1"/>
          <w:sz w:val="16"/>
          <w:szCs w:val="16"/>
        </w:rPr>
        <w:t xml:space="preserve"> основной конструктор</w:t>
      </w:r>
      <w:r w:rsidRPr="00D03F3E">
        <w:rPr>
          <w:rFonts w:ascii="Times New Roman" w:hAnsi="Times New Roman"/>
          <w:color w:val="000000" w:themeColor="text1"/>
          <w:sz w:val="16"/>
          <w:szCs w:val="16"/>
        </w:rPr>
        <w:softHyphen/>
        <w:t>ский состав ЦКБ-29 и в опытный цех завода №</w:t>
      </w:r>
      <w:r w:rsidRPr="00D03F3E">
        <w:rPr>
          <w:rStyle w:val="CenturyGothic95pt0pt"/>
          <w:rFonts w:ascii="Times New Roman" w:hAnsi="Times New Roman" w:cs="Times New Roman"/>
          <w:color w:val="000000" w:themeColor="text1"/>
          <w:sz w:val="16"/>
          <w:szCs w:val="16"/>
        </w:rPr>
        <w:t xml:space="preserve"> 22</w:t>
      </w:r>
      <w:r w:rsidRPr="00D03F3E">
        <w:rPr>
          <w:rFonts w:ascii="Times New Roman" w:hAnsi="Times New Roman"/>
          <w:color w:val="000000" w:themeColor="text1"/>
          <w:sz w:val="16"/>
          <w:szCs w:val="16"/>
        </w:rPr>
        <w:t xml:space="preserve"> производ</w:t>
      </w:r>
      <w:r w:rsidRPr="00D03F3E">
        <w:rPr>
          <w:rFonts w:ascii="Times New Roman" w:hAnsi="Times New Roman"/>
          <w:color w:val="000000" w:themeColor="text1"/>
          <w:sz w:val="16"/>
          <w:szCs w:val="16"/>
        </w:rPr>
        <w:softHyphen/>
        <w:t>ственный персонал и рабочих с необходимым оборудованием ЦКБ и завода № 288 из г.Омска в г.Каэань;</w:t>
      </w:r>
    </w:p>
    <w:p w14:paraId="5D316B32" w14:textId="77777777" w:rsidR="005D428E" w:rsidRPr="00D03F3E" w:rsidRDefault="005D428E" w:rsidP="00D03F3E">
      <w:pPr>
        <w:tabs>
          <w:tab w:val="left" w:pos="95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для проведения опытных работ по боевым высотным самолетам, организовать на заводе № 482 в г.Москве филиал ОКБ тов. Мясинева;</w:t>
      </w:r>
    </w:p>
    <w:p w14:paraId="4BEA3308" w14:textId="77777777" w:rsidR="005D428E" w:rsidRPr="00D03F3E" w:rsidRDefault="005D428E" w:rsidP="00D03F3E">
      <w:pPr>
        <w:tabs>
          <w:tab w:val="left" w:pos="96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организовать для вновь прибывающего состава ОКБ тов.Мясищева на заводе № 22 и заводе № 482 отпуск обедов по нормам, установленным постановлением СНК СССР за № 215-75С от 27.П.1943 г. с выдачей сухих пайков по нормам особого списка в количестве на 50 человек, для ИТР - по ноомам, установленным постановлением СНК СССР з</w:t>
      </w:r>
      <w:r w:rsidRPr="00D03F3E">
        <w:rPr>
          <w:rFonts w:ascii="Times New Roman" w:hAnsi="Times New Roman"/>
          <w:color w:val="000000" w:themeColor="text1"/>
          <w:sz w:val="16"/>
          <w:szCs w:val="16"/>
          <w:lang w:val="en-US"/>
        </w:rPr>
        <w:t>a</w:t>
      </w:r>
      <w:r w:rsidRPr="00D03F3E">
        <w:rPr>
          <w:rFonts w:ascii="Times New Roman" w:hAnsi="Times New Roman"/>
          <w:color w:val="000000" w:themeColor="text1"/>
          <w:sz w:val="16"/>
          <w:szCs w:val="16"/>
        </w:rPr>
        <w:t xml:space="preserve"> № 1548-745 от 17.IX.1942г., с выдачей сухих пайков по нормам особого списка в количестве на 120 человек и для рабочих, работаю</w:t>
      </w:r>
      <w:r w:rsidRPr="00D03F3E">
        <w:rPr>
          <w:rFonts w:ascii="Times New Roman" w:hAnsi="Times New Roman"/>
          <w:color w:val="000000" w:themeColor="text1"/>
          <w:sz w:val="16"/>
          <w:szCs w:val="16"/>
        </w:rPr>
        <w:softHyphen/>
        <w:t>щих с ненормированным днем, дополнительное второе горячее питание без карточек, для 350 человек.</w:t>
      </w:r>
    </w:p>
    <w:p w14:paraId="72B499E3" w14:textId="77777777" w:rsidR="005D428E" w:rsidRPr="00D03F3E" w:rsidRDefault="005D428E" w:rsidP="00D03F3E">
      <w:pPr>
        <w:tabs>
          <w:tab w:val="left" w:pos="95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Обязать НКВД СССР - т.Берия передать из 1У-го Спецотдела НКВД ОКБ т.Мясищева специалистов-самолетчиков в количестве 70 человек.</w:t>
      </w:r>
    </w:p>
    <w:p w14:paraId="15808D75" w14:textId="77777777" w:rsidR="005D428E" w:rsidRPr="00D03F3E" w:rsidRDefault="005D428E" w:rsidP="00D03F3E">
      <w:pPr>
        <w:tabs>
          <w:tab w:val="left" w:pos="95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Обязать НКПС - тов.Кагановича предоставить Нархом авиаарому для перевозки людей и оборудования ЦКБ-29 и за</w:t>
      </w:r>
      <w:r w:rsidRPr="00D03F3E">
        <w:rPr>
          <w:rFonts w:ascii="Times New Roman" w:hAnsi="Times New Roman"/>
          <w:color w:val="000000" w:themeColor="text1"/>
          <w:sz w:val="16"/>
          <w:szCs w:val="16"/>
        </w:rPr>
        <w:softHyphen/>
        <w:t>вода № 288 из г.Омска в г.Казань и в г.Москву, вагоны по заявке НКАП.</w:t>
      </w:r>
    </w:p>
    <w:p w14:paraId="7FBF7BDF" w14:textId="77777777" w:rsidR="005D428E" w:rsidRPr="00D03F3E" w:rsidRDefault="005D428E" w:rsidP="00D03F3E">
      <w:pPr>
        <w:tabs>
          <w:tab w:val="left" w:pos="698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Обязать председателя Совнаркома Татарской АССР тов. Гафиатуллина обеспечить жилплощадью в г.Казани необходимых в ОКБ завода № 22 из</w:t>
      </w:r>
      <w:r w:rsidRPr="00D03F3E">
        <w:rPr>
          <w:rStyle w:val="11pt"/>
          <w:rFonts w:ascii="Times New Roman" w:hAnsi="Times New Roman" w:cs="Times New Roman"/>
          <w:b w:val="0"/>
          <w:color w:val="000000" w:themeColor="text1"/>
          <w:sz w:val="16"/>
          <w:szCs w:val="16"/>
        </w:rPr>
        <w:t xml:space="preserve"> г</w:t>
      </w:r>
      <w:r w:rsidRPr="00D03F3E">
        <w:rPr>
          <w:rFonts w:ascii="Times New Roman" w:hAnsi="Times New Roman"/>
          <w:color w:val="000000" w:themeColor="text1"/>
          <w:sz w:val="16"/>
          <w:szCs w:val="16"/>
        </w:rPr>
        <w:t>.Омска конструкторов и производственников в количестве 300 семей.</w:t>
      </w:r>
    </w:p>
    <w:p w14:paraId="700006F4" w14:textId="77777777" w:rsidR="005D428E" w:rsidRPr="00D03F3E" w:rsidRDefault="005D428E" w:rsidP="00D03F3E">
      <w:pPr>
        <w:tabs>
          <w:tab w:val="left" w:pos="4330"/>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Обязать Моссовет т.Пронина восстановить право на жилплощадь, ранее занимаемую сотрудниками ЦКБ-29 переводимыми для работы в г. Москву по спискам НКАП в количестве 400 работников с их семьями (10408).</w:t>
      </w:r>
    </w:p>
    <w:p w14:paraId="4C17C30A" w14:textId="77777777" w:rsidR="005D428E" w:rsidRPr="00D03F3E" w:rsidRDefault="005D428E"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A22EF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июня 1943 г. пост. ГКО № 3601 и приказом № 367сс от 22.06.1943 г. Мясищев назначен гл. конструктором завода. Тем же приказом при заводе № 482 образован филиал ОКБ завода № 22 по боевьм самолетам (11982).</w:t>
      </w:r>
    </w:p>
    <w:p w14:paraId="56F0E63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BCAB10"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AFB71E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4DBD1B"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18 по 26 июня 1943 г. на Гороховецком полигоне прошли полигонные испытания опытного образца ОБ-25 в объеме 157 выстрелов. </w:t>
      </w:r>
    </w:p>
    <w:p w14:paraId="605C76E5"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в ОКБ-172 был разработан проект 76-мм полковой пушки ОБ-25 обр. 1943 г. Лафет для полковой пушки был взят от 45-мм противотанковой пушки обр. 1942 г. (М-42). Опытные образцы изготавливались на заводе № 172.</w:t>
      </w:r>
    </w:p>
    <w:p w14:paraId="564A10F9"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выявили: неудовлетворительную кучность, плохую работу противооткатных устройств (длина отката достигала 800 мм, а накат происходил со стуком), гнулась боевая ось. Опытный образец полигонные испытания не выдержал. Тем не менее в конце июля 1943 г. были начаты войсковые испытания опытных образцов ОБ-25, на которых были установлены усиленные боевые оси. В ходе войсковых испытаний отстреливались стволы с крутизной нарезки в 15, 20, 25, 30 и 35 калибров. В результате остановились на крутизне 15 калибров.</w:t>
      </w:r>
    </w:p>
    <w:p w14:paraId="7279FBDE"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12 августа 1943 г. войсковые испытания закончились. На вооружение ОБ-25 была принята постановлением ГКО от 4 сентября 1943 г. В валовое производство 76-мм полковая пушка обр. 1943 г. была запущена в конце 1943 г. на двух заводах: № 172 и № 106. Завод № 172 в 1944 г. выпустил 2730 пушек, а в 1945 г. — 1434, и на этом производство ОБ-25 закончил. А завод № 106 выпустил в 1944 г. 464 пушки, в 1945 г. — 494 и в 1946 г. — всего 30 пушек. Итого на обоих заводах было изготовлено 5152 пушки ОБ-25.</w:t>
      </w:r>
    </w:p>
    <w:p w14:paraId="4CC06491"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малый вес и сравнительно хорошую подвижность, в целом ОБ-25 оказалась неудачной полковой пушкой, и с окончанием войны ее сняли с производства, и началась разработка новых полковых орудий (12705).</w:t>
      </w:r>
    </w:p>
    <w:p w14:paraId="0BDEDE54" w14:textId="77777777" w:rsidR="00FD6DE2" w:rsidRPr="00D03F3E" w:rsidRDefault="00FD6DE2" w:rsidP="00D03F3E">
      <w:pPr>
        <w:spacing w:after="0" w:line="240" w:lineRule="auto"/>
        <w:jc w:val="both"/>
        <w:rPr>
          <w:rFonts w:ascii="Times New Roman" w:hAnsi="Times New Roman"/>
          <w:color w:val="000000" w:themeColor="text1"/>
          <w:sz w:val="16"/>
          <w:szCs w:val="16"/>
        </w:rPr>
      </w:pPr>
    </w:p>
    <w:p w14:paraId="0003F33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июня 1943г. была подготовлена ДОКЛАДНАЯ ЗАПИСКА ЗАМЕСТИТЕЛЯ КОМАНДУЮЩЕГО БТ и МВ КА ЗАМЕСТИТЕЛЮ ПРЕДСЕДАТЕЛЯ ГКО МОЛОТОВУ ОБ ОПЫТНЫХ ОБРАЗЦАХ ТАНКОВ ИС С 85-мм ПУШКОЙ</w:t>
      </w:r>
    </w:p>
    <w:p w14:paraId="32964F6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Докладываю, что в соответствии с Постановлением ГОКО №3289сс от 5 мая 1943 г. Кировским заводом изготавливаются опытные образцы танков ИС с 85-мм пушкой.</w:t>
      </w:r>
    </w:p>
    <w:p w14:paraId="4B704A9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Изготавливаемые образцы танков ИС имеют по сравнению с танками ИС-1 и ИС-2 расширенный погон башни до 1800 мм в свету, увеличенное количество опорных катков, увеличенный до 43,5-44 тонн вес танка. Кроме того, с целью улучшения агрегатов танка в их конструкцию вносится ряд изменений.</w:t>
      </w:r>
    </w:p>
    <w:p w14:paraId="2DEAE21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 этим возникает необходимость проведения всесторонних ходовых и артиллерийских испытаний опытных танков ИС.</w:t>
      </w:r>
    </w:p>
    <w:p w14:paraId="26F0F40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Предусмотренный Постановлением ГОКО №3289сс срок представления заключения по испы</w:t>
      </w:r>
      <w:r w:rsidRPr="00D03F3E">
        <w:rPr>
          <w:rFonts w:ascii="Times New Roman" w:hAnsi="Times New Roman"/>
          <w:color w:val="000000" w:themeColor="text1"/>
          <w:sz w:val="16"/>
          <w:szCs w:val="16"/>
        </w:rPr>
        <w:softHyphen/>
        <w:t>таниям танков к 10 июля с.г. является недостаточным, так как провести ходовые и артиллерийские испытания в течение 8-9 суток не представляется возможным.</w:t>
      </w:r>
    </w:p>
    <w:p w14:paraId="04CEC90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Поэтому прошу Вашего разрешения представить заключение по танкам ИС не 10 июля с.г., как указано в Постановлении, а не позднее 20 июля с.г.</w:t>
      </w:r>
    </w:p>
    <w:p w14:paraId="0C02B72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Заместитель командующего БТ и МВ КА генерал-лейтенант танковых войск Коробков</w:t>
      </w:r>
    </w:p>
    <w:p w14:paraId="5F395A6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ГБТУ КА генерал-лейтенант танковых войск Вершинин</w:t>
      </w:r>
    </w:p>
    <w:p w14:paraId="364E690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11355. Д. 1660. Л. 27. Копия (11403).</w:t>
      </w:r>
    </w:p>
    <w:p w14:paraId="7920072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C08784"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18 по 23 июня 1943 года на полигоне Старатель около Нижнего Тагила проходили государственные испытания стрельбой СУ-122М, разработанной на Уралмаше. Было произведено 329 выстрелов. Ходовые испытания проходили на трассах Свердловск - Нижний Тагил и Свердловск - Челябинск, на которых было пройдено 858 км. Государственная комиссия под председательством генерал-майора танковых войск Огурцова признала необходимым внести в конструкцию некоторые изменения для ее дальнейшего улучшения, но в общей оценке вынесла заключение, что "самоход может быть принят на вооружение самоходных артиллерийских частей Красной Армии". Все замечания комиссии были реализованы на новом опытном образце САУ СУ-122-III, вооруженном 122-мм гаубицей Д-6 завода № 9 (9636).</w:t>
      </w:r>
    </w:p>
    <w:p w14:paraId="611BAD17"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p>
    <w:p w14:paraId="7DCC38E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июня — 4 июля 1943 г. проходили Государственные испытания СУ-122М пробегом по трассе Свердловск — Нижний Тагил и Нижний Тагил — Челябинск. Всего было пройдено 858 км по дорогам и свыше 50 вне их, испытания стрельбой проводились на Нижнетагильском артиллерий</w:t>
      </w:r>
      <w:r w:rsidRPr="00D03F3E">
        <w:rPr>
          <w:rFonts w:ascii="Times New Roman" w:hAnsi="Times New Roman"/>
          <w:color w:val="000000" w:themeColor="text1"/>
          <w:sz w:val="16"/>
          <w:szCs w:val="16"/>
        </w:rPr>
        <w:softHyphen/>
        <w:t>ском полигоне НКВ 329 выстрелами.</w:t>
      </w:r>
    </w:p>
    <w:p w14:paraId="1EAFBED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целом испытания стрельбой и пробегом самоход вы</w:t>
      </w:r>
      <w:r w:rsidRPr="00D03F3E">
        <w:rPr>
          <w:rFonts w:ascii="Times New Roman" w:hAnsi="Times New Roman"/>
          <w:color w:val="000000" w:themeColor="text1"/>
          <w:sz w:val="16"/>
          <w:szCs w:val="16"/>
        </w:rPr>
        <w:softHyphen/>
        <w:t>держал, но его вес был сочтен излишним, а стоимость ору</w:t>
      </w:r>
      <w:r w:rsidRPr="00D03F3E">
        <w:rPr>
          <w:rFonts w:ascii="Times New Roman" w:hAnsi="Times New Roman"/>
          <w:color w:val="000000" w:themeColor="text1"/>
          <w:sz w:val="16"/>
          <w:szCs w:val="16"/>
        </w:rPr>
        <w:softHyphen/>
        <w:t>дия У-11 — высокой. Поэтому комиссия признала необхо</w:t>
      </w:r>
      <w:r w:rsidRPr="00D03F3E">
        <w:rPr>
          <w:rFonts w:ascii="Times New Roman" w:hAnsi="Times New Roman"/>
          <w:color w:val="000000" w:themeColor="text1"/>
          <w:sz w:val="16"/>
          <w:szCs w:val="16"/>
        </w:rPr>
        <w:softHyphen/>
        <w:t>димым внести изменения в конструкцию САУ для даль</w:t>
      </w:r>
      <w:r w:rsidRPr="00D03F3E">
        <w:rPr>
          <w:rFonts w:ascii="Times New Roman" w:hAnsi="Times New Roman"/>
          <w:color w:val="000000" w:themeColor="text1"/>
          <w:sz w:val="16"/>
          <w:szCs w:val="16"/>
        </w:rPr>
        <w:softHyphen/>
        <w:t>нейшего улучшения, после чего она могла быть рекомендо</w:t>
      </w:r>
      <w:r w:rsidRPr="00D03F3E">
        <w:rPr>
          <w:rFonts w:ascii="Times New Roman" w:hAnsi="Times New Roman"/>
          <w:color w:val="000000" w:themeColor="text1"/>
          <w:sz w:val="16"/>
          <w:szCs w:val="16"/>
        </w:rPr>
        <w:softHyphen/>
        <w:t>вана на вооружение артиллерийских частей КА (11417).</w:t>
      </w:r>
    </w:p>
    <w:p w14:paraId="5738747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D84AC7" w14:textId="77777777" w:rsidR="00040D2F" w:rsidRPr="00D03F3E" w:rsidRDefault="00040D2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июня 1943 года проект БВ был направлен на рассмотрение в ГБТУ и по нему было дано краткое заключение, подписанное начальником 1 отдела управления бронепоездов и бронемашин ГБТУ Красной Армии инженер-майором Смирновым: </w:t>
      </w:r>
    </w:p>
    <w:p w14:paraId="23B97675" w14:textId="77777777" w:rsidR="00040D2F" w:rsidRPr="00D03F3E" w:rsidRDefault="00040D2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Проект броневагона БВ является переработанными проектом ранее представленного заводом № 38 проекта бронеавто мотрисы МК-1. </w:t>
      </w:r>
    </w:p>
    <w:p w14:paraId="1D0228E5" w14:textId="77777777" w:rsidR="00040D2F" w:rsidRPr="00D03F3E" w:rsidRDefault="00040D2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проекте учтены все основные требования Управления Бронепоездов и Бронемашин ГБТУ КА, предъявленные заводу по проекту бронеавтомотрисы МК-1. </w:t>
      </w:r>
    </w:p>
    <w:p w14:paraId="76E78A1E" w14:textId="77777777" w:rsidR="00040D2F" w:rsidRPr="00D03F3E" w:rsidRDefault="00040D2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 проекту надлежит переработать командирскую рубку в сторону ее уменьшения, также необходимо уменьшить высоту башни размещения зенитного пулемета ДШК. </w:t>
      </w:r>
    </w:p>
    <w:p w14:paraId="2BAA9231" w14:textId="77777777" w:rsidR="00040D2F" w:rsidRPr="00D03F3E" w:rsidRDefault="00040D2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Проект отвечает основным тактико-техническим требованиям ГБТУ КА к подобного типа боевым машинам и должен быть разработан до рабочего проекта для постройки опытного образца». </w:t>
      </w:r>
    </w:p>
    <w:p w14:paraId="49B72DDA" w14:textId="77777777" w:rsidR="00040D2F" w:rsidRPr="00D03F3E" w:rsidRDefault="00040D2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положительное решение о постройке БВ, руководство завода № 38 не стремилось к изготовлению новой боевой машины, аргументируя это большим объемом работ по модернизации СУ-76 и развертыванию серийного производства СУ-76М (18626).</w:t>
      </w:r>
    </w:p>
    <w:p w14:paraId="1366EC0D" w14:textId="77777777" w:rsidR="00040D2F" w:rsidRPr="00D03F3E" w:rsidRDefault="00040D2F" w:rsidP="00D03F3E">
      <w:pPr>
        <w:spacing w:after="0" w:line="240" w:lineRule="auto"/>
        <w:jc w:val="both"/>
        <w:rPr>
          <w:rFonts w:ascii="Times New Roman" w:hAnsi="Times New Roman"/>
          <w:color w:val="000000" w:themeColor="text1"/>
          <w:sz w:val="16"/>
          <w:szCs w:val="16"/>
        </w:rPr>
      </w:pPr>
    </w:p>
    <w:p w14:paraId="6E7A58C1" w14:textId="77777777" w:rsidR="00040D2F" w:rsidRPr="00D03F3E" w:rsidRDefault="00040D2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18 июня 1943 года начальник управления бронепоездов и бронемашин генерал-майор танковых войск Чернов направил справку о мотоброневагоне БВ начальнику ГБТУ Красной Армии генерал-полковнику Федоренко. В ней, в частности, говорилось:</w:t>
      </w:r>
    </w:p>
    <w:p w14:paraId="66ABE07E" w14:textId="77777777" w:rsidR="00040D2F" w:rsidRPr="00D03F3E" w:rsidRDefault="00040D2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«Руководство завода и Наркомтанкопром не заинтересованы в постройке опытного образца броневагона видимо из боязни дополнительной загрузки завода в случае принятия образца для серийного производства. </w:t>
      </w:r>
    </w:p>
    <w:p w14:paraId="6AD02FB1" w14:textId="77777777" w:rsidR="00040D2F" w:rsidRPr="00D03F3E" w:rsidRDefault="00040D2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Считаю, что данный проект после внесения в него незначительных изменений должен быть разработан до рабочего проекта и необходимо поставить вопрос о постройке опытного образца. Данного типа боевые машины нужны бронепоездным частям Красной Армии». </w:t>
      </w:r>
    </w:p>
    <w:p w14:paraId="4FC2850C" w14:textId="77777777" w:rsidR="00040D2F" w:rsidRPr="00D03F3E" w:rsidRDefault="00040D2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 вопрос об изготовлении опытного образца мотоброневагона БВ так и не был решен до осени 1943 года, а затем необходимость в подобной машине отпала - потери бронепоездов в кампании 1943 года оказались небольшими, и Красной Армии вполне хватало существующего бронепоездного парка (18626). </w:t>
      </w:r>
    </w:p>
    <w:p w14:paraId="7476FEFD" w14:textId="77777777" w:rsidR="00040D2F" w:rsidRPr="00D03F3E" w:rsidRDefault="00040D2F" w:rsidP="00D03F3E">
      <w:pPr>
        <w:spacing w:after="0" w:line="240" w:lineRule="auto"/>
        <w:jc w:val="both"/>
        <w:rPr>
          <w:rFonts w:ascii="Times New Roman" w:hAnsi="Times New Roman"/>
          <w:color w:val="000000" w:themeColor="text1"/>
          <w:sz w:val="16"/>
          <w:szCs w:val="16"/>
        </w:rPr>
      </w:pPr>
    </w:p>
    <w:p w14:paraId="142123C1"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июня 1943 вышло Постановление ГКО № 3600 О мерах по обеспечению роста добычи нефти на промыслах Казахстаннефтекомбината. (7116, 116-124,125-128).</w:t>
      </w:r>
    </w:p>
    <w:p w14:paraId="56654FB2"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AF3C6E"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68ADF67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D611E4"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18 июня</w:t>
      </w:r>
      <w:r w:rsidRPr="00D03F3E">
        <w:rPr>
          <w:rFonts w:ascii="Times New Roman" w:hAnsi="Times New Roman"/>
          <w:color w:val="000000" w:themeColor="text1"/>
          <w:sz w:val="16"/>
          <w:szCs w:val="16"/>
        </w:rPr>
        <w:t xml:space="preserve"> в 1943 году вечернее сообщение Совинформбюро:</w:t>
      </w:r>
    </w:p>
    <w:p w14:paraId="53795B07"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18 июня на фронте ничего существенного не произошло.</w:t>
      </w:r>
    </w:p>
    <w:p w14:paraId="71A5F77A"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снайперы Н-ской части за последние четыре дня уничтожили более 100 немецких солдат и офицеров. На одном участке разведывательный отряд противника пытался пробраться в расположение нашей обороны. Вражеские разведчики были своевременно обнаружены боевым охранением роты, где командиром старший лейтенант т. Бедняков. Ружейно-пулемётным огнём гитлеровцы были отброшены с большими для них потерями.</w:t>
      </w:r>
    </w:p>
    <w:p w14:paraId="0713FEA8"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наши подразделения вели разведку и уничтожили до роты гитлеровцев. Советские зенитчики сбили 2 немецких самолёта. Лётчики Н-ской части атаковали немецкую автоколонну и уничтожили 14 автомашин с разными грузами.</w:t>
      </w:r>
    </w:p>
    <w:p w14:paraId="251D25E9"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разведывательные отряды взорвали несколько вражеских дзотов вместе с находившимися в них гитлеровцами. Группа разведчиков под командованием лейтенанта т. Парпеева проникла в расположение противника и завязала бой с ротой немецких автоматчиков. Наши разведчики уничтожили 40 гитлеровцев и благополучно вернулись в свою часть.</w:t>
      </w:r>
    </w:p>
    <w:p w14:paraId="6A441BEE"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артиллерийские и миномётные подразделения рассеяли ичастью истребили до двух рот немецкой пехоты, разрушили 12 дзотов, 4 блиндажа и 3 наблюдательных пункта противника. Огнём наших снайперов уничтожено 80 гитлеровцев.</w:t>
      </w:r>
    </w:p>
    <w:p w14:paraId="51F073D1"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воздушных боях и огнём зенитной артиллерии сбито 7 немецких бомбардировщиков.</w:t>
      </w:r>
    </w:p>
    <w:p w14:paraId="10980A85"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участке Северо-Западного фронта наше подразделение атаковало противника, укрепившегося на выгодной высоте. Внезапным броском советские бойцы ворвались в немецкие траншеи и овладели ими. В рукопашной схватке уничтожено несколько десятков гитлеровцев. Противник несколько раз пытался восстановить положение, но успеха не добился.</w:t>
      </w:r>
    </w:p>
    <w:p w14:paraId="33D851E1"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Ленинградской области, в бою против немецкой карательной экспедиции уничтожил 120 гитлеровцев. Партизаны захватили 2 миномёта, 4 пулемёта, 14 автоматов, 29 винтовок и много патронов. Несколько ленинградских партизанских отрядов за семь дней пустили под откос 18 вражеских эшелонов. Уничтожено несколько паровозов и много вагонов с войсками и военным имуществом.</w:t>
      </w:r>
    </w:p>
    <w:p w14:paraId="0CC9FC1C"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солдат 211 немецкой пехотной дивизии Фридрих М. рассказал: «Я молодой солдат и только недавно попал на фронт. Уже по дороге в Россию мне пришлось испытать ужасы войны. В районе Минска наш маршевый батальон провёл целую ночь в состоянии боевой готовности, опасаясь нападения партизан. Не доезжая Брянска, поезд, в котором я ехал, наскочил на мину. Несколько десятков метров железнодорожного полотна было разрушено. Всю ночь специальная команда ремонтировала путь, а мы по приказу командира занимали круговую оборону. B Брянске во время налёта русской авиации бомбы попали в вокзал и железнодорожные эшелоны. Погибло очень много солдат».</w:t>
      </w:r>
    </w:p>
    <w:p w14:paraId="3BD969B5"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Копенгагене датские патриоты подожгли химический завод. Огнём уничтожены все основные цеха этого завода. Вооружённая группа патриотов взорвала депо на станции Тендер. Взрывом бомб замедленного действия нанесены серьёзные повреждения цементному заводу в Ольборге.» (14926).</w:t>
      </w:r>
    </w:p>
    <w:p w14:paraId="1EB90CB0" w14:textId="77777777" w:rsidR="00775138" w:rsidRPr="00D03F3E" w:rsidRDefault="00775138" w:rsidP="00D03F3E">
      <w:pPr>
        <w:spacing w:after="0" w:line="240" w:lineRule="auto"/>
        <w:jc w:val="both"/>
        <w:rPr>
          <w:rFonts w:ascii="Times New Roman" w:hAnsi="Times New Roman"/>
          <w:color w:val="000000" w:themeColor="text1"/>
          <w:sz w:val="16"/>
          <w:szCs w:val="16"/>
        </w:rPr>
      </w:pPr>
    </w:p>
    <w:p w14:paraId="3C287DCD"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18 июня</w:t>
      </w:r>
      <w:r w:rsidRPr="00D03F3E">
        <w:rPr>
          <w:rFonts w:ascii="Times New Roman" w:hAnsi="Times New Roman"/>
          <w:color w:val="000000" w:themeColor="text1"/>
          <w:sz w:val="16"/>
          <w:szCs w:val="16"/>
        </w:rPr>
        <w:t xml:space="preserve"> в 1943 году вечернее сообщение Совинформбюро:</w:t>
      </w:r>
    </w:p>
    <w:p w14:paraId="786EEE59"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18 июня на фронте существенных изменений не произошло.</w:t>
      </w:r>
    </w:p>
    <w:p w14:paraId="52BAB41B"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июня частями нашей авиации на различных участках фронта уничтожено или повреждено не менее 10 автомашин с войсками и грузами, взорвано несколько складов боеприпасов, разбит железнодорожный состав, рассеяно и частью уничтожено до роты пехоты противника.</w:t>
      </w:r>
    </w:p>
    <w:p w14:paraId="5F9C5FAD"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истребили до 200 немецких солдат и офицеров. Уничтожены 6 пулемётов, миномётная батарея и взорван склад боеприпасов противника. На одном участке отряд наших разведчиков ворвался в немецкие траншеи и в рукопашной схватке истребил свыше 50 гитлеровцев. 3ахватив трофеи, разведчики вернулись в свою часть.</w:t>
      </w:r>
    </w:p>
    <w:p w14:paraId="0D0F50F5"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Мценска противник подтягивал резервы и активности не проявлял. За несколько дней боёв на этом участке немцы потеряли только убитыми более 2.000 солдат и офицеров. Нашими подразделениями подбито и сожжено 18 вражеских танков, уничтожено 12 орудий, 18 миномётов, из них 3 шестиствольных, свыше 40 пулемётов. В воздушных боях и огнём пехотного оружия сбито 15 немецких самолётов. Наши подразделения захватили трофеи и пленных.</w:t>
      </w:r>
    </w:p>
    <w:p w14:paraId="1FA18A11"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наши снайперы и разведывательные группы истребили до роты гитлеровцев. Огнём артиллерии разрушены 4 немецких блиндажа, 2 дзота и наблюдательный пункт противника. В воздушном бою сбито 3 немецких самолёта.</w:t>
      </w:r>
    </w:p>
    <w:p w14:paraId="133A7775"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происходила редкая артиллерийско-миномётная перестрелка. Огнём наших артиллеристов и миномётчиков уничтожены 2 орудия, 4 пулемётные точки, разрушено 4 блиндажа, 3 наблюдательных пункта и рассеяно до двух рот пехоты противника.</w:t>
      </w:r>
    </w:p>
    <w:p w14:paraId="45058FB5"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наши части истребили до 150 немецких солдат и офицеров, уничтожили 3 орудия, 2 миномёта и 6 пулемётов противника. Снайперы Н-ской части за несколько дней уничтожили более 100 гитлеровцев. Старшины тт. Афанасьев иДмитров убили по 20 немцев, ефрейтор т. Харитонов уничтожил 19 гитлеровцев.</w:t>
      </w:r>
    </w:p>
    <w:p w14:paraId="0166E22F"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Минской области, пустил под откос 3 немецких воинских эшелона. При крушениях разбито 56 вагонов с войсками и вооружением. Под обломками вагонов погибло много немецких солдат. Партизаны другого отряда в бою с карательной экспедицией гитлеровцев сожгли 2 немецких танка и истребили до 80 вражеских солдат и офицеров.</w:t>
      </w:r>
    </w:p>
    <w:p w14:paraId="62FFC6DD"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ефрейтор 327 немецкой пехотной дивизии Пауль К. рассказал: «В февральских боях дивизия понесла очень тяжёлые потери. На моих глазах погибли сотни солдат и офицеров. За последнее время в дивизию влилось большое количество австрийцев и чехов. В отдельных подразделениях немцы сейчас составляют меньшинство. Настроение солдат никак нельзя назвать воинственным. Ефрейтор Ж. из Дортмунда недавно заявил в тесном товарищеском кругу: «Мне всё время твердят, что в России я защищаю свою семью и, пока я на фронте, моя семья находится в безопасности. Но это ложь. Я мучаюсь здесь и ежеминутно рискую своей жизнью, а моя семья там, в Дортмунде, страдает и подвергается смертельной опасности. Мне незачем здесь воевать».</w:t>
      </w:r>
    </w:p>
    <w:p w14:paraId="097D096C"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совершили нападение на немецкий караван барж, следовавший по реке Дунай из Румынии. Патриоты истребили 20 гитлеровцев и подожгли четыре баржи с нефтью.» (14926).</w:t>
      </w:r>
    </w:p>
    <w:p w14:paraId="1CDF19DA" w14:textId="77777777" w:rsidR="00775138" w:rsidRPr="00D03F3E" w:rsidRDefault="00775138" w:rsidP="00D03F3E">
      <w:pPr>
        <w:spacing w:after="0" w:line="240" w:lineRule="auto"/>
        <w:jc w:val="both"/>
        <w:rPr>
          <w:rFonts w:ascii="Times New Roman" w:hAnsi="Times New Roman"/>
          <w:color w:val="000000" w:themeColor="text1"/>
          <w:sz w:val="16"/>
          <w:szCs w:val="16"/>
        </w:rPr>
      </w:pPr>
    </w:p>
    <w:p w14:paraId="35EF7AB7" w14:textId="77777777" w:rsidR="00040D2F" w:rsidRPr="00D03F3E" w:rsidRDefault="00040D2F" w:rsidP="00D03F3E">
      <w:pPr>
        <w:pStyle w:val="ae"/>
        <w:spacing w:before="0" w:after="0"/>
        <w:jc w:val="both"/>
        <w:textAlignment w:val="baseline"/>
        <w:rPr>
          <w:color w:val="000000" w:themeColor="text1"/>
          <w:sz w:val="16"/>
          <w:szCs w:val="16"/>
        </w:rPr>
      </w:pPr>
      <w:r w:rsidRPr="00D03F3E">
        <w:rPr>
          <w:color w:val="000000" w:themeColor="text1"/>
          <w:sz w:val="16"/>
          <w:szCs w:val="16"/>
        </w:rPr>
        <w:t>18 июня 1943 на аэродроме Сещинская все-таки удалось прямым попаданием уничтожить на стоянке один Не-111Н из 5-й эскадрильи KG4 «Генерал Вефер». Все последующие ночные налеты, продолжавшиеся вплоть до 26 июня, закончились безуспешно.</w:t>
      </w:r>
    </w:p>
    <w:p w14:paraId="3F439300" w14:textId="77777777" w:rsidR="00040D2F" w:rsidRPr="00D03F3E" w:rsidRDefault="00040D2F" w:rsidP="00D03F3E">
      <w:pPr>
        <w:pStyle w:val="ae"/>
        <w:spacing w:before="0" w:after="0"/>
        <w:jc w:val="both"/>
        <w:textAlignment w:val="baseline"/>
        <w:rPr>
          <w:color w:val="000000" w:themeColor="text1"/>
          <w:sz w:val="16"/>
          <w:szCs w:val="16"/>
        </w:rPr>
      </w:pPr>
      <w:r w:rsidRPr="00D03F3E">
        <w:rPr>
          <w:color w:val="000000" w:themeColor="text1"/>
          <w:sz w:val="16"/>
          <w:szCs w:val="16"/>
        </w:rPr>
        <w:t>В целом массированные налеты на немецкие аэродромы на Орловском выступе, проводившиеся с 5 по 26 июня 1943 г., не дали практически никаких результатов. Советской авиации удалось уничтожить на аэродромах пять немецких самолетов: три Fi-156 и по одному Ju-88 и Не-111, еще шесть-семь машин получили различные повреждения. Все эти достижения пришлись на ночные двух— и четырехмоторные бомбардировщики и, возможно, на «кукурузники» У-2.</w:t>
      </w:r>
    </w:p>
    <w:p w14:paraId="1E6B3CA5" w14:textId="77777777" w:rsidR="00040D2F" w:rsidRPr="00D03F3E" w:rsidRDefault="00040D2F" w:rsidP="00D03F3E">
      <w:pPr>
        <w:pStyle w:val="ae"/>
        <w:spacing w:before="0" w:after="0"/>
        <w:jc w:val="both"/>
        <w:textAlignment w:val="baseline"/>
        <w:rPr>
          <w:color w:val="000000" w:themeColor="text1"/>
          <w:sz w:val="16"/>
          <w:szCs w:val="16"/>
        </w:rPr>
      </w:pPr>
      <w:r w:rsidRPr="00D03F3E">
        <w:rPr>
          <w:color w:val="000000" w:themeColor="text1"/>
          <w:sz w:val="16"/>
          <w:szCs w:val="16"/>
        </w:rPr>
        <w:t>Удары же штурмовиков, специально созданных для поражения подобных целей, оказались совершенно бесполезными! Спрашивается, куда же девались сотни бомб, сброшенных «черными смертями» на германские аэродромы? Ведь куда-то же они падали? Ответ прост, падали они на близлежащие поселки и деревни, на поля и огороды, а нередко также на головы своих же мирных жителей.</w:t>
      </w:r>
    </w:p>
    <w:p w14:paraId="13025106" w14:textId="77777777" w:rsidR="00040D2F" w:rsidRPr="00D03F3E" w:rsidRDefault="00040D2F" w:rsidP="00D03F3E">
      <w:pPr>
        <w:pStyle w:val="ae"/>
        <w:spacing w:before="0" w:after="0"/>
        <w:jc w:val="both"/>
        <w:textAlignment w:val="baseline"/>
        <w:rPr>
          <w:color w:val="000000" w:themeColor="text1"/>
          <w:sz w:val="16"/>
          <w:szCs w:val="16"/>
        </w:rPr>
      </w:pPr>
      <w:r w:rsidRPr="00D03F3E">
        <w:rPr>
          <w:color w:val="000000" w:themeColor="text1"/>
          <w:sz w:val="16"/>
          <w:szCs w:val="16"/>
        </w:rPr>
        <w:t>В то же время штурмовые, бомбардировочные и истребительные полки, а также соединения АДД понесли большие потери. В отчете о боевых действиях 1-й воздушной армии за июнь 1943 г. по этому поводу содержался неутешительный вывод:</w:t>
      </w:r>
    </w:p>
    <w:p w14:paraId="5AEB06CE" w14:textId="77777777" w:rsidR="00040D2F" w:rsidRPr="00D03F3E" w:rsidRDefault="00040D2F" w:rsidP="00D03F3E">
      <w:pPr>
        <w:pStyle w:val="ae"/>
        <w:spacing w:before="0" w:after="0"/>
        <w:jc w:val="both"/>
        <w:textAlignment w:val="baseline"/>
        <w:rPr>
          <w:iCs/>
          <w:color w:val="000000" w:themeColor="text1"/>
          <w:sz w:val="16"/>
          <w:szCs w:val="16"/>
          <w:bdr w:val="none" w:sz="0" w:space="0" w:color="auto" w:frame="1"/>
        </w:rPr>
      </w:pPr>
      <w:r w:rsidRPr="00D03F3E">
        <w:rPr>
          <w:iCs/>
          <w:color w:val="000000" w:themeColor="text1"/>
          <w:sz w:val="16"/>
          <w:szCs w:val="16"/>
          <w:bdr w:val="none" w:sz="0" w:space="0" w:color="auto" w:frame="1"/>
        </w:rPr>
        <w:t>«Необходимо отметить, что в операции по удару по аэродромам противника мы понесли чрезвычайно большие потери, особенно 10.06, которых можно было бы избежать при лучшей организации боевой работы» (19522).</w:t>
      </w:r>
    </w:p>
    <w:p w14:paraId="0570EC73" w14:textId="77777777" w:rsidR="00040D2F" w:rsidRPr="00D03F3E" w:rsidRDefault="00040D2F" w:rsidP="00D03F3E">
      <w:pPr>
        <w:pStyle w:val="ae"/>
        <w:spacing w:before="0" w:after="0"/>
        <w:jc w:val="both"/>
        <w:textAlignment w:val="baseline"/>
        <w:rPr>
          <w:iCs/>
          <w:color w:val="000000" w:themeColor="text1"/>
          <w:sz w:val="16"/>
          <w:szCs w:val="16"/>
          <w:bdr w:val="none" w:sz="0" w:space="0" w:color="auto" w:frame="1"/>
        </w:rPr>
      </w:pPr>
    </w:p>
    <w:p w14:paraId="582BA28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ночь на 18 июня 1943 «Хейнкели» из I./KG100 «Викинг» атаковали Камышин, разрушив местную нефтебазу и завод стеклотары в Саратове. Попутно бомбардировщики сбросили в Волгу новые мины. В эту же ночь одиночный Не-111 совершил налет на Сызрань, сбросив на город десять фугасных и одну тяжелую зажигательную бомбу. Таким образом, в ходе второй фазы воздушной операции против Поволжья, с 9 по 18 июня, бомбардировочная авиация Люфтваффе окончательно вывела из строя Горьковский автозавод, разрушила Саратовский крекинг-завод им. Кирова и Ярославский шинный завод. Кроме того, были нанесены </w:t>
      </w:r>
      <w:r w:rsidRPr="00D03F3E">
        <w:rPr>
          <w:rFonts w:ascii="Times New Roman" w:hAnsi="Times New Roman"/>
          <w:color w:val="000000" w:themeColor="text1"/>
          <w:sz w:val="16"/>
          <w:szCs w:val="16"/>
        </w:rPr>
        <w:lastRenderedPageBreak/>
        <w:t>сильные повреждения нескольким средним предприятиям и крупным нефтебазам. Потери немцев составили семь бомбардировщиков, из них по три были сбиты во время налетов на Горький и Ярославль и один – над Саратовом (11774).</w:t>
      </w:r>
    </w:p>
    <w:p w14:paraId="1D083D4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240497" w14:textId="77777777" w:rsidR="0077513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60D10459" w14:textId="77777777" w:rsidR="00775138" w:rsidRPr="00D03F3E" w:rsidRDefault="0077513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A0AEF6"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18 июня</w:t>
      </w:r>
      <w:r w:rsidRPr="00D03F3E">
        <w:rPr>
          <w:rFonts w:ascii="Times New Roman" w:hAnsi="Times New Roman"/>
          <w:color w:val="000000" w:themeColor="text1"/>
          <w:sz w:val="16"/>
          <w:szCs w:val="16"/>
        </w:rPr>
        <w:t xml:space="preserve"> в 1943 году к ответственному работнику МИД Германии Питеру Кляйсту, находившемуся в Стокгольме, обратился местный бизнесмен Эдгар Клаус, выходец из Восточной Пруссии, женатый на русской эмигрантке. Клаус сообщил, что некие «друзья из советского посольства» просили передать представителю германского МИД мнение советской стороны о возможности сепаратных переговоров между Москвой и Берлином. Советские эмиссары, которые действовали от имени посла Коллонтай, заявили, что «Советский Союз не намерен сражаться за англо-американские интересы» и не доверяет партнерам по антигитлеровской коалиции. Москва опасалась, что после поражения Германии ослабленный Советский Союз окажется один на один с западными «империалистами». По мнению представителей советского посольства, настоящих противоречий между Германией и СССР нет, а «Германия была втянута в войну против Советского Союза благодаря интригам империалистических держав». Главным предметом торга, полагали эмиссары, могли стать советские территории, оккупированные германскими войсками (14926).</w:t>
      </w:r>
    </w:p>
    <w:p w14:paraId="2864EB09" w14:textId="77777777" w:rsidR="00775138" w:rsidRPr="00D03F3E" w:rsidRDefault="00775138" w:rsidP="00D03F3E">
      <w:pPr>
        <w:spacing w:after="0" w:line="240" w:lineRule="auto"/>
        <w:jc w:val="both"/>
        <w:rPr>
          <w:rFonts w:ascii="Times New Roman" w:hAnsi="Times New Roman"/>
          <w:color w:val="000000" w:themeColor="text1"/>
          <w:sz w:val="16"/>
          <w:szCs w:val="16"/>
        </w:rPr>
      </w:pPr>
    </w:p>
    <w:p w14:paraId="42997FAD" w14:textId="77777777" w:rsidR="00775138"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15C3EDA9" w14:textId="77777777" w:rsidR="00775138" w:rsidRPr="00D03F3E" w:rsidRDefault="0077513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812FC2"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18 июня</w:t>
      </w:r>
      <w:r w:rsidRPr="00D03F3E">
        <w:rPr>
          <w:rFonts w:ascii="Times New Roman" w:hAnsi="Times New Roman"/>
          <w:color w:val="000000" w:themeColor="text1"/>
          <w:sz w:val="16"/>
          <w:szCs w:val="16"/>
        </w:rPr>
        <w:t xml:space="preserve"> в 1943 году подписан контракт (№ AC-39160) на изготовление прототипа </w:t>
      </w:r>
      <w:hyperlink r:id="rId204" w:tgtFrame="_blank" w:history="1">
        <w:r w:rsidRPr="00D03F3E">
          <w:rPr>
            <w:rFonts w:ascii="Times New Roman" w:hAnsi="Times New Roman"/>
            <w:color w:val="000000" w:themeColor="text1"/>
            <w:sz w:val="16"/>
            <w:szCs w:val="16"/>
          </w:rPr>
          <w:t xml:space="preserve">«XP-47J». </w:t>
        </w:r>
      </w:hyperlink>
      <w:r w:rsidRPr="00D03F3E">
        <w:rPr>
          <w:rFonts w:ascii="Times New Roman" w:hAnsi="Times New Roman"/>
          <w:color w:val="000000" w:themeColor="text1"/>
          <w:sz w:val="16"/>
          <w:szCs w:val="16"/>
        </w:rPr>
        <w:t>В случае обнадеживающих результатов испытаний «XP-47J» планировалось поставить в 1944 году на поток взамен «P-47D». Одно время были планы запуска модели J в серийное производство, но сложности с быстрым запуском в серийное производство на 70% новой машины и появление даже более совершенного «XP-72» привело к отмене этих планов. Предложение оснастить «XP-47J» двумя пропеллерами противоположного вращения и двигателем «R-2800-61» также было отклонено (14926).</w:t>
      </w:r>
    </w:p>
    <w:p w14:paraId="2F11E445" w14:textId="77777777" w:rsidR="00775138" w:rsidRPr="00D03F3E" w:rsidRDefault="00775138" w:rsidP="00D03F3E">
      <w:pPr>
        <w:spacing w:after="0" w:line="240" w:lineRule="auto"/>
        <w:jc w:val="both"/>
        <w:rPr>
          <w:rFonts w:ascii="Times New Roman" w:hAnsi="Times New Roman"/>
          <w:color w:val="000000" w:themeColor="text1"/>
          <w:sz w:val="16"/>
          <w:szCs w:val="16"/>
        </w:rPr>
      </w:pPr>
    </w:p>
    <w:p w14:paraId="5C6EE6C8"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18 июня</w:t>
      </w:r>
      <w:r w:rsidRPr="00D03F3E">
        <w:rPr>
          <w:rFonts w:ascii="Times New Roman" w:hAnsi="Times New Roman"/>
          <w:color w:val="000000" w:themeColor="text1"/>
          <w:sz w:val="16"/>
          <w:szCs w:val="16"/>
        </w:rPr>
        <w:t xml:space="preserve"> в 1943 году заказаны два опытных образца </w:t>
      </w:r>
      <w:hyperlink r:id="rId205" w:tgtFrame="_blank" w:history="1">
        <w:r w:rsidRPr="00D03F3E">
          <w:rPr>
            <w:rFonts w:ascii="Times New Roman" w:hAnsi="Times New Roman"/>
            <w:color w:val="000000" w:themeColor="text1"/>
            <w:sz w:val="16"/>
            <w:szCs w:val="16"/>
          </w:rPr>
          <w:t xml:space="preserve">«XP-72» </w:t>
        </w:r>
      </w:hyperlink>
      <w:r w:rsidRPr="00D03F3E">
        <w:rPr>
          <w:rFonts w:ascii="Times New Roman" w:hAnsi="Times New Roman"/>
          <w:color w:val="000000" w:themeColor="text1"/>
          <w:sz w:val="16"/>
          <w:szCs w:val="16"/>
        </w:rPr>
        <w:t>с серийными номерами 43-36598 и 43-36599. Фактически это были обычные «Thunderbolt», оснащенные новым 28-цилиндровым четырехрядным звездообразным двигателем воздушного охлаждения «Pratt&amp;Whitney» «R-4360-13» «Wasp Major» взлетной мощностью 3000 л.с. (2240 кВт) - наиболее мощным поршневым двигателем, изготовленным во время Второй мировой войны. Двигатель был закрыт очень плотно облегавшим капотом и охлаждался вентилятором. Двигатель «Wasp Major» предполагалось оснастить двумя трехлопастными пропеллерами противоположного вращения Aeroproducts. Стандартные крылья и хвост от «P-47D» оставались без изменения, а фюзеляж был увеличен в размерах и усилен. Турбокомпрессор располагался в хвостовой части фюзеляжа позади кабины как и на «P-47», но вход турбокомпрессора был перемещен из под двигателя в положение под кабиной пилота. Нижняя часть фюзеляжа претерпела изменения для установки большого воздухозаборника турбокомпрессора. «XP-72» предполагалось оснастить каплевидным фонарем без металлического каркаса, аналогичным примененному на последних серийных «P-47D». Для устранения эффекта сжимаемости воздуха под крыльями установили "тормозные щитки" (dive flaps) с электрическим управлением аналогичные примененным на серии «D-30-RA», для облегчения вывода самолета из пикирования. Вооружение должно было состоять из шести установленных на крыле 12,7 мм пулеметов «Colt-Browning» «M-2» и двух 1000 фунтовых бомб на подкрыльных подвесках (14926).</w:t>
      </w:r>
    </w:p>
    <w:p w14:paraId="25987DF2" w14:textId="77777777" w:rsidR="00775138" w:rsidRPr="00D03F3E" w:rsidRDefault="00775138" w:rsidP="00D03F3E">
      <w:pPr>
        <w:spacing w:after="0" w:line="240" w:lineRule="auto"/>
        <w:jc w:val="both"/>
        <w:rPr>
          <w:rFonts w:ascii="Times New Roman" w:hAnsi="Times New Roman"/>
          <w:color w:val="000000" w:themeColor="text1"/>
          <w:sz w:val="16"/>
          <w:szCs w:val="16"/>
        </w:rPr>
      </w:pPr>
    </w:p>
    <w:p w14:paraId="662466FB"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18 июня</w:t>
      </w:r>
      <w:r w:rsidRPr="00D03F3E">
        <w:rPr>
          <w:rFonts w:ascii="Times New Roman" w:hAnsi="Times New Roman"/>
          <w:color w:val="000000" w:themeColor="text1"/>
          <w:sz w:val="16"/>
          <w:szCs w:val="16"/>
        </w:rPr>
        <w:t xml:space="preserve"> в 1943 году в США создана организация под кодовым названием «Манхэттенский проект» для изготовления атомной бомбы (14926).</w:t>
      </w:r>
    </w:p>
    <w:p w14:paraId="1D8FA29F" w14:textId="77777777" w:rsidR="00775138" w:rsidRPr="00D03F3E" w:rsidRDefault="00775138" w:rsidP="00D03F3E">
      <w:pPr>
        <w:spacing w:after="0" w:line="240" w:lineRule="auto"/>
        <w:jc w:val="both"/>
        <w:rPr>
          <w:rFonts w:ascii="Times New Roman" w:hAnsi="Times New Roman"/>
          <w:color w:val="000000" w:themeColor="text1"/>
          <w:sz w:val="16"/>
          <w:szCs w:val="16"/>
        </w:rPr>
      </w:pPr>
    </w:p>
    <w:p w14:paraId="2A5E75C5"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18 июня</w:t>
      </w:r>
      <w:r w:rsidRPr="00D03F3E">
        <w:rPr>
          <w:rFonts w:ascii="Times New Roman" w:hAnsi="Times New Roman"/>
          <w:color w:val="000000" w:themeColor="text1"/>
          <w:sz w:val="16"/>
          <w:szCs w:val="16"/>
        </w:rPr>
        <w:t xml:space="preserve"> в 1943 году правительство Швеции отказалось от дальнейшей продажи оружия Финляндии (14926).</w:t>
      </w:r>
    </w:p>
    <w:p w14:paraId="04D8CF67" w14:textId="77777777" w:rsidR="00775138" w:rsidRPr="00D03F3E" w:rsidRDefault="00775138" w:rsidP="00D03F3E">
      <w:pPr>
        <w:spacing w:after="0" w:line="240" w:lineRule="auto"/>
        <w:jc w:val="both"/>
        <w:rPr>
          <w:rFonts w:ascii="Times New Roman" w:hAnsi="Times New Roman"/>
          <w:color w:val="000000" w:themeColor="text1"/>
          <w:sz w:val="16"/>
          <w:szCs w:val="16"/>
        </w:rPr>
      </w:pPr>
    </w:p>
    <w:p w14:paraId="0C9944D0"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EF1A15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C7BF9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С.В.И. писал Дементьеву, ГИ ВВС Репину, директорам заводов 18, 1, 30, зам ГК на заводах 18 и 30 Бугайскому Наумову письмо N 3/685:</w:t>
      </w:r>
    </w:p>
    <w:p w14:paraId="780E62E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 ШАК на самолетах Ил-2 наблюдались случай произвольного открытия створок бомбовых отсеков. Зарегистрировано 2 случая открытия створок, выпадения бомб АО-25 и их взрыва в момент взлета самолета с тяжелыми последствиями для матчасти и экипажа. Отмечено еще 4 случая выпадения мелких бомб из отсеков, но без каких-либо последствий.</w:t>
      </w:r>
    </w:p>
    <w:p w14:paraId="5AF5A16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1-й случай произошел 6 мая 1943 с машиной завода 18. Машина была загружена след. образом: в средних отсеках по 4 шт 25 кг бомб в каждом, в крайних отсеках по 1 шт 50 кг бомб.</w:t>
      </w:r>
    </w:p>
    <w:p w14:paraId="1C3D793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взлете машина сделала два козла, в результате которых оторвались ушки 50 кг бомб (эти бомбы при выпадении не взорвались), мелкие бомбы высыпались и машина подорвалась на бомбах.</w:t>
      </w:r>
    </w:p>
    <w:p w14:paraId="7D60A89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2-й случай, повлекший за собой аварию, произошел 25 мая 1843 с машиной завода 30 N 30754.</w:t>
      </w:r>
    </w:p>
    <w:p w14:paraId="0030B91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Комиссия, расследовавшая эти случаи, при осмотре самолетов Ил-2 одного из полков 1 ШАК, обнаружила след. дефекты:</w:t>
      </w:r>
    </w:p>
    <w:p w14:paraId="68399A8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Створки бомболюков покоробились и усохли, зазор между створками доходит до 10-12 мм</w:t>
      </w:r>
    </w:p>
    <w:p w14:paraId="04E9C12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 12 самолетах сухарики левой створки перекрываются гнездами правой створки только на 2-3 мм</w:t>
      </w:r>
    </w:p>
    <w:p w14:paraId="16A2C49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Почти на всех осмотренных машинах, сухарики расположены под углом приблизительно 20-30 гр. к плоскости люка</w:t>
      </w:r>
    </w:p>
    <w:p w14:paraId="7D5B9D4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Верхняя плоскость крюка подвески образует зазор с нижним обрезом трубы по вертикали 4 мм (на приблизительно 30% осмотренных машин). Сами подвески выполнены небрежно.</w:t>
      </w:r>
    </w:p>
    <w:p w14:paraId="3EADAC3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Нижняя законцовка трубу подвески не умещается на цилиндрической части цапфы и захватывает головку ее</w:t>
      </w:r>
    </w:p>
    <w:p w14:paraId="27B5C5A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На одной из машин створка расклеилась.</w:t>
      </w:r>
    </w:p>
    <w:p w14:paraId="036D610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Из-за наличия указанных дефектов командование 1 ШАК запрещено производить бомбометание мелкими бомбами из бомбоотсеков самолета Ил-2 до устранения дефектов, приводящих к выпадения бомб из бомбоотсеков при взлете.</w:t>
      </w:r>
    </w:p>
    <w:p w14:paraId="16311C7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 Осмотренные машины были производства завода 18 и 30.</w:t>
      </w:r>
    </w:p>
    <w:p w14:paraId="751D0A6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осмотре деталей аварийных машин обнаружено:</w:t>
      </w:r>
    </w:p>
    <w:p w14:paraId="76249B6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 одной из створок ушко крепления сухарика дало трещину по сварке.</w:t>
      </w:r>
    </w:p>
    <w:p w14:paraId="7569DE9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 этой же створке стальной узел цапы сильно деформирован и разорван по целому сечению</w:t>
      </w:r>
    </w:p>
    <w:p w14:paraId="798CEE3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 одной из створок этот же узел вывернулся из дерева створки</w:t>
      </w:r>
    </w:p>
    <w:p w14:paraId="2E9AB59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Часть петель створки бомболюков вырван с мясом из створок. На 2-х створках петли вырваны из центроплана, при чем ответные петли створок, в этом случае сильно деформированы.</w:t>
      </w:r>
    </w:p>
    <w:p w14:paraId="0034B84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 Все вышеописанное изложено на основании имеющегося у нас акта комиссии по расследованию и дополнительных сведений, полученных со слов участника комиссии инж. СКО завода 30 Лазарева.</w:t>
      </w:r>
    </w:p>
    <w:p w14:paraId="018E102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анализе нами указанных дефектов мы пришли к выводу, что они вызваны производственными отклонениями и отступлениями от конструктивных чертежей.</w:t>
      </w:r>
    </w:p>
    <w:p w14:paraId="420F516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этим прошу Вашего распоряжения заводам о немедленном проведении следующих мероприятий:</w:t>
      </w:r>
    </w:p>
    <w:p w14:paraId="60B300C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 1:</w:t>
      </w:r>
    </w:p>
    <w:p w14:paraId="4E32747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во избежание коробления створок люков не допускать к постановке на створки сырого материала</w:t>
      </w:r>
    </w:p>
    <w:p w14:paraId="00ABCC3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коробленные люки к установке на машины не допускать</w:t>
      </w:r>
    </w:p>
    <w:p w14:paraId="59C5DD3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ширина каждой створки на заводе 30 уменьшена на 4 мм по сравнению с чертежом N ЭК-469А (см. размер Д в чертеже завода 30 N 110400).</w:t>
      </w:r>
    </w:p>
    <w:p w14:paraId="16C3E67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Необходимо размеры в чертежах привести в соответствие с нашими чертежами.</w:t>
      </w:r>
    </w:p>
    <w:p w14:paraId="746D289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 2:</w:t>
      </w:r>
    </w:p>
    <w:p w14:paraId="1ABBF08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не допускать выпуска с заводов машин с зацеплением створок, меньшим 12 мм (согласно чертежу N 110440 завода 18) См. узел А в эск. N БХ-211</w:t>
      </w:r>
    </w:p>
    <w:p w14:paraId="3706DDE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частях проверить, не имеют ли створки поперечного перемещения и при наличии такового петли заменить на новые</w:t>
      </w:r>
    </w:p>
    <w:p w14:paraId="1D7CD57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Створки с зацеплением 3-4 мм доработать</w:t>
      </w:r>
    </w:p>
    <w:p w14:paraId="5916268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 3:</w:t>
      </w:r>
    </w:p>
    <w:p w14:paraId="41D1AD6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Крепление сухарика в гнезде с перекосом к установке на самолеты не допускать.</w:t>
      </w:r>
    </w:p>
    <w:p w14:paraId="23F68C3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Заводу 30 восстановить размер 5 +/-0.5 мм, изъятый им из чертежа N 110410, а крепление сухарика привести в соответствие с нашими чертежами.</w:t>
      </w:r>
    </w:p>
    <w:p w14:paraId="446D98C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частях сухарики, стоящие в кронштейнах с перекосом в 2--30 гр заменить новыми.</w:t>
      </w:r>
    </w:p>
    <w:p w14:paraId="3B8B0E1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 4:</w:t>
      </w:r>
    </w:p>
    <w:p w14:paraId="60A8759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подвески люков с размером между нижним обрезом трубы и верхней плоскостью крюка меньше 6 мм, к постановке на машины не допускать (см. узел Б в эскизе N БХ-211), а на ранее выпущенных машинах заменить новыми.</w:t>
      </w:r>
    </w:p>
    <w:p w14:paraId="39B4685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организовать проверку размеров между несущим рычагом замка Дер-21 и цапфами створок. Они должны соответствовать размерам подвесок...</w:t>
      </w:r>
    </w:p>
    <w:p w14:paraId="5913B1D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Срыв 50 кг бомб из-за обрыва ушков бугелей показывает на жесткость амортизации. На всех самолетах, находящихся в частях и на заводах, проверить давление в </w:t>
      </w:r>
      <w:r w:rsidRPr="00D03F3E">
        <w:rPr>
          <w:rFonts w:ascii="Times New Roman" w:hAnsi="Times New Roman"/>
          <w:color w:val="000000" w:themeColor="text1"/>
          <w:sz w:val="16"/>
          <w:szCs w:val="16"/>
        </w:rPr>
        <w:lastRenderedPageBreak/>
        <w:t>амортизационных стойках и в колесах...(1775,94).</w:t>
      </w:r>
    </w:p>
    <w:p w14:paraId="63995B1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487C1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Воронин писал Дир. завода 1, 18, 30 и нач. 10 ГУ Тарасевич:</w:t>
      </w:r>
    </w:p>
    <w:p w14:paraId="30CD461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"Сообщаю для руководства и исполнения:</w:t>
      </w:r>
    </w:p>
    <w:p w14:paraId="4E05A72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Начиная с 1 июля с.г. выпуск самолетов Ил-2 с радиоаппаратурой производить в след. комплектации:</w:t>
      </w:r>
    </w:p>
    <w:p w14:paraId="49E99C9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приемник РСИ-4 (малютка) - на каждом выпускаемом самолете</w:t>
      </w:r>
    </w:p>
    <w:p w14:paraId="2229338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радиопередатчик РСИ-3 (Орел) с РПК-10 (Чаенок) - на каждом 3-м." (1767,157).</w:t>
      </w:r>
    </w:p>
    <w:p w14:paraId="21A9D63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8C13F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вышло письмо НИИ АВ ВВС КА (письмо начальника НИИ АВ ге</w:t>
      </w:r>
      <w:r w:rsidRPr="00D03F3E">
        <w:rPr>
          <w:rFonts w:ascii="Times New Roman" w:hAnsi="Times New Roman"/>
          <w:color w:val="000000" w:themeColor="text1"/>
          <w:sz w:val="16"/>
          <w:szCs w:val="16"/>
        </w:rPr>
        <w:softHyphen/>
        <w:t>нерал-майора М.В.Гуревича на имя С.В.Ильюшина) о том, что максимальная сила отдачи пушки НС-37, действовав</w:t>
      </w:r>
      <w:r w:rsidRPr="00D03F3E">
        <w:rPr>
          <w:rFonts w:ascii="Times New Roman" w:hAnsi="Times New Roman"/>
          <w:color w:val="000000" w:themeColor="text1"/>
          <w:sz w:val="16"/>
          <w:szCs w:val="16"/>
        </w:rPr>
        <w:softHyphen/>
        <w:t>шая в течение около 0,03 сек, на назем</w:t>
      </w:r>
      <w:r w:rsidRPr="00D03F3E">
        <w:rPr>
          <w:rFonts w:ascii="Times New Roman" w:hAnsi="Times New Roman"/>
          <w:color w:val="000000" w:themeColor="text1"/>
          <w:sz w:val="16"/>
          <w:szCs w:val="16"/>
        </w:rPr>
        <w:softHyphen/>
        <w:t>ном станке (существующая в то время аппаратура не позволяла произвести измерение "фактической силы отдачи" на самолетах и тем более при стрельбе в воздухе) составляла весьма значитель</w:t>
      </w:r>
      <w:r w:rsidRPr="00D03F3E">
        <w:rPr>
          <w:rFonts w:ascii="Times New Roman" w:hAnsi="Times New Roman"/>
          <w:color w:val="000000" w:themeColor="text1"/>
          <w:sz w:val="16"/>
          <w:szCs w:val="16"/>
        </w:rPr>
        <w:softHyphen/>
        <w:t>ную величину - порядка 5500 кг, а сред</w:t>
      </w:r>
      <w:r w:rsidRPr="00D03F3E">
        <w:rPr>
          <w:rFonts w:ascii="Times New Roman" w:hAnsi="Times New Roman"/>
          <w:color w:val="000000" w:themeColor="text1"/>
          <w:sz w:val="16"/>
          <w:szCs w:val="16"/>
        </w:rPr>
        <w:softHyphen/>
        <w:t>нее значение силы отдачи примерно равнялось 2500 кг. Все это приводило к большому рассеиванию снарядов при стрельбе в воздухе (6467).</w:t>
      </w:r>
    </w:p>
    <w:p w14:paraId="17E59FC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2E601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г. одноместный Су-6 М-71Ф, переделанный в двухместный, был официально передан в НИИ ВВС для проведения государственных испытаний. Государственные испытания проходили с 20 июня по 30 августа (ведущий инженер А.В.Синельников, ведущий летчик А.И.Кабанов, летчик облета П.М.Стефановский). Всего было выполнено 42 полета с суммарным налетом 23 ч 10 мин. (9649).</w:t>
      </w:r>
    </w:p>
    <w:p w14:paraId="112A30C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9ECA0B"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 xml:space="preserve">19 июня </w:t>
      </w:r>
      <w:r w:rsidRPr="00D03F3E">
        <w:rPr>
          <w:rFonts w:ascii="Times New Roman" w:hAnsi="Times New Roman"/>
          <w:color w:val="000000" w:themeColor="text1"/>
          <w:sz w:val="16"/>
          <w:szCs w:val="16"/>
        </w:rPr>
        <w:t xml:space="preserve">в 1943 году официально передан в НИИ ВВС для проведения государственных испытаний построенный одноместный </w:t>
      </w:r>
      <w:hyperlink r:id="rId206" w:tgtFrame="_blank" w:history="1">
        <w:r w:rsidRPr="00D03F3E">
          <w:rPr>
            <w:rFonts w:ascii="Times New Roman" w:hAnsi="Times New Roman"/>
            <w:color w:val="000000" w:themeColor="text1"/>
            <w:sz w:val="16"/>
            <w:szCs w:val="16"/>
          </w:rPr>
          <w:t xml:space="preserve">«Су-6» «М-71Ф» </w:t>
        </w:r>
      </w:hyperlink>
      <w:r w:rsidRPr="00D03F3E">
        <w:rPr>
          <w:rFonts w:ascii="Times New Roman" w:hAnsi="Times New Roman"/>
          <w:color w:val="000000" w:themeColor="text1"/>
          <w:sz w:val="16"/>
          <w:szCs w:val="16"/>
        </w:rPr>
        <w:t>и переделанный в двухместный. Государственные испытания проходили с 20 июня по 30 августа (ведущий инженер А.В.Синельников, ведущий летчик А.И.Кабанов, летчик облета П.М.Стефановский). Всего было выполнено 42 полета с суммарным налетом 23 ч 10 мин (14927).</w:t>
      </w:r>
    </w:p>
    <w:p w14:paraId="58B9C9DB" w14:textId="77777777" w:rsidR="00763451" w:rsidRPr="00D03F3E" w:rsidRDefault="00763451" w:rsidP="00D03F3E">
      <w:pPr>
        <w:spacing w:after="0" w:line="240" w:lineRule="auto"/>
        <w:jc w:val="both"/>
        <w:rPr>
          <w:rFonts w:ascii="Times New Roman" w:hAnsi="Times New Roman"/>
          <w:color w:val="000000" w:themeColor="text1"/>
          <w:sz w:val="16"/>
          <w:szCs w:val="16"/>
        </w:rPr>
      </w:pPr>
    </w:p>
    <w:p w14:paraId="6A81C9CC"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г. на государственные испытания поступил самолет Су-6 М-71Ф (5011).</w:t>
      </w:r>
    </w:p>
    <w:p w14:paraId="10277EE3"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3B93E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г. Су-6 с М-71Ф, переделанный в двухместный, поступил в НИИ ВВС для проведения государственных испытаний (10680).</w:t>
      </w:r>
    </w:p>
    <w:p w14:paraId="46A5925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EB8E0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после отлад</w:t>
      </w:r>
      <w:r w:rsidRPr="00D03F3E">
        <w:rPr>
          <w:rFonts w:ascii="Times New Roman" w:hAnsi="Times New Roman"/>
          <w:color w:val="000000" w:themeColor="text1"/>
          <w:sz w:val="16"/>
          <w:szCs w:val="16"/>
        </w:rPr>
        <w:softHyphen/>
        <w:t>ки мотоустановки одноместный Су-6 с М-71ф, который пере</w:t>
      </w:r>
      <w:r w:rsidRPr="00D03F3E">
        <w:rPr>
          <w:rFonts w:ascii="Times New Roman" w:hAnsi="Times New Roman"/>
          <w:color w:val="000000" w:themeColor="text1"/>
          <w:sz w:val="16"/>
          <w:szCs w:val="16"/>
        </w:rPr>
        <w:softHyphen/>
        <w:t>делали в двухместный, поступил в НИИ ВВС для проведе</w:t>
      </w:r>
      <w:r w:rsidRPr="00D03F3E">
        <w:rPr>
          <w:rFonts w:ascii="Times New Roman" w:hAnsi="Times New Roman"/>
          <w:color w:val="000000" w:themeColor="text1"/>
          <w:sz w:val="16"/>
          <w:szCs w:val="16"/>
        </w:rPr>
        <w:softHyphen/>
        <w:t>ния государственных испытаний (11426).</w:t>
      </w:r>
    </w:p>
    <w:p w14:paraId="5FB5C4B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489691"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19 июня 1943 двух</w:t>
      </w:r>
      <w:r w:rsidRPr="00D03F3E">
        <w:rPr>
          <w:color w:val="000000" w:themeColor="text1"/>
          <w:sz w:val="16"/>
          <w:szCs w:val="16"/>
        </w:rPr>
        <w:softHyphen/>
        <w:t>местный Су-6 М-71ф (С2А) был официально пере</w:t>
      </w:r>
      <w:r w:rsidRPr="00D03F3E">
        <w:rPr>
          <w:color w:val="000000" w:themeColor="text1"/>
          <w:sz w:val="16"/>
          <w:szCs w:val="16"/>
        </w:rPr>
        <w:softHyphen/>
        <w:t>дан в НИИ ВВС для производства государственных летных испытаний.</w:t>
      </w:r>
    </w:p>
    <w:p w14:paraId="0AC51CB5"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период с 19 июня по 30 августа на самолете было выполнено 42 полета с суммарным налетом 23 ч 10 мин. Испытания проводили: ведущий ин</w:t>
      </w:r>
      <w:r w:rsidRPr="00D03F3E">
        <w:rPr>
          <w:color w:val="000000" w:themeColor="text1"/>
          <w:sz w:val="16"/>
          <w:szCs w:val="16"/>
        </w:rPr>
        <w:softHyphen/>
        <w:t>женер инженер-майор А. В. Синельников, ведущий летчик летчик-испытатель майор А. И. Кабанов, лет</w:t>
      </w:r>
      <w:r w:rsidRPr="00D03F3E">
        <w:rPr>
          <w:color w:val="000000" w:themeColor="text1"/>
          <w:sz w:val="16"/>
          <w:szCs w:val="16"/>
        </w:rPr>
        <w:softHyphen/>
        <w:t>чики облета П. М. Стефановский и А. К. Долгов.</w:t>
      </w:r>
    </w:p>
    <w:p w14:paraId="46EB1209"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максимальным скоростям, скороподъем</w:t>
      </w:r>
      <w:r w:rsidRPr="00D03F3E">
        <w:rPr>
          <w:color w:val="000000" w:themeColor="text1"/>
          <w:sz w:val="16"/>
          <w:szCs w:val="16"/>
        </w:rPr>
        <w:softHyphen/>
        <w:t>ности, маневренности, потолку, дальности, воору</w:t>
      </w:r>
      <w:r w:rsidRPr="00D03F3E">
        <w:rPr>
          <w:color w:val="000000" w:themeColor="text1"/>
          <w:sz w:val="16"/>
          <w:szCs w:val="16"/>
        </w:rPr>
        <w:softHyphen/>
        <w:t>жению и бронированию Су-6 М-71ф значительно превосходил находящийся на вооружении ВВС КА двухместный Ил-2 АМ-38ф. Кроме этого, Су-6 обла</w:t>
      </w:r>
      <w:r w:rsidRPr="00D03F3E">
        <w:rPr>
          <w:color w:val="000000" w:themeColor="text1"/>
          <w:sz w:val="16"/>
          <w:szCs w:val="16"/>
        </w:rPr>
        <w:softHyphen/>
        <w:t>дал прекрасными характеристиками устойчивости и управляемости, был прост и приятен в пилотиро</w:t>
      </w:r>
      <w:r w:rsidRPr="00D03F3E">
        <w:rPr>
          <w:color w:val="000000" w:themeColor="text1"/>
          <w:sz w:val="16"/>
          <w:szCs w:val="16"/>
        </w:rPr>
        <w:softHyphen/>
        <w:t>вании.</w:t>
      </w:r>
    </w:p>
    <w:p w14:paraId="431FCBA5"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Так, ведущий летчик-испытатель А. И. Кабанов отмечал: «Кабина хороша. Рулит хорошо. В целом самолет производит хорошее впечатление и будет грозным оружием как в борьбе с земными целями, так и с бомбардировщиками противника».</w:t>
      </w:r>
    </w:p>
    <w:p w14:paraId="35D453C1"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Стефановский, давая летную оценку самолету, указывал: «Самолет, как двухместный штурмовик, является актуальной и нужной машиной, могущей заменить самолет Ил-2, так как обладает лучшим бронированием и значительно лучшими летными данными».</w:t>
      </w:r>
    </w:p>
    <w:p w14:paraId="2D9DF2A6"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Стрелково-пушечное и ракетное вооружение Су-6 М-71ф состояло из 2 крыльевых 37-мм пу</w:t>
      </w:r>
      <w:r w:rsidRPr="00D03F3E">
        <w:rPr>
          <w:color w:val="000000" w:themeColor="text1"/>
          <w:sz w:val="16"/>
          <w:szCs w:val="16"/>
        </w:rPr>
        <w:softHyphen/>
        <w:t>шек 11П (боекомплект 90 снарядов), 2 крыльевых пулеметов ШКАС (1400 патронов) и 6 РО-132 (или РО-82). Пушечные и пулеметные установки обеспе</w:t>
      </w:r>
      <w:r w:rsidRPr="00D03F3E">
        <w:rPr>
          <w:color w:val="000000" w:themeColor="text1"/>
          <w:sz w:val="16"/>
          <w:szCs w:val="16"/>
        </w:rPr>
        <w:softHyphen/>
        <w:t>чивались пневматическим пуском и электропнев</w:t>
      </w:r>
      <w:r w:rsidRPr="00D03F3E">
        <w:rPr>
          <w:color w:val="000000" w:themeColor="text1"/>
          <w:sz w:val="16"/>
          <w:szCs w:val="16"/>
        </w:rPr>
        <w:softHyphen/>
        <w:t>матической перезарядкой.</w:t>
      </w:r>
    </w:p>
    <w:p w14:paraId="1F72947C"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Бомбовое вооружение включало 2 наружных держателя с замками МДЗ-40 и 4 бомбоотсека в фю</w:t>
      </w:r>
      <w:r w:rsidRPr="00D03F3E">
        <w:rPr>
          <w:color w:val="000000" w:themeColor="text1"/>
          <w:sz w:val="16"/>
          <w:szCs w:val="16"/>
        </w:rPr>
        <w:softHyphen/>
        <w:t>зеляже — по 2 с каждой стороны кабины стрелка.</w:t>
      </w:r>
    </w:p>
    <w:p w14:paraId="09B72C25"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 каждый наружный замок МДЗ-40 допуска</w:t>
      </w:r>
      <w:r w:rsidRPr="00D03F3E">
        <w:rPr>
          <w:color w:val="000000" w:themeColor="text1"/>
          <w:sz w:val="16"/>
          <w:szCs w:val="16"/>
        </w:rPr>
        <w:softHyphen/>
        <w:t>лось подвешивать бомбы калибром 50, 100 и 250 кг, а также ВАП-200 и УХАП-250.</w:t>
      </w:r>
    </w:p>
    <w:p w14:paraId="53254BC6"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бомбовые отсеки загружались бомбы калибра от 100 кг и ниже. Бомбы укладывались на створки бомбоотсеков. При этом бомбы калибра 50 и 100 кг поднимались при помощи лебедки, а от 25 кг и ни</w:t>
      </w:r>
      <w:r w:rsidRPr="00D03F3E">
        <w:rPr>
          <w:color w:val="000000" w:themeColor="text1"/>
          <w:sz w:val="16"/>
          <w:szCs w:val="16"/>
        </w:rPr>
        <w:softHyphen/>
        <w:t>же — загружались вручную.</w:t>
      </w:r>
    </w:p>
    <w:p w14:paraId="58D8DDF2"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общей сложности в самолет допускалась подвеска до 600 кг бомб (в перегрузку): 4 ФАБ-50 внутри, или 4 ФАБ-50 и 2 ФАБ-50 снаружи, или 4 ФАБ-100 внутри, или 4 ФАБ-100 внутри и 2 ФАБ-100 снаружи, или 2 ФАБ-250 снаружи. Оско</w:t>
      </w:r>
      <w:r w:rsidRPr="00D03F3E">
        <w:rPr>
          <w:color w:val="000000" w:themeColor="text1"/>
          <w:sz w:val="16"/>
          <w:szCs w:val="16"/>
        </w:rPr>
        <w:softHyphen/>
        <w:t>лочных и зажигательных авиабомб калибром от 2,5 до 25 кг и химампул в кассетах мелких бомб — до 400 кг. Основной вариант бомбовой нагрузки со</w:t>
      </w:r>
      <w:r w:rsidRPr="00D03F3E">
        <w:rPr>
          <w:color w:val="000000" w:themeColor="text1"/>
          <w:sz w:val="16"/>
          <w:szCs w:val="16"/>
        </w:rPr>
        <w:softHyphen/>
        <w:t>ставлял 200 кг внутри фюзеляжа.</w:t>
      </w:r>
    </w:p>
    <w:p w14:paraId="12C75FCA"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Оборонительный пулемет УБТ (196 патронов в 4 магазинах) устанавливался в блистерной уста</w:t>
      </w:r>
      <w:r w:rsidRPr="00D03F3E">
        <w:rPr>
          <w:color w:val="000000" w:themeColor="text1"/>
          <w:sz w:val="16"/>
          <w:szCs w:val="16"/>
        </w:rPr>
        <w:softHyphen/>
        <w:t>новке БЛУБ.</w:t>
      </w:r>
    </w:p>
    <w:p w14:paraId="05B277D1"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полетном весе 5534 кг (6 РС-132, пуш</w:t>
      </w:r>
      <w:r w:rsidRPr="00D03F3E">
        <w:rPr>
          <w:color w:val="000000" w:themeColor="text1"/>
          <w:sz w:val="16"/>
          <w:szCs w:val="16"/>
        </w:rPr>
        <w:softHyphen/>
        <w:t>ки и пулеметы с боекомплектом) максимальная скорость у земли Су-6 М-71ф с винтом АВ-5-4А — 480 км/ч, почти на 100 км/ч превосходила скорость двухместного Ил-2 АМ-38ф. На высоте 3850 м штур</w:t>
      </w:r>
      <w:r w:rsidRPr="00D03F3E">
        <w:rPr>
          <w:color w:val="000000" w:themeColor="text1"/>
          <w:sz w:val="16"/>
          <w:szCs w:val="16"/>
        </w:rPr>
        <w:softHyphen/>
        <w:t>мовик развивал скорость 514 км/ч.</w:t>
      </w:r>
    </w:p>
    <w:p w14:paraId="2AAB3F94"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Время подъема на высоту 1000 м не превышало 1,8 мин, на высоту 5000 м — 10,6 мин. Максималь</w:t>
      </w:r>
      <w:r w:rsidRPr="00D03F3E">
        <w:rPr>
          <w:color w:val="000000" w:themeColor="text1"/>
          <w:sz w:val="16"/>
          <w:szCs w:val="16"/>
        </w:rPr>
        <w:softHyphen/>
        <w:t>ная дальность полета на высоте 1000 м и скорости 349 км/ч составила 973 км. Разбег на взлете — 510 м.</w:t>
      </w:r>
    </w:p>
    <w:p w14:paraId="06B2E284"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 четырехлопастным винтом АВ-9-4А диаме</w:t>
      </w:r>
      <w:r w:rsidRPr="00D03F3E">
        <w:rPr>
          <w:color w:val="000000" w:themeColor="text1"/>
          <w:sz w:val="16"/>
          <w:szCs w:val="16"/>
        </w:rPr>
        <w:softHyphen/>
        <w:t>тром 3,35 м скоростные данные самолета были не</w:t>
      </w:r>
      <w:r w:rsidRPr="00D03F3E">
        <w:rPr>
          <w:color w:val="000000" w:themeColor="text1"/>
          <w:sz w:val="16"/>
          <w:szCs w:val="16"/>
        </w:rPr>
        <w:softHyphen/>
        <w:t>сколько хуже — примерно на 3—4 км/ч (без кока винта). Однако скороподъемность и взлетные каче</w:t>
      </w:r>
      <w:r w:rsidRPr="00D03F3E">
        <w:rPr>
          <w:color w:val="000000" w:themeColor="text1"/>
          <w:sz w:val="16"/>
          <w:szCs w:val="16"/>
        </w:rPr>
        <w:softHyphen/>
        <w:t>ства улучшились: вертикальная скорость на высоте 1000 м увеличилась до 9,5 м/с, а разбег уменьшил</w:t>
      </w:r>
      <w:r w:rsidRPr="00D03F3E">
        <w:rPr>
          <w:color w:val="000000" w:themeColor="text1"/>
          <w:sz w:val="16"/>
          <w:szCs w:val="16"/>
        </w:rPr>
        <w:softHyphen/>
        <w:t>ся до 410 м.</w:t>
      </w:r>
    </w:p>
    <w:p w14:paraId="17A89BF3"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Поскольку вся нормальная бомбовая нагрузка (200 кг) размещалась внутри фюзеляжа, то макси</w:t>
      </w:r>
      <w:r w:rsidRPr="00D03F3E">
        <w:rPr>
          <w:color w:val="000000" w:themeColor="text1"/>
          <w:sz w:val="16"/>
          <w:szCs w:val="16"/>
        </w:rPr>
        <w:softHyphen/>
        <w:t>мальные скорости штурмовика с бомбами остава</w:t>
      </w:r>
      <w:r w:rsidRPr="00D03F3E">
        <w:rPr>
          <w:color w:val="000000" w:themeColor="text1"/>
          <w:sz w:val="16"/>
          <w:szCs w:val="16"/>
        </w:rPr>
        <w:softHyphen/>
        <w:t>лись практически теми же.</w:t>
      </w:r>
    </w:p>
    <w:p w14:paraId="3A738362"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Значительное улучшение летных данных Су-6 в сравнении с Ил-2 АМ-38ф без ухудшения манев</w:t>
      </w:r>
      <w:r w:rsidRPr="00D03F3E">
        <w:rPr>
          <w:color w:val="000000" w:themeColor="text1"/>
          <w:sz w:val="16"/>
          <w:szCs w:val="16"/>
        </w:rPr>
        <w:softHyphen/>
        <w:t>ренных качеств в вертикальной плоскости обеспе</w:t>
      </w:r>
      <w:r w:rsidRPr="00D03F3E">
        <w:rPr>
          <w:color w:val="000000" w:themeColor="text1"/>
          <w:sz w:val="16"/>
          <w:szCs w:val="16"/>
        </w:rPr>
        <w:softHyphen/>
        <w:t>чивалось за счет меньшей нагрузки на мощность мотора, которая, собственно, и определяет верти</w:t>
      </w:r>
      <w:r w:rsidRPr="00D03F3E">
        <w:rPr>
          <w:color w:val="000000" w:themeColor="text1"/>
          <w:sz w:val="16"/>
          <w:szCs w:val="16"/>
        </w:rPr>
        <w:softHyphen/>
        <w:t>кальную маневренность самолета.</w:t>
      </w:r>
    </w:p>
    <w:p w14:paraId="7C8412BA"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Кроме этого, «сухой» оборудовался мощной механизацией крыла (автоматические предкрылки и щитки типа «Шренк»), что позволяло ему устой</w:t>
      </w:r>
      <w:r w:rsidRPr="00D03F3E">
        <w:rPr>
          <w:color w:val="000000" w:themeColor="text1"/>
          <w:sz w:val="16"/>
          <w:szCs w:val="16"/>
        </w:rPr>
        <w:softHyphen/>
        <w:t>чиво выполнять маневры на больших углах атаки. Последнее являлось весьма важным для самолета поля боя, предназначенного для действий на не</w:t>
      </w:r>
      <w:r w:rsidRPr="00D03F3E">
        <w:rPr>
          <w:color w:val="000000" w:themeColor="text1"/>
          <w:sz w:val="16"/>
          <w:szCs w:val="16"/>
        </w:rPr>
        <w:softHyphen/>
        <w:t>большой высоте, так как летчику необходимо было выполнять энергичное боевое маневрирование для выхода в атаку в ограниченном пространстве над целью и преимущественно в вертикальной плоскости.</w:t>
      </w:r>
    </w:p>
    <w:p w14:paraId="71CF5863"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отличие от Ил-2 с 11П или с Ш-37, на Су-6 пушки 11П размещались ближе к оси самолета, что в совокупности с более высоким запасом устойчи</w:t>
      </w:r>
      <w:r w:rsidRPr="00D03F3E">
        <w:rPr>
          <w:color w:val="000000" w:themeColor="text1"/>
          <w:sz w:val="16"/>
          <w:szCs w:val="16"/>
        </w:rPr>
        <w:softHyphen/>
        <w:t>вости штурмовика обеспечивало лучшую эффек</w:t>
      </w:r>
      <w:r w:rsidRPr="00D03F3E">
        <w:rPr>
          <w:color w:val="000000" w:themeColor="text1"/>
          <w:sz w:val="16"/>
          <w:szCs w:val="16"/>
        </w:rPr>
        <w:softHyphen/>
        <w:t>тивность стрельбы из пушек в воздухе по малораз</w:t>
      </w:r>
      <w:r w:rsidRPr="00D03F3E">
        <w:rPr>
          <w:color w:val="000000" w:themeColor="text1"/>
          <w:sz w:val="16"/>
          <w:szCs w:val="16"/>
        </w:rPr>
        <w:softHyphen/>
        <w:t>мерным наземным целям. Во время полигонных испытаний Су-6 М-71ф никаких нареканий, связан</w:t>
      </w:r>
      <w:r w:rsidRPr="00D03F3E">
        <w:rPr>
          <w:color w:val="000000" w:themeColor="text1"/>
          <w:sz w:val="16"/>
          <w:szCs w:val="16"/>
        </w:rPr>
        <w:softHyphen/>
        <w:t>ных с влиянием силы отдачи пушек на самолет при стрельбе в воздухе, летчиками-испытателями не высказывались: «...На пикировании при стрельбе самолет устойчив, отдача даже при стрельбе из всех точек незначительна. Стрельба из одной пуш</w:t>
      </w:r>
      <w:r w:rsidRPr="00D03F3E">
        <w:rPr>
          <w:color w:val="000000" w:themeColor="text1"/>
          <w:sz w:val="16"/>
          <w:szCs w:val="16"/>
        </w:rPr>
        <w:softHyphen/>
        <w:t>ки возможна, явление разворачивания наблюдает</w:t>
      </w:r>
      <w:r w:rsidRPr="00D03F3E">
        <w:rPr>
          <w:color w:val="000000" w:themeColor="text1"/>
          <w:sz w:val="16"/>
          <w:szCs w:val="16"/>
        </w:rPr>
        <w:softHyphen/>
        <w:t>ся, но в меньшей степени, чем на Ил-2».</w:t>
      </w:r>
    </w:p>
    <w:p w14:paraId="3A7EC0AE"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Бронирование Су-6 было выполнено значитель</w:t>
      </w:r>
      <w:r w:rsidRPr="00D03F3E">
        <w:rPr>
          <w:color w:val="000000" w:themeColor="text1"/>
          <w:sz w:val="16"/>
          <w:szCs w:val="16"/>
        </w:rPr>
        <w:softHyphen/>
        <w:t>но лучше, чем на Ил-2. При этом благодаря более рациональной схеме бронирования и распределе</w:t>
      </w:r>
      <w:r w:rsidRPr="00D03F3E">
        <w:rPr>
          <w:color w:val="000000" w:themeColor="text1"/>
          <w:sz w:val="16"/>
          <w:szCs w:val="16"/>
        </w:rPr>
        <w:softHyphen/>
        <w:t>нию толщин бронелистов (от 2 до 13,5 мм) общая масса брони составила всего 683 кг — 18,3% веса пустого самолета.</w:t>
      </w:r>
    </w:p>
    <w:p w14:paraId="2BB2B0A6"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целом же бронирование Су-6 М-71ф обеспечи</w:t>
      </w:r>
      <w:r w:rsidRPr="00D03F3E">
        <w:rPr>
          <w:color w:val="000000" w:themeColor="text1"/>
          <w:sz w:val="16"/>
          <w:szCs w:val="16"/>
        </w:rPr>
        <w:softHyphen/>
        <w:t>вало эффективную защиту от пуль калибра 12,7 мм и осколков зенитных снарядов. Помимо этого, жи</w:t>
      </w:r>
      <w:r w:rsidRPr="00D03F3E">
        <w:rPr>
          <w:color w:val="000000" w:themeColor="text1"/>
          <w:sz w:val="16"/>
          <w:szCs w:val="16"/>
        </w:rPr>
        <w:softHyphen/>
        <w:t>вучесть штурмовика повышалась применением мотора воздушного охлаждения, более стойкого к боевым повреждениям, чем моторы с жидкостным охлаждением, наддува бензобака выхлопными га</w:t>
      </w:r>
      <w:r w:rsidRPr="00D03F3E">
        <w:rPr>
          <w:color w:val="000000" w:themeColor="text1"/>
          <w:sz w:val="16"/>
          <w:szCs w:val="16"/>
        </w:rPr>
        <w:softHyphen/>
        <w:t>зами от мотора и дублированием в системе управ</w:t>
      </w:r>
      <w:r w:rsidRPr="00D03F3E">
        <w:rPr>
          <w:color w:val="000000" w:themeColor="text1"/>
          <w:sz w:val="16"/>
          <w:szCs w:val="16"/>
        </w:rPr>
        <w:softHyphen/>
        <w:t>ления рулем высоты и направления.</w:t>
      </w:r>
    </w:p>
    <w:p w14:paraId="012F9731"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Стефановским предлагалось выпускать само</w:t>
      </w:r>
      <w:r w:rsidRPr="00D03F3E">
        <w:rPr>
          <w:color w:val="000000" w:themeColor="text1"/>
          <w:sz w:val="16"/>
          <w:szCs w:val="16"/>
        </w:rPr>
        <w:softHyphen/>
        <w:t>лет Су-6 М-71ф в одноместном варианте с пушками 11П и в двухместном — с пушками ВЯ. При этом для двухместного самолета Су-6 М-71ф предлагалось применить мотор М-71ф с изъятой 2-й скоростью нагнетателя и дальнейшим форсированием его на малых высотах.</w:t>
      </w:r>
    </w:p>
    <w:p w14:paraId="19C7DFD6"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заключении Акта по результатам государ</w:t>
      </w:r>
      <w:r w:rsidRPr="00D03F3E">
        <w:rPr>
          <w:color w:val="000000" w:themeColor="text1"/>
          <w:sz w:val="16"/>
          <w:szCs w:val="16"/>
        </w:rPr>
        <w:softHyphen/>
        <w:t>ственных испытаний отмечалось: «Опытный двух</w:t>
      </w:r>
      <w:r w:rsidRPr="00D03F3E">
        <w:rPr>
          <w:color w:val="000000" w:themeColor="text1"/>
          <w:sz w:val="16"/>
          <w:szCs w:val="16"/>
        </w:rPr>
        <w:softHyphen/>
        <w:t>местный самолет Су-6 с мотором М-71Ф и опытным 4-лопастным винтом АВ-9-4А, конструкции т. Сухого ...государственные испытания выдержал, показав хорошие летно-тактические данные. Рекомендо</w:t>
      </w:r>
      <w:r w:rsidRPr="00D03F3E">
        <w:rPr>
          <w:color w:val="000000" w:themeColor="text1"/>
          <w:sz w:val="16"/>
          <w:szCs w:val="16"/>
        </w:rPr>
        <w:softHyphen/>
        <w:t>вать самолет Су-6 с мотором М-71Ф и 4-лопастным винтом АВ-9-4А в серийное производство с обяза</w:t>
      </w:r>
      <w:r w:rsidRPr="00D03F3E">
        <w:rPr>
          <w:color w:val="000000" w:themeColor="text1"/>
          <w:sz w:val="16"/>
          <w:szCs w:val="16"/>
        </w:rPr>
        <w:softHyphen/>
        <w:t>тельным устранением всех недостатков».</w:t>
      </w:r>
    </w:p>
    <w:p w14:paraId="23E2CE97"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Здесь следует сказать, что реализация пред</w:t>
      </w:r>
      <w:r w:rsidRPr="00D03F3E">
        <w:rPr>
          <w:color w:val="000000" w:themeColor="text1"/>
          <w:sz w:val="16"/>
          <w:szCs w:val="16"/>
        </w:rPr>
        <w:softHyphen/>
        <w:t>ложений П. М. Стефановского позволила бы иметь одноместный бронированный штурмовик с мощ</w:t>
      </w:r>
      <w:r w:rsidRPr="00D03F3E">
        <w:rPr>
          <w:color w:val="000000" w:themeColor="text1"/>
          <w:sz w:val="16"/>
          <w:szCs w:val="16"/>
        </w:rPr>
        <w:softHyphen/>
        <w:t>ным вооружением и истребитель бомбардиров</w:t>
      </w:r>
      <w:r w:rsidRPr="00D03F3E">
        <w:rPr>
          <w:color w:val="000000" w:themeColor="text1"/>
          <w:sz w:val="16"/>
          <w:szCs w:val="16"/>
        </w:rPr>
        <w:softHyphen/>
        <w:t>щиков с летными данными, близкими к серийным истребителям противника, а также двухместный бронированный штурмовик с еще более высокими летными данными.</w:t>
      </w:r>
    </w:p>
    <w:p w14:paraId="4F1C3E86"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Простейший анализ показывает, что даже без проведения работ по перераспределению брони и экономии на этом веса пустого самолета можно было существенно поднять боевую эффективность Су-6 М-71ф почти без ухудшения летных и манев</w:t>
      </w:r>
      <w:r w:rsidRPr="00D03F3E">
        <w:rPr>
          <w:color w:val="000000" w:themeColor="text1"/>
          <w:sz w:val="16"/>
          <w:szCs w:val="16"/>
        </w:rPr>
        <w:softHyphen/>
        <w:t>ренных качеств самолета, только за счет оптимиза</w:t>
      </w:r>
      <w:r w:rsidRPr="00D03F3E">
        <w:rPr>
          <w:color w:val="000000" w:themeColor="text1"/>
          <w:sz w:val="16"/>
          <w:szCs w:val="16"/>
        </w:rPr>
        <w:softHyphen/>
        <w:t>ции состава и размера боекомплекта стрелково-пушечного вооружения.</w:t>
      </w:r>
    </w:p>
    <w:p w14:paraId="09977DB3"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Действительно, принятый на Су-6 М-71ф бо</w:t>
      </w:r>
      <w:r w:rsidRPr="00D03F3E">
        <w:rPr>
          <w:color w:val="000000" w:themeColor="text1"/>
          <w:sz w:val="16"/>
          <w:szCs w:val="16"/>
        </w:rPr>
        <w:softHyphen/>
        <w:t>езапас к пушкам 11П в 90 снарядов для типовых условий боевого применения штурмовиков на фронте был излишним. Его вполне можно было уменьшить до 48—50 снарядов. Одновременно пулеметы ШКАС, как имеющие низ</w:t>
      </w:r>
      <w:r w:rsidRPr="00D03F3E">
        <w:rPr>
          <w:color w:val="000000" w:themeColor="text1"/>
          <w:sz w:val="16"/>
          <w:szCs w:val="16"/>
        </w:rPr>
        <w:softHyphen/>
        <w:t xml:space="preserve">кую эффективность при действии по типовым наземным </w:t>
      </w:r>
      <w:r w:rsidRPr="00D03F3E">
        <w:rPr>
          <w:color w:val="000000" w:themeColor="text1"/>
          <w:sz w:val="16"/>
          <w:szCs w:val="16"/>
        </w:rPr>
        <w:lastRenderedPageBreak/>
        <w:t>целям, мож</w:t>
      </w:r>
      <w:r w:rsidRPr="00D03F3E">
        <w:rPr>
          <w:color w:val="000000" w:themeColor="text1"/>
          <w:sz w:val="16"/>
          <w:szCs w:val="16"/>
        </w:rPr>
        <w:softHyphen/>
        <w:t>но было снять, а вместо них уста</w:t>
      </w:r>
      <w:r w:rsidRPr="00D03F3E">
        <w:rPr>
          <w:color w:val="000000" w:themeColor="text1"/>
          <w:sz w:val="16"/>
          <w:szCs w:val="16"/>
        </w:rPr>
        <w:softHyphen/>
        <w:t>новить или 4 крупнокалиберных пулемета УБК (800 патронов), или 2 пушки ШВАК (250 снарядов). Если снять 11П и ШКАСы, то можно было бы установить на самолет 4 пушки ВЯ (320 снарядов) и 2 пулемета УБК (400 патронов). При этом во всех случаях нормальный полетный вес штурмовика с усиленным вооруже</w:t>
      </w:r>
      <w:r w:rsidRPr="00D03F3E">
        <w:rPr>
          <w:color w:val="000000" w:themeColor="text1"/>
          <w:sz w:val="16"/>
          <w:szCs w:val="16"/>
        </w:rPr>
        <w:softHyphen/>
        <w:t>нием не превысил бы полетный вес самолета с исходным вариантом вооружения, тогда как вероятность поражения наземной цели в одном заходе повышалась значительно, а боезапас к пушкам и пулеметам обеспечивал выполнение 3—4 при</w:t>
      </w:r>
      <w:r w:rsidRPr="00D03F3E">
        <w:rPr>
          <w:color w:val="000000" w:themeColor="text1"/>
          <w:sz w:val="16"/>
          <w:szCs w:val="16"/>
        </w:rPr>
        <w:softHyphen/>
        <w:t>цельных заходов на цель.</w:t>
      </w:r>
    </w:p>
    <w:p w14:paraId="13BE041D"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Из всех возможных вариантов вооружения «сухого» наиболее ин</w:t>
      </w:r>
      <w:r w:rsidRPr="00D03F3E">
        <w:rPr>
          <w:color w:val="000000" w:themeColor="text1"/>
          <w:sz w:val="16"/>
          <w:szCs w:val="16"/>
        </w:rPr>
        <w:softHyphen/>
        <w:t>тересным с точки зрения боевой эф</w:t>
      </w:r>
      <w:r w:rsidRPr="00D03F3E">
        <w:rPr>
          <w:color w:val="000000" w:themeColor="text1"/>
          <w:sz w:val="16"/>
          <w:szCs w:val="16"/>
        </w:rPr>
        <w:softHyphen/>
        <w:t>фективности представляется состав, включающий 4 пушки ВЯ и 2 пуле</w:t>
      </w:r>
      <w:r w:rsidRPr="00D03F3E">
        <w:rPr>
          <w:color w:val="000000" w:themeColor="text1"/>
          <w:sz w:val="16"/>
          <w:szCs w:val="16"/>
        </w:rPr>
        <w:softHyphen/>
        <w:t>мета УБК. Вес боевой нагрузки ока</w:t>
      </w:r>
      <w:r w:rsidRPr="00D03F3E">
        <w:rPr>
          <w:color w:val="000000" w:themeColor="text1"/>
          <w:sz w:val="16"/>
          <w:szCs w:val="16"/>
        </w:rPr>
        <w:softHyphen/>
        <w:t>зывался даже несколько меньше (на 35 кг), чем в исходном варианте, но вероятность поражения легко</w:t>
      </w:r>
      <w:r w:rsidRPr="00D03F3E">
        <w:rPr>
          <w:color w:val="000000" w:themeColor="text1"/>
          <w:sz w:val="16"/>
          <w:szCs w:val="16"/>
        </w:rPr>
        <w:softHyphen/>
        <w:t>бронированной техники вермахта в одном заходе возрастала примерно в 5—6 раз, а небронированной техники — в 7—8 раз. Одна</w:t>
      </w:r>
      <w:r w:rsidRPr="00D03F3E">
        <w:rPr>
          <w:color w:val="000000" w:themeColor="text1"/>
          <w:sz w:val="16"/>
          <w:szCs w:val="16"/>
        </w:rPr>
        <w:softHyphen/>
        <w:t>ко стрельба по средним танкам была неэффек</w:t>
      </w:r>
      <w:r w:rsidRPr="00D03F3E">
        <w:rPr>
          <w:color w:val="000000" w:themeColor="text1"/>
          <w:sz w:val="16"/>
          <w:szCs w:val="16"/>
        </w:rPr>
        <w:softHyphen/>
        <w:t>тивной.</w:t>
      </w:r>
    </w:p>
    <w:p w14:paraId="7BB075F8"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Весьма перспективным вариантом вооружения штурмовика представляется состав из 2 пушек 11П (48 снарядов) и 2 пушек ВЯ (160 снарядов). В этом случае вес боевой нагрузки, отводимый на стрел- ково-пушечное вооружение, возрастал на 75 кг, что несколько ухудшало маневренные качества са</w:t>
      </w:r>
      <w:r w:rsidRPr="00D03F3E">
        <w:rPr>
          <w:color w:val="000000" w:themeColor="text1"/>
          <w:sz w:val="16"/>
          <w:szCs w:val="16"/>
        </w:rPr>
        <w:softHyphen/>
        <w:t>молета (на 1,3% увеличивалась нагрузка на крыло и на 1,2% нагрузка на единицу мощности), но с лих</w:t>
      </w:r>
      <w:r w:rsidRPr="00D03F3E">
        <w:rPr>
          <w:color w:val="000000" w:themeColor="text1"/>
          <w:sz w:val="16"/>
          <w:szCs w:val="16"/>
        </w:rPr>
        <w:softHyphen/>
        <w:t>вой окупалось открывающимися возможностями по поражению бронетехники и других трудноуяз</w:t>
      </w:r>
      <w:r w:rsidRPr="00D03F3E">
        <w:rPr>
          <w:color w:val="000000" w:themeColor="text1"/>
          <w:sz w:val="16"/>
          <w:szCs w:val="16"/>
        </w:rPr>
        <w:softHyphen/>
        <w:t>вимых малоразмерных целей. Расчеты показывают, что этот вариант вооружения в сравнении с 4 ВЯ и 2 УБК обеспечивал в 1,5—2 раза большую эффек</w:t>
      </w:r>
      <w:r w:rsidRPr="00D03F3E">
        <w:rPr>
          <w:color w:val="000000" w:themeColor="text1"/>
          <w:sz w:val="16"/>
          <w:szCs w:val="16"/>
        </w:rPr>
        <w:softHyphen/>
        <w:t>тивность при действии по немецким средним тан</w:t>
      </w:r>
      <w:r w:rsidRPr="00D03F3E">
        <w:rPr>
          <w:color w:val="000000" w:themeColor="text1"/>
          <w:sz w:val="16"/>
          <w:szCs w:val="16"/>
        </w:rPr>
        <w:softHyphen/>
        <w:t>кам и САУ на их основе.</w:t>
      </w:r>
    </w:p>
    <w:p w14:paraId="3BAA9618"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Бомбовое и ракетное вооружение во всех ва</w:t>
      </w:r>
      <w:r w:rsidRPr="00D03F3E">
        <w:rPr>
          <w:color w:val="000000" w:themeColor="text1"/>
          <w:sz w:val="16"/>
          <w:szCs w:val="16"/>
        </w:rPr>
        <w:softHyphen/>
        <w:t>риантах стрелково-пушечного вооружения остава</w:t>
      </w:r>
      <w:r w:rsidRPr="00D03F3E">
        <w:rPr>
          <w:color w:val="000000" w:themeColor="text1"/>
          <w:sz w:val="16"/>
          <w:szCs w:val="16"/>
        </w:rPr>
        <w:softHyphen/>
        <w:t>лось прежним.</w:t>
      </w:r>
    </w:p>
    <w:p w14:paraId="1A4CD8E2"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Учитывая, что удельный вес артиллерии и мино</w:t>
      </w:r>
      <w:r w:rsidRPr="00D03F3E">
        <w:rPr>
          <w:color w:val="000000" w:themeColor="text1"/>
          <w:sz w:val="16"/>
          <w:szCs w:val="16"/>
        </w:rPr>
        <w:softHyphen/>
        <w:t>метов, огневых точек, орудий малокалиберной зе</w:t>
      </w:r>
      <w:r w:rsidRPr="00D03F3E">
        <w:rPr>
          <w:color w:val="000000" w:themeColor="text1"/>
          <w:sz w:val="16"/>
          <w:szCs w:val="16"/>
        </w:rPr>
        <w:softHyphen/>
        <w:t>нитной артиллерии составлял около 80—90% всех целей в тактической зоне обороны противника, а танков и САУ — 5—15%, то на каждые 10 двух</w:t>
      </w:r>
      <w:r w:rsidRPr="00D03F3E">
        <w:rPr>
          <w:color w:val="000000" w:themeColor="text1"/>
          <w:sz w:val="16"/>
          <w:szCs w:val="16"/>
        </w:rPr>
        <w:softHyphen/>
        <w:t>местных Су-6 М-71ф с пулеметно-пушечным соста</w:t>
      </w:r>
      <w:r w:rsidRPr="00D03F3E">
        <w:rPr>
          <w:color w:val="000000" w:themeColor="text1"/>
          <w:sz w:val="16"/>
          <w:szCs w:val="16"/>
        </w:rPr>
        <w:softHyphen/>
        <w:t>вом вооружения (4 ВЯ и 2 УБК) имело смысл вы</w:t>
      </w:r>
      <w:r w:rsidRPr="00D03F3E">
        <w:rPr>
          <w:color w:val="000000" w:themeColor="text1"/>
          <w:sz w:val="16"/>
          <w:szCs w:val="16"/>
        </w:rPr>
        <w:softHyphen/>
        <w:t>пускать один одноместный в противотанковом ва</w:t>
      </w:r>
      <w:r w:rsidRPr="00D03F3E">
        <w:rPr>
          <w:color w:val="000000" w:themeColor="text1"/>
          <w:sz w:val="16"/>
          <w:szCs w:val="16"/>
        </w:rPr>
        <w:softHyphen/>
        <w:t>рианте.</w:t>
      </w:r>
    </w:p>
    <w:p w14:paraId="1129187E"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 сожалению, в это время ни военные, ни НКАП вопросами оптимизации состава и боекомплекта стрелково-пушечного вооружения боевых самоле</w:t>
      </w:r>
      <w:r w:rsidRPr="00D03F3E">
        <w:rPr>
          <w:color w:val="000000" w:themeColor="text1"/>
          <w:sz w:val="16"/>
          <w:szCs w:val="16"/>
        </w:rPr>
        <w:softHyphen/>
        <w:t>тов применительно к условиям боевого примене</w:t>
      </w:r>
      <w:r w:rsidRPr="00D03F3E">
        <w:rPr>
          <w:color w:val="000000" w:themeColor="text1"/>
          <w:sz w:val="16"/>
          <w:szCs w:val="16"/>
        </w:rPr>
        <w:softHyphen/>
        <w:t>ния на фронте должным образом не занимались, хотя, как следует из архивных документов, все не</w:t>
      </w:r>
      <w:r w:rsidRPr="00D03F3E">
        <w:rPr>
          <w:color w:val="000000" w:themeColor="text1"/>
          <w:sz w:val="16"/>
          <w:szCs w:val="16"/>
        </w:rPr>
        <w:softHyphen/>
        <w:t>обходимые исходные данные для такой работы в отчетах частей и соединений имелись.</w:t>
      </w:r>
    </w:p>
    <w:p w14:paraId="709D4AB3" w14:textId="77777777" w:rsidR="00DC217E" w:rsidRPr="00D03F3E" w:rsidRDefault="00DC217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Судя по документам, НИИ ВВС и руководство ВВС КА отчетливо понимали, что Су-6 М-71ф явля</w:t>
      </w:r>
      <w:r w:rsidRPr="00D03F3E">
        <w:rPr>
          <w:color w:val="000000" w:themeColor="text1"/>
          <w:sz w:val="16"/>
          <w:szCs w:val="16"/>
        </w:rPr>
        <w:softHyphen/>
        <w:t>ется именно тем ударным самолетом, которого не</w:t>
      </w:r>
      <w:r w:rsidRPr="00D03F3E">
        <w:rPr>
          <w:color w:val="000000" w:themeColor="text1"/>
          <w:sz w:val="16"/>
          <w:szCs w:val="16"/>
        </w:rPr>
        <w:softHyphen/>
        <w:t>достает в системе вооружений ВВС, и в силу этого были полны решимости отстаивать свои интересы. По их мнению, возможности для постановки в се</w:t>
      </w:r>
      <w:r w:rsidRPr="00D03F3E">
        <w:rPr>
          <w:color w:val="000000" w:themeColor="text1"/>
          <w:sz w:val="16"/>
          <w:szCs w:val="16"/>
        </w:rPr>
        <w:softHyphen/>
        <w:t>рию «семьдесят первого» мотора и самолета Су-6 с ним у НКАП имелись (17500).</w:t>
      </w:r>
    </w:p>
    <w:p w14:paraId="5D47A651" w14:textId="77777777" w:rsidR="00DC217E" w:rsidRPr="00D03F3E" w:rsidRDefault="00DC217E" w:rsidP="00D03F3E">
      <w:pPr>
        <w:pStyle w:val="12a"/>
        <w:shd w:val="clear" w:color="auto" w:fill="auto"/>
        <w:spacing w:after="0" w:line="240" w:lineRule="auto"/>
        <w:jc w:val="both"/>
        <w:rPr>
          <w:color w:val="000000" w:themeColor="text1"/>
          <w:sz w:val="16"/>
          <w:szCs w:val="16"/>
        </w:rPr>
      </w:pPr>
    </w:p>
    <w:p w14:paraId="20C463D8"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19 июня 1943 г. одноместный Су-6 М-71Ф, который был переделан в двухместный С2А официально был передан в НИИ ВВС для проведения государственных испытаний.</w:t>
      </w:r>
    </w:p>
    <w:p w14:paraId="293716F5"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Государственные испытания проходили с 20 июня по 30 августа (ведущий инженер А. В. Синельников, ведущий летчик А. И. Кабанов, летчик облета П. М. Стефановский). Всего было выполнено 42 полета с суммарным налетом 23 ч 10 мин.</w:t>
      </w:r>
    </w:p>
    <w:p w14:paraId="41788567"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Су-6 М-71Ф блестяще прошел государственные испытания. Это была действительно замечательная машина. По максимальным скоростям, скороподъемности, маневренности, потолку, дальности, вооружению и бронированию двухместный «сухой» значительно превосходил стоящий на вооружении ВВС КА двухместный Ил-2 АМ-38Ф.</w:t>
      </w:r>
    </w:p>
    <w:p w14:paraId="47A2966F"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Кроме того, Су-6 обладал прекрасными характеристиками устойчивости и управляемости, был прост и приятен в пилотировании.</w:t>
      </w:r>
    </w:p>
    <w:p w14:paraId="43720E3E"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Так, ведущий летчик-испытатель А. И. Кабанов отмечал:</w:t>
      </w:r>
    </w:p>
    <w:p w14:paraId="09994C46"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rStyle w:val="af0"/>
          <w:i w:val="0"/>
          <w:color w:val="000000" w:themeColor="text1"/>
          <w:sz w:val="16"/>
          <w:szCs w:val="16"/>
          <w:bdr w:val="none" w:sz="0" w:space="0" w:color="auto" w:frame="1"/>
        </w:rPr>
        <w:t>«Кабина хороша. Рулит хорошо. В целом самолет производит хорошее впечатление и будет грозным оружием как в борьбе с земными целями, так и с бомбардировщиками противника».</w:t>
      </w:r>
    </w:p>
    <w:p w14:paraId="590FD48C"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П. М. Стефановский:</w:t>
      </w:r>
    </w:p>
    <w:p w14:paraId="4F59E4C3"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rStyle w:val="af0"/>
          <w:i w:val="0"/>
          <w:color w:val="000000" w:themeColor="text1"/>
          <w:sz w:val="16"/>
          <w:szCs w:val="16"/>
          <w:bdr w:val="none" w:sz="0" w:space="0" w:color="auto" w:frame="1"/>
        </w:rPr>
        <w:t>«Самолет, как двухместный штурмовик, является актуальной и нужной машиной, могущей заменить самолет Ил-2, так как обладает лучшим бронированием и значительно лучшими летными данными».</w:t>
      </w:r>
    </w:p>
    <w:p w14:paraId="46A9E7E1"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В Акте государственных испытаний отмечалось:</w:t>
      </w:r>
    </w:p>
    <w:p w14:paraId="7F3170CF"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rStyle w:val="af0"/>
          <w:i w:val="0"/>
          <w:color w:val="000000" w:themeColor="text1"/>
          <w:sz w:val="16"/>
          <w:szCs w:val="16"/>
          <w:bdr w:val="none" w:sz="0" w:space="0" w:color="auto" w:frame="1"/>
        </w:rPr>
        <w:t>«…По максимальным скоростям, скороподъемности, потолку и дальности самолет Су-6 М-71ф значительно превосходит находящийся на вооружении ВВС Красной Армии штурмовой самолет Ил-2;</w:t>
      </w:r>
    </w:p>
    <w:p w14:paraId="26C1BFBE"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rStyle w:val="af0"/>
          <w:i w:val="0"/>
          <w:color w:val="000000" w:themeColor="text1"/>
          <w:sz w:val="16"/>
          <w:szCs w:val="16"/>
          <w:bdr w:val="none" w:sz="0" w:space="0" w:color="auto" w:frame="1"/>
        </w:rPr>
        <w:t>…Самолет Су-6 по своему бронированию и летно-боевым качествам, в первую очередь предназначен для решения штурмовых задач, но, вместе с тем, его можно успешно использовать и для борьбы с бомбардировщиками противника;</w:t>
      </w:r>
    </w:p>
    <w:p w14:paraId="71E5B051"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rStyle w:val="af0"/>
          <w:i w:val="0"/>
          <w:color w:val="000000" w:themeColor="text1"/>
          <w:sz w:val="16"/>
          <w:szCs w:val="16"/>
          <w:bdr w:val="none" w:sz="0" w:space="0" w:color="auto" w:frame="1"/>
        </w:rPr>
        <w:t>…Рекомендовать самолет Су-6 с мотором М-71ф в серийное производство».</w:t>
      </w:r>
    </w:p>
    <w:p w14:paraId="13A9FA88"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Передняя часть фюзеляжа целиком состояла из брони. Задняя — деревянный монокок.</w:t>
      </w:r>
    </w:p>
    <w:p w14:paraId="7AFCE47B"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Центроплан, стабилизатор, рули, элероны (типа «Фрайз») и оба лонжерона крыла металлические. Киль и консоли крыла деревянные. Элероны и рули обшиты полотном.</w:t>
      </w:r>
    </w:p>
    <w:p w14:paraId="52D641E9"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Осуществлялась весовая и аэродинамическая компенсация элеронов и рулей, имелись триммеры. Самолет имел предкрылки и щитки Шренка.</w:t>
      </w:r>
    </w:p>
    <w:p w14:paraId="00AB71F9"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Шасси одностоечное с задним складывающимся подкосом. Убиралось назад с поворотом на 90°. Уборка и выпуск гидравлические.</w:t>
      </w:r>
    </w:p>
    <w:p w14:paraId="4C400744"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Для улучшения взлетно-посадочных характеристик в процессе испытаний трехлопастный винт АВ-5–4А с диаметром 3,25 м был заменен на четырехлопастный АВ-9–4А с диаметром 3,35 м. Установка нового винта увеличила вес машины на 40 кг.</w:t>
      </w:r>
    </w:p>
    <w:p w14:paraId="4F63A32E"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Бензобак емкостью 770 л размещался под сидением летчика. Имелась система заполнения бензобака инертными газами.</w:t>
      </w:r>
    </w:p>
    <w:p w14:paraId="3C77FB18"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Маслорадиаторы располагались в носке крыла.</w:t>
      </w:r>
    </w:p>
    <w:p w14:paraId="61E8AA53"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Бронирование штурмовика было выполнено значительно лучше, чем на Ил-2, однако благодаря рациональному распределению толщин бронелистов (от 2 до 12 мм) общая масса брони составила всего 683 кг, в том числе бронестекло (у летчика и стрелка) — 64 кг, бронирование около мотора — 72 кг, броня кабины летчика — 345 кг и кабины стрелка — 198 кг.</w:t>
      </w:r>
    </w:p>
    <w:p w14:paraId="35DB0D7E"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Бронирование охватывало кабину летчика и стрелка, бензобак, замоторный отсек, маслобак, маслорадиаторы и трубопроводы к ним, цилиндр винта.</w:t>
      </w:r>
    </w:p>
    <w:p w14:paraId="2FA15E5C"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Передняя часть фюзеляжа до бронеспинки летчика представляла собой целиком бронированный корпус, в котором размещался летчик, бензобак, маслобак и органы управления. Козырек из прозрачной брони толщиной 65 мм.</w:t>
      </w:r>
    </w:p>
    <w:p w14:paraId="5CADC31E"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Кабина стрелка была выполнена в виде бронированной «капсулы» с толщиной брони от 4 до 12 мм. Стрелок был защищен металлической броней снизу, с боков, сзади и частично сверху и прозрачной броней (толщина 65 мм) блистерной установки.</w:t>
      </w:r>
    </w:p>
    <w:p w14:paraId="11232B9F"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Агрегаты мотора защищались внутренним бронированным капотом и специальным бронированным разъемным кольцом. Радиаторы и трубопроводы к ним снизу и сзади защищались гнутым бронелистом толщиной 6 мм. Цилиндр винта спереди защищался сферическим диском из брони толщиной 6 мм.</w:t>
      </w:r>
    </w:p>
    <w:p w14:paraId="0D4D1E73"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В целом бронирование самолета обеспечивало защиту от пуль калибра 12,7 мм. Живучесть повышалась применением наддува бензобака выхлопными газами от мотора.</w:t>
      </w:r>
    </w:p>
    <w:p w14:paraId="6295D148"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Наступательное стрелково-пушечное вооружение самолета включало две крыльевые крупнокалиберные пушки 11П-37 (боекомплект 90 снарядов) и два крыльевых пулемета ШКАС (1400 патронов).</w:t>
      </w:r>
    </w:p>
    <w:p w14:paraId="288A9724"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Отметим, что в отличие от Ил-2, на Су-6-м пушки 11П-37 размещались ближе к оси самолета. Последнее в совокупности с более высоким запасом устойчивости штурмовика обеспечивало более высокую эффективность стрельбы из пушек в воздухе по малоразмерным наземным целям.</w:t>
      </w:r>
    </w:p>
    <w:p w14:paraId="67D50DB4"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Во время полигонных испытаний нового штурмовика никаких нареканий, связанных с влиянием силы отдачи пушек на машину при стрельбе в воздухе летчиками-испытателями не высказывались:</w:t>
      </w:r>
    </w:p>
    <w:p w14:paraId="737B931F"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rStyle w:val="af0"/>
          <w:i w:val="0"/>
          <w:color w:val="000000" w:themeColor="text1"/>
          <w:sz w:val="16"/>
          <w:szCs w:val="16"/>
          <w:bdr w:val="none" w:sz="0" w:space="0" w:color="auto" w:frame="1"/>
        </w:rPr>
        <w:t>«…На пикировании при стрельбе самолет устойчив, отдача даже при стрельбе из всех точек незначительна».</w:t>
      </w:r>
    </w:p>
    <w:p w14:paraId="66C7F935"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Для стрельбы назад использовалась блистерная установка БЛУБ с пулеметом УБТ калибра 12,7 мм (боезапас 196 патронов в четырех магазинах). Углы обстрела: вверх — 45°, вниз с бортов — 1°, вправо-влево — 30°.</w:t>
      </w:r>
    </w:p>
    <w:p w14:paraId="20B0444B"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Бомбовая нагрузка 200 кг в перегрузку. Бомбы размещались внутри фюзеляжа в четырех отсеках по две с каждой стороны кабины стрелка. Бомбы укладывались на створки бомбоотсеков.</w:t>
      </w:r>
    </w:p>
    <w:p w14:paraId="2538A326"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В исключительных случаях при базировании на хороших аэродромах возможно было использовать внутри фюзеляжа две бомбы ФАБ-250 или четыре бомбы ФАБ-100ЦК. На внешней подвеске дополнительно могли подвешиваться 2 бомбы ФАБ-100.</w:t>
      </w:r>
    </w:p>
    <w:p w14:paraId="08D7C199"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Вес пустого самолета с винтом АВ-5–4А составил 4110 кг, вес полезной нагрузки (без бомб) — 1424 кг.</w:t>
      </w:r>
    </w:p>
    <w:p w14:paraId="582AC76C"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Площадь крыла Су-6 была меньше, чем у Ил-2 (26 кв. м против 38,5 кв. м), но мощность мотора — выше. Кроме того, аэродинамика суховской машины была намного чище.</w:t>
      </w:r>
    </w:p>
    <w:p w14:paraId="7C3166F4"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В результате максимальная скорость у земли Су-6 М-71Ф с винтом АВ-5–4А при полетном весе 5534 кг составила 480 км/ч (на высоте 3850 м — 514 км/ч), почти на 100 км/ч превосходила таковую для двухместного Ил-2 АМ-38Ф с более слабым пушечным вооружением (две ВЯ или две ШВАК).</w:t>
      </w:r>
    </w:p>
    <w:p w14:paraId="0E478DFD"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Вследствие того, что вся бомбовая нагрузка (200 кг) размещалась внутри фюзеляжа максимальные скорости штурмовика оставались практически теми же.</w:t>
      </w:r>
    </w:p>
    <w:p w14:paraId="6A1ED363"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С четырехлопастным винтом АВ-9–4А скорость Су-6-го уменьшалась примерно на 3–4 км/ч, однако разбег на взлете составил 410 м, а пробег — 730 м.</w:t>
      </w:r>
    </w:p>
    <w:p w14:paraId="3BA06ACF"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 xml:space="preserve">Время подъема на высоту 1000 м составляло 1,8 мин, на высоту 5000 м — 10,6 мин. Максимальная дальность полета на высоте 1000 м на скорости 349 км/ч составила </w:t>
      </w:r>
      <w:r w:rsidRPr="00D03F3E">
        <w:rPr>
          <w:color w:val="000000" w:themeColor="text1"/>
          <w:sz w:val="16"/>
          <w:szCs w:val="16"/>
        </w:rPr>
        <w:lastRenderedPageBreak/>
        <w:t>973 км.</w:t>
      </w:r>
    </w:p>
    <w:p w14:paraId="142E6BFB"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В ходе испытаний были проведены показательные воздушные бои с боевыми самолетами люфтваффе, имевшихся в распоряжении НИИ ВВС КА: с истребителем Bf 109G-2 в трехточечном варианте и с бомбардировщиком He 111Н-11.</w:t>
      </w:r>
    </w:p>
    <w:p w14:paraId="53F13B6C"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Учебные бои показали, что воздушные бои Су-6 с немецкими истребителями были возможны только в составе группы («мессершмитт» уже на первом вираже мог зайти в хвост «сухому» для атаки), а бомбардировщики люфтваффе типа He 111, Fw 200 и Ju 87 не могли уйти от советского штурмовика набором высоты и неизбежно становились его жертвами.</w:t>
      </w:r>
    </w:p>
    <w:p w14:paraId="688183C3"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В этой связи в отчете по госиспытаниям рекомендовалось создать модификацию Су-6 специально для борьбы с бомбардировочными и транспортными самолетами противника.</w:t>
      </w:r>
    </w:p>
    <w:p w14:paraId="4BA8AE66"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П. М. Стефановским предлагалось выпускать самолет Су-6 М-71Ф в одноместном варианте с пушками НС-37 и в двухместном — с пушками ВЯ-23.</w:t>
      </w:r>
    </w:p>
    <w:p w14:paraId="213761BD"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Кроме того, для двухместного самолета Су-6 М-71Ф предлагалось применить мотор М-71Ф с изъятой второй скоростью нагнетателя и дальнейшим форсированием его на малых высотах.</w:t>
      </w:r>
    </w:p>
    <w:p w14:paraId="64AD4B9A"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Реализация предложений П. М. Стефановского позволила бы иметь мощно вооруженный одноместный бронированный штурмовик и истребитель бомбардировщиков с летными данными близкими к серийным истребителям противника, а также двухместный бронированный штурмовик с еще более высокими летными данными.</w:t>
      </w:r>
    </w:p>
    <w:p w14:paraId="673A38C5"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Оценки показывают, что в типовых условиях боев летчик с хорошей летной и стрелковой подготовкой на штурмовике Су-6 М-71Ф уже в первой атаке мог обеспечить вероятность поражения немецкого среднего танка типа Pz. IV Ausf G (атака сбоку, угол планирования 25–30°, дистанция открытия огня 300–400 м) порядка 0,06–0,11, бронетранспортера типа Sd Kfz 250 — около 0,9–0,85, а самолета на аэродроме типа He 111 – 0,75–0,4.</w:t>
      </w:r>
    </w:p>
    <w:p w14:paraId="3FA0D800"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Наладить серийное производство мотора М-71Ф в трудных условиях военного времени было сложно, и надо признать, никаких серьезных усилий в этом направлении со стороны руководства НКАП не производилось. Собственно, бездействие наркомата и решило судьбу Су-6 М-71Ф. Серийно он не строился (19188).</w:t>
      </w:r>
    </w:p>
    <w:p w14:paraId="188B4A33" w14:textId="77777777" w:rsidR="00040D2F" w:rsidRPr="00D03F3E" w:rsidRDefault="00040D2F" w:rsidP="00D03F3E">
      <w:pPr>
        <w:pStyle w:val="ae"/>
        <w:shd w:val="clear" w:color="auto" w:fill="FFFFFF"/>
        <w:spacing w:before="0" w:after="0"/>
        <w:jc w:val="both"/>
        <w:textAlignment w:val="baseline"/>
        <w:rPr>
          <w:color w:val="000000" w:themeColor="text1"/>
          <w:sz w:val="16"/>
          <w:szCs w:val="16"/>
        </w:rPr>
      </w:pPr>
    </w:p>
    <w:p w14:paraId="56D01197"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19 июня 1943 со</w:t>
      </w:r>
      <w:r w:rsidRPr="00D03F3E">
        <w:rPr>
          <w:rFonts w:ascii="Times New Roman" w:hAnsi="Times New Roman" w:cs="Times New Roman"/>
          <w:color w:val="0070C0"/>
          <w:sz w:val="16"/>
          <w:szCs w:val="16"/>
        </w:rPr>
        <w:softHyphen/>
        <w:t>стоялась официальная пе</w:t>
      </w:r>
      <w:r w:rsidRPr="00D03F3E">
        <w:rPr>
          <w:rFonts w:ascii="Times New Roman" w:hAnsi="Times New Roman" w:cs="Times New Roman"/>
          <w:color w:val="0070C0"/>
          <w:sz w:val="16"/>
          <w:szCs w:val="16"/>
        </w:rPr>
        <w:softHyphen/>
        <w:t>редача самолета Су-6 М-71ф (С2А) в НИИ ВВС для произ</w:t>
      </w:r>
      <w:r w:rsidRPr="00D03F3E">
        <w:rPr>
          <w:rFonts w:ascii="Times New Roman" w:hAnsi="Times New Roman" w:cs="Times New Roman"/>
          <w:color w:val="0070C0"/>
          <w:sz w:val="16"/>
          <w:szCs w:val="16"/>
        </w:rPr>
        <w:softHyphen/>
        <w:t>водства государственных испытаний (19846).</w:t>
      </w:r>
    </w:p>
    <w:p w14:paraId="073FBCD4"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С 20 июня по 30 августа на Су-6 М-71ф было выполнено 42 полета (налет 23 ч 10 мин). Испытания проводили: ве</w:t>
      </w:r>
      <w:r w:rsidRPr="00D03F3E">
        <w:rPr>
          <w:rFonts w:ascii="Times New Roman" w:hAnsi="Times New Roman" w:cs="Times New Roman"/>
          <w:color w:val="0070C0"/>
          <w:sz w:val="16"/>
          <w:szCs w:val="16"/>
        </w:rPr>
        <w:softHyphen/>
        <w:t>дущий инженер - инженер-майор Сине</w:t>
      </w:r>
      <w:r w:rsidRPr="00D03F3E">
        <w:rPr>
          <w:rFonts w:ascii="Times New Roman" w:hAnsi="Times New Roman" w:cs="Times New Roman"/>
          <w:color w:val="0070C0"/>
          <w:sz w:val="16"/>
          <w:szCs w:val="16"/>
        </w:rPr>
        <w:softHyphen/>
        <w:t>льников, ведущий летчик - летчик-испы- татель полковник А.И. Кабанов, летчики облета - полковник П.М. Стефановский и майор Долгов, штурманы-испытатели - капитаны Васильев и Горбунов.</w:t>
      </w:r>
    </w:p>
    <w:p w14:paraId="333BC4DE"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В ходе испытаний переделали кон</w:t>
      </w:r>
      <w:r w:rsidRPr="00D03F3E">
        <w:rPr>
          <w:rFonts w:ascii="Times New Roman" w:hAnsi="Times New Roman" w:cs="Times New Roman"/>
          <w:color w:val="0070C0"/>
          <w:sz w:val="16"/>
          <w:szCs w:val="16"/>
        </w:rPr>
        <w:softHyphen/>
        <w:t>струкцию стопора костыльного колеса («сделан по типу самолета Ил-2»), Увели</w:t>
      </w:r>
      <w:r w:rsidRPr="00D03F3E">
        <w:rPr>
          <w:rFonts w:ascii="Times New Roman" w:hAnsi="Times New Roman" w:cs="Times New Roman"/>
          <w:color w:val="0070C0"/>
          <w:sz w:val="16"/>
          <w:szCs w:val="16"/>
        </w:rPr>
        <w:softHyphen/>
        <w:t>чили аэродинамическую компенсацию руля высоты.</w:t>
      </w:r>
    </w:p>
    <w:p w14:paraId="16FC46CD"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Для улучшения взлетных характери</w:t>
      </w:r>
      <w:r w:rsidRPr="00D03F3E">
        <w:rPr>
          <w:rFonts w:ascii="Times New Roman" w:hAnsi="Times New Roman" w:cs="Times New Roman"/>
          <w:color w:val="0070C0"/>
          <w:sz w:val="16"/>
          <w:szCs w:val="16"/>
        </w:rPr>
        <w:softHyphen/>
        <w:t>стик трехлопастный винт АВ-5-4А диаме</w:t>
      </w:r>
      <w:r w:rsidRPr="00D03F3E">
        <w:rPr>
          <w:rFonts w:ascii="Times New Roman" w:hAnsi="Times New Roman" w:cs="Times New Roman"/>
          <w:color w:val="0070C0"/>
          <w:sz w:val="16"/>
          <w:szCs w:val="16"/>
        </w:rPr>
        <w:softHyphen/>
        <w:t>тром 3,25 м заменили четырехлопастным АВ-9-4А диаметром 3,35 м,с которым дополнительно сняли летные данные и определили взлетно-посадочные качества. Вместо мотора М-71ф зав. №7101004 установили мотор зав. №7101007.</w:t>
      </w:r>
    </w:p>
    <w:p w14:paraId="6734EB41"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Попытка понизить температуру масла путем установки стандартных 9-дюймо- вых радиаторов, но с увеличенным разли</w:t>
      </w:r>
      <w:r w:rsidRPr="00D03F3E">
        <w:rPr>
          <w:rFonts w:ascii="Times New Roman" w:hAnsi="Times New Roman" w:cs="Times New Roman"/>
          <w:color w:val="0070C0"/>
          <w:sz w:val="16"/>
          <w:szCs w:val="16"/>
        </w:rPr>
        <w:softHyphen/>
        <w:t>вом масла при входе, положительных ре</w:t>
      </w:r>
      <w:r w:rsidRPr="00D03F3E">
        <w:rPr>
          <w:rFonts w:ascii="Times New Roman" w:hAnsi="Times New Roman" w:cs="Times New Roman"/>
          <w:color w:val="0070C0"/>
          <w:sz w:val="16"/>
          <w:szCs w:val="16"/>
        </w:rPr>
        <w:softHyphen/>
        <w:t>зультатов не дала. Вместо них смонтиро</w:t>
      </w:r>
      <w:r w:rsidRPr="00D03F3E">
        <w:rPr>
          <w:rFonts w:ascii="Times New Roman" w:hAnsi="Times New Roman" w:cs="Times New Roman"/>
          <w:color w:val="0070C0"/>
          <w:sz w:val="16"/>
          <w:szCs w:val="16"/>
        </w:rPr>
        <w:softHyphen/>
        <w:t>вали опытные 9-дюймовые радиаторы с увеличенной поверхностью теплоотдачи (с трубками меньшего диаметра). Темпе</w:t>
      </w:r>
      <w:r w:rsidRPr="00D03F3E">
        <w:rPr>
          <w:rFonts w:ascii="Times New Roman" w:hAnsi="Times New Roman" w:cs="Times New Roman"/>
          <w:color w:val="0070C0"/>
          <w:sz w:val="16"/>
          <w:szCs w:val="16"/>
        </w:rPr>
        <w:softHyphen/>
        <w:t>ратура масла вошла в норму.</w:t>
      </w:r>
    </w:p>
    <w:p w14:paraId="74321312"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Доработали пушки 11П и переделали звеньеотводы пушек. Внесли изменения в пулеметную установку БЛУБ («усилена пружинная компенсация пулемета, дора</w:t>
      </w:r>
      <w:r w:rsidRPr="00D03F3E">
        <w:rPr>
          <w:rFonts w:ascii="Times New Roman" w:hAnsi="Times New Roman" w:cs="Times New Roman"/>
          <w:color w:val="0070C0"/>
          <w:sz w:val="16"/>
          <w:szCs w:val="16"/>
        </w:rPr>
        <w:softHyphen/>
        <w:t>ботаны магазины, изменена мушка коль</w:t>
      </w:r>
      <w:r w:rsidRPr="00D03F3E">
        <w:rPr>
          <w:rFonts w:ascii="Times New Roman" w:hAnsi="Times New Roman" w:cs="Times New Roman"/>
          <w:color w:val="0070C0"/>
          <w:sz w:val="16"/>
          <w:szCs w:val="16"/>
        </w:rPr>
        <w:softHyphen/>
        <w:t>цевого прицела»). Мешок для сбора стре</w:t>
      </w:r>
      <w:r w:rsidRPr="00D03F3E">
        <w:rPr>
          <w:rFonts w:ascii="Times New Roman" w:hAnsi="Times New Roman" w:cs="Times New Roman"/>
          <w:color w:val="0070C0"/>
          <w:sz w:val="16"/>
          <w:szCs w:val="16"/>
        </w:rPr>
        <w:softHyphen/>
        <w:t>ляных гильз и звеньев, подвешенный к пулемету УБТ и затруднявший маневриро</w:t>
      </w:r>
      <w:r w:rsidRPr="00D03F3E">
        <w:rPr>
          <w:rFonts w:ascii="Times New Roman" w:hAnsi="Times New Roman" w:cs="Times New Roman"/>
          <w:color w:val="0070C0"/>
          <w:sz w:val="16"/>
          <w:szCs w:val="16"/>
        </w:rPr>
        <w:softHyphen/>
        <w:t>вание пулеметом при стрельбе, заменили специальным фартуком, закрепленным в кабине. Доводилось «до ума» и бомбар</w:t>
      </w:r>
      <w:r w:rsidRPr="00D03F3E">
        <w:rPr>
          <w:rFonts w:ascii="Times New Roman" w:hAnsi="Times New Roman" w:cs="Times New Roman"/>
          <w:color w:val="0070C0"/>
          <w:sz w:val="16"/>
          <w:szCs w:val="16"/>
        </w:rPr>
        <w:softHyphen/>
        <w:t>дировочное вооружение («усилены ры</w:t>
      </w:r>
      <w:r w:rsidRPr="00D03F3E">
        <w:rPr>
          <w:rFonts w:ascii="Times New Roman" w:hAnsi="Times New Roman" w:cs="Times New Roman"/>
          <w:color w:val="0070C0"/>
          <w:sz w:val="16"/>
          <w:szCs w:val="16"/>
        </w:rPr>
        <w:softHyphen/>
        <w:t>чаги замков верхних створок бомбовых отсеков»).</w:t>
      </w:r>
    </w:p>
    <w:p w14:paraId="4012A069"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Перекомпоновали и доработали все радиооборудование. Дальность и каче</w:t>
      </w:r>
      <w:r w:rsidRPr="00D03F3E">
        <w:rPr>
          <w:rFonts w:ascii="Times New Roman" w:hAnsi="Times New Roman" w:cs="Times New Roman"/>
          <w:color w:val="0070C0"/>
          <w:sz w:val="16"/>
          <w:szCs w:val="16"/>
        </w:rPr>
        <w:softHyphen/>
        <w:t>ство радиосвязи заметно повысились. При этом радиостанцию РСИ-4 перенесли в хвостовую часть фюзеляжа. Подстройка приемника и регулировка громкости осу</w:t>
      </w:r>
      <w:r w:rsidRPr="00D03F3E">
        <w:rPr>
          <w:rFonts w:ascii="Times New Roman" w:hAnsi="Times New Roman" w:cs="Times New Roman"/>
          <w:color w:val="0070C0"/>
          <w:sz w:val="16"/>
          <w:szCs w:val="16"/>
        </w:rPr>
        <w:softHyphen/>
        <w:t>ществлялась при помощи механизма ди</w:t>
      </w:r>
      <w:r w:rsidRPr="00D03F3E">
        <w:rPr>
          <w:rFonts w:ascii="Times New Roman" w:hAnsi="Times New Roman" w:cs="Times New Roman"/>
          <w:color w:val="0070C0"/>
          <w:sz w:val="16"/>
          <w:szCs w:val="16"/>
        </w:rPr>
        <w:softHyphen/>
        <w:t>станционного управления от электрок</w:t>
      </w:r>
      <w:r w:rsidRPr="00D03F3E">
        <w:rPr>
          <w:rFonts w:ascii="Times New Roman" w:hAnsi="Times New Roman" w:cs="Times New Roman"/>
          <w:color w:val="0070C0"/>
          <w:sz w:val="16"/>
          <w:szCs w:val="16"/>
        </w:rPr>
        <w:softHyphen/>
        <w:t>нопки на секторе газа.</w:t>
      </w:r>
    </w:p>
    <w:p w14:paraId="25A0B430"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По максимальным скоростям, ско</w:t>
      </w:r>
      <w:r w:rsidRPr="00D03F3E">
        <w:rPr>
          <w:rFonts w:ascii="Times New Roman" w:hAnsi="Times New Roman" w:cs="Times New Roman"/>
          <w:color w:val="0070C0"/>
          <w:sz w:val="16"/>
          <w:szCs w:val="16"/>
        </w:rPr>
        <w:softHyphen/>
        <w:t>роподъемности, маневренности, дально</w:t>
      </w:r>
      <w:r w:rsidRPr="00D03F3E">
        <w:rPr>
          <w:rFonts w:ascii="Times New Roman" w:hAnsi="Times New Roman" w:cs="Times New Roman"/>
          <w:color w:val="0070C0"/>
          <w:sz w:val="16"/>
          <w:szCs w:val="16"/>
        </w:rPr>
        <w:softHyphen/>
        <w:t>сти, вооружению и бронированию Су-6</w:t>
      </w:r>
    </w:p>
    <w:p w14:paraId="212D5953"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М-71ф значительно превосходил находя</w:t>
      </w:r>
      <w:r w:rsidRPr="00D03F3E">
        <w:rPr>
          <w:rFonts w:ascii="Times New Roman" w:hAnsi="Times New Roman" w:cs="Times New Roman"/>
          <w:color w:val="0070C0"/>
          <w:sz w:val="16"/>
          <w:szCs w:val="16"/>
        </w:rPr>
        <w:softHyphen/>
        <w:t>щийся на вооружении ВВС КА двухмест</w:t>
      </w:r>
      <w:r w:rsidRPr="00D03F3E">
        <w:rPr>
          <w:rFonts w:ascii="Times New Roman" w:hAnsi="Times New Roman" w:cs="Times New Roman"/>
          <w:color w:val="0070C0"/>
          <w:sz w:val="16"/>
          <w:szCs w:val="16"/>
        </w:rPr>
        <w:softHyphen/>
        <w:t>ный Ил-2 АМ-38ф.</w:t>
      </w:r>
    </w:p>
    <w:p w14:paraId="63C88E5B"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При полетном весе 5534 кг (без бомб) максимальная скорость у земли Су-6 М-71ф с винтом АВ-5-4А - 480 км/ч, по</w:t>
      </w:r>
      <w:r w:rsidRPr="00D03F3E">
        <w:rPr>
          <w:rFonts w:ascii="Times New Roman" w:hAnsi="Times New Roman" w:cs="Times New Roman"/>
          <w:color w:val="0070C0"/>
          <w:sz w:val="16"/>
          <w:szCs w:val="16"/>
        </w:rPr>
        <w:softHyphen/>
        <w:t>чти на 100 км/ч превосходила скорость двухместного Ил-2 АМ-38ф. На высоте 1450 м (1-я граница высотности) штур</w:t>
      </w:r>
      <w:r w:rsidRPr="00D03F3E">
        <w:rPr>
          <w:rFonts w:ascii="Times New Roman" w:hAnsi="Times New Roman" w:cs="Times New Roman"/>
          <w:color w:val="0070C0"/>
          <w:sz w:val="16"/>
          <w:szCs w:val="16"/>
        </w:rPr>
        <w:softHyphen/>
        <w:t>мовик развивал скорость 506 км/ч, а на 3850 м (2-я граница высотности) - 514 км/ч. Время подъема на высоту 1000 м не превышало 1,8 мин. Вертикаль</w:t>
      </w:r>
      <w:r w:rsidRPr="00D03F3E">
        <w:rPr>
          <w:rFonts w:ascii="Times New Roman" w:hAnsi="Times New Roman" w:cs="Times New Roman"/>
          <w:color w:val="0070C0"/>
          <w:sz w:val="16"/>
          <w:szCs w:val="16"/>
        </w:rPr>
        <w:softHyphen/>
        <w:t>ная скорость на 1150 м равнялась 9,6 м/с.</w:t>
      </w:r>
    </w:p>
    <w:p w14:paraId="200A24A8"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Разбег при взлете с применением форсажа и выпущенными на 20° щит</w:t>
      </w:r>
      <w:r w:rsidRPr="00D03F3E">
        <w:rPr>
          <w:rFonts w:ascii="Times New Roman" w:hAnsi="Times New Roman" w:cs="Times New Roman"/>
          <w:color w:val="0070C0"/>
          <w:sz w:val="16"/>
          <w:szCs w:val="16"/>
        </w:rPr>
        <w:softHyphen/>
        <w:t>ками - 510 м (с 200 кг бомб - 540 м). Пробег со щитками, отклоненными на 55°, и использованием тормозов - 730 м.</w:t>
      </w:r>
    </w:p>
    <w:p w14:paraId="402D1494"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Максимальная дальность полета на высоте 1000 м и скорости 349 км/ч (запас горючего 560 кг) достигала 973 км (2 ч 47 мин). Скоростная дальность полета (на скорости 448 км/ч) - 588 км (1 ч 19 мин).</w:t>
      </w:r>
    </w:p>
    <w:p w14:paraId="1C7B398D"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Поскольку 200 кг основной бомбовой нагрузки размещались внутри фюзеляжа, то максимальные скорости и дальности полета штурмовика с бомбами оставались практически теми же.</w:t>
      </w:r>
    </w:p>
    <w:p w14:paraId="3E5B8A26"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С четырехлопастным винтом АВ-9-4А диаметром 3,35 м скоростные данные са</w:t>
      </w:r>
      <w:r w:rsidRPr="00D03F3E">
        <w:rPr>
          <w:rFonts w:ascii="Times New Roman" w:hAnsi="Times New Roman" w:cs="Times New Roman"/>
          <w:color w:val="0070C0"/>
          <w:sz w:val="16"/>
          <w:szCs w:val="16"/>
        </w:rPr>
        <w:softHyphen/>
        <w:t>молета были несколько хуже - примерно, на 3-4 км/ч (без кока винта). Однако ско</w:t>
      </w:r>
      <w:r w:rsidRPr="00D03F3E">
        <w:rPr>
          <w:rFonts w:ascii="Times New Roman" w:hAnsi="Times New Roman" w:cs="Times New Roman"/>
          <w:color w:val="0070C0"/>
          <w:sz w:val="16"/>
          <w:szCs w:val="16"/>
        </w:rPr>
        <w:softHyphen/>
        <w:t>роподъемность и взлетные качества за</w:t>
      </w:r>
      <w:r w:rsidRPr="00D03F3E">
        <w:rPr>
          <w:rFonts w:ascii="Times New Roman" w:hAnsi="Times New Roman" w:cs="Times New Roman"/>
          <w:color w:val="0070C0"/>
          <w:sz w:val="16"/>
          <w:szCs w:val="16"/>
        </w:rPr>
        <w:softHyphen/>
        <w:t>метно улучшились: вертикальная скорость у земли возросла с 9,0 до 9,5 м/с, а разбег сократился до 410 м.</w:t>
      </w:r>
    </w:p>
    <w:p w14:paraId="58CFA8EC"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Вираж самолет выполнял на скорости 370-380 км/ч. Время виража при крене 45-50° равнялось 40-45 с. В левый ви</w:t>
      </w:r>
      <w:r w:rsidRPr="00D03F3E">
        <w:rPr>
          <w:rFonts w:ascii="Times New Roman" w:hAnsi="Times New Roman" w:cs="Times New Roman"/>
          <w:color w:val="0070C0"/>
          <w:sz w:val="16"/>
          <w:szCs w:val="16"/>
        </w:rPr>
        <w:softHyphen/>
        <w:t>раж «самолет идет охотнее, чем в пра</w:t>
      </w:r>
      <w:r w:rsidRPr="00D03F3E">
        <w:rPr>
          <w:rFonts w:ascii="Times New Roman" w:hAnsi="Times New Roman" w:cs="Times New Roman"/>
          <w:color w:val="0070C0"/>
          <w:sz w:val="16"/>
          <w:szCs w:val="16"/>
        </w:rPr>
        <w:softHyphen/>
        <w:t>вый». Выходит из виража легко. При ви</w:t>
      </w:r>
      <w:r w:rsidRPr="00D03F3E">
        <w:rPr>
          <w:rFonts w:ascii="Times New Roman" w:hAnsi="Times New Roman" w:cs="Times New Roman"/>
          <w:color w:val="0070C0"/>
          <w:sz w:val="16"/>
          <w:szCs w:val="16"/>
        </w:rPr>
        <w:softHyphen/>
        <w:t>раже на скорости 350 км/ч и ниже самолет стремился «сорваться в штопор с предварительным ослаблением нагрузки на руле глубины».</w:t>
      </w:r>
    </w:p>
    <w:p w14:paraId="31904CC3"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Пикировал Су-6 устойчиво. Доворачивать на цель при прицеливании и стрельбе было немного затруднительно из-за излишней путевой устойчивости.</w:t>
      </w:r>
    </w:p>
    <w:p w14:paraId="07DDA551"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Самолет обладал хорошими характе</w:t>
      </w:r>
      <w:r w:rsidRPr="00D03F3E">
        <w:rPr>
          <w:rFonts w:ascii="Times New Roman" w:hAnsi="Times New Roman" w:cs="Times New Roman"/>
          <w:color w:val="0070C0"/>
          <w:sz w:val="16"/>
          <w:szCs w:val="16"/>
        </w:rPr>
        <w:softHyphen/>
        <w:t>ристиками устойчивости и управляемо</w:t>
      </w:r>
      <w:r w:rsidRPr="00D03F3E">
        <w:rPr>
          <w:rFonts w:ascii="Times New Roman" w:hAnsi="Times New Roman" w:cs="Times New Roman"/>
          <w:color w:val="0070C0"/>
          <w:sz w:val="16"/>
          <w:szCs w:val="16"/>
        </w:rPr>
        <w:softHyphen/>
        <w:t>сти, был прост и приятен в пилотировании. Наличие мощной механизации крыла (ав</w:t>
      </w:r>
      <w:r w:rsidRPr="00D03F3E">
        <w:rPr>
          <w:rFonts w:ascii="Times New Roman" w:hAnsi="Times New Roman" w:cs="Times New Roman"/>
          <w:color w:val="0070C0"/>
          <w:sz w:val="16"/>
          <w:szCs w:val="16"/>
        </w:rPr>
        <w:softHyphen/>
        <w:t>томатические предкрылки и щитки типа Шренк) позволяло ему устойчиво выпол</w:t>
      </w:r>
      <w:r w:rsidRPr="00D03F3E">
        <w:rPr>
          <w:rFonts w:ascii="Times New Roman" w:hAnsi="Times New Roman" w:cs="Times New Roman"/>
          <w:color w:val="0070C0"/>
          <w:sz w:val="16"/>
          <w:szCs w:val="16"/>
        </w:rPr>
        <w:softHyphen/>
        <w:t>нять маневры на больших углах атаки. По</w:t>
      </w:r>
      <w:r w:rsidRPr="00D03F3E">
        <w:rPr>
          <w:rFonts w:ascii="Times New Roman" w:hAnsi="Times New Roman" w:cs="Times New Roman"/>
          <w:color w:val="0070C0"/>
          <w:sz w:val="16"/>
          <w:szCs w:val="16"/>
        </w:rPr>
        <w:softHyphen/>
        <w:t>следнее обстоятельство являлось весьма важным для самолета поля боя, предназ</w:t>
      </w:r>
      <w:r w:rsidRPr="00D03F3E">
        <w:rPr>
          <w:rFonts w:ascii="Times New Roman" w:hAnsi="Times New Roman" w:cs="Times New Roman"/>
          <w:color w:val="0070C0"/>
          <w:sz w:val="16"/>
          <w:szCs w:val="16"/>
        </w:rPr>
        <w:softHyphen/>
        <w:t>наченного для действий на небольшой высоте, так как летчику необходимо было выполнять энергичное боевое маневри</w:t>
      </w:r>
      <w:r w:rsidRPr="00D03F3E">
        <w:rPr>
          <w:rFonts w:ascii="Times New Roman" w:hAnsi="Times New Roman" w:cs="Times New Roman"/>
          <w:color w:val="0070C0"/>
          <w:sz w:val="16"/>
          <w:szCs w:val="16"/>
        </w:rPr>
        <w:softHyphen/>
        <w:t>рование для выхода в атаку в ограничен</w:t>
      </w:r>
      <w:r w:rsidRPr="00D03F3E">
        <w:rPr>
          <w:rFonts w:ascii="Times New Roman" w:hAnsi="Times New Roman" w:cs="Times New Roman"/>
          <w:color w:val="0070C0"/>
          <w:sz w:val="16"/>
          <w:szCs w:val="16"/>
        </w:rPr>
        <w:softHyphen/>
        <w:t>ном пространстве над целью и преимуще</w:t>
      </w:r>
      <w:r w:rsidRPr="00D03F3E">
        <w:rPr>
          <w:rFonts w:ascii="Times New Roman" w:hAnsi="Times New Roman" w:cs="Times New Roman"/>
          <w:color w:val="0070C0"/>
          <w:sz w:val="16"/>
          <w:szCs w:val="16"/>
        </w:rPr>
        <w:softHyphen/>
        <w:t>ственно в вертикальной плоскости.</w:t>
      </w:r>
    </w:p>
    <w:p w14:paraId="5D1BCB0C"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При посадке двухместный Су-6 был несколько сложнее одноместного Су-6 и Ил-2. По общему мнению летчиков-испы</w:t>
      </w:r>
      <w:r w:rsidRPr="00D03F3E">
        <w:rPr>
          <w:rFonts w:ascii="Times New Roman" w:hAnsi="Times New Roman" w:cs="Times New Roman"/>
          <w:color w:val="0070C0"/>
          <w:sz w:val="16"/>
          <w:szCs w:val="16"/>
        </w:rPr>
        <w:softHyphen/>
        <w:t xml:space="preserve">тателей, самолет доступен для освоения летчиками со средней квалификацией </w:t>
      </w:r>
      <w:r w:rsidRPr="00D03F3E">
        <w:rPr>
          <w:rStyle w:val="aff6"/>
          <w:rFonts w:ascii="Times New Roman" w:hAnsi="Times New Roman" w:cs="Times New Roman"/>
          <w:color w:val="0070C0"/>
        </w:rPr>
        <w:t>{«летчики должны быть подготовлены, как для пилотирования самолета Ла-5»).</w:t>
      </w:r>
    </w:p>
    <w:p w14:paraId="0E497529"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В отличие от Ил-2 с пушками 11П или Ш-37, на Су-6 М-71ф пушки 11П разме</w:t>
      </w:r>
      <w:r w:rsidRPr="00D03F3E">
        <w:rPr>
          <w:rFonts w:ascii="Times New Roman" w:hAnsi="Times New Roman" w:cs="Times New Roman"/>
          <w:color w:val="0070C0"/>
          <w:sz w:val="16"/>
          <w:szCs w:val="16"/>
        </w:rPr>
        <w:softHyphen/>
        <w:t>щались ближе к оси самолета, что в со</w:t>
      </w:r>
      <w:r w:rsidRPr="00D03F3E">
        <w:rPr>
          <w:rFonts w:ascii="Times New Roman" w:hAnsi="Times New Roman" w:cs="Times New Roman"/>
          <w:color w:val="0070C0"/>
          <w:sz w:val="16"/>
          <w:szCs w:val="16"/>
        </w:rPr>
        <w:softHyphen/>
        <w:t>вокупности с более высоким запасом устойчивости штурмовика обеспечи</w:t>
      </w:r>
      <w:r w:rsidRPr="00D03F3E">
        <w:rPr>
          <w:rFonts w:ascii="Times New Roman" w:hAnsi="Times New Roman" w:cs="Times New Roman"/>
          <w:color w:val="0070C0"/>
          <w:sz w:val="16"/>
          <w:szCs w:val="16"/>
        </w:rPr>
        <w:softHyphen/>
        <w:t>вало лучшую эффективность стрельбы из пушек в воздухе, по малоразмерным це</w:t>
      </w:r>
      <w:r w:rsidRPr="00D03F3E">
        <w:rPr>
          <w:rFonts w:ascii="Times New Roman" w:hAnsi="Times New Roman" w:cs="Times New Roman"/>
          <w:color w:val="0070C0"/>
          <w:sz w:val="16"/>
          <w:szCs w:val="16"/>
        </w:rPr>
        <w:softHyphen/>
        <w:t>лям. В ходе полигонных испытаний Су-6 никаких нареканий, связанных с влия</w:t>
      </w:r>
      <w:r w:rsidRPr="00D03F3E">
        <w:rPr>
          <w:rFonts w:ascii="Times New Roman" w:hAnsi="Times New Roman" w:cs="Times New Roman"/>
          <w:color w:val="0070C0"/>
          <w:sz w:val="16"/>
          <w:szCs w:val="16"/>
        </w:rPr>
        <w:softHyphen/>
        <w:t>нием силы отдачи пушек на самолет при стрельбе в воздухе летчиками-испытате</w:t>
      </w:r>
      <w:r w:rsidRPr="00D03F3E">
        <w:rPr>
          <w:rFonts w:ascii="Times New Roman" w:hAnsi="Times New Roman" w:cs="Times New Roman"/>
          <w:color w:val="0070C0"/>
          <w:sz w:val="16"/>
          <w:szCs w:val="16"/>
        </w:rPr>
        <w:softHyphen/>
        <w:t>лями не высказывались:</w:t>
      </w:r>
      <w:r w:rsidRPr="00D03F3E">
        <w:rPr>
          <w:rStyle w:val="aff6"/>
          <w:rFonts w:ascii="Times New Roman" w:hAnsi="Times New Roman" w:cs="Times New Roman"/>
          <w:color w:val="0070C0"/>
        </w:rPr>
        <w:t xml:space="preserve"> «На пикировании при стрельбе самолет устойчив, отдача даже при стрельбе из всех точек незна</w:t>
      </w:r>
      <w:r w:rsidRPr="00D03F3E">
        <w:rPr>
          <w:rStyle w:val="aff6"/>
          <w:rFonts w:ascii="Times New Roman" w:hAnsi="Times New Roman" w:cs="Times New Roman"/>
          <w:color w:val="0070C0"/>
        </w:rPr>
        <w:softHyphen/>
        <w:t>чительна. Стрельба из одной пушки воз</w:t>
      </w:r>
      <w:r w:rsidRPr="00D03F3E">
        <w:rPr>
          <w:rStyle w:val="aff6"/>
          <w:rFonts w:ascii="Times New Roman" w:hAnsi="Times New Roman" w:cs="Times New Roman"/>
          <w:color w:val="0070C0"/>
        </w:rPr>
        <w:softHyphen/>
        <w:t>можна, явление разворачивания наблюда</w:t>
      </w:r>
      <w:r w:rsidRPr="00D03F3E">
        <w:rPr>
          <w:rStyle w:val="aff6"/>
          <w:rFonts w:ascii="Times New Roman" w:hAnsi="Times New Roman" w:cs="Times New Roman"/>
          <w:color w:val="0070C0"/>
        </w:rPr>
        <w:softHyphen/>
        <w:t>ется, но в меньшей степени, чем на Ил-2».</w:t>
      </w:r>
    </w:p>
    <w:p w14:paraId="33206BA7" w14:textId="77777777" w:rsidR="003B41F0" w:rsidRPr="00D03F3E" w:rsidRDefault="003B41F0" w:rsidP="00D03F3E">
      <w:pPr>
        <w:spacing w:after="0" w:line="240" w:lineRule="auto"/>
        <w:jc w:val="both"/>
        <w:rPr>
          <w:rFonts w:ascii="Times New Roman" w:hAnsi="Times New Roman"/>
          <w:color w:val="0070C0"/>
          <w:sz w:val="16"/>
          <w:szCs w:val="16"/>
        </w:rPr>
      </w:pPr>
      <w:r w:rsidRPr="00D03F3E">
        <w:rPr>
          <w:rStyle w:val="145"/>
          <w:rFonts w:ascii="Times New Roman" w:hAnsi="Times New Roman" w:cs="Times New Roman"/>
          <w:i w:val="0"/>
          <w:iCs w:val="0"/>
          <w:strike w:val="0"/>
          <w:color w:val="0070C0"/>
          <w:sz w:val="16"/>
          <w:szCs w:val="16"/>
          <w:u w:val="none"/>
        </w:rPr>
        <w:t>Соответственно,</w:t>
      </w:r>
      <w:r w:rsidRPr="00D03F3E">
        <w:rPr>
          <w:rFonts w:ascii="Times New Roman" w:hAnsi="Times New Roman"/>
          <w:i/>
          <w:iCs/>
          <w:strike/>
          <w:color w:val="0070C0"/>
          <w:sz w:val="16"/>
          <w:szCs w:val="16"/>
        </w:rPr>
        <w:t xml:space="preserve"> </w:t>
      </w:r>
      <w:r w:rsidRPr="00D03F3E">
        <w:rPr>
          <w:rFonts w:ascii="Times New Roman" w:hAnsi="Times New Roman"/>
          <w:color w:val="0070C0"/>
          <w:sz w:val="16"/>
          <w:szCs w:val="16"/>
        </w:rPr>
        <w:t>«вероятность по</w:t>
      </w:r>
      <w:r w:rsidRPr="00D03F3E">
        <w:rPr>
          <w:rFonts w:ascii="Times New Roman" w:hAnsi="Times New Roman"/>
          <w:color w:val="0070C0"/>
          <w:sz w:val="16"/>
          <w:szCs w:val="16"/>
        </w:rPr>
        <w:softHyphen/>
        <w:t xml:space="preserve">падания при стрельбе из пушек калибра </w:t>
      </w:r>
      <w:r w:rsidRPr="00D03F3E">
        <w:rPr>
          <w:rStyle w:val="145"/>
          <w:rFonts w:ascii="Times New Roman" w:hAnsi="Times New Roman" w:cs="Times New Roman"/>
          <w:color w:val="0070C0"/>
          <w:sz w:val="16"/>
          <w:szCs w:val="16"/>
        </w:rPr>
        <w:t>57</w:t>
      </w:r>
      <w:r w:rsidRPr="00D03F3E">
        <w:rPr>
          <w:rFonts w:ascii="Times New Roman" w:hAnsi="Times New Roman"/>
          <w:color w:val="0070C0"/>
          <w:sz w:val="16"/>
          <w:szCs w:val="16"/>
        </w:rPr>
        <w:t xml:space="preserve"> мм с самолета Су-6 большая, чем при стрельбе из таких же пушек с самолета Ил-2, вследствие меньшего влияния силы отдачи на поведение самолета Су-6».</w:t>
      </w:r>
    </w:p>
    <w:p w14:paraId="7DCEC3A0" w14:textId="77777777" w:rsidR="003B41F0" w:rsidRPr="00D03F3E" w:rsidRDefault="003B41F0" w:rsidP="00D03F3E">
      <w:pPr>
        <w:spacing w:after="0" w:line="240" w:lineRule="auto"/>
        <w:jc w:val="both"/>
        <w:rPr>
          <w:rFonts w:ascii="Times New Roman" w:hAnsi="Times New Roman"/>
          <w:color w:val="0070C0"/>
          <w:sz w:val="16"/>
          <w:szCs w:val="16"/>
        </w:rPr>
      </w:pPr>
      <w:r w:rsidRPr="00D03F3E">
        <w:rPr>
          <w:rStyle w:val="145"/>
          <w:rFonts w:ascii="Times New Roman" w:hAnsi="Times New Roman" w:cs="Times New Roman"/>
          <w:i w:val="0"/>
          <w:iCs w:val="0"/>
          <w:strike w:val="0"/>
          <w:color w:val="0070C0"/>
          <w:sz w:val="16"/>
          <w:szCs w:val="16"/>
          <w:u w:val="none"/>
        </w:rPr>
        <w:t>Поскольку установленный на само</w:t>
      </w:r>
      <w:r w:rsidRPr="00D03F3E">
        <w:rPr>
          <w:rStyle w:val="145"/>
          <w:rFonts w:ascii="Times New Roman" w:hAnsi="Times New Roman" w:cs="Times New Roman"/>
          <w:i w:val="0"/>
          <w:iCs w:val="0"/>
          <w:strike w:val="0"/>
          <w:color w:val="0070C0"/>
          <w:sz w:val="16"/>
          <w:szCs w:val="16"/>
          <w:u w:val="none"/>
        </w:rPr>
        <w:softHyphen/>
        <w:t>лете прицел ВВ-1</w:t>
      </w:r>
      <w:r w:rsidRPr="00D03F3E">
        <w:rPr>
          <w:rFonts w:ascii="Times New Roman" w:hAnsi="Times New Roman"/>
          <w:color w:val="0070C0"/>
          <w:sz w:val="16"/>
          <w:szCs w:val="16"/>
        </w:rPr>
        <w:t xml:space="preserve"> «не обеспечивает точ</w:t>
      </w:r>
      <w:r w:rsidRPr="00D03F3E">
        <w:rPr>
          <w:rFonts w:ascii="Times New Roman" w:hAnsi="Times New Roman"/>
          <w:color w:val="0070C0"/>
          <w:sz w:val="16"/>
          <w:szCs w:val="16"/>
        </w:rPr>
        <w:softHyphen/>
        <w:t>ность прицеливания при стрельбе из не</w:t>
      </w:r>
      <w:r w:rsidRPr="00D03F3E">
        <w:rPr>
          <w:rFonts w:ascii="Times New Roman" w:hAnsi="Times New Roman"/>
          <w:color w:val="0070C0"/>
          <w:sz w:val="16"/>
          <w:szCs w:val="16"/>
        </w:rPr>
        <w:softHyphen/>
        <w:t>подвижного оружия по целям ограничен</w:t>
      </w:r>
      <w:r w:rsidRPr="00D03F3E">
        <w:rPr>
          <w:rFonts w:ascii="Times New Roman" w:hAnsi="Times New Roman"/>
          <w:color w:val="0070C0"/>
          <w:sz w:val="16"/>
          <w:szCs w:val="16"/>
        </w:rPr>
        <w:softHyphen/>
        <w:t>ных размеров (габариты танка)»,</w:t>
      </w:r>
      <w:r w:rsidRPr="00D03F3E">
        <w:rPr>
          <w:rStyle w:val="145"/>
          <w:rFonts w:ascii="Times New Roman" w:hAnsi="Times New Roman" w:cs="Times New Roman"/>
          <w:i w:val="0"/>
          <w:iCs w:val="0"/>
          <w:strike w:val="0"/>
          <w:color w:val="0070C0"/>
          <w:sz w:val="16"/>
          <w:szCs w:val="16"/>
          <w:u w:val="none"/>
        </w:rPr>
        <w:t>то пред</w:t>
      </w:r>
      <w:r w:rsidRPr="00D03F3E">
        <w:rPr>
          <w:rStyle w:val="145"/>
          <w:rFonts w:ascii="Times New Roman" w:hAnsi="Times New Roman" w:cs="Times New Roman"/>
          <w:i w:val="0"/>
          <w:iCs w:val="0"/>
          <w:strike w:val="0"/>
          <w:color w:val="0070C0"/>
          <w:sz w:val="16"/>
          <w:szCs w:val="16"/>
          <w:u w:val="none"/>
        </w:rPr>
        <w:softHyphen/>
        <w:t>лагалось заменить его коллиматорным прицелом ПБП-16.</w:t>
      </w:r>
    </w:p>
    <w:p w14:paraId="0033C8CA" w14:textId="77777777" w:rsidR="003B41F0" w:rsidRPr="00D03F3E" w:rsidRDefault="003B41F0" w:rsidP="00D03F3E">
      <w:pPr>
        <w:spacing w:after="0" w:line="240" w:lineRule="auto"/>
        <w:jc w:val="both"/>
        <w:rPr>
          <w:rFonts w:ascii="Times New Roman" w:hAnsi="Times New Roman"/>
          <w:color w:val="0070C0"/>
          <w:sz w:val="16"/>
          <w:szCs w:val="16"/>
        </w:rPr>
      </w:pPr>
      <w:r w:rsidRPr="00D03F3E">
        <w:rPr>
          <w:rStyle w:val="145"/>
          <w:rFonts w:ascii="Times New Roman" w:hAnsi="Times New Roman" w:cs="Times New Roman"/>
          <w:i w:val="0"/>
          <w:iCs w:val="0"/>
          <w:strike w:val="0"/>
          <w:color w:val="0070C0"/>
          <w:sz w:val="16"/>
          <w:szCs w:val="16"/>
          <w:u w:val="none"/>
        </w:rPr>
        <w:t>Помощник начальника тактического отделения 4-го отдела НИИ ВВС капи</w:t>
      </w:r>
      <w:r w:rsidRPr="00D03F3E">
        <w:rPr>
          <w:rStyle w:val="145"/>
          <w:rFonts w:ascii="Times New Roman" w:hAnsi="Times New Roman" w:cs="Times New Roman"/>
          <w:i w:val="0"/>
          <w:iCs w:val="0"/>
          <w:strike w:val="0"/>
          <w:color w:val="0070C0"/>
          <w:sz w:val="16"/>
          <w:szCs w:val="16"/>
          <w:u w:val="none"/>
        </w:rPr>
        <w:softHyphen/>
        <w:t>тан Васильев в своем донесении писал:</w:t>
      </w:r>
      <w:r w:rsidRPr="00D03F3E">
        <w:rPr>
          <w:rStyle w:val="145"/>
          <w:rFonts w:ascii="Times New Roman" w:hAnsi="Times New Roman" w:cs="Times New Roman"/>
          <w:color w:val="0070C0"/>
          <w:sz w:val="16"/>
          <w:szCs w:val="16"/>
        </w:rPr>
        <w:t xml:space="preserve"> </w:t>
      </w:r>
      <w:r w:rsidRPr="00D03F3E">
        <w:rPr>
          <w:rFonts w:ascii="Times New Roman" w:hAnsi="Times New Roman"/>
          <w:color w:val="0070C0"/>
          <w:sz w:val="16"/>
          <w:szCs w:val="16"/>
        </w:rPr>
        <w:t>«Кабина стрелка достаточно просторна и вполне обеспечивает нормальную ра</w:t>
      </w:r>
      <w:r w:rsidRPr="00D03F3E">
        <w:rPr>
          <w:rFonts w:ascii="Times New Roman" w:hAnsi="Times New Roman"/>
          <w:color w:val="0070C0"/>
          <w:sz w:val="16"/>
          <w:szCs w:val="16"/>
        </w:rPr>
        <w:softHyphen/>
        <w:t>боту. Основное положение работы с пуле</w:t>
      </w:r>
      <w:r w:rsidRPr="00D03F3E">
        <w:rPr>
          <w:rFonts w:ascii="Times New Roman" w:hAnsi="Times New Roman"/>
          <w:color w:val="0070C0"/>
          <w:sz w:val="16"/>
          <w:szCs w:val="16"/>
        </w:rPr>
        <w:softHyphen/>
        <w:t>метом - стоя./.../Вращение пулемета и блистера свободно./.../Углы обстрела пулемета вверх и в стороны - небольшие, но учитывая, что самолет на высотах до 3000 м имеет горизонтальные скоро</w:t>
      </w:r>
      <w:r w:rsidRPr="00D03F3E">
        <w:rPr>
          <w:rFonts w:ascii="Times New Roman" w:hAnsi="Times New Roman"/>
          <w:color w:val="0070C0"/>
          <w:sz w:val="16"/>
          <w:szCs w:val="16"/>
        </w:rPr>
        <w:softHyphen/>
        <w:t>сти, близкие к скоростям истребителей противника, они достаточны. Отражение атак противника сзади-сверху и сбоку, при использовании маневра самолета - вполне возможно. Установка не обеспечивает об</w:t>
      </w:r>
      <w:r w:rsidRPr="00D03F3E">
        <w:rPr>
          <w:rFonts w:ascii="Times New Roman" w:hAnsi="Times New Roman"/>
          <w:color w:val="0070C0"/>
          <w:sz w:val="16"/>
          <w:szCs w:val="16"/>
        </w:rPr>
        <w:softHyphen/>
        <w:t>стрел нижней части задней полусферы, огонь можно вести только выше стаби</w:t>
      </w:r>
      <w:r w:rsidRPr="00D03F3E">
        <w:rPr>
          <w:rFonts w:ascii="Times New Roman" w:hAnsi="Times New Roman"/>
          <w:color w:val="0070C0"/>
          <w:sz w:val="16"/>
          <w:szCs w:val="16"/>
        </w:rPr>
        <w:softHyphen/>
        <w:t>лизатора. Маневром самолета не всегда можно обеспечить необходимые углы об</w:t>
      </w:r>
      <w:r w:rsidRPr="00D03F3E">
        <w:rPr>
          <w:rFonts w:ascii="Times New Roman" w:hAnsi="Times New Roman"/>
          <w:color w:val="0070C0"/>
          <w:sz w:val="16"/>
          <w:szCs w:val="16"/>
        </w:rPr>
        <w:softHyphen/>
        <w:t>стрела для отражения атак самолета противника сзади-снизу. Наличие хорошей броневой защиты стрелка является зна</w:t>
      </w:r>
      <w:r w:rsidRPr="00D03F3E">
        <w:rPr>
          <w:rFonts w:ascii="Times New Roman" w:hAnsi="Times New Roman"/>
          <w:color w:val="0070C0"/>
          <w:sz w:val="16"/>
          <w:szCs w:val="16"/>
        </w:rPr>
        <w:softHyphen/>
        <w:t>чительным фактором живучести само</w:t>
      </w:r>
      <w:r w:rsidRPr="00D03F3E">
        <w:rPr>
          <w:rFonts w:ascii="Times New Roman" w:hAnsi="Times New Roman"/>
          <w:color w:val="0070C0"/>
          <w:sz w:val="16"/>
          <w:szCs w:val="16"/>
        </w:rPr>
        <w:softHyphen/>
        <w:t>лета в целом. Стрелок менее уязвим, чем на самолете Ил-2. Установка броневого экрана на пулемете стрелка является весьма целесообразным мероприятием, ко</w:t>
      </w:r>
      <w:r w:rsidRPr="00D03F3E">
        <w:rPr>
          <w:rFonts w:ascii="Times New Roman" w:hAnsi="Times New Roman"/>
          <w:color w:val="0070C0"/>
          <w:sz w:val="16"/>
          <w:szCs w:val="16"/>
        </w:rPr>
        <w:softHyphen/>
        <w:t>торое не только обеспечивает безопас</w:t>
      </w:r>
      <w:r w:rsidRPr="00D03F3E">
        <w:rPr>
          <w:rFonts w:ascii="Times New Roman" w:hAnsi="Times New Roman"/>
          <w:color w:val="0070C0"/>
          <w:sz w:val="16"/>
          <w:szCs w:val="16"/>
        </w:rPr>
        <w:softHyphen/>
        <w:t>ность стрелка, но дает возможность бо</w:t>
      </w:r>
      <w:r w:rsidRPr="00D03F3E">
        <w:rPr>
          <w:rFonts w:ascii="Times New Roman" w:hAnsi="Times New Roman"/>
          <w:color w:val="0070C0"/>
          <w:sz w:val="16"/>
          <w:szCs w:val="16"/>
        </w:rPr>
        <w:softHyphen/>
        <w:t>лее решительно и уверенно отражать атаки противника./.../Кабина стрелка, как по своим габаритам, так и по удоб</w:t>
      </w:r>
      <w:r w:rsidRPr="00D03F3E">
        <w:rPr>
          <w:rFonts w:ascii="Times New Roman" w:hAnsi="Times New Roman"/>
          <w:color w:val="0070C0"/>
          <w:sz w:val="16"/>
          <w:szCs w:val="16"/>
        </w:rPr>
        <w:softHyphen/>
        <w:t>ству работы в ней значительно лучше, чем кабина стрелка на самолете Ил-2. Хо</w:t>
      </w:r>
      <w:r w:rsidRPr="00D03F3E">
        <w:rPr>
          <w:rFonts w:ascii="Times New Roman" w:hAnsi="Times New Roman"/>
          <w:color w:val="0070C0"/>
          <w:sz w:val="16"/>
          <w:szCs w:val="16"/>
        </w:rPr>
        <w:softHyphen/>
        <w:t>рошее бронирование кабины обеспечивает безопасность и уверенность в работе стрелка, что в значительной степени по</w:t>
      </w:r>
      <w:r w:rsidRPr="00D03F3E">
        <w:rPr>
          <w:rFonts w:ascii="Times New Roman" w:hAnsi="Times New Roman"/>
          <w:color w:val="0070C0"/>
          <w:sz w:val="16"/>
          <w:szCs w:val="16"/>
        </w:rPr>
        <w:softHyphen/>
        <w:t>вышает живучесть самолета в целом».</w:t>
      </w:r>
    </w:p>
    <w:p w14:paraId="5DAAA401" w14:textId="77777777" w:rsidR="003B41F0" w:rsidRPr="00D03F3E" w:rsidRDefault="003B41F0" w:rsidP="00D03F3E">
      <w:pPr>
        <w:spacing w:after="0" w:line="240" w:lineRule="auto"/>
        <w:jc w:val="both"/>
        <w:rPr>
          <w:rFonts w:ascii="Times New Roman" w:hAnsi="Times New Roman"/>
          <w:color w:val="0070C0"/>
          <w:sz w:val="16"/>
          <w:szCs w:val="16"/>
        </w:rPr>
      </w:pPr>
      <w:r w:rsidRPr="00D03F3E">
        <w:rPr>
          <w:rStyle w:val="145"/>
          <w:rFonts w:ascii="Times New Roman" w:hAnsi="Times New Roman" w:cs="Times New Roman"/>
          <w:i w:val="0"/>
          <w:iCs w:val="0"/>
          <w:strike w:val="0"/>
          <w:color w:val="0070C0"/>
          <w:sz w:val="16"/>
          <w:szCs w:val="16"/>
          <w:u w:val="none"/>
        </w:rPr>
        <w:t>Штурман-испытатель капитан Гор</w:t>
      </w:r>
      <w:r w:rsidRPr="00D03F3E">
        <w:rPr>
          <w:rStyle w:val="145"/>
          <w:rFonts w:ascii="Times New Roman" w:hAnsi="Times New Roman" w:cs="Times New Roman"/>
          <w:i w:val="0"/>
          <w:iCs w:val="0"/>
          <w:strike w:val="0"/>
          <w:color w:val="0070C0"/>
          <w:sz w:val="16"/>
          <w:szCs w:val="16"/>
          <w:u w:val="none"/>
        </w:rPr>
        <w:softHyphen/>
        <w:t>бунов докладывал:</w:t>
      </w:r>
      <w:r w:rsidRPr="00D03F3E">
        <w:rPr>
          <w:rFonts w:ascii="Times New Roman" w:hAnsi="Times New Roman"/>
          <w:color w:val="0070C0"/>
          <w:sz w:val="16"/>
          <w:szCs w:val="16"/>
        </w:rPr>
        <w:t xml:space="preserve"> «Запас патронов (196 шт.) для пулемета УБТ, размещенных в 4-х магазинах, достаточный. Для замены магазина и зарядки пулемета требуется 50-60 секунд./.../Подвешенный в кабине фартук обеспечивает улавливание гильз и звеньев и не мешает стрелку при работе с пулеметом».</w:t>
      </w:r>
    </w:p>
    <w:p w14:paraId="7662A429"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В ходе испытаний были проведены учебные воздушные бои с боевыми само</w:t>
      </w:r>
      <w:r w:rsidRPr="00D03F3E">
        <w:rPr>
          <w:rFonts w:ascii="Times New Roman" w:hAnsi="Times New Roman" w:cs="Times New Roman"/>
          <w:color w:val="0070C0"/>
          <w:sz w:val="16"/>
          <w:szCs w:val="16"/>
        </w:rPr>
        <w:softHyphen/>
        <w:t>летами люфтваффе, имевшимися в рас</w:t>
      </w:r>
      <w:r w:rsidRPr="00D03F3E">
        <w:rPr>
          <w:rFonts w:ascii="Times New Roman" w:hAnsi="Times New Roman" w:cs="Times New Roman"/>
          <w:color w:val="0070C0"/>
          <w:sz w:val="16"/>
          <w:szCs w:val="16"/>
        </w:rPr>
        <w:softHyphen/>
        <w:t xml:space="preserve">поряжении НИИ ВВС: с истребителем </w:t>
      </w:r>
      <w:r w:rsidRPr="00D03F3E">
        <w:rPr>
          <w:rFonts w:ascii="Times New Roman" w:hAnsi="Times New Roman" w:cs="Times New Roman"/>
          <w:color w:val="0070C0"/>
          <w:sz w:val="16"/>
          <w:szCs w:val="16"/>
          <w:lang w:val="en-US"/>
        </w:rPr>
        <w:t>Bf</w:t>
      </w:r>
      <w:r w:rsidRPr="00D03F3E">
        <w:rPr>
          <w:rFonts w:ascii="Times New Roman" w:hAnsi="Times New Roman" w:cs="Times New Roman"/>
          <w:color w:val="0070C0"/>
          <w:sz w:val="16"/>
          <w:szCs w:val="16"/>
        </w:rPr>
        <w:t xml:space="preserve"> 109</w:t>
      </w:r>
      <w:r w:rsidRPr="00D03F3E">
        <w:rPr>
          <w:rFonts w:ascii="Times New Roman" w:hAnsi="Times New Roman" w:cs="Times New Roman"/>
          <w:color w:val="0070C0"/>
          <w:sz w:val="16"/>
          <w:szCs w:val="16"/>
          <w:lang w:val="en-US"/>
        </w:rPr>
        <w:t>G</w:t>
      </w:r>
      <w:r w:rsidRPr="00D03F3E">
        <w:rPr>
          <w:rFonts w:ascii="Times New Roman" w:hAnsi="Times New Roman" w:cs="Times New Roman"/>
          <w:color w:val="0070C0"/>
          <w:sz w:val="16"/>
          <w:szCs w:val="16"/>
        </w:rPr>
        <w:t>-2 в трехточечном варианте и с бомбардировщиком Не 111Н-11.</w:t>
      </w:r>
    </w:p>
    <w:p w14:paraId="4140B367"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Отмечалось, что маневрирование Су-6 в горизонтальной идем более, в верти</w:t>
      </w:r>
      <w:r w:rsidRPr="00D03F3E">
        <w:rPr>
          <w:rFonts w:ascii="Times New Roman" w:hAnsi="Times New Roman" w:cs="Times New Roman"/>
          <w:color w:val="0070C0"/>
          <w:sz w:val="16"/>
          <w:szCs w:val="16"/>
        </w:rPr>
        <w:softHyphen/>
        <w:t>кальной плоскости,</w:t>
      </w:r>
      <w:r w:rsidRPr="00D03F3E">
        <w:rPr>
          <w:rStyle w:val="aff6"/>
          <w:rFonts w:ascii="Times New Roman" w:hAnsi="Times New Roman" w:cs="Times New Roman"/>
          <w:color w:val="0070C0"/>
        </w:rPr>
        <w:t xml:space="preserve"> </w:t>
      </w:r>
      <w:r w:rsidRPr="00D03F3E">
        <w:rPr>
          <w:rStyle w:val="aff6"/>
          <w:rFonts w:ascii="Times New Roman" w:hAnsi="Times New Roman" w:cs="Times New Roman"/>
          <w:i w:val="0"/>
          <w:iCs w:val="0"/>
          <w:color w:val="0070C0"/>
        </w:rPr>
        <w:t>«не создает истре</w:t>
      </w:r>
      <w:r w:rsidRPr="00D03F3E">
        <w:rPr>
          <w:rStyle w:val="aff6"/>
          <w:rFonts w:ascii="Times New Roman" w:hAnsi="Times New Roman" w:cs="Times New Roman"/>
          <w:i w:val="0"/>
          <w:iCs w:val="0"/>
          <w:color w:val="0070C0"/>
        </w:rPr>
        <w:softHyphen/>
        <w:t>бителю противника значительных за</w:t>
      </w:r>
      <w:r w:rsidRPr="00D03F3E">
        <w:rPr>
          <w:rStyle w:val="aff6"/>
          <w:rFonts w:ascii="Times New Roman" w:hAnsi="Times New Roman" w:cs="Times New Roman"/>
          <w:i w:val="0"/>
          <w:iCs w:val="0"/>
          <w:color w:val="0070C0"/>
        </w:rPr>
        <w:softHyphen/>
        <w:t>труднений в выполнении атак»</w:t>
      </w:r>
      <w:r w:rsidRPr="00D03F3E">
        <w:rPr>
          <w:rStyle w:val="aff6"/>
          <w:rFonts w:ascii="Times New Roman" w:hAnsi="Times New Roman" w:cs="Times New Roman"/>
          <w:color w:val="0070C0"/>
        </w:rPr>
        <w:t>.</w:t>
      </w:r>
      <w:r w:rsidRPr="00D03F3E">
        <w:rPr>
          <w:rFonts w:ascii="Times New Roman" w:hAnsi="Times New Roman" w:cs="Times New Roman"/>
          <w:color w:val="0070C0"/>
          <w:sz w:val="16"/>
          <w:szCs w:val="16"/>
        </w:rPr>
        <w:t xml:space="preserve"> Самолет </w:t>
      </w:r>
      <w:r w:rsidRPr="00D03F3E">
        <w:rPr>
          <w:rFonts w:ascii="Times New Roman" w:hAnsi="Times New Roman" w:cs="Times New Roman"/>
          <w:color w:val="0070C0"/>
          <w:sz w:val="16"/>
          <w:szCs w:val="16"/>
          <w:lang w:val="en-US"/>
        </w:rPr>
        <w:t>Bfl</w:t>
      </w:r>
      <w:r w:rsidRPr="00D03F3E">
        <w:rPr>
          <w:rFonts w:ascii="Times New Roman" w:hAnsi="Times New Roman" w:cs="Times New Roman"/>
          <w:color w:val="0070C0"/>
          <w:sz w:val="16"/>
          <w:szCs w:val="16"/>
        </w:rPr>
        <w:t>09</w:t>
      </w:r>
      <w:r w:rsidRPr="00D03F3E">
        <w:rPr>
          <w:rFonts w:ascii="Times New Roman" w:hAnsi="Times New Roman" w:cs="Times New Roman"/>
          <w:color w:val="0070C0"/>
          <w:sz w:val="16"/>
          <w:szCs w:val="16"/>
          <w:lang w:val="en-US"/>
        </w:rPr>
        <w:t>G</w:t>
      </w:r>
      <w:r w:rsidRPr="00D03F3E">
        <w:rPr>
          <w:rFonts w:ascii="Times New Roman" w:hAnsi="Times New Roman" w:cs="Times New Roman"/>
          <w:color w:val="0070C0"/>
          <w:sz w:val="16"/>
          <w:szCs w:val="16"/>
        </w:rPr>
        <w:t>-2 значительно превосходит Су-6 М-71ф, как по вертикальной, так и по го</w:t>
      </w:r>
      <w:r w:rsidRPr="00D03F3E">
        <w:rPr>
          <w:rFonts w:ascii="Times New Roman" w:hAnsi="Times New Roman" w:cs="Times New Roman"/>
          <w:color w:val="0070C0"/>
          <w:sz w:val="16"/>
          <w:szCs w:val="16"/>
        </w:rPr>
        <w:softHyphen/>
        <w:t>ризонтальной маневренности. Уже на первом вираже «мессершмитт» заходит самолету Су-6 в хвост для атаки.</w:t>
      </w:r>
    </w:p>
    <w:p w14:paraId="6A2F4FA8" w14:textId="77777777" w:rsidR="003B41F0" w:rsidRPr="00D03F3E" w:rsidRDefault="003B41F0" w:rsidP="00D03F3E">
      <w:pPr>
        <w:spacing w:after="0" w:line="240" w:lineRule="auto"/>
        <w:jc w:val="both"/>
        <w:rPr>
          <w:rFonts w:ascii="Times New Roman" w:hAnsi="Times New Roman"/>
          <w:color w:val="0070C0"/>
          <w:sz w:val="16"/>
          <w:szCs w:val="16"/>
        </w:rPr>
      </w:pPr>
      <w:r w:rsidRPr="00D03F3E">
        <w:rPr>
          <w:rStyle w:val="145"/>
          <w:rFonts w:ascii="Times New Roman" w:hAnsi="Times New Roman" w:cs="Times New Roman"/>
          <w:i w:val="0"/>
          <w:iCs w:val="0"/>
          <w:strike w:val="0"/>
          <w:color w:val="0070C0"/>
          <w:sz w:val="16"/>
          <w:szCs w:val="16"/>
          <w:u w:val="none"/>
        </w:rPr>
        <w:lastRenderedPageBreak/>
        <w:t>Основной же вывод сводился к сле</w:t>
      </w:r>
      <w:r w:rsidRPr="00D03F3E">
        <w:rPr>
          <w:rStyle w:val="145"/>
          <w:rFonts w:ascii="Times New Roman" w:hAnsi="Times New Roman" w:cs="Times New Roman"/>
          <w:i w:val="0"/>
          <w:iCs w:val="0"/>
          <w:strike w:val="0"/>
          <w:color w:val="0070C0"/>
          <w:sz w:val="16"/>
          <w:szCs w:val="16"/>
          <w:u w:val="none"/>
        </w:rPr>
        <w:softHyphen/>
        <w:t>дующему:</w:t>
      </w:r>
      <w:r w:rsidRPr="00D03F3E">
        <w:rPr>
          <w:rFonts w:ascii="Times New Roman" w:hAnsi="Times New Roman"/>
          <w:color w:val="0070C0"/>
          <w:sz w:val="16"/>
          <w:szCs w:val="16"/>
        </w:rPr>
        <w:t xml:space="preserve"> «Решать задачи борьбы с ис</w:t>
      </w:r>
      <w:r w:rsidRPr="00D03F3E">
        <w:rPr>
          <w:rFonts w:ascii="Times New Roman" w:hAnsi="Times New Roman"/>
          <w:color w:val="0070C0"/>
          <w:sz w:val="16"/>
          <w:szCs w:val="16"/>
        </w:rPr>
        <w:softHyphen/>
        <w:t>требителями противника самолет Су-6 по своим летным данным и маневренно</w:t>
      </w:r>
      <w:r w:rsidRPr="00D03F3E">
        <w:rPr>
          <w:rFonts w:ascii="Times New Roman" w:hAnsi="Times New Roman"/>
          <w:color w:val="0070C0"/>
          <w:sz w:val="16"/>
          <w:szCs w:val="16"/>
        </w:rPr>
        <w:softHyphen/>
        <w:t xml:space="preserve">сти НЕ МОЖЕТ </w:t>
      </w:r>
      <w:r w:rsidRPr="00D03F3E">
        <w:rPr>
          <w:rFonts w:ascii="Times New Roman" w:hAnsi="Times New Roman"/>
          <w:i/>
          <w:iCs/>
          <w:color w:val="0070C0"/>
          <w:sz w:val="16"/>
          <w:szCs w:val="16"/>
          <w:u w:val="single"/>
        </w:rPr>
        <w:t>(</w:t>
      </w:r>
      <w:r w:rsidRPr="00D03F3E">
        <w:rPr>
          <w:rStyle w:val="145"/>
          <w:rFonts w:ascii="Times New Roman" w:hAnsi="Times New Roman" w:cs="Times New Roman"/>
          <w:i w:val="0"/>
          <w:iCs w:val="0"/>
          <w:strike w:val="0"/>
          <w:color w:val="0070C0"/>
          <w:sz w:val="16"/>
          <w:szCs w:val="16"/>
          <w:u w:val="none"/>
        </w:rPr>
        <w:t>так в документе</w:t>
      </w:r>
      <w:r w:rsidRPr="00D03F3E">
        <w:rPr>
          <w:rFonts w:ascii="Times New Roman" w:hAnsi="Times New Roman"/>
          <w:i/>
          <w:iCs/>
          <w:color w:val="0070C0"/>
          <w:sz w:val="16"/>
          <w:szCs w:val="16"/>
          <w:u w:val="single"/>
        </w:rPr>
        <w:t>)</w:t>
      </w:r>
      <w:r w:rsidRPr="00D03F3E">
        <w:rPr>
          <w:rFonts w:ascii="Times New Roman" w:hAnsi="Times New Roman"/>
          <w:color w:val="0070C0"/>
          <w:sz w:val="16"/>
          <w:szCs w:val="16"/>
        </w:rPr>
        <w:t>. Однако сравнительно большие гори</w:t>
      </w:r>
      <w:r w:rsidRPr="00D03F3E">
        <w:rPr>
          <w:rFonts w:ascii="Times New Roman" w:hAnsi="Times New Roman"/>
          <w:color w:val="0070C0"/>
          <w:sz w:val="16"/>
          <w:szCs w:val="16"/>
        </w:rPr>
        <w:softHyphen/>
        <w:t>зонтальные скорости и наличие оборони</w:t>
      </w:r>
      <w:r w:rsidRPr="00D03F3E">
        <w:rPr>
          <w:rFonts w:ascii="Times New Roman" w:hAnsi="Times New Roman"/>
          <w:color w:val="0070C0"/>
          <w:sz w:val="16"/>
          <w:szCs w:val="16"/>
        </w:rPr>
        <w:softHyphen/>
        <w:t>тельного вооружения на двухместном са</w:t>
      </w:r>
      <w:r w:rsidRPr="00D03F3E">
        <w:rPr>
          <w:rFonts w:ascii="Times New Roman" w:hAnsi="Times New Roman"/>
          <w:color w:val="0070C0"/>
          <w:sz w:val="16"/>
          <w:szCs w:val="16"/>
        </w:rPr>
        <w:softHyphen/>
        <w:t>молете позволяет отражать атаки ис</w:t>
      </w:r>
      <w:r w:rsidRPr="00D03F3E">
        <w:rPr>
          <w:rFonts w:ascii="Times New Roman" w:hAnsi="Times New Roman"/>
          <w:color w:val="0070C0"/>
          <w:sz w:val="16"/>
          <w:szCs w:val="16"/>
        </w:rPr>
        <w:softHyphen/>
        <w:t>требителей противника</w:t>
      </w:r>
      <w:r w:rsidRPr="00D03F3E">
        <w:rPr>
          <w:rFonts w:ascii="Times New Roman" w:hAnsi="Times New Roman"/>
          <w:i/>
          <w:iCs/>
          <w:color w:val="0070C0"/>
          <w:sz w:val="16"/>
          <w:szCs w:val="16"/>
        </w:rPr>
        <w:t>».</w:t>
      </w:r>
      <w:r w:rsidRPr="00D03F3E">
        <w:rPr>
          <w:rStyle w:val="145"/>
          <w:rFonts w:ascii="Times New Roman" w:hAnsi="Times New Roman" w:cs="Times New Roman"/>
          <w:i w:val="0"/>
          <w:iCs w:val="0"/>
          <w:color w:val="0070C0"/>
          <w:sz w:val="16"/>
          <w:szCs w:val="16"/>
          <w:u w:val="none"/>
        </w:rPr>
        <w:t xml:space="preserve"> </w:t>
      </w:r>
      <w:r w:rsidRPr="00D03F3E">
        <w:rPr>
          <w:rStyle w:val="145"/>
          <w:rFonts w:ascii="Times New Roman" w:hAnsi="Times New Roman" w:cs="Times New Roman"/>
          <w:i w:val="0"/>
          <w:iCs w:val="0"/>
          <w:strike w:val="0"/>
          <w:color w:val="0070C0"/>
          <w:sz w:val="16"/>
          <w:szCs w:val="16"/>
          <w:u w:val="none"/>
        </w:rPr>
        <w:t>Успешный воздушный бой самолетов Су-6 с истре</w:t>
      </w:r>
      <w:r w:rsidRPr="00D03F3E">
        <w:rPr>
          <w:rStyle w:val="145"/>
          <w:rFonts w:ascii="Times New Roman" w:hAnsi="Times New Roman" w:cs="Times New Roman"/>
          <w:i w:val="0"/>
          <w:iCs w:val="0"/>
          <w:strike w:val="0"/>
          <w:color w:val="0070C0"/>
          <w:sz w:val="16"/>
          <w:szCs w:val="16"/>
          <w:u w:val="none"/>
        </w:rPr>
        <w:softHyphen/>
        <w:t>бителями был возможен только в составе группы</w:t>
      </w:r>
      <w:r w:rsidRPr="00D03F3E">
        <w:rPr>
          <w:rFonts w:ascii="Times New Roman" w:hAnsi="Times New Roman"/>
          <w:color w:val="0070C0"/>
          <w:sz w:val="16"/>
          <w:szCs w:val="16"/>
        </w:rPr>
        <w:t xml:space="preserve"> («не менее 2-4 самолетов Су-6, когда они обеспечивают взаимное прикры</w:t>
      </w:r>
      <w:r w:rsidRPr="00D03F3E">
        <w:rPr>
          <w:rFonts w:ascii="Times New Roman" w:hAnsi="Times New Roman"/>
          <w:color w:val="0070C0"/>
          <w:sz w:val="16"/>
          <w:szCs w:val="16"/>
        </w:rPr>
        <w:softHyphen/>
        <w:t>тие</w:t>
      </w:r>
      <w:r w:rsidRPr="00D03F3E">
        <w:rPr>
          <w:rFonts w:ascii="Times New Roman" w:hAnsi="Times New Roman"/>
          <w:i/>
          <w:iCs/>
          <w:color w:val="0070C0"/>
          <w:sz w:val="16"/>
          <w:szCs w:val="16"/>
        </w:rPr>
        <w:t>»),</w:t>
      </w:r>
      <w:r w:rsidRPr="00D03F3E">
        <w:rPr>
          <w:rStyle w:val="145"/>
          <w:rFonts w:ascii="Times New Roman" w:hAnsi="Times New Roman" w:cs="Times New Roman"/>
          <w:i w:val="0"/>
          <w:iCs w:val="0"/>
          <w:color w:val="0070C0"/>
          <w:sz w:val="16"/>
          <w:szCs w:val="16"/>
          <w:u w:val="none"/>
        </w:rPr>
        <w:t xml:space="preserve"> </w:t>
      </w:r>
      <w:r w:rsidRPr="00D03F3E">
        <w:rPr>
          <w:rStyle w:val="145"/>
          <w:rFonts w:ascii="Times New Roman" w:hAnsi="Times New Roman" w:cs="Times New Roman"/>
          <w:i w:val="0"/>
          <w:iCs w:val="0"/>
          <w:strike w:val="0"/>
          <w:color w:val="0070C0"/>
          <w:sz w:val="16"/>
          <w:szCs w:val="16"/>
          <w:u w:val="none"/>
        </w:rPr>
        <w:t>В то же время шансы одиночного Су-6 выжить в бою с истребителями оце</w:t>
      </w:r>
      <w:r w:rsidRPr="00D03F3E">
        <w:rPr>
          <w:rStyle w:val="145"/>
          <w:rFonts w:ascii="Times New Roman" w:hAnsi="Times New Roman" w:cs="Times New Roman"/>
          <w:i w:val="0"/>
          <w:iCs w:val="0"/>
          <w:strike w:val="0"/>
          <w:color w:val="0070C0"/>
          <w:sz w:val="16"/>
          <w:szCs w:val="16"/>
          <w:u w:val="none"/>
        </w:rPr>
        <w:softHyphen/>
        <w:t>нивались выше, чем у экипажа самолета Ил-2</w:t>
      </w:r>
      <w:r w:rsidRPr="00D03F3E">
        <w:rPr>
          <w:rStyle w:val="145"/>
          <w:rFonts w:ascii="Times New Roman" w:hAnsi="Times New Roman" w:cs="Times New Roman"/>
          <w:color w:val="0070C0"/>
          <w:sz w:val="16"/>
          <w:szCs w:val="16"/>
          <w:u w:val="none"/>
        </w:rPr>
        <w:t>:</w:t>
      </w:r>
      <w:r w:rsidRPr="00D03F3E">
        <w:rPr>
          <w:rFonts w:ascii="Times New Roman" w:hAnsi="Times New Roman"/>
          <w:color w:val="0070C0"/>
          <w:sz w:val="16"/>
          <w:szCs w:val="16"/>
        </w:rPr>
        <w:t xml:space="preserve"> «Задняя стрелковая установка БЛУБ на самолете Су-6 в сочетании с большей скоростью и значительно лучшим бро</w:t>
      </w:r>
      <w:r w:rsidRPr="00D03F3E">
        <w:rPr>
          <w:rFonts w:ascii="Times New Roman" w:hAnsi="Times New Roman"/>
          <w:color w:val="0070C0"/>
          <w:sz w:val="16"/>
          <w:szCs w:val="16"/>
        </w:rPr>
        <w:softHyphen/>
        <w:t>нированием стрелка обеспечивает более надежную оборону самолета от атак ис</w:t>
      </w:r>
      <w:r w:rsidRPr="00D03F3E">
        <w:rPr>
          <w:rFonts w:ascii="Times New Roman" w:hAnsi="Times New Roman"/>
          <w:color w:val="0070C0"/>
          <w:sz w:val="16"/>
          <w:szCs w:val="16"/>
        </w:rPr>
        <w:softHyphen/>
        <w:t>требителей противника, чем установка ВУБ-3 на самолете Ил-2».</w:t>
      </w:r>
    </w:p>
    <w:p w14:paraId="340FC6AF"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Воздушный бой с немецким бомбар</w:t>
      </w:r>
      <w:r w:rsidRPr="00D03F3E">
        <w:rPr>
          <w:rFonts w:ascii="Times New Roman" w:hAnsi="Times New Roman" w:cs="Times New Roman"/>
          <w:color w:val="0070C0"/>
          <w:sz w:val="16"/>
          <w:szCs w:val="16"/>
        </w:rPr>
        <w:softHyphen/>
        <w:t>дировщиком Не111Н-11 показал, что са</w:t>
      </w:r>
      <w:r w:rsidRPr="00D03F3E">
        <w:rPr>
          <w:rFonts w:ascii="Times New Roman" w:hAnsi="Times New Roman" w:cs="Times New Roman"/>
          <w:color w:val="0070C0"/>
          <w:sz w:val="16"/>
          <w:szCs w:val="16"/>
        </w:rPr>
        <w:softHyphen/>
        <w:t>молет Су-6 может атаковать его со всех направлений на высотах до 4000 м. При догоне бомбардировщика</w:t>
      </w:r>
      <w:r w:rsidRPr="00D03F3E">
        <w:rPr>
          <w:rFonts w:ascii="Times New Roman" w:hAnsi="Times New Roman" w:cs="Times New Roman"/>
          <w:i/>
          <w:iCs/>
          <w:color w:val="0070C0"/>
          <w:sz w:val="16"/>
          <w:szCs w:val="16"/>
        </w:rPr>
        <w:t>,</w:t>
      </w:r>
      <w:r w:rsidRPr="00D03F3E">
        <w:rPr>
          <w:rStyle w:val="aff6"/>
          <w:rFonts w:ascii="Times New Roman" w:hAnsi="Times New Roman" w:cs="Times New Roman"/>
          <w:i w:val="0"/>
          <w:iCs w:val="0"/>
          <w:color w:val="0070C0"/>
        </w:rPr>
        <w:t xml:space="preserve"> «идущего по прямой на максимальной скорости и вы</w:t>
      </w:r>
      <w:r w:rsidRPr="00D03F3E">
        <w:rPr>
          <w:rStyle w:val="aff6"/>
          <w:rFonts w:ascii="Times New Roman" w:hAnsi="Times New Roman" w:cs="Times New Roman"/>
          <w:i w:val="0"/>
          <w:iCs w:val="0"/>
          <w:color w:val="0070C0"/>
        </w:rPr>
        <w:softHyphen/>
        <w:t>сотах до 4000 м, самолет Су-6 свободно атакует сзади, может обогнать и атако</w:t>
      </w:r>
      <w:r w:rsidRPr="00D03F3E">
        <w:rPr>
          <w:rStyle w:val="aff6"/>
          <w:rFonts w:ascii="Times New Roman" w:hAnsi="Times New Roman" w:cs="Times New Roman"/>
          <w:i w:val="0"/>
          <w:iCs w:val="0"/>
          <w:color w:val="0070C0"/>
        </w:rPr>
        <w:softHyphen/>
        <w:t>вать в</w:t>
      </w:r>
      <w:r w:rsidRPr="00D03F3E">
        <w:rPr>
          <w:rFonts w:ascii="Times New Roman" w:hAnsi="Times New Roman" w:cs="Times New Roman"/>
          <w:i/>
          <w:iCs/>
          <w:color w:val="0070C0"/>
          <w:sz w:val="16"/>
          <w:szCs w:val="16"/>
        </w:rPr>
        <w:t xml:space="preserve"> </w:t>
      </w:r>
      <w:r w:rsidRPr="00D03F3E">
        <w:rPr>
          <w:rFonts w:ascii="Times New Roman" w:hAnsi="Times New Roman" w:cs="Times New Roman"/>
          <w:color w:val="0070C0"/>
          <w:sz w:val="16"/>
          <w:szCs w:val="16"/>
        </w:rPr>
        <w:t>лоб». Уйти с набором высоты</w:t>
      </w:r>
      <w:r w:rsidRPr="00D03F3E">
        <w:rPr>
          <w:rStyle w:val="aff6"/>
          <w:rFonts w:ascii="Times New Roman" w:hAnsi="Times New Roman" w:cs="Times New Roman"/>
          <w:color w:val="0070C0"/>
        </w:rPr>
        <w:t xml:space="preserve"> </w:t>
      </w:r>
      <w:r w:rsidRPr="00D03F3E">
        <w:rPr>
          <w:rStyle w:val="aff6"/>
          <w:rFonts w:ascii="Times New Roman" w:hAnsi="Times New Roman" w:cs="Times New Roman"/>
          <w:i w:val="0"/>
          <w:iCs w:val="0"/>
          <w:color w:val="0070C0"/>
        </w:rPr>
        <w:t>«бом</w:t>
      </w:r>
      <w:r w:rsidRPr="00D03F3E">
        <w:rPr>
          <w:rStyle w:val="aff6"/>
          <w:rFonts w:ascii="Times New Roman" w:hAnsi="Times New Roman" w:cs="Times New Roman"/>
          <w:i w:val="0"/>
          <w:iCs w:val="0"/>
          <w:color w:val="0070C0"/>
        </w:rPr>
        <w:softHyphen/>
        <w:t>бардировщики противника типа Не-111, Фокке-Вульф-200 и Ю-87»</w:t>
      </w:r>
      <w:r w:rsidRPr="00D03F3E">
        <w:rPr>
          <w:rFonts w:ascii="Times New Roman" w:hAnsi="Times New Roman" w:cs="Times New Roman"/>
          <w:color w:val="0070C0"/>
          <w:sz w:val="16"/>
          <w:szCs w:val="16"/>
        </w:rPr>
        <w:t xml:space="preserve"> не могут. Под углами более 50° к линии полета бомбар</w:t>
      </w:r>
      <w:r w:rsidRPr="00D03F3E">
        <w:rPr>
          <w:rFonts w:ascii="Times New Roman" w:hAnsi="Times New Roman" w:cs="Times New Roman"/>
          <w:color w:val="0070C0"/>
          <w:sz w:val="16"/>
          <w:szCs w:val="16"/>
        </w:rPr>
        <w:softHyphen/>
        <w:t>дировщика атаки возможны с дистанций 400-500 м. Считалось, что</w:t>
      </w:r>
      <w:r w:rsidRPr="00D03F3E">
        <w:rPr>
          <w:rStyle w:val="aff6"/>
          <w:rFonts w:ascii="Times New Roman" w:hAnsi="Times New Roman" w:cs="Times New Roman"/>
          <w:color w:val="0070C0"/>
        </w:rPr>
        <w:t xml:space="preserve"> «</w:t>
      </w:r>
      <w:r w:rsidRPr="00D03F3E">
        <w:rPr>
          <w:rStyle w:val="aff6"/>
          <w:rFonts w:ascii="Times New Roman" w:hAnsi="Times New Roman" w:cs="Times New Roman"/>
          <w:i w:val="0"/>
          <w:iCs w:val="0"/>
          <w:color w:val="0070C0"/>
        </w:rPr>
        <w:t>эффектив</w:t>
      </w:r>
      <w:r w:rsidRPr="00D03F3E">
        <w:rPr>
          <w:rStyle w:val="aff6"/>
          <w:rFonts w:ascii="Times New Roman" w:hAnsi="Times New Roman" w:cs="Times New Roman"/>
          <w:i w:val="0"/>
          <w:iCs w:val="0"/>
          <w:color w:val="0070C0"/>
        </w:rPr>
        <w:softHyphen/>
        <w:t>ность атак с этих дистанций обеспечива</w:t>
      </w:r>
      <w:r w:rsidRPr="00D03F3E">
        <w:rPr>
          <w:rStyle w:val="aff6"/>
          <w:rFonts w:ascii="Times New Roman" w:hAnsi="Times New Roman" w:cs="Times New Roman"/>
          <w:i w:val="0"/>
          <w:iCs w:val="0"/>
          <w:color w:val="0070C0"/>
        </w:rPr>
        <w:softHyphen/>
        <w:t>ется мощным пушечным вооружением са</w:t>
      </w:r>
      <w:r w:rsidRPr="00D03F3E">
        <w:rPr>
          <w:rStyle w:val="aff6"/>
          <w:rFonts w:ascii="Times New Roman" w:hAnsi="Times New Roman" w:cs="Times New Roman"/>
          <w:i w:val="0"/>
          <w:iCs w:val="0"/>
          <w:color w:val="0070C0"/>
        </w:rPr>
        <w:softHyphen/>
        <w:t>молета Су-6».</w:t>
      </w:r>
      <w:r w:rsidRPr="00D03F3E">
        <w:rPr>
          <w:rFonts w:ascii="Times New Roman" w:hAnsi="Times New Roman" w:cs="Times New Roman"/>
          <w:color w:val="0070C0"/>
          <w:sz w:val="16"/>
          <w:szCs w:val="16"/>
        </w:rPr>
        <w:t xml:space="preserve"> При выходе из атаки в не</w:t>
      </w:r>
      <w:r w:rsidRPr="00D03F3E">
        <w:rPr>
          <w:rFonts w:ascii="Times New Roman" w:hAnsi="Times New Roman" w:cs="Times New Roman"/>
          <w:color w:val="0070C0"/>
          <w:sz w:val="16"/>
          <w:szCs w:val="16"/>
        </w:rPr>
        <w:softHyphen/>
        <w:t>которых случаях может использоваться пулемет стрелка.</w:t>
      </w:r>
    </w:p>
    <w:p w14:paraId="5C45FB91" w14:textId="77777777" w:rsidR="003B41F0" w:rsidRPr="00D03F3E" w:rsidRDefault="003B41F0" w:rsidP="00D03F3E">
      <w:pPr>
        <w:spacing w:after="0" w:line="240" w:lineRule="auto"/>
        <w:jc w:val="both"/>
        <w:rPr>
          <w:rFonts w:ascii="Times New Roman" w:hAnsi="Times New Roman"/>
          <w:color w:val="0070C0"/>
          <w:sz w:val="16"/>
          <w:szCs w:val="16"/>
        </w:rPr>
      </w:pPr>
      <w:r w:rsidRPr="00D03F3E">
        <w:rPr>
          <w:rStyle w:val="145"/>
          <w:rFonts w:ascii="Times New Roman" w:hAnsi="Times New Roman" w:cs="Times New Roman"/>
          <w:i w:val="0"/>
          <w:iCs w:val="0"/>
          <w:strike w:val="0"/>
          <w:color w:val="0070C0"/>
          <w:sz w:val="16"/>
          <w:szCs w:val="16"/>
          <w:u w:val="none"/>
        </w:rPr>
        <w:t xml:space="preserve">С учетом этого был сделан вывод, что </w:t>
      </w:r>
      <w:r w:rsidRPr="00D03F3E">
        <w:rPr>
          <w:rFonts w:ascii="Times New Roman" w:hAnsi="Times New Roman"/>
          <w:color w:val="0070C0"/>
          <w:sz w:val="16"/>
          <w:szCs w:val="16"/>
        </w:rPr>
        <w:t>«благодаря сочетанию большой скоро</w:t>
      </w:r>
      <w:r w:rsidRPr="00D03F3E">
        <w:rPr>
          <w:rFonts w:ascii="Times New Roman" w:hAnsi="Times New Roman"/>
          <w:color w:val="0070C0"/>
          <w:sz w:val="16"/>
          <w:szCs w:val="16"/>
        </w:rPr>
        <w:softHyphen/>
        <w:t>сти и мощного вооружения, самолет Су-6 может эффективно применяться для борьбы с бомбардировщиками противника (типа Не-111, Фокке-Вульф-200, Ю-87) и транспортной авиацией».</w:t>
      </w:r>
    </w:p>
    <w:p w14:paraId="03D0DB45"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Бронирование Су-6 оценивалось много выше, чем на серийном штурмо</w:t>
      </w:r>
      <w:r w:rsidRPr="00D03F3E">
        <w:rPr>
          <w:rFonts w:ascii="Times New Roman" w:hAnsi="Times New Roman" w:cs="Times New Roman"/>
          <w:color w:val="0070C0"/>
          <w:sz w:val="16"/>
          <w:szCs w:val="16"/>
        </w:rPr>
        <w:softHyphen/>
        <w:t>вике Ил-2. При этом благодаря более ра</w:t>
      </w:r>
      <w:r w:rsidRPr="00D03F3E">
        <w:rPr>
          <w:rFonts w:ascii="Times New Roman" w:hAnsi="Times New Roman" w:cs="Times New Roman"/>
          <w:color w:val="0070C0"/>
          <w:sz w:val="16"/>
          <w:szCs w:val="16"/>
        </w:rPr>
        <w:softHyphen/>
        <w:t>циональной схеме и распределению тол</w:t>
      </w:r>
      <w:r w:rsidRPr="00D03F3E">
        <w:rPr>
          <w:rFonts w:ascii="Times New Roman" w:hAnsi="Times New Roman" w:cs="Times New Roman"/>
          <w:color w:val="0070C0"/>
          <w:sz w:val="16"/>
          <w:szCs w:val="16"/>
        </w:rPr>
        <w:softHyphen/>
        <w:t>щин броневых листов (от 2 до 12 мм) сум</w:t>
      </w:r>
      <w:r w:rsidRPr="00D03F3E">
        <w:rPr>
          <w:rFonts w:ascii="Times New Roman" w:hAnsi="Times New Roman" w:cs="Times New Roman"/>
          <w:color w:val="0070C0"/>
          <w:sz w:val="16"/>
          <w:szCs w:val="16"/>
        </w:rPr>
        <w:softHyphen/>
        <w:t>марный вес брони (642,6 кг) оказался за</w:t>
      </w:r>
      <w:r w:rsidRPr="00D03F3E">
        <w:rPr>
          <w:rFonts w:ascii="Times New Roman" w:hAnsi="Times New Roman" w:cs="Times New Roman"/>
          <w:color w:val="0070C0"/>
          <w:sz w:val="16"/>
          <w:szCs w:val="16"/>
        </w:rPr>
        <w:softHyphen/>
        <w:t>метно меньше, чем у двухместного Ил-2 АМ-38ф (957 кг), при лучшем уровне за</w:t>
      </w:r>
      <w:r w:rsidRPr="00D03F3E">
        <w:rPr>
          <w:rFonts w:ascii="Times New Roman" w:hAnsi="Times New Roman" w:cs="Times New Roman"/>
          <w:color w:val="0070C0"/>
          <w:sz w:val="16"/>
          <w:szCs w:val="16"/>
        </w:rPr>
        <w:softHyphen/>
        <w:t>щищенности воздушного стрелка, летчика и жизненно важных элементов конструк</w:t>
      </w:r>
      <w:r w:rsidRPr="00D03F3E">
        <w:rPr>
          <w:rFonts w:ascii="Times New Roman" w:hAnsi="Times New Roman" w:cs="Times New Roman"/>
          <w:color w:val="0070C0"/>
          <w:sz w:val="16"/>
          <w:szCs w:val="16"/>
        </w:rPr>
        <w:softHyphen/>
        <w:t>ции самолета.</w:t>
      </w:r>
    </w:p>
    <w:p w14:paraId="7E78A7A0"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Как известно, на Ил-2 наиболее уяз</w:t>
      </w:r>
      <w:r w:rsidRPr="00D03F3E">
        <w:rPr>
          <w:rFonts w:ascii="Times New Roman" w:hAnsi="Times New Roman" w:cs="Times New Roman"/>
          <w:color w:val="0070C0"/>
          <w:sz w:val="16"/>
          <w:szCs w:val="16"/>
        </w:rPr>
        <w:softHyphen/>
        <w:t>вимые от огня противника бронедетали оказались недостаточной толщины, а воз</w:t>
      </w:r>
      <w:r w:rsidRPr="00D03F3E">
        <w:rPr>
          <w:rFonts w:ascii="Times New Roman" w:hAnsi="Times New Roman" w:cs="Times New Roman"/>
          <w:color w:val="0070C0"/>
          <w:sz w:val="16"/>
          <w:szCs w:val="16"/>
        </w:rPr>
        <w:softHyphen/>
        <w:t>душный стрелок практически не имел бронезащиты.</w:t>
      </w:r>
    </w:p>
    <w:p w14:paraId="75C3A2DA"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По заключению специалистов НИИ ВВС бронирование Су-6 М-71ф обеспе</w:t>
      </w:r>
      <w:r w:rsidRPr="00D03F3E">
        <w:rPr>
          <w:rFonts w:ascii="Times New Roman" w:hAnsi="Times New Roman" w:cs="Times New Roman"/>
          <w:color w:val="0070C0"/>
          <w:sz w:val="16"/>
          <w:szCs w:val="16"/>
        </w:rPr>
        <w:softHyphen/>
        <w:t>чивает надежную защиту</w:t>
      </w:r>
      <w:r w:rsidRPr="00D03F3E">
        <w:rPr>
          <w:rStyle w:val="aff6"/>
          <w:rFonts w:ascii="Times New Roman" w:hAnsi="Times New Roman" w:cs="Times New Roman"/>
          <w:i w:val="0"/>
          <w:iCs w:val="0"/>
          <w:color w:val="0070C0"/>
        </w:rPr>
        <w:t xml:space="preserve"> «экипажа, бен</w:t>
      </w:r>
      <w:r w:rsidRPr="00D03F3E">
        <w:rPr>
          <w:rStyle w:val="aff6"/>
          <w:rFonts w:ascii="Times New Roman" w:hAnsi="Times New Roman" w:cs="Times New Roman"/>
          <w:i w:val="0"/>
          <w:iCs w:val="0"/>
          <w:color w:val="0070C0"/>
        </w:rPr>
        <w:softHyphen/>
        <w:t>зобака, маслорадиаторов и моторных аг</w:t>
      </w:r>
      <w:r w:rsidRPr="00D03F3E">
        <w:rPr>
          <w:rStyle w:val="aff6"/>
          <w:rFonts w:ascii="Times New Roman" w:hAnsi="Times New Roman" w:cs="Times New Roman"/>
          <w:i w:val="0"/>
          <w:iCs w:val="0"/>
          <w:color w:val="0070C0"/>
        </w:rPr>
        <w:softHyphen/>
        <w:t>регатов от поражения наземным ог</w:t>
      </w:r>
      <w:r w:rsidRPr="00D03F3E">
        <w:rPr>
          <w:rStyle w:val="aff6"/>
          <w:rFonts w:ascii="Times New Roman" w:hAnsi="Times New Roman" w:cs="Times New Roman"/>
          <w:i w:val="0"/>
          <w:iCs w:val="0"/>
          <w:color w:val="0070C0"/>
        </w:rPr>
        <w:softHyphen/>
        <w:t>нем и огнем самолетов противника (при стрельбе пулями калибра 7,92 мм с ди</w:t>
      </w:r>
      <w:r w:rsidRPr="00D03F3E">
        <w:rPr>
          <w:rStyle w:val="aff6"/>
          <w:rFonts w:ascii="Times New Roman" w:hAnsi="Times New Roman" w:cs="Times New Roman"/>
          <w:i w:val="0"/>
          <w:iCs w:val="0"/>
          <w:color w:val="0070C0"/>
        </w:rPr>
        <w:softHyphen/>
        <w:t>станции 100 м и калибра 15 мм с дистан</w:t>
      </w:r>
      <w:r w:rsidRPr="00D03F3E">
        <w:rPr>
          <w:rStyle w:val="aff6"/>
          <w:rFonts w:ascii="Times New Roman" w:hAnsi="Times New Roman" w:cs="Times New Roman"/>
          <w:i w:val="0"/>
          <w:iCs w:val="0"/>
          <w:color w:val="0070C0"/>
        </w:rPr>
        <w:softHyphen/>
        <w:t>ции порядка 400 м)».</w:t>
      </w:r>
      <w:r w:rsidRPr="00D03F3E">
        <w:rPr>
          <w:rFonts w:ascii="Times New Roman" w:hAnsi="Times New Roman" w:cs="Times New Roman"/>
          <w:color w:val="0070C0"/>
          <w:sz w:val="16"/>
          <w:szCs w:val="16"/>
        </w:rPr>
        <w:t xml:space="preserve"> Помимо этого, живу</w:t>
      </w:r>
      <w:r w:rsidRPr="00D03F3E">
        <w:rPr>
          <w:rFonts w:ascii="Times New Roman" w:hAnsi="Times New Roman" w:cs="Times New Roman"/>
          <w:color w:val="0070C0"/>
          <w:sz w:val="16"/>
          <w:szCs w:val="16"/>
        </w:rPr>
        <w:softHyphen/>
        <w:t>честь штурмовика повышалась примене</w:t>
      </w:r>
      <w:r w:rsidRPr="00D03F3E">
        <w:rPr>
          <w:rFonts w:ascii="Times New Roman" w:hAnsi="Times New Roman" w:cs="Times New Roman"/>
          <w:color w:val="0070C0"/>
          <w:sz w:val="16"/>
          <w:szCs w:val="16"/>
        </w:rPr>
        <w:softHyphen/>
        <w:t>нием мотора воздушного охлаждения, бо</w:t>
      </w:r>
      <w:r w:rsidRPr="00D03F3E">
        <w:rPr>
          <w:rFonts w:ascii="Times New Roman" w:hAnsi="Times New Roman" w:cs="Times New Roman"/>
          <w:color w:val="0070C0"/>
          <w:sz w:val="16"/>
          <w:szCs w:val="16"/>
        </w:rPr>
        <w:softHyphen/>
        <w:t>лее стойкого к боевым повреждениям, чем моторы с жидкостным охлаждением, наддува бензобака выхлопными газами от мотора и дублированием в системе управления рулем высоты и направления.</w:t>
      </w:r>
    </w:p>
    <w:p w14:paraId="6D4B7D9A" w14:textId="77777777" w:rsidR="003B41F0" w:rsidRPr="00D03F3E" w:rsidRDefault="003B41F0" w:rsidP="00D03F3E">
      <w:pPr>
        <w:spacing w:after="0" w:line="240" w:lineRule="auto"/>
        <w:jc w:val="both"/>
        <w:rPr>
          <w:rFonts w:ascii="Times New Roman" w:hAnsi="Times New Roman"/>
          <w:color w:val="0070C0"/>
          <w:sz w:val="16"/>
          <w:szCs w:val="16"/>
        </w:rPr>
      </w:pPr>
      <w:r w:rsidRPr="00D03F3E">
        <w:rPr>
          <w:rStyle w:val="145"/>
          <w:rFonts w:ascii="Times New Roman" w:hAnsi="Times New Roman" w:cs="Times New Roman"/>
          <w:i w:val="0"/>
          <w:iCs w:val="0"/>
          <w:strike w:val="0"/>
          <w:color w:val="0070C0"/>
          <w:sz w:val="16"/>
          <w:szCs w:val="16"/>
          <w:u w:val="none"/>
        </w:rPr>
        <w:t>В выводах по результатам государст</w:t>
      </w:r>
      <w:r w:rsidRPr="00D03F3E">
        <w:rPr>
          <w:rStyle w:val="145"/>
          <w:rFonts w:ascii="Times New Roman" w:hAnsi="Times New Roman" w:cs="Times New Roman"/>
          <w:i w:val="0"/>
          <w:iCs w:val="0"/>
          <w:strike w:val="0"/>
          <w:color w:val="0070C0"/>
          <w:sz w:val="16"/>
          <w:szCs w:val="16"/>
          <w:u w:val="none"/>
        </w:rPr>
        <w:softHyphen/>
        <w:t>венных испытаний Су-6 М-71ф отмеча</w:t>
      </w:r>
      <w:r w:rsidRPr="00D03F3E">
        <w:rPr>
          <w:rStyle w:val="145"/>
          <w:rFonts w:ascii="Times New Roman" w:hAnsi="Times New Roman" w:cs="Times New Roman"/>
          <w:i w:val="0"/>
          <w:iCs w:val="0"/>
          <w:strike w:val="0"/>
          <w:color w:val="0070C0"/>
          <w:sz w:val="16"/>
          <w:szCs w:val="16"/>
          <w:u w:val="none"/>
        </w:rPr>
        <w:softHyphen/>
        <w:t>лось:</w:t>
      </w:r>
      <w:r w:rsidRPr="00D03F3E">
        <w:rPr>
          <w:rFonts w:ascii="Times New Roman" w:hAnsi="Times New Roman"/>
          <w:color w:val="0070C0"/>
          <w:sz w:val="16"/>
          <w:szCs w:val="16"/>
        </w:rPr>
        <w:t xml:space="preserve"> «По максимальным скоростям, ско</w:t>
      </w:r>
      <w:r w:rsidRPr="00D03F3E">
        <w:rPr>
          <w:rFonts w:ascii="Times New Roman" w:hAnsi="Times New Roman"/>
          <w:color w:val="0070C0"/>
          <w:sz w:val="16"/>
          <w:szCs w:val="16"/>
        </w:rPr>
        <w:softHyphen/>
        <w:t>роподъемности, потолку и дальности са</w:t>
      </w:r>
      <w:r w:rsidRPr="00D03F3E">
        <w:rPr>
          <w:rFonts w:ascii="Times New Roman" w:hAnsi="Times New Roman"/>
          <w:color w:val="0070C0"/>
          <w:sz w:val="16"/>
          <w:szCs w:val="16"/>
        </w:rPr>
        <w:softHyphen/>
        <w:t>молет Су-6 М-71ф ЗНАЧИТЕЛЬНО ПРЕ</w:t>
      </w:r>
      <w:r w:rsidRPr="00D03F3E">
        <w:rPr>
          <w:rFonts w:ascii="Times New Roman" w:hAnsi="Times New Roman"/>
          <w:color w:val="0070C0"/>
          <w:sz w:val="16"/>
          <w:szCs w:val="16"/>
        </w:rPr>
        <w:softHyphen/>
        <w:t>ВОСХОДИТ (так в документе - прим. авт.) находящийся на вооружении ВВС Красной Армии штурмовой самолет Ил-2 с мото</w:t>
      </w:r>
      <w:r w:rsidRPr="00D03F3E">
        <w:rPr>
          <w:rFonts w:ascii="Times New Roman" w:hAnsi="Times New Roman"/>
          <w:color w:val="0070C0"/>
          <w:sz w:val="16"/>
          <w:szCs w:val="16"/>
        </w:rPr>
        <w:softHyphen/>
        <w:t>ром АМ-38ф: а) По максимальной скоро</w:t>
      </w:r>
      <w:r w:rsidRPr="00D03F3E">
        <w:rPr>
          <w:rFonts w:ascii="Times New Roman" w:hAnsi="Times New Roman"/>
          <w:color w:val="0070C0"/>
          <w:sz w:val="16"/>
          <w:szCs w:val="16"/>
        </w:rPr>
        <w:softHyphen/>
        <w:t>сти: у земли - на 107 км/час (480 км/час вместо 373 км/час); на высоте 1000 м - на 115 км/час (499 км/час вместо 384 км/час); на высоте 4000 м - на 146 км/час (513 км/час вместо 367 км/час); б) По ско</w:t>
      </w:r>
      <w:r w:rsidRPr="00D03F3E">
        <w:rPr>
          <w:rFonts w:ascii="Times New Roman" w:hAnsi="Times New Roman"/>
          <w:color w:val="0070C0"/>
          <w:sz w:val="16"/>
          <w:szCs w:val="16"/>
        </w:rPr>
        <w:softHyphen/>
        <w:t>роподъемности: время набора высоты 4000 м меньше на 7,2 мин (8,2 мин вместо 15,4 мин); в) По потолку: потолок выше на 2500 м (8100 м вместо 5600 м); г) По даль</w:t>
      </w:r>
      <w:r w:rsidRPr="00D03F3E">
        <w:rPr>
          <w:rFonts w:ascii="Times New Roman" w:hAnsi="Times New Roman"/>
          <w:color w:val="0070C0"/>
          <w:sz w:val="16"/>
          <w:szCs w:val="16"/>
        </w:rPr>
        <w:softHyphen/>
        <w:t>ности: наибольшая дальность на высоте 1000 м больше на 353 км (973 км вместо 620 км)./.../Взлетные данные самолета Су-6 с М-71ф и Ил-2 АМ-38ф ПРАКТИЧЕ</w:t>
      </w:r>
      <w:r w:rsidRPr="00D03F3E">
        <w:rPr>
          <w:rFonts w:ascii="Times New Roman" w:hAnsi="Times New Roman"/>
          <w:color w:val="0070C0"/>
          <w:sz w:val="16"/>
          <w:szCs w:val="16"/>
        </w:rPr>
        <w:softHyphen/>
        <w:t>СКИ ОДИНАКОВЫЕ (так в документе): а) длина взлета у самолета Су-6 -410 м, а у самолета Ил-2 - 400 м; б) длина взлетной дистанции у самолета Су-6 - 1090 м, а у самолета Ил-2 - 1000 м».</w:t>
      </w:r>
    </w:p>
    <w:p w14:paraId="041E7941" w14:textId="77777777" w:rsidR="003B41F0" w:rsidRPr="00D03F3E" w:rsidRDefault="003B41F0" w:rsidP="00D03F3E">
      <w:pPr>
        <w:spacing w:after="0" w:line="240" w:lineRule="auto"/>
        <w:jc w:val="both"/>
        <w:rPr>
          <w:rFonts w:ascii="Times New Roman" w:hAnsi="Times New Roman"/>
          <w:color w:val="0070C0"/>
          <w:sz w:val="16"/>
          <w:szCs w:val="16"/>
        </w:rPr>
      </w:pPr>
      <w:r w:rsidRPr="00D03F3E">
        <w:rPr>
          <w:rStyle w:val="145"/>
          <w:rFonts w:ascii="Times New Roman" w:hAnsi="Times New Roman" w:cs="Times New Roman"/>
          <w:i w:val="0"/>
          <w:iCs w:val="0"/>
          <w:strike w:val="0"/>
          <w:color w:val="0070C0"/>
          <w:sz w:val="16"/>
          <w:szCs w:val="16"/>
          <w:u w:val="none"/>
        </w:rPr>
        <w:t>Для повышения боевой эффективно</w:t>
      </w:r>
      <w:r w:rsidRPr="00D03F3E">
        <w:rPr>
          <w:rStyle w:val="145"/>
          <w:rFonts w:ascii="Times New Roman" w:hAnsi="Times New Roman" w:cs="Times New Roman"/>
          <w:i w:val="0"/>
          <w:iCs w:val="0"/>
          <w:strike w:val="0"/>
          <w:color w:val="0070C0"/>
          <w:sz w:val="16"/>
          <w:szCs w:val="16"/>
          <w:u w:val="none"/>
        </w:rPr>
        <w:softHyphen/>
        <w:t>сти считалось целесообразным</w:t>
      </w:r>
      <w:r w:rsidRPr="00D03F3E">
        <w:rPr>
          <w:rFonts w:ascii="Times New Roman" w:hAnsi="Times New Roman"/>
          <w:color w:val="0070C0"/>
          <w:sz w:val="16"/>
          <w:szCs w:val="16"/>
        </w:rPr>
        <w:t xml:space="preserve"> «иметь штурмовые самолеты Су-6 в двухмест</w:t>
      </w:r>
      <w:r w:rsidRPr="00D03F3E">
        <w:rPr>
          <w:rFonts w:ascii="Times New Roman" w:hAnsi="Times New Roman"/>
          <w:color w:val="0070C0"/>
          <w:sz w:val="16"/>
          <w:szCs w:val="16"/>
        </w:rPr>
        <w:softHyphen/>
        <w:t>ном и одноместном варианте (с пушками 37 мм, с возможной заменой их на пушки калибра 23 мм, пулеметами ШКАС и бом</w:t>
      </w:r>
      <w:r w:rsidRPr="00D03F3E">
        <w:rPr>
          <w:rFonts w:ascii="Times New Roman" w:hAnsi="Times New Roman"/>
          <w:color w:val="0070C0"/>
          <w:sz w:val="16"/>
          <w:szCs w:val="16"/>
        </w:rPr>
        <w:softHyphen/>
        <w:t>бардировочным вооружением)».</w:t>
      </w:r>
      <w:r w:rsidRPr="00D03F3E">
        <w:rPr>
          <w:rStyle w:val="145"/>
          <w:rFonts w:ascii="Times New Roman" w:hAnsi="Times New Roman" w:cs="Times New Roman"/>
          <w:color w:val="0070C0"/>
          <w:sz w:val="16"/>
          <w:szCs w:val="16"/>
        </w:rPr>
        <w:t xml:space="preserve"> При этом </w:t>
      </w:r>
      <w:r w:rsidRPr="00D03F3E">
        <w:rPr>
          <w:rFonts w:ascii="Times New Roman" w:hAnsi="Times New Roman"/>
          <w:color w:val="0070C0"/>
          <w:sz w:val="16"/>
          <w:szCs w:val="16"/>
        </w:rPr>
        <w:t>«самолет Су-6 в одноместном варианте, имея меньший полетный вес на 230- 250 кг, сможет за счет этого брать боль</w:t>
      </w:r>
      <w:r w:rsidRPr="00D03F3E">
        <w:rPr>
          <w:rFonts w:ascii="Times New Roman" w:hAnsi="Times New Roman"/>
          <w:color w:val="0070C0"/>
          <w:sz w:val="16"/>
          <w:szCs w:val="16"/>
        </w:rPr>
        <w:softHyphen/>
        <w:t>шую бомбовую нагрузку, чем двухмест</w:t>
      </w:r>
      <w:r w:rsidRPr="00D03F3E">
        <w:rPr>
          <w:rFonts w:ascii="Times New Roman" w:hAnsi="Times New Roman"/>
          <w:color w:val="0070C0"/>
          <w:sz w:val="16"/>
          <w:szCs w:val="16"/>
        </w:rPr>
        <w:softHyphen/>
        <w:t>ный»,</w:t>
      </w:r>
      <w:r w:rsidRPr="00D03F3E">
        <w:rPr>
          <w:rStyle w:val="145"/>
          <w:rFonts w:ascii="Times New Roman" w:hAnsi="Times New Roman" w:cs="Times New Roman"/>
          <w:color w:val="0070C0"/>
          <w:sz w:val="16"/>
          <w:szCs w:val="16"/>
        </w:rPr>
        <w:t xml:space="preserve"> а без бомбовой нагрузки -</w:t>
      </w:r>
      <w:r w:rsidRPr="00D03F3E">
        <w:rPr>
          <w:rFonts w:ascii="Times New Roman" w:hAnsi="Times New Roman"/>
          <w:color w:val="0070C0"/>
          <w:sz w:val="16"/>
          <w:szCs w:val="16"/>
        </w:rPr>
        <w:t xml:space="preserve"> «со значительно большим эффектом вести борьбу против бомбардировщиков про</w:t>
      </w:r>
      <w:r w:rsidRPr="00D03F3E">
        <w:rPr>
          <w:rFonts w:ascii="Times New Roman" w:hAnsi="Times New Roman"/>
          <w:color w:val="0070C0"/>
          <w:sz w:val="16"/>
          <w:szCs w:val="16"/>
        </w:rPr>
        <w:softHyphen/>
        <w:t>тивника».</w:t>
      </w:r>
    </w:p>
    <w:p w14:paraId="201E7347"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Для улучшения взлетно-посадочных характристик и упрощения техники пило</w:t>
      </w:r>
      <w:r w:rsidRPr="00D03F3E">
        <w:rPr>
          <w:rFonts w:ascii="Times New Roman" w:hAnsi="Times New Roman" w:cs="Times New Roman"/>
          <w:color w:val="0070C0"/>
          <w:sz w:val="16"/>
          <w:szCs w:val="16"/>
        </w:rPr>
        <w:softHyphen/>
        <w:t>тирования предлагалось увеличить пло</w:t>
      </w:r>
      <w:r w:rsidRPr="00D03F3E">
        <w:rPr>
          <w:rFonts w:ascii="Times New Roman" w:hAnsi="Times New Roman" w:cs="Times New Roman"/>
          <w:color w:val="0070C0"/>
          <w:sz w:val="16"/>
          <w:szCs w:val="16"/>
        </w:rPr>
        <w:softHyphen/>
        <w:t>щадь крыла на 2-3 м2, обеспечить нор</w:t>
      </w:r>
      <w:r w:rsidRPr="00D03F3E">
        <w:rPr>
          <w:rFonts w:ascii="Times New Roman" w:hAnsi="Times New Roman" w:cs="Times New Roman"/>
          <w:color w:val="0070C0"/>
          <w:sz w:val="16"/>
          <w:szCs w:val="16"/>
        </w:rPr>
        <w:softHyphen/>
        <w:t>мальную работу предкрылков</w:t>
      </w:r>
      <w:r w:rsidRPr="00D03F3E">
        <w:rPr>
          <w:rStyle w:val="aff6"/>
          <w:rFonts w:ascii="Times New Roman" w:hAnsi="Times New Roman" w:cs="Times New Roman"/>
          <w:color w:val="0070C0"/>
        </w:rPr>
        <w:t xml:space="preserve"> </w:t>
      </w:r>
      <w:r w:rsidRPr="00D03F3E">
        <w:rPr>
          <w:rStyle w:val="aff6"/>
          <w:rFonts w:ascii="Times New Roman" w:hAnsi="Times New Roman" w:cs="Times New Roman"/>
          <w:i w:val="0"/>
          <w:iCs w:val="0"/>
          <w:color w:val="0070C0"/>
        </w:rPr>
        <w:t>(«установ</w:t>
      </w:r>
      <w:r w:rsidRPr="00D03F3E">
        <w:rPr>
          <w:rStyle w:val="aff6"/>
          <w:rFonts w:ascii="Times New Roman" w:hAnsi="Times New Roman" w:cs="Times New Roman"/>
          <w:i w:val="0"/>
          <w:iCs w:val="0"/>
          <w:color w:val="0070C0"/>
        </w:rPr>
        <w:softHyphen/>
        <w:t>ленные плавающие предкрылки из-за не</w:t>
      </w:r>
      <w:r w:rsidRPr="00D03F3E">
        <w:rPr>
          <w:rStyle w:val="aff6"/>
          <w:rFonts w:ascii="Times New Roman" w:hAnsi="Times New Roman" w:cs="Times New Roman"/>
          <w:i w:val="0"/>
          <w:iCs w:val="0"/>
          <w:color w:val="0070C0"/>
        </w:rPr>
        <w:softHyphen/>
        <w:t>равномерного открытия их создают неустойчивость в поперечном направле</w:t>
      </w:r>
      <w:r w:rsidRPr="00D03F3E">
        <w:rPr>
          <w:rStyle w:val="aff6"/>
          <w:rFonts w:ascii="Times New Roman" w:hAnsi="Times New Roman" w:cs="Times New Roman"/>
          <w:i w:val="0"/>
          <w:iCs w:val="0"/>
          <w:color w:val="0070C0"/>
        </w:rPr>
        <w:softHyphen/>
        <w:t>нии»)</w:t>
      </w:r>
      <w:r w:rsidRPr="00D03F3E">
        <w:rPr>
          <w:rFonts w:ascii="Times New Roman" w:hAnsi="Times New Roman" w:cs="Times New Roman"/>
          <w:color w:val="0070C0"/>
          <w:sz w:val="16"/>
          <w:szCs w:val="16"/>
        </w:rPr>
        <w:t xml:space="preserve"> и уменьшить нагрузки на ручку от руля высоты и элеронов</w:t>
      </w:r>
      <w:r w:rsidRPr="00D03F3E">
        <w:rPr>
          <w:rStyle w:val="aff6"/>
          <w:rFonts w:ascii="Times New Roman" w:hAnsi="Times New Roman" w:cs="Times New Roman"/>
          <w:color w:val="0070C0"/>
        </w:rPr>
        <w:t xml:space="preserve"> </w:t>
      </w:r>
      <w:r w:rsidRPr="00D03F3E">
        <w:rPr>
          <w:rStyle w:val="aff6"/>
          <w:rFonts w:ascii="Times New Roman" w:hAnsi="Times New Roman" w:cs="Times New Roman"/>
          <w:i w:val="0"/>
          <w:iCs w:val="0"/>
          <w:color w:val="0070C0"/>
        </w:rPr>
        <w:t>(«увеличить аэ</w:t>
      </w:r>
      <w:r w:rsidRPr="00D03F3E">
        <w:rPr>
          <w:rStyle w:val="aff6"/>
          <w:rFonts w:ascii="Times New Roman" w:hAnsi="Times New Roman" w:cs="Times New Roman"/>
          <w:i w:val="0"/>
          <w:iCs w:val="0"/>
          <w:color w:val="0070C0"/>
        </w:rPr>
        <w:softHyphen/>
        <w:t>родинамическую компенсацию руля вы</w:t>
      </w:r>
      <w:r w:rsidRPr="00D03F3E">
        <w:rPr>
          <w:rStyle w:val="aff6"/>
          <w:rFonts w:ascii="Times New Roman" w:hAnsi="Times New Roman" w:cs="Times New Roman"/>
          <w:i w:val="0"/>
          <w:iCs w:val="0"/>
          <w:color w:val="0070C0"/>
        </w:rPr>
        <w:softHyphen/>
        <w:t>соты и элеронов»).</w:t>
      </w:r>
    </w:p>
    <w:p w14:paraId="4B393B44"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Считалось необходимым довести амортизацию шасси и костыля («устранив явление прыжков самолета на пробеге»), костыльную установку выполнить по типу Ил-2</w:t>
      </w:r>
      <w:r w:rsidRPr="00D03F3E">
        <w:rPr>
          <w:rStyle w:val="aff6"/>
          <w:rFonts w:ascii="Times New Roman" w:hAnsi="Times New Roman" w:cs="Times New Roman"/>
          <w:color w:val="0070C0"/>
        </w:rPr>
        <w:t xml:space="preserve"> </w:t>
      </w:r>
      <w:r w:rsidRPr="00D03F3E">
        <w:rPr>
          <w:rStyle w:val="aff6"/>
          <w:rFonts w:ascii="Times New Roman" w:hAnsi="Times New Roman" w:cs="Times New Roman"/>
          <w:i w:val="0"/>
          <w:iCs w:val="0"/>
          <w:color w:val="0070C0"/>
        </w:rPr>
        <w:t>(«связав управление стопором ко</w:t>
      </w:r>
      <w:r w:rsidRPr="00D03F3E">
        <w:rPr>
          <w:rStyle w:val="aff6"/>
          <w:rFonts w:ascii="Times New Roman" w:hAnsi="Times New Roman" w:cs="Times New Roman"/>
          <w:i w:val="0"/>
          <w:iCs w:val="0"/>
          <w:color w:val="0070C0"/>
        </w:rPr>
        <w:softHyphen/>
        <w:t>стыльного колеса с ручкой управления са</w:t>
      </w:r>
      <w:r w:rsidRPr="00D03F3E">
        <w:rPr>
          <w:rStyle w:val="aff6"/>
          <w:rFonts w:ascii="Times New Roman" w:hAnsi="Times New Roman" w:cs="Times New Roman"/>
          <w:i w:val="0"/>
          <w:iCs w:val="0"/>
          <w:color w:val="0070C0"/>
        </w:rPr>
        <w:softHyphen/>
        <w:t>молетом (по типу самолета ФВ-190)»),</w:t>
      </w:r>
      <w:r w:rsidRPr="00D03F3E">
        <w:rPr>
          <w:rStyle w:val="aff6"/>
          <w:rFonts w:ascii="Times New Roman" w:hAnsi="Times New Roman" w:cs="Times New Roman"/>
          <w:color w:val="0070C0"/>
        </w:rPr>
        <w:t xml:space="preserve"> </w:t>
      </w:r>
      <w:r w:rsidRPr="00D03F3E">
        <w:rPr>
          <w:rFonts w:ascii="Times New Roman" w:hAnsi="Times New Roman" w:cs="Times New Roman"/>
          <w:color w:val="0070C0"/>
          <w:sz w:val="16"/>
          <w:szCs w:val="16"/>
        </w:rPr>
        <w:t>установить костыльное колесо больших размеров (400x150 мм).</w:t>
      </w:r>
    </w:p>
    <w:p w14:paraId="6DA37CB0"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Требовалось обеспечить возможность выпуска и уборки щитков «независимо от положения рукоятки шасси», очистку пе</w:t>
      </w:r>
      <w:r w:rsidRPr="00D03F3E">
        <w:rPr>
          <w:rFonts w:ascii="Times New Roman" w:hAnsi="Times New Roman" w:cs="Times New Roman"/>
          <w:color w:val="0070C0"/>
          <w:sz w:val="16"/>
          <w:szCs w:val="16"/>
        </w:rPr>
        <w:softHyphen/>
        <w:t>реднего козырька фонаря летчика от за</w:t>
      </w:r>
      <w:r w:rsidRPr="00D03F3E">
        <w:rPr>
          <w:rFonts w:ascii="Times New Roman" w:hAnsi="Times New Roman" w:cs="Times New Roman"/>
          <w:color w:val="0070C0"/>
          <w:sz w:val="16"/>
          <w:szCs w:val="16"/>
        </w:rPr>
        <w:softHyphen/>
        <w:t>масливания</w:t>
      </w:r>
      <w:r w:rsidRPr="00D03F3E">
        <w:rPr>
          <w:rStyle w:val="aff6"/>
          <w:rFonts w:ascii="Times New Roman" w:hAnsi="Times New Roman" w:cs="Times New Roman"/>
          <w:color w:val="0070C0"/>
        </w:rPr>
        <w:t xml:space="preserve"> </w:t>
      </w:r>
      <w:r w:rsidRPr="00D03F3E">
        <w:rPr>
          <w:rStyle w:val="aff6"/>
          <w:rFonts w:ascii="Times New Roman" w:hAnsi="Times New Roman" w:cs="Times New Roman"/>
          <w:i w:val="0"/>
          <w:iCs w:val="0"/>
          <w:color w:val="0070C0"/>
        </w:rPr>
        <w:t>(«с помощью струи бензина по типу проверенному в НИИ ВВС Крас</w:t>
      </w:r>
      <w:r w:rsidRPr="00D03F3E">
        <w:rPr>
          <w:rStyle w:val="aff6"/>
          <w:rFonts w:ascii="Times New Roman" w:hAnsi="Times New Roman" w:cs="Times New Roman"/>
          <w:i w:val="0"/>
          <w:iCs w:val="0"/>
          <w:color w:val="0070C0"/>
        </w:rPr>
        <w:softHyphen/>
        <w:t>ной Армии на самолете Як-7»),</w:t>
      </w:r>
      <w:r w:rsidRPr="00D03F3E">
        <w:rPr>
          <w:rFonts w:ascii="Times New Roman" w:hAnsi="Times New Roman" w:cs="Times New Roman"/>
          <w:i/>
          <w:iCs/>
          <w:color w:val="0070C0"/>
          <w:sz w:val="16"/>
          <w:szCs w:val="16"/>
        </w:rPr>
        <w:t xml:space="preserve"> </w:t>
      </w:r>
      <w:r w:rsidRPr="00D03F3E">
        <w:rPr>
          <w:rFonts w:ascii="Times New Roman" w:hAnsi="Times New Roman" w:cs="Times New Roman"/>
          <w:color w:val="0070C0"/>
          <w:sz w:val="16"/>
          <w:szCs w:val="16"/>
        </w:rPr>
        <w:t>аварийное сбрасывание фонаря</w:t>
      </w:r>
      <w:r w:rsidRPr="00D03F3E">
        <w:rPr>
          <w:rStyle w:val="aff6"/>
          <w:rFonts w:ascii="Times New Roman" w:hAnsi="Times New Roman" w:cs="Times New Roman"/>
          <w:i w:val="0"/>
          <w:iCs w:val="0"/>
          <w:color w:val="0070C0"/>
        </w:rPr>
        <w:t xml:space="preserve"> «от одной ручки (как у летчика, так и стрелка)»,</w:t>
      </w:r>
      <w:r w:rsidRPr="00D03F3E">
        <w:rPr>
          <w:rFonts w:ascii="Times New Roman" w:hAnsi="Times New Roman" w:cs="Times New Roman"/>
          <w:color w:val="0070C0"/>
          <w:sz w:val="16"/>
          <w:szCs w:val="16"/>
        </w:rPr>
        <w:t xml:space="preserve"> вентиляцию кабины летчика.</w:t>
      </w:r>
    </w:p>
    <w:p w14:paraId="33F355BD"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Кроме этого, следовало установить стандартную ручку управления самоле</w:t>
      </w:r>
      <w:r w:rsidRPr="00D03F3E">
        <w:rPr>
          <w:rFonts w:ascii="Times New Roman" w:hAnsi="Times New Roman" w:cs="Times New Roman"/>
          <w:color w:val="0070C0"/>
          <w:sz w:val="16"/>
          <w:szCs w:val="16"/>
        </w:rPr>
        <w:softHyphen/>
        <w:t>том (истребительного типа),</w:t>
      </w:r>
      <w:r w:rsidRPr="00D03F3E">
        <w:rPr>
          <w:rStyle w:val="aff6"/>
          <w:rFonts w:ascii="Times New Roman" w:hAnsi="Times New Roman" w:cs="Times New Roman"/>
          <w:color w:val="0070C0"/>
        </w:rPr>
        <w:t xml:space="preserve"> «расположить слева от летчика»</w:t>
      </w:r>
      <w:r w:rsidRPr="00D03F3E">
        <w:rPr>
          <w:rFonts w:ascii="Times New Roman" w:hAnsi="Times New Roman" w:cs="Times New Roman"/>
          <w:color w:val="0070C0"/>
          <w:sz w:val="16"/>
          <w:szCs w:val="16"/>
        </w:rPr>
        <w:t xml:space="preserve"> окно в бронеперегородке для связи экипажа,</w:t>
      </w:r>
      <w:r w:rsidRPr="00D03F3E">
        <w:rPr>
          <w:rStyle w:val="aff6"/>
          <w:rFonts w:ascii="Times New Roman" w:hAnsi="Times New Roman" w:cs="Times New Roman"/>
          <w:color w:val="0070C0"/>
        </w:rPr>
        <w:t xml:space="preserve"> </w:t>
      </w:r>
      <w:r w:rsidRPr="00D03F3E">
        <w:rPr>
          <w:rStyle w:val="aff6"/>
          <w:rFonts w:ascii="Times New Roman" w:hAnsi="Times New Roman" w:cs="Times New Roman"/>
          <w:i w:val="0"/>
          <w:iCs w:val="0"/>
          <w:color w:val="0070C0"/>
        </w:rPr>
        <w:t>«изменить рас</w:t>
      </w:r>
      <w:r w:rsidRPr="00D03F3E">
        <w:rPr>
          <w:rStyle w:val="aff6"/>
          <w:rFonts w:ascii="Times New Roman" w:hAnsi="Times New Roman" w:cs="Times New Roman"/>
          <w:i w:val="0"/>
          <w:iCs w:val="0"/>
          <w:color w:val="0070C0"/>
        </w:rPr>
        <w:softHyphen/>
        <w:t>положение агрегатов и ручек управления самолетом и мотором согласно ведомо</w:t>
      </w:r>
      <w:r w:rsidRPr="00D03F3E">
        <w:rPr>
          <w:rStyle w:val="aff6"/>
          <w:rFonts w:ascii="Times New Roman" w:hAnsi="Times New Roman" w:cs="Times New Roman"/>
          <w:i w:val="0"/>
          <w:iCs w:val="0"/>
          <w:color w:val="0070C0"/>
        </w:rPr>
        <w:softHyphen/>
        <w:t>сти дефектов»,</w:t>
      </w:r>
      <w:r w:rsidRPr="00D03F3E">
        <w:rPr>
          <w:rFonts w:ascii="Times New Roman" w:hAnsi="Times New Roman" w:cs="Times New Roman"/>
          <w:color w:val="0070C0"/>
          <w:sz w:val="16"/>
          <w:szCs w:val="16"/>
        </w:rPr>
        <w:t xml:space="preserve"> перекомпоновать приборы на приборной доске, сделать рычажным управление воздушным винтом и тримме</w:t>
      </w:r>
      <w:r w:rsidRPr="00D03F3E">
        <w:rPr>
          <w:rFonts w:ascii="Times New Roman" w:hAnsi="Times New Roman" w:cs="Times New Roman"/>
          <w:color w:val="0070C0"/>
          <w:sz w:val="16"/>
          <w:szCs w:val="16"/>
        </w:rPr>
        <w:softHyphen/>
        <w:t>ром руля высоты вместо штурвального.</w:t>
      </w:r>
    </w:p>
    <w:p w14:paraId="192CF96C"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r w:rsidRPr="00D03F3E">
        <w:rPr>
          <w:rFonts w:ascii="Times New Roman" w:hAnsi="Times New Roman" w:cs="Times New Roman"/>
          <w:color w:val="0070C0"/>
          <w:sz w:val="16"/>
          <w:szCs w:val="16"/>
        </w:rPr>
        <w:t>В заключении к акту по испытаниям указывалось:</w:t>
      </w:r>
    </w:p>
    <w:p w14:paraId="6D695BD4" w14:textId="77777777" w:rsidR="003B41F0" w:rsidRPr="00D03F3E" w:rsidRDefault="003B41F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Опытный двухместный самолет Су-6 с мотором М-71ф и опытным 4-х ло</w:t>
      </w:r>
      <w:r w:rsidRPr="00D03F3E">
        <w:rPr>
          <w:rFonts w:ascii="Times New Roman" w:hAnsi="Times New Roman"/>
          <w:color w:val="0070C0"/>
          <w:sz w:val="16"/>
          <w:szCs w:val="16"/>
        </w:rPr>
        <w:softHyphen/>
        <w:t>пастным винтом АВ-9-4А конструкции т. Сухого, производства завода №289 госу</w:t>
      </w:r>
      <w:r w:rsidRPr="00D03F3E">
        <w:rPr>
          <w:rFonts w:ascii="Times New Roman" w:hAnsi="Times New Roman"/>
          <w:color w:val="0070C0"/>
          <w:sz w:val="16"/>
          <w:szCs w:val="16"/>
        </w:rPr>
        <w:softHyphen/>
        <w:t>дарственные испытания ВЫДЕРЖАЛ, пока</w:t>
      </w:r>
      <w:r w:rsidRPr="00D03F3E">
        <w:rPr>
          <w:rFonts w:ascii="Times New Roman" w:hAnsi="Times New Roman"/>
          <w:color w:val="0070C0"/>
          <w:sz w:val="16"/>
          <w:szCs w:val="16"/>
        </w:rPr>
        <w:softHyphen/>
        <w:t>зав хорошие летно-тактические данные.</w:t>
      </w:r>
    </w:p>
    <w:p w14:paraId="7DF4CBAC" w14:textId="77777777" w:rsidR="003B41F0" w:rsidRPr="00D03F3E" w:rsidRDefault="003B41F0" w:rsidP="00D03F3E">
      <w:pPr>
        <w:tabs>
          <w:tab w:val="left" w:pos="466"/>
        </w:tabs>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Рекомендовать самолет Су-6 с мо</w:t>
      </w:r>
      <w:r w:rsidRPr="00D03F3E">
        <w:rPr>
          <w:rFonts w:ascii="Times New Roman" w:hAnsi="Times New Roman"/>
          <w:color w:val="0070C0"/>
          <w:sz w:val="16"/>
          <w:szCs w:val="16"/>
        </w:rPr>
        <w:softHyphen/>
        <w:t>тором М-71ф и 4-х лопастным винтом АВ-9-4А в серийное производство с обяза</w:t>
      </w:r>
      <w:r w:rsidRPr="00D03F3E">
        <w:rPr>
          <w:rFonts w:ascii="Times New Roman" w:hAnsi="Times New Roman"/>
          <w:color w:val="0070C0"/>
          <w:sz w:val="16"/>
          <w:szCs w:val="16"/>
        </w:rPr>
        <w:softHyphen/>
        <w:t>тельным устранением всех недостатков, указанных в выводах и ведомости дефек</w:t>
      </w:r>
      <w:r w:rsidRPr="00D03F3E">
        <w:rPr>
          <w:rFonts w:ascii="Times New Roman" w:hAnsi="Times New Roman"/>
          <w:color w:val="0070C0"/>
          <w:sz w:val="16"/>
          <w:szCs w:val="16"/>
        </w:rPr>
        <w:softHyphen/>
        <w:t>тов настоящего акта.</w:t>
      </w:r>
    </w:p>
    <w:p w14:paraId="333688D6" w14:textId="77777777" w:rsidR="003B41F0" w:rsidRPr="00D03F3E" w:rsidRDefault="003B41F0" w:rsidP="00D03F3E">
      <w:pPr>
        <w:tabs>
          <w:tab w:val="left" w:pos="457"/>
        </w:tabs>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НИИ ВВС Красной Армии считает целесообразным серийные самолеты Су-6 выпускать в 2-х местном и одноместном вариантах со следующим вооружением:</w:t>
      </w:r>
    </w:p>
    <w:p w14:paraId="4E2C3D41" w14:textId="77777777" w:rsidR="003B41F0" w:rsidRPr="00D03F3E" w:rsidRDefault="003B41F0" w:rsidP="00D03F3E">
      <w:pPr>
        <w:tabs>
          <w:tab w:val="left" w:pos="472"/>
        </w:tabs>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w:t>
      </w:r>
      <w:r w:rsidRPr="00D03F3E">
        <w:rPr>
          <w:rFonts w:ascii="Times New Roman" w:hAnsi="Times New Roman"/>
          <w:color w:val="0070C0"/>
          <w:sz w:val="16"/>
          <w:szCs w:val="16"/>
        </w:rPr>
        <w:tab/>
        <w:t>2 пушки ОКБ-16 калибра 57 мм с за</w:t>
      </w:r>
      <w:r w:rsidRPr="00D03F3E">
        <w:rPr>
          <w:rFonts w:ascii="Times New Roman" w:hAnsi="Times New Roman"/>
          <w:color w:val="0070C0"/>
          <w:sz w:val="16"/>
          <w:szCs w:val="16"/>
        </w:rPr>
        <w:softHyphen/>
        <w:t>пасом снарядов по 45 шт. на пушку с воз</w:t>
      </w:r>
      <w:r w:rsidRPr="00D03F3E">
        <w:rPr>
          <w:rFonts w:ascii="Times New Roman" w:hAnsi="Times New Roman"/>
          <w:color w:val="0070C0"/>
          <w:sz w:val="16"/>
          <w:szCs w:val="16"/>
        </w:rPr>
        <w:softHyphen/>
        <w:t>можностью установки взамен их 2-х пу</w:t>
      </w:r>
      <w:r w:rsidRPr="00D03F3E">
        <w:rPr>
          <w:rFonts w:ascii="Times New Roman" w:hAnsi="Times New Roman"/>
          <w:color w:val="0070C0"/>
          <w:sz w:val="16"/>
          <w:szCs w:val="16"/>
        </w:rPr>
        <w:softHyphen/>
        <w:t>шек ВЯ калибра 25 мм с запасом снарядов по 150 шт. на пушку;</w:t>
      </w:r>
    </w:p>
    <w:p w14:paraId="1236B358" w14:textId="77777777" w:rsidR="003B41F0" w:rsidRPr="00D03F3E" w:rsidRDefault="003B41F0" w:rsidP="00D03F3E">
      <w:pPr>
        <w:tabs>
          <w:tab w:val="left" w:pos="482"/>
        </w:tabs>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б)</w:t>
      </w:r>
      <w:r w:rsidRPr="00D03F3E">
        <w:rPr>
          <w:rFonts w:ascii="Times New Roman" w:hAnsi="Times New Roman"/>
          <w:color w:val="0070C0"/>
          <w:sz w:val="16"/>
          <w:szCs w:val="16"/>
        </w:rPr>
        <w:tab/>
        <w:t>2 пулемета ШКАС калибра 7,62 мм с запасом патронов по 700 шт. на пулемет;</w:t>
      </w:r>
    </w:p>
    <w:p w14:paraId="578AEA72" w14:textId="77777777" w:rsidR="003B41F0" w:rsidRPr="00D03F3E" w:rsidRDefault="003B41F0" w:rsidP="00D03F3E">
      <w:pPr>
        <w:tabs>
          <w:tab w:val="left" w:pos="477"/>
        </w:tabs>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w:t>
      </w:r>
      <w:r w:rsidRPr="00D03F3E">
        <w:rPr>
          <w:rFonts w:ascii="Times New Roman" w:hAnsi="Times New Roman"/>
          <w:color w:val="0070C0"/>
          <w:sz w:val="16"/>
          <w:szCs w:val="16"/>
        </w:rPr>
        <w:tab/>
        <w:t>бомбардировочное вооружение для внутренней загрузки бомб калибра до 100 кг и наружной подвески бомб калибра до 250 кг и химвооружения;</w:t>
      </w:r>
    </w:p>
    <w:p w14:paraId="0750E917" w14:textId="77777777" w:rsidR="003B41F0" w:rsidRPr="00D03F3E" w:rsidRDefault="003B41F0" w:rsidP="00D03F3E">
      <w:pPr>
        <w:tabs>
          <w:tab w:val="left" w:pos="453"/>
        </w:tabs>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w:t>
      </w:r>
      <w:r w:rsidRPr="00D03F3E">
        <w:rPr>
          <w:rFonts w:ascii="Times New Roman" w:hAnsi="Times New Roman"/>
          <w:color w:val="0070C0"/>
          <w:sz w:val="16"/>
          <w:szCs w:val="16"/>
        </w:rPr>
        <w:tab/>
        <w:t>пулемет УБТ на блистерной уста</w:t>
      </w:r>
      <w:r w:rsidRPr="00D03F3E">
        <w:rPr>
          <w:rFonts w:ascii="Times New Roman" w:hAnsi="Times New Roman"/>
          <w:color w:val="0070C0"/>
          <w:sz w:val="16"/>
          <w:szCs w:val="16"/>
        </w:rPr>
        <w:softHyphen/>
        <w:t>новке БЛУБ с запасом патронов 196 шт. (только для 2-х местного самолета).</w:t>
      </w:r>
    </w:p>
    <w:p w14:paraId="460ACA62" w14:textId="77777777" w:rsidR="003B41F0" w:rsidRPr="00D03F3E" w:rsidRDefault="003B41F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 Опытный двухместный самолет Су-6 передать в 4-й отдел НИИ ВВС Крас</w:t>
      </w:r>
      <w:r w:rsidRPr="00D03F3E">
        <w:rPr>
          <w:rFonts w:ascii="Times New Roman" w:hAnsi="Times New Roman"/>
          <w:color w:val="0070C0"/>
          <w:sz w:val="16"/>
          <w:szCs w:val="16"/>
        </w:rPr>
        <w:softHyphen/>
        <w:t>ной Армии для отработки методики бое</w:t>
      </w:r>
      <w:r w:rsidRPr="00D03F3E">
        <w:rPr>
          <w:rFonts w:ascii="Times New Roman" w:hAnsi="Times New Roman"/>
          <w:color w:val="0070C0"/>
          <w:sz w:val="16"/>
          <w:szCs w:val="16"/>
        </w:rPr>
        <w:softHyphen/>
        <w:t>вого применения. Главному конструктору т. Сухому предварительно устранить де</w:t>
      </w:r>
      <w:r w:rsidRPr="00D03F3E">
        <w:rPr>
          <w:rFonts w:ascii="Times New Roman" w:hAnsi="Times New Roman"/>
          <w:color w:val="0070C0"/>
          <w:sz w:val="16"/>
          <w:szCs w:val="16"/>
        </w:rPr>
        <w:softHyphen/>
        <w:t>фекты бомбардировочного вооружения, указанные в настоящем акте».</w:t>
      </w:r>
    </w:p>
    <w:p w14:paraId="2702DFD4" w14:textId="77777777" w:rsidR="003B41F0" w:rsidRPr="00D03F3E" w:rsidRDefault="003B41F0" w:rsidP="00D03F3E">
      <w:pPr>
        <w:pStyle w:val="232"/>
        <w:shd w:val="clear" w:color="auto" w:fill="auto"/>
        <w:spacing w:before="0" w:after="0" w:line="240" w:lineRule="auto"/>
        <w:ind w:firstLine="0"/>
        <w:jc w:val="both"/>
        <w:rPr>
          <w:rStyle w:val="aff6"/>
          <w:rFonts w:ascii="Times New Roman" w:hAnsi="Times New Roman" w:cs="Times New Roman"/>
          <w:i w:val="0"/>
          <w:iCs w:val="0"/>
          <w:color w:val="0070C0"/>
        </w:rPr>
      </w:pPr>
      <w:r w:rsidRPr="00D03F3E">
        <w:rPr>
          <w:rFonts w:ascii="Times New Roman" w:hAnsi="Times New Roman" w:cs="Times New Roman"/>
          <w:color w:val="0070C0"/>
          <w:sz w:val="16"/>
          <w:szCs w:val="16"/>
        </w:rPr>
        <w:t>Главный инженер ВВС КА генерал- полковник Репин утвердил акт 24 сентя</w:t>
      </w:r>
      <w:r w:rsidRPr="00D03F3E">
        <w:rPr>
          <w:rFonts w:ascii="Times New Roman" w:hAnsi="Times New Roman" w:cs="Times New Roman"/>
          <w:color w:val="0070C0"/>
          <w:sz w:val="16"/>
          <w:szCs w:val="16"/>
        </w:rPr>
        <w:softHyphen/>
        <w:t>бря с резолюцией:</w:t>
      </w:r>
      <w:r w:rsidRPr="00D03F3E">
        <w:rPr>
          <w:rStyle w:val="aff6"/>
          <w:rFonts w:ascii="Times New Roman" w:hAnsi="Times New Roman" w:cs="Times New Roman"/>
          <w:color w:val="0070C0"/>
        </w:rPr>
        <w:t xml:space="preserve"> </w:t>
      </w:r>
      <w:r w:rsidRPr="00D03F3E">
        <w:rPr>
          <w:rStyle w:val="aff6"/>
          <w:rFonts w:ascii="Times New Roman" w:hAnsi="Times New Roman" w:cs="Times New Roman"/>
          <w:i w:val="0"/>
          <w:iCs w:val="0"/>
          <w:color w:val="0070C0"/>
        </w:rPr>
        <w:t>«Утверждаю, за исклю</w:t>
      </w:r>
      <w:r w:rsidRPr="00D03F3E">
        <w:rPr>
          <w:rStyle w:val="aff6"/>
          <w:rFonts w:ascii="Times New Roman" w:hAnsi="Times New Roman" w:cs="Times New Roman"/>
          <w:i w:val="0"/>
          <w:iCs w:val="0"/>
          <w:color w:val="0070C0"/>
        </w:rPr>
        <w:softHyphen/>
        <w:t>чением п. 5 Заключения» (19846).</w:t>
      </w:r>
    </w:p>
    <w:p w14:paraId="345193C5" w14:textId="77777777" w:rsidR="003B41F0" w:rsidRPr="00D03F3E" w:rsidRDefault="003B41F0" w:rsidP="00D03F3E">
      <w:pPr>
        <w:pStyle w:val="232"/>
        <w:shd w:val="clear" w:color="auto" w:fill="auto"/>
        <w:spacing w:before="0" w:after="0" w:line="240" w:lineRule="auto"/>
        <w:ind w:firstLine="0"/>
        <w:jc w:val="both"/>
        <w:rPr>
          <w:rFonts w:ascii="Times New Roman" w:hAnsi="Times New Roman" w:cs="Times New Roman"/>
          <w:color w:val="0070C0"/>
          <w:sz w:val="16"/>
          <w:szCs w:val="16"/>
        </w:rPr>
      </w:pPr>
    </w:p>
    <w:p w14:paraId="32AA43F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было выполнено 2 полета по 5-8 минут на МиГ-3 2 экз. улучшенном с АМ-35А (992,9).</w:t>
      </w:r>
    </w:p>
    <w:p w14:paraId="48FE58D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A2D81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согласно журнала наблюдения за проектированием, постройкой и испытаниями МиГ-3 на МиГ-3 Д-2 произведено 2 полета по 5-8 минут. Обнаружено резкое повышение температуры масла и падение давления масла. Температура воды - нормальная. Переполнение картера мотора и-за больших зазоров в трущихся поверхностях. Заказаны новые радиаторы в 10,4 дм2 вместо 8. Готовность остальных изделий “Д” - Д-3 - 90%, Д-4 - 60%, Д-5 - 45-50%, Д-6 - 25-30% (992,9)..</w:t>
      </w:r>
    </w:p>
    <w:p w14:paraId="6249D09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D3F49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согласно журнала наблюдения за проектированием, постройкой и испытаниями высотного истребителя МиГ-1 принято решение за основу принять самолет МиГ-11 с АМ-39 с 2хТК-3</w:t>
      </w:r>
    </w:p>
    <w:p w14:paraId="125B267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Предполагалась установка ШВАК - 100 снярядов, в перегрузку еще одну пушку с таким же запасаом снарядов.</w:t>
      </w:r>
    </w:p>
    <w:p w14:paraId="4DE056E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Маслорадиаторы 2 шт. - в центроплане - 15 дцм2. Также устанавливаются 2 всасывающих патрубка и поэтому переделывается средняя часть центроплана и консоли крыла.</w:t>
      </w:r>
    </w:p>
    <w:p w14:paraId="3272154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становится 7,55 вместо 5,93. Размах крыла - 13 м, Площадь - 22,4 м. Нагрузка 170 кг/м2.</w:t>
      </w:r>
    </w:p>
    <w:p w14:paraId="5DA67A2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Облегченное шасси. Створки шасси будут иметь внутри себя не только подъема и выпуска, но и амортиизатор. Облегчение - 10-15 кг.</w:t>
      </w:r>
    </w:p>
    <w:p w14:paraId="56A97A6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Винт - 4-х лопастный, д 3.5 м (991,7).</w:t>
      </w:r>
    </w:p>
    <w:p w14:paraId="3EC9461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91B7B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г. в докладной записке, отправленной на имя Шахурина, командующий истребительной авиацией ПВО генерал Осипенко отмечал:</w:t>
      </w:r>
    </w:p>
    <w:p w14:paraId="5340E00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"Невозможна дальнейшая эксплуатация моторов АМ-35А серии 7-Е выпуска 1943 г., изготовленных заводом № 24 по постановлению ГКО № 1946 от 8.02.1943 г. Указанные моторы не имеют синхронизаторов. Монтаж синхронизаторов со старых серийных моторов осуществить нельзя, поскольку происходит разрушение шлиц кулачковых валиков...".</w:t>
      </w:r>
    </w:p>
    <w:p w14:paraId="7ADE9D5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следовало из отчетов, в первом полугодии на заводе № 24 было выпущено 65 моторов АМ-35А серии 7Е. Вскоре все они, направленные в части истребительной авиации ПВО, были забракованы. По мнению специальной технической комиссии, эти двигатели, собранные с широким использованием деталей от АМ-38Ф, оказались непригодными для истребителей, и к началу осени того же года их пришлось снять с МиГов. Серьезные доработки этой партии АМ-35А проводились заводом № 24 в октябре. Несколько более удачными оказались моторы, построенные в конце 1943 г., - все они имели 200-часовой ресурс. К этим моторам высказывалось гораздо меньше претензий. А всего за этот год удалось выпустить 206 новых двигателей. Насколько известно, выпуск АМ-35А был окончательно свернут в 1944 г.</w:t>
      </w:r>
    </w:p>
    <w:p w14:paraId="4947130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И все-таки МиГи служили в авиации ПВО еще достаточно долго, постепенно уступая место более совершенным машинам. Согласно сводным отчетам соединений, к началу июля 1943 г. они защищали не только небо Москвы и Ленинграда, но также районы Ельца, Бологого, Баку, других важных промышленных и транспортных центров. Они составляли до 20% всех истребителей ПВО (355 МиГ-3 из общего количества 1793 машин). По официальным советским сводкам, за годы войны МиГи из соединений и частей П ВО добились 710 побед (из них 43 - ночью), что сделало этот тип истребителя самым результативным в советской противовоздушной обороне. Последние 17 МиГов, из которых девять входили в состав Московской армии ПВО, были указаны в списках истребительной авиации по состоянию на 1 июня 1944 г. (12045).</w:t>
      </w:r>
    </w:p>
    <w:p w14:paraId="46B200A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CF21D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вышел приказ N 5 по 7ГУ:</w:t>
      </w:r>
    </w:p>
    <w:p w14:paraId="6651160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мая с.г. в 32 гиап потерпел катастрофу Ла-5, вошедший в плоский перевернутый штопор. Для предупреждения входа в плоский перевернутый штопор самолета Ла-5:</w:t>
      </w:r>
    </w:p>
    <w:p w14:paraId="4FC7193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 ЛИИ Чесалову срочно провести испытания по исследованию режимов плоского штопора Ла-5 и к 1 июля с.г. разработать соответствующую инструкцию для частей ВВС." (2534,5).</w:t>
      </w:r>
    </w:p>
    <w:p w14:paraId="241EDA1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A1D4B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вышло Постановление ГКО № 3602 О производстве дизель-моторов М-30Б.РГАНИР, Фонд ГКО, д. 127, лл. 130-132, 133-148 (11012).</w:t>
      </w:r>
    </w:p>
    <w:p w14:paraId="316B207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C94BD8" w14:textId="77777777" w:rsidR="00E97AB2" w:rsidRPr="00D03F3E" w:rsidRDefault="00E97A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вышло Постановление ГКО № 3602 О производстве дизель-моторов М-30Б</w:t>
      </w:r>
    </w:p>
    <w:p w14:paraId="466F9CC6" w14:textId="77777777" w:rsidR="00E97AB2" w:rsidRPr="00D03F3E" w:rsidRDefault="00E97AB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Государственный Комитет Обороны постановляет:</w:t>
      </w:r>
    </w:p>
    <w:p w14:paraId="42DE22C9" w14:textId="77777777" w:rsidR="00E97AB2" w:rsidRPr="00D03F3E" w:rsidRDefault="00E97AB2" w:rsidP="00D03F3E">
      <w:pPr>
        <w:tabs>
          <w:tab w:val="left" w:pos="159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Принять к сведению сообщение Наркомавиапрома - т.Шахурина и Командующего Авиации Дальнего Дей</w:t>
      </w:r>
      <w:r w:rsidRPr="00D03F3E">
        <w:rPr>
          <w:rFonts w:ascii="Times New Roman" w:hAnsi="Times New Roman"/>
          <w:color w:val="000000" w:themeColor="text1"/>
          <w:sz w:val="16"/>
          <w:szCs w:val="16"/>
        </w:rPr>
        <w:softHyphen/>
        <w:t>ствия т.Голованова о том, что проведенная, в соот</w:t>
      </w:r>
      <w:r w:rsidRPr="00D03F3E">
        <w:rPr>
          <w:rFonts w:ascii="Times New Roman" w:hAnsi="Times New Roman"/>
          <w:color w:val="000000" w:themeColor="text1"/>
          <w:sz w:val="16"/>
          <w:szCs w:val="16"/>
        </w:rPr>
        <w:softHyphen/>
        <w:t>ветствии с решением Государственного Комитета Оборо</w:t>
      </w:r>
      <w:r w:rsidRPr="00D03F3E">
        <w:rPr>
          <w:rFonts w:ascii="Times New Roman" w:hAnsi="Times New Roman"/>
          <w:color w:val="000000" w:themeColor="text1"/>
          <w:sz w:val="16"/>
          <w:szCs w:val="16"/>
        </w:rPr>
        <w:softHyphen/>
        <w:t>ны, опытная эксплоатация авиационных дизельмоторов М-30Б на серийном самолете Пе-8, а также и испытание этих дизельмоторов на самолете Ер-2 показали удовлет</w:t>
      </w:r>
      <w:r w:rsidRPr="00D03F3E">
        <w:rPr>
          <w:rFonts w:ascii="Times New Roman" w:hAnsi="Times New Roman"/>
          <w:color w:val="000000" w:themeColor="text1"/>
          <w:sz w:val="16"/>
          <w:szCs w:val="16"/>
        </w:rPr>
        <w:softHyphen/>
        <w:t>ворительные результаты.</w:t>
      </w:r>
    </w:p>
    <w:p w14:paraId="5EE93E1A" w14:textId="77777777" w:rsidR="00E97AB2" w:rsidRPr="00D03F3E" w:rsidRDefault="00E97AB2" w:rsidP="00D03F3E">
      <w:pPr>
        <w:tabs>
          <w:tab w:val="left" w:pos="1593"/>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Обязать Наркомавиапром - т.Шахурина, дирек</w:t>
      </w:r>
      <w:r w:rsidRPr="00D03F3E">
        <w:rPr>
          <w:rFonts w:ascii="Times New Roman" w:hAnsi="Times New Roman"/>
          <w:color w:val="000000" w:themeColor="text1"/>
          <w:sz w:val="16"/>
          <w:szCs w:val="16"/>
        </w:rPr>
        <w:softHyphen/>
        <w:t>тора завода</w:t>
      </w:r>
      <w:r w:rsidRPr="00D03F3E">
        <w:rPr>
          <w:rStyle w:val="BookAntiqua75pt-1pt"/>
          <w:rFonts w:ascii="Times New Roman" w:hAnsi="Times New Roman" w:cs="Times New Roman"/>
          <w:color w:val="000000" w:themeColor="text1"/>
          <w:spacing w:val="0"/>
          <w:sz w:val="16"/>
          <w:szCs w:val="16"/>
        </w:rPr>
        <w:t xml:space="preserve"> № </w:t>
      </w:r>
      <w:r w:rsidRPr="00D03F3E">
        <w:rPr>
          <w:rFonts w:ascii="Times New Roman" w:hAnsi="Times New Roman"/>
          <w:color w:val="000000" w:themeColor="text1"/>
          <w:sz w:val="16"/>
          <w:szCs w:val="16"/>
        </w:rPr>
        <w:t xml:space="preserve"> 500 - т.Петрова и главного конструкто</w:t>
      </w:r>
      <w:r w:rsidRPr="00D03F3E">
        <w:rPr>
          <w:rFonts w:ascii="Times New Roman" w:hAnsi="Times New Roman"/>
          <w:color w:val="000000" w:themeColor="text1"/>
          <w:sz w:val="16"/>
          <w:szCs w:val="16"/>
        </w:rPr>
        <w:softHyphen/>
        <w:t>ра завода - т.Чаромского:</w:t>
      </w:r>
    </w:p>
    <w:p w14:paraId="3500576B" w14:textId="77777777" w:rsidR="00E97AB2" w:rsidRPr="00D03F3E" w:rsidRDefault="00E97AB2" w:rsidP="00D03F3E">
      <w:pPr>
        <w:tabs>
          <w:tab w:val="left" w:pos="158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организовать серийное производство авиацион</w:t>
      </w:r>
      <w:r w:rsidRPr="00D03F3E">
        <w:rPr>
          <w:rFonts w:ascii="Times New Roman" w:hAnsi="Times New Roman"/>
          <w:color w:val="000000" w:themeColor="text1"/>
          <w:sz w:val="16"/>
          <w:szCs w:val="16"/>
        </w:rPr>
        <w:softHyphen/>
        <w:t>ных дизельмоторов М-30В на заводе № 500, установив следующую программу выпуска их в 1943 году:</w:t>
      </w:r>
    </w:p>
    <w:p w14:paraId="692673E4" w14:textId="77777777" w:rsidR="00E97AB2" w:rsidRPr="00D03F3E" w:rsidRDefault="00E97AB2" w:rsidP="00D03F3E">
      <w:pPr>
        <w:tabs>
          <w:tab w:val="left" w:pos="352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август -</w:t>
      </w:r>
      <w:r w:rsidRPr="00D03F3E">
        <w:rPr>
          <w:rFonts w:ascii="Times New Roman" w:hAnsi="Times New Roman"/>
          <w:color w:val="000000" w:themeColor="text1"/>
          <w:sz w:val="16"/>
          <w:szCs w:val="16"/>
        </w:rPr>
        <w:tab/>
        <w:t>5 дизельмоторов;</w:t>
      </w:r>
    </w:p>
    <w:p w14:paraId="0338F1BC" w14:textId="77777777" w:rsidR="00E97AB2" w:rsidRPr="00D03F3E" w:rsidRDefault="00E319F0" w:rsidP="00D03F3E">
      <w:pPr>
        <w:tabs>
          <w:tab w:val="left" w:pos="3518"/>
          <w:tab w:val="left" w:pos="465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fldChar w:fldCharType="begin"/>
      </w:r>
      <w:r w:rsidR="00E97AB2" w:rsidRPr="00D03F3E">
        <w:rPr>
          <w:rFonts w:ascii="Times New Roman" w:hAnsi="Times New Roman"/>
          <w:color w:val="000000" w:themeColor="text1"/>
          <w:sz w:val="16"/>
          <w:szCs w:val="16"/>
        </w:rPr>
        <w:instrText xml:space="preserve"> TOC \o "1-3" \h \z </w:instrText>
      </w:r>
      <w:r w:rsidRPr="00D03F3E">
        <w:rPr>
          <w:rFonts w:ascii="Times New Roman" w:hAnsi="Times New Roman"/>
          <w:color w:val="000000" w:themeColor="text1"/>
          <w:sz w:val="16"/>
          <w:szCs w:val="16"/>
        </w:rPr>
        <w:fldChar w:fldCharType="separate"/>
      </w:r>
      <w:r w:rsidR="00E97AB2" w:rsidRPr="00D03F3E">
        <w:rPr>
          <w:rFonts w:ascii="Times New Roman" w:hAnsi="Times New Roman"/>
          <w:color w:val="000000" w:themeColor="text1"/>
          <w:sz w:val="16"/>
          <w:szCs w:val="16"/>
        </w:rPr>
        <w:t>сентябрь</w:t>
      </w:r>
      <w:r w:rsidR="00E97AB2" w:rsidRPr="00D03F3E">
        <w:rPr>
          <w:rFonts w:ascii="Times New Roman" w:hAnsi="Times New Roman"/>
          <w:color w:val="000000" w:themeColor="text1"/>
          <w:sz w:val="16"/>
          <w:szCs w:val="16"/>
        </w:rPr>
        <w:tab/>
        <w:t>10</w:t>
      </w:r>
      <w:r w:rsidR="00E97AB2" w:rsidRPr="00D03F3E">
        <w:rPr>
          <w:rFonts w:ascii="Times New Roman" w:hAnsi="Times New Roman"/>
          <w:color w:val="000000" w:themeColor="text1"/>
          <w:sz w:val="16"/>
          <w:szCs w:val="16"/>
        </w:rPr>
        <w:tab/>
        <w:t>"</w:t>
      </w:r>
    </w:p>
    <w:p w14:paraId="3A9E6F19" w14:textId="77777777" w:rsidR="00E97AB2" w:rsidRPr="00D03F3E" w:rsidRDefault="00E97AB2" w:rsidP="00D03F3E">
      <w:pPr>
        <w:tabs>
          <w:tab w:val="left" w:pos="351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октябрь -</w:t>
      </w:r>
      <w:r w:rsidRPr="00D03F3E">
        <w:rPr>
          <w:rFonts w:ascii="Times New Roman" w:hAnsi="Times New Roman"/>
          <w:color w:val="000000" w:themeColor="text1"/>
          <w:sz w:val="16"/>
          <w:szCs w:val="16"/>
        </w:rPr>
        <w:tab/>
        <w:t>15</w:t>
      </w:r>
    </w:p>
    <w:p w14:paraId="6B18D598" w14:textId="77777777" w:rsidR="00E97AB2" w:rsidRPr="00D03F3E" w:rsidRDefault="00E97AB2" w:rsidP="00D03F3E">
      <w:pPr>
        <w:tabs>
          <w:tab w:val="left" w:pos="351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ноябрь -</w:t>
      </w:r>
      <w:r w:rsidRPr="00D03F3E">
        <w:rPr>
          <w:rFonts w:ascii="Times New Roman" w:hAnsi="Times New Roman"/>
          <w:color w:val="000000" w:themeColor="text1"/>
          <w:sz w:val="16"/>
          <w:szCs w:val="16"/>
        </w:rPr>
        <w:tab/>
        <w:t>25</w:t>
      </w:r>
    </w:p>
    <w:p w14:paraId="32C70BF3" w14:textId="77777777" w:rsidR="00E97AB2" w:rsidRPr="00D03F3E" w:rsidRDefault="00E97AB2" w:rsidP="00D03F3E">
      <w:pPr>
        <w:tabs>
          <w:tab w:val="left" w:pos="351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декабрь -</w:t>
      </w:r>
      <w:r w:rsidRPr="00D03F3E">
        <w:rPr>
          <w:rFonts w:ascii="Times New Roman" w:hAnsi="Times New Roman"/>
          <w:color w:val="000000" w:themeColor="text1"/>
          <w:sz w:val="16"/>
          <w:szCs w:val="16"/>
        </w:rPr>
        <w:tab/>
        <w:t>50</w:t>
      </w:r>
      <w:r w:rsidR="00E319F0" w:rsidRPr="00D03F3E">
        <w:rPr>
          <w:rFonts w:ascii="Times New Roman" w:hAnsi="Times New Roman"/>
          <w:color w:val="000000" w:themeColor="text1"/>
          <w:sz w:val="16"/>
          <w:szCs w:val="16"/>
        </w:rPr>
        <w:fldChar w:fldCharType="end"/>
      </w:r>
    </w:p>
    <w:p w14:paraId="19223A21" w14:textId="77777777" w:rsidR="00E97AB2" w:rsidRPr="00D03F3E" w:rsidRDefault="00E97AB2" w:rsidP="00D03F3E">
      <w:pPr>
        <w:tabs>
          <w:tab w:val="left" w:pos="1585"/>
          <w:tab w:val="left" w:pos="353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к концу декабря 1943г. перейти на выпуск трех дизельмоторов в день;</w:t>
      </w:r>
    </w:p>
    <w:p w14:paraId="511CB717" w14:textId="77777777" w:rsidR="00E97AB2" w:rsidRPr="00D03F3E" w:rsidRDefault="00E97AB2" w:rsidP="00D03F3E">
      <w:pPr>
        <w:pStyle w:val="27"/>
        <w:shd w:val="clear" w:color="auto" w:fill="auto"/>
        <w:tabs>
          <w:tab w:val="left" w:pos="988"/>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к 1 декабря 1943 года провести доводку :: сов</w:t>
      </w:r>
      <w:r w:rsidRPr="00D03F3E">
        <w:rPr>
          <w:rFonts w:ascii="Times New Roman" w:cs="Times New Roman"/>
          <w:color w:val="000000" w:themeColor="text1"/>
          <w:spacing w:val="0"/>
        </w:rPr>
        <w:softHyphen/>
        <w:t>местное 50-ти часовое стендовое испытание мотора М-31 со следующими основными данными: взлетная мощность - 1900 л.е., номинальная мощность на высоте 6000 мт. - 1500 л.е., сухой вес мотора - 1260 кг., вместо взлетной мощности мотора М-30Б - 1500 л.с,, номинальной мощности на высоте 6000 мтр. - 1250 л.с. я сухого веса мотора - 1200 кгр.;</w:t>
      </w:r>
    </w:p>
    <w:p w14:paraId="55A8C28C" w14:textId="77777777" w:rsidR="00E97AB2" w:rsidRPr="00D03F3E" w:rsidRDefault="00E97AB2" w:rsidP="00D03F3E">
      <w:pPr>
        <w:pStyle w:val="27"/>
        <w:shd w:val="clear" w:color="auto" w:fill="auto"/>
        <w:tabs>
          <w:tab w:val="left" w:pos="97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г) к 1 октября 1943 года организовать на заводе № 500 опытный цех с 75 металлорежущими станками.</w:t>
      </w:r>
    </w:p>
    <w:p w14:paraId="463C62DB" w14:textId="77777777" w:rsidR="00E97AB2" w:rsidRPr="00D03F3E" w:rsidRDefault="00E97AB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3. Обязать Наркомвнешторг - т.Микояна поставить за</w:t>
      </w:r>
      <w:r w:rsidRPr="00D03F3E">
        <w:rPr>
          <w:rFonts w:ascii="Times New Roman" w:cs="Times New Roman"/>
          <w:color w:val="000000" w:themeColor="text1"/>
          <w:spacing w:val="0"/>
        </w:rPr>
        <w:softHyphen/>
        <w:t>воду № 500 НКАП в Ш-1У кварталах 1943 года:</w:t>
      </w:r>
    </w:p>
    <w:p w14:paraId="15A937EA" w14:textId="77777777" w:rsidR="00E97AB2" w:rsidRPr="00D03F3E" w:rsidRDefault="00E97AB2" w:rsidP="00D03F3E">
      <w:pPr>
        <w:pStyle w:val="27"/>
        <w:shd w:val="clear" w:color="auto" w:fill="auto"/>
        <w:tabs>
          <w:tab w:val="left" w:pos="980"/>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а) 564 металлорежущих станка, согласно приложению № </w:t>
      </w:r>
      <w:bookmarkStart w:id="19" w:name="bookmark0"/>
      <w:r w:rsidRPr="00D03F3E">
        <w:rPr>
          <w:rFonts w:ascii="Times New Roman" w:cs="Times New Roman"/>
          <w:color w:val="000000" w:themeColor="text1"/>
          <w:spacing w:val="0"/>
        </w:rPr>
        <w:t>1;</w:t>
      </w:r>
      <w:bookmarkEnd w:id="19"/>
    </w:p>
    <w:p w14:paraId="17D2C302" w14:textId="77777777" w:rsidR="00E97AB2" w:rsidRPr="00D03F3E" w:rsidRDefault="00E97AB2" w:rsidP="00D03F3E">
      <w:pPr>
        <w:pStyle w:val="27"/>
        <w:shd w:val="clear" w:color="auto" w:fill="auto"/>
        <w:tabs>
          <w:tab w:val="left" w:pos="97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б) кузнечно-прессовое, литейное и другое оборудова</w:t>
      </w:r>
      <w:r w:rsidRPr="00D03F3E">
        <w:rPr>
          <w:rFonts w:ascii="Times New Roman" w:cs="Times New Roman"/>
          <w:color w:val="000000" w:themeColor="text1"/>
          <w:spacing w:val="0"/>
        </w:rPr>
        <w:softHyphen/>
        <w:t>ние, согласно приложению №</w:t>
      </w:r>
      <w:r w:rsidRPr="00D03F3E">
        <w:rPr>
          <w:rStyle w:val="BookAntiqua105pt2pt"/>
          <w:rFonts w:ascii="Times New Roman" w:hAnsi="Times New Roman" w:cs="Times New Roman"/>
          <w:color w:val="000000" w:themeColor="text1"/>
          <w:spacing w:val="0"/>
          <w:sz w:val="16"/>
          <w:szCs w:val="16"/>
        </w:rPr>
        <w:t xml:space="preserve"> 2;</w:t>
      </w:r>
    </w:p>
    <w:p w14:paraId="0B8FE3A5" w14:textId="77777777" w:rsidR="00E97AB2" w:rsidRPr="00D03F3E" w:rsidRDefault="00E97AB2" w:rsidP="00D03F3E">
      <w:pPr>
        <w:pStyle w:val="27"/>
        <w:shd w:val="clear" w:color="auto" w:fill="auto"/>
        <w:tabs>
          <w:tab w:val="left" w:pos="980"/>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контрольно-измерительное, лабораторное оборудо</w:t>
      </w:r>
      <w:r w:rsidRPr="00D03F3E">
        <w:rPr>
          <w:rFonts w:ascii="Times New Roman" w:cs="Times New Roman"/>
          <w:color w:val="000000" w:themeColor="text1"/>
          <w:spacing w:val="0"/>
        </w:rPr>
        <w:softHyphen/>
        <w:t>вание и приборы на сумму 2 млн.рублей, согласно прило</w:t>
      </w:r>
      <w:r w:rsidRPr="00D03F3E">
        <w:rPr>
          <w:rFonts w:ascii="Times New Roman" w:cs="Times New Roman"/>
          <w:color w:val="000000" w:themeColor="text1"/>
          <w:spacing w:val="0"/>
        </w:rPr>
        <w:softHyphen/>
        <w:t>жению № 3;</w:t>
      </w:r>
    </w:p>
    <w:p w14:paraId="2A1CE219" w14:textId="77777777" w:rsidR="00E97AB2" w:rsidRPr="00D03F3E" w:rsidRDefault="00E97AB2" w:rsidP="00D03F3E">
      <w:pPr>
        <w:pStyle w:val="27"/>
        <w:shd w:val="clear" w:color="auto" w:fill="auto"/>
        <w:tabs>
          <w:tab w:val="left" w:pos="97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г) режущий и мерительный инструмент на сумму 1500 тыс. рублей и абразивных изделий заводу на сумму 500 тыс.руб</w:t>
      </w:r>
      <w:r w:rsidRPr="00D03F3E">
        <w:rPr>
          <w:rFonts w:ascii="Times New Roman" w:cs="Times New Roman"/>
          <w:color w:val="000000" w:themeColor="text1"/>
          <w:spacing w:val="0"/>
        </w:rPr>
        <w:softHyphen/>
        <w:t>лей, по спесификации НКАП.</w:t>
      </w:r>
    </w:p>
    <w:p w14:paraId="311A928E" w14:textId="77777777" w:rsidR="00E97AB2" w:rsidRPr="00D03F3E" w:rsidRDefault="00E97AB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4. Обязать Наркомстанкостроения - т.Ефремова изгото</w:t>
      </w:r>
      <w:r w:rsidRPr="00D03F3E">
        <w:rPr>
          <w:rFonts w:ascii="Times New Roman" w:cs="Times New Roman"/>
          <w:color w:val="000000" w:themeColor="text1"/>
          <w:spacing w:val="0"/>
        </w:rPr>
        <w:softHyphen/>
        <w:t>вить и поставить заводу № 500 НКАПl в Ш-1У кварталах 1943 года:</w:t>
      </w:r>
    </w:p>
    <w:p w14:paraId="63751146" w14:textId="77777777" w:rsidR="00E97AB2" w:rsidRPr="00D03F3E" w:rsidRDefault="00E97AB2" w:rsidP="00D03F3E">
      <w:pPr>
        <w:pStyle w:val="27"/>
        <w:shd w:val="clear" w:color="auto" w:fill="auto"/>
        <w:tabs>
          <w:tab w:val="left" w:pos="980"/>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а) режущего и мерительного инструмента и приспособ</w:t>
      </w:r>
      <w:r w:rsidRPr="00D03F3E">
        <w:rPr>
          <w:rFonts w:ascii="Times New Roman" w:cs="Times New Roman"/>
          <w:color w:val="000000" w:themeColor="text1"/>
          <w:spacing w:val="0"/>
        </w:rPr>
        <w:softHyphen/>
        <w:t>лений на сумму 3 млн, рублей, в том числе специального инструмента на</w:t>
      </w:r>
      <w:r w:rsidRPr="00D03F3E">
        <w:rPr>
          <w:rStyle w:val="afffff5"/>
          <w:rFonts w:ascii="Times New Roman" w:hAnsi="Times New Roman" w:cs="Times New Roman"/>
          <w:b w:val="0"/>
          <w:color w:val="000000" w:themeColor="text1"/>
        </w:rPr>
        <w:t xml:space="preserve"> 750</w:t>
      </w:r>
      <w:r w:rsidRPr="00D03F3E">
        <w:rPr>
          <w:rFonts w:ascii="Times New Roman" w:cs="Times New Roman"/>
          <w:color w:val="000000" w:themeColor="text1"/>
          <w:spacing w:val="0"/>
        </w:rPr>
        <w:t xml:space="preserve"> тыс.рублей, по спецификации</w:t>
      </w:r>
      <w:r w:rsidRPr="00D03F3E">
        <w:rPr>
          <w:rStyle w:val="afffff5"/>
          <w:rFonts w:ascii="Times New Roman" w:hAnsi="Times New Roman" w:cs="Times New Roman"/>
          <w:b w:val="0"/>
          <w:color w:val="000000" w:themeColor="text1"/>
        </w:rPr>
        <w:t xml:space="preserve"> НКаП;</w:t>
      </w:r>
    </w:p>
    <w:p w14:paraId="1D249368" w14:textId="77777777" w:rsidR="00E97AB2" w:rsidRPr="00D03F3E" w:rsidRDefault="00E97AB2" w:rsidP="00D03F3E">
      <w:pPr>
        <w:pStyle w:val="27"/>
        <w:shd w:val="clear" w:color="auto" w:fill="auto"/>
        <w:tabs>
          <w:tab w:val="left" w:pos="965"/>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б) металлорежущего оборудования в количестве 127 единиц, из них 6 специальных станков, согласно приложению № 4;</w:t>
      </w:r>
    </w:p>
    <w:p w14:paraId="1F37C29E" w14:textId="77777777" w:rsidR="00E97AB2" w:rsidRPr="00D03F3E" w:rsidRDefault="00E97AB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ускорить изготовление 30 специальных станков,соглас</w:t>
      </w:r>
      <w:r w:rsidRPr="00D03F3E">
        <w:rPr>
          <w:rFonts w:ascii="Times New Roman" w:cs="Times New Roman"/>
          <w:color w:val="000000" w:themeColor="text1"/>
          <w:spacing w:val="0"/>
        </w:rPr>
        <w:softHyphen/>
        <w:t>но постановлению ГОКО № 2732с от 10.1.1943 года.</w:t>
      </w:r>
    </w:p>
    <w:p w14:paraId="3931E5F7" w14:textId="77777777" w:rsidR="00E97AB2" w:rsidRPr="00D03F3E" w:rsidRDefault="00E97AB2" w:rsidP="00D03F3E">
      <w:pPr>
        <w:pStyle w:val="27"/>
        <w:shd w:val="clear" w:color="auto" w:fill="auto"/>
        <w:tabs>
          <w:tab w:val="left" w:pos="995"/>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5. Обязать Наркомстанкостроення - т.Ефремова, Нар- комминвоорукения - т.Паршина, Наркомолектропрон - т.Ка</w:t>
      </w:r>
      <w:r w:rsidRPr="00D03F3E">
        <w:rPr>
          <w:rFonts w:ascii="Times New Roman" w:cs="Times New Roman"/>
          <w:color w:val="000000" w:themeColor="text1"/>
          <w:spacing w:val="0"/>
        </w:rPr>
        <w:softHyphen/>
        <w:t>банова, Наркомтяжмаш - т.Казакова, Наркомовязь - т.Пе- ресыпкина обеспечить в Ш</w:t>
      </w:r>
      <w:r w:rsidRPr="00D03F3E">
        <w:rPr>
          <w:rStyle w:val="-1pt"/>
          <w:rFonts w:ascii="Times New Roman" w:hAnsi="Times New Roman" w:cs="Times New Roman"/>
          <w:color w:val="000000" w:themeColor="text1"/>
          <w:spacing w:val="0"/>
          <w:sz w:val="16"/>
          <w:szCs w:val="16"/>
          <w:vertAlign w:val="superscript"/>
        </w:rPr>
        <w:t>:</w:t>
      </w:r>
      <w:r w:rsidRPr="00D03F3E">
        <w:rPr>
          <w:rFonts w:ascii="Times New Roman" w:cs="Times New Roman"/>
          <w:color w:val="000000" w:themeColor="text1"/>
          <w:spacing w:val="0"/>
        </w:rPr>
        <w:t xml:space="preserve"> квартале 1943 года поставку оборудования к материалов заводу № 500, согласно прило</w:t>
      </w:r>
      <w:r w:rsidRPr="00D03F3E">
        <w:rPr>
          <w:rFonts w:ascii="Times New Roman" w:cs="Times New Roman"/>
          <w:color w:val="000000" w:themeColor="text1"/>
          <w:spacing w:val="0"/>
        </w:rPr>
        <w:softHyphen/>
        <w:t xml:space="preserve">жениям №№ </w:t>
      </w:r>
      <w:r w:rsidRPr="00D03F3E">
        <w:rPr>
          <w:rStyle w:val="2pt0"/>
          <w:rFonts w:ascii="Times New Roman" w:hAnsi="Times New Roman" w:cs="Times New Roman"/>
          <w:color w:val="000000" w:themeColor="text1"/>
          <w:spacing w:val="0"/>
          <w:sz w:val="16"/>
          <w:szCs w:val="16"/>
        </w:rPr>
        <w:t>5,6 п 7.</w:t>
      </w:r>
    </w:p>
    <w:p w14:paraId="4A5001E8" w14:textId="77777777" w:rsidR="00E97AB2" w:rsidRPr="00D03F3E" w:rsidRDefault="00E97AB2" w:rsidP="00D03F3E">
      <w:pPr>
        <w:pStyle w:val="27"/>
        <w:shd w:val="clear" w:color="auto" w:fill="auto"/>
        <w:tabs>
          <w:tab w:val="left" w:pos="988"/>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6. Обязать Наркомсредмаш - т.Акопова поставить за</w:t>
      </w:r>
      <w:r w:rsidRPr="00D03F3E">
        <w:rPr>
          <w:rFonts w:ascii="Times New Roman" w:cs="Times New Roman"/>
          <w:color w:val="000000" w:themeColor="text1"/>
          <w:spacing w:val="0"/>
        </w:rPr>
        <w:softHyphen/>
        <w:t>воду № 500 НКАП в июле 1943 года за счет поставок НКО: 15 трехтонных автомашин, 2 гусеничных трактора и запас</w:t>
      </w:r>
      <w:r w:rsidRPr="00D03F3E">
        <w:rPr>
          <w:rFonts w:ascii="Times New Roman" w:cs="Times New Roman"/>
          <w:color w:val="000000" w:themeColor="text1"/>
          <w:spacing w:val="0"/>
        </w:rPr>
        <w:softHyphen/>
        <w:t>ных деталей для автомобилей на сумму 50 тыс.рублей; стройтресту № 18 НКАП - трехтонных машин 15 и гусенич</w:t>
      </w:r>
      <w:r w:rsidRPr="00D03F3E">
        <w:rPr>
          <w:rFonts w:ascii="Times New Roman" w:cs="Times New Roman"/>
          <w:color w:val="000000" w:themeColor="text1"/>
          <w:spacing w:val="0"/>
        </w:rPr>
        <w:softHyphen/>
        <w:t>ных тракторов 2 для обслуживания строительных работ на заводе № 500.</w:t>
      </w:r>
    </w:p>
    <w:p w14:paraId="7A65FE90" w14:textId="77777777" w:rsidR="00E97AB2" w:rsidRPr="00D03F3E" w:rsidRDefault="00E97AB2" w:rsidP="00D03F3E">
      <w:pPr>
        <w:pStyle w:val="27"/>
        <w:shd w:val="clear" w:color="auto" w:fill="auto"/>
        <w:tabs>
          <w:tab w:val="left" w:pos="995"/>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7. Обязать Госплан СССР - т.Вознесенского преду</w:t>
      </w:r>
      <w:r w:rsidRPr="00D03F3E">
        <w:rPr>
          <w:rFonts w:ascii="Times New Roman" w:cs="Times New Roman"/>
          <w:color w:val="000000" w:themeColor="text1"/>
          <w:spacing w:val="0"/>
        </w:rPr>
        <w:softHyphen/>
        <w:t>смотреть в планах Ш-1У кварталов 1943 года целевое вы</w:t>
      </w:r>
      <w:r w:rsidRPr="00D03F3E">
        <w:rPr>
          <w:rFonts w:ascii="Times New Roman" w:cs="Times New Roman"/>
          <w:color w:val="000000" w:themeColor="text1"/>
          <w:spacing w:val="0"/>
        </w:rPr>
        <w:softHyphen/>
        <w:t>деление Наркомавиапрому оборудования материалов для завода X 500, в соответствии с настоящим решением.</w:t>
      </w:r>
    </w:p>
    <w:p w14:paraId="35E3DFFC" w14:textId="77777777" w:rsidR="00E97AB2" w:rsidRPr="00D03F3E" w:rsidRDefault="00E97AB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8. Обязать Наркомфин СССР - т.Зверева выделить Наркомавиапрому из резервного фонда СНК СССР для проведе</w:t>
      </w:r>
      <w:r w:rsidRPr="00D03F3E">
        <w:rPr>
          <w:rFonts w:ascii="Times New Roman" w:cs="Times New Roman"/>
          <w:color w:val="000000" w:themeColor="text1"/>
          <w:spacing w:val="0"/>
        </w:rPr>
        <w:softHyphen/>
        <w:t>ния опытно-экспериментальных и производственных работ по моторам М-31 к М-20 8 млн.рублей и на постановку серий</w:t>
      </w:r>
      <w:r w:rsidRPr="00D03F3E">
        <w:rPr>
          <w:rFonts w:ascii="Times New Roman" w:cs="Times New Roman"/>
          <w:color w:val="000000" w:themeColor="text1"/>
          <w:spacing w:val="0"/>
        </w:rPr>
        <w:softHyphen/>
        <w:t>ного производства моторов М-ЗОБ на заводе № 500 - 10 млн. рублей, из них 1 млн.рублей на премирование работников завода, отличившихся при постановке серийного производ</w:t>
      </w:r>
      <w:r w:rsidRPr="00D03F3E">
        <w:rPr>
          <w:rFonts w:ascii="Times New Roman" w:cs="Times New Roman"/>
          <w:color w:val="000000" w:themeColor="text1"/>
          <w:spacing w:val="0"/>
        </w:rPr>
        <w:softHyphen/>
        <w:t>ства, доводке и испытании авиадизелей.</w:t>
      </w:r>
    </w:p>
    <w:p w14:paraId="0214A230" w14:textId="77777777" w:rsidR="00E97AB2" w:rsidRPr="00D03F3E" w:rsidRDefault="00E97AB2"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9. Утвердить мероприятия по оказание помощи заводу № 500 и стройтресту № 18 (см. приложения № 8 и 9) (19410).</w:t>
      </w:r>
    </w:p>
    <w:p w14:paraId="6C9EC488" w14:textId="77777777" w:rsidR="00900437" w:rsidRPr="00D03F3E" w:rsidRDefault="0090043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E67EF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г. официально АЧ-ЗОБ был принят к крупносерийному производству. С весны того же года выпуск АЧ-ЗОБ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 (11852).</w:t>
      </w:r>
    </w:p>
    <w:p w14:paraId="22A2516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19BDA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г. по приказу ГУ ГВФ № 114 от Иркутские авиамастерские преобразованы в АРБ № 403 ГВФ.</w:t>
      </w:r>
    </w:p>
    <w:p w14:paraId="1E8E66D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годы войны отремонтирован 381 самолет и 1583 двигателя.</w:t>
      </w:r>
    </w:p>
    <w:p w14:paraId="580C53D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1966 г. введен в строй новый самолетно-ремонтный корпус (СРК) площадью 5800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в 1980 г. сдан в эксплуатацию малярно-смывочный ремонтный корпус (МСРК) площадью 8800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w:t>
      </w:r>
    </w:p>
    <w:p w14:paraId="6BFA5EF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от 3.03.1962 г. АРБ преобразована в завод № 403 ГА. В 04.1993 г. завод преобразован в ОАО.</w:t>
      </w:r>
    </w:p>
    <w:p w14:paraId="7F19F21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(1928 г.)-17 чел., (1931 г.)- около 100 чел., (1945 г.)- около 300 чел., (2002 г.)- 800 чел.</w:t>
      </w:r>
    </w:p>
    <w:p w14:paraId="216A07F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(1990-е)- А.Т. Бороденко. Гендиректор (2002 г.)- В.П. Зюзин.</w:t>
      </w:r>
    </w:p>
    <w:p w14:paraId="7BC183C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гендиректора: по экономике и финансам (2002 г.)- В.М. Меньшиков; по производству (2002 г.)- С.М. Бондаренко.</w:t>
      </w:r>
    </w:p>
    <w:p w14:paraId="49EA11D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(2002 г.)- Д.Е. Полевик.</w:t>
      </w:r>
    </w:p>
    <w:p w14:paraId="33BBFC5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Ремонт: самолеты:</w:t>
      </w:r>
      <w:r w:rsidRPr="00D03F3E">
        <w:rPr>
          <w:rFonts w:ascii="Times New Roman" w:hAnsi="Times New Roman"/>
          <w:color w:val="000000" w:themeColor="text1"/>
          <w:sz w:val="16"/>
          <w:szCs w:val="16"/>
        </w:rPr>
        <w:t xml:space="preserve"> "</w:t>
      </w:r>
      <w:r w:rsidRPr="00D03F3E">
        <w:rPr>
          <w:rFonts w:ascii="Times New Roman" w:hAnsi="Times New Roman"/>
          <w:color w:val="000000" w:themeColor="text1"/>
          <w:sz w:val="16"/>
          <w:szCs w:val="16"/>
          <w:lang w:val="en-US"/>
        </w:rPr>
        <w:t>Junkers</w:t>
      </w:r>
      <w:r w:rsidRPr="00D03F3E">
        <w:rPr>
          <w:rFonts w:ascii="Times New Roman" w:hAnsi="Times New Roman"/>
          <w:color w:val="000000" w:themeColor="text1"/>
          <w:sz w:val="16"/>
          <w:szCs w:val="16"/>
        </w:rPr>
        <w:t>" В-33, Ю-13, ФС-4, ЮГ-1 (1928-32-), П-5 (1933-ВОВ), У-2 (1933-ВОВ), Р-6 (1933-ВОВ), АНТ-7 (1933-), ПС-7 (ВОВ), Ш-2 (ВОВ), ПС-40 (ВОВ), Ли-2 (1947-56), Ан-2 (1957-76)- 2420, Ан-24 (1968-2004-)- 2433 (по 1997), Ан-26 (1994-2004-), Ан-30 (1999-2004-), Ан-32 (1999-2004-), Ан-74 (-2002-04-); вертолеты: Ми-1 (1958-60), Ми-4 (1959-88)- 2624, Ми-8 (1979-88)- 1076; переоборудование Ан-26 в Ан-26Б-100 (2004);</w:t>
      </w:r>
      <w:r w:rsidRPr="00D03F3E">
        <w:rPr>
          <w:rFonts w:ascii="Times New Roman" w:hAnsi="Times New Roman"/>
          <w:iCs/>
          <w:color w:val="000000" w:themeColor="text1"/>
          <w:sz w:val="16"/>
          <w:szCs w:val="16"/>
        </w:rPr>
        <w:t xml:space="preserve"> двигатели:</w:t>
      </w:r>
      <w:r w:rsidRPr="00D03F3E">
        <w:rPr>
          <w:rFonts w:ascii="Times New Roman" w:hAnsi="Times New Roman"/>
          <w:color w:val="000000" w:themeColor="text1"/>
          <w:sz w:val="16"/>
          <w:szCs w:val="16"/>
          <w:lang w:val="en-US"/>
        </w:rPr>
        <w:t>BMW</w:t>
      </w:r>
      <w:r w:rsidRPr="00D03F3E">
        <w:rPr>
          <w:rFonts w:ascii="Times New Roman" w:hAnsi="Times New Roman"/>
          <w:color w:val="000000" w:themeColor="text1"/>
          <w:sz w:val="16"/>
          <w:szCs w:val="16"/>
        </w:rPr>
        <w:t xml:space="preserve"> (1928-32-), Л-5, М-5 (1932), М-17 (1933-ВОВ), М-2, М-11 (1933-ВОВ), АМ-34 (ВОВ), АШ-62ИР (1947-93), АИ-26; в/винт АВ-72 (2002).</w:t>
      </w:r>
      <w:r w:rsidRPr="00D03F3E">
        <w:rPr>
          <w:rFonts w:ascii="Times New Roman" w:hAnsi="Times New Roman"/>
          <w:color w:val="000000" w:themeColor="text1"/>
          <w:sz w:val="16"/>
          <w:szCs w:val="16"/>
          <w:vertAlign w:val="superscript"/>
        </w:rPr>
        <w:t>69</w:t>
      </w:r>
    </w:p>
    <w:p w14:paraId="4DCD54A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w:t>
      </w:r>
      <w:r w:rsidRPr="00D03F3E">
        <w:rPr>
          <w:rFonts w:ascii="Times New Roman" w:hAnsi="Times New Roman"/>
          <w:color w:val="000000" w:themeColor="text1"/>
          <w:sz w:val="16"/>
          <w:szCs w:val="16"/>
        </w:rPr>
        <w:t xml:space="preserve"> самолет Ш-2 (1942-43)- 35 (11982).</w:t>
      </w:r>
    </w:p>
    <w:p w14:paraId="59354E7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1086E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НКАП обязал КБ предъявлять заключения ЦАГИ по аэродинамике и прочности для получения разрешения на первый вылет (273,341).</w:t>
      </w:r>
    </w:p>
    <w:p w14:paraId="2E14D51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FA69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19-22 июня 1943 г. состоялся VI пленум ЦК профсоюза авиапромышленности:</w:t>
      </w:r>
    </w:p>
    <w:p w14:paraId="54E7343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Рассматривались текущие вопросы, охват профчленством, полнота сбора членских взносов, задачи по культмассовой работе, о развертывании строительства клубов, организации детского отдыха, работа с молодежью в общежитиях, о выделении областями лимитов на фонды питания...(11764).</w:t>
      </w:r>
    </w:p>
    <w:p w14:paraId="44CB0CE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BADB7A"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67829DD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EDA4EF" w14:textId="77777777" w:rsidR="00267D1F" w:rsidRPr="00D03F3E" w:rsidRDefault="00267D1F" w:rsidP="00D03F3E">
      <w:pPr>
        <w:pStyle w:val="a3"/>
        <w:rPr>
          <w:color w:val="000000" w:themeColor="text1"/>
          <w:lang w:val="ru-RU"/>
        </w:rPr>
      </w:pPr>
      <w:r w:rsidRPr="00D03F3E">
        <w:rPr>
          <w:color w:val="000000" w:themeColor="text1"/>
          <w:lang w:val="ru-RU"/>
        </w:rPr>
        <w:t>19 июня 1943 года в адрес СКБ-2 были направлены чертежи выстрелов и вращающихся частей орудий Б-4 и БР-2, на этом работы застопорились. В опытных работах СКБ-2 никаких данных по этой теме нет. Также в публикациях некоторых отечественных авторов говорится об аналогичных работах по линии УЗТМ, но среди свердловских проектов ничего подобного не было. Возможно, речь идет об установке БР-2 и У-3 в СУ-152, но это штур</w:t>
      </w:r>
      <w:r w:rsidRPr="00D03F3E">
        <w:rPr>
          <w:color w:val="000000" w:themeColor="text1"/>
          <w:lang w:val="ru-RU"/>
        </w:rPr>
        <w:softHyphen/>
        <w:t>мовые САУ, а не открытые самоходы.</w:t>
      </w:r>
    </w:p>
    <w:p w14:paraId="6FDD3346" w14:textId="77777777" w:rsidR="00267D1F" w:rsidRPr="00D03F3E" w:rsidRDefault="00267D1F" w:rsidP="00D03F3E">
      <w:pPr>
        <w:pStyle w:val="a3"/>
        <w:rPr>
          <w:color w:val="000000" w:themeColor="text1"/>
          <w:lang w:val="ru-RU"/>
        </w:rPr>
      </w:pPr>
      <w:r w:rsidRPr="00D03F3E">
        <w:rPr>
          <w:color w:val="000000" w:themeColor="text1"/>
          <w:lang w:val="ru-RU"/>
        </w:rPr>
        <w:lastRenderedPageBreak/>
        <w:t>Что же касается завода №172, то его конструкторское бюро создало тяжелую штурмовую САУ М-17 с 203-мм гаубицей М-40, которая явно не вписывалась в то, что требовал Артиллерийский комитет ГАУ. Как уже говорилось выше, вместо М-17 Артиллерийский комитет ГАУ и Тех</w:t>
      </w:r>
      <w:r w:rsidRPr="00D03F3E">
        <w:rPr>
          <w:color w:val="000000" w:themeColor="text1"/>
          <w:lang w:val="ru-RU"/>
        </w:rPr>
        <w:softHyphen/>
        <w:t>нический совет НКВ потребовали от завода №172 разработать проект открытой самоходной установки с вооружением в виде 203-мм гаубицы большой мощности Б-4. Несмотря на то, что задание было дано в июле 1943 года, ни в августе, ни в сентябре никакой активности по указанной теме не наблюдалось. А в начале сентября к программе самоходной уста</w:t>
      </w:r>
      <w:r w:rsidRPr="00D03F3E">
        <w:rPr>
          <w:color w:val="000000" w:themeColor="text1"/>
          <w:lang w:val="ru-RU"/>
        </w:rPr>
        <w:softHyphen/>
        <w:t>новки с орудием большой мощности подключилось ЦАКБ, куда пере</w:t>
      </w:r>
      <w:r w:rsidRPr="00D03F3E">
        <w:rPr>
          <w:color w:val="000000" w:themeColor="text1"/>
          <w:lang w:val="ru-RU"/>
        </w:rPr>
        <w:softHyphen/>
        <w:t>шла часть конструкторов, менее года назад предлагавших похожую САУ (17484).</w:t>
      </w:r>
    </w:p>
    <w:p w14:paraId="1404E517" w14:textId="77777777" w:rsidR="00267D1F" w:rsidRPr="00D03F3E" w:rsidRDefault="00267D1F" w:rsidP="00D03F3E">
      <w:pPr>
        <w:spacing w:after="0" w:line="240" w:lineRule="auto"/>
        <w:jc w:val="both"/>
        <w:rPr>
          <w:rFonts w:ascii="Times New Roman" w:hAnsi="Times New Roman"/>
          <w:color w:val="000000" w:themeColor="text1"/>
          <w:sz w:val="16"/>
          <w:szCs w:val="16"/>
        </w:rPr>
      </w:pPr>
    </w:p>
    <w:p w14:paraId="1AD5631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г. вышло ПОСТАНОВЛЕНИЕ ГКО № 670</w:t>
      </w:r>
    </w:p>
    <w:p w14:paraId="074865D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 Кремль</w:t>
      </w:r>
    </w:p>
    <w:p w14:paraId="7F77D12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 организации Главного Управления искусственного жидкого топлива и газа при Совнаркоме СССР</w:t>
      </w:r>
    </w:p>
    <w:p w14:paraId="32A0B70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Придавая большое народнохозяйственное и оборонное значение промышленности искусственного жидкого топлива и газа и в целях быстрейшего развития этой отрасли промышленности, Совет Народных Комиссаров Союза ССР ПОСТАНОВЛЯЕТ:</w:t>
      </w:r>
    </w:p>
    <w:p w14:paraId="5A99DE1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Организовать Главное Управление искусственного жидкого топлива и газа "Главгазтоппром" при Совнаркоме СССР, возложив на него следующие задачи:</w:t>
      </w:r>
    </w:p>
    <w:p w14:paraId="5BEAA0D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строительство и эксплуатация заводов искусственного жидкого топлива (полукоксования, гидрирования и синтеза) на базе угля, сланца, торфа и природного газа; станций подземной газификации углей, предприятий по добыче и переработке природных газов, газогенераторных станций и газопроводов для снабжения газом промышленных предприятий и городов;</w:t>
      </w:r>
    </w:p>
    <w:p w14:paraId="5329AC6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разведка газовых месторождений, выявление и опробование месторождений битуминозных углей, сланцев, сапропелитов и торфа, пригодных для использования в промышленности искусственного жидкого топлива и газа;</w:t>
      </w:r>
    </w:p>
    <w:p w14:paraId="00C6CF4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проектирование предприятий искусственного жидкого топлива и газа, разработка типовых установок по получению жидкого топлива и газа, оказание технической помощи наркоматам и ведомствам по строительству и эксплуатации этих установок;</w:t>
      </w:r>
    </w:p>
    <w:p w14:paraId="660A4F3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контроль за строительством и эксплуатацией предприятий искусственного жидкого топлива и газа другими ведомствами, разработка технических условий и нормативов на строительстве и эксплуатацию этих предприятий;</w:t>
      </w:r>
    </w:p>
    <w:p w14:paraId="348E30A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организация производства оборудования и аппаратуры для предприятий искусственного жидкого топлива и газа;</w:t>
      </w:r>
    </w:p>
    <w:p w14:paraId="4DED27A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 проведение научно-исследовательских и опытных работ по искусственному жидкому топливу и газу и внедрение в промышленность новейших достижений отечественной и иностранной техники в этой области.</w:t>
      </w:r>
    </w:p>
    <w:p w14:paraId="1E17C36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Назначить начальником Главного Управления искусственного жидкого топлива и газа при Совнаркоме СССР т.Матвеева В.А., заместителями начальника тт.Скафу П.В. и Боксермана Ю.И., начальником научно-технического отдела т.Раппопорта И.Б.</w:t>
      </w:r>
    </w:p>
    <w:p w14:paraId="10AF4E8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Обязать начальника Главного Управления искусственного жидкого топлива и газа при Совнаркоме СССР т.Матвеева в декадный срок представить на утверждение Совнаркома СССР Положение, структуру и штаты Главгазтоппрома при Совнаркоме СССР.</w:t>
      </w:r>
    </w:p>
    <w:p w14:paraId="30649FA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Секретно.</w:t>
      </w:r>
    </w:p>
    <w:p w14:paraId="1F4CD6B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Обязать Мосгорисполком (т.Пронина) в декадный срок предоставить служебное помещение для Главного Управления искусственного жидкого топлива и газа при Совнаркоме СССР в г.Москве и в месячный срок выделить в распоряжение Главгазтоппрома недостроенный дом или надстройки на 40-50 квартир.</w:t>
      </w:r>
    </w:p>
    <w:p w14:paraId="61D6855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Закрепить за Главгазтоппромом при Совнаркоме СССР производственные, служебные и жилые помещения, занимаемые в настоящее время его организациями. Закрепить за работниками Главгазтоппрома занимаемые ими квартиры в ведомственных домах.</w:t>
      </w:r>
    </w:p>
    <w:p w14:paraId="7DC670C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В целях укрепления промышленности искусственного жидкого топлива и газа кадрами:</w:t>
      </w:r>
    </w:p>
    <w:p w14:paraId="40E0C2F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передать в распоряжение Главного Управления искусственного жидкого топлива и газа специалистов из других наркоматов по списку, согласно приложению № 1;</w:t>
      </w:r>
    </w:p>
    <w:p w14:paraId="09A4DE7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обязать НКО (т.Щаденко) возвратить из Красной Армии для работы в системе Главного Управления искусственного жидкого топлива, и газа специалистов по списку, согласно приложению № 2;</w:t>
      </w:r>
    </w:p>
    <w:p w14:paraId="14F664E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обязать Комитет по Делам Высшей Школы при Совнаркоме СССР (т.Кафтанова) организовать с 1 сентября 1943 года в Московском химико-технологическом институте им. Менделеева и в Томском индустриальном институте им.Кирова подготовку специалистов по искусственному жидкому топливу и химической переработке газов.</w:t>
      </w:r>
    </w:p>
    <w:p w14:paraId="4B8AA3B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Начальнику Главного Управления искусственного жидкого топлива и газа т.Матвееву внести в течение 3-4 месяцев в Совнарком СССР предложения о мероприятиях по дальнейшему развитию промышленности искусственного жидкого топлива и газа, в том числе мероприятия:</w:t>
      </w:r>
    </w:p>
    <w:p w14:paraId="20B6EE6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а) по строительству заводов полукоксования и гидрирования углей; </w:t>
      </w:r>
    </w:p>
    <w:p w14:paraId="24E5DB1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б) по производству синтетического топлива из газов на базе углей; </w:t>
      </w:r>
    </w:p>
    <w:p w14:paraId="2112AEC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по развитию добычи и переработки природных газов; </w:t>
      </w:r>
    </w:p>
    <w:p w14:paraId="64C74B8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 по химической переработке торфа. </w:t>
      </w:r>
    </w:p>
    <w:p w14:paraId="4CA947F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8. Секретно. </w:t>
      </w:r>
    </w:p>
    <w:p w14:paraId="153ACB5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Обязать Наркомуголь (т.Вахрушева) изготовить оборудование для заводов полукоксования на своих машиностроительных заводах по имеющимся на них заказам (в соответствии с приказами Наркомугля № 257с от 6.V-1943г. № 375с и № 376с от 7.Х-1942 г.) (10740).</w:t>
      </w:r>
    </w:p>
    <w:p w14:paraId="0B977EB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AF99A5" w14:textId="77777777" w:rsidR="0096665E" w:rsidRPr="00D03F3E" w:rsidRDefault="0096665E"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19 июня 1943 года за создание орудия М-42 Цирульников был освобожден со снятием судимости, при этом продолжив работать в ОКБ-172 на руководящей должности. Но точная дата принятия на вооружение М-42 пока неизвестна (20344).</w:t>
      </w:r>
    </w:p>
    <w:p w14:paraId="2DA60E55" w14:textId="77777777" w:rsidR="0096665E" w:rsidRPr="00D03F3E" w:rsidRDefault="0096665E" w:rsidP="00D03F3E">
      <w:pPr>
        <w:shd w:val="clear" w:color="auto" w:fill="FFFFFF"/>
        <w:spacing w:after="0" w:line="240" w:lineRule="auto"/>
        <w:jc w:val="both"/>
        <w:rPr>
          <w:rFonts w:ascii="Times New Roman" w:hAnsi="Times New Roman"/>
          <w:color w:val="0070C0"/>
          <w:sz w:val="16"/>
          <w:szCs w:val="16"/>
        </w:rPr>
      </w:pPr>
    </w:p>
    <w:p w14:paraId="4DE49EC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вышло Распоряжение ГКО № 3603. О мерах по обеспечению правительственной связи высококачественными проводами.РГАНИР, Фонд ГКО, д. 127, лл. 149-150, 151-152 (11012).</w:t>
      </w:r>
    </w:p>
    <w:p w14:paraId="56ABF48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D1071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вышло Постановление ГКО № 3604 О материально-техническом обеспечении строительства танковых заводов Наркомтанкопрома в июне и III кв. 1943 г.РГАНИР, Фонд ГКО, д. 127, лл. 153-157, 158-159 (11012).</w:t>
      </w:r>
    </w:p>
    <w:p w14:paraId="770A80C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FA662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вышло Распоряжение ГКО № 3605. Об оставлении на заводе № 232 НКВ в Ленинграде парогидравлического пресса и молота.РГАНИР, Фонд ГКО, д. 127, лл. 160 (11012).</w:t>
      </w:r>
    </w:p>
    <w:p w14:paraId="692E7BC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4F5A4F"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вышло Постановление ГКО № 3606 О мероприятиях по укреплению Московского автомеханического института Hаркомсредмаша. (7116, 161-163,164).</w:t>
      </w:r>
    </w:p>
    <w:p w14:paraId="7A485A71"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C2A7C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вышло Распоряжение ГКО № 3607. Об утверждении плана НКМП РСФСР на производство параллельных тисков во II и III кв. 1943 г. для НКАП, НКТП, НКСМ, ГАУ КА, ГУГВФ, НК ВМФ, НКО.РГАНИР, Фонд ГКО, д. 127, лл. 165 (11012).</w:t>
      </w:r>
    </w:p>
    <w:p w14:paraId="7AAB212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24E224"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вышло Распоряжение ГКО № 3608 [О переносе на 1944 г. организации и строительства зданий для РУ и школы ФЗО в Волхове.] (7116, 166).</w:t>
      </w:r>
    </w:p>
    <w:p w14:paraId="2C043F71"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02AD0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вышло Распоряжение ГКО № 3609. О производстве и обеспечении КА водородом.РГАНИР, Фонд ГКО, д. 127, лл. 167, 168 (11012).</w:t>
      </w:r>
    </w:p>
    <w:p w14:paraId="13B4399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110B41"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вышло Постановление ГКО № 3610 [О мобилизации населения в Воронежской и Ярославской обл. и Башкирской АССР на строительство электростанций.] (7116, 169).</w:t>
      </w:r>
    </w:p>
    <w:p w14:paraId="1CE96A19"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97FE6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вышло Постановление ГКО № 3611 О мероприятиях по увеличению возврата спецукупорки.РГАНИР, Фонд ГКО, д. 127, лл. 170-172 (11012).</w:t>
      </w:r>
    </w:p>
    <w:p w14:paraId="7F0672A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6A53D4"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вышло Постановление ГКО № 3612 [Об амнистировании со снятием судимости специалистов Беркалова Е.А., Иконникова Е.П., Лодкина С.И., Смирнова А.Ф., Рафаловича Г.Н., Цирульникова М.Ю.] (7116, 173).</w:t>
      </w:r>
    </w:p>
    <w:p w14:paraId="4B1EC4F5"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76B5C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вышло Постановление ГКО № 3613 О введении военного положения на взрывоопасных предприятиях Наркомата боеприпасов.РГАНИР, Фонд ГКО, д. 127, лл. 174-178, 179-187 (11012).</w:t>
      </w:r>
    </w:p>
    <w:p w14:paraId="43289E2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476E8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вышло Постановление ГКО № 3614 О восстановлении производства на Горьковском автозаводе имени Молотова.РГАНИР, Фонд ГКО, д. 127, лл. 188-194 (11012).</w:t>
      </w:r>
    </w:p>
    <w:p w14:paraId="3767BAE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7B3BC4"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lastRenderedPageBreak/>
        <w:t>Армия:</w:t>
      </w:r>
    </w:p>
    <w:p w14:paraId="0FB098F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E9B9AB"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 xml:space="preserve">19 июня </w:t>
      </w:r>
      <w:r w:rsidRPr="00D03F3E">
        <w:rPr>
          <w:rFonts w:ascii="Times New Roman" w:hAnsi="Times New Roman"/>
          <w:color w:val="000000" w:themeColor="text1"/>
          <w:sz w:val="16"/>
          <w:szCs w:val="16"/>
        </w:rPr>
        <w:t>в 1943 году утреннее сообщение Совинформбюро:</w:t>
      </w:r>
    </w:p>
    <w:p w14:paraId="1584787D"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19 июня на фронте ничего существенного не произошло.</w:t>
      </w:r>
    </w:p>
    <w:p w14:paraId="160F2310"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артиллеристы Н-ской части обстреляли и рассеяли колонну пехоты противника. На другом участке наши разведчики взорвали 3 немецких блиндажа вместе с находившимися в них гитлеровцами.</w:t>
      </w:r>
    </w:p>
    <w:p w14:paraId="5DC0D382"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Мценска на одном участке наши подразделения с боем продвинулись вперёд и заняли более выгодный рубеж. В бою за этот рубеж уничтожено до 100 немецких солдат и офицеров. Нашими бойцами захвачено у противника, 3 миномёта, 5 пулемётов, несколько десятков винтовок и автоматов. Надругих участках происходила артиллерийская перестрелка с противником. Огнём нашей артиллерии рассеяно и частью уничтожено до роты немецкой пехоты.</w:t>
      </w:r>
    </w:p>
    <w:p w14:paraId="497F12FE"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отряд немецких разведчиков пытался переправиться через реку Северный Донец, но был своевременно обнаружен нашим боевым охранением. Ружейно-пулемётным огнём разведчики противника были уничтожены.</w:t>
      </w:r>
    </w:p>
    <w:p w14:paraId="2B088247"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разведывательная группа Н-ской части проникла в расположение противника и атаковала немецкие блиндажи. В завязавшейся схватке наши бойцы истребили до 40 гитлеровцев. Захватив трофеи и пленных, разведчики вернулись в свою часть.</w:t>
      </w:r>
    </w:p>
    <w:p w14:paraId="007A95C5"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из участков Ленинградского фронта наши наблюдатели заметили большую группу немецких солдат, строивших оборонительные сооружения. Открыв беглый артиллерийский и миномётный огонь, бойцы подразделения, где командиром тов. Микешин, уничтожили до 60 гитлеровцев.</w:t>
      </w:r>
    </w:p>
    <w:p w14:paraId="79D04DFA"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совершили налёт на аэродромы противника, В результате бомбардировки уничтожено и повреждено значительное число немецких самолётов. В завязавшихся воздушных боях над вражескими аэродромами сбито 11 истребителей противника.</w:t>
      </w:r>
    </w:p>
    <w:p w14:paraId="474C5E7E"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Житомирской области, ворвался в районный центр и разгромил находившийся в нём гарнизон противника. Советские патриоты убили немецкого коменданта и несколько десятков гитлеровцев. Партизаны захватили 5 пулемётов, 2 миномёта, 65 винтовок и 4 тысячи патронов. Другой отряд житомирских партизан пустил под откос воинский эшелон немецких оккупантов. Группа партизан этого же отряда взорвала большой железнодорожный мост через реку. Движение поездов на этом участке дороги прервано на длительный срок.</w:t>
      </w:r>
    </w:p>
    <w:p w14:paraId="57D1D1BA"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ефрейтор 10 роты 133 полка 45 немецкой пехотной дивизии Антон Штельгхамер рассказал: «За последние месяцы в немецкую армию призвано много людей старших возрастов, а также больных, ранее освобождённых от военной службы. В немецких гарнизонах, расположенных в Польше и Чехии, среди солдат имеется много инвалидов. B Крумау я видел одноглазого солдата. По его словам, он обращался во все инстанции, просил отпустить его домой, но его не увольняют. В начале войны против России немецкий солдат верил в победу Германии. Он видел, как немецкая армия оккупировала одну за другой многие страны Европы. Кадровых старых солдат теперь осталось мало. А только что призванные солдаты ныне видят, как немецкая армия идёт к катастрофе».</w:t>
      </w:r>
    </w:p>
    <w:p w14:paraId="2767B120"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Сен-Кантена французские железнодорожники пустили под откос немецкий воинский эшелон. При крушении убито свыше 30 немцев. Близ Феньи вольные стрелки подорвали немецкий поезд. Под обломками вагонов погибло большое число гитлеровцев. Восстановительные команды в течение трёх ночей исправляли путь. В Лионе патриоты сожгли склад с военным имуществом немецко-фашистских оккупантов.» (14927).</w:t>
      </w:r>
    </w:p>
    <w:p w14:paraId="5002E952" w14:textId="77777777" w:rsidR="00775138" w:rsidRPr="00D03F3E" w:rsidRDefault="00775138" w:rsidP="00D03F3E">
      <w:pPr>
        <w:spacing w:after="0" w:line="240" w:lineRule="auto"/>
        <w:jc w:val="both"/>
        <w:rPr>
          <w:rFonts w:ascii="Times New Roman" w:hAnsi="Times New Roman"/>
          <w:color w:val="000000" w:themeColor="text1"/>
          <w:sz w:val="16"/>
          <w:szCs w:val="16"/>
        </w:rPr>
      </w:pPr>
    </w:p>
    <w:p w14:paraId="1ABDE0AF"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 xml:space="preserve">19 июня </w:t>
      </w:r>
      <w:r w:rsidRPr="00D03F3E">
        <w:rPr>
          <w:rFonts w:ascii="Times New Roman" w:hAnsi="Times New Roman"/>
          <w:color w:val="000000" w:themeColor="text1"/>
          <w:sz w:val="16"/>
          <w:szCs w:val="16"/>
        </w:rPr>
        <w:t>в 1943 году вечернее сообщение Совинформбюро:</w:t>
      </w:r>
    </w:p>
    <w:p w14:paraId="016150A7"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19 июня на фронте существенных изменений не произошло.</w:t>
      </w:r>
    </w:p>
    <w:p w14:paraId="0D5FB731"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истребили до роты солдат противника. Разведывательный отряд Н-ской части проник в расположение вражеской обороны и ворвался в немецкие траншеи. В завязавшемся бою разведчики уничтожили свыше 30 гитлеровцев. Подтянув подкрепления, немцы пытались окружить и уничтожить нашу разведывательную группу. Советские бойцы вышли из боя и благополучно возвратились в расположение своих войск.</w:t>
      </w:r>
    </w:p>
    <w:p w14:paraId="2C037FD6"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Чугуева артиллеристы и миномётчики Н-ской части разрушили два немецких блиндажа, уничтожили танк и подавили огонь вражеской артиллерийской батареи. На другом участке огнём нашей артиллерии рассеяна и в большей своей части уничтожена рота немецкой пехоты.</w:t>
      </w:r>
    </w:p>
    <w:p w14:paraId="1D4BFA17"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19 снайперов подразделения, где командиром тов. Желоховцев, за несколько дней истребили 168 гитлеровцев. Красноармейцы тт. Шергин, Нургалиев, Шкотский убили по 15 немцев, красноармеец т. Томашевский —14, красноармеец т. Ищенко—13, красноармеец т. Литиев — 12 и красноармеец т. Гринь уничтожил 10 гитлеровцев.</w:t>
      </w:r>
    </w:p>
    <w:p w14:paraId="06C60F2D"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наши подразделения разрушили 18 немецких дзотов и 2 блиндажа, уничтожили артиллерийскую батарею и рассеяли до батальона вражеской пехоты. Снайперы Н-ской части истребили более 80 гитлеровцев. Огнём зенитной артиллерии и в воздушном бою сбито 2 самолёта противника.</w:t>
      </w:r>
    </w:p>
    <w:p w14:paraId="7740DFC3"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из участков советско-германского фронта в составе наших военно-воздушных сил сражается эскадрилья истребительной авиации «Нормандия», состоящая из лётчиков-французов. За последние дни шесть лётчиков этой эскадрильи в групповых воздушных боях сбили 3 немецких самолёта «Фокке-Вульф-190».</w:t>
      </w:r>
    </w:p>
    <w:p w14:paraId="0ED53D0F"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Гомельской области, 4 июня устроил засаду на дороге в нескольких километрах от немецкого аэродрома. Вскоре на дороге показалась вражеская автоколонна. Партизаны напали на гитлеровцев, истребили 52 немецких лётчика, уничтожили одну легковую и 5 грузовых автомашин. Партизаны другого отряда подорвали на минах немецкий поезд с солдатами и офицерами. Уничтожены паровоз и 11 вагонов. Убито до 80 гитлеровцев.</w:t>
      </w:r>
    </w:p>
    <w:p w14:paraId="25941209"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солдат 2 роты 317 немецкого полка Фриц Заккенгейм рассказал: «Ожесточённые воздушные бомбардировки германских городов производят гнетущее впечатление не только в тылу, но и на фронте. Солдаты — уроженцы Рейнско-Вестфальской области деморализованы. Недавно мой товарищ Карл Мюллер получил письмо от своих родителей из города Касселя. Они писали об ужасных последствиях, вызванных разрушением английской авиацией дамбы на реке Везер. Хлынувшие потоки воды залили много городов и деревень. Особенно пострадал Кассель. Разрушения и число жертв в этом городе не поддаются учёту. Мюллер прочитал письмо мне и ещё группе товарищей. Мы разошлись в очень подавленном настроении».</w:t>
      </w:r>
    </w:p>
    <w:p w14:paraId="3C84B5D7" w14:textId="77777777" w:rsidR="00775138" w:rsidRPr="00D03F3E" w:rsidRDefault="00775138"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Прибывший из вражеского тыла ксёндз Францишёк Купш рассказал о чудовищных зверствах гитлеровских людоедов над мирными жителями Пинской и Минской областей. Францишек Купш долгое время находился на оккупированной немцами территории и был очевидцем многих преступлений немецко-фашистских мерзавцев. Гитлеровцы уничтожили 401 жителя деревни Пузичи, Пинской области. Среди убитых 114 женщин и 199 детей. В хуторе Дубица и Месин гитлеровцы убили 52 мирных жителя, в том числе 14 женщин и 25 детей. Увезено в немецкое рабство 113 человек. В деревне Раховичи немецкие людоеды заперли 15 мирных жителей в сарай и сожгли их живьём.» (14927).</w:t>
      </w:r>
    </w:p>
    <w:p w14:paraId="4A40D963" w14:textId="77777777" w:rsidR="00775138" w:rsidRPr="00D03F3E" w:rsidRDefault="00775138" w:rsidP="00D03F3E">
      <w:pPr>
        <w:spacing w:after="0" w:line="240" w:lineRule="auto"/>
        <w:jc w:val="both"/>
        <w:rPr>
          <w:rFonts w:ascii="Times New Roman" w:hAnsi="Times New Roman"/>
          <w:color w:val="000000" w:themeColor="text1"/>
          <w:sz w:val="16"/>
          <w:szCs w:val="16"/>
        </w:rPr>
      </w:pPr>
    </w:p>
    <w:p w14:paraId="34E0947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вышла директива наркома ВМФ Н.К.Кузнецова N 9/558 о проведении массированных налетов авиации (2120).</w:t>
      </w:r>
    </w:p>
    <w:p w14:paraId="26AC697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575BC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указом ПВС звание Героя Советского Союза было посмертно присвоено воспитаннику Уфимской трудовой колонии А. М. Матросову, освобожденному оттуда в сентябре 1942-го и призванному в РККА. 23 февраля 1943 года в бою в районе деревни Чернушки Локнянского района Псковской области девятнадцатилетний Матросов, израсходовав все боеприпасы, закрыл амбразуру вражеского дзота своим телом. Имя Матросова было присвоено 254-му гвардейскому стрелковому полку, ему были установлены памятники в Уфе, Великих Луках, Ульяновске и других местах (Героями Советского Союза в 1943 году станут также бывший заключенный Рыбинского ИТЛ А. И. Отставнов - за форсирование Днепра, 26 октября; бывший заключенный Карлага В. Е. Бреусов - за штурм высоты под Харьковом, 1 ноября; бывший заключенный Краслага Л. Н. Ефимов - за форсирование Днепра, 17 ноября) (7560).</w:t>
      </w:r>
    </w:p>
    <w:p w14:paraId="15683E0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9B6C9D" w14:textId="77777777" w:rsidR="00041C3A" w:rsidRPr="00D03F3E" w:rsidRDefault="00041C3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19 июня 1943 береговые посты наблюдения в 00.50 заметили конвой из трех транспортов, двух тральщиков и шести сторожевых катеров, который шел вдоль берега по маршруту Кобхольм</w:t>
      </w:r>
      <w:r w:rsidRPr="00D03F3E">
        <w:rPr>
          <w:rFonts w:ascii="Times New Roman" w:hAnsi="Times New Roman"/>
          <w:color w:val="0070C0"/>
          <w:sz w:val="16"/>
          <w:szCs w:val="16"/>
        </w:rPr>
        <w:noBreakHyphen/>
        <w:t>фьорд – залив Петсамовуоно. В небе над конвоем барражировали истребители. Ночь была белой, и в 2.20 по московскому времени для нанесения удара по кораблям вылетели четыре Ил</w:t>
      </w:r>
      <w:r w:rsidRPr="00D03F3E">
        <w:rPr>
          <w:rFonts w:ascii="Times New Roman" w:hAnsi="Times New Roman"/>
          <w:color w:val="0070C0"/>
          <w:sz w:val="16"/>
          <w:szCs w:val="16"/>
        </w:rPr>
        <w:noBreakHyphen/>
        <w:t>2 из 46</w:t>
      </w:r>
      <w:r w:rsidRPr="00D03F3E">
        <w:rPr>
          <w:rFonts w:ascii="Times New Roman" w:hAnsi="Times New Roman"/>
          <w:color w:val="0070C0"/>
          <w:sz w:val="16"/>
          <w:szCs w:val="16"/>
        </w:rPr>
        <w:noBreakHyphen/>
        <w:t>го шап в сопровождении восьми «Харрикейнов» Mk.II.</w:t>
      </w:r>
    </w:p>
    <w:p w14:paraId="42A286EC" w14:textId="77777777" w:rsidR="00041C3A" w:rsidRPr="00D03F3E" w:rsidRDefault="00041C3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2.56, незадолго до подхода штурмовиков, к конвою вышли восемь Р</w:t>
      </w:r>
      <w:r w:rsidRPr="00D03F3E">
        <w:rPr>
          <w:rFonts w:ascii="Times New Roman" w:hAnsi="Times New Roman"/>
          <w:color w:val="0070C0"/>
          <w:sz w:val="16"/>
          <w:szCs w:val="16"/>
        </w:rPr>
        <w:noBreakHyphen/>
        <w:t>39, завязавших бой с патрульными Bf</w:t>
      </w:r>
      <w:r w:rsidRPr="00D03F3E">
        <w:rPr>
          <w:rFonts w:ascii="Times New Roman" w:hAnsi="Times New Roman"/>
          <w:color w:val="0070C0"/>
          <w:sz w:val="16"/>
          <w:szCs w:val="16"/>
        </w:rPr>
        <w:noBreakHyphen/>
        <w:t>109G. Пилоты «Аэрокобр» бились геройски, расчищая дорогу Илам, и потеряли пять машин. Четыре из них были на счету командира 9</w:t>
      </w:r>
      <w:r w:rsidRPr="00D03F3E">
        <w:rPr>
          <w:rFonts w:ascii="Times New Roman" w:hAnsi="Times New Roman"/>
          <w:color w:val="0070C0"/>
          <w:sz w:val="16"/>
          <w:szCs w:val="16"/>
        </w:rPr>
        <w:noBreakHyphen/>
        <w:t>й эскадрильи JG5 обер</w:t>
      </w:r>
      <w:r w:rsidRPr="00D03F3E">
        <w:rPr>
          <w:rFonts w:ascii="Times New Roman" w:hAnsi="Times New Roman"/>
          <w:color w:val="0070C0"/>
          <w:sz w:val="16"/>
          <w:szCs w:val="16"/>
        </w:rPr>
        <w:noBreakHyphen/>
        <w:t>лейтенанта Вульфа Дитриха Видовитца. Кроме того, по немецким данным, затем были сбиты еще и четыре «Харрикейна» из прикрытия штурмовиков.</w:t>
      </w:r>
    </w:p>
    <w:p w14:paraId="701ED4F0" w14:textId="77777777" w:rsidR="00041C3A" w:rsidRPr="00D03F3E" w:rsidRDefault="00041C3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Тем временем появившиеся «горбатые», развернувшись, начали заход на конвой со стороны открытого моря. Атака в направлении берега давала больше шансов на спасение в случае повреждения самолета зенитным огнем. Однако, вероятно не выдержав напряжения, пилоты штурмовиков с большой дистанции выпустили все «эрэсы» одним залпом, потом побросали в воду бомбы и поспешили удалиться, пока никого из них не сбили (23199).</w:t>
      </w:r>
    </w:p>
    <w:p w14:paraId="69DBF23F" w14:textId="77777777" w:rsidR="00041C3A" w:rsidRPr="00D03F3E" w:rsidRDefault="00041C3A" w:rsidP="00D03F3E">
      <w:pPr>
        <w:spacing w:after="0" w:line="240" w:lineRule="auto"/>
        <w:jc w:val="both"/>
        <w:rPr>
          <w:rFonts w:ascii="Times New Roman" w:hAnsi="Times New Roman"/>
          <w:color w:val="0070C0"/>
          <w:sz w:val="16"/>
          <w:szCs w:val="16"/>
        </w:rPr>
      </w:pPr>
    </w:p>
    <w:p w14:paraId="5B1F70FF"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603ECF2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9E40A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года</w:t>
      </w:r>
    </w:p>
    <w:p w14:paraId="2622D13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СТРОГО СЕКРЕТНОЕ ПОСЛАНИЕ ОТ ПРЕМЬЕР-МИНИСТРА г-на УИНСТОНА ЧЕРЧИЛЛЯ МАРШАЛУ И. В. СТАЛИНУ</w:t>
      </w:r>
    </w:p>
    <w:p w14:paraId="20C1B5B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 Я получил копию Вашей телеграммы, отправленной Президенту приблизительно 11 июня. Я полностью понимаю Ваше разочарование, но я уверен, что мы предпринимаем действия, которые являются не только правильными, но и единственно физически возможными в данных обстоятельствах. Россия не получила бы помощи, если бы мы бросили сотню тысяч человек через Канал в гибельное наступление, каким оно, по моему мнению, наверняка было бы, если бы мы попытались при теперешних условиях и со слишком слабыми силами развить какой-либо успех, которого можно было бы достичь очень тяжелой ценой. По моему мнению и по </w:t>
      </w:r>
      <w:r w:rsidRPr="00D03F3E">
        <w:rPr>
          <w:rFonts w:ascii="Times New Roman" w:hAnsi="Times New Roman"/>
          <w:color w:val="000000" w:themeColor="text1"/>
          <w:sz w:val="16"/>
          <w:szCs w:val="16"/>
        </w:rPr>
        <w:lastRenderedPageBreak/>
        <w:t>мнению всех моих специальных военных советников, мы были бы, если бы нам даже удалось высадиться на берег, отброшены, так как немцы уже имеют во Франции силы, превосходящие любые силы, которые мы могли бы выставить там в этом году, причем они могут посылать подкрепления по главным параллельным железным дорогам Европы гораздо скорее, чем это могли бы сделать мы, высаживая десанты прямо на берег или в каких-либо разрушенных портах Канала, которые мы могли бы захватить. Я не могу представить себе, каким образом крупное британское поражение и кровопролитие помогло бы советским армиям. Однако если бы подумали, что все это мы навлекли на себя вопреки совету наших военных специалистов и под давлением с Вашей стороны, то это могло бы вызвать у нас в стране крайне дурные настроения. Вы помните, что я всегда ясно заявлял в своих телеграммах, которые я посылал Вам, что я никогда не позволил бы предпринять какое-либо наступление через Канал, которое, по моему мнению, привело бы лишь к бесполезному кровопролитию.</w:t>
      </w:r>
    </w:p>
    <w:p w14:paraId="42656C9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Лучший путь нашей помощи Вам — выигрывать сражения, а не терпеть поражения. Это мы сделали в Тунисе, куда через Атлантику и на расстояние 10 000 миль вокруг мыса Доброй Надежды протянулась длинная рука британской морской мощи и морской мощи Соединенных Штатов и помогла нам уничтожить крупные сухопутные и военно-воздушные силы держав оси. Непосредственно вытекающая отсюда угроза всей оборонительной системе держав оси на Средиземном море уже вынудила немцев усилить сухопутными и воздушными силами Италию, острова Средиземного моря, Балканы и Южную Францию. Я искренне и исходя из здравого смысла надеюсь, что мы сможем выбить Италию из войны в этом году и, сделав это, мы оттянем с Вашего фронта гораздо больше немцев, чем при помощи какого-либо другого доступного средства. Наступление, срок которого теперь недалек, полностью загрузит пропускную способность каждого порта, находящегося под нашим контролем на Средиземном море от Гибралтара до Порт-Саида включительно. После того как Италия будет выведена из войны силой, немцам придется оккупировать Ривьеру, создать новый фронт либо на Альпах, либо на По и прежде всего обеспечить замену 32 итальянских дивизий, находящихся в настоящее время на Балканах. Тогда настанет момент для приглашения Турции принять участие в войне в активной или пассивной форме. Тогда можно будет проводить решающую бомбардировку румынских нефтяных источников в больших размерах. Мы уже сковываем на западе и на юге Европы большую часть германских военно-воздушных сил, и наше превосходство будет непрерывно возрастать. Из общего количества оперативных сил первой линии, составляющих 4800—4900 самолетов, Германия, согласно нашей информации, имеет сейчас на русском фронте около 2000 самолетов по сравнению с 2500 самолетов, которые она имела там в это время в прошлом году. Мы также разрушаем значительную часть городов и центров военной промышленности Германии, что может, весьма вероятно, иметь решающие последствия, поскольку это будет ослаблять сопротивление немцев на всех фронтах. Предстоящей осенью это большое воздушное наступление должно бы принести солидный доход. Если продолжится благоприятная тенденция войны против подводных лодок, имевшая место в течение последних нескольких месяцев, то это ускорит и увеличит переброску в Европу вооруженных сил Соединенных Штатов, которая энергично осуществляется с предельным использованием наличного тоннажа. Никто больше, чем я, не воздавал должного огромному вкладу, сделанному Советским Правительством в общую победу, и я благодарю Вас также за выраженное Вами недавно признание усилий Ваших обоих западных союзников. Я твердо убежден, что мы еще до конца этого года сообщим Вам результаты, которые дадут Вам существенное облегчение и удовлетворение.</w:t>
      </w:r>
    </w:p>
    <w:p w14:paraId="4804F79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Я никогда не просил у Вас подробной информации относительно сил и расположения русских армий потому, что Вы несли и по-прежнему несете основное бремя на суше. Однако я был бы рад узнать, как Вы оцениваете положение и ближайшие перспективы на русском фронте, а также Ваше мнение о том, является ли германское наступление неминуемым в ближайшее время. Уже наступила середина июня, а наступление не начато. Мы имеем некоторые основания думать, что неожиданно быстрое поражение вооруженных сил держав оси в Северной Африке расстроило германскую стратегию и что возникшая отсюда угроза Южной Европе была важным фактором, заставившим Гитлера поколебаться и отложить свои планы крупного наступления против России этим летом. Несомненно, что еще преждевременно выносить определенное суждение обо всем этом. Но мы были бы весьма рады услышать, что Вы думаете об этом.</w:t>
      </w:r>
    </w:p>
    <w:p w14:paraId="019C127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В конце Вашего послания Вы выражаете неудовольствие, что мы не посоветовались с Россией при принятии наших недавних решений. Я вполне понимаю причины, которые помешали Вам встретиться с Президентом и со мной в Хартуме, куда мы должны были бы выехать в январе, и я уверен, что Вы поступили правильно, не покинув ни на одну неделю руководства Вашей громадной и победоносной кампанией. Тем не менее необходимость и польза встречи весьма велики. Я могу лишь сказать, что я отправлюсь при любом риске в любое место, о котором Вы и Президент можете договориться. Я и мои советники полагаем, что Скапа-Флоу, наш основной военно-морской порт на севере Шотландии, был бы наиболее удобным, наиболее безопасным и, если желательно соблюсти секретность, вероятно, наиболее секретным местом. Я снова предложил это Президенту. И, если бы Вы могли прибыть туда воздухом в любое время этим летом, Вы могли бы быть уверены в том, что были бы приняты все меры, чтобы удовлетворить Ваши желания, и Вам был бы оказан самый сердечный прием со стороны Ваших британских и американских товарищей (7430).</w:t>
      </w:r>
    </w:p>
    <w:p w14:paraId="5B7C025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72B187"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2E1158E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FAEC0E" w14:textId="77777777" w:rsidR="0096665E" w:rsidRPr="00D03F3E" w:rsidRDefault="0096665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19 июля 1943 года — первый полёт экспериментального истребителя Curtiss-Wright XP-55 Ascender. /США/</w:t>
      </w:r>
    </w:p>
    <w:p w14:paraId="1A3E9920" w14:textId="77777777" w:rsidR="0096665E" w:rsidRPr="00D03F3E" w:rsidRDefault="0096665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1939 году ВВС США объявили конкурс на разработку истребителя, который по характеристикам и вооружению должен был превзойти все существующие в мире. Для этого разрешили нестандартные аэродинамические схемы. Одним из конкурсных проектов стал истребитель XP-55 от компании Curtiss-Wright.</w:t>
      </w:r>
    </w:p>
    <w:p w14:paraId="6E851167" w14:textId="77777777" w:rsidR="0096665E" w:rsidRPr="00D03F3E" w:rsidRDefault="0096665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XP-55 имел необычную конструкцию: аэродинамическая схема «утка» с передним горизонтальным оперением, стреловидным крылом и толкающим винтом. Двигатель Allison V-1710-95 разгонял самолёт до 630 км/ч. Вооружение — 4 × 12,7-мм пулемёта Browning M2.</w:t>
      </w:r>
    </w:p>
    <w:p w14:paraId="01F97FC7" w14:textId="77777777" w:rsidR="0096665E" w:rsidRPr="00D03F3E" w:rsidRDefault="0096665E"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Построили всего 3 прототипа XP-55. Самолёт имел сносные лётные характеристики, которые могли быть улучшены в процессе доработок. Но начиналась эра реактивной авиации и военные потеряли к XP-55 интерес. Проект закрыли. Два прототипа были потеряны в авариях, а третий сегодня находится в музее Air Zoo в Портедже (Мичиган) (22300).</w:t>
      </w:r>
    </w:p>
    <w:p w14:paraId="5BA7A35F" w14:textId="77777777" w:rsidR="0096665E" w:rsidRPr="00D03F3E" w:rsidRDefault="0096665E" w:rsidP="00D03F3E">
      <w:pPr>
        <w:shd w:val="clear" w:color="auto" w:fill="FFFFFF"/>
        <w:spacing w:after="0" w:line="240" w:lineRule="auto"/>
        <w:jc w:val="both"/>
        <w:rPr>
          <w:rFonts w:ascii="Times New Roman" w:hAnsi="Times New Roman"/>
          <w:color w:val="0070C0"/>
          <w:sz w:val="16"/>
          <w:szCs w:val="16"/>
        </w:rPr>
      </w:pPr>
    </w:p>
    <w:p w14:paraId="6A8BFC4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June19th, 1943: The RAF carries out a raid on the Schneider armaments works at Le Creusot (3819).</w:t>
      </w:r>
    </w:p>
    <w:p w14:paraId="175A9E7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A7D1CB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Королевские ВВС выполнили налет на военный завод Шнейдера в Ле Крузо (3819).</w:t>
      </w:r>
    </w:p>
    <w:p w14:paraId="7CC231E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022E75"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июня 1943 Геббельс заявил, что Берлин полностью очищен от евреев (4962).</w:t>
      </w:r>
    </w:p>
    <w:p w14:paraId="0BBD24EF"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3EA3E9"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68231F9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80177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июня 1943 при контрольном испытании Ил-2 завода 18 N 1876562т были достигнуты скорости 387 км/час у земли и 395 к/час на границе высотности (1823,28).</w:t>
      </w:r>
    </w:p>
    <w:p w14:paraId="1B10CC6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7E70A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20 июня по 30 августа 1943 П.Стефановский проводил гос. испытания двухместного Су-6 (С2А) с М-71Ф и написал в отчете, что по бронированию и ЛТД он превосходит Ил-2 (1454,62).</w:t>
      </w:r>
    </w:p>
    <w:p w14:paraId="03B452F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другим данным испытания начались 29 июня 1943</w:t>
      </w:r>
    </w:p>
    <w:p w14:paraId="37E0A73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июня 1943 А.И.Ш. писал И.В.С. письмо N 3104:</w:t>
      </w:r>
    </w:p>
    <w:p w14:paraId="407C247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"Докладываю по одномоторному бронированному штурмовику с мотором воздушного охлаждения М-71 конструкции П.О.С.:</w:t>
      </w:r>
    </w:p>
    <w:p w14:paraId="758F3B7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построен в одноместном и 2-х местном вариантах. В одноместном варианте самолет прошел гос. испытания в 1942. В данное время в НИИ ВВС проходит испытания 2-х местный вариант самолета.</w:t>
      </w:r>
    </w:p>
    <w:p w14:paraId="12E8854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отчета НИИ ВВС по гос. испытаниям и результатов заводских испытаний, самолет имеет следующие характеристики: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3686"/>
        <w:gridCol w:w="3969"/>
      </w:tblGrid>
      <w:tr w:rsidR="00860B4B" w:rsidRPr="00D03F3E" w14:paraId="0BF177C1" w14:textId="77777777">
        <w:tc>
          <w:tcPr>
            <w:tcW w:w="2943" w:type="dxa"/>
          </w:tcPr>
          <w:p w14:paraId="7D4E51E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40A90BF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Одноместный</w:t>
            </w:r>
          </w:p>
        </w:tc>
        <w:tc>
          <w:tcPr>
            <w:tcW w:w="3969" w:type="dxa"/>
          </w:tcPr>
          <w:p w14:paraId="303C14A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 местный с</w:t>
            </w:r>
          </w:p>
        </w:tc>
      </w:tr>
      <w:tr w:rsidR="00860B4B" w:rsidRPr="00D03F3E" w14:paraId="2B2A15C9" w14:textId="77777777">
        <w:tc>
          <w:tcPr>
            <w:tcW w:w="2943" w:type="dxa"/>
          </w:tcPr>
          <w:p w14:paraId="498BF13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8B1BD7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М-71 (данные</w:t>
            </w:r>
          </w:p>
        </w:tc>
        <w:tc>
          <w:tcPr>
            <w:tcW w:w="3969" w:type="dxa"/>
          </w:tcPr>
          <w:p w14:paraId="75BE936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М-71Ф (данные</w:t>
            </w:r>
          </w:p>
        </w:tc>
      </w:tr>
      <w:tr w:rsidR="00860B4B" w:rsidRPr="00D03F3E" w14:paraId="1874540E" w14:textId="77777777">
        <w:tc>
          <w:tcPr>
            <w:tcW w:w="2943" w:type="dxa"/>
          </w:tcPr>
          <w:p w14:paraId="0892969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AA6E44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гос. испытаний)</w:t>
            </w:r>
          </w:p>
        </w:tc>
        <w:tc>
          <w:tcPr>
            <w:tcW w:w="3969" w:type="dxa"/>
          </w:tcPr>
          <w:p w14:paraId="6F90936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заводских сип.)</w:t>
            </w:r>
          </w:p>
        </w:tc>
      </w:tr>
      <w:tr w:rsidR="00860B4B" w:rsidRPr="00D03F3E" w14:paraId="18AD1F69" w14:textId="77777777">
        <w:tc>
          <w:tcPr>
            <w:tcW w:w="2943" w:type="dxa"/>
          </w:tcPr>
          <w:p w14:paraId="41C94B0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Полетный вес</w:t>
            </w:r>
          </w:p>
        </w:tc>
        <w:tc>
          <w:tcPr>
            <w:tcW w:w="3686" w:type="dxa"/>
          </w:tcPr>
          <w:p w14:paraId="624FBF8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5250</w:t>
            </w:r>
          </w:p>
        </w:tc>
        <w:tc>
          <w:tcPr>
            <w:tcW w:w="3969" w:type="dxa"/>
          </w:tcPr>
          <w:p w14:paraId="2874820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5700</w:t>
            </w:r>
          </w:p>
        </w:tc>
      </w:tr>
      <w:tr w:rsidR="00860B4B" w:rsidRPr="00D03F3E" w14:paraId="04C83CEA" w14:textId="77777777">
        <w:tc>
          <w:tcPr>
            <w:tcW w:w="2943" w:type="dxa"/>
          </w:tcPr>
          <w:p w14:paraId="449AC2F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скорость у земли</w:t>
            </w:r>
          </w:p>
        </w:tc>
        <w:tc>
          <w:tcPr>
            <w:tcW w:w="3686" w:type="dxa"/>
          </w:tcPr>
          <w:p w14:paraId="0035F33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69" w:type="dxa"/>
          </w:tcPr>
          <w:p w14:paraId="30C15AE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2D54DB1" w14:textId="77777777">
        <w:tc>
          <w:tcPr>
            <w:tcW w:w="2943" w:type="dxa"/>
          </w:tcPr>
          <w:p w14:paraId="10D5905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на нормальном режиме</w:t>
            </w:r>
          </w:p>
        </w:tc>
        <w:tc>
          <w:tcPr>
            <w:tcW w:w="3686" w:type="dxa"/>
          </w:tcPr>
          <w:p w14:paraId="6C0EF6F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445</w:t>
            </w:r>
          </w:p>
        </w:tc>
        <w:tc>
          <w:tcPr>
            <w:tcW w:w="3969" w:type="dxa"/>
          </w:tcPr>
          <w:p w14:paraId="1525B67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492</w:t>
            </w:r>
          </w:p>
        </w:tc>
      </w:tr>
      <w:tr w:rsidR="00860B4B" w:rsidRPr="00D03F3E" w14:paraId="2D8CC91A" w14:textId="77777777">
        <w:tc>
          <w:tcPr>
            <w:tcW w:w="2943" w:type="dxa"/>
          </w:tcPr>
          <w:p w14:paraId="2C12591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на форсированном режиме</w:t>
            </w:r>
          </w:p>
        </w:tc>
        <w:tc>
          <w:tcPr>
            <w:tcW w:w="3686" w:type="dxa"/>
          </w:tcPr>
          <w:p w14:paraId="56EFABE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496</w:t>
            </w:r>
          </w:p>
        </w:tc>
        <w:tc>
          <w:tcPr>
            <w:tcW w:w="3969" w:type="dxa"/>
          </w:tcPr>
          <w:p w14:paraId="43A1B44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508</w:t>
            </w:r>
          </w:p>
        </w:tc>
      </w:tr>
      <w:tr w:rsidR="00860B4B" w:rsidRPr="00D03F3E" w14:paraId="2BE3EC70" w14:textId="77777777">
        <w:tc>
          <w:tcPr>
            <w:tcW w:w="2943" w:type="dxa"/>
          </w:tcPr>
          <w:p w14:paraId="0D0BB9B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на 0.9 макс.</w:t>
            </w:r>
          </w:p>
        </w:tc>
        <w:tc>
          <w:tcPr>
            <w:tcW w:w="3686" w:type="dxa"/>
          </w:tcPr>
          <w:p w14:paraId="15E0A86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450</w:t>
            </w:r>
          </w:p>
        </w:tc>
        <w:tc>
          <w:tcPr>
            <w:tcW w:w="3969" w:type="dxa"/>
          </w:tcPr>
          <w:p w14:paraId="66AA3C9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650</w:t>
            </w:r>
          </w:p>
        </w:tc>
      </w:tr>
      <w:tr w:rsidR="00860B4B" w:rsidRPr="00D03F3E" w14:paraId="0B57903D" w14:textId="77777777">
        <w:tc>
          <w:tcPr>
            <w:tcW w:w="2943" w:type="dxa"/>
          </w:tcPr>
          <w:p w14:paraId="61F24E4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Вираж на 1000 м</w:t>
            </w:r>
          </w:p>
        </w:tc>
        <w:tc>
          <w:tcPr>
            <w:tcW w:w="3686" w:type="dxa"/>
          </w:tcPr>
          <w:p w14:paraId="27B16EC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с</w:t>
            </w:r>
          </w:p>
        </w:tc>
        <w:tc>
          <w:tcPr>
            <w:tcW w:w="3969" w:type="dxa"/>
          </w:tcPr>
          <w:p w14:paraId="5CF3AD9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с</w:t>
            </w:r>
          </w:p>
        </w:tc>
      </w:tr>
      <w:tr w:rsidR="00860B4B" w:rsidRPr="00D03F3E" w14:paraId="7034032A" w14:textId="77777777">
        <w:tc>
          <w:tcPr>
            <w:tcW w:w="2943" w:type="dxa"/>
          </w:tcPr>
          <w:p w14:paraId="39453CD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Разбег</w:t>
            </w:r>
          </w:p>
        </w:tc>
        <w:tc>
          <w:tcPr>
            <w:tcW w:w="3686" w:type="dxa"/>
          </w:tcPr>
          <w:p w14:paraId="303BE54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450</w:t>
            </w:r>
          </w:p>
        </w:tc>
        <w:tc>
          <w:tcPr>
            <w:tcW w:w="3969" w:type="dxa"/>
          </w:tcPr>
          <w:p w14:paraId="04D811E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490</w:t>
            </w:r>
          </w:p>
        </w:tc>
      </w:tr>
      <w:tr w:rsidR="00860B4B" w:rsidRPr="00D03F3E" w14:paraId="2738B7CC" w14:textId="77777777">
        <w:tc>
          <w:tcPr>
            <w:tcW w:w="2943" w:type="dxa"/>
          </w:tcPr>
          <w:p w14:paraId="166A553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w:t>
            </w:r>
          </w:p>
        </w:tc>
        <w:tc>
          <w:tcPr>
            <w:tcW w:w="3686" w:type="dxa"/>
          </w:tcPr>
          <w:p w14:paraId="0853519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69" w:type="dxa"/>
          </w:tcPr>
          <w:p w14:paraId="7F6D829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9ABEC35" w14:textId="77777777">
        <w:tc>
          <w:tcPr>
            <w:tcW w:w="2943" w:type="dxa"/>
          </w:tcPr>
          <w:p w14:paraId="45EFE33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вперед</w:t>
            </w:r>
          </w:p>
        </w:tc>
        <w:tc>
          <w:tcPr>
            <w:tcW w:w="3686" w:type="dxa"/>
          </w:tcPr>
          <w:p w14:paraId="1EEC106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2х23 мм с 230 п</w:t>
            </w:r>
          </w:p>
        </w:tc>
        <w:tc>
          <w:tcPr>
            <w:tcW w:w="3969" w:type="dxa"/>
          </w:tcPr>
          <w:p w14:paraId="613E9A2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2х37 с 90 п</w:t>
            </w:r>
          </w:p>
        </w:tc>
      </w:tr>
      <w:tr w:rsidR="00860B4B" w:rsidRPr="00D03F3E" w14:paraId="5A53562F" w14:textId="77777777">
        <w:tc>
          <w:tcPr>
            <w:tcW w:w="2943" w:type="dxa"/>
          </w:tcPr>
          <w:p w14:paraId="13918FA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24026A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4х7.62 с 3000</w:t>
            </w:r>
          </w:p>
        </w:tc>
        <w:tc>
          <w:tcPr>
            <w:tcW w:w="3969" w:type="dxa"/>
          </w:tcPr>
          <w:p w14:paraId="02177E4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2х7.62 с 1350</w:t>
            </w:r>
          </w:p>
        </w:tc>
      </w:tr>
      <w:tr w:rsidR="00860B4B" w:rsidRPr="00D03F3E" w14:paraId="6CFCA80B" w14:textId="77777777">
        <w:tc>
          <w:tcPr>
            <w:tcW w:w="2943" w:type="dxa"/>
          </w:tcPr>
          <w:p w14:paraId="4A1E295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назад</w:t>
            </w:r>
          </w:p>
        </w:tc>
        <w:tc>
          <w:tcPr>
            <w:tcW w:w="3686" w:type="dxa"/>
          </w:tcPr>
          <w:p w14:paraId="0225889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w:t>
            </w:r>
          </w:p>
        </w:tc>
        <w:tc>
          <w:tcPr>
            <w:tcW w:w="3969" w:type="dxa"/>
          </w:tcPr>
          <w:p w14:paraId="74F4C37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1х12.7 с 190 п</w:t>
            </w:r>
          </w:p>
        </w:tc>
      </w:tr>
      <w:tr w:rsidR="00860B4B" w:rsidRPr="00D03F3E" w14:paraId="5E205F8B" w14:textId="77777777">
        <w:tc>
          <w:tcPr>
            <w:tcW w:w="2943" w:type="dxa"/>
          </w:tcPr>
          <w:p w14:paraId="33C794B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Бомбы</w:t>
            </w:r>
          </w:p>
        </w:tc>
        <w:tc>
          <w:tcPr>
            <w:tcW w:w="3686" w:type="dxa"/>
          </w:tcPr>
          <w:p w14:paraId="0AA1584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69" w:type="dxa"/>
          </w:tcPr>
          <w:p w14:paraId="6AC336F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6D64AE3" w14:textId="77777777">
        <w:tc>
          <w:tcPr>
            <w:tcW w:w="2943" w:type="dxa"/>
          </w:tcPr>
          <w:p w14:paraId="1AFE521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нормальная</w:t>
            </w:r>
          </w:p>
        </w:tc>
        <w:tc>
          <w:tcPr>
            <w:tcW w:w="3686" w:type="dxa"/>
          </w:tcPr>
          <w:p w14:paraId="299FA96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w:t>
            </w:r>
          </w:p>
        </w:tc>
        <w:tc>
          <w:tcPr>
            <w:tcW w:w="3969" w:type="dxa"/>
          </w:tcPr>
          <w:p w14:paraId="6D32899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w:t>
            </w:r>
          </w:p>
        </w:tc>
      </w:tr>
      <w:tr w:rsidR="00860B4B" w:rsidRPr="00D03F3E" w14:paraId="18124323" w14:textId="77777777">
        <w:tc>
          <w:tcPr>
            <w:tcW w:w="2943" w:type="dxa"/>
          </w:tcPr>
          <w:p w14:paraId="2603D43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перегрузка</w:t>
            </w:r>
          </w:p>
        </w:tc>
        <w:tc>
          <w:tcPr>
            <w:tcW w:w="3686" w:type="dxa"/>
          </w:tcPr>
          <w:p w14:paraId="7BF1DF9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tc>
        <w:tc>
          <w:tcPr>
            <w:tcW w:w="3969" w:type="dxa"/>
          </w:tcPr>
          <w:p w14:paraId="091C270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w:t>
            </w:r>
          </w:p>
        </w:tc>
      </w:tr>
    </w:tbl>
    <w:p w14:paraId="0FA6586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Броня л является наружной стенкой фюзеляжа, толщиной от 6 до 12 мм: спереди л имеет прозрачную броню толщиной 60 мм, задняя крышка мотора имеет броню толщиной 4 мм, масляный радиатор забронирован снизу и сзади броней толщиной 8 мм, бензиновый и масляный баки помещены внутри броневой коробки фюзеляжа.</w:t>
      </w:r>
    </w:p>
    <w:p w14:paraId="7B9A343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2-х местном варианте стрелок размещен в бронированной коробке, открытой сверху и имеющей боковые стенки из брони толщиной 6 мм и заднюю стенку толщиной 12 мм.</w:t>
      </w:r>
    </w:p>
    <w:p w14:paraId="65D2292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настоящее время одноместный штурмовик передан вновь на гос. испытания в НИИ ВВС с одним пушечным вооружением, состоящим из 2-х пушек 23 мм с боезапасом 400 снарядов.</w:t>
      </w:r>
    </w:p>
    <w:p w14:paraId="4A818AB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этом варианте самолет с М-71 Ф имеет следующие расчетные данные:</w:t>
      </w:r>
    </w:p>
    <w:p w14:paraId="66B38E9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полетный вес - 4900 кг</w:t>
      </w:r>
    </w:p>
    <w:p w14:paraId="1172C16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скорость у земли</w:t>
      </w:r>
    </w:p>
    <w:p w14:paraId="7A715D6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номинале - 520 км/час</w:t>
      </w:r>
    </w:p>
    <w:p w14:paraId="6A186CD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форсаже - 535 км/час</w:t>
      </w:r>
    </w:p>
    <w:p w14:paraId="46135D4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вираж на 1000 м - 23 с</w:t>
      </w:r>
    </w:p>
    <w:p w14:paraId="6FEE2DF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заключению НИИ ВВС самолет прост по технике пилотирования и доступен л средней квалификации, имеет хорошую устойчивость и допускает полет с брошенной ручкой на всех режимах (1697,227).</w:t>
      </w:r>
    </w:p>
    <w:p w14:paraId="1F66D11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6F861E"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20 июня по 30 августа 1943 г. проходили испытания двухместного Су-6 М-71. Испытания проводили веду</w:t>
      </w:r>
      <w:r w:rsidRPr="00D03F3E">
        <w:rPr>
          <w:rFonts w:ascii="Times New Roman" w:hAnsi="Times New Roman"/>
          <w:color w:val="000000" w:themeColor="text1"/>
          <w:sz w:val="16"/>
          <w:szCs w:val="16"/>
        </w:rPr>
        <w:softHyphen/>
        <w:t>щий инженер А.В.Синельников и ведущий летчик А.И.Кабанов, летчик облета П.М.Стефановский. Оценка самолету дана была очень высокой. В акте государствен</w:t>
      </w:r>
      <w:r w:rsidRPr="00D03F3E">
        <w:rPr>
          <w:rFonts w:ascii="Times New Roman" w:hAnsi="Times New Roman"/>
          <w:color w:val="000000" w:themeColor="text1"/>
          <w:sz w:val="16"/>
          <w:szCs w:val="16"/>
        </w:rPr>
        <w:softHyphen/>
        <w:t>ных испытаний отмечалось:</w:t>
      </w:r>
    </w:p>
    <w:p w14:paraId="3F78F9ED"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максимальным скоростям, скороподъемности, потолку и дальности самолет Су-6 М-71Ф значительно превосходит находящийся на вооружении ВВС Красной Армии штурмовой самолет Ил-2;</w:t>
      </w:r>
    </w:p>
    <w:p w14:paraId="1F18C873"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самолет Су-6 по своему бронирована и летно-боевым качествам, в первую очередь предназначен для решения штурме вых задач, но, вместе с тем, его можно успешно использовать и для борьбы с бомбардировщиками противника;</w:t>
      </w:r>
    </w:p>
    <w:p w14:paraId="14CEA4F8"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...рекомендовать самолет Су-6 с моторо М-71Ф в серийное производство”.</w:t>
      </w:r>
    </w:p>
    <w:p w14:paraId="569B729E"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Летчики-испытатели оценивали машину следующим образом:</w:t>
      </w:r>
    </w:p>
    <w:p w14:paraId="2488FDE7"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А.И.Кабанов: </w:t>
      </w:r>
      <w:r w:rsidRPr="00D03F3E">
        <w:rPr>
          <w:rFonts w:ascii="Times New Roman" w:hAnsi="Times New Roman"/>
          <w:color w:val="000000" w:themeColor="text1"/>
          <w:sz w:val="16"/>
          <w:szCs w:val="16"/>
        </w:rPr>
        <w:t>“Кабина хороша. Рулит хорошо. В целом самолет производит хорошее впечатление и будет грозным ору-сием как в борьбе с земными целями, так с бомбардировщиками противника”.</w:t>
      </w:r>
    </w:p>
    <w:p w14:paraId="36814CFA"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П.М.Стефановский: </w:t>
      </w:r>
      <w:r w:rsidRPr="00D03F3E">
        <w:rPr>
          <w:rFonts w:ascii="Times New Roman" w:hAnsi="Times New Roman"/>
          <w:color w:val="000000" w:themeColor="text1"/>
          <w:sz w:val="16"/>
          <w:szCs w:val="16"/>
        </w:rPr>
        <w:t>“Самолет, как двухместный штурмовик, является актуалъной и нужной машиной, могущей заменитъ самолет Ил-2, так как обладает лучшим бронированием и значительно лучшими летными данными”.</w:t>
      </w:r>
    </w:p>
    <w:p w14:paraId="1972E64B"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Передняя часть фюзеляжа целиком прикрывалась броней. Задняя представляла собой деревянный монокок.</w:t>
      </w:r>
    </w:p>
    <w:p w14:paraId="67F98C0F"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Центроплан, стабилизатор, рули, элероны типа “Фрайз”. Оба лонжерона крыла металлические. Киль и консоли деревянные, элероны и рули обтягивались полотном. Имелась аэродинамическая и весовая компенсация элеронов и рулей, все управляющие поверхности оборудовались триммерами. Механизация крыла была представлена предкрылками и щитками Шренка.</w:t>
      </w:r>
    </w:p>
    <w:p w14:paraId="6B7EF9DB"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Одностоечные опоры шасси с задним складывающимся подкосом убирались назад с поворотом а 90" (по типу ШБ). Уборка и выпуск — гидравлические. Для улучшения взлетно-посадочных характеристик в процессе испытаний трехлопастный винт АВ-5-4А диаметром 3,25 м заменили на четырехлопастный АВ-9-4А диаметром 3,35 м.</w:t>
      </w:r>
    </w:p>
    <w:p w14:paraId="014441AC"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Бронирование самолета было самым мощным среди всех известных штурмовиков. Оно охватывало кабину летчика и грелка, бензобак, замоторный отсек, маслобак, маслорадиаторы и трубопроводы к ним, цилиндр винта. Передняя часть фюзеляжа о бронеспинки летчика представляла собой целиком бронированный корпус, в котором размещался летчик, бензобак, маслобак и органы управления. Козырек из прозрачной брони толщиной 55 мм прикрывал пилота от гня спереди. Кабина стрелка была выполнена в виде бронированной “капсулы” с тол</w:t>
      </w:r>
      <w:r w:rsidRPr="00D03F3E">
        <w:rPr>
          <w:rFonts w:ascii="Times New Roman" w:hAnsi="Times New Roman"/>
          <w:color w:val="000000" w:themeColor="text1"/>
          <w:sz w:val="16"/>
          <w:szCs w:val="16"/>
        </w:rPr>
        <w:softHyphen/>
        <w:t>щиной брони от 4 до 12 мм. Стрелок имел следующую защиту: снизу, с боков, сзади и частично сверху - бронеплиты различной толщины, а сзади сверху — прозрачную 65-м броню блистерной установки.</w:t>
      </w:r>
    </w:p>
    <w:p w14:paraId="32980162"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Агрегаты мотора защищались внутренним бронированным капотом и специальным бронированным разъемным кольцом. Радиаторы и трубопроводы к ним снизу и сзади прикрывались гнутым бронелистом толщиной 6 мм. Цилиндр винта спереди за</w:t>
      </w:r>
      <w:r w:rsidRPr="00D03F3E">
        <w:rPr>
          <w:rFonts w:ascii="Times New Roman" w:hAnsi="Times New Roman"/>
          <w:color w:val="000000" w:themeColor="text1"/>
          <w:sz w:val="16"/>
          <w:szCs w:val="16"/>
        </w:rPr>
        <w:softHyphen/>
        <w:t>щищался сферическим диском из брони толщиной 6 мм. В целом бронирование са</w:t>
      </w:r>
      <w:r w:rsidRPr="00D03F3E">
        <w:rPr>
          <w:rFonts w:ascii="Times New Roman" w:hAnsi="Times New Roman"/>
          <w:color w:val="000000" w:themeColor="text1"/>
          <w:sz w:val="16"/>
          <w:szCs w:val="16"/>
        </w:rPr>
        <w:softHyphen/>
        <w:t>молета обеспечивало защиту от пуль кали</w:t>
      </w:r>
      <w:r w:rsidRPr="00D03F3E">
        <w:rPr>
          <w:rFonts w:ascii="Times New Roman" w:hAnsi="Times New Roman"/>
          <w:color w:val="000000" w:themeColor="text1"/>
          <w:sz w:val="16"/>
          <w:szCs w:val="16"/>
        </w:rPr>
        <w:softHyphen/>
        <w:t>бра 12,7 мм. Живучесть повышалась также за счет применения наддува бензобака вы</w:t>
      </w:r>
      <w:r w:rsidRPr="00D03F3E">
        <w:rPr>
          <w:rFonts w:ascii="Times New Roman" w:hAnsi="Times New Roman"/>
          <w:color w:val="000000" w:themeColor="text1"/>
          <w:sz w:val="16"/>
          <w:szCs w:val="16"/>
        </w:rPr>
        <w:softHyphen/>
        <w:t>хлопными газами от мотора.</w:t>
      </w:r>
    </w:p>
    <w:p w14:paraId="0C79D24A"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Наступательное стрелково-пушечное во</w:t>
      </w:r>
      <w:r w:rsidRPr="00D03F3E">
        <w:rPr>
          <w:rFonts w:ascii="Times New Roman" w:hAnsi="Times New Roman"/>
          <w:color w:val="000000" w:themeColor="text1"/>
          <w:sz w:val="16"/>
          <w:szCs w:val="16"/>
        </w:rPr>
        <w:softHyphen/>
        <w:t>оружение самолета включало две пушки НС-37 и столько же пулеметов ШКАС, раз</w:t>
      </w:r>
      <w:r w:rsidRPr="00D03F3E">
        <w:rPr>
          <w:rFonts w:ascii="Times New Roman" w:hAnsi="Times New Roman"/>
          <w:color w:val="000000" w:themeColor="text1"/>
          <w:sz w:val="16"/>
          <w:szCs w:val="16"/>
        </w:rPr>
        <w:softHyphen/>
        <w:t>мещенных в крыле. Попутно заметим, что никаких замечаний по проблемам, связан</w:t>
      </w:r>
      <w:r w:rsidRPr="00D03F3E">
        <w:rPr>
          <w:rFonts w:ascii="Times New Roman" w:hAnsi="Times New Roman"/>
          <w:color w:val="000000" w:themeColor="text1"/>
          <w:sz w:val="16"/>
          <w:szCs w:val="16"/>
        </w:rPr>
        <w:softHyphen/>
        <w:t>ным со стрельбой из пушек НС-37, в отличие от самолета Ил-2 АМ-38Ф с этими орудия</w:t>
      </w:r>
      <w:r w:rsidRPr="00D03F3E">
        <w:rPr>
          <w:rFonts w:ascii="Times New Roman" w:hAnsi="Times New Roman"/>
          <w:color w:val="000000" w:themeColor="text1"/>
          <w:sz w:val="16"/>
          <w:szCs w:val="16"/>
        </w:rPr>
        <w:softHyphen/>
        <w:t>ми в ходе испытаний не высказывалось. Это можно объяснить прежде всего более высо</w:t>
      </w:r>
      <w:r w:rsidRPr="00D03F3E">
        <w:rPr>
          <w:rFonts w:ascii="Times New Roman" w:hAnsi="Times New Roman"/>
          <w:color w:val="000000" w:themeColor="text1"/>
          <w:sz w:val="16"/>
          <w:szCs w:val="16"/>
        </w:rPr>
        <w:softHyphen/>
        <w:t>кими запасами устойчивости Су-6 М-71Ф, его хорошей маневренностью, размещением пушек ближе к продольной оси самолета.</w:t>
      </w:r>
    </w:p>
    <w:p w14:paraId="38851D03"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стрельбы назад использовалась блистерная установка БЛУБ с пулеметом УБТ калибра 12,7 мм. Бомбовая нагрузка — 200 кг в перегрузку. Размещалась она внутри фюзеляжа в четырех отсеках (по бокам кабины стрелка). В исключительных случаях при базировании на хороших аэ</w:t>
      </w:r>
      <w:r w:rsidRPr="00D03F3E">
        <w:rPr>
          <w:rFonts w:ascii="Times New Roman" w:hAnsi="Times New Roman"/>
          <w:color w:val="000000" w:themeColor="text1"/>
          <w:sz w:val="16"/>
          <w:szCs w:val="16"/>
        </w:rPr>
        <w:softHyphen/>
        <w:t>родромах можно было подвесить внутри фюзеляжа четыре бомбы ФАБ-100ЦК, ли</w:t>
      </w:r>
      <w:r w:rsidRPr="00D03F3E">
        <w:rPr>
          <w:rFonts w:ascii="Times New Roman" w:hAnsi="Times New Roman"/>
          <w:color w:val="000000" w:themeColor="text1"/>
          <w:sz w:val="16"/>
          <w:szCs w:val="16"/>
        </w:rPr>
        <w:softHyphen/>
        <w:t>бо на внешней подвеске — две ФАБ-250.</w:t>
      </w:r>
    </w:p>
    <w:p w14:paraId="65B6E028"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П.М.Стефановский предлагал выпус</w:t>
      </w:r>
      <w:r w:rsidRPr="00D03F3E">
        <w:rPr>
          <w:rFonts w:ascii="Times New Roman" w:hAnsi="Times New Roman"/>
          <w:color w:val="000000" w:themeColor="text1"/>
          <w:sz w:val="16"/>
          <w:szCs w:val="16"/>
        </w:rPr>
        <w:softHyphen/>
        <w:t>кать самолет Су-6 М-71Ф в одноместном варианте с пушками НС-37 и в двухмест</w:t>
      </w:r>
      <w:r w:rsidRPr="00D03F3E">
        <w:rPr>
          <w:rFonts w:ascii="Times New Roman" w:hAnsi="Times New Roman"/>
          <w:color w:val="000000" w:themeColor="text1"/>
          <w:sz w:val="16"/>
          <w:szCs w:val="16"/>
        </w:rPr>
        <w:softHyphen/>
        <w:t>ном — с пушками ВЯ. Кроме того, на двух</w:t>
      </w:r>
      <w:r w:rsidRPr="00D03F3E">
        <w:rPr>
          <w:rFonts w:ascii="Times New Roman" w:hAnsi="Times New Roman"/>
          <w:color w:val="000000" w:themeColor="text1"/>
          <w:sz w:val="16"/>
          <w:szCs w:val="16"/>
        </w:rPr>
        <w:softHyphen/>
        <w:t>местном самолете Су-6 он предлагал мон</w:t>
      </w:r>
      <w:r w:rsidRPr="00D03F3E">
        <w:rPr>
          <w:rFonts w:ascii="Times New Roman" w:hAnsi="Times New Roman"/>
          <w:color w:val="000000" w:themeColor="text1"/>
          <w:sz w:val="16"/>
          <w:szCs w:val="16"/>
        </w:rPr>
        <w:softHyphen/>
        <w:t>тировать мотор М-71Ф с изъятой второй скоростью нагнетателя и дальнейшим фор</w:t>
      </w:r>
      <w:r w:rsidRPr="00D03F3E">
        <w:rPr>
          <w:rFonts w:ascii="Times New Roman" w:hAnsi="Times New Roman"/>
          <w:color w:val="000000" w:themeColor="text1"/>
          <w:sz w:val="16"/>
          <w:szCs w:val="16"/>
        </w:rPr>
        <w:softHyphen/>
        <w:t>сированием его на малых высотах. Реали</w:t>
      </w:r>
      <w:r w:rsidRPr="00D03F3E">
        <w:rPr>
          <w:rFonts w:ascii="Times New Roman" w:hAnsi="Times New Roman"/>
          <w:color w:val="000000" w:themeColor="text1"/>
          <w:sz w:val="16"/>
          <w:szCs w:val="16"/>
        </w:rPr>
        <w:softHyphen/>
        <w:t>зация предложений П.М.Стефановского позволила бы иметь сильно вооруженный одноместный бронированный штурмовик и истребитель бомбардировщиков с летными данными, близкими к серийным истреби</w:t>
      </w:r>
      <w:r w:rsidRPr="00D03F3E">
        <w:rPr>
          <w:rFonts w:ascii="Times New Roman" w:hAnsi="Times New Roman"/>
          <w:color w:val="000000" w:themeColor="text1"/>
          <w:sz w:val="16"/>
          <w:szCs w:val="16"/>
        </w:rPr>
        <w:softHyphen/>
        <w:t>телям противника, а также двухместный бронированный штурмовик с еще более высокими летными данными (5011).</w:t>
      </w:r>
    </w:p>
    <w:p w14:paraId="33C23B72"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F78EC7"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 20 июня по 30 августа 1943 на Су-6 М-71ф было выполнено 42 полета (налет 23 ч 10 мин). Испытания проводили: ве</w:t>
      </w:r>
      <w:r w:rsidRPr="00D03F3E">
        <w:rPr>
          <w:rFonts w:ascii="Times New Roman" w:hAnsi="Times New Roman"/>
          <w:color w:val="0070C0"/>
          <w:sz w:val="16"/>
          <w:szCs w:val="16"/>
        </w:rPr>
        <w:softHyphen/>
        <w:t>дущий инженер - инженер-майор Сине</w:t>
      </w:r>
      <w:r w:rsidRPr="00D03F3E">
        <w:rPr>
          <w:rFonts w:ascii="Times New Roman" w:hAnsi="Times New Roman"/>
          <w:color w:val="0070C0"/>
          <w:sz w:val="16"/>
          <w:szCs w:val="16"/>
        </w:rPr>
        <w:softHyphen/>
        <w:t>льников, ведущий летчик - летчик-испы- татель полковник А.И. Кабанов, летчики облета - полковник П.М. Стефановский и майор Долгов, штурманы-испытатели - капитаны Васильев и Горбунов.</w:t>
      </w:r>
    </w:p>
    <w:p w14:paraId="0C2D38D8"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ходе испытаний переделали кон</w:t>
      </w:r>
      <w:r w:rsidRPr="00D03F3E">
        <w:rPr>
          <w:rFonts w:ascii="Times New Roman" w:hAnsi="Times New Roman"/>
          <w:color w:val="0070C0"/>
          <w:sz w:val="16"/>
          <w:szCs w:val="16"/>
        </w:rPr>
        <w:softHyphen/>
        <w:t>струкцию стопора костыльного колеса («сделан по типу самолета Ил-2»), Увели</w:t>
      </w:r>
      <w:r w:rsidRPr="00D03F3E">
        <w:rPr>
          <w:rFonts w:ascii="Times New Roman" w:hAnsi="Times New Roman"/>
          <w:color w:val="0070C0"/>
          <w:sz w:val="16"/>
          <w:szCs w:val="16"/>
        </w:rPr>
        <w:softHyphen/>
        <w:t>чили аэродинамическую компенсацию руля высоты.</w:t>
      </w:r>
    </w:p>
    <w:p w14:paraId="3DEA740F"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Для улучшения взлетных характери</w:t>
      </w:r>
      <w:r w:rsidRPr="00D03F3E">
        <w:rPr>
          <w:rFonts w:ascii="Times New Roman" w:hAnsi="Times New Roman"/>
          <w:color w:val="0070C0"/>
          <w:sz w:val="16"/>
          <w:szCs w:val="16"/>
        </w:rPr>
        <w:softHyphen/>
        <w:t>стик трехлопастный винт АВ-5-4А диаме</w:t>
      </w:r>
      <w:r w:rsidRPr="00D03F3E">
        <w:rPr>
          <w:rFonts w:ascii="Times New Roman" w:hAnsi="Times New Roman"/>
          <w:color w:val="0070C0"/>
          <w:sz w:val="16"/>
          <w:szCs w:val="16"/>
        </w:rPr>
        <w:softHyphen/>
        <w:t>тром 3,25 м заменили четырехлопастным АВ-9-4А диаметром 3,35 м,с которым дополнительно сняли летные данные и определили взлетно-посадочные качества. Вместо мотора М-71ф зав. №7101004 установили мотор зав. №7101007.</w:t>
      </w:r>
    </w:p>
    <w:p w14:paraId="66734920"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Попытка понизить температуру масла путем установки стандартных 9-дюймо- вых радиаторов, но с увеличенным разли</w:t>
      </w:r>
      <w:r w:rsidRPr="00D03F3E">
        <w:rPr>
          <w:rFonts w:ascii="Times New Roman" w:hAnsi="Times New Roman"/>
          <w:color w:val="0070C0"/>
          <w:sz w:val="16"/>
          <w:szCs w:val="16"/>
        </w:rPr>
        <w:softHyphen/>
        <w:t>вом масла при входе, положительных ре</w:t>
      </w:r>
      <w:r w:rsidRPr="00D03F3E">
        <w:rPr>
          <w:rFonts w:ascii="Times New Roman" w:hAnsi="Times New Roman"/>
          <w:color w:val="0070C0"/>
          <w:sz w:val="16"/>
          <w:szCs w:val="16"/>
        </w:rPr>
        <w:softHyphen/>
        <w:t>зультатов не дала. Вместо них смонтиро</w:t>
      </w:r>
      <w:r w:rsidRPr="00D03F3E">
        <w:rPr>
          <w:rFonts w:ascii="Times New Roman" w:hAnsi="Times New Roman"/>
          <w:color w:val="0070C0"/>
          <w:sz w:val="16"/>
          <w:szCs w:val="16"/>
        </w:rPr>
        <w:softHyphen/>
        <w:t>вали опытные 9-дюймовые радиаторы с увеличенной поверхностью теплоотдачи (с трубками меньшего диаметра). Темпе</w:t>
      </w:r>
      <w:r w:rsidRPr="00D03F3E">
        <w:rPr>
          <w:rFonts w:ascii="Times New Roman" w:hAnsi="Times New Roman"/>
          <w:color w:val="0070C0"/>
          <w:sz w:val="16"/>
          <w:szCs w:val="16"/>
        </w:rPr>
        <w:softHyphen/>
        <w:t>ратура масла вошла в норму.</w:t>
      </w:r>
    </w:p>
    <w:p w14:paraId="6FC93D1E"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Доработали пушки 11П и переделали звеньеотводы пушек. Внесли изменения в пулеметную установку БЛУБ («усилена пружинная компенсация пулемета, дора</w:t>
      </w:r>
      <w:r w:rsidRPr="00D03F3E">
        <w:rPr>
          <w:rFonts w:ascii="Times New Roman" w:hAnsi="Times New Roman"/>
          <w:color w:val="0070C0"/>
          <w:sz w:val="16"/>
          <w:szCs w:val="16"/>
        </w:rPr>
        <w:softHyphen/>
        <w:t>ботаны магазины, изменена мушка коль</w:t>
      </w:r>
      <w:r w:rsidRPr="00D03F3E">
        <w:rPr>
          <w:rFonts w:ascii="Times New Roman" w:hAnsi="Times New Roman"/>
          <w:color w:val="0070C0"/>
          <w:sz w:val="16"/>
          <w:szCs w:val="16"/>
        </w:rPr>
        <w:softHyphen/>
        <w:t>цевого прицела»). Мешок для сбора стре</w:t>
      </w:r>
      <w:r w:rsidRPr="00D03F3E">
        <w:rPr>
          <w:rFonts w:ascii="Times New Roman" w:hAnsi="Times New Roman"/>
          <w:color w:val="0070C0"/>
          <w:sz w:val="16"/>
          <w:szCs w:val="16"/>
        </w:rPr>
        <w:softHyphen/>
        <w:t>ляных гильз и звеньев, подвешенный к пулемету УБТ и затруднявший маневриро</w:t>
      </w:r>
      <w:r w:rsidRPr="00D03F3E">
        <w:rPr>
          <w:rFonts w:ascii="Times New Roman" w:hAnsi="Times New Roman"/>
          <w:color w:val="0070C0"/>
          <w:sz w:val="16"/>
          <w:szCs w:val="16"/>
        </w:rPr>
        <w:softHyphen/>
        <w:t>вание пулеметом при стрельбе, заменили специальным фартуком, закрепленным в кабине. Доводилось «до ума» и бомбар</w:t>
      </w:r>
      <w:r w:rsidRPr="00D03F3E">
        <w:rPr>
          <w:rFonts w:ascii="Times New Roman" w:hAnsi="Times New Roman"/>
          <w:color w:val="0070C0"/>
          <w:sz w:val="16"/>
          <w:szCs w:val="16"/>
        </w:rPr>
        <w:softHyphen/>
        <w:t>дировочное вооружение («усилены ры</w:t>
      </w:r>
      <w:r w:rsidRPr="00D03F3E">
        <w:rPr>
          <w:rFonts w:ascii="Times New Roman" w:hAnsi="Times New Roman"/>
          <w:color w:val="0070C0"/>
          <w:sz w:val="16"/>
          <w:szCs w:val="16"/>
        </w:rPr>
        <w:softHyphen/>
        <w:t>чаги замков верхних створок бомбовых отсеков»).</w:t>
      </w:r>
    </w:p>
    <w:p w14:paraId="163AA8B4"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Перекомпоновали и доработали все радиооборудование. Дальность и каче</w:t>
      </w:r>
      <w:r w:rsidRPr="00D03F3E">
        <w:rPr>
          <w:rFonts w:ascii="Times New Roman" w:hAnsi="Times New Roman"/>
          <w:color w:val="0070C0"/>
          <w:sz w:val="16"/>
          <w:szCs w:val="16"/>
        </w:rPr>
        <w:softHyphen/>
        <w:t>ство радиосвязи заметно повысились. При этом радиостанцию РСИ-4 перенесли в хвостовую часть фюзеляжа. Подстройка приемника и регулировка громкости осу</w:t>
      </w:r>
      <w:r w:rsidRPr="00D03F3E">
        <w:rPr>
          <w:rFonts w:ascii="Times New Roman" w:hAnsi="Times New Roman"/>
          <w:color w:val="0070C0"/>
          <w:sz w:val="16"/>
          <w:szCs w:val="16"/>
        </w:rPr>
        <w:softHyphen/>
        <w:t>ществлялась при помощи механизма ди</w:t>
      </w:r>
      <w:r w:rsidRPr="00D03F3E">
        <w:rPr>
          <w:rFonts w:ascii="Times New Roman" w:hAnsi="Times New Roman"/>
          <w:color w:val="0070C0"/>
          <w:sz w:val="16"/>
          <w:szCs w:val="16"/>
        </w:rPr>
        <w:softHyphen/>
        <w:t>станционного управления от электрок</w:t>
      </w:r>
      <w:r w:rsidRPr="00D03F3E">
        <w:rPr>
          <w:rFonts w:ascii="Times New Roman" w:hAnsi="Times New Roman"/>
          <w:color w:val="0070C0"/>
          <w:sz w:val="16"/>
          <w:szCs w:val="16"/>
        </w:rPr>
        <w:softHyphen/>
        <w:t>нопки на секторе газа.</w:t>
      </w:r>
    </w:p>
    <w:p w14:paraId="6366BE28"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 максимальным скоростям, ско</w:t>
      </w:r>
      <w:r w:rsidRPr="00D03F3E">
        <w:rPr>
          <w:rFonts w:ascii="Times New Roman" w:hAnsi="Times New Roman"/>
          <w:color w:val="0070C0"/>
          <w:sz w:val="16"/>
          <w:szCs w:val="16"/>
        </w:rPr>
        <w:softHyphen/>
        <w:t>роподъемности, маневренности, дально</w:t>
      </w:r>
      <w:r w:rsidRPr="00D03F3E">
        <w:rPr>
          <w:rFonts w:ascii="Times New Roman" w:hAnsi="Times New Roman"/>
          <w:color w:val="0070C0"/>
          <w:sz w:val="16"/>
          <w:szCs w:val="16"/>
        </w:rPr>
        <w:softHyphen/>
        <w:t>сти, вооружению и бронированию Су-6</w:t>
      </w:r>
    </w:p>
    <w:p w14:paraId="7799EA48"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М-71ф значительно превосходил находя</w:t>
      </w:r>
      <w:r w:rsidRPr="00D03F3E">
        <w:rPr>
          <w:rFonts w:ascii="Times New Roman" w:hAnsi="Times New Roman"/>
          <w:color w:val="0070C0"/>
          <w:sz w:val="16"/>
          <w:szCs w:val="16"/>
        </w:rPr>
        <w:softHyphen/>
        <w:t>щийся на вооружении ВВС КА двухмест</w:t>
      </w:r>
      <w:r w:rsidRPr="00D03F3E">
        <w:rPr>
          <w:rFonts w:ascii="Times New Roman" w:hAnsi="Times New Roman"/>
          <w:color w:val="0070C0"/>
          <w:sz w:val="16"/>
          <w:szCs w:val="16"/>
        </w:rPr>
        <w:softHyphen/>
        <w:t>ный Ил-2 АМ-38ф.</w:t>
      </w:r>
    </w:p>
    <w:p w14:paraId="66BDBF9E"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 полетном весе 5534 кг (без бомб) максимальная скорость у земли Су-6 М-71ф с винтом АВ-5-4А - 480 км/ч, по</w:t>
      </w:r>
      <w:r w:rsidRPr="00D03F3E">
        <w:rPr>
          <w:rFonts w:ascii="Times New Roman" w:hAnsi="Times New Roman"/>
          <w:color w:val="0070C0"/>
          <w:sz w:val="16"/>
          <w:szCs w:val="16"/>
        </w:rPr>
        <w:softHyphen/>
        <w:t>чти на 100 км/ч превосходила скорость двухместного Ил-2 АМ-38ф. На высоте 1450 м (1-я граница высотности) штур</w:t>
      </w:r>
      <w:r w:rsidRPr="00D03F3E">
        <w:rPr>
          <w:rFonts w:ascii="Times New Roman" w:hAnsi="Times New Roman"/>
          <w:color w:val="0070C0"/>
          <w:sz w:val="16"/>
          <w:szCs w:val="16"/>
        </w:rPr>
        <w:softHyphen/>
        <w:t>мовик развивал скорость 506 км/ч, а на 3850 м (2-я граница высотности) - 514 км/ч. Время подъема на высоту 1000 м не превышало 1,8 мин. Вертикаль</w:t>
      </w:r>
      <w:r w:rsidRPr="00D03F3E">
        <w:rPr>
          <w:rFonts w:ascii="Times New Roman" w:hAnsi="Times New Roman"/>
          <w:color w:val="0070C0"/>
          <w:sz w:val="16"/>
          <w:szCs w:val="16"/>
        </w:rPr>
        <w:softHyphen/>
        <w:t>ная скорость на 1150 м равнялась 9,6 м/с.</w:t>
      </w:r>
    </w:p>
    <w:p w14:paraId="186D0D28"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Разбег при взлете с применением форсажа и выпущенными на 20° щит</w:t>
      </w:r>
      <w:r w:rsidRPr="00D03F3E">
        <w:rPr>
          <w:rFonts w:ascii="Times New Roman" w:hAnsi="Times New Roman"/>
          <w:color w:val="0070C0"/>
          <w:sz w:val="16"/>
          <w:szCs w:val="16"/>
        </w:rPr>
        <w:softHyphen/>
        <w:t>ками - 510 м (с 200 кг бомб - 540 м). Пробег со щитками, отклоненными на 55°, и использованием тормозов - 730 м.</w:t>
      </w:r>
    </w:p>
    <w:p w14:paraId="2A9E7B91"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Максимальная дальность полета на высоте 1000 м и скорости 349 км/ч (запас горючего 560 кг) достигала 973 км (2 ч 47 мин). Скоростная дальность полета (на скорости 448 км/ч) - 588 км (1 ч 19 мин).</w:t>
      </w:r>
    </w:p>
    <w:p w14:paraId="1CF740D2"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Поскольку 200 кг основной бомбовой нагрузки размещались внутри фюзеляжа, то максимальные скорости и дальности полета штурмовика с бомбами оставались практически теми же.</w:t>
      </w:r>
    </w:p>
    <w:p w14:paraId="547E7548"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С четырехлопастным винтом АВ-9-4А диаметром 3,35 м скоростные данные са</w:t>
      </w:r>
      <w:r w:rsidRPr="00D03F3E">
        <w:rPr>
          <w:rFonts w:ascii="Times New Roman" w:hAnsi="Times New Roman"/>
          <w:color w:val="0070C0"/>
          <w:sz w:val="16"/>
          <w:szCs w:val="16"/>
        </w:rPr>
        <w:softHyphen/>
        <w:t>молета были несколько хуже - примерно, на 3-4 км/ч (без кока винта). Однако ско</w:t>
      </w:r>
      <w:r w:rsidRPr="00D03F3E">
        <w:rPr>
          <w:rFonts w:ascii="Times New Roman" w:hAnsi="Times New Roman"/>
          <w:color w:val="0070C0"/>
          <w:sz w:val="16"/>
          <w:szCs w:val="16"/>
        </w:rPr>
        <w:softHyphen/>
        <w:t>роподъемность и взлетные качества за</w:t>
      </w:r>
      <w:r w:rsidRPr="00D03F3E">
        <w:rPr>
          <w:rFonts w:ascii="Times New Roman" w:hAnsi="Times New Roman"/>
          <w:color w:val="0070C0"/>
          <w:sz w:val="16"/>
          <w:szCs w:val="16"/>
        </w:rPr>
        <w:softHyphen/>
        <w:t>метно улучшились: вертикальная скорость у земли возросла с 9,0 до 9,5 м/с, а разбег сократился до 410 м.</w:t>
      </w:r>
    </w:p>
    <w:p w14:paraId="12661F74"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Вираж самолет выполнял на скорости 370-380 км/ч. Время виража при крене 45-50° равнялось 40-45 с. В левый ви</w:t>
      </w:r>
      <w:r w:rsidRPr="00D03F3E">
        <w:rPr>
          <w:rFonts w:ascii="Times New Roman" w:hAnsi="Times New Roman"/>
          <w:color w:val="0070C0"/>
          <w:sz w:val="16"/>
          <w:szCs w:val="16"/>
        </w:rPr>
        <w:softHyphen/>
        <w:t>раж «самолет идет охотнее, чем в пра</w:t>
      </w:r>
      <w:r w:rsidRPr="00D03F3E">
        <w:rPr>
          <w:rFonts w:ascii="Times New Roman" w:hAnsi="Times New Roman"/>
          <w:color w:val="0070C0"/>
          <w:sz w:val="16"/>
          <w:szCs w:val="16"/>
        </w:rPr>
        <w:softHyphen/>
        <w:t>вый». Выходит из виража легко. При ви</w:t>
      </w:r>
      <w:r w:rsidRPr="00D03F3E">
        <w:rPr>
          <w:rFonts w:ascii="Times New Roman" w:hAnsi="Times New Roman"/>
          <w:color w:val="0070C0"/>
          <w:sz w:val="16"/>
          <w:szCs w:val="16"/>
        </w:rPr>
        <w:softHyphen/>
        <w:t>раже на скорости 350 км/ч и ниже самолет стремился «сорваться в штопор с предварительным ослаблением нагрузки на руле глубины».</w:t>
      </w:r>
    </w:p>
    <w:p w14:paraId="72D165E0"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Пикировал Су-6 устойчиво. Доворачивать на цель при прицеливании и стрельбе было немного затруднительно из-за излишней путевой устойчивости.</w:t>
      </w:r>
    </w:p>
    <w:p w14:paraId="663E402D"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Самолет обладал хорошими характе</w:t>
      </w:r>
      <w:r w:rsidRPr="00D03F3E">
        <w:rPr>
          <w:rFonts w:ascii="Times New Roman" w:hAnsi="Times New Roman"/>
          <w:color w:val="0070C0"/>
          <w:sz w:val="16"/>
          <w:szCs w:val="16"/>
        </w:rPr>
        <w:softHyphen/>
        <w:t>ристиками устойчивости и управляемо</w:t>
      </w:r>
      <w:r w:rsidRPr="00D03F3E">
        <w:rPr>
          <w:rFonts w:ascii="Times New Roman" w:hAnsi="Times New Roman"/>
          <w:color w:val="0070C0"/>
          <w:sz w:val="16"/>
          <w:szCs w:val="16"/>
        </w:rPr>
        <w:softHyphen/>
        <w:t>сти, был прост и приятен в пилотировании. Наличие мощной механизации крыла (ав</w:t>
      </w:r>
      <w:r w:rsidRPr="00D03F3E">
        <w:rPr>
          <w:rFonts w:ascii="Times New Roman" w:hAnsi="Times New Roman"/>
          <w:color w:val="0070C0"/>
          <w:sz w:val="16"/>
          <w:szCs w:val="16"/>
        </w:rPr>
        <w:softHyphen/>
        <w:t>томатические предкрылки и щитки типа Шренк) позволяло ему устойчиво выпол</w:t>
      </w:r>
      <w:r w:rsidRPr="00D03F3E">
        <w:rPr>
          <w:rFonts w:ascii="Times New Roman" w:hAnsi="Times New Roman"/>
          <w:color w:val="0070C0"/>
          <w:sz w:val="16"/>
          <w:szCs w:val="16"/>
        </w:rPr>
        <w:softHyphen/>
        <w:t>нять маневры на больших углах атаки. По</w:t>
      </w:r>
      <w:r w:rsidRPr="00D03F3E">
        <w:rPr>
          <w:rFonts w:ascii="Times New Roman" w:hAnsi="Times New Roman"/>
          <w:color w:val="0070C0"/>
          <w:sz w:val="16"/>
          <w:szCs w:val="16"/>
        </w:rPr>
        <w:softHyphen/>
        <w:t>следнее обстоятельство являлось весьма важным для самолета поля боя, предназ</w:t>
      </w:r>
      <w:r w:rsidRPr="00D03F3E">
        <w:rPr>
          <w:rFonts w:ascii="Times New Roman" w:hAnsi="Times New Roman"/>
          <w:color w:val="0070C0"/>
          <w:sz w:val="16"/>
          <w:szCs w:val="16"/>
        </w:rPr>
        <w:softHyphen/>
        <w:t>наченного для действий на небольшой высоте, так как летчику необходимо было выполнять энергичное боевое маневри</w:t>
      </w:r>
      <w:r w:rsidRPr="00D03F3E">
        <w:rPr>
          <w:rFonts w:ascii="Times New Roman" w:hAnsi="Times New Roman"/>
          <w:color w:val="0070C0"/>
          <w:sz w:val="16"/>
          <w:szCs w:val="16"/>
        </w:rPr>
        <w:softHyphen/>
        <w:t>рование для выхода в атаку в ограничен</w:t>
      </w:r>
      <w:r w:rsidRPr="00D03F3E">
        <w:rPr>
          <w:rFonts w:ascii="Times New Roman" w:hAnsi="Times New Roman"/>
          <w:color w:val="0070C0"/>
          <w:sz w:val="16"/>
          <w:szCs w:val="16"/>
        </w:rPr>
        <w:softHyphen/>
        <w:t>ном пространстве над целью и преимуще</w:t>
      </w:r>
      <w:r w:rsidRPr="00D03F3E">
        <w:rPr>
          <w:rFonts w:ascii="Times New Roman" w:hAnsi="Times New Roman"/>
          <w:color w:val="0070C0"/>
          <w:sz w:val="16"/>
          <w:szCs w:val="16"/>
        </w:rPr>
        <w:softHyphen/>
        <w:t>ственно в вертикальной плоскости.</w:t>
      </w:r>
    </w:p>
    <w:p w14:paraId="7D30FDA6"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 посадке двухместный Су-6 был несколько сложнее одноместного Су-6 и Ил-2. По общему мнению летчиков-испы</w:t>
      </w:r>
      <w:r w:rsidRPr="00D03F3E">
        <w:rPr>
          <w:rFonts w:ascii="Times New Roman" w:hAnsi="Times New Roman"/>
          <w:color w:val="0070C0"/>
          <w:sz w:val="16"/>
          <w:szCs w:val="16"/>
        </w:rPr>
        <w:softHyphen/>
        <w:t>тателей, самолет доступен для освоения летчиками со средней квалификацией {«летчики должны быть подготовлены, как для пилотирования самолета Ла-5»).</w:t>
      </w:r>
    </w:p>
    <w:p w14:paraId="5B7FBA72"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отличие от Ил-2 с пушками 11П или Ш-37, на Су-6 М-71ф пушки 11П разме</w:t>
      </w:r>
      <w:r w:rsidRPr="00D03F3E">
        <w:rPr>
          <w:rFonts w:ascii="Times New Roman" w:hAnsi="Times New Roman"/>
          <w:color w:val="0070C0"/>
          <w:sz w:val="16"/>
          <w:szCs w:val="16"/>
        </w:rPr>
        <w:softHyphen/>
        <w:t>щались ближе к оси самолета, что в со</w:t>
      </w:r>
      <w:r w:rsidRPr="00D03F3E">
        <w:rPr>
          <w:rFonts w:ascii="Times New Roman" w:hAnsi="Times New Roman"/>
          <w:color w:val="0070C0"/>
          <w:sz w:val="16"/>
          <w:szCs w:val="16"/>
        </w:rPr>
        <w:softHyphen/>
        <w:t>вокупности с более высоким запасом устойчивости штурмовика обеспечи</w:t>
      </w:r>
      <w:r w:rsidRPr="00D03F3E">
        <w:rPr>
          <w:rFonts w:ascii="Times New Roman" w:hAnsi="Times New Roman"/>
          <w:color w:val="0070C0"/>
          <w:sz w:val="16"/>
          <w:szCs w:val="16"/>
        </w:rPr>
        <w:softHyphen/>
        <w:t>вало лучшую эффективность стрельбы из пушек в воздухе, по малоразмерным це</w:t>
      </w:r>
      <w:r w:rsidRPr="00D03F3E">
        <w:rPr>
          <w:rFonts w:ascii="Times New Roman" w:hAnsi="Times New Roman"/>
          <w:color w:val="0070C0"/>
          <w:sz w:val="16"/>
          <w:szCs w:val="16"/>
        </w:rPr>
        <w:softHyphen/>
        <w:t>лям. В ходе полигонных испытаний Су-6 никаких нареканий, связанных с влия</w:t>
      </w:r>
      <w:r w:rsidRPr="00D03F3E">
        <w:rPr>
          <w:rFonts w:ascii="Times New Roman" w:hAnsi="Times New Roman"/>
          <w:color w:val="0070C0"/>
          <w:sz w:val="16"/>
          <w:szCs w:val="16"/>
        </w:rPr>
        <w:softHyphen/>
        <w:t>нием силы отдачи пушек на самолет при стрельбе в воздухе летчиками-испытате</w:t>
      </w:r>
      <w:r w:rsidRPr="00D03F3E">
        <w:rPr>
          <w:rFonts w:ascii="Times New Roman" w:hAnsi="Times New Roman"/>
          <w:color w:val="0070C0"/>
          <w:sz w:val="16"/>
          <w:szCs w:val="16"/>
        </w:rPr>
        <w:softHyphen/>
        <w:t>лями не высказывались: «На пикировании при стрельбе самолет устойчив, отдача даже при стрельбе из всех точек незна</w:t>
      </w:r>
      <w:r w:rsidRPr="00D03F3E">
        <w:rPr>
          <w:rFonts w:ascii="Times New Roman" w:hAnsi="Times New Roman"/>
          <w:color w:val="0070C0"/>
          <w:sz w:val="16"/>
          <w:szCs w:val="16"/>
        </w:rPr>
        <w:softHyphen/>
        <w:t>чительна. Стрельба из одной пушки воз</w:t>
      </w:r>
      <w:r w:rsidRPr="00D03F3E">
        <w:rPr>
          <w:rFonts w:ascii="Times New Roman" w:hAnsi="Times New Roman"/>
          <w:color w:val="0070C0"/>
          <w:sz w:val="16"/>
          <w:szCs w:val="16"/>
        </w:rPr>
        <w:softHyphen/>
        <w:t>можна, явление разворачивания наблюда</w:t>
      </w:r>
      <w:r w:rsidRPr="00D03F3E">
        <w:rPr>
          <w:rFonts w:ascii="Times New Roman" w:hAnsi="Times New Roman"/>
          <w:color w:val="0070C0"/>
          <w:sz w:val="16"/>
          <w:szCs w:val="16"/>
        </w:rPr>
        <w:softHyphen/>
        <w:t>ется, но в меньшей степени, чем на Ил-2».</w:t>
      </w:r>
    </w:p>
    <w:p w14:paraId="4E208C0B"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Соответственно, «вероятность по</w:t>
      </w:r>
      <w:r w:rsidRPr="00D03F3E">
        <w:rPr>
          <w:rFonts w:ascii="Times New Roman" w:hAnsi="Times New Roman"/>
          <w:color w:val="0070C0"/>
          <w:sz w:val="16"/>
          <w:szCs w:val="16"/>
        </w:rPr>
        <w:softHyphen/>
        <w:t>падания при стрельбе из пушек калибра 57 мм с самолета Су-6 большая, чем при стрельбе из таких же пушек с самолета Ил-2, вследствие меньшего влияния силы отдачи на поведение самолета Су-6».</w:t>
      </w:r>
    </w:p>
    <w:p w14:paraId="51A959A9"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Поскольку установленный на само</w:t>
      </w:r>
      <w:r w:rsidRPr="00D03F3E">
        <w:rPr>
          <w:rFonts w:ascii="Times New Roman" w:hAnsi="Times New Roman"/>
          <w:color w:val="0070C0"/>
          <w:sz w:val="16"/>
          <w:szCs w:val="16"/>
        </w:rPr>
        <w:softHyphen/>
        <w:t>лете прицел ВВ-1 «не обеспечивает точ</w:t>
      </w:r>
      <w:r w:rsidRPr="00D03F3E">
        <w:rPr>
          <w:rFonts w:ascii="Times New Roman" w:hAnsi="Times New Roman"/>
          <w:color w:val="0070C0"/>
          <w:sz w:val="16"/>
          <w:szCs w:val="16"/>
        </w:rPr>
        <w:softHyphen/>
        <w:t>ность прицеливания при стрельбе из не</w:t>
      </w:r>
      <w:r w:rsidRPr="00D03F3E">
        <w:rPr>
          <w:rFonts w:ascii="Times New Roman" w:hAnsi="Times New Roman"/>
          <w:color w:val="0070C0"/>
          <w:sz w:val="16"/>
          <w:szCs w:val="16"/>
        </w:rPr>
        <w:softHyphen/>
        <w:t>подвижного оружия по целям ограничен</w:t>
      </w:r>
      <w:r w:rsidRPr="00D03F3E">
        <w:rPr>
          <w:rFonts w:ascii="Times New Roman" w:hAnsi="Times New Roman"/>
          <w:color w:val="0070C0"/>
          <w:sz w:val="16"/>
          <w:szCs w:val="16"/>
        </w:rPr>
        <w:softHyphen/>
        <w:t>ных размеров (габариты танка)»,то пред</w:t>
      </w:r>
      <w:r w:rsidRPr="00D03F3E">
        <w:rPr>
          <w:rFonts w:ascii="Times New Roman" w:hAnsi="Times New Roman"/>
          <w:color w:val="0070C0"/>
          <w:sz w:val="16"/>
          <w:szCs w:val="16"/>
        </w:rPr>
        <w:softHyphen/>
        <w:t>лагалось заменить его коллиматорным прицелом ПБП-16.</w:t>
      </w:r>
    </w:p>
    <w:p w14:paraId="68E1962A"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Помощник начальника тактического отделения 4-го отдела НИИ ВВС капи</w:t>
      </w:r>
      <w:r w:rsidRPr="00D03F3E">
        <w:rPr>
          <w:rFonts w:ascii="Times New Roman" w:hAnsi="Times New Roman"/>
          <w:color w:val="0070C0"/>
          <w:sz w:val="16"/>
          <w:szCs w:val="16"/>
        </w:rPr>
        <w:softHyphen/>
        <w:t>тан Васильев в своем донесении писал: «Кабина стрелка достаточно просторна и вполне обеспечивает нормальную ра</w:t>
      </w:r>
      <w:r w:rsidRPr="00D03F3E">
        <w:rPr>
          <w:rFonts w:ascii="Times New Roman" w:hAnsi="Times New Roman"/>
          <w:color w:val="0070C0"/>
          <w:sz w:val="16"/>
          <w:szCs w:val="16"/>
        </w:rPr>
        <w:softHyphen/>
        <w:t>боту. Основное положение работы с пуле</w:t>
      </w:r>
      <w:r w:rsidRPr="00D03F3E">
        <w:rPr>
          <w:rFonts w:ascii="Times New Roman" w:hAnsi="Times New Roman"/>
          <w:color w:val="0070C0"/>
          <w:sz w:val="16"/>
          <w:szCs w:val="16"/>
        </w:rPr>
        <w:softHyphen/>
        <w:t>метом - стоя./.../Вращение пулемета и блистера свободно./.../Углы обстрела пулемета вверх и в стороны - небольшие, но учитывая, что самолет на высотах до 3000 м имеет горизонтальные скоро</w:t>
      </w:r>
      <w:r w:rsidRPr="00D03F3E">
        <w:rPr>
          <w:rFonts w:ascii="Times New Roman" w:hAnsi="Times New Roman"/>
          <w:color w:val="0070C0"/>
          <w:sz w:val="16"/>
          <w:szCs w:val="16"/>
        </w:rPr>
        <w:softHyphen/>
        <w:t>сти, близкие к скоростям истребителей противника, они достаточны. Отражение атак противника сзади-сверху и сбоку, при использовании маневра самолета - вполне возможно. Установка не обеспечивает об</w:t>
      </w:r>
      <w:r w:rsidRPr="00D03F3E">
        <w:rPr>
          <w:rFonts w:ascii="Times New Roman" w:hAnsi="Times New Roman"/>
          <w:color w:val="0070C0"/>
          <w:sz w:val="16"/>
          <w:szCs w:val="16"/>
        </w:rPr>
        <w:softHyphen/>
        <w:t>стрел нижней части задней полусферы, огонь можно вести только выше стаби</w:t>
      </w:r>
      <w:r w:rsidRPr="00D03F3E">
        <w:rPr>
          <w:rFonts w:ascii="Times New Roman" w:hAnsi="Times New Roman"/>
          <w:color w:val="0070C0"/>
          <w:sz w:val="16"/>
          <w:szCs w:val="16"/>
        </w:rPr>
        <w:softHyphen/>
        <w:t>лизатора. Маневром самолета не всегда можно обеспечить необходимые углы об</w:t>
      </w:r>
      <w:r w:rsidRPr="00D03F3E">
        <w:rPr>
          <w:rFonts w:ascii="Times New Roman" w:hAnsi="Times New Roman"/>
          <w:color w:val="0070C0"/>
          <w:sz w:val="16"/>
          <w:szCs w:val="16"/>
        </w:rPr>
        <w:softHyphen/>
        <w:t>стрела для отражения атак самолета противника сзади-снизу. Наличие хорошей броневой защиты стрелка является зна</w:t>
      </w:r>
      <w:r w:rsidRPr="00D03F3E">
        <w:rPr>
          <w:rFonts w:ascii="Times New Roman" w:hAnsi="Times New Roman"/>
          <w:color w:val="0070C0"/>
          <w:sz w:val="16"/>
          <w:szCs w:val="16"/>
        </w:rPr>
        <w:softHyphen/>
        <w:t>чительным фактором живучести само</w:t>
      </w:r>
      <w:r w:rsidRPr="00D03F3E">
        <w:rPr>
          <w:rFonts w:ascii="Times New Roman" w:hAnsi="Times New Roman"/>
          <w:color w:val="0070C0"/>
          <w:sz w:val="16"/>
          <w:szCs w:val="16"/>
        </w:rPr>
        <w:softHyphen/>
        <w:t>лета в целом. Стрелок менее уязвим, чем на самолете Ил-2. Установка броневого экрана на пулемете стрелка является весьма целесообразным мероприятием, ко</w:t>
      </w:r>
      <w:r w:rsidRPr="00D03F3E">
        <w:rPr>
          <w:rFonts w:ascii="Times New Roman" w:hAnsi="Times New Roman"/>
          <w:color w:val="0070C0"/>
          <w:sz w:val="16"/>
          <w:szCs w:val="16"/>
        </w:rPr>
        <w:softHyphen/>
        <w:t>торое не только обеспечивает безопас</w:t>
      </w:r>
      <w:r w:rsidRPr="00D03F3E">
        <w:rPr>
          <w:rFonts w:ascii="Times New Roman" w:hAnsi="Times New Roman"/>
          <w:color w:val="0070C0"/>
          <w:sz w:val="16"/>
          <w:szCs w:val="16"/>
        </w:rPr>
        <w:softHyphen/>
        <w:t>ность стрелка, но дает возможность бо</w:t>
      </w:r>
      <w:r w:rsidRPr="00D03F3E">
        <w:rPr>
          <w:rFonts w:ascii="Times New Roman" w:hAnsi="Times New Roman"/>
          <w:color w:val="0070C0"/>
          <w:sz w:val="16"/>
          <w:szCs w:val="16"/>
        </w:rPr>
        <w:softHyphen/>
        <w:t>лее решительно и уверенно отражать атаки противника./.../Кабина стрелка, как по своим габаритам, так и по удоб</w:t>
      </w:r>
      <w:r w:rsidRPr="00D03F3E">
        <w:rPr>
          <w:rFonts w:ascii="Times New Roman" w:hAnsi="Times New Roman"/>
          <w:color w:val="0070C0"/>
          <w:sz w:val="16"/>
          <w:szCs w:val="16"/>
        </w:rPr>
        <w:softHyphen/>
        <w:t>ству работы в ней значительно лучше, чем кабина стрелка на самолете Ил-2. Хо</w:t>
      </w:r>
      <w:r w:rsidRPr="00D03F3E">
        <w:rPr>
          <w:rFonts w:ascii="Times New Roman" w:hAnsi="Times New Roman"/>
          <w:color w:val="0070C0"/>
          <w:sz w:val="16"/>
          <w:szCs w:val="16"/>
        </w:rPr>
        <w:softHyphen/>
        <w:t>рошее бронирование кабины обеспечивает безопасность и уверенность в работе стрелка, что в значительной степени по</w:t>
      </w:r>
      <w:r w:rsidRPr="00D03F3E">
        <w:rPr>
          <w:rFonts w:ascii="Times New Roman" w:hAnsi="Times New Roman"/>
          <w:color w:val="0070C0"/>
          <w:sz w:val="16"/>
          <w:szCs w:val="16"/>
        </w:rPr>
        <w:softHyphen/>
        <w:t>вышает живучесть самолета в целом».</w:t>
      </w:r>
    </w:p>
    <w:p w14:paraId="314AA712"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Штурман-испытатель капитан Гор</w:t>
      </w:r>
      <w:r w:rsidRPr="00D03F3E">
        <w:rPr>
          <w:rFonts w:ascii="Times New Roman" w:hAnsi="Times New Roman"/>
          <w:color w:val="0070C0"/>
          <w:sz w:val="16"/>
          <w:szCs w:val="16"/>
        </w:rPr>
        <w:softHyphen/>
        <w:t>бунов докладывал: «Запас патронов (196 шт.) для пулемета УБТ, размещенных в 4-х магазинах, достаточный. Для замены магазина и зарядки пулемета требуется 50-60 секунд./.../Подвешенный в кабине фартук обеспечивает улавливание гильз и звеньев и не мешает стрелку при работе с пулеметом».</w:t>
      </w:r>
    </w:p>
    <w:p w14:paraId="17F820E7"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ходе испытаний были проведены учебные воздушные бои с боевыми само</w:t>
      </w:r>
      <w:r w:rsidRPr="00D03F3E">
        <w:rPr>
          <w:rFonts w:ascii="Times New Roman" w:hAnsi="Times New Roman"/>
          <w:color w:val="0070C0"/>
          <w:sz w:val="16"/>
          <w:szCs w:val="16"/>
        </w:rPr>
        <w:softHyphen/>
        <w:t>летами люфтваффе, имевшимися в рас</w:t>
      </w:r>
      <w:r w:rsidRPr="00D03F3E">
        <w:rPr>
          <w:rFonts w:ascii="Times New Roman" w:hAnsi="Times New Roman"/>
          <w:color w:val="0070C0"/>
          <w:sz w:val="16"/>
          <w:szCs w:val="16"/>
        </w:rPr>
        <w:softHyphen/>
        <w:t>поряжении НИИ ВВС: с истребителем Bf 109G-2 в трехточечном варианте и с бомбардировщиком Не 111Н-11.</w:t>
      </w:r>
    </w:p>
    <w:p w14:paraId="2512FCB6"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Отмечалось, что маневрирование Су-6 в горизонтальной идем более, в верти</w:t>
      </w:r>
      <w:r w:rsidRPr="00D03F3E">
        <w:rPr>
          <w:rFonts w:ascii="Times New Roman" w:hAnsi="Times New Roman"/>
          <w:color w:val="0070C0"/>
          <w:sz w:val="16"/>
          <w:szCs w:val="16"/>
        </w:rPr>
        <w:softHyphen/>
        <w:t>кальной плоскости, «не создает истре</w:t>
      </w:r>
      <w:r w:rsidRPr="00D03F3E">
        <w:rPr>
          <w:rFonts w:ascii="Times New Roman" w:hAnsi="Times New Roman"/>
          <w:color w:val="0070C0"/>
          <w:sz w:val="16"/>
          <w:szCs w:val="16"/>
        </w:rPr>
        <w:softHyphen/>
        <w:t>бителю противника значительных за</w:t>
      </w:r>
      <w:r w:rsidRPr="00D03F3E">
        <w:rPr>
          <w:rFonts w:ascii="Times New Roman" w:hAnsi="Times New Roman"/>
          <w:color w:val="0070C0"/>
          <w:sz w:val="16"/>
          <w:szCs w:val="16"/>
        </w:rPr>
        <w:softHyphen/>
        <w:t>труднений в выполнении атак». Самолет Bfl09G-2 значительно превосходит Су-6 М-71ф, как по вертикальной, так и по го</w:t>
      </w:r>
      <w:r w:rsidRPr="00D03F3E">
        <w:rPr>
          <w:rFonts w:ascii="Times New Roman" w:hAnsi="Times New Roman"/>
          <w:color w:val="0070C0"/>
          <w:sz w:val="16"/>
          <w:szCs w:val="16"/>
        </w:rPr>
        <w:softHyphen/>
        <w:t>ризонтальной маневренности. Уже на первом вираже «мессершмитт» заходит самолету Су-6 в хвост для атаки.</w:t>
      </w:r>
    </w:p>
    <w:p w14:paraId="64758DD5"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Основной же вывод сводился к сле</w:t>
      </w:r>
      <w:r w:rsidRPr="00D03F3E">
        <w:rPr>
          <w:rFonts w:ascii="Times New Roman" w:hAnsi="Times New Roman"/>
          <w:color w:val="0070C0"/>
          <w:sz w:val="16"/>
          <w:szCs w:val="16"/>
        </w:rPr>
        <w:softHyphen/>
        <w:t>дующему: «Решать задачи борьбы с ис</w:t>
      </w:r>
      <w:r w:rsidRPr="00D03F3E">
        <w:rPr>
          <w:rFonts w:ascii="Times New Roman" w:hAnsi="Times New Roman"/>
          <w:color w:val="0070C0"/>
          <w:sz w:val="16"/>
          <w:szCs w:val="16"/>
        </w:rPr>
        <w:softHyphen/>
        <w:t>требителями противника самолет Су-6 по своим летным данным и маневренно</w:t>
      </w:r>
      <w:r w:rsidRPr="00D03F3E">
        <w:rPr>
          <w:rFonts w:ascii="Times New Roman" w:hAnsi="Times New Roman"/>
          <w:color w:val="0070C0"/>
          <w:sz w:val="16"/>
          <w:szCs w:val="16"/>
        </w:rPr>
        <w:softHyphen/>
        <w:t>сти НЕ МОЖЕТ (так в документе). Однако сравнительно большие гори</w:t>
      </w:r>
      <w:r w:rsidRPr="00D03F3E">
        <w:rPr>
          <w:rFonts w:ascii="Times New Roman" w:hAnsi="Times New Roman"/>
          <w:color w:val="0070C0"/>
          <w:sz w:val="16"/>
          <w:szCs w:val="16"/>
        </w:rPr>
        <w:softHyphen/>
        <w:t>зонтальные скорости и наличие оборони</w:t>
      </w:r>
      <w:r w:rsidRPr="00D03F3E">
        <w:rPr>
          <w:rFonts w:ascii="Times New Roman" w:hAnsi="Times New Roman"/>
          <w:color w:val="0070C0"/>
          <w:sz w:val="16"/>
          <w:szCs w:val="16"/>
        </w:rPr>
        <w:softHyphen/>
        <w:t>тельного вооружения на двухместном са</w:t>
      </w:r>
      <w:r w:rsidRPr="00D03F3E">
        <w:rPr>
          <w:rFonts w:ascii="Times New Roman" w:hAnsi="Times New Roman"/>
          <w:color w:val="0070C0"/>
          <w:sz w:val="16"/>
          <w:szCs w:val="16"/>
        </w:rPr>
        <w:softHyphen/>
        <w:t>молете позволяет отражать атаки ис</w:t>
      </w:r>
      <w:r w:rsidRPr="00D03F3E">
        <w:rPr>
          <w:rFonts w:ascii="Times New Roman" w:hAnsi="Times New Roman"/>
          <w:color w:val="0070C0"/>
          <w:sz w:val="16"/>
          <w:szCs w:val="16"/>
        </w:rPr>
        <w:softHyphen/>
        <w:t>требителей противника». Успешный воздушный бой самолетов Су-6 с истре</w:t>
      </w:r>
      <w:r w:rsidRPr="00D03F3E">
        <w:rPr>
          <w:rFonts w:ascii="Times New Roman" w:hAnsi="Times New Roman"/>
          <w:color w:val="0070C0"/>
          <w:sz w:val="16"/>
          <w:szCs w:val="16"/>
        </w:rPr>
        <w:softHyphen/>
        <w:t>бителями был возможен только в составе группы («не менее 2-4 самолетов Су-6, когда они обеспечивают взаимное прикры</w:t>
      </w:r>
      <w:r w:rsidRPr="00D03F3E">
        <w:rPr>
          <w:rFonts w:ascii="Times New Roman" w:hAnsi="Times New Roman"/>
          <w:color w:val="0070C0"/>
          <w:sz w:val="16"/>
          <w:szCs w:val="16"/>
        </w:rPr>
        <w:softHyphen/>
        <w:t>тие»), В то же время шансы одиночного Су-6 выжить в бою с истребителями оце</w:t>
      </w:r>
      <w:r w:rsidRPr="00D03F3E">
        <w:rPr>
          <w:rFonts w:ascii="Times New Roman" w:hAnsi="Times New Roman"/>
          <w:color w:val="0070C0"/>
          <w:sz w:val="16"/>
          <w:szCs w:val="16"/>
        </w:rPr>
        <w:softHyphen/>
        <w:t>нивались выше, чем у экипажа самолета Ил-2: «Задняя стрелковая установка БЛУБ на самолете Су-6 в сочетании с большей скоростью и значительно лучшим бро</w:t>
      </w:r>
      <w:r w:rsidRPr="00D03F3E">
        <w:rPr>
          <w:rFonts w:ascii="Times New Roman" w:hAnsi="Times New Roman"/>
          <w:color w:val="0070C0"/>
          <w:sz w:val="16"/>
          <w:szCs w:val="16"/>
        </w:rPr>
        <w:softHyphen/>
        <w:t>нированием стрелка обеспечивает более надежную оборону самолета от атак ис</w:t>
      </w:r>
      <w:r w:rsidRPr="00D03F3E">
        <w:rPr>
          <w:rFonts w:ascii="Times New Roman" w:hAnsi="Times New Roman"/>
          <w:color w:val="0070C0"/>
          <w:sz w:val="16"/>
          <w:szCs w:val="16"/>
        </w:rPr>
        <w:softHyphen/>
        <w:t>требителей противника, чем установка ВУБ-3 на самолете Ил-2».</w:t>
      </w:r>
    </w:p>
    <w:p w14:paraId="0CCF1BAB"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Воздушный бой с немецким бомбар</w:t>
      </w:r>
      <w:r w:rsidRPr="00D03F3E">
        <w:rPr>
          <w:rFonts w:ascii="Times New Roman" w:hAnsi="Times New Roman"/>
          <w:color w:val="0070C0"/>
          <w:sz w:val="16"/>
          <w:szCs w:val="16"/>
        </w:rPr>
        <w:softHyphen/>
        <w:t>дировщиком Не111Н-11 показал, что са</w:t>
      </w:r>
      <w:r w:rsidRPr="00D03F3E">
        <w:rPr>
          <w:rFonts w:ascii="Times New Roman" w:hAnsi="Times New Roman"/>
          <w:color w:val="0070C0"/>
          <w:sz w:val="16"/>
          <w:szCs w:val="16"/>
        </w:rPr>
        <w:softHyphen/>
        <w:t>молет Су-6 может атаковать его со всех направлений на высотах до 4000 м. При догоне бомбардировщика, «идущего по прямой на максимальной скорости и вы</w:t>
      </w:r>
      <w:r w:rsidRPr="00D03F3E">
        <w:rPr>
          <w:rFonts w:ascii="Times New Roman" w:hAnsi="Times New Roman"/>
          <w:color w:val="0070C0"/>
          <w:sz w:val="16"/>
          <w:szCs w:val="16"/>
        </w:rPr>
        <w:softHyphen/>
        <w:t>сотах до 4000 м, самолет Су-6 свободно атакует сзади, может обогнать и атако</w:t>
      </w:r>
      <w:r w:rsidRPr="00D03F3E">
        <w:rPr>
          <w:rFonts w:ascii="Times New Roman" w:hAnsi="Times New Roman"/>
          <w:color w:val="0070C0"/>
          <w:sz w:val="16"/>
          <w:szCs w:val="16"/>
        </w:rPr>
        <w:softHyphen/>
        <w:t>вать в лоб». Уйти с набором высоты «бом</w:t>
      </w:r>
      <w:r w:rsidRPr="00D03F3E">
        <w:rPr>
          <w:rFonts w:ascii="Times New Roman" w:hAnsi="Times New Roman"/>
          <w:color w:val="0070C0"/>
          <w:sz w:val="16"/>
          <w:szCs w:val="16"/>
        </w:rPr>
        <w:softHyphen/>
        <w:t>бардировщики противника типа Не-111, Фокке-Вульф-200 и Ю-87» не могут. Под углами более 50° к линии полета бомбар</w:t>
      </w:r>
      <w:r w:rsidRPr="00D03F3E">
        <w:rPr>
          <w:rFonts w:ascii="Times New Roman" w:hAnsi="Times New Roman"/>
          <w:color w:val="0070C0"/>
          <w:sz w:val="16"/>
          <w:szCs w:val="16"/>
        </w:rPr>
        <w:softHyphen/>
        <w:t>дировщика атаки возможны с дистанций 400-500 м. Считалось, что «эффектив</w:t>
      </w:r>
      <w:r w:rsidRPr="00D03F3E">
        <w:rPr>
          <w:rFonts w:ascii="Times New Roman" w:hAnsi="Times New Roman"/>
          <w:color w:val="0070C0"/>
          <w:sz w:val="16"/>
          <w:szCs w:val="16"/>
        </w:rPr>
        <w:softHyphen/>
        <w:t>ность атак с этих дистанций обеспечива</w:t>
      </w:r>
      <w:r w:rsidRPr="00D03F3E">
        <w:rPr>
          <w:rFonts w:ascii="Times New Roman" w:hAnsi="Times New Roman"/>
          <w:color w:val="0070C0"/>
          <w:sz w:val="16"/>
          <w:szCs w:val="16"/>
        </w:rPr>
        <w:softHyphen/>
        <w:t>ется мощным пушечным вооружением са</w:t>
      </w:r>
      <w:r w:rsidRPr="00D03F3E">
        <w:rPr>
          <w:rFonts w:ascii="Times New Roman" w:hAnsi="Times New Roman"/>
          <w:color w:val="0070C0"/>
          <w:sz w:val="16"/>
          <w:szCs w:val="16"/>
        </w:rPr>
        <w:softHyphen/>
        <w:t>молета Су-6». При выходе из атаки в не</w:t>
      </w:r>
      <w:r w:rsidRPr="00D03F3E">
        <w:rPr>
          <w:rFonts w:ascii="Times New Roman" w:hAnsi="Times New Roman"/>
          <w:color w:val="0070C0"/>
          <w:sz w:val="16"/>
          <w:szCs w:val="16"/>
        </w:rPr>
        <w:softHyphen/>
        <w:t>которых случаях может использоваться пулемет стрелка.</w:t>
      </w:r>
    </w:p>
    <w:p w14:paraId="00652932"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 учетом этого был сделан вывод, что «благодаря сочетанию большой скоро</w:t>
      </w:r>
      <w:r w:rsidRPr="00D03F3E">
        <w:rPr>
          <w:rFonts w:ascii="Times New Roman" w:hAnsi="Times New Roman"/>
          <w:color w:val="0070C0"/>
          <w:sz w:val="16"/>
          <w:szCs w:val="16"/>
        </w:rPr>
        <w:softHyphen/>
        <w:t>сти и мощного вооружения, самолет Су-6 может эффективно применяться для борьбы с бомбардировщиками противника (типа Не-111, Фокке-Вульф-200, Ю-87) и транспортной авиацией».</w:t>
      </w:r>
    </w:p>
    <w:p w14:paraId="43EA0DE0"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Бронирование Су-6 оценивалось много выше, чем на серийном штурмо</w:t>
      </w:r>
      <w:r w:rsidRPr="00D03F3E">
        <w:rPr>
          <w:rFonts w:ascii="Times New Roman" w:hAnsi="Times New Roman"/>
          <w:color w:val="0070C0"/>
          <w:sz w:val="16"/>
          <w:szCs w:val="16"/>
        </w:rPr>
        <w:softHyphen/>
        <w:t>вике Ил-2. При этом благодаря более ра</w:t>
      </w:r>
      <w:r w:rsidRPr="00D03F3E">
        <w:rPr>
          <w:rFonts w:ascii="Times New Roman" w:hAnsi="Times New Roman"/>
          <w:color w:val="0070C0"/>
          <w:sz w:val="16"/>
          <w:szCs w:val="16"/>
        </w:rPr>
        <w:softHyphen/>
        <w:t>циональной схеме и распределению тол</w:t>
      </w:r>
      <w:r w:rsidRPr="00D03F3E">
        <w:rPr>
          <w:rFonts w:ascii="Times New Roman" w:hAnsi="Times New Roman"/>
          <w:color w:val="0070C0"/>
          <w:sz w:val="16"/>
          <w:szCs w:val="16"/>
        </w:rPr>
        <w:softHyphen/>
        <w:t>щин броневых листов (от 2 до 12 мм) сум</w:t>
      </w:r>
      <w:r w:rsidRPr="00D03F3E">
        <w:rPr>
          <w:rFonts w:ascii="Times New Roman" w:hAnsi="Times New Roman"/>
          <w:color w:val="0070C0"/>
          <w:sz w:val="16"/>
          <w:szCs w:val="16"/>
        </w:rPr>
        <w:softHyphen/>
        <w:t>марный вес брони (642,6 кг) оказался за</w:t>
      </w:r>
      <w:r w:rsidRPr="00D03F3E">
        <w:rPr>
          <w:rFonts w:ascii="Times New Roman" w:hAnsi="Times New Roman"/>
          <w:color w:val="0070C0"/>
          <w:sz w:val="16"/>
          <w:szCs w:val="16"/>
        </w:rPr>
        <w:softHyphen/>
        <w:t>метно меньше, чем у двухместного Ил-2 АМ-38ф (957 кг), при лучшем уровне за</w:t>
      </w:r>
      <w:r w:rsidRPr="00D03F3E">
        <w:rPr>
          <w:rFonts w:ascii="Times New Roman" w:hAnsi="Times New Roman"/>
          <w:color w:val="0070C0"/>
          <w:sz w:val="16"/>
          <w:szCs w:val="16"/>
        </w:rPr>
        <w:softHyphen/>
        <w:t>щищенности воздушного стрелка, летчика и жизненно важных элементов конструк</w:t>
      </w:r>
      <w:r w:rsidRPr="00D03F3E">
        <w:rPr>
          <w:rFonts w:ascii="Times New Roman" w:hAnsi="Times New Roman"/>
          <w:color w:val="0070C0"/>
          <w:sz w:val="16"/>
          <w:szCs w:val="16"/>
        </w:rPr>
        <w:softHyphen/>
        <w:t>ции самолета.</w:t>
      </w:r>
    </w:p>
    <w:p w14:paraId="05231263"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Как известно, на Ил-2 наиболее уяз</w:t>
      </w:r>
      <w:r w:rsidRPr="00D03F3E">
        <w:rPr>
          <w:rFonts w:ascii="Times New Roman" w:hAnsi="Times New Roman"/>
          <w:color w:val="0070C0"/>
          <w:sz w:val="16"/>
          <w:szCs w:val="16"/>
        </w:rPr>
        <w:softHyphen/>
        <w:t>вимые от огня противника бронедетали оказались недостаточной толщины, а воз</w:t>
      </w:r>
      <w:r w:rsidRPr="00D03F3E">
        <w:rPr>
          <w:rFonts w:ascii="Times New Roman" w:hAnsi="Times New Roman"/>
          <w:color w:val="0070C0"/>
          <w:sz w:val="16"/>
          <w:szCs w:val="16"/>
        </w:rPr>
        <w:softHyphen/>
        <w:t>душный стрелок практически не имел бронезащиты.</w:t>
      </w:r>
    </w:p>
    <w:p w14:paraId="2D8510D2"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 заключению специалистов НИИ ВВС бронирование Су-6 М-71ф обеспе</w:t>
      </w:r>
      <w:r w:rsidRPr="00D03F3E">
        <w:rPr>
          <w:rFonts w:ascii="Times New Roman" w:hAnsi="Times New Roman"/>
          <w:color w:val="0070C0"/>
          <w:sz w:val="16"/>
          <w:szCs w:val="16"/>
        </w:rPr>
        <w:softHyphen/>
        <w:t>чивает надежную защиту «экипажа, бен</w:t>
      </w:r>
      <w:r w:rsidRPr="00D03F3E">
        <w:rPr>
          <w:rFonts w:ascii="Times New Roman" w:hAnsi="Times New Roman"/>
          <w:color w:val="0070C0"/>
          <w:sz w:val="16"/>
          <w:szCs w:val="16"/>
        </w:rPr>
        <w:softHyphen/>
        <w:t>зобака, маслорадиаторов и моторных аг</w:t>
      </w:r>
      <w:r w:rsidRPr="00D03F3E">
        <w:rPr>
          <w:rFonts w:ascii="Times New Roman" w:hAnsi="Times New Roman"/>
          <w:color w:val="0070C0"/>
          <w:sz w:val="16"/>
          <w:szCs w:val="16"/>
        </w:rPr>
        <w:softHyphen/>
        <w:t>регатов от поражения наземным ог</w:t>
      </w:r>
      <w:r w:rsidRPr="00D03F3E">
        <w:rPr>
          <w:rFonts w:ascii="Times New Roman" w:hAnsi="Times New Roman"/>
          <w:color w:val="0070C0"/>
          <w:sz w:val="16"/>
          <w:szCs w:val="16"/>
        </w:rPr>
        <w:softHyphen/>
        <w:t>нем и огнем самолетов противника (при стрельбе пулями калибра 7,92 мм с ди</w:t>
      </w:r>
      <w:r w:rsidRPr="00D03F3E">
        <w:rPr>
          <w:rFonts w:ascii="Times New Roman" w:hAnsi="Times New Roman"/>
          <w:color w:val="0070C0"/>
          <w:sz w:val="16"/>
          <w:szCs w:val="16"/>
        </w:rPr>
        <w:softHyphen/>
        <w:t>станции 100 м и калибра 15 мм с дистан</w:t>
      </w:r>
      <w:r w:rsidRPr="00D03F3E">
        <w:rPr>
          <w:rFonts w:ascii="Times New Roman" w:hAnsi="Times New Roman"/>
          <w:color w:val="0070C0"/>
          <w:sz w:val="16"/>
          <w:szCs w:val="16"/>
        </w:rPr>
        <w:softHyphen/>
        <w:t>ции порядка 400 м)». Помимо этого, живу</w:t>
      </w:r>
      <w:r w:rsidRPr="00D03F3E">
        <w:rPr>
          <w:rFonts w:ascii="Times New Roman" w:hAnsi="Times New Roman"/>
          <w:color w:val="0070C0"/>
          <w:sz w:val="16"/>
          <w:szCs w:val="16"/>
        </w:rPr>
        <w:softHyphen/>
        <w:t>честь штурмовика повышалась примене</w:t>
      </w:r>
      <w:r w:rsidRPr="00D03F3E">
        <w:rPr>
          <w:rFonts w:ascii="Times New Roman" w:hAnsi="Times New Roman"/>
          <w:color w:val="0070C0"/>
          <w:sz w:val="16"/>
          <w:szCs w:val="16"/>
        </w:rPr>
        <w:softHyphen/>
        <w:t>нием мотора воздушного охлаждения, бо</w:t>
      </w:r>
      <w:r w:rsidRPr="00D03F3E">
        <w:rPr>
          <w:rFonts w:ascii="Times New Roman" w:hAnsi="Times New Roman"/>
          <w:color w:val="0070C0"/>
          <w:sz w:val="16"/>
          <w:szCs w:val="16"/>
        </w:rPr>
        <w:softHyphen/>
        <w:t>лее стойкого к боевым повреждениям, чем моторы с жидкостным охлаждением, наддува бензобака выхлопными газами от мотора и дублированием в системе управления рулем высоты и направления.</w:t>
      </w:r>
    </w:p>
    <w:p w14:paraId="64E30C3F"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выводах по результатам государст</w:t>
      </w:r>
      <w:r w:rsidRPr="00D03F3E">
        <w:rPr>
          <w:rFonts w:ascii="Times New Roman" w:hAnsi="Times New Roman"/>
          <w:color w:val="0070C0"/>
          <w:sz w:val="16"/>
          <w:szCs w:val="16"/>
        </w:rPr>
        <w:softHyphen/>
        <w:t>венных испытаний Су-6 М-71ф отмеча</w:t>
      </w:r>
      <w:r w:rsidRPr="00D03F3E">
        <w:rPr>
          <w:rFonts w:ascii="Times New Roman" w:hAnsi="Times New Roman"/>
          <w:color w:val="0070C0"/>
          <w:sz w:val="16"/>
          <w:szCs w:val="16"/>
        </w:rPr>
        <w:softHyphen/>
        <w:t>лось: «По максимальным скоростям, ско</w:t>
      </w:r>
      <w:r w:rsidRPr="00D03F3E">
        <w:rPr>
          <w:rFonts w:ascii="Times New Roman" w:hAnsi="Times New Roman"/>
          <w:color w:val="0070C0"/>
          <w:sz w:val="16"/>
          <w:szCs w:val="16"/>
        </w:rPr>
        <w:softHyphen/>
        <w:t>роподъемности, потолку и дальности са</w:t>
      </w:r>
      <w:r w:rsidRPr="00D03F3E">
        <w:rPr>
          <w:rFonts w:ascii="Times New Roman" w:hAnsi="Times New Roman"/>
          <w:color w:val="0070C0"/>
          <w:sz w:val="16"/>
          <w:szCs w:val="16"/>
        </w:rPr>
        <w:softHyphen/>
        <w:t>молет Су-6 М-71ф ЗНАЧИТЕЛЬНО ПРЕ</w:t>
      </w:r>
      <w:r w:rsidRPr="00D03F3E">
        <w:rPr>
          <w:rFonts w:ascii="Times New Roman" w:hAnsi="Times New Roman"/>
          <w:color w:val="0070C0"/>
          <w:sz w:val="16"/>
          <w:szCs w:val="16"/>
        </w:rPr>
        <w:softHyphen/>
        <w:t>ВОСХОДИТ (так в документе - прим. авт.) находящийся на вооружении ВВС Красной Армии штурмовой самолет Ил-2 с мото</w:t>
      </w:r>
      <w:r w:rsidRPr="00D03F3E">
        <w:rPr>
          <w:rFonts w:ascii="Times New Roman" w:hAnsi="Times New Roman"/>
          <w:color w:val="0070C0"/>
          <w:sz w:val="16"/>
          <w:szCs w:val="16"/>
        </w:rPr>
        <w:softHyphen/>
        <w:t>ром АМ-38ф: а) По максимальной скоро</w:t>
      </w:r>
      <w:r w:rsidRPr="00D03F3E">
        <w:rPr>
          <w:rFonts w:ascii="Times New Roman" w:hAnsi="Times New Roman"/>
          <w:color w:val="0070C0"/>
          <w:sz w:val="16"/>
          <w:szCs w:val="16"/>
        </w:rPr>
        <w:softHyphen/>
        <w:t>сти: у земли - на 107 км/час (480 км/час вместо 373 км/час); на высоте 1000 м - на 115 км/час (499 км/час вместо 384 км/час); на высоте 4000 м - на 146 км/час (513 км/час вместо 367 км/час); б) По ско</w:t>
      </w:r>
      <w:r w:rsidRPr="00D03F3E">
        <w:rPr>
          <w:rFonts w:ascii="Times New Roman" w:hAnsi="Times New Roman"/>
          <w:color w:val="0070C0"/>
          <w:sz w:val="16"/>
          <w:szCs w:val="16"/>
        </w:rPr>
        <w:softHyphen/>
        <w:t>роподъемности: время набора высоты 4000 м меньше на 7,2 мин (8,2 мин вместо 15,4 мин); в) По потолку: потолок выше на 2500 м (8100 м вместо 5600 м); г) По даль</w:t>
      </w:r>
      <w:r w:rsidRPr="00D03F3E">
        <w:rPr>
          <w:rFonts w:ascii="Times New Roman" w:hAnsi="Times New Roman"/>
          <w:color w:val="0070C0"/>
          <w:sz w:val="16"/>
          <w:szCs w:val="16"/>
        </w:rPr>
        <w:softHyphen/>
        <w:t>ности: наибольшая дальность на высоте 1000 м больше на 353 км (973 км вместо 620 км)./.../Взлетные данные самолета Су-6 с М-71ф и Ил-2 АМ-38ф ПРАКТИЧЕ</w:t>
      </w:r>
      <w:r w:rsidRPr="00D03F3E">
        <w:rPr>
          <w:rFonts w:ascii="Times New Roman" w:hAnsi="Times New Roman"/>
          <w:color w:val="0070C0"/>
          <w:sz w:val="16"/>
          <w:szCs w:val="16"/>
        </w:rPr>
        <w:softHyphen/>
        <w:t>СКИ ОДИНАКОВЫЕ (так в документе): а) длина взлета у самолета Су-6 -410 м, а у самолета Ил-2 - 400 м; б) длина взлетной дистанции у самолета Су-6 - 1090 м, а у самолета Ил-2 - 1000 м».</w:t>
      </w:r>
    </w:p>
    <w:p w14:paraId="7559C36C"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Для повышения боевой эффективно</w:t>
      </w:r>
      <w:r w:rsidRPr="00D03F3E">
        <w:rPr>
          <w:rFonts w:ascii="Times New Roman" w:hAnsi="Times New Roman"/>
          <w:color w:val="0070C0"/>
          <w:sz w:val="16"/>
          <w:szCs w:val="16"/>
        </w:rPr>
        <w:softHyphen/>
        <w:t>сти считалось целесообразным «иметь штурмовые самолеты Су-6 в двухмест</w:t>
      </w:r>
      <w:r w:rsidRPr="00D03F3E">
        <w:rPr>
          <w:rFonts w:ascii="Times New Roman" w:hAnsi="Times New Roman"/>
          <w:color w:val="0070C0"/>
          <w:sz w:val="16"/>
          <w:szCs w:val="16"/>
        </w:rPr>
        <w:softHyphen/>
        <w:t>ном и одноместном варианте (с пушками 37 мм, с возможной заменой их на пушки калибра 23 мм, пулеметами ШКАС и бом</w:t>
      </w:r>
      <w:r w:rsidRPr="00D03F3E">
        <w:rPr>
          <w:rFonts w:ascii="Times New Roman" w:hAnsi="Times New Roman"/>
          <w:color w:val="0070C0"/>
          <w:sz w:val="16"/>
          <w:szCs w:val="16"/>
        </w:rPr>
        <w:softHyphen/>
        <w:t>бардировочным вооружением)». При этом «самолет Су-6 в одноместном варианте, имея меньший полетный вес на 230- 250 кг, сможет за счет этого брать боль</w:t>
      </w:r>
      <w:r w:rsidRPr="00D03F3E">
        <w:rPr>
          <w:rFonts w:ascii="Times New Roman" w:hAnsi="Times New Roman"/>
          <w:color w:val="0070C0"/>
          <w:sz w:val="16"/>
          <w:szCs w:val="16"/>
        </w:rPr>
        <w:softHyphen/>
        <w:t>шую бомбовую нагрузку, чем двухмест</w:t>
      </w:r>
      <w:r w:rsidRPr="00D03F3E">
        <w:rPr>
          <w:rFonts w:ascii="Times New Roman" w:hAnsi="Times New Roman"/>
          <w:color w:val="0070C0"/>
          <w:sz w:val="16"/>
          <w:szCs w:val="16"/>
        </w:rPr>
        <w:softHyphen/>
        <w:t>ный», а без бомбовой нагрузки - «со значительно большим эффектом вести борьбу против бомбардировщиков про</w:t>
      </w:r>
      <w:r w:rsidRPr="00D03F3E">
        <w:rPr>
          <w:rFonts w:ascii="Times New Roman" w:hAnsi="Times New Roman"/>
          <w:color w:val="0070C0"/>
          <w:sz w:val="16"/>
          <w:szCs w:val="16"/>
        </w:rPr>
        <w:softHyphen/>
        <w:t>тивника».</w:t>
      </w:r>
    </w:p>
    <w:p w14:paraId="0FAAEDB7"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Для улучшения взлетно-посадочных характристик и упрощения техники пило</w:t>
      </w:r>
      <w:r w:rsidRPr="00D03F3E">
        <w:rPr>
          <w:rFonts w:ascii="Times New Roman" w:hAnsi="Times New Roman"/>
          <w:color w:val="0070C0"/>
          <w:sz w:val="16"/>
          <w:szCs w:val="16"/>
        </w:rPr>
        <w:softHyphen/>
        <w:t>тирования предлагалось увеличить пло</w:t>
      </w:r>
      <w:r w:rsidRPr="00D03F3E">
        <w:rPr>
          <w:rFonts w:ascii="Times New Roman" w:hAnsi="Times New Roman"/>
          <w:color w:val="0070C0"/>
          <w:sz w:val="16"/>
          <w:szCs w:val="16"/>
        </w:rPr>
        <w:softHyphen/>
        <w:t>щадь крыла на 2-3 м2, обеспечить нор</w:t>
      </w:r>
      <w:r w:rsidRPr="00D03F3E">
        <w:rPr>
          <w:rFonts w:ascii="Times New Roman" w:hAnsi="Times New Roman"/>
          <w:color w:val="0070C0"/>
          <w:sz w:val="16"/>
          <w:szCs w:val="16"/>
        </w:rPr>
        <w:softHyphen/>
        <w:t>мальную работу предкрылков («установ</w:t>
      </w:r>
      <w:r w:rsidRPr="00D03F3E">
        <w:rPr>
          <w:rFonts w:ascii="Times New Roman" w:hAnsi="Times New Roman"/>
          <w:color w:val="0070C0"/>
          <w:sz w:val="16"/>
          <w:szCs w:val="16"/>
        </w:rPr>
        <w:softHyphen/>
        <w:t>ленные плавающие предкрылки из-за не</w:t>
      </w:r>
      <w:r w:rsidRPr="00D03F3E">
        <w:rPr>
          <w:rFonts w:ascii="Times New Roman" w:hAnsi="Times New Roman"/>
          <w:color w:val="0070C0"/>
          <w:sz w:val="16"/>
          <w:szCs w:val="16"/>
        </w:rPr>
        <w:softHyphen/>
        <w:t>равномерного открытия их создают неустойчивость в поперечном направле</w:t>
      </w:r>
      <w:r w:rsidRPr="00D03F3E">
        <w:rPr>
          <w:rFonts w:ascii="Times New Roman" w:hAnsi="Times New Roman"/>
          <w:color w:val="0070C0"/>
          <w:sz w:val="16"/>
          <w:szCs w:val="16"/>
        </w:rPr>
        <w:softHyphen/>
        <w:t>нии») и уменьшить нагрузки на ручку от руля высоты и элеронов («увеличить аэ</w:t>
      </w:r>
      <w:r w:rsidRPr="00D03F3E">
        <w:rPr>
          <w:rFonts w:ascii="Times New Roman" w:hAnsi="Times New Roman"/>
          <w:color w:val="0070C0"/>
          <w:sz w:val="16"/>
          <w:szCs w:val="16"/>
        </w:rPr>
        <w:softHyphen/>
        <w:t>родинамическую компенсацию руля вы</w:t>
      </w:r>
      <w:r w:rsidRPr="00D03F3E">
        <w:rPr>
          <w:rFonts w:ascii="Times New Roman" w:hAnsi="Times New Roman"/>
          <w:color w:val="0070C0"/>
          <w:sz w:val="16"/>
          <w:szCs w:val="16"/>
        </w:rPr>
        <w:softHyphen/>
        <w:t>соты и элеронов»).</w:t>
      </w:r>
    </w:p>
    <w:p w14:paraId="2B6E331D"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Считалось необходимым довести амортизацию шасси и костыля («устранив явление прыжков самолета на пробеге»), костыльную установку выполнить по типу Ил-2 («связав управление стопором ко</w:t>
      </w:r>
      <w:r w:rsidRPr="00D03F3E">
        <w:rPr>
          <w:rFonts w:ascii="Times New Roman" w:hAnsi="Times New Roman"/>
          <w:color w:val="0070C0"/>
          <w:sz w:val="16"/>
          <w:szCs w:val="16"/>
        </w:rPr>
        <w:softHyphen/>
        <w:t>стыльного колеса с ручкой управления са</w:t>
      </w:r>
      <w:r w:rsidRPr="00D03F3E">
        <w:rPr>
          <w:rFonts w:ascii="Times New Roman" w:hAnsi="Times New Roman"/>
          <w:color w:val="0070C0"/>
          <w:sz w:val="16"/>
          <w:szCs w:val="16"/>
        </w:rPr>
        <w:softHyphen/>
        <w:t>молетом (по типу самолета ФВ-190)»), установить костыльное колесо больших размеров (400x150 мм).</w:t>
      </w:r>
    </w:p>
    <w:p w14:paraId="3DABAAC3"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Требовалось обеспечить возможность выпуска и уборки щитков «независимо от положения рукоятки шасси», очистку пе</w:t>
      </w:r>
      <w:r w:rsidRPr="00D03F3E">
        <w:rPr>
          <w:rFonts w:ascii="Times New Roman" w:hAnsi="Times New Roman"/>
          <w:color w:val="0070C0"/>
          <w:sz w:val="16"/>
          <w:szCs w:val="16"/>
        </w:rPr>
        <w:softHyphen/>
        <w:t>реднего козырька фонаря летчика от за</w:t>
      </w:r>
      <w:r w:rsidRPr="00D03F3E">
        <w:rPr>
          <w:rFonts w:ascii="Times New Roman" w:hAnsi="Times New Roman"/>
          <w:color w:val="0070C0"/>
          <w:sz w:val="16"/>
          <w:szCs w:val="16"/>
        </w:rPr>
        <w:softHyphen/>
        <w:t>масливания («с помощью струи бензина по типу проверенному в НИИ ВВС Крас</w:t>
      </w:r>
      <w:r w:rsidRPr="00D03F3E">
        <w:rPr>
          <w:rFonts w:ascii="Times New Roman" w:hAnsi="Times New Roman"/>
          <w:color w:val="0070C0"/>
          <w:sz w:val="16"/>
          <w:szCs w:val="16"/>
        </w:rPr>
        <w:softHyphen/>
        <w:t>ной Армии на самолете Як-7»), аварийное сбрасывание фонаря «от одной ручки (как у летчика, так и стрелка)», вентиляцию кабины летчика.</w:t>
      </w:r>
    </w:p>
    <w:p w14:paraId="7DC2E2C3"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Кроме этого, следовало установить стандартную ручку управления самоле</w:t>
      </w:r>
      <w:r w:rsidRPr="00D03F3E">
        <w:rPr>
          <w:rFonts w:ascii="Times New Roman" w:hAnsi="Times New Roman"/>
          <w:color w:val="0070C0"/>
          <w:sz w:val="16"/>
          <w:szCs w:val="16"/>
        </w:rPr>
        <w:softHyphen/>
        <w:t>том (истребительного типа), «расположить слева от летчика» окно в бронеперегородке для связи экипажа, «изменить рас</w:t>
      </w:r>
      <w:r w:rsidRPr="00D03F3E">
        <w:rPr>
          <w:rFonts w:ascii="Times New Roman" w:hAnsi="Times New Roman"/>
          <w:color w:val="0070C0"/>
          <w:sz w:val="16"/>
          <w:szCs w:val="16"/>
        </w:rPr>
        <w:softHyphen/>
        <w:t>положение агрегатов и ручек управления самолетом и мотором согласно ведомо</w:t>
      </w:r>
      <w:r w:rsidRPr="00D03F3E">
        <w:rPr>
          <w:rFonts w:ascii="Times New Roman" w:hAnsi="Times New Roman"/>
          <w:color w:val="0070C0"/>
          <w:sz w:val="16"/>
          <w:szCs w:val="16"/>
        </w:rPr>
        <w:softHyphen/>
        <w:t>сти дефектов», перекомпоновать приборы на приборной доске, сделать рычажным управление воздушным винтом и тримме</w:t>
      </w:r>
      <w:r w:rsidRPr="00D03F3E">
        <w:rPr>
          <w:rFonts w:ascii="Times New Roman" w:hAnsi="Times New Roman"/>
          <w:color w:val="0070C0"/>
          <w:sz w:val="16"/>
          <w:szCs w:val="16"/>
        </w:rPr>
        <w:softHyphen/>
        <w:t>ром руля высоты вместо штурвального.</w:t>
      </w:r>
    </w:p>
    <w:p w14:paraId="38825092"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заключении к акту по испытаниям указывалось:</w:t>
      </w:r>
    </w:p>
    <w:p w14:paraId="7A59C315"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Опытный двухместный самолет Су-6 с мотором М-71ф и опытным 4-х ло</w:t>
      </w:r>
      <w:r w:rsidRPr="00D03F3E">
        <w:rPr>
          <w:rFonts w:ascii="Times New Roman" w:hAnsi="Times New Roman"/>
          <w:color w:val="0070C0"/>
          <w:sz w:val="16"/>
          <w:szCs w:val="16"/>
        </w:rPr>
        <w:softHyphen/>
        <w:t>пастным винтом АВ-9-4А конструкции т. Сухого, производства завода №289 госу</w:t>
      </w:r>
      <w:r w:rsidRPr="00D03F3E">
        <w:rPr>
          <w:rFonts w:ascii="Times New Roman" w:hAnsi="Times New Roman"/>
          <w:color w:val="0070C0"/>
          <w:sz w:val="16"/>
          <w:szCs w:val="16"/>
        </w:rPr>
        <w:softHyphen/>
        <w:t>дарственные испытания ВЫДЕРЖАЛ, пока</w:t>
      </w:r>
      <w:r w:rsidRPr="00D03F3E">
        <w:rPr>
          <w:rFonts w:ascii="Times New Roman" w:hAnsi="Times New Roman"/>
          <w:color w:val="0070C0"/>
          <w:sz w:val="16"/>
          <w:szCs w:val="16"/>
        </w:rPr>
        <w:softHyphen/>
        <w:t>зав хорошие летно-тактические данные.</w:t>
      </w:r>
    </w:p>
    <w:p w14:paraId="609DF8DC"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2. Рекомендовать самолет Су-6 с мо</w:t>
      </w:r>
      <w:r w:rsidRPr="00D03F3E">
        <w:rPr>
          <w:rFonts w:ascii="Times New Roman" w:hAnsi="Times New Roman"/>
          <w:color w:val="0070C0"/>
          <w:sz w:val="16"/>
          <w:szCs w:val="16"/>
        </w:rPr>
        <w:softHyphen/>
        <w:t>тором М-71ф и 4-х лопастным винтом АВ-9-4А в серийное производство с обяза</w:t>
      </w:r>
      <w:r w:rsidRPr="00D03F3E">
        <w:rPr>
          <w:rFonts w:ascii="Times New Roman" w:hAnsi="Times New Roman"/>
          <w:color w:val="0070C0"/>
          <w:sz w:val="16"/>
          <w:szCs w:val="16"/>
        </w:rPr>
        <w:softHyphen/>
        <w:t>тельным устранением всех недостатков, указанных в выводах и ведомости дефек</w:t>
      </w:r>
      <w:r w:rsidRPr="00D03F3E">
        <w:rPr>
          <w:rFonts w:ascii="Times New Roman" w:hAnsi="Times New Roman"/>
          <w:color w:val="0070C0"/>
          <w:sz w:val="16"/>
          <w:szCs w:val="16"/>
        </w:rPr>
        <w:softHyphen/>
        <w:t>тов настоящего акта.</w:t>
      </w:r>
    </w:p>
    <w:p w14:paraId="2760F00F"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НИИ ВВС Красной Армии считает целесообразным серийные самолеты Су-6 выпускать в 2-х местном и одноместном вариантах со следующим вооружением:</w:t>
      </w:r>
    </w:p>
    <w:p w14:paraId="4CE624A6"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w:t>
      </w:r>
      <w:r w:rsidRPr="00D03F3E">
        <w:rPr>
          <w:rFonts w:ascii="Times New Roman" w:hAnsi="Times New Roman"/>
          <w:color w:val="0070C0"/>
          <w:sz w:val="16"/>
          <w:szCs w:val="16"/>
        </w:rPr>
        <w:tab/>
        <w:t>2 пушки ОКБ-16 калибра 57 мм с за</w:t>
      </w:r>
      <w:r w:rsidRPr="00D03F3E">
        <w:rPr>
          <w:rFonts w:ascii="Times New Roman" w:hAnsi="Times New Roman"/>
          <w:color w:val="0070C0"/>
          <w:sz w:val="16"/>
          <w:szCs w:val="16"/>
        </w:rPr>
        <w:softHyphen/>
        <w:t>пасом снарядов по 45 шт. на пушку с воз</w:t>
      </w:r>
      <w:r w:rsidRPr="00D03F3E">
        <w:rPr>
          <w:rFonts w:ascii="Times New Roman" w:hAnsi="Times New Roman"/>
          <w:color w:val="0070C0"/>
          <w:sz w:val="16"/>
          <w:szCs w:val="16"/>
        </w:rPr>
        <w:softHyphen/>
        <w:t>можностью установки взамен их 2-х пу</w:t>
      </w:r>
      <w:r w:rsidRPr="00D03F3E">
        <w:rPr>
          <w:rFonts w:ascii="Times New Roman" w:hAnsi="Times New Roman"/>
          <w:color w:val="0070C0"/>
          <w:sz w:val="16"/>
          <w:szCs w:val="16"/>
        </w:rPr>
        <w:softHyphen/>
        <w:t>шек ВЯ калибра 25 мм с запасом снарядов по 150 шт. на пушку;</w:t>
      </w:r>
    </w:p>
    <w:p w14:paraId="3418CCCC"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б)</w:t>
      </w:r>
      <w:r w:rsidRPr="00D03F3E">
        <w:rPr>
          <w:rFonts w:ascii="Times New Roman" w:hAnsi="Times New Roman"/>
          <w:color w:val="0070C0"/>
          <w:sz w:val="16"/>
          <w:szCs w:val="16"/>
        </w:rPr>
        <w:tab/>
        <w:t>2 пулемета ШКАС калибра 7,62 мм с запасом патронов по 700 шт. на пулемет;</w:t>
      </w:r>
    </w:p>
    <w:p w14:paraId="36757571"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w:t>
      </w:r>
      <w:r w:rsidRPr="00D03F3E">
        <w:rPr>
          <w:rFonts w:ascii="Times New Roman" w:hAnsi="Times New Roman"/>
          <w:color w:val="0070C0"/>
          <w:sz w:val="16"/>
          <w:szCs w:val="16"/>
        </w:rPr>
        <w:tab/>
        <w:t>бомбардировочное вооружение для внутренней загрузки бомб калибра до 100 кг и наружной подвески бомб калибра до 250 кг и химвооружения;</w:t>
      </w:r>
    </w:p>
    <w:p w14:paraId="532746E4"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w:t>
      </w:r>
      <w:r w:rsidRPr="00D03F3E">
        <w:rPr>
          <w:rFonts w:ascii="Times New Roman" w:hAnsi="Times New Roman"/>
          <w:color w:val="0070C0"/>
          <w:sz w:val="16"/>
          <w:szCs w:val="16"/>
        </w:rPr>
        <w:tab/>
        <w:t>пулемет УБТ на блистерной уста</w:t>
      </w:r>
      <w:r w:rsidRPr="00D03F3E">
        <w:rPr>
          <w:rFonts w:ascii="Times New Roman" w:hAnsi="Times New Roman"/>
          <w:color w:val="0070C0"/>
          <w:sz w:val="16"/>
          <w:szCs w:val="16"/>
        </w:rPr>
        <w:softHyphen/>
        <w:t>новке БЛУБ с запасом патронов 196 шт. (только для 2-х местного самолета).</w:t>
      </w:r>
    </w:p>
    <w:p w14:paraId="24D786AD"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 Опытный двухместный самолет Су-6 передать в 4-й отдел НИИ ВВС Крас</w:t>
      </w:r>
      <w:r w:rsidRPr="00D03F3E">
        <w:rPr>
          <w:rFonts w:ascii="Times New Roman" w:hAnsi="Times New Roman"/>
          <w:color w:val="0070C0"/>
          <w:sz w:val="16"/>
          <w:szCs w:val="16"/>
        </w:rPr>
        <w:softHyphen/>
        <w:t>ной Армии для отработки методики бое</w:t>
      </w:r>
      <w:r w:rsidRPr="00D03F3E">
        <w:rPr>
          <w:rFonts w:ascii="Times New Roman" w:hAnsi="Times New Roman"/>
          <w:color w:val="0070C0"/>
          <w:sz w:val="16"/>
          <w:szCs w:val="16"/>
        </w:rPr>
        <w:softHyphen/>
        <w:t>вого применения. Главному конструктору т. Сухому предварительно устранить де</w:t>
      </w:r>
      <w:r w:rsidRPr="00D03F3E">
        <w:rPr>
          <w:rFonts w:ascii="Times New Roman" w:hAnsi="Times New Roman"/>
          <w:color w:val="0070C0"/>
          <w:sz w:val="16"/>
          <w:szCs w:val="16"/>
        </w:rPr>
        <w:softHyphen/>
        <w:t>фекты бомбардировочного вооружения, указанные в настоящем акте».</w:t>
      </w:r>
    </w:p>
    <w:p w14:paraId="7B565942" w14:textId="77777777" w:rsidR="007E5020" w:rsidRPr="00D03F3E" w:rsidRDefault="007E502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Главный инженер ВВС КА генерал- полковник Репин утвердил акт 24 сентя</w:t>
      </w:r>
      <w:r w:rsidRPr="00D03F3E">
        <w:rPr>
          <w:rFonts w:ascii="Times New Roman" w:hAnsi="Times New Roman"/>
          <w:color w:val="0070C0"/>
          <w:sz w:val="16"/>
          <w:szCs w:val="16"/>
        </w:rPr>
        <w:softHyphen/>
        <w:t>бря с резолюцией: «Утверждаю, за исклю</w:t>
      </w:r>
      <w:r w:rsidRPr="00D03F3E">
        <w:rPr>
          <w:rFonts w:ascii="Times New Roman" w:hAnsi="Times New Roman"/>
          <w:color w:val="0070C0"/>
          <w:sz w:val="16"/>
          <w:szCs w:val="16"/>
        </w:rPr>
        <w:softHyphen/>
        <w:t>чением п. 5 Заключения» (19846).</w:t>
      </w:r>
    </w:p>
    <w:p w14:paraId="3AAB44F1" w14:textId="77777777" w:rsidR="007E5020" w:rsidRPr="00D03F3E" w:rsidRDefault="007E5020" w:rsidP="00D03F3E">
      <w:pPr>
        <w:spacing w:after="0" w:line="240" w:lineRule="auto"/>
        <w:jc w:val="both"/>
        <w:rPr>
          <w:rFonts w:ascii="Times New Roman" w:hAnsi="Times New Roman"/>
          <w:color w:val="0070C0"/>
          <w:sz w:val="16"/>
          <w:szCs w:val="16"/>
        </w:rPr>
      </w:pPr>
    </w:p>
    <w:p w14:paraId="3D6F40E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20 июня по 30 августа 1943 проходили госиспытания двухместного Су-6 М-71Ф. Ведущий инженер А.В.Синельников, ведущий летчик А.И.Кабанов, летчик облета П.М.Стефановский. Всего было выполнено 42 полета с суммарным налетом 23 ч 10 мин.</w:t>
      </w:r>
    </w:p>
    <w:p w14:paraId="7018E7F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Су-6 М-71Ф прошел государственные испытания блестяще. Это была действительно замечательная машина. По максимальным скоростям, скороподъемности, маневренности, потолку, дальности, вооружению и бронированию двухместный “сухой” значительно превосходил стоящий на вооружении ВВС КА двухместный Ил-2 АМ-38Ф.</w:t>
      </w:r>
    </w:p>
    <w:p w14:paraId="068865C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Су-6 обладал прекрасными характеристиками устойчивости и управляемости, был прост и приятен в пилотировании.</w:t>
      </w:r>
    </w:p>
    <w:p w14:paraId="39B50B7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 ведущий летчик-испытатель А.И.Кабанов отмечал: “Кабина хороша. Рулит хорошо. В целом самолет производит хорошее впечатление и будет грозным оружием как в борьбе с земными целями, так и с бомбардировщиками противника”.</w:t>
      </w:r>
    </w:p>
    <w:p w14:paraId="71857FF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П.М.Стефановский: “Самолет, как двухместный штурмовик, является актуальной и нужной машиной, могущей заменить самолет Ил-2, так как обладает лучшим бронированием и значительно лучшими летными данными”.</w:t>
      </w:r>
    </w:p>
    <w:p w14:paraId="298BE9B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Акте государственных испытаний отмечалось:</w:t>
      </w:r>
    </w:p>
    <w:p w14:paraId="7793205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максимальным скоростям, скороподъемности, потолку и дальности самолет Су-6 М-71ф значительно превосходит находящийся на вооружении ВВС Красной Армии штурмовой самолет Ил-2;</w:t>
      </w:r>
    </w:p>
    <w:p w14:paraId="624BE51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Самолет Су-б по своему бронированию и летно- боевым качествам, в первую очередь предназначен для решения штурмовых задач, но, вместе с тем, его можно успешно использовать и для борьбы с бомбардировщиками противника;</w:t>
      </w:r>
    </w:p>
    <w:p w14:paraId="14A1AF8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Рекомендовать самолет Су-б с мотором М-71ф в серийное производство”.</w:t>
      </w:r>
    </w:p>
    <w:p w14:paraId="19D6A82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Передняя часть фюзеляжа целиком состояла из брони. Задняя - деревянный монокок.</w:t>
      </w:r>
    </w:p>
    <w:p w14:paraId="5AFDB42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Центроплан, стабилизатор, рули, элероны (типа “Фрайз”) и оба лонжерона крыла металлические. Киль и консоли крыла деревянные. Элероны и рули обшиты полотном.</w:t>
      </w:r>
    </w:p>
    <w:p w14:paraId="51F57A7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Осуществлялась весовая и аэродинамическая компенсация элеронов и рулей, имелись триммеры. Самолет имел предкрылки и щитки Шренка.</w:t>
      </w:r>
    </w:p>
    <w:p w14:paraId="5168CEF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Шасси одностоечное с задним складывающимся подкосом. Убиралось назад с поворотом на 90°. Уборка и выпуск гидравлические.</w:t>
      </w:r>
    </w:p>
    <w:p w14:paraId="3CD8FDD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улучшения взлетно-посадоч-ных характеристик в процессе испытаний трехлопастный винт АВ-5-4А с диаметром 3,25 м был заменен на четырехлопастный АВ-9-4А с диаметром 3,35 м. Установка нового винта увеличила вес машины на 40 кг.</w:t>
      </w:r>
    </w:p>
    <w:p w14:paraId="6B8E598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Бензобак емкостью 770 л размещался под сидением летчика. Имелась система заполнения бензобака инертными газами.</w:t>
      </w:r>
    </w:p>
    <w:p w14:paraId="4F0E3E2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Маслорадиаторы располагались в носке крыла.</w:t>
      </w:r>
    </w:p>
    <w:p w14:paraId="7073466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Бронирование штурмовика было выполнено значительно лучше, чем на Ил-2, однако благодаря рациональному распределению толщин бронелис-тов (от 2 до 12 мм) общая масса брони составила всего 683 кг, в том числе бронестекло (у летчика и стрелка) -64 кг, бронирование около мотора -72 кг, броня кабины летчика - 345 кг и кабины стрелка - 198 кг.</w:t>
      </w:r>
    </w:p>
    <w:p w14:paraId="11605D9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Бронирование охватывало кабину летчика и стрелка, бензобак, замотор-ный отсек, маслобак, маслорадиаторы и трубопроводы к ним, цилиндр винта.</w:t>
      </w:r>
    </w:p>
    <w:p w14:paraId="38F26B9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Передняя часть фюзеляжа до бро-неспинки летчика представляла собой целиком бронированный корпус, в котором размещался летчик, бензобак, маслобак и органы управления. Козырек из прозрачной брони толщиной 65 мм.</w:t>
      </w:r>
    </w:p>
    <w:p w14:paraId="4716CA5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Кабина стрелка была выполнена в виде бронированной “капсулы” с толщиной брони от 4 до 12 мм. Стрелок был защищен: металлической броней снизу, с боков, сзади и частично сверху и прозрачной броней (толщина 65 мм) блистерной установки.</w:t>
      </w:r>
    </w:p>
    <w:p w14:paraId="505C30F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Агрегаты мотора защищались внутренним бронированным капотом и специальным бронированным разъемным кольцом. Радиаторы и трубопроводы к ним снизу и сзади защищались гнутым бронелистом толщиной б мм. Цилиндр винта спереди защищался сферическим диском из брони толщиной 6 мм.</w:t>
      </w:r>
    </w:p>
    <w:p w14:paraId="7BCF154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целом бронирование самолета обеспечивало защиту от пуль калибра 12,7 мм. Живучесть повышалась применением наддува бензобака выхлопными газами от мотора.</w:t>
      </w:r>
    </w:p>
    <w:p w14:paraId="5270ECD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Наступательное стрелково-пушеч-ное вооружение самолета включало две крыльевые крупнокалиберные пушки 11П-37 (боекомплект 90 снарядов) и два крыльевых пулемета ШКАС (1400 патронов).</w:t>
      </w:r>
    </w:p>
    <w:p w14:paraId="513A9AB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отличие от Ил-2, на Су-б-м пушки 11П-37 размещались ближе к оси самолета. Последнее в совокупности с более высоким запасом устойчивости штурмовика обеспечивало более высокую эффективность стрельбы из пушек в воздухе по малоразмерным наземным целям.</w:t>
      </w:r>
    </w:p>
    <w:p w14:paraId="504D670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время полигонных испытаний нового штурмовика никаких нареканий, связанных с влиянием силы отдачи пушек на машину при стрельбе в воздухе летчиками-испытателями не высказывались: “...На пикировании при стрельбе самолет устойчив, отдача даже при стрельбе из всех точек незначительна”.</w:t>
      </w:r>
    </w:p>
    <w:p w14:paraId="4476FCA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стрельбы назад использовалась блистерная установка БЛУБ с пулеметом УБТ калибра 12,7 мм (боезапас 196 патронов в четырех магазинах). Углы обстрела: вверх -45°, вниз с бортов - 1°, вправо-влево - 30°.</w:t>
      </w:r>
    </w:p>
    <w:p w14:paraId="23C806A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Бомбовая нагрузка 200 кг в перегрузку. Бомбы размещались внутри фюзеляжа в четырех отсеках по две с каждой стороны кабины стрелка. Бомбы укладывались на створки бомбоотсеков.</w:t>
      </w:r>
    </w:p>
    <w:p w14:paraId="4BB35EE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исключительных случаях при базировании на хороших аэродромах возможно было использовать внутри фюзеляжа две бомбы ФАБ-250 или четыре бомбы ФАБ-100ЦК. На внешней подвеске дополнительно могли подвешиваться 2 бомбы ФАБ-100.</w:t>
      </w:r>
    </w:p>
    <w:p w14:paraId="3B4B920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пустого самолета с винтом АВ-5-4А составил 4110 кг, вес полезной нагрузки (без бомб) - 1424 кг.</w:t>
      </w:r>
    </w:p>
    <w:p w14:paraId="5D2E5B3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крыла Су-б была меньше, чем у Ил-2 (26 м2 против 38,5 м2), но мощность мотора - выше. Кроме того, аэродинамика суховской машины была намного чище.</w:t>
      </w:r>
    </w:p>
    <w:p w14:paraId="566EB8D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максимальная скорость у земли Су-б М-71Ф с винтом АВ-5-4А при полетном весе 5534 кг составила 480 км/ч (на высоте 3850 м - 514 км/ч), почти на 100 км/ч превосходила таковую для двухместного Ил-2 АМ-38Ф с более слабым пушечным вооружением (две ВЯ или две ШВАК).</w:t>
      </w:r>
    </w:p>
    <w:p w14:paraId="70B67BE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Вследствие того, что вся бомбовая нагрузка (200 кг) размещалась внутри фюзеляжа максимальные скорости штурмовика оставались практически теми же.</w:t>
      </w:r>
    </w:p>
    <w:p w14:paraId="23BC3EA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четырехлопастным винтом АВ-9-4А скорость Су-б-го уменьшалась примерно на 3-4 км/ч, однако разбег на взлете составил 410 м, а пробег - 730 м.</w:t>
      </w:r>
    </w:p>
    <w:p w14:paraId="07BCA90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подъема на высоту 1000 м составляло 1,8 мин, на высоту 5000 м - 10,6 мин. Максимальная дальность полета на высоте 1000 м на скорости 349 км/ч составила 973 км.</w:t>
      </w:r>
    </w:p>
    <w:p w14:paraId="6BADE80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испытаний были проведены показательные воздушные бои с боевыми самолетами люфтваффе, имевшихся в распоряжении НИИ ВВС КА: с истребителем Bf109G-2 в трехточечном варианте и с бомбардировщиком He111H-11.</w:t>
      </w:r>
    </w:p>
    <w:p w14:paraId="09AC51D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Учебные бои показали, что воздушные бои Су-б с немецкими истребителями были возможны только в составе группы (“мессершмитт” уже на первом вираже мог зайти в хвост “сухому” для атаки), а бомбардировщики люфтваффе типа He111, Fw200 и Ju87 не могли уйти от советского штурмовика набором высоты и неизбежно становились его жертвами.</w:t>
      </w:r>
    </w:p>
    <w:p w14:paraId="32CD004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этой связи в отчете по госиспытаниям рекомендовалось создать модификацию Су-б специально для борьбы с бомбардировочными и транспортными самолетами противника.</w:t>
      </w:r>
    </w:p>
    <w:p w14:paraId="7D903C5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П.М.Стефановским предлагалось выпускать самолет Су-б М-71Ф в одноместном варианте с пушками НС-37 и в двухместном - с пушками ВЯ-23.</w:t>
      </w:r>
    </w:p>
    <w:p w14:paraId="2168D22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для двухместного самолета Су-б М-71Ф предлагалось применить мотор М-71Ф с изъятой второй скоростью нагнетателя и дальнейшим форсированием его на малых высотах.</w:t>
      </w:r>
    </w:p>
    <w:p w14:paraId="4D53846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Реализация предложений П.М.Стефановского позволила бы иметь мощно вооруженный одноместный брониров-нный штурмовик и истребитель бомбардировщиков с летными данными близкими к серийным истребителям противника, а также двухместный бронированный штурмовик с еще более высокими летными данными.</w:t>
      </w:r>
    </w:p>
    <w:p w14:paraId="180A3F0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Оценки показывают, что в типовых условиях боев летчик с хорошей летной и стрелковой подготовкой на штурмовике Су-б М-71Ф уже в первой атаке мог обеспечить вероятность поражения немецкого среднего танка типа Pz. IV Ausf G (атака сбоку, угол планирования 25-30°, дистанция открытия огня 300-400 м) порядка 0,06-0,11, бронетранспортера типа Sd Kfz 250 - около 0,9-0,85, а самолета на аэродроме типа He111 - 0,75-0,4.</w:t>
      </w:r>
    </w:p>
    <w:p w14:paraId="5C20B57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Наладить серийное производство мотора М-71Ф в трудных условиях военного времени было сложно и надо признать, никаких серьезных усилий в этом направлении </w:t>
      </w:r>
      <w:r w:rsidRPr="00D03F3E">
        <w:rPr>
          <w:rFonts w:ascii="Times New Roman" w:hAnsi="Times New Roman"/>
          <w:color w:val="000000" w:themeColor="text1"/>
          <w:sz w:val="16"/>
          <w:szCs w:val="16"/>
        </w:rPr>
        <w:lastRenderedPageBreak/>
        <w:t>со стороны руководства НКАП не производилось. Собственно, бездействие наркомата и решило судьбу Су-б М-71Ф. Серийно он не строился (9649).</w:t>
      </w:r>
    </w:p>
    <w:p w14:paraId="6DDDE8A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33FDE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20 июня по 30 авгу</w:t>
      </w:r>
      <w:r w:rsidRPr="00D03F3E">
        <w:rPr>
          <w:rFonts w:ascii="Times New Roman" w:hAnsi="Times New Roman"/>
          <w:color w:val="000000" w:themeColor="text1"/>
          <w:sz w:val="16"/>
          <w:szCs w:val="16"/>
        </w:rPr>
        <w:softHyphen/>
        <w:t>ста 1943 блестяще прошел государственные испытания двухместный бронированный штурмовик Су-6 с мотором М-71Ф (веду</w:t>
      </w:r>
      <w:r w:rsidRPr="00D03F3E">
        <w:rPr>
          <w:rFonts w:ascii="Times New Roman" w:hAnsi="Times New Roman"/>
          <w:color w:val="000000" w:themeColor="text1"/>
          <w:sz w:val="16"/>
          <w:szCs w:val="16"/>
        </w:rPr>
        <w:softHyphen/>
        <w:t>щим инженером был А.В. Синельников, ведущим летчиком — А.И. Кабанов, в об</w:t>
      </w:r>
      <w:r w:rsidRPr="00D03F3E">
        <w:rPr>
          <w:rFonts w:ascii="Times New Roman" w:hAnsi="Times New Roman"/>
          <w:color w:val="000000" w:themeColor="text1"/>
          <w:sz w:val="16"/>
          <w:szCs w:val="16"/>
        </w:rPr>
        <w:softHyphen/>
        <w:t>лете самолета принимал участие П.М. Стефановский). Несмотря на довольно боль</w:t>
      </w:r>
      <w:r w:rsidRPr="00D03F3E">
        <w:rPr>
          <w:rFonts w:ascii="Times New Roman" w:hAnsi="Times New Roman"/>
          <w:color w:val="000000" w:themeColor="text1"/>
          <w:sz w:val="16"/>
          <w:szCs w:val="16"/>
        </w:rPr>
        <w:softHyphen/>
        <w:t>шую нагрузку на крыло — 212,85 кг/м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эта машина, благодаря исключительно удачному сочетанию форм, габаритов и тщательной компоновке показала пре</w:t>
      </w:r>
      <w:r w:rsidRPr="00D03F3E">
        <w:rPr>
          <w:rFonts w:ascii="Times New Roman" w:hAnsi="Times New Roman"/>
          <w:color w:val="000000" w:themeColor="text1"/>
          <w:sz w:val="16"/>
          <w:szCs w:val="16"/>
        </w:rPr>
        <w:softHyphen/>
        <w:t>красные летные данные. По максималь</w:t>
      </w:r>
      <w:r w:rsidRPr="00D03F3E">
        <w:rPr>
          <w:rFonts w:ascii="Times New Roman" w:hAnsi="Times New Roman"/>
          <w:color w:val="000000" w:themeColor="text1"/>
          <w:sz w:val="16"/>
          <w:szCs w:val="16"/>
        </w:rPr>
        <w:softHyphen/>
        <w:t>ным скоростям, скороподъемности, маневренности, потолку, дальности, воору</w:t>
      </w:r>
      <w:r w:rsidRPr="00D03F3E">
        <w:rPr>
          <w:rFonts w:ascii="Times New Roman" w:hAnsi="Times New Roman"/>
          <w:color w:val="000000" w:themeColor="text1"/>
          <w:sz w:val="16"/>
          <w:szCs w:val="16"/>
        </w:rPr>
        <w:softHyphen/>
        <w:t>жению и бронированию двухместный «су</w:t>
      </w:r>
      <w:r w:rsidRPr="00D03F3E">
        <w:rPr>
          <w:rFonts w:ascii="Times New Roman" w:hAnsi="Times New Roman"/>
          <w:color w:val="000000" w:themeColor="text1"/>
          <w:sz w:val="16"/>
          <w:szCs w:val="16"/>
        </w:rPr>
        <w:softHyphen/>
        <w:t>хой» значительно превосходил состояв</w:t>
      </w:r>
      <w:r w:rsidRPr="00D03F3E">
        <w:rPr>
          <w:rFonts w:ascii="Times New Roman" w:hAnsi="Times New Roman"/>
          <w:color w:val="000000" w:themeColor="text1"/>
          <w:sz w:val="16"/>
          <w:szCs w:val="16"/>
        </w:rPr>
        <w:softHyphen/>
        <w:t>ший на вооружении ВВС двухместный Ил-2. Су-6 обладал отличными характе</w:t>
      </w:r>
      <w:r w:rsidRPr="00D03F3E">
        <w:rPr>
          <w:rFonts w:ascii="Times New Roman" w:hAnsi="Times New Roman"/>
          <w:color w:val="000000" w:themeColor="text1"/>
          <w:sz w:val="16"/>
          <w:szCs w:val="16"/>
        </w:rPr>
        <w:softHyphen/>
        <w:t>ристиками устойчивости и управляемо</w:t>
      </w:r>
      <w:r w:rsidRPr="00D03F3E">
        <w:rPr>
          <w:rFonts w:ascii="Times New Roman" w:hAnsi="Times New Roman"/>
          <w:color w:val="000000" w:themeColor="text1"/>
          <w:sz w:val="16"/>
          <w:szCs w:val="16"/>
        </w:rPr>
        <w:softHyphen/>
        <w:t>сти, был прост и приятен в пилотирова</w:t>
      </w:r>
      <w:r w:rsidRPr="00D03F3E">
        <w:rPr>
          <w:rFonts w:ascii="Times New Roman" w:hAnsi="Times New Roman"/>
          <w:color w:val="000000" w:themeColor="text1"/>
          <w:sz w:val="16"/>
          <w:szCs w:val="16"/>
        </w:rPr>
        <w:softHyphen/>
        <w:t>нии. Самолет оборудовался мощной меха</w:t>
      </w:r>
      <w:r w:rsidRPr="00D03F3E">
        <w:rPr>
          <w:rFonts w:ascii="Times New Roman" w:hAnsi="Times New Roman"/>
          <w:color w:val="000000" w:themeColor="text1"/>
          <w:sz w:val="16"/>
          <w:szCs w:val="16"/>
        </w:rPr>
        <w:softHyphen/>
        <w:t>низацией крыла (имел автоматические предкрылки и щитки Шренка), что позво</w:t>
      </w:r>
      <w:r w:rsidRPr="00D03F3E">
        <w:rPr>
          <w:rFonts w:ascii="Times New Roman" w:hAnsi="Times New Roman"/>
          <w:color w:val="000000" w:themeColor="text1"/>
          <w:sz w:val="16"/>
          <w:szCs w:val="16"/>
        </w:rPr>
        <w:softHyphen/>
        <w:t>ляло устойчиво выполнять маневры на больших углах атаки. Последнее явля</w:t>
      </w:r>
      <w:r w:rsidRPr="00D03F3E">
        <w:rPr>
          <w:rFonts w:ascii="Times New Roman" w:hAnsi="Times New Roman"/>
          <w:color w:val="000000" w:themeColor="text1"/>
          <w:sz w:val="16"/>
          <w:szCs w:val="16"/>
        </w:rPr>
        <w:softHyphen/>
        <w:t>лось весьма важным для самолета поля боя, предназначенного для действий на небольшой высоте. Летчику для выхода в атаку в ограниченном пространстве над целью необходимо было маневри</w:t>
      </w:r>
      <w:r w:rsidRPr="00D03F3E">
        <w:rPr>
          <w:rFonts w:ascii="Times New Roman" w:hAnsi="Times New Roman"/>
          <w:color w:val="000000" w:themeColor="text1"/>
          <w:sz w:val="16"/>
          <w:szCs w:val="16"/>
        </w:rPr>
        <w:softHyphen/>
        <w:t>ровать преимущественно в вертикаль</w:t>
      </w:r>
      <w:r w:rsidRPr="00D03F3E">
        <w:rPr>
          <w:rFonts w:ascii="Times New Roman" w:hAnsi="Times New Roman"/>
          <w:color w:val="000000" w:themeColor="text1"/>
          <w:sz w:val="16"/>
          <w:szCs w:val="16"/>
        </w:rPr>
        <w:softHyphen/>
        <w:t>ной плоскости. Значительно улучшить данные Су-6 в сравнении с Ил-2 без ухуд</w:t>
      </w:r>
      <w:r w:rsidRPr="00D03F3E">
        <w:rPr>
          <w:rFonts w:ascii="Times New Roman" w:hAnsi="Times New Roman"/>
          <w:color w:val="000000" w:themeColor="text1"/>
          <w:sz w:val="16"/>
          <w:szCs w:val="16"/>
        </w:rPr>
        <w:softHyphen/>
        <w:t>шения маневренности в вертикальной плоскости удалось за счет уменьшения нагрузки на мощность мотора. Так, се</w:t>
      </w:r>
      <w:r w:rsidRPr="00D03F3E">
        <w:rPr>
          <w:rFonts w:ascii="Times New Roman" w:hAnsi="Times New Roman"/>
          <w:color w:val="000000" w:themeColor="text1"/>
          <w:sz w:val="16"/>
          <w:szCs w:val="16"/>
        </w:rPr>
        <w:softHyphen/>
        <w:t>рийный Ил-2 с АМ-38Ф при нагрузке на крыло 159—163 кг/м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xml:space="preserve"> имел вертикаль</w:t>
      </w:r>
      <w:r w:rsidRPr="00D03F3E">
        <w:rPr>
          <w:rFonts w:ascii="Times New Roman" w:hAnsi="Times New Roman"/>
          <w:color w:val="000000" w:themeColor="text1"/>
          <w:sz w:val="16"/>
          <w:szCs w:val="16"/>
        </w:rPr>
        <w:softHyphen/>
        <w:t>ную скорость у земли около 7,2 м/с, а Су-6 при нагрузке 212,85 кг/м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xml:space="preserve"> — 9,3 м/с. Бронирование Су-6 было значитель</w:t>
      </w:r>
      <w:r w:rsidRPr="00D03F3E">
        <w:rPr>
          <w:rFonts w:ascii="Times New Roman" w:hAnsi="Times New Roman"/>
          <w:color w:val="000000" w:themeColor="text1"/>
          <w:sz w:val="16"/>
          <w:szCs w:val="16"/>
        </w:rPr>
        <w:softHyphen/>
        <w:t>но совершеннее, чем у Ил-2. Благодаря более рациональному распределению толщин листов общая масса брони со</w:t>
      </w:r>
      <w:r w:rsidRPr="00D03F3E">
        <w:rPr>
          <w:rFonts w:ascii="Times New Roman" w:hAnsi="Times New Roman"/>
          <w:color w:val="000000" w:themeColor="text1"/>
          <w:sz w:val="16"/>
          <w:szCs w:val="16"/>
        </w:rPr>
        <w:softHyphen/>
        <w:t>ставила всего 683 кг—18,3% от веса пустого самолета. Толщины брони в ка-бине стрелка и в области винтомоторной группы выбирались явно с учетом влия</w:t>
      </w:r>
      <w:r w:rsidRPr="00D03F3E">
        <w:rPr>
          <w:rFonts w:ascii="Times New Roman" w:hAnsi="Times New Roman"/>
          <w:color w:val="000000" w:themeColor="text1"/>
          <w:sz w:val="16"/>
          <w:szCs w:val="16"/>
        </w:rPr>
        <w:softHyphen/>
        <w:t>ния элементов конструкции самолета (обшивка фюзеляжа, бомбоотсеки т.д.) на геометрию соударения снаряда с бро</w:t>
      </w:r>
      <w:r w:rsidRPr="00D03F3E">
        <w:rPr>
          <w:rFonts w:ascii="Times New Roman" w:hAnsi="Times New Roman"/>
          <w:color w:val="000000" w:themeColor="text1"/>
          <w:sz w:val="16"/>
          <w:szCs w:val="16"/>
        </w:rPr>
        <w:softHyphen/>
        <w:t>ней с наиболее вероятных направлений обстрела в реальном воздушном бою. Такой подход позволил серьезно умень</w:t>
      </w:r>
      <w:r w:rsidRPr="00D03F3E">
        <w:rPr>
          <w:rFonts w:ascii="Times New Roman" w:hAnsi="Times New Roman"/>
          <w:color w:val="000000" w:themeColor="text1"/>
          <w:sz w:val="16"/>
          <w:szCs w:val="16"/>
        </w:rPr>
        <w:softHyphen/>
        <w:t>шить вес брони при значительно лучшей защищенности экипажа и жизненно важ</w:t>
      </w:r>
      <w:r w:rsidRPr="00D03F3E">
        <w:rPr>
          <w:rFonts w:ascii="Times New Roman" w:hAnsi="Times New Roman"/>
          <w:color w:val="000000" w:themeColor="text1"/>
          <w:sz w:val="16"/>
          <w:szCs w:val="16"/>
        </w:rPr>
        <w:softHyphen/>
        <w:t>ных элементов конструкции самолета, чем у Ил-2, у которого при суммарном весе брони 957 кг воздушный стрелок практически не имел защиты, а наибо</w:t>
      </w:r>
      <w:r w:rsidRPr="00D03F3E">
        <w:rPr>
          <w:rFonts w:ascii="Times New Roman" w:hAnsi="Times New Roman"/>
          <w:color w:val="000000" w:themeColor="text1"/>
          <w:sz w:val="16"/>
          <w:szCs w:val="16"/>
        </w:rPr>
        <w:softHyphen/>
        <w:t>лее уязвимые от огня противника бро-недетали оказались недостаточной тол</w:t>
      </w:r>
      <w:r w:rsidRPr="00D03F3E">
        <w:rPr>
          <w:rFonts w:ascii="Times New Roman" w:hAnsi="Times New Roman"/>
          <w:color w:val="000000" w:themeColor="text1"/>
          <w:sz w:val="16"/>
          <w:szCs w:val="16"/>
        </w:rPr>
        <w:softHyphen/>
        <w:t>щины. Бронирование Су-6 тоже имело недостатки, но обеспечивало более эффективную защиту от пуль калибра 12,7 мм и осколков зенитных снарядов. Живучесть штурмовика повышалась так</w:t>
      </w:r>
      <w:r w:rsidRPr="00D03F3E">
        <w:rPr>
          <w:rFonts w:ascii="Times New Roman" w:hAnsi="Times New Roman"/>
          <w:color w:val="000000" w:themeColor="text1"/>
          <w:sz w:val="16"/>
          <w:szCs w:val="16"/>
        </w:rPr>
        <w:softHyphen/>
        <w:t>же наддувом бензобака выхлопными га</w:t>
      </w:r>
      <w:r w:rsidRPr="00D03F3E">
        <w:rPr>
          <w:rFonts w:ascii="Times New Roman" w:hAnsi="Times New Roman"/>
          <w:color w:val="000000" w:themeColor="text1"/>
          <w:sz w:val="16"/>
          <w:szCs w:val="16"/>
        </w:rPr>
        <w:softHyphen/>
        <w:t>зами и дублированием управления ру</w:t>
      </w:r>
      <w:r w:rsidRPr="00D03F3E">
        <w:rPr>
          <w:rFonts w:ascii="Times New Roman" w:hAnsi="Times New Roman"/>
          <w:color w:val="000000" w:themeColor="text1"/>
          <w:sz w:val="16"/>
          <w:szCs w:val="16"/>
        </w:rPr>
        <w:softHyphen/>
        <w:t>лями высоты и направления. Вооружение самолета включало две 37-мм пушки 11П-37 (боекомплект 90 снарядов), два пулемета ШКАС (1400 патронов), оборонительный пулемет УБТ (196 патронов в четырех магазинах) в блистерной установке БЛУБ, 200 кг бомб (в перегрузку) и шесть РС-132 или РС-82. На внешней подвеске дополни</w:t>
      </w:r>
      <w:r w:rsidRPr="00D03F3E">
        <w:rPr>
          <w:rFonts w:ascii="Times New Roman" w:hAnsi="Times New Roman"/>
          <w:color w:val="000000" w:themeColor="text1"/>
          <w:sz w:val="16"/>
          <w:szCs w:val="16"/>
        </w:rPr>
        <w:softHyphen/>
        <w:t>тельно могли подвешиваться две бомбы ФАБ-100 (10680).</w:t>
      </w:r>
    </w:p>
    <w:p w14:paraId="66A064A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423D80"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С 20 июня по 30 августа 1943 одноместный Су-6 М-71Ф, который был переделан в двухместный С2А и официально был передан в НИИ ВВС для проведения государственных испытаний 19 июня 1943 г. проходил Государственные испытания. Ведущий инженер А. В. Синельников, ведущий летчик А. И. Кабанов, летчик облета П. М. Стефановский. Всего было выполнено 42 полета с суммарным налетом 23 ч 10 мин.</w:t>
      </w:r>
    </w:p>
    <w:p w14:paraId="323E2161"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Су-6 М-71Ф блестяще прошел государственные испытания. Это была действительно замечательная машина. По максимальным скоростям, скороподъемности, маневренности, потолку, дальности, вооружению и бронированию двухместный «сухой» значительно превосходил стоящий на вооружении ВВС КА двухместный Ил-2 АМ-38Ф.</w:t>
      </w:r>
    </w:p>
    <w:p w14:paraId="149363D4"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Кроме того, Су-6 обладал прекрасными характеристиками устойчивости и управляемости, был прост и приятен в пилотировании.</w:t>
      </w:r>
    </w:p>
    <w:p w14:paraId="75696A78"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Так, ведущий летчик-испытатель А. И. Кабанов отмечал:</w:t>
      </w:r>
    </w:p>
    <w:p w14:paraId="68266F1C"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rStyle w:val="af0"/>
          <w:i w:val="0"/>
          <w:color w:val="000000" w:themeColor="text1"/>
          <w:sz w:val="16"/>
          <w:szCs w:val="16"/>
          <w:bdr w:val="none" w:sz="0" w:space="0" w:color="auto" w:frame="1"/>
        </w:rPr>
        <w:t>«Кабина хороша. Рулит хорошо. В целом самолет производит хорошее впечатление и будет грозным оружием как в борьбе с земными целями, так и с бомбардировщиками противника».</w:t>
      </w:r>
    </w:p>
    <w:p w14:paraId="25816635"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П. М. Стефановский:</w:t>
      </w:r>
    </w:p>
    <w:p w14:paraId="703ABB58"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rStyle w:val="af0"/>
          <w:i w:val="0"/>
          <w:color w:val="000000" w:themeColor="text1"/>
          <w:sz w:val="16"/>
          <w:szCs w:val="16"/>
          <w:bdr w:val="none" w:sz="0" w:space="0" w:color="auto" w:frame="1"/>
        </w:rPr>
        <w:t>«Самолет, как двухместный штурмовик, является актуальной и нужной машиной, могущей заменить самолет Ил-2, так как обладает лучшим бронированием и значительно лучшими летными данными».</w:t>
      </w:r>
    </w:p>
    <w:p w14:paraId="183212BC"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В Акте государственных испытаний отмечалось:</w:t>
      </w:r>
    </w:p>
    <w:p w14:paraId="54058233"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rStyle w:val="af0"/>
          <w:i w:val="0"/>
          <w:color w:val="000000" w:themeColor="text1"/>
          <w:sz w:val="16"/>
          <w:szCs w:val="16"/>
          <w:bdr w:val="none" w:sz="0" w:space="0" w:color="auto" w:frame="1"/>
        </w:rPr>
        <w:t>«…По максимальным скоростям, скороподъемности, потолку и дальности самолет Су-6 М-71ф значительно превосходит находящийся на вооружении ВВС Красной Армии штурмовой самолет Ил-2;</w:t>
      </w:r>
    </w:p>
    <w:p w14:paraId="7260B870"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rStyle w:val="af0"/>
          <w:i w:val="0"/>
          <w:color w:val="000000" w:themeColor="text1"/>
          <w:sz w:val="16"/>
          <w:szCs w:val="16"/>
          <w:bdr w:val="none" w:sz="0" w:space="0" w:color="auto" w:frame="1"/>
        </w:rPr>
        <w:t>…Самолет Су-6 по своему бронированию и летно-боевым качествам, в первую очередь предназначен для решения штурмовых задач, но, вместе с тем, его можно успешно использовать и для борьбы с бомбардировщиками противника;</w:t>
      </w:r>
    </w:p>
    <w:p w14:paraId="03909FB2"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rStyle w:val="af0"/>
          <w:i w:val="0"/>
          <w:color w:val="000000" w:themeColor="text1"/>
          <w:sz w:val="16"/>
          <w:szCs w:val="16"/>
          <w:bdr w:val="none" w:sz="0" w:space="0" w:color="auto" w:frame="1"/>
        </w:rPr>
        <w:t>…Рекомендовать самолет Су-6 с мотором М-71ф в серийное производство».</w:t>
      </w:r>
    </w:p>
    <w:p w14:paraId="5E4B1EA5"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Передняя часть фюзеляжа целиком состояла из брони. Задняя — деревянный монокок.</w:t>
      </w:r>
    </w:p>
    <w:p w14:paraId="02E37583"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Центроплан, стабилизатор, рули, элероны (типа «Фрайз») и оба лонжерона крыла металлические. Киль и консоли крыла деревянные. Элероны и рули обшиты полотном.</w:t>
      </w:r>
    </w:p>
    <w:p w14:paraId="6B1FE6B3"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Осуществлялась весовая и аэродинамическая компенсация элеронов и рулей, имелись триммеры. Самолет имел предкрылки и щитки Шренка.</w:t>
      </w:r>
    </w:p>
    <w:p w14:paraId="41E23F24"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Шасси одностоечное с задним складывающимся подкосом. Убиралось назад с поворотом на 90°. Уборка и выпуск гидравлические.</w:t>
      </w:r>
    </w:p>
    <w:p w14:paraId="1F9D1807"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Для улучшения взлетно-посадочных характеристик в процессе испытаний трехлопастный винт АВ-5–4А с диаметром 3,25 м был заменен на четырехлопастный АВ-9–4А с диаметром 3,35 м. Установка нового винта увеличила вес машины на 40 кг.</w:t>
      </w:r>
    </w:p>
    <w:p w14:paraId="68AF971D"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Бензобак емкостью 770 л размещался под сидением летчика. Имелась система заполнения бензобака инертными газами.</w:t>
      </w:r>
    </w:p>
    <w:p w14:paraId="334513D2"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Маслорадиаторы располагались в носке крыла.</w:t>
      </w:r>
    </w:p>
    <w:p w14:paraId="7C16226C"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Бронирование штурмовика было выполнено значительно лучше, чем на Ил-2, однако благодаря рациональному распределению толщин бронелистов (от 2 до 12 мм) общая масса брони составила всего 683 кг, в том числе бронестекло (у летчика и стрелка) — 64 кг, бронирование около мотора — 72 кг, броня кабины летчика — 345 кг и кабины стрелка — 198 кг.</w:t>
      </w:r>
    </w:p>
    <w:p w14:paraId="78337FD8"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Бронирование охватывало кабину летчика и стрелка, бензобак, замоторный отсек, маслобак, маслорадиаторы и трубопроводы к ним, цилиндр винта.</w:t>
      </w:r>
    </w:p>
    <w:p w14:paraId="6ABC6FFC"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Передняя часть фюзеляжа до бронеспинки летчика представляла собой целиком бронированный корпус, в котором размещался летчик, бензобак, маслобак и органы управления. Козырек из прозрачной брони толщиной 65 мм.</w:t>
      </w:r>
    </w:p>
    <w:p w14:paraId="5A2113C0"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Кабина стрелка была выполнена в виде бронированной «капсулы» с толщиной брони от 4 до 12 мм. Стрелок был защищен металлической броней снизу, с боков, сзади и частично сверху и прозрачной броней (толщина 65 мм) блистерной установки.</w:t>
      </w:r>
    </w:p>
    <w:p w14:paraId="41FF9A98"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Агрегаты мотора защищались внутренним бронированным капотом и специальным бронированным разъемным кольцом. Радиаторы и трубопроводы к ним снизу и сзади защищались гнутым бронелистом толщиной 6 мм. Цилиндр винта спереди защищался сферическим диском из брони толщиной 6 мм.</w:t>
      </w:r>
    </w:p>
    <w:p w14:paraId="05DA9E00"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В целом бронирование самолета обеспечивало защиту от пуль калибра 12,7 мм. Живучесть повышалась применением наддува бензобака выхлопными газами от мотора.</w:t>
      </w:r>
    </w:p>
    <w:p w14:paraId="2EEC253E"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Наступательное стрелково-пушечное вооружение самолета включало две крыльевые крупнокалиберные пушки 11П-37 (боекомплект 90 снарядов) и два крыльевых пулемета ШКАС (1400 патронов).</w:t>
      </w:r>
    </w:p>
    <w:p w14:paraId="345D7AB0"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Отметим, что в отличие от Ил-2, на Су-6-м пушки 11П-37 размещались ближе к оси самолета. Последнее в совокупности с более высоким запасом устойчивости штурмовика обеспечивало более высокую эффективность стрельбы из пушек в воздухе по малоразмерным наземным целям.</w:t>
      </w:r>
    </w:p>
    <w:p w14:paraId="01389080"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Во время полигонных испытаний нового штурмовика никаких нареканий, связанных с влиянием силы отдачи пушек на машину при стрельбе в воздухе летчиками-испытателями не высказывались:</w:t>
      </w:r>
    </w:p>
    <w:p w14:paraId="720C3AD1"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rStyle w:val="af0"/>
          <w:i w:val="0"/>
          <w:color w:val="000000" w:themeColor="text1"/>
          <w:sz w:val="16"/>
          <w:szCs w:val="16"/>
          <w:bdr w:val="none" w:sz="0" w:space="0" w:color="auto" w:frame="1"/>
        </w:rPr>
        <w:t>«…На пикировании при стрельбе самолет устойчив, отдача даже при стрельбе из всех точек незначительна».</w:t>
      </w:r>
    </w:p>
    <w:p w14:paraId="5A39463B"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Для стрельбы назад использовалась блистерная установка БЛУБ с пулеметом УБТ калибра 12,7 мм (боезапас 196 патронов в четырех магазинах). Углы обстрела: вверх — 45°, вниз с бортов — 1°, вправо-влево — 30°.</w:t>
      </w:r>
    </w:p>
    <w:p w14:paraId="624836CC"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Бомбовая нагрузка 200 кг в перегрузку. Бомбы размещались внутри фюзеляжа в четырех отсеках по две с каждой стороны кабины стрелка. Бомбы укладывались на створки бомбоотсеков.</w:t>
      </w:r>
    </w:p>
    <w:p w14:paraId="076B297F"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В исключительных случаях при базировании на хороших аэродромах возможно было использовать внутри фюзеляжа две бомбы ФАБ-250 или четыре бомбы ФАБ-100ЦК. На внешней подвеске дополнительно могли подвешиваться 2 бомбы ФАБ-100.</w:t>
      </w:r>
    </w:p>
    <w:p w14:paraId="3523AA81"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Вес пустого самолета с винтом АВ-5–4А составил 4110 кг, вес полезной нагрузки (без бомб) — 1424 кг.</w:t>
      </w:r>
    </w:p>
    <w:p w14:paraId="3450E7A3"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Площадь крыла Су-6 была меньше, чем у Ил-2 (26 кв. м против 38,5 кв. м), но мощность мотора — выше. Кроме того, аэродинамика суховской машины была намного чище.</w:t>
      </w:r>
    </w:p>
    <w:p w14:paraId="1ED32AB7"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В результате максимальная скорость у земли Су-6 М-71Ф с винтом АВ-5–4А при полетном весе 5534 кг составила 480 км/ч (на высоте 3850 м — 514 км/ч), почти на 100 км/ч превосходила таковую для двухместного Ил-2 АМ-38Ф с более слабым пушечным вооружением (две ВЯ или две ШВАК).</w:t>
      </w:r>
    </w:p>
    <w:p w14:paraId="261A616F"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Вследствие того, что вся бомбовая нагрузка (200 кг) размещалась внутри фюзеляжа максимальные скорости штурмовика оставались практически теми же.</w:t>
      </w:r>
    </w:p>
    <w:p w14:paraId="5D18A694"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С четырехлопастным винтом АВ-9–4А скорость Су-6-го уменьшалась примерно на 3–4 км/ч, однако разбег на взлете составил 410 м, а пробег — 730 м.</w:t>
      </w:r>
    </w:p>
    <w:p w14:paraId="15BB7201"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Время подъема на высоту 1000 м составляло 1,8 мин, на высоту 5000 м — 10,6 мин. Максимальная дальность полета на высоте 1000 м на скорости 349 км/ч составила 973 км.</w:t>
      </w:r>
    </w:p>
    <w:p w14:paraId="53115BF7"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lastRenderedPageBreak/>
        <w:t>В ходе испытаний были проведены показательные воздушные бои с боевыми самолетами люфтваффе, имевшихся в распоряжении НИИ ВВС КА: с истребителем Bf 109G-2 в трехточечном варианте и с бомбардировщиком He 111Н-11.</w:t>
      </w:r>
    </w:p>
    <w:p w14:paraId="5C01F722"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Учебные бои показали, что воздушные бои Су-6 с немецкими истребителями были возможны только в составе группы («мессершмитт» уже на первом вираже мог зайти в хвост «сухому» для атаки), а бомбардировщики люфтваффе типа He 111, Fw 200 и Ju 87 не могли уйти от советского штурмовика набором высоты и неизбежно становились его жертвами.</w:t>
      </w:r>
    </w:p>
    <w:p w14:paraId="5272BC7A"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В этой связи в отчете по госиспытаниям рекомендовалось создать модификацию Су-6 специально для борьбы с бомбардировочными и транспортными самолетами противника.</w:t>
      </w:r>
    </w:p>
    <w:p w14:paraId="16B56818"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П. М. Стефановским предлагалось выпускать самолет Су-6 М-71Ф в одноместном варианте с пушками НС-37 и в двухместном — с пушками ВЯ-23.</w:t>
      </w:r>
    </w:p>
    <w:p w14:paraId="4867170B"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Кроме того, для двухместного самолета Су-6 М-71Ф предлагалось применить мотор М-71Ф с изъятой второй скоростью нагнетателя и дальнейшим форсированием его на малых высотах.</w:t>
      </w:r>
    </w:p>
    <w:p w14:paraId="35EBCEEC"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Реализация предложений П. М. Стефановского позволила бы иметь мощно вооруженный одноместный бронированный штурмовик и истребитель бомбардировщиков с летными данными близкими к серийным истребителям противника, а также двухместный бронированный штурмовик с еще более высокими летными данными.</w:t>
      </w:r>
    </w:p>
    <w:p w14:paraId="326E09FA"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Оценки показывают, что в типовых условиях боев летчик с хорошей летной и стрелковой подготовкой на штурмовике Су-6 М-71Ф уже в первой атаке мог обеспечить вероятность поражения немецкого среднего танка типа Pz. IV Ausf G (атака сбоку, угол планирования 25–30°, дистанция открытия огня 300–400 м) порядка 0,06–0,11, бронетранспортера типа Sd Kfz 250 — около 0,9–0,85, а самолета на аэродроме типа He 111 – 0,75–0,4.</w:t>
      </w:r>
    </w:p>
    <w:p w14:paraId="42819848"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Наладить серийное производство мотора М-71Ф в трудных условиях военного времени было сложно, и надо признать, никаких серьезных усилий в этом направлении со стороны руководства НКАП не производилось. Собственно, бездействие наркомата и решило судьбу Су-6 М-71Ф. Серийно он не строился (19188).</w:t>
      </w:r>
    </w:p>
    <w:p w14:paraId="00BBE18B" w14:textId="77777777" w:rsidR="001219F3" w:rsidRPr="00D03F3E" w:rsidRDefault="001219F3" w:rsidP="00D03F3E">
      <w:pPr>
        <w:pStyle w:val="ae"/>
        <w:shd w:val="clear" w:color="auto" w:fill="FFFFFF"/>
        <w:spacing w:before="0" w:after="0"/>
        <w:jc w:val="both"/>
        <w:textAlignment w:val="baseline"/>
        <w:rPr>
          <w:color w:val="000000" w:themeColor="text1"/>
          <w:sz w:val="16"/>
          <w:szCs w:val="16"/>
        </w:rPr>
      </w:pPr>
    </w:p>
    <w:p w14:paraId="42C84DB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20 июня по 30 августа 1943 г. двухместный Су-6 М-71Ф проходил государственные испытания в НИИ ВВС. За это время было произведено 42 по</w:t>
      </w:r>
      <w:r w:rsidRPr="00D03F3E">
        <w:rPr>
          <w:rFonts w:ascii="Times New Roman" w:hAnsi="Times New Roman"/>
          <w:color w:val="000000" w:themeColor="text1"/>
          <w:sz w:val="16"/>
          <w:szCs w:val="16"/>
        </w:rPr>
        <w:softHyphen/>
        <w:t>лета с общим налетом 23 часа 10 минут. Испытания проводили ведущий инженер А.В. Синельников и ведущий летчик-ис</w:t>
      </w:r>
      <w:r w:rsidRPr="00D03F3E">
        <w:rPr>
          <w:rFonts w:ascii="Times New Roman" w:hAnsi="Times New Roman"/>
          <w:color w:val="000000" w:themeColor="text1"/>
          <w:sz w:val="16"/>
          <w:szCs w:val="16"/>
        </w:rPr>
        <w:softHyphen/>
        <w:t>пытатель А.И. Кабанов, летчики облета П.М. Стефановский и А.К. Долгов. Кабину летчика признали просторной, посадку - удобной. Обзор впереди в сто</w:t>
      </w:r>
      <w:r w:rsidRPr="00D03F3E">
        <w:rPr>
          <w:rFonts w:ascii="Times New Roman" w:hAnsi="Times New Roman"/>
          <w:color w:val="000000" w:themeColor="text1"/>
          <w:sz w:val="16"/>
          <w:szCs w:val="16"/>
        </w:rPr>
        <w:softHyphen/>
        <w:t>роны оценивался как хороший и несколь</w:t>
      </w:r>
      <w:r w:rsidRPr="00D03F3E">
        <w:rPr>
          <w:rFonts w:ascii="Times New Roman" w:hAnsi="Times New Roman"/>
          <w:color w:val="000000" w:themeColor="text1"/>
          <w:sz w:val="16"/>
          <w:szCs w:val="16"/>
        </w:rPr>
        <w:softHyphen/>
        <w:t>ко ограниченный - назад. Стало ясно, что следует перекомпоно</w:t>
      </w:r>
      <w:r w:rsidRPr="00D03F3E">
        <w:rPr>
          <w:rFonts w:ascii="Times New Roman" w:hAnsi="Times New Roman"/>
          <w:color w:val="000000" w:themeColor="text1"/>
          <w:sz w:val="16"/>
          <w:szCs w:val="16"/>
        </w:rPr>
        <w:softHyphen/>
        <w:t>вать приборную доску, изменить разме</w:t>
      </w:r>
      <w:r w:rsidRPr="00D03F3E">
        <w:rPr>
          <w:rFonts w:ascii="Times New Roman" w:hAnsi="Times New Roman"/>
          <w:color w:val="000000" w:themeColor="text1"/>
          <w:sz w:val="16"/>
          <w:szCs w:val="16"/>
        </w:rPr>
        <w:softHyphen/>
        <w:t>щение в кабине отдельных рукояток, кно</w:t>
      </w:r>
      <w:r w:rsidRPr="00D03F3E">
        <w:rPr>
          <w:rFonts w:ascii="Times New Roman" w:hAnsi="Times New Roman"/>
          <w:color w:val="000000" w:themeColor="text1"/>
          <w:sz w:val="16"/>
          <w:szCs w:val="16"/>
        </w:rPr>
        <w:softHyphen/>
        <w:t>пок и сделать другие мелкие доработки. Для лучшего обзора приборной доски летчики просили заменить ручку упра</w:t>
      </w:r>
      <w:r w:rsidRPr="00D03F3E">
        <w:rPr>
          <w:rFonts w:ascii="Times New Roman" w:hAnsi="Times New Roman"/>
          <w:color w:val="000000" w:themeColor="text1"/>
          <w:sz w:val="16"/>
          <w:szCs w:val="16"/>
        </w:rPr>
        <w:softHyphen/>
        <w:t>вления самолетом штурвального типа на стандартную - истребительного. Кабина стрелка, как по своим габари</w:t>
      </w:r>
      <w:r w:rsidRPr="00D03F3E">
        <w:rPr>
          <w:rFonts w:ascii="Times New Roman" w:hAnsi="Times New Roman"/>
          <w:color w:val="000000" w:themeColor="text1"/>
          <w:sz w:val="16"/>
          <w:szCs w:val="16"/>
        </w:rPr>
        <w:softHyphen/>
        <w:t>там, так и по удобству работы в ней, зна чительно превосходила кабину стрелка на самолете Ил-2. Хорошее бронирова</w:t>
      </w:r>
      <w:r w:rsidRPr="00D03F3E">
        <w:rPr>
          <w:rFonts w:ascii="Times New Roman" w:hAnsi="Times New Roman"/>
          <w:color w:val="000000" w:themeColor="text1"/>
          <w:sz w:val="16"/>
          <w:szCs w:val="16"/>
        </w:rPr>
        <w:softHyphen/>
        <w:t>ние кабины обеспечивало безопасность и уверенность в работе стрелка, что в значительной степени повышало живу</w:t>
      </w:r>
      <w:r w:rsidRPr="00D03F3E">
        <w:rPr>
          <w:rFonts w:ascii="Times New Roman" w:hAnsi="Times New Roman"/>
          <w:color w:val="000000" w:themeColor="text1"/>
          <w:sz w:val="16"/>
          <w:szCs w:val="16"/>
        </w:rPr>
        <w:softHyphen/>
        <w:t>честь самолета в целом. Стрелковая установка с пулеметом УБТ оказалась эффективной защитой задней верхней полусферы. Но обстрел задней нижней полусферы практически был не</w:t>
      </w:r>
      <w:r w:rsidRPr="00D03F3E">
        <w:rPr>
          <w:rFonts w:ascii="Times New Roman" w:hAnsi="Times New Roman"/>
          <w:color w:val="000000" w:themeColor="text1"/>
          <w:sz w:val="16"/>
          <w:szCs w:val="16"/>
        </w:rPr>
        <w:softHyphen/>
        <w:t>возможен. Эксплуатация Су-6, по сравнению с эк</w:t>
      </w:r>
      <w:r w:rsidRPr="00D03F3E">
        <w:rPr>
          <w:rFonts w:ascii="Times New Roman" w:hAnsi="Times New Roman"/>
          <w:color w:val="000000" w:themeColor="text1"/>
          <w:sz w:val="16"/>
          <w:szCs w:val="16"/>
        </w:rPr>
        <w:softHyphen/>
        <w:t>сплуатацией самолетов однотипной винтомоторной группы, затруднений не представляла. Достаточно было двух че</w:t>
      </w:r>
      <w:r w:rsidRPr="00D03F3E">
        <w:rPr>
          <w:rFonts w:ascii="Times New Roman" w:hAnsi="Times New Roman"/>
          <w:color w:val="000000" w:themeColor="text1"/>
          <w:sz w:val="16"/>
          <w:szCs w:val="16"/>
        </w:rPr>
        <w:softHyphen/>
        <w:t>ловек: техника и механика. Неподвижные стрелково-пушечные установки обеспечивали безотказную стрельбу пушек и пулеметов. Вероят</w:t>
      </w:r>
      <w:r w:rsidRPr="00D03F3E">
        <w:rPr>
          <w:rFonts w:ascii="Times New Roman" w:hAnsi="Times New Roman"/>
          <w:color w:val="000000" w:themeColor="text1"/>
          <w:sz w:val="16"/>
          <w:szCs w:val="16"/>
        </w:rPr>
        <w:softHyphen/>
        <w:t>ность попадания из 37-мм пушек с само</w:t>
      </w:r>
      <w:r w:rsidRPr="00D03F3E">
        <w:rPr>
          <w:rFonts w:ascii="Times New Roman" w:hAnsi="Times New Roman"/>
          <w:color w:val="000000" w:themeColor="text1"/>
          <w:sz w:val="16"/>
          <w:szCs w:val="16"/>
        </w:rPr>
        <w:softHyphen/>
        <w:t>лета Су-6 была большей, чем при стрель</w:t>
      </w:r>
      <w:r w:rsidRPr="00D03F3E">
        <w:rPr>
          <w:rFonts w:ascii="Times New Roman" w:hAnsi="Times New Roman"/>
          <w:color w:val="000000" w:themeColor="text1"/>
          <w:sz w:val="16"/>
          <w:szCs w:val="16"/>
        </w:rPr>
        <w:softHyphen/>
        <w:t>бе из таких же пушек с самолета Ил-2, вследствие меньшего влияния силы от</w:t>
      </w:r>
      <w:r w:rsidRPr="00D03F3E">
        <w:rPr>
          <w:rFonts w:ascii="Times New Roman" w:hAnsi="Times New Roman"/>
          <w:color w:val="000000" w:themeColor="text1"/>
          <w:sz w:val="16"/>
          <w:szCs w:val="16"/>
        </w:rPr>
        <w:softHyphen/>
        <w:t>дачи на поведение «Су». Это объяснялось большей его скоро</w:t>
      </w:r>
      <w:r w:rsidRPr="00D03F3E">
        <w:rPr>
          <w:rFonts w:ascii="Times New Roman" w:hAnsi="Times New Roman"/>
          <w:color w:val="000000" w:themeColor="text1"/>
          <w:sz w:val="16"/>
          <w:szCs w:val="16"/>
        </w:rPr>
        <w:softHyphen/>
        <w:t>стью и устойчивостью, а также лучшим расположением пушек относительно центра тяжести. Бензосистема обеспечивала нормаль</w:t>
      </w:r>
      <w:r w:rsidRPr="00D03F3E">
        <w:rPr>
          <w:rFonts w:ascii="Times New Roman" w:hAnsi="Times New Roman"/>
          <w:color w:val="000000" w:themeColor="text1"/>
          <w:sz w:val="16"/>
          <w:szCs w:val="16"/>
        </w:rPr>
        <w:softHyphen/>
        <w:t>ное питание горючим на всех высотах по</w:t>
      </w:r>
      <w:r w:rsidRPr="00D03F3E">
        <w:rPr>
          <w:rFonts w:ascii="Times New Roman" w:hAnsi="Times New Roman"/>
          <w:color w:val="000000" w:themeColor="text1"/>
          <w:sz w:val="16"/>
          <w:szCs w:val="16"/>
        </w:rPr>
        <w:softHyphen/>
        <w:t>лета самолета и режимах работы мотора. Система охлаждения мотора обеспе</w:t>
      </w:r>
      <w:r w:rsidRPr="00D03F3E">
        <w:rPr>
          <w:rFonts w:ascii="Times New Roman" w:hAnsi="Times New Roman"/>
          <w:color w:val="000000" w:themeColor="text1"/>
          <w:sz w:val="16"/>
          <w:szCs w:val="16"/>
        </w:rPr>
        <w:softHyphen/>
        <w:t>чивала нормальный температурный ре</w:t>
      </w:r>
      <w:r w:rsidRPr="00D03F3E">
        <w:rPr>
          <w:rFonts w:ascii="Times New Roman" w:hAnsi="Times New Roman"/>
          <w:color w:val="000000" w:themeColor="text1"/>
          <w:sz w:val="16"/>
          <w:szCs w:val="16"/>
        </w:rPr>
        <w:softHyphen/>
        <w:t>жим головок цилиндров при наборе вы</w:t>
      </w:r>
      <w:r w:rsidRPr="00D03F3E">
        <w:rPr>
          <w:rFonts w:ascii="Times New Roman" w:hAnsi="Times New Roman"/>
          <w:color w:val="000000" w:themeColor="text1"/>
          <w:sz w:val="16"/>
          <w:szCs w:val="16"/>
        </w:rPr>
        <w:softHyphen/>
        <w:t>соты и в горизонтальном полете на мак</w:t>
      </w:r>
      <w:r w:rsidRPr="00D03F3E">
        <w:rPr>
          <w:rFonts w:ascii="Times New Roman" w:hAnsi="Times New Roman"/>
          <w:color w:val="000000" w:themeColor="text1"/>
          <w:sz w:val="16"/>
          <w:szCs w:val="16"/>
        </w:rPr>
        <w:softHyphen/>
        <w:t>симальной скорости при температуре наружного воздуха у земли плюс 30°С. Капотирование мотора было удобным. Благодаря надежности открытия на зе</w:t>
      </w:r>
      <w:r w:rsidRPr="00D03F3E">
        <w:rPr>
          <w:rFonts w:ascii="Times New Roman" w:hAnsi="Times New Roman"/>
          <w:color w:val="000000" w:themeColor="text1"/>
          <w:sz w:val="16"/>
          <w:szCs w:val="16"/>
        </w:rPr>
        <w:softHyphen/>
        <w:t>мле «юбки» капотов на 90°, обеспечивал</w:t>
      </w:r>
      <w:r w:rsidRPr="00D03F3E">
        <w:rPr>
          <w:rFonts w:ascii="Times New Roman" w:hAnsi="Times New Roman"/>
          <w:color w:val="000000" w:themeColor="text1"/>
          <w:sz w:val="16"/>
          <w:szCs w:val="16"/>
        </w:rPr>
        <w:softHyphen/>
        <w:t>ся простой демонтаж отдельных секций выхлопного коллектора. Заправка само</w:t>
      </w:r>
      <w:r w:rsidRPr="00D03F3E">
        <w:rPr>
          <w:rFonts w:ascii="Times New Roman" w:hAnsi="Times New Roman"/>
          <w:color w:val="000000" w:themeColor="text1"/>
          <w:sz w:val="16"/>
          <w:szCs w:val="16"/>
        </w:rPr>
        <w:softHyphen/>
        <w:t>лета горючим и маслом позволяла ис</w:t>
      </w:r>
      <w:r w:rsidRPr="00D03F3E">
        <w:rPr>
          <w:rFonts w:ascii="Times New Roman" w:hAnsi="Times New Roman"/>
          <w:color w:val="000000" w:themeColor="text1"/>
          <w:sz w:val="16"/>
          <w:szCs w:val="16"/>
        </w:rPr>
        <w:softHyphen/>
        <w:t>пользовать полную мощность заправщи</w:t>
      </w:r>
      <w:r w:rsidRPr="00D03F3E">
        <w:rPr>
          <w:rFonts w:ascii="Times New Roman" w:hAnsi="Times New Roman"/>
          <w:color w:val="000000" w:themeColor="text1"/>
          <w:sz w:val="16"/>
          <w:szCs w:val="16"/>
        </w:rPr>
        <w:softHyphen/>
        <w:t>ков. Слив горючего и масла был про</w:t>
      </w:r>
      <w:r w:rsidRPr="00D03F3E">
        <w:rPr>
          <w:rFonts w:ascii="Times New Roman" w:hAnsi="Times New Roman"/>
          <w:color w:val="000000" w:themeColor="text1"/>
          <w:sz w:val="16"/>
          <w:szCs w:val="16"/>
        </w:rPr>
        <w:softHyphen/>
        <w:t>стым. Опытный четырехлопастный винт АВ-9-4А, заменивший трехлопастный АВ-5-4А такого же диаметра, значительно улучшил взлетные данные самолета, нес</w:t>
      </w:r>
      <w:r w:rsidRPr="00D03F3E">
        <w:rPr>
          <w:rFonts w:ascii="Times New Roman" w:hAnsi="Times New Roman"/>
          <w:color w:val="000000" w:themeColor="text1"/>
          <w:sz w:val="16"/>
          <w:szCs w:val="16"/>
        </w:rPr>
        <w:softHyphen/>
        <w:t>мотря на увеличение полетного веса на 40 кг. Длина разбега сократилась с 510 до 410 метров, взлетная дистанция умень</w:t>
      </w:r>
      <w:r w:rsidRPr="00D03F3E">
        <w:rPr>
          <w:rFonts w:ascii="Times New Roman" w:hAnsi="Times New Roman"/>
          <w:color w:val="000000" w:themeColor="text1"/>
          <w:sz w:val="16"/>
          <w:szCs w:val="16"/>
        </w:rPr>
        <w:softHyphen/>
        <w:t>шилась с 1280 до 1090 метров. Максимальные скорости полета с трех- и четырехлопастным винтами были практически одинаковы. В дальнейшем для улучшения взлетных данных самоле</w:t>
      </w:r>
      <w:r w:rsidRPr="00D03F3E">
        <w:rPr>
          <w:rFonts w:ascii="Times New Roman" w:hAnsi="Times New Roman"/>
          <w:color w:val="000000" w:themeColor="text1"/>
          <w:sz w:val="16"/>
          <w:szCs w:val="16"/>
        </w:rPr>
        <w:softHyphen/>
        <w:t>та необходимо было спроектировать специально подобранный четырехло</w:t>
      </w:r>
      <w:r w:rsidRPr="00D03F3E">
        <w:rPr>
          <w:rFonts w:ascii="Times New Roman" w:hAnsi="Times New Roman"/>
          <w:color w:val="000000" w:themeColor="text1"/>
          <w:sz w:val="16"/>
          <w:szCs w:val="16"/>
        </w:rPr>
        <w:softHyphen/>
        <w:t>пастный винт. Объем спецоборудования отвечал тре</w:t>
      </w:r>
      <w:r w:rsidRPr="00D03F3E">
        <w:rPr>
          <w:rFonts w:ascii="Times New Roman" w:hAnsi="Times New Roman"/>
          <w:color w:val="000000" w:themeColor="text1"/>
          <w:sz w:val="16"/>
          <w:szCs w:val="16"/>
        </w:rPr>
        <w:softHyphen/>
        <w:t>бованиям ВВС Красной Армии к самоле</w:t>
      </w:r>
      <w:r w:rsidRPr="00D03F3E">
        <w:rPr>
          <w:rFonts w:ascii="Times New Roman" w:hAnsi="Times New Roman"/>
          <w:color w:val="000000" w:themeColor="text1"/>
          <w:sz w:val="16"/>
          <w:szCs w:val="16"/>
        </w:rPr>
        <w:softHyphen/>
        <w:t>там типа «штурмовик» и обеспечивал вы</w:t>
      </w:r>
      <w:r w:rsidRPr="00D03F3E">
        <w:rPr>
          <w:rFonts w:ascii="Times New Roman" w:hAnsi="Times New Roman"/>
          <w:color w:val="000000" w:themeColor="text1"/>
          <w:sz w:val="16"/>
          <w:szCs w:val="16"/>
        </w:rPr>
        <w:softHyphen/>
        <w:t>полнение боевых полетов в дневное и ночное время в сложных метеоусловиях. На двухместном самолете Су-6 с мото</w:t>
      </w:r>
      <w:r w:rsidRPr="00D03F3E">
        <w:rPr>
          <w:rFonts w:ascii="Times New Roman" w:hAnsi="Times New Roman"/>
          <w:color w:val="000000" w:themeColor="text1"/>
          <w:sz w:val="16"/>
          <w:szCs w:val="16"/>
        </w:rPr>
        <w:softHyphen/>
        <w:t>ром М-71Ф были проведены воздушные бои с самолетами противника: истреби</w:t>
      </w:r>
      <w:r w:rsidRPr="00D03F3E">
        <w:rPr>
          <w:rFonts w:ascii="Times New Roman" w:hAnsi="Times New Roman"/>
          <w:color w:val="000000" w:themeColor="text1"/>
          <w:sz w:val="16"/>
          <w:szCs w:val="16"/>
        </w:rPr>
        <w:softHyphen/>
        <w:t>телем Ме-109С2 без подкрыльных пушек и бомбардировщиком Не-111 НИ в днев</w:t>
      </w:r>
      <w:r w:rsidRPr="00D03F3E">
        <w:rPr>
          <w:rFonts w:ascii="Times New Roman" w:hAnsi="Times New Roman"/>
          <w:color w:val="000000" w:themeColor="text1"/>
          <w:sz w:val="16"/>
          <w:szCs w:val="16"/>
        </w:rPr>
        <w:softHyphen/>
        <w:t>ных условиях (здесь и далее обозначения самолетов противника приведены по ак</w:t>
      </w:r>
      <w:r w:rsidRPr="00D03F3E">
        <w:rPr>
          <w:rFonts w:ascii="Times New Roman" w:hAnsi="Times New Roman"/>
          <w:color w:val="000000" w:themeColor="text1"/>
          <w:sz w:val="16"/>
          <w:szCs w:val="16"/>
        </w:rPr>
        <w:softHyphen/>
        <w:t>ту НИИ ВВС КА). На виражах Ме-10902 быстро заходил самолету Су-6 в хвост, но стрелок почти во все время атаки держал истребитель противника под прицельным огнем свое</w:t>
      </w:r>
      <w:r w:rsidRPr="00D03F3E">
        <w:rPr>
          <w:rFonts w:ascii="Times New Roman" w:hAnsi="Times New Roman"/>
          <w:color w:val="000000" w:themeColor="text1"/>
          <w:sz w:val="16"/>
          <w:szCs w:val="16"/>
        </w:rPr>
        <w:softHyphen/>
        <w:t>го пулемета. В горизонтальном полете на макси</w:t>
      </w:r>
      <w:r w:rsidRPr="00D03F3E">
        <w:rPr>
          <w:rFonts w:ascii="Times New Roman" w:hAnsi="Times New Roman"/>
          <w:color w:val="000000" w:themeColor="text1"/>
          <w:sz w:val="16"/>
          <w:szCs w:val="16"/>
        </w:rPr>
        <w:softHyphen/>
        <w:t>мальной скорости стрелок имел возмож</w:t>
      </w:r>
      <w:r w:rsidRPr="00D03F3E">
        <w:rPr>
          <w:rFonts w:ascii="Times New Roman" w:hAnsi="Times New Roman"/>
          <w:color w:val="000000" w:themeColor="text1"/>
          <w:sz w:val="16"/>
          <w:szCs w:val="16"/>
        </w:rPr>
        <w:softHyphen/>
        <w:t>ность вести огонь в верней части задней полусферы противника, так как (вслед</w:t>
      </w:r>
      <w:r w:rsidRPr="00D03F3E">
        <w:rPr>
          <w:rFonts w:ascii="Times New Roman" w:hAnsi="Times New Roman"/>
          <w:color w:val="000000" w:themeColor="text1"/>
          <w:sz w:val="16"/>
          <w:szCs w:val="16"/>
        </w:rPr>
        <w:softHyphen/>
        <w:t>ствие малого запаса скорости Ме-109О2 в сравнении с Су-6) истребитель мог производить атаки только с небольшими углами. Исключения составляли случаи, когда истребитель перед атакой имел значительное превосходство в высоте и мог атаковать Су-6 под большими угла</w:t>
      </w:r>
      <w:r w:rsidRPr="00D03F3E">
        <w:rPr>
          <w:rFonts w:ascii="Times New Roman" w:hAnsi="Times New Roman"/>
          <w:color w:val="000000" w:themeColor="text1"/>
          <w:sz w:val="16"/>
          <w:szCs w:val="16"/>
        </w:rPr>
        <w:softHyphen/>
        <w:t>ми. При полете бомбардировщика по ло</w:t>
      </w:r>
      <w:r w:rsidRPr="00D03F3E">
        <w:rPr>
          <w:rFonts w:ascii="Times New Roman" w:hAnsi="Times New Roman"/>
          <w:color w:val="000000" w:themeColor="text1"/>
          <w:sz w:val="16"/>
          <w:szCs w:val="16"/>
        </w:rPr>
        <w:softHyphen/>
        <w:t>маному маршруту на высотах до 4000 м, Су-6 мог атаковать его со всех направле</w:t>
      </w:r>
      <w:r w:rsidRPr="00D03F3E">
        <w:rPr>
          <w:rFonts w:ascii="Times New Roman" w:hAnsi="Times New Roman"/>
          <w:color w:val="000000" w:themeColor="text1"/>
          <w:sz w:val="16"/>
          <w:szCs w:val="16"/>
        </w:rPr>
        <w:softHyphen/>
        <w:t>ний. Под углами более 50° к линии поле</w:t>
      </w:r>
      <w:r w:rsidRPr="00D03F3E">
        <w:rPr>
          <w:rFonts w:ascii="Times New Roman" w:hAnsi="Times New Roman"/>
          <w:color w:val="000000" w:themeColor="text1"/>
          <w:sz w:val="16"/>
          <w:szCs w:val="16"/>
        </w:rPr>
        <w:softHyphen/>
        <w:t>та атаки были возможны с дистанций 400 - 500 метров. Эффективность атак с этих дистанций обеспечивалась мощным пушечным во</w:t>
      </w:r>
      <w:r w:rsidRPr="00D03F3E">
        <w:rPr>
          <w:rFonts w:ascii="Times New Roman" w:hAnsi="Times New Roman"/>
          <w:color w:val="000000" w:themeColor="text1"/>
          <w:sz w:val="16"/>
          <w:szCs w:val="16"/>
        </w:rPr>
        <w:softHyphen/>
        <w:t>оружением самолета Су-6. При наборе высоты бомбардировщи</w:t>
      </w:r>
      <w:r w:rsidRPr="00D03F3E">
        <w:rPr>
          <w:rFonts w:ascii="Times New Roman" w:hAnsi="Times New Roman"/>
          <w:color w:val="000000" w:themeColor="text1"/>
          <w:sz w:val="16"/>
          <w:szCs w:val="16"/>
        </w:rPr>
        <w:softHyphen/>
        <w:t>ком (с 800 до 4000 м) самолет Су-6 мог атаковать его как на догоне сзади, так и на перехвате сбоку. Уйти от Су-6 с набо</w:t>
      </w:r>
      <w:r w:rsidRPr="00D03F3E">
        <w:rPr>
          <w:rFonts w:ascii="Times New Roman" w:hAnsi="Times New Roman"/>
          <w:color w:val="000000" w:themeColor="text1"/>
          <w:sz w:val="16"/>
          <w:szCs w:val="16"/>
        </w:rPr>
        <w:softHyphen/>
        <w:t>ром высоты бомбардировщики против</w:t>
      </w:r>
      <w:r w:rsidRPr="00D03F3E">
        <w:rPr>
          <w:rFonts w:ascii="Times New Roman" w:hAnsi="Times New Roman"/>
          <w:color w:val="000000" w:themeColor="text1"/>
          <w:sz w:val="16"/>
          <w:szCs w:val="16"/>
        </w:rPr>
        <w:softHyphen/>
        <w:t>ника типа Хенкель 111, Фокке-Вульф-200 и Ю-87 не могли. Догоняя бомбардировщик, шедший по прямой на максимальной скорости и на высотах до 4000 метров, Су-6 свободно атаковал его сзади, а также мог обгонять и атаковать «в лоб».</w:t>
      </w:r>
    </w:p>
    <w:p w14:paraId="195B270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выводах об этих полетах указыва</w:t>
      </w:r>
      <w:r w:rsidRPr="00D03F3E">
        <w:rPr>
          <w:rFonts w:ascii="Times New Roman" w:hAnsi="Times New Roman"/>
          <w:color w:val="000000" w:themeColor="text1"/>
          <w:sz w:val="16"/>
          <w:szCs w:val="16"/>
        </w:rPr>
        <w:softHyphen/>
        <w:t>лось:</w:t>
      </w:r>
    </w:p>
    <w:p w14:paraId="58F3FA0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«Наряду с ведением активной мане</w:t>
      </w:r>
      <w:r w:rsidRPr="00D03F3E">
        <w:rPr>
          <w:rFonts w:ascii="Times New Roman" w:hAnsi="Times New Roman"/>
          <w:color w:val="000000" w:themeColor="text1"/>
          <w:sz w:val="16"/>
          <w:szCs w:val="16"/>
        </w:rPr>
        <w:softHyphen/>
        <w:t>вренной обороны при отражении атак ис</w:t>
      </w:r>
      <w:r w:rsidRPr="00D03F3E">
        <w:rPr>
          <w:rFonts w:ascii="Times New Roman" w:hAnsi="Times New Roman"/>
          <w:color w:val="000000" w:themeColor="text1"/>
          <w:sz w:val="16"/>
          <w:szCs w:val="16"/>
        </w:rPr>
        <w:softHyphen/>
        <w:t>требителей противника, самолет Су-6, имея большую в сравнении с самолетом Ил-2 горизонтальную скорость и защиту хвоста огнем пулемета стрелка, может обороняться от истребителей противни</w:t>
      </w:r>
      <w:r w:rsidRPr="00D03F3E">
        <w:rPr>
          <w:rFonts w:ascii="Times New Roman" w:hAnsi="Times New Roman"/>
          <w:color w:val="000000" w:themeColor="text1"/>
          <w:sz w:val="16"/>
          <w:szCs w:val="16"/>
        </w:rPr>
        <w:softHyphen/>
        <w:t>ка, продолжая полет на максимальной скорости (особенно на малых высотах).</w:t>
      </w:r>
    </w:p>
    <w:p w14:paraId="22CC906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Благодаря сочетанию большой скоро</w:t>
      </w:r>
      <w:r w:rsidRPr="00D03F3E">
        <w:rPr>
          <w:rFonts w:ascii="Times New Roman" w:hAnsi="Times New Roman"/>
          <w:color w:val="000000" w:themeColor="text1"/>
          <w:sz w:val="16"/>
          <w:szCs w:val="16"/>
        </w:rPr>
        <w:softHyphen/>
        <w:t>сти и мощного вооружения, самолет Су-6 может быть эффективно использован для борьбы с бомбардировщиками против</w:t>
      </w:r>
      <w:r w:rsidRPr="00D03F3E">
        <w:rPr>
          <w:rFonts w:ascii="Times New Roman" w:hAnsi="Times New Roman"/>
          <w:color w:val="000000" w:themeColor="text1"/>
          <w:sz w:val="16"/>
          <w:szCs w:val="16"/>
        </w:rPr>
        <w:softHyphen/>
        <w:t>ника (типа Хенкель 111, Фокке-Вульф-200, Ю-87) и транспортной авиацией». По результатам всесторонних испытаний летчики-испытатели НИИ ВВС дали сле</w:t>
      </w:r>
      <w:r w:rsidRPr="00D03F3E">
        <w:rPr>
          <w:rFonts w:ascii="Times New Roman" w:hAnsi="Times New Roman"/>
          <w:color w:val="000000" w:themeColor="text1"/>
          <w:sz w:val="16"/>
          <w:szCs w:val="16"/>
        </w:rPr>
        <w:softHyphen/>
        <w:t>дующие оценки машине:</w:t>
      </w:r>
    </w:p>
    <w:p w14:paraId="1CCC846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...Поведение самолета на наборе вы</w:t>
      </w:r>
      <w:r w:rsidRPr="00D03F3E">
        <w:rPr>
          <w:rFonts w:ascii="Times New Roman" w:hAnsi="Times New Roman"/>
          <w:color w:val="000000" w:themeColor="text1"/>
          <w:sz w:val="16"/>
          <w:szCs w:val="16"/>
        </w:rPr>
        <w:softHyphen/>
        <w:t>соты нормально - он устойчив и легко управляем... На пикировании при стрель</w:t>
      </w:r>
      <w:r w:rsidRPr="00D03F3E">
        <w:rPr>
          <w:rFonts w:ascii="Times New Roman" w:hAnsi="Times New Roman"/>
          <w:color w:val="000000" w:themeColor="text1"/>
          <w:sz w:val="16"/>
          <w:szCs w:val="16"/>
        </w:rPr>
        <w:softHyphen/>
        <w:t>бе самолет устойчив, отдача даже при стрельбе из всех точек незначительна. Стрельба из одной пушки возможна, яв</w:t>
      </w:r>
      <w:r w:rsidRPr="00D03F3E">
        <w:rPr>
          <w:rFonts w:ascii="Times New Roman" w:hAnsi="Times New Roman"/>
          <w:color w:val="000000" w:themeColor="text1"/>
          <w:sz w:val="16"/>
          <w:szCs w:val="16"/>
        </w:rPr>
        <w:softHyphen/>
        <w:t>ление разворачивания наблюдается, но в меньшей степени, чем на Ил-2. Огонь ве</w:t>
      </w:r>
      <w:r w:rsidRPr="00D03F3E">
        <w:rPr>
          <w:rFonts w:ascii="Times New Roman" w:hAnsi="Times New Roman"/>
          <w:color w:val="000000" w:themeColor="text1"/>
          <w:sz w:val="16"/>
          <w:szCs w:val="16"/>
        </w:rPr>
        <w:softHyphen/>
        <w:t>сти удобно.</w:t>
      </w:r>
    </w:p>
    <w:p w14:paraId="6D012E9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целом самолет производит хорошее впечатление и будет грозным оружием как в борьбе с земными целями, так и с бомбардировщиками противника. Для пилотирования самолета летчики дол</w:t>
      </w:r>
      <w:r w:rsidRPr="00D03F3E">
        <w:rPr>
          <w:rFonts w:ascii="Times New Roman" w:hAnsi="Times New Roman"/>
          <w:color w:val="000000" w:themeColor="text1"/>
          <w:sz w:val="16"/>
          <w:szCs w:val="16"/>
        </w:rPr>
        <w:softHyphen/>
        <w:t>жны быть подготовлены как для пилоти</w:t>
      </w:r>
      <w:r w:rsidRPr="00D03F3E">
        <w:rPr>
          <w:rFonts w:ascii="Times New Roman" w:hAnsi="Times New Roman"/>
          <w:color w:val="000000" w:themeColor="text1"/>
          <w:sz w:val="16"/>
          <w:szCs w:val="16"/>
        </w:rPr>
        <w:softHyphen/>
        <w:t>рования самолета Ла-5.</w:t>
      </w:r>
    </w:p>
    <w:p w14:paraId="61659E1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...Скороподъемность хорошая. Устой</w:t>
      </w:r>
      <w:r w:rsidRPr="00D03F3E">
        <w:rPr>
          <w:rFonts w:ascii="Times New Roman" w:hAnsi="Times New Roman"/>
          <w:color w:val="000000" w:themeColor="text1"/>
          <w:sz w:val="16"/>
          <w:szCs w:val="16"/>
        </w:rPr>
        <w:softHyphen/>
        <w:t>чивость положительная во всех трех осях, с наличием запаса ее. Управляе</w:t>
      </w:r>
      <w:r w:rsidRPr="00D03F3E">
        <w:rPr>
          <w:rFonts w:ascii="Times New Roman" w:hAnsi="Times New Roman"/>
          <w:color w:val="000000" w:themeColor="text1"/>
          <w:sz w:val="16"/>
          <w:szCs w:val="16"/>
        </w:rPr>
        <w:softHyphen/>
        <w:t>мость также хорошая, но немного велики нагрузки на элероны и руль глубины... Разбег и посадка по технике освоения будут напоминать самолет Пе-2 или не</w:t>
      </w:r>
      <w:r w:rsidRPr="00D03F3E">
        <w:rPr>
          <w:rFonts w:ascii="Times New Roman" w:hAnsi="Times New Roman"/>
          <w:color w:val="000000" w:themeColor="text1"/>
          <w:sz w:val="16"/>
          <w:szCs w:val="16"/>
        </w:rPr>
        <w:softHyphen/>
        <w:t>мецкий истребитель Фокке-Вульф-190...</w:t>
      </w:r>
    </w:p>
    <w:p w14:paraId="126EB19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как двухместный штурмовик, является актуальной и нужной машиной. Может заменить самолет Ил-2, так как обладает лучшим бронированием и зна</w:t>
      </w:r>
      <w:r w:rsidRPr="00D03F3E">
        <w:rPr>
          <w:rFonts w:ascii="Times New Roman" w:hAnsi="Times New Roman"/>
          <w:color w:val="000000" w:themeColor="text1"/>
          <w:sz w:val="16"/>
          <w:szCs w:val="16"/>
        </w:rPr>
        <w:softHyphen/>
        <w:t>чительно лучшими летными данными».</w:t>
      </w:r>
    </w:p>
    <w:p w14:paraId="3B9FFAD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была действительно замечатель</w:t>
      </w:r>
      <w:r w:rsidRPr="00D03F3E">
        <w:rPr>
          <w:rFonts w:ascii="Times New Roman" w:hAnsi="Times New Roman"/>
          <w:color w:val="000000" w:themeColor="text1"/>
          <w:sz w:val="16"/>
          <w:szCs w:val="16"/>
        </w:rPr>
        <w:softHyphen/>
        <w:t>ная машина, блестяще прошедшая го</w:t>
      </w:r>
      <w:r w:rsidRPr="00D03F3E">
        <w:rPr>
          <w:rFonts w:ascii="Times New Roman" w:hAnsi="Times New Roman"/>
          <w:color w:val="000000" w:themeColor="text1"/>
          <w:sz w:val="16"/>
          <w:szCs w:val="16"/>
        </w:rPr>
        <w:softHyphen/>
        <w:t>сиспытания с очень высокой оценкой, что подтверждается выводами из акта:</w:t>
      </w:r>
    </w:p>
    <w:p w14:paraId="0368110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максимальным скоростям, ско</w:t>
      </w:r>
      <w:r w:rsidRPr="00D03F3E">
        <w:rPr>
          <w:rFonts w:ascii="Times New Roman" w:hAnsi="Times New Roman"/>
          <w:color w:val="000000" w:themeColor="text1"/>
          <w:sz w:val="16"/>
          <w:szCs w:val="16"/>
        </w:rPr>
        <w:softHyphen/>
        <w:t xml:space="preserve">роподъемности, потолку и дальности </w:t>
      </w:r>
      <w:r w:rsidRPr="00D03F3E">
        <w:rPr>
          <w:rFonts w:ascii="Times New Roman" w:hAnsi="Times New Roman"/>
          <w:iCs/>
          <w:color w:val="000000" w:themeColor="text1"/>
          <w:sz w:val="16"/>
          <w:szCs w:val="16"/>
        </w:rPr>
        <w:t>са</w:t>
      </w:r>
      <w:r w:rsidRPr="00D03F3E">
        <w:rPr>
          <w:rFonts w:ascii="Times New Roman" w:hAnsi="Times New Roman"/>
          <w:color w:val="000000" w:themeColor="text1"/>
          <w:sz w:val="16"/>
          <w:szCs w:val="16"/>
        </w:rPr>
        <w:t xml:space="preserve"> молет Су-6 М-71Ф значительно превос</w:t>
      </w:r>
      <w:r w:rsidRPr="00D03F3E">
        <w:rPr>
          <w:rFonts w:ascii="Times New Roman" w:hAnsi="Times New Roman"/>
          <w:color w:val="000000" w:themeColor="text1"/>
          <w:sz w:val="16"/>
          <w:szCs w:val="16"/>
        </w:rPr>
        <w:softHyphen/>
        <w:t>ходит находящийся на вооружении ВВС Красной Армии штурмовой самолет Ил-2 с мотором АМ-38Ф...</w:t>
      </w:r>
    </w:p>
    <w:p w14:paraId="4A6144F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Су-6 по своему бронирова</w:t>
      </w:r>
      <w:r w:rsidRPr="00D03F3E">
        <w:rPr>
          <w:rFonts w:ascii="Times New Roman" w:hAnsi="Times New Roman"/>
          <w:color w:val="000000" w:themeColor="text1"/>
          <w:sz w:val="16"/>
          <w:szCs w:val="16"/>
        </w:rPr>
        <w:softHyphen/>
        <w:t>нию и летно-боевым качествам, в первую очередь, предназначен для решения штурмовых задач, но вместе с тем его можно успешно использовать и для борь</w:t>
      </w:r>
      <w:r w:rsidRPr="00D03F3E">
        <w:rPr>
          <w:rFonts w:ascii="Times New Roman" w:hAnsi="Times New Roman"/>
          <w:color w:val="000000" w:themeColor="text1"/>
          <w:sz w:val="16"/>
          <w:szCs w:val="16"/>
        </w:rPr>
        <w:softHyphen/>
        <w:t>бы с бомбардировщиками противника.</w:t>
      </w:r>
    </w:p>
    <w:p w14:paraId="109F2C9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Решать задачи борьбы с истребителя</w:t>
      </w:r>
      <w:r w:rsidRPr="00D03F3E">
        <w:rPr>
          <w:rFonts w:ascii="Times New Roman" w:hAnsi="Times New Roman"/>
          <w:color w:val="000000" w:themeColor="text1"/>
          <w:sz w:val="16"/>
          <w:szCs w:val="16"/>
        </w:rPr>
        <w:softHyphen/>
        <w:t>ми противника самолет Су-6 по своим летным данным и маневренности не мо</w:t>
      </w:r>
      <w:r w:rsidRPr="00D03F3E">
        <w:rPr>
          <w:rFonts w:ascii="Times New Roman" w:hAnsi="Times New Roman"/>
          <w:color w:val="000000" w:themeColor="text1"/>
          <w:sz w:val="16"/>
          <w:szCs w:val="16"/>
        </w:rPr>
        <w:softHyphen/>
        <w:t>жет. Однако, сравнительно большие го</w:t>
      </w:r>
      <w:r w:rsidRPr="00D03F3E">
        <w:rPr>
          <w:rFonts w:ascii="Times New Roman" w:hAnsi="Times New Roman"/>
          <w:color w:val="000000" w:themeColor="text1"/>
          <w:sz w:val="16"/>
          <w:szCs w:val="16"/>
        </w:rPr>
        <w:softHyphen/>
        <w:t>ризонтальные скорости и наличие обо</w:t>
      </w:r>
      <w:r w:rsidRPr="00D03F3E">
        <w:rPr>
          <w:rFonts w:ascii="Times New Roman" w:hAnsi="Times New Roman"/>
          <w:color w:val="000000" w:themeColor="text1"/>
          <w:sz w:val="16"/>
          <w:szCs w:val="16"/>
        </w:rPr>
        <w:softHyphen/>
        <w:t>ронительного вооружения на двухме</w:t>
      </w:r>
      <w:r w:rsidRPr="00D03F3E">
        <w:rPr>
          <w:rFonts w:ascii="Times New Roman" w:hAnsi="Times New Roman"/>
          <w:color w:val="000000" w:themeColor="text1"/>
          <w:sz w:val="16"/>
          <w:szCs w:val="16"/>
        </w:rPr>
        <w:softHyphen/>
        <w:t>стном самолете позволяет ему отражать атаки истребителей противника.</w:t>
      </w:r>
    </w:p>
    <w:p w14:paraId="457D8E0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большей боевой эффективности целесообразно иметь штурмовые само</w:t>
      </w:r>
      <w:r w:rsidRPr="00D03F3E">
        <w:rPr>
          <w:rFonts w:ascii="Times New Roman" w:hAnsi="Times New Roman"/>
          <w:color w:val="000000" w:themeColor="text1"/>
          <w:sz w:val="16"/>
          <w:szCs w:val="16"/>
        </w:rPr>
        <w:softHyphen/>
        <w:t>леты Су-6 в двухместном и одноместном вариантах (с пушками 37-мм, с возмож</w:t>
      </w:r>
      <w:r w:rsidRPr="00D03F3E">
        <w:rPr>
          <w:rFonts w:ascii="Times New Roman" w:hAnsi="Times New Roman"/>
          <w:color w:val="000000" w:themeColor="text1"/>
          <w:sz w:val="16"/>
          <w:szCs w:val="16"/>
        </w:rPr>
        <w:softHyphen/>
        <w:t>ной заменой их на пушки 23-мм, пулеме</w:t>
      </w:r>
      <w:r w:rsidRPr="00D03F3E">
        <w:rPr>
          <w:rFonts w:ascii="Times New Roman" w:hAnsi="Times New Roman"/>
          <w:color w:val="000000" w:themeColor="text1"/>
          <w:sz w:val="16"/>
          <w:szCs w:val="16"/>
        </w:rPr>
        <w:softHyphen/>
        <w:t>тами ШКАС и бомбардировочным воору</w:t>
      </w:r>
      <w:r w:rsidRPr="00D03F3E">
        <w:rPr>
          <w:rFonts w:ascii="Times New Roman" w:hAnsi="Times New Roman"/>
          <w:color w:val="000000" w:themeColor="text1"/>
          <w:sz w:val="16"/>
          <w:szCs w:val="16"/>
        </w:rPr>
        <w:softHyphen/>
        <w:t>жением).</w:t>
      </w:r>
    </w:p>
    <w:p w14:paraId="7CBF0DE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Без бомбовой нагрузки одноместный самолет Су-6 может со значительно большим эффектом вести борьбу против бомбардировщиков противника».</w:t>
      </w:r>
    </w:p>
    <w:p w14:paraId="4884D21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в заключении Акта по результатам го</w:t>
      </w:r>
      <w:r w:rsidRPr="00D03F3E">
        <w:rPr>
          <w:rFonts w:ascii="Times New Roman" w:hAnsi="Times New Roman"/>
          <w:color w:val="000000" w:themeColor="text1"/>
          <w:sz w:val="16"/>
          <w:szCs w:val="16"/>
        </w:rPr>
        <w:softHyphen/>
        <w:t>сударственных испытаний опытного двухместного самолета Су-6 с мотором М-71Ф говорилось:</w:t>
      </w:r>
    </w:p>
    <w:p w14:paraId="2A7DD77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«Опытный двухместный самолет Су-6 с мотором М-71Ф и опытным 4-х лопаст</w:t>
      </w:r>
      <w:r w:rsidRPr="00D03F3E">
        <w:rPr>
          <w:rFonts w:ascii="Times New Roman" w:hAnsi="Times New Roman"/>
          <w:color w:val="000000" w:themeColor="text1"/>
          <w:sz w:val="16"/>
          <w:szCs w:val="16"/>
        </w:rPr>
        <w:softHyphen/>
        <w:t>ным винтом АВ-9-4А, конструкции т. Су</w:t>
      </w:r>
      <w:r w:rsidRPr="00D03F3E">
        <w:rPr>
          <w:rFonts w:ascii="Times New Roman" w:hAnsi="Times New Roman"/>
          <w:color w:val="000000" w:themeColor="text1"/>
          <w:sz w:val="16"/>
          <w:szCs w:val="16"/>
        </w:rPr>
        <w:softHyphen/>
        <w:t>хого, производства завода № 289, госу</w:t>
      </w:r>
      <w:r w:rsidRPr="00D03F3E">
        <w:rPr>
          <w:rFonts w:ascii="Times New Roman" w:hAnsi="Times New Roman"/>
          <w:color w:val="000000" w:themeColor="text1"/>
          <w:sz w:val="16"/>
          <w:szCs w:val="16"/>
        </w:rPr>
        <w:softHyphen/>
        <w:t>дарственные испытания выдержал, пока</w:t>
      </w:r>
      <w:r w:rsidRPr="00D03F3E">
        <w:rPr>
          <w:rFonts w:ascii="Times New Roman" w:hAnsi="Times New Roman"/>
          <w:color w:val="000000" w:themeColor="text1"/>
          <w:sz w:val="16"/>
          <w:szCs w:val="16"/>
        </w:rPr>
        <w:softHyphen/>
        <w:t>зав хорошие летно-тактические данные.</w:t>
      </w:r>
    </w:p>
    <w:p w14:paraId="38C0A34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Рекомендовать самолет Су-6 с мото</w:t>
      </w:r>
      <w:r w:rsidRPr="00D03F3E">
        <w:rPr>
          <w:rFonts w:ascii="Times New Roman" w:hAnsi="Times New Roman"/>
          <w:color w:val="000000" w:themeColor="text1"/>
          <w:sz w:val="16"/>
          <w:szCs w:val="16"/>
        </w:rPr>
        <w:softHyphen/>
        <w:t>ром М-71Ф и 4-х лопастным винтом АВ-9-4А в серийное производство с обяза</w:t>
      </w:r>
      <w:r w:rsidRPr="00D03F3E">
        <w:rPr>
          <w:rFonts w:ascii="Times New Roman" w:hAnsi="Times New Roman"/>
          <w:color w:val="000000" w:themeColor="text1"/>
          <w:sz w:val="16"/>
          <w:szCs w:val="16"/>
        </w:rPr>
        <w:softHyphen/>
        <w:t>тельным устранением всех недостатков.</w:t>
      </w:r>
    </w:p>
    <w:p w14:paraId="51450F4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НИИ ВВС Красной Армии считает це</w:t>
      </w:r>
      <w:r w:rsidRPr="00D03F3E">
        <w:rPr>
          <w:rFonts w:ascii="Times New Roman" w:hAnsi="Times New Roman"/>
          <w:color w:val="000000" w:themeColor="text1"/>
          <w:sz w:val="16"/>
          <w:szCs w:val="16"/>
        </w:rPr>
        <w:softHyphen/>
        <w:t>лесообразным серийные самолеты Су-6 выпускать в двухместном и одноместном вариантах...» (10718).</w:t>
      </w:r>
    </w:p>
    <w:p w14:paraId="6168A00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D079C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период с 20 июня по 30 авгу</w:t>
      </w:r>
      <w:r w:rsidRPr="00D03F3E">
        <w:rPr>
          <w:rFonts w:ascii="Times New Roman" w:hAnsi="Times New Roman"/>
          <w:color w:val="000000" w:themeColor="text1"/>
          <w:sz w:val="16"/>
          <w:szCs w:val="16"/>
        </w:rPr>
        <w:softHyphen/>
        <w:t>ста 1943 года самолет Су-6 («2Ас») проходил государственные испыта</w:t>
      </w:r>
      <w:r w:rsidRPr="00D03F3E">
        <w:rPr>
          <w:rFonts w:ascii="Times New Roman" w:hAnsi="Times New Roman"/>
          <w:color w:val="000000" w:themeColor="text1"/>
          <w:sz w:val="16"/>
          <w:szCs w:val="16"/>
        </w:rPr>
        <w:softHyphen/>
        <w:t>ния в НИИ ВВС КА, ведущий летчик - полковник А.И.Кабанов, летчики облета - полковник П.М.Стефанов-ский и майор А.К.Долгов. За время испытаний выполнено 42 полета с общим налетом 23 часа 10 минут.</w:t>
      </w:r>
    </w:p>
    <w:p w14:paraId="29DC681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заключении Акта по результа</w:t>
      </w:r>
      <w:r w:rsidRPr="00D03F3E">
        <w:rPr>
          <w:rFonts w:ascii="Times New Roman" w:hAnsi="Times New Roman"/>
          <w:color w:val="000000" w:themeColor="text1"/>
          <w:sz w:val="16"/>
          <w:szCs w:val="16"/>
        </w:rPr>
        <w:softHyphen/>
        <w:t>там государственных испытаний отмечалось, что:</w:t>
      </w:r>
    </w:p>
    <w:p w14:paraId="0792E97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Опытный двухместный само</w:t>
      </w:r>
      <w:r w:rsidRPr="00D03F3E">
        <w:rPr>
          <w:rFonts w:ascii="Times New Roman" w:hAnsi="Times New Roman"/>
          <w:color w:val="000000" w:themeColor="text1"/>
          <w:sz w:val="16"/>
          <w:szCs w:val="16"/>
        </w:rPr>
        <w:softHyphen/>
        <w:t>лет с мотором М-71Ф и опытным 4-х лопастным винтом АВ-9-4А, ..., го</w:t>
      </w:r>
      <w:r w:rsidRPr="00D03F3E">
        <w:rPr>
          <w:rFonts w:ascii="Times New Roman" w:hAnsi="Times New Roman"/>
          <w:color w:val="000000" w:themeColor="text1"/>
          <w:sz w:val="16"/>
          <w:szCs w:val="16"/>
        </w:rPr>
        <w:softHyphen/>
        <w:t>сударственные испытания выдер</w:t>
      </w:r>
      <w:r w:rsidRPr="00D03F3E">
        <w:rPr>
          <w:rFonts w:ascii="Times New Roman" w:hAnsi="Times New Roman"/>
          <w:color w:val="000000" w:themeColor="text1"/>
          <w:sz w:val="16"/>
          <w:szCs w:val="16"/>
        </w:rPr>
        <w:softHyphen/>
        <w:t>жал, показав хорошие летно-такти-ческие данные.</w:t>
      </w:r>
    </w:p>
    <w:p w14:paraId="2A1263C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 Рекомендовать самолет Су-6 ...в серийное производство, с обя</w:t>
      </w:r>
      <w:r w:rsidRPr="00D03F3E">
        <w:rPr>
          <w:rFonts w:ascii="Times New Roman" w:hAnsi="Times New Roman"/>
          <w:color w:val="000000" w:themeColor="text1"/>
          <w:sz w:val="16"/>
          <w:szCs w:val="16"/>
        </w:rPr>
        <w:softHyphen/>
        <w:t>зательным устранением всех недо</w:t>
      </w:r>
      <w:r w:rsidRPr="00D03F3E">
        <w:rPr>
          <w:rFonts w:ascii="Times New Roman" w:hAnsi="Times New Roman"/>
          <w:color w:val="000000" w:themeColor="text1"/>
          <w:sz w:val="16"/>
          <w:szCs w:val="16"/>
        </w:rPr>
        <w:softHyphen/>
        <w:t>статков...</w:t>
      </w:r>
    </w:p>
    <w:p w14:paraId="1E8A86F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НИИ ВВС Красной Армии считает целесообразным серийные самолеты Су-6 выпускать в 2-х мес</w:t>
      </w:r>
      <w:r w:rsidRPr="00D03F3E">
        <w:rPr>
          <w:rFonts w:ascii="Times New Roman" w:hAnsi="Times New Roman"/>
          <w:color w:val="000000" w:themeColor="text1"/>
          <w:sz w:val="16"/>
          <w:szCs w:val="16"/>
        </w:rPr>
        <w:softHyphen/>
        <w:t>тном и одноместном вариантах со следующим вооружением:</w:t>
      </w:r>
    </w:p>
    <w:p w14:paraId="436851A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2 пушки ОКБ-16 калибра 37 мм с запасом снарядов по 45 шт. за</w:t>
      </w:r>
      <w:r w:rsidRPr="00D03F3E">
        <w:rPr>
          <w:rFonts w:ascii="Times New Roman" w:hAnsi="Times New Roman"/>
          <w:color w:val="000000" w:themeColor="text1"/>
          <w:sz w:val="16"/>
          <w:szCs w:val="16"/>
        </w:rPr>
        <w:softHyphen/>
        <w:t>менить на пушку, с возможностью установки взамен их 2-х пушек «ВЯ», калибра 23 мм, с запасом снаря</w:t>
      </w:r>
      <w:r w:rsidRPr="00D03F3E">
        <w:rPr>
          <w:rFonts w:ascii="Times New Roman" w:hAnsi="Times New Roman"/>
          <w:color w:val="000000" w:themeColor="text1"/>
          <w:sz w:val="16"/>
          <w:szCs w:val="16"/>
        </w:rPr>
        <w:softHyphen/>
        <w:t>дов по 130 шт. на пушку;</w:t>
      </w:r>
    </w:p>
    <w:p w14:paraId="141135A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2 пулемета ШКАС калибра 7,62 мм с запасом патронов по 700 шт. на пулемет;</w:t>
      </w:r>
    </w:p>
    <w:p w14:paraId="73452F0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Бомбардировочное вооруже</w:t>
      </w:r>
      <w:r w:rsidRPr="00D03F3E">
        <w:rPr>
          <w:rFonts w:ascii="Times New Roman" w:hAnsi="Times New Roman"/>
          <w:color w:val="000000" w:themeColor="text1"/>
          <w:sz w:val="16"/>
          <w:szCs w:val="16"/>
        </w:rPr>
        <w:softHyphen/>
        <w:t>ние для внутренней загрузки бомб калибра до 100 кг и наружной под</w:t>
      </w:r>
      <w:r w:rsidRPr="00D03F3E">
        <w:rPr>
          <w:rFonts w:ascii="Times New Roman" w:hAnsi="Times New Roman"/>
          <w:color w:val="000000" w:themeColor="text1"/>
          <w:sz w:val="16"/>
          <w:szCs w:val="16"/>
        </w:rPr>
        <w:softHyphen/>
        <w:t>вески бомб калибра до 250 кг и химвооружения;</w:t>
      </w:r>
    </w:p>
    <w:p w14:paraId="4029D8B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Пулемет УБТ на блистерной установке БЛУБ с запасом патро</w:t>
      </w:r>
      <w:r w:rsidRPr="00D03F3E">
        <w:rPr>
          <w:rFonts w:ascii="Times New Roman" w:hAnsi="Times New Roman"/>
          <w:color w:val="000000" w:themeColor="text1"/>
          <w:sz w:val="16"/>
          <w:szCs w:val="16"/>
        </w:rPr>
        <w:softHyphen/>
        <w:t>нов 190 шт. (только для 2-х местно</w:t>
      </w:r>
      <w:r w:rsidRPr="00D03F3E">
        <w:rPr>
          <w:rFonts w:ascii="Times New Roman" w:hAnsi="Times New Roman"/>
          <w:color w:val="000000" w:themeColor="text1"/>
          <w:sz w:val="16"/>
          <w:szCs w:val="16"/>
        </w:rPr>
        <w:softHyphen/>
        <w:t>го самолета)</w:t>
      </w:r>
    </w:p>
    <w:p w14:paraId="206BAEB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Опытный двухместный само</w:t>
      </w:r>
      <w:r w:rsidRPr="00D03F3E">
        <w:rPr>
          <w:rFonts w:ascii="Times New Roman" w:hAnsi="Times New Roman"/>
          <w:color w:val="000000" w:themeColor="text1"/>
          <w:sz w:val="16"/>
          <w:szCs w:val="16"/>
        </w:rPr>
        <w:softHyphen/>
        <w:t>лет Су-6 передать в 4-й отдел НИИ ВВС Красной Армии для отработ</w:t>
      </w:r>
      <w:r w:rsidRPr="00D03F3E">
        <w:rPr>
          <w:rFonts w:ascii="Times New Roman" w:hAnsi="Times New Roman"/>
          <w:color w:val="000000" w:themeColor="text1"/>
          <w:sz w:val="16"/>
          <w:szCs w:val="16"/>
        </w:rPr>
        <w:softHyphen/>
        <w:t>ки методики боевого применения...» (11845).</w:t>
      </w:r>
    </w:p>
    <w:p w14:paraId="5E1B3C5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E77BFF"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20 июня</w:t>
      </w:r>
      <w:r w:rsidRPr="00D03F3E">
        <w:rPr>
          <w:rFonts w:ascii="Times New Roman" w:hAnsi="Times New Roman"/>
          <w:color w:val="000000" w:themeColor="text1"/>
          <w:sz w:val="16"/>
          <w:szCs w:val="16"/>
        </w:rPr>
        <w:t xml:space="preserve"> в 1943 году начались (по 30 августа) государственные испытания «Су-6» «М-71Ф», ведущий инженер А.В.Синельников, ведущий летчик А.И.Кабанов, летчик облета П.М.Стефановский. Всего было выполнено 42 полета с суммарным налетом 23 ч 10 мин (14928).</w:t>
      </w:r>
    </w:p>
    <w:p w14:paraId="2C8CD907" w14:textId="77777777" w:rsidR="00763451" w:rsidRPr="00D03F3E" w:rsidRDefault="00763451" w:rsidP="00D03F3E">
      <w:pPr>
        <w:spacing w:after="0" w:line="240" w:lineRule="auto"/>
        <w:jc w:val="both"/>
        <w:rPr>
          <w:rFonts w:ascii="Times New Roman" w:hAnsi="Times New Roman"/>
          <w:color w:val="000000" w:themeColor="text1"/>
          <w:sz w:val="16"/>
          <w:szCs w:val="16"/>
        </w:rPr>
      </w:pPr>
    </w:p>
    <w:p w14:paraId="326EB0E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июня 1943 ГИ ВВС гп ИАС Репиным был утвержден отчет о войсковых испытаниях на боевое применение ЛаГГ-3 с 37 мм пушкой ОКБ-16 и пулеметов УБС, которые проводились с 24 апреля по 6 июня 1943, а по другим данным с 21 апреля по 5 июня 1943.</w:t>
      </w:r>
    </w:p>
    <w:p w14:paraId="5B85026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 Исполнитель к-р 21 ИАП м-р Нестоянов</w:t>
      </w:r>
    </w:p>
    <w:p w14:paraId="18B91E2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 политрук, нач-к 3 отд. ГУ ИАС ВВС и м-р Мохов</w:t>
      </w:r>
    </w:p>
    <w:p w14:paraId="10C5982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 инж. 4 отд. НИИ ВВС и к-н Зюскевич</w:t>
      </w:r>
    </w:p>
    <w:p w14:paraId="0769F00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 л-к 4 отд. НИИ ВВС КА ст. л. Масляков</w:t>
      </w:r>
    </w:p>
    <w:p w14:paraId="062ACFD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Объект испытаний: с-т ЛаГГ-3 М-105ПФ постройки з-да № 21 1943 г.</w:t>
      </w:r>
    </w:p>
    <w:p w14:paraId="3373DF3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отличие от серийного с-та ЛаГГ-3:</w:t>
      </w:r>
    </w:p>
    <w:p w14:paraId="7F46393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установлена пушка ОКБ-16 калибра 37 мм с б/к 36 патронов вместо пушки ШВАК кал. 20 мм</w:t>
      </w:r>
    </w:p>
    <w:p w14:paraId="440DA15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УБС с б/з в 170 патронов оставлены без изменений</w:t>
      </w:r>
    </w:p>
    <w:p w14:paraId="59F4310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пушки - 150 кг, темп стрельбы - 240-250 в/мин, вес установки на с-т - 35 кг, вес патрона - 1,6 кг, вес снаряда 0,702 кг. Вес боевомплекта - 63 кг. Общий вес пушечного вооружения - 250 кг.</w:t>
      </w:r>
    </w:p>
    <w:p w14:paraId="080A5F0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Войсковые испытания проведены в 21 иап согласно приказу командования ВВС № 114 от 22 февраля 1942 г. и № 089 от 26 апреля 1943 г.</w:t>
      </w:r>
    </w:p>
    <w:p w14:paraId="10ECFFF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Полк получил 13 с-тов ЛаГГ-3 с завода № 21 с этими пушками и кроме того Ла-5 21 шт.</w:t>
      </w:r>
    </w:p>
    <w:p w14:paraId="6F25625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Летный состав - в основном молодые л-ки, подготовленные в 23 АПс Сейлин</w:t>
      </w:r>
    </w:p>
    <w:p w14:paraId="083A0D0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период испытаний с 21 апреля по 5 июня 1943 г. выполнено 174 с/в, из которых 71 были боевыми</w:t>
      </w:r>
    </w:p>
    <w:p w14:paraId="3613922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Полком уничтожено:</w:t>
      </w:r>
    </w:p>
    <w:p w14:paraId="27DAA14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с-тов противника 12 (Ме-110 - 1, ФВ-189 - 6, Хш-126 -5)</w:t>
      </w:r>
    </w:p>
    <w:p w14:paraId="0969389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паровозов - 3</w:t>
      </w:r>
    </w:p>
    <w:p w14:paraId="24ABF97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 - 26</w:t>
      </w:r>
    </w:p>
    <w:p w14:paraId="748E9F4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ЛаГГ с пушкой сбили 5 с-тов (ФВ-189 -1. Хш-126 - 4)</w:t>
      </w:r>
    </w:p>
    <w:p w14:paraId="1E80439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уничтоженис с-та противника достаточно 1-2 прямых попаданий снарядов</w:t>
      </w:r>
    </w:p>
    <w:p w14:paraId="39AE2D6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были на Калининском фронте в 21 иап 3ВА (аэродромы Старица, Торопа, Равонь, Борки - почва песчаная)</w:t>
      </w:r>
    </w:p>
    <w:p w14:paraId="6A10CD0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ЛаГГ-3 ходили под прикрытием Ла-5</w:t>
      </w:r>
    </w:p>
    <w:p w14:paraId="2196E5C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Боевое применение: борьба с корректировщиками противника по вызову наземных частей, перехват разведчиков противника, свободный полет (охота), сопровождение штурмовиков Ил-2. Ла-5 применячлись в основном при полетах над территорией противника (перехват и барражирование не дали положительных результатов).</w:t>
      </w:r>
    </w:p>
    <w:p w14:paraId="34FADC4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Заключение:</w:t>
      </w:r>
    </w:p>
    <w:p w14:paraId="16E0DAA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Войсковые испытания с-тов ЛаГГ-3 с 37мм пушкой ОКБ-16 подтвердили эффективность использования истребителей для уничтожения с-тов-бомбардировщиков и корректировщиков противника, а также для действия по наземным целям (ж/д эшелоны, переправы, мотомехколлонны, автотранспорт) при слабой ПВО этих целей</w:t>
      </w:r>
    </w:p>
    <w:p w14:paraId="4B31B44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С-ты ЛаГГ-3, вооруженные 37мм пушками, по своим ЛТД уступают современным истребителям Ла-5 и Як-9, поэтому применение их для выполнения боевых задач при противодействии со стороны истребителей противника требует совместных действий с с-тами ла-5 или Як-9 в смешанных боевых порядках.</w:t>
      </w:r>
    </w:p>
    <w:p w14:paraId="4CDDDFA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Пушки ОКБ-16 калтюра 37 мм войсковые испытания на боевое применение выдержали.</w:t>
      </w:r>
    </w:p>
    <w:p w14:paraId="76DB18E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 НИИ Лосюков 16 июня, Ком. 3ВА ш=гма Папив, Нач. 4 отд. НИИ Шишкин 6 июня 1943 (757,1).</w:t>
      </w:r>
    </w:p>
    <w:p w14:paraId="4E568DE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8F0E9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20-27 июня 1943 г. для определения маскирующих свойств камуфляжа из двух оттенков серого цвета, чтобы быть принятым в качестве стандартного, в НИИ ВВС были проведены сравнительные испытания, в которых принимали участие самолет Як-9, окрашенный нитроэмалями серо-голубого цвета двух оттенков и два самолета Як-1, один из которых имел стандартную двухцветную камуфляжную окраску из зеленого и черного цветов, а второй - трехцветный камуфляж, сделанный "по проекту маскировочной службы ВВС КА" из зеленого, черного и светло-коричневого цвета. В ходе испытаний производилось визуальное наблюдение самолетов на земле и в полете под разными ракурсами сбоку и сверху на фоне неба, облаков и местности (лесов, полей, населенных пунктов). Помимо визуальных наблюдений производилось контрольное фотографирование испытываемых объектов. Наблюдение и фотографирование самолетов на земле велось с высот 500, 1000, 2000 и 3000 м. При наблюдении самолетов в воздухе начальная дистанция наблюдения составляла 500 м, с увеличением ее до 8-10 км. По результатам испытаний лучшим был признан серый камуфляж. Но некоторые моменты вызывают сомнения. Так например, если стоящие на земле самолеты с серо-голубой и трехцветной окраской при наблюдении с 3000 м одинаково плохо просматриваются и сливаются с фоном травяного покрова, что вполне возможно, то при уменьшении высоты наблюдения начинают происходить странные вещи. С высоты 2000 м трехцветный Як-1 "хорошо опознается и резко виден на фоне аэродрома", а Як-9 с серо-голубой окраской "опознается трудно, сливается с фоном местности". Еще интереснее картина при наблюдении с высот 500 и 1000 м: "оба самолета легко опознаются, однако серо-голубая окраска лучше сливается с фоном зеленого покрова, затрудняя определение контуров самолета, в то время как трехцветная окраска резко выделяется и хорошо вырисовывает контур самолета". Конечно, светло-коричневые пятна трехцветной окраски могут "резко выделяться" на зеленом фоне, но странно, что серо-голубой цвет сливается с зеленым при наблюдении с 500 м. Может быть на выводы испытателей оказывали давление другие факторы? Безусловно лучший маскирующий эффект серо-голубая окраска давала в воздухе как при наблюдении Як-9 на фоне земли, так и на фоне неба. В последнем случае она скрадывала размеры, а в некоторых случаях и контур самолета, и расстояние до него. Интересно, что в заключении отчета серо-голубая окраска сравнивается не с трехцветной окраской, а только со стандартной двухцветной: 1. "Серо-голубая окраска верхних и боковых поверхностей дает лучший маскирующий эффект по сравнению с принятой для серийных самолетов, стандартной двухцветной окраской"; 2. "Серо-голубую окраску самолета Як-9 № 01-18 считать эталоном". Отчет о сравнительных испытаниях не дает и ответ о том, кто предложил камуфляж из двух оттенков серого цвета. Из него видно, что маскировочная служба ВВС КА разработала трехцветную окраску; НИИ ВВС тоже не мог быть автором, так как там даже не знали "рецептуру лаков, нанесенных на самолет"? Так кто же автор этого неожиданно появившегося камуфляжа? НКАП? Во всяком случае авиапромышленность против него не возражала (3285,18).</w:t>
      </w:r>
    </w:p>
    <w:p w14:paraId="302EB23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786E4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20 - 27 июня 1943 г. для определения маскирующих свойств камуфляжа из двух оттенков серого цвета в НИИ ВВС прошли сравнительные испытания с участием двух Як-9, окрашенных нитроэмалями серо-голубого цвета двух оттенков, и двух Як-1: один в стандартном черно-зеленом камуфляже, а второй - в трехцветном из пятен зеленого, черного и светло-коричневого цветов. сделанном по проекту маскировочной службы ВВС. В ходе испытаний производилось визуальное наблюдение самолетов на земле и в полете на фоне неба, облаков, лесов, полей и населенных пунктов. Кроме того, машины фотографировали с различных расстояний.</w:t>
      </w:r>
    </w:p>
    <w:p w14:paraId="492C7D4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Лучшим признали серый камуфляж. Но некоторые моменты в сделанном по результатам испытаний заключении сейчас вызывают сомнения. Например, если стоящие на земле самолеты с серо-голубой и трехцветной окраской при наблюдении с 3000 м одинаково плохо просматривались и сливались с фоном травяного покрова - это вполне возможно. Но при уменьшении высоты наблюдения начинают происходить странные вещи. С высоты 2000 м трехцветный Як-1, как значилось в отчете, "хорошо опознается и резко виден на фоне аэродрома", а Як-9 с серо-голубой окраской "опознается трудно, сливается с фоном местности". Еще интереснее выглядела картина при наблюдении с высот 500 и 1000 м: "...оба самолета легко опознаются, однако серо-голубая окраска лучше сливается с фоном зеленого покрова, затрудняя определение контуров самолета, в то время как трехцветная окраска резко выделяется и хорошо вырисовывает контур самолета". Конечно, светло-коричневые пятна трехцветной окраски могут "резко выделяться" на зеленом фоне, но странно, что серо-голубой цвет сливается с зеленым при наблюдении с 500 м. Может быть, на выводы испытателей оказывали давление совсем другие факторы?</w:t>
      </w:r>
    </w:p>
    <w:p w14:paraId="4ACDF51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Безусловно лучший маскирующий эффект серо-голубая окраска давала в воздухе, как при наблюдении на фоне земли, так и на фоне неба. В последнем случае она скрадывала размеры, а в некоторых случаях, и контур самолета, и расстояние до него.</w:t>
      </w:r>
    </w:p>
    <w:p w14:paraId="5A3F477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Любопытно, что в заключении отчета серо-голубая окраска сравнивается не с трехцветной, а только со стандартной двухцветной:</w:t>
      </w:r>
    </w:p>
    <w:p w14:paraId="48A5AC9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"Серо-голубая окраска верхних и боковых поверхностей дает лучший маскирующий эффект по сравнению с принятой для серийных самолетов, стандартной </w:t>
      </w:r>
      <w:r w:rsidRPr="00D03F3E">
        <w:rPr>
          <w:rFonts w:ascii="Times New Roman" w:hAnsi="Times New Roman"/>
          <w:color w:val="000000" w:themeColor="text1"/>
          <w:sz w:val="16"/>
          <w:szCs w:val="16"/>
        </w:rPr>
        <w:lastRenderedPageBreak/>
        <w:t>двухцветной окраской".</w:t>
      </w:r>
    </w:p>
    <w:p w14:paraId="16DA3F0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"Серо-голубую окраску самолета Як-9 №01-18 считать эталоном" (11989).</w:t>
      </w:r>
    </w:p>
    <w:p w14:paraId="4DB1795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87D69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20-27 июня 1943 года для определения маскирующих свойств камуфляжа из двух оттенков серого цвета в НИИ ВВС провели сравнительные испытания, в которых принимали участие самолет Як-9, окрашенный нитроэмалями серо-голубого цвета двух оттенков и еще два истребителя, один из которых имел стандартную двухцветную окраску пятнами зеленого и черного цветов, а второй - трехцветный камуфляж, сделанный "по проекту маскировочной службы ВВС КА", из пятен зеленого, черного и свет- ло-коричневого цветов.</w:t>
      </w:r>
    </w:p>
    <w:p w14:paraId="72413C1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ходе испытаний производилось визуальное наблюдение самолетов на земле и в полете под разными ракурсами сбоку и сверху на фоне неба, облаков и местности (лесов, полей, населенных пунктов). По результатам испытаний лучшим признали серый камуфляж. Но некоторые моменты этой оценки вызывают сомнения. Если стоящие на земле самолеты с серо-голубой и трехцветной окраской при наблюдении с 3000 м одинаково плохо просматриваются и сливаются с фоном травяного покрова - это вполне возможно. Однако при уменьшении высоты наблюдения начинают происходить странные вещи. С высоты 2000 м трехцветный истребитель "хорошо опознается и резко виден на фоне аэродрома", а Як-9 с серо-голу- бой окраской "опознается трудно, сливается с фоном местности". Еще интереснее картина при наблюдении с высот 500 и 1000 м: "оба самолета легко опознаются, однако серо-голубая окраска лучше сливается с фоном зеленого покрова, затрудняя определение контуров самолета, в то время как трехцветная окраска резко выделяется и хорошо вырисовывает контур самолета". Конечно, светло-коричневые пятна трехцветной окраски могут "резко выделяться" на зеленом фоне, но странно, что серо-голу- бой цвет сливается с зеленым при наблюдении с 500 м. Может быть, на выводы испытателей оказывали давление совсем другие факторы?</w:t>
      </w:r>
    </w:p>
    <w:p w14:paraId="4BAB569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Безусловно, наилучший маскирующий эффект серо-голубая окраска давала в воздухе, как при наблюдении Як-9 на фоне земли, так и на фоне неба. В последнем случае она скрадывала размеры, а в некоторых случаях, и контур самолета, и расстояние до него. </w:t>
      </w:r>
    </w:p>
    <w:p w14:paraId="07267C1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Интересно, что в заключении серо- голубая окраска сравнивается не с новой трехцветной окраской, а только со стандартной двухцветной: "Серо-голубая окраска верхних и боковых поверхностей дает лучший маскирующий эффект по сравнению с принятой для серийных самолетов, стандартной двухцветной окраской. Серо-голубую окраску самолета Як-9 № 01-18 считать эталоном".</w:t>
      </w:r>
    </w:p>
    <w:p w14:paraId="6A74050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Отчет о сравнительных испытаниях не дает и ответа о том, кто предложил камуфляж из двух оттенков серого цвета. Из него видно, что маскировочная служба ВВС разработала трехцветную окраску; не могли быть авторами и специалисты НИИ ВВС, поскольку там даже не знали "рецептуру лаков, нанесенных на самолет". Вопрос остается открытым. Во всяком случае, для авиапромышленности новый камуфляж был более удобен, хотя бы по причине меньшей номенклатуры красок и их ингредиентов (12032).</w:t>
      </w:r>
    </w:p>
    <w:p w14:paraId="7FF2BD7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5BF7E5"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941C85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B045C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июня 1943 На Адмиралтейском заводе закончен ремонт четырех БК (бортовые номера 101, 102, 112, 114), получивших боевые повреждения за период от 8 до 15 июня (10671).</w:t>
      </w:r>
    </w:p>
    <w:p w14:paraId="3472447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B8E98A"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36E40CF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D2B559"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20 июня</w:t>
      </w:r>
      <w:r w:rsidRPr="00D03F3E">
        <w:rPr>
          <w:rFonts w:ascii="Times New Roman" w:hAnsi="Times New Roman"/>
          <w:color w:val="000000" w:themeColor="text1"/>
          <w:sz w:val="16"/>
          <w:szCs w:val="16"/>
        </w:rPr>
        <w:t xml:space="preserve"> в 1943 году утреннее сообщение Совинформбюро:</w:t>
      </w:r>
    </w:p>
    <w:p w14:paraId="5F841210"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20 июня на фронте ничего существенного не произошло.</w:t>
      </w:r>
    </w:p>
    <w:p w14:paraId="68B5DDE1"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миномётные расчёты сержанта т. Лунина и старшего сержантат. Бойкова метким огнём уничтожили 2 немецких орудия вместе с их расчётами. Старшина т. Поляков и красноармеец т. Халганцев обстреляли из винтовок немецкий бомбардировщик, летевший на небольшой высоте. Вражеский самолёт загорелся в воздухе и, объятый пламенем, упал на землю.</w:t>
      </w:r>
    </w:p>
    <w:p w14:paraId="240DFA6D"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Сум наши подразделения отразили попытку разведывательной группы противника приблизиться к нашим позициям. На другом участке рота гитлеровцев атаковала боевое охранение Н-ской части. Ружейно-пулемётным огнём немцы были отброшены с большими для них потерями.</w:t>
      </w:r>
    </w:p>
    <w:p w14:paraId="474CDA79"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артиллеристы Н-ской части уничтожили несколько вражеских автомашин, миномётную батарею и истребили более взвода гитлеровцев. Наша авиация произвела налёт на железнодорожные станции в тылу противника. В результате бомбардировки наблюдением отмечено много пожаров и сильные взрывы.</w:t>
      </w:r>
    </w:p>
    <w:p w14:paraId="6A663A9B"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разведывательные отряды уничтожили до 100 солдат и офицеров противника. Кроме того, снайперы Н-ского соединения истребили 40 гитлеровцев. Артиллерийско-миномётным огнём разрушено и повреждено 26 вражеских дзотов, 12 блиндажей и уничтожено 8 автомашин с грузами.</w:t>
      </w:r>
    </w:p>
    <w:p w14:paraId="6EE346AA"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украинских партизан взорвала полотно железной дороги. Проходивший вражеский эшелон остановился у разрушенного участка пути. Партизаны открыли огонь по охране поезда и истребили 38 гитлеровцев. Затем советские патриоты сожгли две цистерны с горючим и 46 железнодорожных платформ, на которых находились 22 автомашины и 80 мотоциклов.</w:t>
      </w:r>
    </w:p>
    <w:p w14:paraId="201AD95A"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штабс-ефрейтор 5 батареи 253 артиллерийского полка 253 немецкой пехотной дивизии Оскар Мойвзен рассказал: «Многие немецкие солдаты теперь считают, что Германия проиграет войну. Пораженческие настроения проникли и в офицерскую среду. Я сам слышал, как командир 2-го дивизиона майор Куберг в присутствии своего адъютанта Айзенштейна, лейтенанта Низендерля и унтер-офицера Клаге сказал: «Мы просчитались. Я теперь уже не верю в победу Германии». Когда мы вышли из штаба дивизиона, Клаге заметил: «На этот раз майору можно поверить,он говорил правду». Многие солдаты ожидают, что в ближайшее время в Европе откроется второй фронт и тогда Германия семимильными шагами пойдёт к катастрофе. Из писем родных мы знаем, что военной промышленности в результате бомбардировок нанесён большой ущерб. Немецким официальным сообщениям о результатах налётов никто не верит. Недавно нам зачитали новый приказ командира дивизии о сокращении переписки солдат с родными. Очевидно, командование стремится к тому, чтобы мы не знали, что делается в Германии, а там — не знали положения дел на фронте».</w:t>
      </w:r>
    </w:p>
    <w:p w14:paraId="41111342"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ведут ожесточённые бои против немецких оккупантов в Черногории, Герцеговине и Санджаке. На одном участке патриоты перешли в наступление и отбросили противника.</w:t>
      </w:r>
    </w:p>
    <w:p w14:paraId="471CA258"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Босанской Краине партизаны рассеяли немецкий отряд. В Лике партизаны вновь заняли город Слунь и захватили 100 винтовок, 30 тысяч патронов и различное военное имущество. B Словении партизаны за семь дней пустили под откос 12 скорых и 9 товарных поездов противника.» (14928).</w:t>
      </w:r>
    </w:p>
    <w:p w14:paraId="308CDBDE" w14:textId="77777777" w:rsidR="00763451" w:rsidRPr="00D03F3E" w:rsidRDefault="00763451" w:rsidP="00D03F3E">
      <w:pPr>
        <w:spacing w:after="0" w:line="240" w:lineRule="auto"/>
        <w:jc w:val="both"/>
        <w:rPr>
          <w:rFonts w:ascii="Times New Roman" w:hAnsi="Times New Roman"/>
          <w:color w:val="000000" w:themeColor="text1"/>
          <w:sz w:val="16"/>
          <w:szCs w:val="16"/>
        </w:rPr>
      </w:pPr>
    </w:p>
    <w:p w14:paraId="26DB9B95"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20 июня</w:t>
      </w:r>
      <w:r w:rsidRPr="00D03F3E">
        <w:rPr>
          <w:rFonts w:ascii="Times New Roman" w:hAnsi="Times New Roman"/>
          <w:color w:val="000000" w:themeColor="text1"/>
          <w:sz w:val="16"/>
          <w:szCs w:val="16"/>
        </w:rPr>
        <w:t xml:space="preserve"> в 1943 году вечернее сообщение Совинформбюро:</w:t>
      </w:r>
    </w:p>
    <w:p w14:paraId="51EC64FD"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20 июня на фронте существенных изменений не произошло.</w:t>
      </w:r>
    </w:p>
    <w:p w14:paraId="74EB3126"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Нашей авиацией в Баренцевом море потоплен немецкий транспорт, подожжены танкер и два транспорта противника.</w:t>
      </w:r>
    </w:p>
    <w:p w14:paraId="7DC96694"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13 по 19 июня включительно, в воздушных боях, огнём зенитной артиллерии и войск уничтожено 276 немецких самолётов. Кроме того, большое количество вражеских самолётов уничтожено и повреждено в результате налётов советской авиации на аэродромы противника. Наши потери за это же время —94 самолёта.</w:t>
      </w:r>
    </w:p>
    <w:p w14:paraId="32712BA2"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истребили 120 немецких солдат и офицеров, уничтожили артиллерийскую батарею, 5 пулемётов и 3 миномёта противника. На одном участке отряд немецкой пехоты пытался разведать нашу оборону. Бойцы Н-ской части ружейно-пулемётным огнём рассеяли вражеских разведчиков.</w:t>
      </w:r>
    </w:p>
    <w:p w14:paraId="3AA3C709"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одиннадцать разведчиков Н-ской части под командованием старшего лейтенанта т. Диева подобрались к позициям немцев и внезапно атаковали противника. Действуя штыками и гранатами, наши бойцы истребили до 50 гитлеровцев, взорвали 5 вражеских дзотов и блиндажей. Успешно выполнив поставленную перед ними задачу и захватив пленных, разведчики благополучно вернулись в свою часть.</w:t>
      </w:r>
    </w:p>
    <w:p w14:paraId="38176E4D"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Чугуева артиллеристы Н-ской части уничтожили батарею самоходных пушек противника и обоз с боеприпасами. На другом участке уничтожена группа немцев, пытавшаяся вести разведку наших позиций.</w:t>
      </w:r>
    </w:p>
    <w:p w14:paraId="75EF4521"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артиллеристы совершили несколько огневых налётов на позиции противника. Уничтожено до роты гитлеровцев, взорван склад боеприпасов, подавлен огонь нескольких артиллерийских и миномётных батарей противника. Наш разведывательный отряд напал на колонну немецкой пехоты.Советские бойцы ружейно-пулемётным огнём истребили 60 гитлеровцев и без потерь вернулись в свою часть.</w:t>
      </w:r>
    </w:p>
    <w:p w14:paraId="773BF5ED"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подразделения истребили до роты гитлеровцев. Артиллерийским и миномётным огнём разрушено 19 немецких дзотов, 25 блиндажей и 6 наблюдательных пунктов.</w:t>
      </w:r>
    </w:p>
    <w:p w14:paraId="52567783"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имени Чапаева, действующие в Ровенской области, заминировали участок шоссейной дороги и устроили засаду. Вскоре показались 4 немецкие автомашины. Первая автомашина подорвалась на минах, остальные были обстреляны партизанами, притаившимися в укрытии. Убито 16 немцев, в том числе 2 окружных фашистских руководителя и другие немецкие чиновники. Партизаны отряда «За Родину» пустили под откос немецкий воинский эшелон. Уничтожено 16 платформ с вооружением и 2 классных вагона.</w:t>
      </w:r>
    </w:p>
    <w:p w14:paraId="5A33C484"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Перешедший на сторону Красной Армии ефрейтор 21 немецкой авиаполевой дивизииГерман С. рассказал: «Я находился девять месяцев в городе Смоленске и служил в полку, который нёс охрану лагерей и тюрем. Камеры смоленской тюрьмы всегда были битком набиты арестованными. Среди заключённых много женщин и подростков. Из личных наблюдений и рассказов унтер-офицера Шмидта я убедился в том, что тот, кто попадал в тюрьму, уже не выходил оттуда. Однажды при мне </w:t>
      </w:r>
      <w:r w:rsidRPr="00D03F3E">
        <w:rPr>
          <w:rFonts w:ascii="Times New Roman" w:hAnsi="Times New Roman"/>
          <w:color w:val="000000" w:themeColor="text1"/>
          <w:sz w:val="16"/>
          <w:szCs w:val="16"/>
        </w:rPr>
        <w:lastRenderedPageBreak/>
        <w:t>вывели на тюремный двор группу русских заключённых и начали мучить. Целый час их заставляли ложиться и снова вставать. Обер-фельдфебель Мюллер говорил мне и другим солдатам, что он расстрелял много русских. Он сказал также, что каждый день участвует в расстрелах, которые проводятся за городом».</w:t>
      </w:r>
    </w:p>
    <w:p w14:paraId="0F06D353" w14:textId="77777777" w:rsidR="00763451" w:rsidRPr="00D03F3E" w:rsidRDefault="007634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Вооружённая группа норвежских патриотов совершила нападение на завод боеприпасов в Рауфоссе. Основные цехи завода выведены из строя. Во время перестрелки с охраной патриоты убили немецкого офицера. В Тронхейме норвежцы подожгли немецкое торговое судно водоизмещением в 3.000 тонн. Близ Хамара потерпел крушение немецкий поезд с войсками.» (14928).</w:t>
      </w:r>
    </w:p>
    <w:p w14:paraId="13E5C2B0" w14:textId="77777777" w:rsidR="00763451" w:rsidRPr="00D03F3E" w:rsidRDefault="00763451" w:rsidP="00D03F3E">
      <w:pPr>
        <w:spacing w:after="0" w:line="240" w:lineRule="auto"/>
        <w:jc w:val="both"/>
        <w:rPr>
          <w:rFonts w:ascii="Times New Roman" w:hAnsi="Times New Roman"/>
          <w:color w:val="000000" w:themeColor="text1"/>
          <w:sz w:val="16"/>
          <w:szCs w:val="16"/>
        </w:rPr>
      </w:pPr>
    </w:p>
    <w:p w14:paraId="706AA1D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июня 1943 г. по результатам работы комиссии штаба ВВС КА был издан приказ командующего ВВС, в ко</w:t>
      </w:r>
      <w:r w:rsidRPr="00D03F3E">
        <w:rPr>
          <w:rFonts w:ascii="Times New Roman" w:hAnsi="Times New Roman"/>
          <w:color w:val="000000" w:themeColor="text1"/>
          <w:sz w:val="16"/>
          <w:szCs w:val="16"/>
        </w:rPr>
        <w:softHyphen/>
        <w:t>тором была поставлена задача обу</w:t>
      </w:r>
      <w:r w:rsidRPr="00D03F3E">
        <w:rPr>
          <w:rFonts w:ascii="Times New Roman" w:hAnsi="Times New Roman"/>
          <w:color w:val="000000" w:themeColor="text1"/>
          <w:sz w:val="16"/>
          <w:szCs w:val="16"/>
        </w:rPr>
        <w:softHyphen/>
        <w:t>чения штабов подготовке и проведе</w:t>
      </w:r>
      <w:r w:rsidRPr="00D03F3E">
        <w:rPr>
          <w:rFonts w:ascii="Times New Roman" w:hAnsi="Times New Roman"/>
          <w:color w:val="000000" w:themeColor="text1"/>
          <w:sz w:val="16"/>
          <w:szCs w:val="16"/>
        </w:rPr>
        <w:softHyphen/>
        <w:t>нию массированных ударов с привле</w:t>
      </w:r>
      <w:r w:rsidRPr="00D03F3E">
        <w:rPr>
          <w:rFonts w:ascii="Times New Roman" w:hAnsi="Times New Roman"/>
          <w:color w:val="000000" w:themeColor="text1"/>
          <w:sz w:val="16"/>
          <w:szCs w:val="16"/>
        </w:rPr>
        <w:softHyphen/>
        <w:t>чением нескольких соединений. Таким образом, если до сих пор штурманс</w:t>
      </w:r>
      <w:r w:rsidRPr="00D03F3E">
        <w:rPr>
          <w:rFonts w:ascii="Times New Roman" w:hAnsi="Times New Roman"/>
          <w:color w:val="000000" w:themeColor="text1"/>
          <w:sz w:val="16"/>
          <w:szCs w:val="16"/>
        </w:rPr>
        <w:softHyphen/>
        <w:t>кое обеспечение боевых действий про</w:t>
      </w:r>
      <w:r w:rsidRPr="00D03F3E">
        <w:rPr>
          <w:rFonts w:ascii="Times New Roman" w:hAnsi="Times New Roman"/>
          <w:color w:val="000000" w:themeColor="text1"/>
          <w:sz w:val="16"/>
          <w:szCs w:val="16"/>
        </w:rPr>
        <w:softHyphen/>
        <w:t>водилось в масштабе авиачасти и от</w:t>
      </w:r>
      <w:r w:rsidRPr="00D03F3E">
        <w:rPr>
          <w:rFonts w:ascii="Times New Roman" w:hAnsi="Times New Roman"/>
          <w:color w:val="000000" w:themeColor="text1"/>
          <w:sz w:val="16"/>
          <w:szCs w:val="16"/>
        </w:rPr>
        <w:softHyphen/>
        <w:t>дельного соединения, то теперь оно принимало оперативный характер.</w:t>
      </w:r>
    </w:p>
    <w:p w14:paraId="45D0A9E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Обобщенные данные штаба ВВС Красной Армии действий нашей авиа</w:t>
      </w:r>
      <w:r w:rsidRPr="00D03F3E">
        <w:rPr>
          <w:rFonts w:ascii="Times New Roman" w:hAnsi="Times New Roman"/>
          <w:color w:val="000000" w:themeColor="text1"/>
          <w:sz w:val="16"/>
          <w:szCs w:val="16"/>
        </w:rPr>
        <w:softHyphen/>
        <w:t>ции по немецким аэродромам 8-10 июня выглядят вполне внушительно. В течение трех суток экипажами фрон</w:t>
      </w:r>
      <w:r w:rsidRPr="00D03F3E">
        <w:rPr>
          <w:rFonts w:ascii="Times New Roman" w:hAnsi="Times New Roman"/>
          <w:color w:val="000000" w:themeColor="text1"/>
          <w:sz w:val="16"/>
          <w:szCs w:val="16"/>
        </w:rPr>
        <w:softHyphen/>
        <w:t>товой и авиации дальнего действия было выполнено 1805 самолето-выле</w:t>
      </w:r>
      <w:r w:rsidRPr="00D03F3E">
        <w:rPr>
          <w:rFonts w:ascii="Times New Roman" w:hAnsi="Times New Roman"/>
          <w:color w:val="000000" w:themeColor="text1"/>
          <w:sz w:val="16"/>
          <w:szCs w:val="16"/>
        </w:rPr>
        <w:softHyphen/>
        <w:t>тов, в которых уничтожено и повреж</w:t>
      </w:r>
      <w:r w:rsidRPr="00D03F3E">
        <w:rPr>
          <w:rFonts w:ascii="Times New Roman" w:hAnsi="Times New Roman"/>
          <w:color w:val="000000" w:themeColor="text1"/>
          <w:sz w:val="16"/>
          <w:szCs w:val="16"/>
        </w:rPr>
        <w:softHyphen/>
        <w:t>дено 249 самолетов противника.</w:t>
      </w:r>
    </w:p>
    <w:p w14:paraId="7111C35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сожалению, это не совсем так. Общий итог воздушной операции по уничтожению немецкой бомбардиро</w:t>
      </w:r>
      <w:r w:rsidRPr="00D03F3E">
        <w:rPr>
          <w:rFonts w:ascii="Times New Roman" w:hAnsi="Times New Roman"/>
          <w:color w:val="000000" w:themeColor="text1"/>
          <w:sz w:val="16"/>
          <w:szCs w:val="16"/>
        </w:rPr>
        <w:softHyphen/>
        <w:t>вочной авиации оказался все же не в пользу ВВС КА: при собственных без</w:t>
      </w:r>
      <w:r w:rsidRPr="00D03F3E">
        <w:rPr>
          <w:rFonts w:ascii="Times New Roman" w:hAnsi="Times New Roman"/>
          <w:color w:val="000000" w:themeColor="text1"/>
          <w:sz w:val="16"/>
          <w:szCs w:val="16"/>
        </w:rPr>
        <w:softHyphen/>
        <w:t>возвратных потерях в 73 самолета реальный урон, нанесенный противни</w:t>
      </w:r>
      <w:r w:rsidRPr="00D03F3E">
        <w:rPr>
          <w:rFonts w:ascii="Times New Roman" w:hAnsi="Times New Roman"/>
          <w:color w:val="000000" w:themeColor="text1"/>
          <w:sz w:val="16"/>
          <w:szCs w:val="16"/>
        </w:rPr>
        <w:softHyphen/>
        <w:t>ку на аэродромах, можно оценить лишь в 65-70 уничтоженных и поврежденных самолетов. Из этого числа около 50-55 самолетов можно записать на счет штурмовиков Ил-2 и 10-15 самолетов - на счет бомбардировщиков.</w:t>
      </w:r>
    </w:p>
    <w:p w14:paraId="517F35E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них, по докладам наших лет</w:t>
      </w:r>
      <w:r w:rsidRPr="00D03F3E">
        <w:rPr>
          <w:rFonts w:ascii="Times New Roman" w:hAnsi="Times New Roman"/>
          <w:color w:val="000000" w:themeColor="text1"/>
          <w:sz w:val="16"/>
          <w:szCs w:val="16"/>
        </w:rPr>
        <w:softHyphen/>
        <w:t>чиков, люфтваффе лишились еще 36 самолетов, сбитых в воздушных боях. Очевидно, что это количество сбитых неприятельских самолетов завышено и требует уточнения.</w:t>
      </w:r>
    </w:p>
    <w:p w14:paraId="18437E0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следует из оперативных доку</w:t>
      </w:r>
      <w:r w:rsidRPr="00D03F3E">
        <w:rPr>
          <w:rFonts w:ascii="Times New Roman" w:hAnsi="Times New Roman"/>
          <w:color w:val="000000" w:themeColor="text1"/>
          <w:sz w:val="16"/>
          <w:szCs w:val="16"/>
        </w:rPr>
        <w:softHyphen/>
        <w:t>ментов частей и соединений воздуш</w:t>
      </w:r>
      <w:r w:rsidRPr="00D03F3E">
        <w:rPr>
          <w:rFonts w:ascii="Times New Roman" w:hAnsi="Times New Roman"/>
          <w:color w:val="000000" w:themeColor="text1"/>
          <w:sz w:val="16"/>
          <w:szCs w:val="16"/>
        </w:rPr>
        <w:softHyphen/>
        <w:t>ных армий, штурмовики, бомбардиров</w:t>
      </w:r>
      <w:r w:rsidRPr="00D03F3E">
        <w:rPr>
          <w:rFonts w:ascii="Times New Roman" w:hAnsi="Times New Roman"/>
          <w:color w:val="000000" w:themeColor="text1"/>
          <w:sz w:val="16"/>
          <w:szCs w:val="16"/>
        </w:rPr>
        <w:softHyphen/>
        <w:t>щики и истребители в течение 8 и 10 июня выполнили 547 самолето-выле</w:t>
      </w:r>
      <w:r w:rsidRPr="00D03F3E">
        <w:rPr>
          <w:rFonts w:ascii="Times New Roman" w:hAnsi="Times New Roman"/>
          <w:color w:val="000000" w:themeColor="text1"/>
          <w:sz w:val="16"/>
          <w:szCs w:val="16"/>
        </w:rPr>
        <w:softHyphen/>
        <w:t>тов для ударов по аэродромам про</w:t>
      </w:r>
      <w:r w:rsidRPr="00D03F3E">
        <w:rPr>
          <w:rFonts w:ascii="Times New Roman" w:hAnsi="Times New Roman"/>
          <w:color w:val="000000" w:themeColor="text1"/>
          <w:sz w:val="16"/>
          <w:szCs w:val="16"/>
        </w:rPr>
        <w:softHyphen/>
        <w:t>тивника, в том числе: Ил-2 - 127, бом</w:t>
      </w:r>
      <w:r w:rsidRPr="00D03F3E">
        <w:rPr>
          <w:rFonts w:ascii="Times New Roman" w:hAnsi="Times New Roman"/>
          <w:color w:val="000000" w:themeColor="text1"/>
          <w:sz w:val="16"/>
          <w:szCs w:val="16"/>
        </w:rPr>
        <w:softHyphen/>
        <w:t>бардировщики Пе-2 - 70 и истреби</w:t>
      </w:r>
      <w:r w:rsidRPr="00D03F3E">
        <w:rPr>
          <w:rFonts w:ascii="Times New Roman" w:hAnsi="Times New Roman"/>
          <w:color w:val="000000" w:themeColor="text1"/>
          <w:sz w:val="16"/>
          <w:szCs w:val="16"/>
        </w:rPr>
        <w:softHyphen/>
        <w:t>тели - 350 самолето-вылетов. Безвоз</w:t>
      </w:r>
      <w:r w:rsidRPr="00D03F3E">
        <w:rPr>
          <w:rFonts w:ascii="Times New Roman" w:hAnsi="Times New Roman"/>
          <w:color w:val="000000" w:themeColor="text1"/>
          <w:sz w:val="16"/>
          <w:szCs w:val="16"/>
        </w:rPr>
        <w:softHyphen/>
        <w:t>вратные потери воздушных армий со</w:t>
      </w:r>
      <w:r w:rsidRPr="00D03F3E">
        <w:rPr>
          <w:rFonts w:ascii="Times New Roman" w:hAnsi="Times New Roman"/>
          <w:color w:val="000000" w:themeColor="text1"/>
          <w:sz w:val="16"/>
          <w:szCs w:val="16"/>
        </w:rPr>
        <w:softHyphen/>
        <w:t xml:space="preserve">ставили 33 самолета </w:t>
      </w:r>
      <w:r w:rsidRPr="00D03F3E">
        <w:rPr>
          <w:rFonts w:ascii="Times New Roman" w:hAnsi="Times New Roman"/>
          <w:iCs/>
          <w:color w:val="000000" w:themeColor="text1"/>
          <w:sz w:val="16"/>
          <w:szCs w:val="16"/>
        </w:rPr>
        <w:t xml:space="preserve">Ил-2, </w:t>
      </w:r>
      <w:r w:rsidRPr="00D03F3E">
        <w:rPr>
          <w:rFonts w:ascii="Times New Roman" w:hAnsi="Times New Roman"/>
          <w:color w:val="000000" w:themeColor="text1"/>
          <w:sz w:val="16"/>
          <w:szCs w:val="16"/>
        </w:rPr>
        <w:t>27 истре</w:t>
      </w:r>
      <w:r w:rsidRPr="00D03F3E">
        <w:rPr>
          <w:rFonts w:ascii="Times New Roman" w:hAnsi="Times New Roman"/>
          <w:color w:val="000000" w:themeColor="text1"/>
          <w:sz w:val="16"/>
          <w:szCs w:val="16"/>
        </w:rPr>
        <w:softHyphen/>
        <w:t>бителей и 13 Пе-2.</w:t>
      </w:r>
    </w:p>
    <w:p w14:paraId="7046218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отчетов штабов штурмо</w:t>
      </w:r>
      <w:r w:rsidRPr="00D03F3E">
        <w:rPr>
          <w:rFonts w:ascii="Times New Roman" w:hAnsi="Times New Roman"/>
          <w:color w:val="000000" w:themeColor="text1"/>
          <w:sz w:val="16"/>
          <w:szCs w:val="16"/>
        </w:rPr>
        <w:softHyphen/>
        <w:t>вых авиаполков, 29 Ил-2 не вернулись с боевого задания, три штурмовика официально были сбиты истребителя</w:t>
      </w:r>
      <w:r w:rsidRPr="00D03F3E">
        <w:rPr>
          <w:rFonts w:ascii="Times New Roman" w:hAnsi="Times New Roman"/>
          <w:color w:val="000000" w:themeColor="text1"/>
          <w:sz w:val="16"/>
          <w:szCs w:val="16"/>
        </w:rPr>
        <w:softHyphen/>
        <w:t>ми люфтваффе и один самолет - не</w:t>
      </w:r>
      <w:r w:rsidRPr="00D03F3E">
        <w:rPr>
          <w:rFonts w:ascii="Times New Roman" w:hAnsi="Times New Roman"/>
          <w:color w:val="000000" w:themeColor="text1"/>
          <w:sz w:val="16"/>
          <w:szCs w:val="16"/>
        </w:rPr>
        <w:softHyphen/>
        <w:t>мецкими зенитчиками.</w:t>
      </w:r>
    </w:p>
    <w:p w14:paraId="4D818CE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Примерно в 87% боевых вылетах штурмовики вели воздушные бои с не</w:t>
      </w:r>
      <w:r w:rsidRPr="00D03F3E">
        <w:rPr>
          <w:rFonts w:ascii="Times New Roman" w:hAnsi="Times New Roman"/>
          <w:color w:val="000000" w:themeColor="text1"/>
          <w:sz w:val="16"/>
          <w:szCs w:val="16"/>
        </w:rPr>
        <w:softHyphen/>
        <w:t>мецкими истребителями, и каждый вы</w:t>
      </w:r>
      <w:r w:rsidRPr="00D03F3E">
        <w:rPr>
          <w:rFonts w:ascii="Times New Roman" w:hAnsi="Times New Roman"/>
          <w:color w:val="000000" w:themeColor="text1"/>
          <w:sz w:val="16"/>
          <w:szCs w:val="16"/>
        </w:rPr>
        <w:softHyphen/>
        <w:t>лет Ил-2 сопровождался обстрелом зе</w:t>
      </w:r>
      <w:r w:rsidRPr="00D03F3E">
        <w:rPr>
          <w:rFonts w:ascii="Times New Roman" w:hAnsi="Times New Roman"/>
          <w:color w:val="000000" w:themeColor="text1"/>
          <w:sz w:val="16"/>
          <w:szCs w:val="16"/>
        </w:rPr>
        <w:softHyphen/>
        <w:t>нитной артиллерии противника. При этом из 33 потерянных самолетов Ил-2 31 был сбит истребителями люфтваф</w:t>
      </w:r>
      <w:r w:rsidRPr="00D03F3E">
        <w:rPr>
          <w:rFonts w:ascii="Times New Roman" w:hAnsi="Times New Roman"/>
          <w:color w:val="000000" w:themeColor="text1"/>
          <w:sz w:val="16"/>
          <w:szCs w:val="16"/>
        </w:rPr>
        <w:softHyphen/>
        <w:t>фе, а остальные два штурмовика - зе</w:t>
      </w:r>
      <w:r w:rsidRPr="00D03F3E">
        <w:rPr>
          <w:rFonts w:ascii="Times New Roman" w:hAnsi="Times New Roman"/>
          <w:color w:val="000000" w:themeColor="text1"/>
          <w:sz w:val="16"/>
          <w:szCs w:val="16"/>
        </w:rPr>
        <w:softHyphen/>
        <w:t>нитным огнем. То есть потери от ис</w:t>
      </w:r>
      <w:r w:rsidRPr="00D03F3E">
        <w:rPr>
          <w:rFonts w:ascii="Times New Roman" w:hAnsi="Times New Roman"/>
          <w:color w:val="000000" w:themeColor="text1"/>
          <w:sz w:val="16"/>
          <w:szCs w:val="16"/>
        </w:rPr>
        <w:softHyphen/>
        <w:t>требителей оказались почти в 15 раз выше, чем от зенитной артиллерии.</w:t>
      </w:r>
    </w:p>
    <w:p w14:paraId="7E07C87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среднем одна боевая потеря са</w:t>
      </w:r>
      <w:r w:rsidRPr="00D03F3E">
        <w:rPr>
          <w:rFonts w:ascii="Times New Roman" w:hAnsi="Times New Roman"/>
          <w:color w:val="000000" w:themeColor="text1"/>
          <w:sz w:val="16"/>
          <w:szCs w:val="16"/>
        </w:rPr>
        <w:softHyphen/>
        <w:t>молета Ил-2 пришлась на 3,9 самоле</w:t>
      </w:r>
      <w:r w:rsidRPr="00D03F3E">
        <w:rPr>
          <w:rFonts w:ascii="Times New Roman" w:hAnsi="Times New Roman"/>
          <w:color w:val="000000" w:themeColor="text1"/>
          <w:sz w:val="16"/>
          <w:szCs w:val="16"/>
        </w:rPr>
        <w:softHyphen/>
        <w:t>то-вылетов. Причем на каждые два по</w:t>
      </w:r>
      <w:r w:rsidRPr="00D03F3E">
        <w:rPr>
          <w:rFonts w:ascii="Times New Roman" w:hAnsi="Times New Roman"/>
          <w:color w:val="000000" w:themeColor="text1"/>
          <w:sz w:val="16"/>
          <w:szCs w:val="16"/>
        </w:rPr>
        <w:softHyphen/>
        <w:t>терянных в бою самолета Ил-2 про</w:t>
      </w:r>
      <w:r w:rsidRPr="00D03F3E">
        <w:rPr>
          <w:rFonts w:ascii="Times New Roman" w:hAnsi="Times New Roman"/>
          <w:color w:val="000000" w:themeColor="text1"/>
          <w:sz w:val="16"/>
          <w:szCs w:val="16"/>
        </w:rPr>
        <w:softHyphen/>
        <w:t>тивник лишился трех своих самолетов на аэродроме.</w:t>
      </w:r>
    </w:p>
    <w:p w14:paraId="0BA381A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сравнения, одна безвозвратная потеря бомбардировщиков и истреби</w:t>
      </w:r>
      <w:r w:rsidRPr="00D03F3E">
        <w:rPr>
          <w:rFonts w:ascii="Times New Roman" w:hAnsi="Times New Roman"/>
          <w:color w:val="000000" w:themeColor="text1"/>
          <w:sz w:val="16"/>
          <w:szCs w:val="16"/>
        </w:rPr>
        <w:softHyphen/>
        <w:t>телей в среднем приходилась, соответ</w:t>
      </w:r>
      <w:r w:rsidRPr="00D03F3E">
        <w:rPr>
          <w:rFonts w:ascii="Times New Roman" w:hAnsi="Times New Roman"/>
          <w:color w:val="000000" w:themeColor="text1"/>
          <w:sz w:val="16"/>
          <w:szCs w:val="16"/>
        </w:rPr>
        <w:softHyphen/>
        <w:t>ственно, на 5,4 и 13 самолето-вылетов.</w:t>
      </w:r>
    </w:p>
    <w:p w14:paraId="1AB1FBD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Эффективность работы истребите</w:t>
      </w:r>
      <w:r w:rsidRPr="00D03F3E">
        <w:rPr>
          <w:rFonts w:ascii="Times New Roman" w:hAnsi="Times New Roman"/>
          <w:color w:val="000000" w:themeColor="text1"/>
          <w:sz w:val="16"/>
          <w:szCs w:val="16"/>
        </w:rPr>
        <w:softHyphen/>
        <w:t>лей по сопровождению штурмовиков характеризуется следующими цифра</w:t>
      </w:r>
      <w:r w:rsidRPr="00D03F3E">
        <w:rPr>
          <w:rFonts w:ascii="Times New Roman" w:hAnsi="Times New Roman"/>
          <w:color w:val="000000" w:themeColor="text1"/>
          <w:sz w:val="16"/>
          <w:szCs w:val="16"/>
        </w:rPr>
        <w:softHyphen/>
        <w:t>ми. Потери каждой атакованной не</w:t>
      </w:r>
      <w:r w:rsidRPr="00D03F3E">
        <w:rPr>
          <w:rFonts w:ascii="Times New Roman" w:hAnsi="Times New Roman"/>
          <w:color w:val="000000" w:themeColor="text1"/>
          <w:sz w:val="16"/>
          <w:szCs w:val="16"/>
        </w:rPr>
        <w:softHyphen/>
        <w:t>мецкими истребителями группы штур</w:t>
      </w:r>
      <w:r w:rsidRPr="00D03F3E">
        <w:rPr>
          <w:rFonts w:ascii="Times New Roman" w:hAnsi="Times New Roman"/>
          <w:color w:val="000000" w:themeColor="text1"/>
          <w:sz w:val="16"/>
          <w:szCs w:val="16"/>
        </w:rPr>
        <w:softHyphen/>
        <w:t>мовиков в среднем составили: 8 июня - 3, а 10 июня - 2,1 самолетов Ил-2. И это при условии, что 8 июня на каж</w:t>
      </w:r>
      <w:r w:rsidRPr="00D03F3E">
        <w:rPr>
          <w:rFonts w:ascii="Times New Roman" w:hAnsi="Times New Roman"/>
          <w:color w:val="000000" w:themeColor="text1"/>
          <w:sz w:val="16"/>
          <w:szCs w:val="16"/>
        </w:rPr>
        <w:softHyphen/>
        <w:t>дый вылет самолета Ил-2 прикрываю</w:t>
      </w:r>
      <w:r w:rsidRPr="00D03F3E">
        <w:rPr>
          <w:rFonts w:ascii="Times New Roman" w:hAnsi="Times New Roman"/>
          <w:color w:val="000000" w:themeColor="text1"/>
          <w:sz w:val="16"/>
          <w:szCs w:val="16"/>
        </w:rPr>
        <w:softHyphen/>
        <w:t>щие их истребители выполнили 1,4, а двумя днями позже - 1,1 самолето</w:t>
      </w:r>
      <w:r w:rsidRPr="00D03F3E">
        <w:rPr>
          <w:rFonts w:ascii="Times New Roman" w:hAnsi="Times New Roman"/>
          <w:color w:val="000000" w:themeColor="text1"/>
          <w:sz w:val="16"/>
          <w:szCs w:val="16"/>
        </w:rPr>
        <w:softHyphen/>
        <w:t>вылетов. То есть 8 июня истребители своей задачи не выполнили вовсе, а 10 июня - лишь отчасти.</w:t>
      </w:r>
    </w:p>
    <w:p w14:paraId="39178A4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общей сложности с боевого за</w:t>
      </w:r>
      <w:r w:rsidRPr="00D03F3E">
        <w:rPr>
          <w:rFonts w:ascii="Times New Roman" w:hAnsi="Times New Roman"/>
          <w:color w:val="000000" w:themeColor="text1"/>
          <w:sz w:val="16"/>
          <w:szCs w:val="16"/>
        </w:rPr>
        <w:softHyphen/>
        <w:t>дания не возвратилось 33 летчика-штурмовика и 28 воздушных стрелков. При этом основная масса боевых по</w:t>
      </w:r>
      <w:r w:rsidRPr="00D03F3E">
        <w:rPr>
          <w:rFonts w:ascii="Times New Roman" w:hAnsi="Times New Roman"/>
          <w:color w:val="000000" w:themeColor="text1"/>
          <w:sz w:val="16"/>
          <w:szCs w:val="16"/>
        </w:rPr>
        <w:softHyphen/>
        <w:t>терь - 58% - пришлась на летчиков с хорошей и выше летно-боевой подго</w:t>
      </w:r>
      <w:r w:rsidRPr="00D03F3E">
        <w:rPr>
          <w:rFonts w:ascii="Times New Roman" w:hAnsi="Times New Roman"/>
          <w:color w:val="000000" w:themeColor="text1"/>
          <w:sz w:val="16"/>
          <w:szCs w:val="16"/>
        </w:rPr>
        <w:softHyphen/>
        <w:t>товкой: 45% - на командный состав полков (командиры полков, штурманы полков, командиры эскадрилий и зве</w:t>
      </w:r>
      <w:r w:rsidRPr="00D03F3E">
        <w:rPr>
          <w:rFonts w:ascii="Times New Roman" w:hAnsi="Times New Roman"/>
          <w:color w:val="000000" w:themeColor="text1"/>
          <w:sz w:val="16"/>
          <w:szCs w:val="16"/>
        </w:rPr>
        <w:softHyphen/>
        <w:t>ньев), то есть на очень опытных летчи</w:t>
      </w:r>
      <w:r w:rsidRPr="00D03F3E">
        <w:rPr>
          <w:rFonts w:ascii="Times New Roman" w:hAnsi="Times New Roman"/>
          <w:color w:val="000000" w:themeColor="text1"/>
          <w:sz w:val="16"/>
          <w:szCs w:val="16"/>
        </w:rPr>
        <w:softHyphen/>
        <w:t>ков, и 1 3% - старших летчиков, имею</w:t>
      </w:r>
      <w:r w:rsidRPr="00D03F3E">
        <w:rPr>
          <w:rFonts w:ascii="Times New Roman" w:hAnsi="Times New Roman"/>
          <w:color w:val="000000" w:themeColor="text1"/>
          <w:sz w:val="16"/>
          <w:szCs w:val="16"/>
        </w:rPr>
        <w:softHyphen/>
        <w:t>щих вполне достаточный боевой опыт. Остальные 42% потерь составили мо</w:t>
      </w:r>
      <w:r w:rsidRPr="00D03F3E">
        <w:rPr>
          <w:rFonts w:ascii="Times New Roman" w:hAnsi="Times New Roman"/>
          <w:color w:val="000000" w:themeColor="text1"/>
          <w:sz w:val="16"/>
          <w:szCs w:val="16"/>
        </w:rPr>
        <w:softHyphen/>
        <w:t>лодые летчики.</w:t>
      </w:r>
    </w:p>
    <w:p w14:paraId="572176F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Указанное обстоятельство, с учетом потерь в командном составе в мае ме</w:t>
      </w:r>
      <w:r w:rsidRPr="00D03F3E">
        <w:rPr>
          <w:rFonts w:ascii="Times New Roman" w:hAnsi="Times New Roman"/>
          <w:color w:val="000000" w:themeColor="text1"/>
          <w:sz w:val="16"/>
          <w:szCs w:val="16"/>
        </w:rPr>
        <w:softHyphen/>
        <w:t>сяце, имело негативные последствия для ряда наших штурмовых авиаполков (на</w:t>
      </w:r>
      <w:r w:rsidRPr="00D03F3E">
        <w:rPr>
          <w:rFonts w:ascii="Times New Roman" w:hAnsi="Times New Roman"/>
          <w:color w:val="000000" w:themeColor="text1"/>
          <w:sz w:val="16"/>
          <w:szCs w:val="16"/>
        </w:rPr>
        <w:softHyphen/>
        <w:t xml:space="preserve">пример, 571-й, 614-й и 566-й </w:t>
      </w:r>
      <w:r w:rsidRPr="00D03F3E">
        <w:rPr>
          <w:rFonts w:ascii="Times New Roman" w:hAnsi="Times New Roman"/>
          <w:iCs/>
          <w:color w:val="000000" w:themeColor="text1"/>
          <w:sz w:val="16"/>
          <w:szCs w:val="16"/>
        </w:rPr>
        <w:t xml:space="preserve">шап, </w:t>
      </w:r>
      <w:r w:rsidRPr="00D03F3E">
        <w:rPr>
          <w:rFonts w:ascii="Times New Roman" w:hAnsi="Times New Roman"/>
          <w:color w:val="000000" w:themeColor="text1"/>
          <w:sz w:val="16"/>
          <w:szCs w:val="16"/>
        </w:rPr>
        <w:t xml:space="preserve">а также 79-й и 58-й </w:t>
      </w:r>
      <w:r w:rsidRPr="00D03F3E">
        <w:rPr>
          <w:rFonts w:ascii="Times New Roman" w:hAnsi="Times New Roman"/>
          <w:iCs/>
          <w:color w:val="000000" w:themeColor="text1"/>
          <w:sz w:val="16"/>
          <w:szCs w:val="16"/>
        </w:rPr>
        <w:t xml:space="preserve">гшап]. </w:t>
      </w:r>
      <w:r w:rsidRPr="00D03F3E">
        <w:rPr>
          <w:rFonts w:ascii="Times New Roman" w:hAnsi="Times New Roman"/>
          <w:color w:val="000000" w:themeColor="text1"/>
          <w:sz w:val="16"/>
          <w:szCs w:val="16"/>
        </w:rPr>
        <w:t>Дело в том, что на место погибших командиров пришли летчики, которым требовалось время для ввода в строй как команди</w:t>
      </w:r>
      <w:r w:rsidRPr="00D03F3E">
        <w:rPr>
          <w:rFonts w:ascii="Times New Roman" w:hAnsi="Times New Roman"/>
          <w:color w:val="000000" w:themeColor="text1"/>
          <w:sz w:val="16"/>
          <w:szCs w:val="16"/>
        </w:rPr>
        <w:softHyphen/>
        <w:t>ров подразделений (наработать инст</w:t>
      </w:r>
      <w:r w:rsidRPr="00D03F3E">
        <w:rPr>
          <w:rFonts w:ascii="Times New Roman" w:hAnsi="Times New Roman"/>
          <w:color w:val="000000" w:themeColor="text1"/>
          <w:sz w:val="16"/>
          <w:szCs w:val="16"/>
        </w:rPr>
        <w:softHyphen/>
        <w:t>рукторскую и методическую базу, на</w:t>
      </w:r>
      <w:r w:rsidRPr="00D03F3E">
        <w:rPr>
          <w:rFonts w:ascii="Times New Roman" w:hAnsi="Times New Roman"/>
          <w:color w:val="000000" w:themeColor="text1"/>
          <w:sz w:val="16"/>
          <w:szCs w:val="16"/>
        </w:rPr>
        <w:softHyphen/>
        <w:t>выки командования подразделениями и т.д.). К началу июля 1943 г. этими качествами они еще не обладали. Бо</w:t>
      </w:r>
      <w:r w:rsidRPr="00D03F3E">
        <w:rPr>
          <w:rFonts w:ascii="Times New Roman" w:hAnsi="Times New Roman"/>
          <w:color w:val="000000" w:themeColor="text1"/>
          <w:sz w:val="16"/>
          <w:szCs w:val="16"/>
        </w:rPr>
        <w:softHyphen/>
        <w:t>лее того, некоторые авиаполки при</w:t>
      </w:r>
      <w:r w:rsidRPr="00D03F3E">
        <w:rPr>
          <w:rFonts w:ascii="Times New Roman" w:hAnsi="Times New Roman"/>
          <w:color w:val="000000" w:themeColor="text1"/>
          <w:sz w:val="16"/>
          <w:szCs w:val="16"/>
        </w:rPr>
        <w:softHyphen/>
        <w:t>шлось в очередной раз фактически заново готовить к бою и сколачивать как боевую единицу. Несомненно, все это ослабило группировку штурмовой авиации перед Курской битвой и от</w:t>
      </w:r>
      <w:r w:rsidRPr="00D03F3E">
        <w:rPr>
          <w:rFonts w:ascii="Times New Roman" w:hAnsi="Times New Roman"/>
          <w:color w:val="000000" w:themeColor="text1"/>
          <w:sz w:val="16"/>
          <w:szCs w:val="16"/>
        </w:rPr>
        <w:softHyphen/>
        <w:t>рицательно сказалось на результатах.</w:t>
      </w:r>
    </w:p>
    <w:p w14:paraId="39DE27D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учетом сказанного, следует при</w:t>
      </w:r>
      <w:r w:rsidRPr="00D03F3E">
        <w:rPr>
          <w:rFonts w:ascii="Times New Roman" w:hAnsi="Times New Roman"/>
          <w:color w:val="000000" w:themeColor="text1"/>
          <w:sz w:val="16"/>
          <w:szCs w:val="16"/>
        </w:rPr>
        <w:softHyphen/>
        <w:t>знать, воздушная операция ВВС КА по разгрому бомбардировочной авиации люфтваффе на аэродромах базирова</w:t>
      </w:r>
      <w:r w:rsidRPr="00D03F3E">
        <w:rPr>
          <w:rFonts w:ascii="Times New Roman" w:hAnsi="Times New Roman"/>
          <w:color w:val="000000" w:themeColor="text1"/>
          <w:sz w:val="16"/>
          <w:szCs w:val="16"/>
        </w:rPr>
        <w:softHyphen/>
        <w:t>ния в целом завершилась неудачно, хотя и привела к тому, что противник прекратил ночные налеты на наши го</w:t>
      </w:r>
      <w:r w:rsidRPr="00D03F3E">
        <w:rPr>
          <w:rFonts w:ascii="Times New Roman" w:hAnsi="Times New Roman"/>
          <w:color w:val="000000" w:themeColor="text1"/>
          <w:sz w:val="16"/>
          <w:szCs w:val="16"/>
        </w:rPr>
        <w:softHyphen/>
        <w:t>рода Горький, Саратов, Ярославль и перебазировал свою ударную авиа</w:t>
      </w:r>
      <w:r w:rsidRPr="00D03F3E">
        <w:rPr>
          <w:rFonts w:ascii="Times New Roman" w:hAnsi="Times New Roman"/>
          <w:color w:val="000000" w:themeColor="text1"/>
          <w:sz w:val="16"/>
          <w:szCs w:val="16"/>
        </w:rPr>
        <w:softHyphen/>
        <w:t>цию на тыловые аэродромы.</w:t>
      </w:r>
    </w:p>
    <w:p w14:paraId="1AAB46D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Анализ действий ВВС КА в воздуш</w:t>
      </w:r>
      <w:r w:rsidRPr="00D03F3E">
        <w:rPr>
          <w:rFonts w:ascii="Times New Roman" w:hAnsi="Times New Roman"/>
          <w:color w:val="000000" w:themeColor="text1"/>
          <w:sz w:val="16"/>
          <w:szCs w:val="16"/>
        </w:rPr>
        <w:softHyphen/>
        <w:t>ных операциях 6-8 мая и 8-10 июня показывает, что одной из главных при</w:t>
      </w:r>
      <w:r w:rsidRPr="00D03F3E">
        <w:rPr>
          <w:rFonts w:ascii="Times New Roman" w:hAnsi="Times New Roman"/>
          <w:color w:val="000000" w:themeColor="text1"/>
          <w:sz w:val="16"/>
          <w:szCs w:val="16"/>
        </w:rPr>
        <w:softHyphen/>
        <w:t>чин наших неудач являлась недоста</w:t>
      </w:r>
      <w:r w:rsidRPr="00D03F3E">
        <w:rPr>
          <w:rFonts w:ascii="Times New Roman" w:hAnsi="Times New Roman"/>
          <w:color w:val="000000" w:themeColor="text1"/>
          <w:sz w:val="16"/>
          <w:szCs w:val="16"/>
        </w:rPr>
        <w:softHyphen/>
        <w:t>точная подготовка авиационных шта</w:t>
      </w:r>
      <w:r w:rsidRPr="00D03F3E">
        <w:rPr>
          <w:rFonts w:ascii="Times New Roman" w:hAnsi="Times New Roman"/>
          <w:color w:val="000000" w:themeColor="text1"/>
          <w:sz w:val="16"/>
          <w:szCs w:val="16"/>
        </w:rPr>
        <w:softHyphen/>
        <w:t>бов всех уровней. Судя по их практи</w:t>
      </w:r>
      <w:r w:rsidRPr="00D03F3E">
        <w:rPr>
          <w:rFonts w:ascii="Times New Roman" w:hAnsi="Times New Roman"/>
          <w:color w:val="000000" w:themeColor="text1"/>
          <w:sz w:val="16"/>
          <w:szCs w:val="16"/>
        </w:rPr>
        <w:softHyphen/>
        <w:t>ческим решениям, штабы оказались не в состоянии должным образом плани</w:t>
      </w:r>
      <w:r w:rsidRPr="00D03F3E">
        <w:rPr>
          <w:rFonts w:ascii="Times New Roman" w:hAnsi="Times New Roman"/>
          <w:color w:val="000000" w:themeColor="text1"/>
          <w:sz w:val="16"/>
          <w:szCs w:val="16"/>
        </w:rPr>
        <w:softHyphen/>
        <w:t>ровать и организовывать массирован</w:t>
      </w:r>
      <w:r w:rsidRPr="00D03F3E">
        <w:rPr>
          <w:rFonts w:ascii="Times New Roman" w:hAnsi="Times New Roman"/>
          <w:color w:val="000000" w:themeColor="text1"/>
          <w:sz w:val="16"/>
          <w:szCs w:val="16"/>
        </w:rPr>
        <w:softHyphen/>
        <w:t xml:space="preserve">ные действия, проявляя при этом </w:t>
      </w:r>
      <w:r w:rsidRPr="00D03F3E">
        <w:rPr>
          <w:rFonts w:ascii="Times New Roman" w:hAnsi="Times New Roman"/>
          <w:iCs/>
          <w:color w:val="000000" w:themeColor="text1"/>
          <w:sz w:val="16"/>
          <w:szCs w:val="16"/>
        </w:rPr>
        <w:t>"ши</w:t>
      </w:r>
      <w:r w:rsidRPr="00D03F3E">
        <w:rPr>
          <w:rFonts w:ascii="Times New Roman" w:hAnsi="Times New Roman"/>
          <w:iCs/>
          <w:color w:val="000000" w:themeColor="text1"/>
          <w:sz w:val="16"/>
          <w:szCs w:val="16"/>
        </w:rPr>
        <w:softHyphen/>
        <w:t xml:space="preserve">рокую инициативу и военную хитрость" </w:t>
      </w:r>
      <w:r w:rsidRPr="00D03F3E">
        <w:rPr>
          <w:rFonts w:ascii="Times New Roman" w:hAnsi="Times New Roman"/>
          <w:color w:val="000000" w:themeColor="text1"/>
          <w:sz w:val="16"/>
          <w:szCs w:val="16"/>
        </w:rPr>
        <w:t>применительно к сложившейся обста</w:t>
      </w:r>
      <w:r w:rsidRPr="00D03F3E">
        <w:rPr>
          <w:rFonts w:ascii="Times New Roman" w:hAnsi="Times New Roman"/>
          <w:color w:val="000000" w:themeColor="text1"/>
          <w:sz w:val="16"/>
          <w:szCs w:val="16"/>
        </w:rPr>
        <w:softHyphen/>
        <w:t>новке. Вместо того чтобы беспристра</w:t>
      </w:r>
      <w:r w:rsidRPr="00D03F3E">
        <w:rPr>
          <w:rFonts w:ascii="Times New Roman" w:hAnsi="Times New Roman"/>
          <w:color w:val="000000" w:themeColor="text1"/>
          <w:sz w:val="16"/>
          <w:szCs w:val="16"/>
        </w:rPr>
        <w:softHyphen/>
        <w:t>стно, не взирая на лица и звания, оце</w:t>
      </w:r>
      <w:r w:rsidRPr="00D03F3E">
        <w:rPr>
          <w:rFonts w:ascii="Times New Roman" w:hAnsi="Times New Roman"/>
          <w:color w:val="000000" w:themeColor="text1"/>
          <w:sz w:val="16"/>
          <w:szCs w:val="16"/>
        </w:rPr>
        <w:softHyphen/>
        <w:t>нить действительные результаты нале</w:t>
      </w:r>
      <w:r w:rsidRPr="00D03F3E">
        <w:rPr>
          <w:rFonts w:ascii="Times New Roman" w:hAnsi="Times New Roman"/>
          <w:color w:val="000000" w:themeColor="text1"/>
          <w:sz w:val="16"/>
          <w:szCs w:val="16"/>
        </w:rPr>
        <w:softHyphen/>
        <w:t>тов на аэродромы люфтваффе и выя</w:t>
      </w:r>
      <w:r w:rsidRPr="00D03F3E">
        <w:rPr>
          <w:rFonts w:ascii="Times New Roman" w:hAnsi="Times New Roman"/>
          <w:color w:val="000000" w:themeColor="text1"/>
          <w:sz w:val="16"/>
          <w:szCs w:val="16"/>
        </w:rPr>
        <w:softHyphen/>
        <w:t>вить причины их низкой эффективнос</w:t>
      </w:r>
      <w:r w:rsidRPr="00D03F3E">
        <w:rPr>
          <w:rFonts w:ascii="Times New Roman" w:hAnsi="Times New Roman"/>
          <w:color w:val="000000" w:themeColor="text1"/>
          <w:sz w:val="16"/>
          <w:szCs w:val="16"/>
        </w:rPr>
        <w:softHyphen/>
        <w:t>ти, штабные офицеры "на разборах полетов" старались переложить вину за большие потери на нижестоящих ко</w:t>
      </w:r>
      <w:r w:rsidRPr="00D03F3E">
        <w:rPr>
          <w:rFonts w:ascii="Times New Roman" w:hAnsi="Times New Roman"/>
          <w:color w:val="000000" w:themeColor="text1"/>
          <w:sz w:val="16"/>
          <w:szCs w:val="16"/>
        </w:rPr>
        <w:softHyphen/>
        <w:t>мандиров и летчиков.</w:t>
      </w:r>
    </w:p>
    <w:p w14:paraId="37C9508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Основываясь на неверной оценке действий нашей авиации, ввиду отсут</w:t>
      </w:r>
      <w:r w:rsidRPr="00D03F3E">
        <w:rPr>
          <w:rFonts w:ascii="Times New Roman" w:hAnsi="Times New Roman"/>
          <w:color w:val="000000" w:themeColor="text1"/>
          <w:sz w:val="16"/>
          <w:szCs w:val="16"/>
        </w:rPr>
        <w:softHyphen/>
        <w:t>ствия системы объективного контроля результатов ударов, офицеры штабов не смогли разработать действенные меры по преодолению системы проти</w:t>
      </w:r>
      <w:r w:rsidRPr="00D03F3E">
        <w:rPr>
          <w:rFonts w:ascii="Times New Roman" w:hAnsi="Times New Roman"/>
          <w:color w:val="000000" w:themeColor="text1"/>
          <w:sz w:val="16"/>
          <w:szCs w:val="16"/>
        </w:rPr>
        <w:softHyphen/>
        <w:t>вовоздушной обороны немецких аэро</w:t>
      </w:r>
      <w:r w:rsidRPr="00D03F3E">
        <w:rPr>
          <w:rFonts w:ascii="Times New Roman" w:hAnsi="Times New Roman"/>
          <w:color w:val="000000" w:themeColor="text1"/>
          <w:sz w:val="16"/>
          <w:szCs w:val="16"/>
        </w:rPr>
        <w:softHyphen/>
        <w:t>дромов и повышения эффективности ударов штурмовиков и бомбардиров</w:t>
      </w:r>
      <w:r w:rsidRPr="00D03F3E">
        <w:rPr>
          <w:rFonts w:ascii="Times New Roman" w:hAnsi="Times New Roman"/>
          <w:color w:val="000000" w:themeColor="text1"/>
          <w:sz w:val="16"/>
          <w:szCs w:val="16"/>
        </w:rPr>
        <w:softHyphen/>
        <w:t>щиков. Принимаемые решения на бо</w:t>
      </w:r>
      <w:r w:rsidRPr="00D03F3E">
        <w:rPr>
          <w:rFonts w:ascii="Times New Roman" w:hAnsi="Times New Roman"/>
          <w:color w:val="000000" w:themeColor="text1"/>
          <w:sz w:val="16"/>
          <w:szCs w:val="16"/>
        </w:rPr>
        <w:softHyphen/>
        <w:t>евое применение авиации во многом повторяли предыдущие удары, что да</w:t>
      </w:r>
      <w:r w:rsidRPr="00D03F3E">
        <w:rPr>
          <w:rFonts w:ascii="Times New Roman" w:hAnsi="Times New Roman"/>
          <w:color w:val="000000" w:themeColor="text1"/>
          <w:sz w:val="16"/>
          <w:szCs w:val="16"/>
        </w:rPr>
        <w:softHyphen/>
        <w:t>вало противнику возможность разра</w:t>
      </w:r>
      <w:r w:rsidRPr="00D03F3E">
        <w:rPr>
          <w:rFonts w:ascii="Times New Roman" w:hAnsi="Times New Roman"/>
          <w:color w:val="000000" w:themeColor="text1"/>
          <w:sz w:val="16"/>
          <w:szCs w:val="16"/>
        </w:rPr>
        <w:softHyphen/>
        <w:t>батывать эффективные меры противо</w:t>
      </w:r>
      <w:r w:rsidRPr="00D03F3E">
        <w:rPr>
          <w:rFonts w:ascii="Times New Roman" w:hAnsi="Times New Roman"/>
          <w:color w:val="000000" w:themeColor="text1"/>
          <w:sz w:val="16"/>
          <w:szCs w:val="16"/>
        </w:rPr>
        <w:softHyphen/>
        <w:t xml:space="preserve">действия. В итоге, </w:t>
      </w:r>
      <w:r w:rsidRPr="00D03F3E">
        <w:rPr>
          <w:rFonts w:ascii="Times New Roman" w:hAnsi="Times New Roman"/>
          <w:iCs/>
          <w:color w:val="000000" w:themeColor="text1"/>
          <w:sz w:val="16"/>
          <w:szCs w:val="16"/>
        </w:rPr>
        <w:t>"ожидаемый резуль</w:t>
      </w:r>
      <w:r w:rsidRPr="00D03F3E">
        <w:rPr>
          <w:rFonts w:ascii="Times New Roman" w:hAnsi="Times New Roman"/>
          <w:iCs/>
          <w:color w:val="000000" w:themeColor="text1"/>
          <w:sz w:val="16"/>
          <w:szCs w:val="16"/>
        </w:rPr>
        <w:softHyphen/>
        <w:t xml:space="preserve">тат не достигается, а наша авиация несет значительные потери..."При </w:t>
      </w:r>
      <w:r w:rsidRPr="00D03F3E">
        <w:rPr>
          <w:rFonts w:ascii="Times New Roman" w:hAnsi="Times New Roman"/>
          <w:color w:val="000000" w:themeColor="text1"/>
          <w:sz w:val="16"/>
          <w:szCs w:val="16"/>
        </w:rPr>
        <w:t>этом реальные потери противника не име</w:t>
      </w:r>
      <w:r w:rsidRPr="00D03F3E">
        <w:rPr>
          <w:rFonts w:ascii="Times New Roman" w:hAnsi="Times New Roman"/>
          <w:color w:val="000000" w:themeColor="text1"/>
          <w:sz w:val="16"/>
          <w:szCs w:val="16"/>
        </w:rPr>
        <w:softHyphen/>
        <w:t>ли ничего общего с цифрами уничто</w:t>
      </w:r>
      <w:r w:rsidRPr="00D03F3E">
        <w:rPr>
          <w:rFonts w:ascii="Times New Roman" w:hAnsi="Times New Roman"/>
          <w:color w:val="000000" w:themeColor="text1"/>
          <w:sz w:val="16"/>
          <w:szCs w:val="16"/>
        </w:rPr>
        <w:softHyphen/>
        <w:t>женных и поврежденных самолетов, ко</w:t>
      </w:r>
      <w:r w:rsidRPr="00D03F3E">
        <w:rPr>
          <w:rFonts w:ascii="Times New Roman" w:hAnsi="Times New Roman"/>
          <w:color w:val="000000" w:themeColor="text1"/>
          <w:sz w:val="16"/>
          <w:szCs w:val="16"/>
        </w:rPr>
        <w:softHyphen/>
        <w:t>торыми оперировали в штабах воздуш</w:t>
      </w:r>
      <w:r w:rsidRPr="00D03F3E">
        <w:rPr>
          <w:rFonts w:ascii="Times New Roman" w:hAnsi="Times New Roman"/>
          <w:color w:val="000000" w:themeColor="text1"/>
          <w:sz w:val="16"/>
          <w:szCs w:val="16"/>
        </w:rPr>
        <w:softHyphen/>
        <w:t>ных армий и соединений.</w:t>
      </w:r>
    </w:p>
    <w:p w14:paraId="4122AA7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Несомненно, на результативность действий воздушных армий отрицатель</w:t>
      </w:r>
      <w:r w:rsidRPr="00D03F3E">
        <w:rPr>
          <w:rFonts w:ascii="Times New Roman" w:hAnsi="Times New Roman"/>
          <w:color w:val="000000" w:themeColor="text1"/>
          <w:sz w:val="16"/>
          <w:szCs w:val="16"/>
        </w:rPr>
        <w:softHyphen/>
        <w:t>но сказались и имевшие место серь</w:t>
      </w:r>
      <w:r w:rsidRPr="00D03F3E">
        <w:rPr>
          <w:rFonts w:ascii="Times New Roman" w:hAnsi="Times New Roman"/>
          <w:color w:val="000000" w:themeColor="text1"/>
          <w:sz w:val="16"/>
          <w:szCs w:val="16"/>
        </w:rPr>
        <w:softHyphen/>
        <w:t>езные недостатки в системе боевой подготовки летчиков. Большинство штурмовых и истребительных авиапол</w:t>
      </w:r>
      <w:r w:rsidRPr="00D03F3E">
        <w:rPr>
          <w:rFonts w:ascii="Times New Roman" w:hAnsi="Times New Roman"/>
          <w:color w:val="000000" w:themeColor="text1"/>
          <w:sz w:val="16"/>
          <w:szCs w:val="16"/>
        </w:rPr>
        <w:softHyphen/>
        <w:t>ков, выделенных для удара по аэро</w:t>
      </w:r>
      <w:r w:rsidRPr="00D03F3E">
        <w:rPr>
          <w:rFonts w:ascii="Times New Roman" w:hAnsi="Times New Roman"/>
          <w:color w:val="000000" w:themeColor="text1"/>
          <w:sz w:val="16"/>
          <w:szCs w:val="16"/>
        </w:rPr>
        <w:softHyphen/>
        <w:t>дромам, оказались совершенно не готовыми к выполнению столь сложной боевой задачи.</w:t>
      </w:r>
    </w:p>
    <w:p w14:paraId="69F1D71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Действительно, летно-боевая подго</w:t>
      </w:r>
      <w:r w:rsidRPr="00D03F3E">
        <w:rPr>
          <w:rFonts w:ascii="Times New Roman" w:hAnsi="Times New Roman"/>
          <w:color w:val="000000" w:themeColor="text1"/>
          <w:sz w:val="16"/>
          <w:szCs w:val="16"/>
        </w:rPr>
        <w:softHyphen/>
        <w:t>товка большей части полков штурмо</w:t>
      </w:r>
      <w:r w:rsidRPr="00D03F3E">
        <w:rPr>
          <w:rFonts w:ascii="Times New Roman" w:hAnsi="Times New Roman"/>
          <w:color w:val="000000" w:themeColor="text1"/>
          <w:sz w:val="16"/>
          <w:szCs w:val="16"/>
        </w:rPr>
        <w:softHyphen/>
        <w:t>вых авиадивизий всех без исключения воздушных армий оставляла желать лучшего. В полках имелось много мо</w:t>
      </w:r>
      <w:r w:rsidRPr="00D03F3E">
        <w:rPr>
          <w:rFonts w:ascii="Times New Roman" w:hAnsi="Times New Roman"/>
          <w:color w:val="000000" w:themeColor="text1"/>
          <w:sz w:val="16"/>
          <w:szCs w:val="16"/>
        </w:rPr>
        <w:softHyphen/>
        <w:t>лодого летного состава, еще не овла</w:t>
      </w:r>
      <w:r w:rsidRPr="00D03F3E">
        <w:rPr>
          <w:rFonts w:ascii="Times New Roman" w:hAnsi="Times New Roman"/>
          <w:color w:val="000000" w:themeColor="text1"/>
          <w:sz w:val="16"/>
          <w:szCs w:val="16"/>
        </w:rPr>
        <w:softHyphen/>
        <w:t>девшего в должной мере боевым при</w:t>
      </w:r>
      <w:r w:rsidRPr="00D03F3E">
        <w:rPr>
          <w:rFonts w:ascii="Times New Roman" w:hAnsi="Times New Roman"/>
          <w:color w:val="000000" w:themeColor="text1"/>
          <w:sz w:val="16"/>
          <w:szCs w:val="16"/>
        </w:rPr>
        <w:softHyphen/>
        <w:t>менением Ил-2, особенно в составе группы. Отсутствие устойчивых навы</w:t>
      </w:r>
      <w:r w:rsidRPr="00D03F3E">
        <w:rPr>
          <w:rFonts w:ascii="Times New Roman" w:hAnsi="Times New Roman"/>
          <w:color w:val="000000" w:themeColor="text1"/>
          <w:sz w:val="16"/>
          <w:szCs w:val="16"/>
        </w:rPr>
        <w:softHyphen/>
        <w:t>ков боевого применения приводила к тому, что в условиях массированного применения противником истребитель</w:t>
      </w:r>
      <w:r w:rsidRPr="00D03F3E">
        <w:rPr>
          <w:rFonts w:ascii="Times New Roman" w:hAnsi="Times New Roman"/>
          <w:color w:val="000000" w:themeColor="text1"/>
          <w:sz w:val="16"/>
          <w:szCs w:val="16"/>
        </w:rPr>
        <w:softHyphen/>
        <w:t>ной авиации и зенитной артиллерии часть летчиков терялась и действова</w:t>
      </w:r>
      <w:r w:rsidRPr="00D03F3E">
        <w:rPr>
          <w:rFonts w:ascii="Times New Roman" w:hAnsi="Times New Roman"/>
          <w:color w:val="000000" w:themeColor="text1"/>
          <w:sz w:val="16"/>
          <w:szCs w:val="16"/>
        </w:rPr>
        <w:softHyphen/>
        <w:t>ла неуверенно, забывая многое из того, что хорошо знала и чем хорошо овладела в период учебно-боевой под</w:t>
      </w:r>
      <w:r w:rsidRPr="00D03F3E">
        <w:rPr>
          <w:rFonts w:ascii="Times New Roman" w:hAnsi="Times New Roman"/>
          <w:color w:val="000000" w:themeColor="text1"/>
          <w:sz w:val="16"/>
          <w:szCs w:val="16"/>
        </w:rPr>
        <w:softHyphen/>
        <w:t>готовки.</w:t>
      </w:r>
    </w:p>
    <w:p w14:paraId="7DD57AF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Подготовка летчиков истребитель</w:t>
      </w:r>
      <w:r w:rsidRPr="00D03F3E">
        <w:rPr>
          <w:rFonts w:ascii="Times New Roman" w:hAnsi="Times New Roman"/>
          <w:color w:val="000000" w:themeColor="text1"/>
          <w:sz w:val="16"/>
          <w:szCs w:val="16"/>
        </w:rPr>
        <w:softHyphen/>
        <w:t>ных авиаполков также не отличалась в лучшую сторону. Летчики-истребите</w:t>
      </w:r>
      <w:r w:rsidRPr="00D03F3E">
        <w:rPr>
          <w:rFonts w:ascii="Times New Roman" w:hAnsi="Times New Roman"/>
          <w:color w:val="000000" w:themeColor="text1"/>
          <w:sz w:val="16"/>
          <w:szCs w:val="16"/>
        </w:rPr>
        <w:softHyphen/>
        <w:t>ли в своей массе имели небольшую практику сопровождения штурмовиков и недостаточный боевой опыт.</w:t>
      </w:r>
    </w:p>
    <w:p w14:paraId="01DB98B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Ведущие групп в силу неопытности фактически не командовали своими подчиненными в воздушном бою. По</w:t>
      </w:r>
      <w:r w:rsidRPr="00D03F3E">
        <w:rPr>
          <w:rFonts w:ascii="Times New Roman" w:hAnsi="Times New Roman"/>
          <w:color w:val="000000" w:themeColor="text1"/>
          <w:sz w:val="16"/>
          <w:szCs w:val="16"/>
        </w:rPr>
        <w:softHyphen/>
        <w:t>лучалось так, что каждый летчик в груп</w:t>
      </w:r>
      <w:r w:rsidRPr="00D03F3E">
        <w:rPr>
          <w:rFonts w:ascii="Times New Roman" w:hAnsi="Times New Roman"/>
          <w:color w:val="000000" w:themeColor="text1"/>
          <w:sz w:val="16"/>
          <w:szCs w:val="16"/>
        </w:rPr>
        <w:softHyphen/>
        <w:t>пе действовал в бою по своему усмот</w:t>
      </w:r>
      <w:r w:rsidRPr="00D03F3E">
        <w:rPr>
          <w:rFonts w:ascii="Times New Roman" w:hAnsi="Times New Roman"/>
          <w:color w:val="000000" w:themeColor="text1"/>
          <w:sz w:val="16"/>
          <w:szCs w:val="16"/>
        </w:rPr>
        <w:softHyphen/>
        <w:t xml:space="preserve">рению. </w:t>
      </w:r>
      <w:r w:rsidRPr="00D03F3E">
        <w:rPr>
          <w:rFonts w:ascii="Times New Roman" w:hAnsi="Times New Roman"/>
          <w:iCs/>
          <w:color w:val="000000" w:themeColor="text1"/>
          <w:sz w:val="16"/>
          <w:szCs w:val="16"/>
        </w:rPr>
        <w:t xml:space="preserve">"После выхода из боя ведущего", </w:t>
      </w:r>
      <w:r w:rsidRPr="00D03F3E">
        <w:rPr>
          <w:rFonts w:ascii="Times New Roman" w:hAnsi="Times New Roman"/>
          <w:color w:val="000000" w:themeColor="text1"/>
          <w:sz w:val="16"/>
          <w:szCs w:val="16"/>
        </w:rPr>
        <w:t xml:space="preserve">группы истребителей, как правило, </w:t>
      </w:r>
      <w:r w:rsidRPr="00D03F3E">
        <w:rPr>
          <w:rFonts w:ascii="Times New Roman" w:hAnsi="Times New Roman"/>
          <w:iCs/>
          <w:color w:val="000000" w:themeColor="text1"/>
          <w:sz w:val="16"/>
          <w:szCs w:val="16"/>
        </w:rPr>
        <w:t xml:space="preserve">"рассыпаются и прекращают выполнять поставленную боевую задачу, уходят на свой аэродром, бросая прикрываемую группу". </w:t>
      </w:r>
      <w:r w:rsidRPr="00D03F3E">
        <w:rPr>
          <w:rFonts w:ascii="Times New Roman" w:hAnsi="Times New Roman"/>
          <w:color w:val="000000" w:themeColor="text1"/>
          <w:sz w:val="16"/>
          <w:szCs w:val="16"/>
        </w:rPr>
        <w:t>Очень плохо был отработан такой важный элемент воздушного боя, как осмотрительность. Взаимовыручка в бою также требовала дополнитель</w:t>
      </w:r>
      <w:r w:rsidRPr="00D03F3E">
        <w:rPr>
          <w:rFonts w:ascii="Times New Roman" w:hAnsi="Times New Roman"/>
          <w:color w:val="000000" w:themeColor="text1"/>
          <w:sz w:val="16"/>
          <w:szCs w:val="16"/>
        </w:rPr>
        <w:softHyphen/>
        <w:t>ной отработки.</w:t>
      </w:r>
    </w:p>
    <w:p w14:paraId="607DB06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это приводило к тому, что ис</w:t>
      </w:r>
      <w:r w:rsidRPr="00D03F3E">
        <w:rPr>
          <w:rFonts w:ascii="Times New Roman" w:hAnsi="Times New Roman"/>
          <w:color w:val="000000" w:themeColor="text1"/>
          <w:sz w:val="16"/>
          <w:szCs w:val="16"/>
        </w:rPr>
        <w:softHyphen/>
        <w:t>требителям противника довольно час</w:t>
      </w:r>
      <w:r w:rsidRPr="00D03F3E">
        <w:rPr>
          <w:rFonts w:ascii="Times New Roman" w:hAnsi="Times New Roman"/>
          <w:color w:val="000000" w:themeColor="text1"/>
          <w:sz w:val="16"/>
          <w:szCs w:val="16"/>
        </w:rPr>
        <w:softHyphen/>
        <w:t>то удавалось связать боем сразу всю сопровождающую штурмовиков груп</w:t>
      </w:r>
      <w:r w:rsidRPr="00D03F3E">
        <w:rPr>
          <w:rFonts w:ascii="Times New Roman" w:hAnsi="Times New Roman"/>
          <w:color w:val="000000" w:themeColor="text1"/>
          <w:sz w:val="16"/>
          <w:szCs w:val="16"/>
        </w:rPr>
        <w:softHyphen/>
        <w:t>пу наших истребителей. Последние, ввязавшись в бой, теряли прикрывае</w:t>
      </w:r>
      <w:r w:rsidRPr="00D03F3E">
        <w:rPr>
          <w:rFonts w:ascii="Times New Roman" w:hAnsi="Times New Roman"/>
          <w:color w:val="000000" w:themeColor="text1"/>
          <w:sz w:val="16"/>
          <w:szCs w:val="16"/>
        </w:rPr>
        <w:softHyphen/>
        <w:t>мые группы Ил-2, которые затем сби</w:t>
      </w:r>
      <w:r w:rsidRPr="00D03F3E">
        <w:rPr>
          <w:rFonts w:ascii="Times New Roman" w:hAnsi="Times New Roman"/>
          <w:color w:val="000000" w:themeColor="text1"/>
          <w:sz w:val="16"/>
          <w:szCs w:val="16"/>
        </w:rPr>
        <w:softHyphen/>
        <w:t>вались истребителями люфтваффе.</w:t>
      </w:r>
    </w:p>
    <w:p w14:paraId="50E5C4D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Серьезным недостатком в боевой подготовке советских истребителей яв</w:t>
      </w:r>
      <w:r w:rsidRPr="00D03F3E">
        <w:rPr>
          <w:rFonts w:ascii="Times New Roman" w:hAnsi="Times New Roman"/>
          <w:color w:val="000000" w:themeColor="text1"/>
          <w:sz w:val="16"/>
          <w:szCs w:val="16"/>
        </w:rPr>
        <w:softHyphen/>
        <w:t xml:space="preserve">лялось практическое </w:t>
      </w:r>
      <w:r w:rsidRPr="00D03F3E">
        <w:rPr>
          <w:rFonts w:ascii="Times New Roman" w:hAnsi="Times New Roman"/>
          <w:iCs/>
          <w:color w:val="000000" w:themeColor="text1"/>
          <w:sz w:val="16"/>
          <w:szCs w:val="16"/>
        </w:rPr>
        <w:t>"неумение манев</w:t>
      </w:r>
      <w:r w:rsidRPr="00D03F3E">
        <w:rPr>
          <w:rFonts w:ascii="Times New Roman" w:hAnsi="Times New Roman"/>
          <w:iCs/>
          <w:color w:val="000000" w:themeColor="text1"/>
          <w:sz w:val="16"/>
          <w:szCs w:val="16"/>
        </w:rPr>
        <w:softHyphen/>
        <w:t xml:space="preserve">рировать в зоне зенитного огня". </w:t>
      </w:r>
      <w:r w:rsidRPr="00D03F3E">
        <w:rPr>
          <w:rFonts w:ascii="Times New Roman" w:hAnsi="Times New Roman"/>
          <w:color w:val="000000" w:themeColor="text1"/>
          <w:sz w:val="16"/>
          <w:szCs w:val="16"/>
        </w:rPr>
        <w:t>По</w:t>
      </w:r>
      <w:r w:rsidRPr="00D03F3E">
        <w:rPr>
          <w:rFonts w:ascii="Times New Roman" w:hAnsi="Times New Roman"/>
          <w:color w:val="000000" w:themeColor="text1"/>
          <w:sz w:val="16"/>
          <w:szCs w:val="16"/>
        </w:rPr>
        <w:softHyphen/>
        <w:t>пав под обстрел немецких зенитчиков, истребители обычно уходили выше или в сторону от штурмовиков, теряя их на фоне земли.</w:t>
      </w:r>
    </w:p>
    <w:p w14:paraId="19BDB0B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отчетных документах истреби</w:t>
      </w:r>
      <w:r w:rsidRPr="00D03F3E">
        <w:rPr>
          <w:rFonts w:ascii="Times New Roman" w:hAnsi="Times New Roman"/>
          <w:color w:val="000000" w:themeColor="text1"/>
          <w:sz w:val="16"/>
          <w:szCs w:val="16"/>
        </w:rPr>
        <w:softHyphen/>
        <w:t>тельных авиаполков отмечалось, что лет</w:t>
      </w:r>
      <w:r w:rsidRPr="00D03F3E">
        <w:rPr>
          <w:rFonts w:ascii="Times New Roman" w:hAnsi="Times New Roman"/>
          <w:color w:val="000000" w:themeColor="text1"/>
          <w:sz w:val="16"/>
          <w:szCs w:val="16"/>
        </w:rPr>
        <w:softHyphen/>
        <w:t>чики в своем большинстве имеют со</w:t>
      </w:r>
      <w:r w:rsidRPr="00D03F3E">
        <w:rPr>
          <w:rFonts w:ascii="Times New Roman" w:hAnsi="Times New Roman"/>
          <w:color w:val="000000" w:themeColor="text1"/>
          <w:sz w:val="16"/>
          <w:szCs w:val="16"/>
        </w:rPr>
        <w:softHyphen/>
        <w:t xml:space="preserve">вершенно незначительную практику </w:t>
      </w:r>
      <w:r w:rsidRPr="00D03F3E">
        <w:rPr>
          <w:rFonts w:ascii="Times New Roman" w:hAnsi="Times New Roman"/>
          <w:iCs/>
          <w:color w:val="000000" w:themeColor="text1"/>
          <w:sz w:val="16"/>
          <w:szCs w:val="16"/>
        </w:rPr>
        <w:t xml:space="preserve">"в стрельбе по воздушной цели". </w:t>
      </w:r>
      <w:r w:rsidRPr="00D03F3E">
        <w:rPr>
          <w:rFonts w:ascii="Times New Roman" w:hAnsi="Times New Roman"/>
          <w:color w:val="000000" w:themeColor="text1"/>
          <w:sz w:val="16"/>
          <w:szCs w:val="16"/>
        </w:rPr>
        <w:t>Недо</w:t>
      </w:r>
      <w:r w:rsidRPr="00D03F3E">
        <w:rPr>
          <w:rFonts w:ascii="Times New Roman" w:hAnsi="Times New Roman"/>
          <w:color w:val="000000" w:themeColor="text1"/>
          <w:sz w:val="16"/>
          <w:szCs w:val="16"/>
        </w:rPr>
        <w:softHyphen/>
        <w:t>статочно отработан высший пилотаж. Самолета не чувствуют, в бою не мо</w:t>
      </w:r>
      <w:r w:rsidRPr="00D03F3E">
        <w:rPr>
          <w:rFonts w:ascii="Times New Roman" w:hAnsi="Times New Roman"/>
          <w:color w:val="000000" w:themeColor="text1"/>
          <w:sz w:val="16"/>
          <w:szCs w:val="16"/>
        </w:rPr>
        <w:softHyphen/>
        <w:t>гут выжать из самолета все то, что спо</w:t>
      </w:r>
      <w:r w:rsidRPr="00D03F3E">
        <w:rPr>
          <w:rFonts w:ascii="Times New Roman" w:hAnsi="Times New Roman"/>
          <w:color w:val="000000" w:themeColor="text1"/>
          <w:sz w:val="16"/>
          <w:szCs w:val="16"/>
        </w:rPr>
        <w:softHyphen/>
        <w:t>собен дать самолет.</w:t>
      </w:r>
    </w:p>
    <w:p w14:paraId="1D314E4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Весьма плохо решались штабами вопросы организации взаимодействия штурмовиков и истребителей и управ</w:t>
      </w:r>
      <w:r w:rsidRPr="00D03F3E">
        <w:rPr>
          <w:rFonts w:ascii="Times New Roman" w:hAnsi="Times New Roman"/>
          <w:color w:val="000000" w:themeColor="text1"/>
          <w:sz w:val="16"/>
          <w:szCs w:val="16"/>
        </w:rPr>
        <w:softHyphen/>
        <w:t>ления ими в бою, а также практичес</w:t>
      </w:r>
      <w:r w:rsidRPr="00D03F3E">
        <w:rPr>
          <w:rFonts w:ascii="Times New Roman" w:hAnsi="Times New Roman"/>
          <w:color w:val="000000" w:themeColor="text1"/>
          <w:sz w:val="16"/>
          <w:szCs w:val="16"/>
        </w:rPr>
        <w:softHyphen/>
        <w:t>кой отработки действий экипажей в со</w:t>
      </w:r>
      <w:r w:rsidRPr="00D03F3E">
        <w:rPr>
          <w:rFonts w:ascii="Times New Roman" w:hAnsi="Times New Roman"/>
          <w:color w:val="000000" w:themeColor="text1"/>
          <w:sz w:val="16"/>
          <w:szCs w:val="16"/>
        </w:rPr>
        <w:softHyphen/>
        <w:t>ставе своих групп. Тогда как именно от этих элементов боя во многом зави</w:t>
      </w:r>
      <w:r w:rsidRPr="00D03F3E">
        <w:rPr>
          <w:rFonts w:ascii="Times New Roman" w:hAnsi="Times New Roman"/>
          <w:color w:val="000000" w:themeColor="text1"/>
          <w:sz w:val="16"/>
          <w:szCs w:val="16"/>
        </w:rPr>
        <w:softHyphen/>
        <w:t>села боеспособность групп и жизнь са</w:t>
      </w:r>
      <w:r w:rsidRPr="00D03F3E">
        <w:rPr>
          <w:rFonts w:ascii="Times New Roman" w:hAnsi="Times New Roman"/>
          <w:color w:val="000000" w:themeColor="text1"/>
          <w:sz w:val="16"/>
          <w:szCs w:val="16"/>
        </w:rPr>
        <w:softHyphen/>
        <w:t>мих летчиков.</w:t>
      </w:r>
    </w:p>
    <w:p w14:paraId="0795901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Помощник командующего 1 7-й ВА по воздушно-стрелковой службе м-р Скаржинский в своем отчете на имя помощника командующего ВВС КА по воздушно-стрелковой службе генерал-майора Рафаловича о боевых действи</w:t>
      </w:r>
      <w:r w:rsidRPr="00D03F3E">
        <w:rPr>
          <w:rFonts w:ascii="Times New Roman" w:hAnsi="Times New Roman"/>
          <w:color w:val="000000" w:themeColor="text1"/>
          <w:sz w:val="16"/>
          <w:szCs w:val="16"/>
        </w:rPr>
        <w:softHyphen/>
        <w:t>ях армии в мае 1943 г. указывал, что основными причинами больших потерь в штурмовиках являются:</w:t>
      </w:r>
    </w:p>
    <w:p w14:paraId="0FC51A4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“...1</w:t>
      </w:r>
      <w:r w:rsidRPr="00D03F3E">
        <w:rPr>
          <w:rFonts w:ascii="Times New Roman" w:hAnsi="Times New Roman"/>
          <w:color w:val="000000" w:themeColor="text1"/>
          <w:sz w:val="16"/>
          <w:szCs w:val="16"/>
        </w:rPr>
        <w:t xml:space="preserve">/. </w:t>
      </w:r>
      <w:r w:rsidRPr="00D03F3E">
        <w:rPr>
          <w:rFonts w:ascii="Times New Roman" w:hAnsi="Times New Roman"/>
          <w:iCs/>
          <w:color w:val="000000" w:themeColor="text1"/>
          <w:sz w:val="16"/>
          <w:szCs w:val="16"/>
        </w:rPr>
        <w:t>Плохая организация вылетов, группы между со</w:t>
      </w:r>
      <w:r w:rsidRPr="00D03F3E">
        <w:rPr>
          <w:rFonts w:ascii="Times New Roman" w:hAnsi="Times New Roman"/>
          <w:iCs/>
          <w:color w:val="000000" w:themeColor="text1"/>
          <w:sz w:val="16"/>
          <w:szCs w:val="16"/>
        </w:rPr>
        <w:softHyphen/>
        <w:t>бой не слетаны.</w:t>
      </w:r>
    </w:p>
    <w:p w14:paraId="178D9C1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2. Истребители прикрытия из-за пло</w:t>
      </w:r>
      <w:r w:rsidRPr="00D03F3E">
        <w:rPr>
          <w:rFonts w:ascii="Times New Roman" w:hAnsi="Times New Roman"/>
          <w:iCs/>
          <w:color w:val="000000" w:themeColor="text1"/>
          <w:sz w:val="16"/>
          <w:szCs w:val="16"/>
        </w:rPr>
        <w:softHyphen/>
        <w:t>хой организации теряют штурмовики над целью и не умеют хорошо прикрывать Ил-2.</w:t>
      </w:r>
    </w:p>
    <w:p w14:paraId="2EA9DBB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3. Не отработана тактика обороны строя. У молодого летного состава пло</w:t>
      </w:r>
      <w:r w:rsidRPr="00D03F3E">
        <w:rPr>
          <w:rFonts w:ascii="Times New Roman" w:hAnsi="Times New Roman"/>
          <w:iCs/>
          <w:color w:val="000000" w:themeColor="text1"/>
          <w:sz w:val="16"/>
          <w:szCs w:val="16"/>
        </w:rPr>
        <w:softHyphen/>
        <w:t>хо отработана техника пилотирования - не могут держаться в строю ".</w:t>
      </w:r>
    </w:p>
    <w:p w14:paraId="455F18F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 мнению летчиков-истребителей, штурмовики повсеместно </w:t>
      </w:r>
      <w:r w:rsidRPr="00D03F3E">
        <w:rPr>
          <w:rFonts w:ascii="Times New Roman" w:hAnsi="Times New Roman"/>
          <w:iCs/>
          <w:color w:val="000000" w:themeColor="text1"/>
          <w:sz w:val="16"/>
          <w:szCs w:val="16"/>
        </w:rPr>
        <w:t>"не выполня</w:t>
      </w:r>
      <w:r w:rsidRPr="00D03F3E">
        <w:rPr>
          <w:rFonts w:ascii="Times New Roman" w:hAnsi="Times New Roman"/>
          <w:iCs/>
          <w:color w:val="000000" w:themeColor="text1"/>
          <w:sz w:val="16"/>
          <w:szCs w:val="16"/>
        </w:rPr>
        <w:softHyphen/>
        <w:t xml:space="preserve">ют режим полета к цели, действия у цели, уход от цели, сбор после атаки и возвращения на свои аэродромы". </w:t>
      </w:r>
      <w:r w:rsidRPr="00D03F3E">
        <w:rPr>
          <w:rFonts w:ascii="Times New Roman" w:hAnsi="Times New Roman"/>
          <w:color w:val="000000" w:themeColor="text1"/>
          <w:sz w:val="16"/>
          <w:szCs w:val="16"/>
        </w:rPr>
        <w:t>Вместо того, чтобы вести оборонитель</w:t>
      </w:r>
      <w:r w:rsidRPr="00D03F3E">
        <w:rPr>
          <w:rFonts w:ascii="Times New Roman" w:hAnsi="Times New Roman"/>
          <w:color w:val="000000" w:themeColor="text1"/>
          <w:sz w:val="16"/>
          <w:szCs w:val="16"/>
        </w:rPr>
        <w:softHyphen/>
        <w:t>ный бой при нападении немецких ис</w:t>
      </w:r>
      <w:r w:rsidRPr="00D03F3E">
        <w:rPr>
          <w:rFonts w:ascii="Times New Roman" w:hAnsi="Times New Roman"/>
          <w:color w:val="000000" w:themeColor="text1"/>
          <w:sz w:val="16"/>
          <w:szCs w:val="16"/>
        </w:rPr>
        <w:softHyphen/>
        <w:t xml:space="preserve">требителей, </w:t>
      </w:r>
      <w:r w:rsidRPr="00D03F3E">
        <w:rPr>
          <w:rFonts w:ascii="Times New Roman" w:hAnsi="Times New Roman"/>
          <w:iCs/>
          <w:color w:val="000000" w:themeColor="text1"/>
          <w:sz w:val="16"/>
          <w:szCs w:val="16"/>
        </w:rPr>
        <w:t>"имея отличное вооруже</w:t>
      </w:r>
      <w:r w:rsidRPr="00D03F3E">
        <w:rPr>
          <w:rFonts w:ascii="Times New Roman" w:hAnsi="Times New Roman"/>
          <w:iCs/>
          <w:color w:val="000000" w:themeColor="text1"/>
          <w:sz w:val="16"/>
          <w:szCs w:val="16"/>
        </w:rPr>
        <w:softHyphen/>
        <w:t xml:space="preserve">ние и хороший маневр", </w:t>
      </w:r>
      <w:r w:rsidRPr="00D03F3E">
        <w:rPr>
          <w:rFonts w:ascii="Times New Roman" w:hAnsi="Times New Roman"/>
          <w:color w:val="000000" w:themeColor="text1"/>
          <w:sz w:val="16"/>
          <w:szCs w:val="16"/>
        </w:rPr>
        <w:t xml:space="preserve">штурмовики стараются на скорости оторваться от противника. Как следствие, при уходе от цели группы Ил-2 растягиваются, одиночные самолеты отстают, </w:t>
      </w:r>
      <w:r w:rsidRPr="00D03F3E">
        <w:rPr>
          <w:rFonts w:ascii="Times New Roman" w:hAnsi="Times New Roman"/>
          <w:iCs/>
          <w:color w:val="000000" w:themeColor="text1"/>
          <w:sz w:val="16"/>
          <w:szCs w:val="16"/>
        </w:rPr>
        <w:t>"насти</w:t>
      </w:r>
      <w:r w:rsidRPr="00D03F3E">
        <w:rPr>
          <w:rFonts w:ascii="Times New Roman" w:hAnsi="Times New Roman"/>
          <w:iCs/>
          <w:color w:val="000000" w:themeColor="text1"/>
          <w:sz w:val="16"/>
          <w:szCs w:val="16"/>
        </w:rPr>
        <w:softHyphen/>
        <w:t xml:space="preserve">гаются противником и сбиваются". </w:t>
      </w:r>
      <w:r w:rsidRPr="00D03F3E">
        <w:rPr>
          <w:rFonts w:ascii="Times New Roman" w:hAnsi="Times New Roman"/>
          <w:color w:val="000000" w:themeColor="text1"/>
          <w:sz w:val="16"/>
          <w:szCs w:val="16"/>
        </w:rPr>
        <w:t>Обеспечить защиту растянутых боевых порядков от атак истребителей люфт</w:t>
      </w:r>
      <w:r w:rsidRPr="00D03F3E">
        <w:rPr>
          <w:rFonts w:ascii="Times New Roman" w:hAnsi="Times New Roman"/>
          <w:color w:val="000000" w:themeColor="text1"/>
          <w:sz w:val="16"/>
          <w:szCs w:val="16"/>
        </w:rPr>
        <w:softHyphen/>
        <w:t>ваффе практически оказывалось совер</w:t>
      </w:r>
      <w:r w:rsidRPr="00D03F3E">
        <w:rPr>
          <w:rFonts w:ascii="Times New Roman" w:hAnsi="Times New Roman"/>
          <w:color w:val="000000" w:themeColor="text1"/>
          <w:sz w:val="16"/>
          <w:szCs w:val="16"/>
        </w:rPr>
        <w:softHyphen/>
        <w:t>шенно невозможным. Истребителям со</w:t>
      </w:r>
      <w:r w:rsidRPr="00D03F3E">
        <w:rPr>
          <w:rFonts w:ascii="Times New Roman" w:hAnsi="Times New Roman"/>
          <w:color w:val="000000" w:themeColor="text1"/>
          <w:sz w:val="16"/>
          <w:szCs w:val="16"/>
        </w:rPr>
        <w:softHyphen/>
        <w:t xml:space="preserve">провождения приходилось </w:t>
      </w:r>
      <w:r w:rsidRPr="00D03F3E">
        <w:rPr>
          <w:rFonts w:ascii="Times New Roman" w:hAnsi="Times New Roman"/>
          <w:iCs/>
          <w:color w:val="000000" w:themeColor="text1"/>
          <w:sz w:val="16"/>
          <w:szCs w:val="16"/>
        </w:rPr>
        <w:t>"вести воз</w:t>
      </w:r>
      <w:r w:rsidRPr="00D03F3E">
        <w:rPr>
          <w:rFonts w:ascii="Times New Roman" w:hAnsi="Times New Roman"/>
          <w:iCs/>
          <w:color w:val="000000" w:themeColor="text1"/>
          <w:sz w:val="16"/>
          <w:szCs w:val="16"/>
        </w:rPr>
        <w:softHyphen/>
        <w:t>душный бой в невыгодных для себя ус</w:t>
      </w:r>
      <w:r w:rsidRPr="00D03F3E">
        <w:rPr>
          <w:rFonts w:ascii="Times New Roman" w:hAnsi="Times New Roman"/>
          <w:iCs/>
          <w:color w:val="000000" w:themeColor="text1"/>
          <w:sz w:val="16"/>
          <w:szCs w:val="16"/>
        </w:rPr>
        <w:softHyphen/>
        <w:t xml:space="preserve">ловиях рассредоточения по фронту, в глубину и по высоте" </w:t>
      </w:r>
      <w:r w:rsidRPr="00D03F3E">
        <w:rPr>
          <w:rFonts w:ascii="Times New Roman" w:hAnsi="Times New Roman"/>
          <w:color w:val="000000" w:themeColor="text1"/>
          <w:sz w:val="16"/>
          <w:szCs w:val="16"/>
        </w:rPr>
        <w:t>и нести потери в единоборстве с пилотами люфтваффе (11127).</w:t>
      </w:r>
    </w:p>
    <w:p w14:paraId="6C4E27A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55178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на 20 июня 1943 г. бомбардировщики 4-го и 6-го воздушных флотов совершили очередной налет на Саратов. Основной удар был вновь нанесен по крекинг-заводу им. Кирова, а также по нефтеналивным судам, стоявшим у причалов. В результате, по немецким данным, были потоплены два судна и еще два повреждено. Во время налета «Хейнкели» из эскадры KG55 «Грайф» были атакованы ночными истребителями. В результате на одном самолете из 7-й эскадрильи был выведен из строя левый мотор. Член его экипажа вспоминал:  «Мы болтаемся над Саратовом, в 800 км по ту сторону фронта. „Старик“, руководящий налетом, меняет курс и высоту над этой проклятой дырой, поскольку мы в этом драндулете чувствуем себя неподвижной мишенью для зенитной артиллерии. Дело лишь нескольких секунд – и это уже случилось: прожектор захватил нас, и, словно только это и требовалось, в то же самое мгновение над плоскостью проносится пучок желтых пулеметных трассеров. „Позади ночной истребитель!“ Крик бортрадиста обрывается, так как оглушительный удар бросает нас по углам. „Ящик“ пикирует как огненная комета. Левый двигатель горит, а слева и справа мимо нас все еще проносятся снопы трассеров. Дрожащие руки пытаются нащупать на груди кольцо парашюта, но это не удается. Перед нашими глазами крутятся стрелки приборов. Вокруг нас шумит воздушный поток. Ежеминутно в наших у шах может раздаться взрыв. Вдруг нас, словно грузом в центнер, вжимает в свои углы. Это «старик» выровнял наш «ящик». Альтиметр показывает 1000м. Времени нельзя было больше терять. Что с двигателем ? Он больше не горит, его винт лишь медленно вращается. Огонь, должно быть, сбило во время неистового пикирования». В ходе обстрела тяжелое ранение в голову получил бортрадист обер-фельдфебель Ханс Коббенхаген. Его рация превратилась в бесполезную груду металла и проводов. Вышла из строя вся электросистема бомбардировщика, и уцелевшим летчикам пришлось вручную качать топливо в единственный рабочий двигатель, от надежности которого теперь зависела их судьба. На высоте 1000 м поврежденный «Хейнкель» ковылял над негостеприимными русскими равнинами. Немецкий летчик продолжал свой рассказ:  «Теперь все зависит от надежной навигации. Однако как вести самолет, если точное местонахождение неизвестно? Тем не менее мы должны при помощи одного двигателя – если это вообще возможно – как-нибудь умудриться достичь линии фронта до рассвета. Если нам повезет, то красные ефрейторы будут спать около своих зенитных пушек. Если же они бодрствуют, то несут нас с неба как „хромую утку“. К сожалению, в этом не могло быть никаких сомнений. Ну, а если мы сможем пройти мимо, то еще нельзя быть увереным в том, что в сумерках наши собственные артиллеристы не пытаются сбить нас и нарисовать новое кольцо вокруг своих стволов… Мы выбрасываем из «ящика» все ненужное. Также вниз идет и часть горючего. «Ящик» становится легче и держится в воздухе лучше. На востоке встает бледная заря, наконец мы также можем ориентироваться по земле. Грозовой дождь позволяет нам благополучно миновать линию фронта. Наконец аэродром. При выходе стоек шасси мы видим, что левая шина расстреляна. Все же наш «старик» чисто сажает «ящик» на одно колесо. Посреди взлетно-посадочной полосы нас разворачивает, и мы едва не сталкиваемся с другой машиной…» (11774).</w:t>
      </w:r>
    </w:p>
    <w:p w14:paraId="14745D4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2C22D8"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на 20 июня 1943 года группа Р-10 23-го ШАП атаковала отряд немецких, боевых катеров, вынудив их к отходу под прикрытием дымзавесы. На рассвете в помощь Р-10 пришли семь штурмовиков Ил-2 под прикрытием двух истребителей и потопили три катера. Немецкие катерники вызвали на подмогу свою авиацию. В завязавшемся воздушном бою были сбиты Р-10 и Ил-2. Противник потерял один Me-109. 14 июля два Р-10 и пять Ил-2 вылетели на перехват крупного конвоя противника, состоявшего из 12 судов. В результате нанесенного удара был поврежден ряд кораблей и катеров (11456).</w:t>
      </w:r>
    </w:p>
    <w:p w14:paraId="6B41AA6F"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p>
    <w:p w14:paraId="513448BA"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5DD6F0B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DCB070" w14:textId="77777777" w:rsidR="00F1352A" w:rsidRPr="00D03F3E" w:rsidRDefault="00F1352A"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20 июня</w:t>
      </w:r>
      <w:r w:rsidRPr="00D03F3E">
        <w:rPr>
          <w:rFonts w:ascii="Times New Roman" w:hAnsi="Times New Roman"/>
          <w:color w:val="000000" w:themeColor="text1"/>
          <w:sz w:val="16"/>
          <w:szCs w:val="16"/>
        </w:rPr>
        <w:t xml:space="preserve"> в 1943 году совершил первый полет прототип «D-2» тяжелого истребителя </w:t>
      </w:r>
      <w:hyperlink r:id="rId207" w:tgtFrame="_blank" w:history="1">
        <w:r w:rsidRPr="00D03F3E">
          <w:rPr>
            <w:rFonts w:ascii="Times New Roman" w:hAnsi="Times New Roman"/>
            <w:color w:val="000000" w:themeColor="text1"/>
            <w:sz w:val="16"/>
            <w:szCs w:val="16"/>
          </w:rPr>
          <w:t xml:space="preserve">«Huges» «P-73». </w:t>
        </w:r>
      </w:hyperlink>
      <w:r w:rsidRPr="00D03F3E">
        <w:rPr>
          <w:rFonts w:ascii="Times New Roman" w:hAnsi="Times New Roman"/>
          <w:color w:val="000000" w:themeColor="text1"/>
          <w:sz w:val="16"/>
          <w:szCs w:val="16"/>
        </w:rPr>
        <w:t>Говард Хьюз в этот день дважды поднимал самолет в воздух. Хьюз отметил большие усилия на элеронах и склонность самолета переворачиваться на спину при полном газе сразу после уборки шасси. Чтобы исправить эти недостатки было решено увеличить размах крыла, но это мало помогло. Хьюз был вынужден признать, что «D-2» требует серьезных доработок, включая полное перепроектирование крыла и смену его профиля. Центроплан крыла был удлинен, что позволило вместить в него бомбоотсеки. После этих доработок самолет получил обозначение «</w:t>
      </w:r>
      <w:r w:rsidRPr="00D03F3E">
        <w:rPr>
          <w:rFonts w:ascii="Times New Roman" w:hAnsi="Times New Roman"/>
          <w:color w:val="000000" w:themeColor="text1"/>
          <w:sz w:val="16"/>
          <w:szCs w:val="16"/>
          <w:lang w:val="en-US"/>
        </w:rPr>
        <w:t>D</w:t>
      </w:r>
      <w:r w:rsidRPr="00D03F3E">
        <w:rPr>
          <w:rFonts w:ascii="Times New Roman" w:hAnsi="Times New Roman"/>
          <w:color w:val="000000" w:themeColor="text1"/>
          <w:sz w:val="16"/>
          <w:szCs w:val="16"/>
        </w:rPr>
        <w:t>-5» (14928).</w:t>
      </w:r>
    </w:p>
    <w:p w14:paraId="42696F03" w14:textId="77777777" w:rsidR="00F1352A" w:rsidRPr="00D03F3E" w:rsidRDefault="00F1352A" w:rsidP="00D03F3E">
      <w:pPr>
        <w:spacing w:after="0" w:line="240" w:lineRule="auto"/>
        <w:jc w:val="both"/>
        <w:rPr>
          <w:rFonts w:ascii="Times New Roman" w:hAnsi="Times New Roman"/>
          <w:color w:val="000000" w:themeColor="text1"/>
          <w:sz w:val="16"/>
          <w:szCs w:val="16"/>
        </w:rPr>
      </w:pPr>
    </w:p>
    <w:p w14:paraId="7BCBE36C" w14:textId="77777777" w:rsidR="00D94FD8" w:rsidRPr="00D03F3E" w:rsidRDefault="00D94FD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20 июня 1943 - Совершил первый полёт прототип D-2 тяжелого истребителя Huges P-73. Говард Хьюз в этот день дважды поднимал самолёт в воздух. Хьюз отметил большие усилия на элеронах и склонность самолёта переворачиваться на спину при полном газе сразу после уборки шасси. Чтобы исправить эти недостатки было решено увеличить размах крыла, но это мало помогло. Хьюз был вынужден признать, что D-2 требует серьезных доработок, включая полное перепроектирование крыла и смену его профиля. Центроплан крыла был удлинен, что позволило вместить в него бомбоотсеки. После этих доработок самолёт получил обозначение D-5.</w:t>
      </w:r>
    </w:p>
    <w:p w14:paraId="57E09B45" w14:textId="77777777" w:rsidR="00D94FD8" w:rsidRPr="00D03F3E" w:rsidRDefault="00D94FD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Из-за негативной реакции официальных кругов, Хьюз был вынужден продолжать работу на свои собственные средства. В ноябре 1944 г, когда работы по переоборудованию в D-5 всё ещё продолжались, самолёт был уничтожен во время случайного пожара (22455).</w:t>
      </w:r>
    </w:p>
    <w:p w14:paraId="5EB19BC7" w14:textId="77777777" w:rsidR="00D94FD8" w:rsidRPr="00D03F3E" w:rsidRDefault="00D94FD8" w:rsidP="00D03F3E">
      <w:pPr>
        <w:spacing w:after="0" w:line="240" w:lineRule="auto"/>
        <w:jc w:val="both"/>
        <w:rPr>
          <w:rFonts w:ascii="Times New Roman" w:hAnsi="Times New Roman"/>
          <w:color w:val="0070C0"/>
          <w:sz w:val="16"/>
          <w:szCs w:val="16"/>
        </w:rPr>
      </w:pPr>
    </w:p>
    <w:p w14:paraId="61D49403"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июня 1943 Британская авиация провела операцию "Bellicose". Это была первая "челночная" бомбардировка Германии и Италии , проведённая авиацией союзников. Бомбардировщики , взлетевшие с военных баз в Англии нанесли бомбовый удар по сталелитейным заводам в городе Фридрихсхафен , на юго-западе Германии. Отбомбившись они улетели на аэродромы союзников в Алжире. Заправившись там , они отправились на бомбардировку итальянской военно-морской базы в La Spezia (4963 ).</w:t>
      </w:r>
    </w:p>
    <w:p w14:paraId="333F33B2"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E6F80E" w14:textId="77777777" w:rsidR="00D94FD8" w:rsidRPr="00D03F3E" w:rsidRDefault="00D94FD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20 июня 1943 налеты на Winnellie и Дарвин в Австралии ВВС японской армии ВВС в составе 18 Kawasaki Ki-48 (отчетность Allied имя „Лили“) и Nakajima Ki-49 (ОВС название отчетности„Хелен“), сопровождаемых 22 истребителями Накадзима Ки-43 (союзники называют "Оскар"), причем Ki-49 поражает Виннелли, а Ki-48 бомбят Виннелли и Дарвина. Сорок шесть истребителей Spitfire Mark V ВВС Австралии перехватывают японцев. В ходе боя японцы заявляют, что девять спитфайров были сбиты и шесть вероятных, а австралийцы утверждают, что сбили девять бомбардировщиков и пять истребителей. Фактические потери японцев - это один сбитый Ki-43 и один Ki-49, два Ki-48 и один Ki-49, совершившие вынужденную посадку после возвращения на базу, в то время как потери Австралии составляют три потери и два пилота (20376).</w:t>
      </w:r>
    </w:p>
    <w:p w14:paraId="50C71F3B" w14:textId="77777777" w:rsidR="00D94FD8" w:rsidRPr="00D03F3E" w:rsidRDefault="00D94FD8" w:rsidP="00D03F3E">
      <w:pPr>
        <w:spacing w:after="0" w:line="240" w:lineRule="auto"/>
        <w:jc w:val="both"/>
        <w:rPr>
          <w:rFonts w:ascii="Times New Roman" w:hAnsi="Times New Roman"/>
          <w:color w:val="0070C0"/>
          <w:sz w:val="16"/>
          <w:szCs w:val="16"/>
        </w:rPr>
      </w:pPr>
    </w:p>
    <w:p w14:paraId="1AAF102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June 20th, 1943: 60 RAF bombers launch the first British shuttle raid: after bombing the radar works at Friedrichshafen, they fly on to Algiers to refuel and then return to England (3819).</w:t>
      </w:r>
    </w:p>
    <w:p w14:paraId="490A7B0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21DDE5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June 20 1943 Royal Air Force makes first shuttle-bombing raid between England and North Africa (1037).</w:t>
      </w:r>
    </w:p>
    <w:p w14:paraId="3EE73E3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84AADE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июня 1943 RAF выполнили первую челночную бомбардировку между Англией и Южной Африкой (1037).</w:t>
      </w:r>
    </w:p>
    <w:p w14:paraId="73FF572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BF6F40"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июня 1943 в Северной Канаде обнаружен Новый Квебекский кратер, один из самых больших в мире (4962).</w:t>
      </w:r>
    </w:p>
    <w:p w14:paraId="3C1BBC4C"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13857B"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7AF4794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DE72F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июня 1943 А.И.Ш. переслал И.В.С. записку ГК П.О.С. по вопросу увеличения дальности 2-х местного и одноместного бронированных штурмовиков с М-71, полученную от П.О.С. в тот же день:</w:t>
      </w:r>
    </w:p>
    <w:p w14:paraId="63ED281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"Докладываю по порученному Вами вопросу увеличения дальности полета Су-6 с М-71.</w:t>
      </w:r>
    </w:p>
    <w:p w14:paraId="1C28340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полета у земли на режиме 0.9 макс. скорости - 440 км/час равна 650 км, продолжительность полета - 1.3 час.</w:t>
      </w:r>
    </w:p>
    <w:p w14:paraId="4D60CE6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полете на скорости 380 км/час дальность равна 750 км/час, продолжительность - 2 часа</w:t>
      </w:r>
    </w:p>
    <w:p w14:paraId="15DC1C4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установке добавочного бака в 200 кг дальность одноместного возрастает на скорости 440 км/час до 850 км (1.9 час), на 380 км/час - до 1000 км (2.6 час.).</w:t>
      </w:r>
    </w:p>
    <w:p w14:paraId="383623E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Добавочный бак в 2 самолет не может быть установлен из-за условий предельного веса и габаритов (1698,93).</w:t>
      </w:r>
    </w:p>
    <w:p w14:paraId="100CAA7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F464A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C 21 июня по 10 августа 1943 состоялись дополнительные испытания Ла-7 М-71. 13 полетов, 5 час. 22 мин. (739,33).</w:t>
      </w:r>
    </w:p>
    <w:p w14:paraId="4AC566A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00F429" w14:textId="77777777" w:rsidR="00E10C4E" w:rsidRPr="00D03F3E" w:rsidRDefault="00E10C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На 21 июля 1943 г. общая готовность ТИС (МА) оценивалась в 25%.</w:t>
      </w:r>
    </w:p>
    <w:p w14:paraId="49A37F4B" w14:textId="77777777" w:rsidR="00E10C4E" w:rsidRPr="00D03F3E" w:rsidRDefault="00E10C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течение августа шла «утряска» проектных дан</w:t>
      </w:r>
      <w:r w:rsidRPr="00D03F3E">
        <w:rPr>
          <w:color w:val="000000" w:themeColor="text1"/>
          <w:sz w:val="16"/>
          <w:szCs w:val="16"/>
        </w:rPr>
        <w:softHyphen/>
        <w:t>ных самолета, состава вооружения, компоновочных решений и т.д. Выполнялся «демонтаж самолета под модернизацию», переделывался фюзеляж, из</w:t>
      </w:r>
      <w:r w:rsidRPr="00D03F3E">
        <w:rPr>
          <w:color w:val="000000" w:themeColor="text1"/>
          <w:sz w:val="16"/>
          <w:szCs w:val="16"/>
        </w:rPr>
        <w:softHyphen/>
        <w:t>готавливались и монтировались моторные рамы под АМ-39, новые консоли, носовая батарея пушек ШВАК. Радиаторы водяного охлаждения из мото</w:t>
      </w:r>
      <w:r w:rsidRPr="00D03F3E">
        <w:rPr>
          <w:color w:val="000000" w:themeColor="text1"/>
          <w:sz w:val="16"/>
          <w:szCs w:val="16"/>
        </w:rPr>
        <w:softHyphen/>
        <w:t>гондол перенесли в консольную часть крыла с воз</w:t>
      </w:r>
      <w:r w:rsidRPr="00D03F3E">
        <w:rPr>
          <w:color w:val="000000" w:themeColor="text1"/>
          <w:sz w:val="16"/>
          <w:szCs w:val="16"/>
        </w:rPr>
        <w:softHyphen/>
        <w:t>духозаборниками в передней кромке и выходными управляемыми створками на нижней поверхности консоли. Форма моторных гондол стала более со</w:t>
      </w:r>
      <w:r w:rsidRPr="00D03F3E">
        <w:rPr>
          <w:color w:val="000000" w:themeColor="text1"/>
          <w:sz w:val="16"/>
          <w:szCs w:val="16"/>
        </w:rPr>
        <w:softHyphen/>
        <w:t>вершенной в аэродинамическом отношении. По согласованию с военными демонтировали за нена</w:t>
      </w:r>
      <w:r w:rsidRPr="00D03F3E">
        <w:rPr>
          <w:color w:val="000000" w:themeColor="text1"/>
          <w:sz w:val="16"/>
          <w:szCs w:val="16"/>
        </w:rPr>
        <w:softHyphen/>
        <w:t>добностью люковую установку КЛУ-2 с пулеметом ШКАС (17500).</w:t>
      </w:r>
    </w:p>
    <w:p w14:paraId="20573524" w14:textId="77777777" w:rsidR="00E10C4E" w:rsidRPr="00D03F3E" w:rsidRDefault="00E10C4E" w:rsidP="00D03F3E">
      <w:pPr>
        <w:spacing w:after="0" w:line="240" w:lineRule="auto"/>
        <w:jc w:val="both"/>
        <w:rPr>
          <w:rFonts w:ascii="Times New Roman" w:eastAsia="Times New Roman" w:hAnsi="Times New Roman"/>
          <w:color w:val="000000" w:themeColor="text1"/>
          <w:sz w:val="16"/>
          <w:szCs w:val="16"/>
          <w:lang w:eastAsia="ru-RU"/>
        </w:rPr>
      </w:pPr>
    </w:p>
    <w:p w14:paraId="4C9E783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21 июня 1943 вышло постановление ГКО от N 3622с "О выпуске заводом 22 самолетов Пе-2 с М-82Ф" (1734,70). Хотели 100 машин на 1943, в т.ч. 15 в августе, 35 в </w:t>
      </w:r>
      <w:r w:rsidRPr="00D03F3E">
        <w:rPr>
          <w:rFonts w:ascii="Times New Roman" w:hAnsi="Times New Roman"/>
          <w:color w:val="000000" w:themeColor="text1"/>
          <w:sz w:val="16"/>
          <w:szCs w:val="16"/>
        </w:rPr>
        <w:lastRenderedPageBreak/>
        <w:t>сентябре и 50 в октябре 1943. К 1 августа обязали предъявить серийную машину со скоростью 545 км/час и дальностью 1100 км (2205,41).</w:t>
      </w:r>
    </w:p>
    <w:p w14:paraId="7676195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B7E0A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июня 1943 вышло Постановление ГКО № 3622 О выпуске заводом № 22 НКАП самолетов Пе-2 с моторами М-82Ф.РГАНИР, Фонд ГКО, д. 128, лл. 22 (11012).</w:t>
      </w:r>
    </w:p>
    <w:p w14:paraId="48320E7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4654F6" w14:textId="77777777" w:rsidR="00D94FD8" w:rsidRPr="00D03F3E" w:rsidRDefault="00D94FD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shd w:val="clear" w:color="auto" w:fill="FFFFFF"/>
        </w:rPr>
        <w:t>21 июня 1943 года</w:t>
      </w:r>
      <w:r w:rsidRPr="00D03F3E">
        <w:rPr>
          <w:rFonts w:ascii="Times New Roman" w:hAnsi="Times New Roman"/>
          <w:color w:val="0070C0"/>
          <w:sz w:val="16"/>
          <w:szCs w:val="16"/>
        </w:rPr>
        <w:t xml:space="preserve"> несмотря на тор, что опытный Пе-2 2М-82 19/31 был забракован, вышло Постановление ГКО № 3622с «О выпуске заводом 22 самолетов Пе-2 с М-82Ф» и приказ НКАП № 374сс обязывали сдать в 1943 г. 100 Пе-2 2М-82Ф (Пе-4): 15 — в августе, 35 — в сентябре и 50 — в октябре (22828).</w:t>
      </w:r>
    </w:p>
    <w:p w14:paraId="3F364998" w14:textId="77777777" w:rsidR="00D94FD8" w:rsidRPr="00D03F3E" w:rsidRDefault="00D94FD8" w:rsidP="00D03F3E">
      <w:pPr>
        <w:spacing w:after="0" w:line="240" w:lineRule="auto"/>
        <w:jc w:val="both"/>
        <w:rPr>
          <w:rFonts w:ascii="Times New Roman" w:hAnsi="Times New Roman"/>
          <w:color w:val="0070C0"/>
          <w:sz w:val="16"/>
          <w:szCs w:val="16"/>
        </w:rPr>
      </w:pPr>
    </w:p>
    <w:p w14:paraId="4361634A" w14:textId="77777777" w:rsidR="00453864" w:rsidRPr="00D03F3E" w:rsidRDefault="0045386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июня 1943 вышло Постановление ГКО № 3622 О выпуске заводом № 22 НКАП самолетов Пе-2 с моторами М-82Ф</w:t>
      </w:r>
    </w:p>
    <w:p w14:paraId="0A2ADDFC" w14:textId="77777777" w:rsidR="00453864" w:rsidRPr="00D03F3E"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Государственный Комитет Обороны постановляет:</w:t>
      </w:r>
    </w:p>
    <w:p w14:paraId="2992C6B1" w14:textId="77777777" w:rsidR="00453864" w:rsidRPr="00D03F3E"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1. Обязать Наркомавиапром т.Шахурина. директора завода № 22 т.Окулова и главного конструктора т.Мясищева:</w:t>
      </w:r>
    </w:p>
    <w:p w14:paraId="7EDD4C57" w14:textId="77777777" w:rsidR="00453864" w:rsidRPr="00D03F3E" w:rsidRDefault="00453864" w:rsidP="00D03F3E">
      <w:pPr>
        <w:pStyle w:val="36"/>
        <w:shd w:val="clear" w:color="auto" w:fill="auto"/>
        <w:tabs>
          <w:tab w:val="left" w:pos="1025"/>
        </w:tabs>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а) наряду с серийным выпуском самолетов ПТе-2 с</w:t>
      </w:r>
      <w:r w:rsidRPr="00D03F3E">
        <w:rPr>
          <w:rStyle w:val="afffff4"/>
          <w:rFonts w:ascii="Times New Roman" w:hAnsi="Times New Roman" w:cs="Times New Roman"/>
          <w:color w:val="000000" w:themeColor="text1"/>
        </w:rPr>
        <w:t xml:space="preserve"> мотором </w:t>
      </w:r>
      <w:r w:rsidRPr="00D03F3E">
        <w:rPr>
          <w:rFonts w:ascii="Times New Roman" w:cs="Times New Roman"/>
          <w:color w:val="000000" w:themeColor="text1"/>
          <w:spacing w:val="0"/>
          <w:sz w:val="16"/>
          <w:szCs w:val="16"/>
        </w:rPr>
        <w:t>М-105ПФ выпустить 100 самолетов Пе-2 с моторами М-82Ф,в следую</w:t>
      </w:r>
      <w:r w:rsidRPr="00D03F3E">
        <w:rPr>
          <w:rFonts w:ascii="Times New Roman" w:cs="Times New Roman"/>
          <w:color w:val="000000" w:themeColor="text1"/>
          <w:spacing w:val="0"/>
          <w:sz w:val="16"/>
          <w:szCs w:val="16"/>
        </w:rPr>
        <w:softHyphen/>
        <w:t>щие сроки:</w:t>
      </w:r>
    </w:p>
    <w:p w14:paraId="0AC68FDB" w14:textId="77777777" w:rsidR="00453864" w:rsidRPr="00D03F3E"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в августе - 15</w:t>
      </w:r>
    </w:p>
    <w:p w14:paraId="7E898DE9" w14:textId="77777777" w:rsidR="00453864" w:rsidRPr="00D03F3E"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в сентябре - 35</w:t>
      </w:r>
    </w:p>
    <w:p w14:paraId="7E161D2D" w14:textId="77777777" w:rsidR="00453864" w:rsidRPr="00D03F3E"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в октябре - 50</w:t>
      </w:r>
    </w:p>
    <w:p w14:paraId="316A392A" w14:textId="77777777" w:rsidR="00453864" w:rsidRPr="00D03F3E" w:rsidRDefault="00453864" w:rsidP="00D03F3E">
      <w:pPr>
        <w:pStyle w:val="36"/>
        <w:shd w:val="clear" w:color="auto" w:fill="auto"/>
        <w:tabs>
          <w:tab w:val="left" w:pos="1025"/>
        </w:tabs>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б) самолеты Пе-2 с моторами М-82Ф в варианте бомбардиров</w:t>
      </w:r>
      <w:r w:rsidRPr="00D03F3E">
        <w:rPr>
          <w:rFonts w:ascii="Times New Roman" w:cs="Times New Roman"/>
          <w:color w:val="000000" w:themeColor="text1"/>
          <w:spacing w:val="0"/>
          <w:sz w:val="16"/>
          <w:szCs w:val="16"/>
        </w:rPr>
        <w:softHyphen/>
        <w:t>щике выпустить со следующими денными:</w:t>
      </w:r>
    </w:p>
    <w:p w14:paraId="531FD6CD" w14:textId="77777777" w:rsidR="00453864" w:rsidRPr="00D03F3E"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максимальная скорость:</w:t>
      </w:r>
    </w:p>
    <w:p w14:paraId="07804873" w14:textId="77777777" w:rsidR="00453864" w:rsidRPr="00D03F3E"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у земли: на нормальном режиме - 460 км/час</w:t>
      </w:r>
    </w:p>
    <w:p w14:paraId="5F680C50" w14:textId="77777777" w:rsidR="00453864" w:rsidRPr="00D03F3E"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на форсированном режиме - 485</w:t>
      </w:r>
    </w:p>
    <w:p w14:paraId="35AD3D2B" w14:textId="77777777" w:rsidR="00453864" w:rsidRPr="00D03F3E"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на высоте 6000 мт - 545</w:t>
      </w:r>
    </w:p>
    <w:p w14:paraId="521067DF" w14:textId="77777777" w:rsidR="00453864" w:rsidRPr="00D03F3E"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дальность полета на - 0,8 от максимальной скорости</w:t>
      </w:r>
      <w:r w:rsidRPr="00D03F3E">
        <w:rPr>
          <w:rFonts w:ascii="Times New Roman" w:cs="Times New Roman"/>
          <w:color w:val="000000" w:themeColor="text1"/>
          <w:spacing w:val="0"/>
          <w:sz w:val="16"/>
          <w:szCs w:val="16"/>
        </w:rPr>
        <w:tab/>
        <w:t>- 1100 км</w:t>
      </w:r>
    </w:p>
    <w:p w14:paraId="5A6DBA44" w14:textId="77777777" w:rsidR="00453864" w:rsidRPr="00D03F3E" w:rsidRDefault="00453864" w:rsidP="00D03F3E">
      <w:pPr>
        <w:pStyle w:val="36"/>
        <w:shd w:val="clear" w:color="auto" w:fill="auto"/>
        <w:tabs>
          <w:tab w:val="left" w:pos="5245"/>
        </w:tabs>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нормальная бомбовая нагрузка</w:t>
      </w:r>
      <w:r w:rsidRPr="00D03F3E">
        <w:rPr>
          <w:rFonts w:ascii="Times New Roman" w:cs="Times New Roman"/>
          <w:color w:val="000000" w:themeColor="text1"/>
          <w:spacing w:val="0"/>
          <w:sz w:val="16"/>
          <w:szCs w:val="16"/>
        </w:rPr>
        <w:tab/>
        <w:t>- 600 кг</w:t>
      </w:r>
    </w:p>
    <w:p w14:paraId="3E8F9DE4" w14:textId="77777777" w:rsidR="00453864" w:rsidRPr="00D03F3E"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вооружение:вперед - один пулемет Березина калибра 12.7мм в носо вой части фюзеляжа с боезапасом 150 пэтрон назад - один пулемет Березина калибра 12,7мм на"по</w:t>
      </w:r>
      <w:r w:rsidRPr="00D03F3E">
        <w:rPr>
          <w:rFonts w:ascii="Times New Roman" w:cs="Times New Roman"/>
          <w:color w:val="000000" w:themeColor="text1"/>
          <w:spacing w:val="0"/>
          <w:sz w:val="16"/>
          <w:szCs w:val="16"/>
        </w:rPr>
        <w:softHyphen/>
        <w:t>движной установке штурмана с боезапасом 200 патрон</w:t>
      </w:r>
    </w:p>
    <w:p w14:paraId="26A90FD8" w14:textId="77777777" w:rsidR="00453864" w:rsidRPr="00D03F3E" w:rsidRDefault="00453864" w:rsidP="00D03F3E">
      <w:pPr>
        <w:pStyle w:val="36"/>
        <w:shd w:val="clear" w:color="auto" w:fill="auto"/>
        <w:tabs>
          <w:tab w:val="left" w:pos="2140"/>
        </w:tabs>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один пулемет Березина калибра 12,7мм на лю</w:t>
      </w:r>
      <w:r w:rsidRPr="00D03F3E">
        <w:rPr>
          <w:rFonts w:ascii="Times New Roman" w:cs="Times New Roman"/>
          <w:color w:val="000000" w:themeColor="text1"/>
          <w:spacing w:val="0"/>
          <w:sz w:val="16"/>
          <w:szCs w:val="16"/>
        </w:rPr>
        <w:softHyphen/>
        <w:t xml:space="preserve">ковой установке стрелка радиста с боезапасо; </w:t>
      </w:r>
      <w:r w:rsidRPr="00D03F3E">
        <w:rPr>
          <w:rFonts w:ascii="Times New Roman" w:cs="Times New Roman"/>
          <w:color w:val="000000" w:themeColor="text1"/>
          <w:spacing w:val="0"/>
          <w:sz w:val="16"/>
          <w:szCs w:val="16"/>
          <w:vertAlign w:val="superscript"/>
        </w:rPr>
        <w:t>в</w:t>
      </w:r>
      <w:r w:rsidRPr="00D03F3E">
        <w:rPr>
          <w:rFonts w:ascii="Times New Roman" w:cs="Times New Roman"/>
          <w:color w:val="000000" w:themeColor="text1"/>
          <w:spacing w:val="0"/>
          <w:sz w:val="16"/>
          <w:szCs w:val="16"/>
          <w:vertAlign w:val="superscript"/>
        </w:rPr>
        <w:tab/>
      </w:r>
      <w:r w:rsidRPr="00D03F3E">
        <w:rPr>
          <w:rFonts w:ascii="Times New Roman" w:cs="Times New Roman"/>
          <w:color w:val="000000" w:themeColor="text1"/>
          <w:spacing w:val="0"/>
          <w:sz w:val="16"/>
          <w:szCs w:val="16"/>
          <w:vertAlign w:val="superscript"/>
          <w:lang w:val="en-US"/>
        </w:rPr>
        <w:t>v</w:t>
      </w:r>
      <w:r w:rsidRPr="00D03F3E">
        <w:rPr>
          <w:rFonts w:ascii="Times New Roman" w:cs="Times New Roman"/>
          <w:color w:val="000000" w:themeColor="text1"/>
          <w:spacing w:val="0"/>
          <w:sz w:val="16"/>
          <w:szCs w:val="16"/>
        </w:rPr>
        <w:t xml:space="preserve"> 200 патрон</w:t>
      </w:r>
    </w:p>
    <w:p w14:paraId="3ED1870B" w14:textId="77777777" w:rsidR="00453864" w:rsidRPr="00D03F3E"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бомбовые эамки в мотогондолах для подвески двух 100 кг| бомб,внутренняя подвеска в фюзеляже 4-х бомб по 100 кг в 4 замка для наружной под</w:t>
      </w:r>
      <w:r w:rsidRPr="00D03F3E">
        <w:rPr>
          <w:rFonts w:ascii="Times New Roman" w:cs="Times New Roman"/>
          <w:color w:val="000000" w:themeColor="text1"/>
          <w:spacing w:val="0"/>
          <w:sz w:val="16"/>
          <w:szCs w:val="16"/>
        </w:rPr>
        <w:softHyphen/>
        <w:t>вески бомб.</w:t>
      </w:r>
    </w:p>
    <w:p w14:paraId="073685F8" w14:textId="77777777" w:rsidR="00453864" w:rsidRPr="00D03F3E" w:rsidRDefault="00453864" w:rsidP="00D03F3E">
      <w:pPr>
        <w:pStyle w:val="36"/>
        <w:shd w:val="clear" w:color="auto" w:fill="auto"/>
        <w:tabs>
          <w:tab w:val="left" w:pos="1010"/>
        </w:tabs>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2. Первый самолет Пе-2 с М-82Ф с указанными в п. 1 данными пред"явить для повторных госиспытаний в НИИ 1 августа 1943 года.</w:t>
      </w:r>
    </w:p>
    <w:p w14:paraId="51BE2DD2" w14:textId="77777777" w:rsidR="00453864" w:rsidRPr="00D03F3E" w:rsidRDefault="00453864" w:rsidP="00D03F3E">
      <w:pPr>
        <w:pStyle w:val="36"/>
        <w:shd w:val="clear" w:color="auto" w:fill="auto"/>
        <w:tabs>
          <w:tab w:val="left" w:pos="1018"/>
        </w:tabs>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3. Командующему ВВС КА т.Новикову обеспечить проведение в НИИ ВВС поверочных испытаний первого самолета Пе-2 с моторами М-82Ф в -течение 15 дней.</w:t>
      </w:r>
    </w:p>
    <w:p w14:paraId="07F0AA02" w14:textId="77777777" w:rsidR="00453864" w:rsidRPr="00D03F3E" w:rsidRDefault="00453864" w:rsidP="00D03F3E">
      <w:pPr>
        <w:pStyle w:val="36"/>
        <w:shd w:val="clear" w:color="auto" w:fill="auto"/>
        <w:tabs>
          <w:tab w:val="left" w:pos="1003"/>
        </w:tabs>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3. Во изменение решения ГОКО от 28.У.1943 годе за №3449сс освободить заводд № 22 в 1943 году от выпуске самолетов Пе-2 в истребительном варианте (19411).</w:t>
      </w:r>
    </w:p>
    <w:p w14:paraId="36B6C49A" w14:textId="77777777" w:rsidR="00453864" w:rsidRPr="00D03F3E" w:rsidRDefault="00453864"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A1126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июня 1943 г. Постановлением ГКО № 3622 заводу № 22 ставилась задача выпуска самолетов Пе-2 с М-82Ф на 1943 г. в количестве 100 машин (15 - в августе, 35 - в сентябре и 50 - в октябре). В этом документе вариант Пе-2 с моторами воздушного охлаждения вполне официально предлагалось именовать Пе-4, однако новое название по каким-то причинам не прижилось. К 1 августа 1943 г. завод должен был предъявить на госиспытания головную серийную машину со следующими основными летно-техническими данными: максимальной скоростью у земли на форсаже - 480 км/ч, максимальной скоростью на высоте 6000 м - 545 км/ч и дальностью полета - 1100 км. На проведение испытаний выделялось всего 15 дней.</w:t>
      </w:r>
    </w:p>
    <w:p w14:paraId="6A4CA83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августе 1943 г. завод № 22 сумел собрать только пять Пе-2 с двигателями М-82-112 и винтами ВИШ-105В. Как в случае с разведчиками и учебными вариантами "пешек", машины с М-82 выпускались как бы "внутри" обычных 20-самолетных серий. Первым стал самолет зав. №1/226, затем сделали по одной - две машины в сериях с 227-й по 243-ю, а вот 244-я серия почти целиком оснащалась "швецовскими" моторами. На этих бомбардировщиках внедрили все новинки, появившиеся к тому времени на серийных Пе-2, втом числе фонарь пилотской кабины со сдвинутой вперед мачтой радиоантенны и усовершенствованную турель ВУБ-1 у штурмана. Чуть раньше, чем на серийных машинах с М-105ПФ, появился расширенный верхний люк стрелка-радиста.</w:t>
      </w:r>
    </w:p>
    <w:p w14:paraId="19DDAD1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облегчения самолета и улучшения его аэродинамики пулеметы ШКАС у пилота и стрелка-радиста были сняты, что впоследствии подвергалось критике в строевых частях. На обычных "пешках" носовой ШКАС с большим боекомплектом нередко использовали для пристрелки. Бомбоотсеки в мотогондолах на серийных Пе-2 с М-82 восстановили. От свинцового груза в хвосте отказались, заменив его железной плитой, установленной между 12-м и 13-м шпангоутами хвостовой секции в качестве дополнительной зашиты стрелка. Кроме того, аккумулятор и кислородные баллоны перенесли дальше в хвост.</w:t>
      </w:r>
    </w:p>
    <w:p w14:paraId="6846B2F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Мясищев планирован продолжение работ воздухозаборника по совершенствованию типа Пе-4 путем уста новки нового фонаря с турелью "ФЗ", изменение конструкции средней секции фюзеляжа по типу Пе-2Ф и увеличение внутренней бомбовой нагрузки, но этот вариант машины, названный Пе-4А, так и не построили.</w:t>
      </w:r>
    </w:p>
    <w:p w14:paraId="7B4C4C2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32 изготовленных серийных Пе-2 со звездообразными двигателями военной приемке были сданы только 24 (из них 10 - в 1944 г.). Несмотря на столь небольшое количество машин, они появились на фронте и участвовали в боевых действиях. Серийный самолет Пе-2 с М-82 испытывался в НИИ ВВС в периоде января по март 1944 г., причем это был не зав. № 1/226 (на нем входе заводских испытаний на одном из моторов оборвался шатун, и самолет вышел из строя), а машина зав. № 1/232. Из-за неудовлетворительной работы карбюраторов и высотных корректоров двигатели на высоте более 3000-4000 м не развивали полную мощность, поэтому максимальная скорость самолета на второй границе высотности оказалась меньше, чем на первой границе (526 км/ч). Летчик-испытатель генерал- майор авиации П.М. Стефановский в донесении об облете серийного Пе-2 с М-82 написал:</w:t>
      </w:r>
    </w:p>
    <w:p w14:paraId="3912444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"Положительным качеством данного самолета является возможность производить полеты на одном моторе с полетным весом 8300 кг как с убранными, так и с выпущенными шасси... Глиссада планирования за счет больших оборотов моторов с убранным газом несколько более пологая... В остальном самолет остается таким же сложным и неудобным для экипажа, как и серийные самолеты Пе-2 с М-105ПФ".</w:t>
      </w:r>
    </w:p>
    <w:p w14:paraId="0CD1C54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Основными причинами, сдерживавшими серийный выпуск Пе-2 с моторами воздушного охлаждения, оказались очень низкое качество маслорадиаторов и дефицитность самих двигателей, прежний резерв которых "съели" истребители Ла-5. Остается загадкой, как мог Государственный Комитет Обороны планировать массовый выпуск "пешек" с М-82, если их не хватало даже для самолетов Лавочкина (12042).</w:t>
      </w:r>
    </w:p>
    <w:p w14:paraId="668A608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A6012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июня 1943 Зам. Нач. Секретариата НКАП И.Фирсаев направил Нач. Секретариата Ком. ВВС Петровой письмо N Н-34/2472 в сопровождение для доклада на подпись Новикова и Репина "Плана строительства опытных самолетов и модификаций серийных самолетов на 1943 (1784,157).</w:t>
      </w:r>
    </w:p>
    <w:p w14:paraId="2C87BE9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A68263"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июня</w:t>
      </w:r>
      <w:r w:rsidRPr="00D03F3E">
        <w:rPr>
          <w:rFonts w:ascii="Times New Roman" w:hAnsi="Times New Roman"/>
          <w:color w:val="000000" w:themeColor="text1"/>
          <w:sz w:val="16"/>
          <w:szCs w:val="16"/>
        </w:rPr>
        <w:t xml:space="preserve"> в 1943 году создание опытного конструкторского бюро (подразделения авиастроительного КБ В.Ф.Болховитинова) по разработке жидкостных ракетных двигателей под руководством A.M.Исаева - ныне Федеральное государственное унитарное предприятие «Конструкторского бюро химического машиностроения имени A.M.Исаева», город Королев Московской области. Организацией создано более 120 типов жидкостных ракетных двигателей и двигательных установок для ракетной и космической техники, в том числе космического корабля «Восток», пилотируемого Ю.А.Гагариным. Основные направления деятельности: разработка и создание жидкостных ракетных двигателей и двигательных установок для пилотируемых и автоматических космических аппаратов, разгонных блоков; турбонасосных агрегатов; высокоэффективных насосов для различных жидкостей (14929).</w:t>
      </w:r>
    </w:p>
    <w:p w14:paraId="04E4F546" w14:textId="77777777" w:rsidR="00E10840" w:rsidRPr="00D03F3E" w:rsidRDefault="00E10840" w:rsidP="00D03F3E">
      <w:pPr>
        <w:spacing w:after="0" w:line="240" w:lineRule="auto"/>
        <w:jc w:val="both"/>
        <w:rPr>
          <w:rFonts w:ascii="Times New Roman" w:hAnsi="Times New Roman"/>
          <w:color w:val="000000" w:themeColor="text1"/>
          <w:sz w:val="16"/>
          <w:szCs w:val="16"/>
        </w:rPr>
      </w:pPr>
    </w:p>
    <w:p w14:paraId="5EA221B8" w14:textId="77777777" w:rsidR="00E10840"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21 июня по 4 июля 1943 ВИАМ провел семинар по вопросам технологии обработки древесины и подготовил выставку эталонов качества материалов (237,202).</w:t>
      </w:r>
    </w:p>
    <w:p w14:paraId="0CF47EE4" w14:textId="77777777" w:rsidR="00E10840" w:rsidRPr="00D03F3E" w:rsidRDefault="00E10840"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B4ABA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21 июня 1943г. на заводе № 293 был образован отдел двигателей </w:t>
      </w:r>
      <w:r w:rsidRPr="00D03F3E">
        <w:rPr>
          <w:rFonts w:ascii="Times New Roman" w:hAnsi="Times New Roman"/>
          <w:color w:val="000000" w:themeColor="text1"/>
          <w:sz w:val="16"/>
          <w:szCs w:val="16"/>
          <w:lang w:val="en-US"/>
        </w:rPr>
        <w:t>A</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M</w:t>
      </w:r>
      <w:r w:rsidRPr="00D03F3E">
        <w:rPr>
          <w:rFonts w:ascii="Times New Roman" w:hAnsi="Times New Roman"/>
          <w:color w:val="000000" w:themeColor="text1"/>
          <w:sz w:val="16"/>
          <w:szCs w:val="16"/>
        </w:rPr>
        <w:t xml:space="preserve">. Исаева. 24.05.1948 г. ОКО НИИ-1 МАП переведено в НИИ-88, на его базе 1.07.1948г. образован отдел № 9 СКБ (начальник/ гл. конструктор- Исаев). 26.04.1950 г. (по другой информации 16.06.1950 г.) образовано ОКБ-2 НИИ-88 </w:t>
      </w:r>
      <w:r w:rsidRPr="00D03F3E">
        <w:rPr>
          <w:rFonts w:ascii="Times New Roman" w:hAnsi="Times New Roman"/>
          <w:color w:val="000000" w:themeColor="text1"/>
          <w:sz w:val="16"/>
          <w:szCs w:val="16"/>
          <w:lang w:val="en-US"/>
        </w:rPr>
        <w:t>MB</w:t>
      </w:r>
      <w:r w:rsidRPr="00D03F3E">
        <w:rPr>
          <w:rFonts w:ascii="Times New Roman" w:hAnsi="Times New Roman"/>
          <w:color w:val="000000" w:themeColor="text1"/>
          <w:sz w:val="16"/>
          <w:szCs w:val="16"/>
        </w:rPr>
        <w:t xml:space="preserve"> (ОКБ-2 НИИ-88 </w:t>
      </w:r>
      <w:r w:rsidRPr="00D03F3E">
        <w:rPr>
          <w:rFonts w:ascii="Times New Roman" w:hAnsi="Times New Roman"/>
          <w:color w:val="000000" w:themeColor="text1"/>
          <w:sz w:val="16"/>
          <w:szCs w:val="16"/>
          <w:lang w:val="en-US"/>
        </w:rPr>
        <w:t>MB</w:t>
      </w:r>
      <w:r w:rsidRPr="00D03F3E">
        <w:rPr>
          <w:rFonts w:ascii="Times New Roman" w:hAnsi="Times New Roman"/>
          <w:color w:val="000000" w:themeColor="text1"/>
          <w:sz w:val="16"/>
          <w:szCs w:val="16"/>
        </w:rPr>
        <w:t xml:space="preserve">, ОКБ-2 ГКОТ, КБ Химического Машиностроения (КБХМ) </w:t>
      </w:r>
      <w:r w:rsidRPr="00D03F3E">
        <w:rPr>
          <w:rFonts w:ascii="Times New Roman" w:hAnsi="Times New Roman"/>
          <w:color w:val="000000" w:themeColor="text1"/>
          <w:sz w:val="16"/>
          <w:szCs w:val="16"/>
          <w:lang w:val="en-US"/>
        </w:rPr>
        <w:t>MOM</w:t>
      </w:r>
      <w:r w:rsidRPr="00D03F3E">
        <w:rPr>
          <w:rFonts w:ascii="Times New Roman" w:hAnsi="Times New Roman"/>
          <w:color w:val="000000" w:themeColor="text1"/>
          <w:sz w:val="16"/>
          <w:szCs w:val="16"/>
        </w:rPr>
        <w:t xml:space="preserve">, КБХМ им. А.М. Исаева, ФГУП «КБ Химмаш» им. А.М. Исаева» /г. Калининград, г. Королев/ /140070 г. Королев Московской обл. Лесопарковый туп., 2; 141070 ул. Богомолова, 12 тел. 513-44-13/) из отделов по разработке ЗУР, сюда же влились отделы № 8 и 9 как объединенный отдел № 9 ОКБ-2 под руководством </w:t>
      </w:r>
      <w:r w:rsidRPr="00D03F3E">
        <w:rPr>
          <w:rFonts w:ascii="Times New Roman" w:hAnsi="Times New Roman"/>
          <w:color w:val="000000" w:themeColor="text1"/>
          <w:sz w:val="16"/>
          <w:szCs w:val="16"/>
          <w:lang w:val="en-US"/>
        </w:rPr>
        <w:t>A</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M</w:t>
      </w:r>
      <w:r w:rsidRPr="00D03F3E">
        <w:rPr>
          <w:rFonts w:ascii="Times New Roman" w:hAnsi="Times New Roman"/>
          <w:color w:val="000000" w:themeColor="text1"/>
          <w:sz w:val="16"/>
          <w:szCs w:val="16"/>
        </w:rPr>
        <w:t>. Исаева, тогда же в ОКБ-2 из отдела № 16 СКБ перешла группа Г.Н. Бабакина (в 1951 г. она перешла в ОКБ-301 МАП). В 09.1951 г. работы по ЗУР были переданы в МАП (в ОКБ-301). 26.03.1952г. ОКБ-2 преобразовано в чисто двигательное. Разработка ЖРД.</w:t>
      </w:r>
    </w:p>
    <w:p w14:paraId="2029C95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1958г. начата разработка ЖРД для БРПЛ, созданы ЖРД практически для всех отечественных БРПЛ.</w:t>
      </w:r>
    </w:p>
    <w:p w14:paraId="7E1DAD6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ОКБ-2 влилась основная часть коллектива ликвидированного в 12.1958г. ОКБ-3 Д.Д. Севрука. В соответствии с пост, правительства от 25.04.1956г. и приказом от 16.01.1959г. ОКБ-2 выделено из состава НИИ- 88 в самостоятельное ОКБ-2 ГКОТ. Затем ОКБ-2 ГКОТ передано в подчинение 2ГУ </w:t>
      </w:r>
      <w:r w:rsidRPr="00D03F3E">
        <w:rPr>
          <w:rFonts w:ascii="Times New Roman" w:hAnsi="Times New Roman"/>
          <w:color w:val="000000" w:themeColor="text1"/>
          <w:sz w:val="16"/>
          <w:szCs w:val="16"/>
          <w:lang w:val="en-US"/>
        </w:rPr>
        <w:t>MOM</w:t>
      </w:r>
      <w:r w:rsidRPr="00D03F3E">
        <w:rPr>
          <w:rFonts w:ascii="Times New Roman" w:hAnsi="Times New Roman"/>
          <w:color w:val="000000" w:themeColor="text1"/>
          <w:sz w:val="16"/>
          <w:szCs w:val="16"/>
        </w:rPr>
        <w:t xml:space="preserve"> и в 1967г. по приказу от 6.03.1966г. преобразовано в КБХМ. В 1991 г. КБХМ присвоено имя </w:t>
      </w:r>
      <w:r w:rsidRPr="00D03F3E">
        <w:rPr>
          <w:rFonts w:ascii="Times New Roman" w:hAnsi="Times New Roman"/>
          <w:color w:val="000000" w:themeColor="text1"/>
          <w:sz w:val="16"/>
          <w:szCs w:val="16"/>
          <w:lang w:val="en-US"/>
        </w:rPr>
        <w:t>A</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M</w:t>
      </w:r>
      <w:r w:rsidRPr="00D03F3E">
        <w:rPr>
          <w:rFonts w:ascii="Times New Roman" w:hAnsi="Times New Roman"/>
          <w:color w:val="000000" w:themeColor="text1"/>
          <w:sz w:val="16"/>
          <w:szCs w:val="16"/>
        </w:rPr>
        <w:t>. Исаева.</w:t>
      </w:r>
    </w:p>
    <w:p w14:paraId="539214F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началу 2000-х г. создано более 120 типов ЖРД, 100 из которых приняты в эксплуатацию, в т.ч. для всех жидкостных БРПЛ. Принимало участие в программах: «Восток», КА «Восход», «Союз», «Мир», «Союз Т, -ТМ», «Прогресс», «Прогресс М», «Луна», «Марс», «Венера», «Зонд», «Молния», «Полет», «Экран-М», «Фобос».</w:t>
      </w:r>
    </w:p>
    <w:p w14:paraId="263C46B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(2002г.): разработка и поставка: ЖРД для жидкотопливных ракет, для ракетных блоков, стартующих с орбиты (на жидком водороде и кислороде), однокомпонентные гидразиновые ЖРД для КА; импульсные двигатели; ТНА, газогенераторы; агрегаты автоматики ЖРД; насосы для различных жидкостей, баки для компонентов топлива и баллоны для газов.</w:t>
      </w:r>
    </w:p>
    <w:p w14:paraId="7170B5C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составе КБХМ (2002г.): КБ, технологические отделы, лабораторно-экспериментальная база, опытное производство, вспомогательные службы.</w:t>
      </w:r>
    </w:p>
    <w:p w14:paraId="0BFAD6C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Указу Президента РФ № 1009 от 4.08.2004г. вошло в число стратегических оборонных предприятий. В 10.2006г. предприятие вошло в состав ГК НПЦ им. Хруничева. По Указу Президента РФ от 3.02.2007г. исключено из перечня стратегических предприятий.</w:t>
      </w:r>
    </w:p>
    <w:p w14:paraId="310E8CC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(03.1952-71 г.)- А.М. Исаев {24.10.1908-25.06.1971}, (1971-85г.)- В.Н. Богомолов {14.09.1919-}. Ген. конструктор (1985-2001 г.)- Н.И. Леонтьев, (2001-05г.-) Е.П. Селезнев {29.11.1943-}.</w:t>
      </w:r>
    </w:p>
    <w:p w14:paraId="163A704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1-й зам. ген. конструктора (2002г.)- В.Д. Козловцев.</w:t>
      </w:r>
    </w:p>
    <w:p w14:paraId="5AF2150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И.О. начальника (1950 г.)- К.И. Тритко. Начальник (03.1952-71 г.)- </w:t>
      </w:r>
      <w:r w:rsidRPr="00D03F3E">
        <w:rPr>
          <w:rFonts w:ascii="Times New Roman" w:hAnsi="Times New Roman"/>
          <w:color w:val="000000" w:themeColor="text1"/>
          <w:sz w:val="16"/>
          <w:szCs w:val="16"/>
          <w:lang w:val="en-US"/>
        </w:rPr>
        <w:t>A</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M</w:t>
      </w:r>
      <w:r w:rsidRPr="00D03F3E">
        <w:rPr>
          <w:rFonts w:ascii="Times New Roman" w:hAnsi="Times New Roman"/>
          <w:color w:val="000000" w:themeColor="text1"/>
          <w:sz w:val="16"/>
          <w:szCs w:val="16"/>
        </w:rPr>
        <w:t>. Исаев, (1971-85г.)- В.Н. Богомолов. Директор (1985-2001 г.)- Н.И. Леонтьев, Гендиректор (2001-05г.-)- Е.П. Селезнев,</w:t>
      </w:r>
      <w:r w:rsidRPr="00D03F3E">
        <w:rPr>
          <w:rFonts w:ascii="Times New Roman" w:hAnsi="Times New Roman"/>
          <w:color w:val="000000" w:themeColor="text1"/>
          <w:sz w:val="16"/>
          <w:szCs w:val="16"/>
          <w:vertAlign w:val="superscript"/>
        </w:rPr>
        <w:t>101</w:t>
      </w:r>
      <w:r w:rsidRPr="00D03F3E">
        <w:rPr>
          <w:rFonts w:ascii="Times New Roman" w:hAnsi="Times New Roman"/>
          <w:color w:val="000000" w:themeColor="text1"/>
          <w:sz w:val="16"/>
          <w:szCs w:val="16"/>
        </w:rPr>
        <w:t xml:space="preserve"> (2005г.)- Н.И. Леонтьев.</w:t>
      </w:r>
      <w:r w:rsidRPr="00D03F3E">
        <w:rPr>
          <w:rFonts w:ascii="Times New Roman" w:hAnsi="Times New Roman"/>
          <w:color w:val="000000" w:themeColor="text1"/>
          <w:sz w:val="16"/>
          <w:szCs w:val="16"/>
          <w:vertAlign w:val="superscript"/>
        </w:rPr>
        <w:t>143</w:t>
      </w:r>
    </w:p>
    <w:p w14:paraId="141E9BF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1-й зам. гендиректора (2000 г.)- Е.П. Селезнев, (2002г.)- В.Д. Козловцев. Зам. начальника (1950-52г.)- </w:t>
      </w:r>
      <w:r w:rsidRPr="00D03F3E">
        <w:rPr>
          <w:rFonts w:ascii="Times New Roman" w:hAnsi="Times New Roman"/>
          <w:color w:val="000000" w:themeColor="text1"/>
          <w:sz w:val="16"/>
          <w:szCs w:val="16"/>
          <w:lang w:val="en-US"/>
        </w:rPr>
        <w:t>A</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M</w:t>
      </w:r>
      <w:r w:rsidRPr="00D03F3E">
        <w:rPr>
          <w:rFonts w:ascii="Times New Roman" w:hAnsi="Times New Roman"/>
          <w:color w:val="000000" w:themeColor="text1"/>
          <w:sz w:val="16"/>
          <w:szCs w:val="16"/>
        </w:rPr>
        <w:t>. Исаев.</w:t>
      </w:r>
      <w:r w:rsidRPr="00D03F3E">
        <w:rPr>
          <w:rFonts w:ascii="Times New Roman" w:hAnsi="Times New Roman"/>
          <w:color w:val="000000" w:themeColor="text1"/>
          <w:sz w:val="16"/>
          <w:szCs w:val="16"/>
          <w:vertAlign w:val="superscript"/>
        </w:rPr>
        <w:t>57</w:t>
      </w:r>
    </w:p>
    <w:p w14:paraId="75514EE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Руководители подразделений: НТИ (2004г.)- В.В. Калинин.</w:t>
      </w:r>
    </w:p>
    <w:p w14:paraId="4B4DED4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Создано: ЖРД: У-400-10 для модели «6» (1948); для ЗУР Р-102, Р-112, С09.502 для Р-101 (1949), С2.253 (1949, Р-11), С09.29 для «205» (1950), С2.102 для П-15, С2.145 для «206» (1951), С2.168 для «32Б» (1951), С2.260 для «207А» (1954), С2.1100 и С2.1150 для МКР «Буря» (1955), С2.720 для С-75, С5.1 для «217» (1956), С2.711 для В- 750 (1954), С2.711В для К-16 (1956), С2.721 для К-11 и «КС», С2.722В для П-15, для КР П-70 «Аметист» (1960), С2.726 для В-1000, ТДУ-1 (С5.4) для кораблей «Восток», «Восход», «Зенит» (1959), КТДУ-5А (С5.5А) для Е-6 «Луна-4...14» (1960), КТДУ-35 (С5.60 и С5.35) для станции «Салют-4» и КК «Союз» (1963-), КТДУ-51 для блока «И» лунного корабля, КТДУ-53 (С5.53) для КК «Союз-7», «Зонд-4...7» (1962), КТДУ-66 (С5.66) для станции «Салют-1» (1970), КТДУ-426 (11Д426) для КК «Союз-Т» (1968), КТДУ-80 (С5.80) для КК «Союз-ТМ» и «Прогресс-М» (1977), КВД-1 (1960, РН «Н-1»), КВД-1М для РН «Полет» (1997), С5.51 (11Д68) для КК «Союз- 7К» (1964), КРД-61 (С5.61) для КА «Луна-16,-20,-24» (1968), КТДУ-417 (11Д417) для КА «Луна-15...24» (1960), С5.45 для КА «Зонд-1», «Венера-2...8», КДУ-414 (С5.19) для КА «Молния-1», «Марс-1», «Венера-1» и др. (1960), 11Д49 для РН 65СЗ «Космос» (1960), КТДУ-425 (11Д425) для КА «Марс-2,-3» (1970), КРД-61, КРД-79 (С5.79) для станций «Салют-6,-7» «Мир», С5.92 для КА «Фобос-1,-2», разгонных блоков «Фрегат-2» и «Бриз-М», С5.98 для разгонного блока «Бриз-КМ», 14Д30 для РН «Рокот-3», «Союз-2» (1990), КРД-442 (11Д442) для станций «Алмаз», «Салют», МКС (1972); двигательная установка 17Д61 «Икар» для орбитальных КА (1981); ЖРД малой тяги: ДМТ-600, ДОК-Ю, ДОК-50, ДОТ-25, ДОТ-5, ДСТ-100, ДСТ-200, ДСТ-25.</w:t>
      </w:r>
      <w:r w:rsidRPr="00D03F3E">
        <w:rPr>
          <w:rFonts w:ascii="Times New Roman" w:hAnsi="Times New Roman"/>
          <w:color w:val="000000" w:themeColor="text1"/>
          <w:sz w:val="16"/>
          <w:szCs w:val="16"/>
          <w:vertAlign w:val="superscript"/>
        </w:rPr>
        <w:t>30</w:t>
      </w:r>
      <w:r w:rsidRPr="00D03F3E">
        <w:rPr>
          <w:rFonts w:ascii="Times New Roman" w:hAnsi="Times New Roman"/>
          <w:color w:val="000000" w:themeColor="text1"/>
          <w:sz w:val="16"/>
          <w:szCs w:val="16"/>
        </w:rPr>
        <w:t xml:space="preserve"> (11982).</w:t>
      </w:r>
    </w:p>
    <w:p w14:paraId="0793CCEE" w14:textId="77777777" w:rsidR="00E10840" w:rsidRPr="00D03F3E" w:rsidRDefault="00E10840"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2972A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21 июня 1943 г. на заводе № 293 (Завод № 293 НКАП, МАП, Опытный завод «Фотолет» /г. Химки Московской обл.; пос. Билимбай Свердловской обл.;  г. Химки/) образован опытный отдел (ОКО) </w:t>
      </w:r>
      <w:r w:rsidRPr="00D03F3E">
        <w:rPr>
          <w:rFonts w:ascii="Times New Roman" w:hAnsi="Times New Roman"/>
          <w:color w:val="000000" w:themeColor="text1"/>
          <w:sz w:val="16"/>
          <w:szCs w:val="16"/>
          <w:lang w:val="en-US"/>
        </w:rPr>
        <w:t>A</w:t>
      </w:r>
      <w:r w:rsidRPr="00D03F3E">
        <w:rPr>
          <w:rFonts w:ascii="Times New Roman" w:hAnsi="Times New Roman"/>
          <w:color w:val="000000" w:themeColor="text1"/>
          <w:sz w:val="16"/>
          <w:szCs w:val="16"/>
        </w:rPr>
        <w:t>.</w:t>
      </w:r>
      <w:r w:rsidRPr="00D03F3E">
        <w:rPr>
          <w:rFonts w:ascii="Times New Roman" w:hAnsi="Times New Roman"/>
          <w:color w:val="000000" w:themeColor="text1"/>
          <w:sz w:val="16"/>
          <w:szCs w:val="16"/>
          <w:lang w:val="en-US"/>
        </w:rPr>
        <w:t>M</w:t>
      </w:r>
      <w:r w:rsidRPr="00D03F3E">
        <w:rPr>
          <w:rFonts w:ascii="Times New Roman" w:hAnsi="Times New Roman"/>
          <w:color w:val="000000" w:themeColor="text1"/>
          <w:sz w:val="16"/>
          <w:szCs w:val="16"/>
        </w:rPr>
        <w:t>. Исаева по ЖРД (11982).</w:t>
      </w:r>
    </w:p>
    <w:p w14:paraId="6D20EA6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CD5AEB"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3B25B99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4ED0D8" w14:textId="77777777" w:rsidR="00E10C4E" w:rsidRPr="00D03F3E" w:rsidRDefault="00E10C4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 21 июня 1943 года был окончательно подготовлен Технический проект танковой версии гаубицы М-30, которую обозначили как Д-8 (позже она стала называться Д-5Т-122), а пояснительная записка – к началу июля. Предусматривалось, что Д-5Т-122 может быть установлена как в КВ-1с, так и в ИС (Объект 237).</w:t>
      </w:r>
    </w:p>
    <w:p w14:paraId="37AEBE45" w14:textId="77777777" w:rsidR="00E10C4E" w:rsidRPr="00D03F3E" w:rsidRDefault="00E10C4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Опытный образец системы был построен в июле 1943 года, но ни в один из перечисленных танков это орудие так и не установили. Причин у этого поворота событий было две. На испытаниях СУ-122-III система Д-5С-122 показала себя не лучшим образом. Выявились проблемы с механизмами отката, что привело к снятию самоходной установки с испытаний. Похожие проблемы выявились и с Д-5Т-122. 15 июля были проведены повторные заводские испытания, которые закончились успешно.</w:t>
      </w:r>
    </w:p>
    <w:p w14:paraId="45C621B3" w14:textId="77777777" w:rsidR="00E10C4E" w:rsidRPr="00D03F3E" w:rsidRDefault="00E10C4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Вторая причина оказалась гораздо более серьёзной. По итогам боёв на Курской дуге, где немцами были применены средние танки Pz.Kpfw.Panther Ausf.D и тяжелые истребители танков Panzerjäger Tiger ₽ Ferdinand, стало ясно, что что советским танкам требуется еще более мощное орудие, чем Д-5Т. К такому повороту событий Главное бронетанковое управление Красной армии (ГБТУ КА) было готово: в апреле 1943 года началась разработка самоходной версии 122-мм корпусного орудия А-19, а в мае на ее же базе КБ завода №9 начало разрабатывать танковое орудие Д-25Т. А вот 122-мм танковые гаубицы в новых условиях оказались ненужными. Советским танкам срочно требовалось эффективное средство борьбы с новыми немецкими танками, а не орудие с большим осколочно-фугасным действием (17694).</w:t>
      </w:r>
    </w:p>
    <w:p w14:paraId="5D07B88D" w14:textId="77777777" w:rsidR="00E10C4E" w:rsidRPr="00D03F3E" w:rsidRDefault="00E10C4E" w:rsidP="00D03F3E">
      <w:pPr>
        <w:spacing w:after="0" w:line="240" w:lineRule="auto"/>
        <w:jc w:val="both"/>
        <w:rPr>
          <w:rFonts w:ascii="Times New Roman" w:eastAsia="Times New Roman" w:hAnsi="Times New Roman"/>
          <w:color w:val="000000" w:themeColor="text1"/>
          <w:sz w:val="16"/>
          <w:szCs w:val="16"/>
          <w:lang w:eastAsia="ru-RU"/>
        </w:rPr>
      </w:pPr>
    </w:p>
    <w:p w14:paraId="0C3FE1FA"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июня 1943 вышло Постановление ГКО № 3616 Об организации производства гидротурбин мелких и средних мощностей на заводе №724 Наркомминвооружения. (7117, 2-4,5-10).</w:t>
      </w:r>
    </w:p>
    <w:p w14:paraId="09CCE4C1"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7064A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июня 1943 г. в соответствии с пост. ГКО № 3616 на заводе (Завод № 724 ИМ. Фрунзе НКМВ, Завод им. Фрунзе НКМВ, Средне-Азиатский завод химического машиностроения («Средазхиммаш») ММиП, АООТ, ОАО «Узбекхиммаш» /г. Чирчик, 8 Ташкентской обл. «Средазхиммаш» (1948 г.)/ /Узбекистан 702108  г. Чирчик Ташкентской обл. ул. Менделеева, 8/) было организовано производство гидротурбин мелких и средних мощностей; в соответствии с пост. ГКО № 7851 от 16.03.1945 г. - организовано производство высоконапорных насосов.</w:t>
      </w:r>
    </w:p>
    <w:p w14:paraId="36D3334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1947-53 г. завод - в ведении Главхиммаша ММиП.</w:t>
      </w:r>
    </w:p>
    <w:p w14:paraId="5F62793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составе завода (1947 г.) цехи: основные: механические № 1, 2, 3, котельный, кузнечный, литейный, ширпотреба, транспортный, СПП; вспомогательные: модельный, инструментальный. Кроме того, (1953 г.): основные: механический № 4, механосборочный № 2, раскройно-заготовительный, котельно-сборочный № 1, компрессоро-сборочный, кузнечно-прессовый, электро-ремонтный, транспортный, упаковочный, строй-бюро, лаборатория; вспомогательные: ремонтно-механический.</w:t>
      </w:r>
    </w:p>
    <w:p w14:paraId="5FD01D3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 оборудования: (1946 г.)- 414 ед., (1947 г.)- 600 ед., (1953 г.)- 750 ед.</w:t>
      </w:r>
    </w:p>
    <w:p w14:paraId="4DFD038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территории (1947 г.)- 16 га, (1953 г.)- 17,3 га; застройки (1947 г.)- 38805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(1953 г.)- 48908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производственная (1946 г.)- 29664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(1947 г.)- 29664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(1953 г.)- 34266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вспомогательная (1953 г.)- 7774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прочая (1953 г.)- 24362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w:t>
      </w:r>
    </w:p>
    <w:p w14:paraId="7E7DD96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(1946 г.)- 1804 чел., (1947 г.)- 2062 чел., (1953 г.)- 2598 чел.</w:t>
      </w:r>
    </w:p>
    <w:p w14:paraId="3D0AA34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(06.1942 г.)- Белоцерковский.</w:t>
      </w:r>
    </w:p>
    <w:p w14:paraId="5C25D63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директора (1942-43 г.)- Н.Я. Толстокор.</w:t>
      </w:r>
    </w:p>
    <w:p w14:paraId="3298FC5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(1948 г.)- Филоненко.</w:t>
      </w:r>
    </w:p>
    <w:p w14:paraId="32164E9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 насосы:</w:t>
      </w:r>
      <w:r w:rsidRPr="00D03F3E">
        <w:rPr>
          <w:rFonts w:ascii="Times New Roman" w:hAnsi="Times New Roman"/>
          <w:color w:val="000000" w:themeColor="text1"/>
          <w:sz w:val="16"/>
          <w:szCs w:val="16"/>
        </w:rPr>
        <w:t xml:space="preserve"> центробежные АР-100 (-1942-47-), -250, В-150, -200, -250 (1942), 4В-75 (1947); питательные 2П-100 и 2П-125 (1942), П-150 (1947); вакуум-насосы РМК-1 (1942), -3, -4 (-1942-47-); мотонасос ВСА-150 (1947);</w:t>
      </w:r>
      <w:r w:rsidRPr="00D03F3E">
        <w:rPr>
          <w:rFonts w:ascii="Times New Roman" w:hAnsi="Times New Roman"/>
          <w:iCs/>
          <w:color w:val="000000" w:themeColor="text1"/>
          <w:sz w:val="16"/>
          <w:szCs w:val="16"/>
        </w:rPr>
        <w:t xml:space="preserve"> компрессоры:</w:t>
      </w:r>
      <w:r w:rsidRPr="00D03F3E">
        <w:rPr>
          <w:rFonts w:ascii="Times New Roman" w:hAnsi="Times New Roman"/>
          <w:color w:val="000000" w:themeColor="text1"/>
          <w:sz w:val="16"/>
          <w:szCs w:val="16"/>
        </w:rPr>
        <w:t xml:space="preserve"> В-55 (-1942-47-), -300 (-1942-53-), 400-2к, 500-к (1942), Р-1/220 (-1947-53-); для кислородных станций К-65, К-180, МТТ-220, кислородные КГ-165, для аргона З-ЮО-ЗК, для гелия Г-30-4К (1947), К-17, 5Э14/220, ЗР7/220, Р01/165 (1953); детандеры ДВ-750, ДВ-400, ЭМ-90 (1942); передвижная кислородная станция КЗС-50; автоклавы, варочные котлы, вальцы, нитраторы, ректификационные колонны, теплообменники, печи Гумбольдта, скрубберы, сушилки «Венулет», турбовоздуходувки ТК-700, -100, РМК-2 (1942), ТВ-127 (1953); турбокомпрессор ТК-700/5 (-1947-53-); воздушная станция СМ-145 (1953); турбогазодувка ТТ-136, турбоэксгаустер ТГ-600, насос центробежный ЭПЖН-2, воздуходувка РМК-4 (1953); гидротурбина Ф13- ГМ50; ножницы гильотинные (1947); ложки, вилки.</w:t>
      </w:r>
      <w:r w:rsidRPr="00D03F3E">
        <w:rPr>
          <w:rFonts w:ascii="Times New Roman" w:hAnsi="Times New Roman"/>
          <w:color w:val="000000" w:themeColor="text1"/>
          <w:sz w:val="16"/>
          <w:szCs w:val="16"/>
          <w:vertAlign w:val="superscript"/>
        </w:rPr>
        <w:t>129</w:t>
      </w:r>
    </w:p>
    <w:p w14:paraId="1CD178F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Сумской машиностроительный завод им. М.В. Фрунзе ММиП, ОАО «Сумское НПО (СМНПО) им. М.В. Фрунзе» /Украина 244044  г. Сумы ул. Горького, 58 «Завод Фрунзе» тел. 22-50-72/ /Московское представительство: 209-77-34/</w:t>
      </w:r>
    </w:p>
    <w:p w14:paraId="2B1A05C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09.1941 г. Сумский машиностроительный завод им. Фрунзе был эвакуирован в  г. Чирчик на площадку Ремонтно-механического завода Чирчикского ЭХК. Первый эшелон прибыл на станцию Боз-Су 11.09.1941 г.</w:t>
      </w:r>
    </w:p>
    <w:p w14:paraId="205C74A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11.1943 г. Сумский машиностроительный завод им. Фрунзе - в ведении НКМВ, в 1947-53 г. - в ведении Главхиммаша ММиП.</w:t>
      </w:r>
    </w:p>
    <w:p w14:paraId="15F481A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составе завода (1947 г.) цехи: основные: литейный, кузнечный, котельный, насосно-компрессорный, механический № 1, центрифуг (размещался на отдельной площадке), ширпотреба; вспомогательные: инструментальный, модельный, кислородная станция. Кроме того, (1953 г.): основные: заготовительный, механические № 2, 3, ремонтно-механический, ремонтно-строительный; вспомогательные: теплосиловой.</w:t>
      </w:r>
    </w:p>
    <w:p w14:paraId="601E28E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СМНПО было в 2005 г.</w:t>
      </w:r>
    </w:p>
    <w:p w14:paraId="0014D65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Количество оборудования: (1939 г.)- 1353 ед., (1946 г.)- 324 ед., (1947 г.)- 867 ед, (1953 г.)- 1320 ед.</w:t>
      </w:r>
    </w:p>
    <w:p w14:paraId="3A7014C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территории (1947-53 г.)- 39,3 га, цеха центрифуг (1947 г.)- 7,06 га; застройки (1947 г.)- 89379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(1953 г.)- 99598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цеха центрифуг (1947 г.)- 8695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производственная (1939 г.)- 73079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(1946 г.)- 38960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(1947 г.)- 61900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(1953 г.)- 73707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вспомогательная (1953 г.)- 8676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прочая (1953 г.)- 7306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w:t>
      </w:r>
    </w:p>
    <w:p w14:paraId="78D93D0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Численность персонала: (1939 г.)- 8272 чел, (1946 г.)- 2936 чел, (1947 г.)- 3935 чел, (1953 г.)- 6581 чел.</w:t>
      </w:r>
    </w:p>
    <w:p w14:paraId="41081CC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(1948 г.)- Белоцерковский.</w:t>
      </w:r>
    </w:p>
    <w:p w14:paraId="6F43C37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(1948 г.)- Гончаренко.</w:t>
      </w:r>
    </w:p>
    <w:p w14:paraId="15AFBF7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Производство:</w:t>
      </w:r>
      <w:r w:rsidRPr="00D03F3E">
        <w:rPr>
          <w:rFonts w:ascii="Times New Roman" w:hAnsi="Times New Roman"/>
          <w:color w:val="000000" w:themeColor="text1"/>
          <w:sz w:val="16"/>
          <w:szCs w:val="16"/>
        </w:rPr>
        <w:t xml:space="preserve"> компрессоры 2Р, 2РК (1947), 2Р-3, 2РО-3, 2РВ-3, ЗГ-100, ЗГ-8500, 1Г-266 (1953); насос центробежный ЗВ; вакуум-фильтр Б-40; паровоздушный молот; центрифуги: ПМ-3, РНВ-4 (1947), УВ-1, ПМ-У, ПМ-Я1Т, ПС-1200, ТВ-600 (1953); барокамеры ПБК-50, СБК-48; вакуум-насос РВН-30, -60; контакторы, печи 9- подовые;</w:t>
      </w:r>
      <w:r w:rsidRPr="00D03F3E">
        <w:rPr>
          <w:rFonts w:ascii="Times New Roman" w:hAnsi="Times New Roman"/>
          <w:color w:val="000000" w:themeColor="text1"/>
          <w:sz w:val="16"/>
          <w:szCs w:val="16"/>
          <w:vertAlign w:val="superscript"/>
        </w:rPr>
        <w:t>129</w:t>
      </w:r>
      <w:r w:rsidRPr="00D03F3E">
        <w:rPr>
          <w:rFonts w:ascii="Times New Roman" w:hAnsi="Times New Roman"/>
          <w:color w:val="000000" w:themeColor="text1"/>
          <w:sz w:val="16"/>
          <w:szCs w:val="16"/>
        </w:rPr>
        <w:t xml:space="preserve"> фильтры для РКТ (1970-е); газоперекачивающие агрегаты ГПА-Ц-6,3 с двигателем Д-336, ГПА с двигателями НК-36СТ, НК-16СТ, </w:t>
      </w:r>
      <w:r w:rsidRPr="00D03F3E">
        <w:rPr>
          <w:rFonts w:ascii="Times New Roman" w:hAnsi="Times New Roman"/>
          <w:color w:val="000000" w:themeColor="text1"/>
          <w:sz w:val="16"/>
          <w:szCs w:val="16"/>
          <w:lang w:val="en-US"/>
        </w:rPr>
        <w:t>AJI</w:t>
      </w:r>
      <w:r w:rsidRPr="00D03F3E">
        <w:rPr>
          <w:rFonts w:ascii="Times New Roman" w:hAnsi="Times New Roman"/>
          <w:color w:val="000000" w:themeColor="text1"/>
          <w:sz w:val="16"/>
          <w:szCs w:val="16"/>
        </w:rPr>
        <w:t>-31</w:t>
      </w:r>
      <w:r w:rsidRPr="00D03F3E">
        <w:rPr>
          <w:rFonts w:ascii="Times New Roman" w:hAnsi="Times New Roman"/>
          <w:color w:val="000000" w:themeColor="text1"/>
          <w:sz w:val="16"/>
          <w:szCs w:val="16"/>
          <w:lang w:val="en-US"/>
        </w:rPr>
        <w:t>CT</w:t>
      </w:r>
      <w:r w:rsidRPr="00D03F3E">
        <w:rPr>
          <w:rFonts w:ascii="Times New Roman" w:hAnsi="Times New Roman"/>
          <w:color w:val="000000" w:themeColor="text1"/>
          <w:sz w:val="16"/>
          <w:szCs w:val="16"/>
        </w:rPr>
        <w:t>, судовым ДЖ59Л2; компрессорные станции, автомобильные газосварочные станции; секционные центробежные насосы ЦНС-180 (2002).</w:t>
      </w:r>
    </w:p>
    <w:p w14:paraId="1252356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Чирчикский электрохимический комбинат (ЭХК) НКХП /Узбекистан  г. Чирчик Ташкентской обл./</w:t>
      </w:r>
    </w:p>
    <w:p w14:paraId="76D7176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1943-54 г. Чирчикский ЭХК - в ведении НКХП.</w:t>
      </w:r>
    </w:p>
    <w:p w14:paraId="34A93DE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составе ЭХК (1941-42 г.)- Ремонтно-механический завод.</w:t>
      </w:r>
    </w:p>
    <w:p w14:paraId="5BB8BA6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1.03.1943 г. вышло постановление о вводе в 1943 г. в действие 2-й очереди Чирчикского ЭХК НКХП.</w:t>
      </w:r>
    </w:p>
    <w:p w14:paraId="58D317E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06.1944 г. для комбината спроектирован цех «Г» по производству тяжелой воды для ядерных реакторов мощностью 800-1000 кг в год, цех строился в 1946-48 г. 3.03.1945 г. вышло постановление ГКО № 7637 об обеспечении пуска 4-го агрегата по производству аммиака на комбинате. Комбинат строился в 1950 г.</w:t>
      </w:r>
      <w:r w:rsidRPr="00D03F3E">
        <w:rPr>
          <w:rFonts w:ascii="Times New Roman" w:hAnsi="Times New Roman"/>
          <w:color w:val="000000" w:themeColor="text1"/>
          <w:sz w:val="16"/>
          <w:szCs w:val="16"/>
          <w:vertAlign w:val="superscript"/>
        </w:rPr>
        <w:t>78</w:t>
      </w:r>
    </w:p>
    <w:p w14:paraId="354975C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Ремонтно-механический завод Чирчикского ЭХК НКХП</w:t>
      </w:r>
    </w:p>
    <w:p w14:paraId="5E3914B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09.1941 г. на площадку Ремонтно-механического завода Чирчиказота Чирчикского ЭХК был эвакуирован Сумской машиностроительный завод им. Фрунзе, на его базе создан завод № 724 НКМВ.</w:t>
      </w:r>
    </w:p>
    <w:p w14:paraId="4EDD534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пост, правительства № 939-481с от 13.06.1942 г. и приказом НКМВ № 222с от 20.06.1942 г. Ремонтно-механический завод Чирчикского ЭХК со всеми цехами был передан заводу им. Фрунзе.</w:t>
      </w:r>
    </w:p>
    <w:p w14:paraId="1BD0A29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составе завода (06.1942 г.) цехи: механический, литейный, модельный, электроремонтный; корпус ЦМК, модельный склад, мастерская КИП, подстанция.</w:t>
      </w:r>
    </w:p>
    <w:p w14:paraId="2DFB100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Площади производственные (06.1942 г.)- 15622 м</w:t>
      </w:r>
      <w:r w:rsidRPr="00D03F3E">
        <w:rPr>
          <w:rFonts w:ascii="Times New Roman" w:hAnsi="Times New Roman"/>
          <w:color w:val="000000" w:themeColor="text1"/>
          <w:sz w:val="16"/>
          <w:szCs w:val="16"/>
          <w:vertAlign w:val="superscript"/>
        </w:rPr>
        <w:t>2 (11982)</w:t>
      </w:r>
      <w:r w:rsidRPr="00D03F3E">
        <w:rPr>
          <w:rFonts w:ascii="Times New Roman" w:hAnsi="Times New Roman"/>
          <w:color w:val="000000" w:themeColor="text1"/>
          <w:sz w:val="16"/>
          <w:szCs w:val="16"/>
        </w:rPr>
        <w:t>.</w:t>
      </w:r>
    </w:p>
    <w:p w14:paraId="13A23F0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588D4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июня 1943 вышло Постановление ГКО № 3617 Об обеспечении Актюбинского комбината ферросплавов Наркомчермета местными углями с актюбинских шахт Наркомугля.РГАНИР, Фонд ГКО, д. 128, лл. 11-14 (11012).</w:t>
      </w:r>
    </w:p>
    <w:p w14:paraId="2A312DF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BE488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июня 1943 вышло Распоряжение ГКО № 3618. О направлении 500 рабочих и служащих Иркутской обл. на завод N540 НКВ.РГАНИР, Фонд ГКО, д. 128, лл. 15 (11012).</w:t>
      </w:r>
    </w:p>
    <w:p w14:paraId="0DF077E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346FC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июня 1943 вышло Распоряжение ГКО № 3619. О мобилизации 1000 военнообязанных в Челябинской обл. на строительство Миасского автозавода НКСМ.РГАНИР, Фонд ГКО, д. 128, лл. 16 (11012).</w:t>
      </w:r>
    </w:p>
    <w:p w14:paraId="3FB0C1C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0656F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июня 1943 вышло Распоряжение ГКО № 3620. О премировании и поощрении рабочих и служащих, занятых в системе НКлеса и НКЛП СССР на заготовке, вывозке и поставке дубовых дров для экстрактовой промышленности НКЛП.РГАНИР, Фонд ГКО, д. 128, лл. 17 (11012).</w:t>
      </w:r>
    </w:p>
    <w:p w14:paraId="3D42341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D6315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июня 1943 Поднят Военно-морской флаг СССР на четвертом БМО (10671).</w:t>
      </w:r>
    </w:p>
    <w:p w14:paraId="473003F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15E6E4"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B47747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4C0FEA"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июня</w:t>
      </w:r>
      <w:r w:rsidRPr="00D03F3E">
        <w:rPr>
          <w:rFonts w:ascii="Times New Roman" w:hAnsi="Times New Roman"/>
          <w:color w:val="000000" w:themeColor="text1"/>
          <w:sz w:val="16"/>
          <w:szCs w:val="16"/>
        </w:rPr>
        <w:t xml:space="preserve"> в 1943 году утреннее сообщение Совинформбюро:</w:t>
      </w:r>
    </w:p>
    <w:p w14:paraId="440B4233"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21 июня на фронте ничего существенного не произошло.</w:t>
      </w:r>
    </w:p>
    <w:p w14:paraId="7EF76F39"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истребили до роты немецкой пехоты, разрушили 8 дзотов и блиндажей, уничтожили миномётную батарею и 5 пулемётов противника. Снайперы Н-ского соединения за сутки истребили 88 немцев. Снайпер т. Кукушкин убил четырёх гитлеровцев, снайперы тт. Серый, Селезнев и Кривошеев уничтожили по три немца каждый.</w:t>
      </w:r>
    </w:p>
    <w:p w14:paraId="7572CF98"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наши артиллеристы уничтожили два немецких орудия, разрушили блиндаж, два дзота и рассеяли до батальона пехоты противника. Разведчики одного из наших подразделений истребили 20 немецких сапёров, производивших окопные работы.</w:t>
      </w:r>
    </w:p>
    <w:p w14:paraId="5092FE04"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пехота противника пыталась боем разведать наши позиции. Миномётным и ружейно-пулемётным огнём гитлеровцы были рассеяны. Перед проволочными заграждениями осталось более 60 вражеских трутов.</w:t>
      </w:r>
    </w:p>
    <w:p w14:paraId="3227CCC6"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группа бойцов под командованием младшего лейтенанта т. Азарова проникла в расположение противника. Разведчики внезапно напали на вражеские блиндажи и уничтожили 14 гитлеровцев. Другая разведывательная группа ночью атаковала вражеские позиции и в завязавшейся схватке истребила до 40 немецких солдат.</w:t>
      </w:r>
    </w:p>
    <w:p w14:paraId="3BE7A24B"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Партизаны отряда, действующего в одном из районов Калининской области,пустили под откос немецкий бронепоезд, шедший к линии фронта. Разбиты бронепаровоз, броневагон и две платформы. Другой отряд калининских партизан подорвал на минах железнодорожный эшелон противника. Разбиты паровоз и две платформы с автомашинами.</w:t>
      </w:r>
    </w:p>
    <w:p w14:paraId="4049F355"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солдат 45 немецкой пехотной дивизии австриец Генрих B. рассказал: «По дороге в Россию у солдат маршевого батальона было подавленное настроение. Все понимали, что нас везут на верную гибель, что рано или поздно мы разделим судьбу 6 немецкой армии под Сталинградом и других немцев, погибших на Восточном фронте. Дорогой выяснилось, что у всех солдат, находившихся со мной в вагоне, кто-либо из близких родных уже погиб в России. Некоторые говорили, что их семьи потеряли по два-три и больше человек. Я попал в роту, в которой лишь два немца. Все остальные солдаты австрийцы. Многие из них не хотят воевать и говорят, что Гитлер уже загубил сотни тысяч австрийцев».</w:t>
      </w:r>
    </w:p>
    <w:p w14:paraId="7008E6C8"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Жители деревни Ямны, Пинской области, спасаясь от грабежа и преследований гитлеровцев, ушли в лес. Немцы устроили облаву и захватили в лесу 16 мужчин, 35 женщин и 30 детей. Вся эта группа ни в чём не повинных мирных жителей деревни Ямны была расстреляна немецко-фашистскими мерзавцами.</w:t>
      </w:r>
    </w:p>
    <w:p w14:paraId="208A7DDF"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департаменте Соммы французские вольные стрелки пустили под откос четыре немецких эшелона. При крушениях убито и ранено не менее 200 немецких солдат и офицеров. В Париже патриоты бросили бомбы в казарму и в гостиницу, населённую гитлеровцами. В районе Бреста вольные стрелки совершили налёт на военную телефонно-телеграфную станцию, убили 9 гитлеровцев, захватили ценную аппаратуру и взорвали здание.» (14929).</w:t>
      </w:r>
    </w:p>
    <w:p w14:paraId="7C0B872F" w14:textId="77777777" w:rsidR="00E10840" w:rsidRPr="00D03F3E" w:rsidRDefault="00E10840" w:rsidP="00D03F3E">
      <w:pPr>
        <w:spacing w:after="0" w:line="240" w:lineRule="auto"/>
        <w:jc w:val="both"/>
        <w:rPr>
          <w:rFonts w:ascii="Times New Roman" w:hAnsi="Times New Roman"/>
          <w:color w:val="000000" w:themeColor="text1"/>
          <w:sz w:val="16"/>
          <w:szCs w:val="16"/>
        </w:rPr>
      </w:pPr>
    </w:p>
    <w:p w14:paraId="614E1899"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июня</w:t>
      </w:r>
      <w:r w:rsidRPr="00D03F3E">
        <w:rPr>
          <w:rFonts w:ascii="Times New Roman" w:hAnsi="Times New Roman"/>
          <w:color w:val="000000" w:themeColor="text1"/>
          <w:sz w:val="16"/>
          <w:szCs w:val="16"/>
        </w:rPr>
        <w:t xml:space="preserve"> в 1943 году вечернее сообщение Совинформбюро:</w:t>
      </w:r>
    </w:p>
    <w:p w14:paraId="0C128F9C"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21 июня на фронте существенных изменений не произошло.</w:t>
      </w:r>
    </w:p>
    <w:p w14:paraId="3F1C07F9"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Нашей авиацией в Чёрном море потоплен транспорт противника.</w:t>
      </w:r>
    </w:p>
    <w:p w14:paraId="316AAD0E"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истребили до роты гитлеровцев. Артиллеристы Н-ской части уничтожили вражескую миномётную батарею и рассеяли несколько групп пехоты противника.</w:t>
      </w:r>
    </w:p>
    <w:p w14:paraId="647DC481"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Сум наши подразделения уничтожили до 150 немецких солдат и офицеров, разрушили 2 дзота и 3 блиндажа противника. Бойцы Н-ской части уничтожили разведывательную группу гитлеровцев и захватили 2 пулемёта, автоматы и винтовки.</w:t>
      </w:r>
    </w:p>
    <w:p w14:paraId="47E88193"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одном районе немецкие самолеты сбросили зажигательные бомбы. Несколькозажигательных бомб упало на штабель боеприпасов. Начальник склада гвардии старший техник-лейтенант т. Гавриленко, рискуя жизнью, вскочил на штабель и лопатой сбросил на землю горящие бомбы. Взрыв боеприпасов был предотвращён.</w:t>
      </w:r>
    </w:p>
    <w:p w14:paraId="3DBFAFC8"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Н-ская зенитная часть, действующая в районе Белгорода, за месяц сбила 20 немецких самолётов. Зенитчики подразделения, где командиром лейтенант т. Еровский, за это время уничтожили 4 бомбардировщика и 2 истребителя противника.</w:t>
      </w:r>
    </w:p>
    <w:p w14:paraId="7DC75B27"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происходила редкая перестрелка. Гвардейцы-миномётчики Н-ского соединения уничтожили свыше роты немецких солдат, разрушили 2 блиндажа и подавили огонь нескольких миномётных батарей противника.</w:t>
      </w:r>
    </w:p>
    <w:p w14:paraId="6400DCA7"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наши части разрушили 8 немецких дзотов и 5 блиндажей, взорвали склад боеприпасов и подожгли железнодорожный эшелон противника. На одном участке советские бойцы ворвались на передний край немецкой обороны и взорвали 5 вражеских дзотов вместе с их гарнизонами.</w:t>
      </w:r>
    </w:p>
    <w:p w14:paraId="101DEBAE"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имени Михаила Коцюбинского 12 июня совершил налёт на одну железнодорожную станцию в Полтавской области. Сломив сопротивление немецкой охраны, советские патриоты овладели станцией, взорвали два моста, все стрелки и сожгли «клады противника. Другой отряд украинских партизан 14 июня внезапно ворвался в имение немецкого помещика. Партизаны захватили и роздали населению 269 голов крупного рогатого скота, 30 свиней, 40 лошадей и много зерна. На следующий день группа партизан взорвала на шоссе 3 немецких автомашины и уничтожила 7 вражеских солдат и трёх офицеров.</w:t>
      </w:r>
    </w:p>
    <w:p w14:paraId="66E73319"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солдат 82 немецкой пехотной дивизии Эрнст Л. рассказал: «В связи с огромными потерями немецкой армии на Восточном фронте была проведена мобилизация рабочих военных предприятий, которые до сих порпользовались броней, как незаменимые. Немецких рабочих заменили иностранные. Сейчас на многих заводах иностранных рабочих в три-пять раз больше, чем немцев. Иностранцы всегда саботировали, но делали это весьма осторожно. Теперь они действуют гораздо смелее. В Штуттгарте при налёте английской авиации итальянцы и французы после объявления тревоги испортили оборудование на одном военном заводе. На машиностроительном заводе иностранцы отказались принять какое-либо участие в тушении пожаров, вызванных бомбардировкой. На другом заводе итальянцы бастовали четыре дня, и администрация вынуждена была удовлетворить их требования. В последнее время нацисты открыто говорят, что необходимо следить за каждым шагом иностранцев, ибо все они враги Германии и готовы ей всадить нож в спину» (14929).</w:t>
      </w:r>
    </w:p>
    <w:p w14:paraId="4EA02B76" w14:textId="77777777" w:rsidR="00E10840" w:rsidRPr="00D03F3E" w:rsidRDefault="00E10840" w:rsidP="00D03F3E">
      <w:pPr>
        <w:spacing w:after="0" w:line="240" w:lineRule="auto"/>
        <w:jc w:val="both"/>
        <w:rPr>
          <w:rFonts w:ascii="Times New Roman" w:hAnsi="Times New Roman"/>
          <w:color w:val="000000" w:themeColor="text1"/>
          <w:sz w:val="16"/>
          <w:szCs w:val="16"/>
        </w:rPr>
      </w:pPr>
    </w:p>
    <w:p w14:paraId="71B01E7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июня 1943г. было СООБЩЕНИЕ НАЧАЛЬНИКА УПРАВЛЕНИЯ ФОРМИРОВАНИЯ И УКОМПЛЕКТОВАНИЯ БТ и МВ КА НАЧАЛЬНИКУ ГАВТУ КА О ПОТРЕБНОМ КОЛИЧЕСТВЕ АВТОМАШИН ИПТАД №1126887</w:t>
      </w:r>
    </w:p>
    <w:p w14:paraId="0C8E8C5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УФиУ БТ и МВ КА проведена опытная укладка табельного имущества, продовольствия, ГСМ, вооружения и боеприпасов, положенных ИПТАДу, в результате чего установлено:</w:t>
      </w:r>
    </w:p>
    <w:p w14:paraId="53AA7A8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Для поднятия личного состава дивизиона, вооружения, двух б/к, 2-х заправок ГСМ, 5-ти суточ</w:t>
      </w:r>
      <w:r w:rsidRPr="00D03F3E">
        <w:rPr>
          <w:rFonts w:ascii="Times New Roman" w:hAnsi="Times New Roman"/>
          <w:color w:val="000000" w:themeColor="text1"/>
          <w:sz w:val="16"/>
          <w:szCs w:val="16"/>
        </w:rPr>
        <w:softHyphen/>
        <w:t>ных дач продовольствия и прочего имущества требуется, как минимум, 25 машин ГАЗ-АА и 13 авто</w:t>
      </w:r>
      <w:r w:rsidRPr="00D03F3E">
        <w:rPr>
          <w:rFonts w:ascii="Times New Roman" w:hAnsi="Times New Roman"/>
          <w:color w:val="000000" w:themeColor="text1"/>
          <w:sz w:val="16"/>
          <w:szCs w:val="16"/>
        </w:rPr>
        <w:softHyphen/>
        <w:t>тягачей Студебекер.</w:t>
      </w:r>
    </w:p>
    <w:p w14:paraId="4E2AC11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Вашему указанию на каждый дивизион выдается 20 ГАЗ-АА и 13 Студебекеров - по фак</w:t>
      </w:r>
      <w:r w:rsidRPr="00D03F3E">
        <w:rPr>
          <w:rFonts w:ascii="Times New Roman" w:hAnsi="Times New Roman"/>
          <w:color w:val="000000" w:themeColor="text1"/>
          <w:sz w:val="16"/>
          <w:szCs w:val="16"/>
        </w:rPr>
        <w:softHyphen/>
        <w:t>тической потребности не достает 5 ГАЗ-АА. По штату же положено 7 ГАЗ-АА, 26 ЗИС-5 и 15 Студебекеров.</w:t>
      </w:r>
    </w:p>
    <w:p w14:paraId="593D7BF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основании проведенной работы прошу Вашего распоряжения выдавать грузовые авто</w:t>
      </w:r>
      <w:r w:rsidRPr="00D03F3E">
        <w:rPr>
          <w:rFonts w:ascii="Times New Roman" w:hAnsi="Times New Roman"/>
          <w:color w:val="000000" w:themeColor="text1"/>
          <w:sz w:val="16"/>
          <w:szCs w:val="16"/>
        </w:rPr>
        <w:softHyphen/>
        <w:t>машины, для укомплектования ИПТАДов по фактической потребности, т.е. 25 ГАЗ-АА и 13 Студебекеров.</w:t>
      </w:r>
    </w:p>
    <w:p w14:paraId="26C9CE4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доклад комиссии на 4-х листах</w:t>
      </w:r>
      <w:r w:rsidRPr="00D03F3E">
        <w:rPr>
          <w:rFonts w:ascii="Times New Roman" w:hAnsi="Times New Roman"/>
          <w:color w:val="000000" w:themeColor="text1"/>
          <w:sz w:val="16"/>
          <w:szCs w:val="16"/>
          <w:vertAlign w:val="superscript"/>
        </w:rPr>
        <w:t>1</w:t>
      </w:r>
      <w:r w:rsidRPr="00D03F3E">
        <w:rPr>
          <w:rFonts w:ascii="Times New Roman" w:hAnsi="Times New Roman"/>
          <w:color w:val="000000" w:themeColor="text1"/>
          <w:sz w:val="16"/>
          <w:szCs w:val="16"/>
        </w:rPr>
        <w:t>.</w:t>
      </w:r>
    </w:p>
    <w:p w14:paraId="26FB7D4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управления формирования и укомплектования БТ и МВ КА</w:t>
      </w:r>
    </w:p>
    <w:p w14:paraId="1902779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гвардии генерал-майор танковых войск Хасин</w:t>
      </w:r>
    </w:p>
    <w:p w14:paraId="0EB3CC4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ЦАМО.Ф. 41.Оп. 11584. Д. 17. Л. 21. Подлинник (11403).</w:t>
      </w:r>
    </w:p>
    <w:p w14:paraId="22B09E8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BD851D"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июня 1943 вышло Постановление ГКО № 3621 Об установлении нового лимита штатной численности Красной Армии. (7117, 18-21).</w:t>
      </w:r>
    </w:p>
    <w:p w14:paraId="3DA8A9F6"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8D2919"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июня 1943 вышло Постановление ГКО № 3615 [Об усилении НКВМФ наблюдения за фарватером Волги от Астрахани до Саратова.] (7117, 1).</w:t>
      </w:r>
    </w:p>
    <w:p w14:paraId="646E58AE"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4CF8A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июня 1943 Люфтваффе совершили второй массированный налет на Ярославль. Вольферсбергер из 5-й эскадрильи KG27 «Бельке» вспоминал:  «20 июня пришел приказ о налете на резиновый комбинат в Ярославле. Точно в указанное время мы взлетаем и снова висим в своих машинах между небом и землей, и смерть, наш верный спутник, снова с нами. Проходят часы, там, слева от нас, сверкают вспышки зенитных снарядов, в той стороне в непосредственной близости Москва. Город, уже однажды трепетавший, когда немецкие солдаты находились в нескольких километрах от него».  Одни из 88 самолетов, летевших к Ярославлю, обходили Москву с северо-запада, остальные – с южного направления. А между тем советское командование на этот раз выслало на перехват бомбардировщиков несколько десятков истребителей из ПВО Москвы. Так, с аэродрома Кашира вылетели восемь Як-1. Производя свободный поиск на предполагаемом маршруте полета к цели, майор Алексей Катрич вскоре сумел обнаружить одиночный бомбардировщик. Позднее он вспоминал:  «Я в своей зоне маневрировал на высоте 3500—4000 метров с таким расчетом, чтобы находиться ниже средней высоты полета бомбардировщиков противника. Это в ночных условиях дает возможность легче обнаружить противника на фоне неба, а самому остаться незамеченным на темном фоне земли. Ночь была безлунная, с незначительной дымкой, безоблачная, а на северной и северо-восточной части горизонта были какие-то светлые полосы, облегчавшие наблюдение в этом направлении. Через 20—25минут после взлета я заметил на светлой части горизонта силуэт бомбардировщика, шедшего курсом приблизительно 90 градусов».  Летчик не смог точно определить дистанцию до цели, но, учитывая время, которое ему пришлось затратить на сближение, она составляла примерно полтора-два километра. Стараясь не потерять противника из виду, Катрич начал сближение на попутно-пересекающихся курсах и вскоре открыл огонь. Почти одновременно с ним стрелять по бомбардировщику начал еще один истребитель, который, как позднее оказалось, пилотировал старший лейтенант Крюков. Сам Катрич описывал это так:  «Огонь по самолету противника неожиданно для себя мы открыли одновременно с гвардии старшим лейтенантом Крюковым, не видя при этом друг друга. Это произошло, очевидно, потому, что мы оба, обратив все внимание на противника, ослабили осмотрительность. Старший лейтенант Крюков, патрулируя в соседней зоне, также обнаружил этот самолет и производил сближение одновременно со мной. После первой нашей атаки у противника загорелся хвост, возможно, вследствие повреждения кислородных баллонов, находящихся у Ю– 88в хвостовой части фюзеляжа, и теперь нам уже не было оснований опасаться, что мы его потеряем. Чтобы не столкнуться, мы по радио договорились производить атаки с разных сторон и не переходить после атаки на противоположную сторону». Бортстрелки «Юнкерса» открыли отчаянный огонь и сумели повредить Як-1 Крюкова. Однако истребители продолжили атаковать, и в итоге бомбардировщик был объят пламенем и пошел вниз. Он упал в районе г. Озеры, в 120 км к юго-востоку от Москвы. Вероятно, это был Ju-88A W.Nr.3709 фельдфебеля В. Кремпа из II./KG3 «Блиц», который пропал без вести в ту ночь. Однако остальные бомбардировщики продолжали лететь к цели. На последнем отрезке основным ориентиром для их пилотов являлось огромное Рыбинское водохранилище. Достигнув его, они сворачивали на юго-восток и шли вдоль Волги. Над Ярославлем немецких летчиков поджидала непривычно сильная ПВО. Велся плотный заградительный огонь, на большую высоту поднимались аэростаты заграждения. П. Мёбиус из 9-й эскадрильи KG27 «Бельке» вспоминал:  «После сброса бомбе высоты 3000 м мы внезапно в лучах вражеского прожектора увидели впереди аэростаты заграждения. Мы резко ушли вверх, набрав 4000 м, и затем легли на обратный курс». Один из летчиков 6./KG27 потом тоже делился впечатлениями:  «Во время этих налетов бомбежка проводилась с 6400м. Имелась очень мощная противовоздушная оборона с тяжелыми зенитными орудиями. Практически жуткий лес из зениток!» Фактически же никакого «леса» из «тяжелых» орудий в районе Ярославля не было. Полки, защищавшие город, располагали всего 75 зенитными орудиями среднего калибра. Однако помешать бомбежке силы ПВО все же не смогли. Немецкие самолеты сбросили 130 т бомб. Были сильно разрушены складское хозяйство и жилой фонд шинного завода. Полностью сгорели цех подготовки каучука, склад каучука, смол, сажи и текстиля, а также другие вспомогательные сооружения. Первый барачный поселок, находившийся рядом с заводом, был практически стерт с лица земли. Бомбы также разрушили дом № 11 по проспекту Шмидта. Была повреждена Северная подстанция ТЭЦ № 1, при этом в ходе возникшего пожара погиб инженер Н. С. Тихонов, еще пять работников получили ранения. На заводе синтетического каучука были разрушены пять цехов, на регераторном заводе – три цеха и на асбестовом заводе – четыре цеха. После бомбежки «Хейнкели» из KG27 сделали второй заход, чтобы зафиксировать результаты попаданий своих бомб.  «Они поразили цель, о чем свидетельствовали возникшие теперь пожары. Довольные, мы берем курс к аэродрому вылета», — вспоминал Й. Вольферсбергер. Над Волгой высоко в небо поднимались огромные языки пламени, освещавшие все вокруг на большом расстоянии. Зарево пожара было видно за многие километры от Ярославля. Летчики 147-й ИАД ПВО в ходе отражения налета произвели 25 самолето-вьшетов и сбили два бомбардировщика. Старший сержант Иван Ушкалов из 959-го ИАП в районе деревни Давыдове совершил таран, после чего выпрыгнул на парашюте. Эскадра KG27 «Бельке» потеряла во время налета на Ярославль сразу три самолета:</w:t>
      </w:r>
    </w:p>
    <w:p w14:paraId="3BED138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 Не-111H-16 WNr. 160289 «1G+FN» из 5-й эскадрильи был сбит ночным истребителем. Все четыре члена экипажа – пилот обер-лейтенант Бруно Лембке, штурман унтер-офицер Вальтер Костер, бортрадист унтер-офицер Франц Фихтенбауэр и бортмеханик Отто Буркхардт – пропали без вести;</w:t>
      </w:r>
    </w:p>
    <w:p w14:paraId="11125C7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 Не-111H-16 WNr. 160286 «1G+CP» из 6./KG27 также был сбит в результате атаки ночного истребителя, и снова все пять членов его экипажа – пилот лейтенант Конрад Кребе, штурман обер-фельдфебель Артур Герстенберг, бортрадист унтер-офицер Пауль Камински, бортмеханик унтер-офицер Фриц Оттманн и бортстрелок ефрейтор Мартин Шлетт – пропали без вести;</w:t>
      </w:r>
    </w:p>
    <w:p w14:paraId="0870F1F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 Не-111H-16 WNr.8341 «1G+ER»H3 7-й эскадрильи, вероятно, был сбит зенитной артиллерией. И опять его экипаж – пилот фельдфебель Карл Зиннер, штурман ефрейтор Клаус Шварц, бортрадист унтер-офицер Отто Вайдлих и бортмеханик унтер-офицер Хайнц Лоренцмайер – пропал без вести.</w:t>
      </w:r>
    </w:p>
    <w:p w14:paraId="6FFFF3F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8-я эскадрилья KG1 «Гинденбург» лишилась двух машин:</w:t>
      </w:r>
    </w:p>
    <w:p w14:paraId="4940078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 Ju-88A-4 WNr. 144456 фельдфебеля X. Панниера пропал без вести со всем своим экипажем,</w:t>
      </w:r>
    </w:p>
    <w:p w14:paraId="386D9EF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 Ju-88A-14 WNr. 144453, получив прямое попадание зенитного снаряда, вероятно, при подходе к линии фронта, совершил вынужденную посадку в расположении своих войск, после чего полностью сгорел. Однако в отличие от предыдущего его экипаж не пострадал.</w:t>
      </w:r>
    </w:p>
    <w:p w14:paraId="6078F45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в ходе атаки ночного истребителя получил повреждения Не-111H-16W.Nrl60170 «Ю+АТ»из9-йэскадрильиKG27. При этом были ранены два члена экипажа – бортрадист обер-ефрейтор Франц Рённау и бортмеханик обер-ефрейтор Карл Хоффманн. Также, вероятно, во время налета зенитным огнем был поврежден Ju-88AWNr.8770 обер-фельдфебеля А. Меркле из IL/KG51 «Эдельвейс». Во время посадки на аэродром Брянск пилот, видимо, не справился с управлением и «Юнкере» потерпел аварию. При этом получил ранение бортстрелок.</w:t>
      </w:r>
    </w:p>
    <w:p w14:paraId="1B41F8A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общей сложности во время второго налета на Ярославль Люфтваффе потеряли пять бомбардировщиков и еще два получили повреждения. Таким образом, действия войск ПВО, в т.ч. летчиков 147-й ИАД, оказались эффективными. Располагая меньшим количеством самолетов и пилотов, чем соседний Горьковский корпусной район ПВО, ярославские ночные истребители действовали более профессионально, нанеся противнику существенные потери. Однако на этом неприятности немецких летчиков не закончились. На обратном пути у одного из «Хейнкелей» из 9-й эскадрильи KG27 внезапно отвалился винт! Причем это произошло в 500 км от линии фронта. Тем не менее экипаж проявлял хладнокровие и выдержку. П. Мёбиус потом вспоминал об этом:  «В левом двигателе возникла вибрация, и винт вместе с коком отлетел и упал вниз. Однако обтекатель двигателя остался неповрежденным. Сохранять высоту 2500—3000м на одном двигателе было нельзя. Поэтому мы включили компрессор и смогли удержаться на 2000м». Н. Фальтен, другой член экипажа этого же самолета, рассказывал:  «Нам предстояло преодолеть над вражеской территорией до позиций своих войск еще 500 км. После того как мы сбалансировали машину, я решил сбросить тяжелые плиты бронезащиты. Если бы самолет начал терять высоту, мы бы выбросили их. По в этом не было необходимости». Не-111 не только дотянул до линии фронта, но и благополучно приземлился на аэродроме Олсуфьево. Возвращались из опасного вылета и другие уставшие экипажи. Й. Вольферсбергер вспоминал:  «Мы снова пролетаем мимо Москвы, и вскоре впереди появляются признаки линии фронта: пожары, взлетающие осветительные ракеты и артиллерийский огонь. Затем мы скоро видим сигнальные огни нашего аэродрома и приземляемся. Мы выбираемся из самолетов и отправляемся на командный пункт, чтобы составить рапорты. Потом едем на свои квартиры, чтобы здоровым сном снять напряжение этого вылета» (11774).</w:t>
      </w:r>
    </w:p>
    <w:p w14:paraId="4CEC289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DDABC8"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июня 1943 Гиммлер приказал уничтожить все еврейские гетто в оккупированной России (4962).</w:t>
      </w:r>
    </w:p>
    <w:p w14:paraId="4513CE5B"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E04377"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6D88EDD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1A3BF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21 июня 1943 Берия подписал приказ № 0246 “Об организации отделов (отделений) по борьбе с детской беспризорностью и безнадзорностью и о создании трудовых воспитательных колоний НКВД”, на основании которого на базе отдела колоний для несовершеннолетних УИТК ГУЛАГа был организован самостоятельный Отдел НКВД СССР по борьбе с детской беспризорностью и безнадзорностью (ОБДББ), начальником которого был назначен Ф. А. Леонюк (в 1938-1939 годах помощник, затем - зам. начальника ГУЛАГа, позднее - начальник ряда строек НКВД, в том числе объектов ГУОБР) (7560).</w:t>
      </w:r>
    </w:p>
    <w:p w14:paraId="3E7C006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281854"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3B3A2F1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2DB117"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июня</w:t>
      </w:r>
      <w:r w:rsidRPr="00D03F3E">
        <w:rPr>
          <w:rFonts w:ascii="Times New Roman" w:hAnsi="Times New Roman"/>
          <w:color w:val="000000" w:themeColor="text1"/>
          <w:sz w:val="16"/>
          <w:szCs w:val="16"/>
        </w:rPr>
        <w:t xml:space="preserve"> в 1943 году первый полет первого серийного английского многоцелевого истребителя ""Темпеста" V, испытатель Б.Хамбл. Серийные самолеты имели уже не "автомобильные" двери, о фонарь - "пузырь" с обычной сдвижной секцией. Первые 100 истребителей, названные серией 1, имели пушки «Испано» «Мк. II» с боезапасом 200 снарядовна ствол (у "Тайфуна" приходилось по 140 снарядов но одну пушку). Стволы пушек немного выступали из крыло. Позднее, на серии 2, смонтировали пушки «Испано» «Mk.V», с более короткими стволами. Внесли и еще ряд мелких изменений. Еще позже вместо двигателя "Сейбр" ПА стали ставить ПВ или ПС (14929).</w:t>
      </w:r>
    </w:p>
    <w:p w14:paraId="6DEFA57B" w14:textId="77777777" w:rsidR="00E10840" w:rsidRPr="00D03F3E" w:rsidRDefault="00E10840" w:rsidP="00D03F3E">
      <w:pPr>
        <w:spacing w:after="0" w:line="240" w:lineRule="auto"/>
        <w:jc w:val="both"/>
        <w:rPr>
          <w:rFonts w:ascii="Times New Roman" w:hAnsi="Times New Roman"/>
          <w:color w:val="000000" w:themeColor="text1"/>
          <w:sz w:val="16"/>
          <w:szCs w:val="16"/>
        </w:rPr>
      </w:pPr>
    </w:p>
    <w:p w14:paraId="1DAC4FA1"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июня</w:t>
      </w:r>
      <w:r w:rsidRPr="00D03F3E">
        <w:rPr>
          <w:rFonts w:ascii="Times New Roman" w:hAnsi="Times New Roman"/>
          <w:color w:val="000000" w:themeColor="text1"/>
          <w:sz w:val="16"/>
          <w:szCs w:val="16"/>
        </w:rPr>
        <w:t xml:space="preserve"> в 1943 году немецкий вертолет </w:t>
      </w:r>
      <w:hyperlink r:id="rId208" w:tgtFrame="_blank" w:history="1">
        <w:r w:rsidRPr="00D03F3E">
          <w:rPr>
            <w:rFonts w:ascii="Times New Roman" w:hAnsi="Times New Roman"/>
            <w:color w:val="000000" w:themeColor="text1"/>
            <w:sz w:val="16"/>
            <w:szCs w:val="16"/>
          </w:rPr>
          <w:t xml:space="preserve">«Fa 223E» «V11», </w:t>
        </w:r>
      </w:hyperlink>
      <w:r w:rsidRPr="00D03F3E">
        <w:rPr>
          <w:rFonts w:ascii="Times New Roman" w:hAnsi="Times New Roman"/>
          <w:color w:val="000000" w:themeColor="text1"/>
          <w:sz w:val="16"/>
          <w:szCs w:val="16"/>
        </w:rPr>
        <w:t>первый из собранных в Лаупхейме, участвовал в показательных полетах для съемок фильма. Перевозились на внешней подвеске различные грузы: фюзеляжи фирмы Физелер "Шторьх" и 2Bf 109», авиационный двигатель и хвостовая балка от «FW189». Вертолет, зависая, опускал грузы на колесные прицепы. Вертолет поднимал агрегаты попавшего в болото «Do 217», но сам потерпел аварию. Тогда «Fa 223E» «V14», пилотируемый шеф-пилотом Карлом Боде и летчиком-испытателем люфтваффе Герстенхауэром, вылетел из Лаулхейма на спасательную операцию. «V11» разобрали и подготовили к транспортировке сотрудники "Фокке-Ахгелис" (14929).</w:t>
      </w:r>
    </w:p>
    <w:p w14:paraId="76779559" w14:textId="77777777" w:rsidR="00E10840" w:rsidRPr="00D03F3E" w:rsidRDefault="00E10840" w:rsidP="00D03F3E">
      <w:pPr>
        <w:spacing w:after="0" w:line="240" w:lineRule="auto"/>
        <w:jc w:val="both"/>
        <w:rPr>
          <w:rFonts w:ascii="Times New Roman" w:hAnsi="Times New Roman"/>
          <w:color w:val="000000" w:themeColor="text1"/>
          <w:sz w:val="16"/>
          <w:szCs w:val="16"/>
        </w:rPr>
      </w:pPr>
    </w:p>
    <w:p w14:paraId="44D683BD" w14:textId="77777777" w:rsidR="00D94FD8" w:rsidRPr="00D03F3E" w:rsidRDefault="00D94FD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21 июня 1943 первая авиабаза, предназначенная для использования бомбардировщиками B-29 Superfortress при атаках на Японию - армейский аэродром Шемья, открывается на Шеме на Алеутских островах . Однако B-29 вместо этого атакуют Японию с баз в Китае и на Марианских островах, и только один B-29 - небоевым полетом - посещает Шемю во время Второй мировой войны (20376).</w:t>
      </w:r>
    </w:p>
    <w:p w14:paraId="7488CCF0" w14:textId="77777777" w:rsidR="00D94FD8" w:rsidRPr="00D03F3E" w:rsidRDefault="00D94FD8" w:rsidP="00D03F3E">
      <w:pPr>
        <w:spacing w:after="0" w:line="240" w:lineRule="auto"/>
        <w:jc w:val="both"/>
        <w:rPr>
          <w:rFonts w:ascii="Times New Roman" w:hAnsi="Times New Roman"/>
          <w:color w:val="0070C0"/>
          <w:sz w:val="16"/>
          <w:szCs w:val="16"/>
        </w:rPr>
      </w:pPr>
    </w:p>
    <w:p w14:paraId="32E5A075" w14:textId="77777777" w:rsidR="00D94FD8" w:rsidRPr="00D03F3E" w:rsidRDefault="00D94FD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21–22 июня (ночь) 1943 705 британских бомбардировщиков атакуют Крефельд, Германия, потеряв 44 из своего числа (20376).</w:t>
      </w:r>
    </w:p>
    <w:p w14:paraId="2E4986FD" w14:textId="77777777" w:rsidR="00D94FD8" w:rsidRPr="00D03F3E" w:rsidRDefault="00D94FD8" w:rsidP="00D03F3E">
      <w:pPr>
        <w:spacing w:after="0" w:line="240" w:lineRule="auto"/>
        <w:jc w:val="both"/>
        <w:rPr>
          <w:rFonts w:ascii="Times New Roman" w:hAnsi="Times New Roman"/>
          <w:color w:val="0070C0"/>
          <w:sz w:val="16"/>
          <w:szCs w:val="16"/>
        </w:rPr>
      </w:pPr>
    </w:p>
    <w:p w14:paraId="64A96A9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lang w:val="en-US"/>
        </w:rPr>
        <w:t>June</w:t>
      </w:r>
      <w:r w:rsidRPr="00D03F3E">
        <w:rPr>
          <w:rFonts w:ascii="Times New Roman" w:hAnsi="Times New Roman"/>
          <w:color w:val="000000" w:themeColor="text1"/>
          <w:sz w:val="16"/>
          <w:szCs w:val="16"/>
        </w:rPr>
        <w:t xml:space="preserve"> 21</w:t>
      </w:r>
      <w:r w:rsidRPr="00D03F3E">
        <w:rPr>
          <w:rFonts w:ascii="Times New Roman" w:hAnsi="Times New Roman"/>
          <w:color w:val="000000" w:themeColor="text1"/>
          <w:sz w:val="16"/>
          <w:szCs w:val="16"/>
          <w:lang w:val="en-US"/>
        </w:rPr>
        <w:t>st</w:t>
      </w:r>
      <w:r w:rsidRPr="00D03F3E">
        <w:rPr>
          <w:rFonts w:ascii="Times New Roman" w:hAnsi="Times New Roman"/>
          <w:color w:val="000000" w:themeColor="text1"/>
          <w:sz w:val="16"/>
          <w:szCs w:val="16"/>
        </w:rPr>
        <w:t xml:space="preserve">, 1943: </w:t>
      </w:r>
      <w:r w:rsidRPr="00D03F3E">
        <w:rPr>
          <w:rFonts w:ascii="Times New Roman" w:hAnsi="Times New Roman"/>
          <w:color w:val="000000" w:themeColor="text1"/>
          <w:sz w:val="16"/>
          <w:szCs w:val="16"/>
          <w:lang w:val="en-US"/>
        </w:rPr>
        <w:t>TheRAFlaunchesaheavyraidonKrefeldintheRuhr</w:t>
      </w:r>
      <w:r w:rsidRPr="00D03F3E">
        <w:rPr>
          <w:rFonts w:ascii="Times New Roman" w:hAnsi="Times New Roman"/>
          <w:color w:val="000000" w:themeColor="text1"/>
          <w:sz w:val="16"/>
          <w:szCs w:val="16"/>
        </w:rPr>
        <w:t xml:space="preserve"> (44 </w:t>
      </w:r>
      <w:r w:rsidRPr="00D03F3E">
        <w:rPr>
          <w:rFonts w:ascii="Times New Roman" w:hAnsi="Times New Roman"/>
          <w:color w:val="000000" w:themeColor="text1"/>
          <w:sz w:val="16"/>
          <w:szCs w:val="16"/>
          <w:lang w:val="en-US"/>
        </w:rPr>
        <w:t>aircraftlost</w:t>
      </w:r>
      <w:r w:rsidRPr="00D03F3E">
        <w:rPr>
          <w:rFonts w:ascii="Times New Roman" w:hAnsi="Times New Roman"/>
          <w:color w:val="000000" w:themeColor="text1"/>
          <w:sz w:val="16"/>
          <w:szCs w:val="16"/>
        </w:rPr>
        <w:t>) (3819).</w:t>
      </w:r>
    </w:p>
    <w:p w14:paraId="526A4AF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CABD1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июня 1943 Королевские ВВС совершили массированный налет на Крефелд в Руре (потеряно 44 самолета) (3819).</w:t>
      </w:r>
    </w:p>
    <w:p w14:paraId="46C539F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4E1A1E" w14:textId="77777777" w:rsidR="00E10840" w:rsidRPr="00D03F3E" w:rsidRDefault="00E10840"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21 июня</w:t>
      </w:r>
      <w:r w:rsidRPr="00D03F3E">
        <w:rPr>
          <w:rFonts w:ascii="Times New Roman" w:hAnsi="Times New Roman"/>
          <w:color w:val="000000" w:themeColor="text1"/>
          <w:sz w:val="16"/>
          <w:szCs w:val="16"/>
        </w:rPr>
        <w:t xml:space="preserve"> в 1943 году высадкой американского батальона морской пехоты на остров Нью-Джорджия началась операция по овладению Соломоновыми островами. 30 июня американо-австралийские войска высадились на Новой Гвинее. Начало массированного наступления союзных войск на Тихом океане («прыжки по островам»). Операция по овладению островами, имевшими большое стратегическое и экономическое значение, явилась продолжением начатого в 1942 г. наступления на Тихом океане и сыграла значительную роль в разгроме японских армии и флота (14929).</w:t>
      </w:r>
    </w:p>
    <w:p w14:paraId="2A4CB2C3" w14:textId="77777777" w:rsidR="00E10840" w:rsidRPr="00D03F3E" w:rsidRDefault="00E10840" w:rsidP="00D03F3E">
      <w:pPr>
        <w:spacing w:after="0" w:line="240" w:lineRule="auto"/>
        <w:jc w:val="both"/>
        <w:rPr>
          <w:rFonts w:ascii="Times New Roman" w:hAnsi="Times New Roman"/>
          <w:color w:val="000000" w:themeColor="text1"/>
          <w:sz w:val="16"/>
          <w:szCs w:val="16"/>
        </w:rPr>
      </w:pPr>
    </w:p>
    <w:p w14:paraId="5B72AFB7"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59CBE74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739867"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22 июня 1943 закончились госиспытания одного из пяти изготовленных в апреле 30-м авиазаводом Ил-2 с НС-37 головной серии (зав. № 302349), который поступил на государственные испытания в НИИ ВВС КА 27 мая 1943. Было выполнено 26 полетов с налетом 11 час. 35 мин. (ведущий летчик-испытатель А.И.Кабанов, ведущий инженер В.С.Холопов, летчики облета майор А.К.Долгов и инженер-майор А.В. Синельников). </w:t>
      </w:r>
    </w:p>
    <w:p w14:paraId="33AAA7EC"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Предъявленный на госиспытания штурмовик отличался от серийных Ил-2 только установкой двух пушек НС-37 с боекомплектом по 60 снарядов на ствол и отсутствием PC. Нормальная бомбовая нагрузка - 200 кг. </w:t>
      </w:r>
    </w:p>
    <w:p w14:paraId="34F8CFFE"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Ленточное питание пушек НС-37 позволило специалистам ОКБ С.В.Ильюшина разместить их непосредственно у нижней поверхности крыла с использованием конструктивно очень простого и быстроразъемного крепления. Пушки закрывались относительно небольшими обтекателями, каждый из которых состоял из двух легко открывающихся створок. Боекомплект к каждой пушке укладывался непосредственно в отсеки крыла. Вес одной пушки НС-37 с боекомплектом равнялся 256 кг. </w:t>
      </w:r>
    </w:p>
    <w:p w14:paraId="48501326"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При полетном весе 6277 кг максимальная скорость штурмовика на высоте 1320 м составила 387 км/ч, у земли - 375 км/ч. Практический потолок нового самолета не превышал 5200 м, при этом время подъема на высоту 1000 м составляло 3 мин. Максимальная дальность полета штурмовика не превышала 685 км. </w:t>
      </w:r>
    </w:p>
    <w:p w14:paraId="42FB6468"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 сравнению с серийными "Илами" вооруженными пушками ШВАК или ВЯ, Ил-2 с НС-37 и с бомбовым грузом в 200 кг стал более инертным, сложным на вираже и на боевом развороте. </w:t>
      </w:r>
    </w:p>
    <w:p w14:paraId="4147CE2F"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Ухудшение пилотажных характеристик нового штурмовика, так же как и Ил-2 с пушками ШФК-37, было связано с большим разносом масс по размаху крыла и наличием обтекателей пушек, ухудшающих общую аэродинамику самолета. Во всем диапазоне центровок Ил-2 с НС-37 не имел продольной устойчивости, что существенно снижало прицельность стрельбы в воздухе (11470).</w:t>
      </w:r>
    </w:p>
    <w:p w14:paraId="7ABDCA32"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p>
    <w:p w14:paraId="5E02DA4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22 июня в 1943 году успешно завершились в НИИ ВВС КА государственные испытания </w:t>
      </w:r>
      <w:hyperlink r:id="rId209" w:tgtFrame="_blank" w:history="1">
        <w:r w:rsidRPr="00D03F3E">
          <w:rPr>
            <w:rFonts w:ascii="Times New Roman" w:hAnsi="Times New Roman"/>
            <w:color w:val="000000" w:themeColor="text1"/>
            <w:sz w:val="16"/>
            <w:szCs w:val="16"/>
          </w:rPr>
          <w:t xml:space="preserve">«Ил-2» с «НС-37» </w:t>
        </w:r>
      </w:hyperlink>
      <w:r w:rsidRPr="00D03F3E">
        <w:rPr>
          <w:rFonts w:ascii="Times New Roman" w:hAnsi="Times New Roman"/>
          <w:color w:val="000000" w:themeColor="text1"/>
          <w:sz w:val="16"/>
          <w:szCs w:val="16"/>
        </w:rPr>
        <w:t>головной серии (заводской № 302349), ведущий летчик-испытатель А.И.Кабанов, ведущий инженер В.С.Холопов, летчики облета майор А.К.Долгов и инженер-майор А.В.Синельников. Предъявленный на госиспытания штурмовик отличался от серийных «Ил-2» только установкой двух пушек «НС-37» с боекомплектом по 60 снарядов на ствол и отсутствием PC. Нормальная бомбовая нагрузка - 200 кг (14930).</w:t>
      </w:r>
    </w:p>
    <w:p w14:paraId="2E7D7272" w14:textId="77777777" w:rsidR="00B8369C" w:rsidRPr="00D03F3E" w:rsidRDefault="00B8369C" w:rsidP="00D03F3E">
      <w:pPr>
        <w:spacing w:after="0" w:line="240" w:lineRule="auto"/>
        <w:jc w:val="both"/>
        <w:rPr>
          <w:rFonts w:ascii="Times New Roman" w:hAnsi="Times New Roman"/>
          <w:color w:val="000000" w:themeColor="text1"/>
          <w:sz w:val="16"/>
          <w:szCs w:val="16"/>
        </w:rPr>
      </w:pPr>
    </w:p>
    <w:p w14:paraId="1D9C5B47" w14:textId="77777777" w:rsidR="00E10C4E" w:rsidRPr="00D03F3E" w:rsidRDefault="00E10C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22 июня 1943 г. закончился первый этап контрольных государственных испытаний головного серийного Ил-2 зав. № 302349 с пушками 11П. Акт был утвержден главным инженером ВВС генералом А. К. Репиным 8 июля с замечанием: «По постановлению ГКО № 3144 Ил-2 с пушками 37 мм ОКБ-15 должен иметь боекомплект 100 патронов и 100 кг бомб. При такой нагрузке и надо было ис</w:t>
      </w:r>
      <w:r w:rsidRPr="00D03F3E">
        <w:rPr>
          <w:color w:val="000000" w:themeColor="text1"/>
          <w:sz w:val="16"/>
          <w:szCs w:val="16"/>
        </w:rPr>
        <w:softHyphen/>
        <w:t>пытывать».</w:t>
      </w:r>
    </w:p>
    <w:p w14:paraId="126680CC" w14:textId="77777777" w:rsidR="00E10C4E" w:rsidRPr="00D03F3E" w:rsidRDefault="00E10C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ходе доводки пушечного вооружения на Ил-2 зав. № 302349 был изменен профиль горловины патронного рукава с добавлением к двум направляю</w:t>
      </w:r>
      <w:r w:rsidRPr="00D03F3E">
        <w:rPr>
          <w:color w:val="000000" w:themeColor="text1"/>
          <w:sz w:val="16"/>
          <w:szCs w:val="16"/>
        </w:rPr>
        <w:softHyphen/>
        <w:t>щим роликам еще двух таких же роликов, а также устранены производственные дефекты патронных ящиков.</w:t>
      </w:r>
    </w:p>
    <w:p w14:paraId="0167C8F6" w14:textId="77777777" w:rsidR="00E10C4E" w:rsidRPr="00D03F3E" w:rsidRDefault="00E10C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После доработок было выполнено 7 полетов со стрельбой в воздухе на режимах горизонтального полета и кабрирования, а также с планирования и пикирования до угла 30° по наземным мишеням. Расход снарядов составил 739 снарядов.</w:t>
      </w:r>
    </w:p>
    <w:p w14:paraId="05953759" w14:textId="77777777" w:rsidR="00E10C4E" w:rsidRPr="00D03F3E" w:rsidRDefault="00E10C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Отстрел пушек 11П производился с целью вы</w:t>
      </w:r>
      <w:r w:rsidRPr="00D03F3E">
        <w:rPr>
          <w:color w:val="000000" w:themeColor="text1"/>
          <w:sz w:val="16"/>
          <w:szCs w:val="16"/>
        </w:rPr>
        <w:softHyphen/>
        <w:t>явления особенностей поведения самолета Ил-2 при стрельбе, определения удобства прицеливания, возможности пораже</w:t>
      </w:r>
      <w:r w:rsidRPr="00D03F3E">
        <w:rPr>
          <w:color w:val="000000" w:themeColor="text1"/>
          <w:sz w:val="16"/>
          <w:szCs w:val="16"/>
        </w:rPr>
        <w:softHyphen/>
        <w:t>ния точечных целей. Пушки пристре</w:t>
      </w:r>
      <w:r w:rsidRPr="00D03F3E">
        <w:rPr>
          <w:color w:val="000000" w:themeColor="text1"/>
          <w:sz w:val="16"/>
          <w:szCs w:val="16"/>
        </w:rPr>
        <w:softHyphen/>
        <w:t>ливались на дистанцию 800 м.</w:t>
      </w:r>
    </w:p>
    <w:p w14:paraId="48790ABA" w14:textId="77777777" w:rsidR="00E10C4E" w:rsidRPr="00D03F3E" w:rsidRDefault="00E10C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стрельбах выяснилось, что правая пушечная установка (пушка зав. № АГ-191) работала удовлетво</w:t>
      </w:r>
      <w:r w:rsidRPr="00D03F3E">
        <w:rPr>
          <w:color w:val="000000" w:themeColor="text1"/>
          <w:sz w:val="16"/>
          <w:szCs w:val="16"/>
        </w:rPr>
        <w:softHyphen/>
        <w:t>рительно, а в левой установке (пушка зав. № АГ-242) «остались неустраненными выпадения патронов из лен</w:t>
      </w:r>
      <w:r w:rsidRPr="00D03F3E">
        <w:rPr>
          <w:color w:val="000000" w:themeColor="text1"/>
          <w:sz w:val="16"/>
          <w:szCs w:val="16"/>
        </w:rPr>
        <w:softHyphen/>
        <w:t>ты при расстреле последних 4—15 патронов боекомплекта, приводя</w:t>
      </w:r>
      <w:r w:rsidRPr="00D03F3E">
        <w:rPr>
          <w:color w:val="000000" w:themeColor="text1"/>
          <w:sz w:val="16"/>
          <w:szCs w:val="16"/>
        </w:rPr>
        <w:softHyphen/>
        <w:t>щие к рассоединению ленты» (всего 4 случая).</w:t>
      </w:r>
    </w:p>
    <w:p w14:paraId="669D6C26" w14:textId="77777777" w:rsidR="00E10C4E" w:rsidRPr="00D03F3E" w:rsidRDefault="00E10C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то же время сами пушки, уста</w:t>
      </w:r>
      <w:r w:rsidRPr="00D03F3E">
        <w:rPr>
          <w:color w:val="000000" w:themeColor="text1"/>
          <w:sz w:val="16"/>
          <w:szCs w:val="16"/>
        </w:rPr>
        <w:softHyphen/>
        <w:t>новленные на самолете, работали хорошо. За все время испытаний по вине пушек имела место всего одна задержка — «неотброс затвора».</w:t>
      </w:r>
    </w:p>
    <w:p w14:paraId="404AE1F2" w14:textId="77777777" w:rsidR="00E10C4E" w:rsidRPr="00D03F3E" w:rsidRDefault="00E10C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Максимальная емкость патрон</w:t>
      </w:r>
      <w:r w:rsidRPr="00D03F3E">
        <w:rPr>
          <w:color w:val="000000" w:themeColor="text1"/>
          <w:sz w:val="16"/>
          <w:szCs w:val="16"/>
        </w:rPr>
        <w:softHyphen/>
        <w:t>ных ящиков пушек 11П равнялась 60 снарядам, при испытаниях в них загружали не более 50—55 снаря</w:t>
      </w:r>
      <w:r w:rsidRPr="00D03F3E">
        <w:rPr>
          <w:color w:val="000000" w:themeColor="text1"/>
          <w:sz w:val="16"/>
          <w:szCs w:val="16"/>
        </w:rPr>
        <w:softHyphen/>
        <w:t>дов. При этом наиболее благоприят</w:t>
      </w:r>
      <w:r w:rsidRPr="00D03F3E">
        <w:rPr>
          <w:color w:val="000000" w:themeColor="text1"/>
          <w:sz w:val="16"/>
          <w:szCs w:val="16"/>
        </w:rPr>
        <w:softHyphen/>
        <w:t>ной укладкой ленты, для исключения задевания звеньев съемниками, яв</w:t>
      </w:r>
      <w:r w:rsidRPr="00D03F3E">
        <w:rPr>
          <w:color w:val="000000" w:themeColor="text1"/>
          <w:sz w:val="16"/>
          <w:szCs w:val="16"/>
        </w:rPr>
        <w:softHyphen/>
        <w:t>ляется укладка нижнего горизонталь</w:t>
      </w:r>
      <w:r w:rsidRPr="00D03F3E">
        <w:rPr>
          <w:color w:val="000000" w:themeColor="text1"/>
          <w:sz w:val="16"/>
          <w:szCs w:val="16"/>
        </w:rPr>
        <w:softHyphen/>
        <w:t>ного ряда и последующей вертикаль</w:t>
      </w:r>
      <w:r w:rsidRPr="00D03F3E">
        <w:rPr>
          <w:color w:val="000000" w:themeColor="text1"/>
          <w:sz w:val="16"/>
          <w:szCs w:val="16"/>
        </w:rPr>
        <w:softHyphen/>
        <w:t>ной змейкой (укладка начинается от пушки).</w:t>
      </w:r>
    </w:p>
    <w:p w14:paraId="13CAC939" w14:textId="77777777" w:rsidR="00E10C4E" w:rsidRPr="00D03F3E" w:rsidRDefault="00E10C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Стрельба в горизонтальном по</w:t>
      </w:r>
      <w:r w:rsidRPr="00D03F3E">
        <w:rPr>
          <w:color w:val="000000" w:themeColor="text1"/>
          <w:sz w:val="16"/>
          <w:szCs w:val="16"/>
        </w:rPr>
        <w:softHyphen/>
        <w:t>лете и на кабрировании произво</w:t>
      </w:r>
      <w:r w:rsidRPr="00D03F3E">
        <w:rPr>
          <w:color w:val="000000" w:themeColor="text1"/>
          <w:sz w:val="16"/>
          <w:szCs w:val="16"/>
        </w:rPr>
        <w:softHyphen/>
        <w:t>дилась на скоростях 320, 300, 270, 250 и 230 км/ч по прибору одновре</w:t>
      </w:r>
      <w:r w:rsidRPr="00D03F3E">
        <w:rPr>
          <w:color w:val="000000" w:themeColor="text1"/>
          <w:sz w:val="16"/>
          <w:szCs w:val="16"/>
        </w:rPr>
        <w:softHyphen/>
        <w:t>менно из обеих пушек и раздельно из правой и левой пушек. При этом «при стрельбе из обеих пушек самолет испытыва</w:t>
      </w:r>
      <w:r w:rsidRPr="00D03F3E">
        <w:rPr>
          <w:color w:val="000000" w:themeColor="text1"/>
          <w:sz w:val="16"/>
          <w:szCs w:val="16"/>
        </w:rPr>
        <w:softHyphen/>
        <w:t>ет значительные толчки, причем чем меньше ско</w:t>
      </w:r>
      <w:r w:rsidRPr="00D03F3E">
        <w:rPr>
          <w:color w:val="000000" w:themeColor="text1"/>
          <w:sz w:val="16"/>
          <w:szCs w:val="16"/>
        </w:rPr>
        <w:softHyphen/>
        <w:t>рость, тем сильнее толчки». При стрельбе из одной пушки «самолет резко разворачивает в сторону стреляющей пушки, и если его не парировать, то разворот достигает 30° и более».</w:t>
      </w:r>
    </w:p>
    <w:p w14:paraId="65964E0C" w14:textId="77777777" w:rsidR="00E10C4E" w:rsidRPr="00D03F3E" w:rsidRDefault="00E10C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Стрельба по наземным мишеням проводи</w:t>
      </w:r>
      <w:r w:rsidRPr="00D03F3E">
        <w:rPr>
          <w:color w:val="000000" w:themeColor="text1"/>
          <w:sz w:val="16"/>
          <w:szCs w:val="16"/>
        </w:rPr>
        <w:softHyphen/>
        <w:t>лась с планирования и пикирования под углами 10° и 30°. Было установлено, что наиболее выгод</w:t>
      </w:r>
      <w:r w:rsidRPr="00D03F3E">
        <w:rPr>
          <w:color w:val="000000" w:themeColor="text1"/>
          <w:sz w:val="16"/>
          <w:szCs w:val="16"/>
        </w:rPr>
        <w:softHyphen/>
        <w:t>ным является угол 30°, «так как при меньших углах благодаря плохой продольной устойчивости само лет сильнее колеблется в продольной плоскости и прицеливание затруднено».</w:t>
      </w:r>
    </w:p>
    <w:p w14:paraId="523D00FE" w14:textId="77777777" w:rsidR="00E10C4E" w:rsidRPr="00D03F3E" w:rsidRDefault="00E10C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Выход на цель лучше производить с разворота под 45° к плоскости пикирования с высоты 500 м, «так как цель в этом случае все время находит</w:t>
      </w:r>
      <w:r w:rsidRPr="00D03F3E">
        <w:rPr>
          <w:color w:val="000000" w:themeColor="text1"/>
          <w:sz w:val="16"/>
          <w:szCs w:val="16"/>
        </w:rPr>
        <w:softHyphen/>
        <w:t>ся в поле зрения летчика и получаются меньшие ошибки в наводке по направлению». Ввод в пики</w:t>
      </w:r>
      <w:r w:rsidRPr="00D03F3E">
        <w:rPr>
          <w:color w:val="000000" w:themeColor="text1"/>
          <w:sz w:val="16"/>
          <w:szCs w:val="16"/>
        </w:rPr>
        <w:softHyphen/>
        <w:t>рование выполняется при скорости 260—270 км/ч по прибору. Дистанция стрельбы при указанных условиях получается порядка 900—400 м. Вывод из пикирования «необходимо было начинать с таким расчетом, чтобы при выходе на горизонтальном по</w:t>
      </w:r>
      <w:r w:rsidRPr="00D03F3E">
        <w:rPr>
          <w:color w:val="000000" w:themeColor="text1"/>
          <w:sz w:val="16"/>
          <w:szCs w:val="16"/>
        </w:rPr>
        <w:softHyphen/>
        <w:t>лете иметь высоту не менее 100 м». То есть с высо</w:t>
      </w:r>
      <w:r w:rsidRPr="00D03F3E">
        <w:rPr>
          <w:color w:val="000000" w:themeColor="text1"/>
          <w:sz w:val="16"/>
          <w:szCs w:val="16"/>
        </w:rPr>
        <w:softHyphen/>
        <w:t>ты 200 м при перегрузке на выводе 2,5—3 единицы.</w:t>
      </w:r>
    </w:p>
    <w:p w14:paraId="095BF9ED" w14:textId="77777777" w:rsidR="00E10C4E" w:rsidRPr="00D03F3E" w:rsidRDefault="00E10C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стрельбе из 2 пушек «чувствуется значи</w:t>
      </w:r>
      <w:r w:rsidRPr="00D03F3E">
        <w:rPr>
          <w:color w:val="000000" w:themeColor="text1"/>
          <w:sz w:val="16"/>
          <w:szCs w:val="16"/>
        </w:rPr>
        <w:softHyphen/>
        <w:t>тельная отдача назад». Вследствие плохой про</w:t>
      </w:r>
      <w:r w:rsidRPr="00D03F3E">
        <w:rPr>
          <w:color w:val="000000" w:themeColor="text1"/>
          <w:sz w:val="16"/>
          <w:szCs w:val="16"/>
        </w:rPr>
        <w:softHyphen/>
        <w:t>дольной устойчивости самолета прицеливание нарушается после первых же выстрелов и «получа</w:t>
      </w:r>
      <w:r w:rsidRPr="00D03F3E">
        <w:rPr>
          <w:color w:val="000000" w:themeColor="text1"/>
          <w:sz w:val="16"/>
          <w:szCs w:val="16"/>
        </w:rPr>
        <w:softHyphen/>
        <w:t xml:space="preserve">ется разброс снарядов, особенно при асинхронной работе пушек». Поэтому «прицельное поражение точечной цели (одиночный танк) </w:t>
      </w:r>
      <w:r w:rsidRPr="00D03F3E">
        <w:rPr>
          <w:color w:val="000000" w:themeColor="text1"/>
          <w:sz w:val="16"/>
          <w:szCs w:val="16"/>
        </w:rPr>
        <w:lastRenderedPageBreak/>
        <w:t>возможно только из первой очереди, а возможно, даже и только из первых выстрелов». По этой причине стрельбу не</w:t>
      </w:r>
      <w:r w:rsidRPr="00D03F3E">
        <w:rPr>
          <w:color w:val="000000" w:themeColor="text1"/>
          <w:sz w:val="16"/>
          <w:szCs w:val="16"/>
        </w:rPr>
        <w:softHyphen/>
        <w:t>обходимо было вести только короткими очередями по 2—3 выстрела. Внесение поправок в прицелива</w:t>
      </w:r>
      <w:r w:rsidRPr="00D03F3E">
        <w:rPr>
          <w:color w:val="000000" w:themeColor="text1"/>
          <w:sz w:val="16"/>
          <w:szCs w:val="16"/>
        </w:rPr>
        <w:softHyphen/>
        <w:t>ние было возможным, но требует от летчиков опре</w:t>
      </w:r>
      <w:r w:rsidRPr="00D03F3E">
        <w:rPr>
          <w:color w:val="000000" w:themeColor="text1"/>
          <w:sz w:val="16"/>
          <w:szCs w:val="16"/>
        </w:rPr>
        <w:softHyphen/>
        <w:t>деленного навыка. При этом максимальная длина очереди ограничивалась 3—4 выстрелами. За один заход с высоты 500 м при соответствующей трени</w:t>
      </w:r>
      <w:r w:rsidRPr="00D03F3E">
        <w:rPr>
          <w:color w:val="000000" w:themeColor="text1"/>
          <w:sz w:val="16"/>
          <w:szCs w:val="16"/>
        </w:rPr>
        <w:softHyphen/>
        <w:t>ровке можно было выполнить 3—4 прицельные очереди.</w:t>
      </w:r>
    </w:p>
    <w:p w14:paraId="288FB0EC" w14:textId="77777777" w:rsidR="00E10C4E" w:rsidRPr="00D03F3E" w:rsidRDefault="00E10C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 стрельбе из одной пушки самолет силь</w:t>
      </w:r>
      <w:r w:rsidRPr="00D03F3E">
        <w:rPr>
          <w:color w:val="000000" w:themeColor="text1"/>
          <w:sz w:val="16"/>
          <w:szCs w:val="16"/>
        </w:rPr>
        <w:softHyphen/>
        <w:t>но разворачивает в сторону стреляющей пушки, «стрельба становится неприцельной, и удержать самолет в заданном направлении невозможно». Даже при парировании разворота «в момент стрельбы разрывы ложатся в сторону стреляющей пушки». В этом случае требовалось «стрелять еще более короткой очередью с небольшим боковым упреждением».</w:t>
      </w:r>
    </w:p>
    <w:p w14:paraId="2B830D93" w14:textId="77777777" w:rsidR="00E10C4E" w:rsidRPr="00D03F3E" w:rsidRDefault="00E10C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Прицел ВВ-1 не отвечает требованиям прицель</w:t>
      </w:r>
      <w:r w:rsidRPr="00D03F3E">
        <w:rPr>
          <w:color w:val="000000" w:themeColor="text1"/>
          <w:sz w:val="16"/>
          <w:szCs w:val="16"/>
        </w:rPr>
        <w:softHyphen/>
        <w:t>ной стрельбы из пушек 11П по точечным целям с самолета Ил-2. Получалось так, что цель разме</w:t>
      </w:r>
      <w:r w:rsidRPr="00D03F3E">
        <w:rPr>
          <w:color w:val="000000" w:themeColor="text1"/>
          <w:sz w:val="16"/>
          <w:szCs w:val="16"/>
        </w:rPr>
        <w:softHyphen/>
        <w:t>рами 6x6 м с дистанции 900—800 м закрывается мушкой, а «совмещение перекрестия на козырь</w:t>
      </w:r>
      <w:r w:rsidRPr="00D03F3E">
        <w:rPr>
          <w:color w:val="000000" w:themeColor="text1"/>
          <w:sz w:val="16"/>
          <w:szCs w:val="16"/>
        </w:rPr>
        <w:softHyphen/>
        <w:t>ке с мушкой после первого выстрела нарушается и впоследствии трудно возобновляется». К тому же «наводка затрудняется также плохим качеством прозрачной брони (искажает)».</w:t>
      </w:r>
    </w:p>
    <w:p w14:paraId="5DAC90F3" w14:textId="77777777" w:rsidR="00E10C4E" w:rsidRPr="00D03F3E" w:rsidRDefault="00E10C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Средний процент попаданий в круг диаметром 60 м составил 33,3% (диапазон — от 22,3 до 71,5%), а в цель размерами 6x6 м — всего 2,65% (диапа</w:t>
      </w:r>
      <w:r w:rsidRPr="00D03F3E">
        <w:rPr>
          <w:color w:val="000000" w:themeColor="text1"/>
          <w:sz w:val="16"/>
          <w:szCs w:val="16"/>
        </w:rPr>
        <w:softHyphen/>
        <w:t>зон — от 2,13 до 4,76%).</w:t>
      </w:r>
    </w:p>
    <w:p w14:paraId="40419E3B" w14:textId="77777777" w:rsidR="00E10C4E" w:rsidRPr="00D03F3E" w:rsidRDefault="00E10C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 числу основных выводов по результатам ис</w:t>
      </w:r>
      <w:r w:rsidRPr="00D03F3E">
        <w:rPr>
          <w:color w:val="000000" w:themeColor="text1"/>
          <w:sz w:val="16"/>
          <w:szCs w:val="16"/>
        </w:rPr>
        <w:softHyphen/>
        <w:t>пытаний относили следующее. Во всем диапазоне эксплуатационных центровок двухместный самолет Ил-2 не имеет продольной устойчивости. С уста</w:t>
      </w:r>
      <w:r w:rsidRPr="00D03F3E">
        <w:rPr>
          <w:color w:val="000000" w:themeColor="text1"/>
          <w:sz w:val="16"/>
          <w:szCs w:val="16"/>
        </w:rPr>
        <w:softHyphen/>
        <w:t>новленными 37-мм пушками самолет инертен, на</w:t>
      </w:r>
      <w:r w:rsidRPr="00D03F3E">
        <w:rPr>
          <w:color w:val="000000" w:themeColor="text1"/>
          <w:sz w:val="16"/>
          <w:szCs w:val="16"/>
        </w:rPr>
        <w:softHyphen/>
        <w:t>грузки на рули большие. Самолет сложен в технике пилотирования на виражах, боевых разворотах, при полете на низких высотах. Отсутствие у само</w:t>
      </w:r>
      <w:r w:rsidRPr="00D03F3E">
        <w:rPr>
          <w:color w:val="000000" w:themeColor="text1"/>
          <w:sz w:val="16"/>
          <w:szCs w:val="16"/>
        </w:rPr>
        <w:softHyphen/>
        <w:t>лета продольной устойчивости «снижает качество стрельбы, особенно из пушек калибра 37 мм».</w:t>
      </w:r>
    </w:p>
    <w:p w14:paraId="3060231D" w14:textId="77777777" w:rsidR="00E10C4E" w:rsidRPr="00D03F3E" w:rsidRDefault="00E10C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то же время отмечалось, что самолет Ил-2 с пушками 11П «может быть применен для пораже</w:t>
      </w:r>
      <w:r w:rsidRPr="00D03F3E">
        <w:rPr>
          <w:color w:val="000000" w:themeColor="text1"/>
          <w:sz w:val="16"/>
          <w:szCs w:val="16"/>
        </w:rPr>
        <w:softHyphen/>
        <w:t>ния железнодорожных эшелонов, паровозов, тан</w:t>
      </w:r>
      <w:r w:rsidRPr="00D03F3E">
        <w:rPr>
          <w:color w:val="000000" w:themeColor="text1"/>
          <w:sz w:val="16"/>
          <w:szCs w:val="16"/>
        </w:rPr>
        <w:softHyphen/>
        <w:t>ков, автоколонн и других целей» при соответствую</w:t>
      </w:r>
      <w:r w:rsidRPr="00D03F3E">
        <w:rPr>
          <w:color w:val="000000" w:themeColor="text1"/>
          <w:sz w:val="16"/>
          <w:szCs w:val="16"/>
        </w:rPr>
        <w:softHyphen/>
        <w:t>щей тренировке летного состава и нормальной ра</w:t>
      </w:r>
      <w:r w:rsidRPr="00D03F3E">
        <w:rPr>
          <w:color w:val="000000" w:themeColor="text1"/>
          <w:sz w:val="16"/>
          <w:szCs w:val="16"/>
        </w:rPr>
        <w:softHyphen/>
        <w:t>боте самих пушек. При этом стрельбу необходимо производить только короткими очередями не бо</w:t>
      </w:r>
      <w:r w:rsidRPr="00D03F3E">
        <w:rPr>
          <w:color w:val="000000" w:themeColor="text1"/>
          <w:sz w:val="16"/>
          <w:szCs w:val="16"/>
        </w:rPr>
        <w:softHyphen/>
        <w:t>лее 3—4 выстрелов, «помня, что первые выстрелы наиболее прицельные».</w:t>
      </w:r>
    </w:p>
    <w:p w14:paraId="732FD5AA" w14:textId="77777777" w:rsidR="00E10C4E" w:rsidRPr="00D03F3E" w:rsidRDefault="00E10C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Производственное исполнение Ил-2 зав. № 302349 неудовлетворительное. Большинство производственных дефектов, отмеченных в актах по испытаниям самолетов Ил-2 производства заво</w:t>
      </w:r>
      <w:r w:rsidRPr="00D03F3E">
        <w:rPr>
          <w:color w:val="000000" w:themeColor="text1"/>
          <w:sz w:val="16"/>
          <w:szCs w:val="16"/>
        </w:rPr>
        <w:softHyphen/>
        <w:t>да № 30 зав. № 2067, 1140 и 1122, «повторено и на испытанном самолете».</w:t>
      </w:r>
    </w:p>
    <w:p w14:paraId="0D24DB90" w14:textId="77777777" w:rsidR="00E10C4E" w:rsidRPr="00D03F3E" w:rsidRDefault="00E10C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Требовалось немедленно устранить заклинение патронной ленты в горловине патронного рукава, для чего «доработать патронные рукава по типу доводок, произведенных при испытаниях». Исклю</w:t>
      </w:r>
      <w:r w:rsidRPr="00D03F3E">
        <w:rPr>
          <w:color w:val="000000" w:themeColor="text1"/>
          <w:sz w:val="16"/>
          <w:szCs w:val="16"/>
        </w:rPr>
        <w:softHyphen/>
        <w:t>чить выпадение патронов из ленты. Устранить во внутренней части патронного ящика выступающие предметы — «профиля и шурупы», а саму внутрен</w:t>
      </w:r>
      <w:r w:rsidRPr="00D03F3E">
        <w:rPr>
          <w:color w:val="000000" w:themeColor="text1"/>
          <w:sz w:val="16"/>
          <w:szCs w:val="16"/>
        </w:rPr>
        <w:softHyphen/>
        <w:t>нюю поверхность стенок ящика сделать лучшего качества. Кроме этого, необходимо было удлинить троса спусков пушек, поскольку «тендеры разъема нельзя довернуть до конца и при каждом рассоеди</w:t>
      </w:r>
      <w:r w:rsidRPr="00D03F3E">
        <w:rPr>
          <w:color w:val="000000" w:themeColor="text1"/>
          <w:sz w:val="16"/>
          <w:szCs w:val="16"/>
        </w:rPr>
        <w:softHyphen/>
        <w:t>нении тендеров нарушается регулировка спуска». Предлагалось установить «предохранительные листы против звеньеотводов на правой плоскости и люке патронного отсека левого пулемета ШКАС», возвратные пружины рычагов спусков на заднем креплении пушек, контргайки на горизонтальных болтах переднего крепления пушек.</w:t>
      </w:r>
    </w:p>
    <w:p w14:paraId="5A07E014" w14:textId="77777777" w:rsidR="00E10C4E" w:rsidRPr="00D03F3E" w:rsidRDefault="00E10C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Как следствие выявленных в ходе испытаний дефектов и недостатков, в заключении отчета НИИ ВВС констатировалось: «Головной серийный Ил-2 с 37-мм пушками (зав. № 302349 з-д 30) в предъяв</w:t>
      </w:r>
      <w:r w:rsidRPr="00D03F3E">
        <w:rPr>
          <w:color w:val="000000" w:themeColor="text1"/>
          <w:sz w:val="16"/>
          <w:szCs w:val="16"/>
        </w:rPr>
        <w:softHyphen/>
        <w:t>ленном виде испытаний не выдержал по причинам недоведенности системы питания пушек калибра 37 мм и неудовлетворительного производственно</w:t>
      </w:r>
      <w:r w:rsidRPr="00D03F3E">
        <w:rPr>
          <w:color w:val="000000" w:themeColor="text1"/>
          <w:sz w:val="16"/>
          <w:szCs w:val="16"/>
        </w:rPr>
        <w:softHyphen/>
        <w:t>го исполнения».</w:t>
      </w:r>
    </w:p>
    <w:p w14:paraId="7B2C4504" w14:textId="77777777" w:rsidR="00E10C4E" w:rsidRPr="00D03F3E" w:rsidRDefault="00E10C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Предлагалось «самолет Ил-2 с 37-мм пушками со всеми устраненными дефектами, отмеченными на самолетах зав. № 302067 и № 302349 и доведен</w:t>
      </w:r>
      <w:r w:rsidRPr="00D03F3E">
        <w:rPr>
          <w:color w:val="000000" w:themeColor="text1"/>
          <w:sz w:val="16"/>
          <w:szCs w:val="16"/>
        </w:rPr>
        <w:softHyphen/>
        <w:t>ной системой питания, предъявить в НИИ ВВС на повторные испытания».</w:t>
      </w:r>
    </w:p>
    <w:p w14:paraId="6C609DEA" w14:textId="77777777" w:rsidR="00E10C4E" w:rsidRPr="00D03F3E" w:rsidRDefault="00E10C4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Акт по результатам испытаний Ил-2 зав. № 302349 главный инженер ВВС генерал-полков</w:t>
      </w:r>
      <w:r w:rsidRPr="00D03F3E">
        <w:rPr>
          <w:color w:val="000000" w:themeColor="text1"/>
          <w:sz w:val="16"/>
          <w:szCs w:val="16"/>
        </w:rPr>
        <w:softHyphen/>
        <w:t>ник А. К. Репин утвердил 14 августа 1943 г. (17500).</w:t>
      </w:r>
    </w:p>
    <w:p w14:paraId="519716C3" w14:textId="77777777" w:rsidR="00E10C4E" w:rsidRPr="00D03F3E" w:rsidRDefault="00E10C4E" w:rsidP="00D03F3E">
      <w:pPr>
        <w:spacing w:after="0" w:line="240" w:lineRule="auto"/>
        <w:jc w:val="both"/>
        <w:rPr>
          <w:rFonts w:ascii="Times New Roman" w:eastAsia="Times New Roman" w:hAnsi="Times New Roman"/>
          <w:color w:val="000000" w:themeColor="text1"/>
          <w:sz w:val="16"/>
          <w:szCs w:val="16"/>
          <w:lang w:eastAsia="ru-RU"/>
        </w:rPr>
      </w:pPr>
    </w:p>
    <w:p w14:paraId="2C51215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ГИ ВВС Репин сообщил А.И.Ш. своим письмом N 615046с, что система питания горючим из подвесных баков контрольных испытаний не выдержала (1878,261).</w:t>
      </w:r>
    </w:p>
    <w:p w14:paraId="3F77D82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постановлению ГОКО N 2998сс от 7 марта 1943 заводы 1 и 18 обязаны выпускать с 1 мая 1943 все самолеты Ил-2 с АМ-38Ф, оборудованными подвесными бензобаками, сбрасываемыми в полете, общей емкостью 200 кг.</w:t>
      </w:r>
    </w:p>
    <w:p w14:paraId="73ACEF3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Данное постановление выполняется формально, т.к. заводы 1 и 18 выпускают самолеты с системой подвесных баков, эксплуатация которой запрещена из-за ее недоведенности.</w:t>
      </w:r>
    </w:p>
    <w:p w14:paraId="4C620C0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отчете по заводским испытаниям системы подвесных баков самолета Ил-2 указано, что необходимо запретить пользоваться системой подвесных баков на всех выпущенных самолетах завода 18 до отработки эталона.</w:t>
      </w:r>
    </w:p>
    <w:p w14:paraId="6873B2D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Испытанный в НИИ ВВС эталон завода 18, самолет Ил-2 N 1871955 с системой питания горючим из подвесных баков контрольных испытаний не выдержал.</w:t>
      </w:r>
    </w:p>
    <w:p w14:paraId="399FF31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Ваших указаний ГК С.В.И. и директору завода 18 о срочной доработке системы подвесных баков и о проведении доводочно-эксплуатационных испытаний этой системы на 20-30 самолетах." (11778,266).</w:t>
      </w:r>
    </w:p>
    <w:p w14:paraId="483C7F4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ECD30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Селезнев писал А.И.Ш. письмо N 555909:</w:t>
      </w:r>
    </w:p>
    <w:p w14:paraId="3F6807B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основании решения ГОКО N 2841сс от 7 февраля 1943 завод 1 выпускает самолеты Ил-2 в корректировочном варианте и с 1 июля выпуск этих самолетов прекращает.</w:t>
      </w:r>
    </w:p>
    <w:p w14:paraId="14FCA0F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Ввиду задержки с выпуском специального самолета-корректировщика, прошу дать указание директору завода 1 Третьякову продолжать поставку ВВС самолетов корректировщиков в количестве 200 шт., из расчета 50 самолетов в месяц, начиная с июля" (1778,226).</w:t>
      </w:r>
    </w:p>
    <w:p w14:paraId="3AB8FBE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A3A4C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года гл. инженер ВВС генерал-полковник ИАС Репин писал письмо N 615046 Шахурину.</w:t>
      </w:r>
    </w:p>
    <w:p w14:paraId="51F54F6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постановлению ГОКО N 2998сс от 7.3.43 г. заводы NN 1 и 18 обязаны выпускать с 1.5.43 г. все самолеты ИЛ-2 с АМ-38Ф, оборудованными под подвесные бензобаки, сбрасываемые в полете, общей емкостью 200 кг.</w:t>
      </w:r>
    </w:p>
    <w:p w14:paraId="4AF48FA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Данное постановление выполняется формально, так как заводы N 1 и N 18 выпускают самолеты с системой подвесных бензобаков, эксплуатация которой запрещена из-за ее недоведенности.</w:t>
      </w:r>
    </w:p>
    <w:p w14:paraId="2337634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отчете по заводским испытаниям системы подвесных бензобаков самолета ИЛ-2 указано, что необходимо запретить пользоваться системой подвесных бензобаков на всех выпущенных самолетах завода N 18 до отработки эталона.</w:t>
      </w:r>
    </w:p>
    <w:p w14:paraId="1EE7F5A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Испытанный в НИИ ВВС эталон завода N 18, самолет ИЛ-2 N 1871955, с системой питания горючим от подвесных бензобаков контрольных испытаний не выдержал.</w:t>
      </w:r>
    </w:p>
    <w:p w14:paraId="43C6F7B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ваших указаний гл. конструктору самолета ИЛ-2 и директору завода N 18 о срочной доработке системы подвесных бензобаков и о проведении доводочно-эксплуатационных испытаний этой системы на 20-30 самолетах (1778,266).</w:t>
      </w:r>
    </w:p>
    <w:p w14:paraId="431A9D6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50B1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г. успешно завершились государственные испытания в НИИ ВВС КА (6467) Ил-2 НС-37 (ведущий летчик-испытатель А.И.Кабанов, ведущий [ инженер В.С.Холопов, летчики облета - майор А.К.Долгов и инженер-майор А.В. Синельников) Выполнили 26 полетов с нале</w:t>
      </w:r>
      <w:r w:rsidRPr="00D03F3E">
        <w:rPr>
          <w:rFonts w:ascii="Times New Roman" w:hAnsi="Times New Roman"/>
          <w:color w:val="000000" w:themeColor="text1"/>
          <w:sz w:val="16"/>
          <w:szCs w:val="16"/>
        </w:rPr>
        <w:softHyphen/>
        <w:t>том 11 час. 35 мин.</w:t>
      </w:r>
    </w:p>
    <w:p w14:paraId="1556BA8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Предъявленный на гос. испытания штурмовик отличался от серийных Ил-2 только установкой двух пушек НС-37 с боекомплектом по 60 снарядов на ствол и отсутствием PC. Нормальная бомбо</w:t>
      </w:r>
      <w:r w:rsidRPr="00D03F3E">
        <w:rPr>
          <w:rFonts w:ascii="Times New Roman" w:hAnsi="Times New Roman"/>
          <w:color w:val="000000" w:themeColor="text1"/>
          <w:sz w:val="16"/>
          <w:szCs w:val="16"/>
        </w:rPr>
        <w:softHyphen/>
        <w:t>вая нагрузка - 200 кг.</w:t>
      </w:r>
    </w:p>
    <w:p w14:paraId="3B3DE89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Ленточное питание пушек НС-37 по</w:t>
      </w:r>
      <w:r w:rsidRPr="00D03F3E">
        <w:rPr>
          <w:rFonts w:ascii="Times New Roman" w:hAnsi="Times New Roman"/>
          <w:color w:val="000000" w:themeColor="text1"/>
          <w:sz w:val="16"/>
          <w:szCs w:val="16"/>
        </w:rPr>
        <w:softHyphen/>
        <w:t>зволило специалистам ОКБ С.В.Илью</w:t>
      </w:r>
      <w:r w:rsidRPr="00D03F3E">
        <w:rPr>
          <w:rFonts w:ascii="Times New Roman" w:hAnsi="Times New Roman"/>
          <w:color w:val="000000" w:themeColor="text1"/>
          <w:sz w:val="16"/>
          <w:szCs w:val="16"/>
        </w:rPr>
        <w:softHyphen/>
        <w:t>шина разместить их непосредственно у нижней поверхности крыла с использо</w:t>
      </w:r>
      <w:r w:rsidRPr="00D03F3E">
        <w:rPr>
          <w:rFonts w:ascii="Times New Roman" w:hAnsi="Times New Roman"/>
          <w:color w:val="000000" w:themeColor="text1"/>
          <w:sz w:val="16"/>
          <w:szCs w:val="16"/>
        </w:rPr>
        <w:softHyphen/>
        <w:t>ванием конструктивно очень простого и быстроразъемного крепления. Пушки закрывались относительно небольшими обтекателями, каждый из которых состо</w:t>
      </w:r>
      <w:r w:rsidRPr="00D03F3E">
        <w:rPr>
          <w:rFonts w:ascii="Times New Roman" w:hAnsi="Times New Roman"/>
          <w:color w:val="000000" w:themeColor="text1"/>
          <w:sz w:val="16"/>
          <w:szCs w:val="16"/>
        </w:rPr>
        <w:softHyphen/>
        <w:t>ял из двух легко открывающихся ство</w:t>
      </w:r>
      <w:r w:rsidRPr="00D03F3E">
        <w:rPr>
          <w:rFonts w:ascii="Times New Roman" w:hAnsi="Times New Roman"/>
          <w:color w:val="000000" w:themeColor="text1"/>
          <w:sz w:val="16"/>
          <w:szCs w:val="16"/>
        </w:rPr>
        <w:softHyphen/>
        <w:t>рок. Боекомплект к каждой пушке укла</w:t>
      </w:r>
      <w:r w:rsidRPr="00D03F3E">
        <w:rPr>
          <w:rFonts w:ascii="Times New Roman" w:hAnsi="Times New Roman"/>
          <w:color w:val="000000" w:themeColor="text1"/>
          <w:sz w:val="16"/>
          <w:szCs w:val="16"/>
        </w:rPr>
        <w:softHyphen/>
        <w:t>дывался непосредственно в отсеки кры</w:t>
      </w:r>
      <w:r w:rsidRPr="00D03F3E">
        <w:rPr>
          <w:rFonts w:ascii="Times New Roman" w:hAnsi="Times New Roman"/>
          <w:color w:val="000000" w:themeColor="text1"/>
          <w:sz w:val="16"/>
          <w:szCs w:val="16"/>
        </w:rPr>
        <w:softHyphen/>
        <w:t>ла. Вес одной пушки НС-37 с боекомп</w:t>
      </w:r>
      <w:r w:rsidRPr="00D03F3E">
        <w:rPr>
          <w:rFonts w:ascii="Times New Roman" w:hAnsi="Times New Roman"/>
          <w:color w:val="000000" w:themeColor="text1"/>
          <w:sz w:val="16"/>
          <w:szCs w:val="16"/>
        </w:rPr>
        <w:softHyphen/>
        <w:t>лектом равнялся 256 кг.</w:t>
      </w:r>
    </w:p>
    <w:p w14:paraId="510FC64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полетном весе 6277 кг макси</w:t>
      </w:r>
      <w:r w:rsidRPr="00D03F3E">
        <w:rPr>
          <w:rFonts w:ascii="Times New Roman" w:hAnsi="Times New Roman"/>
          <w:color w:val="000000" w:themeColor="text1"/>
          <w:sz w:val="16"/>
          <w:szCs w:val="16"/>
        </w:rPr>
        <w:softHyphen/>
        <w:t>мальная скорость штурмовика на высоте 1320 м составила 387 км/ч, у земли -375 км/ч. Практичес</w:t>
      </w:r>
      <w:r w:rsidRPr="00D03F3E">
        <w:rPr>
          <w:rFonts w:ascii="Times New Roman" w:hAnsi="Times New Roman"/>
          <w:color w:val="000000" w:themeColor="text1"/>
          <w:sz w:val="16"/>
          <w:szCs w:val="16"/>
        </w:rPr>
        <w:softHyphen/>
        <w:t>кий потолок нового самолета не превы</w:t>
      </w:r>
      <w:r w:rsidRPr="00D03F3E">
        <w:rPr>
          <w:rFonts w:ascii="Times New Roman" w:hAnsi="Times New Roman"/>
          <w:color w:val="000000" w:themeColor="text1"/>
          <w:sz w:val="16"/>
          <w:szCs w:val="16"/>
        </w:rPr>
        <w:softHyphen/>
        <w:t>шал 5200 м, при этом время подъема на высоту 1000 м состав</w:t>
      </w:r>
      <w:r w:rsidRPr="00D03F3E">
        <w:rPr>
          <w:rFonts w:ascii="Times New Roman" w:hAnsi="Times New Roman"/>
          <w:color w:val="000000" w:themeColor="text1"/>
          <w:sz w:val="16"/>
          <w:szCs w:val="16"/>
        </w:rPr>
        <w:softHyphen/>
        <w:t>ляло 3 мин. Макси</w:t>
      </w:r>
      <w:r w:rsidRPr="00D03F3E">
        <w:rPr>
          <w:rFonts w:ascii="Times New Roman" w:hAnsi="Times New Roman"/>
          <w:color w:val="000000" w:themeColor="text1"/>
          <w:sz w:val="16"/>
          <w:szCs w:val="16"/>
        </w:rPr>
        <w:softHyphen/>
        <w:t>мальная дальность полета штурмовика не превышала 685 км.</w:t>
      </w:r>
    </w:p>
    <w:p w14:paraId="6535CC0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сравнению с серийными "Илами" вооруженными пуш</w:t>
      </w:r>
      <w:r w:rsidRPr="00D03F3E">
        <w:rPr>
          <w:rFonts w:ascii="Times New Roman" w:hAnsi="Times New Roman"/>
          <w:color w:val="000000" w:themeColor="text1"/>
          <w:sz w:val="16"/>
          <w:szCs w:val="16"/>
        </w:rPr>
        <w:softHyphen/>
        <w:t>ками ШВАК или ВЯ, Ил-2 с НС-37 и с бомбовым грузом в 200 кг стал более инертным, сложным на вираже и на бое</w:t>
      </w:r>
      <w:r w:rsidRPr="00D03F3E">
        <w:rPr>
          <w:rFonts w:ascii="Times New Roman" w:hAnsi="Times New Roman"/>
          <w:color w:val="000000" w:themeColor="text1"/>
          <w:sz w:val="16"/>
          <w:szCs w:val="16"/>
        </w:rPr>
        <w:softHyphen/>
        <w:t>вом развороте.</w:t>
      </w:r>
    </w:p>
    <w:p w14:paraId="5BE14AF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Ухудшение пилотажных характеристик нового штурмовика, так же как и Ил-2 с пушками ШФК-37, было связано с боль</w:t>
      </w:r>
      <w:r w:rsidRPr="00D03F3E">
        <w:rPr>
          <w:rFonts w:ascii="Times New Roman" w:hAnsi="Times New Roman"/>
          <w:color w:val="000000" w:themeColor="text1"/>
          <w:sz w:val="16"/>
          <w:szCs w:val="16"/>
        </w:rPr>
        <w:softHyphen/>
        <w:t>шим разносом масс по размаху крыла и наличием обтекателей пушек, ухудша</w:t>
      </w:r>
      <w:r w:rsidRPr="00D03F3E">
        <w:rPr>
          <w:rFonts w:ascii="Times New Roman" w:hAnsi="Times New Roman"/>
          <w:color w:val="000000" w:themeColor="text1"/>
          <w:sz w:val="16"/>
          <w:szCs w:val="16"/>
        </w:rPr>
        <w:softHyphen/>
        <w:t>ющих общую аэродинамику самолета. Во всем диапазоне центровок Ил-2 с НС-37 не имел продольной устойчивос</w:t>
      </w:r>
      <w:r w:rsidRPr="00D03F3E">
        <w:rPr>
          <w:rFonts w:ascii="Times New Roman" w:hAnsi="Times New Roman"/>
          <w:color w:val="000000" w:themeColor="text1"/>
          <w:sz w:val="16"/>
          <w:szCs w:val="16"/>
        </w:rPr>
        <w:softHyphen/>
        <w:t>ти, что существенно снижало прицельность стрельбы в воздухе. Последнее усугублялось сильной отдачей пушек при стрельбе из них (6467).</w:t>
      </w:r>
    </w:p>
    <w:p w14:paraId="6D069DF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Полигонные испытания, проведенные в НИИ АВ ВВС КА, показали, что стрель</w:t>
      </w:r>
      <w:r w:rsidRPr="00D03F3E">
        <w:rPr>
          <w:rFonts w:ascii="Times New Roman" w:hAnsi="Times New Roman"/>
          <w:color w:val="000000" w:themeColor="text1"/>
          <w:sz w:val="16"/>
          <w:szCs w:val="16"/>
        </w:rPr>
        <w:softHyphen/>
        <w:t>бу с самолета Ил-2 из пушек НС-37 не</w:t>
      </w:r>
      <w:r w:rsidRPr="00D03F3E">
        <w:rPr>
          <w:rFonts w:ascii="Times New Roman" w:hAnsi="Times New Roman"/>
          <w:color w:val="000000" w:themeColor="text1"/>
          <w:sz w:val="16"/>
          <w:szCs w:val="16"/>
        </w:rPr>
        <w:softHyphen/>
        <w:t>обходимо вести только короткими оче</w:t>
      </w:r>
      <w:r w:rsidRPr="00D03F3E">
        <w:rPr>
          <w:rFonts w:ascii="Times New Roman" w:hAnsi="Times New Roman"/>
          <w:color w:val="000000" w:themeColor="text1"/>
          <w:sz w:val="16"/>
          <w:szCs w:val="16"/>
        </w:rPr>
        <w:softHyphen/>
        <w:t>редями длиной не более 2-3-х выстре</w:t>
      </w:r>
      <w:r w:rsidRPr="00D03F3E">
        <w:rPr>
          <w:rFonts w:ascii="Times New Roman" w:hAnsi="Times New Roman"/>
          <w:color w:val="000000" w:themeColor="text1"/>
          <w:sz w:val="16"/>
          <w:szCs w:val="16"/>
        </w:rPr>
        <w:softHyphen/>
        <w:t>лов, так как при стрельбе одновременно из двух пушек вследствие несинхронно</w:t>
      </w:r>
      <w:r w:rsidRPr="00D03F3E">
        <w:rPr>
          <w:rFonts w:ascii="Times New Roman" w:hAnsi="Times New Roman"/>
          <w:color w:val="000000" w:themeColor="text1"/>
          <w:sz w:val="16"/>
          <w:szCs w:val="16"/>
        </w:rPr>
        <w:softHyphen/>
        <w:t>сти их работы самолет испытывал зна</w:t>
      </w:r>
      <w:r w:rsidRPr="00D03F3E">
        <w:rPr>
          <w:rFonts w:ascii="Times New Roman" w:hAnsi="Times New Roman"/>
          <w:color w:val="000000" w:themeColor="text1"/>
          <w:sz w:val="16"/>
          <w:szCs w:val="16"/>
        </w:rPr>
        <w:softHyphen/>
        <w:t>чительные толчки, клевки и сбивался с линии прицеливания. Поправка в при</w:t>
      </w:r>
      <w:r w:rsidRPr="00D03F3E">
        <w:rPr>
          <w:rFonts w:ascii="Times New Roman" w:hAnsi="Times New Roman"/>
          <w:color w:val="000000" w:themeColor="text1"/>
          <w:sz w:val="16"/>
          <w:szCs w:val="16"/>
        </w:rPr>
        <w:softHyphen/>
        <w:t>целивание в этом случае в принципе была возможна.</w:t>
      </w:r>
    </w:p>
    <w:p w14:paraId="31E695D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стрельбе из одной пушки попа</w:t>
      </w:r>
      <w:r w:rsidRPr="00D03F3E">
        <w:rPr>
          <w:rFonts w:ascii="Times New Roman" w:hAnsi="Times New Roman"/>
          <w:color w:val="000000" w:themeColor="text1"/>
          <w:sz w:val="16"/>
          <w:szCs w:val="16"/>
        </w:rPr>
        <w:softHyphen/>
        <w:t>дание в цель было возможно только пер</w:t>
      </w:r>
      <w:r w:rsidRPr="00D03F3E">
        <w:rPr>
          <w:rFonts w:ascii="Times New Roman" w:hAnsi="Times New Roman"/>
          <w:color w:val="000000" w:themeColor="text1"/>
          <w:sz w:val="16"/>
          <w:szCs w:val="16"/>
        </w:rPr>
        <w:softHyphen/>
        <w:t>вым выстрелом, так как штурмовик раз</w:t>
      </w:r>
      <w:r w:rsidRPr="00D03F3E">
        <w:rPr>
          <w:rFonts w:ascii="Times New Roman" w:hAnsi="Times New Roman"/>
          <w:color w:val="000000" w:themeColor="text1"/>
          <w:sz w:val="16"/>
          <w:szCs w:val="16"/>
        </w:rPr>
        <w:softHyphen/>
        <w:t>ворачивался в сторону стреляющей пуш</w:t>
      </w:r>
      <w:r w:rsidRPr="00D03F3E">
        <w:rPr>
          <w:rFonts w:ascii="Times New Roman" w:hAnsi="Times New Roman"/>
          <w:color w:val="000000" w:themeColor="text1"/>
          <w:sz w:val="16"/>
          <w:szCs w:val="16"/>
        </w:rPr>
        <w:softHyphen/>
        <w:t>ки и поправка в прицеливание станови</w:t>
      </w:r>
      <w:r w:rsidRPr="00D03F3E">
        <w:rPr>
          <w:rFonts w:ascii="Times New Roman" w:hAnsi="Times New Roman"/>
          <w:color w:val="000000" w:themeColor="text1"/>
          <w:sz w:val="16"/>
          <w:szCs w:val="16"/>
        </w:rPr>
        <w:softHyphen/>
        <w:t>лась практически невозможной. Пора</w:t>
      </w:r>
      <w:r w:rsidRPr="00D03F3E">
        <w:rPr>
          <w:rFonts w:ascii="Times New Roman" w:hAnsi="Times New Roman"/>
          <w:color w:val="000000" w:themeColor="text1"/>
          <w:sz w:val="16"/>
          <w:szCs w:val="16"/>
        </w:rPr>
        <w:softHyphen/>
        <w:t>жение же точечных целей - танков, бро</w:t>
      </w:r>
      <w:r w:rsidRPr="00D03F3E">
        <w:rPr>
          <w:rFonts w:ascii="Times New Roman" w:hAnsi="Times New Roman"/>
          <w:color w:val="000000" w:themeColor="text1"/>
          <w:sz w:val="16"/>
          <w:szCs w:val="16"/>
        </w:rPr>
        <w:softHyphen/>
        <w:t>немашин, автомобилей и т.д. при нор</w:t>
      </w:r>
      <w:r w:rsidRPr="00D03F3E">
        <w:rPr>
          <w:rFonts w:ascii="Times New Roman" w:hAnsi="Times New Roman"/>
          <w:color w:val="000000" w:themeColor="text1"/>
          <w:sz w:val="16"/>
          <w:szCs w:val="16"/>
        </w:rPr>
        <w:softHyphen/>
        <w:t>мальной работе пушек было возможным.</w:t>
      </w:r>
    </w:p>
    <w:p w14:paraId="76106C2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этом попадания в танки были получены лишь в 43% вылетов, а число попаданий к израсходованному боеком</w:t>
      </w:r>
      <w:r w:rsidRPr="00D03F3E">
        <w:rPr>
          <w:rFonts w:ascii="Times New Roman" w:hAnsi="Times New Roman"/>
          <w:color w:val="000000" w:themeColor="text1"/>
          <w:sz w:val="16"/>
          <w:szCs w:val="16"/>
        </w:rPr>
        <w:softHyphen/>
        <w:t>плекту составило 2,98%.</w:t>
      </w:r>
    </w:p>
    <w:p w14:paraId="6F11A30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Анализ результатов полигонных ис</w:t>
      </w:r>
      <w:r w:rsidRPr="00D03F3E">
        <w:rPr>
          <w:rFonts w:ascii="Times New Roman" w:hAnsi="Times New Roman"/>
          <w:color w:val="000000" w:themeColor="text1"/>
          <w:sz w:val="16"/>
          <w:szCs w:val="16"/>
        </w:rPr>
        <w:softHyphen/>
        <w:t>пытаний показывает, что поражение 37</w:t>
      </w:r>
      <w:r w:rsidRPr="00D03F3E">
        <w:rPr>
          <w:rFonts w:ascii="Times New Roman" w:hAnsi="Times New Roman"/>
          <w:color w:val="000000" w:themeColor="text1"/>
          <w:sz w:val="16"/>
          <w:szCs w:val="16"/>
        </w:rPr>
        <w:softHyphen/>
        <w:t>мм снарядом БЗТ-37 из авиапушки НС-37 с самолета Ил-2 легких немецких танков, бронемашин и бронетранспор</w:t>
      </w:r>
      <w:r w:rsidRPr="00D03F3E">
        <w:rPr>
          <w:rFonts w:ascii="Times New Roman" w:hAnsi="Times New Roman"/>
          <w:color w:val="000000" w:themeColor="text1"/>
          <w:sz w:val="16"/>
          <w:szCs w:val="16"/>
        </w:rPr>
        <w:softHyphen/>
        <w:t xml:space="preserve">теров всех типов, а также САУ типа "Wespe" и противотанковых СУ типа "Marder-П" и "Marder-lll" обеспечивалось с дистанции до 500 </w:t>
      </w:r>
      <w:r w:rsidRPr="00D03F3E">
        <w:rPr>
          <w:rFonts w:ascii="Times New Roman" w:hAnsi="Times New Roman"/>
          <w:color w:val="000000" w:themeColor="text1"/>
          <w:sz w:val="16"/>
          <w:szCs w:val="16"/>
        </w:rPr>
        <w:lastRenderedPageBreak/>
        <w:t>м с любого направ</w:t>
      </w:r>
      <w:r w:rsidRPr="00D03F3E">
        <w:rPr>
          <w:rFonts w:ascii="Times New Roman" w:hAnsi="Times New Roman"/>
          <w:color w:val="000000" w:themeColor="text1"/>
          <w:sz w:val="16"/>
          <w:szCs w:val="16"/>
        </w:rPr>
        <w:softHyphen/>
        <w:t>ления. Средние немецкие танки типа StuG 40 (штурмовое орудие), Pz. Ill Ausf L/M и Pz. IV Ausf G/H, а также появив</w:t>
      </w:r>
      <w:r w:rsidRPr="00D03F3E">
        <w:rPr>
          <w:rFonts w:ascii="Times New Roman" w:hAnsi="Times New Roman"/>
          <w:color w:val="000000" w:themeColor="text1"/>
          <w:sz w:val="16"/>
          <w:szCs w:val="16"/>
        </w:rPr>
        <w:softHyphen/>
        <w:t>шиеся позже StuG IV и истребитель тан</w:t>
      </w:r>
      <w:r w:rsidRPr="00D03F3E">
        <w:rPr>
          <w:rFonts w:ascii="Times New Roman" w:hAnsi="Times New Roman"/>
          <w:color w:val="000000" w:themeColor="text1"/>
          <w:sz w:val="16"/>
          <w:szCs w:val="16"/>
        </w:rPr>
        <w:softHyphen/>
        <w:t>ков Jgd Pz IV/70 с толщиной брони на бортах до 30 мм могли поражаться БЗТ-37 с дистанции до 500 м с планирова</w:t>
      </w:r>
      <w:r w:rsidRPr="00D03F3E">
        <w:rPr>
          <w:rFonts w:ascii="Times New Roman" w:hAnsi="Times New Roman"/>
          <w:color w:val="000000" w:themeColor="text1"/>
          <w:sz w:val="16"/>
          <w:szCs w:val="16"/>
        </w:rPr>
        <w:softHyphen/>
        <w:t>ния под углами 5-10° с высот 100 м. В этом случае атаку необходимо было про</w:t>
      </w:r>
      <w:r w:rsidRPr="00D03F3E">
        <w:rPr>
          <w:rFonts w:ascii="Times New Roman" w:hAnsi="Times New Roman"/>
          <w:color w:val="000000" w:themeColor="text1"/>
          <w:sz w:val="16"/>
          <w:szCs w:val="16"/>
        </w:rPr>
        <w:softHyphen/>
        <w:t>изводить сбоку или сзади, ведя стрель</w:t>
      </w:r>
      <w:r w:rsidRPr="00D03F3E">
        <w:rPr>
          <w:rFonts w:ascii="Times New Roman" w:hAnsi="Times New Roman"/>
          <w:color w:val="000000" w:themeColor="text1"/>
          <w:sz w:val="16"/>
          <w:szCs w:val="16"/>
        </w:rPr>
        <w:softHyphen/>
        <w:t>бу по борту или по задней части корпу</w:t>
      </w:r>
      <w:r w:rsidRPr="00D03F3E">
        <w:rPr>
          <w:rFonts w:ascii="Times New Roman" w:hAnsi="Times New Roman"/>
          <w:color w:val="000000" w:themeColor="text1"/>
          <w:sz w:val="16"/>
          <w:szCs w:val="16"/>
        </w:rPr>
        <w:softHyphen/>
        <w:t>са и башни танков.</w:t>
      </w:r>
    </w:p>
    <w:p w14:paraId="12A7360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Попадания снарядов этой пушки в ролики и другие детали ходовой части танков всех типов производили суще</w:t>
      </w:r>
      <w:r w:rsidRPr="00D03F3E">
        <w:rPr>
          <w:rFonts w:ascii="Times New Roman" w:hAnsi="Times New Roman"/>
          <w:color w:val="000000" w:themeColor="text1"/>
          <w:sz w:val="16"/>
          <w:szCs w:val="16"/>
        </w:rPr>
        <w:softHyphen/>
        <w:t>ственные разрушения, выводящие пос</w:t>
      </w:r>
      <w:r w:rsidRPr="00D03F3E">
        <w:rPr>
          <w:rFonts w:ascii="Times New Roman" w:hAnsi="Times New Roman"/>
          <w:color w:val="000000" w:themeColor="text1"/>
          <w:sz w:val="16"/>
          <w:szCs w:val="16"/>
        </w:rPr>
        <w:softHyphen/>
        <w:t>ледние из строя.</w:t>
      </w:r>
    </w:p>
    <w:p w14:paraId="33CF99B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выводах отчета по Государственным испытаниям особо обращалось вни</w:t>
      </w:r>
      <w:r w:rsidRPr="00D03F3E">
        <w:rPr>
          <w:rFonts w:ascii="Times New Roman" w:hAnsi="Times New Roman"/>
          <w:color w:val="000000" w:themeColor="text1"/>
          <w:sz w:val="16"/>
          <w:szCs w:val="16"/>
        </w:rPr>
        <w:softHyphen/>
        <w:t>мание на то, что летный состав, летаю</w:t>
      </w:r>
      <w:r w:rsidRPr="00D03F3E">
        <w:rPr>
          <w:rFonts w:ascii="Times New Roman" w:hAnsi="Times New Roman"/>
          <w:color w:val="000000" w:themeColor="text1"/>
          <w:sz w:val="16"/>
          <w:szCs w:val="16"/>
        </w:rPr>
        <w:softHyphen/>
        <w:t>щий на самолетах Ил-2, вооруженных пушками НС-37, должен пройти специ</w:t>
      </w:r>
      <w:r w:rsidRPr="00D03F3E">
        <w:rPr>
          <w:rFonts w:ascii="Times New Roman" w:hAnsi="Times New Roman"/>
          <w:color w:val="000000" w:themeColor="text1"/>
          <w:sz w:val="16"/>
          <w:szCs w:val="16"/>
        </w:rPr>
        <w:softHyphen/>
        <w:t>альную подготовку в ведении прицель</w:t>
      </w:r>
      <w:r w:rsidRPr="00D03F3E">
        <w:rPr>
          <w:rFonts w:ascii="Times New Roman" w:hAnsi="Times New Roman"/>
          <w:color w:val="000000" w:themeColor="text1"/>
          <w:sz w:val="16"/>
          <w:szCs w:val="16"/>
        </w:rPr>
        <w:softHyphen/>
        <w:t>ной стрельбы короткими очередями по малоразмерным целям (отдельные тан</w:t>
      </w:r>
      <w:r w:rsidRPr="00D03F3E">
        <w:rPr>
          <w:rFonts w:ascii="Times New Roman" w:hAnsi="Times New Roman"/>
          <w:color w:val="000000" w:themeColor="text1"/>
          <w:sz w:val="16"/>
          <w:szCs w:val="16"/>
        </w:rPr>
        <w:softHyphen/>
        <w:t>ки, автомашины, и т.д.). Тридцатому авиа</w:t>
      </w:r>
      <w:r w:rsidRPr="00D03F3E">
        <w:rPr>
          <w:rFonts w:ascii="Times New Roman" w:hAnsi="Times New Roman"/>
          <w:color w:val="000000" w:themeColor="text1"/>
          <w:sz w:val="16"/>
          <w:szCs w:val="16"/>
        </w:rPr>
        <w:softHyphen/>
        <w:t>заводу НКАП и ОКБ-16 НКВ рекомендо</w:t>
      </w:r>
      <w:r w:rsidRPr="00D03F3E">
        <w:rPr>
          <w:rFonts w:ascii="Times New Roman" w:hAnsi="Times New Roman"/>
          <w:color w:val="000000" w:themeColor="text1"/>
          <w:sz w:val="16"/>
          <w:szCs w:val="16"/>
        </w:rPr>
        <w:softHyphen/>
        <w:t>валось срочно установить на пушку дуль</w:t>
      </w:r>
      <w:r w:rsidRPr="00D03F3E">
        <w:rPr>
          <w:rFonts w:ascii="Times New Roman" w:hAnsi="Times New Roman"/>
          <w:color w:val="000000" w:themeColor="text1"/>
          <w:sz w:val="16"/>
          <w:szCs w:val="16"/>
        </w:rPr>
        <w:softHyphen/>
        <w:t>ный тормоз.</w:t>
      </w:r>
    </w:p>
    <w:p w14:paraId="3E488A5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указывалось, что Ил-2 с НС-37 необходимо было испытывать с боекомплектом к пушкам по 50 снаря</w:t>
      </w:r>
      <w:r w:rsidRPr="00D03F3E">
        <w:rPr>
          <w:rFonts w:ascii="Times New Roman" w:hAnsi="Times New Roman"/>
          <w:color w:val="000000" w:themeColor="text1"/>
          <w:sz w:val="16"/>
          <w:szCs w:val="16"/>
        </w:rPr>
        <w:softHyphen/>
        <w:t>дов и нормальной бомбовой нагрузкой в 100 кг, как было записано в Постанов</w:t>
      </w:r>
      <w:r w:rsidRPr="00D03F3E">
        <w:rPr>
          <w:rFonts w:ascii="Times New Roman" w:hAnsi="Times New Roman"/>
          <w:color w:val="000000" w:themeColor="text1"/>
          <w:sz w:val="16"/>
          <w:szCs w:val="16"/>
        </w:rPr>
        <w:softHyphen/>
        <w:t>лении ГКО (6467).</w:t>
      </w:r>
    </w:p>
    <w:p w14:paraId="7FEF564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дальнейшем все серийные Ил-2 с НС-37 выпускались именно в таком ва</w:t>
      </w:r>
      <w:r w:rsidRPr="00D03F3E">
        <w:rPr>
          <w:rFonts w:ascii="Times New Roman" w:hAnsi="Times New Roman"/>
          <w:color w:val="000000" w:themeColor="text1"/>
          <w:sz w:val="16"/>
          <w:szCs w:val="16"/>
        </w:rPr>
        <w:softHyphen/>
        <w:t>рианте вооружения. Летно-технические данные самолета несколько улучшились. При полетном весе 6160 кг максималь</w:t>
      </w:r>
      <w:r w:rsidRPr="00D03F3E">
        <w:rPr>
          <w:rFonts w:ascii="Times New Roman" w:hAnsi="Times New Roman"/>
          <w:color w:val="000000" w:themeColor="text1"/>
          <w:sz w:val="16"/>
          <w:szCs w:val="16"/>
        </w:rPr>
        <w:softHyphen/>
        <w:t>ная скорость на высоте 1320 м состави</w:t>
      </w:r>
      <w:r w:rsidRPr="00D03F3E">
        <w:rPr>
          <w:rFonts w:ascii="Times New Roman" w:hAnsi="Times New Roman"/>
          <w:color w:val="000000" w:themeColor="text1"/>
          <w:sz w:val="16"/>
          <w:szCs w:val="16"/>
        </w:rPr>
        <w:softHyphen/>
        <w:t>ла 405 км/ч, у земли - 391 км/ч. Время подъема на высоту 1000 м - 2,2 мин.</w:t>
      </w:r>
    </w:p>
    <w:p w14:paraId="1BCD267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видно, при установке пушек НС-37 на двухместный Ил-2 конструкторы столкнулись с теми же проблемами, что и при установке на одноместный "Ил" пушек ШФК-37 (6467).</w:t>
      </w:r>
    </w:p>
    <w:p w14:paraId="2848E90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1FECC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Глав</w:t>
      </w:r>
      <w:r w:rsidRPr="00D03F3E">
        <w:rPr>
          <w:rFonts w:ascii="Times New Roman" w:hAnsi="Times New Roman"/>
          <w:color w:val="000000" w:themeColor="text1"/>
          <w:sz w:val="16"/>
          <w:szCs w:val="16"/>
        </w:rPr>
        <w:softHyphen/>
        <w:t>ный инженер ВВС КА Генерал-Полковник А.И.Репин направил наркому авиа</w:t>
      </w:r>
      <w:r w:rsidRPr="00D03F3E">
        <w:rPr>
          <w:rFonts w:ascii="Times New Roman" w:hAnsi="Times New Roman"/>
          <w:color w:val="000000" w:themeColor="text1"/>
          <w:sz w:val="16"/>
          <w:szCs w:val="16"/>
        </w:rPr>
        <w:softHyphen/>
        <w:t>промышленности А.И.Шахурину гневное письмо (№ 615046), в ко</w:t>
      </w:r>
      <w:r w:rsidRPr="00D03F3E">
        <w:rPr>
          <w:rFonts w:ascii="Times New Roman" w:hAnsi="Times New Roman"/>
          <w:color w:val="000000" w:themeColor="text1"/>
          <w:sz w:val="16"/>
          <w:szCs w:val="16"/>
        </w:rPr>
        <w:softHyphen/>
        <w:t xml:space="preserve">тором писал, что: </w:t>
      </w:r>
      <w:r w:rsidRPr="00D03F3E">
        <w:rPr>
          <w:rFonts w:ascii="Times New Roman" w:hAnsi="Times New Roman"/>
          <w:iCs/>
          <w:color w:val="000000" w:themeColor="text1"/>
          <w:sz w:val="16"/>
          <w:szCs w:val="16"/>
        </w:rPr>
        <w:t>"...постановление вы</w:t>
      </w:r>
      <w:r w:rsidRPr="00D03F3E">
        <w:rPr>
          <w:rFonts w:ascii="Times New Roman" w:hAnsi="Times New Roman"/>
          <w:iCs/>
          <w:color w:val="000000" w:themeColor="text1"/>
          <w:sz w:val="16"/>
          <w:szCs w:val="16"/>
        </w:rPr>
        <w:softHyphen/>
        <w:t>полняется формально, так как заводы</w:t>
      </w:r>
      <w:r w:rsidRPr="00D03F3E">
        <w:rPr>
          <w:rFonts w:ascii="Times New Roman" w:hAnsi="Times New Roman"/>
          <w:color w:val="000000" w:themeColor="text1"/>
          <w:sz w:val="16"/>
          <w:szCs w:val="16"/>
        </w:rPr>
        <w:t xml:space="preserve"> №№ </w:t>
      </w:r>
      <w:r w:rsidRPr="00D03F3E">
        <w:rPr>
          <w:rFonts w:ascii="Times New Roman" w:hAnsi="Times New Roman"/>
          <w:iCs/>
          <w:color w:val="000000" w:themeColor="text1"/>
          <w:sz w:val="16"/>
          <w:szCs w:val="16"/>
        </w:rPr>
        <w:t>1 и No 18 выпускают самолеты с системой подвесных бензобаков, эксплуатация которой запрещена из-за ее недоведенности.... Испытанный в НИИ ВВС КА эта</w:t>
      </w:r>
      <w:r w:rsidRPr="00D03F3E">
        <w:rPr>
          <w:rFonts w:ascii="Times New Roman" w:hAnsi="Times New Roman"/>
          <w:iCs/>
          <w:color w:val="000000" w:themeColor="text1"/>
          <w:sz w:val="16"/>
          <w:szCs w:val="16"/>
        </w:rPr>
        <w:softHyphen/>
        <w:t xml:space="preserve">лон завода №18, самолет Ил-2 </w:t>
      </w:r>
      <w:r w:rsidRPr="00D03F3E">
        <w:rPr>
          <w:rFonts w:ascii="Times New Roman" w:hAnsi="Times New Roman"/>
          <w:color w:val="000000" w:themeColor="text1"/>
          <w:sz w:val="16"/>
          <w:szCs w:val="16"/>
        </w:rPr>
        <w:t xml:space="preserve">Л/о </w:t>
      </w:r>
      <w:r w:rsidRPr="00D03F3E">
        <w:rPr>
          <w:rFonts w:ascii="Times New Roman" w:hAnsi="Times New Roman"/>
          <w:iCs/>
          <w:color w:val="000000" w:themeColor="text1"/>
          <w:sz w:val="16"/>
          <w:szCs w:val="16"/>
        </w:rPr>
        <w:t>1871955, с системой питания горючим от подвесных бензобаков контрольных испытаний не выдержал... "</w:t>
      </w:r>
    </w:p>
    <w:p w14:paraId="33CAB20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"Разбор полетов" показал, что причи</w:t>
      </w:r>
      <w:r w:rsidRPr="00D03F3E">
        <w:rPr>
          <w:rFonts w:ascii="Times New Roman" w:hAnsi="Times New Roman"/>
          <w:color w:val="000000" w:themeColor="text1"/>
          <w:sz w:val="16"/>
          <w:szCs w:val="16"/>
        </w:rPr>
        <w:softHyphen/>
        <w:t>нами неполной выработки горючего в ПЛБГ-150 являлись как недостатки са</w:t>
      </w:r>
      <w:r w:rsidRPr="00D03F3E">
        <w:rPr>
          <w:rFonts w:ascii="Times New Roman" w:hAnsi="Times New Roman"/>
          <w:color w:val="000000" w:themeColor="text1"/>
          <w:sz w:val="16"/>
          <w:szCs w:val="16"/>
        </w:rPr>
        <w:softHyphen/>
        <w:t>мой системы, так и неправильная эксп</w:t>
      </w:r>
      <w:r w:rsidRPr="00D03F3E">
        <w:rPr>
          <w:rFonts w:ascii="Times New Roman" w:hAnsi="Times New Roman"/>
          <w:color w:val="000000" w:themeColor="text1"/>
          <w:sz w:val="16"/>
          <w:szCs w:val="16"/>
        </w:rPr>
        <w:softHyphen/>
        <w:t>луатация системы летным и техничес</w:t>
      </w:r>
      <w:r w:rsidRPr="00D03F3E">
        <w:rPr>
          <w:rFonts w:ascii="Times New Roman" w:hAnsi="Times New Roman"/>
          <w:color w:val="000000" w:themeColor="text1"/>
          <w:sz w:val="16"/>
          <w:szCs w:val="16"/>
        </w:rPr>
        <w:softHyphen/>
        <w:t>ким составом НИИ ВВС и частей. Руко</w:t>
      </w:r>
      <w:r w:rsidRPr="00D03F3E">
        <w:rPr>
          <w:rFonts w:ascii="Times New Roman" w:hAnsi="Times New Roman"/>
          <w:color w:val="000000" w:themeColor="text1"/>
          <w:sz w:val="16"/>
          <w:szCs w:val="16"/>
        </w:rPr>
        <w:softHyphen/>
        <w:t>водство ВВС потребовало срочной до</w:t>
      </w:r>
      <w:r w:rsidRPr="00D03F3E">
        <w:rPr>
          <w:rFonts w:ascii="Times New Roman" w:hAnsi="Times New Roman"/>
          <w:color w:val="000000" w:themeColor="text1"/>
          <w:sz w:val="16"/>
          <w:szCs w:val="16"/>
        </w:rPr>
        <w:softHyphen/>
        <w:t>работки предложенной ОКБ системы в отношении повышения надежности ее работы и упрощения обслуживания в боевых условиях (6467).</w:t>
      </w:r>
    </w:p>
    <w:p w14:paraId="021DAC4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67474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приказом Командующего ВВС и НКАП за N 64/262 была назначена комиссия по разработке мероприятий, обеспечивающих нормальную эксплуатацию самолетов Ил-2 в частях ВВС (1779,255).</w:t>
      </w:r>
    </w:p>
    <w:p w14:paraId="6025878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CDC4C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вышел приказ НКАП N 369с:</w:t>
      </w:r>
    </w:p>
    <w:p w14:paraId="6303B62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Директору завода 39 Абрамову построить 1 самолет Ил-6 с М-71 к 1 сентября 1943</w:t>
      </w:r>
    </w:p>
    <w:p w14:paraId="206ED8A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Приказ НКАП N 73с от 6 февраля 1943 отменить (1714,121).</w:t>
      </w:r>
    </w:p>
    <w:p w14:paraId="577AF94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BAEF5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П.И.Федоров утвердил Отчет по результатам гос. испытаний трофейного немецкого дальнего бомбардировщика Хейнкель - 111 с ЮМО-211 Ф-11. Летал Г.А.Ашитков</w:t>
      </w:r>
    </w:p>
    <w:p w14:paraId="557DAE4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Отв. исполнители:</w:t>
      </w:r>
    </w:p>
    <w:p w14:paraId="5194D94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 и 3 отд. Ии-м Г.В.Грибакин</w:t>
      </w:r>
    </w:p>
    <w:p w14:paraId="566044B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 л л 3 отд. НИИ п/п Г.А.Ашитков</w:t>
      </w:r>
    </w:p>
    <w:p w14:paraId="46383A9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 Грибов</w:t>
      </w:r>
    </w:p>
    <w:p w14:paraId="762C186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Цель испытания: опр. Лтд и выявить конструктивно-эксплуатационные особенности с-та, ВМГ. Способы обороны и вооружение</w:t>
      </w:r>
    </w:p>
    <w:p w14:paraId="14B1230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Объект испытаний: с-т Хе-111 (тип Н-6 и Н-11) является ДБ германских ВВС</w:t>
      </w:r>
    </w:p>
    <w:p w14:paraId="6A9A787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Цельнометаллической конструкции, 2-х моторный моноплан с низкорасположенным крылом.</w:t>
      </w:r>
    </w:p>
    <w:p w14:paraId="430C902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Несколько необычная внешняя форма кабины (без фонаря).</w:t>
      </w:r>
    </w:p>
    <w:p w14:paraId="5401F11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Т.к. в носке фюзеляжа установлена пушка и бомбардировочный прицел, то для обеспечения л обзора вперед, форма носка фюзеляжа выполнена ассиметричной, вершина носка смещена вправо и вся кабина пилота остеклена</w:t>
      </w:r>
    </w:p>
    <w:p w14:paraId="698BEF6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 пилот 1, штурман 1, стрелдок-радист 1, стрелки - 1-2</w:t>
      </w:r>
    </w:p>
    <w:p w14:paraId="386C24A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Пилот и штурман расположена в кабине рялдом (слева пилос, справа ш).</w:t>
      </w:r>
    </w:p>
    <w:p w14:paraId="27C6D32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Бомбардировочное вооружение Н-6 имеет замки для внутренней подвески 4-х бомб калибра до 250 кг или бомб малого калибра в спецкассетах и внешней подвески для 1000 кг бомб калибра не более 500 кг. На Н-12 пять замков только для наружной подвески бомб калибра 250 - 1700 кг. Бомбовая нагрузка Н-6 - до 1500 к, Н-11 - 2000-3000 кг</w:t>
      </w:r>
    </w:p>
    <w:p w14:paraId="119FCA7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Моторы 2 ЮМО 211 </w:t>
      </w:r>
      <w:r w:rsidRPr="00D03F3E">
        <w:rPr>
          <w:rFonts w:ascii="Times New Roman" w:hAnsi="Times New Roman"/>
          <w:color w:val="000000" w:themeColor="text1"/>
          <w:sz w:val="16"/>
          <w:szCs w:val="16"/>
          <w:lang w:val="en-US"/>
        </w:rPr>
        <w:t>F</w:t>
      </w:r>
      <w:r w:rsidRPr="00D03F3E">
        <w:rPr>
          <w:rFonts w:ascii="Times New Roman" w:hAnsi="Times New Roman"/>
          <w:color w:val="000000" w:themeColor="text1"/>
          <w:sz w:val="16"/>
          <w:szCs w:val="16"/>
        </w:rPr>
        <w:t xml:space="preserve"> 11 </w:t>
      </w:r>
      <w:r w:rsidRPr="00D03F3E">
        <w:rPr>
          <w:rFonts w:ascii="Times New Roman" w:hAnsi="Times New Roman"/>
          <w:color w:val="000000" w:themeColor="text1"/>
          <w:sz w:val="16"/>
          <w:szCs w:val="16"/>
          <w:lang w:val="en-US"/>
        </w:rPr>
        <w:t>V</w:t>
      </w:r>
      <w:r w:rsidRPr="00D03F3E">
        <w:rPr>
          <w:rFonts w:ascii="Times New Roman" w:hAnsi="Times New Roman"/>
          <w:color w:val="000000" w:themeColor="text1"/>
          <w:sz w:val="16"/>
          <w:szCs w:val="16"/>
        </w:rPr>
        <w:t xml:space="preserve">-образный, перевернутого типа, 12-цилиндровый жидкостного охлаждения с непосреддственным впрыском топлива в цилиндры. Взлетная мощность 1350 лс, номинальная - 1020 на 5500, винты Юнкерс </w:t>
      </w:r>
      <w:r w:rsidRPr="00D03F3E">
        <w:rPr>
          <w:rFonts w:ascii="Times New Roman" w:hAnsi="Times New Roman"/>
          <w:color w:val="000000" w:themeColor="text1"/>
          <w:sz w:val="16"/>
          <w:szCs w:val="16"/>
          <w:lang w:val="en-US"/>
        </w:rPr>
        <w:t>VS</w:t>
      </w:r>
      <w:r w:rsidRPr="00D03F3E">
        <w:rPr>
          <w:rFonts w:ascii="Times New Roman" w:hAnsi="Times New Roman"/>
          <w:color w:val="000000" w:themeColor="text1"/>
          <w:sz w:val="16"/>
          <w:szCs w:val="16"/>
        </w:rPr>
        <w:t>-11 изменяемого в полете шага , з-х лопастной деревянный диаметром 3,5 м</w:t>
      </w:r>
    </w:p>
    <w:p w14:paraId="3A266F9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Винты могут устанавливаться во флюгерное положение.</w:t>
      </w:r>
    </w:p>
    <w:p w14:paraId="6F9427E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Шасси и костыль убираются. Система подъема и выпуска гидравлическая. Авиарийная система - троссовая. Размер колес 1140х410, костыля\ 500х180. Тормоза тпа Юнкерс. Закрылки - щелевые. Система управления гидравлическая. Взлетный угол 15, посадочный - 60. Бронирование в виде щитков имеют все члены экипажа. Частично забронированы наиболее уязвимые агрегаты ВМГ - масляные и водяные радиаторы. Антиобледенители - жидкостные и только на винтах.</w:t>
      </w:r>
    </w:p>
    <w:p w14:paraId="21CBDBA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Стрелковое вооружение:</w:t>
      </w:r>
    </w:p>
    <w:p w14:paraId="24B57C2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Н-6 - в носу подвижная установка пушки Эрликон 20 мм, управляемая штурманом. Сверзху фюзеляжа в задней кабине турельная установка пулемета МГ-15 калибра 7,92, управляемая стрелком-радистом.</w:t>
      </w:r>
    </w:p>
    <w:p w14:paraId="616843F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задней кабине два бортовых пулемета калибра 7,92, управляемых стрелком. В гондоле фюзеляжа два люковых пулемета МГ-15 калибра 7,92, управляемых люковым стрелком</w:t>
      </w:r>
    </w:p>
    <w:p w14:paraId="7803971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хвостовом коке один неподвижный пулемет МГ-17 калибра 7,92 с дистанционным управлением стрелком радистом</w:t>
      </w:r>
    </w:p>
    <w:p w14:paraId="3CC7668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пулеметы и пушка за исключением Мг-17 с магазинным питанием.</w:t>
      </w:r>
    </w:p>
    <w:p w14:paraId="48B6275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Н-11 сверху фюзеляжа в задней кабине вместо МГ-15 установлен МГ-131 калибром 13 мм с непрерывным ленточным питанием</w:t>
      </w:r>
    </w:p>
    <w:p w14:paraId="0F0FC83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люковой установке - спарка МГ-15с непрерывным ленточным питанием.</w:t>
      </w:r>
    </w:p>
    <w:p w14:paraId="6B81964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вооружения снят неподвижный хвостовой МГ-17</w:t>
      </w:r>
    </w:p>
    <w:p w14:paraId="656E7AD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Остальные установки - аналогичны Н-6</w:t>
      </w:r>
    </w:p>
    <w:p w14:paraId="5A6B05D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Спецоборудование:</w:t>
      </w:r>
    </w:p>
    <w:p w14:paraId="56CBAF0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с-те установлен автомат курса, аппаратура для слепой посадки, длинноволновая и коротковолновая р/с и РПК</w:t>
      </w:r>
    </w:p>
    <w:p w14:paraId="5F06293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с-те установлено 2 генератора общей мощностью 4 КВ</w:t>
      </w:r>
    </w:p>
    <w:p w14:paraId="0A67C0A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Обогрев кабины - от выхлопной система моторов</w:t>
      </w:r>
    </w:p>
    <w:p w14:paraId="49569DC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Н-11 изготовлен во второй половине 1942</w:t>
      </w:r>
    </w:p>
    <w:p w14:paraId="1AF0F18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Результаты испытаний:</w:t>
      </w:r>
    </w:p>
    <w:p w14:paraId="286FA8E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 Н-6 прибыл в НИИ 24 февраля 1943, ст- Н-11-25 - 20 марта 1943</w:t>
      </w:r>
    </w:p>
    <w:p w14:paraId="5EAEA6D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Вследствие поломки с-т Н-6 26 марта выбыл из испытаний. На с-те Н-11 ыследствие его ремонта и отсутствия горючего полеты в апреле и в первой половине мая не производились.</w:t>
      </w:r>
    </w:p>
    <w:p w14:paraId="6D435D8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Летные испытания Н-11 начаты 13 мая и закончены 31 мая 1943. За время испытаний на Н-11 выполнено 11 полетов с налетом 7:25.</w:t>
      </w:r>
    </w:p>
    <w:p w14:paraId="4C689CB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 пустого - 8550, центровка 24,75% САХ</w:t>
      </w:r>
    </w:p>
    <w:p w14:paraId="64514F8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Полетный вес 12270 кг, центровка 27,6% САХ</w:t>
      </w:r>
    </w:p>
    <w:p w14:paraId="1E64E49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Нагрузка:</w:t>
      </w:r>
    </w:p>
    <w:p w14:paraId="1FA1E93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 4х90=360</w:t>
      </w:r>
    </w:p>
    <w:p w14:paraId="217DC37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Горючее (уд. Вес 0,73) - 3000</w:t>
      </w:r>
    </w:p>
    <w:p w14:paraId="70BFB0A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масло - 150</w:t>
      </w:r>
    </w:p>
    <w:p w14:paraId="04E9A28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стрелковое вооружение - 82</w:t>
      </w:r>
    </w:p>
    <w:p w14:paraId="120D128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Патроны к пулеметам и пушке с магазинами (не полный комплект) - 128</w:t>
      </w:r>
    </w:p>
    <w:p w14:paraId="1A8D683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3720</w:t>
      </w:r>
    </w:p>
    <w:p w14:paraId="3DE3DA4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Летные характеристики для машины с полетным весом 11500, которые состоит из веса пустого 8550 + горючее 2230, масло 150, пушки и пулеметы с патронами - 210, экипаж 4х90:</w:t>
      </w:r>
    </w:p>
    <w:p w14:paraId="6939968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скорость у земли - 330 при работе мотора на 30 мин. Номинале Рк 1250, на 1 гр. высотности (2500) - 374, на 2-й гв (5700) - 400 км/час</w:t>
      </w:r>
    </w:p>
    <w:p w14:paraId="6150B6D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Максимальные скорости, полученные при испытаниях, совпадают с немецкими данными</w:t>
      </w:r>
    </w:p>
    <w:p w14:paraId="70837BB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Высота переключения 3250, скорость - 365, Рк 920 и 7000 на 7000 м, скорость 376, Рк 752</w:t>
      </w:r>
    </w:p>
    <w:p w14:paraId="7F2D45D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5000 м - 20 мин.</w:t>
      </w:r>
    </w:p>
    <w:p w14:paraId="06DD0B6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Потолок 8750, время набора - 57</w:t>
      </w:r>
    </w:p>
    <w:p w14:paraId="690BD84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Разбег 560 м</w:t>
      </w:r>
    </w:p>
    <w:p w14:paraId="0674A51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Посадочная скорость - 133</w:t>
      </w:r>
    </w:p>
    <w:p w14:paraId="43EE048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Пробег 495</w:t>
      </w:r>
    </w:p>
    <w:p w14:paraId="1D315A9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Вертикальная скорость у земли - 5,0</w:t>
      </w:r>
    </w:p>
    <w:p w14:paraId="096DCDC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Вертикальная скорость на 1 гр. 5,2</w:t>
      </w:r>
    </w:p>
    <w:p w14:paraId="547CA44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Вертикальная скорость на 2 гр. 5000 м 3,7</w:t>
      </w:r>
    </w:p>
    <w:p w14:paraId="4CB75F8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Вертикальная скорость на 7000 м 2,2</w:t>
      </w:r>
    </w:p>
    <w:p w14:paraId="31D9BF0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Граница переключения скорости нагнетателя 3400 при скорости 3,4, а на макс. скорости гр. переключения 3250</w:t>
      </w:r>
    </w:p>
    <w:p w14:paraId="09822D5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Бензосистема (по бортовому описанию). Расходные баки 2х200 - 400. Консольные баки - 2х1025=2500 с автосливом, фюзеляжный бак 1х835 с автосливом</w:t>
      </w:r>
    </w:p>
    <w:p w14:paraId="6212F6A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и продолжительность полета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792"/>
        <w:gridCol w:w="872"/>
        <w:gridCol w:w="873"/>
        <w:gridCol w:w="872"/>
        <w:gridCol w:w="3053"/>
      </w:tblGrid>
      <w:tr w:rsidR="00860B4B" w:rsidRPr="00D03F3E" w14:paraId="203FE2AC" w14:textId="77777777">
        <w:tc>
          <w:tcPr>
            <w:tcW w:w="1868" w:type="dxa"/>
            <w:tcBorders>
              <w:top w:val="single" w:sz="12" w:space="0" w:color="auto"/>
            </w:tcBorders>
          </w:tcPr>
          <w:p w14:paraId="0C8CD1B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2" w:type="dxa"/>
            <w:tcBorders>
              <w:top w:val="single" w:sz="12" w:space="0" w:color="auto"/>
            </w:tcBorders>
          </w:tcPr>
          <w:p w14:paraId="11560EA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2" w:type="dxa"/>
            <w:tcBorders>
              <w:top w:val="single" w:sz="12" w:space="0" w:color="auto"/>
            </w:tcBorders>
          </w:tcPr>
          <w:p w14:paraId="2D7E01B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w:t>
            </w:r>
          </w:p>
        </w:tc>
        <w:tc>
          <w:tcPr>
            <w:tcW w:w="873" w:type="dxa"/>
            <w:tcBorders>
              <w:top w:val="single" w:sz="12" w:space="0" w:color="auto"/>
            </w:tcBorders>
          </w:tcPr>
          <w:p w14:paraId="56141DB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w:t>
            </w:r>
          </w:p>
        </w:tc>
        <w:tc>
          <w:tcPr>
            <w:tcW w:w="872" w:type="dxa"/>
            <w:tcBorders>
              <w:top w:val="single" w:sz="12" w:space="0" w:color="auto"/>
            </w:tcBorders>
          </w:tcPr>
          <w:p w14:paraId="5CC5190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5000</w:t>
            </w:r>
          </w:p>
        </w:tc>
        <w:tc>
          <w:tcPr>
            <w:tcW w:w="3053" w:type="dxa"/>
            <w:tcBorders>
              <w:top w:val="single" w:sz="12" w:space="0" w:color="auto"/>
            </w:tcBorders>
          </w:tcPr>
          <w:p w14:paraId="105ECF3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w:t>
            </w:r>
          </w:p>
        </w:tc>
      </w:tr>
      <w:tr w:rsidR="00860B4B" w:rsidRPr="00D03F3E" w14:paraId="52303385" w14:textId="77777777">
        <w:tc>
          <w:tcPr>
            <w:tcW w:w="1868" w:type="dxa"/>
          </w:tcPr>
          <w:p w14:paraId="4DE79FB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Давление наддува</w:t>
            </w:r>
          </w:p>
        </w:tc>
        <w:tc>
          <w:tcPr>
            <w:tcW w:w="792" w:type="dxa"/>
          </w:tcPr>
          <w:p w14:paraId="49E761B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атм.</w:t>
            </w:r>
          </w:p>
        </w:tc>
        <w:tc>
          <w:tcPr>
            <w:tcW w:w="872" w:type="dxa"/>
          </w:tcPr>
          <w:p w14:paraId="4C9D47D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1,15</w:t>
            </w:r>
          </w:p>
        </w:tc>
        <w:tc>
          <w:tcPr>
            <w:tcW w:w="873" w:type="dxa"/>
          </w:tcPr>
          <w:p w14:paraId="48DA7F3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1,15</w:t>
            </w:r>
          </w:p>
        </w:tc>
        <w:tc>
          <w:tcPr>
            <w:tcW w:w="872" w:type="dxa"/>
          </w:tcPr>
          <w:p w14:paraId="0150297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1,15</w:t>
            </w:r>
          </w:p>
        </w:tc>
        <w:tc>
          <w:tcPr>
            <w:tcW w:w="3053" w:type="dxa"/>
          </w:tcPr>
          <w:p w14:paraId="7B53A00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Данные приведены с учетом резерва горючего на 15-20 мин. полета</w:t>
            </w:r>
          </w:p>
        </w:tc>
      </w:tr>
      <w:tr w:rsidR="00860B4B" w:rsidRPr="00D03F3E" w14:paraId="72A39B62" w14:textId="77777777">
        <w:tc>
          <w:tcPr>
            <w:tcW w:w="1868" w:type="dxa"/>
          </w:tcPr>
          <w:p w14:paraId="1E35530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Обороты</w:t>
            </w:r>
          </w:p>
        </w:tc>
        <w:tc>
          <w:tcPr>
            <w:tcW w:w="792" w:type="dxa"/>
          </w:tcPr>
          <w:p w14:paraId="7EBFFC7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2" w:type="dxa"/>
          </w:tcPr>
          <w:p w14:paraId="2645BD9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2250</w:t>
            </w:r>
          </w:p>
        </w:tc>
        <w:tc>
          <w:tcPr>
            <w:tcW w:w="873" w:type="dxa"/>
          </w:tcPr>
          <w:p w14:paraId="5C87520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2250</w:t>
            </w:r>
          </w:p>
        </w:tc>
        <w:tc>
          <w:tcPr>
            <w:tcW w:w="872" w:type="dxa"/>
          </w:tcPr>
          <w:p w14:paraId="4E61A56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2250</w:t>
            </w:r>
          </w:p>
        </w:tc>
        <w:tc>
          <w:tcPr>
            <w:tcW w:w="3053" w:type="dxa"/>
          </w:tcPr>
          <w:p w14:paraId="13139E1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9519349" w14:textId="77777777">
        <w:tc>
          <w:tcPr>
            <w:tcW w:w="1868" w:type="dxa"/>
          </w:tcPr>
          <w:p w14:paraId="098CFB1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Расход горючего</w:t>
            </w:r>
          </w:p>
        </w:tc>
        <w:tc>
          <w:tcPr>
            <w:tcW w:w="792" w:type="dxa"/>
          </w:tcPr>
          <w:p w14:paraId="00883D0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л/час</w:t>
            </w:r>
          </w:p>
        </w:tc>
        <w:tc>
          <w:tcPr>
            <w:tcW w:w="872" w:type="dxa"/>
          </w:tcPr>
          <w:p w14:paraId="059AE3F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585</w:t>
            </w:r>
          </w:p>
        </w:tc>
        <w:tc>
          <w:tcPr>
            <w:tcW w:w="873" w:type="dxa"/>
          </w:tcPr>
          <w:p w14:paraId="2227E56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625</w:t>
            </w:r>
          </w:p>
        </w:tc>
        <w:tc>
          <w:tcPr>
            <w:tcW w:w="872" w:type="dxa"/>
          </w:tcPr>
          <w:p w14:paraId="6F97822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615</w:t>
            </w:r>
          </w:p>
        </w:tc>
        <w:tc>
          <w:tcPr>
            <w:tcW w:w="3053" w:type="dxa"/>
          </w:tcPr>
          <w:p w14:paraId="2267F5E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090121A" w14:textId="77777777">
        <w:tc>
          <w:tcPr>
            <w:tcW w:w="1868" w:type="dxa"/>
          </w:tcPr>
          <w:p w14:paraId="198C0E5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Скорость полета (0,9 макс.)</w:t>
            </w:r>
          </w:p>
        </w:tc>
        <w:tc>
          <w:tcPr>
            <w:tcW w:w="792" w:type="dxa"/>
          </w:tcPr>
          <w:p w14:paraId="2D10047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2" w:type="dxa"/>
          </w:tcPr>
          <w:p w14:paraId="5A890F2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300</w:t>
            </w:r>
          </w:p>
        </w:tc>
        <w:tc>
          <w:tcPr>
            <w:tcW w:w="873" w:type="dxa"/>
          </w:tcPr>
          <w:p w14:paraId="5717C3B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330</w:t>
            </w:r>
          </w:p>
        </w:tc>
        <w:tc>
          <w:tcPr>
            <w:tcW w:w="872" w:type="dxa"/>
          </w:tcPr>
          <w:p w14:paraId="45BBBD7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345</w:t>
            </w:r>
          </w:p>
        </w:tc>
        <w:tc>
          <w:tcPr>
            <w:tcW w:w="3053" w:type="dxa"/>
          </w:tcPr>
          <w:p w14:paraId="4E6129D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0BA349D" w14:textId="77777777">
        <w:tc>
          <w:tcPr>
            <w:tcW w:w="1868" w:type="dxa"/>
          </w:tcPr>
          <w:p w14:paraId="32132AD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при заправке</w:t>
            </w:r>
          </w:p>
        </w:tc>
        <w:tc>
          <w:tcPr>
            <w:tcW w:w="792" w:type="dxa"/>
          </w:tcPr>
          <w:p w14:paraId="24603BB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2180</w:t>
            </w:r>
          </w:p>
        </w:tc>
        <w:tc>
          <w:tcPr>
            <w:tcW w:w="872" w:type="dxa"/>
          </w:tcPr>
          <w:p w14:paraId="1ADF181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1065</w:t>
            </w:r>
          </w:p>
        </w:tc>
        <w:tc>
          <w:tcPr>
            <w:tcW w:w="873" w:type="dxa"/>
          </w:tcPr>
          <w:p w14:paraId="7BABBBD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1065</w:t>
            </w:r>
          </w:p>
        </w:tc>
        <w:tc>
          <w:tcPr>
            <w:tcW w:w="872" w:type="dxa"/>
          </w:tcPr>
          <w:p w14:paraId="065270B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1090</w:t>
            </w:r>
          </w:p>
        </w:tc>
        <w:tc>
          <w:tcPr>
            <w:tcW w:w="3053" w:type="dxa"/>
          </w:tcPr>
          <w:p w14:paraId="23BA64D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698BF2D0" w14:textId="77777777">
        <w:tc>
          <w:tcPr>
            <w:tcW w:w="1868" w:type="dxa"/>
          </w:tcPr>
          <w:p w14:paraId="4281359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2" w:type="dxa"/>
          </w:tcPr>
          <w:p w14:paraId="71F1B16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3280</w:t>
            </w:r>
          </w:p>
        </w:tc>
        <w:tc>
          <w:tcPr>
            <w:tcW w:w="872" w:type="dxa"/>
          </w:tcPr>
          <w:p w14:paraId="60309F0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1675</w:t>
            </w:r>
          </w:p>
        </w:tc>
        <w:tc>
          <w:tcPr>
            <w:tcW w:w="873" w:type="dxa"/>
          </w:tcPr>
          <w:p w14:paraId="4452AAB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1685</w:t>
            </w:r>
          </w:p>
        </w:tc>
        <w:tc>
          <w:tcPr>
            <w:tcW w:w="872" w:type="dxa"/>
          </w:tcPr>
          <w:p w14:paraId="326AEA2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1755</w:t>
            </w:r>
          </w:p>
        </w:tc>
        <w:tc>
          <w:tcPr>
            <w:tcW w:w="3053" w:type="dxa"/>
          </w:tcPr>
          <w:p w14:paraId="4AA6515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CE498FE" w14:textId="77777777">
        <w:tc>
          <w:tcPr>
            <w:tcW w:w="1868" w:type="dxa"/>
          </w:tcPr>
          <w:p w14:paraId="38EEFED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Продолжительность при заправке</w:t>
            </w:r>
          </w:p>
        </w:tc>
        <w:tc>
          <w:tcPr>
            <w:tcW w:w="792" w:type="dxa"/>
          </w:tcPr>
          <w:p w14:paraId="43B3397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2180</w:t>
            </w:r>
          </w:p>
        </w:tc>
        <w:tc>
          <w:tcPr>
            <w:tcW w:w="872" w:type="dxa"/>
          </w:tcPr>
          <w:p w14:paraId="4DAFC53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3:20</w:t>
            </w:r>
          </w:p>
        </w:tc>
        <w:tc>
          <w:tcPr>
            <w:tcW w:w="873" w:type="dxa"/>
          </w:tcPr>
          <w:p w14:paraId="6B2DEA6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3:20</w:t>
            </w:r>
          </w:p>
        </w:tc>
        <w:tc>
          <w:tcPr>
            <w:tcW w:w="872" w:type="dxa"/>
          </w:tcPr>
          <w:p w14:paraId="5B8580C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3:20</w:t>
            </w:r>
          </w:p>
        </w:tc>
        <w:tc>
          <w:tcPr>
            <w:tcW w:w="3053" w:type="dxa"/>
          </w:tcPr>
          <w:p w14:paraId="2BAB122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B52E450" w14:textId="77777777">
        <w:tc>
          <w:tcPr>
            <w:tcW w:w="1868" w:type="dxa"/>
          </w:tcPr>
          <w:p w14:paraId="48CE29E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2" w:type="dxa"/>
          </w:tcPr>
          <w:p w14:paraId="282A76C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3280</w:t>
            </w:r>
          </w:p>
        </w:tc>
        <w:tc>
          <w:tcPr>
            <w:tcW w:w="872" w:type="dxa"/>
          </w:tcPr>
          <w:p w14:paraId="001AC34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5:15</w:t>
            </w:r>
          </w:p>
        </w:tc>
        <w:tc>
          <w:tcPr>
            <w:tcW w:w="873" w:type="dxa"/>
          </w:tcPr>
          <w:p w14:paraId="1DC2234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tc>
        <w:tc>
          <w:tcPr>
            <w:tcW w:w="872" w:type="dxa"/>
          </w:tcPr>
          <w:p w14:paraId="3BCF51C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5:05</w:t>
            </w:r>
          </w:p>
        </w:tc>
        <w:tc>
          <w:tcPr>
            <w:tcW w:w="3053" w:type="dxa"/>
          </w:tcPr>
          <w:p w14:paraId="1B80128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25C016A" w14:textId="77777777">
        <w:tc>
          <w:tcPr>
            <w:tcW w:w="1868" w:type="dxa"/>
            <w:tcBorders>
              <w:bottom w:val="single" w:sz="12" w:space="0" w:color="auto"/>
            </w:tcBorders>
          </w:tcPr>
          <w:p w14:paraId="560D97C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2" w:type="dxa"/>
            <w:tcBorders>
              <w:bottom w:val="single" w:sz="12" w:space="0" w:color="auto"/>
            </w:tcBorders>
          </w:tcPr>
          <w:p w14:paraId="6285329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2" w:type="dxa"/>
            <w:tcBorders>
              <w:bottom w:val="single" w:sz="12" w:space="0" w:color="auto"/>
            </w:tcBorders>
          </w:tcPr>
          <w:p w14:paraId="2AF1CD2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Borders>
              <w:bottom w:val="single" w:sz="12" w:space="0" w:color="auto"/>
            </w:tcBorders>
          </w:tcPr>
          <w:p w14:paraId="1957266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2" w:type="dxa"/>
            <w:tcBorders>
              <w:bottom w:val="single" w:sz="12" w:space="0" w:color="auto"/>
            </w:tcBorders>
          </w:tcPr>
          <w:p w14:paraId="3F693F3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053" w:type="dxa"/>
            <w:tcBorders>
              <w:bottom w:val="single" w:sz="12" w:space="0" w:color="auto"/>
            </w:tcBorders>
          </w:tcPr>
          <w:p w14:paraId="43AA2BB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4EAF3BF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Виражи на Н-11 при полетном весе 11500 на всоте 2000 м при 2400 оборотах и Ра 1,2</w:t>
      </w:r>
    </w:p>
    <w:p w14:paraId="339C415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левый (крен 55-60 гр.) при скорости 281 км/час 48,3 с учетом ввода и вывода</w:t>
      </w:r>
    </w:p>
    <w:p w14:paraId="0C83221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правый (крен тот же) при скорости 286 - 49 с учетом ввода и вывода</w:t>
      </w:r>
    </w:p>
    <w:p w14:paraId="1DC069E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Таблица сравнения данныфх Хе-11 Н-11 2 ЮМО 211 </w:t>
      </w:r>
      <w:r w:rsidRPr="00D03F3E">
        <w:rPr>
          <w:rFonts w:ascii="Times New Roman" w:hAnsi="Times New Roman"/>
          <w:color w:val="000000" w:themeColor="text1"/>
          <w:sz w:val="16"/>
          <w:szCs w:val="16"/>
          <w:lang w:val="en-US"/>
        </w:rPr>
        <w:t>F</w:t>
      </w:r>
      <w:r w:rsidRPr="00D03F3E">
        <w:rPr>
          <w:rFonts w:ascii="Times New Roman" w:hAnsi="Times New Roman"/>
          <w:color w:val="000000" w:themeColor="text1"/>
          <w:sz w:val="16"/>
          <w:szCs w:val="16"/>
        </w:rPr>
        <w:t>-11 с Ил-4 2М-88б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2042"/>
        <w:gridCol w:w="1985"/>
      </w:tblGrid>
      <w:tr w:rsidR="00860B4B" w:rsidRPr="00D03F3E" w14:paraId="36016B35" w14:textId="77777777">
        <w:tc>
          <w:tcPr>
            <w:tcW w:w="3736" w:type="dxa"/>
            <w:tcBorders>
              <w:top w:val="single" w:sz="12" w:space="0" w:color="auto"/>
            </w:tcBorders>
          </w:tcPr>
          <w:p w14:paraId="79ABCC0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Наименование</w:t>
            </w:r>
          </w:p>
        </w:tc>
        <w:tc>
          <w:tcPr>
            <w:tcW w:w="2042" w:type="dxa"/>
            <w:tcBorders>
              <w:top w:val="single" w:sz="12" w:space="0" w:color="auto"/>
            </w:tcBorders>
          </w:tcPr>
          <w:p w14:paraId="4EBF5E8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Хе-111 Н-11</w:t>
            </w:r>
          </w:p>
        </w:tc>
        <w:tc>
          <w:tcPr>
            <w:tcW w:w="1985" w:type="dxa"/>
            <w:tcBorders>
              <w:top w:val="single" w:sz="12" w:space="0" w:color="auto"/>
            </w:tcBorders>
          </w:tcPr>
          <w:p w14:paraId="1E9ADC4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Ил-4 М-88Б № 2307 исп. в НИИ в феврале 1943</w:t>
            </w:r>
          </w:p>
        </w:tc>
      </w:tr>
      <w:tr w:rsidR="00860B4B" w:rsidRPr="00D03F3E" w14:paraId="09732473" w14:textId="77777777">
        <w:tc>
          <w:tcPr>
            <w:tcW w:w="3736" w:type="dxa"/>
          </w:tcPr>
          <w:p w14:paraId="6F7A9AC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Размах крыла (м)</w:t>
            </w:r>
          </w:p>
        </w:tc>
        <w:tc>
          <w:tcPr>
            <w:tcW w:w="2042" w:type="dxa"/>
          </w:tcPr>
          <w:p w14:paraId="4D91C6C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22,45</w:t>
            </w:r>
          </w:p>
        </w:tc>
        <w:tc>
          <w:tcPr>
            <w:tcW w:w="1985" w:type="dxa"/>
          </w:tcPr>
          <w:p w14:paraId="6C83702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21,44</w:t>
            </w:r>
          </w:p>
        </w:tc>
      </w:tr>
      <w:tr w:rsidR="00860B4B" w:rsidRPr="00D03F3E" w14:paraId="0464E349" w14:textId="77777777">
        <w:tc>
          <w:tcPr>
            <w:tcW w:w="3736" w:type="dxa"/>
          </w:tcPr>
          <w:p w14:paraId="214A08F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в линии полета (м)</w:t>
            </w:r>
          </w:p>
        </w:tc>
        <w:tc>
          <w:tcPr>
            <w:tcW w:w="2042" w:type="dxa"/>
          </w:tcPr>
          <w:p w14:paraId="30461C7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16,69</w:t>
            </w:r>
          </w:p>
        </w:tc>
        <w:tc>
          <w:tcPr>
            <w:tcW w:w="1985" w:type="dxa"/>
          </w:tcPr>
          <w:p w14:paraId="0CBE879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14,788</w:t>
            </w:r>
          </w:p>
        </w:tc>
      </w:tr>
      <w:tr w:rsidR="00860B4B" w:rsidRPr="00D03F3E" w14:paraId="3E2AD6E5" w14:textId="77777777">
        <w:tc>
          <w:tcPr>
            <w:tcW w:w="3736" w:type="dxa"/>
          </w:tcPr>
          <w:p w14:paraId="2D700DC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Высота на стоянке (м)</w:t>
            </w:r>
          </w:p>
        </w:tc>
        <w:tc>
          <w:tcPr>
            <w:tcW w:w="2042" w:type="dxa"/>
          </w:tcPr>
          <w:p w14:paraId="3ECE911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4,61</w:t>
            </w:r>
          </w:p>
        </w:tc>
        <w:tc>
          <w:tcPr>
            <w:tcW w:w="1985" w:type="dxa"/>
          </w:tcPr>
          <w:p w14:paraId="15A0355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4,675</w:t>
            </w:r>
          </w:p>
        </w:tc>
      </w:tr>
      <w:tr w:rsidR="00860B4B" w:rsidRPr="00D03F3E" w14:paraId="683032DB" w14:textId="77777777">
        <w:tc>
          <w:tcPr>
            <w:tcW w:w="3736" w:type="dxa"/>
          </w:tcPr>
          <w:p w14:paraId="0C82E0F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Диаметр винта (м)</w:t>
            </w:r>
          </w:p>
        </w:tc>
        <w:tc>
          <w:tcPr>
            <w:tcW w:w="2042" w:type="dxa"/>
          </w:tcPr>
          <w:p w14:paraId="13FC378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tc>
        <w:tc>
          <w:tcPr>
            <w:tcW w:w="1985" w:type="dxa"/>
          </w:tcPr>
          <w:p w14:paraId="4DEBBFF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w:t>
            </w:r>
          </w:p>
        </w:tc>
      </w:tr>
      <w:tr w:rsidR="00860B4B" w:rsidRPr="00D03F3E" w14:paraId="67F9CF71" w14:textId="77777777">
        <w:tc>
          <w:tcPr>
            <w:tcW w:w="3736" w:type="dxa"/>
          </w:tcPr>
          <w:p w14:paraId="1C1BEA6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крыла</w:t>
            </w:r>
          </w:p>
        </w:tc>
        <w:tc>
          <w:tcPr>
            <w:tcW w:w="2042" w:type="dxa"/>
          </w:tcPr>
          <w:p w14:paraId="75FB578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85,72</w:t>
            </w:r>
          </w:p>
        </w:tc>
        <w:tc>
          <w:tcPr>
            <w:tcW w:w="1985" w:type="dxa"/>
          </w:tcPr>
          <w:p w14:paraId="4659395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66,7</w:t>
            </w:r>
          </w:p>
        </w:tc>
      </w:tr>
      <w:tr w:rsidR="00860B4B" w:rsidRPr="00D03F3E" w14:paraId="67DC027B" w14:textId="77777777">
        <w:tc>
          <w:tcPr>
            <w:tcW w:w="3736" w:type="dxa"/>
          </w:tcPr>
          <w:p w14:paraId="7598002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Емкость баков (л)</w:t>
            </w:r>
          </w:p>
        </w:tc>
        <w:tc>
          <w:tcPr>
            <w:tcW w:w="2042" w:type="dxa"/>
          </w:tcPr>
          <w:p w14:paraId="634B042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4285</w:t>
            </w:r>
          </w:p>
        </w:tc>
        <w:tc>
          <w:tcPr>
            <w:tcW w:w="1985" w:type="dxa"/>
          </w:tcPr>
          <w:p w14:paraId="4FEA3AB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3855</w:t>
            </w:r>
          </w:p>
        </w:tc>
      </w:tr>
      <w:tr w:rsidR="00860B4B" w:rsidRPr="00D03F3E" w14:paraId="5B06F6A2" w14:textId="77777777">
        <w:tc>
          <w:tcPr>
            <w:tcW w:w="3736" w:type="dxa"/>
          </w:tcPr>
          <w:p w14:paraId="7E580DC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Мощность моторов</w:t>
            </w:r>
          </w:p>
        </w:tc>
        <w:tc>
          <w:tcPr>
            <w:tcW w:w="2042" w:type="dxa"/>
          </w:tcPr>
          <w:p w14:paraId="1314CCF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2х1350/2х1100/5000</w:t>
            </w:r>
          </w:p>
        </w:tc>
        <w:tc>
          <w:tcPr>
            <w:tcW w:w="1985" w:type="dxa"/>
          </w:tcPr>
          <w:p w14:paraId="200781B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2х1100/2х1000/6000</w:t>
            </w:r>
          </w:p>
        </w:tc>
      </w:tr>
      <w:tr w:rsidR="00860B4B" w:rsidRPr="00D03F3E" w14:paraId="141F0EDE" w14:textId="77777777">
        <w:tc>
          <w:tcPr>
            <w:tcW w:w="3736" w:type="dxa"/>
          </w:tcPr>
          <w:p w14:paraId="3530797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Стрелковое вооружение</w:t>
            </w:r>
          </w:p>
        </w:tc>
        <w:tc>
          <w:tcPr>
            <w:tcW w:w="2042" w:type="dxa"/>
          </w:tcPr>
          <w:p w14:paraId="1FAFE70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A3EBE8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939E862" w14:textId="77777777">
        <w:tc>
          <w:tcPr>
            <w:tcW w:w="3736" w:type="dxa"/>
          </w:tcPr>
          <w:p w14:paraId="068A106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подвижная вперед</w:t>
            </w:r>
          </w:p>
        </w:tc>
        <w:tc>
          <w:tcPr>
            <w:tcW w:w="2042" w:type="dxa"/>
          </w:tcPr>
          <w:p w14:paraId="79A2EF6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1хпушка 20 мм</w:t>
            </w:r>
          </w:p>
        </w:tc>
        <w:tc>
          <w:tcPr>
            <w:tcW w:w="1985" w:type="dxa"/>
          </w:tcPr>
          <w:p w14:paraId="7AC7ACB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1хШКАС</w:t>
            </w:r>
          </w:p>
        </w:tc>
      </w:tr>
      <w:tr w:rsidR="00860B4B" w:rsidRPr="00D03F3E" w14:paraId="0362A160" w14:textId="77777777">
        <w:tc>
          <w:tcPr>
            <w:tcW w:w="3736" w:type="dxa"/>
          </w:tcPr>
          <w:p w14:paraId="1D94D3D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подвижная вверх</w:t>
            </w:r>
          </w:p>
        </w:tc>
        <w:tc>
          <w:tcPr>
            <w:tcW w:w="2042" w:type="dxa"/>
          </w:tcPr>
          <w:p w14:paraId="718FA99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1хМГ-131</w:t>
            </w:r>
          </w:p>
        </w:tc>
        <w:tc>
          <w:tcPr>
            <w:tcW w:w="1985" w:type="dxa"/>
          </w:tcPr>
          <w:p w14:paraId="2F69A81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1хУБТ</w:t>
            </w:r>
          </w:p>
        </w:tc>
      </w:tr>
      <w:tr w:rsidR="00860B4B" w:rsidRPr="00D03F3E" w14:paraId="6DE08F74" w14:textId="77777777">
        <w:tc>
          <w:tcPr>
            <w:tcW w:w="3736" w:type="dxa"/>
          </w:tcPr>
          <w:p w14:paraId="79D58EA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подвижная вниз</w:t>
            </w:r>
          </w:p>
        </w:tc>
        <w:tc>
          <w:tcPr>
            <w:tcW w:w="2042" w:type="dxa"/>
          </w:tcPr>
          <w:p w14:paraId="10CD9D8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спаркаМГ-81</w:t>
            </w:r>
          </w:p>
        </w:tc>
        <w:tc>
          <w:tcPr>
            <w:tcW w:w="1985" w:type="dxa"/>
          </w:tcPr>
          <w:p w14:paraId="3B20A18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1хШКАС</w:t>
            </w:r>
          </w:p>
        </w:tc>
      </w:tr>
      <w:tr w:rsidR="00860B4B" w:rsidRPr="00D03F3E" w14:paraId="15BF286F" w14:textId="77777777">
        <w:tc>
          <w:tcPr>
            <w:tcW w:w="3736" w:type="dxa"/>
          </w:tcPr>
          <w:p w14:paraId="5AEC3AD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подвижная люковая</w:t>
            </w:r>
          </w:p>
        </w:tc>
        <w:tc>
          <w:tcPr>
            <w:tcW w:w="2042" w:type="dxa"/>
          </w:tcPr>
          <w:p w14:paraId="3399507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2хМК-15</w:t>
            </w:r>
          </w:p>
        </w:tc>
        <w:tc>
          <w:tcPr>
            <w:tcW w:w="1985" w:type="dxa"/>
          </w:tcPr>
          <w:p w14:paraId="1BB1F98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w:t>
            </w:r>
          </w:p>
        </w:tc>
      </w:tr>
      <w:tr w:rsidR="00860B4B" w:rsidRPr="00D03F3E" w14:paraId="3110F700" w14:textId="77777777">
        <w:tc>
          <w:tcPr>
            <w:tcW w:w="3736" w:type="dxa"/>
          </w:tcPr>
          <w:p w14:paraId="617EE31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правый и левый бортовые</w:t>
            </w:r>
          </w:p>
        </w:tc>
        <w:tc>
          <w:tcPr>
            <w:tcW w:w="2042" w:type="dxa"/>
          </w:tcPr>
          <w:p w14:paraId="5BDBE9F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2хМГ-15</w:t>
            </w:r>
          </w:p>
        </w:tc>
        <w:tc>
          <w:tcPr>
            <w:tcW w:w="1985" w:type="dxa"/>
          </w:tcPr>
          <w:p w14:paraId="1EAB6A1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w:t>
            </w:r>
          </w:p>
        </w:tc>
      </w:tr>
      <w:tr w:rsidR="00860B4B" w:rsidRPr="00D03F3E" w14:paraId="0CA677A3" w14:textId="77777777">
        <w:tc>
          <w:tcPr>
            <w:tcW w:w="3736" w:type="dxa"/>
          </w:tcPr>
          <w:p w14:paraId="72E0994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Бомбардировочное вооружение</w:t>
            </w:r>
          </w:p>
        </w:tc>
        <w:tc>
          <w:tcPr>
            <w:tcW w:w="2042" w:type="dxa"/>
          </w:tcPr>
          <w:p w14:paraId="2D64662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FAF8C4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3CDD96B" w14:textId="77777777">
        <w:tc>
          <w:tcPr>
            <w:tcW w:w="3736" w:type="dxa"/>
          </w:tcPr>
          <w:p w14:paraId="69485FE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наружное</w:t>
            </w:r>
          </w:p>
        </w:tc>
        <w:tc>
          <w:tcPr>
            <w:tcW w:w="2042" w:type="dxa"/>
          </w:tcPr>
          <w:p w14:paraId="18935FB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2000-3000</w:t>
            </w:r>
          </w:p>
        </w:tc>
        <w:tc>
          <w:tcPr>
            <w:tcW w:w="1985" w:type="dxa"/>
          </w:tcPr>
          <w:p w14:paraId="68CC61B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w:t>
            </w:r>
          </w:p>
        </w:tc>
      </w:tr>
      <w:tr w:rsidR="00860B4B" w:rsidRPr="00D03F3E" w14:paraId="6E19259E" w14:textId="77777777">
        <w:tc>
          <w:tcPr>
            <w:tcW w:w="3736" w:type="dxa"/>
          </w:tcPr>
          <w:p w14:paraId="0B1A7DD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внутреннее</w:t>
            </w:r>
          </w:p>
        </w:tc>
        <w:tc>
          <w:tcPr>
            <w:tcW w:w="2042" w:type="dxa"/>
          </w:tcPr>
          <w:p w14:paraId="125B76A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w:t>
            </w:r>
          </w:p>
        </w:tc>
        <w:tc>
          <w:tcPr>
            <w:tcW w:w="1985" w:type="dxa"/>
          </w:tcPr>
          <w:p w14:paraId="59E2D52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w:t>
            </w:r>
          </w:p>
        </w:tc>
      </w:tr>
      <w:tr w:rsidR="00860B4B" w:rsidRPr="00D03F3E" w14:paraId="15D35A98" w14:textId="77777777">
        <w:tc>
          <w:tcPr>
            <w:tcW w:w="3736" w:type="dxa"/>
          </w:tcPr>
          <w:p w14:paraId="55C50B6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Калибры бомб</w:t>
            </w:r>
          </w:p>
        </w:tc>
        <w:tc>
          <w:tcPr>
            <w:tcW w:w="2042" w:type="dxa"/>
          </w:tcPr>
          <w:p w14:paraId="0353ECC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5B041A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E793822" w14:textId="77777777">
        <w:tc>
          <w:tcPr>
            <w:tcW w:w="3736" w:type="dxa"/>
          </w:tcPr>
          <w:p w14:paraId="6847492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снаружи</w:t>
            </w:r>
          </w:p>
        </w:tc>
        <w:tc>
          <w:tcPr>
            <w:tcW w:w="2042" w:type="dxa"/>
          </w:tcPr>
          <w:p w14:paraId="11CEC93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1700</w:t>
            </w:r>
          </w:p>
        </w:tc>
        <w:tc>
          <w:tcPr>
            <w:tcW w:w="1985" w:type="dxa"/>
          </w:tcPr>
          <w:p w14:paraId="45093D1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1000 и 500</w:t>
            </w:r>
          </w:p>
        </w:tc>
      </w:tr>
      <w:tr w:rsidR="00860B4B" w:rsidRPr="00D03F3E" w14:paraId="24D674CA" w14:textId="77777777">
        <w:tc>
          <w:tcPr>
            <w:tcW w:w="3736" w:type="dxa"/>
          </w:tcPr>
          <w:p w14:paraId="5B6B1A3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внутри</w:t>
            </w:r>
          </w:p>
        </w:tc>
        <w:tc>
          <w:tcPr>
            <w:tcW w:w="2042" w:type="dxa"/>
          </w:tcPr>
          <w:p w14:paraId="36DA5E3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нет</w:t>
            </w:r>
          </w:p>
        </w:tc>
        <w:tc>
          <w:tcPr>
            <w:tcW w:w="1985" w:type="dxa"/>
          </w:tcPr>
          <w:p w14:paraId="725E405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r>
      <w:tr w:rsidR="00860B4B" w:rsidRPr="00D03F3E" w14:paraId="3FF213A4" w14:textId="77777777">
        <w:tc>
          <w:tcPr>
            <w:tcW w:w="3736" w:type="dxa"/>
          </w:tcPr>
          <w:p w14:paraId="524B2B8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Нагрузка на 1 кв. м</w:t>
            </w:r>
          </w:p>
        </w:tc>
        <w:tc>
          <w:tcPr>
            <w:tcW w:w="2042" w:type="dxa"/>
          </w:tcPr>
          <w:p w14:paraId="28D25C3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w:t>
            </w:r>
          </w:p>
        </w:tc>
        <w:tc>
          <w:tcPr>
            <w:tcW w:w="1985" w:type="dxa"/>
          </w:tcPr>
          <w:p w14:paraId="2929B42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138</w:t>
            </w:r>
          </w:p>
        </w:tc>
      </w:tr>
      <w:tr w:rsidR="00860B4B" w:rsidRPr="00D03F3E" w14:paraId="6A01D461" w14:textId="77777777">
        <w:tc>
          <w:tcPr>
            <w:tcW w:w="3736" w:type="dxa"/>
          </w:tcPr>
          <w:p w14:paraId="44E846A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Нагрузка на лс</w:t>
            </w:r>
          </w:p>
        </w:tc>
        <w:tc>
          <w:tcPr>
            <w:tcW w:w="2042" w:type="dxa"/>
          </w:tcPr>
          <w:p w14:paraId="1DEA765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w:t>
            </w:r>
          </w:p>
        </w:tc>
        <w:tc>
          <w:tcPr>
            <w:tcW w:w="1985" w:type="dxa"/>
          </w:tcPr>
          <w:p w14:paraId="46CAB80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4,25</w:t>
            </w:r>
          </w:p>
        </w:tc>
      </w:tr>
      <w:tr w:rsidR="00860B4B" w:rsidRPr="00D03F3E" w14:paraId="1847D556" w14:textId="77777777">
        <w:tc>
          <w:tcPr>
            <w:tcW w:w="3736" w:type="dxa"/>
          </w:tcPr>
          <w:p w14:paraId="633D7B2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скорость на о</w:t>
            </w:r>
          </w:p>
        </w:tc>
        <w:tc>
          <w:tcPr>
            <w:tcW w:w="2042" w:type="dxa"/>
          </w:tcPr>
          <w:p w14:paraId="48AA994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330</w:t>
            </w:r>
          </w:p>
        </w:tc>
        <w:tc>
          <w:tcPr>
            <w:tcW w:w="1985" w:type="dxa"/>
          </w:tcPr>
          <w:p w14:paraId="53C71A4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341</w:t>
            </w:r>
          </w:p>
        </w:tc>
      </w:tr>
      <w:tr w:rsidR="00860B4B" w:rsidRPr="00D03F3E" w14:paraId="4331D570" w14:textId="77777777">
        <w:tc>
          <w:tcPr>
            <w:tcW w:w="3736" w:type="dxa"/>
          </w:tcPr>
          <w:p w14:paraId="16CFF8E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1000</w:t>
            </w:r>
          </w:p>
        </w:tc>
        <w:tc>
          <w:tcPr>
            <w:tcW w:w="2042" w:type="dxa"/>
          </w:tcPr>
          <w:p w14:paraId="438D1D7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347</w:t>
            </w:r>
          </w:p>
        </w:tc>
        <w:tc>
          <w:tcPr>
            <w:tcW w:w="1985" w:type="dxa"/>
          </w:tcPr>
          <w:p w14:paraId="17AF829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355</w:t>
            </w:r>
          </w:p>
        </w:tc>
      </w:tr>
      <w:tr w:rsidR="00860B4B" w:rsidRPr="00D03F3E" w14:paraId="6B6C1644" w14:textId="77777777">
        <w:tc>
          <w:tcPr>
            <w:tcW w:w="3736" w:type="dxa"/>
          </w:tcPr>
          <w:p w14:paraId="69D609D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3000</w:t>
            </w:r>
          </w:p>
        </w:tc>
        <w:tc>
          <w:tcPr>
            <w:tcW w:w="2042" w:type="dxa"/>
          </w:tcPr>
          <w:p w14:paraId="534398D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368</w:t>
            </w:r>
          </w:p>
        </w:tc>
        <w:tc>
          <w:tcPr>
            <w:tcW w:w="1985" w:type="dxa"/>
          </w:tcPr>
          <w:p w14:paraId="634BBBA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384</w:t>
            </w:r>
          </w:p>
        </w:tc>
      </w:tr>
      <w:tr w:rsidR="00860B4B" w:rsidRPr="00D03F3E" w14:paraId="05804811" w14:textId="77777777">
        <w:tc>
          <w:tcPr>
            <w:tcW w:w="3736" w:type="dxa"/>
          </w:tcPr>
          <w:p w14:paraId="2C9F2BE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5000</w:t>
            </w:r>
          </w:p>
        </w:tc>
        <w:tc>
          <w:tcPr>
            <w:tcW w:w="2042" w:type="dxa"/>
          </w:tcPr>
          <w:p w14:paraId="7164513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393</w:t>
            </w:r>
          </w:p>
        </w:tc>
        <w:tc>
          <w:tcPr>
            <w:tcW w:w="1985" w:type="dxa"/>
          </w:tcPr>
          <w:p w14:paraId="308BFD4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392</w:t>
            </w:r>
          </w:p>
        </w:tc>
      </w:tr>
      <w:tr w:rsidR="00860B4B" w:rsidRPr="00D03F3E" w14:paraId="0C5C0869" w14:textId="77777777">
        <w:tc>
          <w:tcPr>
            <w:tcW w:w="3736" w:type="dxa"/>
          </w:tcPr>
          <w:p w14:paraId="25595B4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6000</w:t>
            </w:r>
          </w:p>
        </w:tc>
        <w:tc>
          <w:tcPr>
            <w:tcW w:w="2042" w:type="dxa"/>
          </w:tcPr>
          <w:p w14:paraId="700FF8A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396</w:t>
            </w:r>
          </w:p>
        </w:tc>
        <w:tc>
          <w:tcPr>
            <w:tcW w:w="1985" w:type="dxa"/>
          </w:tcPr>
          <w:p w14:paraId="2FC3FA0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403</w:t>
            </w:r>
          </w:p>
        </w:tc>
      </w:tr>
      <w:tr w:rsidR="00860B4B" w:rsidRPr="00D03F3E" w14:paraId="32A7C2CB" w14:textId="77777777">
        <w:tc>
          <w:tcPr>
            <w:tcW w:w="3736" w:type="dxa"/>
          </w:tcPr>
          <w:p w14:paraId="41BB4F2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7000</w:t>
            </w:r>
          </w:p>
        </w:tc>
        <w:tc>
          <w:tcPr>
            <w:tcW w:w="2042" w:type="dxa"/>
          </w:tcPr>
          <w:p w14:paraId="49D86F0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378</w:t>
            </w:r>
          </w:p>
        </w:tc>
        <w:tc>
          <w:tcPr>
            <w:tcW w:w="1985" w:type="dxa"/>
          </w:tcPr>
          <w:p w14:paraId="0F28FE1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398</w:t>
            </w:r>
          </w:p>
        </w:tc>
      </w:tr>
      <w:tr w:rsidR="00860B4B" w:rsidRPr="00D03F3E" w14:paraId="32ED1A24" w14:textId="77777777">
        <w:tc>
          <w:tcPr>
            <w:tcW w:w="3736" w:type="dxa"/>
          </w:tcPr>
          <w:p w14:paraId="68E8BFC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2-й гр. высотности</w:t>
            </w:r>
          </w:p>
        </w:tc>
        <w:tc>
          <w:tcPr>
            <w:tcW w:w="2042" w:type="dxa"/>
          </w:tcPr>
          <w:p w14:paraId="44134EC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400/5700</w:t>
            </w:r>
          </w:p>
        </w:tc>
        <w:tc>
          <w:tcPr>
            <w:tcW w:w="1985" w:type="dxa"/>
          </w:tcPr>
          <w:p w14:paraId="33C1F55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406/6400</w:t>
            </w:r>
          </w:p>
        </w:tc>
      </w:tr>
      <w:tr w:rsidR="00860B4B" w:rsidRPr="00D03F3E" w14:paraId="7A56357A" w14:textId="77777777">
        <w:tc>
          <w:tcPr>
            <w:tcW w:w="3736" w:type="dxa"/>
          </w:tcPr>
          <w:p w14:paraId="4D10984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5000</w:t>
            </w:r>
          </w:p>
        </w:tc>
        <w:tc>
          <w:tcPr>
            <w:tcW w:w="2042" w:type="dxa"/>
          </w:tcPr>
          <w:p w14:paraId="10AE439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c>
          <w:tcPr>
            <w:tcW w:w="1985" w:type="dxa"/>
          </w:tcPr>
          <w:p w14:paraId="0863DE5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16,1</w:t>
            </w:r>
          </w:p>
        </w:tc>
      </w:tr>
      <w:tr w:rsidR="00860B4B" w:rsidRPr="00D03F3E" w14:paraId="50CECDC3" w14:textId="77777777">
        <w:tc>
          <w:tcPr>
            <w:tcW w:w="3736" w:type="dxa"/>
          </w:tcPr>
          <w:p w14:paraId="584E832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Пактический потолок</w:t>
            </w:r>
          </w:p>
        </w:tc>
        <w:tc>
          <w:tcPr>
            <w:tcW w:w="2042" w:type="dxa"/>
          </w:tcPr>
          <w:p w14:paraId="570A567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8750</w:t>
            </w:r>
          </w:p>
        </w:tc>
        <w:tc>
          <w:tcPr>
            <w:tcW w:w="1985" w:type="dxa"/>
          </w:tcPr>
          <w:p w14:paraId="42A50C1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8750</w:t>
            </w:r>
          </w:p>
        </w:tc>
      </w:tr>
      <w:tr w:rsidR="00860B4B" w:rsidRPr="00D03F3E" w14:paraId="17C6E53F" w14:textId="77777777">
        <w:tc>
          <w:tcPr>
            <w:tcW w:w="3736" w:type="dxa"/>
          </w:tcPr>
          <w:p w14:paraId="28B89D2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Разбег</w:t>
            </w:r>
          </w:p>
        </w:tc>
        <w:tc>
          <w:tcPr>
            <w:tcW w:w="2042" w:type="dxa"/>
          </w:tcPr>
          <w:p w14:paraId="4D7125C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560/11000</w:t>
            </w:r>
          </w:p>
        </w:tc>
        <w:tc>
          <w:tcPr>
            <w:tcW w:w="1985" w:type="dxa"/>
          </w:tcPr>
          <w:p w14:paraId="08C20F0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530</w:t>
            </w:r>
          </w:p>
        </w:tc>
      </w:tr>
      <w:tr w:rsidR="00860B4B" w:rsidRPr="00D03F3E" w14:paraId="2A72B7C4" w14:textId="77777777">
        <w:tc>
          <w:tcPr>
            <w:tcW w:w="3736" w:type="dxa"/>
          </w:tcPr>
          <w:p w14:paraId="44555EB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Вздллетная дистанция</w:t>
            </w:r>
          </w:p>
        </w:tc>
        <w:tc>
          <w:tcPr>
            <w:tcW w:w="2042" w:type="dxa"/>
          </w:tcPr>
          <w:p w14:paraId="1A1FF24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1200</w:t>
            </w:r>
          </w:p>
        </w:tc>
        <w:tc>
          <w:tcPr>
            <w:tcW w:w="1985" w:type="dxa"/>
          </w:tcPr>
          <w:p w14:paraId="569EF03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1400</w:t>
            </w:r>
          </w:p>
        </w:tc>
      </w:tr>
      <w:tr w:rsidR="00860B4B" w:rsidRPr="00D03F3E" w14:paraId="046F506D" w14:textId="77777777">
        <w:tc>
          <w:tcPr>
            <w:tcW w:w="3736" w:type="dxa"/>
          </w:tcPr>
          <w:p w14:paraId="0E0093C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Пробег</w:t>
            </w:r>
          </w:p>
        </w:tc>
        <w:tc>
          <w:tcPr>
            <w:tcW w:w="2042" w:type="dxa"/>
          </w:tcPr>
          <w:p w14:paraId="4730F36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495</w:t>
            </w:r>
          </w:p>
        </w:tc>
        <w:tc>
          <w:tcPr>
            <w:tcW w:w="1985" w:type="dxa"/>
          </w:tcPr>
          <w:p w14:paraId="3BF6C1A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410</w:t>
            </w:r>
          </w:p>
        </w:tc>
      </w:tr>
      <w:tr w:rsidR="00860B4B" w:rsidRPr="00D03F3E" w14:paraId="20AA3574" w14:textId="77777777">
        <w:tc>
          <w:tcPr>
            <w:tcW w:w="3736" w:type="dxa"/>
          </w:tcPr>
          <w:p w14:paraId="3D6D20A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Посадочная скорость</w:t>
            </w:r>
          </w:p>
        </w:tc>
        <w:tc>
          <w:tcPr>
            <w:tcW w:w="2042" w:type="dxa"/>
          </w:tcPr>
          <w:p w14:paraId="1E8A128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133</w:t>
            </w:r>
          </w:p>
        </w:tc>
        <w:tc>
          <w:tcPr>
            <w:tcW w:w="1985" w:type="dxa"/>
          </w:tcPr>
          <w:p w14:paraId="31F50AC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129</w:t>
            </w:r>
          </w:p>
        </w:tc>
      </w:tr>
      <w:tr w:rsidR="00860B4B" w:rsidRPr="00D03F3E" w14:paraId="404F5233" w14:textId="77777777">
        <w:tc>
          <w:tcPr>
            <w:tcW w:w="3736" w:type="dxa"/>
            <w:tcBorders>
              <w:bottom w:val="single" w:sz="12" w:space="0" w:color="auto"/>
            </w:tcBorders>
          </w:tcPr>
          <w:p w14:paraId="3CD1647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w:t>
            </w:r>
          </w:p>
        </w:tc>
        <w:tc>
          <w:tcPr>
            <w:tcW w:w="2042" w:type="dxa"/>
            <w:tcBorders>
              <w:bottom w:val="single" w:sz="12" w:space="0" w:color="auto"/>
            </w:tcBorders>
          </w:tcPr>
          <w:p w14:paraId="4808852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2300 на 0,9 на 5000 м</w:t>
            </w:r>
          </w:p>
        </w:tc>
        <w:tc>
          <w:tcPr>
            <w:tcW w:w="1985" w:type="dxa"/>
            <w:tcBorders>
              <w:bottom w:val="single" w:sz="12" w:space="0" w:color="auto"/>
            </w:tcBorders>
          </w:tcPr>
          <w:p w14:paraId="09E8BAB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3E113AF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Выводы:</w:t>
      </w:r>
    </w:p>
    <w:p w14:paraId="360F86F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скорость Хе-11 меньше скорости Ил-4 у земли на 11, на 3000 м на 16, на 7000 на 19, время набора 5000 больше на 3,9, пробег и разбег практически одинаковы</w:t>
      </w:r>
    </w:p>
    <w:p w14:paraId="0CB9BA4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вооружению Н-11 является одной из последних модификаций Хе-111 (усиление огневой защиты в секторах наиболее вероятных атак передней, нижней т верхней задней полусферы), замена простых кольцевых прицелов с мушкой коллиматорными прицелами с механизмом стабилизации вектора собственной скорости с-та, рост числа патронов для всех пулеметов с доведением времени непрерывной стрельюы до 75 сек. (на отечественных с-тах это время в среднем 15 сек.). Увеличение бомбовой нагрузки и калибра бомб (внутрення подвеска требует сложной конструктивной переделки). Исходя из условий прочности с-та и обеспечения взлета с перегрузкой (до 14000 - 15000 м) можно предвидеть бомбовую нагрузку до 3000 кг.</w:t>
      </w:r>
    </w:p>
    <w:p w14:paraId="4C2B012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технике прилотирования с-т прост. Обладает хорошей управляемостью и устойчивостью. Доступен л средней квалификации. Удобен для л. Обзор - хорош. Расположение ручек управления и приборов хорошо и обеспечивает выполнение полетов днем и ночью на всех высотах в длительных полетах. Расположение экипажа в д-х местной кабине рядом при наличии свободного прозода из кабины в кабину увеличивает его боеспособность, позволяя осуществлять взаимопомощь и хорошую непосредственную связь. Бронирование экипажа не является удовлетворительным (толщина брони 10 мм и нет защиты сверху и сзади).</w:t>
      </w:r>
    </w:p>
    <w:p w14:paraId="28D79E6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ВМГ достаточна надежна и проста в эксплуатации.</w:t>
      </w:r>
    </w:p>
    <w:p w14:paraId="72E433C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ВМГ имеет ряд положительных сторон, отсутствующих на наших с-тах. Основные из них:</w:t>
      </w:r>
    </w:p>
    <w:p w14:paraId="37A31DC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наличие автомата переключения скоростей нагнетателя, флегирования винтов, аварийного слива горючего при помощи выдавливания горючего из бака нейтральным газом, применением ацетилена для холодного запуска моторов, наличие расходометров горючего, показывающих расход горючего при юбом режиме работы мотора в литровом исчислении, возможность замены моторов вместе с подмоторной рамой и со смонтированными на них агрегатами.</w:t>
      </w:r>
    </w:p>
    <w:p w14:paraId="07BA360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Подписали Грибакин 17 и Ашитков 19 июня 1943</w:t>
      </w:r>
    </w:p>
    <w:p w14:paraId="0DB7A97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Заключения:</w:t>
      </w:r>
    </w:p>
    <w:p w14:paraId="59ED554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Макс. скорость Хе-11 меньше скорости Ил-4 у земли на 11, на 3000 м на 16, на 7000 на 19, время набора 5000 больше на 3,9, пробег и разбег практически одинаковы</w:t>
      </w:r>
    </w:p>
    <w:p w14:paraId="00EC97B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ВМГ, спецоборудование и вооружение Хе-11 Н-11 в сравнении с Хе-111 прежних выпусков значительно улучшились</w:t>
      </w:r>
    </w:p>
    <w:p w14:paraId="0F8475E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Для изучения отечественной промышленностью представляют интерес:</w:t>
      </w:r>
    </w:p>
    <w:p w14:paraId="67AB405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автомат переключения скорости нагнетателя</w:t>
      </w:r>
    </w:p>
    <w:p w14:paraId="2FD0E5E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дистанционные установки винта Юнкерс 11 во флюгерное положение</w:t>
      </w:r>
    </w:p>
    <w:p w14:paraId="7C115E7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система холодного запуска моторов на ацетитене</w:t>
      </w:r>
    </w:p>
    <w:p w14:paraId="4161928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система авиарийного слива горючего</w:t>
      </w:r>
    </w:p>
    <w:p w14:paraId="573F582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электрические расходомеры горючего</w:t>
      </w:r>
    </w:p>
    <w:p w14:paraId="3424B2F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автоматический РПК</w:t>
      </w:r>
    </w:p>
    <w:p w14:paraId="7EF2AAC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точный электрический высотомер</w:t>
      </w:r>
    </w:p>
    <w:p w14:paraId="3E8EC0E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электрическая установка мотор-генератор</w:t>
      </w:r>
    </w:p>
    <w:p w14:paraId="058C311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Подписано 19 июня 1943 (797,3).</w:t>
      </w:r>
    </w:p>
    <w:p w14:paraId="6E4530C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6C225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был подготовлен подписанный А.Н.Т.:</w:t>
      </w:r>
    </w:p>
    <w:p w14:paraId="226D854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КРАТКИЙ ПЕРЕЧЕНЬ</w:t>
      </w:r>
    </w:p>
    <w:p w14:paraId="5E9E8E0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конструктивных отклонений в стандартном типе самолета ТУ-2 относительно серийных машин выпускавшихся заводрм № 166.</w:t>
      </w:r>
    </w:p>
    <w:p w14:paraId="03BC1E0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Ставящийся на серийное производство стандартный тип самолета ТУ-2 отличается от серийной машины, стро</w:t>
      </w:r>
      <w:r w:rsidRPr="00D03F3E">
        <w:rPr>
          <w:rFonts w:ascii="Times New Roman" w:hAnsi="Times New Roman"/>
          <w:color w:val="000000" w:themeColor="text1"/>
          <w:sz w:val="16"/>
          <w:szCs w:val="16"/>
        </w:rPr>
        <w:softHyphen/>
        <w:t>ившейся на заводе № 166 следующим:</w:t>
      </w:r>
    </w:p>
    <w:p w14:paraId="62D7D65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Вместо моторов М-82 поставлены моторы М-82 ФНВ /форсированные с непосредственным впрыском/.</w:t>
      </w:r>
    </w:p>
    <w:p w14:paraId="0D45C5F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Бензиновая система и система дренажа выполнена по упрощенной схеме с сокращением на 40% длины проводки. Задний дренаж бензобаков снят полностью.</w:t>
      </w:r>
    </w:p>
    <w:p w14:paraId="48C8FEE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Сняты бензиновые баки №№ 9 и 10; бензобаки 6 и 7 увеличены по об”ему.</w:t>
      </w:r>
    </w:p>
    <w:p w14:paraId="61E6EFA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Электроинерционный запуск моторов заменен воз</w:t>
      </w:r>
      <w:r w:rsidRPr="00D03F3E">
        <w:rPr>
          <w:rFonts w:ascii="Times New Roman" w:hAnsi="Times New Roman"/>
          <w:color w:val="000000" w:themeColor="text1"/>
          <w:sz w:val="16"/>
          <w:szCs w:val="16"/>
        </w:rPr>
        <w:softHyphen/>
        <w:t>душным.</w:t>
      </w:r>
    </w:p>
    <w:p w14:paraId="7383D0E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Управление переключением скоростей нагнетателей моторов с гидравлического переведено на механическое /троссовое/.</w:t>
      </w:r>
    </w:p>
    <w:p w14:paraId="22F2DAF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Управление заслонкой маслорадиатора механически связано с управлением боковыми створками.</w:t>
      </w:r>
    </w:p>
    <w:p w14:paraId="59C7A2B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Тормозные решетки сняты.</w:t>
      </w:r>
    </w:p>
    <w:p w14:paraId="5ABAA7B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Гидравлическая система низкого давления снята. Все линии проводки проложены по носку центроплана, а руч</w:t>
      </w:r>
      <w:r w:rsidRPr="00D03F3E">
        <w:rPr>
          <w:rFonts w:ascii="Times New Roman" w:hAnsi="Times New Roman"/>
          <w:color w:val="000000" w:themeColor="text1"/>
          <w:sz w:val="16"/>
          <w:szCs w:val="16"/>
        </w:rPr>
        <w:softHyphen/>
        <w:t>ная помпа, сферический гидроаккумулятор и гидравлический бак перенесены в переднюю кабину; благодаря этим мероприятиям длина гидравлических проводок сокращена на 70%.</w:t>
      </w:r>
    </w:p>
    <w:p w14:paraId="45C0F1C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 Все проводки аэронавигационного и вспомогатель</w:t>
      </w:r>
      <w:r w:rsidRPr="00D03F3E">
        <w:rPr>
          <w:rFonts w:ascii="Times New Roman" w:hAnsi="Times New Roman"/>
          <w:color w:val="000000" w:themeColor="text1"/>
          <w:sz w:val="16"/>
          <w:szCs w:val="16"/>
        </w:rPr>
        <w:softHyphen/>
        <w:t>ного оборудования прокладываются по упрощенной схеме на переднем лонжероне центроплана, благодаря чему длина про</w:t>
      </w:r>
      <w:r w:rsidRPr="00D03F3E">
        <w:rPr>
          <w:rFonts w:ascii="Times New Roman" w:hAnsi="Times New Roman"/>
          <w:color w:val="000000" w:themeColor="text1"/>
          <w:sz w:val="16"/>
          <w:szCs w:val="16"/>
        </w:rPr>
        <w:softHyphen/>
        <w:t>верки сокращается на 30%.</w:t>
      </w:r>
    </w:p>
    <w:p w14:paraId="1607E7B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 Приборы контроля работы мотора перенесены с мо</w:t>
      </w:r>
      <w:r w:rsidRPr="00D03F3E">
        <w:rPr>
          <w:rFonts w:ascii="Times New Roman" w:hAnsi="Times New Roman"/>
          <w:color w:val="000000" w:themeColor="text1"/>
          <w:sz w:val="16"/>
          <w:szCs w:val="16"/>
        </w:rPr>
        <w:softHyphen/>
        <w:t>тогондол на приборную доску летчика. С приборных досок летчика снят дублерши указатель скорости. Термометры входящего масла не ставятся.</w:t>
      </w:r>
    </w:p>
    <w:p w14:paraId="48500B9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Автомат курса АК-1 снят и заменен гиромагнитным компасом ТК-2.</w:t>
      </w:r>
    </w:p>
    <w:p w14:paraId="41D9E36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Снят высотомер у стрелка -радиста.</w:t>
      </w:r>
    </w:p>
    <w:p w14:paraId="5EF65CD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Фотоаппарат А ФА -Б заменен аппаратом АФА-БЙ с по</w:t>
      </w:r>
      <w:r w:rsidRPr="00D03F3E">
        <w:rPr>
          <w:rFonts w:ascii="Times New Roman" w:hAnsi="Times New Roman"/>
          <w:color w:val="000000" w:themeColor="text1"/>
          <w:sz w:val="16"/>
          <w:szCs w:val="16"/>
        </w:rPr>
        <w:softHyphen/>
        <w:t>становкой командного прибора в задней .кабине.</w:t>
      </w:r>
    </w:p>
    <w:p w14:paraId="2C55275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Питание электрОсиетемы осуществляется от одного генератора ГС-1000 вместо 2-х. Вся электросеть монтирует</w:t>
      </w:r>
      <w:r w:rsidRPr="00D03F3E">
        <w:rPr>
          <w:rFonts w:ascii="Times New Roman" w:hAnsi="Times New Roman"/>
          <w:color w:val="000000" w:themeColor="text1"/>
          <w:sz w:val="16"/>
          <w:szCs w:val="16"/>
        </w:rPr>
        <w:softHyphen/>
        <w:t>ся но упрощенной схеме со снятием всех разветвителышх коробок. Длина сети совращается на 1000 метров.</w:t>
      </w:r>
    </w:p>
    <w:p w14:paraId="59D3BA2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 Триммер рулей направления делается только на пра</w:t>
      </w:r>
      <w:r w:rsidRPr="00D03F3E">
        <w:rPr>
          <w:rFonts w:ascii="Times New Roman" w:hAnsi="Times New Roman"/>
          <w:color w:val="000000" w:themeColor="text1"/>
          <w:sz w:val="16"/>
          <w:szCs w:val="16"/>
        </w:rPr>
        <w:softHyphen/>
        <w:t>вом руле.</w:t>
      </w:r>
    </w:p>
    <w:p w14:paraId="2A9A54A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С самолета сняты электросигнализации убранного по</w:t>
      </w:r>
      <w:r w:rsidRPr="00D03F3E">
        <w:rPr>
          <w:rFonts w:ascii="Times New Roman" w:hAnsi="Times New Roman"/>
          <w:color w:val="000000" w:themeColor="text1"/>
          <w:sz w:val="16"/>
          <w:szCs w:val="16"/>
        </w:rPr>
        <w:softHyphen/>
        <w:t>ложения шасси и закрытого положения бомбовых люков, элек</w:t>
      </w:r>
      <w:r w:rsidRPr="00D03F3E">
        <w:rPr>
          <w:rFonts w:ascii="Times New Roman" w:hAnsi="Times New Roman"/>
          <w:color w:val="000000" w:themeColor="text1"/>
          <w:sz w:val="16"/>
          <w:szCs w:val="16"/>
        </w:rPr>
        <w:softHyphen/>
        <w:t>тро сигнализация положения посадочных щитков заменена ме</w:t>
      </w:r>
      <w:r w:rsidRPr="00D03F3E">
        <w:rPr>
          <w:rFonts w:ascii="Times New Roman" w:hAnsi="Times New Roman"/>
          <w:color w:val="000000" w:themeColor="text1"/>
          <w:sz w:val="16"/>
          <w:szCs w:val="16"/>
        </w:rPr>
        <w:softHyphen/>
        <w:t>ханической.</w:t>
      </w:r>
    </w:p>
    <w:p w14:paraId="7DAF1BC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Снят электроподтяг с пушечных установок.</w:t>
      </w:r>
    </w:p>
    <w:p w14:paraId="41C9A49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 Переведены на однопроводную схему аэронавигацион</w:t>
      </w:r>
      <w:r w:rsidRPr="00D03F3E">
        <w:rPr>
          <w:rFonts w:ascii="Times New Roman" w:hAnsi="Times New Roman"/>
          <w:color w:val="000000" w:themeColor="text1"/>
          <w:sz w:val="16"/>
          <w:szCs w:val="16"/>
        </w:rPr>
        <w:softHyphen/>
        <w:t>ные огни,тахометры.</w:t>
      </w:r>
    </w:p>
    <w:p w14:paraId="6FBB318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 Система подъема бомб делается усовершенствованной без лотков с установкой лебедок на вилках шасси.</w:t>
      </w:r>
    </w:p>
    <w:p w14:paraId="7B67121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Правое открывающееся окно ликвидируется.</w:t>
      </w:r>
    </w:p>
    <w:p w14:paraId="3C2E738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 Увеличивается емкость патронных ящиков до 300 па</w:t>
      </w:r>
      <w:r w:rsidRPr="00D03F3E">
        <w:rPr>
          <w:rFonts w:ascii="Times New Roman" w:hAnsi="Times New Roman"/>
          <w:color w:val="000000" w:themeColor="text1"/>
          <w:sz w:val="16"/>
          <w:szCs w:val="16"/>
        </w:rPr>
        <w:softHyphen/>
        <w:t>трон на люковой установке.</w:t>
      </w:r>
    </w:p>
    <w:p w14:paraId="5D137E5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Сидение летчика делается без спинки с постановкой подушки на бронеспинку.</w:t>
      </w:r>
    </w:p>
    <w:p w14:paraId="4FE2266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На правом борту у штурмана устанавливается броне</w:t>
      </w:r>
      <w:r w:rsidRPr="00D03F3E">
        <w:rPr>
          <w:rFonts w:ascii="Times New Roman" w:hAnsi="Times New Roman"/>
          <w:color w:val="000000" w:themeColor="text1"/>
          <w:sz w:val="16"/>
          <w:szCs w:val="16"/>
        </w:rPr>
        <w:softHyphen/>
        <w:t>вой лист.</w:t>
      </w:r>
    </w:p>
    <w:p w14:paraId="31E7CE4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Открывающийся люк в полу штурмана заменяется ре</w:t>
      </w:r>
      <w:r w:rsidRPr="00D03F3E">
        <w:rPr>
          <w:rFonts w:ascii="Times New Roman" w:hAnsi="Times New Roman"/>
          <w:color w:val="000000" w:themeColor="text1"/>
          <w:sz w:val="16"/>
          <w:szCs w:val="16"/>
        </w:rPr>
        <w:softHyphen/>
        <w:t>монтным лшиш на шурупах.</w:t>
      </w:r>
    </w:p>
    <w:p w14:paraId="24E14E9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Фонарь передней кабины делается новым с одной об</w:t>
      </w:r>
      <w:r w:rsidRPr="00D03F3E">
        <w:rPr>
          <w:rFonts w:ascii="Times New Roman" w:hAnsi="Times New Roman"/>
          <w:color w:val="000000" w:themeColor="text1"/>
          <w:sz w:val="16"/>
          <w:szCs w:val="16"/>
        </w:rPr>
        <w:softHyphen/>
        <w:t xml:space="preserve">щей створкой и с дополнительной задней </w:t>
      </w:r>
      <w:r w:rsidRPr="00D03F3E">
        <w:rPr>
          <w:rFonts w:ascii="Times New Roman" w:hAnsi="Times New Roman"/>
          <w:smallCaps/>
          <w:color w:val="000000" w:themeColor="text1"/>
          <w:sz w:val="16"/>
          <w:szCs w:val="16"/>
        </w:rPr>
        <w:t>дугой,</w:t>
      </w:r>
      <w:r w:rsidRPr="00D03F3E">
        <w:rPr>
          <w:rFonts w:ascii="Times New Roman" w:hAnsi="Times New Roman"/>
          <w:color w:val="000000" w:themeColor="text1"/>
          <w:sz w:val="16"/>
          <w:szCs w:val="16"/>
        </w:rPr>
        <w:t>позволяющей производить всю отладку фонаря на носовой части фюзеляжа.</w:t>
      </w:r>
    </w:p>
    <w:p w14:paraId="7291A82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Так как большая часть трубопроводов прокладывает</w:t>
      </w:r>
      <w:r w:rsidRPr="00D03F3E">
        <w:rPr>
          <w:rFonts w:ascii="Times New Roman" w:hAnsi="Times New Roman"/>
          <w:color w:val="000000" w:themeColor="text1"/>
          <w:sz w:val="16"/>
          <w:szCs w:val="16"/>
        </w:rPr>
        <w:softHyphen/>
        <w:t>ся по левому лонжерону центроплана,то носок центроплана делается схемным.</w:t>
      </w:r>
    </w:p>
    <w:p w14:paraId="58EE1A6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Снимается горизонтальная ферма центральной части</w:t>
      </w:r>
    </w:p>
    <w:p w14:paraId="4177705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Стабилизатор закрепляется неподвижно; механизм под”ема стабилизатора снимается.</w:t>
      </w:r>
    </w:p>
    <w:p w14:paraId="1E1D25F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Управление стопором хвостового колеса делается с жесткой передачей на хвостовое колесо.</w:t>
      </w:r>
    </w:p>
    <w:p w14:paraId="5F46AB0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Аварийный клапан шасси делается новой конструкции.</w:t>
      </w:r>
    </w:p>
    <w:p w14:paraId="351C292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 Обшивка носовой части фюзеляжа делается деревянной.</w:t>
      </w:r>
    </w:p>
    <w:p w14:paraId="1462749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 Реактивные орудия снимаются (1775,168).</w:t>
      </w:r>
    </w:p>
    <w:p w14:paraId="201F6EA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E5573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Нач. УЗСМ ГУЗ ВВС КА г-м ИАС Алексеев направил письмо N 555910 Зам. НКАП Воронину о том, что по сведениям военной приемки качество Як-1 292 завода в мае 1943 резко ухудшилось (1778,180).</w:t>
      </w:r>
    </w:p>
    <w:p w14:paraId="29506CB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67931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года вышел приказ НКАП во исполнение постановление ГОКО № 3601 от 18 июня 1943, в соответствии с которыми завод № 288 перебазировали из Омска на территорию мос</w:t>
      </w:r>
      <w:r w:rsidRPr="00D03F3E">
        <w:rPr>
          <w:rFonts w:ascii="Times New Roman" w:hAnsi="Times New Roman"/>
          <w:color w:val="000000" w:themeColor="text1"/>
          <w:sz w:val="16"/>
          <w:szCs w:val="16"/>
        </w:rPr>
        <w:softHyphen/>
        <w:t>ковского завода № 482. При этом часть коллектива КБ В.М. Мясищева вместе с главным конструктором пе</w:t>
      </w:r>
      <w:r w:rsidRPr="00D03F3E">
        <w:rPr>
          <w:rFonts w:ascii="Times New Roman" w:hAnsi="Times New Roman"/>
          <w:color w:val="000000" w:themeColor="text1"/>
          <w:sz w:val="16"/>
          <w:szCs w:val="16"/>
        </w:rPr>
        <w:softHyphen/>
        <w:t>ревели на завод № 22 в Казань, а часть — на организо</w:t>
      </w:r>
      <w:r w:rsidRPr="00D03F3E">
        <w:rPr>
          <w:rFonts w:ascii="Times New Roman" w:hAnsi="Times New Roman"/>
          <w:color w:val="000000" w:themeColor="text1"/>
          <w:sz w:val="16"/>
          <w:szCs w:val="16"/>
        </w:rPr>
        <w:softHyphen/>
        <w:t>ванный в Москве филиал (11446).</w:t>
      </w:r>
    </w:p>
    <w:p w14:paraId="5983387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1B10C5"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в 1943 году приказом НКАП, в соответствии с постановлением ГОКО № 3601 от 18 июня, завод № 288 перебазировали из Омска на территорию московского завода № 482. При этом часть коллектива КБ В.М.Мясищева, вместе с главным конструктором, перевели на завод № 22 в Казань, а часть - на организованный в Москве филиал (14930).</w:t>
      </w:r>
    </w:p>
    <w:p w14:paraId="1B5F04A0" w14:textId="77777777" w:rsidR="00B8369C" w:rsidRPr="00D03F3E" w:rsidRDefault="00B8369C" w:rsidP="00D03F3E">
      <w:pPr>
        <w:spacing w:after="0" w:line="240" w:lineRule="auto"/>
        <w:jc w:val="both"/>
        <w:rPr>
          <w:rFonts w:ascii="Times New Roman" w:hAnsi="Times New Roman"/>
          <w:color w:val="000000" w:themeColor="text1"/>
          <w:sz w:val="16"/>
          <w:szCs w:val="16"/>
        </w:rPr>
      </w:pPr>
    </w:p>
    <w:p w14:paraId="2741244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w:t>
      </w:r>
      <w:r w:rsidRPr="00D03F3E">
        <w:rPr>
          <w:rFonts w:ascii="Times New Roman" w:hAnsi="Times New Roman"/>
          <w:color w:val="000000" w:themeColor="text1"/>
          <w:sz w:val="16"/>
          <w:szCs w:val="16"/>
        </w:rPr>
        <w:softHyphen/>
        <w:t>ня 1943 вышел новый приказ Шахурина № 367, в котором говорилось:</w:t>
      </w:r>
    </w:p>
    <w:p w14:paraId="091A5DF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постановления ГКО № 3601 от 18 ию</w:t>
      </w:r>
      <w:r w:rsidRPr="00D03F3E">
        <w:rPr>
          <w:rFonts w:ascii="Times New Roman" w:hAnsi="Times New Roman"/>
          <w:color w:val="000000" w:themeColor="text1"/>
          <w:sz w:val="16"/>
          <w:szCs w:val="16"/>
        </w:rPr>
        <w:softHyphen/>
        <w:t>ня 1943 г. для улучшения работы КБ завода № 22 и обес</w:t>
      </w:r>
      <w:r w:rsidRPr="00D03F3E">
        <w:rPr>
          <w:rFonts w:ascii="Times New Roman" w:hAnsi="Times New Roman"/>
          <w:color w:val="000000" w:themeColor="text1"/>
          <w:sz w:val="16"/>
          <w:szCs w:val="16"/>
        </w:rPr>
        <w:softHyphen/>
        <w:t>печения скорейшего выпуска модифицированного само</w:t>
      </w:r>
      <w:r w:rsidRPr="00D03F3E">
        <w:rPr>
          <w:rFonts w:ascii="Times New Roman" w:hAnsi="Times New Roman"/>
          <w:color w:val="000000" w:themeColor="text1"/>
          <w:sz w:val="16"/>
          <w:szCs w:val="16"/>
        </w:rPr>
        <w:softHyphen/>
        <w:t>лета Пе-2 с улучшенными летно-техническими данными ПРИКАЗЫВАЮ:</w:t>
      </w:r>
    </w:p>
    <w:p w14:paraId="539384D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Назначить главным конструктором завода № 22 тов. Мясищева В.М.</w:t>
      </w:r>
    </w:p>
    <w:p w14:paraId="5D5C7AE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Тов. Путилова А. И. от обязанностей Главного конст</w:t>
      </w:r>
      <w:r w:rsidRPr="00D03F3E">
        <w:rPr>
          <w:rFonts w:ascii="Times New Roman" w:hAnsi="Times New Roman"/>
          <w:color w:val="000000" w:themeColor="text1"/>
          <w:sz w:val="16"/>
          <w:szCs w:val="16"/>
        </w:rPr>
        <w:softHyphen/>
        <w:t>руктора завода № 22 — освободить...</w:t>
      </w:r>
    </w:p>
    <w:p w14:paraId="3FE3FCB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Директору завода № 288 тов. Кутепову и главному конструктору Мясищеву перевести с завода № 288 в ОКБ завода № 22 основной конструкторский состав и в опыт</w:t>
      </w:r>
      <w:r w:rsidRPr="00D03F3E">
        <w:rPr>
          <w:rFonts w:ascii="Times New Roman" w:hAnsi="Times New Roman"/>
          <w:color w:val="000000" w:themeColor="text1"/>
          <w:sz w:val="16"/>
          <w:szCs w:val="16"/>
        </w:rPr>
        <w:softHyphen/>
        <w:t>ный цех завода № 22 производственный персонал и рабо</w:t>
      </w:r>
      <w:r w:rsidRPr="00D03F3E">
        <w:rPr>
          <w:rFonts w:ascii="Times New Roman" w:hAnsi="Times New Roman"/>
          <w:color w:val="000000" w:themeColor="text1"/>
          <w:sz w:val="16"/>
          <w:szCs w:val="16"/>
        </w:rPr>
        <w:softHyphen/>
        <w:t>чих. ..</w:t>
      </w:r>
    </w:p>
    <w:p w14:paraId="2862913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Для выполнения заданий по боевым высотным са</w:t>
      </w:r>
      <w:r w:rsidRPr="00D03F3E">
        <w:rPr>
          <w:rFonts w:ascii="Times New Roman" w:hAnsi="Times New Roman"/>
          <w:color w:val="000000" w:themeColor="text1"/>
          <w:sz w:val="16"/>
          <w:szCs w:val="16"/>
        </w:rPr>
        <w:softHyphen/>
        <w:t>молетам, их оборудованию и вооружению создать филиал ОКБ завода № 22 главного конструктора тов. Мясищева на заводе № 482 в г. Москве...».</w:t>
      </w:r>
    </w:p>
    <w:p w14:paraId="686975D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Первой большой работой нового «главного» стало создание в Казани модификации пикирующего бом</w:t>
      </w:r>
      <w:r w:rsidRPr="00D03F3E">
        <w:rPr>
          <w:rFonts w:ascii="Times New Roman" w:hAnsi="Times New Roman"/>
          <w:color w:val="000000" w:themeColor="text1"/>
          <w:sz w:val="16"/>
          <w:szCs w:val="16"/>
        </w:rPr>
        <w:softHyphen/>
        <w:t>бардировщика Пе-2И «Москито», но ей предшество вала «скромная» модернизация самолета с целью ус</w:t>
      </w:r>
      <w:r w:rsidRPr="00D03F3E">
        <w:rPr>
          <w:rFonts w:ascii="Times New Roman" w:hAnsi="Times New Roman"/>
          <w:color w:val="000000" w:themeColor="text1"/>
          <w:sz w:val="16"/>
          <w:szCs w:val="16"/>
        </w:rPr>
        <w:softHyphen/>
        <w:t>тановки на Пе-2 системы вооружения М-1. Кроме это</w:t>
      </w:r>
      <w:r w:rsidRPr="00D03F3E">
        <w:rPr>
          <w:rFonts w:ascii="Times New Roman" w:hAnsi="Times New Roman"/>
          <w:color w:val="000000" w:themeColor="text1"/>
          <w:sz w:val="16"/>
          <w:szCs w:val="16"/>
        </w:rPr>
        <w:softHyphen/>
        <w:t>го, в плане опытного самолетостроения ОКБ-22 стоял одноместный высотный истребитель-перехватчик с герметичной кабиной и двигателем М-107А с двухсту</w:t>
      </w:r>
      <w:r w:rsidRPr="00D03F3E">
        <w:rPr>
          <w:rFonts w:ascii="Times New Roman" w:hAnsi="Times New Roman"/>
          <w:color w:val="000000" w:themeColor="text1"/>
          <w:sz w:val="16"/>
          <w:szCs w:val="16"/>
        </w:rPr>
        <w:softHyphen/>
        <w:t>пенчатым нагнетателем и турбокомпрессорами. Соглас</w:t>
      </w:r>
      <w:r w:rsidRPr="00D03F3E">
        <w:rPr>
          <w:rFonts w:ascii="Times New Roman" w:hAnsi="Times New Roman"/>
          <w:color w:val="000000" w:themeColor="text1"/>
          <w:sz w:val="16"/>
          <w:szCs w:val="16"/>
        </w:rPr>
        <w:softHyphen/>
        <w:t>но заданию самолет должен был развивать скорость до 655 км/ч на высоте 10 000 метров, иметь скорост</w:t>
      </w:r>
      <w:r w:rsidRPr="00D03F3E">
        <w:rPr>
          <w:rFonts w:ascii="Times New Roman" w:hAnsi="Times New Roman"/>
          <w:color w:val="000000" w:themeColor="text1"/>
          <w:sz w:val="16"/>
          <w:szCs w:val="16"/>
        </w:rPr>
        <w:softHyphen/>
        <w:t xml:space="preserve">ную дальность 700 км и практический потолок 13 000 метров, </w:t>
      </w:r>
      <w:r w:rsidRPr="00D03F3E">
        <w:rPr>
          <w:rFonts w:ascii="Times New Roman" w:hAnsi="Times New Roman"/>
          <w:color w:val="000000" w:themeColor="text1"/>
          <w:sz w:val="16"/>
          <w:szCs w:val="16"/>
        </w:rPr>
        <w:lastRenderedPageBreak/>
        <w:t>подниматься на высоту 10 000 метров за 13 минут. Его вооружение должно было включать 23-миллиметровую пушку и пулемет калибра 12,7 мм. Предписывалось предъявить самолет на государст</w:t>
      </w:r>
      <w:r w:rsidRPr="00D03F3E">
        <w:rPr>
          <w:rFonts w:ascii="Times New Roman" w:hAnsi="Times New Roman"/>
          <w:color w:val="000000" w:themeColor="text1"/>
          <w:sz w:val="16"/>
          <w:szCs w:val="16"/>
        </w:rPr>
        <w:softHyphen/>
        <w:t>венные испытания в марте 1944 года, но он так и ос</w:t>
      </w:r>
      <w:r w:rsidRPr="00D03F3E">
        <w:rPr>
          <w:rFonts w:ascii="Times New Roman" w:hAnsi="Times New Roman"/>
          <w:color w:val="000000" w:themeColor="text1"/>
          <w:sz w:val="16"/>
          <w:szCs w:val="16"/>
        </w:rPr>
        <w:softHyphen/>
        <w:t>тался на бумаге.</w:t>
      </w:r>
    </w:p>
    <w:p w14:paraId="30DAC64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по установке М-1 на серийном самолете, получившем обозначение Пе-2Е, были предусмотре</w:t>
      </w:r>
      <w:r w:rsidRPr="00D03F3E">
        <w:rPr>
          <w:rFonts w:ascii="Times New Roman" w:hAnsi="Times New Roman"/>
          <w:color w:val="000000" w:themeColor="text1"/>
          <w:sz w:val="16"/>
          <w:szCs w:val="16"/>
        </w:rPr>
        <w:softHyphen/>
        <w:t xml:space="preserve">ны тематическим планом </w:t>
      </w:r>
      <w:r w:rsidRPr="00D03F3E">
        <w:rPr>
          <w:rFonts w:ascii="Times New Roman" w:hAnsi="Times New Roman"/>
          <w:color w:val="000000" w:themeColor="text1"/>
          <w:sz w:val="16"/>
          <w:szCs w:val="16"/>
          <w:lang w:val="en-US"/>
        </w:rPr>
        <w:t>IV</w:t>
      </w:r>
      <w:r w:rsidRPr="00D03F3E">
        <w:rPr>
          <w:rFonts w:ascii="Times New Roman" w:hAnsi="Times New Roman"/>
          <w:color w:val="000000" w:themeColor="text1"/>
          <w:sz w:val="16"/>
          <w:szCs w:val="16"/>
        </w:rPr>
        <w:t xml:space="preserve"> квартала 1943 года НКАП. К проектированию установки М-1 на самолете Пе-2 № 12/224 приступили в августе того же года и закон</w:t>
      </w:r>
      <w:r w:rsidRPr="00D03F3E">
        <w:rPr>
          <w:rFonts w:ascii="Times New Roman" w:hAnsi="Times New Roman"/>
          <w:color w:val="000000" w:themeColor="text1"/>
          <w:sz w:val="16"/>
          <w:szCs w:val="16"/>
        </w:rPr>
        <w:softHyphen/>
        <w:t>чили спустя три месяца. Заводские испытания закон</w:t>
      </w:r>
      <w:r w:rsidRPr="00D03F3E">
        <w:rPr>
          <w:rFonts w:ascii="Times New Roman" w:hAnsi="Times New Roman"/>
          <w:color w:val="000000" w:themeColor="text1"/>
          <w:sz w:val="16"/>
          <w:szCs w:val="16"/>
        </w:rPr>
        <w:softHyphen/>
        <w:t>чились 18 февраля 1944 года и отчет по их результа</w:t>
      </w:r>
      <w:r w:rsidRPr="00D03F3E">
        <w:rPr>
          <w:rFonts w:ascii="Times New Roman" w:hAnsi="Times New Roman"/>
          <w:color w:val="000000" w:themeColor="text1"/>
          <w:sz w:val="16"/>
          <w:szCs w:val="16"/>
        </w:rPr>
        <w:softHyphen/>
        <w:t>там отправили в 7-е Главное управление НКАП. Затем самолет № 12/224 восстановили до серийного со</w:t>
      </w:r>
      <w:r w:rsidRPr="00D03F3E">
        <w:rPr>
          <w:rFonts w:ascii="Times New Roman" w:hAnsi="Times New Roman"/>
          <w:color w:val="000000" w:themeColor="text1"/>
          <w:sz w:val="16"/>
          <w:szCs w:val="16"/>
        </w:rPr>
        <w:softHyphen/>
        <w:t>стояния и сдали на летно-испытательную станцию (ЛИС) завода № 22.</w:t>
      </w:r>
    </w:p>
    <w:p w14:paraId="53F526F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Главную же цель в модификации Пе-2 Мясищев ви</w:t>
      </w:r>
      <w:r w:rsidRPr="00D03F3E">
        <w:rPr>
          <w:rFonts w:ascii="Times New Roman" w:hAnsi="Times New Roman"/>
          <w:color w:val="000000" w:themeColor="text1"/>
          <w:sz w:val="16"/>
          <w:szCs w:val="16"/>
        </w:rPr>
        <w:softHyphen/>
        <w:t>дел в улучшении скоростных и взлетно-посадочных характеристик. В марте 1943 года на основании при</w:t>
      </w:r>
      <w:r w:rsidRPr="00D03F3E">
        <w:rPr>
          <w:rFonts w:ascii="Times New Roman" w:hAnsi="Times New Roman"/>
          <w:color w:val="000000" w:themeColor="text1"/>
          <w:sz w:val="16"/>
          <w:szCs w:val="16"/>
        </w:rPr>
        <w:softHyphen/>
        <w:t>каза НКАП от 10 апреля началась разработка самолета Пе-2А с моторами М-105ПФ. Постройка самолета № 17/176 закончилась в сентябре того же года, а за</w:t>
      </w:r>
      <w:r w:rsidRPr="00D03F3E">
        <w:rPr>
          <w:rFonts w:ascii="Times New Roman" w:hAnsi="Times New Roman"/>
          <w:color w:val="000000" w:themeColor="text1"/>
          <w:sz w:val="16"/>
          <w:szCs w:val="16"/>
        </w:rPr>
        <w:softHyphen/>
        <w:t>водские испытания — в середине февраля 1944 г.</w:t>
      </w:r>
    </w:p>
    <w:p w14:paraId="7EE5EDF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Ожидалось, что максимальная скорость этой машины возрастет до 528 км/ч.</w:t>
      </w:r>
    </w:p>
    <w:p w14:paraId="55E7C53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Планировалась постройка второго экземпляра са</w:t>
      </w:r>
      <w:r w:rsidRPr="00D03F3E">
        <w:rPr>
          <w:rFonts w:ascii="Times New Roman" w:hAnsi="Times New Roman"/>
          <w:color w:val="000000" w:themeColor="text1"/>
          <w:sz w:val="16"/>
          <w:szCs w:val="16"/>
        </w:rPr>
        <w:softHyphen/>
        <w:t>молета, но вместо него на основании приказа НКАП от 26 июня 1943 года построили самолет Пе-2Б. На этой машине предполагалось довести скорость до 540 км/ч, а также улучшить условия стрельбы и работы штурмана.</w:t>
      </w:r>
    </w:p>
    <w:p w14:paraId="3785EC1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Среди сотрудников КБ-22 выделялся еще моло</w:t>
      </w:r>
      <w:r w:rsidRPr="00D03F3E">
        <w:rPr>
          <w:rFonts w:ascii="Times New Roman" w:hAnsi="Times New Roman"/>
          <w:color w:val="000000" w:themeColor="text1"/>
          <w:sz w:val="16"/>
          <w:szCs w:val="16"/>
        </w:rPr>
        <w:softHyphen/>
        <w:t>дой, но опытный ведущий конструктор Л.Л. Селяков. Еще до назначения Мясищева главным конструкто</w:t>
      </w:r>
      <w:r w:rsidRPr="00D03F3E">
        <w:rPr>
          <w:rFonts w:ascii="Times New Roman" w:hAnsi="Times New Roman"/>
          <w:color w:val="000000" w:themeColor="text1"/>
          <w:sz w:val="16"/>
          <w:szCs w:val="16"/>
        </w:rPr>
        <w:softHyphen/>
        <w:t>ром 22-го завода под руководством Леонида Леони</w:t>
      </w:r>
      <w:r w:rsidRPr="00D03F3E">
        <w:rPr>
          <w:rFonts w:ascii="Times New Roman" w:hAnsi="Times New Roman"/>
          <w:color w:val="000000" w:themeColor="text1"/>
          <w:sz w:val="16"/>
          <w:szCs w:val="16"/>
        </w:rPr>
        <w:softHyphen/>
        <w:t>довича разработали и внедрили в серийное произ</w:t>
      </w:r>
      <w:r w:rsidRPr="00D03F3E">
        <w:rPr>
          <w:rFonts w:ascii="Times New Roman" w:hAnsi="Times New Roman"/>
          <w:color w:val="000000" w:themeColor="text1"/>
          <w:sz w:val="16"/>
          <w:szCs w:val="16"/>
        </w:rPr>
        <w:softHyphen/>
        <w:t>водство Пе-2ФТ с турельной установкой под крупно</w:t>
      </w:r>
      <w:r w:rsidRPr="00D03F3E">
        <w:rPr>
          <w:rFonts w:ascii="Times New Roman" w:hAnsi="Times New Roman"/>
          <w:color w:val="000000" w:themeColor="text1"/>
          <w:sz w:val="16"/>
          <w:szCs w:val="16"/>
        </w:rPr>
        <w:softHyphen/>
        <w:t>калиберный пулемет УБТ.</w:t>
      </w:r>
    </w:p>
    <w:p w14:paraId="27BF9DD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Самолету Пе-2И предшествовал бомбардировщик Пе-2Б с носком профиля крыла ВВ5 до первого лонже</w:t>
      </w:r>
      <w:r w:rsidRPr="00D03F3E">
        <w:rPr>
          <w:rFonts w:ascii="Times New Roman" w:hAnsi="Times New Roman"/>
          <w:color w:val="000000" w:themeColor="text1"/>
          <w:sz w:val="16"/>
          <w:szCs w:val="16"/>
        </w:rPr>
        <w:softHyphen/>
        <w:t>рона, замененным на МАСА-23012. На этой же машине установили новые отъемные части крыла увеличенных размаха на 0,92 м и площади на 0,846 квадратных метра. При этом претерпели незна</w:t>
      </w:r>
      <w:r w:rsidRPr="00D03F3E">
        <w:rPr>
          <w:rFonts w:ascii="Times New Roman" w:hAnsi="Times New Roman"/>
          <w:color w:val="000000" w:themeColor="text1"/>
          <w:sz w:val="16"/>
          <w:szCs w:val="16"/>
        </w:rPr>
        <w:softHyphen/>
        <w:t>чительные изменения перед</w:t>
      </w:r>
      <w:r w:rsidRPr="00D03F3E">
        <w:rPr>
          <w:rFonts w:ascii="Times New Roman" w:hAnsi="Times New Roman"/>
          <w:color w:val="000000" w:themeColor="text1"/>
          <w:sz w:val="16"/>
          <w:szCs w:val="16"/>
        </w:rPr>
        <w:softHyphen/>
        <w:t>ний лонжерон, входной канал туннеля водорадиатора и средние части нервюр. Все это способствовало улучше</w:t>
      </w:r>
      <w:r w:rsidRPr="00D03F3E">
        <w:rPr>
          <w:rFonts w:ascii="Times New Roman" w:hAnsi="Times New Roman"/>
          <w:color w:val="000000" w:themeColor="text1"/>
          <w:sz w:val="16"/>
          <w:szCs w:val="16"/>
        </w:rPr>
        <w:softHyphen/>
        <w:t>нию взлетно-посадочных ха</w:t>
      </w:r>
      <w:r w:rsidRPr="00D03F3E">
        <w:rPr>
          <w:rFonts w:ascii="Times New Roman" w:hAnsi="Times New Roman"/>
          <w:color w:val="000000" w:themeColor="text1"/>
          <w:sz w:val="16"/>
          <w:szCs w:val="16"/>
        </w:rPr>
        <w:softHyphen/>
        <w:t>рактеристик самолета (11446).</w:t>
      </w:r>
    </w:p>
    <w:p w14:paraId="7D16959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74EDC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В.М.Мясищев был назначен ГК завода в Казани вместо А.И.Путилова. Основная задача - довести скорость серийного до опытного - 540 км/ч (4,171).</w:t>
      </w:r>
    </w:p>
    <w:p w14:paraId="2ED319A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8BE924" w14:textId="77777777" w:rsidR="00A64C54" w:rsidRPr="00D03F3E" w:rsidRDefault="00A64C5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года вышел Приказ НКАП № 367сс, в котором отмечалось, что: «В исполнение постановления Государственного Комитета Обороны от 18 июня с.г. … для улучшения работы конструкторского бюро завода № 22 и обеспечения скорейшего выпуска модификации самолета Пе-2 с улучшенными летно-техническими данными, ПРИКАЗЫВАЮ:</w:t>
      </w:r>
    </w:p>
    <w:p w14:paraId="597C033C" w14:textId="77777777" w:rsidR="00A64C54" w:rsidRPr="00D03F3E" w:rsidRDefault="00A64C5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 Назначить главным конструктором завода № 22 т. Мясищева В.М. </w:t>
      </w:r>
    </w:p>
    <w:p w14:paraId="05950A10" w14:textId="77777777" w:rsidR="00A64C54" w:rsidRPr="00D03F3E" w:rsidRDefault="00A64C5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 Тов. Путилова А . И . о т о б я з а н - н о с т е й г л а в н о г о конструктора завода № 22 – освободить. </w:t>
      </w:r>
    </w:p>
    <w:p w14:paraId="41AFC58E" w14:textId="77777777" w:rsidR="00A64C54" w:rsidRPr="00D03F3E" w:rsidRDefault="00A64C5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3. Сдачу-приемку д е л О К Б з а в о д а № 2 2 п р о в е с т и п о с о с т о я н и ю н а 01.06.с.г. </w:t>
      </w:r>
    </w:p>
    <w:p w14:paraId="0F3AA5D7" w14:textId="77777777" w:rsidR="00A64C54" w:rsidRPr="00D03F3E" w:rsidRDefault="00A64C5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4 . Д и р е к т о р у завода № 288 тов. Кутепову и главному конструктору тов. Мясищеву перевести с завода № 288 в ОКБ завода № 22 основной к о н с т р у к т о р с к и й состав и в опытный цех завода № 22 производственный персонал и рабочих, с необходимым оборудованием, инструментами и инвентарем – к 10 июля 1943 года. </w:t>
      </w:r>
    </w:p>
    <w:p w14:paraId="57F8E6FF" w14:textId="77777777" w:rsidR="00A64C54" w:rsidRPr="00D03F3E" w:rsidRDefault="00A64C5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5. Директору завода № 22 – тов. Окулову: - обеспечить ОКБ т. Мясищева необходимыми производственными и жилыми помещениями для размещения конструкторского бюро, опытного цеха и персонала, переводимых из г. Омска работников завода № 288. - принять на снабжение завода весь вновь прибываемый конструкторский и производственный состав в соответствии с установленными решением ГОКО нормами улучшенного питания. </w:t>
      </w:r>
    </w:p>
    <w:p w14:paraId="02C29FD4" w14:textId="77777777" w:rsidR="00A64C54" w:rsidRPr="00D03F3E" w:rsidRDefault="00A64C5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6. Для выполнения заданий по боевым, высотным самолетам, их оборудованию и вооружению, создать филиал ОКБ завода № 22 главного конструктора тов. Мясищева, на заводе № 482 в г. Москве. </w:t>
      </w:r>
    </w:p>
    <w:p w14:paraId="7F7A3DA9" w14:textId="77777777" w:rsidR="00A64C54" w:rsidRPr="00D03F3E" w:rsidRDefault="00A64C5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7. Тов. Щербакова А.Я. от обязанностей главного конструктора завода № 482 – освободить. Главному конструктору завода № 22 тов. Мясищеву принять завод № 482 по состоянию на 01.04.с.г. </w:t>
      </w:r>
    </w:p>
    <w:p w14:paraId="0F9C7EB3" w14:textId="77777777" w:rsidR="00A64C54" w:rsidRPr="00D03F3E" w:rsidRDefault="00A64C5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8. Освободить завод № 482 от изготовления запасных частей и ремонта самолетов и передать эти работы на заводы 6-го Главного Управления НКАП. </w:t>
      </w:r>
    </w:p>
    <w:p w14:paraId="01B55EA4" w14:textId="77777777" w:rsidR="00A64C54" w:rsidRPr="00D03F3E" w:rsidRDefault="00A64C5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9. Завод № 482 отнести к 1-й категории по оплате ИТР и служащих. </w:t>
      </w:r>
    </w:p>
    <w:p w14:paraId="25FC633D" w14:textId="77777777" w:rsidR="00A64C54" w:rsidRPr="00D03F3E" w:rsidRDefault="00A64C5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10. Директору завода № 288 тов. Кутепову, в соответствии с настоящим приказом, перевести конструкторов, производственников, оборудование и транспорт на завод № 482 к 1 августа с.г. Освободившуюся территорию завода № 288 использовать для выполнения других заданий НКАП. </w:t>
      </w:r>
    </w:p>
    <w:p w14:paraId="5E77F4B3" w14:textId="77777777" w:rsidR="00A64C54" w:rsidRPr="00D03F3E" w:rsidRDefault="00A64C5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Зам Наркома тов. Тарасову обеспечить пропусками на въезд в г.г. Казань и Москву , и постоянную прописку в этих в этих городах переводимым работникам с завода № 288 по спискам, представленным т. Мясищевым. …» (19769).</w:t>
      </w:r>
    </w:p>
    <w:p w14:paraId="3AF36A31" w14:textId="77777777" w:rsidR="00A64C54" w:rsidRPr="00D03F3E" w:rsidRDefault="00A64C54" w:rsidP="00D03F3E">
      <w:pPr>
        <w:spacing w:after="0" w:line="240" w:lineRule="auto"/>
        <w:jc w:val="both"/>
        <w:rPr>
          <w:rFonts w:ascii="Times New Roman" w:hAnsi="Times New Roman"/>
          <w:color w:val="000000" w:themeColor="text1"/>
          <w:sz w:val="16"/>
          <w:szCs w:val="16"/>
        </w:rPr>
      </w:pPr>
    </w:p>
    <w:p w14:paraId="273DBA9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ОКО-22 в Казани закончился период руководства А.И.Путилова, который сменил А.М.Изаксона с 1 мая 1942 (2387,20).</w:t>
      </w:r>
    </w:p>
    <w:p w14:paraId="062CC03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D7247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г. приказом № 367сс в соответствии с пост. ГКО № 3601 от 18.06.1943 г. основной конструкторский состав группы Мясищева переведен с завода № 288 в ОКБ и опытный цех завода № 22. Тем же приказом при заводе № 482 образован филиал ОКБ завода № 22 по боевым самолетам, и туда из Омска переведена остальная часть коллектива и оборудования (11982).</w:t>
      </w:r>
    </w:p>
    <w:p w14:paraId="419F00A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E930F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г. приказом № 367сс в соответствии с пост. ГКО № 3601 от 18.06.1943 г. при заводе № 482 образован филиал ОКБ завода № 22 по боевым высотным самолетам, и сюда из Омска с завода № 288 переведена часть коллектива и оборудования отдела «102» гл. конструктора В.М. Мясищева. Завод передан в распоряжение Мясищева. Тем же приказом основной конструкторский состав Мясищева переведен с завода № 288 в ОКБ и опытный цех завода № 22.</w:t>
      </w:r>
    </w:p>
    <w:p w14:paraId="0C08E20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гибели В.М. Петлякова в 06.1943 г. В.М.Мясищев возглавил его ОКБ-22 НКАП, занимавшееся созданием модификаций Пе-2. Одновременно оставался гл. конструктором ОКБ-482 НКАП.</w:t>
      </w:r>
    </w:p>
    <w:p w14:paraId="4BD30B8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Далее, с 09.1944 г. (завершено в начале 1945 г.) на завод № 482 переведена из Казани основная часть ОКБ-22 В.М. Мясищева (часть ОКБ, видимо, осталась на заводе № 22 для участия в работах по Б-4) и влита в состав завода № 482.</w:t>
      </w:r>
    </w:p>
    <w:p w14:paraId="7A6DA7E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 № 358 от 27.05.1944 г. на базе Пе-2 начата разработка скоростного бомбардировщика ДБ-108. Построено несколько опытных машин: ВМ-16 (ДБ-1-108, 5.03.1945 г.); ВМ-17 (ДБ-П-108, 06.1945 г.), на его базе по пр. № 270 от 29.06.1945 г. разработан двухместный истребитель сопровождения ДИС; ВМ-18 (ДБ-IV-108, 1945 г.); высотный ВБ-109 (ВМ-19), построен в 08.1945 г.</w:t>
      </w:r>
    </w:p>
    <w:p w14:paraId="5BCF712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1945 г. под руководством Мясищева проводилось изучение трофейных Ме-262; разрабатывались проекты тяжелых бомбардировщиков ДВБ-202 (ВМ-22, 1945 г.) и ДВБ-302 (ВМ-23, 1945 г.) (закрыты распоряжением Сталина, в связи с разработкой Ту-4). Разработан проект первого реактивного бомбардировщика РБ-17 (ВМ-24), в 1946 г. пост. № 2548-1065 работы прекращены.</w:t>
      </w:r>
    </w:p>
    <w:p w14:paraId="4033F6F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01.1946 г. ОКБ-482 НКАП закрыто, его сотрудники (в т.ч. конструкторы Д.А. Аверьянова, В.И. Горюнов, Б .Я. Каплиенко, М.И. Карасева, Н.И. Кубышкин, Н.М. Либерхейн, В.А. Лихачев, Д.С. Лозинский, Т.М. Никишова, В.А. Орлов, В.Н. Петрова, П.И. Прокофьев, В.В. Рогов, В.Д. Смирнов, В.М. Шокин) переведены в ОКБ-240. Мясищев назначен деканом самолетостроительного факультета МАИ.</w:t>
      </w:r>
    </w:p>
    <w:p w14:paraId="24959AB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конструктор (1944-46 г.)- В.М. Мясищев.</w:t>
      </w:r>
    </w:p>
    <w:p w14:paraId="1A5C976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Ведущие конструкторы: (1944-01.1946 г.)- Л.Л. Селяков (ДВБ-202, -302, РБ-17), (1945 г.)- М.К. Янгель (ВБ- 109) (11982).</w:t>
      </w:r>
    </w:p>
    <w:p w14:paraId="6D28094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F7D21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г. по приказу № 367сс Щербаков освобожден от должности гл. конструктора завода № 482. В конце 1943 г. еще велись совместные работы Щербакова с ОКБ Мясищева по доводке гермокабин Як-7Б, Л</w:t>
      </w:r>
      <w:r w:rsidRPr="00D03F3E">
        <w:rPr>
          <w:rFonts w:ascii="Times New Roman" w:hAnsi="Times New Roman"/>
          <w:color w:val="000000" w:themeColor="text1"/>
          <w:sz w:val="16"/>
          <w:szCs w:val="16"/>
          <w:lang w:val="en-US"/>
        </w:rPr>
        <w:t>a</w:t>
      </w:r>
      <w:r w:rsidRPr="00D03F3E">
        <w:rPr>
          <w:rFonts w:ascii="Times New Roman" w:hAnsi="Times New Roman"/>
          <w:color w:val="000000" w:themeColor="text1"/>
          <w:sz w:val="16"/>
          <w:szCs w:val="16"/>
        </w:rPr>
        <w:t>-5 и Пе-2ВИ.</w:t>
      </w:r>
    </w:p>
    <w:p w14:paraId="454471B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Затем в соответствии с пост. ГКО № 4194с от 24.09.1943 г. и приказом № 573с от 25.09.1943 г. Щербаков назначен гл. конструктором завода № 47. Тем же приказом личный состав (48 чел.), оборудование, документация и опытный образец Ще-2 № 01 к 10.1943 г. переведены на завод № 47 (11982).</w:t>
      </w:r>
    </w:p>
    <w:p w14:paraId="6DCC12E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FE57C6"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607A2CC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13E28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в 1943 году получен первый магний на Березниковском магниевом заводе (ныне – ОАО «Ависма») (14930).</w:t>
      </w:r>
    </w:p>
    <w:p w14:paraId="77E6E70D" w14:textId="77777777" w:rsidR="00B8369C" w:rsidRPr="00D03F3E" w:rsidRDefault="00B8369C" w:rsidP="00D03F3E">
      <w:pPr>
        <w:spacing w:after="0" w:line="240" w:lineRule="auto"/>
        <w:jc w:val="both"/>
        <w:rPr>
          <w:rFonts w:ascii="Times New Roman" w:hAnsi="Times New Roman"/>
          <w:color w:val="000000" w:themeColor="text1"/>
          <w:sz w:val="16"/>
          <w:szCs w:val="16"/>
        </w:rPr>
      </w:pPr>
    </w:p>
    <w:p w14:paraId="703AE7E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вышло Постановление ГКО № 3623 О мерах помощи по восстановлению Горьковского завода фрезерных станков НКстанкостроения.РГАНИР, Фонд ГКО, д. 128, лл. 23-24, 25-27 (11012).</w:t>
      </w:r>
    </w:p>
    <w:p w14:paraId="1EDEED9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4CC87D"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вышло Распоряжение ГКО № 3624 [О поставках НКСМ и ГБТУ КА радиостанций 12-РТ, выпускаемых НКЭП.] (7117, 28).</w:t>
      </w:r>
    </w:p>
    <w:p w14:paraId="41B44411"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A42627"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вышло Распоряжение ГКО № 3625 [О переделке кузовов грузовых автомашин под монтаж 25мм автоматических защитных пушек.] (7117, 29).</w:t>
      </w:r>
    </w:p>
    <w:p w14:paraId="2358882D"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6CF04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вышло Распоряжение ГКО № 3626. О переводе в г.Горький первой тыловой бригады разграждения для использования на восстановлении Горьковского автозавода.РГАНИР, Фонд ГКО, д. 128, лл. 30 (11012).</w:t>
      </w:r>
    </w:p>
    <w:p w14:paraId="6C4B9E8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0D71BE"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вышло Постановление ГКО № 3627 Об усилении навигационного оборудования в Татарском и 1-м Курильском проливах. (7117, 31-36,37-39).</w:t>
      </w:r>
    </w:p>
    <w:p w14:paraId="1AD151A1"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354B8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вышло Постановление ГКО № 3628 О мероприятиях по организации производства грузовых автомобилей с дизельмоторами на Ульяновском автозаводе им. Сталина Наркомсредмаша.РГАНИР, Фонд ГКО, д. 128, лл. 40-48, 49-62 (11012).</w:t>
      </w:r>
    </w:p>
    <w:p w14:paraId="769F632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AC3C7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вышло Распоряжение ГКО № 3629. Об откомандировании 150 ограниченно годных танкистов в распоряжение ГУ по ремонту танков НКТП.РГАНИР, Фонд ГКО, д. 128, лл. 63 (11012).</w:t>
      </w:r>
    </w:p>
    <w:p w14:paraId="799884F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31A22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вышло Распоряжение ГКО № 3630. О поставке электросварочных агрегатов САК-2Б ГУ по ремонту танков НКТП.РГАНИР, Фонд ГКО, д. 128, лл. 64 (11012).</w:t>
      </w:r>
    </w:p>
    <w:p w14:paraId="6A2611B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82CD8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вышло Распоряжение ГКО № 3631. О поставках ГБТУ КА оборудования и инструмента для походных мастерских, об обеспечении ГУТР и Управления промкооперации при СНК РСФСР материалами для выполнения заказов ГБТУ.РГАНИР, Фонд ГКО, д. 128, лл. 65, 66 (11012).</w:t>
      </w:r>
    </w:p>
    <w:p w14:paraId="2213C6C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BCA69D"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вышло Постановление ГКО № 3633 О производстве вентилей для автомобильных, авиационных и других камер на заводах Наркомрезинпрома. (7117, 68-70,71-74).</w:t>
      </w:r>
    </w:p>
    <w:p w14:paraId="3F50C055"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EF5AE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Ждановцы закончили восстановительный ремонт лидера "Минск" и передали его флоту (10671).</w:t>
      </w:r>
    </w:p>
    <w:p w14:paraId="547F9B4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74A538"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BF3388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CD3F94"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в 1943 году утреннее сообщение Совинформбюро:</w:t>
      </w:r>
    </w:p>
    <w:p w14:paraId="490D001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течение ночи на 22 июня на фронте ничего существенного не произошло.</w:t>
      </w:r>
    </w:p>
    <w:p w14:paraId="12CA08DE"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миномётчики Н-ской части совершили огневой налёт на скопление противника и уничтожили не менее 50 гитлеровцев. За несколько дней снайпер т. Заев истребил одиннадцать немцев, красноармеец т. Раджабов — 4, снайперы лейтенант т. Романенко и красноармеец т. Дусматов уничтожили по 6 немцев каждый.</w:t>
      </w:r>
    </w:p>
    <w:p w14:paraId="6BC2E631"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группа бойцов под командованием Гвардии лейтенанта т. Пантелеева переправилась через реку Северный Донец в расположение противника и,захватив пленных, без потерь вернулась в свою часть.</w:t>
      </w:r>
    </w:p>
    <w:p w14:paraId="2F05D2D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лётчиками в воздушных боях сбито 4 немецких самолёта.</w:t>
      </w:r>
    </w:p>
    <w:p w14:paraId="0D75A739"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Севернее Чугуева наши подразделения уничтожили две немецкие самоходные пушки, разрушили дзот и 4 блиндажа. Артиллеристы Н-ской части обстреляли колонну вражеской пехоты. Артиллерийским огнём рассеяно и частью уничтожено до двух рот гитлеровцев.</w:t>
      </w:r>
    </w:p>
    <w:p w14:paraId="759CDC84"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наше боевое охранение заметило группу немецких солдат,переправлявшихся на левый берег Северного Донца. Советские бойцы выждали, пока гитлеровцы вышли на берег, а потом окружили и уничтожили немецких разведчиков.</w:t>
      </w:r>
    </w:p>
    <w:p w14:paraId="1DC4B79B"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Наша авиация наносила удары по железнодорожным станциям, находящимся в тылу противника. B результате бомбардировки возникло 8 очагов пожара и произошло два сильных взрыва.</w:t>
      </w:r>
    </w:p>
    <w:p w14:paraId="1EC46E55"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Карельском фронте артиллеристы и миномётчики Н-ской части разрушили два вражеских дзота, 3 наблюдательных пункта и подавили огонь нескольких артиллерийских и миномётных батарей. Группа разведчиков под командованием лейтенанта т. Горобченко совершила рейд в тыл противника. Наши бойцы уничтожили до 20 белофиннов, разведали огневые позиции противника и благополучно вернулись в свою часть.</w:t>
      </w:r>
    </w:p>
    <w:p w14:paraId="70C96F1E"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Украины, из засады обстрелял двигавшуюся по шоссе немецкую автоколонну. Убито до 50 солдат и офицеров противника. Подрывники из действующего в Барановичской области отряда имени Чапаева пустили под откос немецкий эшелон. Разбиты паровоз и 311 платформ с танками и автомашинами.</w:t>
      </w:r>
    </w:p>
    <w:p w14:paraId="7AB8D399"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ефрейтор 166 немецкого пехотного полка Рихард Н. рассказал: «В прошлом году при упоминании о втором фронте многие немецкие солдаты, как попугаи, повторяли вслед за газетами, что англо-американские войска никогда не смогут высадиться в Европе. Теперь, когда речь заходит о втором фронте, никто уже не улыбается. Солдаты понимают, что после того, как Германия потерпела поражение в Северной Африке, в любой день можно ожидать вторжения англо-американских войск. Многие солдаты говорят, что Германия распылит свои силы и будет разгромлена. Больше всего беспокоит солдат вопрос: удастся ли им в целости убраться из России».</w:t>
      </w:r>
    </w:p>
    <w:p w14:paraId="1F9A7E9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Советские граждане, бежавшие из фашистского плена, рассказали о зверствах немецких людоедов в Донбассе. В городе Красный Луч, в Амвросиевском, Чистяковском и других районах оккупанты издали приказ об обязательной явке всех жителей от 15 до 45 лет на сборный пункт для отправки в Германию. Многие советские граждане всячески уклонялись от явки. Гитлеровцы устроили массовые облавы, в домах и на улицах хватали мужчин, женщин и подростков. Аресты сопровождались жестокими избиениями и расстрелами. В апреле и мае немцы насильно угнали на каторгу в Германию несколько тысяч жителей этих районов.» (14930).</w:t>
      </w:r>
    </w:p>
    <w:p w14:paraId="04F7DB0D" w14:textId="77777777" w:rsidR="00B8369C" w:rsidRPr="00D03F3E" w:rsidRDefault="00B8369C" w:rsidP="00D03F3E">
      <w:pPr>
        <w:spacing w:after="0" w:line="240" w:lineRule="auto"/>
        <w:jc w:val="both"/>
        <w:rPr>
          <w:rFonts w:ascii="Times New Roman" w:hAnsi="Times New Roman"/>
          <w:color w:val="000000" w:themeColor="text1"/>
          <w:sz w:val="16"/>
          <w:szCs w:val="16"/>
        </w:rPr>
      </w:pPr>
    </w:p>
    <w:p w14:paraId="339B33ED"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в 1943 году вечернее сообщение Совинформбюро:</w:t>
      </w:r>
    </w:p>
    <w:p w14:paraId="6423D965"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22 июня на фронте существенных изменений не произошло.</w:t>
      </w:r>
    </w:p>
    <w:p w14:paraId="4E57F0C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подразделения уничтожили 160 немецких солдат и офицеров. Артиллеристы Н-ской части произвели огневой налёт на позиции противника. Прямым попаданием снарядов взорван склад боеприпасов, уничтожены артиллерийская и миномётная батареи противника. На отдельных участках мелкие подразделения немцев пытались вести разведку, но были рассеяны ружейно-пулемётным огнём наших подразделений.</w:t>
      </w:r>
    </w:p>
    <w:p w14:paraId="1EBCCA27"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артиллеристы Н-ской части истребили до роты вражеской пехоты, разрушили дзот, уничтожили два обоза и взорвали склад боеприпасов.</w:t>
      </w:r>
    </w:p>
    <w:p w14:paraId="4BA3F510"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нашей территории совершили посадку два исправных немецких самолёта «Фокке-Вульф-190». Немецкие лётчики взяты в плен.</w:t>
      </w:r>
    </w:p>
    <w:p w14:paraId="6BFD37C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Мценска происходила артиллерийская перестрелка. Разрушено несколько вражеских укреплений и уничтожено не менее 80 гитлеровцев. Самолёты противника пытались совершить налёт на один наш объект, но были рассеяны на подступах к цели. Сбито 2 немецких бомбардировщика.</w:t>
      </w:r>
    </w:p>
    <w:p w14:paraId="6C52E799"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Вчера германское командование сообщило о том, что «в ночь на 20 июня лёгкие немецкие военно-морские силы обстреляли город и порт Ейск на Азовском море». Само по себе это сообщение не заслуживало бы внимания. Однако оно характерно в том смысле, что немецкое командование пытается жульнически замазать правду не только в большом, но и в малом. На самом деле 20 июня 7 немецких катеров пытались приблизиться к Ейску. Катера противника были отогнаны артиллерийским огнём и нашей авиацией. Из 7 подходивших вражеских катеров 4 были потоплены, а остальным трём под прикрытием дымовой завесы удалось скрыться. Кроме того, во время этой операции в воздушном бою был сбит немецкий самолёт, упавший в море. Наша авиация потерь не имела. Таковы факты, о которых умолчало германское командование.</w:t>
      </w:r>
    </w:p>
    <w:p w14:paraId="438BCBE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противник пытался вести разведку. Наши подразделения своевременно обнаружили гитлеровцев и ружейно-пулемётным огнём отбросили противника с большими для него потерями. Вторично на этом же участке вышло на разведку до 50 немецких солдат. Эта группа вражеских разведчиков была полностью уничтожена.</w:t>
      </w:r>
    </w:p>
    <w:p w14:paraId="6519FF02"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снайперы уничтожили до 200 солдат и офицеров противника. Артиллерийским и миномётным огнем разрушено 37 дзотов, 16 землянок и 9 наблюдательных пунктов, уничтожены 2 орудия, 3 пулемёта, миномётная батарея, 13 автомашин и повозок с военными грузами.</w:t>
      </w:r>
    </w:p>
    <w:p w14:paraId="3158E25E"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Партизанские отряды Украины наносят непрерывные удары по путям сообщения противника. Партизаны отряда имени Кирова 3 июня пустили под откос немецкий воинский эшелон. Уничтожены паровоз и 15 цистерн с горючим и смазочными материалами. 5 июня отряд имени Калинина подорвал на минах немецкий поезд с войсками, следовавший на фронт. Разбиты паровоз и 7 вагонов. Партизаны отряда имени Щорса 9 июня организовали крушение вражеского эшелона. Уничтожен паровоз, разбито 11 вагонов и сильно повреждено 19 вагонов.</w:t>
      </w:r>
    </w:p>
    <w:p w14:paraId="39F1068B"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бортмеханик из 4 отряда 121 немецкой группы дальних разведчиков Георг Пауль рассказал: «В отряде большой некомплект лётчиков. Уже несколько месяцев командование добивается присылки четырёх экипажей взамен выбывших из строя, но пока тщетно. В начале мая русская авиация совершила ожесточённый налёт на наш аэродром. Сброшенными бомбами было уничтожено 2 и серьёзно повреждено 10 самолётов. После этого лётчики отряда в течение двух недель не совершили ни одного вылета. Широкое внедрение заменителей в немецкой авиационной промышленности привело к ухудшению качества самолётов и моторов. После каждого полёта приходится ремонтировать мотор».</w:t>
      </w:r>
    </w:p>
    <w:p w14:paraId="6E94C687"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Народные массы Греции поднимаются на вооружённую борьбу против фашистских захватчиков. Около города Сиатиста греческие партизаны в течение двух дней вели бой против итальянских войск. В результате этого боя греческие патриоты истребили несколько сот итальянцев и захватили в плен 17 офицеров и 482 солдата. </w:t>
      </w:r>
      <w:r w:rsidRPr="00D03F3E">
        <w:rPr>
          <w:rFonts w:ascii="Times New Roman" w:hAnsi="Times New Roman"/>
          <w:color w:val="000000" w:themeColor="text1"/>
          <w:sz w:val="16"/>
          <w:szCs w:val="16"/>
        </w:rPr>
        <w:lastRenderedPageBreak/>
        <w:t>В одной деревне близ Кардицы греческие крестьяне напали на немецкий отряд, убили 11 гитлеровцев и захватили 3 автомашины. На железной дороге Коринф—Афины железнодорожники организовали столкновение двух поездов немецких оккупантов.» (14930).</w:t>
      </w:r>
    </w:p>
    <w:p w14:paraId="5C91268C" w14:textId="77777777" w:rsidR="00B8369C" w:rsidRPr="00D03F3E" w:rsidRDefault="00B8369C" w:rsidP="00D03F3E">
      <w:pPr>
        <w:spacing w:after="0" w:line="240" w:lineRule="auto"/>
        <w:jc w:val="both"/>
        <w:rPr>
          <w:rFonts w:ascii="Times New Roman" w:hAnsi="Times New Roman"/>
          <w:color w:val="000000" w:themeColor="text1"/>
          <w:sz w:val="16"/>
          <w:szCs w:val="16"/>
        </w:rPr>
      </w:pPr>
    </w:p>
    <w:p w14:paraId="4780AC4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под Москвой сформировалась 1-я польская истребительная эскадрилья в составе 13 л, позже преобразованная в ап Варшава (438,874).</w:t>
      </w:r>
    </w:p>
    <w:p w14:paraId="2E5E6E2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B4646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было первое награждение советских воинов иностранными наградами (2989) - это Ф.Д.Р. наградил моряков, участвовавших в проводке северных конвоях (3398,219).</w:t>
      </w:r>
    </w:p>
    <w:p w14:paraId="5E7D5B0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1AD71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командующий ВВС А.А.Новиков в докладе И.В.С., отмечая эффективность ложных аэродромов, предложил сделать 100 макетов Пе-2, 300 макетов Ил-2 и 500 макетов истребителей (340,130).</w:t>
      </w:r>
    </w:p>
    <w:p w14:paraId="42B97CB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F36F7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на 22 июня 1943 KG27 «Бельке» вновь участвовала в массированном налете на Горький, уже седьмом с начала операции. Действиями эскадры опять лично руководил майор барон фон Бёст, чей «Хейнкель» взлетел с аэродрома Олсуфьево в 20.31, по берлинскому времени. В Горьком после недельного перерыва надеялись, что немцы наконец оставили город в покое. Тем более что ГАЗ уже лежал в руинах, и бомбить там, по сути, было нечего. Однако ближе к полуночи, исходя из сообщений ВНОС, стало ясно, что 50 бомбардировщиков снова идут на столицу Поволжья. Самолеты летели к Горькому группами по три – девять машин. Основная масса шла по маршруту Рязань – Сасово – Кулебаки – Горький, остальные самолеты летели через Рузаевку – Арзамас с выходом на цель с южного направления. Примечательно, что посты ВНОС опять зафиксировали четырехмоторный самолет-призрак, опознав его как FW-200. В 00.11, по московскому времени, в Горьком снова завыли гудки воздушной тревоги, и свободные от работы жители с тоской потянулись к укрытиям. В воздух поднялись 45 аэростатов заграждения. Вслед за объявлением тревоги в разных частях города начали взлетать в небо сигнальные ракеты. Наблюдатель Мальков с НП №1 на ГАЗе в 00.16 сообщил:  «В районе 2-й хирургической больницы с земли пущена ракета». Затем в 00.24 с НП № 5 поступило аналогичное сообщение:  «За Северным поселком, восточнее станции Счастливая, с земли пущена красная ракета вертикально». Этот факт говорил о том, что, несмотря на все принятые меры, немецкие агенты продолжали активно действовать в городе. Между тем время шло, а бомбежка не начиналась. В 00.35 и спустя еще десять минут наблюдатели передавали:  «В воздухе все спокойно». Но в 00.50 в районе поселка Новинки, расположенного на высоком правом берегу Оки, напротив автозавода, небо прорезали лучи трех прожекторов. Через несколько минут длинные лучи вспыхнули и на окраине Автозаводского района, а в 00.56 послышалась стрельба зенитных орудий в районе Дзержинска. Все это говорило о том, что скоро должно начаться «представление». В это же время наблюдатель НП № 2 Антонов передал:  «Над Окой гул самолета, две осветительные ракеты, зенитный огонь в южной части города!»  Около 01.04 в небе вспыхнули первые «люстры», затем в течение часа, по подсчетам службы МПВО, немецкие самолеты сбросили еще свыше 130 осветительных ракет. На этот раз Люфтваффе подвергли бомбардировке всю заречную часть города, расположенную вдоль реки Ока. Налет выполнялся эшелонировано с интервалом семь-восемь минут. Ju-88 производили бомбометание с пикирования, «Хейнкели» – с высоты около 4000 м. В частности, Не-111 «1G+AA» командира KG27 «Бельке» майора фон Бёста сбросил бомбы с 3800 м. Отдельные «Юнкерсы» снова применили воспламеняющуюся жидкость. В 01.08 в литейный цех серого чугуна Горьковского автозавода попали четыре бомбы: две SC250 и две Brand С250Д но две не сработали. Взрывами дух оставшихся и возникшим пожаром были уничтожены две единицы литейного оборудования и еще четыре получили повреждения. Кроме того, были повреждены семь электромоторов, два станка, пять мостовых кранов, проломлены перекрытия и кровля [178] . В арматурно-радиаторном корпусе от попадания зажигательных бомб возникли пожары, но цеховым командам удалось быстро потушить огонь, не дав ему распространиться. Взрывом сорвало аэростат заграждения, который отправился в свободный полет, попутно замкнув силовую линию, идущую на водозаборную станцию. Взрывной волной на авиамоторном заводе № 466 вышибло все стекла в окнах и фонарях в цехах №№ 6, 7 и 25. В 01.47 бомбардировке подвергся сам завод № 466. На главный корпус и сборочный цех упали по две бомбы SC250, из которых одна не сработала. В результате была засыпана и повреждена готовая продукция (узлы и незаконченные сборкой моторы). В цехе № 22 от прямого попадания бомбы SC50 было разрушено перекрытие крыши, в цехе № 5 две таких же бомбы проломили крышу и разрушили водонапорную магистраль, в цехе № 3 в результате прямых попаданий обрушилась крыша и возник сильный пожар. Еще одна фугаска угодила в цех № 7 и, пробив крышу, взорвалась внутри. В итоге была сильно повреждена группа станков холодной обкатки. В цехах № 3в и 3д взрывы повредили четыре станка, разрушили монтажную комнату блока двигателя и расточную комнату картера, в корпусе вылетели все стекла, частично обвалились крыша и фермы, перебило магистральные трубопроводы. Рядом со зданием упала бомба Brand С50А, но, не сработав, оставила лишь отверстие в грунте. По счастливой случайности, никто из рабочих завода не пострадал, во всяком случае, так записали в официальном отчете. Жилой сектор Автозаводского района на сей раз пострадал немного. В Американском поселке сгорели дом и сапожная мастерская, в Восточном поселке фугасная бомба перебила водопровод, в Северном поселке взрывная волна снесла два барака, в доме № 5 возник пожар, потушенный силами местного населения. В 01.02 над заводом «Двигатель революции» были сброшены девять осветительных ракет, затем высоко в темном небе вспыхнули еще две «люстры» по десять ракет. Одновременно с вышкового наблюдательного поста был также зафиксирован пуск сигнальной ракеты с земли, со стороны реки. Директор завода Никулин тотчас же отдал приказ об эвакуации рабочих в укрытия. Формирования МПВО объекта уже 35 минут находились в состоянии боевой готовности. Все помнили тяжелые последствия прошлого налета и были полны решимости сохранить оставшиеся цеха.</w:t>
      </w:r>
    </w:p>
    <w:p w14:paraId="7609393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Через некоторое время на высоте около 300 м появился темный силуэт бомбардировщика, и вслед за этим воздух пронзил свист падающих бомб. Мощные взрывы прогремели в цехах №№ 1, 12, 14, гараже и других зданиях. Сильный пожар сразу же охватил деревянное здание материального склада. В 01.27надзаводомпролетелеще один бомбардировщик, сбросивший две фугасных и одну зажигательную бомбу FLAM500. Мощный взрыв прогремел на антресоли цеха № 2, затем уже внутри раздался громкий хлопок и мгновенно вспыхнула разбрызганная горючая жидкость. Через восемь минут с вышковых постов отчетливо увидели еще один самолет, заходящий со стороны Оки. И опять свист падающих бомб и взрывы. Вспыхнул центральный инструментальный склад, а в уже горящий цех № 2 попала еще одна крупная «зажигалка». Бойцы противопожарного звена цеховой унитарной команды Щербаков, Глазов, Афанасьев и начштаба МПВО Геращенко были оглушены взрывами, но не покинули своих постов и решительно вступили в неравную схватку с быстро распространяющимся огнем. По опыту предыдущих бомбежек все знали, что горючую жидкость нужно тушить не водой, а песком или в крайнем случае забрасывать землей. Вскоре им на подмогу прибыли аварийно-восстановительная команда и солдаты из воинских частей, немедленно приступившие к тушению крыши цеха № 2. Воду качали по длинным шлангам из пожарных водоемов, ведра с песком передавали по цепочке по лестницам. Директор завода Никулин со своего КП беспрерывно звонил в городской штаб МПВО, умоляя прислать помощь. Вскоре прибыли восемь пожарных машин, которые немедленно распределили по объектам. Затем подтянулись еще три роты солдат. Битва с огнем шла на крыше литейного цеха, расположенного рядом с материальным складом, который уже пылал как гигантский костер. Цеховая унитарная команда в количестве 44 человек тушила бесчисленные загорания, возникавшие то тут, то там, то в нескольких местах сразу. Бойцы засыпали их песком, накрывали металлическими листами, беспрестанно поливали крышу водой, не допуская разогрева рубероида. Огонь продолжал наступать, но в решающий момент критическую ситуацию спасло полное обрушение здания материального склада. Борьба с пожарами продолжалась, когда уже начался ранний июньский рассвет. Героическими усилиями литейный цех удалось отстоять, за исключением вагранки, разрушенной прямым попаданием фугасной бомбы. Большая часть цеха № 2 также была спасена, однако все же сгорели три мостовых крана, один балочный кран и 15 станков. Дотла выгорели со всеми материалами, оборудованием, моделями и другими ценностями материальный и модельный склады. На 100% был уничтожен огнем и центральный инструментальный склад вместе со всеми инструментами и приспособлениями. В т.ч. погиб весь инструмент для изготовления реактивных снарядов М-8, М-13 и М-31. В цехе № 12 взрывы разрушили шихтовой подъемник и коксовый навес, у цеха № 9 сгорела крыша. Сильно пострадал цех № 3, в котором обвалилась половина крыши, частично сгорели и разрушились несущие конструкции, выгорел деревянный пол. Кроме того, взрывная волна выбила стекла и рамы в главной конторе, на территории предприятия были разрушены водопровод, силовая и осветительные линии, отопление и воздухопровод. Число жертв оказалось относительно небольшим, погибли четыре человека, 40 получили ранения и ожоги. Пострадали и другие предприятия Ленинского района. В районе завода пищеконцентратов упали девять авиабомб, которые на протяжении 70 м разрушили железнодорожную ветку, идущую на Молитовскую пристань. В цехах предприятия взрывной волной выбило 350 стекол и 80 оконных рам. Жертв не было. Сильный пожар от зажигательных бомб возник на фабрике «Красный Октябрь», находящейся на берегу Оки. Сюда прибыли пять автонасосов, расчеты которых своевременно приступили к тушению. В итоге завод легко отделался, сгорели склад сырья, а также вагон льна, стоявший под разгрузкой. В базу «Заготзерно», расположенную на берегу Оки, попало большое число зажигательных бомб крупного калибра, от которых возникло много очагов пожаров. Вскоре на объект приехали три автонасоса и три пожарных поезда. Однако к тому времени огонь уже распространился по всем зданиям, выбрасывая в небо огромные языки пламени. В итоге полностью сгорели 16 складов с овсом, а также более 600т хлеба. Пожар удалось ликвидировать лишь к 07.00. В результате взрывов бомб между Молитовской электроподстанцией и заводом «Красная Этна» одновременно вышли из строя несколько высоковольтных линий, связывающих Ленинский район с Игумновской ТЭЦ и Сормовской подстанцией. Затем отключилась и ЛЭП № 123, питающая заокскую часть области (Павлово, Кулебаки, Выкса, Муром и др.). Далее вниз по течению немецкие самолеты разбомбили завод «Новая сосна», являвшийся филиалом ГАЗа. От многочисленных попаданий фугасных и зажигательных бомб здесь возник сильный пожар, охвативший сразу несколько объектов. Для их тушения были направлены шесть автонасосов, а со стороны Оки подошел пожарный катер. Но несмотря на все усилия, предприятие получило большие повреждения, полностью сгорели тарный цех, материальный склад, столовая и овощехранилище. Из 83 единиц основного оборудования были уничтожены 28. Множество бомб попадали и на жилой сектор, примыкающий к заводам. Взрывы полностью разрушили девять домов и два барака, десятки других охватило пламя. От большого количества горючей жидкости вспыхивали сараи, бани, заборы и деревья, и вообще все, что могло гореть. Жители пытались организовать тушение, передавали по цепочке ведра с водой, закидывали огонь землей, опилками, всем, что попадалось под руку. Семь пожарных машин носились по улицам, пытаясь остановить распространение огня, но воды катастрофически не хватало, а подъезд к искусственным водоемам во многих местах оказался закрыт завалами и воронками </w:t>
      </w:r>
      <w:r w:rsidRPr="00D03F3E">
        <w:rPr>
          <w:rFonts w:ascii="Times New Roman" w:hAnsi="Times New Roman"/>
          <w:color w:val="000000" w:themeColor="text1"/>
          <w:sz w:val="16"/>
          <w:szCs w:val="16"/>
        </w:rPr>
        <w:lastRenderedPageBreak/>
        <w:t>от бомб. К тому же из-за густо го дыма стало трудно ориентироваться в лабиринтах узких улочек частного сектора. В итоге полностью сгорели 37 одноэтажных жилых домов, здание 5-го отделения милиции, школа № 106 и продуктовый магазин. Многие другие получили повреждения. В 01.20 бомбардировке подвергся Сталинский (ныне Канавинский) район, выходящий своими домами и складами к грузовому речному порту на Стрелке – месте слияния Оки и Волги. На филиал № 2 авиазавода №21 [179] были сброшены одна фугасная, две осколочных и 12 тяжелых зажигательных бомб, которые частично разрушили деревообделочный цех. При этом были убиты три, тяжело ранены два, легко ранены три человека. Были сильно повреждены паропровод, водопровод и силовые линии. От прямого попадания фугасной бомбы в кузовном корпусе автобусного завода обрушились перекрытия площадью 308 кв. м, вышибло 24 оконных переплета. Кроме того, полностью выгорел окрасочный цех вместе с пятью автомашинами. При этом погибли начальник ПДС кузовного цеха В. Г. Махалов и мастер Н. А. Ситнов. Ранения получили три человека, в т.ч. директор завода Паринов. Последнего повезли на машине в больницу, но по пути он скончался. Загорания в кузовном и пикапном корпусах были потушены силами бойцов МПВО. На соседнем известковом заводе была разрушена гофманская печь и завален канал, сгорели гудронная яма и частично потолки общежития. Рядом с заводом № 119 НКАП прогремели несколько мощных взрывов, от которых в зданиях предприятия выбило стекла и оконные рамы. На ул. Менделеева, расположенной рядом с промзонои района, взрывы разрушили два жилых дома. На ул. Интернациональной от попадания сразу восьми тяжелых «зажигалок» сгорел железобетонный склад областного управления связи. Пострадал и мельзавод № 1. В 01.45 одна фугасная бомба попала в склад муки и, пробив крышу, взорвалась внутри. Возник пожар, от которого сгорели перекрытия и часть продукции. Сильные повреждения получили два мучных конвейера. Вторая бомба упала у магазина ОРСа, повредив фасад, третья взорвалась на подъездных железнодорожных путях. Еще один мощный взрыв прогремел на береговой дамбе. Зажигалки, начиненные бензином, полистиреном и фосфором, угодили в вагоны, стоящие под погрузкой у мучного склада, пять из которых сгорели. Директор завода немедленно вызвал пожарные автонасосы, но в городском штабе МПВО ему ответили, что они уже заняты на других объектах. Пришлось справляться собственными силами. При тушении пожара на этом объекте особенно отличились бойцы объектовой команды Лобаев, Кунин, Усалов, Пацюк, Худолей и др. В итоге распространение огня удалось остановить, и потери продукции составили всего 80 т. Повреждения получили силовая и осветительные линии. На рабочем месте погибли два человека, еще шесть получили сильные ожоги. Бомбардировке подвергся и район Московского вокзала. Множество фугасных бомб упали на ул. Октябрьской революции и в поселке «Металлист». Во многих местах получили повреждения водопровод, а также телефонные линии. На станции Горький-Товарная от прямых попаданий зажигательных бомб сгорел пункт технического осмотра вагонов. Кроме того, немцы подвергли сильной бомбардировке Окский автомобильно-железнодорожный мост. Этот важнейший стратегический объект был прикрыт дымовой завесой, что затруднило летчикам прицеливание. Бомба SC1800 упала недалеко от моста, напротив ул. 15 лет Чувашии (ныне Нижневолжская набережная). Взрыв был такой силы, что осколки буквально изрешетили жилые дома на берегу, кроме того, в них повылетали стекла, оконные рамы и двери. Еще несколько бомб взорвались в Оке, справа и слева от моста. Одна «фугаска» попала в дебаркадер, стоявший около речного порта. При этом один человек погиб, шесть получили тяжелые ранения. Но сам мост, несмотря на близкие разрывы, уцелел. Немцы бомбили и Борский железнодорожный мост через Волгу, по которому шли эшелоны с Кировского направления. По воспоминаниям очевидцев, было видно, как бомбардировщики один за другим заходили на цель, навстречу им в небо устремлялись огненные стрелы трассеров, выпускаемых МЗА. Сильный заградительный огонь не позволял летчикам пикировать ниже 1000 м, в результате чего бомбы взрывались на берегу и в реке, поднимая огромные столбы воды. На Кировский район, расположенный в глубине заречной части Горького, немецкие самолеты сбросили, по подсчетам службы МПВО, свыше 100 фугасных и 50 тяжелых зажигательных бомб. Однако находящийся в центре района завод «Красная Этна» чудом избежал серьезных разрушений. Здесь пострадал от пожара волочильный цех. Основной же удар принял на себя частный жилой сектор, протянувшийся между заводом и садом им. 1 Мая. На ул. Чонгарской сгорели четыре жилых дома, на ул. Искра один дом сгорел и четыре были разрушены взрывами, в поселке Володарском сгорели два дома в Саратовском переулке, два – в Артемьевском, на ул. Клиновской два дома были уничтожены прямыми попаданиями фугасок, еще по одному дому сгорели на ул. Зеленая и Муромская. В саду им. 1 Мая бомба попала в щель, где укрывались бойцы, там в итоге пострадали 10 человек. В районе повсеместно были разрушены водопровод и линии электросети. Последняя группа бомбардировщиков отбомбилась по Ворошиловскому району, сбросив на него, по данным службы МПВО, 17 фугасных и 45 различных зажигательных бомб. На радиотелефонном заводе № 197 им. Ленина взрывной волной были повреждены электрокабели и фидеры в районе Нового поселка. В заводской бане и во многих жилых домах вылетели стекла и рамы. Около жилого каркасного барака № 5 на ул. Сухумской упали три фугасных бомбы крупного калибра, причем одна из них взорвалась с замедлением, когда жильцы уже начали вылезать из укрытий. В итоге здание полностью обрушилось, погибли два человека, четыре получили контузии. Был также разрушен барак на 357-м километре Казанской железной дороги. На окраине района под бомбежку попали макаронная фабрика и военно-политическое училище им. Фрунзе, в котором выгорела вся средняя часть здания.</w:t>
      </w:r>
    </w:p>
    <w:p w14:paraId="5AE6051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в ходе седьмого июньского налета на Горький те или иные повреждения получили 14 предприятий, железнодорожный вокзал и речной порт. Были разрушены 70 жилых домов и бараков, еще столько же получили повреждения. Пламя от пожарищ, полыхавших по всему городу, было видно за десятки километров от Горького, и сельские жители понимали, что в городе творится нечто ужасное. Помимо бомбежки, в эту ночь немецкие самолеты разбросали по всей области листовки, которые указывали на бессмысленность дальнейшего сопротивления и призывали народ бросать работу и не выполнять задания правительства. По данным на утро 22 июня, при бомбежке погибли 88 человек, еще 180 получили ранения. Согласно отчету нового командующего Горьковским корпусным районом ПВО генерала Маркова, зенитная артиллерия на этот раз расстреляла 29 139 снарядов среднего и 10 544 – малого калибра. Ночные истребители произвели 34 самолето-вылета и заявили об одном сбитом бомбардировщике. В 23.00 взлетел Ла-5, который пилотировал заместитель командира 142-й ИАД подполковник Ковригин. Набрав высоту, летчик направился в район Павлово – Ворсма и начал свободный поиск противника. Небо в эту самую короткую ночь было светлое, и внизу отчетливо просматривалось не только русло Оки, но были ясно видны очертания городов и поселков. Из бортовой радиостанции периодически доносились сообщения о приближающихся самолетах, которые вот-вот должны были появиться в районе патрулирования. В полночь Ковригин увидел на светлой части горизонта, выше себя, на высоте примерно 3500 м, силуэт одиночного Не-111, идущего курсом на Горький. Летчик пошел на сближение и, нагнав противника, решил с ходу идти на таран, не открывая огня. «Хейнкель» быстро увеличивался в размерах, и казалось, столкновение неизбежно. Вероятно, Ковригин уже мысленно представлял, как вернется в часть героем и получит орден, однако в последний момент немецкий пилот нарушил его планы, резко отвернув в сторону, и Ла-5 проскочил мимо. После этого бомбардировщик начал снижение, одновременно его бортстрелок открыл огонь. Тем не менее Ковригин сумел сохранить визуальный контакт и продолжил преследование. Потом в рапорте он написал, что  «произвел шесть атак из положения строго в хвост и снизу сбоку, с правого и левого борта с дистанции 50—25метров», после чего один из моторов «Хейнкеля» загорелся и он резко пошел к земле. Правда, самого падения летчик не наблюдал. По немецким данным, во время седьмого июньского налета на Горький ночным истребителем действительно был сбит один бомбардировщик – Ju-88A-4 WNr.4560 унтер-офицера Ф. Вильфингера из 7-й эскадрильи KG1 «Гинденбург». Весь его экипаж из четырех человек пропал без вести. В то же время, в 00.48, в районе Богородска был сбит и один из истребителей 142-й ИАД. Летчик пошел на вынужденную посадку, попав при этом прямо на линии электропередач, проходящие в этом районе. Зацепив ЛЭП № 3532 и № 123, самолет пролетел еще некоторое время и, перебив винтом провод средней фазы на ЛЭП № 3123, упал на землю. На обратном пути немецкие бомбардировщики подвергались атакам ночных истребителей, которые были особенно интенсивными в районе Московского фронта ПВО. В результате был подбит He-lllH-16W.Nr.8234 «1G+CR»из7./KG27. При этом погиб бортмеханик фельдфебель Лотар Настайнчик, а четыре других члена экипажа – пилот лейтенант Ханс Швайнгрубер, штурман обер-ефрейтор Зигфрид Готтшалк, бортрадист обер-ефрейтор Вернер Вольф и бортстрелок обер-ефрейтор Альфред Вагнер – получили различные ранения. Тем не менее «Хейнкелю» удалось уйти от преследователя и совершить вынужденную посадку западнее железнодорожной станции Дубровка, расположенной в 12 км юго-восточнее аэродрома Сещинская (11774).</w:t>
      </w:r>
    </w:p>
    <w:p w14:paraId="455F4B0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данным штаба Горьковского корпусного района ПВО,  «на подступах к городу было 50 самолетов и над городом 10—12 самолетов типа Ю-88иХе-111». Однако управление НКВД подготовило более точную сводку, в которой указывалось, что, исходя из количества сброшенных бомб и по данным наблюдения, над городом были не менее 40 самолетов. 22 июня новый начальник УНКВД Горьковской области полковник Горянский составил донесение наркому внутренних дел Л. Берии, в котором подробно указал число сброшенных на город авиабомб. Формирования МПВО в ходе налета действовали в целом организованно, но по-прежнему имели место недостатки и саботаж. На следующий день начальник МПВО Горького Шульпин и комиссар МПВО Янковцев издали приказ, в котором говорилось:  «За последние дни при тушении пожаров в г. Горьком со стороны отдельных руководителей объектов и организаций (начальник Горьковского речного порта Владимиров и др.) имеет место невыполнение распоряжений начальника противопожарной службы города о высылке автонасосов, пожарных поездов и других средств на ликвидацию пожаров, и тем самым в ряде случаев были сорваны оперативные меры по ликвидации пожаров». Настроение населения Горьковской области после очередного налета Люфтваффе было подавленным. Казалось, бомбежкам не будет конца и немцы в конце концов разрушат всю промышленность. Все понимали, что вражеская авиация вовсе не разгромлена и даже усилилась, поскольку наносит удар за ударом по глубокому тылу. Профессор Горьковского пединститута Н. М. Добротвор, находившийся в это время в Перевозском районе, писал в дневнике:  «В деревне говорят, что без Второго фронта невозможна победа над гитлеровской Германией. Расценивают это пессимистически». В то же время различные «инициативные работники» составляли свои «акты» о результатах борьбы с немецкой авиацией. Так, т. Галкин, командир 1-го отряда ВОХР, охранявшего станкозавод № 113, писал в Москву начальнику ЦУ ВОХР Андрееву:  «По предложению директора завода нами организовано две группы по 7 человек с винтовками для расстрела сбрасываемых светящихся ракет. Нами израсходован за шесть дней тревог 4117 винтовочный патрон. В момент стрельбы по парашютам светящихся ракет у одной винтовки № 3 77494 произошел разрыв ствольной коробки. Стрелок Каманин не пострадал» (11774).</w:t>
      </w:r>
    </w:p>
    <w:p w14:paraId="73CD4FE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7F82B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была опубликована сводка Совинформбюро, согласно которой за 2 года войны Германия и союзники потеряли 23000 самолетов (438,215).</w:t>
      </w:r>
    </w:p>
    <w:p w14:paraId="04C6CE6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A761D7"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22 ИЮНЯ 1943 г.</w:t>
      </w:r>
    </w:p>
    <w:p w14:paraId="29615D1C"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ДОКЛАД КОМАНДУЮЩЕГО 1-й ВОЗДУШНОЙ АРМИЕЙ № 0752 ОТ 22 ИЮНЯ 1943 г. О РЕЗУЛЬТАТАХ РАБОТЫ ОПЫТНОЙ АВИАЦИОННОЙ БАЗЫ ТЕХНИЧЕСКОЙ ЭКСПЛУАТАЦИИ И АЭРОДРОМНОГО ОБСЛУЖИВАНИЯ</w:t>
      </w:r>
    </w:p>
    <w:p w14:paraId="173DB325"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Секретно</w:t>
      </w:r>
    </w:p>
    <w:p w14:paraId="350E6038"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КОМАНДУЮЩЕМУ ВОЕННО-ВОЗДУШНЫМИ СИЛАМИ КРАСНОЙ АРМИИ</w:t>
      </w:r>
    </w:p>
    <w:p w14:paraId="038E0CA7"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Произведенной проверкой работы 1-й опытной авиационной базы технической эксплуатации и аэродромного обслуживания за 6-месячный период установлено:</w:t>
      </w:r>
    </w:p>
    <w:p w14:paraId="7B882101"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 1 декабря 1942 г. по 1 июня 1943 г. авиационная база обслуживала:</w:t>
      </w:r>
    </w:p>
    <w:p w14:paraId="3067285D"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312-й штурмовой авиационный полк-—29 самолетов Ил-2</w:t>
      </w:r>
    </w:p>
    <w:p w14:paraId="00843B26"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261-й бомбардировочный авиационный полк — 23 самолета Пе-2</w:t>
      </w:r>
    </w:p>
    <w:p w14:paraId="6BDDDF98"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402-й истребительный авиационный полк—10 самолетов Як-1</w:t>
      </w:r>
    </w:p>
    <w:p w14:paraId="39D7AC4D"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198-й штурмовой авиационный полк — 23 самолета Ил-2</w:t>
      </w:r>
    </w:p>
    <w:p w14:paraId="21F9E283"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 этот период произведено:</w:t>
      </w:r>
    </w:p>
    <w:p w14:paraId="0A737B95"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106 боевых самолето-вылетов на Пе-2 с налетом 160 час.</w:t>
      </w:r>
    </w:p>
    <w:p w14:paraId="0B58BB41"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680 учебно-тренировочных полетов на</w:t>
      </w:r>
      <w:r w:rsidRPr="00D03F3E">
        <w:rPr>
          <w:rFonts w:ascii="Times New Roman" w:hAnsi="Times New Roman"/>
          <w:color w:val="0070C0"/>
          <w:sz w:val="16"/>
          <w:szCs w:val="16"/>
        </w:rPr>
        <w:tab/>
        <w:t>Пе-2</w:t>
      </w:r>
      <w:r w:rsidRPr="00D03F3E">
        <w:rPr>
          <w:rFonts w:ascii="Times New Roman" w:hAnsi="Times New Roman"/>
          <w:color w:val="0070C0"/>
          <w:sz w:val="16"/>
          <w:szCs w:val="16"/>
        </w:rPr>
        <w:tab/>
        <w:t>»</w:t>
      </w:r>
      <w:r w:rsidRPr="00D03F3E">
        <w:rPr>
          <w:rFonts w:ascii="Times New Roman" w:hAnsi="Times New Roman"/>
          <w:color w:val="0070C0"/>
          <w:sz w:val="16"/>
          <w:szCs w:val="16"/>
        </w:rPr>
        <w:tab/>
        <w:t>516</w:t>
      </w:r>
      <w:r w:rsidRPr="00D03F3E">
        <w:rPr>
          <w:rFonts w:ascii="Times New Roman" w:hAnsi="Times New Roman"/>
          <w:color w:val="0070C0"/>
          <w:sz w:val="16"/>
          <w:szCs w:val="16"/>
        </w:rPr>
        <w:tab/>
        <w:t>»</w:t>
      </w:r>
    </w:p>
    <w:p w14:paraId="661461F6"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28 боевых самолето-вылетов на Як-1</w:t>
      </w:r>
      <w:r w:rsidRPr="00D03F3E">
        <w:rPr>
          <w:rFonts w:ascii="Times New Roman" w:hAnsi="Times New Roman"/>
          <w:color w:val="0070C0"/>
          <w:sz w:val="16"/>
          <w:szCs w:val="16"/>
        </w:rPr>
        <w:tab/>
        <w:t>»</w:t>
      </w:r>
      <w:r w:rsidRPr="00D03F3E">
        <w:rPr>
          <w:rFonts w:ascii="Times New Roman" w:hAnsi="Times New Roman"/>
          <w:color w:val="0070C0"/>
          <w:sz w:val="16"/>
          <w:szCs w:val="16"/>
        </w:rPr>
        <w:tab/>
        <w:t>15</w:t>
      </w:r>
      <w:r w:rsidRPr="00D03F3E">
        <w:rPr>
          <w:rFonts w:ascii="Times New Roman" w:hAnsi="Times New Roman"/>
          <w:color w:val="0070C0"/>
          <w:sz w:val="16"/>
          <w:szCs w:val="16"/>
        </w:rPr>
        <w:tab/>
        <w:t>»</w:t>
      </w:r>
    </w:p>
    <w:p w14:paraId="36FF00CC"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171 боевых самолето-вылетов на Ил-2</w:t>
      </w:r>
      <w:r w:rsidRPr="00D03F3E">
        <w:rPr>
          <w:rFonts w:ascii="Times New Roman" w:hAnsi="Times New Roman"/>
          <w:color w:val="0070C0"/>
          <w:sz w:val="16"/>
          <w:szCs w:val="16"/>
        </w:rPr>
        <w:tab/>
        <w:t>»</w:t>
      </w:r>
      <w:r w:rsidRPr="00D03F3E">
        <w:rPr>
          <w:rFonts w:ascii="Times New Roman" w:hAnsi="Times New Roman"/>
          <w:color w:val="0070C0"/>
          <w:sz w:val="16"/>
          <w:szCs w:val="16"/>
        </w:rPr>
        <w:tab/>
        <w:t>165</w:t>
      </w:r>
      <w:r w:rsidRPr="00D03F3E">
        <w:rPr>
          <w:rFonts w:ascii="Times New Roman" w:hAnsi="Times New Roman"/>
          <w:color w:val="0070C0"/>
          <w:sz w:val="16"/>
          <w:szCs w:val="16"/>
        </w:rPr>
        <w:tab/>
        <w:t>»</w:t>
      </w:r>
    </w:p>
    <w:p w14:paraId="6FCE5132"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254 учебно-тренировочных вылетов на</w:t>
      </w:r>
      <w:r w:rsidRPr="00D03F3E">
        <w:rPr>
          <w:rFonts w:ascii="Times New Roman" w:hAnsi="Times New Roman"/>
          <w:color w:val="0070C0"/>
          <w:sz w:val="16"/>
          <w:szCs w:val="16"/>
        </w:rPr>
        <w:tab/>
        <w:t>Ил-2</w:t>
      </w:r>
      <w:r w:rsidRPr="00D03F3E">
        <w:rPr>
          <w:rFonts w:ascii="Times New Roman" w:hAnsi="Times New Roman"/>
          <w:color w:val="0070C0"/>
          <w:sz w:val="16"/>
          <w:szCs w:val="16"/>
        </w:rPr>
        <w:tab/>
        <w:t>»</w:t>
      </w:r>
      <w:r w:rsidRPr="00D03F3E">
        <w:rPr>
          <w:rFonts w:ascii="Times New Roman" w:hAnsi="Times New Roman"/>
          <w:color w:val="0070C0"/>
          <w:sz w:val="16"/>
          <w:szCs w:val="16"/>
        </w:rPr>
        <w:tab/>
        <w:t>110</w:t>
      </w:r>
      <w:r w:rsidRPr="00D03F3E">
        <w:rPr>
          <w:rFonts w:ascii="Times New Roman" w:hAnsi="Times New Roman"/>
          <w:color w:val="0070C0"/>
          <w:sz w:val="16"/>
          <w:szCs w:val="16"/>
        </w:rPr>
        <w:tab/>
        <w:t>»</w:t>
      </w:r>
    </w:p>
    <w:p w14:paraId="590DE91E"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 весь период работы по обслуживанию полков имели место две вынужденные посадки по вине технического состава: одна на самолете Ил-2 — не был снят чехол с трубки Пито; вторая на самолете Пе-2—по причине того, что механик самолета не обнаружил отсутствие гровершайб крепления счетчика оборотов.</w:t>
      </w:r>
    </w:p>
    <w:p w14:paraId="05B50AC7"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Задержек боевых вылетов из-за неподготовленности материальной части не было. Имел место случай задержки одного самолета Пе-2 из-за несвоевременной подвески бомб.</w:t>
      </w:r>
    </w:p>
    <w:p w14:paraId="0D6B36D5"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 этот период отремонтировано силами технического состава 22 самолета Пе-2, 40 самолетов Ил-2, 2 самолета Як-1 и эвакуировано с вынужденных посадок 10 самолетов Ил-2', 3 самолета Пе-2.</w:t>
      </w:r>
    </w:p>
    <w:p w14:paraId="6523483E"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За данный период технический состав базы освоил теорию и практику эксплуатации самолетов Пе-2, Ил-2 и Як-1.</w:t>
      </w:r>
    </w:p>
    <w:p w14:paraId="15975B93"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Следует отметить, что состояние материальной части, обслуживаемой техническим составом базы, было за весь период отличное — почти всегда все самолеты были в боевой готовности. Технический состав добился хороших результатов при замене моторов. Вместо 12—14 часов, положенных для замены мотора на самолете Пе-2, эта работа выполнялась за 8 часов.</w:t>
      </w:r>
    </w:p>
    <w:p w14:paraId="6AA0E334"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Лучшими показателями хорошей работы технического состава являются отзывы командиров обслуживаемых полков, которые дали отличную и вполне заслуженную оценку работы базы в целом.</w:t>
      </w:r>
    </w:p>
    <w:p w14:paraId="393922B3"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Выводы</w:t>
      </w:r>
    </w:p>
    <w:p w14:paraId="5FF4FA94"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Опыт показал всю целесообразность создания авиационных баз технической эксплуатации, так как это мероприятие придает наибольшую маневренность и оперативность летным частям и соединениям.</w:t>
      </w:r>
    </w:p>
    <w:p w14:paraId="543DD987"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Эта система дает возможность командирам летных частей сосредоточить все свое внимание на боевое применение авиации, на обучение и тренировку летного состава.</w:t>
      </w:r>
    </w:p>
    <w:p w14:paraId="63CF011C"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Создает наиболее благоприятные условия для технического состава во всех отношениях. Находясь более длительное время на месте, технический состав имеет возможность изучить материальную часть, производительнее работать, улучшить свои бытовые условия и т. п.</w:t>
      </w:r>
    </w:p>
    <w:p w14:paraId="176A6CAF"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 Приближение эксплуатации к органам снабжения позволяет ускорить подготовку к ремонт материальной части, а также экономно расходовать материалы и запасные части.</w:t>
      </w:r>
    </w:p>
    <w:p w14:paraId="68D8436C"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 В результате изученного опыта определилась потребность количества тыловых частей для обслуживания авиационных полков. Например, для обслуживания 2-х авиационных полков любых истребителей, штурмовиков и бомбардировщиков с одного или с двух аэродромов нужна одна авиационная база, согласно приложенному штату.</w:t>
      </w:r>
    </w:p>
    <w:p w14:paraId="4B9F7BDF"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Таким образом, если взять воздушную армию, имеющую 28 истребительных, штурмовых и бомбардировочных (Пе-2) авиационных полков, нужно всего для ее обслуживания 14 авиационных баз без резерва.</w:t>
      </w:r>
    </w:p>
    <w:p w14:paraId="405FFA98"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 переходе на эту систему, исходя из указанного количества авиационных полков и потребных для них авиационных баз, которые должны быть сформированы из существующих в армии батальонов аэродромного обслуживания (для примера возьмем наличие тридцати батальонов аэродромного обслуживания и технического состава 28 авиационных полков), базы полностью укомплектовываются личным составом и остается сверх штата 2457 человек командного, технического и рядового состава и 966 человек вольнонаемного состава.</w:t>
      </w:r>
    </w:p>
    <w:p w14:paraId="3D1D783A"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6. В связи с тем, что летные части перебрасываются во время операции с одного фланга на другой и часто армии усиливаются авиацией Резерва Главного Командования, становится необходимостью иметь не менее 70—75% резервных баз. В этих случаях авиация сможет маневрировать внутри фронта и вне его в любом направлении. Количество создаваемых резервных баз зависит от наличия базирующейся авиации, наличия аэродромной сети, протяжения линий фронта и учета маневра при продвижении вперед.</w:t>
      </w:r>
    </w:p>
    <w:p w14:paraId="2E9A2F33"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Из числа личного состава, оставшегося сверх штата — 2457 чел., можно создать 3—4 резервные базы, но без технического состава, который необходимо дополнить из ресурсов других армий.</w:t>
      </w:r>
    </w:p>
    <w:p w14:paraId="6C11811B"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Для обеспечения полного маневра авиации на территории фронта для 1-й воздушной армии необходимо иметь 28—30 авиационных баз.</w:t>
      </w:r>
    </w:p>
    <w:p w14:paraId="7692D0E2"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этом составе можно будет маневрировать частями на любой фланг и в любом направлении.</w:t>
      </w:r>
    </w:p>
    <w:p w14:paraId="7964537A"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7. Переход на новую систему авиационного тыла должен быть осуществлен в следующем порядке:</w:t>
      </w:r>
    </w:p>
    <w:p w14:paraId="18E36662"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а) Переходу должна предшествовать 2—3-месячная подготовка технического состава по изучению материальной части других типов самолетов, состоящих на вооружении других частей. Это как наиболее благоприятный вариант.</w:t>
      </w:r>
    </w:p>
    <w:p w14:paraId="66DB8934"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б) Необходимо заблаговременно распределить весь технический состав авиационных полков по месту дислокации формируемых баз. При этом необходимо учесть, что боевая работа авиационных полков приостанавливаться ни в коей мере не должна.</w:t>
      </w:r>
    </w:p>
    <w:p w14:paraId="0F2B744C"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Переход должен быть произведен одновременно во всей армии, иначе при переброске авиационных частей на другой участок будет сужаться маневр, так как при частичном переходе на другом участке может и не быть авиационных баз.</w:t>
      </w:r>
    </w:p>
    <w:p w14:paraId="11194A60"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г) В авиационных полках остается один техник на самолет и инженер полка, которые по прибытии в авиационную базу вступают в распоряжение старшего инженера авиационной базы. В этом случае, когда на каждый самолет оставляется один техник, создаются более благоприятные условия подготовки материальной части.</w:t>
      </w:r>
    </w:p>
    <w:p w14:paraId="1246F249"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8. Материал представляю на Ваше рассмотрение и заключение.</w:t>
      </w:r>
    </w:p>
    <w:p w14:paraId="46C990D8"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Приложение1. Упомянутое на 16 листах.</w:t>
      </w:r>
    </w:p>
    <w:p w14:paraId="3DC67C65"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Командующий 1-й воздушной армией генерал-лейтенант авиации Герой Советского Союза ГРОМОВ</w:t>
      </w:r>
    </w:p>
    <w:p w14:paraId="029F04F0"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Начальник штаба 1-й воздушной армии генерал-майор авиации ПРОНИН</w:t>
      </w:r>
    </w:p>
    <w:p w14:paraId="298D214A" w14:textId="77777777" w:rsidR="00945089" w:rsidRPr="00D03F3E" w:rsidRDefault="00945089"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Ф. 290, оп. 56913с, д. 13, лл. 50—52. Машинописная копия (20606).</w:t>
      </w:r>
    </w:p>
    <w:p w14:paraId="2642CCE8" w14:textId="77777777" w:rsidR="00945089" w:rsidRPr="00D03F3E" w:rsidRDefault="00945089" w:rsidP="00D03F3E">
      <w:pPr>
        <w:spacing w:after="0" w:line="240" w:lineRule="auto"/>
        <w:jc w:val="both"/>
        <w:rPr>
          <w:rFonts w:ascii="Times New Roman" w:hAnsi="Times New Roman"/>
          <w:color w:val="0070C0"/>
          <w:sz w:val="16"/>
          <w:szCs w:val="16"/>
        </w:rPr>
      </w:pPr>
    </w:p>
    <w:p w14:paraId="59E8D4B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1943г. был подготовлен ОБЗОР БОЕВЫХ ДЕЙСТВИЙ БРОНЕПОЕЗДОВ В ОТЕЧЕСТВЕННОЙ ВОЙНЕ ЗА ПЕРИОД С 22 ИЮНЯ 1942 г. ПО 22 ИЮНЯ 1943 г.</w:t>
      </w:r>
    </w:p>
    <w:p w14:paraId="5434D95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Боевое применение бронепоездов в борьбе с фашистскими оккупантами</w:t>
      </w:r>
    </w:p>
    <w:p w14:paraId="0A82407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Нанесенное поражение немецкой армии под Ростовом, Тихвином и Москвой, а также насту</w:t>
      </w:r>
      <w:r w:rsidRPr="00D03F3E">
        <w:rPr>
          <w:rFonts w:ascii="Times New Roman" w:hAnsi="Times New Roman"/>
          <w:color w:val="000000" w:themeColor="text1"/>
          <w:sz w:val="16"/>
          <w:szCs w:val="16"/>
        </w:rPr>
        <w:softHyphen/>
        <w:t>пательные действия Красной Армии в течение всей зимы 1941-1942 годов сорвали стратегические планы германского командования, рассчитывавшего на зимнюю передышку, чтобы привести в порядок свои потрепанные войска с тем, чтобы весной 1942 года с новыми силами начать крупное наступление против Красной Армии.</w:t>
      </w:r>
    </w:p>
    <w:p w14:paraId="41F0AE2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Потрепанная германско-фашистская армия оказалась не способной вести наступательные дей</w:t>
      </w:r>
      <w:r w:rsidRPr="00D03F3E">
        <w:rPr>
          <w:rFonts w:ascii="Times New Roman" w:hAnsi="Times New Roman"/>
          <w:color w:val="000000" w:themeColor="text1"/>
          <w:sz w:val="16"/>
          <w:szCs w:val="16"/>
        </w:rPr>
        <w:softHyphen/>
        <w:t>ствия на всех фронтах, как это имело место в первые месяцы войны 1941 года, и вынуждена была собрать основные силы на узком участке фронта.</w:t>
      </w:r>
    </w:p>
    <w:p w14:paraId="49554D6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июню 1942 года гитлеровское командование, сосредоточив крупные танковые и пехотные соединения, повело наступление в Юго-Восточном и Южном направлениях.</w:t>
      </w:r>
    </w:p>
    <w:p w14:paraId="6888513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началом боевых операций бронепоездные части во взаимодействии со стрелковыми частями-,смело вступали в бой с численно превосходящими силами противника и, несмотря на недостаточ</w:t>
      </w:r>
      <w:r w:rsidRPr="00D03F3E">
        <w:rPr>
          <w:rFonts w:ascii="Times New Roman" w:hAnsi="Times New Roman"/>
          <w:color w:val="000000" w:themeColor="text1"/>
          <w:sz w:val="16"/>
          <w:szCs w:val="16"/>
        </w:rPr>
        <w:softHyphen/>
        <w:t>ную поддержку со стороны взаимодействующих частей, наносили сокрушительные удары по живой силе и технике врага.</w:t>
      </w:r>
    </w:p>
    <w:p w14:paraId="509FDC0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Идя на самопожертвование, бронепоезда силой своего огня громили фашистских оккупантов, задерживали их продвижение, обеспечивали перегруппировку и сосредоточение наших войск для нанесения решительных контрударов.</w:t>
      </w:r>
    </w:p>
    <w:p w14:paraId="1FC8015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Сложившаяся обстановка для ведения боевых операций бронепоездных частей на Юго-Западном и Южном, а впоследствии на Сталинградском и Северо-Кавказском фронтах, имела свои особенности в отличие от обстановки на Западном и Юго-Западном фронтах прошлого года.</w:t>
      </w:r>
    </w:p>
    <w:p w14:paraId="56E7F41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Наличие открытой местности (степь), поток воинских эшелонов, движущихся к фронту и от фронта в тыл, стесняли работу бронепоездных частей и ограничивали их маневренность.</w:t>
      </w:r>
    </w:p>
    <w:p w14:paraId="1B8C0AD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Бронепоезда вынуждены были находиться под постоянным контролем противника с воздуха и безнаказанно подвергаться бомбежке вместе с находящимися на этих участках эшелонами.</w:t>
      </w:r>
    </w:p>
    <w:p w14:paraId="6689D1C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Систематические массовые налеты вражеской авиации на бронепоезда с бомбометанием не сломили боевого духа бронепоездников.</w:t>
      </w:r>
    </w:p>
    <w:p w14:paraId="50424F3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Бронепоезда отражали атаки вражеской авиации, одновременно уничтожали танки и живую силу противника.</w:t>
      </w:r>
    </w:p>
    <w:p w14:paraId="1AE584C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Бронепоезда нашли свое широкое применение, особенно на Северном Кавказе и Закавказье, это видно из того, что в ходе боевой обстановки решением военных советов армии и фронта строи</w:t>
      </w:r>
      <w:r w:rsidRPr="00D03F3E">
        <w:rPr>
          <w:rFonts w:ascii="Times New Roman" w:hAnsi="Times New Roman"/>
          <w:color w:val="000000" w:themeColor="text1"/>
          <w:sz w:val="16"/>
          <w:szCs w:val="16"/>
        </w:rPr>
        <w:softHyphen/>
        <w:t>лись и восстанавливались бронепоездные части.</w:t>
      </w:r>
    </w:p>
    <w:p w14:paraId="722304E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Выполнение боевых задач бронепоездами за второй год Отечественной войны можно свести к следующему:</w:t>
      </w:r>
    </w:p>
    <w:p w14:paraId="447F15F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Активные действия бронепоездов во взаимодействии со стрелковыми частями в полосе железной дороги на Юго-Западном, Южном, Северо-Кавказском и Закавказском фронтах своди</w:t>
      </w:r>
      <w:r w:rsidRPr="00D03F3E">
        <w:rPr>
          <w:rFonts w:ascii="Times New Roman" w:hAnsi="Times New Roman"/>
          <w:color w:val="000000" w:themeColor="text1"/>
          <w:sz w:val="16"/>
          <w:szCs w:val="16"/>
        </w:rPr>
        <w:softHyphen/>
        <w:t>лись в основном к прикрытию арьергардных частей, обеспечивая их выход из боя и занятие новых оборонительных рубежей.</w:t>
      </w:r>
    </w:p>
    <w:p w14:paraId="5A7B544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Исправное состояние железнодорожной сети позволяло бронепоездам применение основного вида боя — огневой налет. Бронепоезда врывались в расположение противника и с близких дистан</w:t>
      </w:r>
      <w:r w:rsidRPr="00D03F3E">
        <w:rPr>
          <w:rFonts w:ascii="Times New Roman" w:hAnsi="Times New Roman"/>
          <w:color w:val="000000" w:themeColor="text1"/>
          <w:sz w:val="16"/>
          <w:szCs w:val="16"/>
        </w:rPr>
        <w:softHyphen/>
        <w:t>ций расстреливали живую силу и технику врага.</w:t>
      </w:r>
    </w:p>
    <w:p w14:paraId="485C87E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 остальных участках фронта бронепоезда содействовали обороняющимся частям в отраже</w:t>
      </w:r>
      <w:r w:rsidRPr="00D03F3E">
        <w:rPr>
          <w:rFonts w:ascii="Times New Roman" w:hAnsi="Times New Roman"/>
          <w:color w:val="000000" w:themeColor="text1"/>
          <w:sz w:val="16"/>
          <w:szCs w:val="16"/>
        </w:rPr>
        <w:softHyphen/>
        <w:t>нии контратак противника, а также выполняли задачи по обеспечению действия частей в решении частных операций.</w:t>
      </w:r>
    </w:p>
    <w:p w14:paraId="20D567A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малочисленные зенитные средства, бронепоездные части вели борьбу с авиацией противника, выполняя задачи по охране железнодорожных участков, узлов и сооружений, обеспе</w:t>
      </w:r>
      <w:r w:rsidRPr="00D03F3E">
        <w:rPr>
          <w:rFonts w:ascii="Times New Roman" w:hAnsi="Times New Roman"/>
          <w:color w:val="000000" w:themeColor="text1"/>
          <w:sz w:val="16"/>
          <w:szCs w:val="16"/>
        </w:rPr>
        <w:softHyphen/>
        <w:t>чивая выгрузку и погрузку воинских эшелонов.</w:t>
      </w:r>
    </w:p>
    <w:p w14:paraId="35F746B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Изданный управлением бронепоездов обзор боевых действий бронепоездов за 1-й год Отечественной войны на ряде положительных и отрицательных примеров боевых действий бро</w:t>
      </w:r>
      <w:r w:rsidRPr="00D03F3E">
        <w:rPr>
          <w:rFonts w:ascii="Times New Roman" w:hAnsi="Times New Roman"/>
          <w:color w:val="000000" w:themeColor="text1"/>
          <w:sz w:val="16"/>
          <w:szCs w:val="16"/>
        </w:rPr>
        <w:softHyphen/>
        <w:t>непоездов дал командиру бронепоезднику возможность сравнить действия своих бронепоездов на своем участке фронта с действиями бронепоездных частей на других участках фронта, чтобы тем самым не допустить повторения ошибок, имевших место в прошлом.</w:t>
      </w:r>
    </w:p>
    <w:p w14:paraId="6A61BA4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Применение бронепоездных частей за 2-й год Отечественной войны дало большой перелом в области улучшения руководства в использовании бронепоездов со стороны общевойсковых началь</w:t>
      </w:r>
      <w:r w:rsidRPr="00D03F3E">
        <w:rPr>
          <w:rFonts w:ascii="Times New Roman" w:hAnsi="Times New Roman"/>
          <w:color w:val="000000" w:themeColor="text1"/>
          <w:sz w:val="16"/>
          <w:szCs w:val="16"/>
        </w:rPr>
        <w:softHyphen/>
        <w:t>ников, в то же время имелись случаи прямого нарушения наставления по боевому использованию бронепоездов, что привело к большому проценту потерь материальной части.</w:t>
      </w:r>
    </w:p>
    <w:p w14:paraId="4233BB5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Настоящий обзор боевых действий представляет суммарный собранный материал по отдельным наи</w:t>
      </w:r>
      <w:r w:rsidRPr="00D03F3E">
        <w:rPr>
          <w:rFonts w:ascii="Times New Roman" w:hAnsi="Times New Roman"/>
          <w:color w:val="000000" w:themeColor="text1"/>
          <w:sz w:val="16"/>
          <w:szCs w:val="16"/>
        </w:rPr>
        <w:softHyphen/>
        <w:t>более характерным боевым эпизодам, проведенным бронепоездами за 2-й год Отечественной войны.</w:t>
      </w:r>
    </w:p>
    <w:p w14:paraId="55A6BD0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 боевых действий бронепоездов за 1 -и и 2-й годы Отечественной войны должен привести к окончательному изжитию имевших место ошибок применения и использования бронепоездных частей в грядущих решающих боях Красной Армии с немецко-фашистскими бандами.</w:t>
      </w:r>
    </w:p>
    <w:p w14:paraId="78AE161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управления бронепоездов и бронемашин ГБТУ КА</w:t>
      </w:r>
    </w:p>
    <w:p w14:paraId="4991A5A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генерал-майор танковых войск Чернов</w:t>
      </w:r>
    </w:p>
    <w:p w14:paraId="738CCDE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11358. Д. 122. Л. 3-4. Подлинник (11403).</w:t>
      </w:r>
    </w:p>
    <w:p w14:paraId="7BC4401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DC2B5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г. вышел ПРИКАЗ № 0384 ОБ УСТАНОВЛЕНИИ НОРМЫ ДОВОЛЬСТВИЯ ПОДРАЗДЕЛЕНИЙ ВОЙСКОВОЙ РАЗВЕДКИ НА ФРОНТЕ</w:t>
      </w:r>
    </w:p>
    <w:p w14:paraId="4377993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Учитывая ряд ходатайств военных советов фронтов и просьбу начальника Разведывательного управления Генерального штаба Красной Армии генерал-лейтенанта Кузнецова Ф. Ф., во изменение приказа НКО № 0072 от 19 апреля с. г. приказываю:</w:t>
      </w:r>
    </w:p>
    <w:p w14:paraId="5E3DF9C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Подразделения войсковой разведки на фронте довольствовать не по норме № 9, как указано в приказе, а по норме № 1, с выдачей дополнительно к норме № 1: </w:t>
      </w:r>
    </w:p>
    <w:p w14:paraId="0AA3E12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Сахара</w:t>
      </w:r>
      <w:r w:rsidRPr="00D03F3E">
        <w:rPr>
          <w:rFonts w:ascii="Times New Roman" w:hAnsi="Times New Roman"/>
          <w:color w:val="000000" w:themeColor="text1"/>
          <w:sz w:val="16"/>
          <w:szCs w:val="16"/>
        </w:rPr>
        <w:tab/>
        <w:t>— 15 граммов</w:t>
      </w:r>
    </w:p>
    <w:p w14:paraId="4C01157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Сала-шпиг</w:t>
      </w:r>
      <w:r w:rsidRPr="00D03F3E">
        <w:rPr>
          <w:rFonts w:ascii="Times New Roman" w:hAnsi="Times New Roman"/>
          <w:color w:val="000000" w:themeColor="text1"/>
          <w:sz w:val="16"/>
          <w:szCs w:val="16"/>
        </w:rPr>
        <w:tab/>
        <w:t>— 25 ”</w:t>
      </w:r>
    </w:p>
    <w:p w14:paraId="60A16BF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Хлеба</w:t>
      </w:r>
      <w:r w:rsidRPr="00D03F3E">
        <w:rPr>
          <w:rFonts w:ascii="Times New Roman" w:hAnsi="Times New Roman"/>
          <w:color w:val="000000" w:themeColor="text1"/>
          <w:sz w:val="16"/>
          <w:szCs w:val="16"/>
        </w:rPr>
        <w:tab/>
        <w:t>— 100 ”</w:t>
      </w:r>
    </w:p>
    <w:p w14:paraId="2BB6E41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Водки</w:t>
      </w:r>
      <w:r w:rsidRPr="00D03F3E">
        <w:rPr>
          <w:rFonts w:ascii="Times New Roman" w:hAnsi="Times New Roman"/>
          <w:color w:val="000000" w:themeColor="text1"/>
          <w:sz w:val="16"/>
          <w:szCs w:val="16"/>
        </w:rPr>
        <w:tab/>
        <w:t>— 100 ”</w:t>
      </w:r>
    </w:p>
    <w:p w14:paraId="2259945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Водку выдавать только в дни выполнения боевых заданий.</w:t>
      </w:r>
    </w:p>
    <w:p w14:paraId="619C676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Народный комиссар обороны</w:t>
      </w:r>
    </w:p>
    <w:p w14:paraId="4836E0A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Маршал Советского Союза И. СТАЛИН</w:t>
      </w:r>
      <w:r w:rsidRPr="00D03F3E">
        <w:rPr>
          <w:rFonts w:ascii="Times New Roman" w:hAnsi="Times New Roman"/>
          <w:color w:val="000000" w:themeColor="text1"/>
          <w:sz w:val="16"/>
          <w:szCs w:val="16"/>
        </w:rPr>
        <w:t xml:space="preserve"> (9844).</w:t>
      </w:r>
    </w:p>
    <w:p w14:paraId="7C5586D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23B37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вышло Постановление ГКО № 3632 О включении в норму снабжения личного состава Красной Армии носовых платков.РГАНИР, Фонд ГКО, д. 128, лл. 67 (11012).</w:t>
      </w:r>
    </w:p>
    <w:p w14:paraId="0CA8945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501C7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в 1943 году в Пскове проведен военный парад русских войск СС под трехцветным бело-сине-красным флагом (14930).</w:t>
      </w:r>
    </w:p>
    <w:p w14:paraId="2E618815" w14:textId="77777777" w:rsidR="00B8369C" w:rsidRPr="00D03F3E" w:rsidRDefault="00B8369C" w:rsidP="00D03F3E">
      <w:pPr>
        <w:spacing w:after="0" w:line="240" w:lineRule="auto"/>
        <w:jc w:val="both"/>
        <w:rPr>
          <w:rFonts w:ascii="Times New Roman" w:hAnsi="Times New Roman"/>
          <w:color w:val="000000" w:themeColor="text1"/>
          <w:sz w:val="16"/>
          <w:szCs w:val="16"/>
        </w:rPr>
      </w:pPr>
    </w:p>
    <w:p w14:paraId="6EAE4898"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2F23ED8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5CF74B"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в Москве открылась выставка трофейного оружия (4962).</w:t>
      </w:r>
    </w:p>
    <w:p w14:paraId="5987AD25"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0A476C" w14:textId="77777777" w:rsidR="00DA7763" w:rsidRPr="00D03F3E" w:rsidRDefault="00DA776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В ЦПКиО им. М. Горького открылась выставка трофейного оружия. До конца войны она постоянно пополнялась новыми трофеями. Билет на выставку стоил 1 рубль, для красноармейцев, инвалидов войны и детей - 20 копеек (18693).</w:t>
      </w:r>
    </w:p>
    <w:p w14:paraId="3662D20D" w14:textId="77777777" w:rsidR="00DA7763" w:rsidRPr="00D03F3E" w:rsidRDefault="00DA7763" w:rsidP="00D03F3E">
      <w:pPr>
        <w:spacing w:after="0" w:line="240" w:lineRule="auto"/>
        <w:jc w:val="both"/>
        <w:rPr>
          <w:rFonts w:ascii="Times New Roman" w:hAnsi="Times New Roman"/>
          <w:color w:val="000000" w:themeColor="text1"/>
          <w:sz w:val="16"/>
          <w:szCs w:val="16"/>
        </w:rPr>
      </w:pPr>
    </w:p>
    <w:p w14:paraId="08211212" w14:textId="77777777" w:rsidR="00DA7763" w:rsidRPr="00D03F3E" w:rsidRDefault="00DA776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22 июня 1943 года по 1 октября 1948 года в ЦПКиО им. М. Горького в Москве работала выставка трофейного оружия. За время её существования выставку посетили более 7,5 миллионов человек.</w:t>
      </w:r>
    </w:p>
    <w:p w14:paraId="77BEEBBE" w14:textId="77777777" w:rsidR="00DA7763" w:rsidRPr="00D03F3E" w:rsidRDefault="00DA776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 о создании выставки принято Государственным Комитетом Обороны 13 апреля 1943 года.</w:t>
      </w:r>
    </w:p>
    <w:p w14:paraId="7266C27E" w14:textId="77777777" w:rsidR="00DA7763" w:rsidRPr="00D03F3E" w:rsidRDefault="00DA776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Начальником выставки был назначен генерал-майор Иванов.</w:t>
      </w:r>
    </w:p>
    <w:p w14:paraId="6B406052" w14:textId="77777777" w:rsidR="00DA7763" w:rsidRPr="00D03F3E" w:rsidRDefault="00DA7763"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Крупногабаритные экспонаты — тяжёлая техника и инженерное оборудование — размещались под открытым небом в парке и вдоль набережной Москва-реки, экспонаты меньших размеров, а также хрупкие — стрелковое вооружение, радиостанции,обмундирование, знамёна, награды — в двух крытых павильонах (19202).</w:t>
      </w:r>
    </w:p>
    <w:p w14:paraId="1FBC1012" w14:textId="77777777" w:rsidR="00DA7763" w:rsidRPr="00D03F3E" w:rsidRDefault="00DA7763" w:rsidP="00D03F3E">
      <w:pPr>
        <w:spacing w:after="0" w:line="240" w:lineRule="auto"/>
        <w:jc w:val="both"/>
        <w:rPr>
          <w:rFonts w:ascii="Times New Roman" w:hAnsi="Times New Roman"/>
          <w:color w:val="000000" w:themeColor="text1"/>
          <w:sz w:val="16"/>
          <w:szCs w:val="16"/>
        </w:rPr>
      </w:pPr>
    </w:p>
    <w:p w14:paraId="0CC133C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в Москве в Парке Горького открылась выставка трофейной техники и ее посетил И.В.С. вместе с Г.М.Малиновским, Г.М,Маленковым, К.Е.В. и конструктором А.И.М. Были и Н-129 и Ю-87 (2466,103).</w:t>
      </w:r>
    </w:p>
    <w:p w14:paraId="6AEBCD0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24814B"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в 1943 году в Москве в ЦПКиО имени Горького открылась выставка образцов трофейного вооружения, захваченного у врага. До конца войны она пополнялась новыми экспонатами, которых к 800-летию Москвы (1947 г.) скопилось до 7 тысяч (14930).</w:t>
      </w:r>
    </w:p>
    <w:p w14:paraId="5A8103AB" w14:textId="77777777" w:rsidR="00B8369C" w:rsidRPr="00D03F3E" w:rsidRDefault="00B8369C" w:rsidP="00D03F3E">
      <w:pPr>
        <w:spacing w:after="0" w:line="240" w:lineRule="auto"/>
        <w:jc w:val="both"/>
        <w:rPr>
          <w:rFonts w:ascii="Times New Roman" w:hAnsi="Times New Roman"/>
          <w:color w:val="000000" w:themeColor="text1"/>
          <w:sz w:val="16"/>
          <w:szCs w:val="16"/>
        </w:rPr>
      </w:pPr>
    </w:p>
    <w:p w14:paraId="2276A6D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22 и 29 июня 1943. Из протокола заседания Политбюро N 41, 1943 г.</w:t>
      </w:r>
    </w:p>
    <w:p w14:paraId="3CEB594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Об отсрочке выборов в Верховные Советы союзных и автономных республик </w:t>
      </w:r>
    </w:p>
    <w:p w14:paraId="2BCCC41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Ввиду обстоятельств военного времени отложить еще на один год выборы в Верховные Советы союзных и автономных республик. Продлить на указанный срок полномочия Верховных Советов союзных и автономных республик первого созыва (11652).</w:t>
      </w:r>
    </w:p>
    <w:p w14:paraId="698BBB9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A9494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22 и 29 июня 1943. Из протокола заседания Политбюро N 41, 1943 г.</w:t>
      </w:r>
    </w:p>
    <w:p w14:paraId="696D216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Вопрос ЦК КП(б) Украины </w:t>
      </w:r>
    </w:p>
    <w:p w14:paraId="1AA83D6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Решение ЦК ВКП(б) от 2 окт. 1942 года о сформировании узкого нелегального ЦК КП(б)У отменить. Руководство партизанским движением и подпольными партийными организациями на Украине возложить на ЦК КП(б)У (11652).</w:t>
      </w:r>
    </w:p>
    <w:p w14:paraId="4347392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679C1B" w14:textId="77777777" w:rsidR="00B8369C"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07DC679E" w14:textId="77777777" w:rsidR="00B8369C" w:rsidRPr="00D03F3E" w:rsidRDefault="00B8369C"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7FC78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в 1943 году состоялось первое во Второй мировой войне награждение советских воинов иностранными наградами. Президент США Ф.Д.Рузвельт вручил группе советских моряков, участвовавших в проводке Северных конвоев, ордена "Морской крест" и "За выдающиеся заслуги" (14930).</w:t>
      </w:r>
    </w:p>
    <w:p w14:paraId="1A16698D" w14:textId="77777777" w:rsidR="00B8369C" w:rsidRPr="00D03F3E" w:rsidRDefault="00B8369C" w:rsidP="00D03F3E">
      <w:pPr>
        <w:spacing w:after="0" w:line="240" w:lineRule="auto"/>
        <w:jc w:val="both"/>
        <w:rPr>
          <w:rFonts w:ascii="Times New Roman" w:hAnsi="Times New Roman"/>
          <w:color w:val="000000" w:themeColor="text1"/>
          <w:sz w:val="16"/>
          <w:szCs w:val="16"/>
        </w:rPr>
      </w:pPr>
    </w:p>
    <w:p w14:paraId="68DC0217"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в 1943 году президент США Фр.Д.Рузвельт наградил группу советских моряков, участвовавших в проводке Северных морских конвоев, орденами «Морской крест» и «За выдающиеся заслуги» (первое в истории награждение советских военнослужащих иностранными наградами) (14930).</w:t>
      </w:r>
    </w:p>
    <w:p w14:paraId="5B490B37" w14:textId="77777777" w:rsidR="00B8369C" w:rsidRPr="00D03F3E" w:rsidRDefault="00B8369C" w:rsidP="00D03F3E">
      <w:pPr>
        <w:spacing w:after="0" w:line="240" w:lineRule="auto"/>
        <w:jc w:val="both"/>
        <w:rPr>
          <w:rFonts w:ascii="Times New Roman" w:hAnsi="Times New Roman"/>
          <w:color w:val="000000" w:themeColor="text1"/>
          <w:sz w:val="16"/>
          <w:szCs w:val="16"/>
        </w:rPr>
      </w:pPr>
    </w:p>
    <w:p w14:paraId="1C40152C"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61790AC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28B637" w14:textId="77777777" w:rsidR="00E9551A" w:rsidRPr="00D03F3E" w:rsidRDefault="00E9551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22 июня 1943 чтобы лучше защитить Сицилию от воздушного нападения союзников, Италия и Германия соглашаются вывести все свои бомбардировщики с Сицилии и все, кроме нескольких, с Сардинии, сосредоточившись вместо этого на боевых операциях на Сицилии и южной Сардинии (20376).</w:t>
      </w:r>
    </w:p>
    <w:p w14:paraId="60E3135A" w14:textId="77777777" w:rsidR="00E9551A" w:rsidRPr="00D03F3E" w:rsidRDefault="00E9551A" w:rsidP="00D03F3E">
      <w:pPr>
        <w:spacing w:after="0" w:line="240" w:lineRule="auto"/>
        <w:jc w:val="both"/>
        <w:rPr>
          <w:rFonts w:ascii="Times New Roman" w:hAnsi="Times New Roman"/>
          <w:color w:val="0070C0"/>
          <w:sz w:val="16"/>
          <w:szCs w:val="16"/>
        </w:rPr>
      </w:pPr>
    </w:p>
    <w:p w14:paraId="7BA0682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22 1943 United States Eighth Air Force makes its first large-scale daylight raid on Ruhr area (1037).</w:t>
      </w:r>
    </w:p>
    <w:p w14:paraId="53C8D93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B42EC2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8ВА выполнила первый массовый дневной налет в район Рура (1037).</w:t>
      </w:r>
    </w:p>
    <w:p w14:paraId="316B4D3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7E332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22 June 1943 The Allied invasion of Sicily.</w:t>
      </w:r>
    </w:p>
    <w:p w14:paraId="107C9EB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7E23DA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1943 началось вторжение на Сицилию.</w:t>
      </w:r>
    </w:p>
    <w:p w14:paraId="5D651C9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05D72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 июня в ночь на 23 июня 1944 англичане и итальянцы атаковали с использованием управляемых торпед немецкие корабли и суда в порте Специя. Уничтожили ремонтирующийся в доку тяжелый крейсер Больцано (10000 т). Через несколько дней сильно повредили тяжелый крейсер Гориция (3961, 66).</w:t>
      </w:r>
    </w:p>
    <w:p w14:paraId="7A1B729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071380"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C83BB7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BC87C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июня 1943 Командующий ВВС КА маршал А.А.Новиков и Член военного совета г-л Н.С.Шиманов утвердили Инструкция по ведению воздушного боя на самолете Ил-2 (311).</w:t>
      </w:r>
    </w:p>
    <w:p w14:paraId="7FB176D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инструкции основным назначением штурмовой авиации, вооруженной Ил-2, является действие по наземным целям противника (311). Однако, ЛТД самолета обеспечивают возможность вести активные оборонительные действия против истребителей противника и в случае необходимости вступать и вести успешные воздушные бои с бомбардировочной и транспортной авиацией (311).</w:t>
      </w:r>
    </w:p>
    <w:p w14:paraId="5629140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Поэтому строи и боевые порядки штурмовиков в полете к цели, над целью и при возвращении с задания должны обеспечивать быстроту и удобство перестроения для активного оборонительного боя с истребителями или атак бомбардировщиков и транспортных самолетов. Оптимальной с точки зрения обеспечения возможности одновременных действий по заданным целям, легкости в управлении группой и организации надежного огневого противодействия истребителям признана группа в составе шести-восьми экипажей, а основой боевого порядка является пара (311).</w:t>
      </w:r>
    </w:p>
    <w:p w14:paraId="00F36A5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Летчику при атаках истребителей рекомендовано ни в коем случае не уходить прямолинейным полетом. В процессе ведения воздушного боя наибольшую активную обороноспособность обеспечивают боевые порядки "змейка", "круг", "ножницы" (двойная змейка). Большое значение для управления и оповещения имеет радиосвязь. Выход из строя без уважительных причин является преступлением (311).</w:t>
      </w:r>
    </w:p>
    <w:p w14:paraId="1542DB0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Каждый экипаж должен быть подготовлен вести одиночный воздушный бой с самолетами всех типов. Следует стремиться вести бой на малой высоте и уменьшенной скорости (250-270 км/ч). Основа активного оборонительного боя одиночного самолета является вираж на высотах до 50-100 м. Огонь открывается с дальности не более 300-400 м (311).</w:t>
      </w:r>
    </w:p>
    <w:p w14:paraId="40DA66F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AC6CD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июня 1943 С.В.И. писал нач. секретариата НКАП Фирсаеву письмо N 1/699с:</w:t>
      </w:r>
    </w:p>
    <w:p w14:paraId="12D7DC6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сем направляю Вам доложенное наркому письмо и подписанный проект приказа о постройке самолета Ил-6 с М-71 на заводе 39 для рассылки его адресатам" (1775,85).</w:t>
      </w:r>
    </w:p>
    <w:p w14:paraId="7E30328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0EC18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Еще одно подтверждение, что С.В.И. всегда готовил проекты приказов сам.</w:t>
      </w:r>
    </w:p>
    <w:p w14:paraId="43232E4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июня 1943 С.В.И. писал наркому А.И.Ш. письмо N 1/699с:</w:t>
      </w:r>
    </w:p>
    <w:p w14:paraId="37B382F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"Вследствие того, что самолет Ил-6 был спроектирован под мотор М-71 прошу Вашего разрешения о постройке одного самолета Ил-6 с М-71 на заводе 39. Основные данные самолета Ил-6 2М-71: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3544"/>
        <w:gridCol w:w="3402"/>
      </w:tblGrid>
      <w:tr w:rsidR="00860B4B" w:rsidRPr="00D03F3E" w14:paraId="14028FBA" w14:textId="77777777">
        <w:tc>
          <w:tcPr>
            <w:tcW w:w="3652" w:type="dxa"/>
          </w:tcPr>
          <w:p w14:paraId="7CB4B69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3BCCBB4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Нормальный вариант</w:t>
            </w:r>
          </w:p>
        </w:tc>
        <w:tc>
          <w:tcPr>
            <w:tcW w:w="3402" w:type="dxa"/>
          </w:tcPr>
          <w:p w14:paraId="3839947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Перегрузочный вариант</w:t>
            </w:r>
          </w:p>
        </w:tc>
      </w:tr>
      <w:tr w:rsidR="00860B4B" w:rsidRPr="00D03F3E" w14:paraId="02EB8936" w14:textId="77777777">
        <w:tc>
          <w:tcPr>
            <w:tcW w:w="3652" w:type="dxa"/>
          </w:tcPr>
          <w:p w14:paraId="41507FE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Ск. макс. на 5500 м</w:t>
            </w:r>
          </w:p>
        </w:tc>
        <w:tc>
          <w:tcPr>
            <w:tcW w:w="3544" w:type="dxa"/>
          </w:tcPr>
          <w:p w14:paraId="484796A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475</w:t>
            </w:r>
          </w:p>
        </w:tc>
        <w:tc>
          <w:tcPr>
            <w:tcW w:w="3402" w:type="dxa"/>
          </w:tcPr>
          <w:p w14:paraId="7D6ABD4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465</w:t>
            </w:r>
          </w:p>
        </w:tc>
      </w:tr>
      <w:tr w:rsidR="00860B4B" w:rsidRPr="00D03F3E" w14:paraId="7FEE9565" w14:textId="77777777">
        <w:tc>
          <w:tcPr>
            <w:tcW w:w="3652" w:type="dxa"/>
          </w:tcPr>
          <w:p w14:paraId="20FB966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Бомбовая нагрузка</w:t>
            </w:r>
          </w:p>
        </w:tc>
        <w:tc>
          <w:tcPr>
            <w:tcW w:w="3544" w:type="dxa"/>
          </w:tcPr>
          <w:p w14:paraId="6EC52F8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w:t>
            </w:r>
          </w:p>
        </w:tc>
        <w:tc>
          <w:tcPr>
            <w:tcW w:w="3402" w:type="dxa"/>
          </w:tcPr>
          <w:p w14:paraId="1DBD3D8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w:t>
            </w:r>
          </w:p>
        </w:tc>
      </w:tr>
      <w:tr w:rsidR="00860B4B" w:rsidRPr="00D03F3E" w14:paraId="646114D8" w14:textId="77777777">
        <w:tc>
          <w:tcPr>
            <w:tcW w:w="3652" w:type="dxa"/>
          </w:tcPr>
          <w:p w14:paraId="7EE641B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Дальность на 350 при 10%</w:t>
            </w:r>
          </w:p>
        </w:tc>
        <w:tc>
          <w:tcPr>
            <w:tcW w:w="3544" w:type="dxa"/>
          </w:tcPr>
          <w:p w14:paraId="62741DC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w:t>
            </w:r>
          </w:p>
        </w:tc>
        <w:tc>
          <w:tcPr>
            <w:tcW w:w="3402" w:type="dxa"/>
          </w:tcPr>
          <w:p w14:paraId="1BA6ADA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3500</w:t>
            </w:r>
          </w:p>
        </w:tc>
      </w:tr>
      <w:tr w:rsidR="00860B4B" w:rsidRPr="00D03F3E" w14:paraId="2F1096A3" w14:textId="77777777">
        <w:tc>
          <w:tcPr>
            <w:tcW w:w="3652" w:type="dxa"/>
          </w:tcPr>
          <w:p w14:paraId="7B69843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Потолок над местом атаки</w:t>
            </w:r>
          </w:p>
        </w:tc>
        <w:tc>
          <w:tcPr>
            <w:tcW w:w="3544" w:type="dxa"/>
          </w:tcPr>
          <w:p w14:paraId="1A0366A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9000</w:t>
            </w:r>
          </w:p>
        </w:tc>
        <w:tc>
          <w:tcPr>
            <w:tcW w:w="3402" w:type="dxa"/>
          </w:tcPr>
          <w:p w14:paraId="0F86525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8000</w:t>
            </w:r>
          </w:p>
        </w:tc>
      </w:tr>
      <w:tr w:rsidR="00860B4B" w:rsidRPr="00D03F3E" w14:paraId="69F15ABC" w14:textId="77777777">
        <w:tc>
          <w:tcPr>
            <w:tcW w:w="3652" w:type="dxa"/>
          </w:tcPr>
          <w:p w14:paraId="2A6FC14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Экипаж</w:t>
            </w:r>
          </w:p>
        </w:tc>
        <w:tc>
          <w:tcPr>
            <w:tcW w:w="3544" w:type="dxa"/>
          </w:tcPr>
          <w:p w14:paraId="1C57C23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3402" w:type="dxa"/>
          </w:tcPr>
          <w:p w14:paraId="6DC2EC5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r>
      <w:tr w:rsidR="00860B4B" w:rsidRPr="00D03F3E" w14:paraId="7579438B" w14:textId="77777777">
        <w:tc>
          <w:tcPr>
            <w:tcW w:w="3652" w:type="dxa"/>
          </w:tcPr>
          <w:p w14:paraId="6B32C0D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Вооружение</w:t>
            </w:r>
          </w:p>
        </w:tc>
        <w:tc>
          <w:tcPr>
            <w:tcW w:w="3544" w:type="dxa"/>
          </w:tcPr>
          <w:p w14:paraId="151C596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5хБерезина</w:t>
            </w:r>
          </w:p>
        </w:tc>
        <w:tc>
          <w:tcPr>
            <w:tcW w:w="3402" w:type="dxa"/>
          </w:tcPr>
          <w:p w14:paraId="7B9DF2D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5хБерезина</w:t>
            </w:r>
          </w:p>
        </w:tc>
      </w:tr>
      <w:tr w:rsidR="00860B4B" w:rsidRPr="00D03F3E" w14:paraId="01320078" w14:textId="77777777">
        <w:tc>
          <w:tcPr>
            <w:tcW w:w="3652" w:type="dxa"/>
          </w:tcPr>
          <w:p w14:paraId="4821230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Дальность с 1000</w:t>
            </w:r>
          </w:p>
        </w:tc>
        <w:tc>
          <w:tcPr>
            <w:tcW w:w="3544" w:type="dxa"/>
          </w:tcPr>
          <w:p w14:paraId="3A48D2C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402" w:type="dxa"/>
          </w:tcPr>
          <w:p w14:paraId="16CAE7F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4000</w:t>
            </w:r>
          </w:p>
        </w:tc>
      </w:tr>
      <w:tr w:rsidR="00860B4B" w:rsidRPr="00D03F3E" w14:paraId="7F5CF11D" w14:textId="77777777">
        <w:tc>
          <w:tcPr>
            <w:tcW w:w="3652" w:type="dxa"/>
          </w:tcPr>
          <w:p w14:paraId="7648BA3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Дальность с 4000</w:t>
            </w:r>
          </w:p>
        </w:tc>
        <w:tc>
          <w:tcPr>
            <w:tcW w:w="3544" w:type="dxa"/>
          </w:tcPr>
          <w:p w14:paraId="5F1D63F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058FF95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1500</w:t>
            </w:r>
          </w:p>
        </w:tc>
      </w:tr>
    </w:tbl>
    <w:p w14:paraId="2B9AF16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проект приказа (1775,86).</w:t>
      </w:r>
    </w:p>
    <w:p w14:paraId="722CC13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FDDE1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июня 1943 был подписан акт НИИ ВВС по гос. испытаниям самолетов Ер-2 с 2хМ-30Б (1749,122), но с устранением дефектов и замечаний. Испытания этой машины 39 завода велись в январе-мае 1943 (2865,10).</w:t>
      </w:r>
    </w:p>
    <w:p w14:paraId="5B3DA9F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AE368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с 23 на 24 июня 1943 немцы сильно разбомбили 292 завод и выпуск восстановили только через 80 дней (65,41).</w:t>
      </w:r>
    </w:p>
    <w:p w14:paraId="216DE18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72031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23-24 июня 1943 разбомбили завод 292 в Саратове и он почти полностью сгорел, но 29 июня производство возобновили (198,28).</w:t>
      </w:r>
    </w:p>
    <w:p w14:paraId="23EE27C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79F37D" w14:textId="77777777" w:rsidR="00A64C54" w:rsidRPr="00D03F3E" w:rsidRDefault="00A64C5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с 23 на 24 июня 1943 авиазавод № 292 (Саратов) подвергся бомбардировке. Участвовавшие в этом рейде самолеты 4-й воздушной армии люфтваффе пытались буквально сравнять предприятие с землей. Были разрушены наиболее важные производственные цеха и участки завода, а общий нанесенный ему ущерб составил более 100 млн. руб. П.В. Дементьев даже привез постановление ГКО о переводе завода в Омск. Однако всего после двух в половиной месяцев «ударной фронтовой вахты» предприятие не только было полностью восстановлено, но и расширило производство (18305).</w:t>
      </w:r>
    </w:p>
    <w:p w14:paraId="1B7EBA3C" w14:textId="77777777" w:rsidR="00A64C54" w:rsidRPr="00D03F3E" w:rsidRDefault="00A64C54" w:rsidP="00D03F3E">
      <w:pPr>
        <w:spacing w:after="0" w:line="240" w:lineRule="auto"/>
        <w:jc w:val="both"/>
        <w:rPr>
          <w:rFonts w:ascii="Times New Roman" w:hAnsi="Times New Roman"/>
          <w:color w:val="000000" w:themeColor="text1"/>
          <w:sz w:val="16"/>
          <w:szCs w:val="16"/>
        </w:rPr>
      </w:pPr>
    </w:p>
    <w:p w14:paraId="67BB4FA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с 23 на 24 июня 1943 г. завод № 292 подвергся бомбардировке и почти полностью сгорел. Полы этого завода, строившегося как завод комбайнов, были набраны из деревянных чурбаков, уложенных торцами вверх. За время прошедшее со дня постройки завода они промаслились и оказались хорошим горючим материалом. Потери в персонале завода составили 11 человек убитыми и 40 ранеными. Было разрушено 47 тысяч кв.м производственных площадей, что составляло 64,4 % зданий завода, выведено из строя 446 станков (из них 195 можно было восстановить). Полностью вышли из строя 9 цехов (крыльевой, опалубки фюзеляжей, слесарно-сварочный, заготовительный дюралевой штамповки, цех капотов, рулей и водо- маслогондол, термический, оснастки и приспособлений, инструментальный, ремонта станочного оборудования), три мастерские (стабилизаторов и гаргротов, пошивочная и обойно-шторная, гальванических покрытий), а также центральный склад, склад фанеры и лаборатория статиспыта- ний. Частично были разрушены цеха: сборочный, механический и шасси, сварки фюзеляжей и малярные мастерские. В сборочном цехе полностью сгорели шесть Як-1 и еще 8 самолетов и фюзеляжей пострадали от осколков.</w:t>
      </w:r>
    </w:p>
    <w:p w14:paraId="17EB07C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Уже 29 июня производство возобновилось. В разрушенных цехах, в наспех построенных шалашах, в палатках, аэродромных ангарах из отвоеванных у пожара узлов, деталей, агрегатов началась сборка и сдача самолетов. Для восстановления завода в Саратов прибыли лучшие строительные коллективы НКАП. С других заводов передали 190 станков. Задание ГКО - восстановить производство истребителей к 1 октября 1943 г. до уровня, предшествовавшего бомбардировке, - коллектив завода выполнил досрочно, к 13 сентября. Восстановлению завода всего за два с половиной месяца помогло то, что при бомбардировке и пожаре не пострадали основные энергетические и другие магистрали. Более того, завод был не только восстановлен, но и расширен, его мощность увеличилась (табл.7). За выполнение и перевыполнение плана по выпуску самолетов в сентябре 1943 г. заводу было вручено Переходящее Красное знамя ГКО, которое завод удерживал еще много месяцев подряд.</w:t>
      </w:r>
    </w:p>
    <w:p w14:paraId="2E95C51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Выпуск истребителей Як-1 заводом № 292 в 1943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0"/>
        <w:gridCol w:w="800"/>
        <w:gridCol w:w="800"/>
        <w:gridCol w:w="800"/>
        <w:gridCol w:w="800"/>
        <w:gridCol w:w="800"/>
        <w:gridCol w:w="800"/>
        <w:gridCol w:w="800"/>
        <w:gridCol w:w="800"/>
        <w:gridCol w:w="800"/>
        <w:gridCol w:w="800"/>
        <w:gridCol w:w="800"/>
        <w:gridCol w:w="800"/>
        <w:gridCol w:w="800"/>
      </w:tblGrid>
      <w:tr w:rsidR="00860B4B" w:rsidRPr="00D03F3E" w14:paraId="58D08862" w14:textId="77777777">
        <w:tc>
          <w:tcPr>
            <w:tcW w:w="800" w:type="dxa"/>
            <w:tcBorders>
              <w:top w:val="single" w:sz="12" w:space="0" w:color="auto"/>
            </w:tcBorders>
          </w:tcPr>
          <w:p w14:paraId="42B6E9D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Borders>
              <w:top w:val="single" w:sz="12" w:space="0" w:color="auto"/>
            </w:tcBorders>
          </w:tcPr>
          <w:p w14:paraId="7E3662F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Январь</w:t>
            </w:r>
          </w:p>
        </w:tc>
        <w:tc>
          <w:tcPr>
            <w:tcW w:w="800" w:type="dxa"/>
            <w:tcBorders>
              <w:top w:val="single" w:sz="12" w:space="0" w:color="auto"/>
            </w:tcBorders>
          </w:tcPr>
          <w:p w14:paraId="07800AA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Февраль</w:t>
            </w:r>
          </w:p>
        </w:tc>
        <w:tc>
          <w:tcPr>
            <w:tcW w:w="800" w:type="dxa"/>
            <w:tcBorders>
              <w:top w:val="single" w:sz="12" w:space="0" w:color="auto"/>
            </w:tcBorders>
          </w:tcPr>
          <w:p w14:paraId="56258FF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Март</w:t>
            </w:r>
          </w:p>
        </w:tc>
        <w:tc>
          <w:tcPr>
            <w:tcW w:w="800" w:type="dxa"/>
            <w:tcBorders>
              <w:top w:val="single" w:sz="12" w:space="0" w:color="auto"/>
            </w:tcBorders>
          </w:tcPr>
          <w:p w14:paraId="7A11EF9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Апрель</w:t>
            </w:r>
          </w:p>
        </w:tc>
        <w:tc>
          <w:tcPr>
            <w:tcW w:w="800" w:type="dxa"/>
            <w:tcBorders>
              <w:top w:val="single" w:sz="12" w:space="0" w:color="auto"/>
            </w:tcBorders>
          </w:tcPr>
          <w:p w14:paraId="1D22734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Май</w:t>
            </w:r>
          </w:p>
        </w:tc>
        <w:tc>
          <w:tcPr>
            <w:tcW w:w="800" w:type="dxa"/>
            <w:tcBorders>
              <w:top w:val="single" w:sz="12" w:space="0" w:color="auto"/>
            </w:tcBorders>
          </w:tcPr>
          <w:p w14:paraId="4DACBCB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Июнь</w:t>
            </w:r>
          </w:p>
        </w:tc>
        <w:tc>
          <w:tcPr>
            <w:tcW w:w="800" w:type="dxa"/>
            <w:tcBorders>
              <w:top w:val="single" w:sz="12" w:space="0" w:color="auto"/>
            </w:tcBorders>
          </w:tcPr>
          <w:p w14:paraId="76D0771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Июль</w:t>
            </w:r>
          </w:p>
        </w:tc>
        <w:tc>
          <w:tcPr>
            <w:tcW w:w="800" w:type="dxa"/>
            <w:tcBorders>
              <w:top w:val="single" w:sz="12" w:space="0" w:color="auto"/>
            </w:tcBorders>
          </w:tcPr>
          <w:p w14:paraId="3676B46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Август</w:t>
            </w:r>
          </w:p>
        </w:tc>
        <w:tc>
          <w:tcPr>
            <w:tcW w:w="800" w:type="dxa"/>
            <w:tcBorders>
              <w:top w:val="single" w:sz="12" w:space="0" w:color="auto"/>
            </w:tcBorders>
          </w:tcPr>
          <w:p w14:paraId="02F3D30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Сентябрь</w:t>
            </w:r>
          </w:p>
        </w:tc>
        <w:tc>
          <w:tcPr>
            <w:tcW w:w="800" w:type="dxa"/>
            <w:tcBorders>
              <w:top w:val="single" w:sz="12" w:space="0" w:color="auto"/>
            </w:tcBorders>
          </w:tcPr>
          <w:p w14:paraId="5EF34D7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Октябрь</w:t>
            </w:r>
          </w:p>
        </w:tc>
        <w:tc>
          <w:tcPr>
            <w:tcW w:w="800" w:type="dxa"/>
            <w:tcBorders>
              <w:top w:val="single" w:sz="12" w:space="0" w:color="auto"/>
            </w:tcBorders>
          </w:tcPr>
          <w:p w14:paraId="36EFC89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Ноябрь</w:t>
            </w:r>
          </w:p>
        </w:tc>
        <w:tc>
          <w:tcPr>
            <w:tcW w:w="800" w:type="dxa"/>
            <w:tcBorders>
              <w:top w:val="single" w:sz="12" w:space="0" w:color="auto"/>
            </w:tcBorders>
          </w:tcPr>
          <w:p w14:paraId="27EF2B1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Декабрь</w:t>
            </w:r>
          </w:p>
        </w:tc>
        <w:tc>
          <w:tcPr>
            <w:tcW w:w="800" w:type="dxa"/>
            <w:tcBorders>
              <w:top w:val="single" w:sz="12" w:space="0" w:color="auto"/>
            </w:tcBorders>
          </w:tcPr>
          <w:p w14:paraId="1D54C9D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tc>
      </w:tr>
      <w:tr w:rsidR="00860B4B" w:rsidRPr="00D03F3E" w14:paraId="536C50BB" w14:textId="77777777">
        <w:tc>
          <w:tcPr>
            <w:tcW w:w="800" w:type="dxa"/>
          </w:tcPr>
          <w:p w14:paraId="530D0FC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План выпуска</w:t>
            </w:r>
          </w:p>
        </w:tc>
        <w:tc>
          <w:tcPr>
            <w:tcW w:w="800" w:type="dxa"/>
          </w:tcPr>
          <w:p w14:paraId="3723795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290+30 </w:t>
            </w:r>
          </w:p>
        </w:tc>
        <w:tc>
          <w:tcPr>
            <w:tcW w:w="800" w:type="dxa"/>
          </w:tcPr>
          <w:p w14:paraId="66F3115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206 +40</w:t>
            </w:r>
          </w:p>
        </w:tc>
        <w:tc>
          <w:tcPr>
            <w:tcW w:w="800" w:type="dxa"/>
          </w:tcPr>
          <w:p w14:paraId="15EC1CE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261</w:t>
            </w:r>
          </w:p>
        </w:tc>
        <w:tc>
          <w:tcPr>
            <w:tcW w:w="800" w:type="dxa"/>
          </w:tcPr>
          <w:p w14:paraId="1E1E9B6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260</w:t>
            </w:r>
          </w:p>
        </w:tc>
        <w:tc>
          <w:tcPr>
            <w:tcW w:w="800" w:type="dxa"/>
          </w:tcPr>
          <w:p w14:paraId="173C4FB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270</w:t>
            </w:r>
          </w:p>
        </w:tc>
        <w:tc>
          <w:tcPr>
            <w:tcW w:w="800" w:type="dxa"/>
          </w:tcPr>
          <w:p w14:paraId="7FCB6AD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173</w:t>
            </w:r>
          </w:p>
        </w:tc>
        <w:tc>
          <w:tcPr>
            <w:tcW w:w="800" w:type="dxa"/>
          </w:tcPr>
          <w:p w14:paraId="39CE6C8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tc>
        <w:tc>
          <w:tcPr>
            <w:tcW w:w="800" w:type="dxa"/>
          </w:tcPr>
          <w:p w14:paraId="3F2680B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w:t>
            </w:r>
          </w:p>
        </w:tc>
        <w:tc>
          <w:tcPr>
            <w:tcW w:w="800" w:type="dxa"/>
          </w:tcPr>
          <w:p w14:paraId="4323AD4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w:t>
            </w:r>
          </w:p>
        </w:tc>
        <w:tc>
          <w:tcPr>
            <w:tcW w:w="800" w:type="dxa"/>
          </w:tcPr>
          <w:p w14:paraId="4ABACE9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260</w:t>
            </w:r>
          </w:p>
        </w:tc>
        <w:tc>
          <w:tcPr>
            <w:tcW w:w="800" w:type="dxa"/>
          </w:tcPr>
          <w:p w14:paraId="7B93416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w:t>
            </w:r>
          </w:p>
        </w:tc>
        <w:tc>
          <w:tcPr>
            <w:tcW w:w="800" w:type="dxa"/>
          </w:tcPr>
          <w:p w14:paraId="5B4002A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270</w:t>
            </w:r>
          </w:p>
        </w:tc>
        <w:tc>
          <w:tcPr>
            <w:tcW w:w="800" w:type="dxa"/>
          </w:tcPr>
          <w:p w14:paraId="41B18C9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2435</w:t>
            </w:r>
          </w:p>
        </w:tc>
      </w:tr>
      <w:tr w:rsidR="00860B4B" w:rsidRPr="00D03F3E" w14:paraId="6F8C5FEA" w14:textId="77777777">
        <w:tc>
          <w:tcPr>
            <w:tcW w:w="800" w:type="dxa"/>
          </w:tcPr>
          <w:p w14:paraId="7D61ECC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 М106</w:t>
            </w:r>
          </w:p>
        </w:tc>
        <w:tc>
          <w:tcPr>
            <w:tcW w:w="800" w:type="dxa"/>
          </w:tcPr>
          <w:p w14:paraId="30C555C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234 1)</w:t>
            </w:r>
          </w:p>
        </w:tc>
        <w:tc>
          <w:tcPr>
            <w:tcW w:w="800" w:type="dxa"/>
          </w:tcPr>
          <w:p w14:paraId="1D7871D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204 1)</w:t>
            </w:r>
          </w:p>
        </w:tc>
        <w:tc>
          <w:tcPr>
            <w:tcW w:w="800" w:type="dxa"/>
          </w:tcPr>
          <w:p w14:paraId="30B4D21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264 1)</w:t>
            </w:r>
          </w:p>
        </w:tc>
        <w:tc>
          <w:tcPr>
            <w:tcW w:w="800" w:type="dxa"/>
          </w:tcPr>
          <w:p w14:paraId="23ECE65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24E837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2915FB2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B50738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86D385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1175F2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38AB786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2536B13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3E39E58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E27FFC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F45B1E5" w14:textId="77777777">
        <w:tc>
          <w:tcPr>
            <w:tcW w:w="800" w:type="dxa"/>
          </w:tcPr>
          <w:p w14:paraId="7748800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Сдачи готовых к бою</w:t>
            </w:r>
          </w:p>
        </w:tc>
        <w:tc>
          <w:tcPr>
            <w:tcW w:w="800" w:type="dxa"/>
          </w:tcPr>
          <w:p w14:paraId="3365703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455</w:t>
            </w:r>
          </w:p>
        </w:tc>
        <w:tc>
          <w:tcPr>
            <w:tcW w:w="800" w:type="dxa"/>
          </w:tcPr>
          <w:p w14:paraId="558F448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800" w:type="dxa"/>
          </w:tcPr>
          <w:p w14:paraId="7443BDC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5D3C4D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0832842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505B50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270</w:t>
            </w:r>
          </w:p>
        </w:tc>
        <w:tc>
          <w:tcPr>
            <w:tcW w:w="800" w:type="dxa"/>
          </w:tcPr>
          <w:p w14:paraId="16FE78A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tc>
        <w:tc>
          <w:tcPr>
            <w:tcW w:w="800" w:type="dxa"/>
          </w:tcPr>
          <w:p w14:paraId="3B667CF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w:t>
            </w:r>
          </w:p>
        </w:tc>
        <w:tc>
          <w:tcPr>
            <w:tcW w:w="800" w:type="dxa"/>
          </w:tcPr>
          <w:p w14:paraId="65D5370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160</w:t>
            </w:r>
          </w:p>
        </w:tc>
        <w:tc>
          <w:tcPr>
            <w:tcW w:w="800" w:type="dxa"/>
          </w:tcPr>
          <w:p w14:paraId="3FAD91F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260</w:t>
            </w:r>
          </w:p>
        </w:tc>
        <w:tc>
          <w:tcPr>
            <w:tcW w:w="800" w:type="dxa"/>
          </w:tcPr>
          <w:p w14:paraId="00C66D7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761CD1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E06A06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A94304D" w14:textId="77777777">
        <w:tc>
          <w:tcPr>
            <w:tcW w:w="800" w:type="dxa"/>
          </w:tcPr>
          <w:p w14:paraId="6FC6636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Фактически собрано</w:t>
            </w:r>
          </w:p>
        </w:tc>
        <w:tc>
          <w:tcPr>
            <w:tcW w:w="800" w:type="dxa"/>
          </w:tcPr>
          <w:p w14:paraId="28E1202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234</w:t>
            </w:r>
          </w:p>
        </w:tc>
        <w:tc>
          <w:tcPr>
            <w:tcW w:w="800" w:type="dxa"/>
          </w:tcPr>
          <w:p w14:paraId="5F9AF34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204</w:t>
            </w:r>
          </w:p>
        </w:tc>
        <w:tc>
          <w:tcPr>
            <w:tcW w:w="800" w:type="dxa"/>
          </w:tcPr>
          <w:p w14:paraId="56748BD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277</w:t>
            </w:r>
          </w:p>
        </w:tc>
        <w:tc>
          <w:tcPr>
            <w:tcW w:w="800" w:type="dxa"/>
          </w:tcPr>
          <w:p w14:paraId="502694A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2772</w:t>
            </w:r>
          </w:p>
        </w:tc>
        <w:tc>
          <w:tcPr>
            <w:tcW w:w="800" w:type="dxa"/>
          </w:tcPr>
          <w:p w14:paraId="7321655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286</w:t>
            </w:r>
          </w:p>
        </w:tc>
        <w:tc>
          <w:tcPr>
            <w:tcW w:w="800" w:type="dxa"/>
          </w:tcPr>
          <w:p w14:paraId="6339ADE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1733</w:t>
            </w:r>
          </w:p>
        </w:tc>
        <w:tc>
          <w:tcPr>
            <w:tcW w:w="800" w:type="dxa"/>
          </w:tcPr>
          <w:p w14:paraId="36D1FF3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w:t>
            </w:r>
          </w:p>
        </w:tc>
        <w:tc>
          <w:tcPr>
            <w:tcW w:w="800" w:type="dxa"/>
          </w:tcPr>
          <w:p w14:paraId="3137C71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115</w:t>
            </w:r>
          </w:p>
        </w:tc>
        <w:tc>
          <w:tcPr>
            <w:tcW w:w="800" w:type="dxa"/>
          </w:tcPr>
          <w:p w14:paraId="43DD20A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239</w:t>
            </w:r>
          </w:p>
        </w:tc>
        <w:tc>
          <w:tcPr>
            <w:tcW w:w="800" w:type="dxa"/>
          </w:tcPr>
          <w:p w14:paraId="153AB76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286</w:t>
            </w:r>
          </w:p>
        </w:tc>
        <w:tc>
          <w:tcPr>
            <w:tcW w:w="800" w:type="dxa"/>
          </w:tcPr>
          <w:p w14:paraId="089BCE1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275</w:t>
            </w:r>
          </w:p>
        </w:tc>
        <w:tc>
          <w:tcPr>
            <w:tcW w:w="800" w:type="dxa"/>
          </w:tcPr>
          <w:p w14:paraId="5C3E9EC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297</w:t>
            </w:r>
          </w:p>
        </w:tc>
        <w:tc>
          <w:tcPr>
            <w:tcW w:w="800" w:type="dxa"/>
          </w:tcPr>
          <w:p w14:paraId="695EF2C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27203</w:t>
            </w:r>
          </w:p>
        </w:tc>
      </w:tr>
      <w:tr w:rsidR="00860B4B" w:rsidRPr="00D03F3E" w14:paraId="522F435E" w14:textId="77777777">
        <w:tc>
          <w:tcPr>
            <w:tcW w:w="800" w:type="dxa"/>
          </w:tcPr>
          <w:p w14:paraId="220DF7C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т.ч. с М-106</w:t>
            </w:r>
          </w:p>
        </w:tc>
        <w:tc>
          <w:tcPr>
            <w:tcW w:w="800" w:type="dxa"/>
          </w:tcPr>
          <w:p w14:paraId="0CE7663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tc>
        <w:tc>
          <w:tcPr>
            <w:tcW w:w="800" w:type="dxa"/>
          </w:tcPr>
          <w:p w14:paraId="2449D69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w:t>
            </w:r>
          </w:p>
        </w:tc>
        <w:tc>
          <w:tcPr>
            <w:tcW w:w="800" w:type="dxa"/>
          </w:tcPr>
          <w:p w14:paraId="3FB9A9E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0B70CD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974170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5A4449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9E8B8B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003061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F0E8B3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0C004A9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0239B1B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7A63517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F38D42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tc>
      </w:tr>
      <w:tr w:rsidR="00860B4B" w:rsidRPr="00D03F3E" w14:paraId="6FE0D58C" w14:textId="77777777">
        <w:tc>
          <w:tcPr>
            <w:tcW w:w="800" w:type="dxa"/>
          </w:tcPr>
          <w:p w14:paraId="7A38424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Сдано готовых к бою</w:t>
            </w:r>
          </w:p>
        </w:tc>
        <w:tc>
          <w:tcPr>
            <w:tcW w:w="800" w:type="dxa"/>
          </w:tcPr>
          <w:p w14:paraId="5B5311B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182</w:t>
            </w:r>
          </w:p>
        </w:tc>
        <w:tc>
          <w:tcPr>
            <w:tcW w:w="800" w:type="dxa"/>
          </w:tcPr>
          <w:p w14:paraId="1CDC037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237 +24</w:t>
            </w:r>
          </w:p>
        </w:tc>
        <w:tc>
          <w:tcPr>
            <w:tcW w:w="800" w:type="dxa"/>
          </w:tcPr>
          <w:p w14:paraId="3F7E69A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390</w:t>
            </w:r>
          </w:p>
        </w:tc>
        <w:tc>
          <w:tcPr>
            <w:tcW w:w="800" w:type="dxa"/>
          </w:tcPr>
          <w:p w14:paraId="6FA777E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338</w:t>
            </w:r>
          </w:p>
        </w:tc>
        <w:tc>
          <w:tcPr>
            <w:tcW w:w="800" w:type="dxa"/>
          </w:tcPr>
          <w:p w14:paraId="06AF525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271</w:t>
            </w:r>
          </w:p>
        </w:tc>
        <w:tc>
          <w:tcPr>
            <w:tcW w:w="800" w:type="dxa"/>
          </w:tcPr>
          <w:p w14:paraId="0EF6149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221</w:t>
            </w:r>
          </w:p>
        </w:tc>
        <w:tc>
          <w:tcPr>
            <w:tcW w:w="800" w:type="dxa"/>
          </w:tcPr>
          <w:p w14:paraId="1180C7E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86</w:t>
            </w:r>
          </w:p>
        </w:tc>
        <w:tc>
          <w:tcPr>
            <w:tcW w:w="800" w:type="dxa"/>
          </w:tcPr>
          <w:p w14:paraId="1482146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c>
          <w:tcPr>
            <w:tcW w:w="800" w:type="dxa"/>
          </w:tcPr>
          <w:p w14:paraId="5D56912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233</w:t>
            </w:r>
          </w:p>
        </w:tc>
        <w:tc>
          <w:tcPr>
            <w:tcW w:w="800" w:type="dxa"/>
          </w:tcPr>
          <w:p w14:paraId="5D0C8E0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282</w:t>
            </w:r>
          </w:p>
        </w:tc>
        <w:tc>
          <w:tcPr>
            <w:tcW w:w="800" w:type="dxa"/>
          </w:tcPr>
          <w:p w14:paraId="45B1166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230</w:t>
            </w:r>
          </w:p>
        </w:tc>
        <w:tc>
          <w:tcPr>
            <w:tcW w:w="800" w:type="dxa"/>
          </w:tcPr>
          <w:p w14:paraId="35B55D4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281</w:t>
            </w:r>
          </w:p>
        </w:tc>
        <w:tc>
          <w:tcPr>
            <w:tcW w:w="800" w:type="dxa"/>
          </w:tcPr>
          <w:p w14:paraId="09C89AA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2851 +24</w:t>
            </w:r>
          </w:p>
        </w:tc>
      </w:tr>
      <w:tr w:rsidR="00860B4B" w:rsidRPr="00D03F3E" w14:paraId="4A5842C5" w14:textId="77777777">
        <w:tc>
          <w:tcPr>
            <w:tcW w:w="800" w:type="dxa"/>
          </w:tcPr>
          <w:p w14:paraId="1F6D4B8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Отправлено с завода</w:t>
            </w:r>
          </w:p>
        </w:tc>
        <w:tc>
          <w:tcPr>
            <w:tcW w:w="800" w:type="dxa"/>
          </w:tcPr>
          <w:p w14:paraId="3EF6603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203</w:t>
            </w:r>
          </w:p>
        </w:tc>
        <w:tc>
          <w:tcPr>
            <w:tcW w:w="800" w:type="dxa"/>
          </w:tcPr>
          <w:p w14:paraId="0CD5FB5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244</w:t>
            </w:r>
          </w:p>
        </w:tc>
        <w:tc>
          <w:tcPr>
            <w:tcW w:w="800" w:type="dxa"/>
          </w:tcPr>
          <w:p w14:paraId="08181EE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382</w:t>
            </w:r>
          </w:p>
        </w:tc>
        <w:tc>
          <w:tcPr>
            <w:tcW w:w="800" w:type="dxa"/>
          </w:tcPr>
          <w:p w14:paraId="20659B9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345</w:t>
            </w:r>
          </w:p>
        </w:tc>
        <w:tc>
          <w:tcPr>
            <w:tcW w:w="800" w:type="dxa"/>
          </w:tcPr>
          <w:p w14:paraId="750FDC3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273</w:t>
            </w:r>
          </w:p>
        </w:tc>
        <w:tc>
          <w:tcPr>
            <w:tcW w:w="800" w:type="dxa"/>
          </w:tcPr>
          <w:p w14:paraId="7C80A97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2403</w:t>
            </w:r>
          </w:p>
        </w:tc>
        <w:tc>
          <w:tcPr>
            <w:tcW w:w="800" w:type="dxa"/>
          </w:tcPr>
          <w:p w14:paraId="6EF2E32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86</w:t>
            </w:r>
          </w:p>
        </w:tc>
        <w:tc>
          <w:tcPr>
            <w:tcW w:w="800" w:type="dxa"/>
          </w:tcPr>
          <w:p w14:paraId="7701E2D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c>
          <w:tcPr>
            <w:tcW w:w="800" w:type="dxa"/>
          </w:tcPr>
          <w:p w14:paraId="1E67C2B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224</w:t>
            </w:r>
          </w:p>
        </w:tc>
        <w:tc>
          <w:tcPr>
            <w:tcW w:w="800" w:type="dxa"/>
          </w:tcPr>
          <w:p w14:paraId="0DA6EA3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286</w:t>
            </w:r>
          </w:p>
        </w:tc>
        <w:tc>
          <w:tcPr>
            <w:tcW w:w="800" w:type="dxa"/>
          </w:tcPr>
          <w:p w14:paraId="5774D94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w:t>
            </w:r>
          </w:p>
        </w:tc>
        <w:tc>
          <w:tcPr>
            <w:tcW w:w="800" w:type="dxa"/>
          </w:tcPr>
          <w:p w14:paraId="38BFB48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316</w:t>
            </w:r>
          </w:p>
        </w:tc>
        <w:tc>
          <w:tcPr>
            <w:tcW w:w="800" w:type="dxa"/>
          </w:tcPr>
          <w:p w14:paraId="2D7DB36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2899</w:t>
            </w:r>
          </w:p>
        </w:tc>
      </w:tr>
      <w:tr w:rsidR="00860B4B" w:rsidRPr="00D03F3E" w14:paraId="5FFB73E8" w14:textId="77777777">
        <w:tc>
          <w:tcPr>
            <w:tcW w:w="800" w:type="dxa"/>
          </w:tcPr>
          <w:p w14:paraId="37065CE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т.ч. УА ВМФ</w:t>
            </w:r>
          </w:p>
        </w:tc>
        <w:tc>
          <w:tcPr>
            <w:tcW w:w="800" w:type="dxa"/>
          </w:tcPr>
          <w:p w14:paraId="0A27D66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800" w:type="dxa"/>
          </w:tcPr>
          <w:p w14:paraId="3557F86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tc>
        <w:tc>
          <w:tcPr>
            <w:tcW w:w="800" w:type="dxa"/>
          </w:tcPr>
          <w:p w14:paraId="0AE0F42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800" w:type="dxa"/>
          </w:tcPr>
          <w:p w14:paraId="7303AEF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w:t>
            </w:r>
          </w:p>
        </w:tc>
        <w:tc>
          <w:tcPr>
            <w:tcW w:w="800" w:type="dxa"/>
          </w:tcPr>
          <w:p w14:paraId="6F5B62E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w:t>
            </w:r>
          </w:p>
        </w:tc>
        <w:tc>
          <w:tcPr>
            <w:tcW w:w="800" w:type="dxa"/>
          </w:tcPr>
          <w:p w14:paraId="1FED8AB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tc>
        <w:tc>
          <w:tcPr>
            <w:tcW w:w="800" w:type="dxa"/>
          </w:tcPr>
          <w:p w14:paraId="76F03A4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78F8391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5B300E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F362D6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7C799F7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0E67AA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04FC595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124</w:t>
            </w:r>
          </w:p>
        </w:tc>
      </w:tr>
      <w:tr w:rsidR="00860B4B" w:rsidRPr="00D03F3E" w14:paraId="2C275740" w14:textId="77777777">
        <w:tc>
          <w:tcPr>
            <w:tcW w:w="800" w:type="dxa"/>
            <w:tcBorders>
              <w:bottom w:val="single" w:sz="12" w:space="0" w:color="auto"/>
            </w:tcBorders>
          </w:tcPr>
          <w:p w14:paraId="4C9A724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Осталось на заводе</w:t>
            </w:r>
          </w:p>
        </w:tc>
        <w:tc>
          <w:tcPr>
            <w:tcW w:w="800" w:type="dxa"/>
            <w:tcBorders>
              <w:bottom w:val="single" w:sz="12" w:space="0" w:color="auto"/>
            </w:tcBorders>
          </w:tcPr>
          <w:p w14:paraId="5C20112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299</w:t>
            </w:r>
          </w:p>
        </w:tc>
        <w:tc>
          <w:tcPr>
            <w:tcW w:w="800" w:type="dxa"/>
            <w:tcBorders>
              <w:bottom w:val="single" w:sz="12" w:space="0" w:color="auto"/>
            </w:tcBorders>
          </w:tcPr>
          <w:p w14:paraId="553FA1F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259</w:t>
            </w:r>
          </w:p>
        </w:tc>
        <w:tc>
          <w:tcPr>
            <w:tcW w:w="800" w:type="dxa"/>
            <w:tcBorders>
              <w:bottom w:val="single" w:sz="12" w:space="0" w:color="auto"/>
            </w:tcBorders>
          </w:tcPr>
          <w:p w14:paraId="053590E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154</w:t>
            </w:r>
          </w:p>
        </w:tc>
        <w:tc>
          <w:tcPr>
            <w:tcW w:w="800" w:type="dxa"/>
            <w:tcBorders>
              <w:bottom w:val="single" w:sz="12" w:space="0" w:color="auto"/>
            </w:tcBorders>
          </w:tcPr>
          <w:p w14:paraId="730466F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86</w:t>
            </w:r>
          </w:p>
        </w:tc>
        <w:tc>
          <w:tcPr>
            <w:tcW w:w="800" w:type="dxa"/>
            <w:tcBorders>
              <w:bottom w:val="single" w:sz="12" w:space="0" w:color="auto"/>
            </w:tcBorders>
          </w:tcPr>
          <w:p w14:paraId="0AEE563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99</w:t>
            </w:r>
          </w:p>
        </w:tc>
        <w:tc>
          <w:tcPr>
            <w:tcW w:w="800" w:type="dxa"/>
            <w:tcBorders>
              <w:bottom w:val="single" w:sz="12" w:space="0" w:color="auto"/>
            </w:tcBorders>
          </w:tcPr>
          <w:p w14:paraId="746F339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w:t>
            </w:r>
          </w:p>
        </w:tc>
        <w:tc>
          <w:tcPr>
            <w:tcW w:w="800" w:type="dxa"/>
            <w:tcBorders>
              <w:bottom w:val="single" w:sz="12" w:space="0" w:color="auto"/>
            </w:tcBorders>
          </w:tcPr>
          <w:p w14:paraId="691BAC2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800" w:type="dxa"/>
            <w:tcBorders>
              <w:bottom w:val="single" w:sz="12" w:space="0" w:color="auto"/>
            </w:tcBorders>
          </w:tcPr>
          <w:p w14:paraId="65A8554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tc>
        <w:tc>
          <w:tcPr>
            <w:tcW w:w="800" w:type="dxa"/>
            <w:tcBorders>
              <w:bottom w:val="single" w:sz="12" w:space="0" w:color="auto"/>
            </w:tcBorders>
          </w:tcPr>
          <w:p w14:paraId="05DC10A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w:t>
            </w:r>
          </w:p>
        </w:tc>
        <w:tc>
          <w:tcPr>
            <w:tcW w:w="800" w:type="dxa"/>
            <w:tcBorders>
              <w:bottom w:val="single" w:sz="12" w:space="0" w:color="auto"/>
            </w:tcBorders>
          </w:tcPr>
          <w:p w14:paraId="6676E52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w:t>
            </w:r>
          </w:p>
        </w:tc>
        <w:tc>
          <w:tcPr>
            <w:tcW w:w="800" w:type="dxa"/>
            <w:tcBorders>
              <w:bottom w:val="single" w:sz="12" w:space="0" w:color="auto"/>
            </w:tcBorders>
          </w:tcPr>
          <w:p w14:paraId="7A41DBE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108</w:t>
            </w:r>
          </w:p>
        </w:tc>
        <w:tc>
          <w:tcPr>
            <w:tcW w:w="800" w:type="dxa"/>
            <w:tcBorders>
              <w:bottom w:val="single" w:sz="12" w:space="0" w:color="auto"/>
            </w:tcBorders>
          </w:tcPr>
          <w:p w14:paraId="4B9D81A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89</w:t>
            </w:r>
          </w:p>
        </w:tc>
        <w:tc>
          <w:tcPr>
            <w:tcW w:w="800" w:type="dxa"/>
            <w:tcBorders>
              <w:bottom w:val="single" w:sz="12" w:space="0" w:color="auto"/>
            </w:tcBorders>
          </w:tcPr>
          <w:p w14:paraId="7484F7E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bl>
    <w:p w14:paraId="7C4AEF5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План скорректирован постановлением ГКО от 6 марта I943 г.</w:t>
      </w:r>
    </w:p>
    <w:p w14:paraId="61CBD1B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Фактически в апреле выпушено 310 самолетов, из которых 33 были записаны в счет выполнения майского плана.</w:t>
      </w:r>
    </w:p>
    <w:p w14:paraId="6338301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 том числе шесть самолетов, сгоревших при бомбежке.</w:t>
      </w:r>
    </w:p>
    <w:p w14:paraId="7D98E1E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Два готовых к бою для А.С. Яковлева (12048).</w:t>
      </w:r>
    </w:p>
    <w:p w14:paraId="6D20348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8D4EB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на 23 июня 1943 Люфтваффе совершили налет на нефтебазу Улеши, расположенную на берегу Волги, в 5,5 км севернее крекинг-завода, на границе Сталинского и Октябрьского районов Саратова. По советским данным, в налете участвовали 50 бомбардировщиков. Сначала цельфиндерами над объектом были сброшены осветительные бомбы, четко обозначившие цель для следующих волн бомбардировщиков. Самолеты подходили к цели над Волгой, снижались, причем некоторые пикировали прямо на бензохранилища и с небольшой высоты сбрасывали бомбы. ПВО объекта осуществлял 720-й ЗенАП, при этом непосредственно на огромных танках с бензином находились пулеметные расчеты ДШК. Последнее являлось чистейшим безумием. Уже в начале налета в результате попадания фугасных и зажигательных бомб в трудном положении оказались пулеметчики под командованием сержанта П. Горячкина. Однако несмотря на бушующее кругом пламя, они продолжали вести огонь, постоянно меняя позицию и перенося боеприпасы. О. Кулмыганова и Г. Лукин стреляли по самолетам, а А. Соколова и А. Коляко подавали патронную ленту. Пожар охватывал все новые сооружения нефтебазы, но бойцы не оставили пост, пока не погибли от прямого попадания нескольких осколочных бомб. Всего на Улешовское нефтехранилище были сброшены 50 фугасных и 12 тяжелых зажигательных бомб. В результате вновь возник огромный пожар, осветивший практически весь город. Пламя поднималось в небо на сотни метров. Нефтебаза была практически уничтожена, сгорели 20 тыс. т нефтепродуктов, а также 13 жилых домов на ул. Заводской, Верхней и Чернышевского. По официальным данным, погибли и получили ранения 50 человек. Во время налета был поврежден Ju-88A WNr.3757 из II./KG51 «Эдельвейс», однако его экипаж сумел дотянуть до линии фронта и совершил вынужденную посадку северо-восточнее Орла.</w:t>
      </w:r>
    </w:p>
    <w:p w14:paraId="531139D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Вечером 23 июня посты ВНОС Саратовского диврайона ПВО вновь доложили в штаб о приближении немецких самолетов. В 23.25 по местному времени в городе раздался очередной сигнал воздушной тревоги. Прозвучал он и на авиационном заводе № 292. Однако рабочие, согласно установленному порядку, продолжали трудиться. Эвакуация разрешалась только в момент «непосредственной угрозы». В штаб МПВО объекта непрерывно шли донесения об изменении обстановки. В 23.32 с вышковых постов сообщили, что отчетливо слышен гул самолетов, приближающихся с юга. Это вновь были Не-111 из I./KG100 «Викинг». Одновременно с северо-запада на Саратов шли бомбардировщики из эскадры KG55 «Грайф». Прошло еще семь минут, и прямо над авиазаводом повисла «люстра» из 12 осветительных ракет, после чего был отдан приказ о выводе людей в укрытия. Затем в течение налета цельфиндеры сбросили над объектом еще около десяти осветительных ракет. Члены команд МПВО заняли свои посты, в т.ч. на крышах корпусов. Первый удар был нанесен по водопроводной сети. Одиночный «Хейнкель» на бреющем пролетел над трассой и сбросил несколько фугасных бомб, которые в нескольких местах повредили магистраль. Одна из бомб попала в проходную ТЭЦ № 1, другая разрушила перекрытие нефтенасосной станции. Вскоре на сам авиационный завод упала первая зажигательная бомба и вспыхнула крыша одного из корпусов. Затем началась бомбардировка. Поскольку магистральный водопровод был выведен из строя, многочисленные очаги огня стало нечем тушить. В течение 40 минут немецкие бомбардировщики тремя волнами с небольшой высоты атаковали объект, сбросив на него свыше 100 фугасных бомб весом 500—1000 кг и большое количество тяжелых зажигательных бомб. Противопожарными мероприятиями на предприятии, как обычно, пренебрегали. Полы цехов завода, строившегося как завод комбайнов, были выстланы деревянной шашкой, которая со временем изрядно пропиталась маслом. Это был отличный горючий материал, и при попадании зажигательных бомб он сразу воспламенился. В результате возникли сразу шесть крупных очагов пожаров, распространение огня быстро стало неконтролируемым. Горение пола, как это ранее случилось на ГАЗе, приводило к тому, что несущие балки под воздействием температуры теряли устойчивость и оседали. Одно за другим стали обрушаться перекрытия. Затем вспыхнули еще и запасы подготовленного авиационного леса (на самолете Як-1 основные детали конструкции фюзеляжа, крыльев и оперения были деревянными). Несмотря на отчаянные усилия по тушению огня, пожар продолжался всю ночь. В итоге десять цехов сгорели полностью, три цеха – частично, еще два были разрушены прямыми попаданиями тяжелых авиабомб. Были сильно повреждены заводские железнодорожные пути, разбиты и сгорели 23 вагона с сырьем. Людские потери, по данным завода, составили 24 человека убитыми и ранеными. В результате налета вышло из строя более 70% производственных площадей, свыше 60% оборудования. Сгорели все склады материалов, погибла техническая документация. Главный материальный склад также был полностью уничтожен. Поскольку «Хейнкели» с целью обеспечить наибольшую точность попаданий действовали на предельно малой высоте, один Не-111 из KG55 был подбит огнем зенитной артиллерии, однако экипаж все же смог дотянуть до своей территории и совершить вынужденную посадку. Одновременно с налетом на авиазавод № 292 «Хейнкели» атаковали суда на Волге, между Саратовом и Камышином, в т.ч. корабли Волжской военной флотилии. Всего ими были сброшены более 70 авиабомб, но, по советским данным, ни одно судно не пострадало. Одновременно атаке подвергся и речной порт в Астрахани. Один из матросов парохода «Гончаров» потом вспоминал:  «В тот день в Астрахани мы приняли на борт грузы, посадили пассажиров и пошли на причал №8на заправку топливом. В это время начался налет вражеской авиации. Дело было к вечеру, стало уже темно. Гитлеровские летчики развесили осветительные ракеты и начали бомбежку. Наш „Гончаров“, маневрируя между бомбовыми разрывами, весь дрожал от взрывной волны, во многих местах лопнул и разошелся тент, сорвало подвешенную над кормой шлюпку, из окон повылетали все стекла. Однако все обошлось благополучно, нам удалось уйти от вражеских бомб». Наутро в Саратов в срочном порядке вылетели первый заместитель наркома авиапромышленности П. В. Деметьев, заведующий отделом ЦК ВКП(б) А. В. Будников и представитель командования ВВС Я. Л. Бибиков. Уже прибыв на аэродром, они увидели клубы дыма и пара, поднимавшиеся из южной части города. Уже тогда посланцам Сталина стало понятно, что случилось нечто ужасное. И действительно, от авиазавода остались лишь обгоревшие стены корпусов и обуглившиеся станки. Множество самолетов сгорели прямо на конвейере. Так германские бомбардировщики добились очередного успеха, полностью выведя из строя уже четвертое крупное предприятие Поволжья. Причем это было достигнуто в ходе однократного налета, ценой повреждения одного самолета. Разрушения были настолько большими, что часть руководства Наркомата авиапромышленности предложила вообще не восстанавливать завод, а рабочую силу распределить по другим заводам отрасли. Это решение выглядело наиболее рациональным. Однако в пропагандистских целях все же было решено возродить предприятие. Авиация дальнего действия не оставляла попыток разбомбить немецкие аэродромы, с которых выполнялись налеты на города Поволжья. 18 июня в перекрестиях бомбовых прицелов снова оказалась Сещинская. При этом, по немецким данным, в результате налета прямым попаданием бомбы на стоянке был уничтожен Не-111H WNr.7344 из 5./KG4 «Генерал Вефер». Это был первый серьезный успех советской авиации! 20 июня 187 самолетов атаковали аэродром в районе Брянска, где авиаразведка зафиксировала  «большое скопление фашистских бомбардировщиков». Затем 22 июня 152 Ил-4, ТБ-3 и Ли-2 бомбили один из аэродромов в районе Орла. В ту же ночь налетам подверглись Олсуфьево и Карачев. На обратном пути один Ли-2 был атакован немецким ночным истребителем, но, несмотря на полученные повреждения, все же смог вернуться обратно. В то же время бортстрелки бомбардировщиков заявили о двух сбитых «Мессершмиттах» (Bf-109 и Bf-ПО). На следующую ночь 109 самолетов снова бомбили Олсуфьево, сбросив на район цели бомбы ФАБ-500. В ночь на 26 июня бомбардировщики АДЦ в очередной раз совершили налет на аэродром Олсуфьево. При этом во время бомбежки и при возвращении на базы они вновь подверглись атакам немецких ночных истребителей Bf-109. В частности, уже в 50 км от линии фронта над своей территорией был сбит самолет гв. капитана Матвея </w:t>
      </w:r>
      <w:r w:rsidRPr="00D03F3E">
        <w:rPr>
          <w:rFonts w:ascii="Times New Roman" w:hAnsi="Times New Roman"/>
          <w:color w:val="000000" w:themeColor="text1"/>
          <w:sz w:val="16"/>
          <w:szCs w:val="16"/>
        </w:rPr>
        <w:lastRenderedPageBreak/>
        <w:t>Маркова. Весь экипаж – пилот, штурман гв. младший лейтенант Иващенко, второй пилот гв. младший лейтенант Белоусов, бортмеханик гв. техник-лейтенант Афанасьев и воздушный стрелок гв. сержант Халявинский – погиб (11774).</w:t>
      </w:r>
    </w:p>
    <w:p w14:paraId="56E5B16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D34EED"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7987AEC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4878C8"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июня 1943 года на полигоне Старатель около Нижнего Тагила закончились государственные испытания стрельбой СУ-122М, разработанной на Уралмаше, которые проходили с 18 июня. Было произведено 329 выстрелов. Ходовые испытания проходили на трассах Свердловск - Нижний Тагил и Свердловск - Челябинск, на которых было пройдено 858 км. Государственная комиссия под председательством генерал-майора танковых войск Огурцова признала необходимым внести в конструкцию некоторые изменения для ее дальнейшего улучшения, но в общей оценке вынесла заключение, что "самоход может быть принят на вооружение самоходных артиллерийских частей Красной Армии". Все замечания комиссии были реализованы на новом опытном образце САУ СУ-122-III, вооруженном 122-мм гаубицей Д-6 завода № 9 (9636).</w:t>
      </w:r>
    </w:p>
    <w:p w14:paraId="284E79EF"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p>
    <w:p w14:paraId="65A8812A"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июня 1943 вышло Постановление ГКО № 3635 О капитальном строительстве по железнодорожному транспорту в 1943 году. (7117, 93-103,104-110).</w:t>
      </w:r>
    </w:p>
    <w:p w14:paraId="0C702312"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FE11D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июня 1943 вышло Постановление ГКО № 3636 О мобилизации 12 тыс. человек в Казахстане для работы на заводах НКЦМ.РГАНИР, Фонд ГКО, д. 128, лл. 111, 112 (11012).</w:t>
      </w:r>
    </w:p>
    <w:p w14:paraId="61FFA76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C5A74F"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июня 1943 вышло Постановление ГКО № 3637 О формировании специальных рот и об обеспечении их специальными оптическими приборами, [о назначении акад. С.И. Вавилова уполномоченным ГКО по развитию и координации научной работы в области инфракрасной техники.] (7117, 113-115,116-145).</w:t>
      </w:r>
    </w:p>
    <w:p w14:paraId="64B03E77"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5940F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июня 1943 Адмиралтейцы закончили сдаточные испытания второго МБК (акт сдачи подписан 18 сентября 1943 г.) (10671).</w:t>
      </w:r>
    </w:p>
    <w:p w14:paraId="731ED0A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3746A0"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639D253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A8A411"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23 июня</w:t>
      </w:r>
      <w:r w:rsidRPr="00D03F3E">
        <w:rPr>
          <w:rFonts w:ascii="Times New Roman" w:hAnsi="Times New Roman"/>
          <w:color w:val="000000" w:themeColor="text1"/>
          <w:sz w:val="16"/>
          <w:szCs w:val="16"/>
        </w:rPr>
        <w:t xml:space="preserve"> в 1943 году утреннее сообщение Совинформбюро:</w:t>
      </w:r>
    </w:p>
    <w:p w14:paraId="46AAEB2E"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23 июня на фронте ничего существенного не произошло.</w:t>
      </w:r>
    </w:p>
    <w:p w14:paraId="260D16B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миномётчики Н-ской части разрушили 3 блиндажа противника, уничтожили 2 пулемёта и несколько автомашин. На другом участке орудийный расчёт старшего сержанта т. Родионова разбил немецкое орудие и уничтожил не менее 30 солдат противника.</w:t>
      </w:r>
    </w:p>
    <w:p w14:paraId="5F2DE7A9"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происходила артиллерийская перестрелка. В результате обстрела позиций противника подавлен огонь 8 артиллерийских и 11 миномётных батарей. На одном участке наша разведывательная группа проникла в тыл противника и уничтожила несколько десятков немцев. Захватив 2 пулемёта и пленных, разведчики благополучно вернулись в свою часть.</w:t>
      </w:r>
    </w:p>
    <w:p w14:paraId="7F1D3587"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наши артиллеристы и миномётчики обстреляли позиции и ближайшие тылы противника. Разбито 3 немецких дзота и 2 наблюдательных пункта, уничтожено орудие, 6 пулемётов и 18 повозок с грузами. Пехота противника на лодках пыталась переправиться через реку Северный Донец. Боевое охранение Н-ской части открыло огонь и потопило несколько лодок вместе с находившимися в них гитлеровцами.</w:t>
      </w:r>
    </w:p>
    <w:p w14:paraId="1E9B74E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 отдельных участках немцы пытались вести разведку, но были рассеяны огнём наших подразделений. Советские лётчики в воздушных боях сбили 3 немецких самолёта.</w:t>
      </w:r>
    </w:p>
    <w:p w14:paraId="4CE09B4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разведчики Н-ской части под командованием т. Полутина проникли в расположение противника, взорвали дзот и несколько вражеских землянок. Группа снайперов с младшим лейтенантом Николаем Семёновым во главе находилась в засаде почти 10 суток. За это время снайперы истребили 192 немца. Старший сержант т. Яснов и ефрейтор т. Васькин уничтожили 36 гитлеровцев, старший сержант т. Конюка — 16, сержант Павел Тихомиров — 13, снайпер Наташа Савиценко — 13 гитлеровцев.</w:t>
      </w:r>
    </w:p>
    <w:p w14:paraId="5FB2F3E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Наша авиация произвела налёт на один из аэродромов противника. В результате бомбардировки на аэродроме уничтожено до 20 немецких самолётов.</w:t>
      </w:r>
    </w:p>
    <w:p w14:paraId="6F4496D9"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имени Кирова, действующий в одном из районов Пинской области, пустил под откос два немецких воинских эшелона, следовавших к линии фронта. Разбиты паровоз и 29 вагонов. Группа партизан этого же отряда взорвала железнодорожный мост, уничтожила автомашину и находившихся в ней трёх немецких офицеров. Отряд гомельских партизан организовал крушение нескольких эшелонов противника. В результате крушений разбито 3 паровоза и 26 вагонов.</w:t>
      </w:r>
    </w:p>
    <w:p w14:paraId="355BF52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Познани польские патриоты взорвали склад немецких оккупантов с боеприпасами. Близ Катовиц железнодорожники организовали крушение немецкого воинского эшелона. Польские патриоты в Варшаве убили 9 немецких офицеров. В числе убитых заместитель начальника железнодорожной полиции Генрих Глейм. Партизаны заминировали солдатскую баню. При взрыве мин убито и ранено много гитлеровцев.» (14931).</w:t>
      </w:r>
    </w:p>
    <w:p w14:paraId="23D97A05" w14:textId="77777777" w:rsidR="00B8369C" w:rsidRPr="00D03F3E" w:rsidRDefault="00B8369C" w:rsidP="00D03F3E">
      <w:pPr>
        <w:spacing w:after="0" w:line="240" w:lineRule="auto"/>
        <w:jc w:val="both"/>
        <w:rPr>
          <w:rFonts w:ascii="Times New Roman" w:hAnsi="Times New Roman"/>
          <w:color w:val="000000" w:themeColor="text1"/>
          <w:sz w:val="16"/>
          <w:szCs w:val="16"/>
        </w:rPr>
      </w:pPr>
    </w:p>
    <w:p w14:paraId="692ACDE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23 июня</w:t>
      </w:r>
      <w:r w:rsidRPr="00D03F3E">
        <w:rPr>
          <w:rFonts w:ascii="Times New Roman" w:hAnsi="Times New Roman"/>
          <w:color w:val="000000" w:themeColor="text1"/>
          <w:sz w:val="16"/>
          <w:szCs w:val="16"/>
        </w:rPr>
        <w:t xml:space="preserve"> в 1943 году вечернее сообщение Совинформбюро:</w:t>
      </w:r>
    </w:p>
    <w:p w14:paraId="2A2A310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23 июня на фронте существенных изменений не произошло.</w:t>
      </w:r>
    </w:p>
    <w:p w14:paraId="2FA86530"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Нашими кораблями в Чёрном море потоплены две десантные самоходные баржи противника.</w:t>
      </w:r>
    </w:p>
    <w:p w14:paraId="6A3EB562"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участке Западного фронта после огневого налёта советской артиллерии на позиции противника наш разведывательный отряд ворвался в немецкие траншеи. В завязавшемся бою разведчики уничтожили не менее 100 вражеских солдат и офицеров и захватили пленных. Добыв ценные сведения о системе обороны противника, разведчики вернулись в свою часть. На остальных участках происходила редкая перестрелка. Наши части уничтожили до двух рот немецкой пехоты и подавили огонь нескольких артиллерийских и миномётных батарей противника.</w:t>
      </w:r>
    </w:p>
    <w:p w14:paraId="02C14D5E"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Белгорода подразделения Н-ской части вели разведку обороны противника. Командир отделения т. Копцев скрытно подполз к немецкому дзоту и противотанковой гранатой взорвал его вместе с находившимися в нём солдатами. Командир пулемётного расчёта сержант т. Конев во время боя был ранен, но продолжал вести огонь. Он уничтожил вражеский пулемёт и обратил в бегство большую группу гитлеровцев. Красноармеец т. Максютин подобрался к немецким траншеям и огнём из автомата уничтожил 20 гитлеровцев. Красноармеец т. Скибин одним из первых ворвался в немецкие траншеи и, действуя штыком и прикладом, уложил 15 немцев, красноармеец т. Пархоменко огнём и штыком истребил до 20 гитлеровцев. В результате боя наши подразделения уничтожили свыше 200 солдат и офицеров противника и успешно выполнили поставленную перед ними задачу.</w:t>
      </w:r>
    </w:p>
    <w:p w14:paraId="4CC1BDAE"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Восточнее Чугуева произвели посадку два немецких самолёта. Лётчики взяты в плен.</w:t>
      </w:r>
    </w:p>
    <w:p w14:paraId="3F968E5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происходили активные действия разведывательных групп. На одном участке советские бойцы пробрались в тыл противника и устроили засаду на дороге. Вскоре показался отряд немцев. Когда гитлеровцы приблизились на расстояние в 6—7 метров, разведчики дали залп. С перепугу немцы повалились наземлю. Советские бойцы огнём из автоматов и штыками истребили 15 гитлеровцев, а пятерых захватили в плен.</w:t>
      </w:r>
    </w:p>
    <w:p w14:paraId="0DDF46B9"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подразделения уничтожили до 180 вражеских солдат и офицеров. Советские артиллеристы совершили несколько огневых налётов на позиции противника, разрушили 13 немецких дзотов и 5 блиндажей, уничтожили 5 пулемётов и подавили огонь нескольких артиллерийских и миномётных батарей. Снайперы младший сержант Николай Залесский и ефрейтор Зиновий Шарков за день выследили и истребили 11 гитлеровцев.</w:t>
      </w:r>
    </w:p>
    <w:p w14:paraId="49A8D3A4"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Минской области, в течение нескольких дней вёл упорные бои с немецкой карательной экспедицией. Партизаны нанесли гитлеровцам тяжёлый урон и вынудили их отступить. В этих боях советские патриоты истребили до 80 немецких солдат и офицеров, уничтожили 2 вражеских танка, 2 миномёта, 4 пулемёта и 8 автомашин. Захвачены 2 орудия, 30 винтовок, легковая автомашина и другие трофеи. Группа партизан пустила под откос два воинских эшелона противника. Немецкая восстановительная железнодорожная часть извлекла из-под обломков вагонов 211 убитых и раненых немецких солдат и офицеров.</w:t>
      </w:r>
    </w:p>
    <w:p w14:paraId="6CCC096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Свыше пяти месяцев трудящиеся Карачаевской автономной области томились под пятой немецких оккупантов. Эти месяцы были самыми тяжёлыми и мрачными в истории Карачая. Гитлеровцы уничтожали материальные богатства, культурные и исторические ценности области, беспощадно истребляли мирное население станиц и аулов. В Микояновском районе немецкие людоеды замучили и расстреляли 860 стариков, женщин и детей. В Зеленчукском районе от рук фашистских мерзавцев погибло 260 мирных жителей. В Преградненском районе гитлеровцы истребили 280 мирных советских граждан. На курорте Теберда гитлеровцы уморили голодом многих детей, находившихся в костнотуберкулёзных санаториях. Немцы арестовали большую группу медицинских работников и пригнали их к подножью горы в двух километрах севернее курорта Теберда. Здесь палачи заставили арестованных вырыть могилы, а затем всех их расстреляли. Сотни советских людей погибли в немецких застенках и концентрационных лагерях. Советский народ никогда не простит подлому врагу его кровавых преступлений и отомстит фашистским убийцам за все их чудовищные злодеяния.» (14931).</w:t>
      </w:r>
    </w:p>
    <w:p w14:paraId="6A91918D" w14:textId="77777777" w:rsidR="00B8369C" w:rsidRPr="00D03F3E" w:rsidRDefault="00B8369C" w:rsidP="00D03F3E">
      <w:pPr>
        <w:spacing w:after="0" w:line="240" w:lineRule="auto"/>
        <w:jc w:val="both"/>
        <w:rPr>
          <w:rFonts w:ascii="Times New Roman" w:hAnsi="Times New Roman"/>
          <w:color w:val="000000" w:themeColor="text1"/>
          <w:sz w:val="16"/>
          <w:szCs w:val="16"/>
        </w:rPr>
      </w:pPr>
    </w:p>
    <w:p w14:paraId="6D89C60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июня 1943 г.</w:t>
      </w:r>
    </w:p>
    <w:p w14:paraId="597F0BC1"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Продолжительность боевой службы в зависимости от степени сопротивления противника</w:t>
      </w:r>
    </w:p>
    <w:p w14:paraId="79F2C5D9"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данным 2-го отдела ОУ штаба ВВС КА, 23 июня 1943 г.)</w:t>
      </w:r>
    </w:p>
    <w:tbl>
      <w:tblPr>
        <w:tblW w:w="0" w:type="auto"/>
        <w:tblLayout w:type="fixed"/>
        <w:tblCellMar>
          <w:left w:w="10" w:type="dxa"/>
          <w:right w:w="10" w:type="dxa"/>
        </w:tblCellMar>
        <w:tblLook w:val="04A0" w:firstRow="1" w:lastRow="0" w:firstColumn="1" w:lastColumn="0" w:noHBand="0" w:noVBand="1"/>
      </w:tblPr>
      <w:tblGrid>
        <w:gridCol w:w="979"/>
        <w:gridCol w:w="1070"/>
        <w:gridCol w:w="1853"/>
        <w:gridCol w:w="1267"/>
        <w:gridCol w:w="437"/>
        <w:gridCol w:w="437"/>
        <w:gridCol w:w="365"/>
        <w:gridCol w:w="360"/>
        <w:gridCol w:w="365"/>
        <w:gridCol w:w="360"/>
        <w:gridCol w:w="365"/>
        <w:gridCol w:w="360"/>
        <w:gridCol w:w="365"/>
        <w:gridCol w:w="365"/>
        <w:gridCol w:w="403"/>
        <w:gridCol w:w="518"/>
        <w:gridCol w:w="542"/>
      </w:tblGrid>
      <w:tr w:rsidR="00860B4B" w:rsidRPr="00D03F3E" w14:paraId="07AC58DF" w14:textId="77777777" w:rsidTr="00807FA7">
        <w:trPr>
          <w:trHeight w:val="418"/>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719D14C2"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Авиационные объединения и фронт</w:t>
            </w:r>
          </w:p>
        </w:tc>
        <w:tc>
          <w:tcPr>
            <w:tcW w:w="1070" w:type="dxa"/>
            <w:tcBorders>
              <w:top w:val="single" w:sz="4" w:space="0" w:color="auto"/>
              <w:left w:val="single" w:sz="4" w:space="0" w:color="auto"/>
              <w:bottom w:val="single" w:sz="4" w:space="0" w:color="auto"/>
              <w:right w:val="single" w:sz="4" w:space="0" w:color="auto"/>
            </w:tcBorders>
            <w:shd w:val="clear" w:color="auto" w:fill="FFFFFF"/>
          </w:tcPr>
          <w:p w14:paraId="32324B4A"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Учтенный период</w:t>
            </w:r>
          </w:p>
        </w:tc>
        <w:tc>
          <w:tcPr>
            <w:tcW w:w="1853" w:type="dxa"/>
            <w:vMerge w:val="restart"/>
            <w:tcBorders>
              <w:top w:val="single" w:sz="4" w:space="0" w:color="auto"/>
              <w:left w:val="single" w:sz="4" w:space="0" w:color="auto"/>
              <w:bottom w:val="single" w:sz="4" w:space="0" w:color="auto"/>
              <w:right w:val="single" w:sz="4" w:space="0" w:color="auto"/>
            </w:tcBorders>
            <w:shd w:val="clear" w:color="auto" w:fill="FFFFFF"/>
          </w:tcPr>
          <w:p w14:paraId="4E7F369D"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Степень сопротивления с земли и а воздук»</w:t>
            </w: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015F11F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Рода авиации</w:t>
            </w:r>
          </w:p>
        </w:tc>
        <w:tc>
          <w:tcPr>
            <w:tcW w:w="874" w:type="dxa"/>
            <w:gridSpan w:val="2"/>
            <w:tcBorders>
              <w:top w:val="single" w:sz="4" w:space="0" w:color="auto"/>
              <w:left w:val="single" w:sz="4" w:space="0" w:color="auto"/>
              <w:bottom w:val="single" w:sz="4" w:space="0" w:color="auto"/>
              <w:right w:val="single" w:sz="4" w:space="0" w:color="auto"/>
            </w:tcBorders>
            <w:shd w:val="clear" w:color="auto" w:fill="FFFFFF"/>
          </w:tcPr>
          <w:p w14:paraId="3741A812"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Учтенные с в и часы</w:t>
            </w:r>
          </w:p>
        </w:tc>
        <w:tc>
          <w:tcPr>
            <w:tcW w:w="3308" w:type="dxa"/>
            <w:gridSpan w:val="9"/>
            <w:tcBorders>
              <w:top w:val="single" w:sz="4" w:space="0" w:color="auto"/>
              <w:left w:val="single" w:sz="4" w:space="0" w:color="auto"/>
              <w:bottom w:val="single" w:sz="4" w:space="0" w:color="auto"/>
              <w:right w:val="single" w:sz="4" w:space="0" w:color="auto"/>
            </w:tcBorders>
            <w:shd w:val="clear" w:color="auto" w:fill="FFFFFF"/>
          </w:tcPr>
          <w:p w14:paraId="6CD984DE"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p w14:paraId="6FCB2524"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Боевые потери самолетов (колич-во ч I</w:t>
            </w:r>
          </w:p>
        </w:tc>
        <w:tc>
          <w:tcPr>
            <w:tcW w:w="1060" w:type="dxa"/>
            <w:gridSpan w:val="2"/>
            <w:tcBorders>
              <w:top w:val="single" w:sz="4" w:space="0" w:color="auto"/>
              <w:left w:val="single" w:sz="4" w:space="0" w:color="auto"/>
              <w:bottom w:val="single" w:sz="4" w:space="0" w:color="auto"/>
              <w:right w:val="single" w:sz="4" w:space="0" w:color="auto"/>
            </w:tcBorders>
            <w:shd w:val="clear" w:color="auto" w:fill="FFFFFF"/>
          </w:tcPr>
          <w:p w14:paraId="5F5CD6E1"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Налет на одну</w:t>
            </w:r>
          </w:p>
        </w:tc>
      </w:tr>
      <w:tr w:rsidR="00860B4B" w:rsidRPr="00D03F3E" w14:paraId="7DC45E26" w14:textId="77777777" w:rsidTr="00807FA7">
        <w:trPr>
          <w:trHeight w:val="226"/>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79DA2266"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1070" w:type="dxa"/>
            <w:tcBorders>
              <w:top w:val="single" w:sz="4" w:space="0" w:color="auto"/>
              <w:left w:val="single" w:sz="4" w:space="0" w:color="auto"/>
              <w:bottom w:val="single" w:sz="4" w:space="0" w:color="auto"/>
              <w:right w:val="single" w:sz="4" w:space="0" w:color="auto"/>
            </w:tcBorders>
            <w:shd w:val="clear" w:color="auto" w:fill="FFFFFF"/>
          </w:tcPr>
          <w:p w14:paraId="40669685"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1853" w:type="dxa"/>
            <w:vMerge/>
            <w:tcBorders>
              <w:top w:val="single" w:sz="4" w:space="0" w:color="auto"/>
              <w:left w:val="single" w:sz="4" w:space="0" w:color="auto"/>
              <w:bottom w:val="single" w:sz="4" w:space="0" w:color="auto"/>
              <w:right w:val="single" w:sz="4" w:space="0" w:color="auto"/>
            </w:tcBorders>
            <w:shd w:val="clear" w:color="auto" w:fill="FFFFFF"/>
          </w:tcPr>
          <w:p w14:paraId="3AA942B6"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0A710428"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2CB92350"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558C710E"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часы</w:t>
            </w:r>
          </w:p>
        </w:tc>
        <w:tc>
          <w:tcPr>
            <w:tcW w:w="725" w:type="dxa"/>
            <w:gridSpan w:val="2"/>
            <w:tcBorders>
              <w:top w:val="single" w:sz="4" w:space="0" w:color="auto"/>
              <w:left w:val="single" w:sz="4" w:space="0" w:color="auto"/>
              <w:bottom w:val="single" w:sz="4" w:space="0" w:color="auto"/>
              <w:right w:val="single" w:sz="4" w:space="0" w:color="auto"/>
            </w:tcBorders>
            <w:shd w:val="clear" w:color="auto" w:fill="FFFFFF"/>
          </w:tcPr>
          <w:p w14:paraId="07D9FA62"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ИА</w:t>
            </w:r>
          </w:p>
        </w:tc>
        <w:tc>
          <w:tcPr>
            <w:tcW w:w="725" w:type="dxa"/>
            <w:gridSpan w:val="2"/>
            <w:tcBorders>
              <w:top w:val="single" w:sz="4" w:space="0" w:color="auto"/>
              <w:left w:val="single" w:sz="4" w:space="0" w:color="auto"/>
              <w:bottom w:val="single" w:sz="4" w:space="0" w:color="auto"/>
              <w:right w:val="single" w:sz="4" w:space="0" w:color="auto"/>
            </w:tcBorders>
            <w:shd w:val="clear" w:color="auto" w:fill="FFFFFF"/>
          </w:tcPr>
          <w:p w14:paraId="50674257"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w:t>
            </w:r>
          </w:p>
        </w:tc>
        <w:tc>
          <w:tcPr>
            <w:tcW w:w="725" w:type="dxa"/>
            <w:gridSpan w:val="2"/>
            <w:tcBorders>
              <w:top w:val="single" w:sz="4" w:space="0" w:color="auto"/>
              <w:left w:val="single" w:sz="4" w:space="0" w:color="auto"/>
              <w:bottom w:val="single" w:sz="4" w:space="0" w:color="auto"/>
              <w:right w:val="single" w:sz="4" w:space="0" w:color="auto"/>
            </w:tcBorders>
            <w:shd w:val="clear" w:color="auto" w:fill="FFFFFF"/>
          </w:tcPr>
          <w:p w14:paraId="2468DB0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АЭ</w:t>
            </w:r>
          </w:p>
        </w:tc>
        <w:tc>
          <w:tcPr>
            <w:tcW w:w="730" w:type="dxa"/>
            <w:gridSpan w:val="2"/>
            <w:tcBorders>
              <w:top w:val="single" w:sz="4" w:space="0" w:color="auto"/>
              <w:left w:val="single" w:sz="4" w:space="0" w:color="auto"/>
              <w:bottom w:val="single" w:sz="4" w:space="0" w:color="auto"/>
              <w:right w:val="single" w:sz="4" w:space="0" w:color="auto"/>
            </w:tcBorders>
            <w:shd w:val="clear" w:color="auto" w:fill="FFFFFF"/>
          </w:tcPr>
          <w:p w14:paraId="65A83439"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нбэ</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00E858E2"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6CA6985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4E2F0AF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часы</w:t>
            </w:r>
          </w:p>
        </w:tc>
      </w:tr>
      <w:tr w:rsidR="00860B4B" w:rsidRPr="00D03F3E" w14:paraId="510A1C17" w14:textId="77777777" w:rsidTr="00807FA7">
        <w:trPr>
          <w:trHeight w:val="307"/>
        </w:trPr>
        <w:tc>
          <w:tcPr>
            <w:tcW w:w="979" w:type="dxa"/>
            <w:vMerge w:val="restart"/>
            <w:tcBorders>
              <w:top w:val="single" w:sz="4" w:space="0" w:color="auto"/>
              <w:left w:val="single" w:sz="4" w:space="0" w:color="auto"/>
              <w:bottom w:val="single" w:sz="4" w:space="0" w:color="auto"/>
              <w:right w:val="single" w:sz="4" w:space="0" w:color="auto"/>
            </w:tcBorders>
            <w:shd w:val="clear" w:color="auto" w:fill="FFFFFF"/>
          </w:tcPr>
          <w:p w14:paraId="715CCF6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ВВС 7 ОА</w:t>
            </w:r>
          </w:p>
        </w:tc>
        <w:tc>
          <w:tcPr>
            <w:tcW w:w="1070" w:type="dxa"/>
            <w:tcBorders>
              <w:top w:val="single" w:sz="4" w:space="0" w:color="auto"/>
              <w:left w:val="single" w:sz="4" w:space="0" w:color="auto"/>
              <w:bottom w:val="single" w:sz="4" w:space="0" w:color="auto"/>
              <w:right w:val="single" w:sz="4" w:space="0" w:color="auto"/>
            </w:tcBorders>
            <w:shd w:val="clear" w:color="auto" w:fill="FFFFFF"/>
          </w:tcPr>
          <w:p w14:paraId="108D054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1-й год войны</w:t>
            </w:r>
          </w:p>
        </w:tc>
        <w:tc>
          <w:tcPr>
            <w:tcW w:w="1853" w:type="dxa"/>
            <w:vMerge w:val="restart"/>
            <w:tcBorders>
              <w:top w:val="single" w:sz="4" w:space="0" w:color="auto"/>
              <w:left w:val="single" w:sz="4" w:space="0" w:color="auto"/>
              <w:bottom w:val="single" w:sz="4" w:space="0" w:color="auto"/>
              <w:right w:val="single" w:sz="4" w:space="0" w:color="auto"/>
            </w:tcBorders>
            <w:shd w:val="clear" w:color="auto" w:fill="FFFFFF"/>
          </w:tcPr>
          <w:p w14:paraId="0D100F19"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Слабое сопротивление ИА противника, имеющиеся самолеты финской авиации</w:t>
            </w: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3C1FDC31"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Бомбардировщики*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2D4F20CA"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1518</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4FA9A8D1"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1734</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3ABE460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30921852"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6FBBD315"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39DCFE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83DB3C0"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22596A1"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57107C1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E74B9B9"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4F05B95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29A4DF61"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152</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351A67BA"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173</w:t>
            </w:r>
          </w:p>
        </w:tc>
      </w:tr>
      <w:tr w:rsidR="00860B4B" w:rsidRPr="00D03F3E" w14:paraId="7A71C795" w14:textId="77777777" w:rsidTr="00807FA7">
        <w:trPr>
          <w:trHeight w:val="288"/>
        </w:trPr>
        <w:tc>
          <w:tcPr>
            <w:tcW w:w="979" w:type="dxa"/>
            <w:vMerge/>
            <w:tcBorders>
              <w:top w:val="single" w:sz="4" w:space="0" w:color="auto"/>
              <w:left w:val="single" w:sz="4" w:space="0" w:color="auto"/>
              <w:bottom w:val="single" w:sz="4" w:space="0" w:color="auto"/>
              <w:right w:val="single" w:sz="4" w:space="0" w:color="auto"/>
            </w:tcBorders>
            <w:shd w:val="clear" w:color="auto" w:fill="FFFFFF"/>
          </w:tcPr>
          <w:p w14:paraId="0BE4902D"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1070" w:type="dxa"/>
            <w:tcBorders>
              <w:top w:val="single" w:sz="4" w:space="0" w:color="auto"/>
              <w:left w:val="single" w:sz="4" w:space="0" w:color="auto"/>
              <w:bottom w:val="single" w:sz="4" w:space="0" w:color="auto"/>
              <w:right w:val="single" w:sz="4" w:space="0" w:color="auto"/>
            </w:tcBorders>
            <w:shd w:val="clear" w:color="auto" w:fill="FFFFFF"/>
          </w:tcPr>
          <w:p w14:paraId="5A7BBE7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март 1943 г.</w:t>
            </w:r>
          </w:p>
        </w:tc>
        <w:tc>
          <w:tcPr>
            <w:tcW w:w="1853" w:type="dxa"/>
            <w:vMerge/>
            <w:tcBorders>
              <w:top w:val="single" w:sz="4" w:space="0" w:color="auto"/>
              <w:left w:val="single" w:sz="4" w:space="0" w:color="auto"/>
              <w:bottom w:val="single" w:sz="4" w:space="0" w:color="auto"/>
              <w:right w:val="single" w:sz="4" w:space="0" w:color="auto"/>
            </w:tcBorders>
            <w:shd w:val="clear" w:color="auto" w:fill="FFFFFF"/>
          </w:tcPr>
          <w:p w14:paraId="58463325"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1824E577"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Истребители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5A83C39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8172</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0BF3955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6877</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1AB5968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35D9EE7"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79A5CB2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8704D3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374F4F7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8A82DD7"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66F39859"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A28894A"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7027B87E"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3EDDA71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139</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58601E2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117</w:t>
            </w:r>
          </w:p>
        </w:tc>
      </w:tr>
      <w:tr w:rsidR="00860B4B" w:rsidRPr="00D03F3E" w14:paraId="59C2257C" w14:textId="77777777" w:rsidTr="00807FA7">
        <w:trPr>
          <w:trHeight w:val="230"/>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7A02A446"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FFFFFF"/>
          </w:tcPr>
          <w:p w14:paraId="52650917"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Октябрь-декабрь 1942 г.</w:t>
            </w:r>
          </w:p>
        </w:tc>
        <w:tc>
          <w:tcPr>
            <w:tcW w:w="1853" w:type="dxa"/>
            <w:vMerge w:val="restart"/>
            <w:tcBorders>
              <w:top w:val="single" w:sz="4" w:space="0" w:color="auto"/>
              <w:left w:val="single" w:sz="4" w:space="0" w:color="auto"/>
              <w:bottom w:val="single" w:sz="4" w:space="0" w:color="auto"/>
              <w:right w:val="single" w:sz="4" w:space="0" w:color="auto"/>
            </w:tcBorders>
            <w:shd w:val="clear" w:color="auto" w:fill="FFFFFF"/>
          </w:tcPr>
          <w:p w14:paraId="091A945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Напряженные бои в воздухе. Действия по отходящим</w:t>
            </w: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5BB9B767"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Бомбардировщики*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7EBDD689"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420</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53DC4A1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585</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45134C2A"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05DD21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7A523065"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3E1783A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723A71E"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DCEFBD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8A168EA"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534296B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3C9E1100"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16FF1142"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5245C5CD"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w:t>
            </w:r>
          </w:p>
        </w:tc>
      </w:tr>
      <w:tr w:rsidR="00860B4B" w:rsidRPr="00D03F3E" w14:paraId="4FA9A55E" w14:textId="77777777" w:rsidTr="00807FA7">
        <w:trPr>
          <w:trHeight w:val="226"/>
        </w:trPr>
        <w:tc>
          <w:tcPr>
            <w:tcW w:w="979" w:type="dxa"/>
            <w:vMerge w:val="restart"/>
            <w:tcBorders>
              <w:top w:val="single" w:sz="4" w:space="0" w:color="auto"/>
              <w:left w:val="single" w:sz="4" w:space="0" w:color="auto"/>
              <w:bottom w:val="single" w:sz="4" w:space="0" w:color="auto"/>
              <w:right w:val="single" w:sz="4" w:space="0" w:color="auto"/>
            </w:tcBorders>
            <w:shd w:val="clear" w:color="auto" w:fill="FFFFFF"/>
          </w:tcPr>
          <w:p w14:paraId="0824E1FD"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16ВАи2бак (Сталинград</w:t>
            </w:r>
            <w:r w:rsidRPr="00D03F3E">
              <w:rPr>
                <w:rFonts w:ascii="Times New Roman" w:hAnsi="Times New Roman"/>
                <w:color w:val="000000" w:themeColor="text1"/>
                <w:sz w:val="16"/>
                <w:szCs w:val="16"/>
              </w:rPr>
              <w:softHyphen/>
            </w:r>
          </w:p>
        </w:tc>
        <w:tc>
          <w:tcPr>
            <w:tcW w:w="1070" w:type="dxa"/>
            <w:vMerge/>
            <w:tcBorders>
              <w:top w:val="single" w:sz="4" w:space="0" w:color="auto"/>
              <w:left w:val="single" w:sz="4" w:space="0" w:color="auto"/>
              <w:bottom w:val="single" w:sz="4" w:space="0" w:color="auto"/>
              <w:right w:val="single" w:sz="4" w:space="0" w:color="auto"/>
            </w:tcBorders>
            <w:shd w:val="clear" w:color="auto" w:fill="FFFFFF"/>
          </w:tcPr>
          <w:p w14:paraId="09FE5585"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1853" w:type="dxa"/>
            <w:vMerge/>
            <w:tcBorders>
              <w:top w:val="single" w:sz="4" w:space="0" w:color="auto"/>
              <w:left w:val="single" w:sz="4" w:space="0" w:color="auto"/>
              <w:bottom w:val="single" w:sz="4" w:space="0" w:color="auto"/>
              <w:right w:val="single" w:sz="4" w:space="0" w:color="auto"/>
            </w:tcBorders>
            <w:shd w:val="clear" w:color="auto" w:fill="FFFFFF"/>
          </w:tcPr>
          <w:p w14:paraId="7D23820A"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5640B8B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Истребители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0BFAFA5B"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2353</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36633F8A"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1926</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188959BE"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84481D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7373C87"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D19CBD5"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31AD541D"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180BD0B"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2E1270A"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32A36E85"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42D3AD8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4DB4B2EA"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81</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28408E8E"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w:t>
            </w:r>
          </w:p>
        </w:tc>
      </w:tr>
      <w:tr w:rsidR="00860B4B" w:rsidRPr="00D03F3E" w14:paraId="23838F55" w14:textId="77777777" w:rsidTr="00807FA7">
        <w:trPr>
          <w:trHeight w:val="230"/>
        </w:trPr>
        <w:tc>
          <w:tcPr>
            <w:tcW w:w="979" w:type="dxa"/>
            <w:vMerge/>
            <w:tcBorders>
              <w:top w:val="single" w:sz="4" w:space="0" w:color="auto"/>
              <w:left w:val="single" w:sz="4" w:space="0" w:color="auto"/>
              <w:bottom w:val="single" w:sz="4" w:space="0" w:color="auto"/>
              <w:right w:val="single" w:sz="4" w:space="0" w:color="auto"/>
            </w:tcBorders>
            <w:shd w:val="clear" w:color="auto" w:fill="FFFFFF"/>
          </w:tcPr>
          <w:p w14:paraId="3A39E170"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1070" w:type="dxa"/>
            <w:vMerge/>
            <w:tcBorders>
              <w:top w:val="single" w:sz="4" w:space="0" w:color="auto"/>
              <w:left w:val="single" w:sz="4" w:space="0" w:color="auto"/>
              <w:bottom w:val="single" w:sz="4" w:space="0" w:color="auto"/>
              <w:right w:val="single" w:sz="4" w:space="0" w:color="auto"/>
            </w:tcBorders>
            <w:shd w:val="clear" w:color="auto" w:fill="FFFFFF"/>
          </w:tcPr>
          <w:p w14:paraId="598A5ACE"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1853" w:type="dxa"/>
            <w:tcBorders>
              <w:top w:val="single" w:sz="4" w:space="0" w:color="auto"/>
              <w:left w:val="single" w:sz="4" w:space="0" w:color="auto"/>
              <w:bottom w:val="single" w:sz="4" w:space="0" w:color="auto"/>
              <w:right w:val="single" w:sz="4" w:space="0" w:color="auto"/>
            </w:tcBorders>
            <w:shd w:val="clear" w:color="auto" w:fill="FFFFFF"/>
          </w:tcPr>
          <w:p w14:paraId="2BCA77DD"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частям и в кольце окружения</w:t>
            </w: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116529C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Штурмовики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70FFD47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1954</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21869CAB"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2027</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443511E1"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2FBC2B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4F691E5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EBD3311"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0B5CCFA5"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296B6D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6AF073D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59A2D3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26C4B96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58</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6409368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507E976A"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tc>
      </w:tr>
      <w:tr w:rsidR="00860B4B" w:rsidRPr="00D03F3E" w14:paraId="450ED3CB" w14:textId="77777777" w:rsidTr="00807FA7">
        <w:trPr>
          <w:trHeight w:val="230"/>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091E70D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ский и Донской</w:t>
            </w:r>
          </w:p>
        </w:tc>
        <w:tc>
          <w:tcPr>
            <w:tcW w:w="1070" w:type="dxa"/>
            <w:tcBorders>
              <w:top w:val="single" w:sz="4" w:space="0" w:color="auto"/>
              <w:left w:val="single" w:sz="4" w:space="0" w:color="auto"/>
              <w:bottom w:val="single" w:sz="4" w:space="0" w:color="auto"/>
              <w:right w:val="single" w:sz="4" w:space="0" w:color="auto"/>
            </w:tcBorders>
            <w:shd w:val="clear" w:color="auto" w:fill="FFFFFF"/>
          </w:tcPr>
          <w:p w14:paraId="6FDBD473"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1853" w:type="dxa"/>
            <w:vMerge w:val="restart"/>
            <w:tcBorders>
              <w:top w:val="single" w:sz="4" w:space="0" w:color="auto"/>
              <w:left w:val="single" w:sz="4" w:space="0" w:color="auto"/>
              <w:bottom w:val="single" w:sz="4" w:space="0" w:color="auto"/>
              <w:right w:val="single" w:sz="4" w:space="0" w:color="auto"/>
            </w:tcBorders>
            <w:shd w:val="clear" w:color="auto" w:fill="FFFFFF"/>
          </w:tcPr>
          <w:p w14:paraId="5F7232A4"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Действия по окруженной груп</w:t>
            </w:r>
            <w:r w:rsidRPr="00D03F3E">
              <w:rPr>
                <w:rFonts w:ascii="Times New Roman" w:hAnsi="Times New Roman"/>
                <w:color w:val="000000" w:themeColor="text1"/>
                <w:sz w:val="16"/>
                <w:szCs w:val="16"/>
              </w:rPr>
              <w:softHyphen/>
              <w:t>пировке в Сталинграде. Пол</w:t>
            </w:r>
            <w:r w:rsidRPr="00D03F3E">
              <w:rPr>
                <w:rFonts w:ascii="Times New Roman" w:hAnsi="Times New Roman"/>
                <w:color w:val="000000" w:themeColor="text1"/>
                <w:sz w:val="16"/>
                <w:szCs w:val="16"/>
              </w:rPr>
              <w:softHyphen/>
            </w: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3B0DA8F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Бомбардировщики'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16175749"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1554</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187C394E"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1983</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70AF1822"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83DD667"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4756DF3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ABF45B5"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46E21814"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AC2A39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480B8A89"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7DCE9510"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79398B35"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2F9E6EF5"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518</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6C138CD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661</w:t>
            </w:r>
          </w:p>
        </w:tc>
      </w:tr>
      <w:tr w:rsidR="00860B4B" w:rsidRPr="00D03F3E" w14:paraId="410D4064" w14:textId="77777777" w:rsidTr="00807FA7">
        <w:trPr>
          <w:trHeight w:val="226"/>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64DFFBDE"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фронты)</w:t>
            </w:r>
          </w:p>
        </w:tc>
        <w:tc>
          <w:tcPr>
            <w:tcW w:w="1070" w:type="dxa"/>
            <w:tcBorders>
              <w:top w:val="single" w:sz="4" w:space="0" w:color="auto"/>
              <w:left w:val="single" w:sz="4" w:space="0" w:color="auto"/>
              <w:bottom w:val="single" w:sz="4" w:space="0" w:color="auto"/>
              <w:right w:val="single" w:sz="4" w:space="0" w:color="auto"/>
            </w:tcBorders>
            <w:shd w:val="clear" w:color="auto" w:fill="FFFFFF"/>
          </w:tcPr>
          <w:p w14:paraId="7FCE6DC7"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Январь 1943 г.</w:t>
            </w:r>
          </w:p>
        </w:tc>
        <w:tc>
          <w:tcPr>
            <w:tcW w:w="1853" w:type="dxa"/>
            <w:vMerge/>
            <w:tcBorders>
              <w:top w:val="single" w:sz="4" w:space="0" w:color="auto"/>
              <w:left w:val="single" w:sz="4" w:space="0" w:color="auto"/>
              <w:bottom w:val="single" w:sz="4" w:space="0" w:color="auto"/>
              <w:right w:val="single" w:sz="4" w:space="0" w:color="auto"/>
            </w:tcBorders>
            <w:shd w:val="clear" w:color="auto" w:fill="FFFFFF"/>
          </w:tcPr>
          <w:p w14:paraId="2D566E58"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67D3F3F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Истребители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49434E4E"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1769</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361FDEAD"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1328</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7FAE729A"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26F8364"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6B10807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31E7AED"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735EBA6D"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422C9D5"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15A5A8F4"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0F4F5171"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70F4036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5C32D4AA"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197</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2515669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148</w:t>
            </w:r>
          </w:p>
        </w:tc>
      </w:tr>
      <w:tr w:rsidR="00860B4B" w:rsidRPr="00D03F3E" w14:paraId="7A2FCB85" w14:textId="77777777" w:rsidTr="00807FA7">
        <w:trPr>
          <w:trHeight w:val="235"/>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346C0323"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1070" w:type="dxa"/>
            <w:tcBorders>
              <w:top w:val="single" w:sz="4" w:space="0" w:color="auto"/>
              <w:left w:val="single" w:sz="4" w:space="0" w:color="auto"/>
              <w:bottom w:val="single" w:sz="4" w:space="0" w:color="auto"/>
              <w:right w:val="single" w:sz="4" w:space="0" w:color="auto"/>
            </w:tcBorders>
            <w:shd w:val="clear" w:color="auto" w:fill="FFFFFF"/>
          </w:tcPr>
          <w:p w14:paraId="2EC12225"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1853" w:type="dxa"/>
            <w:tcBorders>
              <w:top w:val="single" w:sz="4" w:space="0" w:color="auto"/>
              <w:left w:val="single" w:sz="4" w:space="0" w:color="auto"/>
              <w:bottom w:val="single" w:sz="4" w:space="0" w:color="auto"/>
              <w:right w:val="single" w:sz="4" w:space="0" w:color="auto"/>
            </w:tcBorders>
            <w:shd w:val="clear" w:color="auto" w:fill="FFFFFF"/>
          </w:tcPr>
          <w:p w14:paraId="4247A36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ное отсутствие ИА противника</w:t>
            </w: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5154AEF0"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Штурмовики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38C80514"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685</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6C77AC9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530</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46247B3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097B18B"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5682DCB0"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55938CE"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7AE53F94"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7C4FDA3"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6B432D34"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0B2A1FAD"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6A0DE605"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323E342B"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114</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1764341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88</w:t>
            </w:r>
          </w:p>
        </w:tc>
      </w:tr>
      <w:tr w:rsidR="00860B4B" w:rsidRPr="00D03F3E" w14:paraId="617EF0DF" w14:textId="77777777" w:rsidTr="00807FA7">
        <w:trPr>
          <w:trHeight w:val="230"/>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169F93B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17ВАиЗсак</w:t>
            </w:r>
          </w:p>
        </w:tc>
        <w:tc>
          <w:tcPr>
            <w:tcW w:w="1070" w:type="dxa"/>
            <w:tcBorders>
              <w:top w:val="single" w:sz="4" w:space="0" w:color="auto"/>
              <w:left w:val="single" w:sz="4" w:space="0" w:color="auto"/>
              <w:bottom w:val="single" w:sz="4" w:space="0" w:color="auto"/>
              <w:right w:val="single" w:sz="4" w:space="0" w:color="auto"/>
            </w:tcBorders>
            <w:shd w:val="clear" w:color="auto" w:fill="FFFFFF"/>
          </w:tcPr>
          <w:p w14:paraId="02F3C58E"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1853" w:type="dxa"/>
            <w:vMerge w:val="restart"/>
            <w:tcBorders>
              <w:top w:val="single" w:sz="4" w:space="0" w:color="auto"/>
              <w:left w:val="single" w:sz="4" w:space="0" w:color="auto"/>
              <w:bottom w:val="single" w:sz="4" w:space="0" w:color="auto"/>
              <w:right w:val="single" w:sz="4" w:space="0" w:color="auto"/>
            </w:tcBorders>
            <w:shd w:val="clear" w:color="auto" w:fill="FFFFFF"/>
          </w:tcPr>
          <w:p w14:paraId="5CEE90C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Действия по отходящим войскам противника</w:t>
            </w: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47352B57"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Бомбардировщики*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5DCC7B8D"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788</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08ACACFD"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112</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63751470"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D9E052D"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523945D2"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A38652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608D572B"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955E9E9"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5FFB4897"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461CA47E"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53DF553B"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39D5A202"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53B4FDF1"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r>
      <w:tr w:rsidR="00860B4B" w:rsidRPr="00D03F3E" w14:paraId="33F7B737" w14:textId="77777777" w:rsidTr="00807FA7">
        <w:trPr>
          <w:trHeight w:val="226"/>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5DEB918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(Юго-Западный</w:t>
            </w:r>
          </w:p>
        </w:tc>
        <w:tc>
          <w:tcPr>
            <w:tcW w:w="1070" w:type="dxa"/>
            <w:tcBorders>
              <w:top w:val="single" w:sz="4" w:space="0" w:color="auto"/>
              <w:left w:val="single" w:sz="4" w:space="0" w:color="auto"/>
              <w:bottom w:val="single" w:sz="4" w:space="0" w:color="auto"/>
              <w:right w:val="single" w:sz="4" w:space="0" w:color="auto"/>
            </w:tcBorders>
            <w:shd w:val="clear" w:color="auto" w:fill="FFFFFF"/>
          </w:tcPr>
          <w:p w14:paraId="313B8F5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Январь 1943 г.</w:t>
            </w:r>
          </w:p>
        </w:tc>
        <w:tc>
          <w:tcPr>
            <w:tcW w:w="1853" w:type="dxa"/>
            <w:vMerge/>
            <w:tcBorders>
              <w:top w:val="single" w:sz="4" w:space="0" w:color="auto"/>
              <w:left w:val="single" w:sz="4" w:space="0" w:color="auto"/>
              <w:bottom w:val="single" w:sz="4" w:space="0" w:color="auto"/>
              <w:right w:val="single" w:sz="4" w:space="0" w:color="auto"/>
            </w:tcBorders>
            <w:shd w:val="clear" w:color="auto" w:fill="FFFFFF"/>
          </w:tcPr>
          <w:p w14:paraId="54F6AA29"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15EAD185"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Истребители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6C74A0F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1417</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515153FE"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1215</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38100CC4"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5AC69EB5"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10C367FD"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33790D6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460426F9"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857F04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50A9BB1E"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1A7C5A3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64%</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2F9EEF64"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7F529442"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129</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1E0EAC61"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w:t>
            </w:r>
          </w:p>
        </w:tc>
      </w:tr>
      <w:tr w:rsidR="00860B4B" w:rsidRPr="00D03F3E" w14:paraId="19BC80ED" w14:textId="77777777" w:rsidTr="00807FA7">
        <w:trPr>
          <w:trHeight w:val="230"/>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413C98BD"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фронт)</w:t>
            </w:r>
          </w:p>
        </w:tc>
        <w:tc>
          <w:tcPr>
            <w:tcW w:w="1070" w:type="dxa"/>
            <w:tcBorders>
              <w:top w:val="single" w:sz="4" w:space="0" w:color="auto"/>
              <w:left w:val="single" w:sz="4" w:space="0" w:color="auto"/>
              <w:bottom w:val="single" w:sz="4" w:space="0" w:color="auto"/>
              <w:right w:val="single" w:sz="4" w:space="0" w:color="auto"/>
            </w:tcBorders>
            <w:shd w:val="clear" w:color="auto" w:fill="FFFFFF"/>
          </w:tcPr>
          <w:p w14:paraId="4CBC69BE"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1853" w:type="dxa"/>
            <w:vMerge/>
            <w:tcBorders>
              <w:top w:val="single" w:sz="4" w:space="0" w:color="auto"/>
              <w:left w:val="single" w:sz="4" w:space="0" w:color="auto"/>
              <w:bottom w:val="single" w:sz="4" w:space="0" w:color="auto"/>
              <w:right w:val="single" w:sz="4" w:space="0" w:color="auto"/>
            </w:tcBorders>
            <w:shd w:val="clear" w:color="auto" w:fill="FFFFFF"/>
          </w:tcPr>
          <w:p w14:paraId="73318B1E"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4EB2E9B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Штурмовики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40BD205E"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936</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328F9EE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878</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4ACFB4D9"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D59B3C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15520BE5"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79F11A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7C76109B"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586806B0"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9D57BD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7DFD6C4D"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7E30CDD0"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3154B0E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19137000"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w:t>
            </w:r>
          </w:p>
        </w:tc>
      </w:tr>
      <w:tr w:rsidR="00860B4B" w:rsidRPr="00D03F3E" w14:paraId="54EF9B7B" w14:textId="77777777" w:rsidTr="00807FA7">
        <w:trPr>
          <w:trHeight w:val="230"/>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6FAABE2A"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и 2 шак. 1 бак,</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FFFFFF"/>
          </w:tcPr>
          <w:p w14:paraId="044E48B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Октябрь 1942 г.- январь 1943 г.</w:t>
            </w:r>
          </w:p>
        </w:tc>
        <w:tc>
          <w:tcPr>
            <w:tcW w:w="1853" w:type="dxa"/>
            <w:vMerge w:val="restart"/>
            <w:tcBorders>
              <w:top w:val="single" w:sz="4" w:space="0" w:color="auto"/>
              <w:left w:val="single" w:sz="4" w:space="0" w:color="auto"/>
              <w:bottom w:val="single" w:sz="4" w:space="0" w:color="auto"/>
              <w:right w:val="single" w:sz="4" w:space="0" w:color="auto"/>
            </w:tcBorders>
            <w:shd w:val="clear" w:color="auto" w:fill="FFFFFF"/>
          </w:tcPr>
          <w:p w14:paraId="4A479CD2"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Упорная оборона на земле. Сильная ПВО и ожесточенные</w:t>
            </w: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3857FB0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Бомбардировщики*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22472EF7"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1046</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1FE17C45"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1931</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86921E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4479082"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87FBE65"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7B7E32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7491834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D65A17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0EF0437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325857DD"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022F7EE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7323E73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436A028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w:t>
            </w:r>
          </w:p>
        </w:tc>
      </w:tr>
      <w:tr w:rsidR="00860B4B" w:rsidRPr="00D03F3E" w14:paraId="2E35CE74" w14:textId="77777777" w:rsidTr="00807FA7">
        <w:trPr>
          <w:trHeight w:val="230"/>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072C9E7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иак(Калинин</w:t>
            </w:r>
            <w:r w:rsidRPr="00D03F3E">
              <w:rPr>
                <w:rFonts w:ascii="Times New Roman" w:hAnsi="Times New Roman"/>
                <w:color w:val="000000" w:themeColor="text1"/>
                <w:sz w:val="16"/>
                <w:szCs w:val="16"/>
              </w:rPr>
              <w:softHyphen/>
            </w:r>
          </w:p>
        </w:tc>
        <w:tc>
          <w:tcPr>
            <w:tcW w:w="1070" w:type="dxa"/>
            <w:vMerge/>
            <w:tcBorders>
              <w:top w:val="single" w:sz="4" w:space="0" w:color="auto"/>
              <w:left w:val="single" w:sz="4" w:space="0" w:color="auto"/>
              <w:bottom w:val="single" w:sz="4" w:space="0" w:color="auto"/>
              <w:right w:val="single" w:sz="4" w:space="0" w:color="auto"/>
            </w:tcBorders>
            <w:shd w:val="clear" w:color="auto" w:fill="FFFFFF"/>
          </w:tcPr>
          <w:p w14:paraId="55C91553"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1853" w:type="dxa"/>
            <w:vMerge/>
            <w:tcBorders>
              <w:top w:val="single" w:sz="4" w:space="0" w:color="auto"/>
              <w:left w:val="single" w:sz="4" w:space="0" w:color="auto"/>
              <w:bottom w:val="single" w:sz="4" w:space="0" w:color="auto"/>
              <w:right w:val="single" w:sz="4" w:space="0" w:color="auto"/>
            </w:tcBorders>
            <w:shd w:val="clear" w:color="auto" w:fill="FFFFFF"/>
          </w:tcPr>
          <w:p w14:paraId="1E43EAEB"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2E98041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Истребители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18E12A6A"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1175</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1124F25D"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1174</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517282B2"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310CC73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52449AE5"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725" w:type="dxa"/>
            <w:gridSpan w:val="2"/>
            <w:tcBorders>
              <w:top w:val="single" w:sz="4" w:space="0" w:color="auto"/>
              <w:left w:val="single" w:sz="4" w:space="0" w:color="auto"/>
              <w:bottom w:val="single" w:sz="4" w:space="0" w:color="auto"/>
              <w:right w:val="single" w:sz="4" w:space="0" w:color="auto"/>
            </w:tcBorders>
            <w:shd w:val="clear" w:color="auto" w:fill="FFFFFF"/>
          </w:tcPr>
          <w:p w14:paraId="2CF72952"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0F8F85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0A5D163A"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302A6E0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66CB32BE"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1C669212"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73</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25FE775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73</w:t>
            </w:r>
          </w:p>
        </w:tc>
      </w:tr>
      <w:tr w:rsidR="00860B4B" w:rsidRPr="00D03F3E" w14:paraId="058A5F0D" w14:textId="77777777" w:rsidTr="00807FA7">
        <w:trPr>
          <w:trHeight w:val="240"/>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613DFD4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ский фронт)</w:t>
            </w:r>
          </w:p>
        </w:tc>
        <w:tc>
          <w:tcPr>
            <w:tcW w:w="1070" w:type="dxa"/>
            <w:vMerge/>
            <w:tcBorders>
              <w:top w:val="single" w:sz="4" w:space="0" w:color="auto"/>
              <w:left w:val="single" w:sz="4" w:space="0" w:color="auto"/>
              <w:bottom w:val="single" w:sz="4" w:space="0" w:color="auto"/>
              <w:right w:val="single" w:sz="4" w:space="0" w:color="auto"/>
            </w:tcBorders>
            <w:shd w:val="clear" w:color="auto" w:fill="FFFFFF"/>
          </w:tcPr>
          <w:p w14:paraId="222B3F8D"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1853" w:type="dxa"/>
            <w:tcBorders>
              <w:top w:val="single" w:sz="4" w:space="0" w:color="auto"/>
              <w:left w:val="single" w:sz="4" w:space="0" w:color="auto"/>
              <w:bottom w:val="single" w:sz="4" w:space="0" w:color="auto"/>
              <w:right w:val="single" w:sz="4" w:space="0" w:color="auto"/>
            </w:tcBorders>
            <w:shd w:val="clear" w:color="auto" w:fill="FFFFFF"/>
          </w:tcPr>
          <w:p w14:paraId="7031D01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воздушные бои</w:t>
            </w: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420A358A"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Штурмовики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1CB4C7C7"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2196</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5E60CC32"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1945</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42868F21"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61</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3F2DAD3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48%</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565B1B14"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w:t>
            </w:r>
          </w:p>
        </w:tc>
        <w:tc>
          <w:tcPr>
            <w:tcW w:w="725" w:type="dxa"/>
            <w:gridSpan w:val="2"/>
            <w:tcBorders>
              <w:top w:val="single" w:sz="4" w:space="0" w:color="auto"/>
              <w:left w:val="single" w:sz="4" w:space="0" w:color="auto"/>
              <w:bottom w:val="single" w:sz="4" w:space="0" w:color="auto"/>
              <w:right w:val="single" w:sz="4" w:space="0" w:color="auto"/>
            </w:tcBorders>
            <w:shd w:val="clear" w:color="auto" w:fill="FFFFFF"/>
          </w:tcPr>
          <w:p w14:paraId="002AB10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 -</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0D5F61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B4EB211"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0511F2A2"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1C95EF5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126</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3F0BC92D"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4231A4C1"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w:t>
            </w:r>
          </w:p>
        </w:tc>
      </w:tr>
    </w:tbl>
    <w:p w14:paraId="286D2E85"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*Дневные (15763).</w:t>
      </w:r>
    </w:p>
    <w:p w14:paraId="7F9E720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при разработке ТТТ и при про</w:t>
      </w:r>
      <w:r w:rsidRPr="00D03F3E">
        <w:rPr>
          <w:rFonts w:ascii="Times New Roman" w:hAnsi="Times New Roman"/>
          <w:color w:val="000000" w:themeColor="text1"/>
          <w:sz w:val="16"/>
          <w:szCs w:val="16"/>
        </w:rPr>
        <w:softHyphen/>
        <w:t>ектировании новых истребителей рекомен</w:t>
      </w:r>
      <w:r w:rsidRPr="00D03F3E">
        <w:rPr>
          <w:rFonts w:ascii="Times New Roman" w:hAnsi="Times New Roman"/>
          <w:color w:val="000000" w:themeColor="text1"/>
          <w:sz w:val="16"/>
          <w:szCs w:val="16"/>
        </w:rPr>
        <w:softHyphen/>
        <w:t>довалось особое внимание обратить на гори</w:t>
      </w:r>
      <w:r w:rsidRPr="00D03F3E">
        <w:rPr>
          <w:rFonts w:ascii="Times New Roman" w:hAnsi="Times New Roman"/>
          <w:color w:val="000000" w:themeColor="text1"/>
          <w:sz w:val="16"/>
          <w:szCs w:val="16"/>
        </w:rPr>
        <w:softHyphen/>
        <w:t>зонтальную и вертикальную маневренность, броневую защиту и мощь вооружения. Требо</w:t>
      </w:r>
      <w:r w:rsidRPr="00D03F3E">
        <w:rPr>
          <w:rFonts w:ascii="Times New Roman" w:hAnsi="Times New Roman"/>
          <w:color w:val="000000" w:themeColor="text1"/>
          <w:sz w:val="16"/>
          <w:szCs w:val="16"/>
        </w:rPr>
        <w:softHyphen/>
        <w:t>валось «срочно поставить вопрос перед про</w:t>
      </w:r>
      <w:r w:rsidRPr="00D03F3E">
        <w:rPr>
          <w:rFonts w:ascii="Times New Roman" w:hAnsi="Times New Roman"/>
          <w:color w:val="000000" w:themeColor="text1"/>
          <w:sz w:val="16"/>
          <w:szCs w:val="16"/>
        </w:rPr>
        <w:softHyphen/>
        <w:t>мышленностью о дополнительном брониро</w:t>
      </w:r>
      <w:r w:rsidRPr="00D03F3E">
        <w:rPr>
          <w:rFonts w:ascii="Times New Roman" w:hAnsi="Times New Roman"/>
          <w:color w:val="000000" w:themeColor="text1"/>
          <w:sz w:val="16"/>
          <w:szCs w:val="16"/>
        </w:rPr>
        <w:softHyphen/>
        <w:t>вании отечественных истребителей с целью защиты головы летчика, путем установки на</w:t>
      </w:r>
      <w:r w:rsidRPr="00D03F3E">
        <w:rPr>
          <w:rFonts w:ascii="Times New Roman" w:hAnsi="Times New Roman"/>
          <w:color w:val="000000" w:themeColor="text1"/>
          <w:sz w:val="16"/>
          <w:szCs w:val="16"/>
        </w:rPr>
        <w:softHyphen/>
        <w:t>головника и бронекозырька». К тому же отме</w:t>
      </w:r>
      <w:r w:rsidRPr="00D03F3E">
        <w:rPr>
          <w:rFonts w:ascii="Times New Roman" w:hAnsi="Times New Roman"/>
          <w:color w:val="000000" w:themeColor="text1"/>
          <w:sz w:val="16"/>
          <w:szCs w:val="16"/>
        </w:rPr>
        <w:softHyphen/>
        <w:t>чалось, что «с целью снижения боевых потерь необходимо повысить уровень летной под</w:t>
      </w:r>
      <w:r w:rsidRPr="00D03F3E">
        <w:rPr>
          <w:rFonts w:ascii="Times New Roman" w:hAnsi="Times New Roman"/>
          <w:color w:val="000000" w:themeColor="text1"/>
          <w:sz w:val="16"/>
          <w:szCs w:val="16"/>
        </w:rPr>
        <w:softHyphen/>
        <w:t>готовки в запасных частях, не боясь затрат средств и времени -и то и другое окупятся ра</w:t>
      </w:r>
      <w:r w:rsidRPr="00D03F3E">
        <w:rPr>
          <w:rFonts w:ascii="Times New Roman" w:hAnsi="Times New Roman"/>
          <w:color w:val="000000" w:themeColor="text1"/>
          <w:sz w:val="16"/>
          <w:szCs w:val="16"/>
        </w:rPr>
        <w:softHyphen/>
        <w:t>ботой в боевых условиях».</w:t>
      </w:r>
    </w:p>
    <w:p w14:paraId="7C88EB27"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Анализ случаев поражения отдельных эле</w:t>
      </w:r>
      <w:r w:rsidRPr="00D03F3E">
        <w:rPr>
          <w:rFonts w:ascii="Times New Roman" w:hAnsi="Times New Roman"/>
          <w:color w:val="000000" w:themeColor="text1"/>
          <w:sz w:val="16"/>
          <w:szCs w:val="16"/>
        </w:rPr>
        <w:softHyphen/>
        <w:t>ментов самолетов, возвратившихся на свои аэ</w:t>
      </w:r>
      <w:r w:rsidRPr="00D03F3E">
        <w:rPr>
          <w:rFonts w:ascii="Times New Roman" w:hAnsi="Times New Roman"/>
          <w:color w:val="000000" w:themeColor="text1"/>
          <w:sz w:val="16"/>
          <w:szCs w:val="16"/>
        </w:rPr>
        <w:softHyphen/>
        <w:t>родромы или выполнивших вынужденные по</w:t>
      </w:r>
      <w:r w:rsidRPr="00D03F3E">
        <w:rPr>
          <w:rFonts w:ascii="Times New Roman" w:hAnsi="Times New Roman"/>
          <w:color w:val="000000" w:themeColor="text1"/>
          <w:sz w:val="16"/>
          <w:szCs w:val="16"/>
        </w:rPr>
        <w:softHyphen/>
        <w:t>садки на своей территории, в основном сво</w:t>
      </w:r>
      <w:r w:rsidRPr="00D03F3E">
        <w:rPr>
          <w:rFonts w:ascii="Times New Roman" w:hAnsi="Times New Roman"/>
          <w:color w:val="000000" w:themeColor="text1"/>
          <w:sz w:val="16"/>
          <w:szCs w:val="16"/>
        </w:rPr>
        <w:softHyphen/>
        <w:t>дился к следующему.</w:t>
      </w:r>
    </w:p>
    <w:p w14:paraId="2BB21FF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числа повреждений, полученных штур</w:t>
      </w:r>
      <w:r w:rsidRPr="00D03F3E">
        <w:rPr>
          <w:rFonts w:ascii="Times New Roman" w:hAnsi="Times New Roman"/>
          <w:color w:val="000000" w:themeColor="text1"/>
          <w:sz w:val="16"/>
          <w:szCs w:val="16"/>
        </w:rPr>
        <w:softHyphen/>
        <w:t>мовиками Ил-2 в ходе боевых вылетов, 34,5% приходится на крыло, 26,3% - на хвостовое оперение, 17,3% - на фюзеляж, 8,5% - на вин</w:t>
      </w:r>
      <w:r w:rsidRPr="00D03F3E">
        <w:rPr>
          <w:rFonts w:ascii="Times New Roman" w:hAnsi="Times New Roman"/>
          <w:color w:val="000000" w:themeColor="text1"/>
          <w:sz w:val="16"/>
          <w:szCs w:val="16"/>
        </w:rPr>
        <w:softHyphen/>
        <w:t>томоторную группу, 11,5% - на бензобаки, 1,9% - на кабину экипажа.</w:t>
      </w:r>
    </w:p>
    <w:p w14:paraId="6B82319B"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самолетах Ла-5 на винтомоторную груп</w:t>
      </w:r>
      <w:r w:rsidRPr="00D03F3E">
        <w:rPr>
          <w:rFonts w:ascii="Times New Roman" w:hAnsi="Times New Roman"/>
          <w:color w:val="000000" w:themeColor="text1"/>
          <w:sz w:val="16"/>
          <w:szCs w:val="16"/>
        </w:rPr>
        <w:softHyphen/>
        <w:t>пу приходилось 10,7% повреждений, на крыло - 34,6%, на бензобаки - 18,2%, на фюзеляж - 25,7%, на хвостовое оперение - 6,4%, на каби</w:t>
      </w:r>
      <w:r w:rsidRPr="00D03F3E">
        <w:rPr>
          <w:rFonts w:ascii="Times New Roman" w:hAnsi="Times New Roman"/>
          <w:color w:val="000000" w:themeColor="text1"/>
          <w:sz w:val="16"/>
          <w:szCs w:val="16"/>
        </w:rPr>
        <w:softHyphen/>
        <w:t>ну летчика -1,7%.</w:t>
      </w:r>
    </w:p>
    <w:p w14:paraId="7CB5FB72"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истребителях Як-1, Як-7Б и Як-9 повре</w:t>
      </w:r>
      <w:r w:rsidRPr="00D03F3E">
        <w:rPr>
          <w:rFonts w:ascii="Times New Roman" w:hAnsi="Times New Roman"/>
          <w:color w:val="000000" w:themeColor="text1"/>
          <w:sz w:val="16"/>
          <w:szCs w:val="16"/>
        </w:rPr>
        <w:softHyphen/>
        <w:t>ждения крыла составляли 32,2%, бензобаков - 19,3%, фюзеляжа - 25,7%, хвостового опере</w:t>
      </w:r>
      <w:r w:rsidRPr="00D03F3E">
        <w:rPr>
          <w:rFonts w:ascii="Times New Roman" w:hAnsi="Times New Roman"/>
          <w:color w:val="000000" w:themeColor="text1"/>
          <w:sz w:val="16"/>
          <w:szCs w:val="16"/>
        </w:rPr>
        <w:softHyphen/>
        <w:t>ния -13,3%, винтомоторной группы - 9,5%.</w:t>
      </w:r>
    </w:p>
    <w:p w14:paraId="6C7C333B"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Бомбардировщики Пе-2 имели такие по</w:t>
      </w:r>
      <w:r w:rsidRPr="00D03F3E">
        <w:rPr>
          <w:rFonts w:ascii="Times New Roman" w:hAnsi="Times New Roman"/>
          <w:color w:val="000000" w:themeColor="text1"/>
          <w:sz w:val="16"/>
          <w:szCs w:val="16"/>
        </w:rPr>
        <w:softHyphen/>
        <w:t>вреждения: винтомоторная группа - 6,4%, крыло - 62,1%, бензобаки - 4,4%, фюзеляж - 13,0%, хвостовое оперение - 11,6%, кабина экипажа - 2,6%.</w:t>
      </w:r>
    </w:p>
    <w:p w14:paraId="73C65125"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следует из документов, боевые без- юзвратные потери летного состава штурмовой шиации за все время войны составили 7837 юл. (28,4% общих боевых потерь ВВС КА), «стребительной авиации - 11874 чел. (43%), Зомбардировочной авиации - 6613 чел. (24%), изведывательной авиации - 587 чел. (2,1%) и вспомогательной авиации - 689 чел. (2,5%).</w:t>
      </w:r>
    </w:p>
    <w:p w14:paraId="1A23FC3E"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проследить распределение ранений четного состава по годам войны, то получает</w:t>
      </w:r>
      <w:r w:rsidRPr="00D03F3E">
        <w:rPr>
          <w:rFonts w:ascii="Times New Roman" w:hAnsi="Times New Roman"/>
          <w:color w:val="000000" w:themeColor="text1"/>
          <w:sz w:val="16"/>
          <w:szCs w:val="16"/>
        </w:rPr>
        <w:softHyphen/>
        <w:t>ся следующая картина. В 1941 г. летный со</w:t>
      </w:r>
      <w:r w:rsidRPr="00D03F3E">
        <w:rPr>
          <w:rFonts w:ascii="Times New Roman" w:hAnsi="Times New Roman"/>
          <w:color w:val="000000" w:themeColor="text1"/>
          <w:sz w:val="16"/>
          <w:szCs w:val="16"/>
        </w:rPr>
        <w:softHyphen/>
        <w:t>став ВВС КА в 56% случаев получал ранения зт осколков авиационных пушек, в 15% - от эсколков зенитных снарядов и в 29% - от пу</w:t>
      </w:r>
      <w:r w:rsidRPr="00D03F3E">
        <w:rPr>
          <w:rFonts w:ascii="Times New Roman" w:hAnsi="Times New Roman"/>
          <w:color w:val="000000" w:themeColor="text1"/>
          <w:sz w:val="16"/>
          <w:szCs w:val="16"/>
        </w:rPr>
        <w:softHyphen/>
        <w:t>тевых попаданий. Соответственно, в после- цующие годы распределение ранений име</w:t>
      </w:r>
      <w:r w:rsidRPr="00D03F3E">
        <w:rPr>
          <w:rFonts w:ascii="Times New Roman" w:hAnsi="Times New Roman"/>
          <w:color w:val="000000" w:themeColor="text1"/>
          <w:sz w:val="16"/>
          <w:szCs w:val="16"/>
        </w:rPr>
        <w:softHyphen/>
        <w:t>ет следующий вид: 1942 г. - 54,2%, 12,4% и 33,4%; 1943 г. - 47,3%, 36,2% и 16,5%; 1944 г. -38,4%, 51,4% и 10,2%.</w:t>
      </w:r>
    </w:p>
    <w:p w14:paraId="71909D7A"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 есть, осколочные ранения, нанесенные снарядами авиапушек, преобладали над пуле</w:t>
      </w:r>
      <w:r w:rsidRPr="00D03F3E">
        <w:rPr>
          <w:rFonts w:ascii="Times New Roman" w:hAnsi="Times New Roman"/>
          <w:color w:val="000000" w:themeColor="text1"/>
          <w:sz w:val="16"/>
          <w:szCs w:val="16"/>
        </w:rPr>
        <w:softHyphen/>
        <w:t>выми ранениями. При этом доля осколочных ранений от снарядов авиапушек с каждым го</w:t>
      </w:r>
      <w:r w:rsidRPr="00D03F3E">
        <w:rPr>
          <w:rFonts w:ascii="Times New Roman" w:hAnsi="Times New Roman"/>
          <w:color w:val="000000" w:themeColor="text1"/>
          <w:sz w:val="16"/>
          <w:szCs w:val="16"/>
        </w:rPr>
        <w:softHyphen/>
        <w:t>дом уменьшалась. Одновременно возрастала доля ранений осколками снарядов зенитной артиллерии. Это обстоятельство объясняет</w:t>
      </w:r>
      <w:r w:rsidRPr="00D03F3E">
        <w:rPr>
          <w:rFonts w:ascii="Times New Roman" w:hAnsi="Times New Roman"/>
          <w:color w:val="000000" w:themeColor="text1"/>
          <w:sz w:val="16"/>
          <w:szCs w:val="16"/>
        </w:rPr>
        <w:softHyphen/>
        <w:t>ся тем, что в начале войны немецкая истреби</w:t>
      </w:r>
      <w:r w:rsidRPr="00D03F3E">
        <w:rPr>
          <w:rFonts w:ascii="Times New Roman" w:hAnsi="Times New Roman"/>
          <w:color w:val="000000" w:themeColor="text1"/>
          <w:sz w:val="16"/>
          <w:szCs w:val="16"/>
        </w:rPr>
        <w:softHyphen/>
        <w:t>тельная авиация обладала господством в воз</w:t>
      </w:r>
      <w:r w:rsidRPr="00D03F3E">
        <w:rPr>
          <w:rFonts w:ascii="Times New Roman" w:hAnsi="Times New Roman"/>
          <w:color w:val="000000" w:themeColor="text1"/>
          <w:sz w:val="16"/>
          <w:szCs w:val="16"/>
        </w:rPr>
        <w:softHyphen/>
        <w:t>духе, а к середине войны его утратила. Парал</w:t>
      </w:r>
      <w:r w:rsidRPr="00D03F3E">
        <w:rPr>
          <w:rFonts w:ascii="Times New Roman" w:hAnsi="Times New Roman"/>
          <w:color w:val="000000" w:themeColor="text1"/>
          <w:sz w:val="16"/>
          <w:szCs w:val="16"/>
        </w:rPr>
        <w:softHyphen/>
        <w:t>лельно этому процессу шло усиление зенитной артиллерии противника.</w:t>
      </w:r>
    </w:p>
    <w:p w14:paraId="53F6520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Распределение ранений летного соста</w:t>
      </w:r>
      <w:r w:rsidRPr="00D03F3E">
        <w:rPr>
          <w:rFonts w:ascii="Times New Roman" w:hAnsi="Times New Roman"/>
          <w:color w:val="000000" w:themeColor="text1"/>
          <w:sz w:val="16"/>
          <w:szCs w:val="16"/>
        </w:rPr>
        <w:softHyphen/>
        <w:t>ва по виду оружия проиллюстрируем на при</w:t>
      </w:r>
      <w:r w:rsidRPr="00D03F3E">
        <w:rPr>
          <w:rFonts w:ascii="Times New Roman" w:hAnsi="Times New Roman"/>
          <w:color w:val="000000" w:themeColor="text1"/>
          <w:sz w:val="16"/>
          <w:szCs w:val="16"/>
        </w:rPr>
        <w:softHyphen/>
        <w:t>мере частей штурмовой авиации 4-й воздуш</w:t>
      </w:r>
      <w:r w:rsidRPr="00D03F3E">
        <w:rPr>
          <w:rFonts w:ascii="Times New Roman" w:hAnsi="Times New Roman"/>
          <w:color w:val="000000" w:themeColor="text1"/>
          <w:sz w:val="16"/>
          <w:szCs w:val="16"/>
        </w:rPr>
        <w:softHyphen/>
        <w:t>ной армии. Согласно документам, распреде</w:t>
      </w:r>
      <w:r w:rsidRPr="00D03F3E">
        <w:rPr>
          <w:rFonts w:ascii="Times New Roman" w:hAnsi="Times New Roman"/>
          <w:color w:val="000000" w:themeColor="text1"/>
          <w:sz w:val="16"/>
          <w:szCs w:val="16"/>
        </w:rPr>
        <w:softHyphen/>
        <w:t>ление поражений летчиков-штурмовиков 4-й ВА в 1942 г. включало: пулевые - 13,1%, оско</w:t>
      </w:r>
      <w:r w:rsidRPr="00D03F3E">
        <w:rPr>
          <w:rFonts w:ascii="Times New Roman" w:hAnsi="Times New Roman"/>
          <w:color w:val="000000" w:themeColor="text1"/>
          <w:sz w:val="16"/>
          <w:szCs w:val="16"/>
        </w:rPr>
        <w:softHyphen/>
        <w:t>лочные ранения от зенитной артиллерии - 48,1%, осколочные ранения от истребитель</w:t>
      </w:r>
      <w:r w:rsidRPr="00D03F3E">
        <w:rPr>
          <w:rFonts w:ascii="Times New Roman" w:hAnsi="Times New Roman"/>
          <w:color w:val="000000" w:themeColor="text1"/>
          <w:sz w:val="16"/>
          <w:szCs w:val="16"/>
        </w:rPr>
        <w:softHyphen/>
        <w:t>ной авиации - 21,3%, травмы при авариях на посадке - 6,1%, травмы при авариях на взле</w:t>
      </w:r>
      <w:r w:rsidRPr="00D03F3E">
        <w:rPr>
          <w:rFonts w:ascii="Times New Roman" w:hAnsi="Times New Roman"/>
          <w:color w:val="000000" w:themeColor="text1"/>
          <w:sz w:val="16"/>
          <w:szCs w:val="16"/>
        </w:rPr>
        <w:softHyphen/>
        <w:t>те - 1,1%, комбинированные травмы - 2,2%, ожоги - 8,1%.</w:t>
      </w:r>
    </w:p>
    <w:p w14:paraId="2BB67299"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Видно, что ранения, нанесенные зенитной артиллерией, преобладают над ранениями от стрелково-пушечного вооружения истребите</w:t>
      </w:r>
      <w:r w:rsidRPr="00D03F3E">
        <w:rPr>
          <w:rFonts w:ascii="Times New Roman" w:hAnsi="Times New Roman"/>
          <w:color w:val="000000" w:themeColor="text1"/>
          <w:sz w:val="16"/>
          <w:szCs w:val="16"/>
        </w:rPr>
        <w:softHyphen/>
        <w:t>лей - 48,1% и 34,4% соответственно.</w:t>
      </w:r>
    </w:p>
    <w:p w14:paraId="11572210"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Анализ локализации ожогов показывает, что если все ожоги летчиков взять за 100%, то ожоги головы составляли 36,6%, ожоги тулови</w:t>
      </w:r>
      <w:r w:rsidRPr="00D03F3E">
        <w:rPr>
          <w:rFonts w:ascii="Times New Roman" w:hAnsi="Times New Roman"/>
          <w:color w:val="000000" w:themeColor="text1"/>
          <w:sz w:val="16"/>
          <w:szCs w:val="16"/>
        </w:rPr>
        <w:softHyphen/>
        <w:t>ща -10%, верхних конечностей - 50%, нижних конечностей - 3,4%.</w:t>
      </w:r>
    </w:p>
    <w:p w14:paraId="56C2886B"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за 100% взять все ранения летчиков, то 30,4% составляли ранения головы, 16,6% - ту</w:t>
      </w:r>
      <w:r w:rsidRPr="00D03F3E">
        <w:rPr>
          <w:rFonts w:ascii="Times New Roman" w:hAnsi="Times New Roman"/>
          <w:color w:val="000000" w:themeColor="text1"/>
          <w:sz w:val="16"/>
          <w:szCs w:val="16"/>
        </w:rPr>
        <w:softHyphen/>
        <w:t>ловища, 23,3% - верхних конечностей, 29,7% - нижних конечностей. Все остальные случаи от</w:t>
      </w:r>
      <w:r w:rsidRPr="00D03F3E">
        <w:rPr>
          <w:rFonts w:ascii="Times New Roman" w:hAnsi="Times New Roman"/>
          <w:color w:val="000000" w:themeColor="text1"/>
          <w:sz w:val="16"/>
          <w:szCs w:val="16"/>
        </w:rPr>
        <w:softHyphen/>
        <w:t>носятся к ушибам и травмам: голова - 46%, ту</w:t>
      </w:r>
      <w:r w:rsidRPr="00D03F3E">
        <w:rPr>
          <w:rFonts w:ascii="Times New Roman" w:hAnsi="Times New Roman"/>
          <w:color w:val="000000" w:themeColor="text1"/>
          <w:sz w:val="16"/>
          <w:szCs w:val="16"/>
        </w:rPr>
        <w:softHyphen/>
        <w:t>ловище - 23%, верхние конечности - 16,5%, нижние конечности -14,5%.</w:t>
      </w:r>
    </w:p>
    <w:p w14:paraId="7FF84B15"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Распределение локализации ранений по типам боевых самолетов за год войны (по ав</w:t>
      </w:r>
      <w:r w:rsidRPr="00D03F3E">
        <w:rPr>
          <w:rFonts w:ascii="Times New Roman" w:hAnsi="Times New Roman"/>
          <w:color w:val="000000" w:themeColor="text1"/>
          <w:sz w:val="16"/>
          <w:szCs w:val="16"/>
        </w:rPr>
        <w:softHyphen/>
        <w:t>густ 1942 г.) показывает, что у летчиков ис</w:t>
      </w:r>
      <w:r w:rsidRPr="00D03F3E">
        <w:rPr>
          <w:rFonts w:ascii="Times New Roman" w:hAnsi="Times New Roman"/>
          <w:color w:val="000000" w:themeColor="text1"/>
          <w:sz w:val="16"/>
          <w:szCs w:val="16"/>
        </w:rPr>
        <w:softHyphen/>
        <w:t>требителей Як-1 чаще всего поражались ноги (50,7%), на МиГ-3 и Р-40 «Киттихаук» - голова (44,2% и 46,15%). На устаревших истребителях И-16 и И-153 удельные веса поражений голо</w:t>
      </w:r>
      <w:r w:rsidRPr="00D03F3E">
        <w:rPr>
          <w:rFonts w:ascii="Times New Roman" w:hAnsi="Times New Roman"/>
          <w:color w:val="000000" w:themeColor="text1"/>
          <w:sz w:val="16"/>
          <w:szCs w:val="16"/>
        </w:rPr>
        <w:softHyphen/>
        <w:t>вы и туловища примерно были одинаковыми - 41,6% и 42,3%.</w:t>
      </w:r>
    </w:p>
    <w:p w14:paraId="73655924"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оказалось, у летчиков истребителей и штурмовиков конечности с левой стороны по</w:t>
      </w:r>
      <w:r w:rsidRPr="00D03F3E">
        <w:rPr>
          <w:rFonts w:ascii="Times New Roman" w:hAnsi="Times New Roman"/>
          <w:color w:val="000000" w:themeColor="text1"/>
          <w:sz w:val="16"/>
          <w:szCs w:val="16"/>
        </w:rPr>
        <w:softHyphen/>
        <w:t>ражались чаще, чем с правой стороны. Так, в период с 1 января 1943 г. по 1 мая 1944 г. поражения летчиков с левой стороны составили 58,5% случаев на Як-1, Як-7 и Як-9, 52,1% - на Ла-5 и 57% - на Ил-2. Таким образом, можно констатиро</w:t>
      </w:r>
      <w:r w:rsidRPr="00D03F3E">
        <w:rPr>
          <w:rFonts w:ascii="Times New Roman" w:hAnsi="Times New Roman"/>
          <w:color w:val="000000" w:themeColor="text1"/>
          <w:sz w:val="16"/>
          <w:szCs w:val="16"/>
        </w:rPr>
        <w:softHyphen/>
        <w:t>вать, что броневая защита боевых самолетов ВВС КА была недостаточна по площади и углам и на некоторых самолетах имелись особо уяз</w:t>
      </w:r>
      <w:r w:rsidRPr="00D03F3E">
        <w:rPr>
          <w:rFonts w:ascii="Times New Roman" w:hAnsi="Times New Roman"/>
          <w:color w:val="000000" w:themeColor="text1"/>
          <w:sz w:val="16"/>
          <w:szCs w:val="16"/>
        </w:rPr>
        <w:softHyphen/>
        <w:t>вимые места.</w:t>
      </w:r>
    </w:p>
    <w:p w14:paraId="1219A54E"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опыту боевых действий частей 225-й шад в период с мая 1942 г. по октябрь 1943 г. потери летчиков и воздушных стрелков соста</w:t>
      </w:r>
      <w:r w:rsidRPr="00D03F3E">
        <w:rPr>
          <w:rFonts w:ascii="Times New Roman" w:hAnsi="Times New Roman"/>
          <w:color w:val="000000" w:themeColor="text1"/>
          <w:sz w:val="16"/>
          <w:szCs w:val="16"/>
        </w:rPr>
        <w:softHyphen/>
        <w:t>вили 519 чел., или 11,8% к выполненным бое</w:t>
      </w:r>
      <w:r w:rsidRPr="00D03F3E">
        <w:rPr>
          <w:rFonts w:ascii="Times New Roman" w:hAnsi="Times New Roman"/>
          <w:color w:val="000000" w:themeColor="text1"/>
          <w:sz w:val="16"/>
          <w:szCs w:val="16"/>
        </w:rPr>
        <w:softHyphen/>
        <w:t>вым самолетовылетам, в том числе 6,9% без</w:t>
      </w:r>
      <w:r w:rsidRPr="00D03F3E">
        <w:rPr>
          <w:rFonts w:ascii="Times New Roman" w:hAnsi="Times New Roman"/>
          <w:color w:val="000000" w:themeColor="text1"/>
          <w:sz w:val="16"/>
          <w:szCs w:val="16"/>
        </w:rPr>
        <w:softHyphen/>
        <w:t>возвратных и 4,9% санитарных потерь. Из 305 чел. безвозвратных потерь 269 чел. считались без вести пропавшими, остальные погибли. В общей сложности ранения получили 158 лет</w:t>
      </w:r>
      <w:r w:rsidRPr="00D03F3E">
        <w:rPr>
          <w:rFonts w:ascii="Times New Roman" w:hAnsi="Times New Roman"/>
          <w:color w:val="000000" w:themeColor="text1"/>
          <w:sz w:val="16"/>
          <w:szCs w:val="16"/>
        </w:rPr>
        <w:softHyphen/>
        <w:t>чиков и 56 воздушных стрелков. Из числа сани</w:t>
      </w:r>
      <w:r w:rsidRPr="00D03F3E">
        <w:rPr>
          <w:rFonts w:ascii="Times New Roman" w:hAnsi="Times New Roman"/>
          <w:color w:val="000000" w:themeColor="text1"/>
          <w:sz w:val="16"/>
          <w:szCs w:val="16"/>
        </w:rPr>
        <w:softHyphen/>
        <w:t>тарных потерь 36 человек (16,8%) были ране</w:t>
      </w:r>
      <w:r w:rsidRPr="00D03F3E">
        <w:rPr>
          <w:rFonts w:ascii="Times New Roman" w:hAnsi="Times New Roman"/>
          <w:color w:val="000000" w:themeColor="text1"/>
          <w:sz w:val="16"/>
          <w:szCs w:val="16"/>
        </w:rPr>
        <w:softHyphen/>
        <w:t>ны в результате огня зенитной артиллерии, 101 авиатор (47,2%) - истребителями люфтваффе, 47 (22,0%) - в боевых летных происшествиях, двое (0,9%) - при бомбардировках противни</w:t>
      </w:r>
      <w:r w:rsidRPr="00D03F3E">
        <w:rPr>
          <w:rFonts w:ascii="Times New Roman" w:hAnsi="Times New Roman"/>
          <w:color w:val="000000" w:themeColor="text1"/>
          <w:sz w:val="16"/>
          <w:szCs w:val="16"/>
        </w:rPr>
        <w:softHyphen/>
        <w:t>ком аэродромов. Причины ранений 28 человек (13,1%) установить не удалось.</w:t>
      </w:r>
    </w:p>
    <w:p w14:paraId="7CE7521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Дивизионный врач майор медицинской службы Попов зафиксировал за этот период 56 тяжелых и 158 легких ранений летного со</w:t>
      </w:r>
      <w:r w:rsidRPr="00D03F3E">
        <w:rPr>
          <w:rFonts w:ascii="Times New Roman" w:hAnsi="Times New Roman"/>
          <w:color w:val="000000" w:themeColor="text1"/>
          <w:sz w:val="16"/>
          <w:szCs w:val="16"/>
        </w:rPr>
        <w:softHyphen/>
        <w:t>става дивизии. При этом из 214 раненых 110 получили ранения первично (51,4%), 67 (31,3%) - вторично, 31 (14,5%) - третий раз, шестеро (2,8%) - четвертый раз. В госпиталь было направлено 116 авиаторов, 64 - в вой</w:t>
      </w:r>
      <w:r w:rsidRPr="00D03F3E">
        <w:rPr>
          <w:rFonts w:ascii="Times New Roman" w:hAnsi="Times New Roman"/>
          <w:color w:val="000000" w:themeColor="text1"/>
          <w:sz w:val="16"/>
          <w:szCs w:val="16"/>
        </w:rPr>
        <w:softHyphen/>
        <w:t>сковой лазарет БАО. Остальные летчики и воз</w:t>
      </w:r>
      <w:r w:rsidRPr="00D03F3E">
        <w:rPr>
          <w:rFonts w:ascii="Times New Roman" w:hAnsi="Times New Roman"/>
          <w:color w:val="000000" w:themeColor="text1"/>
          <w:sz w:val="16"/>
          <w:szCs w:val="16"/>
        </w:rPr>
        <w:softHyphen/>
        <w:t>душные стрелки проходили лечение в медпун</w:t>
      </w:r>
      <w:r w:rsidRPr="00D03F3E">
        <w:rPr>
          <w:rFonts w:ascii="Times New Roman" w:hAnsi="Times New Roman"/>
          <w:color w:val="000000" w:themeColor="text1"/>
          <w:sz w:val="16"/>
          <w:szCs w:val="16"/>
        </w:rPr>
        <w:softHyphen/>
        <w:t>кте аэродрома. Впоследствии к боевой рабо</w:t>
      </w:r>
      <w:r w:rsidRPr="00D03F3E">
        <w:rPr>
          <w:rFonts w:ascii="Times New Roman" w:hAnsi="Times New Roman"/>
          <w:color w:val="000000" w:themeColor="text1"/>
          <w:sz w:val="16"/>
          <w:szCs w:val="16"/>
        </w:rPr>
        <w:softHyphen/>
        <w:t>те возвратилось 186 чел., 24 чел. летать боль</w:t>
      </w:r>
      <w:r w:rsidRPr="00D03F3E">
        <w:rPr>
          <w:rFonts w:ascii="Times New Roman" w:hAnsi="Times New Roman"/>
          <w:color w:val="000000" w:themeColor="text1"/>
          <w:sz w:val="16"/>
          <w:szCs w:val="16"/>
        </w:rPr>
        <w:softHyphen/>
        <w:t>ше не могли, но сохранили трудоспособность и в дальнейшем возвратились к труду, остальные четыре авиатора от полученных ранений стали инвалидами.</w:t>
      </w:r>
    </w:p>
    <w:p w14:paraId="514605E4"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Наибольшее количество ранений летчи</w:t>
      </w:r>
      <w:r w:rsidRPr="00D03F3E">
        <w:rPr>
          <w:rFonts w:ascii="Times New Roman" w:hAnsi="Times New Roman"/>
          <w:color w:val="000000" w:themeColor="text1"/>
          <w:sz w:val="16"/>
          <w:szCs w:val="16"/>
        </w:rPr>
        <w:softHyphen/>
        <w:t>ков 225-й шад приходилось на нижние (30,4%) и верхние (22,8%) конечности и череп (24,7%). Примерно 6,9% составили ранения в лицо, 3,2% - в шею, 4,4% - в грудь, 3,8% - в живот, 2,5% - в позвоночник, и 1,3% ранений - в об</w:t>
      </w:r>
      <w:r w:rsidRPr="00D03F3E">
        <w:rPr>
          <w:rFonts w:ascii="Times New Roman" w:hAnsi="Times New Roman"/>
          <w:color w:val="000000" w:themeColor="text1"/>
          <w:sz w:val="16"/>
          <w:szCs w:val="16"/>
        </w:rPr>
        <w:softHyphen/>
        <w:t>ласть таза.</w:t>
      </w:r>
    </w:p>
    <w:p w14:paraId="065CD047"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Воздушные стрелки получали ранения главным образом в верхние (39,3%) и нижние конечности (32,1%). Остальные ранения по</w:t>
      </w:r>
      <w:r w:rsidRPr="00D03F3E">
        <w:rPr>
          <w:rFonts w:ascii="Times New Roman" w:hAnsi="Times New Roman"/>
          <w:color w:val="000000" w:themeColor="text1"/>
          <w:sz w:val="16"/>
          <w:szCs w:val="16"/>
        </w:rPr>
        <w:softHyphen/>
        <w:t>чти равномерно распределялись по области методами математической статистики показы</w:t>
      </w:r>
      <w:r w:rsidRPr="00D03F3E">
        <w:rPr>
          <w:rFonts w:ascii="Times New Roman" w:hAnsi="Times New Roman"/>
          <w:color w:val="000000" w:themeColor="text1"/>
          <w:sz w:val="16"/>
          <w:szCs w:val="16"/>
        </w:rPr>
        <w:softHyphen/>
        <w:t>вает, что половина всех самолетов сбивалась на дальностях от 31,3 м до 122,3 м и при ра</w:t>
      </w:r>
      <w:r w:rsidRPr="00D03F3E">
        <w:rPr>
          <w:rFonts w:ascii="Times New Roman" w:hAnsi="Times New Roman"/>
          <w:color w:val="000000" w:themeColor="text1"/>
          <w:sz w:val="16"/>
          <w:szCs w:val="16"/>
        </w:rPr>
        <w:softHyphen/>
        <w:t xml:space="preserve">курсах меньших 0,250. </w:t>
      </w:r>
      <w:r w:rsidRPr="00D03F3E">
        <w:rPr>
          <w:rFonts w:ascii="Times New Roman" w:hAnsi="Times New Roman"/>
          <w:color w:val="000000" w:themeColor="text1"/>
          <w:sz w:val="16"/>
          <w:szCs w:val="16"/>
        </w:rPr>
        <w:lastRenderedPageBreak/>
        <w:t>При этом средняя даль</w:t>
      </w:r>
      <w:r w:rsidRPr="00D03F3E">
        <w:rPr>
          <w:rFonts w:ascii="Times New Roman" w:hAnsi="Times New Roman"/>
          <w:color w:val="000000" w:themeColor="text1"/>
          <w:sz w:val="16"/>
          <w:szCs w:val="16"/>
        </w:rPr>
        <w:softHyphen/>
        <w:t>ность сбития составляла 76,8 м, а средний ра</w:t>
      </w:r>
      <w:r w:rsidRPr="00D03F3E">
        <w:rPr>
          <w:rFonts w:ascii="Times New Roman" w:hAnsi="Times New Roman"/>
          <w:color w:val="000000" w:themeColor="text1"/>
          <w:sz w:val="16"/>
          <w:szCs w:val="16"/>
        </w:rPr>
        <w:softHyphen/>
        <w:t>курс - 0,203. Одновременно средняя величина продолжительности стрельбы при сбитии са</w:t>
      </w:r>
      <w:r w:rsidRPr="00D03F3E">
        <w:rPr>
          <w:rFonts w:ascii="Times New Roman" w:hAnsi="Times New Roman"/>
          <w:color w:val="000000" w:themeColor="text1"/>
          <w:sz w:val="16"/>
          <w:szCs w:val="16"/>
        </w:rPr>
        <w:softHyphen/>
        <w:t>молетов противника составляла 1,29 с, а чаще всего встречавшаяся в бою продолжитель</w:t>
      </w:r>
      <w:r w:rsidRPr="00D03F3E">
        <w:rPr>
          <w:rFonts w:ascii="Times New Roman" w:hAnsi="Times New Roman"/>
          <w:color w:val="000000" w:themeColor="text1"/>
          <w:sz w:val="16"/>
          <w:szCs w:val="16"/>
        </w:rPr>
        <w:softHyphen/>
        <w:t>ность стрельбы - 0,443 с.</w:t>
      </w:r>
    </w:p>
    <w:p w14:paraId="31AEDC1B"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Законы распределения дальности и ракур</w:t>
      </w:r>
      <w:r w:rsidRPr="00D03F3E">
        <w:rPr>
          <w:rFonts w:ascii="Times New Roman" w:hAnsi="Times New Roman"/>
          <w:color w:val="000000" w:themeColor="text1"/>
          <w:sz w:val="16"/>
          <w:szCs w:val="16"/>
        </w:rPr>
        <w:softHyphen/>
        <w:t>са стрельбы имеют также гауссовский вид. Они характеризуют условия стрельбы по самоле</w:t>
      </w:r>
      <w:r w:rsidRPr="00D03F3E">
        <w:rPr>
          <w:rFonts w:ascii="Times New Roman" w:hAnsi="Times New Roman"/>
          <w:color w:val="000000" w:themeColor="text1"/>
          <w:sz w:val="16"/>
          <w:szCs w:val="16"/>
        </w:rPr>
        <w:softHyphen/>
        <w:t>там противника в ходе воздушного боя. Дело в том, что не всякая стрельба при атаке неприя</w:t>
      </w:r>
      <w:r w:rsidRPr="00D03F3E">
        <w:rPr>
          <w:rFonts w:ascii="Times New Roman" w:hAnsi="Times New Roman"/>
          <w:color w:val="000000" w:themeColor="text1"/>
          <w:sz w:val="16"/>
          <w:szCs w:val="16"/>
        </w:rPr>
        <w:softHyphen/>
        <w:t>тельского самолета заканчивается его сбитием, поэтому для оценки вероятности пораже</w:t>
      </w:r>
      <w:r w:rsidRPr="00D03F3E">
        <w:rPr>
          <w:rFonts w:ascii="Times New Roman" w:hAnsi="Times New Roman"/>
          <w:color w:val="000000" w:themeColor="text1"/>
          <w:sz w:val="16"/>
          <w:szCs w:val="16"/>
        </w:rPr>
        <w:softHyphen/>
        <w:t>ния (сбития) самолета в воздушном бою необ</w:t>
      </w:r>
      <w:r w:rsidRPr="00D03F3E">
        <w:rPr>
          <w:rFonts w:ascii="Times New Roman" w:hAnsi="Times New Roman"/>
          <w:color w:val="000000" w:themeColor="text1"/>
          <w:sz w:val="16"/>
          <w:szCs w:val="16"/>
        </w:rPr>
        <w:softHyphen/>
        <w:t>ходимо учитывать не только случаи, когда са</w:t>
      </w:r>
      <w:r w:rsidRPr="00D03F3E">
        <w:rPr>
          <w:rFonts w:ascii="Times New Roman" w:hAnsi="Times New Roman"/>
          <w:color w:val="000000" w:themeColor="text1"/>
          <w:sz w:val="16"/>
          <w:szCs w:val="16"/>
        </w:rPr>
        <w:softHyphen/>
        <w:t>молет противника сбивался, но и все имевшие место случаи стрельбы.</w:t>
      </w:r>
    </w:p>
    <w:p w14:paraId="1C3EC70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Анализ законов распределения дальности и ракурса стрельбы по самолетам противника позволяет сделать вывод, что в половине всех случаев стрельба производилась с дально</w:t>
      </w:r>
      <w:r w:rsidRPr="00D03F3E">
        <w:rPr>
          <w:rFonts w:ascii="Times New Roman" w:hAnsi="Times New Roman"/>
          <w:color w:val="000000" w:themeColor="text1"/>
          <w:sz w:val="16"/>
          <w:szCs w:val="16"/>
        </w:rPr>
        <w:softHyphen/>
        <w:t>сти 138,9 м и под ракурсами меньшими 0,212. Максимальная дальность стрельбы не превы</w:t>
      </w:r>
      <w:r w:rsidRPr="00D03F3E">
        <w:rPr>
          <w:rFonts w:ascii="Times New Roman" w:hAnsi="Times New Roman"/>
          <w:color w:val="000000" w:themeColor="text1"/>
          <w:sz w:val="16"/>
          <w:szCs w:val="16"/>
        </w:rPr>
        <w:softHyphen/>
        <w:t>шала 556 м. При этом характер закона распре</w:t>
      </w:r>
      <w:r w:rsidRPr="00D03F3E">
        <w:rPr>
          <w:rFonts w:ascii="Times New Roman" w:hAnsi="Times New Roman"/>
          <w:color w:val="000000" w:themeColor="text1"/>
          <w:sz w:val="16"/>
          <w:szCs w:val="16"/>
        </w:rPr>
        <w:softHyphen/>
        <w:t>деления дальности стрельбы в первую очередь определяется вероятностью попадания в цель, а закон распределения ракурса - маневренны</w:t>
      </w:r>
      <w:r w:rsidRPr="00D03F3E">
        <w:rPr>
          <w:rFonts w:ascii="Times New Roman" w:hAnsi="Times New Roman"/>
          <w:color w:val="000000" w:themeColor="text1"/>
          <w:sz w:val="16"/>
          <w:szCs w:val="16"/>
        </w:rPr>
        <w:softHyphen/>
        <w:t>ми свойствами самолета. Вероятность же по- (чем выше перегрузка, тем хуже точность при</w:t>
      </w:r>
      <w:r w:rsidRPr="00D03F3E">
        <w:rPr>
          <w:rFonts w:ascii="Times New Roman" w:hAnsi="Times New Roman"/>
          <w:color w:val="000000" w:themeColor="text1"/>
          <w:sz w:val="16"/>
          <w:szCs w:val="16"/>
        </w:rPr>
        <w:softHyphen/>
        <w:t>целивания) и являлась физиологическим огра</w:t>
      </w:r>
      <w:r w:rsidRPr="00D03F3E">
        <w:rPr>
          <w:rFonts w:ascii="Times New Roman" w:hAnsi="Times New Roman"/>
          <w:color w:val="000000" w:themeColor="text1"/>
          <w:sz w:val="16"/>
          <w:szCs w:val="16"/>
        </w:rPr>
        <w:softHyphen/>
        <w:t>ничением, зависящим от летчика. Перегрузка в 4,0 единицы считалась пределом выносли</w:t>
      </w:r>
      <w:r w:rsidRPr="00D03F3E">
        <w:rPr>
          <w:rFonts w:ascii="Times New Roman" w:hAnsi="Times New Roman"/>
          <w:color w:val="000000" w:themeColor="text1"/>
          <w:sz w:val="16"/>
          <w:szCs w:val="16"/>
        </w:rPr>
        <w:softHyphen/>
        <w:t>вости летчика, при которой он терял возмож</w:t>
      </w:r>
      <w:r w:rsidRPr="00D03F3E">
        <w:rPr>
          <w:rFonts w:ascii="Times New Roman" w:hAnsi="Times New Roman"/>
          <w:color w:val="000000" w:themeColor="text1"/>
          <w:sz w:val="16"/>
          <w:szCs w:val="16"/>
        </w:rPr>
        <w:softHyphen/>
        <w:t>ность качественного пилотирования самолета по кривой атаки.</w:t>
      </w:r>
    </w:p>
    <w:p w14:paraId="2F65715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с увеличением скоростей полета и, в связи с этим, радиусов разворо</w:t>
      </w:r>
      <w:r w:rsidRPr="00D03F3E">
        <w:rPr>
          <w:rFonts w:ascii="Times New Roman" w:hAnsi="Times New Roman"/>
          <w:color w:val="000000" w:themeColor="text1"/>
          <w:sz w:val="16"/>
          <w:szCs w:val="16"/>
        </w:rPr>
        <w:softHyphen/>
        <w:t>та самолетов маневр сближения с целью за</w:t>
      </w:r>
      <w:r w:rsidRPr="00D03F3E">
        <w:rPr>
          <w:rFonts w:ascii="Times New Roman" w:hAnsi="Times New Roman"/>
          <w:color w:val="000000" w:themeColor="text1"/>
          <w:sz w:val="16"/>
          <w:szCs w:val="16"/>
        </w:rPr>
        <w:softHyphen/>
        <w:t>труднялся, а зоны возможных атак сокраща</w:t>
      </w:r>
      <w:r w:rsidRPr="00D03F3E">
        <w:rPr>
          <w:rFonts w:ascii="Times New Roman" w:hAnsi="Times New Roman"/>
          <w:color w:val="000000" w:themeColor="text1"/>
          <w:sz w:val="16"/>
          <w:szCs w:val="16"/>
        </w:rPr>
        <w:softHyphen/>
        <w:t>лись. Одновременно при росте дальности сни</w:t>
      </w:r>
      <w:r w:rsidRPr="00D03F3E">
        <w:rPr>
          <w:rFonts w:ascii="Times New Roman" w:hAnsi="Times New Roman"/>
          <w:color w:val="000000" w:themeColor="text1"/>
          <w:sz w:val="16"/>
          <w:szCs w:val="16"/>
        </w:rPr>
        <w:softHyphen/>
        <w:t>жалась точность стрельбы. Решающее влия</w:t>
      </w:r>
      <w:r w:rsidRPr="00D03F3E">
        <w:rPr>
          <w:rFonts w:ascii="Times New Roman" w:hAnsi="Times New Roman"/>
          <w:color w:val="000000" w:themeColor="text1"/>
          <w:sz w:val="16"/>
          <w:szCs w:val="16"/>
        </w:rPr>
        <w:softHyphen/>
        <w:t>ние на дальность и эффективность стрельбы оказывала точность прицела (при подходящем техническом рассеивании снарядов и точном знании их баллистики). Так, применение при</w:t>
      </w:r>
      <w:r w:rsidRPr="00D03F3E">
        <w:rPr>
          <w:rFonts w:ascii="Times New Roman" w:hAnsi="Times New Roman"/>
          <w:color w:val="000000" w:themeColor="text1"/>
          <w:sz w:val="16"/>
          <w:szCs w:val="16"/>
        </w:rPr>
        <w:softHyphen/>
        <w:t>цела, имеющего в 2 раза большую точность, примерно в 4 раза увеличивало вероятность попадания снарядов в цель, а установка на са</w:t>
      </w:r>
      <w:r w:rsidRPr="00D03F3E">
        <w:rPr>
          <w:rFonts w:ascii="Times New Roman" w:hAnsi="Times New Roman"/>
          <w:color w:val="000000" w:themeColor="text1"/>
          <w:sz w:val="16"/>
          <w:szCs w:val="16"/>
        </w:rPr>
        <w:softHyphen/>
        <w:t>молет удвоенного количества стволов стрелко</w:t>
      </w:r>
      <w:r w:rsidRPr="00D03F3E">
        <w:rPr>
          <w:rFonts w:ascii="Times New Roman" w:hAnsi="Times New Roman"/>
          <w:color w:val="000000" w:themeColor="text1"/>
          <w:sz w:val="16"/>
          <w:szCs w:val="16"/>
        </w:rPr>
        <w:softHyphen/>
        <w:t>вого или пушечного вооружения - всего лишь в 2 раза. Причем при стрельбе по подвижной маневрирующей цели поправку на угол упре</w:t>
      </w:r>
      <w:r w:rsidRPr="00D03F3E">
        <w:rPr>
          <w:rFonts w:ascii="Times New Roman" w:hAnsi="Times New Roman"/>
          <w:color w:val="000000" w:themeColor="text1"/>
          <w:sz w:val="16"/>
          <w:szCs w:val="16"/>
        </w:rPr>
        <w:softHyphen/>
        <w:t>ждения следовало вводить на основе измере</w:t>
      </w:r>
      <w:r w:rsidRPr="00D03F3E">
        <w:rPr>
          <w:rFonts w:ascii="Times New Roman" w:hAnsi="Times New Roman"/>
          <w:color w:val="000000" w:themeColor="text1"/>
          <w:sz w:val="16"/>
          <w:szCs w:val="16"/>
        </w:rPr>
        <w:softHyphen/>
        <w:t>ния параметров движения цели и стреляюще</w:t>
      </w:r>
      <w:r w:rsidRPr="00D03F3E">
        <w:rPr>
          <w:rFonts w:ascii="Times New Roman" w:hAnsi="Times New Roman"/>
          <w:color w:val="000000" w:themeColor="text1"/>
          <w:sz w:val="16"/>
          <w:szCs w:val="16"/>
        </w:rPr>
        <w:softHyphen/>
        <w:t>го самолета.</w:t>
      </w:r>
    </w:p>
    <w:p w14:paraId="61B9F9B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Эта задача была решена в коллиматорных прицелах-автоматах типа Мк.1Ю с оптическим дальномером с базой на цели, появившихся в 1943 г. на вооружении английских самолетов. Работа прицелов основывалась на использова</w:t>
      </w:r>
      <w:r w:rsidRPr="00D03F3E">
        <w:rPr>
          <w:rFonts w:ascii="Times New Roman" w:hAnsi="Times New Roman"/>
          <w:color w:val="000000" w:themeColor="text1"/>
          <w:sz w:val="16"/>
          <w:szCs w:val="16"/>
        </w:rPr>
        <w:softHyphen/>
        <w:t>нии свободного гироскопа с электромагнитной коррекцией угловой скорости прецессии, что позволяло определять угловую скорость цели непосредственно в ходе прицеливания и, со</w:t>
      </w:r>
      <w:r w:rsidRPr="00D03F3E">
        <w:rPr>
          <w:rFonts w:ascii="Times New Roman" w:hAnsi="Times New Roman"/>
          <w:color w:val="000000" w:themeColor="text1"/>
          <w:sz w:val="16"/>
          <w:szCs w:val="16"/>
        </w:rPr>
        <w:softHyphen/>
        <w:t>ответственно, вести непрерывную сопроводи</w:t>
      </w:r>
      <w:r w:rsidRPr="00D03F3E">
        <w:rPr>
          <w:rFonts w:ascii="Times New Roman" w:hAnsi="Times New Roman"/>
          <w:color w:val="000000" w:themeColor="text1"/>
          <w:sz w:val="16"/>
          <w:szCs w:val="16"/>
        </w:rPr>
        <w:softHyphen/>
        <w:t>тельную стрельбу по цели.</w:t>
      </w:r>
    </w:p>
    <w:p w14:paraId="36AE870D"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Резко возросла роль первой атаки. Во всех зарегистрированных в ходе войны слу</w:t>
      </w:r>
      <w:r w:rsidRPr="00D03F3E">
        <w:rPr>
          <w:rFonts w:ascii="Times New Roman" w:hAnsi="Times New Roman"/>
          <w:color w:val="000000" w:themeColor="text1"/>
          <w:sz w:val="16"/>
          <w:szCs w:val="16"/>
        </w:rPr>
        <w:softHyphen/>
        <w:t>чаях уничтожения истребителями самолетов противника с первой атаки было сбито 53%, со второй - 36%, с третьей - 7%, с четвертой - 4% самолетов.</w:t>
      </w:r>
    </w:p>
    <w:p w14:paraId="607FCAD2"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Помимо внезапности атаки, для повыше</w:t>
      </w:r>
      <w:r w:rsidRPr="00D03F3E">
        <w:rPr>
          <w:rFonts w:ascii="Times New Roman" w:hAnsi="Times New Roman"/>
          <w:color w:val="000000" w:themeColor="text1"/>
          <w:sz w:val="16"/>
          <w:szCs w:val="16"/>
        </w:rPr>
        <w:softHyphen/>
        <w:t>ния вероятности поражения (сбития) цели в первой атаке требовалось повысить эффек</w:t>
      </w:r>
      <w:r w:rsidRPr="00D03F3E">
        <w:rPr>
          <w:rFonts w:ascii="Times New Roman" w:hAnsi="Times New Roman"/>
          <w:color w:val="000000" w:themeColor="text1"/>
          <w:sz w:val="16"/>
          <w:szCs w:val="16"/>
        </w:rPr>
        <w:softHyphen/>
        <w:t>тивность боеприпасов при действии по цели и темп стрельбы бортового оружия.</w:t>
      </w:r>
    </w:p>
    <w:p w14:paraId="2194D6F9"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Поражения (сбития) цели определяется не только законами распределения дальности и ракур</w:t>
      </w:r>
      <w:r w:rsidRPr="00D03F3E">
        <w:rPr>
          <w:rFonts w:ascii="Times New Roman" w:hAnsi="Times New Roman"/>
          <w:color w:val="000000" w:themeColor="text1"/>
          <w:sz w:val="16"/>
          <w:szCs w:val="16"/>
        </w:rPr>
        <w:softHyphen/>
        <w:t>са стрельбы, но также и условным законом по</w:t>
      </w:r>
      <w:r w:rsidRPr="00D03F3E">
        <w:rPr>
          <w:rFonts w:ascii="Times New Roman" w:hAnsi="Times New Roman"/>
          <w:color w:val="000000" w:themeColor="text1"/>
          <w:sz w:val="16"/>
          <w:szCs w:val="16"/>
        </w:rPr>
        <w:softHyphen/>
        <w:t>ражения цели (иначе - степенью сопротивляе</w:t>
      </w:r>
      <w:r w:rsidRPr="00D03F3E">
        <w:rPr>
          <w:rFonts w:ascii="Times New Roman" w:hAnsi="Times New Roman"/>
          <w:color w:val="000000" w:themeColor="text1"/>
          <w:sz w:val="16"/>
          <w:szCs w:val="16"/>
        </w:rPr>
        <w:softHyphen/>
        <w:t>мости цели к разрушительному действию бое</w:t>
      </w:r>
      <w:r w:rsidRPr="00D03F3E">
        <w:rPr>
          <w:rFonts w:ascii="Times New Roman" w:hAnsi="Times New Roman"/>
          <w:color w:val="000000" w:themeColor="text1"/>
          <w:sz w:val="16"/>
          <w:szCs w:val="16"/>
        </w:rPr>
        <w:softHyphen/>
        <w:t>припасов).</w:t>
      </w:r>
    </w:p>
    <w:p w14:paraId="6607CB8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Важным фактором воздушного боя ста</w:t>
      </w:r>
      <w:r w:rsidRPr="00D03F3E">
        <w:rPr>
          <w:rFonts w:ascii="Times New Roman" w:hAnsi="Times New Roman"/>
          <w:color w:val="000000" w:themeColor="text1"/>
          <w:sz w:val="16"/>
          <w:szCs w:val="16"/>
        </w:rPr>
        <w:softHyphen/>
        <w:t>новится требование минимизации перегрузки при маневрировании на кривой атаки и угло</w:t>
      </w:r>
      <w:r w:rsidRPr="00D03F3E">
        <w:rPr>
          <w:rFonts w:ascii="Times New Roman" w:hAnsi="Times New Roman"/>
          <w:color w:val="000000" w:themeColor="text1"/>
          <w:sz w:val="16"/>
          <w:szCs w:val="16"/>
        </w:rPr>
        <w:softHyphen/>
        <w:t>вых перемещений цели (относительной угло</w:t>
      </w:r>
      <w:r w:rsidRPr="00D03F3E">
        <w:rPr>
          <w:rFonts w:ascii="Times New Roman" w:hAnsi="Times New Roman"/>
          <w:color w:val="000000" w:themeColor="text1"/>
          <w:sz w:val="16"/>
          <w:szCs w:val="16"/>
        </w:rPr>
        <w:softHyphen/>
        <w:t>вой скорости) при прицеливании.</w:t>
      </w:r>
    </w:p>
    <w:p w14:paraId="5417AEF1"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следует из материалов исследова</w:t>
      </w:r>
      <w:r w:rsidRPr="00D03F3E">
        <w:rPr>
          <w:rFonts w:ascii="Times New Roman" w:hAnsi="Times New Roman"/>
          <w:color w:val="000000" w:themeColor="text1"/>
          <w:sz w:val="16"/>
          <w:szCs w:val="16"/>
        </w:rPr>
        <w:softHyphen/>
        <w:t>ний НИИ ВВС, область эффективных атак ис</w:t>
      </w:r>
      <w:r w:rsidRPr="00D03F3E">
        <w:rPr>
          <w:rFonts w:ascii="Times New Roman" w:hAnsi="Times New Roman"/>
          <w:color w:val="000000" w:themeColor="text1"/>
          <w:sz w:val="16"/>
          <w:szCs w:val="16"/>
        </w:rPr>
        <w:softHyphen/>
        <w:t>требителя ограничивалась следующими усло</w:t>
      </w:r>
      <w:r w:rsidRPr="00D03F3E">
        <w:rPr>
          <w:rFonts w:ascii="Times New Roman" w:hAnsi="Times New Roman"/>
          <w:color w:val="000000" w:themeColor="text1"/>
          <w:sz w:val="16"/>
          <w:szCs w:val="16"/>
        </w:rPr>
        <w:softHyphen/>
        <w:t>виями: перегрузка на кривой атаки - не более 3,0 единиц, а относительная угловая скорость - 15 град./с.</w:t>
      </w:r>
    </w:p>
    <w:p w14:paraId="2B9F368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Перегрузка при полете самолета по кри</w:t>
      </w:r>
      <w:r w:rsidRPr="00D03F3E">
        <w:rPr>
          <w:rFonts w:ascii="Times New Roman" w:hAnsi="Times New Roman"/>
          <w:color w:val="000000" w:themeColor="text1"/>
          <w:sz w:val="16"/>
          <w:szCs w:val="16"/>
        </w:rPr>
        <w:softHyphen/>
        <w:t>вой атаки существенно сказывалась на спо</w:t>
      </w:r>
      <w:r w:rsidRPr="00D03F3E">
        <w:rPr>
          <w:rFonts w:ascii="Times New Roman" w:hAnsi="Times New Roman"/>
          <w:color w:val="000000" w:themeColor="text1"/>
          <w:sz w:val="16"/>
          <w:szCs w:val="16"/>
        </w:rPr>
        <w:softHyphen/>
        <w:t>собности летчика вести прицельную стрельбу…</w:t>
      </w:r>
    </w:p>
    <w:p w14:paraId="15FBD73A" w14:textId="77777777" w:rsidR="00B8369C" w:rsidRPr="00D03F3E" w:rsidRDefault="00B8369C" w:rsidP="00D03F3E">
      <w:pPr>
        <w:spacing w:after="0" w:line="240" w:lineRule="auto"/>
        <w:jc w:val="both"/>
        <w:rPr>
          <w:rFonts w:ascii="Times New Roman" w:hAnsi="Times New Roman"/>
          <w:color w:val="000000" w:themeColor="text1"/>
          <w:sz w:val="16"/>
          <w:szCs w:val="16"/>
        </w:rPr>
      </w:pPr>
    </w:p>
    <w:p w14:paraId="797C7B0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июня 1943 г.</w:t>
      </w:r>
    </w:p>
    <w:p w14:paraId="3789774B"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Продолжительность боевой службы отечественных и иностранных истребителей</w:t>
      </w:r>
    </w:p>
    <w:p w14:paraId="2FB23C82"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данным 2-го отдела ОУ штаба ВВС КА, 23 июня 1943 г.)</w:t>
      </w:r>
    </w:p>
    <w:tbl>
      <w:tblPr>
        <w:tblW w:w="0" w:type="auto"/>
        <w:tblLayout w:type="fixed"/>
        <w:tblCellMar>
          <w:left w:w="10" w:type="dxa"/>
          <w:right w:w="10" w:type="dxa"/>
        </w:tblCellMar>
        <w:tblLook w:val="04A0" w:firstRow="1" w:lastRow="0" w:firstColumn="1" w:lastColumn="0" w:noHBand="0" w:noVBand="1"/>
      </w:tblPr>
      <w:tblGrid>
        <w:gridCol w:w="2746"/>
        <w:gridCol w:w="816"/>
        <w:gridCol w:w="821"/>
        <w:gridCol w:w="821"/>
        <w:gridCol w:w="763"/>
        <w:gridCol w:w="883"/>
      </w:tblGrid>
      <w:tr w:rsidR="00860B4B" w:rsidRPr="00D03F3E" w14:paraId="67A2D651" w14:textId="77777777" w:rsidTr="00807FA7">
        <w:trPr>
          <w:trHeight w:val="331"/>
        </w:trPr>
        <w:tc>
          <w:tcPr>
            <w:tcW w:w="2746" w:type="dxa"/>
            <w:vMerge w:val="restart"/>
            <w:tcBorders>
              <w:top w:val="single" w:sz="4" w:space="0" w:color="auto"/>
              <w:left w:val="single" w:sz="4" w:space="0" w:color="auto"/>
              <w:right w:val="single" w:sz="4" w:space="0" w:color="auto"/>
            </w:tcBorders>
            <w:shd w:val="clear" w:color="auto" w:fill="FFFFFF"/>
          </w:tcPr>
          <w:p w14:paraId="63C80CE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Типысамсетоа</w:t>
            </w:r>
          </w:p>
        </w:tc>
        <w:tc>
          <w:tcPr>
            <w:tcW w:w="1637" w:type="dxa"/>
            <w:gridSpan w:val="2"/>
            <w:tcBorders>
              <w:top w:val="single" w:sz="4" w:space="0" w:color="auto"/>
              <w:left w:val="single" w:sz="4" w:space="0" w:color="auto"/>
              <w:bottom w:val="single" w:sz="4" w:space="0" w:color="auto"/>
              <w:right w:val="single" w:sz="4" w:space="0" w:color="auto"/>
            </w:tcBorders>
            <w:shd w:val="clear" w:color="auto" w:fill="FFFFFF"/>
          </w:tcPr>
          <w:p w14:paraId="0CA41DA4"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Боевой налет</w:t>
            </w:r>
          </w:p>
        </w:tc>
        <w:tc>
          <w:tcPr>
            <w:tcW w:w="821" w:type="dxa"/>
            <w:tcBorders>
              <w:top w:val="single" w:sz="4" w:space="0" w:color="auto"/>
              <w:left w:val="single" w:sz="4" w:space="0" w:color="auto"/>
              <w:bottom w:val="single" w:sz="4" w:space="0" w:color="auto"/>
              <w:right w:val="single" w:sz="4" w:space="0" w:color="auto"/>
            </w:tcBorders>
            <w:shd w:val="clear" w:color="auto" w:fill="FFFFFF"/>
          </w:tcPr>
          <w:p w14:paraId="0F11CBA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Общие</w:t>
            </w:r>
          </w:p>
        </w:tc>
        <w:tc>
          <w:tcPr>
            <w:tcW w:w="1646" w:type="dxa"/>
            <w:gridSpan w:val="2"/>
            <w:tcBorders>
              <w:top w:val="single" w:sz="4" w:space="0" w:color="auto"/>
              <w:left w:val="single" w:sz="4" w:space="0" w:color="auto"/>
              <w:bottom w:val="single" w:sz="4" w:space="0" w:color="auto"/>
              <w:right w:val="single" w:sz="4" w:space="0" w:color="auto"/>
            </w:tcBorders>
            <w:shd w:val="clear" w:color="auto" w:fill="FFFFFF"/>
          </w:tcPr>
          <w:p w14:paraId="38BDE264"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Налет на одну потерю</w:t>
            </w:r>
          </w:p>
        </w:tc>
      </w:tr>
      <w:tr w:rsidR="00860B4B" w:rsidRPr="00D03F3E" w14:paraId="72CDFB55" w14:textId="77777777" w:rsidTr="00807FA7">
        <w:trPr>
          <w:trHeight w:val="293"/>
        </w:trPr>
        <w:tc>
          <w:tcPr>
            <w:tcW w:w="2746" w:type="dxa"/>
            <w:vMerge/>
            <w:tcBorders>
              <w:left w:val="single" w:sz="4" w:space="0" w:color="auto"/>
              <w:bottom w:val="single" w:sz="4" w:space="0" w:color="auto"/>
              <w:right w:val="single" w:sz="4" w:space="0" w:color="auto"/>
            </w:tcBorders>
            <w:shd w:val="clear" w:color="auto" w:fill="FFFFFF"/>
          </w:tcPr>
          <w:p w14:paraId="6D04BFE8" w14:textId="77777777" w:rsidR="00B8369C" w:rsidRPr="00D03F3E" w:rsidRDefault="00B8369C" w:rsidP="00D03F3E">
            <w:pPr>
              <w:spacing w:after="0" w:line="240" w:lineRule="auto"/>
              <w:jc w:val="both"/>
              <w:rPr>
                <w:rFonts w:ascii="Times New Roman" w:hAnsi="Times New Roman"/>
                <w:color w:val="000000" w:themeColor="text1"/>
                <w:sz w:val="16"/>
                <w:szCs w:val="16"/>
              </w:rPr>
            </w:pPr>
          </w:p>
        </w:tc>
        <w:tc>
          <w:tcPr>
            <w:tcW w:w="816" w:type="dxa"/>
            <w:tcBorders>
              <w:top w:val="single" w:sz="4" w:space="0" w:color="auto"/>
              <w:left w:val="single" w:sz="4" w:space="0" w:color="auto"/>
              <w:bottom w:val="single" w:sz="4" w:space="0" w:color="auto"/>
              <w:right w:val="single" w:sz="4" w:space="0" w:color="auto"/>
            </w:tcBorders>
            <w:shd w:val="clear" w:color="auto" w:fill="FFFFFF"/>
          </w:tcPr>
          <w:p w14:paraId="6A43295B"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w:t>
            </w:r>
          </w:p>
        </w:tc>
        <w:tc>
          <w:tcPr>
            <w:tcW w:w="821" w:type="dxa"/>
            <w:tcBorders>
              <w:top w:val="single" w:sz="4" w:space="0" w:color="auto"/>
              <w:left w:val="single" w:sz="4" w:space="0" w:color="auto"/>
              <w:bottom w:val="single" w:sz="4" w:space="0" w:color="auto"/>
              <w:right w:val="single" w:sz="4" w:space="0" w:color="auto"/>
            </w:tcBorders>
            <w:shd w:val="clear" w:color="auto" w:fill="FFFFFF"/>
          </w:tcPr>
          <w:p w14:paraId="2D966E7D"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часы</w:t>
            </w:r>
          </w:p>
        </w:tc>
        <w:tc>
          <w:tcPr>
            <w:tcW w:w="821" w:type="dxa"/>
            <w:tcBorders>
              <w:top w:val="single" w:sz="4" w:space="0" w:color="auto"/>
              <w:left w:val="single" w:sz="4" w:space="0" w:color="auto"/>
              <w:bottom w:val="single" w:sz="4" w:space="0" w:color="auto"/>
              <w:right w:val="single" w:sz="4" w:space="0" w:color="auto"/>
            </w:tcBorders>
            <w:shd w:val="clear" w:color="auto" w:fill="FFFFFF"/>
          </w:tcPr>
          <w:p w14:paraId="7F19707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потери</w:t>
            </w:r>
          </w:p>
        </w:tc>
        <w:tc>
          <w:tcPr>
            <w:tcW w:w="763" w:type="dxa"/>
            <w:tcBorders>
              <w:top w:val="single" w:sz="4" w:space="0" w:color="auto"/>
              <w:left w:val="single" w:sz="4" w:space="0" w:color="auto"/>
              <w:bottom w:val="single" w:sz="4" w:space="0" w:color="auto"/>
              <w:right w:val="single" w:sz="4" w:space="0" w:color="auto"/>
            </w:tcBorders>
            <w:shd w:val="clear" w:color="auto" w:fill="FFFFFF"/>
          </w:tcPr>
          <w:p w14:paraId="0DFDB61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с1 в</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593F773B"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часы</w:t>
            </w:r>
          </w:p>
        </w:tc>
      </w:tr>
      <w:tr w:rsidR="00860B4B" w:rsidRPr="00D03F3E" w14:paraId="61733199" w14:textId="77777777" w:rsidTr="00807FA7">
        <w:trPr>
          <w:trHeight w:val="437"/>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632FD11B"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Иностранные истребители: «Киттихаук», «Харрикейн», Аэрокобра», «Томагаук»</w:t>
            </w:r>
          </w:p>
        </w:tc>
        <w:tc>
          <w:tcPr>
            <w:tcW w:w="816" w:type="dxa"/>
            <w:tcBorders>
              <w:top w:val="single" w:sz="4" w:space="0" w:color="auto"/>
              <w:left w:val="single" w:sz="4" w:space="0" w:color="auto"/>
              <w:bottom w:val="single" w:sz="4" w:space="0" w:color="auto"/>
              <w:right w:val="single" w:sz="4" w:space="0" w:color="auto"/>
            </w:tcBorders>
            <w:shd w:val="clear" w:color="auto" w:fill="FFFFFF"/>
          </w:tcPr>
          <w:p w14:paraId="3C75E1E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15618</w:t>
            </w:r>
          </w:p>
        </w:tc>
        <w:tc>
          <w:tcPr>
            <w:tcW w:w="821" w:type="dxa"/>
            <w:tcBorders>
              <w:top w:val="single" w:sz="4" w:space="0" w:color="auto"/>
              <w:left w:val="single" w:sz="4" w:space="0" w:color="auto"/>
              <w:bottom w:val="single" w:sz="4" w:space="0" w:color="auto"/>
              <w:right w:val="single" w:sz="4" w:space="0" w:color="auto"/>
            </w:tcBorders>
            <w:shd w:val="clear" w:color="auto" w:fill="FFFFFF"/>
          </w:tcPr>
          <w:p w14:paraId="11696199"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14006</w:t>
            </w:r>
          </w:p>
        </w:tc>
        <w:tc>
          <w:tcPr>
            <w:tcW w:w="821" w:type="dxa"/>
            <w:tcBorders>
              <w:top w:val="single" w:sz="4" w:space="0" w:color="auto"/>
              <w:left w:val="single" w:sz="4" w:space="0" w:color="auto"/>
              <w:bottom w:val="single" w:sz="4" w:space="0" w:color="auto"/>
              <w:right w:val="single" w:sz="4" w:space="0" w:color="auto"/>
            </w:tcBorders>
            <w:shd w:val="clear" w:color="auto" w:fill="FFFFFF"/>
          </w:tcPr>
          <w:p w14:paraId="12D1E0E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209</w:t>
            </w:r>
          </w:p>
        </w:tc>
        <w:tc>
          <w:tcPr>
            <w:tcW w:w="763" w:type="dxa"/>
            <w:tcBorders>
              <w:top w:val="single" w:sz="4" w:space="0" w:color="auto"/>
              <w:left w:val="single" w:sz="4" w:space="0" w:color="auto"/>
              <w:bottom w:val="single" w:sz="4" w:space="0" w:color="auto"/>
              <w:right w:val="single" w:sz="4" w:space="0" w:color="auto"/>
            </w:tcBorders>
            <w:shd w:val="clear" w:color="auto" w:fill="FFFFFF"/>
          </w:tcPr>
          <w:p w14:paraId="18ADF23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6431B17F"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w:t>
            </w:r>
          </w:p>
        </w:tc>
      </w:tr>
      <w:tr w:rsidR="00860B4B" w:rsidRPr="00D03F3E" w14:paraId="2E06D239" w14:textId="77777777" w:rsidTr="00807FA7">
        <w:trPr>
          <w:trHeight w:val="422"/>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1B4299F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Отечественные истребители. Як-1, Як-7Б Ла-5 И-153 И-16 И-15бис МиГ-3, ЛаГГ-3</w:t>
            </w:r>
          </w:p>
        </w:tc>
        <w:tc>
          <w:tcPr>
            <w:tcW w:w="816" w:type="dxa"/>
            <w:tcBorders>
              <w:top w:val="single" w:sz="4" w:space="0" w:color="auto"/>
              <w:left w:val="single" w:sz="4" w:space="0" w:color="auto"/>
              <w:bottom w:val="single" w:sz="4" w:space="0" w:color="auto"/>
              <w:right w:val="single" w:sz="4" w:space="0" w:color="auto"/>
            </w:tcBorders>
            <w:shd w:val="clear" w:color="auto" w:fill="FFFFFF"/>
          </w:tcPr>
          <w:p w14:paraId="65197B5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73696</w:t>
            </w:r>
          </w:p>
        </w:tc>
        <w:tc>
          <w:tcPr>
            <w:tcW w:w="821" w:type="dxa"/>
            <w:tcBorders>
              <w:top w:val="single" w:sz="4" w:space="0" w:color="auto"/>
              <w:left w:val="single" w:sz="4" w:space="0" w:color="auto"/>
              <w:bottom w:val="single" w:sz="4" w:space="0" w:color="auto"/>
              <w:right w:val="single" w:sz="4" w:space="0" w:color="auto"/>
            </w:tcBorders>
            <w:shd w:val="clear" w:color="auto" w:fill="FFFFFF"/>
          </w:tcPr>
          <w:p w14:paraId="1D9D6D95"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69296</w:t>
            </w:r>
          </w:p>
        </w:tc>
        <w:tc>
          <w:tcPr>
            <w:tcW w:w="821" w:type="dxa"/>
            <w:tcBorders>
              <w:top w:val="single" w:sz="4" w:space="0" w:color="auto"/>
              <w:left w:val="single" w:sz="4" w:space="0" w:color="auto"/>
              <w:bottom w:val="single" w:sz="4" w:space="0" w:color="auto"/>
              <w:right w:val="single" w:sz="4" w:space="0" w:color="auto"/>
            </w:tcBorders>
            <w:shd w:val="clear" w:color="auto" w:fill="FFFFFF"/>
          </w:tcPr>
          <w:p w14:paraId="3B81B0B7"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1249</w:t>
            </w:r>
          </w:p>
        </w:tc>
        <w:tc>
          <w:tcPr>
            <w:tcW w:w="763" w:type="dxa"/>
            <w:tcBorders>
              <w:top w:val="single" w:sz="4" w:space="0" w:color="auto"/>
              <w:left w:val="single" w:sz="4" w:space="0" w:color="auto"/>
              <w:bottom w:val="single" w:sz="4" w:space="0" w:color="auto"/>
              <w:right w:val="single" w:sz="4" w:space="0" w:color="auto"/>
            </w:tcBorders>
            <w:shd w:val="clear" w:color="auto" w:fill="FFFFFF"/>
          </w:tcPr>
          <w:p w14:paraId="7965302C"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39F60411"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55</w:t>
            </w:r>
          </w:p>
        </w:tc>
      </w:tr>
      <w:tr w:rsidR="00860B4B" w:rsidRPr="00D03F3E" w14:paraId="65690BBB" w14:textId="77777777" w:rsidTr="00807FA7">
        <w:trPr>
          <w:trHeight w:val="446"/>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56BBAA9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Современные отечественные истребители: Як-1, Як-7Б, Ла-5, ЛаГГ-3, МиГ-3</w:t>
            </w:r>
          </w:p>
        </w:tc>
        <w:tc>
          <w:tcPr>
            <w:tcW w:w="816" w:type="dxa"/>
            <w:tcBorders>
              <w:top w:val="single" w:sz="4" w:space="0" w:color="auto"/>
              <w:left w:val="single" w:sz="4" w:space="0" w:color="auto"/>
              <w:bottom w:val="single" w:sz="4" w:space="0" w:color="auto"/>
              <w:right w:val="single" w:sz="4" w:space="0" w:color="auto"/>
            </w:tcBorders>
            <w:shd w:val="clear" w:color="auto" w:fill="FFFFFF"/>
          </w:tcPr>
          <w:p w14:paraId="788BA962"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43839</w:t>
            </w:r>
          </w:p>
        </w:tc>
        <w:tc>
          <w:tcPr>
            <w:tcW w:w="821" w:type="dxa"/>
            <w:tcBorders>
              <w:top w:val="single" w:sz="4" w:space="0" w:color="auto"/>
              <w:left w:val="single" w:sz="4" w:space="0" w:color="auto"/>
              <w:bottom w:val="single" w:sz="4" w:space="0" w:color="auto"/>
              <w:right w:val="single" w:sz="4" w:space="0" w:color="auto"/>
            </w:tcBorders>
            <w:shd w:val="clear" w:color="auto" w:fill="FFFFFF"/>
          </w:tcPr>
          <w:p w14:paraId="20EE089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40652</w:t>
            </w:r>
          </w:p>
        </w:tc>
        <w:tc>
          <w:tcPr>
            <w:tcW w:w="821" w:type="dxa"/>
            <w:tcBorders>
              <w:top w:val="single" w:sz="4" w:space="0" w:color="auto"/>
              <w:left w:val="single" w:sz="4" w:space="0" w:color="auto"/>
              <w:bottom w:val="single" w:sz="4" w:space="0" w:color="auto"/>
              <w:right w:val="single" w:sz="4" w:space="0" w:color="auto"/>
            </w:tcBorders>
            <w:shd w:val="clear" w:color="auto" w:fill="FFFFFF"/>
          </w:tcPr>
          <w:p w14:paraId="66CC6996"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986</w:t>
            </w:r>
          </w:p>
        </w:tc>
        <w:tc>
          <w:tcPr>
            <w:tcW w:w="763" w:type="dxa"/>
            <w:tcBorders>
              <w:top w:val="single" w:sz="4" w:space="0" w:color="auto"/>
              <w:left w:val="single" w:sz="4" w:space="0" w:color="auto"/>
              <w:bottom w:val="single" w:sz="4" w:space="0" w:color="auto"/>
              <w:right w:val="single" w:sz="4" w:space="0" w:color="auto"/>
            </w:tcBorders>
            <w:shd w:val="clear" w:color="auto" w:fill="FFFFFF"/>
          </w:tcPr>
          <w:p w14:paraId="4AFB8C70"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2F478293"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w:t>
            </w:r>
          </w:p>
        </w:tc>
      </w:tr>
    </w:tbl>
    <w:p w14:paraId="09F3E5F8" w14:textId="77777777" w:rsidR="00B8369C" w:rsidRPr="00D03F3E" w:rsidRDefault="00B8369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(15763).</w:t>
      </w:r>
    </w:p>
    <w:p w14:paraId="6CCA172F" w14:textId="77777777" w:rsidR="00B8369C" w:rsidRPr="00D03F3E" w:rsidRDefault="00B8369C" w:rsidP="00D03F3E">
      <w:pPr>
        <w:spacing w:after="0" w:line="240" w:lineRule="auto"/>
        <w:jc w:val="both"/>
        <w:rPr>
          <w:rFonts w:ascii="Times New Roman" w:hAnsi="Times New Roman"/>
          <w:color w:val="000000" w:themeColor="text1"/>
          <w:sz w:val="16"/>
          <w:szCs w:val="16"/>
        </w:rPr>
      </w:pPr>
    </w:p>
    <w:p w14:paraId="1FE859D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июня 1943 года вышло постановление ГКО по вопросам планирования производства квашеной капусты, соления огурцов и помидоров. Необходимое для победы количество капусты равнялось 405 тыс. тонн, соленых огурцов - 61 тыс. тонн. В два раза меньше решили солить помидоров - 27 тыс. тонн. "Дело большой государственной важности" курировалось руководителями 57 республик, краев и областей, которые отвечали головой и партбилетом за срыв плана соления овощей. Между двумя большими кусками (норма - полбуханки на бойца в день) хлеба укладывалась колбаса, сало, квашенная капуста, соленые огурцы, помидоры и лук (7859).</w:t>
      </w:r>
    </w:p>
    <w:p w14:paraId="2FCB590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227BA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июня 1943 вышло Постановление ГКО № 3634 О плане квашения капусты, соления огурцов и помидоров и поставках сухофруктов для Красной Армии из урожая 1943 г.РГАНИР, Фонд ГКО, д. 128, лл. 75-83, 84-92 (11012).</w:t>
      </w:r>
    </w:p>
    <w:p w14:paraId="70EE1B3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97089C"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32323DC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791E4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 июня 1943 года</w:t>
      </w:r>
    </w:p>
    <w:p w14:paraId="5D8ACCC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СТРОГО СЕКРЕТНОЕ ПОСЛАНИЕ ОТ ПРЕМЬЕР-МИНИСТРА г-на УИНСТОНА ЧЕРЧИЛЛЯ МАРШАЛУ И. В. СТАЛИНУ</w:t>
      </w:r>
    </w:p>
    <w:p w14:paraId="30DFB3D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 с тревогой узнал через господина Молотова о том, что Вы предполагаете признать Французский Национальный Комитет Освобождения, недавно созданный в Алжире. Невероятно, чтобы Британское Правительство и тем более Правительство Соединенных Штатов признали этот Комитет в скором времени, и они это сделают лишь после того, как получат достаточные доказательства что его характер и деятельность будут удовлетворительными: в отношении интересов дела союзников,</w:t>
      </w:r>
    </w:p>
    <w:p w14:paraId="1103BB2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Со времени своего прибытия в Алжир генерал де Голль вел борьбу за обладание эффективным контролем над французской армией. Командование не может быть уверено в том, что он будет делать, или в его дружественных чувствах по отношению к нам, если он добьется власти. Президент Рузвельт и я совершенно согласны с тем, что де Голль может подвергнуть опасности базы и коммуникации армий, которые должны участвовать в “Эскимосе”</w:t>
      </w:r>
      <w:r w:rsidRPr="00D03F3E">
        <w:rPr>
          <w:rFonts w:ascii="Times New Roman" w:hAnsi="Times New Roman"/>
          <w:color w:val="000000" w:themeColor="text1"/>
          <w:sz w:val="16"/>
          <w:szCs w:val="16"/>
          <w:vertAlign w:val="superscript"/>
        </w:rPr>
        <w:t>39</w:t>
      </w:r>
      <w:r w:rsidRPr="00D03F3E">
        <w:rPr>
          <w:rFonts w:ascii="Times New Roman" w:hAnsi="Times New Roman"/>
          <w:color w:val="000000" w:themeColor="text1"/>
          <w:sz w:val="16"/>
          <w:szCs w:val="16"/>
        </w:rPr>
        <w:t>. Мы не можем этим рисковать, так как это касалось бы жизней наших солдат и помешало бы ведению войны.</w:t>
      </w:r>
    </w:p>
    <w:p w14:paraId="5730159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Первоначально в Комитете было семь членов, но число их теперь увеличено до четырнадцати, и мы не можем быть уверены в его образе действий. Поэтому генерал Эйзенхауэр от имени как Правительства Соединенных Штатов, так и Британского Правительства довел до сведения Комитета, что генерал Жиро должен остаться главнокомандующим французской армией и осуществлять эффективную власть над ее характером и организацией. Несомненно, это вызовет дискуссию в Палате общин так же, как и в Соединенных Штатах, и Президенту и мне придется привести причины, а их много, которыми объясняется принятый нами образ действий. Если бы Советское Правительство уже признало Комитет, то простое изложение этих причин и дача разъяснений выявили бы разногласия во мнениях между Советским Правительством и западными союзниками, что было бы достойно крайнего сожаления.</w:t>
      </w:r>
    </w:p>
    <w:p w14:paraId="6AB9522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Мы очень хотим найти французский орган власти, вокруг которого сплотятся все французы, и мы по-прежнему надеемся, что этот орган власти может возникнуть в результате переговоров, происходящих в настоящее время в Алжире. Нам кажется, что еще слишком рано выносить сейчас решение по этому поводу (7430).</w:t>
      </w:r>
    </w:p>
    <w:p w14:paraId="62920F5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626C26" w14:textId="77777777" w:rsidR="00D47C36"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12DB997E" w14:textId="77777777" w:rsidR="00D47C36" w:rsidRPr="00D03F3E" w:rsidRDefault="00D47C36"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9C2648" w14:textId="77777777" w:rsidR="00A64C54" w:rsidRPr="00D03F3E" w:rsidRDefault="00A64C54"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23 июня 1942 г. немецкий летчик посадил ФВ-190А-3 на английской авиабазе, в Королевском исследовательском авиацентре в Фарнборо, где на нем летал X. Дж. Вильсон, “Фокке-Вульф” получил исключительно высокую оценку. Истребитель оказался во всем, кроме радиуса виража, лучше английского “Спитфайра V”. Превосходство в скорости доходило до 50–60 км/ч. Даже появление новейшего “Спитфайра IX”, по английским оценкам, уменьшило, но никоим образом не ликвидировало преимуществ ФВ-190 (19179).</w:t>
      </w:r>
    </w:p>
    <w:p w14:paraId="3A7551C7" w14:textId="77777777" w:rsidR="00A64C54" w:rsidRPr="00D03F3E" w:rsidRDefault="00A64C54" w:rsidP="00D03F3E">
      <w:pPr>
        <w:shd w:val="clear" w:color="auto" w:fill="FFFFFF"/>
        <w:spacing w:after="0" w:line="240" w:lineRule="auto"/>
        <w:jc w:val="both"/>
        <w:textAlignment w:val="baseline"/>
        <w:rPr>
          <w:rFonts w:ascii="Times New Roman" w:hAnsi="Times New Roman"/>
          <w:color w:val="000000" w:themeColor="text1"/>
          <w:sz w:val="16"/>
          <w:szCs w:val="16"/>
        </w:rPr>
      </w:pPr>
    </w:p>
    <w:p w14:paraId="714BC0C2" w14:textId="77777777" w:rsidR="00145AC0" w:rsidRPr="00D03F3E" w:rsidRDefault="00145AC0"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23 июня 1943 года на рассмотрение ВВС представили эскизный проект реактивного истребителя под фирменным обозначением L-140. Проект одобрили и заключили с фирмой контракт на производство трех экспериментальных самолетов и 13 предсерийных машин. Самолету присвоили обозначение ХР-80. В контракте указывалось, что фирма должна разработать и построить первый экземпляр в 180-дневный срок. Уже к началу сентября военные планировали отправить в Великобританию первую эскадрилью из новых реактивных истребителей. На фирме Lockheed основную работу по проекту L-140 возглавил еще мало кому известный Кларенс Джонсон. Под его руководством 35 конструкторов трудились по 10 часов в сутки. Деревянный макет самолета построили через месяц. Все время, пока шла сборка первого образца истребителя, рабочие спали прямо в сборочном цеху. Наконец, через 143 дня после подписания контракта самолет был построен. Его назвали «Прекрасная Лулу» — Lulu Belle (22848).</w:t>
      </w:r>
    </w:p>
    <w:p w14:paraId="022EC280" w14:textId="77777777" w:rsidR="00145AC0" w:rsidRPr="00D03F3E" w:rsidRDefault="00145AC0" w:rsidP="00D03F3E">
      <w:pPr>
        <w:spacing w:after="0" w:line="240" w:lineRule="auto"/>
        <w:jc w:val="both"/>
        <w:rPr>
          <w:rFonts w:ascii="Times New Roman" w:hAnsi="Times New Roman"/>
          <w:color w:val="0070C0"/>
          <w:sz w:val="16"/>
          <w:szCs w:val="16"/>
        </w:rPr>
      </w:pPr>
    </w:p>
    <w:p w14:paraId="41CF0CEB" w14:textId="77777777" w:rsidR="00D47C36" w:rsidRPr="00D03F3E" w:rsidRDefault="00D47C36"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23 июня</w:t>
      </w:r>
      <w:r w:rsidRPr="00D03F3E">
        <w:rPr>
          <w:rFonts w:ascii="Times New Roman" w:hAnsi="Times New Roman"/>
          <w:color w:val="000000" w:themeColor="text1"/>
          <w:sz w:val="16"/>
          <w:szCs w:val="16"/>
        </w:rPr>
        <w:t xml:space="preserve"> в 1943 году буксировщик «С-47» и планер </w:t>
      </w:r>
      <w:hyperlink r:id="rId210" w:tgtFrame="_blank" w:history="1">
        <w:r w:rsidRPr="00D03F3E">
          <w:rPr>
            <w:rFonts w:ascii="Times New Roman" w:hAnsi="Times New Roman"/>
            <w:color w:val="000000" w:themeColor="text1"/>
            <w:sz w:val="16"/>
            <w:szCs w:val="16"/>
          </w:rPr>
          <w:t xml:space="preserve">«CG-4A» </w:t>
        </w:r>
      </w:hyperlink>
      <w:r w:rsidRPr="00D03F3E">
        <w:rPr>
          <w:rFonts w:ascii="Times New Roman" w:hAnsi="Times New Roman"/>
          <w:color w:val="000000" w:themeColor="text1"/>
          <w:sz w:val="16"/>
          <w:szCs w:val="16"/>
        </w:rPr>
        <w:t>взлетели с канадской авиабазы "Дорвал" вблизи Монреаля. В тот же день они достигли северного побережья Лабрадора. 27 июня связка перелетела на аэродром подскока "Блу Вест Уан". Три дня спустя началась первая фаза перелета через Атлантику. Через 7 часов 15 минут планер и буксировщик достигли Исландии. Там из "Вако" выгрузили два из трех поддонов, и связка отправилась во вторую часть трансатлантического рейса. 30 июня экипажи благополучно приземлились на авиабазе "Приствик" в Шотландии. Так завершился первый в истории перелет безмоторного летательного аппарата через Атлантику. Суммарное полетное время составило 28 часов. Начиная с 1943 года «CG-4A» активно применялись как в Европе, так и на Дальнем востоке. Но первым событием, сделавшим его знаменитым, стал рекордный перелет "Вако" через Атлантику. Целью этой операции была доставка планера англичанам для ознакомления и попутная перевозка груза медикаментов, радиодеталей и запчастей для самолетов в Исландию и Шотландию. Груз в 1520 кг разместили на трех поддонах. Для "страховки" планер оборудовали надувными мешками, которые должны были обеспечить плавучесть в случае вынужденной посадки на воду (14931).</w:t>
      </w:r>
    </w:p>
    <w:p w14:paraId="3F2F741B" w14:textId="77777777" w:rsidR="00D47C36" w:rsidRPr="00D03F3E" w:rsidRDefault="00D47C36" w:rsidP="00D03F3E">
      <w:pPr>
        <w:spacing w:after="0" w:line="240" w:lineRule="auto"/>
        <w:jc w:val="both"/>
        <w:rPr>
          <w:rFonts w:ascii="Times New Roman" w:hAnsi="Times New Roman"/>
          <w:color w:val="000000" w:themeColor="text1"/>
          <w:sz w:val="16"/>
          <w:szCs w:val="16"/>
        </w:rPr>
      </w:pPr>
    </w:p>
    <w:p w14:paraId="0A9E3DD0" w14:textId="77777777" w:rsidR="00FC6291" w:rsidRPr="00D03F3E" w:rsidRDefault="00FC629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23 июня 1943 - Буксировщик С-47 и планер CG-4A взлетели с канадской авиабазы "Дорвал" вблизи Монреаля. В тот же день они достигли северного побережья Лабрадора. 27 июня связка перелетела на аэродром подскока "Блу Вест Уан". Три дня спустя началась первая фаза перелета через Атлантику. Через 7 часов 15 минут планер и буксировщик достигли Исландии. Там из "Вако" выгрузили два из трех поддонов, и связка отправилась во вторую часть трансатлантического рейса. 30 июня экипажи благополучно приземлились на авиабазе "Приствик" в Шотландии. Так завершился первый в истории перелет безмоторного летательного аппарата через Атлантику. Суммарное полетное время составило 28 часов. Начиная с 1943 года CG-4A активно применялись как в Европе, так и на Дальнем востоке. Но первым событием, сделавшим его знаменитым, стал рекордный перелет "Вако" через Атлантику. Целью этой операции была доставка планера англичанам для ознакомления и попутная перевозка груза медикаментов, радиодеталей и запчастей для самолетов в Исландию и Шотландию. Груз в 1520 кг разместили на трех поддонах. Для "страховки" планер оборудовали надувными мешками, которые должны были обеспечить плавучесть в случае вынужденной посадки на воду (22452).</w:t>
      </w:r>
    </w:p>
    <w:p w14:paraId="73B6184B" w14:textId="77777777" w:rsidR="00FC6291" w:rsidRPr="00D03F3E" w:rsidRDefault="00FC6291" w:rsidP="00D03F3E">
      <w:pPr>
        <w:spacing w:after="0" w:line="240" w:lineRule="auto"/>
        <w:jc w:val="both"/>
        <w:rPr>
          <w:rFonts w:ascii="Times New Roman" w:hAnsi="Times New Roman"/>
          <w:color w:val="0070C0"/>
          <w:sz w:val="16"/>
          <w:szCs w:val="16"/>
        </w:rPr>
      </w:pPr>
    </w:p>
    <w:p w14:paraId="1A85F665"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204A383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5B604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июня 1943 С.В.И. писал Кузнецову в НКАП письмо N 1/700с:</w:t>
      </w:r>
    </w:p>
    <w:p w14:paraId="7E8A97B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сообщению ГК Кузьмина винты для Ил-6 с М-30Б у него готовы, но отправить их на завод 39 он никак не может.</w:t>
      </w:r>
    </w:p>
    <w:p w14:paraId="25EBC36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Ввиду крайней необходимости в винтах, прошу Вашего распоряжения в скорейшей их отправке самолетом на завод 39 в Иркутск (1775,87).</w:t>
      </w:r>
    </w:p>
    <w:p w14:paraId="60B3A0E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2FB18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июня 1943 Зам. НКАП А.Кузнецов писал письмо N Н-34/2512 Нач. УЗСМ ГУЗ ВВС КА по запросу о фотоаппаратах и сообщил, что завод 22 приступил к отработке на Пе-2 установок под АФА-33, АФА-3С, НАФА-19 и АФА-ИМ. Срок их внедрения на серийных бомбардировщиках не был установлен. Установка АФА-ИМ на истребителях и штурмовиках по решению межведомственного совещания у ГИ ВВС Репина 7 октября 1942 будет установлен ГОКО (1784,116).</w:t>
      </w:r>
    </w:p>
    <w:p w14:paraId="4EB96C9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7DCA5F" w14:textId="77777777" w:rsidR="00290744" w:rsidRPr="00D03F3E" w:rsidRDefault="00290744" w:rsidP="00D03F3E">
      <w:pPr>
        <w:pStyle w:val="ae"/>
        <w:spacing w:before="0" w:after="0"/>
        <w:jc w:val="both"/>
        <w:rPr>
          <w:color w:val="0070C0"/>
          <w:sz w:val="16"/>
          <w:szCs w:val="16"/>
        </w:rPr>
      </w:pPr>
      <w:r w:rsidRPr="00D03F3E">
        <w:rPr>
          <w:color w:val="0070C0"/>
          <w:sz w:val="16"/>
          <w:szCs w:val="16"/>
        </w:rPr>
        <w:t>24 июня 1943 года был доклад заместителя начальника 7-го Главного управления НКАП Алексеева наркому Шахурину: Геликоптер «Омега» с двигателями МВ-6 9 «Докладываю, что построенный главным конструктором Братухиным экспериментальный геликоптер «Омега» проходит в настоящее время летные испытания в Алма-Ате... Расчетные данные: взлетный вес 1900 кг, максимальная скорость у земли 186 км/ч. После рулежки и коротких подлетов 16 мая сего года произведены свободные полеты... В дальнейшем проводились подъемы и посадки. Первые полеты были ограничены 1—2 минутами и высотой 3 м. Согласно донесению Братухина, первые полеты показали удовлетворительное поведение геликоптера в воздухе по устойчивости и управляемости» (20260).</w:t>
      </w:r>
    </w:p>
    <w:p w14:paraId="51C94267" w14:textId="77777777" w:rsidR="00290744" w:rsidRPr="00D03F3E" w:rsidRDefault="00290744" w:rsidP="00D03F3E">
      <w:pPr>
        <w:pStyle w:val="ae"/>
        <w:spacing w:before="0" w:after="0"/>
        <w:jc w:val="both"/>
        <w:rPr>
          <w:color w:val="0070C0"/>
          <w:sz w:val="16"/>
          <w:szCs w:val="16"/>
        </w:rPr>
      </w:pPr>
    </w:p>
    <w:p w14:paraId="3A86D430"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6187034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95FD29" w14:textId="77777777" w:rsidR="00FD6DE2" w:rsidRPr="00D03F3E" w:rsidRDefault="00FD6DE2" w:rsidP="00D03F3E">
      <w:pPr>
        <w:pStyle w:val="a3"/>
        <w:rPr>
          <w:color w:val="000000" w:themeColor="text1"/>
          <w:lang w:val="ru-RU"/>
        </w:rPr>
      </w:pPr>
      <w:r w:rsidRPr="00D03F3E">
        <w:rPr>
          <w:color w:val="000000" w:themeColor="text1"/>
          <w:lang w:val="ru-RU"/>
        </w:rPr>
        <w:t>24 июня 1943, за три дня до отставки Зальцмана, начальник группы танков СНК Е. Круглов написал в своей справке «О ходе выполнения постановления ГКО от 5 мая 1943 г. № 3289сс»:</w:t>
      </w:r>
    </w:p>
    <w:p w14:paraId="7C1DC81C" w14:textId="77777777" w:rsidR="00FD6DE2" w:rsidRPr="00D03F3E" w:rsidRDefault="00FD6DE2" w:rsidP="00D03F3E">
      <w:pPr>
        <w:pStyle w:val="a3"/>
        <w:rPr>
          <w:color w:val="000000" w:themeColor="text1"/>
          <w:lang w:val="ru-RU"/>
        </w:rPr>
      </w:pPr>
      <w:r w:rsidRPr="00D03F3E">
        <w:rPr>
          <w:color w:val="000000" w:themeColor="text1"/>
          <w:lang w:val="ru-RU"/>
        </w:rPr>
        <w:t>«Это объясняется тем, что в Наркомтанкопроме не существует ответственности за порученные задания Государственного комитета обороны. Считаю необходимым предупредить Наркомтанкопром (т. Зальцмана) о недопустимости такого безответственного отношения к заданиям ГОКО и потребовать от т. Зальцмана немедленно лично заняться выправлением создавшегося положения по изготовлению опытных образцов танков ИС и КВ-1С в кратчайшие сроки.»</w:t>
      </w:r>
    </w:p>
    <w:p w14:paraId="1D92DF8C" w14:textId="77777777" w:rsidR="00FD6DE2" w:rsidRPr="00D03F3E" w:rsidRDefault="00FD6DE2" w:rsidP="00D03F3E">
      <w:pPr>
        <w:pStyle w:val="a3"/>
        <w:rPr>
          <w:color w:val="000000" w:themeColor="text1"/>
          <w:lang w:val="ru-RU"/>
        </w:rPr>
      </w:pPr>
      <w:r w:rsidRPr="00D03F3E">
        <w:rPr>
          <w:color w:val="000000" w:themeColor="text1"/>
          <w:lang w:val="ru-RU"/>
        </w:rPr>
        <w:t>Решение об отстранении И. М. Зальцмана принималось на фоне подобных докладов. В результате у Сталина могла появиться идея, что главная трудность состоит как раз в том, что нарком Зальцман не горит желанием выполнять планы перевооружения, предложенные бывшим наркомом В. А. Малышевым. Поэтому логичным было поручить реализацию «плана Малышева» самому Малышеву, что и было в конце концов сделано (12290).</w:t>
      </w:r>
    </w:p>
    <w:p w14:paraId="2696BDA0" w14:textId="77777777" w:rsidR="00FD6DE2" w:rsidRPr="00D03F3E" w:rsidRDefault="00FD6DE2" w:rsidP="00D03F3E">
      <w:pPr>
        <w:pStyle w:val="a3"/>
        <w:rPr>
          <w:color w:val="000000" w:themeColor="text1"/>
          <w:lang w:val="ru-RU"/>
        </w:rPr>
      </w:pPr>
    </w:p>
    <w:p w14:paraId="7FF56CB3" w14:textId="77777777" w:rsidR="00E10C4E" w:rsidRPr="00D03F3E" w:rsidRDefault="00E10C4E" w:rsidP="00D03F3E">
      <w:pPr>
        <w:pStyle w:val="ae"/>
        <w:shd w:val="clear" w:color="auto" w:fill="FFFFFF"/>
        <w:spacing w:before="0" w:after="0"/>
        <w:jc w:val="both"/>
        <w:rPr>
          <w:color w:val="000000" w:themeColor="text1"/>
          <w:sz w:val="16"/>
          <w:szCs w:val="16"/>
        </w:rPr>
      </w:pPr>
      <w:r w:rsidRPr="00D03F3E">
        <w:rPr>
          <w:color w:val="000000" w:themeColor="text1"/>
          <w:sz w:val="16"/>
          <w:szCs w:val="16"/>
        </w:rPr>
        <w:t>24 июня 1943 года была утверждена программа испытаний средних САУ. В документе указывались 3 системы: С-18, Д-5С-85, а также С-18 с изменениями, внесёнными УЗТМ. Но ни в июне, ни в первой половине июля шасси для орудий так и не были построены. Это не помешало провести стендовые испытания С-18, которые проходили 18 июня. Из системы под номером 5 было произведено 23 выстрела, из которых 1 с уменьшенным, 11 с нормальным и 11 с усиленным зарядами. Стрельба велась на различных углах возвышения. Испытания прошли успешно, экстракция гильзы после выстрела происходила без проблем.</w:t>
      </w:r>
    </w:p>
    <w:p w14:paraId="05581D78" w14:textId="77777777" w:rsidR="00E10C4E" w:rsidRPr="00D03F3E" w:rsidRDefault="00E10C4E" w:rsidP="00D03F3E">
      <w:pPr>
        <w:pStyle w:val="ae"/>
        <w:shd w:val="clear" w:color="auto" w:fill="FFFFFF"/>
        <w:spacing w:before="0" w:after="0"/>
        <w:jc w:val="both"/>
        <w:rPr>
          <w:color w:val="000000" w:themeColor="text1"/>
          <w:sz w:val="16"/>
          <w:szCs w:val="16"/>
        </w:rPr>
      </w:pPr>
      <w:r w:rsidRPr="00D03F3E">
        <w:rPr>
          <w:color w:val="000000" w:themeColor="text1"/>
          <w:sz w:val="16"/>
          <w:szCs w:val="16"/>
        </w:rPr>
        <w:t>Исходный вариант установки ЦАКБ получил обозначение СУ-85-IV. Он, впрочем, всё равно подвергся доработке. Установка системы была немного переделана, а сверху над ней появилась крышка, которая прикрывала рамку от попадания воды и грязи. Переделке подверглась и сама система. Механик-водитель получил чуть более комфортные условия работы. Более существенными оказались переделки в боевом отделении. Идею конструкторов ЦАКБ организовать в правом заднем углу большую укладку патронов в конце концов забраковали, поскольку работать с такой укладкой было бы неудобно. Вместо этого патроны распределили по периметру боевого отделения, а также организовали укладку под орудием, ещё одна укладка разместилась на левой надгусеничной полке. Боекомплект уменьшился до 48 патронов, но работать с ним стало куда удобнее. Численность экипажа увеличилась до 5 человек, при этом командир имел более комфортные условия работы. Он получил колпак в крыше башни, представлявший собой аналог командирской башенки. В колпаке находились перископические приборы наблюдения. В таком виде машину приняли в работу.</w:t>
      </w:r>
    </w:p>
    <w:p w14:paraId="206F439C" w14:textId="77777777" w:rsidR="00E10C4E" w:rsidRPr="00D03F3E" w:rsidRDefault="00E10C4E" w:rsidP="00D03F3E">
      <w:pPr>
        <w:pStyle w:val="ae"/>
        <w:shd w:val="clear" w:color="auto" w:fill="FFFFFF"/>
        <w:spacing w:before="0" w:after="0"/>
        <w:jc w:val="both"/>
        <w:rPr>
          <w:color w:val="000000" w:themeColor="text1"/>
          <w:sz w:val="16"/>
          <w:szCs w:val="16"/>
        </w:rPr>
      </w:pPr>
      <w:r w:rsidRPr="00D03F3E">
        <w:rPr>
          <w:color w:val="000000" w:themeColor="text1"/>
          <w:sz w:val="16"/>
          <w:szCs w:val="16"/>
        </w:rPr>
        <w:t>Главной претензией к С-31 в тот момент у комиссии было отсутствие возможности для её модернизации. Дело в том, что в ГАУ КА хотели увеличить начальную скорость снаряда. Ещё 4 мая Артком ГАУ КА инициировал работы по проектированию 85-мм пушек, у которых длина ствола увеличивалась на 12 калибров, а начальная скорость снаряда возрастала до 950 м/с. В случае с С-31 добиться таких результатов было невозможно, что стало расплатой за унификацию. Это было справедливо и в отношении С-18 (17704).</w:t>
      </w:r>
    </w:p>
    <w:p w14:paraId="6781884B" w14:textId="77777777" w:rsidR="00E10C4E" w:rsidRPr="00D03F3E" w:rsidRDefault="00E10C4E" w:rsidP="00D03F3E">
      <w:pPr>
        <w:spacing w:after="0" w:line="240" w:lineRule="auto"/>
        <w:jc w:val="both"/>
        <w:rPr>
          <w:rFonts w:ascii="Times New Roman" w:eastAsia="Times New Roman" w:hAnsi="Times New Roman"/>
          <w:color w:val="000000" w:themeColor="text1"/>
          <w:sz w:val="16"/>
          <w:szCs w:val="16"/>
          <w:lang w:eastAsia="ru-RU"/>
        </w:rPr>
      </w:pPr>
    </w:p>
    <w:p w14:paraId="6F56902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июня 1943 вышло Постановление ГКО № 3638 Об организации питания для рабочих, занятых на ремонте самолетов, моторов и танков.РГАНИР, Фонд ГКО, д. 128, лл. 146 (11012).</w:t>
      </w:r>
    </w:p>
    <w:p w14:paraId="66E5A32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B1E25F"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июня 1943 вышло Распоряжение ГКО № 3639 Об организации ремонтного завода Узбекэнерго. (7117, 147,148).</w:t>
      </w:r>
    </w:p>
    <w:p w14:paraId="4D461500"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A08D9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июня 1943 вышло Постановление ГКО № 3640 О строительстве новых гидроэлектростанций и о дальнейшем использовании водной энергии Узбекской ССР.РГАНИР, Фонд ГКО, д. 128, лл. 149-151 (11012).</w:t>
      </w:r>
    </w:p>
    <w:p w14:paraId="6E63FB7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B2235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июня 1943 вышло Распоряжение ГКО № 3641. О переписи металла и кабельных изделий на ГАЗ.РГАНИР, Фонд ГКО, д. 128, лл. 152 (11012).</w:t>
      </w:r>
    </w:p>
    <w:p w14:paraId="2902EC9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A4B5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24 июня 1943 ГКО постановил разрешить Наркомату среднего машиностроения вести строительно-монтажные работы на ГАЗе без проектов и смет по единым расценкам, израсходовать на оказание помощи пострадавшим во время воздушных налетов работникам ГАЗа и их семьям 2 млн рублей. Одновременно с этим комитет обязал Госплан СССР предусмотреть в III квартале для восстановления ГАЗа 100 млн рублей. Наркомат обороны должен был до 1 июля мобилизовать и отправить на восстановление завода 2500 военнообязанных, негодных к строевой службе. Вместе с тем ГКО возложил ответственность за восстановление Горьковского автозавода на Вознесенского, Первухина, Микояна, Косыгина, СНК, всех наркомов и начальников ГУ при СНК СССР! Необходимые для восстановления цехов и пуска </w:t>
      </w:r>
      <w:r w:rsidRPr="00D03F3E">
        <w:rPr>
          <w:rFonts w:ascii="Times New Roman" w:hAnsi="Times New Roman"/>
          <w:color w:val="000000" w:themeColor="text1"/>
          <w:sz w:val="16"/>
          <w:szCs w:val="16"/>
        </w:rPr>
        <w:lastRenderedPageBreak/>
        <w:t>производства, фондируемые и планируемые материалы, изделия, металлы, оборудование должны были выделяться преимущественно перед всеми без исключения потребителями с внеочередной поставкой. Кроме того, госкомитет обязал смежников поставить ГАЗу в июле комплектно все детали и изделия по установленной кооперации на 2000 автомашин и 500 танков Т-70.</w:t>
      </w:r>
    </w:p>
    <w:p w14:paraId="0769528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Восстановление цехов автозавода первоначально планировалось завершить к 15 июля – 15 августа. Однако эти сроки оказались заведомо невыполнимыми. Одно дело – написать постановление, другое – его выполнить и обеспечить всеми необходимыми ресурсами.</w:t>
      </w:r>
    </w:p>
    <w:p w14:paraId="6E90AE2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Возродить из пепла Горьковский автозавод поручили особой строительно-монтажной части (ОСМЧ) – тресту «Стройгаз» № 2. В помощь ему в Горький были срочно направлены работники объединений «Стальконструкция», «Центрэлектромонтаж» и др., фактически ставшие субподрядчиками треста. Активные работы по восстановлению автозавода начались сразу после начала операции «Цитадель». 5 июля немецкие группы армий «Центр» и «Юг» наконец нанесли давно ожидаемые удары по сходящимся направлениям по Курскому выступу. На земле завязались ожесточенные бои с применением тысяч танков и орудий. С воздуха в работу включились все наличные силы авиации. В этих условиях стало ясно, что немцы в ближайшее время не смогут возобновить налеты на тыловые объекты.</w:t>
      </w:r>
    </w:p>
    <w:p w14:paraId="3F75300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Однако восстановительные работы поначалу не заладились. Уже 8 июля директор ГАЗа И. К. Лоскутов в письме начальнику УНКВД В. С. Рясному отмечал  «срыв первоочередных поставок необходимого для восстановления металла, срыв плана ремонта электромоторов». Наблюдалась тенденция под предлогом выполнения государственной программы и др. объективным причинам уклониться от внеплановых поставок автозаводу. В частности, этим нагло занимались Кулебакский металлургический завод и «Красное Сормово». Лоскутов писал:  «Налицо желание некоторых заводов затянуть организацию и выполнение заказов для автозавода, дождаться окончания месяца, квартала и считать свои обязательства по поставкам утратившими силу (Выкса), сослаться на отсутствие у себя постановления (Наркомчермет) и т.п.». </w:t>
      </w:r>
    </w:p>
    <w:p w14:paraId="0DC183E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выполнение плана поставок составило лишь 23%. Особые трудности представлял ремонт электрооборудования. Руководству завода пришлось организовать новые цеха, укомплектовать их малоквалифицированной рабочей силой и приступить к выпуску сложной электроаппаратуры и электроремонту. Из-за отсутствия специалистов, нехватки шарикоподшипников и роликоподшипников работы шли очень медленно и некачественно. В итоге план по ремонту электрооборудования был исполнен лишь на 27%.</w:t>
      </w:r>
    </w:p>
    <w:p w14:paraId="53EDB6D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то что с момента первых разрушений прошел почти месяц, руководство «Стройгаза» не развернуло подготовительные и восстановительные работы в темпах, обеспечивающих выполнение решений Государственного и Городского комитетов обороны. Согласно постановлениям, трест должен был развернуть работы сразу на 24 объектах, однако руководство ОСМЧ считало первоочередными объектами лишь пять (механосборочный и литейный корпуса, колесный и прессово-кузовной цеха и главный магазин смежных деталей), а подготовительные работы, которые шли совершенно неудовлетворительно, в основном вело лишь в механосборочном и литейном корпусах и колесном цехе. Часть работ начали 30 июня – 1 июля (по цехам №№ 5, 8, прессово-кузовному и ТЭЦ). В общей сложности на 1 июля в распоряжении треста и его субподрядчиков имелись 9756 рабочих.</w:t>
      </w:r>
    </w:p>
    <w:p w14:paraId="618D31D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литейном корпусе нужно было установить 47 ферм, но фактически к началу июля успели смонтировать только пять (участок № 1). Из 15 400 кв. м кровли было сделано 4640. Особые трудности представляла расчистка завалов на площади 13 000 кв. м в механосборочном корпусе. К началу июля ее удалось выполнить менее чем на треть. Разрушенную кровлю корпуса площадью 62 500 кв. м только начали ремонтировать, сделав 2700 кв. м. Были установлены всего 24 из 528 прогонов, демонтированы 272 металлоконструкции из 600.</w:t>
      </w:r>
    </w:p>
    <w:p w14:paraId="00BE2B7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Организация работ находилась на низком уровне: отмечались самовольные уходы и простои. Так, 27 июня в колесном цехе на участке плотничных работ из 14 рабочих фактически работали четверо. Работы в цехе еще только начинались, хотя он лежал в руинах уже три недели. Рабочий день формально составлял 12 часов, но строительство было слабо обеспечено сварочными аппаратами, инструментом для газорезки, не хватало лебедок, рукавиц и костюмов. Для огромной массы людей, привлеченных для восстановления, не хватало самого элементарного: столов, табуреток, кипятильников, бачков для воды и кружек. Часть людей на участке № 1 работала вообще разутыми.</w:t>
      </w:r>
    </w:p>
    <w:p w14:paraId="1A95978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Директор ГАЗа Лоскутов постоянно констатировал срыв поставок и графиков работ. В отчаянии он буквально завалил письмами начальника УКВД Рясного. В очередном послании Лоскутов писал:  «Водный транспорт: не только внеочередная, но и вообще доставка грузов, следующих в адрес автозавода, не обеспечена. Большинство грузов разгружается на участке горьковского порта, а не автозавода. В настоящее время имеется 1000т необходимого металла. Мало того что эти грузы преступно задерживаются, завод вынужден платить большие суммы за их хранение в порту. </w:t>
      </w:r>
    </w:p>
    <w:p w14:paraId="77E3953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Завод № 92 не выполняет обязательства по восстановлению к 15.07 производственных корпусов кузницы №3и паровой. Облегпром ничего не выдал из спецодежды: ботинки, лапти и т.д. Завод Ленина игнорирует прокладку кабеля на автозавод. Директор стеклозавода Артемьев из запланированных ему на июнь 80 тыс. кв. мина июль 120 тыс. кв. м стекла на 7.7 выдал 28 тыс. кв. м». </w:t>
      </w:r>
    </w:p>
    <w:p w14:paraId="70E190D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Плохо обстояло дело и с топливом. 6 июля из Астрахани отплыла баржа «Анадырь» с мазутом для заводов №№ 92,112,176 и автозавода. Однако до потребителей груз так и не дошел. Без ведома Главнефтеснаба судно было остановлено в Камском устье, 6000 т «забрал» себе речфлот, остальное направили в Молотовскую (Пермскую) область. В результате все указанные заводы остались без топлива.</w:t>
      </w:r>
    </w:p>
    <w:p w14:paraId="187EE04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руководства треста «Стройгаз» № 2 было свое видение, как надо вести восстановительные работы. Представители обкома фактически предлагали возрождать завод по-стахановски, методом штурмовщины сразу на всех участках. Однако на это не было ни необходимых людских ресурсов, ни техники и стройматериалов. Поэтому по окончании безотлагательных аварийных работ, обеспечивших нормальную работу отдельных цехов завода с оставшимся неповрежденным оборудованием, строители приступили к восстановительным работам на первоочередных объектах.</w:t>
      </w:r>
    </w:p>
    <w:p w14:paraId="566EB89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контуре каждого корпуса первой очереди была установлена очередность производства строительно-монтажных работ по отдельным цехам. Так, механосборочный корпус № 1 с находящимися в нем четырьмя основными цехами был разбит на четыре очереди: 1-я – моторный цех № 2, 2-я – термический цех, 3-я – главный конвейер, 4-я – цех шасси. Это дало возможность концентрировать людские и материальные ресурсы на узком участке работ и обеспечить введение в эксплуатацию отдельных цехов и агрегатов последовательно, по частям, не дожидаясь окончания работ по всем корпусам в целом.</w:t>
      </w:r>
    </w:p>
    <w:p w14:paraId="70AD616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Учитывая необходимость быстрейшего восстановления завода и отсутствие возможности вести строительно-монтажные работы развернутым фронтом по всем подлежащим восстановлению объектам, в первую очередь производились работы только по восстановлению производственных площадей. Ремонтные работы на участках цехов, имеющих вспомогательные, бытовые и служебные функции, проводились во вторую очередь.</w:t>
      </w:r>
    </w:p>
    <w:p w14:paraId="467ED51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Основная задача строителей в первый период восстановления заключалась в обеспечении защиты цехов от атмосферных осадков и устройству промразводок, связанных с работой технологического оборудования. При этом использовалась следующая очередность:</w:t>
      </w:r>
    </w:p>
    <w:p w14:paraId="0AC15BA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общестроительные работы, в т.ч. восстановление и монтаж основных несущих конструкций перекрытий с устройством кровли;</w:t>
      </w:r>
    </w:p>
    <w:p w14:paraId="36E6B58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электромонтажные работы, в т.ч. восстановление цеховых подстанций и подводок к ним электроэнергии;</w:t>
      </w:r>
    </w:p>
    <w:p w14:paraId="4BCF6A1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промвентиляция: монтаж воздуховодов к печам, вытяжки;</w:t>
      </w:r>
    </w:p>
    <w:p w14:paraId="6F25D0F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сантехмонтаж и промразводки (нефтепровод, паропровод, ливневая канализация, отопление, фекальная канализация).</w:t>
      </w:r>
    </w:p>
    <w:p w14:paraId="18CE810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Минимальный рабочий день составлял 11 часов, во многих случаях строители работали по 14—15 часов, а зачастую оставались ночевать прямо на стройке с тем, чтобы с рассветом приняться за выполнение срочного задания.</w:t>
      </w:r>
    </w:p>
    <w:p w14:paraId="4539AA2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Однако сроки работ не устраивали начальство. 13 июля на бюро обкома ВКП(б) обсуждался вопрос о выполнении постановления ГКО от 19 июня по восстановлению цехов ГАЗа. Участники совещания констатировали, что  «работы идут неудовлетворительно». К 9 июля из 24 объектов 1-й очереди строительные работы были организованы только на пяти. График выполнялся с большим отставанием, имели место массовые простои и невыполнение норм. Обкомовские работники отмечали:  «Партийное и хозяйственное руководство ОСМЧ „Стройгаз № 2“ не приняло мер к развороту строительных работ, не умеет координировать управление и руководство с субподрядными организациями, допустило путаницу в распределении объектов… По решению ГОКО кровля кузнечного корпуса должна быть восстановлена к 15 июля, но на 10 июля ведутся лишь подготовительные работы (демонтаж: поврежденных металлоконструкций). По колесному цеху срок окончания работ установлен 25 июля, на 10.07проведены работы по восстановлению несущих ж/б элементов здания. Объем металлоконструкций составляет 597тонн, восстановлено на 8.07– 5тонн». </w:t>
      </w:r>
    </w:p>
    <w:p w14:paraId="5041C9F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решению горкомитета обороны и местных организаций за период 20 июня – 7 июля в ОСМЧ «Стройгаз» № 2 для восстановительных работ на ГАЗе прибыли в общей сложности 8159 рабочих. Наркоматом среднего машиностроения на площадку были направлены аварийно-восстановительные отряды, а работающие здесь конторы спецтрестов были резко усилены. В целях проверки хода работ и оказания необходимой помощи в июле автозавод посетил народный комиссар по строительству С. 3. Гинзбург.</w:t>
      </w:r>
    </w:p>
    <w:p w14:paraId="06ED4E1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оформление и размещение рабочей силы велось неудовлетворительно. Группа, прибывшая 25 июня из Арзамасского района, к работе не приступила до начала июля, другая группа, из Павловского района, прибыв 22 июня, приступила к работе лишь 1 июля.</w:t>
      </w:r>
    </w:p>
    <w:p w14:paraId="58D88D0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При этом бараки для проживания рабочих построены не были. Большое количество людей было размещено в недостроенных бараках Ново-Западного поселка, где спали прямо на кучах строительного мусора или на досках. Общежития и бараки находились в антисанитарном состоянии. Не хватало еды, постельных принадлежностей, спящих рабочих атаковали вши и клопы. В столовых не хватало ложек и тарелок. Рабочие, приехавшие на ГАЗ из разных уголков страны, были поражены созданными здесь «условиями». В итоге туркмены, работавшие на строительном участке № 2, написали в Верховный Совет Туркменской ССР письмо о плохом культурно-бытовом и медицинском обслуживании:  «…питание было организовано одноразовое, т.е. горячий обед один раз в сутки, общежитие не подготовлено к жилью, грязь, темно и т.п.». Письмо вскоре возымело действие, и туркмены были помещены в благоустроенное общежитие (двухэтажный деревянный дом), обеспечены постельными принадлежностями, одеждой и др. инвентарем. Предметом особой гордости автозаводцев за своих коллег из Азии являлось наличие </w:t>
      </w:r>
      <w:r w:rsidRPr="00D03F3E">
        <w:rPr>
          <w:rFonts w:ascii="Times New Roman" w:hAnsi="Times New Roman"/>
          <w:color w:val="000000" w:themeColor="text1"/>
          <w:sz w:val="16"/>
          <w:szCs w:val="16"/>
        </w:rPr>
        <w:lastRenderedPageBreak/>
        <w:t>в общежитиях портретов вождей, лозунгов и плакатов.</w:t>
      </w:r>
    </w:p>
    <w:p w14:paraId="06A7683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Оптимистические графики работ были безнадежно сорваны, и 26 июля приказом по Наркомату среднего машиностроения ранее установленные сроки восстановления цехов (15 июля – 15 августа) были отодвинуты на более поздние.</w:t>
      </w:r>
    </w:p>
    <w:p w14:paraId="5F55C69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Наиболее авральные работы на Горьковском автозаводе пришлись на конец июля – сентябрь 1943 г. Осуществлению строительных работ была подчинена работа центрального бетонного завода, арматурного цеха, цеха сборных железобетонных плит, лесопильного завода, деревообрабатывающего цеха, цеха алебастро-опилочных плит и др. предприятий треста. Трест «Стройгаз» № 2 производил работы, руководствуясь принципом одновременного ведения строительных, монтажных и специальных работ, что давало возможность ускорить сдачу объектов в эксплуатацию.</w:t>
      </w:r>
    </w:p>
    <w:p w14:paraId="78AF988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Разбор разрушенных зданий производился экскаваторами, передвижными кранами, инструментом, бензорезами, тракторами и вручную. На расчищенных площадях немедленно начинались восстановительные работы. Нередко они были связаны с большими трудностями и сложными техническими решениями. Например, в колесном цехе монтаж металлоконструкций выполнялся при помощи огромной мачты и нескольких качающихся мачт. 24-метровый пролет был восстановлен с помощью специально смонтированного двухпролетного кабель-крана со средней качающейся мачтой, изготовленного силами объединения «Стальконструкция» прямо на месте за 12 дней и смонтированного в течение 10 дней. Фермы собирали вне цеха, с двух торцов, перевозили кабель-краном к месту установки и опускали на железобетонные колонны. Срок монтажа составил всего 25 рабочих дней.</w:t>
      </w:r>
    </w:p>
    <w:p w14:paraId="037BED9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восстановлении механосборочного корпуса из-за нехватки металла пришлось многие фермы и прогоны выправлять с помощью гидравлических и механических прессов. Просевшие фермы поднимали до прежнего положения соединительными стойками, домкратами, а при большой высоте – специальными металлическими башнями и закрепляли. Деформированные части вырезали и вместо них вставляли новые элементы. Исправление колонн, деформировавшихся в нижней части, производилось путем замены поврежденной части новым отрезком колонны. Во время замены примыкающая часть стены поддерживалась стойками и подкосами, а с колонн снималась нагрузка.</w:t>
      </w:r>
    </w:p>
    <w:p w14:paraId="4457165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Большие трудности представлял ремонт литейного цеха № 1. На шихтовом дворе разрывом бомбы две соседних колонны были втянуты в воронку, все конструктивные элементы получили осадку до 0,5 м по вертикали, а колонна искривилась до 0,4 м. Невозможность правки колонны на месте и подъема всей конструкции в целом заставила применить следующий способ: подкрановые балки были подняты на консолях, а влияние кривизны колонн было устранено путем устройства мощной решетки между соседними колоннами и превращением всей системы в стержневую, с угловыми вирнарами в местах перегиба колонн.</w:t>
      </w:r>
    </w:p>
    <w:p w14:paraId="5C0203C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восстановлении склада песка в этом же цехе на мостовом кране были выложены шпальные клетки, на которых установлены песочные домкраты. Металлические фермы пролетом 24 м поднимались при помощи 30-метровой мачты, установленной в торце склада, и путем оттяжки тросов устанавливались на песочные домкраты. Устойчивость ферм на домкратах обеспечивалась установкой жестких боковых связей из уголков, по три с каждой стороны фермы. В таком положении мостовой кран с установленной на нем фермой передвигался при помощи ручных лебедок на место установки фермы. Опускание фермы на опоры производилось песочными домкратами, что обеспечивало точную и плавную посадку фермы. После опускания фермы мостовой кран передвигался теми же лебедками в торец здания к подъемной мачте, и цикл работ повторялся. Подготовительные работы провели за шесть дней, а все фермы установили за пять дней. Полный монтаж связей прогонов и рифленого настила был выполнен за четыре дня.</w:t>
      </w:r>
    </w:p>
    <w:p w14:paraId="54584EF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силу исключительно большого разнообразия повреждений железобетонных конструкций различного рода невозможно было найти общий метод по их восстановлению. В каждом случае приходилось принимать индивидуальное решение, в зависимости от степени и характера повреждений. Перед восстановлением поврежденные участки железобетонных элементов расчищались, а бетон, потерявший прочность в результате пожара или откола, удалялся до глубины, где его прочность не вызывала сомнений.</w:t>
      </w:r>
    </w:p>
    <w:p w14:paraId="5AD98FB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Из-за нехватки железа и железобетона для кровли применялся металлический настил из гофрированного железа, в некоторых цехах использовались железобетонные кровельные плиты.</w:t>
      </w:r>
    </w:p>
    <w:p w14:paraId="676AB48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Сантехнические работы велись управлением № 4 ОСМЧ-102, а электромонтажные – участком № 3 особого проектно-монтажного управления № 5 «Центрэлектромонтаж». Они шли по двум основным направлениям:</w:t>
      </w:r>
    </w:p>
    <w:p w14:paraId="039D35A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восстановление основных питающих кабелей и линейных фидеров от ТЭЦ к цеховым подстанциям и восстановление силовых магистральных линий внутри цехов;</w:t>
      </w:r>
    </w:p>
    <w:p w14:paraId="411F220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пуск в ход всех непострадавших станков во вновь созданных технических группировках.</w:t>
      </w:r>
    </w:p>
    <w:p w14:paraId="626842E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Наряду с работами на линии в цехах была организована мастерская, в которой производилось изготовление шинных сборок, силовых и осветительных щитков, предохранителей, высоковольтных сборок, пультов, а также реставрация демонтируемых в цехах силовых пультов, ящиков с предохранителями и др.</w:t>
      </w:r>
    </w:p>
    <w:p w14:paraId="54DB56C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 Работы по восстановлению систем вентиляции производились монтажным управлением № 2 ОСМЧ-48. Монтажный участок был разделен на прорабства, выполнявшие отдельные объекты, подлежащие восстановлению. За восстановительный период были смонтированы и сданы в эксплуатацию 124 вентиляционные системы на сумму 608 тыс. рублей.</w:t>
      </w:r>
    </w:p>
    <w:p w14:paraId="7D9D1FB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Громадный объем материалов и полуфабрикатов (кирпич, раствор, бетон, железобетонные плиты, утеплитель, металлический настил и т.д.), которые нужно было поднять в крайне сжатые сроки, потребовал большого количества подъемников. Отсутствие времени на изготовление сложных подъемников заставило строителей встать на путь использования простейших подъемников. Одним из них был подъемный блок, представляющий собой две стойки, установленные с небольшим наклоном к стене цеха и соединенные поперечными связями. На верхнюю площадку укладывался брус, на консольном конце которого укреплялся блок. Через блок продевался трос, к одному концу которого прикреплялась подъемная платформа, а другой закреплялся на электролебедке. Кроме этого, применялись скиповые подъемники, ленточные транспортеры и т.п.</w:t>
      </w:r>
    </w:p>
    <w:p w14:paraId="0FD62F8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бомбардировки было повреждено значительное число жилых домов и культурно-бытовых зданий. Характерным примером являлись жилые четырехэтажные дома, выполненные из силикатного кирпича. Для них типичным было продольное расслоение кирпичной кладки от сотрясения взрывной волной. Кроме этого, продольные стены домов получили отклонения по вертикали до 10 см с разрывом кладки в местах примыкания продольных стен к средним поперечным стенам и стенам лестничных клеток. Приходилось практически заново устанавливать кровлю, делать металлические стяжки, во множестве мест заменить кладку, а швы заливать бетоном.</w:t>
      </w:r>
    </w:p>
    <w:p w14:paraId="26EB3B7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Проектирование всех работ велось непосредственно на стройплощадке бригадой «Промстройпроекта», что позволяло осуществлять тесную и оперативную увязку работы проектировщиков и производственников, технологов и строителей. Конструкции и методы производства выбирались в соответствии с имеющимися на площадке ресурсами. Это позволило также применить новые конструкции из местных материалов и новые методы в производстве работ (в частности асбестовые плиты). Все деревянные перекрытия были заменены огнестойкими.</w:t>
      </w:r>
    </w:p>
    <w:p w14:paraId="29553F1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ускорения работ все несущие конструкции разрушенных цехов были восстановлены в металле, и лишь цеха с железобетонными колоннами, имевшие незначительные разрушения, оставили в прежнем виде. Число световых фонарей пришлось сократить на 30%, закрыв их железом и асбестофанерой. Деревянная обрешетка заменялась гофрированным железом, чье производство организовали в прессовом цехе автозавода. Для утепления использовали самые примитивные материалы: алебастро-опилочные, цементно-зольные и торфяные и даже глиноземные плиты. При этом все они перед использованием проходили испытания зажигательными бомбами и противотанковой горючей жидкостью.</w:t>
      </w:r>
    </w:p>
    <w:p w14:paraId="4663112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Восстановление громадных площадей кровель корпусов потребовало свыше 1500 ливневых воронок. Нехватка чугуна заставила применять «подсобные материалы» – части коробки заднего моста «полуторки» и головки авиабомб, производившихся на ГАЗе.</w:t>
      </w:r>
    </w:p>
    <w:p w14:paraId="6196DCC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августа прошло партсобрание треста «Стройгаз» № 2. Выступавшие на нем констатировали:  «По второму участку: трудовая дисциплина неудовлетворительна. Программа за 20 дней августа выполнена на 62%. Срок сдачи объектов 25 августа сорван. Низкая трудовая дисциплина. 23 августа прогуляло 721 чел., рабочий день начинается с опозданием на 30—40 минут. Накануне рабочего дня задание дается только нескольким бригадам, остальные получают его в начале рабочего дня». По итогам собрания начальнику второго участка Романову даже пригрозили исключением из ВКП(б).</w:t>
      </w:r>
    </w:p>
    <w:p w14:paraId="73A10B5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Впрочем, всевозможные накладки и игнорирование приказов и распоряжений были постоянно. В частности, не было выполнено постановление бюро обкома ВКП(б) и распоряжение горкомитета обороны от 11 августа в части мобилизации сроком на два месяца для восстановления ГАЗа с предприятий области электросварщиков – 45 человек, газорезчиков – 25 человек. К 15 сентября в трест «Стройгаз» № 2 поступили всего шесть человек. Директора заводов Глян, Рубинчик и Агаджаев, а также заводы Вторчермет, Главчермет в категорической форме отказались выделить полагающееся количество сварщиков и попросту игнорировали распоряжение.</w:t>
      </w:r>
    </w:p>
    <w:p w14:paraId="043E1B2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Общая потребность рабочей силы к началу строительства составляла примерно 9500 человек, к началу же июля в распоряжении треста «Стройгаз» № 2 имелись лишь 2242 человека (23,4%). Согласно распоряжениям различных ведомств, к работам должны были быть привлечены 12 800 человек, однако этот план так и не был выполнен. К1 октября на восстановлении автозавода трудились (по спискам) 8621 человек, в т.ч. 2023 – из сельских районов области, 1447 – из САВО, 816 – из разных воинских частей, 1675 – с самого ГАЗа и еще 2331 человека предоставил Московский военный округ. Кроме того, на строительстве были задействованы 1211 рабочих из субподрядных организаций. Таким образом, в восстановительных работах с 15 июля по 15 ноября участвовали почти 10 тыс. человек!</w:t>
      </w:r>
    </w:p>
    <w:p w14:paraId="5DA3456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Для размещения этой огромной массы требовалась значительная жилплощадь, между тем многие дома Соцгорода и прилегающих поселков были разрушены, и места не хватало самим автозаводцам. Под жилье пришлось использовать школы, недостроенные жилые дома, клубы и простые палатки. Кроме того, были в спешном порядке сооружены каркасно-засыпные бараки и полуземлянки. Всего под временное жилье было приспособлено 10 тыс. кв. м. К августу, чтобы кормить всю эту толпу, были открыты 20 столовых и раздаточных пунктов. Но и этого оказалось недостаточно. Да и комфорт в сооруженных наспех «летних кафе» оставлял желать лучшего. При проверке, проведенной 17 июля в столовой № 7, выяснилось отсутствие какого-либо порядка:  «Нет света, почти нет посуды, нет помещения для хлеборезки, продукты тухнут. Рабочие часами ожидают получения ужина, не всем отпускается из-за темноты хлеб». </w:t>
      </w:r>
    </w:p>
    <w:p w14:paraId="5BAA9C1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конце июля ход работ серьезно затруднили продолжительные дожди и ливни. В начале августа начались побеги рабочих и массовые прогулы. В результате среднесуточное число людей, занятых на восстановительных работах, сократилось на 1500 человек. Часто происходили несчастные случаи, особенно на подъемниках.</w:t>
      </w:r>
    </w:p>
    <w:p w14:paraId="3B3415F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велись при постоянной нехватке транспорта. Первоначально в распоряжении треста «Стройгаз» № 2 имелись всего 64 грузовых автомашины разных типов, из них в исправном состоянии всего 27! Можно было использовать также 36 лошадей. Решением Горьковского комитета обороны во второй половине июля для ремонтных работ были выделены 75 автомобилей ЗиС-5 грузоподъемностью пять тонн. Однако ко всему прочего для машин не хватало горючего. Газогенераторные грузовики простаивали из-за отсутствия чурок, т.к. цех по их изготовлению сгорел во время налетов. Не хватало шоферов и ремонтников. Руководству треста пришлось прямо на месте организовать краткосрочные курсы, в сжатые сроки подготовив 28 новых водителей. Ремонтники проявили настоящий героизм, восстанавливая поломанные в ходе безжалостной эксплуатации грузовики буквально из ничего. В результате шоферы делали в среднем по 33 рейса в день, перевозя грузы на самые разные участки. Всего в течение III квартала 1943 г. автомашины сделали по 530 тонно-километров.</w:t>
      </w:r>
    </w:p>
    <w:p w14:paraId="583BBA9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этот же период водный транспорт, имевшийся в распоряжении треста, перевез 23,5 тыс. т грузов. Остальное доставлялось по железной дороге, алее вообще сплавлялся по течению. В октябре Горьковская железная дорога из 157 вагонов подала на стройплощадку автозавода лишь 20, создав значительные трудности.</w:t>
      </w:r>
    </w:p>
    <w:p w14:paraId="0671F12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восстановительных работ требовалось большое количество дерева и бетона. Вместе с тем при бомбежках полностью сгорели бетонный завод, деревообделочный завод, кузница, машиностроительная мастерская и лесозавод треста «Стройгаз» № 2. Ремонтники, невзирая на погоду и усталость, трудились день и ночь, причем одновременно с восстановлением этих предприятий начался выпуск продукции. Уже на второй день после начала работ бетонный завод дал первый бетон! И это без воды и электричества. Вода подвозилась на автомашинах, а электроэнергия подавалась по временному кабелю. В разгар восстановительных работ предприятие давало в сутки 230 куб. м бетона, хотя этого, конечно, было недостаточно.</w:t>
      </w:r>
    </w:p>
    <w:p w14:paraId="5C3C09E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Новый деревообделочный завод было решено строить на берегу Оки, на территории уцелевшего лесозавода № 1. В первую очередь был сооружен плотничный цех, который немедленно начал выпускать балки, щиты, фермы, строительные леса и т.п. Строительные участки получали из цеха железобетонных изделий кровельные плиты, из цеха плит «АС» – алебастро-опилочные плиты утеплителя, с бетонного завода – раствор. Всего с июля по ноябрь производственным комбинатом «Стройгаза» были выпущены 3374 куб. м бетона, 7350 куб. м цементного раствора, 9920 кв. м железобетонных кровельных плит, 500 кв. м пенобетона, 60 661 кв. м алебастро-опилочных плит, 200 т арматуры, 5693 кв. м переплетов и т.п.</w:t>
      </w:r>
    </w:p>
    <w:p w14:paraId="0655B6D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Объем работ, выполненных трестом «Стройгаз» № 2 и его субподрядчиками, характеризуют следующие цифры. С 1 июля по 1 октября были уложены 2,7 млн кирпичей, 128 170 кв. м рубероида, смонтированы металлоконструкции весом 3400 т, трубопроводы протяженностью почти 43 км, проложено 32,6 км высоко– и низковольтного кабеля и еще 50 км различных проводов, подключены к станкам 3500 электромоторов, смонтированы 2640 электроточек и 348 калориферов. Большинство работ выполнялось «временно», т.е. с низким качеством. Так, «остекление» окон и световых фонарей, кроме собственно стекла, производилось фанерой и кровельным железом. Всего таким способом были «остеклены» 79 800 кв. м.</w:t>
      </w:r>
    </w:p>
    <w:p w14:paraId="2155407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Помимо треста «Стройгаз» № 2, на восстановлении ГАЗа работали 11 субподрядных организаций, каждая из которых выполняла определенный тип работ. Решением ГКО строительные работы на заводах «Серп и молот», «Красная Этна» и № 466 были приостановлены и все силы бросили на автозавод. Нужно было любой ценой возродить из пепла это крупнейшее предприятие Поволжья. Приказами по тресту была утверждена система премирования и вручения переходящих Красных знамен за лучшие показатели в работе.</w:t>
      </w:r>
    </w:p>
    <w:p w14:paraId="5E96B23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Отличившихся рабочих награждали премиями, а также ордерами на промтовары. Вошли в моду так называемые фронтовые декады.</w:t>
      </w:r>
    </w:p>
    <w:p w14:paraId="5640403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 октября было «в целом» обеспечено восстановление производственных мощностей ГАЗа. Первые пять автомобилей «по обходной технологии» были выпущены заводом еще 25 июля. В августе с «конвейеров» сошли первые 100 бронемашин БА-64, в октябре – первые вездеходы ГАЗ-67. Сборка американских грузовиков шла прямо под открытым небом.</w:t>
      </w:r>
    </w:p>
    <w:p w14:paraId="79ECACC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не менее сроки окончания работ 15—30 сентября снова оказались невыполненными, и 6 октября нарком среднего машиностроения С. Акопов, ссылаясь на постановление ГКО, вновь перенес их, уже на 15 октября – 15 ноября. Да и они касались лишь основных производственных объектов. Вспомогательные сооружения предполагалось восстановить лишь к 20 декабря 1943 г. Согласно актам о приемке, большинство цехов были сданы между 21 и 30 октября (11774).</w:t>
      </w:r>
    </w:p>
    <w:p w14:paraId="07AD924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D29AC5" w14:textId="77777777" w:rsidR="00E33784" w:rsidRPr="00D03F3E" w:rsidRDefault="00E33784"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24 июня 1943 года Государственный Комитет Обороны постановил: разрешить наркомсредмашу производство строительно-монтажных работ на ГАЗе вести без проектов и смет по единым расценкам, разрешить наркомсредмашу израсходовать 2 млн. рублей на оказание помощи пострадавшим работникам ГАЗа и их семьям во время воздушных налетов, обязать Госплан СССР предусмотреть в </w:t>
      </w:r>
      <w:r w:rsidRPr="00D03F3E">
        <w:rPr>
          <w:rFonts w:ascii="Times New Roman" w:hAnsi="Times New Roman"/>
          <w:color w:val="000000" w:themeColor="text1"/>
          <w:sz w:val="16"/>
          <w:szCs w:val="16"/>
          <w:lang w:val="en-US"/>
        </w:rPr>
        <w:t>III</w:t>
      </w:r>
      <w:r w:rsidRPr="00D03F3E">
        <w:rPr>
          <w:rFonts w:ascii="Times New Roman" w:hAnsi="Times New Roman"/>
          <w:color w:val="000000" w:themeColor="text1"/>
          <w:sz w:val="16"/>
          <w:szCs w:val="16"/>
        </w:rPr>
        <w:t xml:space="preserve"> квартале 100 млн. рублей для восстановления ГАЗа, обязать наркомат обороны мобилизовать до 1 июля и отправить на восстановление автозавода им. Молотова 2500 военнообязанных, негодных к строевой службе, возложить ответственность за восстановление Горьковского автозавода на всех наркомов и начальников Главных управлений при Совете народных комиссаров СССР, необходимые для восстановления цехов и пуска производства на ГАЗе им. Молотова фондируемые и планируемые материалы, изделия, металлы, оборудование и др. выделить преимущественно перед всеми без исключения потребителями с внеочередной отправкой.</w:t>
      </w:r>
    </w:p>
    <w:p w14:paraId="328848A4" w14:textId="77777777" w:rsidR="00E33784" w:rsidRPr="00D03F3E" w:rsidRDefault="00E33784"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Генеральным подрядчиком по восстановлению Горьковского автозавода был выбран трест ОСМЧ «Стройгаз» №2. По решению горкомитета обороны и местных организаций за период с 20 июня по 7 июля в ОМСЧ «Стройгаз» №2 прибыло в общей сложности 8159 рабочих для восстановительных работ на ГАЗе. Наркоматом среднего машиностроения на площадку были направлены аварийно-восстановительные отряды, а работающие здесь конторы спецтрестов были резко усилены. В целях проверки хода работ и оказания необходимой помощи в июле автозавод посетил народный комиссар по строительству С.З. Гинзбург. Проектирование всех работ велось непосредственно на стройплощадке бригадой «Промстройтреста», что позволяло осуществлять тесную и оперативную увязку работы проектировщиков и производственников, технологов и строителей. Конструкции и методы производства были выбраны в соответствии с имеющимися на площадке ресурсами. Это позволило также применить новые конструкции из местных материалов и новые методы в производстве работ (в частности, асбестовые плиты). Все деревянные перекрытия были заменены огнестойкими.</w:t>
      </w:r>
    </w:p>
    <w:p w14:paraId="31578396" w14:textId="77777777" w:rsidR="00E33784" w:rsidRPr="00D03F3E" w:rsidRDefault="00E33784"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окончании аварийных работ первой очереди, обеспечивавших нормальную работу отдельных цехов с оставшимся неповрежденным оборудованием, строители приступили к восстановительным работам. Совместно с представителями завода был составлен план-график восстановления первоочередных объектов. В контуре каждого графика первой очереди была установлена очередность производства строительно-монтажных работ по отдельным цехам. Так, механосборочный корпус №1 с находящимися в нем четырьмя основными цехами был разбит на четыре очереди:</w:t>
      </w:r>
    </w:p>
    <w:p w14:paraId="055FDA54" w14:textId="77777777" w:rsidR="00E33784" w:rsidRPr="00D03F3E" w:rsidRDefault="00E33784"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1-я – цех моторов №2;</w:t>
      </w:r>
    </w:p>
    <w:p w14:paraId="49476AE8" w14:textId="77777777" w:rsidR="00E33784" w:rsidRPr="00D03F3E" w:rsidRDefault="00E33784"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2-я – термический цех;</w:t>
      </w:r>
    </w:p>
    <w:p w14:paraId="53DD2E6E" w14:textId="77777777" w:rsidR="00E33784" w:rsidRPr="00D03F3E" w:rsidRDefault="00E33784"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3-я – главный конвейер;</w:t>
      </w:r>
    </w:p>
    <w:p w14:paraId="674B1E3B" w14:textId="77777777" w:rsidR="00E33784" w:rsidRPr="00D03F3E" w:rsidRDefault="00E33784"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4-я – цех шасси.</w:t>
      </w:r>
    </w:p>
    <w:p w14:paraId="47D3A955" w14:textId="77777777" w:rsidR="00E33784" w:rsidRPr="00D03F3E" w:rsidRDefault="00E33784"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мероприятие дало возможность концентрировать людские и материальные ресурсы на узком участке первоочередных работ и обеспечить введение в эксплуатацию отдельных цехов и агрегатов последовательно, по частям, не дожидаясь окончания работ по всем корпусам в целом.</w:t>
      </w:r>
    </w:p>
    <w:p w14:paraId="1E13EAF0" w14:textId="77777777" w:rsidR="00E33784" w:rsidRPr="00D03F3E" w:rsidRDefault="00E33784"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Быстрое продвижение работ обеспечивалось героическими усилиями рабочих и строителей. Минимальный рабочий день составлял 11 часов, во многих случаях строители работали по 14-15 часов, а в необходимых случаях оставались ночевать прямо на стройке, с тем чтобы с рассветом приняться за выполнение срочного задания. Осуществлению строительных работ была подчинена работа центрального бетонного завода, арматурного цеха, цеха сборных железобетонных плит, лесопильного завода, деревообрабатывающего цеха, цеха алебастро-опилочных плит и других предприятий комбината и производственных предприятий треста.</w:t>
      </w:r>
    </w:p>
    <w:p w14:paraId="7D28B07B" w14:textId="77777777" w:rsidR="00E33784" w:rsidRPr="00D03F3E" w:rsidRDefault="00E33784"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Основным принципом работы треста ОСМЧ «Стройгаз» №2 было одновременное ведение строительных, монтажных и специальных работ, что дало возможность ускорить сдачу объектов в эксплуатацию. Размах работ был колоссальным. В каждом корпусе строители сталкивались с множеством самых различных и специфических трудностей, связанных как с особенностями самих строений, так и с масштабами разрушений. Можно привести несколько примеров восстановления цехов предприятия.</w:t>
      </w:r>
    </w:p>
    <w:p w14:paraId="1D0760D6" w14:textId="77777777" w:rsidR="00E33784" w:rsidRPr="00D03F3E" w:rsidRDefault="00E33784" w:rsidP="00D03F3E">
      <w:pPr>
        <w:widowControl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Руководство и работники завода сутками не покидали территорию предприятия. В ходе восстановительных работ бригада слесарей Султана Ибрагимова из ремонтно-механического цеха проявила инициативу скоростного ремонта оборудования. Метод, примененный рабочими, позволил ремонтировать станки вместо 40-50 дней за 5-9 дней. Комсомольцы ГАЗа, продолжив традицию Василия Шубина – зачинателя всесоюзного движения фронтовых бригад, – создавали комсомольско-молодежные бригады по выполнению оперативных заданий, которые брали на себя обязательство при любых обстоятельствах не только выполнять, но и перевыполнять порученные задания. Ветеран завода А.Н. Воронов стал инициатором движения мастеров – вставать в свободное время за станки. 126 мастеров, работая на станках, выполнили дневную норму 500 человек. По 6-8 норм в смену выполняли мастера А.Ф. Удол, В.Ф. Фокин, А.П. Соколов (15218).</w:t>
      </w:r>
    </w:p>
    <w:p w14:paraId="3F1AB8D9" w14:textId="77777777" w:rsidR="00E33784" w:rsidRPr="00D03F3E" w:rsidRDefault="00E33784" w:rsidP="00D03F3E">
      <w:pPr>
        <w:widowControl w:val="0"/>
        <w:spacing w:after="0" w:line="240" w:lineRule="auto"/>
        <w:jc w:val="both"/>
        <w:rPr>
          <w:rFonts w:ascii="Times New Roman" w:hAnsi="Times New Roman"/>
          <w:color w:val="000000" w:themeColor="text1"/>
          <w:sz w:val="16"/>
          <w:szCs w:val="16"/>
        </w:rPr>
      </w:pPr>
    </w:p>
    <w:p w14:paraId="7F32452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июня 1943 вышло Постановление ГКО № 3643 О мерах неотложной помощи по восстановлению цехов на Ярославском шинном заводе, заводе СК-1 и других ярославских заводах Наркомрезинпрома.РГАНИР, Фонд ГКО, д. 128, лл. 154-158, 159-169 (11012).</w:t>
      </w:r>
    </w:p>
    <w:p w14:paraId="4692FD3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084AE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24 июня 1943 ГКО принял постановление о скорейшем восстановлении Ярославского шинного. Интересы фронта и экономики требовали, чтобы завод № 736, являющийся основным поставщиком резиновых изделий для нужд Красной Армии, оборонной промышленности и транспорта страны, был восстановлен в наикратчайший срок. Генеральным подрядчиком стало Особое строительно-монтажное управление № 3 Моспромстроя во главе с И. А. Дороховым. Решением ГКО на развалины предприятия были направлены рабочая сила, автотранспорт и огромное количество стройматериалов. Распоряжением Совнаркома коллектив завода на </w:t>
      </w:r>
      <w:r w:rsidRPr="00D03F3E">
        <w:rPr>
          <w:rFonts w:ascii="Times New Roman" w:hAnsi="Times New Roman"/>
          <w:color w:val="000000" w:themeColor="text1"/>
          <w:sz w:val="16"/>
          <w:szCs w:val="16"/>
        </w:rPr>
        <w:lastRenderedPageBreak/>
        <w:t>протяжении всего восстановительного периода должен был обеспечиваться усиленным питанием и улучшенным производственным снабжением. К началу июля были мобилизованы более 1000 человек, главным образом колхозники Ярославской области. Решением горкомитета обороны на расчистку завалов на заводе, сроком с 19 июня по 19 июля, были направлены более 340 рабочих и служащих городских предприятий и учреждений. По постановлению ГКО к восстановлению завода был также привлечен Наркомстрой СССР, а для определения общего объема разрушений, порядка и методов восстановления завода были направлены крупные технические силы во главе с такими специалистами, как генерал-майор инженерных войск доктор технических наук профессор В. М. Келдыш [190] , доктор технических наук профессор Онишек и др. Келдыш внес ценное предложение о порядке восстановления несущих железобетонных колонн без их разборки и замены новыми путем усиления металлическими обоймами, что экономило очень много времени. Для ускорения пуска завода в целом работы по восстановлению пострадавших объектов были разделены на две очереди. Сначала, наряду с капитальными работами по восстановлению железобетонных перекрытий, главным образом в корпусах «И» и «А», намечалось устройство временных сооружений и защитных кирпичных стен в корпусах «В», «Б», «Г», «Д» и в сохранившейся части корпуса «А», позволяющих возобновить эксплуатационную деятельность цехов №№ 1, 2,3 и 4 параллельно с ремонтно-восстановительными работами. Ко второй очереди были отнесены работы, связанные с полным восстановлением производственных цехов завода, в частности восстановление всей площади корпуса «И», первого этажа корпуса «А», бытовых и административных помещений в пятиэтажных пристройках главного входа. Для расчистки завалов, мешавших развертыванию основных восстановительных работ широким фронтом, сразу же после налетов были привлечены все рабочие производственных цехов, служащие завода, ремонтно-строительный батальон, организованный из мобилизованных колхозников, и городское население. Всего в работах по расчистке с 10 июня по 15 июля участвовали около 2000 рабочих и служащих завода и свыше 1000 мобилизованных колхозников и городских жителей. Работы шли круглосуточно в две смены по 12 часов. При этом начальники участков, прорабы и мастера сутками не выходили со своих участков, спали и ели прямо тут же. В итоге уже к 7 июля были разбиты и разобраны поврежденные железобетонные перекрытия на площади до 8000 кв. м, убрано и вывезено свыше 24 тыс. т щебня и мусора. Всего же из разрушенных корпусов буквально выгребли 65 тыс. т щебня, железобетона и мусора. Восстановление технологического оборудования представляло собой чрезвычайно сложный комплекс механических работ, требующих большого опыта и знаний в области машиностроения. Коллектив механической службы завода в составе около 200 человек успешно справился с возложенными задачами. За период с 10 июля по 1 декабря 1943 г. были восстановлены и смонтированы около 200 единиц тяжелого и среднего оборудования. При этом особо отличились бригада ОГМ мастера Краюшкина и слесаря-бригадира Сальникова из 14 человек, бригада механиков цеха № 3 Смирнова и Ватагина со слесарями-бригадниками Хрусталёвым и Якубовым из 18 человек, бригада механика цеха № 4 Суслова и слесаря-бригадира Колесова из 15 человек, бригада механика цеха № 2 Солдаткина и слесаря-бригадира Щербакова. Крайней сложностью отличались работы по восстановлению энергетического оборудования и коммуникаций по подаче пара, электроэнергии, промышленной воды, высокой и низкой гидравлики, отоплению, освещению, сигнализации, телефонной сети и др. При пожарах больше всего пострадали электрооборудование и коммуникации завода. Разрушения энергохозяйства были настолько велики, что, по условиям мирного времени, на восстановление требовалось не менее полутора лет, однако коллектив энергетиков завода сумел закончить гигантскую работу по восстановлению энергетической базы производства за четыре месяца. Правда, зачастую приходилось использовать откровенно кустарные методы, заменяя большую часть электросети времянками. Так, в борьбе за сокращение сроков пуска оборудования коллектив энергетической службы по предложению главного энергетика Мигулина и начальника электролаборатории Щербина изготовил по «упрощенной схеме» пять пусковых ящиков к синхронным электродвигателям, чем обеспечил запуск в работу нескольких резиносмесителей значительно раньше срока. Проведение мероприятий по привлечению коллективов цехов и всего командного состава завода к восстановительным работам оказало, во-первых, существенную помощь подрядным организациям в деле осуществления строительных работ, и, во-вторых, обеспечило в наикратчайший срок организацию, параллельно с восстановительными работами, эксплуатационной деятельности цехов, выпускающих оборонную продукцию. Часть производства полуфабрикатов пришлось организовать на оборудовании смежных заводов резиновой промышленности – №№ 766,739и 151, кроме того, по ходу восстановления вошли в строй цеха №№ 1 и 2. В итоге уже в конце июня частично возобновилось производство аэрошин, танковых катков и артиллерийских шин. Хотя директор шинного завода П. Ф. Баденков и главинженер Любашевский отчитались о восстановлении завода в октябре, работы фактически продолжались и далее, а до намеченной мощности было еще далеко (11774).</w:t>
      </w:r>
    </w:p>
    <w:p w14:paraId="292E03F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5AED3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июня 1943 вышло Постановление ГКО № 3644 О ремонтно-восстановительных работах по заводу им.Кирова Наркомтяжмаша.РГАНИР, Фонд ГКО, д. 128, лл. 170 (11012).</w:t>
      </w:r>
    </w:p>
    <w:p w14:paraId="6C4BA36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C7D439"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09255EA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AD2599"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24 июня</w:t>
      </w:r>
      <w:r w:rsidRPr="00D03F3E">
        <w:rPr>
          <w:rFonts w:ascii="Times New Roman" w:hAnsi="Times New Roman"/>
          <w:color w:val="000000" w:themeColor="text1"/>
          <w:sz w:val="16"/>
          <w:szCs w:val="16"/>
        </w:rPr>
        <w:t xml:space="preserve"> в 1943 году утреннее сообщение Совинформбюро:</w:t>
      </w:r>
    </w:p>
    <w:p w14:paraId="0288653B"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24 июня на фронте ничего существенного не произошло.</w:t>
      </w:r>
    </w:p>
    <w:p w14:paraId="45A04BA5"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происходила редкая артиллерийская и ружейно-пулемётная перестрелка. Орудийный расчёт младшего сержанта т. Журавлёва под прикрытием темноты подтянул орудие к переднему краю вражеской обороны и занял удобную позицию. На рассвете артиллеристы открыли огонь и несколькими снарядами уничтожили пулемётную точку противника. 28 снайперов Н-ской части под командованием младшего лейтенанта т. Кузнецова за месяц истребили 250 немецких солдат и офицеров.</w:t>
      </w:r>
    </w:p>
    <w:p w14:paraId="3182D029"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Мценска наши разведчики ночью ворвались в немецкие окопы и уничтожили 8 гитлеровцев. Выяснив расположение огневых точек противника и захватив вражеский миномёт, разведчики благополучно возвратились в своё подразделение. Наши лётчики в воздушных боях сбили 2 немецких самолёта. Один вражеский бомбардировщик совершил вынужденную посадку на нашей территории. Немецкие лётчики взяты в плен.</w:t>
      </w:r>
    </w:p>
    <w:p w14:paraId="02788FDD"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наши артиллеристы разгромили штаб немецкого батальона. На другом участке Н-ская артиллерийская часть несколькими залпами вызвала в расположении противника свыше 40 очагов пожара. Другая артиллерийская часть обстреляла железнодорожную станцию. Отмечены попадания в эшелон противника.</w:t>
      </w:r>
    </w:p>
    <w:p w14:paraId="6633B207"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на одном участке, снайперы тт. Минаев, Беспалов и миномётный расчёт во главе с т. Шапошниковым устроили засаду. Миномётчики обстреляли вражеский блиндаж. Немцы стали выбегать из блиндажа. Снайперы открыли огонь и истребили одного за другим 9 гитлеровцев.</w:t>
      </w:r>
    </w:p>
    <w:p w14:paraId="68419ED8"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Волынской области, 7 июня заминировал железнодорожное полотно на участке, где дорога делает крутой поворот. На минах подорвался и полетел под откос немецкий эшелон. Паровоз и 6 платформ с танками разбиты. Повреждено много вагонов. 10 июня группа украинских партизан подорвала на минах два поезда противника. В результате крушений разбито 2 паровоза, 23 вагона с запасными частями и 3 цистерны с бензином.</w:t>
      </w:r>
    </w:p>
    <w:p w14:paraId="3877AF51"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пленного солдата 6 роты 336 полка 161 немецкой пехотной дивизии Отто Харбеке найдены письма из Германии от отца и сестры. В письме отца говорится: «...За последнее время английские лётчики натворили очень много вреда в Эссене, Дортмунде, Бохуме и Дуисбурге. Дамба на Мене совершенно разрушена. Утонуло многолюдей и скота. Бомбы попали и в Эдерскую плотину, там тоже много разрушений». В письме сестры сообщается: «...Сегодня ночью исполняются две недели с того дня, как англичане разрушили дамбу на Мене. Вся вода из водохранилища ушла. Погибло очень много людей. Даже в Эссене было наводнение. Город Негейм залит водою. Поезда через Негейм теперь не ходят».</w:t>
      </w:r>
    </w:p>
    <w:p w14:paraId="628D9103"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Получено сообщение о новом чудовищном злодеянии немецко-фашистских мерзавцев. В Волосове, Ленинградской области, гитлеровцы схватили 8 подростков и насильно взяли у них большие дозы крови для переливания раненым немецким офицерам. Все подростки умерли.</w:t>
      </w:r>
    </w:p>
    <w:p w14:paraId="6C011114"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Французские патриоты подожгли в Лионе большой нефтесклад немецких оккупантов. В железнодорожных депо Лонго, Амьен и Шамбли рабочие вывели из строя 25 паровозов. В Гранвиле патриоты сожгли здание, занятое гитлеровцами. Близ Гренобля вольные стрелки истребили немецкий отряд, сопровождавший военный транспорт.» (14932).</w:t>
      </w:r>
    </w:p>
    <w:p w14:paraId="7FF9292B" w14:textId="77777777" w:rsidR="000F5E9F" w:rsidRPr="00D03F3E" w:rsidRDefault="000F5E9F" w:rsidP="00D03F3E">
      <w:pPr>
        <w:spacing w:after="0" w:line="240" w:lineRule="auto"/>
        <w:jc w:val="both"/>
        <w:rPr>
          <w:rFonts w:ascii="Times New Roman" w:hAnsi="Times New Roman"/>
          <w:color w:val="000000" w:themeColor="text1"/>
          <w:sz w:val="16"/>
          <w:szCs w:val="16"/>
        </w:rPr>
      </w:pPr>
    </w:p>
    <w:p w14:paraId="14AD4F09"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24 июня</w:t>
      </w:r>
      <w:r w:rsidRPr="00D03F3E">
        <w:rPr>
          <w:rFonts w:ascii="Times New Roman" w:hAnsi="Times New Roman"/>
          <w:color w:val="000000" w:themeColor="text1"/>
          <w:sz w:val="16"/>
          <w:szCs w:val="16"/>
        </w:rPr>
        <w:t xml:space="preserve"> в 1943 году вечернее сообщение Совинформбюро:</w:t>
      </w:r>
    </w:p>
    <w:p w14:paraId="57BDBBD9"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24 июня на фронте ничего существенного не произошло.</w:t>
      </w:r>
    </w:p>
    <w:p w14:paraId="24DC5AC9"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наши части на отдельных участках обстреливали передовые позиции противника. Артиллерийским огнём разрушено 8 немецких блиндажей и уничтожено 8 пулемётов. Группа разведчиков Н-ской части совершила успешную вылазку в расположение противника. Советские бойцы уничтожили боевое охранение немцев, взорвали 4 блиндажа, захватили станковый пулемёт и благополучно вернулись в свою часть. На другом участке наше боевое охранение отбило атаку разведывательной роты противника.</w:t>
      </w:r>
    </w:p>
    <w:p w14:paraId="34939A86"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Белгорода наши подразделения вели бои местного значения. Советские бойцы ворвались в опорный пункт противника, уничтожили 3 крупных немецких дзота и несколько пулемётных точек. На поле боя осталось 180 вражеских трупов. Шесть снайперов во главе с Героем Советского Союза старшиной Николаем Ильиным пробыли 7 дней в засаде за передним краем нашей обороны. За это время снайперы истребили 125 гитлеровцев.</w:t>
      </w:r>
    </w:p>
    <w:p w14:paraId="1D9BE7CA"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наши артиллеристы вели огонь по целям, обнаруженным в расположении противника. На одном участке обстрелян дом, в котором собралось много гитлеровцев. Прямым попаданием снарядов дом был разрушен. На другом участке артиллеристы Н-ской части уничтожили 5 немецких блиндажей вместе с находившимися в них гитлеровцами.</w:t>
      </w:r>
    </w:p>
    <w:p w14:paraId="0117F373"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Огнём пехотного оружия сбит немецкий самолёт.</w:t>
      </w:r>
    </w:p>
    <w:p w14:paraId="0EE325B2"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участке Карельского фронта Н-ское подразделение после артиллерийского налёта на вражеские позиции стремительно атаковало противника. Советские бойцы уничтожили до 50 белофиннов и взорвали 5 вражеских дзотов.</w:t>
      </w:r>
    </w:p>
    <w:p w14:paraId="3B29E9DE"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Группа самолётов противника пыталась совершить налёт на один наш военный объект. Наши истребители во главе с Героем Советского Союза майором т. Кутаховым вылетели навстречу вражеским самолётам и преградили им путь. В завязавшемся воздушном бою советские лётчики сбили 4 немецких самолёта.</w:t>
      </w:r>
    </w:p>
    <w:p w14:paraId="51FDC493"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на 19 июня отряд украинских партизан совершил налёт на железнодорожную станцию в Черниговской области. Партизаны убили военного коменданта и 12 немецких солдат, взорвали телефонно-телеграфную станцию, водокачку и все стрелки. В это же время группа партизан-подрывников заминировала железнодорожное полотно на подходах к станции. Вскоре два воинских эшелона противника наскочили на поставленные партизанами мины. Уничтожено 2 паровоза, 8 вагонов и 15 платформ с танками и автомашинами. Захватив большое количество вооружения и боеприпасов, партизаны вернулись на свою базу.</w:t>
      </w:r>
    </w:p>
    <w:p w14:paraId="0F6B122C"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Берлинское радио 22 июня передало следующее: «За два года войны советские войска потеряли в боях на Востоке Европы, как признало Совинформбюро, 5,5 миллионов убитыми, 36.000 орудий и 43.000 самолётов».</w:t>
      </w:r>
    </w:p>
    <w:p w14:paraId="19A4E280"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 сообщение является грубо состряпанной фальшивкой гитлеровцев. Известно, что в специальном сообщении Совинформбюро от 22 июня было указано, что за два года войны Красная Армия потеряла не 5,5 миллионов убитыми, а 4.200.000 человек убитыми и пропавшими без вести; не 36.000 орудий, а 35.000; не 43.000 самолётов, а 23.000.</w:t>
      </w:r>
    </w:p>
    <w:p w14:paraId="65920B09"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Гитлеровские мошенники знают, что им давно уже никто не верит. Поэтому, сочиняя очередную фальшивку, они ссылаются на Совинформбюро, надеясь тем самым снискать доверие. Вместе с тем гитлеровцы, ввиду огромных потерь немцев людьми и вооружением за два года войны, не решились опубликовать фактических данных об итогах военных действий на советско-германском фронте.</w:t>
      </w:r>
    </w:p>
    <w:p w14:paraId="2EBE3D80"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известно, потери немцев и их союзников на советско-германском фронте за два года войны составляют только убитыми и пленными 6.400.000 солдат и офицеров. Германия и её союзники потеряли 56.500 орудий всех калибров. 42.400 танков,43.000 самолётов. Вот об этих потерях гитлеровцы помалкивают. Однако все эти фокусы берлинских шарлатанов не могут скрыть от населения Германии истинные размеры потерь немецкой армии на советско-германском фронте. Даже недалёкие немецкие обыватели теперь точно знают, что на полях России погибли миллионы немецких солдат. Недаром. гитлеровцы сейчас мобилизуют в армию последние остатки мужского населения Германии, в том числе необученных стариков и подростков, забирают под метёлку явных инвалидов, калек, насильно загоняют в свою армию поляков, французов, бельгийцев, словаков и других.</w:t>
      </w:r>
    </w:p>
    <w:p w14:paraId="534A1A2F" w14:textId="77777777" w:rsidR="000F5E9F" w:rsidRPr="00D03F3E" w:rsidRDefault="000F5E9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Опубликовав очередную фальшивку, гитлеровцы ещё и ещё раз предстали перед всем миром как низкопробные мошенники и лгуны.» (14932).</w:t>
      </w:r>
    </w:p>
    <w:p w14:paraId="5CDB703D" w14:textId="77777777" w:rsidR="000F5E9F" w:rsidRPr="00D03F3E" w:rsidRDefault="000F5E9F" w:rsidP="00D03F3E">
      <w:pPr>
        <w:spacing w:after="0" w:line="240" w:lineRule="auto"/>
        <w:jc w:val="both"/>
        <w:rPr>
          <w:rFonts w:ascii="Times New Roman" w:hAnsi="Times New Roman"/>
          <w:color w:val="000000" w:themeColor="text1"/>
          <w:sz w:val="16"/>
          <w:szCs w:val="16"/>
        </w:rPr>
      </w:pPr>
    </w:p>
    <w:p w14:paraId="696DB4F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июня 1943 г. была ДИРЕКТИВА КОМАНДУЮЩИМ ФРОНТАМИ О МЕРАХ ПО ПРЕДУПРЕЖДЕНИЮ ПОТЕРЬ ТАНКОВ ОТ ШТУРМОВОЙ АВИАЦИИ ПРОТИВНИКА № 452765</w:t>
      </w:r>
    </w:p>
    <w:p w14:paraId="30C45BA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имеющимся материалам немцы применяют для истребления наших танков самолеты с уста</w:t>
      </w:r>
      <w:r w:rsidRPr="00D03F3E">
        <w:rPr>
          <w:rFonts w:ascii="Times New Roman" w:hAnsi="Times New Roman"/>
          <w:color w:val="000000" w:themeColor="text1"/>
          <w:sz w:val="16"/>
          <w:szCs w:val="16"/>
        </w:rPr>
        <w:softHyphen/>
        <w:t>новленными на них 30-мм пушками.</w:t>
      </w:r>
    </w:p>
    <w:p w14:paraId="77FCA2B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 штурмовой авиации противника наши танковые и механизированные соединения в прежних боях уже имели потери в танках, потому что не имели штатных зенитных средств, не обеспечивались армейскими и фронтовыми зенитными средствами и не прикрывались истребительной авиацией.</w:t>
      </w:r>
    </w:p>
    <w:p w14:paraId="31FAC47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настоящее время штатные зенитные средства танковых и механизированных соединений имеют возможность вести борьбу с штурмовой авиацией противника.</w:t>
      </w:r>
    </w:p>
    <w:p w14:paraId="7C4F9A1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недопущения больших потерь танков в предстоящих сражениях командующим фронта</w:t>
      </w:r>
      <w:r w:rsidRPr="00D03F3E">
        <w:rPr>
          <w:rFonts w:ascii="Times New Roman" w:hAnsi="Times New Roman"/>
          <w:color w:val="000000" w:themeColor="text1"/>
          <w:sz w:val="16"/>
          <w:szCs w:val="16"/>
        </w:rPr>
        <w:softHyphen/>
        <w:t>ми неуклонно выполнять следующее:</w:t>
      </w:r>
    </w:p>
    <w:p w14:paraId="14D7392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Ни при каких условиях не брать штатные зенитные средства из состава танковых и механи</w:t>
      </w:r>
      <w:r w:rsidRPr="00D03F3E">
        <w:rPr>
          <w:rFonts w:ascii="Times New Roman" w:hAnsi="Times New Roman"/>
          <w:color w:val="000000" w:themeColor="text1"/>
          <w:sz w:val="16"/>
          <w:szCs w:val="16"/>
        </w:rPr>
        <w:softHyphen/>
        <w:t>зированных корпусов.</w:t>
      </w:r>
    </w:p>
    <w:p w14:paraId="1FB93E8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При отсутствии штатных зенитных средств обеспечивать прикрытие танковых и механизи</w:t>
      </w:r>
      <w:r w:rsidRPr="00D03F3E">
        <w:rPr>
          <w:rFonts w:ascii="Times New Roman" w:hAnsi="Times New Roman"/>
          <w:color w:val="000000" w:themeColor="text1"/>
          <w:sz w:val="16"/>
          <w:szCs w:val="16"/>
        </w:rPr>
        <w:softHyphen/>
        <w:t>рованных корпусов и бригад зенитными средствами армии или фронта как при расположении на месте, так и в бою, добиваясь непрерывного сопровождения зенитными средствами боевых поряд</w:t>
      </w:r>
      <w:r w:rsidRPr="00D03F3E">
        <w:rPr>
          <w:rFonts w:ascii="Times New Roman" w:hAnsi="Times New Roman"/>
          <w:color w:val="000000" w:themeColor="text1"/>
          <w:sz w:val="16"/>
          <w:szCs w:val="16"/>
        </w:rPr>
        <w:softHyphen/>
        <w:t>ков корпусов на всю глубину выполнения боевых задач.</w:t>
      </w:r>
    </w:p>
    <w:p w14:paraId="209F957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Прикрывать маршевые и боевые порядки корпусов достаточным количеством истребитель</w:t>
      </w:r>
      <w:r w:rsidRPr="00D03F3E">
        <w:rPr>
          <w:rFonts w:ascii="Times New Roman" w:hAnsi="Times New Roman"/>
          <w:color w:val="000000" w:themeColor="text1"/>
          <w:sz w:val="16"/>
          <w:szCs w:val="16"/>
        </w:rPr>
        <w:softHyphen/>
        <w:t>ной авиации.</w:t>
      </w:r>
    </w:p>
    <w:p w14:paraId="253584F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Категорически запрещаю вводить в бой танковые и механизированные корпуса без зенитно</w:t>
      </w:r>
      <w:r w:rsidRPr="00D03F3E">
        <w:rPr>
          <w:rFonts w:ascii="Times New Roman" w:hAnsi="Times New Roman"/>
          <w:color w:val="000000" w:themeColor="text1"/>
          <w:sz w:val="16"/>
          <w:szCs w:val="16"/>
        </w:rPr>
        <w:softHyphen/>
        <w:t>го и авиационного прикрытия.</w:t>
      </w:r>
    </w:p>
    <w:p w14:paraId="113BD5C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Маршал Советского Союза И. Сталин</w:t>
      </w:r>
    </w:p>
    <w:p w14:paraId="3F85BE9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11353. Д. 33. Л. 147. Типографский экз. (11403)</w:t>
      </w:r>
    </w:p>
    <w:p w14:paraId="08EC70C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AF73A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июня 1943 г. вышел ПРИКАЗ НАРОДНОГО КОМИССАРА ОБОРОНЫ СССР О ПООЩРЕНИИ БОЙЦОВ И КОМАНДИРОВ ЗА УНИЧТОЖЕНИЕ ТАНКОВ ПРОТИВНИКА № 0387</w:t>
      </w:r>
    </w:p>
    <w:p w14:paraId="72F4ED6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дальнейшего увеличения эффективности борьбы с вражескими танками и поощрения бойцов и командиров за боевую работу по уничтожению танков противника ПРИКАЗЫВАЮ:</w:t>
      </w:r>
    </w:p>
    <w:p w14:paraId="3944DF3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Установить премию за каждый подбитый или подожженный танк противника расчетом проти</w:t>
      </w:r>
      <w:r w:rsidRPr="00D03F3E">
        <w:rPr>
          <w:rFonts w:ascii="Times New Roman" w:hAnsi="Times New Roman"/>
          <w:color w:val="000000" w:themeColor="text1"/>
          <w:sz w:val="16"/>
          <w:szCs w:val="16"/>
        </w:rPr>
        <w:softHyphen/>
        <w:t>вотанковых ружей:</w:t>
      </w:r>
    </w:p>
    <w:p w14:paraId="2234F80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Наводчику противотанкового ружья - 500 руб.</w:t>
      </w:r>
    </w:p>
    <w:p w14:paraId="651B3E3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Номеру противотанкового ружья - 250 руб.</w:t>
      </w:r>
    </w:p>
    <w:p w14:paraId="612DB2F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Установить премию за каждый уничтоженный (подбитый) танк противника экипажем нашего танка: командиру, механику-водителю танка и командиру орудия (башни) — по 500 руб. каждому, остальным членам экипажа — по 200 руб. каждому.</w:t>
      </w:r>
    </w:p>
    <w:p w14:paraId="3138A84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Установить премию за каждый подбитый танк всеми видами артиллерии: командиру орудия и наводчику — по 500 руб., остальному личному составу штатного орудийного расчета — по 200 руб.</w:t>
      </w:r>
    </w:p>
    <w:p w14:paraId="659C2B6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Установить премию в размере 1000 руб. каждому бойцу и командиру за лично подбитый или подожженный танк противника при помощи индивидуальных средств борьбы.</w:t>
      </w:r>
    </w:p>
    <w:p w14:paraId="333A853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в уничтожении вражеского танка участвовала группа бойцов истребителей танков, то сумму премии поднять до 1500 руб. и оплачивать всем участникам группы равными долями.</w:t>
      </w:r>
    </w:p>
    <w:p w14:paraId="67160EB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Начальнику финансового управления при НКО издать инструкцию по применению настоящего приказа.</w:t>
      </w:r>
    </w:p>
    <w:p w14:paraId="543F33A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Приказ ввести в действие с 1 июля 1943 года и передать по телеграфу.</w:t>
      </w:r>
    </w:p>
    <w:p w14:paraId="17ACADB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Народный комиссар обороны СССР Маршал Советского Союза И. Сталин</w:t>
      </w:r>
    </w:p>
    <w:p w14:paraId="568FF8A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2. Оп. 793437 Д. 11. Л. 572. Типографский экз. (11403).</w:t>
      </w:r>
    </w:p>
    <w:p w14:paraId="6C41FB1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4ADA47"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июня 1943 вышло Постановление ГКО № 3642 [О передаче личного состава и самолетов, вооруженных аппаратурой "Гнейс-2", из ПВО в АДД.] (7117, 153).</w:t>
      </w:r>
    </w:p>
    <w:p w14:paraId="64A4BAB8"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9C186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июня 1943 вышло Постановление ГКО № 3645 О сформировании 10 корпусных артиллерийских полков.РГАНИР, Фонд ГКО, д. 128, лл. 171 (11012).</w:t>
      </w:r>
    </w:p>
    <w:p w14:paraId="656044E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3F97C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июня 1943 вышла директива наркома ВМФ Н.К.Кузнецова N 9/568 о фактах безрезультативных вылетов авиации (2120).</w:t>
      </w:r>
    </w:p>
    <w:p w14:paraId="57AE629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83422"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июня 1943 партизанами Белоруссии принято решение о разрушении железных дорог в тылу фашистов (4962).</w:t>
      </w:r>
    </w:p>
    <w:p w14:paraId="4DC4E5ED"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B58C5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июня 1943 г. вышел ПРИКАЗ № 0386 ПЕРВОГО ЗАМЕСТИТЕЛЯ НАРОДНОГО КОМИССАРА ОБОРОНЫ ОБ УСТАНОВЛЕНИИ ОКЛАДОВ СОДЕРЖАНИЯ ПО ДОЛЖНОСТЯМ НАЧАЛЬНИКОВ ШТАБОВ ФРОНТА, АРМИИ, ВОЗДУШНОЙ АРМИИ (ВВС ФРОНТА)*</w:t>
      </w:r>
    </w:p>
    <w:p w14:paraId="70D4C36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июля 1943 г. по должностям начальников штабов фронтов и армий установить оклады содержания (в месяц):</w:t>
      </w:r>
    </w:p>
    <w:p w14:paraId="2D587D2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штаба фронта — 3400 рублей</w:t>
      </w:r>
    </w:p>
    <w:p w14:paraId="36C58F5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штаба воз душной армии (ВВС фронта) — 2900 ”</w:t>
      </w:r>
    </w:p>
    <w:p w14:paraId="5418DE7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штаба ар мии — 2700 ”</w:t>
      </w:r>
    </w:p>
    <w:p w14:paraId="591B373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 xml:space="preserve">Первый заместитель Народного комиссара обороны Маршал Советского Союза ЖУКОВ </w:t>
      </w:r>
      <w:r w:rsidRPr="00D03F3E">
        <w:rPr>
          <w:rFonts w:ascii="Times New Roman" w:hAnsi="Times New Roman"/>
          <w:color w:val="000000" w:themeColor="text1"/>
          <w:sz w:val="16"/>
          <w:szCs w:val="16"/>
        </w:rPr>
        <w:t>(9844).</w:t>
      </w:r>
    </w:p>
    <w:p w14:paraId="042358B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0E018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июня 1943 г. вышел ПРИКАЗ № 0387 О ПООЩРЕНИИ БОЙЦОВ И КОМАНДИРОВ ЗА БОЕВУЮ РАБОТУ ПО УНИЧТОЖЕНИЮ ТАНКОВ ПРОТИВНИКА</w:t>
      </w:r>
    </w:p>
    <w:p w14:paraId="435D444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дальнейшего увеличения эффективности борьбы с вражескими танками и поощрения бойцов и командиров за боевую работу по уничтожению танков противника приказываю:</w:t>
      </w:r>
    </w:p>
    <w:p w14:paraId="6C102B8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Установить премию за каждый подбитый или подожженный танк противника расчетом противотанковых ружей:</w:t>
      </w:r>
    </w:p>
    <w:p w14:paraId="4362E9E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наводчику противотанкового ружья — 500 руб.</w:t>
      </w:r>
    </w:p>
    <w:p w14:paraId="44B4398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номеру противотанкового ружья — 250 руб.</w:t>
      </w:r>
    </w:p>
    <w:p w14:paraId="510FDE7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Установить премию за каждый уничтоженный (подбитый) танк противника экипажем нашего танка: командиру, механику-водителю танка и командиру орудия (башни) — по 500 руб. каждому, остальным членам экипажа — по 200 руб. каждому.</w:t>
      </w:r>
    </w:p>
    <w:p w14:paraId="68D7313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Установить премию за каждый подбитый танк всеми видами артиллерии: командиру орудия и наводчику — по 500 руб., остальному составу штатного орудийного расчета — по 200 руб.</w:t>
      </w:r>
    </w:p>
    <w:p w14:paraId="2287A94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4. Установить премию в размере 1000 руб. каждому бойцу и командиру за лично подбитый или подожженный танк противника при помощи индивидуальных средств </w:t>
      </w:r>
      <w:r w:rsidRPr="00D03F3E">
        <w:rPr>
          <w:rFonts w:ascii="Times New Roman" w:hAnsi="Times New Roman"/>
          <w:color w:val="000000" w:themeColor="text1"/>
          <w:sz w:val="16"/>
          <w:szCs w:val="16"/>
        </w:rPr>
        <w:lastRenderedPageBreak/>
        <w:t>борьбы.</w:t>
      </w:r>
    </w:p>
    <w:p w14:paraId="4974E4C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Если в уничтожении вражеского танка участвовала группа бойцов-истребителей танков, то сумму премии поднять до 1500 руб.* и выплачивать всем участникам группы равными долями.</w:t>
      </w:r>
    </w:p>
    <w:p w14:paraId="247968A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D03F3E">
        <w:rPr>
          <w:rFonts w:ascii="Times New Roman" w:hAnsi="Times New Roman"/>
          <w:color w:val="000000" w:themeColor="text1"/>
          <w:sz w:val="16"/>
          <w:szCs w:val="16"/>
        </w:rPr>
        <w:t>5. Начальнику Финансового управления при НКО издать инструкцию по применению настоящего приказа.</w:t>
      </w:r>
      <w:r w:rsidRPr="00D03F3E">
        <w:rPr>
          <w:rFonts w:ascii="Times New Roman" w:hAnsi="Times New Roman"/>
          <w:color w:val="000000" w:themeColor="text1"/>
          <w:sz w:val="16"/>
          <w:szCs w:val="16"/>
          <w:vertAlign w:val="superscript"/>
        </w:rPr>
        <w:t>39</w:t>
      </w:r>
    </w:p>
    <w:p w14:paraId="60B1B28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Приказ ввести в действие с 1 июля 1943 года и передать по телеграфу.</w:t>
      </w:r>
    </w:p>
    <w:p w14:paraId="1C19C9C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Cs/>
          <w:color w:val="000000" w:themeColor="text1"/>
          <w:sz w:val="16"/>
          <w:szCs w:val="16"/>
        </w:rPr>
        <w:t>Народный комиссар обороны</w:t>
      </w:r>
    </w:p>
    <w:p w14:paraId="245F3CC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Маршал Советского Союза И. СТАЛИН</w:t>
      </w:r>
      <w:r w:rsidRPr="00D03F3E">
        <w:rPr>
          <w:rFonts w:ascii="Times New Roman" w:hAnsi="Times New Roman"/>
          <w:color w:val="000000" w:themeColor="text1"/>
          <w:sz w:val="16"/>
          <w:szCs w:val="16"/>
        </w:rPr>
        <w:t xml:space="preserve"> (9844).</w:t>
      </w:r>
    </w:p>
    <w:p w14:paraId="74AC45F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04BEC5"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21173B4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4AA12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июня 1943 года</w:t>
      </w:r>
    </w:p>
    <w:p w14:paraId="31147CF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СЕКРЕТНОЕ ПОСЛАНИЕ ПРЕМЬЕРА И. В. СТАЛИНА ПРЕМЬЕР-МИНИСТРУ г-ну У. ЧЕРЧИЛЛЮ</w:t>
      </w:r>
    </w:p>
    <w:p w14:paraId="7A0B64A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Ваше послание от 19 июня получил.</w:t>
      </w:r>
    </w:p>
    <w:p w14:paraId="2222233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Мне вполне понятна сложность организации англо-американского вторжения в Западную Европу, в частности организации переброски войск через Канал. Эта сложность была также видна из Ваших сообщений.</w:t>
      </w:r>
    </w:p>
    <w:p w14:paraId="12AE54F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Ваших сообщений прошлого и этого года я вынес уверенность, что Вы и Президент отдавали себе полный отчет в трудностях организации такой операции и что соответствующая подготовка этого вторжения Вами совместно с Президентом ведется с полным учетом этих трудностей и со всем необходимым напряжением сил и средств. Еще в прошлом году Вы сообщили, что вторжение в Европу английских и американских войск в большом масштабе будет произведено в 1943 году. В Вашем меморандуме, переданном В. М. Молотову 10 июня 1942 года, Вы писали:</w:t>
      </w:r>
    </w:p>
    <w:p w14:paraId="44FD787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“Наконец, и это является наиболее важным из всего, мы концентрируем наши максимальные усилия на организации и подготовке вторжения на континент Европы английских и американских войск в большом масштабе в 1943 году. Мы не устанавливаем никаких пределов для размеров и целей этой кампании, которая вначале будет выполнена английскими и американскими войсками в количестве свыше 1 миллиона человек при соответствующей авиационной поддержке”.</w:t>
      </w:r>
    </w:p>
    <w:p w14:paraId="4B03620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нынешнего года Вы от своего имени и от имени Президента дважды сообщали о Ваших решениях по вопросу о вторжении англо-американских войск в Западную Европу с целью “отвлечь значительные германские сухопутные и военно-воздушные силы с русского фронта”. При этом Вы ставили задачей поставить Германию на колени уже в 1943 году и определяли срок вторжения не позже сентября месяца.</w:t>
      </w:r>
    </w:p>
    <w:p w14:paraId="5BD520A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Вашем послании от 26 января сего года Вы писали:</w:t>
      </w:r>
    </w:p>
    <w:p w14:paraId="1A528CA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“Мы совещались с нашими военными советниками и приняли решения об операциях, которые должны быть предприняты американскими и британскими вооруженными силами в течение первых девяти месяцев 1943 года. Мы хотим немедленно сообщить Вам о наших намерениях. Мы полагаем, что эти операции, вместе с Вашим мощным наступлением, могут наверное заставить Германию встать на колени в 1943 году”.</w:t>
      </w:r>
    </w:p>
    <w:p w14:paraId="6BEA77F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следующем Вашем послании, полученном мною 12 февраля сего года, Вы, уточняя принятые Вами и Президентом сроки вторжения в Западную Европу, писали:</w:t>
      </w:r>
    </w:p>
    <w:p w14:paraId="1D086F3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“Мы также энергично ведем приготовления, до пределов наших ресурсов, к операции форсирования Канала в августе, в которой будут участвовать британские части и части Соединенных Штатов. Тоннаж и наступательные десантные средства здесь будут также лимитирующими факторами. Если операция будет отложена вследствие погоды или по другим причинам, то она будет подготовлена с участием более крупных сил на сентябрь”.</w:t>
      </w:r>
    </w:p>
    <w:p w14:paraId="67A00F0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когда Вы писали об этих Ваших планах и сроках вторжения в Западную Европу, трудности этой операции были более значительными, чем теперь. С тех пор немцы потерпели не одно поражение: они были отброшены на юге нашими войсками и потерпели здесь немалый урон; они были разбиты и изгнаны из Северной Африки англо-американскими войсками; в подводной войне немцы также попали в более трудное положение, чем когда-либо раньше, а превосходство англо-американских сил значительно возросло; известно также, что американцы и англичане достигли господства своей авиации в Европе, а военный и транспортный морской флот возросли в своей мощи.</w:t>
      </w:r>
    </w:p>
    <w:p w14:paraId="026EB07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условия для открытия второго фронта в Западной Европе на протяжении 1943 года не только не ухудшились, а, напротив, значительно улучшились.</w:t>
      </w:r>
    </w:p>
    <w:p w14:paraId="6B75261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всего этого Советское Правительство не могло предполагать, что Британское и Американское Правительства изменят принятое в начале этого года решение о вторжении в Западную Европу в этом году. Напротив, Советское Правительство имело все основания считать, что это англо-американское решение будет реализовано, что должная подготовка ведется и второй фронт в Западной Европе будет, наконец, открыт в 1943 году.</w:t>
      </w:r>
    </w:p>
    <w:p w14:paraId="08431E2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Поэтому, когда Вы теперь пишете, что “Россия не получила бы помощи, если бы мы бросили сотню тысяч человек через Канал в гибельное наступление”, то мне остается напомнить Вам о следующем. Во-первых, о Вашем же собственном меморандуме от июня месяца прошлого года, когда Вы заявляли о подготовке к вторжению не одной сотни тысяч человек, а о количестве англо-американских войск свыше 1 миллиона человек уже в начале операции. Во-вторых, о Вашем февральском послании, в котором говорилось о больших подготовительных мероприятиях к вторжению в Западную Европу в августе — сентябре этого года, чем, очевидно, предусматривалась операция отнюдь не с одной сотней тысяч человек, а с достаточным количеством войск.</w:t>
      </w:r>
    </w:p>
    <w:p w14:paraId="11E9321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Когда же Вы теперь заявляете: “Я не могу представить себе, каким образом крупное британское поражение и кровопролитие помогло бы советским армиям”, то не ясно ли, что такого рода заявление в отношении Советского Союза не имеет под собой никакой почвы и находится в прямом противоречии с указанными выше другими Вашими ответственными решениями о проводимых широких и энергичных англо-американских мероприятиях по организации вторжения в этом году, от которых и должен зависеть полный успех этой операции.</w:t>
      </w:r>
    </w:p>
    <w:p w14:paraId="3A324C8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 уже не распространяюсь о том, что это Ваше ответственное решение об отмене предыдущих Ваших решений насчет вторжения в Западную Европу принято Вами и Президентом без участия Советского Правительства и без какой-либо попытки пригласить его представителей на совещание в Вашингтоне, хотя Вы не можете не знать, что в войне с Германией роль Советского Союза и его заинтересованность в вопросах второго фронта достаточно велики.</w:t>
      </w:r>
    </w:p>
    <w:p w14:paraId="36ADCFA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Нечего и говорить, что Советское Правительство не может примириться с подобным игнорированием коренных интересов Советского Союза в войне против общего врага,</w:t>
      </w:r>
    </w:p>
    <w:p w14:paraId="4503E48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 пишете мне, что Вы полностью понимаете мое разочарование. Должен Вам заявить, что дело идет здесь не просто о разочаровании Советского Правительства, а о сохранении его доверия к союзникам, подвергаемого тяжелым испытаниям. Нельзя забывать того, что речь идет о сохранении миллионов жизней в оккупированных районах Западной Европы и России и о сокращении колоссальных жертв советских армий, в сравнении с которыми жертвы англо-американских войск составляют небольшую величину (7430).</w:t>
      </w:r>
    </w:p>
    <w:p w14:paraId="4162E4F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F77E81"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76BCBE0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D20D78" w14:textId="77777777" w:rsidR="00287531" w:rsidRPr="00D03F3E" w:rsidRDefault="002875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24 июня</w:t>
      </w:r>
      <w:r w:rsidRPr="00D03F3E">
        <w:rPr>
          <w:rFonts w:ascii="Times New Roman" w:hAnsi="Times New Roman"/>
          <w:color w:val="000000" w:themeColor="text1"/>
          <w:sz w:val="16"/>
          <w:szCs w:val="16"/>
        </w:rPr>
        <w:t xml:space="preserve"> в 1943 году летчик-испытатель Грирсон в Фарнборо достиг на прототипе «W4046» истребителя </w:t>
      </w:r>
      <w:hyperlink r:id="rId211" w:tgtFrame="_blank" w:history="1">
        <w:r w:rsidRPr="00D03F3E">
          <w:rPr>
            <w:rFonts w:ascii="Times New Roman" w:hAnsi="Times New Roman"/>
            <w:color w:val="000000" w:themeColor="text1"/>
            <w:sz w:val="16"/>
            <w:szCs w:val="16"/>
          </w:rPr>
          <w:t xml:space="preserve">«Gloster E28/39» </w:t>
        </w:r>
      </w:hyperlink>
      <w:r w:rsidRPr="00D03F3E">
        <w:rPr>
          <w:rFonts w:ascii="Times New Roman" w:hAnsi="Times New Roman"/>
          <w:color w:val="000000" w:themeColor="text1"/>
          <w:sz w:val="16"/>
          <w:szCs w:val="16"/>
        </w:rPr>
        <w:t>со вторым двигателем «W.2B» с увеличенной до 690 кгс тягой (первый выдавал только 545 кгс) максимальной высоты 12850 м. Причем Джон был облачен в высотный костюм, а перед стартом полчаса дышал чистым кислородом. После полета он, как и другие летавшие на "Пионере" пилоты, отмечал, что с подъемом на высоту эффективность поперечного управления самолетом ухудшается, а само отклонение элеронов затрудняется (14932).</w:t>
      </w:r>
    </w:p>
    <w:p w14:paraId="325B9E05" w14:textId="77777777" w:rsidR="00287531" w:rsidRPr="00D03F3E" w:rsidRDefault="00287531" w:rsidP="00D03F3E">
      <w:pPr>
        <w:spacing w:after="0" w:line="240" w:lineRule="auto"/>
        <w:jc w:val="both"/>
        <w:rPr>
          <w:rFonts w:ascii="Times New Roman" w:hAnsi="Times New Roman"/>
          <w:color w:val="000000" w:themeColor="text1"/>
          <w:sz w:val="16"/>
          <w:szCs w:val="16"/>
        </w:rPr>
      </w:pPr>
    </w:p>
    <w:p w14:paraId="7FC9EF18" w14:textId="77777777" w:rsidR="00287531" w:rsidRPr="00D03F3E" w:rsidRDefault="0028753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24 июня</w:t>
      </w:r>
      <w:r w:rsidRPr="00D03F3E">
        <w:rPr>
          <w:rFonts w:ascii="Times New Roman" w:hAnsi="Times New Roman"/>
          <w:color w:val="000000" w:themeColor="text1"/>
          <w:sz w:val="16"/>
          <w:szCs w:val="16"/>
        </w:rPr>
        <w:t xml:space="preserve"> в 1943 году был официально заключен контракт между армейским ВВС США и компанией Локхид на поставку реактивного истребителя </w:t>
      </w:r>
      <w:hyperlink r:id="rId212" w:tgtFrame="_blank" w:history="1">
        <w:r w:rsidRPr="00D03F3E">
          <w:rPr>
            <w:rFonts w:ascii="Times New Roman" w:hAnsi="Times New Roman"/>
            <w:color w:val="000000" w:themeColor="text1"/>
            <w:sz w:val="16"/>
            <w:szCs w:val="16"/>
          </w:rPr>
          <w:t xml:space="preserve">«ХР-80», </w:t>
        </w:r>
      </w:hyperlink>
      <w:r w:rsidRPr="00D03F3E">
        <w:rPr>
          <w:rFonts w:ascii="Times New Roman" w:hAnsi="Times New Roman"/>
          <w:color w:val="000000" w:themeColor="text1"/>
          <w:sz w:val="16"/>
          <w:szCs w:val="16"/>
        </w:rPr>
        <w:t>одобренного штаб-квартирой ВВС и технической службой17 июня 1943 года. Одним из главных условий контракта была поставка Локхидом первого самолета уже через 180 дней после заключения договора, начиная с 23 июня (14932).</w:t>
      </w:r>
    </w:p>
    <w:p w14:paraId="00E65E4A" w14:textId="77777777" w:rsidR="00287531" w:rsidRPr="00D03F3E" w:rsidRDefault="00287531" w:rsidP="00D03F3E">
      <w:pPr>
        <w:spacing w:after="0" w:line="240" w:lineRule="auto"/>
        <w:jc w:val="both"/>
        <w:rPr>
          <w:rFonts w:ascii="Times New Roman" w:hAnsi="Times New Roman"/>
          <w:color w:val="000000" w:themeColor="text1"/>
          <w:sz w:val="16"/>
          <w:szCs w:val="16"/>
        </w:rPr>
      </w:pPr>
    </w:p>
    <w:p w14:paraId="7716DE68" w14:textId="77777777" w:rsidR="00ED28E4" w:rsidRPr="00D03F3E" w:rsidRDefault="00ED28E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24 июня 1943 - Подполковник У. Р. Лавлейс сделал рекордный прыжок с парашютом с высоты 12862,6 метров с самолета Boeing B-17F Flying Fortress (22450).</w:t>
      </w:r>
    </w:p>
    <w:p w14:paraId="435F3CF5" w14:textId="77777777" w:rsidR="00ED28E4" w:rsidRPr="00D03F3E" w:rsidRDefault="00ED28E4" w:rsidP="00D03F3E">
      <w:pPr>
        <w:pStyle w:val="ae"/>
        <w:spacing w:before="0" w:after="0"/>
        <w:jc w:val="both"/>
        <w:rPr>
          <w:color w:val="0070C0"/>
          <w:sz w:val="16"/>
          <w:szCs w:val="16"/>
        </w:rPr>
      </w:pPr>
    </w:p>
    <w:p w14:paraId="20BBE605" w14:textId="77777777" w:rsidR="00287531" w:rsidRPr="00D03F3E" w:rsidRDefault="00287531" w:rsidP="00D03F3E">
      <w:pPr>
        <w:spacing w:after="0" w:line="240" w:lineRule="auto"/>
        <w:jc w:val="both"/>
        <w:rPr>
          <w:rFonts w:ascii="Times New Roman" w:hAnsi="Times New Roman"/>
          <w:bCs/>
          <w:color w:val="000000" w:themeColor="text1"/>
          <w:sz w:val="16"/>
          <w:szCs w:val="16"/>
        </w:rPr>
      </w:pPr>
      <w:r w:rsidRPr="00D03F3E">
        <w:rPr>
          <w:rFonts w:ascii="Times New Roman" w:hAnsi="Times New Roman"/>
          <w:bCs/>
          <w:color w:val="000000" w:themeColor="text1"/>
          <w:sz w:val="16"/>
          <w:szCs w:val="16"/>
        </w:rPr>
        <w:t>24 июня</w:t>
      </w:r>
      <w:r w:rsidRPr="00D03F3E">
        <w:rPr>
          <w:rFonts w:ascii="Times New Roman" w:hAnsi="Times New Roman"/>
          <w:color w:val="000000" w:themeColor="text1"/>
          <w:sz w:val="16"/>
          <w:szCs w:val="16"/>
        </w:rPr>
        <w:t xml:space="preserve"> в 1943 году союзники начали 10-дневную бомбардировку Гамбурга</w:t>
      </w:r>
    </w:p>
    <w:p w14:paraId="63741CF1" w14:textId="77777777" w:rsidR="00287531" w:rsidRPr="00D03F3E" w:rsidRDefault="00287531" w:rsidP="00D03F3E">
      <w:pPr>
        <w:spacing w:after="0" w:line="240" w:lineRule="auto"/>
        <w:jc w:val="both"/>
        <w:rPr>
          <w:rFonts w:ascii="Times New Roman" w:hAnsi="Times New Roman"/>
          <w:bCs/>
          <w:color w:val="000000" w:themeColor="text1"/>
          <w:sz w:val="16"/>
          <w:szCs w:val="16"/>
        </w:rPr>
      </w:pPr>
    </w:p>
    <w:p w14:paraId="788727B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D03F3E">
        <w:rPr>
          <w:rFonts w:ascii="Times New Roman" w:hAnsi="Times New Roman"/>
          <w:color w:val="000000" w:themeColor="text1"/>
          <w:sz w:val="16"/>
          <w:szCs w:val="16"/>
          <w:lang w:val="en-US"/>
        </w:rPr>
        <w:t>June 24th, 1943: The RAF launches a heavy raid on Elberfeld in the Ruhr (3819).</w:t>
      </w:r>
    </w:p>
    <w:p w14:paraId="740ACD9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D7E633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июня 1943 Королевские ВВС совершили массовый налет на Элберфельд в Руре (3819).</w:t>
      </w:r>
    </w:p>
    <w:p w14:paraId="54B004F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BBAAC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июня 1943 англичане полностью разбомбили Muelheim (2100).</w:t>
      </w:r>
    </w:p>
    <w:p w14:paraId="5D94A5A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A5065D"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 июня 1943 один из лидеров Индийского Национального Конгресса С. Бос призвал по радио индийский народ к восстанию против англичан (4962).</w:t>
      </w:r>
    </w:p>
    <w:p w14:paraId="17F1E4D2"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E40742"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7F746F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696ED5" w14:textId="77777777" w:rsidR="00267D1F" w:rsidRPr="00D03F3E" w:rsidRDefault="00267D1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июня 1943 г. начальник НИИ ВВС гене</w:t>
      </w:r>
      <w:r w:rsidRPr="00D03F3E">
        <w:rPr>
          <w:rFonts w:ascii="Times New Roman" w:hAnsi="Times New Roman"/>
          <w:color w:val="000000" w:themeColor="text1"/>
          <w:sz w:val="16"/>
          <w:szCs w:val="16"/>
        </w:rPr>
        <w:softHyphen/>
        <w:t>рал-лейтенант Лосюков направил главному инженеру ВВС генерал-полковнику Репину доклад об испытаниях опытных образцов про</w:t>
      </w:r>
      <w:r w:rsidRPr="00D03F3E">
        <w:rPr>
          <w:rFonts w:ascii="Times New Roman" w:hAnsi="Times New Roman"/>
          <w:color w:val="000000" w:themeColor="text1"/>
          <w:sz w:val="16"/>
          <w:szCs w:val="16"/>
        </w:rPr>
        <w:softHyphen/>
        <w:t>зрачной брони. Копия доклада ушла в Управ</w:t>
      </w:r>
      <w:r w:rsidRPr="00D03F3E">
        <w:rPr>
          <w:rFonts w:ascii="Times New Roman" w:hAnsi="Times New Roman"/>
          <w:color w:val="000000" w:themeColor="text1"/>
          <w:sz w:val="16"/>
          <w:szCs w:val="16"/>
        </w:rPr>
        <w:softHyphen/>
        <w:t>ление кадров ЦК ВКП(б) генерал-лейтенанту Шиманову, наркому химической промышлен</w:t>
      </w:r>
      <w:r w:rsidRPr="00D03F3E">
        <w:rPr>
          <w:rFonts w:ascii="Times New Roman" w:hAnsi="Times New Roman"/>
          <w:color w:val="000000" w:themeColor="text1"/>
          <w:sz w:val="16"/>
          <w:szCs w:val="16"/>
        </w:rPr>
        <w:softHyphen/>
        <w:t>ности Первухину и наркому промышленности строительных материалов Соснину.</w:t>
      </w:r>
    </w:p>
    <w:p w14:paraId="4BCDAEB4" w14:textId="77777777" w:rsidR="00267D1F" w:rsidRPr="00D03F3E" w:rsidRDefault="00267D1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следует из этого документа, 28 апреля образцы бронекозырьков с уменьшенной тол</w:t>
      </w:r>
      <w:r w:rsidRPr="00D03F3E">
        <w:rPr>
          <w:rFonts w:ascii="Times New Roman" w:hAnsi="Times New Roman"/>
          <w:color w:val="000000" w:themeColor="text1"/>
          <w:sz w:val="16"/>
          <w:szCs w:val="16"/>
        </w:rPr>
        <w:softHyphen/>
        <w:t>щиной органической подушкой (6-7 мм вме</w:t>
      </w:r>
      <w:r w:rsidRPr="00D03F3E">
        <w:rPr>
          <w:rFonts w:ascii="Times New Roman" w:hAnsi="Times New Roman"/>
          <w:color w:val="000000" w:themeColor="text1"/>
          <w:sz w:val="16"/>
          <w:szCs w:val="16"/>
        </w:rPr>
        <w:softHyphen/>
        <w:t>сто 30 мм) в количестве 15 комплектов были предъявлены на испытания в НИИ ВВС КА и забракованы как не отвечающие требованиям по термостойкости и локальности разрушения. Вторая партия - 25 таких бронекозырьков, по</w:t>
      </w:r>
      <w:r w:rsidRPr="00D03F3E">
        <w:rPr>
          <w:rFonts w:ascii="Times New Roman" w:hAnsi="Times New Roman"/>
          <w:color w:val="000000" w:themeColor="text1"/>
          <w:sz w:val="16"/>
          <w:szCs w:val="16"/>
        </w:rPr>
        <w:softHyphen/>
        <w:t>ступившая в НИИ ВВС 16 июня, к испытаниям вообще не была допущена из-за большого ко</w:t>
      </w:r>
      <w:r w:rsidRPr="00D03F3E">
        <w:rPr>
          <w:rFonts w:ascii="Times New Roman" w:hAnsi="Times New Roman"/>
          <w:color w:val="000000" w:themeColor="text1"/>
          <w:sz w:val="16"/>
          <w:szCs w:val="16"/>
        </w:rPr>
        <w:softHyphen/>
        <w:t>личества дефектов (пузырей, трещин, серебра на оргстекле), обнаруженных при внешнем ос</w:t>
      </w:r>
      <w:r w:rsidRPr="00D03F3E">
        <w:rPr>
          <w:rFonts w:ascii="Times New Roman" w:hAnsi="Times New Roman"/>
          <w:color w:val="000000" w:themeColor="text1"/>
          <w:sz w:val="16"/>
          <w:szCs w:val="16"/>
        </w:rPr>
        <w:softHyphen/>
        <w:t>мотре комплектов.</w:t>
      </w:r>
    </w:p>
    <w:p w14:paraId="2CB41A9D" w14:textId="77777777" w:rsidR="00267D1F" w:rsidRPr="00D03F3E" w:rsidRDefault="00267D1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Образцы прозрачной брони с применени</w:t>
      </w:r>
      <w:r w:rsidRPr="00D03F3E">
        <w:rPr>
          <w:rFonts w:ascii="Times New Roman" w:hAnsi="Times New Roman"/>
          <w:color w:val="000000" w:themeColor="text1"/>
          <w:sz w:val="16"/>
          <w:szCs w:val="16"/>
        </w:rPr>
        <w:softHyphen/>
        <w:t>ем вместо таблеток сталинита сплошного не</w:t>
      </w:r>
      <w:r w:rsidRPr="00D03F3E">
        <w:rPr>
          <w:rFonts w:ascii="Times New Roman" w:hAnsi="Times New Roman"/>
          <w:color w:val="000000" w:themeColor="text1"/>
          <w:sz w:val="16"/>
          <w:szCs w:val="16"/>
        </w:rPr>
        <w:softHyphen/>
        <w:t>закаленного силикатного стекла на стандарт</w:t>
      </w:r>
      <w:r w:rsidRPr="00D03F3E">
        <w:rPr>
          <w:rFonts w:ascii="Times New Roman" w:hAnsi="Times New Roman"/>
          <w:color w:val="000000" w:themeColor="text1"/>
          <w:sz w:val="16"/>
          <w:szCs w:val="16"/>
        </w:rPr>
        <w:softHyphen/>
        <w:t>ной органической подушке были представлены в НИИ ВВС 15 мая в количестве девяти ком</w:t>
      </w:r>
      <w:r w:rsidRPr="00D03F3E">
        <w:rPr>
          <w:rFonts w:ascii="Times New Roman" w:hAnsi="Times New Roman"/>
          <w:color w:val="000000" w:themeColor="text1"/>
          <w:sz w:val="16"/>
          <w:szCs w:val="16"/>
        </w:rPr>
        <w:softHyphen/>
        <w:t>плектов, но были забракованы из-за низкого качества склейки и сильного разрушения сили</w:t>
      </w:r>
      <w:r w:rsidRPr="00D03F3E">
        <w:rPr>
          <w:rFonts w:ascii="Times New Roman" w:hAnsi="Times New Roman"/>
          <w:color w:val="000000" w:themeColor="text1"/>
          <w:sz w:val="16"/>
          <w:szCs w:val="16"/>
        </w:rPr>
        <w:softHyphen/>
        <w:t>катного стекла при поражении пулей.</w:t>
      </w:r>
    </w:p>
    <w:p w14:paraId="146DD01B" w14:textId="77777777" w:rsidR="00267D1F" w:rsidRPr="00D03F3E" w:rsidRDefault="00267D1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Комплекты прозрачной брони с примене</w:t>
      </w:r>
      <w:r w:rsidRPr="00D03F3E">
        <w:rPr>
          <w:rFonts w:ascii="Times New Roman" w:hAnsi="Times New Roman"/>
          <w:color w:val="000000" w:themeColor="text1"/>
          <w:sz w:val="16"/>
          <w:szCs w:val="16"/>
        </w:rPr>
        <w:softHyphen/>
        <w:t>нием таблеток из стекла БС вместо сталинита с покровным стеклом в установленные сроки представлены не были, так как заводы НКПСМ не изготовили для НКХП таблетки стекла БС. Бронекозырьки для самолета Ил-2 с тонким покровным стеклом также не были предъявле</w:t>
      </w:r>
      <w:r w:rsidRPr="00D03F3E">
        <w:rPr>
          <w:rFonts w:ascii="Times New Roman" w:hAnsi="Times New Roman"/>
          <w:color w:val="000000" w:themeColor="text1"/>
          <w:sz w:val="16"/>
          <w:szCs w:val="16"/>
        </w:rPr>
        <w:softHyphen/>
        <w:t>ны в НИИ ВВС в установленные сроки. 18 мая Наркомхимпром представил партию образ</w:t>
      </w:r>
      <w:r w:rsidRPr="00D03F3E">
        <w:rPr>
          <w:rFonts w:ascii="Times New Roman" w:hAnsi="Times New Roman"/>
          <w:color w:val="000000" w:themeColor="text1"/>
          <w:sz w:val="16"/>
          <w:szCs w:val="16"/>
        </w:rPr>
        <w:softHyphen/>
        <w:t>цов прозрачной брони - 33 детали серийной прозрачной брони, склеенных различными способами, в число которых входила и новая опытная метилакрилатная пленка МА. Одна</w:t>
      </w:r>
      <w:r w:rsidRPr="00D03F3E">
        <w:rPr>
          <w:rFonts w:ascii="Times New Roman" w:hAnsi="Times New Roman"/>
          <w:color w:val="000000" w:themeColor="text1"/>
          <w:sz w:val="16"/>
          <w:szCs w:val="16"/>
        </w:rPr>
        <w:softHyphen/>
        <w:t>ко образцы, склеенные на метилакрилатной пленке МА, забраковали, поскольку они не имели никаких преимуществ перед образцами с серийной пленкой.</w:t>
      </w:r>
    </w:p>
    <w:p w14:paraId="53D551D5" w14:textId="77777777" w:rsidR="00267D1F" w:rsidRPr="00D03F3E" w:rsidRDefault="00267D1F" w:rsidP="00D03F3E">
      <w:pPr>
        <w:pStyle w:val="72"/>
        <w:shd w:val="clear" w:color="auto" w:fill="auto"/>
        <w:spacing w:line="240" w:lineRule="auto"/>
        <w:rPr>
          <w:rStyle w:val="7e"/>
          <w:rFonts w:ascii="Times New Roman" w:hAnsi="Times New Roman" w:cs="Times New Roman"/>
          <w:i w:val="0"/>
          <w:color w:val="000000" w:themeColor="text1"/>
          <w:sz w:val="16"/>
          <w:szCs w:val="16"/>
        </w:rPr>
      </w:pPr>
      <w:r w:rsidRPr="00D03F3E">
        <w:rPr>
          <w:rStyle w:val="7e"/>
          <w:rFonts w:ascii="Times New Roman" w:hAnsi="Times New Roman" w:cs="Times New Roman"/>
          <w:i w:val="0"/>
          <w:color w:val="000000" w:themeColor="text1"/>
          <w:sz w:val="16"/>
          <w:szCs w:val="16"/>
        </w:rPr>
        <w:t>Лучшие результаты показали образцы про</w:t>
      </w:r>
      <w:r w:rsidRPr="00D03F3E">
        <w:rPr>
          <w:rStyle w:val="7e"/>
          <w:rFonts w:ascii="Times New Roman" w:hAnsi="Times New Roman" w:cs="Times New Roman"/>
          <w:i w:val="0"/>
          <w:color w:val="000000" w:themeColor="text1"/>
          <w:sz w:val="16"/>
          <w:szCs w:val="16"/>
        </w:rPr>
        <w:softHyphen/>
        <w:t>зрачной брони</w:t>
      </w:r>
      <w:r w:rsidRPr="00D03F3E">
        <w:rPr>
          <w:rFonts w:ascii="Times New Roman" w:cs="Times New Roman"/>
          <w:color w:val="000000" w:themeColor="text1"/>
          <w:spacing w:val="0"/>
          <w:sz w:val="16"/>
          <w:szCs w:val="16"/>
        </w:rPr>
        <w:t xml:space="preserve"> «с таблетками сталинита по форме завода им. Горького (детали №1 и №3 изготовлены из 2-х таблеток сталинита, де</w:t>
      </w:r>
      <w:r w:rsidRPr="00D03F3E">
        <w:rPr>
          <w:rFonts w:ascii="Times New Roman" w:cs="Times New Roman"/>
          <w:color w:val="000000" w:themeColor="text1"/>
          <w:spacing w:val="0"/>
          <w:sz w:val="16"/>
          <w:szCs w:val="16"/>
        </w:rPr>
        <w:softHyphen/>
        <w:t>таль №2 из 3-х таблеток сталинита) склеенные двойной пленкой с применением целлулоид</w:t>
      </w:r>
      <w:r w:rsidRPr="00D03F3E">
        <w:rPr>
          <w:rFonts w:ascii="Times New Roman" w:cs="Times New Roman"/>
          <w:color w:val="000000" w:themeColor="text1"/>
          <w:spacing w:val="0"/>
          <w:sz w:val="16"/>
          <w:szCs w:val="16"/>
        </w:rPr>
        <w:softHyphen/>
        <w:t>ного лака на стандартной подушке органиче</w:t>
      </w:r>
      <w:r w:rsidRPr="00D03F3E">
        <w:rPr>
          <w:rFonts w:ascii="Times New Roman" w:cs="Times New Roman"/>
          <w:color w:val="000000" w:themeColor="text1"/>
          <w:spacing w:val="0"/>
          <w:sz w:val="16"/>
          <w:szCs w:val="16"/>
        </w:rPr>
        <w:softHyphen/>
        <w:t>ского стекла и с покрытием покровным сте</w:t>
      </w:r>
      <w:r w:rsidRPr="00D03F3E">
        <w:rPr>
          <w:rFonts w:ascii="Times New Roman" w:cs="Times New Roman"/>
          <w:color w:val="000000" w:themeColor="text1"/>
          <w:spacing w:val="0"/>
          <w:sz w:val="16"/>
          <w:szCs w:val="16"/>
        </w:rPr>
        <w:softHyphen/>
        <w:t>клом».</w:t>
      </w:r>
      <w:r w:rsidRPr="00D03F3E">
        <w:rPr>
          <w:rStyle w:val="7e"/>
          <w:rFonts w:ascii="Times New Roman" w:hAnsi="Times New Roman" w:cs="Times New Roman"/>
          <w:i w:val="0"/>
          <w:color w:val="000000" w:themeColor="text1"/>
          <w:sz w:val="16"/>
          <w:szCs w:val="16"/>
        </w:rPr>
        <w:t xml:space="preserve"> С таким вариантом брони предлагалось провести войсковые испытания (17481).</w:t>
      </w:r>
    </w:p>
    <w:p w14:paraId="39B130CC" w14:textId="77777777" w:rsidR="00267D1F" w:rsidRPr="00D03F3E" w:rsidRDefault="00267D1F" w:rsidP="00D03F3E">
      <w:pPr>
        <w:pStyle w:val="72"/>
        <w:shd w:val="clear" w:color="auto" w:fill="auto"/>
        <w:spacing w:line="240" w:lineRule="auto"/>
        <w:rPr>
          <w:rFonts w:ascii="Times New Roman" w:cs="Times New Roman"/>
          <w:color w:val="000000" w:themeColor="text1"/>
          <w:spacing w:val="0"/>
          <w:sz w:val="16"/>
          <w:szCs w:val="16"/>
        </w:rPr>
      </w:pPr>
    </w:p>
    <w:p w14:paraId="5DA9C27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июня 1943 закончились войсковые испытания Як-9ПД в 12 гв. иап 6иак ПВО ТС, которые начались 16 апреля 1943. Сделали 69 полетов налетав 43:12, в т.ч. 39 на высоте 10000-12000 м. Для набора высоты требовались площадки и набор потолка в 11560 м занимал 25 мин. Войсковые испытания машина не выдержала из-за недоведенности ВМГ, недостаточности потока и несоответствия вооружения (65,122).</w:t>
      </w:r>
    </w:p>
    <w:p w14:paraId="549676E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5D02D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25 июня 1943 закончился ремонт в 13 воздушной армии истребителей и штурмовиков с отставшей деревянной обшивкой крыла, начавшийся 8 июня 1943 (173,277).</w:t>
      </w:r>
    </w:p>
    <w:p w14:paraId="2A42DA6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C19BA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июня 1943 А.Кузнецов писал директору завода 22 Окулову:</w:t>
      </w:r>
    </w:p>
    <w:p w14:paraId="5B7C2CC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самолете Пе-2 Вам совместно с ГК надлежит произвести отработку установок:</w:t>
      </w:r>
    </w:p>
    <w:p w14:paraId="45CEBE7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В разведывательном варианте: 2-х фотоаппаратов АФА-33 или АФА-3с и одного НАФА-19 с сохранением оборудования под АФА-ИМ.</w:t>
      </w:r>
    </w:p>
    <w:p w14:paraId="276D8B7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 бомбардировочном варианте: одного АФА-ИМ и одного НАФА-19.</w:t>
      </w:r>
    </w:p>
    <w:p w14:paraId="308CECF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Сообщите сроки внедрения на серийных самолетах (1767,167).</w:t>
      </w:r>
    </w:p>
    <w:p w14:paraId="296C70B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2BF46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июня 1943 вышел приказ НКАП N 374сс "О выпуске заводом 22 самолетов Пе-2 с М-82Ф":</w:t>
      </w:r>
    </w:p>
    <w:p w14:paraId="714C769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исполнение постановления ГКО от 21 июня 1943 N 3622сс:</w:t>
      </w:r>
    </w:p>
    <w:p w14:paraId="1D6EC19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Нач. 10 ГУ Тарасевичу, директору завода 22 Окулову и ГК В.М.М.:</w:t>
      </w:r>
    </w:p>
    <w:p w14:paraId="3D05C15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наряду с серийным выпуском самолетов Пе-2 с М-105ПФ выпустить 100 самолетов Пе-2 с М-82Ф в следующие сроки:</w:t>
      </w:r>
    </w:p>
    <w:p w14:paraId="20D7916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августе - 15</w:t>
      </w:r>
    </w:p>
    <w:p w14:paraId="08F30CD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сентябре - 35</w:t>
      </w:r>
    </w:p>
    <w:p w14:paraId="6F4072D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октябре - 50</w:t>
      </w:r>
    </w:p>
    <w:p w14:paraId="1681862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самолеты Пе-2 с М-82Ф в варианте бомбардировщика выпустить со следующими данными:</w:t>
      </w:r>
    </w:p>
    <w:p w14:paraId="02056CD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 скорость:</w:t>
      </w:r>
    </w:p>
    <w:p w14:paraId="252DAE6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земли на норм. режиме - 460 км/час</w:t>
      </w:r>
    </w:p>
    <w:p w14:paraId="6487882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земли на форс. режиме - 485 км/час</w:t>
      </w:r>
    </w:p>
    <w:p w14:paraId="3E7EDA2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высоте 6000 м - 545</w:t>
      </w:r>
    </w:p>
    <w:p w14:paraId="23847E9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полета на 0.8 макс. - 1100 км</w:t>
      </w:r>
    </w:p>
    <w:p w14:paraId="2CF9079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нормальная бомбовая нагрузка - 600 кг</w:t>
      </w:r>
    </w:p>
    <w:p w14:paraId="68A560E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вперед 1х12.7 Б в носу с боезапасом 150 патронов</w:t>
      </w:r>
    </w:p>
    <w:p w14:paraId="2B8291F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назад 1х12.7 Б в носу с боезапасом 200 патронов у штурмана + 1х12.7 с 200 в люковой установке у стрелка</w:t>
      </w:r>
    </w:p>
    <w:p w14:paraId="4B25D49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бомбозамки в мотогондолах на 2хФАБ-100 + внутренняя в фюзеляже на 4хФАБ-100</w:t>
      </w:r>
    </w:p>
    <w:p w14:paraId="0558AED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1-й самолет Пе-8 с М-82 с указанным в п. б данными и вооружением представить для повторных гос. испытаний в НИИ ВВС к 1 августа 1943</w:t>
      </w:r>
    </w:p>
    <w:p w14:paraId="36386B1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 изменение приказа НКАП N 329сс от 2 июня 1943 освободить завод 22 в 1943 от выпуска самолетов Пе-2 в варианте истребителя (1734,70).</w:t>
      </w:r>
    </w:p>
    <w:p w14:paraId="2D7103E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B0B29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июня 1943 года инже</w:t>
      </w:r>
      <w:r w:rsidRPr="00D03F3E">
        <w:rPr>
          <w:rFonts w:ascii="Times New Roman" w:hAnsi="Times New Roman"/>
          <w:color w:val="000000" w:themeColor="text1"/>
          <w:sz w:val="16"/>
          <w:szCs w:val="16"/>
        </w:rPr>
        <w:softHyphen/>
        <w:t>нер 5 отдела НИИ ВВС инженер-ка</w:t>
      </w:r>
      <w:r w:rsidRPr="00D03F3E">
        <w:rPr>
          <w:rFonts w:ascii="Times New Roman" w:hAnsi="Times New Roman"/>
          <w:color w:val="000000" w:themeColor="text1"/>
          <w:sz w:val="16"/>
          <w:szCs w:val="16"/>
        </w:rPr>
        <w:softHyphen/>
        <w:t>питан Ф.Ф.Бабанин, который вел наблюдение за эксплуатацией моторов М-82ФН в 32-м гвардейском ИАП (быв</w:t>
      </w:r>
      <w:r w:rsidRPr="00D03F3E">
        <w:rPr>
          <w:rFonts w:ascii="Times New Roman" w:hAnsi="Times New Roman"/>
          <w:color w:val="000000" w:themeColor="text1"/>
          <w:sz w:val="16"/>
          <w:szCs w:val="16"/>
        </w:rPr>
        <w:softHyphen/>
        <w:t>шем 434 ИАП) с момента переформирования полка (войсковые испытания Ла-5 с М-82ФН было поручено про</w:t>
      </w:r>
      <w:r w:rsidRPr="00D03F3E">
        <w:rPr>
          <w:rFonts w:ascii="Times New Roman" w:hAnsi="Times New Roman"/>
          <w:color w:val="000000" w:themeColor="text1"/>
          <w:sz w:val="16"/>
          <w:szCs w:val="16"/>
        </w:rPr>
        <w:softHyphen/>
        <w:t>вести 32-му гвардейскому ИАП (быв</w:t>
      </w:r>
      <w:r w:rsidRPr="00D03F3E">
        <w:rPr>
          <w:rFonts w:ascii="Times New Roman" w:hAnsi="Times New Roman"/>
          <w:color w:val="000000" w:themeColor="text1"/>
          <w:sz w:val="16"/>
          <w:szCs w:val="16"/>
        </w:rPr>
        <w:softHyphen/>
        <w:t>шему 434 ИАП), который ранее отка</w:t>
      </w:r>
      <w:r w:rsidRPr="00D03F3E">
        <w:rPr>
          <w:rFonts w:ascii="Times New Roman" w:hAnsi="Times New Roman"/>
          <w:color w:val="000000" w:themeColor="text1"/>
          <w:sz w:val="16"/>
          <w:szCs w:val="16"/>
        </w:rPr>
        <w:softHyphen/>
        <w:t>зался от первых серийных Ла-5. Пол</w:t>
      </w:r>
      <w:r w:rsidRPr="00D03F3E">
        <w:rPr>
          <w:rFonts w:ascii="Times New Roman" w:hAnsi="Times New Roman"/>
          <w:color w:val="000000" w:themeColor="text1"/>
          <w:sz w:val="16"/>
          <w:szCs w:val="16"/>
        </w:rPr>
        <w:softHyphen/>
        <w:t>ком командовал Герой Совет</w:t>
      </w:r>
      <w:r w:rsidRPr="00D03F3E">
        <w:rPr>
          <w:rFonts w:ascii="Times New Roman" w:hAnsi="Times New Roman"/>
          <w:color w:val="000000" w:themeColor="text1"/>
          <w:sz w:val="16"/>
          <w:szCs w:val="16"/>
        </w:rPr>
        <w:softHyphen/>
        <w:t>ского Союза подполковник В.И. Давидков, сменивший полковника В.И. Сталина после того, как последний в апреле 1943 года получил «боевое» ранение своим же РС-82 во время неудачной рыбалки) - с 25 мая по 25 августа 1943 года - в докладе от он писал:</w:t>
      </w:r>
    </w:p>
    <w:p w14:paraId="0CC0A26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«Доношу о работе моторов М-82ФН на самолетах Ла-5 в 32 Гвар</w:t>
      </w:r>
      <w:r w:rsidRPr="00D03F3E">
        <w:rPr>
          <w:rFonts w:ascii="Times New Roman" w:hAnsi="Times New Roman"/>
          <w:color w:val="000000" w:themeColor="text1"/>
          <w:sz w:val="16"/>
          <w:szCs w:val="16"/>
        </w:rPr>
        <w:softHyphen/>
        <w:t>дейском ИАП в период с 15 по 25 июня с/г в полку, который находит</w:t>
      </w:r>
      <w:r w:rsidRPr="00D03F3E">
        <w:rPr>
          <w:rFonts w:ascii="Times New Roman" w:hAnsi="Times New Roman"/>
          <w:color w:val="000000" w:themeColor="text1"/>
          <w:sz w:val="16"/>
          <w:szCs w:val="16"/>
        </w:rPr>
        <w:softHyphen/>
        <w:t>ся с 15 июня на передовом аэро</w:t>
      </w:r>
      <w:r w:rsidRPr="00D03F3E">
        <w:rPr>
          <w:rFonts w:ascii="Times New Roman" w:hAnsi="Times New Roman"/>
          <w:color w:val="000000" w:themeColor="text1"/>
          <w:sz w:val="16"/>
          <w:szCs w:val="16"/>
        </w:rPr>
        <w:softHyphen/>
        <w:t>дроме и входит в состав 3 Гвар</w:t>
      </w:r>
      <w:r w:rsidRPr="00D03F3E">
        <w:rPr>
          <w:rFonts w:ascii="Times New Roman" w:hAnsi="Times New Roman"/>
          <w:color w:val="000000" w:themeColor="text1"/>
          <w:sz w:val="16"/>
          <w:szCs w:val="16"/>
        </w:rPr>
        <w:softHyphen/>
        <w:t>дейской ИАД (командир дивизии полковник Ухов) 1 Гвардейского АК (командир 1 Гв. АК генерал-лейте</w:t>
      </w:r>
      <w:r w:rsidRPr="00D03F3E">
        <w:rPr>
          <w:rFonts w:ascii="Times New Roman" w:hAnsi="Times New Roman"/>
          <w:color w:val="000000" w:themeColor="text1"/>
          <w:sz w:val="16"/>
          <w:szCs w:val="16"/>
        </w:rPr>
        <w:softHyphen/>
        <w:t>нант авиации тов. Белецкий).</w:t>
      </w:r>
    </w:p>
    <w:p w14:paraId="5523F95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полку имеется 12 самолетов Ла-5 с М-82ФН и 19 самолетов Ла-5 с М-82Ф.</w:t>
      </w:r>
    </w:p>
    <w:p w14:paraId="6020DB2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настоящее время проводятся учебные тренировочные полеты и боевых заданий полк еще не имел... Свечи меняем через 15-20 ча</w:t>
      </w:r>
      <w:r w:rsidRPr="00D03F3E">
        <w:rPr>
          <w:rFonts w:ascii="Times New Roman" w:hAnsi="Times New Roman"/>
          <w:color w:val="000000" w:themeColor="text1"/>
          <w:sz w:val="16"/>
          <w:szCs w:val="16"/>
        </w:rPr>
        <w:softHyphen/>
        <w:t>сов...</w:t>
      </w:r>
    </w:p>
    <w:p w14:paraId="6784B75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Здесь чувствуется нужда в све</w:t>
      </w:r>
      <w:r w:rsidRPr="00D03F3E">
        <w:rPr>
          <w:rFonts w:ascii="Times New Roman" w:hAnsi="Times New Roman"/>
          <w:color w:val="000000" w:themeColor="text1"/>
          <w:sz w:val="16"/>
          <w:szCs w:val="16"/>
        </w:rPr>
        <w:softHyphen/>
        <w:t>чах. Если возможно дать свечи ВГ-25 на войсковые испытания, то за свечами могут выслать У-2...</w:t>
      </w:r>
    </w:p>
    <w:p w14:paraId="69798F3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Ла-5 особенно с НВ летчики дают высокую оценку и самолету, и мотору. Про мотор НВ они говорят, что работает как «пчелка». Ранее летный и технический состав ра</w:t>
      </w:r>
      <w:r w:rsidRPr="00D03F3E">
        <w:rPr>
          <w:rFonts w:ascii="Times New Roman" w:hAnsi="Times New Roman"/>
          <w:color w:val="000000" w:themeColor="text1"/>
          <w:sz w:val="16"/>
          <w:szCs w:val="16"/>
        </w:rPr>
        <w:softHyphen/>
        <w:t>ботали и вели боевые действия только на Як-1 и Як-9.</w:t>
      </w:r>
    </w:p>
    <w:p w14:paraId="777732C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Боевых действий еще не было, и боевой оценки самолета и мотора со стороны летчиков пока еще нет, но все же по скорости Ла-5 значи</w:t>
      </w:r>
      <w:r w:rsidRPr="00D03F3E">
        <w:rPr>
          <w:rFonts w:ascii="Times New Roman" w:hAnsi="Times New Roman"/>
          <w:color w:val="000000" w:themeColor="text1"/>
          <w:sz w:val="16"/>
          <w:szCs w:val="16"/>
        </w:rPr>
        <w:softHyphen/>
        <w:t>тельно выше Яка» (10723).</w:t>
      </w:r>
    </w:p>
    <w:p w14:paraId="32E4C0C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C5930E"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25 июня 1943 г. инженер 5 отдела НИИ ВВС инженер-капитан Ф.Ф. Бабанин писал:</w:t>
      </w:r>
    </w:p>
    <w:p w14:paraId="12A72900"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«Доношу о работе моторов М-82ФН на самолётах Ла-5 в 32 Гвардейском ИАП в пе</w:t>
      </w:r>
      <w:r w:rsidRPr="00D03F3E">
        <w:rPr>
          <w:rFonts w:ascii="Times New Roman" w:cs="Times New Roman"/>
          <w:color w:val="000000" w:themeColor="text1"/>
          <w:spacing w:val="0"/>
        </w:rPr>
        <w:softHyphen/>
        <w:t>риод с 15 по 25 июня с/г, в полку, который находится с 15 июня на передовом аэро</w:t>
      </w:r>
      <w:r w:rsidRPr="00D03F3E">
        <w:rPr>
          <w:rFonts w:ascii="Times New Roman" w:cs="Times New Roman"/>
          <w:color w:val="000000" w:themeColor="text1"/>
          <w:spacing w:val="0"/>
        </w:rPr>
        <w:softHyphen/>
        <w:t>дроме и входит в состав 3 Гвардейской ИАД (командир дивизии полковник Ухов) 1 Гвардейского АК (командир 1 Гв. АК генерал-лейтенант авиации тов. Белецкий).</w:t>
      </w:r>
    </w:p>
    <w:p w14:paraId="31DC9F38"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полку имеется 12 самолётов Ла-5 с М-82ФН и 19 самолётов Ла-5 с М-82Ф.</w:t>
      </w:r>
    </w:p>
    <w:p w14:paraId="77D5065A"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настоящее время проводятся учебные тренировочные полёты и боевых заданий полк ещё не имел...</w:t>
      </w:r>
    </w:p>
    <w:p w14:paraId="426190D3"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По Ла-5 особенно с НВ лётчики дают высокую оценку и самолёту, и мотору. Про мо</w:t>
      </w:r>
      <w:r w:rsidRPr="00D03F3E">
        <w:rPr>
          <w:rFonts w:ascii="Times New Roman" w:cs="Times New Roman"/>
          <w:color w:val="000000" w:themeColor="text1"/>
          <w:spacing w:val="0"/>
        </w:rPr>
        <w:softHyphen/>
        <w:t>тор НВ они говорят, что работает как «пчёлка». Ранее лётный и технический состав работали и вели боевые действия только на Як-1 и Як-9.</w:t>
      </w:r>
    </w:p>
    <w:p w14:paraId="33FDB84F"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Боевых действий ещё не было, и боевой оценки самолёта и мотора со стороны лёт</w:t>
      </w:r>
      <w:r w:rsidRPr="00D03F3E">
        <w:rPr>
          <w:rFonts w:ascii="Times New Roman" w:cs="Times New Roman"/>
          <w:color w:val="000000" w:themeColor="text1"/>
          <w:spacing w:val="0"/>
        </w:rPr>
        <w:softHyphen/>
        <w:t>чиков пока ещё нет, но всё же по скорости Ла-5 значительно выше Яка».</w:t>
      </w:r>
    </w:p>
    <w:p w14:paraId="27947762"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До начала боевых действий полк получил с завода № 21 всего 13 самолётов Ла-5 с М-82ФН, один из них разбили в катастрофе во время тренировочного полёта (из-за ошибки в технике пилотирования). В период боевых действий получили ещё 2 самолё</w:t>
      </w:r>
      <w:r w:rsidRPr="00D03F3E">
        <w:rPr>
          <w:rFonts w:ascii="Times New Roman" w:cs="Times New Roman"/>
          <w:color w:val="000000" w:themeColor="text1"/>
          <w:spacing w:val="0"/>
        </w:rPr>
        <w:softHyphen/>
        <w:t>та. Таким образом, испытанию подвергались 14 самолётов Ла-5 с М-82ФН. Остальные самолёты в полку — Ла-5 с М-82Ф. Во время тренировок провели несколько показатель</w:t>
      </w:r>
      <w:r w:rsidRPr="00D03F3E">
        <w:rPr>
          <w:rFonts w:ascii="Times New Roman" w:cs="Times New Roman"/>
          <w:color w:val="000000" w:themeColor="text1"/>
          <w:spacing w:val="0"/>
        </w:rPr>
        <w:softHyphen/>
        <w:t>ных боев самолётов Ла-5 с М-82ФН с самолеётами Ла-5 с М-82Ф, и выявили полное преимущество первых над вторыми.</w:t>
      </w:r>
    </w:p>
    <w:p w14:paraId="05B4A56D"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Испытания проходили в боевых условиях в 32 ГИАП 1 ГИАК 15 ВА на Брянском фрон</w:t>
      </w:r>
      <w:r w:rsidRPr="00D03F3E">
        <w:rPr>
          <w:rFonts w:ascii="Times New Roman" w:cs="Times New Roman"/>
          <w:color w:val="000000" w:themeColor="text1"/>
          <w:spacing w:val="0"/>
        </w:rPr>
        <w:softHyphen/>
        <w:t>те (северный фас Курской дуги) с 5 июля по 25 августа 1943 г.</w:t>
      </w:r>
    </w:p>
    <w:p w14:paraId="7E3AEA43"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процессе испытаний полк выполнял боевую задачу по прикрытию наземных войск и освобождению воздуха над линией фронта от самолетов противника. Продвигаясь вслед за наступающими частями, полк в процессе испытаний 5 раз менял место базирования и находился на аэродромах: Студенец, Пруды (около г. Новосиль), Протасово (вост. г. Орел в 20 км), Орел гражданский и «9 дубов» (с-в Карачево, в 14 км). Все аэродро</w:t>
      </w:r>
      <w:r w:rsidRPr="00D03F3E">
        <w:rPr>
          <w:rFonts w:ascii="Times New Roman" w:cs="Times New Roman"/>
          <w:color w:val="000000" w:themeColor="text1"/>
          <w:spacing w:val="0"/>
        </w:rPr>
        <w:softHyphen/>
        <w:t>мы были организованы на полях с травянистым покровом средней пыльности.</w:t>
      </w:r>
    </w:p>
    <w:p w14:paraId="3539F7DD"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lastRenderedPageBreak/>
        <w:t>За время испытаний с 4 июля по 26 августа 1943 г. на самолётах Ла-5 с М-82ФН про</w:t>
      </w:r>
      <w:r w:rsidRPr="00D03F3E">
        <w:rPr>
          <w:rFonts w:ascii="Times New Roman" w:cs="Times New Roman"/>
          <w:color w:val="000000" w:themeColor="text1"/>
          <w:spacing w:val="0"/>
        </w:rPr>
        <w:softHyphen/>
        <w:t>изведено 354 боевых с/в с налетом 304 часа. При 151-м с/в встреч с противником не бы</w:t>
      </w:r>
      <w:r w:rsidRPr="00D03F3E">
        <w:rPr>
          <w:rFonts w:ascii="Times New Roman" w:cs="Times New Roman"/>
          <w:color w:val="000000" w:themeColor="text1"/>
          <w:spacing w:val="0"/>
        </w:rPr>
        <w:softHyphen/>
        <w:t>ло, при 203-х с/в произошла 31 встреча с противником и произошло 25 боев, в 6 случаях противник от боя уклонился. За 25 боев всего сбили 33 самолёта противника, из них: ФВ-190 — 21, Ме-109Г-2 — 3, Ю-88 — 5, Хе-111—3, Ю-87 — 1. За указанный период боевых действий потеряно 6 самолётов Ла-5 с М-82ФН, из них: сбито противником — 2, не вернулось с боевого задания — 2, разбито при вынужденных посадках — 2.</w:t>
      </w:r>
    </w:p>
    <w:p w14:paraId="0BE6A5F1"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Из 354 боевых с/в было только 2 случая возврата по вине мотора: самолёт № 39210239</w:t>
      </w:r>
    </w:p>
    <w:p w14:paraId="2A78BB0F" w14:textId="77777777" w:rsidR="00287531" w:rsidRPr="00D03F3E" w:rsidRDefault="00287531" w:rsidP="00D03F3E">
      <w:pPr>
        <w:pStyle w:val="27"/>
        <w:shd w:val="clear" w:color="auto" w:fill="auto"/>
        <w:tabs>
          <w:tab w:val="left" w:pos="246"/>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течь масла из-под гайки упорного подшипника вала редуктора, самолёт № 39210257</w:t>
      </w:r>
    </w:p>
    <w:p w14:paraId="74AD043D" w14:textId="77777777" w:rsidR="00287531" w:rsidRPr="00D03F3E" w:rsidRDefault="00287531" w:rsidP="00D03F3E">
      <w:pPr>
        <w:pStyle w:val="27"/>
        <w:shd w:val="clear" w:color="auto" w:fill="auto"/>
        <w:tabs>
          <w:tab w:val="left" w:pos="246"/>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тряска мотора из-за разрушения стаканчика нижнего уплотнения и сферы толкателя.</w:t>
      </w:r>
    </w:p>
    <w:p w14:paraId="2C88978A"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Всего за период с 25 мая по 25 августа выполнили 818 с/в с общей наработкой мото</w:t>
      </w:r>
      <w:r w:rsidRPr="00D03F3E">
        <w:rPr>
          <w:rFonts w:ascii="Times New Roman" w:cs="Times New Roman"/>
          <w:color w:val="000000" w:themeColor="text1"/>
          <w:spacing w:val="0"/>
        </w:rPr>
        <w:softHyphen/>
        <w:t>ров 782 час 25 мин, из них: в воздухе — 636 час 42 мин и на земле 145 час 43 мин.</w:t>
      </w:r>
    </w:p>
    <w:p w14:paraId="0F2A5AE2"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Работа моторов проверена до высоты 6000 м. Основная масса полётов проходила на высотах 2000-4000 м при работе моторов на 1-й скорости нагнетателя. Полёты на 2-й скорости нагнетателя до высоты 6000 м производились в редких случаях...</w:t>
      </w:r>
    </w:p>
    <w:p w14:paraId="66ED4A18"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полку имелись случаи, показавшие, что мотор М-82ФН и ВМГ самолёта Ла-5 с мо</w:t>
      </w:r>
      <w:r w:rsidRPr="00D03F3E">
        <w:rPr>
          <w:rFonts w:ascii="Times New Roman" w:cs="Times New Roman"/>
          <w:color w:val="000000" w:themeColor="text1"/>
          <w:spacing w:val="0"/>
        </w:rPr>
        <w:softHyphen/>
        <w:t>тором М-82ФН в противопожарном отношении достаточно живуч. Так, например: на са</w:t>
      </w:r>
      <w:r w:rsidRPr="00D03F3E">
        <w:rPr>
          <w:rFonts w:ascii="Times New Roman" w:cs="Times New Roman"/>
          <w:color w:val="000000" w:themeColor="text1"/>
          <w:spacing w:val="0"/>
        </w:rPr>
        <w:softHyphen/>
        <w:t>молёте № 39210257 в полёте в результате излома сухариков и обрыва грибка клапана выхлопа произошло разрушение головки цилиндра № 12 на три части. Лётчик не заме</w:t>
      </w:r>
      <w:r w:rsidRPr="00D03F3E">
        <w:rPr>
          <w:rFonts w:ascii="Times New Roman" w:cs="Times New Roman"/>
          <w:color w:val="000000" w:themeColor="text1"/>
          <w:spacing w:val="0"/>
        </w:rPr>
        <w:softHyphen/>
        <w:t>тил отклонений в работе мотора, продолжал полёт нормально и сел на свой аэродром. Только при осмотре техником на земле обнаружено разрушение головки цилиндра...</w:t>
      </w:r>
    </w:p>
    <w:p w14:paraId="38406B30"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На самолете № 39210218 в полёте образовалась трещина трубки, подводящей бен</w:t>
      </w:r>
      <w:r w:rsidRPr="00D03F3E">
        <w:rPr>
          <w:rFonts w:ascii="Times New Roman" w:cs="Times New Roman"/>
          <w:color w:val="000000" w:themeColor="text1"/>
          <w:spacing w:val="0"/>
        </w:rPr>
        <w:softHyphen/>
        <w:t>зин от бензофильтра к насосу НБ-ЗУ. Бензин струей бил в кабину лётчика. Летчик про</w:t>
      </w:r>
      <w:r w:rsidRPr="00D03F3E">
        <w:rPr>
          <w:rFonts w:ascii="Times New Roman" w:cs="Times New Roman"/>
          <w:color w:val="000000" w:themeColor="text1"/>
          <w:spacing w:val="0"/>
        </w:rPr>
        <w:softHyphen/>
        <w:t>должал полёт в течение 15 минут и сел нормально на свой аэродром.</w:t>
      </w:r>
    </w:p>
    <w:p w14:paraId="1A5CDC91"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На самолёте № 39210262 в полёте произошел обрыв трубки бензоманометра. Бен</w:t>
      </w:r>
      <w:r w:rsidRPr="00D03F3E">
        <w:rPr>
          <w:rFonts w:ascii="Times New Roman" w:cs="Times New Roman"/>
          <w:color w:val="000000" w:themeColor="text1"/>
          <w:spacing w:val="0"/>
        </w:rPr>
        <w:softHyphen/>
        <w:t>зин под давлением 1,5 кг/см</w:t>
      </w:r>
      <w:r w:rsidRPr="00D03F3E">
        <w:rPr>
          <w:rFonts w:ascii="Times New Roman" w:cs="Times New Roman"/>
          <w:color w:val="000000" w:themeColor="text1"/>
          <w:spacing w:val="0"/>
          <w:vertAlign w:val="superscript"/>
        </w:rPr>
        <w:t>2</w:t>
      </w:r>
      <w:r w:rsidRPr="00D03F3E">
        <w:rPr>
          <w:rFonts w:ascii="Times New Roman" w:cs="Times New Roman"/>
          <w:color w:val="000000" w:themeColor="text1"/>
          <w:spacing w:val="0"/>
        </w:rPr>
        <w:t xml:space="preserve"> бил в кабину и лицо лётчика — пожара не произошло.</w:t>
      </w:r>
    </w:p>
    <w:p w14:paraId="77866F21"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На самолёте № 39210257 на 20-м часу работы мотора обнаружили трещину (во вре</w:t>
      </w:r>
      <w:r w:rsidRPr="00D03F3E">
        <w:rPr>
          <w:rFonts w:ascii="Times New Roman" w:cs="Times New Roman"/>
          <w:color w:val="000000" w:themeColor="text1"/>
          <w:spacing w:val="0"/>
        </w:rPr>
        <w:softHyphen/>
        <w:t>мя послеполётного осмотра) трубки высокого давления цилиндра № 1 — пожара в по</w:t>
      </w:r>
      <w:r w:rsidRPr="00D03F3E">
        <w:rPr>
          <w:rFonts w:ascii="Times New Roman" w:cs="Times New Roman"/>
          <w:color w:val="000000" w:themeColor="text1"/>
          <w:spacing w:val="0"/>
        </w:rPr>
        <w:softHyphen/>
        <w:t>лёте не произошло.</w:t>
      </w:r>
    </w:p>
    <w:p w14:paraId="7B6237A0"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Отмечалось, что М-82 как мотор воздушного охлаждения по сравнению с мотором жидкостного охлаждения в бою более живуч и достаточно надёжен. В полку на самолё</w:t>
      </w:r>
      <w:r w:rsidRPr="00D03F3E">
        <w:rPr>
          <w:rFonts w:ascii="Times New Roman" w:cs="Times New Roman"/>
          <w:color w:val="000000" w:themeColor="text1"/>
          <w:spacing w:val="0"/>
        </w:rPr>
        <w:softHyphen/>
        <w:t xml:space="preserve">те Ла-5 с М-82Ф лётчик гв. л-т Тукин в воздушном бою 21 июля 1943 г. был атакован </w:t>
      </w:r>
      <w:r w:rsidRPr="00D03F3E">
        <w:rPr>
          <w:rFonts w:ascii="Times New Roman" w:cs="Times New Roman"/>
          <w:color w:val="000000" w:themeColor="text1"/>
          <w:spacing w:val="0"/>
          <w:lang w:val="en-US"/>
        </w:rPr>
        <w:t>FW</w:t>
      </w:r>
      <w:r w:rsidRPr="00D03F3E">
        <w:rPr>
          <w:rFonts w:ascii="Times New Roman" w:cs="Times New Roman"/>
          <w:color w:val="000000" w:themeColor="text1"/>
          <w:spacing w:val="0"/>
        </w:rPr>
        <w:t>-190 и получил следующие повреждения мотора: пробита гильза цилиндра № 13, разрушены перемычки поршня и поршневые кольца (в месте пробоя цилиндра), пробит всасывающий патрубок цилиндра № 14 (разрыв площадью около 30 см</w:t>
      </w:r>
      <w:r w:rsidRPr="00D03F3E">
        <w:rPr>
          <w:rFonts w:ascii="Times New Roman" w:cs="Times New Roman"/>
          <w:color w:val="000000" w:themeColor="text1"/>
          <w:spacing w:val="0"/>
          <w:vertAlign w:val="superscript"/>
        </w:rPr>
        <w:t>2</w:t>
      </w:r>
      <w:r w:rsidRPr="00D03F3E">
        <w:rPr>
          <w:rFonts w:ascii="Times New Roman" w:cs="Times New Roman"/>
          <w:color w:val="000000" w:themeColor="text1"/>
          <w:spacing w:val="0"/>
        </w:rPr>
        <w:t>), перебит ко</w:t>
      </w:r>
      <w:r w:rsidRPr="00D03F3E">
        <w:rPr>
          <w:rFonts w:ascii="Times New Roman" w:cs="Times New Roman"/>
          <w:color w:val="000000" w:themeColor="text1"/>
          <w:spacing w:val="0"/>
        </w:rPr>
        <w:softHyphen/>
        <w:t>жух тяги клапана всасывания цилиндра № 13 и перебита экранировка коллектора зажи</w:t>
      </w:r>
      <w:r w:rsidRPr="00D03F3E">
        <w:rPr>
          <w:rFonts w:ascii="Times New Roman" w:cs="Times New Roman"/>
          <w:color w:val="000000" w:themeColor="text1"/>
          <w:spacing w:val="0"/>
        </w:rPr>
        <w:softHyphen/>
        <w:t>гания. С этими повреждениями гв. л-т Тукин сам атаковал и сбил противника, благо</w:t>
      </w:r>
      <w:r w:rsidRPr="00D03F3E">
        <w:rPr>
          <w:rFonts w:ascii="Times New Roman" w:cs="Times New Roman"/>
          <w:color w:val="000000" w:themeColor="text1"/>
          <w:spacing w:val="0"/>
        </w:rPr>
        <w:softHyphen/>
        <w:t>получно совершив посадку на свой аэродром. Полёт после повреждений продолжался в течение 15 минут.</w:t>
      </w:r>
    </w:p>
    <w:p w14:paraId="01FCF209"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Случаев повреждений в воздушном бою моторов М-82ФН за время боевой работы полка не было.</w:t>
      </w:r>
    </w:p>
    <w:p w14:paraId="5FDDEEF3"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отзыве по самолёту Ла-5 с мотором М-82ФН Герой Советского Союза командир эскадрильи гв. к-н Луцкий В.В. написал:</w:t>
      </w:r>
    </w:p>
    <w:p w14:paraId="6024DC82"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«На самолёте Ла-5 с мотором М-82ФН я сделал 55 боевых вылетов, из них — 28 воз</w:t>
      </w:r>
      <w:r w:rsidRPr="00D03F3E">
        <w:rPr>
          <w:rFonts w:ascii="Times New Roman" w:cs="Times New Roman"/>
          <w:color w:val="000000" w:themeColor="text1"/>
          <w:spacing w:val="0"/>
        </w:rPr>
        <w:softHyphen/>
        <w:t>душных боев. Самолёт Ла-5 имеет некоторые преимущества в отношении ФВ-190 в вертикальной скорости, т.е. уходит и догоняет на крутой восходящей спирали, манев- реннее на виражах и имеет равную горизонтальную скорость с открытым колпаком. Все эти данные до высоты 2000-3000 м.</w:t>
      </w:r>
    </w:p>
    <w:p w14:paraId="012C5E38"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Уступает ФВ-190 в бронировании, живучести машины и вооружении. Самолёт ФВ-190 с данным вооружением на самолёте Ла-5 сбить трудно, даже с полного боекомплекта (с короткой дистанции). Самолёт ФВ-190 хорошо бронирован. Самолет Ме-109Г-2 уступа</w:t>
      </w:r>
      <w:r w:rsidRPr="00D03F3E">
        <w:rPr>
          <w:rFonts w:ascii="Times New Roman" w:cs="Times New Roman"/>
          <w:color w:val="000000" w:themeColor="text1"/>
          <w:spacing w:val="0"/>
        </w:rPr>
        <w:softHyphen/>
        <w:t>ет намного в маневренности и не уходит на вертикали с одинаковых скоростей...</w:t>
      </w:r>
    </w:p>
    <w:p w14:paraId="1E27288B"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Самолёт Ла-5, по сравнению с отечественными истребителями, имеет ряд преиму</w:t>
      </w:r>
      <w:r w:rsidRPr="00D03F3E">
        <w:rPr>
          <w:rFonts w:ascii="Times New Roman" w:cs="Times New Roman"/>
          <w:color w:val="000000" w:themeColor="text1"/>
          <w:spacing w:val="0"/>
        </w:rPr>
        <w:softHyphen/>
        <w:t>ществ, полученных вследствие более мощного мотора.</w:t>
      </w:r>
    </w:p>
    <w:p w14:paraId="5F4B17B0"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Так, в воздушном бою (учебном) с самолётом Ла-5 с М-82Ф, Ла-5 с М-82ФН, имея преимущество в мощности мотора, выдерживает больший крен на вираже, больше на</w:t>
      </w:r>
      <w:r w:rsidRPr="00D03F3E">
        <w:rPr>
          <w:rFonts w:ascii="Times New Roman" w:cs="Times New Roman"/>
          <w:color w:val="000000" w:themeColor="text1"/>
          <w:spacing w:val="0"/>
        </w:rPr>
        <w:softHyphen/>
        <w:t>бирает высоты в единицу времени на восходящей спирали и отрывается после пики</w:t>
      </w:r>
      <w:r w:rsidRPr="00D03F3E">
        <w:rPr>
          <w:rFonts w:ascii="Times New Roman" w:cs="Times New Roman"/>
          <w:color w:val="000000" w:themeColor="text1"/>
          <w:spacing w:val="0"/>
        </w:rPr>
        <w:softHyphen/>
        <w:t>рования на прямой с форсажем. Особенно чувствуется это на высотах 3000-3500 м.</w:t>
      </w:r>
    </w:p>
    <w:p w14:paraId="5ED8B34F"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По сравнению с самолётами Як-7 и Як-9, Ла-5 с М-82ФН имеет большую горизон</w:t>
      </w:r>
      <w:r w:rsidRPr="00D03F3E">
        <w:rPr>
          <w:rFonts w:ascii="Times New Roman" w:cs="Times New Roman"/>
          <w:color w:val="000000" w:themeColor="text1"/>
          <w:spacing w:val="0"/>
        </w:rPr>
        <w:softHyphen/>
        <w:t>тальную скорость и менее уязвим, что особенно чувствуется благодаря отсутствию во- доохлаждающей системы, а также наличию лобовой защиты — воздушный мотор». Герой Советского Союза гв. ст. л-т Орехов В.А. о работе мотора М-82ФН отзывался так: «Мотор в полёте работает хорошо на всех режимах. При бключении 2-й скорости нагнетателя наблюдается незначительное дымление, но отклонений в работе нет. При работе на форсаже свечи ВГ-12 отказывают через 2-3 мин непрерывной работы, свечи ВГ-25 (были установлены на моем самолёте) работали надежнее и на форсаже...».</w:t>
      </w:r>
    </w:p>
    <w:p w14:paraId="3A63C34D"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Механик самолета Орехова — гв. т/л-т Бочкарев С.П. в отзыве о работе мотора М-82ФН № 8211036 на самолёте Ла-5 № 39210223 указывал:</w:t>
      </w:r>
    </w:p>
    <w:p w14:paraId="20484681"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«За время эксплуатации в боевых условиях мотор М-82ФН работал хорошо, в экс</w:t>
      </w:r>
      <w:r w:rsidRPr="00D03F3E">
        <w:rPr>
          <w:rFonts w:ascii="Times New Roman" w:cs="Times New Roman"/>
          <w:color w:val="000000" w:themeColor="text1"/>
          <w:spacing w:val="0"/>
        </w:rPr>
        <w:softHyphen/>
        <w:t>плуатации мотор прост, устойчив малый газ и быстро обеспечивается боевая готов</w:t>
      </w:r>
      <w:r w:rsidRPr="00D03F3E">
        <w:rPr>
          <w:rFonts w:ascii="Times New Roman" w:cs="Times New Roman"/>
          <w:color w:val="000000" w:themeColor="text1"/>
          <w:spacing w:val="0"/>
        </w:rPr>
        <w:softHyphen/>
        <w:t>ность самолёта. Запуск мотора отличный.</w:t>
      </w:r>
    </w:p>
    <w:p w14:paraId="0FC57B10"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На моторе был заменен насос НБ-ЗУ из-за поломки возвратных пружин. Замена на</w:t>
      </w:r>
      <w:r w:rsidRPr="00D03F3E">
        <w:rPr>
          <w:rFonts w:ascii="Times New Roman" w:cs="Times New Roman"/>
          <w:color w:val="000000" w:themeColor="text1"/>
          <w:spacing w:val="0"/>
        </w:rPr>
        <w:softHyphen/>
        <w:t>соса в полевых условиях трудности не представила. По мотору существенным дефек</w:t>
      </w:r>
      <w:r w:rsidRPr="00D03F3E">
        <w:rPr>
          <w:rFonts w:ascii="Times New Roman" w:cs="Times New Roman"/>
          <w:color w:val="000000" w:themeColor="text1"/>
          <w:spacing w:val="0"/>
        </w:rPr>
        <w:softHyphen/>
        <w:t>том является течь масла из верхнего уплотнения кожухов тяг толкателей. На моторе были заменены резинки на 10 кожухах. Мотор с НВ обслуживать легче, меньше дефе</w:t>
      </w:r>
      <w:r w:rsidRPr="00D03F3E">
        <w:rPr>
          <w:rFonts w:ascii="Times New Roman" w:cs="Times New Roman"/>
          <w:color w:val="000000" w:themeColor="text1"/>
          <w:spacing w:val="0"/>
        </w:rPr>
        <w:softHyphen/>
        <w:t>ктов (в сравнении с карбюраторным мотором) и работает надежнее. За время боевой работы, лётчик самолёта Герой Советского Союза гв. ст. л-т Орехов сделал 60 боевых вылетов и мотор наработал 79 час 30 мин, из них в воздухе 67 час 41 мин» (15813).</w:t>
      </w:r>
    </w:p>
    <w:p w14:paraId="260ED122" w14:textId="77777777" w:rsidR="00287531" w:rsidRPr="00D03F3E" w:rsidRDefault="00287531" w:rsidP="00D03F3E">
      <w:pPr>
        <w:pStyle w:val="27"/>
        <w:shd w:val="clear" w:color="auto" w:fill="auto"/>
        <w:spacing w:after="0" w:line="240" w:lineRule="auto"/>
        <w:ind w:firstLine="0"/>
        <w:rPr>
          <w:rFonts w:ascii="Times New Roman" w:cs="Times New Roman"/>
          <w:color w:val="000000" w:themeColor="text1"/>
          <w:spacing w:val="0"/>
        </w:rPr>
      </w:pPr>
    </w:p>
    <w:p w14:paraId="2179C14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25 июня 1943 из 232 Як-6 171 ушли в ВВС, 3 - в ГВФ, 21 - на пердприятия НКАП и 37 - ожидали приемки (4830, 31).</w:t>
      </w:r>
    </w:p>
    <w:p w14:paraId="56F9401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1BECF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июня 1943г. Приказом НКАП № 377с в НИСО в полном составе влито ОКБ завода № 456 НКАП гл. конструктора М.Ф. Поликарпова по антиобледенителям и аппаратуре обогрева и жизнеобеспечения кабин.</w:t>
      </w:r>
    </w:p>
    <w:p w14:paraId="515EDEA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приказу № 579с от 1.10.1943г. при институте образована летная лаборатория с базированием на аэродроме завода № 482 НКАП на Ходынке. Далее в распоряжение НИСО была передана часть помещений завода № 81</w:t>
      </w:r>
    </w:p>
    <w:p w14:paraId="3F90907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НКАП (два ангара на Ходынке), куда была переведена ЛИС НИСО (приказ № 494с от 21.12.1945г.). В 08.1946г. один ангар передан обратно вновь образованному заводу № 81 МАП.</w:t>
      </w:r>
    </w:p>
    <w:p w14:paraId="280349B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1944г. создан универсальный регулятор температуры авиамоторов УРТ-НИСО.</w:t>
      </w:r>
    </w:p>
    <w:p w14:paraId="212F266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Приказом № 179сс от 28.02.1946г. на НИСО возложены работы по широкому кругу оборудования: авиационным радио- и </w:t>
      </w:r>
      <w:r w:rsidRPr="00D03F3E">
        <w:rPr>
          <w:rFonts w:ascii="Times New Roman" w:hAnsi="Times New Roman"/>
          <w:color w:val="000000" w:themeColor="text1"/>
          <w:sz w:val="16"/>
          <w:szCs w:val="16"/>
          <w:lang w:val="en-US"/>
        </w:rPr>
        <w:t>PJI</w:t>
      </w:r>
      <w:r w:rsidRPr="00D03F3E">
        <w:rPr>
          <w:rFonts w:ascii="Times New Roman" w:hAnsi="Times New Roman"/>
          <w:color w:val="000000" w:themeColor="text1"/>
          <w:sz w:val="16"/>
          <w:szCs w:val="16"/>
        </w:rPr>
        <w:t>-приборам, телемеханике, высотному оборудованию, автоматике управления самолетом и оружием. Проводились работы по оборудованию Як-9 системой телеуправления (1948-49г.), испытания Ту-2 с аппаратурой наведения. Заключения по радиотехническим объектам и антеннам.</w:t>
      </w:r>
    </w:p>
    <w:p w14:paraId="28E1171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1952г. в составе института действовала лаборатория навигационных приборов. Велась разработка автоматического секстанта («астроориентатора») для дальней авиации.</w:t>
      </w:r>
    </w:p>
    <w:p w14:paraId="5E4050E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1955г. НИСО передан из 7ГУ в 11ГУ МАП.</w:t>
      </w:r>
    </w:p>
    <w:p w14:paraId="646CB5E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Воссоздан в 1982г. как НИИАО (авиационного оборудования) из филиала ЛИИ.</w:t>
      </w:r>
    </w:p>
    <w:p w14:paraId="398B9F7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по электрооборудованию для РКТ.</w:t>
      </w:r>
    </w:p>
    <w:p w14:paraId="3C722AD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(1930-е)- Л.Ф. Иванов, (-23.01.1937г.)- Н.Г. Кильянов, (23.01-28.06.1937г.)- Г.В. Коренев, (7.07.1937г.)- Измаилов, (8.07.1937-2.02.1938г.)- И.А. Ткачев, (2.02-10.1938г.-)- Г.С. Игошин, М.О. Березин, (1941)- Фрадкин, (1942г.-)- г Н.И. Петров. Начальник (1943; -1945-46г.-)- Н.И. Петров, А.Ф. Фаломеев, (до 1944г.)- Г.А. Левин. И.О. начальника (07.1944г.)- Н.Д. Рязанцев.</w:t>
      </w:r>
    </w:p>
    <w:p w14:paraId="02E26F4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 начальника (1955г.)- Н.Д. Рязанцев.</w:t>
      </w:r>
    </w:p>
    <w:p w14:paraId="43D46D6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 инженер (1930-е)- Г.А. Левин, (1947г.-)- Н.Д. Рязанцев.</w:t>
      </w:r>
    </w:p>
    <w:p w14:paraId="477519F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Руководитель ОКБ - А.С. Абрамов.</w:t>
      </w:r>
    </w:p>
    <w:p w14:paraId="7272605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Начальник сектора (-1937г.)- Л.М. Кофман (11982).</w:t>
      </w:r>
    </w:p>
    <w:p w14:paraId="28E6BF4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43C56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июня 1943 вышло Постановление ГКО № 3648 О изменениях в оборудовании самолета А-20-Ж и обеспечении квалифицированными специалистами станций радиообнаружения и радионаведения.РГАНИР, Фонд ГКО, д. 128, лл. 203 (11012).</w:t>
      </w:r>
    </w:p>
    <w:p w14:paraId="3DF8E16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EAFB5E"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4B9F04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44D227" w14:textId="77777777" w:rsidR="00267D1F" w:rsidRPr="00D03F3E" w:rsidRDefault="00267D1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июня 1943 года по итогам рассмотрения проекта начальник УСА ГБТУ КА инже</w:t>
      </w:r>
      <w:r w:rsidRPr="00D03F3E">
        <w:rPr>
          <w:rFonts w:ascii="Times New Roman" w:hAnsi="Times New Roman"/>
          <w:color w:val="000000" w:themeColor="text1"/>
          <w:sz w:val="16"/>
          <w:szCs w:val="16"/>
        </w:rPr>
        <w:softHyphen/>
        <w:t>нер-полковник Алымов и начальник 3-го управления УСА ГБТУ КА инженер-подполковник Ковалев подготовили доклад:</w:t>
      </w:r>
    </w:p>
    <w:p w14:paraId="673EF8A2" w14:textId="77777777" w:rsidR="00267D1F" w:rsidRPr="00D03F3E" w:rsidRDefault="00267D1F" w:rsidP="00D03F3E">
      <w:pPr>
        <w:pStyle w:val="Bodytext141"/>
        <w:shd w:val="clear" w:color="auto" w:fill="auto"/>
        <w:spacing w:line="240" w:lineRule="auto"/>
        <w:ind w:firstLine="0"/>
        <w:jc w:val="both"/>
        <w:rPr>
          <w:i w:val="0"/>
          <w:color w:val="000000" w:themeColor="text1"/>
          <w:sz w:val="16"/>
          <w:szCs w:val="16"/>
        </w:rPr>
      </w:pPr>
      <w:r w:rsidRPr="00D03F3E">
        <w:rPr>
          <w:i w:val="0"/>
          <w:color w:val="000000" w:themeColor="text1"/>
          <w:sz w:val="16"/>
          <w:szCs w:val="16"/>
        </w:rPr>
        <w:t>«При рассмотрении проекта установлено:</w:t>
      </w:r>
    </w:p>
    <w:p w14:paraId="75D55037" w14:textId="77777777" w:rsidR="00267D1F" w:rsidRPr="00D03F3E" w:rsidRDefault="00267D1F" w:rsidP="00D03F3E">
      <w:pPr>
        <w:pStyle w:val="Bodytext141"/>
        <w:shd w:val="clear" w:color="auto" w:fill="auto"/>
        <w:tabs>
          <w:tab w:val="left" w:pos="2912"/>
        </w:tabs>
        <w:spacing w:line="240" w:lineRule="auto"/>
        <w:ind w:firstLine="0"/>
        <w:jc w:val="both"/>
        <w:rPr>
          <w:i w:val="0"/>
          <w:color w:val="000000" w:themeColor="text1"/>
          <w:sz w:val="16"/>
          <w:szCs w:val="16"/>
        </w:rPr>
      </w:pPr>
      <w:r w:rsidRPr="00D03F3E">
        <w:rPr>
          <w:i w:val="0"/>
          <w:color w:val="000000" w:themeColor="text1"/>
          <w:sz w:val="16"/>
          <w:szCs w:val="16"/>
        </w:rPr>
        <w:t>1. Изготовление 203-мм самоходной пушки на базе агрегатов освоенной заводом самоходной пушки СУ-152 вполне возможно.</w:t>
      </w:r>
    </w:p>
    <w:p w14:paraId="1373475E" w14:textId="77777777" w:rsidR="00267D1F" w:rsidRPr="00D03F3E" w:rsidRDefault="00267D1F" w:rsidP="00D03F3E">
      <w:pPr>
        <w:pStyle w:val="Bodytext141"/>
        <w:shd w:val="clear" w:color="auto" w:fill="auto"/>
        <w:tabs>
          <w:tab w:val="left" w:pos="2946"/>
        </w:tabs>
        <w:spacing w:line="240" w:lineRule="auto"/>
        <w:ind w:firstLine="0"/>
        <w:jc w:val="both"/>
        <w:rPr>
          <w:i w:val="0"/>
          <w:color w:val="000000" w:themeColor="text1"/>
          <w:sz w:val="16"/>
          <w:szCs w:val="16"/>
        </w:rPr>
      </w:pPr>
      <w:r w:rsidRPr="00D03F3E">
        <w:rPr>
          <w:i w:val="0"/>
          <w:color w:val="000000" w:themeColor="text1"/>
          <w:sz w:val="16"/>
          <w:szCs w:val="16"/>
        </w:rPr>
        <w:t>2. Максимальное использование агрегатов от освоенной в валовом про</w:t>
      </w:r>
      <w:r w:rsidRPr="00D03F3E">
        <w:rPr>
          <w:i w:val="0"/>
          <w:color w:val="000000" w:themeColor="text1"/>
          <w:sz w:val="16"/>
          <w:szCs w:val="16"/>
        </w:rPr>
        <w:softHyphen/>
        <w:t>изводстве самоходной установки СУ-152 позволит в короткий срок, при небольших производственных затратах, поставить на произ</w:t>
      </w:r>
      <w:r w:rsidRPr="00D03F3E">
        <w:rPr>
          <w:i w:val="0"/>
          <w:color w:val="000000" w:themeColor="text1"/>
          <w:sz w:val="16"/>
          <w:szCs w:val="16"/>
        </w:rPr>
        <w:softHyphen/>
        <w:t>водство предлагаемый образец самоходной артустановки.</w:t>
      </w:r>
    </w:p>
    <w:p w14:paraId="48859E84" w14:textId="77777777" w:rsidR="00267D1F" w:rsidRPr="00D03F3E" w:rsidRDefault="00267D1F" w:rsidP="00D03F3E">
      <w:pPr>
        <w:pStyle w:val="Bodytext141"/>
        <w:shd w:val="clear" w:color="auto" w:fill="auto"/>
        <w:tabs>
          <w:tab w:val="left" w:pos="2970"/>
        </w:tabs>
        <w:spacing w:line="240" w:lineRule="auto"/>
        <w:ind w:firstLine="0"/>
        <w:jc w:val="both"/>
        <w:rPr>
          <w:i w:val="0"/>
          <w:color w:val="000000" w:themeColor="text1"/>
          <w:sz w:val="16"/>
          <w:szCs w:val="16"/>
        </w:rPr>
      </w:pPr>
      <w:r w:rsidRPr="00D03F3E">
        <w:rPr>
          <w:i w:val="0"/>
          <w:color w:val="000000" w:themeColor="text1"/>
          <w:sz w:val="16"/>
          <w:szCs w:val="16"/>
        </w:rPr>
        <w:lastRenderedPageBreak/>
        <w:t>3. При проектировании М-17, в целях снижения общего веса всей си</w:t>
      </w:r>
      <w:r w:rsidRPr="00D03F3E">
        <w:rPr>
          <w:i w:val="0"/>
          <w:color w:val="000000" w:themeColor="text1"/>
          <w:sz w:val="16"/>
          <w:szCs w:val="16"/>
        </w:rPr>
        <w:softHyphen/>
        <w:t>стемы, допущено уменьшение толщины бронезащиты.</w:t>
      </w:r>
    </w:p>
    <w:p w14:paraId="491EFEBA" w14:textId="77777777" w:rsidR="00267D1F" w:rsidRPr="00D03F3E" w:rsidRDefault="00267D1F" w:rsidP="00D03F3E">
      <w:pPr>
        <w:pStyle w:val="Bodytext141"/>
        <w:shd w:val="clear" w:color="auto" w:fill="auto"/>
        <w:tabs>
          <w:tab w:val="left" w:pos="2955"/>
        </w:tabs>
        <w:spacing w:line="240" w:lineRule="auto"/>
        <w:ind w:firstLine="0"/>
        <w:jc w:val="both"/>
        <w:rPr>
          <w:i w:val="0"/>
          <w:color w:val="000000" w:themeColor="text1"/>
          <w:sz w:val="16"/>
          <w:szCs w:val="16"/>
        </w:rPr>
      </w:pPr>
      <w:r w:rsidRPr="00D03F3E">
        <w:rPr>
          <w:i w:val="0"/>
          <w:color w:val="000000" w:themeColor="text1"/>
          <w:sz w:val="16"/>
          <w:szCs w:val="16"/>
        </w:rPr>
        <w:t>4. Боекомплект М-17, в сравнении с СУ-152, уменьшен на 4 выстрела (16 выстрелов вместо 20 в СУ-152), что является существенным, так как мощность 203-мм выстрела значительно превосходит мощ</w:t>
      </w:r>
      <w:r w:rsidRPr="00D03F3E">
        <w:rPr>
          <w:i w:val="0"/>
          <w:color w:val="000000" w:themeColor="text1"/>
          <w:sz w:val="16"/>
          <w:szCs w:val="16"/>
        </w:rPr>
        <w:softHyphen/>
        <w:t>ность 152-мм выстрела.</w:t>
      </w:r>
    </w:p>
    <w:p w14:paraId="451EF811" w14:textId="77777777" w:rsidR="00267D1F" w:rsidRPr="00D03F3E" w:rsidRDefault="00267D1F" w:rsidP="00D03F3E">
      <w:pPr>
        <w:pStyle w:val="Bodytext141"/>
        <w:shd w:val="clear" w:color="auto" w:fill="auto"/>
        <w:tabs>
          <w:tab w:val="left" w:pos="2965"/>
        </w:tabs>
        <w:spacing w:line="240" w:lineRule="auto"/>
        <w:ind w:firstLine="0"/>
        <w:jc w:val="both"/>
        <w:rPr>
          <w:i w:val="0"/>
          <w:color w:val="000000" w:themeColor="text1"/>
          <w:sz w:val="16"/>
          <w:szCs w:val="16"/>
        </w:rPr>
      </w:pPr>
      <w:r w:rsidRPr="00D03F3E">
        <w:rPr>
          <w:i w:val="0"/>
          <w:color w:val="000000" w:themeColor="text1"/>
          <w:sz w:val="16"/>
          <w:szCs w:val="16"/>
        </w:rPr>
        <w:t>5. Скорострельность — один выстрел в 80 секунд для данного калибра можно считать допустимой.</w:t>
      </w:r>
    </w:p>
    <w:p w14:paraId="501F7D7D" w14:textId="77777777" w:rsidR="00267D1F" w:rsidRPr="00D03F3E" w:rsidRDefault="00267D1F" w:rsidP="00D03F3E">
      <w:pPr>
        <w:pStyle w:val="Bodytext141"/>
        <w:shd w:val="clear" w:color="auto" w:fill="auto"/>
        <w:tabs>
          <w:tab w:val="left" w:pos="2970"/>
        </w:tabs>
        <w:spacing w:line="240" w:lineRule="auto"/>
        <w:ind w:firstLine="0"/>
        <w:jc w:val="both"/>
        <w:rPr>
          <w:i w:val="0"/>
          <w:color w:val="000000" w:themeColor="text1"/>
          <w:sz w:val="16"/>
          <w:szCs w:val="16"/>
        </w:rPr>
      </w:pPr>
      <w:r w:rsidRPr="00D03F3E">
        <w:rPr>
          <w:i w:val="0"/>
          <w:color w:val="000000" w:themeColor="text1"/>
          <w:sz w:val="16"/>
          <w:szCs w:val="16"/>
        </w:rPr>
        <w:t>6. Размещение боеприпасов в боевом отделении, удобство заряжания и досылка снаряда спроектированы удовлетворительно, но требуют практической проверки на опытном образце.</w:t>
      </w:r>
    </w:p>
    <w:p w14:paraId="631E1207" w14:textId="77777777" w:rsidR="00267D1F" w:rsidRPr="00D03F3E" w:rsidRDefault="00267D1F" w:rsidP="00D03F3E">
      <w:pPr>
        <w:pStyle w:val="Bodytext141"/>
        <w:shd w:val="clear" w:color="auto" w:fill="auto"/>
        <w:tabs>
          <w:tab w:val="left" w:pos="2946"/>
        </w:tabs>
        <w:spacing w:line="240" w:lineRule="auto"/>
        <w:ind w:firstLine="0"/>
        <w:jc w:val="both"/>
        <w:rPr>
          <w:i w:val="0"/>
          <w:color w:val="000000" w:themeColor="text1"/>
          <w:sz w:val="16"/>
          <w:szCs w:val="16"/>
        </w:rPr>
      </w:pPr>
      <w:r w:rsidRPr="00D03F3E">
        <w:rPr>
          <w:i w:val="0"/>
          <w:color w:val="000000" w:themeColor="text1"/>
          <w:sz w:val="16"/>
          <w:szCs w:val="16"/>
        </w:rPr>
        <w:t>7. Общий вес машины 45,8 тонны для данной ходовой части является предельным и на опытном образце ни в коем случае не должен быть превышен.</w:t>
      </w:r>
    </w:p>
    <w:p w14:paraId="13A68CC8" w14:textId="77777777" w:rsidR="00267D1F" w:rsidRPr="00D03F3E" w:rsidRDefault="00267D1F" w:rsidP="00D03F3E">
      <w:pPr>
        <w:pStyle w:val="Bodytext141"/>
        <w:shd w:val="clear" w:color="auto" w:fill="auto"/>
        <w:spacing w:line="240" w:lineRule="auto"/>
        <w:ind w:firstLine="0"/>
        <w:jc w:val="both"/>
        <w:rPr>
          <w:i w:val="0"/>
          <w:color w:val="000000" w:themeColor="text1"/>
          <w:sz w:val="16"/>
          <w:szCs w:val="16"/>
        </w:rPr>
      </w:pPr>
      <w:r w:rsidRPr="00D03F3E">
        <w:rPr>
          <w:i w:val="0"/>
          <w:color w:val="000000" w:themeColor="text1"/>
          <w:sz w:val="16"/>
          <w:szCs w:val="16"/>
        </w:rPr>
        <w:t>Выводы и предложения</w:t>
      </w:r>
    </w:p>
    <w:p w14:paraId="7773A041" w14:textId="77777777" w:rsidR="00267D1F" w:rsidRPr="00D03F3E" w:rsidRDefault="00267D1F" w:rsidP="00D03F3E">
      <w:pPr>
        <w:pStyle w:val="Bodytext141"/>
        <w:shd w:val="clear" w:color="auto" w:fill="auto"/>
        <w:tabs>
          <w:tab w:val="left" w:pos="2941"/>
        </w:tabs>
        <w:spacing w:line="240" w:lineRule="auto"/>
        <w:ind w:firstLine="0"/>
        <w:jc w:val="both"/>
        <w:rPr>
          <w:i w:val="0"/>
          <w:color w:val="000000" w:themeColor="text1"/>
          <w:sz w:val="16"/>
          <w:szCs w:val="16"/>
        </w:rPr>
      </w:pPr>
      <w:r w:rsidRPr="00D03F3E">
        <w:rPr>
          <w:i w:val="0"/>
          <w:color w:val="000000" w:themeColor="text1"/>
          <w:sz w:val="16"/>
          <w:szCs w:val="16"/>
        </w:rPr>
        <w:t>8. Самоходная 203-мм пушка М-17 значительно превосходит по своей мощности 152-мм пушку.</w:t>
      </w:r>
    </w:p>
    <w:p w14:paraId="29D7E862" w14:textId="77777777" w:rsidR="00267D1F" w:rsidRPr="00D03F3E" w:rsidRDefault="00267D1F" w:rsidP="00D03F3E">
      <w:pPr>
        <w:pStyle w:val="Bodytext141"/>
        <w:shd w:val="clear" w:color="auto" w:fill="auto"/>
        <w:tabs>
          <w:tab w:val="left" w:pos="2998"/>
        </w:tabs>
        <w:spacing w:line="240" w:lineRule="auto"/>
        <w:ind w:firstLine="0"/>
        <w:jc w:val="both"/>
        <w:rPr>
          <w:i w:val="0"/>
          <w:color w:val="000000" w:themeColor="text1"/>
          <w:sz w:val="16"/>
          <w:szCs w:val="16"/>
        </w:rPr>
      </w:pPr>
      <w:r w:rsidRPr="00D03F3E">
        <w:rPr>
          <w:i w:val="0"/>
          <w:color w:val="000000" w:themeColor="text1"/>
          <w:sz w:val="16"/>
          <w:szCs w:val="16"/>
        </w:rPr>
        <w:t>9. Целесообразно для целей разрушения оборонительных сооружений противника наряду с СУ-152 иметь в составе самоходной артилле</w:t>
      </w:r>
      <w:r w:rsidRPr="00D03F3E">
        <w:rPr>
          <w:i w:val="0"/>
          <w:color w:val="000000" w:themeColor="text1"/>
          <w:sz w:val="16"/>
          <w:szCs w:val="16"/>
        </w:rPr>
        <w:softHyphen/>
        <w:t>рии установки, вооруженные 203-мм пушками.</w:t>
      </w:r>
    </w:p>
    <w:p w14:paraId="5AFABA5D" w14:textId="77777777" w:rsidR="00267D1F" w:rsidRPr="00D03F3E" w:rsidRDefault="00267D1F" w:rsidP="00D03F3E">
      <w:pPr>
        <w:pStyle w:val="Bodytext141"/>
        <w:shd w:val="clear" w:color="auto" w:fill="auto"/>
        <w:tabs>
          <w:tab w:val="left" w:pos="2935"/>
        </w:tabs>
        <w:spacing w:line="240" w:lineRule="auto"/>
        <w:ind w:firstLine="0"/>
        <w:jc w:val="both"/>
        <w:rPr>
          <w:i w:val="0"/>
          <w:color w:val="000000" w:themeColor="text1"/>
          <w:sz w:val="16"/>
          <w:szCs w:val="16"/>
        </w:rPr>
      </w:pPr>
      <w:r w:rsidRPr="00D03F3E">
        <w:rPr>
          <w:i w:val="0"/>
          <w:color w:val="000000" w:themeColor="text1"/>
          <w:sz w:val="16"/>
          <w:szCs w:val="16"/>
        </w:rPr>
        <w:t>10. Вес самоходной пушки М-17не должен превышать вес СУ-152.</w:t>
      </w:r>
    </w:p>
    <w:p w14:paraId="5FCC558E" w14:textId="77777777" w:rsidR="00267D1F" w:rsidRPr="00D03F3E" w:rsidRDefault="00267D1F" w:rsidP="00D03F3E">
      <w:pPr>
        <w:pStyle w:val="Bodytext141"/>
        <w:shd w:val="clear" w:color="auto" w:fill="auto"/>
        <w:tabs>
          <w:tab w:val="left" w:pos="2979"/>
        </w:tabs>
        <w:spacing w:line="240" w:lineRule="auto"/>
        <w:ind w:firstLine="0"/>
        <w:jc w:val="both"/>
        <w:rPr>
          <w:i w:val="0"/>
          <w:color w:val="000000" w:themeColor="text1"/>
          <w:sz w:val="16"/>
          <w:szCs w:val="16"/>
        </w:rPr>
      </w:pPr>
      <w:r w:rsidRPr="00D03F3E">
        <w:rPr>
          <w:i w:val="0"/>
          <w:color w:val="000000" w:themeColor="text1"/>
          <w:sz w:val="16"/>
          <w:szCs w:val="16"/>
        </w:rPr>
        <w:t>11. В целях проверки возможности использования для вооружения са</w:t>
      </w:r>
      <w:r w:rsidRPr="00D03F3E">
        <w:rPr>
          <w:i w:val="0"/>
          <w:color w:val="000000" w:themeColor="text1"/>
          <w:sz w:val="16"/>
          <w:szCs w:val="16"/>
        </w:rPr>
        <w:softHyphen/>
        <w:t>моходных установок 203-мм пушки считаю целесообразным выпол</w:t>
      </w:r>
      <w:r w:rsidRPr="00D03F3E">
        <w:rPr>
          <w:i w:val="0"/>
          <w:color w:val="000000" w:themeColor="text1"/>
          <w:sz w:val="16"/>
          <w:szCs w:val="16"/>
        </w:rPr>
        <w:softHyphen/>
        <w:t>нить по проекту завода №172, с учетом замечаний УСА ГБТУ КА, опытный образец самохода и представить его на испытания ГБТУ КА и ГАУ КА для принятия окончательного решения»'.</w:t>
      </w:r>
    </w:p>
    <w:p w14:paraId="3CFB0546" w14:textId="77777777" w:rsidR="00267D1F" w:rsidRPr="00D03F3E" w:rsidRDefault="00267D1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Подобные выводы, казалось, откроют проекту зеленый свет, и штур</w:t>
      </w:r>
      <w:r w:rsidRPr="00D03F3E">
        <w:rPr>
          <w:rFonts w:ascii="Times New Roman" w:hAnsi="Times New Roman"/>
          <w:color w:val="000000" w:themeColor="text1"/>
          <w:sz w:val="16"/>
          <w:szCs w:val="16"/>
        </w:rPr>
        <w:softHyphen/>
        <w:t>мовая САУ с 203-мм гаубицей наконец будет реализована в металле. Но так думали в Управлении самоходной артиллерии, а артиллеристы оказались совсем иного мнения. Основной задачей М-17 являлось раз</w:t>
      </w:r>
      <w:r w:rsidRPr="00D03F3E">
        <w:rPr>
          <w:rFonts w:ascii="Times New Roman" w:hAnsi="Times New Roman"/>
          <w:color w:val="000000" w:themeColor="text1"/>
          <w:sz w:val="16"/>
          <w:szCs w:val="16"/>
        </w:rPr>
        <w:softHyphen/>
        <w:t>рушение вражеских укреплений, а здесь обнаружились нюансы. Расчет проникновения бетонобойного снаряда гаубицы М-40 показал, что на дистанции в 2000 метров его данные были выше бетонобойного снаря</w:t>
      </w:r>
      <w:r w:rsidRPr="00D03F3E">
        <w:rPr>
          <w:rFonts w:ascii="Times New Roman" w:hAnsi="Times New Roman"/>
          <w:color w:val="000000" w:themeColor="text1"/>
          <w:sz w:val="16"/>
          <w:szCs w:val="16"/>
        </w:rPr>
        <w:softHyphen/>
        <w:t>да МЛ-20 всего на 4%, на дистанции 1000 метров характеристики урав</w:t>
      </w:r>
      <w:r w:rsidRPr="00D03F3E">
        <w:rPr>
          <w:rFonts w:ascii="Times New Roman" w:hAnsi="Times New Roman"/>
          <w:color w:val="000000" w:themeColor="text1"/>
          <w:sz w:val="16"/>
          <w:szCs w:val="16"/>
        </w:rPr>
        <w:softHyphen/>
        <w:t xml:space="preserve">нивались, а на дальности 200 метров ниже на 6%! А ведь именно на этих дистанциях предстояло вести огонь по вражеским ДОТам. Таким образом, в целесообразности постройки М-17 были высказаны огромные </w:t>
      </w:r>
      <w:r w:rsidRPr="00D03F3E">
        <w:rPr>
          <w:rStyle w:val="Tablecaption2"/>
          <w:rFonts w:ascii="Times New Roman" w:hAnsi="Times New Roman"/>
          <w:color w:val="000000" w:themeColor="text1"/>
          <w:sz w:val="16"/>
          <w:szCs w:val="16"/>
        </w:rPr>
        <w:t>сомнения, что отмечалось в письме Артиллерийского комитета ГАУ КА, датированном 26 июля 1943 года (17484)</w:t>
      </w:r>
    </w:p>
    <w:p w14:paraId="05061C5C" w14:textId="77777777" w:rsidR="00267D1F" w:rsidRPr="00D03F3E" w:rsidRDefault="00267D1F" w:rsidP="00D03F3E">
      <w:pPr>
        <w:spacing w:after="0" w:line="240" w:lineRule="auto"/>
        <w:jc w:val="both"/>
        <w:rPr>
          <w:rFonts w:ascii="Times New Roman" w:hAnsi="Times New Roman"/>
          <w:color w:val="000000" w:themeColor="text1"/>
          <w:sz w:val="16"/>
          <w:szCs w:val="16"/>
        </w:rPr>
      </w:pPr>
    </w:p>
    <w:p w14:paraId="567AA54D"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июня 1943 года на заседании технического совета артиллерийского комитета наркомата вооружения (НКВ) приняли решение поручить Центральному артиллерийскому конструкторскому бюро (ЦАКБ) НКВ разработать для вооружения танка Т-34 76-мм пушку С-54 повышенной мощности и 85-мм С-31 и С-50, а заводу № 183 проработать вариант установки 85-мм танковой пушки Д5-Т в тридцатьчетверку (12217).</w:t>
      </w:r>
    </w:p>
    <w:p w14:paraId="3A24576F" w14:textId="77777777" w:rsidR="00FD6DE2" w:rsidRPr="00D03F3E" w:rsidRDefault="00FD6DE2" w:rsidP="00D03F3E">
      <w:pPr>
        <w:spacing w:after="0" w:line="240" w:lineRule="auto"/>
        <w:jc w:val="both"/>
        <w:rPr>
          <w:rFonts w:ascii="Times New Roman" w:hAnsi="Times New Roman"/>
          <w:color w:val="000000" w:themeColor="text1"/>
          <w:sz w:val="16"/>
          <w:szCs w:val="16"/>
        </w:rPr>
      </w:pPr>
    </w:p>
    <w:p w14:paraId="1F3B1CB6"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июня 1943 года начальником ГАУ РККА генерал-полковником Яковлевым был утвержден протокол совместного решения представителей ГАУ, Управления оборонного строительства и управления укрепраионов Генерального Штаба по поводу использования «танковых башен с вооружением и подбашенных коробок, снимаемых заводом № 37 НКТП с танков Т-3 и „Артштурм“ при переделке последних в самоходки СУ-76И».</w:t>
      </w:r>
    </w:p>
    <w:p w14:paraId="39C92E5C"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Сообщалось, что на заводе скопилось до 150 комплектов башен и рубок с 37, 50, 75 и 105-мм пушками, при этом вооружение в большинстве своем некомплектно и с выведенными из строя механизмами. Предполагалось использовать «башни и подбашенные короба на оборонительных рубежах в крупных населенных пунктах как огневые точки для борьбы с танками и пехотой противника». При этом штатное вооружение планировалось заменить на отечественные 45, 47 и 76-мм орудия, для чего артиллерийскому комитету ГАУ поручалась разработать варианты такого перевооружения и испытать их.</w:t>
      </w:r>
    </w:p>
    <w:p w14:paraId="76045AC2"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в течение месяца ничего сделано не было, и 24 июля заместитель директора завода № 37 А. Филькин уведомил Федоренко о том, что «завод приступает к вывозке этих башен и пушек на базы Главчермета». Это решение было утверждено руководством ГБТУ КА спустя пять дней (12688).</w:t>
      </w:r>
    </w:p>
    <w:p w14:paraId="201AAE6D" w14:textId="77777777" w:rsidR="00FD6DE2" w:rsidRPr="00D03F3E" w:rsidRDefault="00FD6DE2" w:rsidP="00D03F3E">
      <w:pPr>
        <w:spacing w:after="0" w:line="240" w:lineRule="auto"/>
        <w:jc w:val="both"/>
        <w:rPr>
          <w:rFonts w:ascii="Times New Roman" w:hAnsi="Times New Roman"/>
          <w:color w:val="000000" w:themeColor="text1"/>
          <w:sz w:val="16"/>
          <w:szCs w:val="16"/>
        </w:rPr>
      </w:pPr>
    </w:p>
    <w:p w14:paraId="3AA25F71" w14:textId="77777777" w:rsidR="00E10C4E" w:rsidRPr="00D03F3E" w:rsidRDefault="00E10C4E"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25 июня 1943 г. вышел приказ № 282, на основании которого на ульяновском филиале ЗИСа (УльЗИС) разрабатывался 3,5-тонный дизельный грузовик «253». Однако первый его образец был вначале построен в НАТИ в июне 1944 г., а на самом заводе такая возможность появилась только к 1945 г. Но еще в мае 1944 г. на УльЗИСе был изготовлен ходовой макет с дизелем GMC-3-71 (снятым, скорее всего, с арттягача «Аллис-Чалмерс» HD-7). Этот силовой агрегат со штатной КПП «Спайсер» (той же «карданной» фирмы) на выходе имел существенно больший крутящий момент, чем карбюраторный мотор ЗИС-5 (209,7 кг/см против 180,5 кг/см – у ЗИС-5), поэтому использование шасси обычного ЗИС-5 (самой распространенной тогда на УльЗИСе машины) под такой макет представлялось проблематичным. Довоенный ЗИС-5 и так «славился» поломками главной передачи (а точнее – ведущей конической шестерни и ее заднего подшипника № 310) и карданного вала. Поэтому и возникла идея поставить дизель «Джи-Эм-Си» именно на вездеход ЗИС32 с возможностью раздачи крутящего момента на два ведущих моста. Даже с учетом «неспокойной» работы 3-цилиндрового дизеля с большими крутильными колебаниями для двух ведущих мостов такая нагрузка уже не была чрезмерной.  По воспоминаниям ветеранов завода, во время эвакуации московского ЗИСа, да и потом в Ульяновске, наряду с обычными трехтонками эксплуатировались и несколько полноприводных ЗИС-32. На них везли в 1941-м техдокументацию, людей, ценное оборудование. На УльЗИСе даже после реэвакуации части завода обратно в Москву их оставалось не менее 10 экземпляров, так что и в 1944 г. найти одну такую машину под ходовой макет проблем не составило.  Между тем дизель «3-71» с навешенными спереди и позади него обслуживающими агрегатами был отнюдь не малых размеров и в совокупности с более мощным радиатором занимал гораздо больше места, чем «родной» двигатель ЗИС-5 (или ЗИС-16), поэтому у автомобиля появился иной, более объемный и длинный капот с обтекаемой наклонной облицовкой радиатора в стиле легковых автомобилей 1930-х годов. Кроме того, этот образец оборудовали и цельнометаллической отапливаемой кабиной обтекаемой формы от ленд-лизовского «Шевроле» G7107, ввиду чего безымянный прототип этот (условно его можно назвать «УльЗИС-32Д») внешне стал очень сильно отличаться от обычного серийного ЗИС-32 образца 1941 г. В 1945 г. этот интересный грузовик наряду с опытным экземпляром УльЗИС-253 совершил испытательный пробег «Москва-Ульяновск», однако никаких сведений о его дальнейшей судьбе не сохранилось. Скорее всего, машина, как и все прочие, отработав свое, пошла прямиком на переплавку.  Интересно, что через полтора десятка лет тема полноприводных «трехтонок» получила еще одно неожиданное продолжение уже на Урале. На шасси последнего варианта «трехтонки» УралЗИС-353 (в серийном производстве – Урал-355М) в Миассе был разработан полноприводный УралЗИС-381. Строго говоря, «355М» уже не являлся «трехтонкой», это была во многом новая и весьма удачная машина для села. Полноприводный же ее вариант обещал быть еще более продвинутым в плане проходимости. Но, увы, и на этот раз дело ограничилось всего лишь десятком экземпляров. УралАЗ всеми силами готовился к производству принципиально нового семейства большегрузных вездеходов Урал-375 (кстати, «выросших» из «020-го» детища того же Коротоношко). Это были машины «завтрашнего дня». Поэтому «сегодняшний», а кое-где уже и «вчерашний» УралЗИС-381 при всех его достоинствах и даже превосходстве над ГАЗ-63 вновь, и теперь уже окончательно, оказался лишним (17499). </w:t>
      </w:r>
    </w:p>
    <w:p w14:paraId="023455B6" w14:textId="77777777" w:rsidR="00E10C4E" w:rsidRPr="00D03F3E" w:rsidRDefault="00E10C4E" w:rsidP="00D03F3E">
      <w:pPr>
        <w:spacing w:after="0" w:line="240" w:lineRule="auto"/>
        <w:jc w:val="both"/>
        <w:rPr>
          <w:rFonts w:ascii="Times New Roman" w:hAnsi="Times New Roman"/>
          <w:color w:val="000000" w:themeColor="text1"/>
          <w:sz w:val="16"/>
          <w:szCs w:val="16"/>
        </w:rPr>
      </w:pPr>
    </w:p>
    <w:p w14:paraId="2CC8CA8F"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июня 1943 года вышел приказ № 327с НКВ</w:t>
      </w:r>
    </w:p>
    <w:p w14:paraId="2E0FA692"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исполнение распоряжения СНК от 20 июня 1943 года за № 12108-рс:</w:t>
      </w:r>
    </w:p>
    <w:p w14:paraId="2975F89F"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СНК обязал НКВ передать НКВД недостроенный завод № 313 НКВ в Комсомольске (6435, 33).</w:t>
      </w:r>
    </w:p>
    <w:p w14:paraId="2DCFAD7A"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3EE043"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июня 1943 вышло Постановление ГКО № 3646 О подготовке аэросанного парка Красной Армии к зиме 1943-1944 г. (7117, 172-175,176-201).</w:t>
      </w:r>
    </w:p>
    <w:p w14:paraId="6E2E33FE"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8D8650"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3966B2C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E49485"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25 июня</w:t>
      </w:r>
      <w:r w:rsidRPr="00D03F3E">
        <w:rPr>
          <w:rFonts w:ascii="Times New Roman" w:hAnsi="Times New Roman"/>
          <w:color w:val="000000" w:themeColor="text1"/>
          <w:sz w:val="16"/>
          <w:szCs w:val="16"/>
        </w:rPr>
        <w:t xml:space="preserve"> в 1943 году утреннее сообщение Совинформбюро:</w:t>
      </w:r>
    </w:p>
    <w:p w14:paraId="63227633"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25 июня на фронте ничего существенного не произошло.</w:t>
      </w:r>
    </w:p>
    <w:p w14:paraId="3C1D7219"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Нашей авиацией в Баренцевом море потоплены два сторожевых катера и транспорт противника.</w:t>
      </w:r>
    </w:p>
    <w:p w14:paraId="50AEEE51"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на одном участке наше подразделение ружейно-пулемётным огнём рассеяло отряд немецких разведчиков. У проволочных заграждений осталось 40 вражеских трупов. Снайперы младший сержант т. Якименко и красноармеец т. Чернов заметили, что немецкие солдаты выкатили орудие на опушку леса и готовятся открыть стрельбу. Двумя выстрелами советские снайперы убили двух вражеских артиллеристов. Остальные, бросив пушку, разбежались.</w:t>
      </w:r>
    </w:p>
    <w:p w14:paraId="61F96CF8"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старший сержант т. Мишенин дал три очереди из пулемёта по летевшему над нашими позициями немецкому самолёту. Самолёт задымился и стал терять высоту. Сержант Мишенин выпустил ещё несколько очередей, и вражеский самолёт врезался в землю близ нашего переднего края.</w:t>
      </w:r>
    </w:p>
    <w:p w14:paraId="38D6543D"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две группы пехоты противника пытались боем разведать позиции наших частей. Советские подразделения вовремя заметили движение немцев, подпустили их на близкое расстояние и открыли огонь из всех видов пехотного оружия. Большинство наступавших гитлеровцев было уничтожено, а остальные в беспорядке отступили.</w:t>
      </w:r>
    </w:p>
    <w:p w14:paraId="116A8274"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Вечером девять немецких бомбардировщиков под прикрытием истребителей пытались совершить налёт на наш аэродром. Попав в зону сильного заградительного огня зенитной артиллерии, немецкие бомбардировщики, не достигнув цели, сбросили бомбы, которые упали в поле и не причинили никакого вреда. Наши истребители, поднявшиеся в воздух, вступили в бой с противником. Советские лётчики сбили пять немецких самолётов.</w:t>
      </w:r>
    </w:p>
    <w:p w14:paraId="3E1B4AE5"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подразделения и снайперы уничтожили 270 солдат и офицеров противника. Снайпер Иван Денисенко застрелил трёх вражеских солдат. Всего с начала войны он убил 120 немцев. Огнём артиллерии и миномётов разрушенои повреждено 29 дзотов и блиндажей, взорвано 3 склада боеприпасов противника.</w:t>
      </w:r>
    </w:p>
    <w:p w14:paraId="38151A38"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Партизанский отряд, действующий в одном из районов Ленинградской области, в течение нескольких дней вёл упорные бои с немецкой карательной экспедицией. Противник потерял убитыми 108 солдат и офицеров и был вынужден отступить. Партизаны захватили в плен 5 немецких солдат и переводчика. Партизаны другого ленинградского отряда уничтожили на шоссейной дороге легковую и две грузовые автомашины, убили немецкого полковника, капитана и 15 солдат противника.</w:t>
      </w:r>
    </w:p>
    <w:p w14:paraId="1C9BA6D2"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обер-ефрейтор 1 роты 698 полка 342 немецкой пехотной дивизия Вильгельм Рушкевич рассказал: «Недавно советская авиация произвела налёт на военные объекты в городе Ельне. Сброшенными бомбами разрушены продовольственные склады 9 немецкого армейского корпуса и 342 дивизии. Полностью уничтожены мучные склады, склады консервов и склад горючего. При налёте было убито и ранено много солдат гарнизона».</w:t>
      </w:r>
    </w:p>
    <w:p w14:paraId="1A5B7CEA"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Жители деревни Нижняя Залегощь, Орловской области, освобождённой от гитлеровцев во время зимнего наступления Красной Армии, на днях нашли в каменном погребе трупы шести советских граждан, замученных немцами. Дверь погреба была засыпана землёй, а вытяжные трубы завалены камнями. Таким образом приток воздуха в подвал был прекращён. В подвале немецко-фашистские мерзавцы задушили девочку пяти лет, четырёх женщин и мужчину в возрасте 50 лет.</w:t>
      </w:r>
    </w:p>
    <w:p w14:paraId="42D3E072"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югославских партизан совершила смелый налёт на немецкий аэродром, расположенный близ г. Загреба. Патриоты перебили охрану аэродрома, сожгли 30 самолётов и аэродромные сооружения. Партизаны захватили в плен 55 немцев. Близ населённого пункта Грачаница патриоты ворвались в расположение немецкой зенитной батареи и уничтожили орудие и прожекторы. Несколько гитлеровцев взято в плен.» (14933).</w:t>
      </w:r>
    </w:p>
    <w:p w14:paraId="55563B2C" w14:textId="77777777" w:rsidR="009772B1" w:rsidRPr="00D03F3E" w:rsidRDefault="009772B1" w:rsidP="00D03F3E">
      <w:pPr>
        <w:spacing w:after="0" w:line="240" w:lineRule="auto"/>
        <w:jc w:val="both"/>
        <w:rPr>
          <w:rFonts w:ascii="Times New Roman" w:hAnsi="Times New Roman"/>
          <w:color w:val="000000" w:themeColor="text1"/>
          <w:sz w:val="16"/>
          <w:szCs w:val="16"/>
        </w:rPr>
      </w:pPr>
    </w:p>
    <w:p w14:paraId="6828E4F1"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25 июня</w:t>
      </w:r>
      <w:r w:rsidRPr="00D03F3E">
        <w:rPr>
          <w:rFonts w:ascii="Times New Roman" w:hAnsi="Times New Roman"/>
          <w:color w:val="000000" w:themeColor="text1"/>
          <w:sz w:val="16"/>
          <w:szCs w:val="16"/>
        </w:rPr>
        <w:t xml:space="preserve"> в 1943 году вечернее сообщение Совинформбюро:</w:t>
      </w:r>
    </w:p>
    <w:p w14:paraId="03E3E937"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течение 25 июня на фронте ничего существенного не произошло.</w:t>
      </w:r>
    </w:p>
    <w:p w14:paraId="59769987"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отдельных участках Западного фронта мелкие группы нашей пехоты вели разведку переднего края обороны противника. Огнём артиллерии и пехотного оружия уничтожено до роты гитлеровцев, разбито 5 пулемётов, подавлен огонь нескольких артиллерийских и миномётных батарей противника.</w:t>
      </w:r>
    </w:p>
    <w:p w14:paraId="35ECB2E0"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участке Калининского фронта наши подразделения после артиллерийского обстрела атаковали противника и овладели населённым пунктом. Немцы в течение дня трижды бросались в контратаки, но каждый раз несли большие потери и откатывались обратно. В течение дня в ходе боя нашими подразделениями уничтожено до 600 немецких солдат и офицеров. Захвачены у противника 6 миномётов, более 100 винтовок, 2 радиостанции и другие трофеи. Взяты пленные.</w:t>
      </w:r>
    </w:p>
    <w:p w14:paraId="54970541"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районе Лисичанска наши артиллеристы обстреливали обнаруженные наблюдателями цели в расположении противника. Артиллерийским огнём уничтожено 3 автомашины и 6 повозок с военными грузами, разрушены 2 блиндажа и наблюдательный пункт. Советские истребители, патрулировавшие в воздухе, перехватили группу вражеских самолётов и вступили с ними в бой. Наши лётчики сбили 2 немецких самолёта.</w:t>
      </w:r>
    </w:p>
    <w:p w14:paraId="40B16C33"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советские лётчики в воздушных боях уничтожили 6 немецких самолётов. Гвардии капитан Алелюхин сбил немецкий бомбардировщик. Два лётчика из состава экипажа взяты в плен. По одному вражескому самолёту сбили гвардии старший лейтенант Ершов, младший лейтенант Михайлов и старший лейтенант Головачёв. Два немецких истребителя «Мессершмитт-109» уничтожили гвардии лейтенант Костырко и гвардии старший лейтенант Тарасов.</w:t>
      </w:r>
    </w:p>
    <w:p w14:paraId="7190B558"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наши снайперы истребили 85 гитлеровцев. Огневыми налётами на оборонительные сооружения немцев советские артиллеристы разрушили 14 дзотов, 12 блиндажей и взорвали склад боеприпасов противника. На одном участке миномётчики обнаружили скопление пехоты противника и открыли огонь. Немцы бросились бежать в разные стороны. Этим воспользовались наши стрелки. Снайперы тт. Наседкин, Бардуков, Кулаков, Приходько, Родионов, Баранов и Савин истребили 20 немецких солдат.</w:t>
      </w:r>
    </w:p>
    <w:p w14:paraId="5789E27C"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первой половине июня несколько украинских партизанских отрядов нанесли ряд ударов по путям сообщения противника. Действуя на весьма важных участках железных дорог, партизаны-подрывники пустили под откос 25 вражеских эшелонов с живой силой, боевой техникой и горючим. Разбито 173 вагона, 116 платформ, 124 автомашины, несколько танков и цистерн с бензином.</w:t>
      </w:r>
    </w:p>
    <w:p w14:paraId="5FC29014"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Польские партизаны уничтожили 8 германских офицеров и чиновников. В Ржешеве убит немец Герман Больвег, руководивший насильственной отправкой поляков на каторгу в Германию. В Радоме убит фашистский чиновник Освальд Фрубус. Близ Радома польские патриоты пустили под откос немецкий поезд с боеприпасами. B районе Осьвенцима вооружённая группа поляков обстреляла поезд с немецкими солдатами.</w:t>
      </w:r>
    </w:p>
    <w:p w14:paraId="461E31B9"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Берлинское радио 24 июня сообщило: «Немецкие войска производили атаки на позиции советских войск на участке фронта в районе Демянска, а также южнее озера Ильмень. В результате этих атак были уничтожены бесчисленные оборонительные пункты противника, много блиндажей и захвачено в плен большое количество советских солдат и офицеров».</w:t>
      </w:r>
    </w:p>
    <w:p w14:paraId="0F66539C"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этом немецком сообщении нет ни слова правды. В районе южнее озера Ильмень уже продолжительное время царит полное затишье. Гитлеровцы не предпринимали н аэтом участке фронта ни одной атаки, не уничтожили ни одного оборонительного пункта, не могли захватить и не захватили в плен ни большого, ни малого количества советских солдат и офицеров. Короче говоря, это сообщение берлинского радио представляет собой сплошное враньё.» (14933).</w:t>
      </w:r>
    </w:p>
    <w:p w14:paraId="63A2537F" w14:textId="77777777" w:rsidR="009772B1" w:rsidRPr="00D03F3E" w:rsidRDefault="009772B1" w:rsidP="00D03F3E">
      <w:pPr>
        <w:spacing w:after="0" w:line="240" w:lineRule="auto"/>
        <w:jc w:val="both"/>
        <w:rPr>
          <w:rFonts w:ascii="Times New Roman" w:hAnsi="Times New Roman"/>
          <w:color w:val="000000" w:themeColor="text1"/>
          <w:sz w:val="16"/>
          <w:szCs w:val="16"/>
        </w:rPr>
      </w:pPr>
    </w:p>
    <w:p w14:paraId="656A287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июня 1943 был составлен акт по результатам оценки боеготовности ВНОС завода Комбайн, проведенного после налета авиации противника в ночь с 23 на 24 июня с.г. Бомбили одиночные Не-111 и группы из 3-5 машин. Всего произвели 5-6 заходов и сбросили около 60 фугасно-зажигательных бомб. Разрушили и зажгли 4 корпуса. Сначала работало 6 пожарных машин завода, затем прибыло еще 17 (2519,180).</w:t>
      </w:r>
    </w:p>
    <w:p w14:paraId="349E7A2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C1E53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25 июня 1943, за 10 дней до начала Курской битвы за 20 вылетов экипаж майора П. Гаврилова из 99-го гв. орап отснял площадь в 625 км2 (4476).</w:t>
      </w:r>
    </w:p>
    <w:p w14:paraId="2F844DA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A38FC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на 25 июня 1943 бомбардировщики 4-го авиакорпуса Люфтваффе совершили налет на железнодорожный узел Балашов. Основными объектами бомбометания стали станция и аэродром, на которые были сброшены 239 фугасных и осколочных, а также 35 тяжелых зажигательных бомб. В результате возникших пожаров сгорели 92 вагона с воинскими грузами, а также вышли из строя 30 секций железнодорожного пути. Кроме того, в прилегающих поселках были разрушены девять жилых домов. В ликвидации последствий налета принимали участие 150 человек из объектовых и участковых формирований МПВО, 80 пожарных с семью авто насосами, один пожарный поезд, а также железнодорожники. Работы велись всю ночь, а затем еще трое суток. Пожары были ликвидированы через два часа, а движение поездов частично восстановлено через шесть-семь часов (11774).</w:t>
      </w:r>
    </w:p>
    <w:p w14:paraId="7ACFA12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664989"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июня 1943 вышло Постановление ГКО № 3647 Об утверждении сметы Разведывательного управления Генерального штаба Красной Армии на инвалюту на июнь - декабрь 1943 г. (7117, 202).</w:t>
      </w:r>
    </w:p>
    <w:p w14:paraId="111FCF3C"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5DE8B2"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09B4BB7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88DD62" w14:textId="77777777" w:rsidR="009772B1" w:rsidRPr="00D03F3E" w:rsidRDefault="009772B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25 июня</w:t>
      </w:r>
      <w:r w:rsidRPr="00D03F3E">
        <w:rPr>
          <w:rFonts w:ascii="Times New Roman" w:hAnsi="Times New Roman"/>
          <w:color w:val="000000" w:themeColor="text1"/>
          <w:sz w:val="16"/>
          <w:szCs w:val="16"/>
        </w:rPr>
        <w:t xml:space="preserve"> в 1943 году впервые поднялся в воздух экспериментальный самолет-бесхвостка </w:t>
      </w:r>
      <w:hyperlink r:id="rId213" w:tgtFrame="_blank" w:history="1">
        <w:r w:rsidRPr="00D03F3E">
          <w:rPr>
            <w:rFonts w:ascii="Times New Roman" w:hAnsi="Times New Roman"/>
            <w:color w:val="000000" w:themeColor="text1"/>
            <w:sz w:val="16"/>
            <w:szCs w:val="16"/>
          </w:rPr>
          <w:t xml:space="preserve">«Handley Page» «H.P.75» «Manx» </w:t>
        </w:r>
      </w:hyperlink>
      <w:r w:rsidRPr="00D03F3E">
        <w:rPr>
          <w:rFonts w:ascii="Times New Roman" w:hAnsi="Times New Roman"/>
          <w:color w:val="000000" w:themeColor="text1"/>
          <w:sz w:val="16"/>
          <w:szCs w:val="16"/>
        </w:rPr>
        <w:t xml:space="preserve">спроектированный конструктором Густавом Лачманом в 1942 году. Единственный прототип самолета, оборудованный двумя двигателями «de Havilland» «Gipsy Major II» мощность 140 л.с., был закончен весной 1943 года. 14-го мая начались наземные испытания </w:t>
      </w:r>
      <w:hyperlink r:id="rId214" w:tgtFrame="_blank" w:history="1">
        <w:r w:rsidRPr="00D03F3E">
          <w:rPr>
            <w:rFonts w:ascii="Times New Roman" w:hAnsi="Times New Roman"/>
            <w:color w:val="000000" w:themeColor="text1"/>
            <w:sz w:val="16"/>
            <w:szCs w:val="16"/>
          </w:rPr>
          <w:t xml:space="preserve">« «H.P.75». </w:t>
        </w:r>
      </w:hyperlink>
      <w:r w:rsidRPr="00D03F3E">
        <w:rPr>
          <w:rFonts w:ascii="Times New Roman" w:hAnsi="Times New Roman"/>
          <w:color w:val="000000" w:themeColor="text1"/>
          <w:sz w:val="16"/>
          <w:szCs w:val="16"/>
        </w:rPr>
        <w:t>Испытания самолета продолжались до ноября 1945 года. За это время «Manx» успел налетать более 17 часов. Продолжению полетов помещала трагедия - двое главных ответственных за проведения испытаний погибли при катастрофе «Hermes» «Mk.I». После этих событий «H.P.75» поднялся в воздух только два раза, а затем проект был свернут (14933).</w:t>
      </w:r>
    </w:p>
    <w:p w14:paraId="1EA1DCEF" w14:textId="77777777" w:rsidR="009772B1" w:rsidRPr="00D03F3E" w:rsidRDefault="009772B1" w:rsidP="00D03F3E">
      <w:pPr>
        <w:spacing w:after="0" w:line="240" w:lineRule="auto"/>
        <w:jc w:val="both"/>
        <w:rPr>
          <w:rFonts w:ascii="Times New Roman" w:hAnsi="Times New Roman"/>
          <w:color w:val="000000" w:themeColor="text1"/>
          <w:sz w:val="16"/>
          <w:szCs w:val="16"/>
        </w:rPr>
      </w:pPr>
    </w:p>
    <w:p w14:paraId="766B5BE6" w14:textId="77777777" w:rsidR="00ED28E4" w:rsidRPr="00D03F3E" w:rsidRDefault="00ED28E4" w:rsidP="00D03F3E">
      <w:pPr>
        <w:pStyle w:val="ae"/>
        <w:spacing w:before="0" w:after="0"/>
        <w:jc w:val="both"/>
        <w:rPr>
          <w:color w:val="0070C0"/>
          <w:sz w:val="16"/>
          <w:szCs w:val="16"/>
        </w:rPr>
      </w:pPr>
      <w:r w:rsidRPr="00D03F3E">
        <w:rPr>
          <w:color w:val="0070C0"/>
          <w:sz w:val="16"/>
          <w:szCs w:val="16"/>
        </w:rPr>
        <w:t>25 июня 1943 года фирме Дуглас ВВС выдали контракт на два летных опытных образца и один экземпляр для статических испытаний. Но единого мнения о возможном использовании нового самолета, названного ХА-42, ни в штабе ВВС, ни на фирме «Дуглас» не было. После длительных дебатов сошлись на том, что надо сделать самолет, который имел бы такой же радиус действия, как и новейший тяжелый бомбардировщик В-29, но был бы дешевле, меньше и проще в эксплуатации. Пусть такой самолет будет нести меньше бомб, но он будет более массовым. А слабость оборонительного вооружения с лихвой компенсирует скорость полета (22854).</w:t>
      </w:r>
    </w:p>
    <w:p w14:paraId="0FB18F14" w14:textId="77777777" w:rsidR="00ED28E4" w:rsidRPr="00D03F3E" w:rsidRDefault="00ED28E4" w:rsidP="00D03F3E">
      <w:pPr>
        <w:pStyle w:val="ae"/>
        <w:spacing w:before="0" w:after="0"/>
        <w:jc w:val="both"/>
        <w:rPr>
          <w:color w:val="0070C0"/>
          <w:sz w:val="16"/>
          <w:szCs w:val="16"/>
        </w:rPr>
      </w:pPr>
    </w:p>
    <w:p w14:paraId="42A578B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июня 1943 союзники продолжили бомбардировки Сицилии концентрируясь на Мессине (2262).</w:t>
      </w:r>
    </w:p>
    <w:p w14:paraId="6113FD2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E3E616"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 июня 1944 г. в специальном приказе Гитлера и Геббельса по войскам после разрушительной бомбардировки Гамбурга англичанами появилось обозначение V1 (Vergeltung – оружие возмездия). Благодаря пропаганде к концу войны это оружие приобрело широкую известность, причем далеко не адекватную его реальному военному значению, и даже стало одним из символов злодеяний фашизма (11686).</w:t>
      </w:r>
    </w:p>
    <w:p w14:paraId="7FFEABCF"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p>
    <w:p w14:paraId="681231E3"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1D10BDE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5180F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июня 1943 Главный инженер ВВС КА генерал-полковник Репин направил наркому авиа</w:t>
      </w:r>
      <w:r w:rsidRPr="00D03F3E">
        <w:rPr>
          <w:rFonts w:ascii="Times New Roman" w:hAnsi="Times New Roman"/>
          <w:color w:val="000000" w:themeColor="text1"/>
          <w:sz w:val="16"/>
          <w:szCs w:val="16"/>
        </w:rPr>
        <w:softHyphen/>
        <w:t>промышленности Шахурину гневное письмо, в котором пи</w:t>
      </w:r>
      <w:r w:rsidRPr="00D03F3E">
        <w:rPr>
          <w:rFonts w:ascii="Times New Roman" w:hAnsi="Times New Roman"/>
          <w:color w:val="000000" w:themeColor="text1"/>
          <w:sz w:val="16"/>
          <w:szCs w:val="16"/>
        </w:rPr>
        <w:softHyphen/>
        <w:t>сал: «...постановление выполняется формально, так как заводы № 1 и № 18 выпускают самолеты с системой подвесных бензо</w:t>
      </w:r>
      <w:r w:rsidRPr="00D03F3E">
        <w:rPr>
          <w:rFonts w:ascii="Times New Roman" w:hAnsi="Times New Roman"/>
          <w:color w:val="000000" w:themeColor="text1"/>
          <w:sz w:val="16"/>
          <w:szCs w:val="16"/>
        </w:rPr>
        <w:softHyphen/>
        <w:t>баков, эксплуатация которой запрещена из-за ее недоведенно-гсти. &lt;...&gt; Испытанный в НИИ ВВС КА эталон завода № 18, (самолет Ил-2 № 1871955, с системой питания горючим от подвесных бензобаков контрольных испытаний не выдержал. “Прошу Ваших указаний Главному конструктору самолета Ил-2 и директору завода № 18 о срочной доработке системы подвесных бензобаков и о проведении доводочно-эксплуатационных Испытаний этой системы на 20—30 самолетах”.</w:t>
      </w:r>
    </w:p>
    <w:p w14:paraId="1FCC380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мае 1943 г. в НИИ ВВС КА испытывался двухместный Ил-2 с АМ-38ф с двумя подвесными картонными бензобаками ПЛБГ-150 емкостью по 150 л каждый. А уже в июне были про</w:t>
      </w:r>
      <w:r w:rsidRPr="00D03F3E">
        <w:rPr>
          <w:rFonts w:ascii="Times New Roman" w:hAnsi="Times New Roman"/>
          <w:color w:val="000000" w:themeColor="text1"/>
          <w:sz w:val="16"/>
          <w:szCs w:val="16"/>
        </w:rPr>
        <w:softHyphen/>
        <w:t>ведены испытания 46 самолетов Ил-2, оборудованных под ПЛБГ-150. Оказалось, что в условиях массового производства заводчанам не удалось обеспечить надлежащее качество систе</w:t>
      </w:r>
      <w:r w:rsidRPr="00D03F3E">
        <w:rPr>
          <w:rFonts w:ascii="Times New Roman" w:hAnsi="Times New Roman"/>
          <w:color w:val="000000" w:themeColor="text1"/>
          <w:sz w:val="16"/>
          <w:szCs w:val="16"/>
        </w:rPr>
        <w:softHyphen/>
        <w:t>мы бензопитания ПЛБГ — топливо в полете вырабатывалось не полностью.</w:t>
      </w:r>
    </w:p>
    <w:p w14:paraId="788D366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«Разбор полетов» показал, что причинами неполной выработки горючего в ПЛБГ-150 являлись как недостатки самой системы, так и неправильная эксплуатация системы летным и техническим составом НИИ ВВС и частей. По этому поводу Ильюшин в письме на имя Шахурина от 28 июня отмечал:</w:t>
      </w:r>
    </w:p>
    <w:p w14:paraId="5C6D2EE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в НИИ ВВС самолета Ил-2 завода № 18 с подвес</w:t>
      </w:r>
      <w:r w:rsidRPr="00D03F3E">
        <w:rPr>
          <w:rFonts w:ascii="Times New Roman" w:hAnsi="Times New Roman"/>
          <w:color w:val="000000" w:themeColor="text1"/>
          <w:sz w:val="16"/>
          <w:szCs w:val="16"/>
        </w:rPr>
        <w:softHyphen/>
        <w:t>ными бензобаками показали, что во всех случаях, когда испы</w:t>
      </w:r>
      <w:r w:rsidRPr="00D03F3E">
        <w:rPr>
          <w:rFonts w:ascii="Times New Roman" w:hAnsi="Times New Roman"/>
          <w:color w:val="000000" w:themeColor="text1"/>
          <w:sz w:val="16"/>
          <w:szCs w:val="16"/>
        </w:rPr>
        <w:softHyphen/>
        <w:t>тания велись в строгом соответствии с нашей инструкцией... суммарная невыработка бензина в двух баках не превышала установленной нормы допуска — 20 литров. Эти факты зафик</w:t>
      </w:r>
      <w:r w:rsidRPr="00D03F3E">
        <w:rPr>
          <w:rFonts w:ascii="Times New Roman" w:hAnsi="Times New Roman"/>
          <w:color w:val="000000" w:themeColor="text1"/>
          <w:sz w:val="16"/>
          <w:szCs w:val="16"/>
        </w:rPr>
        <w:softHyphen/>
        <w:t>сированы НИИ ВВС при испытании им самолета Ил-2 в при</w:t>
      </w:r>
      <w:r w:rsidRPr="00D03F3E">
        <w:rPr>
          <w:rFonts w:ascii="Times New Roman" w:hAnsi="Times New Roman"/>
          <w:color w:val="000000" w:themeColor="text1"/>
          <w:sz w:val="16"/>
          <w:szCs w:val="16"/>
        </w:rPr>
        <w:softHyphen/>
        <w:t>лагаемой при сем таблице полетов.</w:t>
      </w:r>
    </w:p>
    <w:p w14:paraId="63ACA51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...Нам известно, как трудно в частях ВВС осваивалась систе</w:t>
      </w:r>
      <w:r w:rsidRPr="00D03F3E">
        <w:rPr>
          <w:rFonts w:ascii="Times New Roman" w:hAnsi="Times New Roman"/>
          <w:color w:val="000000" w:themeColor="text1"/>
          <w:sz w:val="16"/>
          <w:szCs w:val="16"/>
        </w:rPr>
        <w:softHyphen/>
        <w:t>ма подвесных бензобаков на Ил-4, хотя там система выработки более благоприятна, но, тем не менее, пока технический состав не освоил ее, бензин из баков вырабатывался очень плохо.</w:t>
      </w:r>
    </w:p>
    <w:p w14:paraId="7146290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Необходимо ВВС КА приступить к эксплуатации подвесных бензобаков на самолете Ил-2 согласно прилагаемой при сем инструкции, но предварительно проинструктировав строевые части об особенностях подвесной системы, которая требует тщательного ухода в эксплуатации. Нужно учитывать уже имев</w:t>
      </w:r>
      <w:r w:rsidRPr="00D03F3E">
        <w:rPr>
          <w:rFonts w:ascii="Times New Roman" w:hAnsi="Times New Roman"/>
          <w:color w:val="000000" w:themeColor="text1"/>
          <w:sz w:val="16"/>
          <w:szCs w:val="16"/>
        </w:rPr>
        <w:softHyphen/>
        <w:t>шийся опыт с подвесными бензобаками на самолете Ил-4.</w:t>
      </w:r>
    </w:p>
    <w:p w14:paraId="2BA13BA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Подвесная система работает на подсосе и поэтому ее нужно держать всегда герметичной и дренаж в порядке...»</w:t>
      </w:r>
    </w:p>
    <w:p w14:paraId="63793E9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доводы Ильюшина, руководство ВВС и НКАП потребовало срочной доработки предложенной ОКБ системы подвесных бензобаков для Ил-2 в отношении повы</w:t>
      </w:r>
      <w:r w:rsidRPr="00D03F3E">
        <w:rPr>
          <w:rFonts w:ascii="Times New Roman" w:hAnsi="Times New Roman"/>
          <w:color w:val="000000" w:themeColor="text1"/>
          <w:sz w:val="16"/>
          <w:szCs w:val="16"/>
        </w:rPr>
        <w:softHyphen/>
        <w:t>шения надежности ее работы и упрощения обслуживания в боевых условиях.</w:t>
      </w:r>
    </w:p>
    <w:p w14:paraId="3D6416E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всего лета система питания мотора Ил-2 от подвес</w:t>
      </w:r>
      <w:r w:rsidRPr="00D03F3E">
        <w:rPr>
          <w:rFonts w:ascii="Times New Roman" w:hAnsi="Times New Roman"/>
          <w:color w:val="000000" w:themeColor="text1"/>
          <w:sz w:val="16"/>
          <w:szCs w:val="16"/>
        </w:rPr>
        <w:softHyphen/>
        <w:t>ных бензобаков дважды дорабатывалась, но все неудачно. Только третьи по счету (с 29 сентября по 10 октября) испытания подвес</w:t>
      </w:r>
      <w:r w:rsidRPr="00D03F3E">
        <w:rPr>
          <w:rFonts w:ascii="Times New Roman" w:hAnsi="Times New Roman"/>
          <w:color w:val="000000" w:themeColor="text1"/>
          <w:sz w:val="16"/>
          <w:szCs w:val="16"/>
        </w:rPr>
        <w:softHyphen/>
        <w:t>ных бензобаков оказались успешными: испытывались два само</w:t>
      </w:r>
      <w:r w:rsidRPr="00D03F3E">
        <w:rPr>
          <w:rFonts w:ascii="Times New Roman" w:hAnsi="Times New Roman"/>
          <w:color w:val="000000" w:themeColor="text1"/>
          <w:sz w:val="16"/>
          <w:szCs w:val="16"/>
        </w:rPr>
        <w:softHyphen/>
        <w:t>лета Ил-2 с АМ-38ф — один с двумя ПЛБГ-150, второй — с дву</w:t>
      </w:r>
      <w:r w:rsidRPr="00D03F3E">
        <w:rPr>
          <w:rFonts w:ascii="Times New Roman" w:hAnsi="Times New Roman"/>
          <w:color w:val="000000" w:themeColor="text1"/>
          <w:sz w:val="16"/>
          <w:szCs w:val="16"/>
        </w:rPr>
        <w:softHyphen/>
        <w:t>мя металлическими подвесными баками емкостью по 175 л.</w:t>
      </w:r>
    </w:p>
    <w:p w14:paraId="43CF7E2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серийное производство был внедрен вариант с ПЛБГ-150. Подвесные бензобаки в новой редакции стали устанавливаться на заводе № 18 начиная с Ил-2 зав. № 1872657. Самолеты с зав. № 1876353 по № 1872557 были выпущены заводом с системой подвески дополнительных баков, смонтированной по старым чертежам. Для нормальной их эксплуатации техническому соста</w:t>
      </w:r>
      <w:r w:rsidRPr="00D03F3E">
        <w:rPr>
          <w:rFonts w:ascii="Times New Roman" w:hAnsi="Times New Roman"/>
          <w:color w:val="000000" w:themeColor="text1"/>
          <w:sz w:val="16"/>
          <w:szCs w:val="16"/>
        </w:rPr>
        <w:softHyphen/>
        <w:t>ву строевых частей предлагалось доработать систему бензопита-ния этих баков в соответствии со специальным регламентом.</w:t>
      </w:r>
    </w:p>
    <w:p w14:paraId="0A2756A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Дополнительные бензобаки подвешивались на вторых нер</w:t>
      </w:r>
      <w:r w:rsidRPr="00D03F3E">
        <w:rPr>
          <w:rFonts w:ascii="Times New Roman" w:hAnsi="Times New Roman"/>
          <w:color w:val="000000" w:themeColor="text1"/>
          <w:sz w:val="16"/>
          <w:szCs w:val="16"/>
        </w:rPr>
        <w:softHyphen/>
        <w:t>вюрах центроплана на замках МДЗ-42. Положение оси баков относительно хорды крыла регулировалось с помощью уни</w:t>
      </w:r>
      <w:r w:rsidRPr="00D03F3E">
        <w:rPr>
          <w:rFonts w:ascii="Times New Roman" w:hAnsi="Times New Roman"/>
          <w:color w:val="000000" w:themeColor="text1"/>
          <w:sz w:val="16"/>
          <w:szCs w:val="16"/>
        </w:rPr>
        <w:softHyphen/>
        <w:t>версальных ухватов внешней подвески.</w:t>
      </w:r>
    </w:p>
    <w:p w14:paraId="22348FF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Трубопровод системы бензопитания подвесных бензобаков от тройника расходился на левую и правую сторону центро</w:t>
      </w:r>
      <w:r w:rsidRPr="00D03F3E">
        <w:rPr>
          <w:rFonts w:ascii="Times New Roman" w:hAnsi="Times New Roman"/>
          <w:color w:val="000000" w:themeColor="text1"/>
          <w:sz w:val="16"/>
          <w:szCs w:val="16"/>
        </w:rPr>
        <w:softHyphen/>
        <w:t>плана. Трубопроводы проходили через отверстия в бронекорпусе и далее шли внутри носка центроплана за вторую нервюру к бензобакам. Трубопровод выводился наружу к бензобакам через отверстие в нижней обшивке крыла (11474,369).</w:t>
      </w:r>
    </w:p>
    <w:p w14:paraId="55832F1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B2B96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июня 1943 года был подготовлен:</w:t>
      </w:r>
    </w:p>
    <w:p w14:paraId="777FB72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Акт.</w:t>
      </w:r>
    </w:p>
    <w:p w14:paraId="79A1397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Действующая армия.</w:t>
      </w:r>
    </w:p>
    <w:p w14:paraId="39275BC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Комиссия в составе Гл. инженера 13 ВА генерал-майора инженерно-авиационной службы Агеева, представителя УВВС по проверке 13 ВА инженер-майора Яковчук и уполномоченного НКАП Ценципер - произвела осмотр боевых самолетов 13 Воздушной Армии на предмет их пригодности к боевой эксплуатации и выявления заводских доработок.</w:t>
      </w:r>
    </w:p>
    <w:p w14:paraId="35F8ECB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осмотра выявлено следующее:</w:t>
      </w:r>
    </w:p>
    <w:p w14:paraId="299EC36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На 80 самолетах Ил-2, завода N 30, и 4 самолетов Ил-2, завода N 1, наблюдалось отставание обшивки от силового каркаса крыла, расслоение фанеры, трещины по обшивке, местные очаги загнивания в трещинах и отставание полотна.</w:t>
      </w:r>
    </w:p>
    <w:p w14:paraId="4ABB683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На 30 самолетах Як-1, завода N 292, и на 40 самолетах Як-7б, завода N 153, наблюдалось отставание обшивки от силового каркаса крыла, недоброкачественная склейка фанеры, отставание полотна и частичное загнивание в трещинах.</w:t>
      </w:r>
    </w:p>
    <w:p w14:paraId="1298D98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На 11 самолетах Ла-5, завода N 21, наблюдались продольные трещины по направлению волокон верхнего слоя шпона фюзеляжа от кабины до стабилизатора, трещины внутри фюзеляжа и отставание полотна на крыльях и фюзеляжах.</w:t>
      </w:r>
    </w:p>
    <w:p w14:paraId="0CDCB1B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вышеуказанные самолеты нуждались в немедленном ремонте.</w:t>
      </w:r>
    </w:p>
    <w:p w14:paraId="099B2F8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 июня 1943 года был организован ремонт вышеуказанных самолетов силами Авиаремонтных баз NN 1 и 2, стационарных мастерских NN 26 и 201, бригад НКАП в количестве 21 человека с четырьмя руководителями и специалистов ПАРМ-1.</w:t>
      </w:r>
    </w:p>
    <w:p w14:paraId="217BD4D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16.6.43 г. дополнительно было прикомандировано с завода N 162 двадцать человек вспомогательных рабочих.</w:t>
      </w:r>
    </w:p>
    <w:p w14:paraId="26A0304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25 июня 1943 г. ремонт самолетов Як-1, Як-7 и Ла-5 по рекламациям закончен. Восстановлено Ил-2........ 25 самолетов.</w:t>
      </w:r>
    </w:p>
    <w:p w14:paraId="6A6962F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указанные рекламационные работы по самолетам Як-1 и Як-7 выполнены в срок.</w:t>
      </w:r>
    </w:p>
    <w:p w14:paraId="6806A6F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Качество выполненных по рекламациям работ хорошее.</w:t>
      </w:r>
    </w:p>
    <w:p w14:paraId="62417BD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Дальнейшее восстановление самолетов Ил-2 задерживается из-за отсутствия материалов и бригад НКАП (1779).</w:t>
      </w:r>
    </w:p>
    <w:p w14:paraId="05390D4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BFF1C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июня 1943 А.И.Ш. направил Г.М.М. письмо N 3235:</w:t>
      </w:r>
    </w:p>
    <w:p w14:paraId="76AC337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"Посылаю Вам акты по катастрофам 2-х самолетов Ил-2 во 2 ВА, о которой была телеграмма Хруничева и Ватутина:</w:t>
      </w:r>
    </w:p>
    <w:p w14:paraId="473F4EF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Акт</w:t>
      </w:r>
    </w:p>
    <w:p w14:paraId="62C4775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 июня 1943 комиссия... расследовала причины катастрофы самолета Ил-2 N 7222 с АМ-38Ф N 244365 производства завода 1, происшедшей 10 июня 1943 в 820 шап 3 ВА, ознакомилась с материалами и опросив очевидцев составила настоящий акт о нижеследующем:</w:t>
      </w:r>
    </w:p>
    <w:p w14:paraId="26237E9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Характеристика самолета</w:t>
      </w:r>
    </w:p>
    <w:p w14:paraId="3ABBC72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Самолет выпущен заводом 1 29 мая 1943</w:t>
      </w:r>
    </w:p>
    <w:p w14:paraId="50D4501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За время эксплуатации налетал 4:15</w:t>
      </w:r>
    </w:p>
    <w:p w14:paraId="7C11D7F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Мотор наработал 4:15 в воздухе и 1:35 на земле. В ремонтах и перечистках не был</w:t>
      </w:r>
    </w:p>
    <w:p w14:paraId="5397663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По утверждению механика самолета с Тюнина в формуляре самолета имелась запись о проверке стыковых узлов.</w:t>
      </w:r>
    </w:p>
    <w:p w14:paraId="72382DA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Формуляры самолета, мотора и оборудования погибли при катастрофе</w:t>
      </w:r>
    </w:p>
    <w:p w14:paraId="703C674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На боевые задания машина не летала, аварий не имела и ремонту не подвергалась</w:t>
      </w:r>
    </w:p>
    <w:p w14:paraId="5853530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Самолет прибыл в часть с завода летом 6 июня 1943</w:t>
      </w:r>
    </w:p>
    <w:p w14:paraId="0FA528F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Обстоятельства катастрофы</w:t>
      </w:r>
    </w:p>
    <w:p w14:paraId="4E210AA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Задание пилоту при полете заключалось в следующем:</w:t>
      </w:r>
    </w:p>
    <w:p w14:paraId="64A3A09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проверить самолет на высоте 800 м</w:t>
      </w:r>
    </w:p>
    <w:p w14:paraId="7454592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проверить работу мотора на всех режимах</w:t>
      </w:r>
    </w:p>
    <w:p w14:paraId="62EC417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проверить поведение самолета в эволюциях в течение 15 мин.</w:t>
      </w:r>
    </w:p>
    <w:p w14:paraId="1C997E6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 показаниям очевидцев и наблюдавших за полетом самолетов...машина набрав высоту 400 м... и с углом 35-40 гр. спикировала до высоты 100-150 м. При выходе из пикирования у самолета оторвалась правая консоль после чего он перешел в беспорядочное падение и потерпел катастрофу. Экипаж погиб.</w:t>
      </w:r>
    </w:p>
    <w:p w14:paraId="47920F8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Предварительные выводы</w:t>
      </w:r>
    </w:p>
    <w:p w14:paraId="496A820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Причиной катастрофы является отрыв левой консоли в воздухе</w:t>
      </w:r>
    </w:p>
    <w:p w14:paraId="160B84D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Обрыв консоли произошел в следствие:</w:t>
      </w:r>
    </w:p>
    <w:p w14:paraId="52F4D3D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разрушения стыковочного болта нижнего переднего узла</w:t>
      </w:r>
    </w:p>
    <w:p w14:paraId="1570033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непрочности (пониженного качества) переднего нижнего стыковочного узла консоли, имеющего в наличии эллипс в отверстиях узлов</w:t>
      </w:r>
    </w:p>
    <w:p w14:paraId="05378D6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разрушение нижнего переднего стыковочного узла центроплана</w:t>
      </w:r>
    </w:p>
    <w:p w14:paraId="3F39568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разрушение нижнего заднего стыковочного узла центроплана</w:t>
      </w:r>
    </w:p>
    <w:p w14:paraId="15B9614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разрушения одной из полок лонжерона центроплана</w:t>
      </w:r>
    </w:p>
    <w:p w14:paraId="03D560F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Ввиду того, что:</w:t>
      </w:r>
    </w:p>
    <w:p w14:paraId="2BF4E55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стыковочные узлы осматривались на заводе перед отлетом о чем есть запись в формуляре</w:t>
      </w:r>
    </w:p>
    <w:p w14:paraId="6D0E90F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самолет доставлен в в/ч летом</w:t>
      </w:r>
    </w:p>
    <w:p w14:paraId="62DB6E0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разрушение произошло во время второго пикирования</w:t>
      </w:r>
    </w:p>
    <w:p w14:paraId="1719D65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а так же наличие в нижнем стыковочном узле переднего лонжерона большого эллипса в результате смятия подтверждающее наличие болта в момент катастрофы, считать ошибочным заключение комиссии от 12 июня 1943 о том, что причиной катастрофы послужило отсутствие болта переднего нижнего узла (1690).</w:t>
      </w:r>
    </w:p>
    <w:p w14:paraId="5540BDD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Акт</w:t>
      </w:r>
    </w:p>
    <w:p w14:paraId="2FBFD31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комиссия... расследовала причины катастрофы самолета Ил-2 N 301391 с АМ-38 N 458452 производства завода 30, происшедшей 10 июня 1943 в 820 шап 3 ВА, ознакомилась с материалами и опросив очевидцев составила настоящий акт о нижеследующем:</w:t>
      </w:r>
    </w:p>
    <w:p w14:paraId="6D113DF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Характеристика самолета</w:t>
      </w:r>
    </w:p>
    <w:p w14:paraId="49822FA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Самолет выпущен заводом 1 9 января 1943</w:t>
      </w:r>
    </w:p>
    <w:p w14:paraId="226BD3B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За время эксплуатации налетал 21:40 и совершил 23 посадки</w:t>
      </w:r>
    </w:p>
    <w:p w14:paraId="1DA510F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Мотор наработал в воздухе и на земле 38:48.</w:t>
      </w:r>
    </w:p>
    <w:p w14:paraId="608850C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24 мая 1943 во время бомбардировки аэродрома вражеской авиацией был поврежден осколками бомб.</w:t>
      </w:r>
    </w:p>
    <w:p w14:paraId="6890EBD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На самолете в силовой схеме левого крыла был произведен ремонт.</w:t>
      </w:r>
    </w:p>
    <w:p w14:paraId="1AB389D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После ремонта 9 июня 1943 л Костырко был произведен испытательный 45 мин. полет. Во время полета Костырко наблюдал ненормальности в поведении крыльев (вибрации).</w:t>
      </w:r>
    </w:p>
    <w:p w14:paraId="74BCD46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Обстоятельства катастрофы</w:t>
      </w:r>
    </w:p>
    <w:p w14:paraId="0B2E3E1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10 июня 1943 самолет вылетел для проведения повторного испытательного полета с целью наблюдения за поведением плоскости после ремонта.</w:t>
      </w:r>
    </w:p>
    <w:p w14:paraId="08104F1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 показаниям очевидцев и наблюдавших за полетом самолетов...машина стала пикировать под углом 30 гр. и при выходе из пикирования на высоте 350 м у самолета разрушилось левое крыло, после чего самолет потерпел катастрофу.</w:t>
      </w:r>
    </w:p>
    <w:p w14:paraId="74B63C2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Выводы</w:t>
      </w:r>
    </w:p>
    <w:p w14:paraId="0E2EA37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Причиной катастрофы является разрушение левой консоли в воздухе</w:t>
      </w:r>
    </w:p>
    <w:p w14:paraId="2E4223D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Разрушение консоли вызвано поломкой при выходе из пикирования нижней полки лонжерона крыла в месте повреждения.</w:t>
      </w:r>
    </w:p>
    <w:p w14:paraId="3A64A7A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Обшивка врыла сорвана в процессе деформации и разрушения при катастрофе.</w:t>
      </w:r>
    </w:p>
    <w:p w14:paraId="428050E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Разрушение переднего лонжерона центроплана, происшедшее по поврежденному сечению, очевидно произошло после разрушения заднего лонжерона консоли...</w:t>
      </w:r>
    </w:p>
    <w:p w14:paraId="4FACF10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Заключение</w:t>
      </w:r>
    </w:p>
    <w:p w14:paraId="38A7997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Просить ГУ ВВС и НКАП о создании в срочном порядке руководства по ремонту всех силовых элементов самолета Ил-2 в полевых условиях (1690,54).</w:t>
      </w:r>
    </w:p>
    <w:p w14:paraId="10B6869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559F4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июня 1943 Постановлением СНК N 695-212с НКАП был освобожден от присвоения номеров военным предприятиям, стройкам, КБ, НИИ оборонного значения наркоматов и центральных учреждений. Этим же постановлением СНК установлено, что присвоение номеров военным предприятиям...производится в каждом конкретном случае СНК по представлению соответствующего наркомата или центрального учреждения." (1781,238).</w:t>
      </w:r>
    </w:p>
    <w:p w14:paraId="00CC338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E14F28"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42A6833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0446C9"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26 июня 1943 г. на Гороховецком полигоне закончились полигонные испытания опытного образца ОБ-25 в объеме 157 выстрелов, которые шли с 18 июня. </w:t>
      </w:r>
    </w:p>
    <w:p w14:paraId="041C4392"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феврале 1943 г. в ОКБ-172 был разработан проект 76-мм полковой пушки ОБ-25 обр. 1943 г. Лафет для полковой пушки был взят от 45-мм противотанковой пушки обр. 1942 г. (М-42). Опытные образцы изготавливались на заводе № 172.</w:t>
      </w:r>
    </w:p>
    <w:p w14:paraId="4B58F481"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выявили: неудовлетворительную кучность, плохую работу противооткатных устройств (длина отката достигала 800 мм, а накат происходил со стуком), гнулась боевая ось. Опытный образец полигонные испытания не выдержал. Тем не менее в конце июля 1943 г. были начаты войсковые испытания опытных образцов ОБ-25, на которых были установлены усиленные боевые оси. В ходе войсковых испытаний отстреливались стволы с крутизной нарезки в 15, 20, 25, 30 и 35 калибров. В результате остановились на крутизне 15 калибров.</w:t>
      </w:r>
    </w:p>
    <w:p w14:paraId="2EA8E91B"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12 августа 1943 г. войсковые испытания закончились. На вооружение ОБ-25 была принята постановлением ГКО от 4 сентября 1943 г. В валовое производство 76-мм полковая пушка обр. 1943 г. была запущена в конце 1943 г. на двух заводах: № 172 и № 106. Завод № 172 в 1944 г. выпустил 2730 пушек, а в 1945 г. — 1434, и на этом производство ОБ-25 закончил. А завод № 106 выпустил в 1944 г. 464 пушки, в 1945 г. — 494 и в 1946 г. — всего 30 пушек. Итого на обоих заводах было изготовлено 5152 пушки ОБ-25.</w:t>
      </w:r>
    </w:p>
    <w:p w14:paraId="21038E65"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малый вес и сравнительно хорошую подвижность, в целом ОБ-25 оказалась неудачной полковой пушкой, и с окончанием войны ее сняли с производства, и началась разработка новых полковых орудий (12705).</w:t>
      </w:r>
    </w:p>
    <w:p w14:paraId="207A8D83" w14:textId="77777777" w:rsidR="00FD6DE2" w:rsidRPr="00D03F3E" w:rsidRDefault="00FD6DE2" w:rsidP="00D03F3E">
      <w:pPr>
        <w:spacing w:after="0" w:line="240" w:lineRule="auto"/>
        <w:jc w:val="both"/>
        <w:rPr>
          <w:rFonts w:ascii="Times New Roman" w:hAnsi="Times New Roman"/>
          <w:color w:val="000000" w:themeColor="text1"/>
          <w:sz w:val="16"/>
          <w:szCs w:val="16"/>
        </w:rPr>
      </w:pPr>
    </w:p>
    <w:p w14:paraId="1893A5B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июня 1943г. была ДОКЛАДНАЯ ЗАПИСКА КОМАНДУЮЩЕГО БТ и МВ КА НАРОДНОМУ КОМИССАРУ ОБОРОНЫ И.В. СТАЛИНУ О ПРОИЗВОДСТВЕ САМОХОДНЫХ АРТИЛЛЕРИЙСКИХ УСТАНОВОК СУ-76</w:t>
      </w:r>
    </w:p>
    <w:p w14:paraId="734A4AF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Докладываю, что согласно Постановлению ГОКО от 7.06.1943 г. за №3530 дальнейшее производ</w:t>
      </w:r>
      <w:r w:rsidRPr="00D03F3E">
        <w:rPr>
          <w:rFonts w:ascii="Times New Roman" w:hAnsi="Times New Roman"/>
          <w:color w:val="000000" w:themeColor="text1"/>
          <w:sz w:val="16"/>
          <w:szCs w:val="16"/>
        </w:rPr>
        <w:softHyphen/>
        <w:t>ство самоходных артиллерийских установок СУ-76 на заводе №38 НКТП прекращено.</w:t>
      </w:r>
    </w:p>
    <w:p w14:paraId="042B5AA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 самоходных артиллерийских установок СУ-76 было выпущено 575 штук.</w:t>
      </w:r>
    </w:p>
    <w:p w14:paraId="0E424A1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настоящее время из этого количества 190 СУ-76 находятся в войсках действующей армии, а 385 — в резерве.</w:t>
      </w:r>
    </w:p>
    <w:p w14:paraId="2020DA0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всех выпущенных заводом СУ-76 к 15.07.1943 г. будет закончено устранение имеющихся дефектов.</w:t>
      </w:r>
    </w:p>
    <w:p w14:paraId="2759F71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устранения дефектов СУ-76 могут быть использованы на укомплектование и формирова</w:t>
      </w:r>
      <w:r w:rsidRPr="00D03F3E">
        <w:rPr>
          <w:rFonts w:ascii="Times New Roman" w:hAnsi="Times New Roman"/>
          <w:color w:val="000000" w:themeColor="text1"/>
          <w:sz w:val="16"/>
          <w:szCs w:val="16"/>
        </w:rPr>
        <w:softHyphen/>
        <w:t>ние легких полков самоходных артиллерийских установок.</w:t>
      </w:r>
    </w:p>
    <w:p w14:paraId="416838E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 имеющихся в наличии СУ-76 считаю целесообразным сформировать 20 легких полков само</w:t>
      </w:r>
      <w:r w:rsidRPr="00D03F3E">
        <w:rPr>
          <w:rFonts w:ascii="Times New Roman" w:hAnsi="Times New Roman"/>
          <w:color w:val="000000" w:themeColor="text1"/>
          <w:sz w:val="16"/>
          <w:szCs w:val="16"/>
        </w:rPr>
        <w:softHyphen/>
        <w:t>ходных артустановок по 21 шт. в каждом полку. Остальные артустановки СУ-76 оставить в резерве для пополнения убыли и обучения личного состава.</w:t>
      </w:r>
    </w:p>
    <w:p w14:paraId="565C5ED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Срок готовности полков: 10 полков к 10 июля 1943 г. и 10 полков к 20 июля 1943 г.</w:t>
      </w:r>
    </w:p>
    <w:p w14:paraId="30B0602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Сформированные полки использовать для сопровождения пехоты и конницы в период атаки и боя в глубине обороны противника, а также как подвижной огневой резерв армии.</w:t>
      </w:r>
    </w:p>
    <w:p w14:paraId="7964F15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Докладывая о вышеизложенном, прошу Вашего утверждения.</w:t>
      </w:r>
    </w:p>
    <w:p w14:paraId="308C3DA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Командующий БТ и МБ КА генерал-полковник танковых войск Федоренко</w:t>
      </w:r>
    </w:p>
    <w:p w14:paraId="0F26D50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ЦАМО. Ф. 38. Оп. 11369. Д. 68. Л. 56а. Подлинннк (11403).</w:t>
      </w:r>
    </w:p>
    <w:p w14:paraId="5FC6B2A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C06CFC"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июня 1943 года генерал-лейтенант Вершинин направил начальнику управления формирования и боевой подготовки бронетанковых и механизированных войск Красной Армии генерал-лейтенанту Волоху следующий документ:</w:t>
      </w:r>
    </w:p>
    <w:p w14:paraId="4521E1DA"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«Выпуск самоходных установок СУ-76И на трофейном танке Т-3 возрастает ежемесячно. В течение 3-го квартала будет дана матчасть на шесть полков.</w:t>
      </w:r>
    </w:p>
    <w:p w14:paraId="3FE24E06"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тем, подготовка водительского состава для этих машин не организована и носит случайный характер, что привело к задержке сдачи готовых СУ-76И в артцентре.</w:t>
      </w:r>
    </w:p>
    <w:p w14:paraId="67D8103F"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дать указания об организации подготовки водителей для СУ-76И, так как плохо подготовленные водители для машины Т-3, сложной в эксплуатации, быстро выведут ее из строя».</w:t>
      </w:r>
    </w:p>
    <w:p w14:paraId="66F43972" w14:textId="77777777" w:rsidR="00FD6DE2" w:rsidRPr="00D03F3E" w:rsidRDefault="00FD6DE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Кстати, заводской гарантийный срок работы СУ-76И составлял 1000 километров, что при скорости 15 км/ч давало 70 моточасов (12688).</w:t>
      </w:r>
    </w:p>
    <w:p w14:paraId="424CAE38" w14:textId="77777777" w:rsidR="00FD6DE2" w:rsidRPr="00D03F3E" w:rsidRDefault="00FD6DE2" w:rsidP="00D03F3E">
      <w:pPr>
        <w:spacing w:after="0" w:line="240" w:lineRule="auto"/>
        <w:jc w:val="both"/>
        <w:rPr>
          <w:rFonts w:ascii="Times New Roman" w:hAnsi="Times New Roman"/>
          <w:color w:val="000000" w:themeColor="text1"/>
          <w:sz w:val="16"/>
          <w:szCs w:val="16"/>
        </w:rPr>
      </w:pPr>
    </w:p>
    <w:p w14:paraId="12C4721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июня 1943 вышло Постановление ГКО № 3649 О выделении металлорежущих станков Сталинградскому тракторному заводу.РГАНИР, Фонд ГКО, д. 129, лл. 1 (11012).</w:t>
      </w:r>
    </w:p>
    <w:p w14:paraId="1559845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37E3D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июня 1943 вышло Постановление ГКО № 3650 Вопросы Наркомата танковой промышленности.РГАНИР, Фонд ГКО, д. 129, лл. 2-4 (11012).</w:t>
      </w:r>
    </w:p>
    <w:p w14:paraId="492C72D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3E83BD"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июня 1943 вышло Постановление ГКО № 3651 Об учреждении переходящего Красного знамени Государственного Комитета Обороны для пароходств Наркомречфлота. (7118, 5).</w:t>
      </w:r>
    </w:p>
    <w:p w14:paraId="7E50B722"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8E8C8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июня 1943 вышло Постановление ГКО № 3652 О Всесоюзном социалистическом соревновании строек и предприятий Главвоенпромстроя при Совнаркоме СССР.РГАНИР, Фонд ГКО, д. 129, лл. 6 (11012).</w:t>
      </w:r>
    </w:p>
    <w:p w14:paraId="6CB14C7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D03B96"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июня 1943 вышло Распоряжение ГКО № 3653 [О вывозе из Ленинграда лома черных и цветных металлов.] (7118, 7-8,9).</w:t>
      </w:r>
    </w:p>
    <w:p w14:paraId="178AE427"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5F6CE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июня 1943 вышло Постановление ГКО № 3654 Об ускорении строительства шинных заводов Наркомрезинпрома, расположенных в восточных районах.РГАНИР, Фонд ГКО, д. 129, лл. 10-18, 19-30 (11012).</w:t>
      </w:r>
    </w:p>
    <w:p w14:paraId="55E1D7B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1DAD1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26 июня 1943 На Адмиралтейском заводе заложен серийный МБК (10671).</w:t>
      </w:r>
    </w:p>
    <w:p w14:paraId="118575B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01AFB8"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03BEEF3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EB4AB2"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26 июня</w:t>
      </w:r>
      <w:r w:rsidRPr="00D03F3E">
        <w:rPr>
          <w:rFonts w:ascii="Times New Roman" w:hAnsi="Times New Roman"/>
          <w:color w:val="000000" w:themeColor="text1"/>
          <w:sz w:val="16"/>
          <w:szCs w:val="16"/>
        </w:rPr>
        <w:t xml:space="preserve"> в 1943 году утреннее сообщение Совинформбюро:</w:t>
      </w:r>
    </w:p>
    <w:p w14:paraId="339D8055"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26 июня на фронте ничего существенного не произошло.</w:t>
      </w:r>
    </w:p>
    <w:p w14:paraId="3C510569"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мелкие группы нашей пехоты вели разведку. Командир артиллерийского подразделения старший лейтенант Чичулин обнаружил тщательно замаскированную миномётную батарею противника. Артиллеристы открыли огонь и уничтожили вражеские миномёты вместе с их расчётами.</w:t>
      </w:r>
    </w:p>
    <w:p w14:paraId="0B496065"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отряд немецкой пехоты пытался боем разведать наши позиции.Когда гитлеровцы приблизились к проволочным заграждениям, бойцы Н-ской части открыли ружейно-пулемётный огонь. Потеряв 40 солдат убитыми, немцы отступили. На другом участке советские артиллеристы обстреляли два опорных пункта противника. В одном пункте сожжён вещевой склад. В другом — возникло 6 больших пожаров.</w:t>
      </w:r>
    </w:p>
    <w:p w14:paraId="1903AE9A"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рота пехоты противника на лодках пыталась переправиться на левый берег Северного Донца. Наши передовые подразделения открыли сосредоточенный огонь. Противник понёс большие потери и под прикрытием дымовой завесы отступил на исходные позиции.</w:t>
      </w:r>
    </w:p>
    <w:p w14:paraId="3D4E0E5B"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Карельском фронте две группы наших бойцов под командованием капитана Миронова и капитана Лебедева атаковали опорный пункт противника. Советские бойцы ворвались во вражеские траншеи, гранатами и штыками уничтожили до роты белофиннов. Взорвано 10 землянок и 2 дзота, уничтожены 2 миномётные батареи, 6 станковых пулемётов и обоз противника с боеприпасами.</w:t>
      </w:r>
    </w:p>
    <w:p w14:paraId="76898CAD"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Партизанские отряды, действующие в Крыму, за последнее время разгромили 6 вражеских гарнизонов и истребили несколько сот гитлеровцев. Группыпартизан-подрывников пустили под откос 11 немецких железнодорожных эшелонов с войсками, техникой и военным имуществом.</w:t>
      </w:r>
    </w:p>
    <w:p w14:paraId="15E6BDF7"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солдат 121 немецкой пехотной дивизии, поляк по национальности, Феликс Д. рассказал: «В 121 дивизии насчитывается много поляков, люксембуржцев и чехов, насильно мобилизованных в немецкую армию. Всех нас объединяла ненависть к фашистской Германии и гитлеровскому режиму. Я говорил товарищам: «У нас есть один враг — немцы. Они рядом. Наши друзья—русские—находятся на той стороне линии фронта. Мы должны быть вместе с ними». На днях группа солдат нашего полка перебежала на сторону русских. За нами пойдут и другие».</w:t>
      </w:r>
    </w:p>
    <w:p w14:paraId="50125C9C"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Немецкие захватчики пытались провести в некоторых районах Пинской области насильственную мобилизацию всех трудоспособных жителей на каторжные работы в Германию. Большинство населения бежало в леса. Гитлеровцам удалось захватить несколько сот советских граждан. Арестованных загнали в вагоны и повезли в Германию. Около одной станции партизаны взорвали железнодорожный путь. Когда поезд остановился у разрушенного полотна, советские граждане выскочили из вагонов, совместно с партизанами перебили немецкую охрану и скрылись.</w:t>
      </w:r>
    </w:p>
    <w:p w14:paraId="6B77A922"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западных районах Южной Македонии (Греция) происходили ожесточённые боимежду итальянскими войсками и греческими партизанами. Итальянцы потеряли убитымии ранеными до 1.000 солдат и офицеров. Партизаны захватили 600 винтовок и три грузовика с боеприпасами.» (14934).</w:t>
      </w:r>
    </w:p>
    <w:p w14:paraId="68A05CBC" w14:textId="77777777" w:rsidR="00807FA7" w:rsidRPr="00D03F3E" w:rsidRDefault="00807FA7" w:rsidP="00D03F3E">
      <w:pPr>
        <w:spacing w:after="0" w:line="240" w:lineRule="auto"/>
        <w:jc w:val="both"/>
        <w:rPr>
          <w:rFonts w:ascii="Times New Roman" w:hAnsi="Times New Roman"/>
          <w:color w:val="000000" w:themeColor="text1"/>
          <w:sz w:val="16"/>
          <w:szCs w:val="16"/>
        </w:rPr>
      </w:pPr>
    </w:p>
    <w:p w14:paraId="6B127AFA"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26 июня</w:t>
      </w:r>
      <w:r w:rsidRPr="00D03F3E">
        <w:rPr>
          <w:rFonts w:ascii="Times New Roman" w:hAnsi="Times New Roman"/>
          <w:color w:val="000000" w:themeColor="text1"/>
          <w:sz w:val="16"/>
          <w:szCs w:val="16"/>
        </w:rPr>
        <w:t xml:space="preserve"> в 1943 году вечернее сообщение Совинформбюро:</w:t>
      </w:r>
    </w:p>
    <w:p w14:paraId="3F04AB20"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26 июня на фронте ничего существенного не произошло.</w:t>
      </w:r>
    </w:p>
    <w:p w14:paraId="3125D074"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потопили в Финском заливе сторожевой катер и повредили тральщик противника.</w:t>
      </w:r>
    </w:p>
    <w:p w14:paraId="12BAC637"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участке Западного фронта наши разведчики преодолели проволочные заграждения противника, ворвались в передовые траншеи и перебили находившихся в них немецких солдат. Подтянув подкрепления, немцы пытались окружить советский разведывательный отряд, но потерпели неудачу. Разведчики отбили одну за другой две контратаки немцев и под прикрытием пулемётного огня отошли на исходные позиции. На поле боя осталось не менее 60 вражеских трупов. Разведчики добыли важные сведения и захватили пленных.</w:t>
      </w:r>
    </w:p>
    <w:p w14:paraId="2252D7D1"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лётчики Н-ской части майор Гриднев и младший лейтенант Лисицына атаковали немецкий бомбардировщик «Юнкерс-88». У вражеского самолёта загорелся правый мотор. В это время майор Гриднев заметил приближавшийся немецкий истребитель «Фокке-Вулъф-190». Майор изменил курс, атаковал вражеский самолёт и несколькими очередями сбил его. Младший лейтенант Лисицына тем временем добила «Юнкерс», и он рухнул на землю. Вскоре из-за облаков вынырнули ещё два немецких самолёта. Однако Гриднев уже израсходовал все боеприпасы и был вынужден выйти из боя. В погоне за безоружным, но искусно маневрировавшим в облаках Гридневым немецкие самолёты столкнулись друг с другом и разбились. Гриднев и Лисицына благополучно приземлились на своём аэродроме.</w:t>
      </w:r>
    </w:p>
    <w:p w14:paraId="5F2E2A5E"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артиллеристы батареи, где командиром капитан Трифонов, за последние пять дней уничтожили 5 немецких блиндажей, 2 пулемётные точки и подавили огонь 2 артиллерийских батарей противника. Огневым налётом на вражеские позиции артиллеристы истребили до роты гитлеровцев.</w:t>
      </w:r>
    </w:p>
    <w:p w14:paraId="091C2FE5"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снайперы истребили 90 гитлеровцев. Артиллерийские и миномётные подразделения обстреляли оборонительные сооружения противника и разрушили 8 дзотов и 6 блиндажей.</w:t>
      </w:r>
    </w:p>
    <w:p w14:paraId="19660C35"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«За Родину», действующий в одном из районов Барановичской области, внезапно ворвался в крупный населённый пункт и сжёг немецкий склад с амуницией. Охрана склада взята в плен. Группа партизан из отряда имени Лазопустила под откос вражеский воинский поезд, следовавший к линии фронта. Разбиты паровоз, 11 вагонов и платформ.</w:t>
      </w:r>
    </w:p>
    <w:p w14:paraId="7AEF0094"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сторону Красной Армии перешли четыре солдата 405 немецкого пехотного полка. Один из них—Лео Вейс рассказал: «Я люксембуржец и ненавижу гитлеровцев за то, что они разорили и поработили мою родину, превратили её в придаток Германии. Наместник Гитлера в Люксембурге палач Симон наводнил страну гестаповцами и бросил в тюрьмы сотни и тысячи патриотов. Люксембургский народ ждёт открытия второго фронта в Европе как сигнала к массовым действиям против немецких оккупантов. Меня, как и многих моих соотечественников, гитлеровцы насильно сделали солдатом немецкой армии. Под угрозой расстрела я вынужден был напялить на себя немецкий мундир. Однако немцам не удалось заставить меня воевать за Гитлера. Я и мои товарищи при первой представившейся возможности перешли к русским».</w:t>
      </w:r>
    </w:p>
    <w:p w14:paraId="3DF617DD"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Черногории, Герцеговине и Санджаке продолжаются ожесточённые бои. Югославские патриоты отбивают атаки итало-немецких оккупантов. В населённом пункте Лекеник патриоты атаковали вражескую колонну. В трёхчасовом бою противник потерял только убитыми 30 солдат. Партизаны захватили пленных, миномёт, 45 винтовок и много боеприпасов. У города Пожареваца партизаны уничтожили 55 немецких полицейских. На железнодорожной линии между Загребом и Белградом патриоты пустили под откос воинский эшелон с грузами. В результате крушения разбиты паровоз и 8 вагонов. В другом районе патриоты сожгли два склада противника и перебили несколько десятков гитлеровцев.» (14934).</w:t>
      </w:r>
    </w:p>
    <w:p w14:paraId="24FE5AEB" w14:textId="77777777" w:rsidR="00807FA7" w:rsidRPr="00D03F3E" w:rsidRDefault="00807FA7" w:rsidP="00D03F3E">
      <w:pPr>
        <w:spacing w:after="0" w:line="240" w:lineRule="auto"/>
        <w:jc w:val="both"/>
        <w:rPr>
          <w:rFonts w:ascii="Times New Roman" w:hAnsi="Times New Roman"/>
          <w:color w:val="000000" w:themeColor="text1"/>
          <w:sz w:val="16"/>
          <w:szCs w:val="16"/>
        </w:rPr>
      </w:pPr>
    </w:p>
    <w:p w14:paraId="4CF2B6D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июня 1943 немецкая авиация сделала попытку потопить танкер "Иосиф Сталин", который совершал переход по ЧМ, но безуспешно (3457,66).</w:t>
      </w:r>
    </w:p>
    <w:p w14:paraId="165D75A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76705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с 26 на 27 июня 1943 «Хейнкели» из I./KG100 «Викинг» подвергли бомбежке Трусовский район Астрахани. В результате были сильно разрушены судоремонтные заводы им. III Интернационала и им. 10-летия Октябрьской революции. Одновременно небольшими силами был проведен последний налет на Саратов. На сей раз атаке подверглись различные промышленные объекты, а также жилые кварталы. Различные повреждения получили завод силикатного кирпича, лесокомбинат и Саратовская ТЭЦ. При отражении этого последнего удара частями ПВО был наконец-то произведен обильный дымопуск по Волге и в южной части города. Дымовой завесой прикрывались железнодорожный мост, южная оконечность острова и приток реки в районе нефтеперегонного завода. В эту же ночь германские бомбардировщики последний раз сбросили на парашютах донные мины в Волгу (11774).</w:t>
      </w:r>
    </w:p>
    <w:p w14:paraId="4CBF8A3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2597E6"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июня 1943 вышло Постановление ГКО № 3655 Об усилении противопожарных мероприятий в г. Москве. (7118, 31-34,35-37).</w:t>
      </w:r>
    </w:p>
    <w:p w14:paraId="1C413670"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D21F1D"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7400466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9966A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июня 1943 года вышел Циркуляр НКВД СССР №332 об улучшении организации охраны лагерей, конвоирования и охраны военнопленных на работах (8983).</w:t>
      </w:r>
    </w:p>
    <w:p w14:paraId="1D033BE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1CF737"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1244AF9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1190B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июня 1943 года</w:t>
      </w:r>
    </w:p>
    <w:p w14:paraId="6CEAB52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СЕКРЕТНОЕ ПОСЛАНИЕ ОТ ПРЕМЬЕРА И. В. СТАЛИНА ПРЕМЬЕР-МИНИСТРУ г. УИНСТОНУ ЧЕРЧИЛЛЮ</w:t>
      </w:r>
    </w:p>
    <w:p w14:paraId="03342A7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 получил Ваше послание от 23 июня сего года, в котором Вы указываете, что Правительства Великобритании и Соединенных Штатов Америки в данное время намерены воздержаться от признания уже созданного Французского Комитета Национального Освобождения. В обоснование этой своей позиции Вы ссылаетесь на то, что командование не может быть уверено в том, какие действия может предпринять генерал де Голль, и не уверено также в его дружественных чувствах к союзникам.</w:t>
      </w:r>
    </w:p>
    <w:p w14:paraId="034E62A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Правительство Великобритании, как нам казалось, до сих пор поддерживало генерала де Голля, и это представлялось вполне естественным, так как с момента капитуляции Франции генерал де Голль возглавлял французские антигитлеровские силы и руководил борьбой французских патриотов, объединенных вокруг </w:t>
      </w:r>
      <w:r w:rsidRPr="00D03F3E">
        <w:rPr>
          <w:rFonts w:ascii="Times New Roman" w:hAnsi="Times New Roman"/>
          <w:color w:val="000000" w:themeColor="text1"/>
          <w:sz w:val="16"/>
          <w:szCs w:val="16"/>
        </w:rPr>
        <w:lastRenderedPageBreak/>
        <w:t>Сражающейся Франции. Последующее развитие событий в Северной Африке с ноября прошлого года и участие в проводившихся англо-американскими войсками операциях французских вооруженных сил, возглавлявшихся генералами Жиро и де Голлем, создало условия для их объединения. Это объединение считалось целесообразным всеми союзниками, и в данном вопросе не возникало никакого сомнения. Признание созданного объединенного органа в лице Французского Комитета Национального Освобождения должно было явиться следствием тех стремлений и усилий, которые были проявлены в этом деле. Тем более что после того, как Французский Национальный Комитет в лице Жиро и де Голля официально обратился к союзникам с просьбой признать этот Комитет, Советскому Правительству казалось, что общественному мнению французов был бы непонятен отказ в признании.</w:t>
      </w:r>
    </w:p>
    <w:p w14:paraId="712BCD2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Советское Правительство не располагает в настоящее время информацией, которая могла бы подтвердить нынешнюю позицию Британского Правительства относительно Французского Комитета Национального Освобождения и, в частности, относительно генерала де Голля.</w:t>
      </w:r>
    </w:p>
    <w:p w14:paraId="386A474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Поскольку, однако, Британское Правительство просит отложить признание Французского Комитета и дало через своего Посла заверение, что без консультации с Советским Правительством не будет предпринято никаких шагов в этом деле, Советское Правительство готово пойти навстречу Британскому Правительству.</w:t>
      </w:r>
    </w:p>
    <w:p w14:paraId="603C3EC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 надеюсь, что Вы учтете заинтересованность Советского Союза во французских делах и не откажете Советскому Правительству в своевременной информации, необходимой для принятия соответствующих решений (7430).</w:t>
      </w:r>
    </w:p>
    <w:p w14:paraId="02418B6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8C9A00"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57FCA75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ACFEC4"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26 июня</w:t>
      </w:r>
      <w:r w:rsidRPr="00D03F3E">
        <w:rPr>
          <w:rFonts w:ascii="Times New Roman" w:hAnsi="Times New Roman"/>
          <w:color w:val="000000" w:themeColor="text1"/>
          <w:sz w:val="16"/>
          <w:szCs w:val="16"/>
        </w:rPr>
        <w:t xml:space="preserve"> в 1943 году тяжело поврежден на посадке и списан «Не 280V2» (GJ+CA) с «Jumo 004» (14934).</w:t>
      </w:r>
    </w:p>
    <w:p w14:paraId="11B65B3B" w14:textId="77777777" w:rsidR="00807FA7" w:rsidRPr="00D03F3E" w:rsidRDefault="00807FA7" w:rsidP="00D03F3E">
      <w:pPr>
        <w:spacing w:after="0" w:line="240" w:lineRule="auto"/>
        <w:jc w:val="both"/>
        <w:rPr>
          <w:rFonts w:ascii="Times New Roman" w:hAnsi="Times New Roman"/>
          <w:color w:val="000000" w:themeColor="text1"/>
          <w:sz w:val="16"/>
          <w:szCs w:val="16"/>
        </w:rPr>
      </w:pPr>
    </w:p>
    <w:p w14:paraId="1BD6987D"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26 июня</w:t>
      </w:r>
      <w:r w:rsidRPr="00D03F3E">
        <w:rPr>
          <w:rFonts w:ascii="Times New Roman" w:hAnsi="Times New Roman"/>
          <w:color w:val="000000" w:themeColor="text1"/>
          <w:sz w:val="16"/>
          <w:szCs w:val="16"/>
        </w:rPr>
        <w:t xml:space="preserve"> в 1943 году повторно поднялся в воздух после ремонта </w:t>
      </w:r>
      <w:hyperlink r:id="rId215" w:tgtFrame="_blank" w:history="1">
        <w:r w:rsidRPr="00D03F3E">
          <w:rPr>
            <w:rFonts w:ascii="Times New Roman" w:hAnsi="Times New Roman"/>
            <w:color w:val="000000" w:themeColor="text1"/>
            <w:sz w:val="16"/>
            <w:szCs w:val="16"/>
          </w:rPr>
          <w:t xml:space="preserve">«ХР-49» </w:t>
        </w:r>
      </w:hyperlink>
      <w:r w:rsidRPr="00D03F3E">
        <w:rPr>
          <w:rFonts w:ascii="Times New Roman" w:hAnsi="Times New Roman"/>
          <w:color w:val="000000" w:themeColor="text1"/>
          <w:sz w:val="16"/>
          <w:szCs w:val="16"/>
        </w:rPr>
        <w:t>с высокими килями. Армия была откровенно разочарована полученными результатами: прежде всего «ХР-49» был готов к армейским испытаниям на 27 месяцев позже ожидаемого срока, вдобавок его ТТХ не достигли ожидаемых высот, а на этот самолёт были затрачены немалые средства. Больший приоритет теперь отдавался серийной модификации «P-38J», показавшей лучшие характеристики, поэтому вопрос о начале серийного выпуска «ХР-49» даже не ставился. Испытания в Райт Филд были все же продолжены, но по причине низкой надежности двигателей и постоянных неисправностей в топливной системе единственный прототип перехватчика летал редко. В конце войны «ХР-49» поставили на временное хранение и в 1946 году пустили на слом (14934).</w:t>
      </w:r>
    </w:p>
    <w:p w14:paraId="12A4B3C7" w14:textId="77777777" w:rsidR="00807FA7" w:rsidRPr="00D03F3E" w:rsidRDefault="00807FA7" w:rsidP="00D03F3E">
      <w:pPr>
        <w:spacing w:after="0" w:line="240" w:lineRule="auto"/>
        <w:jc w:val="both"/>
        <w:rPr>
          <w:rFonts w:ascii="Times New Roman" w:hAnsi="Times New Roman"/>
          <w:color w:val="000000" w:themeColor="text1"/>
          <w:sz w:val="16"/>
          <w:szCs w:val="16"/>
        </w:rPr>
      </w:pPr>
    </w:p>
    <w:p w14:paraId="4E48E914" w14:textId="77777777" w:rsidR="00ED28E4" w:rsidRPr="00D03F3E" w:rsidRDefault="00ED28E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26 июня 1943 г. был облетан головной YB-29. Сложность оборудования и вооружения определила очень высокую цену самолета — 1.403.623 долларов и 86 центов за штуку: за такие деньги можно было построить четыре B-17F. Официальные и войсковые испытания серии подтвердили заявленные характеристики самолета, но показали, что фирма не успела устранить все дефекты. Тем не менее заказ был увеличен, машину приняли на вооружение с обязательством фирмы повысить надежность силовой установки и управления к началу выпуска первого серийного блока B-29-1-BW на заводе в Вичите (23005).</w:t>
      </w:r>
    </w:p>
    <w:p w14:paraId="5E2293FB" w14:textId="77777777" w:rsidR="00ED28E4" w:rsidRPr="00D03F3E" w:rsidRDefault="00ED28E4" w:rsidP="00D03F3E">
      <w:pPr>
        <w:spacing w:after="0" w:line="240" w:lineRule="auto"/>
        <w:jc w:val="both"/>
        <w:rPr>
          <w:rFonts w:ascii="Times New Roman" w:hAnsi="Times New Roman"/>
          <w:color w:val="0070C0"/>
          <w:sz w:val="16"/>
          <w:szCs w:val="16"/>
        </w:rPr>
      </w:pPr>
    </w:p>
    <w:p w14:paraId="53918DE4"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26 июня</w:t>
      </w:r>
      <w:r w:rsidRPr="00D03F3E">
        <w:rPr>
          <w:rFonts w:ascii="Times New Roman" w:hAnsi="Times New Roman"/>
          <w:color w:val="000000" w:themeColor="text1"/>
          <w:sz w:val="16"/>
          <w:szCs w:val="16"/>
        </w:rPr>
        <w:t xml:space="preserve"> в 1943 году совершил первый полет первый </w:t>
      </w:r>
      <w:hyperlink r:id="rId216" w:tgtFrame="_blank" w:history="1">
        <w:r w:rsidRPr="00D03F3E">
          <w:rPr>
            <w:rFonts w:ascii="Times New Roman" w:hAnsi="Times New Roman"/>
            <w:color w:val="000000" w:themeColor="text1"/>
            <w:sz w:val="16"/>
            <w:szCs w:val="16"/>
          </w:rPr>
          <w:t xml:space="preserve">«YB-29» </w:t>
        </w:r>
      </w:hyperlink>
      <w:r w:rsidRPr="00D03F3E">
        <w:rPr>
          <w:rFonts w:ascii="Times New Roman" w:hAnsi="Times New Roman"/>
          <w:color w:val="000000" w:themeColor="text1"/>
          <w:sz w:val="16"/>
          <w:szCs w:val="16"/>
        </w:rPr>
        <w:t>(серийный номер 41-36954), выпущенный на авиазаводе в Уичита 15 апреля 1943 года. Силовая установка состояла из четырех двигателей «R-3350-21» с трехлопастными пропеллерами (14934).</w:t>
      </w:r>
    </w:p>
    <w:p w14:paraId="11FD514D" w14:textId="77777777" w:rsidR="00807FA7" w:rsidRPr="00D03F3E" w:rsidRDefault="00807FA7" w:rsidP="00D03F3E">
      <w:pPr>
        <w:spacing w:after="0" w:line="240" w:lineRule="auto"/>
        <w:jc w:val="both"/>
        <w:rPr>
          <w:rFonts w:ascii="Times New Roman" w:hAnsi="Times New Roman"/>
          <w:color w:val="000000" w:themeColor="text1"/>
          <w:sz w:val="16"/>
          <w:szCs w:val="16"/>
        </w:rPr>
      </w:pPr>
    </w:p>
    <w:p w14:paraId="6C2B4292" w14:textId="77777777" w:rsidR="00ED28E4" w:rsidRPr="00D03F3E" w:rsidRDefault="00ED28E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26 июня 1943 первый полет одновинтового вертолета Bell Model 30 (20376).</w:t>
      </w:r>
    </w:p>
    <w:p w14:paraId="52A5C630" w14:textId="77777777" w:rsidR="00ED28E4" w:rsidRPr="00D03F3E" w:rsidRDefault="00ED28E4" w:rsidP="00D03F3E">
      <w:pPr>
        <w:spacing w:after="0" w:line="240" w:lineRule="auto"/>
        <w:jc w:val="both"/>
        <w:rPr>
          <w:rFonts w:ascii="Times New Roman" w:hAnsi="Times New Roman"/>
          <w:color w:val="0070C0"/>
          <w:sz w:val="16"/>
          <w:szCs w:val="16"/>
        </w:rPr>
      </w:pPr>
    </w:p>
    <w:p w14:paraId="3E24B8E9"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июня 1943 бойцами французского Сопротивления взорван немецкий паровозный завод в Лилле (4962).</w:t>
      </w:r>
    </w:p>
    <w:p w14:paraId="21D6967E"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581D11"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 июня 1943 англичане забросили в Голландию шпиона Георга Ямброэса со списками голландского подполья, благодаря которым фашисты до конца войны вели секретную игру с Британией (4962).</w:t>
      </w:r>
    </w:p>
    <w:p w14:paraId="0F5FDEFC"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FA19CC"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74BCA66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48FB5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июня 1943 г. три самолета МиГ-9 №№6501, 6502, 6503 после доработки были переданы в состав 260 САД 7 ВА Карельского фронта, где они эксплуатировались вплоть до списания по износу в 1944 г. (5485,30).</w:t>
      </w:r>
    </w:p>
    <w:p w14:paraId="7EDFE3F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38877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июня 1943 г. три самолета после очередной модернизации были переданы в состав 260-й сад 7 ВА Карельского фронта, где они эксплуатировались вплоть до списания по износу в 1944 г. (12045).</w:t>
      </w:r>
    </w:p>
    <w:p w14:paraId="09B2B8D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695E9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июня 1942 г. был рассмотрен и одобрен макет истребителя И-220 с мотором АМ-39 ("внешнее" обозначение - МиГ-11). Из-за отсутствия пригодного к полетам двигателя АМ-39 на самолет, получивший еще и шифр "А", временно смонтировали мотор АМ-38Ф.</w:t>
      </w:r>
    </w:p>
    <w:p w14:paraId="6D5E2B2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конструкции отдельных узлов мотор АМ-39 являлся как бы высотным вариантом мотора АМ-38. Основным его отличием на первом этапе разработки стало применение оригинальной двухскоростной коробки переключения скоростей, которая повышала границу высотности до 6800 м. Внедрение этой коробки не требовало ломки технологии производства нагнетателя и двигателя. Мотор АМ-39, как и АМ-37, имел водо-воздушный радиатор для охлаждения воздуха на входе в карбюратор. Его применение обеспечивало прирост мощности, эквивалентный 200 л.с. Однако усложнение конструкции двигателя привело к затягиванию заводских испытаний АМ-39 вплоть до середины 1943 г.</w:t>
      </w:r>
    </w:p>
    <w:p w14:paraId="50A9893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 истребителя И-220 все радиаторы были сосредоточены в крыле, воздухозаборники располагались в передней кромке центроплана. Самолет имел шасси с рычажной подвеской колес и мягкие топливные баки. Вооружение состояло из двух синхронных 20-мм пушек ШВАК с боезапасом по 150 патронов. В перегрузку планировалась установка еще двух пушек ШВАК с таким же боезапасом.</w:t>
      </w:r>
    </w:p>
    <w:p w14:paraId="1303244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Первый опытный экземпляр И-220 был построен в сентябре 1942 г. Заводские испытания проводили ведущий инженер А. Г. Врунов и летчик-испытатель A.M. Жуков. В первый полет И-220 зав. № 01 отправился с обычным, нефорсированным мотором АМ-38 ввиду отсутствия АМ-39. К 8 января 1943 г. мотор заменили на АМ-38Ф, усилили центроплан и провели ряд других доработок. Возобновившиеся в феврале 1943 г. полеты в основном имели-1хелью отработку шасси, поначалу не желавшего убираться. Даже с мотором АМ-38Ф самолет обладал неплохой Двигатель АМ-39 скоростью: 576 км/ч у земли и 624 км/ч на высоте 2650 м. Высоту 3000 м самолет набирал за 2,5 мин, а 5000 м - за 4,6 мин. В начале 1943 г. на высотах до 4000...5000 м истребитель И-220 мог уверенно потягаться с любой серийной неприятельской машиной.</w:t>
      </w:r>
    </w:p>
    <w:p w14:paraId="7A92C0C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апреле 1943 г. был получен опытный мотор АМ-39. Первый вылет И-220 с новым "сердцем" выполнил 25 мая 1943 г. В июле, отладив работу мотора и радиаторов, приступили к определению основных летных характеристик. На боевом режиме работы двигателя самолет достиг скорости 614 км/ч на высоте 2700 м и 697 км/ч на 7800 м. Высоту 5000 м самолет набирал за 4,5 мин, а 8000 м - за 8,2 мин. Однако бочки меда не бывает без ложки дегтя. В процессе испытаний пришлось пять раз заменять двигатели АМ-39. Мотор имел множество конструктивных дефектов. В сентябре 1943 г. А.И. Микоян был вынужден снова вернуться к серийному АМ-38Ф. 1 октября 1943 г. полеты возобновились, а уже на следующий день машина потерпела аварию, и ее отправили в ремонт. Тем временем на заводе №155 строился второй экземпляр И-220, также с двигателем АМ-38Ф. </w:t>
      </w:r>
    </w:p>
    <w:p w14:paraId="6AFB8DF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летно-технические характеристики опытных самолетов Микояна и Гуревича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860B4B" w:rsidRPr="00D03F3E" w14:paraId="4F2D4FD2" w14:textId="77777777">
        <w:tc>
          <w:tcPr>
            <w:tcW w:w="1868" w:type="dxa"/>
            <w:tcBorders>
              <w:top w:val="single" w:sz="12" w:space="0" w:color="auto"/>
            </w:tcBorders>
          </w:tcPr>
          <w:p w14:paraId="4F81B1D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Характеристика</w:t>
            </w:r>
          </w:p>
        </w:tc>
        <w:tc>
          <w:tcPr>
            <w:tcW w:w="1868" w:type="dxa"/>
            <w:tcBorders>
              <w:top w:val="single" w:sz="12" w:space="0" w:color="auto"/>
            </w:tcBorders>
          </w:tcPr>
          <w:p w14:paraId="3D915E9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МиГ-3</w:t>
            </w:r>
          </w:p>
        </w:tc>
        <w:tc>
          <w:tcPr>
            <w:tcW w:w="1868" w:type="dxa"/>
            <w:tcBorders>
              <w:top w:val="single" w:sz="12" w:space="0" w:color="auto"/>
            </w:tcBorders>
          </w:tcPr>
          <w:p w14:paraId="0CE7025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МиГ-9</w:t>
            </w:r>
          </w:p>
        </w:tc>
        <w:tc>
          <w:tcPr>
            <w:tcW w:w="1868" w:type="dxa"/>
            <w:tcBorders>
              <w:top w:val="single" w:sz="12" w:space="0" w:color="auto"/>
            </w:tcBorders>
          </w:tcPr>
          <w:p w14:paraId="155115D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И-220</w:t>
            </w:r>
          </w:p>
        </w:tc>
        <w:tc>
          <w:tcPr>
            <w:tcW w:w="1868" w:type="dxa"/>
            <w:tcBorders>
              <w:top w:val="single" w:sz="12" w:space="0" w:color="auto"/>
            </w:tcBorders>
          </w:tcPr>
          <w:p w14:paraId="62BF1A2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И-224</w:t>
            </w:r>
          </w:p>
        </w:tc>
        <w:tc>
          <w:tcPr>
            <w:tcW w:w="1868" w:type="dxa"/>
            <w:tcBorders>
              <w:top w:val="single" w:sz="12" w:space="0" w:color="auto"/>
            </w:tcBorders>
          </w:tcPr>
          <w:p w14:paraId="585BA74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И-225</w:t>
            </w:r>
          </w:p>
        </w:tc>
      </w:tr>
      <w:tr w:rsidR="00860B4B" w:rsidRPr="00D03F3E" w14:paraId="40C19B69" w14:textId="77777777">
        <w:tc>
          <w:tcPr>
            <w:tcW w:w="1868" w:type="dxa"/>
          </w:tcPr>
          <w:p w14:paraId="185BFCE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двигателя</w:t>
            </w:r>
          </w:p>
        </w:tc>
        <w:tc>
          <w:tcPr>
            <w:tcW w:w="1868" w:type="dxa"/>
          </w:tcPr>
          <w:p w14:paraId="1C0162E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АМ-38</w:t>
            </w:r>
          </w:p>
        </w:tc>
        <w:tc>
          <w:tcPr>
            <w:tcW w:w="1868" w:type="dxa"/>
          </w:tcPr>
          <w:p w14:paraId="7C3B70C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М-82</w:t>
            </w:r>
          </w:p>
        </w:tc>
        <w:tc>
          <w:tcPr>
            <w:tcW w:w="1868" w:type="dxa"/>
          </w:tcPr>
          <w:p w14:paraId="0F63A6F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АМ-39</w:t>
            </w:r>
          </w:p>
        </w:tc>
        <w:tc>
          <w:tcPr>
            <w:tcW w:w="1868" w:type="dxa"/>
          </w:tcPr>
          <w:p w14:paraId="7D083B3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АМ-39ФБ</w:t>
            </w:r>
          </w:p>
        </w:tc>
        <w:tc>
          <w:tcPr>
            <w:tcW w:w="1868" w:type="dxa"/>
          </w:tcPr>
          <w:p w14:paraId="3FD3F09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АМ-42ФБ</w:t>
            </w:r>
          </w:p>
        </w:tc>
      </w:tr>
      <w:tr w:rsidR="00860B4B" w:rsidRPr="00D03F3E" w14:paraId="78025B31" w14:textId="77777777">
        <w:tc>
          <w:tcPr>
            <w:tcW w:w="1868" w:type="dxa"/>
          </w:tcPr>
          <w:p w14:paraId="5E73DAB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Взлетная мощность, л.с.</w:t>
            </w:r>
          </w:p>
        </w:tc>
        <w:tc>
          <w:tcPr>
            <w:tcW w:w="1868" w:type="dxa"/>
          </w:tcPr>
          <w:p w14:paraId="1D9A9AF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1665</w:t>
            </w:r>
          </w:p>
        </w:tc>
        <w:tc>
          <w:tcPr>
            <w:tcW w:w="1868" w:type="dxa"/>
          </w:tcPr>
          <w:p w14:paraId="4F36B7B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1700</w:t>
            </w:r>
          </w:p>
        </w:tc>
        <w:tc>
          <w:tcPr>
            <w:tcW w:w="1868" w:type="dxa"/>
          </w:tcPr>
          <w:p w14:paraId="0132A8B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1800</w:t>
            </w:r>
          </w:p>
        </w:tc>
        <w:tc>
          <w:tcPr>
            <w:tcW w:w="1868" w:type="dxa"/>
          </w:tcPr>
          <w:p w14:paraId="0F8062E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1850</w:t>
            </w:r>
          </w:p>
        </w:tc>
        <w:tc>
          <w:tcPr>
            <w:tcW w:w="1868" w:type="dxa"/>
          </w:tcPr>
          <w:p w14:paraId="4B5E341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2000</w:t>
            </w:r>
          </w:p>
        </w:tc>
      </w:tr>
      <w:tr w:rsidR="00860B4B" w:rsidRPr="00D03F3E" w14:paraId="4A03B6E3" w14:textId="77777777">
        <w:tc>
          <w:tcPr>
            <w:tcW w:w="1868" w:type="dxa"/>
          </w:tcPr>
          <w:p w14:paraId="0D716BB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самолета, м</w:t>
            </w:r>
          </w:p>
        </w:tc>
        <w:tc>
          <w:tcPr>
            <w:tcW w:w="1868" w:type="dxa"/>
          </w:tcPr>
          <w:p w14:paraId="533E7B0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8,25</w:t>
            </w:r>
          </w:p>
        </w:tc>
        <w:tc>
          <w:tcPr>
            <w:tcW w:w="1868" w:type="dxa"/>
          </w:tcPr>
          <w:p w14:paraId="1F02F88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8,078</w:t>
            </w:r>
          </w:p>
        </w:tc>
        <w:tc>
          <w:tcPr>
            <w:tcW w:w="1868" w:type="dxa"/>
          </w:tcPr>
          <w:p w14:paraId="5004972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9,5</w:t>
            </w:r>
          </w:p>
        </w:tc>
        <w:tc>
          <w:tcPr>
            <w:tcW w:w="1868" w:type="dxa"/>
          </w:tcPr>
          <w:p w14:paraId="5B286E2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9,6</w:t>
            </w:r>
          </w:p>
        </w:tc>
        <w:tc>
          <w:tcPr>
            <w:tcW w:w="1868" w:type="dxa"/>
          </w:tcPr>
          <w:p w14:paraId="391732C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9,5</w:t>
            </w:r>
          </w:p>
        </w:tc>
      </w:tr>
      <w:tr w:rsidR="00860B4B" w:rsidRPr="00D03F3E" w14:paraId="36596331" w14:textId="77777777">
        <w:tc>
          <w:tcPr>
            <w:tcW w:w="1868" w:type="dxa"/>
          </w:tcPr>
          <w:p w14:paraId="0B8BFDF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Размах крыла, м</w:t>
            </w:r>
          </w:p>
        </w:tc>
        <w:tc>
          <w:tcPr>
            <w:tcW w:w="1868" w:type="dxa"/>
          </w:tcPr>
          <w:p w14:paraId="149A4B2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w:t>
            </w:r>
          </w:p>
        </w:tc>
        <w:tc>
          <w:tcPr>
            <w:tcW w:w="1868" w:type="dxa"/>
          </w:tcPr>
          <w:p w14:paraId="7E4255B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10,2</w:t>
            </w:r>
          </w:p>
        </w:tc>
        <w:tc>
          <w:tcPr>
            <w:tcW w:w="1868" w:type="dxa"/>
          </w:tcPr>
          <w:p w14:paraId="51DEFD9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w:t>
            </w:r>
          </w:p>
        </w:tc>
        <w:tc>
          <w:tcPr>
            <w:tcW w:w="1868" w:type="dxa"/>
          </w:tcPr>
          <w:p w14:paraId="72B32EA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w:t>
            </w:r>
          </w:p>
        </w:tc>
        <w:tc>
          <w:tcPr>
            <w:tcW w:w="1868" w:type="dxa"/>
          </w:tcPr>
          <w:p w14:paraId="5F1150E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11,0</w:t>
            </w:r>
          </w:p>
        </w:tc>
      </w:tr>
      <w:tr w:rsidR="00860B4B" w:rsidRPr="00D03F3E" w14:paraId="4D514BA9" w14:textId="77777777">
        <w:tc>
          <w:tcPr>
            <w:tcW w:w="1868" w:type="dxa"/>
          </w:tcPr>
          <w:p w14:paraId="1E3F2E4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Площадь крыла, м2</w:t>
            </w:r>
          </w:p>
        </w:tc>
        <w:tc>
          <w:tcPr>
            <w:tcW w:w="1868" w:type="dxa"/>
          </w:tcPr>
          <w:p w14:paraId="78DE838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17,44</w:t>
            </w:r>
          </w:p>
        </w:tc>
        <w:tc>
          <w:tcPr>
            <w:tcW w:w="1868" w:type="dxa"/>
          </w:tcPr>
          <w:p w14:paraId="0B698F7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17,44</w:t>
            </w:r>
          </w:p>
        </w:tc>
        <w:tc>
          <w:tcPr>
            <w:tcW w:w="1868" w:type="dxa"/>
          </w:tcPr>
          <w:p w14:paraId="6BB0A60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20,38</w:t>
            </w:r>
          </w:p>
        </w:tc>
        <w:tc>
          <w:tcPr>
            <w:tcW w:w="1868" w:type="dxa"/>
          </w:tcPr>
          <w:p w14:paraId="72DD914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22,4</w:t>
            </w:r>
          </w:p>
        </w:tc>
        <w:tc>
          <w:tcPr>
            <w:tcW w:w="1868" w:type="dxa"/>
          </w:tcPr>
          <w:p w14:paraId="391A9EF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20,4</w:t>
            </w:r>
          </w:p>
        </w:tc>
      </w:tr>
      <w:tr w:rsidR="00860B4B" w:rsidRPr="00D03F3E" w14:paraId="1B11BA15" w14:textId="77777777">
        <w:tc>
          <w:tcPr>
            <w:tcW w:w="1868" w:type="dxa"/>
          </w:tcPr>
          <w:p w14:paraId="42D07BB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Высота самолета, м</w:t>
            </w:r>
          </w:p>
        </w:tc>
        <w:tc>
          <w:tcPr>
            <w:tcW w:w="1868" w:type="dxa"/>
          </w:tcPr>
          <w:p w14:paraId="532810B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3,325</w:t>
            </w:r>
          </w:p>
        </w:tc>
        <w:tc>
          <w:tcPr>
            <w:tcW w:w="1868" w:type="dxa"/>
          </w:tcPr>
          <w:p w14:paraId="4315735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2762</w:t>
            </w:r>
          </w:p>
        </w:tc>
        <w:tc>
          <w:tcPr>
            <w:tcW w:w="1868" w:type="dxa"/>
          </w:tcPr>
          <w:p w14:paraId="28F712B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3,66</w:t>
            </w:r>
          </w:p>
        </w:tc>
        <w:tc>
          <w:tcPr>
            <w:tcW w:w="1868" w:type="dxa"/>
          </w:tcPr>
          <w:p w14:paraId="2996F51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3,66</w:t>
            </w:r>
          </w:p>
        </w:tc>
        <w:tc>
          <w:tcPr>
            <w:tcW w:w="1868" w:type="dxa"/>
          </w:tcPr>
          <w:p w14:paraId="1F44523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w:t>
            </w:r>
          </w:p>
        </w:tc>
      </w:tr>
      <w:tr w:rsidR="00860B4B" w:rsidRPr="00D03F3E" w14:paraId="26804204" w14:textId="77777777">
        <w:tc>
          <w:tcPr>
            <w:tcW w:w="1868" w:type="dxa"/>
          </w:tcPr>
          <w:p w14:paraId="121C656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Масса пустого самолета, кг</w:t>
            </w:r>
          </w:p>
        </w:tc>
        <w:tc>
          <w:tcPr>
            <w:tcW w:w="1868" w:type="dxa"/>
          </w:tcPr>
          <w:p w14:paraId="666B464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3325</w:t>
            </w:r>
          </w:p>
        </w:tc>
        <w:tc>
          <w:tcPr>
            <w:tcW w:w="1868" w:type="dxa"/>
          </w:tcPr>
          <w:p w14:paraId="3C75246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3382</w:t>
            </w:r>
          </w:p>
        </w:tc>
        <w:tc>
          <w:tcPr>
            <w:tcW w:w="1868" w:type="dxa"/>
          </w:tcPr>
          <w:p w14:paraId="75019BB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3103</w:t>
            </w:r>
          </w:p>
        </w:tc>
        <w:tc>
          <w:tcPr>
            <w:tcW w:w="1868" w:type="dxa"/>
          </w:tcPr>
          <w:p w14:paraId="59BFACB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3105</w:t>
            </w:r>
          </w:p>
        </w:tc>
        <w:tc>
          <w:tcPr>
            <w:tcW w:w="1868" w:type="dxa"/>
          </w:tcPr>
          <w:p w14:paraId="2951143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ЗОЮ</w:t>
            </w:r>
          </w:p>
        </w:tc>
      </w:tr>
      <w:tr w:rsidR="00860B4B" w:rsidRPr="00D03F3E" w14:paraId="379707D7" w14:textId="77777777">
        <w:tc>
          <w:tcPr>
            <w:tcW w:w="1868" w:type="dxa"/>
          </w:tcPr>
          <w:p w14:paraId="21715F5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Взлетная масса, кг</w:t>
            </w:r>
          </w:p>
        </w:tc>
        <w:tc>
          <w:tcPr>
            <w:tcW w:w="1868" w:type="dxa"/>
          </w:tcPr>
          <w:p w14:paraId="1563FFF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3595</w:t>
            </w:r>
          </w:p>
        </w:tc>
        <w:tc>
          <w:tcPr>
            <w:tcW w:w="1868" w:type="dxa"/>
          </w:tcPr>
          <w:p w14:paraId="385FCC1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E25B05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3835</w:t>
            </w:r>
          </w:p>
        </w:tc>
        <w:tc>
          <w:tcPr>
            <w:tcW w:w="1868" w:type="dxa"/>
          </w:tcPr>
          <w:p w14:paraId="16EB3B4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3780</w:t>
            </w:r>
          </w:p>
        </w:tc>
        <w:tc>
          <w:tcPr>
            <w:tcW w:w="1868" w:type="dxa"/>
          </w:tcPr>
          <w:p w14:paraId="594E9AD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3912</w:t>
            </w:r>
          </w:p>
        </w:tc>
      </w:tr>
      <w:tr w:rsidR="00860B4B" w:rsidRPr="00D03F3E" w14:paraId="7DBA4E41" w14:textId="77777777">
        <w:tc>
          <w:tcPr>
            <w:tcW w:w="1868" w:type="dxa"/>
          </w:tcPr>
          <w:p w14:paraId="3814A5D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Запас топлива, кг</w:t>
            </w:r>
          </w:p>
        </w:tc>
        <w:tc>
          <w:tcPr>
            <w:tcW w:w="1868" w:type="dxa"/>
          </w:tcPr>
          <w:p w14:paraId="0B2BD23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B2BA9D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360</w:t>
            </w:r>
          </w:p>
        </w:tc>
        <w:tc>
          <w:tcPr>
            <w:tcW w:w="1868" w:type="dxa"/>
          </w:tcPr>
          <w:p w14:paraId="4520A47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335</w:t>
            </w:r>
          </w:p>
        </w:tc>
        <w:tc>
          <w:tcPr>
            <w:tcW w:w="1868" w:type="dxa"/>
          </w:tcPr>
          <w:p w14:paraId="1051EB2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3551</w:t>
            </w:r>
          </w:p>
        </w:tc>
        <w:tc>
          <w:tcPr>
            <w:tcW w:w="1868" w:type="dxa"/>
          </w:tcPr>
          <w:p w14:paraId="31B812E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3252</w:t>
            </w:r>
          </w:p>
        </w:tc>
      </w:tr>
      <w:tr w:rsidR="00860B4B" w:rsidRPr="00D03F3E" w14:paraId="3048F516" w14:textId="77777777">
        <w:tc>
          <w:tcPr>
            <w:tcW w:w="1868" w:type="dxa"/>
          </w:tcPr>
          <w:p w14:paraId="6F591D1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полета, км/ч:</w:t>
            </w:r>
          </w:p>
        </w:tc>
        <w:tc>
          <w:tcPr>
            <w:tcW w:w="1868" w:type="dxa"/>
          </w:tcPr>
          <w:p w14:paraId="48BE7AA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E73935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2E9099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1219F2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1E4597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C923F40" w14:textId="77777777">
        <w:tc>
          <w:tcPr>
            <w:tcW w:w="1868" w:type="dxa"/>
          </w:tcPr>
          <w:p w14:paraId="79EF1D9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у земли</w:t>
            </w:r>
          </w:p>
        </w:tc>
        <w:tc>
          <w:tcPr>
            <w:tcW w:w="1868" w:type="dxa"/>
          </w:tcPr>
          <w:p w14:paraId="654E740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519</w:t>
            </w:r>
          </w:p>
        </w:tc>
        <w:tc>
          <w:tcPr>
            <w:tcW w:w="1868" w:type="dxa"/>
          </w:tcPr>
          <w:p w14:paraId="0DC5BD5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475</w:t>
            </w:r>
          </w:p>
        </w:tc>
        <w:tc>
          <w:tcPr>
            <w:tcW w:w="1868" w:type="dxa"/>
          </w:tcPr>
          <w:p w14:paraId="75FE283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625</w:t>
            </w:r>
          </w:p>
        </w:tc>
        <w:tc>
          <w:tcPr>
            <w:tcW w:w="1868" w:type="dxa"/>
          </w:tcPr>
          <w:p w14:paraId="3259D63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574</w:t>
            </w:r>
          </w:p>
        </w:tc>
        <w:tc>
          <w:tcPr>
            <w:tcW w:w="1868" w:type="dxa"/>
          </w:tcPr>
          <w:p w14:paraId="3B7BEF2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560</w:t>
            </w:r>
          </w:p>
        </w:tc>
      </w:tr>
      <w:tr w:rsidR="00860B4B" w:rsidRPr="00D03F3E" w14:paraId="41FED529" w14:textId="77777777">
        <w:tc>
          <w:tcPr>
            <w:tcW w:w="1868" w:type="dxa"/>
          </w:tcPr>
          <w:p w14:paraId="319147C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на высоте 5000 м</w:t>
            </w:r>
          </w:p>
        </w:tc>
        <w:tc>
          <w:tcPr>
            <w:tcW w:w="1868" w:type="dxa"/>
          </w:tcPr>
          <w:p w14:paraId="2D7C5D3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5923</w:t>
            </w:r>
          </w:p>
        </w:tc>
        <w:tc>
          <w:tcPr>
            <w:tcW w:w="1868" w:type="dxa"/>
          </w:tcPr>
          <w:p w14:paraId="1711B7D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1DC776C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08253DF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17C6D5A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650</w:t>
            </w:r>
          </w:p>
        </w:tc>
      </w:tr>
      <w:tr w:rsidR="00860B4B" w:rsidRPr="00D03F3E" w14:paraId="2344B87B" w14:textId="77777777">
        <w:tc>
          <w:tcPr>
            <w:tcW w:w="1868" w:type="dxa"/>
          </w:tcPr>
          <w:p w14:paraId="684464E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на высоте 10 ООО м</w:t>
            </w:r>
          </w:p>
        </w:tc>
        <w:tc>
          <w:tcPr>
            <w:tcW w:w="1868" w:type="dxa"/>
          </w:tcPr>
          <w:p w14:paraId="22DFD80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00700DF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5654</w:t>
            </w:r>
          </w:p>
        </w:tc>
        <w:tc>
          <w:tcPr>
            <w:tcW w:w="1868" w:type="dxa"/>
          </w:tcPr>
          <w:p w14:paraId="65D3984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6955</w:t>
            </w:r>
          </w:p>
        </w:tc>
        <w:tc>
          <w:tcPr>
            <w:tcW w:w="1868" w:type="dxa"/>
          </w:tcPr>
          <w:p w14:paraId="018527A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6936</w:t>
            </w:r>
          </w:p>
        </w:tc>
        <w:tc>
          <w:tcPr>
            <w:tcW w:w="1868" w:type="dxa"/>
          </w:tcPr>
          <w:p w14:paraId="6C4EBA0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726</w:t>
            </w:r>
          </w:p>
        </w:tc>
      </w:tr>
      <w:tr w:rsidR="00860B4B" w:rsidRPr="00D03F3E" w14:paraId="0EC54AE3" w14:textId="77777777">
        <w:tc>
          <w:tcPr>
            <w:tcW w:w="1868" w:type="dxa"/>
          </w:tcPr>
          <w:p w14:paraId="1E65FC6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высоты 5000 м, мин</w:t>
            </w:r>
          </w:p>
        </w:tc>
        <w:tc>
          <w:tcPr>
            <w:tcW w:w="1868" w:type="dxa"/>
          </w:tcPr>
          <w:p w14:paraId="499104B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7,93</w:t>
            </w:r>
          </w:p>
        </w:tc>
        <w:tc>
          <w:tcPr>
            <w:tcW w:w="1868" w:type="dxa"/>
          </w:tcPr>
          <w:p w14:paraId="5B6DA4C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6,7</w:t>
            </w:r>
          </w:p>
        </w:tc>
        <w:tc>
          <w:tcPr>
            <w:tcW w:w="1868" w:type="dxa"/>
          </w:tcPr>
          <w:p w14:paraId="18578C7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6,3</w:t>
            </w:r>
          </w:p>
        </w:tc>
        <w:tc>
          <w:tcPr>
            <w:tcW w:w="1868" w:type="dxa"/>
          </w:tcPr>
          <w:p w14:paraId="71B5463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5254802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r>
      <w:tr w:rsidR="00860B4B" w:rsidRPr="00D03F3E" w14:paraId="15E0280B" w14:textId="77777777">
        <w:tc>
          <w:tcPr>
            <w:tcW w:w="1868" w:type="dxa"/>
          </w:tcPr>
          <w:p w14:paraId="41D69D7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 м</w:t>
            </w:r>
          </w:p>
        </w:tc>
        <w:tc>
          <w:tcPr>
            <w:tcW w:w="1868" w:type="dxa"/>
          </w:tcPr>
          <w:p w14:paraId="61639E2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45B6C8F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8700</w:t>
            </w:r>
          </w:p>
        </w:tc>
        <w:tc>
          <w:tcPr>
            <w:tcW w:w="1868" w:type="dxa"/>
          </w:tcPr>
          <w:p w14:paraId="10483ED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11 000</w:t>
            </w:r>
          </w:p>
        </w:tc>
        <w:tc>
          <w:tcPr>
            <w:tcW w:w="1868" w:type="dxa"/>
          </w:tcPr>
          <w:p w14:paraId="3E9F7DC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14 100</w:t>
            </w:r>
          </w:p>
        </w:tc>
        <w:tc>
          <w:tcPr>
            <w:tcW w:w="1868" w:type="dxa"/>
          </w:tcPr>
          <w:p w14:paraId="07A9BDB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12 600</w:t>
            </w:r>
          </w:p>
        </w:tc>
      </w:tr>
      <w:tr w:rsidR="00860B4B" w:rsidRPr="00D03F3E" w14:paraId="008653CC" w14:textId="77777777">
        <w:tc>
          <w:tcPr>
            <w:tcW w:w="1868" w:type="dxa"/>
          </w:tcPr>
          <w:p w14:paraId="536CEC8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разбега, м</w:t>
            </w:r>
          </w:p>
        </w:tc>
        <w:tc>
          <w:tcPr>
            <w:tcW w:w="1868" w:type="dxa"/>
          </w:tcPr>
          <w:p w14:paraId="14BC1D7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0FC421B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146</w:t>
            </w:r>
          </w:p>
        </w:tc>
        <w:tc>
          <w:tcPr>
            <w:tcW w:w="1868" w:type="dxa"/>
          </w:tcPr>
          <w:p w14:paraId="724D88F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238C941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230</w:t>
            </w:r>
          </w:p>
        </w:tc>
        <w:tc>
          <w:tcPr>
            <w:tcW w:w="1868" w:type="dxa"/>
          </w:tcPr>
          <w:p w14:paraId="631A3C4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257</w:t>
            </w:r>
          </w:p>
        </w:tc>
      </w:tr>
      <w:tr w:rsidR="00860B4B" w:rsidRPr="00D03F3E" w14:paraId="59FBAC73" w14:textId="77777777">
        <w:tc>
          <w:tcPr>
            <w:tcW w:w="1868" w:type="dxa"/>
          </w:tcPr>
          <w:p w14:paraId="3C4965D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пробега, м</w:t>
            </w:r>
          </w:p>
        </w:tc>
        <w:tc>
          <w:tcPr>
            <w:tcW w:w="1868" w:type="dxa"/>
          </w:tcPr>
          <w:p w14:paraId="66D4D3C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0DCE5DF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410</w:t>
            </w:r>
          </w:p>
        </w:tc>
        <w:tc>
          <w:tcPr>
            <w:tcW w:w="1868" w:type="dxa"/>
          </w:tcPr>
          <w:p w14:paraId="40F7247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Pr>
          <w:p w14:paraId="643FE13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440</w:t>
            </w:r>
          </w:p>
        </w:tc>
        <w:tc>
          <w:tcPr>
            <w:tcW w:w="1868" w:type="dxa"/>
          </w:tcPr>
          <w:p w14:paraId="01B00D5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450</w:t>
            </w:r>
          </w:p>
        </w:tc>
      </w:tr>
      <w:tr w:rsidR="00860B4B" w:rsidRPr="00D03F3E" w14:paraId="46B85D3A" w14:textId="77777777">
        <w:tc>
          <w:tcPr>
            <w:tcW w:w="1868" w:type="dxa"/>
            <w:tcBorders>
              <w:bottom w:val="single" w:sz="12" w:space="0" w:color="auto"/>
            </w:tcBorders>
          </w:tcPr>
          <w:p w14:paraId="2713915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Посадочная скорость, км/ч</w:t>
            </w:r>
          </w:p>
        </w:tc>
        <w:tc>
          <w:tcPr>
            <w:tcW w:w="1868" w:type="dxa"/>
            <w:tcBorders>
              <w:bottom w:val="single" w:sz="12" w:space="0" w:color="auto"/>
            </w:tcBorders>
          </w:tcPr>
          <w:p w14:paraId="34BAC39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Borders>
              <w:bottom w:val="single" w:sz="12" w:space="0" w:color="auto"/>
            </w:tcBorders>
          </w:tcPr>
          <w:p w14:paraId="7BEE58A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135</w:t>
            </w:r>
          </w:p>
        </w:tc>
        <w:tc>
          <w:tcPr>
            <w:tcW w:w="1868" w:type="dxa"/>
            <w:tcBorders>
              <w:bottom w:val="single" w:sz="12" w:space="0" w:color="auto"/>
            </w:tcBorders>
          </w:tcPr>
          <w:p w14:paraId="01CC3F5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868" w:type="dxa"/>
            <w:tcBorders>
              <w:bottom w:val="single" w:sz="12" w:space="0" w:color="auto"/>
            </w:tcBorders>
          </w:tcPr>
          <w:p w14:paraId="13A5938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127</w:t>
            </w:r>
          </w:p>
        </w:tc>
        <w:tc>
          <w:tcPr>
            <w:tcW w:w="1868" w:type="dxa"/>
            <w:tcBorders>
              <w:bottom w:val="single" w:sz="12" w:space="0" w:color="auto"/>
            </w:tcBorders>
          </w:tcPr>
          <w:p w14:paraId="5219E6C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134</w:t>
            </w:r>
          </w:p>
        </w:tc>
      </w:tr>
    </w:tbl>
    <w:p w14:paraId="29DD659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Примечания:</w:t>
      </w:r>
    </w:p>
    <w:p w14:paraId="2D8F44C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 в крыльевых топливных баках в перегрузку еще 124 кг;</w:t>
      </w:r>
    </w:p>
    <w:p w14:paraId="6C4F120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 в крыльевых топливных баках в перегрузку еще 127 кг;</w:t>
      </w:r>
    </w:p>
    <w:p w14:paraId="3072D70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 на высоте 3400 м;</w:t>
      </w:r>
    </w:p>
    <w:p w14:paraId="40AF1A0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 на высоте 6150 м;</w:t>
      </w:r>
    </w:p>
    <w:p w14:paraId="18856DA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 на высоте 7500 м при боевом режиме работы мотора;</w:t>
      </w:r>
    </w:p>
    <w:p w14:paraId="51CBAE7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6 - расчетная на высоте 13 100 м. </w:t>
      </w:r>
    </w:p>
    <w:p w14:paraId="0DF0606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октябре 1943 г. после ремонта первая опытная машина с двигателем АМ-38Ф поступила в НИИ ВВС на госиспытания. Летчику-испытателю П.М. Стефановско- му удалось получить следующие максимальные скорости на номинальном режиме: 572 км/ч у земли, 622 км/ч на высоте 2600 м, а на боевом режиме - 608 км/ч и 652 км/ч, соответственно. По его мнению, самолет И-220, был прост в пилотировании, обладал высокими летными характеристиками и мощным вооружением. В акте по испытаниям отмечалось, что даже с двигателем АМ-38Ф летные данные И-220 до высоты 3500 м лучше, чем у всех опытных самолетов, прошедших к тому времени госиспытания в НИИ ВВС. Установка мотора АМ-39 должна была способствовать еще большему расширению возможностей самолета. Рекомендовалось ускорить доводку мотора и предъявить И-220 с АМ-39 на государственные испытания.</w:t>
      </w:r>
    </w:p>
    <w:p w14:paraId="59ADFA3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1944 г. ответственными за проведение государственных испытаний И-220 зав. № 01 с мотором АМ-39 в НИИ ВВС назначили ведущего инженера В.И. Алексеенко и л етч и ка-испытателя Д. Г. Пикуленко. На номинальном режиме работы мотора Пикуленко получил скорость 606 км/ч на высоте 2700 м и 668 км/ч на высоте 6800 м. Высоту 5000 м самолет набирал за 6,3 мин. Практический потолок И-220 составил 11 000 м. Такие данные практически не выделяли И-220 на фоне серийных вариантов истребителей Як-3, Як-9У и Ла-7. 26 сентября госиспытания были прекращены по просьбе главного конструктора А.И. Микояна (12045).</w:t>
      </w:r>
    </w:p>
    <w:p w14:paraId="026625A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BEEDDB"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27 июня</w:t>
      </w:r>
      <w:r w:rsidRPr="00D03F3E">
        <w:rPr>
          <w:rFonts w:ascii="Times New Roman" w:hAnsi="Times New Roman"/>
          <w:color w:val="000000" w:themeColor="text1"/>
          <w:sz w:val="16"/>
          <w:szCs w:val="16"/>
        </w:rPr>
        <w:t xml:space="preserve"> в 1942 году рассмотрен и одобрен макет истребителя </w:t>
      </w:r>
      <w:hyperlink r:id="rId217" w:tgtFrame="_blank" w:history="1">
        <w:r w:rsidRPr="00D03F3E">
          <w:rPr>
            <w:rFonts w:ascii="Times New Roman" w:hAnsi="Times New Roman"/>
            <w:color w:val="000000" w:themeColor="text1"/>
            <w:sz w:val="16"/>
            <w:szCs w:val="16"/>
          </w:rPr>
          <w:t xml:space="preserve">«МиГ-11» («И-220»), </w:t>
        </w:r>
      </w:hyperlink>
      <w:r w:rsidRPr="00D03F3E">
        <w:rPr>
          <w:rFonts w:ascii="Times New Roman" w:hAnsi="Times New Roman"/>
          <w:color w:val="000000" w:themeColor="text1"/>
          <w:sz w:val="16"/>
          <w:szCs w:val="16"/>
        </w:rPr>
        <w:t>а 20 августа 1942 года утвержден протокол макетной комиссии (14935).</w:t>
      </w:r>
    </w:p>
    <w:p w14:paraId="6EB7A5E7" w14:textId="77777777" w:rsidR="00807FA7" w:rsidRPr="00D03F3E" w:rsidRDefault="00807FA7" w:rsidP="00D03F3E">
      <w:pPr>
        <w:spacing w:after="0" w:line="240" w:lineRule="auto"/>
        <w:jc w:val="both"/>
        <w:rPr>
          <w:rFonts w:ascii="Times New Roman" w:hAnsi="Times New Roman"/>
          <w:color w:val="000000" w:themeColor="text1"/>
          <w:sz w:val="16"/>
          <w:szCs w:val="16"/>
        </w:rPr>
      </w:pPr>
    </w:p>
    <w:p w14:paraId="16647A5E"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27B72DE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68FB3E"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27 июня</w:t>
      </w:r>
      <w:r w:rsidRPr="00D03F3E">
        <w:rPr>
          <w:rFonts w:ascii="Times New Roman" w:hAnsi="Times New Roman"/>
          <w:color w:val="000000" w:themeColor="text1"/>
          <w:sz w:val="16"/>
          <w:szCs w:val="16"/>
        </w:rPr>
        <w:t xml:space="preserve"> в 1943 году утреннее сообщение Совинформбюро:</w:t>
      </w:r>
    </w:p>
    <w:p w14:paraId="0B7B4AD3"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27 июня на фронте ничего существенного не произошло.</w:t>
      </w:r>
    </w:p>
    <w:p w14:paraId="13F23734"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происходила редкая артиллерийская и ружейно-пулемётная перестрелка. Артиллеристы орудийного расчёта сержанта Медведева заметили группу немецких солдат, занятых постройкой оборонительных сооружений. Выкатив орудие на открытую позицию, расчёт открыл огонь по противнику. Несколькими снарядами группа гитлеровцев была уничтожена. На другом участке наблюдатели донесли, что в лощине у полевой кухни собрались немецкие солдаты. Миномётные расчёты старшего сержанта Харыбина, сержанта Гордеева и младшего сержанта Медитханова открыли огонь, уничтожили полевую кухню и два взвода немецких солдат.</w:t>
      </w:r>
    </w:p>
    <w:p w14:paraId="4E3C825B"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Балаклеи гвардейцы-миномётчики произвели несколько огневых налётов на скопление противника и уничтожили 2 немецких танка, 3 автомашины и до роты гитлеровцев.</w:t>
      </w:r>
    </w:p>
    <w:p w14:paraId="0261CD4E"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артиллерийское подразделение, где командиром старший лейтенант Ульянов, за пять дней разрушило 12 немецких блиндажей и 2 дзота.</w:t>
      </w:r>
    </w:p>
    <w:p w14:paraId="7D0DE08E"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воздушных боях и огнём зенитной артиллерии сбито 7 немецких самолётов.</w:t>
      </w:r>
    </w:p>
    <w:p w14:paraId="186CA2C6"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Карельском фронте группа разведчиков под командованием капитана Шаридода устроила засаду в тылу противника и внезапно атаковала появившуюся на дороге колонну немцев. В результате боя истреблено до роты гитлеровцев. Захвачены трофеи и пленные.</w:t>
      </w:r>
    </w:p>
    <w:p w14:paraId="1AAD41CD"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Киевской области, окружил подразделение немцев, расположившееся на отдых. Советские патриоты со всех сторон напали на противника и истребили до 100 гитлеровцев, захватили пленных и трофеи. Партизаны из отряда имени Кирова пустили под откос немецкий воинский эшелон. Разбиты паровоз, классный вагон и 8 платформ.</w:t>
      </w:r>
    </w:p>
    <w:p w14:paraId="03C20DF9"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Волхова советские зенитчики сбили немецкий бомбардировщик «Дорнье-217». Экипаж самолёта взят в плен. Пленный лётчик-наблюдатель 2 отряда 101 немецкой бомбардировочной эскадры обер-ефрейтор Карл Хемшаль рассказал: «B начале июня партизаны недалеко от Пскова взорвали эшелон с горючим. Из-за недостатка бензина пришлось втрое сократить количество вылетов. Недавно русские самолёты бомбардировали наш аэродром. Прямыми попаданиями бомб разрушены ремонтные мастерские и уничтожено 6 самолётов».</w:t>
      </w:r>
    </w:p>
    <w:p w14:paraId="469EBB49"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Получено сообщение о кровавых злодеяниях немецко-фашистских мерзавцев вдеревне Дубровицы, Ленинградской области. Немецкий офицер, прибывший в деревню с отрядом фашистских головорезов, ворвался в дом крестьянина Ивана Фролова и потребовал, чтобы он указал, где находится лагерь партизан. Советский патриот отказался отвечать на заданные ему вопросы. Гитлеровцы долго пытали Фролова, а затем убили его. Жестоким пыткам подвергли немцы жену, отца и мать Фролова. Гитлеровские людоеды расстреляли всю семью Фроловых и жителей деревни, не успевших скрыться в леса.</w:t>
      </w:r>
    </w:p>
    <w:p w14:paraId="5283B157"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Амьене французские вольные стрелки бросили несколько гранат в дом, населённый немецкими офицерами. Убито и ранено несколько гитлеровцев. В Лимож епатриоты подожгли нефтесклад. Огнём уничтожено свыше 20 тонн горючего. Близ Невера вольные стрелки организовали крушение воинского эшелона. В результате крушения убито и ранено много немецко-фашистских оккупантов (14935).</w:t>
      </w:r>
    </w:p>
    <w:p w14:paraId="21373DEF" w14:textId="77777777" w:rsidR="00A80896" w:rsidRPr="00D03F3E" w:rsidRDefault="00A80896" w:rsidP="00D03F3E">
      <w:pPr>
        <w:spacing w:after="0" w:line="240" w:lineRule="auto"/>
        <w:jc w:val="both"/>
        <w:rPr>
          <w:rFonts w:ascii="Times New Roman" w:hAnsi="Times New Roman"/>
          <w:color w:val="000000" w:themeColor="text1"/>
          <w:sz w:val="16"/>
          <w:szCs w:val="16"/>
        </w:rPr>
      </w:pPr>
    </w:p>
    <w:p w14:paraId="5F4FBFCE"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27 июня</w:t>
      </w:r>
      <w:r w:rsidRPr="00D03F3E">
        <w:rPr>
          <w:rFonts w:ascii="Times New Roman" w:hAnsi="Times New Roman"/>
          <w:color w:val="000000" w:themeColor="text1"/>
          <w:sz w:val="16"/>
          <w:szCs w:val="16"/>
        </w:rPr>
        <w:t xml:space="preserve"> в 1943 году вечернее сообщение Совинформбюро:</w:t>
      </w:r>
    </w:p>
    <w:p w14:paraId="117E34B4"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27 июня на фронте существенных изменений не произошло.</w:t>
      </w:r>
    </w:p>
    <w:p w14:paraId="31B8A253"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потопили в Чёрном море подводную лодку противника.</w:t>
      </w:r>
    </w:p>
    <w:p w14:paraId="13382831"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истекшую неделю, с 20 по 26 июня включительно, в воздушных боях, огнём зенитной артиллерии и войск уничтожено 211 немецких самолётов. Кроме того, большое количество вражеских самолётов уничтожено и повреждено в результате налётов советской авиации на аэродромы противника. Наши потери за это же время —74 самолёта.</w:t>
      </w:r>
    </w:p>
    <w:p w14:paraId="6C6A91B3"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артиллеристы Н-ской части уничтожили артиллерийскую батарею и 7 пулемётов противника. На одном участке отряд немецкой пехоты пытался вести разведку. Не достигнув переднего края нашей обороны, ружейно-пулемётным огнём гитлеровцы были рассеяны.</w:t>
      </w:r>
    </w:p>
    <w:p w14:paraId="4F647F2E"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Орла наши подразделения вели разведку боем. Обстреливая оборонительные сооружения и огневые точки противника, советские артиллеристы уничтожили немецкую артиллерийскую батарею, 7 миномётных батарей и 26 пулемётов. Разрушено19 блиндажей, 5 дзотов и 4 наблюдательных пункта.</w:t>
      </w:r>
    </w:p>
    <w:p w14:paraId="5D6FEAFD"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разведывательная группа под командованием старшины Валевича проникла в расположение противника, уничтожила дзот, станковый пулемёти истребила до 40 вражеских солдат. Разведчики захватили пленных и без потерь вернулись в свою часть.</w:t>
      </w:r>
    </w:p>
    <w:p w14:paraId="2996DF9A"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 истребитель сбил вражеский самолёт. Немецкие лётчики захвачены вплен.</w:t>
      </w:r>
    </w:p>
    <w:p w14:paraId="1C0CDBCF"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участке Калининского фронта на днях наши подразделения овладели населённым пунктом. Противник пытается вернуть утерянные им позиции. В течение дня гитлеровцы шесть раз бросались в атаки, но каждый раз, неся большие потери, откатывались обратно. В результате безуспешных атак немцы потеряли убитыми до 400 солдат и офицеров.</w:t>
      </w:r>
    </w:p>
    <w:p w14:paraId="345944E7"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снайперы Н-ской части уничтожили 21 немца. Из них снайпер Тимофеева застрелила 5, Кириллова — 3, снайпер Попова уничтожила 2 гитлеровцев. Артиллерийские подразделения уничтожили 2 орудия, 5 пулемётов, разрушили 15 дзотов и 13 землянок противника.</w:t>
      </w:r>
    </w:p>
    <w:p w14:paraId="5FB52E4E"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Смоленской области, пустил под откос два железнодорожных эшелона противника. При крушении разбито 2паровоза, 8 классных вагонов с солдатами и 23 вагона с боеприпасами. Партизаны-подрывники взорвали железнодорожный мост и разрушили телеграфно-телефонную связь.</w:t>
      </w:r>
    </w:p>
    <w:p w14:paraId="44BE3EC0"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Пленный унтер-офицер 3 роты 117 полка 111 немецкой пехотной дивизии Вильгельм Шварц рассказал: «Опьянённые первыми успехами в начале войны, мы твёрдо верили в молниеносную победу. Разгром немецких войск под Москвой впервые поколебал эту уверенность. Катастрофа под Сталинградом поставила в тупик даже самых ярых оптимистов. Многие солдаты пришли к выводу, что Россию нельзя победить. Немецкая пресса уже в течение длительного времени твердит о </w:t>
      </w:r>
      <w:r w:rsidRPr="00D03F3E">
        <w:rPr>
          <w:rFonts w:ascii="Times New Roman" w:hAnsi="Times New Roman"/>
          <w:color w:val="000000" w:themeColor="text1"/>
          <w:sz w:val="16"/>
          <w:szCs w:val="16"/>
        </w:rPr>
        <w:lastRenderedPageBreak/>
        <w:t>невозможности открытиявторого фронта в Европе. В любом номере немецкой газеты расписываются укрепления «европейской крепости». Вся эта писанина не достигает цели, а, напротив, ещё больше убеждает, как велика опасность открытия второго фронта. Солдаты по этому поводу говорят: «У кого что болит, тот о том и говорит». Для многих ясно, что немецкая армия не сможет долго сражаться на два фронта. Поэтому Гитлер хочет какможно дольше оттянуть начало военных действий на Западе, дабы выиграть время».</w:t>
      </w:r>
    </w:p>
    <w:p w14:paraId="517A327A"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Группа вооружённых датских патриотов ночью проникла на территорию завод а«Клюд и Марстранд» в Копенгагене.</w:t>
      </w:r>
    </w:p>
    <w:p w14:paraId="57EF4D48" w14:textId="77777777" w:rsidR="00A80896" w:rsidRPr="00D03F3E" w:rsidRDefault="00A8089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Патриоты заложили в машинное отделение завода бомбу замедленного действия и скрылись. Через десять минут произошел взрыв большой силы. Причинён большой ущерб. Завод прекратил выпуск продукции, потреблявшейся немецко-фашистскими оккупантами.» (14935).</w:t>
      </w:r>
    </w:p>
    <w:p w14:paraId="1274B0A1" w14:textId="77777777" w:rsidR="00A80896" w:rsidRPr="00D03F3E" w:rsidRDefault="00A80896" w:rsidP="00D03F3E">
      <w:pPr>
        <w:spacing w:after="0" w:line="240" w:lineRule="auto"/>
        <w:jc w:val="both"/>
        <w:rPr>
          <w:rFonts w:ascii="Times New Roman" w:hAnsi="Times New Roman"/>
          <w:color w:val="000000" w:themeColor="text1"/>
          <w:sz w:val="16"/>
          <w:szCs w:val="16"/>
        </w:rPr>
      </w:pPr>
    </w:p>
    <w:p w14:paraId="21A8D26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Днем 27 июня 1943 над Саратовом в очередной раз появился разведчик Ju-88D из 2-й эскадрильи Auffl.Gr.22 . По тревоге в воздух были подняты несколько истребителей. В ходе завязавшегося воздушного боя командир эскадрильи 405-го ИАП ПВО майор В. Шапочка совершил очередной в дивизии таран, выведя из строя вражеский и свой самолеты. «Юнкере» совершил вынужденную посадку, и два члена его экипажа попали в плен (11774).</w:t>
      </w:r>
    </w:p>
    <w:p w14:paraId="649D737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6299B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июня 1943 года была переброшена австрийская группа (6 чел.) (8983).</w:t>
      </w:r>
    </w:p>
    <w:p w14:paraId="6CAF7E8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970A92" w14:textId="77777777" w:rsidR="00807FA7"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747D359D" w14:textId="77777777" w:rsidR="00807FA7" w:rsidRPr="00D03F3E" w:rsidRDefault="00807FA7"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7EB92E" w14:textId="77777777" w:rsidR="00807FA7" w:rsidRPr="00D03F3E" w:rsidRDefault="00807FA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 июня 1943 года</w:t>
      </w:r>
    </w:p>
    <w:p w14:paraId="5292D7FA" w14:textId="77777777" w:rsidR="00807FA7" w:rsidRPr="00D03F3E" w:rsidRDefault="00807FA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ЛИЧНОЕ И СТРОГО СЕКРЕТНОЕ ПОСЛАНИЕ ОТ ПРЕМЬЕР-МИНИСТРА г-на УИНСТОНА ЧЕРЧИЛЛЯ МАРШАЛУ И. В. СТАЛИНУ</w:t>
      </w:r>
    </w:p>
    <w:p w14:paraId="6674697D" w14:textId="77777777" w:rsidR="00807FA7" w:rsidRPr="00D03F3E" w:rsidRDefault="00807FA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Я с огорчением получил Ваше послание от 24-го. Информация, которую я Вам давал в отношении наших будущих намерений, базировалась на каждой стадии на письменных консультативных заключениях британских и американских штабов, причем я всегда был искренен в своих отношениях с Вами. Хотя до 22 июня 1941 года мы, британцы, оставались одни, смотря в лицо худшему, что могла сделать нам нацистская Германия, я немедленно начал оказывать помощь Советской России, насколько это позволяли наши ограниченные средства, с. того момента, как она сама подверглась нападению Гитлера. Я убежден, что я сделал все, что было в человеческих силах, для оказания помощи Вам. Поэтому упреки, которые Вы теперь бросаете Вашим западным союзникам, не трогают меня. Мне было бы также нетрудно, если не считать ущерба нашим военным интересам, изложить мои доводы британскому парламенту и нации.</w:t>
      </w:r>
    </w:p>
    <w:p w14:paraId="1AFFBED3" w14:textId="77777777" w:rsidR="00807FA7" w:rsidRPr="00D03F3E" w:rsidRDefault="00807FA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Взгляды наших штабов, которые я разделял на каждой стадии, все время менялись под влиянием событий. Во-первых, несмотря на то что был полностью использован весь тоннаж, было невозможно перевезти американскую армию в Британию в соответствии с программой, намеченной в июне 1942 года. В то время имелась надежда, что в апреле 1943 года в Великобритании будут находиться двадцать семь американских дивизий, в действительности же теперь, в июне 1943 года, имеется лишь одна и к августу будет лишь пять. Это объясняется потребностями войны против Японии, недостатком тоннажа и прежде всего расширением кампании в Северной Африке, в которую были втянуты огромные силы нацистов. Кроме того, десантные суда, которые в январе этого года мы намеревались выделить для наступления через Канал 36, не все были построены до сегодняшнего дня, а наличные десантные суда втянуты в предстоящую теперь большую операцию на Средиземном море. Неуверенность противника насчет того, где будет нанесен удар и какова будет его сила, по мнению моих надежных советников, уже привела к отсрочке третьего наступления Гитлера на Россию, к которому, казалось, велись большие приготовления шесть недель тому назад. Может даже оказаться, что Ваша страна не подвергнется сильному наступлению этим летом. Если бы это было так, то это решительно подтвердило бы то, что Вы однажды назвали “военной целесообразностью” нашей средиземноморской стратегии. Однако в этих делах мы должны подождать развертывания событий.</w:t>
      </w:r>
    </w:p>
    <w:p w14:paraId="60485308" w14:textId="77777777" w:rsidR="00807FA7" w:rsidRPr="00D03F3E" w:rsidRDefault="00807FA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Таким образом, дело не только в том, что, с одной стороны, трудности наступления через Канал все время казались нам более значительными и что не было ресурсов, но и в том, что для нас открылись возможности для проведения более многообещающей и плодотворной политики на другом театре, и наше право и долг действовать в соответствии с нашими убеждениями, сообщая Вам на каждой стадии об изменениях в наших взглядах, вызванных колоссальным масштабом войны (7430).</w:t>
      </w:r>
    </w:p>
    <w:p w14:paraId="51A64474" w14:textId="77777777" w:rsidR="00807FA7" w:rsidRPr="00D03F3E" w:rsidRDefault="00807FA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9CFB37" w14:textId="77777777" w:rsidR="00807FA7" w:rsidRPr="00D03F3E" w:rsidRDefault="00807FA7"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27 июня</w:t>
      </w:r>
      <w:r w:rsidRPr="00D03F3E">
        <w:rPr>
          <w:rFonts w:ascii="Times New Roman" w:hAnsi="Times New Roman"/>
          <w:color w:val="000000" w:themeColor="text1"/>
          <w:sz w:val="16"/>
          <w:szCs w:val="16"/>
        </w:rPr>
        <w:t xml:space="preserve"> в 1942 году подписание советско-английского соглашения о финансировании Англией военных поставок и другой военной помощи Советскому Союзу (14935).</w:t>
      </w:r>
    </w:p>
    <w:p w14:paraId="0B5E6E76" w14:textId="77777777" w:rsidR="00807FA7" w:rsidRPr="00D03F3E" w:rsidRDefault="00807FA7" w:rsidP="00D03F3E">
      <w:pPr>
        <w:spacing w:after="0" w:line="240" w:lineRule="auto"/>
        <w:jc w:val="both"/>
        <w:rPr>
          <w:rFonts w:ascii="Times New Roman" w:hAnsi="Times New Roman"/>
          <w:color w:val="000000" w:themeColor="text1"/>
          <w:sz w:val="16"/>
          <w:szCs w:val="16"/>
        </w:rPr>
      </w:pPr>
    </w:p>
    <w:p w14:paraId="40C0538C"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2D5201E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2068F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июня 1943 С.В.И. писал А.И.Ш. и Репину письмо N 1/711с:</w:t>
      </w:r>
    </w:p>
    <w:p w14:paraId="7C67A85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"Испытание в НИИ ВВС самолета Ил-2 завода 18 с подвесными бензобаками показали, что во всех случаях, когда испытания велись в строгом соответствии с нашей инструкцией: полная заливка баков, дренаж выведен в носок крыла, режим работы мотора в пределах 1550-1800 обор и Ра 740-780 мм выработка бензина была нормальной, т.е. суммарная невыработка в 2-х баках не превышала установленной нормы допуска - 20 л. Эти факты зафиксированы НИИ ВВС при испытании им самолета Ил-2 в прилагаемой при сем таблице полетов.</w:t>
      </w:r>
    </w:p>
    <w:p w14:paraId="2FB1FEE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видно из этой таблицы полетов за N 2, 3, 6 и 9, которые были произведены с соблюдением нашей инструкции давали хорошие результаты. Т.о. испытаниями в НИИ ВВС доказано, что при нормальной эксплуатации бензин из подвесных баков вырабатывается нормально.</w:t>
      </w:r>
    </w:p>
    <w:p w14:paraId="5A8DA48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Тем не менее ГИ ВВС Репин сообщает Вам своим письмом от 22 июня 1943 N 615046с, что система питания горючим из подвесных баков контрольных испытаний не выдержала.</w:t>
      </w:r>
    </w:p>
    <w:p w14:paraId="06EDFED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Нам известно, как трудно в частях ВВС осваивалась система подвесных баков на Ил-4, хотя там система выработки более благоприятна, но тем не менее пока тех. состав не освоил ее, бензин из баков вырабатывался очень плохо.</w:t>
      </w:r>
    </w:p>
    <w:p w14:paraId="7355C36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Необходимо ВВС приступить к эксплуатации подвесных бензобаков на самолете Ил-2 согласно прилагаемой при сем инструкции, но предварительно проинструктировав строевые части об особенностях подвесной системы, которая требует тщательного ухода в эксплуатации. Нужно учитывать уже имевшийся опыт с подвесными бензобаками на самолетах Ил-4.</w:t>
      </w:r>
    </w:p>
    <w:p w14:paraId="3C3770E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Подвесная система работает на подсосе и поэтому ее нужно держать всегда герметичной и дренаж в порядке".</w:t>
      </w:r>
    </w:p>
    <w:p w14:paraId="35F3709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Прилагалась "Инструкция по эксплуатации системы подвесных бензобаков самолета Ил-2 с АМ-38Ф" (1778,261).</w:t>
      </w:r>
    </w:p>
    <w:p w14:paraId="5733117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"УТВЕРЖДАЮ"</w:t>
      </w:r>
    </w:p>
    <w:p w14:paraId="5D310BE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Гл.инженер ВВС</w:t>
      </w:r>
    </w:p>
    <w:p w14:paraId="3DA3177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 нерал-Подковник</w:t>
      </w:r>
    </w:p>
    <w:p w14:paraId="34C88CB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РЕПИН</w:t>
      </w:r>
    </w:p>
    <w:p w14:paraId="0CCC44A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Н-С Т Р У К Ц И Я</w:t>
      </w:r>
    </w:p>
    <w:p w14:paraId="1373205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эксплоатации системы подвесных бензобаков сзамолета Ил-2 с АМ-38Ф</w:t>
      </w:r>
    </w:p>
    <w:p w14:paraId="42ABDF9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I. Подготовка самолета к вылету</w:t>
      </w:r>
    </w:p>
    <w:p w14:paraId="56ACF8E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подготовке самолета Ил-2 к вылету на выполнение задания с установкой подвесных бензобаков необходимо произвести следующее:</w:t>
      </w:r>
    </w:p>
    <w:p w14:paraId="44D64C8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Расконтрить поводок крана подвесных бензобаков и подсоединить к поводку тягу управления краном.</w:t>
      </w:r>
    </w:p>
    <w:p w14:paraId="6C41B16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Снять заглушки установленные в АМ-м соединении и вместо них установить заборные трубки, тщательно закрепив их.</w:t>
      </w:r>
    </w:p>
    <w:p w14:paraId="2F3E98C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Установить универсальные ухваты наружной подвески в крайние гнезда балки нервюры № 2.</w:t>
      </w:r>
    </w:p>
    <w:p w14:paraId="0F77C92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Установить бензобаки на замки МД-3-40 и отрегули</w:t>
      </w:r>
      <w:r w:rsidRPr="00D03F3E">
        <w:rPr>
          <w:rFonts w:ascii="Times New Roman" w:hAnsi="Times New Roman"/>
          <w:color w:val="000000" w:themeColor="text1"/>
          <w:sz w:val="16"/>
          <w:szCs w:val="16"/>
        </w:rPr>
        <w:softHyphen/>
        <w:t>ровать ухватами положение бензобака таким образом, чтооы ось бака имела с хордой крыла примерно минус 5°.</w:t>
      </w:r>
    </w:p>
    <w:p w14:paraId="016CEC9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получения данного положения бака передний ухват должен быть вывернут из своего гнезда на 5 ниток, а задний, на I нитку. Установленные баки должны плотно сидеть в креп лениях.</w:t>
      </w:r>
    </w:p>
    <w:p w14:paraId="4ABCDCE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Заливку подвесных бензобаков производить от бензозаправщика через горловину подвесных баков. Для более удобной заправки на заправочный пистолет надевать конец гибкого шланга.</w:t>
      </w:r>
    </w:p>
    <w:p w14:paraId="4A74774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После- заправки баков горючим установить дренаж баков, тщательно заправив его конец в отверстие в обшивке носка центроплана и резиновую шайбу находящуюся на забор ной трубке, плотно прижать к верхнему обрезу заборного колодца бака.</w:t>
      </w:r>
    </w:p>
    <w:p w14:paraId="71106B1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Опробовать и прогреть мотор на подвесных бензо</w:t>
      </w:r>
      <w:r w:rsidRPr="00D03F3E">
        <w:rPr>
          <w:rFonts w:ascii="Times New Roman" w:hAnsi="Times New Roman"/>
          <w:color w:val="000000" w:themeColor="text1"/>
          <w:sz w:val="16"/>
          <w:szCs w:val="16"/>
        </w:rPr>
        <w:softHyphen/>
        <w:t>баках,</w:t>
      </w:r>
    </w:p>
    <w:p w14:paraId="1DE8D66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2. Полет на подвесных бензобаках</w:t>
      </w:r>
    </w:p>
    <w:p w14:paraId="0875015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Взлет и набор заданной высоты производить на основных бензобаках. При выходе на курс переключиться на подвесные бензобаки, для чего открыть кран подвесных бен</w:t>
      </w:r>
      <w:r w:rsidRPr="00D03F3E">
        <w:rPr>
          <w:rFonts w:ascii="Times New Roman" w:hAnsi="Times New Roman"/>
          <w:color w:val="000000" w:themeColor="text1"/>
          <w:sz w:val="16"/>
          <w:szCs w:val="16"/>
        </w:rPr>
        <w:softHyphen/>
        <w:t>зобаков и закрыть кран основных бензобаков.</w:t>
      </w:r>
    </w:p>
    <w:p w14:paraId="0BC004C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Подет на подвесных б/баках производить без рез</w:t>
      </w:r>
      <w:r w:rsidRPr="00D03F3E">
        <w:rPr>
          <w:rFonts w:ascii="Times New Roman" w:hAnsi="Times New Roman"/>
          <w:color w:val="000000" w:themeColor="text1"/>
          <w:sz w:val="16"/>
          <w:szCs w:val="16"/>
        </w:rPr>
        <w:softHyphen/>
        <w:t>ких эволюций, плавно переходя от одного режима полета к другому. Пикирования, крутых виражей при подвешенных бел-зооаках не производить.</w:t>
      </w:r>
    </w:p>
    <w:p w14:paraId="6083E7E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3. Для получения максимальной дальности равномерной выработки горючего ив подвесных баков полет производить на экономическом режиме н 1500. - 1850 об/мин. Ра 740 4- 780 мм. рт.ст.</w:t>
      </w:r>
    </w:p>
    <w:p w14:paraId="3F65AB0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При полете на подвесных бензобаках рекомендуется номиналом пользоваться кратковременно для поддержания строя.</w:t>
      </w:r>
    </w:p>
    <w:p w14:paraId="3A5EA79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Полет на подвесных баках производить до падения давления бензина. При появлении падения бензина переклю</w:t>
      </w:r>
      <w:r w:rsidRPr="00D03F3E">
        <w:rPr>
          <w:rFonts w:ascii="Times New Roman" w:hAnsi="Times New Roman"/>
          <w:color w:val="000000" w:themeColor="text1"/>
          <w:sz w:val="16"/>
          <w:szCs w:val="16"/>
        </w:rPr>
        <w:softHyphen/>
        <w:t>читься на основные оаки не дожидаясь остановки мотора. Суммарный остаток горючего в обоих баках не более 20 литр.</w:t>
      </w:r>
    </w:p>
    <w:p w14:paraId="5C4F743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При переключении с подвесных баков на основные требуется открыть кран основных баков и тщательно закрыть кран-подвесных баков.</w:t>
      </w:r>
    </w:p>
    <w:p w14:paraId="6F2941B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При полете за линию фронта, после выработки горю</w:t>
      </w:r>
      <w:r w:rsidRPr="00D03F3E">
        <w:rPr>
          <w:rFonts w:ascii="Times New Roman" w:hAnsi="Times New Roman"/>
          <w:color w:val="000000" w:themeColor="text1"/>
          <w:sz w:val="16"/>
          <w:szCs w:val="16"/>
        </w:rPr>
        <w:softHyphen/>
        <w:t>чего из подвесных баков и переключение на основные баки, подвесные оаки сбросить. Сбрасывание произвести от ЭСБР-ЗП таким же пооядком как сбрасываются бомбы наружной подвески с замков МД-3-40. В случае зависания хотя-бы од</w:t>
      </w:r>
      <w:r w:rsidRPr="00D03F3E">
        <w:rPr>
          <w:rFonts w:ascii="Times New Roman" w:hAnsi="Times New Roman"/>
          <w:color w:val="000000" w:themeColor="text1"/>
          <w:sz w:val="16"/>
          <w:szCs w:val="16"/>
        </w:rPr>
        <w:softHyphen/>
        <w:t>ного бензобака па причине отказа пиропистолета /отсырел пиропатрон, недовернут затвор и т.п./ в чем можно убедиться по сигнальным дампам за №№I и 2 на доске приборов. При зависании бака сигнальные лампы рродолжают гореть, неоходимо тумблер ЭСБР-ЗП поставить в положение "выключено”и продолжать полет. Сбрасывать электрически ЭСБР-ЗП бомбы из внутренних отсеков при зависании бензобака нельзя. В этом случае сбросить бомбы вместе с баком, если это поз</w:t>
      </w:r>
      <w:r w:rsidRPr="00D03F3E">
        <w:rPr>
          <w:rFonts w:ascii="Times New Roman" w:hAnsi="Times New Roman"/>
          <w:color w:val="000000" w:themeColor="text1"/>
          <w:sz w:val="16"/>
          <w:szCs w:val="16"/>
        </w:rPr>
        <w:softHyphen/>
        <w:t>воляет обстановка над целью от аварийного сбрасывателя.</w:t>
      </w:r>
    </w:p>
    <w:p w14:paraId="1CCAA8A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3. Послеполетные работы.</w:t>
      </w:r>
    </w:p>
    <w:p w14:paraId="25B4D7B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возвращению самодета на аэродром после полета с подвесаШи баками и отсутствие задания на дальнейшие по</w:t>
      </w:r>
      <w:r w:rsidRPr="00D03F3E">
        <w:rPr>
          <w:rFonts w:ascii="Times New Roman" w:hAnsi="Times New Roman"/>
          <w:color w:val="000000" w:themeColor="text1"/>
          <w:sz w:val="16"/>
          <w:szCs w:val="16"/>
        </w:rPr>
        <w:softHyphen/>
        <w:t>леты с подвесными баками необходимо:</w:t>
      </w:r>
    </w:p>
    <w:p w14:paraId="25C4B1D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Отсоединить тягу управления кранами от поводка крана и поводок тщательно законтрить положение крана "зак</w:t>
      </w:r>
      <w:r w:rsidRPr="00D03F3E">
        <w:rPr>
          <w:rFonts w:ascii="Times New Roman" w:hAnsi="Times New Roman"/>
          <w:color w:val="000000" w:themeColor="text1"/>
          <w:sz w:val="16"/>
          <w:szCs w:val="16"/>
        </w:rPr>
        <w:softHyphen/>
        <w:t>рыто”.</w:t>
      </w:r>
    </w:p>
    <w:p w14:paraId="05E86D7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Снять заборные трубки и установить заглушки</w:t>
      </w:r>
    </w:p>
    <w:p w14:paraId="40BB28B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 Ввиду того, что система работает на подсосе, необходимо тщательно следить за герметичностью проводки и бенвокра нов, а также за наличием дренажа в баке и дренажных трубок в крыле.</w:t>
      </w:r>
    </w:p>
    <w:p w14:paraId="6715FC2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ГК с-та Ил-2 С.В.И. (1778,263).</w:t>
      </w:r>
    </w:p>
    <w:p w14:paraId="5178225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СВОДНАЯ ТАБЛИЦА</w:t>
      </w:r>
    </w:p>
    <w:p w14:paraId="08C93A5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результатов полетов на испытание подвесных бензобаков в НИИ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8"/>
        <w:gridCol w:w="810"/>
        <w:gridCol w:w="1260"/>
        <w:gridCol w:w="1190"/>
        <w:gridCol w:w="1014"/>
        <w:gridCol w:w="1036"/>
        <w:gridCol w:w="1826"/>
        <w:gridCol w:w="927"/>
        <w:gridCol w:w="2107"/>
      </w:tblGrid>
      <w:tr w:rsidR="00860B4B" w:rsidRPr="00D03F3E" w14:paraId="2E6D7001" w14:textId="77777777">
        <w:tc>
          <w:tcPr>
            <w:tcW w:w="378" w:type="dxa"/>
            <w:tcBorders>
              <w:top w:val="single" w:sz="12" w:space="0" w:color="auto"/>
            </w:tcBorders>
          </w:tcPr>
          <w:p w14:paraId="2AD00F4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п/п</w:t>
            </w:r>
          </w:p>
        </w:tc>
        <w:tc>
          <w:tcPr>
            <w:tcW w:w="810" w:type="dxa"/>
            <w:tcBorders>
              <w:top w:val="single" w:sz="12" w:space="0" w:color="auto"/>
            </w:tcBorders>
          </w:tcPr>
          <w:p w14:paraId="0AE79B7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Дата полета</w:t>
            </w:r>
          </w:p>
        </w:tc>
        <w:tc>
          <w:tcPr>
            <w:tcW w:w="1260" w:type="dxa"/>
            <w:tcBorders>
              <w:top w:val="single" w:sz="12" w:space="0" w:color="auto"/>
            </w:tcBorders>
          </w:tcPr>
          <w:p w14:paraId="724421A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Система дренажа бензобаков</w:t>
            </w:r>
          </w:p>
        </w:tc>
        <w:tc>
          <w:tcPr>
            <w:tcW w:w="1190" w:type="dxa"/>
            <w:tcBorders>
              <w:top w:val="single" w:sz="12" w:space="0" w:color="auto"/>
            </w:tcBorders>
          </w:tcPr>
          <w:p w14:paraId="3ACC2CC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Режим работы мотора</w:t>
            </w:r>
          </w:p>
        </w:tc>
        <w:tc>
          <w:tcPr>
            <w:tcW w:w="1014" w:type="dxa"/>
            <w:tcBorders>
              <w:top w:val="single" w:sz="12" w:space="0" w:color="auto"/>
            </w:tcBorders>
          </w:tcPr>
          <w:p w14:paraId="45DECD2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Какие установлены баки и количество залитого в них горючего</w:t>
            </w:r>
          </w:p>
        </w:tc>
        <w:tc>
          <w:tcPr>
            <w:tcW w:w="1036" w:type="dxa"/>
            <w:tcBorders>
              <w:top w:val="single" w:sz="12" w:space="0" w:color="auto"/>
            </w:tcBorders>
          </w:tcPr>
          <w:p w14:paraId="0F70F22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Остаток бензина после полета</w:t>
            </w:r>
          </w:p>
        </w:tc>
        <w:tc>
          <w:tcPr>
            <w:tcW w:w="1826" w:type="dxa"/>
            <w:tcBorders>
              <w:top w:val="single" w:sz="12" w:space="0" w:color="auto"/>
            </w:tcBorders>
          </w:tcPr>
          <w:p w14:paraId="7B05FF8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Характер полета</w:t>
            </w:r>
          </w:p>
        </w:tc>
        <w:tc>
          <w:tcPr>
            <w:tcW w:w="927" w:type="dxa"/>
            <w:tcBorders>
              <w:top w:val="single" w:sz="12" w:space="0" w:color="auto"/>
            </w:tcBorders>
          </w:tcPr>
          <w:p w14:paraId="3029D86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Продолжительность полета на подвесных баках</w:t>
            </w:r>
          </w:p>
        </w:tc>
        <w:tc>
          <w:tcPr>
            <w:tcW w:w="2107" w:type="dxa"/>
            <w:tcBorders>
              <w:top w:val="single" w:sz="12" w:space="0" w:color="auto"/>
            </w:tcBorders>
          </w:tcPr>
          <w:p w14:paraId="5060D8E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w:t>
            </w:r>
          </w:p>
        </w:tc>
      </w:tr>
      <w:tr w:rsidR="00860B4B" w:rsidRPr="00D03F3E" w14:paraId="1E27802C" w14:textId="77777777">
        <w:tc>
          <w:tcPr>
            <w:tcW w:w="378" w:type="dxa"/>
          </w:tcPr>
          <w:p w14:paraId="376EB3A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w:t>
            </w:r>
          </w:p>
        </w:tc>
        <w:tc>
          <w:tcPr>
            <w:tcW w:w="810" w:type="dxa"/>
          </w:tcPr>
          <w:p w14:paraId="2CEEC69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27.05.43</w:t>
            </w:r>
          </w:p>
        </w:tc>
        <w:tc>
          <w:tcPr>
            <w:tcW w:w="1260" w:type="dxa"/>
          </w:tcPr>
          <w:p w14:paraId="5F4650A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Окртытый дренаж. В эалившй горловине отверстие 12 мм</w:t>
            </w:r>
          </w:p>
        </w:tc>
        <w:tc>
          <w:tcPr>
            <w:tcW w:w="1190" w:type="dxa"/>
          </w:tcPr>
          <w:p w14:paraId="2791B5F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н=1650 об/мин.</w:t>
            </w:r>
          </w:p>
          <w:p w14:paraId="1BFDC82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Ра=900 мм рт ст.</w:t>
            </w:r>
          </w:p>
        </w:tc>
        <w:tc>
          <w:tcPr>
            <w:tcW w:w="1014" w:type="dxa"/>
          </w:tcPr>
          <w:p w14:paraId="71F34AD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ПЛБГ-150</w:t>
            </w:r>
          </w:p>
          <w:p w14:paraId="1D8B046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Заправка полностью</w:t>
            </w:r>
          </w:p>
        </w:tc>
        <w:tc>
          <w:tcPr>
            <w:tcW w:w="1036" w:type="dxa"/>
          </w:tcPr>
          <w:p w14:paraId="7935C03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Правый бак - 78 л.</w:t>
            </w:r>
          </w:p>
          <w:p w14:paraId="1E1B9FB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Левый бак - 8 л.</w:t>
            </w:r>
          </w:p>
        </w:tc>
        <w:tc>
          <w:tcPr>
            <w:tcW w:w="1826" w:type="dxa"/>
          </w:tcPr>
          <w:p w14:paraId="24CA65F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Горизонтальный полет по прямой Н=600 м и У=270 км/час по прибору</w:t>
            </w:r>
          </w:p>
        </w:tc>
        <w:tc>
          <w:tcPr>
            <w:tcW w:w="927" w:type="dxa"/>
          </w:tcPr>
          <w:p w14:paraId="03B6FA6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 минут</w:t>
            </w:r>
          </w:p>
        </w:tc>
        <w:tc>
          <w:tcPr>
            <w:tcW w:w="2107" w:type="dxa"/>
          </w:tcPr>
          <w:p w14:paraId="1DB0AE9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Работа на подвести боках прекращена т за падения довления бензина</w:t>
            </w:r>
          </w:p>
        </w:tc>
      </w:tr>
      <w:tr w:rsidR="00860B4B" w:rsidRPr="00D03F3E" w14:paraId="78A978BA" w14:textId="77777777">
        <w:tc>
          <w:tcPr>
            <w:tcW w:w="378" w:type="dxa"/>
          </w:tcPr>
          <w:p w14:paraId="6C6CE83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w:t>
            </w:r>
          </w:p>
        </w:tc>
        <w:tc>
          <w:tcPr>
            <w:tcW w:w="810" w:type="dxa"/>
          </w:tcPr>
          <w:p w14:paraId="29160DE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28.05.43</w:t>
            </w:r>
          </w:p>
        </w:tc>
        <w:tc>
          <w:tcPr>
            <w:tcW w:w="1260" w:type="dxa"/>
          </w:tcPr>
          <w:p w14:paraId="4E1F40B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Дренаж баков выведен черрез горловину в носок крыла</w:t>
            </w:r>
          </w:p>
        </w:tc>
        <w:tc>
          <w:tcPr>
            <w:tcW w:w="1190" w:type="dxa"/>
          </w:tcPr>
          <w:p w14:paraId="2001728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н=1600 об/мин.</w:t>
            </w:r>
          </w:p>
          <w:p w14:paraId="7292C58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Ра=820 мм рт ст.</w:t>
            </w:r>
          </w:p>
        </w:tc>
        <w:tc>
          <w:tcPr>
            <w:tcW w:w="1014" w:type="dxa"/>
          </w:tcPr>
          <w:p w14:paraId="03AFF5B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ПЛБГ-150</w:t>
            </w:r>
          </w:p>
          <w:p w14:paraId="1072B0D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Заправка полностью</w:t>
            </w:r>
          </w:p>
        </w:tc>
        <w:tc>
          <w:tcPr>
            <w:tcW w:w="1036" w:type="dxa"/>
          </w:tcPr>
          <w:p w14:paraId="1AF6305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Правый бак - 50 л.</w:t>
            </w:r>
          </w:p>
          <w:p w14:paraId="71AA7C4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Левый бак - 47 л.</w:t>
            </w:r>
          </w:p>
        </w:tc>
        <w:tc>
          <w:tcPr>
            <w:tcW w:w="1826" w:type="dxa"/>
          </w:tcPr>
          <w:p w14:paraId="346FCDB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Горизонтальный полет по прямой Н=600 м и У=260-270 км/час по прибору</w:t>
            </w:r>
          </w:p>
        </w:tc>
        <w:tc>
          <w:tcPr>
            <w:tcW w:w="927" w:type="dxa"/>
          </w:tcPr>
          <w:p w14:paraId="40330E3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 минут</w:t>
            </w:r>
          </w:p>
        </w:tc>
        <w:tc>
          <w:tcPr>
            <w:tcW w:w="2107" w:type="dxa"/>
          </w:tcPr>
          <w:p w14:paraId="01B4303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Прекращен полет из-за плохой погоды - дождь на маршруте, гроза</w:t>
            </w:r>
          </w:p>
        </w:tc>
      </w:tr>
      <w:tr w:rsidR="00860B4B" w:rsidRPr="00D03F3E" w14:paraId="51115B51" w14:textId="77777777">
        <w:tc>
          <w:tcPr>
            <w:tcW w:w="378" w:type="dxa"/>
          </w:tcPr>
          <w:p w14:paraId="188968D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810" w:type="dxa"/>
          </w:tcPr>
          <w:p w14:paraId="6A88C96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29.05.43</w:t>
            </w:r>
          </w:p>
        </w:tc>
        <w:tc>
          <w:tcPr>
            <w:tcW w:w="1260" w:type="dxa"/>
          </w:tcPr>
          <w:p w14:paraId="1CA3CD4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190" w:type="dxa"/>
          </w:tcPr>
          <w:p w14:paraId="5306507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н=1600 об/мин.</w:t>
            </w:r>
          </w:p>
          <w:p w14:paraId="3448D55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Ра=820 мм рт ст.</w:t>
            </w:r>
          </w:p>
        </w:tc>
        <w:tc>
          <w:tcPr>
            <w:tcW w:w="1014" w:type="dxa"/>
          </w:tcPr>
          <w:p w14:paraId="692E5A9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ПЛБГ-150</w:t>
            </w:r>
          </w:p>
          <w:p w14:paraId="3255BB0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Заправка полностью</w:t>
            </w:r>
          </w:p>
        </w:tc>
        <w:tc>
          <w:tcPr>
            <w:tcW w:w="1036" w:type="dxa"/>
          </w:tcPr>
          <w:p w14:paraId="1DF4DE8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Правый бак - 6 л.</w:t>
            </w:r>
          </w:p>
          <w:p w14:paraId="5609927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Левый бак - 9 л.</w:t>
            </w:r>
          </w:p>
        </w:tc>
        <w:tc>
          <w:tcPr>
            <w:tcW w:w="1826" w:type="dxa"/>
          </w:tcPr>
          <w:p w14:paraId="4845E77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Горизонтальный полет по прямой Н=800 м и У=260-265 км/час по прибору</w:t>
            </w:r>
          </w:p>
        </w:tc>
        <w:tc>
          <w:tcPr>
            <w:tcW w:w="927" w:type="dxa"/>
          </w:tcPr>
          <w:p w14:paraId="3CCE2F4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 минут</w:t>
            </w:r>
          </w:p>
        </w:tc>
        <w:tc>
          <w:tcPr>
            <w:tcW w:w="2107" w:type="dxa"/>
          </w:tcPr>
          <w:p w14:paraId="4CF794B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 прекращен - перебои в работе мотора, обрезание</w:t>
            </w:r>
          </w:p>
        </w:tc>
      </w:tr>
      <w:tr w:rsidR="00860B4B" w:rsidRPr="00D03F3E" w14:paraId="6B56D6E1" w14:textId="77777777">
        <w:tc>
          <w:tcPr>
            <w:tcW w:w="378" w:type="dxa"/>
          </w:tcPr>
          <w:p w14:paraId="21E911A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w:t>
            </w:r>
          </w:p>
        </w:tc>
        <w:tc>
          <w:tcPr>
            <w:tcW w:w="810" w:type="dxa"/>
          </w:tcPr>
          <w:p w14:paraId="0557551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03.06.43</w:t>
            </w:r>
          </w:p>
        </w:tc>
        <w:tc>
          <w:tcPr>
            <w:tcW w:w="1260" w:type="dxa"/>
          </w:tcPr>
          <w:p w14:paraId="02672A6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Открытый дренаж. В заливной горло</w:t>
            </w:r>
            <w:r w:rsidRPr="00D03F3E">
              <w:rPr>
                <w:rFonts w:ascii="Times New Roman" w:hAnsi="Times New Roman"/>
                <w:color w:val="000000" w:themeColor="text1"/>
                <w:sz w:val="16"/>
                <w:szCs w:val="16"/>
              </w:rPr>
              <w:softHyphen/>
              <w:t>вине отверстие 12 мм</w:t>
            </w:r>
          </w:p>
        </w:tc>
        <w:tc>
          <w:tcPr>
            <w:tcW w:w="1190" w:type="dxa"/>
          </w:tcPr>
          <w:p w14:paraId="4AD2278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н=1650 об/мин.</w:t>
            </w:r>
          </w:p>
          <w:p w14:paraId="7B4340C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Ра=820 мм рт ст.</w:t>
            </w:r>
          </w:p>
        </w:tc>
        <w:tc>
          <w:tcPr>
            <w:tcW w:w="1014" w:type="dxa"/>
          </w:tcPr>
          <w:p w14:paraId="5E19283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ПЛБГ-150</w:t>
            </w:r>
          </w:p>
          <w:p w14:paraId="0628FE6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Заправка полностью</w:t>
            </w:r>
          </w:p>
        </w:tc>
        <w:tc>
          <w:tcPr>
            <w:tcW w:w="1036" w:type="dxa"/>
          </w:tcPr>
          <w:p w14:paraId="6DB3A9C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Правый бак - 8 л.</w:t>
            </w:r>
          </w:p>
          <w:p w14:paraId="208414C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Левый бак - 86 л.</w:t>
            </w:r>
          </w:p>
        </w:tc>
        <w:tc>
          <w:tcPr>
            <w:tcW w:w="1826" w:type="dxa"/>
          </w:tcPr>
          <w:p w14:paraId="061DCAA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Горизонтальный полет по прямой Н=500 м и У=270 км/час по прибору</w:t>
            </w:r>
          </w:p>
        </w:tc>
        <w:tc>
          <w:tcPr>
            <w:tcW w:w="927" w:type="dxa"/>
          </w:tcPr>
          <w:p w14:paraId="3FF4DAB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 минут</w:t>
            </w:r>
          </w:p>
        </w:tc>
        <w:tc>
          <w:tcPr>
            <w:tcW w:w="2107" w:type="dxa"/>
          </w:tcPr>
          <w:p w14:paraId="2F76603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Работа на подвесных баках прекращена из-за падения давления бензина и обрезания мотора</w:t>
            </w:r>
          </w:p>
        </w:tc>
      </w:tr>
      <w:tr w:rsidR="00860B4B" w:rsidRPr="00D03F3E" w14:paraId="7E08AF83" w14:textId="77777777">
        <w:tc>
          <w:tcPr>
            <w:tcW w:w="378" w:type="dxa"/>
          </w:tcPr>
          <w:p w14:paraId="7D7E63F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810" w:type="dxa"/>
          </w:tcPr>
          <w:p w14:paraId="74CD8F5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03.06.43</w:t>
            </w:r>
          </w:p>
        </w:tc>
        <w:tc>
          <w:tcPr>
            <w:tcW w:w="1260" w:type="dxa"/>
          </w:tcPr>
          <w:p w14:paraId="0D00AE4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190" w:type="dxa"/>
          </w:tcPr>
          <w:p w14:paraId="6E2AEA7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н=1650 об/мин.</w:t>
            </w:r>
          </w:p>
          <w:p w14:paraId="7F7240D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Ра=830 мм рт ст.</w:t>
            </w:r>
          </w:p>
        </w:tc>
        <w:tc>
          <w:tcPr>
            <w:tcW w:w="1014" w:type="dxa"/>
          </w:tcPr>
          <w:p w14:paraId="5D2EF92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ПЛБГ-150</w:t>
            </w:r>
          </w:p>
          <w:p w14:paraId="6E1A620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Заправка полностью</w:t>
            </w:r>
          </w:p>
        </w:tc>
        <w:tc>
          <w:tcPr>
            <w:tcW w:w="1036" w:type="dxa"/>
          </w:tcPr>
          <w:p w14:paraId="052EA9B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Правый бак - 120 л.</w:t>
            </w:r>
          </w:p>
          <w:p w14:paraId="6A3193F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Левый бак - 2,5 л.</w:t>
            </w:r>
          </w:p>
        </w:tc>
        <w:tc>
          <w:tcPr>
            <w:tcW w:w="1826" w:type="dxa"/>
          </w:tcPr>
          <w:p w14:paraId="0B0562D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Горизонтальный полет в течение 20 мин. - эволюции (виражи) Н=700 м и У=260-270 км/час по прибору</w:t>
            </w:r>
          </w:p>
        </w:tc>
        <w:tc>
          <w:tcPr>
            <w:tcW w:w="927" w:type="dxa"/>
          </w:tcPr>
          <w:p w14:paraId="68AC8C5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 минуты</w:t>
            </w:r>
          </w:p>
        </w:tc>
        <w:tc>
          <w:tcPr>
            <w:tcW w:w="2107" w:type="dxa"/>
          </w:tcPr>
          <w:p w14:paraId="3E91E4F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Работа на подвесных баках прекращена и-зза падения давления бензина на виражах на 14 минуте</w:t>
            </w:r>
          </w:p>
        </w:tc>
      </w:tr>
      <w:tr w:rsidR="00860B4B" w:rsidRPr="00D03F3E" w14:paraId="040A4FE9" w14:textId="77777777">
        <w:tc>
          <w:tcPr>
            <w:tcW w:w="378" w:type="dxa"/>
          </w:tcPr>
          <w:p w14:paraId="2E423D1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w:t>
            </w:r>
          </w:p>
        </w:tc>
        <w:tc>
          <w:tcPr>
            <w:tcW w:w="810" w:type="dxa"/>
          </w:tcPr>
          <w:p w14:paraId="3E2F333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03.06.43</w:t>
            </w:r>
          </w:p>
        </w:tc>
        <w:tc>
          <w:tcPr>
            <w:tcW w:w="1260" w:type="dxa"/>
          </w:tcPr>
          <w:p w14:paraId="33CC88D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Дренаж баков выведенен через за-лявную горлови</w:t>
            </w:r>
            <w:r w:rsidRPr="00D03F3E">
              <w:rPr>
                <w:rFonts w:ascii="Times New Roman" w:hAnsi="Times New Roman"/>
                <w:color w:val="000000" w:themeColor="text1"/>
                <w:sz w:val="16"/>
                <w:szCs w:val="16"/>
              </w:rPr>
              <w:softHyphen/>
              <w:t>ну в носок крыла</w:t>
            </w:r>
          </w:p>
        </w:tc>
        <w:tc>
          <w:tcPr>
            <w:tcW w:w="1190" w:type="dxa"/>
          </w:tcPr>
          <w:p w14:paraId="48AB75D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н=1650 об/мин.</w:t>
            </w:r>
          </w:p>
          <w:p w14:paraId="74D517C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Ра=820 мм рт ст.</w:t>
            </w:r>
          </w:p>
        </w:tc>
        <w:tc>
          <w:tcPr>
            <w:tcW w:w="1014" w:type="dxa"/>
          </w:tcPr>
          <w:p w14:paraId="2DFE9A4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ПЛБГ-150</w:t>
            </w:r>
          </w:p>
          <w:p w14:paraId="1B71F71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Заправка полностью</w:t>
            </w:r>
          </w:p>
        </w:tc>
        <w:tc>
          <w:tcPr>
            <w:tcW w:w="1036" w:type="dxa"/>
          </w:tcPr>
          <w:p w14:paraId="7E2181B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Правый бак - 45 л.</w:t>
            </w:r>
          </w:p>
          <w:p w14:paraId="6679A76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Левый бак - 42 л.</w:t>
            </w:r>
          </w:p>
        </w:tc>
        <w:tc>
          <w:tcPr>
            <w:tcW w:w="1826" w:type="dxa"/>
          </w:tcPr>
          <w:p w14:paraId="6417687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Горизонтальный полет в течение 20 мин. - эволюции (виражи) в течение 20 мин. Н=600 м и У=260-270 км/час по прибору</w:t>
            </w:r>
          </w:p>
        </w:tc>
        <w:tc>
          <w:tcPr>
            <w:tcW w:w="927" w:type="dxa"/>
          </w:tcPr>
          <w:p w14:paraId="710E8AF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 минут</w:t>
            </w:r>
          </w:p>
        </w:tc>
        <w:tc>
          <w:tcPr>
            <w:tcW w:w="2107" w:type="dxa"/>
          </w:tcPr>
          <w:p w14:paraId="55F636B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Задание выполнено.</w:t>
            </w:r>
          </w:p>
          <w:p w14:paraId="619DF69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Падениж давления бензина не наб</w:t>
            </w:r>
            <w:r w:rsidRPr="00D03F3E">
              <w:rPr>
                <w:rFonts w:ascii="Times New Roman" w:hAnsi="Times New Roman"/>
                <w:color w:val="000000" w:themeColor="text1"/>
                <w:sz w:val="16"/>
                <w:szCs w:val="16"/>
              </w:rPr>
              <w:softHyphen/>
              <w:t>людалось</w:t>
            </w:r>
          </w:p>
        </w:tc>
      </w:tr>
      <w:tr w:rsidR="00860B4B" w:rsidRPr="00D03F3E" w14:paraId="5A220EBE" w14:textId="77777777">
        <w:tc>
          <w:tcPr>
            <w:tcW w:w="378" w:type="dxa"/>
          </w:tcPr>
          <w:p w14:paraId="1AA8489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w:t>
            </w:r>
          </w:p>
        </w:tc>
        <w:tc>
          <w:tcPr>
            <w:tcW w:w="810" w:type="dxa"/>
          </w:tcPr>
          <w:p w14:paraId="44F532A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03.06.43</w:t>
            </w:r>
          </w:p>
        </w:tc>
        <w:tc>
          <w:tcPr>
            <w:tcW w:w="1260" w:type="dxa"/>
          </w:tcPr>
          <w:p w14:paraId="0DA5F9A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1190" w:type="dxa"/>
          </w:tcPr>
          <w:p w14:paraId="3368521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н=1650 об/мин.</w:t>
            </w:r>
          </w:p>
          <w:p w14:paraId="442219F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Ра=820 мм рт ст.</w:t>
            </w:r>
          </w:p>
        </w:tc>
        <w:tc>
          <w:tcPr>
            <w:tcW w:w="1014" w:type="dxa"/>
          </w:tcPr>
          <w:p w14:paraId="6B4A075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ПЛБГ-150</w:t>
            </w:r>
          </w:p>
          <w:p w14:paraId="120992A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Залито в баки 50 литров</w:t>
            </w:r>
          </w:p>
        </w:tc>
        <w:tc>
          <w:tcPr>
            <w:tcW w:w="1036" w:type="dxa"/>
          </w:tcPr>
          <w:p w14:paraId="144C64C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Правый бак - 22 л.</w:t>
            </w:r>
          </w:p>
          <w:p w14:paraId="51C37BD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Левый бак - 1 л.</w:t>
            </w:r>
          </w:p>
        </w:tc>
        <w:tc>
          <w:tcPr>
            <w:tcW w:w="1826" w:type="dxa"/>
          </w:tcPr>
          <w:p w14:paraId="5372B48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Горизонтальный полет по прямой Н=700 м и У=260-265 км/час по прибору</w:t>
            </w:r>
          </w:p>
        </w:tc>
        <w:tc>
          <w:tcPr>
            <w:tcW w:w="927" w:type="dxa"/>
          </w:tcPr>
          <w:p w14:paraId="7283AB0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 минут</w:t>
            </w:r>
          </w:p>
        </w:tc>
        <w:tc>
          <w:tcPr>
            <w:tcW w:w="2107" w:type="dxa"/>
          </w:tcPr>
          <w:p w14:paraId="40460B0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 прекращен из-за обрезания мотора</w:t>
            </w:r>
          </w:p>
        </w:tc>
      </w:tr>
      <w:tr w:rsidR="00860B4B" w:rsidRPr="00D03F3E" w14:paraId="14A53610" w14:textId="77777777">
        <w:tc>
          <w:tcPr>
            <w:tcW w:w="378" w:type="dxa"/>
          </w:tcPr>
          <w:p w14:paraId="679C6AE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w:t>
            </w:r>
          </w:p>
        </w:tc>
        <w:tc>
          <w:tcPr>
            <w:tcW w:w="810" w:type="dxa"/>
          </w:tcPr>
          <w:p w14:paraId="76BD547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03.06.43</w:t>
            </w:r>
          </w:p>
        </w:tc>
        <w:tc>
          <w:tcPr>
            <w:tcW w:w="1260" w:type="dxa"/>
          </w:tcPr>
          <w:p w14:paraId="585E367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Серийный дренаж</w:t>
            </w:r>
          </w:p>
        </w:tc>
        <w:tc>
          <w:tcPr>
            <w:tcW w:w="1190" w:type="dxa"/>
          </w:tcPr>
          <w:p w14:paraId="315B656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н=1650 об/мин.</w:t>
            </w:r>
          </w:p>
          <w:p w14:paraId="1A4D8D1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Ра=830 мм рт ст.</w:t>
            </w:r>
          </w:p>
        </w:tc>
        <w:tc>
          <w:tcPr>
            <w:tcW w:w="1014" w:type="dxa"/>
          </w:tcPr>
          <w:p w14:paraId="2C2A641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ПЛБГ-100</w:t>
            </w:r>
          </w:p>
          <w:p w14:paraId="714E19F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Заправка полностью</w:t>
            </w:r>
          </w:p>
        </w:tc>
        <w:tc>
          <w:tcPr>
            <w:tcW w:w="1036" w:type="dxa"/>
          </w:tcPr>
          <w:p w14:paraId="5C48377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Правый бак - 23 л.</w:t>
            </w:r>
          </w:p>
          <w:p w14:paraId="59846C0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Левый бак - 31 л.</w:t>
            </w:r>
          </w:p>
        </w:tc>
        <w:tc>
          <w:tcPr>
            <w:tcW w:w="1826" w:type="dxa"/>
          </w:tcPr>
          <w:p w14:paraId="4831314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Горизонтальный полет по прямой Н=700 м и У=260-265 км/час по прибору</w:t>
            </w:r>
          </w:p>
        </w:tc>
        <w:tc>
          <w:tcPr>
            <w:tcW w:w="3034" w:type="dxa"/>
            <w:gridSpan w:val="2"/>
          </w:tcPr>
          <w:p w14:paraId="223CE18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 обрезал на 5-й минуте</w:t>
            </w:r>
          </w:p>
        </w:tc>
      </w:tr>
      <w:tr w:rsidR="00860B4B" w:rsidRPr="00D03F3E" w14:paraId="3DA1954E" w14:textId="77777777">
        <w:tc>
          <w:tcPr>
            <w:tcW w:w="378" w:type="dxa"/>
            <w:tcBorders>
              <w:bottom w:val="single" w:sz="12" w:space="0" w:color="auto"/>
            </w:tcBorders>
          </w:tcPr>
          <w:p w14:paraId="2117CFD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w:t>
            </w:r>
          </w:p>
        </w:tc>
        <w:tc>
          <w:tcPr>
            <w:tcW w:w="810" w:type="dxa"/>
            <w:tcBorders>
              <w:bottom w:val="single" w:sz="12" w:space="0" w:color="auto"/>
            </w:tcBorders>
          </w:tcPr>
          <w:p w14:paraId="298E392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04.06.43</w:t>
            </w:r>
          </w:p>
        </w:tc>
        <w:tc>
          <w:tcPr>
            <w:tcW w:w="1260" w:type="dxa"/>
            <w:tcBorders>
              <w:bottom w:val="single" w:sz="12" w:space="0" w:color="auto"/>
            </w:tcBorders>
          </w:tcPr>
          <w:p w14:paraId="5032C41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Дренаж баков выведен через за-лявную горлови</w:t>
            </w:r>
            <w:r w:rsidRPr="00D03F3E">
              <w:rPr>
                <w:rFonts w:ascii="Times New Roman" w:hAnsi="Times New Roman"/>
                <w:color w:val="000000" w:themeColor="text1"/>
                <w:sz w:val="16"/>
                <w:szCs w:val="16"/>
              </w:rPr>
              <w:softHyphen/>
              <w:t>ну в крыло</w:t>
            </w:r>
          </w:p>
        </w:tc>
        <w:tc>
          <w:tcPr>
            <w:tcW w:w="1190" w:type="dxa"/>
            <w:tcBorders>
              <w:bottom w:val="single" w:sz="12" w:space="0" w:color="auto"/>
            </w:tcBorders>
          </w:tcPr>
          <w:p w14:paraId="469A628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н=1650 об/мин.</w:t>
            </w:r>
          </w:p>
          <w:p w14:paraId="2BC3A92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Ра=830 мм рт ст.</w:t>
            </w:r>
          </w:p>
        </w:tc>
        <w:tc>
          <w:tcPr>
            <w:tcW w:w="1014" w:type="dxa"/>
            <w:tcBorders>
              <w:bottom w:val="single" w:sz="12" w:space="0" w:color="auto"/>
            </w:tcBorders>
          </w:tcPr>
          <w:p w14:paraId="0C3CB5D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ПЛБГ-100</w:t>
            </w:r>
          </w:p>
          <w:p w14:paraId="1018412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Заправка полностью</w:t>
            </w:r>
          </w:p>
        </w:tc>
        <w:tc>
          <w:tcPr>
            <w:tcW w:w="1036" w:type="dxa"/>
            <w:tcBorders>
              <w:bottom w:val="single" w:sz="12" w:space="0" w:color="auto"/>
            </w:tcBorders>
          </w:tcPr>
          <w:p w14:paraId="0D879B4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Правый бак - 9 л.</w:t>
            </w:r>
          </w:p>
          <w:p w14:paraId="265BE7A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Левый бак - 0 л.</w:t>
            </w:r>
          </w:p>
        </w:tc>
        <w:tc>
          <w:tcPr>
            <w:tcW w:w="1826" w:type="dxa"/>
            <w:tcBorders>
              <w:bottom w:val="single" w:sz="12" w:space="0" w:color="auto"/>
            </w:tcBorders>
          </w:tcPr>
          <w:p w14:paraId="2ED2BFB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Горизонтальный полет по прямой Н=500-600 м и У=260-270 км/час по прибору</w:t>
            </w:r>
          </w:p>
        </w:tc>
        <w:tc>
          <w:tcPr>
            <w:tcW w:w="927" w:type="dxa"/>
            <w:tcBorders>
              <w:bottom w:val="single" w:sz="12" w:space="0" w:color="auto"/>
            </w:tcBorders>
          </w:tcPr>
          <w:p w14:paraId="6612C03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 минут</w:t>
            </w:r>
          </w:p>
        </w:tc>
        <w:tc>
          <w:tcPr>
            <w:tcW w:w="2107" w:type="dxa"/>
            <w:tcBorders>
              <w:bottom w:val="single" w:sz="12" w:space="0" w:color="auto"/>
            </w:tcBorders>
          </w:tcPr>
          <w:p w14:paraId="78645F1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 прекращен из-за обрезания мотора (1778,262).</w:t>
            </w:r>
          </w:p>
        </w:tc>
      </w:tr>
    </w:tbl>
    <w:p w14:paraId="7AE9ACF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9DABE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июня 1942 Ильюшин в письме на имя Шахурина отмечал:</w:t>
      </w:r>
    </w:p>
    <w:p w14:paraId="48D919B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в НИИ ВВС самолета Ил-2 завода № 18 с подвес</w:t>
      </w:r>
      <w:r w:rsidRPr="00D03F3E">
        <w:rPr>
          <w:rFonts w:ascii="Times New Roman" w:hAnsi="Times New Roman"/>
          <w:color w:val="000000" w:themeColor="text1"/>
          <w:sz w:val="16"/>
          <w:szCs w:val="16"/>
        </w:rPr>
        <w:softHyphen/>
        <w:t>ными бензобаками показали, что во всех случаях, когда испы</w:t>
      </w:r>
      <w:r w:rsidRPr="00D03F3E">
        <w:rPr>
          <w:rFonts w:ascii="Times New Roman" w:hAnsi="Times New Roman"/>
          <w:color w:val="000000" w:themeColor="text1"/>
          <w:sz w:val="16"/>
          <w:szCs w:val="16"/>
        </w:rPr>
        <w:softHyphen/>
        <w:t>тания велись в строгом соответствии с нашей инструкцией... суммарная невыработка бензина в двух баках не превышала установленной нормы допуска — 20 литров. Эти факты зафик</w:t>
      </w:r>
      <w:r w:rsidRPr="00D03F3E">
        <w:rPr>
          <w:rFonts w:ascii="Times New Roman" w:hAnsi="Times New Roman"/>
          <w:color w:val="000000" w:themeColor="text1"/>
          <w:sz w:val="16"/>
          <w:szCs w:val="16"/>
        </w:rPr>
        <w:softHyphen/>
        <w:t>сированы НИИ ВВС при испытании им самолета Ил-2 в при</w:t>
      </w:r>
      <w:r w:rsidRPr="00D03F3E">
        <w:rPr>
          <w:rFonts w:ascii="Times New Roman" w:hAnsi="Times New Roman"/>
          <w:color w:val="000000" w:themeColor="text1"/>
          <w:sz w:val="16"/>
          <w:szCs w:val="16"/>
        </w:rPr>
        <w:softHyphen/>
        <w:t>лагаемой при сем таблице полетов.</w:t>
      </w:r>
    </w:p>
    <w:p w14:paraId="4BBD002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...Нам известно, как трудно в частях ВВС осваивалась систе</w:t>
      </w:r>
      <w:r w:rsidRPr="00D03F3E">
        <w:rPr>
          <w:rFonts w:ascii="Times New Roman" w:hAnsi="Times New Roman"/>
          <w:color w:val="000000" w:themeColor="text1"/>
          <w:sz w:val="16"/>
          <w:szCs w:val="16"/>
        </w:rPr>
        <w:softHyphen/>
        <w:t>ма подвесных бензобаков на Ил-4, хотя там система выработки более благоприятна, но, тем не менее, пока технический состав не освоил ее, бензин из баков вырабатывался очень плохо.</w:t>
      </w:r>
    </w:p>
    <w:p w14:paraId="2CBC0DF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Необходимо ВВС КА приступить к эксплуатации подвесных бензобаков на самолете Ил-2 согласно прилагаемой при сем инструкции, но предварительно проинструктировав строевые части об особенностях подвесной системы, которая требует тщательного ухода в эксплуатации. Нужно учитывать уже имев</w:t>
      </w:r>
      <w:r w:rsidRPr="00D03F3E">
        <w:rPr>
          <w:rFonts w:ascii="Times New Roman" w:hAnsi="Times New Roman"/>
          <w:color w:val="000000" w:themeColor="text1"/>
          <w:sz w:val="16"/>
          <w:szCs w:val="16"/>
        </w:rPr>
        <w:softHyphen/>
        <w:t>шийся опыт с подвесными бензобаками на самолете Ил-4.</w:t>
      </w:r>
    </w:p>
    <w:p w14:paraId="456FC9B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Подвесная система работает на подсосе и поэтому ее нужно держать всегда герметичной и дренаж в порядке...»</w:t>
      </w:r>
    </w:p>
    <w:p w14:paraId="6C9A524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Несмотря на доводы Ильюшина, руководство ВВС и НКАП потребовало срочной доработки предложенной ОКБ системы подвесных бензобаков для Ил-2 в отношении </w:t>
      </w:r>
      <w:r w:rsidRPr="00D03F3E">
        <w:rPr>
          <w:rFonts w:ascii="Times New Roman" w:hAnsi="Times New Roman"/>
          <w:color w:val="000000" w:themeColor="text1"/>
          <w:sz w:val="16"/>
          <w:szCs w:val="16"/>
        </w:rPr>
        <w:lastRenderedPageBreak/>
        <w:t>повы</w:t>
      </w:r>
      <w:r w:rsidRPr="00D03F3E">
        <w:rPr>
          <w:rFonts w:ascii="Times New Roman" w:hAnsi="Times New Roman"/>
          <w:color w:val="000000" w:themeColor="text1"/>
          <w:sz w:val="16"/>
          <w:szCs w:val="16"/>
        </w:rPr>
        <w:softHyphen/>
        <w:t>шения надежности ее работы и упрощения обслуживания в боевых условиях.</w:t>
      </w:r>
    </w:p>
    <w:p w14:paraId="7753AE6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всего лета система питания мотора Ил-2 от подвес</w:t>
      </w:r>
      <w:r w:rsidRPr="00D03F3E">
        <w:rPr>
          <w:rFonts w:ascii="Times New Roman" w:hAnsi="Times New Roman"/>
          <w:color w:val="000000" w:themeColor="text1"/>
          <w:sz w:val="16"/>
          <w:szCs w:val="16"/>
        </w:rPr>
        <w:softHyphen/>
        <w:t>ных бензобаков дважды дорабатывалась, но все неудачно. Только третьи по счету (с 29 сентября по 10 октября) испытания подвес</w:t>
      </w:r>
      <w:r w:rsidRPr="00D03F3E">
        <w:rPr>
          <w:rFonts w:ascii="Times New Roman" w:hAnsi="Times New Roman"/>
          <w:color w:val="000000" w:themeColor="text1"/>
          <w:sz w:val="16"/>
          <w:szCs w:val="16"/>
        </w:rPr>
        <w:softHyphen/>
        <w:t>ных бензобаков оказались успешными: испытывались два само</w:t>
      </w:r>
      <w:r w:rsidRPr="00D03F3E">
        <w:rPr>
          <w:rFonts w:ascii="Times New Roman" w:hAnsi="Times New Roman"/>
          <w:color w:val="000000" w:themeColor="text1"/>
          <w:sz w:val="16"/>
          <w:szCs w:val="16"/>
        </w:rPr>
        <w:softHyphen/>
        <w:t>лета Ил-2 с АМ-38ф — один с двумя ПЛБГ-150, второй — с дву</w:t>
      </w:r>
      <w:r w:rsidRPr="00D03F3E">
        <w:rPr>
          <w:rFonts w:ascii="Times New Roman" w:hAnsi="Times New Roman"/>
          <w:color w:val="000000" w:themeColor="text1"/>
          <w:sz w:val="16"/>
          <w:szCs w:val="16"/>
        </w:rPr>
        <w:softHyphen/>
        <w:t>мя металлическими подвесными баками емкостью по 175 л.</w:t>
      </w:r>
    </w:p>
    <w:p w14:paraId="6057B22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серийное производство был внедрен вариант с ПЛБГ-150. Подвесные бензобаки в новой редакции стали устанавливаться на заводе № 18 начиная с Ил-2 зав. № 1872657. Самолеты с зав. № 1876353 по № 1872557 были выпущены заводом с системой подвески дополнительных баков, смонтированной по старым чертежам. Для нормальной их эксплуатации техническому соста</w:t>
      </w:r>
      <w:r w:rsidRPr="00D03F3E">
        <w:rPr>
          <w:rFonts w:ascii="Times New Roman" w:hAnsi="Times New Roman"/>
          <w:color w:val="000000" w:themeColor="text1"/>
          <w:sz w:val="16"/>
          <w:szCs w:val="16"/>
        </w:rPr>
        <w:softHyphen/>
        <w:t>ву строевых частей предлагалось доработать систему бензопита-ния этих баков в соответствии со специальным регламентом.</w:t>
      </w:r>
    </w:p>
    <w:p w14:paraId="1F5AC70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Дополнительные бензобаки подвешивались на вторых нер</w:t>
      </w:r>
      <w:r w:rsidRPr="00D03F3E">
        <w:rPr>
          <w:rFonts w:ascii="Times New Roman" w:hAnsi="Times New Roman"/>
          <w:color w:val="000000" w:themeColor="text1"/>
          <w:sz w:val="16"/>
          <w:szCs w:val="16"/>
        </w:rPr>
        <w:softHyphen/>
        <w:t>вюрах центроплана на замках МДЗ-42. Положение оси баков относительно хорды крыла регулировалось с помощью уни</w:t>
      </w:r>
      <w:r w:rsidRPr="00D03F3E">
        <w:rPr>
          <w:rFonts w:ascii="Times New Roman" w:hAnsi="Times New Roman"/>
          <w:color w:val="000000" w:themeColor="text1"/>
          <w:sz w:val="16"/>
          <w:szCs w:val="16"/>
        </w:rPr>
        <w:softHyphen/>
        <w:t>версальных ухватов внешней подвески.</w:t>
      </w:r>
    </w:p>
    <w:p w14:paraId="789151B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Трубопровод системы бензопитания подвесных бензобаков от тройника расходился на левую и правую сторону центро</w:t>
      </w:r>
      <w:r w:rsidRPr="00D03F3E">
        <w:rPr>
          <w:rFonts w:ascii="Times New Roman" w:hAnsi="Times New Roman"/>
          <w:color w:val="000000" w:themeColor="text1"/>
          <w:sz w:val="16"/>
          <w:szCs w:val="16"/>
        </w:rPr>
        <w:softHyphen/>
        <w:t>плана. Трубопроводы проходили через отверстия в бронекорпусе и далее шли внутри носка центроплана за вторую нервюру к бензобакам. Трубопровод выводился наружу к бензобакам через отверстие в нижней обшивке крыла (11474,369).</w:t>
      </w:r>
    </w:p>
    <w:p w14:paraId="79F8F04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27F94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июня 1943 ГИ ВВС Репин подписал Инструкцию по эксплуатации системы подвесных бензобаков самолета Ил-2 с АМ-38Ф (1784,263).</w:t>
      </w:r>
    </w:p>
    <w:p w14:paraId="3E92753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"УТВЕРЖДАЮ"</w:t>
      </w:r>
    </w:p>
    <w:p w14:paraId="13A71B0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Гл.инженер ВВС</w:t>
      </w:r>
    </w:p>
    <w:p w14:paraId="0CC43B1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 нерал-Подковник</w:t>
      </w:r>
    </w:p>
    <w:p w14:paraId="5F1C155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РЕПИН</w:t>
      </w:r>
    </w:p>
    <w:p w14:paraId="536B434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 Н-С Т Р У К Ц И Я</w:t>
      </w:r>
    </w:p>
    <w:p w14:paraId="55000B9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эксплоатации системы подвесных бензобаков сзамолета Ил-2 с АМ-38Ф</w:t>
      </w:r>
    </w:p>
    <w:p w14:paraId="7DC9D78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I. Подготовка самолета к вылету</w:t>
      </w:r>
    </w:p>
    <w:p w14:paraId="435D516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подготовке самолета Ил-2 к вылету на выполнение задания с установкой подвесных бензобаков необходимо произвести следующее:</w:t>
      </w:r>
    </w:p>
    <w:p w14:paraId="6E0962E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Расконтрить поводок крана подвесных бензобаков и подсоединить к поводку тягу управления краном.</w:t>
      </w:r>
    </w:p>
    <w:p w14:paraId="7923A9A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Снять заглушки установленные в АМ-м соединении и вместо них установить заборные трубки, тщательно закрепив их.</w:t>
      </w:r>
    </w:p>
    <w:p w14:paraId="683164E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Установить универсальные ухваты наружной подвески в крайние гнезда балки нервюры № 2.</w:t>
      </w:r>
    </w:p>
    <w:p w14:paraId="49F9EDE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Установить бензобаки на замки МД-3-40 и отрегули</w:t>
      </w:r>
      <w:r w:rsidRPr="00D03F3E">
        <w:rPr>
          <w:rFonts w:ascii="Times New Roman" w:hAnsi="Times New Roman"/>
          <w:color w:val="000000" w:themeColor="text1"/>
          <w:sz w:val="16"/>
          <w:szCs w:val="16"/>
        </w:rPr>
        <w:softHyphen/>
        <w:t>ровать ухватами положение бензобака таким образом, чтооы ось бака имела с хордой крыла примерно минус 5°.</w:t>
      </w:r>
    </w:p>
    <w:p w14:paraId="1427AE6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получения данного положения бака передний ухват должен быть вывернут из своего гнезда на 5 ниток, а задний, на I нитку. Установленные баки должны плотно сидеть в креп лениях.</w:t>
      </w:r>
    </w:p>
    <w:p w14:paraId="515A5AD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Заливку подвесных бензобаков производить от бензозаправщика через горловину подвесных баков. Для более удобной заправки на заправочный пистолет надевать конец гибкого шланга.</w:t>
      </w:r>
    </w:p>
    <w:p w14:paraId="125BD78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После- заправки баков горючим установить дренаж баков, тщательно заправив его конец в отверстие в обшивке носка центроплана и резиновую шайбу находящуюся на забор ной трубке, плотно прижать к верхнему обрезу заборного колодца бака.</w:t>
      </w:r>
    </w:p>
    <w:p w14:paraId="68672AD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Опробовать и прогреть мотор на подвесных бензо</w:t>
      </w:r>
      <w:r w:rsidRPr="00D03F3E">
        <w:rPr>
          <w:rFonts w:ascii="Times New Roman" w:hAnsi="Times New Roman"/>
          <w:color w:val="000000" w:themeColor="text1"/>
          <w:sz w:val="16"/>
          <w:szCs w:val="16"/>
        </w:rPr>
        <w:softHyphen/>
        <w:t>баках,</w:t>
      </w:r>
    </w:p>
    <w:p w14:paraId="58E3055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2. Полет на подвесных бензобаках</w:t>
      </w:r>
    </w:p>
    <w:p w14:paraId="1850E44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Взлет и набор заданной высоты производить на основных бензобаках. При выходе на курс переключиться на подвесные бензобаки, для чего открыть кран подвесных бен</w:t>
      </w:r>
      <w:r w:rsidRPr="00D03F3E">
        <w:rPr>
          <w:rFonts w:ascii="Times New Roman" w:hAnsi="Times New Roman"/>
          <w:color w:val="000000" w:themeColor="text1"/>
          <w:sz w:val="16"/>
          <w:szCs w:val="16"/>
        </w:rPr>
        <w:softHyphen/>
        <w:t>зобаков и закрыть кран основных бензобаков.</w:t>
      </w:r>
    </w:p>
    <w:p w14:paraId="7251389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Подет на подвесных б/баках производить без рез</w:t>
      </w:r>
      <w:r w:rsidRPr="00D03F3E">
        <w:rPr>
          <w:rFonts w:ascii="Times New Roman" w:hAnsi="Times New Roman"/>
          <w:color w:val="000000" w:themeColor="text1"/>
          <w:sz w:val="16"/>
          <w:szCs w:val="16"/>
        </w:rPr>
        <w:softHyphen/>
        <w:t>ких эволюций, плавно переходя от одного режима полета к другому. Пикирования, крутых виражей при подвешенных бел-зооаках не производить.</w:t>
      </w:r>
    </w:p>
    <w:p w14:paraId="30F44AA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Для получения максимальной дальности равномерной выработки горючего ив подвесных баков полет производить на экономическом режиме н 1500. - 1850 об/мин. Ра 740 4- 780 мм. рт.ст.</w:t>
      </w:r>
    </w:p>
    <w:p w14:paraId="26DFB34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При полете на подвесных бензобаках рекомендуется номиналом пользоваться кратковременно для поддержания строя.</w:t>
      </w:r>
    </w:p>
    <w:p w14:paraId="6EED1B0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Полет на подвесных баках производить до падения давления бензина. При появлении падения бензина переклю</w:t>
      </w:r>
      <w:r w:rsidRPr="00D03F3E">
        <w:rPr>
          <w:rFonts w:ascii="Times New Roman" w:hAnsi="Times New Roman"/>
          <w:color w:val="000000" w:themeColor="text1"/>
          <w:sz w:val="16"/>
          <w:szCs w:val="16"/>
        </w:rPr>
        <w:softHyphen/>
        <w:t>читься на основные оаки не дожидаясь остановки мотора. Суммарный остаток горючего в обоих баках не более 20 литр.</w:t>
      </w:r>
    </w:p>
    <w:p w14:paraId="1933E2B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При переключении с подвесных баков на основные требуется открыть кран основных баков и тщательно закрыть кран-подвесных баков.</w:t>
      </w:r>
    </w:p>
    <w:p w14:paraId="768E7A3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 При полете за линию фронта, после выработки горю</w:t>
      </w:r>
      <w:r w:rsidRPr="00D03F3E">
        <w:rPr>
          <w:rFonts w:ascii="Times New Roman" w:hAnsi="Times New Roman"/>
          <w:color w:val="000000" w:themeColor="text1"/>
          <w:sz w:val="16"/>
          <w:szCs w:val="16"/>
        </w:rPr>
        <w:softHyphen/>
        <w:t>чего из подвесных баков и переключение на основные баки, подвесные оаки сбросить. Сбрасывание произвести от ЭСБР-ЗП таким же пооядком как сбрасываются бомбы наружной подвески с замков МД-3-40. В случае зависания хотя-бы од</w:t>
      </w:r>
      <w:r w:rsidRPr="00D03F3E">
        <w:rPr>
          <w:rFonts w:ascii="Times New Roman" w:hAnsi="Times New Roman"/>
          <w:color w:val="000000" w:themeColor="text1"/>
          <w:sz w:val="16"/>
          <w:szCs w:val="16"/>
        </w:rPr>
        <w:softHyphen/>
        <w:t>ного бензобака па причине отказа пиропистолета /отсырел пиропатрон, недовернут затвор и т.п./ в чем можно убедиться по сигнальным дампам за №№I и 2 на доске приборов. При зависании бака сигнальные лампы рродолжают гореть, неоходимо тумблер ЭСБР-ЗП поставить в положение "выключено”и продолжать полет. Сбрасывать электрически ЭСБР-ЗП бомбы из внутренних отсеков при зависании бензобака нельзя. В этом случае сбросить бомбы вместе с баком, если это поз</w:t>
      </w:r>
      <w:r w:rsidRPr="00D03F3E">
        <w:rPr>
          <w:rFonts w:ascii="Times New Roman" w:hAnsi="Times New Roman"/>
          <w:color w:val="000000" w:themeColor="text1"/>
          <w:sz w:val="16"/>
          <w:szCs w:val="16"/>
        </w:rPr>
        <w:softHyphen/>
        <w:t>воляет обстановка над целью от аварийного сбрасывателя.</w:t>
      </w:r>
    </w:p>
    <w:p w14:paraId="52F2D4F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3. Послеполетные работы.</w:t>
      </w:r>
    </w:p>
    <w:p w14:paraId="48DFCFE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возвращению самодета на аэродром после полета с подвесаШи баками и отсутствие задания на дальнейшие по</w:t>
      </w:r>
      <w:r w:rsidRPr="00D03F3E">
        <w:rPr>
          <w:rFonts w:ascii="Times New Roman" w:hAnsi="Times New Roman"/>
          <w:color w:val="000000" w:themeColor="text1"/>
          <w:sz w:val="16"/>
          <w:szCs w:val="16"/>
        </w:rPr>
        <w:softHyphen/>
        <w:t>леты с подвесными баками необходимо:</w:t>
      </w:r>
    </w:p>
    <w:p w14:paraId="4D38C80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I. Отсоединить тягу управления кранами от поводка крана и поводок тщательно законтрить положение крана "зак</w:t>
      </w:r>
      <w:r w:rsidRPr="00D03F3E">
        <w:rPr>
          <w:rFonts w:ascii="Times New Roman" w:hAnsi="Times New Roman"/>
          <w:color w:val="000000" w:themeColor="text1"/>
          <w:sz w:val="16"/>
          <w:szCs w:val="16"/>
        </w:rPr>
        <w:softHyphen/>
        <w:t>рыто”.</w:t>
      </w:r>
    </w:p>
    <w:p w14:paraId="165DD9C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Снять заборные трубки и установить заглушки</w:t>
      </w:r>
    </w:p>
    <w:p w14:paraId="29798EF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 Ввиду того, что система работает на подсосе, необходимо тщательно следить за герметичностью проводки и бенвокра нов, а также за наличием дренажа в баке и дренажных трубок в крыле.</w:t>
      </w:r>
    </w:p>
    <w:p w14:paraId="376DD55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ГК с-та Ил-2 С.В.И. (1778,263).</w:t>
      </w:r>
    </w:p>
    <w:p w14:paraId="0B9D8AD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E47B6D" w14:textId="77777777" w:rsidR="00267D1F" w:rsidRPr="00D03F3E" w:rsidRDefault="00267D1F"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июня 1943, ознакомившись с докладом начальника НИИ ВВС гене</w:t>
      </w:r>
      <w:r w:rsidRPr="00D03F3E">
        <w:rPr>
          <w:rFonts w:ascii="Times New Roman" w:hAnsi="Times New Roman"/>
          <w:color w:val="000000" w:themeColor="text1"/>
          <w:sz w:val="16"/>
          <w:szCs w:val="16"/>
        </w:rPr>
        <w:softHyphen/>
        <w:t>рал-лейтенант Лосюков об испытаниях опытных образцов про</w:t>
      </w:r>
      <w:r w:rsidRPr="00D03F3E">
        <w:rPr>
          <w:rFonts w:ascii="Times New Roman" w:hAnsi="Times New Roman"/>
          <w:color w:val="000000" w:themeColor="text1"/>
          <w:sz w:val="16"/>
          <w:szCs w:val="16"/>
        </w:rPr>
        <w:softHyphen/>
        <w:t>зрачной брони, генерал-полковник А.К. Репин дал распоряже</w:t>
      </w:r>
      <w:r w:rsidRPr="00D03F3E">
        <w:rPr>
          <w:rFonts w:ascii="Times New Roman" w:hAnsi="Times New Roman"/>
          <w:color w:val="000000" w:themeColor="text1"/>
          <w:sz w:val="16"/>
          <w:szCs w:val="16"/>
        </w:rPr>
        <w:softHyphen/>
        <w:t>ние своему заместителю генерал-лейтенанту А.А. Лапину потребовать от НКХП дать точную дату выполнения обязательств по заданию ГОКО, а также организовать поставку, мини</w:t>
      </w:r>
      <w:r w:rsidRPr="00D03F3E">
        <w:rPr>
          <w:rFonts w:ascii="Times New Roman" w:hAnsi="Times New Roman"/>
          <w:color w:val="000000" w:themeColor="text1"/>
          <w:sz w:val="16"/>
          <w:szCs w:val="16"/>
        </w:rPr>
        <w:softHyphen/>
        <w:t>мум, двух десятков комплектов бронекозырь- ков для Ил-2,</w:t>
      </w:r>
      <w:r w:rsidRPr="00D03F3E">
        <w:rPr>
          <w:rStyle w:val="aff6"/>
          <w:rFonts w:ascii="Times New Roman" w:hAnsi="Times New Roman" w:cs="Times New Roman"/>
          <w:i w:val="0"/>
          <w:color w:val="000000" w:themeColor="text1"/>
        </w:rPr>
        <w:t xml:space="preserve"> «склеенных на двойной пленке», </w:t>
      </w:r>
      <w:r w:rsidRPr="00D03F3E">
        <w:rPr>
          <w:rFonts w:ascii="Times New Roman" w:hAnsi="Times New Roman"/>
          <w:color w:val="000000" w:themeColor="text1"/>
          <w:sz w:val="16"/>
          <w:szCs w:val="16"/>
        </w:rPr>
        <w:t>с целью проведения войсковых испытаний (17481).</w:t>
      </w:r>
    </w:p>
    <w:p w14:paraId="195FE136" w14:textId="77777777" w:rsidR="00267D1F" w:rsidRPr="00D03F3E" w:rsidRDefault="00267D1F" w:rsidP="00D03F3E">
      <w:pPr>
        <w:spacing w:after="0" w:line="240" w:lineRule="auto"/>
        <w:jc w:val="both"/>
        <w:rPr>
          <w:rFonts w:ascii="Times New Roman" w:hAnsi="Times New Roman"/>
          <w:color w:val="000000" w:themeColor="text1"/>
          <w:sz w:val="16"/>
          <w:szCs w:val="16"/>
        </w:rPr>
      </w:pPr>
    </w:p>
    <w:p w14:paraId="0E4F9B9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июня 1943 года Воронин писал письмо N Н-34/2565 зам. командующего АДД по ИАС генерал-лейтенанту ИАС Маркову и генерал-лейтенанту авиации Шиманову.</w:t>
      </w:r>
    </w:p>
    <w:p w14:paraId="1F1030C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вопросу: сборки Ил-4 на заводе N 456.</w:t>
      </w:r>
    </w:p>
    <w:p w14:paraId="4B2BAB4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Сообщаю, что на 23/VI-с.г. заводом N 456 собрано и вывезено на аэродром 94 самолета, из коих облетано 55 и отправлено в частности 40 самолетов.</w:t>
      </w:r>
    </w:p>
    <w:p w14:paraId="655718C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увеличения количества выпускаемых машин завод N 456 укреплен руководящими работниками, в частности, по цеху окончательной сборки и ЛИС'у, приняты меры к доукомплектованию завода квалифицированными рабочими и аэродромными бригадами путем переброски с заводов NN 39 и 381.</w:t>
      </w:r>
    </w:p>
    <w:p w14:paraId="595ECE3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заводе имеют место случаи задержек в отправке облетанных машин из-за нерегулярной поставки авиабензина и касторового масла для зарядки машин перед отправкой.</w:t>
      </w:r>
    </w:p>
    <w:p w14:paraId="251A86E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обеспечения регулярной отправки машин прошу вашего распоряжения завезти на завод N 456 единовременно горючего и масла за отправку 25-30 машин и в дальнейшем поддерживать регулярное снабжение с тем, чтобы создать на заводе неснижаемый запас горючего и масла (1778).</w:t>
      </w:r>
    </w:p>
    <w:p w14:paraId="05B5FAC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615F6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июня 1943 года М. Гудков писал письмо N 92 Сталину, Маленкову, Шахурину.</w:t>
      </w:r>
    </w:p>
    <w:p w14:paraId="7F94FEF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вопросу: постройки высотного скоростного истребителя перехватчика.</w:t>
      </w:r>
    </w:p>
    <w:p w14:paraId="1205B40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Дорогой Иосиф Виссарионович!</w:t>
      </w:r>
    </w:p>
    <w:p w14:paraId="7FD74A6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Направляю на Ваше рассмотрение проект высотного скоростного истребителя-перехватчика с мотором М-1250 конструктора Добрынина.</w:t>
      </w:r>
    </w:p>
    <w:p w14:paraId="014F1D0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Этот проект мною сделан из условия использования серийного самолета ЛАГГ-3, который в незначительной степени подвергнется конструктивным изменениям и частичному пересмотру некоторых силовых элементов конструкции в сторону увеличения прочности, в связи с увеличением скорости и полетного веса самолета.</w:t>
      </w:r>
    </w:p>
    <w:p w14:paraId="531A537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Летные данные этого самолета будут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860B4B" w:rsidRPr="00D03F3E" w14:paraId="73986DF2" w14:textId="77777777">
        <w:tc>
          <w:tcPr>
            <w:tcW w:w="3757" w:type="dxa"/>
          </w:tcPr>
          <w:p w14:paraId="3400CA9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у земли</w:t>
            </w:r>
          </w:p>
        </w:tc>
        <w:tc>
          <w:tcPr>
            <w:tcW w:w="3757" w:type="dxa"/>
          </w:tcPr>
          <w:p w14:paraId="1D69817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V=610-620 км/час</w:t>
            </w:r>
          </w:p>
        </w:tc>
      </w:tr>
      <w:tr w:rsidR="00860B4B" w:rsidRPr="00D03F3E" w14:paraId="62961670" w14:textId="77777777">
        <w:tc>
          <w:tcPr>
            <w:tcW w:w="3757" w:type="dxa"/>
          </w:tcPr>
          <w:p w14:paraId="39BED43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на Н=7150 м</w:t>
            </w:r>
          </w:p>
        </w:tc>
        <w:tc>
          <w:tcPr>
            <w:tcW w:w="3757" w:type="dxa"/>
          </w:tcPr>
          <w:p w14:paraId="68DF88F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V=740-750 км/час</w:t>
            </w:r>
          </w:p>
        </w:tc>
      </w:tr>
      <w:tr w:rsidR="00860B4B" w:rsidRPr="00D03F3E" w14:paraId="3E4B97E9" w14:textId="77777777">
        <w:tc>
          <w:tcPr>
            <w:tcW w:w="3757" w:type="dxa"/>
          </w:tcPr>
          <w:p w14:paraId="32E7B50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на Н=11500 м</w:t>
            </w:r>
          </w:p>
        </w:tc>
        <w:tc>
          <w:tcPr>
            <w:tcW w:w="3757" w:type="dxa"/>
          </w:tcPr>
          <w:p w14:paraId="7E19C94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V=800-810 км/час</w:t>
            </w:r>
          </w:p>
        </w:tc>
      </w:tr>
      <w:tr w:rsidR="00860B4B" w:rsidRPr="00D03F3E" w14:paraId="662ABC63" w14:textId="77777777">
        <w:tc>
          <w:tcPr>
            <w:tcW w:w="3757" w:type="dxa"/>
          </w:tcPr>
          <w:p w14:paraId="750FADD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время набора высоты на Н=7150 м</w:t>
            </w:r>
          </w:p>
        </w:tc>
        <w:tc>
          <w:tcPr>
            <w:tcW w:w="3757" w:type="dxa"/>
          </w:tcPr>
          <w:p w14:paraId="758E10E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t=7,05 минут</w:t>
            </w:r>
          </w:p>
        </w:tc>
      </w:tr>
      <w:tr w:rsidR="00860B4B" w:rsidRPr="00D03F3E" w14:paraId="59CAE322" w14:textId="77777777">
        <w:tc>
          <w:tcPr>
            <w:tcW w:w="3757" w:type="dxa"/>
          </w:tcPr>
          <w:p w14:paraId="108A1FC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высоты на Н=11500 м</w:t>
            </w:r>
          </w:p>
        </w:tc>
        <w:tc>
          <w:tcPr>
            <w:tcW w:w="3757" w:type="dxa"/>
          </w:tcPr>
          <w:p w14:paraId="1DF1A16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t=13,9 минут</w:t>
            </w:r>
          </w:p>
        </w:tc>
      </w:tr>
      <w:tr w:rsidR="00860B4B" w:rsidRPr="00D03F3E" w14:paraId="35C6CDCF" w14:textId="77777777">
        <w:tc>
          <w:tcPr>
            <w:tcW w:w="3757" w:type="dxa"/>
          </w:tcPr>
          <w:p w14:paraId="577877F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время набора высоты на Н=14000 м</w:t>
            </w:r>
          </w:p>
        </w:tc>
        <w:tc>
          <w:tcPr>
            <w:tcW w:w="3757" w:type="dxa"/>
          </w:tcPr>
          <w:p w14:paraId="439E94F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t=18,56 минут</w:t>
            </w:r>
          </w:p>
        </w:tc>
      </w:tr>
      <w:tr w:rsidR="00860B4B" w:rsidRPr="00D03F3E" w14:paraId="6C14CFEF" w14:textId="77777777">
        <w:tc>
          <w:tcPr>
            <w:tcW w:w="3757" w:type="dxa"/>
          </w:tcPr>
          <w:p w14:paraId="26D2498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практический потолок</w:t>
            </w:r>
          </w:p>
        </w:tc>
        <w:tc>
          <w:tcPr>
            <w:tcW w:w="3757" w:type="dxa"/>
          </w:tcPr>
          <w:p w14:paraId="6C5AA26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Н=14000 метров</w:t>
            </w:r>
          </w:p>
        </w:tc>
      </w:tr>
      <w:tr w:rsidR="00860B4B" w:rsidRPr="00D03F3E" w14:paraId="38556440" w14:textId="77777777">
        <w:tc>
          <w:tcPr>
            <w:tcW w:w="3757" w:type="dxa"/>
          </w:tcPr>
          <w:p w14:paraId="7579FC8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продолжительность полета при</w:t>
            </w:r>
          </w:p>
        </w:tc>
        <w:tc>
          <w:tcPr>
            <w:tcW w:w="3757" w:type="dxa"/>
          </w:tcPr>
          <w:p w14:paraId="63D9DF3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003D86B" w14:textId="77777777">
        <w:tc>
          <w:tcPr>
            <w:tcW w:w="3757" w:type="dxa"/>
          </w:tcPr>
          <w:p w14:paraId="3EF3BD3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запасе горючего 700 кг, на</w:t>
            </w:r>
          </w:p>
        </w:tc>
        <w:tc>
          <w:tcPr>
            <w:tcW w:w="3757" w:type="dxa"/>
          </w:tcPr>
          <w:p w14:paraId="27AF029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476EBF2" w14:textId="77777777">
        <w:tc>
          <w:tcPr>
            <w:tcW w:w="3757" w:type="dxa"/>
          </w:tcPr>
          <w:p w14:paraId="2E9227C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режиме 0,9 max и на Н=11500 м</w:t>
            </w:r>
          </w:p>
        </w:tc>
        <w:tc>
          <w:tcPr>
            <w:tcW w:w="3757" w:type="dxa"/>
          </w:tcPr>
          <w:p w14:paraId="380C21B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t=1 час 20 мин.</w:t>
            </w:r>
          </w:p>
        </w:tc>
      </w:tr>
      <w:tr w:rsidR="00860B4B" w:rsidRPr="00D03F3E" w14:paraId="6CE67794" w14:textId="77777777">
        <w:tc>
          <w:tcPr>
            <w:tcW w:w="3757" w:type="dxa"/>
          </w:tcPr>
          <w:p w14:paraId="21467F6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полета на 0,9 max и</w:t>
            </w:r>
          </w:p>
        </w:tc>
        <w:tc>
          <w:tcPr>
            <w:tcW w:w="3757" w:type="dxa"/>
          </w:tcPr>
          <w:p w14:paraId="2891654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1673547" w14:textId="77777777">
        <w:tc>
          <w:tcPr>
            <w:tcW w:w="3757" w:type="dxa"/>
          </w:tcPr>
          <w:p w14:paraId="60866A7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Н=11500 м</w:t>
            </w:r>
          </w:p>
        </w:tc>
        <w:tc>
          <w:tcPr>
            <w:tcW w:w="3757" w:type="dxa"/>
          </w:tcPr>
          <w:p w14:paraId="1FAF414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L=970 км</w:t>
            </w:r>
          </w:p>
        </w:tc>
      </w:tr>
      <w:tr w:rsidR="00860B4B" w:rsidRPr="00D03F3E" w14:paraId="6E0F5418" w14:textId="77777777">
        <w:tc>
          <w:tcPr>
            <w:tcW w:w="3757" w:type="dxa"/>
          </w:tcPr>
          <w:p w14:paraId="0F73B66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полета на наивыгоднейш.</w:t>
            </w:r>
          </w:p>
        </w:tc>
        <w:tc>
          <w:tcPr>
            <w:tcW w:w="3757" w:type="dxa"/>
          </w:tcPr>
          <w:p w14:paraId="6528ECB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3B36904" w14:textId="77777777">
        <w:tc>
          <w:tcPr>
            <w:tcW w:w="3757" w:type="dxa"/>
          </w:tcPr>
          <w:p w14:paraId="5D1A0E7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скорости полета</w:t>
            </w:r>
          </w:p>
        </w:tc>
        <w:tc>
          <w:tcPr>
            <w:tcW w:w="3757" w:type="dxa"/>
          </w:tcPr>
          <w:p w14:paraId="4BA9948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L=1250 км</w:t>
            </w:r>
          </w:p>
        </w:tc>
      </w:tr>
      <w:tr w:rsidR="00860B4B" w:rsidRPr="00D03F3E" w14:paraId="48574949" w14:textId="77777777">
        <w:tc>
          <w:tcPr>
            <w:tcW w:w="3757" w:type="dxa"/>
          </w:tcPr>
          <w:p w14:paraId="54D088D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полетный вес</w:t>
            </w:r>
          </w:p>
        </w:tc>
        <w:tc>
          <w:tcPr>
            <w:tcW w:w="3757" w:type="dxa"/>
          </w:tcPr>
          <w:p w14:paraId="5F1F218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g=4500 кг</w:t>
            </w:r>
          </w:p>
        </w:tc>
      </w:tr>
    </w:tbl>
    <w:p w14:paraId="57A3434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2 пушки Швак калибра 20 мм установлено в крыле, с боезапасом 280 патрон.</w:t>
      </w:r>
    </w:p>
    <w:p w14:paraId="2D5982E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установка мотора М-250 на серийный самолет ЛАГГ-3 позволит получить на базе серийного самолета вполне современный истребитель-перехватчик, значительно превосходящий по скорости существующие истребители как немецкие, а также и наши отечественные.</w:t>
      </w:r>
    </w:p>
    <w:p w14:paraId="5E002FB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Особенно значительным получается выигрыш по времени и скороподъемности на высоту, т.к. установка мотора М-250 позволяет производить набор высоты до 14000 метров за 1865 минут, что превосходит современные истребители почти в 2-2,5 раза по быстроте набора высоты.</w:t>
      </w:r>
    </w:p>
    <w:p w14:paraId="483337C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Наличие такого высотного истребителя в частях ВВС позволит нашим летчикам успешно вести борьбу с высотными немецкими разведчиками и бомбардировщиками.</w:t>
      </w:r>
    </w:p>
    <w:p w14:paraId="6FEEAA6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Вас, Иосиф Виссарионович, возложить на меня выполнение этого задания, которое я смогу выполнить к декабрю 1943 года.</w:t>
      </w:r>
    </w:p>
    <w:p w14:paraId="320BE93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Приложение: 1. Чертежи самолета.</w:t>
      </w:r>
    </w:p>
    <w:p w14:paraId="0DFFAF7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Предв. аэродинам. расчет.</w:t>
      </w:r>
    </w:p>
    <w:p w14:paraId="24FA333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Общие данные и центровка.</w:t>
      </w:r>
    </w:p>
    <w:p w14:paraId="2D8B31B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Объяснительная записка (1783,108).</w:t>
      </w:r>
    </w:p>
    <w:p w14:paraId="4FFF6C4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E908F4"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июня 1943 г. Докладная записка директора завода № 22 В. А. Окулова в Наркомат авиационной промышленности СССР о необходимости включения специалистов ОКБ завода № 16 в состав летного экипажа при испытании самолета Пе-2 с реактивной установкой</w:t>
      </w:r>
    </w:p>
    <w:p w14:paraId="4B093E79"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Пе-2 с реактивной установкой РУ-1 ОКБ завода № 16 окончен постройкой и по получении реактивного двигателя от завода № 16 поступит на летные испытания.</w:t>
      </w:r>
    </w:p>
    <w:p w14:paraId="3CAE8CE3"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Новизна реактивного двигателя, его большая литровая мощность и огромная приемистость (2-3 секунды от запуска до полного газа) требует умелой, тщательной отладки и отработки на разных высотах процесса запуска, являющегося одной из ответственнейших операций. Запуск реактивного двигателя производится путем воспламенения эфиро-воздушной смеси, свойства которой изменяются с высотой. Таким образом, необходимо наивыгоднейшие условия пуска, установленные на земле, проверить непосредственно в полете, сперва путем запусков на эфиро-воздушной смеси и соответствующей регулировки агрегатов, а затем и пробными рабочими пусками.</w:t>
      </w:r>
    </w:p>
    <w:p w14:paraId="0F5FADA5"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этом большое значение для оценки качества запуска, помимо показаний контрольных приборов, имеют цвет факела, его интенсивность, характер воспламенения газов, вытекающих из сопла, что непосредственно должно наблюдаться опытным специалистом-экспериментатором.</w:t>
      </w:r>
    </w:p>
    <w:p w14:paraId="649549DD"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Одновременно в полете должна находиться под наблюдением вся совокупность явлений, связанных с установкой реактивного двигателя, как то: раскрутка винтов, поведение оперения, работа всей системы питания реактивного двигателя кислотой и керосином и т. д.</w:t>
      </w:r>
    </w:p>
    <w:p w14:paraId="4E3F8298"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надежного обеспечения предстоящих испытаний необходимо, чтобы отладка в воздухе и пробные запуски производились специалистами этого дела, во избежание тяжелых последствий и задержки всей работы в целом. Завод № 22 такими работниками не располагает, а обучение персонала, ввиду новизны работ, при первых испытаниях затруднительно, займет значительное время и не даст уверенности в должных результатах, успех которых определяется опытом длительной практической работы.</w:t>
      </w:r>
    </w:p>
    <w:p w14:paraId="7581DCDA"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Поэтому считаю совершенно необходимым включить в состав летного экипажа самолета Пе-2 с реактивной установкой специалистов ОКБ завода № 16.</w:t>
      </w:r>
    </w:p>
    <w:p w14:paraId="12029D05"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завода № 22 В. Окулов</w:t>
      </w:r>
    </w:p>
    <w:p w14:paraId="094E8C2E"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РТ. Ф. Р-2845. Оп. 3. Д. 216. Л. 77-78 об. Отпуск (15494).</w:t>
      </w:r>
    </w:p>
    <w:p w14:paraId="25647F81" w14:textId="77777777" w:rsidR="006A3561" w:rsidRPr="00D03F3E" w:rsidRDefault="006A3561" w:rsidP="00D03F3E">
      <w:pPr>
        <w:spacing w:after="0" w:line="240" w:lineRule="auto"/>
        <w:jc w:val="both"/>
        <w:rPr>
          <w:rFonts w:ascii="Times New Roman" w:hAnsi="Times New Roman"/>
          <w:color w:val="000000" w:themeColor="text1"/>
          <w:sz w:val="16"/>
          <w:szCs w:val="16"/>
        </w:rPr>
      </w:pPr>
    </w:p>
    <w:p w14:paraId="1B7C339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июня 1943 прервались статиспытания самолета Костикова, которые шли с 14 июня. Не были закончены из-за преждевременного разрушения носовой части фюзеляжа (1783,107).</w:t>
      </w:r>
    </w:p>
    <w:p w14:paraId="06D3AC0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7C4F29"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8F5829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A03C51" w14:textId="77777777" w:rsidR="00505BA1" w:rsidRPr="00D03F3E" w:rsidRDefault="00505BA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С 28 июня по 11 августа 1943 года на по</w:t>
      </w:r>
      <w:r w:rsidRPr="00D03F3E">
        <w:rPr>
          <w:rFonts w:ascii="Times New Roman" w:cs="Times New Roman"/>
          <w:color w:val="000000" w:themeColor="text1"/>
          <w:spacing w:val="0"/>
        </w:rPr>
        <w:softHyphen/>
        <w:t xml:space="preserve">лигоне в Кубинке испытывался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с за</w:t>
      </w:r>
      <w:r w:rsidRPr="00D03F3E">
        <w:rPr>
          <w:rFonts w:ascii="Times New Roman" w:cs="Times New Roman"/>
          <w:color w:val="000000" w:themeColor="text1"/>
          <w:spacing w:val="0"/>
        </w:rPr>
        <w:softHyphen/>
        <w:t>водским номером 3062 (июньского выпуска). Машина прошла 2029 км (шоссе - 340 км, проселочные дороги и целина - 1689 км). Комиссия записала, что танк не выдержал га</w:t>
      </w:r>
      <w:r w:rsidRPr="00D03F3E">
        <w:rPr>
          <w:rFonts w:ascii="Times New Roman" w:cs="Times New Roman"/>
          <w:color w:val="000000" w:themeColor="text1"/>
          <w:spacing w:val="0"/>
        </w:rPr>
        <w:softHyphen/>
        <w:t>рантийных испытаний из-за ряда поломок.</w:t>
      </w:r>
    </w:p>
    <w:p w14:paraId="2736C3C2" w14:textId="77777777" w:rsidR="00505BA1" w:rsidRPr="00D03F3E" w:rsidRDefault="00505BA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 на 1000 км произошел скол зубьев ше</w:t>
      </w:r>
      <w:r w:rsidRPr="00D03F3E">
        <w:rPr>
          <w:rFonts w:ascii="Times New Roman" w:hAnsi="Times New Roman"/>
          <w:color w:val="000000" w:themeColor="text1"/>
          <w:sz w:val="16"/>
          <w:szCs w:val="16"/>
        </w:rPr>
        <w:softHyphen/>
        <w:t>стерни заднего хода и заклинивание на шли</w:t>
      </w:r>
      <w:r w:rsidRPr="00D03F3E">
        <w:rPr>
          <w:rFonts w:ascii="Times New Roman" w:hAnsi="Times New Roman"/>
          <w:color w:val="000000" w:themeColor="text1"/>
          <w:sz w:val="16"/>
          <w:szCs w:val="16"/>
        </w:rPr>
        <w:softHyphen/>
        <w:t>цах промежуточного вала коробки переме</w:t>
      </w:r>
    </w:p>
    <w:p w14:paraId="7B00C0E1" w14:textId="77777777" w:rsidR="00505BA1" w:rsidRPr="00D03F3E" w:rsidRDefault="00505BA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ны передач, на 1259 и 1670 км рассыпались подшипники вала внутреннего барабана бор</w:t>
      </w:r>
      <w:r w:rsidRPr="00D03F3E">
        <w:rPr>
          <w:rFonts w:ascii="Times New Roman" w:cs="Times New Roman"/>
          <w:color w:val="000000" w:themeColor="text1"/>
          <w:spacing w:val="0"/>
        </w:rPr>
        <w:softHyphen/>
        <w:t>товых фрикционов, на 742 км износились и сломались бронзовые конусы ступицы вен</w:t>
      </w:r>
      <w:r w:rsidRPr="00D03F3E">
        <w:rPr>
          <w:rFonts w:ascii="Times New Roman" w:cs="Times New Roman"/>
          <w:color w:val="000000" w:themeColor="text1"/>
          <w:spacing w:val="0"/>
        </w:rPr>
        <w:softHyphen/>
        <w:t>тилятора системы охлаждения, на 742, 1190, 1350, 1600 и 2016 км разрушались выхлоп</w:t>
      </w:r>
      <w:r w:rsidRPr="00D03F3E">
        <w:rPr>
          <w:rFonts w:ascii="Times New Roman" w:cs="Times New Roman"/>
          <w:color w:val="000000" w:themeColor="text1"/>
          <w:spacing w:val="0"/>
        </w:rPr>
        <w:softHyphen/>
        <w:t>ные коллекторы, а на 1080, 1538, 1600, 1692, 1842 и 2016 км рассыпались конические ро</w:t>
      </w:r>
      <w:r w:rsidRPr="00D03F3E">
        <w:rPr>
          <w:rFonts w:ascii="Times New Roman" w:cs="Times New Roman"/>
          <w:color w:val="000000" w:themeColor="text1"/>
          <w:spacing w:val="0"/>
        </w:rPr>
        <w:softHyphen/>
        <w:t>ликовые подшипники опорных катков. Так</w:t>
      </w:r>
      <w:r w:rsidRPr="00D03F3E">
        <w:rPr>
          <w:rFonts w:ascii="Times New Roman" w:cs="Times New Roman"/>
          <w:color w:val="000000" w:themeColor="text1"/>
          <w:spacing w:val="0"/>
        </w:rPr>
        <w:softHyphen/>
        <w:t>же из-за преждевременного износа часто вы</w:t>
      </w:r>
      <w:r w:rsidRPr="00D03F3E">
        <w:rPr>
          <w:rFonts w:ascii="Times New Roman" w:cs="Times New Roman"/>
          <w:color w:val="000000" w:themeColor="text1"/>
          <w:spacing w:val="0"/>
        </w:rPr>
        <w:softHyphen/>
        <w:t xml:space="preserve">ходили из строя тормозные ленты (390, 440, 517, 657, 1262, 1445, 1670 и 1830 км пробега). Как и в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апрельского выпуска, отмеча</w:t>
      </w:r>
      <w:r w:rsidRPr="00D03F3E">
        <w:rPr>
          <w:rFonts w:ascii="Times New Roman" w:cs="Times New Roman"/>
          <w:color w:val="000000" w:themeColor="text1"/>
          <w:spacing w:val="0"/>
        </w:rPr>
        <w:softHyphen/>
        <w:t>лось, что «существенным недостатком, сни</w:t>
      </w:r>
      <w:r w:rsidRPr="00D03F3E">
        <w:rPr>
          <w:rFonts w:ascii="Times New Roman" w:cs="Times New Roman"/>
          <w:color w:val="000000" w:themeColor="text1"/>
          <w:spacing w:val="0"/>
        </w:rPr>
        <w:softHyphen/>
        <w:t>жающим качество танка в эксплуатации, яв</w:t>
      </w:r>
      <w:r w:rsidRPr="00D03F3E">
        <w:rPr>
          <w:rFonts w:ascii="Times New Roman" w:cs="Times New Roman"/>
          <w:color w:val="000000" w:themeColor="text1"/>
          <w:spacing w:val="0"/>
        </w:rPr>
        <w:softHyphen/>
        <w:t>ляется низкое качество крепежных деталей и слабый контроль за монтажом на заводе».</w:t>
      </w:r>
    </w:p>
    <w:p w14:paraId="66F4604C" w14:textId="77777777" w:rsidR="00505BA1" w:rsidRPr="00D03F3E" w:rsidRDefault="00505BA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своих выводах комиссия отметила сле</w:t>
      </w:r>
      <w:r w:rsidRPr="00D03F3E">
        <w:rPr>
          <w:rFonts w:ascii="Times New Roman" w:cs="Times New Roman"/>
          <w:color w:val="000000" w:themeColor="text1"/>
          <w:spacing w:val="0"/>
        </w:rPr>
        <w:softHyphen/>
        <w:t>дующее:</w:t>
      </w:r>
    </w:p>
    <w:p w14:paraId="481F4310" w14:textId="77777777" w:rsidR="00505BA1" w:rsidRPr="00D03F3E" w:rsidRDefault="00505BA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результате испытаний установлено:</w:t>
      </w:r>
    </w:p>
    <w:p w14:paraId="725C9586" w14:textId="77777777" w:rsidR="00505BA1" w:rsidRPr="00D03F3E" w:rsidRDefault="00505BA1" w:rsidP="00D03F3E">
      <w:pPr>
        <w:pStyle w:val="27"/>
        <w:shd w:val="clear" w:color="auto" w:fill="auto"/>
        <w:tabs>
          <w:tab w:val="left" w:pos="414"/>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Тщательное техническое обслуживание обеспечивает надежную эксплуатацию танка в пределах 700-900 км.</w:t>
      </w:r>
    </w:p>
    <w:p w14:paraId="64E13847" w14:textId="77777777" w:rsidR="00505BA1" w:rsidRPr="00D03F3E" w:rsidRDefault="00505BA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Безостановочное движение танка лими</w:t>
      </w:r>
      <w:r w:rsidRPr="00D03F3E">
        <w:rPr>
          <w:rFonts w:ascii="Times New Roman" w:hAnsi="Times New Roman"/>
          <w:color w:val="000000" w:themeColor="text1"/>
          <w:sz w:val="16"/>
          <w:szCs w:val="16"/>
        </w:rPr>
        <w:softHyphen/>
        <w:t>тируется нарушением регулировок и осла</w:t>
      </w:r>
      <w:r w:rsidRPr="00D03F3E">
        <w:rPr>
          <w:rFonts w:ascii="Times New Roman" w:hAnsi="Times New Roman"/>
          <w:color w:val="000000" w:themeColor="text1"/>
          <w:sz w:val="16"/>
          <w:szCs w:val="16"/>
        </w:rPr>
        <w:softHyphen/>
        <w:t>блением крепления вследствие низкого ка</w:t>
      </w:r>
      <w:r w:rsidRPr="00D03F3E">
        <w:rPr>
          <w:rFonts w:ascii="Times New Roman" w:hAnsi="Times New Roman"/>
          <w:color w:val="000000" w:themeColor="text1"/>
          <w:sz w:val="16"/>
          <w:szCs w:val="16"/>
        </w:rPr>
        <w:softHyphen/>
        <w:t>чества крепежных деталей, и недостаточного контроля за сборкой танка на заводе</w:t>
      </w:r>
    </w:p>
    <w:p w14:paraId="2F38ECB6" w14:textId="77777777" w:rsidR="00505BA1" w:rsidRPr="00D03F3E" w:rsidRDefault="00505BA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Двигатель отработал 150 моточасов, и га</w:t>
      </w:r>
      <w:r w:rsidRPr="00D03F3E">
        <w:rPr>
          <w:rFonts w:ascii="Times New Roman" w:cs="Times New Roman"/>
          <w:color w:val="000000" w:themeColor="text1"/>
          <w:spacing w:val="0"/>
        </w:rPr>
        <w:softHyphen/>
        <w:t>рантийные испытания выдержал в части из</w:t>
      </w:r>
      <w:r w:rsidRPr="00D03F3E">
        <w:rPr>
          <w:rFonts w:ascii="Times New Roman" w:cs="Times New Roman"/>
          <w:color w:val="000000" w:themeColor="text1"/>
          <w:spacing w:val="0"/>
        </w:rPr>
        <w:softHyphen/>
        <w:t>носоустойчивости поршневой и шатунной групп.</w:t>
      </w:r>
    </w:p>
    <w:p w14:paraId="35DDD1B1" w14:textId="77777777" w:rsidR="00505BA1" w:rsidRPr="00D03F3E" w:rsidRDefault="00505BA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Главный фрикцион испытания выдержал.</w:t>
      </w:r>
    </w:p>
    <w:p w14:paraId="19C24965" w14:textId="77777777" w:rsidR="00505BA1" w:rsidRPr="00D03F3E" w:rsidRDefault="00505BA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Тормозные ленты - за все время испыта</w:t>
      </w:r>
      <w:r w:rsidRPr="00D03F3E">
        <w:rPr>
          <w:rFonts w:ascii="Times New Roman" w:cs="Times New Roman"/>
          <w:color w:val="000000" w:themeColor="text1"/>
          <w:spacing w:val="0"/>
        </w:rPr>
        <w:softHyphen/>
        <w:t>ний заменено 8 лент . тормозные ленты тре</w:t>
      </w:r>
      <w:r w:rsidRPr="00D03F3E">
        <w:rPr>
          <w:rFonts w:ascii="Times New Roman" w:cs="Times New Roman"/>
          <w:color w:val="000000" w:themeColor="text1"/>
          <w:spacing w:val="0"/>
        </w:rPr>
        <w:softHyphen/>
        <w:t>буют регулировки через 40-80 км.</w:t>
      </w:r>
    </w:p>
    <w:p w14:paraId="4D867637" w14:textId="77777777" w:rsidR="00505BA1" w:rsidRPr="00D03F3E" w:rsidRDefault="00505BA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Гусеницы испытаний не выдержали вслед</w:t>
      </w:r>
      <w:r w:rsidRPr="00D03F3E">
        <w:rPr>
          <w:rFonts w:ascii="Times New Roman" w:cs="Times New Roman"/>
          <w:color w:val="000000" w:themeColor="text1"/>
          <w:spacing w:val="0"/>
        </w:rPr>
        <w:softHyphen/>
        <w:t>ствие значительного износа пальцев, проу</w:t>
      </w:r>
      <w:r w:rsidRPr="00D03F3E">
        <w:rPr>
          <w:rFonts w:ascii="Times New Roman" w:cs="Times New Roman"/>
          <w:color w:val="000000" w:themeColor="text1"/>
          <w:spacing w:val="0"/>
        </w:rPr>
        <w:softHyphen/>
        <w:t>шин траков, обрыва проушин и трещин тра</w:t>
      </w:r>
      <w:r w:rsidRPr="00D03F3E">
        <w:rPr>
          <w:rFonts w:ascii="Times New Roman" w:cs="Times New Roman"/>
          <w:color w:val="000000" w:themeColor="text1"/>
          <w:spacing w:val="0"/>
        </w:rPr>
        <w:softHyphen/>
        <w:t>ков. Первый обрыв проушины — на 1670 км пробега. Гусеницы в процессе эксплуатации требовали подтяжки через 40—60 км...</w:t>
      </w:r>
    </w:p>
    <w:p w14:paraId="3A72039B" w14:textId="77777777" w:rsidR="00505BA1" w:rsidRPr="00D03F3E" w:rsidRDefault="00505BA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Средняя скорость чистого движения по проселочной дороге в 13,92 км/ч, а по ас</w:t>
      </w:r>
      <w:r w:rsidRPr="00D03F3E">
        <w:rPr>
          <w:rFonts w:ascii="Times New Roman" w:cs="Times New Roman"/>
          <w:color w:val="000000" w:themeColor="text1"/>
          <w:spacing w:val="0"/>
        </w:rPr>
        <w:softHyphen/>
        <w:t>фальтовому шоссе — 27 км/ч является хоро</w:t>
      </w:r>
      <w:r w:rsidRPr="00D03F3E">
        <w:rPr>
          <w:rFonts w:ascii="Times New Roman" w:cs="Times New Roman"/>
          <w:color w:val="000000" w:themeColor="text1"/>
          <w:spacing w:val="0"/>
        </w:rPr>
        <w:softHyphen/>
        <w:t>шей. Запас хода по проселочным дрогам в 165 км является достаточным».</w:t>
      </w:r>
    </w:p>
    <w:p w14:paraId="4301332A" w14:textId="77777777" w:rsidR="00505BA1" w:rsidRPr="00D03F3E" w:rsidRDefault="00505BA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стрельбе из орудия была получена максимальная скорострельность с хода — 6,3, и с места - 6,6 выстрелов в минуту. Сред</w:t>
      </w:r>
      <w:r w:rsidRPr="00D03F3E">
        <w:rPr>
          <w:rFonts w:ascii="Times New Roman" w:hAnsi="Times New Roman"/>
          <w:color w:val="000000" w:themeColor="text1"/>
          <w:sz w:val="16"/>
          <w:szCs w:val="16"/>
        </w:rPr>
        <w:softHyphen/>
        <w:t>ний расход горючего на 100 километров со</w:t>
      </w:r>
      <w:r w:rsidRPr="00D03F3E">
        <w:rPr>
          <w:rFonts w:ascii="Times New Roman" w:hAnsi="Times New Roman"/>
          <w:color w:val="000000" w:themeColor="text1"/>
          <w:sz w:val="16"/>
          <w:szCs w:val="16"/>
        </w:rPr>
        <w:softHyphen/>
        <w:t>ставил 370 л для проселочной дороги и 214 л</w:t>
      </w:r>
    </w:p>
    <w:p w14:paraId="2014B4A4" w14:textId="77777777" w:rsidR="00505BA1" w:rsidRPr="00D03F3E" w:rsidRDefault="00505BA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 xml:space="preserve">для шоссе. </w:t>
      </w:r>
      <w:r w:rsidRPr="00D03F3E">
        <w:rPr>
          <w:rFonts w:ascii="Times New Roman" w:cs="Times New Roman"/>
          <w:color w:val="000000" w:themeColor="text1"/>
          <w:spacing w:val="0"/>
          <w:lang w:val="en-US"/>
        </w:rPr>
        <w:t>KB</w:t>
      </w:r>
      <w:r w:rsidRPr="00D03F3E">
        <w:rPr>
          <w:rFonts w:ascii="Times New Roman" w:cs="Times New Roman"/>
          <w:color w:val="000000" w:themeColor="text1"/>
          <w:spacing w:val="0"/>
        </w:rPr>
        <w:t>-1С выдержал безостановоч</w:t>
      </w:r>
      <w:r w:rsidRPr="00D03F3E">
        <w:rPr>
          <w:rFonts w:ascii="Times New Roman" w:cs="Times New Roman"/>
          <w:color w:val="000000" w:themeColor="text1"/>
          <w:spacing w:val="0"/>
        </w:rPr>
        <w:softHyphen/>
        <w:t>ный пробег на 50 км с закрытыми люками по разбитой грязной проселочной дороге. В течение пробега пришлось семь раз про</w:t>
      </w:r>
      <w:r w:rsidRPr="00D03F3E">
        <w:rPr>
          <w:rFonts w:ascii="Times New Roman" w:cs="Times New Roman"/>
          <w:color w:val="000000" w:themeColor="text1"/>
          <w:spacing w:val="0"/>
        </w:rPr>
        <w:softHyphen/>
        <w:t>тирать оптические смотровые приборы ме</w:t>
      </w:r>
      <w:r w:rsidRPr="00D03F3E">
        <w:rPr>
          <w:rFonts w:ascii="Times New Roman" w:cs="Times New Roman"/>
          <w:color w:val="000000" w:themeColor="text1"/>
          <w:spacing w:val="0"/>
        </w:rPr>
        <w:softHyphen/>
        <w:t>ханика-водителя, при этом скорость движе</w:t>
      </w:r>
      <w:r w:rsidRPr="00D03F3E">
        <w:rPr>
          <w:rFonts w:ascii="Times New Roman" w:cs="Times New Roman"/>
          <w:color w:val="000000" w:themeColor="text1"/>
          <w:spacing w:val="0"/>
        </w:rPr>
        <w:softHyphen/>
        <w:t>ния снижалась до 7 км/ч. На преодоление этого 50-километрового участка экипаж за</w:t>
      </w:r>
      <w:r w:rsidRPr="00D03F3E">
        <w:rPr>
          <w:rFonts w:ascii="Times New Roman" w:cs="Times New Roman"/>
          <w:color w:val="000000" w:themeColor="text1"/>
          <w:spacing w:val="0"/>
        </w:rPr>
        <w:softHyphen/>
        <w:t>тратил 4 часа.</w:t>
      </w:r>
    </w:p>
    <w:p w14:paraId="5562BE02" w14:textId="77777777" w:rsidR="00505BA1" w:rsidRPr="00D03F3E" w:rsidRDefault="00505BA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Пробег на полную заправку - 165 км - осу</w:t>
      </w:r>
      <w:r w:rsidRPr="00D03F3E">
        <w:rPr>
          <w:rFonts w:ascii="Times New Roman" w:cs="Times New Roman"/>
          <w:color w:val="000000" w:themeColor="text1"/>
          <w:spacing w:val="0"/>
        </w:rPr>
        <w:softHyphen/>
        <w:t>ществлялся по грязной разбитой проселоч</w:t>
      </w:r>
      <w:r w:rsidRPr="00D03F3E">
        <w:rPr>
          <w:rFonts w:ascii="Times New Roman" w:cs="Times New Roman"/>
          <w:color w:val="000000" w:themeColor="text1"/>
          <w:spacing w:val="0"/>
        </w:rPr>
        <w:softHyphen/>
        <w:t>ной дороге (135 км) и частично по булыжно</w:t>
      </w:r>
      <w:r w:rsidRPr="00D03F3E">
        <w:rPr>
          <w:rFonts w:ascii="Times New Roman" w:cs="Times New Roman"/>
          <w:color w:val="000000" w:themeColor="text1"/>
          <w:spacing w:val="0"/>
        </w:rPr>
        <w:softHyphen/>
        <w:t>му шоссе (30 км). При этом двигатель танка проработал 12 часов, из них 1 час 15 минут без нагрузки (15226).</w:t>
      </w:r>
    </w:p>
    <w:p w14:paraId="4820490A" w14:textId="77777777" w:rsidR="00505BA1" w:rsidRPr="00D03F3E" w:rsidRDefault="00505BA1" w:rsidP="00D03F3E">
      <w:pPr>
        <w:pStyle w:val="27"/>
        <w:shd w:val="clear" w:color="auto" w:fill="auto"/>
        <w:spacing w:after="0" w:line="240" w:lineRule="auto"/>
        <w:ind w:firstLine="0"/>
        <w:rPr>
          <w:rFonts w:ascii="Times New Roman" w:cs="Times New Roman"/>
          <w:color w:val="000000" w:themeColor="text1"/>
          <w:spacing w:val="0"/>
        </w:rPr>
      </w:pPr>
    </w:p>
    <w:p w14:paraId="199ED73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июня 1943 г. кресло НКТП после короткой паузы было вновь возвращено В. Малышеву, кото</w:t>
      </w:r>
      <w:r w:rsidRPr="00D03F3E">
        <w:rPr>
          <w:rFonts w:ascii="Times New Roman" w:hAnsi="Times New Roman"/>
          <w:color w:val="000000" w:themeColor="text1"/>
          <w:sz w:val="16"/>
          <w:szCs w:val="16"/>
        </w:rPr>
        <w:softHyphen/>
        <w:t>рого И. Сталин назовет впоследствии «Суворовым советско</w:t>
      </w:r>
      <w:r w:rsidRPr="00D03F3E">
        <w:rPr>
          <w:rFonts w:ascii="Times New Roman" w:hAnsi="Times New Roman"/>
          <w:color w:val="000000" w:themeColor="text1"/>
          <w:sz w:val="16"/>
          <w:szCs w:val="16"/>
        </w:rPr>
        <w:softHyphen/>
        <w:t>го танкостроения» (11135).</w:t>
      </w:r>
    </w:p>
    <w:p w14:paraId="7DB2C62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696F7C"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 июня 1943 вышло Постановление ГКО № 3656 Об использовании мощностей Люблинского литейно-механического завода НКПС им. л. М. Кагановича. (7118, 38-42,43-44).</w:t>
      </w:r>
    </w:p>
    <w:p w14:paraId="3DE6B84C"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3903B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28 июня 1943 вышло Распоряжение ГКО № 3657. О срочном создании завода-дублера по производству щелочных аккумуляторов.РГАНИР, Фонд ГКО, д. 129, лл. 45-47, 48-49 (11012).</w:t>
      </w:r>
    </w:p>
    <w:p w14:paraId="414F6D1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194315"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272F3EC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88B422"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28 июня</w:t>
      </w:r>
      <w:r w:rsidRPr="00D03F3E">
        <w:rPr>
          <w:rFonts w:ascii="Times New Roman" w:hAnsi="Times New Roman"/>
          <w:color w:val="000000" w:themeColor="text1"/>
          <w:sz w:val="16"/>
          <w:szCs w:val="16"/>
        </w:rPr>
        <w:t xml:space="preserve"> в 1943 году утреннее сообщение Совинформбюро:</w:t>
      </w:r>
    </w:p>
    <w:p w14:paraId="497353A5"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28 июня на фронте ничего существенного не произошло.</w:t>
      </w:r>
    </w:p>
    <w:p w14:paraId="685CABDE"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советские подразделения ружейно-пулемётным огнём рассеял инесколько мелких разведывательных групп противника, пытавшихся проникнуть на передний край нашей обороны. Группа разведчиков под командованием старшего лейтенанта Стародубова ночью проникла в расположение противника. Разведчики ворвались в траншею, убили немецкого офицера, трёх солдат и, захватив пленных, вернулись в свою часть.</w:t>
      </w:r>
    </w:p>
    <w:p w14:paraId="463A5610"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Северо-западнее Мценска наблюдатели обнаружили артиллерийскую батарею противника. Артиллеристы Н-ской части открыли огонь, уничтожили 3 тяжёлых немецких орудия, разрушили блиндаж и истребили находившихся у орудий немецких артиллеристов.</w:t>
      </w:r>
    </w:p>
    <w:p w14:paraId="47048BAA"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B районе Севска артиллеристы Н-ской части вели обстрел дороги в тылу врага. Прямым попаданием снарядов разрушен мост. Уничтожено 3 автомашины и 14 повозок с грузами. На другом участке советские артиллеристы совершили налёт на толпу немецких солдат, собравшуюся у полевой кухни. Убито и ранено несколько десятков гитлеровцев.</w:t>
      </w:r>
    </w:p>
    <w:p w14:paraId="146EC929"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происходила редкая артиллерийско-миномётная перестрелка. Миномётчики подразделения, где командиром лейтенант Александров, совершили огневой налёт на позиции противника и уничтожили несколько вражеских пулемётов и до двух взводов гитлеровцев.</w:t>
      </w:r>
    </w:p>
    <w:p w14:paraId="7927D98C"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в воздушных боях сбили 3 немецких самолёта.</w:t>
      </w:r>
    </w:p>
    <w:p w14:paraId="08D1BDC8"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участке Карельского фронта подразделения Н-ской части атаковали противника, укрепившегося на высоте. В результате рукопашной схватки наши бойцы овладели этой высотой. Отбиты также попытки противника вернуть утерянные им позиции. В бою за высоту уничтожено более 300 вражеских солдат и офицеров.</w:t>
      </w:r>
    </w:p>
    <w:p w14:paraId="716A671D"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Витебской области, в упорных боях истребил до 300 немецких солдат и офицеров. Захвачены пулемёты, автоматы, винтовки, много патронов и другие трофеи. Группа партизан другого отряда заминировала шоссе. На минах подорвались немецкие бронемашина и мотоцикл. Партизаны ружейно-пулемётным огнём сбили немецкий бомбардировщик.</w:t>
      </w:r>
    </w:p>
    <w:p w14:paraId="1A02ABFD"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Пленный солдат немецкой танковой дивизии СС «Адольф Гитлер» Фердинанд Мюллер рассказал: «В ночь со 2 на 3 июня я проезжал через Рурскую область. Когда поезд прибыл в Дуйсбург, там была объявлена воздушная тревога. Поезд тронулся внаправлении на Эссен, но остановился, не доехав до вокзала. Отсюда я наблюдал за бомбардировкой Эссена. Вначале англичане сбрасывали осветительные ракеты, а затем посыпался дождь зажигательных бомб. Заводы и целые кварталы города были охвачены пожаром. Справа от поезда одна бомба попала в бензохранилище. Пламя и дым поднялись вверх на сотни метров. Слева от нас горела большая фабрика. Через час Эссен представлял собой море огня».</w:t>
      </w:r>
    </w:p>
    <w:p w14:paraId="738CC47A"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разгромили вражеский гарнизон в Вочине. Патриоты захватили трофеи, в числе которых 2 горных орудия и 760 снарядов к ним, 5 станковых и 14 ручных пулемётов, 4 миномёта и 80 тысяч патронов.» (14936).</w:t>
      </w:r>
    </w:p>
    <w:p w14:paraId="7A5A65AB" w14:textId="77777777" w:rsidR="006A3561" w:rsidRPr="00D03F3E" w:rsidRDefault="006A3561" w:rsidP="00D03F3E">
      <w:pPr>
        <w:spacing w:after="0" w:line="240" w:lineRule="auto"/>
        <w:jc w:val="both"/>
        <w:rPr>
          <w:rFonts w:ascii="Times New Roman" w:hAnsi="Times New Roman"/>
          <w:color w:val="000000" w:themeColor="text1"/>
          <w:sz w:val="16"/>
          <w:szCs w:val="16"/>
        </w:rPr>
      </w:pPr>
    </w:p>
    <w:p w14:paraId="78FB39F1"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28 июня</w:t>
      </w:r>
      <w:r w:rsidRPr="00D03F3E">
        <w:rPr>
          <w:rFonts w:ascii="Times New Roman" w:hAnsi="Times New Roman"/>
          <w:color w:val="000000" w:themeColor="text1"/>
          <w:sz w:val="16"/>
          <w:szCs w:val="16"/>
        </w:rPr>
        <w:t xml:space="preserve"> в 1943 году вечернее сообщение Совинформбюро:</w:t>
      </w:r>
    </w:p>
    <w:p w14:paraId="58EAD73F"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28 июня на фронте существенных изменений не произошло.</w:t>
      </w:r>
    </w:p>
    <w:p w14:paraId="4450801A"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происходила редкая артиллерийская и ружейно-пулемётная перестрелка. Артиллеристы Н-ской части разбили 9 блиндажей, уничтожили орудие и 5 пулемётов противника. Наши подразделения вели разведку боем и захватили несколько пленных. Ha одном участке разведывательный отряд Н-ской части ворвался в траншеи противника. Уничтожив 30 гитлеровцев и захватив трофеи, разведчики без потерь вернулись в свою часть.</w:t>
      </w:r>
    </w:p>
    <w:p w14:paraId="5F4F34B8"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Южнее Изюма наше боевое охранение заметило отряд немцев, переправлявшийся на левый берег реки Северный Донец. Советские бойцы дали возможность гитлеровцам беспрепятственно высадиться на берег. Не встречая сопротивления, немцы быстро пошли вперёд и нарвались на минное поле. Несколько гитлеровцев было убито взрывами мин, а остальные побежали обратно к реке. Наши бойцы отрезали врагу пути отхода и полностью истребили отряд противника.</w:t>
      </w:r>
    </w:p>
    <w:p w14:paraId="7CA6576C"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Огнём нашей зенитной артиллерии сбито 3 самолёта противника. Немецкие самолёты и их экипажи сгорели.</w:t>
      </w:r>
    </w:p>
    <w:p w14:paraId="1474CF9C"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Лисичанска рота пехоты противника пыталась вести разведку боем. Наши подразделения встретили немцев ружейно-пулемётным огнём и прижали их к земле у проволочных заграждений. Затем наши бойцы штыковым ударом разгромили гитлеровцев. На другом участке артиллеристы Н-ской части подавили огонь 3 артиллерийских батарей, уничтожили 2 пулемёта и рассеяли до роты немецкой пехоты.</w:t>
      </w:r>
    </w:p>
    <w:p w14:paraId="604D536F"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Несколько партизанских отрядов, действующих в Ленинградской области, в десятидневных боях против немецких захватчиков уничтожили до батальона гитлеровцев, сожгли танк, 12 грузовых автомашин с военными грузами и 4 легковых автомашины. Партизаны захватили много оружия, боеприпасов и продовольствия. За это же время партизанами пущено под откос 9 немецких эшелонов. Уничтожено 2 паровоза, 14 вагонов с солдатами, 7 платформ с орудиями, 5 платформ с авиамоторами, 24 вагона с продовольствием, 4 цистерны с горючим и 39 вагонов с разными военными грузами.</w:t>
      </w:r>
    </w:p>
    <w:p w14:paraId="1186B945"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участке Ленинградского фронта на сторону Красной Армии перешёл ефрейтор 58 немецкой пехотной дивизии Стефан Т. Перебежчик рассказал: «Находясь в Демянском котле, 58 дивизия понесла тяжёлые потери. При отступлении от Демянска солдаты, проходя мимо многочисленных немецких кладбищ, с возмущением говорили: «Для чего нас здесь держали полтора года? Неужели только для того, чтобы принести в жертву тысячи солдат?» Многие начинают понимать, что немецкая армия катится навстречу своей гибели. Среди солдат замечается упадок боевого духа».</w:t>
      </w:r>
    </w:p>
    <w:p w14:paraId="787E4DC7"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Украинские партизаны убили немецкого коменданта Коростышевекого района Фогт-Армина. У убитого было найдено распоряжение коростышевского немецкого областного эмиссара немецким окружным уполномоченным по сельскому хозяйству и руководителям опорных пунктов области. В этом распоряжении гитлеровский сатрап отмечает, что вопреки всем приказам украинские крестьяне режут молодняк скота и не сдают мясо для отправки в Германию. Немецкие власти теперь за убой молодняка ввели смертную казнь. В распоряжении прямо говорится следующее: «В дальнейшем украинцы за убой молодняка будут подвергаться самым тяжёлым наказаниям. Я не остановлюсь перед тем, чтобы карать виновных смертной казнью».</w:t>
      </w:r>
    </w:p>
    <w:p w14:paraId="207AB099"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Плохи дела у немецко-фашистских мерзавцев, если они по всякому поводу вводят смертную казнь для мирных украинских крестьян. Никогда не удастся немецким разбойникам покорить Советскую Украину.</w:t>
      </w:r>
    </w:p>
    <w:p w14:paraId="287D97D8"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Французские патриоты усиливают борьбу против немецких захватчиков. Вольные стрелки взорвали сооружения канала Сомм и Эн. Судоходство прервано на два месяца. На линии Амьен—Абвиль патриоты пустили под откос поезд с немецкими солдатами. Рабочие завода авиамоторов в Ансизе вывели из строя несколько сложных машин и электромоторов.» (14936).</w:t>
      </w:r>
    </w:p>
    <w:p w14:paraId="7536F449" w14:textId="77777777" w:rsidR="006A3561" w:rsidRPr="00D03F3E" w:rsidRDefault="006A3561" w:rsidP="00D03F3E">
      <w:pPr>
        <w:spacing w:after="0" w:line="240" w:lineRule="auto"/>
        <w:jc w:val="both"/>
        <w:rPr>
          <w:rFonts w:ascii="Times New Roman" w:hAnsi="Times New Roman"/>
          <w:color w:val="000000" w:themeColor="text1"/>
          <w:sz w:val="16"/>
          <w:szCs w:val="16"/>
        </w:rPr>
      </w:pPr>
    </w:p>
    <w:p w14:paraId="584684E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Поздним летним вечером 28 июня 1943 жители Куйбышева были внезапно разбужены непривычным для них шумом – на улицах протяжно завыли гудки, и голос из репродукторов тревожно объявил:  «Граждане! Воздушная тревога! Воздушная тревога!» Многие тут же в панике бросились к укрытиям. «Вот и наш черед пришел, вот и до нас добрались» – такие мысли в тот момент витали в головах многих куйбышевцев, спешащих со своими семьями в подвалы и щели. Вскоре на подступах к Куйбышеву послышался грохот зенитных орудий, и где-то в темном небе вспыхнули разрывы снарядов. Однако бомбежки так и не последовало. Фактически немцы в эту ночь и не собирались бомбить город, небольшая группа самолетов нанесла удар по Сызраньскому железнодорожному мосту через Волгу, находящемуся в 70 км к западу от Куйбышева. Сам мост получил повреждения, но ни один пролет не обрушился. В то же время посты воздушного наблюдения сообщили, что в непосредственной близости от него в Волгу были сброшены мины. Это заставило командование Волжской военной флотилии срочно создать 9-й участок 2-го боевого района, удлинить операционную зону более чем на 300 км (до Батраков) и объявить опасным для плавания участок Саратов – Батраки. Тральщики начали прочесывание фарватера. Последние дни июня в городах Поволжья прошли в ожидании новых ударов Люфтваффе. Части противовоздушной обороны спешно получали новые орудия и самолеты, бойцы МПВО осваивали методы тушения тяжелых зажигательных бомб. На уцелевших заводах запасали песок, рыли дополнительные пожарные водоемы, строили укрытия. На развалинах разбомбленных цехов рабочие потихоньку разбирали завалы, пытаясь отыскать сохранившееся оборудование. Но к масштабным восстановительным работам пока не приступали, боялись возобновления налетов. Командование Люфтваффе, опьяненное успехами, действительно планировало продолжить разрушение советской военной промышленности, однако в преддверии операции «Цитадель», нацеленной на Курский выступ, от стратегических бомбардировок пришлось пока отказаться. Поэтому жители Ярославля, Горького, Саратова, Астрахани и др. городов смогли наконец перевести дух, летние ночи над Волгой стали тихими. Правда, в один из жарких солнечных дней начала июля над Горьким внезапно появился одиночный немецкий самолет, сбросивший одну фугасную бомбу, которая попала в сад им. 1 Мая в Сталинском районе. Мощный взрыв прогремел в щели, битком набитой людьми. Куски тел были разбросаны на сотни метров вокруг, обрывки одежды повисли на израненных деревьях сквера. Одна из очевидцев этого события спустя много лет вспоминала, что больше всего ее привел в шок оторванный мизинец, который она увидела на земле недалеко от эпицентра взрыва. То были последние жертвы стратегических налетов Люфтваффе летом 1943 г. (11774).</w:t>
      </w:r>
    </w:p>
    <w:p w14:paraId="2465CA2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09A032" w14:textId="77777777" w:rsidR="006A3561"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3C53906E" w14:textId="77777777" w:rsidR="006A3561" w:rsidRPr="00D03F3E" w:rsidRDefault="006A3561"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D8A5F3" w14:textId="77777777" w:rsidR="006A3561" w:rsidRPr="00D03F3E" w:rsidRDefault="006A356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28 июня</w:t>
      </w:r>
      <w:r w:rsidRPr="00D03F3E">
        <w:rPr>
          <w:rFonts w:ascii="Times New Roman" w:hAnsi="Times New Roman"/>
          <w:color w:val="000000" w:themeColor="text1"/>
          <w:sz w:val="16"/>
          <w:szCs w:val="16"/>
        </w:rPr>
        <w:t xml:space="preserve"> в 1943 году впервые взлетел английский многоцелевой истребитель </w:t>
      </w:r>
      <w:hyperlink r:id="rId218" w:tgtFrame="_blank" w:history="1">
        <w:r w:rsidRPr="00D03F3E">
          <w:rPr>
            <w:rFonts w:ascii="Times New Roman" w:hAnsi="Times New Roman"/>
            <w:color w:val="000000" w:themeColor="text1"/>
            <w:sz w:val="16"/>
            <w:szCs w:val="16"/>
          </w:rPr>
          <w:t xml:space="preserve">"Темпест" II </w:t>
        </w:r>
      </w:hyperlink>
      <w:r w:rsidRPr="00D03F3E">
        <w:rPr>
          <w:rFonts w:ascii="Times New Roman" w:hAnsi="Times New Roman"/>
          <w:color w:val="000000" w:themeColor="text1"/>
          <w:sz w:val="16"/>
          <w:szCs w:val="16"/>
        </w:rPr>
        <w:t>с мотором "Центаурус" IV, пилотировал пилот Люкэс (14936).</w:t>
      </w:r>
    </w:p>
    <w:p w14:paraId="4E633AE3" w14:textId="77777777" w:rsidR="006A3561" w:rsidRPr="00D03F3E" w:rsidRDefault="006A3561" w:rsidP="00D03F3E">
      <w:pPr>
        <w:spacing w:after="0" w:line="240" w:lineRule="auto"/>
        <w:jc w:val="both"/>
        <w:rPr>
          <w:rFonts w:ascii="Times New Roman" w:hAnsi="Times New Roman"/>
          <w:color w:val="000000" w:themeColor="text1"/>
          <w:sz w:val="16"/>
          <w:szCs w:val="16"/>
        </w:rPr>
      </w:pPr>
    </w:p>
    <w:p w14:paraId="484DCEF0" w14:textId="77777777" w:rsidR="00ED28E4" w:rsidRPr="00D03F3E" w:rsidRDefault="00ED28E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28 июня 1943 чтобы повысить заметность национальных знаков различия на своих военных самолетах, Соединенные Штаты заменяют маркировку, принятую в июне 1942 года, на новую маркировку, состоящую из белой звезды в центре синего круга, окруженного белыми прямоугольниками, с обведением всего знака отличия. красным. Новая маркировка, содержащая красные графические элементы, вызовет смешение с японской маркировкой и будет использоваться только до сентября 1943 года (20376).</w:t>
      </w:r>
    </w:p>
    <w:p w14:paraId="6C089797" w14:textId="77777777" w:rsidR="00ED28E4" w:rsidRPr="00D03F3E" w:rsidRDefault="00ED28E4" w:rsidP="00D03F3E">
      <w:pPr>
        <w:spacing w:after="0" w:line="240" w:lineRule="auto"/>
        <w:jc w:val="both"/>
        <w:rPr>
          <w:rFonts w:ascii="Times New Roman" w:hAnsi="Times New Roman"/>
          <w:color w:val="0070C0"/>
          <w:sz w:val="16"/>
          <w:szCs w:val="16"/>
        </w:rPr>
      </w:pPr>
    </w:p>
    <w:p w14:paraId="20AC63DC" w14:textId="77777777" w:rsidR="00ED28E4" w:rsidRPr="00D03F3E" w:rsidRDefault="00ED28E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28–29 июня (ночь) 1943 608 британских бомбардировщиков атакуют Кельн, Германия, потеряв 25 из своего числа. В Кельне погибло 4377 человек - это на сегодняшний день наибольшее количество убитых в ходе какого-либо одного рейда бомбардировочного командования - 10 000 ранены и 230 000 остались без крова. В следующих двух рейдах Кельн понесет еще 1 000 убитых и 120 000 человек останется без крова (20376).</w:t>
      </w:r>
    </w:p>
    <w:p w14:paraId="107FA6E6" w14:textId="77777777" w:rsidR="00ED28E4" w:rsidRPr="00D03F3E" w:rsidRDefault="00ED28E4" w:rsidP="00D03F3E">
      <w:pPr>
        <w:spacing w:after="0" w:line="240" w:lineRule="auto"/>
        <w:jc w:val="both"/>
        <w:rPr>
          <w:rFonts w:ascii="Times New Roman" w:hAnsi="Times New Roman"/>
          <w:color w:val="0070C0"/>
          <w:sz w:val="16"/>
          <w:szCs w:val="16"/>
        </w:rPr>
      </w:pPr>
    </w:p>
    <w:p w14:paraId="4FD6E79D"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280410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4AD4CD" w14:textId="77777777" w:rsidR="00A64C54" w:rsidRPr="00D03F3E" w:rsidRDefault="00A64C5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С 29 по 30 июня 1943 серийный Ил-2 зав. №304783 произ</w:t>
      </w:r>
      <w:r w:rsidRPr="00D03F3E">
        <w:rPr>
          <w:rFonts w:ascii="Times New Roman" w:hAnsi="Times New Roman" w:cs="Times New Roman"/>
          <w:color w:val="000000" w:themeColor="text1"/>
          <w:sz w:val="16"/>
          <w:szCs w:val="16"/>
        </w:rPr>
        <w:softHyphen/>
        <w:t>водства московского завода №30 с до</w:t>
      </w:r>
      <w:r w:rsidRPr="00D03F3E">
        <w:rPr>
          <w:rFonts w:ascii="Times New Roman" w:hAnsi="Times New Roman" w:cs="Times New Roman"/>
          <w:color w:val="000000" w:themeColor="text1"/>
          <w:sz w:val="16"/>
          <w:szCs w:val="16"/>
        </w:rPr>
        <w:softHyphen/>
        <w:t>полнительной броней стрелка успешно отлетал программу государственных ис</w:t>
      </w:r>
      <w:r w:rsidRPr="00D03F3E">
        <w:rPr>
          <w:rFonts w:ascii="Times New Roman" w:hAnsi="Times New Roman" w:cs="Times New Roman"/>
          <w:color w:val="000000" w:themeColor="text1"/>
          <w:sz w:val="16"/>
          <w:szCs w:val="16"/>
        </w:rPr>
        <w:softHyphen/>
        <w:t>пытаний, а Ил-2 зав. №305395 этого же завода с «длин</w:t>
      </w:r>
      <w:r w:rsidRPr="00D03F3E">
        <w:rPr>
          <w:rFonts w:ascii="Times New Roman" w:hAnsi="Times New Roman" w:cs="Times New Roman"/>
          <w:color w:val="000000" w:themeColor="text1"/>
          <w:sz w:val="16"/>
          <w:szCs w:val="16"/>
        </w:rPr>
        <w:softHyphen/>
        <w:t>ным» бронекорпусом - с 14 по 28 авгу</w:t>
      </w:r>
      <w:r w:rsidRPr="00D03F3E">
        <w:rPr>
          <w:rFonts w:ascii="Times New Roman" w:hAnsi="Times New Roman" w:cs="Times New Roman"/>
          <w:color w:val="000000" w:themeColor="text1"/>
          <w:sz w:val="16"/>
          <w:szCs w:val="16"/>
        </w:rPr>
        <w:softHyphen/>
        <w:t>ста 1944 г.</w:t>
      </w:r>
    </w:p>
    <w:p w14:paraId="0AD2859C" w14:textId="77777777" w:rsidR="00A64C54" w:rsidRPr="00D03F3E" w:rsidRDefault="00A64C5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Вооружение самолетов в целом соот</w:t>
      </w:r>
      <w:r w:rsidRPr="00D03F3E">
        <w:rPr>
          <w:rFonts w:ascii="Times New Roman" w:hAnsi="Times New Roman" w:cs="Times New Roman"/>
          <w:color w:val="000000" w:themeColor="text1"/>
          <w:sz w:val="16"/>
          <w:szCs w:val="16"/>
        </w:rPr>
        <w:softHyphen/>
        <w:t>ветствовало серийным вариантам Ил-2 с обычным бронекорпусом, но макси</w:t>
      </w:r>
      <w:r w:rsidRPr="00D03F3E">
        <w:rPr>
          <w:rFonts w:ascii="Times New Roman" w:hAnsi="Times New Roman" w:cs="Times New Roman"/>
          <w:color w:val="000000" w:themeColor="text1"/>
          <w:sz w:val="16"/>
          <w:szCs w:val="16"/>
        </w:rPr>
        <w:softHyphen/>
        <w:t>мальная бомбовая нагрузка ограничива</w:t>
      </w:r>
      <w:r w:rsidRPr="00D03F3E">
        <w:rPr>
          <w:rFonts w:ascii="Times New Roman" w:hAnsi="Times New Roman" w:cs="Times New Roman"/>
          <w:color w:val="000000" w:themeColor="text1"/>
          <w:sz w:val="16"/>
          <w:szCs w:val="16"/>
        </w:rPr>
        <w:softHyphen/>
        <w:t>лась 400 кг.</w:t>
      </w:r>
    </w:p>
    <w:p w14:paraId="495C6091" w14:textId="77777777" w:rsidR="00A64C54" w:rsidRPr="00D03F3E" w:rsidRDefault="00A64C5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По сравнению с серийным Ил-2 об</w:t>
      </w:r>
      <w:r w:rsidRPr="00D03F3E">
        <w:rPr>
          <w:rFonts w:ascii="Times New Roman" w:hAnsi="Times New Roman" w:cs="Times New Roman"/>
          <w:color w:val="000000" w:themeColor="text1"/>
          <w:sz w:val="16"/>
          <w:szCs w:val="16"/>
        </w:rPr>
        <w:softHyphen/>
        <w:t>щий вес металлической брони на само</w:t>
      </w:r>
      <w:r w:rsidRPr="00D03F3E">
        <w:rPr>
          <w:rFonts w:ascii="Times New Roman" w:hAnsi="Times New Roman" w:cs="Times New Roman"/>
          <w:color w:val="000000" w:themeColor="text1"/>
          <w:sz w:val="16"/>
          <w:szCs w:val="16"/>
        </w:rPr>
        <w:softHyphen/>
        <w:t>лете с удлиненным бронекорпусом уве</w:t>
      </w:r>
      <w:r w:rsidRPr="00D03F3E">
        <w:rPr>
          <w:rFonts w:ascii="Times New Roman" w:hAnsi="Times New Roman" w:cs="Times New Roman"/>
          <w:color w:val="000000" w:themeColor="text1"/>
          <w:sz w:val="16"/>
          <w:szCs w:val="16"/>
        </w:rPr>
        <w:softHyphen/>
        <w:t>личился на 58 кг (1015 кг вместо 957 кг), а деревянная часть фюзеляжа - укорачива</w:t>
      </w:r>
      <w:r w:rsidRPr="00D03F3E">
        <w:rPr>
          <w:rFonts w:ascii="Times New Roman" w:hAnsi="Times New Roman" w:cs="Times New Roman"/>
          <w:color w:val="000000" w:themeColor="text1"/>
          <w:sz w:val="16"/>
          <w:szCs w:val="16"/>
        </w:rPr>
        <w:softHyphen/>
        <w:t>лась на 1135 мм.</w:t>
      </w:r>
    </w:p>
    <w:p w14:paraId="77F18061" w14:textId="77777777" w:rsidR="00A64C54" w:rsidRPr="00D03F3E" w:rsidRDefault="00A64C5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Отметим, что в переписке Ил-2 с уд</w:t>
      </w:r>
      <w:r w:rsidRPr="00D03F3E">
        <w:rPr>
          <w:rFonts w:ascii="Times New Roman" w:hAnsi="Times New Roman" w:cs="Times New Roman"/>
          <w:color w:val="000000" w:themeColor="text1"/>
          <w:sz w:val="16"/>
          <w:szCs w:val="16"/>
        </w:rPr>
        <w:softHyphen/>
        <w:t>линенным бронекорпусом иногда обозна</w:t>
      </w:r>
      <w:r w:rsidRPr="00D03F3E">
        <w:rPr>
          <w:rFonts w:ascii="Times New Roman" w:hAnsi="Times New Roman" w:cs="Times New Roman"/>
          <w:color w:val="000000" w:themeColor="text1"/>
          <w:sz w:val="16"/>
          <w:szCs w:val="16"/>
        </w:rPr>
        <w:softHyphen/>
        <w:t>чался как Ил-2У, то есть улучшенный.</w:t>
      </w:r>
    </w:p>
    <w:p w14:paraId="06D6FD28" w14:textId="77777777" w:rsidR="00A64C54" w:rsidRPr="00D03F3E" w:rsidRDefault="00A64C5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 ходе испытаний оба самолета по</w:t>
      </w:r>
      <w:r w:rsidRPr="00D03F3E">
        <w:rPr>
          <w:rFonts w:ascii="Times New Roman" w:hAnsi="Times New Roman" w:cs="Times New Roman"/>
          <w:color w:val="000000" w:themeColor="text1"/>
          <w:sz w:val="16"/>
          <w:szCs w:val="16"/>
        </w:rPr>
        <w:softHyphen/>
        <w:t>казали хорошую управляемость и про</w:t>
      </w:r>
      <w:r w:rsidRPr="00D03F3E">
        <w:rPr>
          <w:rFonts w:ascii="Times New Roman" w:hAnsi="Times New Roman" w:cs="Times New Roman"/>
          <w:color w:val="000000" w:themeColor="text1"/>
          <w:sz w:val="16"/>
          <w:szCs w:val="16"/>
        </w:rPr>
        <w:softHyphen/>
        <w:t>дольную устойчивость. Однако указы</w:t>
      </w:r>
      <w:r w:rsidRPr="00D03F3E">
        <w:rPr>
          <w:rFonts w:ascii="Times New Roman" w:hAnsi="Times New Roman" w:cs="Times New Roman"/>
          <w:color w:val="000000" w:themeColor="text1"/>
          <w:sz w:val="16"/>
          <w:szCs w:val="16"/>
        </w:rPr>
        <w:softHyphen/>
        <w:t>валось, что более задняя центровка са</w:t>
      </w:r>
      <w:r w:rsidRPr="00D03F3E">
        <w:rPr>
          <w:rFonts w:ascii="Times New Roman" w:hAnsi="Times New Roman" w:cs="Times New Roman"/>
          <w:color w:val="000000" w:themeColor="text1"/>
          <w:sz w:val="16"/>
          <w:szCs w:val="16"/>
        </w:rPr>
        <w:softHyphen/>
        <w:t>молета Ил-2 с дополнительным брони</w:t>
      </w:r>
      <w:r w:rsidRPr="00D03F3E">
        <w:rPr>
          <w:rFonts w:ascii="Times New Roman" w:hAnsi="Times New Roman" w:cs="Times New Roman"/>
          <w:color w:val="000000" w:themeColor="text1"/>
          <w:sz w:val="16"/>
          <w:szCs w:val="16"/>
        </w:rPr>
        <w:softHyphen/>
        <w:t>рованием кабины стрелка ухудшила его продольную устойчивость. На всем экс</w:t>
      </w:r>
      <w:r w:rsidRPr="00D03F3E">
        <w:rPr>
          <w:rFonts w:ascii="Times New Roman" w:hAnsi="Times New Roman" w:cs="Times New Roman"/>
          <w:color w:val="000000" w:themeColor="text1"/>
          <w:sz w:val="16"/>
          <w:szCs w:val="16"/>
        </w:rPr>
        <w:softHyphen/>
        <w:t>плуатационном диапазоне центровок и режимах полета «самолет имеет динами</w:t>
      </w:r>
      <w:r w:rsidRPr="00D03F3E">
        <w:rPr>
          <w:rFonts w:ascii="Times New Roman" w:hAnsi="Times New Roman" w:cs="Times New Roman"/>
          <w:color w:val="000000" w:themeColor="text1"/>
          <w:sz w:val="16"/>
          <w:szCs w:val="16"/>
        </w:rPr>
        <w:softHyphen/>
        <w:t>ческую устойчивость, близкую к нейтраль</w:t>
      </w:r>
      <w:r w:rsidRPr="00D03F3E">
        <w:rPr>
          <w:rFonts w:ascii="Times New Roman" w:hAnsi="Times New Roman" w:cs="Times New Roman"/>
          <w:color w:val="000000" w:themeColor="text1"/>
          <w:sz w:val="16"/>
          <w:szCs w:val="16"/>
        </w:rPr>
        <w:softHyphen/>
        <w:t>ной, в сторону отрицательной». Ведущий летчик-испытатель инженер-майор Сине</w:t>
      </w:r>
      <w:r w:rsidRPr="00D03F3E">
        <w:rPr>
          <w:rFonts w:ascii="Times New Roman" w:hAnsi="Times New Roman" w:cs="Times New Roman"/>
          <w:color w:val="000000" w:themeColor="text1"/>
          <w:sz w:val="16"/>
          <w:szCs w:val="16"/>
        </w:rPr>
        <w:softHyphen/>
        <w:t>льников в разделе «Летная оценка само</w:t>
      </w:r>
      <w:r w:rsidRPr="00D03F3E">
        <w:rPr>
          <w:rFonts w:ascii="Times New Roman" w:hAnsi="Times New Roman" w:cs="Times New Roman"/>
          <w:color w:val="000000" w:themeColor="text1"/>
          <w:sz w:val="16"/>
          <w:szCs w:val="16"/>
        </w:rPr>
        <w:softHyphen/>
        <w:t>лета» указывал: «прогрессивное увеличе</w:t>
      </w:r>
      <w:r w:rsidRPr="00D03F3E">
        <w:rPr>
          <w:rFonts w:ascii="Times New Roman" w:hAnsi="Times New Roman" w:cs="Times New Roman"/>
          <w:color w:val="000000" w:themeColor="text1"/>
          <w:sz w:val="16"/>
          <w:szCs w:val="16"/>
        </w:rPr>
        <w:softHyphen/>
        <w:t>ние веса самолета Ил-2 до 6355 кг счи</w:t>
      </w:r>
      <w:r w:rsidRPr="00D03F3E">
        <w:rPr>
          <w:rFonts w:ascii="Times New Roman" w:hAnsi="Times New Roman" w:cs="Times New Roman"/>
          <w:color w:val="000000" w:themeColor="text1"/>
          <w:sz w:val="16"/>
          <w:szCs w:val="16"/>
        </w:rPr>
        <w:softHyphen/>
        <w:t>таю ненормальным и крайне нежелатель</w:t>
      </w:r>
      <w:r w:rsidRPr="00D03F3E">
        <w:rPr>
          <w:rFonts w:ascii="Times New Roman" w:hAnsi="Times New Roman" w:cs="Times New Roman"/>
          <w:color w:val="000000" w:themeColor="text1"/>
          <w:sz w:val="16"/>
          <w:szCs w:val="16"/>
        </w:rPr>
        <w:softHyphen/>
        <w:t>ным, так как, в конце концов, это приведет к резкому ухудшению взлетных свойств и усложнением техники пилотирова</w:t>
      </w:r>
      <w:r w:rsidRPr="00D03F3E">
        <w:rPr>
          <w:rFonts w:ascii="Times New Roman" w:hAnsi="Times New Roman" w:cs="Times New Roman"/>
          <w:color w:val="000000" w:themeColor="text1"/>
          <w:sz w:val="16"/>
          <w:szCs w:val="16"/>
        </w:rPr>
        <w:softHyphen/>
        <w:t>ния». Тем не менее, был сделан вывод, что «установка дополнительной брони улуч</w:t>
      </w:r>
      <w:r w:rsidRPr="00D03F3E">
        <w:rPr>
          <w:rFonts w:ascii="Times New Roman" w:hAnsi="Times New Roman" w:cs="Times New Roman"/>
          <w:color w:val="000000" w:themeColor="text1"/>
          <w:sz w:val="16"/>
          <w:szCs w:val="16"/>
        </w:rPr>
        <w:softHyphen/>
        <w:t>шает защиту стрелка, является целесоо</w:t>
      </w:r>
      <w:r w:rsidRPr="00D03F3E">
        <w:rPr>
          <w:rFonts w:ascii="Times New Roman" w:hAnsi="Times New Roman" w:cs="Times New Roman"/>
          <w:color w:val="000000" w:themeColor="text1"/>
          <w:sz w:val="16"/>
          <w:szCs w:val="16"/>
        </w:rPr>
        <w:softHyphen/>
        <w:t>бразной и может быть рекомендована на самолетах с увеличенной стрельчатостью крыла для строевых частей ВВС КА».</w:t>
      </w:r>
    </w:p>
    <w:p w14:paraId="00BA9B03" w14:textId="77777777" w:rsidR="00A64C54" w:rsidRPr="00D03F3E" w:rsidRDefault="00A64C5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 отношении самолета с удлиненным бронекорпусом никаких недостатков в части управляемости не отмечалось, по</w:t>
      </w:r>
      <w:r w:rsidRPr="00D03F3E">
        <w:rPr>
          <w:rFonts w:ascii="Times New Roman" w:hAnsi="Times New Roman" w:cs="Times New Roman"/>
          <w:color w:val="000000" w:themeColor="text1"/>
          <w:sz w:val="16"/>
          <w:szCs w:val="16"/>
        </w:rPr>
        <w:softHyphen/>
        <w:t>скольку вследствие перераспределения толщины брони центровка самолета даже сместилась несколько вперед в сравне</w:t>
      </w:r>
      <w:r w:rsidRPr="00D03F3E">
        <w:rPr>
          <w:rFonts w:ascii="Times New Roman" w:hAnsi="Times New Roman" w:cs="Times New Roman"/>
          <w:color w:val="000000" w:themeColor="text1"/>
          <w:sz w:val="16"/>
          <w:szCs w:val="16"/>
        </w:rPr>
        <w:softHyphen/>
        <w:t>нии с серийным самолетом (19558).</w:t>
      </w:r>
    </w:p>
    <w:p w14:paraId="11D96D67" w14:textId="77777777" w:rsidR="00A64C54" w:rsidRPr="00D03F3E" w:rsidRDefault="00A64C54" w:rsidP="00D03F3E">
      <w:pPr>
        <w:spacing w:after="0" w:line="240" w:lineRule="auto"/>
        <w:jc w:val="both"/>
        <w:rPr>
          <w:rFonts w:ascii="Times New Roman" w:hAnsi="Times New Roman"/>
          <w:color w:val="000000" w:themeColor="text1"/>
          <w:sz w:val="16"/>
          <w:szCs w:val="16"/>
        </w:rPr>
      </w:pPr>
    </w:p>
    <w:p w14:paraId="5D46BB7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июня 1943 Зам. нач. Секретариата НКАП Фирсов писал нач. 1 отд. Харитончикову письмо N 3303:</w:t>
      </w:r>
    </w:p>
    <w:p w14:paraId="7D91DE2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"Постановлением СНК от 26 июня 1943 N 695-212с НКАП был освобожден от присвоения номеров военным предприятиям, стройкам, КБ, НИИ оборонного значения наркоматов и центральных учреждений.</w:t>
      </w:r>
    </w:p>
    <w:p w14:paraId="6003E57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Этим же постановлением СНК установлено, что присвоение номеров военным предприятиям...производится в каждом конкретном случае СНК по представлению соответствующего наркомата или центрального учреждения." (1781,238).</w:t>
      </w:r>
    </w:p>
    <w:p w14:paraId="1085FC4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2C6D5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29 июня по 30 августа 1943 проходили летные испытания двухместного Су-6 с М-71Ф. Летал все тот же А.К.Долгов вместе с Кабаковым и П.М.Стефановским, который написал в отчете, что машина может заменить Ил-2, так как обладает лучшим бронированием и значительно лучшими летными данными (200,36).</w:t>
      </w:r>
    </w:p>
    <w:p w14:paraId="666C516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другим данным испытания начались 20 июня 1943 и летал П.Стефановский. Были испытательные бои с Ме-109G-2 He-111H-11 (1454,62).</w:t>
      </w:r>
    </w:p>
    <w:p w14:paraId="647B439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DDD98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июня 1943 В.М.Мясищев был назначен ГК ОКБ-22 на 22 заводе вместо А.И.Путилова, который из-за неуживчивого характера испортил отношения с руководством завода (1847,73).</w:t>
      </w:r>
    </w:p>
    <w:p w14:paraId="44EE83F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4A04A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июня 1943 директор завода № 22 Окулов письменно докладывал в Москву, что Пе-2 с РУ-1 окончен постройкой и по получению двигателя поступит на летные испытания. Он же считал необходимым включить в состав летного экипажа специалистов завода № 16 (12049).</w:t>
      </w:r>
    </w:p>
    <w:p w14:paraId="6BA17E0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6C494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июня 1943 г. во главе ОКО завода 22 стал Владимир Михайлович Мясищев (3542).</w:t>
      </w:r>
    </w:p>
    <w:p w14:paraId="2E43085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A5027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Уже 29 июня 1942 на заводе № 292 производство возобновилось. В разрушенных цехах, в наспех построенных шалашах, в палатках, аэродромных ангарах из отвоеванных у пожара узлов, деталей, агрегатов началась сборка и сдача самолетов. Для восстановления завода в Саратов прибыли лучшие строительные коллективы НКАП. С других заводов передали 190 станков. Задание ГКО - восстановить производство истребителей к 1 октября 1943 г. до уровня, предшествовавшего бомбардировке, - коллектив завода выполнил досрочно, к 13 сентября. Восстановлению завода всего за два с половиной месяца помогло то, что при бомбардировке и пожаре не пострадали основные энергетические и другие магистрали. Более того, завод был не только восстановлен, но и расширен, его мощность увеличилась (табл.7). За выполнение и перевыполнение плана по выпуску самолетов в сентябре 1943 г. заводу было вручено Переходящее Красное знамя ГКО, которое завод удерживал еще много месяцев подряд.</w:t>
      </w:r>
    </w:p>
    <w:p w14:paraId="415CAD4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с 23 на 24 июня 1943 г. завод № 292 подвергся бомбардировке и почти полностью сгорел. Полы этого завода, строившегося как завод комбайнов, были набраны из деревянных чурбаков, уложенных торцами вверх. За время прошедшее со дня постройки завода они промаслились и оказались хорошим горючим материалом. Потери в персонале завода составили 11 человек убитыми и 40 ранеными. Было разрушено 47 тысяч кв.м производственных площадей, что составляло 64,4 % зданий завода, выведено из строя 446 станков (из них 195 можно было восстановить). Полностью вышли из строя 9 цехов (крыльевой, опалубки фюзеляжей, слесарно-сварочный, заготовительный дюралевой штамповки, цех капотов, рулей и водо- маслогондол, термический, оснастки и приспособлений, инструментальный, ремонта станочного оборудования), три мастерские (стабилизаторов и гаргротов, пошивочная и обойно-шторная, гальванических покрытий), а также центральный склад, склад фанеры и лаборатория статиспыта- ний. Частично были разрушены цеха: сборочный, механический и шасси, сварки фюзеляжей и малярные мастерские. В сборочном цехе полностью сгорели шесть Як-1 и еще 8 самолетов и фюзеляжей пострадали от осколков.</w:t>
      </w:r>
    </w:p>
    <w:p w14:paraId="1B6F738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Выпуск истребителей Як-1 заводом № 292 в 1943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0"/>
        <w:gridCol w:w="800"/>
        <w:gridCol w:w="800"/>
        <w:gridCol w:w="800"/>
        <w:gridCol w:w="800"/>
        <w:gridCol w:w="800"/>
        <w:gridCol w:w="800"/>
        <w:gridCol w:w="800"/>
        <w:gridCol w:w="800"/>
        <w:gridCol w:w="800"/>
        <w:gridCol w:w="800"/>
        <w:gridCol w:w="800"/>
        <w:gridCol w:w="800"/>
        <w:gridCol w:w="800"/>
      </w:tblGrid>
      <w:tr w:rsidR="00860B4B" w:rsidRPr="00D03F3E" w14:paraId="696613CA" w14:textId="77777777">
        <w:tc>
          <w:tcPr>
            <w:tcW w:w="800" w:type="dxa"/>
            <w:tcBorders>
              <w:top w:val="single" w:sz="12" w:space="0" w:color="auto"/>
            </w:tcBorders>
          </w:tcPr>
          <w:p w14:paraId="1DAFBE8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Borders>
              <w:top w:val="single" w:sz="12" w:space="0" w:color="auto"/>
            </w:tcBorders>
          </w:tcPr>
          <w:p w14:paraId="7A2C717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Январь</w:t>
            </w:r>
          </w:p>
        </w:tc>
        <w:tc>
          <w:tcPr>
            <w:tcW w:w="800" w:type="dxa"/>
            <w:tcBorders>
              <w:top w:val="single" w:sz="12" w:space="0" w:color="auto"/>
            </w:tcBorders>
          </w:tcPr>
          <w:p w14:paraId="1609E62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Февраль</w:t>
            </w:r>
          </w:p>
        </w:tc>
        <w:tc>
          <w:tcPr>
            <w:tcW w:w="800" w:type="dxa"/>
            <w:tcBorders>
              <w:top w:val="single" w:sz="12" w:space="0" w:color="auto"/>
            </w:tcBorders>
          </w:tcPr>
          <w:p w14:paraId="14D0479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Март</w:t>
            </w:r>
          </w:p>
        </w:tc>
        <w:tc>
          <w:tcPr>
            <w:tcW w:w="800" w:type="dxa"/>
            <w:tcBorders>
              <w:top w:val="single" w:sz="12" w:space="0" w:color="auto"/>
            </w:tcBorders>
          </w:tcPr>
          <w:p w14:paraId="1557D76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Апрель</w:t>
            </w:r>
          </w:p>
        </w:tc>
        <w:tc>
          <w:tcPr>
            <w:tcW w:w="800" w:type="dxa"/>
            <w:tcBorders>
              <w:top w:val="single" w:sz="12" w:space="0" w:color="auto"/>
            </w:tcBorders>
          </w:tcPr>
          <w:p w14:paraId="65F073C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Май</w:t>
            </w:r>
          </w:p>
        </w:tc>
        <w:tc>
          <w:tcPr>
            <w:tcW w:w="800" w:type="dxa"/>
            <w:tcBorders>
              <w:top w:val="single" w:sz="12" w:space="0" w:color="auto"/>
            </w:tcBorders>
          </w:tcPr>
          <w:p w14:paraId="549734F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Июнь</w:t>
            </w:r>
          </w:p>
        </w:tc>
        <w:tc>
          <w:tcPr>
            <w:tcW w:w="800" w:type="dxa"/>
            <w:tcBorders>
              <w:top w:val="single" w:sz="12" w:space="0" w:color="auto"/>
            </w:tcBorders>
          </w:tcPr>
          <w:p w14:paraId="47D8027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Июль</w:t>
            </w:r>
          </w:p>
        </w:tc>
        <w:tc>
          <w:tcPr>
            <w:tcW w:w="800" w:type="dxa"/>
            <w:tcBorders>
              <w:top w:val="single" w:sz="12" w:space="0" w:color="auto"/>
            </w:tcBorders>
          </w:tcPr>
          <w:p w14:paraId="44E31FB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Август</w:t>
            </w:r>
          </w:p>
        </w:tc>
        <w:tc>
          <w:tcPr>
            <w:tcW w:w="800" w:type="dxa"/>
            <w:tcBorders>
              <w:top w:val="single" w:sz="12" w:space="0" w:color="auto"/>
            </w:tcBorders>
          </w:tcPr>
          <w:p w14:paraId="584487D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Сентябрь</w:t>
            </w:r>
          </w:p>
        </w:tc>
        <w:tc>
          <w:tcPr>
            <w:tcW w:w="800" w:type="dxa"/>
            <w:tcBorders>
              <w:top w:val="single" w:sz="12" w:space="0" w:color="auto"/>
            </w:tcBorders>
          </w:tcPr>
          <w:p w14:paraId="581B630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Октябрь</w:t>
            </w:r>
          </w:p>
        </w:tc>
        <w:tc>
          <w:tcPr>
            <w:tcW w:w="800" w:type="dxa"/>
            <w:tcBorders>
              <w:top w:val="single" w:sz="12" w:space="0" w:color="auto"/>
            </w:tcBorders>
          </w:tcPr>
          <w:p w14:paraId="2DB3A27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Ноябрь</w:t>
            </w:r>
          </w:p>
        </w:tc>
        <w:tc>
          <w:tcPr>
            <w:tcW w:w="800" w:type="dxa"/>
            <w:tcBorders>
              <w:top w:val="single" w:sz="12" w:space="0" w:color="auto"/>
            </w:tcBorders>
          </w:tcPr>
          <w:p w14:paraId="5F6BB62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Декабрь</w:t>
            </w:r>
          </w:p>
        </w:tc>
        <w:tc>
          <w:tcPr>
            <w:tcW w:w="800" w:type="dxa"/>
            <w:tcBorders>
              <w:top w:val="single" w:sz="12" w:space="0" w:color="auto"/>
            </w:tcBorders>
          </w:tcPr>
          <w:p w14:paraId="4237954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Всего</w:t>
            </w:r>
          </w:p>
        </w:tc>
      </w:tr>
      <w:tr w:rsidR="00860B4B" w:rsidRPr="00D03F3E" w14:paraId="0763E20B" w14:textId="77777777">
        <w:tc>
          <w:tcPr>
            <w:tcW w:w="800" w:type="dxa"/>
          </w:tcPr>
          <w:p w14:paraId="0C120E2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 выпуска</w:t>
            </w:r>
          </w:p>
        </w:tc>
        <w:tc>
          <w:tcPr>
            <w:tcW w:w="800" w:type="dxa"/>
          </w:tcPr>
          <w:p w14:paraId="2BB63CA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290+30 </w:t>
            </w:r>
          </w:p>
        </w:tc>
        <w:tc>
          <w:tcPr>
            <w:tcW w:w="800" w:type="dxa"/>
          </w:tcPr>
          <w:p w14:paraId="09425D0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206 +40</w:t>
            </w:r>
          </w:p>
        </w:tc>
        <w:tc>
          <w:tcPr>
            <w:tcW w:w="800" w:type="dxa"/>
          </w:tcPr>
          <w:p w14:paraId="51F8183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261</w:t>
            </w:r>
          </w:p>
        </w:tc>
        <w:tc>
          <w:tcPr>
            <w:tcW w:w="800" w:type="dxa"/>
          </w:tcPr>
          <w:p w14:paraId="35C57F5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260</w:t>
            </w:r>
          </w:p>
        </w:tc>
        <w:tc>
          <w:tcPr>
            <w:tcW w:w="800" w:type="dxa"/>
          </w:tcPr>
          <w:p w14:paraId="74B347D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270</w:t>
            </w:r>
          </w:p>
        </w:tc>
        <w:tc>
          <w:tcPr>
            <w:tcW w:w="800" w:type="dxa"/>
          </w:tcPr>
          <w:p w14:paraId="1CD8843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173</w:t>
            </w:r>
          </w:p>
        </w:tc>
        <w:tc>
          <w:tcPr>
            <w:tcW w:w="800" w:type="dxa"/>
          </w:tcPr>
          <w:p w14:paraId="3953E10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tc>
        <w:tc>
          <w:tcPr>
            <w:tcW w:w="800" w:type="dxa"/>
          </w:tcPr>
          <w:p w14:paraId="61EBCCB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w:t>
            </w:r>
          </w:p>
        </w:tc>
        <w:tc>
          <w:tcPr>
            <w:tcW w:w="800" w:type="dxa"/>
          </w:tcPr>
          <w:p w14:paraId="2E194AC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180</w:t>
            </w:r>
          </w:p>
        </w:tc>
        <w:tc>
          <w:tcPr>
            <w:tcW w:w="800" w:type="dxa"/>
          </w:tcPr>
          <w:p w14:paraId="1B571E1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260</w:t>
            </w:r>
          </w:p>
        </w:tc>
        <w:tc>
          <w:tcPr>
            <w:tcW w:w="800" w:type="dxa"/>
          </w:tcPr>
          <w:p w14:paraId="7829679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250</w:t>
            </w:r>
          </w:p>
        </w:tc>
        <w:tc>
          <w:tcPr>
            <w:tcW w:w="800" w:type="dxa"/>
          </w:tcPr>
          <w:p w14:paraId="6777D78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270</w:t>
            </w:r>
          </w:p>
        </w:tc>
        <w:tc>
          <w:tcPr>
            <w:tcW w:w="800" w:type="dxa"/>
          </w:tcPr>
          <w:p w14:paraId="7B9467E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2435</w:t>
            </w:r>
          </w:p>
        </w:tc>
      </w:tr>
      <w:tr w:rsidR="00860B4B" w:rsidRPr="00D03F3E" w14:paraId="63F35D8A" w14:textId="77777777">
        <w:tc>
          <w:tcPr>
            <w:tcW w:w="800" w:type="dxa"/>
          </w:tcPr>
          <w:p w14:paraId="1DE365B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 М106</w:t>
            </w:r>
          </w:p>
        </w:tc>
        <w:tc>
          <w:tcPr>
            <w:tcW w:w="800" w:type="dxa"/>
          </w:tcPr>
          <w:p w14:paraId="37C0D26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234 1)</w:t>
            </w:r>
          </w:p>
        </w:tc>
        <w:tc>
          <w:tcPr>
            <w:tcW w:w="800" w:type="dxa"/>
          </w:tcPr>
          <w:p w14:paraId="7B556FF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204 1)</w:t>
            </w:r>
          </w:p>
        </w:tc>
        <w:tc>
          <w:tcPr>
            <w:tcW w:w="800" w:type="dxa"/>
          </w:tcPr>
          <w:p w14:paraId="17B65FA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264 1)</w:t>
            </w:r>
          </w:p>
        </w:tc>
        <w:tc>
          <w:tcPr>
            <w:tcW w:w="800" w:type="dxa"/>
          </w:tcPr>
          <w:p w14:paraId="4A80779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3D78A13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7CE82A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2876B37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CD050B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0EB5974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779897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3C9C3C3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0BE6EC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34ACCAF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7E0B763" w14:textId="77777777">
        <w:tc>
          <w:tcPr>
            <w:tcW w:w="800" w:type="dxa"/>
          </w:tcPr>
          <w:p w14:paraId="0A5861F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Сдачи готовых к бою</w:t>
            </w:r>
          </w:p>
        </w:tc>
        <w:tc>
          <w:tcPr>
            <w:tcW w:w="800" w:type="dxa"/>
          </w:tcPr>
          <w:p w14:paraId="7BB3B4C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455</w:t>
            </w:r>
          </w:p>
        </w:tc>
        <w:tc>
          <w:tcPr>
            <w:tcW w:w="800" w:type="dxa"/>
          </w:tcPr>
          <w:p w14:paraId="382ADA8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c>
          <w:tcPr>
            <w:tcW w:w="800" w:type="dxa"/>
          </w:tcPr>
          <w:p w14:paraId="5F0F767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F4191B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1811B4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100A3B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270</w:t>
            </w:r>
          </w:p>
        </w:tc>
        <w:tc>
          <w:tcPr>
            <w:tcW w:w="800" w:type="dxa"/>
          </w:tcPr>
          <w:p w14:paraId="6094DE3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w:t>
            </w:r>
          </w:p>
        </w:tc>
        <w:tc>
          <w:tcPr>
            <w:tcW w:w="800" w:type="dxa"/>
          </w:tcPr>
          <w:p w14:paraId="4A1EF70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130</w:t>
            </w:r>
          </w:p>
        </w:tc>
        <w:tc>
          <w:tcPr>
            <w:tcW w:w="800" w:type="dxa"/>
          </w:tcPr>
          <w:p w14:paraId="20F7566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160</w:t>
            </w:r>
          </w:p>
        </w:tc>
        <w:tc>
          <w:tcPr>
            <w:tcW w:w="800" w:type="dxa"/>
          </w:tcPr>
          <w:p w14:paraId="4BB99FB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260</w:t>
            </w:r>
          </w:p>
        </w:tc>
        <w:tc>
          <w:tcPr>
            <w:tcW w:w="800" w:type="dxa"/>
          </w:tcPr>
          <w:p w14:paraId="2B31904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2778578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EC35D5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19E59E71" w14:textId="77777777">
        <w:tc>
          <w:tcPr>
            <w:tcW w:w="800" w:type="dxa"/>
          </w:tcPr>
          <w:p w14:paraId="42E8103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Фактически собрано</w:t>
            </w:r>
          </w:p>
        </w:tc>
        <w:tc>
          <w:tcPr>
            <w:tcW w:w="800" w:type="dxa"/>
          </w:tcPr>
          <w:p w14:paraId="5BC2806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234</w:t>
            </w:r>
          </w:p>
        </w:tc>
        <w:tc>
          <w:tcPr>
            <w:tcW w:w="800" w:type="dxa"/>
          </w:tcPr>
          <w:p w14:paraId="4FC5676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204</w:t>
            </w:r>
          </w:p>
        </w:tc>
        <w:tc>
          <w:tcPr>
            <w:tcW w:w="800" w:type="dxa"/>
          </w:tcPr>
          <w:p w14:paraId="631DC9A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277</w:t>
            </w:r>
          </w:p>
        </w:tc>
        <w:tc>
          <w:tcPr>
            <w:tcW w:w="800" w:type="dxa"/>
          </w:tcPr>
          <w:p w14:paraId="08CD7AE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2772</w:t>
            </w:r>
          </w:p>
        </w:tc>
        <w:tc>
          <w:tcPr>
            <w:tcW w:w="800" w:type="dxa"/>
          </w:tcPr>
          <w:p w14:paraId="4DF015E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286</w:t>
            </w:r>
          </w:p>
        </w:tc>
        <w:tc>
          <w:tcPr>
            <w:tcW w:w="800" w:type="dxa"/>
          </w:tcPr>
          <w:p w14:paraId="0E861F8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1733</w:t>
            </w:r>
          </w:p>
        </w:tc>
        <w:tc>
          <w:tcPr>
            <w:tcW w:w="800" w:type="dxa"/>
          </w:tcPr>
          <w:p w14:paraId="4A74769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w:t>
            </w:r>
          </w:p>
        </w:tc>
        <w:tc>
          <w:tcPr>
            <w:tcW w:w="800" w:type="dxa"/>
          </w:tcPr>
          <w:p w14:paraId="70F6D5B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115</w:t>
            </w:r>
          </w:p>
        </w:tc>
        <w:tc>
          <w:tcPr>
            <w:tcW w:w="800" w:type="dxa"/>
          </w:tcPr>
          <w:p w14:paraId="4872FE7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239</w:t>
            </w:r>
          </w:p>
        </w:tc>
        <w:tc>
          <w:tcPr>
            <w:tcW w:w="800" w:type="dxa"/>
          </w:tcPr>
          <w:p w14:paraId="7E99F63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286</w:t>
            </w:r>
          </w:p>
        </w:tc>
        <w:tc>
          <w:tcPr>
            <w:tcW w:w="800" w:type="dxa"/>
          </w:tcPr>
          <w:p w14:paraId="7387C95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275</w:t>
            </w:r>
          </w:p>
        </w:tc>
        <w:tc>
          <w:tcPr>
            <w:tcW w:w="800" w:type="dxa"/>
          </w:tcPr>
          <w:p w14:paraId="3B44DAE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297</w:t>
            </w:r>
          </w:p>
        </w:tc>
        <w:tc>
          <w:tcPr>
            <w:tcW w:w="800" w:type="dxa"/>
          </w:tcPr>
          <w:p w14:paraId="5B8F0CA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27203</w:t>
            </w:r>
          </w:p>
        </w:tc>
      </w:tr>
      <w:tr w:rsidR="00860B4B" w:rsidRPr="00D03F3E" w14:paraId="4DCF53B5" w14:textId="77777777">
        <w:tc>
          <w:tcPr>
            <w:tcW w:w="800" w:type="dxa"/>
          </w:tcPr>
          <w:p w14:paraId="18FC0FD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т.ч. с М-106</w:t>
            </w:r>
          </w:p>
        </w:tc>
        <w:tc>
          <w:tcPr>
            <w:tcW w:w="800" w:type="dxa"/>
          </w:tcPr>
          <w:p w14:paraId="18F9A80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tc>
        <w:tc>
          <w:tcPr>
            <w:tcW w:w="800" w:type="dxa"/>
          </w:tcPr>
          <w:p w14:paraId="3CB0732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w:t>
            </w:r>
          </w:p>
        </w:tc>
        <w:tc>
          <w:tcPr>
            <w:tcW w:w="800" w:type="dxa"/>
          </w:tcPr>
          <w:p w14:paraId="583E921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7378081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EDA9AD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03721C9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BBEBBF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F3D018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26FED3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AEB01C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4B144F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2FAF2E1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E870B7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35</w:t>
            </w:r>
          </w:p>
        </w:tc>
      </w:tr>
      <w:tr w:rsidR="00860B4B" w:rsidRPr="00D03F3E" w14:paraId="115374D2" w14:textId="77777777">
        <w:tc>
          <w:tcPr>
            <w:tcW w:w="800" w:type="dxa"/>
          </w:tcPr>
          <w:p w14:paraId="25CB164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Сдано готовых к бою</w:t>
            </w:r>
          </w:p>
        </w:tc>
        <w:tc>
          <w:tcPr>
            <w:tcW w:w="800" w:type="dxa"/>
          </w:tcPr>
          <w:p w14:paraId="7B218AB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182</w:t>
            </w:r>
          </w:p>
        </w:tc>
        <w:tc>
          <w:tcPr>
            <w:tcW w:w="800" w:type="dxa"/>
          </w:tcPr>
          <w:p w14:paraId="50D4474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237 +24</w:t>
            </w:r>
          </w:p>
        </w:tc>
        <w:tc>
          <w:tcPr>
            <w:tcW w:w="800" w:type="dxa"/>
          </w:tcPr>
          <w:p w14:paraId="7AC062A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390</w:t>
            </w:r>
          </w:p>
        </w:tc>
        <w:tc>
          <w:tcPr>
            <w:tcW w:w="800" w:type="dxa"/>
          </w:tcPr>
          <w:p w14:paraId="4195D9B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338</w:t>
            </w:r>
          </w:p>
        </w:tc>
        <w:tc>
          <w:tcPr>
            <w:tcW w:w="800" w:type="dxa"/>
          </w:tcPr>
          <w:p w14:paraId="2CCF1AA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271</w:t>
            </w:r>
          </w:p>
        </w:tc>
        <w:tc>
          <w:tcPr>
            <w:tcW w:w="800" w:type="dxa"/>
          </w:tcPr>
          <w:p w14:paraId="203F31B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221</w:t>
            </w:r>
          </w:p>
        </w:tc>
        <w:tc>
          <w:tcPr>
            <w:tcW w:w="800" w:type="dxa"/>
          </w:tcPr>
          <w:p w14:paraId="336335A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86</w:t>
            </w:r>
          </w:p>
        </w:tc>
        <w:tc>
          <w:tcPr>
            <w:tcW w:w="800" w:type="dxa"/>
          </w:tcPr>
          <w:p w14:paraId="000D873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c>
          <w:tcPr>
            <w:tcW w:w="800" w:type="dxa"/>
          </w:tcPr>
          <w:p w14:paraId="2209B42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233</w:t>
            </w:r>
          </w:p>
        </w:tc>
        <w:tc>
          <w:tcPr>
            <w:tcW w:w="800" w:type="dxa"/>
          </w:tcPr>
          <w:p w14:paraId="6952291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282</w:t>
            </w:r>
          </w:p>
        </w:tc>
        <w:tc>
          <w:tcPr>
            <w:tcW w:w="800" w:type="dxa"/>
          </w:tcPr>
          <w:p w14:paraId="0FFE6F4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230</w:t>
            </w:r>
          </w:p>
        </w:tc>
        <w:tc>
          <w:tcPr>
            <w:tcW w:w="800" w:type="dxa"/>
          </w:tcPr>
          <w:p w14:paraId="2EFFEB8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281</w:t>
            </w:r>
          </w:p>
        </w:tc>
        <w:tc>
          <w:tcPr>
            <w:tcW w:w="800" w:type="dxa"/>
          </w:tcPr>
          <w:p w14:paraId="2AFB9A1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2851 +24</w:t>
            </w:r>
          </w:p>
        </w:tc>
      </w:tr>
      <w:tr w:rsidR="00860B4B" w:rsidRPr="00D03F3E" w14:paraId="3F0CFF5E" w14:textId="77777777">
        <w:tc>
          <w:tcPr>
            <w:tcW w:w="800" w:type="dxa"/>
          </w:tcPr>
          <w:p w14:paraId="49B5578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Отправлено с завода</w:t>
            </w:r>
          </w:p>
        </w:tc>
        <w:tc>
          <w:tcPr>
            <w:tcW w:w="800" w:type="dxa"/>
          </w:tcPr>
          <w:p w14:paraId="4CECD66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203</w:t>
            </w:r>
          </w:p>
        </w:tc>
        <w:tc>
          <w:tcPr>
            <w:tcW w:w="800" w:type="dxa"/>
          </w:tcPr>
          <w:p w14:paraId="34EAE66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244</w:t>
            </w:r>
          </w:p>
        </w:tc>
        <w:tc>
          <w:tcPr>
            <w:tcW w:w="800" w:type="dxa"/>
          </w:tcPr>
          <w:p w14:paraId="32957F8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382</w:t>
            </w:r>
          </w:p>
        </w:tc>
        <w:tc>
          <w:tcPr>
            <w:tcW w:w="800" w:type="dxa"/>
          </w:tcPr>
          <w:p w14:paraId="2C49C81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345</w:t>
            </w:r>
          </w:p>
        </w:tc>
        <w:tc>
          <w:tcPr>
            <w:tcW w:w="800" w:type="dxa"/>
          </w:tcPr>
          <w:p w14:paraId="258DEBB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273</w:t>
            </w:r>
          </w:p>
        </w:tc>
        <w:tc>
          <w:tcPr>
            <w:tcW w:w="800" w:type="dxa"/>
          </w:tcPr>
          <w:p w14:paraId="5099227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2403</w:t>
            </w:r>
          </w:p>
        </w:tc>
        <w:tc>
          <w:tcPr>
            <w:tcW w:w="800" w:type="dxa"/>
          </w:tcPr>
          <w:p w14:paraId="1DCB747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86</w:t>
            </w:r>
          </w:p>
        </w:tc>
        <w:tc>
          <w:tcPr>
            <w:tcW w:w="800" w:type="dxa"/>
          </w:tcPr>
          <w:p w14:paraId="2140A9A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100</w:t>
            </w:r>
          </w:p>
        </w:tc>
        <w:tc>
          <w:tcPr>
            <w:tcW w:w="800" w:type="dxa"/>
          </w:tcPr>
          <w:p w14:paraId="48B9B8D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224</w:t>
            </w:r>
          </w:p>
        </w:tc>
        <w:tc>
          <w:tcPr>
            <w:tcW w:w="800" w:type="dxa"/>
          </w:tcPr>
          <w:p w14:paraId="17F436D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286</w:t>
            </w:r>
          </w:p>
        </w:tc>
        <w:tc>
          <w:tcPr>
            <w:tcW w:w="800" w:type="dxa"/>
          </w:tcPr>
          <w:p w14:paraId="0EE9AFA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200</w:t>
            </w:r>
          </w:p>
        </w:tc>
        <w:tc>
          <w:tcPr>
            <w:tcW w:w="800" w:type="dxa"/>
          </w:tcPr>
          <w:p w14:paraId="36054F3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316</w:t>
            </w:r>
          </w:p>
        </w:tc>
        <w:tc>
          <w:tcPr>
            <w:tcW w:w="800" w:type="dxa"/>
          </w:tcPr>
          <w:p w14:paraId="04BC18B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2899</w:t>
            </w:r>
          </w:p>
        </w:tc>
      </w:tr>
      <w:tr w:rsidR="00860B4B" w:rsidRPr="00D03F3E" w14:paraId="168E56F5" w14:textId="77777777">
        <w:tc>
          <w:tcPr>
            <w:tcW w:w="800" w:type="dxa"/>
          </w:tcPr>
          <w:p w14:paraId="70AD9FA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т.ч. УА </w:t>
            </w:r>
            <w:r w:rsidRPr="00D03F3E">
              <w:rPr>
                <w:rFonts w:ascii="Times New Roman" w:hAnsi="Times New Roman"/>
                <w:color w:val="000000" w:themeColor="text1"/>
                <w:sz w:val="16"/>
                <w:szCs w:val="16"/>
              </w:rPr>
              <w:lastRenderedPageBreak/>
              <w:t>ВМФ</w:t>
            </w:r>
          </w:p>
        </w:tc>
        <w:tc>
          <w:tcPr>
            <w:tcW w:w="800" w:type="dxa"/>
          </w:tcPr>
          <w:p w14:paraId="4FD28FB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2</w:t>
            </w:r>
          </w:p>
        </w:tc>
        <w:tc>
          <w:tcPr>
            <w:tcW w:w="800" w:type="dxa"/>
          </w:tcPr>
          <w:p w14:paraId="5BE0A61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w:t>
            </w:r>
          </w:p>
        </w:tc>
        <w:tc>
          <w:tcPr>
            <w:tcW w:w="800" w:type="dxa"/>
          </w:tcPr>
          <w:p w14:paraId="545194A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w:t>
            </w:r>
          </w:p>
        </w:tc>
        <w:tc>
          <w:tcPr>
            <w:tcW w:w="800" w:type="dxa"/>
          </w:tcPr>
          <w:p w14:paraId="58C1B18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w:t>
            </w:r>
          </w:p>
        </w:tc>
        <w:tc>
          <w:tcPr>
            <w:tcW w:w="800" w:type="dxa"/>
          </w:tcPr>
          <w:p w14:paraId="19C3509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62</w:t>
            </w:r>
          </w:p>
        </w:tc>
        <w:tc>
          <w:tcPr>
            <w:tcW w:w="800" w:type="dxa"/>
          </w:tcPr>
          <w:p w14:paraId="74F8A46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tc>
        <w:tc>
          <w:tcPr>
            <w:tcW w:w="800" w:type="dxa"/>
          </w:tcPr>
          <w:p w14:paraId="01C8BA1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0C9721A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CF3BB3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D624E3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F5F80B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DDAB24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9F5D23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124</w:t>
            </w:r>
          </w:p>
        </w:tc>
      </w:tr>
      <w:tr w:rsidR="00860B4B" w:rsidRPr="00D03F3E" w14:paraId="7CC880A1" w14:textId="77777777">
        <w:tc>
          <w:tcPr>
            <w:tcW w:w="800" w:type="dxa"/>
            <w:tcBorders>
              <w:bottom w:val="single" w:sz="12" w:space="0" w:color="auto"/>
            </w:tcBorders>
          </w:tcPr>
          <w:p w14:paraId="6DAAB9B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Осталось на заводе</w:t>
            </w:r>
          </w:p>
        </w:tc>
        <w:tc>
          <w:tcPr>
            <w:tcW w:w="800" w:type="dxa"/>
            <w:tcBorders>
              <w:bottom w:val="single" w:sz="12" w:space="0" w:color="auto"/>
            </w:tcBorders>
          </w:tcPr>
          <w:p w14:paraId="49A36A9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299</w:t>
            </w:r>
          </w:p>
        </w:tc>
        <w:tc>
          <w:tcPr>
            <w:tcW w:w="800" w:type="dxa"/>
            <w:tcBorders>
              <w:bottom w:val="single" w:sz="12" w:space="0" w:color="auto"/>
            </w:tcBorders>
          </w:tcPr>
          <w:p w14:paraId="1D3DC74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259</w:t>
            </w:r>
          </w:p>
        </w:tc>
        <w:tc>
          <w:tcPr>
            <w:tcW w:w="800" w:type="dxa"/>
            <w:tcBorders>
              <w:bottom w:val="single" w:sz="12" w:space="0" w:color="auto"/>
            </w:tcBorders>
          </w:tcPr>
          <w:p w14:paraId="6613ACA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154</w:t>
            </w:r>
          </w:p>
        </w:tc>
        <w:tc>
          <w:tcPr>
            <w:tcW w:w="800" w:type="dxa"/>
            <w:tcBorders>
              <w:bottom w:val="single" w:sz="12" w:space="0" w:color="auto"/>
            </w:tcBorders>
          </w:tcPr>
          <w:p w14:paraId="1BD2D6F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86</w:t>
            </w:r>
          </w:p>
        </w:tc>
        <w:tc>
          <w:tcPr>
            <w:tcW w:w="800" w:type="dxa"/>
            <w:tcBorders>
              <w:bottom w:val="single" w:sz="12" w:space="0" w:color="auto"/>
            </w:tcBorders>
          </w:tcPr>
          <w:p w14:paraId="028E5F5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99</w:t>
            </w:r>
          </w:p>
        </w:tc>
        <w:tc>
          <w:tcPr>
            <w:tcW w:w="800" w:type="dxa"/>
            <w:tcBorders>
              <w:bottom w:val="single" w:sz="12" w:space="0" w:color="auto"/>
            </w:tcBorders>
          </w:tcPr>
          <w:p w14:paraId="2AED0FC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32</w:t>
            </w:r>
          </w:p>
        </w:tc>
        <w:tc>
          <w:tcPr>
            <w:tcW w:w="800" w:type="dxa"/>
            <w:tcBorders>
              <w:bottom w:val="single" w:sz="12" w:space="0" w:color="auto"/>
            </w:tcBorders>
          </w:tcPr>
          <w:p w14:paraId="638350C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w:t>
            </w:r>
          </w:p>
        </w:tc>
        <w:tc>
          <w:tcPr>
            <w:tcW w:w="800" w:type="dxa"/>
            <w:tcBorders>
              <w:bottom w:val="single" w:sz="12" w:space="0" w:color="auto"/>
            </w:tcBorders>
          </w:tcPr>
          <w:p w14:paraId="3FC00E4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w:t>
            </w:r>
          </w:p>
        </w:tc>
        <w:tc>
          <w:tcPr>
            <w:tcW w:w="800" w:type="dxa"/>
            <w:tcBorders>
              <w:bottom w:val="single" w:sz="12" w:space="0" w:color="auto"/>
            </w:tcBorders>
          </w:tcPr>
          <w:p w14:paraId="45F0CE6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w:t>
            </w:r>
          </w:p>
        </w:tc>
        <w:tc>
          <w:tcPr>
            <w:tcW w:w="800" w:type="dxa"/>
            <w:tcBorders>
              <w:bottom w:val="single" w:sz="12" w:space="0" w:color="auto"/>
            </w:tcBorders>
          </w:tcPr>
          <w:p w14:paraId="422A1A2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33</w:t>
            </w:r>
          </w:p>
        </w:tc>
        <w:tc>
          <w:tcPr>
            <w:tcW w:w="800" w:type="dxa"/>
            <w:tcBorders>
              <w:bottom w:val="single" w:sz="12" w:space="0" w:color="auto"/>
            </w:tcBorders>
          </w:tcPr>
          <w:p w14:paraId="64395B5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108</w:t>
            </w:r>
          </w:p>
        </w:tc>
        <w:tc>
          <w:tcPr>
            <w:tcW w:w="800" w:type="dxa"/>
            <w:tcBorders>
              <w:bottom w:val="single" w:sz="12" w:space="0" w:color="auto"/>
            </w:tcBorders>
          </w:tcPr>
          <w:p w14:paraId="07724CB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89</w:t>
            </w:r>
          </w:p>
        </w:tc>
        <w:tc>
          <w:tcPr>
            <w:tcW w:w="800" w:type="dxa"/>
            <w:tcBorders>
              <w:bottom w:val="single" w:sz="12" w:space="0" w:color="auto"/>
            </w:tcBorders>
          </w:tcPr>
          <w:p w14:paraId="46F6954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w:t>
            </w:r>
          </w:p>
        </w:tc>
      </w:tr>
    </w:tbl>
    <w:p w14:paraId="32FB8C2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План скорректирован постановлением ГКО от 6 марта I943 г.</w:t>
      </w:r>
    </w:p>
    <w:p w14:paraId="773CDB7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Фактически в апреле выпушено 310 самолетов, из которых 33 были записаны в счет выполнения майского плана.</w:t>
      </w:r>
    </w:p>
    <w:p w14:paraId="74BCEEA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В том числе шесть самолетов, сгоревших при бомбежке.</w:t>
      </w:r>
    </w:p>
    <w:p w14:paraId="0F1D396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Два готовых к бою для А.С. Яковлева (12048).</w:t>
      </w:r>
    </w:p>
    <w:p w14:paraId="6F2F835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CFCFBF"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B618C2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4AB619"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июня 1943 вышло Распоряжение ГКО № 3658 [Об утверждении графика подъема затонувших судов на июнь-декабрь 1943 г. на Волге, Дону и Кубани.] (7118, 50,51-56).</w:t>
      </w:r>
    </w:p>
    <w:p w14:paraId="35388F36"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DAD1F3"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июня 1943 вышло Распоряжение ГКО № 3659 [Об остановке на ремонт Березниковской ТЭЦ НКЭС с 4 по 10 июля 1943 г.] (7118, 57).</w:t>
      </w:r>
    </w:p>
    <w:p w14:paraId="46B52E1F"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B722BF"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1FBCB7C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E41914"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29 июня</w:t>
      </w:r>
      <w:r w:rsidRPr="00D03F3E">
        <w:rPr>
          <w:rFonts w:ascii="Times New Roman" w:hAnsi="Times New Roman"/>
          <w:color w:val="000000" w:themeColor="text1"/>
          <w:sz w:val="16"/>
          <w:szCs w:val="16"/>
        </w:rPr>
        <w:t xml:space="preserve"> в 1943 году утреннее сообщение Совинформбюро:</w:t>
      </w:r>
    </w:p>
    <w:p w14:paraId="3AA2D36E"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29 июня на фронте ничего существенного не произошло.</w:t>
      </w:r>
    </w:p>
    <w:p w14:paraId="13960186"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отдельных участках Западного фронта небольшие группы нашей пехоты вели разведывательные поиски. Разведчиками уничтожено до 200 солдат противника и захвачены пленные.</w:t>
      </w:r>
    </w:p>
    <w:p w14:paraId="7CC52DFE"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над позициями Н-ской части появилось 5 немецких самолётов. Навстречу им поднялись советские истребители. В завязавшемся воздушном бою младший лейтенант Куштурный увлёк за собой два «Мессершмитта» и, умело маневрируя, сбил один немецкий самолёт. Вторую вражескую машину уничтожил младший лейтенант Бишко. Молодой лётчик сержант Шапкин в упорном бою сбил третий самолёт противника. Два остальных немецких самолёта уклонились от боя.</w:t>
      </w:r>
    </w:p>
    <w:p w14:paraId="338271F2"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Сум советские подразделения отразили попытки разведывательных групп противника проникнуть в расположение советских частей. На одном участке наши разведчики выяснили, что курган, занятый врагом, обороняют взвод немецкой пехоты и автоматчики. Дальнейшим наблюдением было установлено, что в определённый час немцы уходят обедать, оставляя на кургане лишь боевое охранение. Когда гитлеровцы ушли обедать, гвардии младший лейтенант Зырянов и красноармеец Обухов ворвались в немецкую траншею, уничтожили боевое охранение противника и, захвативв плен немецкого ефрейтора, благополучно вернулись в свою часть.</w:t>
      </w:r>
    </w:p>
    <w:p w14:paraId="2E5A1061"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разведывательный отряд противника выдвинулся в нейтральную зону и стал вести наблюдение. Наши бойцы под командованием тов. Архипова отрезали вражеским разведчикам путь отхода и в завязавшемся бою убили 11 немецких солдат и лейтенанта. Два немецких обер-ефрейтора и несколько солдат захвачены в плен.</w:t>
      </w:r>
    </w:p>
    <w:p w14:paraId="50332D4F"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«Батько Боженко», действующий в одном из районов Житомирской области, подорвал на минах немецкий воинский эшелон. Уничтожены паровоз и 8 вагонов с немецкими солдатами. Наблюдением установлено, что из-под обломков вагонов немцы извлекли 60 убитых и тяжело раненных солдат и офицеров.</w:t>
      </w:r>
    </w:p>
    <w:p w14:paraId="565E01E5"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из участков Ленинградского фронта на сторону Красной Армии перешёл солдат 220 немецкого пехотного полка Иозеф Л. Он сообщил: «Немецкие газеты стараются всячески умалить значение налётов английской и американской авиации на промышленные центры Германии. Обычно после каждой бомбардировки газеты пишут, что бомбы разрушили лишь больницы, театры, а промышленность не пострадала и продолжает работать без перебоев. Все же понимают, что это ложь. Солдат нашей роты Карл получил письмо от жены из Дортмунда, в котором говорится: «Город на 60—70 процентов разрушен. Среди жителей царит паника. Мы бы давно убежали куда глаза глядят, но без разрешения нельзя выехать». Солдат Рудольф показывал мне письмо от невесты. Она писала ему: «Если солдаты не вернутся скоро на родину, то они рискуют застать одни развалины. Когда это всё кончится? Когда вы вернётесь из России? Вероятно, тогда, когда никого из нас не останется в живых».</w:t>
      </w:r>
    </w:p>
    <w:p w14:paraId="6F7B91FE"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Ниже публикуется акт о кровавых злодеяниях немецких захватчиков в деревнеКлины, Смоленской области:</w:t>
      </w:r>
    </w:p>
    <w:p w14:paraId="729CBB60"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«Мы, нижеподписавшиеся, составили акт о следующем. На опушке леса, околодеревни Клины, нами обнаружены трупы шести девушек и трёх пожилых мужчин, замученных немцами. У одной девушки мы нашли записку следующего содержания: «Дорогие товарищи, нас насильно угоняют на каторжные работы. Мы не поедем в Германию. Лучше умрём на родной земле, но с неё не сойдём. Нина Кудряшёва, 1927 года рождения, Свиты, Смоленской области». За околицей деревни в яме найдено два трупа подростков с обрывками верёвки на шее». Акт подписали: бойцы Н-ской части Бачинский Б., Шоферова М., колхозницы села Клины Александрова С. и Александрова А.</w:t>
      </w:r>
    </w:p>
    <w:p w14:paraId="01CD46B1"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Греческие партизаны взорвали туннель и железнодорожный мост в Фессалии. В другом районе патриоты пустили под откос воинский эшелон противника. Под обломками вагонов погибло несколько десятков немецких оккупантов.» (14937).</w:t>
      </w:r>
    </w:p>
    <w:p w14:paraId="3B1DAEAC" w14:textId="77777777" w:rsidR="003017FB" w:rsidRPr="00D03F3E" w:rsidRDefault="003017FB" w:rsidP="00D03F3E">
      <w:pPr>
        <w:spacing w:after="0" w:line="240" w:lineRule="auto"/>
        <w:jc w:val="both"/>
        <w:rPr>
          <w:rFonts w:ascii="Times New Roman" w:hAnsi="Times New Roman"/>
          <w:color w:val="000000" w:themeColor="text1"/>
          <w:sz w:val="16"/>
          <w:szCs w:val="16"/>
        </w:rPr>
      </w:pPr>
    </w:p>
    <w:p w14:paraId="7CC2C311"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29 июня</w:t>
      </w:r>
      <w:r w:rsidRPr="00D03F3E">
        <w:rPr>
          <w:rFonts w:ascii="Times New Roman" w:hAnsi="Times New Roman"/>
          <w:color w:val="000000" w:themeColor="text1"/>
          <w:sz w:val="16"/>
          <w:szCs w:val="16"/>
        </w:rPr>
        <w:t xml:space="preserve"> в 1943 году вечернее сообщение Совинформбюро:</w:t>
      </w:r>
    </w:p>
    <w:p w14:paraId="56C25810"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29 июня на фронте никаких изменений не произошло.</w:t>
      </w:r>
    </w:p>
    <w:p w14:paraId="78B9456F"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происходила редкая перестрелка. Наши части уничтожили до роты немцев и подавили огонь нескольких артиллерийских и миномётных батарей противника. На одном участке отряд гитлеровцев пытался разведать передний край нашей обороны. Бойцы Н-ского подразделения подпустили противника на близкое расстояние и открыли пулемётный и залповый ружейный огонь. Немцы в беспорядке отступили, оставив перед проволочными заграждениями несколько десятков убитых и раненых солдат.</w:t>
      </w:r>
    </w:p>
    <w:p w14:paraId="76A9BB8A"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Севска наши артиллеристы обстреляли железнодорожный эшелон с войсками противника. Прямым попаданием снарядов разбито несколько вагонов. Группа наших разведчиков, под командованием младшего лейтенанта Короля, пробралась в ходы сообщения противника. Разведчики уничтожили до 20 гитлеровцеви благополучно вернулись в свою часть.</w:t>
      </w:r>
    </w:p>
    <w:p w14:paraId="688CA606"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снайпер т. Конкин за три дня истребил 8 гитлеровцев, снайпер т. Фатулаев — 4, гвардии красноармеец Александр Горячев за несколько дней убил 13 немцев.</w:t>
      </w:r>
    </w:p>
    <w:p w14:paraId="76CA2EFC"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наши подразделения вели разведку и огневой бой спротивником. На одном участке лейтенант Уаисов разведал месторасположение немецкой миномётной батареи. Лейтенант выкатил орудия на заранее подготовленные позиции и прямой наводкой уничтожил вражескую миномётную батарею вместе с прислугой.</w:t>
      </w:r>
    </w:p>
    <w:p w14:paraId="45796E96"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Волховском фронте происходила редкая перестрелка. Наши артиллеристы и миномётчики разрушили 3 немецких дзота, уничтожили 2 пулемёта, 6 автомашин с грузом и рассеяли несколько групп немцев, пытавшихся приблизиться к передней линии обороны. Разведывательный отряд Н-ской части ворвался в траншеи противника. В короткой схватке наши бойцы уничтожили унтер-офицера и нескольких немецких солдат.</w:t>
      </w:r>
    </w:p>
    <w:p w14:paraId="5E943FD7"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действующий в одном из районов Украины, напал на немецких солдат, охранявших три моста на шоссейной дороге. Партизаны истребили гитлеровцев, сожгли мосты и захватили пулемёт, 30 винтовок, 60 гранат и 2 тысячи патронов. Через два дня партизаны этого же отряда подорвали на минах немецкую автомашину. Убито 3 офицера из эсэсовского карательного отряда.</w:t>
      </w:r>
    </w:p>
    <w:p w14:paraId="786202A7"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солдат 1 немецкой пехотной дивизии Генрих Р. рассказал: «Рота, в которой я служил, напоминала мне инвалидную команду, а не боевое подразделение. Каждый второй солдат имеет ранения. Некоторые еще не оправились от ран. В мае рота получила пополнение. Среди прибывших оказалось 10 человек с серьёзными физическими недостатками. Пополнение плохо обучено военному делу. Многие не умеют обращаться с пулемётами. За две недели рота потеряла от огня советской артиллерии и снайперов 40 солдат убитыми».</w:t>
      </w:r>
    </w:p>
    <w:p w14:paraId="630CC1EB"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Патриоты, бежавшие из Норвегии, сообщили о тяжёлых и невыносимых условиях, вкоторых находятся красноармейцы, попавшие в плен к немцам. Русских военнопленных немцы заставили работать на строительстве укреплений возле города Киркенеса в Северной Норвегии. В лохмотьях от оставшейся одежды военнопленные работали зимой во время самых суровых морозов. Гитлеровцы морят пленных голодом. За тяжёлый труд в течение дня им выдают всего лишь по 150 граммов хлеба. От голода, холода, болезней и зверского обращения со стороны немцев пленные буквально вымирают. Русских расстреливают по самым незначительным предлогам. Тела умерших и расстрелянных сваливались у бараков, в которых живут военнопленные.</w:t>
      </w:r>
    </w:p>
    <w:p w14:paraId="7B783AF2"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Геллебеке (Дания) вооружённая группа датских патриотов проникла на ткацкую фабрику, работавшую на немцев. Патриоты подожгли фабричные корпуса и склады с запасами сырья. Пожар причинил оккупантам большой ущерб.» (14937).</w:t>
      </w:r>
    </w:p>
    <w:p w14:paraId="4E7A494E" w14:textId="77777777" w:rsidR="003017FB" w:rsidRPr="00D03F3E" w:rsidRDefault="003017FB" w:rsidP="00D03F3E">
      <w:pPr>
        <w:spacing w:after="0" w:line="240" w:lineRule="auto"/>
        <w:jc w:val="both"/>
        <w:rPr>
          <w:rFonts w:ascii="Times New Roman" w:hAnsi="Times New Roman"/>
          <w:color w:val="000000" w:themeColor="text1"/>
          <w:sz w:val="16"/>
          <w:szCs w:val="16"/>
        </w:rPr>
      </w:pPr>
    </w:p>
    <w:p w14:paraId="29133278" w14:textId="77777777" w:rsidR="008872C3" w:rsidRPr="00D03F3E" w:rsidRDefault="008872C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29 ИЮНЯ 1943 г.</w:t>
      </w:r>
    </w:p>
    <w:p w14:paraId="6083FB4F" w14:textId="77777777" w:rsidR="008872C3" w:rsidRPr="00D03F3E" w:rsidRDefault="008872C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ПРИКАЗ ВВС КРАСНОЙ АРМИИ № 0131 ОТ 29 ИЮНЯ 1943 г. О НЕПРАВИЛЬНОМ РАСХОДОВАНИИ ФУГАСНЫХ АВИАЦИОННЫХ БОМБ</w:t>
      </w:r>
    </w:p>
    <w:p w14:paraId="424CFE1C" w14:textId="77777777" w:rsidR="008872C3" w:rsidRPr="00D03F3E" w:rsidRDefault="008872C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Секретно</w:t>
      </w:r>
    </w:p>
    <w:p w14:paraId="1EBD4E0B" w14:textId="77777777" w:rsidR="008872C3" w:rsidRPr="00D03F3E" w:rsidRDefault="008872C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ПРИКАЗ ВОЕННО-ВОЗДУШНЫМ СИЛАМ КРАСНОЙ АРМИИ</w:t>
      </w:r>
    </w:p>
    <w:p w14:paraId="5F67B59D" w14:textId="77777777" w:rsidR="008872C3" w:rsidRPr="00D03F3E" w:rsidRDefault="008872C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29 июня 1943 г.</w:t>
      </w:r>
      <w:r w:rsidRPr="00D03F3E">
        <w:rPr>
          <w:rFonts w:ascii="Times New Roman" w:hAnsi="Times New Roman"/>
          <w:color w:val="0070C0"/>
          <w:sz w:val="16"/>
          <w:szCs w:val="16"/>
        </w:rPr>
        <w:tab/>
        <w:t>№ 0131</w:t>
      </w:r>
      <w:r w:rsidRPr="00D03F3E">
        <w:rPr>
          <w:rFonts w:ascii="Times New Roman" w:hAnsi="Times New Roman"/>
          <w:color w:val="0070C0"/>
          <w:sz w:val="16"/>
          <w:szCs w:val="16"/>
        </w:rPr>
        <w:tab/>
        <w:t>г. Москва</w:t>
      </w:r>
    </w:p>
    <w:p w14:paraId="28AF3C07" w14:textId="77777777" w:rsidR="008872C3" w:rsidRPr="00D03F3E" w:rsidRDefault="008872C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[СОДЕРЖАНИЕ]; О неправильном расходовании фугасных авиационных бомб.</w:t>
      </w:r>
    </w:p>
    <w:p w14:paraId="659E92E9" w14:textId="77777777" w:rsidR="008872C3" w:rsidRPr="00D03F3E" w:rsidRDefault="008872C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Несмотря на ряд указаний о необходимости применять авиационные бомбы, исходя из оценки целей, до настоящего времени все же продолжает отмечаться массовый расход фугасных бомб.</w:t>
      </w:r>
    </w:p>
    <w:p w14:paraId="0F76E198" w14:textId="77777777" w:rsidR="008872C3" w:rsidRPr="00D03F3E" w:rsidRDefault="008872C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Ряд командиров, невзирая на малую эффективность фугасных бомб при действии по легко уязвимым целям (живая сила, самолеты и др.), все же продолжают расходовать фугасные бомбы, руководствуясь нецелесообразностью их использования, а главным образом легкостью их снаряжения и подвески на самолет. Особенно много расходуется ФАБ-100. Эта бомба расходуется даже по таким целям, которые с гораздо большим успехом поражаются мелкими осколочными бомбами.</w:t>
      </w:r>
    </w:p>
    <w:p w14:paraId="5EB93BBD" w14:textId="77777777" w:rsidR="008872C3" w:rsidRPr="00D03F3E" w:rsidRDefault="008872C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ПРИКАЗЫВАЮ:</w:t>
      </w:r>
    </w:p>
    <w:p w14:paraId="0335B25B" w14:textId="77777777" w:rsidR="008872C3" w:rsidRPr="00D03F3E" w:rsidRDefault="008872C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1. При выборе средств поражения строго руководствоваться и выполнять «Руководство по боевому применению бомб и взрывателей и бомбардировочным расчетам», изд. 1942 г.</w:t>
      </w:r>
    </w:p>
    <w:p w14:paraId="3E0807BA" w14:textId="77777777" w:rsidR="008872C3" w:rsidRPr="00D03F3E" w:rsidRDefault="008872C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2. Командующим воздушными армиями, командирам авиационных корпусов и авиационных дивизий следить за соответствием бомбовой зарядки целям и не допускать применения фугасных бомб по тем объектам, которые могут быть поражены осколочными бомбами.</w:t>
      </w:r>
    </w:p>
    <w:p w14:paraId="551D4D07" w14:textId="77777777" w:rsidR="008872C3" w:rsidRPr="00D03F3E" w:rsidRDefault="008872C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 Начальнику оперативного управления штаба Военно-воздушных сил Красной Армии ежедневно анализировать соответствие израсходованных бомб характеру целей, по которым действовала авиация, и о всех случаях нарушения настоящего приказа докладывать мне лично.</w:t>
      </w:r>
    </w:p>
    <w:p w14:paraId="6020E9F2" w14:textId="77777777" w:rsidR="008872C3" w:rsidRPr="00D03F3E" w:rsidRDefault="008872C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4. Моим заместителям и генерал-инспектору Военно-воздушных сил Красной Армии каждый раз во время пребывания на фронтах проверять выполнение настоящего приказа.</w:t>
      </w:r>
    </w:p>
    <w:p w14:paraId="69BBD209" w14:textId="77777777" w:rsidR="008872C3" w:rsidRPr="00D03F3E" w:rsidRDefault="008872C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Командующий Военно-воздушными силами Красной Армии Маршал авиации НОВИКОВ</w:t>
      </w:r>
    </w:p>
    <w:p w14:paraId="65759D67" w14:textId="77777777" w:rsidR="008872C3" w:rsidRPr="00D03F3E" w:rsidRDefault="008872C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Член Военного совет Военно-воздушных сил Красной Армии генерал-лейтенант авиации ШИМАНОВ</w:t>
      </w:r>
    </w:p>
    <w:p w14:paraId="6C24551A" w14:textId="77777777" w:rsidR="008872C3" w:rsidRPr="00D03F3E" w:rsidRDefault="008872C3"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Временно исполняющий должность начальника штаба Военно-воздушных сил Красной Армии генерал-лейтенант авиации КРОЛЕНКО (20699).</w:t>
      </w:r>
    </w:p>
    <w:p w14:paraId="48E1BABC" w14:textId="77777777" w:rsidR="008872C3" w:rsidRPr="00D03F3E" w:rsidRDefault="008872C3" w:rsidP="00D03F3E">
      <w:pPr>
        <w:spacing w:after="0" w:line="240" w:lineRule="auto"/>
        <w:jc w:val="both"/>
        <w:rPr>
          <w:rFonts w:ascii="Times New Roman" w:hAnsi="Times New Roman"/>
          <w:color w:val="0070C0"/>
          <w:sz w:val="16"/>
          <w:szCs w:val="16"/>
        </w:rPr>
      </w:pPr>
    </w:p>
    <w:p w14:paraId="445B04AF"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29 июня</w:t>
      </w:r>
      <w:r w:rsidRPr="00D03F3E">
        <w:rPr>
          <w:rFonts w:ascii="Times New Roman" w:hAnsi="Times New Roman"/>
          <w:color w:val="000000" w:themeColor="text1"/>
          <w:sz w:val="16"/>
          <w:szCs w:val="16"/>
        </w:rPr>
        <w:t xml:space="preserve"> в 1943 году ГКО принял постановление «Вопросы противовоздушной обороны территории страны». Войска ПВО территории страны к 10 июля 1943 г. были разделены на вновь сформированные два фронта ПВО: Западный (генерал-лейтенант М.С.Громадин) и Восточный (генерал-лейтенант артиллерии Г.С.Зашихин). Московский фронт ПВО преобразован в Особую Московскую армию ПВО в составе Западного фронта ПВО. Координация и контроль за деятельностью фронтов ПВО, зон ПВО, планирование вооружения ПВО, руководство военно-учебными заведениями и подготовкой кадров противовоздушной обороны возлагались на командующего артиллерией Красной Армии маршала артиллерии Н.Н.Воронова (14937).</w:t>
      </w:r>
    </w:p>
    <w:p w14:paraId="72CF951F" w14:textId="77777777" w:rsidR="003017FB" w:rsidRPr="00D03F3E" w:rsidRDefault="003017FB" w:rsidP="00D03F3E">
      <w:pPr>
        <w:spacing w:after="0" w:line="240" w:lineRule="auto"/>
        <w:jc w:val="both"/>
        <w:rPr>
          <w:rFonts w:ascii="Times New Roman" w:hAnsi="Times New Roman"/>
          <w:color w:val="000000" w:themeColor="text1"/>
          <w:sz w:val="16"/>
          <w:szCs w:val="16"/>
        </w:rPr>
      </w:pPr>
    </w:p>
    <w:p w14:paraId="2098C784"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июня 1943 вышло Постановление ГКО № 3660 [О реорганизации системы ПВО и создании Зап. и Вост. фронтов ПВО.] (7118, 58-62,63-73).</w:t>
      </w:r>
    </w:p>
    <w:p w14:paraId="202AD32B"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F3E5A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июня 1943 ГКО обсудил вопросы ПВО и принял постановление. Войска ПВО к 10 июля 1943 разделили на 2Ф ПВО: ЗФ (М.С.Громадин) и ВФ (Г.С.Зашихин). Московский фронт ПВО преобразовали в Московскую армию ПВО в составе ЗФ ПВО. Контролировал все ком. артиллерией Н.Н.Воронов (3398,226).</w:t>
      </w:r>
    </w:p>
    <w:p w14:paraId="18BDE0A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604E3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июня 1943 года Постановлением ГКО Управление командующего войсками ПВО территории страны было упразднено. Созданы Западный и Восточный фронты ПВО. На Западный фронт возложена оборона Москвы, Московского промышленного района, Мурманска, Ярославского промышленного района, прифронтовых объектов и коммуникаций. В состав фронта вошли Особая Московская армия, 11 корпусных и дивизионных районов ПВО и 14 соединений истребительной авиации ПВО. На Восточный фронт возложена задача прикрытия объектов Урала, Поволжья, Кавказа и Закавказья. В состав фронта вошли Закавказская зона ПВО, 7 корпусных и дивизионных районов, 8 соединений истребительной авиации ПВО. Дальневосточная, Забайкальская и Среднеазиатские зоны переданы в подчинение военных советов округов. Ленинградская армия ПВО и Ладожский дивизионный район оставались в подчинении военного совета Ленинградского фронта. Контроль над действием фронтов и зон ПВО, координация их деятельности возложены на командующего артиллерией Красной Армии. При нем создан центральный штаб войск ПВО (10109).</w:t>
      </w:r>
    </w:p>
    <w:p w14:paraId="54A5953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5ADEE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 июня 1943 ГКО принял постановление № З660сс «О мерах по улучшению управления войсками ПВО».</w:t>
      </w:r>
    </w:p>
    <w:p w14:paraId="0C27634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июне 1943 г. система противовоздушной обороны страны прошла еще один серьезный экзамен, который снова не выдержала. Возникла необходимость своевременного наращивания системы ПВО на театрах военных действий в ходе наступления. Требовалось более тесное взаимодействие войск противовоздушной обороны страны с ПВО сухопутных войск. Наконец-то Верховному командованию в лице Сталина стало понятно, что нельзя ослаблять оборону крупных промышленных центров в глубине страны. Налеты германской авиации на города Поволжья показали, что немцы еще способны наносить массированные удары по тыловым объектам. Между тем практика свидетельствовала, что командованию войск ПВО страны и его штабу, осуществлявшему непосредственное руководство большим количеством соединений, стало сложно обеспечить эффективное управление своими силами. Уделяя большое внимание прикрытию прифронтовой полосы и защите столицы, они не имели возможности организовать четкое руководство войсками, оборонявшими тыловые районы. Это ослабило внимание к их боеготовности, а также привело к самоуспокоенности отдельных командиров, которые действовали в духе старой русской пословицы: «Пока гром не грянет, мужик не перекрестится». Вся эта расхлябанность весьма отрицательно сказалась во время отражения налетов Люфтваффе на города Поволжья в июне 1943 г. Было необходимо приблизить органы управления к войскам. В военных кругах возникло мнение, что новые условия требовали создания новых форм управления войсками ПВО. Вместо того чтобы усилить руководство и штаб противовоздушной обороны, несколько изменить структуру системы управления, не лишая при этом войска ПВО управления из единого центра, был сделан не очень продуманный шаг, как всегда, «из лучших побуждений». </w:t>
      </w:r>
    </w:p>
    <w:p w14:paraId="5E173B6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Суть постановления состояла в создании двух фронтов ПВО: Западного, со штабом в Москве, и Восточного, со штабом в Куйбышеве. Первый возглавил генерал-лейтенант М. С. Громадин, второй – генерал-лейтенант Г. С. Зашихин. Граница между фронтами прошла с севера на юг по линии Архангельск – Кострома – Краснодар.</w:t>
      </w:r>
    </w:p>
    <w:p w14:paraId="3C4FD91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Западный фронт ПВО должен был прикрывать Москву, Московский и Ярославский промышленный районы, Мурманск, а также прифронтовые объекты и коммуникации действующей армии. В его состав вошла и Московская армия ПВО, которая вышеуказанным постановлением была создана на базе бывшего Московского фронта ПВО. Авиация расформированного фронта была сведена в 1-ю воздушную армию ПВО в составе четырех авиадивизий под командованием генерал-майора А. В. Бормана [187] . Всего в Западный фронт ПВО вошли 11 корпусных и дивизионных районов, а также 14 авиадивизий. Восточному фронту ПВО, в состав которого вошли Закавказская зона ПВО, семь корпусных и дивизионных районов и восемь авиадивизий, была поручена оборона важных объектов Урала, Среднего и Нижнего Поволжья, Кавказа и Закавказья.</w:t>
      </w:r>
    </w:p>
    <w:p w14:paraId="5E48BB1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замыслу руководства, разделение войск ПВО на два фронта должно было облегчить управление войсками и позволить более успешно решать задачи оперативного характера, планировать по единому плану в масштабе фронта ПВО защиту важнейших объектов и районов страны, а также коммуникаций действующей армии.</w:t>
      </w:r>
    </w:p>
    <w:p w14:paraId="273E833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Вскоре было расформировано Главное управление командующего войсками ПВО. Контроль за действиями войск противовоздушной обороны, комплектованием войск рядовым и начальствующим составом, боевой техникой и вооружением был возложен на командование артиллерии Красной Армии, при котором были сформированы Центральный штаб ПВО, Центральный штаб ИА ПВО, управление боевой подготовки, Главная инспекция ПВО и Центральный пост ВНОС.</w:t>
      </w:r>
    </w:p>
    <w:p w14:paraId="243C228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Вся эта болезненная ломка аппарата управления была произведена в разгар боевых действий! Передача войск противовоздушной обороны под крыло командующего артиллерией РККА оказалась совершенно неожиданной для Н. Н. Воронова, занимавшего этот пост. Потом он вспоминал, что о расширении круга своих обязанностей узнал из телефонного разговора со Сталиным. Верховный совершенно безапелляционно заявил своему главному пушкарю:  «Ставка приняла решение подчинить вам ПВО страны. Заместителем будет Громадин. Вам ясно? Вопросов нет? Вот и хорошо!» Никаких вопросов у крайне удивленного Воронова просто еще не успело возникнуть, т.к. решение Ставки было принято без его вызова и предварительных переговоров. Видимо, Сталин не забыл, что Воронов в 1941 г. в течение короткого времени уже занимал вышеуказанную должность, да и фигура его, как опытного военного руководителя, выполнившего многие ответственные поручения Ставки, была намного более масштабной и весомой, чем у Громадина. Конечно, Воронов предполагал, что успешные немецкие удары по тыловым городам были расценены Ставкой как слабость руководства ПВО. Он понимал, что за все неудачи войск противовоздушной обороны ему, на чьи плечи и так было возложено множество различных обязанностей, теперь придется нести ответственность в полном объеме, что никак не вдохновляло опытного генерала.</w:t>
      </w:r>
    </w:p>
    <w:p w14:paraId="3206720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Попытки что-либо изменить к лучшему в системе ПВО страны предпринимались и ранее. Так, на заседании ГКО еще 16 июня кто-то из партийных бюрократов предложил создать координационный комитет по противовоздушной обороне. Предложение мгновенно приняли. Председателем комитета был назначен начальник Генштаба А. М. Василевский, а членами этого бесполезного новообразования – главком ВВС А. А. Новиков, командующий АДЦ А. Е. Голованов, а также М. С. Громадин и Д. А. Журавлев, и без того обремененные множеством обязанностей. Комитет оказался мертворожденным органом, созданным с помощью бюрократических уверток партийного руководства, и просуществовал недолго. Он не смог в короткие сроки оказать какое-либо влияние на улучшение боевой деятельности ПВО. Фактически комитет во время продолжающихся воздушных налетов лишь заседал, регистрируя многочисленные недостатки, теряя время в пустых </w:t>
      </w:r>
      <w:r w:rsidRPr="00D03F3E">
        <w:rPr>
          <w:rFonts w:ascii="Times New Roman" w:hAnsi="Times New Roman"/>
          <w:color w:val="000000" w:themeColor="text1"/>
          <w:sz w:val="16"/>
          <w:szCs w:val="16"/>
        </w:rPr>
        <w:lastRenderedPageBreak/>
        <w:t>словопрениях. Журавлев впоследствии вообще утверждал, что данный «комитет» провел лишь одно-единственное заседание 26 июня, т.е. в момент, когда Люфтваффе уже сворачивали свою операцию против Поволжья. После этого его функции перешли к Управлению ПВО.</w:t>
      </w:r>
    </w:p>
    <w:p w14:paraId="3C52867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следующий день после нового назначения в кабинет Воронова прибыли Громадин, теперь его первый зам по ПВО, и начштаба ПВО Н. Н. Нагорный. Сразу же всплыло множество организационных и оперативных проблем. Пришлось срочно решать вопросы по оснащению войск противовоздушной обороны боевой техникой и укреплению их кадрового состава. Воронов отмечал, что они втроем работали согласованно. Понятно, что ему крупно повезло с заместителями, и в дальнейшем он твердо полагался на них.</w:t>
      </w:r>
    </w:p>
    <w:p w14:paraId="44FC3A1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основе боевого опыта были срочно разработаны важные мероприятия по улучшению системы противовоздушной обороны и организации четкого взаимодействия истребительной авиации с зенитной артиллерией, что являлось больным вопросом на протяжении двух лет войны. Воронову пришлось сильно поволноваться, потому что продолжавшиеся неудачи войск ПВО приносили множество огорчений и неприятностей из-за конфликтов с Генштабом и Наркоматом путей сообщений. На тот момент казалось, что создание фронтов существенно улучшило руководство боевой деятельностью войск в условиях развернувшегося наступления Красной Армии. Западный фронт, в который входили все прифронтовые соединения противовоздушной обороны, обеспечивал наращивание системы ПВО и отвечал за организацию тесного взаимодействия своего первого оперативного эшелона с войсковой ПВО.</w:t>
      </w:r>
    </w:p>
    <w:p w14:paraId="1B4EA36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всей этой реорганизации просматривался явный акцент на улучшение защиты от ударов с воздуха сухопутных войск. Тем не менее многим уже тогда было ясно, что эта «реформа», по сути, стала шагом назад. Во-первых, был нарушен принцип централизованного управления войсками, во-вторых, Восточный фронт ПВО практически бездействовал во время наступления Красной Армии на запад. В-третьих, у командующего артиллерией хватало дел и по своим прямым обязанностям, и к тому же он был еще и представителем Ставки. Воронов просто был не в состоянии «по совместительству» руководить еще и многочисленными войсками противовоздушной обороны, и ему оставалось лишь полагаться на заместителей. Так что упразднение должности командующего войсками ПВО территории страны было явной ошибкой, принятой под воздействием внезапных массированных ударов Люфтваффе.</w:t>
      </w:r>
    </w:p>
    <w:p w14:paraId="32DEC49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Позднее, к концу 1943 г. руководству страны стало ясно, что распределение задач между фронтами ПВО по глубине не оправдало себя и не обеспечивало эффективности противовоздушной обороны страны. Выяснилось, что, во-первых, командование Западным фронтом ПВО оказалось не в состоянии управлять боевой деятельностью войск, разбросанных на огромной территории от Мурманска до Керчи. Во-вторых, установленные границы между фронтами ПВО параллельно линии советско-германского фронта в значительной мере ограничивали возможности маневра силами и средствами ПВО по глубине, который был крайне необходим. В-третьих, при таком характере распределения задач между фронтами войска Западного фронта обороняли объекты в прифронтовой полосе с большим напряжением, в то время как соединения Восточного фронта практически бездействовали. Таким образом, опять вышло, что «хотели как лучше, а получилось как всегда» (11774).</w:t>
      </w:r>
    </w:p>
    <w:p w14:paraId="2727999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3CD295" w14:textId="77777777" w:rsidR="003017FB"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796780F5" w14:textId="77777777" w:rsidR="003017FB" w:rsidRPr="00D03F3E" w:rsidRDefault="003017FB"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CB2740"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29 июня</w:t>
      </w:r>
      <w:r w:rsidRPr="00D03F3E">
        <w:rPr>
          <w:rFonts w:ascii="Times New Roman" w:hAnsi="Times New Roman"/>
          <w:color w:val="000000" w:themeColor="text1"/>
          <w:sz w:val="16"/>
          <w:szCs w:val="16"/>
        </w:rPr>
        <w:t xml:space="preserve"> в 1943 году испытания двигателя «F.2» на самолете - летающей лаборатории «Ланкастер» (14937).</w:t>
      </w:r>
    </w:p>
    <w:p w14:paraId="16AD79A0" w14:textId="77777777" w:rsidR="003017FB" w:rsidRPr="00D03F3E" w:rsidRDefault="003017FB" w:rsidP="00D03F3E">
      <w:pPr>
        <w:spacing w:after="0" w:line="240" w:lineRule="auto"/>
        <w:jc w:val="both"/>
        <w:rPr>
          <w:rFonts w:ascii="Times New Roman" w:hAnsi="Times New Roman"/>
          <w:color w:val="000000" w:themeColor="text1"/>
          <w:sz w:val="16"/>
          <w:szCs w:val="16"/>
        </w:rPr>
      </w:pPr>
    </w:p>
    <w:p w14:paraId="181FAB85"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1203D03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5822C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июня 1943 вышел приказ НКАП N 454с:</w:t>
      </w:r>
    </w:p>
    <w:p w14:paraId="4B3B00B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Ил-2 с АМ-38Ф N 302804, построенный заводом 30 в июле 1943, с внесением в него изменений и рекомендаций ГК С.В.И и ЦАГИ, на заводских летных испытаниях показал прирост макс. скорости за счет конструктивных и производственных мероприятий, улучшающих его аэродинамику.</w:t>
      </w:r>
    </w:p>
    <w:p w14:paraId="3198215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повышения качества, выпускаемых заводом 30 самолетов Ил-2:</w:t>
      </w:r>
    </w:p>
    <w:p w14:paraId="3443AF7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Самолет Ил-2 N 302804 утвердить для завода 30 как эталон.</w:t>
      </w:r>
    </w:p>
    <w:p w14:paraId="23AE5BA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Утвердить для серийного производства на заводе 30 след. изменения самолетов Ил-2:</w:t>
      </w:r>
    </w:p>
    <w:p w14:paraId="72FF6BE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на центроплане клепку впотай и обшивку встык вместо внахлест</w:t>
      </w:r>
    </w:p>
    <w:p w14:paraId="4BDAC93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установку металлического обтекателя костыля</w:t>
      </w:r>
    </w:p>
    <w:p w14:paraId="2366369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установку металлической гондолы шасси</w:t>
      </w:r>
    </w:p>
    <w:p w14:paraId="2349497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 установку металлического зализа на стыке хвостового отсека фюзеляжа с центропланом</w:t>
      </w:r>
    </w:p>
    <w:p w14:paraId="4D94822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 изменение фонаря пилота и стрелка</w:t>
      </w:r>
    </w:p>
    <w:p w14:paraId="5551A17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 изменение конструкции замков для лючков и люков на самолете</w:t>
      </w:r>
    </w:p>
    <w:p w14:paraId="37ABBB1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ж) установку трубки пито по методу НИСО НКАП</w:t>
      </w:r>
    </w:p>
    <w:p w14:paraId="5234C33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 установку щитков с металлической обшивкой</w:t>
      </w:r>
    </w:p>
    <w:p w14:paraId="4D32ADE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Установить срок выпуска самолетов Ил-2 согласно утвержденного эталона, из цеха окончательной сборки 1 сентября 1943</w:t>
      </w:r>
    </w:p>
    <w:p w14:paraId="2C45B62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Исходя из наличия задела центропланов разрешить выпускать самолеты с неизменным центропланом до 20 сентября 1943 (1730,153).</w:t>
      </w:r>
    </w:p>
    <w:p w14:paraId="096ADEF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F7DAC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июня 1943 года Шахурин писал письмо N Н-34/2603 гл. инженеру ВВС генерал-полковнику инж.-авиационной службы Репину К.А.</w:t>
      </w:r>
    </w:p>
    <w:p w14:paraId="36900D1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Внедрение ультрафиолетового освещения на серийных самолетах по заводом НКАП намечается в следующие сроки: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tblGrid>
      <w:tr w:rsidR="00860B4B" w:rsidRPr="00D03F3E" w14:paraId="57396583" w14:textId="77777777">
        <w:tc>
          <w:tcPr>
            <w:tcW w:w="1610" w:type="dxa"/>
          </w:tcPr>
          <w:p w14:paraId="4F52B8D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NN заводов</w:t>
            </w:r>
          </w:p>
        </w:tc>
        <w:tc>
          <w:tcPr>
            <w:tcW w:w="1610" w:type="dxa"/>
          </w:tcPr>
          <w:p w14:paraId="338A049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 машины</w:t>
            </w:r>
          </w:p>
        </w:tc>
        <w:tc>
          <w:tcPr>
            <w:tcW w:w="1610" w:type="dxa"/>
          </w:tcPr>
          <w:p w14:paraId="50E00C8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Срок внедрения</w:t>
            </w:r>
          </w:p>
        </w:tc>
        <w:tc>
          <w:tcPr>
            <w:tcW w:w="1610" w:type="dxa"/>
          </w:tcPr>
          <w:p w14:paraId="3E4E26F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Примечание</w:t>
            </w:r>
          </w:p>
        </w:tc>
      </w:tr>
      <w:tr w:rsidR="00860B4B" w:rsidRPr="00D03F3E" w14:paraId="397F8585" w14:textId="77777777">
        <w:tc>
          <w:tcPr>
            <w:tcW w:w="1610" w:type="dxa"/>
          </w:tcPr>
          <w:p w14:paraId="4FF82AA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23</w:t>
            </w:r>
          </w:p>
        </w:tc>
        <w:tc>
          <w:tcPr>
            <w:tcW w:w="1610" w:type="dxa"/>
          </w:tcPr>
          <w:p w14:paraId="7E884CB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Ил-4</w:t>
            </w:r>
          </w:p>
        </w:tc>
        <w:tc>
          <w:tcPr>
            <w:tcW w:w="1610" w:type="dxa"/>
          </w:tcPr>
          <w:p w14:paraId="4DF4B7D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июль-август</w:t>
            </w:r>
          </w:p>
        </w:tc>
        <w:tc>
          <w:tcPr>
            <w:tcW w:w="1610" w:type="dxa"/>
          </w:tcPr>
          <w:p w14:paraId="403E84F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48EDBEEA" w14:textId="77777777">
        <w:tc>
          <w:tcPr>
            <w:tcW w:w="1610" w:type="dxa"/>
          </w:tcPr>
          <w:p w14:paraId="6C3202F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39</w:t>
            </w:r>
          </w:p>
        </w:tc>
        <w:tc>
          <w:tcPr>
            <w:tcW w:w="1610" w:type="dxa"/>
          </w:tcPr>
          <w:p w14:paraId="55A90B7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12A65C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628FFD1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3C374A68" w14:textId="77777777">
        <w:tc>
          <w:tcPr>
            <w:tcW w:w="1610" w:type="dxa"/>
          </w:tcPr>
          <w:p w14:paraId="63C1E32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126</w:t>
            </w:r>
          </w:p>
        </w:tc>
        <w:tc>
          <w:tcPr>
            <w:tcW w:w="1610" w:type="dxa"/>
          </w:tcPr>
          <w:p w14:paraId="20337E2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727C2A4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06E22B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7E319E47" w14:textId="77777777">
        <w:tc>
          <w:tcPr>
            <w:tcW w:w="1610" w:type="dxa"/>
          </w:tcPr>
          <w:p w14:paraId="302E55E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84</w:t>
            </w:r>
          </w:p>
        </w:tc>
        <w:tc>
          <w:tcPr>
            <w:tcW w:w="1610" w:type="dxa"/>
          </w:tcPr>
          <w:p w14:paraId="7CA1EB0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Ли-2</w:t>
            </w:r>
          </w:p>
        </w:tc>
        <w:tc>
          <w:tcPr>
            <w:tcW w:w="1610" w:type="dxa"/>
          </w:tcPr>
          <w:p w14:paraId="6AC3997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внедрено в</w:t>
            </w:r>
          </w:p>
        </w:tc>
        <w:tc>
          <w:tcPr>
            <w:tcW w:w="1610" w:type="dxa"/>
          </w:tcPr>
          <w:p w14:paraId="6CE3E76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7EF9DBC" w14:textId="77777777">
        <w:tc>
          <w:tcPr>
            <w:tcW w:w="1610" w:type="dxa"/>
          </w:tcPr>
          <w:p w14:paraId="509202C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C8259C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7FBBD37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июне</w:t>
            </w:r>
          </w:p>
        </w:tc>
        <w:tc>
          <w:tcPr>
            <w:tcW w:w="1610" w:type="dxa"/>
          </w:tcPr>
          <w:p w14:paraId="63ABFC0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5DE81940" w14:textId="77777777">
        <w:tc>
          <w:tcPr>
            <w:tcW w:w="1610" w:type="dxa"/>
          </w:tcPr>
          <w:p w14:paraId="1E831A4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22</w:t>
            </w:r>
          </w:p>
        </w:tc>
        <w:tc>
          <w:tcPr>
            <w:tcW w:w="1610" w:type="dxa"/>
          </w:tcPr>
          <w:p w14:paraId="2694D01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Пе-8</w:t>
            </w:r>
          </w:p>
        </w:tc>
        <w:tc>
          <w:tcPr>
            <w:tcW w:w="1610" w:type="dxa"/>
          </w:tcPr>
          <w:p w14:paraId="3600E81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июль</w:t>
            </w:r>
          </w:p>
        </w:tc>
        <w:tc>
          <w:tcPr>
            <w:tcW w:w="1610" w:type="dxa"/>
          </w:tcPr>
          <w:p w14:paraId="5BD38D7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0FC8839B" w14:textId="77777777">
        <w:tc>
          <w:tcPr>
            <w:tcW w:w="1610" w:type="dxa"/>
          </w:tcPr>
          <w:p w14:paraId="2C1D9D7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21</w:t>
            </w:r>
          </w:p>
        </w:tc>
        <w:tc>
          <w:tcPr>
            <w:tcW w:w="1610" w:type="dxa"/>
          </w:tcPr>
          <w:p w14:paraId="072EC9A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Ла-5</w:t>
            </w:r>
          </w:p>
        </w:tc>
        <w:tc>
          <w:tcPr>
            <w:tcW w:w="1610" w:type="dxa"/>
          </w:tcPr>
          <w:p w14:paraId="28FBDDD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июль-август</w:t>
            </w:r>
          </w:p>
        </w:tc>
        <w:tc>
          <w:tcPr>
            <w:tcW w:w="1610" w:type="dxa"/>
          </w:tcPr>
          <w:p w14:paraId="6179915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Только на машинах</w:t>
            </w:r>
          </w:p>
        </w:tc>
      </w:tr>
      <w:tr w:rsidR="00860B4B" w:rsidRPr="00D03F3E" w14:paraId="6744AA3B" w14:textId="77777777">
        <w:tc>
          <w:tcPr>
            <w:tcW w:w="1610" w:type="dxa"/>
          </w:tcPr>
          <w:p w14:paraId="1A6D871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153</w:t>
            </w:r>
          </w:p>
        </w:tc>
        <w:tc>
          <w:tcPr>
            <w:tcW w:w="1610" w:type="dxa"/>
          </w:tcPr>
          <w:p w14:paraId="76E500A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Як-7</w:t>
            </w:r>
          </w:p>
        </w:tc>
        <w:tc>
          <w:tcPr>
            <w:tcW w:w="1610" w:type="dxa"/>
          </w:tcPr>
          <w:p w14:paraId="4A58064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DF691D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ПВО</w:t>
            </w:r>
          </w:p>
        </w:tc>
      </w:tr>
    </w:tbl>
    <w:p w14:paraId="5043993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Применение ультрафиолетового освещения на серийных самолетах: Пе-2 и Ил-2 может быть осуществлено при условиях:</w:t>
      </w:r>
    </w:p>
    <w:p w14:paraId="4C5894A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 Вашего подтверждения на необходимость ультрафиолетового освещения на указанных самолетах;</w:t>
      </w:r>
    </w:p>
    <w:p w14:paraId="7D4C098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 обеспечения увиолевыми лампами Наркомэлектропромом и светомассой Наркомцветметом (1778).</w:t>
      </w:r>
    </w:p>
    <w:p w14:paraId="6915B29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7045B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июня 1943 согласно журнала наблюдения за проектированием, постройкой и испытаниями МиГ-3 МиГ-3 Д-2, Д-3, Д-4 - готовы к полетам (идет передача). Д-5 - готов на 85%, Д-6 - 30% - задержка отсутствием моторов (992,9)..</w:t>
      </w:r>
    </w:p>
    <w:p w14:paraId="6E2F133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00CC06"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7C9FB34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ACC3D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июня 1943 закончена постройка и сдача двух МБК (акт сдачи подписан 9 августа 1943 г.). Подготовлена к испытаниям ПЛ К-53. Сдан флоту пятый БМО. Судостроители передали флоту два МО типа МО-4 (10671).</w:t>
      </w:r>
    </w:p>
    <w:p w14:paraId="1FE1F96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2AC123" w14:textId="77777777" w:rsidR="003017FB"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72401CD3" w14:textId="77777777" w:rsidR="003017FB" w:rsidRPr="00D03F3E" w:rsidRDefault="003017FB"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9EC4F0"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30 июня</w:t>
      </w:r>
      <w:r w:rsidRPr="00D03F3E">
        <w:rPr>
          <w:rFonts w:ascii="Times New Roman" w:hAnsi="Times New Roman"/>
          <w:color w:val="000000" w:themeColor="text1"/>
          <w:sz w:val="16"/>
          <w:szCs w:val="16"/>
        </w:rPr>
        <w:t xml:space="preserve"> в 1943 году утреннее сообщение Совинформбюро:</w:t>
      </w:r>
    </w:p>
    <w:p w14:paraId="05F5EF73"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ночи на 30 июня на фронте ничего существенного не произошло.</w:t>
      </w:r>
    </w:p>
    <w:p w14:paraId="46EFD476"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Западном фронте происходила артиллерийская перестрелка. На отдельных участках небольшие подразделения нашей пехоты вели разведку боем. Уничтожено до 80 немецких солдат. Захвачены пленные.</w:t>
      </w:r>
    </w:p>
    <w:p w14:paraId="79B689DB"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лётчики-истребители младшие лейтенанты Василий Михалёв и Александр Гайдуков встретились в воздухе с 8 немецкими самолётами. Советские лётчики вступили в неравный бой. Младший лейтенант Михалёв атаковал вражеский бомбардировщик и преследовал его до тех нор, пока «Юнкерс-88» не врезался в землю. Другой немецкий бомбардировщик пытался сбить Михалёва огнём своих пушек, но попал под ожесточённый огонь Александра Гайдукова, загорелся в воздухе и рассыпался на части. Остальные неприятельские самолёты уклонились от боя и повернули на запад. Два немецких лётчика, выбросившихся на парашютах, взяты в плен.</w:t>
      </w:r>
    </w:p>
    <w:p w14:paraId="6AD39256"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Лётчик Василий Михалёв в этом бою одержал четвёртую победу. Первый немецкий самолёт он сбил месяц назад, отрубив винтом своей машины хвост вражескому бомбардировщику. Уничтожив врага, Михалёв благополучно приземлился на своём аэродроме.</w:t>
      </w:r>
    </w:p>
    <w:p w14:paraId="51A1F024"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На одном участке Калининского фронта наши разведывательные отряды врезультате боя овладели высотой, сильно укреплённой противником. Уничтожено до 200 гитлеровцев. Захвачены трофеи и пленные.</w:t>
      </w:r>
    </w:p>
    <w:p w14:paraId="4C867B81"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Северо-Западном фронте группа наших разведчиков с нескольких сторон атаковала опорный пункт противника. Внезапным броском наши бойцы ворвались в расположение немцев и в рукопашном бою уничтожили до роты гитлеровцев. Разведчики захватили пять пленных, 4 ручных пулемёта, 6 автоматов, радиостанцию и вернулись в расположение своей части.</w:t>
      </w:r>
    </w:p>
    <w:p w14:paraId="5E3CE951"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Ленинградском фронте снайперы истребили 152 гитлеровца. Снайпер Н-скойчасти т. Щукин, находясь в засаде на переднем крае обороны, выследил и застрелил 5 немцев. Красноармеец т. Стрельцов, умело маскируясь, приблизился к позициям противника и огнём из противотанкового ружья поджёг 3 немецких дзота. На одном участке потоплено две шлюпки с находившимися в них немецкими солдатами. Огнём артиллерийских и миномётных подразделений разрушено и повреждено 32 дзота, 37 пулемётных точек, 15 землянок и 10 наблюдательных пунктов, взорван склад противника с боеприпасами и подожжён склад с горючим.</w:t>
      </w:r>
    </w:p>
    <w:p w14:paraId="61CFA004"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имени Фрунзе, действующий в одном из районов Минской области, пустил под откос эшелон противника. Разбиты паровоз, 3 платформы с орудиями и 6 вагонов с солдатами. Другой отряд минских партизан разгромил два немецких гарнизона. Советские патриоты истребили 119 гитлеровцев, захватили 108 пленных, броневик, 12 пулемётов, 2 автомашины, 130 винтовок, 22 тысячи патронов и другие трофеи.</w:t>
      </w:r>
    </w:p>
    <w:p w14:paraId="753AA040"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Перешедший на сторону Красной Армии солдат 121 немецкой пехотной дивизии Гюнтер B. рассказал: «Рота, в которой я служил, находилась на станции Негорелое. Мы охраняли железнодорожное полотно, станционные сооружения и склады. Несмотря на многочисленные усиленные посты, партизаны ежедневно совершали диверсионные акты. Рота пробыла в Негорелом два месяца. За это время много железнодорожных эшелонов партизаны пустили под откос. Во время одного налёта на разъезд партизаны перебили всю охрану и взорвали два поезда. Я видел опрокинутые вагоны, платформы, груды обломков и исковерканного металла — всё, что осталось от орудий и автомашин».</w:t>
      </w:r>
    </w:p>
    <w:p w14:paraId="6522BF8B"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Париже, Анзене, Лиможе и в ряде других городов Франции на многих предприятиях вспыхнули забастовки. Рабочие требуют немедленного прекращения вывоза в Германию продовольствия, сырья и фабричного оборудования. В Эманвилле вольные стрелки разгромили немецкое бюро труда и уничтожили заготовленные гитлеровцами списки рабочих, подлежащих насильственной отправке в Германию. В Мансе патриоты взорвали немецкий поезд с военным имуществом. Близ Нантейля железнодорожники пустили под откос воинский эшелон противника. В Сартрувилле патриоты уничтожили немецкий самолёт.» (14938).</w:t>
      </w:r>
    </w:p>
    <w:p w14:paraId="011B20ED" w14:textId="77777777" w:rsidR="003017FB" w:rsidRPr="00D03F3E" w:rsidRDefault="003017FB" w:rsidP="00D03F3E">
      <w:pPr>
        <w:spacing w:after="0" w:line="240" w:lineRule="auto"/>
        <w:jc w:val="both"/>
        <w:rPr>
          <w:rFonts w:ascii="Times New Roman" w:hAnsi="Times New Roman"/>
          <w:color w:val="000000" w:themeColor="text1"/>
          <w:sz w:val="16"/>
          <w:szCs w:val="16"/>
        </w:rPr>
      </w:pPr>
    </w:p>
    <w:p w14:paraId="08CAC705"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30 июня</w:t>
      </w:r>
      <w:r w:rsidRPr="00D03F3E">
        <w:rPr>
          <w:rFonts w:ascii="Times New Roman" w:hAnsi="Times New Roman"/>
          <w:color w:val="000000" w:themeColor="text1"/>
          <w:sz w:val="16"/>
          <w:szCs w:val="16"/>
        </w:rPr>
        <w:t xml:space="preserve"> в 1943 году вечернее сообщение Совинформбюро:</w:t>
      </w:r>
    </w:p>
    <w:p w14:paraId="6641B0A8"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30 июня на фронте существенных изменений не произошло.</w:t>
      </w:r>
    </w:p>
    <w:p w14:paraId="0122F7F6"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Нашей авиацией в Финском заливе потоплен сторожевой катер противника.</w:t>
      </w:r>
    </w:p>
    <w:p w14:paraId="358F48C6"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из участков Западного фронта артиллеристы Н-ской части обстреливали позиции противника и взорвали крупный склад боеприпасов. На другом участке разведывательный отряд немцев под прикрытием артиллерийского и миномётного огня пытался атаковать позиции нашего подразделения. Пулемётным и залповым ружейным огнём советские бойцы прижали немецких разведчиков к земле. Затем открыли огонь наши миномётные батареи. Понеся большие потери, гитлеровцы в беспорядке отступили.</w:t>
      </w:r>
    </w:p>
    <w:p w14:paraId="54E79471"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районе Белгорода наши передовые подразделения отразили атаку немцев, пытавшихся боем разведать советские позиции. У проволочных заграждений осталось 60 вражеских трупов. Захвачены трофеи и пленные. Артиллеристы подразделения, где командиром младший лейтенант Поцелуйко, совершили огневой налёт на вражеские позиции. Уничтожена миномётная батарея и разрушена несколько блиндажей противника.</w:t>
      </w:r>
    </w:p>
    <w:p w14:paraId="5336A76A"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Западнее Ростова-на-Дону артиллеристы батареи, где командиром старший лейтенант Бенгальский, установили свои орудия недалеко от переднего края вражеской обороны, открыли огонь и уничтожили 3 пулемёта, миномётную батарею и до 70 немецких солдат и офицеров.</w:t>
      </w:r>
    </w:p>
    <w:p w14:paraId="72C16AB7"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Наши лётчики в воздушных боях сбили 5 немецких самолётов. Кроме того, 2 бомбардировщика противника уничтожено огнем зенитной артиллерии.</w:t>
      </w:r>
    </w:p>
    <w:p w14:paraId="0127ED30"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одном из участков Ленинградского фронта несколько групп пехоты противника пытались атаковать позиции Н-ской части. Еще на подступах к нашему переднему краю немцы были встречены массированным огнём артиллерии и миномётов. Одновременно были подвергнуты ожесточённому обстрелу огневые средства, расположенные на переднем крае и в глубине обороны противника. В результате боя истреблено до роты гитлеровцев, уничтожены три вражеские миномётные батареи, разрушено 7 дзотов, взорвано два склада с боеприпасами и горючим.</w:t>
      </w:r>
    </w:p>
    <w:p w14:paraId="73C303E8"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Партизанский отряд имени Чапаева, действующий в одном из районов Пинской области, 16 июня подорвал немецкий железнодорожный эшелон. В результате крушения уничтожены паровоз и 16 платформ с автомашинами. Группа партизан разрушила 200 метров железнодорожных линий. Движение на этом участке было прекращено на несколько суток. Другой отряд пинских партизан пустил под откос вражеский поезд. Разбиты паровоз, 6 классных вагонов с солдатами и офицерами и несколько вагонов с боеприпасами.</w:t>
      </w:r>
    </w:p>
    <w:p w14:paraId="1B79C156"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полученным сведениям, в результате налёта нашей авиации 23 июня на железнодорожный узел Псков, противнику был нанесён серьёзный урон. Прямым попаданием бомб разрушены станционные сооружения, разбиты два воинских эшелона, а также офицерский штабной вагон. Разрушено несколько казарм, в которых помещались немецкие части. Взорвано два склада боеприпасов, сожжено два склада горючего, разбито несколько батарей зенитных орудий. В пяти километрах от города, на аэродроме, разбито и сожжено 12 немецких самолётов. По неполным данным, на железнодорожном узле Псков и в казармах убито более 1000 немецких солдат и офицеров. Усиленная немецкая охрана до настоящего времени не допускает население в район вокзала.</w:t>
      </w:r>
    </w:p>
    <w:p w14:paraId="28FACE65" w14:textId="77777777" w:rsidR="003017FB" w:rsidRPr="00D03F3E" w:rsidRDefault="003017F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Югославские партизаны отбили многочисленные атаки немцев у населённого пункта Жумберак и истребили более 100 гитлеровцев. Ружейно-пулемётным огнём сбит немецкий бомбардировщик. Близ населённых пунктов Сент-Юре и Мулава патриоты разгромили два батальона итальянской пехоты. В Словении партизаны разрушили железнодорожную станцию Бесинец. В другом районе пущен под откос немецкий эшелон с военными грузами.» (14938).</w:t>
      </w:r>
    </w:p>
    <w:p w14:paraId="38CCBD7A" w14:textId="77777777" w:rsidR="003017FB" w:rsidRPr="00D03F3E" w:rsidRDefault="003017FB" w:rsidP="00D03F3E">
      <w:pPr>
        <w:spacing w:after="0" w:line="240" w:lineRule="auto"/>
        <w:jc w:val="both"/>
        <w:rPr>
          <w:rFonts w:ascii="Times New Roman" w:hAnsi="Times New Roman"/>
          <w:color w:val="000000" w:themeColor="text1"/>
          <w:sz w:val="16"/>
          <w:szCs w:val="16"/>
        </w:rPr>
      </w:pPr>
    </w:p>
    <w:p w14:paraId="218DC16C" w14:textId="77777777" w:rsidR="003017FB" w:rsidRPr="00D03F3E" w:rsidRDefault="003017FB" w:rsidP="00D03F3E">
      <w:pPr>
        <w:pStyle w:val="a3"/>
        <w:rPr>
          <w:color w:val="000000" w:themeColor="text1"/>
          <w:lang w:val="ru-RU"/>
        </w:rPr>
      </w:pPr>
      <w:r w:rsidRPr="00D03F3E">
        <w:rPr>
          <w:bCs/>
          <w:color w:val="000000" w:themeColor="text1"/>
          <w:lang w:val="ru-RU"/>
        </w:rPr>
        <w:t>30 июня</w:t>
      </w:r>
      <w:r w:rsidRPr="00D03F3E">
        <w:rPr>
          <w:color w:val="000000" w:themeColor="text1"/>
          <w:lang w:val="ru-RU"/>
        </w:rPr>
        <w:t xml:space="preserve"> в 1943 году ГКО принял постановление «Вопросы противовоздушной обороны территории страны». Войска ПВО территории страны к 10 июля 1943 г. были разделены на вновь сформированные два фронта ПВО: Западный (генерал-лейтенант М.С.Громадин) и Восточный (генерал-лейтенант артиллерии Г.С.Зашихин). Московский фронт ПВО преобразован в Особую Московскую армию ПВО в составе Западного фронта ПВО. Координация и контроль за деятельностью фронтов 1 июня 1940 главный конструктор Яценко направил докладную записку К.Е. Ворошилову, в которой отмечал следующее:</w:t>
      </w:r>
    </w:p>
    <w:p w14:paraId="56420661" w14:textId="77777777" w:rsidR="003017FB" w:rsidRPr="00D03F3E" w:rsidRDefault="003017FB" w:rsidP="00D03F3E">
      <w:pPr>
        <w:pStyle w:val="5f0"/>
        <w:shd w:val="clear" w:color="auto" w:fill="auto"/>
        <w:spacing w:before="0" w:line="240" w:lineRule="auto"/>
        <w:rPr>
          <w:color w:val="000000" w:themeColor="text1"/>
          <w:sz w:val="16"/>
          <w:szCs w:val="16"/>
        </w:rPr>
      </w:pPr>
      <w:r w:rsidRPr="00D03F3E">
        <w:rPr>
          <w:color w:val="000000" w:themeColor="text1"/>
          <w:sz w:val="16"/>
          <w:szCs w:val="16"/>
        </w:rPr>
        <w:t>«Снять сейчас с производства машину, по моему, не выгодно государству по следующим соображениям:</w:t>
      </w:r>
    </w:p>
    <w:p w14:paraId="3DFB8F48" w14:textId="77777777" w:rsidR="003017FB" w:rsidRPr="00D03F3E" w:rsidRDefault="003017FB" w:rsidP="00D03F3E">
      <w:pPr>
        <w:pStyle w:val="5f0"/>
        <w:shd w:val="clear" w:color="auto" w:fill="auto"/>
        <w:tabs>
          <w:tab w:val="left" w:pos="511"/>
        </w:tabs>
        <w:spacing w:before="0" w:line="240" w:lineRule="auto"/>
        <w:rPr>
          <w:color w:val="000000" w:themeColor="text1"/>
          <w:sz w:val="16"/>
          <w:szCs w:val="16"/>
        </w:rPr>
      </w:pPr>
      <w:r w:rsidRPr="00D03F3E">
        <w:rPr>
          <w:color w:val="000000" w:themeColor="text1"/>
          <w:sz w:val="16"/>
          <w:szCs w:val="16"/>
        </w:rPr>
        <w:t>1) И-28 около года летал в НИИ, с ней знакомы, достаточно эксплуатировали и проверили.</w:t>
      </w:r>
    </w:p>
    <w:p w14:paraId="76B4810A" w14:textId="77777777" w:rsidR="003017FB" w:rsidRPr="00D03F3E" w:rsidRDefault="003017FB" w:rsidP="00D03F3E">
      <w:pPr>
        <w:pStyle w:val="5f0"/>
        <w:shd w:val="clear" w:color="auto" w:fill="auto"/>
        <w:tabs>
          <w:tab w:val="left" w:pos="582"/>
        </w:tabs>
        <w:spacing w:before="0" w:line="240" w:lineRule="auto"/>
        <w:rPr>
          <w:color w:val="000000" w:themeColor="text1"/>
          <w:sz w:val="16"/>
          <w:szCs w:val="16"/>
        </w:rPr>
      </w:pPr>
      <w:r w:rsidRPr="00D03F3E">
        <w:rPr>
          <w:color w:val="000000" w:themeColor="text1"/>
          <w:sz w:val="16"/>
          <w:szCs w:val="16"/>
        </w:rPr>
        <w:t>2) Доводки на машине во многом сделаны, а то, что осталось, легче устранить, чем начинать всё с начала.</w:t>
      </w:r>
    </w:p>
    <w:p w14:paraId="05C74C34" w14:textId="77777777" w:rsidR="003017FB" w:rsidRPr="00D03F3E" w:rsidRDefault="003017FB" w:rsidP="00D03F3E">
      <w:pPr>
        <w:pStyle w:val="5f0"/>
        <w:shd w:val="clear" w:color="auto" w:fill="auto"/>
        <w:tabs>
          <w:tab w:val="left" w:pos="569"/>
        </w:tabs>
        <w:spacing w:before="0" w:line="240" w:lineRule="auto"/>
        <w:rPr>
          <w:color w:val="000000" w:themeColor="text1"/>
          <w:sz w:val="16"/>
          <w:szCs w:val="16"/>
        </w:rPr>
      </w:pPr>
      <w:r w:rsidRPr="00D03F3E">
        <w:rPr>
          <w:color w:val="000000" w:themeColor="text1"/>
          <w:sz w:val="16"/>
          <w:szCs w:val="16"/>
        </w:rPr>
        <w:t>3) Большинство замечаний НИИ внесены в чертежи и уже в серии устранены.</w:t>
      </w:r>
    </w:p>
    <w:p w14:paraId="49C32C33" w14:textId="77777777" w:rsidR="003017FB" w:rsidRPr="00D03F3E" w:rsidRDefault="003017FB" w:rsidP="00D03F3E">
      <w:pPr>
        <w:pStyle w:val="5f0"/>
        <w:shd w:val="clear" w:color="auto" w:fill="auto"/>
        <w:tabs>
          <w:tab w:val="left" w:pos="538"/>
        </w:tabs>
        <w:spacing w:before="0" w:line="240" w:lineRule="auto"/>
        <w:rPr>
          <w:color w:val="000000" w:themeColor="text1"/>
          <w:sz w:val="16"/>
          <w:szCs w:val="16"/>
        </w:rPr>
      </w:pPr>
      <w:r w:rsidRPr="00D03F3E">
        <w:rPr>
          <w:rStyle w:val="1520"/>
          <w:rFonts w:ascii="Times New Roman" w:hAnsi="Times New Roman" w:cs="Times New Roman"/>
          <w:iCs/>
          <w:color w:val="000000" w:themeColor="text1"/>
          <w:spacing w:val="0"/>
          <w:sz w:val="16"/>
          <w:szCs w:val="16"/>
        </w:rPr>
        <w:t>4) Основной вопрос — устойчивость в серии также учтён,</w:t>
      </w:r>
      <w:r w:rsidRPr="00D03F3E">
        <w:rPr>
          <w:color w:val="000000" w:themeColor="text1"/>
          <w:sz w:val="16"/>
          <w:szCs w:val="16"/>
        </w:rPr>
        <w:t xml:space="preserve"> и если предположить, что устой</w:t>
      </w:r>
      <w:r w:rsidRPr="00D03F3E">
        <w:rPr>
          <w:color w:val="000000" w:themeColor="text1"/>
          <w:sz w:val="16"/>
          <w:szCs w:val="16"/>
        </w:rPr>
        <w:softHyphen/>
        <w:t>чивость не будет достаточна, этот один вопрос быстро и с небольшими затратами можно добить.</w:t>
      </w:r>
    </w:p>
    <w:p w14:paraId="5F837B0A" w14:textId="77777777" w:rsidR="003017FB" w:rsidRPr="00D03F3E" w:rsidRDefault="003017FB" w:rsidP="00D03F3E">
      <w:pPr>
        <w:pStyle w:val="5f0"/>
        <w:shd w:val="clear" w:color="auto" w:fill="auto"/>
        <w:tabs>
          <w:tab w:val="left" w:pos="586"/>
        </w:tabs>
        <w:spacing w:before="0" w:line="240" w:lineRule="auto"/>
        <w:rPr>
          <w:color w:val="000000" w:themeColor="text1"/>
          <w:sz w:val="16"/>
          <w:szCs w:val="16"/>
        </w:rPr>
      </w:pPr>
      <w:r w:rsidRPr="00D03F3E">
        <w:rPr>
          <w:color w:val="000000" w:themeColor="text1"/>
          <w:sz w:val="16"/>
          <w:szCs w:val="16"/>
        </w:rPr>
        <w:t>5) Будущее машины также обеспечивается модификацией, которая выводит её в ряды передовых, по лётным данным, машин.</w:t>
      </w:r>
    </w:p>
    <w:p w14:paraId="521418A8" w14:textId="77777777" w:rsidR="003017FB" w:rsidRPr="00D03F3E" w:rsidRDefault="003017FB" w:rsidP="00D03F3E">
      <w:pPr>
        <w:pStyle w:val="5f0"/>
        <w:shd w:val="clear" w:color="auto" w:fill="auto"/>
        <w:spacing w:before="0" w:line="240" w:lineRule="auto"/>
        <w:rPr>
          <w:color w:val="000000" w:themeColor="text1"/>
          <w:sz w:val="16"/>
          <w:szCs w:val="16"/>
        </w:rPr>
      </w:pPr>
      <w:r w:rsidRPr="00D03F3E">
        <w:rPr>
          <w:color w:val="000000" w:themeColor="text1"/>
          <w:sz w:val="16"/>
          <w:szCs w:val="16"/>
        </w:rPr>
        <w:t>«Единственно реальным решением вопроса является следующее:</w:t>
      </w:r>
    </w:p>
    <w:p w14:paraId="6802BFB1" w14:textId="77777777" w:rsidR="003017FB" w:rsidRPr="00D03F3E" w:rsidRDefault="003017FB" w:rsidP="00D03F3E">
      <w:pPr>
        <w:pStyle w:val="5f0"/>
        <w:shd w:val="clear" w:color="auto" w:fill="auto"/>
        <w:spacing w:before="0" w:line="240" w:lineRule="auto"/>
        <w:rPr>
          <w:color w:val="000000" w:themeColor="text1"/>
          <w:sz w:val="16"/>
          <w:szCs w:val="16"/>
        </w:rPr>
      </w:pPr>
      <w:r w:rsidRPr="00D03F3E">
        <w:rPr>
          <w:color w:val="000000" w:themeColor="text1"/>
          <w:sz w:val="16"/>
          <w:szCs w:val="16"/>
        </w:rPr>
        <w:t>На заводе №81 имеется отдельное помещение для цеха ширпотреба, общей площа</w:t>
      </w:r>
      <w:r w:rsidRPr="00D03F3E">
        <w:rPr>
          <w:color w:val="000000" w:themeColor="text1"/>
          <w:sz w:val="16"/>
          <w:szCs w:val="16"/>
        </w:rPr>
        <w:softHyphen/>
        <w:t>дью 1600 кв. м. Это не много, но это позволит сейчас же, в течение 10 дней приступить к работе и на его базе развиваться...</w:t>
      </w:r>
    </w:p>
    <w:p w14:paraId="4C80E143" w14:textId="77777777" w:rsidR="003017FB" w:rsidRPr="00D03F3E" w:rsidRDefault="003017FB" w:rsidP="00D03F3E">
      <w:pPr>
        <w:pStyle w:val="5f0"/>
        <w:shd w:val="clear" w:color="auto" w:fill="auto"/>
        <w:spacing w:before="0" w:line="240" w:lineRule="auto"/>
        <w:rPr>
          <w:color w:val="000000" w:themeColor="text1"/>
          <w:sz w:val="16"/>
          <w:szCs w:val="16"/>
        </w:rPr>
      </w:pPr>
      <w:r w:rsidRPr="00D03F3E">
        <w:rPr>
          <w:color w:val="000000" w:themeColor="text1"/>
          <w:sz w:val="16"/>
          <w:szCs w:val="16"/>
        </w:rPr>
        <w:t>Вопрос мне кажется надо решить окончательно: или коллектив должен работать и ему помочь организоваться, или работа его не нужна, тогда его надо распустить.</w:t>
      </w:r>
    </w:p>
    <w:p w14:paraId="074E99C4" w14:textId="77777777" w:rsidR="003017FB" w:rsidRPr="00D03F3E" w:rsidRDefault="003017FB" w:rsidP="00D03F3E">
      <w:pPr>
        <w:pStyle w:val="5f0"/>
        <w:shd w:val="clear" w:color="auto" w:fill="auto"/>
        <w:spacing w:before="0" w:line="240" w:lineRule="auto"/>
        <w:rPr>
          <w:color w:val="000000" w:themeColor="text1"/>
          <w:sz w:val="16"/>
          <w:szCs w:val="16"/>
        </w:rPr>
      </w:pPr>
      <w:r w:rsidRPr="00D03F3E">
        <w:rPr>
          <w:color w:val="000000" w:themeColor="text1"/>
          <w:sz w:val="16"/>
          <w:szCs w:val="16"/>
        </w:rPr>
        <w:t>Очень прошу решить этот вопрос, т.к. дальнейшая затяжка, кроме ущер</w:t>
      </w:r>
      <w:r w:rsidRPr="00D03F3E">
        <w:rPr>
          <w:color w:val="000000" w:themeColor="text1"/>
          <w:sz w:val="16"/>
          <w:szCs w:val="16"/>
        </w:rPr>
        <w:softHyphen/>
        <w:t>ба, ничего государству не даст».</w:t>
      </w:r>
    </w:p>
    <w:p w14:paraId="6D6DA02F" w14:textId="77777777" w:rsidR="003017FB" w:rsidRPr="00D03F3E" w:rsidRDefault="003017FB" w:rsidP="00D03F3E">
      <w:pPr>
        <w:pStyle w:val="5f0"/>
        <w:shd w:val="clear" w:color="auto" w:fill="auto"/>
        <w:tabs>
          <w:tab w:val="left" w:pos="586"/>
        </w:tabs>
        <w:spacing w:before="0" w:line="240" w:lineRule="auto"/>
        <w:rPr>
          <w:color w:val="000000" w:themeColor="text1"/>
          <w:sz w:val="16"/>
          <w:szCs w:val="16"/>
        </w:rPr>
      </w:pPr>
      <w:r w:rsidRPr="00D03F3E">
        <w:rPr>
          <w:rStyle w:val="911"/>
          <w:rFonts w:ascii="Times New Roman" w:hAnsi="Times New Roman" w:cs="Times New Roman"/>
          <w:b w:val="0"/>
          <w:iCs/>
          <w:color w:val="000000" w:themeColor="text1"/>
          <w:spacing w:val="0"/>
          <w:sz w:val="16"/>
          <w:szCs w:val="16"/>
        </w:rPr>
        <w:t>Докладная записка была направле</w:t>
      </w:r>
      <w:r w:rsidRPr="00D03F3E">
        <w:rPr>
          <w:rStyle w:val="911"/>
          <w:rFonts w:ascii="Times New Roman" w:hAnsi="Times New Roman" w:cs="Times New Roman"/>
          <w:b w:val="0"/>
          <w:iCs/>
          <w:color w:val="000000" w:themeColor="text1"/>
          <w:spacing w:val="0"/>
          <w:sz w:val="16"/>
          <w:szCs w:val="16"/>
        </w:rPr>
        <w:softHyphen/>
        <w:t>на в секретариат Комитета Обороны при СНК СССР. Уже 5 июля.И.А. Сафо</w:t>
      </w:r>
      <w:r w:rsidRPr="00D03F3E">
        <w:rPr>
          <w:rStyle w:val="911"/>
          <w:rFonts w:ascii="Times New Roman" w:hAnsi="Times New Roman" w:cs="Times New Roman"/>
          <w:b w:val="0"/>
          <w:iCs/>
          <w:color w:val="000000" w:themeColor="text1"/>
          <w:spacing w:val="0"/>
          <w:sz w:val="16"/>
          <w:szCs w:val="16"/>
        </w:rPr>
        <w:softHyphen/>
        <w:t>нов направил К.Е. Ворошилову доклад</w:t>
      </w:r>
      <w:r w:rsidRPr="00D03F3E">
        <w:rPr>
          <w:rStyle w:val="911"/>
          <w:rFonts w:ascii="Times New Roman" w:hAnsi="Times New Roman" w:cs="Times New Roman"/>
          <w:b w:val="0"/>
          <w:iCs/>
          <w:color w:val="000000" w:themeColor="text1"/>
          <w:spacing w:val="0"/>
          <w:sz w:val="16"/>
          <w:szCs w:val="16"/>
        </w:rPr>
        <w:softHyphen/>
        <w:t>ную записку, в которой отмечал,</w:t>
      </w:r>
      <w:r w:rsidRPr="00D03F3E">
        <w:rPr>
          <w:color w:val="000000" w:themeColor="text1"/>
          <w:sz w:val="16"/>
          <w:szCs w:val="16"/>
        </w:rPr>
        <w:t xml:space="preserve"> «что секретариат КО считает целесообраз</w:t>
      </w:r>
      <w:r w:rsidRPr="00D03F3E">
        <w:rPr>
          <w:color w:val="000000" w:themeColor="text1"/>
          <w:sz w:val="16"/>
          <w:szCs w:val="16"/>
        </w:rPr>
        <w:softHyphen/>
        <w:t>ным обязать НКАП и НКО в пятиднев</w:t>
      </w:r>
      <w:r w:rsidRPr="00D03F3E">
        <w:rPr>
          <w:color w:val="000000" w:themeColor="text1"/>
          <w:sz w:val="16"/>
          <w:szCs w:val="16"/>
        </w:rPr>
        <w:softHyphen/>
        <w:t>ный срок внести в КО согласованные предложения по вопросу о дальнейшей работе конструкторского бюро т. Яцен</w:t>
      </w:r>
      <w:r w:rsidRPr="00D03F3E">
        <w:rPr>
          <w:color w:val="000000" w:themeColor="text1"/>
          <w:sz w:val="16"/>
          <w:szCs w:val="16"/>
        </w:rPr>
        <w:softHyphen/>
        <w:t>ко».</w:t>
      </w:r>
    </w:p>
    <w:p w14:paraId="21A71CD1" w14:textId="77777777" w:rsidR="003017FB" w:rsidRPr="00D03F3E" w:rsidRDefault="003017FB" w:rsidP="00D03F3E">
      <w:pPr>
        <w:pStyle w:val="5f0"/>
        <w:shd w:val="clear" w:color="auto" w:fill="auto"/>
        <w:spacing w:before="0" w:line="240" w:lineRule="auto"/>
        <w:rPr>
          <w:color w:val="000000" w:themeColor="text1"/>
          <w:sz w:val="16"/>
          <w:szCs w:val="16"/>
        </w:rPr>
      </w:pPr>
      <w:r w:rsidRPr="00D03F3E">
        <w:rPr>
          <w:color w:val="000000" w:themeColor="text1"/>
          <w:sz w:val="16"/>
          <w:szCs w:val="16"/>
        </w:rPr>
        <w:t>Остановить производство И-28 и повторить весь цикл сначала, на другом объекте, это значит потратить ещё время, ещё деньги и ещё отодвинуть вопрос о перевооружении РККА».</w:t>
      </w:r>
    </w:p>
    <w:p w14:paraId="23094D94" w14:textId="77777777" w:rsidR="003017FB" w:rsidRPr="00D03F3E" w:rsidRDefault="003017FB" w:rsidP="00D03F3E">
      <w:pPr>
        <w:pStyle w:val="a3"/>
        <w:rPr>
          <w:color w:val="000000" w:themeColor="text1"/>
          <w:lang w:val="ru-RU"/>
        </w:rPr>
      </w:pPr>
      <w:r w:rsidRPr="00D03F3E">
        <w:rPr>
          <w:color w:val="000000" w:themeColor="text1"/>
          <w:lang w:val="ru-RU"/>
        </w:rPr>
        <w:t>Прекращение выпуска истребителя И-28 в тот момент, когда все трудности в основном остались позади, стало серьёзным ударом по конструкторскому бюро В.П. Яценко. Но это было ещё не так страшно, как потеря собственной производственной базы, что ставило крест на творчестве коллектива.</w:t>
      </w:r>
    </w:p>
    <w:p w14:paraId="36F1DD77" w14:textId="77777777" w:rsidR="003017FB" w:rsidRPr="00D03F3E" w:rsidRDefault="003017FB" w:rsidP="00D03F3E">
      <w:pPr>
        <w:pStyle w:val="a3"/>
        <w:rPr>
          <w:color w:val="000000" w:themeColor="text1"/>
          <w:lang w:val="ru-RU"/>
        </w:rPr>
      </w:pPr>
      <w:r w:rsidRPr="00D03F3E">
        <w:rPr>
          <w:color w:val="000000" w:themeColor="text1"/>
          <w:lang w:val="ru-RU"/>
        </w:rPr>
        <w:t>Назначение В.П. Яценко главным конструктором завода «Саркомбайн» в соответствии с уже упоминавшимся приказом НКАП № 403 от 7 декабря 1939 г. открывало перед ним неплохие перспективы. Владимиру Панфиловичу предписывалось перебраться со всем коллек</w:t>
      </w:r>
      <w:r w:rsidRPr="00D03F3E">
        <w:rPr>
          <w:color w:val="000000" w:themeColor="text1"/>
          <w:lang w:val="ru-RU"/>
        </w:rPr>
        <w:softHyphen/>
        <w:t xml:space="preserve">тивом в Саратов, а в Москве все работы прекратить. Но вскоре этот приказ аннулировали, и всё повисло в воздухе. Но заводе «Саркомбайн» для работы КБ ничего создано не было и, по сути, требовалось всё начинать с нуля, а на заводе № 81, где ранее работал коллектив В.П. Яценко, после их отъезда всё сразу же было «приватизировано» - опытный цех разукомплектован, а в помещениях опытного отдела разместились службы завода № </w:t>
      </w:r>
      <w:r w:rsidRPr="00D03F3E">
        <w:rPr>
          <w:rStyle w:val="8pt1"/>
          <w:rFonts w:ascii="Times New Roman" w:hAnsi="Times New Roman" w:cs="Times New Roman"/>
          <w:b w:val="0"/>
          <w:color w:val="000000" w:themeColor="text1"/>
          <w:spacing w:val="0"/>
          <w:lang w:val="ru-RU"/>
        </w:rPr>
        <w:t xml:space="preserve">81. </w:t>
      </w:r>
      <w:r w:rsidRPr="00D03F3E">
        <w:rPr>
          <w:color w:val="000000" w:themeColor="text1"/>
          <w:lang w:val="ru-RU"/>
        </w:rPr>
        <w:t>В начале 1940 г., казалось, ситуация для Яценко изменилась к лучшему (15837).</w:t>
      </w:r>
    </w:p>
    <w:p w14:paraId="77C9E8A2" w14:textId="77777777" w:rsidR="003017FB" w:rsidRPr="00D03F3E" w:rsidRDefault="003017FB" w:rsidP="00D03F3E">
      <w:pPr>
        <w:pStyle w:val="a3"/>
        <w:rPr>
          <w:color w:val="000000" w:themeColor="text1"/>
          <w:lang w:val="ru-RU"/>
        </w:rPr>
      </w:pPr>
    </w:p>
    <w:p w14:paraId="63E47DB4" w14:textId="77777777" w:rsidR="0015386A" w:rsidRPr="00D03F3E" w:rsidRDefault="0015386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30 июня 1943 г. на базе 4-го, 5-го и 6-го воздухоплавательных отря</w:t>
      </w:r>
      <w:r w:rsidRPr="00D03F3E">
        <w:rPr>
          <w:rFonts w:ascii="Times New Roman" w:hAnsi="Times New Roman"/>
          <w:color w:val="0070C0"/>
          <w:sz w:val="16"/>
          <w:szCs w:val="16"/>
        </w:rPr>
        <w:softHyphen/>
        <w:t>дов 3-го ОВДААН был образован 7-й ОВДААН. Его командиром стал бывший четвёртый помощник командира дирижабля «СССР В-6» капитан В.И. Почекин.</w:t>
      </w:r>
    </w:p>
    <w:p w14:paraId="4FB7510F" w14:textId="77777777" w:rsidR="0015386A" w:rsidRPr="00D03F3E" w:rsidRDefault="0015386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29 июля 1943 г. 7-й ОВДААН прибыл на фронт. Этот день ознаменовался трагедией: в одном из отрядов дивизиона при подрыве на мине авто</w:t>
      </w:r>
      <w:r w:rsidRPr="00D03F3E">
        <w:rPr>
          <w:rFonts w:ascii="Times New Roman" w:hAnsi="Times New Roman"/>
          <w:color w:val="0070C0"/>
          <w:sz w:val="16"/>
          <w:szCs w:val="16"/>
        </w:rPr>
        <w:softHyphen/>
        <w:t>машины погибло несколько офицеров и солдат. Получившие ранения старший лейтенант Г. Да- нильян и лейтенант Н. Большакова отказались в трудное для дивизиона время отправляться в госпиталь и лечились в отряде. Едва оправив</w:t>
      </w:r>
      <w:r w:rsidRPr="00D03F3E">
        <w:rPr>
          <w:rFonts w:ascii="Times New Roman" w:hAnsi="Times New Roman"/>
          <w:color w:val="0070C0"/>
          <w:sz w:val="16"/>
          <w:szCs w:val="16"/>
        </w:rPr>
        <w:softHyphen/>
        <w:t>шись от ран, они приступили к выполнению бое</w:t>
      </w:r>
      <w:r w:rsidRPr="00D03F3E">
        <w:rPr>
          <w:rFonts w:ascii="Times New Roman" w:hAnsi="Times New Roman"/>
          <w:color w:val="0070C0"/>
          <w:sz w:val="16"/>
          <w:szCs w:val="16"/>
        </w:rPr>
        <w:softHyphen/>
        <w:t>вых задач.</w:t>
      </w:r>
    </w:p>
    <w:p w14:paraId="46AD9127" w14:textId="77777777" w:rsidR="0015386A" w:rsidRPr="00D03F3E" w:rsidRDefault="0015386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Летом и осенью 1943 г. войска Воронежского фронта вели непрерывные бои, в которых диви</w:t>
      </w:r>
      <w:r w:rsidRPr="00D03F3E">
        <w:rPr>
          <w:rFonts w:ascii="Times New Roman" w:hAnsi="Times New Roman"/>
          <w:color w:val="0070C0"/>
          <w:sz w:val="16"/>
          <w:szCs w:val="16"/>
        </w:rPr>
        <w:softHyphen/>
        <w:t>зион принимал активное участие. Только в сен</w:t>
      </w:r>
      <w:r w:rsidRPr="00D03F3E">
        <w:rPr>
          <w:rFonts w:ascii="Times New Roman" w:hAnsi="Times New Roman"/>
          <w:color w:val="0070C0"/>
          <w:sz w:val="16"/>
          <w:szCs w:val="16"/>
        </w:rPr>
        <w:softHyphen/>
        <w:t>тябре 1943 г. 2-й воздухоплавательный отряд 7-го ОВДААН совершил 40 подъёмов днём и 6 — но</w:t>
      </w:r>
      <w:r w:rsidRPr="00D03F3E">
        <w:rPr>
          <w:rFonts w:ascii="Times New Roman" w:hAnsi="Times New Roman"/>
          <w:color w:val="0070C0"/>
          <w:sz w:val="16"/>
          <w:szCs w:val="16"/>
        </w:rPr>
        <w:softHyphen/>
        <w:t>чью.</w:t>
      </w:r>
    </w:p>
    <w:p w14:paraId="0BA663CE" w14:textId="77777777" w:rsidR="0015386A" w:rsidRPr="00D03F3E" w:rsidRDefault="0015386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декабре 1943 г. 7-й ОВДААН привлекли для разведки сильно укреплённой немецкой поло</w:t>
      </w:r>
      <w:r w:rsidRPr="00D03F3E">
        <w:rPr>
          <w:rFonts w:ascii="Times New Roman" w:hAnsi="Times New Roman"/>
          <w:color w:val="0070C0"/>
          <w:sz w:val="16"/>
          <w:szCs w:val="16"/>
        </w:rPr>
        <w:softHyphen/>
        <w:t>сы обороны в районе г. Невель. В боях за город отличились старший лейтенант Е. Клобавников, корректировка которого позволила в считанные минуты уничтожить господствующую немецкую батарею, и лейтенант В. Крысанов, разведавший на ст. Грибачи железнодорожный эшелон с пехо</w:t>
      </w:r>
      <w:r w:rsidRPr="00D03F3E">
        <w:rPr>
          <w:rFonts w:ascii="Times New Roman" w:hAnsi="Times New Roman"/>
          <w:color w:val="0070C0"/>
          <w:sz w:val="16"/>
          <w:szCs w:val="16"/>
        </w:rPr>
        <w:softHyphen/>
        <w:t>той и боеприпасами, который был уничтожен.</w:t>
      </w:r>
    </w:p>
    <w:p w14:paraId="094F9920" w14:textId="77777777" w:rsidR="0015386A" w:rsidRPr="00D03F3E" w:rsidRDefault="0015386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1943-1944 гг. 7-й ОВДААН участвовал в Ви</w:t>
      </w:r>
      <w:r w:rsidRPr="00D03F3E">
        <w:rPr>
          <w:rFonts w:ascii="Times New Roman" w:hAnsi="Times New Roman"/>
          <w:color w:val="0070C0"/>
          <w:sz w:val="16"/>
          <w:szCs w:val="16"/>
        </w:rPr>
        <w:softHyphen/>
        <w:t>тебской и Полоцкой операциях, в боях в При</w:t>
      </w:r>
      <w:r w:rsidRPr="00D03F3E">
        <w:rPr>
          <w:rFonts w:ascii="Times New Roman" w:hAnsi="Times New Roman"/>
          <w:color w:val="0070C0"/>
          <w:sz w:val="16"/>
          <w:szCs w:val="16"/>
        </w:rPr>
        <w:softHyphen/>
        <w:t>балтике. С 1 по 25 октября 1944 г. 1-й отряд выполнил в районах Рудгалово и Юрген более 40 подъёмов общей продолжительностью более 31 часа, в ходе которых установил огневые пози</w:t>
      </w:r>
      <w:r w:rsidRPr="00D03F3E">
        <w:rPr>
          <w:rFonts w:ascii="Times New Roman" w:hAnsi="Times New Roman"/>
          <w:color w:val="0070C0"/>
          <w:sz w:val="16"/>
          <w:szCs w:val="16"/>
        </w:rPr>
        <w:softHyphen/>
        <w:t>ции 11 артиллерийских батарей и семи военных кораблей. Наблюдатели 3-го отряда за этот же период обнаружили 15 артиллерийских батарей, две автоколонны и две переправы. С помощью воздушных корректировщиков 3-го отряда были рассеяны и частично уничтожены два батальона пехоты противника.</w:t>
      </w:r>
    </w:p>
    <w:p w14:paraId="4DB21872" w14:textId="77777777" w:rsidR="0015386A" w:rsidRPr="00D03F3E" w:rsidRDefault="0015386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Самоотверженно действовали воздухопла</w:t>
      </w:r>
      <w:r w:rsidRPr="00D03F3E">
        <w:rPr>
          <w:rFonts w:ascii="Times New Roman" w:hAnsi="Times New Roman"/>
          <w:color w:val="0070C0"/>
          <w:sz w:val="16"/>
          <w:szCs w:val="16"/>
        </w:rPr>
        <w:softHyphen/>
        <w:t>ватели 7-го ОВДААН в боях на шяуляйском на</w:t>
      </w:r>
      <w:r w:rsidRPr="00D03F3E">
        <w:rPr>
          <w:rFonts w:ascii="Times New Roman" w:hAnsi="Times New Roman"/>
          <w:color w:val="0070C0"/>
          <w:sz w:val="16"/>
          <w:szCs w:val="16"/>
        </w:rPr>
        <w:softHyphen/>
        <w:t>правлении, где противник в течение длительного времени безуспешно пытался прорвать боевые порядки советских войск. Измотав танковые и пехотные дивизии врага, войска 1-го Прибал</w:t>
      </w:r>
      <w:r w:rsidRPr="00D03F3E">
        <w:rPr>
          <w:rFonts w:ascii="Times New Roman" w:hAnsi="Times New Roman"/>
          <w:color w:val="0070C0"/>
          <w:sz w:val="16"/>
          <w:szCs w:val="16"/>
        </w:rPr>
        <w:softHyphen/>
        <w:t>тийского фронта перешли в наступление, фор</w:t>
      </w:r>
      <w:r w:rsidRPr="00D03F3E">
        <w:rPr>
          <w:rFonts w:ascii="Times New Roman" w:hAnsi="Times New Roman"/>
          <w:color w:val="0070C0"/>
          <w:sz w:val="16"/>
          <w:szCs w:val="16"/>
        </w:rPr>
        <w:softHyphen/>
        <w:t>сировав р. Вента. О героических действиях ко</w:t>
      </w:r>
      <w:r w:rsidRPr="00D03F3E">
        <w:rPr>
          <w:rFonts w:ascii="Times New Roman" w:hAnsi="Times New Roman"/>
          <w:color w:val="0070C0"/>
          <w:sz w:val="16"/>
          <w:szCs w:val="16"/>
        </w:rPr>
        <w:softHyphen/>
        <w:t>мандира отряда 7-го ОВДААН Г. Коновальчике и старшем лейтенанте А. Кузнецове писала газета «Правда»30.</w:t>
      </w:r>
    </w:p>
    <w:p w14:paraId="4460B39E" w14:textId="77777777" w:rsidR="0015386A" w:rsidRPr="00D03F3E" w:rsidRDefault="0015386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Осенью 1944 г. командиром 7-го ОВДААН стал известный воздухоплаватель майор С.А. По</w:t>
      </w:r>
      <w:r w:rsidRPr="00D03F3E">
        <w:rPr>
          <w:rFonts w:ascii="Times New Roman" w:hAnsi="Times New Roman"/>
          <w:color w:val="0070C0"/>
          <w:sz w:val="16"/>
          <w:szCs w:val="16"/>
        </w:rPr>
        <w:softHyphen/>
        <w:t>пов. В 1945 г. 2-й отряд вёл наблюдение за порта</w:t>
      </w:r>
      <w:r w:rsidRPr="00D03F3E">
        <w:rPr>
          <w:rFonts w:ascii="Times New Roman" w:hAnsi="Times New Roman"/>
          <w:color w:val="0070C0"/>
          <w:sz w:val="16"/>
          <w:szCs w:val="16"/>
        </w:rPr>
        <w:softHyphen/>
        <w:t>ми Мемель и Либава, отслеживая транспортные перевозки противника.</w:t>
      </w:r>
    </w:p>
    <w:p w14:paraId="4CD784F2" w14:textId="77777777" w:rsidR="0015386A" w:rsidRPr="00D03F3E" w:rsidRDefault="0015386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После окончания войны 7-й ОВДААН дисло</w:t>
      </w:r>
      <w:r w:rsidRPr="00D03F3E">
        <w:rPr>
          <w:rFonts w:ascii="Times New Roman" w:hAnsi="Times New Roman"/>
          <w:color w:val="0070C0"/>
          <w:sz w:val="16"/>
          <w:szCs w:val="16"/>
        </w:rPr>
        <w:softHyphen/>
        <w:t>цировался в г. Луга Ленинградской области и об</w:t>
      </w:r>
      <w:r w:rsidRPr="00D03F3E">
        <w:rPr>
          <w:rFonts w:ascii="Times New Roman" w:hAnsi="Times New Roman"/>
          <w:color w:val="0070C0"/>
          <w:sz w:val="16"/>
          <w:szCs w:val="16"/>
        </w:rPr>
        <w:softHyphen/>
        <w:t>служивал Высшую офицерскую артиллерийскую школу до своего расформирования после 1950 г. (20120).</w:t>
      </w:r>
    </w:p>
    <w:p w14:paraId="03141BDF" w14:textId="77777777" w:rsidR="0015386A" w:rsidRPr="00D03F3E" w:rsidRDefault="0015386A" w:rsidP="00D03F3E">
      <w:pPr>
        <w:spacing w:after="0" w:line="240" w:lineRule="auto"/>
        <w:jc w:val="both"/>
        <w:rPr>
          <w:rFonts w:ascii="Times New Roman" w:hAnsi="Times New Roman"/>
          <w:color w:val="0070C0"/>
          <w:sz w:val="16"/>
          <w:szCs w:val="16"/>
        </w:rPr>
      </w:pPr>
    </w:p>
    <w:p w14:paraId="17EE76DB"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3252678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5A9A2F" w14:textId="77777777" w:rsidR="00234371" w:rsidRPr="00D03F3E" w:rsidRDefault="0023437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30 июня</w:t>
      </w:r>
      <w:r w:rsidRPr="00D03F3E">
        <w:rPr>
          <w:rFonts w:ascii="Times New Roman" w:hAnsi="Times New Roman"/>
          <w:color w:val="000000" w:themeColor="text1"/>
          <w:sz w:val="16"/>
          <w:szCs w:val="16"/>
        </w:rPr>
        <w:t xml:space="preserve"> в 1943 году в очередной полет на прототипе «W4046» английского экспериментального </w:t>
      </w:r>
      <w:hyperlink r:id="rId219" w:tgtFrame="_blank" w:history="1">
        <w:r w:rsidRPr="00D03F3E">
          <w:rPr>
            <w:rFonts w:ascii="Times New Roman" w:hAnsi="Times New Roman"/>
            <w:color w:val="000000" w:themeColor="text1"/>
            <w:sz w:val="16"/>
            <w:szCs w:val="16"/>
          </w:rPr>
          <w:t xml:space="preserve">«Gloster» «E.28/39» «Pioneer» </w:t>
        </w:r>
      </w:hyperlink>
      <w:r w:rsidRPr="00D03F3E">
        <w:rPr>
          <w:rFonts w:ascii="Times New Roman" w:hAnsi="Times New Roman"/>
          <w:color w:val="000000" w:themeColor="text1"/>
          <w:sz w:val="16"/>
          <w:szCs w:val="16"/>
        </w:rPr>
        <w:t>отправился скуадрон-лидер Дэйви (Davie). Когда он набрал 11280 м, элероны практически перестали реагировать на усилия летчика, а вскоре ручку управления заклинило окончательно. Самолет перевернулся на спину и вошел в штопор Дэйви изо всех сил пытался открыть фонарь и покинуть машину, но большая перегрузка не позволила этого сделать. Однако на высоте около 10000 м "Пионер" ускорил вращение, и центробежная сила выбросила пилота из кабины, фонарь которой Дэйви пробил головой. Раненый, но не потерявший сознания летчик сумел раскрыть парашют и воспользоваться имевшимся у него аварийным баллоном с кислородом Причина происшедшего оказалась до обидного простой: перед полетом механики смазали узлы навески элеронов не специальной незамерзающей смазкой, как им предписывалось, а обычным техническим вазелином, который при низких температурах превращается в некое подобие цемента. Не даром говорится - в авиации мелочей нет (14938).</w:t>
      </w:r>
    </w:p>
    <w:p w14:paraId="14D9C562" w14:textId="77777777" w:rsidR="00234371" w:rsidRPr="00D03F3E" w:rsidRDefault="00234371" w:rsidP="00D03F3E">
      <w:pPr>
        <w:spacing w:after="0" w:line="240" w:lineRule="auto"/>
        <w:jc w:val="both"/>
        <w:rPr>
          <w:rFonts w:ascii="Times New Roman" w:hAnsi="Times New Roman"/>
          <w:color w:val="000000" w:themeColor="text1"/>
          <w:sz w:val="16"/>
          <w:szCs w:val="16"/>
        </w:rPr>
      </w:pPr>
    </w:p>
    <w:p w14:paraId="0175FEF2" w14:textId="77777777" w:rsidR="00234371" w:rsidRPr="00D03F3E" w:rsidRDefault="00234371" w:rsidP="00D03F3E">
      <w:pPr>
        <w:spacing w:after="0" w:line="240" w:lineRule="auto"/>
        <w:jc w:val="both"/>
        <w:rPr>
          <w:rFonts w:ascii="Times New Roman" w:hAnsi="Times New Roman"/>
          <w:color w:val="000000" w:themeColor="text1"/>
          <w:sz w:val="16"/>
          <w:szCs w:val="16"/>
        </w:rPr>
      </w:pPr>
      <w:r w:rsidRPr="00D03F3E">
        <w:rPr>
          <w:rFonts w:ascii="Times New Roman" w:hAnsi="Times New Roman"/>
          <w:bCs/>
          <w:color w:val="000000" w:themeColor="text1"/>
          <w:sz w:val="16"/>
          <w:szCs w:val="16"/>
        </w:rPr>
        <w:t>30 июня</w:t>
      </w:r>
      <w:r w:rsidRPr="00D03F3E">
        <w:rPr>
          <w:rFonts w:ascii="Times New Roman" w:hAnsi="Times New Roman"/>
          <w:color w:val="000000" w:themeColor="text1"/>
          <w:sz w:val="16"/>
          <w:szCs w:val="16"/>
        </w:rPr>
        <w:t xml:space="preserve"> в 1943 году ВВС США заказали фирме «Northrop» 200 бомбардировщиков </w:t>
      </w:r>
      <w:hyperlink r:id="rId220" w:tgtFrame="_blank" w:history="1">
        <w:r w:rsidRPr="00D03F3E">
          <w:rPr>
            <w:rFonts w:ascii="Times New Roman" w:hAnsi="Times New Roman"/>
            <w:color w:val="000000" w:themeColor="text1"/>
            <w:sz w:val="16"/>
            <w:szCs w:val="16"/>
          </w:rPr>
          <w:t xml:space="preserve">«B-35» </w:t>
        </w:r>
      </w:hyperlink>
      <w:r w:rsidRPr="00D03F3E">
        <w:rPr>
          <w:rFonts w:ascii="Times New Roman" w:hAnsi="Times New Roman"/>
          <w:color w:val="000000" w:themeColor="text1"/>
          <w:sz w:val="16"/>
          <w:szCs w:val="16"/>
        </w:rPr>
        <w:t>Фирма «Northrop» должна была предать ВВС первый серийный бомбардировщик к июню 1945 года (14938).</w:t>
      </w:r>
    </w:p>
    <w:p w14:paraId="26C24230" w14:textId="77777777" w:rsidR="00234371" w:rsidRPr="00D03F3E" w:rsidRDefault="00234371" w:rsidP="00D03F3E">
      <w:pPr>
        <w:spacing w:after="0" w:line="240" w:lineRule="auto"/>
        <w:jc w:val="both"/>
        <w:rPr>
          <w:rFonts w:ascii="Times New Roman" w:hAnsi="Times New Roman"/>
          <w:color w:val="000000" w:themeColor="text1"/>
          <w:sz w:val="16"/>
          <w:szCs w:val="16"/>
        </w:rPr>
      </w:pPr>
    </w:p>
    <w:p w14:paraId="2FECB2E2" w14:textId="77777777" w:rsidR="0015386A" w:rsidRPr="00D03F3E" w:rsidRDefault="0015386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30 июня 1943 войска США высаживаются на острове Рендова. Атака 27 японских истребителей Zero над этим районом почти не дала результатов, и 43 американских самолета бомбили аэродром Мунда . Вечером в результате удара 25 японских торпедоносцев Mitsubishi G4M ("Бетти") в сопровождении 24 истребителей Zero был потоплен транспорт, при этом 17 самолетов G4M были сбиты силами корпуса морской пехоты США Vought F4U Corsairs и огнем зенитной артиллерии(20376).</w:t>
      </w:r>
    </w:p>
    <w:p w14:paraId="26975820" w14:textId="77777777" w:rsidR="0015386A" w:rsidRPr="00D03F3E" w:rsidRDefault="0015386A" w:rsidP="00D03F3E">
      <w:pPr>
        <w:spacing w:after="0" w:line="240" w:lineRule="auto"/>
        <w:jc w:val="both"/>
        <w:rPr>
          <w:rFonts w:ascii="Times New Roman" w:hAnsi="Times New Roman"/>
          <w:color w:val="0070C0"/>
          <w:sz w:val="16"/>
          <w:szCs w:val="16"/>
        </w:rPr>
      </w:pPr>
    </w:p>
    <w:p w14:paraId="171C9D2B" w14:textId="77777777" w:rsidR="0015386A" w:rsidRPr="00D03F3E" w:rsidRDefault="0015386A"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 30 июня 1943 с начала Второй мировой войны бомбардировочное командование Королевских ВВС потеряло 3448 самолетов - около 1600 из них – от немецких ночных истребителей - и около 20 000 членов экипажей в ходе ночных налетов. С 1 апреля бомбардировочное командование потеряло 762 самолета, 561 из них – от немецких ночных истребителей. С 1 ноября 1942 года Италия потеряла 2190 военных самолетов и еще 1790 получили повреждения (29376).</w:t>
      </w:r>
    </w:p>
    <w:p w14:paraId="3FC6306C" w14:textId="77777777" w:rsidR="0015386A" w:rsidRPr="00D03F3E" w:rsidRDefault="0015386A" w:rsidP="00D03F3E">
      <w:pPr>
        <w:spacing w:after="0" w:line="240" w:lineRule="auto"/>
        <w:jc w:val="both"/>
        <w:rPr>
          <w:rFonts w:ascii="Times New Roman" w:hAnsi="Times New Roman"/>
          <w:color w:val="0070C0"/>
          <w:sz w:val="16"/>
          <w:szCs w:val="16"/>
        </w:rPr>
      </w:pPr>
    </w:p>
    <w:p w14:paraId="0571EEB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июня 1943 итальянский боевой пловец поставил мину Баулетти и 6 июля 1943 у берегов Сирии взорвалось греческое судно Орион (7000 т). Атаки 19 июля и 30 июля оказались неудачными, т.к. в первом случае одна мина не взорвалась, а во втором - ее обнаружили водолазы. Успех пришел 2 августа (3961, 59).</w:t>
      </w:r>
    </w:p>
    <w:p w14:paraId="7EE018E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27D7AD" w14:textId="77777777" w:rsidR="003B6CA5" w:rsidRPr="00D03F3E"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июня 1943 Американские войска высадились на Соломоновых островах и на острове Новая Гвинея в Тихом океане</w:t>
      </w:r>
    </w:p>
    <w:p w14:paraId="7189FF3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107BB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30 июня 1943 с высадкой американских войск на Соломоновы острова и Новую Гвинею началось массированное наступление союзников на Тихом океане под командованием г МакКартура (тактика прыжков с острова на остров) (3186).</w:t>
      </w:r>
    </w:p>
    <w:p w14:paraId="516788E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FCDDB1"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7ED190D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AF45A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июня 1943 на 18 завод прибыла группа конструкторов ОКБ с чертежами новой машины - Ил-10 (23,133).</w:t>
      </w:r>
    </w:p>
    <w:p w14:paraId="070FE9B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85E75A" w14:textId="77777777" w:rsidR="00234371" w:rsidRPr="00D03F3E" w:rsidRDefault="0023437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июня 1943 г. Михаил Ивано</w:t>
      </w:r>
      <w:r w:rsidRPr="00D03F3E">
        <w:rPr>
          <w:rFonts w:ascii="Times New Roman" w:hAnsi="Times New Roman"/>
          <w:color w:val="000000" w:themeColor="text1"/>
          <w:sz w:val="16"/>
          <w:szCs w:val="16"/>
        </w:rPr>
        <w:softHyphen/>
        <w:t>вич Гудков представил на рассмотрение Председателю ГКО И.В. Сталину, Секретарю ЦК Г.М. Маленкову и Наркому авиапрома А.И. Шахурину про</w:t>
      </w:r>
      <w:r w:rsidRPr="00D03F3E">
        <w:rPr>
          <w:rFonts w:ascii="Times New Roman" w:hAnsi="Times New Roman"/>
          <w:color w:val="000000" w:themeColor="text1"/>
          <w:sz w:val="16"/>
          <w:szCs w:val="16"/>
        </w:rPr>
        <w:softHyphen/>
        <w:t>ект высотного скоростного истребителя-перехватчика ЛаГГ-3 с мотором Добрынина М-250. За основу брался серийный ЛаГГ-3, на котором повышалась прочность отдель</w:t>
      </w:r>
      <w:r w:rsidRPr="00D03F3E">
        <w:rPr>
          <w:rFonts w:ascii="Times New Roman" w:hAnsi="Times New Roman"/>
          <w:color w:val="000000" w:themeColor="text1"/>
          <w:sz w:val="16"/>
          <w:szCs w:val="16"/>
        </w:rPr>
        <w:softHyphen/>
        <w:t>ных силовых элементов конструкции. При огромном для советских одномоторных ис</w:t>
      </w:r>
      <w:r w:rsidRPr="00D03F3E">
        <w:rPr>
          <w:rFonts w:ascii="Times New Roman" w:hAnsi="Times New Roman"/>
          <w:color w:val="000000" w:themeColor="text1"/>
          <w:sz w:val="16"/>
          <w:szCs w:val="16"/>
        </w:rPr>
        <w:softHyphen/>
        <w:t>требителей полётном весе 4500 кг (вооружение должно было состоять из двух уста</w:t>
      </w:r>
      <w:r w:rsidRPr="00D03F3E">
        <w:rPr>
          <w:rFonts w:ascii="Times New Roman" w:hAnsi="Times New Roman"/>
          <w:color w:val="000000" w:themeColor="text1"/>
          <w:sz w:val="16"/>
          <w:szCs w:val="16"/>
        </w:rPr>
        <w:softHyphen/>
        <w:t>новленных в крыле 20-мм пушек ШВАК), он обещал лётные характеристики, за исклю</w:t>
      </w:r>
      <w:r w:rsidRPr="00D03F3E">
        <w:rPr>
          <w:rFonts w:ascii="Times New Roman" w:hAnsi="Times New Roman"/>
          <w:color w:val="000000" w:themeColor="text1"/>
          <w:sz w:val="16"/>
          <w:szCs w:val="16"/>
        </w:rPr>
        <w:softHyphen/>
        <w:t>чением дальности полета 1250 км (при наивыгоднейшей скорости), значительно пре</w:t>
      </w:r>
      <w:r w:rsidRPr="00D03F3E">
        <w:rPr>
          <w:rFonts w:ascii="Times New Roman" w:hAnsi="Times New Roman"/>
          <w:color w:val="000000" w:themeColor="text1"/>
          <w:sz w:val="16"/>
          <w:szCs w:val="16"/>
        </w:rPr>
        <w:softHyphen/>
        <w:t>восходящие все существующие поршневые истребители. Так максимальная скорость полёта на высоте 11500 м предполагалась равной 800-810 км/ч, практический потолок — 14000 м, набирать который ЛаГГ-3 с М-250 должен был за 18,5 минут.</w:t>
      </w:r>
    </w:p>
    <w:p w14:paraId="14092151" w14:textId="77777777" w:rsidR="00234371" w:rsidRPr="00D03F3E" w:rsidRDefault="0023437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нарком Шахурин придерживался другого мнения по поводу установки М-250 на ЛаГГ-3: «...Применение М-250 на истребителе требует создания нового самолёта или пе</w:t>
      </w:r>
      <w:r w:rsidRPr="00D03F3E">
        <w:rPr>
          <w:rFonts w:ascii="Times New Roman" w:hAnsi="Times New Roman"/>
          <w:color w:val="000000" w:themeColor="text1"/>
          <w:sz w:val="16"/>
          <w:szCs w:val="16"/>
        </w:rPr>
        <w:softHyphen/>
        <w:t>ределки строящегося опытного и невозможно для серийных истребителей из-за значи</w:t>
      </w:r>
      <w:r w:rsidRPr="00D03F3E">
        <w:rPr>
          <w:rFonts w:ascii="Times New Roman" w:hAnsi="Times New Roman"/>
          <w:color w:val="000000" w:themeColor="text1"/>
          <w:sz w:val="16"/>
          <w:szCs w:val="16"/>
        </w:rPr>
        <w:softHyphen/>
        <w:t>тельного увеличения полётного веса...». Этот проект, скорее всего, являлся «жестом отчаяния» М.И. Гудкова, авторитет которого после катастрофы Гу-1 и гибели А.И. Никашина (со дня катастрофы 12 июня до отправки письма Сталину по ЛаГГу с М-250 про</w:t>
      </w:r>
      <w:r w:rsidRPr="00D03F3E">
        <w:rPr>
          <w:rFonts w:ascii="Times New Roman" w:hAnsi="Times New Roman"/>
          <w:color w:val="000000" w:themeColor="text1"/>
          <w:sz w:val="16"/>
          <w:szCs w:val="16"/>
        </w:rPr>
        <w:softHyphen/>
        <w:t>шло всего чуть более двух недель), являлся величиной, близкой к нулю. Естественно, предложение по ЛаГГ-3 с М-250 осталось нереализованным, а самого Гудкова вскоре назначили заместителем начальника ОТК на эвакуированный из Химок в Ташкент авиа</w:t>
      </w:r>
      <w:r w:rsidRPr="00D03F3E">
        <w:rPr>
          <w:rFonts w:ascii="Times New Roman" w:hAnsi="Times New Roman"/>
          <w:color w:val="000000" w:themeColor="text1"/>
          <w:sz w:val="16"/>
          <w:szCs w:val="16"/>
        </w:rPr>
        <w:softHyphen/>
        <w:t>ционный завод № 84 — такую оценку получили его работы по Гу-1 (15830).</w:t>
      </w:r>
    </w:p>
    <w:p w14:paraId="3D4FEE0D" w14:textId="77777777" w:rsidR="00234371" w:rsidRPr="00D03F3E" w:rsidRDefault="00234371" w:rsidP="00D03F3E">
      <w:pPr>
        <w:spacing w:after="0" w:line="240" w:lineRule="auto"/>
        <w:jc w:val="both"/>
        <w:rPr>
          <w:rFonts w:ascii="Times New Roman" w:hAnsi="Times New Roman"/>
          <w:color w:val="000000" w:themeColor="text1"/>
          <w:sz w:val="16"/>
          <w:szCs w:val="16"/>
        </w:rPr>
      </w:pPr>
    </w:p>
    <w:p w14:paraId="3E6C4975"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5B4AD41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B72DE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Ил-2 с МВ-3 в це</w:t>
      </w:r>
      <w:r w:rsidRPr="00D03F3E">
        <w:rPr>
          <w:rFonts w:ascii="Times New Roman" w:hAnsi="Times New Roman"/>
          <w:color w:val="000000" w:themeColor="text1"/>
          <w:sz w:val="16"/>
          <w:szCs w:val="16"/>
        </w:rPr>
        <w:softHyphen/>
        <w:t>лом удовлетворительно прошел государ</w:t>
      </w:r>
      <w:r w:rsidRPr="00D03F3E">
        <w:rPr>
          <w:rFonts w:ascii="Times New Roman" w:hAnsi="Times New Roman"/>
          <w:color w:val="000000" w:themeColor="text1"/>
          <w:sz w:val="16"/>
          <w:szCs w:val="16"/>
        </w:rPr>
        <w:softHyphen/>
        <w:t>ственные испытания в НИИ ВВС КА. Однако громоздкий полукруглый экран турели создавал большое аэродинами</w:t>
      </w:r>
      <w:r w:rsidRPr="00D03F3E">
        <w:rPr>
          <w:rFonts w:ascii="Times New Roman" w:hAnsi="Times New Roman"/>
          <w:color w:val="000000" w:themeColor="text1"/>
          <w:sz w:val="16"/>
          <w:szCs w:val="16"/>
        </w:rPr>
        <w:softHyphen/>
        <w:t>ческое сопротивление и сильно ухудшал летные данные штурмовика, что, собственно говоря, и повлияло на отрица</w:t>
      </w:r>
      <w:r w:rsidRPr="00D03F3E">
        <w:rPr>
          <w:rFonts w:ascii="Times New Roman" w:hAnsi="Times New Roman"/>
          <w:color w:val="000000" w:themeColor="text1"/>
          <w:sz w:val="16"/>
          <w:szCs w:val="16"/>
        </w:rPr>
        <w:softHyphen/>
        <w:t>тельное решение о запуске в серийное производство этой модификации "Ила" (6467).</w:t>
      </w:r>
    </w:p>
    <w:p w14:paraId="6E67DB1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4BFC3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 в НИИ ВВС в целом удовлетворительно прошел государственные испытания Ил-2, оборудованный турельной установкой клычной системы МВ-З конструкции Можаровского и Вене- видова с пулеметом УБТ. Турель МВ-З обеспечивала значительные горизонтальные (±120°) и вертикальные (+45°,-15°) углы перемещения оружия и позволяла, благодаря наличию аэродинамического компенсатора, вести прицельный огонь при скоростях полета свыше 400 км/ч. Однако громоздкий полукруглый экран турели создавал большое аэродинамическое сопротивление и сильно ухудшал летные данные штурмовика, что, собственно говоря, и повлияло на отрицательное решение о запуске в серийное производство этой модификации Ил-2 (12020).</w:t>
      </w:r>
    </w:p>
    <w:p w14:paraId="7B175FC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C2766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 в составе НКАП была создана Главная инспекция по качеству, и одновременно было проведено значительное расширение штатов Управления заказов и Военной приемки, а также укомплектование последних квалифицированными специалистами.</w:t>
      </w:r>
    </w:p>
    <w:p w14:paraId="2144A23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авиазаводах был введен жесткий контроль качества фанеры, склейки крыла, приклейки фанеры к каркасу крыла, изменена технология лакокрасочных покрытий, а также проведена работа по усилению деревянного фюзеляжа до требуемых норм прочности.</w:t>
      </w:r>
    </w:p>
    <w:p w14:paraId="610EC65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авиачастях действующей армии в соответствии с ремонтными бюллетенями заводов в срочном порядке был организован технический осмотр всех самолетов Ил-2 и ремонт обшивки крыльев и фюзеляжа силами техсостава полков, ПАРМ и заводскими бригадами. Для ускорения работы по вводу в строй неисправных самолетов на фронт были направлены дополнительные заводские бригады.</w:t>
      </w:r>
    </w:p>
    <w:p w14:paraId="0EDB7BE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Командующие и главные инженеры воздушных армий, ВВС фронтов и округов обязывались обеспечить жесткий контроль исполнения техническим составом инструкций и указаний о порядке обслуживания и ремонта самолетов деревянной и смешанной конструкции. Каждый случай выхода из строя самолетов вследствие загнивания древесины и фанерного покрытия или по другим не боевым причинам должен был расследоваться, а виновные привлекаться к ответственности (12020).</w:t>
      </w:r>
    </w:p>
    <w:p w14:paraId="152C27C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FECA3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 в НИИ ВВС в целом удовлетворительно про</w:t>
      </w:r>
      <w:r w:rsidRPr="00D03F3E">
        <w:rPr>
          <w:rFonts w:ascii="Times New Roman" w:hAnsi="Times New Roman"/>
          <w:color w:val="000000" w:themeColor="text1"/>
          <w:sz w:val="16"/>
          <w:szCs w:val="16"/>
        </w:rPr>
        <w:softHyphen/>
        <w:t>шел государственные испытания Ил-2, оборудованный турелъ-ной установкой клычной системы МВ-3 конструкции Можаровского и Веневидова с пулеметом УБТ. Турель МВ-3 обеспечивала значительные горизонтальные (—120°) и вертикальные (+45°, —15°) утлы перемещения оружия и позволяла, благодаря нали</w:t>
      </w:r>
      <w:r w:rsidRPr="00D03F3E">
        <w:rPr>
          <w:rFonts w:ascii="Times New Roman" w:hAnsi="Times New Roman"/>
          <w:color w:val="000000" w:themeColor="text1"/>
          <w:sz w:val="16"/>
          <w:szCs w:val="16"/>
        </w:rPr>
        <w:softHyphen/>
        <w:t>чию аэродинамического компенсатора, вести прицельный огонь при скоростях полета свыше 400 км/ч. Однако громоздкий полу</w:t>
      </w:r>
      <w:r w:rsidRPr="00D03F3E">
        <w:rPr>
          <w:rFonts w:ascii="Times New Roman" w:hAnsi="Times New Roman"/>
          <w:color w:val="000000" w:themeColor="text1"/>
          <w:sz w:val="16"/>
          <w:szCs w:val="16"/>
        </w:rPr>
        <w:softHyphen/>
        <w:t>круглый экран турели создавал большое аэродинамическое со</w:t>
      </w:r>
      <w:r w:rsidRPr="00D03F3E">
        <w:rPr>
          <w:rFonts w:ascii="Times New Roman" w:hAnsi="Times New Roman"/>
          <w:color w:val="000000" w:themeColor="text1"/>
          <w:sz w:val="16"/>
          <w:szCs w:val="16"/>
        </w:rPr>
        <w:softHyphen/>
        <w:t>противление и сильно ухудшал летные данные штурмовика. Именно это обстоятельство и повлияло на отрицательное реше</w:t>
      </w:r>
      <w:r w:rsidRPr="00D03F3E">
        <w:rPr>
          <w:rFonts w:ascii="Times New Roman" w:hAnsi="Times New Roman"/>
          <w:color w:val="000000" w:themeColor="text1"/>
          <w:sz w:val="16"/>
          <w:szCs w:val="16"/>
        </w:rPr>
        <w:softHyphen/>
        <w:t>ние о запуске в серийное производство этой модификации Ил-2 (111474,385).</w:t>
      </w:r>
    </w:p>
    <w:p w14:paraId="1EA19B4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CE6B60" w14:textId="77777777" w:rsidR="00D267F9" w:rsidRPr="00D03F3E" w:rsidRDefault="00D267F9"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В июне 1943 г. в ходе полигонных испытаний Ил-2 с 11П специалисты НИИ АВ указали «мероприятие, улучшающее работу левой установки (вкладыш в горловину приемного рукава), но это мероприя</w:t>
      </w:r>
      <w:r w:rsidRPr="00D03F3E">
        <w:rPr>
          <w:color w:val="000000" w:themeColor="text1"/>
          <w:sz w:val="16"/>
          <w:szCs w:val="16"/>
        </w:rPr>
        <w:softHyphen/>
        <w:t>тие игнорировалось ОКБ завода № 240 до сентября 1943 г.» (17500).</w:t>
      </w:r>
    </w:p>
    <w:p w14:paraId="61FA1C63" w14:textId="77777777" w:rsidR="00D267F9" w:rsidRPr="00D03F3E" w:rsidRDefault="00D267F9" w:rsidP="00D03F3E">
      <w:pPr>
        <w:spacing w:after="0" w:line="240" w:lineRule="auto"/>
        <w:jc w:val="both"/>
        <w:rPr>
          <w:rFonts w:ascii="Times New Roman" w:hAnsi="Times New Roman"/>
          <w:color w:val="000000" w:themeColor="text1"/>
          <w:sz w:val="16"/>
          <w:szCs w:val="16"/>
        </w:rPr>
      </w:pPr>
    </w:p>
    <w:p w14:paraId="531FEBFD" w14:textId="77777777" w:rsidR="00D267F9" w:rsidRPr="00D03F3E" w:rsidRDefault="00D267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В июне 1943 опытная партия фибровых баков для Ил-2 завода № 30 проходила летно-эксплуатационные заводские испытания, после чего они пошли в массовую серию (17733). </w:t>
      </w:r>
    </w:p>
    <w:p w14:paraId="0AAD2394" w14:textId="77777777" w:rsidR="00D267F9" w:rsidRPr="00D03F3E" w:rsidRDefault="00D267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F3A9000" w14:textId="77777777" w:rsidR="00D267F9" w:rsidRPr="00D03F3E" w:rsidRDefault="00D267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июне 1943 г. Завод №1 им. Сталина (г. Куйбышев) также выпустил опытные образцы деревянных бензобаков для самолета Ил-2. Впрочем, особого успеха такие баки не имели, хотя и прошли заводские летно-эксплуатационные испытания (17733).</w:t>
      </w:r>
    </w:p>
    <w:p w14:paraId="74B3226B" w14:textId="77777777" w:rsidR="00D267F9" w:rsidRPr="00D03F3E" w:rsidRDefault="00D267F9" w:rsidP="00D03F3E">
      <w:pPr>
        <w:spacing w:after="0" w:line="240" w:lineRule="auto"/>
        <w:jc w:val="both"/>
        <w:rPr>
          <w:rFonts w:ascii="Times New Roman" w:hAnsi="Times New Roman"/>
          <w:color w:val="000000" w:themeColor="text1"/>
          <w:sz w:val="16"/>
          <w:szCs w:val="16"/>
        </w:rPr>
      </w:pPr>
    </w:p>
    <w:p w14:paraId="173C5B9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проходили войсковые испытания задней ограниченно подвижной установки УБШ под УБТ-12.7 мм (завод 487 с 4 магазинами по 50 патронов) и целесообразность установки на Ил-2 взамен ВУБ-3 (1861).</w:t>
      </w:r>
    </w:p>
    <w:p w14:paraId="01922E9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11E09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в частях 1-й воздушной армии неудачно за</w:t>
      </w:r>
      <w:r w:rsidRPr="00D03F3E">
        <w:rPr>
          <w:rFonts w:ascii="Times New Roman" w:hAnsi="Times New Roman"/>
          <w:color w:val="000000" w:themeColor="text1"/>
          <w:sz w:val="16"/>
          <w:szCs w:val="16"/>
        </w:rPr>
        <w:softHyphen/>
        <w:t>вершились войсковые испытания оборонительной установки УБШ конструкции Шебанова (завод № 487 НКВ).</w:t>
      </w:r>
    </w:p>
    <w:p w14:paraId="28E2189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Установка состояла из подпятника, укрепленного на жест</w:t>
      </w:r>
      <w:r w:rsidRPr="00D03F3E">
        <w:rPr>
          <w:rFonts w:ascii="Times New Roman" w:hAnsi="Times New Roman"/>
          <w:color w:val="000000" w:themeColor="text1"/>
          <w:sz w:val="16"/>
          <w:szCs w:val="16"/>
        </w:rPr>
        <w:softHyphen/>
        <w:t>кости фюзеляжа, вильчатого шкворня, вертлюга, лафета и меха</w:t>
      </w:r>
      <w:r w:rsidRPr="00D03F3E">
        <w:rPr>
          <w:rFonts w:ascii="Times New Roman" w:hAnsi="Times New Roman"/>
          <w:color w:val="000000" w:themeColor="text1"/>
          <w:sz w:val="16"/>
          <w:szCs w:val="16"/>
        </w:rPr>
        <w:softHyphen/>
        <w:t>низма стабилизации вектора собственной скорости самолета. Боекомплект к пулемету УБТ включал четыре магазина по 50 патронов в штатной ленте. Запасные магазины крепились на специальных замках, расположенных по бортам кабины стрел</w:t>
      </w:r>
      <w:r w:rsidRPr="00D03F3E">
        <w:rPr>
          <w:rFonts w:ascii="Times New Roman" w:hAnsi="Times New Roman"/>
          <w:color w:val="000000" w:themeColor="text1"/>
          <w:sz w:val="16"/>
          <w:szCs w:val="16"/>
        </w:rPr>
        <w:softHyphen/>
        <w:t>ка. Гильзы и звенья собирались в легкосъемный мешок, подве</w:t>
      </w:r>
      <w:r w:rsidRPr="00D03F3E">
        <w:rPr>
          <w:rFonts w:ascii="Times New Roman" w:hAnsi="Times New Roman"/>
          <w:color w:val="000000" w:themeColor="text1"/>
          <w:sz w:val="16"/>
          <w:szCs w:val="16"/>
        </w:rPr>
        <w:softHyphen/>
        <w:t>шиваемый на лафете пулемета. К установке прилагались два мешка — по одному мешку на два магазина.</w:t>
      </w:r>
    </w:p>
    <w:p w14:paraId="04D610F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Прицеливание осуществлялось при помощи прицела К-8Т. Наводка пулемета на цель выполнялась путем переброски Ил-2 АМ-38ф с турельной установкой вертлюга в горизонтальной плоскости и поворота оружия во</w:t>
      </w:r>
      <w:r w:rsidRPr="00D03F3E">
        <w:rPr>
          <w:rFonts w:ascii="Times New Roman" w:hAnsi="Times New Roman"/>
          <w:color w:val="000000" w:themeColor="text1"/>
          <w:sz w:val="16"/>
          <w:szCs w:val="16"/>
        </w:rPr>
        <w:softHyphen/>
        <w:t>круг оси вильчатого шкворня.</w:t>
      </w:r>
    </w:p>
    <w:p w14:paraId="2356228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Установка была легка в управлении и в сравнении с ВУБ-3 обеспечивала больший диапазон углов обстрела и меньшее рас</w:t>
      </w:r>
      <w:r w:rsidRPr="00D03F3E">
        <w:rPr>
          <w:rFonts w:ascii="Times New Roman" w:hAnsi="Times New Roman"/>
          <w:color w:val="000000" w:themeColor="text1"/>
          <w:sz w:val="16"/>
          <w:szCs w:val="16"/>
        </w:rPr>
        <w:softHyphen/>
        <w:t>сеивание при стрельбе в воздухе. Однако высокий процент за</w:t>
      </w:r>
      <w:r w:rsidRPr="00D03F3E">
        <w:rPr>
          <w:rFonts w:ascii="Times New Roman" w:hAnsi="Times New Roman"/>
          <w:color w:val="000000" w:themeColor="text1"/>
          <w:sz w:val="16"/>
          <w:szCs w:val="16"/>
        </w:rPr>
        <w:softHyphen/>
        <w:t>держек при стрельбе по вине установки не позволил рекомендо</w:t>
      </w:r>
      <w:r w:rsidRPr="00D03F3E">
        <w:rPr>
          <w:rFonts w:ascii="Times New Roman" w:hAnsi="Times New Roman"/>
          <w:color w:val="000000" w:themeColor="text1"/>
          <w:sz w:val="16"/>
          <w:szCs w:val="16"/>
        </w:rPr>
        <w:softHyphen/>
        <w:t>вать ее к внедрению в серийное производство.</w:t>
      </w:r>
    </w:p>
    <w:p w14:paraId="3A77A1D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ряда доработок установка 17 мая 1944 г. была пред</w:t>
      </w:r>
      <w:r w:rsidRPr="00D03F3E">
        <w:rPr>
          <w:rFonts w:ascii="Times New Roman" w:hAnsi="Times New Roman"/>
          <w:color w:val="000000" w:themeColor="text1"/>
          <w:sz w:val="16"/>
          <w:szCs w:val="16"/>
        </w:rPr>
        <w:softHyphen/>
        <w:t>ставлена в НИИ ВВС для производства государственных ис</w:t>
      </w:r>
      <w:r w:rsidRPr="00D03F3E">
        <w:rPr>
          <w:rFonts w:ascii="Times New Roman" w:hAnsi="Times New Roman"/>
          <w:color w:val="000000" w:themeColor="text1"/>
          <w:sz w:val="16"/>
          <w:szCs w:val="16"/>
        </w:rPr>
        <w:softHyphen/>
        <w:t>пытаний.</w:t>
      </w:r>
    </w:p>
    <w:p w14:paraId="1A884DD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Модифицированная установка УБШ была смонтирована на серийном самолете Ил-2 зав. 304128 производства завода № 30.</w:t>
      </w:r>
    </w:p>
    <w:p w14:paraId="7A1EBBF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отличие от образца, проходившего войсковые испыта</w:t>
      </w:r>
      <w:r w:rsidRPr="00D03F3E">
        <w:rPr>
          <w:rFonts w:ascii="Times New Roman" w:hAnsi="Times New Roman"/>
          <w:color w:val="000000" w:themeColor="text1"/>
          <w:sz w:val="16"/>
          <w:szCs w:val="16"/>
        </w:rPr>
        <w:softHyphen/>
        <w:t>ния, изменена лейка крепления вертлюга к основанию, смон</w:t>
      </w:r>
      <w:r w:rsidRPr="00D03F3E">
        <w:rPr>
          <w:rFonts w:ascii="Times New Roman" w:hAnsi="Times New Roman"/>
          <w:color w:val="000000" w:themeColor="text1"/>
          <w:sz w:val="16"/>
          <w:szCs w:val="16"/>
        </w:rPr>
        <w:softHyphen/>
        <w:t>тирован ограничитель вертикальных углов и установлен плече</w:t>
      </w:r>
      <w:r w:rsidRPr="00D03F3E">
        <w:rPr>
          <w:rFonts w:ascii="Times New Roman" w:hAnsi="Times New Roman"/>
          <w:color w:val="000000" w:themeColor="text1"/>
          <w:sz w:val="16"/>
          <w:szCs w:val="16"/>
        </w:rPr>
        <w:softHyphen/>
        <w:t>вой упор.</w:t>
      </w:r>
    </w:p>
    <w:p w14:paraId="081DFFE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Всесторонние испытания, в том числе воздушные бои с ис</w:t>
      </w:r>
      <w:r w:rsidRPr="00D03F3E">
        <w:rPr>
          <w:rFonts w:ascii="Times New Roman" w:hAnsi="Times New Roman"/>
          <w:color w:val="000000" w:themeColor="text1"/>
          <w:sz w:val="16"/>
          <w:szCs w:val="16"/>
        </w:rPr>
        <w:softHyphen/>
        <w:t>требителем Ла-5, показали, что УБШ не имеет явных преиму</w:t>
      </w:r>
      <w:r w:rsidRPr="00D03F3E">
        <w:rPr>
          <w:rFonts w:ascii="Times New Roman" w:hAnsi="Times New Roman"/>
          <w:color w:val="000000" w:themeColor="text1"/>
          <w:sz w:val="16"/>
          <w:szCs w:val="16"/>
        </w:rPr>
        <w:softHyphen/>
        <w:t>ществ перед ВУБ-3. К тому же установка оказалась ненадеж</w:t>
      </w:r>
      <w:r w:rsidRPr="00D03F3E">
        <w:rPr>
          <w:rFonts w:ascii="Times New Roman" w:hAnsi="Times New Roman"/>
          <w:color w:val="000000" w:themeColor="text1"/>
          <w:sz w:val="16"/>
          <w:szCs w:val="16"/>
        </w:rPr>
        <w:softHyphen/>
        <w:t>ной в работе. В семи полетах из 11 были неустранимые в возду</w:t>
      </w:r>
      <w:r w:rsidRPr="00D03F3E">
        <w:rPr>
          <w:rFonts w:ascii="Times New Roman" w:hAnsi="Times New Roman"/>
          <w:color w:val="000000" w:themeColor="text1"/>
          <w:sz w:val="16"/>
          <w:szCs w:val="16"/>
        </w:rPr>
        <w:softHyphen/>
        <w:t>хе задержки в стрельбе. В силу этого был сделан вывод о нецелесообразности внедрения турели УБШ в серийное про</w:t>
      </w:r>
      <w:r w:rsidRPr="00D03F3E">
        <w:rPr>
          <w:rFonts w:ascii="Times New Roman" w:hAnsi="Times New Roman"/>
          <w:color w:val="000000" w:themeColor="text1"/>
          <w:sz w:val="16"/>
          <w:szCs w:val="16"/>
        </w:rPr>
        <w:softHyphen/>
        <w:t>изводство, так как она «не улучшает обороноспособности са</w:t>
      </w:r>
      <w:r w:rsidRPr="00D03F3E">
        <w:rPr>
          <w:rFonts w:ascii="Times New Roman" w:hAnsi="Times New Roman"/>
          <w:color w:val="000000" w:themeColor="text1"/>
          <w:sz w:val="16"/>
          <w:szCs w:val="16"/>
        </w:rPr>
        <w:softHyphen/>
        <w:t>молета Ил-2 и имеет недостаточную живучесть» (111474,385).</w:t>
      </w:r>
    </w:p>
    <w:p w14:paraId="01EED62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994C9C" w14:textId="77777777" w:rsidR="00175E65" w:rsidRPr="00D03F3E" w:rsidRDefault="00175E65"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 июне 1943 специалистами ОКБ Илью</w:t>
      </w:r>
      <w:r w:rsidRPr="00D03F3E">
        <w:rPr>
          <w:rFonts w:ascii="Times New Roman" w:hAnsi="Times New Roman" w:cs="Times New Roman"/>
          <w:color w:val="000000" w:themeColor="text1"/>
          <w:sz w:val="16"/>
          <w:szCs w:val="16"/>
        </w:rPr>
        <w:softHyphen/>
        <w:t>шина была разработана более совершен</w:t>
      </w:r>
      <w:r w:rsidRPr="00D03F3E">
        <w:rPr>
          <w:rFonts w:ascii="Times New Roman" w:hAnsi="Times New Roman" w:cs="Times New Roman"/>
          <w:color w:val="000000" w:themeColor="text1"/>
          <w:sz w:val="16"/>
          <w:szCs w:val="16"/>
        </w:rPr>
        <w:softHyphen/>
        <w:t>ная технология полевого ремонта дере</w:t>
      </w:r>
      <w:r w:rsidRPr="00D03F3E">
        <w:rPr>
          <w:rFonts w:ascii="Times New Roman" w:hAnsi="Times New Roman" w:cs="Times New Roman"/>
          <w:color w:val="000000" w:themeColor="text1"/>
          <w:sz w:val="16"/>
          <w:szCs w:val="16"/>
        </w:rPr>
        <w:softHyphen/>
        <w:t>вянных агрегатов крыла самолетов Ил-2 (19558).</w:t>
      </w:r>
    </w:p>
    <w:p w14:paraId="0E1CE55A" w14:textId="77777777" w:rsidR="00175E65" w:rsidRPr="00D03F3E" w:rsidRDefault="00175E65" w:rsidP="00D03F3E">
      <w:pPr>
        <w:pStyle w:val="184"/>
        <w:shd w:val="clear" w:color="auto" w:fill="auto"/>
        <w:spacing w:before="0" w:after="0" w:line="240" w:lineRule="auto"/>
        <w:rPr>
          <w:rFonts w:ascii="Times New Roman" w:hAnsi="Times New Roman" w:cs="Times New Roman"/>
          <w:color w:val="000000" w:themeColor="text1"/>
          <w:sz w:val="16"/>
          <w:szCs w:val="16"/>
        </w:rPr>
      </w:pPr>
    </w:p>
    <w:p w14:paraId="05976EA9" w14:textId="77777777" w:rsidR="00234371" w:rsidRPr="00D03F3E" w:rsidRDefault="00234371"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В июне 1943 г. заведующий отделом Управления кадров ЦК ВКП(б) А.В. Будников в своём обращении к секретарю ЦК ВКП(б) Г.М. Маленкову предложил «в целях лучшей отработки самолёта Су-6 сосредоточить все силы конструкторского бюро с опытным заводом т. Сухого на одной производственной базе — на заводе № 380 в г. Калинин</w:t>
      </w:r>
      <w:r w:rsidRPr="00D03F3E">
        <w:rPr>
          <w:rFonts w:ascii="Times New Roman" w:cs="Times New Roman"/>
          <w:color w:val="000000" w:themeColor="text1"/>
          <w:spacing w:val="0"/>
          <w:sz w:val="16"/>
          <w:szCs w:val="16"/>
        </w:rPr>
        <w:softHyphen/>
        <w:t>граде, под Москвой» (15792).</w:t>
      </w:r>
    </w:p>
    <w:p w14:paraId="1D7D0F61" w14:textId="77777777" w:rsidR="00234371" w:rsidRPr="00D03F3E" w:rsidRDefault="00234371" w:rsidP="00D03F3E">
      <w:pPr>
        <w:pStyle w:val="36"/>
        <w:shd w:val="clear" w:color="auto" w:fill="auto"/>
        <w:spacing w:after="0" w:line="240" w:lineRule="auto"/>
        <w:jc w:val="both"/>
        <w:rPr>
          <w:rFonts w:ascii="Times New Roman" w:cs="Times New Roman"/>
          <w:color w:val="000000" w:themeColor="text1"/>
          <w:spacing w:val="0"/>
          <w:sz w:val="16"/>
          <w:szCs w:val="16"/>
        </w:rPr>
      </w:pPr>
    </w:p>
    <w:p w14:paraId="61C3C8BD" w14:textId="77777777" w:rsidR="00D40E16" w:rsidRPr="00D03F3E" w:rsidRDefault="00D40E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года заведующий отделом Управления кадров ЦК ВКП(б) А.В.Будников в своем обращении к секретарю ЦК ВКП(б) Г.М.Маленкову доложил, что: «Главный конструктор т . Сухой П.О. разработал конструкцию самолета-штурмовика Су-6 с мотором М-71. 1-й вариант – одноместный был готов и прошел госиспытания в апреле 1942 года с положительной оценкой. 2-й вариант – двухместный закончен в марте 1943 года и прошел полные заводские испытания в мае с.г. также с положительной оценкой. Сравнительные данные самолетов Су-6 и Ил-2 Су-6 двухместный с М-71Ф Су-6 одноместный с М-71Ф Ил-2 двухместный с АМ-38 Ил-2 с АМ-42 (расчет.) Скорость у земли на номинальной мощности 492 445 403 423 Скорость на расчетной высоте 560/ 4500 491/ 2500 420/ 2000 440/ 1500 Дальность максимальная 650 576 690 700-900 Преимущество самолета-штурмовика Су-6 с мотором М-71Ф по сравнению с Ил-2 с АМ-38 и Ил-2 с АМ-42 заключается в преобладании скорости и улучшенной броневой защите. Отзывы боевых летчиков и летчиков-испытателей в части удобств управления самолетом Су-6 и простоты его обслуживания, а также маневренности, самые положительные. В целях лучшей отработки самолета Су-6 отдел Управления кадров считает необходимым сосредоточить все силы конструкторского бюро с опытным заводом т. Сухого на одной производственной базе – на заводе № 380 в г. Калининграде, под Москвой. Площади, занимаемые конструкторским бюро т . Сухого (завод № 289 в г. Молотове), будут переданы заводу № 19, который в них нуждается.» (После эвакуации завода № 289 (ОКБ П.О. Сухого) в Молотов, на его площадях был развернут завод по ремонту самолетов, получивший в июне 1942 года № 380 и вошедший в 6 ГУ НКАП.) (19769).</w:t>
      </w:r>
    </w:p>
    <w:p w14:paraId="2EF8E5F5" w14:textId="77777777" w:rsidR="00D40E16" w:rsidRPr="00D03F3E" w:rsidRDefault="00D40E16" w:rsidP="00D03F3E">
      <w:pPr>
        <w:spacing w:after="0" w:line="240" w:lineRule="auto"/>
        <w:jc w:val="both"/>
        <w:rPr>
          <w:rFonts w:ascii="Times New Roman" w:hAnsi="Times New Roman"/>
          <w:color w:val="000000" w:themeColor="text1"/>
          <w:sz w:val="16"/>
          <w:szCs w:val="16"/>
        </w:rPr>
      </w:pPr>
    </w:p>
    <w:p w14:paraId="1D9AC60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в ЛИИ был подготовлен отчет о работах за июнь 1943: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8988"/>
      </w:tblGrid>
      <w:tr w:rsidR="00860B4B" w:rsidRPr="00D03F3E" w14:paraId="6F5D502C" w14:textId="77777777">
        <w:tc>
          <w:tcPr>
            <w:tcW w:w="1610" w:type="dxa"/>
          </w:tcPr>
          <w:p w14:paraId="55AC45E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Улучшение продольной устойчивости</w:t>
            </w:r>
          </w:p>
        </w:tc>
        <w:tc>
          <w:tcPr>
            <w:tcW w:w="8988" w:type="dxa"/>
          </w:tcPr>
          <w:p w14:paraId="4D02615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Проведены испытания самолета Ил-2 с целью проверки</w:t>
            </w:r>
          </w:p>
        </w:tc>
      </w:tr>
      <w:tr w:rsidR="00860B4B" w:rsidRPr="00D03F3E" w14:paraId="0F345EDD" w14:textId="77777777">
        <w:tc>
          <w:tcPr>
            <w:tcW w:w="1610" w:type="dxa"/>
          </w:tcPr>
          <w:p w14:paraId="69D994B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самолета Ил-2</w:t>
            </w:r>
          </w:p>
        </w:tc>
        <w:tc>
          <w:tcPr>
            <w:tcW w:w="8988" w:type="dxa"/>
          </w:tcPr>
          <w:p w14:paraId="5B2AACC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улучшения продольной устойчивости со свободным РВ</w:t>
            </w:r>
          </w:p>
        </w:tc>
      </w:tr>
      <w:tr w:rsidR="00860B4B" w:rsidRPr="00D03F3E" w14:paraId="32C4CD23" w14:textId="77777777">
        <w:tc>
          <w:tcPr>
            <w:tcW w:w="1610" w:type="dxa"/>
          </w:tcPr>
          <w:p w14:paraId="6727F9B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88" w:type="dxa"/>
          </w:tcPr>
          <w:p w14:paraId="03A3822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помощи простейших мероприятий, пригодных для переоборудования</w:t>
            </w:r>
          </w:p>
        </w:tc>
      </w:tr>
      <w:tr w:rsidR="00860B4B" w:rsidRPr="00D03F3E" w14:paraId="7B3C5419" w14:textId="77777777">
        <w:tc>
          <w:tcPr>
            <w:tcW w:w="1610" w:type="dxa"/>
          </w:tcPr>
          <w:p w14:paraId="42FE8FA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88" w:type="dxa"/>
          </w:tcPr>
          <w:p w14:paraId="3ADAE97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самолетов, находящихся в эксплуатации в частях ВВС.</w:t>
            </w:r>
          </w:p>
        </w:tc>
      </w:tr>
      <w:tr w:rsidR="00860B4B" w:rsidRPr="00D03F3E" w14:paraId="407754AD" w14:textId="77777777">
        <w:tc>
          <w:tcPr>
            <w:tcW w:w="1610" w:type="dxa"/>
          </w:tcPr>
          <w:p w14:paraId="54732E4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88" w:type="dxa"/>
          </w:tcPr>
          <w:p w14:paraId="61C43D7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Был сконструирован, изготовлен и испытан на трех самолетах</w:t>
            </w:r>
          </w:p>
        </w:tc>
      </w:tr>
      <w:tr w:rsidR="00860B4B" w:rsidRPr="00D03F3E" w14:paraId="4CE08527" w14:textId="77777777">
        <w:tc>
          <w:tcPr>
            <w:tcW w:w="1610" w:type="dxa"/>
          </w:tcPr>
          <w:p w14:paraId="3CF8452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88" w:type="dxa"/>
          </w:tcPr>
          <w:p w14:paraId="1B815D2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Ил-2 механизм с амортизатором, включающийся в систему управления РВ</w:t>
            </w:r>
          </w:p>
        </w:tc>
      </w:tr>
      <w:tr w:rsidR="00860B4B" w:rsidRPr="00D03F3E" w14:paraId="2C2302DE" w14:textId="77777777">
        <w:tc>
          <w:tcPr>
            <w:tcW w:w="1610" w:type="dxa"/>
          </w:tcPr>
          <w:p w14:paraId="5C61020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88" w:type="dxa"/>
          </w:tcPr>
          <w:p w14:paraId="1097D71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показали значительное улучшение пилотажных</w:t>
            </w:r>
          </w:p>
        </w:tc>
      </w:tr>
      <w:tr w:rsidR="00860B4B" w:rsidRPr="00D03F3E" w14:paraId="018BD014" w14:textId="77777777">
        <w:tc>
          <w:tcPr>
            <w:tcW w:w="1610" w:type="dxa"/>
          </w:tcPr>
          <w:p w14:paraId="5631C80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88" w:type="dxa"/>
          </w:tcPr>
          <w:p w14:paraId="4ED2A18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качеств самолета.</w:t>
            </w:r>
          </w:p>
        </w:tc>
      </w:tr>
      <w:tr w:rsidR="00860B4B" w:rsidRPr="00D03F3E" w14:paraId="6E91B8EC" w14:textId="77777777">
        <w:tc>
          <w:tcPr>
            <w:tcW w:w="1610" w:type="dxa"/>
          </w:tcPr>
          <w:p w14:paraId="6BBA316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88" w:type="dxa"/>
          </w:tcPr>
          <w:p w14:paraId="6107429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Испытанное приспособление для повышения устойчивости</w:t>
            </w:r>
          </w:p>
        </w:tc>
      </w:tr>
      <w:tr w:rsidR="00860B4B" w:rsidRPr="00D03F3E" w14:paraId="27E176F2" w14:textId="77777777">
        <w:tc>
          <w:tcPr>
            <w:tcW w:w="1610" w:type="dxa"/>
          </w:tcPr>
          <w:p w14:paraId="6770266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88" w:type="dxa"/>
          </w:tcPr>
          <w:p w14:paraId="547F04A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рекомендуется к установке на все серийные самолеты Ил-2 (1783,38)</w:t>
            </w:r>
          </w:p>
        </w:tc>
      </w:tr>
    </w:tbl>
    <w:p w14:paraId="0F9CEF5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95C24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прошли заводские испытания Ил-2И и была достигнута скорость 415 км/час на высоте 4300 м и до высоты 4000 скорость была выше, чем у Не-111 и Ю-87. На гос. испытания машина не передавалась, так как у серийных истребителях ЛТД были лучше (241,19).</w:t>
      </w:r>
    </w:p>
    <w:p w14:paraId="164A0A9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83ECB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июня 1943-го на АМ-42 дважды, проводилось торсиографирование. Первое торсиографирование показало, что от пружин в шестернях редуктора необходимо отказаться в пользу жесткой шестерни редуктора.</w:t>
      </w:r>
    </w:p>
    <w:p w14:paraId="2D1CD70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Повторное торсиографирование мотора, но уже с жестким редуктором, подтвердило правильность сделанной доработки мотора.</w:t>
      </w:r>
    </w:p>
    <w:p w14:paraId="4671603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окончании работ по торсиографированию АМ-42 совместным приказом Наркома авиапромышленности А. И. Шахурина и Главного инженера ВВС КА А. К. Репина № 551/0200 от 16 сентября 1943 г. была назначена Государственная комиссия для проведения испытаний мотора АМ-42 (9649).</w:t>
      </w:r>
    </w:p>
    <w:p w14:paraId="0684D47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D7420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 П.О.Сухой обратил</w:t>
      </w:r>
      <w:r w:rsidRPr="00D03F3E">
        <w:rPr>
          <w:rFonts w:ascii="Times New Roman" w:hAnsi="Times New Roman"/>
          <w:color w:val="000000" w:themeColor="text1"/>
          <w:sz w:val="16"/>
          <w:szCs w:val="16"/>
        </w:rPr>
        <w:softHyphen/>
        <w:t>ся с письмом к начальнику НИИ ВВС КА генерал-лейтенанту П.А.Лосюкову, в котором предложил вариант исполь</w:t>
      </w:r>
      <w:r w:rsidRPr="00D03F3E">
        <w:rPr>
          <w:rFonts w:ascii="Times New Roman" w:hAnsi="Times New Roman"/>
          <w:color w:val="000000" w:themeColor="text1"/>
          <w:sz w:val="16"/>
          <w:szCs w:val="16"/>
        </w:rPr>
        <w:softHyphen/>
        <w:t>зования одноместного Су-6 — «Ввиду того, что в настоящее время возник вопрос об использовании штурмови</w:t>
      </w:r>
      <w:r w:rsidRPr="00D03F3E">
        <w:rPr>
          <w:rFonts w:ascii="Times New Roman" w:hAnsi="Times New Roman"/>
          <w:color w:val="000000" w:themeColor="text1"/>
          <w:sz w:val="16"/>
          <w:szCs w:val="16"/>
        </w:rPr>
        <w:softHyphen/>
        <w:t>ков против бомбардировщиков в днев</w:t>
      </w:r>
      <w:r w:rsidRPr="00D03F3E">
        <w:rPr>
          <w:rFonts w:ascii="Times New Roman" w:hAnsi="Times New Roman"/>
          <w:color w:val="000000" w:themeColor="text1"/>
          <w:sz w:val="16"/>
          <w:szCs w:val="16"/>
        </w:rPr>
        <w:softHyphen/>
        <w:t>ном и ночном бою, прошу Вашего распоряжения о проведении испыта</w:t>
      </w:r>
      <w:r w:rsidRPr="00D03F3E">
        <w:rPr>
          <w:rFonts w:ascii="Times New Roman" w:hAnsi="Times New Roman"/>
          <w:color w:val="000000" w:themeColor="text1"/>
          <w:sz w:val="16"/>
          <w:szCs w:val="16"/>
        </w:rPr>
        <w:softHyphen/>
        <w:t>ний одноместного штурмовика Су-6 с М-71 в указанном варианте.</w:t>
      </w:r>
    </w:p>
    <w:p w14:paraId="4D0BEE5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Вооружение самолета в этом вари</w:t>
      </w:r>
      <w:r w:rsidRPr="00D03F3E">
        <w:rPr>
          <w:rFonts w:ascii="Times New Roman" w:hAnsi="Times New Roman"/>
          <w:color w:val="000000" w:themeColor="text1"/>
          <w:sz w:val="16"/>
          <w:szCs w:val="16"/>
        </w:rPr>
        <w:softHyphen/>
        <w:t>анте будет состоять из двух пушек ВЯ-23 мм с боезапасом по 250 снарядов на пушку. Нормальный полетный вес будет обеспечен в 4850 кг за счет сня</w:t>
      </w:r>
      <w:r w:rsidRPr="00D03F3E">
        <w:rPr>
          <w:rFonts w:ascii="Times New Roman" w:hAnsi="Times New Roman"/>
          <w:color w:val="000000" w:themeColor="text1"/>
          <w:sz w:val="16"/>
          <w:szCs w:val="16"/>
        </w:rPr>
        <w:softHyphen/>
        <w:t>тия лишних агрегатов, брони и облег</w:t>
      </w:r>
      <w:r w:rsidRPr="00D03F3E">
        <w:rPr>
          <w:rFonts w:ascii="Times New Roman" w:hAnsi="Times New Roman"/>
          <w:color w:val="000000" w:themeColor="text1"/>
          <w:sz w:val="16"/>
          <w:szCs w:val="16"/>
        </w:rPr>
        <w:softHyphen/>
        <w:t>чения конструкции». Испытания самолета Су-6 в варианте истребителя бомбардировщиков проводились до сентября 1943 г. Было выполнено несколько полетов, но из-за постоянных отказов шасси и дефектов двигателя приняли решение испытания прекратить, а самолет передать на за</w:t>
      </w:r>
      <w:r w:rsidRPr="00D03F3E">
        <w:rPr>
          <w:rFonts w:ascii="Times New Roman" w:hAnsi="Times New Roman"/>
          <w:color w:val="000000" w:themeColor="text1"/>
          <w:sz w:val="16"/>
          <w:szCs w:val="16"/>
        </w:rPr>
        <w:softHyphen/>
        <w:t>вод № 289 для доработок гидросис</w:t>
      </w:r>
      <w:r w:rsidRPr="00D03F3E">
        <w:rPr>
          <w:rFonts w:ascii="Times New Roman" w:hAnsi="Times New Roman"/>
          <w:color w:val="000000" w:themeColor="text1"/>
          <w:sz w:val="16"/>
          <w:szCs w:val="16"/>
        </w:rPr>
        <w:softHyphen/>
        <w:t>темы шасси. Впоследствии испытания в варианте истребителя не возобнов</w:t>
      </w:r>
      <w:r w:rsidRPr="00D03F3E">
        <w:rPr>
          <w:rFonts w:ascii="Times New Roman" w:hAnsi="Times New Roman"/>
          <w:color w:val="000000" w:themeColor="text1"/>
          <w:sz w:val="16"/>
          <w:szCs w:val="16"/>
        </w:rPr>
        <w:softHyphen/>
        <w:t>лялись (10668).</w:t>
      </w:r>
    </w:p>
    <w:p w14:paraId="5DC442F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4B08F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года П.О.Сухой в своем письме начальнику НИИ ВВС КА генерал-лейтенанту ИАС П.А. Лосюкову предложил вариант ис</w:t>
      </w:r>
      <w:r w:rsidRPr="00D03F3E">
        <w:rPr>
          <w:rFonts w:ascii="Times New Roman" w:hAnsi="Times New Roman"/>
          <w:color w:val="000000" w:themeColor="text1"/>
          <w:sz w:val="16"/>
          <w:szCs w:val="16"/>
        </w:rPr>
        <w:softHyphen/>
        <w:t>пользования одноместного Су-6:</w:t>
      </w:r>
    </w:p>
    <w:p w14:paraId="52A43E9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«Ввиду того, что в настоящее время возник вопрос об использо</w:t>
      </w:r>
      <w:r w:rsidRPr="00D03F3E">
        <w:rPr>
          <w:rFonts w:ascii="Times New Roman" w:hAnsi="Times New Roman"/>
          <w:color w:val="000000" w:themeColor="text1"/>
          <w:sz w:val="16"/>
          <w:szCs w:val="16"/>
        </w:rPr>
        <w:softHyphen/>
        <w:t>вании штурмовиков против бомбар</w:t>
      </w:r>
      <w:r w:rsidRPr="00D03F3E">
        <w:rPr>
          <w:rFonts w:ascii="Times New Roman" w:hAnsi="Times New Roman"/>
          <w:color w:val="000000" w:themeColor="text1"/>
          <w:sz w:val="16"/>
          <w:szCs w:val="16"/>
        </w:rPr>
        <w:softHyphen/>
        <w:t>дировщиков в дневном и ночном бою, прошу Вашего распоряжения о проведении испытаний одномес</w:t>
      </w:r>
      <w:r w:rsidRPr="00D03F3E">
        <w:rPr>
          <w:rFonts w:ascii="Times New Roman" w:hAnsi="Times New Roman"/>
          <w:color w:val="000000" w:themeColor="text1"/>
          <w:sz w:val="16"/>
          <w:szCs w:val="16"/>
        </w:rPr>
        <w:softHyphen/>
        <w:t>тного штурмовика Су-6 с М-71 в указанном варианте.</w:t>
      </w:r>
    </w:p>
    <w:p w14:paraId="020192D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Вооружение самолета в этом варианте будет состоять из двух пушек ВЯ-23 мм с боезапасом по 250 снарядов на пушку. Нормаль</w:t>
      </w:r>
      <w:r w:rsidRPr="00D03F3E">
        <w:rPr>
          <w:rFonts w:ascii="Times New Roman" w:hAnsi="Times New Roman"/>
          <w:color w:val="000000" w:themeColor="text1"/>
          <w:sz w:val="16"/>
          <w:szCs w:val="16"/>
        </w:rPr>
        <w:softHyphen/>
        <w:t>ный полетный вес будет обеспечен в 4850 кг за счет снятия лишних агрегатов, брони и облегчения кон</w:t>
      </w:r>
      <w:r w:rsidRPr="00D03F3E">
        <w:rPr>
          <w:rFonts w:ascii="Times New Roman" w:hAnsi="Times New Roman"/>
          <w:color w:val="000000" w:themeColor="text1"/>
          <w:sz w:val="16"/>
          <w:szCs w:val="16"/>
        </w:rPr>
        <w:softHyphen/>
        <w:t>струкции».</w:t>
      </w:r>
    </w:p>
    <w:p w14:paraId="116B7BE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самолета Су-6 в ва</w:t>
      </w:r>
      <w:r w:rsidRPr="00D03F3E">
        <w:rPr>
          <w:rFonts w:ascii="Times New Roman" w:hAnsi="Times New Roman"/>
          <w:color w:val="000000" w:themeColor="text1"/>
          <w:sz w:val="16"/>
          <w:szCs w:val="16"/>
        </w:rPr>
        <w:softHyphen/>
        <w:t>рианте истребителя бомбардиров</w:t>
      </w:r>
      <w:r w:rsidRPr="00D03F3E">
        <w:rPr>
          <w:rFonts w:ascii="Times New Roman" w:hAnsi="Times New Roman"/>
          <w:color w:val="000000" w:themeColor="text1"/>
          <w:sz w:val="16"/>
          <w:szCs w:val="16"/>
        </w:rPr>
        <w:softHyphen/>
        <w:t>щиков проводились до сентября 1943 года. Было выполнено несколь</w:t>
      </w:r>
      <w:r w:rsidRPr="00D03F3E">
        <w:rPr>
          <w:rFonts w:ascii="Times New Roman" w:hAnsi="Times New Roman"/>
          <w:color w:val="000000" w:themeColor="text1"/>
          <w:sz w:val="16"/>
          <w:szCs w:val="16"/>
        </w:rPr>
        <w:softHyphen/>
        <w:t>ко полетов, но из-за постоянных отказов шасси и дефектов мотора приняли решение испытания прекра</w:t>
      </w:r>
      <w:r w:rsidRPr="00D03F3E">
        <w:rPr>
          <w:rFonts w:ascii="Times New Roman" w:hAnsi="Times New Roman"/>
          <w:color w:val="000000" w:themeColor="text1"/>
          <w:sz w:val="16"/>
          <w:szCs w:val="16"/>
        </w:rPr>
        <w:softHyphen/>
        <w:t>тить, а самолет передать на завод №289 для доработок гидросисте</w:t>
      </w:r>
      <w:r w:rsidRPr="00D03F3E">
        <w:rPr>
          <w:rFonts w:ascii="Times New Roman" w:hAnsi="Times New Roman"/>
          <w:color w:val="000000" w:themeColor="text1"/>
          <w:sz w:val="16"/>
          <w:szCs w:val="16"/>
        </w:rPr>
        <w:softHyphen/>
        <w:t>мы шасси. Впоследствии испытания самолета в том варианте не во</w:t>
      </w:r>
      <w:r w:rsidRPr="00D03F3E">
        <w:rPr>
          <w:rFonts w:ascii="Times New Roman" w:hAnsi="Times New Roman"/>
          <w:color w:val="000000" w:themeColor="text1"/>
          <w:sz w:val="16"/>
          <w:szCs w:val="16"/>
        </w:rPr>
        <w:softHyphen/>
        <w:t>зобновлялись (11845).</w:t>
      </w:r>
    </w:p>
    <w:p w14:paraId="637E1EE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751CD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года заведующий отделом Управления кадров ЦК ВКП(б) Будников доложил Г.М.Ма</w:t>
      </w:r>
      <w:r w:rsidRPr="00D03F3E">
        <w:rPr>
          <w:rFonts w:ascii="Times New Roman" w:hAnsi="Times New Roman"/>
          <w:color w:val="000000" w:themeColor="text1"/>
          <w:sz w:val="16"/>
          <w:szCs w:val="16"/>
        </w:rPr>
        <w:softHyphen/>
        <w:t>ленкову о том, что: «Главный конст</w:t>
      </w:r>
      <w:r w:rsidRPr="00D03F3E">
        <w:rPr>
          <w:rFonts w:ascii="Times New Roman" w:hAnsi="Times New Roman"/>
          <w:color w:val="000000" w:themeColor="text1"/>
          <w:sz w:val="16"/>
          <w:szCs w:val="16"/>
        </w:rPr>
        <w:softHyphen/>
        <w:t>руктор т. П.О.Сухой разработал конструкцию самолета-штурмовика Су-6 с мотором М-71.</w:t>
      </w:r>
    </w:p>
    <w:p w14:paraId="3FDFA35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1-й вариант - одноместный был готов и прошел государственные испытания в апреле 1942 года с положительной оценкой.</w:t>
      </w:r>
    </w:p>
    <w:p w14:paraId="018B296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2-й вариант - двухместный за</w:t>
      </w:r>
      <w:r w:rsidRPr="00D03F3E">
        <w:rPr>
          <w:rFonts w:ascii="Times New Roman" w:hAnsi="Times New Roman"/>
          <w:color w:val="000000" w:themeColor="text1"/>
          <w:sz w:val="16"/>
          <w:szCs w:val="16"/>
        </w:rPr>
        <w:softHyphen/>
        <w:t>кончен в марте 1943 года и про</w:t>
      </w:r>
      <w:r w:rsidRPr="00D03F3E">
        <w:rPr>
          <w:rFonts w:ascii="Times New Roman" w:hAnsi="Times New Roman"/>
          <w:color w:val="000000" w:themeColor="text1"/>
          <w:sz w:val="16"/>
          <w:szCs w:val="16"/>
        </w:rPr>
        <w:softHyphen/>
        <w:t>шел полные заводские испытания в мае с.г. также с положительной оценкой.</w:t>
      </w:r>
    </w:p>
    <w:p w14:paraId="52BF857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Преимущества самолета-штур</w:t>
      </w:r>
      <w:r w:rsidRPr="00D03F3E">
        <w:rPr>
          <w:rFonts w:ascii="Times New Roman" w:hAnsi="Times New Roman"/>
          <w:color w:val="000000" w:themeColor="text1"/>
          <w:sz w:val="16"/>
          <w:szCs w:val="16"/>
        </w:rPr>
        <w:softHyphen/>
        <w:t>мовика Су-6 с мотором М-71Ф по сравнению с Ил-2 с АМ-38 и Ил-2 с АМ-42 заключаются в преоблада</w:t>
      </w:r>
      <w:r w:rsidRPr="00D03F3E">
        <w:rPr>
          <w:rFonts w:ascii="Times New Roman" w:hAnsi="Times New Roman"/>
          <w:color w:val="000000" w:themeColor="text1"/>
          <w:sz w:val="16"/>
          <w:szCs w:val="16"/>
        </w:rPr>
        <w:softHyphen/>
        <w:t>нии скорости и улучшенной броне</w:t>
      </w:r>
      <w:r w:rsidRPr="00D03F3E">
        <w:rPr>
          <w:rFonts w:ascii="Times New Roman" w:hAnsi="Times New Roman"/>
          <w:color w:val="000000" w:themeColor="text1"/>
          <w:sz w:val="16"/>
          <w:szCs w:val="16"/>
        </w:rPr>
        <w:softHyphen/>
        <w:t>вой защите.</w:t>
      </w:r>
    </w:p>
    <w:p w14:paraId="186F2F0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Отзывы боевых летчиков и лет</w:t>
      </w:r>
      <w:r w:rsidRPr="00D03F3E">
        <w:rPr>
          <w:rFonts w:ascii="Times New Roman" w:hAnsi="Times New Roman"/>
          <w:color w:val="000000" w:themeColor="text1"/>
          <w:sz w:val="16"/>
          <w:szCs w:val="16"/>
        </w:rPr>
        <w:softHyphen/>
        <w:t>чиков-испытателей в части удобств управления самолетом Су-6 и про</w:t>
      </w:r>
      <w:r w:rsidRPr="00D03F3E">
        <w:rPr>
          <w:rFonts w:ascii="Times New Roman" w:hAnsi="Times New Roman"/>
          <w:color w:val="000000" w:themeColor="text1"/>
          <w:sz w:val="16"/>
          <w:szCs w:val="16"/>
        </w:rPr>
        <w:softHyphen/>
        <w:t>стоты его обслуживания, а также маневренности, самые положитель</w:t>
      </w:r>
      <w:r w:rsidRPr="00D03F3E">
        <w:rPr>
          <w:rFonts w:ascii="Times New Roman" w:hAnsi="Times New Roman"/>
          <w:color w:val="000000" w:themeColor="text1"/>
          <w:sz w:val="16"/>
          <w:szCs w:val="16"/>
        </w:rPr>
        <w:softHyphen/>
        <w:t>ные.</w:t>
      </w:r>
    </w:p>
    <w:p w14:paraId="7C6BB87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целях лучшей отработки са</w:t>
      </w:r>
      <w:r w:rsidRPr="00D03F3E">
        <w:rPr>
          <w:rFonts w:ascii="Times New Roman" w:hAnsi="Times New Roman"/>
          <w:color w:val="000000" w:themeColor="text1"/>
          <w:sz w:val="16"/>
          <w:szCs w:val="16"/>
        </w:rPr>
        <w:softHyphen/>
        <w:t>молета Су-6, отдел Управления кад</w:t>
      </w:r>
      <w:r w:rsidRPr="00D03F3E">
        <w:rPr>
          <w:rFonts w:ascii="Times New Roman" w:hAnsi="Times New Roman"/>
          <w:color w:val="000000" w:themeColor="text1"/>
          <w:sz w:val="16"/>
          <w:szCs w:val="16"/>
        </w:rPr>
        <w:softHyphen/>
        <w:t>ров считает необходимым сосре</w:t>
      </w:r>
      <w:r w:rsidRPr="00D03F3E">
        <w:rPr>
          <w:rFonts w:ascii="Times New Roman" w:hAnsi="Times New Roman"/>
          <w:color w:val="000000" w:themeColor="text1"/>
          <w:sz w:val="16"/>
          <w:szCs w:val="16"/>
        </w:rPr>
        <w:softHyphen/>
        <w:t>доточить все силы конструкторско</w:t>
      </w:r>
      <w:r w:rsidRPr="00D03F3E">
        <w:rPr>
          <w:rFonts w:ascii="Times New Roman" w:hAnsi="Times New Roman"/>
          <w:color w:val="000000" w:themeColor="text1"/>
          <w:sz w:val="16"/>
          <w:szCs w:val="16"/>
        </w:rPr>
        <w:softHyphen/>
        <w:t>го бюро с опытным заводом т. Су</w:t>
      </w:r>
      <w:r w:rsidRPr="00D03F3E">
        <w:rPr>
          <w:rFonts w:ascii="Times New Roman" w:hAnsi="Times New Roman"/>
          <w:color w:val="000000" w:themeColor="text1"/>
          <w:sz w:val="16"/>
          <w:szCs w:val="16"/>
        </w:rPr>
        <w:softHyphen/>
        <w:t>хого на одной производственной базе - на заводе №380 в г. Кали</w:t>
      </w:r>
      <w:r w:rsidRPr="00D03F3E">
        <w:rPr>
          <w:rFonts w:ascii="Times New Roman" w:hAnsi="Times New Roman"/>
          <w:color w:val="000000" w:themeColor="text1"/>
          <w:sz w:val="16"/>
          <w:szCs w:val="16"/>
        </w:rPr>
        <w:softHyphen/>
        <w:t>нинграде, под Москвой.</w:t>
      </w:r>
    </w:p>
    <w:p w14:paraId="4B91A64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Площади, занимаемые конструк</w:t>
      </w:r>
      <w:r w:rsidRPr="00D03F3E">
        <w:rPr>
          <w:rFonts w:ascii="Times New Roman" w:hAnsi="Times New Roman"/>
          <w:color w:val="000000" w:themeColor="text1"/>
          <w:sz w:val="16"/>
          <w:szCs w:val="16"/>
        </w:rPr>
        <w:softHyphen/>
        <w:t>торским бюро т. Сухого (завод №289 в г. Молотове) будут пере</w:t>
      </w:r>
      <w:r w:rsidRPr="00D03F3E">
        <w:rPr>
          <w:rFonts w:ascii="Times New Roman" w:hAnsi="Times New Roman"/>
          <w:color w:val="000000" w:themeColor="text1"/>
          <w:sz w:val="16"/>
          <w:szCs w:val="16"/>
        </w:rPr>
        <w:softHyphen/>
        <w:t>доны заводу №19, который в них нуждается» (11845).</w:t>
      </w:r>
    </w:p>
    <w:p w14:paraId="2DA47F8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Сравнительные данные Су-6 и Ил-2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34"/>
        <w:gridCol w:w="1695"/>
        <w:gridCol w:w="1448"/>
        <w:gridCol w:w="2049"/>
        <w:gridCol w:w="1851"/>
      </w:tblGrid>
      <w:tr w:rsidR="00860B4B" w:rsidRPr="00D03F3E" w14:paraId="6F2DEE23" w14:textId="77777777">
        <w:trPr>
          <w:trHeight w:val="444"/>
        </w:trPr>
        <w:tc>
          <w:tcPr>
            <w:tcW w:w="3234" w:type="dxa"/>
            <w:tcBorders>
              <w:top w:val="single" w:sz="12" w:space="0" w:color="auto"/>
            </w:tcBorders>
          </w:tcPr>
          <w:p w14:paraId="1ABC5AE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5" w:type="dxa"/>
            <w:tcBorders>
              <w:top w:val="single" w:sz="12" w:space="0" w:color="auto"/>
            </w:tcBorders>
          </w:tcPr>
          <w:p w14:paraId="46F8C82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Су-6 двухместный с М-71</w:t>
            </w:r>
          </w:p>
        </w:tc>
        <w:tc>
          <w:tcPr>
            <w:tcW w:w="1448" w:type="dxa"/>
            <w:tcBorders>
              <w:top w:val="single" w:sz="12" w:space="0" w:color="auto"/>
            </w:tcBorders>
          </w:tcPr>
          <w:p w14:paraId="512377C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Су-6 одноместный с М-71</w:t>
            </w:r>
          </w:p>
        </w:tc>
        <w:tc>
          <w:tcPr>
            <w:tcW w:w="2049" w:type="dxa"/>
            <w:tcBorders>
              <w:top w:val="single" w:sz="12" w:space="0" w:color="auto"/>
            </w:tcBorders>
          </w:tcPr>
          <w:p w14:paraId="58B5FD0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Ил-2 двухместный Ш с АМ-38</w:t>
            </w:r>
          </w:p>
        </w:tc>
        <w:tc>
          <w:tcPr>
            <w:tcW w:w="1851" w:type="dxa"/>
            <w:tcBorders>
              <w:top w:val="single" w:sz="12" w:space="0" w:color="auto"/>
            </w:tcBorders>
          </w:tcPr>
          <w:p w14:paraId="58B9E90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Ил-2 с АМ-42 (расчет)</w:t>
            </w:r>
          </w:p>
        </w:tc>
      </w:tr>
      <w:tr w:rsidR="00860B4B" w:rsidRPr="00D03F3E" w14:paraId="37449064" w14:textId="77777777">
        <w:trPr>
          <w:trHeight w:val="453"/>
        </w:trPr>
        <w:tc>
          <w:tcPr>
            <w:tcW w:w="3234" w:type="dxa"/>
          </w:tcPr>
          <w:p w14:paraId="501595D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Скорость у земли на номинальной мощности, км/ч</w:t>
            </w:r>
          </w:p>
        </w:tc>
        <w:tc>
          <w:tcPr>
            <w:tcW w:w="1695" w:type="dxa"/>
          </w:tcPr>
          <w:p w14:paraId="672182B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490</w:t>
            </w:r>
          </w:p>
        </w:tc>
        <w:tc>
          <w:tcPr>
            <w:tcW w:w="1448" w:type="dxa"/>
          </w:tcPr>
          <w:p w14:paraId="0BA06FC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445</w:t>
            </w:r>
          </w:p>
        </w:tc>
        <w:tc>
          <w:tcPr>
            <w:tcW w:w="2049" w:type="dxa"/>
          </w:tcPr>
          <w:p w14:paraId="24EC580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403</w:t>
            </w:r>
          </w:p>
        </w:tc>
        <w:tc>
          <w:tcPr>
            <w:tcW w:w="1851" w:type="dxa"/>
          </w:tcPr>
          <w:p w14:paraId="19FA6D6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423</w:t>
            </w:r>
          </w:p>
        </w:tc>
      </w:tr>
      <w:tr w:rsidR="00860B4B" w:rsidRPr="00D03F3E" w14:paraId="35F70785" w14:textId="77777777">
        <w:trPr>
          <w:trHeight w:val="436"/>
        </w:trPr>
        <w:tc>
          <w:tcPr>
            <w:tcW w:w="3234" w:type="dxa"/>
          </w:tcPr>
          <w:p w14:paraId="5C64231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Скорость на расчетной высоте, км/ч</w:t>
            </w:r>
          </w:p>
        </w:tc>
        <w:tc>
          <w:tcPr>
            <w:tcW w:w="1695" w:type="dxa"/>
          </w:tcPr>
          <w:p w14:paraId="08A3369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560/4500 м</w:t>
            </w:r>
          </w:p>
        </w:tc>
        <w:tc>
          <w:tcPr>
            <w:tcW w:w="1448" w:type="dxa"/>
          </w:tcPr>
          <w:p w14:paraId="78724E1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491/2500 м</w:t>
            </w:r>
          </w:p>
        </w:tc>
        <w:tc>
          <w:tcPr>
            <w:tcW w:w="2049" w:type="dxa"/>
          </w:tcPr>
          <w:p w14:paraId="542BBA2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420/2000 м</w:t>
            </w:r>
          </w:p>
        </w:tc>
        <w:tc>
          <w:tcPr>
            <w:tcW w:w="1851" w:type="dxa"/>
          </w:tcPr>
          <w:p w14:paraId="2C9046C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440/1500 м</w:t>
            </w:r>
          </w:p>
        </w:tc>
      </w:tr>
      <w:tr w:rsidR="00860B4B" w:rsidRPr="00D03F3E" w14:paraId="1DE03F7C" w14:textId="77777777">
        <w:trPr>
          <w:trHeight w:val="272"/>
        </w:trPr>
        <w:tc>
          <w:tcPr>
            <w:tcW w:w="3234" w:type="dxa"/>
            <w:tcBorders>
              <w:bottom w:val="single" w:sz="12" w:space="0" w:color="auto"/>
            </w:tcBorders>
          </w:tcPr>
          <w:p w14:paraId="60E8560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максимальная, км</w:t>
            </w:r>
          </w:p>
        </w:tc>
        <w:tc>
          <w:tcPr>
            <w:tcW w:w="1695" w:type="dxa"/>
            <w:tcBorders>
              <w:bottom w:val="single" w:sz="12" w:space="0" w:color="auto"/>
            </w:tcBorders>
          </w:tcPr>
          <w:p w14:paraId="4C38324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650</w:t>
            </w:r>
          </w:p>
        </w:tc>
        <w:tc>
          <w:tcPr>
            <w:tcW w:w="1448" w:type="dxa"/>
            <w:tcBorders>
              <w:bottom w:val="single" w:sz="12" w:space="0" w:color="auto"/>
            </w:tcBorders>
          </w:tcPr>
          <w:p w14:paraId="22EE172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576</w:t>
            </w:r>
          </w:p>
        </w:tc>
        <w:tc>
          <w:tcPr>
            <w:tcW w:w="2049" w:type="dxa"/>
            <w:tcBorders>
              <w:bottom w:val="single" w:sz="12" w:space="0" w:color="auto"/>
            </w:tcBorders>
          </w:tcPr>
          <w:p w14:paraId="22FA031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690</w:t>
            </w:r>
          </w:p>
        </w:tc>
        <w:tc>
          <w:tcPr>
            <w:tcW w:w="1851" w:type="dxa"/>
            <w:tcBorders>
              <w:bottom w:val="single" w:sz="12" w:space="0" w:color="auto"/>
            </w:tcBorders>
          </w:tcPr>
          <w:p w14:paraId="6C55426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700-900</w:t>
            </w:r>
          </w:p>
        </w:tc>
      </w:tr>
    </w:tbl>
    <w:p w14:paraId="3EF02D0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(11845).</w:t>
      </w:r>
    </w:p>
    <w:p w14:paraId="1EFC02C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02ECE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темп выпуска Ил-4 на заводе № 125 достиг 15 машин в месяц. Начиная с октября по декабрь 1943 г. ежемесячно собирали по 30 машин, а затем темп стал сокращаться. Это было связано с очередным удивительным витком в биографии завода. Только- только вытянули Ил-4, и вдруг опять надо начинать перестройку производства. В сентябре завод №39 получил задание - параллельно с изготовлением Ил-4 организовать производство нового изделия - дальнего бомбардировщика Ер-2, причем первый Ер-2 следовало построить уже в декабре, с тем, чтобы начиная с января наращивать темп его выпуска при одновременном сокращении объемов строительства Ил-4.</w:t>
      </w:r>
    </w:p>
    <w:p w14:paraId="1C47094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№126 строил ДБ-ЗФ с темпов 60 самолетов в месяц. Этого было недостаточно для компенсации боевых потерь и наращивания численности Дальней авиации. В связи с этим в подмосковных Филях в марте 1942 г., на вернувшемся из Сибири заводе, получившем №23, тоже развернули производство Ил-4. Ввиду близости к ОКБ новый завод стал базой для отработки в условиях серийного производства всех необходимых переделок конструкции. Но его темп выпуска ДБ-ЗФ не превышал 30 машин в месяц, да и вышли на такой показатель только к ноябрю 1942 г.</w:t>
      </w:r>
    </w:p>
    <w:p w14:paraId="6C3B947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том же году для выпуска Ил-4 на площадке эвакуированного завода №39 в Москве организовали завод №81, а сам 39-й завод в Иркутске прекратил изготовление Пе-2 и Пе-3 в пользу Ил-4.</w:t>
      </w:r>
    </w:p>
    <w:p w14:paraId="44BBE23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Бесконечные переезды и переориентации заводов привели к тому, что даже ценой огромных усилий за 1941 г. было выпущено всего 757 ДБ-3 и ДБ-ЗФ, а за 1942 г. - 858 машин (12037).</w:t>
      </w:r>
    </w:p>
    <w:p w14:paraId="76E12B9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515B9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1943 г. нарком авиапромышленности Шахурин вызвал главного конструктора Незваля в Москву и предложил ему провести переоборудование Пе-8 в такой специальный самолет "ОН" для перевозки 12-14 пассажиров. Оборонительное вооружение при этом требовалось оставить. Официальное решение о проведении работ по переоборудованию бомбардировщика Государственный Комитет Обороны принял значительно позднее - 15 марта 1944 года.</w:t>
      </w:r>
    </w:p>
    <w:p w14:paraId="4733FB9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Согласно этому решению и подготовленным тактико-техническим требованиям Пе-8 ОН должен был иметь комфортабельную отапливаемую пассажирскую кабину на 14 человек. Дальность полета на крейсерском режиме работы двигателей при взлетном весе 35000 кг должна была составлять 6000 км. Оборонительное вооружение состояло из одного пулемета УБТ в передней установке, по одному УБТ в шассийных установках и одной пушки ШВАК в кормовой башне "КЭБ".</w:t>
      </w:r>
    </w:p>
    <w:p w14:paraId="30477EC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Верхнюю пушечную турель ТАТ в связи с оборудованием пассажирского салона пришлось упразднить. Также демонтировали грузовой пол над бомбоотсеком, а в салоне установили новый пол, позволивший пассажирам перемешаться по кабине в полный рост.</w:t>
      </w:r>
    </w:p>
    <w:p w14:paraId="41D6CD7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Отметим, что в I944 г. авиазавод №22 получил указание устанавливать на бомбардировщики Пе-8 дизельные двигатели АЧ-ЗОБ. Последние два боевых самолета, выпущенные казанским авиазаводом (серийные № 42812 и № 42912), оснастили этими дизелями.</w:t>
      </w:r>
    </w:p>
    <w:p w14:paraId="6894304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Были установлены АЧ-ЗОБ и на два пассажирских Пе-8 ОН № 42612 и № 42712. Самолеты эти закончили постройкой в конце 1944 года. В центральном отсеке каждого "ОН" оборудовали комфортабельную кабину на 12 человек. Кроме того, в салоне были оборудованы три спальных места, буфет и туалетная комната. На каждом пассажирском месте имелись индивидуальное освещение и вентиляция, отопление воздухом, нагретым от специальных водяных калориферов, связанных с системой охлаждения двигателей. Так как кабина не была герметичной, каждое пассажирское место оборудовалось индивидуальным кислородным прибором. Запас кислорода составлял литров на человека, что должно было обеспечить всем участникам полета пребывание на высоте 6000-8000 м в течение 8 часов.</w:t>
      </w:r>
    </w:p>
    <w:p w14:paraId="180D17E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Внутри пассажирскую кабину обшили теплоизоляционным материалом с декоративной обивкой, поиски которой в условиях военного времени доставили особые проблемы для представителей конструкторского бюро. Самые нижние объемы бывшего бомбового отсека в Пе-8 ОН оборудовали для перевозки багажа, определенного по условиям загрузки максимальным весом до 1200 кг.</w:t>
      </w:r>
    </w:p>
    <w:p w14:paraId="495A689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Внешне самолеты "особого назначения" отличались от бомбардировщиков наличием прорезанных окон в районе пассажирской кабины и обтекаемой верхней частью фюзеляжа - пушечную турель ТАТ упразднили. Остальное оборонительное вооружение осталось прежним. Дополнительным отличием Пе-8 ОН стал длинный зализ в районе основания киля, так называемый форкиль (тогда его называли "гребешком"). Позднее летчики утверждали, что новое вертикальное оперение с форкилем заметно улучшило путевую устойчивость и позволяло продолжать прямолинейный полет с двумя отказавшими с одной стороны двигателями.</w:t>
      </w:r>
    </w:p>
    <w:p w14:paraId="2C6B056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выдаче задания на Пе-8 ОН, согласно постановления ГОКО №5402сс от 15.3.44 г., особо указывалось на обязательное использование антиобледенигельной системы. Однако при прохождении испытаний отмечалось, что самолет оборудован системами антиобледенения на воздушных винтах, стеклах пилотского фонаря и антеннах. Крыло и стабилизатор системами антиобледенения оборудованы не были. Впрочем, позднее на машине № 42612 устанавливали пневматическую систему антиобледенения "Гудрич", позаимствованную, судя по всему, с самолетов С-47. О ее практическом использовании сведения отсутствуют.</w:t>
      </w:r>
    </w:p>
    <w:p w14:paraId="20BB222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Заводские испытания Пе-80Н №42612 с двигателями АЧ-30 Б, развивающими на взлете по 1500 л.с каждый, велись в Казани в январе-феврале 1945 г. В ходе полетов самолет со взлетным весом 30000 кг развивал максимальную скорость 420 км/ч на высоте 6000 м, у земли максимальная скорость равнялась 355 км/ч. Практический потолок равнялся 8800 м.</w:t>
      </w:r>
    </w:p>
    <w:p w14:paraId="4618FA1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Контрольные и сдаточные испытания Пе-8 № 42712, оснащенного двигателями АЧ-30Б с воздушными винтами ВИШ-61-В- 1, проходили в Казани на аэродроме завода №22 в период с 25 февраля по 4 марта 1945 г. Затем самолет перегнали в Москву на Центральный аэродром. Здесь его осмотрел основной заказчик - нарком авиапромышленности А.И. Шахурин - который прежде всего интересовался новой пассажирской кабиной и в целом был удовлетворен произведенными работами. Затем Пе-8 № 42712 направили для прохождения государственных испытаний в НИИ ВВС. Признавалось, что создание комфортных условий для спецпассажиров </w:t>
      </w:r>
      <w:r w:rsidRPr="00D03F3E">
        <w:rPr>
          <w:rFonts w:ascii="Times New Roman" w:hAnsi="Times New Roman"/>
          <w:color w:val="000000" w:themeColor="text1"/>
          <w:sz w:val="16"/>
          <w:szCs w:val="16"/>
        </w:rPr>
        <w:lastRenderedPageBreak/>
        <w:t>привело к перетяжелению конструкции на 1362 кг. Максимальная техническая дальность полета поэтому несколько снизилась и составила 5600 км. По результатам испытаний определили, что самолет выполнен в основном удовлетворительно и соответствует своему назначению. Отметили и обычные в таких случаях недостатки. В частности, не была доведена мас- лосистема, при полной заправке баков масло выбрасывало через дренаж. В кабине экипажа чувствовался неприятный запах "продуктов термического разложения керосина концентрацией 0,12 кг/литр". По мнению испытателей, такая концентрация в длительных полетах могла негативно повлиять на работоспособность экипажа. Имелись замечания по части приборного оборудования. Предлагалось продолжить совершенствование автопилота, а также заменить устаревший радиополукомпас РПК-2С на более современный американский СЦР-269.</w:t>
      </w:r>
    </w:p>
    <w:p w14:paraId="473E533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Известно, что доводки пассажирских, но вооруженных, Пе-8 продолжались в течение 1945 г. Впрочем, когда война закончилась, применение таких самолетов специального назначения оказалось под вопросом. Об использовании их хотя бы раз для перевозок особо важных персон достоверных сведений не обнаружено. Скоро один из этих двух экземпляров - Пе-8 ОН №42612 передали в Полярную авиацию.</w:t>
      </w:r>
    </w:p>
    <w:p w14:paraId="3D0B342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Еще в разгар работы по созданию самолетов "особого назначения" в ОКБ И.Ф.Незваля приступили к разработке полноценного пассажирского самолета на основе Пе-8. После довоенного АНТ-53, это была вторая такая попытка. Согласно эскизному проекту, разработанному в 1944 г, новый самолет рассчитывался на перевозку 48 пассажиров. В нем сохранялось крыло с двигателями АШ-82 и основные элементы хвостового оперения. Принципиально новым был объемный фюзеляж и схема шасси с носовой стойкой.</w:t>
      </w:r>
    </w:p>
    <w:p w14:paraId="71DDA25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Просторный пассажирский салон был разделен на три части, высота салона между рядами сидений (два ряда слева и три ряда справа) составляла 2,0 метра, ширина прохода составляла 500 мм. Внутри предполагалось оборудовать буфет, гардероб, две туалетные комнаты. Под полом пассажирской кабины по замыслу конструкторов размещался багажный отсек объемом 12,5 м3. Входная дверь в самолет находилась в задней пассажирской кабине, в носовой части фюзеляжа имелись два аварийных выхода. Кабина не была герметичной, так как в 1944 г. решение такой проблемы являлось затруднительным. Однако отопление и вентиляция уже считались необходимым атрибутом, как и у любого пассажирского лайнера.</w:t>
      </w:r>
    </w:p>
    <w:p w14:paraId="5EA92D4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Система антиобледенения согласно проекту предполагалась с использованием нагревательных элементов. Такая термическая система антиобледенения устанавливалась тогда на самолетах Ли-2, однако по причине малой надежности и пожароопасности скоро от нее отказались. В дальнейшем, для обогрева передних кромок крыла и оперения, использовали подачу теплого воздуха, поэтому и в пассажирском Пе-8, скорее всего, ввели бы именно эту систему.</w:t>
      </w:r>
    </w:p>
    <w:p w14:paraId="1B3B08F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Экипаж самолета состоял из двух пилотов, штурмана, радиста, механика и двух стюардесс. Согласно подготовленному эскизному проекту пассажирский Пе-8 должен был обладать следующими техническими характеристиками: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860B4B" w:rsidRPr="00D03F3E" w14:paraId="7DDA8505" w14:textId="77777777">
        <w:tc>
          <w:tcPr>
            <w:tcW w:w="5605" w:type="dxa"/>
            <w:tcBorders>
              <w:top w:val="single" w:sz="12" w:space="0" w:color="auto"/>
            </w:tcBorders>
          </w:tcPr>
          <w:p w14:paraId="42D47F9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Размах крыла (м)</w:t>
            </w:r>
          </w:p>
        </w:tc>
        <w:tc>
          <w:tcPr>
            <w:tcW w:w="5605" w:type="dxa"/>
            <w:tcBorders>
              <w:top w:val="single" w:sz="12" w:space="0" w:color="auto"/>
            </w:tcBorders>
          </w:tcPr>
          <w:p w14:paraId="6D30A29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40,13</w:t>
            </w:r>
          </w:p>
        </w:tc>
      </w:tr>
      <w:tr w:rsidR="00860B4B" w:rsidRPr="00D03F3E" w14:paraId="539AE5BB" w14:textId="77777777">
        <w:tc>
          <w:tcPr>
            <w:tcW w:w="5605" w:type="dxa"/>
          </w:tcPr>
          <w:p w14:paraId="432E0EE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Длина в линии полета (м)</w:t>
            </w:r>
          </w:p>
        </w:tc>
        <w:tc>
          <w:tcPr>
            <w:tcW w:w="5605" w:type="dxa"/>
          </w:tcPr>
          <w:p w14:paraId="58FF422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28,635</w:t>
            </w:r>
          </w:p>
        </w:tc>
      </w:tr>
      <w:tr w:rsidR="00860B4B" w:rsidRPr="00D03F3E" w14:paraId="5558E89F" w14:textId="77777777">
        <w:tc>
          <w:tcPr>
            <w:tcW w:w="5605" w:type="dxa"/>
          </w:tcPr>
          <w:p w14:paraId="786C1CE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Высота на стоянке (м)</w:t>
            </w:r>
          </w:p>
        </w:tc>
        <w:tc>
          <w:tcPr>
            <w:tcW w:w="5605" w:type="dxa"/>
          </w:tcPr>
          <w:p w14:paraId="669DF8A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9,25</w:t>
            </w:r>
          </w:p>
        </w:tc>
      </w:tr>
      <w:tr w:rsidR="00860B4B" w:rsidRPr="00D03F3E" w14:paraId="33033B27" w14:textId="77777777">
        <w:tc>
          <w:tcPr>
            <w:tcW w:w="5605" w:type="dxa"/>
          </w:tcPr>
          <w:p w14:paraId="4EE1005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Максимальный взлетный вес (кг)</w:t>
            </w:r>
          </w:p>
        </w:tc>
        <w:tc>
          <w:tcPr>
            <w:tcW w:w="5605" w:type="dxa"/>
          </w:tcPr>
          <w:p w14:paraId="28D5F42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37500</w:t>
            </w:r>
          </w:p>
        </w:tc>
      </w:tr>
      <w:tr w:rsidR="00860B4B" w:rsidRPr="00D03F3E" w14:paraId="11C7CC33" w14:textId="77777777">
        <w:tc>
          <w:tcPr>
            <w:tcW w:w="5605" w:type="dxa"/>
          </w:tcPr>
          <w:p w14:paraId="1E01249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Полезная нагрузка (кг)</w:t>
            </w:r>
          </w:p>
        </w:tc>
        <w:tc>
          <w:tcPr>
            <w:tcW w:w="5605" w:type="dxa"/>
          </w:tcPr>
          <w:p w14:paraId="2CE6153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17 000</w:t>
            </w:r>
          </w:p>
        </w:tc>
      </w:tr>
      <w:tr w:rsidR="00860B4B" w:rsidRPr="00D03F3E" w14:paraId="7D2D875D" w14:textId="77777777">
        <w:tc>
          <w:tcPr>
            <w:tcW w:w="5605" w:type="dxa"/>
          </w:tcPr>
          <w:p w14:paraId="38F17A5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Дальность полета (км)</w:t>
            </w:r>
          </w:p>
        </w:tc>
        <w:tc>
          <w:tcPr>
            <w:tcW w:w="5605" w:type="dxa"/>
          </w:tcPr>
          <w:p w14:paraId="22F0710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5000 *</w:t>
            </w:r>
          </w:p>
        </w:tc>
      </w:tr>
      <w:tr w:rsidR="00860B4B" w:rsidRPr="00D03F3E" w14:paraId="09BA2CDA" w14:textId="77777777">
        <w:tc>
          <w:tcPr>
            <w:tcW w:w="5605" w:type="dxa"/>
          </w:tcPr>
          <w:p w14:paraId="56AEE8D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Максимальная скорость полета (км/ч)</w:t>
            </w:r>
          </w:p>
        </w:tc>
        <w:tc>
          <w:tcPr>
            <w:tcW w:w="5605" w:type="dxa"/>
          </w:tcPr>
          <w:p w14:paraId="0F27ECF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466</w:t>
            </w:r>
          </w:p>
        </w:tc>
      </w:tr>
      <w:tr w:rsidR="00860B4B" w:rsidRPr="00D03F3E" w14:paraId="0897B53E" w14:textId="77777777">
        <w:tc>
          <w:tcPr>
            <w:tcW w:w="5605" w:type="dxa"/>
          </w:tcPr>
          <w:p w14:paraId="4657635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Расчетная высота полета (м)</w:t>
            </w:r>
          </w:p>
        </w:tc>
        <w:tc>
          <w:tcPr>
            <w:tcW w:w="5605" w:type="dxa"/>
          </w:tcPr>
          <w:p w14:paraId="218BBB2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5200</w:t>
            </w:r>
          </w:p>
        </w:tc>
      </w:tr>
      <w:tr w:rsidR="00860B4B" w:rsidRPr="00D03F3E" w14:paraId="3E0F8763" w14:textId="77777777">
        <w:tc>
          <w:tcPr>
            <w:tcW w:w="5605" w:type="dxa"/>
            <w:tcBorders>
              <w:bottom w:val="single" w:sz="12" w:space="0" w:color="auto"/>
            </w:tcBorders>
          </w:tcPr>
          <w:p w14:paraId="3F10B87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Взлетная дистанция (м)</w:t>
            </w:r>
          </w:p>
        </w:tc>
        <w:tc>
          <w:tcPr>
            <w:tcW w:w="5605" w:type="dxa"/>
            <w:tcBorders>
              <w:bottom w:val="single" w:sz="12" w:space="0" w:color="auto"/>
            </w:tcBorders>
          </w:tcPr>
          <w:p w14:paraId="7F821FE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1430</w:t>
            </w:r>
          </w:p>
        </w:tc>
      </w:tr>
    </w:tbl>
    <w:p w14:paraId="74C9B51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- 48 пассажиров и 10700 кг топлива</w:t>
      </w:r>
      <w:r w:rsidRPr="00D03F3E">
        <w:rPr>
          <w:rFonts w:ascii="Times New Roman" w:hAnsi="Times New Roman"/>
          <w:color w:val="000000" w:themeColor="text1"/>
          <w:sz w:val="16"/>
          <w:szCs w:val="16"/>
        </w:rPr>
        <w:tab/>
      </w:r>
    </w:p>
    <w:p w14:paraId="7935CC5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пассажирского лайнера на основе новой модификации Пе-8 подготовили проект его военно-транспортного варианта для 60 десантников с вооружением, а также проект тяжелого бомбардировщика с максимальной бомбовой нагрузкой 6 тонн. Все указанные варианты прорабатывались на уровне эскизных проектов до середины 1945 г. После слияния ОКБ И.Ф.Незваля с конструкторским бюро А.Н.Туполева работы по совершенствованию проекта пассажирского самолета были прекращены (12025).</w:t>
      </w:r>
    </w:p>
    <w:p w14:paraId="1FECDF1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36C20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был подписан Акт приема-сдачи опытного строительства завода № 22, который включал ОКО (опытно-конструкторский отдел), опытный цех № 60 и ЛЭС (летно-экспериментальную станцию) со штатом в 447 человек, из которых 106 конструкторов.</w:t>
      </w:r>
    </w:p>
    <w:p w14:paraId="18BE767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Во-первых, в зданиях отмечались недостатки в отоплении, пыль, отсутствие воды и канализации. Затем рассматривался тематический план, куда входили следующие работы:</w:t>
      </w:r>
    </w:p>
    <w:p w14:paraId="5DD45B1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Пе-2 с М-107А с октября 1942 г. (моторов нет);</w:t>
      </w:r>
    </w:p>
    <w:p w14:paraId="36B8999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Пе-2 с М-107А и опущенным фюзеляжем с мая 1943 г. (моторов и полетов нет);</w:t>
      </w:r>
    </w:p>
    <w:p w14:paraId="62E8195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Пе-2 с деревянной конструкцией крыла с июня 1942 г. (не смонтировано);</w:t>
      </w:r>
    </w:p>
    <w:p w14:paraId="7D209A8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Пе-2ПД высотный истребитель, без герметичной кабины (моторы неисправны, полетов нет);</w:t>
      </w:r>
    </w:p>
    <w:p w14:paraId="66D6412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Пе-2 с М-105Д с герметичными кабинами с февраля 1943 г. (нет моторов);</w:t>
      </w:r>
    </w:p>
    <w:p w14:paraId="448D7F7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Пе-2 с М-82ТК и с М-106 не поставлены моторы с завода № 26;</w:t>
      </w:r>
    </w:p>
    <w:p w14:paraId="035F77A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Пе-2 высотный бомбардировщик с герметичными кабинами, принят макет в мае 1943 г.;</w:t>
      </w:r>
    </w:p>
    <w:p w14:paraId="007D4A5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Пе-2 с М-82 после государственных испытаний находится в опытном цехе. По последней машине выполнено 70% чертежей для запуска в серию;</w:t>
      </w:r>
    </w:p>
    <w:p w14:paraId="619884F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Пе-2 с установкой «УС-К», снято в связи с отъездом главного конструктора;</w:t>
      </w:r>
    </w:p>
    <w:p w14:paraId="3332413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Пе-2 с М-105ПФ с расширенным фонарем передан на госиспытания;</w:t>
      </w:r>
    </w:p>
    <w:p w14:paraId="29FCAA7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Пе-2 разведчик с новой фотоустановкой и расширенным фонарем;</w:t>
      </w:r>
    </w:p>
    <w:p w14:paraId="5D24FFC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Пе-3 истребитель;</w:t>
      </w:r>
    </w:p>
    <w:p w14:paraId="6F767AD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Пе-2 с М-105Ф с опущенным фюзеляжем, построен в Москве в августе 1941 г., госиспытания закончены в марте 1942 г. В июне поставлены М-107, испытания не закончены по вине моторов, М-107А до сих пор не получены;</w:t>
      </w:r>
    </w:p>
    <w:p w14:paraId="2F5397B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Пе-2 «ВИ» с герметичной кабиной (ВИ-1 с М-105ПД № 15/161), в июне проведено семь высотных полетов, до 10500 метров, но на нем нет новых крыльев и четырехлопастных винтов с завода № 35;</w:t>
      </w:r>
    </w:p>
    <w:p w14:paraId="34F0535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Пе-2 с М-82-НВ с ТК-3, два экземпляра стоят из-за отсутствия двигателей;</w:t>
      </w:r>
    </w:p>
    <w:p w14:paraId="02BB421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ВР-ВБ - сделан макет в мае, но не принят.</w:t>
      </w:r>
    </w:p>
    <w:p w14:paraId="64E28F3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того, велись работы по внедрению заменителей, деревянных деталей, Пе-2 с новым прицелом ПБЛ-1, гранатницей ДАГ-10, индивидуальными моторными патрубками, пикирующей сиреной и реактивным стартом.</w:t>
      </w:r>
    </w:p>
    <w:p w14:paraId="629D39A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Мясищев, принимая дела, резюмировал свое мнение так: «Плохая организация, задержки, дороговизна. Одновременная работа на 27 объектах, то есть по четыре человека на тему, непозволительна. Основной задачей является доводка серийных машин, модернизация на ходу. Второй задачей станет работа над новыми модификациями».</w:t>
      </w:r>
    </w:p>
    <w:p w14:paraId="44B9922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Коллектив ОКО признал свои ошибки, только Селяков не удержался и сказал, что «коллектив не лодырничал, работали бессистемно, беспланово, но работали и небезрезультатно» (12049).</w:t>
      </w:r>
    </w:p>
    <w:p w14:paraId="1E2813B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894CD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года главным конструктором ОКБ-22, находившегося в Казани на территории завода № 22, назначили В.М. Мясищева, сохранив за ним КБ завода № 288 в Омске. В то время на соседнем заводе № 166 развернулось серийное производство истребителя Як-9. Появление Мясищева в Казани совпало с отработкой жидкостно-реактив- ного двигателя (ЖРД) РД-1 на летающей лаборатории Пе-2 при участии С.П. Королева. Видимо, после знакомства с состоянием дел в ОКБ-22 у Владимира Михайловича и появилась мысль установить на Як-9 не только дополнительный двигатель РД-1 конструкции В.П. Глушко, но и герметичную кабину. Однако претворить в жизнь эту идею почему-то не довелось (12046).</w:t>
      </w:r>
    </w:p>
    <w:p w14:paraId="68569E0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F8D03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на 153 заводе на основе серийного Як-7Б сделали Як-7П с двумя ШВАК вместо УБС (65,108).</w:t>
      </w:r>
    </w:p>
    <w:p w14:paraId="2D592A9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C2F34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 в самый ответственный мо</w:t>
      </w:r>
      <w:r w:rsidRPr="00D03F3E">
        <w:rPr>
          <w:rFonts w:ascii="Times New Roman" w:hAnsi="Times New Roman"/>
          <w:color w:val="000000" w:themeColor="text1"/>
          <w:sz w:val="16"/>
          <w:szCs w:val="16"/>
        </w:rPr>
        <w:softHyphen/>
        <w:t>мент перед началом гранди</w:t>
      </w:r>
      <w:r w:rsidRPr="00D03F3E">
        <w:rPr>
          <w:rFonts w:ascii="Times New Roman" w:hAnsi="Times New Roman"/>
          <w:color w:val="000000" w:themeColor="text1"/>
          <w:sz w:val="16"/>
          <w:szCs w:val="16"/>
        </w:rPr>
        <w:softHyphen/>
        <w:t>озного сражения в районе Курска, множество Як-9 ока</w:t>
      </w:r>
      <w:r w:rsidRPr="00D03F3E">
        <w:rPr>
          <w:rFonts w:ascii="Times New Roman" w:hAnsi="Times New Roman"/>
          <w:color w:val="000000" w:themeColor="text1"/>
          <w:sz w:val="16"/>
          <w:szCs w:val="16"/>
        </w:rPr>
        <w:softHyphen/>
        <w:t>залось на приколе: в воздухе произошло несколько случа</w:t>
      </w:r>
      <w:r w:rsidRPr="00D03F3E">
        <w:rPr>
          <w:rFonts w:ascii="Times New Roman" w:hAnsi="Times New Roman"/>
          <w:color w:val="000000" w:themeColor="text1"/>
          <w:sz w:val="16"/>
          <w:szCs w:val="16"/>
        </w:rPr>
        <w:softHyphen/>
        <w:t>ев отрыва деревянной об</w:t>
      </w:r>
      <w:r w:rsidRPr="00D03F3E">
        <w:rPr>
          <w:rFonts w:ascii="Times New Roman" w:hAnsi="Times New Roman"/>
          <w:color w:val="000000" w:themeColor="text1"/>
          <w:sz w:val="16"/>
          <w:szCs w:val="16"/>
        </w:rPr>
        <w:softHyphen/>
        <w:t>шивки от каркаса крыла. По этой причине погибло нес</w:t>
      </w:r>
      <w:r w:rsidRPr="00D03F3E">
        <w:rPr>
          <w:rFonts w:ascii="Times New Roman" w:hAnsi="Times New Roman"/>
          <w:color w:val="000000" w:themeColor="text1"/>
          <w:sz w:val="16"/>
          <w:szCs w:val="16"/>
        </w:rPr>
        <w:softHyphen/>
        <w:t>колько летчиков. В экстрен</w:t>
      </w:r>
      <w:r w:rsidRPr="00D03F3E">
        <w:rPr>
          <w:rFonts w:ascii="Times New Roman" w:hAnsi="Times New Roman"/>
          <w:color w:val="000000" w:themeColor="text1"/>
          <w:sz w:val="16"/>
          <w:szCs w:val="16"/>
        </w:rPr>
        <w:softHyphen/>
        <w:t>ном порядке этот дефект пришлось устранять прямо на фронте бригадами конс</w:t>
      </w:r>
      <w:r w:rsidRPr="00D03F3E">
        <w:rPr>
          <w:rFonts w:ascii="Times New Roman" w:hAnsi="Times New Roman"/>
          <w:color w:val="000000" w:themeColor="text1"/>
          <w:sz w:val="16"/>
          <w:szCs w:val="16"/>
        </w:rPr>
        <w:softHyphen/>
        <w:t>трукторского бюро и серий</w:t>
      </w:r>
      <w:r w:rsidRPr="00D03F3E">
        <w:rPr>
          <w:rFonts w:ascii="Times New Roman" w:hAnsi="Times New Roman"/>
          <w:color w:val="000000" w:themeColor="text1"/>
          <w:sz w:val="16"/>
          <w:szCs w:val="16"/>
        </w:rPr>
        <w:softHyphen/>
        <w:t>ных заводов (10712).</w:t>
      </w:r>
    </w:p>
    <w:p w14:paraId="61FC25F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49448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года на заводе № 166 был изготовлен первый разведчик Як-9Р и перевезен для окончательной сборки на опытный завод № 115, где его укомплектовали аэрофотоаппаратом АФА-ИМ. В сентябре-октябре того же года разведчик прошел контрольные испытания в НИИ ВВС (ведущие инженер Г.А. Седов и летчик А.Г. Проша- ков). Як-9Р строился в небольших количествах, и его можно было встретить не только разведывательных, но и в истребительных авиаполках (12046).</w:t>
      </w:r>
    </w:p>
    <w:p w14:paraId="12D6DA0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779A2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В июне 1943 г. прошли испытания воздушные фильтры конструкции ЛИИ НКАП, ЦАГИ (съемный и несъемный), завода № 292 НКАП для Як-1. Все они испытаний не выдержали. У легкосъемного фильтра ЛИИ НКАП (время снятия - 2-3 с, установки - 10-12 с) с площадью фильтрующей поверхности 6,55 дм2 быстро ржавела сетка, изготовленная из луженой жести. Поэтому его рекомендовали только как наземное приспособление. Съемный фильтр ЦАГИ снижал максимальную скорость самолета на 6-7 км/ч и, кроме того, требовал трудоемких подгоночных работ по месту отдельно для каждой машины. Несъемный фильтр ЦАГИ был очень сложен в изготовлении, требовал больших переделок в конструкции самолета. Фильтр завода № 292 снижал максимальную скорость самолета тоже на 6-7 км/ч (что превышало величину, заданную приказом наркома авиационной промышленности), и на его снятие уходило более 30 мин.</w:t>
      </w:r>
    </w:p>
    <w:p w14:paraId="2261D94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Совершенно другой принцип пылеулавливания был предложен специалистами авиамастерских Военно-морского авиационного училища им. Сталина (до недавнего времени - Ейское ВВАУЛ). В воздухопод- водяший канал нагнетателя устанавливалась специальная решетка, отсекавшая крупные частицы грунта и камешки вниз за пределы канала, а более легкие частицы пыли улавливались нанесенной липкой мастикой. Испытания, проведенные в училище, показали довольно хорошую эффективность устройства. Основной недостаток (предопределивший отказ от применения такого устройства) - необходимость обновлять мастичное покрытие, которое могло сохнуть, трескаться и крошиться под действием разности температур, угрожая безопасной работе мотора.</w:t>
      </w:r>
    </w:p>
    <w:p w14:paraId="1ED9767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Лишь к маю 1944 г. (по сути дела, к концу выпуска Як-1) был разработан, испытан и рекомендован к использованию в ВВС КА воздушный фильтр конструкции ВВС СФ с измененной кинематикой управления заслонкой, предложенной опытным заводом НИИ ВВС КА. Этот фильтр не снижал максимальную скорость полета в отличие от других пылефильтров (12048).</w:t>
      </w:r>
    </w:p>
    <w:p w14:paraId="17A1E4B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FCA476" w14:textId="77777777" w:rsidR="003B2316" w:rsidRPr="00D03F3E" w:rsidRDefault="003B231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ОТЧЕТ О КОНТРОЛЬНЫХ ИСПЫТАНИЯХ № 351 ЗА ИЮНЬ 1943 Г.</w:t>
      </w:r>
    </w:p>
    <w:p w14:paraId="323E2C71" w14:textId="77777777" w:rsidR="003B2316" w:rsidRPr="00D03F3E" w:rsidRDefault="003B231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Краткая характеристика серийного самолета Ла-5 тип 37 с М-82Ф.</w:t>
      </w:r>
    </w:p>
    <w:p w14:paraId="163BC258" w14:textId="77777777" w:rsidR="003B2316" w:rsidRPr="00D03F3E" w:rsidRDefault="003B231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Ла-5 М-82</w:t>
      </w:r>
      <w:r w:rsidRPr="00D03F3E">
        <w:rPr>
          <w:rFonts w:ascii="Times New Roman" w:hAnsi="Times New Roman"/>
          <w:color w:val="0070C0"/>
          <w:sz w:val="16"/>
          <w:szCs w:val="16"/>
        </w:rPr>
        <w:tab/>
        <w:t>Январь</w:t>
      </w:r>
      <w:r w:rsidRPr="00D03F3E">
        <w:rPr>
          <w:rFonts w:ascii="Times New Roman" w:hAnsi="Times New Roman"/>
          <w:color w:val="0070C0"/>
          <w:sz w:val="16"/>
          <w:szCs w:val="16"/>
        </w:rPr>
        <w:tab/>
        <w:t>февраль</w:t>
      </w:r>
      <w:r w:rsidRPr="00D03F3E">
        <w:rPr>
          <w:rFonts w:ascii="Times New Roman" w:hAnsi="Times New Roman"/>
          <w:color w:val="0070C0"/>
          <w:sz w:val="16"/>
          <w:szCs w:val="16"/>
        </w:rPr>
        <w:tab/>
        <w:t>март</w:t>
      </w:r>
      <w:r w:rsidRPr="00D03F3E">
        <w:rPr>
          <w:rFonts w:ascii="Times New Roman" w:hAnsi="Times New Roman"/>
          <w:color w:val="0070C0"/>
          <w:sz w:val="16"/>
          <w:szCs w:val="16"/>
        </w:rPr>
        <w:tab/>
        <w:t>апрель</w:t>
      </w:r>
      <w:r w:rsidRPr="00D03F3E">
        <w:rPr>
          <w:rFonts w:ascii="Times New Roman" w:hAnsi="Times New Roman"/>
          <w:color w:val="0070C0"/>
          <w:sz w:val="16"/>
          <w:szCs w:val="16"/>
        </w:rPr>
        <w:tab/>
        <w:t>Май</w:t>
      </w:r>
      <w:r w:rsidRPr="00D03F3E">
        <w:rPr>
          <w:rFonts w:ascii="Times New Roman" w:hAnsi="Times New Roman"/>
          <w:color w:val="0070C0"/>
          <w:sz w:val="16"/>
          <w:szCs w:val="16"/>
        </w:rPr>
        <w:tab/>
        <w:t>ИЮЛЬ</w:t>
      </w:r>
      <w:r w:rsidRPr="00D03F3E">
        <w:rPr>
          <w:rFonts w:ascii="Times New Roman" w:hAnsi="Times New Roman"/>
          <w:color w:val="0070C0"/>
          <w:sz w:val="16"/>
          <w:szCs w:val="16"/>
        </w:rPr>
        <w:tab/>
        <w:t>август  Ла-5  М-82Ф</w:t>
      </w:r>
    </w:p>
    <w:p w14:paraId="0D9B74E7" w14:textId="77777777" w:rsidR="003B2316" w:rsidRPr="00D03F3E" w:rsidRDefault="003B231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Полетный вес, кг</w:t>
      </w:r>
      <w:r w:rsidRPr="00D03F3E">
        <w:rPr>
          <w:rFonts w:ascii="Times New Roman" w:hAnsi="Times New Roman"/>
          <w:color w:val="0070C0"/>
          <w:sz w:val="16"/>
          <w:szCs w:val="16"/>
        </w:rPr>
        <w:tab/>
        <w:t>3240</w:t>
      </w:r>
      <w:r w:rsidRPr="00D03F3E">
        <w:rPr>
          <w:rFonts w:ascii="Times New Roman" w:hAnsi="Times New Roman"/>
          <w:color w:val="0070C0"/>
          <w:sz w:val="16"/>
          <w:szCs w:val="16"/>
        </w:rPr>
        <w:tab/>
        <w:t>3224</w:t>
      </w:r>
      <w:r w:rsidRPr="00D03F3E">
        <w:rPr>
          <w:rFonts w:ascii="Times New Roman" w:hAnsi="Times New Roman"/>
          <w:color w:val="0070C0"/>
          <w:sz w:val="16"/>
          <w:szCs w:val="16"/>
        </w:rPr>
        <w:tab/>
        <w:t>3208</w:t>
      </w:r>
      <w:r w:rsidRPr="00D03F3E">
        <w:rPr>
          <w:rFonts w:ascii="Times New Roman" w:hAnsi="Times New Roman"/>
          <w:color w:val="0070C0"/>
          <w:sz w:val="16"/>
          <w:szCs w:val="16"/>
        </w:rPr>
        <w:tab/>
        <w:t>3235</w:t>
      </w:r>
      <w:r w:rsidRPr="00D03F3E">
        <w:rPr>
          <w:rFonts w:ascii="Times New Roman" w:hAnsi="Times New Roman"/>
          <w:color w:val="0070C0"/>
          <w:sz w:val="16"/>
          <w:szCs w:val="16"/>
        </w:rPr>
        <w:tab/>
        <w:t>3220</w:t>
      </w:r>
      <w:r w:rsidRPr="00D03F3E">
        <w:rPr>
          <w:rFonts w:ascii="Times New Roman" w:hAnsi="Times New Roman"/>
          <w:color w:val="0070C0"/>
          <w:sz w:val="16"/>
          <w:szCs w:val="16"/>
        </w:rPr>
        <w:tab/>
        <w:t>3200</w:t>
      </w:r>
      <w:r w:rsidRPr="00D03F3E">
        <w:rPr>
          <w:rFonts w:ascii="Times New Roman" w:hAnsi="Times New Roman"/>
          <w:color w:val="0070C0"/>
          <w:sz w:val="16"/>
          <w:szCs w:val="16"/>
        </w:rPr>
        <w:tab/>
        <w:t>3230</w:t>
      </w:r>
    </w:p>
    <w:p w14:paraId="1FE0679C" w14:textId="77777777" w:rsidR="003B2316" w:rsidRPr="00D03F3E" w:rsidRDefault="003B231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V max у зем- ли, км/час</w:t>
      </w:r>
      <w:r w:rsidRPr="00D03F3E">
        <w:rPr>
          <w:rFonts w:ascii="Times New Roman" w:hAnsi="Times New Roman"/>
          <w:color w:val="0070C0"/>
          <w:sz w:val="16"/>
          <w:szCs w:val="16"/>
        </w:rPr>
        <w:tab/>
        <w:t>563</w:t>
      </w:r>
      <w:r w:rsidRPr="00D03F3E">
        <w:rPr>
          <w:rFonts w:ascii="Times New Roman" w:hAnsi="Times New Roman"/>
          <w:color w:val="0070C0"/>
          <w:sz w:val="16"/>
          <w:szCs w:val="16"/>
        </w:rPr>
        <w:tab/>
        <w:t>550</w:t>
      </w:r>
      <w:r w:rsidRPr="00D03F3E">
        <w:rPr>
          <w:rFonts w:ascii="Times New Roman" w:hAnsi="Times New Roman"/>
          <w:color w:val="0070C0"/>
          <w:sz w:val="16"/>
          <w:szCs w:val="16"/>
        </w:rPr>
        <w:tab/>
        <w:t>555</w:t>
      </w:r>
      <w:r w:rsidRPr="00D03F3E">
        <w:rPr>
          <w:rFonts w:ascii="Times New Roman" w:hAnsi="Times New Roman"/>
          <w:color w:val="0070C0"/>
          <w:sz w:val="16"/>
          <w:szCs w:val="16"/>
        </w:rPr>
        <w:tab/>
        <w:t>557</w:t>
      </w:r>
      <w:r w:rsidRPr="00D03F3E">
        <w:rPr>
          <w:rFonts w:ascii="Times New Roman" w:hAnsi="Times New Roman"/>
          <w:color w:val="0070C0"/>
          <w:sz w:val="16"/>
          <w:szCs w:val="16"/>
        </w:rPr>
        <w:tab/>
        <w:t>548</w:t>
      </w:r>
      <w:r w:rsidRPr="00D03F3E">
        <w:rPr>
          <w:rFonts w:ascii="Times New Roman" w:hAnsi="Times New Roman"/>
          <w:color w:val="0070C0"/>
          <w:sz w:val="16"/>
          <w:szCs w:val="16"/>
        </w:rPr>
        <w:tab/>
        <w:t>560</w:t>
      </w:r>
      <w:r w:rsidRPr="00D03F3E">
        <w:rPr>
          <w:rFonts w:ascii="Times New Roman" w:hAnsi="Times New Roman"/>
          <w:color w:val="0070C0"/>
          <w:sz w:val="16"/>
          <w:szCs w:val="16"/>
        </w:rPr>
        <w:tab/>
        <w:t>550</w:t>
      </w:r>
    </w:p>
    <w:p w14:paraId="7EF38D28" w14:textId="77777777" w:rsidR="003B2316" w:rsidRPr="00D03F3E" w:rsidRDefault="003B231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Скорость на 1-й границе высотности: 4000 м 5000 м</w:t>
      </w:r>
      <w:r w:rsidRPr="00D03F3E">
        <w:rPr>
          <w:rFonts w:ascii="Times New Roman" w:hAnsi="Times New Roman"/>
          <w:color w:val="0070C0"/>
          <w:sz w:val="16"/>
          <w:szCs w:val="16"/>
        </w:rPr>
        <w:tab/>
        <w:t>603  556</w:t>
      </w:r>
      <w:r w:rsidRPr="00D03F3E">
        <w:rPr>
          <w:rFonts w:ascii="Times New Roman" w:hAnsi="Times New Roman"/>
          <w:color w:val="0070C0"/>
          <w:sz w:val="16"/>
          <w:szCs w:val="16"/>
        </w:rPr>
        <w:tab/>
        <w:t>561  579</w:t>
      </w:r>
      <w:r w:rsidRPr="00D03F3E">
        <w:rPr>
          <w:rFonts w:ascii="Times New Roman" w:hAnsi="Times New Roman"/>
          <w:color w:val="0070C0"/>
          <w:sz w:val="16"/>
          <w:szCs w:val="16"/>
        </w:rPr>
        <w:tab/>
        <w:t>578  546</w:t>
      </w:r>
      <w:r w:rsidRPr="00D03F3E">
        <w:rPr>
          <w:rFonts w:ascii="Times New Roman" w:hAnsi="Times New Roman"/>
          <w:color w:val="0070C0"/>
          <w:sz w:val="16"/>
          <w:szCs w:val="16"/>
        </w:rPr>
        <w:tab/>
        <w:t>583  572</w:t>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p>
    <w:p w14:paraId="607B2E4A" w14:textId="77777777" w:rsidR="003B2316" w:rsidRPr="00D03F3E" w:rsidRDefault="003B231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Время подъема</w:t>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p>
    <w:p w14:paraId="70ABC956" w14:textId="77777777" w:rsidR="003B2316" w:rsidRPr="00D03F3E" w:rsidRDefault="003B231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на высоту</w:t>
      </w:r>
      <w:r w:rsidRPr="00D03F3E">
        <w:rPr>
          <w:rFonts w:ascii="Times New Roman" w:hAnsi="Times New Roman"/>
          <w:color w:val="0070C0"/>
          <w:sz w:val="16"/>
          <w:szCs w:val="16"/>
        </w:rPr>
        <w:tab/>
        <w:t>5,2</w:t>
      </w:r>
      <w:r w:rsidRPr="00D03F3E">
        <w:rPr>
          <w:rFonts w:ascii="Times New Roman" w:hAnsi="Times New Roman"/>
          <w:color w:val="0070C0"/>
          <w:sz w:val="16"/>
          <w:szCs w:val="16"/>
        </w:rPr>
        <w:tab/>
        <w:t>-</w:t>
      </w:r>
      <w:r w:rsidRPr="00D03F3E">
        <w:rPr>
          <w:rFonts w:ascii="Times New Roman" w:hAnsi="Times New Roman"/>
          <w:color w:val="0070C0"/>
          <w:sz w:val="16"/>
          <w:szCs w:val="16"/>
        </w:rPr>
        <w:tab/>
        <w:t>5,4</w:t>
      </w:r>
      <w:r w:rsidRPr="00D03F3E">
        <w:rPr>
          <w:rFonts w:ascii="Times New Roman" w:hAnsi="Times New Roman"/>
          <w:color w:val="0070C0"/>
          <w:sz w:val="16"/>
          <w:szCs w:val="16"/>
        </w:rPr>
        <w:tab/>
        <w:t>5,0</w:t>
      </w:r>
      <w:r w:rsidRPr="00D03F3E">
        <w:rPr>
          <w:rFonts w:ascii="Times New Roman" w:hAnsi="Times New Roman"/>
          <w:color w:val="0070C0"/>
          <w:sz w:val="16"/>
          <w:szCs w:val="16"/>
        </w:rPr>
        <w:tab/>
        <w:t>5,3</w:t>
      </w:r>
      <w:r w:rsidRPr="00D03F3E">
        <w:rPr>
          <w:rFonts w:ascii="Times New Roman" w:hAnsi="Times New Roman"/>
          <w:color w:val="0070C0"/>
          <w:sz w:val="16"/>
          <w:szCs w:val="16"/>
        </w:rPr>
        <w:tab/>
        <w:t>5,5</w:t>
      </w:r>
      <w:r w:rsidRPr="00D03F3E">
        <w:rPr>
          <w:rFonts w:ascii="Times New Roman" w:hAnsi="Times New Roman"/>
          <w:color w:val="0070C0"/>
          <w:sz w:val="16"/>
          <w:szCs w:val="16"/>
        </w:rPr>
        <w:tab/>
        <w:t>6</w:t>
      </w:r>
    </w:p>
    <w:p w14:paraId="0957DD22" w14:textId="77777777" w:rsidR="003B2316" w:rsidRPr="00D03F3E" w:rsidRDefault="003B231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5000 м, мин</w:t>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p>
    <w:p w14:paraId="0ACB229E" w14:textId="77777777" w:rsidR="003B2316" w:rsidRPr="00D03F3E" w:rsidRDefault="003B231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вооружение</w:t>
      </w:r>
      <w:r w:rsidRPr="00D03F3E">
        <w:rPr>
          <w:rFonts w:ascii="Times New Roman" w:hAnsi="Times New Roman"/>
          <w:color w:val="0070C0"/>
          <w:sz w:val="16"/>
          <w:szCs w:val="16"/>
        </w:rPr>
        <w:tab/>
        <w:t>УБ 200</w:t>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p>
    <w:p w14:paraId="2DFBC2E5" w14:textId="77777777" w:rsidR="003B2316" w:rsidRPr="00D03F3E" w:rsidRDefault="003B231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ab/>
        <w:t>патронов,</w:t>
      </w:r>
      <w:r w:rsidRPr="00D03F3E">
        <w:rPr>
          <w:rFonts w:ascii="Times New Roman" w:hAnsi="Times New Roman"/>
          <w:color w:val="0070C0"/>
          <w:sz w:val="16"/>
          <w:szCs w:val="16"/>
        </w:rPr>
        <w:tab/>
        <w:t>СШ-20</w:t>
      </w:r>
      <w:r w:rsidRPr="00D03F3E">
        <w:rPr>
          <w:rFonts w:ascii="Times New Roman" w:hAnsi="Times New Roman"/>
          <w:color w:val="0070C0"/>
          <w:sz w:val="16"/>
          <w:szCs w:val="16"/>
        </w:rPr>
        <w:tab/>
        <w:t>2</w:t>
      </w:r>
      <w:r w:rsidRPr="00D03F3E">
        <w:rPr>
          <w:rFonts w:ascii="Times New Roman" w:hAnsi="Times New Roman"/>
          <w:color w:val="0070C0"/>
          <w:sz w:val="16"/>
          <w:szCs w:val="16"/>
        </w:rPr>
        <w:tab/>
        <w:t>2 СП-</w:t>
      </w:r>
      <w:r w:rsidRPr="00D03F3E">
        <w:rPr>
          <w:rFonts w:ascii="Times New Roman" w:hAnsi="Times New Roman"/>
          <w:color w:val="0070C0"/>
          <w:sz w:val="16"/>
          <w:szCs w:val="16"/>
        </w:rPr>
        <w:tab/>
        <w:t>2</w:t>
      </w:r>
      <w:r w:rsidRPr="00D03F3E">
        <w:rPr>
          <w:rFonts w:ascii="Times New Roman" w:hAnsi="Times New Roman"/>
          <w:color w:val="0070C0"/>
          <w:sz w:val="16"/>
          <w:szCs w:val="16"/>
        </w:rPr>
        <w:tab/>
      </w:r>
      <w:r w:rsidRPr="00D03F3E">
        <w:rPr>
          <w:rFonts w:ascii="Times New Roman" w:hAnsi="Times New Roman"/>
          <w:color w:val="0070C0"/>
          <w:sz w:val="16"/>
          <w:szCs w:val="16"/>
        </w:rPr>
        <w:tab/>
      </w:r>
    </w:p>
    <w:p w14:paraId="2E708736" w14:textId="77777777" w:rsidR="003B2316" w:rsidRPr="00D03F3E" w:rsidRDefault="003B231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ab/>
        <w:t>1 ШВАК</w:t>
      </w:r>
      <w:r w:rsidRPr="00D03F3E">
        <w:rPr>
          <w:rFonts w:ascii="Times New Roman" w:hAnsi="Times New Roman"/>
          <w:color w:val="0070C0"/>
          <w:sz w:val="16"/>
          <w:szCs w:val="16"/>
        </w:rPr>
        <w:tab/>
      </w:r>
      <w:r w:rsidRPr="00D03F3E">
        <w:rPr>
          <w:rFonts w:ascii="Times New Roman" w:hAnsi="Times New Roman"/>
          <w:color w:val="0070C0"/>
          <w:sz w:val="16"/>
          <w:szCs w:val="16"/>
        </w:rPr>
        <w:tab/>
        <w:t>ШВА</w:t>
      </w:r>
      <w:r w:rsidRPr="00D03F3E">
        <w:rPr>
          <w:rFonts w:ascii="Times New Roman" w:hAnsi="Times New Roman"/>
          <w:color w:val="0070C0"/>
          <w:sz w:val="16"/>
          <w:szCs w:val="16"/>
        </w:rPr>
        <w:tab/>
        <w:t>20</w:t>
      </w:r>
      <w:r w:rsidRPr="00D03F3E">
        <w:rPr>
          <w:rFonts w:ascii="Times New Roman" w:hAnsi="Times New Roman"/>
          <w:color w:val="0070C0"/>
          <w:sz w:val="16"/>
          <w:szCs w:val="16"/>
        </w:rPr>
        <w:tab/>
        <w:t>СП-</w:t>
      </w:r>
      <w:r w:rsidRPr="00D03F3E">
        <w:rPr>
          <w:rFonts w:ascii="Times New Roman" w:hAnsi="Times New Roman"/>
          <w:color w:val="0070C0"/>
          <w:sz w:val="16"/>
          <w:szCs w:val="16"/>
        </w:rPr>
        <w:tab/>
      </w:r>
      <w:r w:rsidRPr="00D03F3E">
        <w:rPr>
          <w:rFonts w:ascii="Times New Roman" w:hAnsi="Times New Roman"/>
          <w:color w:val="0070C0"/>
          <w:sz w:val="16"/>
          <w:szCs w:val="16"/>
        </w:rPr>
        <w:tab/>
      </w:r>
    </w:p>
    <w:p w14:paraId="2DFFE90D" w14:textId="77777777" w:rsidR="003B2316" w:rsidRPr="00D03F3E" w:rsidRDefault="003B231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ab/>
        <w:t>70 патро-</w:t>
      </w:r>
      <w:r w:rsidRPr="00D03F3E">
        <w:rPr>
          <w:rFonts w:ascii="Times New Roman" w:hAnsi="Times New Roman"/>
          <w:color w:val="0070C0"/>
          <w:sz w:val="16"/>
          <w:szCs w:val="16"/>
        </w:rPr>
        <w:tab/>
      </w:r>
      <w:r w:rsidRPr="00D03F3E">
        <w:rPr>
          <w:rFonts w:ascii="Times New Roman" w:hAnsi="Times New Roman"/>
          <w:color w:val="0070C0"/>
          <w:sz w:val="16"/>
          <w:szCs w:val="16"/>
        </w:rPr>
        <w:tab/>
        <w:t>К</w:t>
      </w:r>
      <w:r w:rsidRPr="00D03F3E">
        <w:rPr>
          <w:rFonts w:ascii="Times New Roman" w:hAnsi="Times New Roman"/>
          <w:color w:val="0070C0"/>
          <w:sz w:val="16"/>
          <w:szCs w:val="16"/>
        </w:rPr>
        <w:tab/>
      </w:r>
      <w:r w:rsidRPr="00D03F3E">
        <w:rPr>
          <w:rFonts w:ascii="Times New Roman" w:hAnsi="Times New Roman"/>
          <w:color w:val="0070C0"/>
          <w:sz w:val="16"/>
          <w:szCs w:val="16"/>
        </w:rPr>
        <w:tab/>
        <w:t>20</w:t>
      </w:r>
      <w:r w:rsidRPr="00D03F3E">
        <w:rPr>
          <w:rFonts w:ascii="Times New Roman" w:hAnsi="Times New Roman"/>
          <w:color w:val="0070C0"/>
          <w:sz w:val="16"/>
          <w:szCs w:val="16"/>
        </w:rPr>
        <w:tab/>
      </w:r>
      <w:r w:rsidRPr="00D03F3E">
        <w:rPr>
          <w:rFonts w:ascii="Times New Roman" w:hAnsi="Times New Roman"/>
          <w:color w:val="0070C0"/>
          <w:sz w:val="16"/>
          <w:szCs w:val="16"/>
        </w:rPr>
        <w:tab/>
      </w:r>
    </w:p>
    <w:p w14:paraId="4D9C67AC" w14:textId="77777777" w:rsidR="003B2316" w:rsidRPr="00D03F3E" w:rsidRDefault="003B231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ab/>
        <w:t>нов</w:t>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p>
    <w:p w14:paraId="0442040F" w14:textId="77777777" w:rsidR="003B2316" w:rsidRPr="00D03F3E" w:rsidRDefault="003B231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Самолет Ла-</w:t>
      </w:r>
      <w:r w:rsidRPr="00D03F3E">
        <w:rPr>
          <w:rFonts w:ascii="Times New Roman" w:hAnsi="Times New Roman"/>
          <w:color w:val="0070C0"/>
          <w:sz w:val="16"/>
          <w:szCs w:val="16"/>
        </w:rPr>
        <w:tab/>
        <w:t>Скорость</w:t>
      </w:r>
      <w:r w:rsidRPr="00D03F3E">
        <w:rPr>
          <w:rFonts w:ascii="Times New Roman" w:hAnsi="Times New Roman"/>
          <w:color w:val="0070C0"/>
          <w:sz w:val="16"/>
          <w:szCs w:val="16"/>
        </w:rPr>
        <w:tab/>
        <w:t>Ско-</w:t>
      </w:r>
      <w:r w:rsidRPr="00D03F3E">
        <w:rPr>
          <w:rFonts w:ascii="Times New Roman" w:hAnsi="Times New Roman"/>
          <w:color w:val="0070C0"/>
          <w:sz w:val="16"/>
          <w:szCs w:val="16"/>
        </w:rPr>
        <w:tab/>
        <w:t>Ско-</w:t>
      </w:r>
      <w:r w:rsidRPr="00D03F3E">
        <w:rPr>
          <w:rFonts w:ascii="Times New Roman" w:hAnsi="Times New Roman"/>
          <w:color w:val="0070C0"/>
          <w:sz w:val="16"/>
          <w:szCs w:val="16"/>
        </w:rPr>
        <w:tab/>
        <w:t>Время</w:t>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p>
    <w:p w14:paraId="73A26D5E" w14:textId="77777777" w:rsidR="003B2316" w:rsidRPr="00D03F3E" w:rsidRDefault="003B231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5ФН</w:t>
      </w:r>
      <w:r w:rsidRPr="00D03F3E">
        <w:rPr>
          <w:rFonts w:ascii="Times New Roman" w:hAnsi="Times New Roman"/>
          <w:color w:val="0070C0"/>
          <w:sz w:val="16"/>
          <w:szCs w:val="16"/>
        </w:rPr>
        <w:tab/>
        <w:t>у земли,</w:t>
      </w:r>
      <w:r w:rsidRPr="00D03F3E">
        <w:rPr>
          <w:rFonts w:ascii="Times New Roman" w:hAnsi="Times New Roman"/>
          <w:color w:val="0070C0"/>
          <w:sz w:val="16"/>
          <w:szCs w:val="16"/>
        </w:rPr>
        <w:tab/>
        <w:t>рость на</w:t>
      </w:r>
      <w:r w:rsidRPr="00D03F3E">
        <w:rPr>
          <w:rFonts w:ascii="Times New Roman" w:hAnsi="Times New Roman"/>
          <w:color w:val="0070C0"/>
          <w:sz w:val="16"/>
          <w:szCs w:val="16"/>
        </w:rPr>
        <w:tab/>
        <w:t>рость</w:t>
      </w:r>
      <w:r w:rsidRPr="00D03F3E">
        <w:rPr>
          <w:rFonts w:ascii="Times New Roman" w:hAnsi="Times New Roman"/>
          <w:color w:val="0070C0"/>
          <w:sz w:val="16"/>
          <w:szCs w:val="16"/>
        </w:rPr>
        <w:tab/>
        <w:t>набора</w:t>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p>
    <w:p w14:paraId="394A98A6" w14:textId="77777777" w:rsidR="003B2316" w:rsidRPr="00D03F3E" w:rsidRDefault="003B231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ab/>
        <w:t>км/час</w:t>
      </w:r>
      <w:r w:rsidRPr="00D03F3E">
        <w:rPr>
          <w:rFonts w:ascii="Times New Roman" w:hAnsi="Times New Roman"/>
          <w:color w:val="0070C0"/>
          <w:sz w:val="16"/>
          <w:szCs w:val="16"/>
        </w:rPr>
        <w:tab/>
        <w:t>высоте</w:t>
      </w:r>
      <w:r w:rsidRPr="00D03F3E">
        <w:rPr>
          <w:rFonts w:ascii="Times New Roman" w:hAnsi="Times New Roman"/>
          <w:color w:val="0070C0"/>
          <w:sz w:val="16"/>
          <w:szCs w:val="16"/>
        </w:rPr>
        <w:tab/>
        <w:t>на</w:t>
      </w:r>
      <w:r w:rsidRPr="00D03F3E">
        <w:rPr>
          <w:rFonts w:ascii="Times New Roman" w:hAnsi="Times New Roman"/>
          <w:color w:val="0070C0"/>
          <w:sz w:val="16"/>
          <w:szCs w:val="16"/>
        </w:rPr>
        <w:tab/>
        <w:t>ВЫСОТЫ</w:t>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p>
    <w:p w14:paraId="7DCEE88D" w14:textId="77777777" w:rsidR="003B2316" w:rsidRPr="00D03F3E" w:rsidRDefault="003B231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ab/>
      </w:r>
      <w:r w:rsidRPr="00D03F3E">
        <w:rPr>
          <w:rFonts w:ascii="Times New Roman" w:hAnsi="Times New Roman"/>
          <w:color w:val="0070C0"/>
          <w:sz w:val="16"/>
          <w:szCs w:val="16"/>
        </w:rPr>
        <w:tab/>
        <w:t>5000 м.,</w:t>
      </w:r>
      <w:r w:rsidRPr="00D03F3E">
        <w:rPr>
          <w:rFonts w:ascii="Times New Roman" w:hAnsi="Times New Roman"/>
          <w:color w:val="0070C0"/>
          <w:sz w:val="16"/>
          <w:szCs w:val="16"/>
        </w:rPr>
        <w:tab/>
        <w:t>высоте</w:t>
      </w:r>
      <w:r w:rsidRPr="00D03F3E">
        <w:rPr>
          <w:rFonts w:ascii="Times New Roman" w:hAnsi="Times New Roman"/>
          <w:color w:val="0070C0"/>
          <w:sz w:val="16"/>
          <w:szCs w:val="16"/>
        </w:rPr>
        <w:tab/>
        <w:t>5000 м,</w:t>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p>
    <w:p w14:paraId="05BC57AC" w14:textId="77777777" w:rsidR="003B2316" w:rsidRPr="00D03F3E" w:rsidRDefault="003B231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ab/>
      </w:r>
      <w:r w:rsidRPr="00D03F3E">
        <w:rPr>
          <w:rFonts w:ascii="Times New Roman" w:hAnsi="Times New Roman"/>
          <w:color w:val="0070C0"/>
          <w:sz w:val="16"/>
          <w:szCs w:val="16"/>
        </w:rPr>
        <w:tab/>
        <w:t>км/час</w:t>
      </w:r>
      <w:r w:rsidRPr="00D03F3E">
        <w:rPr>
          <w:rFonts w:ascii="Times New Roman" w:hAnsi="Times New Roman"/>
          <w:color w:val="0070C0"/>
          <w:sz w:val="16"/>
          <w:szCs w:val="16"/>
        </w:rPr>
        <w:tab/>
        <w:t>6000м.</w:t>
      </w:r>
      <w:r w:rsidRPr="00D03F3E">
        <w:rPr>
          <w:rFonts w:ascii="Times New Roman" w:hAnsi="Times New Roman"/>
          <w:color w:val="0070C0"/>
          <w:sz w:val="16"/>
          <w:szCs w:val="16"/>
        </w:rPr>
        <w:tab/>
        <w:t>МИН.</w:t>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p>
    <w:p w14:paraId="257C0B12" w14:textId="77777777" w:rsidR="003B2316" w:rsidRPr="00D03F3E" w:rsidRDefault="003B231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t>км/час</w:t>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p>
    <w:p w14:paraId="22C1841D" w14:textId="77777777" w:rsidR="003B2316" w:rsidRPr="00D03F3E" w:rsidRDefault="003B231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ab/>
        <w:t>597</w:t>
      </w:r>
      <w:r w:rsidRPr="00D03F3E">
        <w:rPr>
          <w:rFonts w:ascii="Times New Roman" w:hAnsi="Times New Roman"/>
          <w:color w:val="0070C0"/>
          <w:sz w:val="16"/>
          <w:szCs w:val="16"/>
        </w:rPr>
        <w:tab/>
        <w:t>620</w:t>
      </w:r>
      <w:r w:rsidRPr="00D03F3E">
        <w:rPr>
          <w:rFonts w:ascii="Times New Roman" w:hAnsi="Times New Roman"/>
          <w:color w:val="0070C0"/>
          <w:sz w:val="16"/>
          <w:szCs w:val="16"/>
        </w:rPr>
        <w:tab/>
        <w:t>640</w:t>
      </w:r>
      <w:r w:rsidRPr="00D03F3E">
        <w:rPr>
          <w:rFonts w:ascii="Times New Roman" w:hAnsi="Times New Roman"/>
          <w:color w:val="0070C0"/>
          <w:sz w:val="16"/>
          <w:szCs w:val="16"/>
        </w:rPr>
        <w:tab/>
        <w:t>4,7</w:t>
      </w:r>
      <w:r w:rsidRPr="00D03F3E">
        <w:rPr>
          <w:rFonts w:ascii="Times New Roman" w:hAnsi="Times New Roman"/>
          <w:color w:val="0070C0"/>
          <w:sz w:val="16"/>
          <w:szCs w:val="16"/>
        </w:rPr>
        <w:tab/>
      </w:r>
      <w:r w:rsidRPr="00D03F3E">
        <w:rPr>
          <w:rFonts w:ascii="Times New Roman" w:hAnsi="Times New Roman"/>
          <w:color w:val="0070C0"/>
          <w:sz w:val="16"/>
          <w:szCs w:val="16"/>
        </w:rPr>
        <w:tab/>
      </w:r>
      <w:r w:rsidRPr="00D03F3E">
        <w:rPr>
          <w:rFonts w:ascii="Times New Roman" w:hAnsi="Times New Roman"/>
          <w:color w:val="0070C0"/>
          <w:sz w:val="16"/>
          <w:szCs w:val="16"/>
        </w:rPr>
        <w:tab/>
      </w:r>
    </w:p>
    <w:p w14:paraId="1D6279A4" w14:textId="77777777" w:rsidR="003B2316" w:rsidRPr="00D03F3E" w:rsidRDefault="003B231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ЦАНО. Ф. 2066. On. 9. Д. 877. Л. 1.</w:t>
      </w:r>
    </w:p>
    <w:p w14:paraId="65E158D3" w14:textId="77777777" w:rsidR="003B2316" w:rsidRPr="00D03F3E" w:rsidRDefault="003B2316"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Подлинник. Машинопись (21101).</w:t>
      </w:r>
    </w:p>
    <w:p w14:paraId="1119851A" w14:textId="77777777" w:rsidR="003B2316" w:rsidRPr="00D03F3E" w:rsidRDefault="003B2316" w:rsidP="00D03F3E">
      <w:pPr>
        <w:spacing w:after="0" w:line="240" w:lineRule="auto"/>
        <w:jc w:val="both"/>
        <w:rPr>
          <w:rFonts w:ascii="Times New Roman" w:hAnsi="Times New Roman"/>
          <w:color w:val="0070C0"/>
          <w:sz w:val="16"/>
          <w:szCs w:val="16"/>
        </w:rPr>
      </w:pPr>
    </w:p>
    <w:p w14:paraId="38CFBFC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1943-го С.Н.Анохин был откомандирован в ЛИИ для проведения испытаний самолета "302" - одного из первых истребителей-перехватчиков с ЖРД. К сожалению, из-за недоведённости двигателя самолёт был испытан лишь в планерном варианте (5996).</w:t>
      </w:r>
    </w:p>
    <w:p w14:paraId="14FE29B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92155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года в НИПАВ опробовали уже более глубокую переработку модификации А-20В: во внутренних бомбоотсеках смонтировали наши кассетные бомбодержатели Дер-21, рассчитанные в сумме на 16 бомб ФАБ 100, а снаружи установили Дер-19П для бомб калибром до 250 кг. Дер-21 позволяли вставить в бомбоотсеки кассеты мелких бомб КМБ-Пе-2 под бомбы АО 2,5, АО-10, АО-25, ЗАБ-2,5 и ампулы АЖ-2 (обычно заливавшиеся самовоспламеняющейся жидкостью). Снаружи предусмотрели подвеску химических выливных приборов ВАП-250. Смонтировали бомбосбрасыватель ЭСБР-6, прицелы ОПБ-1Р и НКПБ-7. В итоге максимальная бомбовая нагрузка (при взлете с бетона) возросла до 2000 кг. Замене бомбового вооружения подверглись в общей сложности более 600 самолетов, в том числе несколько сот А-20В. Изменения в оборонительном вооружении машин этого тина сводились в основном к установке верхней турели УТК-1 (3457,104).</w:t>
      </w:r>
    </w:p>
    <w:p w14:paraId="00495A4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1883E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в Ташкенте сделали единственную за войну серию в пять ПС-84 в пассажирской версии для полета на конференцию в Тегеран (4141,22).</w:t>
      </w:r>
    </w:p>
    <w:p w14:paraId="5C88D3F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378E0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С.П.К. совместно с В.П. Глушко и В.А. Бекетовым написал письмо Л.П. Берии о разработке реактивной установки (ААН, ф. 1546, оп. 1, № 25) (10676).</w:t>
      </w:r>
    </w:p>
    <w:p w14:paraId="5650D83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84AEB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проходили гос. испытания МП Н.Н.П., сделанного на основе БДП-2 (228,174).</w:t>
      </w:r>
    </w:p>
    <w:p w14:paraId="5B2FADC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2A522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 проходили государственные испытания МП. Он развивал максимальную скорость 172 км/ч, дальность полета достигала 700 км. После успешных ис</w:t>
      </w:r>
      <w:r w:rsidRPr="00D03F3E">
        <w:rPr>
          <w:rFonts w:ascii="Times New Roman" w:hAnsi="Times New Roman"/>
          <w:color w:val="000000" w:themeColor="text1"/>
          <w:sz w:val="16"/>
          <w:szCs w:val="16"/>
        </w:rPr>
        <w:softHyphen/>
        <w:t>пытаний МП был принят госкомиссией. Но серийное производство МП разворачивать уже не было смысла: фронт двигался на запад и расстояние от линии фронта до партизанских баз с каждым днем сокращалось и пла</w:t>
      </w:r>
      <w:r w:rsidRPr="00D03F3E">
        <w:rPr>
          <w:rFonts w:ascii="Times New Roman" w:hAnsi="Times New Roman"/>
          <w:color w:val="000000" w:themeColor="text1"/>
          <w:sz w:val="16"/>
          <w:szCs w:val="16"/>
        </w:rPr>
        <w:softHyphen/>
        <w:t>неры, самолеты У-2, Як-6, Ли-2 обеспечивали достаточ</w:t>
      </w:r>
      <w:r w:rsidRPr="00D03F3E">
        <w:rPr>
          <w:rFonts w:ascii="Times New Roman" w:hAnsi="Times New Roman"/>
          <w:color w:val="000000" w:themeColor="text1"/>
          <w:sz w:val="16"/>
          <w:szCs w:val="16"/>
        </w:rPr>
        <w:softHyphen/>
        <w:t>но надежную связь с партизанскими отрядами. Появившийся несколько позже самолет, а по сути мото</w:t>
      </w:r>
      <w:r w:rsidRPr="00D03F3E">
        <w:rPr>
          <w:rFonts w:ascii="Times New Roman" w:hAnsi="Times New Roman"/>
          <w:color w:val="000000" w:themeColor="text1"/>
          <w:sz w:val="16"/>
          <w:szCs w:val="16"/>
        </w:rPr>
        <w:softHyphen/>
        <w:t>планер, Ще-2, имел с теми же моторами более вмести-мый грузоотсек. В 1942 г. в ОКБ Поликарпова появился проект еще одного планера - ДП-30. Планер предназначался для пе</w:t>
      </w:r>
      <w:r w:rsidRPr="00D03F3E">
        <w:rPr>
          <w:rFonts w:ascii="Times New Roman" w:hAnsi="Times New Roman"/>
          <w:color w:val="000000" w:themeColor="text1"/>
          <w:sz w:val="16"/>
          <w:szCs w:val="16"/>
        </w:rPr>
        <w:softHyphen/>
        <w:t>реброски ночного десанта в количестве 26 человек; стрелкового взвода (31 человек), взвода расчетов противотанковых ружей (33 человека с полным вооружени</w:t>
      </w:r>
      <w:r w:rsidRPr="00D03F3E">
        <w:rPr>
          <w:rFonts w:ascii="Times New Roman" w:hAnsi="Times New Roman"/>
          <w:color w:val="000000" w:themeColor="text1"/>
          <w:sz w:val="16"/>
          <w:szCs w:val="16"/>
        </w:rPr>
        <w:softHyphen/>
        <w:t>ем), а также боевых грузов: автомашин («Виллис» и «Пигмей»), пушек калибра 45 мм, минометов и т.д. об</w:t>
      </w:r>
      <w:r w:rsidRPr="00D03F3E">
        <w:rPr>
          <w:rFonts w:ascii="Times New Roman" w:hAnsi="Times New Roman"/>
          <w:color w:val="000000" w:themeColor="text1"/>
          <w:sz w:val="16"/>
          <w:szCs w:val="16"/>
        </w:rPr>
        <w:softHyphen/>
        <w:t>щим весом до 3000 кг. Планер предполагалось буксировать за самолетом ДБ-3Ф. Конструкция ДП-30 проектировалась с учетом возможности преобразования в мотопланер с четырьмя моторами, а при наличии соответствующих двигателей - в дешевый транспортно-пассажирский самолет. В отличие от БДП, ДП-30 выполнили по схеме низко-план для уменьшения посадочной скорости благодаря создаваемой крылом «воздушной подушке» и для уста</w:t>
      </w:r>
      <w:r w:rsidRPr="00D03F3E">
        <w:rPr>
          <w:rFonts w:ascii="Times New Roman" w:hAnsi="Times New Roman"/>
          <w:color w:val="000000" w:themeColor="text1"/>
          <w:sz w:val="16"/>
          <w:szCs w:val="16"/>
        </w:rPr>
        <w:softHyphen/>
        <w:t>новки убираемого шасси с широкой колеей. Размах кры</w:t>
      </w:r>
      <w:r w:rsidRPr="00D03F3E">
        <w:rPr>
          <w:rFonts w:ascii="Times New Roman" w:hAnsi="Times New Roman"/>
          <w:color w:val="000000" w:themeColor="text1"/>
          <w:sz w:val="16"/>
          <w:szCs w:val="16"/>
        </w:rPr>
        <w:softHyphen/>
        <w:t>ла составлял 24 м, длина -17м, нормальный полетный вес - 5200 кг, вес пустого планера - 2000 кг. Максималь</w:t>
      </w:r>
      <w:r w:rsidRPr="00D03F3E">
        <w:rPr>
          <w:rFonts w:ascii="Times New Roman" w:hAnsi="Times New Roman"/>
          <w:color w:val="000000" w:themeColor="text1"/>
          <w:sz w:val="16"/>
          <w:szCs w:val="16"/>
        </w:rPr>
        <w:softHyphen/>
        <w:t>ная скорость буксировки за бомбардировщиком ДБ-3Ф -342 км/ч на высоте 4000 м. С тормозами планер имел длину пробега 167 м. В описании проекта указывалось:</w:t>
      </w:r>
    </w:p>
    <w:p w14:paraId="259F92F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«Планер имеет двойное управление. 1-й и 2-й пило</w:t>
      </w:r>
      <w:r w:rsidRPr="00D03F3E">
        <w:rPr>
          <w:rFonts w:ascii="Times New Roman" w:hAnsi="Times New Roman"/>
          <w:color w:val="000000" w:themeColor="text1"/>
          <w:sz w:val="16"/>
          <w:szCs w:val="16"/>
        </w:rPr>
        <w:softHyphen/>
        <w:t>ты расположены рядом.</w:t>
      </w:r>
    </w:p>
    <w:p w14:paraId="75D5E8E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Загрузка планера габаритным грузом (пушка, авто</w:t>
      </w:r>
      <w:r w:rsidRPr="00D03F3E">
        <w:rPr>
          <w:rFonts w:ascii="Times New Roman" w:hAnsi="Times New Roman"/>
          <w:color w:val="000000" w:themeColor="text1"/>
          <w:sz w:val="16"/>
          <w:szCs w:val="16"/>
        </w:rPr>
        <w:softHyphen/>
        <w:t>мобиль и т.п.) производится спереди, для чего передняя несиловая часть фюзеляжа на петлях откидывается в сторону, проводка же управления не разъединяется, имея шарнирные соединения на общей оси...</w:t>
      </w:r>
    </w:p>
    <w:p w14:paraId="2A555B6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погрузки и выгрузки десанта имеются четыре двери размером 1300x800 мм и 900x800 мм (2 с правого и 2 с левого борта). Кроме того, имеются аварийные лю</w:t>
      </w:r>
      <w:r w:rsidRPr="00D03F3E">
        <w:rPr>
          <w:rFonts w:ascii="Times New Roman" w:hAnsi="Times New Roman"/>
          <w:color w:val="000000" w:themeColor="text1"/>
          <w:sz w:val="16"/>
          <w:szCs w:val="16"/>
        </w:rPr>
        <w:softHyphen/>
        <w:t>ки сверху и снизу.</w:t>
      </w:r>
    </w:p>
    <w:p w14:paraId="279F9A8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Фонарь пилота - сбрасываемый.</w:t>
      </w:r>
    </w:p>
    <w:p w14:paraId="30F8751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Конструкция основного лонжерона крыла смешан</w:t>
      </w:r>
      <w:r w:rsidRPr="00D03F3E">
        <w:rPr>
          <w:rFonts w:ascii="Times New Roman" w:hAnsi="Times New Roman"/>
          <w:color w:val="000000" w:themeColor="text1"/>
          <w:sz w:val="16"/>
          <w:szCs w:val="16"/>
        </w:rPr>
        <w:softHyphen/>
        <w:t>ная, полки лонжерона сделаны из уголковой хроманси-левой стали, стенка из многослойной фанеры. Это мероприятие значительно упрощает производство и да</w:t>
      </w:r>
      <w:r w:rsidRPr="00D03F3E">
        <w:rPr>
          <w:rFonts w:ascii="Times New Roman" w:hAnsi="Times New Roman"/>
          <w:color w:val="000000" w:themeColor="text1"/>
          <w:sz w:val="16"/>
          <w:szCs w:val="16"/>
        </w:rPr>
        <w:softHyphen/>
        <w:t>ет большую экономию в весе.</w:t>
      </w:r>
    </w:p>
    <w:p w14:paraId="46B13F8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Благодаря этому при полетном весе 5200 кг мы име</w:t>
      </w:r>
      <w:r w:rsidRPr="00D03F3E">
        <w:rPr>
          <w:rFonts w:ascii="Times New Roman" w:hAnsi="Times New Roman"/>
          <w:color w:val="000000" w:themeColor="text1"/>
          <w:sz w:val="16"/>
          <w:szCs w:val="16"/>
        </w:rPr>
        <w:softHyphen/>
        <w:t>ем вес конструкции 2000 кг, что составляет 62,5% полез</w:t>
      </w:r>
      <w:r w:rsidRPr="00D03F3E">
        <w:rPr>
          <w:rFonts w:ascii="Times New Roman" w:hAnsi="Times New Roman"/>
          <w:color w:val="000000" w:themeColor="text1"/>
          <w:sz w:val="16"/>
          <w:szCs w:val="16"/>
        </w:rPr>
        <w:softHyphen/>
        <w:t>ной весовой отдачи.</w:t>
      </w:r>
    </w:p>
    <w:p w14:paraId="18DF437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Схема планера свободно позволяет установку 4-х моторов М-11Ф или 2-х МГ-31.</w:t>
      </w:r>
    </w:p>
    <w:p w14:paraId="482CC84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этом случае кроме перечисленных вариантов при</w:t>
      </w:r>
      <w:r w:rsidRPr="00D03F3E">
        <w:rPr>
          <w:rFonts w:ascii="Times New Roman" w:hAnsi="Times New Roman"/>
          <w:color w:val="000000" w:themeColor="text1"/>
          <w:sz w:val="16"/>
          <w:szCs w:val="16"/>
        </w:rPr>
        <w:softHyphen/>
        <w:t>менения кабина мотопланера МДП-30 может быть обо</w:t>
      </w:r>
      <w:r w:rsidRPr="00D03F3E">
        <w:rPr>
          <w:rFonts w:ascii="Times New Roman" w:hAnsi="Times New Roman"/>
          <w:color w:val="000000" w:themeColor="text1"/>
          <w:sz w:val="16"/>
          <w:szCs w:val="16"/>
        </w:rPr>
        <w:softHyphen/>
        <w:t>рудована под комфортабельную пассажирскую кабину минимально на 24 пассажирских места.</w:t>
      </w:r>
    </w:p>
    <w:p w14:paraId="790C62F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Планер ДП-30 с большим полезным эффектом мо</w:t>
      </w:r>
      <w:r w:rsidRPr="00D03F3E">
        <w:rPr>
          <w:rFonts w:ascii="Times New Roman" w:hAnsi="Times New Roman"/>
          <w:color w:val="000000" w:themeColor="text1"/>
          <w:sz w:val="16"/>
          <w:szCs w:val="16"/>
        </w:rPr>
        <w:softHyphen/>
        <w:t>жет быть использован авиацией дальнего действия (АДД) при перебазировании и других видов транспор</w:t>
      </w:r>
      <w:r w:rsidRPr="00D03F3E">
        <w:rPr>
          <w:rFonts w:ascii="Times New Roman" w:hAnsi="Times New Roman"/>
          <w:color w:val="000000" w:themeColor="text1"/>
          <w:sz w:val="16"/>
          <w:szCs w:val="16"/>
        </w:rPr>
        <w:softHyphen/>
        <w:t>тировок грузов (моторов, горючего и т.п.).</w:t>
      </w:r>
    </w:p>
    <w:p w14:paraId="6B3EBF9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требованию заказчика планер ДП-30 и мотопла</w:t>
      </w:r>
      <w:r w:rsidRPr="00D03F3E">
        <w:rPr>
          <w:rFonts w:ascii="Times New Roman" w:hAnsi="Times New Roman"/>
          <w:color w:val="000000" w:themeColor="text1"/>
          <w:sz w:val="16"/>
          <w:szCs w:val="16"/>
        </w:rPr>
        <w:softHyphen/>
        <w:t>нер МДП-30 могут быть оборудованы под бомбардиро</w:t>
      </w:r>
      <w:r w:rsidRPr="00D03F3E">
        <w:rPr>
          <w:rFonts w:ascii="Times New Roman" w:hAnsi="Times New Roman"/>
          <w:color w:val="000000" w:themeColor="text1"/>
          <w:sz w:val="16"/>
          <w:szCs w:val="16"/>
        </w:rPr>
        <w:softHyphen/>
        <w:t>вочный вариант с калибрами бомб до 500 кг при бомбовой нагрузке 2500-3000 кг».</w:t>
      </w:r>
    </w:p>
    <w:p w14:paraId="6149779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1942 г. масштабы десантных операций у нас со</w:t>
      </w:r>
      <w:r w:rsidRPr="00D03F3E">
        <w:rPr>
          <w:rFonts w:ascii="Times New Roman" w:hAnsi="Times New Roman"/>
          <w:color w:val="000000" w:themeColor="text1"/>
          <w:sz w:val="16"/>
          <w:szCs w:val="16"/>
        </w:rPr>
        <w:softHyphen/>
        <w:t>кратились и заказов на постройку ДП-30 не поступало.</w:t>
      </w:r>
    </w:p>
    <w:p w14:paraId="5A7DFDC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Отметим, что большую роль в разработке всех типов планеров сыграл В.С.Вахмистров, которого Н.Н.Поли</w:t>
      </w:r>
      <w:r w:rsidRPr="00D03F3E">
        <w:rPr>
          <w:rFonts w:ascii="Times New Roman" w:hAnsi="Times New Roman"/>
          <w:color w:val="000000" w:themeColor="text1"/>
          <w:sz w:val="16"/>
          <w:szCs w:val="16"/>
        </w:rPr>
        <w:softHyphen/>
        <w:t>карпов назначил заместителем главного конструктора по планерам (10667).</w:t>
      </w:r>
    </w:p>
    <w:p w14:paraId="2E7D82E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148A7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 составе НКАП в была создана Главная ин</w:t>
      </w:r>
      <w:r w:rsidRPr="00D03F3E">
        <w:rPr>
          <w:rFonts w:ascii="Times New Roman" w:hAnsi="Times New Roman"/>
          <w:color w:val="000000" w:themeColor="text1"/>
          <w:sz w:val="16"/>
          <w:szCs w:val="16"/>
        </w:rPr>
        <w:softHyphen/>
        <w:t>спекция по качеству, и одновременно было проведено значи</w:t>
      </w:r>
      <w:r w:rsidRPr="00D03F3E">
        <w:rPr>
          <w:rFonts w:ascii="Times New Roman" w:hAnsi="Times New Roman"/>
          <w:color w:val="000000" w:themeColor="text1"/>
          <w:sz w:val="16"/>
          <w:szCs w:val="16"/>
        </w:rPr>
        <w:softHyphen/>
        <w:t>тельное расширение штатов Управления заказов и Военной приемки, а также укомплектование последних квалифициро</w:t>
      </w:r>
      <w:r w:rsidRPr="00D03F3E">
        <w:rPr>
          <w:rFonts w:ascii="Times New Roman" w:hAnsi="Times New Roman"/>
          <w:color w:val="000000" w:themeColor="text1"/>
          <w:sz w:val="16"/>
          <w:szCs w:val="16"/>
        </w:rPr>
        <w:softHyphen/>
        <w:t>ванными специалистами.</w:t>
      </w:r>
    </w:p>
    <w:p w14:paraId="4F103B2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авиазаводах был введен жесткий контроль качества фа</w:t>
      </w:r>
      <w:r w:rsidRPr="00D03F3E">
        <w:rPr>
          <w:rFonts w:ascii="Times New Roman" w:hAnsi="Times New Roman"/>
          <w:color w:val="000000" w:themeColor="text1"/>
          <w:sz w:val="16"/>
          <w:szCs w:val="16"/>
        </w:rPr>
        <w:softHyphen/>
        <w:t>неры, склейки крыла, приклейки фанеры к каркасу крыла, из</w:t>
      </w:r>
      <w:r w:rsidRPr="00D03F3E">
        <w:rPr>
          <w:rFonts w:ascii="Times New Roman" w:hAnsi="Times New Roman"/>
          <w:color w:val="000000" w:themeColor="text1"/>
          <w:sz w:val="16"/>
          <w:szCs w:val="16"/>
        </w:rPr>
        <w:softHyphen/>
        <w:t>менена технология лакокрасочных покрытий, а также прове</w:t>
      </w:r>
      <w:r w:rsidRPr="00D03F3E">
        <w:rPr>
          <w:rFonts w:ascii="Times New Roman" w:hAnsi="Times New Roman"/>
          <w:color w:val="000000" w:themeColor="text1"/>
          <w:sz w:val="16"/>
          <w:szCs w:val="16"/>
        </w:rPr>
        <w:softHyphen/>
        <w:t>дена работа по усилению деревянного фюзеляжа до требуемых норм прочности.</w:t>
      </w:r>
    </w:p>
    <w:p w14:paraId="3CB993F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авиачастях действующей армии в соответствии с ремонт</w:t>
      </w:r>
      <w:r w:rsidRPr="00D03F3E">
        <w:rPr>
          <w:rFonts w:ascii="Times New Roman" w:hAnsi="Times New Roman"/>
          <w:color w:val="000000" w:themeColor="text1"/>
          <w:sz w:val="16"/>
          <w:szCs w:val="16"/>
        </w:rPr>
        <w:softHyphen/>
        <w:t>ными бюллетенями заводов в срочном порядке был организо</w:t>
      </w:r>
      <w:r w:rsidRPr="00D03F3E">
        <w:rPr>
          <w:rFonts w:ascii="Times New Roman" w:hAnsi="Times New Roman"/>
          <w:color w:val="000000" w:themeColor="text1"/>
          <w:sz w:val="16"/>
          <w:szCs w:val="16"/>
        </w:rPr>
        <w:softHyphen/>
        <w:t>ван технический осмотр всех самолетов Ил-2 и ремонт обшив</w:t>
      </w:r>
      <w:r w:rsidRPr="00D03F3E">
        <w:rPr>
          <w:rFonts w:ascii="Times New Roman" w:hAnsi="Times New Roman"/>
          <w:color w:val="000000" w:themeColor="text1"/>
          <w:sz w:val="16"/>
          <w:szCs w:val="16"/>
        </w:rPr>
        <w:softHyphen/>
        <w:t>ки крыльев и фюзеляжа силами техсостава полков, ПАРМ и заводскими бригадами. Для ускорения работы по вводу в строй неисправных самолетов на фронт были направлены дополни</w:t>
      </w:r>
      <w:r w:rsidRPr="00D03F3E">
        <w:rPr>
          <w:rFonts w:ascii="Times New Roman" w:hAnsi="Times New Roman"/>
          <w:color w:val="000000" w:themeColor="text1"/>
          <w:sz w:val="16"/>
          <w:szCs w:val="16"/>
        </w:rPr>
        <w:softHyphen/>
        <w:t>тельные заводские бригады.</w:t>
      </w:r>
    </w:p>
    <w:p w14:paraId="366F4EC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Командующие и главные инженеры воздушных армий, ВВС фронтов и округов обязывались обеспечить жесткий кон</w:t>
      </w:r>
      <w:r w:rsidRPr="00D03F3E">
        <w:rPr>
          <w:rFonts w:ascii="Times New Roman" w:hAnsi="Times New Roman"/>
          <w:color w:val="000000" w:themeColor="text1"/>
          <w:sz w:val="16"/>
          <w:szCs w:val="16"/>
        </w:rPr>
        <w:softHyphen/>
        <w:t>троль исполнения техническим составом инструкций и указа</w:t>
      </w:r>
      <w:r w:rsidRPr="00D03F3E">
        <w:rPr>
          <w:rFonts w:ascii="Times New Roman" w:hAnsi="Times New Roman"/>
          <w:color w:val="000000" w:themeColor="text1"/>
          <w:sz w:val="16"/>
          <w:szCs w:val="16"/>
        </w:rPr>
        <w:softHyphen/>
        <w:t>ний о порядке обслуживания и ремонта самолетов деревянной и смешанной конструкции. Каждый случай выхода из строя самолетов вследствие загнивания древесины и фанерного по</w:t>
      </w:r>
      <w:r w:rsidRPr="00D03F3E">
        <w:rPr>
          <w:rFonts w:ascii="Times New Roman" w:hAnsi="Times New Roman"/>
          <w:color w:val="000000" w:themeColor="text1"/>
          <w:sz w:val="16"/>
          <w:szCs w:val="16"/>
        </w:rPr>
        <w:softHyphen/>
        <w:t>крытия или по другим не боевым причинам должен был рас</w:t>
      </w:r>
      <w:r w:rsidRPr="00D03F3E">
        <w:rPr>
          <w:rFonts w:ascii="Times New Roman" w:hAnsi="Times New Roman"/>
          <w:color w:val="000000" w:themeColor="text1"/>
          <w:sz w:val="16"/>
          <w:szCs w:val="16"/>
        </w:rPr>
        <w:softHyphen/>
        <w:t>следоваться, а виновные привлекаться к ответственности (11474,275).</w:t>
      </w:r>
    </w:p>
    <w:p w14:paraId="672E7B3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39D30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НКАП создал Главную инспекцию по качеству (237,202).</w:t>
      </w:r>
    </w:p>
    <w:p w14:paraId="2E61C2E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7E1E0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 сбылось предсказание А.С.Я. в отношении возможных действий германской авиации: во время массированного дневно</w:t>
      </w:r>
      <w:r w:rsidRPr="00D03F3E">
        <w:rPr>
          <w:rFonts w:ascii="Times New Roman" w:hAnsi="Times New Roman"/>
          <w:color w:val="000000" w:themeColor="text1"/>
          <w:sz w:val="16"/>
          <w:szCs w:val="16"/>
        </w:rPr>
        <w:softHyphen/>
        <w:t>го налета немцы разбомбили авиазавод № 292 в Сарато</w:t>
      </w:r>
      <w:r w:rsidRPr="00D03F3E">
        <w:rPr>
          <w:rFonts w:ascii="Times New Roman" w:hAnsi="Times New Roman"/>
          <w:color w:val="000000" w:themeColor="text1"/>
          <w:sz w:val="16"/>
          <w:szCs w:val="16"/>
        </w:rPr>
        <w:softHyphen/>
        <w:t>ве, производящий истребители Як-1. Лишь к октябрю 1943 г. удалось полностью восстановить производство. Тем не менее, официальной реакции на это письмо не последовало и никакого воздействия на решение об ор</w:t>
      </w:r>
      <w:r w:rsidRPr="00D03F3E">
        <w:rPr>
          <w:rFonts w:ascii="Times New Roman" w:hAnsi="Times New Roman"/>
          <w:color w:val="000000" w:themeColor="text1"/>
          <w:sz w:val="16"/>
          <w:szCs w:val="16"/>
        </w:rPr>
        <w:softHyphen/>
        <w:t>ганизации серийной постройки И-185 оно не оказало (10667).</w:t>
      </w:r>
    </w:p>
    <w:p w14:paraId="3C521EA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6DA92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 результаты боевых испытаний РЛС “Гнейс”-2 под Ленинградом в феврале-марте 1943 обсуждались в аппарате ЦК ВКП(б) под руководством заместителя заведующего отделом авиационной промышленности Н. С. Шиманова. В обсуждении вопроса участвовали: начальник НИИ ВВС генерал П. А. Лосюков, генерал С. А. Данилин, инженер-майор Е. С. Штейн, ответственный представитель наркомата электропромышленности Г. П. Казанский и др. На основе состоявшегося обсуждения, по предложению командования ВВС и войск ПВО РЛС «Гнейс-2» постановлением ГКО от 16 июня 1943 г. была принята на вооружение (11026).</w:t>
      </w:r>
    </w:p>
    <w:p w14:paraId="4B00275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Постановлением ГКО о принятии РЛС «Гнейс-2» на вооружение НИИ радиопромышленности был обязан изготовить большую партию станций, а чтобы создать условия для этого, было решено возвратить институт из эвакуации. Задел аппаратуры, подготовленный НИИ для станций «Гнейс-2», был срочно доставлен в НИИ ВВС, где бригада специалистов и рабочих института-разработчика и специалистов НИИ ВВС собирала под руководством В. В. Тихомирова станции, монтировала их на самолетах и испытывала в воздухе, доводя каждую РЛС до нужных требований.</w:t>
      </w:r>
    </w:p>
    <w:p w14:paraId="5FF3434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Большое внимание и помощь в подготовке летных экипажей для истребителей с РЛС «Гнейс-2» уделял начальник штаба ИА ПВО генерал С. А. Пестов (командовавший впоследствии ИА ПВО, а затем Военно-воздушной академией им. Ю. А. Гагарина). Программу подготовки летных экипажей он утверждал только после того, как сам неоднократно летал на перехватчиках.</w:t>
      </w:r>
    </w:p>
    <w:p w14:paraId="1269A80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концу 1944 г. институт выпустил более 230 РЛС «Гнейс-2» (11026).</w:t>
      </w:r>
    </w:p>
    <w:p w14:paraId="7A5F0FB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E9F7A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года завод № 2 Оргавиапрома, эвакуированный в октябре 1941 из Москвы и размещенный на территории поселка “опытной селекционной с/х станции” Челябинской области Чебаркульского района, был перебазирован и размещен на площадке бывш. завода № 288 НКАП в поселке Савелово (горд Кимры Калининской области). До июня 1944 года завод являлся ведомственным и именовался 2-й инструментальный завод Оргавиапрома НКАП. По решению Правительства, приказом по НКАП от 1 июня 1944 года за № 377 завод передан в управление оборудования НКАП и стал именоваться завод № 491.</w:t>
      </w:r>
    </w:p>
    <w:p w14:paraId="49CDBEE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491 ГКАТ, в основном, имеет профиль мелкосерийного и индивидуального спецстанкостроения и притом завод имеет свое КБ, которое производит опытное конструирование новых видов станков и машин, необходимых авиапромышленности.</w:t>
      </w:r>
    </w:p>
    <w:p w14:paraId="752218A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Директора: С июня 1943 года по 30 мая 1946 года – Поленов П.С. С 30 мая 1946 года – Панков И.А.</w:t>
      </w:r>
    </w:p>
    <w:p w14:paraId="3817E1D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Директор – Панков</w:t>
      </w:r>
    </w:p>
    <w:p w14:paraId="073F804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Кимры Калининской области, п/я 4 (9858).</w:t>
      </w:r>
    </w:p>
    <w:p w14:paraId="2A28B36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июня 1943 года по 30 мая 1946 года директором завода № 491 НКАП был Поленов П.С. С 30 мая 1946 года – Панков И.А.</w:t>
      </w:r>
    </w:p>
    <w:p w14:paraId="767661A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 Кимры Калининской области, п/я 4 (9858).</w:t>
      </w:r>
    </w:p>
    <w:p w14:paraId="368E616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года на эту промплощадку был перебазирован завод № 2 Оргавиапрома, реэвакуированный из Челябинской области. Объединенному заводу был присвоен № 491. На нем таким образом, произошло слияние кадров бывш. завода № 288, основная часть работников которого вернулась из эвакуации, завода № 2 Оргавиапрома и фронтовых мастерских. Начиная с 1943 года МАП профилировало завод по изготовлению специального и уникального оборудования для производства самолетов, авиадвигателей и приборов (10279).</w:t>
      </w:r>
    </w:p>
    <w:p w14:paraId="0F3C46F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7B9706"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E5D8F7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56346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 заводу (Завод № 538 НКБ /г. Москва/) передано оборудование по снаряжению противотанковых мин ТМБ-2 с завода № 562 НКБ. 4.11.1944 г. вышло распоряжение ГКО № 6875 о мерах по обеспечению на заводе производства стабилизатора к снарядам М-31-УК.</w:t>
      </w:r>
    </w:p>
    <w:p w14:paraId="342541A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08.1943-09.1944 г. -введении 7ГУ НКБ (11982).</w:t>
      </w:r>
    </w:p>
    <w:p w14:paraId="1453EB7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7D51F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 КБ завода № 9 НКВ под руководством Ф. Петрова предложило свой вариант 85-мм танкового орудия с заводским индексом Д-5Т, отличавшегося малым весом и небольшой длиной отката. Пушка Д-5Т была вы</w:t>
      </w:r>
      <w:r w:rsidRPr="00D03F3E">
        <w:rPr>
          <w:rFonts w:ascii="Times New Roman" w:hAnsi="Times New Roman"/>
          <w:color w:val="000000" w:themeColor="text1"/>
          <w:sz w:val="16"/>
          <w:szCs w:val="16"/>
        </w:rPr>
        <w:softHyphen/>
        <w:t>полнена на основании переработанных чертежей самоход</w:t>
      </w:r>
      <w:r w:rsidRPr="00D03F3E">
        <w:rPr>
          <w:rFonts w:ascii="Times New Roman" w:hAnsi="Times New Roman"/>
          <w:color w:val="000000" w:themeColor="text1"/>
          <w:sz w:val="16"/>
          <w:szCs w:val="16"/>
        </w:rPr>
        <w:softHyphen/>
        <w:t>ной пушки Д-5С, которая, в свою очередь, создавалась на основе переработанного проекта орудия У-12, разработан</w:t>
      </w:r>
      <w:r w:rsidRPr="00D03F3E">
        <w:rPr>
          <w:rFonts w:ascii="Times New Roman" w:hAnsi="Times New Roman"/>
          <w:color w:val="000000" w:themeColor="text1"/>
          <w:sz w:val="16"/>
          <w:szCs w:val="16"/>
        </w:rPr>
        <w:softHyphen/>
        <w:t>ного конструкторами Уралмашзавода В. Сидоренко и Усенко еще в конце 1941 г. (11135).</w:t>
      </w:r>
    </w:p>
    <w:p w14:paraId="4CBDE50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08A3F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года было собрано еще два танка Т-43 установочной партии, которые также успешно прошли испытания на НИБТ полигоне в период с 8 по 26 августа 1943 г. Во время этих испытаний одновремен</w:t>
      </w:r>
      <w:r w:rsidRPr="00D03F3E">
        <w:rPr>
          <w:rFonts w:ascii="Times New Roman" w:hAnsi="Times New Roman"/>
          <w:color w:val="000000" w:themeColor="text1"/>
          <w:sz w:val="16"/>
          <w:szCs w:val="16"/>
        </w:rPr>
        <w:softHyphen/>
        <w:t>но был проведен длительный пробег танка Т-43 по маршруту Нижний Тагил - Челябинск и обратно, который прошел без аварий и поломок. Пробег машины показал, что по-прежнему слабым местом среднего танка оставалась низкая износостойкость резиновых бандажей опорных катков, полностью заимствованных у танка Т-34. Опорные катки не вы</w:t>
      </w:r>
      <w:r w:rsidRPr="00D03F3E">
        <w:rPr>
          <w:rFonts w:ascii="Times New Roman" w:hAnsi="Times New Roman"/>
          <w:color w:val="000000" w:themeColor="text1"/>
          <w:sz w:val="16"/>
          <w:szCs w:val="16"/>
        </w:rPr>
        <w:softHyphen/>
        <w:t>держивали длительных пробегов танка на высоких скоростях и выходи</w:t>
      </w:r>
      <w:r w:rsidRPr="00D03F3E">
        <w:rPr>
          <w:rFonts w:ascii="Times New Roman" w:hAnsi="Times New Roman"/>
          <w:color w:val="000000" w:themeColor="text1"/>
          <w:sz w:val="16"/>
          <w:szCs w:val="16"/>
        </w:rPr>
        <w:softHyphen/>
        <w:t>ли из строя до окончания гарантийного пробега. Для танка Т-43 требо</w:t>
      </w:r>
      <w:r w:rsidRPr="00D03F3E">
        <w:rPr>
          <w:rFonts w:ascii="Times New Roman" w:hAnsi="Times New Roman"/>
          <w:color w:val="000000" w:themeColor="text1"/>
          <w:sz w:val="16"/>
          <w:szCs w:val="16"/>
        </w:rPr>
        <w:softHyphen/>
        <w:t>вались более широкие резиновые бандажи, способные обеспечить нор- . мальную работу опорных катков при возросшей массе машины. По динамическим и эксплуатационным качествам танк Т-43 практически ни- чем не отличался от танка Т-34 и поэтому мог эксплуатироваться в войсках совместно с танками Т-34, не внося особых осложнений при их обслуживании (10703).</w:t>
      </w:r>
    </w:p>
    <w:p w14:paraId="628669A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903DB4" w14:textId="77777777" w:rsidR="00D40E16" w:rsidRPr="00D03F3E" w:rsidRDefault="00D40E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были изготовлены два опытных танка Т-43, которые оказались даже тяжелее, чем предполагалось изначально. По итогам взвешивания масса Т-43 без экипажа составила 33 780 кг, а при условии, что средняя масса человека составляла 80 кг, полная масса машины достигла 34 100 кг. В связи с небольшой задержкой начало длительного пробега отложили на 20 июня, и это стало лишь первой отсрочкой. Согласно распоряжению наркома танковой промышленности В.А. Малышева отправку танков задержали, причём они продолжали оставаться без движения и в июле. В ГБТУ КА по этому поводу наблюдалось некоторое недоумение: там считали, что требуется отправить машины на НИБТ Полигон, поскольку испытания первого образца Т-43 проходили на заводе. Улучшенную машину требовалось проверить в условиях полигона, тем более что там проходили гарантийные испытания серийные танки.</w:t>
      </w:r>
    </w:p>
    <w:p w14:paraId="0D9BFCE8" w14:textId="77777777" w:rsidR="00D40E16" w:rsidRPr="00D03F3E" w:rsidRDefault="00D40E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Дело дошло до того, что 20 июля 1943 года первый секретарь ГК ВКП(б) Нижнего Тагила Е.Ф. Колышев написал письмо Сталину, в котором также обосновал необходимость запуска Т-43 в серию. 27 июля на письмо пришла резолюция от Берии, в которой он потребовал от Малышева и командующего бронетанковыми и механизированными войсками Красной армии. Я.Н. Федоренко срочно переговорить с ним. К тому моменту Т-43 практически не испытывались (максимум, что делалось, — это пробные выезды и огневые испытания пулемётного вооружения).</w:t>
      </w:r>
    </w:p>
    <w:p w14:paraId="344213F1" w14:textId="77777777" w:rsidR="00D40E16" w:rsidRPr="00D03F3E" w:rsidRDefault="00D40E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Вмешательство Берии сдвинуло дело с мёртвой точки. 1 августа 1943 года Малышев подписал приказ по НКТП №460с/085 о проведении полигонных испытаний Т-43. Правда, вместо НИБТ Полигона в Кубинке местом проведения испытаний выбрали Свердловск. В тот же день утвердили и программу испытаний. Машины проходили 2000 км, из них 500 — по каменистому грунту, 900 — по грунтовым и просёлочным дорогам, 600 — по целине, и 100 —на специспытаниях. Также требовалось безостановочно пройти 100 км по грунтовой дороге и 75 км по булыжному шоссе. Входили в программу и испытания вооружения (как артиллерийского, так и пулемётного).</w:t>
      </w:r>
    </w:p>
    <w:p w14:paraId="6603DF36" w14:textId="77777777" w:rsidR="00D40E16" w:rsidRPr="00D03F3E" w:rsidRDefault="00D40E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Испытания снова отличались от изначальной программы. На практике испытания первого опытного образца начались 2 августа 1943 года. Отличался и маршрут пробега. В ходе первого пробега танки прошли из Нижнего Тагила через Свердловск в Челябинск и обратно. Второй раз они прошли из Нижнего Тагила до Реж и обратно. В ходе испытаний первый образец Т-43 преодолел 2669 км, из них более 2200 за август 1943 года. Второй образец за период испытаний преодолел 1348 км. В ходе пробега средняя скорость по шоссе составила 26,1 км/ч, по просёлку — 20,2 км/ч, по местности — 18,6 км/ч (по данному показателю Т-43 оказался практически равен Т-34). Расход горючего на 100 км составил 203, 237 и 250 л соответственно. Это также оказалось очень близко к Т-34, но поскольку общий запас топлива у Т-</w:t>
      </w:r>
      <w:r w:rsidRPr="00D03F3E">
        <w:rPr>
          <w:rFonts w:ascii="Times New Roman" w:hAnsi="Times New Roman"/>
          <w:color w:val="000000" w:themeColor="text1"/>
          <w:sz w:val="16"/>
          <w:szCs w:val="16"/>
        </w:rPr>
        <w:lastRenderedPageBreak/>
        <w:t>43 составлял 318 л, а у Т-34 — 400 л, запас хода оказался ниже. Очень похожими оказались и условия езды: и Т-43, и Т-34 двигались по местности на третьей-четвёртой передачах.</w:t>
      </w:r>
    </w:p>
    <w:p w14:paraId="3D971294" w14:textId="77777777" w:rsidR="00D40E16" w:rsidRPr="00D03F3E" w:rsidRDefault="00D40E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Похожими оказались и результаты испытаний на преодоление препятствий. Максимальным углом преодолеваемого подъёма стали 31-33 градуса при длине до 10 м и при езде на первой передаче. Также отмечалось, что преодоление препятствий лимитируется мощностью двигателя (впрочем, это было равнозначно и для Т-34). Максимальным углом преодолеваемого косогора стали 27-28 градусов. Также испытатели рекомендовали ввести в конструкцию Т-43 горный тормоз, который имелся на Т-34. Отмечалось, что столь высокие результаты возможны благодаря езде в сухую погоду. Зная, как ведёт себя гусеница Т-34 на мокром бездорожье, комиссия рекомендовала поработать над повышением сцепления.</w:t>
      </w:r>
    </w:p>
    <w:p w14:paraId="67B08A2F" w14:textId="77777777" w:rsidR="00D40E16" w:rsidRPr="00D03F3E" w:rsidRDefault="00D40E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чём Т-43 явно превзошёл Т-34, так это в вооружении. Для начала, наличие торсионной подвески улучшило плавность хода, а вместе с ней и точность стрельбы. Положительным моментом стало и расширение погона до 1600 мм. В результате на испытаниях скорострельность выросла до 13 выстрелов в минуту (у Т-34 в тех же условиях она составила 10 выстрелов в минуту). Правда, имелись претензии к обслуживанию орудия ввиду не очень удачной конструкции бронировки, затруднявшей доступ к накатникам орудия. Не особо удачной признали крепление подвижной бронировки на 8 болтах, имелись претензии к электроспуску. Тем не менее огневые испытания, в ходе которых произвели 317 выстрелов, признали успешными.</w:t>
      </w:r>
    </w:p>
    <w:p w14:paraId="7AB225C8" w14:textId="77777777" w:rsidR="00D40E16" w:rsidRPr="00D03F3E" w:rsidRDefault="00D40E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Высокой оценки удостоилась обзорность Т-43, при этом конструкцию командирской башенки всё же планировалось изменить (на ней предполагалось ввести 5 смотровых щелей). Довольно высокой оценки удостоились и места расчёта башни. При этом комиссия требовала добавить спинку на месте командира, кроме того, во время движения наблюдалось постепенное сползание наводчика влево. В случае с заряжающим отмечалось отсутствие сиденья и подножки, кроме того, он периодически задевал головой торсион люка.</w:t>
      </w:r>
    </w:p>
    <w:p w14:paraId="1F605B66" w14:textId="77777777" w:rsidR="00D40E16" w:rsidRPr="00D03F3E" w:rsidRDefault="00D40E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и в случае с первым Т-43, набралось немало претензий к месту механика-водителя, хотя их оказалось меньше. Отмечалось, что места у механика-водителя меньше, чем в Т-34, имелись претензии к органам управления; недостатком назвали и меньшие, чем у Т-34, размеры люка. Имелись претензии и к надёжности машины. Многие из выявленных поломок являлись следствием «детских болезней», но имелся и нехороший звоночек в виде вышедших из строя резиновых бандажей опорных катков. Те же проблемы преследовали и Т-34, тем не менее отмечалось, что взятые от Т-34 катки перегружены — особенно это касалось 3-го, 4-го и 2-го опорных катков.</w:t>
      </w:r>
    </w:p>
    <w:p w14:paraId="4E9F27B4" w14:textId="77777777" w:rsidR="00D40E16" w:rsidRPr="00D03F3E" w:rsidRDefault="00D40E16"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выявленные недостатки, общая оценка испытаний, проходивших с 2 по 29 августа, оказалась положительной. Комиссия, которую возглавляли главный испытатель НИБТ Полигона Кульчицкий, а также главный конструктор КБ завода №183 Морозов, предлагала как можно скорее запустить Т-43 в серийное производство. Во многом выводы комиссии были верными, но время неумолимо шло и работало против Т-43 (18587).</w:t>
      </w:r>
    </w:p>
    <w:p w14:paraId="4AC30174" w14:textId="77777777" w:rsidR="00D40E16" w:rsidRPr="00D03F3E" w:rsidRDefault="00D40E16" w:rsidP="00D03F3E">
      <w:pPr>
        <w:spacing w:after="0" w:line="240" w:lineRule="auto"/>
        <w:jc w:val="both"/>
        <w:rPr>
          <w:rFonts w:ascii="Times New Roman" w:hAnsi="Times New Roman"/>
          <w:color w:val="000000" w:themeColor="text1"/>
          <w:sz w:val="16"/>
          <w:szCs w:val="16"/>
        </w:rPr>
      </w:pPr>
    </w:p>
    <w:p w14:paraId="361B898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 танк, прежде но</w:t>
      </w:r>
      <w:r w:rsidRPr="00D03F3E">
        <w:rPr>
          <w:rFonts w:ascii="Times New Roman" w:hAnsi="Times New Roman"/>
          <w:color w:val="000000" w:themeColor="text1"/>
          <w:sz w:val="16"/>
          <w:szCs w:val="16"/>
        </w:rPr>
        <w:softHyphen/>
        <w:t>сивший в наркомате индекс Т-44, был переименован в Т-43-П, или Т-43 эталонный (11135). Для проведения испытаний в производстве было зало</w:t>
      </w:r>
      <w:r w:rsidRPr="00D03F3E">
        <w:rPr>
          <w:rFonts w:ascii="Times New Roman" w:hAnsi="Times New Roman"/>
          <w:color w:val="000000" w:themeColor="text1"/>
          <w:sz w:val="16"/>
          <w:szCs w:val="16"/>
        </w:rPr>
        <w:softHyphen/>
        <w:t>жено сразу два эталонных танка, изготовление которых не</w:t>
      </w:r>
      <w:r w:rsidRPr="00D03F3E">
        <w:rPr>
          <w:rFonts w:ascii="Times New Roman" w:hAnsi="Times New Roman"/>
          <w:color w:val="000000" w:themeColor="text1"/>
          <w:sz w:val="16"/>
          <w:szCs w:val="16"/>
        </w:rPr>
        <w:softHyphen/>
        <w:t>которое время сдерживалось непоступлением дизелей В-2-520 с ЧКЗ. В результате только один танк был укомп</w:t>
      </w:r>
      <w:r w:rsidRPr="00D03F3E">
        <w:rPr>
          <w:rFonts w:ascii="Times New Roman" w:hAnsi="Times New Roman"/>
          <w:color w:val="000000" w:themeColor="text1"/>
          <w:sz w:val="16"/>
          <w:szCs w:val="16"/>
        </w:rPr>
        <w:softHyphen/>
        <w:t>лектован этим двигателем. Кроме того, ввиду начавшейся кам'пании «травли «Тиг</w:t>
      </w:r>
      <w:r w:rsidRPr="00D03F3E">
        <w:rPr>
          <w:rFonts w:ascii="Times New Roman" w:hAnsi="Times New Roman"/>
          <w:color w:val="000000" w:themeColor="text1"/>
          <w:sz w:val="16"/>
          <w:szCs w:val="16"/>
        </w:rPr>
        <w:softHyphen/>
        <w:t>ра» начались спешные изыскания резервов по перевооруже</w:t>
      </w:r>
      <w:r w:rsidRPr="00D03F3E">
        <w:rPr>
          <w:rFonts w:ascii="Times New Roman" w:hAnsi="Times New Roman"/>
          <w:color w:val="000000" w:themeColor="text1"/>
          <w:sz w:val="16"/>
          <w:szCs w:val="16"/>
        </w:rPr>
        <w:softHyphen/>
        <w:t>нию танков более мощными артсистемами и тут же последо</w:t>
      </w:r>
      <w:r w:rsidRPr="00D03F3E">
        <w:rPr>
          <w:rFonts w:ascii="Times New Roman" w:hAnsi="Times New Roman"/>
          <w:color w:val="000000" w:themeColor="text1"/>
          <w:sz w:val="16"/>
          <w:szCs w:val="16"/>
        </w:rPr>
        <w:softHyphen/>
        <w:t>вало предложение Ф. Петрова об установке 85-мм пушки в увеличенную башню Т-43 при условии размещения в башне двух человек. Однако в жестко отведенные сроки — к 1—5 июля 1943 г., 85-мм орудие для Т-43 готово не было. Сборка танков проходила в нервозной обстановке, так как их производство находилось под особым контролем наркомата. Поэтому все «нестыковки» и текущие измене</w:t>
      </w:r>
      <w:r w:rsidRPr="00D03F3E">
        <w:rPr>
          <w:rFonts w:ascii="Times New Roman" w:hAnsi="Times New Roman"/>
          <w:color w:val="000000" w:themeColor="text1"/>
          <w:sz w:val="16"/>
          <w:szCs w:val="16"/>
        </w:rPr>
        <w:softHyphen/>
        <w:t>ния, вносимые в проект, требовали согласований на самом верхнем уровне (11135).</w:t>
      </w:r>
    </w:p>
    <w:p w14:paraId="5978817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0CC37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 были изготовлены и в ию</w:t>
      </w:r>
      <w:r w:rsidRPr="00D03F3E">
        <w:rPr>
          <w:rFonts w:ascii="Times New Roman" w:hAnsi="Times New Roman"/>
          <w:color w:val="000000" w:themeColor="text1"/>
          <w:sz w:val="16"/>
          <w:szCs w:val="16"/>
        </w:rPr>
        <w:softHyphen/>
        <w:t>ле - августе того же года успешно прошли испытания па ГАНИОПе четыре опытных образца Т-34 с пушкой ЗИС-4М, который был разработан в КБ-520 завода № 183 в Нижнем Тагиле под руководством главного конструктора А.А. Моро</w:t>
      </w:r>
      <w:r w:rsidRPr="00D03F3E">
        <w:rPr>
          <w:rFonts w:ascii="Times New Roman" w:hAnsi="Times New Roman"/>
          <w:color w:val="000000" w:themeColor="text1"/>
          <w:sz w:val="16"/>
          <w:szCs w:val="16"/>
        </w:rPr>
        <w:softHyphen/>
        <w:t>зова, но в связи с широко развернувшейся к тому времени работой но созданию более мощных 85-мм танковых пушек, дальнейшие работы по 57-мм пушкам ЗИС-4М были прекращены. На вооружение танк Т-34 с пушкой ЗИС-4М пе принимался и в серийном производстве не состоял. С 15 ав</w:t>
      </w:r>
      <w:r w:rsidRPr="00D03F3E">
        <w:rPr>
          <w:rFonts w:ascii="Times New Roman" w:hAnsi="Times New Roman"/>
          <w:color w:val="000000" w:themeColor="text1"/>
          <w:sz w:val="16"/>
          <w:szCs w:val="16"/>
        </w:rPr>
        <w:softHyphen/>
        <w:t>густа по 5 сентября 1943 г. три опытных танка прошли войсковые испы</w:t>
      </w:r>
      <w:r w:rsidRPr="00D03F3E">
        <w:rPr>
          <w:rFonts w:ascii="Times New Roman" w:hAnsi="Times New Roman"/>
          <w:color w:val="000000" w:themeColor="text1"/>
          <w:sz w:val="16"/>
          <w:szCs w:val="16"/>
        </w:rPr>
        <w:softHyphen/>
        <w:t>тания па фронте (10703).</w:t>
      </w:r>
    </w:p>
    <w:p w14:paraId="27B3C6B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DBE2C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И.В.С. в письме В. Малышеву писал: «... и в заключение, товарищ Малышев, очень хочется надеяться, что вам наконец удастся что-то сделать с «сормовским уродом», на котором боятся воевать наши танкисты...» (11135).</w:t>
      </w:r>
    </w:p>
    <w:p w14:paraId="2C96D26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121CB9" w14:textId="77777777" w:rsidR="00DA09C1" w:rsidRPr="00D03F3E" w:rsidRDefault="00DA09C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июня по декабрь 1943 г. на восстановленном заводе № 264 в Сталинграде было отремонтировано 83 немецких танка Т-Ш и T-IV. Для правильного применения трофейной техники ГБТУ и ГАУ в 1941—1944 гг. издали на русском языке многочисленные наставления службы по трофейной технике. Так есть оригиналы и копии наставлений на танк T-V «Пантера», 6-ствольный 15-см реактивный химический миномет, 2,0/2,8-см противотанковую пушку обр. 41 с коническим стволом, 15-см тяжелую полевую гаубицу обр. 18 и т.д. Любопытно появление гибридов — советско-немецких самоходок. Дело в том, что использование 7,5-см пушки KwK 37 на трофейных САУ осложнялось комплектацией боеприпасами, запчастями, обучением экипажей и т.д. Поэтому было решено трофейные StuG III и танки Pz. Ill переделывать в САУ, оснащенные отечественными орудиями (12687).</w:t>
      </w:r>
    </w:p>
    <w:p w14:paraId="1EE4A93F" w14:textId="77777777" w:rsidR="00DA09C1" w:rsidRPr="00D03F3E" w:rsidRDefault="00DA09C1" w:rsidP="00D03F3E">
      <w:pPr>
        <w:spacing w:after="0" w:line="240" w:lineRule="auto"/>
        <w:jc w:val="both"/>
        <w:rPr>
          <w:rFonts w:ascii="Times New Roman" w:hAnsi="Times New Roman"/>
          <w:color w:val="000000" w:themeColor="text1"/>
          <w:sz w:val="16"/>
          <w:szCs w:val="16"/>
        </w:rPr>
      </w:pPr>
    </w:p>
    <w:p w14:paraId="453D86AA" w14:textId="77777777" w:rsidR="008F78BA" w:rsidRPr="00D03F3E" w:rsidRDefault="008F78BA" w:rsidP="00D03F3E">
      <w:pPr>
        <w:pStyle w:val="ae"/>
        <w:spacing w:before="0" w:after="0"/>
        <w:jc w:val="both"/>
        <w:textAlignment w:val="baseline"/>
        <w:rPr>
          <w:color w:val="000000" w:themeColor="text1"/>
          <w:sz w:val="16"/>
          <w:szCs w:val="16"/>
        </w:rPr>
      </w:pPr>
      <w:r w:rsidRPr="00D03F3E">
        <w:rPr>
          <w:color w:val="000000" w:themeColor="text1"/>
          <w:sz w:val="16"/>
          <w:szCs w:val="16"/>
        </w:rPr>
        <w:t xml:space="preserve">С июня 1943 года, согласно проекту постановления ГКО «О выпуске танков «ИС» и артиллерийских самоходных установок на Кировском заводе НКТП», выпуск КВ-1с прекращался. ЧКЗ должен был полностью переключиться на производство СУ-152, в июне планировалось построить 200 этих САУ, а в июле — 100. Также здесь должны были строиться </w:t>
      </w:r>
      <w:hyperlink r:id="rId221" w:history="1">
        <w:r w:rsidRPr="00D03F3E">
          <w:rPr>
            <w:rStyle w:val="a5"/>
            <w:bCs/>
            <w:iCs/>
            <w:color w:val="000000" w:themeColor="text1"/>
            <w:sz w:val="16"/>
            <w:szCs w:val="16"/>
            <w:bdr w:val="none" w:sz="0" w:space="0" w:color="auto" w:frame="1"/>
          </w:rPr>
          <w:t>СУ-122</w:t>
        </w:r>
      </w:hyperlink>
      <w:r w:rsidRPr="00D03F3E">
        <w:rPr>
          <w:color w:val="000000" w:themeColor="text1"/>
          <w:sz w:val="16"/>
          <w:szCs w:val="16"/>
        </w:rPr>
        <w:t xml:space="preserve"> (в данном случае речь шла о САУ со 122-мм орудием А-19). С июля прекращался выпуск и этих машин, вместо них ЧКЗ должен был построить по 50 ИС-1 и ИСУ-152/ИСУ-122 (17710).</w:t>
      </w:r>
    </w:p>
    <w:p w14:paraId="64640B1C" w14:textId="77777777" w:rsidR="008F78BA" w:rsidRPr="00D03F3E" w:rsidRDefault="008F78BA" w:rsidP="00D03F3E">
      <w:pPr>
        <w:spacing w:after="0" w:line="240" w:lineRule="auto"/>
        <w:jc w:val="both"/>
        <w:rPr>
          <w:rFonts w:ascii="Times New Roman" w:hAnsi="Times New Roman"/>
          <w:color w:val="000000" w:themeColor="text1"/>
          <w:sz w:val="16"/>
          <w:szCs w:val="16"/>
        </w:rPr>
      </w:pPr>
    </w:p>
    <w:p w14:paraId="6D0B2BD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 опытный образец СУ-76М был изготовлен на заводе № 38 и в августе того же года прошел государственные испытания. Са</w:t>
      </w:r>
      <w:r w:rsidRPr="00D03F3E">
        <w:rPr>
          <w:rFonts w:ascii="Times New Roman" w:hAnsi="Times New Roman"/>
          <w:color w:val="000000" w:themeColor="text1"/>
          <w:sz w:val="16"/>
          <w:szCs w:val="16"/>
        </w:rPr>
        <w:softHyphen/>
        <w:t>моходная установка была принята на вооружение в июле 1943 г. до по</w:t>
      </w:r>
      <w:r w:rsidRPr="00D03F3E">
        <w:rPr>
          <w:rFonts w:ascii="Times New Roman" w:hAnsi="Times New Roman"/>
          <w:color w:val="000000" w:themeColor="text1"/>
          <w:sz w:val="16"/>
          <w:szCs w:val="16"/>
        </w:rPr>
        <w:softHyphen/>
        <w:t>лучения результатов вторичных полигонных испытаний. До принятия на вооружение имела наименование СУ-15. Установка предназначалась для непосредственной поддержки пехоты и была самой многочислен</w:t>
      </w:r>
      <w:r w:rsidRPr="00D03F3E">
        <w:rPr>
          <w:rFonts w:ascii="Times New Roman" w:hAnsi="Times New Roman"/>
          <w:color w:val="000000" w:themeColor="text1"/>
          <w:sz w:val="16"/>
          <w:szCs w:val="16"/>
        </w:rPr>
        <w:softHyphen/>
        <w:t>ной САУ, находившейся на вооружении РККА в годы войны. В период Великой Отечественной войны было организовано массовое производство СУ-76М на Горьковском автозаводе (7523 ед.), на з-де № 38 в г. Кирове (1665 ед. - серийное производство по июль 1944 г., а также и на заводе № 40 в Мытищах (2306 ед.). Производство машины бы прекращено в 1946 г. Всего было выпущено 13 732 самоходных установки, из них во время Великой Отечественной войны - 11 494 (10703).</w:t>
      </w:r>
    </w:p>
    <w:p w14:paraId="609D4B1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579558" w14:textId="77777777" w:rsidR="00DA09C1" w:rsidRPr="00D03F3E" w:rsidRDefault="00DA09C1" w:rsidP="00D03F3E">
      <w:pPr>
        <w:pStyle w:val="a3"/>
        <w:rPr>
          <w:color w:val="000000" w:themeColor="text1"/>
          <w:lang w:val="ru-RU"/>
        </w:rPr>
      </w:pPr>
      <w:r w:rsidRPr="00D03F3E">
        <w:rPr>
          <w:color w:val="000000" w:themeColor="text1"/>
          <w:lang w:val="ru-RU"/>
        </w:rPr>
        <w:t>С июня 1943 г., поскольку в конструкцию СУ-152 требова</w:t>
      </w:r>
      <w:r w:rsidRPr="00D03F3E">
        <w:rPr>
          <w:color w:val="000000" w:themeColor="text1"/>
          <w:lang w:val="ru-RU"/>
        </w:rPr>
        <w:softHyphen/>
        <w:t>лось внести ряд существенных изменений, а выпуск базового танка КВ-1С прекращался, в КБ завода №100 началась раз</w:t>
      </w:r>
      <w:r w:rsidRPr="00D03F3E">
        <w:rPr>
          <w:color w:val="000000" w:themeColor="text1"/>
          <w:lang w:val="ru-RU"/>
        </w:rPr>
        <w:softHyphen/>
        <w:t>работка самоходной установки на базе танка ИС. Г.Н. Москвин стал ведущим конструктором этой машины.</w:t>
      </w:r>
    </w:p>
    <w:p w14:paraId="74090378" w14:textId="77777777" w:rsidR="00DA09C1" w:rsidRPr="00D03F3E" w:rsidRDefault="00DA09C1" w:rsidP="00D03F3E">
      <w:pPr>
        <w:pStyle w:val="a3"/>
        <w:rPr>
          <w:color w:val="000000" w:themeColor="text1"/>
          <w:lang w:val="ru-RU"/>
        </w:rPr>
      </w:pPr>
      <w:r w:rsidRPr="00D03F3E">
        <w:rPr>
          <w:color w:val="000000" w:themeColor="text1"/>
          <w:lang w:val="ru-RU"/>
        </w:rPr>
        <w:t>В новой САУ значительно усилили броне</w:t>
      </w:r>
      <w:r w:rsidRPr="00D03F3E">
        <w:rPr>
          <w:color w:val="000000" w:themeColor="text1"/>
          <w:lang w:val="ru-RU"/>
        </w:rPr>
        <w:softHyphen/>
        <w:t>вую защиту (толщину лобовой брони довели до 90 мм), улучшили характеристики подвижно</w:t>
      </w:r>
      <w:r w:rsidRPr="00D03F3E">
        <w:rPr>
          <w:color w:val="000000" w:themeColor="text1"/>
          <w:lang w:val="ru-RU"/>
        </w:rPr>
        <w:softHyphen/>
        <w:t>сти. В систему уравновешивания качающейся части для 122-мм орудия был введен пружин</w:t>
      </w:r>
      <w:r w:rsidRPr="00D03F3E">
        <w:rPr>
          <w:color w:val="000000" w:themeColor="text1"/>
          <w:lang w:val="ru-RU"/>
        </w:rPr>
        <w:softHyphen/>
        <w:t>ный механизм. Надежность машины в целом возросла. В ноябре 1943 г., после проведения цикла заводских и полигонных испытаний, ИСУ-152 («Объект 241») приняли на вооружение и к производству (12617).</w:t>
      </w:r>
    </w:p>
    <w:p w14:paraId="18D6FCC5" w14:textId="77777777" w:rsidR="00DA09C1" w:rsidRPr="00D03F3E" w:rsidRDefault="00DA09C1" w:rsidP="00D03F3E">
      <w:pPr>
        <w:pStyle w:val="a3"/>
        <w:rPr>
          <w:color w:val="000000" w:themeColor="text1"/>
          <w:lang w:val="ru-RU"/>
        </w:rPr>
      </w:pPr>
    </w:p>
    <w:p w14:paraId="0AABD3E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 опытный образец самоходной установки СУ-15, которая была разработана в КБ завода № 38 в г. Киров под руководством М.Н. Щукина совместно с КБ Горьковского автозавода под руководством Н.А. Астрова, прошел испытания на Гороховецком полигоне. Усовершенствованный по результатам ис</w:t>
      </w:r>
      <w:r w:rsidRPr="00D03F3E">
        <w:rPr>
          <w:rFonts w:ascii="Times New Roman" w:hAnsi="Times New Roman"/>
          <w:color w:val="000000" w:themeColor="text1"/>
          <w:sz w:val="16"/>
          <w:szCs w:val="16"/>
        </w:rPr>
        <w:softHyphen/>
        <w:t>пытаний второй опытный образец машины стал предсерийным образ</w:t>
      </w:r>
      <w:r w:rsidRPr="00D03F3E">
        <w:rPr>
          <w:rFonts w:ascii="Times New Roman" w:hAnsi="Times New Roman"/>
          <w:color w:val="000000" w:themeColor="text1"/>
          <w:sz w:val="16"/>
          <w:szCs w:val="16"/>
        </w:rPr>
        <w:softHyphen/>
        <w:t>цом самоходной установки СУ-76М (10703).</w:t>
      </w:r>
    </w:p>
    <w:p w14:paraId="7CEC2F0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D647D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 опытный образец машины СУ-16 (СУ-38), которая предназначалась для замены установки СУ-76 (СУ-12), прошел совместные испытания с СУ-15 на Гороховецком артиллерийском полигоне, которые не выдержал. Всего было изготовлено несколько опытных образцов самоходной установки СУ-16. Дальнейшего развития машина не получила, так как по своим боевым свойствам уступала самоходной установке СУ-15 (10703).</w:t>
      </w:r>
    </w:p>
    <w:p w14:paraId="368FB50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210C9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 в КБ Горьковского автозавода под руководством Н.А. Астрова была разработана Самоходная установка СУ-74Б (СУ-57Б). Опытный образец, изготовленный Горьковским автозаводом в августе -сентябре 1943 г. не выдержал испытаний на НИБТ полигоне, и дальней</w:t>
      </w:r>
      <w:r w:rsidRPr="00D03F3E">
        <w:rPr>
          <w:rFonts w:ascii="Times New Roman" w:hAnsi="Times New Roman"/>
          <w:color w:val="000000" w:themeColor="text1"/>
          <w:sz w:val="16"/>
          <w:szCs w:val="16"/>
        </w:rPr>
        <w:softHyphen/>
        <w:t>шие работы по установке СУ-74Б были прекращены, так как завод не смог обеспечить доводку двигателя ЗИС-16Ф. Самоходная установка была создана с использованием узлов и агре</w:t>
      </w:r>
      <w:r w:rsidRPr="00D03F3E">
        <w:rPr>
          <w:rFonts w:ascii="Times New Roman" w:hAnsi="Times New Roman"/>
          <w:color w:val="000000" w:themeColor="text1"/>
          <w:sz w:val="16"/>
          <w:szCs w:val="16"/>
        </w:rPr>
        <w:softHyphen/>
        <w:t>гатов легкого танка Т-70. Компоновочная схема установки предусмат</w:t>
      </w:r>
      <w:r w:rsidRPr="00D03F3E">
        <w:rPr>
          <w:rFonts w:ascii="Times New Roman" w:hAnsi="Times New Roman"/>
          <w:color w:val="000000" w:themeColor="text1"/>
          <w:sz w:val="16"/>
          <w:szCs w:val="16"/>
        </w:rPr>
        <w:softHyphen/>
        <w:t>ривала переднее расположение совмещенных отделений управления и боевого, и заднее - моторно-трансмиссионного отделения. На крыше боевого отделения размещались три люка, закрывавшиеся броневыми крышками для посадки и выхода экипажа. В крышке люка командира машины был установлен поворотный смотровой прибор. Перед механи</w:t>
      </w:r>
      <w:r w:rsidRPr="00D03F3E">
        <w:rPr>
          <w:rFonts w:ascii="Times New Roman" w:hAnsi="Times New Roman"/>
          <w:color w:val="000000" w:themeColor="text1"/>
          <w:sz w:val="16"/>
          <w:szCs w:val="16"/>
        </w:rPr>
        <w:softHyphen/>
        <w:t>ком-водителем в специальном приливе на лобовом листе устанавливал</w:t>
      </w:r>
      <w:r w:rsidRPr="00D03F3E">
        <w:rPr>
          <w:rFonts w:ascii="Times New Roman" w:hAnsi="Times New Roman"/>
          <w:color w:val="000000" w:themeColor="text1"/>
          <w:sz w:val="16"/>
          <w:szCs w:val="16"/>
        </w:rPr>
        <w:softHyphen/>
        <w:t>ся аналогичный смотровой прибор. Для загрузки боеприпасов исполь</w:t>
      </w:r>
      <w:r w:rsidRPr="00D03F3E">
        <w:rPr>
          <w:rFonts w:ascii="Times New Roman" w:hAnsi="Times New Roman"/>
          <w:color w:val="000000" w:themeColor="text1"/>
          <w:sz w:val="16"/>
          <w:szCs w:val="16"/>
        </w:rPr>
        <w:softHyphen/>
        <w:t>зовался люк, располагавшийся на верхнем левом наклонном борту бро</w:t>
      </w:r>
      <w:r w:rsidRPr="00D03F3E">
        <w:rPr>
          <w:rFonts w:ascii="Times New Roman" w:hAnsi="Times New Roman"/>
          <w:color w:val="000000" w:themeColor="text1"/>
          <w:sz w:val="16"/>
          <w:szCs w:val="16"/>
        </w:rPr>
        <w:softHyphen/>
        <w:t>невой рубки (10703).</w:t>
      </w:r>
    </w:p>
    <w:p w14:paraId="08ED9D8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C2251B" w14:textId="77777777" w:rsidR="008F78BA" w:rsidRPr="00D03F3E" w:rsidRDefault="008F78BA" w:rsidP="00D03F3E">
      <w:pPr>
        <w:pStyle w:val="ae"/>
        <w:shd w:val="clear" w:color="auto" w:fill="FFFFFF"/>
        <w:spacing w:before="0" w:after="0"/>
        <w:jc w:val="both"/>
        <w:rPr>
          <w:color w:val="000000" w:themeColor="text1"/>
          <w:sz w:val="16"/>
          <w:szCs w:val="16"/>
        </w:rPr>
      </w:pPr>
      <w:r w:rsidRPr="00D03F3E">
        <w:rPr>
          <w:color w:val="000000" w:themeColor="text1"/>
          <w:sz w:val="16"/>
          <w:szCs w:val="16"/>
        </w:rPr>
        <w:t>В июне 1943 года Т-80 майского выпуска завода № 40 направили на НИБТ Полигон. После 370 километров пробега случилась поломка шестерён главной и бортовых передач, на этом гарантийный пробег закончился (17712).</w:t>
      </w:r>
    </w:p>
    <w:p w14:paraId="19165274" w14:textId="77777777" w:rsidR="008F78BA" w:rsidRPr="00D03F3E" w:rsidRDefault="008F78BA" w:rsidP="00D03F3E">
      <w:pPr>
        <w:spacing w:after="0" w:line="240" w:lineRule="auto"/>
        <w:jc w:val="both"/>
        <w:rPr>
          <w:rFonts w:ascii="Times New Roman" w:hAnsi="Times New Roman"/>
          <w:color w:val="000000" w:themeColor="text1"/>
          <w:sz w:val="16"/>
          <w:szCs w:val="16"/>
        </w:rPr>
      </w:pPr>
    </w:p>
    <w:p w14:paraId="0865F73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июне 1943 доработанная САУ СУ-76М (СУ-12М; М - модернизированная) они пошла в производство. Эти машины отличались доработанным силовым агрегатом </w:t>
      </w:r>
      <w:r w:rsidRPr="00D03F3E">
        <w:rPr>
          <w:rFonts w:ascii="Times New Roman" w:hAnsi="Times New Roman"/>
          <w:color w:val="000000" w:themeColor="text1"/>
          <w:sz w:val="16"/>
          <w:szCs w:val="16"/>
        </w:rPr>
        <w:lastRenderedPageBreak/>
        <w:t>и трансмиссией, в производстве использовался задел старых корпусов от СУ-76 (3862).</w:t>
      </w:r>
    </w:p>
    <w:p w14:paraId="4AC9F95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Введение в трансмиссию дополнительных пружинных муфт между двигателями и КПП и фрикционной проскальзывающей муфты на общем валу, а также применение подмоторных амортизаторов снизили аварийность, но все же не исключили ее (3862).</w:t>
      </w:r>
    </w:p>
    <w:p w14:paraId="416F117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FEB98E" w14:textId="77777777" w:rsidR="008F78BA" w:rsidRPr="00D03F3E"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Июнь 1943 года в производству Су-122 на УЗТМ оказался относительно спокойным месяцем. План удалось выдержать, завод сдал 100 СУ-122. Сложнее оказалась ситуация в июле, причем не столько по браку, столько по погодным условиям. В начале месяца начались сильные дожди, дороги превратились в непролазное болото. В качестве испытательной трассы для танков и самоходных установкой выступала дорога, которая вела к поселку Медный Рудник (ныне Верхняя Пышма). В связи с тем, что дорога имела стратегическое значение, Свердловский облисполком запретил проводить пробеги по дорогам. В результате приемка встала намертво на две недели. К этому добавились проблемы с траками, коробками передач и вооружением. В результате в июле было принято 78 Т-34 и 72 СУ-122 (позже второе число скорректировали до 76) (17684).</w:t>
      </w:r>
    </w:p>
    <w:p w14:paraId="332171ED" w14:textId="77777777" w:rsidR="008F78BA" w:rsidRPr="00D03F3E" w:rsidRDefault="008F78BA" w:rsidP="00D03F3E">
      <w:pPr>
        <w:spacing w:after="0" w:line="240" w:lineRule="auto"/>
        <w:jc w:val="both"/>
        <w:rPr>
          <w:rFonts w:ascii="Times New Roman" w:hAnsi="Times New Roman"/>
          <w:color w:val="000000" w:themeColor="text1"/>
          <w:sz w:val="16"/>
          <w:szCs w:val="16"/>
        </w:rPr>
      </w:pPr>
    </w:p>
    <w:p w14:paraId="251C55C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 комиссия, созданная из представителей ГАУ, ГБТУ, НКТП и НКВ, после рассмотрения всех проектов самоходной артиллерийской ус</w:t>
      </w:r>
      <w:r w:rsidRPr="00D03F3E">
        <w:rPr>
          <w:rFonts w:ascii="Times New Roman" w:hAnsi="Times New Roman"/>
          <w:color w:val="000000" w:themeColor="text1"/>
          <w:sz w:val="16"/>
          <w:szCs w:val="16"/>
        </w:rPr>
        <w:softHyphen/>
        <w:t>тановки СУ-85 вынесла решение об изготовлении трех опытных образцов САУ с 85-мм пушками и одного модернизированно</w:t>
      </w:r>
      <w:r w:rsidRPr="00D03F3E">
        <w:rPr>
          <w:rFonts w:ascii="Times New Roman" w:hAnsi="Times New Roman"/>
          <w:color w:val="000000" w:themeColor="text1"/>
          <w:sz w:val="16"/>
          <w:szCs w:val="16"/>
        </w:rPr>
        <w:softHyphen/>
        <w:t>го образца САУ со 122-мм гаубицей (10703).</w:t>
      </w:r>
    </w:p>
    <w:p w14:paraId="4B14AF5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970E2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было принято решение провести сравнительные испытания 4 вариантов САУ с 85-мм пушкой, предназначенной для САУ: Су-85-1 с С-18-1 ЦАКБ с измененной Уралмашзаводом люлькой; Су-85-2 с Д5-С85 завода 9; Су-122-III со 122-мм гаубицей Д-6 завода 9 и Су-85-IV с С-18 ЦАКБ. Потом по испытаниям в июле-августе выбрали Су-85 с Д5-С85 (4406).</w:t>
      </w:r>
    </w:p>
    <w:p w14:paraId="0506791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60EEB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 Петров представил свою танковую пушку Д-5, а Грабин С-53, ведущими конструкторами которой были Т. И. Сергеев и Г. И. Шабаров. Кроме, того для совместных испытаний были представлены пушки того же калибра: С-50 В. Д. Мешанинова, А. М. Волгевского и В. А. Тюрина и ЛБ-1 А. И. Савина. Была отобрана пушка С-53, но завершающих испытаний она не выдержала. В пушке С-53 были использованы конструктивные решения спроектированной еще до войны пушки Ф-30 для будущего тяжелого танка КВ-3. Пушка Д-5 доказала свои преимущества по сравнению с С-53. Но и ее установка в танке требовала больших переделок. А пока ее решено было установить под маркой Д-5С в новой самоходной установке СУ-85, выпуск которой начался на УЗТМ в августе 1943 г (3905).</w:t>
      </w:r>
    </w:p>
    <w:p w14:paraId="75B3415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DDA1E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были изготовлены первые 85-мм танковые пушки Ф.Петрова Д-5Т-85. Тогда же появились и образцы других конструкторов - С-53 ЦАКБ В.Г.Грабина (к Т.И.Сергеев и Г.И.Шабров) и С-50 (к В.Д.Мещанинов, А.М.Волговский и В.А.Тюрин). а также завода 92 - ЛБ85 А.И.Савина (4390).</w:t>
      </w:r>
    </w:p>
    <w:p w14:paraId="6999274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83F10F"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был разработан и построен опытный образец артиллерийского гусеничного тягача Я-11 с двумя двигателями ГАЗ-ММ (11246).</w:t>
      </w:r>
    </w:p>
    <w:p w14:paraId="67C39D5F"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p>
    <w:p w14:paraId="2BAAD572" w14:textId="77777777" w:rsidR="00F73179" w:rsidRPr="00D03F3E" w:rsidRDefault="00F73179"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В июне 1943 года закончили постройку СЗУ. Интересно, что в сводном отчете завода за годы войны машина упомянута (и это единственный случай, где индекс машины указали), а вот в отчете за 1943 годы такой машины нет. Несмотря на то, что башня получалась тяжелее штатной Т-60, боевая масса выросла не сильно - с 6200 до 6420 кг. Боезапас составил 480 патронов (16 магазинов), как на Т-90. Для ведения огня по воздушным целям использовался коллиматорный прицел К-8Т. Пулеметы получили электроспуск, плюс имелась механический, дублирующий спуск. Для взвода пулеметов также поставили специальный механизм. Впрочем, как показали испытания, работает он при угле возвышения 20 градусов и ниже (21261).</w:t>
      </w:r>
    </w:p>
    <w:p w14:paraId="53CB30B5" w14:textId="77777777" w:rsidR="00F73179" w:rsidRPr="00D03F3E" w:rsidRDefault="00F73179" w:rsidP="00D03F3E">
      <w:pPr>
        <w:shd w:val="clear" w:color="auto" w:fill="FFFFFF"/>
        <w:spacing w:after="0" w:line="240" w:lineRule="auto"/>
        <w:jc w:val="both"/>
        <w:rPr>
          <w:rFonts w:ascii="Times New Roman" w:eastAsia="Times New Roman" w:hAnsi="Times New Roman"/>
          <w:color w:val="0070C0"/>
          <w:sz w:val="16"/>
          <w:szCs w:val="16"/>
          <w:lang w:eastAsia="ru-RU"/>
        </w:rPr>
      </w:pPr>
    </w:p>
    <w:p w14:paraId="567925F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 государственной комиссией испытан и рекомендован на серийное производ</w:t>
      </w:r>
      <w:r w:rsidRPr="00D03F3E">
        <w:rPr>
          <w:rFonts w:ascii="Times New Roman" w:hAnsi="Times New Roman"/>
          <w:color w:val="000000" w:themeColor="text1"/>
          <w:sz w:val="16"/>
          <w:szCs w:val="16"/>
        </w:rPr>
        <w:softHyphen/>
        <w:t>ство танковый дымовой прибор для применения дымовых шашек МДШ на танках Т-34 с унификаци</w:t>
      </w:r>
      <w:r w:rsidRPr="00D03F3E">
        <w:rPr>
          <w:rFonts w:ascii="Times New Roman" w:hAnsi="Times New Roman"/>
          <w:color w:val="000000" w:themeColor="text1"/>
          <w:sz w:val="16"/>
          <w:szCs w:val="16"/>
        </w:rPr>
        <w:softHyphen/>
        <w:t>ей креплений этого прибора для установки и транспортировки дополнительных топливных баков.</w:t>
      </w:r>
    </w:p>
    <w:p w14:paraId="00B185F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Чертежи для серийного производства отработаны заводом №183, утверждены Наркомтанкопромом и ТУ ГБТУ КА и разосланы заводам-изготовителям танков Т-34.</w:t>
      </w:r>
    </w:p>
    <w:p w14:paraId="356E02E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Заместитель НКТП т. Зернов в октябре 1943 г. дал указание всем танковым заводам срочно под</w:t>
      </w:r>
      <w:r w:rsidRPr="00D03F3E">
        <w:rPr>
          <w:rFonts w:ascii="Times New Roman" w:hAnsi="Times New Roman"/>
          <w:color w:val="000000" w:themeColor="text1"/>
          <w:sz w:val="16"/>
          <w:szCs w:val="16"/>
        </w:rPr>
        <w:softHyphen/>
        <w:t>готовиться к серийному изготовлению и монтажу дымовых приборов.</w:t>
      </w:r>
    </w:p>
    <w:p w14:paraId="5872BA3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20 января с.г. были направлены проекты письма на имя т. Берия и постановления о принятии на вооружение дымовых приборов (11403).</w:t>
      </w:r>
    </w:p>
    <w:p w14:paraId="445E311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Этот материал до сих пор Вам не доложен.</w:t>
      </w:r>
    </w:p>
    <w:p w14:paraId="6C8EDF4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198EE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 позднее июня 1943 года были получены разведданные, содержавшие перечень 286 работ (заголовки и в отдельных случаях краткие комментарии) американских ученых по проблеме урана. Этот перечень был проанализирован И.В. Курчатовым, и по результатам рассмотрения он направил 3 июля 1943 года записку М.Г. Первухину. В записке он отмечает сведения, которые было бы желательно получить по данным материалам. Он предлагает также ознакомить с результатами проведенного рассмотрения С.В. Кафтанова (уполномоченного ГКО по науке) и Г.Д. Овакимяна (начальника отдела Первого управления НКГБ) (10549).</w:t>
      </w:r>
    </w:p>
    <w:p w14:paraId="2F8BE63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0AE16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ИККИ был распущен, создан Отдел международной информации ЦК ВКП(б), при нем НИИ-100 (Институт №100) (И.А.Морозов, 168 чел.), сектор партийной техники (документов) и его спецобъект в Подлипках целиком переданы НКГБ СССР. 1943 год - пункты связи Коминтерна: Франция, Бельгия, США, Мексика, Турция, Швеция, Югославия, МНР, Китай, Иран, Индия (8983).</w:t>
      </w:r>
    </w:p>
    <w:p w14:paraId="2D772DE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29A55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года было создано Управление войск правительственной ВЧ-связи НКВД СССР (8983).</w:t>
      </w:r>
    </w:p>
    <w:p w14:paraId="68B8654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112B0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 головной катер строился на стапеле око</w:t>
      </w:r>
      <w:r w:rsidRPr="00D03F3E">
        <w:rPr>
          <w:rFonts w:ascii="Times New Roman" w:hAnsi="Times New Roman"/>
          <w:color w:val="000000" w:themeColor="text1"/>
          <w:sz w:val="16"/>
          <w:szCs w:val="16"/>
        </w:rPr>
        <w:softHyphen/>
        <w:t>ло 6 мес., был спущен на воду, а испытывался на Каспии в октябре того же года. В 1943—1945 гг. завод 640 сдал ВМФ 103 катера пр. ОД-200 (всего до завершения постройки серии в 1947 г. 167 единиц), при этом время постройки одной единицы на конвейере составило около 2 мес. По результатам испытаний головного катера в дополнение к 37-мм орудию и двум крупнока</w:t>
      </w:r>
      <w:r w:rsidRPr="00D03F3E">
        <w:rPr>
          <w:rFonts w:ascii="Times New Roman" w:hAnsi="Times New Roman"/>
          <w:color w:val="000000" w:themeColor="text1"/>
          <w:sz w:val="16"/>
          <w:szCs w:val="16"/>
        </w:rPr>
        <w:softHyphen/>
        <w:t>либерным пулеметам на баке серийных катеров был установлен 20-мм автомат "Эрликон", что привело к увеличению водоизмеще</w:t>
      </w:r>
      <w:r w:rsidRPr="00D03F3E">
        <w:rPr>
          <w:rFonts w:ascii="Times New Roman" w:hAnsi="Times New Roman"/>
          <w:color w:val="000000" w:themeColor="text1"/>
          <w:sz w:val="16"/>
          <w:szCs w:val="16"/>
        </w:rPr>
        <w:softHyphen/>
        <w:t>ния на 1,1 т и уменьшению скорости до 24,3 уз. На серийных кате</w:t>
      </w:r>
      <w:r w:rsidRPr="00D03F3E">
        <w:rPr>
          <w:rFonts w:ascii="Times New Roman" w:hAnsi="Times New Roman"/>
          <w:color w:val="000000" w:themeColor="text1"/>
          <w:sz w:val="16"/>
          <w:szCs w:val="16"/>
        </w:rPr>
        <w:softHyphen/>
        <w:t>рах устанавливались моторы экономического хода типа "Крейслер" (120 л. с.), дымоаппаратура ДА-7, дополнявшаяся дымовыми шашками МДШ, гидроакустические станции типа "Тамир", проти-вопульная защита ходового мостика и боевых постов у орудий и пулеметов (3898).</w:t>
      </w:r>
    </w:p>
    <w:p w14:paraId="7EABAEA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5784E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ждановцы закончили ремонт эсминца "Опытный" и СКР "Тайфун", подготовив их к ходовым испытаниям; адмиралтейцы изготовили 25 тыс. штыков; Петрозавод сдал флоту 1000-тонную баржу; катеростроители сдали 8 ТК, отремонтировали 15 боевых катеров (10671).</w:t>
      </w:r>
    </w:p>
    <w:p w14:paraId="0793262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2C8163"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4D6C822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CA5ED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осознавая всю важность и необхо</w:t>
      </w:r>
      <w:r w:rsidRPr="00D03F3E">
        <w:rPr>
          <w:rFonts w:ascii="Times New Roman" w:hAnsi="Times New Roman"/>
          <w:color w:val="000000" w:themeColor="text1"/>
          <w:sz w:val="16"/>
          <w:szCs w:val="16"/>
        </w:rPr>
        <w:softHyphen/>
        <w:t>димость скорейшего решения именно вопросов управления и организации боевых действий штурмовиков и истре</w:t>
      </w:r>
      <w:r w:rsidRPr="00D03F3E">
        <w:rPr>
          <w:rFonts w:ascii="Times New Roman" w:hAnsi="Times New Roman"/>
          <w:color w:val="000000" w:themeColor="text1"/>
          <w:sz w:val="16"/>
          <w:szCs w:val="16"/>
        </w:rPr>
        <w:softHyphen/>
        <w:t xml:space="preserve">бителей, командир 1-го </w:t>
      </w:r>
      <w:r w:rsidRPr="00D03F3E">
        <w:rPr>
          <w:rFonts w:ascii="Times New Roman" w:hAnsi="Times New Roman"/>
          <w:iCs/>
          <w:color w:val="000000" w:themeColor="text1"/>
          <w:sz w:val="16"/>
          <w:szCs w:val="16"/>
        </w:rPr>
        <w:t xml:space="preserve">шак </w:t>
      </w:r>
      <w:r w:rsidRPr="00D03F3E">
        <w:rPr>
          <w:rFonts w:ascii="Times New Roman" w:hAnsi="Times New Roman"/>
          <w:color w:val="000000" w:themeColor="text1"/>
          <w:sz w:val="16"/>
          <w:szCs w:val="16"/>
        </w:rPr>
        <w:t xml:space="preserve">генерал-лейтенант В. Г. Рязанов докладывал командующему 2-й ВА: </w:t>
      </w:r>
      <w:r w:rsidRPr="00D03F3E">
        <w:rPr>
          <w:rFonts w:ascii="Times New Roman" w:hAnsi="Times New Roman"/>
          <w:iCs/>
          <w:color w:val="000000" w:themeColor="text1"/>
          <w:sz w:val="16"/>
          <w:szCs w:val="16"/>
        </w:rPr>
        <w:t>"...Действительное и реальное взаимо</w:t>
      </w:r>
      <w:r w:rsidRPr="00D03F3E">
        <w:rPr>
          <w:rFonts w:ascii="Times New Roman" w:hAnsi="Times New Roman"/>
          <w:iCs/>
          <w:color w:val="000000" w:themeColor="text1"/>
          <w:sz w:val="16"/>
          <w:szCs w:val="16"/>
        </w:rPr>
        <w:softHyphen/>
        <w:t>действие между штурмовиками и ис</w:t>
      </w:r>
      <w:r w:rsidRPr="00D03F3E">
        <w:rPr>
          <w:rFonts w:ascii="Times New Roman" w:hAnsi="Times New Roman"/>
          <w:iCs/>
          <w:color w:val="000000" w:themeColor="text1"/>
          <w:sz w:val="16"/>
          <w:szCs w:val="16"/>
        </w:rPr>
        <w:softHyphen/>
        <w:t>требителями возможно лишь тогда, ког</w:t>
      </w:r>
      <w:r w:rsidRPr="00D03F3E">
        <w:rPr>
          <w:rFonts w:ascii="Times New Roman" w:hAnsi="Times New Roman"/>
          <w:iCs/>
          <w:color w:val="000000" w:themeColor="text1"/>
          <w:sz w:val="16"/>
          <w:szCs w:val="16"/>
        </w:rPr>
        <w:softHyphen/>
        <w:t>да организация и руководство этим вза</w:t>
      </w:r>
      <w:r w:rsidRPr="00D03F3E">
        <w:rPr>
          <w:rFonts w:ascii="Times New Roman" w:hAnsi="Times New Roman"/>
          <w:iCs/>
          <w:color w:val="000000" w:themeColor="text1"/>
          <w:sz w:val="16"/>
          <w:szCs w:val="16"/>
        </w:rPr>
        <w:softHyphen/>
        <w:t>имодействием находится в одних ру</w:t>
      </w:r>
      <w:r w:rsidRPr="00D03F3E">
        <w:rPr>
          <w:rFonts w:ascii="Times New Roman" w:hAnsi="Times New Roman"/>
          <w:iCs/>
          <w:color w:val="000000" w:themeColor="text1"/>
          <w:sz w:val="16"/>
          <w:szCs w:val="16"/>
        </w:rPr>
        <w:softHyphen/>
        <w:t>ках - командира штурмового авиакор</w:t>
      </w:r>
      <w:r w:rsidRPr="00D03F3E">
        <w:rPr>
          <w:rFonts w:ascii="Times New Roman" w:hAnsi="Times New Roman"/>
          <w:iCs/>
          <w:color w:val="000000" w:themeColor="text1"/>
          <w:sz w:val="16"/>
          <w:szCs w:val="16"/>
        </w:rPr>
        <w:softHyphen/>
        <w:t>пуса. ...Штурмовой авиакорпус может дать максимум напряжения в боевой работе при должной организации бо</w:t>
      </w:r>
      <w:r w:rsidRPr="00D03F3E">
        <w:rPr>
          <w:rFonts w:ascii="Times New Roman" w:hAnsi="Times New Roman"/>
          <w:iCs/>
          <w:color w:val="000000" w:themeColor="text1"/>
          <w:sz w:val="16"/>
          <w:szCs w:val="16"/>
        </w:rPr>
        <w:softHyphen/>
        <w:t>евого вылета и минимальных потерях только тогда, когда вопросы взаимо</w:t>
      </w:r>
      <w:r w:rsidRPr="00D03F3E">
        <w:rPr>
          <w:rFonts w:ascii="Times New Roman" w:hAnsi="Times New Roman"/>
          <w:iCs/>
          <w:color w:val="000000" w:themeColor="text1"/>
          <w:sz w:val="16"/>
          <w:szCs w:val="16"/>
        </w:rPr>
        <w:softHyphen/>
        <w:t>действия с истребителями не будут яв</w:t>
      </w:r>
      <w:r w:rsidRPr="00D03F3E">
        <w:rPr>
          <w:rFonts w:ascii="Times New Roman" w:hAnsi="Times New Roman"/>
          <w:iCs/>
          <w:color w:val="000000" w:themeColor="text1"/>
          <w:sz w:val="16"/>
          <w:szCs w:val="16"/>
        </w:rPr>
        <w:softHyphen/>
        <w:t>ляться проблемой и задача организа</w:t>
      </w:r>
      <w:r w:rsidRPr="00D03F3E">
        <w:rPr>
          <w:rFonts w:ascii="Times New Roman" w:hAnsi="Times New Roman"/>
          <w:iCs/>
          <w:color w:val="000000" w:themeColor="text1"/>
          <w:sz w:val="16"/>
          <w:szCs w:val="16"/>
        </w:rPr>
        <w:softHyphen/>
        <w:t>ции взаимодействия не будет погло</w:t>
      </w:r>
      <w:r w:rsidRPr="00D03F3E">
        <w:rPr>
          <w:rFonts w:ascii="Times New Roman" w:hAnsi="Times New Roman"/>
          <w:iCs/>
          <w:color w:val="000000" w:themeColor="text1"/>
          <w:sz w:val="16"/>
          <w:szCs w:val="16"/>
        </w:rPr>
        <w:softHyphen/>
        <w:t>щать основного времени, имеющего</w:t>
      </w:r>
      <w:r w:rsidRPr="00D03F3E">
        <w:rPr>
          <w:rFonts w:ascii="Times New Roman" w:hAnsi="Times New Roman"/>
          <w:iCs/>
          <w:color w:val="000000" w:themeColor="text1"/>
          <w:sz w:val="16"/>
          <w:szCs w:val="16"/>
        </w:rPr>
        <w:softHyphen/>
        <w:t>ся для организации удара, то есть ког</w:t>
      </w:r>
      <w:r w:rsidRPr="00D03F3E">
        <w:rPr>
          <w:rFonts w:ascii="Times New Roman" w:hAnsi="Times New Roman"/>
          <w:iCs/>
          <w:color w:val="000000" w:themeColor="text1"/>
          <w:sz w:val="16"/>
          <w:szCs w:val="16"/>
        </w:rPr>
        <w:softHyphen/>
        <w:t>да в штатах штурмового авиакорпуса будет дивизия истребителей 4-х пол</w:t>
      </w:r>
      <w:r w:rsidRPr="00D03F3E">
        <w:rPr>
          <w:rFonts w:ascii="Times New Roman" w:hAnsi="Times New Roman"/>
          <w:iCs/>
          <w:color w:val="000000" w:themeColor="text1"/>
          <w:sz w:val="16"/>
          <w:szCs w:val="16"/>
        </w:rPr>
        <w:softHyphen/>
        <w:t>кового состава".</w:t>
      </w:r>
    </w:p>
    <w:p w14:paraId="2CA6742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сожалению, эти вопросы не на</w:t>
      </w:r>
      <w:r w:rsidRPr="00D03F3E">
        <w:rPr>
          <w:rFonts w:ascii="Times New Roman" w:hAnsi="Times New Roman"/>
          <w:color w:val="000000" w:themeColor="text1"/>
          <w:sz w:val="16"/>
          <w:szCs w:val="16"/>
        </w:rPr>
        <w:softHyphen/>
        <w:t>шли не только необходимого решения, но и должного отражения в отчетных документах штабов воздушных армий, соединений и частей. По понятным при</w:t>
      </w:r>
      <w:r w:rsidRPr="00D03F3E">
        <w:rPr>
          <w:rFonts w:ascii="Times New Roman" w:hAnsi="Times New Roman"/>
          <w:color w:val="000000" w:themeColor="text1"/>
          <w:sz w:val="16"/>
          <w:szCs w:val="16"/>
        </w:rPr>
        <w:softHyphen/>
        <w:t>чинам составители отчетов постара</w:t>
      </w:r>
      <w:r w:rsidRPr="00D03F3E">
        <w:rPr>
          <w:rFonts w:ascii="Times New Roman" w:hAnsi="Times New Roman"/>
          <w:color w:val="000000" w:themeColor="text1"/>
          <w:sz w:val="16"/>
          <w:szCs w:val="16"/>
        </w:rPr>
        <w:softHyphen/>
        <w:t>лись умолчать об ошибках, допускав</w:t>
      </w:r>
      <w:r w:rsidRPr="00D03F3E">
        <w:rPr>
          <w:rFonts w:ascii="Times New Roman" w:hAnsi="Times New Roman"/>
          <w:color w:val="000000" w:themeColor="text1"/>
          <w:sz w:val="16"/>
          <w:szCs w:val="16"/>
        </w:rPr>
        <w:softHyphen/>
        <w:t>шихся штабами, обращая внимание главным образом на вполне понятные "стандартные" причины - недостаток выделяемого на учебно-боевую подго</w:t>
      </w:r>
      <w:r w:rsidRPr="00D03F3E">
        <w:rPr>
          <w:rFonts w:ascii="Times New Roman" w:hAnsi="Times New Roman"/>
          <w:color w:val="000000" w:themeColor="text1"/>
          <w:sz w:val="16"/>
          <w:szCs w:val="16"/>
        </w:rPr>
        <w:softHyphen/>
        <w:t>товку лимита горючего, отсутствие в необходимом количестве учебно-мето</w:t>
      </w:r>
      <w:r w:rsidRPr="00D03F3E">
        <w:rPr>
          <w:rFonts w:ascii="Times New Roman" w:hAnsi="Times New Roman"/>
          <w:color w:val="000000" w:themeColor="text1"/>
          <w:sz w:val="16"/>
          <w:szCs w:val="16"/>
        </w:rPr>
        <w:softHyphen/>
        <w:t>дических материалов и т.д.</w:t>
      </w:r>
    </w:p>
    <w:p w14:paraId="08C26ED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следует из документов, авиаци</w:t>
      </w:r>
      <w:r w:rsidRPr="00D03F3E">
        <w:rPr>
          <w:rFonts w:ascii="Times New Roman" w:hAnsi="Times New Roman"/>
          <w:color w:val="000000" w:themeColor="text1"/>
          <w:sz w:val="16"/>
          <w:szCs w:val="16"/>
        </w:rPr>
        <w:softHyphen/>
        <w:t>онные штабы, в основном полков и ди</w:t>
      </w:r>
      <w:r w:rsidRPr="00D03F3E">
        <w:rPr>
          <w:rFonts w:ascii="Times New Roman" w:hAnsi="Times New Roman"/>
          <w:color w:val="000000" w:themeColor="text1"/>
          <w:sz w:val="16"/>
          <w:szCs w:val="16"/>
        </w:rPr>
        <w:softHyphen/>
        <w:t>визий, оказались не в состоянии гра</w:t>
      </w:r>
      <w:r w:rsidRPr="00D03F3E">
        <w:rPr>
          <w:rFonts w:ascii="Times New Roman" w:hAnsi="Times New Roman"/>
          <w:color w:val="000000" w:themeColor="text1"/>
          <w:sz w:val="16"/>
          <w:szCs w:val="16"/>
        </w:rPr>
        <w:softHyphen/>
        <w:t>мотно организовать учебно-боевую работу в частях и подразделениях, так как испытывали острую нужду в опыт</w:t>
      </w:r>
      <w:r w:rsidRPr="00D03F3E">
        <w:rPr>
          <w:rFonts w:ascii="Times New Roman" w:hAnsi="Times New Roman"/>
          <w:color w:val="000000" w:themeColor="text1"/>
          <w:sz w:val="16"/>
          <w:szCs w:val="16"/>
        </w:rPr>
        <w:softHyphen/>
        <w:t>ных и хорошо подготовленных коман</w:t>
      </w:r>
      <w:r w:rsidRPr="00D03F3E">
        <w:rPr>
          <w:rFonts w:ascii="Times New Roman" w:hAnsi="Times New Roman"/>
          <w:color w:val="000000" w:themeColor="text1"/>
          <w:sz w:val="16"/>
          <w:szCs w:val="16"/>
        </w:rPr>
        <w:softHyphen/>
        <w:t>дных кадрах. В некоторых дивизиях некомплект командного состава шта</w:t>
      </w:r>
      <w:r w:rsidRPr="00D03F3E">
        <w:rPr>
          <w:rFonts w:ascii="Times New Roman" w:hAnsi="Times New Roman"/>
          <w:color w:val="000000" w:themeColor="text1"/>
          <w:sz w:val="16"/>
          <w:szCs w:val="16"/>
        </w:rPr>
        <w:softHyphen/>
        <w:t>бов доходил до 40% штата. Прибыва</w:t>
      </w:r>
      <w:r w:rsidRPr="00D03F3E">
        <w:rPr>
          <w:rFonts w:ascii="Times New Roman" w:hAnsi="Times New Roman"/>
          <w:color w:val="000000" w:themeColor="text1"/>
          <w:sz w:val="16"/>
          <w:szCs w:val="16"/>
        </w:rPr>
        <w:softHyphen/>
        <w:t>ющие же на пополнение полки в сво</w:t>
      </w:r>
      <w:r w:rsidRPr="00D03F3E">
        <w:rPr>
          <w:rFonts w:ascii="Times New Roman" w:hAnsi="Times New Roman"/>
          <w:color w:val="000000" w:themeColor="text1"/>
          <w:sz w:val="16"/>
          <w:szCs w:val="16"/>
        </w:rPr>
        <w:softHyphen/>
        <w:t>ем большинстве также не были укомп</w:t>
      </w:r>
      <w:r w:rsidRPr="00D03F3E">
        <w:rPr>
          <w:rFonts w:ascii="Times New Roman" w:hAnsi="Times New Roman"/>
          <w:color w:val="000000" w:themeColor="text1"/>
          <w:sz w:val="16"/>
          <w:szCs w:val="16"/>
        </w:rPr>
        <w:softHyphen/>
        <w:t>лектованы до штата, главным образом, помощниками командиров полков по воздушно-стрелковой службе и штур</w:t>
      </w:r>
      <w:r w:rsidRPr="00D03F3E">
        <w:rPr>
          <w:rFonts w:ascii="Times New Roman" w:hAnsi="Times New Roman"/>
          <w:color w:val="000000" w:themeColor="text1"/>
          <w:sz w:val="16"/>
          <w:szCs w:val="16"/>
        </w:rPr>
        <w:softHyphen/>
        <w:t>манами. В итоге методическая основа боевой подготовки частей находилась в крайне неудовлетворительном состо</w:t>
      </w:r>
      <w:r w:rsidRPr="00D03F3E">
        <w:rPr>
          <w:rFonts w:ascii="Times New Roman" w:hAnsi="Times New Roman"/>
          <w:color w:val="000000" w:themeColor="text1"/>
          <w:sz w:val="16"/>
          <w:szCs w:val="16"/>
        </w:rPr>
        <w:softHyphen/>
        <w:t>янии.</w:t>
      </w:r>
    </w:p>
    <w:p w14:paraId="2622AE7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Положение усугублялось еще и тем обстоятельством, что командный лет</w:t>
      </w:r>
      <w:r w:rsidRPr="00D03F3E">
        <w:rPr>
          <w:rFonts w:ascii="Times New Roman" w:hAnsi="Times New Roman"/>
          <w:color w:val="000000" w:themeColor="text1"/>
          <w:sz w:val="16"/>
          <w:szCs w:val="16"/>
        </w:rPr>
        <w:softHyphen/>
        <w:t>ный состав полков (командиры эскад</w:t>
      </w:r>
      <w:r w:rsidRPr="00D03F3E">
        <w:rPr>
          <w:rFonts w:ascii="Times New Roman" w:hAnsi="Times New Roman"/>
          <w:color w:val="000000" w:themeColor="text1"/>
          <w:sz w:val="16"/>
          <w:szCs w:val="16"/>
        </w:rPr>
        <w:softHyphen/>
        <w:t>рилий и звеньев) также не обладал не</w:t>
      </w:r>
      <w:r w:rsidRPr="00D03F3E">
        <w:rPr>
          <w:rFonts w:ascii="Times New Roman" w:hAnsi="Times New Roman"/>
          <w:color w:val="000000" w:themeColor="text1"/>
          <w:sz w:val="16"/>
          <w:szCs w:val="16"/>
        </w:rPr>
        <w:softHyphen/>
        <w:t>обходимой методической подготовкой и специальными знаниями. Дело в том, что после назначения на должности'ко-мандиров звеньев или эскадрилий "ста</w:t>
      </w:r>
      <w:r w:rsidRPr="00D03F3E">
        <w:rPr>
          <w:rFonts w:ascii="Times New Roman" w:hAnsi="Times New Roman"/>
          <w:color w:val="000000" w:themeColor="text1"/>
          <w:sz w:val="16"/>
          <w:szCs w:val="16"/>
        </w:rPr>
        <w:softHyphen/>
        <w:t>рые" летчики в методическом плане ос</w:t>
      </w:r>
      <w:r w:rsidRPr="00D03F3E">
        <w:rPr>
          <w:rFonts w:ascii="Times New Roman" w:hAnsi="Times New Roman"/>
          <w:color w:val="000000" w:themeColor="text1"/>
          <w:sz w:val="16"/>
          <w:szCs w:val="16"/>
        </w:rPr>
        <w:softHyphen/>
        <w:t>тавались все теми же "молодыми" пи</w:t>
      </w:r>
      <w:r w:rsidRPr="00D03F3E">
        <w:rPr>
          <w:rFonts w:ascii="Times New Roman" w:hAnsi="Times New Roman"/>
          <w:color w:val="000000" w:themeColor="text1"/>
          <w:sz w:val="16"/>
          <w:szCs w:val="16"/>
        </w:rPr>
        <w:softHyphen/>
        <w:t>лотами без должного инструкторско-методического опыта и навыка в руко</w:t>
      </w:r>
      <w:r w:rsidRPr="00D03F3E">
        <w:rPr>
          <w:rFonts w:ascii="Times New Roman" w:hAnsi="Times New Roman"/>
          <w:color w:val="000000" w:themeColor="text1"/>
          <w:sz w:val="16"/>
          <w:szCs w:val="16"/>
        </w:rPr>
        <w:softHyphen/>
        <w:t>водстве подразделениями. По этим причинам командиры эскадрилий са</w:t>
      </w:r>
      <w:r w:rsidRPr="00D03F3E">
        <w:rPr>
          <w:rFonts w:ascii="Times New Roman" w:hAnsi="Times New Roman"/>
          <w:color w:val="000000" w:themeColor="text1"/>
          <w:sz w:val="16"/>
          <w:szCs w:val="16"/>
        </w:rPr>
        <w:softHyphen/>
        <w:t>моустранялись от процесса подготов</w:t>
      </w:r>
      <w:r w:rsidRPr="00D03F3E">
        <w:rPr>
          <w:rFonts w:ascii="Times New Roman" w:hAnsi="Times New Roman"/>
          <w:color w:val="000000" w:themeColor="text1"/>
          <w:sz w:val="16"/>
          <w:szCs w:val="16"/>
        </w:rPr>
        <w:softHyphen/>
        <w:t>ки подчиненных им рядовых летчиков, переложив эту работу на штабы.</w:t>
      </w:r>
    </w:p>
    <w:p w14:paraId="1B8C7B0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Как показала практика, находясь </w:t>
      </w:r>
      <w:r w:rsidRPr="00D03F3E">
        <w:rPr>
          <w:rFonts w:ascii="Times New Roman" w:hAnsi="Times New Roman"/>
          <w:iCs/>
          <w:color w:val="000000" w:themeColor="text1"/>
          <w:sz w:val="16"/>
          <w:szCs w:val="16"/>
        </w:rPr>
        <w:t>"вне прочной основы личная подготов</w:t>
      </w:r>
      <w:r w:rsidRPr="00D03F3E">
        <w:rPr>
          <w:rFonts w:ascii="Times New Roman" w:hAnsi="Times New Roman"/>
          <w:iCs/>
          <w:color w:val="000000" w:themeColor="text1"/>
          <w:sz w:val="16"/>
          <w:szCs w:val="16"/>
        </w:rPr>
        <w:softHyphen/>
        <w:t xml:space="preserve">ка штабного командира" </w:t>
      </w:r>
      <w:r w:rsidRPr="00D03F3E">
        <w:rPr>
          <w:rFonts w:ascii="Times New Roman" w:hAnsi="Times New Roman"/>
          <w:color w:val="000000" w:themeColor="text1"/>
          <w:sz w:val="16"/>
          <w:szCs w:val="16"/>
        </w:rPr>
        <w:t xml:space="preserve">легко </w:t>
      </w:r>
      <w:r w:rsidRPr="00D03F3E">
        <w:rPr>
          <w:rFonts w:ascii="Times New Roman" w:hAnsi="Times New Roman"/>
          <w:iCs/>
          <w:color w:val="000000" w:themeColor="text1"/>
          <w:sz w:val="16"/>
          <w:szCs w:val="16"/>
        </w:rPr>
        <w:t>"сво</w:t>
      </w:r>
      <w:r w:rsidRPr="00D03F3E">
        <w:rPr>
          <w:rFonts w:ascii="Times New Roman" w:hAnsi="Times New Roman"/>
          <w:iCs/>
          <w:color w:val="000000" w:themeColor="text1"/>
          <w:sz w:val="16"/>
          <w:szCs w:val="16"/>
        </w:rPr>
        <w:softHyphen/>
        <w:t>дилась к простому натаскиванию в тех</w:t>
      </w:r>
      <w:r w:rsidRPr="00D03F3E">
        <w:rPr>
          <w:rFonts w:ascii="Times New Roman" w:hAnsi="Times New Roman"/>
          <w:iCs/>
          <w:color w:val="000000" w:themeColor="text1"/>
          <w:sz w:val="16"/>
          <w:szCs w:val="16"/>
        </w:rPr>
        <w:softHyphen/>
        <w:t xml:space="preserve">нике штабной </w:t>
      </w:r>
      <w:r w:rsidRPr="00D03F3E">
        <w:rPr>
          <w:rFonts w:ascii="Times New Roman" w:hAnsi="Times New Roman"/>
          <w:iCs/>
          <w:color w:val="000000" w:themeColor="text1"/>
          <w:sz w:val="16"/>
          <w:szCs w:val="16"/>
        </w:rPr>
        <w:lastRenderedPageBreak/>
        <w:t xml:space="preserve">работы". </w:t>
      </w:r>
      <w:r w:rsidRPr="00D03F3E">
        <w:rPr>
          <w:rFonts w:ascii="Times New Roman" w:hAnsi="Times New Roman"/>
          <w:color w:val="000000" w:themeColor="text1"/>
          <w:sz w:val="16"/>
          <w:szCs w:val="16"/>
        </w:rPr>
        <w:t>По мнению ко</w:t>
      </w:r>
      <w:r w:rsidRPr="00D03F3E">
        <w:rPr>
          <w:rFonts w:ascii="Times New Roman" w:hAnsi="Times New Roman"/>
          <w:color w:val="000000" w:themeColor="text1"/>
          <w:sz w:val="16"/>
          <w:szCs w:val="16"/>
        </w:rPr>
        <w:softHyphen/>
        <w:t xml:space="preserve">мандира 1-го </w:t>
      </w:r>
      <w:r w:rsidRPr="00D03F3E">
        <w:rPr>
          <w:rFonts w:ascii="Times New Roman" w:hAnsi="Times New Roman"/>
          <w:iCs/>
          <w:color w:val="000000" w:themeColor="text1"/>
          <w:sz w:val="16"/>
          <w:szCs w:val="16"/>
        </w:rPr>
        <w:t xml:space="preserve">шак </w:t>
      </w:r>
      <w:r w:rsidRPr="00D03F3E">
        <w:rPr>
          <w:rFonts w:ascii="Times New Roman" w:hAnsi="Times New Roman"/>
          <w:color w:val="000000" w:themeColor="text1"/>
          <w:sz w:val="16"/>
          <w:szCs w:val="16"/>
        </w:rPr>
        <w:t>генерала Рязанова, именно таких офицеров штаба выпус</w:t>
      </w:r>
      <w:r w:rsidRPr="00D03F3E">
        <w:rPr>
          <w:rFonts w:ascii="Times New Roman" w:hAnsi="Times New Roman"/>
          <w:color w:val="000000" w:themeColor="text1"/>
          <w:sz w:val="16"/>
          <w:szCs w:val="16"/>
        </w:rPr>
        <w:softHyphen/>
        <w:t xml:space="preserve">кали учебные заведения ВВС КА - </w:t>
      </w:r>
      <w:r w:rsidRPr="00D03F3E">
        <w:rPr>
          <w:rFonts w:ascii="Times New Roman" w:hAnsi="Times New Roman"/>
          <w:iCs/>
          <w:color w:val="000000" w:themeColor="text1"/>
          <w:sz w:val="16"/>
          <w:szCs w:val="16"/>
        </w:rPr>
        <w:t>"на</w:t>
      </w:r>
      <w:r w:rsidRPr="00D03F3E">
        <w:rPr>
          <w:rFonts w:ascii="Times New Roman" w:hAnsi="Times New Roman"/>
          <w:iCs/>
          <w:color w:val="000000" w:themeColor="text1"/>
          <w:sz w:val="16"/>
          <w:szCs w:val="16"/>
        </w:rPr>
        <w:softHyphen/>
        <w:t>тасканных, но не подготовленных".</w:t>
      </w:r>
    </w:p>
    <w:p w14:paraId="7757926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Проведенная в период с 16 по 23 июня проверка 266-й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одного из лучших соединений в ВВС КА - пока</w:t>
      </w:r>
      <w:r w:rsidRPr="00D03F3E">
        <w:rPr>
          <w:rFonts w:ascii="Times New Roman" w:hAnsi="Times New Roman"/>
          <w:color w:val="000000" w:themeColor="text1"/>
          <w:sz w:val="16"/>
          <w:szCs w:val="16"/>
        </w:rPr>
        <w:softHyphen/>
        <w:t>зала, что командный состав штаба ди</w:t>
      </w:r>
      <w:r w:rsidRPr="00D03F3E">
        <w:rPr>
          <w:rFonts w:ascii="Times New Roman" w:hAnsi="Times New Roman"/>
          <w:color w:val="000000" w:themeColor="text1"/>
          <w:sz w:val="16"/>
          <w:szCs w:val="16"/>
        </w:rPr>
        <w:softHyphen/>
        <w:t xml:space="preserve">визии </w:t>
      </w:r>
      <w:r w:rsidRPr="00D03F3E">
        <w:rPr>
          <w:rFonts w:ascii="Times New Roman" w:hAnsi="Times New Roman"/>
          <w:iCs/>
          <w:color w:val="000000" w:themeColor="text1"/>
          <w:sz w:val="16"/>
          <w:szCs w:val="16"/>
        </w:rPr>
        <w:t>"не знает навыков в выполнении своих функциональных обязанностей, ...мало уделяют внимания наставлени</w:t>
      </w:r>
      <w:r w:rsidRPr="00D03F3E">
        <w:rPr>
          <w:rFonts w:ascii="Times New Roman" w:hAnsi="Times New Roman"/>
          <w:iCs/>
          <w:color w:val="000000" w:themeColor="text1"/>
          <w:sz w:val="16"/>
          <w:szCs w:val="16"/>
        </w:rPr>
        <w:softHyphen/>
        <w:t>ям по полевой службе штабов Крас</w:t>
      </w:r>
      <w:r w:rsidRPr="00D03F3E">
        <w:rPr>
          <w:rFonts w:ascii="Times New Roman" w:hAnsi="Times New Roman"/>
          <w:iCs/>
          <w:color w:val="000000" w:themeColor="text1"/>
          <w:sz w:val="16"/>
          <w:szCs w:val="16"/>
        </w:rPr>
        <w:softHyphen/>
        <w:t>ной Армии и по боевым действиям штурмовой авиации, ...регулярные за</w:t>
      </w:r>
      <w:r w:rsidRPr="00D03F3E">
        <w:rPr>
          <w:rFonts w:ascii="Times New Roman" w:hAnsi="Times New Roman"/>
          <w:iCs/>
          <w:color w:val="000000" w:themeColor="text1"/>
          <w:sz w:val="16"/>
          <w:szCs w:val="16"/>
        </w:rPr>
        <w:softHyphen/>
        <w:t>нятия командиров штабов частей от</w:t>
      </w:r>
      <w:r w:rsidRPr="00D03F3E">
        <w:rPr>
          <w:rFonts w:ascii="Times New Roman" w:hAnsi="Times New Roman"/>
          <w:iCs/>
          <w:color w:val="000000" w:themeColor="text1"/>
          <w:sz w:val="16"/>
          <w:szCs w:val="16"/>
        </w:rPr>
        <w:softHyphen/>
        <w:t>сутствуют".</w:t>
      </w:r>
    </w:p>
    <w:p w14:paraId="7599613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Все это приводило к </w:t>
      </w:r>
      <w:r w:rsidRPr="00D03F3E">
        <w:rPr>
          <w:rFonts w:ascii="Times New Roman" w:hAnsi="Times New Roman"/>
          <w:iCs/>
          <w:color w:val="000000" w:themeColor="text1"/>
          <w:sz w:val="16"/>
          <w:szCs w:val="16"/>
        </w:rPr>
        <w:t>"низкому каче</w:t>
      </w:r>
      <w:r w:rsidRPr="00D03F3E">
        <w:rPr>
          <w:rFonts w:ascii="Times New Roman" w:hAnsi="Times New Roman"/>
          <w:iCs/>
          <w:color w:val="000000" w:themeColor="text1"/>
          <w:sz w:val="16"/>
          <w:szCs w:val="16"/>
        </w:rPr>
        <w:softHyphen/>
        <w:t>ству организации занятий с офицерс</w:t>
      </w:r>
      <w:r w:rsidRPr="00D03F3E">
        <w:rPr>
          <w:rFonts w:ascii="Times New Roman" w:hAnsi="Times New Roman"/>
          <w:iCs/>
          <w:color w:val="000000" w:themeColor="text1"/>
          <w:sz w:val="16"/>
          <w:szCs w:val="16"/>
        </w:rPr>
        <w:softHyphen/>
        <w:t>ким и сержантским составом, неуме</w:t>
      </w:r>
      <w:r w:rsidRPr="00D03F3E">
        <w:rPr>
          <w:rFonts w:ascii="Times New Roman" w:hAnsi="Times New Roman"/>
          <w:iCs/>
          <w:color w:val="000000" w:themeColor="text1"/>
          <w:sz w:val="16"/>
          <w:szCs w:val="16"/>
        </w:rPr>
        <w:softHyphen/>
        <w:t>нию совместить боевую подготовку па</w:t>
      </w:r>
      <w:r w:rsidRPr="00D03F3E">
        <w:rPr>
          <w:rFonts w:ascii="Times New Roman" w:hAnsi="Times New Roman"/>
          <w:iCs/>
          <w:color w:val="000000" w:themeColor="text1"/>
          <w:sz w:val="16"/>
          <w:szCs w:val="16"/>
        </w:rPr>
        <w:softHyphen/>
        <w:t>раллельно с боевыми действиями в сложных условиях боевой обстановки".</w:t>
      </w:r>
    </w:p>
    <w:p w14:paraId="1833AAD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следствие, шаблон в тактике бо</w:t>
      </w:r>
      <w:r w:rsidRPr="00D03F3E">
        <w:rPr>
          <w:rFonts w:ascii="Times New Roman" w:hAnsi="Times New Roman"/>
          <w:color w:val="000000" w:themeColor="text1"/>
          <w:sz w:val="16"/>
          <w:szCs w:val="16"/>
        </w:rPr>
        <w:softHyphen/>
        <w:t xml:space="preserve">евого применения штурмовой авиации, </w:t>
      </w:r>
      <w:r w:rsidRPr="00D03F3E">
        <w:rPr>
          <w:rFonts w:ascii="Times New Roman" w:hAnsi="Times New Roman"/>
          <w:iCs/>
          <w:color w:val="000000" w:themeColor="text1"/>
          <w:sz w:val="16"/>
          <w:szCs w:val="16"/>
        </w:rPr>
        <w:t>"при котором командиры не ищут но</w:t>
      </w:r>
      <w:r w:rsidRPr="00D03F3E">
        <w:rPr>
          <w:rFonts w:ascii="Times New Roman" w:hAnsi="Times New Roman"/>
          <w:iCs/>
          <w:color w:val="000000" w:themeColor="text1"/>
          <w:sz w:val="16"/>
          <w:szCs w:val="16"/>
        </w:rPr>
        <w:softHyphen/>
        <w:t>вых тактических форм борьбы с про</w:t>
      </w:r>
      <w:r w:rsidRPr="00D03F3E">
        <w:rPr>
          <w:rFonts w:ascii="Times New Roman" w:hAnsi="Times New Roman"/>
          <w:iCs/>
          <w:color w:val="000000" w:themeColor="text1"/>
          <w:sz w:val="16"/>
          <w:szCs w:val="16"/>
        </w:rPr>
        <w:softHyphen/>
        <w:t>тивником, а действуют по раз установ</w:t>
      </w:r>
      <w:r w:rsidRPr="00D03F3E">
        <w:rPr>
          <w:rFonts w:ascii="Times New Roman" w:hAnsi="Times New Roman"/>
          <w:iCs/>
          <w:color w:val="000000" w:themeColor="text1"/>
          <w:sz w:val="16"/>
          <w:szCs w:val="16"/>
        </w:rPr>
        <w:softHyphen/>
        <w:t>ленной форме ...независимо от воздуш</w:t>
      </w:r>
      <w:r w:rsidRPr="00D03F3E">
        <w:rPr>
          <w:rFonts w:ascii="Times New Roman" w:hAnsi="Times New Roman"/>
          <w:iCs/>
          <w:color w:val="000000" w:themeColor="text1"/>
          <w:sz w:val="16"/>
          <w:szCs w:val="16"/>
        </w:rPr>
        <w:softHyphen/>
        <w:t>ной и наземной обстановки, без учета характера цели, системы ПВО против</w:t>
      </w:r>
      <w:r w:rsidRPr="00D03F3E">
        <w:rPr>
          <w:rFonts w:ascii="Times New Roman" w:hAnsi="Times New Roman"/>
          <w:iCs/>
          <w:color w:val="000000" w:themeColor="text1"/>
          <w:sz w:val="16"/>
          <w:szCs w:val="16"/>
        </w:rPr>
        <w:softHyphen/>
        <w:t>ника, условий местности и погоды".</w:t>
      </w:r>
    </w:p>
    <w:p w14:paraId="112DB99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Более того, при существующей орга</w:t>
      </w:r>
      <w:r w:rsidRPr="00D03F3E">
        <w:rPr>
          <w:rFonts w:ascii="Times New Roman" w:hAnsi="Times New Roman"/>
          <w:color w:val="000000" w:themeColor="text1"/>
          <w:sz w:val="16"/>
          <w:szCs w:val="16"/>
        </w:rPr>
        <w:softHyphen/>
        <w:t>низации боевых вылетов в воздушных армиях, когда вышестоящие штабы се</w:t>
      </w:r>
      <w:r w:rsidRPr="00D03F3E">
        <w:rPr>
          <w:rFonts w:ascii="Times New Roman" w:hAnsi="Times New Roman"/>
          <w:color w:val="000000" w:themeColor="text1"/>
          <w:sz w:val="16"/>
          <w:szCs w:val="16"/>
        </w:rPr>
        <w:softHyphen/>
        <w:t>рьезно ограничивали полномочия шта</w:t>
      </w:r>
      <w:r w:rsidRPr="00D03F3E">
        <w:rPr>
          <w:rFonts w:ascii="Times New Roman" w:hAnsi="Times New Roman"/>
          <w:color w:val="000000" w:themeColor="text1"/>
          <w:sz w:val="16"/>
          <w:szCs w:val="16"/>
        </w:rPr>
        <w:softHyphen/>
        <w:t>бов дивизий и полков почти во всех вопросах планирования и организации боевых действий, командный состав ча</w:t>
      </w:r>
      <w:r w:rsidRPr="00D03F3E">
        <w:rPr>
          <w:rFonts w:ascii="Times New Roman" w:hAnsi="Times New Roman"/>
          <w:color w:val="000000" w:themeColor="text1"/>
          <w:sz w:val="16"/>
          <w:szCs w:val="16"/>
        </w:rPr>
        <w:softHyphen/>
        <w:t>стей утрачивал инициативу и чувство ответственности за результаты боевой работы, фактически превращаясь в простые передаточные инстанции. Пос</w:t>
      </w:r>
      <w:r w:rsidRPr="00D03F3E">
        <w:rPr>
          <w:rFonts w:ascii="Times New Roman" w:hAnsi="Times New Roman"/>
          <w:color w:val="000000" w:themeColor="text1"/>
          <w:sz w:val="16"/>
          <w:szCs w:val="16"/>
        </w:rPr>
        <w:softHyphen/>
        <w:t>леднее обстоятельство неоднократно становилось причиной срывов ударов и тяжелых потерь.</w:t>
      </w:r>
    </w:p>
    <w:p w14:paraId="2234EA1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iCs/>
          <w:color w:val="000000" w:themeColor="text1"/>
          <w:sz w:val="16"/>
          <w:szCs w:val="16"/>
        </w:rPr>
        <w:t>"Действия групп самолетов ограни</w:t>
      </w:r>
      <w:r w:rsidRPr="00D03F3E">
        <w:rPr>
          <w:rFonts w:ascii="Times New Roman" w:hAnsi="Times New Roman"/>
          <w:iCs/>
          <w:color w:val="000000" w:themeColor="text1"/>
          <w:sz w:val="16"/>
          <w:szCs w:val="16"/>
        </w:rPr>
        <w:softHyphen/>
        <w:t>чиваются 5-10 минутами, а для этого задействованы большие материальные средства... Следовательно, сама логи</w:t>
      </w:r>
      <w:r w:rsidRPr="00D03F3E">
        <w:rPr>
          <w:rFonts w:ascii="Times New Roman" w:hAnsi="Times New Roman"/>
          <w:iCs/>
          <w:color w:val="000000" w:themeColor="text1"/>
          <w:sz w:val="16"/>
          <w:szCs w:val="16"/>
        </w:rPr>
        <w:softHyphen/>
        <w:t>ка убеждает нас в том, что финалу бом-боштурмового удара должны предше</w:t>
      </w:r>
      <w:r w:rsidRPr="00D03F3E">
        <w:rPr>
          <w:rFonts w:ascii="Times New Roman" w:hAnsi="Times New Roman"/>
          <w:iCs/>
          <w:color w:val="000000" w:themeColor="text1"/>
          <w:sz w:val="16"/>
          <w:szCs w:val="16"/>
        </w:rPr>
        <w:softHyphen/>
        <w:t>ствовать все наши наличные ресурсы офицерского состава штабов и коман</w:t>
      </w:r>
      <w:r w:rsidRPr="00D03F3E">
        <w:rPr>
          <w:rFonts w:ascii="Times New Roman" w:hAnsi="Times New Roman"/>
          <w:iCs/>
          <w:color w:val="000000" w:themeColor="text1"/>
          <w:sz w:val="16"/>
          <w:szCs w:val="16"/>
        </w:rPr>
        <w:softHyphen/>
        <w:t>дования. Между тем весь этот огром</w:t>
      </w:r>
      <w:r w:rsidRPr="00D03F3E">
        <w:rPr>
          <w:rFonts w:ascii="Times New Roman" w:hAnsi="Times New Roman"/>
          <w:iCs/>
          <w:color w:val="000000" w:themeColor="text1"/>
          <w:sz w:val="16"/>
          <w:szCs w:val="16"/>
        </w:rPr>
        <w:softHyphen/>
        <w:t>ный и работоспособный аппарат за</w:t>
      </w:r>
      <w:r w:rsidRPr="00D03F3E">
        <w:rPr>
          <w:rFonts w:ascii="Times New Roman" w:hAnsi="Times New Roman"/>
          <w:iCs/>
          <w:color w:val="000000" w:themeColor="text1"/>
          <w:sz w:val="16"/>
          <w:szCs w:val="16"/>
        </w:rPr>
        <w:softHyphen/>
        <w:t>нят диспетчерской службой, вообра</w:t>
      </w:r>
      <w:r w:rsidRPr="00D03F3E">
        <w:rPr>
          <w:rFonts w:ascii="Times New Roman" w:hAnsi="Times New Roman"/>
          <w:iCs/>
          <w:color w:val="000000" w:themeColor="text1"/>
          <w:sz w:val="16"/>
          <w:szCs w:val="16"/>
        </w:rPr>
        <w:softHyphen/>
        <w:t>жая, что он управляет своими войска</w:t>
      </w:r>
      <w:r w:rsidRPr="00D03F3E">
        <w:rPr>
          <w:rFonts w:ascii="Times New Roman" w:hAnsi="Times New Roman"/>
          <w:iCs/>
          <w:color w:val="000000" w:themeColor="text1"/>
          <w:sz w:val="16"/>
          <w:szCs w:val="16"/>
        </w:rPr>
        <w:softHyphen/>
        <w:t>ми, если передает распоряжения стар</w:t>
      </w:r>
      <w:r w:rsidRPr="00D03F3E">
        <w:rPr>
          <w:rFonts w:ascii="Times New Roman" w:hAnsi="Times New Roman"/>
          <w:iCs/>
          <w:color w:val="000000" w:themeColor="text1"/>
          <w:sz w:val="16"/>
          <w:szCs w:val="16"/>
        </w:rPr>
        <w:softHyphen/>
        <w:t>шего командира по телефону на аэро</w:t>
      </w:r>
      <w:r w:rsidRPr="00D03F3E">
        <w:rPr>
          <w:rFonts w:ascii="Times New Roman" w:hAnsi="Times New Roman"/>
          <w:iCs/>
          <w:color w:val="000000" w:themeColor="text1"/>
          <w:sz w:val="16"/>
          <w:szCs w:val="16"/>
        </w:rPr>
        <w:softHyphen/>
        <w:t>дром и дальше ограничивается наблю</w:t>
      </w:r>
      <w:r w:rsidRPr="00D03F3E">
        <w:rPr>
          <w:rFonts w:ascii="Times New Roman" w:hAnsi="Times New Roman"/>
          <w:iCs/>
          <w:color w:val="000000" w:themeColor="text1"/>
          <w:sz w:val="16"/>
          <w:szCs w:val="16"/>
        </w:rPr>
        <w:softHyphen/>
        <w:t>дением из окна хаты за взлетающими самолетами. При такой системе управ</w:t>
      </w:r>
      <w:r w:rsidRPr="00D03F3E">
        <w:rPr>
          <w:rFonts w:ascii="Times New Roman" w:hAnsi="Times New Roman"/>
          <w:iCs/>
          <w:color w:val="000000" w:themeColor="text1"/>
          <w:sz w:val="16"/>
          <w:szCs w:val="16"/>
        </w:rPr>
        <w:softHyphen/>
        <w:t>ления штабы не могут помогать свое</w:t>
      </w:r>
      <w:r w:rsidRPr="00D03F3E">
        <w:rPr>
          <w:rFonts w:ascii="Times New Roman" w:hAnsi="Times New Roman"/>
          <w:iCs/>
          <w:color w:val="000000" w:themeColor="text1"/>
          <w:sz w:val="16"/>
          <w:szCs w:val="16"/>
        </w:rPr>
        <w:softHyphen/>
        <w:t>му командиру и не могут учить свои подразделения потому, что они сами ничего не видят и ничего определен</w:t>
      </w:r>
      <w:r w:rsidRPr="00D03F3E">
        <w:rPr>
          <w:rFonts w:ascii="Times New Roman" w:hAnsi="Times New Roman"/>
          <w:iCs/>
          <w:color w:val="000000" w:themeColor="text1"/>
          <w:sz w:val="16"/>
          <w:szCs w:val="16"/>
        </w:rPr>
        <w:softHyphen/>
        <w:t>ного не знают, так как не видят рабо</w:t>
      </w:r>
      <w:r w:rsidRPr="00D03F3E">
        <w:rPr>
          <w:rFonts w:ascii="Times New Roman" w:hAnsi="Times New Roman"/>
          <w:iCs/>
          <w:color w:val="000000" w:themeColor="text1"/>
          <w:sz w:val="16"/>
          <w:szCs w:val="16"/>
        </w:rPr>
        <w:softHyphen/>
        <w:t xml:space="preserve">ту своих летчиков", - </w:t>
      </w:r>
      <w:r w:rsidRPr="00D03F3E">
        <w:rPr>
          <w:rFonts w:ascii="Times New Roman" w:hAnsi="Times New Roman"/>
          <w:color w:val="000000" w:themeColor="text1"/>
          <w:sz w:val="16"/>
          <w:szCs w:val="16"/>
        </w:rPr>
        <w:t>писал по этому поводу в одном из докладов замести</w:t>
      </w:r>
      <w:r w:rsidRPr="00D03F3E">
        <w:rPr>
          <w:rFonts w:ascii="Times New Roman" w:hAnsi="Times New Roman"/>
          <w:color w:val="000000" w:themeColor="text1"/>
          <w:sz w:val="16"/>
          <w:szCs w:val="16"/>
        </w:rPr>
        <w:softHyphen/>
        <w:t xml:space="preserve">тель командира 225-й </w:t>
      </w:r>
      <w:r w:rsidRPr="00D03F3E">
        <w:rPr>
          <w:rFonts w:ascii="Times New Roman" w:hAnsi="Times New Roman"/>
          <w:iCs/>
          <w:color w:val="000000" w:themeColor="text1"/>
          <w:sz w:val="16"/>
          <w:szCs w:val="16"/>
        </w:rPr>
        <w:t xml:space="preserve">шад </w:t>
      </w:r>
      <w:r w:rsidRPr="00D03F3E">
        <w:rPr>
          <w:rFonts w:ascii="Times New Roman" w:hAnsi="Times New Roman"/>
          <w:color w:val="000000" w:themeColor="text1"/>
          <w:sz w:val="16"/>
          <w:szCs w:val="16"/>
        </w:rPr>
        <w:t>п-к Тимо</w:t>
      </w:r>
      <w:r w:rsidRPr="00D03F3E">
        <w:rPr>
          <w:rFonts w:ascii="Times New Roman" w:hAnsi="Times New Roman"/>
          <w:color w:val="000000" w:themeColor="text1"/>
          <w:sz w:val="16"/>
          <w:szCs w:val="16"/>
        </w:rPr>
        <w:softHyphen/>
        <w:t>феев.</w:t>
      </w:r>
    </w:p>
    <w:p w14:paraId="6306065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Собственно говоря, результаты на</w:t>
      </w:r>
      <w:r w:rsidRPr="00D03F3E">
        <w:rPr>
          <w:rFonts w:ascii="Times New Roman" w:hAnsi="Times New Roman"/>
          <w:color w:val="000000" w:themeColor="text1"/>
          <w:sz w:val="16"/>
          <w:szCs w:val="16"/>
        </w:rPr>
        <w:softHyphen/>
        <w:t>летов советской авиации на немецкие аэродромы 6-8 мая и 8-10 июня яви</w:t>
      </w:r>
      <w:r w:rsidRPr="00D03F3E">
        <w:rPr>
          <w:rFonts w:ascii="Times New Roman" w:hAnsi="Times New Roman"/>
          <w:color w:val="000000" w:themeColor="text1"/>
          <w:sz w:val="16"/>
          <w:szCs w:val="16"/>
        </w:rPr>
        <w:softHyphen/>
        <w:t>лись своего рода первым звонком для командования ВВС КА и воздушных армий, предвещавшим большие поте</w:t>
      </w:r>
      <w:r w:rsidRPr="00D03F3E">
        <w:rPr>
          <w:rFonts w:ascii="Times New Roman" w:hAnsi="Times New Roman"/>
          <w:color w:val="000000" w:themeColor="text1"/>
          <w:sz w:val="16"/>
          <w:szCs w:val="16"/>
        </w:rPr>
        <w:softHyphen/>
        <w:t>ри летного состава и матчасти в усло</w:t>
      </w:r>
      <w:r w:rsidRPr="00D03F3E">
        <w:rPr>
          <w:rFonts w:ascii="Times New Roman" w:hAnsi="Times New Roman"/>
          <w:color w:val="000000" w:themeColor="text1"/>
          <w:sz w:val="16"/>
          <w:szCs w:val="16"/>
        </w:rPr>
        <w:softHyphen/>
        <w:t>виях массированного применения про</w:t>
      </w:r>
      <w:r w:rsidRPr="00D03F3E">
        <w:rPr>
          <w:rFonts w:ascii="Times New Roman" w:hAnsi="Times New Roman"/>
          <w:color w:val="000000" w:themeColor="text1"/>
          <w:sz w:val="16"/>
          <w:szCs w:val="16"/>
        </w:rPr>
        <w:softHyphen/>
        <w:t>тивником зенитной артиллерии и ис</w:t>
      </w:r>
      <w:r w:rsidRPr="00D03F3E">
        <w:rPr>
          <w:rFonts w:ascii="Times New Roman" w:hAnsi="Times New Roman"/>
          <w:color w:val="000000" w:themeColor="text1"/>
          <w:sz w:val="16"/>
          <w:szCs w:val="16"/>
        </w:rPr>
        <w:softHyphen/>
        <w:t>требительной авиации. К подобной войне советские летчики и командиры оказались еще не готовыми, главным образом, в организационном плане.</w:t>
      </w:r>
    </w:p>
    <w:p w14:paraId="792F27F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Как показали дальнейшие события, несмотря на вышедшие директивы и приказы командующего ВВС КА и его штаба, посвященные вопросам улуч</w:t>
      </w:r>
      <w:r w:rsidRPr="00D03F3E">
        <w:rPr>
          <w:rFonts w:ascii="Times New Roman" w:hAnsi="Times New Roman"/>
          <w:color w:val="000000" w:themeColor="text1"/>
          <w:sz w:val="16"/>
          <w:szCs w:val="16"/>
        </w:rPr>
        <w:softHyphen/>
        <w:t>шения боевого применения авиации по опыту проведенных воздушных опера</w:t>
      </w:r>
      <w:r w:rsidRPr="00D03F3E">
        <w:rPr>
          <w:rFonts w:ascii="Times New Roman" w:hAnsi="Times New Roman"/>
          <w:color w:val="000000" w:themeColor="text1"/>
          <w:sz w:val="16"/>
          <w:szCs w:val="16"/>
        </w:rPr>
        <w:softHyphen/>
        <w:t>ций, должных выводов наши авиаци</w:t>
      </w:r>
      <w:r w:rsidRPr="00D03F3E">
        <w:rPr>
          <w:rFonts w:ascii="Times New Roman" w:hAnsi="Times New Roman"/>
          <w:color w:val="000000" w:themeColor="text1"/>
          <w:sz w:val="16"/>
          <w:szCs w:val="16"/>
        </w:rPr>
        <w:softHyphen/>
        <w:t>онные командиры все же не сделали. Урока, оплаченного жизнью многих лет</w:t>
      </w:r>
      <w:r w:rsidRPr="00D03F3E">
        <w:rPr>
          <w:rFonts w:ascii="Times New Roman" w:hAnsi="Times New Roman"/>
          <w:color w:val="000000" w:themeColor="text1"/>
          <w:sz w:val="16"/>
          <w:szCs w:val="16"/>
        </w:rPr>
        <w:softHyphen/>
        <w:t>чиков, воздушных стрелков и штурма</w:t>
      </w:r>
      <w:r w:rsidRPr="00D03F3E">
        <w:rPr>
          <w:rFonts w:ascii="Times New Roman" w:hAnsi="Times New Roman"/>
          <w:color w:val="000000" w:themeColor="text1"/>
          <w:sz w:val="16"/>
          <w:szCs w:val="16"/>
        </w:rPr>
        <w:softHyphen/>
        <w:t>нов, оказалось недостаточно, чтобы приступить к действительно реально</w:t>
      </w:r>
      <w:r w:rsidRPr="00D03F3E">
        <w:rPr>
          <w:rFonts w:ascii="Times New Roman" w:hAnsi="Times New Roman"/>
          <w:color w:val="000000" w:themeColor="text1"/>
          <w:sz w:val="16"/>
          <w:szCs w:val="16"/>
        </w:rPr>
        <w:softHyphen/>
        <w:t>му решению проблем, связанных с пла</w:t>
      </w:r>
      <w:r w:rsidRPr="00D03F3E">
        <w:rPr>
          <w:rFonts w:ascii="Times New Roman" w:hAnsi="Times New Roman"/>
          <w:color w:val="000000" w:themeColor="text1"/>
          <w:sz w:val="16"/>
          <w:szCs w:val="16"/>
        </w:rPr>
        <w:softHyphen/>
        <w:t>нированием и организацией боевых действий авиации. Мероприятия по со</w:t>
      </w:r>
      <w:r w:rsidRPr="00D03F3E">
        <w:rPr>
          <w:rFonts w:ascii="Times New Roman" w:hAnsi="Times New Roman"/>
          <w:color w:val="000000" w:themeColor="text1"/>
          <w:sz w:val="16"/>
          <w:szCs w:val="16"/>
        </w:rPr>
        <w:softHyphen/>
        <w:t>вершенствованию системы управления и организации боевых действий авиа</w:t>
      </w:r>
      <w:r w:rsidRPr="00D03F3E">
        <w:rPr>
          <w:rFonts w:ascii="Times New Roman" w:hAnsi="Times New Roman"/>
          <w:color w:val="000000" w:themeColor="text1"/>
          <w:sz w:val="16"/>
          <w:szCs w:val="16"/>
        </w:rPr>
        <w:softHyphen/>
        <w:t>ции в целом и взаимодействия истре</w:t>
      </w:r>
      <w:r w:rsidRPr="00D03F3E">
        <w:rPr>
          <w:rFonts w:ascii="Times New Roman" w:hAnsi="Times New Roman"/>
          <w:color w:val="000000" w:themeColor="text1"/>
          <w:sz w:val="16"/>
          <w:szCs w:val="16"/>
        </w:rPr>
        <w:softHyphen/>
        <w:t>бителей и штурмовиков в частности не были выделены в особо важные зада</w:t>
      </w:r>
      <w:r w:rsidRPr="00D03F3E">
        <w:rPr>
          <w:rFonts w:ascii="Times New Roman" w:hAnsi="Times New Roman"/>
          <w:color w:val="000000" w:themeColor="text1"/>
          <w:sz w:val="16"/>
          <w:szCs w:val="16"/>
        </w:rPr>
        <w:softHyphen/>
        <w:t>чи учебно-боевой подготовки частей и соединений, вследствие чего проходи</w:t>
      </w:r>
      <w:r w:rsidRPr="00D03F3E">
        <w:rPr>
          <w:rFonts w:ascii="Times New Roman" w:hAnsi="Times New Roman"/>
          <w:color w:val="000000" w:themeColor="text1"/>
          <w:sz w:val="16"/>
          <w:szCs w:val="16"/>
        </w:rPr>
        <w:softHyphen/>
        <w:t>ли в мае-июне в "штатном" режиме, то есть как обычно — ни шатко, ни валко. В результате в основном имен</w:t>
      </w:r>
      <w:r w:rsidRPr="00D03F3E">
        <w:rPr>
          <w:rFonts w:ascii="Times New Roman" w:hAnsi="Times New Roman"/>
          <w:color w:val="000000" w:themeColor="text1"/>
          <w:sz w:val="16"/>
          <w:szCs w:val="16"/>
        </w:rPr>
        <w:softHyphen/>
        <w:t>но по этим причинам воздушные ар</w:t>
      </w:r>
      <w:r w:rsidRPr="00D03F3E">
        <w:rPr>
          <w:rFonts w:ascii="Times New Roman" w:hAnsi="Times New Roman"/>
          <w:color w:val="000000" w:themeColor="text1"/>
          <w:sz w:val="16"/>
          <w:szCs w:val="16"/>
        </w:rPr>
        <w:softHyphen/>
        <w:t>мии курского направления в июле-ав</w:t>
      </w:r>
      <w:r w:rsidRPr="00D03F3E">
        <w:rPr>
          <w:rFonts w:ascii="Times New Roman" w:hAnsi="Times New Roman"/>
          <w:color w:val="000000" w:themeColor="text1"/>
          <w:sz w:val="16"/>
          <w:szCs w:val="16"/>
        </w:rPr>
        <w:softHyphen/>
        <w:t>густе понесут значительные потери в летном составе и материальной части.</w:t>
      </w:r>
    </w:p>
    <w:p w14:paraId="211C936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Всесторонняя оценка действий на</w:t>
      </w:r>
      <w:r w:rsidRPr="00D03F3E">
        <w:rPr>
          <w:rFonts w:ascii="Times New Roman" w:hAnsi="Times New Roman"/>
          <w:color w:val="000000" w:themeColor="text1"/>
          <w:sz w:val="16"/>
          <w:szCs w:val="16"/>
        </w:rPr>
        <w:softHyphen/>
        <w:t>шей авиации и штабов была дана лишь в июле месяце, а решительные шаги по улучшению ситуации последовали уже после Курской битвы (11127).</w:t>
      </w:r>
    </w:p>
    <w:p w14:paraId="604EE50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C9AF37" w14:textId="77777777" w:rsidR="002840C8" w:rsidRPr="00D03F3E" w:rsidRDefault="002840C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июне 1943 г. авиация противника произве</w:t>
      </w:r>
      <w:r w:rsidRPr="00D03F3E">
        <w:rPr>
          <w:rFonts w:ascii="Times New Roman" w:hAnsi="Times New Roman"/>
          <w:color w:val="0070C0"/>
          <w:sz w:val="16"/>
          <w:szCs w:val="16"/>
        </w:rPr>
        <w:softHyphen/>
        <w:t>ла девять ночных налётов на Саратов, в которых участвовало более 400 самолётов, но вследствие противодействия средств ПВО только немногие из них сумели прорваться к городу (20120).</w:t>
      </w:r>
    </w:p>
    <w:p w14:paraId="5B53935E" w14:textId="77777777" w:rsidR="002840C8" w:rsidRPr="00D03F3E" w:rsidRDefault="002840C8" w:rsidP="00D03F3E">
      <w:pPr>
        <w:spacing w:after="0" w:line="240" w:lineRule="auto"/>
        <w:jc w:val="both"/>
        <w:rPr>
          <w:rFonts w:ascii="Times New Roman" w:hAnsi="Times New Roman"/>
          <w:color w:val="0070C0"/>
          <w:sz w:val="16"/>
          <w:szCs w:val="16"/>
        </w:rPr>
      </w:pPr>
    </w:p>
    <w:p w14:paraId="30495471" w14:textId="77777777" w:rsidR="002840C8" w:rsidRPr="00D03F3E" w:rsidRDefault="002840C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июне 1943 г. бомбардировка Саратовского авиазавода существенно сказалась на его работе. Если в 1942 г. предприятие сдало 3 724 самолета Як-1, то в 1943-м — только 2 720. На 1944 г. перед директором предприятия Левиным была поставлена задача дать 2 850 самолетов Як-1б и Як-3, и он ее почти выполнил — было сделано 2 810 самолетов (в том числе 1 682 типа Як-3), что составляло 98,5 % от плана. Директор завода № 31 отработал ровно на 100 %, изготовив в 1944 г. 727 самолетов, из них новых Як-3 было 498 (22751).</w:t>
      </w:r>
    </w:p>
    <w:p w14:paraId="08393DFC" w14:textId="77777777" w:rsidR="002840C8" w:rsidRPr="00D03F3E" w:rsidRDefault="002840C8" w:rsidP="00D03F3E">
      <w:pPr>
        <w:spacing w:after="0" w:line="240" w:lineRule="auto"/>
        <w:jc w:val="both"/>
        <w:rPr>
          <w:rFonts w:ascii="Times New Roman" w:hAnsi="Times New Roman"/>
          <w:color w:val="0070C0"/>
          <w:sz w:val="16"/>
          <w:szCs w:val="16"/>
        </w:rPr>
      </w:pPr>
    </w:p>
    <w:p w14:paraId="4DB60461" w14:textId="77777777" w:rsidR="00666F51" w:rsidRPr="00D03F3E" w:rsidRDefault="00666F5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июне 1943 г. старший лейтенант Виктор Коробов, имевший на своем счету 16 побед, и его ведомый сержант Лев По</w:t>
      </w:r>
      <w:r w:rsidRPr="00D03F3E">
        <w:rPr>
          <w:rFonts w:ascii="Times New Roman" w:cs="Times New Roman"/>
          <w:color w:val="000000" w:themeColor="text1"/>
          <w:spacing w:val="0"/>
        </w:rPr>
        <w:softHyphen/>
        <w:t>номарев на высоте 8000 м атаковали Ю-88 и поочередно сделали попытки таранить его. Однако их каждый раз отбрасывало сильной спутной струей бомбардиров</w:t>
      </w:r>
      <w:r w:rsidRPr="00D03F3E">
        <w:rPr>
          <w:rFonts w:ascii="Times New Roman" w:cs="Times New Roman"/>
          <w:color w:val="000000" w:themeColor="text1"/>
          <w:spacing w:val="0"/>
        </w:rPr>
        <w:softHyphen/>
        <w:t>щика. Штаб сделал вывод:</w:t>
      </w:r>
      <w:r w:rsidRPr="00D03F3E">
        <w:rPr>
          <w:rStyle w:val="aff6"/>
          <w:rFonts w:ascii="Times New Roman" w:hAnsi="Times New Roman" w:cs="Times New Roman"/>
          <w:i w:val="0"/>
          <w:color w:val="000000" w:themeColor="text1"/>
          <w:spacing w:val="0"/>
        </w:rPr>
        <w:t xml:space="preserve"> «Попытка та</w:t>
      </w:r>
      <w:r w:rsidRPr="00D03F3E">
        <w:rPr>
          <w:rStyle w:val="aff6"/>
          <w:rFonts w:ascii="Times New Roman" w:hAnsi="Times New Roman" w:cs="Times New Roman"/>
          <w:i w:val="0"/>
          <w:color w:val="000000" w:themeColor="text1"/>
          <w:spacing w:val="0"/>
        </w:rPr>
        <w:softHyphen/>
        <w:t>рана Коробова и Пономарева с наличием боекомплекта у истребителей вызвана тем, что противник начал снижаться пи</w:t>
      </w:r>
      <w:r w:rsidRPr="00D03F3E">
        <w:rPr>
          <w:rStyle w:val="aff6"/>
          <w:rFonts w:ascii="Times New Roman" w:hAnsi="Times New Roman" w:cs="Times New Roman"/>
          <w:i w:val="0"/>
          <w:color w:val="000000" w:themeColor="text1"/>
          <w:spacing w:val="0"/>
        </w:rPr>
        <w:softHyphen/>
        <w:t xml:space="preserve">кированием и мог уйти от истребителей. Таран не увенчался успехом, истребители рано входили в плоскость полета Ю-88». </w:t>
      </w:r>
      <w:r w:rsidRPr="00D03F3E">
        <w:rPr>
          <w:rFonts w:ascii="Times New Roman" w:cs="Times New Roman"/>
          <w:color w:val="000000" w:themeColor="text1"/>
          <w:spacing w:val="0"/>
        </w:rPr>
        <w:t>Подбитый «юнкере» с горящими моторами скрылся, Коробов с заклинившим двигате</w:t>
      </w:r>
      <w:r w:rsidRPr="00D03F3E">
        <w:rPr>
          <w:rFonts w:ascii="Times New Roman" w:cs="Times New Roman"/>
          <w:color w:val="000000" w:themeColor="text1"/>
          <w:spacing w:val="0"/>
        </w:rPr>
        <w:softHyphen/>
        <w:t>лем вышел из боя, а Пономарев совершил вынужденную посадку на самолете, подо</w:t>
      </w:r>
      <w:r w:rsidRPr="00D03F3E">
        <w:rPr>
          <w:rFonts w:ascii="Times New Roman" w:cs="Times New Roman"/>
          <w:color w:val="000000" w:themeColor="text1"/>
          <w:spacing w:val="0"/>
        </w:rPr>
        <w:softHyphen/>
        <w:t>жженном стрелками противника (12738).</w:t>
      </w:r>
    </w:p>
    <w:p w14:paraId="5AD2E337" w14:textId="77777777" w:rsidR="00666F51" w:rsidRPr="00D03F3E" w:rsidRDefault="00666F51" w:rsidP="00D03F3E">
      <w:pPr>
        <w:pStyle w:val="27"/>
        <w:shd w:val="clear" w:color="auto" w:fill="auto"/>
        <w:spacing w:after="0" w:line="240" w:lineRule="auto"/>
        <w:ind w:firstLine="0"/>
        <w:rPr>
          <w:rFonts w:ascii="Times New Roman" w:cs="Times New Roman"/>
          <w:color w:val="000000" w:themeColor="text1"/>
          <w:spacing w:val="0"/>
        </w:rPr>
      </w:pPr>
    </w:p>
    <w:p w14:paraId="676396F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транспортную эскадрилью на С-47, обслуживающую АЛСИБ, развернули в 8-й транспортный полк под командованием В.А.Пущинского. Его С-47 перевозили людей и грузы (самые разные - от секретной почты и дорогих приборов до губной номады), лидировали группы самолетов, не имевших столь богатого навигационного оснащения, осуществляли спасательные операции. Этот же полк обеспечивал перегонку по трассе других С-47. У начальника трассы, знаменитого полярного летчика П.П. Мазурука, был свой персональный "Дуглас" с позывными "Лидер-100", украшенный изображением белого медведя. Затем новые самолеты начали принимать части ВВС. Один из первых С-47 попал в полк инспекции ВВС - любимое детище Василия Сталина. П бомбардировочные, п истребительные полки получали обычно по одному транспортнику для различных перевозок. Однако очень много С-47 поступило и в чисто транспортные подразделения. На это были свои причины. Ли-2 в том виде, в котором он выпускался в войну Ташкентским авиазаводом, был самолетом двойного назначения - транспортным и, одновременно, дальним ночным бомбардировщиком, а С-47 являлся чисто транспортной машиной. Поэтому самолетами Ли-2 вооружали преимущественно дальнебомбардировочные части, а С-47 - транспортные. Хотя по несколько С-47 обычно передавали и в полки, укомплектованные Ли 2. Так, три С-47 имел 102-й бомбардировочный полк. Они использовались для выполнения специальных заданий, для хозяйственных нужд н как "техпомощь" при вынужденных посадках самолетов полка (3457,135).</w:t>
      </w:r>
    </w:p>
    <w:p w14:paraId="72A431D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19CFD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года одну машину ПС-43, которую имел 8-й транспортный полк, действовавший на Кавказе, подстерег немецкий истребитель при посадке в Сочи и сбил (3457,44).</w:t>
      </w:r>
    </w:p>
    <w:p w14:paraId="19473BF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D3D91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года В-25 разбомбили немецкий аэродром в Сеще. Когда паши войска освободили этот район, все поле было завалено обломками самолетов (3457,93).</w:t>
      </w:r>
    </w:p>
    <w:p w14:paraId="463CB60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1F0BF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по инициативе французской военной миссии весь технический со</w:t>
      </w:r>
      <w:r w:rsidRPr="00D03F3E">
        <w:rPr>
          <w:rFonts w:ascii="Times New Roman" w:hAnsi="Times New Roman"/>
          <w:color w:val="000000" w:themeColor="text1"/>
          <w:sz w:val="16"/>
          <w:szCs w:val="16"/>
        </w:rPr>
        <w:softHyphen/>
        <w:t>став эскадрильи заменили советскими авиационными специалистами, лучше освоившими технику. В том же месяце прибыла новая группа из восьми фран</w:t>
      </w:r>
      <w:r w:rsidRPr="00D03F3E">
        <w:rPr>
          <w:rFonts w:ascii="Times New Roman" w:hAnsi="Times New Roman"/>
          <w:color w:val="000000" w:themeColor="text1"/>
          <w:sz w:val="16"/>
          <w:szCs w:val="16"/>
        </w:rPr>
        <w:softHyphen/>
        <w:t>цузских летчиков под командованием майора Пуйяда. А спустя несколько не</w:t>
      </w:r>
      <w:r w:rsidRPr="00D03F3E">
        <w:rPr>
          <w:rFonts w:ascii="Times New Roman" w:hAnsi="Times New Roman"/>
          <w:color w:val="000000" w:themeColor="text1"/>
          <w:sz w:val="16"/>
          <w:szCs w:val="16"/>
        </w:rPr>
        <w:softHyphen/>
        <w:t>дель началось сражение на Курской ду</w:t>
      </w:r>
      <w:r w:rsidRPr="00D03F3E">
        <w:rPr>
          <w:rFonts w:ascii="Times New Roman" w:hAnsi="Times New Roman"/>
          <w:color w:val="000000" w:themeColor="text1"/>
          <w:sz w:val="16"/>
          <w:szCs w:val="16"/>
        </w:rPr>
        <w:softHyphen/>
        <w:t>ге, которое стало суровым испытанием для всех частей и соединений, приняв</w:t>
      </w:r>
      <w:r w:rsidRPr="00D03F3E">
        <w:rPr>
          <w:rFonts w:ascii="Times New Roman" w:hAnsi="Times New Roman"/>
          <w:color w:val="000000" w:themeColor="text1"/>
          <w:sz w:val="16"/>
          <w:szCs w:val="16"/>
        </w:rPr>
        <w:softHyphen/>
        <w:t>ших в нем участие. Здесь немцы поста</w:t>
      </w:r>
      <w:r w:rsidRPr="00D03F3E">
        <w:rPr>
          <w:rFonts w:ascii="Times New Roman" w:hAnsi="Times New Roman"/>
          <w:color w:val="000000" w:themeColor="text1"/>
          <w:sz w:val="16"/>
          <w:szCs w:val="16"/>
        </w:rPr>
        <w:softHyphen/>
        <w:t>вили на карту все, что имели, а Люфтваффе бросили в бой лучшие эскад</w:t>
      </w:r>
      <w:r w:rsidRPr="00D03F3E">
        <w:rPr>
          <w:rFonts w:ascii="Times New Roman" w:hAnsi="Times New Roman"/>
          <w:color w:val="000000" w:themeColor="text1"/>
          <w:sz w:val="16"/>
          <w:szCs w:val="16"/>
        </w:rPr>
        <w:softHyphen/>
        <w:t>ры (3956).</w:t>
      </w:r>
    </w:p>
    <w:p w14:paraId="1C1C01F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079DDD" w14:textId="77777777" w:rsidR="002840C8" w:rsidRPr="00D03F3E" w:rsidRDefault="002840C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июне 1943 г. на базе 1-го, 4-го и 6-го отрядов 2-го ОВДААН сформировали 6-й ОВДААН (командир — майор М.Г. Комаров). Распоряжением командующего артиллерией Северо-Западного фронта дивизион передали в оперативное подчинение командующего ар</w:t>
      </w:r>
      <w:r w:rsidRPr="00D03F3E">
        <w:rPr>
          <w:rFonts w:ascii="Times New Roman" w:hAnsi="Times New Roman"/>
          <w:color w:val="0070C0"/>
          <w:sz w:val="16"/>
          <w:szCs w:val="16"/>
        </w:rPr>
        <w:softHyphen/>
        <w:t>тиллерией 34-й армии, которая вела бои за го</w:t>
      </w:r>
      <w:r w:rsidRPr="00D03F3E">
        <w:rPr>
          <w:rFonts w:ascii="Times New Roman" w:hAnsi="Times New Roman"/>
          <w:color w:val="0070C0"/>
          <w:sz w:val="16"/>
          <w:szCs w:val="16"/>
        </w:rPr>
        <w:softHyphen/>
        <w:t>рода Старая Русса, Соколово, Нагаткино и др. Воздухоплавательный отряд под командова</w:t>
      </w:r>
      <w:r w:rsidRPr="00D03F3E">
        <w:rPr>
          <w:rFonts w:ascii="Times New Roman" w:hAnsi="Times New Roman"/>
          <w:color w:val="0070C0"/>
          <w:sz w:val="16"/>
          <w:szCs w:val="16"/>
        </w:rPr>
        <w:softHyphen/>
        <w:t>нием капитана Л. Грузина взаимодействовал с 76-й ПАБр. За месяц боевой работы наблюдате</w:t>
      </w:r>
      <w:r w:rsidRPr="00D03F3E">
        <w:rPr>
          <w:rFonts w:ascii="Times New Roman" w:hAnsi="Times New Roman"/>
          <w:color w:val="0070C0"/>
          <w:sz w:val="16"/>
          <w:szCs w:val="16"/>
        </w:rPr>
        <w:softHyphen/>
        <w:t>ли отряда обнаружили более 30 артиллерийских батарей, около 150 автомашин противника, три скопления пехоты, колонну танков и множество других целей. Воздухоплаватели выходили с че</w:t>
      </w:r>
      <w:r w:rsidRPr="00D03F3E">
        <w:rPr>
          <w:rFonts w:ascii="Times New Roman" w:hAnsi="Times New Roman"/>
          <w:color w:val="0070C0"/>
          <w:sz w:val="16"/>
          <w:szCs w:val="16"/>
        </w:rPr>
        <w:softHyphen/>
        <w:t>стью из трудных ситуаций. Один такой случай описал К.Г. Карнович: «Однажды, когда в воз</w:t>
      </w:r>
      <w:r w:rsidRPr="00D03F3E">
        <w:rPr>
          <w:rFonts w:ascii="Times New Roman" w:hAnsi="Times New Roman"/>
          <w:color w:val="0070C0"/>
          <w:sz w:val="16"/>
          <w:szCs w:val="16"/>
        </w:rPr>
        <w:softHyphen/>
        <w:t>духе были воздухоплаватель и командир артил</w:t>
      </w:r>
      <w:r w:rsidRPr="00D03F3E">
        <w:rPr>
          <w:rFonts w:ascii="Times New Roman" w:hAnsi="Times New Roman"/>
          <w:color w:val="0070C0"/>
          <w:sz w:val="16"/>
          <w:szCs w:val="16"/>
        </w:rPr>
        <w:softHyphen/>
        <w:t>лерийской батареи &lt;...&gt;, при атаке немецкого самолёта аэростат загорелся, а артиллериста ранило в ноги. Воздухоплаватель с огромным усилием выбросил артиллериста из гондолы, од</w:t>
      </w:r>
      <w:r w:rsidRPr="00D03F3E">
        <w:rPr>
          <w:rFonts w:ascii="Times New Roman" w:hAnsi="Times New Roman"/>
          <w:color w:val="0070C0"/>
          <w:sz w:val="16"/>
          <w:szCs w:val="16"/>
        </w:rPr>
        <w:softHyphen/>
        <w:t>новременно выдёргивая кольцо его парашюта, и только после этого прыгнул сам — с затяж</w:t>
      </w:r>
      <w:r w:rsidRPr="00D03F3E">
        <w:rPr>
          <w:rFonts w:ascii="Times New Roman" w:hAnsi="Times New Roman"/>
          <w:color w:val="0070C0"/>
          <w:sz w:val="16"/>
          <w:szCs w:val="16"/>
        </w:rPr>
        <w:softHyphen/>
        <w:t>кой раскрытия. Но падающий аэростат, к несча</w:t>
      </w:r>
      <w:r w:rsidRPr="00D03F3E">
        <w:rPr>
          <w:rFonts w:ascii="Times New Roman" w:hAnsi="Times New Roman"/>
          <w:color w:val="0070C0"/>
          <w:sz w:val="16"/>
          <w:szCs w:val="16"/>
        </w:rPr>
        <w:softHyphen/>
        <w:t>стью, поджёг парашют артиллериста, и комбат погиб»27. ААН страдали и от «дружественного огня». На 1-м Белорусском фронте старшего лей</w:t>
      </w:r>
      <w:r w:rsidRPr="00D03F3E">
        <w:rPr>
          <w:rFonts w:ascii="Times New Roman" w:hAnsi="Times New Roman"/>
          <w:color w:val="0070C0"/>
          <w:sz w:val="16"/>
          <w:szCs w:val="16"/>
        </w:rPr>
        <w:softHyphen/>
        <w:t>тенанта Николая Лабутина обстрелял советский истребитель, хотя на аэростате была ясно вид</w:t>
      </w:r>
      <w:r w:rsidRPr="00D03F3E">
        <w:rPr>
          <w:rFonts w:ascii="Times New Roman" w:hAnsi="Times New Roman"/>
          <w:color w:val="0070C0"/>
          <w:sz w:val="16"/>
          <w:szCs w:val="16"/>
        </w:rPr>
        <w:softHyphen/>
        <w:t>на красная звезда. В ходе Бобруйской операции в перерыве между боями наши лётчики сожгли на биваке аэростат 6-го ОВДААН, обстреляв воз</w:t>
      </w:r>
      <w:r w:rsidRPr="00D03F3E">
        <w:rPr>
          <w:rFonts w:ascii="Times New Roman" w:hAnsi="Times New Roman"/>
          <w:color w:val="0070C0"/>
          <w:sz w:val="16"/>
          <w:szCs w:val="16"/>
        </w:rPr>
        <w:softHyphen/>
        <w:t>духоплавателей из пулемётов.</w:t>
      </w:r>
    </w:p>
    <w:p w14:paraId="7140010C" w14:textId="77777777" w:rsidR="002840C8" w:rsidRPr="00D03F3E" w:rsidRDefault="002840C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С декабря 1943 г. до осени 1944 г. отряды диви</w:t>
      </w:r>
      <w:r w:rsidRPr="00D03F3E">
        <w:rPr>
          <w:rFonts w:ascii="Times New Roman" w:hAnsi="Times New Roman"/>
          <w:color w:val="0070C0"/>
          <w:sz w:val="16"/>
          <w:szCs w:val="16"/>
        </w:rPr>
        <w:softHyphen/>
        <w:t>зиона взаимодействовали с артиллерийскими ча</w:t>
      </w:r>
      <w:r w:rsidRPr="00D03F3E">
        <w:rPr>
          <w:rFonts w:ascii="Times New Roman" w:hAnsi="Times New Roman"/>
          <w:color w:val="0070C0"/>
          <w:sz w:val="16"/>
          <w:szCs w:val="16"/>
        </w:rPr>
        <w:softHyphen/>
        <w:t>стями 2-го Прибалтийского и 1-го Белорусского фронтов, участвовали в освобождении Калини</w:t>
      </w:r>
      <w:r w:rsidRPr="00D03F3E">
        <w:rPr>
          <w:rFonts w:ascii="Times New Roman" w:hAnsi="Times New Roman"/>
          <w:color w:val="0070C0"/>
          <w:sz w:val="16"/>
          <w:szCs w:val="16"/>
        </w:rPr>
        <w:softHyphen/>
        <w:t>на, Вышнего Волочка, Старой Руссы, Новоржева, Ржева, Пушкинских гор, Невеля, Брянска, Боб</w:t>
      </w:r>
      <w:r w:rsidRPr="00D03F3E">
        <w:rPr>
          <w:rFonts w:ascii="Times New Roman" w:hAnsi="Times New Roman"/>
          <w:color w:val="0070C0"/>
          <w:sz w:val="16"/>
          <w:szCs w:val="16"/>
        </w:rPr>
        <w:softHyphen/>
        <w:t>руйска, Овруча, Ковеля и других городов. Во вто</w:t>
      </w:r>
      <w:r w:rsidRPr="00D03F3E">
        <w:rPr>
          <w:rFonts w:ascii="Times New Roman" w:hAnsi="Times New Roman"/>
          <w:color w:val="0070C0"/>
          <w:sz w:val="16"/>
          <w:szCs w:val="16"/>
        </w:rPr>
        <w:softHyphen/>
        <w:t>рой половине 1944 г. 3-й отряд 6-го ВДААН вхо</w:t>
      </w:r>
      <w:r w:rsidRPr="00D03F3E">
        <w:rPr>
          <w:rFonts w:ascii="Times New Roman" w:hAnsi="Times New Roman"/>
          <w:color w:val="0070C0"/>
          <w:sz w:val="16"/>
          <w:szCs w:val="16"/>
        </w:rPr>
        <w:softHyphen/>
        <w:t>дил в группу артиллерии дальнего действия, ко</w:t>
      </w:r>
      <w:r w:rsidRPr="00D03F3E">
        <w:rPr>
          <w:rFonts w:ascii="Times New Roman" w:hAnsi="Times New Roman"/>
          <w:color w:val="0070C0"/>
          <w:sz w:val="16"/>
          <w:szCs w:val="16"/>
        </w:rPr>
        <w:softHyphen/>
        <w:t>торая вместе с передовыми частями преследовала отходящего противника. Особенно эффективной была работа отряда при форсировании Вислы.</w:t>
      </w:r>
    </w:p>
    <w:p w14:paraId="3F751A6D" w14:textId="77777777" w:rsidR="002840C8" w:rsidRPr="00D03F3E" w:rsidRDefault="002840C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Во время боёв на вислянском плацдарме аэро</w:t>
      </w:r>
      <w:r w:rsidRPr="00D03F3E">
        <w:rPr>
          <w:rFonts w:ascii="Times New Roman" w:hAnsi="Times New Roman"/>
          <w:color w:val="0070C0"/>
          <w:sz w:val="16"/>
          <w:szCs w:val="16"/>
        </w:rPr>
        <w:softHyphen/>
        <w:t>стат М.А. Горбуновой попал под обстрел и был подожжён. Она выбросилась с парашютом, но ветер отнес её к Висле. Сохранив присутствие духа, Марианна успела отстегнуть подвесную си</w:t>
      </w:r>
      <w:r w:rsidRPr="00D03F3E">
        <w:rPr>
          <w:rFonts w:ascii="Times New Roman" w:hAnsi="Times New Roman"/>
          <w:color w:val="0070C0"/>
          <w:sz w:val="16"/>
          <w:szCs w:val="16"/>
        </w:rPr>
        <w:softHyphen/>
        <w:t>стему, освободиться от неё в воде и вынырнуть.</w:t>
      </w:r>
    </w:p>
    <w:p w14:paraId="0A83A530" w14:textId="77777777" w:rsidR="002840C8" w:rsidRPr="00D03F3E" w:rsidRDefault="002840C8"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lastRenderedPageBreak/>
        <w:t>С 1 января по 9 мая 1945 г. 6-й ОВДААН про</w:t>
      </w:r>
      <w:r w:rsidRPr="00D03F3E">
        <w:rPr>
          <w:rFonts w:ascii="Times New Roman" w:hAnsi="Times New Roman"/>
          <w:color w:val="0070C0"/>
          <w:sz w:val="16"/>
          <w:szCs w:val="16"/>
        </w:rPr>
        <w:softHyphen/>
        <w:t>шёл более 700 км фронтовых дорог, участвовал в боях за Варшаву, Радом, Лодзь, Познань, Шве- рин, Ландсберг, Кюстрин, Зеелов, Мюнхенберг, Берлин. За это время воздухоплаватели совер</w:t>
      </w:r>
      <w:r w:rsidRPr="00D03F3E">
        <w:rPr>
          <w:rFonts w:ascii="Times New Roman" w:hAnsi="Times New Roman"/>
          <w:color w:val="0070C0"/>
          <w:sz w:val="16"/>
          <w:szCs w:val="16"/>
        </w:rPr>
        <w:softHyphen/>
        <w:t>шили много боевых подъёмов общей продолжи</w:t>
      </w:r>
      <w:r w:rsidRPr="00D03F3E">
        <w:rPr>
          <w:rFonts w:ascii="Times New Roman" w:hAnsi="Times New Roman"/>
          <w:color w:val="0070C0"/>
          <w:sz w:val="16"/>
          <w:szCs w:val="16"/>
        </w:rPr>
        <w:softHyphen/>
        <w:t>тельностью 153 ч 21 мин и обнаружили более 130 артиллерийских батарей и отдельных орудий, три зенитные и семь миномётных батарей, 15 ав</w:t>
      </w:r>
      <w:r w:rsidRPr="00D03F3E">
        <w:rPr>
          <w:rFonts w:ascii="Times New Roman" w:hAnsi="Times New Roman"/>
          <w:color w:val="0070C0"/>
          <w:sz w:val="16"/>
          <w:szCs w:val="16"/>
        </w:rPr>
        <w:softHyphen/>
        <w:t>токолонн, семь скоплений пехоты и железнодо</w:t>
      </w:r>
      <w:r w:rsidRPr="00D03F3E">
        <w:rPr>
          <w:rFonts w:ascii="Times New Roman" w:hAnsi="Times New Roman"/>
          <w:color w:val="0070C0"/>
          <w:sz w:val="16"/>
          <w:szCs w:val="16"/>
        </w:rPr>
        <w:softHyphen/>
        <w:t>рожный эшелон.</w:t>
      </w:r>
    </w:p>
    <w:p w14:paraId="7764D0E4" w14:textId="77777777" w:rsidR="002840C8" w:rsidRPr="00D03F3E" w:rsidRDefault="002840C8" w:rsidP="00D03F3E">
      <w:pPr>
        <w:spacing w:after="0" w:line="240" w:lineRule="auto"/>
        <w:jc w:val="both"/>
        <w:rPr>
          <w:rFonts w:ascii="Times New Roman" w:hAnsi="Times New Roman"/>
          <w:color w:val="0070C0"/>
          <w:sz w:val="16"/>
          <w:szCs w:val="16"/>
        </w:rPr>
      </w:pPr>
    </w:p>
    <w:p w14:paraId="79852445"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03CD515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B6748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в воздух поднялся третий прототип ХВ-29 N 41-18335 (1051,18).</w:t>
      </w:r>
    </w:p>
    <w:p w14:paraId="50A278C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FF3FAF" w14:textId="77777777" w:rsidR="00DA09C1" w:rsidRPr="00D03F3E" w:rsidRDefault="00DA09C1" w:rsidP="00D03F3E">
      <w:pPr>
        <w:pStyle w:val="95"/>
        <w:shd w:val="clear" w:color="auto" w:fill="auto"/>
        <w:spacing w:after="0" w:line="240" w:lineRule="auto"/>
        <w:ind w:firstLine="0"/>
        <w:jc w:val="both"/>
        <w:rPr>
          <w:color w:val="000000" w:themeColor="text1"/>
          <w:sz w:val="16"/>
          <w:szCs w:val="16"/>
        </w:rPr>
      </w:pPr>
      <w:r w:rsidRPr="00D03F3E">
        <w:rPr>
          <w:color w:val="000000" w:themeColor="text1"/>
          <w:sz w:val="16"/>
          <w:szCs w:val="16"/>
        </w:rPr>
        <w:t>В июне 1943 года собрали третью маши</w:t>
      </w:r>
      <w:r w:rsidRPr="00D03F3E">
        <w:rPr>
          <w:color w:val="000000" w:themeColor="text1"/>
          <w:sz w:val="16"/>
          <w:szCs w:val="16"/>
        </w:rPr>
        <w:softHyphen/>
        <w:t>ну, но уже из предсерийной партии УВ-29, которую после непродолжительных завод</w:t>
      </w:r>
      <w:r w:rsidRPr="00D03F3E">
        <w:rPr>
          <w:color w:val="000000" w:themeColor="text1"/>
          <w:sz w:val="16"/>
          <w:szCs w:val="16"/>
        </w:rPr>
        <w:softHyphen/>
        <w:t>ских испытаний передали военным. Но иона, несмотря на усовершенствованную си</w:t>
      </w:r>
      <w:r w:rsidRPr="00D03F3E">
        <w:rPr>
          <w:color w:val="000000" w:themeColor="text1"/>
          <w:sz w:val="16"/>
          <w:szCs w:val="16"/>
        </w:rPr>
        <w:softHyphen/>
        <w:t>ловую установку, вскоре потерпела аварию (12292).</w:t>
      </w:r>
    </w:p>
    <w:p w14:paraId="723ADF8F" w14:textId="77777777" w:rsidR="00DA09C1" w:rsidRPr="00D03F3E" w:rsidRDefault="00DA09C1" w:rsidP="00D03F3E">
      <w:pPr>
        <w:spacing w:after="0" w:line="240" w:lineRule="auto"/>
        <w:jc w:val="both"/>
        <w:rPr>
          <w:rFonts w:ascii="Times New Roman" w:hAnsi="Times New Roman"/>
          <w:color w:val="000000" w:themeColor="text1"/>
          <w:sz w:val="16"/>
          <w:szCs w:val="16"/>
        </w:rPr>
      </w:pPr>
    </w:p>
    <w:p w14:paraId="579F599F" w14:textId="77777777" w:rsidR="00F74D37" w:rsidRPr="00D03F3E" w:rsidRDefault="00F74D3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июня 1943 г. Харрикейны "четверки" применили в Европе, с июля - в Тунисе. В Европе в основном охотились за паровозами, в Африке - за бронетехникой. Чаще летали с ракетами, реже - с пушками. Попытки брать под одно крыло ракеты, а под другое пушку провалилась - ассиметрия отдачи не давала попасть в цель, а ракеты от рывка срывались с направляющих. А вот вариант "бак плюс четыре ракеты" применялся часто. Всего "Харрикейн" IV применяли 11 эскадрилий. В конце войны на "четверке" испытывали тяжелые ракеты "Лонг Том" с боеголовкой в 227 кг, "Харрикейн" нес по одной ракете под каждым крылом. В бою их не применили. Последние "Харрикейны" IV выпустили в июле 1944 г. К концу производства на каждые три IIС собирали один самолет типа IV. Всего изготовили 524 машины этой модификации. Последним штурмовиком стала модификация V. Она являлась модернизацией "четверки" с мотором "Мерлин" 32 и четырехлопастным винтом. У земли этот двигатель давал 1700 л.с. вместо 1620 л.с. у "Мерлина" 27, но из-за большой теплонапряженности был склонен в перегреву. В итоге, два опытных самолета переделали в стандартные "Харрикейны" IV. На "пятерках" эволюция "Харрикейна" закончилась (15129).</w:t>
      </w:r>
    </w:p>
    <w:p w14:paraId="173E1F87" w14:textId="77777777" w:rsidR="00F74D37" w:rsidRPr="00D03F3E" w:rsidRDefault="00F74D37" w:rsidP="00D03F3E">
      <w:pPr>
        <w:spacing w:after="0" w:line="240" w:lineRule="auto"/>
        <w:jc w:val="both"/>
        <w:rPr>
          <w:rFonts w:ascii="Times New Roman" w:hAnsi="Times New Roman"/>
          <w:color w:val="000000" w:themeColor="text1"/>
          <w:sz w:val="16"/>
          <w:szCs w:val="16"/>
        </w:rPr>
      </w:pPr>
    </w:p>
    <w:p w14:paraId="454C2DB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1943 года состоялись пока</w:t>
      </w:r>
      <w:r w:rsidRPr="00D03F3E">
        <w:rPr>
          <w:rFonts w:ascii="Times New Roman" w:hAnsi="Times New Roman"/>
          <w:color w:val="000000" w:themeColor="text1"/>
          <w:sz w:val="16"/>
          <w:szCs w:val="16"/>
        </w:rPr>
        <w:softHyphen/>
        <w:t>зательные полеты вертолета Ра 223 для высшего руководства Германии и лич</w:t>
      </w:r>
      <w:r w:rsidRPr="00D03F3E">
        <w:rPr>
          <w:rFonts w:ascii="Times New Roman" w:hAnsi="Times New Roman"/>
          <w:color w:val="000000" w:themeColor="text1"/>
          <w:sz w:val="16"/>
          <w:szCs w:val="16"/>
        </w:rPr>
        <w:softHyphen/>
        <w:t>но Адольфа Гитлера. Демонстрирова</w:t>
      </w:r>
      <w:r w:rsidRPr="00D03F3E">
        <w:rPr>
          <w:rFonts w:ascii="Times New Roman" w:hAnsi="Times New Roman"/>
          <w:color w:val="000000" w:themeColor="text1"/>
          <w:sz w:val="16"/>
          <w:szCs w:val="16"/>
        </w:rPr>
        <w:softHyphen/>
        <w:t>лись возможности вертолета по пере</w:t>
      </w:r>
      <w:r w:rsidRPr="00D03F3E">
        <w:rPr>
          <w:rFonts w:ascii="Times New Roman" w:hAnsi="Times New Roman"/>
          <w:color w:val="000000" w:themeColor="text1"/>
          <w:sz w:val="16"/>
          <w:szCs w:val="16"/>
        </w:rPr>
        <w:softHyphen/>
        <w:t>возке различных тяжелых грузов, та</w:t>
      </w:r>
      <w:r w:rsidRPr="00D03F3E">
        <w:rPr>
          <w:rFonts w:ascii="Times New Roman" w:hAnsi="Times New Roman"/>
          <w:color w:val="000000" w:themeColor="text1"/>
          <w:sz w:val="16"/>
          <w:szCs w:val="16"/>
        </w:rPr>
        <w:softHyphen/>
        <w:t>ких, как автомобиль-вездеход, понтоны для наведения моста и др. Ра 223 дос</w:t>
      </w:r>
      <w:r w:rsidRPr="00D03F3E">
        <w:rPr>
          <w:rFonts w:ascii="Times New Roman" w:hAnsi="Times New Roman"/>
          <w:color w:val="000000" w:themeColor="text1"/>
          <w:sz w:val="16"/>
          <w:szCs w:val="16"/>
        </w:rPr>
        <w:softHyphen/>
        <w:t>тавлял грузы на площадку в Альпах, расположенную на высоте 2320 м. Таким образом одновременно демон</w:t>
      </w:r>
      <w:r w:rsidRPr="00D03F3E">
        <w:rPr>
          <w:rFonts w:ascii="Times New Roman" w:hAnsi="Times New Roman"/>
          <w:color w:val="000000" w:themeColor="text1"/>
          <w:sz w:val="16"/>
          <w:szCs w:val="16"/>
        </w:rPr>
        <w:softHyphen/>
        <w:t>стрировалась возможность эксплуата</w:t>
      </w:r>
      <w:r w:rsidRPr="00D03F3E">
        <w:rPr>
          <w:rFonts w:ascii="Times New Roman" w:hAnsi="Times New Roman"/>
          <w:color w:val="000000" w:themeColor="text1"/>
          <w:sz w:val="16"/>
          <w:szCs w:val="16"/>
        </w:rPr>
        <w:softHyphen/>
        <w:t>ции вертолета в высокогорных условиях. После успешного показа досто</w:t>
      </w:r>
      <w:r w:rsidRPr="00D03F3E">
        <w:rPr>
          <w:rFonts w:ascii="Times New Roman" w:hAnsi="Times New Roman"/>
          <w:color w:val="000000" w:themeColor="text1"/>
          <w:sz w:val="16"/>
          <w:szCs w:val="16"/>
        </w:rPr>
        <w:softHyphen/>
        <w:t>инств машины в 1944 году было при</w:t>
      </w:r>
      <w:r w:rsidRPr="00D03F3E">
        <w:rPr>
          <w:rFonts w:ascii="Times New Roman" w:hAnsi="Times New Roman"/>
          <w:color w:val="000000" w:themeColor="text1"/>
          <w:sz w:val="16"/>
          <w:szCs w:val="16"/>
        </w:rPr>
        <w:softHyphen/>
        <w:t>нято решение заказать первую партию из 30 вертолетов Ра 223 в четырех вариантах: транспортном, про</w:t>
      </w:r>
      <w:r w:rsidRPr="00D03F3E">
        <w:rPr>
          <w:rFonts w:ascii="Times New Roman" w:hAnsi="Times New Roman"/>
          <w:color w:val="000000" w:themeColor="text1"/>
          <w:sz w:val="16"/>
          <w:szCs w:val="16"/>
        </w:rPr>
        <w:softHyphen/>
        <w:t>тиволодочном, поисково-спасательном и разведчика-корректировщика. Одна</w:t>
      </w:r>
      <w:r w:rsidRPr="00D03F3E">
        <w:rPr>
          <w:rFonts w:ascii="Times New Roman" w:hAnsi="Times New Roman"/>
          <w:color w:val="000000" w:themeColor="text1"/>
          <w:sz w:val="16"/>
          <w:szCs w:val="16"/>
        </w:rPr>
        <w:softHyphen/>
        <w:t>ко серийное производство так и не было налажено: война закончилась по</w:t>
      </w:r>
      <w:r w:rsidRPr="00D03F3E">
        <w:rPr>
          <w:rFonts w:ascii="Times New Roman" w:hAnsi="Times New Roman"/>
          <w:color w:val="000000" w:themeColor="text1"/>
          <w:sz w:val="16"/>
          <w:szCs w:val="16"/>
        </w:rPr>
        <w:softHyphen/>
        <w:t>ражением гитлеровской Германии. Часть построенных вертолетов Ра 223 досталась Великобритании, США и Франции, где их использовали для под</w:t>
      </w:r>
      <w:r w:rsidRPr="00D03F3E">
        <w:rPr>
          <w:rFonts w:ascii="Times New Roman" w:hAnsi="Times New Roman"/>
          <w:color w:val="000000" w:themeColor="text1"/>
          <w:sz w:val="16"/>
          <w:szCs w:val="16"/>
        </w:rPr>
        <w:softHyphen/>
        <w:t>готовки летчиков. Во Франции Ра 223 был модернизирован и испытывался в 1947-1950 гг. под обозначением 5Е 3000. В летных испытаниях вертолетов Ра 223 в 1940-1945 гг. были достигнуты следующие официальные результаты:</w:t>
      </w:r>
    </w:p>
    <w:p w14:paraId="1681F39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максимальная скорость полета при взлетной массе 3705 кг - 182 км/ч;</w:t>
      </w:r>
    </w:p>
    <w:p w14:paraId="126A86E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максимальная высота полета — 7090 м;</w:t>
      </w:r>
    </w:p>
    <w:p w14:paraId="1BC520D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максимальная взлетная масса при вертикальном взлете с максимальной перевозимой нагрузкой 1284 кг -4414 кг;</w:t>
      </w:r>
    </w:p>
    <w:p w14:paraId="748A577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максимальная высота при выпол</w:t>
      </w:r>
      <w:r w:rsidRPr="00D03F3E">
        <w:rPr>
          <w:rFonts w:ascii="Times New Roman" w:hAnsi="Times New Roman"/>
          <w:color w:val="000000" w:themeColor="text1"/>
          <w:sz w:val="16"/>
          <w:szCs w:val="16"/>
        </w:rPr>
        <w:softHyphen/>
        <w:t>нении вертикальных взлета и посадки -2320 м, максимальная продолжительность полета - 1 ч 42 мин.</w:t>
      </w:r>
    </w:p>
    <w:p w14:paraId="7A4A24E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Успешные летные испытания вер</w:t>
      </w:r>
      <w:r w:rsidRPr="00D03F3E">
        <w:rPr>
          <w:rFonts w:ascii="Times New Roman" w:hAnsi="Times New Roman"/>
          <w:color w:val="000000" w:themeColor="text1"/>
          <w:sz w:val="16"/>
          <w:szCs w:val="16"/>
        </w:rPr>
        <w:softHyphen/>
        <w:t>толетов ФВ 61, а затем Ра 223 и уста</w:t>
      </w:r>
      <w:r w:rsidRPr="00D03F3E">
        <w:rPr>
          <w:rFonts w:ascii="Times New Roman" w:hAnsi="Times New Roman"/>
          <w:color w:val="000000" w:themeColor="text1"/>
          <w:sz w:val="16"/>
          <w:szCs w:val="16"/>
        </w:rPr>
        <w:softHyphen/>
        <w:t>новление на них ряда мировых рекор</w:t>
      </w:r>
      <w:r w:rsidRPr="00D03F3E">
        <w:rPr>
          <w:rFonts w:ascii="Times New Roman" w:hAnsi="Times New Roman"/>
          <w:color w:val="000000" w:themeColor="text1"/>
          <w:sz w:val="16"/>
          <w:szCs w:val="16"/>
        </w:rPr>
        <w:softHyphen/>
        <w:t>дов вызвали большой интерес к двух</w:t>
      </w:r>
      <w:r w:rsidRPr="00D03F3E">
        <w:rPr>
          <w:rFonts w:ascii="Times New Roman" w:hAnsi="Times New Roman"/>
          <w:color w:val="000000" w:themeColor="text1"/>
          <w:sz w:val="16"/>
          <w:szCs w:val="16"/>
        </w:rPr>
        <w:softHyphen/>
        <w:t>винтовой поперечной схеме (11401).</w:t>
      </w:r>
    </w:p>
    <w:p w14:paraId="0976A66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86F592" w14:textId="77777777" w:rsidR="00F73179" w:rsidRPr="00D03F3E" w:rsidRDefault="00F73179"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hAnsi="Times New Roman"/>
          <w:color w:val="0070C0"/>
          <w:sz w:val="16"/>
          <w:szCs w:val="16"/>
        </w:rPr>
        <w:t>В июне 1943 г. начальник штаба ВВС США Арнольд завизировал контракты на двести В-35В и сто В-36А. Первые должна была строить фирма «Мартин», а вторые — образованная в марте 1943 г. корпорация «Консолидейтед — Валти Эйркрафт Инкорпорейтед», сокращено «Конвер». Выпуск В-36 вначале предполагалось вести на базовом заводе фирмы в Сан-Диего, Калифорния. Там располагалось КБ фирмы, имелось все необходимое оснащение и наиболее опытный персонал, но задание передали лишь недавно вошедшему в строй заводу в г. Форт-Уорс в Техасе. Хотя контракты были выданы, но финансировались с перебоями. Лишь в августе 1945 г. ситуация изменилась, работа пошла ритмично, и в начале лета 1946 г. оба самолета были закончены. Правда, построены они были без оборонительного вооружения, радиолокаторов и другого спецоборудования (22979).</w:t>
      </w:r>
    </w:p>
    <w:p w14:paraId="2087AD92" w14:textId="77777777" w:rsidR="00F73179" w:rsidRPr="00D03F3E" w:rsidRDefault="00F73179" w:rsidP="00D03F3E">
      <w:pPr>
        <w:shd w:val="clear" w:color="auto" w:fill="FFFFFF"/>
        <w:spacing w:after="0" w:line="240" w:lineRule="auto"/>
        <w:jc w:val="both"/>
        <w:rPr>
          <w:rFonts w:ascii="Times New Roman" w:eastAsia="Times New Roman" w:hAnsi="Times New Roman"/>
          <w:color w:val="0070C0"/>
          <w:sz w:val="16"/>
          <w:szCs w:val="16"/>
          <w:lang w:eastAsia="ru-RU"/>
        </w:rPr>
      </w:pPr>
    </w:p>
    <w:p w14:paraId="27DBB52F" w14:textId="77777777" w:rsidR="00D0009A" w:rsidRPr="00D03F3E" w:rsidRDefault="00D0009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июне 1943 года Light Tank M3A1 дебютировали на тихоокеанском фронте. К тому моменту Light Tank M3 были окончательно выведены из состава американских войск, а в июле армия отказалась от дизельных M3A1. Совсем другая ситуация сложилась в корпусе морской пехоты. Здесь были гораздо более заинтересованы в дизельных танках, менее подверженных риску заглохнуть в ходе высадки и хуже горевших. По этой причине морпехи старались получить машины с дизелями Guiberson T-1020–4. В качестве места для дебюта новых танков морской пехоты выступили острова Нью-Джорджия в архипелаге Соломоновых островов. С этой поры и вплоть до середины 1944 года M3A1 активно использовались как морской пехотой, так и армией. Участвовали они и в штурме атолла Бетио, запомнившегося большими для американской морской пехоты потерями.</w:t>
      </w:r>
    </w:p>
    <w:p w14:paraId="32C2A324" w14:textId="77777777" w:rsidR="00D0009A" w:rsidRPr="00D03F3E" w:rsidRDefault="00D0009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Американские машины вполне успешно могли бороться с японскими танками, но чаще всего их противниками становилась пехота. Против неё лёгкие танки оказались не самым эффективным средством, поскольку фугасное действие 37-мм снарядов было сопоставимо с ручной гранатой. Возникла вполне здравая идея переделать танк в огнемётный. Первый такой танк был подготовлен в октябре 1943 года. Вместо курсового пулемёта на нём установили огнемёт, бак которого разместился в правой надгусеничной полке. Но такой вариант танка был признан не особо удачным</w:t>
      </w:r>
      <w:r w:rsidRPr="00D03F3E">
        <w:rPr>
          <w:rFonts w:ascii="Times New Roman" w:hAnsi="Times New Roman"/>
          <w:color w:val="000000" w:themeColor="text1"/>
          <w:sz w:val="16"/>
          <w:szCs w:val="16"/>
        </w:rPr>
        <w:t xml:space="preserve"> (17464)</w:t>
      </w:r>
      <w:r w:rsidRPr="00D03F3E">
        <w:rPr>
          <w:rFonts w:ascii="Times New Roman" w:eastAsia="Times New Roman" w:hAnsi="Times New Roman"/>
          <w:color w:val="000000" w:themeColor="text1"/>
          <w:sz w:val="16"/>
          <w:szCs w:val="16"/>
          <w:lang w:eastAsia="ru-RU"/>
        </w:rPr>
        <w:t>.</w:t>
      </w:r>
    </w:p>
    <w:p w14:paraId="6FF97876" w14:textId="77777777" w:rsidR="00D0009A" w:rsidRPr="00D03F3E" w:rsidRDefault="00D0009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08F45A5"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236FB1A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FFC816" w14:textId="77777777" w:rsidR="00D40E16" w:rsidRPr="00D03F3E" w:rsidRDefault="00D40E16"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В июне-июле 1943, несмотря на проводимый в строевых частях ремонт обшивки де</w:t>
      </w:r>
      <w:r w:rsidRPr="00D03F3E">
        <w:rPr>
          <w:rFonts w:ascii="Times New Roman" w:hAnsi="Times New Roman" w:cs="Times New Roman"/>
          <w:color w:val="000000" w:themeColor="text1"/>
          <w:sz w:val="16"/>
          <w:szCs w:val="16"/>
        </w:rPr>
        <w:softHyphen/>
        <w:t>фектных самолетов Ил-2, положительных ре</w:t>
      </w:r>
      <w:r w:rsidRPr="00D03F3E">
        <w:rPr>
          <w:rFonts w:ascii="Times New Roman" w:hAnsi="Times New Roman" w:cs="Times New Roman"/>
          <w:color w:val="000000" w:themeColor="text1"/>
          <w:sz w:val="16"/>
          <w:szCs w:val="16"/>
        </w:rPr>
        <w:softHyphen/>
        <w:t>зультатов все же не было достигнуто. Об</w:t>
      </w:r>
      <w:r w:rsidRPr="00D03F3E">
        <w:rPr>
          <w:rFonts w:ascii="Times New Roman" w:hAnsi="Times New Roman" w:cs="Times New Roman"/>
          <w:color w:val="000000" w:themeColor="text1"/>
          <w:sz w:val="16"/>
          <w:szCs w:val="16"/>
        </w:rPr>
        <w:softHyphen/>
        <w:t>шивка продолжала отрываться в полете как по старым местам,так и по новым. Более того, в некоторых полках количе</w:t>
      </w:r>
      <w:r w:rsidRPr="00D03F3E">
        <w:rPr>
          <w:rFonts w:ascii="Times New Roman" w:hAnsi="Times New Roman" w:cs="Times New Roman"/>
          <w:color w:val="000000" w:themeColor="text1"/>
          <w:sz w:val="16"/>
          <w:szCs w:val="16"/>
        </w:rPr>
        <w:softHyphen/>
        <w:t>ство случаев срыва обшивки не только не уменьшилось, а даже увеличилось.</w:t>
      </w:r>
    </w:p>
    <w:p w14:paraId="05ABBB1A" w14:textId="77777777" w:rsidR="00D40E16" w:rsidRPr="00D03F3E" w:rsidRDefault="00D40E16"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Летчики опасались выполнять маневры с большими перегрузками. Все это вме</w:t>
      </w:r>
      <w:r w:rsidRPr="00D03F3E">
        <w:rPr>
          <w:rFonts w:ascii="Times New Roman" w:hAnsi="Times New Roman" w:cs="Times New Roman"/>
          <w:color w:val="000000" w:themeColor="text1"/>
          <w:sz w:val="16"/>
          <w:szCs w:val="16"/>
        </w:rPr>
        <w:softHyphen/>
        <w:t>сте взятое серьезно ограничивало «воз</w:t>
      </w:r>
      <w:r w:rsidRPr="00D03F3E">
        <w:rPr>
          <w:rFonts w:ascii="Times New Roman" w:hAnsi="Times New Roman" w:cs="Times New Roman"/>
          <w:color w:val="000000" w:themeColor="text1"/>
          <w:sz w:val="16"/>
          <w:szCs w:val="16"/>
        </w:rPr>
        <w:softHyphen/>
        <w:t>можность использования самолета Ил-2 в полной мере, согласно его ЛТД».</w:t>
      </w:r>
    </w:p>
    <w:p w14:paraId="28359662" w14:textId="77777777" w:rsidR="00D40E16" w:rsidRPr="00D03F3E" w:rsidRDefault="00D40E16"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D03F3E">
        <w:rPr>
          <w:rFonts w:ascii="Times New Roman" w:hAnsi="Times New Roman" w:cs="Times New Roman"/>
          <w:color w:val="000000" w:themeColor="text1"/>
          <w:sz w:val="16"/>
          <w:szCs w:val="16"/>
        </w:rPr>
        <w:t>Дело дошло до того, что командо</w:t>
      </w:r>
      <w:r w:rsidRPr="00D03F3E">
        <w:rPr>
          <w:rFonts w:ascii="Times New Roman" w:hAnsi="Times New Roman" w:cs="Times New Roman"/>
          <w:color w:val="000000" w:themeColor="text1"/>
          <w:sz w:val="16"/>
          <w:szCs w:val="16"/>
        </w:rPr>
        <w:softHyphen/>
        <w:t>вание штурмовых авиаполков и диви</w:t>
      </w:r>
      <w:r w:rsidRPr="00D03F3E">
        <w:rPr>
          <w:rFonts w:ascii="Times New Roman" w:hAnsi="Times New Roman" w:cs="Times New Roman"/>
          <w:color w:val="000000" w:themeColor="text1"/>
          <w:sz w:val="16"/>
          <w:szCs w:val="16"/>
        </w:rPr>
        <w:softHyphen/>
        <w:t>зий с целью предотвращения серьез</w:t>
      </w:r>
      <w:r w:rsidRPr="00D03F3E">
        <w:rPr>
          <w:rFonts w:ascii="Times New Roman" w:hAnsi="Times New Roman" w:cs="Times New Roman"/>
          <w:color w:val="000000" w:themeColor="text1"/>
          <w:sz w:val="16"/>
          <w:szCs w:val="16"/>
        </w:rPr>
        <w:softHyphen/>
        <w:t>ных летных происшествий вынужденно снижало летчикам боевую нагрузку, по</w:t>
      </w:r>
      <w:r w:rsidRPr="00D03F3E">
        <w:rPr>
          <w:rFonts w:ascii="Times New Roman" w:hAnsi="Times New Roman" w:cs="Times New Roman"/>
          <w:color w:val="000000" w:themeColor="text1"/>
          <w:sz w:val="16"/>
          <w:szCs w:val="16"/>
        </w:rPr>
        <w:softHyphen/>
        <w:t>скольку летать на имеющихся в частях самолетах было просто опасно. В даль</w:t>
      </w:r>
      <w:r w:rsidRPr="00D03F3E">
        <w:rPr>
          <w:rFonts w:ascii="Times New Roman" w:hAnsi="Times New Roman" w:cs="Times New Roman"/>
          <w:color w:val="000000" w:themeColor="text1"/>
          <w:sz w:val="16"/>
          <w:szCs w:val="16"/>
        </w:rPr>
        <w:softHyphen/>
        <w:t>нейшем эта инициатива была узаконена специальным распоряжением УТЭ ВВС от 22 июля 1943 г. нормальная бомбовая нагрузка двухместных самолетов Ил-2 с АМ-38Ф ограничивалась 300 кг (вме</w:t>
      </w:r>
      <w:r w:rsidRPr="00D03F3E">
        <w:rPr>
          <w:rFonts w:ascii="Times New Roman" w:hAnsi="Times New Roman" w:cs="Times New Roman"/>
          <w:color w:val="000000" w:themeColor="text1"/>
          <w:sz w:val="16"/>
          <w:szCs w:val="16"/>
        </w:rPr>
        <w:softHyphen/>
        <w:t>сто 400 кг). В перегрузку, как и прежде, допускалось загружать 600 кг бомб, но только для опытных летчиков с большим налетом на самолете Ил-2 и без воздуш</w:t>
      </w:r>
      <w:r w:rsidRPr="00D03F3E">
        <w:rPr>
          <w:rFonts w:ascii="Times New Roman" w:hAnsi="Times New Roman" w:cs="Times New Roman"/>
          <w:color w:val="000000" w:themeColor="text1"/>
          <w:sz w:val="16"/>
          <w:szCs w:val="16"/>
        </w:rPr>
        <w:softHyphen/>
        <w:t>ного стрелка (19558).</w:t>
      </w:r>
    </w:p>
    <w:p w14:paraId="2AD70173" w14:textId="77777777" w:rsidR="00D40E16" w:rsidRPr="00D03F3E" w:rsidRDefault="00D40E16" w:rsidP="00D03F3E">
      <w:pPr>
        <w:pStyle w:val="184"/>
        <w:shd w:val="clear" w:color="auto" w:fill="auto"/>
        <w:spacing w:before="0" w:after="0" w:line="240" w:lineRule="auto"/>
        <w:rPr>
          <w:rFonts w:ascii="Times New Roman" w:hAnsi="Times New Roman" w:cs="Times New Roman"/>
          <w:color w:val="000000" w:themeColor="text1"/>
          <w:sz w:val="16"/>
          <w:szCs w:val="16"/>
        </w:rPr>
      </w:pPr>
    </w:p>
    <w:p w14:paraId="155F561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июне-сентябре 1943 г. после ремонта три ДБ-3Ф вошли в состав эскад</w:t>
      </w:r>
      <w:r w:rsidRPr="00D03F3E">
        <w:rPr>
          <w:rFonts w:ascii="Times New Roman" w:hAnsi="Times New Roman"/>
          <w:color w:val="000000" w:themeColor="text1"/>
          <w:sz w:val="16"/>
          <w:szCs w:val="16"/>
        </w:rPr>
        <w:softHyphen/>
        <w:t>рильи Lelv 48. В общей сложности в ней стало шесть бомбардировщиков Илью</w:t>
      </w:r>
      <w:r w:rsidRPr="00D03F3E">
        <w:rPr>
          <w:rFonts w:ascii="Times New Roman" w:hAnsi="Times New Roman"/>
          <w:color w:val="000000" w:themeColor="text1"/>
          <w:sz w:val="16"/>
          <w:szCs w:val="16"/>
        </w:rPr>
        <w:softHyphen/>
        <w:t>шина. Один из имевшихся в ней ДБ-3Б погиб раньше. 19 февраля 1943 г. чет</w:t>
      </w:r>
      <w:r w:rsidRPr="00D03F3E">
        <w:rPr>
          <w:rFonts w:ascii="Times New Roman" w:hAnsi="Times New Roman"/>
          <w:color w:val="000000" w:themeColor="text1"/>
          <w:sz w:val="16"/>
          <w:szCs w:val="16"/>
        </w:rPr>
        <w:softHyphen/>
        <w:t>верка финских ДБ-3 участвовала в на</w:t>
      </w:r>
      <w:r w:rsidRPr="00D03F3E">
        <w:rPr>
          <w:rFonts w:ascii="Times New Roman" w:hAnsi="Times New Roman"/>
          <w:color w:val="000000" w:themeColor="text1"/>
          <w:sz w:val="16"/>
          <w:szCs w:val="16"/>
        </w:rPr>
        <w:softHyphen/>
        <w:t>лете на аэродром Сегежа. На обратном пути в ненастную погоду машины заблу</w:t>
      </w:r>
      <w:r w:rsidRPr="00D03F3E">
        <w:rPr>
          <w:rFonts w:ascii="Times New Roman" w:hAnsi="Times New Roman"/>
          <w:color w:val="000000" w:themeColor="text1"/>
          <w:sz w:val="16"/>
          <w:szCs w:val="16"/>
        </w:rPr>
        <w:softHyphen/>
        <w:t>дились и совершили вынужденные по</w:t>
      </w:r>
      <w:r w:rsidRPr="00D03F3E">
        <w:rPr>
          <w:rFonts w:ascii="Times New Roman" w:hAnsi="Times New Roman"/>
          <w:color w:val="000000" w:themeColor="text1"/>
          <w:sz w:val="16"/>
          <w:szCs w:val="16"/>
        </w:rPr>
        <w:softHyphen/>
        <w:t>садки в разных местах. Одна из них за</w:t>
      </w:r>
      <w:r w:rsidRPr="00D03F3E">
        <w:rPr>
          <w:rFonts w:ascii="Times New Roman" w:hAnsi="Times New Roman"/>
          <w:color w:val="000000" w:themeColor="text1"/>
          <w:sz w:val="16"/>
          <w:szCs w:val="16"/>
        </w:rPr>
        <w:softHyphen/>
        <w:t>кончилась катастрофой (10734,87).</w:t>
      </w:r>
    </w:p>
    <w:p w14:paraId="0575BA5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7A989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июне-августе 1943 в НИИ ВВС проходил испытания Ла-5 N 37212501 и получил дальность 580 км в основном за счет не отрегулированного карбюратора и плохой отделки (1780).</w:t>
      </w:r>
    </w:p>
    <w:p w14:paraId="4A3C8B6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BDEC1B" w14:textId="77777777" w:rsidR="00234371" w:rsidRPr="00D03F3E" w:rsidRDefault="00234371" w:rsidP="00D03F3E">
      <w:pPr>
        <w:pStyle w:val="a3"/>
        <w:rPr>
          <w:color w:val="000000" w:themeColor="text1"/>
          <w:lang w:val="ru-RU"/>
        </w:rPr>
      </w:pPr>
      <w:r w:rsidRPr="00D03F3E">
        <w:rPr>
          <w:color w:val="000000" w:themeColor="text1"/>
          <w:lang w:val="ru-RU"/>
        </w:rPr>
        <w:t>В июне-августе 1 943 г. завод № 155 построил ещё пять истребителей МиГ-3У - от Д-02 до Д-06. В отличие от других самолётов Д-04 оснастили крылом с увеличенным с 10,2 м до 1 1,14 м разма</w:t>
      </w:r>
      <w:r w:rsidRPr="00D03F3E">
        <w:rPr>
          <w:color w:val="000000" w:themeColor="text1"/>
          <w:lang w:val="ru-RU"/>
        </w:rPr>
        <w:softHyphen/>
        <w:t>хом (первоначально удлинённые консоли планировали установить на Д-06). После возвраще</w:t>
      </w:r>
      <w:r w:rsidRPr="00D03F3E">
        <w:rPr>
          <w:color w:val="000000" w:themeColor="text1"/>
          <w:lang w:val="ru-RU"/>
        </w:rPr>
        <w:softHyphen/>
        <w:t>ния 17 августа машины Д-01 из НИИ ВВС КА и устранения выявленных недостатков все МиГ-ЗУ были облётаны лётчиком 1 2-го гвардейского иап лейтенантом П.К. Журавлёвым и осмотрены техсоставом полка. Во время полётов на потолок Журавлев достиг на Д-02 высоты 1 2200 м, на Д-03 - 1 2000 м, на Д-04 - 1 2300 м, на Д-05 - 1 1700 м и на Д-06 - 1 2250 м (15976).</w:t>
      </w:r>
    </w:p>
    <w:p w14:paraId="041785EE" w14:textId="77777777" w:rsidR="00234371" w:rsidRPr="00D03F3E" w:rsidRDefault="00234371" w:rsidP="00D03F3E">
      <w:pPr>
        <w:pStyle w:val="a3"/>
        <w:rPr>
          <w:color w:val="000000" w:themeColor="text1"/>
          <w:lang w:val="ru-RU"/>
        </w:rPr>
      </w:pPr>
    </w:p>
    <w:p w14:paraId="15799ED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 октябре 1943 в ходе вылетов по программе заводских испытаний пять оставшихся истребителей претерпели некоторые изменения, связанные с под</w:t>
      </w:r>
      <w:r w:rsidRPr="00D03F3E">
        <w:rPr>
          <w:rFonts w:ascii="Times New Roman" w:hAnsi="Times New Roman"/>
          <w:color w:val="000000" w:themeColor="text1"/>
          <w:sz w:val="16"/>
          <w:szCs w:val="16"/>
        </w:rPr>
        <w:softHyphen/>
        <w:t>бором радиаторов и винтов. Опыты с четырехлопастными винтами с увеличенной толщиной профиля завершились неудачно — на высоте скорость умень</w:t>
      </w:r>
      <w:r w:rsidRPr="00D03F3E">
        <w:rPr>
          <w:rFonts w:ascii="Times New Roman" w:hAnsi="Times New Roman"/>
          <w:color w:val="000000" w:themeColor="text1"/>
          <w:sz w:val="16"/>
          <w:szCs w:val="16"/>
        </w:rPr>
        <w:softHyphen/>
        <w:t>шилась. На самолетах Д2 и Д6 установили удлинен</w:t>
      </w:r>
      <w:r w:rsidRPr="00D03F3E">
        <w:rPr>
          <w:rFonts w:ascii="Times New Roman" w:hAnsi="Times New Roman"/>
          <w:color w:val="000000" w:themeColor="text1"/>
          <w:sz w:val="16"/>
          <w:szCs w:val="16"/>
        </w:rPr>
        <w:softHyphen/>
        <w:t>ные консоли (размах крыла увеличился с 10,2 м до 11,14 м), а также смонтировали мотор АМ—35А с ре</w:t>
      </w:r>
      <w:r w:rsidRPr="00D03F3E">
        <w:rPr>
          <w:rFonts w:ascii="Times New Roman" w:hAnsi="Times New Roman"/>
          <w:color w:val="000000" w:themeColor="text1"/>
          <w:sz w:val="16"/>
          <w:szCs w:val="16"/>
        </w:rPr>
        <w:softHyphen/>
        <w:t>дукцией 0,902 выпуска 1941 г (9984).</w:t>
      </w:r>
    </w:p>
    <w:p w14:paraId="75CEFAA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7328D2" w14:textId="77777777" w:rsidR="00F74D37" w:rsidRPr="00D03F3E" w:rsidRDefault="00F74D37"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lastRenderedPageBreak/>
        <w:t>В течение июня и по 16 июля на заводе № 19 постави</w:t>
      </w:r>
      <w:r w:rsidRPr="00D03F3E">
        <w:rPr>
          <w:rFonts w:ascii="Times New Roman" w:cs="Times New Roman"/>
          <w:color w:val="000000" w:themeColor="text1"/>
          <w:spacing w:val="0"/>
        </w:rPr>
        <w:softHyphen/>
        <w:t>ли на комиссионное испытание 8 моторов М-82ФН за №N9 8211247, -246, -174, -349, -428, -241, -255, -424. Указанные моторы сняли с испытаний по следующим дефектам: поломка ко</w:t>
      </w:r>
      <w:r w:rsidRPr="00D03F3E">
        <w:rPr>
          <w:rFonts w:ascii="Times New Roman" w:cs="Times New Roman"/>
          <w:color w:val="000000" w:themeColor="text1"/>
          <w:spacing w:val="0"/>
        </w:rPr>
        <w:softHyphen/>
        <w:t>ленвала — 2 мотора, обрыв и трещины гильзы цилиндра — 2 мотора, разрушение веду</w:t>
      </w:r>
      <w:r w:rsidRPr="00D03F3E">
        <w:rPr>
          <w:rFonts w:ascii="Times New Roman" w:cs="Times New Roman"/>
          <w:color w:val="000000" w:themeColor="text1"/>
          <w:spacing w:val="0"/>
        </w:rPr>
        <w:softHyphen/>
        <w:t>щей шестерни и поломка зуба сателлита редуктора — 1 мотор, разрушение направляю</w:t>
      </w:r>
      <w:r w:rsidRPr="00D03F3E">
        <w:rPr>
          <w:rFonts w:ascii="Times New Roman" w:cs="Times New Roman"/>
          <w:color w:val="000000" w:themeColor="text1"/>
          <w:spacing w:val="0"/>
        </w:rPr>
        <w:softHyphen/>
        <w:t>щего аппарата крыльчатки — 1 мотор, обрыв всасывающего клапана — 2 мотора.</w:t>
      </w:r>
    </w:p>
    <w:p w14:paraId="7CF1CAD7" w14:textId="77777777" w:rsidR="00F74D37" w:rsidRPr="00D03F3E" w:rsidRDefault="00F74D37"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Решением Военного Совета ВВС 168 моторов М-82ФН, находящихся на заводе № 21, должны были отправить обратно на завод № 19 для переборки и доделок по коленча</w:t>
      </w:r>
      <w:r w:rsidRPr="00D03F3E">
        <w:rPr>
          <w:rFonts w:ascii="Times New Roman" w:cs="Times New Roman"/>
          <w:color w:val="000000" w:themeColor="text1"/>
          <w:spacing w:val="0"/>
        </w:rPr>
        <w:softHyphen/>
        <w:t>тым валам, так как они имели аварийные дефекты. В результате выпуск Ла-5 с М-82ФН в июле 1943 г. на заводе № 21 фактически остановили. Директор завода № 19 А.Г. Солдатов, а затем и нарком А.И. Шахурин не согласились с этим решением, и спор выне</w:t>
      </w:r>
      <w:r w:rsidRPr="00D03F3E">
        <w:rPr>
          <w:rFonts w:ascii="Times New Roman" w:cs="Times New Roman"/>
          <w:color w:val="000000" w:themeColor="text1"/>
          <w:spacing w:val="0"/>
        </w:rPr>
        <w:softHyphen/>
        <w:t>сли на решение члена ГКО секретаря ЦК ВКП(б) Г.М. Маленкова (15813).</w:t>
      </w:r>
    </w:p>
    <w:p w14:paraId="62FF900A" w14:textId="77777777" w:rsidR="00F74D37" w:rsidRPr="00D03F3E" w:rsidRDefault="00F74D37"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Командование ВВС в лице генералов Фалалеева, Никитина, Шиманова и Репина моти</w:t>
      </w:r>
      <w:r w:rsidRPr="00D03F3E">
        <w:rPr>
          <w:rFonts w:ascii="Times New Roman" w:cs="Times New Roman"/>
          <w:color w:val="000000" w:themeColor="text1"/>
          <w:spacing w:val="0"/>
        </w:rPr>
        <w:softHyphen/>
        <w:t>вировало своё решение тем, что при комиссионных испытаниях моторов М-82ФН, про</w:t>
      </w:r>
      <w:r w:rsidRPr="00D03F3E">
        <w:rPr>
          <w:rFonts w:ascii="Times New Roman" w:cs="Times New Roman"/>
          <w:color w:val="000000" w:themeColor="text1"/>
          <w:spacing w:val="0"/>
        </w:rPr>
        <w:softHyphen/>
        <w:t>веденных на заводе № 19 в мае—июле, имели место 3 случая поломки коленчатых валов при режимной наработке от 14 до 37 час. Кроме того, при проверке в июле коленчатых валов моторов, прошедших сдаточные испытания, но ещё не имевших длительной ре</w:t>
      </w:r>
      <w:r w:rsidRPr="00D03F3E">
        <w:rPr>
          <w:rFonts w:ascii="Times New Roman" w:cs="Times New Roman"/>
          <w:color w:val="000000" w:themeColor="text1"/>
          <w:spacing w:val="0"/>
        </w:rPr>
        <w:softHyphen/>
        <w:t>жимной работы, обнаружились трещины на трёх коленчатых валах. В 92-м иап 16-й ВА в июне 1943 г. имел место случай поломки коленчатого вала на М-82 № 6502317. Поэто</w:t>
      </w:r>
      <w:r w:rsidRPr="00D03F3E">
        <w:rPr>
          <w:rFonts w:ascii="Times New Roman" w:cs="Times New Roman"/>
          <w:color w:val="000000" w:themeColor="text1"/>
          <w:spacing w:val="0"/>
        </w:rPr>
        <w:softHyphen/>
        <w:t>му они сделали неприятный вывод: «При допущении этих моторов в боевую эксплуатацию в частях ВВС КА вероятны случаи поломок коленчатых валов, что может подорвать дове</w:t>
      </w:r>
      <w:r w:rsidRPr="00D03F3E">
        <w:rPr>
          <w:rFonts w:ascii="Times New Roman" w:cs="Times New Roman"/>
          <w:color w:val="000000" w:themeColor="text1"/>
          <w:spacing w:val="0"/>
        </w:rPr>
        <w:softHyphen/>
        <w:t>рие к самолётам Ла-5, пользующихся хорошей репутацией у лётного состава ВВС». На</w:t>
      </w:r>
      <w:r w:rsidRPr="00D03F3E">
        <w:rPr>
          <w:rFonts w:ascii="Times New Roman" w:cs="Times New Roman"/>
          <w:color w:val="000000" w:themeColor="text1"/>
          <w:spacing w:val="0"/>
        </w:rPr>
        <w:softHyphen/>
        <w:t>до сказать, что к лету 1943 г. Ла-5 уже хорошо освоили в войсках, он избавился от многих первоначальных дефектов и недостатков, и заслужил весьма положительную оценку.</w:t>
      </w:r>
    </w:p>
    <w:p w14:paraId="0145CC3E" w14:textId="77777777" w:rsidR="00F74D37" w:rsidRPr="00D03F3E" w:rsidRDefault="00F74D37"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Завод № 19 вынужден был всерьёз заняться устранением этих дефектов и довольно быстро нашел решение. Ранее выпускаемые цилиндры имели следующие недостатки:</w:t>
      </w:r>
    </w:p>
    <w:p w14:paraId="6DB91C9F" w14:textId="77777777" w:rsidR="00F74D37" w:rsidRPr="00D03F3E" w:rsidRDefault="00F74D37" w:rsidP="00D03F3E">
      <w:pPr>
        <w:pStyle w:val="27"/>
        <w:shd w:val="clear" w:color="auto" w:fill="auto"/>
        <w:tabs>
          <w:tab w:val="left" w:pos="452"/>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а) В радиусах межреберного перехода в гильзе цилиндра не имелось правильного сопряжения радиусов, вследствие чего получались подрезы гильзы, влияющие на об</w:t>
      </w:r>
      <w:r w:rsidRPr="00D03F3E">
        <w:rPr>
          <w:rFonts w:ascii="Times New Roman" w:cs="Times New Roman"/>
          <w:color w:val="000000" w:themeColor="text1"/>
          <w:spacing w:val="0"/>
        </w:rPr>
        <w:softHyphen/>
        <w:t>разование трещин между ребрами.</w:t>
      </w:r>
    </w:p>
    <w:p w14:paraId="718BDF25" w14:textId="77777777" w:rsidR="00F74D37" w:rsidRPr="00D03F3E" w:rsidRDefault="00F74D37" w:rsidP="00D03F3E">
      <w:pPr>
        <w:pStyle w:val="27"/>
        <w:shd w:val="clear" w:color="auto" w:fill="auto"/>
        <w:tabs>
          <w:tab w:val="left" w:pos="433"/>
        </w:tabs>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б) Механическая обработка внешней поверхности гильзы цилиндра между нижним ре</w:t>
      </w:r>
      <w:r w:rsidRPr="00D03F3E">
        <w:rPr>
          <w:rFonts w:ascii="Times New Roman" w:cs="Times New Roman"/>
          <w:color w:val="000000" w:themeColor="text1"/>
          <w:spacing w:val="0"/>
        </w:rPr>
        <w:softHyphen/>
        <w:t>бром и фланцем крепления цилиндра к картеру окончательно производилась резцом. Оставляемые им риски на внешней поверхности способствовали образованию трещин.</w:t>
      </w:r>
    </w:p>
    <w:p w14:paraId="1DFC7CAA" w14:textId="77777777" w:rsidR="00F74D37" w:rsidRPr="00D03F3E" w:rsidRDefault="00F74D37"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В изготовление цилиндров внесли конструктивные и технологические изменения, ус</w:t>
      </w:r>
      <w:r w:rsidRPr="00D03F3E">
        <w:rPr>
          <w:rFonts w:ascii="Times New Roman" w:cs="Times New Roman"/>
          <w:color w:val="000000" w:themeColor="text1"/>
          <w:spacing w:val="0"/>
        </w:rPr>
        <w:softHyphen/>
        <w:t>траняющие выявленные дефекты.</w:t>
      </w:r>
    </w:p>
    <w:p w14:paraId="7A4740B9" w14:textId="77777777" w:rsidR="00F74D37" w:rsidRPr="00D03F3E" w:rsidRDefault="00F74D37"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После устранения дефектов по коленвалу и гильзе цилиндра и удовлетворительно</w:t>
      </w:r>
      <w:r w:rsidRPr="00D03F3E">
        <w:rPr>
          <w:rFonts w:ascii="Times New Roman" w:cs="Times New Roman"/>
          <w:color w:val="000000" w:themeColor="text1"/>
          <w:spacing w:val="0"/>
        </w:rPr>
        <w:softHyphen/>
        <w:t>го прохождения 100-часового комиссионного испытания мотора № 8211522 отправ</w:t>
      </w:r>
      <w:r w:rsidRPr="00D03F3E">
        <w:rPr>
          <w:rFonts w:ascii="Times New Roman" w:cs="Times New Roman"/>
          <w:color w:val="000000" w:themeColor="text1"/>
          <w:spacing w:val="0"/>
        </w:rPr>
        <w:softHyphen/>
        <w:t>ку моторов возобновили. С 24 июля по 1 сентября 1943 г. на завод № 21 отправили 272 мотора модификации «ФН». Выпуск Ла-5ФН снова стал набирать обороты.</w:t>
      </w:r>
    </w:p>
    <w:p w14:paraId="1A8AF78A" w14:textId="77777777" w:rsidR="00F74D37" w:rsidRPr="00D03F3E" w:rsidRDefault="00F74D37"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Пока происходили все эти «тыловые» коллизии, первые серийные Ла-5ФН поступили в строевые части. По иронии судьбы войсковые испытания Ла-5 с М-82ФН поручили провести 32-му гвардейскому иап (бывшему 434-му иап), ранее отказавшемуся от пер</w:t>
      </w:r>
      <w:r w:rsidRPr="00D03F3E">
        <w:rPr>
          <w:rFonts w:ascii="Times New Roman" w:cs="Times New Roman"/>
          <w:color w:val="000000" w:themeColor="text1"/>
          <w:spacing w:val="0"/>
        </w:rPr>
        <w:softHyphen/>
        <w:t>вых серийных Ла-5. Полком теперь командовал Герой Советского Союза подполковник В.И. Давидков, сменивший полковника В.И. Сталина после того, как последний в апре</w:t>
      </w:r>
      <w:r w:rsidRPr="00D03F3E">
        <w:rPr>
          <w:rFonts w:ascii="Times New Roman" w:cs="Times New Roman"/>
          <w:color w:val="000000" w:themeColor="text1"/>
          <w:spacing w:val="0"/>
        </w:rPr>
        <w:softHyphen/>
        <w:t>ле 1943 г. получил «боевое» ранение своим же РС-82 во время неудачной рыбалки (15813).</w:t>
      </w:r>
    </w:p>
    <w:p w14:paraId="60472633" w14:textId="77777777" w:rsidR="00F74D37" w:rsidRPr="00D03F3E" w:rsidRDefault="00F74D37" w:rsidP="00D03F3E">
      <w:pPr>
        <w:pStyle w:val="27"/>
        <w:shd w:val="clear" w:color="auto" w:fill="auto"/>
        <w:spacing w:after="0" w:line="240" w:lineRule="auto"/>
        <w:ind w:firstLine="0"/>
        <w:rPr>
          <w:rFonts w:ascii="Times New Roman" w:cs="Times New Roman"/>
          <w:color w:val="000000" w:themeColor="text1"/>
          <w:spacing w:val="0"/>
        </w:rPr>
      </w:pPr>
    </w:p>
    <w:p w14:paraId="24914DC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июне-июле 1943 руководство НКАП предприняло очередную попытку наметить собственный план работ по реактивной тематике (2168,5).</w:t>
      </w:r>
    </w:p>
    <w:p w14:paraId="7562215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A6C49A"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28D11D4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5D757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показатели предприятий танковой промышленности на июнь-июль 1943 года (9812)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2268"/>
        <w:gridCol w:w="2126"/>
        <w:gridCol w:w="2126"/>
      </w:tblGrid>
      <w:tr w:rsidR="00860B4B" w:rsidRPr="00D03F3E" w14:paraId="778EEBE2" w14:textId="77777777">
        <w:tc>
          <w:tcPr>
            <w:tcW w:w="2093" w:type="dxa"/>
          </w:tcPr>
          <w:p w14:paraId="116FA74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Наименование или № завода</w:t>
            </w:r>
          </w:p>
        </w:tc>
        <w:tc>
          <w:tcPr>
            <w:tcW w:w="2268" w:type="dxa"/>
          </w:tcPr>
          <w:p w14:paraId="0370207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Адрес</w:t>
            </w:r>
          </w:p>
        </w:tc>
        <w:tc>
          <w:tcPr>
            <w:tcW w:w="2126" w:type="dxa"/>
          </w:tcPr>
          <w:p w14:paraId="7F99288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Год основания</w:t>
            </w:r>
          </w:p>
        </w:tc>
        <w:tc>
          <w:tcPr>
            <w:tcW w:w="2126" w:type="dxa"/>
          </w:tcPr>
          <w:p w14:paraId="31B4939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виды выпускаемых изделий</w:t>
            </w:r>
          </w:p>
        </w:tc>
      </w:tr>
      <w:tr w:rsidR="00860B4B" w:rsidRPr="00D03F3E" w14:paraId="0C6F025E" w14:textId="77777777">
        <w:tc>
          <w:tcPr>
            <w:tcW w:w="2093" w:type="dxa"/>
          </w:tcPr>
          <w:p w14:paraId="40FC29B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Кировский</w:t>
            </w:r>
          </w:p>
        </w:tc>
        <w:tc>
          <w:tcPr>
            <w:tcW w:w="2268" w:type="dxa"/>
          </w:tcPr>
          <w:p w14:paraId="24DA6CE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Челябинск Кировский завод</w:t>
            </w:r>
          </w:p>
          <w:p w14:paraId="6A910F6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ул. Спартака</w:t>
            </w:r>
          </w:p>
        </w:tc>
        <w:tc>
          <w:tcPr>
            <w:tcW w:w="2126" w:type="dxa"/>
          </w:tcPr>
          <w:p w14:paraId="5A086CF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1933</w:t>
            </w:r>
          </w:p>
        </w:tc>
        <w:tc>
          <w:tcPr>
            <w:tcW w:w="2126" w:type="dxa"/>
          </w:tcPr>
          <w:p w14:paraId="1049CA7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Танки КВ, СУ-152, Т-34</w:t>
            </w:r>
          </w:p>
          <w:p w14:paraId="79E9765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Моторы, топливные насосы</w:t>
            </w:r>
          </w:p>
        </w:tc>
      </w:tr>
      <w:tr w:rsidR="00860B4B" w:rsidRPr="00D03F3E" w14:paraId="3AA6D291" w14:textId="77777777">
        <w:tc>
          <w:tcPr>
            <w:tcW w:w="2093" w:type="dxa"/>
          </w:tcPr>
          <w:p w14:paraId="19BA7A5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Уралмашзавод (УЗТМ)</w:t>
            </w:r>
          </w:p>
        </w:tc>
        <w:tc>
          <w:tcPr>
            <w:tcW w:w="2268" w:type="dxa"/>
          </w:tcPr>
          <w:p w14:paraId="21F3F2D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Свердловск Уралмашзавод</w:t>
            </w:r>
          </w:p>
        </w:tc>
        <w:tc>
          <w:tcPr>
            <w:tcW w:w="2126" w:type="dxa"/>
          </w:tcPr>
          <w:p w14:paraId="26B7BB0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1928</w:t>
            </w:r>
          </w:p>
        </w:tc>
        <w:tc>
          <w:tcPr>
            <w:tcW w:w="2126" w:type="dxa"/>
          </w:tcPr>
          <w:p w14:paraId="718FF49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СУ-85, копуса Т-34</w:t>
            </w:r>
          </w:p>
        </w:tc>
      </w:tr>
      <w:tr w:rsidR="00860B4B" w:rsidRPr="00D03F3E" w14:paraId="24644617" w14:textId="77777777">
        <w:tc>
          <w:tcPr>
            <w:tcW w:w="2093" w:type="dxa"/>
          </w:tcPr>
          <w:p w14:paraId="2CE8E7C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 50</w:t>
            </w:r>
          </w:p>
        </w:tc>
        <w:tc>
          <w:tcPr>
            <w:tcW w:w="2268" w:type="dxa"/>
          </w:tcPr>
          <w:p w14:paraId="7E11AF9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Свердловск</w:t>
            </w:r>
          </w:p>
        </w:tc>
        <w:tc>
          <w:tcPr>
            <w:tcW w:w="2126" w:type="dxa"/>
          </w:tcPr>
          <w:p w14:paraId="078A00F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1941</w:t>
            </w:r>
          </w:p>
        </w:tc>
        <w:tc>
          <w:tcPr>
            <w:tcW w:w="2126" w:type="dxa"/>
          </w:tcPr>
          <w:p w14:paraId="54538D6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Узлы Т-34</w:t>
            </w:r>
          </w:p>
        </w:tc>
      </w:tr>
      <w:tr w:rsidR="00860B4B" w:rsidRPr="00D03F3E" w14:paraId="1029263D" w14:textId="77777777">
        <w:tc>
          <w:tcPr>
            <w:tcW w:w="2093" w:type="dxa"/>
          </w:tcPr>
          <w:p w14:paraId="35E1B77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183 им. Коминтерна</w:t>
            </w:r>
          </w:p>
        </w:tc>
        <w:tc>
          <w:tcPr>
            <w:tcW w:w="2268" w:type="dxa"/>
          </w:tcPr>
          <w:p w14:paraId="2F49667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Нижний Тагил</w:t>
            </w:r>
          </w:p>
        </w:tc>
        <w:tc>
          <w:tcPr>
            <w:tcW w:w="2126" w:type="dxa"/>
          </w:tcPr>
          <w:p w14:paraId="2DEDC41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1935</w:t>
            </w:r>
          </w:p>
        </w:tc>
        <w:tc>
          <w:tcPr>
            <w:tcW w:w="2126" w:type="dxa"/>
          </w:tcPr>
          <w:p w14:paraId="1587A74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Танки Т-34, авиакорпуса фюзеляжа ИЛ2, артпередки, боеприпасы (ФАБ-100)</w:t>
            </w:r>
          </w:p>
        </w:tc>
      </w:tr>
      <w:tr w:rsidR="00860B4B" w:rsidRPr="00D03F3E" w14:paraId="40A12E0D" w14:textId="77777777">
        <w:tc>
          <w:tcPr>
            <w:tcW w:w="2093" w:type="dxa"/>
          </w:tcPr>
          <w:p w14:paraId="15ACA4A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112</w:t>
            </w:r>
          </w:p>
        </w:tc>
        <w:tc>
          <w:tcPr>
            <w:tcW w:w="2268" w:type="dxa"/>
          </w:tcPr>
          <w:p w14:paraId="1B35D19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Горький, п/я 209</w:t>
            </w:r>
          </w:p>
        </w:tc>
        <w:tc>
          <w:tcPr>
            <w:tcW w:w="2126" w:type="dxa"/>
          </w:tcPr>
          <w:p w14:paraId="7AB5904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1949</w:t>
            </w:r>
          </w:p>
        </w:tc>
        <w:tc>
          <w:tcPr>
            <w:tcW w:w="2126" w:type="dxa"/>
          </w:tcPr>
          <w:p w14:paraId="226CBD2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Танки Т-34, боеприпасы</w:t>
            </w:r>
          </w:p>
        </w:tc>
      </w:tr>
      <w:tr w:rsidR="00860B4B" w:rsidRPr="00D03F3E" w14:paraId="62B45649" w14:textId="77777777">
        <w:tc>
          <w:tcPr>
            <w:tcW w:w="2093" w:type="dxa"/>
          </w:tcPr>
          <w:p w14:paraId="02707AF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174 им. Врпршилова</w:t>
            </w:r>
          </w:p>
        </w:tc>
        <w:tc>
          <w:tcPr>
            <w:tcW w:w="2268" w:type="dxa"/>
          </w:tcPr>
          <w:p w14:paraId="302B4D0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Омск-20, п/я 13 (853/4)</w:t>
            </w:r>
          </w:p>
        </w:tc>
        <w:tc>
          <w:tcPr>
            <w:tcW w:w="2126" w:type="dxa"/>
          </w:tcPr>
          <w:p w14:paraId="083798F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1942</w:t>
            </w:r>
          </w:p>
        </w:tc>
        <w:tc>
          <w:tcPr>
            <w:tcW w:w="2126" w:type="dxa"/>
          </w:tcPr>
          <w:p w14:paraId="57F4BAE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Т-34, М-13, ОС-122</w:t>
            </w:r>
          </w:p>
        </w:tc>
      </w:tr>
      <w:tr w:rsidR="00860B4B" w:rsidRPr="00D03F3E" w14:paraId="38EE5877" w14:textId="77777777">
        <w:tc>
          <w:tcPr>
            <w:tcW w:w="2093" w:type="dxa"/>
          </w:tcPr>
          <w:p w14:paraId="3B5F2B3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38 им. Куйбышева</w:t>
            </w:r>
          </w:p>
        </w:tc>
        <w:tc>
          <w:tcPr>
            <w:tcW w:w="2268" w:type="dxa"/>
          </w:tcPr>
          <w:p w14:paraId="4D0926F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Киров</w:t>
            </w:r>
          </w:p>
        </w:tc>
        <w:tc>
          <w:tcPr>
            <w:tcW w:w="2126" w:type="dxa"/>
          </w:tcPr>
          <w:p w14:paraId="7328604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1917 (1942)</w:t>
            </w:r>
          </w:p>
        </w:tc>
        <w:tc>
          <w:tcPr>
            <w:tcW w:w="2126" w:type="dxa"/>
          </w:tcPr>
          <w:p w14:paraId="6F01F3A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Т-70, М-8, М-13, М-30, СУ-76</w:t>
            </w:r>
          </w:p>
        </w:tc>
      </w:tr>
      <w:tr w:rsidR="00860B4B" w:rsidRPr="00D03F3E" w14:paraId="26B58CF1" w14:textId="77777777">
        <w:tc>
          <w:tcPr>
            <w:tcW w:w="2093" w:type="dxa"/>
          </w:tcPr>
          <w:p w14:paraId="2AC4A99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76</w:t>
            </w:r>
          </w:p>
        </w:tc>
        <w:tc>
          <w:tcPr>
            <w:tcW w:w="2268" w:type="dxa"/>
          </w:tcPr>
          <w:p w14:paraId="55ABEAD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Свердловск-12, п/я 159</w:t>
            </w:r>
          </w:p>
        </w:tc>
        <w:tc>
          <w:tcPr>
            <w:tcW w:w="2126" w:type="dxa"/>
          </w:tcPr>
          <w:p w14:paraId="3F5C144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1941</w:t>
            </w:r>
          </w:p>
        </w:tc>
        <w:tc>
          <w:tcPr>
            <w:tcW w:w="2126" w:type="dxa"/>
          </w:tcPr>
          <w:p w14:paraId="4A8335D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Моторы В2, ремонт моторов</w:t>
            </w:r>
          </w:p>
        </w:tc>
      </w:tr>
      <w:tr w:rsidR="00860B4B" w:rsidRPr="00D03F3E" w14:paraId="13CDC0B5" w14:textId="77777777">
        <w:tc>
          <w:tcPr>
            <w:tcW w:w="2093" w:type="dxa"/>
          </w:tcPr>
          <w:p w14:paraId="1DECBB7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225</w:t>
            </w:r>
          </w:p>
        </w:tc>
        <w:tc>
          <w:tcPr>
            <w:tcW w:w="2268" w:type="dxa"/>
          </w:tcPr>
          <w:p w14:paraId="1DE17E4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Челябинск, п/я 188</w:t>
            </w:r>
          </w:p>
        </w:tc>
        <w:tc>
          <w:tcPr>
            <w:tcW w:w="2126" w:type="dxa"/>
          </w:tcPr>
          <w:p w14:paraId="6EB5674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1934</w:t>
            </w:r>
          </w:p>
        </w:tc>
        <w:tc>
          <w:tcPr>
            <w:tcW w:w="2126" w:type="dxa"/>
          </w:tcPr>
          <w:p w14:paraId="40478BD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Генераторы, стартеры, реле, выключатели, переключатели</w:t>
            </w:r>
          </w:p>
        </w:tc>
      </w:tr>
      <w:tr w:rsidR="00860B4B" w:rsidRPr="00D03F3E" w14:paraId="661363C1" w14:textId="77777777">
        <w:tc>
          <w:tcPr>
            <w:tcW w:w="2093" w:type="dxa"/>
          </w:tcPr>
          <w:p w14:paraId="5766994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254</w:t>
            </w:r>
          </w:p>
        </w:tc>
        <w:tc>
          <w:tcPr>
            <w:tcW w:w="2268" w:type="dxa"/>
          </w:tcPr>
          <w:p w14:paraId="1613E5A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 23, п/я 2375, ул. Электрозаводская, д. 21</w:t>
            </w:r>
          </w:p>
        </w:tc>
        <w:tc>
          <w:tcPr>
            <w:tcW w:w="2126" w:type="dxa"/>
          </w:tcPr>
          <w:p w14:paraId="145D365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1942</w:t>
            </w:r>
          </w:p>
        </w:tc>
        <w:tc>
          <w:tcPr>
            <w:tcW w:w="2126" w:type="dxa"/>
          </w:tcPr>
          <w:p w14:paraId="56FA942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Генераторы, стартеры, реле, конденсаторы</w:t>
            </w:r>
          </w:p>
        </w:tc>
      </w:tr>
      <w:tr w:rsidR="00860B4B" w:rsidRPr="00D03F3E" w14:paraId="7DF6D2EF" w14:textId="77777777">
        <w:tc>
          <w:tcPr>
            <w:tcW w:w="2093" w:type="dxa"/>
          </w:tcPr>
          <w:p w14:paraId="10E6C20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238</w:t>
            </w:r>
          </w:p>
        </w:tc>
        <w:tc>
          <w:tcPr>
            <w:tcW w:w="2268" w:type="dxa"/>
          </w:tcPr>
          <w:p w14:paraId="7FAF258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Горький, п/я 321, ул. Маяковского, 48</w:t>
            </w:r>
          </w:p>
        </w:tc>
        <w:tc>
          <w:tcPr>
            <w:tcW w:w="2126" w:type="dxa"/>
          </w:tcPr>
          <w:p w14:paraId="7D3F2D0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1928</w:t>
            </w:r>
          </w:p>
        </w:tc>
        <w:tc>
          <w:tcPr>
            <w:tcW w:w="2126" w:type="dxa"/>
          </w:tcPr>
          <w:p w14:paraId="7BAEDA3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Генераторы </w:t>
            </w:r>
          </w:p>
        </w:tc>
      </w:tr>
      <w:tr w:rsidR="00860B4B" w:rsidRPr="00D03F3E" w14:paraId="6DF92EF6" w14:textId="77777777">
        <w:tc>
          <w:tcPr>
            <w:tcW w:w="2093" w:type="dxa"/>
          </w:tcPr>
          <w:p w14:paraId="0107226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39</w:t>
            </w:r>
          </w:p>
        </w:tc>
        <w:tc>
          <w:tcPr>
            <w:tcW w:w="2268" w:type="dxa"/>
          </w:tcPr>
          <w:p w14:paraId="09BE609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 п/я 1428</w:t>
            </w:r>
          </w:p>
        </w:tc>
        <w:tc>
          <w:tcPr>
            <w:tcW w:w="2126" w:type="dxa"/>
          </w:tcPr>
          <w:p w14:paraId="678D598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1 ноября объединен с заводом № 37</w:t>
            </w:r>
          </w:p>
        </w:tc>
        <w:tc>
          <w:tcPr>
            <w:tcW w:w="2126" w:type="dxa"/>
          </w:tcPr>
          <w:p w14:paraId="34B0640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D03F3E" w14:paraId="2B219BDA" w14:textId="77777777">
        <w:tc>
          <w:tcPr>
            <w:tcW w:w="2093" w:type="dxa"/>
          </w:tcPr>
          <w:p w14:paraId="0B8B80D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37</w:t>
            </w:r>
          </w:p>
        </w:tc>
        <w:tc>
          <w:tcPr>
            <w:tcW w:w="2268" w:type="dxa"/>
          </w:tcPr>
          <w:p w14:paraId="01DA7A1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Москва 61, п/я 4087, Преображенская пл.</w:t>
            </w:r>
          </w:p>
        </w:tc>
        <w:tc>
          <w:tcPr>
            <w:tcW w:w="2126" w:type="dxa"/>
          </w:tcPr>
          <w:p w14:paraId="358BABB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1941</w:t>
            </w:r>
          </w:p>
        </w:tc>
        <w:tc>
          <w:tcPr>
            <w:tcW w:w="2126" w:type="dxa"/>
          </w:tcPr>
          <w:p w14:paraId="4A4744A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Ремонт танков, автоматы, боеприпасы (литье мин)</w:t>
            </w:r>
          </w:p>
        </w:tc>
      </w:tr>
      <w:tr w:rsidR="00860B4B" w:rsidRPr="00D03F3E" w14:paraId="1E038631" w14:textId="77777777">
        <w:tc>
          <w:tcPr>
            <w:tcW w:w="2093" w:type="dxa"/>
          </w:tcPr>
          <w:p w14:paraId="4364C43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45</w:t>
            </w:r>
          </w:p>
        </w:tc>
        <w:tc>
          <w:tcPr>
            <w:tcW w:w="2268" w:type="dxa"/>
          </w:tcPr>
          <w:p w14:paraId="0BC8AA3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Маркс Саратовской области, ул. Фабричная, 18</w:t>
            </w:r>
          </w:p>
        </w:tc>
        <w:tc>
          <w:tcPr>
            <w:tcW w:w="2126" w:type="dxa"/>
          </w:tcPr>
          <w:p w14:paraId="2C37660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1880</w:t>
            </w:r>
          </w:p>
        </w:tc>
        <w:tc>
          <w:tcPr>
            <w:tcW w:w="2126" w:type="dxa"/>
          </w:tcPr>
          <w:p w14:paraId="64514CF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Запчасти и узлы В-2, боеприпасы</w:t>
            </w:r>
          </w:p>
        </w:tc>
      </w:tr>
      <w:tr w:rsidR="00860B4B" w:rsidRPr="00D03F3E" w14:paraId="0A38ACC3" w14:textId="77777777">
        <w:tc>
          <w:tcPr>
            <w:tcW w:w="2093" w:type="dxa"/>
          </w:tcPr>
          <w:p w14:paraId="083FB81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222</w:t>
            </w:r>
          </w:p>
        </w:tc>
        <w:tc>
          <w:tcPr>
            <w:tcW w:w="2268" w:type="dxa"/>
          </w:tcPr>
          <w:p w14:paraId="0F85AC8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Тогузак Южно-Уральской ж/д</w:t>
            </w:r>
          </w:p>
        </w:tc>
        <w:tc>
          <w:tcPr>
            <w:tcW w:w="2126" w:type="dxa"/>
          </w:tcPr>
          <w:p w14:paraId="1638D25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1942</w:t>
            </w:r>
          </w:p>
        </w:tc>
        <w:tc>
          <w:tcPr>
            <w:tcW w:w="2126" w:type="dxa"/>
          </w:tcPr>
          <w:p w14:paraId="1CEB4EB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Автом. танковый огнемет АТО-41, АТО-42</w:t>
            </w:r>
          </w:p>
        </w:tc>
      </w:tr>
      <w:tr w:rsidR="00860B4B" w:rsidRPr="00D03F3E" w14:paraId="07CE2CBE" w14:textId="77777777">
        <w:tc>
          <w:tcPr>
            <w:tcW w:w="2093" w:type="dxa"/>
          </w:tcPr>
          <w:p w14:paraId="3B48713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77</w:t>
            </w:r>
          </w:p>
        </w:tc>
        <w:tc>
          <w:tcPr>
            <w:tcW w:w="2268" w:type="dxa"/>
          </w:tcPr>
          <w:p w14:paraId="652CCDB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Барнаул, п/я 13</w:t>
            </w:r>
          </w:p>
        </w:tc>
        <w:tc>
          <w:tcPr>
            <w:tcW w:w="2126" w:type="dxa"/>
          </w:tcPr>
          <w:p w14:paraId="02DC7A7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1942</w:t>
            </w:r>
          </w:p>
        </w:tc>
        <w:tc>
          <w:tcPr>
            <w:tcW w:w="2126" w:type="dxa"/>
          </w:tcPr>
          <w:p w14:paraId="5F52D54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Моторы В-2, запчасти В-2</w:t>
            </w:r>
          </w:p>
        </w:tc>
      </w:tr>
      <w:tr w:rsidR="00860B4B" w:rsidRPr="00D03F3E" w14:paraId="7DB2AF14" w14:textId="77777777">
        <w:tc>
          <w:tcPr>
            <w:tcW w:w="2093" w:type="dxa"/>
          </w:tcPr>
          <w:p w14:paraId="0B9734D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176 им. Дзержинского</w:t>
            </w:r>
          </w:p>
        </w:tc>
        <w:tc>
          <w:tcPr>
            <w:tcW w:w="2268" w:type="dxa"/>
          </w:tcPr>
          <w:p w14:paraId="42D3D2D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Муром ПРЗ</w:t>
            </w:r>
          </w:p>
        </w:tc>
        <w:tc>
          <w:tcPr>
            <w:tcW w:w="2126" w:type="dxa"/>
          </w:tcPr>
          <w:p w14:paraId="534C195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1916</w:t>
            </w:r>
          </w:p>
        </w:tc>
        <w:tc>
          <w:tcPr>
            <w:tcW w:w="2126" w:type="dxa"/>
          </w:tcPr>
          <w:p w14:paraId="2974B78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СУ-152, Т-70, Т-60, Т-80, СУ-76, Т-34</w:t>
            </w:r>
          </w:p>
        </w:tc>
      </w:tr>
      <w:tr w:rsidR="00860B4B" w:rsidRPr="00D03F3E" w14:paraId="5475F590" w14:textId="77777777">
        <w:tc>
          <w:tcPr>
            <w:tcW w:w="2093" w:type="dxa"/>
          </w:tcPr>
          <w:p w14:paraId="4AF3931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177</w:t>
            </w:r>
          </w:p>
        </w:tc>
        <w:tc>
          <w:tcPr>
            <w:tcW w:w="2268" w:type="dxa"/>
          </w:tcPr>
          <w:p w14:paraId="7D5DD64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Выкса ДРО</w:t>
            </w:r>
          </w:p>
        </w:tc>
        <w:tc>
          <w:tcPr>
            <w:tcW w:w="2126" w:type="dxa"/>
          </w:tcPr>
          <w:p w14:paraId="13F3541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1932 (1930)</w:t>
            </w:r>
          </w:p>
        </w:tc>
        <w:tc>
          <w:tcPr>
            <w:tcW w:w="2126" w:type="dxa"/>
          </w:tcPr>
          <w:p w14:paraId="78EDC39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Корпуса Т-70, погоны Т-34, М-82, М-20</w:t>
            </w:r>
          </w:p>
        </w:tc>
      </w:tr>
      <w:tr w:rsidR="00860B4B" w:rsidRPr="00D03F3E" w14:paraId="7DD291EA" w14:textId="77777777">
        <w:tc>
          <w:tcPr>
            <w:tcW w:w="2093" w:type="dxa"/>
          </w:tcPr>
          <w:p w14:paraId="4C5A70A6" w14:textId="77777777" w:rsidR="003B6CA5" w:rsidRPr="00D03F3E" w:rsidRDefault="003B6CA5" w:rsidP="00D03F3E">
            <w:pPr>
              <w:widowControl w:val="0"/>
              <w:tabs>
                <w:tab w:val="left" w:pos="851"/>
              </w:tabs>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178 им. Кирова</w:t>
            </w:r>
          </w:p>
        </w:tc>
        <w:tc>
          <w:tcPr>
            <w:tcW w:w="2268" w:type="dxa"/>
          </w:tcPr>
          <w:p w14:paraId="44A07A4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Кулебаки п/я 4</w:t>
            </w:r>
          </w:p>
        </w:tc>
        <w:tc>
          <w:tcPr>
            <w:tcW w:w="2126" w:type="dxa"/>
          </w:tcPr>
          <w:p w14:paraId="5B7EE34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1867</w:t>
            </w:r>
          </w:p>
        </w:tc>
        <w:tc>
          <w:tcPr>
            <w:tcW w:w="2126" w:type="dxa"/>
          </w:tcPr>
          <w:p w14:paraId="2DE3236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Листы легированные и углеродистые, специальные, сортовой прокат, авиаспинки</w:t>
            </w:r>
          </w:p>
        </w:tc>
      </w:tr>
      <w:tr w:rsidR="00860B4B" w:rsidRPr="00D03F3E" w14:paraId="4EF75CA2" w14:textId="77777777">
        <w:tc>
          <w:tcPr>
            <w:tcW w:w="2093" w:type="dxa"/>
          </w:tcPr>
          <w:p w14:paraId="1234BA3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180</w:t>
            </w:r>
          </w:p>
        </w:tc>
        <w:tc>
          <w:tcPr>
            <w:tcW w:w="2268" w:type="dxa"/>
          </w:tcPr>
          <w:p w14:paraId="0BD9964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Саратов, п/я 128</w:t>
            </w:r>
          </w:p>
        </w:tc>
        <w:tc>
          <w:tcPr>
            <w:tcW w:w="2126" w:type="dxa"/>
          </w:tcPr>
          <w:p w14:paraId="356796C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1889 (1870)</w:t>
            </w:r>
          </w:p>
        </w:tc>
        <w:tc>
          <w:tcPr>
            <w:tcW w:w="2126" w:type="dxa"/>
          </w:tcPr>
          <w:p w14:paraId="62115BB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Корпуса, башни и детали танков Т-60, ремонт корпусов и башен Т-34</w:t>
            </w:r>
          </w:p>
        </w:tc>
      </w:tr>
      <w:tr w:rsidR="00860B4B" w:rsidRPr="00D03F3E" w14:paraId="054C33BE" w14:textId="77777777">
        <w:tc>
          <w:tcPr>
            <w:tcW w:w="2093" w:type="dxa"/>
          </w:tcPr>
          <w:p w14:paraId="02A989B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200</w:t>
            </w:r>
          </w:p>
        </w:tc>
        <w:tc>
          <w:tcPr>
            <w:tcW w:w="2268" w:type="dxa"/>
          </w:tcPr>
          <w:p w14:paraId="3D14392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Челябинск, п/я 40 (45)</w:t>
            </w:r>
          </w:p>
        </w:tc>
        <w:tc>
          <w:tcPr>
            <w:tcW w:w="2126" w:type="dxa"/>
          </w:tcPr>
          <w:p w14:paraId="4BE1253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1941</w:t>
            </w:r>
          </w:p>
        </w:tc>
        <w:tc>
          <w:tcPr>
            <w:tcW w:w="2126" w:type="dxa"/>
          </w:tcPr>
          <w:p w14:paraId="175DD1F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Бронекорпуса ИС, СУ-152, стальное литье</w:t>
            </w:r>
          </w:p>
        </w:tc>
      </w:tr>
      <w:tr w:rsidR="00860B4B" w:rsidRPr="00D03F3E" w14:paraId="1F569B81" w14:textId="77777777">
        <w:tc>
          <w:tcPr>
            <w:tcW w:w="2093" w:type="dxa"/>
          </w:tcPr>
          <w:p w14:paraId="5769B90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100</w:t>
            </w:r>
          </w:p>
        </w:tc>
        <w:tc>
          <w:tcPr>
            <w:tcW w:w="2268" w:type="dxa"/>
          </w:tcPr>
          <w:p w14:paraId="0DECBD9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Челябинск опытный СТО, п/я 224</w:t>
            </w:r>
          </w:p>
        </w:tc>
        <w:tc>
          <w:tcPr>
            <w:tcW w:w="2126" w:type="dxa"/>
          </w:tcPr>
          <w:p w14:paraId="4E32984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1942</w:t>
            </w:r>
          </w:p>
        </w:tc>
        <w:tc>
          <w:tcPr>
            <w:tcW w:w="2126" w:type="dxa"/>
          </w:tcPr>
          <w:p w14:paraId="0608EC1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Опытное танкомоторостроение</w:t>
            </w:r>
          </w:p>
        </w:tc>
      </w:tr>
      <w:tr w:rsidR="00860B4B" w:rsidRPr="00D03F3E" w14:paraId="535DD519" w14:textId="77777777">
        <w:tc>
          <w:tcPr>
            <w:tcW w:w="2093" w:type="dxa"/>
          </w:tcPr>
          <w:p w14:paraId="5898799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42 им. КПФ</w:t>
            </w:r>
          </w:p>
        </w:tc>
        <w:tc>
          <w:tcPr>
            <w:tcW w:w="2268" w:type="dxa"/>
          </w:tcPr>
          <w:p w14:paraId="6C7D1B2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Муром Горьковской области</w:t>
            </w:r>
          </w:p>
        </w:tc>
        <w:tc>
          <w:tcPr>
            <w:tcW w:w="2126" w:type="dxa"/>
          </w:tcPr>
          <w:p w14:paraId="1688633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1867</w:t>
            </w:r>
          </w:p>
        </w:tc>
        <w:tc>
          <w:tcPr>
            <w:tcW w:w="2126" w:type="dxa"/>
          </w:tcPr>
          <w:p w14:paraId="0953151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Запчасти, ходовые части Т-34, боеприпасы</w:t>
            </w:r>
          </w:p>
        </w:tc>
      </w:tr>
      <w:tr w:rsidR="00860B4B" w:rsidRPr="00D03F3E" w14:paraId="7EE327B9" w14:textId="77777777">
        <w:tc>
          <w:tcPr>
            <w:tcW w:w="2093" w:type="dxa"/>
          </w:tcPr>
          <w:p w14:paraId="51C4F89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43 им. Орджоникидзе</w:t>
            </w:r>
          </w:p>
        </w:tc>
        <w:tc>
          <w:tcPr>
            <w:tcW w:w="2268" w:type="dxa"/>
          </w:tcPr>
          <w:p w14:paraId="0C80E6B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Муром Горьковской области, п/я 6</w:t>
            </w:r>
          </w:p>
        </w:tc>
        <w:tc>
          <w:tcPr>
            <w:tcW w:w="2126" w:type="dxa"/>
          </w:tcPr>
          <w:p w14:paraId="4820912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1914</w:t>
            </w:r>
          </w:p>
        </w:tc>
        <w:tc>
          <w:tcPr>
            <w:tcW w:w="2126" w:type="dxa"/>
          </w:tcPr>
          <w:p w14:paraId="246CD99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Запчасти Т-34, токарные патроны</w:t>
            </w:r>
          </w:p>
        </w:tc>
      </w:tr>
      <w:tr w:rsidR="00860B4B" w:rsidRPr="00D03F3E" w14:paraId="32A9661E" w14:textId="77777777">
        <w:tc>
          <w:tcPr>
            <w:tcW w:w="2093" w:type="dxa"/>
          </w:tcPr>
          <w:p w14:paraId="6B77F02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44</w:t>
            </w:r>
          </w:p>
        </w:tc>
        <w:tc>
          <w:tcPr>
            <w:tcW w:w="2268" w:type="dxa"/>
          </w:tcPr>
          <w:p w14:paraId="7345AD8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Саратов, п/я 177</w:t>
            </w:r>
          </w:p>
        </w:tc>
        <w:tc>
          <w:tcPr>
            <w:tcW w:w="2126" w:type="dxa"/>
          </w:tcPr>
          <w:p w14:paraId="531E593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1935</w:t>
            </w:r>
          </w:p>
        </w:tc>
        <w:tc>
          <w:tcPr>
            <w:tcW w:w="2126" w:type="dxa"/>
          </w:tcPr>
          <w:p w14:paraId="4E51C96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Запчасти Т-34, коробка перемены передач</w:t>
            </w:r>
          </w:p>
        </w:tc>
      </w:tr>
      <w:tr w:rsidR="00860B4B" w:rsidRPr="00D03F3E" w14:paraId="1B7DE789" w14:textId="77777777">
        <w:tc>
          <w:tcPr>
            <w:tcW w:w="2093" w:type="dxa"/>
          </w:tcPr>
          <w:p w14:paraId="27BF489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46 им. Ленина</w:t>
            </w:r>
          </w:p>
        </w:tc>
        <w:tc>
          <w:tcPr>
            <w:tcW w:w="2268" w:type="dxa"/>
          </w:tcPr>
          <w:p w14:paraId="7051A65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Ижевск, ул. Кирова, 172</w:t>
            </w:r>
          </w:p>
        </w:tc>
        <w:tc>
          <w:tcPr>
            <w:tcW w:w="2126" w:type="dxa"/>
          </w:tcPr>
          <w:p w14:paraId="0766783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1941</w:t>
            </w:r>
          </w:p>
        </w:tc>
        <w:tc>
          <w:tcPr>
            <w:tcW w:w="2126" w:type="dxa"/>
          </w:tcPr>
          <w:p w14:paraId="011EF3D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Домкраты, кулисы, запчасти Т-34 (9812)</w:t>
            </w:r>
          </w:p>
        </w:tc>
      </w:tr>
    </w:tbl>
    <w:p w14:paraId="4828377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E53E5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июне - июле 1943 г. совместными усилиями двух заводов - ЧКЗ и завода № 100 были изготов</w:t>
      </w:r>
      <w:r w:rsidRPr="00D03F3E">
        <w:rPr>
          <w:rFonts w:ascii="Times New Roman" w:hAnsi="Times New Roman"/>
          <w:color w:val="000000" w:themeColor="text1"/>
          <w:sz w:val="16"/>
          <w:szCs w:val="16"/>
        </w:rPr>
        <w:softHyphen/>
        <w:t>лены Два опытных образца танка (№ 1 и 2) "Объект 233". Ведущим инженером машины был М.Ф. Балжи. В пе</w:t>
      </w:r>
      <w:r w:rsidRPr="00D03F3E">
        <w:rPr>
          <w:rFonts w:ascii="Times New Roman" w:hAnsi="Times New Roman"/>
          <w:color w:val="000000" w:themeColor="text1"/>
          <w:sz w:val="16"/>
          <w:szCs w:val="16"/>
        </w:rPr>
        <w:softHyphen/>
        <w:t>риод со 2 по 30 июля 1943 г. обе машины успешно прошли заводские ис</w:t>
      </w:r>
      <w:r w:rsidRPr="00D03F3E">
        <w:rPr>
          <w:rFonts w:ascii="Times New Roman" w:hAnsi="Times New Roman"/>
          <w:color w:val="000000" w:themeColor="text1"/>
          <w:sz w:val="16"/>
          <w:szCs w:val="16"/>
        </w:rPr>
        <w:softHyphen/>
        <w:t>пытания, по результатам которых танк "Объект 237" постановлением ГКО от 4 сентября 1943 г. под маркой "ИС-1" был принят па вооруже</w:t>
      </w:r>
      <w:r w:rsidRPr="00D03F3E">
        <w:rPr>
          <w:rFonts w:ascii="Times New Roman" w:hAnsi="Times New Roman"/>
          <w:color w:val="000000" w:themeColor="text1"/>
          <w:sz w:val="16"/>
          <w:szCs w:val="16"/>
        </w:rPr>
        <w:softHyphen/>
        <w:t>ние РККА (10703).</w:t>
      </w:r>
    </w:p>
    <w:p w14:paraId="7A94764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8B4FC0" w14:textId="77777777" w:rsidR="00F74D37" w:rsidRPr="00D03F3E" w:rsidRDefault="00F74D37" w:rsidP="00D03F3E">
      <w:pPr>
        <w:pStyle w:val="book"/>
        <w:ind w:firstLine="0"/>
        <w:jc w:val="both"/>
        <w:rPr>
          <w:color w:val="000000" w:themeColor="text1"/>
          <w:sz w:val="16"/>
          <w:szCs w:val="16"/>
        </w:rPr>
      </w:pPr>
      <w:r w:rsidRPr="00D03F3E">
        <w:rPr>
          <w:color w:val="000000" w:themeColor="text1"/>
          <w:sz w:val="16"/>
          <w:szCs w:val="16"/>
        </w:rPr>
        <w:t>С июня по декабрь 1943 г. на восстановленном заводе № 264 в Сталинграде было отремонтировано 83 немецких танка Т-III и T-IV (15225).</w:t>
      </w:r>
    </w:p>
    <w:p w14:paraId="777F4240" w14:textId="77777777" w:rsidR="00F74D37" w:rsidRPr="00D03F3E" w:rsidRDefault="00F74D37" w:rsidP="00D03F3E">
      <w:pPr>
        <w:pStyle w:val="book"/>
        <w:ind w:firstLine="0"/>
        <w:jc w:val="both"/>
        <w:rPr>
          <w:color w:val="000000" w:themeColor="text1"/>
          <w:sz w:val="16"/>
          <w:szCs w:val="16"/>
        </w:rPr>
      </w:pPr>
    </w:p>
    <w:p w14:paraId="681D98B8"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5278B44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A8845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II квартале 1943 г. заводская себесто</w:t>
      </w:r>
      <w:r w:rsidRPr="00D03F3E">
        <w:rPr>
          <w:rFonts w:ascii="Times New Roman" w:hAnsi="Times New Roman"/>
          <w:color w:val="000000" w:themeColor="text1"/>
          <w:sz w:val="16"/>
          <w:szCs w:val="16"/>
        </w:rPr>
        <w:softHyphen/>
        <w:t>имость Ла-5Ф 21-го завода со всеми готовыми изделиями состав</w:t>
      </w:r>
      <w:r w:rsidRPr="00D03F3E">
        <w:rPr>
          <w:rFonts w:ascii="Times New Roman" w:hAnsi="Times New Roman"/>
          <w:color w:val="000000" w:themeColor="text1"/>
          <w:sz w:val="16"/>
          <w:szCs w:val="16"/>
        </w:rPr>
        <w:softHyphen/>
        <w:t>ляла 105950 руб. Себестоимость Як-1 — 94170 руб., но Як-7 уже стоил на уровне Ла-5 — 103810 руб. И это на заводе № 153, где шла большая серия, а 81-й завод, где серия была меньше, сдавал Як-7 с мотором М-105ПФ по 307350 руб. Самолет Як-9 завод № 166 от</w:t>
      </w:r>
      <w:r w:rsidRPr="00D03F3E">
        <w:rPr>
          <w:rFonts w:ascii="Times New Roman" w:hAnsi="Times New Roman"/>
          <w:color w:val="000000" w:themeColor="text1"/>
          <w:sz w:val="16"/>
          <w:szCs w:val="16"/>
        </w:rPr>
        <w:softHyphen/>
        <w:t>пускал по 127340 руб. Двигатель М-82Ф стоил 53670 руб. (более половины стоимости готового Ла-5Ф). Заводская себестоимость М-82ФН составляла 69250 руб. М-105ПФ завода № 26 стоил 40960 руб., но завода № 16 — 72040 руб., т.е. выше, чем более мощный М-82Ф (11123).</w:t>
      </w:r>
    </w:p>
    <w:p w14:paraId="0AEA168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6F5545" w14:textId="77777777" w:rsidR="00A05C6C"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37270731" w14:textId="77777777" w:rsidR="00A05C6C" w:rsidRPr="00D03F3E" w:rsidRDefault="00A05C6C"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4BB572" w14:textId="77777777" w:rsidR="00A05C6C" w:rsidRPr="00D03F3E" w:rsidRDefault="00A05C6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второй квартал 1943 года Киров</w:t>
      </w:r>
      <w:r w:rsidRPr="00D03F3E">
        <w:rPr>
          <w:rFonts w:ascii="Times New Roman" w:hAnsi="Times New Roman"/>
          <w:color w:val="000000" w:themeColor="text1"/>
          <w:sz w:val="16"/>
          <w:szCs w:val="16"/>
        </w:rPr>
        <w:softHyphen/>
        <w:t xml:space="preserve">ский завод также не смог выполнить план по </w:t>
      </w:r>
      <w:r w:rsidRPr="00D03F3E">
        <w:rPr>
          <w:rFonts w:ascii="Times New Roman" w:hAnsi="Times New Roman"/>
          <w:color w:val="000000" w:themeColor="text1"/>
          <w:sz w:val="16"/>
          <w:szCs w:val="16"/>
          <w:lang w:val="en-US"/>
        </w:rPr>
        <w:t>KB</w:t>
      </w:r>
      <w:r w:rsidRPr="00D03F3E">
        <w:rPr>
          <w:rFonts w:ascii="Times New Roman" w:hAnsi="Times New Roman"/>
          <w:color w:val="000000" w:themeColor="text1"/>
          <w:sz w:val="16"/>
          <w:szCs w:val="16"/>
        </w:rPr>
        <w:t>-1С - вместо предполагавшихся 175 было сдано 155 машин. При том, что зада</w:t>
      </w:r>
      <w:r w:rsidRPr="00D03F3E">
        <w:rPr>
          <w:rFonts w:ascii="Times New Roman" w:hAnsi="Times New Roman"/>
          <w:color w:val="000000" w:themeColor="text1"/>
          <w:sz w:val="16"/>
          <w:szCs w:val="16"/>
        </w:rPr>
        <w:softHyphen/>
        <w:t>ние апреля завод перевыполнил, несмотря на то, что опять возникли перебои с корпуса</w:t>
      </w:r>
      <w:r w:rsidRPr="00D03F3E">
        <w:rPr>
          <w:rFonts w:ascii="Times New Roman" w:hAnsi="Times New Roman"/>
          <w:color w:val="000000" w:themeColor="text1"/>
          <w:sz w:val="16"/>
          <w:szCs w:val="16"/>
        </w:rPr>
        <w:softHyphen/>
        <w:t>ми. Дело в том, что по плану корпуса с заво</w:t>
      </w:r>
      <w:r w:rsidRPr="00D03F3E">
        <w:rPr>
          <w:rFonts w:ascii="Times New Roman" w:hAnsi="Times New Roman"/>
          <w:color w:val="000000" w:themeColor="text1"/>
          <w:sz w:val="16"/>
          <w:szCs w:val="16"/>
        </w:rPr>
        <w:softHyphen/>
        <w:t>да № 200 должны были поступать с 17 апреля, а начали приходить только 21-го, да и то не</w:t>
      </w:r>
      <w:r w:rsidRPr="00D03F3E">
        <w:rPr>
          <w:rFonts w:ascii="Times New Roman" w:hAnsi="Times New Roman"/>
          <w:color w:val="000000" w:themeColor="text1"/>
          <w:sz w:val="16"/>
          <w:szCs w:val="16"/>
        </w:rPr>
        <w:softHyphen/>
        <w:t>комплектно. В результате, 30 корпусов и ба</w:t>
      </w:r>
      <w:r w:rsidRPr="00D03F3E">
        <w:rPr>
          <w:rFonts w:ascii="Times New Roman" w:hAnsi="Times New Roman"/>
          <w:color w:val="000000" w:themeColor="text1"/>
          <w:sz w:val="16"/>
          <w:szCs w:val="16"/>
        </w:rPr>
        <w:softHyphen/>
        <w:t>шен прибыли на ЧКЗ только к концу месяца на</w:t>
      </w:r>
      <w:r w:rsidRPr="00D03F3E">
        <w:rPr>
          <w:rFonts w:ascii="Times New Roman" w:hAnsi="Times New Roman"/>
          <w:color w:val="000000" w:themeColor="text1"/>
          <w:sz w:val="16"/>
          <w:szCs w:val="16"/>
        </w:rPr>
        <w:softHyphen/>
        <w:t>пряжение в работе» (15226).</w:t>
      </w:r>
    </w:p>
    <w:p w14:paraId="467CBDAA" w14:textId="77777777" w:rsidR="00A05C6C" w:rsidRPr="00D03F3E" w:rsidRDefault="00A05C6C" w:rsidP="00D03F3E">
      <w:pPr>
        <w:spacing w:after="0" w:line="240" w:lineRule="auto"/>
        <w:jc w:val="both"/>
        <w:rPr>
          <w:rFonts w:ascii="Times New Roman" w:hAnsi="Times New Roman"/>
          <w:color w:val="000000" w:themeColor="text1"/>
          <w:sz w:val="16"/>
          <w:szCs w:val="16"/>
        </w:rPr>
      </w:pPr>
    </w:p>
    <w:p w14:paraId="3A850849"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1C9BB71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CB5CF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лета 1943 В.М.М. распорядился поставить М-107А, прибывшие на 22 завод еще в декабре 1942, на Пе-2. Причем поступили наоборот и отправили Пе-2 на 26 завод в Рыбинск, где они находились до осени 1934. В переписке машины звали Пе-2Д (2205,37).</w:t>
      </w:r>
    </w:p>
    <w:p w14:paraId="40B9923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2B542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лета 1943 г., после “прихода к власти” В.М. Мясищева, двигатели М-107А смонтировали на серийном Пе-2. Недостаток рабочей силы на заводе № 22 и трудности доводки силовой установки заставили пойти на несколько необычный шаг - отправить самолет на моторный завод № 26, где он находился вплоть до осени 1943 г. Летом 1943 г. в переписке ОКО-22 с заказчиками этот вариант машины стали называть Пе-2Д (4476).</w:t>
      </w:r>
    </w:p>
    <w:p w14:paraId="5B48F00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2E1B4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началу навигации 1943 г. самолет ПС-30 с “советско-американскими” моторами вновь был готов к полетам. Он опять стал летать в Петропавловск (8943).</w:t>
      </w:r>
    </w:p>
    <w:p w14:paraId="3BD97CF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9BC11C"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Жизнь и внутренняя политика:</w:t>
      </w:r>
    </w:p>
    <w:p w14:paraId="6F4C1D8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165D8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лета 1943 на набережной Москвы-реки в Парке Горького открылась выставка трофейного оружия. Постоянно пополнялась и достигла рассвета к лету 1945. Просуществовала до конца 1948, когда техника - обветшала (4617,2).</w:t>
      </w:r>
    </w:p>
    <w:p w14:paraId="330FAE0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945181"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407B19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347460" w14:textId="77777777" w:rsidR="006D2070" w:rsidRPr="00D03F3E" w:rsidRDefault="006D2070"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в целях повышения качества выпускаемого самолета Ил-2, в частности в целях достижения его максимальной скорости у земли до 410- 415 км/час была модернизирована внешняя поверхность самолета. Кроме того, все самолеты должны были иметь консоли крыла со стрелкой назад и усовершенствованные лопасти винтов (ГАСО. Ф. Р-3454. Оп. 2. Д. 14. Л. 196). Тем самым, на заводах №№ 1 и 18 окончательно были созданы эталонные двухместные штурмовики Ил-2 (11714).</w:t>
      </w:r>
    </w:p>
    <w:p w14:paraId="15615926" w14:textId="77777777" w:rsidR="006D2070" w:rsidRPr="00D03F3E" w:rsidRDefault="006D2070" w:rsidP="00D03F3E">
      <w:pPr>
        <w:spacing w:after="0" w:line="240" w:lineRule="auto"/>
        <w:jc w:val="both"/>
        <w:rPr>
          <w:rFonts w:ascii="Times New Roman" w:hAnsi="Times New Roman"/>
          <w:color w:val="000000" w:themeColor="text1"/>
          <w:sz w:val="16"/>
          <w:szCs w:val="16"/>
        </w:rPr>
      </w:pPr>
    </w:p>
    <w:p w14:paraId="52A5CB37" w14:textId="77777777" w:rsidR="00A40F84" w:rsidRPr="00D03F3E" w:rsidRDefault="00A40F84"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Летом 1943 года производство Ил-2 с НС-37, выпускаемых заводом №30, постоянно возрастало. В мае месяце завод должен был изготовить 50 новых штурмовиков, в июне – 125, в июле – 175 и с августа полностью перешел на выпуск Илов с крупнокалиберными авиапушками.</w:t>
      </w:r>
    </w:p>
    <w:p w14:paraId="3D71D09A" w14:textId="77777777" w:rsidR="00A40F84" w:rsidRPr="00D03F3E" w:rsidRDefault="00A40F84"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Однако, войсковые испытания показали, что эффективность этой версии Ила не оправдала ожиданий. Тяжелобронированная техника противника на практике оказалась также слабоуязвима для пушечного огня НС-37, как и для 23-мм ВЯ, при этом стрельба из тяжелых пушек оказалась поистине виртуозным занятием, требующим от пилота Ила высочайшего мастерства пилотирования и снайперских навыков. Кроме того, уже в ходе эксплуатации Илов с тяжелыми пушками на части машин в лонжеронах крыла стали появляться трещины – силовой набор штурмовиков просто не выдерживал длительные нагрузки от чудовищной отдачи.</w:t>
      </w:r>
    </w:p>
    <w:p w14:paraId="525C72B2" w14:textId="77777777" w:rsidR="00A40F84" w:rsidRPr="00D03F3E" w:rsidRDefault="00A40F84"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Кроме того, эксплуатация пушек в холодное время зимой 1943-44 года выявило случаи массовых отказов орудий вследствие замерзания спирто-глицериновой смеси гидравлического тормоза. Эта беда, правда, оказалась легко разрешимой. Силами аэродромных техников было опытным путем подобрано нужное сочетание спирта и глицерина, способное выдерживать морозы.</w:t>
      </w:r>
    </w:p>
    <w:p w14:paraId="3FA8ECD5" w14:textId="77777777" w:rsidR="00A40F84" w:rsidRPr="00D03F3E" w:rsidRDefault="00A40F84"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Номенклатура боеприпасов пушки НС-37, в целом, повторяла ассортимент патронов 37х198 пушки Ш-37, составлявших осколочно-зажигательно-трассирующие снаряды массой 735 г, содержащие 34 г взрывчатки A-IX-2. Взрыватель мгновенного действия, сначала МГ-7 и МГ-8, позже — А-37. Снаряд был оснащен самоликвидатором с временем срабатывания 9-12 секунд. Начальная скорость снаряда ОЗТ — 900 м/с.</w:t>
      </w:r>
    </w:p>
    <w:p w14:paraId="4E927CDF" w14:textId="77777777" w:rsidR="00A40F84" w:rsidRPr="00D03F3E" w:rsidRDefault="00A40F84"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Бронебойно-зажигательные 760-граммовые с начальной скоростью 880м/с. На дальности 200 м снаряд БЗТ пробивал по нормали 50-мм броню, а под углом 45 град. — 30-мм. На дальности 400 м снаряд БЗТ по нормали пробивал 45-мм и 40 мм а под углом 30 градусов.</w:t>
      </w:r>
    </w:p>
    <w:p w14:paraId="64CD5A84" w14:textId="77777777" w:rsidR="00A40F84" w:rsidRPr="00D03F3E" w:rsidRDefault="00A40F84"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Был также разработан подкалиберный бронебойный снаряд, но большого распространения он не получил.</w:t>
      </w:r>
    </w:p>
    <w:p w14:paraId="35165C2F" w14:textId="77777777" w:rsidR="00A40F84" w:rsidRPr="00D03F3E" w:rsidRDefault="00A40F84"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Вес метательного заряда к обоим снарядам одинаковый — около 210г. Вес гильзы 607 г, вес звена 160 г.</w:t>
      </w:r>
    </w:p>
    <w:p w14:paraId="35DB55EF" w14:textId="77777777" w:rsidR="00A40F84" w:rsidRPr="00D03F3E" w:rsidRDefault="00A40F84"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В последний год войны и первые послевоенные годы пушки НС-37 «примерялись» на ряд опытных конструкций – штурмовики Ил-8, Су-6, Су-8, но в целом, широкого распространения не получила (19170).</w:t>
      </w:r>
    </w:p>
    <w:p w14:paraId="3A7C8A04" w14:textId="77777777" w:rsidR="00A40F84" w:rsidRPr="00D03F3E" w:rsidRDefault="00A40F84" w:rsidP="00D03F3E">
      <w:pPr>
        <w:pStyle w:val="rtejustify"/>
        <w:shd w:val="clear" w:color="auto" w:fill="FFFFFF"/>
        <w:spacing w:before="0" w:beforeAutospacing="0" w:after="0" w:afterAutospacing="0"/>
        <w:jc w:val="both"/>
        <w:textAlignment w:val="baseline"/>
        <w:rPr>
          <w:color w:val="000000" w:themeColor="text1"/>
          <w:sz w:val="16"/>
          <w:szCs w:val="16"/>
        </w:rPr>
      </w:pPr>
    </w:p>
    <w:p w14:paraId="56C78D4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П.Т.Аброщенко из НИИ ВВС был ведущим инженером по войсковым испытаниям модифицированного двухместного Ил-2 с отработкой боевого применения в условиях наступательного боя. Полевые аэродромы под Курском и Белгородом. Позже П.Т.Аброщенко был ведущим инженером по испытаниям Ил-10. Опытный Ил-10 с АМ-42 сделали сразу в 3 экземплярах (172,162).</w:t>
      </w:r>
    </w:p>
    <w:p w14:paraId="40839DC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F97404" w14:textId="77777777" w:rsidR="006F0841" w:rsidRPr="00D03F3E" w:rsidRDefault="006F0841" w:rsidP="00D03F3E">
      <w:pPr>
        <w:shd w:val="clear" w:color="auto" w:fill="FFFFFF"/>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Летом 1943 года помощник командира по воздушно-стрелковой службе 1-й гшад инженер-капитан Дмитриев докладывал: «Проведённый опыт подкладки под пол воздушного стрелка боковых бронещёчек мотора показал хорошие результаты. В 76-м гв. шап было два случая прямого попадания снарядов от пушки «Эрликон» в подложенный щит, в обоих случаях стрелки остались невредимыми» (19906).</w:t>
      </w:r>
    </w:p>
    <w:p w14:paraId="25E49F16" w14:textId="77777777" w:rsidR="006F0841" w:rsidRPr="00D03F3E" w:rsidRDefault="006F0841" w:rsidP="00D03F3E">
      <w:pPr>
        <w:shd w:val="clear" w:color="auto" w:fill="FFFFFF"/>
        <w:spacing w:after="0" w:line="240" w:lineRule="auto"/>
        <w:jc w:val="both"/>
        <w:rPr>
          <w:rFonts w:ascii="Times New Roman" w:hAnsi="Times New Roman"/>
          <w:color w:val="0070C0"/>
          <w:sz w:val="16"/>
          <w:szCs w:val="16"/>
        </w:rPr>
      </w:pPr>
    </w:p>
    <w:p w14:paraId="1447E17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в целях повышения качества выпускаемого самолета Ил-2, в частности в целях достижения его максимальной скорости у земли до 410-415 км/час была модернизирована внешняя поверхность самолета. Кроме того, все самолеты должны были иметь консоли крыла со стрелкой назад и усовер шенствованные лопасти винтов (ГАСО. Ф. Р-3454. Оп. 2. Д. 14. Л. 196.). Тем самым, на заводах №№ 1 и 18 окончательно были созданы эталонные двухместные штурмовики Ил-2. Таким образом, в 1941-1943 гг. коллектив главного конструктора и конструкторов заводов №№ 1, 18 и 24 провел много конструктивных изменений по самолету Ил-2, в том числе ряд достаточно серьезных по содержанию. Они позволили улучшить аэродинамику самолета, несколько увеличить скорость, улучшить внешний вид и отделку самолета, например, улучшенный фонарь пилота, съемный концевой обтекатель крыла, запотаивание всех выступающих болтов и заклепок по фюзеляжу, клепка впотай крыла и стабилизатора, металлический бензобак был заменен на фибровый с его заполнением инертным газом. Но самая заметная модернизация относится к установке на самолет пулемета Березина (УБТ) калибра 12,7 мм для стрелка и пушек Волкова и Ярцева (ВЯ) калибром 23 мм (11714).</w:t>
      </w:r>
    </w:p>
    <w:p w14:paraId="24A1385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FC597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Летом 1943 г. специалистами НИИ-48 под руководством директора института профессора Завьялова (Отчет № 658 от 24.08.43 г.) была проведена работа по определению оптимального распределения толщины брони на самолете Ил-2. Предложение НИИ-48 об изменении схемы бронирования штурмовика Ил-2 было </w:t>
      </w:r>
      <w:r w:rsidRPr="00D03F3E">
        <w:rPr>
          <w:rFonts w:ascii="Times New Roman" w:hAnsi="Times New Roman"/>
          <w:color w:val="000000" w:themeColor="text1"/>
          <w:sz w:val="16"/>
          <w:szCs w:val="16"/>
        </w:rPr>
        <w:lastRenderedPageBreak/>
        <w:t>поддержано начальником 5 отдела УЗСиМ ВВС инженер-подполковником Игнатьевым и начальником управления генералом Алексеевым. С целью проверки результатов НИИ-48 и конкретизации некоторых параметров по приказу Алексеева в январе 1944 г. в действующую армию (в 17-ю ВА) были командированы инженер-майор Фридман от 5 отдела УЗСиМ ВВС и старший инженер А-Л.Немчинский от НИИ-48 (7442).</w:t>
      </w:r>
    </w:p>
    <w:p w14:paraId="0700487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E83C0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обследование 184-х бронекорпусов одноместных самолетов Ил-2, попавших в период зимы 42-го - весны 43-го на разделочные базы НКАП, проведенное в ЦНИИ-48, показало, что 71% попаданий в бронекорпус, относящиеся к поражению от истребителей, приходятся на долю поперечной бронеплиты, а осталь</w:t>
      </w:r>
      <w:r w:rsidRPr="00D03F3E">
        <w:rPr>
          <w:rFonts w:ascii="Times New Roman" w:hAnsi="Times New Roman"/>
          <w:color w:val="000000" w:themeColor="text1"/>
          <w:sz w:val="16"/>
          <w:szCs w:val="16"/>
        </w:rPr>
        <w:softHyphen/>
        <w:t>ные - на продольную броню. При</w:t>
      </w:r>
      <w:r w:rsidRPr="00D03F3E">
        <w:rPr>
          <w:rFonts w:ascii="Times New Roman" w:hAnsi="Times New Roman"/>
          <w:color w:val="000000" w:themeColor="text1"/>
          <w:sz w:val="16"/>
          <w:szCs w:val="16"/>
        </w:rPr>
        <w:softHyphen/>
        <w:t>чем подавляющее число попаданий соответствует атакам истребителей противника почти строго в хвост (до 20° от продольной оси самолета по горизонту и до 3-5° в вертикальной плоскости).</w:t>
      </w:r>
    </w:p>
    <w:p w14:paraId="58544AC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Наличие зазоров между подвиж</w:t>
      </w:r>
      <w:r w:rsidRPr="00D03F3E">
        <w:rPr>
          <w:rFonts w:ascii="Times New Roman" w:hAnsi="Times New Roman"/>
          <w:color w:val="000000" w:themeColor="text1"/>
          <w:sz w:val="16"/>
          <w:szCs w:val="16"/>
        </w:rPr>
        <w:softHyphen/>
        <w:t>ной частью фонаря кабины пилота и задней броней бронекорпуса при</w:t>
      </w:r>
      <w:r w:rsidRPr="00D03F3E">
        <w:rPr>
          <w:rFonts w:ascii="Times New Roman" w:hAnsi="Times New Roman"/>
          <w:color w:val="000000" w:themeColor="text1"/>
          <w:sz w:val="16"/>
          <w:szCs w:val="16"/>
        </w:rPr>
        <w:softHyphen/>
        <w:t>водило к тому, что при обстреле ис</w:t>
      </w:r>
      <w:r w:rsidRPr="00D03F3E">
        <w:rPr>
          <w:rFonts w:ascii="Times New Roman" w:hAnsi="Times New Roman"/>
          <w:color w:val="000000" w:themeColor="text1"/>
          <w:sz w:val="16"/>
          <w:szCs w:val="16"/>
        </w:rPr>
        <w:softHyphen/>
        <w:t>требителями осколки разрывающих</w:t>
      </w:r>
      <w:r w:rsidRPr="00D03F3E">
        <w:rPr>
          <w:rFonts w:ascii="Times New Roman" w:hAnsi="Times New Roman"/>
          <w:color w:val="000000" w:themeColor="text1"/>
          <w:sz w:val="16"/>
          <w:szCs w:val="16"/>
        </w:rPr>
        <w:softHyphen/>
        <w:t>ся снарядов проникали через эти зазоры в кабину и поражали летчи</w:t>
      </w:r>
      <w:r w:rsidRPr="00D03F3E">
        <w:rPr>
          <w:rFonts w:ascii="Times New Roman" w:hAnsi="Times New Roman"/>
          <w:color w:val="000000" w:themeColor="text1"/>
          <w:sz w:val="16"/>
          <w:szCs w:val="16"/>
        </w:rPr>
        <w:softHyphen/>
        <w:t>ка. Кабина летчика оказалась уяз</w:t>
      </w:r>
      <w:r w:rsidRPr="00D03F3E">
        <w:rPr>
          <w:rFonts w:ascii="Times New Roman" w:hAnsi="Times New Roman"/>
          <w:color w:val="000000" w:themeColor="text1"/>
          <w:sz w:val="16"/>
          <w:szCs w:val="16"/>
        </w:rPr>
        <w:softHyphen/>
        <w:t>вимой еще и через форточки под</w:t>
      </w:r>
      <w:r w:rsidRPr="00D03F3E">
        <w:rPr>
          <w:rFonts w:ascii="Times New Roman" w:hAnsi="Times New Roman"/>
          <w:color w:val="000000" w:themeColor="text1"/>
          <w:sz w:val="16"/>
          <w:szCs w:val="16"/>
        </w:rPr>
        <w:softHyphen/>
        <w:t>вижной части фонаря кабины. Плек</w:t>
      </w:r>
      <w:r w:rsidRPr="00D03F3E">
        <w:rPr>
          <w:rFonts w:ascii="Times New Roman" w:hAnsi="Times New Roman"/>
          <w:color w:val="000000" w:themeColor="text1"/>
          <w:sz w:val="16"/>
          <w:szCs w:val="16"/>
        </w:rPr>
        <w:softHyphen/>
        <w:t>сиглас легко пробивался пулями и осколками зенитных снарядов. Во всех случаях поражения бронеко-зырька фонаря кабины бронестекло разрушалось и своими осколками на</w:t>
      </w:r>
      <w:r w:rsidRPr="00D03F3E">
        <w:rPr>
          <w:rFonts w:ascii="Times New Roman" w:hAnsi="Times New Roman"/>
          <w:color w:val="000000" w:themeColor="text1"/>
          <w:sz w:val="16"/>
          <w:szCs w:val="16"/>
        </w:rPr>
        <w:softHyphen/>
        <w:t>носило ранения летчику. Бортовая броня кабины практически не спа</w:t>
      </w:r>
      <w:r w:rsidRPr="00D03F3E">
        <w:rPr>
          <w:rFonts w:ascii="Times New Roman" w:hAnsi="Times New Roman"/>
          <w:color w:val="000000" w:themeColor="text1"/>
          <w:sz w:val="16"/>
          <w:szCs w:val="16"/>
        </w:rPr>
        <w:softHyphen/>
        <w:t>сала летчика при прямых попаданиях снарядов калибра 37 и 20 мм.</w:t>
      </w:r>
    </w:p>
    <w:p w14:paraId="34C5E43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Бронекапот мотора не обеспечи</w:t>
      </w:r>
      <w:r w:rsidRPr="00D03F3E">
        <w:rPr>
          <w:rFonts w:ascii="Times New Roman" w:hAnsi="Times New Roman"/>
          <w:color w:val="000000" w:themeColor="text1"/>
          <w:sz w:val="16"/>
          <w:szCs w:val="16"/>
        </w:rPr>
        <w:softHyphen/>
        <w:t>вал надежную защиту, как самого мотора, так и агрегатов и узлов мо</w:t>
      </w:r>
      <w:r w:rsidRPr="00D03F3E">
        <w:rPr>
          <w:rFonts w:ascii="Times New Roman" w:hAnsi="Times New Roman"/>
          <w:color w:val="000000" w:themeColor="text1"/>
          <w:sz w:val="16"/>
          <w:szCs w:val="16"/>
        </w:rPr>
        <w:softHyphen/>
        <w:t>торной группы, особенно в районе выхлопных патрубков и бронекарма-нов передней и задней части мото</w:t>
      </w:r>
      <w:r w:rsidRPr="00D03F3E">
        <w:rPr>
          <w:rFonts w:ascii="Times New Roman" w:hAnsi="Times New Roman"/>
          <w:color w:val="000000" w:themeColor="text1"/>
          <w:sz w:val="16"/>
          <w:szCs w:val="16"/>
        </w:rPr>
        <w:softHyphen/>
        <w:t>ра. При этом нижняя броня капота при попадании в нее снарядов, как правило, почти не пробивалась, а лишь давала трещины.</w:t>
      </w:r>
    </w:p>
    <w:p w14:paraId="26D14B6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Пробитие брони капота во всех случаях сопровождалось разрушени</w:t>
      </w:r>
      <w:r w:rsidRPr="00D03F3E">
        <w:rPr>
          <w:rFonts w:ascii="Times New Roman" w:hAnsi="Times New Roman"/>
          <w:color w:val="000000" w:themeColor="text1"/>
          <w:sz w:val="16"/>
          <w:szCs w:val="16"/>
        </w:rPr>
        <w:softHyphen/>
        <w:t>ем или повреждением блоков цилин</w:t>
      </w:r>
      <w:r w:rsidRPr="00D03F3E">
        <w:rPr>
          <w:rFonts w:ascii="Times New Roman" w:hAnsi="Times New Roman"/>
          <w:color w:val="000000" w:themeColor="text1"/>
          <w:sz w:val="16"/>
          <w:szCs w:val="16"/>
        </w:rPr>
        <w:softHyphen/>
        <w:t>дров, карбюраторов, масло- и во</w:t>
      </w:r>
      <w:r w:rsidRPr="00D03F3E">
        <w:rPr>
          <w:rFonts w:ascii="Times New Roman" w:hAnsi="Times New Roman"/>
          <w:color w:val="000000" w:themeColor="text1"/>
          <w:sz w:val="16"/>
          <w:szCs w:val="16"/>
        </w:rPr>
        <w:softHyphen/>
        <w:t>допроводов, расширительного бач</w:t>
      </w:r>
      <w:r w:rsidRPr="00D03F3E">
        <w:rPr>
          <w:rFonts w:ascii="Times New Roman" w:hAnsi="Times New Roman"/>
          <w:color w:val="000000" w:themeColor="text1"/>
          <w:sz w:val="16"/>
          <w:szCs w:val="16"/>
        </w:rPr>
        <w:softHyphen/>
        <w:t>ка водосистемы, маслобака, масло</w:t>
      </w:r>
      <w:r w:rsidRPr="00D03F3E">
        <w:rPr>
          <w:rFonts w:ascii="Times New Roman" w:hAnsi="Times New Roman"/>
          <w:color w:val="000000" w:themeColor="text1"/>
          <w:sz w:val="16"/>
          <w:szCs w:val="16"/>
        </w:rPr>
        <w:softHyphen/>
        <w:t>фильтра и т.д.</w:t>
      </w:r>
    </w:p>
    <w:p w14:paraId="464783F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Массу хлопот доставлял масло-радиатор, который располагался в бронекорзине под фюзеляжем само</w:t>
      </w:r>
      <w:r w:rsidRPr="00D03F3E">
        <w:rPr>
          <w:rFonts w:ascii="Times New Roman" w:hAnsi="Times New Roman"/>
          <w:color w:val="000000" w:themeColor="text1"/>
          <w:sz w:val="16"/>
          <w:szCs w:val="16"/>
        </w:rPr>
        <w:softHyphen/>
        <w:t>лета. Дело в том, что в летнее время при закрытых бронезаслонках тем</w:t>
      </w:r>
      <w:r w:rsidRPr="00D03F3E">
        <w:rPr>
          <w:rFonts w:ascii="Times New Roman" w:hAnsi="Times New Roman"/>
          <w:color w:val="000000" w:themeColor="text1"/>
          <w:sz w:val="16"/>
          <w:szCs w:val="16"/>
        </w:rPr>
        <w:softHyphen/>
        <w:t>пература масла начинала быстро расти, и уже через 6-7 минут полета летчики были вынуждены бронезас-лонки открывать. В результате мас-лорадиатор часто поражался пуля</w:t>
      </w:r>
      <w:r w:rsidRPr="00D03F3E">
        <w:rPr>
          <w:rFonts w:ascii="Times New Roman" w:hAnsi="Times New Roman"/>
          <w:color w:val="000000" w:themeColor="text1"/>
          <w:sz w:val="16"/>
          <w:szCs w:val="16"/>
        </w:rPr>
        <w:softHyphen/>
        <w:t>ми и осколками при обстреле с зем</w:t>
      </w:r>
      <w:r w:rsidRPr="00D03F3E">
        <w:rPr>
          <w:rFonts w:ascii="Times New Roman" w:hAnsi="Times New Roman"/>
          <w:color w:val="000000" w:themeColor="text1"/>
          <w:sz w:val="16"/>
          <w:szCs w:val="16"/>
        </w:rPr>
        <w:softHyphen/>
        <w:t>ли. Более того, летный состав иног</w:t>
      </w:r>
      <w:r w:rsidRPr="00D03F3E">
        <w:rPr>
          <w:rFonts w:ascii="Times New Roman" w:hAnsi="Times New Roman"/>
          <w:color w:val="000000" w:themeColor="text1"/>
          <w:sz w:val="16"/>
          <w:szCs w:val="16"/>
        </w:rPr>
        <w:softHyphen/>
        <w:t>да вообще забывал закрывать бро-незаслонки на подходе к линии фрон</w:t>
      </w:r>
      <w:r w:rsidRPr="00D03F3E">
        <w:rPr>
          <w:rFonts w:ascii="Times New Roman" w:hAnsi="Times New Roman"/>
          <w:color w:val="000000" w:themeColor="text1"/>
          <w:sz w:val="16"/>
          <w:szCs w:val="16"/>
        </w:rPr>
        <w:softHyphen/>
        <w:t>та. Боковые стенки бронекорзины и бронезаслонки не выдерживали по</w:t>
      </w:r>
      <w:r w:rsidRPr="00D03F3E">
        <w:rPr>
          <w:rFonts w:ascii="Times New Roman" w:hAnsi="Times New Roman"/>
          <w:color w:val="000000" w:themeColor="text1"/>
          <w:sz w:val="16"/>
          <w:szCs w:val="16"/>
        </w:rPr>
        <w:softHyphen/>
        <w:t>паданий малокалиберных снарядов. Причем в некоторых случаях броне-корзина вместе с маслорадиатором срывалась с посадочных мест. Кро</w:t>
      </w:r>
      <w:r w:rsidRPr="00D03F3E">
        <w:rPr>
          <w:rFonts w:ascii="Times New Roman" w:hAnsi="Times New Roman"/>
          <w:color w:val="000000" w:themeColor="text1"/>
          <w:sz w:val="16"/>
          <w:szCs w:val="16"/>
        </w:rPr>
        <w:softHyphen/>
        <w:t>ме этого, на практике имелись слу</w:t>
      </w:r>
      <w:r w:rsidRPr="00D03F3E">
        <w:rPr>
          <w:rFonts w:ascii="Times New Roman" w:hAnsi="Times New Roman"/>
          <w:color w:val="000000" w:themeColor="text1"/>
          <w:sz w:val="16"/>
          <w:szCs w:val="16"/>
        </w:rPr>
        <w:softHyphen/>
        <w:t>чаи воспламенения самолета после повреждения маслорадиатора. Отметим, что случаи поражения находящегося внутри бронекорпуса водорадиатора наблюдались весьма и весьма редко.</w:t>
      </w:r>
    </w:p>
    <w:p w14:paraId="409D8B3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Недостаточная толщина брониро</w:t>
      </w:r>
      <w:r w:rsidRPr="00D03F3E">
        <w:rPr>
          <w:rFonts w:ascii="Times New Roman" w:hAnsi="Times New Roman"/>
          <w:color w:val="000000" w:themeColor="text1"/>
          <w:sz w:val="16"/>
          <w:szCs w:val="16"/>
        </w:rPr>
        <w:softHyphen/>
        <w:t>вания Ил-2 в районе переднего и зад</w:t>
      </w:r>
      <w:r w:rsidRPr="00D03F3E">
        <w:rPr>
          <w:rFonts w:ascii="Times New Roman" w:hAnsi="Times New Roman"/>
          <w:color w:val="000000" w:themeColor="text1"/>
          <w:sz w:val="16"/>
          <w:szCs w:val="16"/>
        </w:rPr>
        <w:softHyphen/>
        <w:t>него бензобаков в некоторой степе</w:t>
      </w:r>
      <w:r w:rsidRPr="00D03F3E">
        <w:rPr>
          <w:rFonts w:ascii="Times New Roman" w:hAnsi="Times New Roman"/>
          <w:color w:val="000000" w:themeColor="text1"/>
          <w:sz w:val="16"/>
          <w:szCs w:val="16"/>
        </w:rPr>
        <w:softHyphen/>
        <w:t>ни компенсировалась наличием про</w:t>
      </w:r>
      <w:r w:rsidRPr="00D03F3E">
        <w:rPr>
          <w:rFonts w:ascii="Times New Roman" w:hAnsi="Times New Roman"/>
          <w:color w:val="000000" w:themeColor="text1"/>
          <w:sz w:val="16"/>
          <w:szCs w:val="16"/>
        </w:rPr>
        <w:softHyphen/>
        <w:t>тектора на бензобаках и системы за</w:t>
      </w:r>
      <w:r w:rsidRPr="00D03F3E">
        <w:rPr>
          <w:rFonts w:ascii="Times New Roman" w:hAnsi="Times New Roman"/>
          <w:color w:val="000000" w:themeColor="text1"/>
          <w:sz w:val="16"/>
          <w:szCs w:val="16"/>
        </w:rPr>
        <w:softHyphen/>
        <w:t>полнения их нейтральным газом. По отзывам летного и технического со</w:t>
      </w:r>
      <w:r w:rsidRPr="00D03F3E">
        <w:rPr>
          <w:rFonts w:ascii="Times New Roman" w:hAnsi="Times New Roman"/>
          <w:color w:val="000000" w:themeColor="text1"/>
          <w:sz w:val="16"/>
          <w:szCs w:val="16"/>
        </w:rPr>
        <w:softHyphen/>
        <w:t>става протектор и нейтральный газ во многих случаях вполне оправды</w:t>
      </w:r>
      <w:r w:rsidRPr="00D03F3E">
        <w:rPr>
          <w:rFonts w:ascii="Times New Roman" w:hAnsi="Times New Roman"/>
          <w:color w:val="000000" w:themeColor="text1"/>
          <w:sz w:val="16"/>
          <w:szCs w:val="16"/>
        </w:rPr>
        <w:softHyphen/>
        <w:t>вали свое назначение. Однако при попадании в бензобаки малокали берных снарядов они, как правило, загорались и затем взрывались, при этом осколки, как от взрыва снаря</w:t>
      </w:r>
      <w:r w:rsidRPr="00D03F3E">
        <w:rPr>
          <w:rFonts w:ascii="Times New Roman" w:hAnsi="Times New Roman"/>
          <w:color w:val="000000" w:themeColor="text1"/>
          <w:sz w:val="16"/>
          <w:szCs w:val="16"/>
        </w:rPr>
        <w:softHyphen/>
        <w:t>да, так и от взрыва баков, проника</w:t>
      </w:r>
      <w:r w:rsidRPr="00D03F3E">
        <w:rPr>
          <w:rFonts w:ascii="Times New Roman" w:hAnsi="Times New Roman"/>
          <w:color w:val="000000" w:themeColor="text1"/>
          <w:sz w:val="16"/>
          <w:szCs w:val="16"/>
        </w:rPr>
        <w:softHyphen/>
        <w:t>ли в кабину летчика со всеми выте</w:t>
      </w:r>
      <w:r w:rsidRPr="00D03F3E">
        <w:rPr>
          <w:rFonts w:ascii="Times New Roman" w:hAnsi="Times New Roman"/>
          <w:color w:val="000000" w:themeColor="text1"/>
          <w:sz w:val="16"/>
          <w:szCs w:val="16"/>
        </w:rPr>
        <w:softHyphen/>
        <w:t>кающими последствиями.</w:t>
      </w:r>
    </w:p>
    <w:p w14:paraId="76F3A96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Наиболее опасными для Ил-2 яв</w:t>
      </w:r>
      <w:r w:rsidRPr="00D03F3E">
        <w:rPr>
          <w:rFonts w:ascii="Times New Roman" w:hAnsi="Times New Roman"/>
          <w:color w:val="000000" w:themeColor="text1"/>
          <w:sz w:val="16"/>
          <w:szCs w:val="16"/>
        </w:rPr>
        <w:softHyphen/>
        <w:t>лялись зенитные автоматы калибра 20-37 мм и крупнокалиберные пуле</w:t>
      </w:r>
      <w:r w:rsidRPr="00D03F3E">
        <w:rPr>
          <w:rFonts w:ascii="Times New Roman" w:hAnsi="Times New Roman"/>
          <w:color w:val="000000" w:themeColor="text1"/>
          <w:sz w:val="16"/>
          <w:szCs w:val="16"/>
        </w:rPr>
        <w:softHyphen/>
        <w:t>меты (13 мм). Причем бронебойные пули крупного калибра по бронеп-робиваемости оказались даже луч</w:t>
      </w:r>
      <w:r w:rsidRPr="00D03F3E">
        <w:rPr>
          <w:rFonts w:ascii="Times New Roman" w:hAnsi="Times New Roman"/>
          <w:color w:val="000000" w:themeColor="text1"/>
          <w:sz w:val="16"/>
          <w:szCs w:val="16"/>
        </w:rPr>
        <w:softHyphen/>
        <w:t>ше 20-мм снарядов, да и скорост</w:t>
      </w:r>
      <w:r w:rsidRPr="00D03F3E">
        <w:rPr>
          <w:rFonts w:ascii="Times New Roman" w:hAnsi="Times New Roman"/>
          <w:color w:val="000000" w:themeColor="text1"/>
          <w:sz w:val="16"/>
          <w:szCs w:val="16"/>
        </w:rPr>
        <w:softHyphen/>
        <w:t>рельность пулеметов была значитель</w:t>
      </w:r>
      <w:r w:rsidRPr="00D03F3E">
        <w:rPr>
          <w:rFonts w:ascii="Times New Roman" w:hAnsi="Times New Roman"/>
          <w:color w:val="000000" w:themeColor="text1"/>
          <w:sz w:val="16"/>
          <w:szCs w:val="16"/>
        </w:rPr>
        <w:softHyphen/>
        <w:t>но выше пушечных установок. Сред</w:t>
      </w:r>
      <w:r w:rsidRPr="00D03F3E">
        <w:rPr>
          <w:rFonts w:ascii="Times New Roman" w:hAnsi="Times New Roman"/>
          <w:color w:val="000000" w:themeColor="text1"/>
          <w:sz w:val="16"/>
          <w:szCs w:val="16"/>
        </w:rPr>
        <w:softHyphen/>
        <w:t>ний процент пробития брони от огня малокалиберной зенитной артилле</w:t>
      </w:r>
      <w:r w:rsidRPr="00D03F3E">
        <w:rPr>
          <w:rFonts w:ascii="Times New Roman" w:hAnsi="Times New Roman"/>
          <w:color w:val="000000" w:themeColor="text1"/>
          <w:sz w:val="16"/>
          <w:szCs w:val="16"/>
        </w:rPr>
        <w:softHyphen/>
        <w:t>рии и зенитных пулеметных устано</w:t>
      </w:r>
      <w:r w:rsidRPr="00D03F3E">
        <w:rPr>
          <w:rFonts w:ascii="Times New Roman" w:hAnsi="Times New Roman"/>
          <w:color w:val="000000" w:themeColor="text1"/>
          <w:sz w:val="16"/>
          <w:szCs w:val="16"/>
        </w:rPr>
        <w:softHyphen/>
        <w:t>вок оказался почти вдвое выше, чем от огня истребителей. Характер про</w:t>
      </w:r>
      <w:r w:rsidRPr="00D03F3E">
        <w:rPr>
          <w:rFonts w:ascii="Times New Roman" w:hAnsi="Times New Roman"/>
          <w:color w:val="000000" w:themeColor="text1"/>
          <w:sz w:val="16"/>
          <w:szCs w:val="16"/>
        </w:rPr>
        <w:softHyphen/>
        <w:t>боин бронекорпусов списанных штурмовиков Ил-2 (ввиду невозмож</w:t>
      </w:r>
      <w:r w:rsidRPr="00D03F3E">
        <w:rPr>
          <w:rFonts w:ascii="Times New Roman" w:hAnsi="Times New Roman"/>
          <w:color w:val="000000" w:themeColor="text1"/>
          <w:sz w:val="16"/>
          <w:szCs w:val="16"/>
        </w:rPr>
        <w:softHyphen/>
        <w:t>ности ремонта) позволяет сделать вывод, что угловой конус поражения Ил-2 при обстреле немецкой зенит</w:t>
      </w:r>
      <w:r w:rsidRPr="00D03F3E">
        <w:rPr>
          <w:rFonts w:ascii="Times New Roman" w:hAnsi="Times New Roman"/>
          <w:color w:val="000000" w:themeColor="text1"/>
          <w:sz w:val="16"/>
          <w:szCs w:val="16"/>
        </w:rPr>
        <w:softHyphen/>
        <w:t>ной артиллерией не превышал в го</w:t>
      </w:r>
      <w:r w:rsidRPr="00D03F3E">
        <w:rPr>
          <w:rFonts w:ascii="Times New Roman" w:hAnsi="Times New Roman"/>
          <w:color w:val="000000" w:themeColor="text1"/>
          <w:sz w:val="16"/>
          <w:szCs w:val="16"/>
        </w:rPr>
        <w:softHyphen/>
        <w:t>ризонтальной плоскости 20-25° к нормали и в вертикальной плоско</w:t>
      </w:r>
      <w:r w:rsidRPr="00D03F3E">
        <w:rPr>
          <w:rFonts w:ascii="Times New Roman" w:hAnsi="Times New Roman"/>
          <w:color w:val="000000" w:themeColor="text1"/>
          <w:sz w:val="16"/>
          <w:szCs w:val="16"/>
        </w:rPr>
        <w:softHyphen/>
        <w:t>сти — 10-15° к нормали. То есть, все попадания в бронекорпус Ил-2 от пу-шечно-пулеметного зенитного огня приходились исключительно на его боковую часть, тогда как попереч</w:t>
      </w:r>
      <w:r w:rsidRPr="00D03F3E">
        <w:rPr>
          <w:rFonts w:ascii="Times New Roman" w:hAnsi="Times New Roman"/>
          <w:color w:val="000000" w:themeColor="text1"/>
          <w:sz w:val="16"/>
          <w:szCs w:val="16"/>
        </w:rPr>
        <w:softHyphen/>
        <w:t>ная броня, а также верхняя и ниж</w:t>
      </w:r>
      <w:r w:rsidRPr="00D03F3E">
        <w:rPr>
          <w:rFonts w:ascii="Times New Roman" w:hAnsi="Times New Roman"/>
          <w:color w:val="000000" w:themeColor="text1"/>
          <w:sz w:val="16"/>
          <w:szCs w:val="16"/>
        </w:rPr>
        <w:softHyphen/>
        <w:t>няя части продольной брони попа</w:t>
      </w:r>
      <w:r w:rsidRPr="00D03F3E">
        <w:rPr>
          <w:rFonts w:ascii="Times New Roman" w:hAnsi="Times New Roman"/>
          <w:color w:val="000000" w:themeColor="text1"/>
          <w:sz w:val="16"/>
          <w:szCs w:val="16"/>
        </w:rPr>
        <w:softHyphen/>
        <w:t>даний от зенитного огня практичес</w:t>
      </w:r>
      <w:r w:rsidRPr="00D03F3E">
        <w:rPr>
          <w:rFonts w:ascii="Times New Roman" w:hAnsi="Times New Roman"/>
          <w:color w:val="000000" w:themeColor="text1"/>
          <w:sz w:val="16"/>
          <w:szCs w:val="16"/>
        </w:rPr>
        <w:softHyphen/>
        <w:t>ки не имели.</w:t>
      </w:r>
    </w:p>
    <w:p w14:paraId="7CB7CDF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Поражение штурмовиков Ил-2 ог</w:t>
      </w:r>
      <w:r w:rsidRPr="00D03F3E">
        <w:rPr>
          <w:rFonts w:ascii="Times New Roman" w:hAnsi="Times New Roman"/>
          <w:color w:val="000000" w:themeColor="text1"/>
          <w:sz w:val="16"/>
          <w:szCs w:val="16"/>
        </w:rPr>
        <w:softHyphen/>
        <w:t>нем зенитных орудий средних калибров достигалось главным образом ос</w:t>
      </w:r>
      <w:r w:rsidRPr="00D03F3E">
        <w:rPr>
          <w:rFonts w:ascii="Times New Roman" w:hAnsi="Times New Roman"/>
          <w:color w:val="000000" w:themeColor="text1"/>
          <w:sz w:val="16"/>
          <w:szCs w:val="16"/>
        </w:rPr>
        <w:softHyphen/>
        <w:t>колками и редко, вследствие прямо</w:t>
      </w:r>
      <w:r w:rsidRPr="00D03F3E">
        <w:rPr>
          <w:rFonts w:ascii="Times New Roman" w:hAnsi="Times New Roman"/>
          <w:color w:val="000000" w:themeColor="text1"/>
          <w:sz w:val="16"/>
          <w:szCs w:val="16"/>
        </w:rPr>
        <w:softHyphen/>
        <w:t>го попадания снаряда.</w:t>
      </w:r>
    </w:p>
    <w:p w14:paraId="3265FB1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Весьма частым явлением были по</w:t>
      </w:r>
      <w:r w:rsidRPr="00D03F3E">
        <w:rPr>
          <w:rFonts w:ascii="Times New Roman" w:hAnsi="Times New Roman"/>
          <w:color w:val="000000" w:themeColor="text1"/>
          <w:sz w:val="16"/>
          <w:szCs w:val="16"/>
        </w:rPr>
        <w:softHyphen/>
        <w:t>ломки и аварии самолетов Ил-2 из-за крайне неудачного расположения агрегатов воздушной системы убор</w:t>
      </w:r>
      <w:r w:rsidRPr="00D03F3E">
        <w:rPr>
          <w:rFonts w:ascii="Times New Roman" w:hAnsi="Times New Roman"/>
          <w:color w:val="000000" w:themeColor="text1"/>
          <w:sz w:val="16"/>
          <w:szCs w:val="16"/>
        </w:rPr>
        <w:softHyphen/>
        <w:t>ки и выпуска шасси и тросов ава</w:t>
      </w:r>
      <w:r w:rsidRPr="00D03F3E">
        <w:rPr>
          <w:rFonts w:ascii="Times New Roman" w:hAnsi="Times New Roman"/>
          <w:color w:val="000000" w:themeColor="text1"/>
          <w:sz w:val="16"/>
          <w:szCs w:val="16"/>
        </w:rPr>
        <w:softHyphen/>
        <w:t>рийного выпуска шасси, которые легко повреждались пулеметно-пу-шечным огнем и осколками зенитных снарядов. В среднем в 71% случаях повреждения органов приземления (пирамида, подкосы, цилиндры выпус</w:t>
      </w:r>
      <w:r w:rsidRPr="00D03F3E">
        <w:rPr>
          <w:rFonts w:ascii="Times New Roman" w:hAnsi="Times New Roman"/>
          <w:color w:val="000000" w:themeColor="text1"/>
          <w:sz w:val="16"/>
          <w:szCs w:val="16"/>
        </w:rPr>
        <w:softHyphen/>
        <w:t>ка, воздушная проводка и т.д.) по</w:t>
      </w:r>
      <w:r w:rsidRPr="00D03F3E">
        <w:rPr>
          <w:rFonts w:ascii="Times New Roman" w:hAnsi="Times New Roman"/>
          <w:color w:val="000000" w:themeColor="text1"/>
          <w:sz w:val="16"/>
          <w:szCs w:val="16"/>
        </w:rPr>
        <w:softHyphen/>
        <w:t>ломки и аварии происходили имен</w:t>
      </w:r>
      <w:r w:rsidRPr="00D03F3E">
        <w:rPr>
          <w:rFonts w:ascii="Times New Roman" w:hAnsi="Times New Roman"/>
          <w:color w:val="000000" w:themeColor="text1"/>
          <w:sz w:val="16"/>
          <w:szCs w:val="16"/>
        </w:rPr>
        <w:softHyphen/>
        <w:t>но по причине выхода из строя аг</w:t>
      </w:r>
      <w:r w:rsidRPr="00D03F3E">
        <w:rPr>
          <w:rFonts w:ascii="Times New Roman" w:hAnsi="Times New Roman"/>
          <w:color w:val="000000" w:themeColor="text1"/>
          <w:sz w:val="16"/>
          <w:szCs w:val="16"/>
        </w:rPr>
        <w:softHyphen/>
        <w:t>регатов уборки шасси. Почти во всех случаях при посадке происходили по</w:t>
      </w:r>
      <w:r w:rsidRPr="00D03F3E">
        <w:rPr>
          <w:rFonts w:ascii="Times New Roman" w:hAnsi="Times New Roman"/>
          <w:color w:val="000000" w:themeColor="text1"/>
          <w:sz w:val="16"/>
          <w:szCs w:val="16"/>
        </w:rPr>
        <w:softHyphen/>
        <w:t>ломки винтов, консолей и т.д.</w:t>
      </w:r>
    </w:p>
    <w:p w14:paraId="0D5F54C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Отсутствие дублирования в сис</w:t>
      </w:r>
      <w:r w:rsidRPr="00D03F3E">
        <w:rPr>
          <w:rFonts w:ascii="Times New Roman" w:hAnsi="Times New Roman"/>
          <w:color w:val="000000" w:themeColor="text1"/>
          <w:sz w:val="16"/>
          <w:szCs w:val="16"/>
        </w:rPr>
        <w:softHyphen/>
        <w:t>теме управления самолетом — рули, элероны и проводка управления ими (главным образом руля высоты), так</w:t>
      </w:r>
      <w:r w:rsidRPr="00D03F3E">
        <w:rPr>
          <w:rFonts w:ascii="Times New Roman" w:hAnsi="Times New Roman"/>
          <w:color w:val="000000" w:themeColor="text1"/>
          <w:sz w:val="16"/>
          <w:szCs w:val="16"/>
        </w:rPr>
        <w:softHyphen/>
        <w:t>же не способствовало повышению живучести самолета в бою. На ее долю приходилось примерно 22,6% всех поражений Ил-2 в бою.</w:t>
      </w:r>
    </w:p>
    <w:p w14:paraId="1D44874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Наилучшим маневром для Ил-2 против огня зенитной артиллерии среднего калибра являлось одновре</w:t>
      </w:r>
      <w:r w:rsidRPr="00D03F3E">
        <w:rPr>
          <w:rFonts w:ascii="Times New Roman" w:hAnsi="Times New Roman"/>
          <w:color w:val="000000" w:themeColor="text1"/>
          <w:sz w:val="16"/>
          <w:szCs w:val="16"/>
        </w:rPr>
        <w:softHyphen/>
        <w:t>менное изменение высоты и курса, а эффективное противодействие огню зенитных автоматов штурмовики мог</w:t>
      </w:r>
      <w:r w:rsidRPr="00D03F3E">
        <w:rPr>
          <w:rFonts w:ascii="Times New Roman" w:hAnsi="Times New Roman"/>
          <w:color w:val="000000" w:themeColor="text1"/>
          <w:sz w:val="16"/>
          <w:szCs w:val="16"/>
        </w:rPr>
        <w:softHyphen/>
        <w:t>ли обеспечить путем резкого и од</w:t>
      </w:r>
      <w:r w:rsidRPr="00D03F3E">
        <w:rPr>
          <w:rFonts w:ascii="Times New Roman" w:hAnsi="Times New Roman"/>
          <w:color w:val="000000" w:themeColor="text1"/>
          <w:sz w:val="16"/>
          <w:szCs w:val="16"/>
        </w:rPr>
        <w:softHyphen/>
        <w:t>новременного изменения курса, вы</w:t>
      </w:r>
      <w:r w:rsidRPr="00D03F3E">
        <w:rPr>
          <w:rFonts w:ascii="Times New Roman" w:hAnsi="Times New Roman"/>
          <w:color w:val="000000" w:themeColor="text1"/>
          <w:sz w:val="16"/>
          <w:szCs w:val="16"/>
        </w:rPr>
        <w:softHyphen/>
        <w:t>соты и скорости. Однако горизон</w:t>
      </w:r>
      <w:r w:rsidRPr="00D03F3E">
        <w:rPr>
          <w:rFonts w:ascii="Times New Roman" w:hAnsi="Times New Roman"/>
          <w:color w:val="000000" w:themeColor="text1"/>
          <w:sz w:val="16"/>
          <w:szCs w:val="16"/>
        </w:rPr>
        <w:softHyphen/>
        <w:t>тальная и вертикальная маневрен</w:t>
      </w:r>
      <w:r w:rsidRPr="00D03F3E">
        <w:rPr>
          <w:rFonts w:ascii="Times New Roman" w:hAnsi="Times New Roman"/>
          <w:color w:val="000000" w:themeColor="text1"/>
          <w:sz w:val="16"/>
          <w:szCs w:val="16"/>
        </w:rPr>
        <w:softHyphen/>
        <w:t>ность Ил-2 не позволяла выполнять эффективный противозенитный ма</w:t>
      </w:r>
      <w:r w:rsidRPr="00D03F3E">
        <w:rPr>
          <w:rFonts w:ascii="Times New Roman" w:hAnsi="Times New Roman"/>
          <w:color w:val="000000" w:themeColor="text1"/>
          <w:sz w:val="16"/>
          <w:szCs w:val="16"/>
        </w:rPr>
        <w:softHyphen/>
        <w:t>невр и энергичное боевое маневри</w:t>
      </w:r>
      <w:r w:rsidRPr="00D03F3E">
        <w:rPr>
          <w:rFonts w:ascii="Times New Roman" w:hAnsi="Times New Roman"/>
          <w:color w:val="000000" w:themeColor="text1"/>
          <w:sz w:val="16"/>
          <w:szCs w:val="16"/>
        </w:rPr>
        <w:softHyphen/>
        <w:t>рование, что, в принципе, могло бы компенсировать несовершенство системы боевой живучести самоле</w:t>
      </w:r>
      <w:r w:rsidRPr="00D03F3E">
        <w:rPr>
          <w:rFonts w:ascii="Times New Roman" w:hAnsi="Times New Roman"/>
          <w:color w:val="000000" w:themeColor="text1"/>
          <w:sz w:val="16"/>
          <w:szCs w:val="16"/>
        </w:rPr>
        <w:softHyphen/>
        <w:t>та и обеспечить успешность боевых действий в условиях сильного зенит</w:t>
      </w:r>
      <w:r w:rsidRPr="00D03F3E">
        <w:rPr>
          <w:rFonts w:ascii="Times New Roman" w:hAnsi="Times New Roman"/>
          <w:color w:val="000000" w:themeColor="text1"/>
          <w:sz w:val="16"/>
          <w:szCs w:val="16"/>
        </w:rPr>
        <w:softHyphen/>
        <w:t>ного огня.</w:t>
      </w:r>
    </w:p>
    <w:p w14:paraId="6906639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Отмечалась недостаточная сред</w:t>
      </w:r>
      <w:r w:rsidRPr="00D03F3E">
        <w:rPr>
          <w:rFonts w:ascii="Times New Roman" w:hAnsi="Times New Roman"/>
          <w:color w:val="000000" w:themeColor="text1"/>
          <w:sz w:val="16"/>
          <w:szCs w:val="16"/>
        </w:rPr>
        <w:softHyphen/>
        <w:t>няя скорость полета в строю - всего 300-320 км/ч, но главное, это не</w:t>
      </w:r>
      <w:r w:rsidRPr="00D03F3E">
        <w:rPr>
          <w:rFonts w:ascii="Times New Roman" w:hAnsi="Times New Roman"/>
          <w:color w:val="000000" w:themeColor="text1"/>
          <w:sz w:val="16"/>
          <w:szCs w:val="16"/>
        </w:rPr>
        <w:softHyphen/>
        <w:t>большой диапазон скоростей - не более 30-40 км/ч. "Приходится ре</w:t>
      </w:r>
      <w:r w:rsidRPr="00D03F3E">
        <w:rPr>
          <w:rFonts w:ascii="Times New Roman" w:hAnsi="Times New Roman"/>
          <w:color w:val="000000" w:themeColor="text1"/>
          <w:sz w:val="16"/>
          <w:szCs w:val="16"/>
        </w:rPr>
        <w:softHyphen/>
        <w:t>комендовать летчикам не делать рез</w:t>
      </w:r>
      <w:r w:rsidRPr="00D03F3E">
        <w:rPr>
          <w:rFonts w:ascii="Times New Roman" w:hAnsi="Times New Roman"/>
          <w:color w:val="000000" w:themeColor="text1"/>
          <w:sz w:val="16"/>
          <w:szCs w:val="16"/>
        </w:rPr>
        <w:softHyphen/>
        <w:t>ких маневров", — сетовал по этому поводу командный состав штурмовых полков.</w:t>
      </w:r>
    </w:p>
    <w:p w14:paraId="3528806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этого, "не особенно высо</w:t>
      </w:r>
      <w:r w:rsidRPr="00D03F3E">
        <w:rPr>
          <w:rFonts w:ascii="Times New Roman" w:hAnsi="Times New Roman"/>
          <w:color w:val="000000" w:themeColor="text1"/>
          <w:sz w:val="16"/>
          <w:szCs w:val="16"/>
        </w:rPr>
        <w:softHyphen/>
        <w:t>кие летные качества... и поворотли</w:t>
      </w:r>
      <w:r w:rsidRPr="00D03F3E">
        <w:rPr>
          <w:rFonts w:ascii="Times New Roman" w:hAnsi="Times New Roman"/>
          <w:color w:val="000000" w:themeColor="text1"/>
          <w:sz w:val="16"/>
          <w:szCs w:val="16"/>
        </w:rPr>
        <w:softHyphen/>
        <w:t>вость ограничивают выбор способов атак, а разрывы между атаками по</w:t>
      </w:r>
      <w:r w:rsidRPr="00D03F3E">
        <w:rPr>
          <w:rFonts w:ascii="Times New Roman" w:hAnsi="Times New Roman"/>
          <w:color w:val="000000" w:themeColor="text1"/>
          <w:sz w:val="16"/>
          <w:szCs w:val="16"/>
        </w:rPr>
        <w:softHyphen/>
        <w:t>лучаются довольно большими". Не</w:t>
      </w:r>
      <w:r w:rsidRPr="00D03F3E">
        <w:rPr>
          <w:rFonts w:ascii="Times New Roman" w:hAnsi="Times New Roman"/>
          <w:color w:val="000000" w:themeColor="text1"/>
          <w:sz w:val="16"/>
          <w:szCs w:val="16"/>
        </w:rPr>
        <w:softHyphen/>
        <w:t>прерывного огневого воздействия на цели не получалось. Это давало про</w:t>
      </w:r>
      <w:r w:rsidRPr="00D03F3E">
        <w:rPr>
          <w:rFonts w:ascii="Times New Roman" w:hAnsi="Times New Roman"/>
          <w:color w:val="000000" w:themeColor="text1"/>
          <w:sz w:val="16"/>
          <w:szCs w:val="16"/>
        </w:rPr>
        <w:softHyphen/>
        <w:t>тивнику возможность прийти в себя после первой атаки штурмовиков и организовать противодействие пос</w:t>
      </w:r>
      <w:r w:rsidRPr="00D03F3E">
        <w:rPr>
          <w:rFonts w:ascii="Times New Roman" w:hAnsi="Times New Roman"/>
          <w:color w:val="000000" w:themeColor="text1"/>
          <w:sz w:val="16"/>
          <w:szCs w:val="16"/>
        </w:rPr>
        <w:softHyphen/>
        <w:t>ледующим ударам Ил-2.</w:t>
      </w:r>
    </w:p>
    <w:p w14:paraId="6DD3181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Система вооружения Ил-2 не в полном объеме соответствовала ре</w:t>
      </w:r>
      <w:r w:rsidRPr="00D03F3E">
        <w:rPr>
          <w:rFonts w:ascii="Times New Roman" w:hAnsi="Times New Roman"/>
          <w:color w:val="000000" w:themeColor="text1"/>
          <w:sz w:val="16"/>
          <w:szCs w:val="16"/>
        </w:rPr>
        <w:softHyphen/>
        <w:t>шаемым штурмовиками боевым за</w:t>
      </w:r>
      <w:r w:rsidRPr="00D03F3E">
        <w:rPr>
          <w:rFonts w:ascii="Times New Roman" w:hAnsi="Times New Roman"/>
          <w:color w:val="000000" w:themeColor="text1"/>
          <w:sz w:val="16"/>
          <w:szCs w:val="16"/>
        </w:rPr>
        <w:softHyphen/>
        <w:t>дачам и позволяла эффективно ра</w:t>
      </w:r>
      <w:r w:rsidRPr="00D03F3E">
        <w:rPr>
          <w:rFonts w:ascii="Times New Roman" w:hAnsi="Times New Roman"/>
          <w:color w:val="000000" w:themeColor="text1"/>
          <w:sz w:val="16"/>
          <w:szCs w:val="16"/>
        </w:rPr>
        <w:softHyphen/>
        <w:t>ботать лишь по не защищенным или слабо защищенным целям (автома</w:t>
      </w:r>
      <w:r w:rsidRPr="00D03F3E">
        <w:rPr>
          <w:rFonts w:ascii="Times New Roman" w:hAnsi="Times New Roman"/>
          <w:color w:val="000000" w:themeColor="text1"/>
          <w:sz w:val="16"/>
          <w:szCs w:val="16"/>
        </w:rPr>
        <w:softHyphen/>
        <w:t>шины, бронетранспортеры, огневые точки, артминбатареи и т.д.).</w:t>
      </w:r>
    </w:p>
    <w:p w14:paraId="564FB29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Пушки ВЯ-23 при действии по средним танкам, а пушки ШВАК и по легким танкам, оказались мало</w:t>
      </w:r>
      <w:r w:rsidRPr="00D03F3E">
        <w:rPr>
          <w:rFonts w:ascii="Times New Roman" w:hAnsi="Times New Roman"/>
          <w:color w:val="000000" w:themeColor="text1"/>
          <w:sz w:val="16"/>
          <w:szCs w:val="16"/>
        </w:rPr>
        <w:softHyphen/>
        <w:t>эффективными. Хорошие результаты при стрельбе по немецкой бронетех-нике показывали только авиапушки калибра 37 мм. Однако попытка повысить боевые свойства Ил-2 пу</w:t>
      </w:r>
      <w:r w:rsidRPr="00D03F3E">
        <w:rPr>
          <w:rFonts w:ascii="Times New Roman" w:hAnsi="Times New Roman"/>
          <w:color w:val="000000" w:themeColor="text1"/>
          <w:sz w:val="16"/>
          <w:szCs w:val="16"/>
        </w:rPr>
        <w:softHyphen/>
        <w:t>тем установки двух 37-мм пушек ШФК-37 (ОКБ-15 НКВ) оказалась неудачной. Малый запас продольной устойчивости и усложнение техники пилотирования Ил-2, вооруженного такими пушками, в сочетании с силь</w:t>
      </w:r>
      <w:r w:rsidRPr="00D03F3E">
        <w:rPr>
          <w:rFonts w:ascii="Times New Roman" w:hAnsi="Times New Roman"/>
          <w:color w:val="000000" w:themeColor="text1"/>
          <w:sz w:val="16"/>
          <w:szCs w:val="16"/>
        </w:rPr>
        <w:softHyphen/>
        <w:t>ной отдачей пушек при стрельбе в воздухе приводили к большому рас</w:t>
      </w:r>
      <w:r w:rsidRPr="00D03F3E">
        <w:rPr>
          <w:rFonts w:ascii="Times New Roman" w:hAnsi="Times New Roman"/>
          <w:color w:val="000000" w:themeColor="text1"/>
          <w:sz w:val="16"/>
          <w:szCs w:val="16"/>
        </w:rPr>
        <w:softHyphen/>
        <w:t>сеиванию снарядов, то есть, к низ</w:t>
      </w:r>
      <w:r w:rsidRPr="00D03F3E">
        <w:rPr>
          <w:rFonts w:ascii="Times New Roman" w:hAnsi="Times New Roman"/>
          <w:color w:val="000000" w:themeColor="text1"/>
          <w:sz w:val="16"/>
          <w:szCs w:val="16"/>
        </w:rPr>
        <w:softHyphen/>
        <w:t>кой точности стрельбы. Для их успеш</w:t>
      </w:r>
      <w:r w:rsidRPr="00D03F3E">
        <w:rPr>
          <w:rFonts w:ascii="Times New Roman" w:hAnsi="Times New Roman"/>
          <w:color w:val="000000" w:themeColor="text1"/>
          <w:sz w:val="16"/>
          <w:szCs w:val="16"/>
        </w:rPr>
        <w:softHyphen/>
        <w:t>ного применения в бою требовались летчики с высокой летной и стрелко</w:t>
      </w:r>
      <w:r w:rsidRPr="00D03F3E">
        <w:rPr>
          <w:rFonts w:ascii="Times New Roman" w:hAnsi="Times New Roman"/>
          <w:color w:val="000000" w:themeColor="text1"/>
          <w:sz w:val="16"/>
          <w:szCs w:val="16"/>
        </w:rPr>
        <w:softHyphen/>
        <w:t>вой подготовкой.</w:t>
      </w:r>
    </w:p>
    <w:p w14:paraId="4A8370D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Опыт боевого применения реак</w:t>
      </w:r>
      <w:r w:rsidRPr="00D03F3E">
        <w:rPr>
          <w:rFonts w:ascii="Times New Roman" w:hAnsi="Times New Roman"/>
          <w:color w:val="000000" w:themeColor="text1"/>
          <w:sz w:val="16"/>
          <w:szCs w:val="16"/>
        </w:rPr>
        <w:softHyphen/>
        <w:t>тивных снарядов оказался неодноз</w:t>
      </w:r>
      <w:r w:rsidRPr="00D03F3E">
        <w:rPr>
          <w:rFonts w:ascii="Times New Roman" w:hAnsi="Times New Roman"/>
          <w:color w:val="000000" w:themeColor="text1"/>
          <w:sz w:val="16"/>
          <w:szCs w:val="16"/>
        </w:rPr>
        <w:softHyphen/>
        <w:t>начным. Среди боевых летчиков и ко</w:t>
      </w:r>
      <w:r w:rsidRPr="00D03F3E">
        <w:rPr>
          <w:rFonts w:ascii="Times New Roman" w:hAnsi="Times New Roman"/>
          <w:color w:val="000000" w:themeColor="text1"/>
          <w:sz w:val="16"/>
          <w:szCs w:val="16"/>
        </w:rPr>
        <w:softHyphen/>
        <w:t>мандного состава ВВС КА существо</w:t>
      </w:r>
      <w:r w:rsidRPr="00D03F3E">
        <w:rPr>
          <w:rFonts w:ascii="Times New Roman" w:hAnsi="Times New Roman"/>
          <w:color w:val="000000" w:themeColor="text1"/>
          <w:sz w:val="16"/>
          <w:szCs w:val="16"/>
        </w:rPr>
        <w:softHyphen/>
        <w:t>вали прямо противоположные точки зрения в отношении необходимости установки на штурмовой самолет ракетного вооружения. Некоторые считали, что реактивные снаряды не эффективны в бою вследствие их большого рассеивания и предлага</w:t>
      </w:r>
      <w:r w:rsidRPr="00D03F3E">
        <w:rPr>
          <w:rFonts w:ascii="Times New Roman" w:hAnsi="Times New Roman"/>
          <w:color w:val="000000" w:themeColor="text1"/>
          <w:sz w:val="16"/>
          <w:szCs w:val="16"/>
        </w:rPr>
        <w:softHyphen/>
        <w:t>ли снять ракетные орудия с Ил-2. Дру</w:t>
      </w:r>
      <w:r w:rsidRPr="00D03F3E">
        <w:rPr>
          <w:rFonts w:ascii="Times New Roman" w:hAnsi="Times New Roman"/>
          <w:color w:val="000000" w:themeColor="text1"/>
          <w:sz w:val="16"/>
          <w:szCs w:val="16"/>
        </w:rPr>
        <w:softHyphen/>
        <w:t>гие, как правило, это летчики с боль</w:t>
      </w:r>
      <w:r w:rsidRPr="00D03F3E">
        <w:rPr>
          <w:rFonts w:ascii="Times New Roman" w:hAnsi="Times New Roman"/>
          <w:color w:val="000000" w:themeColor="text1"/>
          <w:sz w:val="16"/>
          <w:szCs w:val="16"/>
        </w:rPr>
        <w:softHyphen/>
        <w:t>шим боевым опытом, наоборот, по</w:t>
      </w:r>
      <w:r w:rsidRPr="00D03F3E">
        <w:rPr>
          <w:rFonts w:ascii="Times New Roman" w:hAnsi="Times New Roman"/>
          <w:color w:val="000000" w:themeColor="text1"/>
          <w:sz w:val="16"/>
          <w:szCs w:val="16"/>
        </w:rPr>
        <w:softHyphen/>
        <w:t>лагали, что "ракетные снаряды и пуш</w:t>
      </w:r>
      <w:r w:rsidRPr="00D03F3E">
        <w:rPr>
          <w:rFonts w:ascii="Times New Roman" w:hAnsi="Times New Roman"/>
          <w:color w:val="000000" w:themeColor="text1"/>
          <w:sz w:val="16"/>
          <w:szCs w:val="16"/>
        </w:rPr>
        <w:softHyphen/>
        <w:t>ки основное оружие самолета", и в этой связи настаивали на увеличе</w:t>
      </w:r>
      <w:r w:rsidRPr="00D03F3E">
        <w:rPr>
          <w:rFonts w:ascii="Times New Roman" w:hAnsi="Times New Roman"/>
          <w:color w:val="000000" w:themeColor="text1"/>
          <w:sz w:val="16"/>
          <w:szCs w:val="16"/>
        </w:rPr>
        <w:softHyphen/>
        <w:t>нии числа ракетных орудий до 10-12 РО-132 или РО-82: "...Нерациональ</w:t>
      </w:r>
      <w:r w:rsidRPr="00D03F3E">
        <w:rPr>
          <w:rFonts w:ascii="Times New Roman" w:hAnsi="Times New Roman"/>
          <w:color w:val="000000" w:themeColor="text1"/>
          <w:sz w:val="16"/>
          <w:szCs w:val="16"/>
        </w:rPr>
        <w:softHyphen/>
        <w:t>но хорошую, дорогую машину посы</w:t>
      </w:r>
      <w:r w:rsidRPr="00D03F3E">
        <w:rPr>
          <w:rFonts w:ascii="Times New Roman" w:hAnsi="Times New Roman"/>
          <w:color w:val="000000" w:themeColor="text1"/>
          <w:sz w:val="16"/>
          <w:szCs w:val="16"/>
        </w:rPr>
        <w:softHyphen/>
        <w:t>лать на штурмовку с малым числом РС".</w:t>
      </w:r>
    </w:p>
    <w:p w14:paraId="2F8C0EF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Особенно интересным представ</w:t>
      </w:r>
      <w:r w:rsidRPr="00D03F3E">
        <w:rPr>
          <w:rFonts w:ascii="Times New Roman" w:hAnsi="Times New Roman"/>
          <w:color w:val="000000" w:themeColor="text1"/>
          <w:sz w:val="16"/>
          <w:szCs w:val="16"/>
        </w:rPr>
        <w:softHyphen/>
        <w:t xml:space="preserve">лялось применение штурмовиками </w:t>
      </w:r>
    </w:p>
    <w:p w14:paraId="2B26078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бронебойных снарядов РБС-82 и РБС-132, а также осколочно-фугас</w:t>
      </w:r>
      <w:r w:rsidRPr="00D03F3E">
        <w:rPr>
          <w:rFonts w:ascii="Times New Roman" w:hAnsi="Times New Roman"/>
          <w:color w:val="000000" w:themeColor="text1"/>
          <w:sz w:val="16"/>
          <w:szCs w:val="16"/>
        </w:rPr>
        <w:softHyphen/>
        <w:t>ных снарядов РОФС-132, которые имели существенно лучшие показа</w:t>
      </w:r>
      <w:r w:rsidRPr="00D03F3E">
        <w:rPr>
          <w:rFonts w:ascii="Times New Roman" w:hAnsi="Times New Roman"/>
          <w:color w:val="000000" w:themeColor="text1"/>
          <w:sz w:val="16"/>
          <w:szCs w:val="16"/>
        </w:rPr>
        <w:softHyphen/>
        <w:t>тели рассеивания при стрельбе и зна</w:t>
      </w:r>
      <w:r w:rsidRPr="00D03F3E">
        <w:rPr>
          <w:rFonts w:ascii="Times New Roman" w:hAnsi="Times New Roman"/>
          <w:color w:val="000000" w:themeColor="text1"/>
          <w:sz w:val="16"/>
          <w:szCs w:val="16"/>
        </w:rPr>
        <w:softHyphen/>
        <w:t>чительно превосходили осколочные РС-82 и РС-132 по бронепробивае-мости. Боевые заряды РБС-82 и РБС-132 обеспечивали пробитие 50-мм и 75-мм танковой брони, соответ</w:t>
      </w:r>
      <w:r w:rsidRPr="00D03F3E">
        <w:rPr>
          <w:rFonts w:ascii="Times New Roman" w:hAnsi="Times New Roman"/>
          <w:color w:val="000000" w:themeColor="text1"/>
          <w:sz w:val="16"/>
          <w:szCs w:val="16"/>
        </w:rPr>
        <w:softHyphen/>
        <w:t>ственно, а осколки РОФС-132 при разрыве снаряда вблизи танка на расстоянии 1 м от него (угол места 30°) - пробивали броню толщиной до 15 мм.</w:t>
      </w:r>
    </w:p>
    <w:p w14:paraId="6CFC511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Бомбовое вооружение Ил-2 по номенклатуре загружаемых авиа</w:t>
      </w:r>
      <w:r w:rsidRPr="00D03F3E">
        <w:rPr>
          <w:rFonts w:ascii="Times New Roman" w:hAnsi="Times New Roman"/>
          <w:color w:val="000000" w:themeColor="text1"/>
          <w:sz w:val="16"/>
          <w:szCs w:val="16"/>
        </w:rPr>
        <w:softHyphen/>
        <w:t>бомб и их количеству на борту, как считал летный состав, вполне соот</w:t>
      </w:r>
      <w:r w:rsidRPr="00D03F3E">
        <w:rPr>
          <w:rFonts w:ascii="Times New Roman" w:hAnsi="Times New Roman"/>
          <w:color w:val="000000" w:themeColor="text1"/>
          <w:sz w:val="16"/>
          <w:szCs w:val="16"/>
        </w:rPr>
        <w:softHyphen/>
        <w:t>ветствовало боевым задачам и ха</w:t>
      </w:r>
      <w:r w:rsidRPr="00D03F3E">
        <w:rPr>
          <w:rFonts w:ascii="Times New Roman" w:hAnsi="Times New Roman"/>
          <w:color w:val="000000" w:themeColor="text1"/>
          <w:sz w:val="16"/>
          <w:szCs w:val="16"/>
        </w:rPr>
        <w:softHyphen/>
        <w:t>рактеристикам уязвимости типовых целей противника, хотя и не в пол ном объеме. С одной стороны, Ил-2 не мог нести бомбы крупного калиб</w:t>
      </w:r>
      <w:r w:rsidRPr="00D03F3E">
        <w:rPr>
          <w:rFonts w:ascii="Times New Roman" w:hAnsi="Times New Roman"/>
          <w:color w:val="000000" w:themeColor="text1"/>
          <w:sz w:val="16"/>
          <w:szCs w:val="16"/>
        </w:rPr>
        <w:softHyphen/>
        <w:t>ра (500 кг и выше), необходимые, например, для поражения долговре</w:t>
      </w:r>
      <w:r w:rsidRPr="00D03F3E">
        <w:rPr>
          <w:rFonts w:ascii="Times New Roman" w:hAnsi="Times New Roman"/>
          <w:color w:val="000000" w:themeColor="text1"/>
          <w:sz w:val="16"/>
          <w:szCs w:val="16"/>
        </w:rPr>
        <w:softHyphen/>
        <w:t>менных оборонительных сооружений. С другой стороны, при загрузке на самолет 50-кг фугасок (наиболее ходовые авиабомбы в штурмовой авиации в начальный период войны) грузоподъемность Ил-2 использова</w:t>
      </w:r>
      <w:r w:rsidRPr="00D03F3E">
        <w:rPr>
          <w:rFonts w:ascii="Times New Roman" w:hAnsi="Times New Roman"/>
          <w:color w:val="000000" w:themeColor="text1"/>
          <w:sz w:val="16"/>
          <w:szCs w:val="16"/>
        </w:rPr>
        <w:softHyphen/>
        <w:t>лась не полностью: "недогруз" со</w:t>
      </w:r>
      <w:r w:rsidRPr="00D03F3E">
        <w:rPr>
          <w:rFonts w:ascii="Times New Roman" w:hAnsi="Times New Roman"/>
          <w:color w:val="000000" w:themeColor="text1"/>
          <w:sz w:val="16"/>
          <w:szCs w:val="16"/>
        </w:rPr>
        <w:softHyphen/>
        <w:t>ставлял 25% от нормальной и 50% от максимальной бомбовой нагруз</w:t>
      </w:r>
      <w:r w:rsidRPr="00D03F3E">
        <w:rPr>
          <w:rFonts w:ascii="Times New Roman" w:hAnsi="Times New Roman"/>
          <w:color w:val="000000" w:themeColor="text1"/>
          <w:sz w:val="16"/>
          <w:szCs w:val="16"/>
        </w:rPr>
        <w:softHyphen/>
        <w:t>ки. Тогда как вероятность пораже</w:t>
      </w:r>
      <w:r w:rsidRPr="00D03F3E">
        <w:rPr>
          <w:rFonts w:ascii="Times New Roman" w:hAnsi="Times New Roman"/>
          <w:color w:val="000000" w:themeColor="text1"/>
          <w:sz w:val="16"/>
          <w:szCs w:val="16"/>
        </w:rPr>
        <w:softHyphen/>
        <w:t>ния цели при бомбометании напря</w:t>
      </w:r>
      <w:r w:rsidRPr="00D03F3E">
        <w:rPr>
          <w:rFonts w:ascii="Times New Roman" w:hAnsi="Times New Roman"/>
          <w:color w:val="000000" w:themeColor="text1"/>
          <w:sz w:val="16"/>
          <w:szCs w:val="16"/>
        </w:rPr>
        <w:softHyphen/>
        <w:t>мую зависит от количества сброшен</w:t>
      </w:r>
      <w:r w:rsidRPr="00D03F3E">
        <w:rPr>
          <w:rFonts w:ascii="Times New Roman" w:hAnsi="Times New Roman"/>
          <w:color w:val="000000" w:themeColor="text1"/>
          <w:sz w:val="16"/>
          <w:szCs w:val="16"/>
        </w:rPr>
        <w:softHyphen/>
        <w:t>ных на цель авиабомб.</w:t>
      </w:r>
    </w:p>
    <w:p w14:paraId="26BFA0E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Положение отчасти спасало на</w:t>
      </w:r>
      <w:r w:rsidRPr="00D03F3E">
        <w:rPr>
          <w:rFonts w:ascii="Times New Roman" w:hAnsi="Times New Roman"/>
          <w:color w:val="000000" w:themeColor="text1"/>
          <w:sz w:val="16"/>
          <w:szCs w:val="16"/>
        </w:rPr>
        <w:softHyphen/>
        <w:t>личие в составе вооружения Ил-2 кассет мелких бомб. Четыре кассеты позволяли обеспечить общую загруз</w:t>
      </w:r>
      <w:r w:rsidRPr="00D03F3E">
        <w:rPr>
          <w:rFonts w:ascii="Times New Roman" w:hAnsi="Times New Roman"/>
          <w:color w:val="000000" w:themeColor="text1"/>
          <w:sz w:val="16"/>
          <w:szCs w:val="16"/>
        </w:rPr>
        <w:softHyphen/>
        <w:t>ку осколочными бомбами калибра от 2,2 до 25 кг в 400 кг и в 600 кг, то есть полностью использовать грузо</w:t>
      </w:r>
      <w:r w:rsidRPr="00D03F3E">
        <w:rPr>
          <w:rFonts w:ascii="Times New Roman" w:hAnsi="Times New Roman"/>
          <w:color w:val="000000" w:themeColor="text1"/>
          <w:sz w:val="16"/>
          <w:szCs w:val="16"/>
        </w:rPr>
        <w:softHyphen/>
        <w:t>подъемность штурмовика.</w:t>
      </w:r>
    </w:p>
    <w:p w14:paraId="208D2ED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отсутствие хорошего бомбардировочного прицела и не</w:t>
      </w:r>
      <w:r w:rsidRPr="00D03F3E">
        <w:rPr>
          <w:rFonts w:ascii="Times New Roman" w:hAnsi="Times New Roman"/>
          <w:color w:val="000000" w:themeColor="text1"/>
          <w:sz w:val="16"/>
          <w:szCs w:val="16"/>
        </w:rPr>
        <w:softHyphen/>
        <w:t>приспособленность самолета к бом</w:t>
      </w:r>
      <w:r w:rsidRPr="00D03F3E">
        <w:rPr>
          <w:rFonts w:ascii="Times New Roman" w:hAnsi="Times New Roman"/>
          <w:color w:val="000000" w:themeColor="text1"/>
          <w:sz w:val="16"/>
          <w:szCs w:val="16"/>
        </w:rPr>
        <w:softHyphen/>
        <w:t>бометанию с пикирования серьезно "снижало меткость ударов по малоразмерным целям". К тому же летчик имел весьма ограниченный обзор вперед вниз и в стороны, что сильно затрудняло ориентировку (особенно в сложных метеоусловиях), поиск це</w:t>
      </w:r>
      <w:r w:rsidRPr="00D03F3E">
        <w:rPr>
          <w:rFonts w:ascii="Times New Roman" w:hAnsi="Times New Roman"/>
          <w:color w:val="000000" w:themeColor="text1"/>
          <w:sz w:val="16"/>
          <w:szCs w:val="16"/>
        </w:rPr>
        <w:softHyphen/>
        <w:t>лей на поле боя и прицеливание -"при существующем обзоре прице</w:t>
      </w:r>
      <w:r w:rsidRPr="00D03F3E">
        <w:rPr>
          <w:rFonts w:ascii="Times New Roman" w:hAnsi="Times New Roman"/>
          <w:color w:val="000000" w:themeColor="text1"/>
          <w:sz w:val="16"/>
          <w:szCs w:val="16"/>
        </w:rPr>
        <w:softHyphen/>
        <w:t>ливание даже под углом 3-4° дает проекцию на капот". Вдобавок к это</w:t>
      </w:r>
      <w:r w:rsidRPr="00D03F3E">
        <w:rPr>
          <w:rFonts w:ascii="Times New Roman" w:hAnsi="Times New Roman"/>
          <w:color w:val="000000" w:themeColor="text1"/>
          <w:sz w:val="16"/>
          <w:szCs w:val="16"/>
        </w:rPr>
        <w:softHyphen/>
        <w:t>му самолет оказался тяжелым в уп</w:t>
      </w:r>
      <w:r w:rsidRPr="00D03F3E">
        <w:rPr>
          <w:rFonts w:ascii="Times New Roman" w:hAnsi="Times New Roman"/>
          <w:color w:val="000000" w:themeColor="text1"/>
          <w:sz w:val="16"/>
          <w:szCs w:val="16"/>
        </w:rPr>
        <w:softHyphen/>
        <w:t>равлении и не был приспособлен для слепых полетов.</w:t>
      </w:r>
    </w:p>
    <w:p w14:paraId="6349BA6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Существенными недостатками ма</w:t>
      </w:r>
      <w:r w:rsidRPr="00D03F3E">
        <w:rPr>
          <w:rFonts w:ascii="Times New Roman" w:hAnsi="Times New Roman"/>
          <w:color w:val="000000" w:themeColor="text1"/>
          <w:sz w:val="16"/>
          <w:szCs w:val="16"/>
        </w:rPr>
        <w:softHyphen/>
        <w:t>шины считались также небольшой ра</w:t>
      </w:r>
      <w:r w:rsidRPr="00D03F3E">
        <w:rPr>
          <w:rFonts w:ascii="Times New Roman" w:hAnsi="Times New Roman"/>
          <w:color w:val="000000" w:themeColor="text1"/>
          <w:sz w:val="16"/>
          <w:szCs w:val="16"/>
        </w:rPr>
        <w:softHyphen/>
        <w:t>диус действия и отсутствие современ</w:t>
      </w:r>
      <w:r w:rsidRPr="00D03F3E">
        <w:rPr>
          <w:rFonts w:ascii="Times New Roman" w:hAnsi="Times New Roman"/>
          <w:color w:val="000000" w:themeColor="text1"/>
          <w:sz w:val="16"/>
          <w:szCs w:val="16"/>
        </w:rPr>
        <w:softHyphen/>
        <w:t>ных средств аэронавигации. По мне</w:t>
      </w:r>
      <w:r w:rsidRPr="00D03F3E">
        <w:rPr>
          <w:rFonts w:ascii="Times New Roman" w:hAnsi="Times New Roman"/>
          <w:color w:val="000000" w:themeColor="text1"/>
          <w:sz w:val="16"/>
          <w:szCs w:val="16"/>
        </w:rPr>
        <w:softHyphen/>
        <w:t>нию комсостава частей и соедине</w:t>
      </w:r>
      <w:r w:rsidRPr="00D03F3E">
        <w:rPr>
          <w:rFonts w:ascii="Times New Roman" w:hAnsi="Times New Roman"/>
          <w:color w:val="000000" w:themeColor="text1"/>
          <w:sz w:val="16"/>
          <w:szCs w:val="16"/>
        </w:rPr>
        <w:softHyphen/>
        <w:t>ний именно с этими недостаткам "трудно мириться, потому что Ил-2. фактически является основным типом нашего самолета".</w:t>
      </w:r>
    </w:p>
    <w:p w14:paraId="1E81D1C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Инженеры полков обращали внимание на слабую конструкцию хвос</w:t>
      </w:r>
      <w:r w:rsidRPr="00D03F3E">
        <w:rPr>
          <w:rFonts w:ascii="Times New Roman" w:hAnsi="Times New Roman"/>
          <w:color w:val="000000" w:themeColor="text1"/>
          <w:sz w:val="16"/>
          <w:szCs w:val="16"/>
        </w:rPr>
        <w:softHyphen/>
        <w:t>товой части фюзеляжа, которая не</w:t>
      </w:r>
      <w:r w:rsidRPr="00D03F3E">
        <w:rPr>
          <w:rFonts w:ascii="Times New Roman" w:hAnsi="Times New Roman"/>
          <w:color w:val="000000" w:themeColor="text1"/>
          <w:sz w:val="16"/>
          <w:szCs w:val="16"/>
        </w:rPr>
        <w:softHyphen/>
        <w:t>редко ломалась при полетах с не</w:t>
      </w:r>
      <w:r w:rsidRPr="00D03F3E">
        <w:rPr>
          <w:rFonts w:ascii="Times New Roman" w:hAnsi="Times New Roman"/>
          <w:color w:val="000000" w:themeColor="text1"/>
          <w:sz w:val="16"/>
          <w:szCs w:val="16"/>
        </w:rPr>
        <w:softHyphen/>
        <w:t>ровных полевых аэродромов, а так</w:t>
      </w:r>
      <w:r w:rsidRPr="00D03F3E">
        <w:rPr>
          <w:rFonts w:ascii="Times New Roman" w:hAnsi="Times New Roman"/>
          <w:color w:val="000000" w:themeColor="text1"/>
          <w:sz w:val="16"/>
          <w:szCs w:val="16"/>
        </w:rPr>
        <w:softHyphen/>
        <w:t>же недостаточную общую прочность самолета, вследствие чего машина получала значительные повреждения на вынужденных посадках с убран</w:t>
      </w:r>
      <w:r w:rsidRPr="00D03F3E">
        <w:rPr>
          <w:rFonts w:ascii="Times New Roman" w:hAnsi="Times New Roman"/>
          <w:color w:val="000000" w:themeColor="text1"/>
          <w:sz w:val="16"/>
          <w:szCs w:val="16"/>
        </w:rPr>
        <w:softHyphen/>
        <w:t>ными шасси и требовала длительно</w:t>
      </w:r>
      <w:r w:rsidRPr="00D03F3E">
        <w:rPr>
          <w:rFonts w:ascii="Times New Roman" w:hAnsi="Times New Roman"/>
          <w:color w:val="000000" w:themeColor="text1"/>
          <w:sz w:val="16"/>
          <w:szCs w:val="16"/>
        </w:rPr>
        <w:softHyphen/>
        <w:t>го ремонта (11426).</w:t>
      </w:r>
    </w:p>
    <w:p w14:paraId="75595B2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0B49F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Летом 1943, согласно результатам обследования 184 бронекорпусов одноместных Ил-2, попавших в период с января 1942 г. по май 1943 г. на разделочные базы, показало, что 71% попаданий, относящихся к поражению от истребителей, приходятся на долю поперечной бронеплиты и только 29% - на продольную броню. Причем подавляющее число попаданий в бронекорпус соответствует атакам истребителей противника почти строго в хвост (до 20° от продольной оси самолета по горизонту и до 3-5° в вертикальной плоскости).</w:t>
      </w:r>
    </w:p>
    <w:p w14:paraId="4C21CF1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Наличие зазоров между подвижной частью фонаря кабины пилота и задней броней бронекорпуса приводило к тому, что при обстреле истребителями осколки разрывающихся снарядов проникали через эти зазоры в кабину и поражали летчика. Кабина летчика оказалась уязвимой еще и через форточки подвижной части фонаря кабины. Плексиглас легко пробивался пулями и осколками зенитных снарядов. Во всех случаях поражения бронекозырька фонаря кабины бронестекло разрушалось и своими осколками наносило ранения летчику. Бортовая броня кабины практически не спасала летчика при прямых попаданиях снарядов калибра 37 и 20 мм.</w:t>
      </w:r>
    </w:p>
    <w:p w14:paraId="4811917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Бронекапот мотора не обеспечивал надежную защиту от снарядов и крупнокалиберных пуль как самого мотора, так и агрегатов и узлов моторной группы, особенно в районе выхлопных патрубков и бронекарманов передней и задней части мотора. При этом нижняя броня капота при попадании в нее снарядов, как правило, почти не пробивалась, а лишь давала трещины.</w:t>
      </w:r>
    </w:p>
    <w:p w14:paraId="6505BAD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Пробитие брони капота во всех случаях сопровождалось разрушением или повреждением блоков цилиндров, карбюраторов, масло- и водопроводов, расширительного бачка водосистемы, маслобака, маслофильтра и т.д.</w:t>
      </w:r>
    </w:p>
    <w:p w14:paraId="27DD068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Массу хлопот доставлял маслорадиатор, который располагался в бронекорзине под фюзеляжем самолета. Дело в том, что в летнее время при закрытых бронезаслонках температура масла начинала быстро расти, и уже через 6-7 минут полета летчики были вынуждены бронезаслонки открывать. В результате маслорадиатор часто поражался пулями и осколками при обстреле с земли. Более того, летный состав иногда вообще забывал закрывать бронезаспонки на подходе к линии фронта. Боковые стенки бронекорзины и бронезаслонки не выдерживали попаданий малокалиберных снарядов. Причем в некоторых случаях бронекорзина вместе с маслорадиатором срывалась с посадочных мест.</w:t>
      </w:r>
    </w:p>
    <w:p w14:paraId="654FFC4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Кроме этого, на практике имелись случаи воспламенения самолета после повреждения маслорадиатора. Например, 12 февраля 1944 г. Ил-2 лейтенанта Побатаева из 198-го шап был атакован истребителями противника. В результате пулеметно-пушечной очереди «из маслорадиатора стало выбивать масло». Через минуту масло воспламенилось, пламя охватило фюзеляж. Побатаеву с большим трудом удалось благополучно произвести вынужденную посадку.</w:t>
      </w:r>
    </w:p>
    <w:p w14:paraId="488EE39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Отметим, что случаи поражения находящегося внутри бронекорпуса водорадиатора наблюдались весьма и весьма редко.</w:t>
      </w:r>
    </w:p>
    <w:p w14:paraId="2CBE455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Недостаточная толщина бронирования Ил-2 в районе переднего и заднего бензобаков в некоторой степени компенсировалась наличием протектора на бензобаках и системы заполнения их нейтральным газом. По отзывам летного и технического состава протектор и нейтральный газ во многих случаях вполне оправдывали свое назначение. Однако при попадании в бензобаки малокалиберных снарядов баки, как правило, загорались и затем взрывались, при этом осколки, как от взрыва снаряда, так и от взрыва баков, проникали в кабину летчика со всеми вытекающими последствиями.</w:t>
      </w:r>
    </w:p>
    <w:p w14:paraId="1A75FB0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Наиболее опасными для Ил-2 являлись зенитные автоматы калибра 20-37 мм и крупнокалиберные пулеметы (13 мм). Причем бронебойные пули крупного калибра по бронепробиваемости оказались даже лучше 20-мм снарядов, да и скорострельность пулеметов была значительно выше пушечных установок. Средний процент пробития брони от огня малокалиберной зенитной артиллерии и зенитных пулеметных установок оказался почти вдвое выше, чем от огня истребителей. Характер пробоин бронекорпусов списанных штурмовиков Ил-2 (ввиду невозможности ремонта) позволяет сделать вывод, что угловой конус поражения Ил-2 при обстреле немецкой зенитной артиллерии не превышал в горизонтальной плоскости 20-25° к нормали и в вертикальной плоскости - 10-15° к нормали. То есть все попадания в бронекорпус Ил-2 от пушечно-пулеметного зенитного огня приходились исключительно на его боковую часть, тогда как поперечная броня, а также верхняя и нижняя части продольной брони попаданий от зенитного огня практически не имели (11921).</w:t>
      </w:r>
    </w:p>
    <w:p w14:paraId="3B2B599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19A65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впервые бронекрышки с капота мотора были использованы для защиты воздушного стрелка в 1-й гвардейской штурмовой авиадивизии. Помощник командира дивизии по воздушно-стрелковой службе инженер-капитан Дмитриев в своем отчете за июль 1943 г. докладывал: «Проведенный опыт подкладки под пол воздушного стрелка боковых бронещечек мотора показал хорошие результаты. В 76 Гв.шап было два случая прямого попадания снарядов от пушки Эрликон в подложенный щит, в обоих случаях стрелки остались невредимыми». Однако тогда эта практика широкого распространения не получила, так как из-за смещения центровки самолета назад полеты становились опасными. По этой причине инженеры полков и дивизий отказывались санкционировать такую доработку Ил-2 (11921).</w:t>
      </w:r>
    </w:p>
    <w:p w14:paraId="38101ED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7B1A61" w14:textId="77777777" w:rsidR="00F74D37" w:rsidRPr="00D03F3E" w:rsidRDefault="00F74D37"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К лету 1943 в Ленинградском физико- техническом институте АН СССР разработали так называемую «конструкционную экранную броню», у которой в качестве экрана применя</w:t>
      </w:r>
      <w:r w:rsidRPr="00D03F3E">
        <w:rPr>
          <w:rFonts w:ascii="Times New Roman" w:cs="Times New Roman"/>
          <w:color w:val="000000" w:themeColor="text1"/>
          <w:spacing w:val="0"/>
          <w:sz w:val="16"/>
          <w:szCs w:val="16"/>
        </w:rPr>
        <w:softHyphen/>
        <w:t>лась</w:t>
      </w:r>
      <w:r w:rsidRPr="00D03F3E">
        <w:rPr>
          <w:rStyle w:val="aff6"/>
          <w:rFonts w:ascii="Times New Roman" w:eastAsia="Arial Narrow" w:hAnsi="Times New Roman" w:cs="Times New Roman"/>
          <w:i w:val="0"/>
          <w:color w:val="000000" w:themeColor="text1"/>
          <w:spacing w:val="0"/>
        </w:rPr>
        <w:t xml:space="preserve"> «решетка из стальных прутьев с рассто</w:t>
      </w:r>
      <w:r w:rsidRPr="00D03F3E">
        <w:rPr>
          <w:rStyle w:val="aff6"/>
          <w:rFonts w:ascii="Times New Roman" w:eastAsia="Arial Narrow" w:hAnsi="Times New Roman" w:cs="Times New Roman"/>
          <w:i w:val="0"/>
          <w:color w:val="000000" w:themeColor="text1"/>
          <w:spacing w:val="0"/>
        </w:rPr>
        <w:softHyphen/>
        <w:t>янием между ними меньше калибра пули или снаряда».</w:t>
      </w:r>
      <w:r w:rsidRPr="00D03F3E">
        <w:rPr>
          <w:rFonts w:ascii="Times New Roman" w:cs="Times New Roman"/>
          <w:color w:val="000000" w:themeColor="text1"/>
          <w:spacing w:val="0"/>
          <w:sz w:val="16"/>
          <w:szCs w:val="16"/>
        </w:rPr>
        <w:t xml:space="preserve"> При прохождении боеприпаса через решетчатый экран он частично разрушался и терял устойчивость полета. Таким образом, на основную броню падали осколки пуль и снаря</w:t>
      </w:r>
      <w:r w:rsidRPr="00D03F3E">
        <w:rPr>
          <w:rFonts w:ascii="Times New Roman" w:cs="Times New Roman"/>
          <w:color w:val="000000" w:themeColor="text1"/>
          <w:spacing w:val="0"/>
          <w:sz w:val="16"/>
          <w:szCs w:val="16"/>
        </w:rPr>
        <w:softHyphen/>
        <w:t>дов, которые</w:t>
      </w:r>
      <w:r w:rsidRPr="00D03F3E">
        <w:rPr>
          <w:rStyle w:val="aff6"/>
          <w:rFonts w:ascii="Times New Roman" w:eastAsia="Arial Narrow" w:hAnsi="Times New Roman" w:cs="Times New Roman"/>
          <w:i w:val="0"/>
          <w:color w:val="000000" w:themeColor="text1"/>
          <w:spacing w:val="0"/>
        </w:rPr>
        <w:t xml:space="preserve"> «благодаря рассредоточенному их действию и меньшей массы отдельных ку</w:t>
      </w:r>
      <w:r w:rsidRPr="00D03F3E">
        <w:rPr>
          <w:rStyle w:val="aff6"/>
          <w:rFonts w:ascii="Times New Roman" w:eastAsia="Arial Narrow" w:hAnsi="Times New Roman" w:cs="Times New Roman"/>
          <w:i w:val="0"/>
          <w:color w:val="000000" w:themeColor="text1"/>
          <w:spacing w:val="0"/>
        </w:rPr>
        <w:softHyphen/>
        <w:t>сков»</w:t>
      </w:r>
      <w:r w:rsidRPr="00D03F3E">
        <w:rPr>
          <w:rFonts w:ascii="Times New Roman" w:cs="Times New Roman"/>
          <w:color w:val="000000" w:themeColor="text1"/>
          <w:spacing w:val="0"/>
          <w:sz w:val="16"/>
          <w:szCs w:val="16"/>
        </w:rPr>
        <w:t xml:space="preserve"> обладали значительно меньшей пробив</w:t>
      </w:r>
      <w:r w:rsidRPr="00D03F3E">
        <w:rPr>
          <w:rFonts w:ascii="Times New Roman" w:cs="Times New Roman"/>
          <w:color w:val="000000" w:themeColor="text1"/>
          <w:spacing w:val="0"/>
          <w:sz w:val="16"/>
          <w:szCs w:val="16"/>
        </w:rPr>
        <w:softHyphen/>
        <w:t>ной способностью.</w:t>
      </w:r>
    </w:p>
    <w:p w14:paraId="56AFEF00" w14:textId="77777777" w:rsidR="00F74D37" w:rsidRPr="00D03F3E" w:rsidRDefault="00F74D37"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Как показали полигонные испытания, конструктивная броня с решетчатой прегра</w:t>
      </w:r>
      <w:r w:rsidRPr="00D03F3E">
        <w:rPr>
          <w:rFonts w:ascii="Times New Roman" w:cs="Times New Roman"/>
          <w:color w:val="000000" w:themeColor="text1"/>
          <w:spacing w:val="0"/>
          <w:sz w:val="16"/>
          <w:szCs w:val="16"/>
        </w:rPr>
        <w:softHyphen/>
        <w:t>дой толщиной 15-16 обеспечивала пол</w:t>
      </w:r>
      <w:r w:rsidRPr="00D03F3E">
        <w:rPr>
          <w:rFonts w:ascii="Times New Roman" w:cs="Times New Roman"/>
          <w:color w:val="000000" w:themeColor="text1"/>
          <w:spacing w:val="0"/>
          <w:sz w:val="16"/>
          <w:szCs w:val="16"/>
        </w:rPr>
        <w:softHyphen/>
        <w:t>ную защиту от бронебойных пуль калибра 12,7 мм при любых дистанциях обстрела и в этом смысле была равноценна «экранирован</w:t>
      </w:r>
      <w:r w:rsidRPr="00D03F3E">
        <w:rPr>
          <w:rFonts w:ascii="Times New Roman" w:cs="Times New Roman"/>
          <w:color w:val="000000" w:themeColor="text1"/>
          <w:spacing w:val="0"/>
          <w:sz w:val="16"/>
          <w:szCs w:val="16"/>
        </w:rPr>
        <w:softHyphen/>
        <w:t>ной двухслойной» броне толщиной 17-18 мм или цементованной авиационной броне тол</w:t>
      </w:r>
      <w:r w:rsidRPr="00D03F3E">
        <w:rPr>
          <w:rFonts w:ascii="Times New Roman" w:cs="Times New Roman"/>
          <w:color w:val="000000" w:themeColor="text1"/>
          <w:spacing w:val="0"/>
          <w:sz w:val="16"/>
          <w:szCs w:val="16"/>
        </w:rPr>
        <w:softHyphen/>
        <w:t>щиной 18-20 мм. При этом она оказалась за</w:t>
      </w:r>
      <w:r w:rsidRPr="00D03F3E">
        <w:rPr>
          <w:rFonts w:ascii="Times New Roman" w:cs="Times New Roman"/>
          <w:color w:val="000000" w:themeColor="text1"/>
          <w:spacing w:val="0"/>
          <w:sz w:val="16"/>
          <w:szCs w:val="16"/>
        </w:rPr>
        <w:softHyphen/>
        <w:t>метно легче.</w:t>
      </w:r>
    </w:p>
    <w:p w14:paraId="3670C531" w14:textId="77777777" w:rsidR="00F74D37" w:rsidRPr="00D03F3E" w:rsidRDefault="00F74D37" w:rsidP="00D03F3E">
      <w:pPr>
        <w:pStyle w:val="36"/>
        <w:shd w:val="clear" w:color="auto" w:fill="auto"/>
        <w:spacing w:after="0" w:line="240" w:lineRule="auto"/>
        <w:jc w:val="both"/>
        <w:rPr>
          <w:rFonts w:ascii="Times New Roman" w:cs="Times New Roman"/>
          <w:color w:val="000000" w:themeColor="text1"/>
          <w:spacing w:val="0"/>
          <w:sz w:val="16"/>
          <w:szCs w:val="16"/>
        </w:rPr>
      </w:pPr>
      <w:r w:rsidRPr="00D03F3E">
        <w:rPr>
          <w:rFonts w:ascii="Times New Roman" w:cs="Times New Roman"/>
          <w:color w:val="000000" w:themeColor="text1"/>
          <w:spacing w:val="0"/>
          <w:sz w:val="16"/>
          <w:szCs w:val="16"/>
        </w:rPr>
        <w:t>Но имелся у нее и серьезный недостаток. Высокая бронестойкость конструктивной бро</w:t>
      </w:r>
      <w:r w:rsidRPr="00D03F3E">
        <w:rPr>
          <w:rFonts w:ascii="Times New Roman" w:cs="Times New Roman"/>
          <w:color w:val="000000" w:themeColor="text1"/>
          <w:spacing w:val="0"/>
          <w:sz w:val="16"/>
          <w:szCs w:val="16"/>
        </w:rPr>
        <w:softHyphen/>
        <w:t>ни обеспечивалась при расстояниях между решетчатым экраном и основной броней око</w:t>
      </w:r>
      <w:r w:rsidRPr="00D03F3E">
        <w:rPr>
          <w:rFonts w:ascii="Times New Roman" w:cs="Times New Roman"/>
          <w:color w:val="000000" w:themeColor="text1"/>
          <w:spacing w:val="0"/>
          <w:sz w:val="16"/>
          <w:szCs w:val="16"/>
        </w:rPr>
        <w:softHyphen/>
        <w:t>ло 200-300 мм. В противном случае стойкость системы значительно снижалась. Учитывая, что пространство внутри фюзеляжа было до предела насыщено различными агрегатами, использовать данную систему для поперечно</w:t>
      </w:r>
      <w:r w:rsidRPr="00D03F3E">
        <w:rPr>
          <w:rFonts w:ascii="Times New Roman" w:cs="Times New Roman"/>
          <w:color w:val="000000" w:themeColor="text1"/>
          <w:spacing w:val="0"/>
          <w:sz w:val="16"/>
          <w:szCs w:val="16"/>
        </w:rPr>
        <w:softHyphen/>
        <w:t>го бронирования уже построенных самолетов не всегда представлялось возможным. Кроме этого, удаление решетчатого экрана на 200- 300 мм от бронеспинки значительно сокра</w:t>
      </w:r>
      <w:r w:rsidRPr="00D03F3E">
        <w:rPr>
          <w:rFonts w:ascii="Times New Roman" w:cs="Times New Roman"/>
          <w:color w:val="000000" w:themeColor="text1"/>
          <w:spacing w:val="0"/>
          <w:sz w:val="16"/>
          <w:szCs w:val="16"/>
        </w:rPr>
        <w:softHyphen/>
        <w:t>щало</w:t>
      </w:r>
      <w:r w:rsidRPr="00D03F3E">
        <w:rPr>
          <w:rStyle w:val="aff6"/>
          <w:rFonts w:ascii="Times New Roman" w:eastAsia="Arial Narrow" w:hAnsi="Times New Roman" w:cs="Times New Roman"/>
          <w:i w:val="0"/>
          <w:color w:val="000000" w:themeColor="text1"/>
          <w:spacing w:val="0"/>
        </w:rPr>
        <w:t xml:space="preserve"> «защищаемую площадь последней при угловых атаках, или же потребует установки этой решетки несколько больших по габари</w:t>
      </w:r>
      <w:r w:rsidRPr="00D03F3E">
        <w:rPr>
          <w:rStyle w:val="aff6"/>
          <w:rFonts w:ascii="Times New Roman" w:eastAsia="Arial Narrow" w:hAnsi="Times New Roman" w:cs="Times New Roman"/>
          <w:i w:val="0"/>
          <w:color w:val="000000" w:themeColor="text1"/>
          <w:spacing w:val="0"/>
        </w:rPr>
        <w:softHyphen/>
        <w:t>там размеров, чем сама спинка».</w:t>
      </w:r>
    </w:p>
    <w:p w14:paraId="1F49BBC0" w14:textId="77777777" w:rsidR="00F74D37" w:rsidRPr="00D03F3E" w:rsidRDefault="00F74D37" w:rsidP="00D03F3E">
      <w:pPr>
        <w:pStyle w:val="45"/>
        <w:shd w:val="clear" w:color="auto" w:fill="auto"/>
        <w:spacing w:before="0" w:line="240" w:lineRule="auto"/>
        <w:jc w:val="both"/>
        <w:rPr>
          <w:rFonts w:ascii="Times New Roman" w:cs="Times New Roman"/>
          <w:color w:val="000000" w:themeColor="text1"/>
          <w:sz w:val="16"/>
          <w:szCs w:val="16"/>
        </w:rPr>
      </w:pPr>
      <w:r w:rsidRPr="00D03F3E">
        <w:rPr>
          <w:rStyle w:val="4f0"/>
          <w:rFonts w:ascii="Times New Roman" w:hAnsi="Times New Roman" w:cs="Times New Roman"/>
          <w:i w:val="0"/>
          <w:color w:val="000000" w:themeColor="text1"/>
          <w:sz w:val="16"/>
          <w:szCs w:val="16"/>
        </w:rPr>
        <w:t>Отмечалось, что</w:t>
      </w:r>
      <w:r w:rsidRPr="00D03F3E">
        <w:rPr>
          <w:rFonts w:ascii="Times New Roman" w:cs="Times New Roman"/>
          <w:color w:val="000000" w:themeColor="text1"/>
          <w:sz w:val="16"/>
          <w:szCs w:val="16"/>
        </w:rPr>
        <w:t xml:space="preserve"> «...для продольного бро</w:t>
      </w:r>
      <w:r w:rsidRPr="00D03F3E">
        <w:rPr>
          <w:rFonts w:ascii="Times New Roman" w:cs="Times New Roman"/>
          <w:color w:val="000000" w:themeColor="text1"/>
          <w:sz w:val="16"/>
          <w:szCs w:val="16"/>
        </w:rPr>
        <w:softHyphen/>
        <w:t>нирования предлагаемый вариант конструк</w:t>
      </w:r>
      <w:r w:rsidRPr="00D03F3E">
        <w:rPr>
          <w:rFonts w:ascii="Times New Roman" w:cs="Times New Roman"/>
          <w:color w:val="000000" w:themeColor="text1"/>
          <w:sz w:val="16"/>
          <w:szCs w:val="16"/>
        </w:rPr>
        <w:softHyphen/>
        <w:t>тивной брони тем более не может быть ис</w:t>
      </w:r>
      <w:r w:rsidRPr="00D03F3E">
        <w:rPr>
          <w:rFonts w:ascii="Times New Roman" w:cs="Times New Roman"/>
          <w:color w:val="000000" w:themeColor="text1"/>
          <w:sz w:val="16"/>
          <w:szCs w:val="16"/>
        </w:rPr>
        <w:softHyphen/>
        <w:t>пользован по тем же соображениям отсутствия свободных пространств».</w:t>
      </w:r>
      <w:r w:rsidRPr="00D03F3E">
        <w:rPr>
          <w:rStyle w:val="4f0"/>
          <w:rFonts w:ascii="Times New Roman" w:hAnsi="Times New Roman" w:cs="Times New Roman"/>
          <w:i w:val="0"/>
          <w:color w:val="000000" w:themeColor="text1"/>
          <w:sz w:val="16"/>
          <w:szCs w:val="16"/>
        </w:rPr>
        <w:t xml:space="preserve"> То есть, применение этого варианта экранированной брони на се</w:t>
      </w:r>
      <w:r w:rsidRPr="00D03F3E">
        <w:rPr>
          <w:rStyle w:val="4f0"/>
          <w:rFonts w:ascii="Times New Roman" w:hAnsi="Times New Roman" w:cs="Times New Roman"/>
          <w:i w:val="0"/>
          <w:color w:val="000000" w:themeColor="text1"/>
          <w:sz w:val="16"/>
          <w:szCs w:val="16"/>
        </w:rPr>
        <w:softHyphen/>
        <w:t>рийных самолетах было весьма ограниченным или совсем невозможным.</w:t>
      </w:r>
    </w:p>
    <w:p w14:paraId="6AB46B25" w14:textId="77777777" w:rsidR="00F74D37" w:rsidRPr="00D03F3E" w:rsidRDefault="00F74D37" w:rsidP="00D03F3E">
      <w:pPr>
        <w:pStyle w:val="36"/>
        <w:shd w:val="clear" w:color="auto" w:fill="auto"/>
        <w:spacing w:after="0" w:line="240" w:lineRule="auto"/>
        <w:jc w:val="both"/>
        <w:rPr>
          <w:rStyle w:val="aff6"/>
          <w:rFonts w:ascii="Times New Roman" w:eastAsia="Arial Narrow" w:hAnsi="Times New Roman" w:cs="Times New Roman"/>
          <w:i w:val="0"/>
          <w:color w:val="000000" w:themeColor="text1"/>
          <w:spacing w:val="0"/>
        </w:rPr>
      </w:pPr>
      <w:r w:rsidRPr="00D03F3E">
        <w:rPr>
          <w:rFonts w:ascii="Times New Roman" w:cs="Times New Roman"/>
          <w:color w:val="000000" w:themeColor="text1"/>
          <w:spacing w:val="0"/>
          <w:sz w:val="16"/>
          <w:szCs w:val="16"/>
        </w:rPr>
        <w:t xml:space="preserve">Тем не менее, в заключении НИИ ВВС, утвержденном 11 июня 1943 г., говорилось: </w:t>
      </w:r>
      <w:r w:rsidRPr="00D03F3E">
        <w:rPr>
          <w:rStyle w:val="aff6"/>
          <w:rFonts w:ascii="Times New Roman" w:eastAsia="Arial Narrow" w:hAnsi="Times New Roman" w:cs="Times New Roman"/>
          <w:i w:val="0"/>
          <w:color w:val="000000" w:themeColor="text1"/>
          <w:spacing w:val="0"/>
        </w:rPr>
        <w:t>«Конструктивная броня, разработанная ЛФТИ, представляет собой один из возможных вари</w:t>
      </w:r>
      <w:r w:rsidRPr="00D03F3E">
        <w:rPr>
          <w:rStyle w:val="aff6"/>
          <w:rFonts w:ascii="Times New Roman" w:eastAsia="Arial Narrow" w:hAnsi="Times New Roman" w:cs="Times New Roman"/>
          <w:i w:val="0"/>
          <w:color w:val="000000" w:themeColor="text1"/>
          <w:spacing w:val="0"/>
        </w:rPr>
        <w:softHyphen/>
        <w:t>антов в этой области и с точки зрения ее бро</w:t>
      </w:r>
      <w:r w:rsidRPr="00D03F3E">
        <w:rPr>
          <w:rStyle w:val="aff6"/>
          <w:rFonts w:ascii="Times New Roman" w:eastAsia="Arial Narrow" w:hAnsi="Times New Roman" w:cs="Times New Roman"/>
          <w:i w:val="0"/>
          <w:color w:val="000000" w:themeColor="text1"/>
          <w:spacing w:val="0"/>
        </w:rPr>
        <w:softHyphen/>
        <w:t>нестойкости заслуживает самого серьезного внимания» (15778).</w:t>
      </w:r>
    </w:p>
    <w:p w14:paraId="267F65B3" w14:textId="77777777" w:rsidR="00F74D37" w:rsidRPr="00D03F3E" w:rsidRDefault="00F74D37" w:rsidP="00D03F3E">
      <w:pPr>
        <w:pStyle w:val="36"/>
        <w:shd w:val="clear" w:color="auto" w:fill="auto"/>
        <w:spacing w:after="0" w:line="240" w:lineRule="auto"/>
        <w:jc w:val="both"/>
        <w:rPr>
          <w:rFonts w:ascii="Times New Roman" w:cs="Times New Roman"/>
          <w:color w:val="000000" w:themeColor="text1"/>
          <w:spacing w:val="0"/>
          <w:sz w:val="16"/>
          <w:szCs w:val="16"/>
        </w:rPr>
      </w:pPr>
    </w:p>
    <w:p w14:paraId="006D562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был скандал по поводу подгнивших хвостов Ил-2 и Як, хранившихся в резерве с осени 1942 На совещании у И.В.С. был и С.В.И. (74,276).</w:t>
      </w:r>
    </w:p>
    <w:p w14:paraId="7D8ECCA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4D8B7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основным же средством борьбы с немецкими танками в этот период вой</w:t>
      </w:r>
      <w:r w:rsidRPr="00D03F3E">
        <w:rPr>
          <w:rFonts w:ascii="Times New Roman" w:hAnsi="Times New Roman"/>
          <w:color w:val="000000" w:themeColor="text1"/>
          <w:sz w:val="16"/>
          <w:szCs w:val="16"/>
        </w:rPr>
        <w:softHyphen/>
        <w:t>ны стала противотанковая авиационная бомба кумулятивного действия весом 1,5 кг в габаритах стоящей на вооружении ВВС КА авиабомбы массой 2,5 кг - ПТАБ-2,5-1,5. Новая авиабомба была разра</w:t>
      </w:r>
      <w:r w:rsidRPr="00D03F3E">
        <w:rPr>
          <w:rFonts w:ascii="Times New Roman" w:hAnsi="Times New Roman"/>
          <w:color w:val="000000" w:themeColor="text1"/>
          <w:sz w:val="16"/>
          <w:szCs w:val="16"/>
        </w:rPr>
        <w:softHyphen/>
        <w:t>ботана в ЦКБ-22 под руководством И.А.Ларионова.</w:t>
      </w:r>
    </w:p>
    <w:p w14:paraId="3BEB479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Действие новой бомбы сводилось к следующему. При ударе о броню танка срабатывал взрыватель, который через тетриловую детонаторную шашку вызы</w:t>
      </w:r>
      <w:r w:rsidRPr="00D03F3E">
        <w:rPr>
          <w:rFonts w:ascii="Times New Roman" w:hAnsi="Times New Roman"/>
          <w:color w:val="000000" w:themeColor="text1"/>
          <w:sz w:val="16"/>
          <w:szCs w:val="16"/>
        </w:rPr>
        <w:softHyphen/>
        <w:t>вал детонацию заряда взрывчатого ве</w:t>
      </w:r>
      <w:r w:rsidRPr="00D03F3E">
        <w:rPr>
          <w:rFonts w:ascii="Times New Roman" w:hAnsi="Times New Roman"/>
          <w:color w:val="000000" w:themeColor="text1"/>
          <w:sz w:val="16"/>
          <w:szCs w:val="16"/>
        </w:rPr>
        <w:softHyphen/>
        <w:t>щества. При детонации заряда, благо</w:t>
      </w:r>
      <w:r w:rsidRPr="00D03F3E">
        <w:rPr>
          <w:rFonts w:ascii="Times New Roman" w:hAnsi="Times New Roman"/>
          <w:color w:val="000000" w:themeColor="text1"/>
          <w:sz w:val="16"/>
          <w:szCs w:val="16"/>
        </w:rPr>
        <w:softHyphen/>
        <w:t>даря наличию кумулятивной воронки и металлического конуса в ней, создава</w:t>
      </w:r>
      <w:r w:rsidRPr="00D03F3E">
        <w:rPr>
          <w:rFonts w:ascii="Times New Roman" w:hAnsi="Times New Roman"/>
          <w:color w:val="000000" w:themeColor="text1"/>
          <w:sz w:val="16"/>
          <w:szCs w:val="16"/>
        </w:rPr>
        <w:softHyphen/>
        <w:t>лась кумулятивная струя, которая, как показали полигонные испытания, проби</w:t>
      </w:r>
      <w:r w:rsidRPr="00D03F3E">
        <w:rPr>
          <w:rFonts w:ascii="Times New Roman" w:hAnsi="Times New Roman"/>
          <w:color w:val="000000" w:themeColor="text1"/>
          <w:sz w:val="16"/>
          <w:szCs w:val="16"/>
        </w:rPr>
        <w:softHyphen/>
        <w:t>вала броню толщиной до 60 мм при угле встречи 30° с последующим разрушаю</w:t>
      </w:r>
      <w:r w:rsidRPr="00D03F3E">
        <w:rPr>
          <w:rFonts w:ascii="Times New Roman" w:hAnsi="Times New Roman"/>
          <w:color w:val="000000" w:themeColor="text1"/>
          <w:sz w:val="16"/>
          <w:szCs w:val="16"/>
        </w:rPr>
        <w:softHyphen/>
        <w:t>щим действием за броней: поражение экипажа танка, инициирование детона</w:t>
      </w:r>
      <w:r w:rsidRPr="00D03F3E">
        <w:rPr>
          <w:rFonts w:ascii="Times New Roman" w:hAnsi="Times New Roman"/>
          <w:color w:val="000000" w:themeColor="text1"/>
          <w:sz w:val="16"/>
          <w:szCs w:val="16"/>
        </w:rPr>
        <w:softHyphen/>
        <w:t>ции боеприпасов, а также воспламене</w:t>
      </w:r>
      <w:r w:rsidRPr="00D03F3E">
        <w:rPr>
          <w:rFonts w:ascii="Times New Roman" w:hAnsi="Times New Roman"/>
          <w:color w:val="000000" w:themeColor="text1"/>
          <w:sz w:val="16"/>
          <w:szCs w:val="16"/>
        </w:rPr>
        <w:softHyphen/>
        <w:t>ние горючего или его паров.</w:t>
      </w:r>
    </w:p>
    <w:p w14:paraId="4C26480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Минимальная высота, обеспечиваю</w:t>
      </w:r>
      <w:r w:rsidRPr="00D03F3E">
        <w:rPr>
          <w:rFonts w:ascii="Times New Roman" w:hAnsi="Times New Roman"/>
          <w:color w:val="000000" w:themeColor="text1"/>
          <w:sz w:val="16"/>
          <w:szCs w:val="16"/>
        </w:rPr>
        <w:softHyphen/>
        <w:t>щая выравнивание бомбы до встречи с поверхностью брони танка и безотказ</w:t>
      </w:r>
      <w:r w:rsidRPr="00D03F3E">
        <w:rPr>
          <w:rFonts w:ascii="Times New Roman" w:hAnsi="Times New Roman"/>
          <w:color w:val="000000" w:themeColor="text1"/>
          <w:sz w:val="16"/>
          <w:szCs w:val="16"/>
        </w:rPr>
        <w:softHyphen/>
        <w:t>ность ее действия, равнялась 70 м.</w:t>
      </w:r>
    </w:p>
    <w:p w14:paraId="73A5AB5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бомбовую зарядку самолета Ил-2 входило до 192 авиабомб ПТАБ-2,5-1,5 в 4-х кассетах мелких бомб (по 48 штук в каждой) или до 220 штук при их раци</w:t>
      </w:r>
      <w:r w:rsidRPr="00D03F3E">
        <w:rPr>
          <w:rFonts w:ascii="Times New Roman" w:hAnsi="Times New Roman"/>
          <w:color w:val="000000" w:themeColor="text1"/>
          <w:sz w:val="16"/>
          <w:szCs w:val="16"/>
        </w:rPr>
        <w:softHyphen/>
        <w:t>ональном размещении навалом в 4-х бомбоотсеках..</w:t>
      </w:r>
    </w:p>
    <w:p w14:paraId="35AA823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сбрасывании ПТАБ с высоты 200 м с горизонтального полета при скоро</w:t>
      </w:r>
      <w:r w:rsidRPr="00D03F3E">
        <w:rPr>
          <w:rFonts w:ascii="Times New Roman" w:hAnsi="Times New Roman"/>
          <w:color w:val="000000" w:themeColor="text1"/>
          <w:sz w:val="16"/>
          <w:szCs w:val="16"/>
        </w:rPr>
        <w:softHyphen/>
        <w:t>сти полета 340-360 км/ч одна бомба по</w:t>
      </w:r>
      <w:r w:rsidRPr="00D03F3E">
        <w:rPr>
          <w:rFonts w:ascii="Times New Roman" w:hAnsi="Times New Roman"/>
          <w:color w:val="000000" w:themeColor="text1"/>
          <w:sz w:val="16"/>
          <w:szCs w:val="16"/>
        </w:rPr>
        <w:softHyphen/>
        <w:t>падала в площадь, равную в среднем 15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при этом, в зависимости от бомбо</w:t>
      </w:r>
      <w:r w:rsidRPr="00D03F3E">
        <w:rPr>
          <w:rFonts w:ascii="Times New Roman" w:hAnsi="Times New Roman"/>
          <w:color w:val="000000" w:themeColor="text1"/>
          <w:sz w:val="16"/>
          <w:szCs w:val="16"/>
        </w:rPr>
        <w:softHyphen/>
        <w:t>вой загрузки, общая область разрывов занимала полосу 15х( 190-210)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что обеспечивало практически гарантиро</w:t>
      </w:r>
      <w:r w:rsidRPr="00D03F3E">
        <w:rPr>
          <w:rFonts w:ascii="Times New Roman" w:hAnsi="Times New Roman"/>
          <w:color w:val="000000" w:themeColor="text1"/>
          <w:sz w:val="16"/>
          <w:szCs w:val="16"/>
        </w:rPr>
        <w:softHyphen/>
        <w:t>ванное поражение находящегося в этой полосе любого танка вермахта. Дело в том, что площадь, занимаемая одним тан</w:t>
      </w:r>
      <w:r w:rsidRPr="00D03F3E">
        <w:rPr>
          <w:rFonts w:ascii="Times New Roman" w:hAnsi="Times New Roman"/>
          <w:color w:val="000000" w:themeColor="text1"/>
          <w:sz w:val="16"/>
          <w:szCs w:val="16"/>
        </w:rPr>
        <w:softHyphen/>
        <w:t>ком, составляла величину порядка 20-22 м</w:t>
      </w:r>
      <w:r w:rsidRPr="00D03F3E">
        <w:rPr>
          <w:rFonts w:ascii="Times New Roman" w:hAnsi="Times New Roman"/>
          <w:color w:val="000000" w:themeColor="text1"/>
          <w:sz w:val="16"/>
          <w:szCs w:val="16"/>
          <w:vertAlign w:val="superscript"/>
        </w:rPr>
        <w:t>2</w:t>
      </w:r>
      <w:r w:rsidRPr="00D03F3E">
        <w:rPr>
          <w:rFonts w:ascii="Times New Roman" w:hAnsi="Times New Roman"/>
          <w:color w:val="000000" w:themeColor="text1"/>
          <w:sz w:val="16"/>
          <w:szCs w:val="16"/>
        </w:rPr>
        <w:t>, а попадание хотя бы одной бомбы в танк было вполне достаточным для вы</w:t>
      </w:r>
      <w:r w:rsidRPr="00D03F3E">
        <w:rPr>
          <w:rFonts w:ascii="Times New Roman" w:hAnsi="Times New Roman"/>
          <w:color w:val="000000" w:themeColor="text1"/>
          <w:sz w:val="16"/>
          <w:szCs w:val="16"/>
        </w:rPr>
        <w:softHyphen/>
        <w:t>вода его из строя, в большинстве случа</w:t>
      </w:r>
      <w:r w:rsidRPr="00D03F3E">
        <w:rPr>
          <w:rFonts w:ascii="Times New Roman" w:hAnsi="Times New Roman"/>
          <w:color w:val="000000" w:themeColor="text1"/>
          <w:sz w:val="16"/>
          <w:szCs w:val="16"/>
        </w:rPr>
        <w:softHyphen/>
        <w:t>ев безвозвратно.</w:t>
      </w:r>
    </w:p>
    <w:p w14:paraId="69535E5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Таким образом, ПТАБ представляла собой довольно грозное оружие для того времени. К слову сказать, Главный кон</w:t>
      </w:r>
      <w:r w:rsidRPr="00D03F3E">
        <w:rPr>
          <w:rFonts w:ascii="Times New Roman" w:hAnsi="Times New Roman"/>
          <w:color w:val="000000" w:themeColor="text1"/>
          <w:sz w:val="16"/>
          <w:szCs w:val="16"/>
        </w:rPr>
        <w:softHyphen/>
        <w:t>структор ЦКБ-22 И.А.Ларионов за созда</w:t>
      </w:r>
      <w:r w:rsidRPr="00D03F3E">
        <w:rPr>
          <w:rFonts w:ascii="Times New Roman" w:hAnsi="Times New Roman"/>
          <w:color w:val="000000" w:themeColor="text1"/>
          <w:sz w:val="16"/>
          <w:szCs w:val="16"/>
        </w:rPr>
        <w:softHyphen/>
        <w:t>ние ПТАБ-2,5-1,5 и взрывателя к ней АД-А в январе 44-го был награжден орде</w:t>
      </w:r>
      <w:r w:rsidRPr="00D03F3E">
        <w:rPr>
          <w:rFonts w:ascii="Times New Roman" w:hAnsi="Times New Roman"/>
          <w:color w:val="000000" w:themeColor="text1"/>
          <w:sz w:val="16"/>
          <w:szCs w:val="16"/>
        </w:rPr>
        <w:softHyphen/>
        <w:t>ном Ленина, а в 1946 г. - удостоен зва</w:t>
      </w:r>
      <w:r w:rsidRPr="00D03F3E">
        <w:rPr>
          <w:rFonts w:ascii="Times New Roman" w:hAnsi="Times New Roman"/>
          <w:color w:val="000000" w:themeColor="text1"/>
          <w:sz w:val="16"/>
          <w:szCs w:val="16"/>
        </w:rPr>
        <w:softHyphen/>
        <w:t>ния лауреата Государственной премии СССР (6467).</w:t>
      </w:r>
    </w:p>
    <w:p w14:paraId="3E57E77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574CE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всего лета 1943 система пита</w:t>
      </w:r>
      <w:r w:rsidRPr="00D03F3E">
        <w:rPr>
          <w:rFonts w:ascii="Times New Roman" w:hAnsi="Times New Roman"/>
          <w:color w:val="000000" w:themeColor="text1"/>
          <w:sz w:val="16"/>
          <w:szCs w:val="16"/>
        </w:rPr>
        <w:softHyphen/>
        <w:t>ния мотора Ил-2 от подвесных бензо</w:t>
      </w:r>
      <w:r w:rsidRPr="00D03F3E">
        <w:rPr>
          <w:rFonts w:ascii="Times New Roman" w:hAnsi="Times New Roman"/>
          <w:color w:val="000000" w:themeColor="text1"/>
          <w:sz w:val="16"/>
          <w:szCs w:val="16"/>
        </w:rPr>
        <w:softHyphen/>
        <w:t>баков дважды дорабатывалась, но все не удачно (6467).</w:t>
      </w:r>
    </w:p>
    <w:p w14:paraId="292DBB6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7BC39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лету 1943-го построили четвертую машину, значительно отличавшуюся от предыдущих опытных аппаратов.</w:t>
      </w:r>
    </w:p>
    <w:p w14:paraId="590C9D1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Носовая часть четвертой машины, укороченная вплоть до бронекоробки, имела прикрытый плексигласом вырез между ногами летчика для установки бомбардировочного прицела. При этом носовой УБ перенесли под фюзеляж.</w:t>
      </w:r>
    </w:p>
    <w:p w14:paraId="53F3CF5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Теперь все вооружение крепилось только снизу на съемном лафете. Для уменьшения пожароопасности низ фюзеляжа в районе подвески вооружения обшили металлом.</w:t>
      </w:r>
    </w:p>
    <w:p w14:paraId="4B659E0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Для улучшения взлетно-посадочных характеристик и повышения маневренности на малых скоростях между двигателями и фюзеляжем установили дополнительные стационарные предкрылки, стык задней кромки крыла и фюзеляжа облагородили мощным зализом простейшей формы (9653).</w:t>
      </w:r>
    </w:p>
    <w:p w14:paraId="146C94E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99A01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пытаясь выбраться из моторного “тупика”, П.О.Сухой проектирует на его базе штурмовик Су-6 с серийным мотором М-82ФН. Ориентировочные расчеты показывают, что при использовании на двухместном штурмовике Су-6 вместо М-71ф мотора М-82ФН можно было бы получить максимальную скорость полета у земли около 415 км/ч, на форсаже - около 435 км/ч.</w:t>
      </w:r>
    </w:p>
    <w:p w14:paraId="349F45F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Хотя это и лучше, чем у двухместного Ил-2 АМ-38Ф, но не настолько, чтобы кардинально изменить положение дел. В результате Су-6 с “восемьдесят вторым” мотором так и остался на бумаге (9649).</w:t>
      </w:r>
    </w:p>
    <w:p w14:paraId="5D4C8DC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E875E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по предложению НКАП Сухому было предложено переделать двухместный Су-6 М-71Ф в самолет Су-6 с мотором жидкостного охлаждения АМ-42. Установка на Су-6 мотора АМ-42, имевшего меньшую живучесть в бою (что неизбежно влекло установку дополнительной брони), не могло не ухудшить летно-боевые качества штурмовика (9649).</w:t>
      </w:r>
    </w:p>
    <w:p w14:paraId="5CFFA12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D6B35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к немцам попал Ла-5ФН, который совершил посадку на вражеской территории и потом был испытан в Рехлине и составили акт (3023).</w:t>
      </w:r>
    </w:p>
    <w:p w14:paraId="28AA8D0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Незначительно поврежденную машину доставили в испытательный центр в Рехлине (аналог нашего НИИ ВВС, дислоцировавшегося в те годы на подмосковном аэродроме Чкаловская). Испытывал Ла-5ФН летчик Ганс Вернер Лерхе. Представляет интерес его отчет, дословный перевод которого опубликован в журнале "Аэрохобби" в 1993 г.</w:t>
      </w:r>
    </w:p>
    <w:p w14:paraId="31F06A5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"Ла-5ФН представляет собой значительный прогресс в летных и эксплуатационных характеристиках по сравнению с ранними советскими истребителями. Особого внимания заслуживают его данные на высотах до 3000 м. Но максимальная скорость на всех высотах ниже, чем у германских истребителей. Наилучшая скороподъемность у земли сравнима с показателями FW 190А-8 и ВГ 109. В наборе высоты и вираже на высоте до 3000 м Ла-5ФН близок к FW 190. При крейсерской мощности двигателя мала дальность и продолжительность полета (40 минут).</w:t>
      </w:r>
    </w:p>
    <w:p w14:paraId="6F2CFCB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Во время полетов на высоте включать форсаж запрещается, так как проходное сечение воздушного канала дросселя двигателя недостаточно для достижения максимальной мощности.</w:t>
      </w:r>
    </w:p>
    <w:p w14:paraId="2BE832F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был полностью пригоден к эксплуатации. Его налет неизвестен, но машина уже служила некоторое время. Отделка всех поверхностей, особенно крыльев (деревянных), - хорошая. Рули и предкрылки выполнены очень тщательно.</w:t>
      </w:r>
    </w:p>
    <w:p w14:paraId="05F87EB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Летчик сидит удобно. Обзор из кабины вперед достаточен, но на взлете, посадке и рулежке существенно ограничивается двигателем. На земле и в воздухе сильный шлейф выхлопных газов. Высотная кислородная система, по всей</w:t>
      </w:r>
    </w:p>
    <w:p w14:paraId="2921B01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видимости, никогда не использовалась. Ее конструкция основана на германской системе диафрагменного прямоточного экономайзера. Управление шагом винта (на самолете стоял винт автоматического шага), водяными радиаторами, жалюзи, триммерами и так далее - ручное при помощи различных тяг. Это отвлекает внимание летчика и снижает летные характеристики в воздушном бою.</w:t>
      </w:r>
    </w:p>
    <w:p w14:paraId="0C6CF6A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На взлете мощность двигателя несколько колеблется, но в допустимых пределах. Хвост следует поднимать медленно и не слишком рано. Малый зазор от винта до земли затрудняет пилотирование. Ускорение на разбеге хорошее, и взлетная дистанция с отклоненными на 15-20 градусов закрылками относительно коротка. Ввиду отсутствия указателя положения триммеров особое внимание следует обращать на правильность их отклонения на рулях высоты и поворота. </w:t>
      </w:r>
    </w:p>
    <w:p w14:paraId="4B3F93D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Продольная устойчивость на полетных углах атаки при любом положении шасси и закрылков неожиданно хорошая, даже во время набора высоты на форсаже. Усилия на ручке управления нормальные. При выполнении глубоких виражей усилия значительно возрастают, но остаются положительными. Для выполнения установившегося разворота необходимо работать педалями, чтобы держать "нос по ветру" (без скольжения - прим. авт.).</w:t>
      </w:r>
    </w:p>
    <w:p w14:paraId="6117DF9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Статическая путевая устойчивость и эффективность руля направления обычно удовлетворительны, но резко падают на малых скоростях. Динамическая путевая устойчивость слабая, затухание колебаний рыскания неудовлетворительное. На скорости 450 км/ч и высоте 200 м период колебаний составляет около трех секунд, причем летчик не может подавить их за более короткое время. Прицеливание очень простое... Колебания типа "голландский шаг" могут быть легко подавлены легким отклонением руля направления.</w:t>
      </w:r>
    </w:p>
    <w:p w14:paraId="6BE9BC6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Эффективность элеронов - выдающаяся. На скорости 450 км/ч полный оборот выполняется менее чем за четыре секунды. На скорости 600 км/ч усилия на элеронах становятся чрезмерными, но можно прибегнуть к помощи быстрых воздействий руля направления.</w:t>
      </w:r>
    </w:p>
    <w:p w14:paraId="00EDDB1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крейсерской мощности двигателя, при убранных шасси и закрылках, выпуск предкрылков происходит на скорости 200-210 км/ч. При дальнейшем снижении скорости уменьшается эффективность элеронов. При достижении 180 км/ч демпфировать крен становится затруднительно, а в случае полета со скольжением при торможении самолет валится на крыло. При убранном газе и выпущенных шасси и закрылках подобные реакции имеют место на близких скоростях. Если летчик продолжает тянуть ручку на себя, самолет выходит на максимально допустимые углы атаки и валится на крыло.</w:t>
      </w:r>
    </w:p>
    <w:p w14:paraId="3FFADE3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выполнении крутых энергичных разворотов срыв потока на крыле приводит к аналогичным результатам, но нехватка элеронов ощущается отчетливей и на значительно больших скоростях. Подобное происходит, например, на высоте 2400 м и скорости 320 км/ч при выполнении полного виража за 30 секунд (2,6-кратная перегрузка, крен 67 градусов), а также на меньших скоростях и больших перегрузках, но при выпущенных предкрылках. При вынужденных резких движениях элеронами имеется неприятная тенденция ухода ручки в сторону вращения самолета. Однако, благодаря запасу по углу атаки перед срывом после выпуска предкрылков, это явление не опасно.</w:t>
      </w:r>
    </w:p>
    <w:p w14:paraId="162AD9A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высоте 2400 м и крейсерской мощности двигателя наименьшее время полного виража без потери высоты 28- 30 секунд. На высоте 1000 м и форсировании двигателя полный вираж выполняется за 25 секунд.</w:t>
      </w:r>
    </w:p>
    <w:p w14:paraId="04ED283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Снижение на скорости менее 200 км/ч возможно только с использованием мощности двигателя. Во время выравнивания подъемная сила крыла существенно возрастает, поэтому следует обращать особое внимание на балансировку самолета. Посадка на три точки не составляет труда. Если это не удается или грунт неровный, то удерживание машины на пробеге становится затруднительным. Ситуация усугубляется неравномерным торможением колес. Самолет может "клевать носом" и "козлить". Ввиду ограниченного расстояния до земли, особой опасности подвержен винт.</w:t>
      </w:r>
    </w:p>
    <w:p w14:paraId="192CE7E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Срыв потока на какой-либо консоли крыла при рулении не представляет опасности благодаря широкой колее шасси. При сильном боковом ветре руля направления недостаточно для удержания самолета на полосе, однако, в этой ситуации можно прибегнуть к помощи тормозов.</w:t>
      </w:r>
    </w:p>
    <w:p w14:paraId="6AC9508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Ввиду достоинств своего двигателя Ла-5ФН лучше приспособлен для боя на малых высотах. Его максимальная скорость у земли лишь незначительно меньше чем у FW 190А-8 и Bf 109 на форсаже. Разгонные характеристики сопоставимы. Ла-5ФН уступает Bf 109 с MW-50 (система впрыска в цилиндры водо-метаноловой смеси - прим. авт.) по скорости и скороподъемности на всех высотах...</w:t>
      </w:r>
    </w:p>
    <w:p w14:paraId="4823FD9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Русский истребитель превосходит по скороподъемности FW 190А-8 вплоть до высоты 3000 м. По причине своего большого веса FW 190А-8 несколько уступает и в разгонных характеристиках, но благодаря ему же выглядит лучше на всех маневрах с пикированием и при боевом развороте на высокой скорости.</w:t>
      </w:r>
    </w:p>
    <w:p w14:paraId="27C3CDD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Поэтому уклонение от атак Ла-5ФН FW190 следует выполнять пикированием (...), затем перейти в пологий набор высоты на большой скорости для занятия позиции для атаки. "Лавочкин" обладает лучшей скороподъемностью на больших углах тангажа, поэтому не отстает. Нив коем случае не терять скорость и избегать длительного маневренного боя.</w:t>
      </w:r>
    </w:p>
    <w:p w14:paraId="1DBC77F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Помнить о малой продолжительности полета Ла-5ФН: 40 минут при нормальной мощности и еще меньше - на форсаже".</w:t>
      </w:r>
    </w:p>
    <w:p w14:paraId="6253F84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От себя добавлю, что летные данные трофейного Ла-5ФН, оказавшегося в руках немецких специалистов получились заниженными. Так скорости, поче- му-то уменьшились в зависимости от высоты на Ю-50 км/ч, а потолок - аж на 1500 м. Впрочем, то же самое происходило с немецкой трофейной техникой в СССР, но злого умысла здесь нет, нужно лишь критически подходить к результатам испытаний (12032).</w:t>
      </w:r>
    </w:p>
    <w:p w14:paraId="4A69A88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73BF0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Летом 1943 года в руки советских специалистов попал FW 190А-4, принадлежавший 54-й эскадре. Во время боя, из-за не отрегулированного синхронизатора, оказались простреленными лопасти воздушного винта. Машина, лишенная тяги, совершила вынужденную посадку. Восстановленный в НИИ ВВС самолет был основательно исследован как на земле, так и в воздухе. Ведущими по машине были инженер П. Оноприенко и летчик Ю.А. Антипов. </w:t>
      </w:r>
    </w:p>
    <w:p w14:paraId="3D7443E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 имел хороший обзор, летчик управлял силовой установкой лишь перемещая рычаг управления двигателем, а все остальные его параметры регулировались автоматически. Но по высот- но-скоростным и маневренным характеристикам он все же уступал советским истребителям, в том числе и Ла-5ФН.</w:t>
      </w:r>
    </w:p>
    <w:p w14:paraId="305E2FB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Любопытно, что такую же машину испытали и в Англии, но получили более высокие характеристики. Это можно объяснить лишь различием в методиках снятия летных характеристик и отличными режимами работы винтомоторной группы. На FW I90A-4 стояли 20-мм пушки с огромным по нашим меркам боезапасом - 680 патронов, что превышало общий боекомплект Ла-5, и два пулемета калибра 7,92 мм с 1800 патронами (12032).</w:t>
      </w:r>
    </w:p>
    <w:p w14:paraId="285952C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CA5BB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лета 1943 года, на Ла-5 № 2124 стали исследовать объединенное управление шагом винта и газом двигателя. Результаты признали удовлетворительными, но автоматика требовала доработок. В ноябре эти исследования продолжили на самолете Ла-5Ф № 39213956, а весной 1944 года и на Ла-5ФН. Но до серийных Ла-5 это новшество не дошло, оно было затребовано лишь на JIa-7 (12032).</w:t>
      </w:r>
    </w:p>
    <w:p w14:paraId="3F2D3BC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5AC890" w14:textId="77777777" w:rsidR="00F74D37" w:rsidRPr="00D03F3E" w:rsidRDefault="00F74D3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Летом 1943 г. на Ла-5ФН провели лётные испытания модифицированных свечей ВГ-25, в том числе во фронтовых условиях. Эти свечи удовлетворительно работали уже в тече</w:t>
      </w:r>
      <w:r w:rsidRPr="00D03F3E">
        <w:rPr>
          <w:rFonts w:ascii="Times New Roman" w:hAnsi="Times New Roman"/>
          <w:color w:val="000000" w:themeColor="text1"/>
          <w:sz w:val="16"/>
          <w:szCs w:val="16"/>
        </w:rPr>
        <w:softHyphen/>
        <w:t>ние 25-30 час. Осенью приняли решение об организации их серийного производства, но в это время завод № 161 выпустил ещё более совершенные, свечи АС-130 (15829).</w:t>
      </w:r>
    </w:p>
    <w:p w14:paraId="46CD078A" w14:textId="77777777" w:rsidR="00F74D37" w:rsidRPr="00D03F3E" w:rsidRDefault="00F74D37" w:rsidP="00D03F3E">
      <w:pPr>
        <w:spacing w:after="0" w:line="240" w:lineRule="auto"/>
        <w:jc w:val="both"/>
        <w:rPr>
          <w:rFonts w:ascii="Times New Roman" w:hAnsi="Times New Roman"/>
          <w:color w:val="000000" w:themeColor="text1"/>
          <w:sz w:val="16"/>
          <w:szCs w:val="16"/>
        </w:rPr>
      </w:pPr>
    </w:p>
    <w:p w14:paraId="42A7210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в Нижнем Тагиле на заводе № 381 под руководством главного конструктора П.Д, Грушина - впоследствии выдающегося конструктора зенитных ракет были разработаны чертежи металлических лонжеронов крыла и центроплана Ла-5 (4707).</w:t>
      </w:r>
    </w:p>
    <w:p w14:paraId="20AC13D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810AD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летчик-испытатель К.И.Пономарев выполнил первые вертикальные взлеты и посадки на 2МГ «Омега». Высокая температура воздуха снижала мощность двигателей и они быстро перегревались. Кроме силовой установки, все остальные части конструкции нареканий не вызывали. В заключении по испытаниям 2МГ «Омега» говорилось: «Геликоптер «Омега» после постановки на него надежных моторов может быть в ближайшее время практически использован как для гражданских, так и для военных целей» (11242).</w:t>
      </w:r>
    </w:p>
    <w:p w14:paraId="6589089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1B245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моторы М-82ФН пошли в широкую войсковую эксплу</w:t>
      </w:r>
      <w:r w:rsidRPr="00D03F3E">
        <w:rPr>
          <w:rFonts w:ascii="Times New Roman" w:hAnsi="Times New Roman"/>
          <w:color w:val="000000" w:themeColor="text1"/>
          <w:sz w:val="16"/>
          <w:szCs w:val="16"/>
        </w:rPr>
        <w:softHyphen/>
        <w:t>атацию. Наблюдение за их работой на фронте осуществляли в том чис</w:t>
      </w:r>
      <w:r w:rsidRPr="00D03F3E">
        <w:rPr>
          <w:rFonts w:ascii="Times New Roman" w:hAnsi="Times New Roman"/>
          <w:color w:val="000000" w:themeColor="text1"/>
          <w:sz w:val="16"/>
          <w:szCs w:val="16"/>
        </w:rPr>
        <w:softHyphen/>
        <w:t>ле и военпреды завода №19. Так в 5-ю ВА был командирован инженер-майор И.К.Четверик, который находил</w:t>
      </w:r>
      <w:r w:rsidRPr="00D03F3E">
        <w:rPr>
          <w:rFonts w:ascii="Times New Roman" w:hAnsi="Times New Roman"/>
          <w:color w:val="000000" w:themeColor="text1"/>
          <w:sz w:val="16"/>
          <w:szCs w:val="16"/>
        </w:rPr>
        <w:softHyphen/>
        <w:t>ся в 302 ИАД с 27 августа по 19 сентября 1943 года. За время пре</w:t>
      </w:r>
      <w:r w:rsidRPr="00D03F3E">
        <w:rPr>
          <w:rFonts w:ascii="Times New Roman" w:hAnsi="Times New Roman"/>
          <w:color w:val="000000" w:themeColor="text1"/>
          <w:sz w:val="16"/>
          <w:szCs w:val="16"/>
        </w:rPr>
        <w:softHyphen/>
        <w:t>бывания в дивизии он оказал техни</w:t>
      </w:r>
      <w:r w:rsidRPr="00D03F3E">
        <w:rPr>
          <w:rFonts w:ascii="Times New Roman" w:hAnsi="Times New Roman"/>
          <w:color w:val="000000" w:themeColor="text1"/>
          <w:sz w:val="16"/>
          <w:szCs w:val="16"/>
        </w:rPr>
        <w:softHyphen/>
        <w:t>ческую помощь всем трем полкам — 297-му, 240-му и 193-му ИАП. Рабо</w:t>
      </w:r>
      <w:r w:rsidRPr="00D03F3E">
        <w:rPr>
          <w:rFonts w:ascii="Times New Roman" w:hAnsi="Times New Roman"/>
          <w:color w:val="000000" w:themeColor="text1"/>
          <w:sz w:val="16"/>
          <w:szCs w:val="16"/>
        </w:rPr>
        <w:softHyphen/>
        <w:t>та моторов М-82ФН характеризова</w:t>
      </w:r>
      <w:r w:rsidRPr="00D03F3E">
        <w:rPr>
          <w:rFonts w:ascii="Times New Roman" w:hAnsi="Times New Roman"/>
          <w:color w:val="000000" w:themeColor="text1"/>
          <w:sz w:val="16"/>
          <w:szCs w:val="16"/>
        </w:rPr>
        <w:softHyphen/>
        <w:t>лась следующими данными.</w:t>
      </w:r>
    </w:p>
    <w:p w14:paraId="0D4E83F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297 ИАП:</w:t>
      </w:r>
    </w:p>
    <w:p w14:paraId="18284F9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Мотор № 8211093 выпуска ап</w:t>
      </w:r>
      <w:r w:rsidRPr="00D03F3E">
        <w:rPr>
          <w:rFonts w:ascii="Times New Roman" w:hAnsi="Times New Roman"/>
          <w:color w:val="000000" w:themeColor="text1"/>
          <w:sz w:val="16"/>
          <w:szCs w:val="16"/>
        </w:rPr>
        <w:softHyphen/>
        <w:t>реля месяца 1943 года на 31 августа наработал 55 ч 23 мин, из них в воз</w:t>
      </w:r>
      <w:r w:rsidRPr="00D03F3E">
        <w:rPr>
          <w:rFonts w:ascii="Times New Roman" w:hAnsi="Times New Roman"/>
          <w:color w:val="000000" w:themeColor="text1"/>
          <w:sz w:val="16"/>
          <w:szCs w:val="16"/>
        </w:rPr>
        <w:softHyphen/>
        <w:t>духе 44 ч 1 1 мин. После 1 1 часов работы мотора произведена регули</w:t>
      </w:r>
      <w:r w:rsidRPr="00D03F3E">
        <w:rPr>
          <w:rFonts w:ascii="Times New Roman" w:hAnsi="Times New Roman"/>
          <w:color w:val="000000" w:themeColor="text1"/>
          <w:sz w:val="16"/>
          <w:szCs w:val="16"/>
        </w:rPr>
        <w:softHyphen/>
        <w:t>ровка насоса НБ-ЗУ в сторону обед</w:t>
      </w:r>
      <w:r w:rsidRPr="00D03F3E">
        <w:rPr>
          <w:rFonts w:ascii="Times New Roman" w:hAnsi="Times New Roman"/>
          <w:color w:val="000000" w:themeColor="text1"/>
          <w:sz w:val="16"/>
          <w:szCs w:val="16"/>
        </w:rPr>
        <w:softHyphen/>
        <w:t>нения. После 15 часов заменены све</w:t>
      </w:r>
      <w:r w:rsidRPr="00D03F3E">
        <w:rPr>
          <w:rFonts w:ascii="Times New Roman" w:hAnsi="Times New Roman"/>
          <w:color w:val="000000" w:themeColor="text1"/>
          <w:sz w:val="16"/>
          <w:szCs w:val="16"/>
        </w:rPr>
        <w:softHyphen/>
        <w:t>чи передней и задней звезды. После 54 ч 23 мин заменены свечи пере</w:t>
      </w:r>
      <w:r w:rsidRPr="00D03F3E">
        <w:rPr>
          <w:rFonts w:ascii="Times New Roman" w:hAnsi="Times New Roman"/>
          <w:color w:val="000000" w:themeColor="text1"/>
          <w:sz w:val="16"/>
          <w:szCs w:val="16"/>
        </w:rPr>
        <w:softHyphen/>
        <w:t>дней и задней звезды. После 55 ч 32 мин оборвалась прокладка и вышла из-под крышки анероидной коробки РС-2, вследствие чего ослабли все и поломались два крепежных болта ане</w:t>
      </w:r>
      <w:r w:rsidRPr="00D03F3E">
        <w:rPr>
          <w:rFonts w:ascii="Times New Roman" w:hAnsi="Times New Roman"/>
          <w:color w:val="000000" w:themeColor="text1"/>
          <w:sz w:val="16"/>
          <w:szCs w:val="16"/>
        </w:rPr>
        <w:softHyphen/>
        <w:t>роидной коробки РС-2. После устра-</w:t>
      </w:r>
    </w:p>
    <w:p w14:paraId="5D82906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Смена мотора АШ-82ФН в полевых условиях</w:t>
      </w:r>
    </w:p>
    <w:p w14:paraId="74E98D0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нения указанного дефекта со сторо</w:t>
      </w:r>
      <w:r w:rsidRPr="00D03F3E">
        <w:rPr>
          <w:rFonts w:ascii="Times New Roman" w:hAnsi="Times New Roman"/>
          <w:color w:val="000000" w:themeColor="text1"/>
          <w:sz w:val="16"/>
          <w:szCs w:val="16"/>
        </w:rPr>
        <w:softHyphen/>
        <w:t>ны летчика и техника никаких жалоб на работу мотора нет.</w:t>
      </w:r>
    </w:p>
    <w:p w14:paraId="3ED399A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Мотор № 821 1073 выпуска ап</w:t>
      </w:r>
      <w:r w:rsidRPr="00D03F3E">
        <w:rPr>
          <w:rFonts w:ascii="Times New Roman" w:hAnsi="Times New Roman"/>
          <w:color w:val="000000" w:themeColor="text1"/>
          <w:sz w:val="16"/>
          <w:szCs w:val="16"/>
        </w:rPr>
        <w:softHyphen/>
        <w:t>реля месяца 1943 года на 30 августа наработал 51 ч 39 мин. После 16 часов работы мотора поломались две трубки высокого давления цилиндров № 6 и 7 - трубки заменены новыми. После 17 часов обнаружена трещи</w:t>
      </w:r>
      <w:r w:rsidRPr="00D03F3E">
        <w:rPr>
          <w:rFonts w:ascii="Times New Roman" w:hAnsi="Times New Roman"/>
          <w:color w:val="000000" w:themeColor="text1"/>
          <w:sz w:val="16"/>
          <w:szCs w:val="16"/>
        </w:rPr>
        <w:softHyphen/>
        <w:t>на переходника насоса НБ-ЗУ - пе</w:t>
      </w:r>
      <w:r w:rsidRPr="00D03F3E">
        <w:rPr>
          <w:rFonts w:ascii="Times New Roman" w:hAnsi="Times New Roman"/>
          <w:color w:val="000000" w:themeColor="text1"/>
          <w:sz w:val="16"/>
          <w:szCs w:val="16"/>
        </w:rPr>
        <w:softHyphen/>
        <w:t>реходник заменен новым. Со сторо</w:t>
      </w:r>
      <w:r w:rsidRPr="00D03F3E">
        <w:rPr>
          <w:rFonts w:ascii="Times New Roman" w:hAnsi="Times New Roman"/>
          <w:color w:val="000000" w:themeColor="text1"/>
          <w:sz w:val="16"/>
          <w:szCs w:val="16"/>
        </w:rPr>
        <w:softHyphen/>
        <w:t>ны летчика и техника никаких жалоб на работу мотора нет, за исключени</w:t>
      </w:r>
      <w:r w:rsidRPr="00D03F3E">
        <w:rPr>
          <w:rFonts w:ascii="Times New Roman" w:hAnsi="Times New Roman"/>
          <w:color w:val="000000" w:themeColor="text1"/>
          <w:sz w:val="16"/>
          <w:szCs w:val="16"/>
        </w:rPr>
        <w:softHyphen/>
        <w:t>ем незначительного дымления.</w:t>
      </w:r>
    </w:p>
    <w:p w14:paraId="56B9CB4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Мотор № 821 1053 выпуска мар</w:t>
      </w:r>
      <w:r w:rsidRPr="00D03F3E">
        <w:rPr>
          <w:rFonts w:ascii="Times New Roman" w:hAnsi="Times New Roman"/>
          <w:color w:val="000000" w:themeColor="text1"/>
          <w:sz w:val="16"/>
          <w:szCs w:val="16"/>
        </w:rPr>
        <w:softHyphen/>
        <w:t>та месяца 1943 года на 30 августа наработал 40 часов, из них в воздухе 34 часа. После 9 ч 05 мин работы мотора заменены задние свечи пе</w:t>
      </w:r>
      <w:r w:rsidRPr="00D03F3E">
        <w:rPr>
          <w:rFonts w:ascii="Times New Roman" w:hAnsi="Times New Roman"/>
          <w:color w:val="000000" w:themeColor="text1"/>
          <w:sz w:val="16"/>
          <w:szCs w:val="16"/>
        </w:rPr>
        <w:softHyphen/>
        <w:t>редней и задней звезды. После 9 ч 05 мин произведена регулировка насоса НБ-ЗУ в сторону обеднения. После 19 ч 20 мин заменены пере</w:t>
      </w:r>
      <w:r w:rsidRPr="00D03F3E">
        <w:rPr>
          <w:rFonts w:ascii="Times New Roman" w:hAnsi="Times New Roman"/>
          <w:color w:val="000000" w:themeColor="text1"/>
          <w:sz w:val="16"/>
          <w:szCs w:val="16"/>
        </w:rPr>
        <w:softHyphen/>
        <w:t>дние свечи передней и задней звез</w:t>
      </w:r>
      <w:r w:rsidRPr="00D03F3E">
        <w:rPr>
          <w:rFonts w:ascii="Times New Roman" w:hAnsi="Times New Roman"/>
          <w:color w:val="000000" w:themeColor="text1"/>
          <w:sz w:val="16"/>
          <w:szCs w:val="16"/>
        </w:rPr>
        <w:softHyphen/>
        <w:t>ды. После 19 ч 20 мин вывернулись две шпильки выхлопной трубы, шпиль</w:t>
      </w:r>
      <w:r w:rsidRPr="00D03F3E">
        <w:rPr>
          <w:rFonts w:ascii="Times New Roman" w:hAnsi="Times New Roman"/>
          <w:color w:val="000000" w:themeColor="text1"/>
          <w:sz w:val="16"/>
          <w:szCs w:val="16"/>
        </w:rPr>
        <w:softHyphen/>
        <w:t>ки заменены новыми.</w:t>
      </w:r>
    </w:p>
    <w:p w14:paraId="30B7F3B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193 ИАП:</w:t>
      </w:r>
    </w:p>
    <w:p w14:paraId="1C0E025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Мотор № 8211213 на 15 сен тября 1943 года наработал 39 ча</w:t>
      </w:r>
      <w:r w:rsidRPr="00D03F3E">
        <w:rPr>
          <w:rFonts w:ascii="Times New Roman" w:hAnsi="Times New Roman"/>
          <w:color w:val="000000" w:themeColor="text1"/>
          <w:sz w:val="16"/>
          <w:szCs w:val="16"/>
        </w:rPr>
        <w:softHyphen/>
        <w:t>сов. После 26 ч 46 мин заменили цилиндры №№ 12 и 13, по причине прострела их из пушки во время вы</w:t>
      </w:r>
      <w:r w:rsidRPr="00D03F3E">
        <w:rPr>
          <w:rFonts w:ascii="Times New Roman" w:hAnsi="Times New Roman"/>
          <w:color w:val="000000" w:themeColor="text1"/>
          <w:sz w:val="16"/>
          <w:szCs w:val="16"/>
        </w:rPr>
        <w:softHyphen/>
        <w:t>полнения боевого задания. После 27 ч 20 мин заменили насос непосред</w:t>
      </w:r>
      <w:r w:rsidRPr="00D03F3E">
        <w:rPr>
          <w:rFonts w:ascii="Times New Roman" w:hAnsi="Times New Roman"/>
          <w:color w:val="000000" w:themeColor="text1"/>
          <w:sz w:val="16"/>
          <w:szCs w:val="16"/>
        </w:rPr>
        <w:softHyphen/>
        <w:t>ственного впрыска, по причине полом</w:t>
      </w:r>
      <w:r w:rsidRPr="00D03F3E">
        <w:rPr>
          <w:rFonts w:ascii="Times New Roman" w:hAnsi="Times New Roman"/>
          <w:color w:val="000000" w:themeColor="text1"/>
          <w:sz w:val="16"/>
          <w:szCs w:val="16"/>
        </w:rPr>
        <w:softHyphen/>
        <w:t>ки пружин насосного элемента. Пос</w:t>
      </w:r>
      <w:r w:rsidRPr="00D03F3E">
        <w:rPr>
          <w:rFonts w:ascii="Times New Roman" w:hAnsi="Times New Roman"/>
          <w:color w:val="000000" w:themeColor="text1"/>
          <w:sz w:val="16"/>
          <w:szCs w:val="16"/>
        </w:rPr>
        <w:softHyphen/>
        <w:t>ле 27 ч 20 мин заменили три цилин</w:t>
      </w:r>
      <w:r w:rsidRPr="00D03F3E">
        <w:rPr>
          <w:rFonts w:ascii="Times New Roman" w:hAnsi="Times New Roman"/>
          <w:color w:val="000000" w:themeColor="text1"/>
          <w:sz w:val="16"/>
          <w:szCs w:val="16"/>
        </w:rPr>
        <w:softHyphen/>
        <w:t>дра по дымлению. Во время испыта</w:t>
      </w:r>
      <w:r w:rsidRPr="00D03F3E">
        <w:rPr>
          <w:rFonts w:ascii="Times New Roman" w:hAnsi="Times New Roman"/>
          <w:color w:val="000000" w:themeColor="text1"/>
          <w:sz w:val="16"/>
          <w:szCs w:val="16"/>
        </w:rPr>
        <w:softHyphen/>
        <w:t>ния мотора на земле загорелся са</w:t>
      </w:r>
      <w:r w:rsidRPr="00D03F3E">
        <w:rPr>
          <w:rFonts w:ascii="Times New Roman" w:hAnsi="Times New Roman"/>
          <w:color w:val="000000" w:themeColor="text1"/>
          <w:sz w:val="16"/>
          <w:szCs w:val="16"/>
        </w:rPr>
        <w:softHyphen/>
        <w:t>молет с правой стороны (лонжерон самолета). Причина загорания: во время работы мотора на самолетах с моторами М-82ФН пламя нижнего выхлопного патрубка попадало в щель между капотом и лонжероном фюзе</w:t>
      </w:r>
      <w:r w:rsidRPr="00D03F3E">
        <w:rPr>
          <w:rFonts w:ascii="Times New Roman" w:hAnsi="Times New Roman"/>
          <w:color w:val="000000" w:themeColor="text1"/>
          <w:sz w:val="16"/>
          <w:szCs w:val="16"/>
        </w:rPr>
        <w:softHyphen/>
        <w:t>ляжа. Во время работы мотора от пла</w:t>
      </w:r>
      <w:r w:rsidRPr="00D03F3E">
        <w:rPr>
          <w:rFonts w:ascii="Times New Roman" w:hAnsi="Times New Roman"/>
          <w:color w:val="000000" w:themeColor="text1"/>
          <w:sz w:val="16"/>
          <w:szCs w:val="16"/>
        </w:rPr>
        <w:softHyphen/>
        <w:t>мени выхлопного патрубка лонжерон постепенно обугливался и впослед</w:t>
      </w:r>
      <w:r w:rsidRPr="00D03F3E">
        <w:rPr>
          <w:rFonts w:ascii="Times New Roman" w:hAnsi="Times New Roman"/>
          <w:color w:val="000000" w:themeColor="text1"/>
          <w:sz w:val="16"/>
          <w:szCs w:val="16"/>
        </w:rPr>
        <w:softHyphen/>
        <w:t>ствии вызывал загорание. После 36 ч заменили форсунку цилиндра, по причине закупорки каналов иглы фор</w:t>
      </w:r>
      <w:r w:rsidRPr="00D03F3E">
        <w:rPr>
          <w:rFonts w:ascii="Times New Roman" w:hAnsi="Times New Roman"/>
          <w:color w:val="000000" w:themeColor="text1"/>
          <w:sz w:val="16"/>
          <w:szCs w:val="16"/>
        </w:rPr>
        <w:softHyphen/>
        <w:t>сунки ФБ-10 (металлическая струж</w:t>
      </w:r>
      <w:r w:rsidRPr="00D03F3E">
        <w:rPr>
          <w:rFonts w:ascii="Times New Roman" w:hAnsi="Times New Roman"/>
          <w:color w:val="000000" w:themeColor="text1"/>
          <w:sz w:val="16"/>
          <w:szCs w:val="16"/>
        </w:rPr>
        <w:softHyphen/>
        <w:t>ка от оборванной резьбы штуцера подвода топлива, попавшая в момент сборки ФБ-10 на заводе №296). После 36 ч произведена перестановка насоса НБ-ЗУ, по причине той, что при замене насос был установлен непра</w:t>
      </w:r>
      <w:r w:rsidRPr="00D03F3E">
        <w:rPr>
          <w:rFonts w:ascii="Times New Roman" w:hAnsi="Times New Roman"/>
          <w:color w:val="000000" w:themeColor="text1"/>
          <w:sz w:val="16"/>
          <w:szCs w:val="16"/>
        </w:rPr>
        <w:softHyphen/>
        <w:t>вильно, в силу чего не поддавался ре</w:t>
      </w:r>
      <w:r w:rsidRPr="00D03F3E">
        <w:rPr>
          <w:rFonts w:ascii="Times New Roman" w:hAnsi="Times New Roman"/>
          <w:color w:val="000000" w:themeColor="text1"/>
          <w:sz w:val="16"/>
          <w:szCs w:val="16"/>
        </w:rPr>
        <w:softHyphen/>
        <w:t>гулировке. После перестановки на</w:t>
      </w:r>
      <w:r w:rsidRPr="00D03F3E">
        <w:rPr>
          <w:rFonts w:ascii="Times New Roman" w:hAnsi="Times New Roman"/>
          <w:color w:val="000000" w:themeColor="text1"/>
          <w:sz w:val="16"/>
          <w:szCs w:val="16"/>
        </w:rPr>
        <w:softHyphen/>
        <w:t>соса НБ-ЗУ, мотор был отрегулиро</w:t>
      </w:r>
      <w:r w:rsidRPr="00D03F3E">
        <w:rPr>
          <w:rFonts w:ascii="Times New Roman" w:hAnsi="Times New Roman"/>
          <w:color w:val="000000" w:themeColor="text1"/>
          <w:sz w:val="16"/>
          <w:szCs w:val="16"/>
        </w:rPr>
        <w:softHyphen/>
        <w:t>ван по расходам и после опробова</w:t>
      </w:r>
      <w:r w:rsidRPr="00D03F3E">
        <w:rPr>
          <w:rFonts w:ascii="Times New Roman" w:hAnsi="Times New Roman"/>
          <w:color w:val="000000" w:themeColor="text1"/>
          <w:sz w:val="16"/>
          <w:szCs w:val="16"/>
        </w:rPr>
        <w:softHyphen/>
        <w:t>ния мотора на земле и воздухе жа</w:t>
      </w:r>
      <w:r w:rsidRPr="00D03F3E">
        <w:rPr>
          <w:rFonts w:ascii="Times New Roman" w:hAnsi="Times New Roman"/>
          <w:color w:val="000000" w:themeColor="text1"/>
          <w:sz w:val="16"/>
          <w:szCs w:val="16"/>
        </w:rPr>
        <w:softHyphen/>
        <w:t>лоб со стороны летного и техничес</w:t>
      </w:r>
      <w:r w:rsidRPr="00D03F3E">
        <w:rPr>
          <w:rFonts w:ascii="Times New Roman" w:hAnsi="Times New Roman"/>
          <w:color w:val="000000" w:themeColor="text1"/>
          <w:sz w:val="16"/>
          <w:szCs w:val="16"/>
        </w:rPr>
        <w:softHyphen/>
        <w:t>кого состава нет.</w:t>
      </w:r>
    </w:p>
    <w:p w14:paraId="607D4A7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Мотор № 8211218 на 15 сен</w:t>
      </w:r>
      <w:r w:rsidRPr="00D03F3E">
        <w:rPr>
          <w:rFonts w:ascii="Times New Roman" w:hAnsi="Times New Roman"/>
          <w:color w:val="000000" w:themeColor="text1"/>
          <w:sz w:val="16"/>
          <w:szCs w:val="16"/>
        </w:rPr>
        <w:softHyphen/>
        <w:t>тября 1943 года наработал 58 часов, из них в воздухе 53 ч 30 мин. После 7 ч 32 мин отказал насос НБ-ЗУ, по причине поломки трех пружин насос</w:t>
      </w:r>
      <w:r w:rsidRPr="00D03F3E">
        <w:rPr>
          <w:rFonts w:ascii="Times New Roman" w:hAnsi="Times New Roman"/>
          <w:color w:val="000000" w:themeColor="text1"/>
          <w:sz w:val="16"/>
          <w:szCs w:val="16"/>
        </w:rPr>
        <w:softHyphen/>
        <w:t>ного элемента и поломки штоков плун</w:t>
      </w:r>
      <w:r w:rsidRPr="00D03F3E">
        <w:rPr>
          <w:rFonts w:ascii="Times New Roman" w:hAnsi="Times New Roman"/>
          <w:color w:val="000000" w:themeColor="text1"/>
          <w:sz w:val="16"/>
          <w:szCs w:val="16"/>
        </w:rPr>
        <w:softHyphen/>
        <w:t>жера. Имеется незначительное под-дымливание мотора, которое не уст</w:t>
      </w:r>
      <w:r w:rsidRPr="00D03F3E">
        <w:rPr>
          <w:rFonts w:ascii="Times New Roman" w:hAnsi="Times New Roman"/>
          <w:color w:val="000000" w:themeColor="text1"/>
          <w:sz w:val="16"/>
          <w:szCs w:val="16"/>
        </w:rPr>
        <w:softHyphen/>
        <w:t>раняется регулировкой насоса НБ-ЗУ. Жалоб на работу мотора со сто</w:t>
      </w:r>
      <w:r w:rsidRPr="00D03F3E">
        <w:rPr>
          <w:rFonts w:ascii="Times New Roman" w:hAnsi="Times New Roman"/>
          <w:color w:val="000000" w:themeColor="text1"/>
          <w:sz w:val="16"/>
          <w:szCs w:val="16"/>
        </w:rPr>
        <w:softHyphen/>
        <w:t>роны летчика нет.</w:t>
      </w:r>
    </w:p>
    <w:p w14:paraId="419E257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240 ИАП:</w:t>
      </w:r>
    </w:p>
    <w:p w14:paraId="6B106AE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Мотор № 8211089 выпуска ап</w:t>
      </w:r>
      <w:r w:rsidRPr="00D03F3E">
        <w:rPr>
          <w:rFonts w:ascii="Times New Roman" w:hAnsi="Times New Roman"/>
          <w:color w:val="000000" w:themeColor="text1"/>
          <w:sz w:val="16"/>
          <w:szCs w:val="16"/>
        </w:rPr>
        <w:softHyphen/>
        <w:t>реля месяца 1943 года на 16 сен</w:t>
      </w:r>
      <w:r w:rsidRPr="00D03F3E">
        <w:rPr>
          <w:rFonts w:ascii="Times New Roman" w:hAnsi="Times New Roman"/>
          <w:color w:val="000000" w:themeColor="text1"/>
          <w:sz w:val="16"/>
          <w:szCs w:val="16"/>
        </w:rPr>
        <w:softHyphen/>
        <w:t>тября наработал 90 часов. После 79 ч ослабли болты крепления РС-2 к переходнику. После подтяжки болтов мотор работал устойчиво и со сторо</w:t>
      </w:r>
      <w:r w:rsidRPr="00D03F3E">
        <w:rPr>
          <w:rFonts w:ascii="Times New Roman" w:hAnsi="Times New Roman"/>
          <w:color w:val="000000" w:themeColor="text1"/>
          <w:sz w:val="16"/>
          <w:szCs w:val="16"/>
        </w:rPr>
        <w:softHyphen/>
        <w:t>ны летчика жалоб не было. Во время полета мотор понемногу дымит, регу</w:t>
      </w:r>
      <w:r w:rsidRPr="00D03F3E">
        <w:rPr>
          <w:rFonts w:ascii="Times New Roman" w:hAnsi="Times New Roman"/>
          <w:color w:val="000000" w:themeColor="text1"/>
          <w:sz w:val="16"/>
          <w:szCs w:val="16"/>
        </w:rPr>
        <w:softHyphen/>
        <w:t>лировкой насоса НБЗ-У устранить дымление не удалось. Мотор рабо</w:t>
      </w:r>
      <w:r w:rsidRPr="00D03F3E">
        <w:rPr>
          <w:rFonts w:ascii="Times New Roman" w:hAnsi="Times New Roman"/>
          <w:color w:val="000000" w:themeColor="text1"/>
          <w:sz w:val="16"/>
          <w:szCs w:val="16"/>
        </w:rPr>
        <w:softHyphen/>
        <w:t>тает хорошо и, кроме указанного де</w:t>
      </w:r>
      <w:r w:rsidRPr="00D03F3E">
        <w:rPr>
          <w:rFonts w:ascii="Times New Roman" w:hAnsi="Times New Roman"/>
          <w:color w:val="000000" w:themeColor="text1"/>
          <w:sz w:val="16"/>
          <w:szCs w:val="16"/>
        </w:rPr>
        <w:softHyphen/>
        <w:t>фекта, жалоб от летчика не поступало.</w:t>
      </w:r>
    </w:p>
    <w:p w14:paraId="6FE2C30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Аналогичные дефекты выявлялись и в других частях (10714).</w:t>
      </w:r>
    </w:p>
    <w:p w14:paraId="69603DD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31C67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были проведены летные испытания модифицированных свечей ВГ-25 на Ла-5ФН, в том числе во фронтовых условиях. Эти свечи удовлетворительно работали уже в течение 25-30 часов. Осенью было принято решение об организации их серийного производства, но в это вре</w:t>
      </w:r>
      <w:r w:rsidRPr="00D03F3E">
        <w:rPr>
          <w:rFonts w:ascii="Times New Roman" w:hAnsi="Times New Roman"/>
          <w:color w:val="000000" w:themeColor="text1"/>
          <w:sz w:val="16"/>
          <w:szCs w:val="16"/>
        </w:rPr>
        <w:softHyphen/>
        <w:t>мя завод №161 выпустил еще более совершенные свечи АС-130 (10714).</w:t>
      </w:r>
    </w:p>
    <w:p w14:paraId="0C9776C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B4AF4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Летом 1943 г. прекратили выпуск первого серийного варианта Ла-5 с мотором М-82А </w:t>
      </w:r>
    </w:p>
    <w:p w14:paraId="13B5CBE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5B455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ЛаГГ-3 с М-105ПФ показал максимальную скорость на 25-28 км/ч больше, чем серийные машины; увеличились потолок и скороподъемность. Мощность мотора М-105ПФ по сравнения с М-105 была несколько больше, 1180 л.с. против 1050 л.с. на высоте 2200 м. Один истребитель был построен с мотором М-105ПФ2, мощностью 1240 л.с., на испытаниях самолет показал скорость 618 км/ч (4707).</w:t>
      </w:r>
    </w:p>
    <w:p w14:paraId="087FE2D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2E097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начали проектирование Ла-5УТИ. За базу взяли Ла-5Ф, с которого сняли радио, кислород, броню, одну пушку. Место инструктора сделали за штатной кабиной летчика. Причем предусмотрели возможность не только строить новые «спарки» с использованием имеющейся серийной оснастки, но пе</w:t>
      </w:r>
      <w:r w:rsidRPr="00D03F3E">
        <w:rPr>
          <w:rFonts w:ascii="Times New Roman" w:hAnsi="Times New Roman"/>
          <w:color w:val="000000" w:themeColor="text1"/>
          <w:sz w:val="16"/>
          <w:szCs w:val="16"/>
        </w:rPr>
        <w:softHyphen/>
        <w:t>ределывать в них боевые истребители. Первый полет Ла-5УТИ со</w:t>
      </w:r>
      <w:r w:rsidRPr="00D03F3E">
        <w:rPr>
          <w:rFonts w:ascii="Times New Roman" w:hAnsi="Times New Roman"/>
          <w:color w:val="000000" w:themeColor="text1"/>
          <w:sz w:val="16"/>
          <w:szCs w:val="16"/>
        </w:rPr>
        <w:softHyphen/>
        <w:t>стоялся 3 сентября 1943 г., причем заводские испытания совмести</w:t>
      </w:r>
      <w:r w:rsidRPr="00D03F3E">
        <w:rPr>
          <w:rFonts w:ascii="Times New Roman" w:hAnsi="Times New Roman"/>
          <w:color w:val="000000" w:themeColor="text1"/>
          <w:sz w:val="16"/>
          <w:szCs w:val="16"/>
        </w:rPr>
        <w:softHyphen/>
        <w:t>ли с Государственными. 30 сентября был подписан Акт об их завер</w:t>
      </w:r>
      <w:r w:rsidRPr="00D03F3E">
        <w:rPr>
          <w:rFonts w:ascii="Times New Roman" w:hAnsi="Times New Roman"/>
          <w:color w:val="000000" w:themeColor="text1"/>
          <w:sz w:val="16"/>
          <w:szCs w:val="16"/>
        </w:rPr>
        <w:softHyphen/>
        <w:t>шении, а двумя днями ранее вышло Постановление ГКО № 4210 о переоборудовании в УТИ части серийных Ла-5. Но НКАП долго не мог решить, кому поручить такую работу. Лишь 19 октября вышел приказ № 623, определивший исполнителем завод № 163 в Иркут</w:t>
      </w:r>
      <w:r w:rsidRPr="00D03F3E">
        <w:rPr>
          <w:rFonts w:ascii="Times New Roman" w:hAnsi="Times New Roman"/>
          <w:color w:val="000000" w:themeColor="text1"/>
          <w:sz w:val="16"/>
          <w:szCs w:val="16"/>
        </w:rPr>
        <w:softHyphen/>
        <w:t>ске, который до конца года должен был переделать 20 Ла-5 (11123).</w:t>
      </w:r>
    </w:p>
    <w:p w14:paraId="5A2E701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8E722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работы по И-185 были остановлены после катастрофы и гибели В.А.Степанченка (228,173).</w:t>
      </w:r>
    </w:p>
    <w:p w14:paraId="6DBF0A0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F18F8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проходили заводские испытания двух И-211 - МиГ-3 с АШ-82ФН (4,248).</w:t>
      </w:r>
    </w:p>
    <w:p w14:paraId="521C232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7D8BB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в ЛИИ испытывали ракетный истребитель 302 с 4хШВАК и двухкамерным ЖРД РД-2М. Доводка двигателя затягивалась и решили испытать в планерном варианте. Сняли вооружение. Оказался неустойчивым и отправили для продувок в натурной трубе ЦАГИ. Все исправили, но моторных полетов так и не было из-за неготовности ЖРД (1108).</w:t>
      </w:r>
    </w:p>
    <w:p w14:paraId="1765278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A9FCD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И.Ф.Незваля вызвал в Москву Нарком А.И.Шахурин и обсудил с ним возможность создания на базе серийной машины пассажирского самолета для перевозки на большие расстояния небольших делегаций в нормальных комфортабельных условиях, отметив, что при полете в США В.М.Молотова на ТБ- 7 при столь длительном перелете пассажирам не было создано никаких даже самых элементарных удобств, не говоря о минимальном комфорте. Полагая, что подобные длительные перелеты потребуется совершать и в последующие годы войны, он предложил Незвалю проработать вариант переоборудования ТБ-7 в пассажирский самолет на 12-14 человек, использовав для этого фюзеляж и бомбовой отсек в центроплане, сохранив в то же время мощное оборонительное вооружение базовой машины.</w:t>
      </w:r>
    </w:p>
    <w:p w14:paraId="7A54E68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ОКБ все с интересом отнеслись к новой работе, ведь шел 1943 год, середина войны, а тут дают задание на почти пассажирскую машину Разместить в нужном количестве нормальные пассажирские кресла в довольно узком фюзеляже не представлялось возможным, и ОКБ предложило вместо металлических скамеек, имевшихся в отсеке за центропланом, установить вдоль бортов два мягких дивана, позволявших с достаточным комфортом разместить шесть пассажиров. В середине центроплана, между его лонжеронами, там где устанавливались бомбодержатели для ФАБ-100, разместили еще два мягких дивана, а над ними две откидные полки, расположив их вдоль фюзеляжа по типу мягких железнодорожных вагонов, На нижних диванах могли удобно размещаться четыре пассажира. Все металлические элементы конструкции и выступающие части обоих помещений должны были покрываться звукоизолирующими материалами и обтягиваться отделочной тканью.</w:t>
      </w:r>
    </w:p>
    <w:p w14:paraId="261C5B2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этим подготовленным предварительным вариантом Незваль поехал к Наркому в Москву После рассмотрения предложений ОКБ Шахуриным и внесения в проект </w:t>
      </w:r>
      <w:r w:rsidRPr="00D03F3E">
        <w:rPr>
          <w:rFonts w:ascii="Times New Roman" w:hAnsi="Times New Roman"/>
          <w:color w:val="000000" w:themeColor="text1"/>
          <w:sz w:val="16"/>
          <w:szCs w:val="16"/>
        </w:rPr>
        <w:lastRenderedPageBreak/>
        <w:t>изменений, в частности по повышению количества пассажирских мест, он все одобрил и сказал, что требуется подготовить две таких машины (затем речь пошла о переоборудовании четырех самолетов) (7685).</w:t>
      </w:r>
    </w:p>
    <w:p w14:paraId="28E2A5B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FB30B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Незваля вызвал в Москву нарком Шахурин и обсудил с ним возможность создания на базе серийной машины пассажирского самолёта для перевозки на дальние расстояния небольших делегаций в комфортабельных условиях, отметив, что при полёте Молотова пассажирам не создали даже самых элементарных удобств. Он предложил проработать вариант на 12 - 14 человек. Оборонительное вооружение требовалось полностью сохранить. Разместить в нужном количестве нормальные пассажирские кресла в довольно узком фюзеляже не представлялось возможным, и конструктор предложил вместо металлических скамеек, имевшихся в отсеке за центропланом, установить вдоль бортов два мягких дивана на шесть пассажиров. В середине центроплана между лонжеронами, там, где прежде находились бомбодержатели, разместили ещё два дивана, а над ними две откидные полки, как в мягких железнодорожных вагонах. На нижних диванах могли удобно устроиться четыре пассажира. Все металлические элементы конструкции и выступающие детали должны были покрываться звукоизолирующими материалами и обтягиваться отделочной тканью. С такими прикидками Незваль поехал к наркому в Москву. Шахурин предложение одобрил, но сказал, что пассажирских мест нужно больше (11996).</w:t>
      </w:r>
    </w:p>
    <w:p w14:paraId="5487FBB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D1BB7B" w14:textId="77777777" w:rsidR="00666F51" w:rsidRPr="00D03F3E" w:rsidRDefault="00666F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И.Ф.Незваля вызвал в Москву Нарком АИ.Шахурин и обсудил с ним возможность создания на базе серийной машины пассажирского самолета для перевозки на большие расстояния небольших деле</w:t>
      </w:r>
      <w:r w:rsidRPr="00D03F3E">
        <w:rPr>
          <w:rFonts w:ascii="Times New Roman" w:hAnsi="Times New Roman"/>
          <w:color w:val="000000" w:themeColor="text1"/>
          <w:sz w:val="16"/>
          <w:szCs w:val="16"/>
        </w:rPr>
        <w:softHyphen/>
        <w:t>гаций в нормальных комфортабельных условиях, отметив, что при полете в США В.М.Молотова на ТБ-7 при столь длительном перелете пассажирам не было создано никаких даже самых элементарных удобств, не говоря о минимальном комфорте. Полагая, что подобные длительные перелеты потребуется совершать и в последующие годы войны, он предложил Незвалю проработать вариант переоборудования ТБ-7 в пассажирский самолет на 12-14 человек, использовав для этого фюзеляж и бомбовой отсек в центроплане, сохранив в то же время мощное оборонительное вооружение базовой машины.</w:t>
      </w:r>
    </w:p>
    <w:p w14:paraId="2C124982" w14:textId="77777777" w:rsidR="00666F51" w:rsidRPr="00D03F3E" w:rsidRDefault="00666F51" w:rsidP="00D03F3E">
      <w:pPr>
        <w:pStyle w:val="ae"/>
        <w:spacing w:before="0" w:after="0"/>
        <w:jc w:val="both"/>
        <w:rPr>
          <w:color w:val="000000" w:themeColor="text1"/>
          <w:sz w:val="16"/>
          <w:szCs w:val="16"/>
        </w:rPr>
      </w:pPr>
      <w:r w:rsidRPr="00D03F3E">
        <w:rPr>
          <w:color w:val="000000" w:themeColor="text1"/>
          <w:sz w:val="16"/>
          <w:szCs w:val="16"/>
        </w:rPr>
        <w:t>В ОКБ все с интересом отнеслись к новой работе, ведь шел 1943 год, середина войны, а тут дают задание на почти пассажирскую машину.</w:t>
      </w:r>
    </w:p>
    <w:p w14:paraId="549AC263" w14:textId="77777777" w:rsidR="00666F51" w:rsidRPr="00D03F3E" w:rsidRDefault="00666F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Разместить в нужном количестве нормальные пассажирские кресла в довольно узком фюзеляже не представлялось возможным, и ОКБ предложило вместо металлических скамеек, имевшихся в отсеке за центропланом, установить вдоль бортов два мягких дивана, позволявших с достаточным комфортом разместить шесть пассажиров. В середине центроплана, между его лонжеронами, там где устанавливались бомбодержатели для ФАБ-100, разместили еще два мягких дивана, а над ними две откидные полки, расположив их вдоль фюзеляжа по типу мягких железнодорожных вагонов, На нижних диванах могли удобно размещаться четыре пассажира. Все металлические элементы конструкции и выступающие части обоих помещений должны были покрываться звукоизолирующими материалами и обтягиваться отделочной тканью.</w:t>
      </w:r>
    </w:p>
    <w:p w14:paraId="502038B7" w14:textId="77777777" w:rsidR="00666F51" w:rsidRPr="00D03F3E" w:rsidRDefault="00666F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этим подготовленным предварительным вариантом Незваль поехал к Наркому в Москву. После рассмотрения предложений ОКБ Шахуриным и внесения в проект изменений, в частности по повышению количества пассажирских мест, он все одобрил и сказал, что требуется подготовить две таких машины (затем речь пошла о переоборудовании четырех самолетов). Первый приказ НКАП по Пе-80Н №168 вышел 6 марта 1944 года, 15 марта 1944 года вышло Постановление ГОКО №5402, а через два дня второй Приказ НКАП №196 по проектированию и постройке пассажирского варианта самолета Пе-8 с двигателями АЧ-ЗОБ. Согласно приказу самолет должен был удовлетворять следующим требованиям:</w:t>
      </w:r>
    </w:p>
    <w:p w14:paraId="7F2C9BC5" w14:textId="77777777" w:rsidR="00666F51" w:rsidRPr="00D03F3E" w:rsidRDefault="00666F51" w:rsidP="00D03F3E">
      <w:pPr>
        <w:tabs>
          <w:tab w:val="left" w:pos="467"/>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Размещать 14 пассажирских мест.</w:t>
      </w:r>
    </w:p>
    <w:p w14:paraId="6D60C5DB" w14:textId="77777777" w:rsidR="00666F51" w:rsidRPr="00D03F3E" w:rsidRDefault="00666F51" w:rsidP="00D03F3E">
      <w:pPr>
        <w:tabs>
          <w:tab w:val="left" w:pos="485"/>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Иметь отапливаемую кабину и антиобледенительные устройства.</w:t>
      </w:r>
    </w:p>
    <w:p w14:paraId="349354FA" w14:textId="77777777" w:rsidR="00666F51" w:rsidRPr="00D03F3E" w:rsidRDefault="00666F51" w:rsidP="00D03F3E">
      <w:pPr>
        <w:tabs>
          <w:tab w:val="left" w:pos="482"/>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Иметь максимальную дальность полета 6000 км при скорости 0,7 от максимальной, при полетной массе 35000 кг.</w:t>
      </w:r>
    </w:p>
    <w:p w14:paraId="132FBC63" w14:textId="77777777" w:rsidR="00666F51" w:rsidRPr="00D03F3E" w:rsidRDefault="00666F51" w:rsidP="00D03F3E">
      <w:pPr>
        <w:tabs>
          <w:tab w:val="left" w:pos="518"/>
        </w:tabs>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Иметь вооружение — один пулемет УБТ в носовой башне, одну пушку ШВАК в кормовой башне, два пулемета УБТ в шассийных установках, с боезапасом 250 снарядов к пушке и по 250 патронов на каждый пулемет.</w:t>
      </w:r>
    </w:p>
    <w:p w14:paraId="295AD2F8" w14:textId="77777777" w:rsidR="00666F51" w:rsidRPr="00D03F3E" w:rsidRDefault="00666F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соответствии с этими требовани</w:t>
      </w:r>
      <w:r w:rsidRPr="00D03F3E">
        <w:rPr>
          <w:rFonts w:ascii="Times New Roman" w:hAnsi="Times New Roman"/>
          <w:color w:val="000000" w:themeColor="text1"/>
          <w:sz w:val="16"/>
          <w:szCs w:val="16"/>
        </w:rPr>
        <w:softHyphen/>
        <w:t>ями проходило проектирование само</w:t>
      </w:r>
      <w:r w:rsidRPr="00D03F3E">
        <w:rPr>
          <w:rFonts w:ascii="Times New Roman" w:hAnsi="Times New Roman"/>
          <w:color w:val="000000" w:themeColor="text1"/>
          <w:sz w:val="16"/>
          <w:szCs w:val="16"/>
        </w:rPr>
        <w:softHyphen/>
        <w:t>лета. Полный комплект рабочих чертежей по машине был выдан производству к 10 апреля 1944 года. Сборка первого самолета была закон</w:t>
      </w:r>
      <w:r w:rsidRPr="00D03F3E">
        <w:rPr>
          <w:rFonts w:ascii="Times New Roman" w:hAnsi="Times New Roman"/>
          <w:color w:val="000000" w:themeColor="text1"/>
          <w:sz w:val="16"/>
          <w:szCs w:val="16"/>
        </w:rPr>
        <w:softHyphen/>
        <w:t>чена 31 октября, второго самолета — 31 декабря 1944 года. Основные за</w:t>
      </w:r>
      <w:r w:rsidRPr="00D03F3E">
        <w:rPr>
          <w:rFonts w:ascii="Times New Roman" w:hAnsi="Times New Roman"/>
          <w:color w:val="000000" w:themeColor="text1"/>
          <w:sz w:val="16"/>
          <w:szCs w:val="16"/>
        </w:rPr>
        <w:softHyphen/>
        <w:t>держки сборочных работ произошли из-за долгого отсутствия дизельных двигателей и винтов. В сборочный цех дизеля поступили к 14 октября 1944 года, винты — 30 октября, а для второй машины двигатели поступили только 20 декабря 1944 года.</w:t>
      </w:r>
    </w:p>
    <w:p w14:paraId="1C5C45FE" w14:textId="77777777" w:rsidR="00666F51" w:rsidRPr="00D03F3E" w:rsidRDefault="00666F51" w:rsidP="00D03F3E">
      <w:pPr>
        <w:pStyle w:val="ae"/>
        <w:spacing w:before="0" w:after="0"/>
        <w:jc w:val="both"/>
        <w:rPr>
          <w:rStyle w:val="mfont1"/>
          <w:rFonts w:eastAsia="Times New Roman"/>
          <w:bCs/>
          <w:color w:val="000000" w:themeColor="text1"/>
          <w:sz w:val="16"/>
          <w:szCs w:val="16"/>
        </w:rPr>
      </w:pPr>
      <w:r w:rsidRPr="00D03F3E">
        <w:rPr>
          <w:color w:val="000000" w:themeColor="text1"/>
          <w:sz w:val="16"/>
          <w:szCs w:val="16"/>
        </w:rPr>
        <w:t>При проектировании и постройке пассажирского варианта Пе-8 (по ОКБ и заводу шифр самолет "Е") большие проблемы возникли с добыванием необходимых отделочных материалов для салонов самолета. Казанский завод выпускал только боевые машины, естественно, необходимых материалов на его складах не было. На дворе 1944 год, война, всем не до веселеньких обивок. Незвалю пришлось ехать в Москву и вместе с представителем НКАП направиться в Ассортиментный отдел Наркомата легкой промышленности и там подбирать нужные текстильные материалы. В годы войны этот ассортимент был небогатый. С большим трудом удалось получить материал с красивой выработкой для обеих машин: для одной машины выбрали светло-серый материал, для второй темно-бежевый. Этот материал пошел на отделку диванов и стен салонов. Кроме того, ни в ОКБ, ни на заводе никто толком не знал, с какого бока подойти к отделочным</w:t>
      </w:r>
    </w:p>
    <w:p w14:paraId="1AF5E935" w14:textId="77777777" w:rsidR="00666F51" w:rsidRPr="00D03F3E" w:rsidRDefault="00666F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июле 1943 года ФАБ-5000 обрушивались в ходе начавшейся Курской битвы на войска противника и на Орел. Всего до весны 1944 года на головы немцев было сброшено 13 ФАБ-5000 (12726).</w:t>
      </w:r>
    </w:p>
    <w:p w14:paraId="6700581D" w14:textId="77777777" w:rsidR="00666F51" w:rsidRPr="00D03F3E" w:rsidRDefault="00666F51" w:rsidP="00D03F3E">
      <w:pPr>
        <w:pStyle w:val="ae"/>
        <w:spacing w:before="0" w:after="0"/>
        <w:jc w:val="both"/>
        <w:rPr>
          <w:rStyle w:val="mfont1"/>
          <w:rFonts w:eastAsia="Times New Roman"/>
          <w:bCs/>
          <w:color w:val="000000" w:themeColor="text1"/>
          <w:sz w:val="16"/>
          <w:szCs w:val="16"/>
        </w:rPr>
      </w:pPr>
    </w:p>
    <w:p w14:paraId="134143C7" w14:textId="77777777" w:rsidR="00327442" w:rsidRPr="00D03F3E" w:rsidRDefault="00327442" w:rsidP="00D03F3E">
      <w:pPr>
        <w:spacing w:after="0" w:line="240" w:lineRule="auto"/>
        <w:jc w:val="both"/>
        <w:rPr>
          <w:rFonts w:ascii="Times New Roman" w:hAnsi="Times New Roman"/>
          <w:color w:val="000000" w:themeColor="text1"/>
          <w:sz w:val="16"/>
          <w:szCs w:val="16"/>
          <w:shd w:val="clear" w:color="auto" w:fill="FFFFFF"/>
        </w:rPr>
      </w:pPr>
      <w:r w:rsidRPr="00D03F3E">
        <w:rPr>
          <w:rFonts w:ascii="Times New Roman" w:hAnsi="Times New Roman"/>
          <w:color w:val="000000" w:themeColor="text1"/>
          <w:sz w:val="16"/>
          <w:szCs w:val="16"/>
          <w:shd w:val="clear" w:color="auto" w:fill="FFFFFF"/>
        </w:rPr>
        <w:t>Летом 1943 года МП Н.Н.П. успешно прошел заводские испытания, но в серии не строился по причине сокращения числа партизанских районов и наличии в строю ВВС самолётов типа Ще-2, Як-6 и Ли-2 (19619).</w:t>
      </w:r>
    </w:p>
    <w:p w14:paraId="49D1EAB5" w14:textId="77777777" w:rsidR="00327442" w:rsidRPr="00D03F3E" w:rsidRDefault="00327442" w:rsidP="00D03F3E">
      <w:pPr>
        <w:spacing w:after="0" w:line="240" w:lineRule="auto"/>
        <w:jc w:val="both"/>
        <w:rPr>
          <w:rFonts w:ascii="Times New Roman" w:hAnsi="Times New Roman"/>
          <w:color w:val="000000" w:themeColor="text1"/>
          <w:sz w:val="16"/>
          <w:szCs w:val="16"/>
          <w:shd w:val="clear" w:color="auto" w:fill="FFFFFF"/>
        </w:rPr>
      </w:pPr>
    </w:p>
    <w:p w14:paraId="1525EB3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л К.И.Пономарев выполнил первые вертикальные взлеты и посадки на вертолете Омега И.П.Братухина. Из-за жары продолжительность полета не превышала 10-15 мин. (3340,8).</w:t>
      </w:r>
    </w:p>
    <w:p w14:paraId="6ABC443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91B92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в Казахстане при высокой температуре окружающего воздуха (до 50—55°) заводским летчиком-испы</w:t>
      </w:r>
      <w:r w:rsidRPr="00D03F3E">
        <w:rPr>
          <w:rFonts w:ascii="Times New Roman" w:hAnsi="Times New Roman"/>
          <w:color w:val="000000" w:themeColor="text1"/>
          <w:sz w:val="16"/>
          <w:szCs w:val="16"/>
        </w:rPr>
        <w:softHyphen/>
        <w:t>тателем К. И. Пономаревым и ведущим инженером Д. Т. Мацицким проводились испытания вертолета Оменга. Вертолет совершал вертикальные взлеты и посадки, разворо</w:t>
      </w:r>
      <w:r w:rsidRPr="00D03F3E">
        <w:rPr>
          <w:rFonts w:ascii="Times New Roman" w:hAnsi="Times New Roman"/>
          <w:color w:val="000000" w:themeColor="text1"/>
          <w:sz w:val="16"/>
          <w:szCs w:val="16"/>
        </w:rPr>
        <w:softHyphen/>
        <w:t>ты на месте на 360°, полеты с небольшими горизонтальными ско</w:t>
      </w:r>
      <w:r w:rsidRPr="00D03F3E">
        <w:rPr>
          <w:rFonts w:ascii="Times New Roman" w:hAnsi="Times New Roman"/>
          <w:color w:val="000000" w:themeColor="text1"/>
          <w:sz w:val="16"/>
          <w:szCs w:val="16"/>
        </w:rPr>
        <w:softHyphen/>
        <w:t>ростями, виражи и планирующие посадки. Жаркая погода при</w:t>
      </w:r>
      <w:r w:rsidRPr="00D03F3E">
        <w:rPr>
          <w:rFonts w:ascii="Times New Roman" w:hAnsi="Times New Roman"/>
          <w:color w:val="000000" w:themeColor="text1"/>
          <w:sz w:val="16"/>
          <w:szCs w:val="16"/>
        </w:rPr>
        <w:softHyphen/>
        <w:t>водила к перегреву масла, поэтому продолжительность полета не превышала 12—15 мин. В полетах была достигнута максимальная скорость 115 км/ч и высота полета 150 м вместо расчетных 186 км/ч и 2900 м соответственно. В заключении по летным испытаниям вертолета 2МГ «Омега» указывалось: «Выбранная схема и система управления вертолета полностью себя оправдали. Геликоптер был устойчив на всех ис</w:t>
      </w:r>
      <w:r w:rsidRPr="00D03F3E">
        <w:rPr>
          <w:rFonts w:ascii="Times New Roman" w:hAnsi="Times New Roman"/>
          <w:color w:val="000000" w:themeColor="text1"/>
          <w:sz w:val="16"/>
          <w:szCs w:val="16"/>
        </w:rPr>
        <w:softHyphen/>
        <w:t>пытанных режимах, а управление им оказалось простым и вполне надежным». В летных испытаниях вертолета в Алма-Ате, прово</w:t>
      </w:r>
      <w:r w:rsidRPr="00D03F3E">
        <w:rPr>
          <w:rFonts w:ascii="Times New Roman" w:hAnsi="Times New Roman"/>
          <w:color w:val="000000" w:themeColor="text1"/>
          <w:sz w:val="16"/>
          <w:szCs w:val="16"/>
        </w:rPr>
        <w:softHyphen/>
        <w:t>дившихся под руководством И. П. Братухина и Д. Т. Мацицкого, участвовала большая группа инженеров и.летчиков-испытателей (10736).</w:t>
      </w:r>
    </w:p>
    <w:p w14:paraId="1879492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F89FF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проходили госиспытания МП Н.Н.П. С максимальной скоростью 172 км/ч мотопланёр имел дальность полета 700 км. Несмотря на положительные отзывы испытателей, в серии МП не строился. Сзязано это было, прежде всего, с тем, что Красная Армия вплотную приблизилась к партизанским районам, некоторые области уже были освобождены. Кроме того, уже серийно строились небольшие транспортные самолеты Ще-2 и Як-б, оснащенные двумя двигателями М-11 (4540).</w:t>
      </w:r>
    </w:p>
    <w:p w14:paraId="001E443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2BB85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лета 1943 г. испытывался М-105ПФ2 (ВК-105ПФ2), вариант М-105ПФ (ВК-105ПФ) с увели</w:t>
      </w:r>
      <w:r w:rsidRPr="00D03F3E">
        <w:rPr>
          <w:rFonts w:ascii="Times New Roman" w:hAnsi="Times New Roman"/>
          <w:color w:val="000000" w:themeColor="text1"/>
          <w:sz w:val="16"/>
          <w:szCs w:val="16"/>
        </w:rPr>
        <w:softHyphen/>
        <w:t>ченным давлением наддува. С сентября 1944 г. эти двигатели выпускались серийно в больших количествах. Мощность 1240/1290 л.с. На моторах устанав</w:t>
      </w:r>
      <w:r w:rsidRPr="00D03F3E">
        <w:rPr>
          <w:rFonts w:ascii="Times New Roman" w:hAnsi="Times New Roman"/>
          <w:color w:val="000000" w:themeColor="text1"/>
          <w:sz w:val="16"/>
          <w:szCs w:val="16"/>
        </w:rPr>
        <w:softHyphen/>
        <w:t>ливались пушки ШВАК (20 мм), Б-20М (20 мм), ША-20М (20 мм), НС-23 (23 мм), Н-37 (37 мм), НС-37 (37 мм) (11852).</w:t>
      </w:r>
    </w:p>
    <w:p w14:paraId="3C4BAA9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DC2192" w14:textId="77777777" w:rsidR="00F74D37" w:rsidRPr="00D03F3E" w:rsidRDefault="00F74D3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моторы М-82ФН пошли в широкую войсковую эксплуатацию. Наблюде</w:t>
      </w:r>
      <w:r w:rsidRPr="00D03F3E">
        <w:rPr>
          <w:rFonts w:ascii="Times New Roman" w:hAnsi="Times New Roman"/>
          <w:color w:val="000000" w:themeColor="text1"/>
          <w:sz w:val="16"/>
          <w:szCs w:val="16"/>
        </w:rPr>
        <w:softHyphen/>
        <w:t>ние за их работой на фронте осуществляли в том числе и военпреды завода № 19. Так в 5-ю ВА командировали инженер-майора И.К.Четверика, находившегося в 302 ИАД с 27 августа по 19 сентября 1943 г. За время пребывания в дивизии он оказал техниче</w:t>
      </w:r>
      <w:r w:rsidRPr="00D03F3E">
        <w:rPr>
          <w:rFonts w:ascii="Times New Roman" w:hAnsi="Times New Roman"/>
          <w:color w:val="000000" w:themeColor="text1"/>
          <w:sz w:val="16"/>
          <w:szCs w:val="16"/>
        </w:rPr>
        <w:softHyphen/>
        <w:t>скую помощь всем трём полкам — 297-му, 240-му и 193-му ИАП. Работа моторов М-82ФН характеризовалась следующими данными.</w:t>
      </w:r>
    </w:p>
    <w:p w14:paraId="4100B927" w14:textId="77777777" w:rsidR="00F74D37" w:rsidRPr="00D03F3E" w:rsidRDefault="00F74D37" w:rsidP="00D03F3E">
      <w:pPr>
        <w:spacing w:after="0" w:line="240" w:lineRule="auto"/>
        <w:jc w:val="both"/>
        <w:rPr>
          <w:rFonts w:ascii="Times New Roman" w:hAnsi="Times New Roman"/>
          <w:color w:val="000000" w:themeColor="text1"/>
          <w:sz w:val="16"/>
          <w:szCs w:val="16"/>
        </w:rPr>
      </w:pPr>
      <w:r w:rsidRPr="00D03F3E">
        <w:rPr>
          <w:rStyle w:val="aff8"/>
          <w:rFonts w:ascii="Times New Roman" w:hAnsi="Times New Roman" w:cs="Times New Roman"/>
          <w:b w:val="0"/>
          <w:color w:val="000000" w:themeColor="text1"/>
          <w:spacing w:val="0"/>
          <w:sz w:val="16"/>
          <w:szCs w:val="16"/>
        </w:rPr>
        <w:t>297 ИАП:</w:t>
      </w:r>
      <w:r w:rsidRPr="00D03F3E">
        <w:rPr>
          <w:rFonts w:ascii="Times New Roman" w:hAnsi="Times New Roman"/>
          <w:color w:val="000000" w:themeColor="text1"/>
          <w:sz w:val="16"/>
          <w:szCs w:val="16"/>
        </w:rPr>
        <w:t xml:space="preserve"> 1. Мотор № 8211093 выпуска апреля месяца 1943 г. на 31 августа нарабо</w:t>
      </w:r>
      <w:r w:rsidRPr="00D03F3E">
        <w:rPr>
          <w:rFonts w:ascii="Times New Roman" w:hAnsi="Times New Roman"/>
          <w:color w:val="000000" w:themeColor="text1"/>
          <w:sz w:val="16"/>
          <w:szCs w:val="16"/>
        </w:rPr>
        <w:softHyphen/>
        <w:t>тал 55 ч 23 мин, из них в воздухе 44 ч 11 мин. После 11 часов работы мотора произ</w:t>
      </w:r>
      <w:r w:rsidRPr="00D03F3E">
        <w:rPr>
          <w:rFonts w:ascii="Times New Roman" w:hAnsi="Times New Roman"/>
          <w:color w:val="000000" w:themeColor="text1"/>
          <w:sz w:val="16"/>
          <w:szCs w:val="16"/>
        </w:rPr>
        <w:softHyphen/>
        <w:t>ведена регулировка насоса НБ-ЗУ в сторону обеднения. После 15 часов заменены свечи передней и задней звезды. После 54 ч 23 мин заменены свечи передней и зад</w:t>
      </w:r>
      <w:r w:rsidRPr="00D03F3E">
        <w:rPr>
          <w:rFonts w:ascii="Times New Roman" w:hAnsi="Times New Roman"/>
          <w:color w:val="000000" w:themeColor="text1"/>
          <w:sz w:val="16"/>
          <w:szCs w:val="16"/>
        </w:rPr>
        <w:softHyphen/>
        <w:t>ней звезды. После 55 ч 32 мин оборвалась прокладка и вышла из-под крышки анероидной коробки РС-2, вследствие чего ослабли все и поломались два крепежных болта анероидной коробки РС-2. После устранения указанного дефекта со стороны лётчика и техника никаких жалоб на работу мотора нет.</w:t>
      </w:r>
    </w:p>
    <w:p w14:paraId="53CBE236" w14:textId="77777777" w:rsidR="00F74D37" w:rsidRPr="00D03F3E" w:rsidRDefault="00F74D3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Мотор № 8211073 выпуска апреля месяца 1943 г. на 30 августа наработал 51 ч 39 мин. После 16 часов работы мотора поломались две трубки высокого давления цилин</w:t>
      </w:r>
      <w:r w:rsidRPr="00D03F3E">
        <w:rPr>
          <w:rFonts w:ascii="Times New Roman" w:hAnsi="Times New Roman"/>
          <w:color w:val="000000" w:themeColor="text1"/>
          <w:sz w:val="16"/>
          <w:szCs w:val="16"/>
        </w:rPr>
        <w:softHyphen/>
        <w:t>дров № 6 и 7 — трубки заменены новыми. После 17 часов обнаружена трещина переходника насоса НБ-ЗУ — переходник заменён новым. Со стороны лётчика и техника никаких жалоб на работу мотора нет, за исключением незначительного дымления.</w:t>
      </w:r>
    </w:p>
    <w:p w14:paraId="4FB211AD" w14:textId="77777777" w:rsidR="00F74D37" w:rsidRPr="00D03F3E" w:rsidRDefault="00F74D3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Мотор № 8211053 выпуска марта месяца 1943 г. на 30 августа наработал 40 час, из них в воздухе 34 час. После 9 ч 05 мин работы заменены задние свечи передней и зад</w:t>
      </w:r>
      <w:r w:rsidRPr="00D03F3E">
        <w:rPr>
          <w:rFonts w:ascii="Times New Roman" w:hAnsi="Times New Roman"/>
          <w:color w:val="000000" w:themeColor="text1"/>
          <w:sz w:val="16"/>
          <w:szCs w:val="16"/>
        </w:rPr>
        <w:softHyphen/>
        <w:t>ней звезды. После 9 ч 05 мин произведена регулировка насоса НБ-ЗУ в сторону обед</w:t>
      </w:r>
      <w:r w:rsidRPr="00D03F3E">
        <w:rPr>
          <w:rFonts w:ascii="Times New Roman" w:hAnsi="Times New Roman"/>
          <w:color w:val="000000" w:themeColor="text1"/>
          <w:sz w:val="16"/>
          <w:szCs w:val="16"/>
        </w:rPr>
        <w:softHyphen/>
        <w:t>нения. После 19 ч 20 мин заменены передние свечи передней и задней звезды. После 19 ч 20 мин вывернулись две шпильки выхлопной трубы, шпильки заменены новыми.</w:t>
      </w:r>
    </w:p>
    <w:p w14:paraId="7D5CEE70" w14:textId="77777777" w:rsidR="00F74D37" w:rsidRPr="00D03F3E" w:rsidRDefault="00F74D37" w:rsidP="00D03F3E">
      <w:pPr>
        <w:spacing w:after="0" w:line="240" w:lineRule="auto"/>
        <w:jc w:val="both"/>
        <w:rPr>
          <w:rFonts w:ascii="Times New Roman" w:hAnsi="Times New Roman"/>
          <w:color w:val="000000" w:themeColor="text1"/>
          <w:sz w:val="16"/>
          <w:szCs w:val="16"/>
        </w:rPr>
      </w:pPr>
      <w:r w:rsidRPr="00D03F3E">
        <w:rPr>
          <w:rStyle w:val="aff8"/>
          <w:rFonts w:ascii="Times New Roman" w:hAnsi="Times New Roman" w:cs="Times New Roman"/>
          <w:b w:val="0"/>
          <w:color w:val="000000" w:themeColor="text1"/>
          <w:spacing w:val="0"/>
          <w:sz w:val="16"/>
          <w:szCs w:val="16"/>
        </w:rPr>
        <w:lastRenderedPageBreak/>
        <w:t>193 ИАП:</w:t>
      </w:r>
      <w:r w:rsidRPr="00D03F3E">
        <w:rPr>
          <w:rFonts w:ascii="Times New Roman" w:hAnsi="Times New Roman"/>
          <w:color w:val="000000" w:themeColor="text1"/>
          <w:sz w:val="16"/>
          <w:szCs w:val="16"/>
        </w:rPr>
        <w:t xml:space="preserve"> 1. Мотор № 8211213 на 15 сентября 1943 г. наработал 39 час. После 26 ч 46 мин заменили цилиндры №№ 12 и 13, по причине прострела их из пушки во время выполнения боевого задания. После 27 ч 20 мин заменили насос непосредственного впрыска, по причине поломки пружин насосного элемента. После 27 ч 20 мин замени</w:t>
      </w:r>
      <w:r w:rsidRPr="00D03F3E">
        <w:rPr>
          <w:rFonts w:ascii="Times New Roman" w:hAnsi="Times New Roman"/>
          <w:color w:val="000000" w:themeColor="text1"/>
          <w:sz w:val="16"/>
          <w:szCs w:val="16"/>
        </w:rPr>
        <w:softHyphen/>
        <w:t>ли три цилиндра по дымлению. Во время испытания мотора на земле загорелся само</w:t>
      </w:r>
      <w:r w:rsidRPr="00D03F3E">
        <w:rPr>
          <w:rFonts w:ascii="Times New Roman" w:hAnsi="Times New Roman"/>
          <w:color w:val="000000" w:themeColor="text1"/>
          <w:sz w:val="16"/>
          <w:szCs w:val="16"/>
        </w:rPr>
        <w:softHyphen/>
        <w:t>лёт с правой стороны (лонжерон самолёта). Причина загорания: во время работы мотора на самолётах с моторами М-82ФН пламя нижнего выхлопного патрубка попа</w:t>
      </w:r>
      <w:r w:rsidRPr="00D03F3E">
        <w:rPr>
          <w:rFonts w:ascii="Times New Roman" w:hAnsi="Times New Roman"/>
          <w:color w:val="000000" w:themeColor="text1"/>
          <w:sz w:val="16"/>
          <w:szCs w:val="16"/>
        </w:rPr>
        <w:softHyphen/>
        <w:t>дало в щель между капотом и лонжероном фюзеляжа. Во время работы мотора от пла</w:t>
      </w:r>
      <w:r w:rsidRPr="00D03F3E">
        <w:rPr>
          <w:rFonts w:ascii="Times New Roman" w:hAnsi="Times New Roman"/>
          <w:color w:val="000000" w:themeColor="text1"/>
          <w:sz w:val="16"/>
          <w:szCs w:val="16"/>
        </w:rPr>
        <w:softHyphen/>
        <w:t>мени выхлопного патрубка лонжерон постепенно обугливался и впоследствии вызывал загорание. После 36 ч заменили форсунку цилиндра, по причине закупорки каналов иг</w:t>
      </w:r>
      <w:r w:rsidRPr="00D03F3E">
        <w:rPr>
          <w:rFonts w:ascii="Times New Roman" w:hAnsi="Times New Roman"/>
          <w:color w:val="000000" w:themeColor="text1"/>
          <w:sz w:val="16"/>
          <w:szCs w:val="16"/>
        </w:rPr>
        <w:softHyphen/>
        <w:t>лы форсунки ФБ-10 (металлическая стружка от оборванной резьбы штуцера подвода топлива, попавшая в момент сборки ФБ-10 на заводе № 296). После 36 ч произведе</w:t>
      </w:r>
      <w:r w:rsidRPr="00D03F3E">
        <w:rPr>
          <w:rFonts w:ascii="Times New Roman" w:hAnsi="Times New Roman"/>
          <w:color w:val="000000" w:themeColor="text1"/>
          <w:sz w:val="16"/>
          <w:szCs w:val="16"/>
        </w:rPr>
        <w:softHyphen/>
        <w:t>на перестановка насоса НБ-ЗУ, по причине той, что при замене насос установили не</w:t>
      </w:r>
      <w:r w:rsidRPr="00D03F3E">
        <w:rPr>
          <w:rFonts w:ascii="Times New Roman" w:hAnsi="Times New Roman"/>
          <w:color w:val="000000" w:themeColor="text1"/>
          <w:sz w:val="16"/>
          <w:szCs w:val="16"/>
        </w:rPr>
        <w:softHyphen/>
        <w:t>правильно, в силу чего не поддавался регулировке. После перестановки насоса НБ-ЗУ, мотор отрегулировали по расходам и после опробования мотора на земле и воздухе жалоб со стороны лётного и технического состава нет.</w:t>
      </w:r>
    </w:p>
    <w:p w14:paraId="713441A9" w14:textId="77777777" w:rsidR="00F74D37" w:rsidRPr="00D03F3E" w:rsidRDefault="00F74D3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Мотор № 8211218 на 15 сентября 1943 г. наработал 58 часов, из них в воздухе 53 ч 30 мин. После 7 ч 32 мин отказал насос НБ-ЗУ, по причине поломки трёх пружин насо</w:t>
      </w:r>
      <w:r w:rsidRPr="00D03F3E">
        <w:rPr>
          <w:rFonts w:ascii="Times New Roman" w:hAnsi="Times New Roman"/>
          <w:color w:val="000000" w:themeColor="text1"/>
          <w:sz w:val="16"/>
          <w:szCs w:val="16"/>
        </w:rPr>
        <w:softHyphen/>
        <w:t>сного элемента и поломки штоков плунжера. Имеется незначительное поддымливание мотора, которое не устраняется регулировкой насоса НБ-ЗУ. Жалоб на работу мотора со стороны лётчика нет.</w:t>
      </w:r>
    </w:p>
    <w:p w14:paraId="7CC7DDB6" w14:textId="77777777" w:rsidR="00F74D37" w:rsidRPr="00D03F3E" w:rsidRDefault="00F74D37" w:rsidP="00D03F3E">
      <w:pPr>
        <w:spacing w:after="0" w:line="240" w:lineRule="auto"/>
        <w:jc w:val="both"/>
        <w:rPr>
          <w:rFonts w:ascii="Times New Roman" w:hAnsi="Times New Roman"/>
          <w:color w:val="000000" w:themeColor="text1"/>
          <w:sz w:val="16"/>
          <w:szCs w:val="16"/>
        </w:rPr>
      </w:pPr>
      <w:r w:rsidRPr="00D03F3E">
        <w:rPr>
          <w:rStyle w:val="aff8"/>
          <w:rFonts w:ascii="Times New Roman" w:hAnsi="Times New Roman" w:cs="Times New Roman"/>
          <w:b w:val="0"/>
          <w:color w:val="000000" w:themeColor="text1"/>
          <w:spacing w:val="0"/>
          <w:sz w:val="16"/>
          <w:szCs w:val="16"/>
        </w:rPr>
        <w:t>240 ИАП:</w:t>
      </w:r>
      <w:r w:rsidRPr="00D03F3E">
        <w:rPr>
          <w:rFonts w:ascii="Times New Roman" w:hAnsi="Times New Roman"/>
          <w:color w:val="000000" w:themeColor="text1"/>
          <w:sz w:val="16"/>
          <w:szCs w:val="16"/>
        </w:rPr>
        <w:t xml:space="preserve"> 1. Мотор № 8211089 выпуска апреля месяца 1943 г. на 16 сентября нарабо</w:t>
      </w:r>
      <w:r w:rsidRPr="00D03F3E">
        <w:rPr>
          <w:rFonts w:ascii="Times New Roman" w:hAnsi="Times New Roman"/>
          <w:color w:val="000000" w:themeColor="text1"/>
          <w:sz w:val="16"/>
          <w:szCs w:val="16"/>
        </w:rPr>
        <w:softHyphen/>
        <w:t>тал 90 час. После 79 ч ослабли болты крепления РС-2 к переходнику. После подтяжки болтов мотор работал устойчиво, и со стороны лётчика жалоб не было. Во время полё</w:t>
      </w:r>
      <w:r w:rsidRPr="00D03F3E">
        <w:rPr>
          <w:rFonts w:ascii="Times New Roman" w:hAnsi="Times New Roman"/>
          <w:color w:val="000000" w:themeColor="text1"/>
          <w:sz w:val="16"/>
          <w:szCs w:val="16"/>
        </w:rPr>
        <w:softHyphen/>
        <w:t>та мотор понемногу дымит, регулировкой насоса НБЗ-У устранить дымление не удалось. Мотор работает хорошо и, кроме указанного дефекта, жалоб от лётчика не поступало.</w:t>
      </w:r>
    </w:p>
    <w:p w14:paraId="1A918FEC" w14:textId="77777777" w:rsidR="00F74D37" w:rsidRPr="00D03F3E" w:rsidRDefault="00F74D3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Аналогичные дефекты выявлялись и в других частях.</w:t>
      </w:r>
    </w:p>
    <w:p w14:paraId="5D4B0D80" w14:textId="77777777" w:rsidR="00F74D37" w:rsidRPr="00D03F3E" w:rsidRDefault="00F74D3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Больше всего претензий по-прежнему было к работе свечей.</w:t>
      </w:r>
    </w:p>
    <w:p w14:paraId="2351CD41" w14:textId="77777777" w:rsidR="00F74D37" w:rsidRPr="00D03F3E" w:rsidRDefault="00F74D3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Слюдяные свечи ВГ-12 производства завода № 161 до войны успешно эксплуатирова</w:t>
      </w:r>
      <w:r w:rsidRPr="00D03F3E">
        <w:rPr>
          <w:rFonts w:ascii="Times New Roman" w:hAnsi="Times New Roman"/>
          <w:color w:val="000000" w:themeColor="text1"/>
          <w:sz w:val="16"/>
          <w:szCs w:val="16"/>
        </w:rPr>
        <w:softHyphen/>
        <w:t>лись на моторах М-62. В 1942 г. эти же свечи на моторах М-82 при длительных испыта</w:t>
      </w:r>
      <w:r w:rsidRPr="00D03F3E">
        <w:rPr>
          <w:rFonts w:ascii="Times New Roman" w:hAnsi="Times New Roman"/>
          <w:color w:val="000000" w:themeColor="text1"/>
          <w:sz w:val="16"/>
          <w:szCs w:val="16"/>
        </w:rPr>
        <w:softHyphen/>
        <w:t>ниях на станке, при лётных испытаниях Ту-2, Ла-5 и при боевой эксплуатации Су-2 и Ла-5 отказывали через 10-20 часов работы. На М-82ФН они стали работать ещё хуже. Основными дефектами их являлись разрушение слюды и отложение свинца на нижнем конусе централь</w:t>
      </w:r>
      <w:r w:rsidRPr="00D03F3E">
        <w:rPr>
          <w:rFonts w:ascii="Times New Roman" w:hAnsi="Times New Roman"/>
          <w:color w:val="000000" w:themeColor="text1"/>
          <w:sz w:val="16"/>
          <w:szCs w:val="16"/>
        </w:rPr>
        <w:softHyphen/>
        <w:t>ного электрода, вследствие чего происходило замыкание на массу.</w:t>
      </w:r>
    </w:p>
    <w:p w14:paraId="143C03B8" w14:textId="77777777" w:rsidR="00F74D37" w:rsidRPr="00D03F3E" w:rsidRDefault="00F74D3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НКАП пришлось развернуть рабо</w:t>
      </w:r>
      <w:r w:rsidRPr="00D03F3E">
        <w:rPr>
          <w:rFonts w:ascii="Times New Roman" w:hAnsi="Times New Roman"/>
          <w:color w:val="000000" w:themeColor="text1"/>
          <w:sz w:val="16"/>
          <w:szCs w:val="16"/>
        </w:rPr>
        <w:softHyphen/>
        <w:t>ты по созданию улучшенных слюдя</w:t>
      </w:r>
      <w:r w:rsidRPr="00D03F3E">
        <w:rPr>
          <w:rFonts w:ascii="Times New Roman" w:hAnsi="Times New Roman"/>
          <w:color w:val="000000" w:themeColor="text1"/>
          <w:sz w:val="16"/>
          <w:szCs w:val="16"/>
        </w:rPr>
        <w:softHyphen/>
        <w:t>ных и керамических свечей, для чего дополнительно к ОКБ завода № 161 привлекли ОКБ заводов № 306 и № 476, занявшиеся разра</w:t>
      </w:r>
      <w:r w:rsidRPr="00D03F3E">
        <w:rPr>
          <w:rFonts w:ascii="Times New Roman" w:hAnsi="Times New Roman"/>
          <w:color w:val="000000" w:themeColor="text1"/>
          <w:sz w:val="16"/>
          <w:szCs w:val="16"/>
        </w:rPr>
        <w:softHyphen/>
        <w:t>боткой керамических свечей типа СК и СД, соответственно</w:t>
      </w:r>
    </w:p>
    <w:p w14:paraId="5D6759CC" w14:textId="77777777" w:rsidR="00F74D37" w:rsidRPr="00D03F3E" w:rsidRDefault="00F74D3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Другим дефектом М-82ФН, долго досаждавшим в эксплуатации,</w:t>
      </w:r>
      <w:r w:rsidRPr="00D03F3E">
        <w:rPr>
          <w:rStyle w:val="aff6"/>
          <w:rFonts w:ascii="Times New Roman" w:eastAsia="Arial Unicode MS" w:hAnsi="Times New Roman" w:cs="Times New Roman"/>
          <w:i w:val="0"/>
          <w:color w:val="000000" w:themeColor="text1"/>
        </w:rPr>
        <w:t xml:space="preserve"> стала</w:t>
      </w:r>
      <w:r w:rsidRPr="00D03F3E">
        <w:rPr>
          <w:rFonts w:ascii="Times New Roman" w:hAnsi="Times New Roman"/>
          <w:color w:val="000000" w:themeColor="text1"/>
          <w:sz w:val="16"/>
          <w:szCs w:val="16"/>
        </w:rPr>
        <w:t xml:space="preserve"> нестабильная работа регулятора смеси РС-2 насоса НБ-ЗУ. Установили, что автомат смеси РС-2 с серийными анероидами после 15-30 часов работы мотора самопроизвольно обога</w:t>
      </w:r>
      <w:r w:rsidRPr="00D03F3E">
        <w:rPr>
          <w:rFonts w:ascii="Times New Roman" w:hAnsi="Times New Roman"/>
          <w:color w:val="000000" w:themeColor="text1"/>
          <w:sz w:val="16"/>
          <w:szCs w:val="16"/>
        </w:rPr>
        <w:softHyphen/>
        <w:t>щал смесь, о чём свидетельствовало дымление мотора. Расход горючего возрастал, а скорость и дальность полёта снижались, и требовалась значительная подрегулиров</w:t>
      </w:r>
      <w:r w:rsidRPr="00D03F3E">
        <w:rPr>
          <w:rFonts w:ascii="Times New Roman" w:hAnsi="Times New Roman"/>
          <w:color w:val="000000" w:themeColor="text1"/>
          <w:sz w:val="16"/>
          <w:szCs w:val="16"/>
        </w:rPr>
        <w:softHyphen/>
        <w:t>ка смеси шайбой анероидов в сторону обеднения.</w:t>
      </w:r>
    </w:p>
    <w:p w14:paraId="60ECCA8A" w14:textId="77777777" w:rsidR="00F74D37" w:rsidRPr="00D03F3E" w:rsidRDefault="00F74D3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устранения этого дефекта ЦИАМ предложил вариант равновысотных или равно- наполненных анероидов, отличающийся от серийных тем, что в трёх газонаполненных анероидах при их запайке оставлялось остаточное давление воздуха 600-650 мм рт.ст. вместо 400-550 мм у серийных анероидов, что делало анероиды более упругими и равнонаполненными или равновысотными по отношению друг к другу-</w:t>
      </w:r>
    </w:p>
    <w:p w14:paraId="7722EB64" w14:textId="77777777" w:rsidR="00F74D37" w:rsidRPr="00D03F3E" w:rsidRDefault="00F74D37"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то же время ЦЗЛ завода № 133 предложила новую конструкцию комплектов ане</w:t>
      </w:r>
      <w:r w:rsidRPr="00D03F3E">
        <w:rPr>
          <w:rFonts w:ascii="Times New Roman" w:hAnsi="Times New Roman"/>
          <w:color w:val="000000" w:themeColor="text1"/>
          <w:sz w:val="16"/>
          <w:szCs w:val="16"/>
        </w:rPr>
        <w:softHyphen/>
        <w:t>роидов автомата смеси РС-2 — малогабаритные анероиды (15829).</w:t>
      </w:r>
    </w:p>
    <w:p w14:paraId="11AD64AD" w14:textId="77777777" w:rsidR="00F74D37" w:rsidRPr="00D03F3E" w:rsidRDefault="00F74D37" w:rsidP="00D03F3E">
      <w:pPr>
        <w:pStyle w:val="27"/>
        <w:shd w:val="clear" w:color="auto" w:fill="auto"/>
        <w:spacing w:after="0" w:line="240" w:lineRule="auto"/>
        <w:ind w:firstLine="0"/>
        <w:rPr>
          <w:rFonts w:ascii="Times New Roman" w:cs="Times New Roman"/>
          <w:color w:val="000000" w:themeColor="text1"/>
          <w:spacing w:val="0"/>
        </w:rPr>
      </w:pPr>
    </w:p>
    <w:p w14:paraId="43FBF260" w14:textId="77777777" w:rsidR="00327442" w:rsidRPr="00D03F3E" w:rsidRDefault="00327442"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ГКО даже вынужден был «указать» наркому цветной металлургии П.Ф. Ломако на значительное превышение установленного лимита поставок авиазаводам низкосортного алюминия (18305).</w:t>
      </w:r>
    </w:p>
    <w:p w14:paraId="338E2930" w14:textId="77777777" w:rsidR="00327442" w:rsidRPr="00D03F3E" w:rsidRDefault="00327442" w:rsidP="00D03F3E">
      <w:pPr>
        <w:spacing w:after="0" w:line="240" w:lineRule="auto"/>
        <w:jc w:val="both"/>
        <w:rPr>
          <w:rFonts w:ascii="Times New Roman" w:hAnsi="Times New Roman"/>
          <w:color w:val="000000" w:themeColor="text1"/>
          <w:sz w:val="16"/>
          <w:szCs w:val="16"/>
        </w:rPr>
      </w:pPr>
    </w:p>
    <w:p w14:paraId="6FCEE7E2" w14:textId="77777777" w:rsidR="00666F51" w:rsidRPr="00D03F3E" w:rsidRDefault="00666F5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Летом 1943 г. в ЦКБ-22 была от</w:t>
      </w:r>
      <w:r w:rsidRPr="00D03F3E">
        <w:rPr>
          <w:rFonts w:ascii="Times New Roman" w:cs="Times New Roman"/>
          <w:color w:val="000000" w:themeColor="text1"/>
          <w:spacing w:val="0"/>
        </w:rPr>
        <w:softHyphen/>
        <w:t>работана более мощная противотанковая авиабомба в габаритах калибра 10 кг, но весом 2,5 кг-ПТАБ-10-2,5.</w:t>
      </w:r>
    </w:p>
    <w:p w14:paraId="6FA2B3F2" w14:textId="77777777" w:rsidR="00666F51" w:rsidRPr="00D03F3E" w:rsidRDefault="00666F5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По заданию новая бомба должна была обеспечивать поражение сверхмощных танков противника с толщиной брони до 160 мм, а также бронетехники с толщиной основной брони до 40 мм, защищенной бро</w:t>
      </w:r>
      <w:r w:rsidRPr="00D03F3E">
        <w:rPr>
          <w:rFonts w:ascii="Times New Roman" w:cs="Times New Roman"/>
          <w:color w:val="000000" w:themeColor="text1"/>
          <w:spacing w:val="0"/>
        </w:rPr>
        <w:softHyphen/>
        <w:t>нированным экраном толщиной 15-20 мм, бронеколпаков оборонительных сооруже</w:t>
      </w:r>
      <w:r w:rsidRPr="00D03F3E">
        <w:rPr>
          <w:rFonts w:ascii="Times New Roman" w:cs="Times New Roman"/>
          <w:color w:val="000000" w:themeColor="text1"/>
          <w:spacing w:val="0"/>
        </w:rPr>
        <w:softHyphen/>
        <w:t>ний укрепрайонов «с верхним бронирова</w:t>
      </w:r>
      <w:r w:rsidRPr="00D03F3E">
        <w:rPr>
          <w:rFonts w:ascii="Times New Roman" w:cs="Times New Roman"/>
          <w:color w:val="000000" w:themeColor="text1"/>
          <w:spacing w:val="0"/>
        </w:rPr>
        <w:softHyphen/>
        <w:t>нием толщиной 100 мм», мостов металли</w:t>
      </w:r>
      <w:r w:rsidRPr="00D03F3E">
        <w:rPr>
          <w:rFonts w:ascii="Times New Roman" w:cs="Times New Roman"/>
          <w:color w:val="000000" w:themeColor="text1"/>
          <w:spacing w:val="0"/>
        </w:rPr>
        <w:softHyphen/>
        <w:t>ческой конструкции и т.д.</w:t>
      </w:r>
    </w:p>
    <w:p w14:paraId="4FDE4C04" w14:textId="77777777" w:rsidR="00666F51" w:rsidRPr="00D03F3E" w:rsidRDefault="00666F5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Первые опытные образцы ПТАБ-10-2,5 с взрывателем АД-А в августе проходи</w:t>
      </w:r>
      <w:r w:rsidRPr="00D03F3E">
        <w:rPr>
          <w:rFonts w:ascii="Times New Roman" w:cs="Times New Roman"/>
          <w:color w:val="000000" w:themeColor="text1"/>
          <w:spacing w:val="0"/>
        </w:rPr>
        <w:softHyphen/>
        <w:t>ли заводские наземные испытания в НИИ АВ ВВС и по эффективности действия по</w:t>
      </w:r>
      <w:r w:rsidRPr="00D03F3E">
        <w:rPr>
          <w:rFonts w:ascii="Times New Roman" w:cs="Times New Roman"/>
          <w:color w:val="000000" w:themeColor="text1"/>
          <w:spacing w:val="0"/>
        </w:rPr>
        <w:softHyphen/>
        <w:t>казали превосходные результаты - они сво</w:t>
      </w:r>
      <w:r w:rsidRPr="00D03F3E">
        <w:rPr>
          <w:rFonts w:ascii="Times New Roman" w:cs="Times New Roman"/>
          <w:color w:val="000000" w:themeColor="text1"/>
          <w:spacing w:val="0"/>
        </w:rPr>
        <w:softHyphen/>
        <w:t>бодно пробивали броню немецких танков всех типов.</w:t>
      </w:r>
    </w:p>
    <w:p w14:paraId="1E170E18" w14:textId="77777777" w:rsidR="00666F51" w:rsidRPr="00D03F3E" w:rsidRDefault="00666F5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ЦКБ-22 в авральном порядке изготови</w:t>
      </w:r>
      <w:r w:rsidRPr="00D03F3E">
        <w:rPr>
          <w:rFonts w:ascii="Times New Roman" w:cs="Times New Roman"/>
          <w:color w:val="000000" w:themeColor="text1"/>
          <w:spacing w:val="0"/>
        </w:rPr>
        <w:softHyphen/>
        <w:t>ло партию опытных бомб и в октябре предъ</w:t>
      </w:r>
      <w:r w:rsidRPr="00D03F3E">
        <w:rPr>
          <w:rFonts w:ascii="Times New Roman" w:cs="Times New Roman"/>
          <w:color w:val="000000" w:themeColor="text1"/>
          <w:spacing w:val="0"/>
        </w:rPr>
        <w:softHyphen/>
        <w:t>явило их на государственные испытания в НИИ АВ ВВС.</w:t>
      </w:r>
    </w:p>
    <w:p w14:paraId="758483FC" w14:textId="77777777" w:rsidR="00666F51" w:rsidRPr="00D03F3E" w:rsidRDefault="00666F51"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От ПТАБ-2,5-1,5 «десятка» отличалась формой, габаритами и весом боевой части.</w:t>
      </w:r>
    </w:p>
    <w:p w14:paraId="77C84F82" w14:textId="77777777" w:rsidR="00666F51" w:rsidRPr="00D03F3E" w:rsidRDefault="00666F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Размер кумулятивного конуса и толщина материала были выбраны исходя из наилуч</w:t>
      </w:r>
      <w:r w:rsidRPr="00D03F3E">
        <w:rPr>
          <w:rFonts w:ascii="Times New Roman" w:hAnsi="Times New Roman"/>
          <w:color w:val="000000" w:themeColor="text1"/>
          <w:sz w:val="16"/>
          <w:szCs w:val="16"/>
        </w:rPr>
        <w:softHyphen/>
        <w:t>шего действия бомбы по массивным и экра</w:t>
      </w:r>
      <w:r w:rsidRPr="00D03F3E">
        <w:rPr>
          <w:rFonts w:ascii="Times New Roman" w:hAnsi="Times New Roman"/>
          <w:color w:val="000000" w:themeColor="text1"/>
          <w:sz w:val="16"/>
          <w:szCs w:val="16"/>
        </w:rPr>
        <w:softHyphen/>
        <w:t>нированным преградам. При этом, чтобы не превысить заданных весовых ограничений, корпус бомбы имел коническую форму. Диаметр кумулятивной воронки составлял 85 мм. Корпус бомбы изготавливался из листовой стали толщиной 0,5 мм. Для уси</w:t>
      </w:r>
      <w:r w:rsidRPr="00D03F3E">
        <w:rPr>
          <w:rFonts w:ascii="Times New Roman" w:hAnsi="Times New Roman"/>
          <w:color w:val="000000" w:themeColor="text1"/>
          <w:sz w:val="16"/>
          <w:szCs w:val="16"/>
        </w:rPr>
        <w:softHyphen/>
        <w:t>ления кумулятивного эффекта и поражения живой силы осколками на корпус бомбы была надета стальная 2-мм «рубашка». Стабилизатор сварной, состоял из четырех одинаковых секторов, отштампованных с зигой на цилиндрической части. К бом</w:t>
      </w:r>
      <w:r w:rsidRPr="00D03F3E">
        <w:rPr>
          <w:rFonts w:ascii="Times New Roman" w:hAnsi="Times New Roman"/>
          <w:color w:val="000000" w:themeColor="text1"/>
          <w:sz w:val="16"/>
          <w:szCs w:val="16"/>
        </w:rPr>
        <w:softHyphen/>
        <w:t>бе стабилизатор крепился посредством взрывателя АД-А, как на ПТАБ-2,5-1,5. По сравнению с «двойкой» вес взрывчатого вещества на «десятке» был увеличен до 0,8-0,9 кг. Вес бомбы составлял - 2,7 кг, вес корпуса - 1,9-1,8 кг (12739).</w:t>
      </w:r>
    </w:p>
    <w:p w14:paraId="5A9F1CE5" w14:textId="77777777" w:rsidR="00666F51" w:rsidRPr="00D03F3E" w:rsidRDefault="00666F51" w:rsidP="00D03F3E">
      <w:pPr>
        <w:spacing w:after="0" w:line="240" w:lineRule="auto"/>
        <w:jc w:val="both"/>
        <w:rPr>
          <w:rFonts w:ascii="Times New Roman" w:hAnsi="Times New Roman"/>
          <w:color w:val="000000" w:themeColor="text1"/>
          <w:sz w:val="16"/>
          <w:szCs w:val="16"/>
        </w:rPr>
      </w:pPr>
    </w:p>
    <w:p w14:paraId="252461F9" w14:textId="77777777" w:rsidR="00A40F84" w:rsidRPr="00D03F3E" w:rsidRDefault="00A40F84" w:rsidP="00D03F3E">
      <w:pPr>
        <w:pStyle w:val="book"/>
        <w:ind w:firstLine="0"/>
        <w:jc w:val="both"/>
        <w:rPr>
          <w:color w:val="000000" w:themeColor="text1"/>
          <w:sz w:val="16"/>
          <w:szCs w:val="16"/>
        </w:rPr>
      </w:pPr>
      <w:r w:rsidRPr="00D03F3E">
        <w:rPr>
          <w:color w:val="000000" w:themeColor="text1"/>
          <w:sz w:val="16"/>
          <w:szCs w:val="16"/>
        </w:rPr>
        <w:t>В летних операциях 1943 г. нашей авиацией впервые применённы специальные противотанковые бомбы ПТАБ-2.5-1.5.</w:t>
      </w:r>
    </w:p>
    <w:p w14:paraId="7FCF4CB1" w14:textId="77777777" w:rsidR="00A40F84" w:rsidRPr="00D03F3E" w:rsidRDefault="00A40F84" w:rsidP="00D03F3E">
      <w:pPr>
        <w:pStyle w:val="book"/>
        <w:ind w:firstLine="0"/>
        <w:jc w:val="both"/>
        <w:rPr>
          <w:color w:val="000000" w:themeColor="text1"/>
          <w:sz w:val="16"/>
          <w:szCs w:val="16"/>
        </w:rPr>
      </w:pPr>
      <w:r w:rsidRPr="00D03F3E">
        <w:rPr>
          <w:color w:val="000000" w:themeColor="text1"/>
          <w:sz w:val="16"/>
          <w:szCs w:val="16"/>
        </w:rPr>
        <w:t>Несмотря на малый вес (1.5-1.6 кг), эта бомба при прямом попадании под углом 0° от нормали прожигает броню толщиной до 60 мм. Одновременно с этим при попадании в корпус танка она воспламеняет бензиновые баки, поражает взрывной волной и осколками брони экипаж танка и в некоторых случаях вызывает взрыв боеприпасов.</w:t>
      </w:r>
    </w:p>
    <w:p w14:paraId="4EBE2E31" w14:textId="77777777" w:rsidR="00A40F84" w:rsidRPr="00D03F3E" w:rsidRDefault="00A40F84" w:rsidP="00D03F3E">
      <w:pPr>
        <w:pStyle w:val="book"/>
        <w:ind w:firstLine="0"/>
        <w:jc w:val="both"/>
        <w:rPr>
          <w:color w:val="000000" w:themeColor="text1"/>
          <w:sz w:val="16"/>
          <w:szCs w:val="16"/>
        </w:rPr>
      </w:pPr>
      <w:r w:rsidRPr="00D03F3E">
        <w:rPr>
          <w:color w:val="000000" w:themeColor="text1"/>
          <w:sz w:val="16"/>
          <w:szCs w:val="16"/>
        </w:rPr>
        <w:t>Высокая эффективность этой бомбы объясняется направленным действием взрывной волны, скорость которой достигает 11 000 м/сек. Боевое применение ПТАБ показало их высокую эффективность при действиях по танкам и самоходным орудиям, по автотранспорту, бронепоездам и другим целям.</w:t>
      </w:r>
    </w:p>
    <w:p w14:paraId="70FEEC6F" w14:textId="77777777" w:rsidR="00A40F84" w:rsidRPr="00D03F3E" w:rsidRDefault="00A40F84" w:rsidP="00D03F3E">
      <w:pPr>
        <w:pStyle w:val="book"/>
        <w:ind w:firstLine="0"/>
        <w:jc w:val="both"/>
        <w:rPr>
          <w:color w:val="000000" w:themeColor="text1"/>
          <w:sz w:val="16"/>
          <w:szCs w:val="16"/>
        </w:rPr>
      </w:pPr>
      <w:r w:rsidRPr="00D03F3E">
        <w:rPr>
          <w:color w:val="000000" w:themeColor="text1"/>
          <w:sz w:val="16"/>
          <w:szCs w:val="16"/>
        </w:rPr>
        <w:t>Изучение эффективности действия ПТАБ по танкам и самоходным пушкам, уничтоженным нашими штурмовиками и оставленным противником при его отступлении, показывает, что в результате прямого попадания в танк (самоходную пушку) последний уничтожается или выводится из строя. Попадание бомбы в башню или корпус вызывает воспламенение танка или взрыв его боеприпасов, приводящий, как правило, к полному уничтожению танка. При этом ПТАБ-2.5-1.5 с одинаковым успехом уничтожает лёгкие и тяжёлые танки. Так, на поле боя в районе Поныри была обнаружена немецкая самоходная пушка «Фердинанд», уничтоженная ПТАБ. Бомба топала в броневую крышку левого бензобака, прожгла 20-мм броню, взрывной волной разрушила бензиновый бак и воспламенила бензин. Пожаром было уничтожено всё оборудование и взорваны боеприпасы.</w:t>
      </w:r>
    </w:p>
    <w:p w14:paraId="7EC147F8" w14:textId="77777777" w:rsidR="00A40F84" w:rsidRPr="00D03F3E" w:rsidRDefault="00A40F84" w:rsidP="00D03F3E">
      <w:pPr>
        <w:pStyle w:val="book"/>
        <w:ind w:firstLine="0"/>
        <w:jc w:val="both"/>
        <w:rPr>
          <w:color w:val="000000" w:themeColor="text1"/>
          <w:sz w:val="16"/>
          <w:szCs w:val="16"/>
        </w:rPr>
      </w:pPr>
      <w:r w:rsidRPr="00D03F3E">
        <w:rPr>
          <w:color w:val="000000" w:themeColor="text1"/>
          <w:sz w:val="16"/>
          <w:szCs w:val="16"/>
        </w:rPr>
        <w:t>В районе ст. Хотынец остался немецкий тяжелый танк Т-V («Пантера»), разрушенный прямыми попаданиями трех ПТАБ. Бомбы, попавшие в наклонный броневой пояс корпуса танка под основанием башни, прожгли 45-мм броню и вызвали пожар танка.</w:t>
      </w:r>
    </w:p>
    <w:p w14:paraId="57F2F9CA" w14:textId="77777777" w:rsidR="00A40F84" w:rsidRPr="00D03F3E" w:rsidRDefault="00A40F84" w:rsidP="00D03F3E">
      <w:pPr>
        <w:pStyle w:val="book"/>
        <w:ind w:firstLine="0"/>
        <w:jc w:val="both"/>
        <w:rPr>
          <w:color w:val="000000" w:themeColor="text1"/>
          <w:sz w:val="16"/>
          <w:szCs w:val="16"/>
        </w:rPr>
      </w:pPr>
      <w:r w:rsidRPr="00D03F3E">
        <w:rPr>
          <w:color w:val="000000" w:themeColor="text1"/>
          <w:sz w:val="16"/>
          <w:szCs w:val="16"/>
        </w:rPr>
        <w:t>В районе деревни Драгунская (10 км севернее Томаровка) противник оставил на поле боя шесть танков Т-V, разрушенных бомбами ПТАБ-2.5-1.5. Все они сгорели; в четырёх из них произошёл взрыв боеприпасов (18737).</w:t>
      </w:r>
    </w:p>
    <w:p w14:paraId="1F65AE99" w14:textId="77777777" w:rsidR="00A40F84" w:rsidRPr="00D03F3E" w:rsidRDefault="00A40F84" w:rsidP="00D03F3E">
      <w:pPr>
        <w:pStyle w:val="book"/>
        <w:ind w:firstLine="0"/>
        <w:jc w:val="both"/>
        <w:rPr>
          <w:color w:val="000000" w:themeColor="text1"/>
          <w:sz w:val="16"/>
          <w:szCs w:val="16"/>
        </w:rPr>
      </w:pPr>
    </w:p>
    <w:p w14:paraId="1AE7F2DC" w14:textId="77777777" w:rsidR="00A40F84" w:rsidRPr="00D03F3E" w:rsidRDefault="00A40F84" w:rsidP="00D03F3E">
      <w:pPr>
        <w:pStyle w:val="book"/>
        <w:ind w:firstLine="0"/>
        <w:jc w:val="both"/>
        <w:rPr>
          <w:color w:val="000000" w:themeColor="text1"/>
          <w:sz w:val="16"/>
          <w:szCs w:val="16"/>
        </w:rPr>
      </w:pPr>
      <w:r w:rsidRPr="00D03F3E">
        <w:rPr>
          <w:color w:val="000000" w:themeColor="text1"/>
          <w:sz w:val="16"/>
          <w:szCs w:val="16"/>
        </w:rPr>
        <w:t>Летом 1943 г. авиация противника также широко применяла мелкие (2-килограммовые) осколочные бомбы и 55-мм мины, сбрасывая их на боевые порядки наших войск и огневые позиции артиллерии. По единогласному заявлению офицеров наземных частей, мелкие осколочные бомбы оказывались более эффективными, чем фугасные, так как они сбрасывались в большом количестве и, как правило, наносили поражение в результате прямых попаданий в фортификационные сооружения (18737).</w:t>
      </w:r>
    </w:p>
    <w:p w14:paraId="4F5C9C24" w14:textId="77777777" w:rsidR="00A40F84" w:rsidRPr="00D03F3E" w:rsidRDefault="00A40F84" w:rsidP="00D03F3E">
      <w:pPr>
        <w:pStyle w:val="book"/>
        <w:ind w:firstLine="0"/>
        <w:jc w:val="both"/>
        <w:rPr>
          <w:color w:val="000000" w:themeColor="text1"/>
          <w:sz w:val="16"/>
          <w:szCs w:val="16"/>
        </w:rPr>
      </w:pPr>
    </w:p>
    <w:p w14:paraId="2EDEF017" w14:textId="77777777" w:rsidR="00A40F84" w:rsidRPr="00D03F3E" w:rsidRDefault="00A40F84"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С лета 1943 года истребительно-бомбардировочные модификации «Фокке-Вульфа» активно применялись в России, причем их процент в общем количестве немецких боевых самолетов непрерывно возрастал. С середины 1944-го они стали основной ударной силой Люфтваффе на фронте и в ближнем тылу советских войск, постепенно вытесняя с этой роли двухмоторные бомбардировщики и пикировщики Ju 87 Stuka.</w:t>
      </w:r>
    </w:p>
    <w:p w14:paraId="39AD621F" w14:textId="77777777" w:rsidR="00A40F84" w:rsidRPr="00D03F3E" w:rsidRDefault="00A40F84" w:rsidP="00D03F3E">
      <w:pPr>
        <w:pStyle w:val="rtejustify"/>
        <w:shd w:val="clear" w:color="auto" w:fill="FFFFFF"/>
        <w:spacing w:before="0" w:beforeAutospacing="0" w:after="0" w:afterAutospacing="0"/>
        <w:jc w:val="both"/>
        <w:textAlignment w:val="baseline"/>
        <w:rPr>
          <w:color w:val="000000" w:themeColor="text1"/>
          <w:sz w:val="16"/>
          <w:szCs w:val="16"/>
        </w:rPr>
      </w:pPr>
      <w:r w:rsidRPr="00D03F3E">
        <w:rPr>
          <w:color w:val="000000" w:themeColor="text1"/>
          <w:sz w:val="16"/>
          <w:szCs w:val="16"/>
        </w:rPr>
        <w:t>Необходимо отметить, что немцы не считали FW 190F и G истребителями, поскольку эти самолеты входили в состав так называемых «ударных групп» (Shlachtgruppen), предназначенных для атак наземных целей. Но наши летчики не видели разницы между ними и чисто истребительными модификациями «Фокке-Вульфа», да и заметить такую разницу, особенно если FW 190F или G летел без бомб, было почти невозможно. В этом кроется одна из причин большого расхождения между числом немецких истребителей, сбитых в 1943–1944 годах, согласно докладам советских пилотов, и признанным немцами числом потерь своих истребителей за данный период (19178).</w:t>
      </w:r>
    </w:p>
    <w:p w14:paraId="4B9A08D7" w14:textId="77777777" w:rsidR="00A40F84" w:rsidRPr="00D03F3E" w:rsidRDefault="00A40F84" w:rsidP="00D03F3E">
      <w:pPr>
        <w:pStyle w:val="rtecenter"/>
        <w:shd w:val="clear" w:color="auto" w:fill="FFFFFF"/>
        <w:spacing w:before="0" w:beforeAutospacing="0" w:after="0" w:afterAutospacing="0"/>
        <w:jc w:val="both"/>
        <w:textAlignment w:val="baseline"/>
        <w:rPr>
          <w:color w:val="000000" w:themeColor="text1"/>
          <w:sz w:val="16"/>
          <w:szCs w:val="16"/>
        </w:rPr>
      </w:pPr>
    </w:p>
    <w:p w14:paraId="6F52082E" w14:textId="77777777" w:rsidR="008F78BA" w:rsidRPr="00D03F3E" w:rsidRDefault="008F78B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Летом 1943 г. в ЦКБ-22 была отработана более мощная противотанковая авиабомба в габаритах калибра 10 кг, но весом 2,5 кг — ПТАБ-10-2,5.</w:t>
      </w:r>
    </w:p>
    <w:p w14:paraId="3910B204" w14:textId="77777777" w:rsidR="008F78BA" w:rsidRPr="00D03F3E" w:rsidRDefault="008F78B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По заданию новая бомба должна была обеспе</w:t>
      </w:r>
      <w:r w:rsidRPr="00D03F3E">
        <w:rPr>
          <w:color w:val="000000" w:themeColor="text1"/>
          <w:sz w:val="16"/>
          <w:szCs w:val="16"/>
        </w:rPr>
        <w:softHyphen/>
        <w:t>чивать поражение сверхмощных танков против</w:t>
      </w:r>
      <w:r w:rsidRPr="00D03F3E">
        <w:rPr>
          <w:color w:val="000000" w:themeColor="text1"/>
          <w:sz w:val="16"/>
          <w:szCs w:val="16"/>
        </w:rPr>
        <w:softHyphen/>
        <w:t>ника с толщиной брони до 160 мм, а также бро</w:t>
      </w:r>
      <w:r w:rsidRPr="00D03F3E">
        <w:rPr>
          <w:color w:val="000000" w:themeColor="text1"/>
          <w:sz w:val="16"/>
          <w:szCs w:val="16"/>
        </w:rPr>
        <w:softHyphen/>
        <w:t>нетехники с толщиной основной брони до 40 мм, защищенной бронированным экраном толщиной 15—20 мм, бронеколпаков оборонительных соору</w:t>
      </w:r>
      <w:r w:rsidRPr="00D03F3E">
        <w:rPr>
          <w:color w:val="000000" w:themeColor="text1"/>
          <w:sz w:val="16"/>
          <w:szCs w:val="16"/>
        </w:rPr>
        <w:softHyphen/>
        <w:t>жений укрепрайонов «с верхним бронированием толщиной 100 мм», мостов металлической кон</w:t>
      </w:r>
      <w:r w:rsidRPr="00D03F3E">
        <w:rPr>
          <w:color w:val="000000" w:themeColor="text1"/>
          <w:sz w:val="16"/>
          <w:szCs w:val="16"/>
        </w:rPr>
        <w:softHyphen/>
        <w:t>струкции и т.д.</w:t>
      </w:r>
    </w:p>
    <w:p w14:paraId="508A0D1B" w14:textId="77777777" w:rsidR="008F78BA" w:rsidRPr="00D03F3E" w:rsidRDefault="008F78B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lastRenderedPageBreak/>
        <w:t>Первые опытные образцы ПТАБ-10-2,5 с взрыва</w:t>
      </w:r>
      <w:r w:rsidRPr="00D03F3E">
        <w:rPr>
          <w:color w:val="000000" w:themeColor="text1"/>
          <w:sz w:val="16"/>
          <w:szCs w:val="16"/>
        </w:rPr>
        <w:softHyphen/>
        <w:t>телем АД-А в августе проходили заводские назем</w:t>
      </w:r>
      <w:r w:rsidRPr="00D03F3E">
        <w:rPr>
          <w:color w:val="000000" w:themeColor="text1"/>
          <w:sz w:val="16"/>
          <w:szCs w:val="16"/>
        </w:rPr>
        <w:softHyphen/>
        <w:t>ные испытания в НИИ АВ ВВС и по эффективности действия показали превосходные результаты — они свободно пробивали броню немецких танков всех типов.</w:t>
      </w:r>
    </w:p>
    <w:p w14:paraId="5B25B3DA" w14:textId="77777777" w:rsidR="008F78BA" w:rsidRPr="00D03F3E" w:rsidRDefault="008F78BA"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ЦКБ-22 в авральном порядке изготовило пар</w:t>
      </w:r>
      <w:r w:rsidRPr="00D03F3E">
        <w:rPr>
          <w:color w:val="000000" w:themeColor="text1"/>
          <w:sz w:val="16"/>
          <w:szCs w:val="16"/>
        </w:rPr>
        <w:softHyphen/>
        <w:t>тию опытных бомб и в октябре предъявило их на государственные испытания в НИИ АВ ВВС (17500).</w:t>
      </w:r>
    </w:p>
    <w:p w14:paraId="50719360" w14:textId="77777777" w:rsidR="008F78BA" w:rsidRPr="00D03F3E" w:rsidRDefault="008F78BA" w:rsidP="00D03F3E">
      <w:pPr>
        <w:spacing w:after="0" w:line="240" w:lineRule="auto"/>
        <w:jc w:val="both"/>
        <w:rPr>
          <w:rFonts w:ascii="Times New Roman" w:hAnsi="Times New Roman"/>
          <w:color w:val="000000" w:themeColor="text1"/>
          <w:sz w:val="16"/>
          <w:szCs w:val="16"/>
        </w:rPr>
      </w:pPr>
    </w:p>
    <w:p w14:paraId="302FBA45" w14:textId="77777777" w:rsidR="00666F51" w:rsidRPr="00D03F3E" w:rsidRDefault="00666F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были проведены полигонные испытания ракетных ускорителей конструкции НИИ-3 саней, показавшие недостаточную надежность и выявившие недостатки конструкции. В итоге первый вариант ракетных ускорителей не рекомендовался для использования на аэросанях, однако работы в данном направлении было решено продолжить.</w:t>
      </w:r>
    </w:p>
    <w:p w14:paraId="3209AE3A" w14:textId="77777777" w:rsidR="00666F51" w:rsidRPr="00D03F3E" w:rsidRDefault="00666F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Зимой 1943-1944 г. состоялись государственные испытания усовершенствованных ускорителей. Основными частями стартовых ускорителей были реактивный заряд, источник электрического тока и электробомбосбрасыватель. Испытывавшиеся ускорители различались типом зарядов – «долговременного горения» (продолжительностью более секунды) и «кратковременного горения» (продолжительностью 0,4с). Штатно в ходе испытаний реактивные заряды монтировались попарно на задних лыжах. Допускалась и возможность установки восьми зарядов, обеспечивающих тягу до 1000 кг при необходимом дополнительном усилии в 320-455 кг. Оба типа зарядов успешно прошли зимние испытания и были признаны пригодными для применения, однако из-за конструктивной сложности не получили широкого распространения (12304).</w:t>
      </w:r>
    </w:p>
    <w:p w14:paraId="386DB3A6" w14:textId="77777777" w:rsidR="00666F51" w:rsidRPr="00D03F3E" w:rsidRDefault="00666F51" w:rsidP="00D03F3E">
      <w:pPr>
        <w:spacing w:after="0" w:line="240" w:lineRule="auto"/>
        <w:jc w:val="both"/>
        <w:rPr>
          <w:rFonts w:ascii="Times New Roman" w:hAnsi="Times New Roman"/>
          <w:color w:val="000000" w:themeColor="text1"/>
          <w:sz w:val="16"/>
          <w:szCs w:val="16"/>
        </w:rPr>
      </w:pPr>
    </w:p>
    <w:p w14:paraId="6391B335"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6794D22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4F9443" w14:textId="77777777" w:rsidR="00267D1F" w:rsidRPr="00D03F3E" w:rsidRDefault="00267D1F" w:rsidP="00D03F3E">
      <w:pPr>
        <w:pStyle w:val="a3"/>
        <w:rPr>
          <w:color w:val="000000" w:themeColor="text1"/>
          <w:lang w:val="ru-RU"/>
        </w:rPr>
      </w:pPr>
      <w:r w:rsidRPr="00D03F3E">
        <w:rPr>
          <w:color w:val="000000" w:themeColor="text1"/>
          <w:lang w:val="ru-RU"/>
        </w:rPr>
        <w:t>Летом 1943 года Красная Армия столкнулась с куда более грозным противником, чем «Тигр». Среди примененных немцами на Курской дуге новых образцов бронетанковой техники особенно выде</w:t>
      </w:r>
      <w:r w:rsidRPr="00D03F3E">
        <w:rPr>
          <w:color w:val="000000" w:themeColor="text1"/>
          <w:lang w:val="ru-RU"/>
        </w:rPr>
        <w:softHyphen/>
        <w:t xml:space="preserve">лялась самоходная установка 8,8 </w:t>
      </w:r>
      <w:r w:rsidRPr="00D03F3E">
        <w:rPr>
          <w:color w:val="000000" w:themeColor="text1"/>
        </w:rPr>
        <w:t>cm</w:t>
      </w:r>
      <w:r w:rsidRPr="00D03F3E">
        <w:rPr>
          <w:color w:val="000000" w:themeColor="text1"/>
          <w:lang w:val="ru-RU"/>
        </w:rPr>
        <w:t xml:space="preserve"> РаК 43/2 </w:t>
      </w:r>
      <w:r w:rsidRPr="00D03F3E">
        <w:rPr>
          <w:color w:val="000000" w:themeColor="text1"/>
        </w:rPr>
        <w:t>SflL</w:t>
      </w:r>
      <w:r w:rsidRPr="00D03F3E">
        <w:rPr>
          <w:color w:val="000000" w:themeColor="text1"/>
          <w:lang w:val="ru-RU"/>
        </w:rPr>
        <w:t xml:space="preserve">/71 </w:t>
      </w:r>
      <w:r w:rsidRPr="00D03F3E">
        <w:rPr>
          <w:color w:val="000000" w:themeColor="text1"/>
        </w:rPr>
        <w:t>PanzerjagerTiger</w:t>
      </w:r>
      <w:r w:rsidRPr="00D03F3E">
        <w:rPr>
          <w:color w:val="000000" w:themeColor="text1"/>
          <w:lang w:val="ru-RU"/>
        </w:rPr>
        <w:t xml:space="preserve"> (Р), более известная как «Фердинанд». Толщина лобового листа корпу</w:t>
      </w:r>
      <w:r w:rsidRPr="00D03F3E">
        <w:rPr>
          <w:color w:val="000000" w:themeColor="text1"/>
          <w:lang w:val="ru-RU"/>
        </w:rPr>
        <w:softHyphen/>
        <w:t>са и рубки тяжелого немецкого истребителя танков достигала 200 мм, что делало его малоуязвимым даже для огня корпусной артиллерии.</w:t>
      </w:r>
    </w:p>
    <w:p w14:paraId="2EF7A39C" w14:textId="77777777" w:rsidR="00267D1F" w:rsidRPr="00D03F3E" w:rsidRDefault="00267D1F" w:rsidP="00D03F3E">
      <w:pPr>
        <w:pStyle w:val="a3"/>
        <w:rPr>
          <w:color w:val="000000" w:themeColor="text1"/>
          <w:lang w:val="ru-RU"/>
        </w:rPr>
      </w:pPr>
      <w:r w:rsidRPr="00D03F3E">
        <w:rPr>
          <w:color w:val="000000" w:themeColor="text1"/>
          <w:lang w:val="ru-RU"/>
        </w:rPr>
        <w:t>Сказать, что «Фердинанд» наши военные заметили — это не ска</w:t>
      </w:r>
      <w:r w:rsidRPr="00D03F3E">
        <w:rPr>
          <w:color w:val="000000" w:themeColor="text1"/>
          <w:lang w:val="ru-RU"/>
        </w:rPr>
        <w:softHyphen/>
        <w:t>зать ничего. Появление на фронте этой машины, выполненной серией в 90 экземпляров, спровоцировало запуск целого ряда проектов. До</w:t>
      </w:r>
      <w:r w:rsidRPr="00D03F3E">
        <w:rPr>
          <w:color w:val="000000" w:themeColor="text1"/>
          <w:lang w:val="ru-RU"/>
        </w:rPr>
        <w:softHyphen/>
        <w:t>статочно сказать, что тяжелый танк «Объект 701» (будущий ИС-4), тре</w:t>
      </w:r>
      <w:r w:rsidRPr="00D03F3E">
        <w:rPr>
          <w:color w:val="000000" w:themeColor="text1"/>
          <w:lang w:val="ru-RU"/>
        </w:rPr>
        <w:softHyphen/>
        <w:t>бования на который разработали в ноябре 1943 года, создавался имен</w:t>
      </w:r>
      <w:r w:rsidRPr="00D03F3E">
        <w:rPr>
          <w:color w:val="000000" w:themeColor="text1"/>
          <w:lang w:val="ru-RU"/>
        </w:rPr>
        <w:softHyphen/>
        <w:t>но в противовес «Фердинанду». Ускорение работ по 122-мм танковой пушке Д-25 также связано с творением Фердинанда Порше, хотя, спра</w:t>
      </w:r>
      <w:r w:rsidRPr="00D03F3E">
        <w:rPr>
          <w:color w:val="000000" w:themeColor="text1"/>
          <w:lang w:val="ru-RU"/>
        </w:rPr>
        <w:softHyphen/>
        <w:t>ведливости ради, эту пушку начали разрабатывать еще раньше (17484).</w:t>
      </w:r>
    </w:p>
    <w:p w14:paraId="6D4C6645" w14:textId="77777777" w:rsidR="00267D1F" w:rsidRPr="00D03F3E" w:rsidRDefault="00267D1F" w:rsidP="00D03F3E">
      <w:pPr>
        <w:spacing w:after="0" w:line="240" w:lineRule="auto"/>
        <w:jc w:val="both"/>
        <w:rPr>
          <w:rFonts w:ascii="Times New Roman" w:hAnsi="Times New Roman"/>
          <w:color w:val="000000" w:themeColor="text1"/>
          <w:sz w:val="16"/>
          <w:szCs w:val="16"/>
        </w:rPr>
      </w:pPr>
    </w:p>
    <w:p w14:paraId="26FC53A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завод № 92 возобновил производство 57-мм противо</w:t>
      </w:r>
      <w:r w:rsidRPr="00D03F3E">
        <w:rPr>
          <w:rFonts w:ascii="Times New Roman" w:hAnsi="Times New Roman"/>
          <w:color w:val="000000" w:themeColor="text1"/>
          <w:sz w:val="16"/>
          <w:szCs w:val="16"/>
        </w:rPr>
        <w:softHyphen/>
        <w:t>танковых пушек ЗИС-2, прекращенное в конце 1941 г. В связи с высо</w:t>
      </w:r>
      <w:r w:rsidRPr="00D03F3E">
        <w:rPr>
          <w:rFonts w:ascii="Times New Roman" w:hAnsi="Times New Roman"/>
          <w:color w:val="000000" w:themeColor="text1"/>
          <w:sz w:val="16"/>
          <w:szCs w:val="16"/>
        </w:rPr>
        <w:softHyphen/>
        <w:t>кими показателями бронепробиваемости этой пушки, советскими кон</w:t>
      </w:r>
      <w:r w:rsidRPr="00D03F3E">
        <w:rPr>
          <w:rFonts w:ascii="Times New Roman" w:hAnsi="Times New Roman"/>
          <w:color w:val="000000" w:themeColor="text1"/>
          <w:sz w:val="16"/>
          <w:szCs w:val="16"/>
        </w:rPr>
        <w:softHyphen/>
        <w:t>структорами были предприняты попытки ее монтажа в самоходные противотанковые установки. Уже в начале августа 1943 г. заводом № 38 была представлена на заводские испытания опытная противотанковая самоходная установка СУ-57, которая представляла собой серийную машину СУ-76М с установкой вместо качающейся части 76,2-мм пуш</w:t>
      </w:r>
      <w:r w:rsidRPr="00D03F3E">
        <w:rPr>
          <w:rFonts w:ascii="Times New Roman" w:hAnsi="Times New Roman"/>
          <w:color w:val="000000" w:themeColor="text1"/>
          <w:sz w:val="16"/>
          <w:szCs w:val="16"/>
        </w:rPr>
        <w:softHyphen/>
        <w:t>ки ЗИС-3 качающейся части 57-мм пушки ЗИС-2. Проведенные испы</w:t>
      </w:r>
      <w:r w:rsidRPr="00D03F3E">
        <w:rPr>
          <w:rFonts w:ascii="Times New Roman" w:hAnsi="Times New Roman"/>
          <w:color w:val="000000" w:themeColor="text1"/>
          <w:sz w:val="16"/>
          <w:szCs w:val="16"/>
        </w:rPr>
        <w:softHyphen/>
        <w:t>тания показали, что усилие отката 57-мм орудия немного превышает ТТТ, оговоренные заказчиком. Из-за отсутствия противоснарядного бронирования, наличия открытого сверху боевого отделения и исполь</w:t>
      </w:r>
      <w:r w:rsidRPr="00D03F3E">
        <w:rPr>
          <w:rFonts w:ascii="Times New Roman" w:hAnsi="Times New Roman"/>
          <w:color w:val="000000" w:themeColor="text1"/>
          <w:sz w:val="16"/>
          <w:szCs w:val="16"/>
        </w:rPr>
        <w:softHyphen/>
        <w:t>зования карбюраторных двигателей вместо дизеля, от принятия на во</w:t>
      </w:r>
      <w:r w:rsidRPr="00D03F3E">
        <w:rPr>
          <w:rFonts w:ascii="Times New Roman" w:hAnsi="Times New Roman"/>
          <w:color w:val="000000" w:themeColor="text1"/>
          <w:sz w:val="16"/>
          <w:szCs w:val="16"/>
        </w:rPr>
        <w:softHyphen/>
        <w:t>оружение этой самоходной установки отказались (10703).</w:t>
      </w:r>
    </w:p>
    <w:p w14:paraId="39225821"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9BCCB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горьковский артиллерийский завод № 92 с подачи начальника ЦАКБ В.Грабина при поддержке Д.Устинова возобновил производство 57-мм противотанковых пушек ЗИС-2 (а также их танковых вариантов ЗИС-4), прекращенное в конце 1941 г. Эти орудия имели очень неплохие показатели бронепробиваемости, и это обстоятельство вновь подстегнуло проектировщиков к созданию противотанковых САУ (5742, 14).</w:t>
      </w:r>
    </w:p>
    <w:p w14:paraId="750A7E4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9C0B64" w14:textId="77777777" w:rsidR="00A40F84" w:rsidRPr="00D03F3E" w:rsidRDefault="00A40F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стало понятно, что бронепробиваемость ЗИС-2 для борьбы с новыми немецкими танками недостаточна. Под руководством Н.А. Астрова на ГАЗ им. Молотова в конце 1943 года была разработана и построена самоходная установка СУ-85 ГАЗ, имевшая также заводской индекс ГАЗ-75. Эта машина являлась развитием САУ ГАЗ-74, отличаясь от неё не только более мощным орудием, но и усиленной броневой защитой. При боевой массе машины 14,5 тонн толщина её верхнего лобового листа составляла 82 мм. Испытания, которые проходили с 3 января по 8 марта 1944 года, в целом закончились успешно, но дорабатывать машину не стали.</w:t>
      </w:r>
    </w:p>
    <w:p w14:paraId="336DD6D1" w14:textId="77777777" w:rsidR="00A40F84" w:rsidRPr="00D03F3E" w:rsidRDefault="00A40F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Причиной тому стало «торпедирование» А.А. Липгартом детища Астрова. Главный конструктор с конца 1943 года начал тихую (а местами и совсем не тихую) войну с военным производством на ГАЗ. Нет, Андрей Александрович не был диверсантом: им двигала необходимость переориентирования завода на производство «мирной» продукции. Кроме того, поскольку САУ ГАЗ-75 была во многом новой машиной, для её производства требовалась серьёзная перестройка мощностей завода. Поскольку объём выпуска САУ требовалось наращивать, внедрение ГАЗ-75 в серию оказалось невозможным (18098).</w:t>
      </w:r>
    </w:p>
    <w:p w14:paraId="17D6E173" w14:textId="77777777" w:rsidR="00A40F84" w:rsidRPr="00D03F3E" w:rsidRDefault="00A40F84" w:rsidP="00D03F3E">
      <w:pPr>
        <w:spacing w:after="0" w:line="240" w:lineRule="auto"/>
        <w:jc w:val="both"/>
        <w:rPr>
          <w:rFonts w:ascii="Times New Roman" w:hAnsi="Times New Roman"/>
          <w:color w:val="000000" w:themeColor="text1"/>
          <w:sz w:val="16"/>
          <w:szCs w:val="16"/>
        </w:rPr>
      </w:pPr>
    </w:p>
    <w:p w14:paraId="2993C43B"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того же 1943 года горьковский артиллерийский завод №92 с подачи начальника ЦАКБ В.Грабина при поддержке Д.Устинова возобновил производство 57-мм противо</w:t>
      </w:r>
      <w:hyperlink r:id="rId222" w:tgtFrame="_blank" w:history="1">
        <w:r w:rsidRPr="00D03F3E">
          <w:rPr>
            <w:rFonts w:ascii="Times New Roman" w:hAnsi="Times New Roman"/>
            <w:color w:val="000000" w:themeColor="text1"/>
            <w:sz w:val="16"/>
            <w:szCs w:val="16"/>
          </w:rPr>
          <w:t>танк</w:t>
        </w:r>
      </w:hyperlink>
      <w:r w:rsidRPr="00D03F3E">
        <w:rPr>
          <w:rFonts w:ascii="Times New Roman" w:hAnsi="Times New Roman"/>
          <w:color w:val="000000" w:themeColor="text1"/>
          <w:sz w:val="16"/>
          <w:szCs w:val="16"/>
        </w:rPr>
        <w:t xml:space="preserve">овых пушек ЗИС-2, а также их </w:t>
      </w:r>
      <w:hyperlink r:id="rId223" w:tgtFrame="_blank" w:history="1">
        <w:r w:rsidRPr="00D03F3E">
          <w:rPr>
            <w:rFonts w:ascii="Times New Roman" w:hAnsi="Times New Roman"/>
            <w:color w:val="000000" w:themeColor="text1"/>
            <w:sz w:val="16"/>
            <w:szCs w:val="16"/>
          </w:rPr>
          <w:t>танк</w:t>
        </w:r>
      </w:hyperlink>
      <w:r w:rsidRPr="00D03F3E">
        <w:rPr>
          <w:rFonts w:ascii="Times New Roman" w:hAnsi="Times New Roman"/>
          <w:color w:val="000000" w:themeColor="text1"/>
          <w:sz w:val="16"/>
          <w:szCs w:val="16"/>
        </w:rPr>
        <w:t xml:space="preserve">овых вариантов </w:t>
      </w:r>
      <w:hyperlink r:id="rId224" w:tgtFrame="_blank" w:history="1">
        <w:r w:rsidRPr="00D03F3E">
          <w:rPr>
            <w:rFonts w:ascii="Times New Roman" w:hAnsi="Times New Roman"/>
            <w:color w:val="000000" w:themeColor="text1"/>
            <w:sz w:val="16"/>
            <w:szCs w:val="16"/>
          </w:rPr>
          <w:t>ЗИС-4</w:t>
        </w:r>
      </w:hyperlink>
      <w:r w:rsidRPr="00D03F3E">
        <w:rPr>
          <w:rFonts w:ascii="Times New Roman" w:hAnsi="Times New Roman"/>
          <w:color w:val="000000" w:themeColor="text1"/>
          <w:sz w:val="16"/>
          <w:szCs w:val="16"/>
        </w:rPr>
        <w:t>, прекращенное в конце 1941 года. Эти орудия имели очень хорошие показатели бронепробиваемости. Это обстоятельство вновь подстегнуло проектировщиков к созданию противо</w:t>
      </w:r>
      <w:hyperlink r:id="rId225" w:tgtFrame="_blank" w:history="1">
        <w:r w:rsidRPr="00D03F3E">
          <w:rPr>
            <w:rFonts w:ascii="Times New Roman" w:hAnsi="Times New Roman"/>
            <w:color w:val="000000" w:themeColor="text1"/>
            <w:sz w:val="16"/>
            <w:szCs w:val="16"/>
          </w:rPr>
          <w:t>танк</w:t>
        </w:r>
      </w:hyperlink>
      <w:r w:rsidRPr="00D03F3E">
        <w:rPr>
          <w:rFonts w:ascii="Times New Roman" w:hAnsi="Times New Roman"/>
          <w:color w:val="000000" w:themeColor="text1"/>
          <w:sz w:val="16"/>
          <w:szCs w:val="16"/>
        </w:rPr>
        <w:t>овых САУ.</w:t>
      </w:r>
    </w:p>
    <w:p w14:paraId="24DBE1E7"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ГАЗ упорно продолжал работы над своим истребителем </w:t>
      </w:r>
      <w:hyperlink r:id="rId226" w:tgtFrame="_blank" w:history="1">
        <w:r w:rsidRPr="00D03F3E">
          <w:rPr>
            <w:rFonts w:ascii="Times New Roman" w:hAnsi="Times New Roman"/>
            <w:color w:val="000000" w:themeColor="text1"/>
            <w:sz w:val="16"/>
            <w:szCs w:val="16"/>
          </w:rPr>
          <w:t>танк</w:t>
        </w:r>
      </w:hyperlink>
      <w:r w:rsidRPr="00D03F3E">
        <w:rPr>
          <w:rFonts w:ascii="Times New Roman" w:hAnsi="Times New Roman"/>
          <w:color w:val="000000" w:themeColor="text1"/>
          <w:sz w:val="16"/>
          <w:szCs w:val="16"/>
        </w:rPr>
        <w:t xml:space="preserve">ов. Причем одновременно шло, как создание новой машины ГАЗ-74б с 57-мм длинноствольной пушкой С-1-57, так и совершенствование машины, оснащенной 76-мм пушкой (для нее из ЦАКБ ждали 76-мм пушку большой мощности </w:t>
      </w:r>
      <w:hyperlink r:id="rId227" w:tgtFrame="_blank" w:history="1">
        <w:r w:rsidRPr="00D03F3E">
          <w:rPr>
            <w:rFonts w:ascii="Times New Roman" w:hAnsi="Times New Roman"/>
            <w:color w:val="000000" w:themeColor="text1"/>
            <w:sz w:val="16"/>
            <w:szCs w:val="16"/>
          </w:rPr>
          <w:t>С-54</w:t>
        </w:r>
      </w:hyperlink>
      <w:r w:rsidRPr="00D03F3E">
        <w:rPr>
          <w:rFonts w:ascii="Times New Roman" w:hAnsi="Times New Roman"/>
          <w:color w:val="000000" w:themeColor="text1"/>
          <w:sz w:val="16"/>
          <w:szCs w:val="16"/>
        </w:rPr>
        <w:t xml:space="preserve"> с длиной ствола около 60 калибров).</w:t>
      </w:r>
    </w:p>
    <w:p w14:paraId="227625EC"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Вариант с 57-мм пушкой получила название СУ-57Б.</w:t>
      </w:r>
    </w:p>
    <w:p w14:paraId="2999A1C2"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переднем лобовом листе корпуса в амбразуре размещена 57-мм </w:t>
      </w:r>
      <w:hyperlink r:id="rId228" w:tgtFrame="_blank" w:history="1">
        <w:r w:rsidRPr="00D03F3E">
          <w:rPr>
            <w:rFonts w:ascii="Times New Roman" w:hAnsi="Times New Roman"/>
            <w:color w:val="000000" w:themeColor="text1"/>
            <w:sz w:val="16"/>
            <w:szCs w:val="16"/>
          </w:rPr>
          <w:t>танк</w:t>
        </w:r>
      </w:hyperlink>
      <w:r w:rsidRPr="00D03F3E">
        <w:rPr>
          <w:rFonts w:ascii="Times New Roman" w:hAnsi="Times New Roman"/>
          <w:color w:val="000000" w:themeColor="text1"/>
          <w:sz w:val="16"/>
          <w:szCs w:val="16"/>
        </w:rPr>
        <w:t>овая пушка ЗИС-4 с ручными механизмами наведения.</w:t>
      </w:r>
    </w:p>
    <w:p w14:paraId="05DF4CD9"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Бронебойным снарядом обеспечивалась бронепробиваемость до 90 мм на дальности 1000 м и до 100 мм на дальности 500 м при нулевом угле встречи снаряда с броней.</w:t>
      </w:r>
    </w:p>
    <w:p w14:paraId="6293CB3D"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то, что СУ-57Б выдержала почти все предложенные испытания, на вооружение она не принималась. К числу причин непринятия на вооружение назывались высокая стоимость САУ, необходимость производить новый дизель, не освоенного отечественной промышленностью (зависеть от зарубежных поставок в условиях войны было бы верхом неблагоразумия).</w:t>
      </w:r>
    </w:p>
    <w:p w14:paraId="5AE8DC05"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!?.С.С: Крайне спорное утверждение, учитывая, что поставляемые GMC-71 ставились на арттягачь ЯМЗ-12. К тому же в ряде источников, говориться, что СУ-57Б была оснащена карбюраторным двигателем ЗИС-16 мощностью 100 л.с. Об этом же говорит и буква “Б” в назывании самой САУ.</w:t>
      </w:r>
    </w:p>
    <w:p w14:paraId="324D8522"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по совершенствованию ГАЗ-74 в 1944 году привели к созданию улучшенной САУ, получившей индекс ГАЗ-76Д, или СУ-76Д ("дизельная"). Правда, пушку С-54 для нее так и не получили, но броню в лобовой части довели до толщины 60 мм и в таком виде с 76-мм пушкой С-1 допустили до государственных испытаний под индексом СУ-80. Но на вооружение она принята не была опять же ввиду отсутствия явных преимуществ(?) перед серийной СУ-76М и из-за наличия импортного дизеля, производство которого не было освоено ни в Ярославле, ни в Миасе, ни на подвергшемся в 1943 году повторной бомбежке, Горьковском автозаводе (15642).</w:t>
      </w:r>
    </w:p>
    <w:p w14:paraId="62F9309B" w14:textId="77777777" w:rsidR="0018582B" w:rsidRPr="00D03F3E" w:rsidRDefault="0018582B" w:rsidP="00D03F3E">
      <w:pPr>
        <w:spacing w:after="0" w:line="240" w:lineRule="auto"/>
        <w:jc w:val="both"/>
        <w:rPr>
          <w:rFonts w:ascii="Times New Roman" w:hAnsi="Times New Roman"/>
          <w:color w:val="000000" w:themeColor="text1"/>
          <w:sz w:val="16"/>
          <w:szCs w:val="16"/>
        </w:rPr>
      </w:pPr>
    </w:p>
    <w:p w14:paraId="0CCAA08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ОКБ завода № 9 предложило но</w:t>
      </w:r>
      <w:r w:rsidRPr="00D03F3E">
        <w:rPr>
          <w:rFonts w:ascii="Times New Roman" w:hAnsi="Times New Roman"/>
          <w:color w:val="000000" w:themeColor="text1"/>
          <w:sz w:val="16"/>
          <w:szCs w:val="16"/>
        </w:rPr>
        <w:softHyphen/>
        <w:t>вое 122-мм штурмовое орудие (фактически гаубицу) Д-6 образца 1943 г., которая представляла собой дальнейшее развитие орудия У-11, с использованием установочных мест 85-мм пушки Д-5. Д-6 могла быть без переделок уста</w:t>
      </w:r>
      <w:r w:rsidRPr="00D03F3E">
        <w:rPr>
          <w:rFonts w:ascii="Times New Roman" w:hAnsi="Times New Roman"/>
          <w:color w:val="000000" w:themeColor="text1"/>
          <w:sz w:val="16"/>
          <w:szCs w:val="16"/>
        </w:rPr>
        <w:softHyphen/>
        <w:t>новлена в башню ИС-85, Т-43. Но как танковое орудие она имела те же недостатки, что и У-11, к тому же сломалась на заводских испытаниях. ЦАКБ не хотело отстать от конкурента. В том же 1943 г. здесь была разработана своя версия танковой пушки С-41 на основе люльки с противооткатным механизмом орудия С-31. Особенности С-41 состояли в том, что в одном лице предлагался сразу дуплекс из 122-мм и 152-мм гаубиц, от</w:t>
      </w:r>
      <w:r w:rsidRPr="00D03F3E">
        <w:rPr>
          <w:rFonts w:ascii="Times New Roman" w:hAnsi="Times New Roman"/>
          <w:color w:val="000000" w:themeColor="text1"/>
          <w:sz w:val="16"/>
          <w:szCs w:val="16"/>
        </w:rPr>
        <w:softHyphen/>
        <w:t>личающийся трубой ствола с затвором (от М-30, или М-10) и конструкцией дульного тормоза. А по отзыву самого В. Грабина в лице С-41 Красная армия приобретала сразу три орудия — 85-мм танковую пушку и 122-мм и 152-мм танковые гаубицы.</w:t>
      </w:r>
    </w:p>
    <w:p w14:paraId="547DE676"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и этому дуплексу были присущи все недостат</w:t>
      </w:r>
      <w:r w:rsidRPr="00D03F3E">
        <w:rPr>
          <w:rFonts w:ascii="Times New Roman" w:hAnsi="Times New Roman"/>
          <w:color w:val="000000" w:themeColor="text1"/>
          <w:sz w:val="16"/>
          <w:szCs w:val="16"/>
        </w:rPr>
        <w:softHyphen/>
        <w:t>ки, что и рассмотренным ранее. Кроме того, ввиду боль</w:t>
      </w:r>
      <w:r w:rsidRPr="00D03F3E">
        <w:rPr>
          <w:rFonts w:ascii="Times New Roman" w:hAnsi="Times New Roman"/>
          <w:color w:val="000000" w:themeColor="text1"/>
          <w:sz w:val="16"/>
          <w:szCs w:val="16"/>
        </w:rPr>
        <w:softHyphen/>
        <w:t>шего усилия, требующегося для «закусывания» ведущих поясков в нарезах 152-мм гаубицы, увеличилась вероят</w:t>
      </w:r>
      <w:r w:rsidRPr="00D03F3E">
        <w:rPr>
          <w:rFonts w:ascii="Times New Roman" w:hAnsi="Times New Roman"/>
          <w:color w:val="000000" w:themeColor="text1"/>
          <w:sz w:val="16"/>
          <w:szCs w:val="16"/>
        </w:rPr>
        <w:softHyphen/>
        <w:t>ность разрыва казенной части орудия из-за недосыла сна</w:t>
      </w:r>
      <w:r w:rsidRPr="00D03F3E">
        <w:rPr>
          <w:rFonts w:ascii="Times New Roman" w:hAnsi="Times New Roman"/>
          <w:color w:val="000000" w:themeColor="text1"/>
          <w:sz w:val="16"/>
          <w:szCs w:val="16"/>
        </w:rPr>
        <w:softHyphen/>
        <w:t>ряда и нарушения зарядного отношения. Дополнитель</w:t>
      </w:r>
      <w:r w:rsidRPr="00D03F3E">
        <w:rPr>
          <w:rFonts w:ascii="Times New Roman" w:hAnsi="Times New Roman"/>
          <w:color w:val="000000" w:themeColor="text1"/>
          <w:sz w:val="16"/>
          <w:szCs w:val="16"/>
        </w:rPr>
        <w:softHyphen/>
        <w:t>ным отрицательным моментом для этого орудия было на</w:t>
      </w:r>
      <w:r w:rsidRPr="00D03F3E">
        <w:rPr>
          <w:rFonts w:ascii="Times New Roman" w:hAnsi="Times New Roman"/>
          <w:color w:val="000000" w:themeColor="text1"/>
          <w:sz w:val="16"/>
          <w:szCs w:val="16"/>
        </w:rPr>
        <w:softHyphen/>
        <w:t>личие у него дульного тормоза.</w:t>
      </w:r>
    </w:p>
    <w:p w14:paraId="7CFF214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Здесь надо отметить, что в указанное время рассмат</w:t>
      </w:r>
      <w:r w:rsidRPr="00D03F3E">
        <w:rPr>
          <w:rFonts w:ascii="Times New Roman" w:hAnsi="Times New Roman"/>
          <w:color w:val="000000" w:themeColor="text1"/>
          <w:sz w:val="16"/>
          <w:szCs w:val="16"/>
        </w:rPr>
        <w:softHyphen/>
        <w:t>ривалось вооружение танка Т-34 также штурмовым ору</w:t>
      </w:r>
      <w:r w:rsidRPr="00D03F3E">
        <w:rPr>
          <w:rFonts w:ascii="Times New Roman" w:hAnsi="Times New Roman"/>
          <w:color w:val="000000" w:themeColor="text1"/>
          <w:sz w:val="16"/>
          <w:szCs w:val="16"/>
        </w:rPr>
        <w:softHyphen/>
        <w:t>дием У-11 и Д-6 в башенных установках соответственно У-37 УЗМТ и Д-11 завода № 9. Однако в виду необходи</w:t>
      </w:r>
      <w:r w:rsidRPr="00D03F3E">
        <w:rPr>
          <w:rFonts w:ascii="Times New Roman" w:hAnsi="Times New Roman"/>
          <w:color w:val="000000" w:themeColor="text1"/>
          <w:sz w:val="16"/>
          <w:szCs w:val="16"/>
        </w:rPr>
        <w:softHyphen/>
        <w:t>мости размещения в тесном боевом отделении башни трех членов экипажа (предполагалось что во время стрельбы стрелок-радист танка будет правым заряжающим 122-мм гаубицы), высокой стоимости танка и малой эффектив</w:t>
      </w:r>
      <w:r w:rsidRPr="00D03F3E">
        <w:rPr>
          <w:rFonts w:ascii="Times New Roman" w:hAnsi="Times New Roman"/>
          <w:color w:val="000000" w:themeColor="text1"/>
          <w:sz w:val="16"/>
          <w:szCs w:val="16"/>
        </w:rPr>
        <w:softHyphen/>
        <w:t>ности стрельбы из гаубицы по танкам противника, отдан</w:t>
      </w:r>
      <w:r w:rsidRPr="00D03F3E">
        <w:rPr>
          <w:rFonts w:ascii="Times New Roman" w:hAnsi="Times New Roman"/>
          <w:color w:val="000000" w:themeColor="text1"/>
          <w:sz w:val="16"/>
          <w:szCs w:val="16"/>
        </w:rPr>
        <w:softHyphen/>
        <w:t>ных проектов отказались в пользу применения самоход</w:t>
      </w:r>
      <w:r w:rsidRPr="00D03F3E">
        <w:rPr>
          <w:rFonts w:ascii="Times New Roman" w:hAnsi="Times New Roman"/>
          <w:color w:val="000000" w:themeColor="text1"/>
          <w:sz w:val="16"/>
          <w:szCs w:val="16"/>
        </w:rPr>
        <w:softHyphen/>
        <w:t>ных установок СУ-122, серийное производство которых уже велось на Уралмашзаводе (11135).</w:t>
      </w:r>
    </w:p>
    <w:p w14:paraId="62AC3D3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B454A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на Софринском полигоне демонстрировались 11 образцов техники, предназначенных для вооружения партизанских отрядов. Среди них 50 мм миномёт – ружьё Гвая, облегчённый миномёт Шавырина, заряды для подрыва рельсов, диверсионные мины, малая неизвлекаемая мина.</w:t>
      </w:r>
    </w:p>
    <w:p w14:paraId="1520219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Тогда же, с целью увеличения объёмов производства необходимых фронту боеприпасов на полигоне отрабатывались артиллерийские снаряды и мины из сталистого чугуна с минимальной механической обработкой.</w:t>
      </w:r>
    </w:p>
    <w:p w14:paraId="0CB5B46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Многие виды боевой техники, которые сначала упоминались в технических отчётах по испытаниям на Софринском артиллерийском полигоне, фигурировали затем в </w:t>
      </w:r>
      <w:r w:rsidRPr="00D03F3E">
        <w:rPr>
          <w:rFonts w:ascii="Times New Roman" w:hAnsi="Times New Roman"/>
          <w:color w:val="000000" w:themeColor="text1"/>
          <w:sz w:val="16"/>
          <w:szCs w:val="16"/>
        </w:rPr>
        <w:lastRenderedPageBreak/>
        <w:t>сводках Совинформбюро об успешном применении их воинами Красной Армии в битвах под Москвой, Сталинградом, Курском, Кёнигсбергом и Берлином.</w:t>
      </w:r>
    </w:p>
    <w:p w14:paraId="31D6109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Софринский полигон положил начало созданию методов испытаний образцов реактивной техники. Впоследствии при создании специальных полигонов по испытаниям образцов реактивного вооружения им передавались разработанные на Софринском полигоне методики проведения таких испытаний и опыт их организации.</w:t>
      </w:r>
    </w:p>
    <w:p w14:paraId="7C46FD1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Самоотверженно трудились сотрудники Софринского артиллерийского полигона при испытаниях различных образцов военной техники. За время войны полигон обеспечил потребности 208 заводов, 10 конструкторских бюро, 12 научно-исследовательских институтов и 12 других организаций.</w:t>
      </w:r>
    </w:p>
    <w:p w14:paraId="4A67665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успешное выполнение заданий Государственного комитета обороны в годы Великой Отечественной войны большая группа работников Софринского артиллерийского полигона в 1945 году была награждена орденами и медалями, в их числе Д.И.Иванов, А.Е.Ряпитов. Ф.И.Панчук, А.М.Чувашова, В.Ф.Соколов, А.В.Пегасов, Н.А.Тураев, Н.М.Лубяный, И.И.Марков, О.П.Фёдорова, Д.М.Титов и др.</w:t>
      </w:r>
    </w:p>
    <w:p w14:paraId="7BCD160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окончания Великой Отечественной войны в рамках конверсии полигон был передан в ведение Министерства сельского хозяйства для организации производства в его цехах сельскохозяйственных комбайнов. Однако международная обстановка потребовала продолжить развитие полигона как уникального предприятия оборонной отрасли промышленности. Создались предпосылки для перехода от контрольно испытательных работ к научно-исследовательским. Возросло количество научно-исследовательских институтов проводящих испытания на предприятии. Продолжилась разработка новых реактивных снарядов. Создавались дальнобойные снаряды для ВВС, ВМФ, инженерных войск. Даже для гражданских нужд были отработаны и приняты к серийному производству противоградовые ракеты. Эти снаряды разрабатывались вновь организованными специальными научно-исследовательскими институтами и конструкторскими бюро (НИО-1, НИИ-125, и др.) В процессе создания новых ракет и их элементов на полигоне разрабатывались и осваивались новые методы испытаний: методика стрельбы с самолётов по наземным мишеням, стрельба по сетчатым щитам, стрельба и подрывы по самолётным конструкциям. Наземные испытания головных частей ракет. На полигоне вновь появился С.П.Королёв, который ещё с довоенных времён хорошо знавший его возможности и заинтересованный непосредственной близостью к его производственной базе. Началось активное строительство принципиально новой испытательной базы для проведения испытаний крупногабаритной ракетной техники.</w:t>
      </w:r>
    </w:p>
    <w:p w14:paraId="05D3EEC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1948 году были построены стенды для наземных огневых испытаний пороховых двигателей с тягой до 60 тонн и стенд для испытаний жидкостных ракетных двигателей по тематике КБ-2. Был отработан стартовый двигатель конструкции В.Н.Челомея.</w:t>
      </w:r>
    </w:p>
    <w:p w14:paraId="2E7B29A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1949 году начато строительство аэродинамической лаборатории на которой в последствии были получены уникальные данные и созданы аэродинамические таблицы для проектирования различных типов боеприпасов.</w:t>
      </w:r>
    </w:p>
    <w:p w14:paraId="45FA70D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1960 году было начато строительство стендовой базы для отработки смесевого твёрдого ракетного топлива и твердотопливных ракетных двигателей. В 1961 году на предприятии было проведено первое в нашей стране огневое стендовое испытание двигательной установки первой твердотопливной ракеты РТ-1 (8К95). разработанной С.П.Королёвым. В результате проведённых экспериментальных исследований РТ-1 претерпела ряд модификаций и явилась базой для создания последующей твердотопливной ракеты С.П.Королёва РТ-2 (8К98) принятой на вооружение Советской Армией.</w:t>
      </w:r>
    </w:p>
    <w:p w14:paraId="33C8D62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послевоенные годы предприятие активно сортрудничает со многими организациями, которые у нас на испытаниях лично представляли академики С.П.Королёв, В.П.Велихов, Б.П.Жуков, Я.В.Зельдович, В.П.Бармин, М.А.Лавреньев, Л.М.Прохоров, А.П.Александров, А.Н.Туполев, С.А.Христианович, Я.Б.Зельдович, В.Н.Челомей, М.Д.Милионщиков, А.Д.Надирадзе, Б.Н.Лагутин и другие учёные, руководители предприятий и специалисты.</w:t>
      </w:r>
    </w:p>
    <w:p w14:paraId="3ACB95E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Важнейшие вопросы развития вооружения и военной техники решались на полигоне в присутствии и с непосредственным участием министров обороны - маршалов Г.К.Жукова, А.А.Гречко, Р.Я.Малиновского, Д.Ф.Уститнова, начальника ГРАУ – маршала артиллерии П.Н.Кулешова, а также министров оборонных отраслей промышленности С.А.Зверева, В.В.Бахирева, А.П.Славского, Б.М.Белоусова, З.П.Пака и других.</w:t>
      </w:r>
    </w:p>
    <w:p w14:paraId="2F4226D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годы своего существования предприятие отработало тысячи новейших видов артиллерийского и ракетного вооружения, военной техники и боеприпасов, межконтинентальных баллистических твердотопливных ракет, снарядов к ствольным и реактивным системам залпового огня, средств ближнего боя.</w:t>
      </w:r>
    </w:p>
    <w:p w14:paraId="17D9E0B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годы существования полигона на нем были отработаны тысячи образцов боеприпасов, вооружения и военной техники, включая практически все артиллерийские системы в том числе «Пион», «Гиацинт», «Тюльпан» и др., реактивные системы залпового огня такие как «Катюша», «Град», «Ураган», «Дамба», «Буратино», а также твёрдотопливные ракетные двигатели к ракетным комплексам стратегического назначения 8К98, «Темп», «Темп-С», «Тополь», «Тополь-М» и др., тактического назначения «Точка», «Луна», «Ока» и др., проводилась отработка торпедного двигателя на гидрореагирующем твёрдом топливе для непревзойдённой до настоящего времени торпеды «Шквал», боевые части к ракетам «Луна», «Точка», «Ока», «Нерпа» и боевые части систем противовоздушной и противоракетной обороны начиная с систем С-25, С-75, С-300, С-400 и системы С-500 в настоящее время.</w:t>
      </w:r>
    </w:p>
    <w:p w14:paraId="1C8EFD6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 разработку и внедрение новой техники свыше 300 работников предприятия награждены орденами и медалями, 11 специалистам присвоено почётное звание Лауреата Государственной премии СССР, 12 специалистам – звание Лауреата премии Ленинского Комсомола, 3 сотрудника награждены золотой, 21 –серебряной, 13 – бронзовой медалями ВДНХ.</w:t>
      </w:r>
    </w:p>
    <w:p w14:paraId="349B932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августа 1982 г. за большой вклад в разработку, проведение испытаний и освоение серийного производства новейших образцов техники предприятие было награждено орденом Трудового Красного Знамени (12071).</w:t>
      </w:r>
    </w:p>
    <w:p w14:paraId="4F6A523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E096D1" w14:textId="77777777" w:rsidR="00DA09C1" w:rsidRPr="00D03F3E" w:rsidRDefault="00DA09C1"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с возвращением завода из эвакуации из Билимбая в Москву, при помощи работников ЦК И.Д.Сербина и А.Ф. Федотикова, получили достаточное количество штатных патронов противотанкового ружья и стали вести стрельбу «жидким порохом» уже по бронеплитам бронебойно-зажигательными пулями. Доведя толщину пробиваемых плит до 45 мм, зарядом из 4 грамм керосина и 15 грамм азотной кислоты, вместо 32 граммов штатного порохового заряда, мы составили подробный отчет и послали его Сталину.</w:t>
      </w:r>
    </w:p>
    <w:p w14:paraId="0F06A86B" w14:textId="77777777" w:rsidR="00DA09C1" w:rsidRPr="00D03F3E" w:rsidRDefault="00DA09C1" w:rsidP="00D03F3E">
      <w:pPr>
        <w:shd w:val="clear" w:color="auto" w:fill="FFFFFF"/>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Вскоре в Наркомате вооружений под председательством генерала А.А.Толочкова было проведено межведомственное совещание с участием представителей наркоматов авиапромышленности, вооружений, боеприпасов и Артиллерийского комитета. Было вынесено решение: НКАЛу — представить в Наркомат вооружений рабочие чертежи и техусловия на изготовление опытной установки для изучения внутренней баллистики ЖАО; Наркомату вооружений — изготовить на одном из своих заводов установку и передать ее в Наркомат боеприпасов на исследования. Общее научное руководство всей работой, насколько-помню, совещание возложило на Артком (12579).</w:t>
      </w:r>
    </w:p>
    <w:p w14:paraId="0D77D835" w14:textId="77777777" w:rsidR="00DA09C1" w:rsidRPr="00D03F3E" w:rsidRDefault="00DA09C1" w:rsidP="00D03F3E">
      <w:pPr>
        <w:shd w:val="clear" w:color="auto" w:fill="FFFFFF"/>
        <w:spacing w:after="0" w:line="240" w:lineRule="auto"/>
        <w:jc w:val="both"/>
        <w:rPr>
          <w:rFonts w:ascii="Times New Roman" w:hAnsi="Times New Roman"/>
          <w:color w:val="000000" w:themeColor="text1"/>
          <w:sz w:val="16"/>
          <w:szCs w:val="16"/>
        </w:rPr>
      </w:pPr>
    </w:p>
    <w:p w14:paraId="49AE19B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на Т-34 на "Красном Сормове" начали устанавливать командирскую башенку. Уралмаш предложил свой вариант башенки - штампованной. Но ее отвергли. В таком виде танк Т-34 состоял в серийном производстве до середины 1944 года, причем дольше всех его выпускал завод №174 в Омске. Завод "Красное Сормово", в свою очередь, выпустил 68 танков Т-34, корпуса и башня которых были оборудованы фальшбортами. Предполагалось, что они защитят танки от немецких кумулятивных снарядов. Однако проверить это не удалось - в первом же бою почти все экранированные таким образом боевые машины были подбиты обычными бронебойными снарядами 75-мм противотанковых пушек противника (3862).</w:t>
      </w:r>
    </w:p>
    <w:p w14:paraId="371E08C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439F1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на Гороховецком полигоне под Горьким были испытаны Т-34 с установленной в штатной башне новой пушкой. Результаты были неудовлетворительными. Два человека в башне не могли успешно обслуживать пушку. Значительно уменьшился боекомплект (3905).</w:t>
      </w:r>
    </w:p>
    <w:p w14:paraId="3B3A5B2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7599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с целью усиления броневой защиты танка Т-34 на НИБТ полигоне были проведены испытания двух танков Т-34-76 оборудованных железобетонными и песочными (с каркасом из листового железа) экранами. Применение предложенных известным изобретате</w:t>
      </w:r>
      <w:r w:rsidRPr="00D03F3E">
        <w:rPr>
          <w:rFonts w:ascii="Times New Roman" w:hAnsi="Times New Roman"/>
          <w:color w:val="000000" w:themeColor="text1"/>
          <w:sz w:val="16"/>
          <w:szCs w:val="16"/>
        </w:rPr>
        <w:softHyphen/>
        <w:t>лем майором Н.Ф. Цыгановым способов защиты привело к увеличению массы танка на 23 - 38%, резкому снижению подвижности боевой ма</w:t>
      </w:r>
      <w:r w:rsidRPr="00D03F3E">
        <w:rPr>
          <w:rFonts w:ascii="Times New Roman" w:hAnsi="Times New Roman"/>
          <w:color w:val="000000" w:themeColor="text1"/>
          <w:sz w:val="16"/>
          <w:szCs w:val="16"/>
        </w:rPr>
        <w:softHyphen/>
        <w:t>шины и эффективности применения ее вооружения. Кроме того, суще</w:t>
      </w:r>
      <w:r w:rsidRPr="00D03F3E">
        <w:rPr>
          <w:rFonts w:ascii="Times New Roman" w:hAnsi="Times New Roman"/>
          <w:color w:val="000000" w:themeColor="text1"/>
          <w:sz w:val="16"/>
          <w:szCs w:val="16"/>
        </w:rPr>
        <w:softHyphen/>
        <w:t>ственно возросла нагрузка на узлы и агрегаты трансмиссии и элементы вдовой части танка (10703).</w:t>
      </w:r>
    </w:p>
    <w:p w14:paraId="22C56DD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14C05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на НИБТ полигоне под руководством майора Н.Ф. Цы</w:t>
      </w:r>
      <w:r w:rsidRPr="00D03F3E">
        <w:rPr>
          <w:rFonts w:ascii="Times New Roman" w:hAnsi="Times New Roman"/>
          <w:color w:val="000000" w:themeColor="text1"/>
          <w:sz w:val="16"/>
          <w:szCs w:val="16"/>
        </w:rPr>
        <w:softHyphen/>
        <w:t>ганова были проведены опытные работы по установке на танки Т-34 эк</w:t>
      </w:r>
      <w:r w:rsidRPr="00D03F3E">
        <w:rPr>
          <w:rFonts w:ascii="Times New Roman" w:hAnsi="Times New Roman"/>
          <w:color w:val="000000" w:themeColor="text1"/>
          <w:sz w:val="16"/>
          <w:szCs w:val="16"/>
        </w:rPr>
        <w:softHyphen/>
        <w:t>ранов из песочных и железобетонных конструкций с каркасом из листо</w:t>
      </w:r>
      <w:r w:rsidRPr="00D03F3E">
        <w:rPr>
          <w:rFonts w:ascii="Times New Roman" w:hAnsi="Times New Roman"/>
          <w:color w:val="000000" w:themeColor="text1"/>
          <w:sz w:val="16"/>
          <w:szCs w:val="16"/>
        </w:rPr>
        <w:softHyphen/>
        <w:t>вого железа. Однако это привело к увеличению массы танка соответст</w:t>
      </w:r>
      <w:r w:rsidRPr="00D03F3E">
        <w:rPr>
          <w:rFonts w:ascii="Times New Roman" w:hAnsi="Times New Roman"/>
          <w:color w:val="000000" w:themeColor="text1"/>
          <w:sz w:val="16"/>
          <w:szCs w:val="16"/>
        </w:rPr>
        <w:softHyphen/>
        <w:t>венно на 23% и 38% и резкому снижению подвижности боевой машины, поэтому дальнейшие работы в этом направлении не проводились (10703).</w:t>
      </w:r>
    </w:p>
    <w:p w14:paraId="362338D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47B61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и осенью 1943 года были проведены конкурсные испытания 85-мм танковых пушек, специально сконструированных для Т-34: С-50, С-53 и ЛБ-1. Все они имели баллистику и боеприпасы пушки 52К. По результатам испытаний лучшей была признана пушка С-53</w:t>
      </w:r>
    </w:p>
    <w:p w14:paraId="5A2270F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работы над совершенствованием гаубичной САУ продолжились. Теперь КБ УЗТМ унифицировало конструкцию новой 122-мм самоходной гаубицы Д-6 с конструкцией 85-мм самоходной противотанковой пушки Д-5 (4017).</w:t>
      </w:r>
    </w:p>
    <w:p w14:paraId="7654AC4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62851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СКБ НКСП в соответствии с постановлением ГКО от 28 июля 1943 г. приступило к проектированию и изготовлению опытных образцов стабилизаторов пушек средних танков по ТТТ, выданных ГБТУ РККА. Аналогичные работы были развернуты и в академии БТ и МВ, где под руководством начальника кафедры электрооборудования инже</w:t>
      </w:r>
      <w:r w:rsidRPr="00D03F3E">
        <w:rPr>
          <w:rFonts w:ascii="Times New Roman" w:hAnsi="Times New Roman"/>
          <w:color w:val="000000" w:themeColor="text1"/>
          <w:sz w:val="16"/>
          <w:szCs w:val="16"/>
        </w:rPr>
        <w:softHyphen/>
        <w:t>нер-полковника М.М. Лихачева был разработан проект стабилизатора пушки, который предусматривал стабилизацию самого орудия, а не линии прицеливания в прицеле наводчика. Конструктивные трудности по стабилизации всей башни танка с экипажем и вооружением заставили разработчиков ограничиться только стабилизацией основного оружия танка в плоскости стрельбы (10703).</w:t>
      </w:r>
    </w:p>
    <w:p w14:paraId="4397FCD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CBED9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совместны</w:t>
      </w:r>
      <w:r w:rsidRPr="00D03F3E">
        <w:rPr>
          <w:rFonts w:ascii="Times New Roman" w:hAnsi="Times New Roman"/>
          <w:color w:val="000000" w:themeColor="text1"/>
          <w:sz w:val="16"/>
          <w:szCs w:val="16"/>
        </w:rPr>
        <w:softHyphen/>
        <w:t>ми усилиями ЧКЗ и ЦАКБ НКВ был создан Танк КВ-122 с гаубицей С-41. Изготовление опытного образца было связано с проработкой вопроса о возможности установки на тяжелом серийном танке мощного оружия, предназначавшегося для разрушения фортификационных сооружений противника. Осенью 1943 г. работы по установке в башню танка КВ 122-мм гаубицы, ввиду неперспективнос</w:t>
      </w:r>
      <w:r w:rsidRPr="00D03F3E">
        <w:rPr>
          <w:rFonts w:ascii="Times New Roman" w:hAnsi="Times New Roman"/>
          <w:color w:val="000000" w:themeColor="text1"/>
          <w:sz w:val="16"/>
          <w:szCs w:val="16"/>
        </w:rPr>
        <w:softHyphen/>
        <w:t>ти, приказом НКВ РККА были прекращены. Опытный образец танка был создан на базе серийного танка КВ-1С и отличался от него установкой в модернизированной башне 122-мм га</w:t>
      </w:r>
      <w:r w:rsidRPr="00D03F3E">
        <w:rPr>
          <w:rFonts w:ascii="Times New Roman" w:hAnsi="Times New Roman"/>
          <w:color w:val="000000" w:themeColor="text1"/>
          <w:sz w:val="16"/>
          <w:szCs w:val="16"/>
        </w:rPr>
        <w:softHyphen/>
        <w:t>убицы С-41 конструкции и производства завода ЦАКБ НКВ. Танк имел классическую схему общей компоновки. По конструкции его корпус был разделен на четыре отделения: управления, боевое, моторное и трансмиссионное (10703).</w:t>
      </w:r>
    </w:p>
    <w:p w14:paraId="0266B51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3EEBA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конструкторским бюро ОКБ-172 по заданию технического совета НКВ РККА был разработан проект повышения мощности пушки Ф-34 путем улучше</w:t>
      </w:r>
      <w:r w:rsidRPr="00D03F3E">
        <w:rPr>
          <w:rFonts w:ascii="Times New Roman" w:hAnsi="Times New Roman"/>
          <w:color w:val="000000" w:themeColor="text1"/>
          <w:sz w:val="16"/>
          <w:szCs w:val="16"/>
        </w:rPr>
        <w:softHyphen/>
        <w:t>ния ее баллистики. Однако повышение мощности пушки было незначи</w:t>
      </w:r>
      <w:r w:rsidRPr="00D03F3E">
        <w:rPr>
          <w:rFonts w:ascii="Times New Roman" w:hAnsi="Times New Roman"/>
          <w:color w:val="000000" w:themeColor="text1"/>
          <w:sz w:val="16"/>
          <w:szCs w:val="16"/>
        </w:rPr>
        <w:softHyphen/>
        <w:t>тельным (примерно на 20%) и не обеспечивало успешной борьбы с тя</w:t>
      </w:r>
      <w:r w:rsidRPr="00D03F3E">
        <w:rPr>
          <w:rFonts w:ascii="Times New Roman" w:hAnsi="Times New Roman"/>
          <w:color w:val="000000" w:themeColor="text1"/>
          <w:sz w:val="16"/>
          <w:szCs w:val="16"/>
        </w:rPr>
        <w:softHyphen/>
        <w:t>желыми танками противника. На базе танковой пушки Ф-34 осенью 1943 г. ЦАКБ (Подлипки Московской области) разработало 76,2-мм пушку С-54 с длиной ствола 55 калибров и баллистикой зенитной пушки обр. 1931/38 гг. Испытания пушки были проведены в ноябре 1943 г. и она была рекомендована к принятию на вооружение. Однако в соответствии с принятым решением о вооружении танка Т-34 танковой пушкой калибра 85 мм необходи</w:t>
      </w:r>
      <w:r w:rsidRPr="00D03F3E">
        <w:rPr>
          <w:rFonts w:ascii="Times New Roman" w:hAnsi="Times New Roman"/>
          <w:color w:val="000000" w:themeColor="text1"/>
          <w:sz w:val="16"/>
          <w:szCs w:val="16"/>
        </w:rPr>
        <w:softHyphen/>
        <w:t>мость в доработке 76,2-мм пушки С-54 отпала. В 1943 - 1944 гг. ОКБ за</w:t>
      </w:r>
      <w:r w:rsidRPr="00D03F3E">
        <w:rPr>
          <w:rFonts w:ascii="Times New Roman" w:hAnsi="Times New Roman"/>
          <w:color w:val="000000" w:themeColor="text1"/>
          <w:sz w:val="16"/>
          <w:szCs w:val="16"/>
        </w:rPr>
        <w:softHyphen/>
        <w:t>вода "Большевик" были разработаны две 76,2-мм танковые пушки боль</w:t>
      </w:r>
      <w:r w:rsidRPr="00D03F3E">
        <w:rPr>
          <w:rFonts w:ascii="Times New Roman" w:hAnsi="Times New Roman"/>
          <w:color w:val="000000" w:themeColor="text1"/>
          <w:sz w:val="16"/>
          <w:szCs w:val="16"/>
        </w:rPr>
        <w:softHyphen/>
        <w:t>шой мощности - В8 и В8К (К - конический канал ствола), но из-за их высокой стоимости дальнейшего развития эти пушки не получили. Работы по совершенствованию основного танкового оружия про</w:t>
      </w:r>
      <w:r w:rsidRPr="00D03F3E">
        <w:rPr>
          <w:rFonts w:ascii="Times New Roman" w:hAnsi="Times New Roman"/>
          <w:color w:val="000000" w:themeColor="text1"/>
          <w:sz w:val="16"/>
          <w:szCs w:val="16"/>
        </w:rPr>
        <w:softHyphen/>
        <w:t>должались. В ноябре 1943 г. завод № 92 изготовил два опытных образ</w:t>
      </w:r>
      <w:r w:rsidRPr="00D03F3E">
        <w:rPr>
          <w:rFonts w:ascii="Times New Roman" w:hAnsi="Times New Roman"/>
          <w:color w:val="000000" w:themeColor="text1"/>
          <w:sz w:val="16"/>
          <w:szCs w:val="16"/>
        </w:rPr>
        <w:softHyphen/>
        <w:t>ца 85-мм танковой пушки ЗИС-7. Новое орудие отличалось от пушки Д-5Т-85 конструкцией противооткатных устройств, схема которых бы</w:t>
      </w:r>
      <w:r w:rsidRPr="00D03F3E">
        <w:rPr>
          <w:rFonts w:ascii="Times New Roman" w:hAnsi="Times New Roman"/>
          <w:color w:val="000000" w:themeColor="text1"/>
          <w:sz w:val="16"/>
          <w:szCs w:val="16"/>
        </w:rPr>
        <w:softHyphen/>
        <w:t>ла заимствована у 76,2-мм пушки Ф-34. На серийное производство пушка ЗИС-7 не поступала. ЦАКБ НКВ и завод № 92 в октябре - ноябре 1943 г. разработали и предложили на испытания три образца 85-мм танковых пушек (С-53, С-50 и ЛБ-1), специально рассчитанных для установки в танк Т-34. Пушки испытания не выдержали, однако было принято решение о про</w:t>
      </w:r>
      <w:r w:rsidRPr="00D03F3E">
        <w:rPr>
          <w:rFonts w:ascii="Times New Roman" w:hAnsi="Times New Roman"/>
          <w:color w:val="000000" w:themeColor="text1"/>
          <w:sz w:val="16"/>
          <w:szCs w:val="16"/>
        </w:rPr>
        <w:softHyphen/>
        <w:t>изводстве на заводе № 92 пушки С-53, наиболее полно отвечавшей тре</w:t>
      </w:r>
      <w:r w:rsidRPr="00D03F3E">
        <w:rPr>
          <w:rFonts w:ascii="Times New Roman" w:hAnsi="Times New Roman"/>
          <w:color w:val="000000" w:themeColor="text1"/>
          <w:sz w:val="16"/>
          <w:szCs w:val="16"/>
        </w:rPr>
        <w:softHyphen/>
        <w:t>бованиям по размещению в танке Т-34.1 января 1944 г. пушка С-53 бы</w:t>
      </w:r>
      <w:r w:rsidRPr="00D03F3E">
        <w:rPr>
          <w:rFonts w:ascii="Times New Roman" w:hAnsi="Times New Roman"/>
          <w:color w:val="000000" w:themeColor="text1"/>
          <w:sz w:val="16"/>
          <w:szCs w:val="16"/>
        </w:rPr>
        <w:softHyphen/>
        <w:t>ла принята на вооружение. При постановке на производство эта пушка заводом № 92 была переработана и поэтому получила наименование ЗИС-С-53. Эта пушка постановлением ГКО от 23 января 1944 г. была принята на вооружение танка Т-34-85 обр. 1944 г., а затем и среднего танка Т-44 (10703).</w:t>
      </w:r>
    </w:p>
    <w:p w14:paraId="3DE368D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3AFF8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конструкторским бюро ОКБ-172 по заданию технического совета НКВ РККА был разработан проект повышения мощности пушки Ф-34 путем улучше</w:t>
      </w:r>
      <w:r w:rsidRPr="00D03F3E">
        <w:rPr>
          <w:rFonts w:ascii="Times New Roman" w:hAnsi="Times New Roman"/>
          <w:color w:val="000000" w:themeColor="text1"/>
          <w:sz w:val="16"/>
          <w:szCs w:val="16"/>
        </w:rPr>
        <w:softHyphen/>
        <w:t>ния ее баллистики. Однако повышение мощности пушки было незначи</w:t>
      </w:r>
      <w:r w:rsidRPr="00D03F3E">
        <w:rPr>
          <w:rFonts w:ascii="Times New Roman" w:hAnsi="Times New Roman"/>
          <w:color w:val="000000" w:themeColor="text1"/>
          <w:sz w:val="16"/>
          <w:szCs w:val="16"/>
        </w:rPr>
        <w:softHyphen/>
        <w:t>тельным (примерно на 20%) и не обеспечивало успешной борьбы с тя</w:t>
      </w:r>
      <w:r w:rsidRPr="00D03F3E">
        <w:rPr>
          <w:rFonts w:ascii="Times New Roman" w:hAnsi="Times New Roman"/>
          <w:color w:val="000000" w:themeColor="text1"/>
          <w:sz w:val="16"/>
          <w:szCs w:val="16"/>
        </w:rPr>
        <w:softHyphen/>
        <w:t>желыми танками противника. На базе танковой пушки Ф-34 осенью 1943 г. ЦАКБ (Подлипки Московской области) разработало 76,2-мм пушку С-54 с длиной ствола 55 калибров и баллистикой зенитной пушки обр. 1931/38 гг. Испытания пушки были проведены в ноябре 1943 г. и она была рекомендована к принятию на вооружение. Однако в соответствии с принятым решением о вооружении танка Т-34 танковой пушкой калибра 85 мм необходи</w:t>
      </w:r>
      <w:r w:rsidRPr="00D03F3E">
        <w:rPr>
          <w:rFonts w:ascii="Times New Roman" w:hAnsi="Times New Roman"/>
          <w:color w:val="000000" w:themeColor="text1"/>
          <w:sz w:val="16"/>
          <w:szCs w:val="16"/>
        </w:rPr>
        <w:softHyphen/>
        <w:t>мость в доработке 76,2-мм пушки С-54 отпала. В 1943 - 1944 гг. ОКБ за</w:t>
      </w:r>
      <w:r w:rsidRPr="00D03F3E">
        <w:rPr>
          <w:rFonts w:ascii="Times New Roman" w:hAnsi="Times New Roman"/>
          <w:color w:val="000000" w:themeColor="text1"/>
          <w:sz w:val="16"/>
          <w:szCs w:val="16"/>
        </w:rPr>
        <w:softHyphen/>
        <w:t>вода "Большевик" были разработаны две 76,2-мм танковые пушки боль</w:t>
      </w:r>
      <w:r w:rsidRPr="00D03F3E">
        <w:rPr>
          <w:rFonts w:ascii="Times New Roman" w:hAnsi="Times New Roman"/>
          <w:color w:val="000000" w:themeColor="text1"/>
          <w:sz w:val="16"/>
          <w:szCs w:val="16"/>
        </w:rPr>
        <w:softHyphen/>
        <w:t>шой мощности - В8 и В8К (К - конический канал ствола), но из-за их высокой стоимости дальнейшего развития эти пушки не получили. Работы по совершенствованию основного танкового оружия про</w:t>
      </w:r>
      <w:r w:rsidRPr="00D03F3E">
        <w:rPr>
          <w:rFonts w:ascii="Times New Roman" w:hAnsi="Times New Roman"/>
          <w:color w:val="000000" w:themeColor="text1"/>
          <w:sz w:val="16"/>
          <w:szCs w:val="16"/>
        </w:rPr>
        <w:softHyphen/>
        <w:t>должались. В ноябре 1943 г. завод № 92 изготовил два опытных образ</w:t>
      </w:r>
      <w:r w:rsidRPr="00D03F3E">
        <w:rPr>
          <w:rFonts w:ascii="Times New Roman" w:hAnsi="Times New Roman"/>
          <w:color w:val="000000" w:themeColor="text1"/>
          <w:sz w:val="16"/>
          <w:szCs w:val="16"/>
        </w:rPr>
        <w:softHyphen/>
        <w:t>ца 85-мм танковой пушки ЗИС-7. Новое орудие отличалось от пушки Д-5Т-85 конструкцией противооткатных устройств, схема которых бы</w:t>
      </w:r>
      <w:r w:rsidRPr="00D03F3E">
        <w:rPr>
          <w:rFonts w:ascii="Times New Roman" w:hAnsi="Times New Roman"/>
          <w:color w:val="000000" w:themeColor="text1"/>
          <w:sz w:val="16"/>
          <w:szCs w:val="16"/>
        </w:rPr>
        <w:softHyphen/>
        <w:t>ла заимствована у 76,2-мм пушки Ф-34. На серийное производство пушка ЗИС-7 не поступала. ЦАКБ НКВ и завод № 92 в октябре - ноябре 1943 г. разработали и предложили на испытания три образца 85-мм танковых пушек (С-53, С-50 и ЛБ-1), специально рассчитанных для установки в танк Т-34. Пушки испытания не выдержали, однако было принято решение о про</w:t>
      </w:r>
      <w:r w:rsidRPr="00D03F3E">
        <w:rPr>
          <w:rFonts w:ascii="Times New Roman" w:hAnsi="Times New Roman"/>
          <w:color w:val="000000" w:themeColor="text1"/>
          <w:sz w:val="16"/>
          <w:szCs w:val="16"/>
        </w:rPr>
        <w:softHyphen/>
        <w:t>изводстве на заводе № 92 пушки С-53, наиболее полно отвечавшей тре</w:t>
      </w:r>
      <w:r w:rsidRPr="00D03F3E">
        <w:rPr>
          <w:rFonts w:ascii="Times New Roman" w:hAnsi="Times New Roman"/>
          <w:color w:val="000000" w:themeColor="text1"/>
          <w:sz w:val="16"/>
          <w:szCs w:val="16"/>
        </w:rPr>
        <w:softHyphen/>
        <w:t>бованиям по размещению в танке Т-34.1 января 1944 г. пушка С-53 бы</w:t>
      </w:r>
      <w:r w:rsidRPr="00D03F3E">
        <w:rPr>
          <w:rFonts w:ascii="Times New Roman" w:hAnsi="Times New Roman"/>
          <w:color w:val="000000" w:themeColor="text1"/>
          <w:sz w:val="16"/>
          <w:szCs w:val="16"/>
        </w:rPr>
        <w:softHyphen/>
        <w:t>ла принята на вооружение. При постановке на производство эта пушка заводом № 92 была переработана и поэтому получила наименование ЗИС-С-53. Эта пушка постановлением ГКО от 23 января 1944 г. была принята на вооружение танка Т-34-85 обр. 1944 г., а затем и среднего танка Т-44 (10703).</w:t>
      </w:r>
    </w:p>
    <w:p w14:paraId="6A692FE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5EF580" w14:textId="77777777" w:rsidR="00801C51" w:rsidRPr="00D03F3E" w:rsidRDefault="00801C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начальник управления бронепоездов и бронемашин генерал-майор Чернов направил наркому тяжелого машиностроения Казакову письмо следующего содержания: </w:t>
      </w:r>
    </w:p>
    <w:p w14:paraId="35FD07C4" w14:textId="77777777" w:rsidR="00801C51" w:rsidRPr="00D03F3E" w:rsidRDefault="00801C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«Коломенским заводом им Куйбышева разработан проект и полностью изготовлены рабочие чертежи опытного образца бронеавто-мотрисы, вооруженной 76 мм танковыми пушками. </w:t>
      </w:r>
    </w:p>
    <w:p w14:paraId="471FC2FE" w14:textId="77777777" w:rsidR="00801C51" w:rsidRPr="00D03F3E" w:rsidRDefault="00801C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Проект бронеавтомотрисы по конструкции основных узлов: ходовой части, трансмиссии, моторной группы, группы управления и т.п. является ценной разработкой. </w:t>
      </w:r>
    </w:p>
    <w:p w14:paraId="28886D7B" w14:textId="77777777" w:rsidR="00801C51" w:rsidRPr="00D03F3E" w:rsidRDefault="00801C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 изменившимися требованиями к железнодорожным боевым машинам, на которые чаще стали возлагать задачи по охране объектов и войск в районе железной дороги от воздушных нападений противника, считаю целесообразным проект бронеавтомотрисы переработать в части замены вооружения, </w:t>
      </w:r>
    </w:p>
    <w:p w14:paraId="14DCCE0B" w14:textId="77777777" w:rsidR="00801C51" w:rsidRPr="00D03F3E" w:rsidRDefault="00801C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т.е. вместо 76-мм танковых пушек установить 85-мм зенитные пушки. </w:t>
      </w:r>
    </w:p>
    <w:p w14:paraId="75D944F9" w14:textId="77777777" w:rsidR="00801C51" w:rsidRPr="00D03F3E" w:rsidRDefault="00801C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зенитным вооружением, позволяющим вести стрельбу, как по воздушным, так и по наземным целям, бронеавтомотриса будет современной боевой машиной. </w:t>
      </w:r>
    </w:p>
    <w:p w14:paraId="2B380184" w14:textId="77777777" w:rsidR="00801C51" w:rsidRPr="00D03F3E" w:rsidRDefault="00801C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Прошу Вашего указания заводу им. Куйбышева о переработке проекта бронеавтомотри-сы в части замены вооружения» </w:t>
      </w:r>
    </w:p>
    <w:p w14:paraId="1E9EDE93" w14:textId="77777777" w:rsidR="00801C51" w:rsidRPr="00D03F3E" w:rsidRDefault="00801C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проведенного совещания представителей конструкторского бюро Коломенского машиностроительного завода и управления бронепоездов и бронемашин ГБТУ Красной Армии, планом на 1944 год предусматривалось на основе разработанного проекта бронеавтомотрисы БАМ-2 разработать аналогичную машину с 85-мм зенитными пушками. При этом использование броне-автомотрисы предполагалось в составе зенитных бронепоездов взамен бронепаровозов серии Ов и Оп: </w:t>
      </w:r>
    </w:p>
    <w:p w14:paraId="4FCD7B07" w14:textId="77777777" w:rsidR="00801C51" w:rsidRPr="00D03F3E" w:rsidRDefault="00801C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«Бронеавтомотриса в сравнении с броне-паровозом серии Ов помимо повышения маневренных качеств бронепоезда позволит в условиях разрушенного железнодорожного хозяйства (депо, водоснабжение и пр.) дислоцировать бронепоезд ближе к фронту. Отрыв бронепоезда (с бронеавтомотрисой) в глубокий тыл для заправок, промывок и текущего ремонта отпадает». В начале 1944 года был выполнен эскизный проект бронеавтомотрисы БАМ-2 с 85-мм зенитной пушкой, но к этому времени необходимость в подобной бронепоездной единицы отпала (18626).</w:t>
      </w:r>
    </w:p>
    <w:p w14:paraId="18F59C47" w14:textId="77777777" w:rsidR="00801C51" w:rsidRPr="00D03F3E" w:rsidRDefault="00801C51" w:rsidP="00D03F3E">
      <w:pPr>
        <w:spacing w:after="0" w:line="240" w:lineRule="auto"/>
        <w:jc w:val="both"/>
        <w:rPr>
          <w:rFonts w:ascii="Times New Roman" w:hAnsi="Times New Roman"/>
          <w:color w:val="000000" w:themeColor="text1"/>
          <w:sz w:val="16"/>
          <w:szCs w:val="16"/>
        </w:rPr>
      </w:pPr>
    </w:p>
    <w:p w14:paraId="21791661" w14:textId="77777777" w:rsidR="00801C51" w:rsidRPr="00D03F3E" w:rsidRDefault="00801C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Комиссия, проводившая проверку работы завода № 698 НКЭП (Наркомата электропромышленности), пришла к выводу, что «отдел технического контроля на заводе не чувствуется... учет брака отсутствует, брак-карты не выписываются, за брак никто ответственности не несет»10. Председатель комиссии так описал процедуру приемки готовых изделий: «Как проводилось оформление? В конце месяца давалось указание начальнику цеха тов. Вальдману, начальнику ОТК, которые подписывали эти накладные, или их мастера. На заводе могут накладные подписывать не только ответственные люди, руководители предприятия, но и рядовые мастера. Не один, так другой подпишет. Не установлено, кто же занимается окончательной приемкой готовых изделий на заводе. Могут подписать любые работники из ОТК; если Вальдман откажет, так подпишет его мастер, и это получается официальный документ»11. Сами работники ОТК считали подчиненность директору одной из главных причин низкой эффективности своей работы (18627).</w:t>
      </w:r>
    </w:p>
    <w:p w14:paraId="3D5C3EC3" w14:textId="77777777" w:rsidR="00801C51" w:rsidRPr="00D03F3E" w:rsidRDefault="00801C51" w:rsidP="00D03F3E">
      <w:pPr>
        <w:spacing w:after="0" w:line="240" w:lineRule="auto"/>
        <w:jc w:val="both"/>
        <w:rPr>
          <w:rFonts w:ascii="Times New Roman" w:hAnsi="Times New Roman"/>
          <w:color w:val="000000" w:themeColor="text1"/>
          <w:sz w:val="16"/>
          <w:szCs w:val="16"/>
        </w:rPr>
      </w:pPr>
    </w:p>
    <w:p w14:paraId="16E0892C"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СКБ НКСП в соответствии с постановлением ГКО от 28 июля 1943 г. приступило к проектированию и изготовлению опытных образцов стабилизаторов пушек средних танков по ТТТ, выданных ГБТУ РККА. Аналогичные работы были развернуты и в академии БТ и МВ, где под руководством начальника кафедры электрооборудования инже</w:t>
      </w:r>
      <w:r w:rsidRPr="00D03F3E">
        <w:rPr>
          <w:rFonts w:ascii="Times New Roman" w:hAnsi="Times New Roman"/>
          <w:color w:val="000000" w:themeColor="text1"/>
          <w:sz w:val="16"/>
          <w:szCs w:val="16"/>
        </w:rPr>
        <w:softHyphen/>
        <w:t>нер-полковника М.М. Лихачева был разработан проект стабилизатора пушки, который предусматривал стабилизацию самого орудия, а не линии прицеливания в прицеле наводчика. Конструктивные трудности по стабилизации всей башни танка с экипажем и вооружением заставили разработчиков ограничиться только стабилизацией основного оружия танка в плоскости стрельбы (10703).</w:t>
      </w:r>
    </w:p>
    <w:p w14:paraId="3EFB17A7"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C74420" w14:textId="77777777" w:rsidR="00DA09C1" w:rsidRPr="00D03F3E" w:rsidRDefault="00DA09C1" w:rsidP="00D03F3E">
      <w:pPr>
        <w:pStyle w:val="a3"/>
        <w:rPr>
          <w:color w:val="000000" w:themeColor="text1"/>
          <w:lang w:val="ru-RU"/>
        </w:rPr>
      </w:pPr>
      <w:r w:rsidRPr="00D03F3E">
        <w:rPr>
          <w:color w:val="000000" w:themeColor="text1"/>
          <w:lang w:val="ru-RU"/>
        </w:rPr>
        <w:t>Летом 1943 года директор Кировского завода И. М. Зальцман предлагал отказаться от, по его мнению, слишком сложной задачи освоения ИСа, и предлагал выпускать вместо этого разработанный на заводе модернизированный танк на базе КВ (ГАРФ. Ф. Р-5446. Оп. 44а. Д. 7471. Л. 31 - 26). Само это предложение выглядит достаточно странным. Ведь ещё совсем недавно И. М. Зальцман был активным сторонником производства нового танка, увлечённо убеждавшим Н. С. Патоличева поддержать проект. Может быть, предложение И. М. Зальцмана было тактическим манёвром, совершённым с целью снять с себя ответственность в случае неудачи при освоении машины?</w:t>
      </w:r>
    </w:p>
    <w:p w14:paraId="148D4D07" w14:textId="77777777" w:rsidR="00DA09C1" w:rsidRPr="00D03F3E" w:rsidRDefault="00DA09C1" w:rsidP="00D03F3E">
      <w:pPr>
        <w:pStyle w:val="a3"/>
        <w:rPr>
          <w:color w:val="000000" w:themeColor="text1"/>
          <w:lang w:val="ru-RU"/>
        </w:rPr>
      </w:pPr>
      <w:r w:rsidRPr="00D03F3E">
        <w:rPr>
          <w:color w:val="000000" w:themeColor="text1"/>
          <w:lang w:val="ru-RU"/>
        </w:rPr>
        <w:t>К счастью, нарком В. А. Малышев отказался от этого предложения. Потом риск оправдал себя. Освоение танка ИС на Кировском заводе в Челябинске прошло в рекордно короткие сроки, несмотря на то, что параллельно сохранялось производство и Т-34, и новой модификации КВ с 85-мм пушкой. Т-34 продолжали производить на Кировском заводе параллельно с ИС до второго квартала 1944 года.</w:t>
      </w:r>
    </w:p>
    <w:p w14:paraId="0BD0D160" w14:textId="77777777" w:rsidR="00DA09C1" w:rsidRPr="00D03F3E" w:rsidRDefault="00DA09C1" w:rsidP="00D03F3E">
      <w:pPr>
        <w:pStyle w:val="a3"/>
        <w:rPr>
          <w:color w:val="000000" w:themeColor="text1"/>
          <w:lang w:val="ru-RU"/>
        </w:rPr>
      </w:pPr>
      <w:r w:rsidRPr="00D03F3E">
        <w:rPr>
          <w:color w:val="000000" w:themeColor="text1"/>
          <w:lang w:val="ru-RU"/>
        </w:rPr>
        <w:t>Узким местом, показавшим свою слабость ещё во время изготовления опытных образцов ИСов, был бронекорпусной завод № 200. Этот завод был создан в 1941 году из нескольких цехов завода № 78 Наркомата боеприпасов. Поэтому завод не имел собственных вспомогательных производств (ремонтного и инструментального), что мешало наладить массовое производство. Ещё в мае Е. Круглов писал Молотову: «считал бы необходимым Ваше указание Наркомтанкопрому (т. Зальцману) обратить особое внимание на завод № 200» (ГАРФ. Ф. Р-5446. Оп. 44а. Д. 7522. Л. 87) (12290).</w:t>
      </w:r>
    </w:p>
    <w:p w14:paraId="64FCFC75" w14:textId="77777777" w:rsidR="00DA09C1" w:rsidRPr="00D03F3E" w:rsidRDefault="00DA09C1" w:rsidP="00D03F3E">
      <w:pPr>
        <w:pStyle w:val="ae"/>
        <w:spacing w:before="0" w:after="0"/>
        <w:jc w:val="both"/>
        <w:rPr>
          <w:color w:val="000000" w:themeColor="text1"/>
          <w:sz w:val="16"/>
          <w:szCs w:val="16"/>
        </w:rPr>
      </w:pPr>
      <w:r w:rsidRPr="00D03F3E">
        <w:rPr>
          <w:color w:val="000000" w:themeColor="text1"/>
          <w:sz w:val="16"/>
          <w:szCs w:val="16"/>
        </w:rPr>
        <w:t>В начале июля 1943 коллектив отдела главного технолога закончил технологический проект новых объектов производства №17 и № 18, на которые возлагался выпуск самого пулемета, его станка, патронных коробок.</w:t>
      </w:r>
    </w:p>
    <w:p w14:paraId="586DF144" w14:textId="77777777" w:rsidR="00DA09C1" w:rsidRPr="00D03F3E" w:rsidRDefault="00DA09C1" w:rsidP="00D03F3E">
      <w:pPr>
        <w:pStyle w:val="ae"/>
        <w:spacing w:before="0" w:after="0"/>
        <w:jc w:val="both"/>
        <w:rPr>
          <w:color w:val="000000" w:themeColor="text1"/>
          <w:sz w:val="16"/>
          <w:szCs w:val="16"/>
        </w:rPr>
      </w:pPr>
      <w:r w:rsidRPr="00D03F3E">
        <w:rPr>
          <w:color w:val="000000" w:themeColor="text1"/>
          <w:sz w:val="16"/>
          <w:szCs w:val="16"/>
        </w:rPr>
        <w:t>К государственным испытаниям приготовили свои системы В.А. Дегтярев, С.В. Владимиров, П.М. Горюнов. Лучшим был признан пулемет Горюнова. «7,62-мм станковый пулемет системы Горюнова обр. 1943 г.» (СГ-43) принят на вооружение. Начато серийное производство пулеметов П.М. Горюнова.</w:t>
      </w:r>
    </w:p>
    <w:p w14:paraId="0CCD929A" w14:textId="77777777" w:rsidR="00DA09C1" w:rsidRPr="00D03F3E" w:rsidRDefault="00DA09C1" w:rsidP="00D03F3E">
      <w:pPr>
        <w:pStyle w:val="ae"/>
        <w:spacing w:before="0" w:after="0"/>
        <w:jc w:val="both"/>
        <w:rPr>
          <w:color w:val="000000" w:themeColor="text1"/>
          <w:sz w:val="16"/>
          <w:szCs w:val="16"/>
        </w:rPr>
      </w:pPr>
      <w:r w:rsidRPr="00D03F3E">
        <w:rPr>
          <w:color w:val="000000" w:themeColor="text1"/>
          <w:sz w:val="16"/>
          <w:szCs w:val="16"/>
        </w:rPr>
        <w:t xml:space="preserve">В корпусе «А» для сборки пулемета, организуется сборочный цех № 89. Начальником цеха назначается Е.Г. Краснов, а его помощниками Б.А. Магницкий и А.И. </w:t>
      </w:r>
      <w:r w:rsidRPr="00D03F3E">
        <w:rPr>
          <w:color w:val="000000" w:themeColor="text1"/>
          <w:sz w:val="16"/>
          <w:szCs w:val="16"/>
        </w:rPr>
        <w:lastRenderedPageBreak/>
        <w:t>Пузиков. Руководство и ответственность за сборку, испытание и сдачу возлагается на начальника производства ПКБ Л. Зеликова.</w:t>
      </w:r>
    </w:p>
    <w:p w14:paraId="457DC9B4" w14:textId="77777777" w:rsidR="00DA09C1" w:rsidRPr="00D03F3E" w:rsidRDefault="00DA09C1" w:rsidP="00D03F3E">
      <w:pPr>
        <w:pStyle w:val="ae"/>
        <w:spacing w:before="0" w:after="0"/>
        <w:jc w:val="both"/>
        <w:rPr>
          <w:color w:val="000000" w:themeColor="text1"/>
          <w:sz w:val="16"/>
          <w:szCs w:val="16"/>
        </w:rPr>
      </w:pPr>
      <w:r w:rsidRPr="00D03F3E">
        <w:rPr>
          <w:color w:val="000000" w:themeColor="text1"/>
          <w:sz w:val="16"/>
          <w:szCs w:val="16"/>
        </w:rPr>
        <w:t>Для выпуска пулеметов СГ-43 требовались дополнительные производственные площади. В мае началось строительство нового корпуса, который был возведен в кратчайшие сроки методом народной стройки, на субботниках и в свободные от основной работы часы. Корпус получил название «Комсомольского».</w:t>
      </w:r>
    </w:p>
    <w:p w14:paraId="05AFDB3B" w14:textId="77777777" w:rsidR="00DA09C1" w:rsidRPr="00D03F3E" w:rsidRDefault="00DA09C1" w:rsidP="00D03F3E">
      <w:pPr>
        <w:pStyle w:val="ae"/>
        <w:spacing w:before="0" w:after="0"/>
        <w:jc w:val="both"/>
        <w:rPr>
          <w:color w:val="000000" w:themeColor="text1"/>
          <w:sz w:val="16"/>
          <w:szCs w:val="16"/>
        </w:rPr>
      </w:pPr>
      <w:r w:rsidRPr="00D03F3E">
        <w:rPr>
          <w:color w:val="000000" w:themeColor="text1"/>
          <w:sz w:val="16"/>
          <w:szCs w:val="16"/>
        </w:rPr>
        <w:t>В августе в «Комсомольском» корпусе («И») разместилось новое производство (цехи № 85, 86, 87, 88). Ежедневно цехи подавали на сборку 30-40 комплектов деталей и узлов.</w:t>
      </w:r>
    </w:p>
    <w:p w14:paraId="467A1BEF" w14:textId="77777777" w:rsidR="00DA09C1" w:rsidRPr="00D03F3E" w:rsidRDefault="00DA09C1" w:rsidP="00D03F3E">
      <w:pPr>
        <w:pStyle w:val="ae"/>
        <w:spacing w:before="0" w:after="0"/>
        <w:jc w:val="both"/>
        <w:rPr>
          <w:color w:val="000000" w:themeColor="text1"/>
          <w:sz w:val="16"/>
          <w:szCs w:val="16"/>
        </w:rPr>
      </w:pPr>
      <w:r w:rsidRPr="00D03F3E">
        <w:rPr>
          <w:color w:val="000000" w:themeColor="text1"/>
          <w:sz w:val="16"/>
          <w:szCs w:val="16"/>
        </w:rPr>
        <w:t>23 декабря 1943 на 43-м году жизни умер П.М. Горюнов. (12221).</w:t>
      </w:r>
    </w:p>
    <w:p w14:paraId="558E6DD3" w14:textId="77777777" w:rsidR="00DA09C1" w:rsidRPr="00D03F3E" w:rsidRDefault="00DA09C1" w:rsidP="00D03F3E">
      <w:pPr>
        <w:pStyle w:val="ae"/>
        <w:spacing w:before="0" w:after="0"/>
        <w:jc w:val="both"/>
        <w:rPr>
          <w:color w:val="000000" w:themeColor="text1"/>
          <w:sz w:val="16"/>
          <w:szCs w:val="16"/>
        </w:rPr>
      </w:pPr>
    </w:p>
    <w:p w14:paraId="541814DD" w14:textId="77777777" w:rsidR="00DA09C1" w:rsidRPr="00D03F3E" w:rsidRDefault="00DA09C1" w:rsidP="00D03F3E">
      <w:pPr>
        <w:pStyle w:val="a3"/>
        <w:rPr>
          <w:color w:val="000000" w:themeColor="text1"/>
          <w:lang w:val="ru-RU"/>
        </w:rPr>
      </w:pPr>
      <w:r w:rsidRPr="00D03F3E">
        <w:rPr>
          <w:color w:val="000000" w:themeColor="text1"/>
          <w:lang w:val="ru-RU"/>
        </w:rPr>
        <w:t>Летом 1943 года на заводе № 40 была выпущена небольшая партия танков Т-80, развития линии Т-40 - Т-60 - Т-70. Но ни увеличенный до трёх человек экипаж, ни длинноствольная 45-мм пушка с повышенной бронепробиваемостью уже не могли соответствовать требованиям войны. Производство Т-80 быстро свернули (12290).</w:t>
      </w:r>
    </w:p>
    <w:p w14:paraId="3AE53AA0" w14:textId="77777777" w:rsidR="00DA09C1" w:rsidRPr="00D03F3E" w:rsidRDefault="00DA09C1" w:rsidP="00D03F3E">
      <w:pPr>
        <w:pStyle w:val="a3"/>
        <w:rPr>
          <w:color w:val="000000" w:themeColor="text1"/>
          <w:lang w:val="ru-RU"/>
        </w:rPr>
      </w:pPr>
    </w:p>
    <w:p w14:paraId="0706EBE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конструкторскому бюро УЗТМ была поставлена зада</w:t>
      </w:r>
      <w:r w:rsidRPr="00D03F3E">
        <w:rPr>
          <w:rFonts w:ascii="Times New Roman" w:hAnsi="Times New Roman"/>
          <w:color w:val="000000" w:themeColor="text1"/>
          <w:sz w:val="16"/>
          <w:szCs w:val="16"/>
        </w:rPr>
        <w:softHyphen/>
        <w:t>ча на базе средней самоходной установки СУ-122 разработать штабной танк, но ввиду большой потребности фронта в самоходных установках эта работа дальнейшего развития не получила (10703).</w:t>
      </w:r>
    </w:p>
    <w:p w14:paraId="2F941C3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0A242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в КБ за</w:t>
      </w:r>
      <w:r w:rsidRPr="00D03F3E">
        <w:rPr>
          <w:rFonts w:ascii="Times New Roman" w:hAnsi="Times New Roman"/>
          <w:color w:val="000000" w:themeColor="text1"/>
          <w:sz w:val="16"/>
          <w:szCs w:val="16"/>
        </w:rPr>
        <w:softHyphen/>
        <w:t>вода № 38 в г. Кирове под руководством М.Н. Щукина была разработана Самоходная установка СУ-16 (СУ-38) и предназначалась для замены установки СУ-76 (СУ-12). В июне 1943 г. опытный образец машины прошел совместные испытания с СУ-15 на Гороховецком артиллерийском полигоне, которые не выдержал. Всего было изготовлено несколько опытных образцов самоходной установки СУ-16. Дальнейшего развития машина не получила, так как по своим боевым свойствам уступала самоходной установке СУ-15 (10703).</w:t>
      </w:r>
    </w:p>
    <w:p w14:paraId="001A717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7EE48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были проведены совместные испытания всех трех образцов Су-76 завода №38. Испытания показали, что СУ-16 наиболее успешна, но имеет неудачное расположение экипажа. Два другие артсамохода оказались перетяжеленными, что приводило к частым поломкам ходовой части. Поэтому было принято решение о доработке СУ-15 по облегчению конструкции (3862).</w:t>
      </w:r>
    </w:p>
    <w:p w14:paraId="4C10E44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Одновременно с производством СУ-76М ГАЗ начал доработку СУ-15, т.к. все основные агрегаты производились там же. Модернизированная САУ (заводской индекс СУ-15М) отличалась от предшественницы отсутствием части задней стенки и крыши боевого отделения, последовательной установкой двигателей ГАЗ-202 с общей системой охлаждения и трансмиссией (3862).</w:t>
      </w:r>
    </w:p>
    <w:p w14:paraId="3F1287F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F5CFD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конструкторские бюро заводов ГАЗ и №38 предложили независимые проекты модернизации СУ-76. ГАЗ предлагал использовать отечественные дизели ЗИС-16Ф или ЗИС-80, или американский дизель "Giberson" (110 лс). Также прелагалось перевооружить САУ 76,2-мм пушкой С-1. Но по ряду причин этот проект (ГАЗ-74А) доведен до конца так и не был (3862).</w:t>
      </w:r>
    </w:p>
    <w:p w14:paraId="25323F4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Завод №38 предложил сразу три варианта модернизации: СУ-15, СУ-16 и СУ-38. Они были вооружены 76,2мм орудиями С-15, в качестве двигателя был выбран ГАЗ-203 (стоявший на Т-70) (3862).</w:t>
      </w:r>
    </w:p>
    <w:p w14:paraId="13B30D3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СУ-15 имела ходовую часть и корпус от СУ-12, на САУ была установлена спаренная двигательная установка ГАЗ-203, правда с небольшими изменениями в воздухоочистительной системе. Боевое отделение было немного увеличено (3862).</w:t>
      </w:r>
    </w:p>
    <w:p w14:paraId="570DEEA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Двигатель, трансмиссия и ходовая часть СУ-16 была заимствована от танка Т-70, САУ имела открытое сверху боевое отделение (3862).</w:t>
      </w:r>
    </w:p>
    <w:p w14:paraId="4C8AA04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Аналогично СУ-16, установка СУ-38 имела шасси и силовую установку от танка Т-70, но была защищена 45мм броней и закрытое боевое отделение, смещенное вперед (для лучшего распределения нагрузки) (3862).</w:t>
      </w:r>
    </w:p>
    <w:p w14:paraId="7D3331B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07DBC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были проведены совместные испытания всех трех образцов САУ 76-мм (Су-15, Су-16 и Су-17) завода №38. Испытания показали, что СУ-16 наиболее успешна, но имеет неудачное расположение экипажа. Два другие артсамохода оказались перетяжеленными, что приводило к частым поломкам ходовой части. Поэтому было принято решение о доработке СУ-15 по облегчению конструкции (3862).</w:t>
      </w:r>
    </w:p>
    <w:p w14:paraId="388648A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9E7B8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конструкторы ГАЗ во главе с Н.Астровым совместно с КБ НАТИ подготовили два проекта бронированных САУ, фигурировавших в переписке по наркомату танковой промышленности, как “безбашенные танки-истребители ГАЗ-74”. Между собой эти две САУ отличались расположением боевого отделения. В первой машине (ГАЗ-74а) оно должно было располагаться в корме машины по типу ГАЗ-71 и уже принятых на вооружение СУ-12 (более известных как СУ-76), что улучшало распределение массы САУ на опорные катки, поднимало маневренность, правда, за это приходилось платить сравнительно большим силуэтом и массой машины (5742, 14). Второй вариант (ГАЗ-746) очень напоминал СУ-ИТ-76, предложенный НИИ-13 (5742, 14). Машина имела низкий силуэт, солидное бронирование (в лобовой части - 45-мм) с наклонным расположением броневых листов и вооружалась 76-мм пушкой С-1 (самоходным вариантом танковой Ф-34). Новый истребитель должен был получить также дизельмотор GMC-71 (5742, 14). ГАЗ-746 был построен, прошел заводские испытания, в целом был одобрен военными и даже под индексом СУ-76-И (“И” - истребитель, не путать с СУ-76 (И))/СУ-74 допущен до гос. испытаний. Однако вооружение таких машин 76-мм пушкой с длиной ствола 41 калибр, считалось в 1943 г. недостаточным для борьбы с вражескими тяжелыми танками, а стоимость значительно превышала стоимость СУ-76, которая уже строилась массово. Поэтому участь ГАЗ-746 в тот момент была решена (5742, 14).</w:t>
      </w:r>
    </w:p>
    <w:p w14:paraId="64F58E6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64231D"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Летом 1943 года конструкторы ГАЗ во главе с Н.Астровым совместно с КБ НАТИ подготовили два проекта бронированных САУ, фигурировавших в переписке по наркомату </w:t>
      </w:r>
      <w:hyperlink r:id="rId229" w:tgtFrame="_blank" w:history="1">
        <w:r w:rsidRPr="00D03F3E">
          <w:rPr>
            <w:rFonts w:ascii="Times New Roman" w:hAnsi="Times New Roman"/>
            <w:color w:val="000000" w:themeColor="text1"/>
            <w:sz w:val="16"/>
            <w:szCs w:val="16"/>
          </w:rPr>
          <w:t>танк</w:t>
        </w:r>
      </w:hyperlink>
      <w:r w:rsidRPr="00D03F3E">
        <w:rPr>
          <w:rFonts w:ascii="Times New Roman" w:hAnsi="Times New Roman"/>
          <w:color w:val="000000" w:themeColor="text1"/>
          <w:sz w:val="16"/>
          <w:szCs w:val="16"/>
        </w:rPr>
        <w:t xml:space="preserve">овой промышленности, как "безбашенные </w:t>
      </w:r>
      <w:hyperlink r:id="rId230" w:tgtFrame="_blank" w:history="1">
        <w:r w:rsidRPr="00D03F3E">
          <w:rPr>
            <w:rFonts w:ascii="Times New Roman" w:hAnsi="Times New Roman"/>
            <w:color w:val="000000" w:themeColor="text1"/>
            <w:sz w:val="16"/>
            <w:szCs w:val="16"/>
          </w:rPr>
          <w:t>танк</w:t>
        </w:r>
      </w:hyperlink>
      <w:r w:rsidRPr="00D03F3E">
        <w:rPr>
          <w:rFonts w:ascii="Times New Roman" w:hAnsi="Times New Roman"/>
          <w:color w:val="000000" w:themeColor="text1"/>
          <w:sz w:val="16"/>
          <w:szCs w:val="16"/>
        </w:rPr>
        <w:t>и-истребители ГАЗ-74".</w:t>
      </w:r>
    </w:p>
    <w:p w14:paraId="0BA3DD64"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собой эти две САУ отличались расположением боевого отделения. В первой машине - ГАЗ-74а - боевое отделение должно было располагаться в корме машины по типу ГАЗ-71 и уже принятых на вооружение CУ-12(более известная как СУ-76), что улучшало распределение массы САУ на опорные катки, поднимало маневренность, правда, за это приходилось платить сравнительно большим силуэтом и массой машины.</w:t>
      </w:r>
    </w:p>
    <w:p w14:paraId="2870EE3E"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Второй вариант (ГАЗ-74б) очень напоминал СУ-ИТ-76, предложенный НИИ-13 в 1942г. Машина имела низкий силуэт, хорошее бронирование (в лобовой части - 45 мм) с наклонным расположением броневых листов и вооружалась 76-мм пушкой С-1 (такая же пушка стояла на серийной </w:t>
      </w:r>
      <w:hyperlink r:id="rId231" w:tgtFrame="_blank" w:history="1">
        <w:r w:rsidRPr="00D03F3E">
          <w:rPr>
            <w:rFonts w:ascii="Times New Roman" w:hAnsi="Times New Roman"/>
            <w:color w:val="000000" w:themeColor="text1"/>
            <w:sz w:val="16"/>
            <w:szCs w:val="16"/>
          </w:rPr>
          <w:t>СУ-76И</w:t>
        </w:r>
      </w:hyperlink>
      <w:r w:rsidRPr="00D03F3E">
        <w:rPr>
          <w:rFonts w:ascii="Times New Roman" w:hAnsi="Times New Roman"/>
          <w:color w:val="000000" w:themeColor="text1"/>
          <w:sz w:val="16"/>
          <w:szCs w:val="16"/>
        </w:rPr>
        <w:t>). Новый истребитель должен был получить дизельный мотор GMC-71 (поставлялись по ленд-лизу) организация производства которых в СССР  планировалась на заводе ЯМЗ.</w:t>
      </w:r>
    </w:p>
    <w:p w14:paraId="0F707ABF"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Самоходная установка создана на базе легкого </w:t>
      </w:r>
      <w:hyperlink r:id="rId232" w:tgtFrame="_blank" w:history="1">
        <w:r w:rsidRPr="00D03F3E">
          <w:rPr>
            <w:rFonts w:ascii="Times New Roman" w:hAnsi="Times New Roman"/>
            <w:color w:val="000000" w:themeColor="text1"/>
            <w:sz w:val="16"/>
            <w:szCs w:val="16"/>
          </w:rPr>
          <w:t>танк</w:t>
        </w:r>
      </w:hyperlink>
      <w:r w:rsidRPr="00D03F3E">
        <w:rPr>
          <w:rFonts w:ascii="Times New Roman" w:hAnsi="Times New Roman"/>
          <w:color w:val="000000" w:themeColor="text1"/>
          <w:sz w:val="16"/>
          <w:szCs w:val="16"/>
        </w:rPr>
        <w:t>а Т-70 и относится к САУ закрытого типа.</w:t>
      </w:r>
    </w:p>
    <w:p w14:paraId="6921AA08"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Конструктивно самоходная установка ГАЗ-74б представляла собой "гибрид" из узлов и агрегатов </w:t>
      </w:r>
      <w:hyperlink r:id="rId233" w:tgtFrame="_blank" w:history="1">
        <w:r w:rsidRPr="00D03F3E">
          <w:rPr>
            <w:rFonts w:ascii="Times New Roman" w:hAnsi="Times New Roman"/>
            <w:color w:val="000000" w:themeColor="text1"/>
            <w:sz w:val="16"/>
            <w:szCs w:val="16"/>
          </w:rPr>
          <w:t>танк</w:t>
        </w:r>
      </w:hyperlink>
      <w:r w:rsidRPr="00D03F3E">
        <w:rPr>
          <w:rFonts w:ascii="Times New Roman" w:hAnsi="Times New Roman"/>
          <w:color w:val="000000" w:themeColor="text1"/>
          <w:sz w:val="16"/>
          <w:szCs w:val="16"/>
        </w:rPr>
        <w:t xml:space="preserve">а Т-70, американского двигателя и оригинальных разработок. В целом советский проект был близок к более позднему немецкому "Hetzer", уступая ему по мощности вооружения и защищенности. Ходовая часть САУ, применительно на каждый борт, состояла из пяти опорных катков от </w:t>
      </w:r>
      <w:hyperlink r:id="rId234" w:tgtFrame="_blank" w:history="1">
        <w:r w:rsidRPr="00D03F3E">
          <w:rPr>
            <w:rFonts w:ascii="Times New Roman" w:hAnsi="Times New Roman"/>
            <w:color w:val="000000" w:themeColor="text1"/>
            <w:sz w:val="16"/>
            <w:szCs w:val="16"/>
          </w:rPr>
          <w:t>танк</w:t>
        </w:r>
      </w:hyperlink>
      <w:r w:rsidRPr="00D03F3E">
        <w:rPr>
          <w:rFonts w:ascii="Times New Roman" w:hAnsi="Times New Roman"/>
          <w:color w:val="000000" w:themeColor="text1"/>
          <w:sz w:val="16"/>
          <w:szCs w:val="16"/>
        </w:rPr>
        <w:t>а Т-70 с индивидуальной торсионной подвеской и четырех поддерживающих роликов. Ведущие колеса размещались сзади, направляющие - спереди. Гусеница мелкозвенчатая с литыми траками. Корпус изготовлялся из листов катаной броневой стали толщиной от 10 до 35 мм, которые соединялись между собой при помощи сварки. В передней части корпуса находилось совмещенное отделение управления и боевое отделение, где размещался экипаж из четырех человек: механик-водитель, командир, наводчик и заряжающий. В переднем лобовом листе бронированного корпуса вырезана амбразура для 76-мм пушки, установленной на раме.</w:t>
      </w:r>
    </w:p>
    <w:p w14:paraId="4B84DB08"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Основное вооружение, состоявшее из одной 76,2-мм пушки С-1, устанавливалось в лобовом листе надстройки. Максимальные углы наведения по вертикали составляли от -5° до +14°. По горизонту орудие могло наводится в предалах 13,5° в обе стороны. Установка пушки, включая маску, была во многом аналогична СУ-76И. Рациональные углы наклона, чтобы обеспечить приемлемый внутренний объём для работы экипажа, имели бронелисты только передней части корпуса. В кормовой части находился моторно-трансмиссионный отсек, где устанавливался американский двигатель GMC-71, который начинали производить на Ярославском заводе под обозначением ЯАЗ-206. На крыше корпуса имеется три люка с крышками; на крыше командирского люка установлена башенка с шестью смотровыми приборами. Воздухоочиститель масляно-инерционного типа.</w:t>
      </w:r>
    </w:p>
    <w:p w14:paraId="42D3B1D9"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ГАЗ-74б была построена, прошла заводские испытания, в целом была одобрена военными и даже под индексом СУ-76-И  или СУ-74 допущена до государственных испытаний. Которые она успешно и прошла.</w:t>
      </w:r>
    </w:p>
    <w:p w14:paraId="4E5AB9E8"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Но в 1943 году вооружение таких машин 76-мм пушкой с длиной ствола 41 калибр считалось уже недостаточным для борьбы с немецкими тяжелыми </w:t>
      </w:r>
      <w:hyperlink r:id="rId235" w:tgtFrame="_blank" w:history="1">
        <w:r w:rsidRPr="00D03F3E">
          <w:rPr>
            <w:rFonts w:ascii="Times New Roman" w:hAnsi="Times New Roman"/>
            <w:color w:val="000000" w:themeColor="text1"/>
            <w:sz w:val="16"/>
            <w:szCs w:val="16"/>
          </w:rPr>
          <w:t>танк</w:t>
        </w:r>
      </w:hyperlink>
      <w:r w:rsidRPr="00D03F3E">
        <w:rPr>
          <w:rFonts w:ascii="Times New Roman" w:hAnsi="Times New Roman"/>
          <w:color w:val="000000" w:themeColor="text1"/>
          <w:sz w:val="16"/>
          <w:szCs w:val="16"/>
        </w:rPr>
        <w:t>ами. Поэтому запускать в серию САУ ГАЗ-74б с 76-мм пушкой С-1, посчитали неперспективным занятием (15642).</w:t>
      </w:r>
    </w:p>
    <w:p w14:paraId="099ADE97" w14:textId="77777777" w:rsidR="0018582B" w:rsidRPr="00D03F3E" w:rsidRDefault="0018582B" w:rsidP="00D03F3E">
      <w:pPr>
        <w:spacing w:after="0" w:line="240" w:lineRule="auto"/>
        <w:jc w:val="both"/>
        <w:rPr>
          <w:rFonts w:ascii="Times New Roman" w:hAnsi="Times New Roman"/>
          <w:color w:val="000000" w:themeColor="text1"/>
          <w:sz w:val="16"/>
          <w:szCs w:val="16"/>
        </w:rPr>
      </w:pPr>
    </w:p>
    <w:p w14:paraId="1559EA26"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году была завершена разработка ГАЗ-75, а зимой 1944 году был изготовлен и отправлен на испытания опытный образец, который удачно прошел и заводские и гос. испытания.</w:t>
      </w:r>
    </w:p>
    <w:p w14:paraId="35787C7C"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Работы над самоходной артиллерийской установкой ГАЗ-75 велись в конструкторском бюро Горьковского автомобильного завода под руководством Н. А. Астрова.</w:t>
      </w:r>
    </w:p>
    <w:p w14:paraId="6A4C823A"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Конструкция САУ ГАЗ-75, была продолжением концепции легких газовских САУ ГАЗ-74 ( Су-76Д и Су-57Б </w:t>
      </w:r>
      <w:hyperlink r:id="rId236" w:tooltip="http://alternathistory.org.ua/opytnye-sau-su-76d-i-su-57b-gaz-74-sssr1943-44g" w:history="1">
        <w:r w:rsidRPr="00D03F3E">
          <w:rPr>
            <w:rFonts w:ascii="Times New Roman" w:hAnsi="Times New Roman"/>
            <w:color w:val="000000" w:themeColor="text1"/>
            <w:sz w:val="16"/>
            <w:szCs w:val="16"/>
          </w:rPr>
          <w:t>http://alternathistory.org.ua/opytnye-sau-su-76d-i-su-57b-gaz-74-sssr194...</w:t>
        </w:r>
      </w:hyperlink>
      <w:r w:rsidRPr="00D03F3E">
        <w:rPr>
          <w:rFonts w:ascii="Times New Roman" w:hAnsi="Times New Roman"/>
          <w:color w:val="000000" w:themeColor="text1"/>
          <w:sz w:val="16"/>
          <w:szCs w:val="16"/>
        </w:rPr>
        <w:t xml:space="preserve"> ) с применением узлов и агрегатов </w:t>
      </w:r>
      <w:hyperlink r:id="rId237" w:tgtFrame="_blank" w:history="1">
        <w:r w:rsidRPr="00D03F3E">
          <w:rPr>
            <w:rFonts w:ascii="Times New Roman" w:hAnsi="Times New Roman"/>
            <w:color w:val="000000" w:themeColor="text1"/>
            <w:sz w:val="16"/>
            <w:szCs w:val="16"/>
          </w:rPr>
          <w:t>танк</w:t>
        </w:r>
      </w:hyperlink>
      <w:r w:rsidRPr="00D03F3E">
        <w:rPr>
          <w:rFonts w:ascii="Times New Roman" w:hAnsi="Times New Roman"/>
          <w:color w:val="000000" w:themeColor="text1"/>
          <w:sz w:val="16"/>
          <w:szCs w:val="16"/>
        </w:rPr>
        <w:t>а Т-70M.</w:t>
      </w:r>
    </w:p>
    <w:p w14:paraId="142CDB77"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 xml:space="preserve">В качестве основного вооружения использовалась 85-мм </w:t>
      </w:r>
      <w:hyperlink r:id="rId238" w:tgtFrame="_blank" w:history="1">
        <w:r w:rsidRPr="00D03F3E">
          <w:rPr>
            <w:rFonts w:ascii="Times New Roman" w:hAnsi="Times New Roman"/>
            <w:color w:val="000000" w:themeColor="text1"/>
            <w:sz w:val="16"/>
            <w:szCs w:val="16"/>
          </w:rPr>
          <w:t>танк</w:t>
        </w:r>
      </w:hyperlink>
      <w:r w:rsidRPr="00D03F3E">
        <w:rPr>
          <w:rFonts w:ascii="Times New Roman" w:hAnsi="Times New Roman"/>
          <w:color w:val="000000" w:themeColor="text1"/>
          <w:sz w:val="16"/>
          <w:szCs w:val="16"/>
        </w:rPr>
        <w:t>овая пушка Д-5С-85А (Т-34-85, Су-85). Начальная скорость бронебойного снаряда составляла 792 м/с. Дальность прямого выстрела составляла 1030 метров. Возимый боекомплект — 42 выстрела. Дополнительно имелись 2 пистолета-пулемётаППШ с боекомплектом 1065 патронов, а также 15 гранат Ф-1.</w:t>
      </w:r>
    </w:p>
    <w:p w14:paraId="17EC2964"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Броневой корпус закрытого типа (по типу ГАЗ-74), сварной из стальных катанных листов. Броня обеспечивала противоснарядную защиту за счёт установки лобового листа толщиной 90 мм. В передней и средней части корпуса размещались совмещённые отделение управления и боевое отделение. В задней части находился моторно-трансмиссионный отсек. Механик-водитель и командир машины располагались справа от пушки, по левую сторону находились наводчик и заряжающий. Над местом командира находилась специальная башенка во вращающейся крышке люка. По левому борту находился люк с броневой крышкой для загрузки боеприпасов. В крыше и левом борту корпуса имелись амбразуры с броневыми крышками для стрельбы экипажа из личного оружия.</w:t>
      </w:r>
    </w:p>
    <w:p w14:paraId="59FCADE7"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командирской башенке устанавливался телескопический смотровой прибор. Место механика-водителя также было оборудовано аналогичными приборами наблюдения. В походном положении механик-водитель ориентировался по прибору установленному в крыше рубки, в боевом положении — через прибор в крышке люка. Наведение орудия производилось с помощью телескопического прицела ТШ-15 и орудийной панорамы</w:t>
      </w:r>
    </w:p>
    <w:p w14:paraId="4DA8692F"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Ходовая часть ГАЗ-75 состояла из 6 опорных катков с каждой стороны и гусеничного движителя. Вместо поддерживающих катков использовались специальный полозья. На задних опорных катках устанавливался стабилизатор для предотвращения приседания машины при стрельбе. Стабилизатор приводился в действие с помощью соленоида одновременно с нажатием на кнопку электроспука орудия. Кроме того на задних катках вместе с резиновыми бандажами устанавливались специальные зубчатые венцы для постоянного зацепления с гусеницами. При выстреле происходило торможение венцов и стопорение задних катков, препятствующее откату машины.</w:t>
      </w:r>
    </w:p>
    <w:p w14:paraId="50D809FD"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отличии от Су-76Д от дизельного ленд-лизовского GMC-71, прагматично отказались и в качестве силовой установки были использованы два последовательно спаренных карбюраторных двигателя ГАЗ-80, каждый мощностью 85 л.с., как на отработанной конструкции Су-76. Узлы и агрегаты трансмиссии так же заимствовались у САУ-76.</w:t>
      </w:r>
    </w:p>
    <w:p w14:paraId="0B04078E"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ГАЗ-75, как САУ и тем более легкая САУ, вышла очень удачной. При боевой массе не более 18 тонн эта установка имела лобовую броню толщиной 75–90 мм (тогда как серийная СУ-85 — 45 мм) и была вооружена тем же мощным 85-мм орудием, что и Т-34-85 и СУ-85. А серийная, к тому времени, СУ-76 вообще уступала ей по всем показателям.</w:t>
      </w:r>
    </w:p>
    <w:p w14:paraId="34A2817E"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Расположение боевого отделения в середине САУ улучшало распределение массы на опорные катки и улучшало проходимость на пересеченной местности. При этом удачная коробка передач САУ делала ее чрезвычайно подвижной как на шоссе, так и на пересеченной местности. Низкий силуэт в сочетании с 90-мм лобовой броней и 85-мм орудием, в комплексе превращал ГАЗ-75 практически в идеальную САУ для РККА. Технологичность производства, отработанное шасси и готовая двигательная установка делали ее очень привлекательной для массового выпуска в случае принятия на вооружение.</w:t>
      </w:r>
    </w:p>
    <w:p w14:paraId="594E8D5F"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Несмотря на то, что ГАЗ-75 успешно прошла испытания, на вооружение её не приняли. Командование тогда посчитало, что при подавляющем преимуществе в количественном отношении и наличии в серийном производстве таких машин как СУ-85 и СУ-76 принимать на вооружение ещё одну САУ не имеет смысла”</w:t>
      </w:r>
    </w:p>
    <w:p w14:paraId="3592641B"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Но в серию САУ не пошла по разным причинам. Главной из них было нежелание ломать налаженный технологический процесс из-за внесения мелких изменений (как в случае с двигателями), или вообще полностью перестраивать его при переходе на производство новой машины”</w:t>
      </w:r>
    </w:p>
    <w:p w14:paraId="4C173D8B"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“САУ ГАЗ-75 оказалась тяжелой(!?), плохо маневренной(!?). К принятию на вооружение установка не была рекомендована”</w:t>
      </w:r>
    </w:p>
    <w:p w14:paraId="32A0E041"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результатам испытаний работы по ГАЗ-75 были прекращены. Основной причиной отказа от конструкции ГАЗ-75 были резкие и недопустимые перемещения машины при стрельбе в зоне от 10 до 15° по азимуту” (15642)</w:t>
      </w:r>
    </w:p>
    <w:p w14:paraId="60C7E086" w14:textId="77777777" w:rsidR="0018582B" w:rsidRPr="00D03F3E" w:rsidRDefault="0018582B" w:rsidP="00D03F3E">
      <w:pPr>
        <w:spacing w:after="0" w:line="240" w:lineRule="auto"/>
        <w:jc w:val="both"/>
        <w:rPr>
          <w:rFonts w:ascii="Times New Roman" w:hAnsi="Times New Roman"/>
          <w:color w:val="000000" w:themeColor="text1"/>
          <w:sz w:val="16"/>
          <w:szCs w:val="16"/>
        </w:rPr>
      </w:pPr>
    </w:p>
    <w:p w14:paraId="6EFD566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согласно записке нач. ОГК НКТП Бера, инженерами наркомата совместно с выпускниками МВТУ им. Баумана был проработан эскизный проект установки в танк Т-80 и САУ СУ-76 дизеля СМС мощностью 210 л.с., что позволяло впоследствии усилить их бронирование и вооружение (11135).</w:t>
      </w:r>
    </w:p>
    <w:p w14:paraId="07E7E86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CBD2E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СУ-122 была несколько модернизирована. Гаубица теперь устанавливалась в маске, которая позже перешла и к СУ-85. Возможно, что эта самоходка имела обозначение СУ-122М (3905).</w:t>
      </w:r>
    </w:p>
    <w:p w14:paraId="3466715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17ABEA"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в конструк</w:t>
      </w:r>
      <w:r w:rsidRPr="00D03F3E">
        <w:rPr>
          <w:rFonts w:ascii="Times New Roman" w:hAnsi="Times New Roman"/>
          <w:color w:val="000000" w:themeColor="text1"/>
          <w:sz w:val="16"/>
          <w:szCs w:val="16"/>
        </w:rPr>
        <w:softHyphen/>
        <w:t>торском бюро УЗТМ под руководством Л.И. Горлицкого была разработана Самоходная установка СУ-122-111. Машина являлась модернизированным образцом установки СУ-122, ведущим инженером был Н.В. Курин. В июле 1943 г. УЗТМ совместно с заводом № 50 НКТП был изготовлен опытный образец установки, ко</w:t>
      </w:r>
      <w:r w:rsidRPr="00D03F3E">
        <w:rPr>
          <w:rFonts w:ascii="Times New Roman" w:hAnsi="Times New Roman"/>
          <w:color w:val="000000" w:themeColor="text1"/>
          <w:sz w:val="16"/>
          <w:szCs w:val="16"/>
        </w:rPr>
        <w:softHyphen/>
        <w:t>торый в конце июля - начале августа того же года прошел испытания на Гороховецком АНИОПе. На вооружение установка СУ-122-111 не при</w:t>
      </w:r>
      <w:r w:rsidRPr="00D03F3E">
        <w:rPr>
          <w:rFonts w:ascii="Times New Roman" w:hAnsi="Times New Roman"/>
          <w:color w:val="000000" w:themeColor="text1"/>
          <w:sz w:val="16"/>
          <w:szCs w:val="16"/>
        </w:rPr>
        <w:softHyphen/>
        <w:t>нималась. Машина отличалась от предшествующего образца (СУ-122М) уста</w:t>
      </w:r>
      <w:r w:rsidRPr="00D03F3E">
        <w:rPr>
          <w:rFonts w:ascii="Times New Roman" w:hAnsi="Times New Roman"/>
          <w:color w:val="000000" w:themeColor="text1"/>
          <w:sz w:val="16"/>
          <w:szCs w:val="16"/>
        </w:rPr>
        <w:softHyphen/>
        <w:t>новкой вооружения. На крыше броневой рубки над местом командира машины размещалась неподвижная командирская башенка прямо</w:t>
      </w:r>
      <w:r w:rsidRPr="00D03F3E">
        <w:rPr>
          <w:rFonts w:ascii="Times New Roman" w:hAnsi="Times New Roman"/>
          <w:color w:val="000000" w:themeColor="text1"/>
          <w:sz w:val="16"/>
          <w:szCs w:val="16"/>
        </w:rPr>
        <w:softHyphen/>
        <w:t>угольной формы, на крыше которой были установлены командирская панорама ПТК и два зеркальных смотровых прибора. Экипаж установ</w:t>
      </w:r>
      <w:r w:rsidRPr="00D03F3E">
        <w:rPr>
          <w:rFonts w:ascii="Times New Roman" w:hAnsi="Times New Roman"/>
          <w:color w:val="000000" w:themeColor="text1"/>
          <w:sz w:val="16"/>
          <w:szCs w:val="16"/>
        </w:rPr>
        <w:softHyphen/>
        <w:t>ки состоял из пяти человек (10703).</w:t>
      </w:r>
    </w:p>
    <w:p w14:paraId="7C2B138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986AD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ГКО продемонстрировали опытный образец "Изделия 241", после чего самоходка была принята на вооружение под названием ИСУ-152. Работы над прототипом "Изделия 241" шли параллельно с работами над ИС-85. Новая самоходка походила на СУ-152 - свою предшественницу - но имела более высокую рубку. Корпус KB был несколько "глубже" корпуса ИС, поэтому рубку "Изделия 241" пришлось сделать повыше, чтобы разместить там необходимое оборудование и боезапас. Внутренний объем обеих машин был примерно одинаков, одинаковым был и боезапас - 20 выстрелов раздельного заряжания. Вооружение "Изделия 241" и СУ-152 составляла одна и та же пушка-гаубица МЛ-20С калибра 152 мм. (3862).</w:t>
      </w:r>
    </w:p>
    <w:p w14:paraId="4146D93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083ED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ГКО обязал челябинский СКБ-2 проверить возможность установки пушки А-19 в корпус ИСУ-152. Большой технической проблемы здесь не существовало, поскольку и А-19 и МЛ-20 в полевом варианте устанавливали на один и тот же лафет. Пришлось переделать только стеллаж с боезапасом. Главной проблемой, с которой столкнулись при серийном выпуске ИСУ-152, была острая нехватка стволов МЛ-20. Советские оборонные заводы не могли удовлетворить требования танкостроителей. Однако имелся достаток пушек А-19 калибра 122 мм и боеприпасов к ним. (3862).</w:t>
      </w:r>
    </w:p>
    <w:p w14:paraId="1560985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C1760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 1943 г. в отечественном танкостроении бы</w:t>
      </w:r>
      <w:r w:rsidRPr="00D03F3E">
        <w:rPr>
          <w:rFonts w:ascii="Times New Roman" w:hAnsi="Times New Roman"/>
          <w:color w:val="000000" w:themeColor="text1"/>
          <w:sz w:val="16"/>
          <w:szCs w:val="16"/>
        </w:rPr>
        <w:softHyphen/>
        <w:t>ло связано с разработкой нового тяжелого танка ИС и ши</w:t>
      </w:r>
      <w:r w:rsidRPr="00D03F3E">
        <w:rPr>
          <w:rFonts w:ascii="Times New Roman" w:hAnsi="Times New Roman"/>
          <w:color w:val="000000" w:themeColor="text1"/>
          <w:sz w:val="16"/>
          <w:szCs w:val="16"/>
        </w:rPr>
        <w:softHyphen/>
        <w:t>роким освоением его промышленностью взамен КВ-1С. Вполне естественно, что имеющаяся к тому времени на вооружении тяжелая САУ СУ-152 также послужила пред</w:t>
      </w:r>
      <w:r w:rsidRPr="00D03F3E">
        <w:rPr>
          <w:rFonts w:ascii="Times New Roman" w:hAnsi="Times New Roman"/>
          <w:color w:val="000000" w:themeColor="text1"/>
          <w:sz w:val="16"/>
          <w:szCs w:val="16"/>
        </w:rPr>
        <w:softHyphen/>
        <w:t>метом модернизации, которая началась распоряжением по заводу № 100 от 25 мая 1943 г. В этот день конструкторская группа самоходной артиллерии под руководством Г.Н. Москвина, к которой для усиления был прикоманди</w:t>
      </w:r>
      <w:r w:rsidRPr="00D03F3E">
        <w:rPr>
          <w:rFonts w:ascii="Times New Roman" w:hAnsi="Times New Roman"/>
          <w:color w:val="000000" w:themeColor="text1"/>
          <w:sz w:val="16"/>
          <w:szCs w:val="16"/>
        </w:rPr>
        <w:softHyphen/>
        <w:t>рован также Н.В. Курин, совместно с БТУ ГБТУ Красной Армии выработала расширенные ТТТ на тяжелую САУ, фигурировавшую в переписке под индексом СУ-152-М. В основе требований лежали следующие положения: «Разработка тяжелого самохода СУ-152-М ведется на замену самохода КВ-14.</w:t>
      </w:r>
    </w:p>
    <w:p w14:paraId="59D9F9B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1) для самохода использовать шасси и МТО танка «Объект 237»;</w:t>
      </w:r>
    </w:p>
    <w:p w14:paraId="1A4E593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2) основное вооружение сохранить в виде 152-мм самоходной пушки МЛ-20С обр. 1942 г., имеющей внутреннюю балли</w:t>
      </w:r>
      <w:r w:rsidRPr="00D03F3E">
        <w:rPr>
          <w:rFonts w:ascii="Times New Roman" w:hAnsi="Times New Roman"/>
          <w:color w:val="000000" w:themeColor="text1"/>
          <w:sz w:val="16"/>
          <w:szCs w:val="16"/>
        </w:rPr>
        <w:softHyphen/>
        <w:t>стику гаубицы-пушки указанного калибра обр. 37г.;</w:t>
      </w:r>
    </w:p>
    <w:p w14:paraId="4AC099F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3) необходимо дополнить пушечное вооружение тяжелого самохода оборонительным пулеметом кругового обстрела калибра 7,62-мм или зенитным пулеметом кал. 12,7-мм;</w:t>
      </w:r>
    </w:p>
    <w:p w14:paraId="59DFB1E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4) увеличить толщину брони лобового листа корпуса до 90-100 мм;</w:t>
      </w:r>
    </w:p>
    <w:p w14:paraId="75B80F6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5) обзорность увеличить применением нескольких смотро</w:t>
      </w:r>
      <w:r w:rsidRPr="00D03F3E">
        <w:rPr>
          <w:rFonts w:ascii="Times New Roman" w:hAnsi="Times New Roman"/>
          <w:color w:val="000000" w:themeColor="text1"/>
          <w:sz w:val="16"/>
          <w:szCs w:val="16"/>
        </w:rPr>
        <w:softHyphen/>
        <w:t>вых приборов типа МК-1Уна поворотном основании;</w:t>
      </w:r>
    </w:p>
    <w:p w14:paraId="3134D11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6) улучшить вентиляцию боевого отделения введением до</w:t>
      </w:r>
      <w:r w:rsidRPr="00D03F3E">
        <w:rPr>
          <w:rFonts w:ascii="Times New Roman" w:hAnsi="Times New Roman"/>
          <w:color w:val="000000" w:themeColor="text1"/>
          <w:sz w:val="16"/>
          <w:szCs w:val="16"/>
        </w:rPr>
        <w:softHyphen/>
        <w:t>полнительного вентилятора, или предусмотреть продув</w:t>
      </w:r>
      <w:r w:rsidRPr="00D03F3E">
        <w:rPr>
          <w:rFonts w:ascii="Times New Roman" w:hAnsi="Times New Roman"/>
          <w:color w:val="000000" w:themeColor="text1"/>
          <w:sz w:val="16"/>
          <w:szCs w:val="16"/>
        </w:rPr>
        <w:softHyphen/>
        <w:t>ку ствола орудия после выстрела...» Окончание срока разработки проекта предусматрива</w:t>
      </w:r>
      <w:r w:rsidRPr="00D03F3E">
        <w:rPr>
          <w:rFonts w:ascii="Times New Roman" w:hAnsi="Times New Roman"/>
          <w:color w:val="000000" w:themeColor="text1"/>
          <w:sz w:val="16"/>
          <w:szCs w:val="16"/>
        </w:rPr>
        <w:softHyphen/>
        <w:t>лось 1 июля 1943 г., и никто не мог даже предположить, что летом же указанные САУ поступят на вооружение.</w:t>
      </w:r>
    </w:p>
    <w:p w14:paraId="524743F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сожалению, отчет завода № 100 «о танкостроении» в годы войны не дает никаких подробностей о проведении разработки указанной машины, лишь констатирует, что эс</w:t>
      </w:r>
      <w:r w:rsidRPr="00D03F3E">
        <w:rPr>
          <w:rFonts w:ascii="Times New Roman" w:hAnsi="Times New Roman"/>
          <w:color w:val="000000" w:themeColor="text1"/>
          <w:sz w:val="16"/>
          <w:szCs w:val="16"/>
        </w:rPr>
        <w:softHyphen/>
        <w:t>кизный проект был защищен раньше срока. Также известно, что в конце июля началось изготовление прототипа тяжелой САУ, получившей наименование в переписке ИС-152. Во второй половине августа прототип был готов, но его испыта</w:t>
      </w:r>
      <w:r w:rsidRPr="00D03F3E">
        <w:rPr>
          <w:rFonts w:ascii="Times New Roman" w:hAnsi="Times New Roman"/>
          <w:color w:val="000000" w:themeColor="text1"/>
          <w:sz w:val="16"/>
          <w:szCs w:val="16"/>
        </w:rPr>
        <w:softHyphen/>
        <w:t>ния были отложены по крайней мере на месяц.</w:t>
      </w:r>
    </w:p>
    <w:p w14:paraId="1306387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Принято считать, что первый показ ИС-85, КВ-85 и ИСУ-152 состоялся нд Ивановской площади Кремля 31 ию</w:t>
      </w:r>
      <w:r w:rsidRPr="00D03F3E">
        <w:rPr>
          <w:rFonts w:ascii="Times New Roman" w:hAnsi="Times New Roman"/>
          <w:color w:val="000000" w:themeColor="text1"/>
          <w:sz w:val="16"/>
          <w:szCs w:val="16"/>
        </w:rPr>
        <w:softHyphen/>
        <w:t>ля 1943 г., но по ряду признаков (срок окончания предвари</w:t>
      </w:r>
      <w:r w:rsidRPr="00D03F3E">
        <w:rPr>
          <w:rFonts w:ascii="Times New Roman" w:hAnsi="Times New Roman"/>
          <w:color w:val="000000" w:themeColor="text1"/>
          <w:sz w:val="16"/>
          <w:szCs w:val="16"/>
        </w:rPr>
        <w:softHyphen/>
        <w:t>тельных испытаний, дата принятия на вооружение ИС-85, КВ-85 и ИС-152 ) автор считает, что показ прошел месяцем позднее, то есть 31 августа. По многочисленным воспомина</w:t>
      </w:r>
      <w:r w:rsidRPr="00D03F3E">
        <w:rPr>
          <w:rFonts w:ascii="Times New Roman" w:hAnsi="Times New Roman"/>
          <w:color w:val="000000" w:themeColor="text1"/>
          <w:sz w:val="16"/>
          <w:szCs w:val="16"/>
        </w:rPr>
        <w:softHyphen/>
        <w:t>ниям в показе новых танков участвовали В.А. Малышев, Я.В. Федоренко, К.Е. Ворошилов, Л.П. Берия, В.М. Молотов и И.В. Сталин. Некоторые добавляют в число свиты также на</w:t>
      </w:r>
      <w:r w:rsidRPr="00D03F3E">
        <w:rPr>
          <w:rFonts w:ascii="Times New Roman" w:hAnsi="Times New Roman"/>
          <w:color w:val="000000" w:themeColor="text1"/>
          <w:sz w:val="16"/>
          <w:szCs w:val="16"/>
        </w:rPr>
        <w:softHyphen/>
        <w:t>чальника ГАУ Н.Д. Яковлева, наркома Вооружений Д.Ф. Ус</w:t>
      </w:r>
      <w:r w:rsidRPr="00D03F3E">
        <w:rPr>
          <w:rFonts w:ascii="Times New Roman" w:hAnsi="Times New Roman"/>
          <w:color w:val="000000" w:themeColor="text1"/>
          <w:sz w:val="16"/>
          <w:szCs w:val="16"/>
        </w:rPr>
        <w:softHyphen/>
        <w:t>тинова, а также иных представителей ГАУ и ГБТУ.</w:t>
      </w:r>
    </w:p>
    <w:p w14:paraId="70AFE9E4"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Все свидетели указанного события отмечают, что перед показом из машин удалили экипажи, кроме, механика-води</w:t>
      </w:r>
      <w:r w:rsidRPr="00D03F3E">
        <w:rPr>
          <w:rFonts w:ascii="Times New Roman" w:hAnsi="Times New Roman"/>
          <w:color w:val="000000" w:themeColor="text1"/>
          <w:sz w:val="16"/>
          <w:szCs w:val="16"/>
        </w:rPr>
        <w:softHyphen/>
        <w:t>теля, заменив отсутствовавших сотрудником госбезопаснос</w:t>
      </w:r>
      <w:r w:rsidRPr="00D03F3E">
        <w:rPr>
          <w:rFonts w:ascii="Times New Roman" w:hAnsi="Times New Roman"/>
          <w:color w:val="000000" w:themeColor="text1"/>
          <w:sz w:val="16"/>
          <w:szCs w:val="16"/>
        </w:rPr>
        <w:softHyphen/>
        <w:t>ти. Доставленные в Кремль машины вызвали живейший ин</w:t>
      </w:r>
      <w:r w:rsidRPr="00D03F3E">
        <w:rPr>
          <w:rFonts w:ascii="Times New Roman" w:hAnsi="Times New Roman"/>
          <w:color w:val="000000" w:themeColor="text1"/>
          <w:sz w:val="16"/>
          <w:szCs w:val="16"/>
        </w:rPr>
        <w:softHyphen/>
        <w:t>терес вождя, который захотел взобраться именно на ИСУ-152. Никто из присутствовавших не ожидал этого, и никакой лесенки запасено не было. Двое ретивых генералов кинулись помогать вождю, но он отстранил их и самостоя</w:t>
      </w:r>
      <w:r w:rsidRPr="00D03F3E">
        <w:rPr>
          <w:rFonts w:ascii="Times New Roman" w:hAnsi="Times New Roman"/>
          <w:color w:val="000000" w:themeColor="text1"/>
          <w:sz w:val="16"/>
          <w:szCs w:val="16"/>
        </w:rPr>
        <w:softHyphen/>
        <w:t>тельно взобрался на МТО тяжелой САУ, после чего, заглянув в боевое отделение, поинтересовался у сотрудника госбезо</w:t>
      </w:r>
      <w:r w:rsidRPr="00D03F3E">
        <w:rPr>
          <w:rFonts w:ascii="Times New Roman" w:hAnsi="Times New Roman"/>
          <w:color w:val="000000" w:themeColor="text1"/>
          <w:sz w:val="16"/>
          <w:szCs w:val="16"/>
        </w:rPr>
        <w:softHyphen/>
        <w:t>пасности, что в новой САУ сделано для улучшения вентиля</w:t>
      </w:r>
      <w:r w:rsidRPr="00D03F3E">
        <w:rPr>
          <w:rFonts w:ascii="Times New Roman" w:hAnsi="Times New Roman"/>
          <w:color w:val="000000" w:themeColor="text1"/>
          <w:sz w:val="16"/>
          <w:szCs w:val="16"/>
        </w:rPr>
        <w:softHyphen/>
        <w:t>ции, так как в ходе боев на Курской дуге были случаи отрав</w:t>
      </w:r>
      <w:r w:rsidRPr="00D03F3E">
        <w:rPr>
          <w:rFonts w:ascii="Times New Roman" w:hAnsi="Times New Roman"/>
          <w:color w:val="000000" w:themeColor="text1"/>
          <w:sz w:val="16"/>
          <w:szCs w:val="16"/>
        </w:rPr>
        <w:softHyphen/>
        <w:t>ления экипажей пороховыми газами. Понятно, что опро</w:t>
      </w:r>
      <w:r w:rsidRPr="00D03F3E">
        <w:rPr>
          <w:rFonts w:ascii="Times New Roman" w:hAnsi="Times New Roman"/>
          <w:color w:val="000000" w:themeColor="text1"/>
          <w:sz w:val="16"/>
          <w:szCs w:val="16"/>
        </w:rPr>
        <w:softHyphen/>
        <w:t xml:space="preserve">шенный молчал как партизан на допросе, но положение спас </w:t>
      </w:r>
      <w:r w:rsidRPr="00D03F3E">
        <w:rPr>
          <w:rFonts w:ascii="Times New Roman" w:hAnsi="Times New Roman"/>
          <w:color w:val="000000" w:themeColor="text1"/>
          <w:sz w:val="16"/>
          <w:szCs w:val="16"/>
        </w:rPr>
        <w:lastRenderedPageBreak/>
        <w:t>находчивый водитель, доложивший вождю, что в указанной САУ введен дополнительный вентилятор боевого отделения.</w:t>
      </w:r>
    </w:p>
    <w:p w14:paraId="27ACBB6D"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Закончив осмотр, вождь спустился на землю и поздравил наркома В.А. Малышева с новым достижением, а 4 сентября 1943 г.. постановлением ГКО № 4043сс тяжелые танки КВ-85, ИС-85 и ИС-152 (будущая ИСУ-152) были приняты на во</w:t>
      </w:r>
      <w:r w:rsidRPr="00D03F3E">
        <w:rPr>
          <w:rFonts w:ascii="Times New Roman" w:hAnsi="Times New Roman"/>
          <w:color w:val="000000" w:themeColor="text1"/>
          <w:sz w:val="16"/>
          <w:szCs w:val="16"/>
        </w:rPr>
        <w:softHyphen/>
        <w:t>оружение Красной Армии. Но если в отношении КВ-85 и ИС-85 это могло означать немедленную организацию серий</w:t>
      </w:r>
      <w:r w:rsidRPr="00D03F3E">
        <w:rPr>
          <w:rFonts w:ascii="Times New Roman" w:hAnsi="Times New Roman"/>
          <w:color w:val="000000" w:themeColor="text1"/>
          <w:sz w:val="16"/>
          <w:szCs w:val="16"/>
        </w:rPr>
        <w:softHyphen/>
        <w:t>ного производства, то с ИС-152 до этого было еще далеко (11417).</w:t>
      </w:r>
    </w:p>
    <w:p w14:paraId="289F182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6E0B3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Артуправление Красной Армии в услови</w:t>
      </w:r>
      <w:r w:rsidRPr="00D03F3E">
        <w:rPr>
          <w:rFonts w:ascii="Times New Roman" w:hAnsi="Times New Roman"/>
          <w:color w:val="000000" w:themeColor="text1"/>
          <w:sz w:val="16"/>
          <w:szCs w:val="16"/>
        </w:rPr>
        <w:softHyphen/>
        <w:t>ях начавшегося стратегического наступления на советско-германском фронте, а также больших потерь в артиллерий</w:t>
      </w:r>
      <w:r w:rsidRPr="00D03F3E">
        <w:rPr>
          <w:rFonts w:ascii="Times New Roman" w:hAnsi="Times New Roman"/>
          <w:color w:val="000000" w:themeColor="text1"/>
          <w:sz w:val="16"/>
          <w:szCs w:val="16"/>
        </w:rPr>
        <w:softHyphen/>
        <w:t>ской «тягловой силе» (а потери автомобилей грузоподъем</w:t>
      </w:r>
      <w:r w:rsidRPr="00D03F3E">
        <w:rPr>
          <w:rFonts w:ascii="Times New Roman" w:hAnsi="Times New Roman"/>
          <w:color w:val="000000" w:themeColor="text1"/>
          <w:sz w:val="16"/>
          <w:szCs w:val="16"/>
        </w:rPr>
        <w:softHyphen/>
        <w:t>ностью 3/4 —1,5 тонны от различных причин в ходе каждой наступательной операции составляли в среднем 24—52%) разработало концепцию перевода полковой и дивизионной артиллерии мотострелковых соединений на самодвижущи</w:t>
      </w:r>
      <w:r w:rsidRPr="00D03F3E">
        <w:rPr>
          <w:rFonts w:ascii="Times New Roman" w:hAnsi="Times New Roman"/>
          <w:color w:val="000000" w:themeColor="text1"/>
          <w:sz w:val="16"/>
          <w:szCs w:val="16"/>
        </w:rPr>
        <w:softHyphen/>
        <w:t>еся лафеты. Этот проект в недрах ГАУ получил условное на</w:t>
      </w:r>
      <w:r w:rsidRPr="00D03F3E">
        <w:rPr>
          <w:rFonts w:ascii="Times New Roman" w:hAnsi="Times New Roman"/>
          <w:color w:val="000000" w:themeColor="text1"/>
          <w:sz w:val="16"/>
          <w:szCs w:val="16"/>
        </w:rPr>
        <w:softHyphen/>
        <w:t>звание «ОСА» (общевойсковая самоходная артиллерия). Рождение проекта было вынужденной мерой отечествен</w:t>
      </w:r>
      <w:r w:rsidRPr="00D03F3E">
        <w:rPr>
          <w:rFonts w:ascii="Times New Roman" w:hAnsi="Times New Roman"/>
          <w:color w:val="000000" w:themeColor="text1"/>
          <w:sz w:val="16"/>
          <w:szCs w:val="16"/>
        </w:rPr>
        <w:softHyphen/>
        <w:t>ных артиллеристов, которых незадолго до этого лишили самоходной артиллерии, передав ее в ведение бронетанко</w:t>
      </w:r>
      <w:r w:rsidRPr="00D03F3E">
        <w:rPr>
          <w:rFonts w:ascii="Times New Roman" w:hAnsi="Times New Roman"/>
          <w:color w:val="000000" w:themeColor="text1"/>
          <w:sz w:val="16"/>
          <w:szCs w:val="16"/>
        </w:rPr>
        <w:softHyphen/>
        <w:t>вых войск. Таким образом, ОСА-76, о которой пойдет речь ниже, отнюдь не являлась предшественником или развити</w:t>
      </w:r>
      <w:r w:rsidRPr="00D03F3E">
        <w:rPr>
          <w:rFonts w:ascii="Times New Roman" w:hAnsi="Times New Roman"/>
          <w:color w:val="000000" w:themeColor="text1"/>
          <w:sz w:val="16"/>
          <w:szCs w:val="16"/>
        </w:rPr>
        <w:softHyphen/>
        <w:t>ем семейства СУ-76, как то считалось некоторыми исследователями, но представляет абсолютно самостоятельный класс артиллерийских систем, разработка которых нача</w:t>
      </w:r>
      <w:r w:rsidRPr="00D03F3E">
        <w:rPr>
          <w:rFonts w:ascii="Times New Roman" w:hAnsi="Times New Roman"/>
          <w:color w:val="000000" w:themeColor="text1"/>
          <w:sz w:val="16"/>
          <w:szCs w:val="16"/>
        </w:rPr>
        <w:softHyphen/>
        <w:t>лась уже в то время, когда СУ-76 вовсю воевали на фронте. Проектом «ОСА» предполагалось создание следующих са</w:t>
      </w:r>
      <w:r w:rsidRPr="00D03F3E">
        <w:rPr>
          <w:rFonts w:ascii="Times New Roman" w:hAnsi="Times New Roman"/>
          <w:color w:val="000000" w:themeColor="text1"/>
          <w:sz w:val="16"/>
          <w:szCs w:val="16"/>
        </w:rPr>
        <w:softHyphen/>
        <w:t>модвижущихся артсистем:</w:t>
      </w:r>
    </w:p>
    <w:p w14:paraId="6AB163FE"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ОСА-76 — самодвижущаяся 76-мм дивизионная пушка частичного бронирования;</w:t>
      </w:r>
    </w:p>
    <w:p w14:paraId="325602D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ОСА-57 — самодвижущаяся 57-мм противотанковая пушка частичного бронирования;</w:t>
      </w:r>
    </w:p>
    <w:p w14:paraId="28B76D0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ОСА-3 («Зенитный») — самодвижущийся зенитный ав</w:t>
      </w:r>
      <w:r w:rsidRPr="00D03F3E">
        <w:rPr>
          <w:rFonts w:ascii="Times New Roman" w:hAnsi="Times New Roman"/>
          <w:color w:val="000000" w:themeColor="text1"/>
          <w:sz w:val="16"/>
          <w:szCs w:val="16"/>
        </w:rPr>
        <w:softHyphen/>
        <w:t>томат, или спарка крупнокалиберных зенитных пуле</w:t>
      </w:r>
      <w:r w:rsidRPr="00D03F3E">
        <w:rPr>
          <w:rFonts w:ascii="Times New Roman" w:hAnsi="Times New Roman"/>
          <w:color w:val="000000" w:themeColor="text1"/>
          <w:sz w:val="16"/>
          <w:szCs w:val="16"/>
        </w:rPr>
        <w:softHyphen/>
        <w:t>метов частичного бронирования. Ответственным исполнителем по проекту «ОСА» были назначены завод № 38 НКТП и ГАЗ.</w:t>
      </w:r>
    </w:p>
    <w:p w14:paraId="1FDDD87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На заводе № 38 руководил проектными работами М.Н.Щукин. Из предложенных на суд Артуправления эс</w:t>
      </w:r>
      <w:r w:rsidRPr="00D03F3E">
        <w:rPr>
          <w:rFonts w:ascii="Times New Roman" w:hAnsi="Times New Roman"/>
          <w:color w:val="000000" w:themeColor="text1"/>
          <w:sz w:val="16"/>
          <w:szCs w:val="16"/>
        </w:rPr>
        <w:softHyphen/>
        <w:t>кизных проектов были одобрены ОСА-76 и ОСА-57, пер</w:t>
      </w:r>
      <w:r w:rsidRPr="00D03F3E">
        <w:rPr>
          <w:rFonts w:ascii="Times New Roman" w:hAnsi="Times New Roman"/>
          <w:color w:val="000000" w:themeColor="text1"/>
          <w:sz w:val="16"/>
          <w:szCs w:val="16"/>
        </w:rPr>
        <w:softHyphen/>
        <w:t xml:space="preserve">вый из которых предполагалось изготовить «в металле» в </w:t>
      </w:r>
      <w:r w:rsidRPr="00D03F3E">
        <w:rPr>
          <w:rFonts w:ascii="Times New Roman" w:hAnsi="Times New Roman"/>
          <w:color w:val="000000" w:themeColor="text1"/>
          <w:sz w:val="16"/>
          <w:szCs w:val="16"/>
          <w:lang w:val="en-US"/>
        </w:rPr>
        <w:t>IV</w:t>
      </w:r>
      <w:r w:rsidRPr="00D03F3E">
        <w:rPr>
          <w:rFonts w:ascii="Times New Roman" w:hAnsi="Times New Roman"/>
          <w:color w:val="000000" w:themeColor="text1"/>
          <w:sz w:val="16"/>
          <w:szCs w:val="16"/>
        </w:rPr>
        <w:t xml:space="preserve"> квартале 1943 г. ОСА-76 представляла собой малоразмер</w:t>
      </w:r>
      <w:r w:rsidRPr="00D03F3E">
        <w:rPr>
          <w:rFonts w:ascii="Times New Roman" w:hAnsi="Times New Roman"/>
          <w:color w:val="000000" w:themeColor="text1"/>
          <w:sz w:val="16"/>
          <w:szCs w:val="16"/>
        </w:rPr>
        <w:softHyphen/>
        <w:t>ную машину массой не более 3500 кг с автомобильным дви</w:t>
      </w:r>
      <w:r w:rsidRPr="00D03F3E">
        <w:rPr>
          <w:rFonts w:ascii="Times New Roman" w:hAnsi="Times New Roman"/>
          <w:color w:val="000000" w:themeColor="text1"/>
          <w:sz w:val="16"/>
          <w:szCs w:val="16"/>
        </w:rPr>
        <w:softHyphen/>
        <w:t>гателем ГАЗ-ММ, вооруженную 76-мм орудием ЗИС-3. Хо</w:t>
      </w:r>
      <w:r w:rsidRPr="00D03F3E">
        <w:rPr>
          <w:rFonts w:ascii="Times New Roman" w:hAnsi="Times New Roman"/>
          <w:color w:val="000000" w:themeColor="text1"/>
          <w:sz w:val="16"/>
          <w:szCs w:val="16"/>
        </w:rPr>
        <w:softHyphen/>
        <w:t>довая часть ОСА собиралась из стандартных узлов ходовых частей танков Т-60 или Т-70, экипаж насчитывал 3 челове</w:t>
      </w:r>
      <w:r w:rsidRPr="00D03F3E">
        <w:rPr>
          <w:rFonts w:ascii="Times New Roman" w:hAnsi="Times New Roman"/>
          <w:color w:val="000000" w:themeColor="text1"/>
          <w:sz w:val="16"/>
          <w:szCs w:val="16"/>
        </w:rPr>
        <w:softHyphen/>
        <w:t>ка. Броневая защита ОСА-76 соответствовала толщине штатного щита орудий ЗИС-3, ЗИС-2 и М-30 и составляла 6 мм брони высокой твердости.</w:t>
      </w:r>
    </w:p>
    <w:p w14:paraId="1CC5446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КБ ГАЗ под руководством Н.А. Астрова и Н.В. Грачева в рамках тех же ТТТ предложило машину ГАЗ-68, позже на</w:t>
      </w:r>
      <w:r w:rsidRPr="00D03F3E">
        <w:rPr>
          <w:rFonts w:ascii="Times New Roman" w:hAnsi="Times New Roman"/>
          <w:color w:val="000000" w:themeColor="text1"/>
          <w:sz w:val="16"/>
          <w:szCs w:val="16"/>
        </w:rPr>
        <w:softHyphen/>
        <w:t>званную КСП-76 (колесная 76-мм самодвижущаяся пуш</w:t>
      </w:r>
      <w:r w:rsidRPr="00D03F3E">
        <w:rPr>
          <w:rFonts w:ascii="Times New Roman" w:hAnsi="Times New Roman"/>
          <w:color w:val="000000" w:themeColor="text1"/>
          <w:sz w:val="16"/>
          <w:szCs w:val="16"/>
        </w:rPr>
        <w:softHyphen/>
        <w:t>ка). В качестве базы горьковчане использовали шасси и двигательный агрегат автомобиля повышенной проходи</w:t>
      </w:r>
      <w:r w:rsidRPr="00D03F3E">
        <w:rPr>
          <w:rFonts w:ascii="Times New Roman" w:hAnsi="Times New Roman"/>
          <w:color w:val="000000" w:themeColor="text1"/>
          <w:sz w:val="16"/>
          <w:szCs w:val="16"/>
        </w:rPr>
        <w:softHyphen/>
        <w:t>мости ГАЗ-63 (двигатель ГАЗ-202 от танка Т-60 мощностью около 63 л.с.) с броневым кузовом, имеющим толщину в лобовой части первоначально 10 мм, в ходе доработки до</w:t>
      </w:r>
      <w:r w:rsidRPr="00D03F3E">
        <w:rPr>
          <w:rFonts w:ascii="Times New Roman" w:hAnsi="Times New Roman"/>
          <w:color w:val="000000" w:themeColor="text1"/>
          <w:sz w:val="16"/>
          <w:szCs w:val="16"/>
        </w:rPr>
        <w:softHyphen/>
        <w:t>веденную до 16 мм. Для улучшения распределения массы двигатель ГАЗ-202 с системами питания и охлаждения был перенесен в кормовую часть. Экипаж, как и у ОСА-76, так</w:t>
      </w:r>
      <w:r w:rsidRPr="00D03F3E">
        <w:rPr>
          <w:rFonts w:ascii="Times New Roman" w:hAnsi="Times New Roman"/>
          <w:color w:val="000000" w:themeColor="text1"/>
          <w:sz w:val="16"/>
          <w:szCs w:val="16"/>
        </w:rPr>
        <w:softHyphen/>
        <w:t>же составлял 3 человека (11417).</w:t>
      </w:r>
    </w:p>
    <w:p w14:paraId="56DE566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A644C1" w14:textId="77777777" w:rsidR="00DA09C1" w:rsidRPr="00D03F3E" w:rsidRDefault="00DA09C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бомбардировщики Люфтваффе интенсивно атаковали Горьковский автозавод, выпускавший тогда грузовики и бронемашины. Видимо, Абвер не знал, что знаменитые “тридцатьчетверки” изготавливали на соседнем “Красном Сормове”, который избежал разрушительных налетов фашистской авиации. А вот ГАЗ тогда подвергся массированным бомбардировкам. В ходе 25 воздушных атак было разрушено около полусотни производственных корпусов, выведено из строя 9 тысяч метров конвейерных линий, 6 тысяч единиц технологического оборудования.</w:t>
      </w:r>
    </w:p>
    <w:p w14:paraId="47A85995" w14:textId="77777777" w:rsidR="00DA09C1" w:rsidRPr="00D03F3E" w:rsidRDefault="00DA09C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это время появились первые плазовые чертежи нового автомобиля - будущей Победы. В СССР тогда не существовало сколько–нибудь серьезной кузовостроительной школы. Ни один ВУЗ страны не готовил специалистов в этой области. Для предвоенных моделей кузовную оснастку заказывали, как правило, американцам. В этот раз все пришлось делать самим. Впервые плазовые чертежи кузовной поверхности корректировались средствами графопластики и впервые изготовили деревянный полноразмерный мастер–макет формы. Имя, кстати, у советского автомобиля тоже появилось впервые, до этого новые модели получали лишь порядковый номер или цифровую комбинацию. Не все получалось с первого раза. Из-за того, что мастер–модели (инструмент, по которому контролируются штампы) в основном делались из ольхи, они покоробились, и пришлось вести переподготовку по восьми крупным штампам. Это затянуло наладку штампов на два месяца.</w:t>
      </w:r>
    </w:p>
    <w:p w14:paraId="20818F2F" w14:textId="77777777" w:rsidR="00DA09C1" w:rsidRPr="00D03F3E" w:rsidRDefault="00DA09C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изготовления первых машин обнаружился редкий оптический эффект: при взгляде на переднее крыло с определенных ракурсов, казалось, что крыло вогнуто. Этот эффект возникал из-за того, что большой участок крыла имел кривизну постоянного радиуса. На макетах по каким-то причинам этого заметно не было. Впервые столкнувшиеся с таким удивительным оптическим обманом конструкторы, впервые же применили и специальную методику для его устранения — сюрфасографию (разработка смежных пространственных форм на плоскости).</w:t>
      </w:r>
    </w:p>
    <w:p w14:paraId="255EC0B0" w14:textId="77777777" w:rsidR="00DA09C1" w:rsidRPr="00D03F3E" w:rsidRDefault="00DA09C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Подводили и металлурги: не было прокатного листа с шириной, достаточной для технологиями штамповки сложных поверхностей. Приходилось некоторые элементы кузова штамповать по частям, а потом сваривать фрагменты воедино. Нарушалась прочность, страдал внешний вид. Швы приходилось шпатлевать припоем и зачищать. Производство значительно усложнялось, а вес машины неоправданно возрастал (12286).</w:t>
      </w:r>
    </w:p>
    <w:p w14:paraId="3F12E5C5" w14:textId="77777777" w:rsidR="00DA09C1" w:rsidRPr="00D03F3E" w:rsidRDefault="00DA09C1" w:rsidP="00D03F3E">
      <w:pPr>
        <w:spacing w:after="0" w:line="240" w:lineRule="auto"/>
        <w:jc w:val="both"/>
        <w:rPr>
          <w:rFonts w:ascii="Times New Roman" w:hAnsi="Times New Roman"/>
          <w:color w:val="000000" w:themeColor="text1"/>
          <w:sz w:val="16"/>
          <w:szCs w:val="16"/>
        </w:rPr>
      </w:pPr>
    </w:p>
    <w:p w14:paraId="76D01873" w14:textId="77777777" w:rsidR="007C12F1" w:rsidRPr="00D03F3E" w:rsidRDefault="007C12F1"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Летом 1943 года орудие ЧК установили на соответствующе доработанный автомобиль ГАЗ-64. Или не ГАЗ-64? В переписке представители ОКБЛ-46 называют машину ГАЗ-67. Правда жизни заключается в том, что "узкоколейный" ГАЗ-67 никто не видел, и как бы это не он. По крайней мере, до сих пор внешний вид машины загадка. Так или иначе, но концепция установки ЧК в ГАЗ-67 несколько отличалась от исходной идеи. До того предполагалась более существенная доработка машины с точки зрения установки креплений для частей лафета. Теперь же лафет крепился в носовой части машины, перед бампером, это позволяло оперативно привести орудие в походное положение. А вот установка непосредственно в машину была той же. Лобовое стекло переделывали: оно получало вырез, в котором торчало орудие. Огонь велся с заднего сиденья, причем это можно было делать практически с хода. Для десантных частей самое оно. Надо сказать, что еще в 1941 году что-то похожее разрабатывали американцы, сначала на базе Bantam BRC 40, а затем на базе Willys MB. Но получилась более несуразная конструкция, у ОКБЛ-46 та же концепция оказалась более удачной по исполнению.</w:t>
      </w:r>
    </w:p>
    <w:p w14:paraId="2846EEBD" w14:textId="77777777" w:rsidR="007C12F1" w:rsidRPr="00D03F3E" w:rsidRDefault="007C12F1" w:rsidP="00D03F3E">
      <w:pPr>
        <w:shd w:val="clear" w:color="auto" w:fill="FFFFFF"/>
        <w:spacing w:after="0" w:line="240" w:lineRule="auto"/>
        <w:jc w:val="both"/>
        <w:rPr>
          <w:rFonts w:ascii="Times New Roman" w:eastAsia="Times New Roman" w:hAnsi="Times New Roman"/>
          <w:color w:val="0070C0"/>
          <w:sz w:val="16"/>
          <w:szCs w:val="16"/>
          <w:lang w:eastAsia="ru-RU"/>
        </w:rPr>
      </w:pPr>
      <w:r w:rsidRPr="00D03F3E">
        <w:rPr>
          <w:rFonts w:ascii="Times New Roman" w:eastAsia="Times New Roman" w:hAnsi="Times New Roman"/>
          <w:color w:val="0070C0"/>
          <w:sz w:val="16"/>
          <w:szCs w:val="16"/>
          <w:lang w:eastAsia="ru-RU"/>
        </w:rPr>
        <w:t>Непосредственно на базе ГАЗ-67 (или ГАЗ-64, может артиллеристы и ошиблись) серийно "самоходный лафет" для ЧК не делали. В июне 1943 года ГАЗ им. Молотова разбомбили, пришлось почти заново восстанавливать производство, а ГАЗ-67Б выпускался в мизерных объемах. Посему для ЧК делали аналогичную базу уже с использованием автомобилей, поставлявшимся по ленд-лизу (20126).</w:t>
      </w:r>
    </w:p>
    <w:p w14:paraId="44417EFC" w14:textId="77777777" w:rsidR="007C12F1" w:rsidRPr="00D03F3E" w:rsidRDefault="007C12F1" w:rsidP="00D03F3E">
      <w:pPr>
        <w:shd w:val="clear" w:color="auto" w:fill="FFFFFF"/>
        <w:spacing w:after="0" w:line="240" w:lineRule="auto"/>
        <w:jc w:val="both"/>
        <w:rPr>
          <w:rFonts w:ascii="Times New Roman" w:hAnsi="Times New Roman"/>
          <w:color w:val="0070C0"/>
          <w:sz w:val="16"/>
          <w:szCs w:val="16"/>
        </w:rPr>
      </w:pPr>
    </w:p>
    <w:p w14:paraId="53059B7E" w14:textId="77777777" w:rsidR="008F78BA" w:rsidRPr="00D03F3E" w:rsidRDefault="008F78BA" w:rsidP="00D03F3E">
      <w:pPr>
        <w:pStyle w:val="ae"/>
        <w:shd w:val="clear" w:color="auto" w:fill="FFFFFF"/>
        <w:spacing w:before="0" w:after="0"/>
        <w:jc w:val="both"/>
        <w:rPr>
          <w:color w:val="000000" w:themeColor="text1"/>
          <w:sz w:val="16"/>
          <w:szCs w:val="16"/>
        </w:rPr>
      </w:pPr>
      <w:r w:rsidRPr="00D03F3E">
        <w:rPr>
          <w:color w:val="000000" w:themeColor="text1"/>
          <w:sz w:val="16"/>
          <w:szCs w:val="16"/>
        </w:rPr>
        <w:t xml:space="preserve">Лето 1943 года оказалось для советского танкостроения временем серьёзных перемен. Сражение на Курской дуге дало ГБТУ КА много пищи для размышлений. Появились сомнения в эффективности советских лёгких танков. Выпускавшийся на ГАЗ им. Молотова лёгкий танк Т-70Б имел на поле боя мало шансов не только при встрече с тяжёлыми, но даже средними танками противника. Эффективность нового лёгкого танка </w:t>
      </w:r>
      <w:hyperlink r:id="rId239" w:history="1">
        <w:r w:rsidRPr="00D03F3E">
          <w:rPr>
            <w:rStyle w:val="a5"/>
            <w:color w:val="000000" w:themeColor="text1"/>
            <w:sz w:val="16"/>
            <w:szCs w:val="16"/>
          </w:rPr>
          <w:t>Т-80</w:t>
        </w:r>
      </w:hyperlink>
      <w:r w:rsidRPr="00D03F3E">
        <w:rPr>
          <w:color w:val="000000" w:themeColor="text1"/>
          <w:sz w:val="16"/>
          <w:szCs w:val="16"/>
        </w:rPr>
        <w:t>, производство которого с трудом налаживалось на заводе №40, тоже была под вопросом. Даже в случае установки на него длинноствольной 45-мм танковой пушки ВТ-43 перспективы Т-80 при встрече с немецкими танками были сомнительными (17728).</w:t>
      </w:r>
    </w:p>
    <w:p w14:paraId="192B2451" w14:textId="77777777" w:rsidR="008F78BA" w:rsidRPr="00D03F3E"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71CEE5A" w14:textId="77777777" w:rsidR="008F78BA" w:rsidRPr="00D03F3E"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Летом 1943 года группа советских специалистов посетила полигон компании General Motors в Мильфорде, штат Мичиган. Целью визита был осмотр тяжелых танков T1E2 и </w:t>
      </w:r>
      <w:hyperlink r:id="rId240" w:history="1">
        <w:r w:rsidRPr="00D03F3E">
          <w:rPr>
            <w:rFonts w:ascii="Times New Roman" w:eastAsia="Times New Roman" w:hAnsi="Times New Roman"/>
            <w:color w:val="000000" w:themeColor="text1"/>
            <w:sz w:val="16"/>
            <w:szCs w:val="16"/>
            <w:lang w:eastAsia="ru-RU"/>
          </w:rPr>
          <w:t>M6</w:t>
        </w:r>
      </w:hyperlink>
      <w:r w:rsidRPr="00D03F3E">
        <w:rPr>
          <w:rFonts w:ascii="Times New Roman" w:eastAsia="Times New Roman" w:hAnsi="Times New Roman"/>
          <w:color w:val="000000" w:themeColor="text1"/>
          <w:sz w:val="16"/>
          <w:szCs w:val="16"/>
          <w:lang w:eastAsia="ru-RU"/>
        </w:rPr>
        <w:t>. Осмотр проводился поверхностный, американцы не особо горели желанием что-то показывать. Тем не менее, инженер Сорвин, который возглавлял группу, смог получить приличный объём информации.</w:t>
      </w:r>
    </w:p>
    <w:p w14:paraId="1BF0ABA5" w14:textId="77777777" w:rsidR="008F78BA" w:rsidRPr="00D03F3E"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При осмотре тяжелых танков в разговоре возникла тема «танка-истребителя Т-70». Подняли ее случайно сами американцы. По словам капитана Карлсона, «танк-истребитель» был спроектирован с учетом требований Командования истребителей танков (Tank Destroyer Command). Одним из ключевых преимуществ новой противотанковой САУ должна была стать высокая маневренность. Этого удалось добиться за счет существенного снижения толщины брони.</w:t>
      </w:r>
    </w:p>
    <w:p w14:paraId="7AF58E36" w14:textId="77777777" w:rsidR="008F78BA" w:rsidRPr="00D03F3E"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По задумке, Т-70 </w:t>
      </w:r>
      <w:r w:rsidRPr="00D03F3E">
        <w:rPr>
          <w:rFonts w:ascii="Times New Roman" w:eastAsia="Times New Roman" w:hAnsi="Times New Roman"/>
          <w:iCs/>
          <w:color w:val="000000" w:themeColor="text1"/>
          <w:sz w:val="16"/>
          <w:szCs w:val="16"/>
          <w:lang w:eastAsia="ru-RU"/>
        </w:rPr>
        <w:t>«должен был обладать способностью к быстрым внезапным налётам на танковые подразделения противника для стрельбы с близких расстояний и так же быстро исчезать»</w:t>
      </w:r>
      <w:r w:rsidRPr="00D03F3E">
        <w:rPr>
          <w:rFonts w:ascii="Times New Roman" w:eastAsia="Times New Roman" w:hAnsi="Times New Roman"/>
          <w:color w:val="000000" w:themeColor="text1"/>
          <w:sz w:val="16"/>
          <w:szCs w:val="16"/>
          <w:lang w:eastAsia="ru-RU"/>
        </w:rPr>
        <w:t>. Правда, Сорвин сразу же подверг эту концепцию критике, резонно заметив, что достижение такой высокой скорости возможно только на равнинной местности.</w:t>
      </w:r>
    </w:p>
    <w:p w14:paraId="395DB371" w14:textId="77777777" w:rsidR="008F78BA" w:rsidRPr="00D03F3E"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Более разговорчивым оказался американский майор Берг. По его словам, корпус и башню «танка-истребителя Т-70» спроектировал тот же человек, который проектировал GMC M10. Если приглядеться, то сходство между этими машинами действительно есть, так что майор вряд ли лукавил. Также от американского офицера удалось получить довольно подробные тактико-технические характеристики (ТТХ) машины. Столь высокая осведомленность объяснялась просто: сам Берг как раз и являлся одним из создателей машины, отвечавшим за её ходовую часть.</w:t>
      </w:r>
    </w:p>
    <w:p w14:paraId="5AB9B969" w14:textId="77777777" w:rsidR="008F78BA" w:rsidRPr="00D03F3E"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То, что рассказал Берг, заставляет по-иному взглянуть на историю с испытаниями в США советских танков Т-34 и КВ-1. Дело в том, что новая ходовая часть для американской САУ разрабатывалась с учетом тщательного изучения советских машин. Ходовая часть Т-34 была взята за основу, но при этом подвеску американский инженер взял от КВ-1. Впрочем, Берг ее переделал. Диаметр торсионных валов первой и последней пары опорных катков был увеличен. Также торсионные валы были смещены друг относительно друга на 2 градуса, а сами они монтировались в роликовых подшипниках. Появились и дополнительные упругие элементы, которые заметно улучшили плавность хода.</w:t>
      </w:r>
    </w:p>
    <w:p w14:paraId="220AD64D" w14:textId="77777777" w:rsidR="008F78BA" w:rsidRPr="00D03F3E"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Причины, по которым Берг столь подробно делился информацией по новой самоходной установке, выяснились быстро. Работы по GMC T70 находились в самом разгаре, а присутствие советских специалистов вселило надежду, что они могут поделиться полезной информацией по устройству подвески.</w:t>
      </w:r>
    </w:p>
    <w:p w14:paraId="14CC03B2" w14:textId="77777777" w:rsidR="008F78BA" w:rsidRPr="00D03F3E"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lastRenderedPageBreak/>
        <w:t>Лишним подтверждением этого предположения стали действия Берга после того, как он узнал, что прибывшая группа советских специалистов состоит из инженеров-танкистов. Спустя 15 минут после окончания осмотра тяжелых танков американский майор догнал группу на машине и пригласил их поехать в Детройт, чтобы показать опытную самоходную установку. По дороге Берг задавал много вопросов, связанных с торсионами – их конструктивные особенности, химсостав стали и т.д. Из этих вопросов Сорвин сделал вывод, что у американцев с торсионами имелись проблемы.</w:t>
      </w:r>
    </w:p>
    <w:p w14:paraId="71B66E38" w14:textId="77777777" w:rsidR="008F78BA" w:rsidRPr="00D03F3E"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попытках получить нужную информацию Берг наговорил много лишнего. В частности, из этой беседы советские инженеры получили информацию об опытных средних танках Medium Tank T20 и Medium Tank T23. Судя по всему, майор имел прямое отношение к работам над T20E3, вариантом T20 с торсионной подвеской.</w:t>
      </w:r>
    </w:p>
    <w:p w14:paraId="7EAF6123" w14:textId="77777777" w:rsidR="008F78BA" w:rsidRPr="00D03F3E"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Что же касается «танка-истребителя», то знакомство с ним оказалось мимолётным. Советские специалисты видели машину в движении, когда она возвращалась с испытаний. Несмотря на то, что было получено разрешение ее осмотреть, представитель фирмы Buick это сделать не дал, сославшись на то, что машина секретная. Тем не менее, Сорвину удалось получить важную информацию, а позже по памяти он воспроизвел и внешний вид секретной САУ (17672).</w:t>
      </w:r>
    </w:p>
    <w:p w14:paraId="292E733A" w14:textId="77777777" w:rsidR="008F78BA" w:rsidRPr="00D03F3E" w:rsidRDefault="008F78BA" w:rsidP="00D03F3E">
      <w:pPr>
        <w:spacing w:after="0" w:line="240" w:lineRule="auto"/>
        <w:jc w:val="both"/>
        <w:rPr>
          <w:rFonts w:ascii="Times New Roman" w:hAnsi="Times New Roman"/>
          <w:color w:val="000000" w:themeColor="text1"/>
          <w:sz w:val="16"/>
          <w:szCs w:val="16"/>
        </w:rPr>
      </w:pPr>
    </w:p>
    <w:p w14:paraId="7607471E" w14:textId="77777777" w:rsidR="008F78BA" w:rsidRPr="00D03F3E"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 xml:space="preserve">Летом 1943 года в ходе визита советской комиссии на полигон General Motors советские специалисты впервые услышали о программе Medium Tank T20/T23. Знакомство с перспективным танком было случайным и стало результатом болтливости Квентина Берга, одного из создателей </w:t>
      </w:r>
      <w:hyperlink r:id="rId241" w:history="1">
        <w:r w:rsidRPr="00D03F3E">
          <w:rPr>
            <w:rFonts w:ascii="Times New Roman" w:eastAsia="Times New Roman" w:hAnsi="Times New Roman"/>
            <w:color w:val="000000" w:themeColor="text1"/>
            <w:sz w:val="16"/>
            <w:szCs w:val="16"/>
            <w:lang w:eastAsia="ru-RU"/>
          </w:rPr>
          <w:t>GMC M10</w:t>
        </w:r>
      </w:hyperlink>
      <w:r w:rsidRPr="00D03F3E">
        <w:rPr>
          <w:rFonts w:ascii="Times New Roman" w:eastAsia="Times New Roman" w:hAnsi="Times New Roman"/>
          <w:color w:val="000000" w:themeColor="text1"/>
          <w:sz w:val="16"/>
          <w:szCs w:val="16"/>
          <w:lang w:eastAsia="ru-RU"/>
        </w:rPr>
        <w:t xml:space="preserve"> и </w:t>
      </w:r>
      <w:hyperlink r:id="rId242" w:history="1">
        <w:r w:rsidRPr="00D03F3E">
          <w:rPr>
            <w:rFonts w:ascii="Times New Roman" w:eastAsia="Times New Roman" w:hAnsi="Times New Roman"/>
            <w:color w:val="000000" w:themeColor="text1"/>
            <w:sz w:val="16"/>
            <w:szCs w:val="16"/>
            <w:lang w:eastAsia="ru-RU"/>
          </w:rPr>
          <w:t>GMC T70 (M18)</w:t>
        </w:r>
      </w:hyperlink>
      <w:r w:rsidRPr="00D03F3E">
        <w:rPr>
          <w:rFonts w:ascii="Times New Roman" w:eastAsia="Times New Roman" w:hAnsi="Times New Roman"/>
          <w:color w:val="000000" w:themeColor="text1"/>
          <w:sz w:val="16"/>
          <w:szCs w:val="16"/>
          <w:lang w:eastAsia="ru-RU"/>
        </w:rPr>
        <w:t>.</w:t>
      </w:r>
    </w:p>
    <w:p w14:paraId="10403BF1" w14:textId="77777777" w:rsidR="008F78BA" w:rsidRPr="00D03F3E"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К середине 1944 года стала поступать гораздо более полная информация. Советские специалисты уже знали о том, что перспективные средние танки существуют в разных вариациях, отличаясь друг от друга подвеской и другими элементами. Было известно и о том, что торсионная подвеска далеко не сразу была признана оптимальной. Согласно поступившей информации, подвеска HVSS показала едва ли не лучшие результаты, так что американские военные долго колебались. Знали наши военные и о том, что 25 июля 1944 года Medium Tank T26 и Medium Tank T26E1 перевели в класс тяжёлых танков. Имелись на руках и данные по объёму выпуска танков. В соответствии с ними получалось, что из новых средних танков наиболее массово производились Medium Tank T23, хотя как раз в это время программа T23 постепенно сворачивалась в пользу T25 или T26 (17593).</w:t>
      </w:r>
    </w:p>
    <w:p w14:paraId="0B4851B7" w14:textId="77777777" w:rsidR="008F78BA" w:rsidRPr="00D03F3E" w:rsidRDefault="008F78BA" w:rsidP="00D03F3E">
      <w:pPr>
        <w:spacing w:after="0" w:line="240" w:lineRule="auto"/>
        <w:jc w:val="both"/>
        <w:rPr>
          <w:rFonts w:ascii="Times New Roman" w:hAnsi="Times New Roman"/>
          <w:color w:val="000000" w:themeColor="text1"/>
          <w:sz w:val="16"/>
          <w:szCs w:val="16"/>
        </w:rPr>
      </w:pPr>
    </w:p>
    <w:p w14:paraId="70737FB1" w14:textId="77777777" w:rsidR="00A40F84" w:rsidRPr="00D03F3E" w:rsidRDefault="00A40F84" w:rsidP="00D03F3E">
      <w:pPr>
        <w:pStyle w:val="ae"/>
        <w:spacing w:before="0" w:after="0"/>
        <w:jc w:val="both"/>
        <w:textAlignment w:val="baseline"/>
        <w:rPr>
          <w:color w:val="000000" w:themeColor="text1"/>
          <w:sz w:val="16"/>
          <w:szCs w:val="16"/>
        </w:rPr>
      </w:pPr>
      <w:r w:rsidRPr="00D03F3E">
        <w:rPr>
          <w:color w:val="000000" w:themeColor="text1"/>
          <w:sz w:val="16"/>
          <w:szCs w:val="16"/>
        </w:rPr>
        <w:t>Летом 1943 года на Курской дуге состоялось первое полноценное боевое применение M4A2. Единственной частью, которая там имела танки данного типа, был 229-й танковый полк. Обычно указывается, что он воевал в составе 48-й армии, но это не так. К началу июля 1943 года полк попал в состав 13-й армии, воевавшей на северном фасе Курской дуги. По планам полк должен был взаимодействовать с 148-й стрелковой дивизией, но по факту воевал совместно с её соседом — 74-й стрелковой дивизией. Непосредственно в боях за Поныри полк участия не принимал, находясь в резерве. В ходе боевых действий, проходивших в период с 15 по 18 июля, полк потерял 14 танков сгоревшими и 17 подбитыми, потери личного состава насчитывали 117 человек. Согласно отчёту, в основном танки были потеряны в результате попаданий кумулятивных снарядов, которые вызывали детонацию боекомплекта вплоть до срыва башен.</w:t>
      </w:r>
    </w:p>
    <w:p w14:paraId="19F69B92" w14:textId="77777777" w:rsidR="00A40F84" w:rsidRPr="00D03F3E" w:rsidRDefault="00A40F84" w:rsidP="00D03F3E">
      <w:pPr>
        <w:pStyle w:val="ae"/>
        <w:spacing w:before="0" w:after="0"/>
        <w:jc w:val="both"/>
        <w:textAlignment w:val="baseline"/>
        <w:rPr>
          <w:color w:val="000000" w:themeColor="text1"/>
          <w:sz w:val="16"/>
          <w:szCs w:val="16"/>
        </w:rPr>
      </w:pPr>
      <w:r w:rsidRPr="00D03F3E">
        <w:rPr>
          <w:color w:val="000000" w:themeColor="text1"/>
          <w:sz w:val="16"/>
          <w:szCs w:val="16"/>
        </w:rPr>
        <w:t>Помимо отчёта по применению, 229-й танковый полк подготовил подробный отчёт по эксплуатации М4А2, благо у него имелось несколько месяцев для изучения машины. Наряду с бесшумностью и плавностью хода отмечались проблемы с ездой при крене. Отмечались случаи выхода опорных катков на гребни траков, что приводило к повреждению бандажей катков и деформации гребней. Также отмечалось проворачивание гусениц с резинометаллическими траками на болотистой местности. Танк имел хорошую управляемость, но слишком большие радиусы поворота. Броневую защиту танка оценивали хорошо, но сама машина была слишком большой мишенью.</w:t>
      </w:r>
    </w:p>
    <w:p w14:paraId="24BAE3AB" w14:textId="77777777" w:rsidR="00A40F84" w:rsidRPr="00D03F3E" w:rsidRDefault="00A40F84" w:rsidP="00D03F3E">
      <w:pPr>
        <w:pStyle w:val="ae"/>
        <w:spacing w:before="0" w:after="0"/>
        <w:jc w:val="both"/>
        <w:textAlignment w:val="baseline"/>
        <w:rPr>
          <w:color w:val="000000" w:themeColor="text1"/>
          <w:sz w:val="16"/>
          <w:szCs w:val="16"/>
        </w:rPr>
      </w:pPr>
      <w:r w:rsidRPr="00D03F3E">
        <w:rPr>
          <w:color w:val="000000" w:themeColor="text1"/>
          <w:sz w:val="16"/>
          <w:szCs w:val="16"/>
        </w:rPr>
        <w:t>Неоднозначным было и мнение по башне. Передняя часть оценивалась хорошо, а задняя подверглась критике. При попадании в корму башни выводилась из строя рация. Не понравились передние смотровые приборы корпуса, к слову, убранные на корпуса M4A2 с конца 1942 года. Эксплуатацию танка назвали удобной, в отличие от ремонта. Интересно, что жалоб на массовый выход из строя инжекторов не поступало. Вооружение вполне устроило танкистов, но осколочно-фугасный снаряд признали слабым. Интересная деталь: на танках были смонтированы английские радиостанции №19, причём это не комплектация английских танков, а переделки уже в СССР. В основном же танк признали современным, обладающим достаточной скоростью, с мощной пушкой, а также надёжным в эксплуатации.</w:t>
      </w:r>
    </w:p>
    <w:p w14:paraId="30BCD05E" w14:textId="77777777" w:rsidR="00A40F84" w:rsidRPr="00D03F3E" w:rsidRDefault="00A40F84" w:rsidP="00D03F3E">
      <w:pPr>
        <w:spacing w:after="0" w:line="240" w:lineRule="auto"/>
        <w:jc w:val="both"/>
        <w:textAlignment w:val="baseline"/>
        <w:rPr>
          <w:rFonts w:ascii="Times New Roman" w:hAnsi="Times New Roman"/>
          <w:color w:val="000000" w:themeColor="text1"/>
          <w:sz w:val="16"/>
          <w:szCs w:val="16"/>
        </w:rPr>
      </w:pPr>
      <w:r w:rsidRPr="00D03F3E">
        <w:rPr>
          <w:rFonts w:ascii="Times New Roman" w:hAnsi="Times New Roman"/>
          <w:color w:val="000000" w:themeColor="text1"/>
          <w:sz w:val="16"/>
          <w:szCs w:val="16"/>
        </w:rPr>
        <w:t>М4А2 из 7-го Гвардейского мехкорпуса в Люблине. С этого танка зенитный пулемёт уже снят (19038).</w:t>
      </w:r>
    </w:p>
    <w:p w14:paraId="5692774B" w14:textId="77777777" w:rsidR="00A40F84" w:rsidRPr="00D03F3E" w:rsidRDefault="00A40F84" w:rsidP="00D03F3E">
      <w:pPr>
        <w:spacing w:after="0" w:line="240" w:lineRule="auto"/>
        <w:jc w:val="both"/>
        <w:textAlignment w:val="baseline"/>
        <w:rPr>
          <w:rFonts w:ascii="Times New Roman" w:hAnsi="Times New Roman"/>
          <w:color w:val="000000" w:themeColor="text1"/>
          <w:sz w:val="16"/>
          <w:szCs w:val="16"/>
        </w:rPr>
      </w:pPr>
    </w:p>
    <w:p w14:paraId="4BF76D9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дальнейшие работы но железнодорожному ходу были прекращены в связи со снизившимся боевым применением бронепоез</w:t>
      </w:r>
      <w:r w:rsidRPr="00D03F3E">
        <w:rPr>
          <w:rFonts w:ascii="Times New Roman" w:hAnsi="Times New Roman"/>
          <w:color w:val="000000" w:themeColor="text1"/>
          <w:sz w:val="16"/>
          <w:szCs w:val="16"/>
        </w:rPr>
        <w:softHyphen/>
        <w:t>дов, для обеспечения действий которых бронеавтомобили БА-64Г и предназначались (10703).</w:t>
      </w:r>
    </w:p>
    <w:p w14:paraId="6E33D83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FA0C05" w14:textId="77777777" w:rsidR="0018582B" w:rsidRPr="00D03F3E" w:rsidRDefault="0018582B"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несколько десятков советских зенитных бронепоездов сосредоточились в районе Курской дуги. Этот район обещал стать ареной главных боев на Восточном фронте, поэтому противники подтягивали сюда все свои резервы. Сотни составов с войсками, боевой техникой и прочими военными грузами двигались к Курску. Противовоздушная оборона железнодорожных узлов и коммуникаций от налетов немецкой авиации становилась основной задачей для всех подразделений противовоздушной обороны. Помимо истребителей и зенитной артиллерии, в решении этих задач участвовали и зенитные бронепоезда. В составе Тульского, Ряжско-Тамбовского, Воронежско-Борисоглебского и Харьковского районов ПВО имелось 35 зенитных бронепоездов. На них возлагались задачи по сопровождению эшелонов в пути, а также по временному прикрытию станций выгрузки войск и организации засад на промежуточных станциях и разъездах, не прикрываемых другими средствами ПВО. Участвовали зенитные бронепоезда и в отражении двух массированных налетов немецкой авиации на Курск 22 мая и 2 июня, когда около 1050 самолетов пытались уничтожить железнодорожный узел Курск. Особенно впечатляющим был один из крупнейших в годы войны авианалетов 2 июня. Более пятисот истребителей и бомбардировщиков Люфтваффе с Орловского и Донецкого аэроузлов наносили бомбоштурмовые удары с четырех часов утра до трех часов дня, подходя к цели с нескольких направлений. Особенно удачными для немцев были действия пятого эшелона. Около ста бомбардировщиков прорвались к Курску и сбросили свой груз на железнодорожный узел. Почти на сутки он был полностью выведен из строя. Зенитные средства, в том числе и бронепоезда, тоже участвовавшие в отражении налета, не смогли сохранить в неприкосновенности столь важный объект. В целом же активные действия сил противовоздушной обороны не позволили немецким войскам решить задачу изоляции района боевых действий (15218).</w:t>
      </w:r>
    </w:p>
    <w:p w14:paraId="74AC0071" w14:textId="77777777" w:rsidR="0018582B" w:rsidRPr="00D03F3E" w:rsidRDefault="0018582B" w:rsidP="00D03F3E">
      <w:pPr>
        <w:spacing w:after="0" w:line="240" w:lineRule="auto"/>
        <w:jc w:val="both"/>
        <w:rPr>
          <w:rFonts w:ascii="Times New Roman" w:hAnsi="Times New Roman"/>
          <w:color w:val="000000" w:themeColor="text1"/>
          <w:sz w:val="16"/>
          <w:szCs w:val="16"/>
        </w:rPr>
      </w:pPr>
    </w:p>
    <w:p w14:paraId="0599ED1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тягач Я-11 был перепроектирован под ленд-лизовские дизельмоторы GMC-4-71 мощностью 110 л.с., производство которых ожидалось на отечественных заводах (5744, 30).</w:t>
      </w:r>
    </w:p>
    <w:p w14:paraId="7D29062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DF24D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лета 1943 г. группа заводских конструкторов во главе с А. Н. Островцовым приступила к проектированию ЗИС-110, большого представительского автомобиля. Работы шли в очень быстром темпе. 20 сентября 1944 г. образец машины принял Государственный комитет обороны, а 20 июля 1945 г. началась сборка первой партии автомобилей. Директор ЗИСа И. А. Лихачев придавал очень большое значение этой модели. Для него она прежде всего означала выход на новый рубеж технического совершенства. В конструкции ЗИС-110 впервые в практике завода, да и всей отрасли, нашли применение гидравлические толкатели, гипоидные шестерни главной передачи, привод к распределительному валу пластинчатой цепью Морзе, гидравлические стеклоподъемники. Все они требовали высокой культуры производства, новой технологии, их освоение свидетельствовало о технической зрелости предприятия. Кроме того, новая машина имела независимую подвеску передних колес, цельнометаллический кузов, тонкостенные вкладыши коленчатого вала, сложную систему вентиляции и отопления, гидравлический привод тормозов. Завод прежде не применял этих новшеств на своих моделях, и внедрение каждого из них тянуло за собой решение множества сопутствующих проблем, связанных с методами изготовления и сборки, обеспечением высокого качества деталей, кооперированными поставками материалов и комплектующих изделий. Очень сложным было изготовление оснастки для производства кузовов. ЗИС-110 с кузовом лимузин. 194S г. Гидравлический толкатель (компенсатор зазоров) клапанов ЗИС-110. 1945 г. Салон кузова ЗИС-110 с подъемной перегородкой и откидывающимися сиденьями. 1945 г. Английский автомобильный историк Майкл Седжвик в трехтомной работе "Классические автомобили" утверждает, что американская правительственная администрация в годы войны оказала нажим на руководство фирмы "Паккард", дабы оно продало в СССР кузовные штампы для модели "180" 1942 г. Но этого не было. До войны штампы для кузова ЗИС-101 действительно заказывались в США и за них пришлось заплатить немалую сумму - около полутора миллионов долларов (по ценам того времени). И на их изготовление фирма "Бадд" затратила 15-16 месяцев. Теперь же ни валюты, ни времени не было, и ЗИС мог рассчитывать только на собственные силы. Заводские специалисты изготовили штампы из цинкоалюминиевого сплава, причем отлитые, а не отфрезерованные. Для мелкосерийного производства они имели достаточную долговечность, оказались дешевле, и, главное, потребовали меньших трудозатрат. Более того, М. Седжвик не мог убедиться лично, что при кажущейся на первый взгляд схожести кузовов ЗИС-110 и "Паккарда-180" они различались размерами и их многие детали, например двери, были невзаимозаменяемы. , 140 л. с. при 3600 об/мин) нижнеклапанным двигателем. Его цилиндры, расположенные в один ряд, были чугунными, как и головка. Степень сжатия, по тому времемени довольно высокая - 6,85, требовала топлива с октановым числом 70, когда весь автомобильный парк страны работал на бензине А-66. Трехступенчатая коробка передач с синхронизаторами управлялась установленным на рулевой колонке рычагом. Автомобиль, оборудованный весьма комфортабельно (сиденья с набивкой из гагачьего пуха, радиоприемник, хорошая звуко- и теплоизоляция, эффективная система отопления, перегородка между водителем и пассажирами), был довольно тяжелым: его снаряженная масса - 2575 кг. Он мог развивать наибольшую скорость до 140 км/ч и являлся в те годы самым быстроходным советским автомобилем. С места скорость 100 км/ч ЗИС-110 набирал за 28 с. Правда, эта тяжелая и быстроходная машина отличалась и очень большим расходом топлива - 27,5 л/100 км. Выделялся и ЗИС-110 габаритом: длина- 6000 мм, ширина - 1960 мм, высота - 1730 мм; база - 3760 мм. Помимо базовой модели с кузовом лимузин выпускалась модификация с кузовом кабриолет - ЗИС-110Б и машина "скорой помощи" - ЗИС-110А. Автомобили ЗИС-110 обслуживали высшие партийные и правительственные учреждения, а также использовались как такси. Когда в 1948 г. в Москве проходила встреча министров иностранных дел СССР, США, Англии и Франции, в распоряжение руководства делегаций были предоставлены машины ЗИС-110. Открытые автомобили ЗИС-110Б начиная с 1955 г. сменили коней, которыми пользовались командующий и принимающий военные парады на Красной площади в </w:t>
      </w:r>
      <w:r w:rsidRPr="00D03F3E">
        <w:rPr>
          <w:rFonts w:ascii="Times New Roman" w:hAnsi="Times New Roman"/>
          <w:color w:val="000000" w:themeColor="text1"/>
          <w:sz w:val="16"/>
          <w:szCs w:val="16"/>
        </w:rPr>
        <w:lastRenderedPageBreak/>
        <w:t>Москве. На базе ЗИС-110 была создана его разновидность ЗИС-115с бронированным кузовом и дополнительным оборудованием салона. Снаряженная масса этой машины достигала 7300 кг. Она имела задний мост с полуосями полностью разгруженного типа и шины увеличенного размера 7,50-17 вместо 7,50-16 дюймов у серийной модели. Кроме того, на ЗИС-115 был более мощный (162 л. с.) двигатель с двумя карбюраторами. Заслуживает упоминания и экспериментальная модификация ЗИС-110П, появившаяся в 1956 г. Ее характерная особенность - зависимая подвеска всех колес и привод на обе оси (12098).</w:t>
      </w:r>
    </w:p>
    <w:p w14:paraId="70946DE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49C43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на Каспий</w:t>
      </w:r>
      <w:r w:rsidRPr="00D03F3E">
        <w:rPr>
          <w:rFonts w:ascii="Times New Roman" w:hAnsi="Times New Roman"/>
          <w:color w:val="000000" w:themeColor="text1"/>
          <w:sz w:val="16"/>
          <w:szCs w:val="16"/>
        </w:rPr>
        <w:softHyphen/>
        <w:t>ском море проводились испытания СТК-ДД. Моряков не удовлетворила достигнутая на испытаниях скорость (около 34 уз), сопоставимая со скоростью кораблей, кото</w:t>
      </w:r>
      <w:r w:rsidRPr="00D03F3E">
        <w:rPr>
          <w:rFonts w:ascii="Times New Roman" w:hAnsi="Times New Roman"/>
          <w:color w:val="000000" w:themeColor="text1"/>
          <w:sz w:val="16"/>
          <w:szCs w:val="16"/>
        </w:rPr>
        <w:softHyphen/>
        <w:t>рые он должен был атаковать. Это обстоятельство, а также отсутст</w:t>
      </w:r>
      <w:r w:rsidRPr="00D03F3E">
        <w:rPr>
          <w:rFonts w:ascii="Times New Roman" w:hAnsi="Times New Roman"/>
          <w:color w:val="000000" w:themeColor="text1"/>
          <w:sz w:val="16"/>
          <w:szCs w:val="16"/>
        </w:rPr>
        <w:softHyphen/>
        <w:t>вие главных механизмов для обеспечения серийной постройки привели к отказу от дальнейшего развития этого типа (3898).</w:t>
      </w:r>
    </w:p>
    <w:p w14:paraId="6DF91E8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16571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второй тральщик "Васи</w:t>
      </w:r>
      <w:r w:rsidRPr="00D03F3E">
        <w:rPr>
          <w:rFonts w:ascii="Times New Roman" w:hAnsi="Times New Roman"/>
          <w:color w:val="000000" w:themeColor="text1"/>
          <w:sz w:val="16"/>
          <w:szCs w:val="16"/>
        </w:rPr>
        <w:softHyphen/>
        <w:t>лий Громов" (главный строитель Б. В. Плисов), на котором уста</w:t>
      </w:r>
      <w:r w:rsidRPr="00D03F3E">
        <w:rPr>
          <w:rFonts w:ascii="Times New Roman" w:hAnsi="Times New Roman"/>
          <w:color w:val="000000" w:themeColor="text1"/>
          <w:sz w:val="16"/>
          <w:szCs w:val="16"/>
        </w:rPr>
        <w:softHyphen/>
        <w:t>новку главных турбин закончили в ноябре 1942 г., был подготовлен к выходу на испытания и 29 сентяб</w:t>
      </w:r>
      <w:r w:rsidRPr="00D03F3E">
        <w:rPr>
          <w:rFonts w:ascii="Times New Roman" w:hAnsi="Times New Roman"/>
          <w:color w:val="000000" w:themeColor="text1"/>
          <w:sz w:val="16"/>
          <w:szCs w:val="16"/>
        </w:rPr>
        <w:softHyphen/>
        <w:t>ря 1943 г. сдан ВМФ (3898).</w:t>
      </w:r>
    </w:p>
    <w:p w14:paraId="391748F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564BF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достроенные заводом 638, М-200 ("Месть") и М-201, которые вошли в состав Кас</w:t>
      </w:r>
      <w:r w:rsidRPr="00D03F3E">
        <w:rPr>
          <w:rFonts w:ascii="Times New Roman" w:hAnsi="Times New Roman"/>
          <w:color w:val="000000" w:themeColor="text1"/>
          <w:sz w:val="16"/>
          <w:szCs w:val="16"/>
        </w:rPr>
        <w:softHyphen/>
        <w:t>пийской флотилии, вместе с лодками типа "С", были пере</w:t>
      </w:r>
      <w:r w:rsidRPr="00D03F3E">
        <w:rPr>
          <w:rFonts w:ascii="Times New Roman" w:hAnsi="Times New Roman"/>
          <w:color w:val="000000" w:themeColor="text1"/>
          <w:sz w:val="16"/>
          <w:szCs w:val="16"/>
        </w:rPr>
        <w:softHyphen/>
        <w:t>ведены на Север водным путем и участвовали в боевых действиях (3898).</w:t>
      </w:r>
    </w:p>
    <w:p w14:paraId="02AD640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E42355" w14:textId="77777777" w:rsidR="00A40F84" w:rsidRPr="00D03F3E" w:rsidRDefault="00A40F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был построен и начались испытания и доводка конструкции до нужного качества катера А-4. Катером А-4 на испытаниях управлял сам Алексеев и доводил при этом параметры подводных крыльев до оптимальных и безопасных. Полученные результаты позволили пригласить комиссию из военных моряков и гражданских специалистов (19678). </w:t>
      </w:r>
    </w:p>
    <w:p w14:paraId="5B2C6133" w14:textId="77777777" w:rsidR="00A40F84" w:rsidRPr="00D03F3E" w:rsidRDefault="00A40F84" w:rsidP="00D03F3E">
      <w:pPr>
        <w:spacing w:after="0" w:line="240" w:lineRule="auto"/>
        <w:jc w:val="both"/>
        <w:rPr>
          <w:rFonts w:ascii="Times New Roman" w:hAnsi="Times New Roman"/>
          <w:color w:val="000000" w:themeColor="text1"/>
          <w:sz w:val="16"/>
          <w:szCs w:val="16"/>
        </w:rPr>
      </w:pPr>
    </w:p>
    <w:p w14:paraId="5099D2E5"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383C6E3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5CF15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боевые вылеты Пе-8 были отмечены заметными боевыми потерями от противодействия истребителей противника. Вот описание одного такого вылета, представленное штурманом самолета Пе-8 С.Ф.Ушаковым:</w:t>
      </w:r>
    </w:p>
    <w:p w14:paraId="65A3B41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ночь на 14 июля мы нанесли удар по резервам противника в районе Волхова, последующие три ночи опять бомбили составы на станции Орел, а в ночь на 19 июля нанесли удары по авиационному городку и аэродрому.</w:t>
      </w:r>
    </w:p>
    <w:p w14:paraId="5441424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этого задания проснулись мы поздно. Только к 17 часам летный состав собрался для подготовки к очередному боевому вылету, и командир полка предоставил слово начальнику разведки. Информация его заканчивалась радостными для нас словами: "Прорвав оборону противника на глубину более 70 километров на севере и 20-25 километров восточнее Орла, войска Брянского и Западного фронтов продолжают наступление..."</w:t>
      </w:r>
    </w:p>
    <w:p w14:paraId="66998F1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Каждый понял: значит, сегодня опять на Орел...</w:t>
      </w:r>
    </w:p>
    <w:p w14:paraId="2C14312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другом сообщении начальника разведки говорилось о том, что, по имеющимся данным, в район Орла переброшена группа ночных истребителей, снятая с обороны Берлина. Самолеты оборудованы аппаратурой, позволяющей осуществлять наведение на цель с земли с помощью радиолокаторов. Никаких указаний и рекомендаций по противодействию не давалось, а сами мы мало что понимали в этом новом средстве. Ясно было только одно: если раньше гитлеровские истребители, барражируя в определенном районе, сами искали цель, чаше всего по выхлопным газам моторов, то теперь их будут наводить с земли до какого-то определенного момента, пока они не увидят цель. О том, что истребители самостоятельно могут осуществлять слепой поиск, в сообщении не говорилось.</w:t>
      </w:r>
    </w:p>
    <w:p w14:paraId="1DADF13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Ну а вывод был сделан простой: усилить наблюдение за воздухом! И поскольку цель находилась недалеко от линии фронта, это сообщение мы восприняли спокойно. Оттого-то оно и не сыграло своей мобилизующей роли, в результате чего в эту ночь мы понесли потери.</w:t>
      </w:r>
    </w:p>
    <w:p w14:paraId="350CB61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Итак, железнодорожный узел Орел. Удар наносят оба полка дивизии. Первым действует наш полк. Высота бомбометания - 6100 метров. Сегодня в голове боевого порядка полка идет Владимир Пономаренко со штурманом Михаилом Легкоступом, поэтому они и взлетели первыми. Линию фронта прошли, когда на землю опустилась темнота, но горизонт еше был покрыт розовой пеленой угасающего заката. На высоте полета было светло.</w:t>
      </w:r>
    </w:p>
    <w:p w14:paraId="43B2264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Вышли в район цели, развернулись на боевой курс. Ни прожекторов, ни огня зенитной артиллерии. Что бы это могло значить?.. Штурман подал одну команду на доворот, вторую. И тут же последовал его доклад:</w:t>
      </w:r>
    </w:p>
    <w:p w14:paraId="2474870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Сбросил!</w:t>
      </w:r>
    </w:p>
    <w:p w14:paraId="256C173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вздрагиванию самолета Пономаренко почувствовал, как отделились бомбы: одна ФАБ-2000 и две ФАБ-1000. В момент отрыва третьей бомбы по правой плоскости что-то ударило. Владимир невольно повернул голову: неужели с первого выстрела - прямое попадание?</w:t>
      </w:r>
    </w:p>
    <w:p w14:paraId="3EC286D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Тут же вспыхнули прожекторы, началась отчаянная стрельба артиллерии. Уже в силу выработанной привычки с левым креном и со скольжением Пономаренко повел машину от цели. Стал вызывать по связи правого подшассийного стрелка, чтобы выяснить - что же произошло? Ответа не последовало. Значит, стрелок убит или ранен.</w:t>
      </w:r>
    </w:p>
    <w:p w14:paraId="47BCEB3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Товарищ командир, огонь из третьего мотора! - доложил башенный стрелок. И тут же по сети прозвучало донесение бортового техника:</w:t>
      </w:r>
    </w:p>
    <w:p w14:paraId="3598340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Третий выключил, противопожарные включил...</w:t>
      </w:r>
    </w:p>
    <w:p w14:paraId="2B11FB3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Владимир резко скользнул на левое крыло, пытаясь сбить огонь воздушным потоком. Противопожарные средства и маневр не дали результатов. Наполнилась дымом кабина, и вот уже в ней показалось пламя - вот-вот взорвутся баки. Тогда Пономаренко принимает решение спасать экипаж.</w:t>
      </w:r>
    </w:p>
    <w:p w14:paraId="6BDE552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Прыгать! Прыгать немедленно всем! - прозвучала его команда, и он включил автопилот.</w:t>
      </w:r>
    </w:p>
    <w:p w14:paraId="4B76790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...Часам к восьми утра семеро из экипажа бомбардировщика оказались у самолета. Пятеро боевых друзей погибли. Их тут же и похоронили. Что им помешало покинуть самолет - можно было только предполагать...</w:t>
      </w:r>
    </w:p>
    <w:p w14:paraId="1B0E387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После того как все самолеты произвели посадку, стало известно, что в эту ночь не возвратились с боевого задания еще два Пе-8: капитана Угрюмова из нашего полка и капитана Вихорева - из соседнего. Оба самолета были сбиты в районе цели, на линии боевого пути.</w:t>
      </w:r>
    </w:p>
    <w:p w14:paraId="0B982FA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Разбор боевых вылетов проводился с летным составом в масштабе дивизии. Выслушав обстоятельства, при которых мы потеряли сразу три самолета и многих товарищей, комдив обратил внимание на то, что все три экипажа по различным причинам к району цели подходили в значительном отрыве от боевого порядка по высоте и дальности. Это, видимо, облегчило условия наведения немецких истребителей. Пришли к одному выводу - впредь строго выдерживать заданную высоту бомбометания и максимально уплотнить боевые порядки. В то время ничего другого мы не могли придумать для противодействия наведению истребителей противника".</w:t>
      </w:r>
    </w:p>
    <w:p w14:paraId="6868E30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Рассказ штурмана Ушакова описывает боевой вылет в ночь на 20 августа 1943 года. На самом деле потери Пе-8 от ночных истребителей в 45-й авиадивизии происходили не в течение одной ночи, и летом 1943 г. составили 7 бомбардировщиков. 15 июля был сбит Пе-8 №42069 (экипаж Модестова), 20 июля сбит Пе-8 №42058 (экипаж Понома- ренко), 20 июля сбит Пе-8 №42049 (экипаж Зеленского и Угрюмова), 21 июля сбит Пе-8 №420109 (экипаж Вихорева), 23 июля сбит Пе-8 №42019 (экипаж Канарского), 28 июля сбит Пе-8 №42088 (экипаж Перегудова), 27 августа сбит Пе-8 №42510 (экипаж Вихорева).</w:t>
      </w:r>
    </w:p>
    <w:p w14:paraId="1ADA305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Одной из причин успешных действий немецких истребителей могло стать хорошее знание уязвимых точек и мертвых зон обстрела из оборонительных установок Пе-8. Эти особенности советского бомбардировщика противник обстоятельно изучил на самолете №42018, который был подбит во время налета на Берлин 30 августа 1942 г. и совершил вынужденную посадку на территории Восточной Пруссии.</w:t>
      </w:r>
    </w:p>
    <w:p w14:paraId="3F7DB80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все потерянные Пе-8 были оснащены двигателями М-82, у которых выхлопные коллекторы отработанных газов, сгруппированные для нескольких цилиндров двигателя, давали большой и весьма заметный в ночном небе язык пламени. Считалось, что ночные истребители противника, прежде всего, ориентировались по этому яркому выхлопу и легко обнаруживали советские бомбардировщики. Поэтому было решено срочно разработать и установить на самолетах пламегасители, а полеты Пе-8 временно, до особого распоряжения прекратить.</w:t>
      </w:r>
    </w:p>
    <w:p w14:paraId="5508A08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Проблема пламегасителей к этому моменту коснулась не только Пе-8, но в большей степени самолетов Ил-4 и Ли-2. Такие пламягасители срочно были разработаны в НИИ ГВФ и НИИ ВВС, прошли испытания и под обозначением ГАМ-9 и ГАМ-10 запущены в производство (12025).</w:t>
      </w:r>
    </w:p>
    <w:p w14:paraId="470354A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D35CF0" w14:textId="77777777" w:rsidR="00666F51" w:rsidRPr="00D03F3E" w:rsidRDefault="00666F51" w:rsidP="00D03F3E">
      <w:pPr>
        <w:pStyle w:val="a3"/>
        <w:rPr>
          <w:rStyle w:val="2d"/>
          <w:rFonts w:ascii="Times New Roman" w:eastAsia="SimSun" w:hAnsi="Times New Roman" w:cs="Times New Roman"/>
          <w:i w:val="0"/>
          <w:color w:val="000000" w:themeColor="text1"/>
          <w:sz w:val="16"/>
          <w:szCs w:val="16"/>
          <w:lang w:val="ru-RU"/>
        </w:rPr>
      </w:pPr>
      <w:r w:rsidRPr="00D03F3E">
        <w:rPr>
          <w:color w:val="000000" w:themeColor="text1"/>
          <w:lang w:val="ru-RU"/>
        </w:rPr>
        <w:t>Летом 1943 г. положение дел в эскадрах пикировщи</w:t>
      </w:r>
      <w:r w:rsidRPr="00D03F3E">
        <w:rPr>
          <w:color w:val="000000" w:themeColor="text1"/>
          <w:lang w:val="ru-RU"/>
        </w:rPr>
        <w:softHyphen/>
        <w:t>ков наглядно характеризует признание командира 5Ю2 оберст-лейте- нанта Э.Купфера, который писал:</w:t>
      </w:r>
      <w:r w:rsidRPr="00D03F3E">
        <w:rPr>
          <w:rStyle w:val="2d"/>
          <w:rFonts w:ascii="Times New Roman" w:eastAsia="SimSun" w:hAnsi="Times New Roman" w:cs="Times New Roman"/>
          <w:i w:val="0"/>
          <w:color w:val="000000" w:themeColor="text1"/>
          <w:sz w:val="16"/>
          <w:szCs w:val="16"/>
          <w:lang w:val="ru-RU"/>
        </w:rPr>
        <w:t xml:space="preserve"> «Ю-87 больше нельзя использовать ни на одном фронте, даже на Востоке. Например, моя эскадра за восемь месяцев потеряла 89 экипажей. ...Мы должны, как можно скорее, я бы сказал немедленно, начать перевооружать части с ^87 на Ри/190» (12733).</w:t>
      </w:r>
    </w:p>
    <w:p w14:paraId="78A14DF5" w14:textId="77777777" w:rsidR="00666F51" w:rsidRPr="00D03F3E" w:rsidRDefault="00666F51" w:rsidP="00D03F3E">
      <w:pPr>
        <w:pStyle w:val="a3"/>
        <w:rPr>
          <w:color w:val="000000" w:themeColor="text1"/>
          <w:lang w:val="ru-RU"/>
        </w:rPr>
      </w:pPr>
    </w:p>
    <w:p w14:paraId="5F38A9FC" w14:textId="77777777" w:rsidR="00666F51" w:rsidRPr="00D03F3E" w:rsidRDefault="00666F51" w:rsidP="00D03F3E">
      <w:pPr>
        <w:pStyle w:val="a3"/>
        <w:rPr>
          <w:color w:val="000000" w:themeColor="text1"/>
          <w:lang w:val="ru-RU"/>
        </w:rPr>
      </w:pPr>
      <w:r w:rsidRPr="00D03F3E">
        <w:rPr>
          <w:color w:val="000000" w:themeColor="text1"/>
          <w:lang w:val="ru-RU"/>
        </w:rPr>
        <w:t>С лета 1943 г. в серию «пошел» самый массовый вариант ударного «фоккера» - Р-3. В марте 1944 г. началось производство серии Р-8.</w:t>
      </w:r>
    </w:p>
    <w:p w14:paraId="1BDE1DAA" w14:textId="77777777" w:rsidR="00666F51" w:rsidRPr="00D03F3E" w:rsidRDefault="00666F51" w:rsidP="00D03F3E">
      <w:pPr>
        <w:pStyle w:val="a3"/>
        <w:rPr>
          <w:color w:val="000000" w:themeColor="text1"/>
          <w:lang w:val="ru-RU"/>
        </w:rPr>
      </w:pPr>
      <w:r w:rsidRPr="00D03F3E">
        <w:rPr>
          <w:color w:val="000000" w:themeColor="text1"/>
          <w:lang w:val="ru-RU"/>
        </w:rPr>
        <w:t>Вооружение Р\л/190Р состояло из двух фюзеляжных пулеметов М017, двух син</w:t>
      </w:r>
      <w:r w:rsidRPr="00D03F3E">
        <w:rPr>
          <w:color w:val="000000" w:themeColor="text1"/>
          <w:lang w:val="ru-RU"/>
        </w:rPr>
        <w:softHyphen/>
        <w:t>хронных крыльевых пушек МС151/20 и бомбового вооружения в составе четырех 50-кг бомб, подвешиваемых на фюзеляжном бомбодержателе ЕТС 501 с переходником ЕВ4 и двух бомб до 250 кг на подкрыльевых держателях. На ЕТС 501 можно было подве</w:t>
      </w:r>
      <w:r w:rsidRPr="00D03F3E">
        <w:rPr>
          <w:color w:val="000000" w:themeColor="text1"/>
          <w:lang w:val="ru-RU"/>
        </w:rPr>
        <w:softHyphen/>
        <w:t>шивать также одну 500-кг бомбу ЗС500. На Р-2 был немного улучшен обзор из кабины пилота вперед-вниз, на недостаток которого жаловались пилоты первых серий, а на Р-3 держатель ЕТС 501 был приспособлен для подвески дополнительного бензобака. Серия Р-8 отличалась от собратьев фю</w:t>
      </w:r>
      <w:r w:rsidRPr="00D03F3E">
        <w:rPr>
          <w:color w:val="000000" w:themeColor="text1"/>
          <w:lang w:val="ru-RU"/>
        </w:rPr>
        <w:softHyphen/>
        <w:t>зеляжными пулеметами МОЛ 31 калибра 13 мм и установкой четырех подкрыльевых держателей ЕТС 50 под 50-кг бомбы.</w:t>
      </w:r>
    </w:p>
    <w:p w14:paraId="3324B290" w14:textId="77777777" w:rsidR="00666F51" w:rsidRPr="00D03F3E" w:rsidRDefault="00666F51" w:rsidP="00D03F3E">
      <w:pPr>
        <w:pStyle w:val="a3"/>
        <w:rPr>
          <w:color w:val="000000" w:themeColor="text1"/>
          <w:lang w:val="ru-RU"/>
        </w:rPr>
      </w:pPr>
      <w:r w:rsidRPr="00D03F3E">
        <w:rPr>
          <w:color w:val="000000" w:themeColor="text1"/>
          <w:lang w:val="ru-RU"/>
        </w:rPr>
        <w:lastRenderedPageBreak/>
        <w:t>Бронирование ударных Р\д/190Р в срав</w:t>
      </w:r>
      <w:r w:rsidRPr="00D03F3E">
        <w:rPr>
          <w:color w:val="000000" w:themeColor="text1"/>
          <w:lang w:val="ru-RU"/>
        </w:rPr>
        <w:softHyphen/>
        <w:t>нении с чистыми истребителями было усилено - общий вес бронедеталей на самолете вырос до 310 кг (по данным НИИ ВВС КА).</w:t>
      </w:r>
    </w:p>
    <w:p w14:paraId="21E313CF" w14:textId="77777777" w:rsidR="00666F51" w:rsidRPr="00D03F3E" w:rsidRDefault="00666F51" w:rsidP="00D03F3E">
      <w:pPr>
        <w:pStyle w:val="a3"/>
        <w:rPr>
          <w:color w:val="000000" w:themeColor="text1"/>
          <w:lang w:val="ru-RU"/>
        </w:rPr>
      </w:pPr>
      <w:r w:rsidRPr="00D03F3E">
        <w:rPr>
          <w:color w:val="000000" w:themeColor="text1"/>
          <w:lang w:val="ru-RU"/>
        </w:rPr>
        <w:t>На моторе устанавливалось переднее бронекольцо толщиной 5 мм (в пересчете на советскую броню АБ-1 -3,3 мм), сделанное по габариту мотора с загибающимся внутрь передним краем. За ним устанавливался короткий цилиндр из брони толщиной Змм (АБ-1 -2 мм), по форме совпадающий с капотом мотора. Эти два бронекольца защищали маслобак, частично мотор, и усиливали защиту летчика спереди. На нижней поверхности фюзеляжа, начиная от броневых колец на моторе и до заднего обреза кабины летчика, устанавливались 18 бронеплит различной формы, толщиной 5 мм (АБ-1 - 3,3 мм) и под мотором - 6 мм (АБ-1 - 4 мм), в том числе два броневых щитка шасси.</w:t>
      </w:r>
    </w:p>
    <w:p w14:paraId="1F7BA958" w14:textId="77777777" w:rsidR="00666F51" w:rsidRPr="00D03F3E" w:rsidRDefault="00666F51" w:rsidP="00D03F3E">
      <w:pPr>
        <w:pStyle w:val="a3"/>
        <w:rPr>
          <w:color w:val="000000" w:themeColor="text1"/>
          <w:lang w:val="ru-RU"/>
        </w:rPr>
      </w:pPr>
      <w:r w:rsidRPr="00D03F3E">
        <w:rPr>
          <w:color w:val="000000" w:themeColor="text1"/>
          <w:lang w:val="ru-RU"/>
        </w:rPr>
        <w:t>Спереди летчика защищало пулестойкое стекло толщиной 57 мм (в пересчете на советское бронестекло типа К-4 - 40,7 мм), расположенное под углом 30° к продольной оси самолета. Кроме этого, за головой лет</w:t>
      </w:r>
      <w:r w:rsidRPr="00D03F3E">
        <w:rPr>
          <w:color w:val="000000" w:themeColor="text1"/>
          <w:lang w:val="ru-RU"/>
        </w:rPr>
        <w:softHyphen/>
        <w:t>чика устанавливался 12-мм бронезаголовник (АБ-1 - 8 мм), сдвигающийся назад вместе с подвижной частью фонаря кабины. В свою очередь, боковины фонаря кабины выполня</w:t>
      </w:r>
      <w:r w:rsidRPr="00D03F3E">
        <w:rPr>
          <w:color w:val="000000" w:themeColor="text1"/>
          <w:lang w:val="ru-RU"/>
        </w:rPr>
        <w:softHyphen/>
        <w:t>лись из 30-мм бронестекла (К-4 - 21,4 мм).</w:t>
      </w:r>
    </w:p>
    <w:p w14:paraId="661C50D6" w14:textId="77777777" w:rsidR="00666F51" w:rsidRPr="00D03F3E" w:rsidRDefault="00666F5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Защита летчика сзади обеспечива</w:t>
      </w:r>
      <w:r w:rsidRPr="00D03F3E">
        <w:rPr>
          <w:rFonts w:ascii="Times New Roman" w:hAnsi="Times New Roman"/>
          <w:color w:val="000000" w:themeColor="text1"/>
          <w:sz w:val="16"/>
          <w:szCs w:val="16"/>
        </w:rPr>
        <w:softHyphen/>
        <w:t>лась также бронеплитой толщиной 8 мм (АБ-1 - 5,3 мм), несколько изогнутой в горизонтальной плоскости, расположенной за ней бронеперегородкой, составленной из четырех отдельных 5-мм бронеплит (АБ-1 -3,3 мм).</w:t>
      </w:r>
    </w:p>
    <w:p w14:paraId="67560099" w14:textId="77777777" w:rsidR="00666F51" w:rsidRPr="00D03F3E" w:rsidRDefault="00666F51" w:rsidP="00D03F3E">
      <w:pPr>
        <w:pStyle w:val="a3"/>
        <w:rPr>
          <w:color w:val="000000" w:themeColor="text1"/>
          <w:lang w:val="ru-RU"/>
        </w:rPr>
      </w:pPr>
      <w:r w:rsidRPr="00D03F3E">
        <w:rPr>
          <w:color w:val="000000" w:themeColor="text1"/>
          <w:lang w:val="ru-RU"/>
        </w:rPr>
        <w:t>В каждой эскадре немецкое коман</w:t>
      </w:r>
      <w:r w:rsidRPr="00D03F3E">
        <w:rPr>
          <w:color w:val="000000" w:themeColor="text1"/>
          <w:lang w:val="ru-RU"/>
        </w:rPr>
        <w:softHyphen/>
        <w:t>дование планировало иметь три группы, вооруженных Р\л/190 в варианте истреби</w:t>
      </w:r>
      <w:r w:rsidRPr="00D03F3E">
        <w:rPr>
          <w:color w:val="000000" w:themeColor="text1"/>
          <w:lang w:val="ru-RU"/>
        </w:rPr>
        <w:softHyphen/>
        <w:t>теля-штурмовика, и одну специальную противотанковую эскадрилью на Нз129В.</w:t>
      </w:r>
    </w:p>
    <w:p w14:paraId="6961EC22" w14:textId="77777777" w:rsidR="00666F51" w:rsidRPr="00D03F3E" w:rsidRDefault="00666F51" w:rsidP="00D03F3E">
      <w:pPr>
        <w:pStyle w:val="a3"/>
        <w:rPr>
          <w:color w:val="000000" w:themeColor="text1"/>
          <w:lang w:val="ru-RU"/>
        </w:rPr>
      </w:pPr>
      <w:r w:rsidRPr="00D03F3E">
        <w:rPr>
          <w:color w:val="000000" w:themeColor="text1"/>
          <w:lang w:val="ru-RU"/>
        </w:rPr>
        <w:t>Считалось, что именно такое сочетание боевых сил позволит серьезно повысить эффективность непосредственной авиаци</w:t>
      </w:r>
      <w:r w:rsidRPr="00D03F3E">
        <w:rPr>
          <w:color w:val="000000" w:themeColor="text1"/>
          <w:lang w:val="ru-RU"/>
        </w:rPr>
        <w:softHyphen/>
        <w:t>онной поддержки войск, как в обороне, так и в наступлении (12733).</w:t>
      </w:r>
    </w:p>
    <w:p w14:paraId="6CACCC89" w14:textId="77777777" w:rsidR="00666F51" w:rsidRPr="00D03F3E" w:rsidRDefault="00666F51" w:rsidP="00D03F3E">
      <w:pPr>
        <w:pStyle w:val="a3"/>
        <w:rPr>
          <w:color w:val="000000" w:themeColor="text1"/>
          <w:lang w:val="ru-RU"/>
        </w:rPr>
      </w:pPr>
    </w:p>
    <w:p w14:paraId="3C2F8B1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состоялось решение о создании первой авиационной дивизии ночных перехватчиков. Командиром дивизии был назначен опытный командир Б. В. Вицкий, его заместителем по радиолокации – инженер-майор Е. С. Штейн. Авиационная дивизия ночных перехватчиков с РЛС «Гнейс-2» и средствами наземного обеспечения участвовала в боевых действиях по прикрытию в ночное время Брянского железнодорожного узла, под Минском, Ригой, Львовом, Ковелем, Брестом, Познанью и г. Бреслау, где и закончила свой боевой путь. За боевые заслуги в войне дивизии было присвоено наименование «Бреславльской» (11026).</w:t>
      </w:r>
    </w:p>
    <w:p w14:paraId="06F8042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C3AC8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были сформированы технические бригады для постановки дымзавес и маскировки крупных объектов (359,181).</w:t>
      </w:r>
    </w:p>
    <w:p w14:paraId="34BF5E0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875DC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лета 1943 года С-47 стали поступать в транспортные части ГВФ. Наибольшее их количество имела 1-я транспортная дивизия (впоследствии 10-я гвардейская), базировавшаяся в подмосковном Внукове. Эти машины прибыли также в 3-ю отдельную дивизию связи (Мячково) и в отдельные полки ГВФ, действовавшие на фронтах. Такие полки к концу войны обычно обязательно включали отряд из пяти Ли-2 или С-47. "Дугласы", наряду с Ли-2, составляли костяк нашей военнотранспортной авиации. Хотя их было куда меньше, чем У-2 и 11-5 (Р-5), они осуществляли более половины перевозок. Огромный объем грузов был переброшен на С-47 при различных наступательных операциях Советской армии. Полки 1-й транспортной дивизии обеспечивали доставку срочных грузов во время битвы на Курской дуге (3457,135).</w:t>
      </w:r>
    </w:p>
    <w:p w14:paraId="602490D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D4D51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на советско-германском фронте появились первые A-20G. Они прибывали через Аляску и Иран. Это был чисто штурмовой вариант. Носовую часть теперь заняли целой батареей пушек и пулеметов. Иа первой серии, A-20G-1, в носу располагались четыре 20-мм пушки и два 12,7MM пулемета. Почти все самолеты типа G-1 отправили в СССР. Начиная с серии G-5 стали ставить шесть крупнокалиберных пулеметов. На А-20G расширили заднюю часть фюзеляжа и смонтировали там электрифицированную турель Мартин 250GE с двумя 12,7 мм пулеметами. В нижней точке теперь тоже стоял такой же пулемет. От серии к серии "Бостон" оснащали все более эффективным вооружением, поднимали бомбовую нагрузку, улучшали бронезащиту. Но самолет становился все тяжелее, теряя в летных данных. Но скорости он уже уступал последним сериям Пе-2, но все равно оставался грозной боевой машиной. A-20G стал в нашей авиации поистине многоцелевым самолетом, выполнявшим самые разные функции дневного и ночного бомбардировщика, разведчика, торпедоносца и минного заградителя, тяжелого истребителя и даже транспортного самолета. Мало применялся он лишь в качестве штурмовика - по своему основному назначению! Как уже говорилось, A-20G был очень уязвим для зенитчиков на малых высотах из-за значительных размеров и слабою броневого прикрытия. Лишь при достижении внезапности можно было рассчитывать на сравнительную безопасность "Бостона" при штурмовке в условиях хорошо отлаженной ПВО немцев. Тем не менее штурмовые удары но автоколоннам, поездам, судам нашими летчиками иногда осуществлялись. Экипажи 449-го полка в такой ситуации обычно атаковали с высоты 300-700 м, пикируя под углом 20-25 градусов. После очереди из 20-30 снарядов следовал быстрый уход на бреющем полете. В целом же место штурмовика в пашей авиации прочно занял Ил-2, а A-20G оказался вытесненным в другие области применения (3457,104).</w:t>
      </w:r>
    </w:p>
    <w:p w14:paraId="00FF45B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227B9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под Шахтами за на Бостонах немецкими ночными бомбардировщиками охотились летчики 10-го гвардейского полка. Аналогичным образом было организовано прикрытие советских войск под Керчью (3457,110).</w:t>
      </w:r>
    </w:p>
    <w:p w14:paraId="31EBF7D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9C47B6" w14:textId="77777777" w:rsidR="006F0841" w:rsidRPr="00D03F3E" w:rsidRDefault="006F0841" w:rsidP="00D03F3E">
      <w:pPr>
        <w:spacing w:after="0" w:line="240" w:lineRule="auto"/>
        <w:jc w:val="both"/>
        <w:rPr>
          <w:rFonts w:ascii="Times New Roman" w:hAnsi="Times New Roman"/>
          <w:color w:val="0070C0"/>
          <w:sz w:val="16"/>
          <w:szCs w:val="16"/>
          <w:lang w:eastAsia="ru-RU" w:bidi="ru-RU"/>
        </w:rPr>
      </w:pPr>
      <w:r w:rsidRPr="00D03F3E">
        <w:rPr>
          <w:rFonts w:ascii="Times New Roman" w:hAnsi="Times New Roman"/>
          <w:color w:val="0070C0"/>
          <w:sz w:val="16"/>
          <w:szCs w:val="16"/>
          <w:lang w:eastAsia="ru-RU" w:bidi="ru-RU"/>
        </w:rPr>
        <w:t>Летом 1943 г. 18 бомбардировщиков Ту-2, которые попали в 285-ю авиадивизию полковника В.А. Сан</w:t>
      </w:r>
      <w:r w:rsidRPr="00D03F3E">
        <w:rPr>
          <w:rFonts w:ascii="Times New Roman" w:hAnsi="Times New Roman"/>
          <w:color w:val="0070C0"/>
          <w:sz w:val="16"/>
          <w:szCs w:val="16"/>
          <w:lang w:eastAsia="ru-RU" w:bidi="ru-RU"/>
        </w:rPr>
        <w:softHyphen/>
        <w:t>далова,  приняли учас</w:t>
      </w:r>
      <w:r w:rsidRPr="00D03F3E">
        <w:rPr>
          <w:rFonts w:ascii="Times New Roman" w:hAnsi="Times New Roman"/>
          <w:color w:val="0070C0"/>
          <w:sz w:val="16"/>
          <w:szCs w:val="16"/>
          <w:lang w:eastAsia="ru-RU" w:bidi="ru-RU"/>
        </w:rPr>
        <w:softHyphen/>
        <w:t>тие в сражении на Курской дуге (21060).</w:t>
      </w:r>
    </w:p>
    <w:p w14:paraId="7877CEA1" w14:textId="77777777" w:rsidR="006F0841" w:rsidRPr="00D03F3E" w:rsidRDefault="006F0841" w:rsidP="00D03F3E">
      <w:pPr>
        <w:spacing w:after="0" w:line="240" w:lineRule="auto"/>
        <w:jc w:val="both"/>
        <w:rPr>
          <w:rFonts w:ascii="Times New Roman" w:hAnsi="Times New Roman"/>
          <w:color w:val="0070C0"/>
          <w:sz w:val="16"/>
          <w:szCs w:val="16"/>
        </w:rPr>
      </w:pPr>
    </w:p>
    <w:p w14:paraId="0D31E45D" w14:textId="77777777" w:rsidR="006F0841" w:rsidRPr="00D03F3E" w:rsidRDefault="006F084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Летом 1943 года было принято также и решение о формировании первой авиационной дивизии ночных истребителей-перехватчиков: на ее вооружение поступили поставлявшиеся по «ленд-лизу» самолеты A-20G-1, которые более лучшим образом были приспособлены для решения данной задачи, чем самолеты Пе-2. Собственно же само это соединение – 56-я авиадивизия истребителей Дальнего Действия – было сформировано в составе трех авиационных полков в декабре 1943 года на основании Приказа НКО №00139 от 12 ноября 1943 года. С июня 1944 года дивизия – в составе Действующей Армии. Первый командир дивизии – подполковник Михаил Федорович Кузнецов, заместитель по радиолокации – инженер-майор Е. С. Штейн. Позже авиадивизией командовали полковник Андрей Дементьевич Бабенко – с 23 мая по 19 декабря 1944 года, и полковник Борис Владимирович Бицкий – с 20 декабря 1944 года и до окончания войны. Данная авиационная дивизия обеспечивала ночное прикрытие Брянского железнодорожного узла, участвовала в боях под Минском, Ригой, Львовом, Ковелем и Брестом, а затем под Познанью (22709).</w:t>
      </w:r>
    </w:p>
    <w:p w14:paraId="4E128619" w14:textId="77777777" w:rsidR="006F0841" w:rsidRPr="00D03F3E" w:rsidRDefault="006F0841" w:rsidP="00D03F3E">
      <w:pPr>
        <w:spacing w:after="0" w:line="240" w:lineRule="auto"/>
        <w:jc w:val="both"/>
        <w:rPr>
          <w:rFonts w:ascii="Times New Roman" w:hAnsi="Times New Roman"/>
          <w:color w:val="0070C0"/>
          <w:sz w:val="16"/>
          <w:szCs w:val="16"/>
        </w:rPr>
      </w:pPr>
    </w:p>
    <w:p w14:paraId="4490E4C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"Аэрокобры" появились уже но всему фронту - от крайнего севера до самого юга. Па Карельском фронте продолжала воевать 258-я смешанная авиадивизия (с лета- 1-я гвардейская), вооруженная Р-39 и P-40. Под Ленинградом P-39Q оснастили 102-й и 103-й гвардейские полки ПВО. На СЗФ на "Кобрах" летали три полка 5 гад п Г.А.Иванова, на ЦФ - полки 1 гад п В.В.Сухорябова. Много Р-39 было и на юге, где была постоянная подпитка их Ирана. Переподготовку осуществлял 25 зап, а позднее (с сентября 1943) также 11 зап и с ноября 1943 - 26 зап (3457,72).</w:t>
      </w:r>
    </w:p>
    <w:p w14:paraId="05A66E8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EC0E8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существенно изменился характер боевых действий над Кольским полуостровом. ВВС Северного флота все чаще и чаще предпринимали операции уже над территорией, занятой врагом. Авиация постепенно начала наращивать усилия по пресечению судоходства противника в районе Петсамо. Постепенно центр воздушных боев начал смещаться от Мурманска к немецким аэродромам и вражеским морским базам. Однако не отработанное взаимодействие между экипажами ударных машин и прикрывавших истребителей часто приводило к тяжелым потерям (3480).</w:t>
      </w:r>
    </w:p>
    <w:p w14:paraId="66F571A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16317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было принято штатное расписание легкого сап, по которому в нем имелась 21 машина. Лишь со временем пришло понимание того, что главной задачей СУ-76 является сопровождение пехоты и тесное взаимодействие с ней; задачи борьбы с танками перешли к более мощным артсистемам, созданным на базе Т-34 и ИС-2 (3862).</w:t>
      </w:r>
    </w:p>
    <w:p w14:paraId="7B749099"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DC2CD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1943-го штаб ВВС КА издал "Временного наставления для штурмовиков" (под редакцией генерала С. И. Руденко) (8687).</w:t>
      </w:r>
    </w:p>
    <w:p w14:paraId="36B176F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2ED94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43-го. организовывали налет на Брянск «Утюжи</w:t>
      </w:r>
      <w:r w:rsidRPr="00D03F3E">
        <w:rPr>
          <w:rFonts w:ascii="Times New Roman" w:hAnsi="Times New Roman"/>
          <w:color w:val="000000" w:themeColor="text1"/>
          <w:sz w:val="16"/>
          <w:szCs w:val="16"/>
        </w:rPr>
        <w:softHyphen/>
        <w:t>ли» железнодорожный узел. Зону работы ра</w:t>
      </w:r>
      <w:r w:rsidRPr="00D03F3E">
        <w:rPr>
          <w:rFonts w:ascii="Times New Roman" w:hAnsi="Times New Roman"/>
          <w:color w:val="000000" w:themeColor="text1"/>
          <w:sz w:val="16"/>
          <w:szCs w:val="16"/>
        </w:rPr>
        <w:softHyphen/>
        <w:t>диолокаторов «Илы» преодолевали на малой высоте, используя рельеф мест</w:t>
      </w:r>
      <w:r w:rsidRPr="00D03F3E">
        <w:rPr>
          <w:rFonts w:ascii="Times New Roman" w:hAnsi="Times New Roman"/>
          <w:color w:val="000000" w:themeColor="text1"/>
          <w:sz w:val="16"/>
          <w:szCs w:val="16"/>
        </w:rPr>
        <w:softHyphen/>
        <w:t>ности. На подходе к цели они поднима</w:t>
      </w:r>
      <w:r w:rsidRPr="00D03F3E">
        <w:rPr>
          <w:rFonts w:ascii="Times New Roman" w:hAnsi="Times New Roman"/>
          <w:color w:val="000000" w:themeColor="text1"/>
          <w:sz w:val="16"/>
          <w:szCs w:val="16"/>
        </w:rPr>
        <w:softHyphen/>
        <w:t>лись вверх, часто меняя направление. Небольшие подразделения атаковали второстепенные объекты, отвлекая на себя систему ПВО. Система световых и радиомаяков, приводных радиостанций обеспечивала безошибочный выход к целям. Налеты становились все более мас</w:t>
      </w:r>
      <w:r w:rsidRPr="00D03F3E">
        <w:rPr>
          <w:rFonts w:ascii="Times New Roman" w:hAnsi="Times New Roman"/>
          <w:color w:val="000000" w:themeColor="text1"/>
          <w:sz w:val="16"/>
          <w:szCs w:val="16"/>
        </w:rPr>
        <w:softHyphen/>
        <w:t>сированными. Бомбардировщики выхо</w:t>
      </w:r>
      <w:r w:rsidRPr="00D03F3E">
        <w:rPr>
          <w:rFonts w:ascii="Times New Roman" w:hAnsi="Times New Roman"/>
          <w:color w:val="000000" w:themeColor="text1"/>
          <w:sz w:val="16"/>
          <w:szCs w:val="16"/>
        </w:rPr>
        <w:softHyphen/>
        <w:t>дили на цели с разных направлений. Выделялись группы самолетов для по</w:t>
      </w:r>
      <w:r w:rsidRPr="00D03F3E">
        <w:rPr>
          <w:rFonts w:ascii="Times New Roman" w:hAnsi="Times New Roman"/>
          <w:color w:val="000000" w:themeColor="text1"/>
          <w:sz w:val="16"/>
          <w:szCs w:val="16"/>
        </w:rPr>
        <w:softHyphen/>
        <w:t>давления зенитной артиллерии, про</w:t>
      </w:r>
      <w:r w:rsidRPr="00D03F3E">
        <w:rPr>
          <w:rFonts w:ascii="Times New Roman" w:hAnsi="Times New Roman"/>
          <w:color w:val="000000" w:themeColor="text1"/>
          <w:sz w:val="16"/>
          <w:szCs w:val="16"/>
        </w:rPr>
        <w:softHyphen/>
        <w:t>жекторных установок. Впереди основ</w:t>
      </w:r>
      <w:r w:rsidRPr="00D03F3E">
        <w:rPr>
          <w:rFonts w:ascii="Times New Roman" w:hAnsi="Times New Roman"/>
          <w:color w:val="000000" w:themeColor="text1"/>
          <w:sz w:val="16"/>
          <w:szCs w:val="16"/>
        </w:rPr>
        <w:softHyphen/>
        <w:t>ной массы бомбардировщиков шел эшелон обеспечения. Его задачей было найти цель и обозначить ее, обычно со</w:t>
      </w:r>
      <w:r w:rsidRPr="00D03F3E">
        <w:rPr>
          <w:rFonts w:ascii="Times New Roman" w:hAnsi="Times New Roman"/>
          <w:color w:val="000000" w:themeColor="text1"/>
          <w:sz w:val="16"/>
          <w:szCs w:val="16"/>
        </w:rPr>
        <w:softHyphen/>
        <w:t>здав очаги пожаров. Специальные пол</w:t>
      </w:r>
      <w:r w:rsidRPr="00D03F3E">
        <w:rPr>
          <w:rFonts w:ascii="Times New Roman" w:hAnsi="Times New Roman"/>
          <w:color w:val="000000" w:themeColor="text1"/>
          <w:sz w:val="16"/>
          <w:szCs w:val="16"/>
        </w:rPr>
        <w:softHyphen/>
        <w:t>ки ночных охотников-блокировщиков (первый из них сначала тоже летал на Ил-4) парализовывали аэродромы ноч</w:t>
      </w:r>
      <w:r w:rsidRPr="00D03F3E">
        <w:rPr>
          <w:rFonts w:ascii="Times New Roman" w:hAnsi="Times New Roman"/>
          <w:color w:val="000000" w:themeColor="text1"/>
          <w:sz w:val="16"/>
          <w:szCs w:val="16"/>
        </w:rPr>
        <w:softHyphen/>
        <w:t>ных истребителей противника. Фотораз</w:t>
      </w:r>
      <w:r w:rsidRPr="00D03F3E">
        <w:rPr>
          <w:rFonts w:ascii="Times New Roman" w:hAnsi="Times New Roman"/>
          <w:color w:val="000000" w:themeColor="text1"/>
          <w:sz w:val="16"/>
          <w:szCs w:val="16"/>
        </w:rPr>
        <w:softHyphen/>
        <w:t>ведчики потом сообщили, что летчики АДД уничтожили несколько сот вагонов с боеприпасами и горючим, эшелоны с войсками — потери немцев составили до 3000 человек. Железнодорожные узлы и аэродромы в ближнем тылу противника являлись основными целями для АДД. Но летали и на Германию — на Кенигсберг, Дан</w:t>
      </w:r>
      <w:r w:rsidRPr="00D03F3E">
        <w:rPr>
          <w:rFonts w:ascii="Times New Roman" w:hAnsi="Times New Roman"/>
          <w:color w:val="000000" w:themeColor="text1"/>
          <w:sz w:val="16"/>
          <w:szCs w:val="16"/>
        </w:rPr>
        <w:softHyphen/>
        <w:t>циг, Тильзит и Инстербург. Дальние бомбардировщики приняли участие во всех крупных кампаниях 43-го. К сражению на Курской дуге при</w:t>
      </w:r>
      <w:r w:rsidRPr="00D03F3E">
        <w:rPr>
          <w:rFonts w:ascii="Times New Roman" w:hAnsi="Times New Roman"/>
          <w:color w:val="000000" w:themeColor="text1"/>
          <w:sz w:val="16"/>
          <w:szCs w:val="16"/>
        </w:rPr>
        <w:softHyphen/>
        <w:t>влекли 740 самолетов АДД, в основном — Ил-4. В июле-сентябре дальние бомбардировщики помогали прорвать блокаду Ленинграда. Здесь против ук</w:t>
      </w:r>
      <w:r w:rsidRPr="00D03F3E">
        <w:rPr>
          <w:rFonts w:ascii="Times New Roman" w:hAnsi="Times New Roman"/>
          <w:color w:val="000000" w:themeColor="text1"/>
          <w:sz w:val="16"/>
          <w:szCs w:val="16"/>
        </w:rPr>
        <w:softHyphen/>
        <w:t xml:space="preserve">реплений часто применяли бомбы </w:t>
      </w:r>
      <w:r w:rsidRPr="00D03F3E">
        <w:rPr>
          <w:rFonts w:ascii="Times New Roman" w:hAnsi="Times New Roman"/>
          <w:color w:val="000000" w:themeColor="text1"/>
          <w:sz w:val="16"/>
          <w:szCs w:val="16"/>
        </w:rPr>
        <w:lastRenderedPageBreak/>
        <w:t>ФАБ-1000. Они подвешивались под фюзеля</w:t>
      </w:r>
      <w:r w:rsidRPr="00D03F3E">
        <w:rPr>
          <w:rFonts w:ascii="Times New Roman" w:hAnsi="Times New Roman"/>
          <w:color w:val="000000" w:themeColor="text1"/>
          <w:sz w:val="16"/>
          <w:szCs w:val="16"/>
        </w:rPr>
        <w:softHyphen/>
        <w:t>жем. Взлетать с ними было очень труд</w:t>
      </w:r>
      <w:r w:rsidRPr="00D03F3E">
        <w:rPr>
          <w:rFonts w:ascii="Times New Roman" w:hAnsi="Times New Roman"/>
          <w:color w:val="000000" w:themeColor="text1"/>
          <w:sz w:val="16"/>
          <w:szCs w:val="16"/>
        </w:rPr>
        <w:softHyphen/>
        <w:t>но — бомба раскачивалась сама и рас</w:t>
      </w:r>
      <w:r w:rsidRPr="00D03F3E">
        <w:rPr>
          <w:rFonts w:ascii="Times New Roman" w:hAnsi="Times New Roman"/>
          <w:color w:val="000000" w:themeColor="text1"/>
          <w:sz w:val="16"/>
          <w:szCs w:val="16"/>
        </w:rPr>
        <w:softHyphen/>
        <w:t>качивала самолет. В полете же ее со</w:t>
      </w:r>
      <w:r w:rsidRPr="00D03F3E">
        <w:rPr>
          <w:rFonts w:ascii="Times New Roman" w:hAnsi="Times New Roman"/>
          <w:color w:val="000000" w:themeColor="text1"/>
          <w:sz w:val="16"/>
          <w:szCs w:val="16"/>
        </w:rPr>
        <w:softHyphen/>
        <w:t>противление заметно гасило скорость (10734,80).</w:t>
      </w:r>
    </w:p>
    <w:p w14:paraId="0D52149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ECCD9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не менее половины всех МиГов, принадлежавших авиации ПВО, прикрывали небо Москвы: здесь имелось 110 исправных и 29 неисправных МиГ-3. В обзоре боевых действий 1-й истребительной армии ПВО указывалось, что истребители этого типа находились в наименее благоприятных условиях, поскольку были сильно изношены. Тем не менее, в это время было отмечено два боевых столкновения МиГов с вражескими разведчиками на больших высотах. Ранним утром 2 июня пара МиГ-3 из 565-го иап, вылетев с Кубинки, устремилась на встречу с разведчиком, находившимся на высоте 8000 м. Наведение с КП посредством станции МРУ-105 командир части организовал так, что курсы советских самолетов и противника пересекались под прямым углом, при этом истребители приближались со стороны солнца. Обоим нашим летчикам удалось добиться внезапности при проведении первой атаки.</w:t>
      </w:r>
    </w:p>
    <w:p w14:paraId="37988A9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Они обстреляли неприятеля с задней полусферы практически одновременно справа и слева. Младший лейтенант Мазуренко открыл огонь с дистанции 40-50 м, но его МиГ попал в спутную струю воздуха от моторов "юнкерса" и свалился в штопор. Младший лейтенант Сырейщиков приблизился на 150 м, после чего был встречен очередью стрелка. Обстреляв два раза кабину, Сырейщиков пришел к выводу: недостаточная эффективность огня истребителя не позволит ему уничтожить неприятельский разведчик. Тогда летчик разогнал истребитель и отрубил "юнкерсу" хвостовое оперение до передней кромки стабилизатора.</w:t>
      </w:r>
    </w:p>
    <w:p w14:paraId="720A00D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Долго удерживать МиГ-3 в горизонтальном полете не удавалось. На высоте 6000 м Г.Г. Сырейщиков покинул машину с парашютом и благополучно приземлился. Тем временем его ведомый вывел истребитель из штопора и совершил посадку на своем аэродроме. Ju 88D рухнул на землю в районе знаменитого Бородинского поля; все члены немецкого экипажа погибли.</w:t>
      </w:r>
    </w:p>
    <w:p w14:paraId="04D05D6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Неоднократно МиГи пытались осуществлять перехваты на большей высоте, что летом 1943 г. было далеко не просто. Ведь большинство истребителей этого типа начали эксплуатироваться в 6-м иак ПВО еще в конце 1940 - начале 1941 г., и за прошедшее время инженерно-технический состав и ре- морганы выполнили на каждой машине по два-три восстановительных ремонта. На многих планерах имелись остаточные деформации основных силовых узлов центроплана, фюзеляжа, подмоторных рам.</w:t>
      </w:r>
    </w:p>
    <w:p w14:paraId="489D068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результате буквально после каждого полета обнаруживались ослабевшие или даже срезанные шурупы и болты в силовых узлах. Особое беспокойство вызывали пятая и так называемая "усиленная" нервюры. Устранение дефектов требовало значительного времени. Особенно серьезные трудозатраты были связаны с восстановлением двигателей (12045).</w:t>
      </w:r>
    </w:p>
    <w:p w14:paraId="4B101A0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C4104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течение лета 1943 г. в 62-м иап использовалось 10-12 И-15бис. Основными задачами оставались прикрытие и сопровождение морских транспортов и поиск вражеских судов. Неоднократно отмечались атаки вражеских подводных лодок (12014).</w:t>
      </w:r>
    </w:p>
    <w:p w14:paraId="53B07BE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8E5B82" w14:textId="77777777" w:rsidR="008F78BA" w:rsidRPr="00D03F3E" w:rsidRDefault="008F78BA"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лета 1943 г. в серию "пошел" самый массовый вариант ударного "фоккера" - Fw190F-3 (9084).</w:t>
      </w:r>
    </w:p>
    <w:p w14:paraId="5459571A" w14:textId="77777777" w:rsidR="008F78BA" w:rsidRPr="00D03F3E" w:rsidRDefault="008F78BA"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6F683A" w14:textId="77777777" w:rsidR="00DA09C1" w:rsidRPr="00D03F3E" w:rsidRDefault="00DA09C1"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ремонтные части 5-й гвардейской танковой армии, где во время обучения и формирования армии в местах боев имелось много подбитых танков, (наших и немецких), на которых обучались ремонтники и бронебойщики и артиллеристы, на одном из Т-34 были оборудованы «специальные ящики-доты для десанта». К бортам танка приварили специально вырезанные броневые плиты «образовав ДОТ с бойницами, со специальными местами для сиденья автоматчиков и для наблюдения за полем боя». Командующий армией генерал Ротмистров эту работу одобрил. В дальнейшем этот танк «ДОТ» участвовал в боях на Про- хоровском направлении и дошел до Богодухова, где в боях сгорел (12217).</w:t>
      </w:r>
    </w:p>
    <w:p w14:paraId="06FE1C24" w14:textId="77777777" w:rsidR="00DA09C1" w:rsidRPr="00D03F3E" w:rsidRDefault="00DA09C1" w:rsidP="00D03F3E">
      <w:pPr>
        <w:shd w:val="clear" w:color="auto" w:fill="FFFFFF"/>
        <w:spacing w:after="0" w:line="240" w:lineRule="auto"/>
        <w:jc w:val="both"/>
        <w:rPr>
          <w:rFonts w:ascii="Times New Roman" w:hAnsi="Times New Roman"/>
          <w:color w:val="000000" w:themeColor="text1"/>
          <w:sz w:val="16"/>
          <w:szCs w:val="16"/>
        </w:rPr>
      </w:pPr>
    </w:p>
    <w:p w14:paraId="5D8A44DB" w14:textId="77777777" w:rsidR="008F78BA" w:rsidRPr="00D03F3E" w:rsidRDefault="008F78BA" w:rsidP="00D03F3E">
      <w:pPr>
        <w:pStyle w:val="ae"/>
        <w:shd w:val="clear" w:color="auto" w:fill="FFFFFF"/>
        <w:spacing w:before="0" w:after="0"/>
        <w:jc w:val="both"/>
        <w:rPr>
          <w:color w:val="000000" w:themeColor="text1"/>
          <w:sz w:val="16"/>
          <w:szCs w:val="16"/>
        </w:rPr>
      </w:pPr>
      <w:r w:rsidRPr="00D03F3E">
        <w:rPr>
          <w:color w:val="000000" w:themeColor="text1"/>
          <w:sz w:val="16"/>
          <w:szCs w:val="16"/>
        </w:rPr>
        <w:t xml:space="preserve">Летом 1943 года у советского командования не имелось козыря в виде полков на ИС-2, способных на равных вести дуэль с «Тиграми». Большую часть машин из приданных 7-й гвардейской армии генерал-лейтенанта М.С. Шумилова танковых частей составляли «тридцатьчетвёрки», меньшую — </w:t>
      </w:r>
      <w:hyperlink r:id="rId243" w:history="1">
        <w:r w:rsidRPr="00D03F3E">
          <w:rPr>
            <w:rStyle w:val="a5"/>
            <w:color w:val="000000" w:themeColor="text1"/>
            <w:sz w:val="16"/>
            <w:szCs w:val="16"/>
          </w:rPr>
          <w:t>Т-60</w:t>
        </w:r>
      </w:hyperlink>
      <w:r w:rsidRPr="00D03F3E">
        <w:rPr>
          <w:color w:val="000000" w:themeColor="text1"/>
          <w:sz w:val="16"/>
          <w:szCs w:val="16"/>
        </w:rPr>
        <w:t xml:space="preserve">, </w:t>
      </w:r>
      <w:hyperlink r:id="rId244" w:history="1">
        <w:r w:rsidRPr="00D03F3E">
          <w:rPr>
            <w:rStyle w:val="a5"/>
            <w:color w:val="000000" w:themeColor="text1"/>
            <w:sz w:val="16"/>
            <w:szCs w:val="16"/>
          </w:rPr>
          <w:t>Т-70</w:t>
        </w:r>
      </w:hyperlink>
      <w:r w:rsidRPr="00D03F3E">
        <w:rPr>
          <w:color w:val="000000" w:themeColor="text1"/>
          <w:sz w:val="16"/>
          <w:szCs w:val="16"/>
        </w:rPr>
        <w:t xml:space="preserve">, КВ и </w:t>
      </w:r>
      <w:hyperlink r:id="rId245" w:history="1">
        <w:r w:rsidRPr="00D03F3E">
          <w:rPr>
            <w:rStyle w:val="a5"/>
            <w:color w:val="000000" w:themeColor="text1"/>
            <w:sz w:val="16"/>
            <w:szCs w:val="16"/>
          </w:rPr>
          <w:t>ленд-лизовские</w:t>
        </w:r>
      </w:hyperlink>
      <w:r w:rsidRPr="00D03F3E">
        <w:rPr>
          <w:color w:val="000000" w:themeColor="text1"/>
          <w:sz w:val="16"/>
          <w:szCs w:val="16"/>
        </w:rPr>
        <w:t xml:space="preserve"> танки. Впрочем, командование Воронежского фронта вполне отчётливо понимало степень угрозы, исходящей от новой немецкой техники, поэтому в 7-ю гвардейскую был передан 1529-й тяжёлый самоходно-артиллерийский полк, имевший 12 установок СУ-152. В тот момент это был единственный такой полк в составе Воронежского фронта и всего лишь один из двух на всю действующую армию (17726).</w:t>
      </w:r>
    </w:p>
    <w:p w14:paraId="1C8063BD" w14:textId="77777777" w:rsidR="008F78BA" w:rsidRPr="00D03F3E" w:rsidRDefault="008F78BA" w:rsidP="00D03F3E">
      <w:pPr>
        <w:spacing w:after="0" w:line="240" w:lineRule="auto"/>
        <w:jc w:val="both"/>
        <w:rPr>
          <w:rFonts w:ascii="Times New Roman" w:hAnsi="Times New Roman"/>
          <w:color w:val="000000" w:themeColor="text1"/>
          <w:sz w:val="16"/>
          <w:szCs w:val="16"/>
        </w:rPr>
      </w:pPr>
    </w:p>
    <w:p w14:paraId="047EFA38" w14:textId="77777777" w:rsidR="00A40F84" w:rsidRPr="00D03F3E" w:rsidRDefault="00A40F84"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t>Летом 1943 года на Восточном фронте в ходе опера</w:t>
      </w:r>
      <w:r w:rsidRPr="00D03F3E">
        <w:rPr>
          <w:rFonts w:ascii="Times New Roman" w:cs="Times New Roman"/>
          <w:color w:val="000000" w:themeColor="text1"/>
          <w:spacing w:val="0"/>
        </w:rPr>
        <w:softHyphen/>
        <w:t>ции «Цитадель» полу</w:t>
      </w:r>
      <w:r w:rsidRPr="00D03F3E">
        <w:rPr>
          <w:rFonts w:ascii="Times New Roman" w:cs="Times New Roman"/>
          <w:color w:val="000000" w:themeColor="text1"/>
          <w:spacing w:val="0"/>
        </w:rPr>
        <w:softHyphen/>
        <w:t xml:space="preserve">чили боевое крещение штурмпанцеры </w:t>
      </w:r>
      <w:r w:rsidRPr="00D03F3E">
        <w:rPr>
          <w:rFonts w:ascii="Times New Roman" w:cs="Times New Roman"/>
          <w:color w:val="000000" w:themeColor="text1"/>
          <w:spacing w:val="0"/>
          <w:lang w:val="en-US"/>
        </w:rPr>
        <w:t>Sturmpanzer</w:t>
      </w:r>
      <w:r w:rsidRPr="00D03F3E">
        <w:rPr>
          <w:rFonts w:ascii="Times New Roman" w:cs="Times New Roman"/>
          <w:color w:val="000000" w:themeColor="text1"/>
          <w:spacing w:val="0"/>
        </w:rPr>
        <w:t xml:space="preserve"> IV. Они до</w:t>
      </w:r>
      <w:r w:rsidRPr="00D03F3E">
        <w:rPr>
          <w:rFonts w:ascii="Times New Roman" w:cs="Times New Roman"/>
          <w:color w:val="000000" w:themeColor="text1"/>
          <w:spacing w:val="0"/>
        </w:rPr>
        <w:softHyphen/>
        <w:t>статочно эффективно применялись для уничтожения фортификационных соору</w:t>
      </w:r>
      <w:r w:rsidRPr="00D03F3E">
        <w:rPr>
          <w:rFonts w:ascii="Times New Roman" w:cs="Times New Roman"/>
          <w:color w:val="000000" w:themeColor="text1"/>
          <w:spacing w:val="0"/>
        </w:rPr>
        <w:softHyphen/>
        <w:t>жений при прорыве линии обороны со</w:t>
      </w:r>
      <w:r w:rsidRPr="00D03F3E">
        <w:rPr>
          <w:rFonts w:ascii="Times New Roman" w:cs="Times New Roman"/>
          <w:color w:val="000000" w:themeColor="text1"/>
          <w:spacing w:val="0"/>
        </w:rPr>
        <w:softHyphen/>
        <w:t>ветских войск. Поэтому было принято решение о возобновлении их производ</w:t>
      </w:r>
      <w:r w:rsidRPr="00D03F3E">
        <w:rPr>
          <w:rFonts w:ascii="Times New Roman" w:cs="Times New Roman"/>
          <w:color w:val="000000" w:themeColor="text1"/>
          <w:spacing w:val="0"/>
        </w:rPr>
        <w:softHyphen/>
        <w:t>ства с темпом сборки 20 машин в месяц (15232).</w:t>
      </w:r>
    </w:p>
    <w:p w14:paraId="1651DE6F" w14:textId="77777777" w:rsidR="00A40F84" w:rsidRPr="00D03F3E" w:rsidRDefault="00A40F84" w:rsidP="00D03F3E">
      <w:pPr>
        <w:pStyle w:val="27"/>
        <w:shd w:val="clear" w:color="auto" w:fill="auto"/>
        <w:spacing w:after="0" w:line="240" w:lineRule="auto"/>
        <w:ind w:firstLine="0"/>
        <w:rPr>
          <w:rFonts w:ascii="Times New Roman" w:cs="Times New Roman"/>
          <w:color w:val="000000" w:themeColor="text1"/>
          <w:spacing w:val="0"/>
        </w:rPr>
      </w:pPr>
    </w:p>
    <w:p w14:paraId="5DCF029E"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Внешняя политика:</w:t>
      </w:r>
    </w:p>
    <w:p w14:paraId="69A44D6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393DE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в мурманском порту были проведены большие восстановительные работы, восстановлен причальный фронт, что дало возможность одновременной разгрузки 14 пароходов, на всех причалах оборудованы бомбоубежища. Были установлены 5 импортных портальных кранов, транспортер, реконструированы железнодорожные пути, подготовлены складские помещения. К зимней навигации 1943-1944 гг. в помощь кадровым грузчикам прибыли бойцы Карельского фронта и Северного флота. В навигацию 1943-1944 гг. Мурманский порт принял 92 судна, переработал 624035 тонн импортного и 42118 тонн экспортного груза. В 1944 г. грузооборот порта достиг довоенного уровня. Через Мурманский порт до самого конца войны, до весны 1945 года шли грузы, необходимые фронту и тылу. С первых же плаваний в конвоях стали участвовать советские суда. Моряки в условиях полярной ночи, жесточайших штормов, опасностей военного времени водили свои суда к берегам дружественных стран, используя как конвойные, так и одиночные плавания (11910).</w:t>
      </w:r>
    </w:p>
    <w:p w14:paraId="3207D10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EBEAA3"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2595664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817D65"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после разрушительной бомбардировки Гамбурга англичанами появилось обозначение V1 (Vergeltung – оружие возмездия) только. Впервые это название было обнародовано в специальном приказе Гитлера и Геббельса по войскам от 25 июня 1944 г. Благодаря пропаганде к концу войны это оружие приобрело широкую известность, причем далеко не адекватную его реальному военному значению, и даже стало одним из символов злодеяний фашизма (11686).</w:t>
      </w:r>
    </w:p>
    <w:p w14:paraId="55B47018"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p>
    <w:p w14:paraId="063D31D9" w14:textId="77777777" w:rsidR="00A40F84" w:rsidRPr="00D03F3E" w:rsidRDefault="00A40F84"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года на побережье Франции выстроили бетонные бунке</w:t>
      </w:r>
      <w:r w:rsidRPr="00D03F3E">
        <w:rPr>
          <w:rFonts w:ascii="Times New Roman" w:hAnsi="Times New Roman"/>
          <w:color w:val="000000" w:themeColor="text1"/>
          <w:sz w:val="16"/>
          <w:szCs w:val="16"/>
        </w:rPr>
        <w:softHyphen/>
        <w:t>ры для запуска ракет. Гитлер требовал к концу года засыпать ими Лондо (19630).</w:t>
      </w:r>
    </w:p>
    <w:p w14:paraId="74ADFF3C" w14:textId="77777777" w:rsidR="00A40F84" w:rsidRPr="00D03F3E" w:rsidRDefault="00A40F84" w:rsidP="00D03F3E">
      <w:pPr>
        <w:spacing w:after="0" w:line="240" w:lineRule="auto"/>
        <w:jc w:val="both"/>
        <w:rPr>
          <w:rFonts w:ascii="Times New Roman" w:hAnsi="Times New Roman"/>
          <w:color w:val="000000" w:themeColor="text1"/>
          <w:sz w:val="16"/>
          <w:szCs w:val="16"/>
        </w:rPr>
      </w:pPr>
    </w:p>
    <w:p w14:paraId="5225A3D8"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1943 г. вся прибрежная полоса Франции от Кале до Шербура на удалении 15–60 км от берега Ла-Манша была отведена под строительство пусковых установок V1. Рабочим и обслуживающему персоналу было объявлено, что они занимаются укреплением «Атлантического вала» (Atlantikwall) – оборонительного рубежа немецко-фашистских войск вдоль Атлантического побережья для предотвращения вторжения англо-американских войск. Необходимо отметить, что работы по подготовке к пускам ракет V1 и V2 велись почти параллельно. Но в настоящей работе мы исследуем опыт боевого применения только крылатой ракеты V1.</w:t>
      </w:r>
    </w:p>
    <w:p w14:paraId="090B89D6"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Планом предусматривалось строительство 96 (64 основных и 32 запасных) полузащищенных стартовых позиций V1 и трех (Сиракорт, Лоттингем, Эквадревиль) защищенных позиций.</w:t>
      </w:r>
    </w:p>
    <w:p w14:paraId="1AB38D98"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Типичная стартовая позиция V1 включала командный пункт; склад на 21 ракету, хранившихся в разобранном виде; пусковую установку, оборудованную катапультой и укрытием для личного состава стартовой команды.</w:t>
      </w:r>
    </w:p>
    <w:p w14:paraId="754BB231"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Для беспрерывного обеспечения ракетами пусковых установок строились три стационарных (на 3000 ракет и восемь полевых складов (на 260 ракет). Общая емкость складов на передовой линии была рассчитана на 5000 крылатых ракет со сроком готовности в марте-апреле 1944 г.</w:t>
      </w:r>
    </w:p>
    <w:p w14:paraId="740007EB"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своим летным качествам самолет-снаряд V1 практически не уступал современным на те годы самолетам. Полет проходил с высокой скоростью и зачастую на малой высоте, автономная система управления позволяла применять КР в любую погоду и в любое время суток. Все это делало перехват V1 достаточно сложной задачей, даже при условии применения новейшей техники того времени – радиолокационных станций, реактивных истребителей и т.д. Но эта задача стала бы намного трудней, если бы немецким конструкторам удалось хоть сколько-нибудь понизить заметность КР: убрать свечение выхлопа, снизить шум, уменьшить радиолокационную заметность. Надо сказать, что подобные работы тогда только велись (Алимов И. Американские беспилотные самолеты-разведчики. Военный Зарубежник. 1959, № 12. С. 70–72.).</w:t>
      </w:r>
    </w:p>
    <w:p w14:paraId="403CC7F8"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Когда конструкторам удалось значительно усовершенствовать узлы конструкции КР, заметно повысилась и точность ударов (Запольскис А.А. Реактивные самолеты люфтваффе. Минск: ХАРВЕСТ, 1999.). Расширенная программа летных испытаний показала, что число ракет, попадающих в «яблочко», выросло с 17 до 46.</w:t>
      </w:r>
    </w:p>
    <w:p w14:paraId="76D049D6"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Конкретнее говоря, точность попадания составила круг диаметром 15 км на дальности 100 км и круг диаметром 30 км на дальности 225 км. Скорость V1 увеличилась до 650 км/ч, что заметно затруднило англичанам перехват самолетов-снарядов на маршруте (11686).</w:t>
      </w:r>
    </w:p>
    <w:p w14:paraId="2FAD814B"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p>
    <w:p w14:paraId="2E45D91D"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Летом 1943 г. была испытана разработанная в Немецком институте по исследованию планерных полетов (DFS) система - сцепка (комбинация) самолетов Mistel (согласно одной работе, переводится как «отец и сын» (Ненахов Ю.Ю. Чудо-оружие Третьего рейха. Минск: ХАРВЕСТ, 1999.); согласно другой – «полупаразитный кустарник на ветвях деревьев» (Шунков В.Н. Авиация люфтваффе. Минск: ХАРВЕСТ; М.: АСТ, 2000.) (по-немецки так называется растение «омела» – Ред.). Эта комбинация по принципу действия напоминала английский «составной» самолет ШортМайо Композит (1938 г.). Она предназначалась для поражения военно-морских баз Кронштадт, Скапа Флоу и Гибралтар. Из-за больших размеров сцепки и небольшой скорости ударную систему Mistel планировалось применять в ночное время. Было разработано и изготовлено несколько типов сцепок Mistel. Mistel1 представлял собой сцепку истребителя Bf109F4 и двухмоторного бомбардировщика Ju88A4.</w:t>
      </w:r>
    </w:p>
    <w:p w14:paraId="48A6F039"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носовой части Юнкерса ударной системы Mistel1 вместо демонтированной кабины экипажа устанавливался мощный кумулятивный заряд весом 1725 кг. Перед контактным взрывателем на носу фюзеляжа монтировался заостренный стальной таран весом в 1 т. Из-за этого бомбардировщик получил прозвище Schnauzer («Носатый»). По расчетам, такое приспособление обеспечивало преодоление бетонных перекрытий толщиной до 7,5 м. Общий вес боевой части достигал 3500 кг. Дополнительные топливные баки, подвешенные под обоими самолетами, позволяли при скорости 380 км/ч достигать дальности полета до 2000 км. В июле 1943 г. заводы фирмы «Hugo Junkers A.G.» были оборудованы для производства таких беспилотных летающих бомб.</w:t>
      </w:r>
    </w:p>
    <w:p w14:paraId="475A8782"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Соответственно была разработана и учебная модификация ударной системы Mistel1 – Mistel S1. В ноябре 1943 – апреле 1944 г. немцами были проведены испытания боевых Мистелей, в том числе и учебно-боевая атака по списанному французскому кораблю «Oran» (Ненахов Ю.Ю. Чудо-оружие Третьего рейха. Минск: ХАРВЕСТ, 1999.). Результаты атаки были признаны вполне обнадеживающими. В апреле 1944 г. была сформирована авиационная часть, вооруженная сцепками. Ее командиром был назначен капитан Хорст Рудет.</w:t>
      </w:r>
    </w:p>
    <w:p w14:paraId="770D6708"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Боевое применение Мистелей планировалось следующим образом. Взлет и полет сцепки до цели происходил при работе двигателей беспилотного ударного самолета. Управлял самолетом летчик из кабины носителя. Горючее для работы двигателей поступало из баков ударного самолета. Горючее самолета-носителя (самолета управления) использовалось при его обратном полете.</w:t>
      </w:r>
    </w:p>
    <w:p w14:paraId="583691D2"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 приближении к цели, примерно на высоте 600 м, пилот самолета управления производил отделение ударного самолета.</w:t>
      </w:r>
    </w:p>
    <w:p w14:paraId="4084FF21"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Беспилотный ударный самолет под управлением автопилота летел по заданному курсу, а затем переходил в пологое пикирование под углом 15–20о со скоростью 250 км/ч. Для поражения цели на ударном самолете было до 2 т взрывчатки.</w:t>
      </w:r>
    </w:p>
    <w:p w14:paraId="493C66A9"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Поскольку началось широкомасштабное вторжение англо-американских войск в Европу, немецко-фашистское командование отказалось от планов использования Мистелей против советского Балтийского флота. В ночь с 24 на 25 июня 1944 г. все имевшиеся на то время пять сцепок атаковали крупное скопление англо-американских судов в устье Сены. Четыре беспилотных ударных элемента сцепки Мистель были благополучно сброшены и поразили несколько целей. Пятая сцепка из-за технической неисправности вернулась на базу. Ударный элемент Юнкерс перед посадкой был сброшен в безлюдном районе, так как посадка всей сцепки была невозможна.</w:t>
      </w:r>
    </w:p>
    <w:p w14:paraId="2D3B3AC9"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дальнейшем Мистели продолжали ночные атаки на десантные конвои союзников в Ла-Манше. В октябре 1944 г. пять Мистелей нанесли удар по главной базе британского флота Скап-Флоу.</w:t>
      </w:r>
    </w:p>
    <w:p w14:paraId="544AFF3E"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конце 1944 г. группировка Мистелей насчитывала 60 единиц.</w:t>
      </w:r>
    </w:p>
    <w:p w14:paraId="5C2EDFA3"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январе 1945 г. подразделение Мистелей начало подготовку к удару по крупнейшим военным объектам Советского Союза с целью срыва зимне-весеннего наступления Красной Армии. Операция получила кодовое название «Eisenhammer» (Ненахов Ю.Ю. Чудо-оружие Третьего рейха. Минск: ХАРВЕСТ, 1999.). К марту около 100 Мистелей было переброшено в Восточную Пруссию.</w:t>
      </w:r>
    </w:p>
    <w:p w14:paraId="0D46628F"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Быстрое приближение линии фронта к району базирования сцепок сорвало планы немецко-фашистского командования.</w:t>
      </w:r>
    </w:p>
    <w:p w14:paraId="603FC277"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связи с этим Мистели передислоцировали для выполнения несвойственных им тактических задач – нанесения ударов по переправам через Вислу, Одер, Нейсе и Рейн, крупным железнодорожным узлам и скоплениям советских войск. В районе переправ через Одер, обороняемых частями 5-го корпуса ПВО Советской Армии, в апреле 1945 г. было отмечено 12 случаев применения ударных авиасцепок Мистель. Однако точность поражения целей такими системами была незначительной. Кроме того, Мистели оказались беззащитными перед фронтовой и противовоздушной авиацией и несли огромные потери. Последний боевой вылет сцепки был зарегистрирован 16 апреля 1945 г.</w:t>
      </w:r>
    </w:p>
    <w:p w14:paraId="09144A1E"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Весной 1945 г. знаменитый советский летчик Е.Я. Савицкий (1910–1990), будущий заместитель главнокомандующего Войсками ПВО, заметил над переправой через Одер «летающую геометрическую трапецию». Это была сцепка из самолетов Fw190 и Ju88. Внезапно истребитель Fw190 отделился от бомбардировщика, выполнил горку и ушел в сторону. Самолет Ju88 направился к окопам советских войск на передовой. Не долетев до окопов, он ударился о землю и разнес все в радиусе 200 м. Это был один из первых случаев применения Мистелей против советских войск.</w:t>
      </w:r>
    </w:p>
    <w:p w14:paraId="6A6C102D"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Ветеран Великой Отечественной войны В. Чечель вспоминал о применении Мистелей против наших войск в период боев за Берлин: «Помню попытку разрушить самолетами-снарядами переправу через Одер, по которой двигались наши танки, артиллерия, автомобили с боеприпасами, шли войска. Самолетснаряд начинялся взрывчаткой и направлялся в цель другим самолетом, в котором был пилот. Так вот, на ту переправу ни один из тех трех снарядов не упал: как только наши зенитки открыли по ним огонь, немецкие летчики, быстро отделавшись от опасного груза, убрались восвояси, а снаряды упали далеко от переправы. Но взрывы были такие сильные, что наши окопы на плацдарме наполнились водой от сотрясения почвы. Попади хоть один такой снаряд в цель – от нашей переправы не осталось бы и следа» (Чечель В. Не забывается такое никогда. Северный Курьер. 2000, 1 апреля.).</w:t>
      </w:r>
    </w:p>
    <w:p w14:paraId="4EB57FCA"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Совершенствование сцепок проходило по различным направлениям. Так, поскольку конструкторы не смогли решить задачу синхронизации и единого управления разных по типу и мощности двигателей Bf109 и Ju88G1, то в сцепке Мессершмитт был заменен истребителем Fw190A6. Сцепка получила название Mistel2. Из-за превышенного взлетного веса (14 т), во время разбега у шасси Юнкерса рвались пневматики, что вело к авариям. Из-за этого шасси Юнкерса было заменено сбрасывающейся после взлета тележкой. Доработанная система получила название Mistel3.</w:t>
      </w:r>
    </w:p>
    <w:p w14:paraId="23F44260"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1945 г. завод Юнкерса в Бернбурге наладил выпуск новой модификации сцепки на базе бомбардировщика Ju88G10, у которого фюзеляж был удлинен почти на три метра. Такая система снабжалась дополнительным топливным баком. Кроме того, под крыльями Юнкерса подвешивались еще два топливных бака. Все это увеличивало радиус действия сцепки до 4100 км.</w:t>
      </w:r>
    </w:p>
    <w:p w14:paraId="6CA3161E"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Однако возрос взлетный вес Mistel3 – 23,6 т, а скорость полета снизилась до 340 км/ч. При этом скорость пикирования сцепки при угле 15о составляла почти 600 км/ч. Система получила название Mistel3С.</w:t>
      </w:r>
    </w:p>
    <w:p w14:paraId="47947469"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начале 1945 г. появился Mistel3В – на базе Ju88Н4. Впервые ударный самолет был сделан пилотируемым – с экипажем из трех человек. Задняя полусфера прикрывалась 13-мм пулеметом, летающая пилотируемая бомба оборудовалась поисковой РЛС. Экипаж бомбы должен был помогать летчику истребителя пилотировать сцепку, ориентируясь по данным РЛС, и отгонять воздушного противника. Перед боевым применением экипаж на парашютах покидал летающую бомбу. Однако в боевой практике такая сцепка не применялась.</w:t>
      </w:r>
    </w:p>
    <w:p w14:paraId="2542AF32"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Германии в последние месяцы войны были разработаны проекты Мистелей с ударным элементом в виде опытной крылатой ракеты класса «воздух–поверхность» Е377. В таких сцепках самолетом наведения служили реактивный бомбардировщик Ar234 и реактивный истребитель He162A. С реактивным истребителем Хейнкель скорость сцепки могла бы достигать 650 км/ч, а радиус действия – до 2000 км/ч. Кроме того, проектировались Мистели на базе реактивных самолетов.</w:t>
      </w:r>
    </w:p>
    <w:p w14:paraId="0A47DCD8"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Что касается планирующей бомбы Е377, то она была разработана в RLM в конце 1944 г. По существу это был безмоторный вариант одного из проектов самолета фирмы Арадо. Планирующая бомба по первоначальной версии должна была буксироваться на тросе за самолетом Ar234C2 или истребителем He162.</w:t>
      </w:r>
    </w:p>
    <w:p w14:paraId="01F00F7B"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КР Е377 предназначалась для поражения наземных и морских целей. Управление осуществлялось дистанционно или посредством устройства сопровождения цели. Конструкция КР была деревянной и выполнена в виде тела вращения. При полете к объекту поражения ракета Е377 служила для носителя дополнительным топливным баком (в безмоторном варианте). Крылья КР также представляли собой топливные баки. Крыльевые и фюзеляжные топливные баки КР были заполнены инертным газом. Вес боевой части Е377 составлял 2 т.</w:t>
      </w:r>
    </w:p>
    <w:p w14:paraId="718EA052"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Германские ударные управляемые средства...</w:t>
      </w:r>
    </w:p>
    <w:p w14:paraId="07A9644E"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Был разработан вариант КР с двигателем и без двигателя. Боевая часть бездвигательного варианта Е377 состояла из кумулятивного заряда. Она оказалась весьма эффективной против надводных целей. Для поражения крупных целей предусматривалось создание боевой части, близкой по своим характеристикам к тонкостенной мине (Хервиг Д., Роде Г. Секретные проекты бомбардировщиков люфтваффе. Смоленск: Русич, 2001.).</w:t>
      </w:r>
    </w:p>
    <w:p w14:paraId="0879A7C8"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Вместо боевой части на планирующей бомбе была предусмотрена возможность монтировать обычную бомбу SC 1800 без оперения. Предусматривалась также возможность создания пилотируемого варианта бомбы Арадо Е377 специально для летчиков-«камикадзе»183. Окончание войны не дало немецким «сверхчеловекам» возможности наладить массовое производство и применение планирующей бомбы Арадо Е377.</w:t>
      </w:r>
    </w:p>
    <w:p w14:paraId="3E2653E9"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Был разработан проект ракетной сцепки Мистеля. Этот проект сложнейшей сцепки разработала фирма «Blohm und Voss» в конце войны. Сцепка состояла из бомбардировщиков Do217 или He177, реактивного самолета-носителя и ударной крылатой ракеты Хеншель.</w:t>
      </w:r>
    </w:p>
    <w:p w14:paraId="5F6DEA95"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Принцип боевого применения этого Мистеля состоял в следующем. Вся сцепка поднималась в воздух и следовала в район цели.</w:t>
      </w:r>
    </w:p>
    <w:p w14:paraId="16CD4746"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Носитель приближался к объекту поражения на расстояние 290 км и отстыковывался. Реактивный носитель поднимался на огромную по тем временам высоту – 15000 м. На этой высоте пилот реактивного истребителя входил в пике, ракета отделялась, запускался ее двигатель, пилот ракеты наводил ракету по радару по баллистической траектории и отделялся от нее для возвращения на базу. Так как в полете перегрузки достигали 20 g, то пилот располагался лежа на амортизирующем лежаке.</w:t>
      </w:r>
    </w:p>
    <w:p w14:paraId="5C34068B"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lastRenderedPageBreak/>
        <w:t>Ракета предназначалась для ударов по наземным и морским целям. Тактико-технические характеристики ракетного носителя были следующими: размах крыла – 6 м, длина – 8 м, максимальная скорость – 1000 км/ч.</w:t>
      </w:r>
    </w:p>
    <w:p w14:paraId="52EBF297"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Помимо самолетов-сцепок с боевыми элементами, в Германии в 1942 г. на фирме «Юнкерс» был разработан проект сцепки EF 101, состоящей из самолета-носителя и высотного разведчика Ме 109Н184. Высотный разведчик размещался под нижней частью фюзеляжа в полуутопленном положении. Крылья разведчика полностью располагались под нижней частью крыла самолета-носителя.</w:t>
      </w:r>
    </w:p>
    <w:p w14:paraId="40C65A81"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Самолет-носитель, рассчитанный на дальность полета в 17 000 км, достигал района разведки. После этого разведчик отцеплялся, выполнял боевую задачу и снова подцеплялся к авиаматке. Механизм захвата был разработан в DFS и испытан на самолете He177. Одна из модификаций Юнкерса EF101 предполагала подвешивать к носителю не самолет-разведчик, а мощную управляемую авиабомбу (11686).</w:t>
      </w:r>
    </w:p>
    <w:p w14:paraId="148AE3ED" w14:textId="77777777" w:rsidR="003B6CA5" w:rsidRPr="00D03F3E"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p>
    <w:p w14:paraId="5EE161AD" w14:textId="77777777" w:rsidR="006F0841" w:rsidRPr="00D03F3E" w:rsidRDefault="006F084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Летом 1943 года главными целями Бомбардировочного Командования RAF были крупные заводы и военные базы противника. Это были трудные рейды, которые далеко не всегда были успешны из-за того, что методы бомбометания по площадям для таких целей оказались непригодны. Так 17 августа 1943 года 597 английских бомбардировщиков сбросили на ракетный полигон Пенемюнде 1593 тонны фугасных и 281 т зажигательных бомб, но уже 3 октября там состоялся запуск баллистической ракеты ФАУ-2 (22866).</w:t>
      </w:r>
    </w:p>
    <w:p w14:paraId="076D0989" w14:textId="77777777" w:rsidR="006F0841" w:rsidRPr="00D03F3E" w:rsidRDefault="006F0841" w:rsidP="00D03F3E">
      <w:pPr>
        <w:spacing w:after="0" w:line="240" w:lineRule="auto"/>
        <w:jc w:val="both"/>
        <w:rPr>
          <w:rFonts w:ascii="Times New Roman" w:hAnsi="Times New Roman"/>
          <w:color w:val="0070C0"/>
          <w:sz w:val="16"/>
          <w:szCs w:val="16"/>
        </w:rPr>
      </w:pPr>
    </w:p>
    <w:p w14:paraId="7D137E85" w14:textId="77777777" w:rsidR="006F0841" w:rsidRPr="00D03F3E" w:rsidRDefault="006F0841"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Летом 1943 года на побережье Франции выстроили бетонные бунке</w:t>
      </w:r>
      <w:r w:rsidRPr="00D03F3E">
        <w:rPr>
          <w:rFonts w:ascii="Times New Roman" w:hAnsi="Times New Roman"/>
          <w:color w:val="0070C0"/>
          <w:sz w:val="16"/>
          <w:szCs w:val="16"/>
          <w:lang w:eastAsia="ru-RU" w:bidi="ru-RU"/>
        </w:rPr>
        <w:softHyphen/>
        <w:t>ры для запуска ракет. Гитлер требовал к концу года засыпать ими Лондон. Карты спутала работа английской разведки. В июле 1943 года польские партизаны сумели достать и перепра</w:t>
      </w:r>
      <w:r w:rsidRPr="00D03F3E">
        <w:rPr>
          <w:rFonts w:ascii="Times New Roman" w:hAnsi="Times New Roman"/>
          <w:color w:val="0070C0"/>
          <w:sz w:val="16"/>
          <w:szCs w:val="16"/>
          <w:lang w:eastAsia="ru-RU" w:bidi="ru-RU"/>
        </w:rPr>
        <w:softHyphen/>
        <w:t>вить в Лондон чертежи “Фау” и план ракетной базы. Через неделю в Пенемюнде прилетели 600 английских “ле</w:t>
      </w:r>
      <w:r w:rsidRPr="00D03F3E">
        <w:rPr>
          <w:rFonts w:ascii="Times New Roman" w:hAnsi="Times New Roman"/>
          <w:color w:val="0070C0"/>
          <w:sz w:val="16"/>
          <w:szCs w:val="16"/>
          <w:lang w:eastAsia="ru-RU" w:bidi="ru-RU"/>
        </w:rPr>
        <w:softHyphen/>
        <w:t>тающих крепостей”. В огненной буре погибли 735 человек и все готовые ракеты. Тогда производство «ФАУ-2» было перенесено в известковые горы Гарца, где в подземном лагере «Дора» работали тысячи заключенных. В Пенемюнде остались только лабора</w:t>
      </w:r>
      <w:r w:rsidRPr="00D03F3E">
        <w:rPr>
          <w:rFonts w:ascii="Times New Roman" w:hAnsi="Times New Roman"/>
          <w:color w:val="0070C0"/>
          <w:sz w:val="16"/>
          <w:szCs w:val="16"/>
          <w:lang w:eastAsia="ru-RU" w:bidi="ru-RU"/>
        </w:rPr>
        <w:softHyphen/>
        <w:t>тории — там разрабатывали ракеты и проводили испытания (22801).</w:t>
      </w:r>
    </w:p>
    <w:p w14:paraId="6FE9A588" w14:textId="77777777" w:rsidR="006F0841" w:rsidRPr="00D03F3E" w:rsidRDefault="006F0841" w:rsidP="00D03F3E">
      <w:pPr>
        <w:spacing w:after="0" w:line="240" w:lineRule="auto"/>
        <w:jc w:val="both"/>
        <w:rPr>
          <w:rFonts w:ascii="Times New Roman" w:hAnsi="Times New Roman"/>
          <w:color w:val="0070C0"/>
          <w:sz w:val="16"/>
          <w:szCs w:val="16"/>
        </w:rPr>
      </w:pPr>
    </w:p>
    <w:p w14:paraId="2F56C581" w14:textId="77777777" w:rsidR="0039048E" w:rsidRPr="00D03F3E" w:rsidRDefault="0039048E"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2EE3A780" w14:textId="77777777" w:rsidR="0039048E" w:rsidRPr="00D03F3E" w:rsidRDefault="0039048E"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9DB7D5" w14:textId="77777777" w:rsidR="0039048E" w:rsidRPr="00D03F3E" w:rsidRDefault="0039048E" w:rsidP="00D03F3E">
      <w:pPr>
        <w:pStyle w:val="12a"/>
        <w:shd w:val="clear" w:color="auto" w:fill="auto"/>
        <w:spacing w:after="0" w:line="240" w:lineRule="auto"/>
        <w:jc w:val="both"/>
        <w:rPr>
          <w:color w:val="000000" w:themeColor="text1"/>
          <w:sz w:val="16"/>
          <w:szCs w:val="16"/>
        </w:rPr>
      </w:pPr>
      <w:r w:rsidRPr="00D03F3E">
        <w:rPr>
          <w:color w:val="000000" w:themeColor="text1"/>
          <w:sz w:val="16"/>
          <w:szCs w:val="16"/>
        </w:rPr>
        <w:t>Летом—осенью 1943 г. боевая живучесть самолетов Ил-2 в среднем не превышала 30 вылетов, в ходе которых настрелять из одной пушки более 1500 выстрелов было совершенно не</w:t>
      </w:r>
      <w:r w:rsidRPr="00D03F3E">
        <w:rPr>
          <w:color w:val="000000" w:themeColor="text1"/>
          <w:sz w:val="16"/>
          <w:szCs w:val="16"/>
        </w:rPr>
        <w:softHyphen/>
        <w:t>возможно. Как следует из материалов войсковых испытаний, средний расход боекомплекта к пуш</w:t>
      </w:r>
      <w:r w:rsidRPr="00D03F3E">
        <w:rPr>
          <w:color w:val="000000" w:themeColor="text1"/>
          <w:sz w:val="16"/>
          <w:szCs w:val="16"/>
        </w:rPr>
        <w:softHyphen/>
        <w:t>кам 11П в одном боевом вылете составил 62 сна</w:t>
      </w:r>
      <w:r w:rsidRPr="00D03F3E">
        <w:rPr>
          <w:color w:val="000000" w:themeColor="text1"/>
          <w:sz w:val="16"/>
          <w:szCs w:val="16"/>
        </w:rPr>
        <w:softHyphen/>
        <w:t>ряда (разброс от 7 до 73% от полного боезапаса). При этом расход свыше половины боекомплекта отмечался лишь в 22,1% боевых вылетах, а полный расход — в 3,3% вылетах. То есть к моменту потери самолета настрел на 1 пушку 11П мог составить не более 1000—1100 выстрелов (17500).</w:t>
      </w:r>
    </w:p>
    <w:p w14:paraId="33A25A85" w14:textId="77777777" w:rsidR="0039048E" w:rsidRPr="00D03F3E" w:rsidRDefault="0039048E" w:rsidP="00D03F3E">
      <w:pPr>
        <w:spacing w:after="0" w:line="240" w:lineRule="auto"/>
        <w:jc w:val="both"/>
        <w:rPr>
          <w:rFonts w:ascii="Times New Roman" w:hAnsi="Times New Roman"/>
          <w:color w:val="000000" w:themeColor="text1"/>
          <w:sz w:val="16"/>
          <w:szCs w:val="16"/>
        </w:rPr>
      </w:pPr>
    </w:p>
    <w:p w14:paraId="767768C5"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5DFB403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DB07CD" w14:textId="77777777" w:rsidR="0039048E" w:rsidRPr="00D03F3E" w:rsidRDefault="0039048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Летом–осенью 1943 года появились предпосылки к дальнейшей модернизации танков ИС. Поначалу речь шла об усилении вооружения танка. Здесь работа велась сразу по трём направлениям:</w:t>
      </w:r>
    </w:p>
    <w:p w14:paraId="0FC6EF16" w14:textId="77777777" w:rsidR="0039048E" w:rsidRPr="00D03F3E" w:rsidRDefault="0039048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1. увеличению мощности 85-мм орудия;</w:t>
      </w:r>
    </w:p>
    <w:p w14:paraId="5DCEC787" w14:textId="77777777" w:rsidR="0039048E" w:rsidRPr="00D03F3E" w:rsidRDefault="0039048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2. усилению 122-мм орудия;</w:t>
      </w:r>
    </w:p>
    <w:p w14:paraId="60C96A25" w14:textId="77777777" w:rsidR="0039048E" w:rsidRPr="00D03F3E" w:rsidRDefault="0039048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3. создание танковых и самоходных 100-мм пушек.</w:t>
      </w:r>
    </w:p>
    <w:p w14:paraId="29FA010F" w14:textId="77777777" w:rsidR="0039048E" w:rsidRPr="00D03F3E" w:rsidRDefault="0039048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первом и третьем случаях дело дошло до создания опытных экземпляров.</w:t>
      </w:r>
    </w:p>
    <w:p w14:paraId="77075A56" w14:textId="77777777" w:rsidR="0039048E" w:rsidRPr="00D03F3E" w:rsidRDefault="0039048E" w:rsidP="00D03F3E">
      <w:pPr>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Предлагались и более радикальные варианты улучшения характеристик танка (17756).</w:t>
      </w:r>
    </w:p>
    <w:p w14:paraId="702196CA" w14:textId="77777777" w:rsidR="0039048E" w:rsidRPr="00D03F3E" w:rsidRDefault="0039048E" w:rsidP="00D03F3E">
      <w:pPr>
        <w:spacing w:after="0" w:line="240" w:lineRule="auto"/>
        <w:jc w:val="both"/>
        <w:rPr>
          <w:rFonts w:ascii="Times New Roman" w:hAnsi="Times New Roman"/>
          <w:color w:val="000000" w:themeColor="text1"/>
          <w:sz w:val="16"/>
          <w:szCs w:val="16"/>
        </w:rPr>
      </w:pPr>
    </w:p>
    <w:p w14:paraId="53A2C5D5" w14:textId="77777777" w:rsidR="00226B6F" w:rsidRPr="00D03F3E" w:rsidRDefault="00226B6F" w:rsidP="00D03F3E">
      <w:pPr>
        <w:pStyle w:val="ae"/>
        <w:spacing w:before="0" w:after="0"/>
        <w:jc w:val="both"/>
        <w:textAlignment w:val="baseline"/>
        <w:rPr>
          <w:color w:val="000000" w:themeColor="text1"/>
          <w:sz w:val="16"/>
          <w:szCs w:val="16"/>
        </w:rPr>
      </w:pPr>
      <w:r w:rsidRPr="00D03F3E">
        <w:rPr>
          <w:color w:val="000000" w:themeColor="text1"/>
          <w:sz w:val="16"/>
          <w:szCs w:val="16"/>
        </w:rPr>
        <w:t>Летом-осенью 1943 года в связи с тем, что поставки M4A2 приостановились, их боевое применение в это время носило крайне эпизодический характер. Из 505 танков, прибывших с ноября 1942 по декабрь 1943 года, безвозвратные потери составили всего 37 машин. Совсем иная картина наблюдалась полгода спустя. За первое полугодие 1944 года в СССР поступило 1065 танков, а безвозвратные потери составили 499 машин, из них 108 в мае, и 127 в июне. Общие же потери M4A2 за 1944 год составили 1145 единиц. Это стало самым массовым показателем среди иностранных танков, на втором месте были Valentine (776 штук за 1944 год). Данные цифры наглядно показывают, какую роль М4А2 стали играть в операциях Красной армии. Например, в составе 3-го Гвардейского механизированного корпуса к 22 июня 1944 года имелось 110 М4А2, а в составе 1-го механизированного корпуса — 136 танков данного типа. М4А2 активно применялись в ходе </w:t>
      </w:r>
      <w:hyperlink r:id="rId246" w:tgtFrame="_blank" w:history="1">
        <w:r w:rsidRPr="00D03F3E">
          <w:rPr>
            <w:rStyle w:val="a5"/>
            <w:bCs/>
            <w:iCs/>
            <w:color w:val="000000" w:themeColor="text1"/>
            <w:sz w:val="16"/>
            <w:szCs w:val="16"/>
            <w:bdr w:val="none" w:sz="0" w:space="0" w:color="auto" w:frame="1"/>
          </w:rPr>
          <w:t>операции «Багратион»</w:t>
        </w:r>
      </w:hyperlink>
      <w:r w:rsidRPr="00D03F3E">
        <w:rPr>
          <w:color w:val="000000" w:themeColor="text1"/>
          <w:sz w:val="16"/>
          <w:szCs w:val="16"/>
        </w:rPr>
        <w:t> и других операциях. Имелись они и на вооружении отдельных танковых полков, воевавших в составе кавалерийских дивизий (19038).</w:t>
      </w:r>
    </w:p>
    <w:p w14:paraId="268C5F5C" w14:textId="77777777" w:rsidR="00226B6F" w:rsidRPr="00D03F3E" w:rsidRDefault="00226B6F" w:rsidP="00D03F3E">
      <w:pPr>
        <w:pStyle w:val="ae"/>
        <w:spacing w:before="0" w:after="0"/>
        <w:jc w:val="both"/>
        <w:textAlignment w:val="baseline"/>
        <w:rPr>
          <w:color w:val="000000" w:themeColor="text1"/>
          <w:sz w:val="16"/>
          <w:szCs w:val="16"/>
        </w:rPr>
      </w:pPr>
    </w:p>
    <w:p w14:paraId="7233243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Летом-осенью 1943 года дополнительные испытания СТЗ-5, проведенные в НАТИ, показали низкие тяговые свойства машины. При движении на высшей, пятой передаче максимальное тяговое усилие на крюке не превышало 240 — 270 кгс, что позволяло тягачу уверенно работать без прицепа или тянуть его только по хорошим дорогам с подъемами оказался крайне незначительным (2 — 6%) и при перегрузке скорость резко падала. Поэтому приходилось работать в основном на четвертой (нагрузка на крюке — 585 кгс) и на третьей (нагрузка — до 1230 кгс) передачах. Движение в условиях бездорожья или при буксировке тяжелых прицепов было возможно только на второй передаче (тяговое усилие — 2720 кгс). Отмечался также очень низкий коэффициент сцепления гусенице грунтом (f = 0,599) (11639).</w:t>
      </w:r>
    </w:p>
    <w:p w14:paraId="2F020D8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CCE38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Летом — осенью 1943 года в НАТИ были проведены углубленные испытания тягача «Коминтерн» по новой методике. Двигатель, как и ожидалось, развил меньшую, чем по техзаданию, мощность (сказывался износ), но все же достаточно высокую -126 л.с. при 1250 об/мин. Удельный расход топлива оказался, действительно, велик даже для степени сжатия 4,65 — 326 г/э.л.с.ч, что давало минимальный километровый расход на пятой передаче 1.4 кг. Коэффициент сцепления гусениц с грунтом был явно мал (f = 0,593), но, тем не менее, соответствовал уровню других быстроходных гусеничных тягачей с так называемой танковой гусеницей с мелким рисунком грунтозацепов. Отмечалось, что передаточные числа в коробке передач выбраны правильно, а это обеспечивало при движении на всех передачах запас тяговых усилий более 20%, на пятой передаче — даже более 40%. Благодаря чему «Коминтерн» уверенно буксировал штатный прицеп на пятой передаче по дорогам любого класса, развивая при этом тяговое усилие 340 кгс при скорости 27,8 км/ч. Максимальная сила тяги с перегрузкой (на первой передаче) была реализована большая, чем полученная ранее на армейских испытаниях — 7500 кгс при скорости 2,3 км/ч, причем перегрузка тягача, вызывающая остановку двигателя, сопровождалась сильным буксованием, приближающимся к полной пробуксовке гусениц — идеальный случай тягово-скоростного баланса. К концу войны в действующей армии еще находилось 568 машин (потери с 1 сентября 1942 года составили всего 56 единиц). До наших дней не уцелело ни одного «Коминтерна», хотя в музее НИИ-21 такой тягач сохранялся до 1967 года (11639).</w:t>
      </w:r>
    </w:p>
    <w:p w14:paraId="5B40BD4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AB3379"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0BE2968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B49BC6" w14:textId="77777777" w:rsidR="00226B6F" w:rsidRPr="00D03F3E" w:rsidRDefault="00226B6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В середине 1943, пытаясь выбраться из моторного «тупика», П. О. Сухой проектирует на его базе штурмовик Су-6 с серийным мотором М-82ФН.</w:t>
      </w:r>
    </w:p>
    <w:p w14:paraId="41C8A44A" w14:textId="77777777" w:rsidR="00226B6F" w:rsidRPr="00D03F3E" w:rsidRDefault="00226B6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Ориентировочные расчеты показывают, что при использовании на двухместном штурмовике Су-6 вместо М-71ф мотора М-82ФН можно было бы получить максимальную скорость полета у земли около 415 км/ч, на форсаже — около 435 км/ч.</w:t>
      </w:r>
    </w:p>
    <w:p w14:paraId="49538EE9" w14:textId="77777777" w:rsidR="00226B6F" w:rsidRPr="00D03F3E" w:rsidRDefault="00226B6F" w:rsidP="00D03F3E">
      <w:pPr>
        <w:pStyle w:val="ae"/>
        <w:shd w:val="clear" w:color="auto" w:fill="FFFFFF"/>
        <w:spacing w:before="0" w:after="0"/>
        <w:jc w:val="both"/>
        <w:textAlignment w:val="baseline"/>
        <w:rPr>
          <w:color w:val="000000" w:themeColor="text1"/>
          <w:sz w:val="16"/>
          <w:szCs w:val="16"/>
        </w:rPr>
      </w:pPr>
      <w:r w:rsidRPr="00D03F3E">
        <w:rPr>
          <w:color w:val="000000" w:themeColor="text1"/>
          <w:sz w:val="16"/>
          <w:szCs w:val="16"/>
        </w:rPr>
        <w:t>Хотя это и лучше, чем у двухместного Ил-2 АМ-38Ф, но не настолько, чтобы кардинально изменить положение дел. В результате Су-6 с «восемьдесят вторым» мотором так и остался на бумаге (19188).</w:t>
      </w:r>
    </w:p>
    <w:p w14:paraId="259E6D4B" w14:textId="77777777" w:rsidR="00226B6F" w:rsidRPr="00D03F3E" w:rsidRDefault="00226B6F" w:rsidP="00D03F3E">
      <w:pPr>
        <w:shd w:val="clear" w:color="auto" w:fill="FFFFFF"/>
        <w:spacing w:after="0" w:line="240" w:lineRule="auto"/>
        <w:jc w:val="both"/>
        <w:textAlignment w:val="baseline"/>
        <w:rPr>
          <w:rFonts w:ascii="Times New Roman" w:hAnsi="Times New Roman"/>
          <w:color w:val="000000" w:themeColor="text1"/>
          <w:sz w:val="16"/>
          <w:szCs w:val="16"/>
        </w:rPr>
      </w:pPr>
    </w:p>
    <w:p w14:paraId="49D3984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середины 1943 г. на каждой второй машине Ил-4 монтировали автомат курса АПГ-1 - нечто вроде примитивного автопилота (7666).</w:t>
      </w:r>
    </w:p>
    <w:p w14:paraId="5584F6C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FC82E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середины 1943 г. на каждой второй машине Ил-4 монтировали автомат курса АПГ-1 - нечто вроде примитивного автопилота. Заменили переговорное устройство, кислородные приборы, радиостанцию. В конце осени в проводку управления рулями высоты ввели пружинные компенсаторы. Их появлению предшествовал ряд катастроф в частях АДД: самолеты самопроизвольно срывались в штопор и не выходили из него. Дело оказалось в том, что при неправильно отбалансированном летчиком триммере в болтанку или при выполнении противозенитного маневра усилие на ручке резко менялось, превышая 40 кг. Компенсатор, сконструированный М.Л. Милем, делал перепад не столь резким, давая пилоту время исправить положение (12021).</w:t>
      </w:r>
    </w:p>
    <w:p w14:paraId="3A373B8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4635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середине 1943, когда сделали и Су-8, пришел приказ о реэвакуации ОКБ П.О.С. в Подмосковье (84,71).</w:t>
      </w:r>
    </w:p>
    <w:p w14:paraId="01930521"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38694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середине 1943 г. создается проект двухместного штурмовика Су-6 с мото</w:t>
      </w:r>
      <w:r w:rsidRPr="00D03F3E">
        <w:rPr>
          <w:rFonts w:ascii="Times New Roman" w:hAnsi="Times New Roman"/>
          <w:color w:val="000000" w:themeColor="text1"/>
          <w:sz w:val="16"/>
          <w:szCs w:val="16"/>
        </w:rPr>
        <w:softHyphen/>
        <w:t>ром М-82ФН. Практически вся конструк</w:t>
      </w:r>
      <w:r w:rsidRPr="00D03F3E">
        <w:rPr>
          <w:rFonts w:ascii="Times New Roman" w:hAnsi="Times New Roman"/>
          <w:color w:val="000000" w:themeColor="text1"/>
          <w:sz w:val="16"/>
          <w:szCs w:val="16"/>
        </w:rPr>
        <w:softHyphen/>
        <w:t>ция самолета оставалась прежней, за ис</w:t>
      </w:r>
      <w:r w:rsidRPr="00D03F3E">
        <w:rPr>
          <w:rFonts w:ascii="Times New Roman" w:hAnsi="Times New Roman"/>
          <w:color w:val="000000" w:themeColor="text1"/>
          <w:sz w:val="16"/>
          <w:szCs w:val="16"/>
        </w:rPr>
        <w:softHyphen/>
        <w:t>ключением мотоустановки. По предварительным расчетам на та</w:t>
      </w:r>
      <w:r w:rsidRPr="00D03F3E">
        <w:rPr>
          <w:rFonts w:ascii="Times New Roman" w:hAnsi="Times New Roman"/>
          <w:color w:val="000000" w:themeColor="text1"/>
          <w:sz w:val="16"/>
          <w:szCs w:val="16"/>
        </w:rPr>
        <w:softHyphen/>
        <w:t>ком самолете можно было достичь мак</w:t>
      </w:r>
      <w:r w:rsidRPr="00D03F3E">
        <w:rPr>
          <w:rFonts w:ascii="Times New Roman" w:hAnsi="Times New Roman"/>
          <w:color w:val="000000" w:themeColor="text1"/>
          <w:sz w:val="16"/>
          <w:szCs w:val="16"/>
        </w:rPr>
        <w:softHyphen/>
        <w:t>симальной скорости у земли до 415 км/ч, и на форсаже - около 435 км/ч. Многие другие летные характеристики также значительно ухудшались. Есте</w:t>
      </w:r>
      <w:r w:rsidRPr="00D03F3E">
        <w:rPr>
          <w:rFonts w:ascii="Times New Roman" w:hAnsi="Times New Roman"/>
          <w:color w:val="000000" w:themeColor="text1"/>
          <w:sz w:val="16"/>
          <w:szCs w:val="16"/>
        </w:rPr>
        <w:softHyphen/>
        <w:t>ственно это никого не устраивало, и про</w:t>
      </w:r>
      <w:r w:rsidRPr="00D03F3E">
        <w:rPr>
          <w:rFonts w:ascii="Times New Roman" w:hAnsi="Times New Roman"/>
          <w:color w:val="000000" w:themeColor="text1"/>
          <w:sz w:val="16"/>
          <w:szCs w:val="16"/>
        </w:rPr>
        <w:softHyphen/>
        <w:t>ект был отстранен (10718).</w:t>
      </w:r>
    </w:p>
    <w:p w14:paraId="0F2B9BAB"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FFAA0E" w14:textId="77777777" w:rsidR="00A05C6C" w:rsidRPr="00D03F3E" w:rsidRDefault="00A05C6C" w:rsidP="00D03F3E">
      <w:pPr>
        <w:pStyle w:val="27"/>
        <w:shd w:val="clear" w:color="auto" w:fill="auto"/>
        <w:spacing w:after="0" w:line="240" w:lineRule="auto"/>
        <w:ind w:firstLine="0"/>
        <w:rPr>
          <w:rFonts w:ascii="Times New Roman" w:cs="Times New Roman"/>
          <w:color w:val="000000" w:themeColor="text1"/>
          <w:spacing w:val="0"/>
        </w:rPr>
      </w:pPr>
      <w:r w:rsidRPr="00D03F3E">
        <w:rPr>
          <w:rFonts w:ascii="Times New Roman" w:cs="Times New Roman"/>
          <w:color w:val="000000" w:themeColor="text1"/>
          <w:spacing w:val="0"/>
        </w:rPr>
        <w:lastRenderedPageBreak/>
        <w:t>К середине 1943 г. на смену само</w:t>
      </w:r>
      <w:r w:rsidRPr="00D03F3E">
        <w:rPr>
          <w:rFonts w:ascii="Times New Roman" w:cs="Times New Roman"/>
          <w:color w:val="000000" w:themeColor="text1"/>
          <w:spacing w:val="0"/>
        </w:rPr>
        <w:softHyphen/>
        <w:t>летам Су-2 стали поступать переобору</w:t>
      </w:r>
      <w:r w:rsidRPr="00D03F3E">
        <w:rPr>
          <w:rFonts w:ascii="Times New Roman" w:cs="Times New Roman"/>
          <w:color w:val="000000" w:themeColor="text1"/>
          <w:spacing w:val="0"/>
        </w:rPr>
        <w:softHyphen/>
        <w:t>дованные самолеты Ил-2, которые до конца войны являлись основными раз</w:t>
      </w:r>
      <w:r w:rsidRPr="00D03F3E">
        <w:rPr>
          <w:rFonts w:ascii="Times New Roman" w:cs="Times New Roman"/>
          <w:color w:val="000000" w:themeColor="text1"/>
          <w:spacing w:val="0"/>
        </w:rPr>
        <w:softHyphen/>
        <w:t>ведчиками-корректировщиками артил</w:t>
      </w:r>
      <w:r w:rsidRPr="00D03F3E">
        <w:rPr>
          <w:rFonts w:ascii="Times New Roman" w:cs="Times New Roman"/>
          <w:color w:val="000000" w:themeColor="text1"/>
          <w:spacing w:val="0"/>
        </w:rPr>
        <w:softHyphen/>
        <w:t>лерийского огня (15762).</w:t>
      </w:r>
    </w:p>
    <w:p w14:paraId="692B8844" w14:textId="77777777" w:rsidR="00A05C6C" w:rsidRPr="00D03F3E" w:rsidRDefault="00A05C6C" w:rsidP="00D03F3E">
      <w:pPr>
        <w:spacing w:after="0" w:line="240" w:lineRule="auto"/>
        <w:jc w:val="both"/>
        <w:rPr>
          <w:rFonts w:ascii="Times New Roman" w:hAnsi="Times New Roman"/>
          <w:color w:val="000000" w:themeColor="text1"/>
          <w:sz w:val="16"/>
          <w:szCs w:val="16"/>
        </w:rPr>
      </w:pPr>
    </w:p>
    <w:p w14:paraId="461786D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середине 1943 г. на смену Су-2 стали поступать переоборудованные Ил-2, которые до конца войны являлись основным разведчиком-корректировщиком артогня.</w:t>
      </w:r>
    </w:p>
    <w:p w14:paraId="0F9D0D20"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декабре 1943 г. Начальник оперативного управления штаба ВВС КА на одном из со</w:t>
      </w:r>
      <w:r w:rsidRPr="00D03F3E">
        <w:rPr>
          <w:rFonts w:ascii="Times New Roman" w:hAnsi="Times New Roman"/>
          <w:color w:val="000000" w:themeColor="text1"/>
          <w:sz w:val="16"/>
          <w:szCs w:val="16"/>
        </w:rPr>
        <w:softHyphen/>
        <w:t>вещаний отметил, что «использование Су-2 и Ил-2 в качестве корректировщика вынуж</w:t>
      </w:r>
      <w:r w:rsidRPr="00D03F3E">
        <w:rPr>
          <w:rFonts w:ascii="Times New Roman" w:hAnsi="Times New Roman"/>
          <w:color w:val="000000" w:themeColor="text1"/>
          <w:sz w:val="16"/>
          <w:szCs w:val="16"/>
        </w:rPr>
        <w:softHyphen/>
        <w:t>денное мероприятие, обусловленное отсутствием специального самолета. Корректиров</w:t>
      </w:r>
      <w:r w:rsidRPr="00D03F3E">
        <w:rPr>
          <w:rFonts w:ascii="Times New Roman" w:hAnsi="Times New Roman"/>
          <w:color w:val="000000" w:themeColor="text1"/>
          <w:sz w:val="16"/>
          <w:szCs w:val="16"/>
        </w:rPr>
        <w:softHyphen/>
        <w:t>щик должен быть, по крайней мере, 3-х местным самолетом, маневренным, с хорошим обзором, сильным вооружением и большим диапазоном скоростей. Над созданием та</w:t>
      </w:r>
      <w:r w:rsidRPr="00D03F3E">
        <w:rPr>
          <w:rFonts w:ascii="Times New Roman" w:hAnsi="Times New Roman"/>
          <w:color w:val="000000" w:themeColor="text1"/>
          <w:sz w:val="16"/>
          <w:szCs w:val="16"/>
        </w:rPr>
        <w:softHyphen/>
        <w:t>кого самолета нужно работать, потребность в нем ощущается очень большая».</w:t>
      </w:r>
    </w:p>
    <w:p w14:paraId="170D336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Ранее в план-заявку на строительство опыт</w:t>
      </w:r>
      <w:r w:rsidRPr="00D03F3E">
        <w:rPr>
          <w:rFonts w:ascii="Times New Roman" w:hAnsi="Times New Roman"/>
          <w:color w:val="000000" w:themeColor="text1"/>
          <w:sz w:val="16"/>
          <w:szCs w:val="16"/>
        </w:rPr>
        <w:softHyphen/>
        <w:t>ных и модификаций се</w:t>
      </w:r>
      <w:r w:rsidRPr="00D03F3E">
        <w:rPr>
          <w:rFonts w:ascii="Times New Roman" w:hAnsi="Times New Roman"/>
          <w:color w:val="000000" w:themeColor="text1"/>
          <w:sz w:val="16"/>
          <w:szCs w:val="16"/>
        </w:rPr>
        <w:softHyphen/>
        <w:t>рийных самолётов в 1943 г. включили «Вой</w:t>
      </w:r>
      <w:r w:rsidRPr="00D03F3E">
        <w:rPr>
          <w:rFonts w:ascii="Times New Roman" w:hAnsi="Times New Roman"/>
          <w:color w:val="000000" w:themeColor="text1"/>
          <w:sz w:val="16"/>
          <w:szCs w:val="16"/>
        </w:rPr>
        <w:softHyphen/>
        <w:t>сковой разведчик и ар</w:t>
      </w:r>
      <w:r w:rsidRPr="00D03F3E">
        <w:rPr>
          <w:rFonts w:ascii="Times New Roman" w:hAnsi="Times New Roman"/>
          <w:color w:val="000000" w:themeColor="text1"/>
          <w:sz w:val="16"/>
          <w:szCs w:val="16"/>
        </w:rPr>
        <w:softHyphen/>
        <w:t>тиллерийский корректи</w:t>
      </w:r>
      <w:r w:rsidRPr="00D03F3E">
        <w:rPr>
          <w:rFonts w:ascii="Times New Roman" w:hAnsi="Times New Roman"/>
          <w:color w:val="000000" w:themeColor="text1"/>
          <w:sz w:val="16"/>
          <w:szCs w:val="16"/>
        </w:rPr>
        <w:softHyphen/>
        <w:t>ровщик с мотором воз</w:t>
      </w:r>
      <w:r w:rsidRPr="00D03F3E">
        <w:rPr>
          <w:rFonts w:ascii="Times New Roman" w:hAnsi="Times New Roman"/>
          <w:color w:val="000000" w:themeColor="text1"/>
          <w:sz w:val="16"/>
          <w:szCs w:val="16"/>
        </w:rPr>
        <w:softHyphen/>
        <w:t>душного охлаждения» (11696).</w:t>
      </w:r>
    </w:p>
    <w:p w14:paraId="7078F74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B2BC2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1943 А.Н.Т. с ОКБ реэвакуировался в Москву на базу 156 завода и завод вновь получил этот номер (346,5).</w:t>
      </w:r>
    </w:p>
    <w:p w14:paraId="42E9E77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 другим данным это было к 15 апреля или в конце года.</w:t>
      </w:r>
    </w:p>
    <w:p w14:paraId="2262517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середины 1943 г. (на 115-й серии завода №126) бомбардировщики начали комплектоваться стандартными изделиями ГАМ-9 - плямягасители-глушители (7666).</w:t>
      </w:r>
    </w:p>
    <w:p w14:paraId="30DD399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F8635A" w14:textId="77777777" w:rsidR="00A05C6C" w:rsidRPr="00D03F3E" w:rsidRDefault="00A05C6C" w:rsidP="00D03F3E">
      <w:pPr>
        <w:pStyle w:val="a3"/>
        <w:rPr>
          <w:color w:val="000000" w:themeColor="text1"/>
          <w:lang w:val="ru-RU"/>
        </w:rPr>
      </w:pPr>
      <w:r w:rsidRPr="00D03F3E">
        <w:rPr>
          <w:color w:val="000000" w:themeColor="text1"/>
          <w:lang w:val="ru-RU"/>
        </w:rPr>
        <w:t>В середине 1943 г. в ЦИАМ под руководством А.И. Толстого завершились проектные работы по силовой установке, представляющей комбинацию авиационного дизеля и воз</w:t>
      </w:r>
      <w:r w:rsidRPr="00D03F3E">
        <w:rPr>
          <w:color w:val="000000" w:themeColor="text1"/>
          <w:lang w:val="ru-RU"/>
        </w:rPr>
        <w:softHyphen/>
        <w:t>душно-реактивного двигателя компрессорного (ВРДК), получившую обозначение Э</w:t>
      </w:r>
      <w:r w:rsidRPr="00D03F3E">
        <w:rPr>
          <w:rStyle w:val="9pt1"/>
          <w:rFonts w:ascii="Times New Roman" w:eastAsia="Arial Unicode MS" w:cs="Times New Roman"/>
          <w:color w:val="000000" w:themeColor="text1"/>
          <w:sz w:val="16"/>
          <w:szCs w:val="16"/>
          <w:lang w:val="ru-RU"/>
        </w:rPr>
        <w:t xml:space="preserve">-3130. </w:t>
      </w:r>
      <w:r w:rsidRPr="00D03F3E">
        <w:rPr>
          <w:color w:val="000000" w:themeColor="text1"/>
          <w:lang w:val="ru-RU"/>
        </w:rPr>
        <w:t>В июне 1945 г. завершились ее наземные заводские испытания. Для лётной отработки комбинированной установки решили использовать Ер-2. Завод №</w:t>
      </w:r>
      <w:r w:rsidRPr="00D03F3E">
        <w:rPr>
          <w:rStyle w:val="9pt1"/>
          <w:rFonts w:ascii="Times New Roman" w:eastAsia="Arial Unicode MS" w:cs="Times New Roman"/>
          <w:color w:val="000000" w:themeColor="text1"/>
          <w:sz w:val="16"/>
          <w:szCs w:val="16"/>
          <w:lang w:val="ru-RU"/>
        </w:rPr>
        <w:t>134</w:t>
      </w:r>
      <w:r w:rsidRPr="00D03F3E">
        <w:rPr>
          <w:color w:val="000000" w:themeColor="text1"/>
          <w:lang w:val="ru-RU"/>
        </w:rPr>
        <w:t xml:space="preserve"> подготовил ком</w:t>
      </w:r>
      <w:r w:rsidRPr="00D03F3E">
        <w:rPr>
          <w:color w:val="000000" w:themeColor="text1"/>
          <w:lang w:val="ru-RU"/>
        </w:rPr>
        <w:softHyphen/>
        <w:t>плект чертежей по размещению Э-3130 на самолёте и отправил их в ЦИАМ. В производ</w:t>
      </w:r>
      <w:r w:rsidRPr="00D03F3E">
        <w:rPr>
          <w:color w:val="000000" w:themeColor="text1"/>
          <w:lang w:val="ru-RU"/>
        </w:rPr>
        <w:softHyphen/>
        <w:t>стве переоборудование Ер-2 не проводилось из-за отсутствия лётных образцов Э</w:t>
      </w:r>
      <w:r w:rsidRPr="00D03F3E">
        <w:rPr>
          <w:rStyle w:val="9pt1"/>
          <w:rFonts w:ascii="Times New Roman" w:eastAsia="Arial Unicode MS" w:cs="Times New Roman"/>
          <w:color w:val="000000" w:themeColor="text1"/>
          <w:sz w:val="16"/>
          <w:szCs w:val="16"/>
          <w:lang w:val="ru-RU"/>
        </w:rPr>
        <w:t xml:space="preserve">-3130 </w:t>
      </w:r>
      <w:r w:rsidRPr="00D03F3E">
        <w:rPr>
          <w:color w:val="000000" w:themeColor="text1"/>
          <w:lang w:val="ru-RU"/>
        </w:rPr>
        <w:t>и закрытия темы приказом НКАП от 6 марта 1946 г. (15810).</w:t>
      </w:r>
    </w:p>
    <w:p w14:paraId="21083E53" w14:textId="77777777" w:rsidR="00A05C6C" w:rsidRPr="00D03F3E" w:rsidRDefault="00A05C6C" w:rsidP="00D03F3E">
      <w:pPr>
        <w:pStyle w:val="a3"/>
        <w:rPr>
          <w:color w:val="000000" w:themeColor="text1"/>
          <w:lang w:val="ru-RU"/>
        </w:rPr>
      </w:pPr>
    </w:p>
    <w:p w14:paraId="544BCCB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середине 1943 г. стало ясно, что двухместные “радиолокационные” Пе-2 и Пе-3 не вполне соответствуют требованиям, предъявляемым к ночным истребителям. На борту самолета нужен был третий член экипажа - штурман. В кабине доработанной “пешки” и без того было тесно из-за громоздкой аппаратуры. Кроме того, для борьбы с вражескими бомбардировщиками самолет оказался слишком слабо вооружен. Еще одним минусом “пешки” оказалась склонность к сваливанию на крыло при высоком выравнивании на посадке - ошибке довольно распространенной среди военных пилотов, не имевших опыта ночных полетов.</w:t>
      </w:r>
    </w:p>
    <w:p w14:paraId="7AF89AA2"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Изо всех типов отечественных и импортных самолетов, которыми располагала советская авиация, наиболее подходящим на роль ночного истребителя оказался самолет A-20G фирмы “Дуглас”. Именно он стал носителем РЛС “Гнейс-2” в двух полнокровных полках ночных истребителей, включенных в состав Авиации дальнего действия (4476).</w:t>
      </w:r>
    </w:p>
    <w:p w14:paraId="2E512E1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62F2B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середине 1943 г. стало ясно, что двухместные "радиолокационные" Пе-2 и Пе-3 не вполне соответствуют требованиям, предъявляемым к ночным истребителям. На борту самолета нужен был третий член экипажа - штурман. В кабине доработанной "пешки" и без того оказывалось тесно из-за громоздкой аппаратуры. Кроме того, для борьбы с вражескими бомбардировщиками самолет получился слишком слабо вооружен. Из всех типов отечественных и импортных самолетов, которыми располагала советская авиация, наиболее подходящим на роль ночного истребителя являлся самолет A-20G фирмы "Дуглас". Именно он стал носителем РЛС "Гнейс-2" в двух полнокровных полках ночных истребителей, включенных в состав авиации дальнего действия (12042).</w:t>
      </w:r>
    </w:p>
    <w:p w14:paraId="1E062AB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A0F52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середине 1943 г. противник стал использовать хорошо брони</w:t>
      </w:r>
      <w:r w:rsidRPr="00D03F3E">
        <w:rPr>
          <w:rFonts w:ascii="Times New Roman" w:hAnsi="Times New Roman"/>
          <w:color w:val="000000" w:themeColor="text1"/>
          <w:sz w:val="16"/>
          <w:szCs w:val="16"/>
        </w:rPr>
        <w:softHyphen/>
        <w:t>рованные Нз 129 и ФВ190Р, для борьбы с которыми двух пушек Ла-5 уже не хватало. Конструкторы пытались усилить вооружение, подготовив проект установки трех пушек ШВАК или двух ШВАК и одного пулемета УБ-12,7, но рутина плановых заданий не позволя</w:t>
      </w:r>
      <w:r w:rsidRPr="00D03F3E">
        <w:rPr>
          <w:rFonts w:ascii="Times New Roman" w:hAnsi="Times New Roman"/>
          <w:color w:val="000000" w:themeColor="text1"/>
          <w:sz w:val="16"/>
          <w:szCs w:val="16"/>
        </w:rPr>
        <w:softHyphen/>
        <w:t>ла заняться этим вплотную. Однако военные настаивали на увели</w:t>
      </w:r>
      <w:r w:rsidRPr="00D03F3E">
        <w:rPr>
          <w:rFonts w:ascii="Times New Roman" w:hAnsi="Times New Roman"/>
          <w:color w:val="000000" w:themeColor="text1"/>
          <w:sz w:val="16"/>
          <w:szCs w:val="16"/>
        </w:rPr>
        <w:softHyphen/>
        <w:t>чении огневой мощи истребителя. Например, главный инженер ВВС генерал Репин 8 октября 1943 г. направил в НКАП письмо № 615576с, требуя срочно провести испытания «трехточечных» Ла-5. Наконец-то 13 октября подготовили проект приказа НКАП о переоборудовании двух Ла-5ФН под 3 ШВАК с общим боезапасом в 450 снарядов (на серийном — 340). К тому времени КБ Березина предложило новую пушку УБ-20, которая при тех же скорострель</w:t>
      </w:r>
      <w:r w:rsidRPr="00D03F3E">
        <w:rPr>
          <w:rFonts w:ascii="Times New Roman" w:hAnsi="Times New Roman"/>
          <w:color w:val="000000" w:themeColor="text1"/>
          <w:sz w:val="16"/>
          <w:szCs w:val="16"/>
        </w:rPr>
        <w:softHyphen/>
        <w:t>ности, снаряде и его начальной скорости весила 25 кг, а ШВАК — 42. Лавочкин решил срочно переделать проект под новое орудие. Испытания Ла-5ФНА планировали начать 15 ноября 1944 г., но из-за задержки с поставкой пушек самолет подготовили только в янва</w:t>
      </w:r>
      <w:r w:rsidRPr="00D03F3E">
        <w:rPr>
          <w:rFonts w:ascii="Times New Roman" w:hAnsi="Times New Roman"/>
          <w:color w:val="000000" w:themeColor="text1"/>
          <w:sz w:val="16"/>
          <w:szCs w:val="16"/>
        </w:rPr>
        <w:softHyphen/>
        <w:t>ре следующего года, а стрельбы в воздухе начали 15 февраля. Через 4 дня машину приняли в НИИ ВВС, где летчики А.Г. Кубышкин и Г.А. Модестов приступили к Госиспытани</w:t>
      </w:r>
      <w:r w:rsidRPr="00D03F3E">
        <w:rPr>
          <w:rFonts w:ascii="Times New Roman" w:hAnsi="Times New Roman"/>
          <w:color w:val="000000" w:themeColor="text1"/>
          <w:sz w:val="16"/>
          <w:szCs w:val="16"/>
        </w:rPr>
        <w:softHyphen/>
        <w:t>ям. Акт по их итогам подписали в первой декаде мар</w:t>
      </w:r>
      <w:r w:rsidRPr="00D03F3E">
        <w:rPr>
          <w:rFonts w:ascii="Times New Roman" w:hAnsi="Times New Roman"/>
          <w:color w:val="000000" w:themeColor="text1"/>
          <w:sz w:val="16"/>
          <w:szCs w:val="16"/>
        </w:rPr>
        <w:softHyphen/>
        <w:t>та. Постановление ГКО № 5404с по «трехточечному» Ла-5 вышло 15 марта, когда нужды в нем уже не было. С тремя Б-20 серийно выпускались лишь Ла-7, да и то не все (11123).</w:t>
      </w:r>
    </w:p>
    <w:p w14:paraId="52EA0175"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46BE24"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1943 Н.Н.П. понял, что с АМ-37 ТИС заявленных летных данных не даст и перепроектировал машину под АМ-39А. Радиаторы перенесли в кнсоли. Вместо 2хБК в центроплане хотели поставить 45 мм пышки 111П, но пока их не было поставили 2х11П 37 мм (10535,34).</w:t>
      </w:r>
    </w:p>
    <w:p w14:paraId="12F966B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E622DF"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1943 г., когда стало окончательно ясно, что с АМ-37 требуемых летных характеристик на ТИС получить не удастся, самолет перепроектировали под моторы АМ-39А, обещавшие быть не только более мощными (1900 л.с. на высоте 7150 м), но и более надежными. Пре</w:t>
      </w:r>
      <w:r w:rsidRPr="00D03F3E">
        <w:rPr>
          <w:rFonts w:ascii="Times New Roman" w:hAnsi="Times New Roman"/>
          <w:color w:val="000000" w:themeColor="text1"/>
          <w:sz w:val="16"/>
          <w:szCs w:val="16"/>
        </w:rPr>
        <w:softHyphen/>
        <w:t>дусматривалась установка турбокомпрессоров. Одно</w:t>
      </w:r>
      <w:r w:rsidRPr="00D03F3E">
        <w:rPr>
          <w:rFonts w:ascii="Times New Roman" w:hAnsi="Times New Roman"/>
          <w:color w:val="000000" w:themeColor="text1"/>
          <w:sz w:val="16"/>
          <w:szCs w:val="16"/>
        </w:rPr>
        <w:softHyphen/>
        <w:t>временно улучшили аэродинамику, перенеся радиаторы из мотогондол в консоли крыла. В центроплане вместо двух крупнокалиберных пулеметов БК предполагалось установить две мощные пушки 11Ш калибра 45 мм, од</w:t>
      </w:r>
      <w:r w:rsidRPr="00D03F3E">
        <w:rPr>
          <w:rFonts w:ascii="Times New Roman" w:hAnsi="Times New Roman"/>
          <w:color w:val="000000" w:themeColor="text1"/>
          <w:sz w:val="16"/>
          <w:szCs w:val="16"/>
        </w:rPr>
        <w:softHyphen/>
        <w:t>нако, ввиду их отсутствия, временно смонтированы две пушки 11П калибра 37 мм. Ведущим инженером назначили А.В.Потопалова. Он вел еще предыдущую модификацию ТИС в связи с увольнением М.К.Янгеля (10667).</w:t>
      </w:r>
    </w:p>
    <w:p w14:paraId="0BD474D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924B6B" w14:textId="77777777" w:rsidR="0039048E" w:rsidRPr="00D03F3E" w:rsidRDefault="0039048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03F3E">
        <w:rPr>
          <w:rFonts w:ascii="Times New Roman" w:eastAsia="Times New Roman" w:hAnsi="Times New Roman"/>
          <w:color w:val="000000" w:themeColor="text1"/>
          <w:sz w:val="16"/>
          <w:szCs w:val="16"/>
          <w:lang w:eastAsia="ru-RU"/>
        </w:rPr>
        <w:t>В середине 1943 г. работы по И-185 практически прекратились. На вооружение во все больших количествах поступали самолеты Як-1б, Як-7б, Як-9 во многих вариантах, Ла-5Ф и ФН, шло создание их дальнейших модификаций, из которых "выросли" лучшие советские истребители Як-9У, Як-3 и Ла-7... И пусть по некоторым пунктам тактикотехнических характеристик даже они не дотягивали до уровня "эталонного" И-185, но это были массовые машины, которые могли выпускаться в нужном фронту количестве. А оно, как известно, обязательно переходит в качество (17737).</w:t>
      </w:r>
    </w:p>
    <w:p w14:paraId="37642B60" w14:textId="77777777" w:rsidR="0039048E" w:rsidRPr="00D03F3E" w:rsidRDefault="0039048E" w:rsidP="00D03F3E">
      <w:pPr>
        <w:spacing w:after="0" w:line="240" w:lineRule="auto"/>
        <w:jc w:val="both"/>
        <w:rPr>
          <w:rFonts w:ascii="Times New Roman" w:hAnsi="Times New Roman"/>
          <w:color w:val="000000" w:themeColor="text1"/>
          <w:sz w:val="16"/>
          <w:szCs w:val="16"/>
        </w:rPr>
      </w:pPr>
    </w:p>
    <w:p w14:paraId="18E0E41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1943 г. самолеты-торпедоносцы были вынуждены выполнять боевую работу на таком удалении от баз, которое делало невозможным их прикрытие отечественными истребителями. В то же время противник усилил защиту своих конвоев, как зенитной артиллерией, так и истребителями. Данная доработка (а использование подвесных баков для Як-1 предусматривалось еще ТТТ) повысила на 200 л запас топлива на самолете. Продолжительность полета гарантированно увеличивалась на 35-45 минут. Проект выполнили начальник цеха 30-х САМ ВВС СФ старший техник-лейтенант B.C. Давыдов и начальник этих мастерских инженер-капитан И.А. Безукладников под руководством Главного инженера ВВС СФ инженер-полковника P.M. Собченко.</w:t>
      </w:r>
    </w:p>
    <w:p w14:paraId="069BBEAC"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Подвесной бак крепился на бомбовый замок КД-46 или Дер-31, установленный на специальном узле на переднем лонжероне крыла между девятой и десятой.нервюрами. Бензопровод размещался в носке крыла и крепился к лобовому стрингеру хомутами. Включение баков в работу осуществлялось специальной рукояткой, установленной справа под приборной доской. При этом бензокран основных баков ставился в положение "Закрыто". В магистрали под краном включения-выключения баков устанавливался обратный клапан, предотвращающий выбивание бензина вследствие разряжения в трубопроводе после их сброса и при неполном закрытии крана летчиком. Управление сбросом ПЛБГ-100 было тросовое и выводилось на неиспользовавшуюся рукоятку форсажа мотора. Для осмотра узла подвески и выполнения на нем регламентных работ на верхней поверхности крыла был прорезан лючок, закрывающийся дюралевой крышкой на двух замках "дзус".</w:t>
      </w:r>
    </w:p>
    <w:p w14:paraId="1FEE7E5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Опасения, что мотор может заглохнуть при переходе на питание от подвесных баков, из-за появления воздушной пробки на участке от баков до обратного клапана, не подтвердились. В проведенных по специальной программе летных испытаниях система работала надежно, чему способствовала небольшая длина участка магистрали и малая разница уровней бензопомпы и подвесных баков. Радиус действия истребителя существенно увеличился. Практический радиус группы из шести Як-1 с подвесными баками с учетом 20% навигационного запаса топлива. запаса топлива на взлет, посадку и 15-ми- нутный воздушный бой составил 207 км, а при тех же условиях для Як-1 без баков практический радиус равнялся 127 км (12048).</w:t>
      </w:r>
    </w:p>
    <w:p w14:paraId="1B7094E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0C896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1943 года вооружение самолета ЛаГГ-3 усилили вторым пулеметом БС. На последних сериях винт ВИШ-61П заменили винтом ВИШ-105СВ, отличавшемся более плоской и широкой ступицей. На заводе № 31 работали над совершенствованием двигательного агрегата с целью улучшить скорость самолета. Предпринимались попытки поставить на истребитель двигатели М-106 и М-107, но, как уже говорилось выше, они закончились безрезультатно. Горбунов предпринял еще одну попытку улучшить летные качества ЛаГГа-3, установив на самолет двигатель М-105ПТ. Истребитель, получивший обозначение «объект 105» в октябре 1943 года прошел государственные испытания. Прежде всего в глаза бросалась каплевидная форма фонаря кабины. Вооружение самолета состояло из пушки ШВАК и пулемета БС с боекомплектом 160 и 200 выстрелов, соответственно. Взлетная масса самолета составила 2818 кг, максимальная скорость 612 км/ч (11749).</w:t>
      </w:r>
    </w:p>
    <w:p w14:paraId="010106F3"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743E6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С середины 1943 г. состав вооружения дополнили вторым пулеметом БС. На последних сериях винт ВИШ-61П заменили на ВИШ-105СВ с более широкими лопастями. </w:t>
      </w:r>
      <w:r w:rsidRPr="00D03F3E">
        <w:rPr>
          <w:rFonts w:ascii="Times New Roman" w:hAnsi="Times New Roman"/>
          <w:color w:val="000000" w:themeColor="text1"/>
          <w:sz w:val="16"/>
          <w:szCs w:val="16"/>
        </w:rPr>
        <w:lastRenderedPageBreak/>
        <w:t>При этом кок стал немного шире и приобрел более плоскую форму. На заводе № 31 продолжали пытаться усовершенствовать мотоустановку с целью повышения тяговооруженности истребителя. Работали над возможной установкой двигателей М-107 и М-106, но из этого ничего не получилось. В 1943 г. Горбунов предпринял последнюю попытку существенно улучшить характеристики ЛаГГ-3. Машину под обозначением "105" с мотором М-105ПФ предъявили на государственные испытания в октябре 1943 г. Первое, что бросалось в глаза, - отсутствие гаргрота за кабиной летчика. При вооружении, включавшем пушку ШВАК и пулемет БС с боезапасом соответственно 160 и 200 патронов, удалось довести полетный вес до 2818 кг, а максимальную скорость - до 612 км/ч (11983).</w:t>
      </w:r>
    </w:p>
    <w:p w14:paraId="498B53C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1AEF6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1943 г. авиабомбу ФАБ-50сч чертежа 3-01254 приняли на вооружение, а ФАБ-50сч предшествующей модели (чертежа 3-01201) сняли с производства. В 1943 г., учитывая претензии военных летчиков, что при бомбометании ФАБ из сталистого чугуна по мягким грунтам иногда не срабатывают или недостаточно эффективны. Государственный Комитет Обороны постановил для окончательного их снаряжания вместо используемых ранее головных взрывателей АПУВ и АПУВ-1 с замедлением до 0,3 с применять головные авиационные взрыватели мгновенного действия АМ-А. Кроме того, последние были в производстве гораздо проще и дешевле (7453).</w:t>
      </w:r>
    </w:p>
    <w:p w14:paraId="015DF67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Между тем у фронтовых летчиков данные новшества не вызвали большого восторга. Во-первых, применение взрывателя AM-А ограничило тактическое применение ФАБ из сталистого чугуна, поскольку устанавливать их можно было только в головное очко, а значит, проникающее действие даже по легким полевым укрытиям было исключено. Во-вторых, бомбы срабатывали только мгновенно. И в-третьих, бомбить ими с малых высот стало невозможно из-за большого процента отказов - боеприпасы били в преграду с углами, отличными от нормали, иногда рикошетировали, но взрыватели часто не срабатывали. Дело в том, что корпуса взведенных АМ-А выступали всего на 35 мм, а для их срабатывания требовалось хотя бы коснуться грунта (7453).</w:t>
      </w:r>
    </w:p>
    <w:p w14:paraId="0CC4FCB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20A4E6"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С середины 1943 г. на заводе № 185 в Йошкар—Оле произошло снятие с производства корпусов 45 мм осколочных снарядов и освоено новое производство - выпуск авиабомб. За второе полугодие 1943 г. вместо запланированных 64 тыс. авиабомб было произведено 93 тыс. (172 %). За 1944 г. завод изготовил 143,5 тыс. авиабомб (105% к плану), приступил к выпуску гражданской продукции - гирь и изготовил 23750 шт. Со второго полугодия 1945 г. завод совершил переход производства с военной продукции на гражданскую, успешно закончил период освоения производства весов "Фалько" (9707).</w:t>
      </w:r>
    </w:p>
    <w:p w14:paraId="0B63130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DCA2B7"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Другие оборонные отрасли:</w:t>
      </w:r>
    </w:p>
    <w:p w14:paraId="155B3DC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5D68A2"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середине 1943 г. дальнейшие работы по защите танка Т-34 от ку</w:t>
      </w:r>
      <w:r w:rsidRPr="00D03F3E">
        <w:rPr>
          <w:rFonts w:ascii="Times New Roman" w:hAnsi="Times New Roman"/>
          <w:color w:val="000000" w:themeColor="text1"/>
          <w:sz w:val="16"/>
          <w:szCs w:val="16"/>
        </w:rPr>
        <w:softHyphen/>
        <w:t>мулятивных боеприпасов были прекращены, так как на протяжении всего 1942 г. поражений танков кумулятивными снарядами отмечено не било. В боях зимой 1942 г 1943 гг. эти поражения составили не более 2 %, в 1943 г. - не более 7 %. В 1944 г. поражений танков кумулятивны</w:t>
      </w:r>
      <w:r w:rsidRPr="00D03F3E">
        <w:rPr>
          <w:rFonts w:ascii="Times New Roman" w:hAnsi="Times New Roman"/>
          <w:color w:val="000000" w:themeColor="text1"/>
          <w:sz w:val="16"/>
          <w:szCs w:val="16"/>
        </w:rPr>
        <w:softHyphen/>
        <w:t>ми снарядами вообще не было отмечено, за исключением поражений кумулятивными гранатами "Фауст" и "Офенрор", доля которых соста</w:t>
      </w:r>
      <w:r w:rsidRPr="00D03F3E">
        <w:rPr>
          <w:rFonts w:ascii="Times New Roman" w:hAnsi="Times New Roman"/>
          <w:color w:val="000000" w:themeColor="text1"/>
          <w:sz w:val="16"/>
          <w:szCs w:val="16"/>
        </w:rPr>
        <w:softHyphen/>
        <w:t>вила не более 5% от всех поражений танков. Поэтому экранирование танков на заводах промышленности до окончания войны больше не производилось (10703).</w:t>
      </w:r>
    </w:p>
    <w:p w14:paraId="62840649"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F20CE3"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1943 г. был сформирован первый танковый полк, имевший на вооружении танки, оснащенные тралами ПТ-3, и направлен на Воронежский фронт, где получил боевое крещение. Противоминный трал ПТ-3 устанавливался впереди среднего танка Т-34-76 или тяжелого тапка КВ-1С, который толкал его перед собой. Он состоял из упряжного устройства, рамы, оси с катками и тросовой под</w:t>
      </w:r>
      <w:r w:rsidRPr="00D03F3E">
        <w:rPr>
          <w:rFonts w:ascii="Times New Roman" w:hAnsi="Times New Roman"/>
          <w:color w:val="000000" w:themeColor="text1"/>
          <w:sz w:val="16"/>
          <w:szCs w:val="16"/>
        </w:rPr>
        <w:softHyphen/>
        <w:t>вески. Упряжное устройство состояло из двух проушин, приваренных к нижнему лобовому листу танка, и служило для присоединения трала к танку. Рама представляла собой сварную конструкцию треугольной формы с двумя скобами и служила для соединения рабочей части трала (оеи с катками) с танком. Ось с десятью стальными катками являлась основной рабочей частью трала. Катки вращались на оси свободно, не</w:t>
      </w:r>
      <w:r w:rsidRPr="00D03F3E">
        <w:rPr>
          <w:rFonts w:ascii="Times New Roman" w:hAnsi="Times New Roman"/>
          <w:color w:val="000000" w:themeColor="text1"/>
          <w:sz w:val="16"/>
          <w:szCs w:val="16"/>
        </w:rPr>
        <w:softHyphen/>
        <w:t>зависимо друг от друга. По окружности катков с помощью заклепок бы</w:t>
      </w:r>
      <w:r w:rsidRPr="00D03F3E">
        <w:rPr>
          <w:rFonts w:ascii="Times New Roman" w:hAnsi="Times New Roman"/>
          <w:color w:val="000000" w:themeColor="text1"/>
          <w:sz w:val="16"/>
          <w:szCs w:val="16"/>
        </w:rPr>
        <w:softHyphen/>
        <w:t>ли укреплены шпоры. Катки были разделены па две группы, по пять в каждой, и были смещены к концам оси. Поэтому при движении танка каждая группа катков производила траление местности перед счютвет-ствующей гусеницей тайка и позволяла им в определенных пределах (до 100 мм) огибать неровности местности. Поперечные уклоны мест</w:t>
      </w:r>
      <w:r w:rsidRPr="00D03F3E">
        <w:rPr>
          <w:rFonts w:ascii="Times New Roman" w:hAnsi="Times New Roman"/>
          <w:color w:val="000000" w:themeColor="text1"/>
          <w:sz w:val="16"/>
          <w:szCs w:val="16"/>
        </w:rPr>
        <w:softHyphen/>
        <w:t>ности также отслеживались рамой благодаря ее перекосу относительно рычагов. Подрыв мины осуществлялся шпорами катков. Диаметр катка массой 330 кг составлял 1100 мм (со шпорами), ширина каждой 1 (секции) - 1400 мм (10703).</w:t>
      </w:r>
    </w:p>
    <w:p w14:paraId="49E54FA8" w14:textId="77777777" w:rsidR="003B6CA5" w:rsidRPr="00D03F3E"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2DCF26" w14:textId="77777777" w:rsidR="00A05C6C" w:rsidRPr="00D03F3E" w:rsidRDefault="00A05C6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В середине 1943 г., большие потери не только в орудиях, но и в артиллерийских тягачах и автомобилях большой грузоподъемности, а также растущая потребность фронта, заставили специалистов ГАУ РККА создать новую концепцию полковой и дивизионной артиллерии на самодвижущиеся лафеты. Данный проект был скорее мерой вынужденной, поскольку чуть ранее “пушкарей” лишили самоходных орудий, которые были переданы в подчинение </w:t>
      </w:r>
      <w:hyperlink r:id="rId247" w:tgtFrame="_blank" w:history="1">
        <w:r w:rsidRPr="00D03F3E">
          <w:rPr>
            <w:rFonts w:ascii="Times New Roman" w:hAnsi="Times New Roman"/>
            <w:color w:val="000000" w:themeColor="text1"/>
            <w:sz w:val="16"/>
            <w:szCs w:val="16"/>
          </w:rPr>
          <w:t>танк</w:t>
        </w:r>
      </w:hyperlink>
      <w:r w:rsidRPr="00D03F3E">
        <w:rPr>
          <w:rFonts w:ascii="Times New Roman" w:hAnsi="Times New Roman"/>
          <w:color w:val="000000" w:themeColor="text1"/>
          <w:sz w:val="16"/>
          <w:szCs w:val="16"/>
        </w:rPr>
        <w:t>овым частям. Проект получил название ОСА – общевойсковая самоходная артиллерия, и стал отдельной ветвью развития советских САУ.</w:t>
      </w:r>
    </w:p>
    <w:p w14:paraId="6170CCF4" w14:textId="77777777" w:rsidR="00A05C6C" w:rsidRPr="00D03F3E" w:rsidRDefault="00A05C6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рамках технического задания предусматривалось создание сразу нескольких разнотипных самоходных орудий.</w:t>
      </w:r>
    </w:p>
    <w:p w14:paraId="3F739910" w14:textId="77777777" w:rsidR="00A05C6C" w:rsidRPr="00D03F3E" w:rsidRDefault="00A05C6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ОСА-76 – 76-мм дивизионная САУ частичного бронирования</w:t>
      </w:r>
    </w:p>
    <w:p w14:paraId="50C3CE48" w14:textId="77777777" w:rsidR="00A05C6C" w:rsidRPr="00D03F3E" w:rsidRDefault="00A05C6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ОСА-57 – 57-мм противо</w:t>
      </w:r>
      <w:hyperlink r:id="rId248" w:tgtFrame="_blank" w:history="1">
        <w:r w:rsidRPr="00D03F3E">
          <w:rPr>
            <w:rFonts w:ascii="Times New Roman" w:hAnsi="Times New Roman"/>
            <w:color w:val="000000" w:themeColor="text1"/>
            <w:sz w:val="16"/>
            <w:szCs w:val="16"/>
          </w:rPr>
          <w:t>танк</w:t>
        </w:r>
      </w:hyperlink>
      <w:r w:rsidRPr="00D03F3E">
        <w:rPr>
          <w:rFonts w:ascii="Times New Roman" w:hAnsi="Times New Roman"/>
          <w:color w:val="000000" w:themeColor="text1"/>
          <w:sz w:val="16"/>
          <w:szCs w:val="16"/>
        </w:rPr>
        <w:t>овая САУ частичного бронирования</w:t>
      </w:r>
    </w:p>
    <w:p w14:paraId="02CD8756" w14:textId="77777777" w:rsidR="00A05C6C" w:rsidRPr="00D03F3E" w:rsidRDefault="00A05C6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ОСА-З – зенитная САУ оснащенная зенитным автоматом или спаренной установкой крупнокалиберных зенитных пулеметов частичного бронирования.</w:t>
      </w:r>
    </w:p>
    <w:p w14:paraId="21CDA64A" w14:textId="77777777" w:rsidR="00A05C6C" w:rsidRPr="00D03F3E" w:rsidRDefault="00A05C6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Основные работы были возложены на КБ заводов №38 и ГАЗ.</w:t>
      </w:r>
    </w:p>
    <w:p w14:paraId="697139A0" w14:textId="77777777" w:rsidR="00A05C6C" w:rsidRPr="00D03F3E" w:rsidRDefault="00A05C6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Первое предприятие при разработке дивизионной САУ (готовый к реализации проект ОСА-57 был вскоре отменен) выбрало направление, по которому полутора годами ранее пошло КБ Гинзбурга. За основу были взяты узлы ходовой части легкого </w:t>
      </w:r>
      <w:hyperlink r:id="rId249" w:tgtFrame="_blank" w:history="1">
        <w:r w:rsidRPr="00D03F3E">
          <w:rPr>
            <w:rFonts w:ascii="Times New Roman" w:hAnsi="Times New Roman"/>
            <w:color w:val="000000" w:themeColor="text1"/>
            <w:sz w:val="16"/>
            <w:szCs w:val="16"/>
          </w:rPr>
          <w:t>танк</w:t>
        </w:r>
      </w:hyperlink>
      <w:r w:rsidRPr="00D03F3E">
        <w:rPr>
          <w:rFonts w:ascii="Times New Roman" w:hAnsi="Times New Roman"/>
          <w:color w:val="000000" w:themeColor="text1"/>
          <w:sz w:val="16"/>
          <w:szCs w:val="16"/>
        </w:rPr>
        <w:t>ов Т-60 или Т-70, агрегатов двигателя ГАЗ-ММ, при схожей с СУ-76 компоновке. В то же время САУ стала намного меньше и компактнее, а её масса проектная составила порядка 3500 кг. Шасси самоходки, применительно на один борт, состояло из 4-х опорных катков малого диаметра, двух поддерживающих роликов, переднего направляющего и заднего ведущего колеса. В передней части корпуса располагалось моторно-трансмиссионное отделение и пост управления, в задней части находилось боевое отделение с открытой сзади рубкой. В качестве основного вооружения выбрали 76,2-мм пушку ЗИС-3. Толщина лобового бронелиста составляла всего 6 мм, но в ближнем бою использовать ОСА-76 не собирались. Экипаж самоходки составлял 3 человека.</w:t>
      </w:r>
    </w:p>
    <w:p w14:paraId="37BCB0AD" w14:textId="77777777" w:rsidR="00A05C6C" w:rsidRPr="00D03F3E" w:rsidRDefault="00A05C6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 xml:space="preserve">Кроме того, гусеничная самоходка обладала и другими ценными качествами. ОСА-76 оказалась более устойчивой при стрельбе и могла преодолевать многокилометровые марши, как по проселочным дорогам, так и по шоссе, что в совокупности с использованием бензина 2-го сорта или немецкого синтетического горючего делало её просто незаменимой. Общее мнение об эксплуатационных и боевых качествах ОСА-76 были самые положительные, что обратило на себя внимание не только артиллеристов, но также </w:t>
      </w:r>
      <w:hyperlink r:id="rId250" w:tgtFrame="_blank" w:history="1">
        <w:r w:rsidRPr="00D03F3E">
          <w:rPr>
            <w:rFonts w:ascii="Times New Roman" w:hAnsi="Times New Roman"/>
            <w:color w:val="000000" w:themeColor="text1"/>
            <w:sz w:val="16"/>
            <w:szCs w:val="16"/>
          </w:rPr>
          <w:t>танк</w:t>
        </w:r>
      </w:hyperlink>
      <w:r w:rsidRPr="00D03F3E">
        <w:rPr>
          <w:rFonts w:ascii="Times New Roman" w:hAnsi="Times New Roman"/>
          <w:color w:val="000000" w:themeColor="text1"/>
          <w:sz w:val="16"/>
          <w:szCs w:val="16"/>
        </w:rPr>
        <w:t>истов и десантников (15612).</w:t>
      </w:r>
    </w:p>
    <w:p w14:paraId="5CD2B8DC" w14:textId="77777777" w:rsidR="00A05C6C" w:rsidRPr="00D03F3E" w:rsidRDefault="00A05C6C" w:rsidP="00D03F3E">
      <w:pPr>
        <w:spacing w:after="0" w:line="240" w:lineRule="auto"/>
        <w:jc w:val="both"/>
        <w:rPr>
          <w:rFonts w:ascii="Times New Roman" w:hAnsi="Times New Roman"/>
          <w:color w:val="000000" w:themeColor="text1"/>
          <w:sz w:val="16"/>
          <w:szCs w:val="16"/>
        </w:rPr>
      </w:pPr>
    </w:p>
    <w:p w14:paraId="1B0AABDD"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036FEBE5"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B962EA" w14:textId="77777777" w:rsidR="00226B6F" w:rsidRPr="00D03F3E" w:rsidRDefault="00226B6F"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1943 г. истребители И-153 под Ленинградом имелись в основном в составе авиации Балтийского флота. По нескольку "Чаек" (количество было непостоянным, так как машины уходили в ремонт и возвращались, передавались в другие полки) числилось в 3-м, 4-м, 10-м Гвардейских истребительных авиаполках и 7-м авиазвене ПВО. До десяти И-153 вплоть до июля базировались на острове Лавенсаари - в основном это были истребители 10-го иап. Активизация вражеской авиации летом 1943 г, сложность перехвата немецких бомбардировщиков Ju 88 и Не 111, явное неравенство в схватках с появившимися FW 190 привели к тому, что на Лавенсаари перебросили истребители Як-1 из 3-го гиап, а заслуженным ветеранам И-153 оставили второстепенные задачи (12014).</w:t>
      </w:r>
    </w:p>
    <w:p w14:paraId="1E14AA17" w14:textId="77777777" w:rsidR="00226B6F" w:rsidRPr="00D03F3E" w:rsidRDefault="00226B6F"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CDEA3B"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середине 1943 г. участие Р-5 в боевых акциях снижается. Те несколько десятков машин, которые имелись в войсках, все более специализируются на вспомогательных действиях. Наряду с армейскими, подобной деятельностью занимались и Р-5, входящие в особые авиагруппы ГВФ. Такие авиагруппы были созданы в начале войны для выполнения транспортных перевозок в интересах Красной Армии (5016).</w:t>
      </w:r>
    </w:p>
    <w:p w14:paraId="0B9FA3EA"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60109E"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середине 1943 г. на фронте насчитывалось 36 истребителей И-153. Именно в этот период в частях действующей армии появилась изданная Наркоматом Обороны брошюра "Тактика истребительной авиации". В отношении И-153 эта "Тактика" была во многом запоздалой, но, принимая во внимание, что разработана она была на основе опыта 1941-42 гг. и во многие полки была фрагментарно доведена в виде многочисленных циркуляров, некоторые ее положения весьма интересны. Тем более, что пилота И-153 призывали не к обороне, а к активной воздушной схватке(!): "Отличная маневренность "Чайки" делает ее неуязвимой для неповоротливого Bf 109, если только летчик "Чайки" хорошо осматривается кругом. И-153 всегда может вывернуться из-под атаки и встретить противника огнем в лоб. При этом часто получается, что И-153 может вести огонь по Bf 109, а тот довернуть до "Чайки" не успевает". Инструкцией предписывалось применение истребителей И-153 на самом нижнем ярусе возможных боевых столкновений, на высотах 500-1000 метров, в боевым порядке, получившем название "пчелиный рой". Соблюдение подобных условий, однако, возможно было лишь при наличии нескольких пар своих истребителей, в жизни подобное встречалось крайне редко (12014).</w:t>
      </w:r>
    </w:p>
    <w:p w14:paraId="2E6A3140"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F03267" w14:textId="77777777" w:rsidR="00226B6F" w:rsidRPr="00D03F3E" w:rsidRDefault="00226B6F"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За рубежом:</w:t>
      </w:r>
    </w:p>
    <w:p w14:paraId="2BCA5E34" w14:textId="77777777" w:rsidR="00226B6F" w:rsidRPr="00D03F3E" w:rsidRDefault="00226B6F"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8CC0FE" w14:textId="77777777" w:rsidR="00226B6F" w:rsidRPr="00D03F3E" w:rsidRDefault="00226B6F" w:rsidP="00D03F3E">
      <w:pPr>
        <w:pStyle w:val="102"/>
        <w:shd w:val="clear" w:color="auto" w:fill="auto"/>
        <w:spacing w:after="0" w:line="240" w:lineRule="auto"/>
        <w:jc w:val="both"/>
        <w:rPr>
          <w:rFonts w:ascii="Times New Roman" w:hAnsi="Times New Roman" w:cs="Times New Roman"/>
          <w:color w:val="000000" w:themeColor="text1"/>
          <w:spacing w:val="0"/>
          <w:sz w:val="16"/>
          <w:szCs w:val="16"/>
        </w:rPr>
      </w:pPr>
      <w:r w:rsidRPr="00D03F3E">
        <w:rPr>
          <w:rFonts w:ascii="Times New Roman" w:hAnsi="Times New Roman" w:cs="Times New Roman"/>
          <w:color w:val="000000" w:themeColor="text1"/>
          <w:spacing w:val="0"/>
          <w:sz w:val="16"/>
          <w:szCs w:val="16"/>
        </w:rPr>
        <w:lastRenderedPageBreak/>
        <w:t>В середине 1943 года американцы начали готовить операцию «</w:t>
      </w:r>
      <w:r w:rsidRPr="00D03F3E">
        <w:rPr>
          <w:rFonts w:ascii="Times New Roman" w:hAnsi="Times New Roman" w:cs="Times New Roman"/>
          <w:color w:val="000000" w:themeColor="text1"/>
          <w:spacing w:val="0"/>
          <w:sz w:val="16"/>
          <w:szCs w:val="16"/>
          <w:lang w:val="en-US"/>
        </w:rPr>
        <w:t>Tidal</w:t>
      </w:r>
      <w:r w:rsidRPr="00D03F3E">
        <w:rPr>
          <w:rFonts w:ascii="Times New Roman" w:hAnsi="Times New Roman" w:cs="Times New Roman"/>
          <w:color w:val="000000" w:themeColor="text1"/>
          <w:spacing w:val="0"/>
          <w:sz w:val="16"/>
          <w:szCs w:val="16"/>
        </w:rPr>
        <w:t xml:space="preserve"> </w:t>
      </w:r>
      <w:r w:rsidRPr="00D03F3E">
        <w:rPr>
          <w:rFonts w:ascii="Times New Roman" w:hAnsi="Times New Roman" w:cs="Times New Roman"/>
          <w:color w:val="000000" w:themeColor="text1"/>
          <w:spacing w:val="0"/>
          <w:sz w:val="16"/>
          <w:szCs w:val="16"/>
          <w:lang w:val="en-US"/>
        </w:rPr>
        <w:t>Wave</w:t>
      </w:r>
      <w:r w:rsidRPr="00D03F3E">
        <w:rPr>
          <w:rFonts w:ascii="Times New Roman" w:hAnsi="Times New Roman" w:cs="Times New Roman"/>
          <w:color w:val="000000" w:themeColor="text1"/>
          <w:spacing w:val="0"/>
          <w:sz w:val="16"/>
          <w:szCs w:val="16"/>
        </w:rPr>
        <w:t>» (Приливная волна), направленную на уничтожение румынских нефтеперерабатывающих заводов. В ударе должны были быть задействованы тяжелые бомбардировщики, базирующиеся в Северной Африке (19080).</w:t>
      </w:r>
    </w:p>
    <w:p w14:paraId="6BD48A6A" w14:textId="77777777" w:rsidR="00226B6F" w:rsidRPr="00D03F3E" w:rsidRDefault="00226B6F" w:rsidP="00D03F3E">
      <w:pPr>
        <w:pStyle w:val="102"/>
        <w:shd w:val="clear" w:color="auto" w:fill="auto"/>
        <w:spacing w:after="0" w:line="240" w:lineRule="auto"/>
        <w:jc w:val="both"/>
        <w:rPr>
          <w:rFonts w:ascii="Times New Roman" w:hAnsi="Times New Roman" w:cs="Times New Roman"/>
          <w:color w:val="000000" w:themeColor="text1"/>
          <w:spacing w:val="0"/>
          <w:sz w:val="16"/>
          <w:szCs w:val="16"/>
        </w:rPr>
      </w:pPr>
    </w:p>
    <w:p w14:paraId="4B039F7B" w14:textId="77777777" w:rsidR="007A27D4" w:rsidRPr="00D03F3E" w:rsidRDefault="007A27D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lang w:eastAsia="ru-RU" w:bidi="ru-RU"/>
        </w:rPr>
        <w:t>В середине 1943 года числен</w:t>
      </w:r>
      <w:r w:rsidRPr="00D03F3E">
        <w:rPr>
          <w:rFonts w:ascii="Times New Roman" w:hAnsi="Times New Roman"/>
          <w:color w:val="0070C0"/>
          <w:sz w:val="16"/>
          <w:szCs w:val="16"/>
          <w:lang w:eastAsia="ru-RU" w:bidi="ru-RU"/>
        </w:rPr>
        <w:softHyphen/>
        <w:t>ность японских авианесущих подводных крейсеров в составе флота, когда в строю находилось 23 лодки. Однако быстрое усиление авиации и воен</w:t>
      </w:r>
      <w:r w:rsidRPr="00D03F3E">
        <w:rPr>
          <w:rFonts w:ascii="Times New Roman" w:hAnsi="Times New Roman"/>
          <w:color w:val="0070C0"/>
          <w:sz w:val="16"/>
          <w:szCs w:val="16"/>
          <w:lang w:eastAsia="ru-RU" w:bidi="ru-RU"/>
        </w:rPr>
        <w:softHyphen/>
        <w:t>но-морского флота США, и развитие противолодочной и противовоздуш</w:t>
      </w:r>
      <w:r w:rsidRPr="00D03F3E">
        <w:rPr>
          <w:rFonts w:ascii="Times New Roman" w:hAnsi="Times New Roman"/>
          <w:color w:val="0070C0"/>
          <w:sz w:val="16"/>
          <w:szCs w:val="16"/>
          <w:lang w:eastAsia="ru-RU" w:bidi="ru-RU"/>
        </w:rPr>
        <w:softHyphen/>
        <w:t>ной обороны, в которой к тому же все шире использовались радиолокаторы, сделало использование подлодками их бортовых самолетов весьма опасным предприятием. Ведь для запуска са</w:t>
      </w:r>
      <w:r w:rsidRPr="00D03F3E">
        <w:rPr>
          <w:rFonts w:ascii="Times New Roman" w:hAnsi="Times New Roman"/>
          <w:color w:val="0070C0"/>
          <w:sz w:val="16"/>
          <w:szCs w:val="16"/>
          <w:lang w:eastAsia="ru-RU" w:bidi="ru-RU"/>
        </w:rPr>
        <w:softHyphen/>
        <w:t>молета им приходилось проводить на поверхности моря довольно длитель</w:t>
      </w:r>
      <w:r w:rsidRPr="00D03F3E">
        <w:rPr>
          <w:rFonts w:ascii="Times New Roman" w:hAnsi="Times New Roman"/>
          <w:color w:val="0070C0"/>
          <w:sz w:val="16"/>
          <w:szCs w:val="16"/>
          <w:lang w:eastAsia="ru-RU" w:bidi="ru-RU"/>
        </w:rPr>
        <w:softHyphen/>
        <w:t>ное время. К тому же для новых лодок не хватало уже и подготовленных пи</w:t>
      </w:r>
      <w:r w:rsidRPr="00D03F3E">
        <w:rPr>
          <w:rFonts w:ascii="Times New Roman" w:hAnsi="Times New Roman"/>
          <w:color w:val="0070C0"/>
          <w:sz w:val="16"/>
          <w:szCs w:val="16"/>
          <w:lang w:eastAsia="ru-RU" w:bidi="ru-RU"/>
        </w:rPr>
        <w:softHyphen/>
        <w:t>лотов. Учитывая эти обстоятельства, бортовой гидросамолет-разведчик постепенно утрачивал свое значение, и с конца 1943 японские подводники практически не использовали свои бортовые самолеты в Тихом океане (22807).</w:t>
      </w:r>
    </w:p>
    <w:p w14:paraId="650A1AA8" w14:textId="77777777" w:rsidR="007A27D4" w:rsidRPr="00D03F3E" w:rsidRDefault="007A27D4" w:rsidP="00D03F3E">
      <w:pPr>
        <w:spacing w:after="0" w:line="240" w:lineRule="auto"/>
        <w:jc w:val="both"/>
        <w:rPr>
          <w:rFonts w:ascii="Times New Roman" w:hAnsi="Times New Roman"/>
          <w:color w:val="0070C0"/>
          <w:sz w:val="16"/>
          <w:szCs w:val="16"/>
        </w:rPr>
      </w:pPr>
    </w:p>
    <w:p w14:paraId="4FAD8B3A" w14:textId="77777777" w:rsidR="007A27D4" w:rsidRPr="00D03F3E" w:rsidRDefault="007A27D4" w:rsidP="00D03F3E">
      <w:pPr>
        <w:spacing w:after="0" w:line="240" w:lineRule="auto"/>
        <w:jc w:val="both"/>
        <w:rPr>
          <w:rFonts w:ascii="Times New Roman" w:hAnsi="Times New Roman"/>
          <w:color w:val="0070C0"/>
          <w:sz w:val="16"/>
          <w:szCs w:val="16"/>
        </w:rPr>
      </w:pPr>
      <w:r w:rsidRPr="00D03F3E">
        <w:rPr>
          <w:rFonts w:ascii="Times New Roman" w:hAnsi="Times New Roman"/>
          <w:color w:val="0070C0"/>
          <w:sz w:val="16"/>
          <w:szCs w:val="16"/>
        </w:rPr>
        <w:t>В середине 1943 появилась модификация FW 200C-5, которая получила противообледенители, обогрев кабин и усиленное оборонительное вооружение, но ударные возможности остались на прежнем уровне (22969).</w:t>
      </w:r>
    </w:p>
    <w:p w14:paraId="4FC31500" w14:textId="77777777" w:rsidR="007A27D4" w:rsidRPr="00D03F3E" w:rsidRDefault="007A27D4" w:rsidP="00D03F3E">
      <w:pPr>
        <w:spacing w:after="0" w:line="240" w:lineRule="auto"/>
        <w:jc w:val="both"/>
        <w:rPr>
          <w:rFonts w:ascii="Times New Roman" w:hAnsi="Times New Roman"/>
          <w:color w:val="0070C0"/>
          <w:sz w:val="16"/>
          <w:szCs w:val="16"/>
        </w:rPr>
      </w:pPr>
    </w:p>
    <w:p w14:paraId="53CF02E9" w14:textId="77777777" w:rsidR="00A05C6C"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Авиапромышленность:</w:t>
      </w:r>
    </w:p>
    <w:p w14:paraId="47AF8EF8" w14:textId="77777777" w:rsidR="00A05C6C" w:rsidRPr="00D03F3E" w:rsidRDefault="00A05C6C"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0C9045" w14:textId="77777777" w:rsidR="00A05C6C" w:rsidRPr="00D03F3E" w:rsidRDefault="00A05C6C" w:rsidP="00D03F3E">
      <w:pPr>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К первой половине 1943 года можно отнести решение о принятии ракетных зарядов для ракетных частей снарядов М-13 из шнекованного пороха НМ-4Ш на серийное производство (15981).</w:t>
      </w:r>
    </w:p>
    <w:p w14:paraId="3E07682E" w14:textId="77777777" w:rsidR="00A05C6C" w:rsidRPr="00D03F3E" w:rsidRDefault="00A05C6C" w:rsidP="00D03F3E">
      <w:pPr>
        <w:spacing w:after="0" w:line="240" w:lineRule="auto"/>
        <w:jc w:val="both"/>
        <w:rPr>
          <w:rFonts w:ascii="Times New Roman" w:hAnsi="Times New Roman"/>
          <w:color w:val="000000" w:themeColor="text1"/>
          <w:sz w:val="16"/>
          <w:szCs w:val="16"/>
        </w:rPr>
      </w:pPr>
    </w:p>
    <w:p w14:paraId="3D3480A2" w14:textId="77777777" w:rsidR="003B6CA5" w:rsidRPr="00D03F3E"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D03F3E">
        <w:rPr>
          <w:rFonts w:ascii="Times New Roman" w:hAnsi="Times New Roman"/>
          <w:i/>
          <w:iCs/>
          <w:color w:val="000000" w:themeColor="text1"/>
          <w:sz w:val="16"/>
          <w:szCs w:val="16"/>
        </w:rPr>
        <w:t>Армия:</w:t>
      </w:r>
    </w:p>
    <w:p w14:paraId="22378B1D"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E09D3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первой половине 1943 общевойсковая армия вместо авиаполка легких самолетов для воздушной разведки и связи получила эскадрилью связи из 12 По-2 (2606,35).</w:t>
      </w:r>
    </w:p>
    <w:p w14:paraId="0EFC4457"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D66CA8"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D03F3E">
        <w:rPr>
          <w:rFonts w:ascii="Times New Roman" w:hAnsi="Times New Roman"/>
          <w:color w:val="000000" w:themeColor="text1"/>
          <w:sz w:val="16"/>
          <w:szCs w:val="16"/>
        </w:rPr>
        <w:t>В первую половину 1943, как и в наступательных операциях 1941-1942 гг удельный вес самолето-вылетов, затраченных на прикрытие войск и объектов, составлял от 45% до 52%, а в 1944-45, когда активность вражеской авиации снизилась - от 15% до 33%. Основной способ прикрытия войск - перехват из положения дежурство на аэродроме по данным системы ВНОС (в т.ч. из засад по зрячему для перехвата разведчиков) при отсутствии интенсивных действий и патрулирование в зонах в ходе боев + свободная охота (518,128).</w:t>
      </w:r>
    </w:p>
    <w:p w14:paraId="03136BEF" w14:textId="77777777" w:rsidR="003B6CA5" w:rsidRPr="00D03F3E"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sectPr w:rsidR="003B6CA5" w:rsidRPr="00D03F3E" w:rsidSect="004C0FF4">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7E3EFB" w14:textId="77777777" w:rsidR="001C4165" w:rsidRDefault="001C4165" w:rsidP="007C1664">
      <w:pPr>
        <w:spacing w:after="0" w:line="240" w:lineRule="auto"/>
      </w:pPr>
      <w:r>
        <w:separator/>
      </w:r>
    </w:p>
  </w:endnote>
  <w:endnote w:type="continuationSeparator" w:id="0">
    <w:p w14:paraId="5B9DD913" w14:textId="77777777" w:rsidR="001C4165" w:rsidRDefault="001C4165" w:rsidP="007C16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CC"/>
    <w:family w:val="swiss"/>
    <w:pitch w:val="variable"/>
    <w:sig w:usb0="00000287" w:usb1="000008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Gungsuh">
    <w:charset w:val="81"/>
    <w:family w:val="roman"/>
    <w:pitch w:val="variable"/>
    <w:sig w:usb0="B00002AF" w:usb1="69D77CFB" w:usb2="00000030" w:usb3="00000000" w:csb0="0008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Century Gothic">
    <w:panose1 w:val="020B0502020202020204"/>
    <w:charset w:val="CC"/>
    <w:family w:val="swiss"/>
    <w:pitch w:val="variable"/>
    <w:sig w:usb0="000002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CordiaUPC">
    <w:charset w:val="DE"/>
    <w:family w:val="swiss"/>
    <w:pitch w:val="variable"/>
    <w:sig w:usb0="81000003" w:usb1="00000000" w:usb2="00000000" w:usb3="00000000" w:csb0="00010001"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Book Antiqua">
    <w:panose1 w:val="02040602050305030304"/>
    <w:charset w:val="CC"/>
    <w:family w:val="roman"/>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TimesNewRoman">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3C035D" w14:textId="77777777" w:rsidR="001C4165" w:rsidRDefault="001C4165" w:rsidP="007C1664">
      <w:pPr>
        <w:spacing w:after="0" w:line="240" w:lineRule="auto"/>
      </w:pPr>
      <w:r>
        <w:separator/>
      </w:r>
    </w:p>
  </w:footnote>
  <w:footnote w:type="continuationSeparator" w:id="0">
    <w:p w14:paraId="44F83D46" w14:textId="77777777" w:rsidR="001C4165" w:rsidRDefault="001C4165" w:rsidP="007C16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9"/>
    <w:multiLevelType w:val="multilevel"/>
    <w:tmpl w:val="00000008"/>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18"/>
        <w:szCs w:val="18"/>
        <w:u w:val="none"/>
      </w:rPr>
    </w:lvl>
    <w:lvl w:ilvl="1">
      <w:start w:val="1"/>
      <w:numFmt w:val="bullet"/>
      <w:lvlText w:val="-"/>
      <w:lvlJc w:val="left"/>
      <w:rPr>
        <w:rFonts w:ascii="Arial Narrow" w:hAnsi="Arial Narrow" w:cs="Arial Narrow"/>
        <w:b w:val="0"/>
        <w:bCs w:val="0"/>
        <w:i w:val="0"/>
        <w:iCs w:val="0"/>
        <w:smallCaps w:val="0"/>
        <w:strike w:val="0"/>
        <w:color w:val="000000"/>
        <w:spacing w:val="0"/>
        <w:w w:val="100"/>
        <w:position w:val="0"/>
        <w:sz w:val="18"/>
        <w:szCs w:val="18"/>
        <w:u w:val="none"/>
      </w:rPr>
    </w:lvl>
    <w:lvl w:ilvl="2">
      <w:start w:val="1"/>
      <w:numFmt w:val="bullet"/>
      <w:lvlText w:val="-"/>
      <w:lvlJc w:val="left"/>
      <w:rPr>
        <w:rFonts w:ascii="Arial Narrow" w:hAnsi="Arial Narrow" w:cs="Arial Narrow"/>
        <w:b w:val="0"/>
        <w:bCs w:val="0"/>
        <w:i w:val="0"/>
        <w:iCs w:val="0"/>
        <w:smallCaps w:val="0"/>
        <w:strike w:val="0"/>
        <w:color w:val="000000"/>
        <w:spacing w:val="0"/>
        <w:w w:val="100"/>
        <w:position w:val="0"/>
        <w:sz w:val="18"/>
        <w:szCs w:val="18"/>
        <w:u w:val="none"/>
      </w:rPr>
    </w:lvl>
    <w:lvl w:ilvl="3">
      <w:start w:val="1"/>
      <w:numFmt w:val="bullet"/>
      <w:lvlText w:val="-"/>
      <w:lvlJc w:val="left"/>
      <w:rPr>
        <w:rFonts w:ascii="Arial Narrow" w:hAnsi="Arial Narrow" w:cs="Arial Narrow"/>
        <w:b w:val="0"/>
        <w:bCs w:val="0"/>
        <w:i w:val="0"/>
        <w:iCs w:val="0"/>
        <w:smallCaps w:val="0"/>
        <w:strike w:val="0"/>
        <w:color w:val="000000"/>
        <w:spacing w:val="0"/>
        <w:w w:val="100"/>
        <w:position w:val="0"/>
        <w:sz w:val="18"/>
        <w:szCs w:val="18"/>
        <w:u w:val="none"/>
      </w:rPr>
    </w:lvl>
    <w:lvl w:ilvl="4">
      <w:start w:val="1"/>
      <w:numFmt w:val="bullet"/>
      <w:lvlText w:val="-"/>
      <w:lvlJc w:val="left"/>
      <w:rPr>
        <w:rFonts w:ascii="Arial Narrow" w:hAnsi="Arial Narrow" w:cs="Arial Narrow"/>
        <w:b w:val="0"/>
        <w:bCs w:val="0"/>
        <w:i w:val="0"/>
        <w:iCs w:val="0"/>
        <w:smallCaps w:val="0"/>
        <w:strike w:val="0"/>
        <w:color w:val="000000"/>
        <w:spacing w:val="0"/>
        <w:w w:val="100"/>
        <w:position w:val="0"/>
        <w:sz w:val="18"/>
        <w:szCs w:val="18"/>
        <w:u w:val="none"/>
      </w:rPr>
    </w:lvl>
    <w:lvl w:ilvl="5">
      <w:start w:val="1"/>
      <w:numFmt w:val="bullet"/>
      <w:lvlText w:val="-"/>
      <w:lvlJc w:val="left"/>
      <w:rPr>
        <w:rFonts w:ascii="Arial Narrow" w:hAnsi="Arial Narrow" w:cs="Arial Narrow"/>
        <w:b w:val="0"/>
        <w:bCs w:val="0"/>
        <w:i w:val="0"/>
        <w:iCs w:val="0"/>
        <w:smallCaps w:val="0"/>
        <w:strike w:val="0"/>
        <w:color w:val="000000"/>
        <w:spacing w:val="0"/>
        <w:w w:val="100"/>
        <w:position w:val="0"/>
        <w:sz w:val="18"/>
        <w:szCs w:val="18"/>
        <w:u w:val="none"/>
      </w:rPr>
    </w:lvl>
    <w:lvl w:ilvl="6">
      <w:start w:val="1"/>
      <w:numFmt w:val="bullet"/>
      <w:lvlText w:val="-"/>
      <w:lvlJc w:val="left"/>
      <w:rPr>
        <w:rFonts w:ascii="Arial Narrow" w:hAnsi="Arial Narrow" w:cs="Arial Narrow"/>
        <w:b w:val="0"/>
        <w:bCs w:val="0"/>
        <w:i w:val="0"/>
        <w:iCs w:val="0"/>
        <w:smallCaps w:val="0"/>
        <w:strike w:val="0"/>
        <w:color w:val="000000"/>
        <w:spacing w:val="0"/>
        <w:w w:val="100"/>
        <w:position w:val="0"/>
        <w:sz w:val="18"/>
        <w:szCs w:val="18"/>
        <w:u w:val="none"/>
      </w:rPr>
    </w:lvl>
    <w:lvl w:ilvl="7">
      <w:start w:val="1"/>
      <w:numFmt w:val="bullet"/>
      <w:lvlText w:val="-"/>
      <w:lvlJc w:val="left"/>
      <w:rPr>
        <w:rFonts w:ascii="Arial Narrow" w:hAnsi="Arial Narrow" w:cs="Arial Narrow"/>
        <w:b w:val="0"/>
        <w:bCs w:val="0"/>
        <w:i w:val="0"/>
        <w:iCs w:val="0"/>
        <w:smallCaps w:val="0"/>
        <w:strike w:val="0"/>
        <w:color w:val="000000"/>
        <w:spacing w:val="0"/>
        <w:w w:val="100"/>
        <w:position w:val="0"/>
        <w:sz w:val="18"/>
        <w:szCs w:val="18"/>
        <w:u w:val="none"/>
      </w:rPr>
    </w:lvl>
    <w:lvl w:ilvl="8">
      <w:start w:val="1"/>
      <w:numFmt w:val="bullet"/>
      <w:lvlText w:val="-"/>
      <w:lvlJc w:val="left"/>
      <w:rPr>
        <w:rFonts w:ascii="Arial Narrow" w:hAnsi="Arial Narrow" w:cs="Arial Narrow"/>
        <w:b w:val="0"/>
        <w:bCs w:val="0"/>
        <w:i w:val="0"/>
        <w:iCs w:val="0"/>
        <w:smallCaps w:val="0"/>
        <w:strike w:val="0"/>
        <w:color w:val="000000"/>
        <w:spacing w:val="0"/>
        <w:w w:val="100"/>
        <w:position w:val="0"/>
        <w:sz w:val="18"/>
        <w:szCs w:val="18"/>
        <w:u w:val="none"/>
      </w:rPr>
    </w:lvl>
  </w:abstractNum>
  <w:abstractNum w:abstractNumId="1" w15:restartNumberingAfterBreak="0">
    <w:nsid w:val="01E97E10"/>
    <w:multiLevelType w:val="multilevel"/>
    <w:tmpl w:val="06207C8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37672D91"/>
    <w:multiLevelType w:val="singleLevel"/>
    <w:tmpl w:val="64103DC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 w15:restartNumberingAfterBreak="0">
    <w:nsid w:val="3CBC2E64"/>
    <w:multiLevelType w:val="multilevel"/>
    <w:tmpl w:val="FA32180C"/>
    <w:lvl w:ilvl="0">
      <w:start w:val="8"/>
      <w:numFmt w:val="decimal"/>
      <w:lvlText w:val="%1."/>
      <w:lvlJc w:val="left"/>
      <w:rPr>
        <w:rFonts w:ascii="Century Schoolbook" w:eastAsia="Century Schoolbook" w:hAnsi="Century Schoolbook" w:cs="Century Schoolbook"/>
        <w:b w:val="0"/>
        <w:bCs w:val="0"/>
        <w:i w:val="0"/>
        <w:iCs w:val="0"/>
        <w:smallCaps w:val="0"/>
        <w:strike w:val="0"/>
        <w:color w:val="000000"/>
        <w:spacing w:val="10"/>
        <w:w w:val="100"/>
        <w:position w:val="0"/>
        <w:sz w:val="17"/>
        <w:szCs w:val="17"/>
        <w:u w:val="none"/>
      </w:rPr>
    </w:lvl>
    <w:lvl w:ilvl="1">
      <w:start w:val="13"/>
      <w:numFmt w:val="decimal"/>
      <w:lvlText w:val="%2."/>
      <w:lvlJc w:val="left"/>
      <w:rPr>
        <w:rFonts w:ascii="Century Schoolbook" w:eastAsia="Century Schoolbook" w:hAnsi="Century Schoolbook" w:cs="Century Schoolbook"/>
        <w:b w:val="0"/>
        <w:bCs w:val="0"/>
        <w:i w:val="0"/>
        <w:iCs w:val="0"/>
        <w:smallCaps w:val="0"/>
        <w:strike w:val="0"/>
        <w:color w:val="000000"/>
        <w:spacing w:val="10"/>
        <w:w w:val="100"/>
        <w:position w:val="0"/>
        <w:sz w:val="17"/>
        <w:szCs w:val="17"/>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3ECC54EA"/>
    <w:multiLevelType w:val="multilevel"/>
    <w:tmpl w:val="AA04E7D8"/>
    <w:lvl w:ilvl="0">
      <w:start w:val="1"/>
      <w:numFmt w:val="bullet"/>
      <w:lvlText w:val="-"/>
      <w:lvlJc w:val="left"/>
      <w:rPr>
        <w:rFonts w:ascii="Gungsuh" w:eastAsia="Gungsuh" w:hAnsi="Gungsuh" w:cs="Gungsuh"/>
        <w:b w:val="0"/>
        <w:bCs w:val="0"/>
        <w:i w:val="0"/>
        <w:iCs w:val="0"/>
        <w:smallCaps w:val="0"/>
        <w:strike w:val="0"/>
        <w:color w:val="000000"/>
        <w:spacing w:val="0"/>
        <w:w w:val="100"/>
        <w:position w:val="0"/>
        <w:sz w:val="16"/>
        <w:szCs w:val="16"/>
        <w:u w:val="none"/>
      </w:rPr>
    </w:lvl>
    <w:lvl w:ilvl="1">
      <w:start w:val="2"/>
      <w:numFmt w:val="decimal"/>
      <w:lvlText w:val="%2,"/>
      <w:lvlJc w:val="left"/>
      <w:rPr>
        <w:rFonts w:ascii="Gungsuh" w:eastAsia="Gungsuh" w:hAnsi="Gungsuh" w:cs="Gungsuh"/>
        <w:b w:val="0"/>
        <w:bCs w:val="0"/>
        <w:i w:val="0"/>
        <w:iCs w:val="0"/>
        <w:smallCaps w:val="0"/>
        <w:strike w:val="0"/>
        <w:color w:val="000000"/>
        <w:spacing w:val="0"/>
        <w:w w:val="100"/>
        <w:position w:val="0"/>
        <w:sz w:val="16"/>
        <w:szCs w:val="16"/>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43751D10"/>
    <w:multiLevelType w:val="multilevel"/>
    <w:tmpl w:val="555885E8"/>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E995623"/>
    <w:multiLevelType w:val="multilevel"/>
    <w:tmpl w:val="804A01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63C55766"/>
    <w:multiLevelType w:val="singleLevel"/>
    <w:tmpl w:val="64103DC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 w15:restartNumberingAfterBreak="0">
    <w:nsid w:val="6F8C0EC5"/>
    <w:multiLevelType w:val="singleLevel"/>
    <w:tmpl w:val="64103DC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 w15:restartNumberingAfterBreak="0">
    <w:nsid w:val="7B111AEB"/>
    <w:multiLevelType w:val="multilevel"/>
    <w:tmpl w:val="9E06E2DC"/>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17"/>
        <w:szCs w:val="1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7B861268"/>
    <w:multiLevelType w:val="singleLevel"/>
    <w:tmpl w:val="64103DCA"/>
    <w:lvl w:ilvl="0">
      <w:start w:val="1"/>
      <w:numFmt w:val="decimal"/>
      <w:lvlText w:val="%1."/>
      <w:legacy w:legacy="1" w:legacySpace="0" w:legacyIndent="360"/>
      <w:lvlJc w:val="left"/>
      <w:pPr>
        <w:ind w:left="360" w:hanging="360"/>
      </w:pPr>
      <w:rPr>
        <w:rFonts w:ascii="Times New Roman" w:hAnsi="Times New Roman" w:cs="Times New Roman" w:hint="default"/>
      </w:rPr>
    </w:lvl>
  </w:abstractNum>
  <w:num w:numId="1">
    <w:abstractNumId w:val="8"/>
  </w:num>
  <w:num w:numId="2">
    <w:abstractNumId w:val="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
    <w:abstractNumId w:val="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
    <w:abstractNumId w:val="2"/>
  </w:num>
  <w:num w:numId="5">
    <w:abstractNumId w:val="7"/>
  </w:num>
  <w:num w:numId="6">
    <w:abstractNumId w:val="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
    <w:abstractNumId w:val="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8">
    <w:abstractNumId w:val="10"/>
  </w:num>
  <w:num w:numId="9">
    <w:abstractNumId w:val="6"/>
  </w:num>
  <w:num w:numId="10">
    <w:abstractNumId w:val="9"/>
  </w:num>
  <w:num w:numId="11">
    <w:abstractNumId w:val="1"/>
  </w:num>
  <w:num w:numId="12">
    <w:abstractNumId w:val="0"/>
  </w:num>
  <w:num w:numId="13">
    <w:abstractNumId w:val="4"/>
  </w:num>
  <w:num w:numId="14">
    <w:abstractNumId w:val="3"/>
  </w:num>
  <w:num w:numId="15">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hideGrammatical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DE4"/>
    <w:rsid w:val="0000301D"/>
    <w:rsid w:val="00003434"/>
    <w:rsid w:val="000048F9"/>
    <w:rsid w:val="0001145E"/>
    <w:rsid w:val="000116FD"/>
    <w:rsid w:val="00015826"/>
    <w:rsid w:val="0001609F"/>
    <w:rsid w:val="00017546"/>
    <w:rsid w:val="00021976"/>
    <w:rsid w:val="0002327B"/>
    <w:rsid w:val="00027215"/>
    <w:rsid w:val="0004098B"/>
    <w:rsid w:val="00040B55"/>
    <w:rsid w:val="00040D2F"/>
    <w:rsid w:val="00041C3A"/>
    <w:rsid w:val="00041D00"/>
    <w:rsid w:val="000449CB"/>
    <w:rsid w:val="00053C2F"/>
    <w:rsid w:val="0005558F"/>
    <w:rsid w:val="00057C15"/>
    <w:rsid w:val="00065021"/>
    <w:rsid w:val="000701C9"/>
    <w:rsid w:val="0008034E"/>
    <w:rsid w:val="00080912"/>
    <w:rsid w:val="000846F5"/>
    <w:rsid w:val="00084DF1"/>
    <w:rsid w:val="0009485E"/>
    <w:rsid w:val="00094AE4"/>
    <w:rsid w:val="00096973"/>
    <w:rsid w:val="0009698D"/>
    <w:rsid w:val="00097269"/>
    <w:rsid w:val="000A76A3"/>
    <w:rsid w:val="000A78BA"/>
    <w:rsid w:val="000B0509"/>
    <w:rsid w:val="000B21EB"/>
    <w:rsid w:val="000B4AB2"/>
    <w:rsid w:val="000B4F11"/>
    <w:rsid w:val="000C0986"/>
    <w:rsid w:val="000C0A4A"/>
    <w:rsid w:val="000C6CCD"/>
    <w:rsid w:val="000D1833"/>
    <w:rsid w:val="000D299E"/>
    <w:rsid w:val="000D6961"/>
    <w:rsid w:val="000E0662"/>
    <w:rsid w:val="000E2987"/>
    <w:rsid w:val="000F30A8"/>
    <w:rsid w:val="000F3F4A"/>
    <w:rsid w:val="000F5E9F"/>
    <w:rsid w:val="0011011F"/>
    <w:rsid w:val="00113436"/>
    <w:rsid w:val="00113D98"/>
    <w:rsid w:val="00113EE2"/>
    <w:rsid w:val="00121858"/>
    <w:rsid w:val="001219F3"/>
    <w:rsid w:val="00123FBA"/>
    <w:rsid w:val="00124A4E"/>
    <w:rsid w:val="0012603D"/>
    <w:rsid w:val="001266A9"/>
    <w:rsid w:val="0013621D"/>
    <w:rsid w:val="0014435F"/>
    <w:rsid w:val="00145AC0"/>
    <w:rsid w:val="00145AFC"/>
    <w:rsid w:val="00150B7E"/>
    <w:rsid w:val="0015386A"/>
    <w:rsid w:val="00157BCE"/>
    <w:rsid w:val="00163EF1"/>
    <w:rsid w:val="00166A21"/>
    <w:rsid w:val="00170B5B"/>
    <w:rsid w:val="00172CEA"/>
    <w:rsid w:val="00175890"/>
    <w:rsid w:val="00175C2A"/>
    <w:rsid w:val="00175E65"/>
    <w:rsid w:val="00180E22"/>
    <w:rsid w:val="00184721"/>
    <w:rsid w:val="0018582B"/>
    <w:rsid w:val="0019152A"/>
    <w:rsid w:val="001918D7"/>
    <w:rsid w:val="00196377"/>
    <w:rsid w:val="001966EB"/>
    <w:rsid w:val="001A585A"/>
    <w:rsid w:val="001B177D"/>
    <w:rsid w:val="001C3EED"/>
    <w:rsid w:val="001C4165"/>
    <w:rsid w:val="001D5595"/>
    <w:rsid w:val="001E3FAF"/>
    <w:rsid w:val="001E7A6D"/>
    <w:rsid w:val="001F7164"/>
    <w:rsid w:val="001F7908"/>
    <w:rsid w:val="001F7B35"/>
    <w:rsid w:val="00201174"/>
    <w:rsid w:val="002036A8"/>
    <w:rsid w:val="00213252"/>
    <w:rsid w:val="002220FF"/>
    <w:rsid w:val="0022218B"/>
    <w:rsid w:val="002222D8"/>
    <w:rsid w:val="0022293D"/>
    <w:rsid w:val="00225569"/>
    <w:rsid w:val="00226B6F"/>
    <w:rsid w:val="00227A2A"/>
    <w:rsid w:val="00232BB6"/>
    <w:rsid w:val="00234371"/>
    <w:rsid w:val="00237152"/>
    <w:rsid w:val="00237B30"/>
    <w:rsid w:val="0024060D"/>
    <w:rsid w:val="002449BF"/>
    <w:rsid w:val="002527AE"/>
    <w:rsid w:val="002671E4"/>
    <w:rsid w:val="00267D1F"/>
    <w:rsid w:val="00273605"/>
    <w:rsid w:val="00275149"/>
    <w:rsid w:val="00276BAD"/>
    <w:rsid w:val="00282096"/>
    <w:rsid w:val="002840C8"/>
    <w:rsid w:val="00287531"/>
    <w:rsid w:val="00290744"/>
    <w:rsid w:val="00292C7B"/>
    <w:rsid w:val="002A10B9"/>
    <w:rsid w:val="002A2DB1"/>
    <w:rsid w:val="002A4A6D"/>
    <w:rsid w:val="002B1187"/>
    <w:rsid w:val="002B21DE"/>
    <w:rsid w:val="002B37B7"/>
    <w:rsid w:val="002B5236"/>
    <w:rsid w:val="002B532A"/>
    <w:rsid w:val="002C61C7"/>
    <w:rsid w:val="002C70B6"/>
    <w:rsid w:val="002D7642"/>
    <w:rsid w:val="002D7A60"/>
    <w:rsid w:val="002E24E6"/>
    <w:rsid w:val="002E357C"/>
    <w:rsid w:val="002E3B38"/>
    <w:rsid w:val="002E6516"/>
    <w:rsid w:val="002F5AD4"/>
    <w:rsid w:val="00301315"/>
    <w:rsid w:val="003017FB"/>
    <w:rsid w:val="00303512"/>
    <w:rsid w:val="00312320"/>
    <w:rsid w:val="00320191"/>
    <w:rsid w:val="003229EE"/>
    <w:rsid w:val="00322E05"/>
    <w:rsid w:val="00327442"/>
    <w:rsid w:val="00331B1B"/>
    <w:rsid w:val="00334572"/>
    <w:rsid w:val="003366DD"/>
    <w:rsid w:val="003454EB"/>
    <w:rsid w:val="003476B5"/>
    <w:rsid w:val="00347FDC"/>
    <w:rsid w:val="00350420"/>
    <w:rsid w:val="0035133C"/>
    <w:rsid w:val="00354EBF"/>
    <w:rsid w:val="003552A9"/>
    <w:rsid w:val="00357519"/>
    <w:rsid w:val="00362D61"/>
    <w:rsid w:val="0036504D"/>
    <w:rsid w:val="00365B5B"/>
    <w:rsid w:val="00371210"/>
    <w:rsid w:val="0037334C"/>
    <w:rsid w:val="003770F2"/>
    <w:rsid w:val="00381A38"/>
    <w:rsid w:val="00382475"/>
    <w:rsid w:val="0039048E"/>
    <w:rsid w:val="00392001"/>
    <w:rsid w:val="00393177"/>
    <w:rsid w:val="00394721"/>
    <w:rsid w:val="00396347"/>
    <w:rsid w:val="003A3024"/>
    <w:rsid w:val="003A3AC0"/>
    <w:rsid w:val="003A3FB4"/>
    <w:rsid w:val="003A63E9"/>
    <w:rsid w:val="003A7C80"/>
    <w:rsid w:val="003B2316"/>
    <w:rsid w:val="003B41F0"/>
    <w:rsid w:val="003B66C2"/>
    <w:rsid w:val="003B6CA5"/>
    <w:rsid w:val="003C730B"/>
    <w:rsid w:val="003C7BC0"/>
    <w:rsid w:val="003D33ED"/>
    <w:rsid w:val="003E0642"/>
    <w:rsid w:val="003E442B"/>
    <w:rsid w:val="003E62C1"/>
    <w:rsid w:val="003F55F7"/>
    <w:rsid w:val="00400EC5"/>
    <w:rsid w:val="0040180F"/>
    <w:rsid w:val="00413CD7"/>
    <w:rsid w:val="00420066"/>
    <w:rsid w:val="00420B57"/>
    <w:rsid w:val="00431667"/>
    <w:rsid w:val="00435CF7"/>
    <w:rsid w:val="00446A93"/>
    <w:rsid w:val="00453864"/>
    <w:rsid w:val="00456B82"/>
    <w:rsid w:val="00462FCF"/>
    <w:rsid w:val="0046798E"/>
    <w:rsid w:val="0047107F"/>
    <w:rsid w:val="00474276"/>
    <w:rsid w:val="00474574"/>
    <w:rsid w:val="0047630E"/>
    <w:rsid w:val="00481C91"/>
    <w:rsid w:val="0048312E"/>
    <w:rsid w:val="004868FE"/>
    <w:rsid w:val="00486A01"/>
    <w:rsid w:val="00487EF3"/>
    <w:rsid w:val="00490449"/>
    <w:rsid w:val="00496B0C"/>
    <w:rsid w:val="00497104"/>
    <w:rsid w:val="004A45BE"/>
    <w:rsid w:val="004A4CDC"/>
    <w:rsid w:val="004A7B9E"/>
    <w:rsid w:val="004B0814"/>
    <w:rsid w:val="004C0FF4"/>
    <w:rsid w:val="004C64B2"/>
    <w:rsid w:val="004E791F"/>
    <w:rsid w:val="004F67B9"/>
    <w:rsid w:val="004F6CFB"/>
    <w:rsid w:val="00505BA1"/>
    <w:rsid w:val="00510105"/>
    <w:rsid w:val="005119C8"/>
    <w:rsid w:val="005119DD"/>
    <w:rsid w:val="00513463"/>
    <w:rsid w:val="00513B54"/>
    <w:rsid w:val="00516F49"/>
    <w:rsid w:val="00522209"/>
    <w:rsid w:val="00522761"/>
    <w:rsid w:val="0052661D"/>
    <w:rsid w:val="00530A1E"/>
    <w:rsid w:val="00531570"/>
    <w:rsid w:val="00533942"/>
    <w:rsid w:val="0053494B"/>
    <w:rsid w:val="00535DA5"/>
    <w:rsid w:val="00543831"/>
    <w:rsid w:val="00550BE2"/>
    <w:rsid w:val="00555B88"/>
    <w:rsid w:val="005664F6"/>
    <w:rsid w:val="00575488"/>
    <w:rsid w:val="00576841"/>
    <w:rsid w:val="0058150B"/>
    <w:rsid w:val="00583391"/>
    <w:rsid w:val="00587ADC"/>
    <w:rsid w:val="00592CF5"/>
    <w:rsid w:val="005A7824"/>
    <w:rsid w:val="005A7999"/>
    <w:rsid w:val="005B19C3"/>
    <w:rsid w:val="005B221F"/>
    <w:rsid w:val="005B485D"/>
    <w:rsid w:val="005C229D"/>
    <w:rsid w:val="005C3848"/>
    <w:rsid w:val="005D0DC0"/>
    <w:rsid w:val="005D125D"/>
    <w:rsid w:val="005D3D2E"/>
    <w:rsid w:val="005D428E"/>
    <w:rsid w:val="005E3F20"/>
    <w:rsid w:val="005F11D0"/>
    <w:rsid w:val="005F1C83"/>
    <w:rsid w:val="005F634D"/>
    <w:rsid w:val="005F7079"/>
    <w:rsid w:val="00601E3D"/>
    <w:rsid w:val="00602EFA"/>
    <w:rsid w:val="00606F47"/>
    <w:rsid w:val="006079B1"/>
    <w:rsid w:val="0061275F"/>
    <w:rsid w:val="00612BAF"/>
    <w:rsid w:val="0061497A"/>
    <w:rsid w:val="0062000C"/>
    <w:rsid w:val="00620080"/>
    <w:rsid w:val="0062502E"/>
    <w:rsid w:val="0062738F"/>
    <w:rsid w:val="00635631"/>
    <w:rsid w:val="006418B6"/>
    <w:rsid w:val="00652CEF"/>
    <w:rsid w:val="00655592"/>
    <w:rsid w:val="0065677C"/>
    <w:rsid w:val="006611DE"/>
    <w:rsid w:val="0066127E"/>
    <w:rsid w:val="0066261B"/>
    <w:rsid w:val="00666F51"/>
    <w:rsid w:val="00676AD3"/>
    <w:rsid w:val="00681F71"/>
    <w:rsid w:val="0068213E"/>
    <w:rsid w:val="00683FE3"/>
    <w:rsid w:val="00685DD5"/>
    <w:rsid w:val="006867CF"/>
    <w:rsid w:val="00691A58"/>
    <w:rsid w:val="006A034F"/>
    <w:rsid w:val="006A21FD"/>
    <w:rsid w:val="006A3561"/>
    <w:rsid w:val="006A3BF7"/>
    <w:rsid w:val="006A4DE0"/>
    <w:rsid w:val="006A5B2A"/>
    <w:rsid w:val="006B0B5F"/>
    <w:rsid w:val="006B155B"/>
    <w:rsid w:val="006B226F"/>
    <w:rsid w:val="006B25EE"/>
    <w:rsid w:val="006B3473"/>
    <w:rsid w:val="006B4BCF"/>
    <w:rsid w:val="006B6B4C"/>
    <w:rsid w:val="006C013F"/>
    <w:rsid w:val="006C5519"/>
    <w:rsid w:val="006C66B5"/>
    <w:rsid w:val="006D2070"/>
    <w:rsid w:val="006D454F"/>
    <w:rsid w:val="006D4911"/>
    <w:rsid w:val="006E0BD4"/>
    <w:rsid w:val="006F0841"/>
    <w:rsid w:val="006F26E0"/>
    <w:rsid w:val="006F4324"/>
    <w:rsid w:val="006F6475"/>
    <w:rsid w:val="00704FC4"/>
    <w:rsid w:val="0070547C"/>
    <w:rsid w:val="007061EB"/>
    <w:rsid w:val="0071306F"/>
    <w:rsid w:val="00715849"/>
    <w:rsid w:val="00720566"/>
    <w:rsid w:val="00733EBA"/>
    <w:rsid w:val="0073416B"/>
    <w:rsid w:val="0074048E"/>
    <w:rsid w:val="007431CC"/>
    <w:rsid w:val="00746A80"/>
    <w:rsid w:val="00747FFA"/>
    <w:rsid w:val="00751AD0"/>
    <w:rsid w:val="0076330E"/>
    <w:rsid w:val="00763451"/>
    <w:rsid w:val="0076660A"/>
    <w:rsid w:val="00767982"/>
    <w:rsid w:val="00767A8D"/>
    <w:rsid w:val="007730EF"/>
    <w:rsid w:val="00774442"/>
    <w:rsid w:val="00775138"/>
    <w:rsid w:val="00776347"/>
    <w:rsid w:val="007921C6"/>
    <w:rsid w:val="007A27D4"/>
    <w:rsid w:val="007B43FC"/>
    <w:rsid w:val="007C12F1"/>
    <w:rsid w:val="007C1664"/>
    <w:rsid w:val="007D28EE"/>
    <w:rsid w:val="007D5A25"/>
    <w:rsid w:val="007D5C8D"/>
    <w:rsid w:val="007E448A"/>
    <w:rsid w:val="007E5020"/>
    <w:rsid w:val="007F0261"/>
    <w:rsid w:val="00800379"/>
    <w:rsid w:val="008006E7"/>
    <w:rsid w:val="008019CE"/>
    <w:rsid w:val="00801C51"/>
    <w:rsid w:val="0080789B"/>
    <w:rsid w:val="00807FA7"/>
    <w:rsid w:val="00822798"/>
    <w:rsid w:val="00823A64"/>
    <w:rsid w:val="00824B92"/>
    <w:rsid w:val="008265AE"/>
    <w:rsid w:val="00826FF5"/>
    <w:rsid w:val="00832B4C"/>
    <w:rsid w:val="008341EF"/>
    <w:rsid w:val="00835EB7"/>
    <w:rsid w:val="00837C1B"/>
    <w:rsid w:val="008423B6"/>
    <w:rsid w:val="00847535"/>
    <w:rsid w:val="008513E3"/>
    <w:rsid w:val="00851D86"/>
    <w:rsid w:val="00852B73"/>
    <w:rsid w:val="0086094B"/>
    <w:rsid w:val="00860B4B"/>
    <w:rsid w:val="00862B97"/>
    <w:rsid w:val="00863AF1"/>
    <w:rsid w:val="00866C07"/>
    <w:rsid w:val="0087243F"/>
    <w:rsid w:val="008814C1"/>
    <w:rsid w:val="00882DFF"/>
    <w:rsid w:val="008872C3"/>
    <w:rsid w:val="008954B3"/>
    <w:rsid w:val="008C030A"/>
    <w:rsid w:val="008C0B42"/>
    <w:rsid w:val="008C0B8F"/>
    <w:rsid w:val="008C2678"/>
    <w:rsid w:val="008C56B3"/>
    <w:rsid w:val="008C5F3D"/>
    <w:rsid w:val="008D099A"/>
    <w:rsid w:val="008D249A"/>
    <w:rsid w:val="008D38D6"/>
    <w:rsid w:val="008D4EFF"/>
    <w:rsid w:val="008E0A87"/>
    <w:rsid w:val="008E0FBF"/>
    <w:rsid w:val="008E3DEE"/>
    <w:rsid w:val="008E66C5"/>
    <w:rsid w:val="008F359F"/>
    <w:rsid w:val="008F78BA"/>
    <w:rsid w:val="00900437"/>
    <w:rsid w:val="0091278E"/>
    <w:rsid w:val="009212F4"/>
    <w:rsid w:val="00927F75"/>
    <w:rsid w:val="009302C1"/>
    <w:rsid w:val="009418F8"/>
    <w:rsid w:val="0094264A"/>
    <w:rsid w:val="00943CC4"/>
    <w:rsid w:val="00945089"/>
    <w:rsid w:val="009477D6"/>
    <w:rsid w:val="00954CDF"/>
    <w:rsid w:val="00955897"/>
    <w:rsid w:val="009614F5"/>
    <w:rsid w:val="00961A6C"/>
    <w:rsid w:val="00961AF6"/>
    <w:rsid w:val="00962150"/>
    <w:rsid w:val="00965F83"/>
    <w:rsid w:val="0096665E"/>
    <w:rsid w:val="009772B1"/>
    <w:rsid w:val="00983A9C"/>
    <w:rsid w:val="00984084"/>
    <w:rsid w:val="00990F31"/>
    <w:rsid w:val="00991EA1"/>
    <w:rsid w:val="00996E74"/>
    <w:rsid w:val="009A0776"/>
    <w:rsid w:val="009A1FC3"/>
    <w:rsid w:val="009A3824"/>
    <w:rsid w:val="009B6B91"/>
    <w:rsid w:val="009C1EE0"/>
    <w:rsid w:val="009C37DA"/>
    <w:rsid w:val="009C45A2"/>
    <w:rsid w:val="009C4EA0"/>
    <w:rsid w:val="009C5DF4"/>
    <w:rsid w:val="009D0510"/>
    <w:rsid w:val="009D0C7F"/>
    <w:rsid w:val="009D17FB"/>
    <w:rsid w:val="009D1CFD"/>
    <w:rsid w:val="009D3D3A"/>
    <w:rsid w:val="009D44EF"/>
    <w:rsid w:val="009D4B5B"/>
    <w:rsid w:val="009E23D1"/>
    <w:rsid w:val="009F0B52"/>
    <w:rsid w:val="00A0130C"/>
    <w:rsid w:val="00A05C6C"/>
    <w:rsid w:val="00A10501"/>
    <w:rsid w:val="00A135BE"/>
    <w:rsid w:val="00A167DD"/>
    <w:rsid w:val="00A1719C"/>
    <w:rsid w:val="00A260D2"/>
    <w:rsid w:val="00A32DCA"/>
    <w:rsid w:val="00A36C9C"/>
    <w:rsid w:val="00A3709C"/>
    <w:rsid w:val="00A40F84"/>
    <w:rsid w:val="00A5166D"/>
    <w:rsid w:val="00A64B86"/>
    <w:rsid w:val="00A64C54"/>
    <w:rsid w:val="00A67E8A"/>
    <w:rsid w:val="00A755F4"/>
    <w:rsid w:val="00A764B0"/>
    <w:rsid w:val="00A77B9A"/>
    <w:rsid w:val="00A80896"/>
    <w:rsid w:val="00A8570B"/>
    <w:rsid w:val="00A859E7"/>
    <w:rsid w:val="00A8657D"/>
    <w:rsid w:val="00A945EC"/>
    <w:rsid w:val="00A952AA"/>
    <w:rsid w:val="00A954CF"/>
    <w:rsid w:val="00AA1040"/>
    <w:rsid w:val="00AA27F1"/>
    <w:rsid w:val="00AA3D7F"/>
    <w:rsid w:val="00AA3EB5"/>
    <w:rsid w:val="00AA6296"/>
    <w:rsid w:val="00AB6AA0"/>
    <w:rsid w:val="00AC12ED"/>
    <w:rsid w:val="00AC5101"/>
    <w:rsid w:val="00AC6457"/>
    <w:rsid w:val="00AD329D"/>
    <w:rsid w:val="00AD5F7E"/>
    <w:rsid w:val="00AD620A"/>
    <w:rsid w:val="00AD6D08"/>
    <w:rsid w:val="00AE7F3A"/>
    <w:rsid w:val="00AF3D10"/>
    <w:rsid w:val="00B00BF5"/>
    <w:rsid w:val="00B0220C"/>
    <w:rsid w:val="00B10B86"/>
    <w:rsid w:val="00B15867"/>
    <w:rsid w:val="00B240A2"/>
    <w:rsid w:val="00B26219"/>
    <w:rsid w:val="00B30108"/>
    <w:rsid w:val="00B34788"/>
    <w:rsid w:val="00B401CF"/>
    <w:rsid w:val="00B51AAB"/>
    <w:rsid w:val="00B54894"/>
    <w:rsid w:val="00B570C6"/>
    <w:rsid w:val="00B57973"/>
    <w:rsid w:val="00B610FB"/>
    <w:rsid w:val="00B676DB"/>
    <w:rsid w:val="00B67870"/>
    <w:rsid w:val="00B720A2"/>
    <w:rsid w:val="00B7432C"/>
    <w:rsid w:val="00B82EA2"/>
    <w:rsid w:val="00B8369C"/>
    <w:rsid w:val="00B837BE"/>
    <w:rsid w:val="00B84455"/>
    <w:rsid w:val="00B84C42"/>
    <w:rsid w:val="00B86F70"/>
    <w:rsid w:val="00B92AF5"/>
    <w:rsid w:val="00BA0934"/>
    <w:rsid w:val="00BA4E45"/>
    <w:rsid w:val="00BA5C26"/>
    <w:rsid w:val="00BB5582"/>
    <w:rsid w:val="00BB62B0"/>
    <w:rsid w:val="00BB647E"/>
    <w:rsid w:val="00BC570C"/>
    <w:rsid w:val="00BC615F"/>
    <w:rsid w:val="00BD009E"/>
    <w:rsid w:val="00BD4335"/>
    <w:rsid w:val="00BD4344"/>
    <w:rsid w:val="00BE3EAC"/>
    <w:rsid w:val="00BE6014"/>
    <w:rsid w:val="00BE614C"/>
    <w:rsid w:val="00BE724F"/>
    <w:rsid w:val="00BF0974"/>
    <w:rsid w:val="00BF27CC"/>
    <w:rsid w:val="00BF7BB8"/>
    <w:rsid w:val="00C0041B"/>
    <w:rsid w:val="00C01EAA"/>
    <w:rsid w:val="00C0268F"/>
    <w:rsid w:val="00C16319"/>
    <w:rsid w:val="00C16E64"/>
    <w:rsid w:val="00C30558"/>
    <w:rsid w:val="00C31372"/>
    <w:rsid w:val="00C327FA"/>
    <w:rsid w:val="00C32DC9"/>
    <w:rsid w:val="00C3579C"/>
    <w:rsid w:val="00C36D68"/>
    <w:rsid w:val="00C36DA0"/>
    <w:rsid w:val="00C40F59"/>
    <w:rsid w:val="00C46D50"/>
    <w:rsid w:val="00C51EC4"/>
    <w:rsid w:val="00C53BCE"/>
    <w:rsid w:val="00C559A4"/>
    <w:rsid w:val="00C57815"/>
    <w:rsid w:val="00C6189C"/>
    <w:rsid w:val="00C710FD"/>
    <w:rsid w:val="00C720DE"/>
    <w:rsid w:val="00C80E64"/>
    <w:rsid w:val="00C81444"/>
    <w:rsid w:val="00C84258"/>
    <w:rsid w:val="00C87725"/>
    <w:rsid w:val="00C91EB6"/>
    <w:rsid w:val="00CA6303"/>
    <w:rsid w:val="00CA6531"/>
    <w:rsid w:val="00CA6D87"/>
    <w:rsid w:val="00CB765D"/>
    <w:rsid w:val="00CC1492"/>
    <w:rsid w:val="00CC7EE4"/>
    <w:rsid w:val="00CD129D"/>
    <w:rsid w:val="00CD455A"/>
    <w:rsid w:val="00CE3F91"/>
    <w:rsid w:val="00CE6618"/>
    <w:rsid w:val="00CE7989"/>
    <w:rsid w:val="00CF4C6A"/>
    <w:rsid w:val="00CF5A65"/>
    <w:rsid w:val="00D0009A"/>
    <w:rsid w:val="00D03EB0"/>
    <w:rsid w:val="00D03F3E"/>
    <w:rsid w:val="00D14780"/>
    <w:rsid w:val="00D16EE0"/>
    <w:rsid w:val="00D173AA"/>
    <w:rsid w:val="00D20F8F"/>
    <w:rsid w:val="00D23D16"/>
    <w:rsid w:val="00D267F9"/>
    <w:rsid w:val="00D315FD"/>
    <w:rsid w:val="00D36892"/>
    <w:rsid w:val="00D37CFD"/>
    <w:rsid w:val="00D40E16"/>
    <w:rsid w:val="00D463B4"/>
    <w:rsid w:val="00D47C36"/>
    <w:rsid w:val="00D50DCD"/>
    <w:rsid w:val="00D544E6"/>
    <w:rsid w:val="00D739F9"/>
    <w:rsid w:val="00D75F9F"/>
    <w:rsid w:val="00D811DE"/>
    <w:rsid w:val="00D82F18"/>
    <w:rsid w:val="00D84C68"/>
    <w:rsid w:val="00D85F54"/>
    <w:rsid w:val="00D92347"/>
    <w:rsid w:val="00D94FD8"/>
    <w:rsid w:val="00D959B3"/>
    <w:rsid w:val="00D971BC"/>
    <w:rsid w:val="00D9739B"/>
    <w:rsid w:val="00DA09C1"/>
    <w:rsid w:val="00DA42A5"/>
    <w:rsid w:val="00DA42E7"/>
    <w:rsid w:val="00DA71F1"/>
    <w:rsid w:val="00DA7763"/>
    <w:rsid w:val="00DB6725"/>
    <w:rsid w:val="00DC18E0"/>
    <w:rsid w:val="00DC217E"/>
    <w:rsid w:val="00DC7006"/>
    <w:rsid w:val="00DD03C7"/>
    <w:rsid w:val="00DD1492"/>
    <w:rsid w:val="00DD3CFA"/>
    <w:rsid w:val="00DD42F1"/>
    <w:rsid w:val="00DD601B"/>
    <w:rsid w:val="00DE13CD"/>
    <w:rsid w:val="00DE164D"/>
    <w:rsid w:val="00DE1738"/>
    <w:rsid w:val="00DF692E"/>
    <w:rsid w:val="00E01B76"/>
    <w:rsid w:val="00E024A1"/>
    <w:rsid w:val="00E04C7E"/>
    <w:rsid w:val="00E06E40"/>
    <w:rsid w:val="00E07F04"/>
    <w:rsid w:val="00E10840"/>
    <w:rsid w:val="00E10C4E"/>
    <w:rsid w:val="00E12800"/>
    <w:rsid w:val="00E1323F"/>
    <w:rsid w:val="00E139CA"/>
    <w:rsid w:val="00E13E41"/>
    <w:rsid w:val="00E142A8"/>
    <w:rsid w:val="00E15604"/>
    <w:rsid w:val="00E16E55"/>
    <w:rsid w:val="00E20571"/>
    <w:rsid w:val="00E31168"/>
    <w:rsid w:val="00E319F0"/>
    <w:rsid w:val="00E32537"/>
    <w:rsid w:val="00E33784"/>
    <w:rsid w:val="00E36A01"/>
    <w:rsid w:val="00E36E4C"/>
    <w:rsid w:val="00E40CBE"/>
    <w:rsid w:val="00E43EB5"/>
    <w:rsid w:val="00E44D1F"/>
    <w:rsid w:val="00E46C29"/>
    <w:rsid w:val="00E50D00"/>
    <w:rsid w:val="00E53102"/>
    <w:rsid w:val="00E56A12"/>
    <w:rsid w:val="00E707DF"/>
    <w:rsid w:val="00E71AD7"/>
    <w:rsid w:val="00E73785"/>
    <w:rsid w:val="00E74517"/>
    <w:rsid w:val="00E76068"/>
    <w:rsid w:val="00E76B68"/>
    <w:rsid w:val="00E834AC"/>
    <w:rsid w:val="00E86304"/>
    <w:rsid w:val="00E909C1"/>
    <w:rsid w:val="00E922D7"/>
    <w:rsid w:val="00E937AB"/>
    <w:rsid w:val="00E9551A"/>
    <w:rsid w:val="00E97AB2"/>
    <w:rsid w:val="00E97D9A"/>
    <w:rsid w:val="00EA2540"/>
    <w:rsid w:val="00EA447D"/>
    <w:rsid w:val="00EB0B58"/>
    <w:rsid w:val="00EB7E48"/>
    <w:rsid w:val="00EC0EB8"/>
    <w:rsid w:val="00EC198A"/>
    <w:rsid w:val="00EC1F42"/>
    <w:rsid w:val="00EC480E"/>
    <w:rsid w:val="00EC5467"/>
    <w:rsid w:val="00ED28E4"/>
    <w:rsid w:val="00ED2FF4"/>
    <w:rsid w:val="00ED34EA"/>
    <w:rsid w:val="00ED4EED"/>
    <w:rsid w:val="00EE2673"/>
    <w:rsid w:val="00EE3E3B"/>
    <w:rsid w:val="00EF2AF9"/>
    <w:rsid w:val="00EF63E8"/>
    <w:rsid w:val="00F00A33"/>
    <w:rsid w:val="00F00EF9"/>
    <w:rsid w:val="00F02E42"/>
    <w:rsid w:val="00F07737"/>
    <w:rsid w:val="00F1014E"/>
    <w:rsid w:val="00F12492"/>
    <w:rsid w:val="00F1352A"/>
    <w:rsid w:val="00F14A5F"/>
    <w:rsid w:val="00F22911"/>
    <w:rsid w:val="00F26123"/>
    <w:rsid w:val="00F27254"/>
    <w:rsid w:val="00F3483A"/>
    <w:rsid w:val="00F378DE"/>
    <w:rsid w:val="00F40F30"/>
    <w:rsid w:val="00F40F75"/>
    <w:rsid w:val="00F41017"/>
    <w:rsid w:val="00F43A3C"/>
    <w:rsid w:val="00F45B06"/>
    <w:rsid w:val="00F51852"/>
    <w:rsid w:val="00F56092"/>
    <w:rsid w:val="00F65D59"/>
    <w:rsid w:val="00F67A2C"/>
    <w:rsid w:val="00F73179"/>
    <w:rsid w:val="00F73442"/>
    <w:rsid w:val="00F7391D"/>
    <w:rsid w:val="00F74D37"/>
    <w:rsid w:val="00F80E25"/>
    <w:rsid w:val="00F90B37"/>
    <w:rsid w:val="00FA3D9E"/>
    <w:rsid w:val="00FA6533"/>
    <w:rsid w:val="00FA6BDE"/>
    <w:rsid w:val="00FB1AC8"/>
    <w:rsid w:val="00FB553C"/>
    <w:rsid w:val="00FC3594"/>
    <w:rsid w:val="00FC6291"/>
    <w:rsid w:val="00FC6D52"/>
    <w:rsid w:val="00FD262B"/>
    <w:rsid w:val="00FD396D"/>
    <w:rsid w:val="00FD45F9"/>
    <w:rsid w:val="00FD630D"/>
    <w:rsid w:val="00FD6DE2"/>
    <w:rsid w:val="00FE00A6"/>
    <w:rsid w:val="00FE29C2"/>
    <w:rsid w:val="00FE3CBC"/>
    <w:rsid w:val="00FF1916"/>
    <w:rsid w:val="00FF385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7417F5E"/>
  <w15:docId w15:val="{81152E77-9371-43C8-A406-F34E2C138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pPr>
      <w:spacing w:after="200" w:line="276" w:lineRule="auto"/>
    </w:pPr>
    <w:rPr>
      <w:sz w:val="22"/>
      <w:szCs w:val="22"/>
      <w:lang w:eastAsia="en-US"/>
    </w:rPr>
  </w:style>
  <w:style w:type="paragraph" w:styleId="1">
    <w:name w:val="heading 1"/>
    <w:basedOn w:val="a"/>
    <w:next w:val="a"/>
    <w:link w:val="10"/>
    <w:uiPriority w:val="99"/>
    <w:qFormat/>
    <w:rsid w:val="00C84258"/>
    <w:pPr>
      <w:keepNext/>
      <w:autoSpaceDE w:val="0"/>
      <w:autoSpaceDN w:val="0"/>
      <w:adjustRightInd w:val="0"/>
      <w:spacing w:after="0" w:line="240" w:lineRule="auto"/>
      <w:outlineLvl w:val="0"/>
    </w:pPr>
    <w:rPr>
      <w:rFonts w:ascii="Times New Roman" w:hAnsi="Times New Roman"/>
      <w:b/>
      <w:bCs/>
      <w:sz w:val="24"/>
      <w:szCs w:val="24"/>
    </w:rPr>
  </w:style>
  <w:style w:type="paragraph" w:styleId="2">
    <w:name w:val="heading 2"/>
    <w:basedOn w:val="a"/>
    <w:next w:val="a"/>
    <w:link w:val="20"/>
    <w:uiPriority w:val="9"/>
    <w:unhideWhenUsed/>
    <w:qFormat/>
    <w:rsid w:val="000048F9"/>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9"/>
    <w:qFormat/>
    <w:rsid w:val="00C84258"/>
    <w:pPr>
      <w:keepNext/>
      <w:autoSpaceDE w:val="0"/>
      <w:autoSpaceDN w:val="0"/>
      <w:adjustRightInd w:val="0"/>
      <w:spacing w:after="0" w:line="240" w:lineRule="auto"/>
      <w:jc w:val="center"/>
      <w:outlineLvl w:val="2"/>
    </w:pPr>
    <w:rPr>
      <w:rFonts w:ascii="Times New Roman" w:hAnsi="Times New Roman"/>
      <w:b/>
      <w:bCs/>
      <w:sz w:val="28"/>
      <w:szCs w:val="28"/>
    </w:rPr>
  </w:style>
  <w:style w:type="paragraph" w:styleId="4">
    <w:name w:val="heading 4"/>
    <w:basedOn w:val="a"/>
    <w:next w:val="a"/>
    <w:link w:val="40"/>
    <w:uiPriority w:val="9"/>
    <w:unhideWhenUsed/>
    <w:qFormat/>
    <w:rsid w:val="00AC5101"/>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paragraph" w:styleId="7">
    <w:name w:val="heading 7"/>
    <w:basedOn w:val="a"/>
    <w:next w:val="a"/>
    <w:link w:val="70"/>
    <w:uiPriority w:val="99"/>
    <w:qFormat/>
    <w:rsid w:val="00C84258"/>
    <w:pPr>
      <w:keepNext/>
      <w:autoSpaceDE w:val="0"/>
      <w:autoSpaceDN w:val="0"/>
      <w:adjustRightInd w:val="0"/>
      <w:spacing w:after="0" w:line="240" w:lineRule="auto"/>
      <w:jc w:val="both"/>
      <w:outlineLvl w:val="6"/>
    </w:pPr>
    <w:rPr>
      <w:rFonts w:ascii="Times New Roman" w:hAnsi="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3">
    <w:name w:val="Title"/>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4">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5">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6">
    <w:name w:val="endnote reference"/>
    <w:uiPriority w:val="99"/>
    <w:rsid w:val="008E0FBF"/>
    <w:rPr>
      <w:sz w:val="20"/>
      <w:szCs w:val="20"/>
      <w:vertAlign w:val="superscript"/>
    </w:rPr>
  </w:style>
  <w:style w:type="character" w:customStyle="1" w:styleId="af7">
    <w:name w:val="К"/>
    <w:uiPriority w:val="99"/>
    <w:rsid w:val="008E0FBF"/>
    <w:rPr>
      <w:rFonts w:ascii="Courier New" w:hAnsi="Courier New" w:cs="Courier New"/>
      <w:sz w:val="20"/>
      <w:szCs w:val="20"/>
    </w:rPr>
  </w:style>
  <w:style w:type="paragraph" w:customStyle="1" w:styleId="af8">
    <w:name w:val="Ф"/>
    <w:basedOn w:val="af9"/>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8E0FBF"/>
    <w:rPr>
      <w:vanish/>
      <w:color w:val="FF0000"/>
    </w:rPr>
  </w:style>
  <w:style w:type="paragraph" w:customStyle="1" w:styleId="Z-1">
    <w:name w:val="Z-1"/>
    <w:next w:val="af9"/>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d"/>
    <w:uiPriority w:val="99"/>
    <w:rsid w:val="008E0FBF"/>
    <w:pPr>
      <w:spacing w:before="0" w:after="0"/>
    </w:pPr>
  </w:style>
  <w:style w:type="paragraph" w:customStyle="1" w:styleId="afc">
    <w:name w:val="А"/>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d">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e">
    <w:name w:val="и"/>
    <w:uiPriority w:val="99"/>
    <w:rsid w:val="008E0FBF"/>
    <w:rPr>
      <w:color w:val="0000FF"/>
      <w:u w:val="single"/>
    </w:rPr>
  </w:style>
  <w:style w:type="character" w:customStyle="1" w:styleId="13">
    <w:name w:val="О1"/>
    <w:uiPriority w:val="99"/>
    <w:rsid w:val="008E0FBF"/>
    <w:rPr>
      <w:i/>
      <w:iCs/>
    </w:rPr>
  </w:style>
  <w:style w:type="character" w:customStyle="1" w:styleId="aff">
    <w:name w:val="П"/>
    <w:uiPriority w:val="99"/>
    <w:rsid w:val="008E0FBF"/>
    <w:rPr>
      <w:color w:val="800080"/>
      <w:u w:val="single"/>
    </w:rPr>
  </w:style>
  <w:style w:type="character" w:customStyle="1" w:styleId="14">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5">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uiPriority w:val="99"/>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uiPriority w:val="99"/>
    <w:rsid w:val="008E0FBF"/>
    <w:rPr>
      <w:rFonts w:ascii="Arial Narrow" w:hAnsi="Arial Narrow" w:cs="Arial Narrow"/>
      <w:i/>
      <w:iCs/>
      <w:sz w:val="15"/>
      <w:szCs w:val="15"/>
    </w:rPr>
  </w:style>
  <w:style w:type="paragraph" w:customStyle="1" w:styleId="100">
    <w:name w:val="Заголовок №10"/>
    <w:basedOn w:val="a"/>
    <w:link w:val="101"/>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0">
    <w:name w:val="Основной текст_"/>
    <w:link w:val="102"/>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1">
    <w:name w:val="Подпись к таблице"/>
    <w:basedOn w:val="a"/>
    <w:link w:val="aff2"/>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3">
    <w:name w:val="Сноска"/>
    <w:basedOn w:val="a"/>
    <w:link w:val="aff4"/>
    <w:uiPriority w:val="99"/>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3">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5">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2">
    <w:name w:val="Основной текст (7)"/>
    <w:basedOn w:val="a"/>
    <w:link w:val="73"/>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8E0FBF"/>
    <w:rPr>
      <w:rFonts w:ascii="Lucida Sans Unicode" w:hAnsi="Lucida Sans Unicode" w:cs="Lucida Sans Unicode"/>
      <w:i/>
      <w:iCs/>
      <w:sz w:val="16"/>
      <w:szCs w:val="16"/>
    </w:rPr>
  </w:style>
  <w:style w:type="character" w:customStyle="1" w:styleId="aff6">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6">
    <w:name w:val="Основной текст1"/>
    <w:rsid w:val="008E0FBF"/>
    <w:rPr>
      <w:rFonts w:ascii="Gungsuh" w:eastAsia="Gungsuh" w:cs="Gungsuh"/>
      <w:spacing w:val="-10"/>
      <w:sz w:val="16"/>
      <w:szCs w:val="16"/>
      <w:u w:val="single"/>
    </w:rPr>
  </w:style>
  <w:style w:type="paragraph" w:customStyle="1" w:styleId="34">
    <w:name w:val="Основной текст (3)"/>
    <w:basedOn w:val="a"/>
    <w:link w:val="35"/>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4">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4">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uiPriority w:val="99"/>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rsid w:val="008E0FBF"/>
    <w:rPr>
      <w:rFonts w:ascii="Gungsuh" w:eastAsia="Gungsuh" w:cs="Gungsuh"/>
      <w:spacing w:val="0"/>
      <w:sz w:val="14"/>
      <w:szCs w:val="14"/>
    </w:rPr>
  </w:style>
  <w:style w:type="character" w:customStyle="1" w:styleId="9pt">
    <w:name w:val="Основной текст + 9 pt"/>
    <w:aliases w:val="Подпись к картинке (28) + Sylfaen,61,5 pt7,Полужирный10,Основной текст + 84,Малые прописные4,Основной текст (2) + Microsoft Sans Serif,Колонтитул + Century Gothic1,Основной текст (25) + 9"/>
    <w:uiPriority w:val="99"/>
    <w:rsid w:val="008E0FBF"/>
    <w:rPr>
      <w:rFonts w:ascii="Gungsuh" w:eastAsia="Gungsuh" w:cs="Gungsuh"/>
      <w:b/>
      <w:bCs/>
      <w:i/>
      <w:iCs/>
      <w:spacing w:val="0"/>
      <w:sz w:val="18"/>
      <w:szCs w:val="18"/>
    </w:rPr>
  </w:style>
  <w:style w:type="character" w:customStyle="1" w:styleId="9pt1">
    <w:name w:val="Основной текст + 9 pt1"/>
    <w:aliases w:val="Основной текст (8) + 8 pt3,Полужирный3,Интервал 0 pt2,Основной текст + 10 pt1,Колонтитул + Microsoft Sans Serif3"/>
    <w:uiPriority w:val="99"/>
    <w:rsid w:val="008E0FBF"/>
    <w:rPr>
      <w:rFonts w:ascii="Gungsuh" w:eastAsia="Gungsuh" w:cs="Gungsuh"/>
      <w:smallCaps/>
      <w:spacing w:val="0"/>
      <w:sz w:val="18"/>
      <w:szCs w:val="18"/>
    </w:rPr>
  </w:style>
  <w:style w:type="character" w:customStyle="1" w:styleId="1pt">
    <w:name w:val="Основной текст + Интервал 1 pt"/>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rsid w:val="008E0FBF"/>
    <w:rPr>
      <w:rFonts w:ascii="Gungsuh" w:eastAsia="Gungsuh" w:cs="Gungsuh"/>
      <w:spacing w:val="60"/>
      <w:sz w:val="17"/>
      <w:szCs w:val="17"/>
    </w:rPr>
  </w:style>
  <w:style w:type="paragraph" w:customStyle="1" w:styleId="aff7">
    <w:name w:val="Колонтитул"/>
    <w:basedOn w:val="a"/>
    <w:uiPriority w:val="99"/>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8">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uiPriority w:val="99"/>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uiPriority w:val="99"/>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8">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uiPriority w:val="9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8">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5">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6">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a">
    <w:name w:val="Заголовок №3"/>
    <w:basedOn w:val="a"/>
    <w:link w:val="3b"/>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link w:val="183"/>
    <w:uiPriority w:val="99"/>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rsid w:val="008E0FBF"/>
    <w:rPr>
      <w:rFonts w:ascii="Lucida Sans Unicode" w:hAnsi="Lucida Sans Unicode" w:cs="Lucida Sans Unicode"/>
      <w:sz w:val="28"/>
      <w:szCs w:val="28"/>
    </w:rPr>
  </w:style>
  <w:style w:type="paragraph" w:customStyle="1" w:styleId="2e">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10">
    <w:name w:val="Заголовок 1 Знак"/>
    <w:link w:val="1"/>
    <w:uiPriority w:val="99"/>
    <w:rsid w:val="00C84258"/>
    <w:rPr>
      <w:rFonts w:ascii="Times New Roman" w:hAnsi="Times New Roman" w:cs="Times New Roman"/>
      <w:b/>
      <w:bCs/>
      <w:sz w:val="24"/>
      <w:szCs w:val="24"/>
    </w:rPr>
  </w:style>
  <w:style w:type="character" w:customStyle="1" w:styleId="30">
    <w:name w:val="Заголовок 3 Знак"/>
    <w:link w:val="3"/>
    <w:uiPriority w:val="99"/>
    <w:rsid w:val="00C84258"/>
    <w:rPr>
      <w:rFonts w:ascii="Times New Roman" w:hAnsi="Times New Roman" w:cs="Times New Roman"/>
      <w:b/>
      <w:bCs/>
      <w:sz w:val="28"/>
      <w:szCs w:val="28"/>
    </w:rPr>
  </w:style>
  <w:style w:type="character" w:customStyle="1" w:styleId="70">
    <w:name w:val="Заголовок 7 Знак"/>
    <w:link w:val="7"/>
    <w:uiPriority w:val="99"/>
    <w:rsid w:val="00C84258"/>
    <w:rPr>
      <w:rFonts w:ascii="Times New Roman" w:hAnsi="Times New Roman" w:cs="Times New Roman"/>
      <w:sz w:val="28"/>
      <w:szCs w:val="28"/>
    </w:rPr>
  </w:style>
  <w:style w:type="paragraph" w:customStyle="1" w:styleId="1a">
    <w:name w:val="Верхний колонтитул1"/>
    <w:basedOn w:val="a"/>
    <w:uiPriority w:val="99"/>
    <w:rsid w:val="00C84258"/>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paragraph" w:customStyle="1" w:styleId="1b">
    <w:name w:val="Нижний колонтитул1"/>
    <w:basedOn w:val="a"/>
    <w:uiPriority w:val="99"/>
    <w:rsid w:val="00C84258"/>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paragraph" w:styleId="affa">
    <w:name w:val="header"/>
    <w:basedOn w:val="a"/>
    <w:link w:val="affb"/>
    <w:uiPriority w:val="99"/>
    <w:rsid w:val="00C84258"/>
    <w:pPr>
      <w:widowControl w:val="0"/>
      <w:tabs>
        <w:tab w:val="center" w:pos="4153"/>
        <w:tab w:val="right" w:pos="8306"/>
      </w:tabs>
      <w:autoSpaceDE w:val="0"/>
      <w:autoSpaceDN w:val="0"/>
      <w:adjustRightInd w:val="0"/>
      <w:spacing w:after="0" w:line="240" w:lineRule="auto"/>
    </w:pPr>
    <w:rPr>
      <w:rFonts w:ascii="Times New Roman" w:hAnsi="Times New Roman"/>
      <w:sz w:val="20"/>
      <w:szCs w:val="20"/>
    </w:rPr>
  </w:style>
  <w:style w:type="character" w:customStyle="1" w:styleId="affb">
    <w:name w:val="Верхний колонтитул Знак"/>
    <w:link w:val="affa"/>
    <w:uiPriority w:val="99"/>
    <w:rsid w:val="00C84258"/>
    <w:rPr>
      <w:rFonts w:ascii="Times New Roman" w:hAnsi="Times New Roman" w:cs="Times New Roman"/>
      <w:sz w:val="20"/>
      <w:szCs w:val="20"/>
    </w:rPr>
  </w:style>
  <w:style w:type="paragraph" w:styleId="affc">
    <w:name w:val="footer"/>
    <w:basedOn w:val="a"/>
    <w:link w:val="affd"/>
    <w:uiPriority w:val="99"/>
    <w:rsid w:val="00C84258"/>
    <w:pPr>
      <w:widowControl w:val="0"/>
      <w:tabs>
        <w:tab w:val="center" w:pos="4153"/>
        <w:tab w:val="right" w:pos="8306"/>
      </w:tabs>
      <w:autoSpaceDE w:val="0"/>
      <w:autoSpaceDN w:val="0"/>
      <w:adjustRightInd w:val="0"/>
      <w:spacing w:after="0" w:line="240" w:lineRule="auto"/>
    </w:pPr>
    <w:rPr>
      <w:rFonts w:ascii="Times New Roman" w:hAnsi="Times New Roman"/>
      <w:sz w:val="20"/>
      <w:szCs w:val="20"/>
    </w:rPr>
  </w:style>
  <w:style w:type="character" w:customStyle="1" w:styleId="affd">
    <w:name w:val="Нижний колонтитул Знак"/>
    <w:link w:val="affc"/>
    <w:uiPriority w:val="99"/>
    <w:rsid w:val="00C84258"/>
    <w:rPr>
      <w:rFonts w:ascii="Times New Roman" w:hAnsi="Times New Roman" w:cs="Times New Roman"/>
      <w:sz w:val="20"/>
      <w:szCs w:val="20"/>
    </w:rPr>
  </w:style>
  <w:style w:type="paragraph" w:customStyle="1" w:styleId="1c">
    <w:name w:val="çàãîëîâîê 1"/>
    <w:basedOn w:val="Iauiue"/>
    <w:next w:val="Iauiue"/>
    <w:uiPriority w:val="99"/>
    <w:rsid w:val="00C84258"/>
    <w:pPr>
      <w:keepNext/>
      <w:jc w:val="both"/>
    </w:pPr>
    <w:rPr>
      <w:i/>
      <w:iCs/>
      <w:sz w:val="16"/>
      <w:szCs w:val="16"/>
      <w:lang w:val="en-US"/>
    </w:rPr>
  </w:style>
  <w:style w:type="character" w:customStyle="1" w:styleId="affe">
    <w:name w:val="Ã"/>
    <w:uiPriority w:val="99"/>
    <w:rsid w:val="00C84258"/>
    <w:rPr>
      <w:color w:val="0000FF"/>
      <w:u w:val="single"/>
    </w:rPr>
  </w:style>
  <w:style w:type="paragraph" w:styleId="afff">
    <w:name w:val="footnote text"/>
    <w:basedOn w:val="a"/>
    <w:link w:val="afff0"/>
    <w:uiPriority w:val="99"/>
    <w:rsid w:val="00C84258"/>
    <w:pPr>
      <w:autoSpaceDE w:val="0"/>
      <w:autoSpaceDN w:val="0"/>
      <w:adjustRightInd w:val="0"/>
      <w:spacing w:after="0" w:line="240" w:lineRule="auto"/>
    </w:pPr>
    <w:rPr>
      <w:rFonts w:ascii="Times New Roman" w:hAnsi="Times New Roman"/>
      <w:sz w:val="20"/>
      <w:szCs w:val="20"/>
    </w:rPr>
  </w:style>
  <w:style w:type="character" w:customStyle="1" w:styleId="afff0">
    <w:name w:val="Текст сноски Знак"/>
    <w:link w:val="afff"/>
    <w:uiPriority w:val="99"/>
    <w:rsid w:val="00C84258"/>
    <w:rPr>
      <w:rFonts w:ascii="Times New Roman" w:hAnsi="Times New Roman" w:cs="Times New Roman"/>
      <w:sz w:val="20"/>
      <w:szCs w:val="20"/>
    </w:rPr>
  </w:style>
  <w:style w:type="paragraph" w:customStyle="1" w:styleId="afff1">
    <w:name w:val="ï"/>
    <w:uiPriority w:val="99"/>
    <w:rsid w:val="00C84258"/>
    <w:pPr>
      <w:autoSpaceDE w:val="0"/>
      <w:autoSpaceDN w:val="0"/>
      <w:adjustRightInd w:val="0"/>
    </w:pPr>
    <w:rPr>
      <w:rFonts w:ascii="Times New Roman" w:hAnsi="Times New Roman"/>
      <w:i/>
      <w:iCs/>
      <w:spacing w:val="-1"/>
      <w:kern w:val="65535"/>
      <w:position w:val="-1"/>
      <w:sz w:val="24"/>
      <w:szCs w:val="24"/>
      <w:lang w:eastAsia="en-US"/>
    </w:rPr>
  </w:style>
  <w:style w:type="paragraph" w:customStyle="1" w:styleId="afff2">
    <w:name w:val="Çàãîëîâîê"/>
    <w:basedOn w:val="a"/>
    <w:uiPriority w:val="99"/>
    <w:rsid w:val="00C84258"/>
    <w:pPr>
      <w:widowControl w:val="0"/>
      <w:autoSpaceDE w:val="0"/>
      <w:autoSpaceDN w:val="0"/>
      <w:adjustRightInd w:val="0"/>
      <w:spacing w:after="0" w:line="360" w:lineRule="auto"/>
      <w:ind w:firstLine="709"/>
      <w:jc w:val="center"/>
    </w:pPr>
    <w:rPr>
      <w:rFonts w:ascii="Arial" w:hAnsi="Arial" w:cs="Arial"/>
      <w:b/>
      <w:bCs/>
      <w:caps/>
      <w:sz w:val="26"/>
      <w:szCs w:val="26"/>
    </w:rPr>
  </w:style>
  <w:style w:type="paragraph" w:customStyle="1" w:styleId="afff3">
    <w:name w:val="Ñíîñêè"/>
    <w:basedOn w:val="a"/>
    <w:uiPriority w:val="99"/>
    <w:rsid w:val="00C84258"/>
    <w:pPr>
      <w:widowControl w:val="0"/>
      <w:autoSpaceDE w:val="0"/>
      <w:autoSpaceDN w:val="0"/>
      <w:adjustRightInd w:val="0"/>
      <w:spacing w:after="0" w:line="360" w:lineRule="auto"/>
      <w:ind w:firstLine="709"/>
      <w:jc w:val="both"/>
    </w:pPr>
    <w:rPr>
      <w:rFonts w:ascii="Arial" w:hAnsi="Arial" w:cs="Arial"/>
      <w:sz w:val="26"/>
      <w:szCs w:val="26"/>
    </w:rPr>
  </w:style>
  <w:style w:type="paragraph" w:customStyle="1" w:styleId="afff4">
    <w:name w:val="Ðóáðèêà"/>
    <w:basedOn w:val="a"/>
    <w:uiPriority w:val="99"/>
    <w:rsid w:val="00C84258"/>
    <w:pPr>
      <w:widowControl w:val="0"/>
      <w:autoSpaceDE w:val="0"/>
      <w:autoSpaceDN w:val="0"/>
      <w:adjustRightInd w:val="0"/>
      <w:spacing w:after="0" w:line="360" w:lineRule="auto"/>
      <w:ind w:firstLine="709"/>
      <w:jc w:val="right"/>
    </w:pPr>
    <w:rPr>
      <w:rFonts w:ascii="Arial" w:hAnsi="Arial" w:cs="Arial"/>
      <w:caps/>
      <w:sz w:val="26"/>
      <w:szCs w:val="26"/>
    </w:rPr>
  </w:style>
  <w:style w:type="character" w:customStyle="1" w:styleId="afff5">
    <w:name w:val="Çíàê êîíöåâîé ñíîñêè"/>
    <w:uiPriority w:val="99"/>
    <w:rsid w:val="00C84258"/>
    <w:rPr>
      <w:sz w:val="20"/>
      <w:szCs w:val="20"/>
      <w:vertAlign w:val="superscript"/>
    </w:rPr>
  </w:style>
  <w:style w:type="paragraph" w:customStyle="1" w:styleId="afff6">
    <w:name w:val="Ñ"/>
    <w:basedOn w:val="a"/>
    <w:next w:val="a"/>
    <w:uiPriority w:val="99"/>
    <w:rsid w:val="00C84258"/>
    <w:pPr>
      <w:autoSpaceDE w:val="0"/>
      <w:autoSpaceDN w:val="0"/>
      <w:adjustRightInd w:val="0"/>
      <w:spacing w:after="0" w:line="240" w:lineRule="auto"/>
      <w:ind w:left="360"/>
    </w:pPr>
    <w:rPr>
      <w:rFonts w:ascii="Times New Roman" w:hAnsi="Times New Roman"/>
      <w:sz w:val="24"/>
      <w:szCs w:val="24"/>
    </w:rPr>
  </w:style>
  <w:style w:type="character" w:customStyle="1" w:styleId="1d">
    <w:name w:val="Ñ1"/>
    <w:uiPriority w:val="99"/>
    <w:rsid w:val="00C84258"/>
    <w:rPr>
      <w:b/>
      <w:bCs/>
    </w:rPr>
  </w:style>
  <w:style w:type="character" w:customStyle="1" w:styleId="afff7">
    <w:name w:val="Ê"/>
    <w:uiPriority w:val="99"/>
    <w:rsid w:val="00C84258"/>
    <w:rPr>
      <w:rFonts w:ascii="Courier New" w:hAnsi="Courier New" w:cs="Courier New"/>
      <w:sz w:val="20"/>
      <w:szCs w:val="20"/>
    </w:rPr>
  </w:style>
  <w:style w:type="paragraph" w:customStyle="1" w:styleId="afff8">
    <w:name w:val="Ô"/>
    <w:basedOn w:val="afff9"/>
    <w:uiPriority w:val="99"/>
    <w:rsid w:val="00C84258"/>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ff9">
    <w:name w:val="Î"/>
    <w:uiPriority w:val="99"/>
    <w:rsid w:val="00C84258"/>
    <w:pPr>
      <w:autoSpaceDE w:val="0"/>
      <w:autoSpaceDN w:val="0"/>
      <w:adjustRightInd w:val="0"/>
      <w:spacing w:before="100" w:after="100"/>
    </w:pPr>
    <w:rPr>
      <w:rFonts w:ascii="Times New Roman" w:hAnsi="Times New Roman"/>
      <w:sz w:val="24"/>
      <w:szCs w:val="24"/>
      <w:lang w:eastAsia="en-US"/>
    </w:rPr>
  </w:style>
  <w:style w:type="character" w:customStyle="1" w:styleId="afffa">
    <w:name w:val="Ð"/>
    <w:uiPriority w:val="99"/>
    <w:rsid w:val="00C84258"/>
    <w:rPr>
      <w:vanish/>
      <w:color w:val="FF0000"/>
    </w:rPr>
  </w:style>
  <w:style w:type="paragraph" w:customStyle="1" w:styleId="afffb">
    <w:name w:val="Ö"/>
    <w:basedOn w:val="a"/>
    <w:uiPriority w:val="99"/>
    <w:rsid w:val="00C84258"/>
    <w:pPr>
      <w:autoSpaceDE w:val="0"/>
      <w:autoSpaceDN w:val="0"/>
      <w:adjustRightInd w:val="0"/>
      <w:spacing w:before="100" w:after="100" w:line="240" w:lineRule="auto"/>
      <w:ind w:left="360" w:right="360"/>
    </w:pPr>
    <w:rPr>
      <w:rFonts w:ascii="Times New Roman" w:hAnsi="Times New Roman"/>
      <w:sz w:val="24"/>
      <w:szCs w:val="24"/>
    </w:rPr>
  </w:style>
  <w:style w:type="paragraph" w:customStyle="1" w:styleId="2f">
    <w:name w:val="Îñíîâíîé òåêñò 2"/>
    <w:basedOn w:val="a"/>
    <w:uiPriority w:val="99"/>
    <w:rsid w:val="00C84258"/>
    <w:pPr>
      <w:widowControl w:val="0"/>
      <w:autoSpaceDE w:val="0"/>
      <w:autoSpaceDN w:val="0"/>
      <w:adjustRightInd w:val="0"/>
      <w:spacing w:after="0" w:line="240" w:lineRule="auto"/>
      <w:jc w:val="both"/>
    </w:pPr>
    <w:rPr>
      <w:rFonts w:ascii="Times New Roman" w:hAnsi="Times New Roman"/>
      <w:sz w:val="16"/>
      <w:szCs w:val="16"/>
    </w:rPr>
  </w:style>
  <w:style w:type="paragraph" w:customStyle="1" w:styleId="afffc">
    <w:name w:val="Òåêñò"/>
    <w:basedOn w:val="a"/>
    <w:uiPriority w:val="99"/>
    <w:rsid w:val="00C84258"/>
    <w:pPr>
      <w:widowControl w:val="0"/>
      <w:autoSpaceDE w:val="0"/>
      <w:autoSpaceDN w:val="0"/>
      <w:adjustRightInd w:val="0"/>
      <w:spacing w:after="0" w:line="240" w:lineRule="auto"/>
    </w:pPr>
    <w:rPr>
      <w:rFonts w:ascii="Courier New" w:hAnsi="Courier New" w:cs="Courier New"/>
      <w:sz w:val="20"/>
      <w:szCs w:val="20"/>
    </w:rPr>
  </w:style>
  <w:style w:type="paragraph" w:customStyle="1" w:styleId="3c">
    <w:name w:val="Îñíîâíîé òåêñò 3"/>
    <w:basedOn w:val="a"/>
    <w:uiPriority w:val="99"/>
    <w:rsid w:val="00C84258"/>
    <w:pPr>
      <w:widowControl w:val="0"/>
      <w:autoSpaceDE w:val="0"/>
      <w:autoSpaceDN w:val="0"/>
      <w:adjustRightInd w:val="0"/>
      <w:spacing w:after="0" w:line="240" w:lineRule="auto"/>
      <w:jc w:val="center"/>
    </w:pPr>
    <w:rPr>
      <w:rFonts w:ascii="Times New Roman" w:hAnsi="Times New Roman"/>
      <w:sz w:val="16"/>
      <w:szCs w:val="16"/>
    </w:rPr>
  </w:style>
  <w:style w:type="paragraph" w:customStyle="1" w:styleId="afffd">
    <w:name w:val="À"/>
    <w:basedOn w:val="a"/>
    <w:next w:val="a"/>
    <w:uiPriority w:val="99"/>
    <w:rsid w:val="00C84258"/>
    <w:pPr>
      <w:autoSpaceDE w:val="0"/>
      <w:autoSpaceDN w:val="0"/>
      <w:adjustRightInd w:val="0"/>
      <w:spacing w:after="0" w:line="240" w:lineRule="auto"/>
    </w:pPr>
    <w:rPr>
      <w:rFonts w:ascii="Times New Roman" w:hAnsi="Times New Roman"/>
      <w:i/>
      <w:iCs/>
      <w:sz w:val="24"/>
      <w:szCs w:val="24"/>
    </w:rPr>
  </w:style>
  <w:style w:type="character" w:customStyle="1" w:styleId="afffe">
    <w:name w:val="Â"/>
    <w:uiPriority w:val="99"/>
    <w:rsid w:val="00C84258"/>
    <w:rPr>
      <w:i/>
      <w:iCs/>
    </w:rPr>
  </w:style>
  <w:style w:type="paragraph" w:customStyle="1" w:styleId="affff">
    <w:name w:val="Ò"/>
    <w:basedOn w:val="afff9"/>
    <w:next w:val="afff6"/>
    <w:uiPriority w:val="99"/>
    <w:rsid w:val="00C84258"/>
    <w:pPr>
      <w:spacing w:before="0" w:after="0"/>
    </w:pPr>
  </w:style>
  <w:style w:type="character" w:customStyle="1" w:styleId="1e">
    <w:name w:val="Î1"/>
    <w:uiPriority w:val="99"/>
    <w:rsid w:val="00C84258"/>
    <w:rPr>
      <w:i/>
      <w:iCs/>
    </w:rPr>
  </w:style>
  <w:style w:type="character" w:customStyle="1" w:styleId="affff0">
    <w:name w:val="Ó"/>
    <w:uiPriority w:val="99"/>
    <w:rsid w:val="00C84258"/>
    <w:rPr>
      <w:i/>
      <w:iCs/>
    </w:rPr>
  </w:style>
  <w:style w:type="character" w:customStyle="1" w:styleId="affff1">
    <w:name w:val="Ï"/>
    <w:uiPriority w:val="99"/>
    <w:rsid w:val="00C84258"/>
    <w:rPr>
      <w:color w:val="800080"/>
      <w:u w:val="single"/>
    </w:rPr>
  </w:style>
  <w:style w:type="character" w:customStyle="1" w:styleId="1f">
    <w:name w:val="Ê1"/>
    <w:uiPriority w:val="99"/>
    <w:rsid w:val="00C84258"/>
    <w:rPr>
      <w:rFonts w:ascii="Courier New" w:hAnsi="Courier New" w:cs="Courier New"/>
      <w:b/>
      <w:bCs/>
      <w:sz w:val="20"/>
      <w:szCs w:val="20"/>
    </w:rPr>
  </w:style>
  <w:style w:type="character" w:customStyle="1" w:styleId="49">
    <w:name w:val="Ï4"/>
    <w:uiPriority w:val="99"/>
    <w:rsid w:val="00C84258"/>
    <w:rPr>
      <w:rFonts w:ascii="Courier New" w:hAnsi="Courier New" w:cs="Courier New"/>
    </w:rPr>
  </w:style>
  <w:style w:type="character" w:customStyle="1" w:styleId="3d">
    <w:name w:val="Ï3"/>
    <w:uiPriority w:val="99"/>
    <w:rsid w:val="00C84258"/>
    <w:rPr>
      <w:rFonts w:ascii="Courier New" w:hAnsi="Courier New" w:cs="Courier New"/>
      <w:sz w:val="20"/>
      <w:szCs w:val="20"/>
    </w:rPr>
  </w:style>
  <w:style w:type="character" w:customStyle="1" w:styleId="2f0">
    <w:name w:val="Ï2"/>
    <w:uiPriority w:val="99"/>
    <w:rsid w:val="00C84258"/>
    <w:rPr>
      <w:i/>
      <w:iCs/>
    </w:rPr>
  </w:style>
  <w:style w:type="character" w:customStyle="1" w:styleId="1f0">
    <w:name w:val="Ï1"/>
    <w:uiPriority w:val="99"/>
    <w:rsid w:val="00C84258"/>
    <w:rPr>
      <w:vanish/>
    </w:rPr>
  </w:style>
  <w:style w:type="character" w:customStyle="1" w:styleId="affff2">
    <w:name w:val="Îñíîâíîé øðèôò àáçàöà"/>
    <w:uiPriority w:val="99"/>
    <w:rsid w:val="00C84258"/>
    <w:rPr>
      <w:rFonts w:ascii="Times New Roman" w:hAnsi="Times New Roman" w:cs="Times New Roman"/>
      <w:sz w:val="20"/>
      <w:szCs w:val="20"/>
    </w:rPr>
  </w:style>
  <w:style w:type="paragraph" w:styleId="3e">
    <w:name w:val="Body Text Indent 3"/>
    <w:basedOn w:val="a"/>
    <w:link w:val="3f"/>
    <w:uiPriority w:val="99"/>
    <w:rsid w:val="00C84258"/>
    <w:pPr>
      <w:autoSpaceDE w:val="0"/>
      <w:autoSpaceDN w:val="0"/>
      <w:adjustRightInd w:val="0"/>
      <w:spacing w:after="0" w:line="240" w:lineRule="auto"/>
      <w:ind w:firstLine="709"/>
      <w:jc w:val="center"/>
    </w:pPr>
    <w:rPr>
      <w:rFonts w:ascii="Times New Roman" w:hAnsi="Times New Roman"/>
      <w:sz w:val="24"/>
      <w:szCs w:val="24"/>
    </w:rPr>
  </w:style>
  <w:style w:type="character" w:customStyle="1" w:styleId="3f">
    <w:name w:val="Основной текст с отступом 3 Знак"/>
    <w:link w:val="3e"/>
    <w:uiPriority w:val="99"/>
    <w:rsid w:val="00C84258"/>
    <w:rPr>
      <w:rFonts w:ascii="Times New Roman" w:hAnsi="Times New Roman" w:cs="Times New Roman"/>
      <w:sz w:val="24"/>
      <w:szCs w:val="24"/>
    </w:rPr>
  </w:style>
  <w:style w:type="paragraph" w:styleId="affff3">
    <w:name w:val="Body Text Indent"/>
    <w:basedOn w:val="a"/>
    <w:link w:val="affff4"/>
    <w:uiPriority w:val="99"/>
    <w:rsid w:val="00C84258"/>
    <w:pPr>
      <w:autoSpaceDE w:val="0"/>
      <w:autoSpaceDN w:val="0"/>
      <w:adjustRightInd w:val="0"/>
      <w:spacing w:after="0" w:line="240" w:lineRule="auto"/>
      <w:ind w:firstLine="720"/>
      <w:jc w:val="both"/>
    </w:pPr>
    <w:rPr>
      <w:rFonts w:ascii="Times New Roman" w:hAnsi="Times New Roman"/>
      <w:sz w:val="24"/>
      <w:szCs w:val="24"/>
    </w:rPr>
  </w:style>
  <w:style w:type="character" w:customStyle="1" w:styleId="affff4">
    <w:name w:val="Основной текст с отступом Знак"/>
    <w:link w:val="affff3"/>
    <w:uiPriority w:val="99"/>
    <w:rsid w:val="00C84258"/>
    <w:rPr>
      <w:rFonts w:ascii="Times New Roman" w:hAnsi="Times New Roman" w:cs="Times New Roman"/>
      <w:sz w:val="24"/>
      <w:szCs w:val="24"/>
    </w:rPr>
  </w:style>
  <w:style w:type="paragraph" w:customStyle="1" w:styleId="affff5">
    <w:name w:val="Ñîäåðæèìîå òàáëèöû"/>
    <w:basedOn w:val="a"/>
    <w:uiPriority w:val="99"/>
    <w:rsid w:val="00C84258"/>
    <w:pPr>
      <w:widowControl w:val="0"/>
      <w:suppressLineNumbers/>
      <w:suppressAutoHyphens/>
      <w:autoSpaceDE w:val="0"/>
      <w:autoSpaceDN w:val="0"/>
      <w:adjustRightInd w:val="0"/>
      <w:spacing w:after="0" w:line="240" w:lineRule="auto"/>
    </w:pPr>
    <w:rPr>
      <w:rFonts w:ascii="Arial" w:hAnsi="Arial" w:cs="Arial"/>
      <w:kern w:val="2"/>
      <w:sz w:val="20"/>
      <w:szCs w:val="20"/>
    </w:rPr>
  </w:style>
  <w:style w:type="character" w:styleId="affff6">
    <w:name w:val="footnote reference"/>
    <w:uiPriority w:val="99"/>
    <w:rsid w:val="00C84258"/>
    <w:rPr>
      <w:vertAlign w:val="superscript"/>
    </w:rPr>
  </w:style>
  <w:style w:type="character" w:customStyle="1" w:styleId="A40">
    <w:name w:val="A4"/>
    <w:uiPriority w:val="99"/>
    <w:rsid w:val="00C84258"/>
    <w:rPr>
      <w:color w:val="000000"/>
      <w:sz w:val="22"/>
      <w:szCs w:val="22"/>
    </w:rPr>
  </w:style>
  <w:style w:type="paragraph" w:customStyle="1" w:styleId="Pa6">
    <w:name w:val="Pa6"/>
    <w:basedOn w:val="Default"/>
    <w:next w:val="Default"/>
    <w:uiPriority w:val="99"/>
    <w:rsid w:val="00C84258"/>
    <w:pPr>
      <w:spacing w:line="241" w:lineRule="atLeast"/>
    </w:pPr>
    <w:rPr>
      <w:color w:val="auto"/>
    </w:rPr>
  </w:style>
  <w:style w:type="paragraph" w:customStyle="1" w:styleId="260">
    <w:name w:val="Îñíîâíîé òåêñò (26)"/>
    <w:basedOn w:val="a"/>
    <w:uiPriority w:val="99"/>
    <w:rsid w:val="00C84258"/>
    <w:pPr>
      <w:shd w:val="clear" w:color="auto" w:fill="FFFFFF"/>
      <w:autoSpaceDE w:val="0"/>
      <w:autoSpaceDN w:val="0"/>
      <w:adjustRightInd w:val="0"/>
      <w:spacing w:after="0" w:line="240" w:lineRule="atLeast"/>
    </w:pPr>
    <w:rPr>
      <w:rFonts w:ascii="Microsoft Sans Serif" w:hAnsi="Microsoft Sans Serif" w:cs="Microsoft Sans Serif"/>
      <w:b/>
      <w:bCs/>
      <w:noProof/>
      <w:sz w:val="26"/>
      <w:szCs w:val="26"/>
      <w:lang w:val="en-US"/>
    </w:rPr>
  </w:style>
  <w:style w:type="paragraph" w:customStyle="1" w:styleId="affff7">
    <w:name w:val="Îãëàâëåíèå"/>
    <w:basedOn w:val="a"/>
    <w:uiPriority w:val="99"/>
    <w:rsid w:val="00C84258"/>
    <w:pPr>
      <w:shd w:val="clear" w:color="auto" w:fill="FFFFFF"/>
      <w:autoSpaceDE w:val="0"/>
      <w:autoSpaceDN w:val="0"/>
      <w:adjustRightInd w:val="0"/>
      <w:spacing w:after="0" w:line="353" w:lineRule="exact"/>
      <w:jc w:val="both"/>
    </w:pPr>
    <w:rPr>
      <w:rFonts w:ascii="Microsoft Sans Serif" w:hAnsi="Microsoft Sans Serif" w:cs="Microsoft Sans Serif"/>
      <w:noProof/>
      <w:spacing w:val="-10"/>
      <w:sz w:val="24"/>
      <w:szCs w:val="24"/>
      <w:lang w:val="en-US"/>
    </w:rPr>
  </w:style>
  <w:style w:type="paragraph" w:customStyle="1" w:styleId="1f1">
    <w:name w:val="Ïîäïèñü ê òàáëèöå1"/>
    <w:basedOn w:val="a"/>
    <w:uiPriority w:val="99"/>
    <w:rsid w:val="00C84258"/>
    <w:pPr>
      <w:shd w:val="clear" w:color="auto" w:fill="FFFFFF"/>
      <w:autoSpaceDE w:val="0"/>
      <w:autoSpaceDN w:val="0"/>
      <w:adjustRightInd w:val="0"/>
      <w:spacing w:after="0" w:line="240" w:lineRule="atLeast"/>
    </w:pPr>
    <w:rPr>
      <w:rFonts w:ascii="Arial" w:hAnsi="Arial" w:cs="Arial"/>
      <w:i/>
      <w:iCs/>
      <w:spacing w:val="-10"/>
      <w:sz w:val="17"/>
      <w:szCs w:val="17"/>
    </w:rPr>
  </w:style>
  <w:style w:type="paragraph" w:customStyle="1" w:styleId="312">
    <w:name w:val="Îñíîâíîé òåêñò (3)1"/>
    <w:basedOn w:val="a"/>
    <w:uiPriority w:val="99"/>
    <w:rsid w:val="00C84258"/>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paragraph" w:customStyle="1" w:styleId="420">
    <w:name w:val="Îñíîâíîé òåêñò (42)"/>
    <w:basedOn w:val="a"/>
    <w:uiPriority w:val="99"/>
    <w:rsid w:val="00C84258"/>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character" w:customStyle="1" w:styleId="221">
    <w:name w:val="Ïîäïèñü ê òàáëèöå (2)2"/>
    <w:uiPriority w:val="99"/>
    <w:rsid w:val="00C84258"/>
    <w:rPr>
      <w:rFonts w:ascii="Franklin Gothic Book" w:hAnsi="Franklin Gothic Book" w:cs="Franklin Gothic Book"/>
      <w:b/>
      <w:bCs/>
      <w:color w:val="FFFFFF"/>
      <w:sz w:val="15"/>
      <w:szCs w:val="15"/>
    </w:rPr>
  </w:style>
  <w:style w:type="paragraph" w:customStyle="1" w:styleId="171">
    <w:name w:val="Îñíîâíîé òåêñò (17)1"/>
    <w:basedOn w:val="a"/>
    <w:uiPriority w:val="99"/>
    <w:rsid w:val="00C84258"/>
    <w:pPr>
      <w:shd w:val="clear" w:color="auto" w:fill="FFFFFF"/>
      <w:autoSpaceDE w:val="0"/>
      <w:autoSpaceDN w:val="0"/>
      <w:adjustRightInd w:val="0"/>
      <w:spacing w:after="0" w:line="202" w:lineRule="exact"/>
      <w:jc w:val="center"/>
    </w:pPr>
    <w:rPr>
      <w:rFonts w:ascii="Franklin Gothic Book" w:hAnsi="Franklin Gothic Book" w:cs="Franklin Gothic Book"/>
      <w:b/>
      <w:bCs/>
      <w:noProof/>
      <w:sz w:val="15"/>
      <w:szCs w:val="15"/>
      <w:lang w:val="en-US"/>
    </w:rPr>
  </w:style>
  <w:style w:type="paragraph" w:customStyle="1" w:styleId="114">
    <w:name w:val="çàãîëîâîê 11"/>
    <w:basedOn w:val="a"/>
    <w:next w:val="a"/>
    <w:uiPriority w:val="99"/>
    <w:rsid w:val="00C84258"/>
    <w:pPr>
      <w:keepNext/>
      <w:autoSpaceDE w:val="0"/>
      <w:autoSpaceDN w:val="0"/>
      <w:adjustRightInd w:val="0"/>
      <w:spacing w:after="0" w:line="240" w:lineRule="auto"/>
      <w:jc w:val="both"/>
    </w:pPr>
    <w:rPr>
      <w:rFonts w:ascii="Times New Roman" w:hAnsi="Times New Roman"/>
      <w:b/>
      <w:bCs/>
      <w:color w:val="0000FF"/>
      <w:sz w:val="16"/>
      <w:szCs w:val="16"/>
    </w:rPr>
  </w:style>
  <w:style w:type="character" w:customStyle="1" w:styleId="affff8">
    <w:name w:val="Îñíîâíîé òåêñò_"/>
    <w:uiPriority w:val="99"/>
    <w:rsid w:val="00C84258"/>
    <w:rPr>
      <w:rFonts w:ascii="Microsoft Sans Serif" w:hAnsi="Microsoft Sans Serif" w:cs="Microsoft Sans Serif"/>
      <w:spacing w:val="-10"/>
      <w:sz w:val="29"/>
      <w:szCs w:val="29"/>
    </w:rPr>
  </w:style>
  <w:style w:type="character" w:customStyle="1" w:styleId="320">
    <w:name w:val="Îñíîâíîé òåêñò (32)_"/>
    <w:uiPriority w:val="99"/>
    <w:rsid w:val="00C84258"/>
    <w:rPr>
      <w:rFonts w:ascii="Arial Narrow" w:hAnsi="Arial Narrow" w:cs="Arial Narrow"/>
      <w:b/>
      <w:bCs/>
      <w:spacing w:val="-20"/>
      <w:sz w:val="67"/>
      <w:szCs w:val="67"/>
    </w:rPr>
  </w:style>
  <w:style w:type="character" w:customStyle="1" w:styleId="291">
    <w:name w:val="Îñíîâíîé òåêñò (29)_"/>
    <w:uiPriority w:val="99"/>
    <w:rsid w:val="00C84258"/>
    <w:rPr>
      <w:rFonts w:ascii="Arial Narrow" w:hAnsi="Arial Narrow" w:cs="Arial Narrow"/>
      <w:i/>
      <w:iCs/>
      <w:sz w:val="15"/>
      <w:szCs w:val="15"/>
    </w:rPr>
  </w:style>
  <w:style w:type="character" w:customStyle="1" w:styleId="313">
    <w:name w:val="Îñíîâíîé òåêñò (31)_"/>
    <w:uiPriority w:val="99"/>
    <w:rsid w:val="00C84258"/>
    <w:rPr>
      <w:rFonts w:ascii="Microsoft Sans Serif" w:hAnsi="Microsoft Sans Serif" w:cs="Microsoft Sans Serif"/>
      <w:i/>
      <w:iCs/>
      <w:spacing w:val="10"/>
      <w:sz w:val="35"/>
      <w:szCs w:val="35"/>
    </w:rPr>
  </w:style>
  <w:style w:type="character" w:customStyle="1" w:styleId="301">
    <w:name w:val="Îñíîâíîé òåêñò (30)_"/>
    <w:uiPriority w:val="99"/>
    <w:rsid w:val="00C84258"/>
    <w:rPr>
      <w:rFonts w:ascii="Arial" w:hAnsi="Arial" w:cs="Arial"/>
      <w:i/>
      <w:iCs/>
      <w:sz w:val="11"/>
      <w:szCs w:val="11"/>
    </w:rPr>
  </w:style>
  <w:style w:type="paragraph" w:customStyle="1" w:styleId="314">
    <w:name w:val="Îñíîâíîé òåêñò (31)"/>
    <w:basedOn w:val="a"/>
    <w:uiPriority w:val="99"/>
    <w:rsid w:val="00C84258"/>
    <w:pPr>
      <w:shd w:val="clear" w:color="auto" w:fill="FFFFFF"/>
      <w:autoSpaceDE w:val="0"/>
      <w:autoSpaceDN w:val="0"/>
      <w:adjustRightInd w:val="0"/>
      <w:spacing w:after="0" w:line="518" w:lineRule="exact"/>
      <w:jc w:val="both"/>
    </w:pPr>
    <w:rPr>
      <w:rFonts w:ascii="Microsoft Sans Serif" w:hAnsi="Microsoft Sans Serif" w:cs="Microsoft Sans Serif"/>
      <w:i/>
      <w:iCs/>
      <w:noProof/>
      <w:spacing w:val="10"/>
      <w:sz w:val="35"/>
      <w:szCs w:val="35"/>
      <w:lang w:val="en-US"/>
    </w:rPr>
  </w:style>
  <w:style w:type="paragraph" w:customStyle="1" w:styleId="321">
    <w:name w:val="Îñíîâíîé òåêñò (32)"/>
    <w:basedOn w:val="a"/>
    <w:uiPriority w:val="99"/>
    <w:rsid w:val="00C84258"/>
    <w:pPr>
      <w:shd w:val="clear" w:color="auto" w:fill="FFFFFF"/>
      <w:autoSpaceDE w:val="0"/>
      <w:autoSpaceDN w:val="0"/>
      <w:adjustRightInd w:val="0"/>
      <w:spacing w:after="240" w:line="240" w:lineRule="atLeast"/>
    </w:pPr>
    <w:rPr>
      <w:rFonts w:ascii="Arial Narrow" w:hAnsi="Arial Narrow" w:cs="Arial Narrow"/>
      <w:b/>
      <w:bCs/>
      <w:noProof/>
      <w:spacing w:val="-20"/>
      <w:sz w:val="67"/>
      <w:szCs w:val="67"/>
      <w:lang w:val="en-US"/>
    </w:rPr>
  </w:style>
  <w:style w:type="paragraph" w:customStyle="1" w:styleId="292">
    <w:name w:val="Îñíîâíîé òåêñò (29)"/>
    <w:basedOn w:val="a"/>
    <w:uiPriority w:val="99"/>
    <w:rsid w:val="00C84258"/>
    <w:pPr>
      <w:shd w:val="clear" w:color="auto" w:fill="FFFFFF"/>
      <w:autoSpaceDE w:val="0"/>
      <w:autoSpaceDN w:val="0"/>
      <w:adjustRightInd w:val="0"/>
      <w:spacing w:after="0" w:line="240" w:lineRule="atLeast"/>
      <w:jc w:val="both"/>
    </w:pPr>
    <w:rPr>
      <w:rFonts w:ascii="Arial Narrow" w:hAnsi="Arial Narrow" w:cs="Arial Narrow"/>
      <w:i/>
      <w:iCs/>
      <w:noProof/>
      <w:sz w:val="15"/>
      <w:szCs w:val="15"/>
      <w:lang w:val="en-US"/>
    </w:rPr>
  </w:style>
  <w:style w:type="paragraph" w:customStyle="1" w:styleId="302">
    <w:name w:val="Îñíîâíîé òåêñò (30)"/>
    <w:basedOn w:val="a"/>
    <w:uiPriority w:val="99"/>
    <w:rsid w:val="00C84258"/>
    <w:pPr>
      <w:shd w:val="clear" w:color="auto" w:fill="FFFFFF"/>
      <w:autoSpaceDE w:val="0"/>
      <w:autoSpaceDN w:val="0"/>
      <w:adjustRightInd w:val="0"/>
      <w:spacing w:after="0" w:line="240" w:lineRule="atLeast"/>
      <w:jc w:val="both"/>
    </w:pPr>
    <w:rPr>
      <w:rFonts w:ascii="Arial" w:hAnsi="Arial" w:cs="Arial"/>
      <w:i/>
      <w:iCs/>
      <w:noProof/>
      <w:sz w:val="11"/>
      <w:szCs w:val="11"/>
      <w:lang w:val="en-US"/>
    </w:rPr>
  </w:style>
  <w:style w:type="character" w:customStyle="1" w:styleId="115">
    <w:name w:val="Îñíîâíîé òåêñò (11)"/>
    <w:uiPriority w:val="99"/>
    <w:rsid w:val="00C84258"/>
    <w:rPr>
      <w:rFonts w:ascii="Microsoft Sans Serif" w:hAnsi="Microsoft Sans Serif" w:cs="Microsoft Sans Serif"/>
      <w:i/>
      <w:iCs/>
      <w:sz w:val="28"/>
      <w:szCs w:val="28"/>
      <w:u w:val="single"/>
    </w:rPr>
  </w:style>
  <w:style w:type="character" w:customStyle="1" w:styleId="116">
    <w:name w:val="Îñíîâíîé òåêñò (11)_"/>
    <w:uiPriority w:val="99"/>
    <w:rsid w:val="00C84258"/>
    <w:rPr>
      <w:rFonts w:ascii="Microsoft Sans Serif" w:hAnsi="Microsoft Sans Serif" w:cs="Microsoft Sans Serif"/>
      <w:i/>
      <w:iCs/>
      <w:sz w:val="28"/>
      <w:szCs w:val="28"/>
    </w:rPr>
  </w:style>
  <w:style w:type="character" w:customStyle="1" w:styleId="111475pt42210pt56">
    <w:name w:val="Îñíîâíîé òåêñò (11) + 147.5 pt42.Íå êóðñèâ21.Èíòåðâàë 0 pt56"/>
    <w:uiPriority w:val="99"/>
    <w:rsid w:val="00C84258"/>
    <w:rPr>
      <w:rFonts w:ascii="Microsoft Sans Serif" w:hAnsi="Microsoft Sans Serif" w:cs="Microsoft Sans Serif"/>
      <w:i/>
      <w:iCs/>
      <w:spacing w:val="-10"/>
      <w:sz w:val="29"/>
      <w:szCs w:val="29"/>
    </w:rPr>
  </w:style>
  <w:style w:type="character" w:customStyle="1" w:styleId="14pt11260pt55">
    <w:name w:val="Îñíîâíîé òåêñò + 14 pt11.Êóðñèâ26.Èíòåðâàë 0 pt55"/>
    <w:uiPriority w:val="99"/>
    <w:rsid w:val="00C84258"/>
    <w:rPr>
      <w:rFonts w:ascii="Microsoft Sans Serif" w:hAnsi="Microsoft Sans Serif" w:cs="Microsoft Sans Serif"/>
      <w:i/>
      <w:iCs/>
      <w:spacing w:val="0"/>
      <w:sz w:val="28"/>
      <w:szCs w:val="28"/>
    </w:rPr>
  </w:style>
  <w:style w:type="character" w:customStyle="1" w:styleId="111465pt41200pt54">
    <w:name w:val="Îñíîâíîé òåêñò (11) + 146.5 pt41.Íå êóðñèâ20.Èíòåðâàë 0 pt54"/>
    <w:uiPriority w:val="99"/>
    <w:rsid w:val="00C84258"/>
    <w:rPr>
      <w:rFonts w:ascii="Microsoft Sans Serif" w:hAnsi="Microsoft Sans Serif" w:cs="Microsoft Sans Serif"/>
      <w:i/>
      <w:iCs/>
      <w:spacing w:val="-10"/>
      <w:sz w:val="29"/>
      <w:szCs w:val="29"/>
    </w:rPr>
  </w:style>
  <w:style w:type="character" w:customStyle="1" w:styleId="111455pt40190pt53">
    <w:name w:val="Îñíîâíîé òåêñò (11) + 145.5 pt40.Íå êóðñèâ19.Èíòåðâàë 0 pt53"/>
    <w:uiPriority w:val="99"/>
    <w:rsid w:val="00C84258"/>
    <w:rPr>
      <w:rFonts w:ascii="Microsoft Sans Serif" w:hAnsi="Microsoft Sans Serif" w:cs="Microsoft Sans Serif"/>
      <w:i/>
      <w:iCs/>
      <w:spacing w:val="-10"/>
      <w:sz w:val="29"/>
      <w:szCs w:val="29"/>
    </w:rPr>
  </w:style>
  <w:style w:type="character" w:customStyle="1" w:styleId="1111">
    <w:name w:val="Îñíîâíîé òåêñò (11)11"/>
    <w:uiPriority w:val="99"/>
    <w:rsid w:val="00C84258"/>
    <w:rPr>
      <w:rFonts w:ascii="Microsoft Sans Serif" w:hAnsi="Microsoft Sans Serif" w:cs="Microsoft Sans Serif"/>
      <w:i/>
      <w:iCs/>
      <w:sz w:val="28"/>
      <w:szCs w:val="28"/>
      <w:u w:val="single"/>
    </w:rPr>
  </w:style>
  <w:style w:type="character" w:customStyle="1" w:styleId="11SimHei1465pt39180pt52">
    <w:name w:val="Îñíîâíîé òåêñò (11) + SimHei.146.5 pt39.Íå êóðñèâ18.Èíòåðâàë 0 pt52"/>
    <w:uiPriority w:val="99"/>
    <w:rsid w:val="00C84258"/>
    <w:rPr>
      <w:rFonts w:ascii="SimHei" w:eastAsia="SimHei" w:hAnsi="Microsoft Sans Serif" w:cs="SimHei"/>
      <w:i/>
      <w:iCs/>
      <w:spacing w:val="-10"/>
      <w:sz w:val="29"/>
      <w:szCs w:val="29"/>
    </w:rPr>
  </w:style>
  <w:style w:type="character" w:customStyle="1" w:styleId="111435pt36120pt48">
    <w:name w:val="Îñíîâíîé òåêñò (11) + 143.5 pt36.Íå êóðñèâ12.Èíòåðâàë 0 pt48"/>
    <w:uiPriority w:val="99"/>
    <w:rsid w:val="00C84258"/>
    <w:rPr>
      <w:rFonts w:ascii="Microsoft Sans Serif" w:hAnsi="Microsoft Sans Serif" w:cs="Microsoft Sans Serif"/>
      <w:i/>
      <w:iCs/>
      <w:spacing w:val="-10"/>
      <w:sz w:val="29"/>
      <w:szCs w:val="29"/>
    </w:rPr>
  </w:style>
  <w:style w:type="character" w:customStyle="1" w:styleId="11SimHei21455pt35110pt47">
    <w:name w:val="Îñíîâíîé òåêñò (11) + SimHei2.145.5 pt35.Íå êóðñèâ11.Èíòåðâàë 0 pt47"/>
    <w:uiPriority w:val="99"/>
    <w:rsid w:val="00C84258"/>
    <w:rPr>
      <w:rFonts w:ascii="SimHei" w:eastAsia="SimHei" w:hAnsi="Microsoft Sans Serif" w:cs="SimHei"/>
      <w:i/>
      <w:iCs/>
      <w:spacing w:val="-10"/>
      <w:sz w:val="29"/>
      <w:szCs w:val="29"/>
    </w:rPr>
  </w:style>
  <w:style w:type="character" w:customStyle="1" w:styleId="14pt10240pt46">
    <w:name w:val="Îñíîâíîé òåêñò + 14 pt10.Êóðñèâ24.Èíòåðâàë 0 pt46"/>
    <w:uiPriority w:val="99"/>
    <w:rsid w:val="00C84258"/>
    <w:rPr>
      <w:rFonts w:ascii="Microsoft Sans Serif" w:hAnsi="Microsoft Sans Serif" w:cs="Microsoft Sans Serif"/>
      <w:i/>
      <w:iCs/>
      <w:spacing w:val="0"/>
      <w:sz w:val="28"/>
      <w:szCs w:val="28"/>
    </w:rPr>
  </w:style>
  <w:style w:type="character" w:customStyle="1" w:styleId="111425pt34100pt45">
    <w:name w:val="Îñíîâíîé òåêñò (11) + 142.5 pt34.Íå êóðñèâ10.Èíòåðâàë 0 pt45"/>
    <w:uiPriority w:val="99"/>
    <w:rsid w:val="00C84258"/>
    <w:rPr>
      <w:rFonts w:ascii="Microsoft Sans Serif" w:hAnsi="Microsoft Sans Serif" w:cs="Microsoft Sans Serif"/>
      <w:i/>
      <w:iCs/>
      <w:spacing w:val="-10"/>
      <w:sz w:val="29"/>
      <w:szCs w:val="29"/>
    </w:rPr>
  </w:style>
  <w:style w:type="character" w:customStyle="1" w:styleId="114pt4">
    <w:name w:val="Îñíîâíîé òåêñò (11) + Èíòåðâàë 4 pt4"/>
    <w:uiPriority w:val="99"/>
    <w:rsid w:val="00C84258"/>
    <w:rPr>
      <w:rFonts w:ascii="Microsoft Sans Serif" w:hAnsi="Microsoft Sans Serif" w:cs="Microsoft Sans Serif"/>
      <w:i/>
      <w:iCs/>
      <w:spacing w:val="80"/>
      <w:sz w:val="28"/>
      <w:szCs w:val="28"/>
    </w:rPr>
  </w:style>
  <w:style w:type="character" w:customStyle="1" w:styleId="118">
    <w:name w:val="Îñíîâíîé òåêñò (11)8"/>
    <w:uiPriority w:val="99"/>
    <w:rsid w:val="00C84258"/>
    <w:rPr>
      <w:rFonts w:ascii="Microsoft Sans Serif" w:hAnsi="Microsoft Sans Serif" w:cs="Microsoft Sans Serif"/>
      <w:i/>
      <w:iCs/>
      <w:sz w:val="28"/>
      <w:szCs w:val="28"/>
    </w:rPr>
  </w:style>
  <w:style w:type="character" w:customStyle="1" w:styleId="114pt3">
    <w:name w:val="Îñíîâíîé òåêñò (11) + Èíòåðâàë 4 pt3"/>
    <w:uiPriority w:val="99"/>
    <w:rsid w:val="00C84258"/>
    <w:rPr>
      <w:rFonts w:ascii="Microsoft Sans Serif" w:hAnsi="Microsoft Sans Serif" w:cs="Microsoft Sans Serif"/>
      <w:i/>
      <w:iCs/>
      <w:spacing w:val="80"/>
      <w:sz w:val="28"/>
      <w:szCs w:val="28"/>
    </w:rPr>
  </w:style>
  <w:style w:type="character" w:customStyle="1" w:styleId="117">
    <w:name w:val="Îñíîâíîé òåêñò (11)7"/>
    <w:uiPriority w:val="99"/>
    <w:rsid w:val="00C84258"/>
    <w:rPr>
      <w:rFonts w:ascii="Microsoft Sans Serif" w:hAnsi="Microsoft Sans Serif" w:cs="Microsoft Sans Serif"/>
      <w:i/>
      <w:iCs/>
      <w:sz w:val="28"/>
      <w:szCs w:val="28"/>
      <w:u w:val="single"/>
    </w:rPr>
  </w:style>
  <w:style w:type="character" w:customStyle="1" w:styleId="111pt7">
    <w:name w:val="Îñíîâíîé òåêñò (11) + Èíòåðâàë 1 pt7"/>
    <w:uiPriority w:val="99"/>
    <w:rsid w:val="00C84258"/>
    <w:rPr>
      <w:rFonts w:ascii="Microsoft Sans Serif" w:hAnsi="Microsoft Sans Serif" w:cs="Microsoft Sans Serif"/>
      <w:i/>
      <w:iCs/>
      <w:spacing w:val="30"/>
      <w:sz w:val="28"/>
      <w:szCs w:val="28"/>
    </w:rPr>
  </w:style>
  <w:style w:type="character" w:customStyle="1" w:styleId="1160">
    <w:name w:val="Îñíîâíîé òåêñò (11)6"/>
    <w:uiPriority w:val="99"/>
    <w:rsid w:val="00C84258"/>
    <w:rPr>
      <w:rFonts w:ascii="Microsoft Sans Serif" w:hAnsi="Microsoft Sans Serif" w:cs="Microsoft Sans Serif"/>
      <w:i/>
      <w:iCs/>
      <w:sz w:val="28"/>
      <w:szCs w:val="28"/>
      <w:u w:val="single"/>
    </w:rPr>
  </w:style>
  <w:style w:type="character" w:customStyle="1" w:styleId="1150">
    <w:name w:val="Îñíîâíîé òåêñò (11)5"/>
    <w:uiPriority w:val="99"/>
    <w:rsid w:val="00C84258"/>
    <w:rPr>
      <w:rFonts w:ascii="Microsoft Sans Serif" w:hAnsi="Microsoft Sans Serif" w:cs="Microsoft Sans Serif"/>
      <w:i/>
      <w:iCs/>
      <w:sz w:val="28"/>
      <w:szCs w:val="28"/>
    </w:rPr>
  </w:style>
  <w:style w:type="character" w:customStyle="1" w:styleId="114pt2">
    <w:name w:val="Îñíîâíîé òåêñò (11) + Èíòåðâàë 4 pt2"/>
    <w:uiPriority w:val="99"/>
    <w:rsid w:val="00C84258"/>
    <w:rPr>
      <w:rFonts w:ascii="Microsoft Sans Serif" w:hAnsi="Microsoft Sans Serif" w:cs="Microsoft Sans Serif"/>
      <w:i/>
      <w:iCs/>
      <w:spacing w:val="80"/>
      <w:sz w:val="28"/>
      <w:szCs w:val="28"/>
    </w:rPr>
  </w:style>
  <w:style w:type="character" w:customStyle="1" w:styleId="111pt6">
    <w:name w:val="Îñíîâíîé òåêñò (11) + Èíòåðâàë 1 pt6"/>
    <w:uiPriority w:val="99"/>
    <w:rsid w:val="00C84258"/>
    <w:rPr>
      <w:rFonts w:ascii="Microsoft Sans Serif" w:hAnsi="Microsoft Sans Serif" w:cs="Microsoft Sans Serif"/>
      <w:i/>
      <w:iCs/>
      <w:spacing w:val="30"/>
      <w:sz w:val="28"/>
      <w:szCs w:val="28"/>
    </w:rPr>
  </w:style>
  <w:style w:type="character" w:customStyle="1" w:styleId="111pt5">
    <w:name w:val="Îñíîâíîé òåêñò (11) + Èíòåðâàë 1 pt5"/>
    <w:uiPriority w:val="99"/>
    <w:rsid w:val="00C84258"/>
    <w:rPr>
      <w:rFonts w:ascii="Microsoft Sans Serif" w:hAnsi="Microsoft Sans Serif" w:cs="Microsoft Sans Serif"/>
      <w:i/>
      <w:iCs/>
      <w:spacing w:val="30"/>
      <w:sz w:val="28"/>
      <w:szCs w:val="28"/>
    </w:rPr>
  </w:style>
  <w:style w:type="character" w:customStyle="1" w:styleId="14pt9230pt44">
    <w:name w:val="Îñíîâíîé òåêñò + 14 pt9.Êóðñèâ23.Èíòåðâàë 0 pt44"/>
    <w:uiPriority w:val="99"/>
    <w:rsid w:val="00C84258"/>
    <w:rPr>
      <w:rFonts w:ascii="Microsoft Sans Serif" w:hAnsi="Microsoft Sans Serif" w:cs="Microsoft Sans Serif"/>
      <w:i/>
      <w:iCs/>
      <w:spacing w:val="0"/>
      <w:sz w:val="28"/>
      <w:szCs w:val="28"/>
    </w:rPr>
  </w:style>
  <w:style w:type="character" w:customStyle="1" w:styleId="114pt1">
    <w:name w:val="Îñíîâíîé òåêñò (11) + Èíòåðâàë 4 pt1"/>
    <w:uiPriority w:val="99"/>
    <w:rsid w:val="00C84258"/>
    <w:rPr>
      <w:rFonts w:ascii="Microsoft Sans Serif" w:hAnsi="Microsoft Sans Serif" w:cs="Microsoft Sans Serif"/>
      <w:i/>
      <w:iCs/>
      <w:spacing w:val="80"/>
      <w:sz w:val="28"/>
      <w:szCs w:val="28"/>
    </w:rPr>
  </w:style>
  <w:style w:type="character" w:customStyle="1" w:styleId="111pt4">
    <w:name w:val="Îñíîâíîé òåêñò (11) + Èíòåðâàë 1 pt4"/>
    <w:uiPriority w:val="99"/>
    <w:rsid w:val="00C84258"/>
    <w:rPr>
      <w:rFonts w:ascii="Microsoft Sans Serif" w:hAnsi="Microsoft Sans Serif" w:cs="Microsoft Sans Serif"/>
      <w:i/>
      <w:iCs/>
      <w:spacing w:val="30"/>
      <w:sz w:val="28"/>
      <w:szCs w:val="28"/>
    </w:rPr>
  </w:style>
  <w:style w:type="character" w:customStyle="1" w:styleId="1140">
    <w:name w:val="Îñíîâíîé òåêñò (11)4"/>
    <w:uiPriority w:val="99"/>
    <w:rsid w:val="00C84258"/>
    <w:rPr>
      <w:rFonts w:ascii="Microsoft Sans Serif" w:hAnsi="Microsoft Sans Serif" w:cs="Microsoft Sans Serif"/>
      <w:i/>
      <w:iCs/>
      <w:sz w:val="28"/>
      <w:szCs w:val="28"/>
    </w:rPr>
  </w:style>
  <w:style w:type="character" w:customStyle="1" w:styleId="111pt3">
    <w:name w:val="Îñíîâíîé òåêñò (11) + Èíòåðâàë 1 pt3"/>
    <w:uiPriority w:val="99"/>
    <w:rsid w:val="00C84258"/>
    <w:rPr>
      <w:rFonts w:ascii="Microsoft Sans Serif" w:hAnsi="Microsoft Sans Serif" w:cs="Microsoft Sans Serif"/>
      <w:i/>
      <w:iCs/>
      <w:spacing w:val="30"/>
      <w:sz w:val="28"/>
      <w:szCs w:val="28"/>
    </w:rPr>
  </w:style>
  <w:style w:type="character" w:customStyle="1" w:styleId="11SimHei1175pt339-2pt">
    <w:name w:val="Îñíîâíîé òåêñò (11) + SimHei1.17.5 pt33.Íå êóðñèâ9.Èíòåðâàë -2 pt"/>
    <w:uiPriority w:val="99"/>
    <w:rsid w:val="00C84258"/>
    <w:rPr>
      <w:rFonts w:ascii="SimHei" w:eastAsia="SimHei" w:hAnsi="Microsoft Sans Serif" w:cs="SimHei"/>
      <w:i/>
      <w:iCs/>
      <w:spacing w:val="-40"/>
      <w:sz w:val="35"/>
      <w:szCs w:val="35"/>
    </w:rPr>
  </w:style>
  <w:style w:type="character" w:customStyle="1" w:styleId="111415pt3180pt43">
    <w:name w:val="Îñíîâíîé òåêñò (11) + 141.5 pt31.Íå êóðñèâ8.Èíòåðâàë 0 pt43"/>
    <w:uiPriority w:val="99"/>
    <w:rsid w:val="00C84258"/>
    <w:rPr>
      <w:rFonts w:ascii="Microsoft Sans Serif" w:hAnsi="Microsoft Sans Serif" w:cs="Microsoft Sans Serif"/>
      <w:i/>
      <w:iCs/>
      <w:spacing w:val="-10"/>
      <w:sz w:val="29"/>
      <w:szCs w:val="29"/>
    </w:rPr>
  </w:style>
  <w:style w:type="character" w:customStyle="1" w:styleId="1130">
    <w:name w:val="Îñíîâíîé òåêñò (11)3"/>
    <w:uiPriority w:val="99"/>
    <w:rsid w:val="00C84258"/>
    <w:rPr>
      <w:rFonts w:ascii="Microsoft Sans Serif" w:hAnsi="Microsoft Sans Serif" w:cs="Microsoft Sans Serif"/>
      <w:i/>
      <w:iCs/>
      <w:sz w:val="28"/>
      <w:szCs w:val="28"/>
    </w:rPr>
  </w:style>
  <w:style w:type="character" w:customStyle="1" w:styleId="320pt">
    <w:name w:val="Îñíîâíîé òåêñò (32) + Èíòåðâàë 0 pt"/>
    <w:uiPriority w:val="99"/>
    <w:rsid w:val="00C84258"/>
    <w:rPr>
      <w:rFonts w:ascii="Arial Narrow" w:hAnsi="Arial Narrow" w:cs="Arial Narrow"/>
      <w:b/>
      <w:bCs/>
      <w:spacing w:val="0"/>
      <w:sz w:val="67"/>
      <w:szCs w:val="67"/>
    </w:rPr>
  </w:style>
  <w:style w:type="character" w:customStyle="1" w:styleId="1425pt220pt33">
    <w:name w:val="Çàãîëîâîê ¹1 + 42.5 pt22.Èíòåðâàë 0 pt33"/>
    <w:uiPriority w:val="99"/>
    <w:rsid w:val="00C84258"/>
    <w:rPr>
      <w:rFonts w:ascii="Arial Narrow" w:hAnsi="Arial Narrow" w:cs="Arial Narrow"/>
      <w:b/>
      <w:bCs/>
      <w:spacing w:val="0"/>
      <w:sz w:val="85"/>
      <w:szCs w:val="85"/>
    </w:rPr>
  </w:style>
  <w:style w:type="character" w:customStyle="1" w:styleId="1f2">
    <w:name w:val="Çàãîëîâîê ¹1_"/>
    <w:uiPriority w:val="99"/>
    <w:rsid w:val="00C84258"/>
    <w:rPr>
      <w:rFonts w:ascii="Arial Narrow" w:hAnsi="Arial Narrow" w:cs="Arial Narrow"/>
      <w:b/>
      <w:bCs/>
      <w:spacing w:val="-10"/>
      <w:sz w:val="104"/>
      <w:szCs w:val="104"/>
    </w:rPr>
  </w:style>
  <w:style w:type="character" w:customStyle="1" w:styleId="14pt7110pt32">
    <w:name w:val="Îñíîâíîé òåêñò + 14 pt7.Êóðñèâ11.Èíòåðâàë 0 pt32"/>
    <w:uiPriority w:val="99"/>
    <w:rsid w:val="00C84258"/>
    <w:rPr>
      <w:rFonts w:ascii="Microsoft Sans Serif" w:hAnsi="Microsoft Sans Serif" w:cs="Microsoft Sans Serif"/>
      <w:i/>
      <w:iCs/>
      <w:spacing w:val="0"/>
      <w:sz w:val="28"/>
      <w:szCs w:val="28"/>
    </w:rPr>
  </w:style>
  <w:style w:type="character" w:customStyle="1" w:styleId="14pt6101pt4">
    <w:name w:val="Îñíîâíîé òåêñò + 14 pt6.Êóðñèâ10.Èíòåðâàë 1 pt4"/>
    <w:uiPriority w:val="99"/>
    <w:rsid w:val="00C84258"/>
    <w:rPr>
      <w:rFonts w:ascii="Microsoft Sans Serif" w:hAnsi="Microsoft Sans Serif" w:cs="Microsoft Sans Serif"/>
      <w:i/>
      <w:iCs/>
      <w:spacing w:val="30"/>
      <w:sz w:val="28"/>
      <w:szCs w:val="28"/>
    </w:rPr>
  </w:style>
  <w:style w:type="character" w:customStyle="1" w:styleId="16pt-1pt4">
    <w:name w:val="Îñíîâíîé òåêñò + 16 pt.Èíòåðâàë -1 pt4"/>
    <w:uiPriority w:val="99"/>
    <w:rsid w:val="00C84258"/>
    <w:rPr>
      <w:rFonts w:ascii="Microsoft Sans Serif" w:hAnsi="Microsoft Sans Serif" w:cs="Microsoft Sans Serif"/>
      <w:spacing w:val="-20"/>
      <w:sz w:val="32"/>
      <w:szCs w:val="32"/>
    </w:rPr>
  </w:style>
  <w:style w:type="character" w:customStyle="1" w:styleId="14pt590pt31">
    <w:name w:val="Îñíîâíîé òåêñò + 14 pt5.Êóðñèâ9.Èíòåðâàë 0 pt31"/>
    <w:uiPriority w:val="99"/>
    <w:rsid w:val="00C84258"/>
    <w:rPr>
      <w:rFonts w:ascii="Microsoft Sans Serif" w:hAnsi="Microsoft Sans Serif" w:cs="Microsoft Sans Serif"/>
      <w:i/>
      <w:iCs/>
      <w:spacing w:val="0"/>
      <w:sz w:val="28"/>
      <w:szCs w:val="28"/>
    </w:rPr>
  </w:style>
  <w:style w:type="character" w:customStyle="1" w:styleId="142">
    <w:name w:val="Îñíîâíîé òåêñò (14)_"/>
    <w:uiPriority w:val="99"/>
    <w:rsid w:val="00C84258"/>
    <w:rPr>
      <w:rFonts w:ascii="Franklin Gothic Demi" w:hAnsi="Franklin Gothic Demi" w:cs="Franklin Gothic Demi"/>
      <w:sz w:val="26"/>
      <w:szCs w:val="26"/>
    </w:rPr>
  </w:style>
  <w:style w:type="character" w:customStyle="1" w:styleId="111pt2">
    <w:name w:val="Îñíîâíîé òåêñò (11) + Èíòåðâàë 1 pt2"/>
    <w:uiPriority w:val="99"/>
    <w:rsid w:val="00C84258"/>
    <w:rPr>
      <w:rFonts w:ascii="Microsoft Sans Serif" w:hAnsi="Microsoft Sans Serif" w:cs="Microsoft Sans Serif"/>
      <w:i/>
      <w:iCs/>
      <w:spacing w:val="30"/>
      <w:sz w:val="28"/>
      <w:szCs w:val="28"/>
    </w:rPr>
  </w:style>
  <w:style w:type="character" w:customStyle="1" w:styleId="1120">
    <w:name w:val="Îñíîâíîé òåêñò (11)2"/>
    <w:uiPriority w:val="99"/>
    <w:rsid w:val="00C84258"/>
    <w:rPr>
      <w:rFonts w:ascii="Microsoft Sans Serif" w:hAnsi="Microsoft Sans Serif" w:cs="Microsoft Sans Serif"/>
      <w:i/>
      <w:iCs/>
      <w:spacing w:val="0"/>
      <w:sz w:val="28"/>
      <w:szCs w:val="28"/>
    </w:rPr>
  </w:style>
  <w:style w:type="character" w:customStyle="1" w:styleId="15pt880pt30">
    <w:name w:val="Îñíîâíîé òåêñò + 15 pt.Ïîëóæèðíûé8.Êóðñèâ8.Èíòåðâàë 0 pt30"/>
    <w:uiPriority w:val="99"/>
    <w:rsid w:val="00C84258"/>
    <w:rPr>
      <w:rFonts w:ascii="Microsoft Sans Serif" w:hAnsi="Microsoft Sans Serif" w:cs="Microsoft Sans Serif"/>
      <w:b/>
      <w:bCs/>
      <w:i/>
      <w:iCs/>
      <w:spacing w:val="10"/>
      <w:sz w:val="30"/>
      <w:szCs w:val="30"/>
    </w:rPr>
  </w:style>
  <w:style w:type="character" w:customStyle="1" w:styleId="15pt2771pt3">
    <w:name w:val="Îñíîâíîé òåêñò + 15 pt2.Ïîëóæèðíûé7.Êóðñèâ7.Èíòåðâàë 1 pt3"/>
    <w:uiPriority w:val="99"/>
    <w:rsid w:val="00C84258"/>
    <w:rPr>
      <w:rFonts w:ascii="Microsoft Sans Serif" w:hAnsi="Microsoft Sans Serif" w:cs="Microsoft Sans Serif"/>
      <w:b/>
      <w:bCs/>
      <w:i/>
      <w:iCs/>
      <w:spacing w:val="30"/>
      <w:sz w:val="30"/>
      <w:szCs w:val="30"/>
    </w:rPr>
  </w:style>
  <w:style w:type="character" w:customStyle="1" w:styleId="14pt460pt29">
    <w:name w:val="Îñíîâíîé òåêñò + 14 pt4.Êóðñèâ6.Èíòåðâàë 0 pt29"/>
    <w:uiPriority w:val="99"/>
    <w:rsid w:val="00C84258"/>
    <w:rPr>
      <w:rFonts w:ascii="Microsoft Sans Serif" w:hAnsi="Microsoft Sans Serif" w:cs="Microsoft Sans Serif"/>
      <w:i/>
      <w:iCs/>
      <w:spacing w:val="0"/>
      <w:sz w:val="28"/>
      <w:szCs w:val="28"/>
    </w:rPr>
  </w:style>
  <w:style w:type="character" w:customStyle="1" w:styleId="0pt18">
    <w:name w:val="Îñíîâíîé òåêñò + Êóðñèâ.Èíòåðâàë 0 pt18"/>
    <w:uiPriority w:val="99"/>
    <w:rsid w:val="00C84258"/>
    <w:rPr>
      <w:rFonts w:ascii="Arial" w:hAnsi="Arial" w:cs="Arial"/>
      <w:i/>
      <w:iCs/>
      <w:spacing w:val="-10"/>
      <w:sz w:val="16"/>
      <w:szCs w:val="16"/>
    </w:rPr>
  </w:style>
  <w:style w:type="character" w:customStyle="1" w:styleId="2f1">
    <w:name w:val="Ïîäïèñü ê òàáëèöå (2)"/>
    <w:uiPriority w:val="99"/>
    <w:rsid w:val="00C84258"/>
    <w:rPr>
      <w:rFonts w:ascii="Arial" w:hAnsi="Arial" w:cs="Arial"/>
      <w:sz w:val="14"/>
      <w:szCs w:val="14"/>
      <w:u w:val="single"/>
    </w:rPr>
  </w:style>
  <w:style w:type="character" w:customStyle="1" w:styleId="2f2">
    <w:name w:val="Ïîäïèñü ê òàáëèöå (2)_"/>
    <w:uiPriority w:val="99"/>
    <w:rsid w:val="00C84258"/>
    <w:rPr>
      <w:rFonts w:ascii="Arial" w:hAnsi="Arial" w:cs="Arial"/>
      <w:sz w:val="14"/>
      <w:szCs w:val="14"/>
    </w:rPr>
  </w:style>
  <w:style w:type="character" w:customStyle="1" w:styleId="710">
    <w:name w:val="Îñíîâíîé òåêñò (7)10"/>
    <w:uiPriority w:val="99"/>
    <w:rsid w:val="00C84258"/>
    <w:rPr>
      <w:rFonts w:ascii="Arial" w:hAnsi="Arial" w:cs="Arial"/>
      <w:i/>
      <w:iCs/>
      <w:spacing w:val="-10"/>
      <w:sz w:val="16"/>
      <w:szCs w:val="16"/>
      <w:u w:val="single"/>
    </w:rPr>
  </w:style>
  <w:style w:type="character" w:customStyle="1" w:styleId="77">
    <w:name w:val="Îñíîâíîé òåêñò (7)_"/>
    <w:uiPriority w:val="99"/>
    <w:rsid w:val="00C84258"/>
    <w:rPr>
      <w:rFonts w:ascii="Arial" w:hAnsi="Arial" w:cs="Arial"/>
      <w:i/>
      <w:iCs/>
      <w:spacing w:val="-10"/>
      <w:sz w:val="16"/>
      <w:szCs w:val="16"/>
    </w:rPr>
  </w:style>
  <w:style w:type="character" w:customStyle="1" w:styleId="15ArialNarrow18">
    <w:name w:val="Îñíîâíîé òåêñò (15) + Arial Narrow.Êóðñèâ18"/>
    <w:uiPriority w:val="99"/>
    <w:rsid w:val="00C84258"/>
    <w:rPr>
      <w:rFonts w:ascii="Arial Narrow" w:hAnsi="Arial Narrow" w:cs="Arial Narrow"/>
      <w:i/>
      <w:iCs/>
      <w:spacing w:val="0"/>
      <w:sz w:val="15"/>
      <w:szCs w:val="15"/>
    </w:rPr>
  </w:style>
  <w:style w:type="character" w:customStyle="1" w:styleId="151">
    <w:name w:val="Îñíîâíîé òåêñò (15)_"/>
    <w:uiPriority w:val="99"/>
    <w:rsid w:val="00C84258"/>
    <w:rPr>
      <w:rFonts w:ascii="Garamond" w:hAnsi="Garamond" w:cs="Garamond"/>
      <w:sz w:val="13"/>
      <w:szCs w:val="13"/>
    </w:rPr>
  </w:style>
  <w:style w:type="character" w:customStyle="1" w:styleId="29Arial">
    <w:name w:val="Îñíîâíîé òåêñò (29) + Arial.Íå êóðñèâ"/>
    <w:uiPriority w:val="99"/>
    <w:rsid w:val="00C84258"/>
    <w:rPr>
      <w:rFonts w:ascii="Arial" w:hAnsi="Arial" w:cs="Arial"/>
      <w:i/>
      <w:iCs/>
      <w:sz w:val="15"/>
      <w:szCs w:val="15"/>
    </w:rPr>
  </w:style>
  <w:style w:type="character" w:customStyle="1" w:styleId="3f0">
    <w:name w:val="Ïîäïèñü ê òàáëèöå (3)"/>
    <w:uiPriority w:val="99"/>
    <w:rsid w:val="00C84258"/>
    <w:rPr>
      <w:rFonts w:ascii="Arial" w:hAnsi="Arial" w:cs="Arial"/>
      <w:i/>
      <w:iCs/>
      <w:spacing w:val="-10"/>
      <w:sz w:val="16"/>
      <w:szCs w:val="16"/>
      <w:u w:val="single"/>
    </w:rPr>
  </w:style>
  <w:style w:type="character" w:customStyle="1" w:styleId="3f1">
    <w:name w:val="Ïîäïèñü ê òàáëèöå (3)_"/>
    <w:uiPriority w:val="99"/>
    <w:rsid w:val="00C84258"/>
    <w:rPr>
      <w:rFonts w:ascii="Arial" w:hAnsi="Arial" w:cs="Arial"/>
      <w:i/>
      <w:iCs/>
      <w:spacing w:val="-10"/>
      <w:sz w:val="16"/>
      <w:szCs w:val="16"/>
    </w:rPr>
  </w:style>
  <w:style w:type="character" w:customStyle="1" w:styleId="79">
    <w:name w:val="Îñíîâíîé òåêñò (7)9"/>
    <w:uiPriority w:val="99"/>
    <w:rsid w:val="00C84258"/>
    <w:rPr>
      <w:rFonts w:ascii="Arial" w:hAnsi="Arial" w:cs="Arial"/>
      <w:i/>
      <w:iCs/>
      <w:spacing w:val="-10"/>
      <w:sz w:val="16"/>
      <w:szCs w:val="16"/>
      <w:u w:val="single"/>
    </w:rPr>
  </w:style>
  <w:style w:type="character" w:customStyle="1" w:styleId="111425pt34100pt4529Arial37pt3">
    <w:name w:val="Îñíîâíîé òåêñò (11) + 142.5 pt34.Íå êóðñèâ10.Èíòåðâàë 0 pt45.Îñíîâíîé òåêñò (29) + Arial3.7 pt3"/>
    <w:uiPriority w:val="99"/>
    <w:rsid w:val="00C84258"/>
    <w:rPr>
      <w:rFonts w:ascii="Microsoft Sans Serif" w:hAnsi="Microsoft Sans Serif" w:cs="Microsoft Sans Serif"/>
      <w:i/>
      <w:iCs/>
      <w:spacing w:val="-10"/>
      <w:sz w:val="29"/>
      <w:szCs w:val="29"/>
    </w:rPr>
  </w:style>
  <w:style w:type="character" w:customStyle="1" w:styleId="28ArialNarrow75pt2617">
    <w:name w:val="Îñíîâíîé òåêñò (28) + Arial Narrow.7.5 pt26.Êóðñèâ17"/>
    <w:uiPriority w:val="99"/>
    <w:rsid w:val="00C84258"/>
    <w:rPr>
      <w:rFonts w:ascii="Arial Narrow" w:hAnsi="Arial Narrow" w:cs="Arial Narrow"/>
      <w:i/>
      <w:iCs/>
      <w:sz w:val="15"/>
      <w:szCs w:val="15"/>
    </w:rPr>
  </w:style>
  <w:style w:type="character" w:customStyle="1" w:styleId="282">
    <w:name w:val="Îñíîâíîé òåêñò (28)_"/>
    <w:uiPriority w:val="99"/>
    <w:rsid w:val="00C84258"/>
    <w:rPr>
      <w:rFonts w:ascii="Arial" w:hAnsi="Arial" w:cs="Arial"/>
      <w:sz w:val="14"/>
      <w:szCs w:val="14"/>
    </w:rPr>
  </w:style>
  <w:style w:type="character" w:customStyle="1" w:styleId="11SimHei1175pt339-2pt785pt250pt17">
    <w:name w:val="Îñíîâíîé òåêñò (11) + SimHei1.17.5 pt33.Íå êóðñèâ9.Èíòåðâàë -2 pt.Îñíîâíîé òåêñò (7) + 8.5 pt25.Èíòåðâàë 0 pt17"/>
    <w:uiPriority w:val="99"/>
    <w:rsid w:val="00C84258"/>
    <w:rPr>
      <w:rFonts w:ascii="SimHei" w:eastAsia="SimHei" w:cs="SimHei"/>
      <w:i/>
      <w:iCs/>
      <w:spacing w:val="-40"/>
      <w:sz w:val="35"/>
      <w:szCs w:val="35"/>
    </w:rPr>
  </w:style>
  <w:style w:type="character" w:customStyle="1" w:styleId="78">
    <w:name w:val="Îñíîâíîé òåêñò (7)8"/>
    <w:uiPriority w:val="99"/>
    <w:rsid w:val="00C84258"/>
    <w:rPr>
      <w:rFonts w:ascii="Arial" w:hAnsi="Arial" w:cs="Arial"/>
      <w:i/>
      <w:iCs/>
      <w:spacing w:val="-10"/>
      <w:sz w:val="16"/>
      <w:szCs w:val="16"/>
      <w:u w:val="single"/>
    </w:rPr>
  </w:style>
  <w:style w:type="character" w:customStyle="1" w:styleId="315">
    <w:name w:val="Îñíîâíîé òåêñò (31) + Êóðñèâ"/>
    <w:uiPriority w:val="99"/>
    <w:rsid w:val="00C84258"/>
    <w:rPr>
      <w:rFonts w:ascii="Arial" w:hAnsi="Arial" w:cs="Arial"/>
      <w:i/>
      <w:iCs/>
      <w:spacing w:val="0"/>
      <w:sz w:val="11"/>
      <w:szCs w:val="11"/>
    </w:rPr>
  </w:style>
  <w:style w:type="character" w:customStyle="1" w:styleId="303">
    <w:name w:val="Îñíîâíîé òåêñò (30) + Íå êóðñèâ"/>
    <w:uiPriority w:val="99"/>
    <w:rsid w:val="00C84258"/>
    <w:rPr>
      <w:rFonts w:ascii="Arial" w:hAnsi="Arial" w:cs="Arial"/>
      <w:i/>
      <w:iCs/>
      <w:sz w:val="11"/>
      <w:szCs w:val="11"/>
    </w:rPr>
  </w:style>
  <w:style w:type="character" w:customStyle="1" w:styleId="85pt2415">
    <w:name w:val="Îñíîâíîé òåêñò + 8.5 pt24.Ïîëóæèðíûé15"/>
    <w:uiPriority w:val="99"/>
    <w:rsid w:val="00C84258"/>
    <w:rPr>
      <w:rFonts w:ascii="Arial" w:hAnsi="Arial" w:cs="Arial"/>
      <w:b/>
      <w:bCs/>
      <w:spacing w:val="0"/>
      <w:sz w:val="17"/>
      <w:szCs w:val="17"/>
    </w:rPr>
  </w:style>
  <w:style w:type="character" w:customStyle="1" w:styleId="20pt15">
    <w:name w:val="Îñíîâíîé òåêñò + Êóðñèâ2.Èíòåðâàë 0 pt15"/>
    <w:uiPriority w:val="99"/>
    <w:rsid w:val="00C84258"/>
    <w:rPr>
      <w:rFonts w:ascii="Arial" w:hAnsi="Arial" w:cs="Arial"/>
      <w:i/>
      <w:iCs/>
      <w:spacing w:val="-10"/>
      <w:sz w:val="16"/>
      <w:szCs w:val="16"/>
    </w:rPr>
  </w:style>
  <w:style w:type="character" w:customStyle="1" w:styleId="3010">
    <w:name w:val="Îñíîâíîé òåêñò (30) + Íå êóðñèâ1"/>
    <w:uiPriority w:val="99"/>
    <w:rsid w:val="00C84258"/>
    <w:rPr>
      <w:rFonts w:ascii="Arial" w:hAnsi="Arial" w:cs="Arial"/>
      <w:i/>
      <w:iCs/>
      <w:sz w:val="11"/>
      <w:szCs w:val="11"/>
    </w:rPr>
  </w:style>
  <w:style w:type="character" w:customStyle="1" w:styleId="3110">
    <w:name w:val="Îñíîâíîé òåêñò (31) + Êóðñèâ1"/>
    <w:uiPriority w:val="99"/>
    <w:rsid w:val="00C84258"/>
    <w:rPr>
      <w:rFonts w:ascii="Arial" w:hAnsi="Arial" w:cs="Arial"/>
      <w:i/>
      <w:iCs/>
      <w:spacing w:val="0"/>
      <w:sz w:val="11"/>
      <w:szCs w:val="11"/>
    </w:rPr>
  </w:style>
  <w:style w:type="character" w:customStyle="1" w:styleId="295pt232-1pt67TimesNewRoman910pt14">
    <w:name w:val="Îñíîâíîé òåêñò (2) + 9.5 pt23.Íå êóðñèâ2.Èíòåðâàë -1 pt6.Îñíîâíîé òåêñò (7) + Times New Roman.91.Èíòåðâàë 0 pt14"/>
    <w:uiPriority w:val="99"/>
    <w:rsid w:val="00C84258"/>
    <w:rPr>
      <w:rFonts w:ascii="Microsoft Sans Serif" w:hAnsi="Microsoft Sans Serif" w:cs="Microsoft Sans Serif"/>
      <w:i/>
      <w:iCs/>
      <w:spacing w:val="-20"/>
      <w:sz w:val="19"/>
      <w:szCs w:val="19"/>
    </w:rPr>
  </w:style>
  <w:style w:type="character" w:customStyle="1" w:styleId="70pt13">
    <w:name w:val="Îñíîâíîé òåêñò (7) + Íå êóðñèâ.Èíòåðâàë 0 pt13"/>
    <w:uiPriority w:val="99"/>
    <w:rsid w:val="00C84258"/>
    <w:rPr>
      <w:rFonts w:ascii="Arial" w:hAnsi="Arial" w:cs="Arial"/>
      <w:i/>
      <w:iCs/>
      <w:spacing w:val="0"/>
      <w:sz w:val="16"/>
      <w:szCs w:val="16"/>
    </w:rPr>
  </w:style>
  <w:style w:type="character" w:customStyle="1" w:styleId="770">
    <w:name w:val="Îñíîâíîé òåêñò (7)7"/>
    <w:uiPriority w:val="99"/>
    <w:rsid w:val="00C84258"/>
    <w:rPr>
      <w:rFonts w:ascii="Arial" w:hAnsi="Arial" w:cs="Arial"/>
      <w:i/>
      <w:iCs/>
      <w:spacing w:val="-10"/>
      <w:sz w:val="16"/>
      <w:szCs w:val="16"/>
      <w:u w:val="single"/>
    </w:rPr>
  </w:style>
  <w:style w:type="character" w:customStyle="1" w:styleId="1425pt220pt337SimHei7100pt12">
    <w:name w:val="Çàãîëîâîê ¹1 + 42.5 pt22.Èíòåðâàë 0 pt33.Îñíîâíîé òåêñò (7) + SimHei.710.Èíòåðâàë 0 pt12"/>
    <w:uiPriority w:val="99"/>
    <w:rsid w:val="00C84258"/>
    <w:rPr>
      <w:rFonts w:ascii="Arial Narrow" w:hAnsi="Arial Narrow" w:cs="Arial Narrow"/>
      <w:b/>
      <w:bCs/>
      <w:spacing w:val="0"/>
      <w:sz w:val="85"/>
      <w:szCs w:val="85"/>
    </w:rPr>
  </w:style>
  <w:style w:type="character" w:customStyle="1" w:styleId="760">
    <w:name w:val="Îñíîâíîé òåêñò (7)6"/>
    <w:uiPriority w:val="99"/>
    <w:rsid w:val="00C84258"/>
    <w:rPr>
      <w:rFonts w:ascii="Arial" w:hAnsi="Arial" w:cs="Arial"/>
      <w:i/>
      <w:iCs/>
      <w:spacing w:val="-10"/>
      <w:sz w:val="16"/>
      <w:szCs w:val="16"/>
      <w:u w:val="single"/>
    </w:rPr>
  </w:style>
  <w:style w:type="character" w:customStyle="1" w:styleId="720pt11">
    <w:name w:val="Îñíîâíîé òåêñò (7) + Íå êóðñèâ2.Èíòåðâàë 0 pt11"/>
    <w:uiPriority w:val="99"/>
    <w:rsid w:val="00C84258"/>
    <w:rPr>
      <w:rFonts w:ascii="Arial" w:hAnsi="Arial" w:cs="Arial"/>
      <w:i/>
      <w:iCs/>
      <w:spacing w:val="0"/>
      <w:sz w:val="16"/>
      <w:szCs w:val="16"/>
    </w:rPr>
  </w:style>
  <w:style w:type="character" w:customStyle="1" w:styleId="750">
    <w:name w:val="Îñíîâíîé òåêñò (7)5"/>
    <w:uiPriority w:val="99"/>
    <w:rsid w:val="00C84258"/>
    <w:rPr>
      <w:rFonts w:ascii="Arial" w:hAnsi="Arial" w:cs="Arial"/>
      <w:i/>
      <w:iCs/>
      <w:spacing w:val="-10"/>
      <w:sz w:val="16"/>
      <w:szCs w:val="16"/>
      <w:u w:val="single"/>
    </w:rPr>
  </w:style>
  <w:style w:type="character" w:customStyle="1" w:styleId="740">
    <w:name w:val="Îñíîâíîé òåêñò (7)4"/>
    <w:uiPriority w:val="99"/>
    <w:rsid w:val="00C84258"/>
    <w:rPr>
      <w:rFonts w:ascii="Arial" w:hAnsi="Arial" w:cs="Arial"/>
      <w:i/>
      <w:iCs/>
      <w:spacing w:val="-10"/>
      <w:sz w:val="16"/>
      <w:szCs w:val="16"/>
      <w:u w:val="single"/>
    </w:rPr>
  </w:style>
  <w:style w:type="character" w:customStyle="1" w:styleId="730">
    <w:name w:val="Îñíîâíîé òåêñò (7)3"/>
    <w:uiPriority w:val="99"/>
    <w:rsid w:val="00C84258"/>
    <w:rPr>
      <w:rFonts w:ascii="Arial" w:hAnsi="Arial" w:cs="Arial"/>
      <w:i/>
      <w:iCs/>
      <w:spacing w:val="-10"/>
      <w:sz w:val="16"/>
      <w:szCs w:val="16"/>
      <w:u w:val="single"/>
    </w:rPr>
  </w:style>
  <w:style w:type="character" w:customStyle="1" w:styleId="720">
    <w:name w:val="Îñíîâíîé òåêñò (7)2"/>
    <w:uiPriority w:val="99"/>
    <w:rsid w:val="00C84258"/>
    <w:rPr>
      <w:rFonts w:ascii="Arial" w:hAnsi="Arial" w:cs="Arial"/>
      <w:i/>
      <w:iCs/>
      <w:spacing w:val="-10"/>
      <w:sz w:val="16"/>
      <w:szCs w:val="16"/>
      <w:u w:val="single"/>
    </w:rPr>
  </w:style>
  <w:style w:type="character" w:customStyle="1" w:styleId="2FranklinGothicDemi113pt760pt417SimHei17pt20pt10">
    <w:name w:val="Îñíîâíîé òåêñò (2) + Franklin Gothic Demi1.13 pt7.Íå êóðñèâ6.Èíòåðâàë 0 pt41.Îñíîâíîé òåêñò (7) + SimHei1.7 pt2.Èíòåðâàë 0 pt10"/>
    <w:uiPriority w:val="99"/>
    <w:rsid w:val="00C84258"/>
    <w:rPr>
      <w:rFonts w:ascii="Franklin Gothic Demi" w:hAnsi="Franklin Gothic Demi" w:cs="Franklin Gothic Demi"/>
      <w:i/>
      <w:iCs/>
      <w:spacing w:val="0"/>
      <w:sz w:val="26"/>
      <w:szCs w:val="26"/>
    </w:rPr>
  </w:style>
  <w:style w:type="character" w:customStyle="1" w:styleId="222">
    <w:name w:val="Îñíîâíîé òåêñò (22)"/>
    <w:uiPriority w:val="99"/>
    <w:rsid w:val="00C84258"/>
    <w:rPr>
      <w:rFonts w:ascii="Arial" w:hAnsi="Arial" w:cs="Arial"/>
      <w:i/>
      <w:iCs/>
      <w:spacing w:val="-10"/>
      <w:sz w:val="17"/>
      <w:szCs w:val="17"/>
      <w:u w:val="single"/>
    </w:rPr>
  </w:style>
  <w:style w:type="character" w:customStyle="1" w:styleId="223">
    <w:name w:val="Îñíîâíîé òåêñò (22)_"/>
    <w:uiPriority w:val="99"/>
    <w:rsid w:val="00C84258"/>
    <w:rPr>
      <w:rFonts w:ascii="Arial" w:hAnsi="Arial" w:cs="Arial"/>
      <w:i/>
      <w:iCs/>
      <w:spacing w:val="-10"/>
      <w:sz w:val="17"/>
      <w:szCs w:val="17"/>
    </w:rPr>
  </w:style>
  <w:style w:type="character" w:customStyle="1" w:styleId="2260pt23">
    <w:name w:val="Îñíîâíîé òåêñò (22) + Íå êóðñèâ6.Èíòåðâàë 0 pt23"/>
    <w:uiPriority w:val="99"/>
    <w:rsid w:val="00C84258"/>
    <w:rPr>
      <w:rFonts w:ascii="Arial" w:hAnsi="Arial" w:cs="Arial"/>
      <w:i/>
      <w:iCs/>
      <w:spacing w:val="0"/>
      <w:sz w:val="17"/>
      <w:szCs w:val="17"/>
    </w:rPr>
  </w:style>
  <w:style w:type="character" w:customStyle="1" w:styleId="225">
    <w:name w:val="Îñíîâíîé òåêñò (22)5"/>
    <w:uiPriority w:val="99"/>
    <w:rsid w:val="00C84258"/>
    <w:rPr>
      <w:rFonts w:ascii="Arial" w:hAnsi="Arial" w:cs="Arial"/>
      <w:i/>
      <w:iCs/>
      <w:spacing w:val="-10"/>
      <w:sz w:val="17"/>
      <w:szCs w:val="17"/>
      <w:u w:val="single"/>
    </w:rPr>
  </w:style>
  <w:style w:type="character" w:customStyle="1" w:styleId="111415pt3180pt43294pt">
    <w:name w:val="Îñíîâíîé òåêñò (11) + 141.5 pt31.Íå êóðñèâ8.Èíòåðâàë 0 pt43.Îñíîâíîé òåêñò (29) + 4 pt"/>
    <w:uiPriority w:val="99"/>
    <w:rsid w:val="00C84258"/>
    <w:rPr>
      <w:rFonts w:ascii="Microsoft Sans Serif" w:hAnsi="Microsoft Sans Serif" w:cs="Microsoft Sans Serif"/>
      <w:i/>
      <w:iCs/>
      <w:spacing w:val="-10"/>
      <w:sz w:val="29"/>
      <w:szCs w:val="29"/>
    </w:rPr>
  </w:style>
  <w:style w:type="character" w:customStyle="1" w:styleId="80pt22">
    <w:name w:val="Îñíîâíîé òåêñò + Êóðñèâ8.Èíòåðâàë 0 pt22"/>
    <w:uiPriority w:val="99"/>
    <w:rsid w:val="00C84258"/>
    <w:rPr>
      <w:rFonts w:ascii="Arial" w:hAnsi="Arial" w:cs="Arial"/>
      <w:i/>
      <w:iCs/>
      <w:spacing w:val="-10"/>
      <w:sz w:val="17"/>
      <w:szCs w:val="17"/>
    </w:rPr>
  </w:style>
  <w:style w:type="character" w:customStyle="1" w:styleId="2250pt21">
    <w:name w:val="Îñíîâíîé òåêñò (22) + Íå êóðñèâ5.Èíòåðâàë 0 pt21"/>
    <w:uiPriority w:val="99"/>
    <w:rsid w:val="00C84258"/>
    <w:rPr>
      <w:rFonts w:ascii="Arial" w:hAnsi="Arial" w:cs="Arial"/>
      <w:i/>
      <w:iCs/>
      <w:spacing w:val="0"/>
      <w:sz w:val="17"/>
      <w:szCs w:val="17"/>
    </w:rPr>
  </w:style>
  <w:style w:type="character" w:customStyle="1" w:styleId="224">
    <w:name w:val="Îñíîâíîé òåêñò (22)4"/>
    <w:uiPriority w:val="99"/>
    <w:rsid w:val="00C84258"/>
    <w:rPr>
      <w:rFonts w:ascii="Arial" w:hAnsi="Arial" w:cs="Arial"/>
      <w:i/>
      <w:iCs/>
      <w:spacing w:val="-10"/>
      <w:sz w:val="17"/>
      <w:szCs w:val="17"/>
      <w:u w:val="single"/>
    </w:rPr>
  </w:style>
  <w:style w:type="character" w:customStyle="1" w:styleId="7Tahoma925pt20">
    <w:name w:val="Çàãîëîâîê ¹7 + Tahoma.92.5 pt20"/>
    <w:uiPriority w:val="99"/>
    <w:rsid w:val="00C84258"/>
    <w:rPr>
      <w:rFonts w:ascii="Tahoma" w:hAnsi="Tahoma" w:cs="Tahoma"/>
      <w:sz w:val="19"/>
      <w:szCs w:val="19"/>
    </w:rPr>
  </w:style>
  <w:style w:type="character" w:customStyle="1" w:styleId="7a">
    <w:name w:val="Çàãîëîâîê ¹7_"/>
    <w:uiPriority w:val="99"/>
    <w:rsid w:val="00C84258"/>
    <w:rPr>
      <w:rFonts w:ascii="Arial" w:hAnsi="Arial" w:cs="Arial"/>
      <w:sz w:val="16"/>
      <w:szCs w:val="16"/>
    </w:rPr>
  </w:style>
  <w:style w:type="character" w:customStyle="1" w:styleId="2230">
    <w:name w:val="Îñíîâíîé òåêñò (22)3"/>
    <w:uiPriority w:val="99"/>
    <w:rsid w:val="00C84258"/>
    <w:rPr>
      <w:rFonts w:ascii="Arial" w:hAnsi="Arial" w:cs="Arial"/>
      <w:i/>
      <w:iCs/>
      <w:spacing w:val="-10"/>
      <w:sz w:val="17"/>
      <w:szCs w:val="17"/>
      <w:u w:val="single"/>
    </w:rPr>
  </w:style>
  <w:style w:type="character" w:customStyle="1" w:styleId="70pt20">
    <w:name w:val="Îñíîâíîé òåêñò + Êóðñèâ7.Èíòåðâàë 0 pt20"/>
    <w:uiPriority w:val="99"/>
    <w:rsid w:val="00C84258"/>
    <w:rPr>
      <w:rFonts w:ascii="Arial" w:hAnsi="Arial" w:cs="Arial"/>
      <w:i/>
      <w:iCs/>
      <w:spacing w:val="-10"/>
      <w:sz w:val="17"/>
      <w:szCs w:val="17"/>
    </w:rPr>
  </w:style>
  <w:style w:type="character" w:customStyle="1" w:styleId="2240pt19">
    <w:name w:val="Îñíîâíîé òåêñò (22) + Íå êóðñèâ4.Èíòåðâàë 0 pt19"/>
    <w:uiPriority w:val="99"/>
    <w:rsid w:val="00C84258"/>
    <w:rPr>
      <w:rFonts w:ascii="Arial" w:hAnsi="Arial" w:cs="Arial"/>
      <w:i/>
      <w:iCs/>
      <w:spacing w:val="0"/>
      <w:sz w:val="17"/>
      <w:szCs w:val="17"/>
    </w:rPr>
  </w:style>
  <w:style w:type="character" w:customStyle="1" w:styleId="0pt186">
    <w:name w:val="Îñíîâíîé òåêñò + Êóðñèâ.Èíòåðâàë 0 pt18.Îñíîâíîé òåêñò + Êóðñèâ6"/>
    <w:uiPriority w:val="99"/>
    <w:rsid w:val="00C84258"/>
    <w:rPr>
      <w:rFonts w:ascii="Arial" w:hAnsi="Arial" w:cs="Arial"/>
      <w:i/>
      <w:iCs/>
      <w:spacing w:val="-10"/>
      <w:sz w:val="16"/>
      <w:szCs w:val="16"/>
    </w:rPr>
  </w:style>
  <w:style w:type="character" w:customStyle="1" w:styleId="SimHei735pt19">
    <w:name w:val="Îñíîâíîé òåêñò + SimHei.73.5 pt19"/>
    <w:uiPriority w:val="99"/>
    <w:rsid w:val="00C84258"/>
    <w:rPr>
      <w:rFonts w:ascii="SimHei" w:eastAsia="SimHei" w:hAnsi="Microsoft Sans Serif" w:cs="SimHei"/>
      <w:spacing w:val="0"/>
      <w:sz w:val="15"/>
      <w:szCs w:val="15"/>
    </w:rPr>
  </w:style>
  <w:style w:type="character" w:customStyle="1" w:styleId="2220">
    <w:name w:val="Îñíîâíîé òåêñò (22)2"/>
    <w:uiPriority w:val="99"/>
    <w:rsid w:val="00C84258"/>
    <w:rPr>
      <w:rFonts w:ascii="Arial" w:hAnsi="Arial" w:cs="Arial"/>
      <w:i/>
      <w:iCs/>
      <w:spacing w:val="-10"/>
      <w:sz w:val="17"/>
      <w:szCs w:val="17"/>
      <w:u w:val="single"/>
    </w:rPr>
  </w:style>
  <w:style w:type="character" w:customStyle="1" w:styleId="295pt232-1pt67TimesNewRoman910pt1422322SimHei725pt13">
    <w:name w:val="Îñíîâíîé òåêñò (2) + 9.5 pt23.Íå êóðñèâ2.Èíòåðâàë -1 pt6.Îñíîâíîé òåêñò (7) + Times New Roman.91.Èíòåðâàë 0 pt14.Îñíîâíîé òåêñò (22) + Íå êóðñèâ3.Îñíîâíîé òåêñò (22) + SimHei.72.5 pt13"/>
    <w:uiPriority w:val="99"/>
    <w:rsid w:val="00C84258"/>
    <w:rPr>
      <w:rFonts w:ascii="Microsoft Sans Serif" w:hAnsi="Microsoft Sans Serif" w:cs="Microsoft Sans Serif"/>
      <w:i/>
      <w:iCs/>
      <w:spacing w:val="-20"/>
      <w:sz w:val="19"/>
      <w:szCs w:val="19"/>
    </w:rPr>
  </w:style>
  <w:style w:type="character" w:customStyle="1" w:styleId="70pt13222">
    <w:name w:val="Îñíîâíîé òåêñò (7) + Íå êóðñèâ.Èíòåðâàë 0 pt13.Îñíîâíîé òåêñò (22) + Íå êóðñèâ2"/>
    <w:uiPriority w:val="99"/>
    <w:rsid w:val="00C84258"/>
    <w:rPr>
      <w:rFonts w:ascii="Arial" w:hAnsi="Arial" w:cs="Arial"/>
      <w:i/>
      <w:iCs/>
      <w:spacing w:val="0"/>
      <w:sz w:val="16"/>
      <w:szCs w:val="16"/>
    </w:rPr>
  </w:style>
  <w:style w:type="paragraph" w:customStyle="1" w:styleId="3f2">
    <w:name w:val="Çàãîëîâîê ¹3"/>
    <w:basedOn w:val="a"/>
    <w:uiPriority w:val="99"/>
    <w:rsid w:val="00C84258"/>
    <w:pPr>
      <w:shd w:val="clear" w:color="auto" w:fill="FFFFFF"/>
      <w:autoSpaceDE w:val="0"/>
      <w:autoSpaceDN w:val="0"/>
      <w:adjustRightInd w:val="0"/>
      <w:spacing w:before="5460" w:after="0" w:line="240" w:lineRule="atLeast"/>
    </w:pPr>
    <w:rPr>
      <w:rFonts w:ascii="Arial Narrow" w:hAnsi="Arial Narrow" w:cs="Arial Narrow"/>
      <w:b/>
      <w:bCs/>
      <w:noProof/>
      <w:spacing w:val="-10"/>
      <w:sz w:val="104"/>
      <w:szCs w:val="104"/>
      <w:lang w:val="en-US"/>
    </w:rPr>
  </w:style>
  <w:style w:type="paragraph" w:customStyle="1" w:styleId="1110">
    <w:name w:val="Îñíîâíîé òåêñò (11)1"/>
    <w:basedOn w:val="a"/>
    <w:uiPriority w:val="99"/>
    <w:rsid w:val="00C84258"/>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paragraph" w:customStyle="1" w:styleId="1410">
    <w:name w:val="Îñíîâíîé òåêñò (14)1"/>
    <w:basedOn w:val="a"/>
    <w:uiPriority w:val="99"/>
    <w:rsid w:val="00C84258"/>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161">
    <w:name w:val="Îñíîâíîé òåêñò (16)"/>
    <w:basedOn w:val="a"/>
    <w:uiPriority w:val="99"/>
    <w:rsid w:val="00C84258"/>
    <w:pPr>
      <w:shd w:val="clear" w:color="auto" w:fill="FFFFFF"/>
      <w:autoSpaceDE w:val="0"/>
      <w:autoSpaceDN w:val="0"/>
      <w:adjustRightInd w:val="0"/>
      <w:spacing w:after="0" w:line="240" w:lineRule="atLeast"/>
      <w:ind w:hanging="280"/>
    </w:pPr>
    <w:rPr>
      <w:rFonts w:ascii="Microsoft Sans Serif" w:hAnsi="Microsoft Sans Serif" w:cs="Microsoft Sans Serif"/>
      <w:noProof/>
      <w:sz w:val="19"/>
      <w:szCs w:val="19"/>
      <w:lang w:val="en-US"/>
    </w:rPr>
  </w:style>
  <w:style w:type="paragraph" w:customStyle="1" w:styleId="affff9">
    <w:name w:val="Ïîäïèñü ê òàáëèöå"/>
    <w:basedOn w:val="a"/>
    <w:uiPriority w:val="99"/>
    <w:rsid w:val="00C84258"/>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paragraph" w:customStyle="1" w:styleId="190">
    <w:name w:val="Îñíîâíîé òåêñò (19)"/>
    <w:basedOn w:val="a"/>
    <w:uiPriority w:val="99"/>
    <w:rsid w:val="00C84258"/>
    <w:pPr>
      <w:shd w:val="clear" w:color="auto" w:fill="FFFFFF"/>
      <w:autoSpaceDE w:val="0"/>
      <w:autoSpaceDN w:val="0"/>
      <w:adjustRightInd w:val="0"/>
      <w:spacing w:after="120" w:line="240" w:lineRule="atLeast"/>
    </w:pPr>
    <w:rPr>
      <w:rFonts w:ascii="Microsoft Sans Serif" w:hAnsi="Microsoft Sans Serif" w:cs="Microsoft Sans Serif"/>
      <w:i/>
      <w:iCs/>
      <w:noProof/>
      <w:sz w:val="24"/>
      <w:szCs w:val="24"/>
      <w:lang w:val="en-US"/>
    </w:rPr>
  </w:style>
  <w:style w:type="paragraph" w:customStyle="1" w:styleId="213">
    <w:name w:val="Îñíîâíîé òåêñò (2)1"/>
    <w:basedOn w:val="a"/>
    <w:uiPriority w:val="99"/>
    <w:rsid w:val="00C84258"/>
    <w:pPr>
      <w:shd w:val="clear" w:color="auto" w:fill="FFFFFF"/>
      <w:autoSpaceDE w:val="0"/>
      <w:autoSpaceDN w:val="0"/>
      <w:adjustRightInd w:val="0"/>
      <w:spacing w:after="0" w:line="240" w:lineRule="atLeast"/>
    </w:pPr>
    <w:rPr>
      <w:rFonts w:ascii="Microsoft Sans Serif" w:hAnsi="Microsoft Sans Serif" w:cs="Microsoft Sans Serif"/>
      <w:i/>
      <w:iCs/>
      <w:noProof/>
      <w:spacing w:val="20"/>
      <w:sz w:val="23"/>
      <w:szCs w:val="23"/>
      <w:lang w:val="en-US"/>
    </w:rPr>
  </w:style>
  <w:style w:type="paragraph" w:customStyle="1" w:styleId="1f3">
    <w:name w:val="Çàãîëîâîê ¹1"/>
    <w:basedOn w:val="a"/>
    <w:uiPriority w:val="99"/>
    <w:rsid w:val="00C84258"/>
    <w:pPr>
      <w:shd w:val="clear" w:color="auto" w:fill="FFFFFF"/>
      <w:autoSpaceDE w:val="0"/>
      <w:autoSpaceDN w:val="0"/>
      <w:adjustRightInd w:val="0"/>
      <w:spacing w:after="720" w:line="240" w:lineRule="atLeast"/>
      <w:ind w:firstLine="540"/>
      <w:jc w:val="both"/>
    </w:pPr>
    <w:rPr>
      <w:rFonts w:ascii="Arial Narrow" w:hAnsi="Arial Narrow" w:cs="Arial Narrow"/>
      <w:b/>
      <w:bCs/>
      <w:noProof/>
      <w:spacing w:val="-10"/>
      <w:sz w:val="104"/>
      <w:szCs w:val="104"/>
      <w:lang w:val="en-US"/>
    </w:rPr>
  </w:style>
  <w:style w:type="paragraph" w:customStyle="1" w:styleId="152">
    <w:name w:val="Çàãîëîâîê ¹15"/>
    <w:basedOn w:val="a"/>
    <w:uiPriority w:val="99"/>
    <w:rsid w:val="00C84258"/>
    <w:pPr>
      <w:shd w:val="clear" w:color="auto" w:fill="FFFFFF"/>
      <w:autoSpaceDE w:val="0"/>
      <w:autoSpaceDN w:val="0"/>
      <w:adjustRightInd w:val="0"/>
      <w:spacing w:before="360" w:after="120" w:line="240" w:lineRule="atLeast"/>
    </w:pPr>
    <w:rPr>
      <w:rFonts w:ascii="Microsoft Sans Serif" w:hAnsi="Microsoft Sans Serif" w:cs="Microsoft Sans Serif"/>
      <w:b/>
      <w:bCs/>
      <w:noProof/>
      <w:sz w:val="32"/>
      <w:szCs w:val="32"/>
      <w:lang w:val="en-US"/>
    </w:rPr>
  </w:style>
  <w:style w:type="paragraph" w:customStyle="1" w:styleId="1f4">
    <w:name w:val="Ïîäïèñü ê êàðòèíêå1"/>
    <w:basedOn w:val="a"/>
    <w:uiPriority w:val="99"/>
    <w:rsid w:val="00C84258"/>
    <w:pPr>
      <w:shd w:val="clear" w:color="auto" w:fill="FFFFFF"/>
      <w:autoSpaceDE w:val="0"/>
      <w:autoSpaceDN w:val="0"/>
      <w:adjustRightInd w:val="0"/>
      <w:spacing w:after="0" w:line="240" w:lineRule="atLeast"/>
    </w:pPr>
    <w:rPr>
      <w:rFonts w:ascii="Franklin Gothic Demi" w:hAnsi="Franklin Gothic Demi" w:cs="Franklin Gothic Demi"/>
      <w:noProof/>
      <w:sz w:val="26"/>
      <w:szCs w:val="26"/>
      <w:lang w:val="en-US"/>
    </w:rPr>
  </w:style>
  <w:style w:type="paragraph" w:customStyle="1" w:styleId="122">
    <w:name w:val="Ïîäïèñü ê êàðòèíêå (12)"/>
    <w:basedOn w:val="a"/>
    <w:uiPriority w:val="99"/>
    <w:rsid w:val="00C84258"/>
    <w:pPr>
      <w:shd w:val="clear" w:color="auto" w:fill="FFFFFF"/>
      <w:autoSpaceDE w:val="0"/>
      <w:autoSpaceDN w:val="0"/>
      <w:adjustRightInd w:val="0"/>
      <w:spacing w:after="0" w:line="330" w:lineRule="exact"/>
    </w:pPr>
    <w:rPr>
      <w:rFonts w:ascii="Microsoft Sans Serif" w:hAnsi="Microsoft Sans Serif" w:cs="Microsoft Sans Serif"/>
      <w:i/>
      <w:iCs/>
      <w:noProof/>
      <w:sz w:val="26"/>
      <w:szCs w:val="26"/>
      <w:lang w:val="en-US"/>
    </w:rPr>
  </w:style>
  <w:style w:type="paragraph" w:customStyle="1" w:styleId="7b">
    <w:name w:val="Ïîäïèñü ê êàðòèíêå (7)"/>
    <w:basedOn w:val="a"/>
    <w:uiPriority w:val="99"/>
    <w:rsid w:val="00C84258"/>
    <w:pPr>
      <w:shd w:val="clear" w:color="auto" w:fill="FFFFFF"/>
      <w:autoSpaceDE w:val="0"/>
      <w:autoSpaceDN w:val="0"/>
      <w:adjustRightInd w:val="0"/>
      <w:spacing w:after="0" w:line="330" w:lineRule="exact"/>
      <w:jc w:val="both"/>
    </w:pPr>
    <w:rPr>
      <w:rFonts w:ascii="Arial Narrow" w:hAnsi="Arial Narrow" w:cs="Arial Narrow"/>
      <w:i/>
      <w:iCs/>
      <w:noProof/>
      <w:spacing w:val="-10"/>
      <w:sz w:val="28"/>
      <w:szCs w:val="28"/>
      <w:lang w:val="en-US"/>
    </w:rPr>
  </w:style>
  <w:style w:type="paragraph" w:customStyle="1" w:styleId="811">
    <w:name w:val="Îñíîâíîé òåêñò (8)1"/>
    <w:basedOn w:val="a"/>
    <w:uiPriority w:val="99"/>
    <w:rsid w:val="00C84258"/>
    <w:pPr>
      <w:shd w:val="clear" w:color="auto" w:fill="FFFFFF"/>
      <w:autoSpaceDE w:val="0"/>
      <w:autoSpaceDN w:val="0"/>
      <w:adjustRightInd w:val="0"/>
      <w:spacing w:before="60" w:after="0" w:line="293" w:lineRule="exact"/>
      <w:jc w:val="both"/>
    </w:pPr>
    <w:rPr>
      <w:rFonts w:ascii="Arial Narrow" w:hAnsi="Arial Narrow" w:cs="Arial Narrow"/>
      <w:i/>
      <w:iCs/>
      <w:noProof/>
      <w:spacing w:val="-10"/>
      <w:sz w:val="28"/>
      <w:szCs w:val="28"/>
      <w:lang w:val="en-US"/>
    </w:rPr>
  </w:style>
  <w:style w:type="paragraph" w:customStyle="1" w:styleId="2f3">
    <w:name w:val="Çàãîëîâîê ¹2"/>
    <w:basedOn w:val="a"/>
    <w:uiPriority w:val="99"/>
    <w:rsid w:val="00C84258"/>
    <w:pPr>
      <w:shd w:val="clear" w:color="auto" w:fill="FFFFFF"/>
      <w:autoSpaceDE w:val="0"/>
      <w:autoSpaceDN w:val="0"/>
      <w:adjustRightInd w:val="0"/>
      <w:spacing w:before="120" w:after="0" w:line="240" w:lineRule="atLeast"/>
    </w:pPr>
    <w:rPr>
      <w:rFonts w:ascii="Arial Narrow" w:hAnsi="Arial Narrow" w:cs="Arial Narrow"/>
      <w:b/>
      <w:bCs/>
      <w:noProof/>
      <w:sz w:val="56"/>
      <w:szCs w:val="56"/>
      <w:lang w:val="en-US"/>
    </w:rPr>
  </w:style>
  <w:style w:type="paragraph" w:customStyle="1" w:styleId="214">
    <w:name w:val="Ïîäïèñü ê òàáëèöå (2)1"/>
    <w:basedOn w:val="a"/>
    <w:uiPriority w:val="99"/>
    <w:rsid w:val="00C84258"/>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283">
    <w:name w:val="Îñíîâíîé òåêñò (28)"/>
    <w:basedOn w:val="a"/>
    <w:uiPriority w:val="99"/>
    <w:rsid w:val="00C84258"/>
    <w:pPr>
      <w:shd w:val="clear" w:color="auto" w:fill="FFFFFF"/>
      <w:autoSpaceDE w:val="0"/>
      <w:autoSpaceDN w:val="0"/>
      <w:adjustRightInd w:val="0"/>
      <w:spacing w:after="0" w:line="182" w:lineRule="exact"/>
    </w:pPr>
    <w:rPr>
      <w:rFonts w:ascii="Arial" w:hAnsi="Arial" w:cs="Arial"/>
      <w:noProof/>
      <w:sz w:val="14"/>
      <w:szCs w:val="14"/>
      <w:lang w:val="en-US"/>
    </w:rPr>
  </w:style>
  <w:style w:type="paragraph" w:customStyle="1" w:styleId="711">
    <w:name w:val="Îñíîâíîé òåêñò (7)1"/>
    <w:basedOn w:val="a"/>
    <w:uiPriority w:val="99"/>
    <w:rsid w:val="00C84258"/>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paragraph" w:customStyle="1" w:styleId="1510">
    <w:name w:val="Îñíîâíîé òåêñò (15)1"/>
    <w:basedOn w:val="a"/>
    <w:uiPriority w:val="99"/>
    <w:rsid w:val="00C84258"/>
    <w:pPr>
      <w:shd w:val="clear" w:color="auto" w:fill="FFFFFF"/>
      <w:autoSpaceDE w:val="0"/>
      <w:autoSpaceDN w:val="0"/>
      <w:adjustRightInd w:val="0"/>
      <w:spacing w:after="480" w:line="240" w:lineRule="atLeast"/>
    </w:pPr>
    <w:rPr>
      <w:rFonts w:ascii="Garamond" w:hAnsi="Garamond" w:cs="Garamond"/>
      <w:noProof/>
      <w:sz w:val="13"/>
      <w:szCs w:val="13"/>
      <w:lang w:val="en-US"/>
    </w:rPr>
  </w:style>
  <w:style w:type="paragraph" w:customStyle="1" w:styleId="316">
    <w:name w:val="Ïîäïèñü ê òàáëèöå (3)1"/>
    <w:basedOn w:val="a"/>
    <w:uiPriority w:val="99"/>
    <w:rsid w:val="00C84258"/>
    <w:pPr>
      <w:shd w:val="clear" w:color="auto" w:fill="FFFFFF"/>
      <w:autoSpaceDE w:val="0"/>
      <w:autoSpaceDN w:val="0"/>
      <w:adjustRightInd w:val="0"/>
      <w:spacing w:after="0" w:line="240" w:lineRule="atLeast"/>
    </w:pPr>
    <w:rPr>
      <w:rFonts w:ascii="Arial" w:hAnsi="Arial" w:cs="Arial"/>
      <w:i/>
      <w:iCs/>
      <w:noProof/>
      <w:spacing w:val="-10"/>
      <w:sz w:val="16"/>
      <w:szCs w:val="16"/>
      <w:lang w:val="en-US"/>
    </w:rPr>
  </w:style>
  <w:style w:type="paragraph" w:customStyle="1" w:styleId="411">
    <w:name w:val="Îñíîâíîé òåêñò (4)1"/>
    <w:basedOn w:val="a"/>
    <w:uiPriority w:val="99"/>
    <w:rsid w:val="00C84258"/>
    <w:pPr>
      <w:shd w:val="clear" w:color="auto" w:fill="FFFFFF"/>
      <w:autoSpaceDE w:val="0"/>
      <w:autoSpaceDN w:val="0"/>
      <w:adjustRightInd w:val="0"/>
      <w:spacing w:after="0" w:line="149" w:lineRule="exact"/>
      <w:ind w:hanging="480"/>
    </w:pPr>
    <w:rPr>
      <w:rFonts w:ascii="Arial" w:hAnsi="Arial" w:cs="Arial"/>
      <w:b/>
      <w:bCs/>
      <w:noProof/>
      <w:sz w:val="13"/>
      <w:szCs w:val="13"/>
      <w:lang w:val="en-US"/>
    </w:rPr>
  </w:style>
  <w:style w:type="paragraph" w:customStyle="1" w:styleId="4a">
    <w:name w:val="Çàãîëîâîê ¹4"/>
    <w:basedOn w:val="a"/>
    <w:uiPriority w:val="99"/>
    <w:rsid w:val="00C84258"/>
    <w:pPr>
      <w:shd w:val="clear" w:color="auto" w:fill="FFFFFF"/>
      <w:autoSpaceDE w:val="0"/>
      <w:autoSpaceDN w:val="0"/>
      <w:adjustRightInd w:val="0"/>
      <w:spacing w:before="300" w:after="300" w:line="240" w:lineRule="atLeast"/>
      <w:jc w:val="right"/>
    </w:pPr>
    <w:rPr>
      <w:rFonts w:ascii="Tahoma" w:hAnsi="Tahoma" w:cs="Tahoma"/>
      <w:noProof/>
      <w:sz w:val="50"/>
      <w:szCs w:val="50"/>
      <w:lang w:val="en-US"/>
    </w:rPr>
  </w:style>
  <w:style w:type="paragraph" w:customStyle="1" w:styleId="2210">
    <w:name w:val="Îñíîâíîé òåêñò (22)1"/>
    <w:basedOn w:val="a"/>
    <w:uiPriority w:val="99"/>
    <w:rsid w:val="00C84258"/>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7c">
    <w:name w:val="Çàãîëîâîê ¹7"/>
    <w:basedOn w:val="a"/>
    <w:uiPriority w:val="99"/>
    <w:rsid w:val="00C84258"/>
    <w:pPr>
      <w:shd w:val="clear" w:color="auto" w:fill="FFFFFF"/>
      <w:autoSpaceDE w:val="0"/>
      <w:autoSpaceDN w:val="0"/>
      <w:adjustRightInd w:val="0"/>
      <w:spacing w:after="120" w:line="240" w:lineRule="atLeast"/>
    </w:pPr>
    <w:rPr>
      <w:rFonts w:ascii="Arial" w:hAnsi="Arial" w:cs="Arial"/>
      <w:noProof/>
      <w:sz w:val="16"/>
      <w:szCs w:val="16"/>
      <w:lang w:val="en-US"/>
    </w:rPr>
  </w:style>
  <w:style w:type="paragraph" w:customStyle="1" w:styleId="331">
    <w:name w:val="Îñíîâíîé òåêñò (33)"/>
    <w:basedOn w:val="a"/>
    <w:uiPriority w:val="99"/>
    <w:rsid w:val="00C84258"/>
    <w:pPr>
      <w:shd w:val="clear" w:color="auto" w:fill="FFFFFF"/>
      <w:autoSpaceDE w:val="0"/>
      <w:autoSpaceDN w:val="0"/>
      <w:adjustRightInd w:val="0"/>
      <w:spacing w:before="240" w:after="0" w:line="240" w:lineRule="atLeast"/>
    </w:pPr>
    <w:rPr>
      <w:rFonts w:ascii="Arial Narrow" w:hAnsi="Arial Narrow" w:cs="Arial Narrow"/>
      <w:b/>
      <w:bCs/>
      <w:noProof/>
      <w:sz w:val="57"/>
      <w:szCs w:val="57"/>
      <w:lang w:val="en-US"/>
    </w:rPr>
  </w:style>
  <w:style w:type="paragraph" w:customStyle="1" w:styleId="341">
    <w:name w:val="Îñíîâíîé òåêñò (34)"/>
    <w:basedOn w:val="a"/>
    <w:uiPriority w:val="99"/>
    <w:rsid w:val="00C84258"/>
    <w:pPr>
      <w:shd w:val="clear" w:color="auto" w:fill="FFFFFF"/>
      <w:autoSpaceDE w:val="0"/>
      <w:autoSpaceDN w:val="0"/>
      <w:adjustRightInd w:val="0"/>
      <w:spacing w:after="0" w:line="240" w:lineRule="atLeast"/>
    </w:pPr>
    <w:rPr>
      <w:rFonts w:ascii="Arial" w:hAnsi="Arial" w:cs="Arial"/>
      <w:i/>
      <w:iCs/>
      <w:noProof/>
      <w:sz w:val="8"/>
      <w:szCs w:val="8"/>
      <w:lang w:val="en-US"/>
    </w:rPr>
  </w:style>
  <w:style w:type="paragraph" w:customStyle="1" w:styleId="351">
    <w:name w:val="Îñíîâíîé òåêñò (35)"/>
    <w:basedOn w:val="a"/>
    <w:uiPriority w:val="99"/>
    <w:rsid w:val="00C84258"/>
    <w:pPr>
      <w:shd w:val="clear" w:color="auto" w:fill="FFFFFF"/>
      <w:autoSpaceDE w:val="0"/>
      <w:autoSpaceDN w:val="0"/>
      <w:adjustRightInd w:val="0"/>
      <w:spacing w:after="0" w:line="240" w:lineRule="atLeast"/>
    </w:pPr>
    <w:rPr>
      <w:rFonts w:ascii="Arial" w:hAnsi="Arial" w:cs="Arial"/>
      <w:noProof/>
      <w:sz w:val="8"/>
      <w:szCs w:val="8"/>
      <w:lang w:val="en-US"/>
    </w:rPr>
  </w:style>
  <w:style w:type="paragraph" w:customStyle="1" w:styleId="251">
    <w:name w:val="Îñíîâíîé òåêñò (25)1"/>
    <w:basedOn w:val="a"/>
    <w:uiPriority w:val="99"/>
    <w:rsid w:val="00C84258"/>
    <w:pPr>
      <w:shd w:val="clear" w:color="auto" w:fill="FFFFFF"/>
      <w:autoSpaceDE w:val="0"/>
      <w:autoSpaceDN w:val="0"/>
      <w:adjustRightInd w:val="0"/>
      <w:spacing w:after="0" w:line="101" w:lineRule="exact"/>
      <w:jc w:val="both"/>
    </w:pPr>
    <w:rPr>
      <w:rFonts w:ascii="Arial" w:hAnsi="Arial" w:cs="Arial"/>
      <w:i/>
      <w:iCs/>
      <w:noProof/>
      <w:sz w:val="13"/>
      <w:szCs w:val="13"/>
      <w:lang w:val="en-US"/>
    </w:rPr>
  </w:style>
  <w:style w:type="paragraph" w:customStyle="1" w:styleId="91">
    <w:name w:val="Çàãîëîâîê ¹9"/>
    <w:basedOn w:val="a"/>
    <w:uiPriority w:val="99"/>
    <w:rsid w:val="00C84258"/>
    <w:pPr>
      <w:shd w:val="clear" w:color="auto" w:fill="FFFFFF"/>
      <w:autoSpaceDE w:val="0"/>
      <w:autoSpaceDN w:val="0"/>
      <w:adjustRightInd w:val="0"/>
      <w:spacing w:before="180" w:after="0" w:line="216" w:lineRule="exact"/>
      <w:ind w:firstLine="280"/>
      <w:jc w:val="both"/>
    </w:pPr>
    <w:rPr>
      <w:rFonts w:ascii="Tahoma" w:hAnsi="Tahoma" w:cs="Tahoma"/>
      <w:b/>
      <w:bCs/>
      <w:i/>
      <w:iCs/>
      <w:noProof/>
      <w:sz w:val="15"/>
      <w:szCs w:val="15"/>
      <w:lang w:val="en-US"/>
    </w:rPr>
  </w:style>
  <w:style w:type="character" w:customStyle="1" w:styleId="2f4">
    <w:name w:val="Îñíîâíîé òåêñò (2)_"/>
    <w:uiPriority w:val="99"/>
    <w:rsid w:val="00C84258"/>
    <w:rPr>
      <w:rFonts w:ascii="Arial" w:hAnsi="Arial" w:cs="Arial"/>
      <w:i/>
      <w:iCs/>
      <w:spacing w:val="-10"/>
      <w:sz w:val="16"/>
      <w:szCs w:val="16"/>
    </w:rPr>
  </w:style>
  <w:style w:type="character" w:customStyle="1" w:styleId="20pt29">
    <w:name w:val="Îñíîâíîé òåêñò (2) + Íå êóðñèâ.Èíòåðâàë 0 pt29"/>
    <w:uiPriority w:val="99"/>
    <w:rsid w:val="00C84258"/>
    <w:rPr>
      <w:rFonts w:ascii="Arial" w:hAnsi="Arial" w:cs="Arial"/>
      <w:i/>
      <w:iCs/>
      <w:spacing w:val="0"/>
      <w:sz w:val="16"/>
      <w:szCs w:val="16"/>
    </w:rPr>
  </w:style>
  <w:style w:type="character" w:customStyle="1" w:styleId="284">
    <w:name w:val="Îñíîâíîé òåêñò (2)8"/>
    <w:uiPriority w:val="99"/>
    <w:rsid w:val="00C84258"/>
    <w:rPr>
      <w:rFonts w:ascii="Arial" w:hAnsi="Arial" w:cs="Arial"/>
      <w:i/>
      <w:iCs/>
      <w:spacing w:val="-10"/>
      <w:sz w:val="16"/>
      <w:szCs w:val="16"/>
      <w:u w:val="single"/>
    </w:rPr>
  </w:style>
  <w:style w:type="character" w:customStyle="1" w:styleId="2SimHei75pt790pt28">
    <w:name w:val="Îñíîâíîé òåêñò (2) + SimHei.7.5 pt7.Íå êóðñèâ9.Èíòåðâàë 0 pt28"/>
    <w:uiPriority w:val="99"/>
    <w:rsid w:val="00C84258"/>
    <w:rPr>
      <w:rFonts w:ascii="SimHei" w:eastAsia="SimHei" w:hAnsi="Arial" w:cs="SimHei"/>
      <w:i/>
      <w:iCs/>
      <w:spacing w:val="0"/>
      <w:sz w:val="15"/>
      <w:szCs w:val="15"/>
    </w:rPr>
  </w:style>
  <w:style w:type="character" w:customStyle="1" w:styleId="272">
    <w:name w:val="Îñíîâíîé òåêñò (2)7"/>
    <w:uiPriority w:val="99"/>
    <w:rsid w:val="00C84258"/>
    <w:rPr>
      <w:rFonts w:ascii="Arial" w:hAnsi="Arial" w:cs="Arial"/>
      <w:i/>
      <w:iCs/>
      <w:spacing w:val="-10"/>
      <w:sz w:val="16"/>
      <w:szCs w:val="16"/>
      <w:u w:val="single"/>
    </w:rPr>
  </w:style>
  <w:style w:type="character" w:customStyle="1" w:styleId="261">
    <w:name w:val="Îñíîâíîé òåêñò (2)6"/>
    <w:uiPriority w:val="99"/>
    <w:rsid w:val="00C84258"/>
    <w:rPr>
      <w:rFonts w:ascii="Arial" w:hAnsi="Arial" w:cs="Arial"/>
      <w:i/>
      <w:iCs/>
      <w:spacing w:val="-10"/>
      <w:sz w:val="16"/>
      <w:szCs w:val="16"/>
      <w:u w:val="single"/>
    </w:rPr>
  </w:style>
  <w:style w:type="character" w:customStyle="1" w:styleId="110pt26">
    <w:name w:val="Îñíîâíîé òåêñò + Êóðñèâ11.Èíòåðâàë 0 pt26"/>
    <w:uiPriority w:val="99"/>
    <w:rsid w:val="00C84258"/>
    <w:rPr>
      <w:rFonts w:ascii="Arial" w:hAnsi="Arial" w:cs="Arial"/>
      <w:i/>
      <w:iCs/>
      <w:spacing w:val="-10"/>
      <w:sz w:val="16"/>
      <w:szCs w:val="16"/>
      <w:u w:val="single"/>
    </w:rPr>
  </w:style>
  <w:style w:type="character" w:customStyle="1" w:styleId="2BookmanOldStyle825pt680pt25">
    <w:name w:val="Îñíîâíîé òåêñò (2) + Bookman Old Style.82.5 pt6.Íå êóðñèâ8.Èíòåðâàë 0 pt25"/>
    <w:uiPriority w:val="99"/>
    <w:rsid w:val="00C84258"/>
    <w:rPr>
      <w:rFonts w:ascii="Bookman Old Style" w:hAnsi="Bookman Old Style" w:cs="Bookman Old Style"/>
      <w:i/>
      <w:iCs/>
      <w:spacing w:val="0"/>
      <w:sz w:val="17"/>
      <w:szCs w:val="17"/>
    </w:rPr>
  </w:style>
  <w:style w:type="character" w:customStyle="1" w:styleId="3f3">
    <w:name w:val="Çàãîëîâîê ¹3_"/>
    <w:uiPriority w:val="99"/>
    <w:rsid w:val="00C84258"/>
    <w:rPr>
      <w:rFonts w:ascii="Arial Narrow" w:hAnsi="Arial Narrow" w:cs="Arial Narrow"/>
      <w:b/>
      <w:bCs/>
      <w:i/>
      <w:iCs/>
      <w:spacing w:val="-50"/>
      <w:sz w:val="51"/>
      <w:szCs w:val="51"/>
    </w:rPr>
  </w:style>
  <w:style w:type="character" w:customStyle="1" w:styleId="3-1pt">
    <w:name w:val="Çàãîëîâîê ¹3 + Èíòåðâàë -1 pt"/>
    <w:uiPriority w:val="99"/>
    <w:rsid w:val="00C84258"/>
    <w:rPr>
      <w:rFonts w:ascii="Arial Narrow" w:hAnsi="Arial Narrow" w:cs="Arial Narrow"/>
      <w:b/>
      <w:bCs/>
      <w:i/>
      <w:iCs/>
      <w:spacing w:val="-30"/>
      <w:sz w:val="51"/>
      <w:szCs w:val="51"/>
    </w:rPr>
  </w:style>
  <w:style w:type="character" w:customStyle="1" w:styleId="65">
    <w:name w:val="Çàãîëîâîê ¹6_"/>
    <w:uiPriority w:val="99"/>
    <w:rsid w:val="00C84258"/>
    <w:rPr>
      <w:rFonts w:ascii="Tahoma" w:hAnsi="Tahoma" w:cs="Tahoma"/>
      <w:sz w:val="31"/>
      <w:szCs w:val="31"/>
    </w:rPr>
  </w:style>
  <w:style w:type="paragraph" w:customStyle="1" w:styleId="66">
    <w:name w:val="Çàãîëîâîê ¹6"/>
    <w:basedOn w:val="a"/>
    <w:uiPriority w:val="99"/>
    <w:rsid w:val="00C84258"/>
    <w:pPr>
      <w:shd w:val="clear" w:color="auto" w:fill="FFFFFF"/>
      <w:autoSpaceDE w:val="0"/>
      <w:autoSpaceDN w:val="0"/>
      <w:adjustRightInd w:val="0"/>
      <w:spacing w:after="60" w:line="302" w:lineRule="exact"/>
      <w:jc w:val="center"/>
    </w:pPr>
    <w:rPr>
      <w:rFonts w:ascii="Tahoma" w:hAnsi="Tahoma" w:cs="Tahoma"/>
      <w:noProof/>
      <w:sz w:val="31"/>
      <w:szCs w:val="31"/>
      <w:lang w:val="en-US"/>
    </w:rPr>
  </w:style>
  <w:style w:type="character" w:customStyle="1" w:styleId="262">
    <w:name w:val="Îñíîâíîé òåêñò (26)_"/>
    <w:uiPriority w:val="99"/>
    <w:rsid w:val="00C84258"/>
    <w:rPr>
      <w:rFonts w:ascii="Bookman Old Style" w:hAnsi="Bookman Old Style" w:cs="Bookman Old Style"/>
      <w:sz w:val="9"/>
      <w:szCs w:val="9"/>
    </w:rPr>
  </w:style>
  <w:style w:type="character" w:customStyle="1" w:styleId="280pt24">
    <w:name w:val="Îñíîâíîé òåêñò (2) + Íå êóðñèâ8.Èíòåðâàë 0 pt24"/>
    <w:uiPriority w:val="99"/>
    <w:rsid w:val="00C84258"/>
    <w:rPr>
      <w:rFonts w:ascii="Arial" w:hAnsi="Arial" w:cs="Arial"/>
      <w:i/>
      <w:iCs/>
      <w:spacing w:val="0"/>
      <w:sz w:val="16"/>
      <w:szCs w:val="16"/>
    </w:rPr>
  </w:style>
  <w:style w:type="character" w:customStyle="1" w:styleId="2SimHei2715pt350pt23">
    <w:name w:val="Îñíîâíîé òåêñò (2) + SimHei2.71.5 pt3.Íå êóðñèâ5.Èíòåðâàë 0 pt23"/>
    <w:uiPriority w:val="99"/>
    <w:rsid w:val="00C84258"/>
    <w:rPr>
      <w:rFonts w:ascii="SimHei" w:eastAsia="SimHei" w:hAnsi="Arial" w:cs="SimHei"/>
      <w:i/>
      <w:iCs/>
      <w:spacing w:val="0"/>
      <w:sz w:val="15"/>
      <w:szCs w:val="15"/>
    </w:rPr>
  </w:style>
  <w:style w:type="character" w:customStyle="1" w:styleId="252">
    <w:name w:val="Îñíîâíîé òåêñò (2)5"/>
    <w:uiPriority w:val="99"/>
    <w:rsid w:val="00C84258"/>
    <w:rPr>
      <w:rFonts w:ascii="Arial" w:hAnsi="Arial" w:cs="Arial"/>
      <w:i/>
      <w:iCs/>
      <w:spacing w:val="-10"/>
      <w:sz w:val="16"/>
      <w:szCs w:val="16"/>
      <w:u w:val="single"/>
    </w:rPr>
  </w:style>
  <w:style w:type="character" w:customStyle="1" w:styleId="270pt22">
    <w:name w:val="Îñíîâíîé òåêñò (2) + Íå êóðñèâ7.Èíòåðâàë 0 pt22"/>
    <w:uiPriority w:val="99"/>
    <w:rsid w:val="00C84258"/>
    <w:rPr>
      <w:rFonts w:ascii="Arial" w:hAnsi="Arial" w:cs="Arial"/>
      <w:i/>
      <w:iCs/>
      <w:spacing w:val="0"/>
      <w:sz w:val="16"/>
      <w:szCs w:val="16"/>
    </w:rPr>
  </w:style>
  <w:style w:type="character" w:customStyle="1" w:styleId="2SimHei17pt40pt21">
    <w:name w:val="Îñíîâíîé òåêñò (2) + SimHei1.7 pt.Íå êóðñèâ4.Èíòåðâàë 0 pt21"/>
    <w:uiPriority w:val="99"/>
    <w:rsid w:val="00C84258"/>
    <w:rPr>
      <w:rFonts w:ascii="SimHei" w:eastAsia="SimHei" w:hAnsi="Arial" w:cs="SimHei"/>
      <w:i/>
      <w:iCs/>
      <w:spacing w:val="0"/>
      <w:sz w:val="14"/>
      <w:szCs w:val="14"/>
    </w:rPr>
  </w:style>
  <w:style w:type="character" w:customStyle="1" w:styleId="241">
    <w:name w:val="Îñíîâíîé òåêñò (2)4"/>
    <w:uiPriority w:val="99"/>
    <w:rsid w:val="00C84258"/>
    <w:rPr>
      <w:rFonts w:ascii="Arial" w:hAnsi="Arial" w:cs="Arial"/>
      <w:i/>
      <w:iCs/>
      <w:spacing w:val="-10"/>
      <w:sz w:val="16"/>
      <w:szCs w:val="16"/>
      <w:u w:val="single"/>
    </w:rPr>
  </w:style>
  <w:style w:type="character" w:customStyle="1" w:styleId="230">
    <w:name w:val="Îñíîâíîé òåêñò (2)3"/>
    <w:uiPriority w:val="99"/>
    <w:rsid w:val="00C84258"/>
    <w:rPr>
      <w:rFonts w:ascii="Arial" w:hAnsi="Arial" w:cs="Arial"/>
      <w:i/>
      <w:iCs/>
      <w:spacing w:val="-10"/>
      <w:sz w:val="16"/>
      <w:szCs w:val="16"/>
      <w:u w:val="single"/>
    </w:rPr>
  </w:style>
  <w:style w:type="character" w:customStyle="1" w:styleId="260pt20">
    <w:name w:val="Îñíîâíîé òåêñò (2) + Íå êóðñèâ6.Èíòåðâàë 0 pt20"/>
    <w:uiPriority w:val="99"/>
    <w:rsid w:val="00C84258"/>
    <w:rPr>
      <w:rFonts w:ascii="Arial" w:hAnsi="Arial" w:cs="Arial"/>
      <w:i/>
      <w:iCs/>
      <w:spacing w:val="0"/>
      <w:sz w:val="16"/>
      <w:szCs w:val="16"/>
    </w:rPr>
  </w:style>
  <w:style w:type="character" w:customStyle="1" w:styleId="226">
    <w:name w:val="Îñíîâíîé òåêñò (2)2"/>
    <w:uiPriority w:val="99"/>
    <w:rsid w:val="00C84258"/>
    <w:rPr>
      <w:rFonts w:ascii="Arial" w:hAnsi="Arial" w:cs="Arial"/>
      <w:i/>
      <w:iCs/>
      <w:spacing w:val="-10"/>
      <w:sz w:val="16"/>
      <w:szCs w:val="16"/>
      <w:u w:val="single"/>
    </w:rPr>
  </w:style>
  <w:style w:type="character" w:customStyle="1" w:styleId="92">
    <w:name w:val="Îñíîâíîé òåêñò (9)_"/>
    <w:uiPriority w:val="99"/>
    <w:rsid w:val="00C84258"/>
    <w:rPr>
      <w:rFonts w:ascii="Arial" w:hAnsi="Arial" w:cs="Arial"/>
      <w:i/>
      <w:iCs/>
      <w:sz w:val="14"/>
      <w:szCs w:val="14"/>
    </w:rPr>
  </w:style>
  <w:style w:type="paragraph" w:customStyle="1" w:styleId="910">
    <w:name w:val="Îñíîâíîé òåêñò (9)1"/>
    <w:basedOn w:val="a"/>
    <w:uiPriority w:val="99"/>
    <w:rsid w:val="00C84258"/>
    <w:pPr>
      <w:shd w:val="clear" w:color="auto" w:fill="FFFFFF"/>
      <w:autoSpaceDE w:val="0"/>
      <w:autoSpaceDN w:val="0"/>
      <w:adjustRightInd w:val="0"/>
      <w:spacing w:after="0" w:line="148" w:lineRule="exact"/>
      <w:ind w:hanging="2020"/>
    </w:pPr>
    <w:rPr>
      <w:rFonts w:ascii="Arial" w:hAnsi="Arial" w:cs="Arial"/>
      <w:i/>
      <w:iCs/>
      <w:noProof/>
      <w:sz w:val="14"/>
      <w:szCs w:val="14"/>
      <w:lang w:val="en-US"/>
    </w:rPr>
  </w:style>
  <w:style w:type="character" w:customStyle="1" w:styleId="59">
    <w:name w:val="Çàãîëîâîê ¹5_"/>
    <w:uiPriority w:val="99"/>
    <w:rsid w:val="00C84258"/>
    <w:rPr>
      <w:rFonts w:ascii="Tahoma" w:hAnsi="Tahoma" w:cs="Tahoma"/>
      <w:sz w:val="31"/>
      <w:szCs w:val="31"/>
    </w:rPr>
  </w:style>
  <w:style w:type="character" w:customStyle="1" w:styleId="100pt19">
    <w:name w:val="Îñíîâíîé òåêñò + Êóðñèâ10.Èíòåðâàë 0 pt19"/>
    <w:uiPriority w:val="99"/>
    <w:rsid w:val="00C84258"/>
    <w:rPr>
      <w:rFonts w:ascii="Arial" w:hAnsi="Arial" w:cs="Arial"/>
      <w:i/>
      <w:iCs/>
      <w:spacing w:val="-10"/>
      <w:sz w:val="16"/>
      <w:szCs w:val="16"/>
    </w:rPr>
  </w:style>
  <w:style w:type="paragraph" w:customStyle="1" w:styleId="5a">
    <w:name w:val="Çàãîëîâîê ¹5"/>
    <w:basedOn w:val="a"/>
    <w:uiPriority w:val="99"/>
    <w:rsid w:val="00C84258"/>
    <w:pPr>
      <w:shd w:val="clear" w:color="auto" w:fill="FFFFFF"/>
      <w:autoSpaceDE w:val="0"/>
      <w:autoSpaceDN w:val="0"/>
      <w:adjustRightInd w:val="0"/>
      <w:spacing w:after="60" w:line="240" w:lineRule="atLeast"/>
    </w:pPr>
    <w:rPr>
      <w:rFonts w:ascii="Tahoma" w:hAnsi="Tahoma" w:cs="Tahoma"/>
      <w:noProof/>
      <w:sz w:val="31"/>
      <w:szCs w:val="31"/>
      <w:lang w:val="en-US"/>
    </w:rPr>
  </w:style>
  <w:style w:type="character" w:customStyle="1" w:styleId="5b">
    <w:name w:val="Îñíîâíîé òåêñò (5)_"/>
    <w:uiPriority w:val="99"/>
    <w:rsid w:val="00C84258"/>
    <w:rPr>
      <w:i/>
      <w:iCs/>
      <w:sz w:val="16"/>
      <w:szCs w:val="16"/>
    </w:rPr>
  </w:style>
  <w:style w:type="character" w:customStyle="1" w:styleId="5136">
    <w:name w:val="Îñíîâíîé òåêñò (5)136"/>
    <w:uiPriority w:val="99"/>
    <w:rsid w:val="00C84258"/>
    <w:rPr>
      <w:i/>
      <w:iCs/>
      <w:sz w:val="16"/>
      <w:szCs w:val="16"/>
    </w:rPr>
  </w:style>
  <w:style w:type="character" w:customStyle="1" w:styleId="58545pt75630pt128">
    <w:name w:val="Îñíîâíîé òåêñò (5) + 854.5 pt75.Íå êóðñèâ63.Èíòåðâàë 0 pt128"/>
    <w:uiPriority w:val="99"/>
    <w:rsid w:val="00C84258"/>
    <w:rPr>
      <w:i/>
      <w:iCs/>
      <w:spacing w:val="-10"/>
      <w:sz w:val="17"/>
      <w:szCs w:val="17"/>
    </w:rPr>
  </w:style>
  <w:style w:type="character" w:customStyle="1" w:styleId="5133">
    <w:name w:val="Îñíîâíîé òåêñò (5)133"/>
    <w:uiPriority w:val="99"/>
    <w:rsid w:val="00C84258"/>
    <w:rPr>
      <w:rFonts w:ascii="Arial Unicode MS" w:eastAsia="Arial Unicode MS" w:cs="Arial Unicode MS"/>
      <w:i/>
      <w:iCs/>
      <w:noProof/>
      <w:sz w:val="16"/>
      <w:szCs w:val="16"/>
    </w:rPr>
  </w:style>
  <w:style w:type="character" w:customStyle="1" w:styleId="5132">
    <w:name w:val="Îñíîâíîé òåêñò (5)132"/>
    <w:uiPriority w:val="99"/>
    <w:rsid w:val="00C84258"/>
    <w:rPr>
      <w:rFonts w:ascii="Arial Unicode MS" w:eastAsia="Arial Unicode MS" w:cs="Arial Unicode MS"/>
      <w:i/>
      <w:iCs/>
      <w:noProof/>
      <w:sz w:val="16"/>
      <w:szCs w:val="16"/>
    </w:rPr>
  </w:style>
  <w:style w:type="character" w:customStyle="1" w:styleId="5131">
    <w:name w:val="Îñíîâíîé òåêñò (5)131"/>
    <w:uiPriority w:val="99"/>
    <w:rsid w:val="00C84258"/>
    <w:rPr>
      <w:i/>
      <w:iCs/>
      <w:sz w:val="16"/>
      <w:szCs w:val="16"/>
    </w:rPr>
  </w:style>
  <w:style w:type="character" w:customStyle="1" w:styleId="5130">
    <w:name w:val="Îñíîâíîé òåêñò (5)130"/>
    <w:uiPriority w:val="99"/>
    <w:rsid w:val="00C84258"/>
    <w:rPr>
      <w:rFonts w:ascii="Arial Unicode MS" w:eastAsia="Arial Unicode MS" w:cs="Arial Unicode MS"/>
      <w:i/>
      <w:iCs/>
      <w:noProof/>
      <w:sz w:val="16"/>
      <w:szCs w:val="16"/>
    </w:rPr>
  </w:style>
  <w:style w:type="paragraph" w:customStyle="1" w:styleId="512">
    <w:name w:val="Îñíîâíîé òåêñò (5)1"/>
    <w:basedOn w:val="a"/>
    <w:uiPriority w:val="99"/>
    <w:rsid w:val="00C84258"/>
    <w:pPr>
      <w:shd w:val="clear" w:color="auto" w:fill="FFFFFF"/>
      <w:autoSpaceDE w:val="0"/>
      <w:autoSpaceDN w:val="0"/>
      <w:adjustRightInd w:val="0"/>
      <w:spacing w:after="0" w:line="186" w:lineRule="exact"/>
      <w:ind w:hanging="500"/>
    </w:pPr>
    <w:rPr>
      <w:rFonts w:ascii="Times New Roman" w:hAnsi="Times New Roman"/>
      <w:i/>
      <w:iCs/>
      <w:noProof/>
      <w:sz w:val="16"/>
      <w:szCs w:val="16"/>
      <w:lang w:val="en-US"/>
    </w:rPr>
  </w:style>
  <w:style w:type="character" w:customStyle="1" w:styleId="5117">
    <w:name w:val="Îñíîâíîé òåêñò (5)117"/>
    <w:uiPriority w:val="99"/>
    <w:rsid w:val="00C84258"/>
    <w:rPr>
      <w:i/>
      <w:iCs/>
      <w:spacing w:val="0"/>
      <w:sz w:val="16"/>
      <w:szCs w:val="16"/>
    </w:rPr>
  </w:style>
  <w:style w:type="character" w:customStyle="1" w:styleId="5116">
    <w:name w:val="Îñíîâíîé òåêñò (5)116"/>
    <w:uiPriority w:val="99"/>
    <w:rsid w:val="00C84258"/>
    <w:rPr>
      <w:i/>
      <w:iCs/>
      <w:spacing w:val="0"/>
      <w:sz w:val="16"/>
      <w:szCs w:val="16"/>
    </w:rPr>
  </w:style>
  <w:style w:type="character" w:customStyle="1" w:styleId="5113">
    <w:name w:val="Îñíîâíîé òåêñò (5)113"/>
    <w:uiPriority w:val="99"/>
    <w:rsid w:val="00C84258"/>
    <w:rPr>
      <w:i/>
      <w:iCs/>
      <w:spacing w:val="0"/>
      <w:sz w:val="16"/>
      <w:szCs w:val="16"/>
      <w:u w:val="single"/>
    </w:rPr>
  </w:style>
  <w:style w:type="character" w:customStyle="1" w:styleId="5106">
    <w:name w:val="Îñíîâíîé òåêñò (5)106"/>
    <w:uiPriority w:val="99"/>
    <w:rsid w:val="00C84258"/>
    <w:rPr>
      <w:i/>
      <w:iCs/>
      <w:spacing w:val="0"/>
      <w:sz w:val="16"/>
      <w:szCs w:val="16"/>
    </w:rPr>
  </w:style>
  <w:style w:type="character" w:customStyle="1" w:styleId="5105">
    <w:name w:val="Îñíîâíîé òåêñò (5)105"/>
    <w:uiPriority w:val="99"/>
    <w:rsid w:val="00C84258"/>
    <w:rPr>
      <w:rFonts w:ascii="Arial Unicode MS" w:eastAsia="Arial Unicode MS" w:cs="Arial Unicode MS"/>
      <w:i/>
      <w:iCs/>
      <w:noProof/>
      <w:spacing w:val="0"/>
      <w:sz w:val="16"/>
      <w:szCs w:val="16"/>
    </w:rPr>
  </w:style>
  <w:style w:type="character" w:customStyle="1" w:styleId="5104">
    <w:name w:val="Îñíîâíîé òåêñò (5)104"/>
    <w:uiPriority w:val="99"/>
    <w:rsid w:val="00C84258"/>
    <w:rPr>
      <w:i/>
      <w:iCs/>
      <w:spacing w:val="0"/>
      <w:sz w:val="16"/>
      <w:szCs w:val="16"/>
      <w:u w:val="single"/>
    </w:rPr>
  </w:style>
  <w:style w:type="character" w:customStyle="1" w:styleId="5103">
    <w:name w:val="Îñíîâíîé òåêñò (5)103"/>
    <w:uiPriority w:val="99"/>
    <w:rsid w:val="00C84258"/>
    <w:rPr>
      <w:rFonts w:ascii="Arial Unicode MS" w:eastAsia="Arial Unicode MS" w:cs="Arial Unicode MS"/>
      <w:i/>
      <w:iCs/>
      <w:noProof/>
      <w:spacing w:val="0"/>
      <w:sz w:val="16"/>
      <w:szCs w:val="16"/>
    </w:rPr>
  </w:style>
  <w:style w:type="character" w:customStyle="1" w:styleId="5102">
    <w:name w:val="Îñíîâíîé òåêñò (5)102"/>
    <w:uiPriority w:val="99"/>
    <w:rsid w:val="00C84258"/>
    <w:rPr>
      <w:rFonts w:ascii="Arial Unicode MS" w:eastAsia="Arial Unicode MS" w:cs="Arial Unicode MS"/>
      <w:i/>
      <w:iCs/>
      <w:noProof/>
      <w:spacing w:val="0"/>
      <w:sz w:val="16"/>
      <w:szCs w:val="16"/>
    </w:rPr>
  </w:style>
  <w:style w:type="character" w:customStyle="1" w:styleId="530">
    <w:name w:val="Çàãîëîâîê ¹53"/>
    <w:uiPriority w:val="99"/>
    <w:rsid w:val="00C84258"/>
    <w:rPr>
      <w:rFonts w:ascii="Arial Unicode MS" w:eastAsia="Arial Unicode MS" w:hAnsi="Tahoma" w:cs="Arial Unicode MS"/>
      <w:i/>
      <w:iCs/>
      <w:noProof/>
      <w:sz w:val="16"/>
      <w:szCs w:val="16"/>
    </w:rPr>
  </w:style>
  <w:style w:type="character" w:customStyle="1" w:styleId="58485pt69580pt120">
    <w:name w:val="Îñíîâíîé òåêñò (5) + 848.5 pt69.Íå êóðñèâ58.Èíòåðâàë 0 pt120"/>
    <w:uiPriority w:val="99"/>
    <w:rsid w:val="00C84258"/>
    <w:rPr>
      <w:i/>
      <w:iCs/>
      <w:spacing w:val="-10"/>
      <w:sz w:val="17"/>
      <w:szCs w:val="17"/>
    </w:rPr>
  </w:style>
  <w:style w:type="character" w:customStyle="1" w:styleId="520">
    <w:name w:val="Çàãîëîâîê ¹52"/>
    <w:uiPriority w:val="99"/>
    <w:rsid w:val="00C84258"/>
    <w:rPr>
      <w:rFonts w:ascii="Tahoma" w:hAnsi="Tahoma" w:cs="Tahoma"/>
      <w:i/>
      <w:iCs/>
      <w:sz w:val="16"/>
      <w:szCs w:val="16"/>
      <w:u w:val="single"/>
    </w:rPr>
  </w:style>
  <w:style w:type="paragraph" w:customStyle="1" w:styleId="513">
    <w:name w:val="Çàãîëîâîê ¹51"/>
    <w:basedOn w:val="a"/>
    <w:uiPriority w:val="99"/>
    <w:rsid w:val="00C84258"/>
    <w:pPr>
      <w:shd w:val="clear" w:color="auto" w:fill="FFFFFF"/>
      <w:autoSpaceDE w:val="0"/>
      <w:autoSpaceDN w:val="0"/>
      <w:adjustRightInd w:val="0"/>
      <w:spacing w:after="0" w:line="211" w:lineRule="exact"/>
      <w:jc w:val="both"/>
    </w:pPr>
    <w:rPr>
      <w:rFonts w:ascii="Times New Roman" w:hAnsi="Times New Roman"/>
      <w:i/>
      <w:iCs/>
      <w:noProof/>
      <w:sz w:val="16"/>
      <w:szCs w:val="16"/>
      <w:lang w:val="en-US"/>
    </w:rPr>
  </w:style>
  <w:style w:type="character" w:customStyle="1" w:styleId="5101">
    <w:name w:val="Îñíîâíîé òåêñò (5)101"/>
    <w:uiPriority w:val="99"/>
    <w:rsid w:val="00C84258"/>
    <w:rPr>
      <w:i/>
      <w:iCs/>
      <w:spacing w:val="0"/>
      <w:sz w:val="16"/>
      <w:szCs w:val="16"/>
    </w:rPr>
  </w:style>
  <w:style w:type="character" w:customStyle="1" w:styleId="5100">
    <w:name w:val="Îñíîâíîé òåêñò (5)100"/>
    <w:uiPriority w:val="99"/>
    <w:rsid w:val="00C84258"/>
    <w:rPr>
      <w:rFonts w:ascii="Arial Unicode MS" w:eastAsia="Arial Unicode MS" w:cs="Arial Unicode MS"/>
      <w:i/>
      <w:iCs/>
      <w:noProof/>
      <w:spacing w:val="0"/>
      <w:sz w:val="16"/>
      <w:szCs w:val="16"/>
    </w:rPr>
  </w:style>
  <w:style w:type="character" w:customStyle="1" w:styleId="599">
    <w:name w:val="Îñíîâíîé òåêñò (5)99"/>
    <w:uiPriority w:val="99"/>
    <w:rsid w:val="00C84258"/>
    <w:rPr>
      <w:rFonts w:ascii="Arial Unicode MS" w:eastAsia="Arial Unicode MS" w:cs="Arial Unicode MS"/>
      <w:i/>
      <w:iCs/>
      <w:noProof/>
      <w:spacing w:val="0"/>
      <w:sz w:val="16"/>
      <w:szCs w:val="16"/>
    </w:rPr>
  </w:style>
  <w:style w:type="character" w:customStyle="1" w:styleId="58475pt68570pt119">
    <w:name w:val="Îñíîâíîé òåêñò (5) + 847.5 pt68.Íå êóðñèâ57.Èíòåðâàë 0 pt119"/>
    <w:uiPriority w:val="99"/>
    <w:rsid w:val="00C84258"/>
    <w:rPr>
      <w:i/>
      <w:iCs/>
      <w:spacing w:val="-10"/>
      <w:sz w:val="17"/>
      <w:szCs w:val="17"/>
    </w:rPr>
  </w:style>
  <w:style w:type="character" w:customStyle="1" w:styleId="598">
    <w:name w:val="Îñíîâíîé òåêñò (5)98"/>
    <w:uiPriority w:val="99"/>
    <w:rsid w:val="00C84258"/>
    <w:rPr>
      <w:i/>
      <w:iCs/>
      <w:spacing w:val="0"/>
      <w:sz w:val="16"/>
      <w:szCs w:val="16"/>
      <w:u w:val="single"/>
    </w:rPr>
  </w:style>
  <w:style w:type="character" w:customStyle="1" w:styleId="597">
    <w:name w:val="Îñíîâíîé òåêñò (5)97"/>
    <w:uiPriority w:val="99"/>
    <w:rsid w:val="00C84258"/>
    <w:rPr>
      <w:rFonts w:ascii="Arial Unicode MS" w:eastAsia="Arial Unicode MS" w:cs="Arial Unicode MS"/>
      <w:i/>
      <w:iCs/>
      <w:noProof/>
      <w:spacing w:val="0"/>
      <w:sz w:val="16"/>
      <w:szCs w:val="16"/>
      <w:u w:val="single"/>
    </w:rPr>
  </w:style>
  <w:style w:type="character" w:customStyle="1" w:styleId="191">
    <w:name w:val="Îñíîâíîé òåêñò (19)_"/>
    <w:uiPriority w:val="99"/>
    <w:rsid w:val="00C84258"/>
    <w:rPr>
      <w:rFonts w:ascii="Arial Narrow" w:hAnsi="Arial Narrow" w:cs="Arial Narrow"/>
      <w:b/>
      <w:bCs/>
      <w:sz w:val="47"/>
      <w:szCs w:val="47"/>
    </w:rPr>
  </w:style>
  <w:style w:type="character" w:customStyle="1" w:styleId="4b">
    <w:name w:val="Ïîäïèñü ê êàðòèíêå (4)_"/>
    <w:uiPriority w:val="99"/>
    <w:rsid w:val="00C84258"/>
    <w:rPr>
      <w:b/>
      <w:bCs/>
      <w:i/>
      <w:iCs/>
      <w:sz w:val="17"/>
      <w:szCs w:val="17"/>
    </w:rPr>
  </w:style>
  <w:style w:type="character" w:customStyle="1" w:styleId="4c">
    <w:name w:val="Ïîäïèñü ê êàðòèíêå (4)"/>
    <w:uiPriority w:val="99"/>
    <w:rsid w:val="00C84258"/>
    <w:rPr>
      <w:b/>
      <w:bCs/>
      <w:i/>
      <w:iCs/>
      <w:sz w:val="17"/>
      <w:szCs w:val="17"/>
    </w:rPr>
  </w:style>
  <w:style w:type="character" w:customStyle="1" w:styleId="8pt35450pt1150">
    <w:name w:val="Îñíîâíîé òåêñò + 8 pt35.Êóðñèâ45.Èíòåðâàë 0 pt115"/>
    <w:uiPriority w:val="99"/>
    <w:rsid w:val="00C84258"/>
    <w:rPr>
      <w:rFonts w:ascii="Microsoft Sans Serif" w:hAnsi="Microsoft Sans Serif" w:cs="Microsoft Sans Serif"/>
      <w:i/>
      <w:iCs/>
      <w:spacing w:val="0"/>
      <w:sz w:val="16"/>
      <w:szCs w:val="16"/>
    </w:rPr>
  </w:style>
  <w:style w:type="paragraph" w:customStyle="1" w:styleId="412">
    <w:name w:val="Ïîäïèñü ê êàðòèíêå (4)1"/>
    <w:basedOn w:val="a"/>
    <w:uiPriority w:val="99"/>
    <w:rsid w:val="00C84258"/>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3430pt1130">
    <w:name w:val="Îñíîâíîé òåêñò + 8 pt33.Êóðñèâ43.Èíòåðâàë 0 pt113"/>
    <w:uiPriority w:val="99"/>
    <w:rsid w:val="00C84258"/>
    <w:rPr>
      <w:rFonts w:ascii="Microsoft Sans Serif" w:hAnsi="Microsoft Sans Serif" w:cs="Microsoft Sans Serif"/>
      <w:i/>
      <w:iCs/>
      <w:spacing w:val="0"/>
      <w:sz w:val="16"/>
      <w:szCs w:val="16"/>
    </w:rPr>
  </w:style>
  <w:style w:type="character" w:customStyle="1" w:styleId="8pt32420pt1120">
    <w:name w:val="Îñíîâíîé òåêñò + 8 pt32.Êóðñèâ42.Èíòåðâàë 0 pt112"/>
    <w:uiPriority w:val="99"/>
    <w:rsid w:val="00C84258"/>
    <w:rPr>
      <w:rFonts w:ascii="Arial Unicode MS" w:eastAsia="Arial Unicode MS" w:hAnsi="Microsoft Sans Serif" w:cs="Arial Unicode MS"/>
      <w:i/>
      <w:iCs/>
      <w:noProof/>
      <w:spacing w:val="0"/>
      <w:sz w:val="16"/>
      <w:szCs w:val="16"/>
    </w:rPr>
  </w:style>
  <w:style w:type="character" w:customStyle="1" w:styleId="8pt31410pt1110">
    <w:name w:val="Îñíîâíîé òåêñò + 8 pt31.Êóðñèâ41.Èíòåðâàë 0 pt111"/>
    <w:uiPriority w:val="99"/>
    <w:rsid w:val="00C84258"/>
    <w:rPr>
      <w:rFonts w:ascii="Arial Unicode MS" w:eastAsia="Arial Unicode MS" w:hAnsi="Microsoft Sans Serif" w:cs="Arial Unicode MS"/>
      <w:i/>
      <w:iCs/>
      <w:noProof/>
      <w:spacing w:val="0"/>
      <w:sz w:val="16"/>
      <w:szCs w:val="16"/>
    </w:rPr>
  </w:style>
  <w:style w:type="character" w:customStyle="1" w:styleId="400pt1100">
    <w:name w:val="Îñíîâíîé òåêñò + Ïîëóæèðíûé.Êóðñèâ40.Èíòåðâàë 0 pt110"/>
    <w:uiPriority w:val="99"/>
    <w:rsid w:val="00C84258"/>
    <w:rPr>
      <w:rFonts w:ascii="Microsoft Sans Serif" w:hAnsi="Microsoft Sans Serif" w:cs="Microsoft Sans Serif"/>
      <w:b/>
      <w:bCs/>
      <w:i/>
      <w:iCs/>
      <w:spacing w:val="0"/>
      <w:sz w:val="17"/>
      <w:szCs w:val="17"/>
    </w:rPr>
  </w:style>
  <w:style w:type="character" w:customStyle="1" w:styleId="3f4">
    <w:name w:val="Îñíîâíîé òåêñò (3)_"/>
    <w:uiPriority w:val="99"/>
    <w:rsid w:val="00C84258"/>
    <w:rPr>
      <w:b/>
      <w:bCs/>
      <w:i/>
      <w:iCs/>
      <w:sz w:val="17"/>
      <w:szCs w:val="17"/>
    </w:rPr>
  </w:style>
  <w:style w:type="character" w:customStyle="1" w:styleId="391">
    <w:name w:val="Îñíîâíîé òåêñò (3)9"/>
    <w:uiPriority w:val="99"/>
    <w:rsid w:val="00C84258"/>
    <w:rPr>
      <w:b/>
      <w:bCs/>
      <w:i/>
      <w:iCs/>
      <w:sz w:val="17"/>
      <w:szCs w:val="17"/>
    </w:rPr>
  </w:style>
  <w:style w:type="character" w:customStyle="1" w:styleId="8pt30390pt1090">
    <w:name w:val="Îñíîâíîé òåêñò + 8 pt30.Êóðñèâ39.Èíòåðâàë 0 pt109"/>
    <w:uiPriority w:val="99"/>
    <w:rsid w:val="00C84258"/>
    <w:rPr>
      <w:rFonts w:ascii="Microsoft Sans Serif" w:hAnsi="Microsoft Sans Serif" w:cs="Microsoft Sans Serif"/>
      <w:i/>
      <w:iCs/>
      <w:spacing w:val="0"/>
      <w:sz w:val="16"/>
      <w:szCs w:val="16"/>
    </w:rPr>
  </w:style>
  <w:style w:type="character" w:customStyle="1" w:styleId="8pt29380pt1080">
    <w:name w:val="Îñíîâíîé òåêñò + 8 pt29.Êóðñèâ38.Èíòåðâàë 0 pt108"/>
    <w:uiPriority w:val="99"/>
    <w:rsid w:val="00C84258"/>
    <w:rPr>
      <w:rFonts w:ascii="Arial Unicode MS" w:eastAsia="Arial Unicode MS" w:hAnsi="Microsoft Sans Serif" w:cs="Arial Unicode MS"/>
      <w:i/>
      <w:iCs/>
      <w:noProof/>
      <w:spacing w:val="0"/>
      <w:sz w:val="16"/>
      <w:szCs w:val="16"/>
    </w:rPr>
  </w:style>
  <w:style w:type="character" w:customStyle="1" w:styleId="8pt28370pt1070">
    <w:name w:val="Îñíîâíîé òåêñò + 8 pt28.Êóðñèâ37.Èíòåðâàë 0 pt107"/>
    <w:uiPriority w:val="99"/>
    <w:rsid w:val="00C84258"/>
    <w:rPr>
      <w:rFonts w:ascii="Arial Unicode MS" w:eastAsia="Arial Unicode MS" w:hAnsi="Microsoft Sans Serif" w:cs="Arial Unicode MS"/>
      <w:i/>
      <w:iCs/>
      <w:noProof/>
      <w:spacing w:val="0"/>
      <w:sz w:val="16"/>
      <w:szCs w:val="16"/>
    </w:rPr>
  </w:style>
  <w:style w:type="character" w:customStyle="1" w:styleId="8pt27360pt1060">
    <w:name w:val="Îñíîâíîé òåêñò + 8 pt27.Êóðñèâ36.Èíòåðâàë 0 pt106"/>
    <w:uiPriority w:val="99"/>
    <w:rsid w:val="00C84258"/>
    <w:rPr>
      <w:rFonts w:ascii="Microsoft Sans Serif" w:hAnsi="Microsoft Sans Serif" w:cs="Microsoft Sans Serif"/>
      <w:i/>
      <w:iCs/>
      <w:spacing w:val="0"/>
      <w:sz w:val="16"/>
      <w:szCs w:val="16"/>
    </w:rPr>
  </w:style>
  <w:style w:type="character" w:customStyle="1" w:styleId="5790">
    <w:name w:val="Îñíîâíîé òåêñò (5)79"/>
    <w:uiPriority w:val="99"/>
    <w:rsid w:val="00C84258"/>
    <w:rPr>
      <w:i/>
      <w:iCs/>
      <w:spacing w:val="0"/>
      <w:sz w:val="16"/>
      <w:szCs w:val="16"/>
    </w:rPr>
  </w:style>
  <w:style w:type="character" w:customStyle="1" w:styleId="5780">
    <w:name w:val="Îñíîâíîé òåêñò (5)78"/>
    <w:uiPriority w:val="99"/>
    <w:rsid w:val="00C84258"/>
    <w:rPr>
      <w:rFonts w:ascii="Arial Unicode MS" w:eastAsia="Arial Unicode MS" w:cs="Arial Unicode MS"/>
      <w:i/>
      <w:iCs/>
      <w:noProof/>
      <w:spacing w:val="0"/>
      <w:sz w:val="16"/>
      <w:szCs w:val="16"/>
    </w:rPr>
  </w:style>
  <w:style w:type="character" w:customStyle="1" w:styleId="57pt250">
    <w:name w:val="Îñíîâíîé òåêñò (5) + 7 pt.Ïîëóæèðíûé25"/>
    <w:uiPriority w:val="99"/>
    <w:rsid w:val="00C84258"/>
    <w:rPr>
      <w:b/>
      <w:bCs/>
      <w:i/>
      <w:iCs/>
      <w:spacing w:val="0"/>
      <w:sz w:val="14"/>
      <w:szCs w:val="14"/>
    </w:rPr>
  </w:style>
  <w:style w:type="character" w:customStyle="1" w:styleId="57pt1240">
    <w:name w:val="Îñíîâíîé òåêñò (5) + 7 pt1.Ïîëóæèðíûé24"/>
    <w:uiPriority w:val="99"/>
    <w:rsid w:val="00C84258"/>
    <w:rPr>
      <w:b/>
      <w:bCs/>
      <w:i/>
      <w:iCs/>
      <w:spacing w:val="0"/>
      <w:sz w:val="14"/>
      <w:szCs w:val="14"/>
    </w:rPr>
  </w:style>
  <w:style w:type="character" w:customStyle="1" w:styleId="affffa">
    <w:name w:val="Ñíîñêà_"/>
    <w:uiPriority w:val="99"/>
    <w:rsid w:val="00C84258"/>
    <w:rPr>
      <w:i/>
      <w:iCs/>
      <w:sz w:val="13"/>
      <w:szCs w:val="13"/>
    </w:rPr>
  </w:style>
  <w:style w:type="character" w:customStyle="1" w:styleId="130">
    <w:name w:val="Ñíîñêà13"/>
    <w:uiPriority w:val="99"/>
    <w:rsid w:val="00C84258"/>
    <w:rPr>
      <w:i/>
      <w:iCs/>
      <w:sz w:val="13"/>
      <w:szCs w:val="13"/>
    </w:rPr>
  </w:style>
  <w:style w:type="character" w:customStyle="1" w:styleId="8pt25340pt1040">
    <w:name w:val="Îñíîâíîé òåêñò + 8 pt25.Êóðñèâ34.Èíòåðâàë 0 pt104"/>
    <w:uiPriority w:val="99"/>
    <w:rsid w:val="00C84258"/>
    <w:rPr>
      <w:rFonts w:ascii="Microsoft Sans Serif" w:hAnsi="Microsoft Sans Serif" w:cs="Microsoft Sans Serif"/>
      <w:i/>
      <w:iCs/>
      <w:spacing w:val="0"/>
      <w:sz w:val="16"/>
      <w:szCs w:val="16"/>
    </w:rPr>
  </w:style>
  <w:style w:type="character" w:customStyle="1" w:styleId="8pt22310pt1010">
    <w:name w:val="Îñíîâíîé òåêñò + 8 pt22.Êóðñèâ31.Èíòåðâàë 0 pt101"/>
    <w:uiPriority w:val="99"/>
    <w:rsid w:val="00C84258"/>
    <w:rPr>
      <w:rFonts w:ascii="Arial Unicode MS" w:eastAsia="Arial Unicode MS" w:hAnsi="Microsoft Sans Serif" w:cs="Arial Unicode MS"/>
      <w:i/>
      <w:iCs/>
      <w:noProof/>
      <w:spacing w:val="0"/>
      <w:sz w:val="16"/>
      <w:szCs w:val="16"/>
    </w:rPr>
  </w:style>
  <w:style w:type="character" w:customStyle="1" w:styleId="5770">
    <w:name w:val="Îñíîâíîé òåêñò (5)77"/>
    <w:uiPriority w:val="99"/>
    <w:rsid w:val="00C84258"/>
    <w:rPr>
      <w:i/>
      <w:iCs/>
      <w:spacing w:val="0"/>
      <w:sz w:val="16"/>
      <w:szCs w:val="16"/>
    </w:rPr>
  </w:style>
  <w:style w:type="character" w:customStyle="1" w:styleId="5760">
    <w:name w:val="Îñíîâíîé òåêñò (5)76"/>
    <w:uiPriority w:val="99"/>
    <w:rsid w:val="00C84258"/>
    <w:rPr>
      <w:rFonts w:ascii="Arial Unicode MS" w:eastAsia="Arial Unicode MS" w:cs="Arial Unicode MS"/>
      <w:i/>
      <w:iCs/>
      <w:noProof/>
      <w:spacing w:val="0"/>
      <w:sz w:val="16"/>
      <w:szCs w:val="16"/>
    </w:rPr>
  </w:style>
  <w:style w:type="paragraph" w:customStyle="1" w:styleId="1f5">
    <w:name w:val="Ñíîñêà1"/>
    <w:basedOn w:val="a"/>
    <w:uiPriority w:val="99"/>
    <w:rsid w:val="00C84258"/>
    <w:pPr>
      <w:shd w:val="clear" w:color="auto" w:fill="FFFFFF"/>
      <w:autoSpaceDE w:val="0"/>
      <w:autoSpaceDN w:val="0"/>
      <w:adjustRightInd w:val="0"/>
      <w:spacing w:after="0" w:line="168" w:lineRule="exact"/>
      <w:jc w:val="both"/>
    </w:pPr>
    <w:rPr>
      <w:rFonts w:ascii="Times New Roman" w:hAnsi="Times New Roman"/>
      <w:i/>
      <w:iCs/>
      <w:noProof/>
      <w:sz w:val="13"/>
      <w:szCs w:val="13"/>
      <w:lang w:val="en-US"/>
    </w:rPr>
  </w:style>
  <w:style w:type="paragraph" w:customStyle="1" w:styleId="610">
    <w:name w:val="Çàãîëîâîê ¹61"/>
    <w:basedOn w:val="a"/>
    <w:uiPriority w:val="99"/>
    <w:rsid w:val="00C84258"/>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0">
    <w:name w:val="Îñíîâíîé òåêñò + 8 pt21.Êóðñèâ30.Èíòåðâàë 0 pt98"/>
    <w:uiPriority w:val="99"/>
    <w:rsid w:val="00C84258"/>
    <w:rPr>
      <w:rFonts w:ascii="Microsoft Sans Serif" w:hAnsi="Microsoft Sans Serif" w:cs="Microsoft Sans Serif"/>
      <w:i/>
      <w:iCs/>
      <w:spacing w:val="0"/>
      <w:sz w:val="16"/>
      <w:szCs w:val="16"/>
    </w:rPr>
  </w:style>
  <w:style w:type="character" w:customStyle="1" w:styleId="8pt20290pt970">
    <w:name w:val="Îñíîâíîé òåêñò + 8 pt20.Êóðñèâ29.Èíòåðâàë 0 pt97"/>
    <w:uiPriority w:val="99"/>
    <w:rsid w:val="00C84258"/>
    <w:rPr>
      <w:rFonts w:ascii="Microsoft Sans Serif" w:hAnsi="Microsoft Sans Serif" w:cs="Microsoft Sans Serif"/>
      <w:i/>
      <w:iCs/>
      <w:spacing w:val="0"/>
      <w:sz w:val="16"/>
      <w:szCs w:val="16"/>
    </w:rPr>
  </w:style>
  <w:style w:type="character" w:customStyle="1" w:styleId="8pt19280pt96">
    <w:name w:val="Îñíîâíîé òåêñò + 8 pt19.Êóðñèâ28.Èíòåðâàë 0 pt96"/>
    <w:uiPriority w:val="99"/>
    <w:rsid w:val="00C84258"/>
    <w:rPr>
      <w:rFonts w:ascii="Arial Unicode MS" w:eastAsia="Arial Unicode MS" w:hAnsi="Microsoft Sans Serif" w:cs="Arial Unicode MS"/>
      <w:i/>
      <w:iCs/>
      <w:noProof/>
      <w:spacing w:val="0"/>
      <w:sz w:val="16"/>
      <w:szCs w:val="16"/>
    </w:rPr>
  </w:style>
  <w:style w:type="character" w:customStyle="1" w:styleId="8pt18270pt950">
    <w:name w:val="Îñíîâíîé òåêñò + 8 pt18.Êóðñèâ27.Èíòåðâàë 0 pt95"/>
    <w:uiPriority w:val="99"/>
    <w:rsid w:val="00C84258"/>
    <w:rPr>
      <w:rFonts w:ascii="Arial Unicode MS" w:eastAsia="Arial Unicode MS" w:hAnsi="Microsoft Sans Serif" w:cs="Arial Unicode MS"/>
      <w:i/>
      <w:iCs/>
      <w:noProof/>
      <w:spacing w:val="0"/>
      <w:sz w:val="16"/>
      <w:szCs w:val="16"/>
    </w:rPr>
  </w:style>
  <w:style w:type="character" w:customStyle="1" w:styleId="8pt17260pt94">
    <w:name w:val="Îñíîâíîé òåêñò + 8 pt17.Êóðñèâ26.Èíòåðâàë 0 pt94"/>
    <w:uiPriority w:val="99"/>
    <w:rsid w:val="00C84258"/>
    <w:rPr>
      <w:rFonts w:ascii="Microsoft Sans Serif" w:hAnsi="Microsoft Sans Serif" w:cs="Microsoft Sans Serif"/>
      <w:i/>
      <w:iCs/>
      <w:spacing w:val="0"/>
      <w:sz w:val="16"/>
      <w:szCs w:val="16"/>
    </w:rPr>
  </w:style>
  <w:style w:type="character" w:customStyle="1" w:styleId="8pt16250pt93">
    <w:name w:val="Îñíîâíîé òåêñò + 8 pt16.Êóðñèâ25.Èíòåðâàë 0 pt93"/>
    <w:uiPriority w:val="99"/>
    <w:rsid w:val="00C84258"/>
    <w:rPr>
      <w:rFonts w:ascii="Arial Unicode MS" w:eastAsia="Arial Unicode MS" w:hAnsi="Microsoft Sans Serif" w:cs="Arial Unicode MS"/>
      <w:i/>
      <w:iCs/>
      <w:noProof/>
      <w:spacing w:val="0"/>
      <w:sz w:val="16"/>
      <w:szCs w:val="16"/>
    </w:rPr>
  </w:style>
  <w:style w:type="character" w:customStyle="1" w:styleId="7pt230pt92">
    <w:name w:val="Îñíîâíîé òåêñò + 7 pt.Ïîëóæèðíûé23.Èíòåðâàë 0 pt92"/>
    <w:uiPriority w:val="99"/>
    <w:rsid w:val="00C84258"/>
    <w:rPr>
      <w:rFonts w:ascii="Arial Unicode MS" w:eastAsia="Arial Unicode MS" w:hAnsi="Microsoft Sans Serif" w:cs="Arial Unicode MS"/>
      <w:b/>
      <w:bCs/>
      <w:spacing w:val="0"/>
      <w:sz w:val="14"/>
      <w:szCs w:val="14"/>
      <w:lang w:val="en-US"/>
    </w:rPr>
  </w:style>
  <w:style w:type="character" w:customStyle="1" w:styleId="131">
    <w:name w:val="Îñíîâíîé òåêñò (13)_"/>
    <w:uiPriority w:val="99"/>
    <w:rsid w:val="00C84258"/>
    <w:rPr>
      <w:b/>
      <w:bCs/>
      <w:sz w:val="13"/>
      <w:szCs w:val="13"/>
    </w:rPr>
  </w:style>
  <w:style w:type="character" w:customStyle="1" w:styleId="1322">
    <w:name w:val="Îñíîâíîé òåêñò (13)22"/>
    <w:uiPriority w:val="99"/>
    <w:rsid w:val="00C84258"/>
    <w:rPr>
      <w:b/>
      <w:bCs/>
      <w:sz w:val="13"/>
      <w:szCs w:val="13"/>
    </w:rPr>
  </w:style>
  <w:style w:type="character" w:customStyle="1" w:styleId="575">
    <w:name w:val="Îñíîâíîé òåêñò (5)75"/>
    <w:uiPriority w:val="99"/>
    <w:rsid w:val="00C84258"/>
    <w:rPr>
      <w:i/>
      <w:iCs/>
      <w:spacing w:val="0"/>
      <w:sz w:val="16"/>
      <w:szCs w:val="16"/>
    </w:rPr>
  </w:style>
  <w:style w:type="character" w:customStyle="1" w:styleId="574">
    <w:name w:val="Îñíîâíîé òåêñò (5)74"/>
    <w:uiPriority w:val="99"/>
    <w:rsid w:val="00C84258"/>
    <w:rPr>
      <w:rFonts w:ascii="Arial Unicode MS" w:eastAsia="Arial Unicode MS" w:cs="Arial Unicode MS"/>
      <w:i/>
      <w:iCs/>
      <w:noProof/>
      <w:spacing w:val="0"/>
      <w:sz w:val="16"/>
      <w:szCs w:val="16"/>
    </w:rPr>
  </w:style>
  <w:style w:type="character" w:customStyle="1" w:styleId="58455pt61520pt91">
    <w:name w:val="Îñíîâíîé òåêñò (5) + 845.5 pt61.Íå êóðñèâ52.Èíòåðâàë 0 pt91"/>
    <w:uiPriority w:val="99"/>
    <w:rsid w:val="00C84258"/>
    <w:rPr>
      <w:i/>
      <w:iCs/>
      <w:spacing w:val="-10"/>
      <w:sz w:val="17"/>
      <w:szCs w:val="17"/>
    </w:rPr>
  </w:style>
  <w:style w:type="character" w:customStyle="1" w:styleId="58445pt60510pt90">
    <w:name w:val="Îñíîâíîé òåêñò (5) + 844.5 pt60.Íå êóðñèâ51.Èíòåðâàë 0 pt90"/>
    <w:uiPriority w:val="99"/>
    <w:rsid w:val="00C84258"/>
    <w:rPr>
      <w:rFonts w:ascii="Arial Unicode MS" w:eastAsia="Arial Unicode MS" w:cs="Arial Unicode MS"/>
      <w:i/>
      <w:iCs/>
      <w:noProof/>
      <w:spacing w:val="-10"/>
      <w:sz w:val="17"/>
      <w:szCs w:val="17"/>
    </w:rPr>
  </w:style>
  <w:style w:type="paragraph" w:customStyle="1" w:styleId="1310">
    <w:name w:val="Îñíîâíîé òåêñò (13)1"/>
    <w:basedOn w:val="a"/>
    <w:uiPriority w:val="99"/>
    <w:rsid w:val="00C84258"/>
    <w:pPr>
      <w:shd w:val="clear" w:color="auto" w:fill="FFFFFF"/>
      <w:autoSpaceDE w:val="0"/>
      <w:autoSpaceDN w:val="0"/>
      <w:adjustRightInd w:val="0"/>
      <w:spacing w:before="120" w:after="0" w:line="168" w:lineRule="exact"/>
    </w:pPr>
    <w:rPr>
      <w:rFonts w:ascii="Times New Roman" w:hAnsi="Times New Roman"/>
      <w:b/>
      <w:bCs/>
      <w:noProof/>
      <w:sz w:val="13"/>
      <w:szCs w:val="13"/>
      <w:lang w:val="en-US"/>
    </w:rPr>
  </w:style>
  <w:style w:type="character" w:customStyle="1" w:styleId="58435pt59500pt89">
    <w:name w:val="Îñíîâíîé òåêñò (5) + 843.5 pt59.Íå êóðñèâ50.Èíòåðâàë 0 pt89"/>
    <w:uiPriority w:val="99"/>
    <w:rsid w:val="00C84258"/>
    <w:rPr>
      <w:i/>
      <w:iCs/>
      <w:spacing w:val="-10"/>
      <w:sz w:val="17"/>
      <w:szCs w:val="17"/>
    </w:rPr>
  </w:style>
  <w:style w:type="character" w:customStyle="1" w:styleId="573">
    <w:name w:val="Îñíîâíîé òåêñò (5)73"/>
    <w:uiPriority w:val="99"/>
    <w:rsid w:val="00C84258"/>
    <w:rPr>
      <w:i/>
      <w:iCs/>
      <w:spacing w:val="0"/>
      <w:sz w:val="16"/>
      <w:szCs w:val="16"/>
    </w:rPr>
  </w:style>
  <w:style w:type="character" w:customStyle="1" w:styleId="572">
    <w:name w:val="Îñíîâíîé òåêñò (5)72"/>
    <w:uiPriority w:val="99"/>
    <w:rsid w:val="00C84258"/>
    <w:rPr>
      <w:rFonts w:ascii="Arial Unicode MS" w:eastAsia="Arial Unicode MS" w:cs="Arial Unicode MS"/>
      <w:i/>
      <w:iCs/>
      <w:noProof/>
      <w:spacing w:val="0"/>
      <w:sz w:val="16"/>
      <w:szCs w:val="16"/>
    </w:rPr>
  </w:style>
  <w:style w:type="character" w:customStyle="1" w:styleId="58425pt58490pt88">
    <w:name w:val="Îñíîâíîé òåêñò (5) + 842.5 pt58.Íå êóðñèâ49.Èíòåðâàë 0 pt88"/>
    <w:uiPriority w:val="99"/>
    <w:rsid w:val="00C84258"/>
    <w:rPr>
      <w:rFonts w:ascii="Arial Unicode MS" w:eastAsia="Arial Unicode MS" w:cs="Arial Unicode MS"/>
      <w:i/>
      <w:iCs/>
      <w:noProof/>
      <w:spacing w:val="-10"/>
      <w:sz w:val="17"/>
      <w:szCs w:val="17"/>
    </w:rPr>
  </w:style>
  <w:style w:type="character" w:customStyle="1" w:styleId="571">
    <w:name w:val="Îñíîâíîé òåêñò (5)71"/>
    <w:uiPriority w:val="99"/>
    <w:rsid w:val="00C84258"/>
    <w:rPr>
      <w:i/>
      <w:iCs/>
      <w:spacing w:val="0"/>
      <w:sz w:val="16"/>
      <w:szCs w:val="16"/>
    </w:rPr>
  </w:style>
  <w:style w:type="character" w:customStyle="1" w:styleId="570">
    <w:name w:val="Îñíîâíîé òåêñò (5)70"/>
    <w:uiPriority w:val="99"/>
    <w:rsid w:val="00C84258"/>
    <w:rPr>
      <w:rFonts w:ascii="Arial Unicode MS" w:eastAsia="Arial Unicode MS" w:cs="Arial Unicode MS"/>
      <w:i/>
      <w:iCs/>
      <w:noProof/>
      <w:spacing w:val="0"/>
      <w:sz w:val="16"/>
      <w:szCs w:val="16"/>
    </w:rPr>
  </w:style>
  <w:style w:type="character" w:customStyle="1" w:styleId="58415pt5722">
    <w:name w:val="Îñíîâíîé òåêñò (5) + 841.5 pt57.Ïîëóæèðíûé22"/>
    <w:uiPriority w:val="99"/>
    <w:rsid w:val="00C84258"/>
    <w:rPr>
      <w:b/>
      <w:bCs/>
      <w:i/>
      <w:iCs/>
      <w:spacing w:val="0"/>
      <w:sz w:val="17"/>
      <w:szCs w:val="17"/>
    </w:rPr>
  </w:style>
  <w:style w:type="character" w:customStyle="1" w:styleId="203">
    <w:name w:val="Îñíîâíîé òåêñò (20)_"/>
    <w:uiPriority w:val="99"/>
    <w:rsid w:val="00C84258"/>
    <w:rPr>
      <w:b/>
      <w:bCs/>
      <w:i/>
      <w:iCs/>
      <w:sz w:val="15"/>
      <w:szCs w:val="15"/>
    </w:rPr>
  </w:style>
  <w:style w:type="character" w:customStyle="1" w:styleId="204">
    <w:name w:val="Îñíîâíîé òåêñò (20)"/>
    <w:uiPriority w:val="99"/>
    <w:rsid w:val="00C84258"/>
    <w:rPr>
      <w:b/>
      <w:bCs/>
      <w:i/>
      <w:iCs/>
      <w:sz w:val="15"/>
      <w:szCs w:val="15"/>
    </w:rPr>
  </w:style>
  <w:style w:type="character" w:customStyle="1" w:styleId="2030">
    <w:name w:val="Îñíîâíîé òåêñò (20)3"/>
    <w:uiPriority w:val="99"/>
    <w:rsid w:val="00C84258"/>
    <w:rPr>
      <w:rFonts w:ascii="Arial Unicode MS" w:eastAsia="Arial Unicode MS" w:cs="Arial Unicode MS"/>
      <w:b/>
      <w:bCs/>
      <w:i/>
      <w:iCs/>
      <w:noProof/>
      <w:sz w:val="15"/>
      <w:szCs w:val="15"/>
    </w:rPr>
  </w:style>
  <w:style w:type="character" w:customStyle="1" w:styleId="208pt4">
    <w:name w:val="Îñíîâíîé òåêñò (20) + 8 pt.Íå ïîëóæèðíûé4"/>
    <w:uiPriority w:val="99"/>
    <w:rsid w:val="00C84258"/>
    <w:rPr>
      <w:rFonts w:ascii="Arial Unicode MS" w:eastAsia="Arial Unicode MS" w:cs="Arial Unicode MS"/>
      <w:b/>
      <w:bCs/>
      <w:i/>
      <w:iCs/>
      <w:noProof/>
      <w:sz w:val="16"/>
      <w:szCs w:val="16"/>
    </w:rPr>
  </w:style>
  <w:style w:type="character" w:customStyle="1" w:styleId="2020">
    <w:name w:val="Îñíîâíîé òåêñò (20)2"/>
    <w:uiPriority w:val="99"/>
    <w:rsid w:val="00C84258"/>
    <w:rPr>
      <w:b/>
      <w:bCs/>
      <w:i/>
      <w:iCs/>
      <w:sz w:val="15"/>
      <w:szCs w:val="15"/>
    </w:rPr>
  </w:style>
  <w:style w:type="character" w:customStyle="1" w:styleId="2040">
    <w:name w:val="Îñíîâíîé òåêñò (20) + Íå ïîëóæèðíûé.Ìàëûå ïðîïèñíûå4"/>
    <w:uiPriority w:val="99"/>
    <w:rsid w:val="00C84258"/>
    <w:rPr>
      <w:b/>
      <w:bCs/>
      <w:i/>
      <w:iCs/>
      <w:smallCaps/>
      <w:sz w:val="15"/>
      <w:szCs w:val="15"/>
    </w:rPr>
  </w:style>
  <w:style w:type="paragraph" w:customStyle="1" w:styleId="2011">
    <w:name w:val="Îñíîâíîé òåêñò (20)1"/>
    <w:basedOn w:val="a"/>
    <w:uiPriority w:val="99"/>
    <w:rsid w:val="00C84258"/>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430">
    <w:name w:val="Îñíîâíîé òåêñò (4) + Íå êóðñèâ3"/>
    <w:uiPriority w:val="99"/>
    <w:rsid w:val="00C84258"/>
    <w:rPr>
      <w:rFonts w:ascii="Microsoft Sans Serif" w:hAnsi="Microsoft Sans Serif" w:cs="Microsoft Sans Serif"/>
      <w:i/>
      <w:iCs/>
      <w:sz w:val="15"/>
      <w:szCs w:val="15"/>
    </w:rPr>
  </w:style>
  <w:style w:type="character" w:customStyle="1" w:styleId="490">
    <w:name w:val="Îñíîâíîé òåêñò (4)9"/>
    <w:uiPriority w:val="99"/>
    <w:rsid w:val="00C84258"/>
    <w:rPr>
      <w:rFonts w:ascii="Microsoft Sans Serif" w:hAnsi="Microsoft Sans Serif" w:cs="Microsoft Sans Serif"/>
      <w:i/>
      <w:iCs/>
      <w:sz w:val="15"/>
      <w:szCs w:val="15"/>
      <w:u w:val="single"/>
    </w:rPr>
  </w:style>
  <w:style w:type="character" w:customStyle="1" w:styleId="480">
    <w:name w:val="Îñíîâíîé òåêñò (4)8"/>
    <w:uiPriority w:val="99"/>
    <w:rsid w:val="00C84258"/>
    <w:rPr>
      <w:rFonts w:ascii="Microsoft Sans Serif" w:hAnsi="Microsoft Sans Serif" w:cs="Microsoft Sans Serif"/>
      <w:i/>
      <w:iCs/>
      <w:sz w:val="15"/>
      <w:szCs w:val="15"/>
      <w:u w:val="single"/>
    </w:rPr>
  </w:style>
  <w:style w:type="character" w:customStyle="1" w:styleId="440">
    <w:name w:val="Îñíîâíîé òåêñò (4) + Íå êóðñèâ4"/>
    <w:uiPriority w:val="99"/>
    <w:rsid w:val="00C84258"/>
    <w:rPr>
      <w:rFonts w:ascii="Microsoft Sans Serif" w:hAnsi="Microsoft Sans Serif" w:cs="Microsoft Sans Serif"/>
      <w:i/>
      <w:iCs/>
      <w:sz w:val="15"/>
      <w:szCs w:val="15"/>
    </w:rPr>
  </w:style>
  <w:style w:type="character" w:customStyle="1" w:styleId="470">
    <w:name w:val="Îñíîâíîé òåêñò (4)7"/>
    <w:uiPriority w:val="99"/>
    <w:rsid w:val="00C84258"/>
    <w:rPr>
      <w:rFonts w:ascii="Microsoft Sans Serif" w:hAnsi="Microsoft Sans Serif" w:cs="Microsoft Sans Serif"/>
      <w:i/>
      <w:iCs/>
      <w:sz w:val="15"/>
      <w:szCs w:val="15"/>
      <w:u w:val="single"/>
    </w:rPr>
  </w:style>
  <w:style w:type="character" w:customStyle="1" w:styleId="460">
    <w:name w:val="Îñíîâíîé òåêñò (4)6"/>
    <w:uiPriority w:val="99"/>
    <w:rsid w:val="00C84258"/>
    <w:rPr>
      <w:rFonts w:ascii="Microsoft Sans Serif" w:hAnsi="Microsoft Sans Serif" w:cs="Microsoft Sans Serif"/>
      <w:i/>
      <w:iCs/>
      <w:sz w:val="15"/>
      <w:szCs w:val="15"/>
      <w:u w:val="single"/>
    </w:rPr>
  </w:style>
  <w:style w:type="character" w:customStyle="1" w:styleId="421">
    <w:name w:val="Îñíîâíîé òåêñò (4) + Íå êóðñèâ2"/>
    <w:uiPriority w:val="99"/>
    <w:rsid w:val="00C84258"/>
    <w:rPr>
      <w:rFonts w:ascii="Microsoft Sans Serif" w:hAnsi="Microsoft Sans Serif" w:cs="Microsoft Sans Serif"/>
      <w:i/>
      <w:iCs/>
      <w:sz w:val="15"/>
      <w:szCs w:val="15"/>
    </w:rPr>
  </w:style>
  <w:style w:type="character" w:customStyle="1" w:styleId="450">
    <w:name w:val="Îñíîâíîé òåêñò (4)5"/>
    <w:uiPriority w:val="99"/>
    <w:rsid w:val="00C84258"/>
    <w:rPr>
      <w:rFonts w:ascii="Microsoft Sans Serif" w:hAnsi="Microsoft Sans Serif" w:cs="Microsoft Sans Serif"/>
      <w:i/>
      <w:iCs/>
      <w:sz w:val="15"/>
      <w:szCs w:val="15"/>
      <w:u w:val="single"/>
    </w:rPr>
  </w:style>
  <w:style w:type="character" w:customStyle="1" w:styleId="465pt15122">
    <w:name w:val="Îñíîâíîé òåêñò (4) + 6.5 pt15.Ïîëóæèðíûé12.Íå êóðñèâ2"/>
    <w:uiPriority w:val="99"/>
    <w:rsid w:val="00C84258"/>
    <w:rPr>
      <w:rFonts w:ascii="Microsoft Sans Serif" w:hAnsi="Microsoft Sans Serif" w:cs="Microsoft Sans Serif"/>
      <w:b/>
      <w:bCs/>
      <w:i/>
      <w:iCs/>
      <w:sz w:val="13"/>
      <w:szCs w:val="13"/>
    </w:rPr>
  </w:style>
  <w:style w:type="character" w:customStyle="1" w:styleId="441">
    <w:name w:val="Îñíîâíîé òåêñò (4)4"/>
    <w:uiPriority w:val="99"/>
    <w:rsid w:val="00C84258"/>
    <w:rPr>
      <w:rFonts w:ascii="Microsoft Sans Serif" w:hAnsi="Microsoft Sans Serif" w:cs="Microsoft Sans Serif"/>
      <w:i/>
      <w:iCs/>
      <w:sz w:val="15"/>
      <w:szCs w:val="15"/>
      <w:u w:val="single"/>
    </w:rPr>
  </w:style>
  <w:style w:type="character" w:customStyle="1" w:styleId="431">
    <w:name w:val="Îñíîâíîé òåêñò (4)3"/>
    <w:uiPriority w:val="99"/>
    <w:rsid w:val="00C84258"/>
    <w:rPr>
      <w:rFonts w:ascii="Microsoft Sans Serif" w:hAnsi="Microsoft Sans Serif" w:cs="Microsoft Sans Serif"/>
      <w:i/>
      <w:iCs/>
      <w:sz w:val="15"/>
      <w:szCs w:val="15"/>
      <w:u w:val="single"/>
    </w:rPr>
  </w:style>
  <w:style w:type="character" w:customStyle="1" w:styleId="413">
    <w:name w:val="Îñíîâíîé òåêñò (4) + Íå êóðñèâ1"/>
    <w:uiPriority w:val="99"/>
    <w:rsid w:val="00C84258"/>
    <w:rPr>
      <w:rFonts w:ascii="Microsoft Sans Serif" w:hAnsi="Microsoft Sans Serif" w:cs="Microsoft Sans Serif"/>
      <w:i/>
      <w:iCs/>
      <w:sz w:val="15"/>
      <w:szCs w:val="15"/>
    </w:rPr>
  </w:style>
  <w:style w:type="character" w:customStyle="1" w:styleId="4-1pt">
    <w:name w:val="Îñíîâíîé òåêñò (4) + Èíòåðâàë -1 pt"/>
    <w:uiPriority w:val="99"/>
    <w:rsid w:val="00C84258"/>
    <w:rPr>
      <w:rFonts w:ascii="Microsoft Sans Serif" w:hAnsi="Microsoft Sans Serif" w:cs="Microsoft Sans Serif"/>
      <w:i/>
      <w:iCs/>
      <w:spacing w:val="-20"/>
      <w:sz w:val="15"/>
      <w:szCs w:val="15"/>
    </w:rPr>
  </w:style>
  <w:style w:type="character" w:customStyle="1" w:styleId="3f5">
    <w:name w:val="Îñíîâíîé òåêñò + Êóðñèâ3"/>
    <w:uiPriority w:val="99"/>
    <w:rsid w:val="00C84258"/>
    <w:rPr>
      <w:rFonts w:ascii="Microsoft Sans Serif" w:hAnsi="Microsoft Sans Serif" w:cs="Microsoft Sans Serif"/>
      <w:i/>
      <w:iCs/>
      <w:sz w:val="15"/>
      <w:szCs w:val="15"/>
    </w:rPr>
  </w:style>
  <w:style w:type="character" w:customStyle="1" w:styleId="2f5">
    <w:name w:val="Îñíîâíîé òåêñò + Êóðñèâ2"/>
    <w:uiPriority w:val="99"/>
    <w:rsid w:val="00C84258"/>
    <w:rPr>
      <w:rFonts w:ascii="Microsoft Sans Serif" w:hAnsi="Microsoft Sans Serif" w:cs="Microsoft Sans Serif"/>
      <w:i/>
      <w:iCs/>
      <w:sz w:val="15"/>
      <w:szCs w:val="15"/>
    </w:rPr>
  </w:style>
  <w:style w:type="paragraph" w:customStyle="1" w:styleId="83">
    <w:name w:val="Çàãîëîâîê ¹8"/>
    <w:basedOn w:val="a"/>
    <w:uiPriority w:val="99"/>
    <w:rsid w:val="00C84258"/>
    <w:pPr>
      <w:shd w:val="clear" w:color="auto" w:fill="FFFFFF"/>
      <w:autoSpaceDE w:val="0"/>
      <w:autoSpaceDN w:val="0"/>
      <w:adjustRightInd w:val="0"/>
      <w:spacing w:before="180" w:after="0" w:line="211" w:lineRule="exact"/>
    </w:pPr>
    <w:rPr>
      <w:rFonts w:ascii="Microsoft Sans Serif" w:hAnsi="Microsoft Sans Serif" w:cs="Microsoft Sans Serif"/>
      <w:b/>
      <w:bCs/>
      <w:noProof/>
      <w:sz w:val="17"/>
      <w:szCs w:val="17"/>
      <w:lang w:val="en-US"/>
    </w:rPr>
  </w:style>
  <w:style w:type="paragraph" w:customStyle="1" w:styleId="215">
    <w:name w:val="Îñíîâíîé òåêñò (21)"/>
    <w:basedOn w:val="a"/>
    <w:uiPriority w:val="99"/>
    <w:rsid w:val="00C84258"/>
    <w:pPr>
      <w:shd w:val="clear" w:color="auto" w:fill="FFFFFF"/>
      <w:autoSpaceDE w:val="0"/>
      <w:autoSpaceDN w:val="0"/>
      <w:adjustRightInd w:val="0"/>
      <w:spacing w:after="120" w:line="211" w:lineRule="exact"/>
      <w:ind w:firstLine="280"/>
      <w:jc w:val="both"/>
    </w:pPr>
    <w:rPr>
      <w:rFonts w:ascii="Microsoft Sans Serif" w:hAnsi="Microsoft Sans Serif" w:cs="Microsoft Sans Serif"/>
      <w:b/>
      <w:bCs/>
      <w:i/>
      <w:iCs/>
      <w:noProof/>
      <w:sz w:val="16"/>
      <w:szCs w:val="16"/>
      <w:lang w:val="en-US"/>
    </w:rPr>
  </w:style>
  <w:style w:type="paragraph" w:customStyle="1" w:styleId="1210">
    <w:name w:val="Îñíîâíîé òåêñò (12)1"/>
    <w:basedOn w:val="a"/>
    <w:uiPriority w:val="99"/>
    <w:rsid w:val="00C84258"/>
    <w:pPr>
      <w:shd w:val="clear" w:color="auto" w:fill="FFFFFF"/>
      <w:autoSpaceDE w:val="0"/>
      <w:autoSpaceDN w:val="0"/>
      <w:adjustRightInd w:val="0"/>
      <w:spacing w:before="420" w:after="0" w:line="206" w:lineRule="exact"/>
      <w:jc w:val="both"/>
    </w:pPr>
    <w:rPr>
      <w:rFonts w:ascii="Microsoft Sans Serif" w:hAnsi="Microsoft Sans Serif" w:cs="Microsoft Sans Serif"/>
      <w:i/>
      <w:iCs/>
      <w:noProof/>
      <w:sz w:val="16"/>
      <w:szCs w:val="16"/>
      <w:lang w:val="en-US"/>
    </w:rPr>
  </w:style>
  <w:style w:type="character" w:customStyle="1" w:styleId="200pt65">
    <w:name w:val="Îñíîâíîé òåêñò (20) + Íå êóðñèâ.Èíòåðâàë 0 pt65"/>
    <w:uiPriority w:val="99"/>
    <w:rsid w:val="00C84258"/>
    <w:rPr>
      <w:rFonts w:ascii="Lucida Sans Unicode" w:hAnsi="Lucida Sans Unicode" w:cs="Lucida Sans Unicode"/>
      <w:i/>
      <w:iCs/>
      <w:spacing w:val="-10"/>
      <w:sz w:val="16"/>
      <w:szCs w:val="16"/>
    </w:rPr>
  </w:style>
  <w:style w:type="character" w:customStyle="1" w:styleId="160pt64">
    <w:name w:val="Îñíîâíîé òåêñò + Êóðñèâ16.Èíòåðâàë 0 pt64"/>
    <w:uiPriority w:val="99"/>
    <w:rsid w:val="00C84258"/>
    <w:rPr>
      <w:rFonts w:ascii="Lucida Sans Unicode" w:hAnsi="Lucida Sans Unicode" w:cs="Lucida Sans Unicode"/>
      <w:i/>
      <w:iCs/>
      <w:spacing w:val="0"/>
      <w:sz w:val="16"/>
      <w:szCs w:val="16"/>
    </w:rPr>
  </w:style>
  <w:style w:type="character" w:customStyle="1" w:styleId="20160pt63">
    <w:name w:val="Îñíîâíîé òåêñò (20) + Íå êóðñèâ16.Èíòåðâàë 0 pt63"/>
    <w:uiPriority w:val="99"/>
    <w:rsid w:val="00C84258"/>
    <w:rPr>
      <w:rFonts w:ascii="Lucida Sans Unicode" w:hAnsi="Lucida Sans Unicode" w:cs="Lucida Sans Unicode"/>
      <w:i/>
      <w:iCs/>
      <w:spacing w:val="-10"/>
      <w:sz w:val="16"/>
      <w:szCs w:val="16"/>
    </w:rPr>
  </w:style>
  <w:style w:type="character" w:customStyle="1" w:styleId="206">
    <w:name w:val="Îñíîâíîé òåêñò (20)6"/>
    <w:uiPriority w:val="99"/>
    <w:rsid w:val="00C84258"/>
    <w:rPr>
      <w:rFonts w:ascii="Lucida Sans Unicode" w:hAnsi="Lucida Sans Unicode" w:cs="Lucida Sans Unicode"/>
      <w:b/>
      <w:bCs/>
      <w:i/>
      <w:iCs/>
      <w:sz w:val="16"/>
      <w:szCs w:val="16"/>
      <w:u w:val="single"/>
    </w:rPr>
  </w:style>
  <w:style w:type="character" w:customStyle="1" w:styleId="20140pt59">
    <w:name w:val="Îñíîâíîé òåêñò (20) + Íå êóðñèâ14.Èíòåðâàë 0 pt59"/>
    <w:uiPriority w:val="99"/>
    <w:rsid w:val="00C84258"/>
    <w:rPr>
      <w:rFonts w:ascii="Lucida Sans Unicode" w:hAnsi="Lucida Sans Unicode" w:cs="Lucida Sans Unicode"/>
      <w:b/>
      <w:bCs/>
      <w:i/>
      <w:iCs/>
      <w:spacing w:val="-10"/>
      <w:sz w:val="16"/>
      <w:szCs w:val="16"/>
    </w:rPr>
  </w:style>
  <w:style w:type="character" w:customStyle="1" w:styleId="140pt58">
    <w:name w:val="Îñíîâíîé òåêñò + Êóðñèâ14.Èíòåðâàë 0 pt58"/>
    <w:uiPriority w:val="99"/>
    <w:rsid w:val="00C84258"/>
    <w:rPr>
      <w:rFonts w:ascii="Lucida Sans Unicode" w:hAnsi="Lucida Sans Unicode" w:cs="Lucida Sans Unicode"/>
      <w:i/>
      <w:iCs/>
      <w:spacing w:val="0"/>
      <w:sz w:val="16"/>
      <w:szCs w:val="16"/>
    </w:rPr>
  </w:style>
  <w:style w:type="character" w:customStyle="1" w:styleId="MSMincho">
    <w:name w:val="Îñíîâíîé òåêñò + MS Mincho"/>
    <w:uiPriority w:val="99"/>
    <w:rsid w:val="00C84258"/>
    <w:rPr>
      <w:rFonts w:ascii="MS Mincho" w:eastAsia="MS Mincho" w:hAnsi="Microsoft Sans Serif" w:cs="MS Mincho"/>
      <w:spacing w:val="-10"/>
      <w:sz w:val="16"/>
      <w:szCs w:val="16"/>
    </w:rPr>
  </w:style>
  <w:style w:type="character" w:customStyle="1" w:styleId="20130pt57">
    <w:name w:val="Îñíîâíîé òåêñò (20) + Íå êóðñèâ13.Èíòåðâàë 0 pt57"/>
    <w:uiPriority w:val="99"/>
    <w:rsid w:val="00C84258"/>
    <w:rPr>
      <w:rFonts w:ascii="Lucida Sans Unicode" w:hAnsi="Lucida Sans Unicode" w:cs="Lucida Sans Unicode"/>
      <w:b/>
      <w:bCs/>
      <w:i/>
      <w:iCs/>
      <w:spacing w:val="-10"/>
      <w:sz w:val="16"/>
      <w:szCs w:val="16"/>
    </w:rPr>
  </w:style>
  <w:style w:type="character" w:customStyle="1" w:styleId="205">
    <w:name w:val="Îñíîâíîé òåêñò (20)5"/>
    <w:uiPriority w:val="99"/>
    <w:rsid w:val="00C84258"/>
    <w:rPr>
      <w:rFonts w:ascii="Lucida Sans Unicode" w:hAnsi="Lucida Sans Unicode" w:cs="Lucida Sans Unicode"/>
      <w:b/>
      <w:bCs/>
      <w:i/>
      <w:iCs/>
      <w:sz w:val="16"/>
      <w:szCs w:val="16"/>
      <w:u w:val="single"/>
    </w:rPr>
  </w:style>
  <w:style w:type="character" w:customStyle="1" w:styleId="2041">
    <w:name w:val="Îñíîâíîé òåêñò (20)4"/>
    <w:uiPriority w:val="99"/>
    <w:rsid w:val="00C84258"/>
    <w:rPr>
      <w:rFonts w:ascii="Lucida Sans Unicode" w:hAnsi="Lucida Sans Unicode" w:cs="Lucida Sans Unicode"/>
      <w:b/>
      <w:bCs/>
      <w:i/>
      <w:iCs/>
      <w:sz w:val="16"/>
      <w:szCs w:val="16"/>
      <w:u w:val="single"/>
    </w:rPr>
  </w:style>
  <w:style w:type="character" w:customStyle="1" w:styleId="20120pt56">
    <w:name w:val="Îñíîâíîé òåêñò (20) + Íå êóðñèâ12.Èíòåðâàë 0 pt56"/>
    <w:uiPriority w:val="99"/>
    <w:rsid w:val="00C84258"/>
    <w:rPr>
      <w:rFonts w:ascii="Lucida Sans Unicode" w:hAnsi="Lucida Sans Unicode" w:cs="Lucida Sans Unicode"/>
      <w:b/>
      <w:bCs/>
      <w:i/>
      <w:iCs/>
      <w:spacing w:val="-10"/>
      <w:sz w:val="16"/>
      <w:szCs w:val="16"/>
    </w:rPr>
  </w:style>
  <w:style w:type="character" w:customStyle="1" w:styleId="20MSMincho30pt55">
    <w:name w:val="Îñíîâíîé òåêñò (20) + MS Mincho.Íå êóðñèâ3.Èíòåðâàë 0 pt55"/>
    <w:uiPriority w:val="99"/>
    <w:rsid w:val="00C84258"/>
    <w:rPr>
      <w:rFonts w:ascii="MS Mincho" w:eastAsia="MS Mincho" w:cs="MS Mincho"/>
      <w:b/>
      <w:bCs/>
      <w:i/>
      <w:iCs/>
      <w:spacing w:val="-10"/>
      <w:sz w:val="16"/>
      <w:szCs w:val="16"/>
    </w:rPr>
  </w:style>
  <w:style w:type="character" w:customStyle="1" w:styleId="1420">
    <w:name w:val="Îñíîâíîé òåêñò (14)2"/>
    <w:uiPriority w:val="99"/>
    <w:rsid w:val="00C84258"/>
    <w:rPr>
      <w:rFonts w:ascii="Lucida Sans Unicode" w:hAnsi="Lucida Sans Unicode" w:cs="Lucida Sans Unicode"/>
      <w:spacing w:val="-10"/>
      <w:sz w:val="13"/>
      <w:szCs w:val="13"/>
      <w:u w:val="single"/>
    </w:rPr>
  </w:style>
  <w:style w:type="character" w:customStyle="1" w:styleId="20110pt54">
    <w:name w:val="Îñíîâíîé òåêñò (20) + Íå êóðñèâ11.Èíòåðâàë 0 pt54"/>
    <w:uiPriority w:val="99"/>
    <w:rsid w:val="00C84258"/>
    <w:rPr>
      <w:rFonts w:ascii="Lucida Sans Unicode" w:hAnsi="Lucida Sans Unicode" w:cs="Lucida Sans Unicode"/>
      <w:b/>
      <w:bCs/>
      <w:i/>
      <w:iCs/>
      <w:spacing w:val="-10"/>
      <w:sz w:val="16"/>
      <w:szCs w:val="16"/>
    </w:rPr>
  </w:style>
  <w:style w:type="character" w:customStyle="1" w:styleId="720pt41">
    <w:name w:val="Îñíîâíîé òåêñò (7) + Íå êóðñèâ2.Èíòåðâàë 0 pt41"/>
    <w:uiPriority w:val="99"/>
    <w:rsid w:val="00C84258"/>
    <w:rPr>
      <w:rFonts w:ascii="Lucida Sans Unicode" w:hAnsi="Lucida Sans Unicode" w:cs="Lucida Sans Unicode"/>
      <w:i/>
      <w:iCs/>
      <w:spacing w:val="-10"/>
      <w:sz w:val="13"/>
      <w:szCs w:val="13"/>
    </w:rPr>
  </w:style>
  <w:style w:type="character" w:customStyle="1" w:styleId="2090pt380">
    <w:name w:val="Îñíîâíîé òåêñò (20) + Íå êóðñèâ9.Èíòåðâàë 0 pt38"/>
    <w:uiPriority w:val="99"/>
    <w:rsid w:val="00C84258"/>
    <w:rPr>
      <w:rFonts w:ascii="Lucida Sans Unicode" w:hAnsi="Lucida Sans Unicode" w:cs="Lucida Sans Unicode"/>
      <w:b/>
      <w:bCs/>
      <w:i/>
      <w:iCs/>
      <w:spacing w:val="-10"/>
      <w:sz w:val="16"/>
      <w:szCs w:val="16"/>
    </w:rPr>
  </w:style>
  <w:style w:type="character" w:customStyle="1" w:styleId="6pt20">
    <w:name w:val="Îñíîâíîé òåêñò + 6 pt2"/>
    <w:uiPriority w:val="99"/>
    <w:rsid w:val="00C84258"/>
    <w:rPr>
      <w:rFonts w:ascii="Lucida Sans Unicode" w:hAnsi="Lucida Sans Unicode" w:cs="Lucida Sans Unicode"/>
      <w:spacing w:val="-10"/>
      <w:sz w:val="12"/>
      <w:szCs w:val="12"/>
    </w:rPr>
  </w:style>
  <w:style w:type="character" w:customStyle="1" w:styleId="70pt370">
    <w:name w:val="Îñíîâíîé òåêñò + Êóðñèâ7.Èíòåðâàë 0 pt37"/>
    <w:uiPriority w:val="99"/>
    <w:rsid w:val="00C84258"/>
    <w:rPr>
      <w:rFonts w:ascii="Lucida Sans Unicode" w:hAnsi="Lucida Sans Unicode" w:cs="Lucida Sans Unicode"/>
      <w:i/>
      <w:iCs/>
      <w:spacing w:val="0"/>
      <w:sz w:val="16"/>
      <w:szCs w:val="16"/>
    </w:rPr>
  </w:style>
  <w:style w:type="character" w:customStyle="1" w:styleId="60pt360">
    <w:name w:val="Îñíîâíîé òåêñò + Êóðñèâ6.Èíòåðâàë 0 pt36"/>
    <w:uiPriority w:val="99"/>
    <w:rsid w:val="00C84258"/>
    <w:rPr>
      <w:rFonts w:ascii="Lucida Sans Unicode" w:hAnsi="Lucida Sans Unicode" w:cs="Lucida Sans Unicode"/>
      <w:i/>
      <w:iCs/>
      <w:spacing w:val="0"/>
      <w:sz w:val="16"/>
      <w:szCs w:val="16"/>
    </w:rPr>
  </w:style>
  <w:style w:type="character" w:customStyle="1" w:styleId="2080pt350">
    <w:name w:val="Îñíîâíîé òåêñò (20) + Íå êóðñèâ8.Èíòåðâàë 0 pt35"/>
    <w:uiPriority w:val="99"/>
    <w:rsid w:val="00C84258"/>
    <w:rPr>
      <w:rFonts w:ascii="Lucida Sans Unicode" w:hAnsi="Lucida Sans Unicode" w:cs="Lucida Sans Unicode"/>
      <w:b/>
      <w:bCs/>
      <w:i/>
      <w:iCs/>
      <w:spacing w:val="-10"/>
      <w:sz w:val="16"/>
      <w:szCs w:val="16"/>
    </w:rPr>
  </w:style>
  <w:style w:type="character" w:customStyle="1" w:styleId="50pt340">
    <w:name w:val="Îñíîâíîé òåêñò + Êóðñèâ5.Èíòåðâàë 0 pt34"/>
    <w:uiPriority w:val="99"/>
    <w:rsid w:val="00C84258"/>
    <w:rPr>
      <w:rFonts w:ascii="Lucida Sans Unicode" w:hAnsi="Lucida Sans Unicode" w:cs="Lucida Sans Unicode"/>
      <w:i/>
      <w:iCs/>
      <w:spacing w:val="0"/>
      <w:sz w:val="16"/>
      <w:szCs w:val="16"/>
    </w:rPr>
  </w:style>
  <w:style w:type="character" w:customStyle="1" w:styleId="14ArialNarrow10pt390">
    <w:name w:val="Îñíîâíîé òåêñò (14) + Arial Narrow1.Ìàëûå ïðîïèñíûå.Èíòåðâàë 0 pt39"/>
    <w:uiPriority w:val="99"/>
    <w:rsid w:val="00C84258"/>
    <w:rPr>
      <w:rFonts w:ascii="Arial Narrow" w:hAnsi="Arial Narrow" w:cs="Arial Narrow"/>
      <w:smallCaps/>
      <w:spacing w:val="0"/>
      <w:sz w:val="13"/>
      <w:szCs w:val="13"/>
    </w:rPr>
  </w:style>
  <w:style w:type="character" w:customStyle="1" w:styleId="2070pt330">
    <w:name w:val="Îñíîâíîé òåêñò (20) + Íå êóðñèâ7.Èíòåðâàë 0 pt33"/>
    <w:uiPriority w:val="99"/>
    <w:rsid w:val="00C84258"/>
    <w:rPr>
      <w:rFonts w:ascii="Lucida Sans Unicode" w:hAnsi="Lucida Sans Unicode" w:cs="Lucida Sans Unicode"/>
      <w:b/>
      <w:bCs/>
      <w:i/>
      <w:iCs/>
      <w:spacing w:val="-10"/>
      <w:sz w:val="16"/>
      <w:szCs w:val="16"/>
    </w:rPr>
  </w:style>
  <w:style w:type="character" w:customStyle="1" w:styleId="40pt320">
    <w:name w:val="Îñíîâíîé òåêñò + Êóðñèâ4.Èíòåðâàë 0 pt32"/>
    <w:uiPriority w:val="99"/>
    <w:rsid w:val="00C84258"/>
    <w:rPr>
      <w:rFonts w:ascii="Lucida Sans Unicode" w:hAnsi="Lucida Sans Unicode" w:cs="Lucida Sans Unicode"/>
      <w:i/>
      <w:iCs/>
      <w:spacing w:val="0"/>
      <w:sz w:val="16"/>
      <w:szCs w:val="16"/>
    </w:rPr>
  </w:style>
  <w:style w:type="character" w:customStyle="1" w:styleId="2060pt31">
    <w:name w:val="Îñíîâíîé òåêñò (20) + Íå êóðñèâ6.Èíòåðâàë 0 pt31"/>
    <w:uiPriority w:val="99"/>
    <w:rsid w:val="00C84258"/>
    <w:rPr>
      <w:rFonts w:ascii="Lucida Sans Unicode" w:hAnsi="Lucida Sans Unicode" w:cs="Lucida Sans Unicode"/>
      <w:b/>
      <w:bCs/>
      <w:i/>
      <w:iCs/>
      <w:spacing w:val="-10"/>
      <w:sz w:val="16"/>
      <w:szCs w:val="16"/>
    </w:rPr>
  </w:style>
  <w:style w:type="character" w:customStyle="1" w:styleId="2050pt300">
    <w:name w:val="Îñíîâíîé òåêñò (20) + Íå êóðñèâ5.Èíòåðâàë 0 pt30"/>
    <w:uiPriority w:val="99"/>
    <w:rsid w:val="00C84258"/>
    <w:rPr>
      <w:rFonts w:ascii="Lucida Sans Unicode" w:hAnsi="Lucida Sans Unicode" w:cs="Lucida Sans Unicode"/>
      <w:b/>
      <w:bCs/>
      <w:i/>
      <w:iCs/>
      <w:spacing w:val="-10"/>
      <w:sz w:val="16"/>
      <w:szCs w:val="16"/>
    </w:rPr>
  </w:style>
  <w:style w:type="character" w:customStyle="1" w:styleId="30pt290">
    <w:name w:val="Îñíîâíîé òåêñò + Êóðñèâ3.Èíòåðâàë 0 pt29"/>
    <w:uiPriority w:val="99"/>
    <w:rsid w:val="00C84258"/>
    <w:rPr>
      <w:rFonts w:ascii="Lucida Sans Unicode" w:hAnsi="Lucida Sans Unicode" w:cs="Lucida Sans Unicode"/>
      <w:i/>
      <w:iCs/>
      <w:spacing w:val="0"/>
      <w:sz w:val="16"/>
      <w:szCs w:val="16"/>
    </w:rPr>
  </w:style>
  <w:style w:type="character" w:customStyle="1" w:styleId="20pt280">
    <w:name w:val="Îñíîâíîé òåêñò + Êóðñèâ2.Èíòåðâàë 0 pt28"/>
    <w:uiPriority w:val="99"/>
    <w:rsid w:val="00C84258"/>
    <w:rPr>
      <w:rFonts w:ascii="Lucida Sans Unicode" w:hAnsi="Lucida Sans Unicode" w:cs="Lucida Sans Unicode"/>
      <w:i/>
      <w:iCs/>
      <w:spacing w:val="0"/>
      <w:sz w:val="16"/>
      <w:szCs w:val="16"/>
    </w:rPr>
  </w:style>
  <w:style w:type="character" w:customStyle="1" w:styleId="8ArialNarrow211pt215">
    <w:name w:val="Çàãîëîâîê ¹8 + Arial Narrow2.11 pt2.Ïîëóæèðíûé15"/>
    <w:uiPriority w:val="99"/>
    <w:rsid w:val="00C84258"/>
    <w:rPr>
      <w:rFonts w:ascii="Arial Narrow" w:hAnsi="Arial Narrow" w:cs="Arial Narrow"/>
      <w:b/>
      <w:bCs/>
      <w:sz w:val="22"/>
      <w:szCs w:val="22"/>
    </w:rPr>
  </w:style>
  <w:style w:type="character" w:customStyle="1" w:styleId="8ArialNarrow19pt">
    <w:name w:val="Çàãîëîâîê ¹8 + Arial Narrow1.9 pt"/>
    <w:uiPriority w:val="99"/>
    <w:rsid w:val="00C84258"/>
    <w:rPr>
      <w:rFonts w:ascii="Arial Narrow" w:hAnsi="Arial Narrow" w:cs="Arial Narrow"/>
      <w:sz w:val="18"/>
      <w:szCs w:val="18"/>
    </w:rPr>
  </w:style>
  <w:style w:type="paragraph" w:customStyle="1" w:styleId="231">
    <w:name w:val="Îñíîâíîé òåêñò (23)"/>
    <w:basedOn w:val="a"/>
    <w:uiPriority w:val="99"/>
    <w:rsid w:val="00C84258"/>
    <w:pPr>
      <w:shd w:val="clear" w:color="auto" w:fill="FFFFFF"/>
      <w:autoSpaceDE w:val="0"/>
      <w:autoSpaceDN w:val="0"/>
      <w:adjustRightInd w:val="0"/>
      <w:spacing w:after="0" w:line="240" w:lineRule="atLeast"/>
    </w:pPr>
    <w:rPr>
      <w:rFonts w:ascii="Bookman Old Style" w:hAnsi="Bookman Old Style" w:cs="Bookman Old Style"/>
      <w:noProof/>
      <w:sz w:val="8"/>
      <w:szCs w:val="8"/>
      <w:lang w:val="en-US"/>
    </w:rPr>
  </w:style>
  <w:style w:type="paragraph" w:customStyle="1" w:styleId="273">
    <w:name w:val="Îñíîâíîé òåêñò (27)"/>
    <w:basedOn w:val="a"/>
    <w:uiPriority w:val="99"/>
    <w:rsid w:val="00C84258"/>
    <w:pPr>
      <w:shd w:val="clear" w:color="auto" w:fill="FFFFFF"/>
      <w:autoSpaceDE w:val="0"/>
      <w:autoSpaceDN w:val="0"/>
      <w:adjustRightInd w:val="0"/>
      <w:spacing w:before="300" w:after="0" w:line="168" w:lineRule="exact"/>
    </w:pPr>
    <w:rPr>
      <w:rFonts w:ascii="Lucida Sans Unicode" w:hAnsi="Lucida Sans Unicode" w:cs="Lucida Sans Unicode"/>
      <w:i/>
      <w:iCs/>
      <w:noProof/>
      <w:sz w:val="13"/>
      <w:szCs w:val="13"/>
      <w:lang w:val="en-US"/>
    </w:rPr>
  </w:style>
  <w:style w:type="paragraph" w:customStyle="1" w:styleId="414">
    <w:name w:val="Îñíîâíîé òåêñò (41)"/>
    <w:basedOn w:val="a"/>
    <w:uiPriority w:val="99"/>
    <w:rsid w:val="00C84258"/>
    <w:pPr>
      <w:shd w:val="clear" w:color="auto" w:fill="FFFFFF"/>
      <w:autoSpaceDE w:val="0"/>
      <w:autoSpaceDN w:val="0"/>
      <w:adjustRightInd w:val="0"/>
      <w:spacing w:after="60" w:line="240" w:lineRule="atLeast"/>
    </w:pPr>
    <w:rPr>
      <w:rFonts w:ascii="Arial Narrow" w:hAnsi="Arial Narrow" w:cs="Arial Narrow"/>
      <w:b/>
      <w:bCs/>
      <w:noProof/>
      <w:sz w:val="34"/>
      <w:szCs w:val="34"/>
      <w:lang w:val="en-US"/>
    </w:rPr>
  </w:style>
  <w:style w:type="paragraph" w:customStyle="1" w:styleId="1020">
    <w:name w:val="Çàãîëîâîê ¹10 (2)"/>
    <w:basedOn w:val="a"/>
    <w:uiPriority w:val="99"/>
    <w:rsid w:val="00C84258"/>
    <w:pPr>
      <w:shd w:val="clear" w:color="auto" w:fill="FFFFFF"/>
      <w:autoSpaceDE w:val="0"/>
      <w:autoSpaceDN w:val="0"/>
      <w:adjustRightInd w:val="0"/>
      <w:spacing w:before="180" w:after="0" w:line="216" w:lineRule="exact"/>
      <w:jc w:val="center"/>
    </w:pPr>
    <w:rPr>
      <w:rFonts w:ascii="Lucida Sans Unicode" w:hAnsi="Lucida Sans Unicode" w:cs="Lucida Sans Unicode"/>
      <w:b/>
      <w:bCs/>
      <w:noProof/>
      <w:spacing w:val="-10"/>
      <w:sz w:val="17"/>
      <w:szCs w:val="17"/>
      <w:lang w:val="en-US"/>
    </w:rPr>
  </w:style>
  <w:style w:type="paragraph" w:customStyle="1" w:styleId="105">
    <w:name w:val="Çàãîëîâîê ¹10"/>
    <w:basedOn w:val="a"/>
    <w:uiPriority w:val="99"/>
    <w:rsid w:val="00C84258"/>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1030">
    <w:name w:val="Çàãîëîâîê ¹10 (3)"/>
    <w:basedOn w:val="a"/>
    <w:uiPriority w:val="99"/>
    <w:rsid w:val="00C84258"/>
    <w:pPr>
      <w:shd w:val="clear" w:color="auto" w:fill="FFFFFF"/>
      <w:autoSpaceDE w:val="0"/>
      <w:autoSpaceDN w:val="0"/>
      <w:adjustRightInd w:val="0"/>
      <w:spacing w:before="180" w:after="0" w:line="216" w:lineRule="exact"/>
      <w:ind w:firstLine="280"/>
      <w:jc w:val="both"/>
    </w:pPr>
    <w:rPr>
      <w:rFonts w:ascii="Tahoma" w:hAnsi="Tahoma" w:cs="Tahoma"/>
      <w:b/>
      <w:bCs/>
      <w:noProof/>
      <w:sz w:val="17"/>
      <w:szCs w:val="17"/>
      <w:lang w:val="en-US"/>
    </w:rPr>
  </w:style>
  <w:style w:type="paragraph" w:customStyle="1" w:styleId="317">
    <w:name w:val="Ïîäïèñü ê êàðòèíêå (3)1"/>
    <w:basedOn w:val="a"/>
    <w:uiPriority w:val="99"/>
    <w:rsid w:val="00C84258"/>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432">
    <w:name w:val="Îñíîâíîé òåêñò (43)"/>
    <w:basedOn w:val="a"/>
    <w:uiPriority w:val="99"/>
    <w:rsid w:val="00C84258"/>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2">
    <w:name w:val="Îñíîâíîé òåêñò (44)"/>
    <w:basedOn w:val="a"/>
    <w:uiPriority w:val="99"/>
    <w:rsid w:val="00C84258"/>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ffb">
    <w:name w:val="Ñíîñêà"/>
    <w:basedOn w:val="a"/>
    <w:uiPriority w:val="99"/>
    <w:rsid w:val="00C84258"/>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paragraph" w:customStyle="1" w:styleId="affffc">
    <w:name w:val="Ïîäïèñü ê êàðòèíêå"/>
    <w:basedOn w:val="a"/>
    <w:uiPriority w:val="99"/>
    <w:rsid w:val="00C84258"/>
    <w:pPr>
      <w:shd w:val="clear" w:color="auto" w:fill="FFFFFF"/>
      <w:autoSpaceDE w:val="0"/>
      <w:autoSpaceDN w:val="0"/>
      <w:adjustRightInd w:val="0"/>
      <w:spacing w:after="0" w:line="240" w:lineRule="atLeast"/>
      <w:ind w:hanging="820"/>
    </w:pPr>
    <w:rPr>
      <w:rFonts w:ascii="Arial" w:hAnsi="Arial" w:cs="Arial"/>
      <w:b/>
      <w:bCs/>
      <w:noProof/>
      <w:sz w:val="13"/>
      <w:szCs w:val="13"/>
      <w:lang w:val="en-US"/>
    </w:rPr>
  </w:style>
  <w:style w:type="character" w:customStyle="1" w:styleId="14-1pt">
    <w:name w:val="Îñíîâíîé òåêñò (14) + Èíòåðâàë -1 pt"/>
    <w:uiPriority w:val="99"/>
    <w:rsid w:val="00C84258"/>
    <w:rPr>
      <w:rFonts w:ascii="Microsoft Sans Serif" w:hAnsi="Microsoft Sans Serif" w:cs="Microsoft Sans Serif"/>
      <w:spacing w:val="-20"/>
      <w:sz w:val="17"/>
      <w:szCs w:val="17"/>
      <w:u w:val="single"/>
    </w:rPr>
  </w:style>
  <w:style w:type="character" w:customStyle="1" w:styleId="7-1pt5">
    <w:name w:val="Îñíîâíîé òåêñò (7) + Èíòåðâàë -1 pt5"/>
    <w:uiPriority w:val="99"/>
    <w:rsid w:val="00C84258"/>
    <w:rPr>
      <w:rFonts w:ascii="Century Gothic" w:hAnsi="Century Gothic" w:cs="Century Gothic"/>
      <w:b/>
      <w:bCs/>
      <w:i/>
      <w:iCs/>
      <w:spacing w:val="-20"/>
      <w:sz w:val="17"/>
      <w:szCs w:val="17"/>
      <w:u w:val="single"/>
    </w:rPr>
  </w:style>
  <w:style w:type="character" w:customStyle="1" w:styleId="7pt1214">
    <w:name w:val="Îñíîâíîé òåêñò + 7 pt.Ïîëóæèðíûé12.Êóðñèâ14"/>
    <w:uiPriority w:val="99"/>
    <w:rsid w:val="00C84258"/>
    <w:rPr>
      <w:rFonts w:ascii="Century Gothic" w:hAnsi="Century Gothic" w:cs="Century Gothic"/>
      <w:b/>
      <w:bCs/>
      <w:i/>
      <w:iCs/>
      <w:spacing w:val="-10"/>
      <w:sz w:val="14"/>
      <w:szCs w:val="14"/>
    </w:rPr>
  </w:style>
  <w:style w:type="character" w:customStyle="1" w:styleId="affffd">
    <w:name w:val="Îñíîâíîé òåêñò + Êóðñèâ"/>
    <w:uiPriority w:val="99"/>
    <w:rsid w:val="00C84258"/>
    <w:rPr>
      <w:rFonts w:ascii="Century Gothic" w:hAnsi="Century Gothic" w:cs="Century Gothic"/>
      <w:i/>
      <w:iCs/>
      <w:spacing w:val="-10"/>
      <w:sz w:val="17"/>
      <w:szCs w:val="17"/>
    </w:rPr>
  </w:style>
  <w:style w:type="character" w:customStyle="1" w:styleId="67">
    <w:name w:val="Îñíîâíîé òåêñò (6) + Íå êóðñèâ"/>
    <w:uiPriority w:val="99"/>
    <w:rsid w:val="00C84258"/>
    <w:rPr>
      <w:rFonts w:ascii="Century Gothic" w:hAnsi="Century Gothic" w:cs="Century Gothic"/>
      <w:i/>
      <w:iCs/>
      <w:sz w:val="17"/>
      <w:szCs w:val="17"/>
    </w:rPr>
  </w:style>
  <w:style w:type="character" w:customStyle="1" w:styleId="620">
    <w:name w:val="Îñíîâíîé òåêñò (6) + Íå êóðñèâ2"/>
    <w:uiPriority w:val="99"/>
    <w:rsid w:val="00C84258"/>
    <w:rPr>
      <w:rFonts w:ascii="Century Gothic" w:hAnsi="Century Gothic" w:cs="Century Gothic"/>
      <w:i/>
      <w:iCs/>
      <w:sz w:val="17"/>
      <w:szCs w:val="17"/>
    </w:rPr>
  </w:style>
  <w:style w:type="character" w:customStyle="1" w:styleId="5c">
    <w:name w:val="Îñíîâíîé òåêñò + Êóðñèâ5"/>
    <w:uiPriority w:val="99"/>
    <w:rsid w:val="00C84258"/>
    <w:rPr>
      <w:rFonts w:ascii="Century Gothic" w:hAnsi="Century Gothic" w:cs="Century Gothic"/>
      <w:i/>
      <w:iCs/>
      <w:spacing w:val="-10"/>
      <w:sz w:val="17"/>
      <w:szCs w:val="17"/>
    </w:rPr>
  </w:style>
  <w:style w:type="character" w:customStyle="1" w:styleId="4d">
    <w:name w:val="Îñíîâíîé òåêñò + Êóðñèâ4"/>
    <w:uiPriority w:val="99"/>
    <w:rsid w:val="00C84258"/>
    <w:rPr>
      <w:rFonts w:ascii="Century Gothic" w:hAnsi="Century Gothic" w:cs="Century Gothic"/>
      <w:i/>
      <w:iCs/>
      <w:spacing w:val="-10"/>
      <w:sz w:val="17"/>
      <w:szCs w:val="17"/>
    </w:rPr>
  </w:style>
  <w:style w:type="paragraph" w:customStyle="1" w:styleId="68">
    <w:name w:val="Îñíîâíîé òåêñò (6)"/>
    <w:basedOn w:val="a"/>
    <w:uiPriority w:val="99"/>
    <w:rsid w:val="00C84258"/>
    <w:pPr>
      <w:shd w:val="clear" w:color="auto" w:fill="FFFFFF"/>
      <w:autoSpaceDE w:val="0"/>
      <w:autoSpaceDN w:val="0"/>
      <w:adjustRightInd w:val="0"/>
      <w:spacing w:after="0" w:line="178" w:lineRule="exact"/>
    </w:pPr>
    <w:rPr>
      <w:rFonts w:ascii="Century Gothic" w:hAnsi="Century Gothic" w:cs="Century Gothic"/>
      <w:i/>
      <w:iCs/>
      <w:noProof/>
      <w:sz w:val="17"/>
      <w:szCs w:val="17"/>
      <w:lang w:val="en-US"/>
    </w:rPr>
  </w:style>
  <w:style w:type="paragraph" w:customStyle="1" w:styleId="132">
    <w:name w:val="Îñíîâíîé òåêñò (13)"/>
    <w:basedOn w:val="a"/>
    <w:uiPriority w:val="99"/>
    <w:rsid w:val="00C84258"/>
    <w:pPr>
      <w:shd w:val="clear" w:color="auto" w:fill="FFFFFF"/>
      <w:autoSpaceDE w:val="0"/>
      <w:autoSpaceDN w:val="0"/>
      <w:adjustRightInd w:val="0"/>
      <w:spacing w:after="0" w:line="240" w:lineRule="atLeast"/>
    </w:pPr>
    <w:rPr>
      <w:rFonts w:ascii="Segoe UI" w:hAnsi="Segoe UI" w:cs="Segoe UI"/>
      <w:b/>
      <w:bCs/>
      <w:noProof/>
      <w:sz w:val="24"/>
      <w:szCs w:val="24"/>
      <w:lang w:val="en-US"/>
    </w:rPr>
  </w:style>
  <w:style w:type="paragraph" w:customStyle="1" w:styleId="143">
    <w:name w:val="Îñíîâíîé òåêñò (14)"/>
    <w:basedOn w:val="a"/>
    <w:uiPriority w:val="99"/>
    <w:rsid w:val="00C84258"/>
    <w:pPr>
      <w:shd w:val="clear" w:color="auto" w:fill="FFFFFF"/>
      <w:autoSpaceDE w:val="0"/>
      <w:autoSpaceDN w:val="0"/>
      <w:adjustRightInd w:val="0"/>
      <w:spacing w:after="0" w:line="240" w:lineRule="atLeast"/>
    </w:pPr>
    <w:rPr>
      <w:rFonts w:ascii="Microsoft Sans Serif" w:hAnsi="Microsoft Sans Serif" w:cs="Microsoft Sans Serif"/>
      <w:noProof/>
      <w:sz w:val="17"/>
      <w:szCs w:val="17"/>
      <w:lang w:val="en-US"/>
    </w:rPr>
  </w:style>
  <w:style w:type="character" w:customStyle="1" w:styleId="650">
    <w:name w:val="Îñíîâíîé òåêñò (6)5"/>
    <w:uiPriority w:val="99"/>
    <w:rsid w:val="00C84258"/>
    <w:rPr>
      <w:rFonts w:ascii="Microsoft Sans Serif" w:hAnsi="Microsoft Sans Serif" w:cs="Microsoft Sans Serif"/>
      <w:i/>
      <w:iCs/>
      <w:sz w:val="23"/>
      <w:szCs w:val="23"/>
    </w:rPr>
  </w:style>
  <w:style w:type="character" w:customStyle="1" w:styleId="640">
    <w:name w:val="Îñíîâíîé òåêñò (6)4"/>
    <w:uiPriority w:val="99"/>
    <w:rsid w:val="00C84258"/>
    <w:rPr>
      <w:rFonts w:ascii="Microsoft Sans Serif" w:hAnsi="Microsoft Sans Serif" w:cs="Microsoft Sans Serif"/>
      <w:i/>
      <w:iCs/>
      <w:sz w:val="23"/>
      <w:szCs w:val="23"/>
      <w:lang w:val="en-US"/>
    </w:rPr>
  </w:style>
  <w:style w:type="character" w:customStyle="1" w:styleId="630">
    <w:name w:val="Îñíîâíîé òåêñò (6)3"/>
    <w:uiPriority w:val="99"/>
    <w:rsid w:val="00C84258"/>
    <w:rPr>
      <w:rFonts w:ascii="Microsoft Sans Serif" w:hAnsi="Microsoft Sans Serif" w:cs="Microsoft Sans Serif"/>
      <w:i/>
      <w:iCs/>
      <w:sz w:val="23"/>
      <w:szCs w:val="23"/>
      <w:u w:val="single"/>
    </w:rPr>
  </w:style>
  <w:style w:type="character" w:customStyle="1" w:styleId="50pt11">
    <w:name w:val="Îñíîâíîé òåêñò + Êóðñèâ5.Èíòåðâàë 0 pt11"/>
    <w:uiPriority w:val="99"/>
    <w:rsid w:val="00C84258"/>
    <w:rPr>
      <w:rFonts w:ascii="Microsoft Sans Serif" w:hAnsi="Microsoft Sans Serif" w:cs="Microsoft Sans Serif"/>
      <w:i/>
      <w:iCs/>
      <w:spacing w:val="10"/>
      <w:sz w:val="16"/>
      <w:szCs w:val="16"/>
    </w:rPr>
  </w:style>
  <w:style w:type="character" w:customStyle="1" w:styleId="830pt10">
    <w:name w:val="Îñíîâíîé òåêñò (8) + Íå êóðñèâ3.Èíòåðâàë 0 pt10"/>
    <w:uiPriority w:val="99"/>
    <w:rsid w:val="00C84258"/>
    <w:rPr>
      <w:i/>
      <w:iCs/>
      <w:spacing w:val="0"/>
      <w:sz w:val="16"/>
      <w:szCs w:val="16"/>
    </w:rPr>
  </w:style>
  <w:style w:type="character" w:customStyle="1" w:styleId="40pt9">
    <w:name w:val="Îñíîâíîé òåêñò + Êóðñèâ4.Èíòåðâàë 0 pt9"/>
    <w:uiPriority w:val="99"/>
    <w:rsid w:val="00C84258"/>
    <w:rPr>
      <w:rFonts w:ascii="Microsoft Sans Serif" w:hAnsi="Microsoft Sans Serif" w:cs="Microsoft Sans Serif"/>
      <w:i/>
      <w:iCs/>
      <w:spacing w:val="10"/>
      <w:sz w:val="16"/>
      <w:szCs w:val="16"/>
    </w:rPr>
  </w:style>
  <w:style w:type="character" w:customStyle="1" w:styleId="8BookmanOldStyle310pt330pt8">
    <w:name w:val="Îñíîâíîé òåêñò (8) + Bookman Old Style3.10 pt3.Íå êóðñèâ3.Èíòåðâàë 0 pt8"/>
    <w:uiPriority w:val="99"/>
    <w:rsid w:val="00C84258"/>
    <w:rPr>
      <w:rFonts w:ascii="Bookman Old Style" w:hAnsi="Bookman Old Style" w:cs="Bookman Old Style"/>
      <w:i/>
      <w:iCs/>
      <w:noProof/>
      <w:spacing w:val="0"/>
      <w:sz w:val="20"/>
      <w:szCs w:val="20"/>
    </w:rPr>
  </w:style>
  <w:style w:type="character" w:customStyle="1" w:styleId="84">
    <w:name w:val="Îñíîâíîé òåêñò (8)4"/>
    <w:uiPriority w:val="99"/>
    <w:rsid w:val="00C84258"/>
    <w:rPr>
      <w:rFonts w:ascii="Arial Unicode MS" w:eastAsia="Arial Unicode MS" w:cs="Arial Unicode MS"/>
      <w:i/>
      <w:iCs/>
      <w:spacing w:val="10"/>
      <w:sz w:val="16"/>
      <w:szCs w:val="16"/>
      <w:u w:val="single"/>
      <w:lang w:val="en-US"/>
    </w:rPr>
  </w:style>
  <w:style w:type="character" w:customStyle="1" w:styleId="30pt7">
    <w:name w:val="Îñíîâíîé òåêñò + Êóðñèâ3.Èíòåðâàë 0 pt7"/>
    <w:uiPriority w:val="99"/>
    <w:rsid w:val="00C84258"/>
    <w:rPr>
      <w:rFonts w:ascii="Microsoft Sans Serif" w:hAnsi="Microsoft Sans Serif" w:cs="Microsoft Sans Serif"/>
      <w:i/>
      <w:iCs/>
      <w:spacing w:val="10"/>
      <w:sz w:val="16"/>
      <w:szCs w:val="16"/>
    </w:rPr>
  </w:style>
  <w:style w:type="character" w:customStyle="1" w:styleId="820pt6">
    <w:name w:val="Îñíîâíîé òåêñò (8) + Íå êóðñèâ2.Èíòåðâàë 0 pt6"/>
    <w:uiPriority w:val="99"/>
    <w:rsid w:val="00C84258"/>
    <w:rPr>
      <w:i/>
      <w:iCs/>
      <w:spacing w:val="0"/>
      <w:sz w:val="16"/>
      <w:szCs w:val="16"/>
    </w:rPr>
  </w:style>
  <w:style w:type="character" w:customStyle="1" w:styleId="810pt5">
    <w:name w:val="Îñíîâíîé òåêñò (8) + Íå êóðñèâ1.Èíòåðâàë 0 pt5"/>
    <w:uiPriority w:val="99"/>
    <w:rsid w:val="00C84258"/>
    <w:rPr>
      <w:i/>
      <w:iCs/>
      <w:spacing w:val="0"/>
      <w:sz w:val="16"/>
      <w:szCs w:val="16"/>
    </w:rPr>
  </w:style>
  <w:style w:type="character" w:customStyle="1" w:styleId="20pt4">
    <w:name w:val="Îñíîâíîé òåêñò + Êóðñèâ2.Èíòåðâàë 0 pt4"/>
    <w:uiPriority w:val="99"/>
    <w:rsid w:val="00C84258"/>
    <w:rPr>
      <w:rFonts w:ascii="Microsoft Sans Serif" w:hAnsi="Microsoft Sans Serif" w:cs="Microsoft Sans Serif"/>
      <w:i/>
      <w:iCs/>
      <w:spacing w:val="10"/>
      <w:sz w:val="16"/>
      <w:szCs w:val="16"/>
    </w:rPr>
  </w:style>
  <w:style w:type="paragraph" w:customStyle="1" w:styleId="611">
    <w:name w:val="Îñíîâíîé òåêñò (6)1"/>
    <w:basedOn w:val="a"/>
    <w:uiPriority w:val="99"/>
    <w:rsid w:val="00C84258"/>
    <w:pPr>
      <w:shd w:val="clear" w:color="auto" w:fill="FFFFFF"/>
      <w:autoSpaceDE w:val="0"/>
      <w:autoSpaceDN w:val="0"/>
      <w:adjustRightInd w:val="0"/>
      <w:spacing w:after="0" w:line="202" w:lineRule="exact"/>
    </w:pPr>
    <w:rPr>
      <w:rFonts w:ascii="Microsoft Sans Serif" w:hAnsi="Microsoft Sans Serif" w:cs="Microsoft Sans Serif"/>
      <w:i/>
      <w:iCs/>
      <w:noProof/>
      <w:sz w:val="23"/>
      <w:szCs w:val="23"/>
      <w:lang w:val="en-US"/>
    </w:rPr>
  </w:style>
  <w:style w:type="paragraph" w:customStyle="1" w:styleId="93">
    <w:name w:val="Îñíîâíîé òåêñò (9)"/>
    <w:basedOn w:val="a"/>
    <w:uiPriority w:val="99"/>
    <w:rsid w:val="00C84258"/>
    <w:pPr>
      <w:shd w:val="clear" w:color="auto" w:fill="FFFFFF"/>
      <w:autoSpaceDE w:val="0"/>
      <w:autoSpaceDN w:val="0"/>
      <w:adjustRightInd w:val="0"/>
      <w:spacing w:after="0" w:line="173" w:lineRule="exact"/>
      <w:ind w:hanging="200"/>
      <w:jc w:val="right"/>
    </w:pPr>
    <w:rPr>
      <w:rFonts w:ascii="Times New Roman" w:hAnsi="Times New Roman"/>
      <w:i/>
      <w:iCs/>
      <w:noProof/>
      <w:sz w:val="13"/>
      <w:szCs w:val="13"/>
      <w:lang w:val="en-US"/>
    </w:rPr>
  </w:style>
  <w:style w:type="character" w:customStyle="1" w:styleId="11110">
    <w:name w:val="Îñíîâíîé òåêñò (11) + Íå êóðñèâ11"/>
    <w:uiPriority w:val="99"/>
    <w:rsid w:val="00C84258"/>
    <w:rPr>
      <w:rFonts w:ascii="Arial" w:hAnsi="Arial" w:cs="Arial"/>
      <w:i/>
      <w:iCs/>
      <w:spacing w:val="-10"/>
      <w:sz w:val="17"/>
      <w:szCs w:val="17"/>
    </w:rPr>
  </w:style>
  <w:style w:type="character" w:customStyle="1" w:styleId="11100">
    <w:name w:val="Îñíîâíîé òåêñò (11) + Íå êóðñèâ10"/>
    <w:uiPriority w:val="99"/>
    <w:rsid w:val="00C84258"/>
    <w:rPr>
      <w:rFonts w:ascii="Arial" w:hAnsi="Arial" w:cs="Arial"/>
      <w:i/>
      <w:iCs/>
      <w:spacing w:val="-10"/>
      <w:sz w:val="17"/>
      <w:szCs w:val="17"/>
    </w:rPr>
  </w:style>
  <w:style w:type="character" w:customStyle="1" w:styleId="119">
    <w:name w:val="Îñíîâíîé òåêñò + Êóðñèâ11"/>
    <w:uiPriority w:val="99"/>
    <w:rsid w:val="00C84258"/>
    <w:rPr>
      <w:rFonts w:ascii="Arial" w:hAnsi="Arial" w:cs="Arial"/>
      <w:i/>
      <w:iCs/>
      <w:spacing w:val="-10"/>
      <w:sz w:val="17"/>
      <w:szCs w:val="17"/>
    </w:rPr>
  </w:style>
  <w:style w:type="character" w:customStyle="1" w:styleId="4835pt2911">
    <w:name w:val="Îñíîâíîé òåêñò (4) + 83.5 pt29.Íå ïîëóæèðíûé11"/>
    <w:uiPriority w:val="99"/>
    <w:rsid w:val="00C84258"/>
    <w:rPr>
      <w:rFonts w:ascii="Arial" w:hAnsi="Arial" w:cs="Arial"/>
      <w:b/>
      <w:bCs/>
      <w:i/>
      <w:iCs/>
      <w:spacing w:val="-10"/>
      <w:sz w:val="17"/>
      <w:szCs w:val="17"/>
    </w:rPr>
  </w:style>
  <w:style w:type="character" w:customStyle="1" w:styleId="106">
    <w:name w:val="Îñíîâíîé òåêñò + Êóðñèâ10"/>
    <w:uiPriority w:val="99"/>
    <w:rsid w:val="00C84258"/>
    <w:rPr>
      <w:rFonts w:ascii="Arial" w:hAnsi="Arial" w:cs="Arial"/>
      <w:i/>
      <w:iCs/>
      <w:spacing w:val="-10"/>
      <w:sz w:val="17"/>
      <w:szCs w:val="17"/>
    </w:rPr>
  </w:style>
  <w:style w:type="character" w:customStyle="1" w:styleId="78pt7">
    <w:name w:val="Îñíîâíîé òåêñò (7) + 8 pt.Íå êóðñèâ7"/>
    <w:uiPriority w:val="99"/>
    <w:rsid w:val="00C84258"/>
    <w:rPr>
      <w:rFonts w:ascii="Arial" w:hAnsi="Arial" w:cs="Arial"/>
      <w:i/>
      <w:iCs/>
      <w:spacing w:val="-10"/>
      <w:sz w:val="16"/>
      <w:szCs w:val="16"/>
    </w:rPr>
  </w:style>
  <w:style w:type="character" w:customStyle="1" w:styleId="94">
    <w:name w:val="Îñíîâíîé òåêñò + Êóðñèâ9"/>
    <w:uiPriority w:val="99"/>
    <w:rsid w:val="00C84258"/>
    <w:rPr>
      <w:rFonts w:ascii="Arial" w:hAnsi="Arial" w:cs="Arial"/>
      <w:i/>
      <w:iCs/>
      <w:spacing w:val="-10"/>
      <w:sz w:val="17"/>
      <w:szCs w:val="17"/>
    </w:rPr>
  </w:style>
  <w:style w:type="character" w:customStyle="1" w:styleId="1161">
    <w:name w:val="Îñíîâíîé òåêñò (11) + Íå êóðñèâ6"/>
    <w:uiPriority w:val="99"/>
    <w:rsid w:val="00C84258"/>
    <w:rPr>
      <w:rFonts w:ascii="Arial" w:hAnsi="Arial" w:cs="Arial"/>
      <w:i/>
      <w:iCs/>
      <w:spacing w:val="-10"/>
      <w:sz w:val="17"/>
      <w:szCs w:val="17"/>
    </w:rPr>
  </w:style>
  <w:style w:type="character" w:customStyle="1" w:styleId="85">
    <w:name w:val="Îñíîâíîé òåêñò + Êóðñèâ8"/>
    <w:uiPriority w:val="99"/>
    <w:rsid w:val="00C84258"/>
    <w:rPr>
      <w:rFonts w:ascii="Arial" w:hAnsi="Arial" w:cs="Arial"/>
      <w:i/>
      <w:iCs/>
      <w:spacing w:val="-10"/>
      <w:sz w:val="17"/>
      <w:szCs w:val="17"/>
    </w:rPr>
  </w:style>
  <w:style w:type="character" w:customStyle="1" w:styleId="7d">
    <w:name w:val="Îñíîâíîé òåêñò + Êóðñèâ7"/>
    <w:uiPriority w:val="99"/>
    <w:rsid w:val="00C84258"/>
    <w:rPr>
      <w:rFonts w:ascii="Arial" w:hAnsi="Arial" w:cs="Arial"/>
      <w:i/>
      <w:iCs/>
      <w:spacing w:val="-10"/>
      <w:sz w:val="17"/>
      <w:szCs w:val="17"/>
    </w:rPr>
  </w:style>
  <w:style w:type="paragraph" w:customStyle="1" w:styleId="5d">
    <w:name w:val="Ïîäïèñü ê êàðòèíêå (5)"/>
    <w:basedOn w:val="a"/>
    <w:uiPriority w:val="99"/>
    <w:rsid w:val="00C84258"/>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2610">
    <w:name w:val="Îñíîâíîé òåêñò (26)1"/>
    <w:basedOn w:val="a"/>
    <w:uiPriority w:val="99"/>
    <w:rsid w:val="00C84258"/>
    <w:pPr>
      <w:shd w:val="clear" w:color="auto" w:fill="FFFFFF"/>
      <w:autoSpaceDE w:val="0"/>
      <w:autoSpaceDN w:val="0"/>
      <w:adjustRightInd w:val="0"/>
      <w:spacing w:after="120" w:line="240" w:lineRule="atLeast"/>
    </w:pPr>
    <w:rPr>
      <w:rFonts w:ascii="Gulim" w:eastAsia="Gulim" w:hAnsi="Times New Roman" w:cs="Gulim"/>
      <w:noProof/>
      <w:spacing w:val="-10"/>
      <w:sz w:val="20"/>
      <w:szCs w:val="20"/>
      <w:lang w:val="en-US"/>
    </w:rPr>
  </w:style>
  <w:style w:type="paragraph" w:customStyle="1" w:styleId="3f6">
    <w:name w:val="Ïîäïèñü ê êàðòèíêå (3)"/>
    <w:basedOn w:val="a"/>
    <w:uiPriority w:val="99"/>
    <w:rsid w:val="00C84258"/>
    <w:pPr>
      <w:shd w:val="clear" w:color="auto" w:fill="FFFFFF"/>
      <w:autoSpaceDE w:val="0"/>
      <w:autoSpaceDN w:val="0"/>
      <w:adjustRightInd w:val="0"/>
      <w:spacing w:after="0" w:line="168" w:lineRule="exact"/>
      <w:jc w:val="both"/>
    </w:pPr>
    <w:rPr>
      <w:rFonts w:ascii="Arial" w:hAnsi="Arial" w:cs="Arial"/>
      <w:b/>
      <w:bCs/>
      <w:i/>
      <w:iCs/>
      <w:noProof/>
      <w:spacing w:val="-10"/>
      <w:sz w:val="13"/>
      <w:szCs w:val="13"/>
      <w:lang w:val="en-US"/>
    </w:rPr>
  </w:style>
  <w:style w:type="character" w:customStyle="1" w:styleId="100pt30">
    <w:name w:val="Îñíîâíîé òåêñò + Êóðñèâ10.Èíòåðâàë 0 pt30"/>
    <w:uiPriority w:val="99"/>
    <w:rsid w:val="00C84258"/>
    <w:rPr>
      <w:rFonts w:ascii="Microsoft Sans Serif" w:hAnsi="Microsoft Sans Serif" w:cs="Microsoft Sans Serif"/>
      <w:i/>
      <w:iCs/>
      <w:spacing w:val="0"/>
      <w:sz w:val="16"/>
      <w:szCs w:val="16"/>
    </w:rPr>
  </w:style>
  <w:style w:type="character" w:customStyle="1" w:styleId="120pt29">
    <w:name w:val="Îñíîâíîé òåêñò (12) + Íå êóðñèâ.Èíòåðâàë 0 pt29"/>
    <w:uiPriority w:val="99"/>
    <w:rsid w:val="00C84258"/>
    <w:rPr>
      <w:rFonts w:ascii="Microsoft Sans Serif" w:hAnsi="Microsoft Sans Serif" w:cs="Microsoft Sans Serif"/>
      <w:i/>
      <w:iCs/>
      <w:spacing w:val="-10"/>
      <w:sz w:val="16"/>
      <w:szCs w:val="16"/>
    </w:rPr>
  </w:style>
  <w:style w:type="character" w:customStyle="1" w:styleId="123">
    <w:name w:val="Îñíîâíîé òåêñò (12)_"/>
    <w:uiPriority w:val="99"/>
    <w:rsid w:val="00C84258"/>
    <w:rPr>
      <w:rFonts w:ascii="Microsoft Sans Serif" w:hAnsi="Microsoft Sans Serif" w:cs="Microsoft Sans Serif"/>
      <w:i/>
      <w:iCs/>
      <w:sz w:val="16"/>
      <w:szCs w:val="16"/>
    </w:rPr>
  </w:style>
  <w:style w:type="character" w:customStyle="1" w:styleId="1260pt28">
    <w:name w:val="Îñíîâíîé òåêñò (12) + Íå êóðñèâ6.Èíòåðâàë 0 pt28"/>
    <w:uiPriority w:val="99"/>
    <w:rsid w:val="00C84258"/>
    <w:rPr>
      <w:rFonts w:ascii="Microsoft Sans Serif" w:hAnsi="Microsoft Sans Serif" w:cs="Microsoft Sans Serif"/>
      <w:i/>
      <w:iCs/>
      <w:spacing w:val="-10"/>
      <w:sz w:val="16"/>
      <w:szCs w:val="16"/>
    </w:rPr>
  </w:style>
  <w:style w:type="character" w:customStyle="1" w:styleId="90pt27">
    <w:name w:val="Îñíîâíîé òåêñò + Êóðñèâ9.Èíòåðâàë 0 pt27"/>
    <w:uiPriority w:val="99"/>
    <w:rsid w:val="00C84258"/>
    <w:rPr>
      <w:rFonts w:ascii="Microsoft Sans Serif" w:hAnsi="Microsoft Sans Serif" w:cs="Microsoft Sans Serif"/>
      <w:i/>
      <w:iCs/>
      <w:spacing w:val="0"/>
      <w:sz w:val="16"/>
      <w:szCs w:val="16"/>
    </w:rPr>
  </w:style>
  <w:style w:type="character" w:customStyle="1" w:styleId="126">
    <w:name w:val="Îñíîâíîé òåêñò (12)6"/>
    <w:uiPriority w:val="99"/>
    <w:rsid w:val="00C84258"/>
    <w:rPr>
      <w:rFonts w:ascii="Microsoft Sans Serif" w:hAnsi="Microsoft Sans Serif" w:cs="Microsoft Sans Serif"/>
      <w:i/>
      <w:iCs/>
      <w:spacing w:val="0"/>
      <w:sz w:val="16"/>
      <w:szCs w:val="16"/>
      <w:u w:val="single"/>
    </w:rPr>
  </w:style>
  <w:style w:type="character" w:customStyle="1" w:styleId="80pt26">
    <w:name w:val="Îñíîâíîé òåêñò + Êóðñèâ8.Èíòåðâàë 0 pt26"/>
    <w:uiPriority w:val="99"/>
    <w:rsid w:val="00C84258"/>
    <w:rPr>
      <w:rFonts w:ascii="Microsoft Sans Serif" w:hAnsi="Microsoft Sans Serif" w:cs="Microsoft Sans Serif"/>
      <w:i/>
      <w:iCs/>
      <w:spacing w:val="0"/>
      <w:sz w:val="16"/>
      <w:szCs w:val="16"/>
    </w:rPr>
  </w:style>
  <w:style w:type="character" w:customStyle="1" w:styleId="1250pt25">
    <w:name w:val="Îñíîâíîé òåêñò (12) + Íå êóðñèâ5.Èíòåðâàë 0 pt25"/>
    <w:uiPriority w:val="99"/>
    <w:rsid w:val="00C84258"/>
    <w:rPr>
      <w:rFonts w:ascii="Microsoft Sans Serif" w:hAnsi="Microsoft Sans Serif" w:cs="Microsoft Sans Serif"/>
      <w:i/>
      <w:iCs/>
      <w:spacing w:val="-10"/>
      <w:sz w:val="16"/>
      <w:szCs w:val="16"/>
    </w:rPr>
  </w:style>
  <w:style w:type="character" w:customStyle="1" w:styleId="20BookmanOldStyle875pt19">
    <w:name w:val="Îñíîâíîé òåêñò (20) + Bookman Old Style.87.5 pt19"/>
    <w:uiPriority w:val="99"/>
    <w:rsid w:val="00C84258"/>
    <w:rPr>
      <w:rFonts w:ascii="Bookman Old Style" w:hAnsi="Bookman Old Style" w:cs="Bookman Old Style"/>
      <w:b/>
      <w:bCs/>
      <w:i/>
      <w:iCs/>
      <w:sz w:val="17"/>
      <w:szCs w:val="17"/>
    </w:rPr>
  </w:style>
  <w:style w:type="character" w:customStyle="1" w:styleId="125">
    <w:name w:val="Îñíîâíîé òåêñò (12)5"/>
    <w:uiPriority w:val="99"/>
    <w:rsid w:val="00C84258"/>
    <w:rPr>
      <w:rFonts w:ascii="Microsoft Sans Serif" w:hAnsi="Microsoft Sans Serif" w:cs="Microsoft Sans Serif"/>
      <w:i/>
      <w:iCs/>
      <w:spacing w:val="0"/>
      <w:sz w:val="16"/>
      <w:szCs w:val="16"/>
      <w:u w:val="single"/>
    </w:rPr>
  </w:style>
  <w:style w:type="character" w:customStyle="1" w:styleId="124">
    <w:name w:val="Îñíîâíîé òåêñò (12)4"/>
    <w:uiPriority w:val="99"/>
    <w:rsid w:val="00C84258"/>
    <w:rPr>
      <w:rFonts w:ascii="Microsoft Sans Serif" w:hAnsi="Microsoft Sans Serif" w:cs="Microsoft Sans Serif"/>
      <w:i/>
      <w:iCs/>
      <w:spacing w:val="0"/>
      <w:sz w:val="16"/>
      <w:szCs w:val="16"/>
      <w:u w:val="single"/>
    </w:rPr>
  </w:style>
  <w:style w:type="character" w:customStyle="1" w:styleId="12SimHei7pt12">
    <w:name w:val="Îñíîâíîé òåêñò (12) + SimHei.7 pt.Íå êóðñèâ12"/>
    <w:uiPriority w:val="99"/>
    <w:rsid w:val="00C84258"/>
    <w:rPr>
      <w:rFonts w:ascii="SimHei" w:eastAsia="SimHei" w:hAnsi="Microsoft Sans Serif" w:cs="SimHei"/>
      <w:i/>
      <w:iCs/>
      <w:spacing w:val="0"/>
      <w:sz w:val="14"/>
      <w:szCs w:val="14"/>
    </w:rPr>
  </w:style>
  <w:style w:type="character" w:customStyle="1" w:styleId="1240pt24">
    <w:name w:val="Îñíîâíîé òåêñò (12) + Íå êóðñèâ4.Èíòåðâàë 0 pt24"/>
    <w:uiPriority w:val="99"/>
    <w:rsid w:val="00C84258"/>
    <w:rPr>
      <w:rFonts w:ascii="Microsoft Sans Serif" w:hAnsi="Microsoft Sans Serif" w:cs="Microsoft Sans Serif"/>
      <w:i/>
      <w:iCs/>
      <w:spacing w:val="-10"/>
      <w:sz w:val="16"/>
      <w:szCs w:val="16"/>
    </w:rPr>
  </w:style>
  <w:style w:type="character" w:customStyle="1" w:styleId="70pt23">
    <w:name w:val="Îñíîâíîé òåêñò + Êóðñèâ7.Èíòåðâàë 0 pt23"/>
    <w:uiPriority w:val="99"/>
    <w:rsid w:val="00C84258"/>
    <w:rPr>
      <w:rFonts w:ascii="Microsoft Sans Serif" w:hAnsi="Microsoft Sans Serif" w:cs="Microsoft Sans Serif"/>
      <w:i/>
      <w:iCs/>
      <w:spacing w:val="0"/>
      <w:sz w:val="16"/>
      <w:szCs w:val="16"/>
    </w:rPr>
  </w:style>
  <w:style w:type="character" w:customStyle="1" w:styleId="12BookmanOldStyle6865pt1710">
    <w:name w:val="Îñíîâíîé òåêñò (12) + Bookman Old Style6.86.5 pt17.Íå êóðñèâ10"/>
    <w:uiPriority w:val="99"/>
    <w:rsid w:val="00C84258"/>
    <w:rPr>
      <w:rFonts w:ascii="Bookman Old Style" w:hAnsi="Bookman Old Style" w:cs="Bookman Old Style"/>
      <w:i/>
      <w:iCs/>
      <w:spacing w:val="0"/>
      <w:sz w:val="17"/>
      <w:szCs w:val="17"/>
    </w:rPr>
  </w:style>
  <w:style w:type="character" w:customStyle="1" w:styleId="60pt22">
    <w:name w:val="Îñíîâíîé òåêñò + Êóðñèâ6.Èíòåðâàë 0 pt22"/>
    <w:uiPriority w:val="99"/>
    <w:rsid w:val="00C84258"/>
    <w:rPr>
      <w:rFonts w:ascii="Microsoft Sans Serif" w:hAnsi="Microsoft Sans Serif" w:cs="Microsoft Sans Serif"/>
      <w:i/>
      <w:iCs/>
      <w:spacing w:val="0"/>
      <w:sz w:val="16"/>
      <w:szCs w:val="16"/>
    </w:rPr>
  </w:style>
  <w:style w:type="character" w:customStyle="1" w:styleId="1230">
    <w:name w:val="Îñíîâíîé òåêñò (12)3"/>
    <w:uiPriority w:val="99"/>
    <w:rsid w:val="00C84258"/>
    <w:rPr>
      <w:rFonts w:ascii="Microsoft Sans Serif" w:hAnsi="Microsoft Sans Serif" w:cs="Microsoft Sans Serif"/>
      <w:i/>
      <w:iCs/>
      <w:spacing w:val="0"/>
      <w:sz w:val="16"/>
      <w:szCs w:val="16"/>
      <w:u w:val="single"/>
    </w:rPr>
  </w:style>
  <w:style w:type="character" w:customStyle="1" w:styleId="1230pt21">
    <w:name w:val="Îñíîâíîé òåêñò (12) + Íå êóðñèâ3.Èíòåðâàë 0 pt21"/>
    <w:uiPriority w:val="99"/>
    <w:rsid w:val="00C84258"/>
    <w:rPr>
      <w:rFonts w:ascii="Microsoft Sans Serif" w:hAnsi="Microsoft Sans Serif" w:cs="Microsoft Sans Serif"/>
      <w:i/>
      <w:iCs/>
      <w:spacing w:val="-10"/>
      <w:sz w:val="16"/>
      <w:szCs w:val="16"/>
    </w:rPr>
  </w:style>
  <w:style w:type="character" w:customStyle="1" w:styleId="0pt20">
    <w:name w:val="Îñíîâíîé òåêñò + Ìàëûå ïðîïèñíûå.Èíòåðâàë 0 pt20"/>
    <w:uiPriority w:val="99"/>
    <w:rsid w:val="00C84258"/>
    <w:rPr>
      <w:rFonts w:ascii="Microsoft Sans Serif" w:hAnsi="Microsoft Sans Serif" w:cs="Microsoft Sans Serif"/>
      <w:smallCaps/>
      <w:spacing w:val="0"/>
      <w:sz w:val="16"/>
      <w:szCs w:val="16"/>
    </w:rPr>
  </w:style>
  <w:style w:type="character" w:customStyle="1" w:styleId="1265pt160pt19">
    <w:name w:val="Îñíîâíîé òåêñò (12) + 6.5 pt16.Ìàëûå ïðîïèñíûå.Èíòåðâàë 0 pt19"/>
    <w:uiPriority w:val="99"/>
    <w:rsid w:val="00C84258"/>
    <w:rPr>
      <w:rFonts w:ascii="Microsoft Sans Serif" w:hAnsi="Microsoft Sans Serif" w:cs="Microsoft Sans Serif"/>
      <w:i/>
      <w:iCs/>
      <w:smallCaps/>
      <w:spacing w:val="10"/>
      <w:sz w:val="13"/>
      <w:szCs w:val="13"/>
      <w:lang w:val="en-US"/>
    </w:rPr>
  </w:style>
  <w:style w:type="character" w:customStyle="1" w:styleId="1220pt18">
    <w:name w:val="Îñíîâíîé òåêñò (12) + Íå êóðñèâ2.Èíòåðâàë 0 pt18"/>
    <w:uiPriority w:val="99"/>
    <w:rsid w:val="00C84258"/>
    <w:rPr>
      <w:rFonts w:ascii="Microsoft Sans Serif" w:hAnsi="Microsoft Sans Serif" w:cs="Microsoft Sans Serif"/>
      <w:i/>
      <w:iCs/>
      <w:spacing w:val="-10"/>
      <w:sz w:val="16"/>
      <w:szCs w:val="16"/>
    </w:rPr>
  </w:style>
  <w:style w:type="character" w:customStyle="1" w:styleId="50pt17">
    <w:name w:val="Îñíîâíîé òåêñò + Êóðñèâ5.Èíòåðâàë 0 pt17"/>
    <w:uiPriority w:val="99"/>
    <w:rsid w:val="00C84258"/>
    <w:rPr>
      <w:rFonts w:ascii="Microsoft Sans Serif" w:hAnsi="Microsoft Sans Serif" w:cs="Microsoft Sans Serif"/>
      <w:i/>
      <w:iCs/>
      <w:spacing w:val="0"/>
      <w:sz w:val="16"/>
      <w:szCs w:val="16"/>
    </w:rPr>
  </w:style>
  <w:style w:type="character" w:customStyle="1" w:styleId="150pt62">
    <w:name w:val="Îñíîâíîé òåêñò + Êóðñèâ15.Èíòåðâàë 0 pt62"/>
    <w:uiPriority w:val="99"/>
    <w:rsid w:val="00C84258"/>
    <w:rPr>
      <w:rFonts w:ascii="Lucida Sans Unicode" w:hAnsi="Lucida Sans Unicode" w:cs="Lucida Sans Unicode"/>
      <w:i/>
      <w:iCs/>
      <w:spacing w:val="0"/>
      <w:sz w:val="16"/>
      <w:szCs w:val="16"/>
    </w:rPr>
  </w:style>
  <w:style w:type="character" w:customStyle="1" w:styleId="20150pt61">
    <w:name w:val="Îñíîâíîé òåêñò (20) + Íå êóðñèâ15.Èíòåðâàë 0 pt61"/>
    <w:uiPriority w:val="99"/>
    <w:rsid w:val="00C84258"/>
    <w:rPr>
      <w:rFonts w:ascii="Lucida Sans Unicode" w:hAnsi="Lucida Sans Unicode" w:cs="Lucida Sans Unicode"/>
      <w:b/>
      <w:bCs/>
      <w:i/>
      <w:iCs/>
      <w:spacing w:val="-10"/>
      <w:sz w:val="16"/>
      <w:szCs w:val="16"/>
    </w:rPr>
  </w:style>
  <w:style w:type="character" w:customStyle="1" w:styleId="153">
    <w:name w:val="Îñíîâíîé òåêñò + Êóðñèâ15"/>
    <w:uiPriority w:val="99"/>
    <w:rsid w:val="00C84258"/>
    <w:rPr>
      <w:rFonts w:ascii="Arial" w:hAnsi="Arial" w:cs="Arial"/>
      <w:i/>
      <w:iCs/>
      <w:spacing w:val="-10"/>
      <w:sz w:val="17"/>
      <w:szCs w:val="17"/>
      <w:u w:val="single"/>
    </w:rPr>
  </w:style>
  <w:style w:type="character" w:customStyle="1" w:styleId="1190">
    <w:name w:val="Îñíîâíîé òåêñò (11) + Íå êóðñèâ9"/>
    <w:uiPriority w:val="99"/>
    <w:rsid w:val="00C84258"/>
    <w:rPr>
      <w:rFonts w:ascii="Arial" w:hAnsi="Arial" w:cs="Arial"/>
      <w:i/>
      <w:iCs/>
      <w:spacing w:val="-10"/>
      <w:sz w:val="17"/>
      <w:szCs w:val="17"/>
    </w:rPr>
  </w:style>
  <w:style w:type="character" w:customStyle="1" w:styleId="144">
    <w:name w:val="Îñíîâíîé òåêñò + Êóðñèâ14"/>
    <w:uiPriority w:val="99"/>
    <w:rsid w:val="00C84258"/>
    <w:rPr>
      <w:rFonts w:ascii="Arial" w:hAnsi="Arial" w:cs="Arial"/>
      <w:i/>
      <w:iCs/>
      <w:spacing w:val="-10"/>
      <w:sz w:val="17"/>
      <w:szCs w:val="17"/>
    </w:rPr>
  </w:style>
  <w:style w:type="character" w:customStyle="1" w:styleId="1180">
    <w:name w:val="Îñíîâíîé òåêñò (11) + Íå êóðñèâ8"/>
    <w:uiPriority w:val="99"/>
    <w:rsid w:val="00C84258"/>
    <w:rPr>
      <w:rFonts w:ascii="Arial" w:hAnsi="Arial" w:cs="Arial"/>
      <w:i/>
      <w:iCs/>
      <w:spacing w:val="-10"/>
      <w:sz w:val="17"/>
      <w:szCs w:val="17"/>
    </w:rPr>
  </w:style>
  <w:style w:type="character" w:customStyle="1" w:styleId="133">
    <w:name w:val="Îñíîâíîé òåêñò + Êóðñèâ13"/>
    <w:uiPriority w:val="99"/>
    <w:rsid w:val="00C84258"/>
    <w:rPr>
      <w:rFonts w:ascii="Arial" w:hAnsi="Arial" w:cs="Arial"/>
      <w:i/>
      <w:iCs/>
      <w:spacing w:val="-10"/>
      <w:sz w:val="17"/>
      <w:szCs w:val="17"/>
      <w:lang w:val="en-US"/>
    </w:rPr>
  </w:style>
  <w:style w:type="character" w:customStyle="1" w:styleId="8pt3100pt23">
    <w:name w:val="Îñíîâíîé òåêñò + 8 pt3.Êóðñèâ10.Ìàëûå ïðîïèñíûå.Èíòåðâàë 0 pt23"/>
    <w:uiPriority w:val="99"/>
    <w:rsid w:val="00C84258"/>
    <w:rPr>
      <w:rFonts w:ascii="Arial" w:hAnsi="Arial" w:cs="Arial"/>
      <w:i/>
      <w:iCs/>
      <w:smallCaps/>
      <w:spacing w:val="0"/>
      <w:sz w:val="16"/>
      <w:szCs w:val="16"/>
      <w:lang w:val="en-US"/>
    </w:rPr>
  </w:style>
  <w:style w:type="character" w:customStyle="1" w:styleId="11SimHei75pt3080pt22">
    <w:name w:val="Îñíîâíîé òåêñò (11) + SimHei.7.5 pt30.Íå êóðñèâ8.Èíòåðâàë 0 pt22"/>
    <w:uiPriority w:val="99"/>
    <w:rsid w:val="00C84258"/>
    <w:rPr>
      <w:rFonts w:ascii="SimHei" w:eastAsia="SimHei" w:hAnsi="Microsoft Sans Serif" w:cs="SimHei"/>
      <w:i/>
      <w:iCs/>
      <w:spacing w:val="0"/>
      <w:sz w:val="15"/>
      <w:szCs w:val="15"/>
    </w:rPr>
  </w:style>
  <w:style w:type="character" w:customStyle="1" w:styleId="127">
    <w:name w:val="Îñíîâíîé òåêñò + Êóðñèâ12"/>
    <w:uiPriority w:val="99"/>
    <w:rsid w:val="00C84258"/>
    <w:rPr>
      <w:rFonts w:ascii="Arial" w:hAnsi="Arial" w:cs="Arial"/>
      <w:i/>
      <w:iCs/>
      <w:spacing w:val="-10"/>
      <w:sz w:val="17"/>
      <w:szCs w:val="17"/>
    </w:rPr>
  </w:style>
  <w:style w:type="character" w:customStyle="1" w:styleId="1170">
    <w:name w:val="Îñíîâíîé òåêñò (11) + Íå êóðñèâ7"/>
    <w:uiPriority w:val="99"/>
    <w:rsid w:val="00C84258"/>
    <w:rPr>
      <w:rFonts w:ascii="Arial" w:hAnsi="Arial" w:cs="Arial"/>
      <w:i/>
      <w:iCs/>
      <w:spacing w:val="-10"/>
      <w:sz w:val="17"/>
      <w:szCs w:val="17"/>
    </w:rPr>
  </w:style>
  <w:style w:type="paragraph" w:customStyle="1" w:styleId="11a">
    <w:name w:val="Çàãîëîâîê ¹11"/>
    <w:basedOn w:val="a"/>
    <w:uiPriority w:val="99"/>
    <w:rsid w:val="00C84258"/>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character" w:customStyle="1" w:styleId="635pt54">
    <w:name w:val="Îñíîâíîé òåêñò + 63.5 pt5.Ïîëóæèðíûé4"/>
    <w:uiPriority w:val="99"/>
    <w:rsid w:val="00C84258"/>
    <w:rPr>
      <w:rFonts w:ascii="Arial" w:hAnsi="Arial" w:cs="Arial"/>
      <w:b/>
      <w:bCs/>
      <w:sz w:val="13"/>
      <w:szCs w:val="13"/>
    </w:rPr>
  </w:style>
  <w:style w:type="character" w:customStyle="1" w:styleId="1010">
    <w:name w:val="Îñíîâíîé òåêñò (10) + Íå êóðñèâ1"/>
    <w:uiPriority w:val="99"/>
    <w:rsid w:val="00C84258"/>
    <w:rPr>
      <w:rFonts w:ascii="Arial" w:hAnsi="Arial" w:cs="Arial"/>
      <w:i/>
      <w:iCs/>
      <w:sz w:val="15"/>
      <w:szCs w:val="15"/>
    </w:rPr>
  </w:style>
  <w:style w:type="paragraph" w:customStyle="1" w:styleId="107">
    <w:name w:val="Îñíîâíîé òåêñò (10)"/>
    <w:basedOn w:val="a"/>
    <w:uiPriority w:val="99"/>
    <w:rsid w:val="00C84258"/>
    <w:pPr>
      <w:shd w:val="clear" w:color="auto" w:fill="FFFFFF"/>
      <w:autoSpaceDE w:val="0"/>
      <w:autoSpaceDN w:val="0"/>
      <w:adjustRightInd w:val="0"/>
      <w:spacing w:before="120" w:after="120" w:line="174" w:lineRule="exact"/>
      <w:jc w:val="both"/>
    </w:pPr>
    <w:rPr>
      <w:rFonts w:ascii="Arial" w:hAnsi="Arial" w:cs="Arial"/>
      <w:i/>
      <w:iCs/>
      <w:noProof/>
      <w:sz w:val="15"/>
      <w:szCs w:val="15"/>
      <w:lang w:val="en-US"/>
    </w:rPr>
  </w:style>
  <w:style w:type="character" w:customStyle="1" w:styleId="3f7">
    <w:name w:val="Îñíîâíîé òåêñò + Ïîëóæèðíûé3"/>
    <w:uiPriority w:val="99"/>
    <w:rsid w:val="00C84258"/>
    <w:rPr>
      <w:rFonts w:ascii="Arial" w:hAnsi="Arial" w:cs="Arial"/>
      <w:b/>
      <w:bCs/>
      <w:sz w:val="16"/>
      <w:szCs w:val="16"/>
    </w:rPr>
  </w:style>
  <w:style w:type="character" w:customStyle="1" w:styleId="2f6">
    <w:name w:val="Îñíîâíîé òåêñò + Ïîëóæèðíûé2"/>
    <w:uiPriority w:val="99"/>
    <w:rsid w:val="00C84258"/>
    <w:rPr>
      <w:rFonts w:ascii="Arial" w:hAnsi="Arial" w:cs="Arial"/>
      <w:b/>
      <w:bCs/>
      <w:sz w:val="16"/>
      <w:szCs w:val="16"/>
    </w:rPr>
  </w:style>
  <w:style w:type="character" w:customStyle="1" w:styleId="481">
    <w:name w:val="Îñíîâíîé òåêñò (4) + Íå êóðñèâ8"/>
    <w:uiPriority w:val="99"/>
    <w:rsid w:val="00C84258"/>
    <w:rPr>
      <w:rFonts w:ascii="Arial" w:hAnsi="Arial" w:cs="Arial"/>
      <w:i/>
      <w:iCs/>
      <w:sz w:val="16"/>
      <w:szCs w:val="16"/>
    </w:rPr>
  </w:style>
  <w:style w:type="character" w:customStyle="1" w:styleId="69">
    <w:name w:val="Îñíîâíîé òåêñò + Êóðñèâ6"/>
    <w:uiPriority w:val="99"/>
    <w:rsid w:val="00C84258"/>
    <w:rPr>
      <w:rFonts w:ascii="Arial" w:hAnsi="Arial" w:cs="Arial"/>
      <w:i/>
      <w:iCs/>
      <w:spacing w:val="-10"/>
      <w:sz w:val="16"/>
      <w:szCs w:val="16"/>
    </w:rPr>
  </w:style>
  <w:style w:type="character" w:customStyle="1" w:styleId="471">
    <w:name w:val="Îñíîâíîé òåêñò (4) + Íå êóðñèâ7"/>
    <w:uiPriority w:val="99"/>
    <w:rsid w:val="00C84258"/>
    <w:rPr>
      <w:rFonts w:ascii="Arial" w:hAnsi="Arial" w:cs="Arial"/>
      <w:i/>
      <w:iCs/>
      <w:sz w:val="16"/>
      <w:szCs w:val="16"/>
    </w:rPr>
  </w:style>
  <w:style w:type="character" w:customStyle="1" w:styleId="465pt7">
    <w:name w:val="Îñíîâíîé òåêñò (4) + 6.5 pt7"/>
    <w:uiPriority w:val="99"/>
    <w:rsid w:val="00C84258"/>
    <w:rPr>
      <w:rFonts w:ascii="Arial" w:hAnsi="Arial" w:cs="Arial"/>
      <w:i/>
      <w:iCs/>
      <w:noProof/>
      <w:sz w:val="13"/>
      <w:szCs w:val="13"/>
    </w:rPr>
  </w:style>
  <w:style w:type="character" w:customStyle="1" w:styleId="27Arial8pt12">
    <w:name w:val="Îñíîâíîé òåêñò (27) + Arial.8 pt1.Íå êóðñèâ2"/>
    <w:uiPriority w:val="99"/>
    <w:rsid w:val="00C84258"/>
    <w:rPr>
      <w:rFonts w:ascii="Arial" w:hAnsi="Arial" w:cs="Arial"/>
      <w:i/>
      <w:iCs/>
      <w:sz w:val="16"/>
      <w:szCs w:val="16"/>
    </w:rPr>
  </w:style>
  <w:style w:type="character" w:customStyle="1" w:styleId="277">
    <w:name w:val="Îñíîâíîé òåêñò (27) + Ïîëóæèðíûé"/>
    <w:uiPriority w:val="99"/>
    <w:rsid w:val="00C84258"/>
    <w:rPr>
      <w:rFonts w:ascii="Bookman Old Style" w:hAnsi="Bookman Old Style" w:cs="Bookman Old Style"/>
      <w:b/>
      <w:bCs/>
      <w:i/>
      <w:iCs/>
      <w:sz w:val="17"/>
      <w:szCs w:val="17"/>
    </w:rPr>
  </w:style>
  <w:style w:type="paragraph" w:customStyle="1" w:styleId="4e">
    <w:name w:val="Îñíîâíîé òåêñò (4)"/>
    <w:basedOn w:val="a"/>
    <w:uiPriority w:val="99"/>
    <w:rsid w:val="00C84258"/>
    <w:pPr>
      <w:shd w:val="clear" w:color="auto" w:fill="FFFFFF"/>
      <w:autoSpaceDE w:val="0"/>
      <w:autoSpaceDN w:val="0"/>
      <w:adjustRightInd w:val="0"/>
      <w:spacing w:after="120" w:line="191" w:lineRule="exact"/>
      <w:jc w:val="both"/>
    </w:pPr>
    <w:rPr>
      <w:rFonts w:ascii="Arial" w:hAnsi="Arial" w:cs="Arial"/>
      <w:i/>
      <w:iCs/>
      <w:noProof/>
      <w:sz w:val="16"/>
      <w:szCs w:val="16"/>
      <w:lang w:val="en-US"/>
    </w:rPr>
  </w:style>
  <w:style w:type="character" w:customStyle="1" w:styleId="TimesNewRoman440pt44">
    <w:name w:val="Îñíîâíîé òåêñò + Times New Roman4.40 pt4.Ïîëóæèðíûé4"/>
    <w:uiPriority w:val="99"/>
    <w:rsid w:val="00C84258"/>
    <w:rPr>
      <w:rFonts w:ascii="Times New Roman" w:hAnsi="Times New Roman" w:cs="Times New Roman"/>
      <w:b/>
      <w:bCs/>
      <w:noProof/>
      <w:sz w:val="80"/>
      <w:szCs w:val="80"/>
    </w:rPr>
  </w:style>
  <w:style w:type="character" w:customStyle="1" w:styleId="322">
    <w:name w:val="Çàãîëîâîê ¹32"/>
    <w:uiPriority w:val="99"/>
    <w:rsid w:val="00C84258"/>
    <w:rPr>
      <w:b/>
      <w:bCs/>
      <w:sz w:val="36"/>
      <w:szCs w:val="36"/>
    </w:rPr>
  </w:style>
  <w:style w:type="character" w:customStyle="1" w:styleId="TimesNewRoman140pt11">
    <w:name w:val="Îñíîâíîé òåêñò + Times New Roman1.40 pt1.Ïîëóæèðíûé1"/>
    <w:uiPriority w:val="99"/>
    <w:rsid w:val="00C84258"/>
    <w:rPr>
      <w:rFonts w:ascii="Times New Roman" w:hAnsi="Times New Roman" w:cs="Times New Roman"/>
      <w:b/>
      <w:bCs/>
      <w:noProof/>
      <w:sz w:val="80"/>
      <w:szCs w:val="80"/>
    </w:rPr>
  </w:style>
  <w:style w:type="character" w:customStyle="1" w:styleId="422">
    <w:name w:val="Çàãîëîâîê ¹42"/>
    <w:uiPriority w:val="99"/>
    <w:rsid w:val="00C84258"/>
    <w:rPr>
      <w:b/>
      <w:bCs/>
      <w:sz w:val="22"/>
      <w:szCs w:val="22"/>
      <w:u w:val="single"/>
    </w:rPr>
  </w:style>
  <w:style w:type="paragraph" w:customStyle="1" w:styleId="318">
    <w:name w:val="Çàãîëîâîê ¹31"/>
    <w:basedOn w:val="a"/>
    <w:uiPriority w:val="99"/>
    <w:rsid w:val="00C84258"/>
    <w:pPr>
      <w:shd w:val="clear" w:color="auto" w:fill="FFFFFF"/>
      <w:autoSpaceDE w:val="0"/>
      <w:autoSpaceDN w:val="0"/>
      <w:adjustRightInd w:val="0"/>
      <w:spacing w:after="0" w:line="240" w:lineRule="atLeast"/>
    </w:pPr>
    <w:rPr>
      <w:rFonts w:ascii="Times New Roman" w:hAnsi="Times New Roman"/>
      <w:b/>
      <w:bCs/>
      <w:noProof/>
      <w:sz w:val="36"/>
      <w:szCs w:val="36"/>
      <w:lang w:val="en-US"/>
    </w:rPr>
  </w:style>
  <w:style w:type="paragraph" w:customStyle="1" w:styleId="415">
    <w:name w:val="Çàãîëîâîê ¹41"/>
    <w:basedOn w:val="a"/>
    <w:uiPriority w:val="99"/>
    <w:rsid w:val="00C84258"/>
    <w:pPr>
      <w:shd w:val="clear" w:color="auto" w:fill="FFFFFF"/>
      <w:autoSpaceDE w:val="0"/>
      <w:autoSpaceDN w:val="0"/>
      <w:adjustRightInd w:val="0"/>
      <w:spacing w:before="180" w:after="180" w:line="240" w:lineRule="atLeast"/>
    </w:pPr>
    <w:rPr>
      <w:rFonts w:ascii="Times New Roman" w:hAnsi="Times New Roman"/>
      <w:b/>
      <w:bCs/>
      <w:noProof/>
      <w:lang w:val="en-US"/>
    </w:rPr>
  </w:style>
  <w:style w:type="paragraph" w:customStyle="1" w:styleId="affffe">
    <w:name w:val="Êîëîíòèòóë"/>
    <w:basedOn w:val="a"/>
    <w:uiPriority w:val="99"/>
    <w:rsid w:val="00C84258"/>
    <w:pPr>
      <w:shd w:val="clear" w:color="auto" w:fill="FFFFFF"/>
      <w:autoSpaceDE w:val="0"/>
      <w:autoSpaceDN w:val="0"/>
      <w:adjustRightInd w:val="0"/>
      <w:spacing w:after="0" w:line="240" w:lineRule="auto"/>
    </w:pPr>
    <w:rPr>
      <w:rFonts w:ascii="Times New Roman" w:hAnsi="Times New Roman"/>
      <w:noProof/>
      <w:sz w:val="20"/>
      <w:szCs w:val="20"/>
      <w:lang w:val="en-US"/>
    </w:rPr>
  </w:style>
  <w:style w:type="character" w:customStyle="1" w:styleId="ArialNarrow115pt16">
    <w:name w:val="Êîëîíòèòóë + Arial Narrow.11.5 pt16.Ïîëóæèðíûé"/>
    <w:uiPriority w:val="99"/>
    <w:rsid w:val="00C84258"/>
    <w:rPr>
      <w:rFonts w:ascii="Arial Narrow" w:hAnsi="Arial Narrow" w:cs="Arial Narrow"/>
      <w:b/>
      <w:bCs/>
      <w:color w:val="FFFFFF"/>
      <w:spacing w:val="0"/>
      <w:sz w:val="23"/>
      <w:szCs w:val="23"/>
    </w:rPr>
  </w:style>
  <w:style w:type="character" w:customStyle="1" w:styleId="MicrosoftSansSerif1515pt13">
    <w:name w:val="Êîëîíòèòóë + Microsoft Sans Serif1.51.5 pt13"/>
    <w:uiPriority w:val="99"/>
    <w:rsid w:val="00C84258"/>
    <w:rPr>
      <w:rFonts w:ascii="Microsoft Sans Serif" w:hAnsi="Microsoft Sans Serif" w:cs="Microsoft Sans Serif"/>
      <w:spacing w:val="0"/>
      <w:sz w:val="11"/>
      <w:szCs w:val="11"/>
    </w:rPr>
  </w:style>
  <w:style w:type="character" w:customStyle="1" w:styleId="TimesNewRoman138pt4">
    <w:name w:val="Îñíîâíîé òåêñò + Times New Roman1.38 pt.Ïîëóæèðíûé4"/>
    <w:uiPriority w:val="99"/>
    <w:rsid w:val="00C84258"/>
    <w:rPr>
      <w:rFonts w:ascii="Times New Roman" w:hAnsi="Times New Roman" w:cs="Times New Roman"/>
      <w:b/>
      <w:bCs/>
      <w:noProof/>
      <w:sz w:val="76"/>
      <w:szCs w:val="76"/>
    </w:rPr>
  </w:style>
  <w:style w:type="character" w:customStyle="1" w:styleId="2120">
    <w:name w:val="Îñíîâíîé òåêñò (21)2"/>
    <w:uiPriority w:val="99"/>
    <w:rsid w:val="00C84258"/>
    <w:rPr>
      <w:rFonts w:ascii="MS Reference Sans Serif" w:hAnsi="MS Reference Sans Serif" w:cs="MS Reference Sans Serif"/>
      <w:color w:val="FFFFFF"/>
      <w:sz w:val="16"/>
      <w:szCs w:val="16"/>
    </w:rPr>
  </w:style>
  <w:style w:type="character" w:customStyle="1" w:styleId="MSReferenceSansSerif2">
    <w:name w:val="Îñíîâíîé òåêñò + MS Reference Sans Serif2"/>
    <w:uiPriority w:val="99"/>
    <w:rsid w:val="00C84258"/>
    <w:rPr>
      <w:rFonts w:ascii="MS Reference Sans Serif" w:hAnsi="MS Reference Sans Serif" w:cs="MS Reference Sans Serif"/>
      <w:sz w:val="13"/>
      <w:szCs w:val="13"/>
    </w:rPr>
  </w:style>
  <w:style w:type="character" w:customStyle="1" w:styleId="1113">
    <w:name w:val="Îñíîâíîé òåêñò (11)13"/>
    <w:uiPriority w:val="99"/>
    <w:rsid w:val="00C84258"/>
    <w:rPr>
      <w:rFonts w:ascii="Arial" w:hAnsi="Arial" w:cs="Arial"/>
      <w:sz w:val="12"/>
      <w:szCs w:val="12"/>
    </w:rPr>
  </w:style>
  <w:style w:type="character" w:customStyle="1" w:styleId="1112">
    <w:name w:val="Îñíîâíîé òåêñò (11)12"/>
    <w:uiPriority w:val="99"/>
    <w:rsid w:val="00C84258"/>
    <w:rPr>
      <w:rFonts w:ascii="Arial" w:hAnsi="Arial" w:cs="Arial"/>
      <w:sz w:val="12"/>
      <w:szCs w:val="12"/>
    </w:rPr>
  </w:style>
  <w:style w:type="character" w:customStyle="1" w:styleId="MSReferenceSansSerif135pt13">
    <w:name w:val="Îñíîâíîé òåêñò + MS Reference Sans Serif1.35 pt1.Ïîëóæèðíûé3"/>
    <w:uiPriority w:val="99"/>
    <w:rsid w:val="00C84258"/>
    <w:rPr>
      <w:rFonts w:ascii="MS Reference Sans Serif" w:hAnsi="MS Reference Sans Serif" w:cs="MS Reference Sans Serif"/>
      <w:b/>
      <w:bCs/>
      <w:noProof/>
      <w:sz w:val="70"/>
      <w:szCs w:val="70"/>
    </w:rPr>
  </w:style>
  <w:style w:type="paragraph" w:customStyle="1" w:styleId="154">
    <w:name w:val="Îñíîâíîé òåêñò (15)"/>
    <w:basedOn w:val="a"/>
    <w:uiPriority w:val="99"/>
    <w:rsid w:val="00C84258"/>
    <w:pPr>
      <w:shd w:val="clear" w:color="auto" w:fill="FFFFFF"/>
      <w:autoSpaceDE w:val="0"/>
      <w:autoSpaceDN w:val="0"/>
      <w:adjustRightInd w:val="0"/>
      <w:spacing w:after="240" w:line="240" w:lineRule="atLeast"/>
      <w:jc w:val="both"/>
    </w:pPr>
    <w:rPr>
      <w:rFonts w:cs="Calibri"/>
      <w:i/>
      <w:iCs/>
      <w:noProof/>
      <w:sz w:val="16"/>
      <w:szCs w:val="16"/>
      <w:lang w:val="en-US"/>
    </w:rPr>
  </w:style>
  <w:style w:type="paragraph" w:customStyle="1" w:styleId="2111">
    <w:name w:val="Îñíîâíîé òåêñò (21)1"/>
    <w:basedOn w:val="a"/>
    <w:uiPriority w:val="99"/>
    <w:rsid w:val="00C84258"/>
    <w:pPr>
      <w:shd w:val="clear" w:color="auto" w:fill="FFFFFF"/>
      <w:autoSpaceDE w:val="0"/>
      <w:autoSpaceDN w:val="0"/>
      <w:adjustRightInd w:val="0"/>
      <w:spacing w:after="0" w:line="240" w:lineRule="atLeast"/>
    </w:pPr>
    <w:rPr>
      <w:rFonts w:ascii="MS Reference Sans Serif" w:hAnsi="MS Reference Sans Serif" w:cs="MS Reference Sans Serif"/>
      <w:noProof/>
      <w:sz w:val="16"/>
      <w:szCs w:val="16"/>
      <w:lang w:val="en-US"/>
    </w:rPr>
  </w:style>
  <w:style w:type="paragraph" w:customStyle="1" w:styleId="3111">
    <w:name w:val="Îñíîâíîé òåêñò (31)1"/>
    <w:basedOn w:val="a"/>
    <w:uiPriority w:val="99"/>
    <w:rsid w:val="00C84258"/>
    <w:pPr>
      <w:shd w:val="clear" w:color="auto" w:fill="FFFFFF"/>
      <w:autoSpaceDE w:val="0"/>
      <w:autoSpaceDN w:val="0"/>
      <w:adjustRightInd w:val="0"/>
      <w:spacing w:after="0" w:line="240" w:lineRule="atLeast"/>
    </w:pPr>
    <w:rPr>
      <w:rFonts w:ascii="Times New Roman" w:hAnsi="Times New Roman"/>
      <w:b/>
      <w:bCs/>
      <w:noProof/>
      <w:sz w:val="88"/>
      <w:szCs w:val="88"/>
      <w:lang w:val="en-US"/>
    </w:rPr>
  </w:style>
  <w:style w:type="character" w:customStyle="1" w:styleId="A50">
    <w:name w:val="A5"/>
    <w:uiPriority w:val="99"/>
    <w:rsid w:val="00C84258"/>
    <w:rPr>
      <w:color w:val="000000"/>
      <w:sz w:val="12"/>
      <w:szCs w:val="12"/>
    </w:rPr>
  </w:style>
  <w:style w:type="paragraph" w:customStyle="1" w:styleId="Pa2">
    <w:name w:val="Pa2"/>
    <w:basedOn w:val="Default"/>
    <w:next w:val="Default"/>
    <w:uiPriority w:val="99"/>
    <w:rsid w:val="00C84258"/>
    <w:pPr>
      <w:spacing w:line="241" w:lineRule="atLeast"/>
    </w:pPr>
    <w:rPr>
      <w:color w:val="auto"/>
    </w:rPr>
  </w:style>
  <w:style w:type="paragraph" w:customStyle="1" w:styleId="Pa8">
    <w:name w:val="Pa8"/>
    <w:basedOn w:val="Default"/>
    <w:next w:val="Default"/>
    <w:uiPriority w:val="99"/>
    <w:rsid w:val="00C84258"/>
    <w:pPr>
      <w:spacing w:line="201" w:lineRule="atLeast"/>
    </w:pPr>
    <w:rPr>
      <w:color w:val="auto"/>
    </w:rPr>
  </w:style>
  <w:style w:type="character" w:customStyle="1" w:styleId="2f7">
    <w:name w:val="Îñíîâíîé òåêñò (2)"/>
    <w:uiPriority w:val="99"/>
    <w:rsid w:val="00C84258"/>
    <w:rPr>
      <w:rFonts w:ascii="MS Reference Sans Serif" w:hAnsi="MS Reference Sans Serif" w:cs="MS Reference Sans Serif"/>
      <w:i/>
      <w:iCs/>
      <w:spacing w:val="-10"/>
      <w:sz w:val="22"/>
      <w:szCs w:val="22"/>
    </w:rPr>
  </w:style>
  <w:style w:type="character" w:customStyle="1" w:styleId="2f8">
    <w:name w:val="Îñíîâíîé òåêñò (2) + Êóðñèâ"/>
    <w:uiPriority w:val="99"/>
    <w:rsid w:val="00C84258"/>
    <w:rPr>
      <w:rFonts w:ascii="MS Reference Sans Serif" w:hAnsi="MS Reference Sans Serif" w:cs="MS Reference Sans Serif"/>
      <w:i/>
      <w:iCs/>
      <w:spacing w:val="-10"/>
      <w:sz w:val="22"/>
      <w:szCs w:val="22"/>
    </w:rPr>
  </w:style>
  <w:style w:type="paragraph" w:customStyle="1" w:styleId="2f9">
    <w:name w:val="Ïîäïèñü ê êàðòèíêå (2)"/>
    <w:basedOn w:val="a"/>
    <w:uiPriority w:val="99"/>
    <w:rsid w:val="00C84258"/>
    <w:pPr>
      <w:shd w:val="clear" w:color="auto" w:fill="FFFFFF"/>
      <w:autoSpaceDE w:val="0"/>
      <w:autoSpaceDN w:val="0"/>
      <w:adjustRightInd w:val="0"/>
      <w:spacing w:after="0" w:line="240" w:lineRule="atLeast"/>
    </w:pPr>
    <w:rPr>
      <w:rFonts w:ascii="MS Reference Sans Serif" w:hAnsi="MS Reference Sans Serif" w:cs="MS Reference Sans Serif"/>
      <w:noProof/>
      <w:spacing w:val="-10"/>
      <w:lang w:val="en-US"/>
    </w:rPr>
  </w:style>
  <w:style w:type="paragraph" w:customStyle="1" w:styleId="5e">
    <w:name w:val="Îñíîâíîé òåêñò (5)"/>
    <w:basedOn w:val="a"/>
    <w:uiPriority w:val="99"/>
    <w:rsid w:val="00C84258"/>
    <w:pPr>
      <w:shd w:val="clear" w:color="auto" w:fill="FFFFFF"/>
      <w:autoSpaceDE w:val="0"/>
      <w:autoSpaceDN w:val="0"/>
      <w:adjustRightInd w:val="0"/>
      <w:spacing w:after="0" w:line="240" w:lineRule="atLeast"/>
    </w:pPr>
    <w:rPr>
      <w:rFonts w:ascii="Trebuchet MS" w:hAnsi="Trebuchet MS" w:cs="Trebuchet MS"/>
      <w:noProof/>
      <w:sz w:val="11"/>
      <w:szCs w:val="11"/>
      <w:lang w:val="en-US"/>
    </w:rPr>
  </w:style>
  <w:style w:type="character" w:customStyle="1" w:styleId="105pt0pt">
    <w:name w:val="Îñíîâíîé òåêñò + 10.5 pt.Êóðñèâ.Èíòåðâàë 0 pt"/>
    <w:uiPriority w:val="99"/>
    <w:rsid w:val="00C84258"/>
    <w:rPr>
      <w:rFonts w:ascii="Microsoft Sans Serif" w:hAnsi="Microsoft Sans Serif" w:cs="Microsoft Sans Serif"/>
      <w:i/>
      <w:iCs/>
      <w:spacing w:val="0"/>
      <w:sz w:val="21"/>
      <w:szCs w:val="21"/>
    </w:rPr>
  </w:style>
  <w:style w:type="character" w:customStyle="1" w:styleId="115pt29115pt8109112SimHei2Arial12pt11ptMSMincho12pt">
    <w:name w:val="Îñíîâíîé òåêñò + 11.5 pt2.Íå êóðñèâ.Îñíîâíîé òåêñò (9) + 11.5 pt8.Îñíîâíîé òåêñò (10) + 91.Íå ìàëûå ïðîïèñíûå1.Îñíîâíîé òåêñò (2) + SimHei.Îñíîâíîé òåêñò (2) + Arial.12 pt.11 pt.Îñíîâíîé òåêñò + MS Mincho.Îñíîâíîé òåêñò + 12 pt"/>
    <w:uiPriority w:val="99"/>
    <w:rsid w:val="00C84258"/>
    <w:rPr>
      <w:rFonts w:ascii="MS Reference Sans Serif" w:hAnsi="MS Reference Sans Serif" w:cs="MS Reference Sans Serif"/>
      <w:spacing w:val="-10"/>
      <w:sz w:val="23"/>
      <w:szCs w:val="23"/>
    </w:rPr>
  </w:style>
  <w:style w:type="paragraph" w:customStyle="1" w:styleId="3f8">
    <w:name w:val="Îñíîâíîé òåêñò (3)"/>
    <w:basedOn w:val="a"/>
    <w:uiPriority w:val="99"/>
    <w:rsid w:val="00C84258"/>
    <w:pPr>
      <w:shd w:val="clear" w:color="auto" w:fill="FFFFFF"/>
      <w:autoSpaceDE w:val="0"/>
      <w:autoSpaceDN w:val="0"/>
      <w:adjustRightInd w:val="0"/>
      <w:spacing w:after="0" w:line="310" w:lineRule="exact"/>
      <w:jc w:val="both"/>
    </w:pPr>
    <w:rPr>
      <w:rFonts w:ascii="Times New Roman" w:hAnsi="Times New Roman"/>
      <w:noProof/>
      <w:spacing w:val="-10"/>
      <w:sz w:val="24"/>
      <w:szCs w:val="24"/>
      <w:lang w:val="en-US"/>
    </w:rPr>
  </w:style>
  <w:style w:type="character" w:customStyle="1" w:styleId="1-1pt">
    <w:name w:val="Çàãîëîâîê ¹1 + Èíòåðâàë -1 pt"/>
    <w:uiPriority w:val="99"/>
    <w:rsid w:val="00C84258"/>
    <w:rPr>
      <w:rFonts w:ascii="Arial Narrow" w:hAnsi="Arial Narrow" w:cs="Arial Narrow"/>
      <w:b/>
      <w:bCs/>
      <w:spacing w:val="-20"/>
      <w:sz w:val="27"/>
      <w:szCs w:val="27"/>
    </w:rPr>
  </w:style>
  <w:style w:type="character" w:customStyle="1" w:styleId="0pt0">
    <w:name w:val="Îñíîâíîé òåêñò + Èíòåðâàë 0 pt"/>
    <w:uiPriority w:val="99"/>
    <w:rsid w:val="00C84258"/>
    <w:rPr>
      <w:rFonts w:ascii="MS Reference Sans Serif" w:hAnsi="MS Reference Sans Serif" w:cs="MS Reference Sans Serif"/>
      <w:i/>
      <w:iCs/>
      <w:spacing w:val="10"/>
      <w:sz w:val="22"/>
      <w:szCs w:val="22"/>
    </w:rPr>
  </w:style>
  <w:style w:type="character" w:customStyle="1" w:styleId="21pt">
    <w:name w:val="Îñíîâíîé òåêñò (2) + Èíòåðâàë 1 pt"/>
    <w:uiPriority w:val="99"/>
    <w:rsid w:val="00C84258"/>
    <w:rPr>
      <w:rFonts w:ascii="Tahoma" w:hAnsi="Tahoma" w:cs="Tahoma"/>
      <w:i/>
      <w:iCs/>
      <w:noProof/>
      <w:spacing w:val="30"/>
      <w:sz w:val="24"/>
      <w:szCs w:val="24"/>
    </w:rPr>
  </w:style>
  <w:style w:type="character" w:customStyle="1" w:styleId="2pt">
    <w:name w:val="Îñíîâíîé òåêñò + Èíòåðâàë 2 pt"/>
    <w:uiPriority w:val="99"/>
    <w:rsid w:val="00C84258"/>
    <w:rPr>
      <w:rFonts w:ascii="Tahoma" w:hAnsi="Tahoma" w:cs="Tahoma"/>
      <w:i/>
      <w:iCs/>
      <w:spacing w:val="40"/>
      <w:sz w:val="21"/>
      <w:szCs w:val="21"/>
    </w:rPr>
  </w:style>
  <w:style w:type="character" w:customStyle="1" w:styleId="2pt1">
    <w:name w:val="Îñíîâíîé òåêñò + Èíòåðâàë 2 pt1"/>
    <w:uiPriority w:val="99"/>
    <w:rsid w:val="00C84258"/>
    <w:rPr>
      <w:rFonts w:ascii="Tahoma" w:hAnsi="Tahoma" w:cs="Tahoma"/>
      <w:i/>
      <w:iCs/>
      <w:spacing w:val="40"/>
      <w:sz w:val="21"/>
      <w:szCs w:val="21"/>
    </w:rPr>
  </w:style>
  <w:style w:type="character" w:customStyle="1" w:styleId="211pt">
    <w:name w:val="Îñíîâíîé òåêñò (2) + 11 pt.Êóðñèâ"/>
    <w:uiPriority w:val="99"/>
    <w:rsid w:val="00C84258"/>
    <w:rPr>
      <w:rFonts w:ascii="MS Reference Sans Serif" w:hAnsi="MS Reference Sans Serif" w:cs="MS Reference Sans Serif"/>
      <w:i/>
      <w:iCs/>
      <w:noProof/>
      <w:spacing w:val="-10"/>
      <w:sz w:val="22"/>
      <w:szCs w:val="22"/>
    </w:rPr>
  </w:style>
  <w:style w:type="character" w:customStyle="1" w:styleId="Batang16pt-1ptGulim125pt1111101Tahoma10pt">
    <w:name w:val="Êîëîíòèòóë + Batang.16 pt.Èíòåðâàë -1 pt.Îñíîâíîé òåêñò + Gulim.12.5 pt1.Íå êóðñèâ1.Îñíîâíîé òåêñò (11) + 10.Ìàëûå ïðîïèñíûå1.Îñíîâíîé òåêñò + Tahoma.10 pt"/>
    <w:uiPriority w:val="99"/>
    <w:rsid w:val="00C84258"/>
    <w:rPr>
      <w:rFonts w:ascii="Batang" w:eastAsia="Batang" w:cs="Batang"/>
      <w:noProof/>
      <w:spacing w:val="-30"/>
      <w:sz w:val="32"/>
      <w:szCs w:val="32"/>
    </w:rPr>
  </w:style>
  <w:style w:type="character" w:customStyle="1" w:styleId="afffff">
    <w:name w:val="Êîëîíòèòóë_"/>
    <w:uiPriority w:val="99"/>
    <w:rsid w:val="00C84258"/>
    <w:rPr>
      <w:noProof/>
    </w:rPr>
  </w:style>
  <w:style w:type="character" w:customStyle="1" w:styleId="1095pt4">
    <w:name w:val="Îñíîâíîé òåêñò (10) + 9.5 pt4.Íå ìàëûå ïðîïèñíûå"/>
    <w:uiPriority w:val="99"/>
    <w:rsid w:val="00C84258"/>
    <w:rPr>
      <w:rFonts w:ascii="Microsoft Sans Serif" w:hAnsi="Microsoft Sans Serif" w:cs="Microsoft Sans Serif"/>
      <w:smallCaps/>
      <w:noProof/>
      <w:spacing w:val="0"/>
      <w:sz w:val="19"/>
      <w:szCs w:val="19"/>
    </w:rPr>
  </w:style>
  <w:style w:type="character" w:customStyle="1" w:styleId="108">
    <w:name w:val="Îñíîâíîé òåêñò (10)_"/>
    <w:uiPriority w:val="99"/>
    <w:rsid w:val="00C84258"/>
    <w:rPr>
      <w:rFonts w:ascii="Microsoft Sans Serif" w:hAnsi="Microsoft Sans Serif" w:cs="Microsoft Sans Serif"/>
      <w:smallCaps/>
      <w:sz w:val="17"/>
      <w:szCs w:val="17"/>
    </w:rPr>
  </w:style>
  <w:style w:type="character" w:customStyle="1" w:styleId="1185pt32">
    <w:name w:val="Îñíîâíîé òåêñò (11) + 8.5 pt3.Ìàëûå ïðîïèñíûå2"/>
    <w:uiPriority w:val="99"/>
    <w:rsid w:val="00C84258"/>
    <w:rPr>
      <w:rFonts w:ascii="Microsoft Sans Serif" w:hAnsi="Microsoft Sans Serif" w:cs="Microsoft Sans Serif"/>
      <w:i/>
      <w:iCs/>
      <w:smallCaps/>
      <w:sz w:val="17"/>
      <w:szCs w:val="17"/>
    </w:rPr>
  </w:style>
  <w:style w:type="character" w:customStyle="1" w:styleId="21pt1">
    <w:name w:val="Îñíîâíîé òåêñò (2) + Èíòåðâàë 1 pt1"/>
    <w:uiPriority w:val="99"/>
    <w:rsid w:val="00C84258"/>
    <w:rPr>
      <w:rFonts w:ascii="Microsoft Sans Serif" w:hAnsi="Microsoft Sans Serif" w:cs="Microsoft Sans Serif"/>
      <w:i/>
      <w:iCs/>
      <w:noProof/>
      <w:spacing w:val="30"/>
      <w:sz w:val="21"/>
      <w:szCs w:val="21"/>
    </w:rPr>
  </w:style>
  <w:style w:type="character" w:customStyle="1" w:styleId="2-1pt">
    <w:name w:val="Îñíîâíîé òåêñò (2) + Èíòåðâàë -1 pt"/>
    <w:uiPriority w:val="99"/>
    <w:rsid w:val="00C84258"/>
    <w:rPr>
      <w:rFonts w:ascii="Microsoft Sans Serif" w:hAnsi="Microsoft Sans Serif" w:cs="Microsoft Sans Serif"/>
      <w:i/>
      <w:iCs/>
      <w:noProof/>
      <w:spacing w:val="-20"/>
      <w:sz w:val="21"/>
      <w:szCs w:val="21"/>
    </w:rPr>
  </w:style>
  <w:style w:type="character" w:customStyle="1" w:styleId="TrebuchetMS155ptArialNarrow17Tahoma0pt1211">
    <w:name w:val="Êîëîíòèòóë + Trebuchet MS.15.5 pt.Êîëîíòèòóë + Arial Narrow.17.Êîëîíòèòóë + Tahoma.Èíòåðâàë 0 pt1.Îñíîâíîé òåêñò (2) + 11"/>
    <w:uiPriority w:val="99"/>
    <w:rsid w:val="00C84258"/>
    <w:rPr>
      <w:rFonts w:ascii="Trebuchet MS" w:hAnsi="Trebuchet MS" w:cs="Trebuchet MS"/>
      <w:noProof/>
      <w:sz w:val="31"/>
      <w:szCs w:val="31"/>
    </w:rPr>
  </w:style>
  <w:style w:type="character" w:customStyle="1" w:styleId="22pt">
    <w:name w:val="Îñíîâíîé òåêñò (2) + Èíòåðâàë 2 pt"/>
    <w:uiPriority w:val="99"/>
    <w:rsid w:val="00C84258"/>
    <w:rPr>
      <w:rFonts w:ascii="Tahoma" w:hAnsi="Tahoma" w:cs="Tahoma"/>
      <w:i/>
      <w:iCs/>
      <w:noProof/>
      <w:spacing w:val="40"/>
      <w:sz w:val="21"/>
      <w:szCs w:val="21"/>
    </w:rPr>
  </w:style>
  <w:style w:type="character" w:customStyle="1" w:styleId="1pt0">
    <w:name w:val="Îñíîâíîé òåêñò + Èíòåðâàë 1 pt"/>
    <w:uiPriority w:val="99"/>
    <w:rsid w:val="00C84258"/>
    <w:rPr>
      <w:rFonts w:ascii="Microsoft Sans Serif" w:hAnsi="Microsoft Sans Serif" w:cs="Microsoft Sans Serif"/>
      <w:i/>
      <w:iCs/>
      <w:spacing w:val="30"/>
      <w:sz w:val="21"/>
      <w:szCs w:val="21"/>
    </w:rPr>
  </w:style>
  <w:style w:type="character" w:customStyle="1" w:styleId="31pt">
    <w:name w:val="Îñíîâíîé òåêñò (3) + Èíòåðâàë 1 pt"/>
    <w:uiPriority w:val="99"/>
    <w:rsid w:val="00C84258"/>
    <w:rPr>
      <w:rFonts w:ascii="MS Reference Sans Serif" w:hAnsi="MS Reference Sans Serif" w:cs="MS Reference Sans Serif"/>
      <w:b/>
      <w:bCs/>
      <w:i/>
      <w:iCs/>
      <w:spacing w:val="20"/>
      <w:sz w:val="22"/>
      <w:szCs w:val="22"/>
    </w:rPr>
  </w:style>
  <w:style w:type="character" w:customStyle="1" w:styleId="3pt0">
    <w:name w:val="Îñíîâíîé òåêñò + Èíòåðâàë 3 pt"/>
    <w:uiPriority w:val="99"/>
    <w:rsid w:val="00C84258"/>
    <w:rPr>
      <w:rFonts w:ascii="Microsoft Sans Serif" w:hAnsi="Microsoft Sans Serif" w:cs="Microsoft Sans Serif"/>
      <w:i/>
      <w:iCs/>
      <w:spacing w:val="60"/>
      <w:sz w:val="21"/>
      <w:szCs w:val="21"/>
    </w:rPr>
  </w:style>
  <w:style w:type="character" w:customStyle="1" w:styleId="42pt">
    <w:name w:val="Îñíîâíîé òåêñò (4) + Èíòåðâàë 2 pt"/>
    <w:uiPriority w:val="99"/>
    <w:rsid w:val="00C84258"/>
    <w:rPr>
      <w:rFonts w:ascii="Tahoma" w:hAnsi="Tahoma" w:cs="Tahoma"/>
      <w:i/>
      <w:iCs/>
      <w:spacing w:val="50"/>
      <w:sz w:val="21"/>
      <w:szCs w:val="21"/>
    </w:rPr>
  </w:style>
  <w:style w:type="character" w:customStyle="1" w:styleId="4f">
    <w:name w:val="Îñíîâíîé òåêñò (4)_"/>
    <w:uiPriority w:val="99"/>
    <w:rsid w:val="00C84258"/>
    <w:rPr>
      <w:rFonts w:ascii="Microsoft Sans Serif" w:hAnsi="Microsoft Sans Serif" w:cs="Microsoft Sans Serif"/>
      <w:i/>
      <w:iCs/>
      <w:sz w:val="21"/>
      <w:szCs w:val="21"/>
    </w:rPr>
  </w:style>
  <w:style w:type="character" w:customStyle="1" w:styleId="FranklinGothicHeavy">
    <w:name w:val="Îñíîâíîé òåêñò + Franklin Gothic Heavy"/>
    <w:uiPriority w:val="99"/>
    <w:rsid w:val="00C84258"/>
    <w:rPr>
      <w:rFonts w:ascii="Franklin Gothic Heavy" w:hAnsi="Franklin Gothic Heavy" w:cs="Franklin Gothic Heavy"/>
      <w:spacing w:val="-10"/>
      <w:sz w:val="12"/>
      <w:szCs w:val="12"/>
    </w:rPr>
  </w:style>
  <w:style w:type="character" w:customStyle="1" w:styleId="Tahoma">
    <w:name w:val="Îñíîâíîé òåêñò + Tahoma.Ïîëóæèðíûé.Êóðñèâ"/>
    <w:uiPriority w:val="99"/>
    <w:rsid w:val="00C84258"/>
    <w:rPr>
      <w:rFonts w:ascii="Tahoma" w:hAnsi="Tahoma" w:cs="Tahoma"/>
      <w:b/>
      <w:bCs/>
      <w:i/>
      <w:iCs/>
      <w:spacing w:val="-10"/>
      <w:sz w:val="12"/>
      <w:szCs w:val="12"/>
      <w:lang w:val="en-US"/>
    </w:rPr>
  </w:style>
  <w:style w:type="character" w:customStyle="1" w:styleId="afffff0">
    <w:name w:val="Îñíîâíîé òåêñò + Ïîëóæèðíûé"/>
    <w:uiPriority w:val="99"/>
    <w:rsid w:val="00C84258"/>
    <w:rPr>
      <w:rFonts w:ascii="Trebuchet MS" w:hAnsi="Trebuchet MS" w:cs="Trebuchet MS"/>
      <w:b/>
      <w:bCs/>
      <w:spacing w:val="-10"/>
      <w:sz w:val="12"/>
      <w:szCs w:val="12"/>
    </w:rPr>
  </w:style>
  <w:style w:type="character" w:customStyle="1" w:styleId="CourierNew445pt">
    <w:name w:val="Îñíîâíîé òåêñò + Courier New.44.5 pt.Ïîëóæèðíûé"/>
    <w:uiPriority w:val="99"/>
    <w:rsid w:val="00C84258"/>
    <w:rPr>
      <w:rFonts w:ascii="Courier New" w:hAnsi="Courier New" w:cs="Courier New"/>
      <w:b/>
      <w:bCs/>
      <w:noProof/>
      <w:spacing w:val="-10"/>
      <w:sz w:val="89"/>
      <w:szCs w:val="89"/>
    </w:rPr>
  </w:style>
  <w:style w:type="character" w:customStyle="1" w:styleId="55pt21">
    <w:name w:val="Îñíîâíîé òåêñò + 5.5 pt2.Ïîëóæèðíûé1"/>
    <w:uiPriority w:val="99"/>
    <w:rsid w:val="00C84258"/>
    <w:rPr>
      <w:rFonts w:ascii="Tahoma" w:hAnsi="Tahoma" w:cs="Tahoma"/>
      <w:b/>
      <w:bCs/>
      <w:spacing w:val="-10"/>
      <w:sz w:val="11"/>
      <w:szCs w:val="11"/>
    </w:rPr>
  </w:style>
  <w:style w:type="character" w:customStyle="1" w:styleId="1f6">
    <w:name w:val="Îñíîâíîé òåêñò + Êóðñèâ1"/>
    <w:uiPriority w:val="99"/>
    <w:rsid w:val="00C84258"/>
    <w:rPr>
      <w:rFonts w:ascii="Arial" w:hAnsi="Arial" w:cs="Arial"/>
      <w:i/>
      <w:iCs/>
      <w:spacing w:val="-10"/>
      <w:sz w:val="17"/>
      <w:szCs w:val="17"/>
    </w:rPr>
  </w:style>
  <w:style w:type="character" w:customStyle="1" w:styleId="625pt720pt7">
    <w:name w:val="Îñíîâíîé òåêñò + 62.5 pt7.Ïîëóæèðíûé2.Èíòåðâàë 0 pt7"/>
    <w:uiPriority w:val="99"/>
    <w:rsid w:val="00C84258"/>
    <w:rPr>
      <w:rFonts w:ascii="Arial" w:hAnsi="Arial" w:cs="Arial"/>
      <w:b/>
      <w:bCs/>
      <w:spacing w:val="0"/>
      <w:sz w:val="13"/>
      <w:szCs w:val="13"/>
    </w:rPr>
  </w:style>
  <w:style w:type="character" w:customStyle="1" w:styleId="725pt6">
    <w:name w:val="Îñíîâíîé òåêñò + 72.5 pt6"/>
    <w:uiPriority w:val="99"/>
    <w:rsid w:val="00C84258"/>
    <w:rPr>
      <w:rFonts w:ascii="Arial" w:hAnsi="Arial" w:cs="Arial"/>
      <w:spacing w:val="-10"/>
      <w:sz w:val="15"/>
      <w:szCs w:val="15"/>
    </w:rPr>
  </w:style>
  <w:style w:type="character" w:customStyle="1" w:styleId="6pt0pt6">
    <w:name w:val="Îñíîâíîé òåêñò + 6 pt.Èíòåðâàë 0 pt6"/>
    <w:uiPriority w:val="99"/>
    <w:rsid w:val="00C84258"/>
    <w:rPr>
      <w:rFonts w:ascii="Arial" w:hAnsi="Arial" w:cs="Arial"/>
      <w:spacing w:val="0"/>
      <w:sz w:val="12"/>
      <w:szCs w:val="12"/>
    </w:rPr>
  </w:style>
  <w:style w:type="paragraph" w:customStyle="1" w:styleId="216">
    <w:name w:val="Ïîäïèñü ê êàðòèíêå (2)1"/>
    <w:basedOn w:val="a"/>
    <w:uiPriority w:val="99"/>
    <w:rsid w:val="00C84258"/>
    <w:pPr>
      <w:shd w:val="clear" w:color="auto" w:fill="FFFFFF"/>
      <w:autoSpaceDE w:val="0"/>
      <w:autoSpaceDN w:val="0"/>
      <w:adjustRightInd w:val="0"/>
      <w:spacing w:after="0" w:line="202" w:lineRule="exact"/>
    </w:pPr>
    <w:rPr>
      <w:rFonts w:ascii="Arial" w:hAnsi="Arial" w:cs="Arial"/>
      <w:i/>
      <w:iCs/>
      <w:noProof/>
      <w:spacing w:val="-10"/>
      <w:sz w:val="17"/>
      <w:szCs w:val="17"/>
      <w:lang w:val="en-US"/>
    </w:rPr>
  </w:style>
  <w:style w:type="character" w:customStyle="1" w:styleId="1f7">
    <w:name w:val="Îñíîâíîé òåêñò + Ìàëûå ïðîïèñíûå1"/>
    <w:uiPriority w:val="99"/>
    <w:rsid w:val="00C84258"/>
    <w:rPr>
      <w:rFonts w:ascii="Microsoft Sans Serif" w:hAnsi="Microsoft Sans Serif" w:cs="Microsoft Sans Serif"/>
      <w:smallCaps/>
      <w:spacing w:val="-10"/>
      <w:sz w:val="28"/>
      <w:szCs w:val="28"/>
    </w:rPr>
  </w:style>
  <w:style w:type="character" w:customStyle="1" w:styleId="FranklinGothicBook111pt11">
    <w:name w:val="Îñíîâíîé òåêñò + Franklin Gothic Book1.11 pt1.Ìàëûå ïðîïèñíûå1"/>
    <w:uiPriority w:val="99"/>
    <w:rsid w:val="00C84258"/>
    <w:rPr>
      <w:rFonts w:ascii="Franklin Gothic Book" w:hAnsi="Franklin Gothic Book" w:cs="Franklin Gothic Book"/>
      <w:smallCaps/>
      <w:spacing w:val="-10"/>
      <w:sz w:val="22"/>
      <w:szCs w:val="22"/>
    </w:rPr>
  </w:style>
  <w:style w:type="paragraph" w:customStyle="1" w:styleId="128">
    <w:name w:val="Çàãîëîâîê ¹12"/>
    <w:basedOn w:val="a"/>
    <w:uiPriority w:val="99"/>
    <w:rsid w:val="00C84258"/>
    <w:pPr>
      <w:shd w:val="clear" w:color="auto" w:fill="FFFFFF"/>
      <w:autoSpaceDE w:val="0"/>
      <w:autoSpaceDN w:val="0"/>
      <w:adjustRightInd w:val="0"/>
      <w:spacing w:after="0" w:line="240" w:lineRule="atLeast"/>
    </w:pPr>
    <w:rPr>
      <w:rFonts w:ascii="Microsoft Sans Serif" w:hAnsi="Microsoft Sans Serif" w:cs="Microsoft Sans Serif"/>
      <w:noProof/>
      <w:sz w:val="36"/>
      <w:szCs w:val="36"/>
      <w:lang w:val="en-US"/>
    </w:rPr>
  </w:style>
  <w:style w:type="character" w:customStyle="1" w:styleId="368">
    <w:name w:val="Îñíîâíîé òåêñò (36) + Íå êóðñèâ8"/>
    <w:uiPriority w:val="99"/>
    <w:rsid w:val="00C84258"/>
    <w:rPr>
      <w:rFonts w:ascii="Arial" w:hAnsi="Arial" w:cs="Arial"/>
      <w:spacing w:val="0"/>
      <w:sz w:val="8"/>
      <w:szCs w:val="8"/>
    </w:rPr>
  </w:style>
  <w:style w:type="paragraph" w:customStyle="1" w:styleId="361">
    <w:name w:val="Îñíîâíîé òåêñò (36)"/>
    <w:basedOn w:val="a"/>
    <w:uiPriority w:val="99"/>
    <w:rsid w:val="00C84258"/>
    <w:pPr>
      <w:shd w:val="clear" w:color="auto" w:fill="FFFFFF"/>
      <w:autoSpaceDE w:val="0"/>
      <w:autoSpaceDN w:val="0"/>
      <w:adjustRightInd w:val="0"/>
      <w:spacing w:after="0" w:line="106" w:lineRule="exact"/>
      <w:jc w:val="both"/>
    </w:pPr>
    <w:rPr>
      <w:rFonts w:ascii="Arial" w:hAnsi="Arial" w:cs="Arial"/>
      <w:i/>
      <w:iCs/>
      <w:sz w:val="8"/>
      <w:szCs w:val="8"/>
    </w:rPr>
  </w:style>
  <w:style w:type="paragraph" w:customStyle="1" w:styleId="129">
    <w:name w:val="Îñíîâíîé òåêñò (12)"/>
    <w:basedOn w:val="a"/>
    <w:uiPriority w:val="99"/>
    <w:rsid w:val="00C84258"/>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6a">
    <w:name w:val="Основной текст (6)"/>
    <w:basedOn w:val="a"/>
    <w:link w:val="6b"/>
    <w:uiPriority w:val="99"/>
    <w:rsid w:val="001266A9"/>
    <w:pPr>
      <w:shd w:val="clear" w:color="auto" w:fill="FFFFFF"/>
      <w:overflowPunct w:val="0"/>
      <w:autoSpaceDE w:val="0"/>
      <w:autoSpaceDN w:val="0"/>
      <w:adjustRightInd w:val="0"/>
      <w:spacing w:before="4980" w:after="0" w:line="252" w:lineRule="exact"/>
      <w:jc w:val="both"/>
      <w:textAlignment w:val="baseline"/>
    </w:pPr>
    <w:rPr>
      <w:rFonts w:eastAsia="Times New Roman"/>
      <w:sz w:val="24"/>
      <w:szCs w:val="20"/>
      <w:lang w:eastAsia="ru-RU"/>
    </w:rPr>
  </w:style>
  <w:style w:type="character" w:customStyle="1" w:styleId="6b">
    <w:name w:val="Основной текст (6)_"/>
    <w:link w:val="6a"/>
    <w:uiPriority w:val="99"/>
    <w:rsid w:val="001266A9"/>
    <w:rPr>
      <w:rFonts w:ascii="Calibri" w:eastAsia="Times New Roman" w:hAnsi="Calibri" w:cs="Times New Roman"/>
      <w:sz w:val="24"/>
      <w:szCs w:val="20"/>
      <w:shd w:val="clear" w:color="auto" w:fill="FFFFFF"/>
      <w:lang w:eastAsia="ru-RU"/>
    </w:rPr>
  </w:style>
  <w:style w:type="paragraph" w:customStyle="1" w:styleId="95">
    <w:name w:val="Основной текст9"/>
    <w:basedOn w:val="a"/>
    <w:rsid w:val="00AC5101"/>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character" w:customStyle="1" w:styleId="40">
    <w:name w:val="Заголовок 4 Знак"/>
    <w:link w:val="4"/>
    <w:uiPriority w:val="9"/>
    <w:rsid w:val="00AC5101"/>
    <w:rPr>
      <w:rFonts w:ascii="Cambria" w:eastAsia="Times New Roman" w:hAnsi="Cambria" w:cs="Times New Roman"/>
      <w:i/>
      <w:iCs/>
      <w:color w:val="365F91"/>
      <w:sz w:val="20"/>
      <w:szCs w:val="20"/>
      <w:lang w:eastAsia="ru-RU"/>
    </w:rPr>
  </w:style>
  <w:style w:type="table" w:styleId="afffff1">
    <w:name w:val="Table Grid"/>
    <w:basedOn w:val="a1"/>
    <w:uiPriority w:val="99"/>
    <w:rsid w:val="00AC5101"/>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link w:val="2"/>
    <w:uiPriority w:val="9"/>
    <w:rsid w:val="000048F9"/>
    <w:rPr>
      <w:rFonts w:ascii="Cambria" w:eastAsia="Times New Roman" w:hAnsi="Cambria" w:cs="Times New Roman"/>
      <w:color w:val="365F91"/>
      <w:sz w:val="26"/>
      <w:szCs w:val="26"/>
      <w:lang w:eastAsia="ru-RU"/>
    </w:rPr>
  </w:style>
  <w:style w:type="paragraph" w:customStyle="1" w:styleId="86">
    <w:name w:val="Основной текст8"/>
    <w:basedOn w:val="a"/>
    <w:rsid w:val="002E357C"/>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sz w:val="26"/>
      <w:szCs w:val="20"/>
      <w:lang w:eastAsia="ru-RU"/>
    </w:rPr>
  </w:style>
  <w:style w:type="character" w:customStyle="1" w:styleId="BookmanOldStyle">
    <w:name w:val="Основной текст + Bookman Old Style"/>
    <w:rsid w:val="005119DD"/>
    <w:rPr>
      <w:rFonts w:ascii="Bookman Old Style" w:hAnsi="Bookman Old Style"/>
      <w:spacing w:val="-10"/>
      <w:sz w:val="13"/>
    </w:rPr>
  </w:style>
  <w:style w:type="character" w:customStyle="1" w:styleId="11b">
    <w:name w:val="Основной текст + Курсив11"/>
    <w:uiPriority w:val="99"/>
    <w:rsid w:val="00991EA1"/>
    <w:rPr>
      <w:rFonts w:ascii="Arial Narrow" w:hAnsi="Arial Narrow" w:cs="Arial Narrow"/>
      <w:i/>
      <w:iCs/>
      <w:spacing w:val="0"/>
      <w:sz w:val="17"/>
      <w:szCs w:val="17"/>
    </w:rPr>
  </w:style>
  <w:style w:type="character" w:customStyle="1" w:styleId="3b">
    <w:name w:val="Заголовок №3_"/>
    <w:link w:val="3a"/>
    <w:rsid w:val="00021976"/>
    <w:rPr>
      <w:rFonts w:ascii="Times New Roman" w:hAnsi="Times New Roman" w:cs="Times New Roman"/>
      <w:spacing w:val="40"/>
      <w:sz w:val="52"/>
      <w:szCs w:val="52"/>
      <w:shd w:val="clear" w:color="auto" w:fill="FFFFFF"/>
    </w:rPr>
  </w:style>
  <w:style w:type="character" w:customStyle="1" w:styleId="aff2">
    <w:name w:val="Подпись к таблице_"/>
    <w:link w:val="aff1"/>
    <w:rsid w:val="00B401CF"/>
    <w:rPr>
      <w:rFonts w:ascii="Arial Narrow" w:hAnsi="Arial Narrow" w:cs="Arial Narrow"/>
      <w:i/>
      <w:iCs/>
      <w:noProof/>
      <w:sz w:val="20"/>
      <w:szCs w:val="20"/>
      <w:shd w:val="clear" w:color="auto" w:fill="FFFFFF"/>
      <w:lang w:val="en-US"/>
    </w:rPr>
  </w:style>
  <w:style w:type="paragraph" w:customStyle="1" w:styleId="109">
    <w:name w:val="Основной текст (10)"/>
    <w:basedOn w:val="a"/>
    <w:link w:val="10a"/>
    <w:uiPriority w:val="99"/>
    <w:rsid w:val="00B401CF"/>
    <w:pPr>
      <w:shd w:val="clear" w:color="auto" w:fill="FFFFFF"/>
      <w:overflowPunct w:val="0"/>
      <w:autoSpaceDE w:val="0"/>
      <w:autoSpaceDN w:val="0"/>
      <w:adjustRightInd w:val="0"/>
      <w:spacing w:after="0" w:line="192" w:lineRule="exact"/>
      <w:textAlignment w:val="baseline"/>
    </w:pPr>
    <w:rPr>
      <w:rFonts w:ascii="Arial" w:eastAsia="Times New Roman" w:hAnsi="Arial"/>
      <w:sz w:val="11"/>
      <w:szCs w:val="20"/>
      <w:lang w:eastAsia="ru-RU"/>
    </w:rPr>
  </w:style>
  <w:style w:type="character" w:customStyle="1" w:styleId="10a">
    <w:name w:val="Основной текст (10)_"/>
    <w:link w:val="109"/>
    <w:uiPriority w:val="99"/>
    <w:rsid w:val="00B401CF"/>
    <w:rPr>
      <w:rFonts w:ascii="Arial" w:eastAsia="Times New Roman" w:hAnsi="Arial" w:cs="Times New Roman"/>
      <w:sz w:val="11"/>
      <w:szCs w:val="20"/>
      <w:shd w:val="clear" w:color="auto" w:fill="FFFFFF"/>
      <w:lang w:eastAsia="ru-RU"/>
    </w:rPr>
  </w:style>
  <w:style w:type="character" w:customStyle="1" w:styleId="183">
    <w:name w:val="Основной текст (18)_"/>
    <w:link w:val="182"/>
    <w:uiPriority w:val="99"/>
    <w:rsid w:val="00B401CF"/>
    <w:rPr>
      <w:rFonts w:ascii="Arial" w:hAnsi="Arial" w:cs="Arial"/>
      <w:sz w:val="24"/>
      <w:szCs w:val="24"/>
      <w:shd w:val="clear" w:color="auto" w:fill="FFFFFF"/>
    </w:rPr>
  </w:style>
  <w:style w:type="paragraph" w:customStyle="1" w:styleId="207">
    <w:name w:val="Основной текст (20)"/>
    <w:basedOn w:val="a"/>
    <w:rsid w:val="00B401CF"/>
    <w:pPr>
      <w:shd w:val="clear" w:color="auto" w:fill="FFFFFF"/>
      <w:overflowPunct w:val="0"/>
      <w:autoSpaceDE w:val="0"/>
      <w:autoSpaceDN w:val="0"/>
      <w:adjustRightInd w:val="0"/>
      <w:spacing w:after="0" w:line="240" w:lineRule="atLeast"/>
      <w:textAlignment w:val="baseline"/>
    </w:pPr>
    <w:rPr>
      <w:rFonts w:ascii="Arial Narrow" w:eastAsia="Times New Roman" w:hAnsi="Arial Narrow"/>
      <w:sz w:val="12"/>
      <w:szCs w:val="20"/>
      <w:lang w:eastAsia="ru-RU"/>
    </w:rPr>
  </w:style>
  <w:style w:type="paragraph" w:customStyle="1" w:styleId="172">
    <w:name w:val="Основной текст (17)"/>
    <w:basedOn w:val="a"/>
    <w:link w:val="173"/>
    <w:uiPriority w:val="99"/>
    <w:rsid w:val="00B401CF"/>
    <w:pPr>
      <w:shd w:val="clear" w:color="auto" w:fill="FFFFFF"/>
      <w:overflowPunct w:val="0"/>
      <w:autoSpaceDE w:val="0"/>
      <w:autoSpaceDN w:val="0"/>
      <w:adjustRightInd w:val="0"/>
      <w:spacing w:before="120" w:after="300" w:line="240" w:lineRule="atLeast"/>
      <w:jc w:val="both"/>
      <w:textAlignment w:val="baseline"/>
    </w:pPr>
    <w:rPr>
      <w:rFonts w:ascii="Arial Narrow" w:eastAsia="Times New Roman" w:hAnsi="Arial Narrow"/>
      <w:sz w:val="35"/>
      <w:szCs w:val="20"/>
      <w:lang w:eastAsia="ru-RU"/>
    </w:rPr>
  </w:style>
  <w:style w:type="paragraph" w:customStyle="1" w:styleId="192">
    <w:name w:val="Основной текст (19)"/>
    <w:basedOn w:val="a"/>
    <w:link w:val="193"/>
    <w:uiPriority w:val="99"/>
    <w:rsid w:val="00B401CF"/>
    <w:pPr>
      <w:shd w:val="clear" w:color="auto" w:fill="FFFFFF"/>
      <w:overflowPunct w:val="0"/>
      <w:autoSpaceDE w:val="0"/>
      <w:autoSpaceDN w:val="0"/>
      <w:adjustRightInd w:val="0"/>
      <w:spacing w:after="0" w:line="240" w:lineRule="atLeast"/>
      <w:textAlignment w:val="baseline"/>
    </w:pPr>
    <w:rPr>
      <w:rFonts w:ascii="Arial" w:eastAsia="Times New Roman" w:hAnsi="Arial"/>
      <w:sz w:val="33"/>
      <w:szCs w:val="20"/>
      <w:lang w:eastAsia="ru-RU"/>
    </w:rPr>
  </w:style>
  <w:style w:type="character" w:customStyle="1" w:styleId="1pt1">
    <w:name w:val="Подпись к таблице + Интервал 1 pt"/>
    <w:rsid w:val="00B401CF"/>
    <w:rPr>
      <w:rFonts w:ascii="Times New Roman" w:hAnsi="Times New Roman"/>
      <w:noProof w:val="0"/>
      <w:spacing w:val="20"/>
      <w:sz w:val="14"/>
      <w:lang w:val="en-US"/>
    </w:rPr>
  </w:style>
  <w:style w:type="paragraph" w:customStyle="1" w:styleId="217">
    <w:name w:val="Основной текст (21)"/>
    <w:basedOn w:val="a"/>
    <w:link w:val="218"/>
    <w:rsid w:val="00B401CF"/>
    <w:pPr>
      <w:shd w:val="clear" w:color="auto" w:fill="FFFFFF"/>
      <w:overflowPunct w:val="0"/>
      <w:autoSpaceDE w:val="0"/>
      <w:autoSpaceDN w:val="0"/>
      <w:adjustRightInd w:val="0"/>
      <w:spacing w:after="60" w:line="240" w:lineRule="atLeast"/>
      <w:textAlignment w:val="baseline"/>
    </w:pPr>
    <w:rPr>
      <w:rFonts w:eastAsia="Times New Roman"/>
      <w:sz w:val="16"/>
      <w:szCs w:val="20"/>
      <w:lang w:eastAsia="ru-RU"/>
    </w:rPr>
  </w:style>
  <w:style w:type="character" w:customStyle="1" w:styleId="ArialUnicodeMS">
    <w:name w:val="Основной текст + Arial Unicode MS"/>
    <w:rsid w:val="00B401CF"/>
    <w:rPr>
      <w:rFonts w:ascii="Arial Unicode MS" w:eastAsia="Arial Unicode MS"/>
      <w:b/>
      <w:spacing w:val="0"/>
      <w:sz w:val="16"/>
    </w:rPr>
  </w:style>
  <w:style w:type="character" w:customStyle="1" w:styleId="193">
    <w:name w:val="Основной текст (19)_"/>
    <w:link w:val="192"/>
    <w:uiPriority w:val="99"/>
    <w:rsid w:val="00B401CF"/>
    <w:rPr>
      <w:rFonts w:ascii="Arial" w:eastAsia="Times New Roman" w:hAnsi="Arial" w:cs="Times New Roman"/>
      <w:sz w:val="33"/>
      <w:szCs w:val="20"/>
      <w:shd w:val="clear" w:color="auto" w:fill="FFFFFF"/>
      <w:lang w:eastAsia="ru-RU"/>
    </w:rPr>
  </w:style>
  <w:style w:type="character" w:customStyle="1" w:styleId="218">
    <w:name w:val="Основной текст (21)_"/>
    <w:link w:val="217"/>
    <w:rsid w:val="00B401CF"/>
    <w:rPr>
      <w:rFonts w:ascii="Calibri" w:eastAsia="Times New Roman" w:hAnsi="Calibri" w:cs="Times New Roman"/>
      <w:sz w:val="16"/>
      <w:szCs w:val="20"/>
      <w:shd w:val="clear" w:color="auto" w:fill="FFFFFF"/>
      <w:lang w:eastAsia="ru-RU"/>
    </w:rPr>
  </w:style>
  <w:style w:type="character" w:customStyle="1" w:styleId="173">
    <w:name w:val="Основной текст (17)_"/>
    <w:link w:val="172"/>
    <w:uiPriority w:val="99"/>
    <w:rsid w:val="00B401CF"/>
    <w:rPr>
      <w:rFonts w:ascii="Arial Narrow" w:eastAsia="Times New Roman" w:hAnsi="Arial Narrow" w:cs="Times New Roman"/>
      <w:sz w:val="35"/>
      <w:szCs w:val="20"/>
      <w:shd w:val="clear" w:color="auto" w:fill="FFFFFF"/>
      <w:lang w:eastAsia="ru-RU"/>
    </w:rPr>
  </w:style>
  <w:style w:type="character" w:customStyle="1" w:styleId="aff4">
    <w:name w:val="Сноска_"/>
    <w:link w:val="aff3"/>
    <w:uiPriority w:val="99"/>
    <w:rsid w:val="00555B88"/>
    <w:rPr>
      <w:rFonts w:ascii="Lucida Sans Unicode" w:hAnsi="Lucida Sans Unicode" w:cs="Lucida Sans Unicode"/>
      <w:i/>
      <w:iCs/>
      <w:noProof/>
      <w:sz w:val="13"/>
      <w:szCs w:val="13"/>
      <w:shd w:val="clear" w:color="auto" w:fill="FFFFFF"/>
      <w:lang w:val="en-US"/>
    </w:rPr>
  </w:style>
  <w:style w:type="character" w:customStyle="1" w:styleId="ArialNarrow-1pt">
    <w:name w:val="Основной текст + Arial Narrow;Полужирный;Интервал -1 pt"/>
    <w:rsid w:val="00113EE2"/>
    <w:rPr>
      <w:rFonts w:ascii="Arial Narrow" w:eastAsia="Arial Narrow" w:hAnsi="Arial Narrow" w:cs="Arial Narrow"/>
      <w:b/>
      <w:bCs/>
      <w:i w:val="0"/>
      <w:iCs w:val="0"/>
      <w:smallCaps w:val="0"/>
      <w:strike w:val="0"/>
      <w:spacing w:val="-20"/>
      <w:sz w:val="17"/>
      <w:szCs w:val="17"/>
      <w:shd w:val="clear" w:color="auto" w:fill="FFFFFF"/>
    </w:rPr>
  </w:style>
  <w:style w:type="character" w:customStyle="1" w:styleId="ArialNarrow75pt">
    <w:name w:val="Основной текст + Arial Narrow;7;5 pt"/>
    <w:rsid w:val="002F5AD4"/>
    <w:rPr>
      <w:rFonts w:ascii="Arial Narrow" w:eastAsia="Arial Narrow" w:hAnsi="Arial Narrow" w:cs="Arial Narrow"/>
      <w:b w:val="0"/>
      <w:bCs w:val="0"/>
      <w:i w:val="0"/>
      <w:iCs w:val="0"/>
      <w:smallCaps w:val="0"/>
      <w:strike w:val="0"/>
      <w:spacing w:val="0"/>
      <w:sz w:val="15"/>
      <w:szCs w:val="15"/>
      <w:shd w:val="clear" w:color="auto" w:fill="FFFFFF"/>
    </w:rPr>
  </w:style>
  <w:style w:type="character" w:customStyle="1" w:styleId="2fa">
    <w:name w:val="Основной текст (2) + Не курсив"/>
    <w:rsid w:val="002F5AD4"/>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mfont1">
    <w:name w:val="mfont1"/>
    <w:basedOn w:val="a0"/>
    <w:rsid w:val="002F5AD4"/>
  </w:style>
  <w:style w:type="character" w:customStyle="1" w:styleId="FranklinGothicMedium95pt-1pt">
    <w:name w:val="Основной текст + Franklin Gothic Medium;9;5 pt;Полужирный;Интервал -1 pt"/>
    <w:rsid w:val="002B532A"/>
    <w:rPr>
      <w:rFonts w:ascii="Franklin Gothic Medium" w:eastAsia="Franklin Gothic Medium" w:hAnsi="Franklin Gothic Medium" w:cs="Franklin Gothic Medium"/>
      <w:b/>
      <w:bCs/>
      <w:i w:val="0"/>
      <w:iCs w:val="0"/>
      <w:smallCaps w:val="0"/>
      <w:strike w:val="0"/>
      <w:spacing w:val="-20"/>
      <w:sz w:val="19"/>
      <w:szCs w:val="19"/>
      <w:shd w:val="clear" w:color="auto" w:fill="FFFFFF"/>
    </w:rPr>
  </w:style>
  <w:style w:type="character" w:customStyle="1" w:styleId="46">
    <w:name w:val="Основной текст (4)_"/>
    <w:link w:val="45"/>
    <w:rsid w:val="002B532A"/>
    <w:rPr>
      <w:rFonts w:ascii="Gungsuh" w:eastAsia="Gungsuh" w:hAnsi="Times New Roman" w:cs="Gungsuh"/>
      <w:sz w:val="13"/>
      <w:szCs w:val="13"/>
      <w:shd w:val="clear" w:color="auto" w:fill="FFFFFF"/>
    </w:rPr>
  </w:style>
  <w:style w:type="character" w:customStyle="1" w:styleId="35">
    <w:name w:val="Основной текст (3)_"/>
    <w:link w:val="34"/>
    <w:rsid w:val="002B532A"/>
    <w:rPr>
      <w:rFonts w:ascii="Gungsuh" w:eastAsia="Gungsuh" w:hAnsi="Times New Roman" w:cs="Gungsuh"/>
      <w:spacing w:val="20"/>
      <w:sz w:val="35"/>
      <w:szCs w:val="35"/>
      <w:shd w:val="clear" w:color="auto" w:fill="FFFFFF"/>
    </w:rPr>
  </w:style>
  <w:style w:type="character" w:customStyle="1" w:styleId="2fb">
    <w:name w:val="Заголовок №2_"/>
    <w:rsid w:val="002B532A"/>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1f8">
    <w:name w:val="Основной текст + Малые прописные1"/>
    <w:uiPriority w:val="99"/>
    <w:rsid w:val="00123FBA"/>
    <w:rPr>
      <w:rFonts w:ascii="Arial Narrow" w:hAnsi="Arial Narrow" w:cs="Arial Narrow"/>
      <w:smallCaps/>
      <w:spacing w:val="0"/>
      <w:w w:val="100"/>
      <w:sz w:val="17"/>
      <w:szCs w:val="17"/>
      <w:shd w:val="clear" w:color="auto" w:fill="FFFFFF"/>
    </w:rPr>
  </w:style>
  <w:style w:type="paragraph" w:customStyle="1" w:styleId="134">
    <w:name w:val="Основной текст (13)"/>
    <w:basedOn w:val="a"/>
    <w:link w:val="135"/>
    <w:rsid w:val="00123FBA"/>
    <w:pPr>
      <w:shd w:val="clear" w:color="auto" w:fill="FFFFFF"/>
      <w:overflowPunct w:val="0"/>
      <w:autoSpaceDE w:val="0"/>
      <w:autoSpaceDN w:val="0"/>
      <w:adjustRightInd w:val="0"/>
      <w:spacing w:after="0" w:line="240" w:lineRule="atLeast"/>
      <w:textAlignment w:val="baseline"/>
    </w:pPr>
    <w:rPr>
      <w:rFonts w:ascii="Arial" w:eastAsia="Times New Roman" w:hAnsi="Arial"/>
      <w:sz w:val="36"/>
      <w:szCs w:val="20"/>
      <w:lang w:eastAsia="ru-RU"/>
    </w:rPr>
  </w:style>
  <w:style w:type="character" w:customStyle="1" w:styleId="135">
    <w:name w:val="Основной текст (13)_"/>
    <w:link w:val="134"/>
    <w:rsid w:val="00123FBA"/>
    <w:rPr>
      <w:rFonts w:ascii="Arial" w:eastAsia="Times New Roman" w:hAnsi="Arial" w:cs="Times New Roman"/>
      <w:sz w:val="36"/>
      <w:szCs w:val="20"/>
      <w:shd w:val="clear" w:color="auto" w:fill="FFFFFF"/>
      <w:lang w:eastAsia="ru-RU"/>
    </w:rPr>
  </w:style>
  <w:style w:type="character" w:customStyle="1" w:styleId="73">
    <w:name w:val="Основной текст (7)_"/>
    <w:link w:val="72"/>
    <w:rsid w:val="00123FBA"/>
    <w:rPr>
      <w:rFonts w:ascii="Arial Unicode MS" w:eastAsia="Arial Unicode MS" w:hAnsi="Times New Roman" w:cs="Arial Unicode MS"/>
      <w:spacing w:val="20"/>
      <w:sz w:val="25"/>
      <w:szCs w:val="25"/>
      <w:shd w:val="clear" w:color="auto" w:fill="FFFFFF"/>
    </w:rPr>
  </w:style>
  <w:style w:type="character" w:customStyle="1" w:styleId="7e">
    <w:name w:val="Основной текст (7) + Не курсив"/>
    <w:rsid w:val="00E01B76"/>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ucoz-forum-post">
    <w:name w:val="ucoz-forum-post"/>
    <w:rsid w:val="004F67B9"/>
  </w:style>
  <w:style w:type="paragraph" w:customStyle="1" w:styleId="book">
    <w:name w:val="book"/>
    <w:basedOn w:val="a"/>
    <w:rsid w:val="004F67B9"/>
    <w:pPr>
      <w:spacing w:after="0" w:line="240" w:lineRule="auto"/>
      <w:ind w:firstLine="300"/>
    </w:pPr>
    <w:rPr>
      <w:rFonts w:ascii="Times New Roman" w:eastAsia="Times New Roman" w:hAnsi="Times New Roman"/>
      <w:sz w:val="24"/>
      <w:szCs w:val="24"/>
      <w:lang w:eastAsia="ru-RU"/>
    </w:rPr>
  </w:style>
  <w:style w:type="character" w:customStyle="1" w:styleId="911">
    <w:name w:val="Основной текст + 91"/>
    <w:aliases w:val="5 pt3,Полужирный8,Интервал 0 pt6,Основной текст + 10 pt3,Интервал -1 pt15,Основной текст (5) + Не курсив1,Основной текст + 20,Основной текст (2) + 71"/>
    <w:uiPriority w:val="99"/>
    <w:rsid w:val="003A63E9"/>
    <w:rPr>
      <w:rFonts w:ascii="Arial Narrow" w:hAnsi="Arial Narrow" w:cs="Arial Narrow"/>
      <w:b/>
      <w:bCs/>
      <w:spacing w:val="-10"/>
      <w:sz w:val="19"/>
      <w:szCs w:val="19"/>
      <w:shd w:val="clear" w:color="auto" w:fill="FFFFFF"/>
    </w:rPr>
  </w:style>
  <w:style w:type="character" w:customStyle="1" w:styleId="3f9">
    <w:name w:val="Основной текст + Полужирный3"/>
    <w:uiPriority w:val="99"/>
    <w:rsid w:val="003A63E9"/>
    <w:rPr>
      <w:rFonts w:ascii="Arial Narrow" w:hAnsi="Arial Narrow" w:cs="Arial Narrow"/>
      <w:b/>
      <w:bCs/>
      <w:spacing w:val="0"/>
      <w:sz w:val="18"/>
      <w:szCs w:val="18"/>
      <w:shd w:val="clear" w:color="auto" w:fill="FFFFFF"/>
    </w:rPr>
  </w:style>
  <w:style w:type="character" w:customStyle="1" w:styleId="2fc">
    <w:name w:val="Основной текст + Полужирный2"/>
    <w:uiPriority w:val="99"/>
    <w:rsid w:val="003A63E9"/>
    <w:rPr>
      <w:rFonts w:ascii="Arial Narrow" w:hAnsi="Arial Narrow" w:cs="Arial Narrow"/>
      <w:b/>
      <w:bCs/>
      <w:spacing w:val="0"/>
      <w:sz w:val="18"/>
      <w:szCs w:val="18"/>
      <w:shd w:val="clear" w:color="auto" w:fill="FFFFFF"/>
    </w:rPr>
  </w:style>
  <w:style w:type="character" w:customStyle="1" w:styleId="9pt0">
    <w:name w:val="Основной текст + 9 pt;Полужирный"/>
    <w:rsid w:val="00592CF5"/>
    <w:rPr>
      <w:rFonts w:ascii="Century Gothic" w:eastAsia="Century Gothic" w:hAnsi="Century Gothic" w:cs="Century Gothic"/>
      <w:b/>
      <w:bCs/>
      <w:i w:val="0"/>
      <w:iCs w:val="0"/>
      <w:smallCaps w:val="0"/>
      <w:strike w:val="0"/>
      <w:spacing w:val="0"/>
      <w:sz w:val="18"/>
      <w:szCs w:val="18"/>
      <w:shd w:val="clear" w:color="auto" w:fill="FFFFFF"/>
    </w:rPr>
  </w:style>
  <w:style w:type="character" w:customStyle="1" w:styleId="ArialNarrow105pt">
    <w:name w:val="Основной текст + Arial Narrow;10;5 pt;Полужирный"/>
    <w:rsid w:val="00592CF5"/>
    <w:rPr>
      <w:rFonts w:ascii="Arial Narrow" w:eastAsia="Arial Narrow" w:hAnsi="Arial Narrow" w:cs="Arial Narrow"/>
      <w:b/>
      <w:bCs/>
      <w:i w:val="0"/>
      <w:iCs w:val="0"/>
      <w:smallCaps w:val="0"/>
      <w:strike w:val="0"/>
      <w:spacing w:val="0"/>
      <w:sz w:val="21"/>
      <w:szCs w:val="21"/>
      <w:shd w:val="clear" w:color="auto" w:fill="FFFFFF"/>
    </w:rPr>
  </w:style>
  <w:style w:type="character" w:customStyle="1" w:styleId="2a">
    <w:name w:val="Основной текст (2)_"/>
    <w:link w:val="28"/>
    <w:locked/>
    <w:rsid w:val="00347FDC"/>
    <w:rPr>
      <w:rFonts w:ascii="Segoe UI" w:hAnsi="Segoe UI" w:cs="Segoe UI"/>
      <w:sz w:val="13"/>
      <w:szCs w:val="13"/>
      <w:shd w:val="clear" w:color="auto" w:fill="FFFFFF"/>
      <w:lang w:eastAsia="en-US"/>
    </w:rPr>
  </w:style>
  <w:style w:type="character" w:customStyle="1" w:styleId="21pt0">
    <w:name w:val="Основной текст (2) + Интервал 1 pt"/>
    <w:rsid w:val="00347FDC"/>
    <w:rPr>
      <w:rFonts w:ascii="Times New Roman" w:hAnsi="Times New Roman" w:cs="Times New Roman"/>
      <w:b w:val="0"/>
      <w:bCs w:val="0"/>
      <w:spacing w:val="20"/>
      <w:sz w:val="20"/>
      <w:szCs w:val="20"/>
      <w:shd w:val="clear" w:color="auto" w:fill="FFFFFF"/>
    </w:rPr>
  </w:style>
  <w:style w:type="character" w:customStyle="1" w:styleId="24pt">
    <w:name w:val="Основной текст + 24 pt;Полужирный"/>
    <w:rsid w:val="00157BCE"/>
    <w:rPr>
      <w:rFonts w:ascii="Arial Narrow" w:eastAsia="Arial Narrow" w:hAnsi="Arial Narrow" w:cs="Arial Narrow"/>
      <w:b/>
      <w:bCs/>
      <w:i w:val="0"/>
      <w:iCs w:val="0"/>
      <w:smallCaps w:val="0"/>
      <w:strike w:val="0"/>
      <w:spacing w:val="0"/>
      <w:sz w:val="48"/>
      <w:szCs w:val="48"/>
      <w:shd w:val="clear" w:color="auto" w:fill="FFFFFF"/>
    </w:rPr>
  </w:style>
  <w:style w:type="paragraph" w:customStyle="1" w:styleId="afffff2">
    <w:name w:val="Содержимое таблицы"/>
    <w:basedOn w:val="a"/>
    <w:rsid w:val="00B51AAB"/>
    <w:pPr>
      <w:widowControl w:val="0"/>
      <w:suppressLineNumbers/>
      <w:suppressAutoHyphens/>
      <w:spacing w:after="0" w:line="240" w:lineRule="auto"/>
    </w:pPr>
    <w:rPr>
      <w:rFonts w:ascii="Arial" w:eastAsia="Arial Unicode MS" w:hAnsi="Arial" w:cs="Tahoma"/>
      <w:kern w:val="2"/>
      <w:sz w:val="20"/>
      <w:szCs w:val="24"/>
      <w:lang w:eastAsia="ru-RU"/>
    </w:rPr>
  </w:style>
  <w:style w:type="character" w:customStyle="1" w:styleId="4f0">
    <w:name w:val="Основной текст (4) + Не курсив"/>
    <w:rsid w:val="00E53102"/>
    <w:rPr>
      <w:rFonts w:ascii="Arial Narrow" w:eastAsia="Arial Narrow" w:hAnsi="Arial Narrow" w:cs="Arial Narrow"/>
      <w:i/>
      <w:iCs/>
      <w:sz w:val="18"/>
      <w:szCs w:val="18"/>
      <w:shd w:val="clear" w:color="auto" w:fill="FFFFFF"/>
    </w:rPr>
  </w:style>
  <w:style w:type="character" w:customStyle="1" w:styleId="380">
    <w:name w:val="Основной текст + Курсив38"/>
    <w:uiPriority w:val="99"/>
    <w:rsid w:val="00196377"/>
    <w:rPr>
      <w:rFonts w:ascii="Arial Narrow" w:hAnsi="Arial Narrow" w:cs="Arial Narrow"/>
      <w:i/>
      <w:iCs/>
      <w:sz w:val="18"/>
      <w:szCs w:val="18"/>
      <w:shd w:val="clear" w:color="auto" w:fill="FFFFFF"/>
    </w:rPr>
  </w:style>
  <w:style w:type="character" w:customStyle="1" w:styleId="362">
    <w:name w:val="Основной текст + Курсив36"/>
    <w:uiPriority w:val="99"/>
    <w:rsid w:val="00196377"/>
    <w:rPr>
      <w:rFonts w:ascii="Arial Narrow" w:hAnsi="Arial Narrow" w:cs="Arial Narrow"/>
      <w:i/>
      <w:iCs/>
      <w:sz w:val="18"/>
      <w:szCs w:val="18"/>
      <w:shd w:val="clear" w:color="auto" w:fill="FFFFFF"/>
    </w:rPr>
  </w:style>
  <w:style w:type="character" w:customStyle="1" w:styleId="BodytextBoldItalic">
    <w:name w:val="Body text + Bold;Italic"/>
    <w:rsid w:val="008C56B3"/>
    <w:rPr>
      <w:rFonts w:ascii="Times New Roman" w:eastAsia="Times New Roman" w:hAnsi="Times New Roman" w:cs="Times New Roman"/>
      <w:b/>
      <w:bCs/>
      <w:i/>
      <w:iCs/>
      <w:smallCaps w:val="0"/>
      <w:strike w:val="0"/>
      <w:spacing w:val="0"/>
      <w:sz w:val="18"/>
      <w:szCs w:val="18"/>
    </w:rPr>
  </w:style>
  <w:style w:type="character" w:customStyle="1" w:styleId="8pt0">
    <w:name w:val="Основной текст + 8 pt;Полужирный"/>
    <w:rsid w:val="004C64B2"/>
    <w:rPr>
      <w:rFonts w:ascii="Times New Roman" w:eastAsia="Times New Roman" w:hAnsi="Times New Roman" w:cs="Times New Roman"/>
      <w:b/>
      <w:bCs/>
      <w:i w:val="0"/>
      <w:iCs w:val="0"/>
      <w:smallCaps w:val="0"/>
      <w:strike w:val="0"/>
      <w:spacing w:val="0"/>
      <w:sz w:val="16"/>
      <w:szCs w:val="16"/>
      <w:shd w:val="clear" w:color="auto" w:fill="FFFFFF"/>
    </w:rPr>
  </w:style>
  <w:style w:type="paragraph" w:customStyle="1" w:styleId="rteindent11">
    <w:name w:val="rteindent11"/>
    <w:basedOn w:val="a"/>
    <w:rsid w:val="009A1FC3"/>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263">
    <w:name w:val="Основной текст (26)_"/>
    <w:link w:val="264"/>
    <w:uiPriority w:val="99"/>
    <w:rsid w:val="009A1FC3"/>
    <w:rPr>
      <w:rFonts w:ascii="Arial Narrow" w:hAnsi="Arial Narrow" w:cs="Arial Narrow"/>
      <w:sz w:val="29"/>
      <w:szCs w:val="29"/>
      <w:shd w:val="clear" w:color="auto" w:fill="FFFFFF"/>
    </w:rPr>
  </w:style>
  <w:style w:type="paragraph" w:customStyle="1" w:styleId="264">
    <w:name w:val="Основной текст (26)"/>
    <w:basedOn w:val="a"/>
    <w:link w:val="263"/>
    <w:uiPriority w:val="99"/>
    <w:rsid w:val="009A1FC3"/>
    <w:pPr>
      <w:shd w:val="clear" w:color="auto" w:fill="FFFFFF"/>
      <w:spacing w:after="0" w:line="240" w:lineRule="atLeast"/>
    </w:pPr>
    <w:rPr>
      <w:rFonts w:ascii="Arial Narrow" w:hAnsi="Arial Narrow" w:cs="Arial Narrow"/>
      <w:sz w:val="29"/>
      <w:szCs w:val="29"/>
      <w:lang w:eastAsia="ru-RU"/>
    </w:rPr>
  </w:style>
  <w:style w:type="character" w:customStyle="1" w:styleId="269pt">
    <w:name w:val="Основной текст (26) + 9 pt;Не полужирный"/>
    <w:rsid w:val="009A1FC3"/>
    <w:rPr>
      <w:rFonts w:ascii="Arial" w:eastAsia="Arial" w:hAnsi="Arial" w:cs="Arial"/>
      <w:b/>
      <w:bCs/>
      <w:i w:val="0"/>
      <w:iCs w:val="0"/>
      <w:smallCaps w:val="0"/>
      <w:strike w:val="0"/>
      <w:spacing w:val="0"/>
      <w:sz w:val="18"/>
      <w:szCs w:val="18"/>
      <w:shd w:val="clear" w:color="auto" w:fill="FFFFFF"/>
    </w:rPr>
  </w:style>
  <w:style w:type="character" w:customStyle="1" w:styleId="4f1">
    <w:name w:val="Основной текст + Курсив4"/>
    <w:uiPriority w:val="99"/>
    <w:rsid w:val="00C36DA0"/>
    <w:rPr>
      <w:rFonts w:ascii="Arial Narrow" w:hAnsi="Arial Narrow" w:cs="Arial Narrow"/>
      <w:i/>
      <w:iCs/>
      <w:spacing w:val="0"/>
      <w:sz w:val="18"/>
      <w:szCs w:val="18"/>
      <w:shd w:val="clear" w:color="auto" w:fill="FFFFFF"/>
    </w:rPr>
  </w:style>
  <w:style w:type="character" w:customStyle="1" w:styleId="75pt">
    <w:name w:val="Основной текст + 7;5 pt"/>
    <w:rsid w:val="004A4CDC"/>
    <w:rPr>
      <w:rFonts w:ascii="Arial" w:eastAsia="Arial" w:hAnsi="Arial" w:cs="Arial"/>
      <w:b w:val="0"/>
      <w:bCs w:val="0"/>
      <w:i w:val="0"/>
      <w:iCs w:val="0"/>
      <w:smallCaps w:val="0"/>
      <w:strike w:val="0"/>
      <w:spacing w:val="0"/>
      <w:sz w:val="15"/>
      <w:szCs w:val="15"/>
      <w:shd w:val="clear" w:color="auto" w:fill="FFFFFF"/>
    </w:rPr>
  </w:style>
  <w:style w:type="character" w:customStyle="1" w:styleId="4f2">
    <w:name w:val="Заголовок №4_"/>
    <w:link w:val="4f3"/>
    <w:uiPriority w:val="99"/>
    <w:rsid w:val="004A4CDC"/>
    <w:rPr>
      <w:rFonts w:ascii="Arial Narrow" w:hAnsi="Arial Narrow" w:cs="Arial Narrow"/>
      <w:b/>
      <w:bCs/>
      <w:sz w:val="51"/>
      <w:szCs w:val="51"/>
      <w:shd w:val="clear" w:color="auto" w:fill="FFFFFF"/>
    </w:rPr>
  </w:style>
  <w:style w:type="paragraph" w:customStyle="1" w:styleId="4f3">
    <w:name w:val="Заголовок №4"/>
    <w:basedOn w:val="a"/>
    <w:link w:val="4f2"/>
    <w:uiPriority w:val="99"/>
    <w:rsid w:val="004A4CDC"/>
    <w:pPr>
      <w:shd w:val="clear" w:color="auto" w:fill="FFFFFF"/>
      <w:spacing w:after="0" w:line="240" w:lineRule="atLeast"/>
      <w:outlineLvl w:val="3"/>
    </w:pPr>
    <w:rPr>
      <w:rFonts w:ascii="Arial Narrow" w:hAnsi="Arial Narrow" w:cs="Arial Narrow"/>
      <w:b/>
      <w:bCs/>
      <w:sz w:val="51"/>
      <w:szCs w:val="51"/>
      <w:lang w:eastAsia="ru-RU"/>
    </w:rPr>
  </w:style>
  <w:style w:type="character" w:customStyle="1" w:styleId="885pt">
    <w:name w:val="Основной текст (8) + 8;5 pt"/>
    <w:rsid w:val="004A4CDC"/>
    <w:rPr>
      <w:rFonts w:ascii="Arial" w:eastAsia="Arial" w:hAnsi="Arial" w:cs="Arial"/>
      <w:sz w:val="17"/>
      <w:szCs w:val="17"/>
      <w:shd w:val="clear" w:color="auto" w:fill="FFFFFF"/>
    </w:rPr>
  </w:style>
  <w:style w:type="character" w:customStyle="1" w:styleId="1085pt">
    <w:name w:val="Основной текст (10) + 8;5 pt;Курсив"/>
    <w:rsid w:val="004A4CDC"/>
    <w:rPr>
      <w:rFonts w:ascii="Arial" w:eastAsia="Arial" w:hAnsi="Arial" w:cs="Arial"/>
      <w:i/>
      <w:iCs/>
      <w:spacing w:val="0"/>
      <w:sz w:val="17"/>
      <w:szCs w:val="17"/>
      <w:shd w:val="clear" w:color="auto" w:fill="FFFFFF"/>
      <w:lang w:eastAsia="ru-RU"/>
    </w:rPr>
  </w:style>
  <w:style w:type="character" w:customStyle="1" w:styleId="6pt150">
    <w:name w:val="Основной текст + 6 pt;Масштаб 150%"/>
    <w:rsid w:val="004A4CDC"/>
    <w:rPr>
      <w:rFonts w:ascii="Arial" w:eastAsia="Arial" w:hAnsi="Arial" w:cs="Arial"/>
      <w:b w:val="0"/>
      <w:bCs w:val="0"/>
      <w:i w:val="0"/>
      <w:iCs w:val="0"/>
      <w:smallCaps w:val="0"/>
      <w:strike w:val="0"/>
      <w:spacing w:val="0"/>
      <w:w w:val="150"/>
      <w:sz w:val="12"/>
      <w:szCs w:val="12"/>
      <w:shd w:val="clear" w:color="auto" w:fill="FFFFFF"/>
    </w:rPr>
  </w:style>
  <w:style w:type="character" w:customStyle="1" w:styleId="475pt">
    <w:name w:val="Основной текст (4) + 7;5 pt;Не курсив"/>
    <w:rsid w:val="004A4CDC"/>
    <w:rPr>
      <w:rFonts w:ascii="Arial" w:eastAsia="Arial" w:hAnsi="Arial" w:cs="Arial"/>
      <w:b w:val="0"/>
      <w:bCs w:val="0"/>
      <w:i/>
      <w:iCs/>
      <w:smallCaps w:val="0"/>
      <w:strike w:val="0"/>
      <w:spacing w:val="0"/>
      <w:sz w:val="15"/>
      <w:szCs w:val="15"/>
      <w:shd w:val="clear" w:color="auto" w:fill="FFFFFF"/>
    </w:rPr>
  </w:style>
  <w:style w:type="character" w:customStyle="1" w:styleId="46pt40">
    <w:name w:val="Основной текст (4) + 6 pt;Не курсив;Масштаб 40%"/>
    <w:rsid w:val="004A4CDC"/>
    <w:rPr>
      <w:rFonts w:ascii="Arial" w:eastAsia="Arial" w:hAnsi="Arial" w:cs="Arial"/>
      <w:b w:val="0"/>
      <w:bCs w:val="0"/>
      <w:i/>
      <w:iCs/>
      <w:smallCaps w:val="0"/>
      <w:strike w:val="0"/>
      <w:spacing w:val="0"/>
      <w:w w:val="40"/>
      <w:sz w:val="12"/>
      <w:szCs w:val="12"/>
      <w:shd w:val="clear" w:color="auto" w:fill="FFFFFF"/>
      <w:lang w:val="en-US"/>
    </w:rPr>
  </w:style>
  <w:style w:type="character" w:customStyle="1" w:styleId="Bodytext2">
    <w:name w:val="Body text (2)"/>
    <w:rsid w:val="00184721"/>
    <w:rPr>
      <w:rFonts w:ascii="Times New Roman" w:eastAsia="Times New Roman" w:hAnsi="Times New Roman" w:cs="Times New Roman"/>
      <w:b w:val="0"/>
      <w:bCs w:val="0"/>
      <w:i w:val="0"/>
      <w:iCs w:val="0"/>
      <w:smallCaps w:val="0"/>
      <w:strike w:val="0"/>
      <w:spacing w:val="0"/>
      <w:sz w:val="18"/>
      <w:szCs w:val="18"/>
    </w:rPr>
  </w:style>
  <w:style w:type="character" w:customStyle="1" w:styleId="Bodytext">
    <w:name w:val="Body text_"/>
    <w:link w:val="621"/>
    <w:uiPriority w:val="99"/>
    <w:rsid w:val="00184721"/>
    <w:rPr>
      <w:rFonts w:ascii="Times New Roman" w:eastAsia="Times New Roman" w:hAnsi="Times New Roman"/>
      <w:shd w:val="clear" w:color="auto" w:fill="FFFFFF"/>
    </w:rPr>
  </w:style>
  <w:style w:type="paragraph" w:customStyle="1" w:styleId="621">
    <w:name w:val="Основной текст62"/>
    <w:basedOn w:val="a"/>
    <w:link w:val="Bodytext"/>
    <w:rsid w:val="00184721"/>
    <w:pPr>
      <w:shd w:val="clear" w:color="auto" w:fill="FFFFFF"/>
      <w:spacing w:before="420" w:after="0" w:line="216" w:lineRule="exact"/>
      <w:jc w:val="both"/>
    </w:pPr>
    <w:rPr>
      <w:rFonts w:ascii="Times New Roman" w:eastAsia="Times New Roman" w:hAnsi="Times New Roman"/>
      <w:sz w:val="20"/>
      <w:szCs w:val="20"/>
      <w:lang w:eastAsia="ru-RU"/>
    </w:rPr>
  </w:style>
  <w:style w:type="character" w:customStyle="1" w:styleId="Heading22">
    <w:name w:val="Heading #2 (2)"/>
    <w:rsid w:val="00184721"/>
    <w:rPr>
      <w:rFonts w:ascii="Times New Roman" w:eastAsia="Times New Roman" w:hAnsi="Times New Roman" w:cs="Times New Roman"/>
      <w:b w:val="0"/>
      <w:bCs w:val="0"/>
      <w:i w:val="0"/>
      <w:iCs w:val="0"/>
      <w:smallCaps w:val="0"/>
      <w:strike w:val="0"/>
      <w:spacing w:val="0"/>
      <w:sz w:val="23"/>
      <w:szCs w:val="23"/>
    </w:rPr>
  </w:style>
  <w:style w:type="character" w:customStyle="1" w:styleId="0pt1">
    <w:name w:val="Основной текст + Полужирный;Интервал 0 pt"/>
    <w:rsid w:val="00F40F30"/>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109pt">
    <w:name w:val="Основной текст (10) + 9 pt"/>
    <w:rsid w:val="00354EBF"/>
    <w:rPr>
      <w:rFonts w:ascii="Arial" w:eastAsia="Arial" w:hAnsi="Arial" w:cs="Arial"/>
      <w:b w:val="0"/>
      <w:bCs w:val="0"/>
      <w:i w:val="0"/>
      <w:iCs w:val="0"/>
      <w:smallCaps w:val="0"/>
      <w:strike w:val="0"/>
      <w:spacing w:val="0"/>
      <w:sz w:val="18"/>
      <w:szCs w:val="18"/>
      <w:shd w:val="clear" w:color="auto" w:fill="FFFFFF"/>
      <w:lang w:eastAsia="ru-RU"/>
    </w:rPr>
  </w:style>
  <w:style w:type="character" w:customStyle="1" w:styleId="99">
    <w:name w:val="Основной текст + 99"/>
    <w:aliases w:val="5 pt35,Полужирный33,Интервал 0 pt22,Основной текст + 819,Основной текст (5) + Не курсив4"/>
    <w:uiPriority w:val="99"/>
    <w:rsid w:val="009477D6"/>
    <w:rPr>
      <w:rFonts w:ascii="Arial Narrow" w:hAnsi="Arial Narrow" w:cs="Arial Narrow"/>
      <w:b/>
      <w:bCs/>
      <w:spacing w:val="-10"/>
      <w:sz w:val="19"/>
      <w:szCs w:val="19"/>
      <w:shd w:val="clear" w:color="auto" w:fill="FFFFFF"/>
    </w:rPr>
  </w:style>
  <w:style w:type="character" w:customStyle="1" w:styleId="5f">
    <w:name w:val="Основной текст (5)_"/>
    <w:link w:val="5f0"/>
    <w:uiPriority w:val="99"/>
    <w:rsid w:val="003017FB"/>
    <w:rPr>
      <w:rFonts w:ascii="Times New Roman" w:eastAsia="Times New Roman" w:hAnsi="Times New Roman"/>
      <w:sz w:val="17"/>
      <w:szCs w:val="17"/>
      <w:shd w:val="clear" w:color="auto" w:fill="FFFFFF"/>
    </w:rPr>
  </w:style>
  <w:style w:type="paragraph" w:customStyle="1" w:styleId="5f0">
    <w:name w:val="Основной текст (5)"/>
    <w:basedOn w:val="a"/>
    <w:link w:val="5f"/>
    <w:uiPriority w:val="99"/>
    <w:rsid w:val="003017FB"/>
    <w:pPr>
      <w:shd w:val="clear" w:color="auto" w:fill="FFFFFF"/>
      <w:spacing w:before="120" w:after="0" w:line="202" w:lineRule="exact"/>
      <w:jc w:val="both"/>
    </w:pPr>
    <w:rPr>
      <w:rFonts w:ascii="Times New Roman" w:eastAsia="Times New Roman" w:hAnsi="Times New Roman"/>
      <w:sz w:val="17"/>
      <w:szCs w:val="17"/>
      <w:lang w:eastAsia="ru-RU"/>
    </w:rPr>
  </w:style>
  <w:style w:type="character" w:customStyle="1" w:styleId="1520">
    <w:name w:val="Основной текст (15) + Не курсив2"/>
    <w:aliases w:val="Интервал 0 pt7,Основной текст (5) + Полужирный1"/>
    <w:uiPriority w:val="99"/>
    <w:rsid w:val="003017FB"/>
    <w:rPr>
      <w:rFonts w:ascii="Arial Narrow" w:hAnsi="Arial Narrow" w:cs="Arial Narrow"/>
      <w:i w:val="0"/>
      <w:iCs w:val="0"/>
      <w:spacing w:val="-10"/>
      <w:sz w:val="14"/>
      <w:szCs w:val="14"/>
      <w:shd w:val="clear" w:color="auto" w:fill="FFFFFF"/>
    </w:rPr>
  </w:style>
  <w:style w:type="character" w:customStyle="1" w:styleId="8pt1">
    <w:name w:val="Основной текст + 8 pt1"/>
    <w:aliases w:val="Полужирный2,Интервал 0 pt1,Колонтитул + Microsoft Sans Serif2,Основной текст + 11 pt1"/>
    <w:uiPriority w:val="99"/>
    <w:rsid w:val="003017FB"/>
    <w:rPr>
      <w:rFonts w:ascii="Arial Narrow" w:hAnsi="Arial Narrow" w:cs="Arial Narrow"/>
      <w:b/>
      <w:bCs/>
      <w:spacing w:val="-10"/>
      <w:sz w:val="16"/>
      <w:szCs w:val="16"/>
      <w:shd w:val="clear" w:color="auto" w:fill="FFFFFF"/>
    </w:rPr>
  </w:style>
  <w:style w:type="character" w:customStyle="1" w:styleId="Bodytext14">
    <w:name w:val="Body text (14)_"/>
    <w:link w:val="Bodytext141"/>
    <w:uiPriority w:val="99"/>
    <w:rsid w:val="00E56A12"/>
    <w:rPr>
      <w:rFonts w:ascii="Times New Roman" w:hAnsi="Times New Roman"/>
      <w:i/>
      <w:iCs/>
      <w:sz w:val="21"/>
      <w:szCs w:val="21"/>
      <w:shd w:val="clear" w:color="auto" w:fill="FFFFFF"/>
    </w:rPr>
  </w:style>
  <w:style w:type="paragraph" w:customStyle="1" w:styleId="Bodytext141">
    <w:name w:val="Body text (14)1"/>
    <w:basedOn w:val="a"/>
    <w:link w:val="Bodytext14"/>
    <w:uiPriority w:val="99"/>
    <w:rsid w:val="00E56A12"/>
    <w:pPr>
      <w:shd w:val="clear" w:color="auto" w:fill="FFFFFF"/>
      <w:spacing w:after="0" w:line="240" w:lineRule="atLeast"/>
      <w:ind w:hanging="340"/>
    </w:pPr>
    <w:rPr>
      <w:rFonts w:ascii="Times New Roman" w:hAnsi="Times New Roman"/>
      <w:i/>
      <w:iCs/>
      <w:sz w:val="21"/>
      <w:szCs w:val="21"/>
      <w:lang w:eastAsia="ru-RU"/>
    </w:rPr>
  </w:style>
  <w:style w:type="character" w:customStyle="1" w:styleId="Bodytext145">
    <w:name w:val="Body text (14)5"/>
    <w:uiPriority w:val="99"/>
    <w:rsid w:val="00E56A12"/>
  </w:style>
  <w:style w:type="character" w:customStyle="1" w:styleId="BodytextTahoma3">
    <w:name w:val="Body text + Tahoma3"/>
    <w:aliases w:val="8 pt10"/>
    <w:uiPriority w:val="99"/>
    <w:rsid w:val="00E56A12"/>
    <w:rPr>
      <w:rFonts w:ascii="Tahoma" w:hAnsi="Tahoma" w:cs="Tahoma"/>
      <w:spacing w:val="0"/>
      <w:sz w:val="16"/>
      <w:szCs w:val="16"/>
    </w:rPr>
  </w:style>
  <w:style w:type="character" w:customStyle="1" w:styleId="BodytextItalic">
    <w:name w:val="Body text + Italic"/>
    <w:uiPriority w:val="99"/>
    <w:rsid w:val="00E56A12"/>
    <w:rPr>
      <w:rFonts w:ascii="Times New Roman" w:hAnsi="Times New Roman" w:cs="Times New Roman"/>
      <w:i/>
      <w:iCs/>
      <w:spacing w:val="0"/>
      <w:sz w:val="21"/>
      <w:szCs w:val="21"/>
    </w:rPr>
  </w:style>
  <w:style w:type="paragraph" w:customStyle="1" w:styleId="162">
    <w:name w:val="Основной текст16"/>
    <w:basedOn w:val="a"/>
    <w:rsid w:val="00E56A12"/>
    <w:pPr>
      <w:shd w:val="clear" w:color="auto" w:fill="FFFFFF"/>
      <w:spacing w:after="0" w:line="0" w:lineRule="atLeast"/>
    </w:pPr>
    <w:rPr>
      <w:rFonts w:ascii="Times New Roman" w:eastAsia="Times New Roman" w:hAnsi="Times New Roman"/>
      <w:sz w:val="21"/>
      <w:szCs w:val="21"/>
    </w:rPr>
  </w:style>
  <w:style w:type="character" w:customStyle="1" w:styleId="Bodytext20">
    <w:name w:val="Body text (2)_"/>
    <w:link w:val="Bodytext21"/>
    <w:uiPriority w:val="99"/>
    <w:rsid w:val="00E56A12"/>
    <w:rPr>
      <w:rFonts w:ascii="Times New Roman" w:eastAsia="Times New Roman" w:hAnsi="Times New Roman" w:cs="Times New Roman"/>
      <w:sz w:val="21"/>
      <w:szCs w:val="21"/>
      <w:shd w:val="clear" w:color="auto" w:fill="FFFFFF"/>
    </w:rPr>
  </w:style>
  <w:style w:type="character" w:customStyle="1" w:styleId="920">
    <w:name w:val="92"/>
    <w:rsid w:val="00E56A12"/>
  </w:style>
  <w:style w:type="character" w:customStyle="1" w:styleId="Tablecaption">
    <w:name w:val="Table caption_"/>
    <w:link w:val="Tablecaption1"/>
    <w:rsid w:val="00E56A12"/>
    <w:rPr>
      <w:rFonts w:ascii="Times New Roman" w:hAnsi="Times New Roman"/>
      <w:i/>
      <w:iCs/>
      <w:sz w:val="21"/>
      <w:szCs w:val="21"/>
      <w:shd w:val="clear" w:color="auto" w:fill="FFFFFF"/>
    </w:rPr>
  </w:style>
  <w:style w:type="paragraph" w:customStyle="1" w:styleId="Tablecaption1">
    <w:name w:val="Table caption1"/>
    <w:basedOn w:val="a"/>
    <w:link w:val="Tablecaption"/>
    <w:rsid w:val="00E56A12"/>
    <w:pPr>
      <w:shd w:val="clear" w:color="auto" w:fill="FFFFFF"/>
      <w:spacing w:after="0" w:line="240" w:lineRule="atLeast"/>
    </w:pPr>
    <w:rPr>
      <w:rFonts w:ascii="Times New Roman" w:hAnsi="Times New Roman"/>
      <w:i/>
      <w:iCs/>
      <w:sz w:val="21"/>
      <w:szCs w:val="21"/>
      <w:lang w:eastAsia="ru-RU"/>
    </w:rPr>
  </w:style>
  <w:style w:type="character" w:customStyle="1" w:styleId="Bodytext14Tahoma">
    <w:name w:val="Body text (14) + Tahoma"/>
    <w:aliases w:val="8 pt17,Not Italic21"/>
    <w:uiPriority w:val="99"/>
    <w:rsid w:val="00E56A12"/>
    <w:rPr>
      <w:rFonts w:ascii="Tahoma" w:hAnsi="Tahoma" w:cs="Tahoma"/>
      <w:i w:val="0"/>
      <w:iCs w:val="0"/>
      <w:spacing w:val="0"/>
      <w:sz w:val="16"/>
      <w:szCs w:val="16"/>
      <w:shd w:val="clear" w:color="auto" w:fill="FFFFFF"/>
    </w:rPr>
  </w:style>
  <w:style w:type="character" w:customStyle="1" w:styleId="Tablecaption0">
    <w:name w:val="Table caption"/>
    <w:uiPriority w:val="99"/>
    <w:rsid w:val="00E56A12"/>
  </w:style>
  <w:style w:type="character" w:customStyle="1" w:styleId="Bodytext4">
    <w:name w:val="Body text (4)_"/>
    <w:link w:val="Bodytext41"/>
    <w:uiPriority w:val="99"/>
    <w:rsid w:val="00863AF1"/>
    <w:rPr>
      <w:rFonts w:ascii="Times New Roman" w:hAnsi="Times New Roman"/>
      <w:b/>
      <w:bCs/>
      <w:i/>
      <w:iCs/>
      <w:sz w:val="16"/>
      <w:szCs w:val="16"/>
      <w:shd w:val="clear" w:color="auto" w:fill="FFFFFF"/>
    </w:rPr>
  </w:style>
  <w:style w:type="paragraph" w:customStyle="1" w:styleId="Bodytext41">
    <w:name w:val="Body text (4)1"/>
    <w:basedOn w:val="a"/>
    <w:link w:val="Bodytext4"/>
    <w:uiPriority w:val="99"/>
    <w:rsid w:val="00863AF1"/>
    <w:pPr>
      <w:shd w:val="clear" w:color="auto" w:fill="FFFFFF"/>
      <w:spacing w:before="540" w:after="300" w:line="197" w:lineRule="exact"/>
      <w:jc w:val="center"/>
    </w:pPr>
    <w:rPr>
      <w:rFonts w:ascii="Times New Roman" w:hAnsi="Times New Roman"/>
      <w:b/>
      <w:bCs/>
      <w:i/>
      <w:iCs/>
      <w:sz w:val="16"/>
      <w:szCs w:val="16"/>
      <w:lang w:eastAsia="ru-RU"/>
    </w:rPr>
  </w:style>
  <w:style w:type="character" w:customStyle="1" w:styleId="Bodytext31">
    <w:name w:val="Body text (31)_"/>
    <w:link w:val="Bodytext311"/>
    <w:uiPriority w:val="99"/>
    <w:rsid w:val="00863AF1"/>
    <w:rPr>
      <w:rFonts w:ascii="Times New Roman" w:hAnsi="Times New Roman"/>
      <w:b/>
      <w:bCs/>
      <w:sz w:val="14"/>
      <w:szCs w:val="14"/>
      <w:shd w:val="clear" w:color="auto" w:fill="FFFFFF"/>
    </w:rPr>
  </w:style>
  <w:style w:type="paragraph" w:customStyle="1" w:styleId="Bodytext311">
    <w:name w:val="Body text (31)1"/>
    <w:basedOn w:val="a"/>
    <w:link w:val="Bodytext31"/>
    <w:uiPriority w:val="99"/>
    <w:rsid w:val="00863AF1"/>
    <w:pPr>
      <w:shd w:val="clear" w:color="auto" w:fill="FFFFFF"/>
      <w:spacing w:after="0" w:line="240" w:lineRule="atLeast"/>
      <w:jc w:val="both"/>
    </w:pPr>
    <w:rPr>
      <w:rFonts w:ascii="Times New Roman" w:hAnsi="Times New Roman"/>
      <w:b/>
      <w:bCs/>
      <w:sz w:val="14"/>
      <w:szCs w:val="14"/>
      <w:lang w:eastAsia="ru-RU"/>
    </w:rPr>
  </w:style>
  <w:style w:type="character" w:customStyle="1" w:styleId="Bodytext73">
    <w:name w:val="Body text + 73"/>
    <w:aliases w:val="5 pt44"/>
    <w:uiPriority w:val="99"/>
    <w:rsid w:val="00863AF1"/>
    <w:rPr>
      <w:rFonts w:ascii="Times New Roman" w:hAnsi="Times New Roman" w:cs="Times New Roman"/>
      <w:spacing w:val="0"/>
      <w:sz w:val="15"/>
      <w:szCs w:val="15"/>
    </w:rPr>
  </w:style>
  <w:style w:type="character" w:customStyle="1" w:styleId="Bodytext310">
    <w:name w:val="Body text (31)"/>
    <w:uiPriority w:val="99"/>
    <w:rsid w:val="00863AF1"/>
  </w:style>
  <w:style w:type="character" w:customStyle="1" w:styleId="Bodytext47">
    <w:name w:val="Body text (4)7"/>
    <w:uiPriority w:val="99"/>
    <w:rsid w:val="00863AF1"/>
    <w:rPr>
      <w:rFonts w:ascii="Times New Roman" w:hAnsi="Times New Roman" w:cs="Times New Roman"/>
      <w:b/>
      <w:bCs/>
      <w:i/>
      <w:iCs/>
      <w:spacing w:val="0"/>
      <w:sz w:val="16"/>
      <w:szCs w:val="16"/>
    </w:rPr>
  </w:style>
  <w:style w:type="character" w:customStyle="1" w:styleId="Bodytext39">
    <w:name w:val="Body text (39)_"/>
    <w:link w:val="Bodytext390"/>
    <w:uiPriority w:val="99"/>
    <w:rsid w:val="00863AF1"/>
    <w:rPr>
      <w:rFonts w:ascii="Times New Roman" w:hAnsi="Times New Roman"/>
      <w:noProof/>
      <w:sz w:val="8"/>
      <w:szCs w:val="8"/>
      <w:shd w:val="clear" w:color="auto" w:fill="FFFFFF"/>
    </w:rPr>
  </w:style>
  <w:style w:type="paragraph" w:customStyle="1" w:styleId="Bodytext390">
    <w:name w:val="Body text (39)"/>
    <w:basedOn w:val="a"/>
    <w:link w:val="Bodytext39"/>
    <w:uiPriority w:val="99"/>
    <w:rsid w:val="00863AF1"/>
    <w:pPr>
      <w:shd w:val="clear" w:color="auto" w:fill="FFFFFF"/>
      <w:spacing w:after="0" w:line="240" w:lineRule="atLeast"/>
    </w:pPr>
    <w:rPr>
      <w:rFonts w:ascii="Times New Roman" w:hAnsi="Times New Roman"/>
      <w:noProof/>
      <w:sz w:val="8"/>
      <w:szCs w:val="8"/>
      <w:lang w:eastAsia="ru-RU"/>
    </w:rPr>
  </w:style>
  <w:style w:type="character" w:customStyle="1" w:styleId="Bodytext1411pt1">
    <w:name w:val="Body text (14) + 11 pt1"/>
    <w:aliases w:val="Spacing 0 pt18"/>
    <w:uiPriority w:val="99"/>
    <w:rsid w:val="00B610FB"/>
    <w:rPr>
      <w:rFonts w:ascii="Times New Roman" w:hAnsi="Times New Roman" w:cs="Times New Roman"/>
      <w:i/>
      <w:iCs/>
      <w:spacing w:val="-10"/>
      <w:sz w:val="22"/>
      <w:szCs w:val="22"/>
    </w:rPr>
  </w:style>
  <w:style w:type="character" w:customStyle="1" w:styleId="Bodytext30">
    <w:name w:val="Body text (30)_"/>
    <w:link w:val="Bodytext300"/>
    <w:uiPriority w:val="99"/>
    <w:rsid w:val="00B610FB"/>
    <w:rPr>
      <w:rFonts w:ascii="Arial Narrow" w:hAnsi="Arial Narrow" w:cs="Arial Narrow"/>
      <w:i/>
      <w:iCs/>
      <w:spacing w:val="10"/>
      <w:shd w:val="clear" w:color="auto" w:fill="FFFFFF"/>
    </w:rPr>
  </w:style>
  <w:style w:type="paragraph" w:customStyle="1" w:styleId="Bodytext300">
    <w:name w:val="Body text (30)"/>
    <w:basedOn w:val="a"/>
    <w:link w:val="Bodytext30"/>
    <w:uiPriority w:val="99"/>
    <w:rsid w:val="00B610FB"/>
    <w:pPr>
      <w:shd w:val="clear" w:color="auto" w:fill="FFFFFF"/>
      <w:spacing w:after="0" w:line="254" w:lineRule="exact"/>
      <w:ind w:firstLine="300"/>
      <w:jc w:val="both"/>
    </w:pPr>
    <w:rPr>
      <w:rFonts w:ascii="Arial Narrow" w:hAnsi="Arial Narrow" w:cs="Arial Narrow"/>
      <w:i/>
      <w:iCs/>
      <w:spacing w:val="10"/>
      <w:sz w:val="20"/>
      <w:szCs w:val="20"/>
      <w:lang w:eastAsia="ru-RU"/>
    </w:rPr>
  </w:style>
  <w:style w:type="character" w:customStyle="1" w:styleId="Bodytext3">
    <w:name w:val="Body text (3)_"/>
    <w:link w:val="Bodytext312"/>
    <w:rsid w:val="00B610FB"/>
    <w:rPr>
      <w:rFonts w:ascii="Times New Roman" w:hAnsi="Times New Roman"/>
      <w:b/>
      <w:bCs/>
      <w:sz w:val="16"/>
      <w:szCs w:val="16"/>
      <w:shd w:val="clear" w:color="auto" w:fill="FFFFFF"/>
    </w:rPr>
  </w:style>
  <w:style w:type="character" w:customStyle="1" w:styleId="Bodytext32">
    <w:name w:val="Body text (3)"/>
    <w:rsid w:val="00B610FB"/>
  </w:style>
  <w:style w:type="character" w:customStyle="1" w:styleId="Bodytext320">
    <w:name w:val="Body text (32)_"/>
    <w:link w:val="Bodytext321"/>
    <w:rsid w:val="00B610FB"/>
    <w:rPr>
      <w:rFonts w:ascii="Times New Roman" w:hAnsi="Times New Roman"/>
      <w:noProof/>
      <w:sz w:val="8"/>
      <w:szCs w:val="8"/>
      <w:shd w:val="clear" w:color="auto" w:fill="FFFFFF"/>
    </w:rPr>
  </w:style>
  <w:style w:type="paragraph" w:customStyle="1" w:styleId="Bodytext312">
    <w:name w:val="Body text (3)1"/>
    <w:basedOn w:val="a"/>
    <w:link w:val="Bodytext3"/>
    <w:rsid w:val="00B610FB"/>
    <w:pPr>
      <w:shd w:val="clear" w:color="auto" w:fill="FFFFFF"/>
      <w:spacing w:after="0" w:line="197" w:lineRule="exact"/>
      <w:ind w:hanging="560"/>
      <w:jc w:val="right"/>
    </w:pPr>
    <w:rPr>
      <w:rFonts w:ascii="Times New Roman" w:hAnsi="Times New Roman"/>
      <w:b/>
      <w:bCs/>
      <w:sz w:val="16"/>
      <w:szCs w:val="16"/>
      <w:lang w:eastAsia="ru-RU"/>
    </w:rPr>
  </w:style>
  <w:style w:type="paragraph" w:customStyle="1" w:styleId="Bodytext321">
    <w:name w:val="Body text (32)"/>
    <w:basedOn w:val="a"/>
    <w:link w:val="Bodytext320"/>
    <w:rsid w:val="00B610FB"/>
    <w:pPr>
      <w:shd w:val="clear" w:color="auto" w:fill="FFFFFF"/>
      <w:spacing w:after="0" w:line="240" w:lineRule="atLeast"/>
    </w:pPr>
    <w:rPr>
      <w:rFonts w:ascii="Times New Roman" w:hAnsi="Times New Roman"/>
      <w:noProof/>
      <w:sz w:val="8"/>
      <w:szCs w:val="8"/>
      <w:lang w:eastAsia="ru-RU"/>
    </w:rPr>
  </w:style>
  <w:style w:type="character" w:customStyle="1" w:styleId="Tablecaption2">
    <w:name w:val="Table caption (2)"/>
    <w:rsid w:val="00B610FB"/>
  </w:style>
  <w:style w:type="character" w:customStyle="1" w:styleId="40pt">
    <w:name w:val="Основной текст (4) + Полужирный;Не курсив;Интервал 0 pt"/>
    <w:rsid w:val="00267D1F"/>
    <w:rPr>
      <w:rFonts w:ascii="Arial Narrow" w:eastAsia="Arial Narrow" w:hAnsi="Arial Narrow" w:cs="Arial Narrow"/>
      <w:b/>
      <w:bCs/>
      <w:i/>
      <w:iCs/>
      <w:smallCaps w:val="0"/>
      <w:strike w:val="0"/>
      <w:spacing w:val="-10"/>
      <w:sz w:val="18"/>
      <w:szCs w:val="18"/>
      <w:shd w:val="clear" w:color="auto" w:fill="FFFFFF"/>
    </w:rPr>
  </w:style>
  <w:style w:type="character" w:customStyle="1" w:styleId="4f4">
    <w:name w:val="Основной текст (4) + Полужирный"/>
    <w:rsid w:val="00267D1F"/>
    <w:rPr>
      <w:rFonts w:ascii="Arial Narrow" w:eastAsia="Arial Narrow" w:hAnsi="Arial Narrow" w:cs="Arial Narrow"/>
      <w:b/>
      <w:bCs/>
      <w:i w:val="0"/>
      <w:iCs w:val="0"/>
      <w:smallCaps w:val="0"/>
      <w:strike w:val="0"/>
      <w:spacing w:val="0"/>
      <w:sz w:val="18"/>
      <w:szCs w:val="18"/>
      <w:shd w:val="clear" w:color="auto" w:fill="FFFFFF"/>
    </w:rPr>
  </w:style>
  <w:style w:type="character" w:customStyle="1" w:styleId="Heading33">
    <w:name w:val="Heading #3 (3)"/>
    <w:uiPriority w:val="99"/>
    <w:rsid w:val="00267D1F"/>
  </w:style>
  <w:style w:type="paragraph" w:customStyle="1" w:styleId="12a">
    <w:name w:val="Основной текст12"/>
    <w:basedOn w:val="a"/>
    <w:rsid w:val="000E0662"/>
    <w:pPr>
      <w:shd w:val="clear" w:color="auto" w:fill="FFFFFF"/>
      <w:spacing w:after="60" w:line="240" w:lineRule="exact"/>
      <w:jc w:val="center"/>
    </w:pPr>
    <w:rPr>
      <w:rFonts w:ascii="Times New Roman" w:eastAsia="Times New Roman" w:hAnsi="Times New Roman"/>
      <w:sz w:val="23"/>
      <w:szCs w:val="23"/>
    </w:rPr>
  </w:style>
  <w:style w:type="character" w:customStyle="1" w:styleId="5f1">
    <w:name w:val="Основной текст5"/>
    <w:basedOn w:val="Bodytext"/>
    <w:rsid w:val="007D28EE"/>
    <w:rPr>
      <w:rFonts w:ascii="Times New Roman" w:eastAsia="Times New Roman" w:hAnsi="Times New Roman" w:cs="Times New Roman"/>
      <w:b w:val="0"/>
      <w:bCs w:val="0"/>
      <w:i w:val="0"/>
      <w:iCs w:val="0"/>
      <w:smallCaps w:val="0"/>
      <w:strike w:val="0"/>
      <w:spacing w:val="0"/>
      <w:sz w:val="23"/>
      <w:szCs w:val="23"/>
      <w:shd w:val="clear" w:color="auto" w:fill="FFFFFF"/>
    </w:rPr>
  </w:style>
  <w:style w:type="paragraph" w:customStyle="1" w:styleId="Bodytext1">
    <w:name w:val="Body text1"/>
    <w:basedOn w:val="a"/>
    <w:uiPriority w:val="99"/>
    <w:rsid w:val="00583391"/>
    <w:pPr>
      <w:shd w:val="clear" w:color="auto" w:fill="FFFFFF"/>
      <w:spacing w:after="0" w:line="221" w:lineRule="exact"/>
      <w:ind w:hanging="120"/>
      <w:jc w:val="both"/>
    </w:pPr>
    <w:rPr>
      <w:rFonts w:ascii="Arial Narrow" w:eastAsiaTheme="minorHAnsi" w:hAnsi="Arial Narrow" w:cs="Arial Narrow"/>
      <w:sz w:val="18"/>
      <w:szCs w:val="18"/>
    </w:rPr>
  </w:style>
  <w:style w:type="character" w:customStyle="1" w:styleId="Bodytext9">
    <w:name w:val="Body text (9)_"/>
    <w:basedOn w:val="a0"/>
    <w:link w:val="Bodytext90"/>
    <w:uiPriority w:val="99"/>
    <w:rsid w:val="00583391"/>
    <w:rPr>
      <w:rFonts w:ascii="Arial Narrow" w:hAnsi="Arial Narrow" w:cs="Arial Narrow"/>
      <w:b/>
      <w:bCs/>
      <w:sz w:val="18"/>
      <w:szCs w:val="18"/>
      <w:shd w:val="clear" w:color="auto" w:fill="FFFFFF"/>
    </w:rPr>
  </w:style>
  <w:style w:type="paragraph" w:customStyle="1" w:styleId="Bodytext90">
    <w:name w:val="Body text (9)"/>
    <w:basedOn w:val="a"/>
    <w:link w:val="Bodytext9"/>
    <w:uiPriority w:val="99"/>
    <w:rsid w:val="00583391"/>
    <w:pPr>
      <w:shd w:val="clear" w:color="auto" w:fill="FFFFFF"/>
      <w:spacing w:after="0" w:line="221" w:lineRule="exact"/>
      <w:jc w:val="both"/>
    </w:pPr>
    <w:rPr>
      <w:rFonts w:ascii="Arial Narrow" w:hAnsi="Arial Narrow" w:cs="Arial Narrow"/>
      <w:b/>
      <w:bCs/>
      <w:sz w:val="18"/>
      <w:szCs w:val="18"/>
      <w:lang w:eastAsia="ru-RU"/>
    </w:rPr>
  </w:style>
  <w:style w:type="character" w:customStyle="1" w:styleId="BodytextBold5">
    <w:name w:val="Body text + Bold5"/>
    <w:basedOn w:val="Bodytext"/>
    <w:uiPriority w:val="99"/>
    <w:rsid w:val="00583391"/>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Bodytext9NotBold2">
    <w:name w:val="Body text (9) + Not Bold2"/>
    <w:basedOn w:val="Bodytext9"/>
    <w:uiPriority w:val="99"/>
    <w:rsid w:val="00583391"/>
    <w:rPr>
      <w:rFonts w:ascii="Arial Narrow" w:hAnsi="Arial Narrow" w:cs="Arial Narrow"/>
      <w:b/>
      <w:bCs/>
      <w:w w:val="100"/>
      <w:sz w:val="18"/>
      <w:szCs w:val="18"/>
      <w:shd w:val="clear" w:color="auto" w:fill="FFFFFF"/>
    </w:rPr>
  </w:style>
  <w:style w:type="paragraph" w:customStyle="1" w:styleId="Bodytext21">
    <w:name w:val="Body text (2)1"/>
    <w:basedOn w:val="a"/>
    <w:link w:val="Bodytext20"/>
    <w:uiPriority w:val="99"/>
    <w:rsid w:val="00513B54"/>
    <w:pPr>
      <w:shd w:val="clear" w:color="auto" w:fill="FFFFFF"/>
      <w:spacing w:after="0" w:line="221" w:lineRule="exact"/>
      <w:ind w:hanging="1600"/>
      <w:jc w:val="both"/>
    </w:pPr>
    <w:rPr>
      <w:rFonts w:ascii="Times New Roman" w:eastAsia="Times New Roman" w:hAnsi="Times New Roman"/>
      <w:sz w:val="21"/>
      <w:szCs w:val="21"/>
      <w:lang w:eastAsia="ru-RU"/>
    </w:rPr>
  </w:style>
  <w:style w:type="character" w:customStyle="1" w:styleId="Bodytext2NotItalic2">
    <w:name w:val="Body text (2) + Not Italic2"/>
    <w:basedOn w:val="Bodytext20"/>
    <w:uiPriority w:val="99"/>
    <w:rsid w:val="00513B54"/>
    <w:rPr>
      <w:rFonts w:ascii="Arial Narrow" w:eastAsia="Times New Roman" w:hAnsi="Arial Narrow" w:cs="Arial Narrow"/>
      <w:i/>
      <w:iCs/>
      <w:spacing w:val="0"/>
      <w:sz w:val="18"/>
      <w:szCs w:val="18"/>
      <w:shd w:val="clear" w:color="auto" w:fill="FFFFFF"/>
    </w:rPr>
  </w:style>
  <w:style w:type="character" w:customStyle="1" w:styleId="95pt">
    <w:name w:val="Основной текст + 9;5 pt;Малые прописные"/>
    <w:basedOn w:val="aff0"/>
    <w:rsid w:val="00481C91"/>
    <w:rPr>
      <w:rFonts w:ascii="Gungsuh" w:eastAsia="Gungsuh" w:hAnsi="Gungsuh" w:cs="Gungsuh"/>
      <w:smallCaps/>
      <w:spacing w:val="-10"/>
      <w:sz w:val="19"/>
      <w:szCs w:val="19"/>
      <w:shd w:val="clear" w:color="auto" w:fill="FFFFFF"/>
    </w:rPr>
  </w:style>
  <w:style w:type="character" w:customStyle="1" w:styleId="afffff3">
    <w:name w:val="Оглавление_"/>
    <w:basedOn w:val="a0"/>
    <w:rsid w:val="00481C91"/>
    <w:rPr>
      <w:rFonts w:ascii="Gungsuh" w:eastAsia="Gungsuh" w:hAnsi="Gungsuh" w:cs="Gungsuh"/>
      <w:sz w:val="16"/>
      <w:szCs w:val="16"/>
      <w:shd w:val="clear" w:color="auto" w:fill="FFFFFF"/>
    </w:rPr>
  </w:style>
  <w:style w:type="character" w:customStyle="1" w:styleId="MicrosoftSansSerif95pt">
    <w:name w:val="Оглавление + Microsoft Sans Serif;9;5 pt"/>
    <w:basedOn w:val="afffff3"/>
    <w:rsid w:val="00481C91"/>
    <w:rPr>
      <w:rFonts w:ascii="Microsoft Sans Serif" w:eastAsia="Microsoft Sans Serif" w:hAnsi="Microsoft Sans Serif" w:cs="Microsoft Sans Serif"/>
      <w:sz w:val="19"/>
      <w:szCs w:val="19"/>
      <w:shd w:val="clear" w:color="auto" w:fill="FFFFFF"/>
    </w:rPr>
  </w:style>
  <w:style w:type="character" w:customStyle="1" w:styleId="Candara12pt-1pt">
    <w:name w:val="Основной текст + Candara;12 pt;Интервал -1 pt"/>
    <w:basedOn w:val="aff0"/>
    <w:rsid w:val="00481C91"/>
    <w:rPr>
      <w:rFonts w:ascii="Candara" w:eastAsia="Candara" w:hAnsi="Candara" w:cs="Candara"/>
      <w:b w:val="0"/>
      <w:bCs w:val="0"/>
      <w:i w:val="0"/>
      <w:iCs w:val="0"/>
      <w:smallCaps w:val="0"/>
      <w:strike w:val="0"/>
      <w:spacing w:val="-20"/>
      <w:sz w:val="24"/>
      <w:szCs w:val="24"/>
      <w:shd w:val="clear" w:color="auto" w:fill="FFFFFF"/>
    </w:rPr>
  </w:style>
  <w:style w:type="character" w:customStyle="1" w:styleId="8pt2">
    <w:name w:val="Основной текст + Интервал 8 pt"/>
    <w:basedOn w:val="aff0"/>
    <w:rsid w:val="0036504D"/>
    <w:rPr>
      <w:rFonts w:ascii="Batang" w:eastAsia="Batang" w:hAnsi="Batang" w:cs="Batang"/>
      <w:b w:val="0"/>
      <w:bCs w:val="0"/>
      <w:i w:val="0"/>
      <w:iCs w:val="0"/>
      <w:smallCaps w:val="0"/>
      <w:strike w:val="0"/>
      <w:spacing w:val="170"/>
      <w:sz w:val="17"/>
      <w:szCs w:val="17"/>
      <w:shd w:val="clear" w:color="auto" w:fill="FFFFFF"/>
    </w:rPr>
  </w:style>
  <w:style w:type="character" w:customStyle="1" w:styleId="2pt0">
    <w:name w:val="Основной текст + Интервал 2 pt"/>
    <w:basedOn w:val="aff0"/>
    <w:rsid w:val="0036504D"/>
    <w:rPr>
      <w:rFonts w:ascii="Batang" w:eastAsia="Batang" w:hAnsi="Batang" w:cs="Batang"/>
      <w:b w:val="0"/>
      <w:bCs w:val="0"/>
      <w:i w:val="0"/>
      <w:iCs w:val="0"/>
      <w:smallCaps w:val="0"/>
      <w:strike w:val="0"/>
      <w:spacing w:val="40"/>
      <w:sz w:val="17"/>
      <w:szCs w:val="17"/>
      <w:shd w:val="clear" w:color="auto" w:fill="FFFFFF"/>
    </w:rPr>
  </w:style>
  <w:style w:type="paragraph" w:customStyle="1" w:styleId="7f">
    <w:name w:val="Основной текст7"/>
    <w:basedOn w:val="a"/>
    <w:rsid w:val="0036504D"/>
    <w:pPr>
      <w:shd w:val="clear" w:color="auto" w:fill="FFFFFF"/>
      <w:spacing w:before="780" w:after="0" w:line="263" w:lineRule="exact"/>
    </w:pPr>
    <w:rPr>
      <w:rFonts w:ascii="Batang" w:eastAsia="Batang" w:hAnsi="Batang" w:cs="Batang"/>
      <w:color w:val="000000"/>
      <w:sz w:val="17"/>
      <w:szCs w:val="17"/>
      <w:lang w:eastAsia="ru-RU"/>
    </w:rPr>
  </w:style>
  <w:style w:type="character" w:customStyle="1" w:styleId="4Batang9pt">
    <w:name w:val="Основной текст (4) + Batang;9 pt;Не курсив"/>
    <w:basedOn w:val="46"/>
    <w:rsid w:val="009B6B91"/>
    <w:rPr>
      <w:rFonts w:ascii="Batang" w:eastAsia="Batang" w:hAnsi="Batang" w:cs="Batang"/>
      <w:b w:val="0"/>
      <w:bCs w:val="0"/>
      <w:i/>
      <w:iCs/>
      <w:smallCaps w:val="0"/>
      <w:strike w:val="0"/>
      <w:spacing w:val="0"/>
      <w:sz w:val="18"/>
      <w:szCs w:val="18"/>
      <w:shd w:val="clear" w:color="auto" w:fill="FFFFFF"/>
    </w:rPr>
  </w:style>
  <w:style w:type="character" w:customStyle="1" w:styleId="TrebuchetMS8pt">
    <w:name w:val="Основной текст + Trebuchet MS;8 pt"/>
    <w:basedOn w:val="aff0"/>
    <w:rsid w:val="003C730B"/>
    <w:rPr>
      <w:rFonts w:ascii="Trebuchet MS" w:eastAsia="Trebuchet MS" w:hAnsi="Trebuchet MS" w:cs="Trebuchet MS"/>
      <w:b w:val="0"/>
      <w:bCs w:val="0"/>
      <w:i w:val="0"/>
      <w:iCs w:val="0"/>
      <w:smallCaps w:val="0"/>
      <w:strike w:val="0"/>
      <w:spacing w:val="0"/>
      <w:sz w:val="16"/>
      <w:szCs w:val="16"/>
      <w:shd w:val="clear" w:color="auto" w:fill="FFFFFF"/>
    </w:rPr>
  </w:style>
  <w:style w:type="character" w:customStyle="1" w:styleId="TimesNewRoman105pt">
    <w:name w:val="Основной текст + Times New Roman;10;5 pt;Курсив"/>
    <w:basedOn w:val="aff0"/>
    <w:rsid w:val="003C730B"/>
    <w:rPr>
      <w:rFonts w:ascii="Times New Roman" w:eastAsia="Times New Roman" w:hAnsi="Times New Roman" w:cs="Times New Roman"/>
      <w:b w:val="0"/>
      <w:bCs w:val="0"/>
      <w:i/>
      <w:iCs/>
      <w:smallCaps w:val="0"/>
      <w:strike w:val="0"/>
      <w:spacing w:val="0"/>
      <w:sz w:val="21"/>
      <w:szCs w:val="21"/>
      <w:shd w:val="clear" w:color="auto" w:fill="FFFFFF"/>
    </w:rPr>
  </w:style>
  <w:style w:type="character" w:customStyle="1" w:styleId="Garamond95pt">
    <w:name w:val="Основной текст + Garamond;9;5 pt;Курсив"/>
    <w:basedOn w:val="aff0"/>
    <w:rsid w:val="003C730B"/>
    <w:rPr>
      <w:rFonts w:ascii="Garamond" w:eastAsia="Garamond" w:hAnsi="Garamond" w:cs="Garamond"/>
      <w:b w:val="0"/>
      <w:bCs w:val="0"/>
      <w:i/>
      <w:iCs/>
      <w:smallCaps w:val="0"/>
      <w:strike w:val="0"/>
      <w:spacing w:val="0"/>
      <w:sz w:val="19"/>
      <w:szCs w:val="19"/>
      <w:shd w:val="clear" w:color="auto" w:fill="FFFFFF"/>
    </w:rPr>
  </w:style>
  <w:style w:type="character" w:customStyle="1" w:styleId="5f2">
    <w:name w:val="Основной текст5"/>
    <w:basedOn w:val="aff0"/>
    <w:rsid w:val="003C730B"/>
    <w:rPr>
      <w:rFonts w:ascii="Gungsuh" w:eastAsia="Gungsuh" w:hAnsi="Gungsuh" w:cs="Gungsuh"/>
      <w:b w:val="0"/>
      <w:bCs w:val="0"/>
      <w:i w:val="0"/>
      <w:iCs w:val="0"/>
      <w:smallCaps w:val="0"/>
      <w:strike w:val="0"/>
      <w:spacing w:val="0"/>
      <w:sz w:val="16"/>
      <w:szCs w:val="16"/>
      <w:shd w:val="clear" w:color="auto" w:fill="FFFFFF"/>
    </w:rPr>
  </w:style>
  <w:style w:type="paragraph" w:customStyle="1" w:styleId="6c">
    <w:name w:val="Основной текст6"/>
    <w:basedOn w:val="a"/>
    <w:rsid w:val="003C730B"/>
    <w:pPr>
      <w:shd w:val="clear" w:color="auto" w:fill="FFFFFF"/>
      <w:spacing w:before="300" w:after="0" w:line="263" w:lineRule="exact"/>
    </w:pPr>
    <w:rPr>
      <w:rFonts w:ascii="Gungsuh" w:eastAsia="Gungsuh" w:hAnsi="Gungsuh" w:cs="Gungsuh"/>
      <w:color w:val="000000"/>
      <w:sz w:val="16"/>
      <w:szCs w:val="16"/>
      <w:lang w:eastAsia="ru-RU"/>
    </w:rPr>
  </w:style>
  <w:style w:type="character" w:customStyle="1" w:styleId="CordiaUPC165pt-1pt">
    <w:name w:val="Основной текст + CordiaUPC;16;5 pt;Курсив;Интервал -1 pt"/>
    <w:basedOn w:val="aff0"/>
    <w:rsid w:val="003C730B"/>
    <w:rPr>
      <w:rFonts w:ascii="CordiaUPC" w:eastAsia="CordiaUPC" w:hAnsi="CordiaUPC" w:cs="CordiaUPC"/>
      <w:b w:val="0"/>
      <w:bCs w:val="0"/>
      <w:i/>
      <w:iCs/>
      <w:smallCaps w:val="0"/>
      <w:strike w:val="0"/>
      <w:spacing w:val="-20"/>
      <w:sz w:val="33"/>
      <w:szCs w:val="33"/>
      <w:shd w:val="clear" w:color="auto" w:fill="FFFFFF"/>
    </w:rPr>
  </w:style>
  <w:style w:type="character" w:customStyle="1" w:styleId="115pt2pt">
    <w:name w:val="Основной текст + 11;5 pt;Полужирный;Интервал 2 pt"/>
    <w:basedOn w:val="aff0"/>
    <w:rsid w:val="003C730B"/>
    <w:rPr>
      <w:rFonts w:ascii="Times New Roman" w:eastAsia="Times New Roman" w:hAnsi="Times New Roman" w:cs="Times New Roman"/>
      <w:b/>
      <w:bCs/>
      <w:i w:val="0"/>
      <w:iCs w:val="0"/>
      <w:smallCaps w:val="0"/>
      <w:strike w:val="0"/>
      <w:spacing w:val="40"/>
      <w:sz w:val="23"/>
      <w:szCs w:val="23"/>
      <w:shd w:val="clear" w:color="auto" w:fill="FFFFFF"/>
    </w:rPr>
  </w:style>
  <w:style w:type="character" w:customStyle="1" w:styleId="Gulim9pt0pt">
    <w:name w:val="Основной текст + Gulim;9 pt;Интервал 0 pt"/>
    <w:basedOn w:val="aff0"/>
    <w:rsid w:val="00720566"/>
    <w:rPr>
      <w:rFonts w:ascii="Gulim" w:eastAsia="Gulim" w:hAnsi="Gulim" w:cs="Gulim"/>
      <w:b w:val="0"/>
      <w:bCs w:val="0"/>
      <w:i w:val="0"/>
      <w:iCs w:val="0"/>
      <w:smallCaps w:val="0"/>
      <w:strike w:val="0"/>
      <w:spacing w:val="0"/>
      <w:w w:val="100"/>
      <w:sz w:val="18"/>
      <w:szCs w:val="18"/>
      <w:shd w:val="clear" w:color="auto" w:fill="FFFFFF"/>
    </w:rPr>
  </w:style>
  <w:style w:type="character" w:customStyle="1" w:styleId="Arial13pt-1pt">
    <w:name w:val="Основной текст + Arial;13 pt;Курсив;Интервал -1 pt"/>
    <w:basedOn w:val="aff0"/>
    <w:rsid w:val="00720566"/>
    <w:rPr>
      <w:rFonts w:ascii="Arial" w:eastAsia="Arial" w:hAnsi="Arial" w:cs="Arial"/>
      <w:b w:val="0"/>
      <w:bCs w:val="0"/>
      <w:i/>
      <w:iCs/>
      <w:smallCaps w:val="0"/>
      <w:strike w:val="0"/>
      <w:spacing w:val="-30"/>
      <w:w w:val="100"/>
      <w:sz w:val="26"/>
      <w:szCs w:val="26"/>
      <w:shd w:val="clear" w:color="auto" w:fill="FFFFFF"/>
    </w:rPr>
  </w:style>
  <w:style w:type="character" w:customStyle="1" w:styleId="410pt">
    <w:name w:val="Основной текст (4) + 10 pt;Не курсив"/>
    <w:basedOn w:val="46"/>
    <w:rsid w:val="00084DF1"/>
    <w:rPr>
      <w:rFonts w:ascii="Microsoft Sans Serif" w:eastAsia="Microsoft Sans Serif" w:hAnsi="Microsoft Sans Serif" w:cs="Microsoft Sans Serif"/>
      <w:b w:val="0"/>
      <w:bCs w:val="0"/>
      <w:i/>
      <w:iCs/>
      <w:smallCaps w:val="0"/>
      <w:strike w:val="0"/>
      <w:spacing w:val="0"/>
      <w:sz w:val="20"/>
      <w:szCs w:val="20"/>
      <w:shd w:val="clear" w:color="auto" w:fill="FFFFFF"/>
    </w:rPr>
  </w:style>
  <w:style w:type="character" w:customStyle="1" w:styleId="3-1pt0">
    <w:name w:val="Основной текст (3) + Интервал -1 pt"/>
    <w:basedOn w:val="35"/>
    <w:rsid w:val="00D463B4"/>
    <w:rPr>
      <w:rFonts w:ascii="MS Gothic" w:eastAsia="MS Gothic" w:hAnsi="MS Gothic" w:cs="MS Gothic"/>
      <w:b w:val="0"/>
      <w:bCs w:val="0"/>
      <w:i w:val="0"/>
      <w:iCs w:val="0"/>
      <w:smallCaps w:val="0"/>
      <w:strike w:val="0"/>
      <w:spacing w:val="-20"/>
      <w:sz w:val="19"/>
      <w:szCs w:val="19"/>
      <w:shd w:val="clear" w:color="auto" w:fill="FFFFFF"/>
    </w:rPr>
  </w:style>
  <w:style w:type="character" w:customStyle="1" w:styleId="MSGothic95pt0pt">
    <w:name w:val="Основной текст + MS Gothic;9;5 pt;Курсив;Интервал 0 pt"/>
    <w:basedOn w:val="aff0"/>
    <w:rsid w:val="00D463B4"/>
    <w:rPr>
      <w:rFonts w:ascii="MS Gothic" w:eastAsia="MS Gothic" w:hAnsi="MS Gothic" w:cs="MS Gothic"/>
      <w:b w:val="0"/>
      <w:bCs w:val="0"/>
      <w:i/>
      <w:iCs/>
      <w:smallCaps w:val="0"/>
      <w:strike w:val="0"/>
      <w:spacing w:val="10"/>
      <w:sz w:val="19"/>
      <w:szCs w:val="19"/>
      <w:shd w:val="clear" w:color="auto" w:fill="FFFFFF"/>
    </w:rPr>
  </w:style>
  <w:style w:type="character" w:customStyle="1" w:styleId="Tahoma115pt">
    <w:name w:val="Основной текст + Tahoma;11;5 pt;Малые прописные"/>
    <w:basedOn w:val="aff0"/>
    <w:rsid w:val="00E04C7E"/>
    <w:rPr>
      <w:rFonts w:ascii="Tahoma" w:eastAsia="Tahoma" w:hAnsi="Tahoma" w:cs="Tahoma"/>
      <w:b w:val="0"/>
      <w:bCs w:val="0"/>
      <w:i w:val="0"/>
      <w:iCs w:val="0"/>
      <w:smallCaps/>
      <w:strike w:val="0"/>
      <w:spacing w:val="0"/>
      <w:w w:val="100"/>
      <w:sz w:val="23"/>
      <w:szCs w:val="23"/>
      <w:shd w:val="clear" w:color="auto" w:fill="FFFFFF"/>
    </w:rPr>
  </w:style>
  <w:style w:type="character" w:customStyle="1" w:styleId="Consolas105pt0pt">
    <w:name w:val="Основной текст + Consolas;10;5 pt;Малые прописные;Интервал 0 pt"/>
    <w:basedOn w:val="aff0"/>
    <w:rsid w:val="00E04C7E"/>
    <w:rPr>
      <w:rFonts w:ascii="Consolas" w:eastAsia="Consolas" w:hAnsi="Consolas" w:cs="Consolas"/>
      <w:b w:val="0"/>
      <w:bCs w:val="0"/>
      <w:i w:val="0"/>
      <w:iCs w:val="0"/>
      <w:smallCaps/>
      <w:strike w:val="0"/>
      <w:spacing w:val="-10"/>
      <w:w w:val="100"/>
      <w:sz w:val="21"/>
      <w:szCs w:val="21"/>
      <w:shd w:val="clear" w:color="auto" w:fill="FFFFFF"/>
    </w:rPr>
  </w:style>
  <w:style w:type="character" w:customStyle="1" w:styleId="9pt0pt">
    <w:name w:val="Основной текст + 9 pt;Интервал 0 pt"/>
    <w:basedOn w:val="aff0"/>
    <w:rsid w:val="00E04C7E"/>
    <w:rPr>
      <w:rFonts w:ascii="MS Mincho" w:eastAsia="MS Mincho" w:hAnsi="MS Mincho" w:cs="MS Mincho"/>
      <w:b w:val="0"/>
      <w:bCs w:val="0"/>
      <w:i w:val="0"/>
      <w:iCs w:val="0"/>
      <w:smallCaps w:val="0"/>
      <w:strike w:val="0"/>
      <w:spacing w:val="0"/>
      <w:w w:val="100"/>
      <w:sz w:val="18"/>
      <w:szCs w:val="18"/>
    </w:rPr>
  </w:style>
  <w:style w:type="character" w:customStyle="1" w:styleId="TimesNewRoman105pt0pt">
    <w:name w:val="Основной текст + Times New Roman;10;5 pt;Не полужирный;Интервал 0 pt"/>
    <w:basedOn w:val="aff0"/>
    <w:rsid w:val="00F80E25"/>
    <w:rPr>
      <w:rFonts w:ascii="Times New Roman" w:eastAsia="Times New Roman" w:hAnsi="Times New Roman" w:cs="Times New Roman"/>
      <w:b/>
      <w:bCs/>
      <w:i w:val="0"/>
      <w:iCs w:val="0"/>
      <w:smallCaps w:val="0"/>
      <w:strike w:val="0"/>
      <w:spacing w:val="0"/>
      <w:w w:val="100"/>
      <w:sz w:val="21"/>
      <w:szCs w:val="21"/>
      <w:shd w:val="clear" w:color="auto" w:fill="FFFFFF"/>
    </w:rPr>
  </w:style>
  <w:style w:type="character" w:customStyle="1" w:styleId="95pt0pt">
    <w:name w:val="Основной текст + 9;5 pt;Полужирный;Интервал 0 pt"/>
    <w:basedOn w:val="aff0"/>
    <w:rsid w:val="00F80E25"/>
    <w:rPr>
      <w:rFonts w:ascii="SimSun" w:eastAsia="SimSun" w:hAnsi="SimSun" w:cs="SimSun"/>
      <w:b/>
      <w:bCs/>
      <w:i w:val="0"/>
      <w:iCs w:val="0"/>
      <w:smallCaps w:val="0"/>
      <w:strike w:val="0"/>
      <w:spacing w:val="0"/>
      <w:w w:val="100"/>
      <w:sz w:val="19"/>
      <w:szCs w:val="19"/>
      <w:shd w:val="clear" w:color="auto" w:fill="FFFFFF"/>
    </w:rPr>
  </w:style>
  <w:style w:type="character" w:customStyle="1" w:styleId="11pt0pt">
    <w:name w:val="Основной текст + 11 pt;Курсив;Интервал 0 pt"/>
    <w:basedOn w:val="aff0"/>
    <w:rsid w:val="00BB62B0"/>
    <w:rPr>
      <w:rFonts w:ascii="SimSun" w:eastAsia="SimSun" w:hAnsi="SimSun" w:cs="SimSun"/>
      <w:b w:val="0"/>
      <w:bCs w:val="0"/>
      <w:i/>
      <w:iCs/>
      <w:smallCaps w:val="0"/>
      <w:strike w:val="0"/>
      <w:spacing w:val="-10"/>
      <w:sz w:val="22"/>
      <w:szCs w:val="22"/>
      <w:shd w:val="clear" w:color="auto" w:fill="FFFFFF"/>
    </w:rPr>
  </w:style>
  <w:style w:type="character" w:customStyle="1" w:styleId="MicrosoftSansSerif85pt0pt">
    <w:name w:val="Основной текст + Microsoft Sans Serif;8;5 pt;Малые прописные;Интервал 0 pt"/>
    <w:basedOn w:val="aff0"/>
    <w:rsid w:val="00BB62B0"/>
    <w:rPr>
      <w:rFonts w:ascii="Microsoft Sans Serif" w:eastAsia="Microsoft Sans Serif" w:hAnsi="Microsoft Sans Serif" w:cs="Microsoft Sans Serif"/>
      <w:b w:val="0"/>
      <w:bCs w:val="0"/>
      <w:i w:val="0"/>
      <w:iCs w:val="0"/>
      <w:smallCaps/>
      <w:strike w:val="0"/>
      <w:spacing w:val="10"/>
      <w:sz w:val="17"/>
      <w:szCs w:val="17"/>
      <w:shd w:val="clear" w:color="auto" w:fill="FFFFFF"/>
    </w:rPr>
  </w:style>
  <w:style w:type="character" w:customStyle="1" w:styleId="0pt2">
    <w:name w:val="Основной текст + Не полужирный;Малые прописные;Интервал 0 pt"/>
    <w:basedOn w:val="aff0"/>
    <w:rsid w:val="00576841"/>
    <w:rPr>
      <w:rFonts w:ascii="Batang" w:eastAsia="Batang" w:hAnsi="Batang" w:cs="Batang"/>
      <w:b/>
      <w:bCs/>
      <w:i w:val="0"/>
      <w:iCs w:val="0"/>
      <w:smallCaps/>
      <w:strike w:val="0"/>
      <w:spacing w:val="0"/>
      <w:sz w:val="16"/>
      <w:szCs w:val="16"/>
      <w:shd w:val="clear" w:color="auto" w:fill="FFFFFF"/>
    </w:rPr>
  </w:style>
  <w:style w:type="character" w:customStyle="1" w:styleId="95pt0">
    <w:name w:val="Основной текст + 9;5 pt;Не полужирный;Курсив"/>
    <w:basedOn w:val="aff0"/>
    <w:rsid w:val="00576841"/>
    <w:rPr>
      <w:rFonts w:ascii="Batang" w:eastAsia="Batang" w:hAnsi="Batang" w:cs="Batang"/>
      <w:b/>
      <w:bCs/>
      <w:i/>
      <w:iCs/>
      <w:smallCaps w:val="0"/>
      <w:strike w:val="0"/>
      <w:spacing w:val="10"/>
      <w:sz w:val="19"/>
      <w:szCs w:val="19"/>
      <w:shd w:val="clear" w:color="auto" w:fill="FFFFFF"/>
      <w:lang w:val="en-US"/>
    </w:rPr>
  </w:style>
  <w:style w:type="character" w:customStyle="1" w:styleId="afffff4">
    <w:name w:val="Основной текст + Малые прописные"/>
    <w:basedOn w:val="aff0"/>
    <w:rsid w:val="000449CB"/>
    <w:rPr>
      <w:rFonts w:ascii="Gungsuh" w:eastAsia="Gungsuh" w:hAnsi="Gungsuh" w:cs="Gungsuh"/>
      <w:b w:val="0"/>
      <w:bCs w:val="0"/>
      <w:i w:val="0"/>
      <w:iCs w:val="0"/>
      <w:smallCaps/>
      <w:strike w:val="0"/>
      <w:spacing w:val="0"/>
      <w:sz w:val="16"/>
      <w:szCs w:val="16"/>
      <w:shd w:val="clear" w:color="auto" w:fill="FFFFFF"/>
    </w:rPr>
  </w:style>
  <w:style w:type="character" w:customStyle="1" w:styleId="12pt1pt">
    <w:name w:val="Основной текст + 12 pt;Интервал 1 pt"/>
    <w:basedOn w:val="aff0"/>
    <w:rsid w:val="000449CB"/>
    <w:rPr>
      <w:rFonts w:ascii="Gungsuh" w:eastAsia="Gungsuh" w:hAnsi="Gungsuh" w:cs="Gungsuh"/>
      <w:b w:val="0"/>
      <w:bCs w:val="0"/>
      <w:i w:val="0"/>
      <w:iCs w:val="0"/>
      <w:smallCaps w:val="0"/>
      <w:strike w:val="0"/>
      <w:spacing w:val="20"/>
      <w:sz w:val="24"/>
      <w:szCs w:val="24"/>
      <w:shd w:val="clear" w:color="auto" w:fill="FFFFFF"/>
    </w:rPr>
  </w:style>
  <w:style w:type="character" w:customStyle="1" w:styleId="Gungsuh9pt">
    <w:name w:val="Основной текст + Gungsuh;9 pt;Курсив"/>
    <w:basedOn w:val="aff0"/>
    <w:rsid w:val="000449CB"/>
    <w:rPr>
      <w:rFonts w:ascii="Gungsuh" w:eastAsia="Gungsuh" w:hAnsi="Gungsuh" w:cs="Gungsuh"/>
      <w:b w:val="0"/>
      <w:bCs w:val="0"/>
      <w:i/>
      <w:iCs/>
      <w:smallCaps w:val="0"/>
      <w:strike w:val="0"/>
      <w:spacing w:val="0"/>
      <w:sz w:val="18"/>
      <w:szCs w:val="18"/>
      <w:shd w:val="clear" w:color="auto" w:fill="FFFFFF"/>
    </w:rPr>
  </w:style>
  <w:style w:type="character" w:customStyle="1" w:styleId="2135pt-1pt">
    <w:name w:val="Основной текст (2) + 13;5 pt;Интервал -1 pt"/>
    <w:basedOn w:val="2a"/>
    <w:rsid w:val="000449CB"/>
    <w:rPr>
      <w:rFonts w:ascii="Gungsuh" w:eastAsia="Gungsuh" w:hAnsi="Gungsuh" w:cs="Gungsuh"/>
      <w:b w:val="0"/>
      <w:bCs w:val="0"/>
      <w:i w:val="0"/>
      <w:iCs w:val="0"/>
      <w:smallCaps w:val="0"/>
      <w:strike w:val="0"/>
      <w:spacing w:val="-30"/>
      <w:sz w:val="27"/>
      <w:szCs w:val="27"/>
      <w:shd w:val="clear" w:color="auto" w:fill="FFFFFF"/>
      <w:lang w:val="en-US" w:eastAsia="en-US"/>
    </w:rPr>
  </w:style>
  <w:style w:type="character" w:customStyle="1" w:styleId="1pt2">
    <w:name w:val="Основной текст + Малые прописные;Интервал 1 pt"/>
    <w:basedOn w:val="aff0"/>
    <w:rsid w:val="000449CB"/>
    <w:rPr>
      <w:rFonts w:ascii="Gungsuh" w:eastAsia="Gungsuh" w:hAnsi="Gungsuh" w:cs="Gungsuh"/>
      <w:b w:val="0"/>
      <w:bCs w:val="0"/>
      <w:i w:val="0"/>
      <w:iCs w:val="0"/>
      <w:smallCaps/>
      <w:strike w:val="0"/>
      <w:spacing w:val="20"/>
      <w:sz w:val="17"/>
      <w:szCs w:val="17"/>
      <w:shd w:val="clear" w:color="auto" w:fill="FFFFFF"/>
    </w:rPr>
  </w:style>
  <w:style w:type="character" w:customStyle="1" w:styleId="6pt">
    <w:name w:val="Основной текст + Интервал 6 pt"/>
    <w:basedOn w:val="aff0"/>
    <w:rsid w:val="00635631"/>
    <w:rPr>
      <w:rFonts w:ascii="Consolas" w:eastAsia="Consolas" w:hAnsi="Consolas" w:cs="Consolas"/>
      <w:b w:val="0"/>
      <w:bCs w:val="0"/>
      <w:i w:val="0"/>
      <w:iCs w:val="0"/>
      <w:smallCaps w:val="0"/>
      <w:strike w:val="0"/>
      <w:spacing w:val="120"/>
      <w:w w:val="100"/>
      <w:sz w:val="20"/>
      <w:szCs w:val="20"/>
      <w:shd w:val="clear" w:color="auto" w:fill="FFFFFF"/>
    </w:rPr>
  </w:style>
  <w:style w:type="character" w:customStyle="1" w:styleId="9pt1pt">
    <w:name w:val="Основной текст + 9 pt;Малые прописные;Интервал 1 pt"/>
    <w:basedOn w:val="aff0"/>
    <w:rsid w:val="00BE3EAC"/>
    <w:rPr>
      <w:rFonts w:ascii="MingLiU" w:eastAsia="MingLiU" w:hAnsi="MingLiU" w:cs="MingLiU"/>
      <w:b w:val="0"/>
      <w:bCs w:val="0"/>
      <w:i w:val="0"/>
      <w:iCs w:val="0"/>
      <w:smallCaps/>
      <w:strike w:val="0"/>
      <w:spacing w:val="20"/>
      <w:sz w:val="18"/>
      <w:szCs w:val="18"/>
      <w:shd w:val="clear" w:color="auto" w:fill="FFFFFF"/>
      <w:lang w:val="en-US"/>
    </w:rPr>
  </w:style>
  <w:style w:type="character" w:customStyle="1" w:styleId="95pt60">
    <w:name w:val="Основной текст + 9;5 pt;Курсив;Масштаб 60%"/>
    <w:basedOn w:val="aff0"/>
    <w:rsid w:val="00E922D7"/>
    <w:rPr>
      <w:rFonts w:ascii="Gungsuh" w:eastAsia="Gungsuh" w:hAnsi="Gungsuh" w:cs="Gungsuh"/>
      <w:b w:val="0"/>
      <w:bCs w:val="0"/>
      <w:i/>
      <w:iCs/>
      <w:smallCaps w:val="0"/>
      <w:strike w:val="0"/>
      <w:spacing w:val="0"/>
      <w:w w:val="60"/>
      <w:sz w:val="19"/>
      <w:szCs w:val="19"/>
      <w:shd w:val="clear" w:color="auto" w:fill="FFFFFF"/>
    </w:rPr>
  </w:style>
  <w:style w:type="character" w:customStyle="1" w:styleId="10pt0">
    <w:name w:val="Основной текст + 10 pt;Курсив"/>
    <w:basedOn w:val="aff0"/>
    <w:rsid w:val="00E922D7"/>
    <w:rPr>
      <w:rFonts w:ascii="Gungsuh" w:eastAsia="Gungsuh" w:hAnsi="Gungsuh" w:cs="Gungsuh"/>
      <w:b w:val="0"/>
      <w:bCs w:val="0"/>
      <w:i/>
      <w:iCs/>
      <w:smallCaps w:val="0"/>
      <w:strike w:val="0"/>
      <w:spacing w:val="0"/>
      <w:sz w:val="20"/>
      <w:szCs w:val="20"/>
      <w:shd w:val="clear" w:color="auto" w:fill="FFFFFF"/>
    </w:rPr>
  </w:style>
  <w:style w:type="character" w:customStyle="1" w:styleId="0pt3">
    <w:name w:val="Основной текст + Малые прописные;Интервал 0 pt"/>
    <w:basedOn w:val="aff0"/>
    <w:rsid w:val="00E922D7"/>
    <w:rPr>
      <w:rFonts w:ascii="Gungsuh" w:eastAsia="Gungsuh" w:hAnsi="Gungsuh" w:cs="Gungsuh"/>
      <w:b w:val="0"/>
      <w:bCs w:val="0"/>
      <w:i w:val="0"/>
      <w:iCs w:val="0"/>
      <w:smallCaps/>
      <w:strike w:val="0"/>
      <w:spacing w:val="-10"/>
      <w:sz w:val="16"/>
      <w:szCs w:val="16"/>
      <w:shd w:val="clear" w:color="auto" w:fill="FFFFFF"/>
    </w:rPr>
  </w:style>
  <w:style w:type="character" w:customStyle="1" w:styleId="TrebuchetMS95pt-1pt">
    <w:name w:val="Основной текст + Trebuchet MS;9;5 pt;Курсив;Интервал -1 pt"/>
    <w:basedOn w:val="aff0"/>
    <w:rsid w:val="00E922D7"/>
    <w:rPr>
      <w:rFonts w:ascii="Trebuchet MS" w:eastAsia="Trebuchet MS" w:hAnsi="Trebuchet MS" w:cs="Trebuchet MS"/>
      <w:b w:val="0"/>
      <w:bCs w:val="0"/>
      <w:i/>
      <w:iCs/>
      <w:smallCaps w:val="0"/>
      <w:strike w:val="0"/>
      <w:spacing w:val="-20"/>
      <w:sz w:val="19"/>
      <w:szCs w:val="19"/>
      <w:shd w:val="clear" w:color="auto" w:fill="FFFFFF"/>
    </w:rPr>
  </w:style>
  <w:style w:type="character" w:customStyle="1" w:styleId="Garamond10pt">
    <w:name w:val="Основной текст + Garamond;10 pt;Малые прописные"/>
    <w:basedOn w:val="aff0"/>
    <w:rsid w:val="00BF0974"/>
    <w:rPr>
      <w:rFonts w:ascii="Garamond" w:eastAsia="Garamond" w:hAnsi="Garamond" w:cs="Garamond"/>
      <w:b w:val="0"/>
      <w:bCs w:val="0"/>
      <w:i w:val="0"/>
      <w:iCs w:val="0"/>
      <w:smallCaps/>
      <w:strike w:val="0"/>
      <w:spacing w:val="0"/>
      <w:sz w:val="20"/>
      <w:szCs w:val="20"/>
      <w:shd w:val="clear" w:color="auto" w:fill="FFFFFF"/>
    </w:rPr>
  </w:style>
  <w:style w:type="character" w:customStyle="1" w:styleId="75pt-1pt50">
    <w:name w:val="Основной текст + 7;5 pt;Интервал -1 pt;Масштаб 50%"/>
    <w:basedOn w:val="aff0"/>
    <w:rsid w:val="00BF0974"/>
    <w:rPr>
      <w:rFonts w:ascii="Batang" w:eastAsia="Batang" w:hAnsi="Batang" w:cs="Batang"/>
      <w:b w:val="0"/>
      <w:bCs w:val="0"/>
      <w:i w:val="0"/>
      <w:iCs w:val="0"/>
      <w:smallCaps w:val="0"/>
      <w:strike w:val="0"/>
      <w:spacing w:val="-20"/>
      <w:w w:val="50"/>
      <w:sz w:val="15"/>
      <w:szCs w:val="15"/>
      <w:shd w:val="clear" w:color="auto" w:fill="FFFFFF"/>
    </w:rPr>
  </w:style>
  <w:style w:type="character" w:customStyle="1" w:styleId="95pt0pt0">
    <w:name w:val="Основной текст + 9;5 pt;Малые прописные;Интервал 0 pt"/>
    <w:basedOn w:val="aff0"/>
    <w:rsid w:val="00BF0974"/>
    <w:rPr>
      <w:rFonts w:ascii="Century Schoolbook" w:eastAsia="Century Schoolbook" w:hAnsi="Century Schoolbook" w:cs="Century Schoolbook"/>
      <w:b w:val="0"/>
      <w:bCs w:val="0"/>
      <w:i w:val="0"/>
      <w:iCs w:val="0"/>
      <w:smallCaps/>
      <w:strike w:val="0"/>
      <w:spacing w:val="0"/>
      <w:sz w:val="19"/>
      <w:szCs w:val="19"/>
      <w:shd w:val="clear" w:color="auto" w:fill="FFFFFF"/>
    </w:rPr>
  </w:style>
  <w:style w:type="character" w:customStyle="1" w:styleId="75pt0pt">
    <w:name w:val="Основной текст + 7;5 pt;Малые прописные;Интервал 0 pt"/>
    <w:basedOn w:val="aff0"/>
    <w:rsid w:val="00BF0974"/>
    <w:rPr>
      <w:rFonts w:ascii="Century Schoolbook" w:eastAsia="Century Schoolbook" w:hAnsi="Century Schoolbook" w:cs="Century Schoolbook"/>
      <w:b w:val="0"/>
      <w:bCs w:val="0"/>
      <w:i w:val="0"/>
      <w:iCs w:val="0"/>
      <w:smallCaps/>
      <w:strike w:val="0"/>
      <w:spacing w:val="0"/>
      <w:sz w:val="15"/>
      <w:szCs w:val="15"/>
      <w:shd w:val="clear" w:color="auto" w:fill="FFFFFF"/>
    </w:rPr>
  </w:style>
  <w:style w:type="character" w:customStyle="1" w:styleId="8pt0pt">
    <w:name w:val="Основной текст + 8 pt;Малые прописные;Интервал 0 pt"/>
    <w:basedOn w:val="aff0"/>
    <w:rsid w:val="00BF0974"/>
    <w:rPr>
      <w:rFonts w:ascii="Gungsuh" w:eastAsia="Gungsuh" w:hAnsi="Gungsuh" w:cs="Gungsuh"/>
      <w:b w:val="0"/>
      <w:bCs w:val="0"/>
      <w:i w:val="0"/>
      <w:iCs w:val="0"/>
      <w:smallCaps/>
      <w:strike w:val="0"/>
      <w:spacing w:val="10"/>
      <w:sz w:val="16"/>
      <w:szCs w:val="16"/>
      <w:shd w:val="clear" w:color="auto" w:fill="FFFFFF"/>
    </w:rPr>
  </w:style>
  <w:style w:type="character" w:customStyle="1" w:styleId="TrebuchetMS10pt">
    <w:name w:val="Основной текст + Trebuchet MS;10 pt;Курсив"/>
    <w:basedOn w:val="aff0"/>
    <w:rsid w:val="00BF0974"/>
    <w:rPr>
      <w:rFonts w:ascii="Trebuchet MS" w:eastAsia="Trebuchet MS" w:hAnsi="Trebuchet MS" w:cs="Trebuchet MS"/>
      <w:b w:val="0"/>
      <w:bCs w:val="0"/>
      <w:i/>
      <w:iCs/>
      <w:smallCaps w:val="0"/>
      <w:strike w:val="0"/>
      <w:spacing w:val="0"/>
      <w:sz w:val="20"/>
      <w:szCs w:val="20"/>
      <w:shd w:val="clear" w:color="auto" w:fill="FFFFFF"/>
    </w:rPr>
  </w:style>
  <w:style w:type="character" w:customStyle="1" w:styleId="105pt0pt0">
    <w:name w:val="Основной текст + 10;5 pt;Интервал 0 pt"/>
    <w:basedOn w:val="aff0"/>
    <w:rsid w:val="00BF0974"/>
    <w:rPr>
      <w:rFonts w:ascii="Gungsuh" w:eastAsia="Gungsuh" w:hAnsi="Gungsuh" w:cs="Gungsuh"/>
      <w:b w:val="0"/>
      <w:bCs w:val="0"/>
      <w:i w:val="0"/>
      <w:iCs w:val="0"/>
      <w:smallCaps w:val="0"/>
      <w:strike w:val="0"/>
      <w:spacing w:val="-10"/>
      <w:sz w:val="21"/>
      <w:szCs w:val="21"/>
    </w:rPr>
  </w:style>
  <w:style w:type="character" w:customStyle="1" w:styleId="CenturyGothic95pt0pt">
    <w:name w:val="Основной текст + Century Gothic;9;5 pt;Курсив;Интервал 0 pt"/>
    <w:basedOn w:val="aff0"/>
    <w:rsid w:val="005D428E"/>
    <w:rPr>
      <w:rFonts w:ascii="Century Gothic" w:eastAsia="Century Gothic" w:hAnsi="Century Gothic" w:cs="Century Gothic"/>
      <w:b w:val="0"/>
      <w:bCs w:val="0"/>
      <w:i/>
      <w:iCs/>
      <w:smallCaps w:val="0"/>
      <w:strike w:val="0"/>
      <w:spacing w:val="0"/>
      <w:sz w:val="19"/>
      <w:szCs w:val="19"/>
      <w:shd w:val="clear" w:color="auto" w:fill="FFFFFF"/>
    </w:rPr>
  </w:style>
  <w:style w:type="character" w:customStyle="1" w:styleId="11pt">
    <w:name w:val="Основной текст + 11 pt;Полужирный"/>
    <w:basedOn w:val="aff0"/>
    <w:rsid w:val="005D428E"/>
    <w:rPr>
      <w:rFonts w:ascii="Century Schoolbook" w:eastAsia="Century Schoolbook" w:hAnsi="Century Schoolbook" w:cs="Century Schoolbook"/>
      <w:b/>
      <w:bCs/>
      <w:i w:val="0"/>
      <w:iCs w:val="0"/>
      <w:smallCaps w:val="0"/>
      <w:strike w:val="0"/>
      <w:spacing w:val="0"/>
      <w:sz w:val="22"/>
      <w:szCs w:val="22"/>
    </w:rPr>
  </w:style>
  <w:style w:type="character" w:customStyle="1" w:styleId="BookAntiqua75pt-1pt">
    <w:name w:val="Основной текст + Book Antiqua;7;5 pt;Курсив;Интервал -1 pt"/>
    <w:basedOn w:val="aff0"/>
    <w:rsid w:val="00E97AB2"/>
    <w:rPr>
      <w:rFonts w:ascii="Book Antiqua" w:eastAsia="Book Antiqua" w:hAnsi="Book Antiqua" w:cs="Book Antiqua"/>
      <w:i/>
      <w:iCs/>
      <w:spacing w:val="-20"/>
      <w:w w:val="100"/>
      <w:sz w:val="15"/>
      <w:szCs w:val="15"/>
      <w:shd w:val="clear" w:color="auto" w:fill="FFFFFF"/>
    </w:rPr>
  </w:style>
  <w:style w:type="character" w:customStyle="1" w:styleId="BookAntiqua105pt2pt">
    <w:name w:val="Основной текст + Book Antiqua;10;5 pt;Курсив;Интервал 2 pt"/>
    <w:basedOn w:val="aff0"/>
    <w:rsid w:val="00E97AB2"/>
    <w:rPr>
      <w:rFonts w:ascii="Book Antiqua" w:eastAsia="Book Antiqua" w:hAnsi="Book Antiqua" w:cs="Book Antiqua"/>
      <w:b w:val="0"/>
      <w:bCs w:val="0"/>
      <w:i/>
      <w:iCs/>
      <w:smallCaps w:val="0"/>
      <w:strike w:val="0"/>
      <w:spacing w:val="40"/>
      <w:sz w:val="21"/>
      <w:szCs w:val="21"/>
      <w:shd w:val="clear" w:color="auto" w:fill="FFFFFF"/>
    </w:rPr>
  </w:style>
  <w:style w:type="character" w:customStyle="1" w:styleId="afffff5">
    <w:name w:val="Основной текст + Полужирный;Малые прописные"/>
    <w:basedOn w:val="aff0"/>
    <w:rsid w:val="00E97AB2"/>
    <w:rPr>
      <w:rFonts w:ascii="Gungsuh" w:eastAsia="Gungsuh" w:hAnsi="Gungsuh" w:cs="Gungsuh"/>
      <w:b/>
      <w:bCs/>
      <w:i w:val="0"/>
      <w:iCs w:val="0"/>
      <w:smallCaps/>
      <w:strike w:val="0"/>
      <w:spacing w:val="0"/>
      <w:sz w:val="16"/>
      <w:szCs w:val="16"/>
      <w:shd w:val="clear" w:color="auto" w:fill="FFFFFF"/>
    </w:rPr>
  </w:style>
  <w:style w:type="paragraph" w:customStyle="1" w:styleId="rtejustify">
    <w:name w:val="rtejustify"/>
    <w:basedOn w:val="a"/>
    <w:rsid w:val="008C5F3D"/>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teright">
    <w:name w:val="rteright"/>
    <w:basedOn w:val="a"/>
    <w:rsid w:val="003B66C2"/>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tecenter">
    <w:name w:val="rtecenter"/>
    <w:basedOn w:val="a"/>
    <w:rsid w:val="003B66C2"/>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02">
    <w:name w:val="Основной текст10"/>
    <w:basedOn w:val="a"/>
    <w:link w:val="aff0"/>
    <w:rsid w:val="003B66C2"/>
    <w:pPr>
      <w:shd w:val="clear" w:color="auto" w:fill="FFFFFF"/>
      <w:spacing w:after="480" w:line="0" w:lineRule="atLeast"/>
    </w:pPr>
    <w:rPr>
      <w:rFonts w:ascii="Microsoft Sans Serif" w:hAnsi="Microsoft Sans Serif" w:cs="Microsoft Sans Serif"/>
      <w:spacing w:val="-10"/>
      <w:sz w:val="29"/>
      <w:szCs w:val="29"/>
      <w:lang w:eastAsia="ru-RU"/>
    </w:rPr>
  </w:style>
  <w:style w:type="character" w:customStyle="1" w:styleId="9pt80">
    <w:name w:val="Основной текст + 9 pt;Курсив;Масштаб 80%"/>
    <w:basedOn w:val="aff0"/>
    <w:rsid w:val="00F90B37"/>
    <w:rPr>
      <w:rFonts w:ascii="Segoe UI" w:eastAsia="Segoe UI" w:hAnsi="Segoe UI" w:cs="Segoe UI"/>
      <w:b w:val="0"/>
      <w:bCs w:val="0"/>
      <w:i/>
      <w:iCs/>
      <w:smallCaps w:val="0"/>
      <w:strike w:val="0"/>
      <w:spacing w:val="0"/>
      <w:w w:val="80"/>
      <w:sz w:val="18"/>
      <w:szCs w:val="18"/>
      <w:shd w:val="clear" w:color="auto" w:fill="FFFFFF"/>
    </w:rPr>
  </w:style>
  <w:style w:type="character" w:customStyle="1" w:styleId="885pt100">
    <w:name w:val="Основной текст (8) + 8;5 pt;Не курсив;Масштаб 100%"/>
    <w:basedOn w:val="81"/>
    <w:rsid w:val="00BD4344"/>
    <w:rPr>
      <w:rFonts w:ascii="Segoe UI" w:eastAsia="Segoe UI" w:hAnsi="Segoe UI" w:cs="Segoe UI"/>
      <w:i/>
      <w:iCs/>
      <w:w w:val="100"/>
      <w:sz w:val="17"/>
      <w:szCs w:val="17"/>
      <w:shd w:val="clear" w:color="auto" w:fill="FFFFFF"/>
    </w:rPr>
  </w:style>
  <w:style w:type="character" w:customStyle="1" w:styleId="136">
    <w:name w:val="Основной текст13"/>
    <w:basedOn w:val="aff0"/>
    <w:rsid w:val="00DE1738"/>
    <w:rPr>
      <w:rFonts w:ascii="Gungsuh" w:eastAsia="Gungsuh" w:hAnsi="Gungsuh" w:cs="Gungsuh"/>
      <w:b w:val="0"/>
      <w:bCs w:val="0"/>
      <w:i w:val="0"/>
      <w:iCs w:val="0"/>
      <w:smallCaps w:val="0"/>
      <w:strike w:val="0"/>
      <w:spacing w:val="10"/>
      <w:sz w:val="23"/>
      <w:szCs w:val="23"/>
      <w:shd w:val="clear" w:color="auto" w:fill="FFFFFF"/>
    </w:rPr>
  </w:style>
  <w:style w:type="character" w:customStyle="1" w:styleId="11pt0">
    <w:name w:val="Основной текст + Интервал 11 pt"/>
    <w:basedOn w:val="aff0"/>
    <w:rsid w:val="00DE1738"/>
    <w:rPr>
      <w:rFonts w:ascii="Palatino Linotype" w:eastAsia="Palatino Linotype" w:hAnsi="Palatino Linotype" w:cs="Palatino Linotype"/>
      <w:b w:val="0"/>
      <w:bCs w:val="0"/>
      <w:i w:val="0"/>
      <w:iCs w:val="0"/>
      <w:smallCaps w:val="0"/>
      <w:strike w:val="0"/>
      <w:spacing w:val="220"/>
      <w:sz w:val="18"/>
      <w:szCs w:val="18"/>
      <w:shd w:val="clear" w:color="auto" w:fill="FFFFFF"/>
    </w:rPr>
  </w:style>
  <w:style w:type="character" w:customStyle="1" w:styleId="2ArialUnicodeMS95pt-1pt">
    <w:name w:val="Основной текст (2) + Arial Unicode MS;9;5 pt;Курсив;Интервал -1 pt"/>
    <w:basedOn w:val="2a"/>
    <w:rsid w:val="00DE1738"/>
    <w:rPr>
      <w:rFonts w:ascii="Arial Unicode MS" w:eastAsia="Arial Unicode MS" w:hAnsi="Arial Unicode MS" w:cs="Arial Unicode MS"/>
      <w:b w:val="0"/>
      <w:bCs w:val="0"/>
      <w:i/>
      <w:iCs/>
      <w:smallCaps w:val="0"/>
      <w:strike w:val="0"/>
      <w:spacing w:val="-20"/>
      <w:sz w:val="19"/>
      <w:szCs w:val="19"/>
      <w:shd w:val="clear" w:color="auto" w:fill="FFFFFF"/>
      <w:lang w:eastAsia="en-US"/>
    </w:rPr>
  </w:style>
  <w:style w:type="character" w:customStyle="1" w:styleId="5pt">
    <w:name w:val="Основной текст + 5 pt;Курсив"/>
    <w:basedOn w:val="aff0"/>
    <w:rsid w:val="00DE1738"/>
    <w:rPr>
      <w:rFonts w:ascii="Palatino Linotype" w:eastAsia="Palatino Linotype" w:hAnsi="Palatino Linotype" w:cs="Palatino Linotype"/>
      <w:b w:val="0"/>
      <w:bCs w:val="0"/>
      <w:i/>
      <w:iCs/>
      <w:smallCaps w:val="0"/>
      <w:strike w:val="0"/>
      <w:spacing w:val="0"/>
      <w:sz w:val="10"/>
      <w:szCs w:val="10"/>
      <w:shd w:val="clear" w:color="auto" w:fill="FFFFFF"/>
    </w:rPr>
  </w:style>
  <w:style w:type="character" w:customStyle="1" w:styleId="7pt1pt">
    <w:name w:val="Основной текст + 7 pt;Малые прописные;Интервал 1 pt"/>
    <w:basedOn w:val="aff0"/>
    <w:rsid w:val="00DE1738"/>
    <w:rPr>
      <w:rFonts w:ascii="Palatino Linotype" w:eastAsia="Palatino Linotype" w:hAnsi="Palatino Linotype" w:cs="Palatino Linotype"/>
      <w:b w:val="0"/>
      <w:bCs w:val="0"/>
      <w:i w:val="0"/>
      <w:iCs w:val="0"/>
      <w:smallCaps/>
      <w:strike w:val="0"/>
      <w:spacing w:val="20"/>
      <w:sz w:val="14"/>
      <w:szCs w:val="14"/>
      <w:shd w:val="clear" w:color="auto" w:fill="FFFFFF"/>
    </w:rPr>
  </w:style>
  <w:style w:type="paragraph" w:customStyle="1" w:styleId="232">
    <w:name w:val="Основной текст23"/>
    <w:basedOn w:val="a"/>
    <w:rsid w:val="00D92347"/>
    <w:pPr>
      <w:shd w:val="clear" w:color="auto" w:fill="FFFFFF"/>
      <w:spacing w:before="480" w:after="180" w:line="0" w:lineRule="atLeast"/>
      <w:ind w:hanging="200"/>
    </w:pPr>
    <w:rPr>
      <w:rFonts w:ascii="Arial Narrow" w:eastAsia="Arial Narrow" w:hAnsi="Arial Narrow" w:cs="Arial Narrow"/>
      <w:color w:val="000000"/>
      <w:sz w:val="18"/>
      <w:szCs w:val="18"/>
      <w:lang w:eastAsia="ru-RU"/>
    </w:rPr>
  </w:style>
  <w:style w:type="paragraph" w:customStyle="1" w:styleId="11c">
    <w:name w:val="Основной текст11"/>
    <w:basedOn w:val="a"/>
    <w:rsid w:val="006A4DE0"/>
    <w:pPr>
      <w:shd w:val="clear" w:color="auto" w:fill="FFFFFF"/>
      <w:spacing w:after="900" w:line="0" w:lineRule="atLeast"/>
    </w:pPr>
    <w:rPr>
      <w:rFonts w:ascii="Arial Narrow" w:eastAsia="Arial Narrow" w:hAnsi="Arial Narrow" w:cs="Arial Narrow"/>
      <w:color w:val="000000"/>
      <w:sz w:val="17"/>
      <w:szCs w:val="17"/>
      <w:lang w:eastAsia="ru-RU"/>
    </w:rPr>
  </w:style>
  <w:style w:type="paragraph" w:customStyle="1" w:styleId="184">
    <w:name w:val="Основной текст18"/>
    <w:basedOn w:val="a"/>
    <w:rsid w:val="00456B82"/>
    <w:pPr>
      <w:shd w:val="clear" w:color="auto" w:fill="FFFFFF"/>
      <w:spacing w:before="600" w:after="2880" w:line="240" w:lineRule="exact"/>
      <w:jc w:val="both"/>
    </w:pPr>
    <w:rPr>
      <w:rFonts w:ascii="Arial Narrow" w:eastAsia="Arial Narrow" w:hAnsi="Arial Narrow" w:cs="Arial Narrow"/>
      <w:color w:val="000000"/>
      <w:sz w:val="18"/>
      <w:szCs w:val="18"/>
      <w:lang w:eastAsia="ru-RU"/>
    </w:rPr>
  </w:style>
  <w:style w:type="character" w:customStyle="1" w:styleId="resh-link">
    <w:name w:val="resh-link"/>
    <w:basedOn w:val="a0"/>
    <w:rsid w:val="009D4B5B"/>
  </w:style>
  <w:style w:type="character" w:customStyle="1" w:styleId="8pt3">
    <w:name w:val="Основной текст + 8 pt;Курсив"/>
    <w:basedOn w:val="aff0"/>
    <w:rsid w:val="00365B5B"/>
    <w:rPr>
      <w:rFonts w:ascii="Arial Narrow" w:eastAsia="Arial Narrow" w:hAnsi="Arial Narrow" w:cs="Arial Narrow"/>
      <w:i/>
      <w:iCs/>
      <w:spacing w:val="-10"/>
      <w:sz w:val="16"/>
      <w:szCs w:val="16"/>
      <w:shd w:val="clear" w:color="auto" w:fill="FFFFFF"/>
    </w:rPr>
  </w:style>
  <w:style w:type="character" w:customStyle="1" w:styleId="800">
    <w:name w:val="Основной текст + Курсив;Масштаб 80%"/>
    <w:basedOn w:val="aff0"/>
    <w:rsid w:val="00365B5B"/>
    <w:rPr>
      <w:rFonts w:ascii="Segoe UI" w:eastAsia="Segoe UI" w:hAnsi="Segoe UI" w:cs="Segoe UI"/>
      <w:b w:val="0"/>
      <w:bCs w:val="0"/>
      <w:i/>
      <w:iCs/>
      <w:smallCaps w:val="0"/>
      <w:strike w:val="0"/>
      <w:spacing w:val="0"/>
      <w:w w:val="80"/>
      <w:sz w:val="18"/>
      <w:szCs w:val="18"/>
      <w:shd w:val="clear" w:color="auto" w:fill="FFFFFF"/>
    </w:rPr>
  </w:style>
  <w:style w:type="character" w:customStyle="1" w:styleId="2750">
    <w:name w:val="Основной текст (2) + Не курсив;Масштаб 75%"/>
    <w:basedOn w:val="2a"/>
    <w:rsid w:val="00365B5B"/>
    <w:rPr>
      <w:rFonts w:ascii="Segoe UI" w:eastAsia="Segoe UI" w:hAnsi="Segoe UI" w:cs="Segoe UI"/>
      <w:b w:val="0"/>
      <w:bCs w:val="0"/>
      <w:i/>
      <w:iCs/>
      <w:smallCaps w:val="0"/>
      <w:strike w:val="0"/>
      <w:spacing w:val="0"/>
      <w:w w:val="75"/>
      <w:sz w:val="18"/>
      <w:szCs w:val="18"/>
      <w:shd w:val="clear" w:color="auto" w:fill="FFFFFF"/>
      <w:lang w:eastAsia="en-US"/>
    </w:rPr>
  </w:style>
  <w:style w:type="paragraph" w:customStyle="1" w:styleId="article-renderblock">
    <w:name w:val="article-render__block"/>
    <w:basedOn w:val="a"/>
    <w:rsid w:val="00365B5B"/>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74">
    <w:name w:val="Основной текст17"/>
    <w:basedOn w:val="a"/>
    <w:rsid w:val="002B37B7"/>
    <w:pPr>
      <w:shd w:val="clear" w:color="auto" w:fill="FFFFFF"/>
      <w:spacing w:before="300" w:after="0" w:line="197" w:lineRule="exact"/>
      <w:ind w:hanging="640"/>
    </w:pPr>
    <w:rPr>
      <w:rFonts w:ascii="Trebuchet MS" w:eastAsia="Trebuchet MS" w:hAnsi="Trebuchet MS" w:cs="Trebuchet MS"/>
      <w:sz w:val="16"/>
      <w:szCs w:val="16"/>
    </w:rPr>
  </w:style>
  <w:style w:type="paragraph" w:customStyle="1" w:styleId="1162">
    <w:name w:val="Основной текст116"/>
    <w:basedOn w:val="a"/>
    <w:rsid w:val="00FD630D"/>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930">
    <w:name w:val="Основной текст93"/>
    <w:basedOn w:val="aff0"/>
    <w:rsid w:val="00FD630D"/>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61">
    <w:name w:val="Основной текст76"/>
    <w:basedOn w:val="aff0"/>
    <w:rsid w:val="00FD630D"/>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71">
    <w:name w:val="Основной текст77"/>
    <w:basedOn w:val="aff0"/>
    <w:rsid w:val="00FD630D"/>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51">
    <w:name w:val="Основной текст115"/>
    <w:basedOn w:val="a"/>
    <w:rsid w:val="00FD630D"/>
    <w:pPr>
      <w:shd w:val="clear" w:color="auto" w:fill="FFFFFF"/>
      <w:spacing w:before="120" w:after="0" w:line="139" w:lineRule="exact"/>
      <w:jc w:val="both"/>
    </w:pPr>
    <w:rPr>
      <w:rFonts w:ascii="Trebuchet MS" w:eastAsia="Trebuchet MS" w:hAnsi="Trebuchet MS" w:cs="Trebuchet MS"/>
      <w:color w:val="000000"/>
      <w:sz w:val="13"/>
      <w:szCs w:val="13"/>
      <w:lang w:val="ru" w:eastAsia="ru-RU"/>
    </w:rPr>
  </w:style>
  <w:style w:type="paragraph" w:customStyle="1" w:styleId="850">
    <w:name w:val="Основной текст85"/>
    <w:basedOn w:val="a"/>
    <w:rsid w:val="00282096"/>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690">
    <w:name w:val="Основной текст69"/>
    <w:basedOn w:val="aff0"/>
    <w:rsid w:val="0028209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90">
    <w:name w:val="Основной текст79"/>
    <w:basedOn w:val="aff0"/>
    <w:rsid w:val="00FA6BDE"/>
    <w:rPr>
      <w:rFonts w:ascii="Segoe UI" w:eastAsia="Segoe UI" w:hAnsi="Segoe UI" w:cs="Segoe UI"/>
      <w:b w:val="0"/>
      <w:bCs w:val="0"/>
      <w:i w:val="0"/>
      <w:iCs w:val="0"/>
      <w:smallCaps w:val="0"/>
      <w:strike w:val="0"/>
      <w:spacing w:val="0"/>
      <w:sz w:val="14"/>
      <w:szCs w:val="14"/>
      <w:shd w:val="clear" w:color="auto" w:fill="FFFFFF"/>
    </w:rPr>
  </w:style>
  <w:style w:type="character" w:customStyle="1" w:styleId="1pt3">
    <w:name w:val="Основной текст + Курсив;Интервал 1 pt"/>
    <w:basedOn w:val="aff0"/>
    <w:rsid w:val="00C0268F"/>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631">
    <w:name w:val="Основной текст63"/>
    <w:basedOn w:val="aff0"/>
    <w:rsid w:val="0074048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1">
    <w:name w:val="Заголовок №10_"/>
    <w:basedOn w:val="a0"/>
    <w:link w:val="100"/>
    <w:rsid w:val="008C2678"/>
    <w:rPr>
      <w:rFonts w:ascii="Lucida Sans Unicode" w:hAnsi="Lucida Sans Unicode" w:cs="Lucida Sans Unicode"/>
      <w:b/>
      <w:bCs/>
      <w:i/>
      <w:iCs/>
      <w:noProof/>
      <w:sz w:val="16"/>
      <w:szCs w:val="16"/>
      <w:shd w:val="clear" w:color="auto" w:fill="FFFFFF"/>
      <w:lang w:val="en-US" w:eastAsia="en-US"/>
    </w:rPr>
  </w:style>
  <w:style w:type="character" w:customStyle="1" w:styleId="801">
    <w:name w:val="Основной текст80"/>
    <w:basedOn w:val="aff0"/>
    <w:rsid w:val="00396347"/>
    <w:rPr>
      <w:rFonts w:ascii="Segoe UI" w:eastAsia="Segoe UI" w:hAnsi="Segoe UI" w:cs="Segoe UI"/>
      <w:b w:val="0"/>
      <w:bCs w:val="0"/>
      <w:i w:val="0"/>
      <w:iCs w:val="0"/>
      <w:smallCaps w:val="0"/>
      <w:strike w:val="0"/>
      <w:spacing w:val="0"/>
      <w:sz w:val="14"/>
      <w:szCs w:val="14"/>
      <w:shd w:val="clear" w:color="auto" w:fill="FFFFFF"/>
    </w:rPr>
  </w:style>
  <w:style w:type="character" w:customStyle="1" w:styleId="940">
    <w:name w:val="Основной текст94"/>
    <w:basedOn w:val="aff0"/>
    <w:rsid w:val="0047457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1">
    <w:name w:val="Основной текст64"/>
    <w:basedOn w:val="aff0"/>
    <w:rsid w:val="00A755F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45">
    <w:name w:val="Основной текст (14) + Не курсив"/>
    <w:basedOn w:val="a0"/>
    <w:rsid w:val="003B41F0"/>
    <w:rPr>
      <w:rFonts w:ascii="Arial Narrow" w:eastAsia="Arial Narrow" w:hAnsi="Arial Narrow" w:cs="Arial Narrow"/>
      <w:b w:val="0"/>
      <w:bCs w:val="0"/>
      <w:i/>
      <w:iCs/>
      <w:smallCaps w:val="0"/>
      <w:strike/>
      <w:spacing w:val="0"/>
      <w:w w:val="100"/>
      <w:sz w:val="17"/>
      <w:szCs w:val="17"/>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pro-samolet.ru/samolety-sssr-ww2/bomberd...mbardir-pe-8?start=4" TargetMode="External"/><Relationship Id="rId21" Type="http://schemas.openxmlformats.org/officeDocument/2006/relationships/hyperlink" Target="http://airspot.ru/catalogue/item/curtiss-xp-60" TargetMode="External"/><Relationship Id="rId42" Type="http://schemas.openxmlformats.org/officeDocument/2006/relationships/hyperlink" Target="http://warspot.ru/9345-shturmovaya-gaubitsa-s-urala" TargetMode="External"/><Relationship Id="rId63" Type="http://schemas.openxmlformats.org/officeDocument/2006/relationships/hyperlink" Target="http://www.airwar.ru/enc/fww2/i211.html" TargetMode="External"/><Relationship Id="rId84" Type="http://schemas.openxmlformats.org/officeDocument/2006/relationships/hyperlink" Target="http://warspot.ru/7265-shturmovoe-orudie-na-trofeynoy-baze" TargetMode="External"/><Relationship Id="rId138"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59" Type="http://schemas.openxmlformats.org/officeDocument/2006/relationships/hyperlink" Target="http://airspot.ru/catalogue/item/blohm-und-voss-bv-141b" TargetMode="External"/><Relationship Id="rId170" Type="http://schemas.openxmlformats.org/officeDocument/2006/relationships/hyperlink" Target="http://airspot.ru/catalogue/item/ilyushin-il-2-ns-37" TargetMode="External"/><Relationship Id="rId191" Type="http://schemas.openxmlformats.org/officeDocument/2006/relationships/hyperlink" Target="http://www.wunderwaffe.narod.ru/Magazine/AirWar/69/09.htm" TargetMode="External"/><Relationship Id="rId205" Type="http://schemas.openxmlformats.org/officeDocument/2006/relationships/hyperlink" Target="http://airspot.ru/catalogue/item/republic-p-72" TargetMode="External"/><Relationship Id="rId226" Type="http://schemas.openxmlformats.org/officeDocument/2006/relationships/hyperlink" Target="http://www.rpg-club.com/x1000" TargetMode="External"/><Relationship Id="rId247" Type="http://schemas.openxmlformats.org/officeDocument/2006/relationships/hyperlink" Target="http://www.rpg-club.com/x1000" TargetMode="External"/><Relationship Id="rId107" Type="http://schemas.openxmlformats.org/officeDocument/2006/relationships/hyperlink" Target="http://warspot.ru/8567-avtostradnyy-istrebitel" TargetMode="External"/><Relationship Id="rId11" Type="http://schemas.openxmlformats.org/officeDocument/2006/relationships/hyperlink" Target="http://www.archive.gov.tatarstan.ru/res/FCKeditor/fckeditor.php?FieldName=data_html" TargetMode="External"/><Relationship Id="rId32" Type="http://schemas.openxmlformats.org/officeDocument/2006/relationships/hyperlink" Target="http://istmat.info/node/62256" TargetMode="External"/><Relationship Id="rId53" Type="http://schemas.openxmlformats.org/officeDocument/2006/relationships/hyperlink" Target="http://www.airwar.ru/enc/sww2/warwik.html" TargetMode="External"/><Relationship Id="rId74" Type="http://schemas.openxmlformats.org/officeDocument/2006/relationships/hyperlink" Target="http://www.airwar.ru/enc/fww2/yak9u-107.html" TargetMode="External"/><Relationship Id="rId128" Type="http://schemas.openxmlformats.org/officeDocument/2006/relationships/hyperlink" Target="http://warspot.ru/6873-uzkospetsialnyy-tank-shirokogo-profilya" TargetMode="External"/><Relationship Id="rId149"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5" Type="http://schemas.openxmlformats.org/officeDocument/2006/relationships/footnotes" Target="footnotes.xml"/><Relationship Id="rId95" Type="http://schemas.openxmlformats.org/officeDocument/2006/relationships/hyperlink" Target="http://www.airwar.ru/enc/fww2/p56.html" TargetMode="External"/><Relationship Id="rId160" Type="http://schemas.openxmlformats.org/officeDocument/2006/relationships/hyperlink" Target="http://www.airwar.ru/enc/fww2/il2i.html" TargetMode="External"/><Relationship Id="rId181" Type="http://schemas.openxmlformats.org/officeDocument/2006/relationships/hyperlink" Target="https://warspot.ru/9099-marder-ii-lyogkiy-istrebitel" TargetMode="External"/><Relationship Id="rId216" Type="http://schemas.openxmlformats.org/officeDocument/2006/relationships/hyperlink" Target="http://wunderwaffe.narod.ru/Magazine/AirWar/90/03.htm" TargetMode="External"/><Relationship Id="rId237" Type="http://schemas.openxmlformats.org/officeDocument/2006/relationships/hyperlink" Target="http://www.rpg-club.com/x1000" TargetMode="External"/><Relationship Id="rId22" Type="http://schemas.openxmlformats.org/officeDocument/2006/relationships/hyperlink" Target="http://crimso.msk.ru/Site/Crafts/Craft26334.htm" TargetMode="External"/><Relationship Id="rId43" Type="http://schemas.openxmlformats.org/officeDocument/2006/relationships/hyperlink" Target="http://warspot.ru/9584-zapozdavshee-uluchshenie" TargetMode="External"/><Relationship Id="rId64" Type="http://schemas.openxmlformats.org/officeDocument/2006/relationships/hyperlink" Target="http://warspot.ru/6698-v-tankovoy-teni" TargetMode="External"/><Relationship Id="rId118" Type="http://schemas.openxmlformats.org/officeDocument/2006/relationships/hyperlink" Target="http://www.airwar.ru/enc/aww2/btd.html" TargetMode="External"/><Relationship Id="rId139"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85" Type="http://schemas.openxmlformats.org/officeDocument/2006/relationships/hyperlink" Target="http://warspot.ru/6648-foto-dnya-tigry-mginskogo-vystupa" TargetMode="External"/><Relationship Id="rId150"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71" Type="http://schemas.openxmlformats.org/officeDocument/2006/relationships/hyperlink" Target="http://www.airwar.ru/enc/uh/xr1.html" TargetMode="External"/><Relationship Id="rId192" Type="http://schemas.openxmlformats.org/officeDocument/2006/relationships/hyperlink" Target="http://airspot.ru/catalogue/item/petlyakov-pe-8-tb-7" TargetMode="External"/><Relationship Id="rId206" Type="http://schemas.openxmlformats.org/officeDocument/2006/relationships/hyperlink" Target="http://www.airwar.ru/enc/aww2/su6.html" TargetMode="External"/><Relationship Id="rId227" Type="http://schemas.openxmlformats.org/officeDocument/2006/relationships/hyperlink" Target="http://www.battlefield.ru/s54.html" TargetMode="External"/><Relationship Id="rId248" Type="http://schemas.openxmlformats.org/officeDocument/2006/relationships/hyperlink" Target="http://www.rpg-club.com/x1000" TargetMode="External"/><Relationship Id="rId12" Type="http://schemas.openxmlformats.org/officeDocument/2006/relationships/hyperlink" Target="http://www.archive.gov.tatarstan.ru/res/FCKeditor/fckeditor.php?FieldName=data_html" TargetMode="External"/><Relationship Id="rId17" Type="http://schemas.openxmlformats.org/officeDocument/2006/relationships/hyperlink" Target="http://www.airwar.ru/enc/other2/ki79.html" TargetMode="External"/><Relationship Id="rId33" Type="http://schemas.openxmlformats.org/officeDocument/2006/relationships/hyperlink" Target="http://istmat.info/node/62256" TargetMode="External"/><Relationship Id="rId38" Type="http://schemas.openxmlformats.org/officeDocument/2006/relationships/hyperlink" Target="http://istmat.info/node/62256" TargetMode="External"/><Relationship Id="rId59" Type="http://schemas.openxmlformats.org/officeDocument/2006/relationships/hyperlink" Target="http://www.rusarchives.ru/secret/bul6/1943_02.shtml" TargetMode="External"/><Relationship Id="rId103" Type="http://schemas.openxmlformats.org/officeDocument/2006/relationships/hyperlink" Target="http://warspot.ru/9660-britanskiy-premier-v-sssr" TargetMode="External"/><Relationship Id="rId108" Type="http://schemas.openxmlformats.org/officeDocument/2006/relationships/hyperlink" Target="https://warspot.ru/11958-samyy-massovyy-samohod-krasnoy-armii" TargetMode="External"/><Relationship Id="rId124" Type="http://schemas.openxmlformats.org/officeDocument/2006/relationships/hyperlink" Target="http://www.aviarmor.net/aww2/projects/ussr/gudkov_gu_vrd.htm" TargetMode="External"/><Relationship Id="rId129" Type="http://schemas.openxmlformats.org/officeDocument/2006/relationships/hyperlink" Target="https://warspot.ru/10197-tam-gde-pehota-ne-proydyot" TargetMode="External"/><Relationship Id="rId54" Type="http://schemas.openxmlformats.org/officeDocument/2006/relationships/hyperlink" Target="http://www.airwar.ru/enc/cww2/pe8on.html" TargetMode="External"/><Relationship Id="rId70" Type="http://schemas.openxmlformats.org/officeDocument/2006/relationships/hyperlink" Target="http://www.airwar.ru/enc/glider/tm2.html" TargetMode="External"/><Relationship Id="rId75" Type="http://schemas.openxmlformats.org/officeDocument/2006/relationships/hyperlink" Target="http://airspot.ru/catalogue/item/mikoyan-gurevich-mig-3u" TargetMode="External"/><Relationship Id="rId91" Type="http://schemas.openxmlformats.org/officeDocument/2006/relationships/hyperlink" Target="http://warspot.ru/10088-kanadskiy-valentine" TargetMode="External"/><Relationship Id="rId96" Type="http://schemas.openxmlformats.org/officeDocument/2006/relationships/hyperlink" Target="http://www.airwar.ru/enc/aww2/a32.html" TargetMode="External"/><Relationship Id="rId140"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45"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61" Type="http://schemas.openxmlformats.org/officeDocument/2006/relationships/hyperlink" Target="http://www.airwar.ru/enc/fighter/f80.html" TargetMode="External"/><Relationship Id="rId166" Type="http://schemas.openxmlformats.org/officeDocument/2006/relationships/hyperlink" Target="https://ru.wikipedia.org/wiki/%D0%9A%D0%BE%D1%80%D0%BE%D0%BB%D0%B5%D0%B2%D1%81%D0%BA%D0%B8%D0%B5_%D0%B2%D0%BE%D0%B5%D0%BD%D0%BD%D0%BE-%D0%B2%D0%BE%D0%B7%D0%B4%D1%83%D1%88%D0%BD%D1%8B%D0%B5_%D1%81%D0%B8%D0%BB%D1%8B_%D0%92%D0%B5%D0%BB%D0%B8%D0%BA%D0%BE%D0%B1%D1%80%D0%B8%D1%82%D0%B0%D0%BD%D0%B8%D0%B8" TargetMode="External"/><Relationship Id="rId182" Type="http://schemas.openxmlformats.org/officeDocument/2006/relationships/hyperlink" Target="http://warspot.ru/10282-matilda-tolstokozhaya-ledi-na-sovetsko-germanskom-fronte" TargetMode="External"/><Relationship Id="rId187" Type="http://schemas.openxmlformats.org/officeDocument/2006/relationships/hyperlink" Target="http://www.airwar.ru/enc/fww2/yak9pd.html" TargetMode="External"/><Relationship Id="rId217" Type="http://schemas.openxmlformats.org/officeDocument/2006/relationships/hyperlink" Target="http://www.airwar.ru/enc/fww2/i220.html" TargetMode="External"/><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hyperlink" Target="http://www.airwar.ru/enc/fighter/f80.html" TargetMode="External"/><Relationship Id="rId233" Type="http://schemas.openxmlformats.org/officeDocument/2006/relationships/hyperlink" Target="http://www.rpg-club.com/x1000" TargetMode="External"/><Relationship Id="rId238" Type="http://schemas.openxmlformats.org/officeDocument/2006/relationships/hyperlink" Target="http://www.rpg-club.com/x1000" TargetMode="External"/><Relationship Id="rId23" Type="http://schemas.openxmlformats.org/officeDocument/2006/relationships/hyperlink" Target="http://www.airpages.ru/uk/aw41.shtml" TargetMode="External"/><Relationship Id="rId28" Type="http://schemas.openxmlformats.org/officeDocument/2006/relationships/hyperlink" Target="http://istmat.info/node/62256" TargetMode="External"/><Relationship Id="rId49" Type="http://schemas.openxmlformats.org/officeDocument/2006/relationships/hyperlink" Target="http://warspot.ru/9345-shturmovaya-gaubitsa-s-urala" TargetMode="External"/><Relationship Id="rId114" Type="http://schemas.openxmlformats.org/officeDocument/2006/relationships/hyperlink" Target="http://www.airwar.ru/enc/aww2/il2-ns37.html" TargetMode="External"/><Relationship Id="rId119" Type="http://schemas.openxmlformats.org/officeDocument/2006/relationships/hyperlink" Target="http://warspot.ru/5911-bystrohodnyy-tank-po-nemetski" TargetMode="External"/><Relationship Id="rId44" Type="http://schemas.openxmlformats.org/officeDocument/2006/relationships/hyperlink" Target="http://warspot.ru/9697-zaderzhavshayasya-polumera" TargetMode="External"/><Relationship Id="rId60" Type="http://schemas.openxmlformats.org/officeDocument/2006/relationships/hyperlink" Target="http://www.airwar.ru/enc/spyww2/il2kr.html" TargetMode="External"/><Relationship Id="rId65" Type="http://schemas.openxmlformats.org/officeDocument/2006/relationships/hyperlink" Target="http://warspot.ru/10055-iz-shturmovyh-sau-v-istrebiteli-tankov" TargetMode="External"/><Relationship Id="rId81" Type="http://schemas.openxmlformats.org/officeDocument/2006/relationships/hyperlink" Target="http://airspot.ru/catalogue/item/piaggio-p-108-bombardiere" TargetMode="External"/><Relationship Id="rId86" Type="http://schemas.openxmlformats.org/officeDocument/2006/relationships/hyperlink" Target="http://www.airwar.ru/enc/fww2/sm91.html" TargetMode="External"/><Relationship Id="rId130" Type="http://schemas.openxmlformats.org/officeDocument/2006/relationships/hyperlink" Target="https://warspot.ru/9660-britanskiy-premier-v-sssr" TargetMode="External"/><Relationship Id="rId135" Type="http://schemas.openxmlformats.org/officeDocument/2006/relationships/hyperlink" Target="http://warspot.ru/9483-predposledniy-shag" TargetMode="External"/><Relationship Id="rId151"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56" Type="http://schemas.openxmlformats.org/officeDocument/2006/relationships/hyperlink" Target="http://www.airwar.ru/enc/aww2/il8.html" TargetMode="External"/><Relationship Id="rId177" Type="http://schemas.openxmlformats.org/officeDocument/2006/relationships/hyperlink" Target="http://www.necton.lv/index.php?option=com_content&amp;view=article&amp;id=176:rocket-a4-v2&amp;catid=54" TargetMode="External"/><Relationship Id="rId198" Type="http://schemas.openxmlformats.org/officeDocument/2006/relationships/hyperlink" Target="http://www.airwar.ru/enc/bpla/ar.html" TargetMode="External"/><Relationship Id="rId172" Type="http://schemas.openxmlformats.org/officeDocument/2006/relationships/hyperlink" Target="http://www.airwar.ru/enc/fww2/do217.html" TargetMode="External"/><Relationship Id="rId193" Type="http://schemas.openxmlformats.org/officeDocument/2006/relationships/hyperlink" Target="http://www.airwar.ru/enc/fww2/yak1m.html" TargetMode="External"/><Relationship Id="rId202" Type="http://schemas.openxmlformats.org/officeDocument/2006/relationships/hyperlink" Target="http://wunderwaffe.narod.ru/Magazine/AirWar/120/01.htm" TargetMode="External"/><Relationship Id="rId207" Type="http://schemas.openxmlformats.org/officeDocument/2006/relationships/hyperlink" Target="http://www.airwar.ru/enc/fww2/p73.html" TargetMode="External"/><Relationship Id="rId223" Type="http://schemas.openxmlformats.org/officeDocument/2006/relationships/hyperlink" Target="http://www.rpg-club.com/x1000" TargetMode="External"/><Relationship Id="rId228" Type="http://schemas.openxmlformats.org/officeDocument/2006/relationships/hyperlink" Target="http://www.rpg-club.com/x1000" TargetMode="External"/><Relationship Id="rId244" Type="http://schemas.openxmlformats.org/officeDocument/2006/relationships/hyperlink" Target="https://warspot.ru/7406-t-70-podrosshiy-malysh" TargetMode="External"/><Relationship Id="rId249" Type="http://schemas.openxmlformats.org/officeDocument/2006/relationships/hyperlink" Target="http://www.rpg-club.com/x1000" TargetMode="External"/><Relationship Id="rId13" Type="http://schemas.openxmlformats.org/officeDocument/2006/relationships/hyperlink" Target="http://www.liveinternet.ru/www.airwar.ru/enc/aliner/l049.html" TargetMode="External"/><Relationship Id="rId18" Type="http://schemas.openxmlformats.org/officeDocument/2006/relationships/hyperlink" Target="http://www.airwar.ru/enc/engines/am38f.html" TargetMode="External"/><Relationship Id="rId39" Type="http://schemas.openxmlformats.org/officeDocument/2006/relationships/hyperlink" Target="http://istmat.info/node/62256" TargetMode="External"/><Relationship Id="rId109" Type="http://schemas.openxmlformats.org/officeDocument/2006/relationships/hyperlink" Target="http://warspot.ru/9591-raritet-iz-pod-stalingrada" TargetMode="External"/><Relationship Id="rId34" Type="http://schemas.openxmlformats.org/officeDocument/2006/relationships/hyperlink" Target="http://istmat.info/node/62256" TargetMode="External"/><Relationship Id="rId50" Type="http://schemas.openxmlformats.org/officeDocument/2006/relationships/hyperlink" Target="https://warspot.ru/11919-ved-s-nami-voroshilov-pervyy-krasnyy-ofitser" TargetMode="External"/><Relationship Id="rId55" Type="http://schemas.openxmlformats.org/officeDocument/2006/relationships/hyperlink" Target="http://www.airpages.ru/ru/pe8on.shtml" TargetMode="External"/><Relationship Id="rId76" Type="http://schemas.openxmlformats.org/officeDocument/2006/relationships/hyperlink" Target="http://www.airwar.ru/weapon/ab/upkeep.html" TargetMode="External"/><Relationship Id="rId97" Type="http://schemas.openxmlformats.org/officeDocument/2006/relationships/hyperlink" Target="http://airspot.ru/catalogue/item/hawker-hurricane-mk-ii" TargetMode="External"/><Relationship Id="rId104" Type="http://schemas.openxmlformats.org/officeDocument/2006/relationships/hyperlink" Target="http://airspot.ru/catalogue/item/savoia-marchetti-sm-79bis-sparviero" TargetMode="External"/><Relationship Id="rId120" Type="http://schemas.openxmlformats.org/officeDocument/2006/relationships/hyperlink" Target="http://warspot.ru/6873-uzkospetsialnyy-tank-shirokogo-profilya" TargetMode="External"/><Relationship Id="rId125" Type="http://schemas.openxmlformats.org/officeDocument/2006/relationships/hyperlink" Target="https://warspot.ru/10061-su-152-v-kubinke" TargetMode="External"/><Relationship Id="rId141"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46"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67" Type="http://schemas.openxmlformats.org/officeDocument/2006/relationships/hyperlink" Target="https://ru.wikipedia.org/wiki/%D0%90%D1%80%D0%BC%D0%B8%D1%8F_%D0%BA%D1%80%D0%B0%D0%B9%D0%BE%D0%B2%D0%B0" TargetMode="External"/><Relationship Id="rId188" Type="http://schemas.openxmlformats.org/officeDocument/2006/relationships/hyperlink" Target="http://www.airwar.ru/enc/fww2/p38e.html" TargetMode="External"/><Relationship Id="rId7" Type="http://schemas.openxmlformats.org/officeDocument/2006/relationships/hyperlink" Target="http://warspot.ru/6610-malyy-tank-bolshoy-voyny" TargetMode="External"/><Relationship Id="rId71" Type="http://schemas.openxmlformats.org/officeDocument/2006/relationships/hyperlink" Target="http://airspot.ru/catalogue/item/polikarpov-itp" TargetMode="External"/><Relationship Id="rId92" Type="http://schemas.openxmlformats.org/officeDocument/2006/relationships/hyperlink" Target="http://airspot.ru/catalogue/item/ilyushin-il-4tk" TargetMode="External"/><Relationship Id="rId162" Type="http://schemas.openxmlformats.org/officeDocument/2006/relationships/hyperlink" Target="http://www.airwar.ru/enc/bww2/b38.html" TargetMode="External"/><Relationship Id="rId183" Type="http://schemas.openxmlformats.org/officeDocument/2006/relationships/hyperlink" Target="http://warspot.ru/9660-britanskiy-premier-v-sssr" TargetMode="External"/><Relationship Id="rId213" Type="http://schemas.openxmlformats.org/officeDocument/2006/relationships/hyperlink" Target="http://www.airwar.ru/enc/xplane/manx.html" TargetMode="External"/><Relationship Id="rId218" Type="http://schemas.openxmlformats.org/officeDocument/2006/relationships/hyperlink" Target="http://www.airwar.ru/enc/fww2/tempest.html" TargetMode="External"/><Relationship Id="rId234" Type="http://schemas.openxmlformats.org/officeDocument/2006/relationships/hyperlink" Target="http://www.rpg-club.com/x1000" TargetMode="External"/><Relationship Id="rId239" Type="http://schemas.openxmlformats.org/officeDocument/2006/relationships/hyperlink" Target="https://warspot.ru/10902-pervyy-t-80" TargetMode="External"/><Relationship Id="rId2" Type="http://schemas.openxmlformats.org/officeDocument/2006/relationships/styles" Target="styles.xml"/><Relationship Id="rId29" Type="http://schemas.openxmlformats.org/officeDocument/2006/relationships/hyperlink" Target="http://istmat.info/node/62256" TargetMode="External"/><Relationship Id="rId250" Type="http://schemas.openxmlformats.org/officeDocument/2006/relationships/hyperlink" Target="http://www.rpg-club.com/x1000" TargetMode="External"/><Relationship Id="rId24" Type="http://schemas.openxmlformats.org/officeDocument/2006/relationships/hyperlink" Target="http://istmat.info/node/62256" TargetMode="External"/><Relationship Id="rId40" Type="http://schemas.openxmlformats.org/officeDocument/2006/relationships/hyperlink" Target="http://www.airwar.ru/enc/fww2/p63.html" TargetMode="External"/><Relationship Id="rId45" Type="http://schemas.openxmlformats.org/officeDocument/2006/relationships/hyperlink" Target="http://warspot.ru/9483-predposledniy-shag" TargetMode="External"/><Relationship Id="rId66" Type="http://schemas.openxmlformats.org/officeDocument/2006/relationships/hyperlink" Target="http://airspot.ru/catalogue/item/yakovlev-yak-1m" TargetMode="External"/><Relationship Id="rId87" Type="http://schemas.openxmlformats.org/officeDocument/2006/relationships/hyperlink" Target="https://warspot.ru/7406-t-70-podrosshiy-malysh" TargetMode="External"/><Relationship Id="rId110" Type="http://schemas.openxmlformats.org/officeDocument/2006/relationships/hyperlink" Target="http://warspot.ru/10152-v-polushage-ot-tigra" TargetMode="External"/><Relationship Id="rId115" Type="http://schemas.openxmlformats.org/officeDocument/2006/relationships/hyperlink" Target="http://war.by-airforce.com/articles/Il-2-antitank-03.html" TargetMode="External"/><Relationship Id="rId131" Type="http://schemas.openxmlformats.org/officeDocument/2006/relationships/hyperlink" Target="http://warspot.ru/4905-do-poslednego-tanka" TargetMode="External"/><Relationship Id="rId136" Type="http://schemas.openxmlformats.org/officeDocument/2006/relationships/hyperlink" Target="http://www.airwiki.org/enc/glider/dha2.html" TargetMode="External"/><Relationship Id="rId157" Type="http://schemas.openxmlformats.org/officeDocument/2006/relationships/hyperlink" Target="http://www.airwar.ru/enc/other2/fma21.html" TargetMode="External"/><Relationship Id="rId178" Type="http://schemas.openxmlformats.org/officeDocument/2006/relationships/hyperlink" Target="http://www.necton.lv/index.php?option=com_content&amp;view=article&amp;id=176:rocket-a4-v2&amp;catid=54" TargetMode="External"/><Relationship Id="rId61" Type="http://schemas.openxmlformats.org/officeDocument/2006/relationships/hyperlink" Target="http://www.airwar.ru/enc/fww2/yak1m.html" TargetMode="External"/><Relationship Id="rId82" Type="http://schemas.openxmlformats.org/officeDocument/2006/relationships/hyperlink" Target="http://airspot.ru/catalogue/item/gloster-meteor-f-i" TargetMode="External"/><Relationship Id="rId152"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73" Type="http://schemas.openxmlformats.org/officeDocument/2006/relationships/hyperlink" Target="http://www.airpages.ru/ru/i230.shtml" TargetMode="External"/><Relationship Id="rId194" Type="http://schemas.openxmlformats.org/officeDocument/2006/relationships/hyperlink" Target="http://www.airwar.ru/enc/fww2/lagg3-34.html" TargetMode="External"/><Relationship Id="rId199" Type="http://schemas.openxmlformats.org/officeDocument/2006/relationships/hyperlink" Target="http://www.airwar.ru/enc/bww2/ar234.html" TargetMode="External"/><Relationship Id="rId203" Type="http://schemas.openxmlformats.org/officeDocument/2006/relationships/hyperlink" Target="http://www.airwar.ru/enc/xplane/xp80r.html" TargetMode="External"/><Relationship Id="rId208" Type="http://schemas.openxmlformats.org/officeDocument/2006/relationships/hyperlink" Target="http://www.airwar.ru/enc/ch/fa223.html" TargetMode="External"/><Relationship Id="rId229" Type="http://schemas.openxmlformats.org/officeDocument/2006/relationships/hyperlink" Target="http://www.rpg-club.com/x1000" TargetMode="External"/><Relationship Id="rId19" Type="http://schemas.openxmlformats.org/officeDocument/2006/relationships/hyperlink" Target="http://www.airwar.ru/enc/fww2/bf109f.html" TargetMode="External"/><Relationship Id="rId224" Type="http://schemas.openxmlformats.org/officeDocument/2006/relationships/hyperlink" Target="http://www.battlefield.ru/zis4.html" TargetMode="External"/><Relationship Id="rId240" Type="http://schemas.openxmlformats.org/officeDocument/2006/relationships/hyperlink" Target="http://warspot.ru/5355-tyazhyolyy-golovastik" TargetMode="External"/><Relationship Id="rId245" Type="http://schemas.openxmlformats.org/officeDocument/2006/relationships/hyperlink" Target="https://warspot.ru/10639-tost-za-lend-liz" TargetMode="External"/><Relationship Id="rId14" Type="http://schemas.openxmlformats.org/officeDocument/2006/relationships/hyperlink" Target="http://www.airwar.ru/enc/fww2/p54.html" TargetMode="External"/><Relationship Id="rId30" Type="http://schemas.openxmlformats.org/officeDocument/2006/relationships/hyperlink" Target="http://istmat.info/node/62256" TargetMode="External"/><Relationship Id="rId35" Type="http://schemas.openxmlformats.org/officeDocument/2006/relationships/hyperlink" Target="http://istmat.info/node/62256" TargetMode="External"/><Relationship Id="rId56" Type="http://schemas.openxmlformats.org/officeDocument/2006/relationships/hyperlink" Target="http://www.airwar.ru/enc/fww2/spitful.html" TargetMode="External"/><Relationship Id="rId77" Type="http://schemas.openxmlformats.org/officeDocument/2006/relationships/hyperlink" Target="http://www.airwar.ru/enc/fww2/mig3u.html" TargetMode="External"/><Relationship Id="rId100" Type="http://schemas.openxmlformats.org/officeDocument/2006/relationships/hyperlink" Target="http://airspot.ru/catalogue/item/ilyushin-il-2kr" TargetMode="External"/><Relationship Id="rId105" Type="http://schemas.openxmlformats.org/officeDocument/2006/relationships/hyperlink" Target="http://airspot.ru/catalogue/item/curtiss-sc-1-seahawk" TargetMode="External"/><Relationship Id="rId126" Type="http://schemas.openxmlformats.org/officeDocument/2006/relationships/hyperlink" Target="http://warspot.ru/9797-tyazhyolyy-trofey" TargetMode="External"/><Relationship Id="rId147"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68" Type="http://schemas.openxmlformats.org/officeDocument/2006/relationships/hyperlink" Target="https://ru.wikipedia.org/wiki/%D0%A1%D1%82%D1%80%D0%B0%D1%82%D0%B5%D0%B3%D0%B8%D1%87%D0%B5%D1%81%D0%BA%D0%B8%D0%B5_%D0%B1%D0%BE%D0%BC%D0%B1%D0%B0%D1%80%D0%B4%D0%B8%D1%80%D0%BE%D0%B2%D0%BA%D0%B8_%D0%B2_%D0%BF%D0%B5%D1%80%D0%B8%D0%BE%D0%B4_%D0%92%D1%82%D0%BE%D1%80%D0%BE%D0%B9_%D0%BC%D0%B8%D1%80%D0%BE%D0%B2%D0%BE%D0%B9_%D0%B2%D0%BE%D0%B9%D0%BD%D1%8B" TargetMode="External"/><Relationship Id="rId8" Type="http://schemas.openxmlformats.org/officeDocument/2006/relationships/hyperlink" Target="https://warspot.ru/7406-t-70-podrosshiy-malysh" TargetMode="External"/><Relationship Id="rId51" Type="http://schemas.openxmlformats.org/officeDocument/2006/relationships/hyperlink" Target="http://www.airwar.ru/enc/fww2/p51a.html" TargetMode="External"/><Relationship Id="rId72" Type="http://schemas.openxmlformats.org/officeDocument/2006/relationships/hyperlink" Target="http://www.airwar.ru/enc/fww2/i211.html" TargetMode="External"/><Relationship Id="rId93" Type="http://schemas.openxmlformats.org/officeDocument/2006/relationships/hyperlink" Target="http://www.airwar.ru/enc/spyww2/il4tk.html" TargetMode="External"/><Relationship Id="rId98" Type="http://schemas.openxmlformats.org/officeDocument/2006/relationships/hyperlink" Target="http://www.airwar.ru/enc/fww2/he219.html" TargetMode="External"/><Relationship Id="rId121" Type="http://schemas.openxmlformats.org/officeDocument/2006/relationships/hyperlink" Target="https://warspot.ru/9925-poverhnostnaya-modernizatsiya-lyogkogo-tanka" TargetMode="External"/><Relationship Id="rId142"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63" Type="http://schemas.openxmlformats.org/officeDocument/2006/relationships/hyperlink" Target="http://www.airwar.ru/enc/fww2/i220.html" TargetMode="External"/><Relationship Id="rId184" Type="http://schemas.openxmlformats.org/officeDocument/2006/relationships/hyperlink" Target="http://warspot.ru/8287-angliyskaya-podderzhka-dlya-sovetskoy-pehoty" TargetMode="External"/><Relationship Id="rId189" Type="http://schemas.openxmlformats.org/officeDocument/2006/relationships/hyperlink" Target="http://www.airwar.ru/enc/flyboat/pcams141.html" TargetMode="External"/><Relationship Id="rId219" Type="http://schemas.openxmlformats.org/officeDocument/2006/relationships/hyperlink" Target="http://airspot.ru/catalogue/item/gloster-e-28-39-pioneer" TargetMode="External"/><Relationship Id="rId3" Type="http://schemas.openxmlformats.org/officeDocument/2006/relationships/settings" Target="settings.xml"/><Relationship Id="rId214" Type="http://schemas.openxmlformats.org/officeDocument/2006/relationships/hyperlink" Target="http://crimso.msk.ru/Site/Crafts/Craft28095.htm" TargetMode="External"/><Relationship Id="rId230" Type="http://schemas.openxmlformats.org/officeDocument/2006/relationships/hyperlink" Target="http://www.rpg-club.com/x1000" TargetMode="External"/><Relationship Id="rId235" Type="http://schemas.openxmlformats.org/officeDocument/2006/relationships/hyperlink" Target="http://www.rpg-club.com/x1000" TargetMode="External"/><Relationship Id="rId251" Type="http://schemas.openxmlformats.org/officeDocument/2006/relationships/fontTable" Target="fontTable.xml"/><Relationship Id="rId25" Type="http://schemas.openxmlformats.org/officeDocument/2006/relationships/hyperlink" Target="http://istmat.info/node/62256" TargetMode="External"/><Relationship Id="rId46" Type="http://schemas.openxmlformats.org/officeDocument/2006/relationships/hyperlink" Target="http://warspot.ru/9279-pervyy-kv-pod-neschastlivym-nomerom" TargetMode="External"/><Relationship Id="rId67" Type="http://schemas.openxmlformats.org/officeDocument/2006/relationships/hyperlink" Target="http://airspot.ru/catalogue/item/boeing-b-29-superfortress" TargetMode="External"/><Relationship Id="rId116" Type="http://schemas.openxmlformats.org/officeDocument/2006/relationships/hyperlink" Target="http://www.airwar.ru/enc/bww2/pe8m82.html" TargetMode="External"/><Relationship Id="rId137" Type="http://schemas.openxmlformats.org/officeDocument/2006/relationships/hyperlink" Target="http://p-51d.rc-aviation.ru/index.php?option=co...rticle&amp;id=8&amp;Itemid=6" TargetMode="External"/><Relationship Id="rId158" Type="http://schemas.openxmlformats.org/officeDocument/2006/relationships/hyperlink" Target="http://www.airwar.ru/enc/bww2/b25g.html" TargetMode="External"/><Relationship Id="rId20" Type="http://schemas.openxmlformats.org/officeDocument/2006/relationships/hyperlink" Target="http://warspot.ru/9483-predposledniy-shag" TargetMode="External"/><Relationship Id="rId41" Type="http://schemas.openxmlformats.org/officeDocument/2006/relationships/hyperlink" Target="http://www.archive.gov.tatarstan.ru/res/FCKeditor/fckeditor.php?FieldName=data_html" TargetMode="External"/><Relationship Id="rId62" Type="http://schemas.openxmlformats.org/officeDocument/2006/relationships/hyperlink" Target="http://airspot.ru/catalogue/item/yakovlev-yak-9-m-106" TargetMode="External"/><Relationship Id="rId83" Type="http://schemas.openxmlformats.org/officeDocument/2006/relationships/hyperlink" Target="http://warspot.ru/8287-angliyskaya-podderzhka-dlya-sovetskoy-pehoty" TargetMode="External"/><Relationship Id="rId88" Type="http://schemas.openxmlformats.org/officeDocument/2006/relationships/hyperlink" Target="https://warspot.ru/9925-poverhnostnaya-modernizatsiya-lyogkogo-tanka" TargetMode="External"/><Relationship Id="rId111" Type="http://schemas.openxmlformats.org/officeDocument/2006/relationships/hyperlink" Target="http://www.airwar.ru/enc/fww2/ca12.html" TargetMode="External"/><Relationship Id="rId132" Type="http://schemas.openxmlformats.org/officeDocument/2006/relationships/hyperlink" Target="http://airspot.ru/catalogue/item/gloster-e-28-39-pioneer" TargetMode="External"/><Relationship Id="rId153"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74" Type="http://schemas.openxmlformats.org/officeDocument/2006/relationships/hyperlink" Target="http://www.airwar.ru/enc/fww2/p75.html" TargetMode="External"/><Relationship Id="rId179" Type="http://schemas.openxmlformats.org/officeDocument/2006/relationships/hyperlink" Target="https://warspot.ru/9797-tyazhyolyy-trofey" TargetMode="External"/><Relationship Id="rId195" Type="http://schemas.openxmlformats.org/officeDocument/2006/relationships/hyperlink" Target="http://warspot.ru/10487-is-kotoryy-poluchilsya" TargetMode="External"/><Relationship Id="rId209" Type="http://schemas.openxmlformats.org/officeDocument/2006/relationships/hyperlink" Target="http://www.airwar.ru/enc/aww2/il2-ns37.html" TargetMode="External"/><Relationship Id="rId190" Type="http://schemas.openxmlformats.org/officeDocument/2006/relationships/hyperlink" Target="http://www.airwar.ru/enc/fww2/la5-m71.html" TargetMode="External"/><Relationship Id="rId204" Type="http://schemas.openxmlformats.org/officeDocument/2006/relationships/hyperlink" Target="http://www.airwar.ru/enc/fww2/p47j.html" TargetMode="External"/><Relationship Id="rId220" Type="http://schemas.openxmlformats.org/officeDocument/2006/relationships/hyperlink" Target="http://www.airwar.ru/enc/bww2/b35.html" TargetMode="External"/><Relationship Id="rId225" Type="http://schemas.openxmlformats.org/officeDocument/2006/relationships/hyperlink" Target="http://www.rpg-club.com/x1000" TargetMode="External"/><Relationship Id="rId241" Type="http://schemas.openxmlformats.org/officeDocument/2006/relationships/hyperlink" Target="http://warspot.ru/8112-su-76-amerikanskogo-proizvodstva" TargetMode="External"/><Relationship Id="rId246" Type="http://schemas.openxmlformats.org/officeDocument/2006/relationships/hyperlink" Target="https://frontline.su/history/operatsiya-bagration/" TargetMode="External"/><Relationship Id="rId15" Type="http://schemas.openxmlformats.org/officeDocument/2006/relationships/hyperlink" Target="http://detectivebooks.ru/book/47013018/?page=40" TargetMode="External"/><Relationship Id="rId36" Type="http://schemas.openxmlformats.org/officeDocument/2006/relationships/hyperlink" Target="http://istmat.info/node/62256" TargetMode="External"/><Relationship Id="rId57" Type="http://schemas.openxmlformats.org/officeDocument/2006/relationships/hyperlink" Target="http://warspot.ru/9591-raritet-iz-pod-stalingrada" TargetMode="External"/><Relationship Id="rId106" Type="http://schemas.openxmlformats.org/officeDocument/2006/relationships/hyperlink" Target="http://warspot.ru/5471-letayuschiy-sherman" TargetMode="External"/><Relationship Id="rId127" Type="http://schemas.openxmlformats.org/officeDocument/2006/relationships/hyperlink" Target="http://warspot.ru/5911-bystrohodnyy-tank-po-nemetski" TargetMode="External"/><Relationship Id="rId10" Type="http://schemas.openxmlformats.org/officeDocument/2006/relationships/hyperlink" Target="https://warspot.ru/9495-pehotnyy-optimum" TargetMode="External"/><Relationship Id="rId31" Type="http://schemas.openxmlformats.org/officeDocument/2006/relationships/hyperlink" Target="http://istmat.info/node/62256" TargetMode="External"/><Relationship Id="rId52" Type="http://schemas.openxmlformats.org/officeDocument/2006/relationships/hyperlink" Target="http://airspot.ru/catalogue/item/bristol-buckingham" TargetMode="External"/><Relationship Id="rId73" Type="http://schemas.openxmlformats.org/officeDocument/2006/relationships/hyperlink" Target="http://www.airwar.ru/enc/fww2/tempest.html" TargetMode="External"/><Relationship Id="rId78" Type="http://schemas.openxmlformats.org/officeDocument/2006/relationships/hyperlink" Target="http://www.airwar.ru/enc/fww2/yak1m.html" TargetMode="External"/><Relationship Id="rId94" Type="http://schemas.openxmlformats.org/officeDocument/2006/relationships/hyperlink" Target="http://www.airwar.ru/enc/fww2/gu1.html" TargetMode="External"/><Relationship Id="rId99" Type="http://schemas.openxmlformats.org/officeDocument/2006/relationships/hyperlink" Target="https://warspot.ru/9725-kv-1s-iz-bolot-volhovskogo-fronta" TargetMode="External"/><Relationship Id="rId101" Type="http://schemas.openxmlformats.org/officeDocument/2006/relationships/hyperlink" Target="http://www.airwar.ru/enc/spyww2/il2kr.html" TargetMode="External"/><Relationship Id="rId122" Type="http://schemas.openxmlformats.org/officeDocument/2006/relationships/hyperlink" Target="http://warspot.ru/5911-bystrohodnyy-tank-po-nemetski" TargetMode="External"/><Relationship Id="rId143"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48"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64" Type="http://schemas.openxmlformats.org/officeDocument/2006/relationships/hyperlink" Target="http://www.airwar.ru/enc/fww2/p60e.html" TargetMode="External"/><Relationship Id="rId169" Type="http://schemas.openxmlformats.org/officeDocument/2006/relationships/hyperlink" Target="https://ru.wikipedia.org/wiki/%D0%A7%D1%83%D0%B4%D0%BE-%D0%BE%D1%80%D1%83%D0%B6%D0%B8%D0%B5" TargetMode="External"/><Relationship Id="rId185" Type="http://schemas.openxmlformats.org/officeDocument/2006/relationships/hyperlink" Target="http://warspot.ru/6686-foto-dnya-osvobozhdyonnyy-lvov" TargetMode="External"/><Relationship Id="rId4" Type="http://schemas.openxmlformats.org/officeDocument/2006/relationships/webSettings" Target="webSettings.xml"/><Relationship Id="rId9" Type="http://schemas.openxmlformats.org/officeDocument/2006/relationships/hyperlink" Target="https://warspot.ru/10282-matilda-tolstokozhaya-ledi-na-sovetsko-germanskom-fronte" TargetMode="External"/><Relationship Id="rId180" Type="http://schemas.openxmlformats.org/officeDocument/2006/relationships/hyperlink" Target="https://warspot.ru/9725-kv-1s-iz-bolot-volhovskogo-fronta" TargetMode="External"/><Relationship Id="rId210" Type="http://schemas.openxmlformats.org/officeDocument/2006/relationships/hyperlink" Target="http://www.airwar.ru/enc/glider/cg4a.html" TargetMode="External"/><Relationship Id="rId215" Type="http://schemas.openxmlformats.org/officeDocument/2006/relationships/hyperlink" Target="http://www.aviarmor.net/aww2/aircraft_exp/usa/Lockheed%20%20XP-49.htm" TargetMode="External"/><Relationship Id="rId236" Type="http://schemas.openxmlformats.org/officeDocument/2006/relationships/hyperlink" Target="http://alternathistory.org.ua/opytnye-sau-su-76d-i-su-57b-gaz-74-sssr1943-44g" TargetMode="External"/><Relationship Id="rId26" Type="http://schemas.openxmlformats.org/officeDocument/2006/relationships/hyperlink" Target="http://istmat.info/node/62256" TargetMode="External"/><Relationship Id="rId231" Type="http://schemas.openxmlformats.org/officeDocument/2006/relationships/hyperlink" Target="http://www.battlefield.ru/su76i.html" TargetMode="External"/><Relationship Id="rId252" Type="http://schemas.openxmlformats.org/officeDocument/2006/relationships/theme" Target="theme/theme1.xml"/><Relationship Id="rId47" Type="http://schemas.openxmlformats.org/officeDocument/2006/relationships/hyperlink" Target="http://warspot.ru/9797-tyazhyolyy-trofey" TargetMode="External"/><Relationship Id="rId68" Type="http://schemas.openxmlformats.org/officeDocument/2006/relationships/hyperlink" Target="http://istmat.info/node/62257" TargetMode="External"/><Relationship Id="rId89" Type="http://schemas.openxmlformats.org/officeDocument/2006/relationships/hyperlink" Target="http://warspot.ru/8287-angliyskaya-podderzhka-dlya-sovetskoy-pehoty" TargetMode="External"/><Relationship Id="rId112" Type="http://schemas.openxmlformats.org/officeDocument/2006/relationships/hyperlink" Target="http://www.airwar.ru/enc/fww2/p56.html" TargetMode="External"/><Relationship Id="rId133" Type="http://schemas.openxmlformats.org/officeDocument/2006/relationships/hyperlink" Target="http://www.airwar.ru/enc/fww2/f8b.html" TargetMode="External"/><Relationship Id="rId154" Type="http://schemas.openxmlformats.org/officeDocument/2006/relationships/hyperlink" Target="http://www.airwar.ru/enc/fww2/p60c.html" TargetMode="External"/><Relationship Id="rId175" Type="http://schemas.openxmlformats.org/officeDocument/2006/relationships/hyperlink" Target="https://spasecraftrocket.org/s_peenemunde.html" TargetMode="External"/><Relationship Id="rId196" Type="http://schemas.openxmlformats.org/officeDocument/2006/relationships/hyperlink" Target="http://www.airwar.ru/enc/fww2/i221.html" TargetMode="External"/><Relationship Id="rId200" Type="http://schemas.openxmlformats.org/officeDocument/2006/relationships/hyperlink" Target="http://www.airwar.ru/enc/spyww2/yak9r.html" TargetMode="External"/><Relationship Id="rId16" Type="http://schemas.openxmlformats.org/officeDocument/2006/relationships/hyperlink" Target="http://warspot.ru/4905-do-poslednego-tanka" TargetMode="External"/><Relationship Id="rId221" Type="http://schemas.openxmlformats.org/officeDocument/2006/relationships/hyperlink" Target="http://warspot.ru/8934-ternistyy-put-k-su-122" TargetMode="External"/><Relationship Id="rId242" Type="http://schemas.openxmlformats.org/officeDocument/2006/relationships/hyperlink" Target="http://warspot.ru/8567-avtostradnyy-istrebitel" TargetMode="External"/><Relationship Id="rId37" Type="http://schemas.openxmlformats.org/officeDocument/2006/relationships/hyperlink" Target="http://istmat.info/node/62256" TargetMode="External"/><Relationship Id="rId58" Type="http://schemas.openxmlformats.org/officeDocument/2006/relationships/hyperlink" Target="http://warspot.ru/10152-v-polushage-ot-tigra" TargetMode="External"/><Relationship Id="rId79" Type="http://schemas.openxmlformats.org/officeDocument/2006/relationships/hyperlink" Target="http://airspot.ru/catalogue/item/grumman-f4f-3s-wild-catfish" TargetMode="External"/><Relationship Id="rId102" Type="http://schemas.openxmlformats.org/officeDocument/2006/relationships/hyperlink" Target="http://airspot.ru/catalogue/item/bereznyak-isaev-bi" TargetMode="External"/><Relationship Id="rId123" Type="http://schemas.openxmlformats.org/officeDocument/2006/relationships/hyperlink" Target="http://warspot.ru/6873-uzkospetsialnyy-tank-shirokogo-profilya" TargetMode="External"/><Relationship Id="rId144"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90" Type="http://schemas.openxmlformats.org/officeDocument/2006/relationships/hyperlink" Target="http://warspot.ru/8290-krasnoarmeyskiy-valentayn" TargetMode="External"/><Relationship Id="rId165" Type="http://schemas.openxmlformats.org/officeDocument/2006/relationships/hyperlink" Target="https://ru.wikipedia.org/wiki/%D0%9F%D0%B0-%D0%B4%D0%B5-%D0%9A%D0%B0%D0%BB%D0%B5" TargetMode="External"/><Relationship Id="rId186" Type="http://schemas.openxmlformats.org/officeDocument/2006/relationships/hyperlink" Target="http://www.airwar.ru/enc/bww2/galif.html" TargetMode="External"/><Relationship Id="rId211" Type="http://schemas.openxmlformats.org/officeDocument/2006/relationships/hyperlink" Target="http://www.aviarmor.net/aww2/aircraft_exp/gb/Gloster%20E.28-39.htm" TargetMode="External"/><Relationship Id="rId232" Type="http://schemas.openxmlformats.org/officeDocument/2006/relationships/hyperlink" Target="http://www.rpg-club.com/x1000" TargetMode="External"/><Relationship Id="rId27" Type="http://schemas.openxmlformats.org/officeDocument/2006/relationships/hyperlink" Target="http://istmat.info/node/62256" TargetMode="External"/><Relationship Id="rId48" Type="http://schemas.openxmlformats.org/officeDocument/2006/relationships/hyperlink" Target="http://www.aviarmor.net/aww2/aircraft_exp/ussr/i-220.htm" TargetMode="External"/><Relationship Id="rId69" Type="http://schemas.openxmlformats.org/officeDocument/2006/relationships/hyperlink" Target="http://www.airwar.ru/enc/fighter/fbrand.html" TargetMode="External"/><Relationship Id="rId113" Type="http://schemas.openxmlformats.org/officeDocument/2006/relationships/hyperlink" Target="http://www.airwar.ru/enc/spyww2/il2kr.html" TargetMode="External"/><Relationship Id="rId134" Type="http://schemas.openxmlformats.org/officeDocument/2006/relationships/hyperlink" Target="http://airspot.ru/catalogue/item/beriev-ll-143" TargetMode="External"/><Relationship Id="rId80" Type="http://schemas.openxmlformats.org/officeDocument/2006/relationships/hyperlink" Target="http://warspot.ru/7265-shturmovoe-orudie-na-trofeynoy-baze" TargetMode="External"/><Relationship Id="rId155" Type="http://schemas.openxmlformats.org/officeDocument/2006/relationships/hyperlink" Target="http://www.airwar.ru/enc/fww2/me210.html" TargetMode="External"/><Relationship Id="rId176" Type="http://schemas.openxmlformats.org/officeDocument/2006/relationships/hyperlink" Target="http://warspot.ru/8287-angliyskaya-podderzhka-dlya-sovetskoy-pehoty" TargetMode="External"/><Relationship Id="rId197" Type="http://schemas.openxmlformats.org/officeDocument/2006/relationships/hyperlink" Target="http://www.testpilot.ru/memo/40/nikashin.htm" TargetMode="External"/><Relationship Id="rId201" Type="http://schemas.openxmlformats.org/officeDocument/2006/relationships/hyperlink" Target="http://www.russianengineering.narod.ru/tank/russradar.htm" TargetMode="External"/><Relationship Id="rId222" Type="http://schemas.openxmlformats.org/officeDocument/2006/relationships/hyperlink" Target="http://www.rpg-club.com/x1000" TargetMode="External"/><Relationship Id="rId243" Type="http://schemas.openxmlformats.org/officeDocument/2006/relationships/hyperlink" Target="https://warspot.ru/6610-malyy-tank-bolshoy-voyn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585</TotalTime>
  <Pages>999</Pages>
  <Words>1283134</Words>
  <Characters>7313865</Characters>
  <Application>Microsoft Office Word</Application>
  <DocSecurity>0</DocSecurity>
  <Lines>60948</Lines>
  <Paragraphs>17159</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8579840</CharactersWithSpaces>
  <SharedDoc>false</SharedDoc>
  <HLinks>
    <vt:vector size="6" baseType="variant">
      <vt:variant>
        <vt:i4>4653113</vt:i4>
      </vt:variant>
      <vt:variant>
        <vt:i4>9</vt:i4>
      </vt:variant>
      <vt:variant>
        <vt:i4>0</vt:i4>
      </vt:variant>
      <vt:variant>
        <vt:i4>5</vt:i4>
      </vt:variant>
      <vt:variant>
        <vt:lpwstr>http://www.rgantd-samara.ru/activity/articles/4410/</vt:lpwstr>
      </vt:variant>
      <vt:variant>
        <vt:lpwstr>_edn13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92</cp:revision>
  <dcterms:created xsi:type="dcterms:W3CDTF">2022-04-30T10:20:00Z</dcterms:created>
  <dcterms:modified xsi:type="dcterms:W3CDTF">2022-05-08T08:53:00Z</dcterms:modified>
</cp:coreProperties>
</file>